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37"/>
        <w:rPr>
          <w:rFonts w:ascii="Times New Roman"/>
          <w:sz w:val="20"/>
        </w:rPr>
      </w:pPr>
      <w:r>
        <w:rPr>
          <w:rFonts w:ascii="Times New Roman"/>
          <w:sz w:val="20"/>
        </w:rPr>
        <w:drawing>
          <wp:inline distT="0" distB="0" distL="0" distR="0">
            <wp:extent cx="6133464" cy="865936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133464" cy="8659368"/>
                    </a:xfrm>
                    <a:prstGeom prst="rect">
                      <a:avLst/>
                    </a:prstGeom>
                  </pic:spPr>
                </pic:pic>
              </a:graphicData>
            </a:graphic>
          </wp:inline>
        </w:drawing>
      </w:r>
      <w:r>
        <w:rPr>
          <w:rFonts w:ascii="Times New Roman"/>
          <w:sz w:val="20"/>
        </w:rPr>
      </w:r>
    </w:p>
    <w:p>
      <w:pPr>
        <w:spacing w:after="0"/>
        <w:rPr>
          <w:rFonts w:ascii="Times New Roman"/>
          <w:sz w:val="20"/>
        </w:rPr>
        <w:sectPr>
          <w:type w:val="continuous"/>
          <w:pgSz w:w="9670" w:h="13650"/>
          <w:pgMar w:top="0" w:bottom="0" w:left="0" w:right="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9"/>
        </w:rPr>
      </w:pPr>
    </w:p>
    <w:p>
      <w:pPr>
        <w:pStyle w:val="Heading2"/>
      </w:pPr>
      <w:r>
        <w:rPr/>
        <w:pict>
          <v:group style="position:absolute;margin-left:.0001pt;margin-top:210.766388pt;width:183.55pt;height:368.5pt;mso-position-horizontal-relative:page;mso-position-vertical-relative:paragraph;z-index:0" coordorigin="0,4215" coordsize="3671,7370">
            <v:shape style="position:absolute;left:13;top:4215;width:1838;height:1655" type="#_x0000_t75" stroked="false">
              <v:imagedata r:id="rId6" o:title=""/>
            </v:shape>
            <v:shape style="position:absolute;left:21;top:5235;width:1729;height:3773" coordorigin="21,5235" coordsize="1729,3773" path="m110,5235l98,5261,71,5331,42,5436,21,5566,315,6727,593,7473,1017,8125,1750,9008,1744,8888,1728,8601,1709,8251,1692,7944,1179,7657,844,7279,537,6557,110,5235xe" filled="true" fillcolor="#7e8083" stroked="false">
              <v:path arrowok="t"/>
              <v:fill type="solid"/>
            </v:shape>
            <v:shape style="position:absolute;left:0;top:4216;width:3670;height:7369" type="#_x0000_t75" stroked="false">
              <v:imagedata r:id="rId7" o:title=""/>
            </v:shape>
            <w10:wrap type="none"/>
          </v:group>
        </w:pict>
      </w:r>
      <w:r>
        <w:rPr/>
        <w:pict>
          <v:group style="position:absolute;margin-left:327.852997pt;margin-top:-115.254715pt;width:154.050pt;height:493.6pt;mso-position-horizontal-relative:page;mso-position-vertical-relative:paragraph;z-index:1048" coordorigin="6557,-2305" coordsize="3081,9872">
            <v:shape style="position:absolute;left:7319;top:-2252;width:2319;height:9818" type="#_x0000_t75" stroked="false">
              <v:imagedata r:id="rId8" o:title=""/>
            </v:shape>
            <v:shape style="position:absolute;left:8810;top:-2296;width:721;height:3805" coordorigin="8810,-2296" coordsize="721,3805" path="m9314,-2296l9082,-2248,8843,-1066,8810,-281,9025,460,9530,1509,9314,-2296xe" filled="true" fillcolor="#a9abae" stroked="false">
              <v:path arrowok="t"/>
              <v:fill type="solid"/>
            </v:shape>
            <v:shape style="position:absolute;left:8942;top:-2298;width:602;height:3856" coordorigin="8942,-2298" coordsize="602,3856" path="m9316,-2298l9081,-2254,9077,-2253,9076,-2249,9050,-2131,9044,-2102,9038,-2072,9032,-2043,9027,-2013,9006,-1894,9002,-1865,8997,-1835,8993,-1805,8989,-1775,8981,-1715,8974,-1655,8968,-1595,8962,-1535,8959,-1505,8957,-1472,8955,-1443,8953,-1415,8949,-1353,8948,-1324,8947,-1293,8943,-1173,8942,-1143,8942,-1083,8942,-992,8943,-931,8946,-868,8948,-811,8951,-750,8955,-690,8959,-630,8970,-509,8976,-449,8983,-389,8990,-329,8998,-269,9006,-210,9015,-150,9025,-90,9030,-60,9035,-31,9041,-1,9052,58,9058,88,9063,117,9070,147,9095,265,9123,382,9138,440,9153,499,9169,558,9185,615,9202,673,9219,730,9237,788,9256,845,9275,902,9294,959,9314,1015,9335,1072,9356,1128,9378,1184,9400,1240,9423,1295,9446,1350,9471,1405,9496,1460,9522,1514,9543,1557,9540,1510,9521,1510,9518,1460,9514,1450,9490,1396,9467,1341,9445,1286,9423,1230,9402,1174,9381,1118,9361,1062,9342,1005,9323,948,9304,891,9286,834,9269,777,9252,719,9236,662,9220,604,9204,546,9189,488,9175,430,9160,372,9134,255,9109,138,9103,109,9098,79,9093,50,9087,20,9082,-9,9077,-39,9072,-68,9067,-98,9057,-157,9048,-216,9040,-276,9031,-335,9018,-454,9011,-514,9006,-573,9000,-633,8996,-693,8988,-813,8984,-933,8982,-963,8981,-993,8981,-1023,8981,-1053,8980,-1083,8980,-1113,8980,-1143,8980,-1173,8982,-1294,8982,-1323,8983,-1354,8985,-1383,8988,-1445,8989,-1475,8991,-1502,8993,-1532,8998,-1592,9003,-1652,9008,-1712,9015,-1771,9018,-1801,9022,-1831,9025,-1861,9029,-1891,9047,-2009,9051,-2039,9056,-2069,9061,-2098,9087,-2241,9083,-2241,9088,-2246,9105,-2246,9312,-2293,9316,-2293,9316,-2298xm9518,1460l9521,1510,9539,1504,9518,1460xm9316,-2293l9312,-2293,9315,-2214,9324,-1977,9328,-1891,9331,-1820,9353,-1344,9378,-868,9382,-789,9386,-709,9391,-630,9396,-551,9400,-472,9410,-313,9415,-234,9421,-155,9432,4,9437,83,9442,162,9453,321,9459,400,9464,479,9469,558,9483,796,9487,856,9490,915,9494,975,9501,1113,9505,1193,9509,1272,9513,1351,9517,1430,9518,1460,9539,1504,9521,1510,9540,1510,9535,1429,9530,1350,9524,1271,9520,1192,9515,1112,9506,974,9503,914,9499,855,9484,557,9480,478,9476,399,9472,320,9465,161,9461,79,9458,-1,9451,-157,9447,-236,9443,-315,9435,-474,9431,-553,9426,-633,9422,-712,9418,-791,9413,-871,9383,-1346,9351,-1821,9346,-1900,9340,-1979,9334,-2058,9322,-2217,9316,-2293xm9088,-2246l9083,-2241,9088,-2242,9088,-2246xm9088,-2242l9083,-2241,9087,-2241,9088,-2242xm9105,-2246l9088,-2246,9088,-2242,9105,-2246xe" filled="true" fillcolor="#ffffff" stroked="false">
              <v:path arrowok="t"/>
              <v:fill type="solid"/>
            </v:shape>
            <v:shape style="position:absolute;left:7322;top:1803;width:1689;height:2056" coordorigin="7322,1803" coordsize="1689,2056" path="m8953,1803l8887,1805,8814,1813,8732,1829,8642,1855,8545,1893,8439,1945,8383,1976,8326,2013,8266,2053,8205,2099,8141,2149,8076,2205,8009,2266,7940,2333,7869,2406,7796,2485,7722,2571,7645,2664,7567,2764,7487,2871,7406,2986,7322,3108,7431,3859,7905,2836,8228,2281,8547,2002,9010,1805,8983,1804,8953,1803xe" filled="true" fillcolor="#bec0c2" stroked="false">
              <v:path arrowok="t"/>
              <v:fill type="solid"/>
            </v:shape>
            <v:shape style="position:absolute;left:7320;top:1784;width:1709;height:2094" coordorigin="7320,1784" coordsize="1709,2094" path="m8942,1784l8907,1785,8872,1787,8837,1791,8803,1795,8768,1801,8734,1808,8666,1825,8584,1854,8568,1860,8552,1867,8536,1874,8504,1888,8488,1895,8472,1903,8395,1945,8380,1953,8365,1962,8262,2029,8179,2093,8165,2104,8151,2114,8137,2125,8018,2229,7894,2353,7870,2379,7847,2405,7823,2431,7800,2457,7776,2483,7753,2510,7731,2537,7643,2646,7621,2674,7600,2702,7475,2872,7456,2901,7320,3107,7320,3107,7320,3109,7342,3297,7348,3344,7353,3391,7359,3438,7375,3561,7385,3636,7395,3711,7405,3786,7415,3862,7416,3867,7419,3872,7431,3878,7441,3874,7445,3866,7445,3866,7449,3857,7446,3857,7416,3852,7438,3805,7435,3782,7423,3707,7411,3632,7399,3557,7380,3435,7372,3388,7364,3342,7356,3295,7324,3109,7469,2911,7490,2883,7619,2718,7641,2691,7777,2532,7801,2506,7825,2481,7848,2456,7872,2430,7896,2405,7920,2380,8045,2260,8163,2159,8176,2148,8190,2138,8286,2066,8386,2000,8401,1992,8416,1984,8490,1943,8506,1936,8583,1901,8598,1894,8678,1866,8743,1848,8776,1841,8808,1835,8842,1830,8875,1827,8908,1824,8924,1824,8928,1821,9004,1787,9022,1787,9021,1787,8976,1785,8942,1784xm7438,3805l7416,3852,7446,3857,7438,3805xm8942,1823l8924,1824,8856,1861,8788,1907,8771,1919,8755,1931,8722,1956,8690,1982,8659,2009,8628,2037,8583,2079,8568,2093,8554,2108,8540,2123,8525,2138,8511,2152,8497,2167,8428,2244,8374,2307,8348,2338,8322,2370,8296,2403,8246,2468,8221,2501,8172,2567,8123,2634,8099,2668,8052,2736,8006,2804,7983,2839,7937,2908,7915,2942,7892,2977,7848,3047,7805,3118,7762,3189,7720,3261,7699,3297,7679,3333,7659,3369,7619,3442,7600,3479,7580,3515,7561,3552,7524,3627,7487,3701,7451,3776,7438,3805,7446,3857,7449,3857,7481,3792,7517,3717,7555,3643,7593,3570,7631,3497,7670,3423,7709,3351,7749,3278,7829,3133,7844,3107,7870,3062,7891,3026,7912,2990,7954,2919,7998,2849,8042,2779,8088,2711,8111,2676,8134,2643,8182,2575,8206,2542,8231,2509,8256,2477,8307,2412,8333,2380,8359,2349,8386,2317,8440,2256,8511,2182,8526,2168,8540,2154,8557,2138,8569,2125,8584,2111,8599,2097,8645,2057,8676,2031,8707,2005,8739,1981,8756,1969,8788,1945,8805,1934,8873,1891,8943,1854,9014,1824,9009,1824,8975,1823,8942,1823xm9009,1823l8942,1823,8975,1823,9009,1824,9009,1823xm9022,1787l9004,1787,9009,1824,9014,1824,9016,1823,9017,1823,9023,1820,9028,1814,9029,1796,9022,1787xm9004,1787l8928,1821,8924,1824,8942,1823,9009,1823,9004,1787xe" filled="true" fillcolor="#ffffff" stroked="false">
              <v:path arrowok="t"/>
              <v:fill type="solid"/>
            </v:shape>
            <v:shape style="position:absolute;left:7431;top:1806;width:2141;height:2054" coordorigin="7431,1806" coordsize="2141,2054" path="m9043,1806l8653,1859,8354,2090,7998,2693,7431,3859,7542,3730,7650,3609,7753,3495,7853,3388,7950,3288,8042,3196,8132,3109,8217,3029,8300,2956,8379,2888,8455,2826,8529,2769,8599,2717,8666,2671,8730,2629,8792,2591,8851,2558,8907,2529,8961,2504,9012,2482,9061,2464,9108,2449,9153,2437,9195,2427,9236,2420,9274,2415,9311,2412,9346,2411,9532,2411,9516,2400,9461,2352,9407,2294,9355,2230,9303,2162,9253,2092,9161,1958,9118,1898,9079,1847,9043,1806xm9532,2411l9346,2411,9379,2412,9411,2413,9441,2416,9470,2420,9497,2424,9523,2429,9572,2438,9532,2411xe" filled="true" fillcolor="#828486" stroked="false">
              <v:path arrowok="t"/>
              <v:fill type="solid"/>
            </v:shape>
            <v:shape style="position:absolute;left:7428;top:1799;width:2162;height:2063" coordorigin="7428,1799" coordsize="2162,2063" path="m7430,3861l7430,3861,7431,3861,7430,3861xm7432,3860l7431,3861,7431,3861,7431,3861,7432,3861,7432,3860xm7442,3842l7429,3858,7429,3858,7429,3860,7429,3861,7430,3861,7431,3861,7431,3861,7432,3860,7442,3842xm7429,3860l7429,3860,7430,3861,7429,3860xm9367,2393l9325,2393,9282,2395,9240,2400,9199,2407,9157,2415,9116,2426,9076,2438,9036,2452,8996,2467,8957,2483,8919,2500,8881,2519,8843,2538,8806,2558,8770,2579,8698,2623,8628,2670,8593,2695,8559,2720,8525,2745,8492,2771,8458,2796,8425,2823,8360,2877,8296,2932,8265,2960,8202,3017,8171,3046,8110,3104,8080,3134,8050,3164,7990,3224,7902,3315,7873,3346,7787,3439,7674,3566,7647,3598,7592,3662,7537,3727,7442,3842,7432,3860,7546,3735,7689,3580,7805,3458,7894,3367,8013,3248,8104,3161,8135,3132,8197,3075,8228,3047,8291,2992,8322,2964,8354,2937,8386,2910,8451,2857,8483,2831,8550,2780,8583,2755,8617,2731,8651,2707,8720,2661,8791,2618,8827,2597,8863,2577,8899,2557,8936,2539,8973,2522,9011,2506,9049,2491,9087,2477,9126,2465,9166,2454,9205,2446,9245,2439,9285,2434,9326,2431,9366,2430,9531,2430,9520,2423,9501,2407,9493,2406,9451,2399,9409,2395,9367,2393xm7429,3858l7428,3859,7428,3859,7429,3858xm9045,1799l9043,1799,9002,1804,8961,1814,8922,1827,8884,1843,8846,1861,8810,1882,8775,1904,8741,1928,8676,1979,8613,2034,8552,2092,8494,2151,8437,2213,8382,2276,8329,2341,8276,2407,8225,2473,8176,2541,8128,2610,8080,2680,8034,2750,7989,2821,7944,2892,7900,2964,7857,3036,7815,3109,7773,3182,7732,3256,7692,3330,7652,3404,7613,3479,7575,3554,7537,3629,7500,3705,7464,3781,7429,3858,7442,3842,7472,3786,7511,3711,7551,3637,7632,3490,7673,3417,7715,3344,7757,3271,7799,3198,7842,3126,7885,3054,7929,2983,7973,2911,8018,2841,8064,2770,8110,2701,8156,2631,8204,2562,8252,2494,8301,2427,8351,2360,8402,2294,8455,2230,8509,2167,8566,2106,8624,2047,8685,1992,8750,1940,8783,1916,8817,1894,8852,1873,8889,1854,8926,1839,8965,1826,9004,1817,9041,1813,9038,1811,9057,1811,9048,1801,9047,1799,9045,1799xm9531,2430l9366,2430,9407,2432,9447,2435,9488,2440,9528,2447,9569,2454,9569,2454,9576,2456,9582,2453,9564,2453,9531,2430xm9501,2407l9520,2423,9564,2453,9575,2422,9534,2413,9501,2407xm9057,1811l9038,1811,9044,1813,9041,1813,9056,1830,9072,1849,9088,1869,9103,1890,9119,1911,9134,1932,9148,1953,9163,1975,9221,2061,9250,2105,9280,2148,9310,2190,9341,2232,9373,2273,9407,2313,9442,2352,9479,2389,9501,2407,9534,2413,9575,2422,9564,2453,9582,2453,9582,2453,9586,2446,9590,2438,9587,2428,9579,2423,9558,2411,9538,2397,9518,2382,9499,2365,9480,2349,9462,2331,9444,2313,9426,2294,9392,2256,9360,2216,9328,2176,9297,2134,9266,2093,9236,2050,9146,1923,9130,1902,9115,1881,9099,1860,9083,1840,9066,1820,9057,1811xm9038,1811l9041,1813,9044,1813,9038,1811xe" filled="true" fillcolor="#ffffff" stroked="false">
              <v:path arrowok="t"/>
              <v:fill type="solid"/>
            </v:shape>
            <v:shape style="position:absolute;left:7801;top:-2167;width:1771;height:4609" coordorigin="7801,-2167" coordsize="1771,4609" path="m8731,-2167l8175,-2049,7801,-527,7822,448,8368,1297,9572,2442,9558,2178,9541,1897,9526,1674,9520,1582,8797,765,8474,103,8477,-758,8731,-2167xe" filled="true" fillcolor="#959799" stroked="false">
              <v:path arrowok="t"/>
              <v:fill type="solid"/>
            </v:shape>
            <v:shape style="position:absolute;left:8048;top:-2175;width:1535;height:4640" coordorigin="8048,-2175" coordsize="1535,4640" path="m8743,-2175l8729,-2175,8173,-2035,8154,-1955,8138,-1895,8123,-1815,8109,-1735,8097,-1655,8086,-1575,8077,-1515,8069,-1435,8063,-1355,8057,-1275,8053,-1195,8050,-1115,8048,-1035,8048,-955,8048,-875,8050,-815,8054,-735,8058,-655,8064,-575,8071,-495,8079,-415,8088,-335,8099,-255,8110,-195,8123,-115,8138,-35,8153,45,8170,125,8189,185,8208,265,8229,345,8252,425,8275,485,8300,565,8326,645,8354,705,8382,785,8412,845,8444,925,8476,985,8510,1065,8544,1125,8581,1205,8618,1265,8656,1325,8695,1405,8736,1465,8777,1525,8819,1585,8863,1665,8907,1725,8953,1785,8976,1805,8999,1845,9023,1865,9046,1905,9070,1925,9094,1965,9119,1985,9143,2025,9168,2045,9193,2085,9218,2105,9244,2125,9270,2165,9296,2185,9322,2225,9348,2245,9401,2305,9455,2345,9510,2405,9565,2465,9582,2465,9581,2445,9562,2445,9561,2427,9522,2385,9467,2345,9412,2285,9359,2245,9332,2205,9306,2185,9280,2145,9228,2105,9203,2065,9178,2045,9153,2005,9128,1985,9104,1945,9080,1925,9056,1885,9009,1825,8986,1805,8963,1765,8918,1705,8874,1645,8831,1585,8789,1525,8749,1465,8709,1385,8671,1325,8634,1265,8599,1185,8564,1125,8531,1045,8499,985,8467,905,8438,845,8409,765,8382,705,8356,625,8331,545,8307,485,8284,405,8263,325,8242,265,8223,185,8205,105,8189,25,8173,-35,8158,-115,8145,-195,8132,-275,8121,-355,8112,-415,8103,-495,8096,-575,8090,-655,8085,-735,8081,-815,8078,-895,8076,-955,8075,-1035,8076,-1115,8078,-1195,8081,-1275,8085,-1355,8090,-1435,8096,-1495,8104,-1575,8112,-1655,8122,-1735,8133,-1815,8146,-1895,8160,-1955,8177,-2035,8721,-2153,8722,-2155,8740,-2155,8743,-2175xm9561,2427l9562,2445,9578,2445,9561,2427xm9506,1601l9511,1685,9517,1765,9524,1845,9530,1945,9535,2025,9561,2427,9578,2445,9581,2445,9556,1945,9551,1845,9546,1765,9541,1685,9537,1605,9509,1605,9506,1601xm9505,1585l9506,1601,9509,1605,9505,1585xm9536,1585l9505,1585,9509,1605,9537,1605,9536,1585xm8740,-2155l8733,-2155,8721,-2153,8710,-2095,8698,-2035,8687,-1975,8677,-1915,8668,-1855,8659,-1795,8650,-1735,8643,-1675,8636,-1615,8630,-1535,8625,-1475,8620,-1415,8616,-1355,8613,-1295,8610,-1235,8609,-1175,8608,-1115,8608,-1035,8608,-975,8609,-915,8612,-855,8615,-795,8618,-735,8623,-675,8631,-595,8640,-515,8650,-435,8663,-335,8676,-255,8691,-175,8708,-95,8726,-15,8745,65,8766,145,8789,225,8813,305,8838,385,8866,465,8894,545,8924,625,8956,685,8989,765,9024,845,9060,925,9097,985,9136,1065,9177,1125,9219,1205,9252,1265,9285,1305,9320,1365,9355,1405,9392,1465,9429,1505,9468,1565,9506,1601,9505,1585,9531,1585,9492,1545,9455,1485,9418,1445,9383,1385,9349,1345,9315,1285,9282,1245,9250,1185,9209,1105,9170,1045,9131,965,9095,905,9059,825,9026,745,8993,665,8962,605,8933,525,8905,445,8879,365,8853,285,8830,205,8807,125,8786,45,8767,-35,8749,-115,8732,-195,8717,-275,8703,-355,8691,-435,8680,-515,8671,-595,8663,-675,8657,-735,8653,-795,8649,-855,8646,-915,8642,-1055,8642,-1115,8642,-1175,8643,-1235,8644,-1295,8646,-1355,8649,-1415,8653,-1475,8658,-1535,8663,-1595,8669,-1675,8675,-1735,8683,-1795,8691,-1855,8699,-1915,8709,-1975,8719,-2035,8729,-2095,8740,-2155xm8733,-2155l8722,-2155,8721,-2153,8733,-2155xe" filled="true" fillcolor="#ffffff" stroked="false">
              <v:path arrowok="t"/>
              <v:fill type="solid"/>
            </v:shape>
            <v:shape style="position:absolute;left:6557;top:-2305;width:3081;height:6308" coordorigin="6557,-2305" coordsize="3081,6308" path="m7114,1438l7081,1438,7097,1453,7083,1453,7220,2433,7228,2487,7246,2618,7279,2856,7317,3125,7356,3402,7393,3664,7415,3818,7433,3948,7441,4002,7377,3491,7330,3123,7296,2854,7275,2689,7257,2546,7249,2484,7242,2430,7115,1453,7097,1453,7083,1452,7115,1452,7114,1438xm9321,-2295l9307,-2295,9315,-2288,9307,-2287,9328,-1932,9347,-1568,9351,-1488,9356,-1407,9360,-1326,9364,-1245,9368,-1164,9372,-1083,9376,-999,9380,-922,9384,-841,9419,-114,9423,-32,9427,48,9431,129,9436,210,9449,452,9453,536,9457,614,9462,698,9466,775,9470,856,9475,937,9480,1018,9489,1179,9494,1260,9498,1341,9541,2068,9586,2795,9634,3521,9638,3521,9605,2793,9570,2066,9532,1339,9528,1258,9523,1177,9511,935,9506,854,9502,773,9497,692,9488,531,9480,393,9469,208,9465,127,9460,46,9455,-35,9450,-115,9405,-842,9400,-923,9395,-1004,9390,-1085,9385,-1165,9380,-1246,9375,-1327,9371,-1408,9366,-1488,9361,-1569,9340,-1933,9321,-2295xm7081,1438l7083,1452,7097,1453,7081,1438xm9321,-2305l7748,-1984,7745,-1977,7713,-1902,7680,-1828,7648,-1753,7616,-1678,7584,-1602,7552,-1527,7520,-1452,7489,-1377,7458,-1301,7427,-1226,7365,-1074,7335,-999,7304,-923,7274,-847,7244,-771,7214,-695,7184,-619,7155,-543,7126,-466,7096,-390,7067,-314,7041,-243,7015,-173,6989,-103,6964,-32,6938,38,6914,109,6889,180,6865,251,6841,322,6817,393,6793,465,6770,536,6754,590,6737,644,6721,698,6705,752,6689,806,6674,860,6659,915,6637,997,6630,1024,6624,1052,6617,1079,6611,1107,6605,1134,6599,1162,6593,1190,6582,1246,6573,1302,6566,1359,6559,1420,6557,1437,7083,1452,7081,1438,7114,1438,7111,1420,7101,1419,6598,1419,6579,1397,6600,1397,6604,1364,6612,1309,6622,1254,6633,1199,6638,1171,6644,1144,6650,1117,6657,1089,6663,1062,6670,1035,6677,1008,6698,926,6713,872,6728,818,6744,764,6760,711,6776,657,6793,603,6810,550,6835,472,6861,395,6887,317,6913,240,6940,163,6967,86,6994,9,7022,-68,7050,-145,7078,-221,7106,-298,7135,-374,7163,-451,7192,-527,7222,-603,7251,-679,7280,-756,7310,-832,7340,-908,7370,-983,7400,-1059,7430,-1135,7491,-1286,7553,-1438,7583,-1513,7614,-1589,7645,-1664,7677,-1739,7708,-1815,7740,-1890,7768,-1956,7761,-1956,7772,-1965,7801,-1965,9307,-2287,9307,-2295,9321,-2295,9321,-2305xm6579,1397l6598,1419,6600,1398,6579,1397xm6600,1398l6598,1419,7101,1419,6600,1398xm6600,1397l6579,1397,6600,1398,6600,1397xm7772,-1965l7761,-1956,7769,-1958,7772,-1965xm7769,-1958l7761,-1956,7768,-1956,7769,-1958xm7801,-1965l7772,-1965,7769,-1958,7801,-1965xm9307,-2295l9307,-2287,9315,-2288,9307,-2295xe" filled="true" fillcolor="#bcbec0" stroked="false">
              <v:path arrowok="t"/>
              <v:fill type="solid"/>
            </v:shape>
            <w10:wrap type="none"/>
          </v:group>
        </w:pict>
      </w:r>
      <w:r>
        <w:rPr>
          <w:color w:val="999B9E"/>
        </w:rPr>
        <w:t>El Estado y el espacio global</w:t>
      </w:r>
    </w:p>
    <w:p>
      <w:pPr>
        <w:spacing w:after="0"/>
        <w:sectPr>
          <w:pgSz w:w="9640" w:h="13890"/>
          <w:pgMar w:top="0" w:bottom="0" w:left="0" w:right="0"/>
        </w:sect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after="1"/>
        <w:rPr>
          <w:rFonts w:ascii="Times New Roman"/>
          <w:b/>
          <w:sz w:val="26"/>
        </w:rPr>
      </w:pPr>
    </w:p>
    <w:p>
      <w:pPr>
        <w:pStyle w:val="BodyText"/>
        <w:ind w:left="2860"/>
        <w:rPr>
          <w:rFonts w:ascii="Times New Roman"/>
          <w:sz w:val="20"/>
        </w:rPr>
      </w:pPr>
      <w:r>
        <w:rPr>
          <w:rFonts w:ascii="Times New Roman"/>
          <w:sz w:val="20"/>
        </w:rPr>
        <w:drawing>
          <wp:inline distT="0" distB="0" distL="0" distR="0">
            <wp:extent cx="542534" cy="542544"/>
            <wp:effectExtent l="0" t="0" r="0" b="0"/>
            <wp:docPr id="3" name="image5.png" descr=""/>
            <wp:cNvGraphicFramePr>
              <a:graphicFrameLocks noChangeAspect="1"/>
            </wp:cNvGraphicFramePr>
            <a:graphic>
              <a:graphicData uri="http://schemas.openxmlformats.org/drawingml/2006/picture">
                <pic:pic>
                  <pic:nvPicPr>
                    <pic:cNvPr id="4" name="image5.png"/>
                    <pic:cNvPicPr/>
                  </pic:nvPicPr>
                  <pic:blipFill>
                    <a:blip r:embed="rId9" cstate="print"/>
                    <a:stretch>
                      <a:fillRect/>
                    </a:stretch>
                  </pic:blipFill>
                  <pic:spPr>
                    <a:xfrm>
                      <a:off x="0" y="0"/>
                      <a:ext cx="542534" cy="542544"/>
                    </a:xfrm>
                    <a:prstGeom prst="rect">
                      <a:avLst/>
                    </a:prstGeom>
                  </pic:spPr>
                </pic:pic>
              </a:graphicData>
            </a:graphic>
          </wp:inline>
        </w:drawing>
      </w:r>
      <w:r>
        <w:rPr>
          <w:rFonts w:ascii="Times New Roman"/>
          <w:sz w:val="20"/>
        </w:rPr>
      </w:r>
    </w:p>
    <w:p>
      <w:pPr>
        <w:pStyle w:val="BodyText"/>
        <w:spacing w:before="1"/>
        <w:rPr>
          <w:rFonts w:ascii="Times New Roman"/>
          <w:b/>
          <w:sz w:val="13"/>
        </w:rPr>
      </w:pPr>
      <w:r>
        <w:rPr/>
        <w:pict>
          <v:group style="position:absolute;margin-left:174.394302pt;margin-top:12.7292pt;width:47.1pt;height:12.15pt;mso-position-horizontal-relative:page;mso-position-vertical-relative:paragraph;z-index:1072;mso-wrap-distance-left:0;mso-wrap-distance-right:0" coordorigin="3488,255" coordsize="942,243">
            <v:shape style="position:absolute;left:3488;top:255;width:644;height:230" type="#_x0000_t75" stroked="false">
              <v:imagedata r:id="rId10" o:title=""/>
            </v:shape>
            <v:shape style="position:absolute;left:4164;top:255;width:266;height:242" type="#_x0000_t75" stroked="false">
              <v:imagedata r:id="rId11" o:title=""/>
            </v:shape>
            <w10:wrap type="topAndBottom"/>
          </v:group>
        </w:pict>
      </w:r>
      <w:r>
        <w:rPr/>
        <w:pict>
          <v:line style="position:absolute;mso-position-horizontal-relative:page;mso-position-vertical-relative:paragraph;z-index:1096;mso-wrap-distance-left:0;mso-wrap-distance-right:0" from="226.898499pt,9.668pt" to="226.898499pt,27.911pt" stroked="true" strokeweight=".343pt" strokecolor="#58595b">
            <w10:wrap type="topAndBottom"/>
          </v:line>
        </w:pict>
      </w:r>
      <w:r>
        <w:rPr/>
        <w:drawing>
          <wp:anchor distT="0" distB="0" distL="0" distR="0" allowOverlap="1" layoutInCell="1" locked="0" behindDoc="0" simplePos="0" relativeHeight="1120">
            <wp:simplePos x="0" y="0"/>
            <wp:positionH relativeFrom="page">
              <wp:posOffset>2948834</wp:posOffset>
            </wp:positionH>
            <wp:positionV relativeFrom="paragraph">
              <wp:posOffset>163752</wp:posOffset>
            </wp:positionV>
            <wp:extent cx="713204" cy="136016"/>
            <wp:effectExtent l="0" t="0" r="0" b="0"/>
            <wp:wrapTopAndBottom/>
            <wp:docPr id="5" name="image8.png" descr=""/>
            <wp:cNvGraphicFramePr>
              <a:graphicFrameLocks noChangeAspect="1"/>
            </wp:cNvGraphicFramePr>
            <a:graphic>
              <a:graphicData uri="http://schemas.openxmlformats.org/drawingml/2006/picture">
                <pic:pic>
                  <pic:nvPicPr>
                    <pic:cNvPr id="6" name="image8.png"/>
                    <pic:cNvPicPr/>
                  </pic:nvPicPr>
                  <pic:blipFill>
                    <a:blip r:embed="rId12" cstate="print"/>
                    <a:stretch>
                      <a:fillRect/>
                    </a:stretch>
                  </pic:blipFill>
                  <pic:spPr>
                    <a:xfrm>
                      <a:off x="0" y="0"/>
                      <a:ext cx="713204" cy="136016"/>
                    </a:xfrm>
                    <a:prstGeom prst="rect">
                      <a:avLst/>
                    </a:prstGeom>
                  </pic:spPr>
                </pic:pic>
              </a:graphicData>
            </a:graphic>
          </wp:anchor>
        </w:drawing>
      </w:r>
    </w:p>
    <w:p>
      <w:pPr>
        <w:pStyle w:val="BodyText"/>
        <w:rPr>
          <w:rFonts w:ascii="Times New Roman"/>
          <w:b/>
          <w:sz w:val="20"/>
        </w:rPr>
      </w:pPr>
    </w:p>
    <w:p>
      <w:pPr>
        <w:pStyle w:val="BodyText"/>
        <w:spacing w:before="1"/>
        <w:rPr>
          <w:rFonts w:ascii="Times New Roman"/>
          <w:b/>
          <w:sz w:val="17"/>
        </w:rPr>
      </w:pPr>
    </w:p>
    <w:p>
      <w:pPr>
        <w:spacing w:line="182" w:lineRule="exact" w:before="1"/>
        <w:ind w:left="1306" w:right="1700" w:firstLine="0"/>
        <w:jc w:val="center"/>
        <w:rPr>
          <w:rFonts w:ascii="Arial" w:hAnsi="Arial"/>
          <w:sz w:val="16"/>
        </w:rPr>
      </w:pPr>
      <w:r>
        <w:rPr>
          <w:rFonts w:ascii="Arial" w:hAnsi="Arial"/>
          <w:color w:val="231F20"/>
          <w:sz w:val="16"/>
        </w:rPr>
        <w:t>Dr. en D. Jorge Olvera García</w:t>
      </w:r>
    </w:p>
    <w:p>
      <w:pPr>
        <w:spacing w:line="182" w:lineRule="exact" w:before="0"/>
        <w:ind w:left="1306" w:right="1700" w:firstLine="0"/>
        <w:jc w:val="center"/>
        <w:rPr>
          <w:rFonts w:ascii="Arial"/>
          <w:i/>
          <w:sz w:val="16"/>
        </w:rPr>
      </w:pPr>
      <w:r>
        <w:rPr>
          <w:rFonts w:ascii="Arial"/>
          <w:i/>
          <w:color w:val="231F20"/>
          <w:sz w:val="16"/>
        </w:rPr>
        <w:t>Rector</w:t>
      </w:r>
    </w:p>
    <w:p>
      <w:pPr>
        <w:pStyle w:val="BodyText"/>
        <w:spacing w:before="3"/>
        <w:rPr>
          <w:rFonts w:ascii="Arial"/>
          <w:i/>
          <w:sz w:val="15"/>
        </w:rPr>
      </w:pPr>
    </w:p>
    <w:p>
      <w:pPr>
        <w:spacing w:line="182" w:lineRule="exact" w:before="0"/>
        <w:ind w:left="1306" w:right="1700" w:firstLine="0"/>
        <w:jc w:val="center"/>
        <w:rPr>
          <w:rFonts w:ascii="Arial" w:hAnsi="Arial"/>
          <w:sz w:val="16"/>
        </w:rPr>
      </w:pPr>
      <w:r>
        <w:rPr>
          <w:rFonts w:ascii="Arial" w:hAnsi="Arial"/>
          <w:color w:val="231F20"/>
          <w:sz w:val="16"/>
        </w:rPr>
        <w:t>Dra. en Est. Lat. Ángeles Ma. del Rosario Pérez Bernal</w:t>
      </w:r>
    </w:p>
    <w:p>
      <w:pPr>
        <w:spacing w:line="182" w:lineRule="exact" w:before="0"/>
        <w:ind w:left="1306" w:right="1700" w:firstLine="0"/>
        <w:jc w:val="center"/>
        <w:rPr>
          <w:rFonts w:ascii="Arial" w:hAnsi="Arial"/>
          <w:i/>
          <w:sz w:val="16"/>
        </w:rPr>
      </w:pPr>
      <w:r>
        <w:rPr>
          <w:rFonts w:ascii="Arial" w:hAnsi="Arial"/>
          <w:i/>
          <w:color w:val="231F20"/>
          <w:sz w:val="16"/>
        </w:rPr>
        <w:t>Secretaria de Investigación y Estudios Avanzados</w:t>
      </w:r>
    </w:p>
    <w:p>
      <w:pPr>
        <w:pStyle w:val="BodyText"/>
        <w:spacing w:before="3"/>
        <w:rPr>
          <w:rFonts w:ascii="Arial"/>
          <w:i/>
          <w:sz w:val="15"/>
        </w:rPr>
      </w:pPr>
    </w:p>
    <w:p>
      <w:pPr>
        <w:spacing w:line="182" w:lineRule="exact" w:before="0"/>
        <w:ind w:left="1306" w:right="1700" w:firstLine="0"/>
        <w:jc w:val="center"/>
        <w:rPr>
          <w:rFonts w:ascii="Arial" w:hAnsi="Arial"/>
          <w:sz w:val="16"/>
        </w:rPr>
      </w:pPr>
      <w:r>
        <w:rPr>
          <w:rFonts w:ascii="Arial" w:hAnsi="Arial"/>
          <w:color w:val="231F20"/>
          <w:sz w:val="16"/>
        </w:rPr>
        <w:t>L. C. C. María del Socorro Castañeda Díaz</w:t>
      </w:r>
    </w:p>
    <w:p>
      <w:pPr>
        <w:spacing w:line="180" w:lineRule="exact" w:before="4"/>
        <w:ind w:left="1378" w:right="1772" w:firstLine="0"/>
        <w:jc w:val="center"/>
        <w:rPr>
          <w:rFonts w:ascii="Arial" w:hAnsi="Arial"/>
          <w:i/>
          <w:sz w:val="16"/>
        </w:rPr>
      </w:pPr>
      <w:r>
        <w:rPr>
          <w:rFonts w:ascii="Arial" w:hAnsi="Arial"/>
          <w:i/>
          <w:color w:val="231F20"/>
          <w:sz w:val="16"/>
        </w:rPr>
        <w:t>Directora de Difusión y Promoción de la Investigación </w:t>
      </w:r>
      <w:r>
        <w:rPr>
          <w:rFonts w:ascii="Arial" w:hAnsi="Arial"/>
          <w:i/>
          <w:color w:val="231F20"/>
          <w:sz w:val="16"/>
        </w:rPr>
        <w:t>y los Estudios Avanzados</w:t>
      </w:r>
    </w:p>
    <w:p>
      <w:pPr>
        <w:spacing w:after="0" w:line="180" w:lineRule="exact"/>
        <w:jc w:val="center"/>
        <w:rPr>
          <w:rFonts w:ascii="Arial" w:hAnsi="Arial"/>
          <w:sz w:val="16"/>
        </w:rPr>
        <w:sectPr>
          <w:pgSz w:w="9640" w:h="13890"/>
          <w:pgMar w:top="1300" w:bottom="280" w:left="1340" w:right="134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Heading1"/>
      </w:pPr>
      <w:r>
        <w:rPr/>
        <w:pict>
          <v:group style="position:absolute;margin-left:327.852997pt;margin-top:-126.988678pt;width:154.050pt;height:493.6pt;mso-position-horizontal-relative:page;mso-position-vertical-relative:paragraph;z-index:1192" coordorigin="6557,-2540" coordsize="3081,9872">
            <v:shape style="position:absolute;left:7322;top:950;width:1722;height:1924" coordorigin="7322,950" coordsize="1722,1924" path="m8648,950l8060,1106,7726,1358,7521,1887,7322,2874,7418,2742,7511,2620,7600,2507,7687,2402,7770,2305,7850,2216,7926,2134,8000,2060,8071,1992,8139,1931,8204,1876,8267,1827,8327,1783,8384,1745,8439,1711,8492,1682,8542,1657,8590,1636,8636,1619,8680,1605,8721,1593,8761,1585,8799,1578,8835,1574,8869,1571,8902,1570,8933,1569,9042,1569,9008,1526,8966,1468,8919,1399,8870,1324,8820,1244,8771,1164,8724,1086,8683,1014,8648,950xm9042,1569l8933,1569,8963,1570,9018,1571,9043,1571,9042,1569xe" filled="true" fillcolor="#e4e5e6" stroked="false">
              <v:path arrowok="t"/>
              <v:fill type="solid"/>
            </v:shape>
            <v:shape style="position:absolute;left:7319;top:943;width:1760;height:1938" coordorigin="7319,943" coordsize="1760,1938" path="m8652,943l8647,943,8574,963,8538,975,8468,1003,8456,1007,8434,1019,8400,1035,8377,1045,8366,1053,8300,1091,8237,1133,8222,1145,8177,1181,8147,1203,8090,1255,8063,1281,8036,1309,8009,1335,7983,1365,7958,1393,7933,1423,7909,1453,7897,1467,7885,1483,7873,1499,7862,1515,7851,1529,7839,1545,7828,1561,7817,1577,7775,1643,7765,1659,7745,1691,7735,1709,7725,1725,7715,1741,7687,1793,7678,1809,7669,1827,7643,1879,7626,1915,7610,1949,7594,1985,7578,2021,7563,2055,7548,2091,7533,2127,7519,2163,7505,2201,7491,2237,7478,2273,7454,2347,7430,2421,7408,2495,7387,2571,7377,2607,7368,2645,7359,2683,7350,2721,7342,2759,7334,2797,7327,2835,7320,2875,7319,2881,7333,2863,7327,2863,7345,2791,7364,2719,7385,2647,7406,2577,7429,2503,7454,2429,7479,2357,7506,2285,7520,2247,7534,2213,7548,2177,7563,2141,7578,2105,7593,2069,7609,2035,7624,1999,7641,1965,7657,1931,7675,1897,7692,1861,7710,1827,7728,1795,7746,1761,7765,1727,7784,1695,7794,1677,7804,1661,7844,1597,7887,1533,7908,1503,7954,1441,7977,1411,8001,1381,8026,1353,8077,1297,8103,1269,8158,1217,8231,1157,8246,1145,8307,1103,8372,1065,8388,1055,8439,1031,8450,1025,8461,1019,8473,1015,8508,1001,8578,977,8614,969,8645,960,8642,955,8660,955,8655,947,8652,943xm9008,1553l8869,1553,8834,1557,8816,1557,8798,1559,8781,1563,8763,1565,8729,1571,8694,1581,8677,1585,8660,1591,8643,1595,8626,1601,8560,1627,8528,1643,8512,1649,8464,1673,8433,1691,8373,1729,8358,1737,8343,1747,8314,1767,8257,1809,8242,1821,8228,1831,8214,1843,8201,1853,8146,1899,8119,1923,8093,1945,8067,1971,7990,2043,7964,2069,7843,2199,7819,2225,7796,2251,7773,2279,7750,2305,7704,2361,7681,2387,7658,2415,7528,2583,7506,2611,7327,2863,7333,2863,7521,2625,7544,2597,7567,2571,7589,2543,7680,2435,7774,2329,7797,2303,7820,2275,7844,2249,7868,2223,7967,2123,7991,2097,8017,2073,8043,2051,8068,2027,8094,2001,8119,1979,8146,1955,8173,1933,8226,1887,8240,1877,8253,1865,8267,1855,8366,1785,8380,1775,8395,1765,8425,1749,8454,1729,8484,1713,8560,1673,8576,1667,8639,1641,8655,1635,8671,1631,8688,1625,8737,1611,8770,1605,8787,1603,8804,1599,8871,1591,8905,1591,8939,1589,9078,1589,9074,1583,9030,1583,9008,1553xm8660,955l8642,955,8650,959,8645,960,8664,995,8708,1077,8731,1117,8824,1277,8836,1297,8849,1315,8861,1335,8873,1355,8923,1433,8929,1443,8935,1453,8942,1461,8948,1471,8976,1509,9030,1583,9043,1555,9009,1553,9050,1553,9001,1487,8974,1451,8967,1443,8961,1433,8954,1423,8948,1415,8883,1319,8870,1301,8858,1281,8845,1263,8747,1107,8735,1087,8660,955xm9050,1553l9009,1553,9043,1555,9030,1583,9074,1583,9056,1561,9050,1553xm8939,1551l8886,1553,8974,1553,8939,1551xm8642,955l8645,960,8650,959,8642,955xe" filled="true" fillcolor="#ffffff" stroked="false">
              <v:path arrowok="t"/>
              <v:fill type="solid"/>
            </v:shape>
            <v:shape style="position:absolute;left:8633;top:-2482;width:898;height:3817" coordorigin="8633,-2482" coordsize="898,3817" path="m9082,-2482l8737,-2403,8715,-2286,8695,-2170,8678,-2056,8664,-1942,8652,-1830,8644,-1719,8638,-1609,8634,-1501,8633,-1395,8634,-1289,8638,-1186,8643,-1083,8651,-983,8660,-884,8671,-787,8684,-691,8699,-597,8715,-505,8733,-414,8752,-326,8773,-239,8794,-154,8817,-72,8840,9,8865,88,8890,165,8916,240,8943,312,8970,383,8997,451,9025,517,9053,581,9082,642,9110,701,9138,758,9166,813,9222,914,9275,1005,9327,1086,9375,1157,9419,1216,9458,1264,9506,1315,9530,1334,9529,1313,9529,1290,9528,1269,9528,1254,9068,-216,8958,-1402,9021,-2194,9082,-2482xe" filled="true" fillcolor="#a0a2a4" stroked="false">
              <v:path arrowok="t"/>
              <v:fill type="solid"/>
            </v:shape>
            <v:shape style="position:absolute;left:8618;top:-2486;width:923;height:3840" coordorigin="8618,-2486" coordsize="923,3840" path="m9521,1350l9521,1354,9523,1351,9521,1350xm9090,-2466l9084,-2466,9073,-2464,9058,-2426,9044,-2366,9032,-2306,9020,-2246,9009,-2186,8999,-2126,8990,-2066,8982,-2006,8974,-1946,8967,-1886,8962,-1826,8956,-1766,8952,-1706,8948,-1646,8945,-1586,8942,-1526,8940,-1466,8939,-1406,8939,-1346,8939,-1286,8939,-1226,8941,-1166,8943,-1106,8946,-1046,8947,-1006,8949,-986,8951,-946,8953,-926,8955,-886,8957,-866,8960,-826,8963,-806,8974,-686,8993,-526,8997,-506,9001,-466,9010,-406,9014,-386,9019,-366,9046,-206,9070,-86,9082,-26,9096,34,9110,94,9124,134,9139,194,9154,254,9170,314,9187,374,9204,434,9221,494,9239,554,9258,594,9277,654,9297,714,9317,774,9338,834,9348,854,9358,874,9369,914,9380,934,9425,1054,9448,1114,9471,1154,9495,1214,9519,1274,9518,1274,9518,1294,9519,1314,9519,1319,9535,1334,9523,1351,9526,1354,9540,1354,9539,1334,9539,1314,9538,1294,9538,1254,9537,1254,9515,1214,9492,1154,9469,1094,9447,1034,9405,934,9395,894,9384,874,9374,854,9365,814,9345,754,9326,714,9307,654,9290,594,9281,554,9272,534,9263,514,9254,474,9222,354,9206,314,9191,254,9176,194,9161,134,9148,74,9134,14,9121,-46,9110,-106,9087,-226,9061,-366,9057,-386,9048,-446,9043,-486,9039,-506,9034,-546,9031,-566,9016,-686,9001,-846,8999,-866,8996,-906,8994,-926,8992,-966,8990,-986,8988,-1006,8986,-1046,8983,-1106,8981,-1166,8979,-1226,8978,-1286,8977,-1346,8977,-1406,8977,-1466,8978,-1526,8980,-1586,8982,-1646,8985,-1706,8989,-1766,8993,-1826,8998,-1886,9003,-1946,9010,-2006,9019,-2086,9030,-2166,9042,-2246,9056,-2306,9072,-2386,9090,-2466xm9519,1319l9520,1334,9521,1350,9523,1351,9535,1334,9519,1319xm9093,-2486l8736,-2386,8736,-2386,8718,-2306,8702,-2226,8687,-2146,8673,-2066,8661,-1986,8650,-1906,8644,-1846,8638,-1786,8632,-1726,8628,-1666,8624,-1586,8621,-1526,8619,-1466,8618,-1406,8618,-1326,8619,-1246,8622,-1166,8626,-1086,8632,-986,8639,-906,8647,-826,8657,-746,8669,-666,8682,-586,8696,-506,8712,-426,8730,-346,8749,-266,8769,-186,8791,-106,8814,-26,8839,54,8865,134,8892,214,8921,294,8951,374,8982,434,9014,514,9047,594,9082,674,9118,734,9155,814,9194,894,9234,954,9265,1014,9297,1074,9330,1114,9365,1174,9383,1194,9401,1214,9419,1234,9438,1274,9458,1294,9479,1314,9501,1334,9521,1350,9520,1334,9519,1319,9513,1314,9491,1294,9471,1274,9451,1254,9432,1234,9413,1214,9395,1174,9377,1154,9342,1114,9309,1054,9277,1014,9245,954,9205,874,9166,814,9129,734,9094,654,9060,594,9027,514,8996,434,8967,354,8939,274,8912,214,8887,134,8863,54,8840,-26,8818,-106,8798,-186,8780,-266,8762,-346,8746,-426,8734,-486,8723,-546,8713,-606,8704,-666,8696,-726,8687,-786,8680,-846,8673,-926,8666,-1006,8660,-1086,8655,-1166,8651,-1246,8649,-1326,8649,-1406,8649,-1486,8651,-1566,8654,-1666,8658,-1746,8664,-1826,8671,-1906,8677,-1966,8684,-2026,8691,-2086,8700,-2146,8708,-2206,8718,-2266,8728,-2326,8739,-2386,9073,-2464,9074,-2466,9090,-2466,9093,-2486xm9084,-2466l9074,-2466,9073,-2464,9084,-2466xe" filled="true" fillcolor="#ffffff" stroked="false">
              <v:path arrowok="t"/>
              <v:fill type="solid"/>
            </v:shape>
            <v:shape style="position:absolute;left:8810;top:-2531;width:721;height:3805" coordorigin="8810,-2531" coordsize="721,3805" path="m9314,-2531l9082,-2482,8843,-1301,8810,-516,9025,225,9530,1274,9314,-2531xe" filled="true" fillcolor="#a9abae" stroked="false">
              <v:path arrowok="t"/>
              <v:fill type="solid"/>
            </v:shape>
            <v:shape style="position:absolute;left:8942;top:-2533;width:602;height:3856" coordorigin="8942,-2533" coordsize="602,3856" path="m9316,-2533l9081,-2489,9077,-2488,9076,-2484,9050,-2366,9044,-2337,9038,-2307,9032,-2278,9027,-2248,9006,-2129,9002,-2099,8997,-2069,8993,-2039,8989,-2010,8981,-1950,8974,-1890,8968,-1830,8962,-1770,8959,-1740,8957,-1707,8955,-1677,8953,-1649,8949,-1587,8948,-1559,8947,-1527,8943,-1407,8942,-1378,8942,-1317,8942,-1226,8943,-1166,8946,-1103,8948,-1045,8951,-985,8955,-925,8959,-864,8970,-744,8976,-684,8983,-624,8990,-564,8998,-504,9006,-444,9015,-385,9025,-325,9030,-295,9035,-265,9041,-236,9052,-177,9058,-147,9063,-117,9070,-88,9095,30,9123,147,9138,206,9153,264,9169,323,9185,380,9202,438,9219,496,9237,553,9256,610,9275,667,9294,724,9314,781,9335,837,9356,893,9378,949,9400,1005,9423,1061,9446,1116,9471,1171,9496,1225,9522,1279,9543,1322,9540,1275,9521,1275,9518,1225,9514,1216,9490,1161,9467,1106,9445,1051,9423,995,9402,939,9381,883,9361,827,9342,770,9323,714,9304,657,9286,600,9269,542,9252,485,9236,427,9220,370,9204,312,9189,254,9175,196,9160,138,9134,21,9109,-97,9103,-126,9098,-155,9093,-185,9087,-214,9082,-244,9077,-273,9072,-303,9067,-333,9057,-392,9048,-451,9040,-510,9031,-570,9018,-689,9011,-748,9006,-808,9000,-868,8996,-928,8988,-1047,8984,-1167,8982,-1197,8981,-1227,8981,-1257,8981,-1287,8980,-1317,8980,-1347,8980,-1377,8980,-1408,8982,-1529,8982,-1557,8983,-1589,8985,-1617,8988,-1679,8989,-1709,8991,-1737,8993,-1767,8998,-1827,9003,-1887,9008,-1947,9015,-2006,9018,-2036,9022,-2066,9025,-2096,9029,-2125,9047,-2244,9051,-2274,9056,-2303,9061,-2333,9087,-2476,9083,-2476,9088,-2481,9105,-2481,9312,-2528,9316,-2528,9316,-2533xm9518,1225l9521,1275,9539,1270,9518,1225xm9316,-2528l9312,-2528,9315,-2449,9324,-2212,9328,-2125,9331,-2054,9353,-1578,9378,-1103,9382,-1023,9386,-944,9391,-864,9396,-785,9400,-706,9410,-548,9415,-469,9421,-389,9432,-231,9437,-152,9442,-72,9453,86,9459,165,9464,244,9469,324,9483,561,9487,621,9490,680,9494,740,9501,879,9505,958,9509,1037,9513,1116,9517,1196,9518,1225,9539,1270,9521,1275,9540,1275,9535,1195,9530,1115,9524,1036,9520,957,9515,878,9506,739,9503,680,9499,620,9484,322,9480,244,9476,164,9472,85,9465,-74,9461,-155,9458,-236,9451,-392,9447,-470,9443,-550,9435,-708,9431,-788,9426,-868,9422,-946,9418,-1026,9413,-1106,9383,-1580,9351,-2056,9346,-2135,9340,-2214,9334,-2293,9322,-2452,9316,-2528xm9088,-2481l9083,-2476,9088,-2477,9088,-2481xm9088,-2477l9083,-2476,9087,-2476,9088,-2477xm9105,-2481l9088,-2481,9088,-2477,9105,-2481xe" filled="true" fillcolor="#ffffff" stroked="false">
              <v:path arrowok="t"/>
              <v:fill type="solid"/>
            </v:shape>
            <v:shape style="position:absolute;left:7322;top:1569;width:1689;height:2056" coordorigin="7322,1569" coordsize="1689,2056" path="m8953,1569l8887,1571,8814,1579,8732,1595,8642,1620,8545,1658,8439,1710,8383,1742,8326,1778,8266,1818,8205,1864,8141,1914,8076,1970,8009,2031,7940,2098,7869,2171,7796,2251,7722,2337,7645,2429,7567,2529,7487,2636,7406,2751,7322,2874,7431,3624,7905,2601,8228,2046,8547,1767,9010,1571,8983,1569,8953,1569xe" filled="true" fillcolor="#bec0c2" stroked="false">
              <v:path arrowok="t"/>
              <v:fill type="solid"/>
            </v:shape>
            <v:shape style="position:absolute;left:7320;top:1550;width:1709;height:2094" coordorigin="7320,1550" coordsize="1709,2094" path="m8942,1550l8907,1550,8872,1553,8837,1556,8803,1561,8768,1567,8734,1573,8666,1591,8584,1619,8568,1625,8552,1632,8536,1640,8504,1654,8488,1661,8472,1668,8395,1710,8380,1719,8365,1728,8262,1795,8179,1858,8165,1869,8151,1880,8137,1891,8018,1994,7894,2118,7870,2144,7847,2170,7823,2196,7800,2222,7776,2248,7753,2275,7731,2302,7643,2411,7621,2439,7600,2467,7475,2637,7456,2667,7320,2872,7320,2873,7320,2874,7342,3062,7348,3109,7353,3157,7359,3204,7375,3326,7385,3401,7395,3476,7405,3552,7415,3627,7416,3632,7419,3637,7431,3643,7441,3640,7445,3632,7445,3631,7449,3622,7446,3622,7416,3617,7438,3570,7435,3547,7423,3472,7411,3397,7399,3322,7380,3200,7372,3154,7364,3107,7356,3060,7324,2874,7469,2677,7490,2649,7619,2484,7641,2456,7777,2297,7801,2272,7825,2246,7848,2221,7872,2196,7896,2170,7920,2145,8045,2026,8163,1924,8176,1913,8190,1903,8286,1831,8386,1766,8401,1757,8416,1749,8490,1708,8506,1701,8583,1666,8598,1659,8678,1631,8743,1614,8776,1607,8808,1601,8842,1596,8875,1592,8908,1589,8924,1589,8928,1586,9004,1553,9022,1553,9021,1552,8976,1550,8942,1550xm7438,3570l7416,3617,7446,3622,7438,3570xm8942,1588l8924,1589,8856,1626,8788,1672,8771,1684,8755,1696,8722,1721,8690,1748,8659,1774,8628,1802,8583,1844,8568,1859,8554,1873,8540,1888,8525,1903,8511,1918,8497,1932,8428,2009,8374,2072,8348,2104,8322,2136,8296,2168,8246,2233,8221,2266,8172,2333,8123,2399,8099,2433,8052,2501,8006,2570,7983,2604,7937,2673,7915,2708,7892,2743,7848,2813,7805,2883,7762,2954,7720,3026,7699,3062,7679,3098,7659,3134,7619,3207,7600,3244,7580,3281,7561,3318,7524,3392,7487,3467,7451,3542,7438,3570,7446,3622,7449,3622,7481,3557,7517,3483,7555,3409,7593,3335,7631,3262,7670,3189,7709,3116,7749,3043,7829,2899,7844,2872,7870,2827,7891,2791,7912,2756,7954,2685,7998,2614,8042,2545,8088,2476,8111,2442,8134,2408,8182,2340,8206,2307,8231,2274,8256,2242,8307,2177,8333,2145,8359,2114,8386,2083,8440,2021,8511,1947,8526,1933,8540,1919,8557,1903,8569,1890,8584,1876,8599,1863,8645,1822,8676,1796,8707,1771,8739,1746,8756,1734,8788,1711,8805,1699,8873,1656,8943,1619,9014,1590,9009,1590,8975,1589,8942,1588xm9009,1588l8942,1588,8975,1589,9009,1590,9009,1588xm9022,1553l9004,1553,9009,1590,9014,1589,9016,1588,9017,1588,9023,1585,9028,1579,9029,1561,9022,1553xm9004,1553l8928,1586,8924,1589,8942,1588,9009,1588,9004,1553xe" filled="true" fillcolor="#ffffff" stroked="false">
              <v:path arrowok="t"/>
              <v:fill type="solid"/>
            </v:shape>
            <v:shape style="position:absolute;left:7431;top:1571;width:2141;height:2054" coordorigin="7431,1571" coordsize="2141,2054" path="m9043,1571l8653,1624,8354,1856,7998,2458,7431,3624,7542,3495,7650,3374,7753,3260,7853,3153,7950,3054,8042,2961,8132,2875,8217,2795,8300,2721,8379,2653,8455,2591,8529,2534,8599,2482,8666,2436,8730,2394,8792,2357,8851,2324,8907,2295,8961,2269,9012,2248,9061,2229,9108,2214,9153,2202,9195,2193,9236,2186,9274,2181,9311,2178,9346,2177,9532,2177,9516,2166,9461,2117,9407,2059,9355,1995,9303,1927,9253,1857,9161,1723,9118,1663,9079,1612,9043,1571xm9532,2177l9346,2177,9379,2177,9411,2179,9441,2182,9470,2185,9497,2189,9523,2194,9572,2203,9532,2177xe" filled="true" fillcolor="#828486" stroked="false">
              <v:path arrowok="t"/>
              <v:fill type="solid"/>
            </v:shape>
            <v:shape style="position:absolute;left:7428;top:1564;width:2162;height:2063" coordorigin="7428,1564" coordsize="2162,2063" path="m7430,3626l7430,3627,7431,3627,7430,3626xm7432,3626l7431,3627,7431,3627,7431,3627,7432,3626,7432,3626xm7442,3608l7429,3623,7429,3624,7429,3625,7429,3626,7430,3626,7431,3627,7431,3627,7432,3626,7442,3608xm7429,3625l7429,3626,7430,3626,7429,3625xm9367,2158l9325,2158,9282,2161,9240,2165,9199,2172,9157,2181,9116,2191,9076,2203,9036,2217,8996,2232,8957,2248,8919,2266,8881,2284,8843,2303,8806,2323,8770,2344,8698,2389,8628,2436,8593,2460,8559,2485,8525,2510,8492,2536,8458,2562,8425,2588,8360,2642,8296,2697,8265,2725,8202,2782,8171,2811,8110,2870,8080,2899,8050,2929,7990,2989,7902,3080,7873,3111,7787,3204,7674,3331,7647,3363,7592,3427,7537,3492,7442,3608,7432,3626,7546,3500,7689,3345,7805,3223,7894,3133,8013,3014,8104,2926,8135,2897,8197,2841,8228,2812,8291,2757,8322,2729,8354,2702,8386,2675,8451,2622,8483,2596,8550,2545,8583,2521,8617,2496,8651,2472,8720,2426,8791,2383,8827,2362,8863,2342,8899,2323,8936,2305,8973,2287,9011,2271,9049,2256,9087,2242,9126,2230,9166,2220,9205,2211,9245,2204,9285,2199,9326,2196,9366,2196,9531,2196,9520,2188,9501,2172,9493,2171,9451,2165,9409,2160,9367,2158xm7429,3623l7428,3624,7428,3624,7429,3623xm9045,1564l9043,1564,9002,1569,8961,1579,8922,1592,8884,1608,8846,1627,8810,1647,8775,1670,8741,1693,8676,1745,8613,1799,8552,1857,8494,1917,8437,1978,8382,2042,8329,2106,8276,2172,8225,2239,8176,2307,8128,2375,8080,2445,8034,2515,7989,2586,7944,2657,7900,2729,7857,2802,7815,2874,7773,2947,7732,3021,7692,3095,7652,3169,7613,3244,7575,3319,7537,3395,7500,3471,7464,3547,7429,3623,7442,3608,7472,3551,7511,3477,7551,3403,7632,3255,7673,3182,7715,3109,7757,3036,7799,2964,7842,2891,7885,2819,7929,2748,7973,2677,8018,2606,8064,2536,8110,2466,8156,2396,8204,2328,8252,2260,8301,2192,8351,2125,8402,2060,8455,1995,8509,1932,8566,1871,8624,1813,8685,1757,8750,1706,8783,1682,8817,1659,8852,1638,8889,1620,8926,1604,8965,1592,9004,1583,9041,1578,9038,1576,9057,1576,9048,1566,9047,1565,9045,1564xm9531,2196l9366,2196,9407,2197,9447,2200,9488,2206,9528,2212,9569,2220,9569,2220,9576,2221,9582,2218,9564,2218,9531,2196xm9501,2172l9520,2188,9564,2218,9575,2187,9534,2179,9501,2172xm9057,1576l9038,1576,9044,1578,9041,1578,9056,1595,9072,1615,9088,1635,9103,1655,9119,1676,9134,1697,9148,1719,9163,1740,9221,1827,9250,1870,9280,1913,9310,1955,9341,1997,9373,2039,9407,2079,9442,2118,9479,2155,9501,2172,9534,2179,9575,2187,9564,2218,9582,2218,9582,2218,9586,2211,9590,2203,9587,2193,9579,2189,9558,2176,9538,2162,9518,2147,9499,2131,9480,2114,9462,2096,9444,2078,9426,2060,9392,2021,9360,1982,9328,1941,9297,1900,9266,1858,9236,1816,9146,1688,9130,1667,9115,1646,9099,1626,9083,1605,9066,1585,9057,1576xm9038,1576l9041,1578,9044,1578,9038,1576xe" filled="true" fillcolor="#ffffff" stroked="false">
              <v:path arrowok="t"/>
              <v:fill type="solid"/>
            </v:shape>
            <v:shape style="position:absolute;left:7801;top:-2402;width:1771;height:4609" coordorigin="7801,-2402" coordsize="1771,4609" path="m8731,-2402l8175,-2284,7801,-762,7822,213,8368,1062,9572,2207,9558,1943,9541,1662,9526,1439,9520,1348,8797,531,8474,-132,8477,-993,8731,-2402xe" filled="true" fillcolor="#959799" stroked="false">
              <v:path arrowok="t"/>
              <v:fill type="solid"/>
            </v:shape>
            <v:shape style="position:absolute;left:8048;top:-2410;width:1535;height:4640" coordorigin="8048,-2410" coordsize="1535,4640" path="m8743,-2410l8729,-2410,8173,-2270,8154,-2190,8138,-2130,8123,-2050,8109,-1970,8097,-1890,8086,-1810,8077,-1750,8069,-1670,8063,-1590,8057,-1510,8053,-1430,8050,-1350,8048,-1270,8048,-1190,8048,-1110,8050,-1050,8054,-970,8058,-890,8064,-810,8071,-730,8079,-650,8088,-570,8099,-490,8110,-430,8123,-350,8138,-270,8153,-190,8170,-110,8189,-50,8208,30,8229,110,8252,190,8275,250,8300,330,8326,410,8354,470,8382,550,8412,610,8444,690,8476,750,8510,830,8544,890,8581,970,8618,1030,8656,1090,8695,1170,8736,1230,8777,1290,8819,1350,8863,1430,8907,1490,8953,1550,8976,1570,8999,1610,9023,1630,9046,1670,9070,1690,9094,1730,9119,1750,9143,1790,9168,1810,9193,1850,9218,1870,9244,1890,9270,1930,9296,1950,9322,1990,9348,2010,9401,2070,9455,2110,9510,2170,9565,2230,9582,2230,9581,2210,9562,2210,9561,2192,9522,2150,9467,2110,9412,2050,9359,2010,9332,1970,9306,1950,9280,1910,9228,1870,9203,1830,9178,1810,9153,1770,9128,1750,9104,1710,9080,1690,9056,1650,9009,1590,8986,1570,8963,1530,8918,1470,8874,1410,8831,1350,8789,1290,8749,1230,8709,1150,8671,1090,8634,1030,8599,950,8564,890,8531,810,8499,750,8467,670,8438,610,8409,530,8382,470,8356,390,8331,310,8307,250,8284,170,8263,90,8242,30,8223,-50,8205,-130,8189,-210,8173,-270,8158,-350,8145,-430,8132,-510,8121,-590,8112,-650,8103,-730,8096,-810,8090,-890,8085,-970,8081,-1050,8078,-1130,8076,-1190,8075,-1270,8076,-1350,8078,-1430,8081,-1510,8085,-1590,8090,-1670,8096,-1730,8104,-1810,8112,-1890,8122,-1970,8133,-2050,8146,-2130,8160,-2190,8177,-2270,8721,-2388,8722,-2390,8740,-2390,8743,-2410xm9561,2192l9562,2210,9578,2210,9561,2192xm9506,1367l9511,1450,9517,1530,9524,1610,9530,1710,9535,1790,9561,2192,9578,2210,9581,2210,9556,1710,9551,1610,9546,1530,9541,1450,9537,1370,9509,1370,9506,1367xm9505,1350l9506,1367,9509,1370,9505,1350xm9536,1350l9505,1350,9509,1370,9537,1370,9536,1350xm8740,-2390l8733,-2390,8721,-2388,8710,-2330,8698,-2270,8687,-2210,8677,-2150,8668,-2090,8659,-2030,8650,-1970,8643,-1910,8636,-1850,8630,-1770,8625,-1710,8620,-1650,8616,-1590,8613,-1530,8610,-1470,8609,-1410,8608,-1350,8608,-1270,8608,-1210,8609,-1150,8612,-1090,8615,-1030,8618,-970,8623,-910,8631,-830,8640,-750,8650,-670,8663,-570,8676,-490,8691,-410,8708,-330,8726,-250,8745,-170,8766,-90,8789,-10,8813,70,8838,150,8866,230,8894,310,8924,390,8956,450,8989,530,9024,610,9060,690,9097,750,9136,830,9177,890,9219,970,9252,1030,9285,1070,9320,1130,9355,1170,9392,1230,9429,1270,9468,1330,9506,1367,9505,1350,9531,1350,9492,1310,9455,1250,9418,1210,9383,1150,9349,1110,9315,1050,9282,1010,9250,950,9209,870,9170,810,9131,730,9095,670,9059,590,9026,510,8993,430,8962,370,8933,290,8905,210,8879,130,8853,50,8830,-30,8807,-110,8786,-190,8767,-270,8749,-350,8732,-430,8717,-510,8703,-590,8691,-670,8680,-750,8671,-830,8663,-910,8657,-970,8653,-1030,8649,-1090,8646,-1150,8642,-1290,8642,-1350,8642,-1410,8643,-1470,8644,-1530,8646,-1590,8649,-1650,8653,-1710,8658,-1770,8663,-1830,8669,-1910,8675,-1970,8683,-2030,8691,-2090,8699,-2150,8709,-2210,8719,-2270,8729,-2330,8740,-2390xm8733,-2390l8722,-2390,8721,-2388,8733,-2390xe" filled="true" fillcolor="#ffffff" stroked="false">
              <v:path arrowok="t"/>
              <v:fill type="solid"/>
            </v:shape>
            <v:shape style="position:absolute;left:6557;top:-2540;width:3081;height:6308" coordorigin="6557,-2540" coordsize="3081,6308" path="m7114,1203l7081,1203,7097,1218,7083,1218,7220,2199,7228,2253,7246,2383,7279,2621,7317,2890,7356,3167,7393,3429,7415,3583,7433,3713,7441,3767,7377,3256,7330,2889,7296,2619,7275,2455,7257,2311,7249,2250,7242,2196,7115,1218,7097,1218,7083,1218,7115,1218,7114,1203xm9321,-2530l9307,-2530,9315,-2523,9307,-2521,9328,-2167,9347,-1803,9351,-1722,9356,-1641,9360,-1561,9364,-1480,9368,-1399,9372,-1318,9376,-1233,9380,-1157,9384,-1076,9419,-348,9423,-267,9427,-187,9431,-106,9436,-25,9449,217,9453,302,9457,379,9462,463,9466,541,9470,621,9475,702,9480,783,9489,944,9494,1025,9498,1106,9541,1833,9586,2560,9634,3286,9638,3286,9605,2559,9570,1831,9532,1104,9528,1023,9523,942,9511,700,9506,619,9502,538,9497,458,9488,296,9480,159,9469,-27,9465,-108,9460,-189,9455,-269,9450,-350,9405,-1077,9400,-1158,9395,-1238,9390,-1319,9385,-1400,9380,-1481,9375,-1562,9371,-1642,9366,-1723,9361,-1804,9340,-2167,9321,-2530xm7081,1203l7083,1218,7097,1218,7081,1203xm9321,-2540l7748,-2219,7745,-2212,7713,-2137,7680,-2062,7648,-1987,7616,-1912,7584,-1837,7552,-1762,7520,-1687,7489,-1611,7458,-1536,7427,-1460,7365,-1309,7335,-1233,7304,-1158,7274,-1082,7244,-1006,7214,-930,7184,-854,7155,-777,7126,-701,7096,-625,7067,-548,7041,-478,7015,-408,6989,-337,6964,-267,6938,-196,6914,-126,6889,-55,6865,16,6841,87,6817,159,6793,230,6770,302,6754,355,6737,409,6721,463,6705,517,6689,571,6674,626,6659,680,6637,762,6630,790,6624,817,6617,845,6611,872,6605,900,6599,928,6593,955,6582,1011,6573,1067,6566,1124,6559,1185,6557,1202,7083,1218,7081,1203,7114,1203,7111,1185,7101,1184,6598,1184,6579,1163,6600,1163,6604,1129,6612,1074,6622,1019,6633,964,6638,937,6644,909,6650,882,6657,855,6663,827,6670,800,6677,773,6698,692,6713,638,6728,584,6744,530,6760,476,6776,422,6793,369,6810,315,6835,238,6861,160,6887,83,6913,5,6940,-72,6967,-149,6994,-226,7022,-302,7050,-379,7078,-456,7106,-533,7135,-609,7163,-685,7192,-762,7222,-838,7251,-914,7280,-990,7310,-1066,7340,-1142,7370,-1218,7400,-1294,7430,-1370,7491,-1521,7553,-1672,7583,-1748,7614,-1823,7645,-1899,7677,-1974,7708,-2049,7740,-2125,7768,-2191,7761,-2191,7772,-2200,7801,-2200,9307,-2521,9307,-2530,9321,-2530,9321,-2540xm6579,1163l6598,1184,6600,1163,6579,1163xm6600,1163l6598,1184,7101,1184,6600,1163xm6600,1163l6579,1163,6600,1163,6600,1163xm7772,-2200l7761,-2191,7769,-2193,7772,-2200xm7769,-2193l7761,-2191,7768,-2191,7769,-2193xm7801,-2200l7772,-2200,7769,-2193,7801,-2200xm9307,-2530l9307,-2521,9315,-2523,9307,-2530xe" filled="true" fillcolor="#bcbec0" stroked="false">
              <v:path arrowok="t"/>
              <v:fill type="solid"/>
            </v:shape>
            <v:shape style="position:absolute;left:7574;top:2802;width:2064;height:4529" type="#_x0000_t75" stroked="false">
              <v:imagedata r:id="rId13" o:title=""/>
            </v:shape>
            <w10:wrap type="none"/>
          </v:group>
        </w:pict>
      </w:r>
      <w:r>
        <w:rPr>
          <w:color w:val="231F20"/>
        </w:rPr>
        <w:t>El Estado y el espacio global</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7"/>
        <w:rPr>
          <w:rFonts w:ascii="Times New Roman"/>
          <w:b/>
          <w:sz w:val="20"/>
        </w:rPr>
      </w:pPr>
    </w:p>
    <w:p>
      <w:pPr>
        <w:pStyle w:val="Heading4"/>
        <w:spacing w:line="264" w:lineRule="exact" w:before="54"/>
        <w:ind w:left="2834" w:right="4919"/>
      </w:pPr>
      <w:r>
        <w:rPr/>
        <w:pict>
          <v:group style="position:absolute;margin-left:.0001pt;margin-top:-57.255489pt;width:183.55pt;height:368.5pt;mso-position-horizontal-relative:page;mso-position-vertical-relative:paragraph;z-index:-174184" coordorigin="0,-1145" coordsize="3671,7370">
            <v:shape style="position:absolute;left:13;top:-1145;width:1838;height:1655" type="#_x0000_t75" stroked="false">
              <v:imagedata r:id="rId6" o:title=""/>
            </v:shape>
            <v:shape style="position:absolute;left:21;top:-125;width:1729;height:3773" coordorigin="21,-125" coordsize="1729,3773" path="m110,-125l98,-100,71,-29,42,76,21,206,315,1367,593,2112,1017,2765,1750,3647,1744,3528,1728,3240,1709,2890,1692,2583,1179,2297,844,1919,537,1196,110,-125xe" filled="true" fillcolor="#7e8083" stroked="false">
              <v:path arrowok="t"/>
              <v:fill type="solid"/>
            </v:shape>
            <v:shape style="position:absolute;left:0;top:-1145;width:3670;height:7369" type="#_x0000_t75" stroked="false">
              <v:imagedata r:id="rId7" o:title=""/>
            </v:shape>
            <w10:wrap type="none"/>
          </v:group>
        </w:pict>
      </w:r>
      <w:r>
        <w:rPr>
          <w:color w:val="231F20"/>
        </w:rPr>
        <w:t>Jorge Olvera García Maurizio Ricciardi</w:t>
      </w:r>
    </w:p>
    <w:p>
      <w:pPr>
        <w:spacing w:before="110"/>
        <w:ind w:left="2834" w:right="5292" w:firstLine="0"/>
        <w:jc w:val="left"/>
        <w:rPr>
          <w:rFonts w:ascii="Calibri"/>
          <w:sz w:val="20"/>
        </w:rPr>
      </w:pPr>
      <w:r>
        <w:rPr>
          <w:rFonts w:ascii="Calibri"/>
          <w:color w:val="231F20"/>
          <w:sz w:val="20"/>
        </w:rPr>
        <w:t>Coordinadores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23"/>
        </w:rPr>
      </w:pPr>
      <w:r>
        <w:rPr/>
        <w:pict>
          <v:group style="position:absolute;margin-left:234.391403pt;margin-top:16.304228pt;width:24.4pt;height:21.6pt;mso-position-horizontal-relative:page;mso-position-vertical-relative:paragraph;z-index:1144;mso-wrap-distance-left:0;mso-wrap-distance-right:0" coordorigin="4688,326" coordsize="488,432">
            <v:shape style="position:absolute;left:4721;top:335;width:422;height:67" type="#_x0000_t75" stroked="false">
              <v:imagedata r:id="rId14" o:title=""/>
            </v:shape>
            <v:shape style="position:absolute;left:4802;top:421;width:255;height:242" type="#_x0000_t75" stroked="false">
              <v:imagedata r:id="rId15" o:title=""/>
            </v:shape>
            <v:shape style="position:absolute;left:4688;top:326;width:488;height:432" type="#_x0000_t75" stroked="false">
              <v:imagedata r:id="rId16" o:title=""/>
            </v:shape>
            <w10:wrap type="topAndBottom"/>
          </v:group>
        </w:pict>
      </w:r>
      <w:r>
        <w:rPr/>
        <w:drawing>
          <wp:anchor distT="0" distB="0" distL="0" distR="0" allowOverlap="1" layoutInCell="1" locked="0" behindDoc="0" simplePos="0" relativeHeight="1168">
            <wp:simplePos x="0" y="0"/>
            <wp:positionH relativeFrom="page">
              <wp:posOffset>4288249</wp:posOffset>
            </wp:positionH>
            <wp:positionV relativeFrom="paragraph">
              <wp:posOffset>214171</wp:posOffset>
            </wp:positionV>
            <wp:extent cx="287284" cy="285750"/>
            <wp:effectExtent l="0" t="0" r="0" b="0"/>
            <wp:wrapTopAndBottom/>
            <wp:docPr id="7" name="image13.png" descr=""/>
            <wp:cNvGraphicFramePr>
              <a:graphicFrameLocks noChangeAspect="1"/>
            </wp:cNvGraphicFramePr>
            <a:graphic>
              <a:graphicData uri="http://schemas.openxmlformats.org/drawingml/2006/picture">
                <pic:pic>
                  <pic:nvPicPr>
                    <pic:cNvPr id="8" name="image13.png"/>
                    <pic:cNvPicPr/>
                  </pic:nvPicPr>
                  <pic:blipFill>
                    <a:blip r:embed="rId17" cstate="print"/>
                    <a:stretch>
                      <a:fillRect/>
                    </a:stretch>
                  </pic:blipFill>
                  <pic:spPr>
                    <a:xfrm>
                      <a:off x="0" y="0"/>
                      <a:ext cx="287284" cy="285750"/>
                    </a:xfrm>
                    <a:prstGeom prst="rect">
                      <a:avLst/>
                    </a:prstGeom>
                  </pic:spPr>
                </pic:pic>
              </a:graphicData>
            </a:graphic>
          </wp:anchor>
        </w:drawing>
      </w:r>
    </w:p>
    <w:p>
      <w:pPr>
        <w:tabs>
          <w:tab w:pos="6532" w:val="left" w:leader="none"/>
        </w:tabs>
        <w:spacing w:line="240" w:lineRule="auto"/>
        <w:ind w:left="4121" w:right="0" w:firstLine="0"/>
        <w:rPr>
          <w:rFonts w:ascii="Calibri"/>
          <w:sz w:val="20"/>
        </w:rPr>
      </w:pPr>
      <w:r>
        <w:rPr>
          <w:rFonts w:ascii="Calibri"/>
          <w:sz w:val="20"/>
        </w:rPr>
        <w:drawing>
          <wp:inline distT="0" distB="0" distL="0" distR="0">
            <wp:extent cx="472441" cy="166687"/>
            <wp:effectExtent l="0" t="0" r="0" b="0"/>
            <wp:docPr id="9" name="image14.png" descr=""/>
            <wp:cNvGraphicFramePr>
              <a:graphicFrameLocks noChangeAspect="1"/>
            </wp:cNvGraphicFramePr>
            <a:graphic>
              <a:graphicData uri="http://schemas.openxmlformats.org/drawingml/2006/picture">
                <pic:pic>
                  <pic:nvPicPr>
                    <pic:cNvPr id="10" name="image14.png"/>
                    <pic:cNvPicPr/>
                  </pic:nvPicPr>
                  <pic:blipFill>
                    <a:blip r:embed="rId18" cstate="print"/>
                    <a:stretch>
                      <a:fillRect/>
                    </a:stretch>
                  </pic:blipFill>
                  <pic:spPr>
                    <a:xfrm>
                      <a:off x="0" y="0"/>
                      <a:ext cx="472441" cy="166687"/>
                    </a:xfrm>
                    <a:prstGeom prst="rect">
                      <a:avLst/>
                    </a:prstGeom>
                  </pic:spPr>
                </pic:pic>
              </a:graphicData>
            </a:graphic>
          </wp:inline>
        </w:drawing>
      </w:r>
      <w:r>
        <w:rPr>
          <w:rFonts w:ascii="Calibri"/>
          <w:sz w:val="20"/>
        </w:rPr>
      </w:r>
      <w:r>
        <w:rPr>
          <w:rFonts w:ascii="Times New Roman"/>
          <w:spacing w:val="40"/>
          <w:sz w:val="15"/>
        </w:rPr>
        <w:t> </w:t>
      </w:r>
      <w:r>
        <w:rPr>
          <w:rFonts w:ascii="Calibri"/>
          <w:spacing w:val="40"/>
          <w:position w:val="6"/>
          <w:sz w:val="20"/>
        </w:rPr>
        <w:drawing>
          <wp:inline distT="0" distB="0" distL="0" distR="0">
            <wp:extent cx="503390" cy="96012"/>
            <wp:effectExtent l="0" t="0" r="0" b="0"/>
            <wp:docPr id="11" name="image15.png" descr=""/>
            <wp:cNvGraphicFramePr>
              <a:graphicFrameLocks noChangeAspect="1"/>
            </wp:cNvGraphicFramePr>
            <a:graphic>
              <a:graphicData uri="http://schemas.openxmlformats.org/drawingml/2006/picture">
                <pic:pic>
                  <pic:nvPicPr>
                    <pic:cNvPr id="12" name="image15.png"/>
                    <pic:cNvPicPr/>
                  </pic:nvPicPr>
                  <pic:blipFill>
                    <a:blip r:embed="rId19" cstate="print"/>
                    <a:stretch>
                      <a:fillRect/>
                    </a:stretch>
                  </pic:blipFill>
                  <pic:spPr>
                    <a:xfrm>
                      <a:off x="0" y="0"/>
                      <a:ext cx="503390" cy="96012"/>
                    </a:xfrm>
                    <a:prstGeom prst="rect">
                      <a:avLst/>
                    </a:prstGeom>
                  </pic:spPr>
                </pic:pic>
              </a:graphicData>
            </a:graphic>
          </wp:inline>
        </w:drawing>
      </w:r>
      <w:r>
        <w:rPr>
          <w:rFonts w:ascii="Calibri"/>
          <w:spacing w:val="40"/>
          <w:position w:val="6"/>
          <w:sz w:val="20"/>
        </w:rPr>
      </w:r>
      <w:r>
        <w:rPr>
          <w:rFonts w:ascii="Calibri"/>
          <w:spacing w:val="40"/>
          <w:position w:val="6"/>
          <w:sz w:val="20"/>
        </w:rPr>
        <w:tab/>
      </w:r>
      <w:r>
        <w:rPr>
          <w:rFonts w:ascii="Calibri"/>
          <w:spacing w:val="40"/>
          <w:position w:val="5"/>
          <w:sz w:val="20"/>
        </w:rPr>
        <w:drawing>
          <wp:inline distT="0" distB="0" distL="0" distR="0">
            <wp:extent cx="565655" cy="77724"/>
            <wp:effectExtent l="0" t="0" r="0" b="0"/>
            <wp:docPr id="13" name="image16.png" descr=""/>
            <wp:cNvGraphicFramePr>
              <a:graphicFrameLocks noChangeAspect="1"/>
            </wp:cNvGraphicFramePr>
            <a:graphic>
              <a:graphicData uri="http://schemas.openxmlformats.org/drawingml/2006/picture">
                <pic:pic>
                  <pic:nvPicPr>
                    <pic:cNvPr id="14" name="image16.png"/>
                    <pic:cNvPicPr/>
                  </pic:nvPicPr>
                  <pic:blipFill>
                    <a:blip r:embed="rId20" cstate="print"/>
                    <a:stretch>
                      <a:fillRect/>
                    </a:stretch>
                  </pic:blipFill>
                  <pic:spPr>
                    <a:xfrm>
                      <a:off x="0" y="0"/>
                      <a:ext cx="565655" cy="77724"/>
                    </a:xfrm>
                    <a:prstGeom prst="rect">
                      <a:avLst/>
                    </a:prstGeom>
                  </pic:spPr>
                </pic:pic>
              </a:graphicData>
            </a:graphic>
          </wp:inline>
        </w:drawing>
      </w:r>
      <w:r>
        <w:rPr>
          <w:rFonts w:ascii="Calibri"/>
          <w:spacing w:val="40"/>
          <w:position w:val="5"/>
          <w:sz w:val="20"/>
        </w:rPr>
      </w:r>
    </w:p>
    <w:p>
      <w:pPr>
        <w:spacing w:after="0" w:line="240" w:lineRule="auto"/>
        <w:rPr>
          <w:rFonts w:ascii="Calibri"/>
          <w:sz w:val="20"/>
        </w:rPr>
        <w:sectPr>
          <w:pgSz w:w="9640" w:h="13890"/>
          <w:pgMar w:top="0" w:bottom="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rPr>
      </w:pPr>
    </w:p>
    <w:p>
      <w:pPr>
        <w:pStyle w:val="BodyText"/>
        <w:ind w:left="960"/>
        <w:rPr>
          <w:rFonts w:ascii="Calibri"/>
          <w:sz w:val="20"/>
        </w:rPr>
      </w:pPr>
      <w:r>
        <w:rPr>
          <w:rFonts w:ascii="Calibri"/>
          <w:sz w:val="20"/>
        </w:rPr>
        <w:pict>
          <v:group style="width:117.75pt;height:63.6pt;mso-position-horizontal-relative:char;mso-position-vertical-relative:line" coordorigin="0,0" coordsize="2355,1272">
            <v:shape style="position:absolute;left:1;top:107;width:381;height:1116" type="#_x0000_t75" stroked="false">
              <v:imagedata r:id="rId21" o:title=""/>
            </v:shape>
            <v:shape style="position:absolute;left:1389;top:176;width:105;height:212" type="#_x0000_t75" stroked="false">
              <v:imagedata r:id="rId22" o:title=""/>
            </v:shape>
            <v:shape style="position:absolute;left:964;top:226;width:362;height:312" type="#_x0000_t75" stroked="false">
              <v:imagedata r:id="rId23" o:title=""/>
            </v:shape>
            <v:shape style="position:absolute;left:0;top:101;width:1424;height:1162" type="#_x0000_t75" stroked="false">
              <v:imagedata r:id="rId24" o:title=""/>
            </v:shape>
            <v:shape style="position:absolute;left:583;top:760;width:347;height:367" type="#_x0000_t75" stroked="false">
              <v:imagedata r:id="rId25" o:title=""/>
            </v:shape>
            <v:shape style="position:absolute;left:605;top:103;width:426;height:1166" type="#_x0000_t75" stroked="false">
              <v:imagedata r:id="rId26" o:title=""/>
            </v:shape>
            <v:shape style="position:absolute;left:583;top:875;width:337;height:396" type="#_x0000_t75" stroked="false">
              <v:imagedata r:id="rId27" o:title=""/>
            </v:shape>
            <v:shape style="position:absolute;left:433;top:101;width:608;height:1103" coordorigin="433,101" coordsize="608,1103" path="m978,103l975,103,977,105,975,105,979,172,985,283,988,344,999,551,1007,693,1021,929,1030,1067,1039,1204,1040,1204,1034,1066,1027,929,1014,688,1005,550,992,344,990,310,988,275,982,172,978,103xm543,810l536,810,539,813,537,813,571,1045,578,1092,592,1187,593,1186,580,1092,574,1045,543,813,539,813,537,813,543,813,543,810xm536,810l537,813,539,813,536,810xm978,101l668,162,650,202,632,242,615,281,598,320,582,359,565,399,549,439,534,478,526,498,518,518,511,538,503,558,496,579,489,599,482,619,475,639,469,660,465,670,462,680,459,690,456,701,453,711,448,728,447,735,445,742,443,749,442,756,438,774,436,784,435,795,433,806,433,810,537,813,536,810,543,810,542,806,540,806,441,806,437,802,442,802,442,796,444,785,446,775,449,758,451,751,453,744,454,737,456,730,458,723,461,713,464,703,470,682,473,672,476,662,483,642,497,601,511,561,526,521,541,481,557,442,573,402,589,362,605,323,622,283,638,244,655,205,672,167,670,167,672,166,678,166,975,105,975,103,978,103,978,101xm437,802l441,806,442,802,437,802xm442,802l441,806,540,806,442,802xm442,802l437,802,442,802,442,802xm672,166l670,167,672,167,672,166xm672,167l670,167,672,167,672,167xm678,166l672,166,672,167,678,166xm975,103l975,105,977,105,975,103xe" filled="true" fillcolor="#231f20" stroked="false">
              <v:path arrowok="t"/>
              <v:fill type="solid"/>
            </v:shape>
            <v:shape style="position:absolute;left:1942;top:49;width:387;height:487" coordorigin="1942,49" coordsize="387,487" path="m1978,49l1942,156,2005,356,2203,382,2328,536,2189,296,2049,296,1978,49xe" filled="true" fillcolor="#7f8083" stroked="false">
              <v:path arrowok="t"/>
              <v:fill type="solid"/>
            </v:shape>
            <v:shape style="position:absolute;left:1942;top:41;width:388;height:496" coordorigin="1942,41" coordsize="388,496" path="m2194,298l2186,298,2189,300,2187,300,2203,328,2222,359,2310,507,2318,522,2329,535,2327,537,2327,537,2329,535,2312,505,2226,353,2209,324,2194,298xm2207,383l2201,383,2202,384,2201,384,2248,441,2304,508,2327,537,2327,537,2318,522,2306,506,2251,438,2208,384,2202,384,2201,384,2208,384,2207,383xm2318,522l2327,537,2329,535,2318,522xm2201,383l2201,384,2202,384,2201,383xm1978,41l1959,102,1942,156,1956,207,1964,232,1987,307,2003,359,2079,369,2201,384,2201,383,2207,383,2204,379,2080,362,2023,355,2008,355,2006,353,2008,353,1992,305,1968,231,1959,206,1942,156,1962,103,1978,57,1976,50,1981,50,1978,41xm2006,353l2008,355,2008,353,2006,353xm2008,353l2008,355,2023,355,2008,353xm2008,353l2006,353,2008,353,2008,353xm1981,50l1976,50,1981,50,1978,57,1984,81,1993,112,2019,205,2027,235,2036,266,2046,300,2187,300,2186,298,2194,298,2193,295,2053,295,2049,292,2052,292,2035,233,2026,202,2013,156,1999,110,1990,79,1981,50xm2186,298l2187,300,2189,300,2186,298xm2049,292l2053,295,2052,292,2049,292xm2052,292l2053,295,2193,295,2191,292,2052,292xm2052,292l2049,292,2052,292,2052,292xm1976,50l1978,57,1981,50,1976,50xe" filled="true" fillcolor="#ffffff" stroked="false">
              <v:path arrowok="t"/>
              <v:fill type="solid"/>
            </v:shape>
            <v:shape style="position:absolute;left:1980;top:43;width:349;height:493" coordorigin="1980,43" coordsize="349,493" path="m1980,43l2049,296,2189,296,2328,536,2189,253,2102,227,2093,165,1980,43xe" filled="true" fillcolor="#dddfe0" stroked="false">
              <v:path arrowok="t"/>
              <v:fill type="solid"/>
            </v:shape>
            <v:shape style="position:absolute;left:1979;top:42;width:352;height:496" coordorigin="1979,42" coordsize="352,496" path="m2186,256l2220,326,2273,431,2294,474,2330,535,2326,537,2326,537,2330,535,2314,499,2296,464,2228,322,2195,257,2188,257,2186,256xm2294,474l2308,502,2326,537,2330,535,2294,474xm2192,297l2187,297,2189,298,2188,298,2214,342,2249,402,2292,477,2326,537,2308,502,2294,474,2251,400,2216,340,2192,297xm1979,42l1995,107,2016,186,2046,300,2188,298,2187,297,2192,297,2191,295,2052,295,2049,293,2052,293,2022,185,1999,106,1981,45,1982,45,1979,42xm2187,297l2188,298,2189,298,2187,297xm2049,293l2052,295,2052,293,2049,293xm2052,293l2052,295,2191,295,2190,294,2052,293xm2052,293l2049,293,2052,293,2052,293xm2185,255l2186,256,2188,257,2185,255xm2194,255l2185,255,2188,257,2195,257,2194,255xm2096,166l2089,166,2090,168,2090,168,2098,230,2186,256,2185,255,2194,255,2192,249,2113,226,2105,226,2103,223,2105,223,2096,168,2090,168,2090,167,2096,167,2096,166xm2103,223l2105,226,2105,224,2103,223xm2105,224l2105,226,2113,226,2105,224xm2105,223l2103,223,2105,224,2105,223xm2089,166l2090,167,2090,168,2089,166xm1982,45l1981,45,2021,91,2090,167,2089,166,2096,166,2096,164,2024,88,1982,45xe" filled="true" fillcolor="#ffffff" stroked="false">
              <v:path arrowok="t"/>
              <v:fill type="solid"/>
            </v:shape>
            <v:shape style="position:absolute;left:1980;top:35;width:345;height:493" coordorigin="1980,35" coordsize="345,493" path="m2049,35l1980,43,2093,165,2102,227,2189,253,2324,528,2324,418,2216,190,2135,190,2135,84,2049,35xe" filled="true" fillcolor="#caccce" stroked="false">
              <v:path arrowok="t"/>
              <v:fill type="solid"/>
            </v:shape>
            <v:shape style="position:absolute;left:1980;top:34;width:347;height:502" coordorigin="1980,34" coordsize="347,502" path="m2326,418l2323,418,2323,418,2323,418,2323,521,2326,527,2323,528,2322,528,2326,536,2326,418xm2193,254l2187,254,2188,255,2187,255,2220,323,2254,392,2322,528,2323,528,2323,521,2259,389,2225,320,2193,255,2188,255,2187,255,2193,255,2193,254xm2323,521l2323,528,2326,527,2323,521xm2323,418l2323,418,2323,418,2323,418xm2219,190l2214,190,2216,192,2215,192,2269,304,2297,361,2323,418,2323,418,2326,418,2325,418,2298,361,2271,303,2219,190xm2187,254l2187,255,2188,255,2187,254xm2095,166l2091,166,2091,167,2091,167,2099,229,2187,255,2187,254,2193,254,2191,251,2109,227,2104,227,2102,225,2104,225,2095,167,2091,167,2091,166,2095,166,2095,166xm2102,225l2104,227,2104,225,2102,225xm2104,225l2104,227,2109,227,2104,225xm2104,225l2102,225,2104,225,2104,225xm2133,85l2133,192,2215,192,2214,190,2219,190,2218,190,2137,190,2135,187,2137,187,2137,86,2134,86,2133,85xm2214,190l2215,192,2216,192,2214,190xm2135,187l2137,190,2137,187,2135,187xm2137,187l2137,190,2218,190,2217,187,2137,187xm2137,187l2135,187,2137,187,2137,187xm2091,166l2091,166,2091,167,2091,166xm2049,34l1980,43,2035,105,2091,166,2091,166,2095,166,2094,165,2037,104,1981,44,2049,37,2048,36,2053,36,2049,34xm2133,84l2133,85,2134,86,2133,84xm2137,84l2133,84,2134,86,2137,86,2137,84xm2053,36l2048,36,2049,37,2049,37,2133,85,2133,84,2137,84,2137,83,2053,36xm2048,36l2049,37,2049,37,2048,36xe" filled="true" fillcolor="#ffffff" stroked="false">
              <v:path arrowok="t"/>
              <v:fill type="solid"/>
            </v:shape>
            <v:shape style="position:absolute;left:2049;top:25;width:276;height:393" type="#_x0000_t75" stroked="false">
              <v:imagedata r:id="rId28" o:title=""/>
            </v:shape>
            <v:shape style="position:absolute;left:2048;top:23;width:280;height:406" coordorigin="2048,23" coordsize="280,406" path="m2323,311l2316,311,2316,312,2316,312,2318,338,2322,408,2326,417,2322,418,2322,418,2327,428,2325,364,2323,332,2323,312,2316,312,2316,312,2323,312,2323,311xm2220,191l2213,191,2216,193,2214,193,2255,276,2283,333,2303,376,2309,390,2316,404,2322,418,2322,418,2322,408,2312,389,2305,375,2285,332,2272,303,2258,275,2220,191xm2322,408l2322,418,2326,417,2322,408xm2316,311l2316,312,2316,312,2316,311xm2213,138l2251,203,2316,312,2316,311,2323,311,2323,310,2258,199,2223,138,2214,138,2213,138xm2138,84l2133,84,2134,86,2133,86,2132,110,2132,132,2132,193,2176,193,2214,193,2213,191,2220,191,2220,190,2139,190,2135,186,2139,186,2138,132,2138,110,2138,86,2134,86,2133,86,2138,86,2138,84xm2213,191l2214,193,2216,193,2213,191xm2139,186l2135,186,2139,190,2139,186xm2176,186l2139,186,2139,190,2220,190,2218,186,2176,186xm2213,137l2213,138,2214,138,2213,137xm2222,137l2213,137,2214,138,2223,138,2222,137xm2206,54l2199,54,2201,58,2198,58,2182,120,2213,138,2213,137,2222,137,2219,132,2197,119,2190,119,2189,115,2192,115,2205,58,2201,58,2199,57,2206,57,2206,54xm2189,115l2190,119,2191,116,2189,115xm2191,116l2190,119,2197,119,2191,116xm2192,115l2189,115,2191,116,2192,115xm2133,84l2133,86,2134,86,2133,84xm2135,23l2048,35,2091,61,2133,86,2133,84,2138,84,2138,83,2093,58,2050,36,2135,27,2134,27,2146,27,2135,23xm2199,54l2199,57,2201,58,2199,54xm2146,27l2134,27,2135,27,2135,27,2199,57,2199,54,2206,54,2207,53,2146,27xm2134,27l2135,27,2135,27,2134,27xe" filled="true" fillcolor="#ffffff" stroked="false">
              <v:path arrowok="t"/>
              <v:fill type="solid"/>
            </v:shape>
            <v:shape style="position:absolute;left:2134;top:12;width:189;height:304" type="#_x0000_t75" stroked="false">
              <v:imagedata r:id="rId29" o:title=""/>
            </v:shape>
            <v:shape style="position:absolute;left:1942;top:683;width:402;height:399" type="#_x0000_t75" stroked="false">
              <v:imagedata r:id="rId30" o:title=""/>
            </v:shape>
            <v:shape style="position:absolute;left:1944;top:936;width:408;height:200" coordorigin="1944,936" coordsize="408,200" path="m2349,1083l2232,1083,2293,1097,2352,1136,2349,1083xm2220,936l2137,945,2058,990,1944,1083,1944,1088,1944,1101,1945,1117,1946,1128,1947,1132,2129,1095,2232,1083,2349,1083,2346,1026,2342,950,2220,936xe" filled="true" fillcolor="#646668" stroked="false">
              <v:path arrowok="t"/>
              <v:fill type="solid"/>
            </v:shape>
            <v:shape style="position:absolute;left:1942;top:944;width:412;height:195" coordorigin="1942,944" coordsize="412,195" path="m2281,1107l2215,1107,2228,1108,2241,1108,2254,1109,2267,1110,2279,1112,2292,1114,2304,1117,2317,1120,2329,1124,2340,1130,2351,1137,2353,1138,2353,1136,2350,1136,2350,1133,2342,1127,2330,1122,2318,1117,2305,1113,2293,1110,2281,1107xm2350,1133l2350,1136,2353,1135,2350,1133xm2340,952l2346,1054,2349,1112,2350,1133,2353,1135,2350,1136,2353,1136,2352,1112,2349,1054,2346,953,2342,953,2340,952xm2297,944l2288,944,2270,945,2252,947,2243,948,2225,950,2216,951,2207,953,2199,955,2190,956,2172,961,2163,963,2155,965,2137,971,2129,974,2120,976,2112,980,2103,983,2095,987,2086,990,2078,994,2070,997,2046,1010,2030,1019,2022,1023,2015,1028,2007,1033,1996,1040,1985,1048,1977,1054,1970,1059,1963,1065,1956,1070,1949,1076,1942,1083,1943,1092,1943,1100,1944,1108,1945,1117,1947,1133,1952,1132,1947,1132,1946,1118,1946,1115,1946,1106,1946,1100,1945,1091,1945,1085,1945,1085,1945,1083,1946,1083,1952,1079,1959,1074,1966,1068,1973,1063,1980,1058,1988,1053,1999,1045,2010,1038,2018,1033,2026,1029,2034,1025,2049,1016,2073,1004,2082,1001,2090,997,2098,994,2106,991,2115,987,2123,984,2131,981,2140,978,2148,976,2157,973,2166,971,2174,969,2200,963,2209,961,2218,959,2227,958,2244,955,2253,954,2262,953,2271,953,2289,952,2298,951,2307,951,2339,951,2339,950,2345,950,2345,947,2334,946,2325,945,2307,944,2297,944xm2203,1100l2177,1101,2164,1101,2151,1102,2125,1104,2099,1106,2074,1109,2048,1113,2023,1117,1997,1121,1972,1126,1947,1132,1952,1132,1972,1128,1998,1125,2024,1121,2049,1118,2074,1115,2100,1112,2126,1110,2151,1109,2177,1108,2190,1107,2281,1107,2280,1107,2267,1105,2254,1104,2241,1102,2229,1101,2216,1101,2203,1100xm1945,1083l1945,1085,1945,1084,1945,1083xm1945,1084l1945,1085,1945,1085,1945,1084xm1946,1083l1945,1083,1945,1084,1946,1083xm2339,950l2340,952,2342,953,2339,950xm2345,950l2339,950,2342,953,2346,953,2345,950xm2339,951l2307,951,2324,951,2333,952,2340,952,2339,951xe" filled="true" fillcolor="#ffffff" stroked="false">
              <v:path arrowok="t"/>
              <v:fill type="solid"/>
            </v:shape>
            <v:shape style="position:absolute;left:1939;top:783;width:401;height:304" coordorigin="1939,783" coordsize="401,304" path="m2262,783l2246,784,2231,787,2215,790,2200,795,2186,800,2171,807,2157,814,2144,821,2130,830,2117,838,2105,848,2092,857,2081,868,2069,878,2057,889,2046,899,2035,911,2025,922,2014,934,2004,946,1994,958,1985,970,1975,982,1966,995,1957,1007,1948,1020,1939,1034,1940,1043,1941,1051,1941,1058,1942,1066,1942,1075,1942,1087,1947,1081,1947,1081,1943,1080,1947,1075,1947,1066,1946,1057,1946,1050,1946,1043,1945,1037,1945,1037,1945,1035,1946,1035,1953,1024,1962,1011,1971,999,1981,987,1990,974,2000,962,2010,951,2020,939,2031,928,2041,916,2052,905,2063,895,2074,884,2086,874,2098,864,2110,854,2122,845,2135,836,2148,828,2161,820,2174,813,2188,806,2202,801,2217,796,2232,792,2247,789,2262,787,2277,787,2305,787,2298,785,2288,784,2278,783,2262,783xm1947,1075l1943,1080,1947,1081,1947,1075xm2336,869l2288,871,2203,875,2188,876,2173,877,2138,880,2128,882,2123,883,2119,884,2118,885,2117,885,2116,885,2115,887,2110,893,2106,897,2103,901,2064,946,2024,991,1983,1035,1953,1068,1947,1075,1947,1081,1947,1081,1952,1075,1959,1067,1985,1037,2015,1004,2025,992,2066,948,2107,904,2119,891,2119,891,2120,890,2120,890,2124,889,2126,889,2138,887,2148,886,2218,881,2340,873,2340,871,2336,871,2336,869xm1945,1035l1945,1037,1945,1036,1945,1035xm1945,1036l1945,1037,1945,1037,1945,1036xm1946,1035l1945,1035,1945,1036,1946,1035xm2120,891l2119,891,2119,891,2120,891xm2120,890l2120,890,2120,891,2120,890,2120,890xm2338,869l2336,869,2336,871,2338,869xm2340,869l2338,869,2336,871,2340,871,2340,869xm2305,787l2277,787,2288,787,2298,788,2308,790,2318,792,2328,795,2337,798,2336,847,2336,857,2336,869,2338,869,2340,869,2340,857,2338,798,2328,794,2319,790,2305,787xe" filled="true" fillcolor="#ffffff" stroked="false">
              <v:path arrowok="t"/>
              <v:fill type="solid"/>
            </v:shape>
            <v:shape style="position:absolute;left:1794;top:0;width:561;height:1211" coordorigin="1794,0" coordsize="561,1211" path="m1948,681l1928,681,1932,681,1938,683,1941,684,1941,685,1942,685,1942,689,1942,704,1939,810,1939,832,1938,853,1938,874,1938,916,1938,959,1938,1001,1939,1044,1940,1065,1942,1086,1942,1097,1943,1107,1944,1118,1945,1129,1947,1139,1948,1150,1950,1160,1952,1171,1953,1178,1955,1184,1957,1191,1959,1198,1962,1205,1966,1210,1967,1210,1963,1204,1960,1198,1958,1191,1956,1184,1955,1177,1953,1170,1952,1160,1950,1149,1949,1139,1948,1128,1947,1118,1946,1107,1945,1097,1945,1086,1944,1075,1944,1065,1943,1044,1942,1001,1942,959,1943,916,1944,874,1944,853,1945,831,1946,810,1949,704,1949,685,1949,684,1949,682,1948,681xm2320,1l2318,1,2319,3,2318,3,2317,39,2316,41,2316,124,2317,150,2318,225,2319,299,2322,448,2327,597,2333,746,2339,895,2346,1044,2354,1193,2355,1193,2344,895,2331,522,2328,441,2323,299,2321,225,2320,188,2320,169,2319,113,2319,83,2319,39,2320,1xm2320,0l1975,41,1962,83,1949,122,1937,162,1924,202,1912,242,1900,282,1888,321,1876,361,1852,441,1846,461,1841,481,1835,501,1830,522,1824,542,1819,562,1814,582,1808,602,1806,612,1804,623,1801,633,1799,643,1798,650,1797,657,1795,664,1795,667,1794,674,1794,676,1794,682,1794,689,1798,689,1819,689,1841,688,1862,686,1874,685,1802,685,1798,681,1802,681,1802,676,1802,672,1804,664,1805,658,1807,645,1809,635,1812,624,1814,614,1817,604,1822,584,1827,564,1832,544,1838,524,1849,484,1860,444,1872,404,1883,364,1895,324,1907,284,1931,204,1943,164,1959,113,1967,84,1979,46,1977,46,1980,45,1992,45,2318,3,2318,1,2320,1,2320,0xm1802,681l1798,681,1802,685,1802,681xm1914,674l1903,674,1893,675,1861,678,1840,679,1819,681,1802,681,1802,685,1874,685,1904,682,1914,681,1928,681,1948,681,1946,679,1944,677,1942,676,1940,676,1938,675,1936,675,1932,674,1929,674,1914,674xm1980,45l1977,46,1979,46,1980,45xm1979,46l1977,46,1979,46,1979,46xm1992,45l1980,45,1979,46,1992,45xm2318,1l2318,3,2319,3,2318,1xe" filled="true" fillcolor="#231f20" stroked="false">
              <v:path arrowok="t"/>
              <v:fill type="solid"/>
            </v:shape>
            <v:shape style="position:absolute;left:1365;top:178;width:450;height:1015" coordorigin="1365,178" coordsize="450,1015" path="m1420,178l1382,320,1365,474,1366,733,1382,1193,1716,1193,1710,1151,1695,1058,1681,959,1674,900,1676,881,1692,867,1734,853,1815,830,1748,266,1506,202,1420,178xe" filled="true" fillcolor="#ffffff" stroked="false">
              <v:path arrowok="t"/>
              <v:fill type="solid"/>
            </v:shape>
            <v:shape style="position:absolute;left:1373;top:176;width:447;height:1017" coordorigin="1373,176" coordsize="447,1017" path="m1811,827l1800,830,1787,834,1773,839,1759,844,1746,849,1733,854,1719,860,1706,866,1698,871,1690,876,1682,882,1678,886,1675,889,1672,895,1671,897,1671,901,1671,903,1673,915,1673,919,1675,938,1677,948,1678,957,1680,970,1688,1023,1697,1080,1716,1193,1717,1193,1698,1065,1692,1023,1684,966,1683,957,1682,947,1681,938,1678,919,1678,914,1677,903,1677,899,1677,898,1678,897,1679,893,1682,890,1686,887,1693,881,1701,876,1709,872,1722,866,1735,860,1748,855,1762,850,1775,846,1789,841,1802,837,1819,832,1819,830,1811,830,1811,827xm1419,176l1419,179,1415,193,1411,209,1408,224,1403,256,1400,271,1399,282,1397,292,1396,303,1395,313,1394,324,1393,334,1391,345,1390,356,1389,366,1388,382,1387,398,1385,414,1384,430,1382,461,1380,493,1378,525,1377,557,1376,588,1375,604,1375,620,1373,684,1373,715,1373,854,1373,886,1373,906,1373,938,1374,970,1375,1002,1375,1034,1376,1065,1377,1097,1379,1129,1380,1161,1381,1193,1382,1193,1381,1161,1381,1129,1381,1097,1380,1065,1380,1034,1380,1002,1379,970,1379,811,1380,747,1380,684,1381,620,1383,556,1384,525,1385,509,1386,477,1387,461,1388,429,1389,413,1390,398,1391,382,1393,355,1395,345,1396,324,1398,313,1399,303,1400,292,1401,282,1403,268,1405,255,1408,240,1411,224,1414,208,1418,193,1421,179,1420,179,1422,178,1427,178,1419,176xm1814,826l1811,827,1811,830,1814,826xm1818,826l1814,826,1811,830,1819,830,1818,826xm1751,266l1745,266,1747,269,1745,269,1777,548,1811,827,1814,826,1818,826,1786,547,1752,269,1747,269,1745,268,1752,268,1751,266xm1745,266l1745,268,1747,269,1745,266xm1427,178l1422,178,1421,179,1614,233,1745,268,1745,266,1751,266,1751,263,1615,229,1427,178xm1422,178l1420,179,1421,179,1422,178xe" filled="true" fillcolor="#231f20" stroked="false">
              <v:path arrowok="t"/>
              <v:fill type="solid"/>
            </v:shape>
            <v:shape style="position:absolute;left:1386;top:175;width:390;height:314" type="#_x0000_t75" stroked="false">
              <v:imagedata r:id="rId31" o:title=""/>
            </v:shape>
            <v:shape style="position:absolute;left:1374;top:949;width:338;height:229" type="#_x0000_t75" stroked="false">
              <v:imagedata r:id="rId32" o:title=""/>
            </v:shape>
            <v:shape style="position:absolute;left:1373;top:176;width:447;height:1017" coordorigin="1373,176" coordsize="447,1017" path="m1811,827l1800,830,1787,834,1773,839,1759,844,1746,849,1733,854,1719,860,1706,866,1698,871,1690,876,1682,882,1678,886,1675,889,1672,895,1671,897,1671,901,1671,903,1673,915,1673,919,1675,938,1677,948,1678,957,1680,970,1688,1023,1697,1080,1716,1193,1717,1193,1698,1065,1692,1023,1684,966,1683,957,1682,947,1681,938,1678,919,1678,914,1677,903,1677,899,1677,898,1678,897,1679,893,1682,890,1686,887,1693,881,1701,876,1709,872,1722,866,1735,860,1748,855,1762,850,1775,846,1789,841,1802,837,1819,832,1819,830,1811,830,1811,827xm1419,176l1419,179,1415,193,1411,209,1408,224,1403,256,1400,271,1399,282,1397,292,1396,303,1395,313,1394,324,1393,334,1391,345,1390,356,1389,366,1388,382,1387,398,1385,414,1384,430,1382,461,1380,493,1378,525,1377,557,1376,588,1375,604,1375,620,1373,684,1373,715,1373,854,1373,886,1373,906,1373,938,1374,970,1375,1002,1375,1034,1376,1065,1377,1097,1379,1129,1380,1161,1381,1193,1382,1193,1381,1161,1381,1129,1381,1097,1380,1065,1380,1034,1380,1002,1379,970,1379,811,1380,747,1380,684,1381,620,1383,556,1384,525,1385,509,1386,477,1387,461,1388,429,1389,413,1390,398,1391,382,1393,355,1395,345,1396,324,1398,313,1399,303,1400,292,1401,282,1403,268,1405,255,1408,240,1411,224,1414,208,1418,193,1421,179,1420,179,1422,178,1427,178,1419,176xm1814,826l1811,827,1811,830,1814,826xm1818,826l1814,826,1811,830,1819,830,1818,826xm1751,266l1745,266,1747,269,1745,269,1777,548,1811,827,1814,826,1818,826,1786,547,1752,269,1747,269,1745,268,1752,268,1751,266xm1745,266l1745,268,1747,269,1745,266xm1427,178l1422,178,1421,179,1614,233,1745,268,1745,266,1751,266,1751,263,1615,229,1427,178xm1422,178l1420,179,1421,179,1422,178xe" filled="true" fillcolor="#231f20" stroked="false">
              <v:path arrowok="t"/>
              <v:fill type="solid"/>
            </v:shape>
          </v:group>
        </w:pict>
      </w:r>
      <w:r>
        <w:rPr>
          <w:rFonts w:ascii="Calibri"/>
          <w:sz w:val="20"/>
        </w:rPr>
      </w:r>
    </w:p>
    <w:p>
      <w:pPr>
        <w:pStyle w:val="BodyText"/>
        <w:spacing w:before="11"/>
        <w:rPr>
          <w:rFonts w:ascii="Calibri"/>
          <w:sz w:val="12"/>
        </w:rPr>
      </w:pPr>
    </w:p>
    <w:p>
      <w:pPr>
        <w:spacing w:before="50"/>
        <w:ind w:left="103" w:right="0" w:firstLine="0"/>
        <w:jc w:val="both"/>
        <w:rPr>
          <w:rFonts w:ascii="Palatino Linotype"/>
          <w:i/>
          <w:sz w:val="18"/>
        </w:rPr>
      </w:pPr>
      <w:r>
        <w:rPr>
          <w:rFonts w:ascii="Palatino Linotype"/>
          <w:i/>
          <w:color w:val="231F20"/>
          <w:w w:val="105"/>
          <w:sz w:val="18"/>
        </w:rPr>
        <w:t>El Estado y el espacio global. Lo Stato e lo spazio globale</w:t>
      </w:r>
    </w:p>
    <w:p>
      <w:pPr>
        <w:pStyle w:val="BodyText"/>
        <w:spacing w:before="4"/>
        <w:rPr>
          <w:rFonts w:ascii="Palatino Linotype"/>
          <w:i/>
          <w:sz w:val="13"/>
        </w:rPr>
      </w:pPr>
    </w:p>
    <w:p>
      <w:pPr>
        <w:spacing w:before="0"/>
        <w:ind w:left="103" w:right="0" w:firstLine="0"/>
        <w:jc w:val="both"/>
        <w:rPr>
          <w:rFonts w:ascii="Arial" w:hAnsi="Arial"/>
          <w:sz w:val="16"/>
        </w:rPr>
      </w:pPr>
      <w:r>
        <w:rPr>
          <w:rFonts w:ascii="Arial" w:hAnsi="Arial"/>
          <w:color w:val="231F20"/>
          <w:sz w:val="16"/>
        </w:rPr>
        <w:t>Traducción: María del Socorro Castañeda Díaz</w:t>
      </w:r>
    </w:p>
    <w:p>
      <w:pPr>
        <w:pStyle w:val="BodyText"/>
        <w:spacing w:before="7"/>
        <w:rPr>
          <w:rFonts w:ascii="Arial"/>
          <w:sz w:val="17"/>
        </w:rPr>
      </w:pPr>
    </w:p>
    <w:p>
      <w:pPr>
        <w:spacing w:line="506" w:lineRule="auto" w:before="0"/>
        <w:ind w:left="103" w:right="2896" w:firstLine="0"/>
        <w:jc w:val="both"/>
        <w:rPr>
          <w:rFonts w:ascii="Arial" w:hAnsi="Arial"/>
          <w:sz w:val="16"/>
        </w:rPr>
      </w:pPr>
      <w:r>
        <w:rPr>
          <w:rFonts w:ascii="Microsoft Sans Serif" w:hAnsi="Microsoft Sans Serif"/>
          <w:color w:val="231F20"/>
          <w:spacing w:val="-3"/>
          <w:sz w:val="16"/>
        </w:rPr>
        <w:t>Libro</w:t>
      </w:r>
      <w:r>
        <w:rPr>
          <w:rFonts w:ascii="Microsoft Sans Serif" w:hAnsi="Microsoft Sans Serif"/>
          <w:color w:val="231F20"/>
          <w:spacing w:val="-31"/>
          <w:sz w:val="16"/>
        </w:rPr>
        <w:t> </w:t>
      </w:r>
      <w:r>
        <w:rPr>
          <w:rFonts w:ascii="Microsoft Sans Serif" w:hAnsi="Microsoft Sans Serif"/>
          <w:color w:val="231F20"/>
          <w:sz w:val="16"/>
        </w:rPr>
        <w:t>de</w:t>
      </w:r>
      <w:r>
        <w:rPr>
          <w:rFonts w:ascii="Microsoft Sans Serif" w:hAnsi="Microsoft Sans Serif"/>
          <w:color w:val="231F20"/>
          <w:spacing w:val="-31"/>
          <w:sz w:val="16"/>
        </w:rPr>
        <w:t> </w:t>
      </w:r>
      <w:r>
        <w:rPr>
          <w:rFonts w:ascii="Microsoft Sans Serif" w:hAnsi="Microsoft Sans Serif"/>
          <w:color w:val="231F20"/>
          <w:sz w:val="16"/>
        </w:rPr>
        <w:t>investigación</w:t>
      </w:r>
      <w:r>
        <w:rPr>
          <w:rFonts w:ascii="Microsoft Sans Serif" w:hAnsi="Microsoft Sans Serif"/>
          <w:color w:val="231F20"/>
          <w:spacing w:val="-31"/>
          <w:sz w:val="16"/>
        </w:rPr>
        <w:t> </w:t>
      </w:r>
      <w:r>
        <w:rPr>
          <w:rFonts w:ascii="Microsoft Sans Serif" w:hAnsi="Microsoft Sans Serif"/>
          <w:color w:val="231F20"/>
          <w:sz w:val="16"/>
        </w:rPr>
        <w:t>e</w:t>
      </w:r>
      <w:r>
        <w:rPr>
          <w:rFonts w:ascii="Microsoft Sans Serif" w:hAnsi="Microsoft Sans Serif"/>
          <w:color w:val="231F20"/>
          <w:spacing w:val="-31"/>
          <w:sz w:val="16"/>
        </w:rPr>
        <w:t> </w:t>
      </w:r>
      <w:r>
        <w:rPr>
          <w:rFonts w:ascii="Microsoft Sans Serif" w:hAnsi="Microsoft Sans Serif"/>
          <w:color w:val="231F20"/>
          <w:sz w:val="16"/>
        </w:rPr>
        <w:t>interés</w:t>
      </w:r>
      <w:r>
        <w:rPr>
          <w:rFonts w:ascii="Microsoft Sans Serif" w:hAnsi="Microsoft Sans Serif"/>
          <w:color w:val="231F20"/>
          <w:spacing w:val="-31"/>
          <w:sz w:val="16"/>
        </w:rPr>
        <w:t> </w:t>
      </w:r>
      <w:r>
        <w:rPr>
          <w:rFonts w:ascii="Microsoft Sans Serif" w:hAnsi="Microsoft Sans Serif"/>
          <w:color w:val="231F20"/>
          <w:sz w:val="16"/>
        </w:rPr>
        <w:t>académico</w:t>
      </w:r>
      <w:r>
        <w:rPr>
          <w:rFonts w:ascii="Microsoft Sans Serif" w:hAnsi="Microsoft Sans Serif"/>
          <w:color w:val="231F20"/>
          <w:spacing w:val="-31"/>
          <w:sz w:val="16"/>
        </w:rPr>
        <w:t> </w:t>
      </w:r>
      <w:r>
        <w:rPr>
          <w:rFonts w:ascii="Microsoft Sans Serif" w:hAnsi="Microsoft Sans Serif"/>
          <w:color w:val="231F20"/>
          <w:sz w:val="16"/>
        </w:rPr>
        <w:t>y</w:t>
      </w:r>
      <w:r>
        <w:rPr>
          <w:rFonts w:ascii="Microsoft Sans Serif" w:hAnsi="Microsoft Sans Serif"/>
          <w:color w:val="231F20"/>
          <w:spacing w:val="-31"/>
          <w:sz w:val="16"/>
        </w:rPr>
        <w:t> </w:t>
      </w:r>
      <w:r>
        <w:rPr>
          <w:rFonts w:ascii="Microsoft Sans Serif" w:hAnsi="Microsoft Sans Serif"/>
          <w:color w:val="231F20"/>
          <w:sz w:val="16"/>
        </w:rPr>
        <w:t>sin</w:t>
      </w:r>
      <w:r>
        <w:rPr>
          <w:rFonts w:ascii="Microsoft Sans Serif" w:hAnsi="Microsoft Sans Serif"/>
          <w:color w:val="231F20"/>
          <w:spacing w:val="-31"/>
          <w:sz w:val="16"/>
        </w:rPr>
        <w:t> </w:t>
      </w:r>
      <w:r>
        <w:rPr>
          <w:rFonts w:ascii="Microsoft Sans Serif" w:hAnsi="Microsoft Sans Serif"/>
          <w:color w:val="231F20"/>
          <w:sz w:val="16"/>
        </w:rPr>
        <w:t>fines</w:t>
      </w:r>
      <w:r>
        <w:rPr>
          <w:rFonts w:ascii="Microsoft Sans Serif" w:hAnsi="Microsoft Sans Serif"/>
          <w:color w:val="231F20"/>
          <w:spacing w:val="-31"/>
          <w:sz w:val="16"/>
        </w:rPr>
        <w:t> </w:t>
      </w:r>
      <w:r>
        <w:rPr>
          <w:rFonts w:ascii="Microsoft Sans Serif" w:hAnsi="Microsoft Sans Serif"/>
          <w:color w:val="231F20"/>
          <w:sz w:val="16"/>
        </w:rPr>
        <w:t>de</w:t>
      </w:r>
      <w:r>
        <w:rPr>
          <w:rFonts w:ascii="Microsoft Sans Serif" w:hAnsi="Microsoft Sans Serif"/>
          <w:color w:val="231F20"/>
          <w:spacing w:val="-31"/>
          <w:sz w:val="16"/>
        </w:rPr>
        <w:t> </w:t>
      </w:r>
      <w:r>
        <w:rPr>
          <w:rFonts w:ascii="Microsoft Sans Serif" w:hAnsi="Microsoft Sans Serif"/>
          <w:color w:val="231F20"/>
          <w:spacing w:val="-3"/>
          <w:sz w:val="16"/>
        </w:rPr>
        <w:t>lucro. </w:t>
      </w:r>
      <w:r>
        <w:rPr>
          <w:rFonts w:ascii="Arial" w:hAnsi="Arial"/>
          <w:color w:val="231F20"/>
          <w:sz w:val="16"/>
        </w:rPr>
        <w:t>1a</w:t>
      </w:r>
      <w:r>
        <w:rPr>
          <w:rFonts w:ascii="Arial" w:hAnsi="Arial"/>
          <w:color w:val="231F20"/>
          <w:spacing w:val="-15"/>
          <w:sz w:val="16"/>
        </w:rPr>
        <w:t> </w:t>
      </w:r>
      <w:r>
        <w:rPr>
          <w:rFonts w:ascii="Arial" w:hAnsi="Arial"/>
          <w:color w:val="231F20"/>
          <w:sz w:val="16"/>
        </w:rPr>
        <w:t>edición,</w:t>
      </w:r>
      <w:r>
        <w:rPr>
          <w:rFonts w:ascii="Arial" w:hAnsi="Arial"/>
          <w:color w:val="231F20"/>
          <w:spacing w:val="-15"/>
          <w:sz w:val="16"/>
        </w:rPr>
        <w:t> </w:t>
      </w:r>
      <w:r>
        <w:rPr>
          <w:rFonts w:ascii="Arial" w:hAnsi="Arial"/>
          <w:color w:val="231F20"/>
          <w:sz w:val="16"/>
        </w:rPr>
        <w:t>febrero</w:t>
      </w:r>
      <w:r>
        <w:rPr>
          <w:rFonts w:ascii="Arial" w:hAnsi="Arial"/>
          <w:color w:val="231F20"/>
          <w:spacing w:val="-15"/>
          <w:sz w:val="16"/>
        </w:rPr>
        <w:t> </w:t>
      </w:r>
      <w:r>
        <w:rPr>
          <w:rFonts w:ascii="Arial" w:hAnsi="Arial"/>
          <w:color w:val="231F20"/>
          <w:sz w:val="16"/>
        </w:rPr>
        <w:t>2016</w:t>
      </w:r>
    </w:p>
    <w:p>
      <w:pPr>
        <w:spacing w:before="1"/>
        <w:ind w:left="103" w:right="0" w:firstLine="0"/>
        <w:jc w:val="both"/>
        <w:rPr>
          <w:rFonts w:ascii="Arial" w:hAnsi="Arial"/>
          <w:sz w:val="16"/>
        </w:rPr>
      </w:pPr>
      <w:r>
        <w:rPr>
          <w:rFonts w:ascii="Arial" w:hAnsi="Arial"/>
          <w:color w:val="231F20"/>
          <w:w w:val="95"/>
          <w:sz w:val="16"/>
        </w:rPr>
        <w:t>ISBN:  978–607–422–695–9</w:t>
      </w:r>
    </w:p>
    <w:p>
      <w:pPr>
        <w:spacing w:line="254" w:lineRule="auto" w:before="124"/>
        <w:ind w:left="103" w:right="2890" w:firstLine="0"/>
        <w:jc w:val="both"/>
        <w:rPr>
          <w:rFonts w:ascii="Microsoft Sans Serif" w:hAnsi="Microsoft Sans Serif"/>
          <w:sz w:val="16"/>
        </w:rPr>
      </w:pPr>
      <w:r>
        <w:rPr>
          <w:rFonts w:ascii="Microsoft Sans Serif" w:hAnsi="Microsoft Sans Serif"/>
          <w:color w:val="231F20"/>
          <w:sz w:val="16"/>
        </w:rPr>
        <w:t>D.R. © Universidad Autónoma del Estado de México Instituto Literario núm. 100 Ote., Centro, C.P.      50000,</w:t>
      </w:r>
    </w:p>
    <w:p>
      <w:pPr>
        <w:spacing w:line="254" w:lineRule="auto" w:before="0"/>
        <w:ind w:left="103" w:right="4998" w:firstLine="0"/>
        <w:jc w:val="left"/>
        <w:rPr>
          <w:rFonts w:ascii="Microsoft Sans Serif" w:hAnsi="Microsoft Sans Serif"/>
          <w:sz w:val="16"/>
        </w:rPr>
      </w:pPr>
      <w:r>
        <w:rPr>
          <w:rFonts w:ascii="Microsoft Sans Serif" w:hAnsi="Microsoft Sans Serif"/>
          <w:color w:val="231F20"/>
          <w:sz w:val="16"/>
        </w:rPr>
        <w:t>Toluca, México </w:t>
      </w:r>
      <w:hyperlink r:id="rId33">
        <w:r>
          <w:rPr>
            <w:rFonts w:ascii="Microsoft Sans Serif" w:hAnsi="Microsoft Sans Serif"/>
            <w:color w:val="231F20"/>
            <w:sz w:val="16"/>
          </w:rPr>
          <w:t>http://www.uaemex.mx</w:t>
        </w:r>
      </w:hyperlink>
    </w:p>
    <w:p>
      <w:pPr>
        <w:pStyle w:val="BodyText"/>
        <w:spacing w:before="10"/>
        <w:rPr>
          <w:rFonts w:ascii="Microsoft Sans Serif"/>
          <w:sz w:val="16"/>
        </w:rPr>
      </w:pPr>
    </w:p>
    <w:p>
      <w:pPr>
        <w:spacing w:line="254" w:lineRule="auto" w:before="1"/>
        <w:ind w:left="103" w:right="4998" w:firstLine="0"/>
        <w:jc w:val="left"/>
        <w:rPr>
          <w:rFonts w:ascii="Microsoft Sans Serif" w:hAnsi="Microsoft Sans Serif"/>
          <w:sz w:val="16"/>
        </w:rPr>
      </w:pPr>
      <w:r>
        <w:rPr>
          <w:rFonts w:ascii="Microsoft Sans Serif" w:hAnsi="Microsoft Sans Serif"/>
          <w:color w:val="231F20"/>
          <w:sz w:val="16"/>
        </w:rPr>
        <w:t>Impreso y hecho en México Printed and made in Mexico</w:t>
      </w:r>
    </w:p>
    <w:p>
      <w:pPr>
        <w:pStyle w:val="BodyText"/>
        <w:spacing w:before="10"/>
        <w:rPr>
          <w:rFonts w:ascii="Microsoft Sans Serif"/>
          <w:sz w:val="16"/>
        </w:rPr>
      </w:pPr>
    </w:p>
    <w:p>
      <w:pPr>
        <w:spacing w:line="254" w:lineRule="auto" w:before="1"/>
        <w:ind w:left="103" w:right="2895" w:firstLine="0"/>
        <w:jc w:val="both"/>
        <w:rPr>
          <w:rFonts w:ascii="Microsoft Sans Serif" w:hAnsi="Microsoft Sans Serif"/>
          <w:sz w:val="16"/>
        </w:rPr>
      </w:pPr>
      <w:r>
        <w:rPr>
          <w:rFonts w:ascii="Microsoft Sans Serif" w:hAnsi="Microsoft Sans Serif"/>
          <w:color w:val="231F20"/>
          <w:w w:val="95"/>
          <w:sz w:val="16"/>
        </w:rPr>
        <w:t>Uso</w:t>
      </w:r>
      <w:r>
        <w:rPr>
          <w:rFonts w:ascii="Microsoft Sans Serif" w:hAnsi="Microsoft Sans Serif"/>
          <w:color w:val="231F20"/>
          <w:spacing w:val="-8"/>
          <w:w w:val="95"/>
          <w:sz w:val="16"/>
        </w:rPr>
        <w:t> </w:t>
      </w:r>
      <w:r>
        <w:rPr>
          <w:rFonts w:ascii="Microsoft Sans Serif" w:hAnsi="Microsoft Sans Serif"/>
          <w:color w:val="231F20"/>
          <w:w w:val="95"/>
          <w:sz w:val="16"/>
        </w:rPr>
        <w:t>de</w:t>
      </w:r>
      <w:r>
        <w:rPr>
          <w:rFonts w:ascii="Microsoft Sans Serif" w:hAnsi="Microsoft Sans Serif"/>
          <w:color w:val="231F20"/>
          <w:spacing w:val="-8"/>
          <w:w w:val="95"/>
          <w:sz w:val="16"/>
        </w:rPr>
        <w:t> </w:t>
      </w:r>
      <w:r>
        <w:rPr>
          <w:rFonts w:ascii="Microsoft Sans Serif" w:hAnsi="Microsoft Sans Serif"/>
          <w:color w:val="231F20"/>
          <w:w w:val="95"/>
          <w:sz w:val="16"/>
        </w:rPr>
        <w:t>la</w:t>
      </w:r>
      <w:r>
        <w:rPr>
          <w:rFonts w:ascii="Microsoft Sans Serif" w:hAnsi="Microsoft Sans Serif"/>
          <w:color w:val="231F20"/>
          <w:spacing w:val="-8"/>
          <w:w w:val="95"/>
          <w:sz w:val="16"/>
        </w:rPr>
        <w:t> </w:t>
      </w:r>
      <w:r>
        <w:rPr>
          <w:rFonts w:ascii="Microsoft Sans Serif" w:hAnsi="Microsoft Sans Serif"/>
          <w:color w:val="231F20"/>
          <w:w w:val="95"/>
          <w:sz w:val="16"/>
        </w:rPr>
        <w:t>denominación</w:t>
      </w:r>
      <w:r>
        <w:rPr>
          <w:rFonts w:ascii="Microsoft Sans Serif" w:hAnsi="Microsoft Sans Serif"/>
          <w:color w:val="231F20"/>
          <w:spacing w:val="-8"/>
          <w:w w:val="95"/>
          <w:sz w:val="16"/>
        </w:rPr>
        <w:t> </w:t>
      </w:r>
      <w:r>
        <w:rPr>
          <w:rFonts w:ascii="Microsoft Sans Serif" w:hAnsi="Microsoft Sans Serif"/>
          <w:color w:val="231F20"/>
          <w:w w:val="95"/>
          <w:sz w:val="16"/>
        </w:rPr>
        <w:t>"Alma</w:t>
      </w:r>
      <w:r>
        <w:rPr>
          <w:rFonts w:ascii="Microsoft Sans Serif" w:hAnsi="Microsoft Sans Serif"/>
          <w:color w:val="231F20"/>
          <w:spacing w:val="-8"/>
          <w:w w:val="95"/>
          <w:sz w:val="16"/>
        </w:rPr>
        <w:t> </w:t>
      </w:r>
      <w:r>
        <w:rPr>
          <w:rFonts w:ascii="Microsoft Sans Serif" w:hAnsi="Microsoft Sans Serif"/>
          <w:color w:val="231F20"/>
          <w:w w:val="95"/>
          <w:sz w:val="16"/>
        </w:rPr>
        <w:t>Mater</w:t>
      </w:r>
      <w:r>
        <w:rPr>
          <w:rFonts w:ascii="Microsoft Sans Serif" w:hAnsi="Microsoft Sans Serif"/>
          <w:color w:val="231F20"/>
          <w:spacing w:val="-8"/>
          <w:w w:val="95"/>
          <w:sz w:val="16"/>
        </w:rPr>
        <w:t> </w:t>
      </w:r>
      <w:r>
        <w:rPr>
          <w:rFonts w:ascii="Microsoft Sans Serif" w:hAnsi="Microsoft Sans Serif"/>
          <w:color w:val="231F20"/>
          <w:w w:val="95"/>
          <w:sz w:val="16"/>
        </w:rPr>
        <w:t>Studiorum–Università</w:t>
      </w:r>
      <w:r>
        <w:rPr>
          <w:rFonts w:ascii="Microsoft Sans Serif" w:hAnsi="Microsoft Sans Serif"/>
          <w:color w:val="231F20"/>
          <w:spacing w:val="-8"/>
          <w:w w:val="95"/>
          <w:sz w:val="16"/>
        </w:rPr>
        <w:t> </w:t>
      </w:r>
      <w:r>
        <w:rPr>
          <w:rFonts w:ascii="Microsoft Sans Serif" w:hAnsi="Microsoft Sans Serif"/>
          <w:color w:val="231F20"/>
          <w:w w:val="95"/>
          <w:sz w:val="16"/>
        </w:rPr>
        <w:t>di </w:t>
      </w:r>
      <w:r>
        <w:rPr>
          <w:rFonts w:ascii="Microsoft Sans Serif" w:hAnsi="Microsoft Sans Serif"/>
          <w:color w:val="231F20"/>
          <w:spacing w:val="-3"/>
          <w:w w:val="100"/>
          <w:sz w:val="16"/>
        </w:rPr>
        <w:t>B</w:t>
      </w:r>
      <w:r>
        <w:rPr>
          <w:rFonts w:ascii="Microsoft Sans Serif" w:hAnsi="Microsoft Sans Serif"/>
          <w:color w:val="231F20"/>
          <w:spacing w:val="-3"/>
          <w:w w:val="99"/>
          <w:sz w:val="16"/>
        </w:rPr>
        <w:t>o</w:t>
      </w:r>
      <w:r>
        <w:rPr>
          <w:rFonts w:ascii="Microsoft Sans Serif" w:hAnsi="Microsoft Sans Serif"/>
          <w:color w:val="231F20"/>
          <w:spacing w:val="-3"/>
          <w:w w:val="81"/>
          <w:sz w:val="16"/>
        </w:rPr>
        <w:t>l</w:t>
      </w:r>
      <w:r>
        <w:rPr>
          <w:rFonts w:ascii="Microsoft Sans Serif" w:hAnsi="Microsoft Sans Serif"/>
          <w:color w:val="231F20"/>
          <w:spacing w:val="-3"/>
          <w:w w:val="99"/>
          <w:sz w:val="16"/>
        </w:rPr>
        <w:t>og</w:t>
      </w:r>
      <w:r>
        <w:rPr>
          <w:rFonts w:ascii="Microsoft Sans Serif" w:hAnsi="Microsoft Sans Serif"/>
          <w:color w:val="231F20"/>
          <w:spacing w:val="-3"/>
          <w:w w:val="96"/>
          <w:sz w:val="16"/>
        </w:rPr>
        <w:t>n</w:t>
      </w:r>
      <w:r>
        <w:rPr>
          <w:rFonts w:ascii="Microsoft Sans Serif" w:hAnsi="Microsoft Sans Serif"/>
          <w:color w:val="231F20"/>
          <w:spacing w:val="-3"/>
          <w:w w:val="97"/>
          <w:sz w:val="16"/>
        </w:rPr>
        <w:t>a</w:t>
      </w:r>
      <w:r>
        <w:rPr>
          <w:rFonts w:ascii="Microsoft Sans Serif" w:hAnsi="Microsoft Sans Serif"/>
          <w:color w:val="231F20"/>
          <w:w w:val="97"/>
          <w:sz w:val="16"/>
        </w:rPr>
        <w:t>"</w:t>
      </w:r>
      <w:r>
        <w:rPr>
          <w:rFonts w:ascii="Microsoft Sans Serif" w:hAnsi="Microsoft Sans Serif"/>
          <w:color w:val="231F20"/>
          <w:spacing w:val="-13"/>
          <w:sz w:val="16"/>
        </w:rPr>
        <w:t> </w:t>
      </w:r>
      <w:r>
        <w:rPr>
          <w:rFonts w:ascii="Microsoft Sans Serif" w:hAnsi="Microsoft Sans Serif"/>
          <w:color w:val="231F20"/>
          <w:spacing w:val="-3"/>
          <w:w w:val="93"/>
          <w:sz w:val="16"/>
        </w:rPr>
        <w:t>a</w:t>
      </w:r>
      <w:r>
        <w:rPr>
          <w:rFonts w:ascii="Microsoft Sans Serif" w:hAnsi="Microsoft Sans Serif"/>
          <w:color w:val="231F20"/>
          <w:spacing w:val="-3"/>
          <w:w w:val="96"/>
          <w:sz w:val="16"/>
        </w:rPr>
        <w:t>u</w:t>
      </w:r>
      <w:r>
        <w:rPr>
          <w:rFonts w:ascii="Microsoft Sans Serif" w:hAnsi="Microsoft Sans Serif"/>
          <w:color w:val="231F20"/>
          <w:spacing w:val="-3"/>
          <w:w w:val="106"/>
          <w:sz w:val="16"/>
        </w:rPr>
        <w:t>t</w:t>
      </w:r>
      <w:r>
        <w:rPr>
          <w:rFonts w:ascii="Microsoft Sans Serif" w:hAnsi="Microsoft Sans Serif"/>
          <w:color w:val="231F20"/>
          <w:spacing w:val="-3"/>
          <w:w w:val="99"/>
          <w:sz w:val="16"/>
        </w:rPr>
        <w:t>o</w:t>
      </w:r>
      <w:r>
        <w:rPr>
          <w:rFonts w:ascii="Microsoft Sans Serif" w:hAnsi="Microsoft Sans Serif"/>
          <w:color w:val="231F20"/>
          <w:spacing w:val="-3"/>
          <w:w w:val="94"/>
          <w:sz w:val="16"/>
        </w:rPr>
        <w:t>r</w:t>
      </w:r>
      <w:r>
        <w:rPr>
          <w:rFonts w:ascii="Microsoft Sans Serif" w:hAnsi="Microsoft Sans Serif"/>
          <w:color w:val="231F20"/>
          <w:spacing w:val="-3"/>
          <w:w w:val="81"/>
          <w:sz w:val="16"/>
        </w:rPr>
        <w:t>i</w:t>
      </w:r>
      <w:r>
        <w:rPr>
          <w:rFonts w:ascii="Microsoft Sans Serif" w:hAnsi="Microsoft Sans Serif"/>
          <w:color w:val="231F20"/>
          <w:spacing w:val="-3"/>
          <w:w w:val="92"/>
          <w:sz w:val="16"/>
        </w:rPr>
        <w:t>z</w:t>
      </w:r>
      <w:r>
        <w:rPr>
          <w:rFonts w:ascii="Microsoft Sans Serif" w:hAnsi="Microsoft Sans Serif"/>
          <w:color w:val="231F20"/>
          <w:spacing w:val="-3"/>
          <w:w w:val="93"/>
          <w:sz w:val="16"/>
        </w:rPr>
        <w:t>a</w:t>
      </w:r>
      <w:r>
        <w:rPr>
          <w:rFonts w:ascii="Microsoft Sans Serif" w:hAnsi="Microsoft Sans Serif"/>
          <w:color w:val="231F20"/>
          <w:spacing w:val="-3"/>
          <w:w w:val="103"/>
          <w:sz w:val="16"/>
        </w:rPr>
        <w:t>d</w:t>
      </w:r>
      <w:r>
        <w:rPr>
          <w:rFonts w:ascii="Microsoft Sans Serif" w:hAnsi="Microsoft Sans Serif"/>
          <w:color w:val="231F20"/>
          <w:w w:val="99"/>
          <w:sz w:val="16"/>
        </w:rPr>
        <w:t>o</w:t>
      </w:r>
      <w:r>
        <w:rPr>
          <w:rFonts w:ascii="Microsoft Sans Serif" w:hAnsi="Microsoft Sans Serif"/>
          <w:color w:val="231F20"/>
          <w:spacing w:val="-13"/>
          <w:sz w:val="16"/>
        </w:rPr>
        <w:t> </w:t>
      </w:r>
      <w:r>
        <w:rPr>
          <w:rFonts w:ascii="Microsoft Sans Serif" w:hAnsi="Microsoft Sans Serif"/>
          <w:color w:val="231F20"/>
          <w:spacing w:val="-3"/>
          <w:w w:val="103"/>
          <w:sz w:val="16"/>
        </w:rPr>
        <w:t>p</w:t>
      </w:r>
      <w:r>
        <w:rPr>
          <w:rFonts w:ascii="Microsoft Sans Serif" w:hAnsi="Microsoft Sans Serif"/>
          <w:color w:val="231F20"/>
          <w:spacing w:val="-3"/>
          <w:w w:val="99"/>
          <w:sz w:val="16"/>
        </w:rPr>
        <w:t>o</w:t>
      </w:r>
      <w:r>
        <w:rPr>
          <w:rFonts w:ascii="Microsoft Sans Serif" w:hAnsi="Microsoft Sans Serif"/>
          <w:color w:val="231F20"/>
          <w:w w:val="94"/>
          <w:sz w:val="16"/>
        </w:rPr>
        <w:t>r</w:t>
      </w:r>
      <w:r>
        <w:rPr>
          <w:rFonts w:ascii="Microsoft Sans Serif" w:hAnsi="Microsoft Sans Serif"/>
          <w:color w:val="231F20"/>
          <w:spacing w:val="-13"/>
          <w:sz w:val="16"/>
        </w:rPr>
        <w:t> </w:t>
      </w:r>
      <w:r>
        <w:rPr>
          <w:rFonts w:ascii="Microsoft Sans Serif" w:hAnsi="Microsoft Sans Serif"/>
          <w:color w:val="231F20"/>
          <w:spacing w:val="-3"/>
          <w:w w:val="93"/>
          <w:sz w:val="16"/>
        </w:rPr>
        <w:t>e</w:t>
      </w:r>
      <w:r>
        <w:rPr>
          <w:rFonts w:ascii="Microsoft Sans Serif" w:hAnsi="Microsoft Sans Serif"/>
          <w:color w:val="231F20"/>
          <w:w w:val="81"/>
          <w:sz w:val="16"/>
        </w:rPr>
        <w:t>l</w:t>
      </w:r>
      <w:r>
        <w:rPr>
          <w:rFonts w:ascii="Microsoft Sans Serif" w:hAnsi="Microsoft Sans Serif"/>
          <w:color w:val="231F20"/>
          <w:spacing w:val="-13"/>
          <w:sz w:val="16"/>
        </w:rPr>
        <w:t> </w:t>
      </w:r>
      <w:r>
        <w:rPr>
          <w:rFonts w:ascii="Microsoft Sans Serif" w:hAnsi="Microsoft Sans Serif"/>
          <w:color w:val="231F20"/>
          <w:spacing w:val="-3"/>
          <w:w w:val="94"/>
          <w:sz w:val="16"/>
        </w:rPr>
        <w:t>U</w:t>
      </w:r>
      <w:r>
        <w:rPr>
          <w:rFonts w:ascii="Microsoft Sans Serif" w:hAnsi="Microsoft Sans Serif"/>
          <w:color w:val="231F20"/>
          <w:w w:val="87"/>
          <w:sz w:val="16"/>
        </w:rPr>
        <w:t>ff</w:t>
      </w:r>
      <w:r>
        <w:rPr>
          <w:rFonts w:ascii="Microsoft Sans Serif" w:hAnsi="Microsoft Sans Serif"/>
          <w:color w:val="231F20"/>
          <w:spacing w:val="-3"/>
          <w:w w:val="87"/>
          <w:sz w:val="16"/>
        </w:rPr>
        <w:t>i</w:t>
      </w:r>
      <w:r>
        <w:rPr>
          <w:rFonts w:ascii="Microsoft Sans Serif" w:hAnsi="Microsoft Sans Serif"/>
          <w:color w:val="231F20"/>
          <w:spacing w:val="-3"/>
          <w:w w:val="103"/>
          <w:sz w:val="16"/>
        </w:rPr>
        <w:t>c</w:t>
      </w:r>
      <w:r>
        <w:rPr>
          <w:rFonts w:ascii="Microsoft Sans Serif" w:hAnsi="Microsoft Sans Serif"/>
          <w:color w:val="231F20"/>
          <w:spacing w:val="-3"/>
          <w:w w:val="81"/>
          <w:sz w:val="16"/>
        </w:rPr>
        <w:t>i</w:t>
      </w:r>
      <w:r>
        <w:rPr>
          <w:rFonts w:ascii="Microsoft Sans Serif" w:hAnsi="Microsoft Sans Serif"/>
          <w:color w:val="231F20"/>
          <w:w w:val="99"/>
          <w:sz w:val="16"/>
        </w:rPr>
        <w:t>o</w:t>
      </w:r>
      <w:r>
        <w:rPr>
          <w:rFonts w:ascii="Microsoft Sans Serif" w:hAnsi="Microsoft Sans Serif"/>
          <w:color w:val="231F20"/>
          <w:spacing w:val="-13"/>
          <w:sz w:val="16"/>
        </w:rPr>
        <w:t> </w:t>
      </w:r>
      <w:r>
        <w:rPr>
          <w:rFonts w:ascii="Microsoft Sans Serif" w:hAnsi="Microsoft Sans Serif"/>
          <w:color w:val="231F20"/>
          <w:spacing w:val="-3"/>
          <w:w w:val="97"/>
          <w:sz w:val="16"/>
        </w:rPr>
        <w:t>C</w:t>
      </w:r>
      <w:r>
        <w:rPr>
          <w:rFonts w:ascii="Microsoft Sans Serif" w:hAnsi="Microsoft Sans Serif"/>
          <w:color w:val="231F20"/>
          <w:spacing w:val="-3"/>
          <w:w w:val="99"/>
          <w:sz w:val="16"/>
        </w:rPr>
        <w:t>o</w:t>
      </w:r>
      <w:r>
        <w:rPr>
          <w:rFonts w:ascii="Microsoft Sans Serif" w:hAnsi="Microsoft Sans Serif"/>
          <w:color w:val="231F20"/>
          <w:spacing w:val="-3"/>
          <w:w w:val="99"/>
          <w:sz w:val="16"/>
        </w:rPr>
        <w:t>m</w:t>
      </w:r>
      <w:r>
        <w:rPr>
          <w:rFonts w:ascii="Microsoft Sans Serif" w:hAnsi="Microsoft Sans Serif"/>
          <w:color w:val="231F20"/>
          <w:spacing w:val="-3"/>
          <w:w w:val="96"/>
          <w:sz w:val="16"/>
        </w:rPr>
        <w:t>un</w:t>
      </w:r>
      <w:r>
        <w:rPr>
          <w:rFonts w:ascii="Microsoft Sans Serif" w:hAnsi="Microsoft Sans Serif"/>
          <w:color w:val="231F20"/>
          <w:spacing w:val="-3"/>
          <w:w w:val="81"/>
          <w:sz w:val="16"/>
        </w:rPr>
        <w:t>i</w:t>
      </w:r>
      <w:r>
        <w:rPr>
          <w:rFonts w:ascii="Microsoft Sans Serif" w:hAnsi="Microsoft Sans Serif"/>
          <w:color w:val="231F20"/>
          <w:spacing w:val="-3"/>
          <w:w w:val="103"/>
          <w:sz w:val="16"/>
        </w:rPr>
        <w:t>c</w:t>
      </w:r>
      <w:r>
        <w:rPr>
          <w:rFonts w:ascii="Microsoft Sans Serif" w:hAnsi="Microsoft Sans Serif"/>
          <w:color w:val="231F20"/>
          <w:spacing w:val="-3"/>
          <w:w w:val="93"/>
          <w:sz w:val="16"/>
        </w:rPr>
        <w:t>a</w:t>
      </w:r>
      <w:r>
        <w:rPr>
          <w:rFonts w:ascii="Microsoft Sans Serif" w:hAnsi="Microsoft Sans Serif"/>
          <w:color w:val="231F20"/>
          <w:spacing w:val="-3"/>
          <w:w w:val="92"/>
          <w:sz w:val="16"/>
        </w:rPr>
        <w:t>z</w:t>
      </w:r>
      <w:r>
        <w:rPr>
          <w:rFonts w:ascii="Microsoft Sans Serif" w:hAnsi="Microsoft Sans Serif"/>
          <w:color w:val="231F20"/>
          <w:spacing w:val="-3"/>
          <w:w w:val="81"/>
          <w:sz w:val="16"/>
        </w:rPr>
        <w:t>i</w:t>
      </w:r>
      <w:r>
        <w:rPr>
          <w:rFonts w:ascii="Microsoft Sans Serif" w:hAnsi="Microsoft Sans Serif"/>
          <w:color w:val="231F20"/>
          <w:spacing w:val="-3"/>
          <w:w w:val="98"/>
          <w:sz w:val="16"/>
        </w:rPr>
        <w:t>on</w:t>
      </w:r>
      <w:r>
        <w:rPr>
          <w:rFonts w:ascii="Microsoft Sans Serif" w:hAnsi="Microsoft Sans Serif"/>
          <w:color w:val="231F20"/>
          <w:w w:val="93"/>
          <w:sz w:val="16"/>
        </w:rPr>
        <w:t>e</w:t>
      </w:r>
      <w:r>
        <w:rPr>
          <w:rFonts w:ascii="Microsoft Sans Serif" w:hAnsi="Microsoft Sans Serif"/>
          <w:color w:val="231F20"/>
          <w:spacing w:val="-13"/>
          <w:sz w:val="16"/>
        </w:rPr>
        <w:t> </w:t>
      </w:r>
      <w:r>
        <w:rPr>
          <w:rFonts w:ascii="Microsoft Sans Serif" w:hAnsi="Microsoft Sans Serif"/>
          <w:color w:val="231F20"/>
          <w:spacing w:val="-3"/>
          <w:w w:val="79"/>
          <w:sz w:val="16"/>
        </w:rPr>
        <w:t>I</w:t>
      </w:r>
      <w:r>
        <w:rPr>
          <w:rFonts w:ascii="Microsoft Sans Serif" w:hAnsi="Microsoft Sans Serif"/>
          <w:color w:val="231F20"/>
          <w:spacing w:val="-3"/>
          <w:w w:val="96"/>
          <w:sz w:val="16"/>
        </w:rPr>
        <w:t>s</w:t>
      </w:r>
      <w:r>
        <w:rPr>
          <w:rFonts w:ascii="Microsoft Sans Serif" w:hAnsi="Microsoft Sans Serif"/>
          <w:color w:val="231F20"/>
          <w:spacing w:val="-3"/>
          <w:w w:val="106"/>
          <w:sz w:val="16"/>
        </w:rPr>
        <w:t>t</w:t>
      </w:r>
      <w:r>
        <w:rPr>
          <w:rFonts w:ascii="Microsoft Sans Serif" w:hAnsi="Microsoft Sans Serif"/>
          <w:color w:val="231F20"/>
          <w:spacing w:val="-3"/>
          <w:w w:val="81"/>
          <w:sz w:val="16"/>
        </w:rPr>
        <w:t>i</w:t>
      </w:r>
      <w:r>
        <w:rPr>
          <w:rFonts w:ascii="Microsoft Sans Serif" w:hAnsi="Microsoft Sans Serif"/>
          <w:color w:val="231F20"/>
          <w:spacing w:val="-3"/>
          <w:w w:val="106"/>
          <w:sz w:val="16"/>
        </w:rPr>
        <w:t>t</w:t>
      </w:r>
      <w:r>
        <w:rPr>
          <w:rFonts w:ascii="Microsoft Sans Serif" w:hAnsi="Microsoft Sans Serif"/>
          <w:color w:val="231F20"/>
          <w:spacing w:val="-3"/>
          <w:w w:val="96"/>
          <w:sz w:val="16"/>
        </w:rPr>
        <w:t>u</w:t>
      </w:r>
      <w:r>
        <w:rPr>
          <w:rFonts w:ascii="Microsoft Sans Serif" w:hAnsi="Microsoft Sans Serif"/>
          <w:color w:val="231F20"/>
          <w:spacing w:val="-3"/>
          <w:w w:val="92"/>
          <w:sz w:val="16"/>
        </w:rPr>
        <w:t>z</w:t>
      </w:r>
      <w:r>
        <w:rPr>
          <w:rFonts w:ascii="Microsoft Sans Serif" w:hAnsi="Microsoft Sans Serif"/>
          <w:color w:val="231F20"/>
          <w:spacing w:val="-3"/>
          <w:w w:val="81"/>
          <w:sz w:val="16"/>
        </w:rPr>
        <w:t>i</w:t>
      </w:r>
      <w:r>
        <w:rPr>
          <w:rFonts w:ascii="Microsoft Sans Serif" w:hAnsi="Microsoft Sans Serif"/>
          <w:color w:val="231F20"/>
          <w:spacing w:val="-3"/>
          <w:w w:val="99"/>
          <w:sz w:val="16"/>
        </w:rPr>
        <w:t>o</w:t>
      </w:r>
      <w:r>
        <w:rPr>
          <w:rFonts w:ascii="Microsoft Sans Serif" w:hAnsi="Microsoft Sans Serif"/>
          <w:color w:val="231F20"/>
          <w:spacing w:val="-3"/>
          <w:w w:val="96"/>
          <w:sz w:val="16"/>
        </w:rPr>
        <w:t>n</w:t>
      </w:r>
      <w:r>
        <w:rPr>
          <w:rFonts w:ascii="Microsoft Sans Serif" w:hAnsi="Microsoft Sans Serif"/>
          <w:color w:val="231F20"/>
          <w:spacing w:val="-3"/>
          <w:w w:val="93"/>
          <w:sz w:val="16"/>
        </w:rPr>
        <w:t>a</w:t>
      </w:r>
      <w:r>
        <w:rPr>
          <w:rFonts w:ascii="Microsoft Sans Serif" w:hAnsi="Microsoft Sans Serif"/>
          <w:color w:val="231F20"/>
          <w:spacing w:val="-3"/>
          <w:w w:val="81"/>
          <w:sz w:val="16"/>
        </w:rPr>
        <w:t>l</w:t>
      </w:r>
      <w:r>
        <w:rPr>
          <w:rFonts w:ascii="Microsoft Sans Serif" w:hAnsi="Microsoft Sans Serif"/>
          <w:color w:val="231F20"/>
          <w:spacing w:val="-3"/>
          <w:w w:val="93"/>
          <w:sz w:val="16"/>
        </w:rPr>
        <w:t>e</w:t>
      </w:r>
      <w:r>
        <w:rPr>
          <w:rFonts w:ascii="Microsoft Sans Serif" w:hAnsi="Microsoft Sans Serif"/>
          <w:color w:val="231F20"/>
          <w:w w:val="170"/>
          <w:sz w:val="16"/>
        </w:rPr>
        <w:t>– </w:t>
      </w:r>
      <w:r>
        <w:rPr>
          <w:rFonts w:ascii="Microsoft Sans Serif" w:hAnsi="Microsoft Sans Serif"/>
          <w:color w:val="231F20"/>
          <w:sz w:val="16"/>
        </w:rPr>
        <w:t>Unibo</w:t>
      </w:r>
      <w:r>
        <w:rPr>
          <w:rFonts w:ascii="Microsoft Sans Serif" w:hAnsi="Microsoft Sans Serif"/>
          <w:color w:val="231F20"/>
          <w:spacing w:val="-7"/>
          <w:sz w:val="16"/>
        </w:rPr>
        <w:t> </w:t>
      </w:r>
      <w:r>
        <w:rPr>
          <w:rFonts w:ascii="Microsoft Sans Serif" w:hAnsi="Microsoft Sans Serif"/>
          <w:color w:val="231F20"/>
          <w:sz w:val="16"/>
        </w:rPr>
        <w:t>el</w:t>
      </w:r>
      <w:r>
        <w:rPr>
          <w:rFonts w:ascii="Microsoft Sans Serif" w:hAnsi="Microsoft Sans Serif"/>
          <w:color w:val="231F20"/>
          <w:spacing w:val="-7"/>
          <w:sz w:val="16"/>
        </w:rPr>
        <w:t> </w:t>
      </w:r>
      <w:r>
        <w:rPr>
          <w:rFonts w:ascii="Microsoft Sans Serif" w:hAnsi="Microsoft Sans Serif"/>
          <w:color w:val="231F20"/>
          <w:sz w:val="16"/>
        </w:rPr>
        <w:t>21</w:t>
      </w:r>
      <w:r>
        <w:rPr>
          <w:rFonts w:ascii="Microsoft Sans Serif" w:hAnsi="Microsoft Sans Serif"/>
          <w:color w:val="231F20"/>
          <w:spacing w:val="-7"/>
          <w:sz w:val="16"/>
        </w:rPr>
        <w:t> </w:t>
      </w:r>
      <w:r>
        <w:rPr>
          <w:rFonts w:ascii="Microsoft Sans Serif" w:hAnsi="Microsoft Sans Serif"/>
          <w:color w:val="231F20"/>
          <w:sz w:val="16"/>
        </w:rPr>
        <w:t>de</w:t>
      </w:r>
      <w:r>
        <w:rPr>
          <w:rFonts w:ascii="Microsoft Sans Serif" w:hAnsi="Microsoft Sans Serif"/>
          <w:color w:val="231F20"/>
          <w:spacing w:val="-7"/>
          <w:sz w:val="16"/>
        </w:rPr>
        <w:t> </w:t>
      </w:r>
      <w:r>
        <w:rPr>
          <w:rFonts w:ascii="Microsoft Sans Serif" w:hAnsi="Microsoft Sans Serif"/>
          <w:color w:val="231F20"/>
          <w:sz w:val="16"/>
        </w:rPr>
        <w:t>enero</w:t>
      </w:r>
      <w:r>
        <w:rPr>
          <w:rFonts w:ascii="Microsoft Sans Serif" w:hAnsi="Microsoft Sans Serif"/>
          <w:color w:val="231F20"/>
          <w:spacing w:val="-7"/>
          <w:sz w:val="16"/>
        </w:rPr>
        <w:t> </w:t>
      </w:r>
      <w:r>
        <w:rPr>
          <w:rFonts w:ascii="Microsoft Sans Serif" w:hAnsi="Microsoft Sans Serif"/>
          <w:color w:val="231F20"/>
          <w:sz w:val="16"/>
        </w:rPr>
        <w:t>de</w:t>
      </w:r>
      <w:r>
        <w:rPr>
          <w:rFonts w:ascii="Microsoft Sans Serif" w:hAnsi="Microsoft Sans Serif"/>
          <w:color w:val="231F20"/>
          <w:spacing w:val="-7"/>
          <w:sz w:val="16"/>
        </w:rPr>
        <w:t> </w:t>
      </w:r>
      <w:r>
        <w:rPr>
          <w:rFonts w:ascii="Microsoft Sans Serif" w:hAnsi="Microsoft Sans Serif"/>
          <w:color w:val="231F20"/>
          <w:sz w:val="16"/>
        </w:rPr>
        <w:t>2016.</w:t>
      </w:r>
    </w:p>
    <w:p>
      <w:pPr>
        <w:pStyle w:val="BodyText"/>
        <w:spacing w:before="10"/>
        <w:rPr>
          <w:rFonts w:ascii="Microsoft Sans Serif"/>
          <w:sz w:val="16"/>
        </w:rPr>
      </w:pPr>
    </w:p>
    <w:p>
      <w:pPr>
        <w:spacing w:line="254" w:lineRule="auto" w:before="1"/>
        <w:ind w:left="103" w:right="2890" w:firstLine="0"/>
        <w:jc w:val="both"/>
        <w:rPr>
          <w:rFonts w:ascii="Microsoft Sans Serif" w:hAnsi="Microsoft Sans Serif"/>
          <w:sz w:val="16"/>
        </w:rPr>
      </w:pPr>
      <w:r>
        <w:rPr>
          <w:rFonts w:ascii="Microsoft Sans Serif" w:hAnsi="Microsoft Sans Serif"/>
          <w:color w:val="231F20"/>
          <w:spacing w:val="2"/>
          <w:sz w:val="16"/>
        </w:rPr>
        <w:t>El </w:t>
      </w:r>
      <w:r>
        <w:rPr>
          <w:rFonts w:ascii="Microsoft Sans Serif" w:hAnsi="Microsoft Sans Serif"/>
          <w:color w:val="231F20"/>
          <w:spacing w:val="4"/>
          <w:sz w:val="16"/>
        </w:rPr>
        <w:t>contenido </w:t>
      </w:r>
      <w:r>
        <w:rPr>
          <w:rFonts w:ascii="Microsoft Sans Serif" w:hAnsi="Microsoft Sans Serif"/>
          <w:color w:val="231F20"/>
          <w:spacing w:val="2"/>
          <w:sz w:val="16"/>
        </w:rPr>
        <w:t>de </w:t>
      </w:r>
      <w:r>
        <w:rPr>
          <w:rFonts w:ascii="Microsoft Sans Serif" w:hAnsi="Microsoft Sans Serif"/>
          <w:color w:val="231F20"/>
          <w:spacing w:val="3"/>
          <w:sz w:val="16"/>
        </w:rPr>
        <w:t>esta </w:t>
      </w:r>
      <w:r>
        <w:rPr>
          <w:rFonts w:ascii="Microsoft Sans Serif" w:hAnsi="Microsoft Sans Serif"/>
          <w:color w:val="231F20"/>
          <w:spacing w:val="4"/>
          <w:sz w:val="16"/>
        </w:rPr>
        <w:t>publicación </w:t>
      </w:r>
      <w:r>
        <w:rPr>
          <w:rFonts w:ascii="Microsoft Sans Serif" w:hAnsi="Microsoft Sans Serif"/>
          <w:color w:val="231F20"/>
          <w:spacing w:val="2"/>
          <w:sz w:val="16"/>
        </w:rPr>
        <w:t>es  </w:t>
      </w:r>
      <w:r>
        <w:rPr>
          <w:rFonts w:ascii="Microsoft Sans Serif" w:hAnsi="Microsoft Sans Serif"/>
          <w:color w:val="231F20"/>
          <w:spacing w:val="4"/>
          <w:sz w:val="16"/>
        </w:rPr>
        <w:t>responsabilidad </w:t>
      </w:r>
      <w:r>
        <w:rPr>
          <w:rFonts w:ascii="Microsoft Sans Serif" w:hAnsi="Microsoft Sans Serif"/>
          <w:color w:val="231F20"/>
          <w:sz w:val="16"/>
        </w:rPr>
        <w:t>de los</w:t>
      </w:r>
      <w:r>
        <w:rPr>
          <w:rFonts w:ascii="Microsoft Sans Serif" w:hAnsi="Microsoft Sans Serif"/>
          <w:color w:val="231F20"/>
          <w:spacing w:val="-30"/>
          <w:sz w:val="16"/>
        </w:rPr>
        <w:t> </w:t>
      </w:r>
      <w:r>
        <w:rPr>
          <w:rFonts w:ascii="Microsoft Sans Serif" w:hAnsi="Microsoft Sans Serif"/>
          <w:color w:val="231F20"/>
          <w:sz w:val="16"/>
        </w:rPr>
        <w:t>autores.</w:t>
      </w:r>
    </w:p>
    <w:p>
      <w:pPr>
        <w:pStyle w:val="BodyText"/>
        <w:spacing w:before="8"/>
        <w:rPr>
          <w:rFonts w:ascii="Microsoft Sans Serif"/>
          <w:sz w:val="16"/>
        </w:rPr>
      </w:pPr>
    </w:p>
    <w:p>
      <w:pPr>
        <w:spacing w:line="252" w:lineRule="auto" w:before="0"/>
        <w:ind w:left="103" w:right="2894" w:firstLine="0"/>
        <w:jc w:val="both"/>
        <w:rPr>
          <w:rFonts w:ascii="Microsoft Sans Serif" w:hAnsi="Microsoft Sans Serif"/>
          <w:sz w:val="16"/>
        </w:rPr>
      </w:pPr>
      <w:r>
        <w:rPr>
          <w:rFonts w:ascii="Arial" w:hAnsi="Arial"/>
          <w:color w:val="231F20"/>
          <w:sz w:val="16"/>
        </w:rPr>
        <w:t>Queda</w:t>
      </w:r>
      <w:r>
        <w:rPr>
          <w:rFonts w:ascii="Arial" w:hAnsi="Arial"/>
          <w:color w:val="231F20"/>
          <w:spacing w:val="-28"/>
          <w:sz w:val="16"/>
        </w:rPr>
        <w:t> </w:t>
      </w:r>
      <w:r>
        <w:rPr>
          <w:rFonts w:ascii="Arial" w:hAnsi="Arial"/>
          <w:color w:val="231F20"/>
          <w:sz w:val="16"/>
        </w:rPr>
        <w:t>prohibida</w:t>
      </w:r>
      <w:r>
        <w:rPr>
          <w:rFonts w:ascii="Arial" w:hAnsi="Arial"/>
          <w:color w:val="231F20"/>
          <w:spacing w:val="-28"/>
          <w:sz w:val="16"/>
        </w:rPr>
        <w:t> </w:t>
      </w:r>
      <w:r>
        <w:rPr>
          <w:rFonts w:ascii="Arial" w:hAnsi="Arial"/>
          <w:color w:val="231F20"/>
          <w:sz w:val="16"/>
        </w:rPr>
        <w:t>la</w:t>
      </w:r>
      <w:r>
        <w:rPr>
          <w:rFonts w:ascii="Arial" w:hAnsi="Arial"/>
          <w:color w:val="231F20"/>
          <w:spacing w:val="-28"/>
          <w:sz w:val="16"/>
        </w:rPr>
        <w:t> </w:t>
      </w:r>
      <w:r>
        <w:rPr>
          <w:rFonts w:ascii="Arial" w:hAnsi="Arial"/>
          <w:color w:val="231F20"/>
          <w:sz w:val="16"/>
        </w:rPr>
        <w:t>reproducción</w:t>
      </w:r>
      <w:r>
        <w:rPr>
          <w:rFonts w:ascii="Arial" w:hAnsi="Arial"/>
          <w:color w:val="231F20"/>
          <w:spacing w:val="-28"/>
          <w:sz w:val="16"/>
        </w:rPr>
        <w:t> </w:t>
      </w:r>
      <w:r>
        <w:rPr>
          <w:rFonts w:ascii="Arial" w:hAnsi="Arial"/>
          <w:color w:val="231F20"/>
          <w:sz w:val="16"/>
        </w:rPr>
        <w:t>parcial</w:t>
      </w:r>
      <w:r>
        <w:rPr>
          <w:rFonts w:ascii="Arial" w:hAnsi="Arial"/>
          <w:color w:val="231F20"/>
          <w:spacing w:val="-28"/>
          <w:sz w:val="16"/>
        </w:rPr>
        <w:t> </w:t>
      </w:r>
      <w:r>
        <w:rPr>
          <w:rFonts w:ascii="Arial" w:hAnsi="Arial"/>
          <w:color w:val="231F20"/>
          <w:sz w:val="16"/>
        </w:rPr>
        <w:t>o</w:t>
      </w:r>
      <w:r>
        <w:rPr>
          <w:rFonts w:ascii="Arial" w:hAnsi="Arial"/>
          <w:color w:val="231F20"/>
          <w:spacing w:val="-28"/>
          <w:sz w:val="16"/>
        </w:rPr>
        <w:t> </w:t>
      </w:r>
      <w:r>
        <w:rPr>
          <w:rFonts w:ascii="Arial" w:hAnsi="Arial"/>
          <w:color w:val="231F20"/>
          <w:sz w:val="16"/>
        </w:rPr>
        <w:t>total</w:t>
      </w:r>
      <w:r>
        <w:rPr>
          <w:rFonts w:ascii="Arial" w:hAnsi="Arial"/>
          <w:color w:val="231F20"/>
          <w:spacing w:val="-28"/>
          <w:sz w:val="16"/>
        </w:rPr>
        <w:t> </w:t>
      </w:r>
      <w:r>
        <w:rPr>
          <w:rFonts w:ascii="Arial" w:hAnsi="Arial"/>
          <w:color w:val="231F20"/>
          <w:sz w:val="16"/>
        </w:rPr>
        <w:t>del</w:t>
      </w:r>
      <w:r>
        <w:rPr>
          <w:rFonts w:ascii="Arial" w:hAnsi="Arial"/>
          <w:color w:val="231F20"/>
          <w:spacing w:val="-28"/>
          <w:sz w:val="16"/>
        </w:rPr>
        <w:t> </w:t>
      </w:r>
      <w:r>
        <w:rPr>
          <w:rFonts w:ascii="Arial" w:hAnsi="Arial"/>
          <w:color w:val="231F20"/>
          <w:sz w:val="16"/>
        </w:rPr>
        <w:t>contenido de</w:t>
      </w:r>
      <w:r>
        <w:rPr>
          <w:rFonts w:ascii="Arial" w:hAnsi="Arial"/>
          <w:color w:val="231F20"/>
          <w:spacing w:val="-29"/>
          <w:sz w:val="16"/>
        </w:rPr>
        <w:t> </w:t>
      </w:r>
      <w:r>
        <w:rPr>
          <w:rFonts w:ascii="Arial" w:hAnsi="Arial"/>
          <w:color w:val="231F20"/>
          <w:sz w:val="16"/>
        </w:rPr>
        <w:t>la</w:t>
      </w:r>
      <w:r>
        <w:rPr>
          <w:rFonts w:ascii="Arial" w:hAnsi="Arial"/>
          <w:color w:val="231F20"/>
          <w:spacing w:val="-29"/>
          <w:sz w:val="16"/>
        </w:rPr>
        <w:t> </w:t>
      </w:r>
      <w:r>
        <w:rPr>
          <w:rFonts w:ascii="Arial" w:hAnsi="Arial"/>
          <w:color w:val="231F20"/>
          <w:spacing w:val="-3"/>
          <w:sz w:val="16"/>
        </w:rPr>
        <w:t>presente</w:t>
      </w:r>
      <w:r>
        <w:rPr>
          <w:rFonts w:ascii="Arial" w:hAnsi="Arial"/>
          <w:color w:val="231F20"/>
          <w:spacing w:val="-29"/>
          <w:sz w:val="16"/>
        </w:rPr>
        <w:t> </w:t>
      </w:r>
      <w:r>
        <w:rPr>
          <w:rFonts w:ascii="Arial" w:hAnsi="Arial"/>
          <w:color w:val="231F20"/>
          <w:spacing w:val="-3"/>
          <w:sz w:val="16"/>
        </w:rPr>
        <w:t>obra,</w:t>
      </w:r>
      <w:r>
        <w:rPr>
          <w:rFonts w:ascii="Arial" w:hAnsi="Arial"/>
          <w:color w:val="231F20"/>
          <w:spacing w:val="-29"/>
          <w:sz w:val="16"/>
        </w:rPr>
        <w:t> </w:t>
      </w:r>
      <w:r>
        <w:rPr>
          <w:rFonts w:ascii="Arial" w:hAnsi="Arial"/>
          <w:color w:val="231F20"/>
          <w:sz w:val="16"/>
        </w:rPr>
        <w:t>sin</w:t>
      </w:r>
      <w:r>
        <w:rPr>
          <w:rFonts w:ascii="Arial" w:hAnsi="Arial"/>
          <w:color w:val="231F20"/>
          <w:spacing w:val="-29"/>
          <w:sz w:val="16"/>
        </w:rPr>
        <w:t> </w:t>
      </w:r>
      <w:r>
        <w:rPr>
          <w:rFonts w:ascii="Arial" w:hAnsi="Arial"/>
          <w:color w:val="231F20"/>
          <w:spacing w:val="-3"/>
          <w:sz w:val="16"/>
        </w:rPr>
        <w:t>contar</w:t>
      </w:r>
      <w:r>
        <w:rPr>
          <w:rFonts w:ascii="Arial" w:hAnsi="Arial"/>
          <w:color w:val="231F20"/>
          <w:spacing w:val="-29"/>
          <w:sz w:val="16"/>
        </w:rPr>
        <w:t> </w:t>
      </w:r>
      <w:r>
        <w:rPr>
          <w:rFonts w:ascii="Arial" w:hAnsi="Arial"/>
          <w:color w:val="231F20"/>
          <w:spacing w:val="-3"/>
          <w:sz w:val="16"/>
        </w:rPr>
        <w:t>previamente</w:t>
      </w:r>
      <w:r>
        <w:rPr>
          <w:rFonts w:ascii="Arial" w:hAnsi="Arial"/>
          <w:color w:val="231F20"/>
          <w:spacing w:val="-29"/>
          <w:sz w:val="16"/>
        </w:rPr>
        <w:t> </w:t>
      </w:r>
      <w:r>
        <w:rPr>
          <w:rFonts w:ascii="Arial" w:hAnsi="Arial"/>
          <w:color w:val="231F20"/>
          <w:sz w:val="16"/>
        </w:rPr>
        <w:t>con</w:t>
      </w:r>
      <w:r>
        <w:rPr>
          <w:rFonts w:ascii="Arial" w:hAnsi="Arial"/>
          <w:color w:val="231F20"/>
          <w:spacing w:val="-29"/>
          <w:sz w:val="16"/>
        </w:rPr>
        <w:t> </w:t>
      </w:r>
      <w:r>
        <w:rPr>
          <w:rFonts w:ascii="Arial" w:hAnsi="Arial"/>
          <w:color w:val="231F20"/>
          <w:sz w:val="16"/>
        </w:rPr>
        <w:t>la</w:t>
      </w:r>
      <w:r>
        <w:rPr>
          <w:rFonts w:ascii="Arial" w:hAnsi="Arial"/>
          <w:color w:val="231F20"/>
          <w:spacing w:val="-29"/>
          <w:sz w:val="16"/>
        </w:rPr>
        <w:t> </w:t>
      </w:r>
      <w:r>
        <w:rPr>
          <w:rFonts w:ascii="Arial" w:hAnsi="Arial"/>
          <w:color w:val="231F20"/>
          <w:spacing w:val="-3"/>
          <w:sz w:val="16"/>
        </w:rPr>
        <w:t>autorización </w:t>
      </w:r>
      <w:r>
        <w:rPr>
          <w:rFonts w:ascii="Arial" w:hAnsi="Arial"/>
          <w:color w:val="231F20"/>
          <w:sz w:val="16"/>
        </w:rPr>
        <w:t>por</w:t>
      </w:r>
      <w:r>
        <w:rPr>
          <w:rFonts w:ascii="Arial" w:hAnsi="Arial"/>
          <w:color w:val="231F20"/>
          <w:spacing w:val="-9"/>
          <w:sz w:val="16"/>
        </w:rPr>
        <w:t> </w:t>
      </w:r>
      <w:r>
        <w:rPr>
          <w:rFonts w:ascii="Arial" w:hAnsi="Arial"/>
          <w:color w:val="231F20"/>
          <w:sz w:val="16"/>
        </w:rPr>
        <w:t>escrito</w:t>
      </w:r>
      <w:r>
        <w:rPr>
          <w:rFonts w:ascii="Arial" w:hAnsi="Arial"/>
          <w:color w:val="231F20"/>
          <w:spacing w:val="-9"/>
          <w:sz w:val="16"/>
        </w:rPr>
        <w:t> </w:t>
      </w:r>
      <w:r>
        <w:rPr>
          <w:rFonts w:ascii="Arial" w:hAnsi="Arial"/>
          <w:color w:val="231F20"/>
          <w:sz w:val="16"/>
        </w:rPr>
        <w:t>del</w:t>
      </w:r>
      <w:r>
        <w:rPr>
          <w:rFonts w:ascii="Arial" w:hAnsi="Arial"/>
          <w:color w:val="231F20"/>
          <w:spacing w:val="-9"/>
          <w:sz w:val="16"/>
        </w:rPr>
        <w:t> </w:t>
      </w:r>
      <w:r>
        <w:rPr>
          <w:rFonts w:ascii="Arial" w:hAnsi="Arial"/>
          <w:color w:val="231F20"/>
          <w:sz w:val="16"/>
        </w:rPr>
        <w:t>titular</w:t>
      </w:r>
      <w:r>
        <w:rPr>
          <w:rFonts w:ascii="Arial" w:hAnsi="Arial"/>
          <w:color w:val="231F20"/>
          <w:spacing w:val="-9"/>
          <w:sz w:val="16"/>
        </w:rPr>
        <w:t> </w:t>
      </w:r>
      <w:r>
        <w:rPr>
          <w:rFonts w:ascii="Arial" w:hAnsi="Arial"/>
          <w:color w:val="231F20"/>
          <w:sz w:val="16"/>
        </w:rPr>
        <w:t>de</w:t>
      </w:r>
      <w:r>
        <w:rPr>
          <w:rFonts w:ascii="Arial" w:hAnsi="Arial"/>
          <w:color w:val="231F20"/>
          <w:spacing w:val="-9"/>
          <w:sz w:val="16"/>
        </w:rPr>
        <w:t> </w:t>
      </w:r>
      <w:r>
        <w:rPr>
          <w:rFonts w:ascii="Arial" w:hAnsi="Arial"/>
          <w:color w:val="231F20"/>
          <w:sz w:val="16"/>
        </w:rPr>
        <w:t>los</w:t>
      </w:r>
      <w:r>
        <w:rPr>
          <w:rFonts w:ascii="Arial" w:hAnsi="Arial"/>
          <w:color w:val="231F20"/>
          <w:spacing w:val="-9"/>
          <w:sz w:val="16"/>
        </w:rPr>
        <w:t> </w:t>
      </w:r>
      <w:r>
        <w:rPr>
          <w:rFonts w:ascii="Arial" w:hAnsi="Arial"/>
          <w:color w:val="231F20"/>
          <w:sz w:val="16"/>
        </w:rPr>
        <w:t>derechos</w:t>
      </w:r>
      <w:r>
        <w:rPr>
          <w:rFonts w:ascii="Arial" w:hAnsi="Arial"/>
          <w:color w:val="231F20"/>
          <w:spacing w:val="-9"/>
          <w:sz w:val="16"/>
        </w:rPr>
        <w:t> </w:t>
      </w:r>
      <w:r>
        <w:rPr>
          <w:rFonts w:ascii="Arial" w:hAnsi="Arial"/>
          <w:color w:val="231F20"/>
          <w:sz w:val="16"/>
        </w:rPr>
        <w:t>en</w:t>
      </w:r>
      <w:r>
        <w:rPr>
          <w:rFonts w:ascii="Arial" w:hAnsi="Arial"/>
          <w:color w:val="231F20"/>
          <w:spacing w:val="-9"/>
          <w:sz w:val="16"/>
        </w:rPr>
        <w:t> </w:t>
      </w:r>
      <w:r>
        <w:rPr>
          <w:rFonts w:ascii="Arial" w:hAnsi="Arial"/>
          <w:color w:val="231F20"/>
          <w:sz w:val="16"/>
        </w:rPr>
        <w:t>términos</w:t>
      </w:r>
      <w:r>
        <w:rPr>
          <w:rFonts w:ascii="Arial" w:hAnsi="Arial"/>
          <w:color w:val="231F20"/>
          <w:spacing w:val="-9"/>
          <w:sz w:val="16"/>
        </w:rPr>
        <w:t> </w:t>
      </w:r>
      <w:r>
        <w:rPr>
          <w:rFonts w:ascii="Arial" w:hAnsi="Arial"/>
          <w:color w:val="231F20"/>
          <w:sz w:val="16"/>
        </w:rPr>
        <w:t>de</w:t>
      </w:r>
      <w:r>
        <w:rPr>
          <w:rFonts w:ascii="Arial" w:hAnsi="Arial"/>
          <w:color w:val="231F20"/>
          <w:spacing w:val="-9"/>
          <w:sz w:val="16"/>
        </w:rPr>
        <w:t> </w:t>
      </w:r>
      <w:r>
        <w:rPr>
          <w:rFonts w:ascii="Arial" w:hAnsi="Arial"/>
          <w:color w:val="231F20"/>
          <w:sz w:val="16"/>
        </w:rPr>
        <w:t>la</w:t>
      </w:r>
      <w:r>
        <w:rPr>
          <w:rFonts w:ascii="Arial" w:hAnsi="Arial"/>
          <w:color w:val="231F20"/>
          <w:spacing w:val="-9"/>
          <w:sz w:val="16"/>
        </w:rPr>
        <w:t> </w:t>
      </w:r>
      <w:r>
        <w:rPr>
          <w:rFonts w:ascii="Arial" w:hAnsi="Arial"/>
          <w:color w:val="231F20"/>
          <w:sz w:val="16"/>
        </w:rPr>
        <w:t>Ley </w:t>
      </w:r>
      <w:r>
        <w:rPr>
          <w:rFonts w:ascii="Microsoft Sans Serif" w:hAnsi="Microsoft Sans Serif"/>
          <w:color w:val="231F20"/>
          <w:sz w:val="16"/>
        </w:rPr>
        <w:t>Federal del Derecho de Autor y en su caso de los</w:t>
      </w:r>
      <w:r>
        <w:rPr>
          <w:rFonts w:ascii="Microsoft Sans Serif" w:hAnsi="Microsoft Sans Serif"/>
          <w:color w:val="231F20"/>
          <w:spacing w:val="-20"/>
          <w:sz w:val="16"/>
        </w:rPr>
        <w:t> </w:t>
      </w:r>
      <w:r>
        <w:rPr>
          <w:rFonts w:ascii="Microsoft Sans Serif" w:hAnsi="Microsoft Sans Serif"/>
          <w:color w:val="231F20"/>
          <w:sz w:val="16"/>
        </w:rPr>
        <w:t>tratados </w:t>
      </w:r>
      <w:r>
        <w:rPr>
          <w:rFonts w:ascii="Microsoft Sans Serif" w:hAnsi="Microsoft Sans Serif"/>
          <w:color w:val="231F20"/>
          <w:w w:val="95"/>
          <w:sz w:val="16"/>
        </w:rPr>
        <w:t>internacionales</w:t>
      </w:r>
      <w:r>
        <w:rPr>
          <w:rFonts w:ascii="Microsoft Sans Serif" w:hAnsi="Microsoft Sans Serif"/>
          <w:color w:val="231F20"/>
          <w:spacing w:val="11"/>
          <w:w w:val="95"/>
          <w:sz w:val="16"/>
        </w:rPr>
        <w:t> </w:t>
      </w:r>
      <w:r>
        <w:rPr>
          <w:rFonts w:ascii="Microsoft Sans Serif" w:hAnsi="Microsoft Sans Serif"/>
          <w:color w:val="231F20"/>
          <w:w w:val="95"/>
          <w:sz w:val="16"/>
        </w:rPr>
        <w:t>aplicables.</w:t>
      </w:r>
    </w:p>
    <w:p>
      <w:pPr>
        <w:spacing w:after="0" w:line="252" w:lineRule="auto"/>
        <w:jc w:val="both"/>
        <w:rPr>
          <w:rFonts w:ascii="Microsoft Sans Serif" w:hAnsi="Microsoft Sans Serif"/>
          <w:sz w:val="16"/>
        </w:rPr>
        <w:sectPr>
          <w:pgSz w:w="9640" w:h="13890"/>
          <w:pgMar w:top="1300" w:bottom="280" w:left="1200" w:right="1340"/>
        </w:sectPr>
      </w:pPr>
    </w:p>
    <w:p>
      <w:pPr>
        <w:pStyle w:val="BodyText"/>
        <w:rPr>
          <w:rFonts w:ascii="Microsoft Sans Serif"/>
          <w:sz w:val="20"/>
        </w:rPr>
      </w:pPr>
    </w:p>
    <w:p>
      <w:pPr>
        <w:pStyle w:val="BodyText"/>
        <w:rPr>
          <w:rFonts w:ascii="Microsoft Sans Serif"/>
          <w:sz w:val="20"/>
        </w:rPr>
      </w:pPr>
    </w:p>
    <w:p>
      <w:pPr>
        <w:pStyle w:val="BodyText"/>
        <w:rPr>
          <w:rFonts w:ascii="Microsoft Sans Serif"/>
          <w:sz w:val="20"/>
        </w:rPr>
      </w:pPr>
    </w:p>
    <w:p>
      <w:pPr>
        <w:pStyle w:val="BodyText"/>
        <w:spacing w:before="10"/>
        <w:rPr>
          <w:rFonts w:ascii="Microsoft Sans Serif"/>
          <w:sz w:val="18"/>
        </w:rPr>
      </w:pPr>
    </w:p>
    <w:p>
      <w:pPr>
        <w:spacing w:before="30"/>
        <w:ind w:left="899" w:right="692" w:firstLine="0"/>
        <w:jc w:val="left"/>
        <w:rPr>
          <w:rFonts w:ascii="Calibri" w:hAnsi="Calibri"/>
          <w:sz w:val="28"/>
        </w:rPr>
      </w:pPr>
      <w:r>
        <w:rPr>
          <w:rFonts w:ascii="Calibri" w:hAnsi="Calibri"/>
          <w:color w:val="231F20"/>
          <w:sz w:val="28"/>
        </w:rPr>
        <w:t>Índice</w:t>
      </w:r>
    </w:p>
    <w:p>
      <w:pPr>
        <w:pStyle w:val="BodyText"/>
        <w:rPr>
          <w:rFonts w:ascii="Calibri"/>
          <w:sz w:val="20"/>
        </w:rPr>
      </w:pPr>
    </w:p>
    <w:p>
      <w:pPr>
        <w:pStyle w:val="BodyText"/>
        <w:spacing w:before="2"/>
        <w:rPr>
          <w:rFonts w:ascii="Calibri"/>
          <w:sz w:val="19"/>
        </w:rPr>
      </w:pPr>
    </w:p>
    <w:p>
      <w:pPr>
        <w:spacing w:after="0"/>
        <w:rPr>
          <w:rFonts w:ascii="Calibri"/>
          <w:sz w:val="19"/>
        </w:rPr>
        <w:sectPr>
          <w:pgSz w:w="9640" w:h="13890"/>
          <w:pgMar w:top="1300" w:bottom="280" w:left="1340" w:right="1340"/>
        </w:sectPr>
      </w:pPr>
    </w:p>
    <w:p>
      <w:pPr>
        <w:tabs>
          <w:tab w:pos="1888" w:val="left" w:leader="none"/>
        </w:tabs>
        <w:spacing w:before="37"/>
        <w:ind w:left="1123" w:right="0" w:firstLine="0"/>
        <w:jc w:val="center"/>
        <w:rPr>
          <w:rFonts w:ascii="Calibri"/>
          <w:sz w:val="32"/>
        </w:rPr>
      </w:pPr>
      <w:r>
        <w:rPr/>
        <w:pict>
          <v:line style="position:absolute;mso-position-horizontal-relative:page;mso-position-vertical-relative:paragraph;z-index:-174088" from="136.879898pt,16.249300pt" to="136.879898pt,16.249300pt" stroked="true" strokeweight=".5pt" strokecolor="#231f20">
            <w10:wrap type="none"/>
          </v:line>
        </w:pict>
      </w:r>
      <w:r>
        <w:rPr/>
        <w:pict>
          <v:line style="position:absolute;mso-position-horizontal-relative:page;mso-position-vertical-relative:paragraph;z-index:1336" from="162.831894pt,16.249300pt" to="162.831894pt,16.249300pt" stroked="true" strokeweight=".5pt" strokecolor="#231f20">
            <w10:wrap type="none"/>
          </v:line>
        </w:pict>
      </w:r>
      <w:r>
        <w:rPr>
          <w:rFonts w:ascii="Calibri"/>
          <w:color w:val="414042"/>
          <w:w w:val="105"/>
          <w:sz w:val="32"/>
        </w:rPr>
        <w:t>9</w:t>
      </w:r>
      <w:r>
        <w:rPr>
          <w:rFonts w:ascii="Calibri"/>
          <w:color w:val="414042"/>
          <w:sz w:val="32"/>
        </w:rPr>
        <w:t> </w:t>
      </w:r>
      <w:r>
        <w:rPr>
          <w:rFonts w:ascii="Calibri"/>
          <w:color w:val="414042"/>
          <w:spacing w:val="-25"/>
          <w:sz w:val="32"/>
        </w:rPr>
        <w:t> </w:t>
      </w:r>
      <w:r>
        <w:rPr>
          <w:rFonts w:ascii="Calibri"/>
          <w:color w:val="414042"/>
          <w:w w:val="95"/>
          <w:sz w:val="32"/>
          <w:u w:val="dotted" w:color="231F20"/>
        </w:rPr>
        <w:t> </w:t>
      </w:r>
      <w:r>
        <w:rPr>
          <w:rFonts w:ascii="Calibri"/>
          <w:color w:val="414042"/>
          <w:sz w:val="32"/>
          <w:u w:val="dotted" w:color="231F20"/>
        </w:rPr>
        <w:tab/>
      </w:r>
    </w:p>
    <w:p>
      <w:pPr>
        <w:tabs>
          <w:tab w:pos="1888" w:val="left" w:leader="none"/>
        </w:tabs>
        <w:spacing w:before="238"/>
        <w:ind w:left="1028" w:right="0" w:firstLine="0"/>
        <w:jc w:val="center"/>
        <w:rPr>
          <w:rFonts w:ascii="Calibri"/>
          <w:sz w:val="32"/>
        </w:rPr>
      </w:pPr>
      <w:r>
        <w:rPr/>
        <w:pict>
          <v:line style="position:absolute;mso-position-horizontal-relative:page;mso-position-vertical-relative:paragraph;z-index:-174136" from="136.879898pt,27.007769pt" to="136.879898pt,27.007769pt" stroked="true" strokeweight=".5pt" strokecolor="#231f20">
            <w10:wrap type="none"/>
          </v:line>
        </w:pict>
      </w:r>
      <w:r>
        <w:rPr/>
        <w:pict>
          <v:line style="position:absolute;mso-position-horizontal-relative:page;mso-position-vertical-relative:paragraph;z-index:1288" from="162.831894pt,27.007769pt" to="162.831894pt,27.007769pt" stroked="true" strokeweight=".5pt" strokecolor="#231f20">
            <w10:wrap type="none"/>
          </v:line>
        </w:pict>
      </w:r>
      <w:r>
        <w:rPr>
          <w:rFonts w:ascii="Calibri"/>
          <w:color w:val="414042"/>
          <w:w w:val="90"/>
          <w:sz w:val="32"/>
        </w:rPr>
        <w:t>15</w:t>
      </w:r>
      <w:r>
        <w:rPr>
          <w:rFonts w:ascii="Calibri"/>
          <w:color w:val="414042"/>
          <w:sz w:val="32"/>
        </w:rPr>
        <w:t> </w:t>
      </w:r>
      <w:r>
        <w:rPr>
          <w:rFonts w:ascii="Calibri"/>
          <w:color w:val="414042"/>
          <w:spacing w:val="-25"/>
          <w:sz w:val="32"/>
        </w:rPr>
        <w:t> </w:t>
      </w:r>
      <w:r>
        <w:rPr>
          <w:rFonts w:ascii="Calibri"/>
          <w:color w:val="414042"/>
          <w:w w:val="95"/>
          <w:sz w:val="32"/>
          <w:u w:val="dotted" w:color="231F20"/>
        </w:rPr>
        <w:t> </w:t>
      </w:r>
      <w:r>
        <w:rPr>
          <w:rFonts w:ascii="Calibri"/>
          <w:color w:val="414042"/>
          <w:sz w:val="32"/>
          <w:u w:val="dotted" w:color="231F20"/>
        </w:rPr>
        <w:tab/>
      </w:r>
    </w:p>
    <w:p>
      <w:pPr>
        <w:pStyle w:val="BodyText"/>
        <w:rPr>
          <w:rFonts w:ascii="Calibri"/>
          <w:sz w:val="32"/>
        </w:rPr>
      </w:pPr>
    </w:p>
    <w:p>
      <w:pPr>
        <w:pStyle w:val="BodyText"/>
        <w:rPr>
          <w:rFonts w:ascii="Calibri"/>
          <w:sz w:val="32"/>
        </w:rPr>
      </w:pPr>
    </w:p>
    <w:p>
      <w:pPr>
        <w:tabs>
          <w:tab w:pos="1913" w:val="left" w:leader="none"/>
        </w:tabs>
        <w:spacing w:before="265"/>
        <w:ind w:left="998" w:right="0" w:firstLine="0"/>
        <w:jc w:val="center"/>
        <w:rPr>
          <w:rFonts w:ascii="Calibri"/>
          <w:sz w:val="32"/>
        </w:rPr>
      </w:pPr>
      <w:r>
        <w:rPr/>
        <w:pict>
          <v:line style="position:absolute;mso-position-horizontal-relative:page;mso-position-vertical-relative:paragraph;z-index:-173896" from="137.498703pt,27.324162pt" to="137.498703pt,27.324162pt" stroked="true" strokeweight=".5pt" strokecolor="#231f20">
            <w10:wrap type="none"/>
          </v:line>
        </w:pict>
      </w:r>
      <w:r>
        <w:rPr/>
        <w:pict>
          <v:line style="position:absolute;mso-position-horizontal-relative:page;mso-position-vertical-relative:paragraph;z-index:1528" from="163.450699pt,27.324162pt" to="163.450699pt,27.324162pt" stroked="true" strokeweight=".5pt" strokecolor="#231f20">
            <w10:wrap type="none"/>
          </v:line>
        </w:pict>
      </w:r>
      <w:r>
        <w:rPr>
          <w:rFonts w:ascii="Calibri"/>
          <w:color w:val="414042"/>
          <w:sz w:val="32"/>
        </w:rPr>
        <w:t>37 </w:t>
      </w:r>
      <w:r>
        <w:rPr>
          <w:rFonts w:ascii="Calibri"/>
          <w:color w:val="414042"/>
          <w:spacing w:val="2"/>
          <w:sz w:val="32"/>
        </w:rPr>
        <w:t> </w:t>
      </w:r>
      <w:r>
        <w:rPr>
          <w:rFonts w:ascii="Calibri"/>
          <w:color w:val="414042"/>
          <w:w w:val="95"/>
          <w:sz w:val="32"/>
          <w:u w:val="dotted" w:color="231F20"/>
        </w:rPr>
        <w:t> </w:t>
      </w:r>
      <w:r>
        <w:rPr>
          <w:rFonts w:ascii="Calibri"/>
          <w:color w:val="414042"/>
          <w:sz w:val="32"/>
          <w:u w:val="dotted" w:color="231F20"/>
        </w:rPr>
        <w:tab/>
      </w:r>
    </w:p>
    <w:p>
      <w:pPr>
        <w:pStyle w:val="BodyText"/>
        <w:rPr>
          <w:rFonts w:ascii="Calibri"/>
          <w:sz w:val="32"/>
        </w:rPr>
      </w:pPr>
    </w:p>
    <w:p>
      <w:pPr>
        <w:pStyle w:val="BodyText"/>
        <w:spacing w:before="5"/>
        <w:rPr>
          <w:rFonts w:ascii="Calibri"/>
          <w:sz w:val="28"/>
        </w:rPr>
      </w:pPr>
    </w:p>
    <w:p>
      <w:pPr>
        <w:tabs>
          <w:tab w:pos="1888" w:val="left" w:leader="none"/>
        </w:tabs>
        <w:spacing w:before="0"/>
        <w:ind w:left="957" w:right="0" w:firstLine="0"/>
        <w:jc w:val="center"/>
        <w:rPr>
          <w:rFonts w:ascii="Calibri"/>
          <w:sz w:val="32"/>
        </w:rPr>
      </w:pPr>
      <w:r>
        <w:rPr/>
        <w:pict>
          <v:line style="position:absolute;mso-position-horizontal-relative:page;mso-position-vertical-relative:paragraph;z-index:-173848" from="136.879898pt,14.357869pt" to="136.879898pt,14.357869pt" stroked="true" strokeweight=".5pt" strokecolor="#231f20">
            <w10:wrap type="none"/>
          </v:line>
        </w:pict>
      </w:r>
      <w:r>
        <w:rPr/>
        <w:pict>
          <v:line style="position:absolute;mso-position-horizontal-relative:page;mso-position-vertical-relative:paragraph;z-index:1576" from="162.831894pt,14.357869pt" to="162.831894pt,14.357869pt" stroked="true" strokeweight=".5pt" strokecolor="#231f20">
            <w10:wrap type="none"/>
          </v:line>
        </w:pict>
      </w:r>
      <w:r>
        <w:rPr>
          <w:rFonts w:ascii="Calibri"/>
          <w:color w:val="414042"/>
          <w:sz w:val="32"/>
        </w:rPr>
        <w:t>63 </w:t>
      </w:r>
      <w:r>
        <w:rPr>
          <w:rFonts w:ascii="Calibri"/>
          <w:color w:val="414042"/>
          <w:spacing w:val="-10"/>
          <w:sz w:val="32"/>
        </w:rPr>
        <w:t> </w:t>
      </w:r>
      <w:r>
        <w:rPr>
          <w:rFonts w:ascii="Calibri"/>
          <w:color w:val="414042"/>
          <w:w w:val="95"/>
          <w:sz w:val="32"/>
          <w:u w:val="dotted" w:color="231F20"/>
        </w:rPr>
        <w:t> </w:t>
      </w:r>
      <w:r>
        <w:rPr>
          <w:rFonts w:ascii="Calibri"/>
          <w:color w:val="414042"/>
          <w:sz w:val="32"/>
          <w:u w:val="dotted" w:color="231F20"/>
        </w:rPr>
        <w:tab/>
      </w:r>
    </w:p>
    <w:p>
      <w:pPr>
        <w:pStyle w:val="BodyText"/>
        <w:rPr>
          <w:rFonts w:ascii="Calibri"/>
          <w:sz w:val="32"/>
        </w:rPr>
      </w:pPr>
    </w:p>
    <w:p>
      <w:pPr>
        <w:pStyle w:val="BodyText"/>
        <w:rPr>
          <w:rFonts w:ascii="Calibri"/>
          <w:sz w:val="32"/>
        </w:rPr>
      </w:pPr>
    </w:p>
    <w:p>
      <w:pPr>
        <w:tabs>
          <w:tab w:pos="1829" w:val="left" w:leader="none"/>
        </w:tabs>
        <w:spacing w:before="200"/>
        <w:ind w:left="987" w:right="0" w:firstLine="0"/>
        <w:jc w:val="center"/>
        <w:rPr>
          <w:rFonts w:ascii="Calibri"/>
          <w:sz w:val="32"/>
        </w:rPr>
      </w:pPr>
      <w:r>
        <w:rPr/>
        <w:pict>
          <v:line style="position:absolute;mso-position-horizontal-relative:page;mso-position-vertical-relative:paragraph;z-index:-174040" from="135.3918pt,25.06638pt" to="135.3918pt,25.06638pt" stroked="true" strokeweight=".5pt" strokecolor="#231f20">
            <w10:wrap type="none"/>
          </v:line>
        </w:pict>
      </w:r>
      <w:r>
        <w:rPr/>
        <w:pict>
          <v:line style="position:absolute;mso-position-horizontal-relative:page;mso-position-vertical-relative:paragraph;z-index:1384" from="161.343796pt,25.06638pt" to="161.343796pt,25.06638pt" stroked="true" strokeweight=".5pt" strokecolor="#231f20">
            <w10:wrap type="none"/>
          </v:line>
        </w:pict>
      </w:r>
      <w:r>
        <w:rPr>
          <w:rFonts w:ascii="Calibri"/>
          <w:color w:val="414042"/>
          <w:w w:val="95"/>
          <w:sz w:val="32"/>
        </w:rPr>
        <w:t>91</w:t>
      </w:r>
      <w:r>
        <w:rPr>
          <w:rFonts w:ascii="Calibri"/>
          <w:color w:val="414042"/>
          <w:spacing w:val="19"/>
          <w:sz w:val="32"/>
        </w:rPr>
        <w:t> </w:t>
      </w:r>
      <w:r>
        <w:rPr>
          <w:rFonts w:ascii="Calibri"/>
          <w:color w:val="414042"/>
          <w:w w:val="95"/>
          <w:sz w:val="32"/>
          <w:u w:val="dotted" w:color="231F20"/>
        </w:rPr>
        <w:t> </w:t>
      </w:r>
      <w:r>
        <w:rPr>
          <w:rFonts w:ascii="Calibri"/>
          <w:color w:val="414042"/>
          <w:sz w:val="32"/>
          <w:u w:val="dotted" w:color="231F20"/>
        </w:rPr>
        <w:tab/>
      </w:r>
    </w:p>
    <w:p>
      <w:pPr>
        <w:pStyle w:val="BodyText"/>
        <w:spacing w:before="3"/>
        <w:rPr>
          <w:rFonts w:ascii="Calibri"/>
          <w:sz w:val="36"/>
        </w:rPr>
      </w:pPr>
    </w:p>
    <w:p>
      <w:pPr>
        <w:tabs>
          <w:tab w:pos="1871" w:val="left" w:leader="none"/>
        </w:tabs>
        <w:spacing w:before="0"/>
        <w:ind w:left="946" w:right="0" w:firstLine="0"/>
        <w:jc w:val="left"/>
        <w:rPr>
          <w:rFonts w:ascii="Calibri"/>
          <w:sz w:val="32"/>
        </w:rPr>
      </w:pPr>
      <w:r>
        <w:rPr/>
        <w:pict>
          <v:line style="position:absolute;mso-position-horizontal-relative:page;mso-position-vertical-relative:paragraph;z-index:-173992" from="135.3918pt,15.208069pt" to="135.3918pt,15.208069pt" stroked="true" strokeweight=".5pt" strokecolor="#231f20">
            <w10:wrap type="none"/>
          </v:line>
        </w:pict>
      </w:r>
      <w:r>
        <w:rPr/>
        <w:pict>
          <v:line style="position:absolute;mso-position-horizontal-relative:page;mso-position-vertical-relative:paragraph;z-index:1432" from="161.343796pt,15.208069pt" to="161.343796pt,15.208069pt" stroked="true" strokeweight=".5pt" strokecolor="#231f20">
            <w10:wrap type="none"/>
          </v:line>
        </w:pict>
      </w:r>
      <w:r>
        <w:rPr>
          <w:rFonts w:ascii="Calibri"/>
          <w:color w:val="414042"/>
          <w:w w:val="85"/>
          <w:sz w:val="32"/>
        </w:rPr>
        <w:t>117</w:t>
      </w:r>
      <w:r>
        <w:rPr>
          <w:rFonts w:ascii="Calibri"/>
          <w:color w:val="414042"/>
          <w:spacing w:val="19"/>
          <w:sz w:val="32"/>
        </w:rPr>
        <w:t> </w:t>
      </w:r>
      <w:r>
        <w:rPr>
          <w:rFonts w:ascii="Calibri"/>
          <w:color w:val="414042"/>
          <w:w w:val="95"/>
          <w:sz w:val="32"/>
          <w:u w:val="dotted" w:color="231F20"/>
        </w:rPr>
        <w:t> </w:t>
      </w:r>
      <w:r>
        <w:rPr>
          <w:rFonts w:ascii="Calibri"/>
          <w:color w:val="414042"/>
          <w:sz w:val="32"/>
          <w:u w:val="dotted" w:color="231F20"/>
        </w:rPr>
        <w:tab/>
      </w:r>
    </w:p>
    <w:p>
      <w:pPr>
        <w:pStyle w:val="BodyText"/>
        <w:rPr>
          <w:rFonts w:ascii="Calibri"/>
          <w:sz w:val="32"/>
        </w:rPr>
      </w:pPr>
    </w:p>
    <w:p>
      <w:pPr>
        <w:pStyle w:val="BodyText"/>
        <w:rPr>
          <w:rFonts w:ascii="Calibri"/>
          <w:sz w:val="32"/>
        </w:rPr>
      </w:pPr>
    </w:p>
    <w:p>
      <w:pPr>
        <w:pStyle w:val="BodyText"/>
        <w:rPr>
          <w:rFonts w:ascii="Calibri"/>
          <w:sz w:val="43"/>
        </w:rPr>
      </w:pPr>
    </w:p>
    <w:p>
      <w:pPr>
        <w:tabs>
          <w:tab w:pos="1829" w:val="left" w:leader="none"/>
        </w:tabs>
        <w:spacing w:before="0"/>
        <w:ind w:left="833" w:right="0" w:firstLine="0"/>
        <w:jc w:val="center"/>
        <w:rPr>
          <w:rFonts w:ascii="Calibri"/>
          <w:sz w:val="32"/>
        </w:rPr>
      </w:pPr>
      <w:r>
        <w:rPr/>
        <w:pict>
          <v:line style="position:absolute;mso-position-horizontal-relative:page;mso-position-vertical-relative:paragraph;z-index:-173944" from="135.3918pt,13.899072pt" to="135.3918pt,13.899072pt" stroked="true" strokeweight=".5pt" strokecolor="#231f20">
            <w10:wrap type="none"/>
          </v:line>
        </w:pict>
      </w:r>
      <w:r>
        <w:rPr/>
        <w:pict>
          <v:line style="position:absolute;mso-position-horizontal-relative:page;mso-position-vertical-relative:paragraph;z-index:1480" from="161.343796pt,13.899072pt" to="161.343796pt,13.899072pt" stroked="true" strokeweight=".5pt" strokecolor="#231f20">
            <w10:wrap type="none"/>
          </v:line>
        </w:pict>
      </w:r>
      <w:r>
        <w:rPr>
          <w:rFonts w:ascii="Calibri"/>
          <w:color w:val="414042"/>
          <w:sz w:val="32"/>
        </w:rPr>
        <w:t>139</w:t>
      </w:r>
      <w:r>
        <w:rPr>
          <w:rFonts w:ascii="Calibri"/>
          <w:color w:val="414042"/>
          <w:spacing w:val="19"/>
          <w:sz w:val="32"/>
        </w:rPr>
        <w:t> </w:t>
      </w:r>
      <w:r>
        <w:rPr>
          <w:rFonts w:ascii="Calibri"/>
          <w:color w:val="414042"/>
          <w:w w:val="95"/>
          <w:sz w:val="32"/>
          <w:u w:val="dotted" w:color="231F20"/>
        </w:rPr>
        <w:t> </w:t>
      </w:r>
      <w:r>
        <w:rPr>
          <w:rFonts w:ascii="Calibri"/>
          <w:color w:val="414042"/>
          <w:sz w:val="32"/>
          <w:u w:val="dotted" w:color="231F20"/>
        </w:rPr>
        <w:tab/>
      </w:r>
    </w:p>
    <w:p>
      <w:pPr>
        <w:pStyle w:val="Heading4"/>
        <w:spacing w:before="125"/>
      </w:pPr>
      <w:r>
        <w:rPr/>
        <w:br w:type="column"/>
      </w:r>
      <w:r>
        <w:rPr>
          <w:color w:val="231F20"/>
        </w:rPr>
        <w:t>INTRODUCCIÓN</w:t>
      </w:r>
    </w:p>
    <w:p>
      <w:pPr>
        <w:pStyle w:val="BodyText"/>
        <w:spacing w:before="6"/>
        <w:rPr>
          <w:rFonts w:ascii="Calibri"/>
          <w:sz w:val="30"/>
        </w:rPr>
      </w:pPr>
    </w:p>
    <w:p>
      <w:pPr>
        <w:spacing w:line="247" w:lineRule="auto" w:before="0"/>
        <w:ind w:left="79" w:right="1222" w:firstLine="0"/>
        <w:jc w:val="left"/>
        <w:rPr>
          <w:rFonts w:ascii="Calibri" w:hAnsi="Calibri"/>
          <w:sz w:val="22"/>
        </w:rPr>
      </w:pPr>
      <w:r>
        <w:rPr>
          <w:rFonts w:ascii="Calibri" w:hAnsi="Calibri"/>
          <w:color w:val="231F20"/>
          <w:w w:val="105"/>
          <w:sz w:val="22"/>
        </w:rPr>
        <w:t>CAMBIO DE PARADIGMA JURÍDICO: EL 11-S Y LA DELINCUENCIA ORGANIZADA EN MÉXICO</w:t>
      </w:r>
    </w:p>
    <w:p>
      <w:pPr>
        <w:spacing w:before="44"/>
        <w:ind w:left="79" w:right="1222" w:firstLine="0"/>
        <w:jc w:val="left"/>
        <w:rPr>
          <w:rFonts w:ascii="Calibri" w:hAnsi="Calibri"/>
          <w:sz w:val="22"/>
        </w:rPr>
      </w:pPr>
      <w:r>
        <w:rPr>
          <w:rFonts w:ascii="Calibri" w:hAnsi="Calibri"/>
          <w:color w:val="4C4D4F"/>
          <w:w w:val="105"/>
          <w:sz w:val="22"/>
        </w:rPr>
        <w:t>Jorge Olvera García</w:t>
      </w:r>
    </w:p>
    <w:p>
      <w:pPr>
        <w:pStyle w:val="BodyText"/>
        <w:spacing w:before="8"/>
        <w:rPr>
          <w:rFonts w:ascii="Calibri"/>
          <w:sz w:val="22"/>
        </w:rPr>
      </w:pPr>
    </w:p>
    <w:p>
      <w:pPr>
        <w:spacing w:line="264" w:lineRule="exact" w:before="0"/>
        <w:ind w:left="79" w:right="956" w:firstLine="0"/>
        <w:jc w:val="left"/>
        <w:rPr>
          <w:rFonts w:ascii="Calibri" w:hAnsi="Calibri"/>
          <w:sz w:val="22"/>
        </w:rPr>
      </w:pPr>
      <w:r>
        <w:rPr>
          <w:rFonts w:ascii="Calibri" w:hAnsi="Calibri"/>
          <w:color w:val="231F20"/>
          <w:w w:val="105"/>
          <w:sz w:val="22"/>
        </w:rPr>
        <w:t>EL ESTADO GLOBAL Y LA EVOLUCIÓN DE LA SOBERANÍA</w:t>
      </w:r>
    </w:p>
    <w:p>
      <w:pPr>
        <w:spacing w:before="58"/>
        <w:ind w:left="79" w:right="1222" w:firstLine="0"/>
        <w:jc w:val="left"/>
        <w:rPr>
          <w:rFonts w:ascii="Calibri"/>
          <w:sz w:val="22"/>
        </w:rPr>
      </w:pPr>
      <w:r>
        <w:rPr>
          <w:rFonts w:ascii="Calibri"/>
          <w:color w:val="4C4D4F"/>
          <w:w w:val="105"/>
          <w:sz w:val="22"/>
        </w:rPr>
        <w:t>Maurizio Ricciardi</w:t>
      </w:r>
    </w:p>
    <w:p>
      <w:pPr>
        <w:pStyle w:val="BodyText"/>
        <w:spacing w:before="8"/>
        <w:rPr>
          <w:rFonts w:ascii="Calibri"/>
          <w:sz w:val="22"/>
        </w:rPr>
      </w:pPr>
    </w:p>
    <w:p>
      <w:pPr>
        <w:spacing w:line="264" w:lineRule="exact" w:before="0"/>
        <w:ind w:left="79" w:right="1315" w:firstLine="0"/>
        <w:jc w:val="left"/>
        <w:rPr>
          <w:rFonts w:ascii="Calibri" w:hAnsi="Calibri"/>
          <w:sz w:val="22"/>
        </w:rPr>
      </w:pPr>
      <w:r>
        <w:rPr>
          <w:rFonts w:ascii="Calibri" w:hAnsi="Calibri"/>
          <w:color w:val="231F20"/>
          <w:w w:val="105"/>
          <w:sz w:val="22"/>
        </w:rPr>
        <w:t>NATURALIZAR LAS PARADOJAS: UN ACERCAMIENTO A LA GLOBALIZACIÓN DESDE  GILLES DELEUZE</w:t>
      </w:r>
    </w:p>
    <w:p>
      <w:pPr>
        <w:spacing w:before="58"/>
        <w:ind w:left="79" w:right="1222" w:firstLine="0"/>
        <w:jc w:val="left"/>
        <w:rPr>
          <w:rFonts w:ascii="Calibri" w:hAnsi="Calibri"/>
          <w:sz w:val="22"/>
        </w:rPr>
      </w:pPr>
      <w:r>
        <w:rPr>
          <w:rFonts w:ascii="Calibri" w:hAnsi="Calibri"/>
          <w:color w:val="4C4D4F"/>
          <w:w w:val="105"/>
          <w:sz w:val="22"/>
        </w:rPr>
        <w:t>María Luisa Bacarlett Pérez</w:t>
      </w:r>
    </w:p>
    <w:p>
      <w:pPr>
        <w:pStyle w:val="BodyText"/>
        <w:spacing w:before="7"/>
        <w:rPr>
          <w:rFonts w:ascii="Calibri"/>
          <w:sz w:val="19"/>
        </w:rPr>
      </w:pPr>
    </w:p>
    <w:p>
      <w:pPr>
        <w:spacing w:before="0"/>
        <w:ind w:left="78" w:right="956" w:firstLine="0"/>
        <w:jc w:val="left"/>
        <w:rPr>
          <w:rFonts w:ascii="Calibri" w:hAnsi="Calibri"/>
          <w:sz w:val="22"/>
        </w:rPr>
      </w:pPr>
      <w:r>
        <w:rPr>
          <w:rFonts w:ascii="Calibri" w:hAnsi="Calibri"/>
          <w:color w:val="231F20"/>
          <w:w w:val="105"/>
          <w:sz w:val="22"/>
        </w:rPr>
        <w:t>EL ESTADO MODERNO HOY Y MAÑANA</w:t>
      </w:r>
    </w:p>
    <w:p>
      <w:pPr>
        <w:spacing w:before="52"/>
        <w:ind w:left="78" w:right="1222" w:firstLine="0"/>
        <w:jc w:val="left"/>
        <w:rPr>
          <w:rFonts w:ascii="Calibri"/>
          <w:sz w:val="22"/>
        </w:rPr>
      </w:pPr>
      <w:r>
        <w:rPr>
          <w:rFonts w:ascii="Calibri"/>
          <w:color w:val="4C4D4F"/>
          <w:w w:val="105"/>
          <w:sz w:val="22"/>
        </w:rPr>
        <w:t>Pierangelo Schiera</w:t>
      </w:r>
    </w:p>
    <w:p>
      <w:pPr>
        <w:pStyle w:val="BodyText"/>
        <w:spacing w:before="8"/>
        <w:rPr>
          <w:rFonts w:ascii="Calibri"/>
          <w:sz w:val="22"/>
        </w:rPr>
      </w:pPr>
    </w:p>
    <w:p>
      <w:pPr>
        <w:spacing w:line="264" w:lineRule="exact" w:before="0"/>
        <w:ind w:left="78" w:right="956" w:firstLine="0"/>
        <w:jc w:val="left"/>
        <w:rPr>
          <w:rFonts w:ascii="Calibri" w:hAnsi="Calibri"/>
          <w:sz w:val="22"/>
        </w:rPr>
      </w:pPr>
      <w:r>
        <w:rPr>
          <w:rFonts w:ascii="Calibri" w:hAnsi="Calibri"/>
          <w:color w:val="231F20"/>
          <w:w w:val="105"/>
          <w:sz w:val="22"/>
        </w:rPr>
        <w:t>“EL AFUERA SIEMPRE ES ADENTRO”. TENSIONES Y TRANSFORMACIONES RECIENTES EN EL ESPACIO POLÍTICO DEL ESTADO Y LA DEMOCRACIA</w:t>
      </w:r>
    </w:p>
    <w:p>
      <w:pPr>
        <w:spacing w:before="58"/>
        <w:ind w:left="78" w:right="1222" w:firstLine="0"/>
        <w:jc w:val="left"/>
        <w:rPr>
          <w:rFonts w:ascii="Calibri"/>
          <w:sz w:val="22"/>
        </w:rPr>
      </w:pPr>
      <w:r>
        <w:rPr>
          <w:rFonts w:ascii="Calibri"/>
          <w:color w:val="4C4D4F"/>
          <w:w w:val="105"/>
          <w:sz w:val="22"/>
        </w:rPr>
        <w:t>Israel Covarrubias</w:t>
      </w:r>
    </w:p>
    <w:p>
      <w:pPr>
        <w:pStyle w:val="BodyText"/>
        <w:spacing w:before="8"/>
        <w:rPr>
          <w:rFonts w:ascii="Calibri"/>
          <w:sz w:val="22"/>
        </w:rPr>
      </w:pPr>
    </w:p>
    <w:p>
      <w:pPr>
        <w:spacing w:line="264" w:lineRule="exact" w:before="0"/>
        <w:ind w:left="78" w:right="1222" w:firstLine="0"/>
        <w:jc w:val="left"/>
        <w:rPr>
          <w:rFonts w:ascii="Calibri" w:hAnsi="Calibri"/>
          <w:sz w:val="22"/>
        </w:rPr>
      </w:pPr>
      <w:r>
        <w:rPr>
          <w:rFonts w:ascii="Calibri" w:hAnsi="Calibri"/>
          <w:color w:val="231F20"/>
          <w:w w:val="105"/>
          <w:sz w:val="22"/>
        </w:rPr>
        <w:t>ASUNTOS DE FRONTERA. SOBERANÍA TERRITORIAL Y ORDEN</w:t>
      </w:r>
      <w:r>
        <w:rPr>
          <w:rFonts w:ascii="Calibri" w:hAnsi="Calibri"/>
          <w:color w:val="231F20"/>
          <w:spacing w:val="50"/>
          <w:w w:val="105"/>
          <w:sz w:val="22"/>
        </w:rPr>
        <w:t> </w:t>
      </w:r>
      <w:r>
        <w:rPr>
          <w:rFonts w:ascii="Calibri" w:hAnsi="Calibri"/>
          <w:color w:val="231F20"/>
          <w:w w:val="105"/>
          <w:sz w:val="22"/>
        </w:rPr>
        <w:t>GLOBAL</w:t>
      </w:r>
    </w:p>
    <w:p>
      <w:pPr>
        <w:spacing w:line="264" w:lineRule="exact" w:before="0"/>
        <w:ind w:left="78" w:right="1222" w:firstLine="0"/>
        <w:jc w:val="left"/>
        <w:rPr>
          <w:rFonts w:ascii="Calibri" w:hAnsi="Calibri"/>
          <w:sz w:val="22"/>
        </w:rPr>
      </w:pPr>
      <w:r>
        <w:rPr>
          <w:rFonts w:ascii="Calibri" w:hAnsi="Calibri"/>
          <w:color w:val="231F20"/>
          <w:w w:val="105"/>
          <w:sz w:val="22"/>
        </w:rPr>
        <w:t>EN EL DEBATE SOBRE EL “NUEVO </w:t>
      </w:r>
      <w:r>
        <w:rPr>
          <w:rFonts w:ascii="Calibri" w:hAnsi="Calibri"/>
          <w:color w:val="231F20"/>
          <w:sz w:val="22"/>
        </w:rPr>
        <w:t>INTERVENCIONISMO HUMANITARIO”</w:t>
      </w:r>
    </w:p>
    <w:p>
      <w:pPr>
        <w:spacing w:before="58"/>
        <w:ind w:left="78" w:right="1222" w:firstLine="0"/>
        <w:jc w:val="left"/>
        <w:rPr>
          <w:rFonts w:ascii="Calibri"/>
          <w:sz w:val="22"/>
        </w:rPr>
      </w:pPr>
      <w:r>
        <w:rPr>
          <w:rFonts w:ascii="Calibri"/>
          <w:color w:val="4C4D4F"/>
          <w:w w:val="105"/>
          <w:sz w:val="22"/>
        </w:rPr>
        <w:t>Luca Scuccimarra</w:t>
      </w:r>
    </w:p>
    <w:p>
      <w:pPr>
        <w:spacing w:after="0"/>
        <w:jc w:val="left"/>
        <w:rPr>
          <w:rFonts w:ascii="Calibri"/>
          <w:sz w:val="22"/>
        </w:rPr>
        <w:sectPr>
          <w:type w:val="continuous"/>
          <w:pgSz w:w="9640" w:h="13890"/>
          <w:pgMar w:top="0" w:bottom="0" w:left="1340" w:right="1340"/>
          <w:cols w:num="2" w:equalWidth="0">
            <w:col w:w="1914" w:space="40"/>
            <w:col w:w="5006"/>
          </w:cols>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7"/>
        </w:rPr>
      </w:pPr>
    </w:p>
    <w:p>
      <w:pPr>
        <w:spacing w:before="57"/>
        <w:ind w:left="100" w:right="0" w:firstLine="0"/>
        <w:jc w:val="both"/>
        <w:rPr>
          <w:rFonts w:ascii="Arial" w:hAnsi="Arial"/>
          <w:i/>
          <w:sz w:val="21"/>
        </w:rPr>
      </w:pPr>
      <w:r>
        <w:rPr>
          <w:rFonts w:ascii="Arial" w:hAnsi="Arial"/>
          <w:i/>
          <w:color w:val="231F20"/>
          <w:w w:val="105"/>
          <w:sz w:val="21"/>
        </w:rPr>
        <w:t>Introducción</w:t>
      </w:r>
    </w:p>
    <w:p>
      <w:pPr>
        <w:pStyle w:val="BodyText"/>
        <w:rPr>
          <w:rFonts w:ascii="Arial"/>
          <w:i/>
          <w:sz w:val="20"/>
        </w:rPr>
      </w:pPr>
    </w:p>
    <w:p>
      <w:pPr>
        <w:pStyle w:val="BodyText"/>
        <w:spacing w:line="247" w:lineRule="auto" w:before="172"/>
        <w:ind w:left="100" w:right="104"/>
        <w:jc w:val="both"/>
      </w:pPr>
      <w:r>
        <w:rPr>
          <w:color w:val="231F20"/>
          <w:spacing w:val="-4"/>
          <w:w w:val="105"/>
        </w:rPr>
        <w:t>Globalización:</w:t>
      </w:r>
      <w:r>
        <w:rPr>
          <w:color w:val="231F20"/>
          <w:spacing w:val="-40"/>
          <w:w w:val="105"/>
        </w:rPr>
        <w:t> </w:t>
      </w:r>
      <w:r>
        <w:rPr>
          <w:color w:val="231F20"/>
          <w:spacing w:val="-4"/>
          <w:w w:val="105"/>
        </w:rPr>
        <w:t>palabra,</w:t>
      </w:r>
      <w:r>
        <w:rPr>
          <w:color w:val="231F20"/>
          <w:spacing w:val="-40"/>
          <w:w w:val="105"/>
        </w:rPr>
        <w:t> </w:t>
      </w:r>
      <w:r>
        <w:rPr>
          <w:color w:val="231F20"/>
          <w:spacing w:val="-4"/>
          <w:w w:val="105"/>
        </w:rPr>
        <w:t>idea,</w:t>
      </w:r>
      <w:r>
        <w:rPr>
          <w:color w:val="231F20"/>
          <w:spacing w:val="-40"/>
          <w:w w:val="105"/>
        </w:rPr>
        <w:t> </w:t>
      </w:r>
      <w:r>
        <w:rPr>
          <w:color w:val="231F20"/>
          <w:spacing w:val="-4"/>
          <w:w w:val="105"/>
        </w:rPr>
        <w:t>concepto,</w:t>
      </w:r>
      <w:r>
        <w:rPr>
          <w:color w:val="231F20"/>
          <w:spacing w:val="-40"/>
          <w:w w:val="105"/>
        </w:rPr>
        <w:t> </w:t>
      </w:r>
      <w:r>
        <w:rPr>
          <w:color w:val="231F20"/>
          <w:spacing w:val="-4"/>
          <w:w w:val="105"/>
        </w:rPr>
        <w:t>estado</w:t>
      </w:r>
      <w:r>
        <w:rPr>
          <w:color w:val="231F20"/>
          <w:spacing w:val="-40"/>
          <w:w w:val="105"/>
        </w:rPr>
        <w:t> </w:t>
      </w:r>
      <w:r>
        <w:rPr>
          <w:color w:val="231F20"/>
          <w:w w:val="105"/>
        </w:rPr>
        <w:t>de</w:t>
      </w:r>
      <w:r>
        <w:rPr>
          <w:color w:val="231F20"/>
          <w:spacing w:val="-40"/>
          <w:w w:val="105"/>
        </w:rPr>
        <w:t> </w:t>
      </w:r>
      <w:r>
        <w:rPr>
          <w:color w:val="231F20"/>
          <w:spacing w:val="-3"/>
          <w:w w:val="105"/>
        </w:rPr>
        <w:t>las</w:t>
      </w:r>
      <w:r>
        <w:rPr>
          <w:color w:val="231F20"/>
          <w:spacing w:val="-40"/>
          <w:w w:val="105"/>
        </w:rPr>
        <w:t> </w:t>
      </w:r>
      <w:r>
        <w:rPr>
          <w:color w:val="231F20"/>
          <w:spacing w:val="-4"/>
          <w:w w:val="105"/>
        </w:rPr>
        <w:t>cosas;</w:t>
      </w:r>
      <w:r>
        <w:rPr>
          <w:color w:val="231F20"/>
          <w:spacing w:val="-40"/>
          <w:w w:val="105"/>
        </w:rPr>
        <w:t> </w:t>
      </w:r>
      <w:r>
        <w:rPr>
          <w:color w:val="231F20"/>
          <w:spacing w:val="-4"/>
          <w:w w:val="105"/>
        </w:rPr>
        <w:t>¿dónde</w:t>
      </w:r>
      <w:r>
        <w:rPr>
          <w:color w:val="231F20"/>
          <w:spacing w:val="-40"/>
          <w:w w:val="105"/>
        </w:rPr>
        <w:t> </w:t>
      </w:r>
      <w:r>
        <w:rPr>
          <w:color w:val="231F20"/>
          <w:spacing w:val="-4"/>
          <w:w w:val="105"/>
        </w:rPr>
        <w:t>encajarla? </w:t>
      </w:r>
      <w:r>
        <w:rPr>
          <w:color w:val="231F20"/>
          <w:w w:val="105"/>
        </w:rPr>
        <w:t>Se</w:t>
      </w:r>
      <w:r>
        <w:rPr>
          <w:color w:val="231F20"/>
          <w:spacing w:val="-34"/>
          <w:w w:val="105"/>
        </w:rPr>
        <w:t> </w:t>
      </w:r>
      <w:r>
        <w:rPr>
          <w:color w:val="231F20"/>
          <w:w w:val="105"/>
        </w:rPr>
        <w:t>asemeja</w:t>
      </w:r>
      <w:r>
        <w:rPr>
          <w:color w:val="231F20"/>
          <w:spacing w:val="-34"/>
          <w:w w:val="105"/>
        </w:rPr>
        <w:t> </w:t>
      </w:r>
      <w:r>
        <w:rPr>
          <w:color w:val="231F20"/>
          <w:w w:val="105"/>
        </w:rPr>
        <w:t>al</w:t>
      </w:r>
      <w:r>
        <w:rPr>
          <w:color w:val="231F20"/>
          <w:spacing w:val="-34"/>
          <w:w w:val="105"/>
        </w:rPr>
        <w:t> </w:t>
      </w:r>
      <w:r>
        <w:rPr>
          <w:color w:val="231F20"/>
          <w:w w:val="105"/>
        </w:rPr>
        <w:t>agua</w:t>
      </w:r>
      <w:r>
        <w:rPr>
          <w:color w:val="231F20"/>
          <w:spacing w:val="-34"/>
          <w:w w:val="105"/>
        </w:rPr>
        <w:t> </w:t>
      </w:r>
      <w:r>
        <w:rPr>
          <w:color w:val="231F20"/>
          <w:w w:val="105"/>
        </w:rPr>
        <w:t>que</w:t>
      </w:r>
      <w:r>
        <w:rPr>
          <w:color w:val="231F20"/>
          <w:spacing w:val="-34"/>
          <w:w w:val="105"/>
        </w:rPr>
        <w:t> </w:t>
      </w:r>
      <w:r>
        <w:rPr>
          <w:color w:val="231F20"/>
          <w:w w:val="105"/>
        </w:rPr>
        <w:t>no</w:t>
      </w:r>
      <w:r>
        <w:rPr>
          <w:color w:val="231F20"/>
          <w:spacing w:val="-34"/>
          <w:w w:val="105"/>
        </w:rPr>
        <w:t> </w:t>
      </w:r>
      <w:r>
        <w:rPr>
          <w:color w:val="231F20"/>
          <w:w w:val="105"/>
        </w:rPr>
        <w:t>se</w:t>
      </w:r>
      <w:r>
        <w:rPr>
          <w:color w:val="231F20"/>
          <w:spacing w:val="-34"/>
          <w:w w:val="105"/>
        </w:rPr>
        <w:t> </w:t>
      </w:r>
      <w:r>
        <w:rPr>
          <w:color w:val="231F20"/>
          <w:w w:val="105"/>
        </w:rPr>
        <w:t>puede</w:t>
      </w:r>
      <w:r>
        <w:rPr>
          <w:color w:val="231F20"/>
          <w:spacing w:val="-34"/>
          <w:w w:val="105"/>
        </w:rPr>
        <w:t> </w:t>
      </w:r>
      <w:r>
        <w:rPr>
          <w:color w:val="231F20"/>
          <w:w w:val="105"/>
        </w:rPr>
        <w:t>contener</w:t>
      </w:r>
      <w:r>
        <w:rPr>
          <w:color w:val="231F20"/>
          <w:spacing w:val="-34"/>
          <w:w w:val="105"/>
        </w:rPr>
        <w:t> </w:t>
      </w:r>
      <w:r>
        <w:rPr>
          <w:color w:val="231F20"/>
          <w:w w:val="105"/>
        </w:rPr>
        <w:t>en</w:t>
      </w:r>
      <w:r>
        <w:rPr>
          <w:color w:val="231F20"/>
          <w:spacing w:val="-34"/>
          <w:w w:val="105"/>
        </w:rPr>
        <w:t> </w:t>
      </w:r>
      <w:r>
        <w:rPr>
          <w:color w:val="231F20"/>
          <w:w w:val="105"/>
        </w:rPr>
        <w:t>las</w:t>
      </w:r>
      <w:r>
        <w:rPr>
          <w:color w:val="231F20"/>
          <w:spacing w:val="-34"/>
          <w:w w:val="105"/>
        </w:rPr>
        <w:t> </w:t>
      </w:r>
      <w:r>
        <w:rPr>
          <w:color w:val="231F20"/>
          <w:w w:val="105"/>
        </w:rPr>
        <w:t>manos,</w:t>
      </w:r>
      <w:r>
        <w:rPr>
          <w:color w:val="231F20"/>
          <w:spacing w:val="-34"/>
          <w:w w:val="105"/>
        </w:rPr>
        <w:t> </w:t>
      </w:r>
      <w:r>
        <w:rPr>
          <w:color w:val="231F20"/>
          <w:w w:val="105"/>
        </w:rPr>
        <w:t>que</w:t>
      </w:r>
      <w:r>
        <w:rPr>
          <w:color w:val="231F20"/>
          <w:spacing w:val="-34"/>
          <w:w w:val="105"/>
        </w:rPr>
        <w:t> </w:t>
      </w:r>
      <w:r>
        <w:rPr>
          <w:color w:val="231F20"/>
          <w:w w:val="105"/>
        </w:rPr>
        <w:t>se</w:t>
      </w:r>
      <w:r>
        <w:rPr>
          <w:color w:val="231F20"/>
          <w:spacing w:val="-34"/>
          <w:w w:val="105"/>
        </w:rPr>
        <w:t> </w:t>
      </w:r>
      <w:r>
        <w:rPr>
          <w:color w:val="231F20"/>
          <w:w w:val="105"/>
        </w:rPr>
        <w:t>escurre, se</w:t>
      </w:r>
      <w:r>
        <w:rPr>
          <w:color w:val="231F20"/>
          <w:spacing w:val="-24"/>
          <w:w w:val="105"/>
        </w:rPr>
        <w:t> </w:t>
      </w:r>
      <w:r>
        <w:rPr>
          <w:color w:val="231F20"/>
          <w:w w:val="105"/>
        </w:rPr>
        <w:t>filtra</w:t>
      </w:r>
      <w:r>
        <w:rPr>
          <w:color w:val="231F20"/>
          <w:spacing w:val="-24"/>
          <w:w w:val="105"/>
        </w:rPr>
        <w:t> </w:t>
      </w:r>
      <w:r>
        <w:rPr>
          <w:color w:val="231F20"/>
          <w:w w:val="105"/>
        </w:rPr>
        <w:t>y</w:t>
      </w:r>
      <w:r>
        <w:rPr>
          <w:color w:val="231F20"/>
          <w:spacing w:val="-24"/>
          <w:w w:val="105"/>
        </w:rPr>
        <w:t> </w:t>
      </w:r>
      <w:r>
        <w:rPr>
          <w:color w:val="231F20"/>
          <w:w w:val="105"/>
        </w:rPr>
        <w:t>circula;</w:t>
      </w:r>
      <w:r>
        <w:rPr>
          <w:color w:val="231F20"/>
          <w:spacing w:val="-24"/>
          <w:w w:val="105"/>
        </w:rPr>
        <w:t> </w:t>
      </w:r>
      <w:r>
        <w:rPr>
          <w:color w:val="231F20"/>
          <w:w w:val="105"/>
        </w:rPr>
        <w:t>sin</w:t>
      </w:r>
      <w:r>
        <w:rPr>
          <w:color w:val="231F20"/>
          <w:spacing w:val="-24"/>
          <w:w w:val="105"/>
        </w:rPr>
        <w:t> </w:t>
      </w:r>
      <w:r>
        <w:rPr>
          <w:color w:val="231F20"/>
          <w:w w:val="105"/>
        </w:rPr>
        <w:t>embargo,</w:t>
      </w:r>
      <w:r>
        <w:rPr>
          <w:color w:val="231F20"/>
          <w:spacing w:val="-24"/>
          <w:w w:val="105"/>
        </w:rPr>
        <w:t> </w:t>
      </w:r>
      <w:r>
        <w:rPr>
          <w:color w:val="231F20"/>
          <w:w w:val="105"/>
        </w:rPr>
        <w:t>su</w:t>
      </w:r>
      <w:r>
        <w:rPr>
          <w:color w:val="231F20"/>
          <w:spacing w:val="-24"/>
          <w:w w:val="105"/>
        </w:rPr>
        <w:t> </w:t>
      </w:r>
      <w:r>
        <w:rPr>
          <w:color w:val="231F20"/>
          <w:w w:val="105"/>
        </w:rPr>
        <w:t>presencia</w:t>
      </w:r>
      <w:r>
        <w:rPr>
          <w:color w:val="231F20"/>
          <w:spacing w:val="-24"/>
          <w:w w:val="105"/>
        </w:rPr>
        <w:t> </w:t>
      </w:r>
      <w:r>
        <w:rPr>
          <w:color w:val="231F20"/>
          <w:w w:val="105"/>
        </w:rPr>
        <w:t>es</w:t>
      </w:r>
      <w:r>
        <w:rPr>
          <w:color w:val="231F20"/>
          <w:spacing w:val="-24"/>
          <w:w w:val="105"/>
        </w:rPr>
        <w:t> </w:t>
      </w:r>
      <w:r>
        <w:rPr>
          <w:color w:val="231F20"/>
          <w:w w:val="105"/>
        </w:rPr>
        <w:t>rotunda</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mundo</w:t>
      </w:r>
      <w:r>
        <w:rPr>
          <w:color w:val="231F20"/>
          <w:spacing w:val="-24"/>
          <w:w w:val="105"/>
        </w:rPr>
        <w:t> </w:t>
      </w:r>
      <w:r>
        <w:rPr>
          <w:color w:val="231F20"/>
          <w:w w:val="105"/>
        </w:rPr>
        <w:t>actual y en los más recónditos espacios de la vida cotidiana. Su principal</w:t>
      </w:r>
      <w:r>
        <w:rPr>
          <w:color w:val="231F20"/>
          <w:spacing w:val="-18"/>
          <w:w w:val="105"/>
        </w:rPr>
        <w:t> </w:t>
      </w:r>
      <w:r>
        <w:rPr>
          <w:color w:val="231F20"/>
          <w:w w:val="105"/>
        </w:rPr>
        <w:t>aliado es,</w:t>
      </w:r>
      <w:r>
        <w:rPr>
          <w:color w:val="231F20"/>
          <w:spacing w:val="-30"/>
          <w:w w:val="105"/>
        </w:rPr>
        <w:t> </w:t>
      </w:r>
      <w:r>
        <w:rPr>
          <w:color w:val="231F20"/>
          <w:w w:val="105"/>
        </w:rPr>
        <w:t>evidentemente,</w:t>
      </w:r>
      <w:r>
        <w:rPr>
          <w:color w:val="231F20"/>
          <w:spacing w:val="-30"/>
          <w:w w:val="105"/>
        </w:rPr>
        <w:t> </w:t>
      </w:r>
      <w:r>
        <w:rPr>
          <w:color w:val="231F20"/>
          <w:w w:val="105"/>
        </w:rPr>
        <w:t>el</w:t>
      </w:r>
      <w:r>
        <w:rPr>
          <w:color w:val="231F20"/>
          <w:spacing w:val="-30"/>
          <w:w w:val="105"/>
        </w:rPr>
        <w:t> </w:t>
      </w:r>
      <w:r>
        <w:rPr>
          <w:color w:val="231F20"/>
          <w:w w:val="105"/>
        </w:rPr>
        <w:t>capitalismo.</w:t>
      </w:r>
      <w:r>
        <w:rPr>
          <w:color w:val="231F20"/>
          <w:spacing w:val="-30"/>
          <w:w w:val="105"/>
        </w:rPr>
        <w:t> </w:t>
      </w:r>
      <w:r>
        <w:rPr>
          <w:color w:val="231F20"/>
          <w:spacing w:val="-4"/>
          <w:w w:val="105"/>
        </w:rPr>
        <w:t>Van</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mano</w:t>
      </w:r>
      <w:r>
        <w:rPr>
          <w:color w:val="231F20"/>
          <w:spacing w:val="-30"/>
          <w:w w:val="105"/>
        </w:rPr>
        <w:t> </w:t>
      </w:r>
      <w:r>
        <w:rPr>
          <w:color w:val="231F20"/>
          <w:w w:val="105"/>
        </w:rPr>
        <w:t>y</w:t>
      </w:r>
      <w:r>
        <w:rPr>
          <w:color w:val="231F20"/>
          <w:spacing w:val="-30"/>
          <w:w w:val="105"/>
        </w:rPr>
        <w:t> </w:t>
      </w:r>
      <w:r>
        <w:rPr>
          <w:color w:val="231F20"/>
          <w:w w:val="105"/>
        </w:rPr>
        <w:t>se</w:t>
      </w:r>
      <w:r>
        <w:rPr>
          <w:color w:val="231F20"/>
          <w:spacing w:val="-30"/>
          <w:w w:val="105"/>
        </w:rPr>
        <w:t> </w:t>
      </w:r>
      <w:r>
        <w:rPr>
          <w:color w:val="231F20"/>
          <w:w w:val="105"/>
        </w:rPr>
        <w:t>retroalimentan.</w:t>
      </w:r>
      <w:r>
        <w:rPr>
          <w:color w:val="231F20"/>
          <w:spacing w:val="-30"/>
          <w:w w:val="105"/>
        </w:rPr>
        <w:t> </w:t>
      </w:r>
      <w:r>
        <w:rPr>
          <w:color w:val="231F20"/>
          <w:w w:val="105"/>
        </w:rPr>
        <w:t>Hay que</w:t>
      </w:r>
      <w:r>
        <w:rPr>
          <w:color w:val="231F20"/>
          <w:spacing w:val="-16"/>
          <w:w w:val="105"/>
        </w:rPr>
        <w:t> </w:t>
      </w:r>
      <w:r>
        <w:rPr>
          <w:color w:val="231F20"/>
          <w:spacing w:val="-4"/>
          <w:w w:val="105"/>
        </w:rPr>
        <w:t>recordar,</w:t>
      </w:r>
      <w:r>
        <w:rPr>
          <w:color w:val="231F20"/>
          <w:spacing w:val="-16"/>
          <w:w w:val="105"/>
        </w:rPr>
        <w:t> </w:t>
      </w:r>
      <w:r>
        <w:rPr>
          <w:color w:val="231F20"/>
          <w:w w:val="105"/>
        </w:rPr>
        <w:t>no</w:t>
      </w:r>
      <w:r>
        <w:rPr>
          <w:color w:val="231F20"/>
          <w:spacing w:val="-16"/>
          <w:w w:val="105"/>
        </w:rPr>
        <w:t> </w:t>
      </w:r>
      <w:r>
        <w:rPr>
          <w:color w:val="231F20"/>
          <w:w w:val="105"/>
        </w:rPr>
        <w:t>obstante,</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w w:val="105"/>
        </w:rPr>
        <w:t>globalización</w:t>
      </w:r>
      <w:r>
        <w:rPr>
          <w:color w:val="231F20"/>
          <w:spacing w:val="-16"/>
          <w:w w:val="105"/>
        </w:rPr>
        <w:t> </w:t>
      </w:r>
      <w:r>
        <w:rPr>
          <w:color w:val="231F20"/>
          <w:w w:val="105"/>
        </w:rPr>
        <w:t>ha</w:t>
      </w:r>
      <w:r>
        <w:rPr>
          <w:color w:val="231F20"/>
          <w:spacing w:val="-16"/>
          <w:w w:val="105"/>
        </w:rPr>
        <w:t> </w:t>
      </w:r>
      <w:r>
        <w:rPr>
          <w:color w:val="231F20"/>
          <w:w w:val="105"/>
        </w:rPr>
        <w:t>existido</w:t>
      </w:r>
      <w:r>
        <w:rPr>
          <w:color w:val="231F20"/>
          <w:spacing w:val="-16"/>
          <w:w w:val="105"/>
        </w:rPr>
        <w:t> </w:t>
      </w:r>
      <w:r>
        <w:rPr>
          <w:color w:val="231F20"/>
          <w:w w:val="105"/>
        </w:rPr>
        <w:t>desde</w:t>
      </w:r>
      <w:r>
        <w:rPr>
          <w:color w:val="231F20"/>
          <w:spacing w:val="-16"/>
          <w:w w:val="105"/>
        </w:rPr>
        <w:t> </w:t>
      </w:r>
      <w:r>
        <w:rPr>
          <w:color w:val="231F20"/>
          <w:w w:val="105"/>
        </w:rPr>
        <w:t>antes</w:t>
      </w:r>
      <w:r>
        <w:rPr>
          <w:color w:val="231F20"/>
          <w:spacing w:val="-16"/>
          <w:w w:val="105"/>
        </w:rPr>
        <w:t> </w:t>
      </w:r>
      <w:r>
        <w:rPr>
          <w:color w:val="231F20"/>
          <w:w w:val="105"/>
        </w:rPr>
        <w:t>de la</w:t>
      </w:r>
      <w:r>
        <w:rPr>
          <w:color w:val="231F20"/>
          <w:spacing w:val="-24"/>
          <w:w w:val="105"/>
        </w:rPr>
        <w:t> </w:t>
      </w:r>
      <w:r>
        <w:rPr>
          <w:color w:val="231F20"/>
          <w:w w:val="105"/>
        </w:rPr>
        <w:t>llegada</w:t>
      </w:r>
      <w:r>
        <w:rPr>
          <w:color w:val="231F20"/>
          <w:spacing w:val="-24"/>
          <w:w w:val="105"/>
        </w:rPr>
        <w:t> </w:t>
      </w:r>
      <w:r>
        <w:rPr>
          <w:color w:val="231F20"/>
          <w:w w:val="105"/>
        </w:rPr>
        <w:t>de</w:t>
      </w:r>
      <w:r>
        <w:rPr>
          <w:color w:val="231F20"/>
          <w:spacing w:val="-24"/>
          <w:w w:val="105"/>
        </w:rPr>
        <w:t> </w:t>
      </w:r>
      <w:r>
        <w:rPr>
          <w:color w:val="231F20"/>
          <w:w w:val="105"/>
        </w:rPr>
        <w:t>este</w:t>
      </w:r>
      <w:r>
        <w:rPr>
          <w:color w:val="231F20"/>
          <w:spacing w:val="-24"/>
          <w:w w:val="105"/>
        </w:rPr>
        <w:t> </w:t>
      </w:r>
      <w:r>
        <w:rPr>
          <w:color w:val="231F20"/>
          <w:w w:val="105"/>
        </w:rPr>
        <w:t>sistema</w:t>
      </w:r>
      <w:r>
        <w:rPr>
          <w:color w:val="231F20"/>
          <w:spacing w:val="-24"/>
          <w:w w:val="105"/>
        </w:rPr>
        <w:t> </w:t>
      </w:r>
      <w:r>
        <w:rPr>
          <w:color w:val="231F20"/>
          <w:w w:val="105"/>
        </w:rPr>
        <w:t>económico–político.</w:t>
      </w:r>
      <w:r>
        <w:rPr>
          <w:color w:val="231F20"/>
          <w:spacing w:val="-23"/>
          <w:w w:val="105"/>
        </w:rPr>
        <w:t> </w:t>
      </w:r>
      <w:r>
        <w:rPr>
          <w:color w:val="231F20"/>
          <w:w w:val="105"/>
        </w:rPr>
        <w:t>Este</w:t>
      </w:r>
      <w:r>
        <w:rPr>
          <w:color w:val="231F20"/>
          <w:spacing w:val="-23"/>
          <w:w w:val="105"/>
        </w:rPr>
        <w:t> </w:t>
      </w:r>
      <w:r>
        <w:rPr>
          <w:color w:val="231F20"/>
          <w:w w:val="105"/>
        </w:rPr>
        <w:t>impulso</w:t>
      </w:r>
      <w:r>
        <w:rPr>
          <w:color w:val="231F20"/>
          <w:spacing w:val="-24"/>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expansión y</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colonización</w:t>
      </w:r>
      <w:r>
        <w:rPr>
          <w:color w:val="231F20"/>
          <w:spacing w:val="-11"/>
          <w:w w:val="105"/>
        </w:rPr>
        <w:t> </w:t>
      </w:r>
      <w:r>
        <w:rPr>
          <w:color w:val="231F20"/>
          <w:w w:val="105"/>
        </w:rPr>
        <w:t>por</w:t>
      </w:r>
      <w:r>
        <w:rPr>
          <w:color w:val="231F20"/>
          <w:spacing w:val="-11"/>
          <w:w w:val="105"/>
        </w:rPr>
        <w:t> </w:t>
      </w:r>
      <w:r>
        <w:rPr>
          <w:color w:val="231F20"/>
          <w:w w:val="105"/>
        </w:rPr>
        <w:t>parte</w:t>
      </w:r>
      <w:r>
        <w:rPr>
          <w:color w:val="231F20"/>
          <w:spacing w:val="-11"/>
          <w:w w:val="105"/>
        </w:rPr>
        <w:t> </w:t>
      </w:r>
      <w:r>
        <w:rPr>
          <w:color w:val="231F20"/>
          <w:w w:val="105"/>
        </w:rPr>
        <w:t>de</w:t>
      </w:r>
      <w:r>
        <w:rPr>
          <w:color w:val="231F20"/>
          <w:spacing w:val="-11"/>
          <w:w w:val="105"/>
        </w:rPr>
        <w:t> </w:t>
      </w:r>
      <w:r>
        <w:rPr>
          <w:color w:val="231F20"/>
          <w:w w:val="105"/>
        </w:rPr>
        <w:t>una</w:t>
      </w:r>
      <w:r>
        <w:rPr>
          <w:color w:val="231F20"/>
          <w:spacing w:val="-11"/>
          <w:w w:val="105"/>
        </w:rPr>
        <w:t> </w:t>
      </w:r>
      <w:r>
        <w:rPr>
          <w:color w:val="231F20"/>
          <w:w w:val="105"/>
        </w:rPr>
        <w:t>determinada</w:t>
      </w:r>
      <w:r>
        <w:rPr>
          <w:color w:val="231F20"/>
          <w:spacing w:val="-11"/>
          <w:w w:val="105"/>
        </w:rPr>
        <w:t> </w:t>
      </w:r>
      <w:r>
        <w:rPr>
          <w:color w:val="231F20"/>
          <w:w w:val="105"/>
        </w:rPr>
        <w:t>cultura</w:t>
      </w:r>
      <w:r>
        <w:rPr>
          <w:color w:val="231F20"/>
          <w:spacing w:val="-11"/>
          <w:w w:val="105"/>
        </w:rPr>
        <w:t> </w:t>
      </w:r>
      <w:r>
        <w:rPr>
          <w:color w:val="231F20"/>
          <w:w w:val="105"/>
        </w:rPr>
        <w:t>o</w:t>
      </w:r>
      <w:r>
        <w:rPr>
          <w:color w:val="231F20"/>
          <w:spacing w:val="-11"/>
          <w:w w:val="105"/>
        </w:rPr>
        <w:t> </w:t>
      </w:r>
      <w:r>
        <w:rPr>
          <w:color w:val="231F20"/>
          <w:w w:val="105"/>
        </w:rPr>
        <w:t>forma</w:t>
      </w:r>
      <w:r>
        <w:rPr>
          <w:color w:val="231F20"/>
          <w:spacing w:val="-11"/>
          <w:w w:val="105"/>
        </w:rPr>
        <w:t> </w:t>
      </w:r>
      <w:r>
        <w:rPr>
          <w:color w:val="231F20"/>
          <w:w w:val="105"/>
        </w:rPr>
        <w:t>de</w:t>
      </w:r>
      <w:r>
        <w:rPr>
          <w:color w:val="231F20"/>
          <w:spacing w:val="-11"/>
          <w:w w:val="105"/>
        </w:rPr>
        <w:t> </w:t>
      </w:r>
      <w:r>
        <w:rPr>
          <w:color w:val="231F20"/>
          <w:w w:val="105"/>
        </w:rPr>
        <w:t>vida, sobre</w:t>
      </w:r>
      <w:r>
        <w:rPr>
          <w:color w:val="231F20"/>
          <w:spacing w:val="-32"/>
          <w:w w:val="105"/>
        </w:rPr>
        <w:t> </w:t>
      </w:r>
      <w:r>
        <w:rPr>
          <w:color w:val="231F20"/>
          <w:w w:val="105"/>
        </w:rPr>
        <w:t>aquello</w:t>
      </w:r>
      <w:r>
        <w:rPr>
          <w:color w:val="231F20"/>
          <w:spacing w:val="-32"/>
          <w:w w:val="105"/>
        </w:rPr>
        <w:t> </w:t>
      </w:r>
      <w:r>
        <w:rPr>
          <w:color w:val="231F20"/>
          <w:w w:val="105"/>
        </w:rPr>
        <w:t>que</w:t>
      </w:r>
      <w:r>
        <w:rPr>
          <w:color w:val="231F20"/>
          <w:spacing w:val="-32"/>
          <w:w w:val="105"/>
        </w:rPr>
        <w:t> </w:t>
      </w:r>
      <w:r>
        <w:rPr>
          <w:color w:val="231F20"/>
          <w:w w:val="105"/>
        </w:rPr>
        <w:t>le</w:t>
      </w:r>
      <w:r>
        <w:rPr>
          <w:color w:val="231F20"/>
          <w:spacing w:val="-32"/>
          <w:w w:val="105"/>
        </w:rPr>
        <w:t> </w:t>
      </w:r>
      <w:r>
        <w:rPr>
          <w:color w:val="231F20"/>
          <w:w w:val="105"/>
        </w:rPr>
        <w:t>parece</w:t>
      </w:r>
      <w:r>
        <w:rPr>
          <w:color w:val="231F20"/>
          <w:spacing w:val="-32"/>
          <w:w w:val="105"/>
        </w:rPr>
        <w:t> </w:t>
      </w:r>
      <w:r>
        <w:rPr>
          <w:color w:val="231F20"/>
          <w:w w:val="105"/>
        </w:rPr>
        <w:t>diferente,</w:t>
      </w:r>
      <w:r>
        <w:rPr>
          <w:color w:val="231F20"/>
          <w:spacing w:val="-32"/>
          <w:w w:val="105"/>
        </w:rPr>
        <w:t> </w:t>
      </w:r>
      <w:r>
        <w:rPr>
          <w:color w:val="231F20"/>
          <w:w w:val="105"/>
        </w:rPr>
        <w:t>ha</w:t>
      </w:r>
      <w:r>
        <w:rPr>
          <w:color w:val="231F20"/>
          <w:spacing w:val="-32"/>
          <w:w w:val="105"/>
        </w:rPr>
        <w:t> </w:t>
      </w:r>
      <w:r>
        <w:rPr>
          <w:color w:val="231F20"/>
          <w:w w:val="105"/>
        </w:rPr>
        <w:t>estado</w:t>
      </w:r>
      <w:r>
        <w:rPr>
          <w:color w:val="231F20"/>
          <w:spacing w:val="-32"/>
          <w:w w:val="105"/>
        </w:rPr>
        <w:t> </w:t>
      </w:r>
      <w:r>
        <w:rPr>
          <w:color w:val="231F20"/>
          <w:w w:val="105"/>
        </w:rPr>
        <w:t>presente</w:t>
      </w:r>
      <w:r>
        <w:rPr>
          <w:color w:val="231F20"/>
          <w:spacing w:val="-32"/>
          <w:w w:val="105"/>
        </w:rPr>
        <w:t> </w:t>
      </w:r>
      <w:r>
        <w:rPr>
          <w:color w:val="231F20"/>
          <w:w w:val="105"/>
        </w:rPr>
        <w:t>desde</w:t>
      </w:r>
      <w:r>
        <w:rPr>
          <w:color w:val="231F20"/>
          <w:spacing w:val="-32"/>
          <w:w w:val="105"/>
        </w:rPr>
        <w:t> </w:t>
      </w:r>
      <w:r>
        <w:rPr>
          <w:color w:val="231F20"/>
          <w:w w:val="105"/>
        </w:rPr>
        <w:t>las</w:t>
      </w:r>
      <w:r>
        <w:rPr>
          <w:color w:val="231F20"/>
          <w:spacing w:val="-32"/>
          <w:w w:val="105"/>
        </w:rPr>
        <w:t> </w:t>
      </w:r>
      <w:r>
        <w:rPr>
          <w:color w:val="231F20"/>
          <w:w w:val="105"/>
        </w:rPr>
        <w:t>civiliza- ciones</w:t>
      </w:r>
      <w:r>
        <w:rPr>
          <w:color w:val="231F20"/>
          <w:spacing w:val="-39"/>
          <w:w w:val="105"/>
        </w:rPr>
        <w:t> </w:t>
      </w:r>
      <w:r>
        <w:rPr>
          <w:color w:val="231F20"/>
          <w:w w:val="105"/>
        </w:rPr>
        <w:t>más</w:t>
      </w:r>
      <w:r>
        <w:rPr>
          <w:color w:val="231F20"/>
          <w:spacing w:val="-39"/>
          <w:w w:val="105"/>
        </w:rPr>
        <w:t> </w:t>
      </w:r>
      <w:r>
        <w:rPr>
          <w:color w:val="231F20"/>
          <w:w w:val="105"/>
        </w:rPr>
        <w:t>primitivas</w:t>
      </w:r>
      <w:r>
        <w:rPr>
          <w:color w:val="231F20"/>
          <w:spacing w:val="-39"/>
          <w:w w:val="105"/>
        </w:rPr>
        <w:t> </w:t>
      </w:r>
      <w:r>
        <w:rPr>
          <w:color w:val="231F20"/>
          <w:w w:val="105"/>
        </w:rPr>
        <w:t>que</w:t>
      </w:r>
      <w:r>
        <w:rPr>
          <w:color w:val="231F20"/>
          <w:spacing w:val="-39"/>
          <w:w w:val="105"/>
        </w:rPr>
        <w:t> </w:t>
      </w:r>
      <w:r>
        <w:rPr>
          <w:color w:val="231F20"/>
          <w:w w:val="105"/>
        </w:rPr>
        <w:t>se</w:t>
      </w:r>
      <w:r>
        <w:rPr>
          <w:color w:val="231F20"/>
          <w:spacing w:val="-39"/>
          <w:w w:val="105"/>
        </w:rPr>
        <w:t> </w:t>
      </w:r>
      <w:r>
        <w:rPr>
          <w:color w:val="231F20"/>
          <w:w w:val="105"/>
        </w:rPr>
        <w:t>regían</w:t>
      </w:r>
      <w:r>
        <w:rPr>
          <w:color w:val="231F20"/>
          <w:spacing w:val="-39"/>
          <w:w w:val="105"/>
        </w:rPr>
        <w:t> </w:t>
      </w:r>
      <w:r>
        <w:rPr>
          <w:color w:val="231F20"/>
          <w:w w:val="105"/>
        </w:rPr>
        <w:t>por</w:t>
      </w:r>
      <w:r>
        <w:rPr>
          <w:color w:val="231F20"/>
          <w:spacing w:val="-39"/>
          <w:w w:val="105"/>
        </w:rPr>
        <w:t> </w:t>
      </w:r>
      <w:r>
        <w:rPr>
          <w:color w:val="231F20"/>
          <w:w w:val="105"/>
        </w:rPr>
        <w:t>diferentes</w:t>
      </w:r>
      <w:r>
        <w:rPr>
          <w:color w:val="231F20"/>
          <w:spacing w:val="-39"/>
          <w:w w:val="105"/>
        </w:rPr>
        <w:t> </w:t>
      </w:r>
      <w:r>
        <w:rPr>
          <w:color w:val="231F20"/>
          <w:w w:val="105"/>
        </w:rPr>
        <w:t>sistemas</w:t>
      </w:r>
      <w:r>
        <w:rPr>
          <w:color w:val="231F20"/>
          <w:spacing w:val="-39"/>
          <w:w w:val="105"/>
        </w:rPr>
        <w:t> </w:t>
      </w:r>
      <w:r>
        <w:rPr>
          <w:color w:val="231F20"/>
          <w:w w:val="105"/>
        </w:rPr>
        <w:t>de</w:t>
      </w:r>
      <w:r>
        <w:rPr>
          <w:color w:val="231F20"/>
          <w:spacing w:val="-39"/>
          <w:w w:val="105"/>
        </w:rPr>
        <w:t> </w:t>
      </w:r>
      <w:r>
        <w:rPr>
          <w:color w:val="231F20"/>
          <w:w w:val="105"/>
        </w:rPr>
        <w:t>explotación</w:t>
      </w:r>
      <w:r>
        <w:rPr>
          <w:color w:val="231F20"/>
          <w:spacing w:val="-39"/>
          <w:w w:val="105"/>
        </w:rPr>
        <w:t> </w:t>
      </w:r>
      <w:r>
        <w:rPr>
          <w:color w:val="231F20"/>
          <w:w w:val="105"/>
        </w:rPr>
        <w:t>y distribución</w:t>
      </w:r>
      <w:r>
        <w:rPr>
          <w:color w:val="231F20"/>
          <w:spacing w:val="-33"/>
          <w:w w:val="105"/>
        </w:rPr>
        <w:t> </w:t>
      </w:r>
      <w:r>
        <w:rPr>
          <w:color w:val="231F20"/>
          <w:w w:val="105"/>
        </w:rPr>
        <w:t>de</w:t>
      </w:r>
      <w:r>
        <w:rPr>
          <w:color w:val="231F20"/>
          <w:spacing w:val="-33"/>
          <w:w w:val="105"/>
        </w:rPr>
        <w:t> </w:t>
      </w:r>
      <w:r>
        <w:rPr>
          <w:color w:val="231F20"/>
          <w:w w:val="105"/>
        </w:rPr>
        <w:t>bienes.</w:t>
      </w:r>
      <w:r>
        <w:rPr>
          <w:color w:val="231F20"/>
          <w:spacing w:val="-33"/>
          <w:w w:val="105"/>
        </w:rPr>
        <w:t> </w:t>
      </w:r>
      <w:r>
        <w:rPr>
          <w:color w:val="231F20"/>
          <w:w w:val="105"/>
        </w:rPr>
        <w:t>Pensemos,</w:t>
      </w:r>
      <w:r>
        <w:rPr>
          <w:color w:val="231F20"/>
          <w:spacing w:val="-33"/>
          <w:w w:val="105"/>
        </w:rPr>
        <w:t> </w:t>
      </w:r>
      <w:r>
        <w:rPr>
          <w:color w:val="231F20"/>
          <w:w w:val="105"/>
        </w:rPr>
        <w:t>sin</w:t>
      </w:r>
      <w:r>
        <w:rPr>
          <w:color w:val="231F20"/>
          <w:spacing w:val="-33"/>
          <w:w w:val="105"/>
        </w:rPr>
        <w:t> </w:t>
      </w:r>
      <w:r>
        <w:rPr>
          <w:color w:val="231F20"/>
          <w:w w:val="105"/>
        </w:rPr>
        <w:t>ir</w:t>
      </w:r>
      <w:r>
        <w:rPr>
          <w:color w:val="231F20"/>
          <w:spacing w:val="-33"/>
          <w:w w:val="105"/>
        </w:rPr>
        <w:t> </w:t>
      </w:r>
      <w:r>
        <w:rPr>
          <w:color w:val="231F20"/>
          <w:w w:val="105"/>
        </w:rPr>
        <w:t>más</w:t>
      </w:r>
      <w:r>
        <w:rPr>
          <w:color w:val="231F20"/>
          <w:spacing w:val="-33"/>
          <w:w w:val="105"/>
        </w:rPr>
        <w:t> </w:t>
      </w:r>
      <w:r>
        <w:rPr>
          <w:color w:val="231F20"/>
          <w:w w:val="105"/>
        </w:rPr>
        <w:t>lejos,</w:t>
      </w:r>
      <w:r>
        <w:rPr>
          <w:color w:val="231F20"/>
          <w:spacing w:val="-33"/>
          <w:w w:val="105"/>
        </w:rPr>
        <w:t> </w:t>
      </w:r>
      <w:r>
        <w:rPr>
          <w:color w:val="231F20"/>
          <w:w w:val="105"/>
        </w:rPr>
        <w:t>en</w:t>
      </w:r>
      <w:r>
        <w:rPr>
          <w:color w:val="231F20"/>
          <w:spacing w:val="-33"/>
          <w:w w:val="105"/>
        </w:rPr>
        <w:t> </w:t>
      </w:r>
      <w:r>
        <w:rPr>
          <w:color w:val="231F20"/>
          <w:w w:val="105"/>
        </w:rPr>
        <w:t>la</w:t>
      </w:r>
      <w:r>
        <w:rPr>
          <w:color w:val="231F20"/>
          <w:spacing w:val="-33"/>
          <w:w w:val="105"/>
        </w:rPr>
        <w:t> </w:t>
      </w:r>
      <w:r>
        <w:rPr>
          <w:color w:val="231F20"/>
          <w:w w:val="105"/>
        </w:rPr>
        <w:t>cultura</w:t>
      </w:r>
      <w:r>
        <w:rPr>
          <w:color w:val="231F20"/>
          <w:spacing w:val="-33"/>
          <w:w w:val="105"/>
        </w:rPr>
        <w:t> </w:t>
      </w:r>
      <w:r>
        <w:rPr>
          <w:color w:val="231F20"/>
          <w:w w:val="105"/>
        </w:rPr>
        <w:t>mexica</w:t>
      </w:r>
      <w:r>
        <w:rPr>
          <w:color w:val="231F20"/>
          <w:spacing w:val="-33"/>
          <w:w w:val="105"/>
        </w:rPr>
        <w:t> </w:t>
      </w:r>
      <w:r>
        <w:rPr>
          <w:color w:val="231F20"/>
          <w:w w:val="105"/>
        </w:rPr>
        <w:t>que, en</w:t>
      </w:r>
      <w:r>
        <w:rPr>
          <w:color w:val="231F20"/>
          <w:spacing w:val="-28"/>
          <w:w w:val="105"/>
        </w:rPr>
        <w:t> </w:t>
      </w:r>
      <w:r>
        <w:rPr>
          <w:color w:val="231F20"/>
          <w:w w:val="105"/>
        </w:rPr>
        <w:t>sus</w:t>
      </w:r>
      <w:r>
        <w:rPr>
          <w:color w:val="231F20"/>
          <w:spacing w:val="-28"/>
          <w:w w:val="105"/>
        </w:rPr>
        <w:t> </w:t>
      </w:r>
      <w:r>
        <w:rPr>
          <w:color w:val="231F20"/>
          <w:w w:val="105"/>
        </w:rPr>
        <w:t>propios</w:t>
      </w:r>
      <w:r>
        <w:rPr>
          <w:color w:val="231F20"/>
          <w:spacing w:val="-28"/>
          <w:w w:val="105"/>
        </w:rPr>
        <w:t> </w:t>
      </w:r>
      <w:r>
        <w:rPr>
          <w:color w:val="231F20"/>
          <w:w w:val="105"/>
        </w:rPr>
        <w:t>términos,</w:t>
      </w:r>
      <w:r>
        <w:rPr>
          <w:color w:val="231F20"/>
          <w:spacing w:val="-28"/>
          <w:w w:val="105"/>
        </w:rPr>
        <w:t> </w:t>
      </w:r>
      <w:r>
        <w:rPr>
          <w:color w:val="231F20"/>
          <w:w w:val="105"/>
        </w:rPr>
        <w:t>aspiraba</w:t>
      </w:r>
      <w:r>
        <w:rPr>
          <w:color w:val="231F20"/>
          <w:spacing w:val="-28"/>
          <w:w w:val="105"/>
        </w:rPr>
        <w:t> </w:t>
      </w:r>
      <w:r>
        <w:rPr>
          <w:color w:val="231F20"/>
          <w:w w:val="105"/>
        </w:rPr>
        <w:t>hacia</w:t>
      </w:r>
      <w:r>
        <w:rPr>
          <w:color w:val="231F20"/>
          <w:spacing w:val="-28"/>
          <w:w w:val="105"/>
        </w:rPr>
        <w:t> </w:t>
      </w:r>
      <w:r>
        <w:rPr>
          <w:color w:val="231F20"/>
          <w:w w:val="105"/>
        </w:rPr>
        <w:t>la</w:t>
      </w:r>
      <w:r>
        <w:rPr>
          <w:color w:val="231F20"/>
          <w:spacing w:val="-28"/>
          <w:w w:val="105"/>
        </w:rPr>
        <w:t> </w:t>
      </w:r>
      <w:r>
        <w:rPr>
          <w:rFonts w:ascii="Arial" w:hAnsi="Arial"/>
          <w:i/>
          <w:color w:val="231F20"/>
          <w:w w:val="105"/>
        </w:rPr>
        <w:t>globalización</w:t>
      </w:r>
      <w:r>
        <w:rPr>
          <w:rFonts w:ascii="Arial" w:hAnsi="Arial"/>
          <w:i/>
          <w:color w:val="231F20"/>
          <w:spacing w:val="-20"/>
          <w:w w:val="105"/>
        </w:rPr>
        <w:t> </w:t>
      </w:r>
      <w:r>
        <w:rPr>
          <w:color w:val="231F20"/>
          <w:w w:val="105"/>
        </w:rPr>
        <w:t>de</w:t>
      </w:r>
      <w:r>
        <w:rPr>
          <w:color w:val="231F20"/>
          <w:spacing w:val="-28"/>
          <w:w w:val="105"/>
        </w:rPr>
        <w:t> </w:t>
      </w:r>
      <w:r>
        <w:rPr>
          <w:color w:val="231F20"/>
          <w:w w:val="105"/>
        </w:rPr>
        <w:t>sus</w:t>
      </w:r>
      <w:r>
        <w:rPr>
          <w:color w:val="231F20"/>
          <w:spacing w:val="-28"/>
          <w:w w:val="105"/>
        </w:rPr>
        <w:t> </w:t>
      </w:r>
      <w:r>
        <w:rPr>
          <w:color w:val="231F20"/>
          <w:w w:val="105"/>
        </w:rPr>
        <w:t>valores</w:t>
      </w:r>
      <w:r>
        <w:rPr>
          <w:color w:val="231F20"/>
          <w:spacing w:val="-28"/>
          <w:w w:val="105"/>
        </w:rPr>
        <w:t> </w:t>
      </w:r>
      <w:r>
        <w:rPr>
          <w:color w:val="231F20"/>
          <w:w w:val="105"/>
        </w:rPr>
        <w:t>y</w:t>
      </w:r>
      <w:r>
        <w:rPr>
          <w:color w:val="231F20"/>
          <w:spacing w:val="-28"/>
          <w:w w:val="105"/>
        </w:rPr>
        <w:t> </w:t>
      </w:r>
      <w:r>
        <w:rPr>
          <w:color w:val="231F20"/>
          <w:w w:val="105"/>
        </w:rPr>
        <w:t>su sistema,</w:t>
      </w:r>
      <w:r>
        <w:rPr>
          <w:color w:val="231F20"/>
          <w:spacing w:val="-37"/>
          <w:w w:val="105"/>
        </w:rPr>
        <w:t> </w:t>
      </w:r>
      <w:r>
        <w:rPr>
          <w:color w:val="231F20"/>
          <w:w w:val="105"/>
        </w:rPr>
        <w:t>intentando</w:t>
      </w:r>
      <w:r>
        <w:rPr>
          <w:color w:val="231F20"/>
          <w:spacing w:val="-37"/>
          <w:w w:val="105"/>
        </w:rPr>
        <w:t> </w:t>
      </w:r>
      <w:r>
        <w:rPr>
          <w:color w:val="231F20"/>
          <w:w w:val="105"/>
        </w:rPr>
        <w:t>expandir</w:t>
      </w:r>
      <w:r>
        <w:rPr>
          <w:color w:val="231F20"/>
          <w:spacing w:val="-37"/>
          <w:w w:val="105"/>
        </w:rPr>
        <w:t> </w:t>
      </w:r>
      <w:r>
        <w:rPr>
          <w:color w:val="231F20"/>
          <w:w w:val="105"/>
        </w:rPr>
        <w:t>su</w:t>
      </w:r>
      <w:r>
        <w:rPr>
          <w:color w:val="231F20"/>
          <w:spacing w:val="-37"/>
          <w:w w:val="105"/>
        </w:rPr>
        <w:t> </w:t>
      </w:r>
      <w:r>
        <w:rPr>
          <w:color w:val="231F20"/>
          <w:w w:val="105"/>
        </w:rPr>
        <w:t>forma</w:t>
      </w:r>
      <w:r>
        <w:rPr>
          <w:color w:val="231F20"/>
          <w:spacing w:val="-37"/>
          <w:w w:val="105"/>
        </w:rPr>
        <w:t> </w:t>
      </w:r>
      <w:r>
        <w:rPr>
          <w:color w:val="231F20"/>
          <w:w w:val="105"/>
        </w:rPr>
        <w:t>de</w:t>
      </w:r>
      <w:r>
        <w:rPr>
          <w:color w:val="231F20"/>
          <w:spacing w:val="-37"/>
          <w:w w:val="105"/>
        </w:rPr>
        <w:t> </w:t>
      </w:r>
      <w:r>
        <w:rPr>
          <w:color w:val="231F20"/>
          <w:w w:val="105"/>
        </w:rPr>
        <w:t>vida</w:t>
      </w:r>
      <w:r>
        <w:rPr>
          <w:color w:val="231F20"/>
          <w:spacing w:val="-37"/>
          <w:w w:val="105"/>
        </w:rPr>
        <w:t> </w:t>
      </w:r>
      <w:r>
        <w:rPr>
          <w:color w:val="231F20"/>
          <w:w w:val="105"/>
        </w:rPr>
        <w:t>en</w:t>
      </w:r>
      <w:r>
        <w:rPr>
          <w:color w:val="231F20"/>
          <w:spacing w:val="-37"/>
          <w:w w:val="105"/>
        </w:rPr>
        <w:t> </w:t>
      </w:r>
      <w:r>
        <w:rPr>
          <w:color w:val="231F20"/>
          <w:w w:val="105"/>
        </w:rPr>
        <w:t>los</w:t>
      </w:r>
      <w:r>
        <w:rPr>
          <w:color w:val="231F20"/>
          <w:spacing w:val="-37"/>
          <w:w w:val="105"/>
        </w:rPr>
        <w:t> </w:t>
      </w:r>
      <w:r>
        <w:rPr>
          <w:color w:val="231F20"/>
          <w:w w:val="105"/>
        </w:rPr>
        <w:t>ámbitos</w:t>
      </w:r>
      <w:r>
        <w:rPr>
          <w:color w:val="231F20"/>
          <w:spacing w:val="-37"/>
          <w:w w:val="105"/>
        </w:rPr>
        <w:t> </w:t>
      </w:r>
      <w:r>
        <w:rPr>
          <w:color w:val="231F20"/>
          <w:w w:val="105"/>
        </w:rPr>
        <w:t>más</w:t>
      </w:r>
      <w:r>
        <w:rPr>
          <w:color w:val="231F20"/>
          <w:spacing w:val="-37"/>
          <w:w w:val="105"/>
        </w:rPr>
        <w:t> </w:t>
      </w:r>
      <w:r>
        <w:rPr>
          <w:color w:val="231F20"/>
          <w:w w:val="105"/>
        </w:rPr>
        <w:t>variados: económico,</w:t>
      </w:r>
      <w:r>
        <w:rPr>
          <w:color w:val="231F20"/>
          <w:spacing w:val="-45"/>
          <w:w w:val="105"/>
        </w:rPr>
        <w:t> </w:t>
      </w:r>
      <w:r>
        <w:rPr>
          <w:color w:val="231F20"/>
          <w:w w:val="105"/>
        </w:rPr>
        <w:t>religioso,</w:t>
      </w:r>
      <w:r>
        <w:rPr>
          <w:color w:val="231F20"/>
          <w:spacing w:val="-45"/>
          <w:w w:val="105"/>
        </w:rPr>
        <w:t> </w:t>
      </w:r>
      <w:r>
        <w:rPr>
          <w:color w:val="231F20"/>
          <w:w w:val="105"/>
        </w:rPr>
        <w:t>tributario,</w:t>
      </w:r>
      <w:r>
        <w:rPr>
          <w:color w:val="231F20"/>
          <w:spacing w:val="-45"/>
          <w:w w:val="105"/>
        </w:rPr>
        <w:t> </w:t>
      </w:r>
      <w:r>
        <w:rPr>
          <w:color w:val="231F20"/>
          <w:w w:val="105"/>
        </w:rPr>
        <w:t>lingüístico,</w:t>
      </w:r>
      <w:r>
        <w:rPr>
          <w:color w:val="231F20"/>
          <w:spacing w:val="-45"/>
          <w:w w:val="105"/>
        </w:rPr>
        <w:t> </w:t>
      </w:r>
      <w:r>
        <w:rPr>
          <w:color w:val="231F20"/>
          <w:w w:val="105"/>
        </w:rPr>
        <w:t>gastronómico,</w:t>
      </w:r>
      <w:r>
        <w:rPr>
          <w:color w:val="231F20"/>
          <w:spacing w:val="-45"/>
          <w:w w:val="105"/>
        </w:rPr>
        <w:t> </w:t>
      </w:r>
      <w:r>
        <w:rPr>
          <w:color w:val="231F20"/>
          <w:w w:val="105"/>
        </w:rPr>
        <w:t>etc.</w:t>
      </w:r>
    </w:p>
    <w:p>
      <w:pPr>
        <w:pStyle w:val="BodyText"/>
        <w:spacing w:line="247" w:lineRule="auto"/>
        <w:ind w:left="100" w:right="106" w:firstLine="566"/>
        <w:jc w:val="both"/>
      </w:pPr>
      <w:r>
        <w:rPr>
          <w:color w:val="231F20"/>
          <w:w w:val="105"/>
        </w:rPr>
        <w:t>La</w:t>
      </w:r>
      <w:r>
        <w:rPr>
          <w:color w:val="231F20"/>
          <w:spacing w:val="-23"/>
          <w:w w:val="105"/>
        </w:rPr>
        <w:t> </w:t>
      </w:r>
      <w:r>
        <w:rPr>
          <w:color w:val="231F20"/>
          <w:w w:val="105"/>
        </w:rPr>
        <w:t>globalización</w:t>
      </w:r>
      <w:r>
        <w:rPr>
          <w:color w:val="231F20"/>
          <w:spacing w:val="-23"/>
          <w:w w:val="105"/>
        </w:rPr>
        <w:t> </w:t>
      </w:r>
      <w:r>
        <w:rPr>
          <w:color w:val="231F20"/>
          <w:w w:val="105"/>
        </w:rPr>
        <w:t>tal</w:t>
      </w:r>
      <w:r>
        <w:rPr>
          <w:color w:val="231F20"/>
          <w:spacing w:val="-23"/>
          <w:w w:val="105"/>
        </w:rPr>
        <w:t> </w:t>
      </w:r>
      <w:r>
        <w:rPr>
          <w:color w:val="231F20"/>
          <w:w w:val="105"/>
        </w:rPr>
        <w:t>y</w:t>
      </w:r>
      <w:r>
        <w:rPr>
          <w:color w:val="231F20"/>
          <w:spacing w:val="-23"/>
          <w:w w:val="105"/>
        </w:rPr>
        <w:t> </w:t>
      </w:r>
      <w:r>
        <w:rPr>
          <w:color w:val="231F20"/>
          <w:w w:val="105"/>
        </w:rPr>
        <w:t>como</w:t>
      </w:r>
      <w:r>
        <w:rPr>
          <w:color w:val="231F20"/>
          <w:spacing w:val="-23"/>
          <w:w w:val="105"/>
        </w:rPr>
        <w:t> </w:t>
      </w:r>
      <w:r>
        <w:rPr>
          <w:color w:val="231F20"/>
          <w:w w:val="105"/>
        </w:rPr>
        <w:t>se</w:t>
      </w:r>
      <w:r>
        <w:rPr>
          <w:color w:val="231F20"/>
          <w:spacing w:val="-23"/>
          <w:w w:val="105"/>
        </w:rPr>
        <w:t> </w:t>
      </w:r>
      <w:r>
        <w:rPr>
          <w:color w:val="231F20"/>
          <w:w w:val="105"/>
        </w:rPr>
        <w:t>presenta</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mundo</w:t>
      </w:r>
      <w:r>
        <w:rPr>
          <w:color w:val="231F20"/>
          <w:spacing w:val="-23"/>
          <w:w w:val="105"/>
        </w:rPr>
        <w:t> </w:t>
      </w:r>
      <w:r>
        <w:rPr>
          <w:color w:val="231F20"/>
          <w:w w:val="105"/>
        </w:rPr>
        <w:t>actual</w:t>
      </w:r>
      <w:r>
        <w:rPr>
          <w:color w:val="231F20"/>
          <w:spacing w:val="-23"/>
          <w:w w:val="105"/>
        </w:rPr>
        <w:t> </w:t>
      </w:r>
      <w:r>
        <w:rPr>
          <w:color w:val="231F20"/>
          <w:w w:val="105"/>
        </w:rPr>
        <w:t>no</w:t>
      </w:r>
      <w:r>
        <w:rPr>
          <w:color w:val="231F20"/>
          <w:spacing w:val="-23"/>
          <w:w w:val="105"/>
        </w:rPr>
        <w:t> </w:t>
      </w:r>
      <w:r>
        <w:rPr>
          <w:color w:val="231F20"/>
          <w:w w:val="105"/>
        </w:rPr>
        <w:t>puede desligarse</w:t>
      </w:r>
      <w:r>
        <w:rPr>
          <w:color w:val="231F20"/>
          <w:spacing w:val="-12"/>
          <w:w w:val="105"/>
        </w:rPr>
        <w:t> </w:t>
      </w:r>
      <w:r>
        <w:rPr>
          <w:color w:val="231F20"/>
          <w:w w:val="105"/>
        </w:rPr>
        <w:t>del</w:t>
      </w:r>
      <w:r>
        <w:rPr>
          <w:color w:val="231F20"/>
          <w:spacing w:val="-12"/>
          <w:w w:val="105"/>
        </w:rPr>
        <w:t> </w:t>
      </w:r>
      <w:r>
        <w:rPr>
          <w:color w:val="231F20"/>
          <w:w w:val="105"/>
        </w:rPr>
        <w:t>capitalismo</w:t>
      </w:r>
      <w:r>
        <w:rPr>
          <w:color w:val="231F20"/>
          <w:spacing w:val="-12"/>
          <w:w w:val="105"/>
        </w:rPr>
        <w:t> </w:t>
      </w:r>
      <w:r>
        <w:rPr>
          <w:color w:val="231F20"/>
          <w:w w:val="105"/>
        </w:rPr>
        <w:t>como</w:t>
      </w:r>
      <w:r>
        <w:rPr>
          <w:color w:val="231F20"/>
          <w:spacing w:val="-12"/>
          <w:w w:val="105"/>
        </w:rPr>
        <w:t> </w:t>
      </w:r>
      <w:r>
        <w:rPr>
          <w:color w:val="231F20"/>
          <w:w w:val="105"/>
        </w:rPr>
        <w:t>sistema</w:t>
      </w:r>
      <w:r>
        <w:rPr>
          <w:color w:val="231F20"/>
          <w:spacing w:val="-12"/>
          <w:w w:val="105"/>
        </w:rPr>
        <w:t> </w:t>
      </w:r>
      <w:r>
        <w:rPr>
          <w:color w:val="231F20"/>
          <w:w w:val="105"/>
        </w:rPr>
        <w:t>económico</w:t>
      </w:r>
      <w:r>
        <w:rPr>
          <w:color w:val="231F20"/>
          <w:spacing w:val="-12"/>
          <w:w w:val="105"/>
        </w:rPr>
        <w:t> </w:t>
      </w:r>
      <w:r>
        <w:rPr>
          <w:color w:val="231F20"/>
          <w:w w:val="105"/>
        </w:rPr>
        <w:t>y</w:t>
      </w:r>
      <w:r>
        <w:rPr>
          <w:color w:val="231F20"/>
          <w:spacing w:val="-12"/>
          <w:w w:val="105"/>
        </w:rPr>
        <w:t> </w:t>
      </w:r>
      <w:r>
        <w:rPr>
          <w:color w:val="231F20"/>
          <w:w w:val="105"/>
        </w:rPr>
        <w:t>político,</w:t>
      </w:r>
      <w:r>
        <w:rPr>
          <w:color w:val="231F20"/>
          <w:spacing w:val="-12"/>
          <w:w w:val="105"/>
        </w:rPr>
        <w:t> </w:t>
      </w:r>
      <w:r>
        <w:rPr>
          <w:color w:val="231F20"/>
          <w:w w:val="105"/>
        </w:rPr>
        <w:t>mismo</w:t>
      </w:r>
      <w:r>
        <w:rPr>
          <w:color w:val="231F20"/>
          <w:spacing w:val="-12"/>
          <w:w w:val="105"/>
        </w:rPr>
        <w:t> </w:t>
      </w:r>
      <w:r>
        <w:rPr>
          <w:color w:val="231F20"/>
          <w:w w:val="105"/>
        </w:rPr>
        <w:t>que desde el principio, tal y como exponen Karl Marx y Friedrich Engels en</w:t>
      </w:r>
      <w:r>
        <w:rPr>
          <w:color w:val="231F20"/>
          <w:spacing w:val="-38"/>
          <w:w w:val="105"/>
        </w:rPr>
        <w:t> </w:t>
      </w:r>
      <w:r>
        <w:rPr>
          <w:color w:val="231F20"/>
          <w:w w:val="105"/>
        </w:rPr>
        <w:t>el </w:t>
      </w:r>
      <w:r>
        <w:rPr>
          <w:rFonts w:ascii="Arial" w:hAnsi="Arial"/>
          <w:i/>
          <w:color w:val="231F20"/>
          <w:w w:val="105"/>
        </w:rPr>
        <w:t>Manifiesto del partido comunista</w:t>
      </w:r>
      <w:r>
        <w:rPr>
          <w:color w:val="231F20"/>
          <w:w w:val="105"/>
        </w:rPr>
        <w:t>, significó la expansión y hegemonía de una nueva clase social —la burguesía, clase que logra que todo lo</w:t>
      </w:r>
      <w:r>
        <w:rPr>
          <w:color w:val="231F20"/>
          <w:spacing w:val="-14"/>
          <w:w w:val="105"/>
        </w:rPr>
        <w:t> </w:t>
      </w:r>
      <w:r>
        <w:rPr>
          <w:color w:val="231F20"/>
          <w:w w:val="105"/>
        </w:rPr>
        <w:t>sólido y</w:t>
      </w:r>
      <w:r>
        <w:rPr>
          <w:color w:val="231F20"/>
          <w:spacing w:val="-19"/>
          <w:w w:val="105"/>
        </w:rPr>
        <w:t> </w:t>
      </w:r>
      <w:r>
        <w:rPr>
          <w:color w:val="231F20"/>
          <w:w w:val="105"/>
        </w:rPr>
        <w:t>permanente</w:t>
      </w:r>
      <w:r>
        <w:rPr>
          <w:color w:val="231F20"/>
          <w:spacing w:val="-19"/>
          <w:w w:val="105"/>
        </w:rPr>
        <w:t> </w:t>
      </w:r>
      <w:r>
        <w:rPr>
          <w:rFonts w:ascii="Arial" w:hAnsi="Arial"/>
          <w:i/>
          <w:color w:val="231F20"/>
          <w:w w:val="105"/>
        </w:rPr>
        <w:t>se</w:t>
      </w:r>
      <w:r>
        <w:rPr>
          <w:rFonts w:ascii="Arial" w:hAnsi="Arial"/>
          <w:i/>
          <w:color w:val="231F20"/>
          <w:spacing w:val="-12"/>
          <w:w w:val="105"/>
        </w:rPr>
        <w:t> </w:t>
      </w:r>
      <w:r>
        <w:rPr>
          <w:rFonts w:ascii="Arial" w:hAnsi="Arial"/>
          <w:i/>
          <w:color w:val="231F20"/>
          <w:w w:val="105"/>
        </w:rPr>
        <w:t>disuelva</w:t>
      </w:r>
      <w:r>
        <w:rPr>
          <w:rFonts w:ascii="Arial" w:hAnsi="Arial"/>
          <w:i/>
          <w:color w:val="231F20"/>
          <w:spacing w:val="-12"/>
          <w:w w:val="105"/>
        </w:rPr>
        <w:t> </w:t>
      </w:r>
      <w:r>
        <w:rPr>
          <w:rFonts w:ascii="Arial" w:hAnsi="Arial"/>
          <w:i/>
          <w:color w:val="231F20"/>
          <w:w w:val="105"/>
        </w:rPr>
        <w:t>en</w:t>
      </w:r>
      <w:r>
        <w:rPr>
          <w:rFonts w:ascii="Arial" w:hAnsi="Arial"/>
          <w:i/>
          <w:color w:val="231F20"/>
          <w:spacing w:val="-12"/>
          <w:w w:val="105"/>
        </w:rPr>
        <w:t> </w:t>
      </w:r>
      <w:r>
        <w:rPr>
          <w:rFonts w:ascii="Arial" w:hAnsi="Arial"/>
          <w:i/>
          <w:color w:val="231F20"/>
          <w:w w:val="105"/>
        </w:rPr>
        <w:t>el</w:t>
      </w:r>
      <w:r>
        <w:rPr>
          <w:rFonts w:ascii="Arial" w:hAnsi="Arial"/>
          <w:i/>
          <w:color w:val="231F20"/>
          <w:spacing w:val="-12"/>
          <w:w w:val="105"/>
        </w:rPr>
        <w:t> </w:t>
      </w:r>
      <w:r>
        <w:rPr>
          <w:rFonts w:ascii="Arial" w:hAnsi="Arial"/>
          <w:i/>
          <w:color w:val="231F20"/>
          <w:w w:val="105"/>
        </w:rPr>
        <w:t>aire</w:t>
      </w:r>
      <w:r>
        <w:rPr>
          <w:rFonts w:ascii="Arial" w:hAnsi="Arial"/>
          <w:i/>
          <w:color w:val="231F20"/>
          <w:spacing w:val="-12"/>
          <w:w w:val="105"/>
        </w:rPr>
        <w:t> </w:t>
      </w:r>
      <w:r>
        <w:rPr>
          <w:color w:val="231F20"/>
          <w:w w:val="105"/>
        </w:rPr>
        <w:t>bajo</w:t>
      </w:r>
      <w:r>
        <w:rPr>
          <w:color w:val="231F20"/>
          <w:spacing w:val="-19"/>
          <w:w w:val="105"/>
        </w:rPr>
        <w:t> </w:t>
      </w:r>
      <w:r>
        <w:rPr>
          <w:color w:val="231F20"/>
          <w:w w:val="105"/>
        </w:rPr>
        <w:t>la</w:t>
      </w:r>
      <w:r>
        <w:rPr>
          <w:color w:val="231F20"/>
          <w:spacing w:val="-19"/>
          <w:w w:val="105"/>
        </w:rPr>
        <w:t> </w:t>
      </w:r>
      <w:r>
        <w:rPr>
          <w:color w:val="231F20"/>
          <w:w w:val="105"/>
        </w:rPr>
        <w:t>ola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producción</w:t>
      </w:r>
      <w:r>
        <w:rPr>
          <w:color w:val="231F20"/>
          <w:spacing w:val="-19"/>
          <w:w w:val="105"/>
        </w:rPr>
        <w:t> </w:t>
      </w:r>
      <w:r>
        <w:rPr>
          <w:color w:val="231F20"/>
          <w:w w:val="105"/>
        </w:rPr>
        <w:t>y</w:t>
      </w:r>
      <w:r>
        <w:rPr>
          <w:color w:val="231F20"/>
          <w:spacing w:val="-19"/>
          <w:w w:val="105"/>
        </w:rPr>
        <w:t> </w:t>
      </w:r>
      <w:r>
        <w:rPr>
          <w:color w:val="231F20"/>
          <w:w w:val="105"/>
        </w:rPr>
        <w:t>del</w:t>
      </w:r>
      <w:r>
        <w:rPr>
          <w:color w:val="231F20"/>
          <w:spacing w:val="-19"/>
          <w:w w:val="105"/>
        </w:rPr>
        <w:t> </w:t>
      </w:r>
      <w:r>
        <w:rPr>
          <w:color w:val="231F20"/>
          <w:w w:val="105"/>
        </w:rPr>
        <w:t>con- sumo— que diseminaba su forma de vida como ideal de existencia en el mundo</w:t>
      </w:r>
      <w:r>
        <w:rPr>
          <w:color w:val="231F20"/>
          <w:spacing w:val="-38"/>
          <w:w w:val="105"/>
        </w:rPr>
        <w:t> </w:t>
      </w:r>
      <w:r>
        <w:rPr>
          <w:color w:val="231F20"/>
          <w:w w:val="105"/>
        </w:rPr>
        <w:t>entero.</w:t>
      </w:r>
      <w:r>
        <w:rPr>
          <w:color w:val="231F20"/>
          <w:spacing w:val="-38"/>
          <w:w w:val="105"/>
        </w:rPr>
        <w:t> </w:t>
      </w:r>
      <w:r>
        <w:rPr>
          <w:color w:val="231F20"/>
          <w:w w:val="105"/>
        </w:rPr>
        <w:t>La</w:t>
      </w:r>
      <w:r>
        <w:rPr>
          <w:color w:val="231F20"/>
          <w:spacing w:val="-38"/>
          <w:w w:val="105"/>
        </w:rPr>
        <w:t> </w:t>
      </w:r>
      <w:r>
        <w:rPr>
          <w:color w:val="231F20"/>
          <w:w w:val="105"/>
        </w:rPr>
        <w:t>globalización</w:t>
      </w:r>
      <w:r>
        <w:rPr>
          <w:color w:val="231F20"/>
          <w:spacing w:val="-38"/>
          <w:w w:val="105"/>
        </w:rPr>
        <w:t> </w:t>
      </w:r>
      <w:r>
        <w:rPr>
          <w:color w:val="231F20"/>
          <w:w w:val="105"/>
        </w:rPr>
        <w:t>actual</w:t>
      </w:r>
      <w:r>
        <w:rPr>
          <w:color w:val="231F20"/>
          <w:spacing w:val="-38"/>
          <w:w w:val="105"/>
        </w:rPr>
        <w:t> </w:t>
      </w:r>
      <w:r>
        <w:rPr>
          <w:color w:val="231F20"/>
          <w:w w:val="105"/>
        </w:rPr>
        <w:t>no</w:t>
      </w:r>
      <w:r>
        <w:rPr>
          <w:color w:val="231F20"/>
          <w:spacing w:val="-38"/>
          <w:w w:val="105"/>
        </w:rPr>
        <w:t> </w:t>
      </w:r>
      <w:r>
        <w:rPr>
          <w:color w:val="231F20"/>
          <w:w w:val="105"/>
        </w:rPr>
        <w:t>puede</w:t>
      </w:r>
      <w:r>
        <w:rPr>
          <w:color w:val="231F20"/>
          <w:spacing w:val="-38"/>
          <w:w w:val="105"/>
        </w:rPr>
        <w:t> </w:t>
      </w:r>
      <w:r>
        <w:rPr>
          <w:color w:val="231F20"/>
          <w:w w:val="105"/>
        </w:rPr>
        <w:t>comprenderse</w:t>
      </w:r>
      <w:r>
        <w:rPr>
          <w:color w:val="231F20"/>
          <w:spacing w:val="-38"/>
          <w:w w:val="105"/>
        </w:rPr>
        <w:t> </w:t>
      </w:r>
      <w:r>
        <w:rPr>
          <w:color w:val="231F20"/>
          <w:w w:val="105"/>
        </w:rPr>
        <w:t>sin</w:t>
      </w:r>
      <w:r>
        <w:rPr>
          <w:color w:val="231F20"/>
          <w:spacing w:val="-38"/>
          <w:w w:val="105"/>
        </w:rPr>
        <w:t> </w:t>
      </w:r>
      <w:r>
        <w:rPr>
          <w:color w:val="231F20"/>
          <w:w w:val="105"/>
        </w:rPr>
        <w:t>tomar</w:t>
      </w:r>
      <w:r>
        <w:rPr>
          <w:color w:val="231F20"/>
          <w:spacing w:val="-38"/>
          <w:w w:val="105"/>
        </w:rPr>
        <w:t> </w:t>
      </w:r>
      <w:r>
        <w:rPr>
          <w:color w:val="231F20"/>
          <w:w w:val="105"/>
        </w:rPr>
        <w:t>en cuenta</w:t>
      </w:r>
      <w:r>
        <w:rPr>
          <w:color w:val="231F20"/>
          <w:spacing w:val="-14"/>
          <w:w w:val="105"/>
        </w:rPr>
        <w:t> </w:t>
      </w:r>
      <w:r>
        <w:rPr>
          <w:color w:val="231F20"/>
          <w:w w:val="105"/>
        </w:rPr>
        <w:t>la</w:t>
      </w:r>
      <w:r>
        <w:rPr>
          <w:color w:val="231F20"/>
          <w:spacing w:val="-14"/>
          <w:w w:val="105"/>
        </w:rPr>
        <w:t> </w:t>
      </w:r>
      <w:r>
        <w:rPr>
          <w:color w:val="231F20"/>
          <w:w w:val="105"/>
        </w:rPr>
        <w:t>imbricación</w:t>
      </w:r>
      <w:r>
        <w:rPr>
          <w:color w:val="231F20"/>
          <w:spacing w:val="-14"/>
          <w:w w:val="105"/>
        </w:rPr>
        <w:t> </w:t>
      </w:r>
      <w:r>
        <w:rPr>
          <w:color w:val="231F20"/>
          <w:w w:val="105"/>
        </w:rPr>
        <w:t>de</w:t>
      </w:r>
      <w:r>
        <w:rPr>
          <w:color w:val="231F20"/>
          <w:spacing w:val="-14"/>
          <w:w w:val="105"/>
        </w:rPr>
        <w:t> </w:t>
      </w:r>
      <w:r>
        <w:rPr>
          <w:color w:val="231F20"/>
          <w:w w:val="105"/>
        </w:rPr>
        <w:t>múltiples</w:t>
      </w:r>
      <w:r>
        <w:rPr>
          <w:color w:val="231F20"/>
          <w:spacing w:val="-14"/>
          <w:w w:val="105"/>
        </w:rPr>
        <w:t> </w:t>
      </w:r>
      <w:r>
        <w:rPr>
          <w:color w:val="231F20"/>
          <w:w w:val="105"/>
        </w:rPr>
        <w:t>factores</w:t>
      </w:r>
      <w:r>
        <w:rPr>
          <w:color w:val="231F20"/>
          <w:spacing w:val="-14"/>
          <w:w w:val="105"/>
        </w:rPr>
        <w:t> </w:t>
      </w:r>
      <w:r>
        <w:rPr>
          <w:color w:val="231F20"/>
          <w:w w:val="105"/>
        </w:rPr>
        <w:t>tras</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cuales</w:t>
      </w:r>
      <w:r>
        <w:rPr>
          <w:color w:val="231F20"/>
          <w:spacing w:val="-14"/>
          <w:w w:val="105"/>
        </w:rPr>
        <w:t> </w:t>
      </w:r>
      <w:r>
        <w:rPr>
          <w:color w:val="231F20"/>
          <w:w w:val="105"/>
        </w:rPr>
        <w:t>la</w:t>
      </w:r>
      <w:r>
        <w:rPr>
          <w:color w:val="231F20"/>
          <w:spacing w:val="-14"/>
          <w:w w:val="105"/>
        </w:rPr>
        <w:t> </w:t>
      </w:r>
      <w:r>
        <w:rPr>
          <w:color w:val="231F20"/>
          <w:w w:val="105"/>
        </w:rPr>
        <w:t>expansión capitalista juega el rol de hilo conductor. Los autores de los capítulos</w:t>
      </w:r>
      <w:r>
        <w:rPr>
          <w:color w:val="231F20"/>
          <w:spacing w:val="-46"/>
          <w:w w:val="105"/>
        </w:rPr>
        <w:t> </w:t>
      </w:r>
      <w:r>
        <w:rPr>
          <w:color w:val="231F20"/>
          <w:w w:val="105"/>
        </w:rPr>
        <w:t>del presente</w:t>
      </w:r>
      <w:r>
        <w:rPr>
          <w:color w:val="231F20"/>
          <w:spacing w:val="-26"/>
          <w:w w:val="105"/>
        </w:rPr>
        <w:t> </w:t>
      </w:r>
      <w:r>
        <w:rPr>
          <w:color w:val="231F20"/>
          <w:w w:val="105"/>
        </w:rPr>
        <w:t>libro</w:t>
      </w:r>
      <w:r>
        <w:rPr>
          <w:color w:val="231F20"/>
          <w:spacing w:val="-26"/>
          <w:w w:val="105"/>
        </w:rPr>
        <w:t> </w:t>
      </w:r>
      <w:r>
        <w:rPr>
          <w:color w:val="231F20"/>
          <w:w w:val="105"/>
        </w:rPr>
        <w:t>tratan</w:t>
      </w:r>
      <w:r>
        <w:rPr>
          <w:color w:val="231F20"/>
          <w:spacing w:val="-26"/>
          <w:w w:val="105"/>
        </w:rPr>
        <w:t> </w:t>
      </w:r>
      <w:r>
        <w:rPr>
          <w:color w:val="231F20"/>
          <w:w w:val="105"/>
        </w:rPr>
        <w:t>de</w:t>
      </w:r>
      <w:r>
        <w:rPr>
          <w:color w:val="231F20"/>
          <w:spacing w:val="-26"/>
          <w:w w:val="105"/>
        </w:rPr>
        <w:t> </w:t>
      </w:r>
      <w:r>
        <w:rPr>
          <w:color w:val="231F20"/>
          <w:w w:val="105"/>
        </w:rPr>
        <w:t>dar</w:t>
      </w:r>
      <w:r>
        <w:rPr>
          <w:color w:val="231F20"/>
          <w:spacing w:val="-26"/>
          <w:w w:val="105"/>
        </w:rPr>
        <w:t> </w:t>
      </w:r>
      <w:r>
        <w:rPr>
          <w:color w:val="231F20"/>
          <w:w w:val="105"/>
        </w:rPr>
        <w:t>cuenta</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complejidad</w:t>
      </w:r>
      <w:r>
        <w:rPr>
          <w:color w:val="231F20"/>
          <w:spacing w:val="-26"/>
          <w:w w:val="105"/>
        </w:rPr>
        <w:t> </w:t>
      </w:r>
      <w:r>
        <w:rPr>
          <w:color w:val="231F20"/>
          <w:w w:val="105"/>
        </w:rPr>
        <w:t>de</w:t>
      </w:r>
      <w:r>
        <w:rPr>
          <w:color w:val="231F20"/>
          <w:spacing w:val="-26"/>
          <w:w w:val="105"/>
        </w:rPr>
        <w:t> </w:t>
      </w:r>
      <w:r>
        <w:rPr>
          <w:color w:val="231F20"/>
          <w:w w:val="105"/>
        </w:rPr>
        <w:t>tal</w:t>
      </w:r>
      <w:r>
        <w:rPr>
          <w:color w:val="231F20"/>
          <w:spacing w:val="-26"/>
          <w:w w:val="105"/>
        </w:rPr>
        <w:t> </w:t>
      </w:r>
      <w:r>
        <w:rPr>
          <w:color w:val="231F20"/>
          <w:w w:val="105"/>
        </w:rPr>
        <w:t>imbricación,</w:t>
      </w:r>
      <w:r>
        <w:rPr>
          <w:color w:val="231F20"/>
          <w:spacing w:val="-26"/>
          <w:w w:val="105"/>
        </w:rPr>
        <w:t> </w:t>
      </w:r>
      <w:r>
        <w:rPr>
          <w:color w:val="231F20"/>
          <w:w w:val="105"/>
        </w:rPr>
        <w:t>de sus</w:t>
      </w:r>
      <w:r>
        <w:rPr>
          <w:color w:val="231F20"/>
          <w:spacing w:val="-37"/>
          <w:w w:val="105"/>
        </w:rPr>
        <w:t> </w:t>
      </w:r>
      <w:r>
        <w:rPr>
          <w:color w:val="231F20"/>
          <w:w w:val="105"/>
        </w:rPr>
        <w:t>alcances,</w:t>
      </w:r>
      <w:r>
        <w:rPr>
          <w:color w:val="231F20"/>
          <w:spacing w:val="-37"/>
          <w:w w:val="105"/>
        </w:rPr>
        <w:t> </w:t>
      </w:r>
      <w:r>
        <w:rPr>
          <w:color w:val="231F20"/>
          <w:w w:val="105"/>
        </w:rPr>
        <w:t>de</w:t>
      </w:r>
      <w:r>
        <w:rPr>
          <w:color w:val="231F20"/>
          <w:spacing w:val="-37"/>
          <w:w w:val="105"/>
        </w:rPr>
        <w:t> </w:t>
      </w:r>
      <w:r>
        <w:rPr>
          <w:color w:val="231F20"/>
          <w:w w:val="105"/>
        </w:rPr>
        <w:t>los</w:t>
      </w:r>
      <w:r>
        <w:rPr>
          <w:color w:val="231F20"/>
          <w:spacing w:val="-37"/>
          <w:w w:val="105"/>
        </w:rPr>
        <w:t> </w:t>
      </w:r>
      <w:r>
        <w:rPr>
          <w:color w:val="231F20"/>
          <w:w w:val="105"/>
        </w:rPr>
        <w:t>límites</w:t>
      </w:r>
      <w:r>
        <w:rPr>
          <w:color w:val="231F20"/>
          <w:spacing w:val="-37"/>
          <w:w w:val="105"/>
        </w:rPr>
        <w:t> </w:t>
      </w:r>
      <w:r>
        <w:rPr>
          <w:color w:val="231F20"/>
          <w:w w:val="105"/>
        </w:rPr>
        <w:t>que</w:t>
      </w:r>
      <w:r>
        <w:rPr>
          <w:color w:val="231F20"/>
          <w:spacing w:val="-37"/>
          <w:w w:val="105"/>
        </w:rPr>
        <w:t> </w:t>
      </w:r>
      <w:r>
        <w:rPr>
          <w:color w:val="231F20"/>
          <w:w w:val="105"/>
        </w:rPr>
        <w:t>aún</w:t>
      </w:r>
      <w:r>
        <w:rPr>
          <w:color w:val="231F20"/>
          <w:spacing w:val="-37"/>
          <w:w w:val="105"/>
        </w:rPr>
        <w:t> </w:t>
      </w:r>
      <w:r>
        <w:rPr>
          <w:color w:val="231F20"/>
          <w:w w:val="105"/>
        </w:rPr>
        <w:t>se</w:t>
      </w:r>
      <w:r>
        <w:rPr>
          <w:color w:val="231F20"/>
          <w:spacing w:val="-37"/>
          <w:w w:val="105"/>
        </w:rPr>
        <w:t> </w:t>
      </w:r>
      <w:r>
        <w:rPr>
          <w:color w:val="231F20"/>
          <w:w w:val="105"/>
        </w:rPr>
        <w:t>tienen</w:t>
      </w:r>
      <w:r>
        <w:rPr>
          <w:color w:val="231F20"/>
          <w:spacing w:val="-37"/>
          <w:w w:val="105"/>
        </w:rPr>
        <w:t> </w:t>
      </w:r>
      <w:r>
        <w:rPr>
          <w:color w:val="231F20"/>
          <w:w w:val="105"/>
        </w:rPr>
        <w:t>al</w:t>
      </w:r>
      <w:r>
        <w:rPr>
          <w:color w:val="231F20"/>
          <w:spacing w:val="-37"/>
          <w:w w:val="105"/>
        </w:rPr>
        <w:t> </w:t>
      </w:r>
      <w:r>
        <w:rPr>
          <w:color w:val="231F20"/>
          <w:w w:val="105"/>
        </w:rPr>
        <w:t>tratar</w:t>
      </w:r>
      <w:r>
        <w:rPr>
          <w:color w:val="231F20"/>
          <w:spacing w:val="-37"/>
          <w:w w:val="105"/>
        </w:rPr>
        <w:t> </w:t>
      </w:r>
      <w:r>
        <w:rPr>
          <w:color w:val="231F20"/>
          <w:w w:val="105"/>
        </w:rPr>
        <w:t>de</w:t>
      </w:r>
      <w:r>
        <w:rPr>
          <w:color w:val="231F20"/>
          <w:spacing w:val="-37"/>
          <w:w w:val="105"/>
        </w:rPr>
        <w:t> </w:t>
      </w:r>
      <w:r>
        <w:rPr>
          <w:color w:val="231F20"/>
          <w:w w:val="105"/>
        </w:rPr>
        <w:t>dar</w:t>
      </w:r>
      <w:r>
        <w:rPr>
          <w:color w:val="231F20"/>
          <w:spacing w:val="-37"/>
          <w:w w:val="105"/>
        </w:rPr>
        <w:t> </w:t>
      </w:r>
      <w:r>
        <w:rPr>
          <w:color w:val="231F20"/>
          <w:w w:val="105"/>
        </w:rPr>
        <w:t>cuenta</w:t>
      </w:r>
      <w:r>
        <w:rPr>
          <w:color w:val="231F20"/>
          <w:spacing w:val="-37"/>
          <w:w w:val="105"/>
        </w:rPr>
        <w:t> </w:t>
      </w:r>
      <w:r>
        <w:rPr>
          <w:color w:val="231F20"/>
          <w:w w:val="105"/>
        </w:rPr>
        <w:t>cabal</w:t>
      </w:r>
      <w:r>
        <w:rPr>
          <w:color w:val="231F20"/>
          <w:spacing w:val="-37"/>
          <w:w w:val="105"/>
        </w:rPr>
        <w:t> </w:t>
      </w:r>
      <w:r>
        <w:rPr>
          <w:color w:val="231F20"/>
          <w:w w:val="105"/>
        </w:rPr>
        <w:t>de este</w:t>
      </w:r>
      <w:r>
        <w:rPr>
          <w:color w:val="231F20"/>
          <w:spacing w:val="-34"/>
          <w:w w:val="105"/>
        </w:rPr>
        <w:t> </w:t>
      </w:r>
      <w:r>
        <w:rPr>
          <w:color w:val="231F20"/>
          <w:w w:val="105"/>
        </w:rPr>
        <w:t>fenómeno.</w:t>
      </w:r>
      <w:r>
        <w:rPr>
          <w:color w:val="231F20"/>
          <w:spacing w:val="-34"/>
          <w:w w:val="105"/>
        </w:rPr>
        <w:t> </w:t>
      </w:r>
      <w:r>
        <w:rPr>
          <w:color w:val="231F20"/>
          <w:w w:val="105"/>
        </w:rPr>
        <w:t>En</w:t>
      </w:r>
      <w:r>
        <w:rPr>
          <w:color w:val="231F20"/>
          <w:spacing w:val="-34"/>
          <w:w w:val="105"/>
        </w:rPr>
        <w:t> </w:t>
      </w:r>
      <w:r>
        <w:rPr>
          <w:color w:val="231F20"/>
          <w:w w:val="105"/>
        </w:rPr>
        <w:t>este</w:t>
      </w:r>
      <w:r>
        <w:rPr>
          <w:color w:val="231F20"/>
          <w:spacing w:val="-34"/>
          <w:w w:val="105"/>
        </w:rPr>
        <w:t> </w:t>
      </w:r>
      <w:r>
        <w:rPr>
          <w:color w:val="231F20"/>
          <w:w w:val="105"/>
        </w:rPr>
        <w:t>afán</w:t>
      </w:r>
      <w:r>
        <w:rPr>
          <w:color w:val="231F20"/>
          <w:spacing w:val="-34"/>
          <w:w w:val="105"/>
        </w:rPr>
        <w:t> </w:t>
      </w:r>
      <w:r>
        <w:rPr>
          <w:color w:val="231F20"/>
          <w:w w:val="105"/>
        </w:rPr>
        <w:t>de</w:t>
      </w:r>
      <w:r>
        <w:rPr>
          <w:color w:val="231F20"/>
          <w:spacing w:val="-34"/>
          <w:w w:val="105"/>
        </w:rPr>
        <w:t> </w:t>
      </w:r>
      <w:r>
        <w:rPr>
          <w:color w:val="231F20"/>
          <w:w w:val="105"/>
        </w:rPr>
        <w:t>comprender</w:t>
      </w:r>
      <w:r>
        <w:rPr>
          <w:color w:val="231F20"/>
          <w:spacing w:val="-34"/>
          <w:w w:val="105"/>
        </w:rPr>
        <w:t> </w:t>
      </w:r>
      <w:r>
        <w:rPr>
          <w:color w:val="231F20"/>
          <w:w w:val="105"/>
        </w:rPr>
        <w:t>y</w:t>
      </w:r>
      <w:r>
        <w:rPr>
          <w:color w:val="231F20"/>
          <w:spacing w:val="-34"/>
          <w:w w:val="105"/>
        </w:rPr>
        <w:t> </w:t>
      </w:r>
      <w:r>
        <w:rPr>
          <w:color w:val="231F20"/>
          <w:w w:val="105"/>
        </w:rPr>
        <w:t>analizar</w:t>
      </w:r>
      <w:r>
        <w:rPr>
          <w:color w:val="231F20"/>
          <w:spacing w:val="-34"/>
          <w:w w:val="105"/>
        </w:rPr>
        <w:t> </w:t>
      </w:r>
      <w:r>
        <w:rPr>
          <w:color w:val="231F20"/>
          <w:w w:val="105"/>
        </w:rPr>
        <w:t>un</w:t>
      </w:r>
      <w:r>
        <w:rPr>
          <w:color w:val="231F20"/>
          <w:spacing w:val="-34"/>
          <w:w w:val="105"/>
        </w:rPr>
        <w:t> </w:t>
      </w:r>
      <w:r>
        <w:rPr>
          <w:color w:val="231F20"/>
          <w:w w:val="105"/>
        </w:rPr>
        <w:t>fenómeno</w:t>
      </w:r>
      <w:r>
        <w:rPr>
          <w:color w:val="231F20"/>
          <w:spacing w:val="-34"/>
          <w:w w:val="105"/>
        </w:rPr>
        <w:t> </w:t>
      </w:r>
      <w:r>
        <w:rPr>
          <w:color w:val="231F20"/>
          <w:w w:val="105"/>
        </w:rPr>
        <w:t>tan</w:t>
      </w:r>
      <w:r>
        <w:rPr>
          <w:color w:val="231F20"/>
          <w:spacing w:val="-34"/>
          <w:w w:val="105"/>
        </w:rPr>
        <w:t> </w:t>
      </w:r>
      <w:r>
        <w:rPr>
          <w:color w:val="231F20"/>
          <w:w w:val="105"/>
        </w:rPr>
        <w:t>ac- tual,</w:t>
      </w:r>
      <w:r>
        <w:rPr>
          <w:color w:val="231F20"/>
          <w:spacing w:val="-32"/>
          <w:w w:val="105"/>
        </w:rPr>
        <w:t> </w:t>
      </w:r>
      <w:r>
        <w:rPr>
          <w:color w:val="231F20"/>
          <w:w w:val="105"/>
        </w:rPr>
        <w:t>los</w:t>
      </w:r>
      <w:r>
        <w:rPr>
          <w:color w:val="231F20"/>
          <w:spacing w:val="-32"/>
          <w:w w:val="105"/>
        </w:rPr>
        <w:t> </w:t>
      </w:r>
      <w:r>
        <w:rPr>
          <w:color w:val="231F20"/>
          <w:w w:val="105"/>
        </w:rPr>
        <w:t>trabajos</w:t>
      </w:r>
      <w:r>
        <w:rPr>
          <w:color w:val="231F20"/>
          <w:spacing w:val="-32"/>
          <w:w w:val="105"/>
        </w:rPr>
        <w:t> </w:t>
      </w:r>
      <w:r>
        <w:rPr>
          <w:color w:val="231F20"/>
          <w:w w:val="105"/>
        </w:rPr>
        <w:t>aquí</w:t>
      </w:r>
      <w:r>
        <w:rPr>
          <w:color w:val="231F20"/>
          <w:spacing w:val="-32"/>
          <w:w w:val="105"/>
        </w:rPr>
        <w:t> </w:t>
      </w:r>
      <w:r>
        <w:rPr>
          <w:color w:val="231F20"/>
          <w:w w:val="105"/>
        </w:rPr>
        <w:t>reunidos</w:t>
      </w:r>
      <w:r>
        <w:rPr>
          <w:color w:val="231F20"/>
          <w:spacing w:val="-32"/>
          <w:w w:val="105"/>
        </w:rPr>
        <w:t> </w:t>
      </w:r>
      <w:r>
        <w:rPr>
          <w:color w:val="231F20"/>
          <w:w w:val="105"/>
        </w:rPr>
        <w:t>acuden</w:t>
      </w:r>
      <w:r>
        <w:rPr>
          <w:color w:val="231F20"/>
          <w:spacing w:val="-32"/>
          <w:w w:val="105"/>
        </w:rPr>
        <w:t> </w:t>
      </w:r>
      <w:r>
        <w:rPr>
          <w:color w:val="231F20"/>
          <w:w w:val="105"/>
        </w:rPr>
        <w:t>a</w:t>
      </w:r>
      <w:r>
        <w:rPr>
          <w:color w:val="231F20"/>
          <w:spacing w:val="-32"/>
          <w:w w:val="105"/>
        </w:rPr>
        <w:t> </w:t>
      </w:r>
      <w:r>
        <w:rPr>
          <w:color w:val="231F20"/>
          <w:w w:val="105"/>
        </w:rPr>
        <w:t>pensarlo</w:t>
      </w:r>
      <w:r>
        <w:rPr>
          <w:color w:val="231F20"/>
          <w:spacing w:val="-32"/>
          <w:w w:val="105"/>
        </w:rPr>
        <w:t> </w:t>
      </w:r>
      <w:r>
        <w:rPr>
          <w:color w:val="231F20"/>
          <w:w w:val="105"/>
        </w:rPr>
        <w:t>a</w:t>
      </w:r>
      <w:r>
        <w:rPr>
          <w:color w:val="231F20"/>
          <w:spacing w:val="-32"/>
          <w:w w:val="105"/>
        </w:rPr>
        <w:t> </w:t>
      </w:r>
      <w:r>
        <w:rPr>
          <w:color w:val="231F20"/>
          <w:w w:val="105"/>
        </w:rPr>
        <w:t>través</w:t>
      </w:r>
      <w:r>
        <w:rPr>
          <w:color w:val="231F20"/>
          <w:spacing w:val="-32"/>
          <w:w w:val="105"/>
        </w:rPr>
        <w:t> </w:t>
      </w:r>
      <w:r>
        <w:rPr>
          <w:color w:val="231F20"/>
          <w:w w:val="105"/>
        </w:rPr>
        <w:t>de</w:t>
      </w:r>
      <w:r>
        <w:rPr>
          <w:color w:val="231F20"/>
          <w:spacing w:val="-32"/>
          <w:w w:val="105"/>
        </w:rPr>
        <w:t> </w:t>
      </w:r>
      <w:r>
        <w:rPr>
          <w:color w:val="231F20"/>
          <w:w w:val="105"/>
        </w:rPr>
        <w:t>los</w:t>
      </w:r>
      <w:r>
        <w:rPr>
          <w:color w:val="231F20"/>
          <w:spacing w:val="-32"/>
          <w:w w:val="105"/>
        </w:rPr>
        <w:t> </w:t>
      </w:r>
      <w:r>
        <w:rPr>
          <w:color w:val="231F20"/>
          <w:w w:val="105"/>
        </w:rPr>
        <w:t>más</w:t>
      </w:r>
      <w:r>
        <w:rPr>
          <w:color w:val="231F20"/>
          <w:spacing w:val="-32"/>
          <w:w w:val="105"/>
        </w:rPr>
        <w:t> </w:t>
      </w:r>
      <w:r>
        <w:rPr>
          <w:color w:val="231F20"/>
          <w:w w:val="105"/>
        </w:rPr>
        <w:t>diver- sos</w:t>
      </w:r>
      <w:r>
        <w:rPr>
          <w:color w:val="231F20"/>
          <w:spacing w:val="-37"/>
          <w:w w:val="105"/>
        </w:rPr>
        <w:t> </w:t>
      </w:r>
      <w:r>
        <w:rPr>
          <w:color w:val="231F20"/>
          <w:w w:val="105"/>
        </w:rPr>
        <w:t>matices,</w:t>
      </w:r>
      <w:r>
        <w:rPr>
          <w:color w:val="231F20"/>
          <w:spacing w:val="-37"/>
          <w:w w:val="105"/>
        </w:rPr>
        <w:t> </w:t>
      </w:r>
      <w:r>
        <w:rPr>
          <w:color w:val="231F20"/>
          <w:w w:val="105"/>
        </w:rPr>
        <w:t>pero</w:t>
      </w:r>
      <w:r>
        <w:rPr>
          <w:color w:val="231F20"/>
          <w:spacing w:val="-37"/>
          <w:w w:val="105"/>
        </w:rPr>
        <w:t> </w:t>
      </w:r>
      <w:r>
        <w:rPr>
          <w:color w:val="231F20"/>
          <w:w w:val="105"/>
        </w:rPr>
        <w:t>privilegiando</w:t>
      </w:r>
      <w:r>
        <w:rPr>
          <w:color w:val="231F20"/>
          <w:spacing w:val="-37"/>
          <w:w w:val="105"/>
        </w:rPr>
        <w:t> </w:t>
      </w:r>
      <w:r>
        <w:rPr>
          <w:color w:val="231F20"/>
          <w:w w:val="105"/>
        </w:rPr>
        <w:t>la</w:t>
      </w:r>
      <w:r>
        <w:rPr>
          <w:color w:val="231F20"/>
          <w:spacing w:val="-37"/>
          <w:w w:val="105"/>
        </w:rPr>
        <w:t> </w:t>
      </w:r>
      <w:r>
        <w:rPr>
          <w:color w:val="231F20"/>
          <w:w w:val="105"/>
        </w:rPr>
        <w:t>figura</w:t>
      </w:r>
      <w:r>
        <w:rPr>
          <w:color w:val="231F20"/>
          <w:spacing w:val="-37"/>
          <w:w w:val="105"/>
        </w:rPr>
        <w:t> </w:t>
      </w:r>
      <w:r>
        <w:rPr>
          <w:color w:val="231F20"/>
          <w:w w:val="105"/>
        </w:rPr>
        <w:t>del</w:t>
      </w:r>
      <w:r>
        <w:rPr>
          <w:color w:val="231F20"/>
          <w:spacing w:val="-37"/>
          <w:w w:val="105"/>
        </w:rPr>
        <w:t> </w:t>
      </w:r>
      <w:r>
        <w:rPr>
          <w:color w:val="231F20"/>
          <w:w w:val="105"/>
        </w:rPr>
        <w:t>Estado,</w:t>
      </w:r>
      <w:r>
        <w:rPr>
          <w:color w:val="231F20"/>
          <w:spacing w:val="-37"/>
          <w:w w:val="105"/>
        </w:rPr>
        <w:t> </w:t>
      </w:r>
      <w:r>
        <w:rPr>
          <w:color w:val="231F20"/>
          <w:w w:val="105"/>
        </w:rPr>
        <w:t>el</w:t>
      </w:r>
      <w:r>
        <w:rPr>
          <w:color w:val="231F20"/>
          <w:spacing w:val="-37"/>
          <w:w w:val="105"/>
        </w:rPr>
        <w:t> </w:t>
      </w:r>
      <w:r>
        <w:rPr>
          <w:color w:val="231F20"/>
          <w:w w:val="105"/>
        </w:rPr>
        <w:t>Derecho</w:t>
      </w:r>
      <w:r>
        <w:rPr>
          <w:color w:val="231F20"/>
          <w:spacing w:val="-37"/>
          <w:w w:val="105"/>
        </w:rPr>
        <w:t> </w:t>
      </w:r>
      <w:r>
        <w:rPr>
          <w:color w:val="231F20"/>
          <w:w w:val="105"/>
        </w:rPr>
        <w:t>y</w:t>
      </w:r>
      <w:r>
        <w:rPr>
          <w:color w:val="231F20"/>
          <w:spacing w:val="-37"/>
          <w:w w:val="105"/>
        </w:rPr>
        <w:t> </w:t>
      </w:r>
      <w:r>
        <w:rPr>
          <w:color w:val="231F20"/>
          <w:w w:val="105"/>
        </w:rPr>
        <w:t>la</w:t>
      </w:r>
      <w:r>
        <w:rPr>
          <w:color w:val="231F20"/>
          <w:spacing w:val="-37"/>
          <w:w w:val="105"/>
        </w:rPr>
        <w:t> </w:t>
      </w:r>
      <w:r>
        <w:rPr>
          <w:color w:val="231F20"/>
          <w:w w:val="105"/>
        </w:rPr>
        <w:t>Filosofía.</w:t>
      </w:r>
    </w:p>
    <w:p>
      <w:pPr>
        <w:spacing w:after="0" w:line="247" w:lineRule="auto"/>
        <w:jc w:val="both"/>
        <w:sectPr>
          <w:pgSz w:w="9640" w:h="13890"/>
          <w:pgMar w:top="1300" w:bottom="280" w:left="1260" w:right="1140"/>
        </w:sectPr>
      </w:pPr>
    </w:p>
    <w:p>
      <w:pPr>
        <w:pStyle w:val="BodyText"/>
        <w:spacing w:line="247" w:lineRule="auto" w:before="107"/>
        <w:ind w:left="103" w:right="115"/>
        <w:jc w:val="both"/>
      </w:pPr>
      <w:r>
        <w:rPr>
          <w:color w:val="231F20"/>
        </w:rPr>
        <w:t>En</w:t>
      </w:r>
      <w:r>
        <w:rPr>
          <w:color w:val="231F20"/>
          <w:spacing w:val="-8"/>
        </w:rPr>
        <w:t> </w:t>
      </w:r>
      <w:r>
        <w:rPr>
          <w:color w:val="231F20"/>
        </w:rPr>
        <w:t>los</w:t>
      </w:r>
      <w:r>
        <w:rPr>
          <w:color w:val="231F20"/>
          <w:spacing w:val="-8"/>
        </w:rPr>
        <w:t> </w:t>
      </w:r>
      <w:r>
        <w:rPr>
          <w:color w:val="231F20"/>
        </w:rPr>
        <w:t>años</w:t>
      </w:r>
      <w:r>
        <w:rPr>
          <w:color w:val="231F20"/>
          <w:spacing w:val="-8"/>
        </w:rPr>
        <w:t> </w:t>
      </w:r>
      <w:r>
        <w:rPr>
          <w:color w:val="231F20"/>
        </w:rPr>
        <w:t>sesenta</w:t>
      </w:r>
      <w:r>
        <w:rPr>
          <w:color w:val="231F20"/>
          <w:spacing w:val="-8"/>
        </w:rPr>
        <w:t> </w:t>
      </w:r>
      <w:r>
        <w:rPr>
          <w:color w:val="231F20"/>
        </w:rPr>
        <w:t>del</w:t>
      </w:r>
      <w:r>
        <w:rPr>
          <w:color w:val="231F20"/>
          <w:spacing w:val="-8"/>
        </w:rPr>
        <w:t> </w:t>
      </w:r>
      <w:r>
        <w:rPr>
          <w:color w:val="231F20"/>
        </w:rPr>
        <w:t>siglo</w:t>
      </w:r>
      <w:r>
        <w:rPr>
          <w:color w:val="231F20"/>
          <w:spacing w:val="-8"/>
        </w:rPr>
        <w:t> </w:t>
      </w:r>
      <w:r>
        <w:rPr>
          <w:color w:val="231F20"/>
          <w:sz w:val="18"/>
        </w:rPr>
        <w:t>XX</w:t>
      </w:r>
      <w:r>
        <w:rPr>
          <w:color w:val="231F20"/>
          <w:spacing w:val="2"/>
          <w:sz w:val="18"/>
        </w:rPr>
        <w:t> </w:t>
      </w:r>
      <w:r>
        <w:rPr>
          <w:color w:val="231F20"/>
        </w:rPr>
        <w:t>tuvieron</w:t>
      </w:r>
      <w:r>
        <w:rPr>
          <w:color w:val="231F20"/>
          <w:spacing w:val="-8"/>
        </w:rPr>
        <w:t> </w:t>
      </w:r>
      <w:r>
        <w:rPr>
          <w:color w:val="231F20"/>
        </w:rPr>
        <w:t>lugar</w:t>
      </w:r>
      <w:r>
        <w:rPr>
          <w:color w:val="231F20"/>
          <w:spacing w:val="-8"/>
        </w:rPr>
        <w:t> </w:t>
      </w:r>
      <w:r>
        <w:rPr>
          <w:color w:val="231F20"/>
        </w:rPr>
        <w:t>eventos</w:t>
      </w:r>
      <w:r>
        <w:rPr>
          <w:color w:val="231F20"/>
          <w:spacing w:val="-8"/>
        </w:rPr>
        <w:t> </w:t>
      </w:r>
      <w:r>
        <w:rPr>
          <w:color w:val="231F20"/>
        </w:rPr>
        <w:t>dramáticos,</w:t>
      </w:r>
      <w:r>
        <w:rPr>
          <w:color w:val="231F20"/>
          <w:spacing w:val="-8"/>
        </w:rPr>
        <w:t> </w:t>
      </w:r>
      <w:r>
        <w:rPr>
          <w:color w:val="231F20"/>
        </w:rPr>
        <w:t>los</w:t>
      </w:r>
      <w:r>
        <w:rPr>
          <w:color w:val="231F20"/>
          <w:spacing w:val="-8"/>
        </w:rPr>
        <w:t> </w:t>
      </w:r>
      <w:r>
        <w:rPr>
          <w:color w:val="231F20"/>
        </w:rPr>
        <w:t>cua- les han marcado en muchos aspectos la configuración de buena parte del mundo; pensamos en los movimientos estudiantiles y su irrupción como fuerza</w:t>
      </w:r>
      <w:r>
        <w:rPr>
          <w:color w:val="231F20"/>
          <w:spacing w:val="-8"/>
        </w:rPr>
        <w:t> </w:t>
      </w:r>
      <w:r>
        <w:rPr>
          <w:color w:val="231F20"/>
        </w:rPr>
        <w:t>política</w:t>
      </w:r>
      <w:r>
        <w:rPr>
          <w:color w:val="231F20"/>
          <w:spacing w:val="-8"/>
        </w:rPr>
        <w:t> </w:t>
      </w:r>
      <w:r>
        <w:rPr>
          <w:color w:val="231F20"/>
        </w:rPr>
        <w:t>(Praga,</w:t>
      </w:r>
      <w:r>
        <w:rPr>
          <w:color w:val="231F20"/>
          <w:spacing w:val="-8"/>
        </w:rPr>
        <w:t> </w:t>
      </w:r>
      <w:r>
        <w:rPr>
          <w:color w:val="231F20"/>
        </w:rPr>
        <w:t>París,</w:t>
      </w:r>
      <w:r>
        <w:rPr>
          <w:color w:val="231F20"/>
          <w:spacing w:val="-8"/>
        </w:rPr>
        <w:t> </w:t>
      </w:r>
      <w:r>
        <w:rPr>
          <w:color w:val="231F20"/>
        </w:rPr>
        <w:t>Ciudad</w:t>
      </w:r>
      <w:r>
        <w:rPr>
          <w:color w:val="231F20"/>
          <w:spacing w:val="-8"/>
        </w:rPr>
        <w:t> </w:t>
      </w:r>
      <w:r>
        <w:rPr>
          <w:color w:val="231F20"/>
        </w:rPr>
        <w:t>de</w:t>
      </w:r>
      <w:r>
        <w:rPr>
          <w:color w:val="231F20"/>
          <w:spacing w:val="-8"/>
        </w:rPr>
        <w:t> </w:t>
      </w:r>
      <w:r>
        <w:rPr>
          <w:color w:val="231F20"/>
        </w:rPr>
        <w:t>México,</w:t>
      </w:r>
      <w:r>
        <w:rPr>
          <w:color w:val="231F20"/>
          <w:spacing w:val="-8"/>
        </w:rPr>
        <w:t> </w:t>
      </w:r>
      <w:r>
        <w:rPr>
          <w:color w:val="231F20"/>
        </w:rPr>
        <w:t>San</w:t>
      </w:r>
      <w:r>
        <w:rPr>
          <w:color w:val="231F20"/>
          <w:spacing w:val="-8"/>
        </w:rPr>
        <w:t> </w:t>
      </w:r>
      <w:r>
        <w:rPr>
          <w:color w:val="231F20"/>
        </w:rPr>
        <w:t>Francisco,</w:t>
      </w:r>
      <w:r>
        <w:rPr>
          <w:color w:val="231F20"/>
          <w:spacing w:val="-8"/>
        </w:rPr>
        <w:t> </w:t>
      </w:r>
      <w:r>
        <w:rPr>
          <w:color w:val="231F20"/>
        </w:rPr>
        <w:t>entre</w:t>
      </w:r>
      <w:r>
        <w:rPr>
          <w:color w:val="231F20"/>
          <w:spacing w:val="-8"/>
        </w:rPr>
        <w:t> </w:t>
      </w:r>
      <w:r>
        <w:rPr>
          <w:color w:val="231F20"/>
        </w:rPr>
        <w:t>otros), el despertar de las consciencias raciales (postcoloniales), el apuntalamien- to del poder de los medios de comunicación, el auge de la segunda ola feminista, la contracultura, la experimentación con las sustancias psico- trópicas, la redefinición del paradigma binario de las relaciones sexuales, etc. </w:t>
      </w:r>
      <w:r>
        <w:rPr>
          <w:color w:val="231F20"/>
          <w:spacing w:val="-5"/>
        </w:rPr>
        <w:t>Todos </w:t>
      </w:r>
      <w:r>
        <w:rPr>
          <w:color w:val="231F20"/>
        </w:rPr>
        <w:t>estos acontecimientos hicieron evidente, de una manera u otra, el enfrentamiento, por un lado, de posturas culturalmente hegemónicas    y mayoritarias, y por otro, prácticas que acudían a perspectivas más loca- les y no hegemónicas. Sin embargo, es innegable que lo que en aquellos años resultó revolucionario y desestabilizador, con el tiempo fue retoma- do e introducido en la cultura de masas y el consumo. En suma, lo más contracultural terminó también volviéndose vendible. Marcas, mercancías, productos, símbolos, etc., son algunos de los mecanismos por los cuales  el capitalismo proyecta sus valores e introduce una cierta ideología de ma- nera sutil y casi imperceptible. En este aspecto es sumamente actual la idea de Althusser sobre la ideología como lo que interpela y convoca a   un sujeto libre para que (aparentemente por su propia voluntad) acepte  su propia sujeción</w:t>
      </w:r>
      <w:r>
        <w:rPr>
          <w:color w:val="231F20"/>
          <w:position w:val="7"/>
          <w:sz w:val="12"/>
        </w:rPr>
        <w:t>1</w:t>
      </w:r>
      <w:r>
        <w:rPr>
          <w:color w:val="231F20"/>
        </w:rPr>
        <w:t>. El funcionamiento de la ideología en el contexto de la globalización se explica, evocando a Žižek, como una ilusión “consciente” de</w:t>
      </w:r>
      <w:r>
        <w:rPr>
          <w:color w:val="231F20"/>
          <w:spacing w:val="-9"/>
        </w:rPr>
        <w:t> </w:t>
      </w:r>
      <w:r>
        <w:rPr>
          <w:color w:val="231F20"/>
        </w:rPr>
        <w:t>su</w:t>
      </w:r>
      <w:r>
        <w:rPr>
          <w:color w:val="231F20"/>
          <w:spacing w:val="-9"/>
        </w:rPr>
        <w:t> </w:t>
      </w:r>
      <w:r>
        <w:rPr>
          <w:color w:val="231F20"/>
        </w:rPr>
        <w:t>naturaleza</w:t>
      </w:r>
      <w:r>
        <w:rPr>
          <w:color w:val="231F20"/>
          <w:spacing w:val="-9"/>
        </w:rPr>
        <w:t> </w:t>
      </w:r>
      <w:r>
        <w:rPr>
          <w:color w:val="231F20"/>
        </w:rPr>
        <w:t>ilusoria</w:t>
      </w:r>
      <w:r>
        <w:rPr>
          <w:color w:val="231F20"/>
          <w:spacing w:val="-9"/>
        </w:rPr>
        <w:t> </w:t>
      </w:r>
      <w:r>
        <w:rPr>
          <w:color w:val="231F20"/>
        </w:rPr>
        <w:t>y</w:t>
      </w:r>
      <w:r>
        <w:rPr>
          <w:color w:val="231F20"/>
          <w:spacing w:val="-9"/>
        </w:rPr>
        <w:t> </w:t>
      </w:r>
      <w:r>
        <w:rPr>
          <w:color w:val="231F20"/>
        </w:rPr>
        <w:t>que</w:t>
      </w:r>
      <w:r>
        <w:rPr>
          <w:color w:val="231F20"/>
          <w:spacing w:val="-9"/>
        </w:rPr>
        <w:t> </w:t>
      </w:r>
      <w:r>
        <w:rPr>
          <w:color w:val="231F20"/>
        </w:rPr>
        <w:t>por</w:t>
      </w:r>
      <w:r>
        <w:rPr>
          <w:color w:val="231F20"/>
          <w:spacing w:val="-9"/>
        </w:rPr>
        <w:t> </w:t>
      </w:r>
      <w:r>
        <w:rPr>
          <w:color w:val="231F20"/>
        </w:rPr>
        <w:t>ello</w:t>
      </w:r>
      <w:r>
        <w:rPr>
          <w:color w:val="231F20"/>
          <w:spacing w:val="-9"/>
        </w:rPr>
        <w:t> </w:t>
      </w:r>
      <w:r>
        <w:rPr>
          <w:color w:val="231F20"/>
        </w:rPr>
        <w:t>mismo</w:t>
      </w:r>
      <w:r>
        <w:rPr>
          <w:color w:val="231F20"/>
          <w:spacing w:val="-9"/>
        </w:rPr>
        <w:t> </w:t>
      </w:r>
      <w:r>
        <w:rPr>
          <w:color w:val="231F20"/>
        </w:rPr>
        <w:t>nos</w:t>
      </w:r>
      <w:r>
        <w:rPr>
          <w:color w:val="231F20"/>
          <w:spacing w:val="-9"/>
        </w:rPr>
        <w:t> </w:t>
      </w:r>
      <w:r>
        <w:rPr>
          <w:color w:val="231F20"/>
        </w:rPr>
        <w:t>lleva</w:t>
      </w:r>
      <w:r>
        <w:rPr>
          <w:color w:val="231F20"/>
          <w:spacing w:val="-9"/>
        </w:rPr>
        <w:t> </w:t>
      </w:r>
      <w:r>
        <w:rPr>
          <w:color w:val="231F20"/>
        </w:rPr>
        <w:t>a</w:t>
      </w:r>
      <w:r>
        <w:rPr>
          <w:color w:val="231F20"/>
          <w:spacing w:val="-9"/>
        </w:rPr>
        <w:t> </w:t>
      </w:r>
      <w:r>
        <w:rPr>
          <w:color w:val="231F20"/>
        </w:rPr>
        <w:t>actuar</w:t>
      </w:r>
      <w:r>
        <w:rPr>
          <w:color w:val="231F20"/>
          <w:spacing w:val="-9"/>
        </w:rPr>
        <w:t> </w:t>
      </w:r>
      <w:r>
        <w:rPr>
          <w:color w:val="231F20"/>
        </w:rPr>
        <w:t>como</w:t>
      </w:r>
      <w:r>
        <w:rPr>
          <w:color w:val="231F20"/>
          <w:spacing w:val="-9"/>
        </w:rPr>
        <w:t> </w:t>
      </w:r>
      <w:r>
        <w:rPr>
          <w:color w:val="231F20"/>
        </w:rPr>
        <w:t>si</w:t>
      </w:r>
      <w:r>
        <w:rPr>
          <w:color w:val="231F20"/>
          <w:spacing w:val="-9"/>
        </w:rPr>
        <w:t> </w:t>
      </w:r>
      <w:r>
        <w:rPr>
          <w:color w:val="231F20"/>
        </w:rPr>
        <w:t>no estuviéramos conscientes de</w:t>
      </w:r>
      <w:r>
        <w:rPr>
          <w:color w:val="231F20"/>
          <w:spacing w:val="22"/>
        </w:rPr>
        <w:t> </w:t>
      </w:r>
      <w:r>
        <w:rPr>
          <w:color w:val="231F20"/>
        </w:rPr>
        <w:t>ello</w:t>
      </w:r>
      <w:r>
        <w:rPr>
          <w:color w:val="231F20"/>
          <w:position w:val="7"/>
          <w:sz w:val="12"/>
        </w:rPr>
        <w:t>2</w:t>
      </w:r>
      <w:r>
        <w:rPr>
          <w:color w:val="231F20"/>
        </w:rPr>
        <w:t>.</w:t>
      </w:r>
    </w:p>
    <w:p>
      <w:pPr>
        <w:pStyle w:val="BodyText"/>
        <w:spacing w:line="247" w:lineRule="auto"/>
        <w:ind w:left="103" w:right="115" w:firstLine="566"/>
        <w:jc w:val="both"/>
      </w:pPr>
      <w:r>
        <w:rPr>
          <w:color w:val="231F20"/>
        </w:rPr>
        <w:t>La complejidad del panorama y la imbricación de elementos de tan distinto cuño —políticos, económicos, culturales, psicológicos y sociológi- cos, entre otros— hace necesaria la conjunción de diversas perspectivas, no siempre concordantes, para dar cuenta del nuevo estado de cosas y de los nuevos roles que agentes tradicionales se ven compelidos hoy a</w:t>
      </w:r>
      <w:r>
        <w:rPr>
          <w:color w:val="231F20"/>
          <w:spacing w:val="-25"/>
        </w:rPr>
        <w:t> </w:t>
      </w:r>
      <w:r>
        <w:rPr>
          <w:color w:val="231F20"/>
        </w:rPr>
        <w:t>impro- visar; pensemos, por ejemplo, en el Estado, el Derecho, la educación, el ejército, la cultura,</w:t>
      </w:r>
      <w:r>
        <w:rPr>
          <w:color w:val="231F20"/>
          <w:spacing w:val="-43"/>
        </w:rPr>
        <w:t> </w:t>
      </w:r>
      <w:r>
        <w:rPr>
          <w:color w:val="231F20"/>
        </w:rPr>
        <w:t>etc.</w:t>
      </w:r>
    </w:p>
    <w:p>
      <w:pPr>
        <w:pStyle w:val="BodyText"/>
        <w:spacing w:line="247" w:lineRule="auto"/>
        <w:ind w:left="103" w:right="115" w:firstLine="566"/>
        <w:jc w:val="both"/>
      </w:pPr>
      <w:r>
        <w:rPr>
          <w:color w:val="231F20"/>
        </w:rPr>
        <w:t>En este talante, el artículo de Jorge Olvera García, titulado “Cambio de paradigma jurídico: el 11–S y la delincuencia organizada en México”, aborda precisamente el nuevo rol del Estado y del Derecho penal ante la reconfiguración de los escenarios internacional y nacional producto de la ola terrorista con que inició el siglo </w:t>
      </w:r>
      <w:r>
        <w:rPr>
          <w:color w:val="231F20"/>
          <w:sz w:val="18"/>
        </w:rPr>
        <w:t>XXI </w:t>
      </w:r>
      <w:r>
        <w:rPr>
          <w:color w:val="231F20"/>
        </w:rPr>
        <w:t>—en particular a partir del ataque</w:t>
      </w:r>
      <w:r>
        <w:rPr>
          <w:color w:val="231F20"/>
          <w:spacing w:val="-28"/>
        </w:rPr>
        <w:t> </w:t>
      </w:r>
      <w:r>
        <w:rPr>
          <w:color w:val="231F20"/>
        </w:rPr>
        <w:t>a las </w:t>
      </w:r>
      <w:r>
        <w:rPr>
          <w:color w:val="231F20"/>
          <w:spacing w:val="-5"/>
        </w:rPr>
        <w:t>Torres </w:t>
      </w:r>
      <w:r>
        <w:rPr>
          <w:color w:val="231F20"/>
        </w:rPr>
        <w:t>Gemelas de Nueva </w:t>
      </w:r>
      <w:r>
        <w:rPr>
          <w:color w:val="231F20"/>
          <w:spacing w:val="-4"/>
        </w:rPr>
        <w:t>York, </w:t>
      </w:r>
      <w:r>
        <w:rPr>
          <w:color w:val="231F20"/>
        </w:rPr>
        <w:t>el 11 de septiembre de 2001 (11–S)—, así como de la creciente fuerza del narcotráfico en territorio mexicano. Se- gún Olvera García, el evento que ocasiona un cambio radical del paradig- ma</w:t>
      </w:r>
      <w:r>
        <w:rPr>
          <w:color w:val="231F20"/>
          <w:spacing w:val="23"/>
        </w:rPr>
        <w:t> </w:t>
      </w:r>
      <w:r>
        <w:rPr>
          <w:color w:val="231F20"/>
        </w:rPr>
        <w:t>jurídico</w:t>
      </w:r>
      <w:r>
        <w:rPr>
          <w:color w:val="231F20"/>
          <w:spacing w:val="23"/>
        </w:rPr>
        <w:t> </w:t>
      </w:r>
      <w:r>
        <w:rPr>
          <w:color w:val="231F20"/>
        </w:rPr>
        <w:t>internacional,</w:t>
      </w:r>
      <w:r>
        <w:rPr>
          <w:color w:val="231F20"/>
          <w:spacing w:val="23"/>
        </w:rPr>
        <w:t> </w:t>
      </w:r>
      <w:r>
        <w:rPr>
          <w:color w:val="231F20"/>
        </w:rPr>
        <w:t>del</w:t>
      </w:r>
      <w:r>
        <w:rPr>
          <w:color w:val="231F20"/>
          <w:spacing w:val="23"/>
        </w:rPr>
        <w:t> </w:t>
      </w:r>
      <w:r>
        <w:rPr>
          <w:color w:val="231F20"/>
        </w:rPr>
        <w:t>papel</w:t>
      </w:r>
      <w:r>
        <w:rPr>
          <w:color w:val="231F20"/>
          <w:spacing w:val="23"/>
        </w:rPr>
        <w:t> </w:t>
      </w:r>
      <w:r>
        <w:rPr>
          <w:color w:val="231F20"/>
        </w:rPr>
        <w:t>del</w:t>
      </w:r>
      <w:r>
        <w:rPr>
          <w:color w:val="231F20"/>
          <w:spacing w:val="23"/>
        </w:rPr>
        <w:t> </w:t>
      </w:r>
      <w:r>
        <w:rPr>
          <w:color w:val="231F20"/>
        </w:rPr>
        <w:t>Estado</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justificación</w:t>
      </w:r>
      <w:r>
        <w:rPr>
          <w:color w:val="231F20"/>
          <w:spacing w:val="23"/>
        </w:rPr>
        <w:t> </w:t>
      </w:r>
      <w:r>
        <w:rPr>
          <w:color w:val="231F20"/>
        </w:rPr>
        <w:t>de</w:t>
      </w:r>
      <w:r>
        <w:rPr>
          <w:color w:val="231F20"/>
          <w:spacing w:val="23"/>
        </w:rPr>
        <w:t> </w:t>
      </w:r>
      <w:r>
        <w:rPr>
          <w:color w:val="231F20"/>
        </w:rPr>
        <w:t>la</w:t>
      </w:r>
    </w:p>
    <w:p>
      <w:pPr>
        <w:pStyle w:val="BodyText"/>
        <w:spacing w:before="11"/>
        <w:rPr>
          <w:sz w:val="16"/>
        </w:rPr>
      </w:pPr>
      <w:r>
        <w:rPr/>
        <w:pict>
          <v:line style="position:absolute;mso-position-horizontal-relative:page;mso-position-vertical-relative:paragraph;z-index:1600;mso-wrap-distance-left:0;mso-wrap-distance-right:0" from="65.196899pt,12.306985pt" to="178.582899pt,12.306985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position w:val="6"/>
          <w:sz w:val="10"/>
        </w:rPr>
        <w:t>1 </w:t>
      </w:r>
      <w:r>
        <w:rPr>
          <w:rFonts w:ascii="Calibri" w:hAnsi="Calibri"/>
          <w:color w:val="231F20"/>
          <w:sz w:val="17"/>
        </w:rPr>
        <w:t>L. Althusser, </w:t>
      </w:r>
      <w:r>
        <w:rPr>
          <w:rFonts w:ascii="Calibri" w:hAnsi="Calibri"/>
          <w:i/>
          <w:color w:val="231F20"/>
          <w:sz w:val="17"/>
        </w:rPr>
        <w:t>Ideología y aparatos ideológicos del estado</w:t>
      </w:r>
      <w:r>
        <w:rPr>
          <w:rFonts w:ascii="Calibri" w:hAnsi="Calibri"/>
          <w:color w:val="231F20"/>
          <w:sz w:val="17"/>
        </w:rPr>
        <w:t>, Medellín, Ediciones Pepe, 1980.</w:t>
      </w:r>
    </w:p>
    <w:p>
      <w:pPr>
        <w:spacing w:line="206" w:lineRule="exact" w:before="0"/>
        <w:ind w:left="103" w:right="0" w:firstLine="0"/>
        <w:jc w:val="left"/>
        <w:rPr>
          <w:rFonts w:ascii="Calibri" w:hAnsi="Calibri"/>
          <w:sz w:val="17"/>
        </w:rPr>
      </w:pPr>
      <w:r>
        <w:rPr>
          <w:rFonts w:ascii="Calibri" w:hAnsi="Calibri"/>
          <w:color w:val="231F20"/>
          <w:position w:val="6"/>
          <w:sz w:val="10"/>
        </w:rPr>
        <w:t>2  </w:t>
      </w:r>
      <w:r>
        <w:rPr>
          <w:rFonts w:ascii="Calibri" w:hAnsi="Calibri"/>
          <w:color w:val="231F20"/>
          <w:sz w:val="17"/>
        </w:rPr>
        <w:t>S. Žižek, </w:t>
      </w:r>
      <w:r>
        <w:rPr>
          <w:rFonts w:ascii="Calibri" w:hAnsi="Calibri"/>
          <w:i/>
          <w:color w:val="231F20"/>
          <w:sz w:val="17"/>
        </w:rPr>
        <w:t>El Sublime Objeto de la Ideología</w:t>
      </w:r>
      <w:r>
        <w:rPr>
          <w:rFonts w:ascii="Calibri" w:hAnsi="Calibri"/>
          <w:color w:val="231F20"/>
          <w:sz w:val="17"/>
        </w:rPr>
        <w:t>, México, D.F., Siglo </w:t>
      </w:r>
      <w:r>
        <w:rPr>
          <w:rFonts w:ascii="Calibri" w:hAnsi="Calibri"/>
          <w:color w:val="231F20"/>
          <w:sz w:val="15"/>
        </w:rPr>
        <w:t>XXI </w:t>
      </w:r>
      <w:r>
        <w:rPr>
          <w:rFonts w:ascii="Calibri" w:hAnsi="Calibri"/>
          <w:color w:val="231F20"/>
          <w:sz w:val="17"/>
        </w:rPr>
        <w:t>editores, 1992.</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73776"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Arial" w:hAnsi="Arial"/>
          <w:color w:val="414042"/>
          <w:position w:val="-4"/>
          <w:sz w:val="20"/>
        </w:rPr>
        <w:t>10</w:t>
        <w:tab/>
      </w:r>
      <w:r>
        <w:rPr>
          <w:rFonts w:ascii="Calibri" w:hAnsi="Calibri"/>
          <w:color w:val="6D6E71"/>
          <w:sz w:val="16"/>
        </w:rPr>
        <w:t>Jorge Olvera</w:t>
      </w:r>
      <w:r>
        <w:rPr>
          <w:rFonts w:ascii="Calibri" w:hAnsi="Calibri"/>
          <w:color w:val="6D6E71"/>
          <w:spacing w:val="14"/>
          <w:sz w:val="16"/>
        </w:rPr>
        <w:t> </w:t>
      </w:r>
      <w:r>
        <w:rPr>
          <w:rFonts w:ascii="Calibri" w:hAnsi="Calibri"/>
          <w:color w:val="6D6E71"/>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1578" w:val="right" w:leader="none"/>
        </w:tabs>
        <w:spacing w:before="58"/>
        <w:ind w:left="64" w:right="219" w:firstLine="0"/>
        <w:jc w:val="right"/>
        <w:rPr>
          <w:rFonts w:ascii="Arial" w:hAnsi="Arial"/>
          <w:sz w:val="20"/>
        </w:rPr>
      </w:pPr>
      <w:r>
        <w:rPr/>
        <w:pict>
          <v:group style="position:absolute;margin-left:383.821014pt;margin-top:-25.476145pt;width:8.65pt;height:41pt;mso-position-horizontal-relative:page;mso-position-vertical-relative:paragraph;z-index:-17375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Calibri" w:hAnsi="Calibri"/>
          <w:color w:val="6D6E71"/>
          <w:sz w:val="14"/>
        </w:rPr>
        <w:t>INTRODUCCIÓN</w:t>
      </w:r>
      <w:r>
        <w:rPr>
          <w:rFonts w:ascii="Arial" w:hAnsi="Arial"/>
          <w:color w:val="414042"/>
          <w:position w:val="-3"/>
          <w:sz w:val="20"/>
        </w:rPr>
        <w:tab/>
        <w:t>11</w:t>
      </w:r>
    </w:p>
    <w:p>
      <w:pPr>
        <w:pStyle w:val="BodyText"/>
        <w:rPr>
          <w:rFonts w:ascii="Arial"/>
          <w:sz w:val="20"/>
        </w:rPr>
      </w:pPr>
    </w:p>
    <w:p>
      <w:pPr>
        <w:pStyle w:val="BodyText"/>
        <w:rPr>
          <w:rFonts w:ascii="Arial"/>
          <w:sz w:val="20"/>
        </w:rPr>
      </w:pPr>
    </w:p>
    <w:p>
      <w:pPr>
        <w:pStyle w:val="BodyText"/>
        <w:spacing w:line="247" w:lineRule="auto" w:before="163"/>
        <w:ind w:left="117" w:right="101"/>
        <w:jc w:val="both"/>
      </w:pPr>
      <w:r>
        <w:rPr>
          <w:color w:val="231F20"/>
        </w:rPr>
        <w:t>guerra</w:t>
      </w:r>
      <w:r>
        <w:rPr>
          <w:color w:val="231F20"/>
          <w:spacing w:val="-7"/>
        </w:rPr>
        <w:t> </w:t>
      </w:r>
      <w:r>
        <w:rPr>
          <w:color w:val="231F20"/>
        </w:rPr>
        <w:t>entre</w:t>
      </w:r>
      <w:r>
        <w:rPr>
          <w:color w:val="231F20"/>
          <w:spacing w:val="-7"/>
        </w:rPr>
        <w:t> </w:t>
      </w:r>
      <w:r>
        <w:rPr>
          <w:color w:val="231F20"/>
        </w:rPr>
        <w:t>países</w:t>
      </w:r>
      <w:r>
        <w:rPr>
          <w:color w:val="231F20"/>
          <w:spacing w:val="-7"/>
        </w:rPr>
        <w:t> </w:t>
      </w:r>
      <w:r>
        <w:rPr>
          <w:color w:val="231F20"/>
        </w:rPr>
        <w:t>fue</w:t>
      </w:r>
      <w:r>
        <w:rPr>
          <w:color w:val="231F20"/>
          <w:spacing w:val="-7"/>
        </w:rPr>
        <w:t> </w:t>
      </w:r>
      <w:r>
        <w:rPr>
          <w:color w:val="231F20"/>
        </w:rPr>
        <w:t>el</w:t>
      </w:r>
      <w:r>
        <w:rPr>
          <w:color w:val="231F20"/>
          <w:spacing w:val="-7"/>
        </w:rPr>
        <w:t> </w:t>
      </w:r>
      <w:r>
        <w:rPr>
          <w:color w:val="231F20"/>
        </w:rPr>
        <w:t>11–S.</w:t>
      </w:r>
      <w:r>
        <w:rPr>
          <w:color w:val="231F20"/>
          <w:spacing w:val="-7"/>
        </w:rPr>
        <w:t> </w:t>
      </w:r>
      <w:r>
        <w:rPr>
          <w:color w:val="231F20"/>
        </w:rPr>
        <w:t>Este</w:t>
      </w:r>
      <w:r>
        <w:rPr>
          <w:color w:val="231F20"/>
          <w:spacing w:val="-7"/>
        </w:rPr>
        <w:t> </w:t>
      </w:r>
      <w:r>
        <w:rPr>
          <w:color w:val="231F20"/>
        </w:rPr>
        <w:t>ataque</w:t>
      </w:r>
      <w:r>
        <w:rPr>
          <w:color w:val="231F20"/>
          <w:spacing w:val="-7"/>
        </w:rPr>
        <w:t> </w:t>
      </w:r>
      <w:r>
        <w:rPr>
          <w:color w:val="231F20"/>
        </w:rPr>
        <w:t>terrorista</w:t>
      </w:r>
      <w:r>
        <w:rPr>
          <w:color w:val="231F20"/>
          <w:spacing w:val="-7"/>
        </w:rPr>
        <w:t> </w:t>
      </w:r>
      <w:r>
        <w:rPr>
          <w:color w:val="231F20"/>
        </w:rPr>
        <w:t>inauguró</w:t>
      </w:r>
      <w:r>
        <w:rPr>
          <w:color w:val="231F20"/>
          <w:spacing w:val="-7"/>
        </w:rPr>
        <w:t> </w:t>
      </w:r>
      <w:r>
        <w:rPr>
          <w:color w:val="231F20"/>
        </w:rPr>
        <w:t>un</w:t>
      </w:r>
      <w:r>
        <w:rPr>
          <w:color w:val="231F20"/>
          <w:spacing w:val="-7"/>
        </w:rPr>
        <w:t> </w:t>
      </w:r>
      <w:r>
        <w:rPr>
          <w:color w:val="231F20"/>
        </w:rPr>
        <w:t>“estado de excepción universal” que ha supuesto “la suspensión individualizada de derechos y garantías”. </w:t>
      </w:r>
      <w:r>
        <w:rPr>
          <w:color w:val="231F20"/>
          <w:spacing w:val="-8"/>
        </w:rPr>
        <w:t>Tal </w:t>
      </w:r>
      <w:r>
        <w:rPr>
          <w:color w:val="231F20"/>
        </w:rPr>
        <w:t>estado de excepción se implementó, en el caso específico de México, con la lucha contra la delincuencia organizada; la</w:t>
      </w:r>
      <w:r>
        <w:rPr>
          <w:color w:val="231F20"/>
          <w:spacing w:val="-38"/>
        </w:rPr>
        <w:t> </w:t>
      </w:r>
      <w:r>
        <w:rPr>
          <w:color w:val="231F20"/>
        </w:rPr>
        <w:t>pa- radoja que el autor percibe y analiza es que se hace legítimo disminuir las garantías de los ciudadanos con el fin de garantizar la seguridad nacional. Aunque la paradoja no se resuelve de manera tajante, el capítulo</w:t>
      </w:r>
      <w:r>
        <w:rPr>
          <w:color w:val="231F20"/>
          <w:spacing w:val="-19"/>
        </w:rPr>
        <w:t> </w:t>
      </w:r>
      <w:r>
        <w:rPr>
          <w:color w:val="231F20"/>
        </w:rPr>
        <w:t>concluye con el llamado a tomar tono crítico y reflexivo, sobre todo por parte del pensamiento jurídico actual, ante la complejidad del panorama que se</w:t>
      </w:r>
      <w:r>
        <w:rPr>
          <w:color w:val="231F20"/>
          <w:spacing w:val="-29"/>
        </w:rPr>
        <w:t> </w:t>
      </w:r>
      <w:r>
        <w:rPr>
          <w:color w:val="231F20"/>
        </w:rPr>
        <w:t>pre- senta a nivel internacional y</w:t>
      </w:r>
      <w:r>
        <w:rPr>
          <w:color w:val="231F20"/>
          <w:spacing w:val="-39"/>
        </w:rPr>
        <w:t> </w:t>
      </w:r>
      <w:r>
        <w:rPr>
          <w:color w:val="231F20"/>
        </w:rPr>
        <w:t>nacional.</w:t>
      </w:r>
    </w:p>
    <w:p>
      <w:pPr>
        <w:pStyle w:val="BodyText"/>
        <w:spacing w:line="247" w:lineRule="auto"/>
        <w:ind w:left="117" w:right="99" w:firstLine="566"/>
        <w:jc w:val="both"/>
      </w:pPr>
      <w:r>
        <w:rPr>
          <w:color w:val="231F20"/>
        </w:rPr>
        <w:t>Siguiendo con el papel del Estado en el mundo global, Maurizio Ricciardi, en “El </w:t>
      </w:r>
      <w:r>
        <w:rPr>
          <w:color w:val="231F20"/>
          <w:spacing w:val="-3"/>
        </w:rPr>
        <w:t>Estado global </w:t>
      </w:r>
      <w:r>
        <w:rPr>
          <w:color w:val="231F20"/>
        </w:rPr>
        <w:t>y la </w:t>
      </w:r>
      <w:r>
        <w:rPr>
          <w:color w:val="231F20"/>
          <w:spacing w:val="-3"/>
        </w:rPr>
        <w:t>evolución </w:t>
      </w:r>
      <w:r>
        <w:rPr>
          <w:color w:val="231F20"/>
        </w:rPr>
        <w:t>de la </w:t>
      </w:r>
      <w:r>
        <w:rPr>
          <w:color w:val="231F20"/>
          <w:spacing w:val="-3"/>
        </w:rPr>
        <w:t>soberanía”, </w:t>
      </w:r>
      <w:r>
        <w:rPr>
          <w:color w:val="231F20"/>
          <w:spacing w:val="-4"/>
        </w:rPr>
        <w:t>reflexiona </w:t>
      </w:r>
      <w:r>
        <w:rPr>
          <w:color w:val="231F20"/>
          <w:spacing w:val="-3"/>
        </w:rPr>
        <w:t>sobre </w:t>
      </w:r>
      <w:r>
        <w:rPr>
          <w:color w:val="231F20"/>
        </w:rPr>
        <w:t>la </w:t>
      </w:r>
      <w:r>
        <w:rPr>
          <w:color w:val="231F20"/>
          <w:spacing w:val="-3"/>
        </w:rPr>
        <w:t>posibilidad </w:t>
      </w:r>
      <w:r>
        <w:rPr>
          <w:color w:val="231F20"/>
        </w:rPr>
        <w:t>de </w:t>
      </w:r>
      <w:r>
        <w:rPr>
          <w:color w:val="231F20"/>
          <w:spacing w:val="-3"/>
        </w:rPr>
        <w:t>intentar posibles “remedios” para dirigir </w:t>
      </w:r>
      <w:r>
        <w:rPr>
          <w:color w:val="231F20"/>
        </w:rPr>
        <w:t>la </w:t>
      </w:r>
      <w:r>
        <w:rPr>
          <w:color w:val="231F20"/>
          <w:spacing w:val="-3"/>
        </w:rPr>
        <w:t>acción de </w:t>
      </w:r>
      <w:r>
        <w:rPr>
          <w:color w:val="231F20"/>
        </w:rPr>
        <w:t>los </w:t>
      </w:r>
      <w:r>
        <w:rPr>
          <w:color w:val="231F20"/>
          <w:spacing w:val="-3"/>
        </w:rPr>
        <w:t>Estados, </w:t>
      </w:r>
      <w:r>
        <w:rPr>
          <w:color w:val="231F20"/>
        </w:rPr>
        <w:t>ya que </w:t>
      </w:r>
      <w:r>
        <w:rPr>
          <w:color w:val="231F20"/>
          <w:spacing w:val="-3"/>
        </w:rPr>
        <w:t>éstos “administran </w:t>
      </w:r>
      <w:r>
        <w:rPr>
          <w:color w:val="231F20"/>
        </w:rPr>
        <w:t>de </w:t>
      </w:r>
      <w:r>
        <w:rPr>
          <w:color w:val="231F20"/>
          <w:spacing w:val="-3"/>
        </w:rPr>
        <w:t>manera problemática tanto </w:t>
      </w:r>
      <w:r>
        <w:rPr>
          <w:color w:val="231F20"/>
        </w:rPr>
        <w:t>su es- </w:t>
      </w:r>
      <w:r>
        <w:rPr>
          <w:color w:val="231F20"/>
          <w:spacing w:val="-3"/>
        </w:rPr>
        <w:t>pacio interno como </w:t>
      </w:r>
      <w:r>
        <w:rPr>
          <w:color w:val="231F20"/>
        </w:rPr>
        <w:t>su </w:t>
      </w:r>
      <w:r>
        <w:rPr>
          <w:color w:val="231F20"/>
          <w:spacing w:val="-3"/>
        </w:rPr>
        <w:t>relación </w:t>
      </w:r>
      <w:r>
        <w:rPr>
          <w:color w:val="231F20"/>
        </w:rPr>
        <w:t>con los </w:t>
      </w:r>
      <w:r>
        <w:rPr>
          <w:color w:val="231F20"/>
          <w:spacing w:val="-3"/>
        </w:rPr>
        <w:t>espacios externos”. </w:t>
      </w:r>
      <w:r>
        <w:rPr>
          <w:color w:val="231F20"/>
        </w:rPr>
        <w:t>Lo </w:t>
      </w:r>
      <w:r>
        <w:rPr>
          <w:color w:val="231F20"/>
          <w:spacing w:val="-4"/>
        </w:rPr>
        <w:t>problemático </w:t>
      </w:r>
      <w:r>
        <w:rPr>
          <w:color w:val="231F20"/>
        </w:rPr>
        <w:t>del </w:t>
      </w:r>
      <w:r>
        <w:rPr>
          <w:color w:val="231F20"/>
          <w:spacing w:val="-3"/>
        </w:rPr>
        <w:t>actuar estatal </w:t>
      </w:r>
      <w:r>
        <w:rPr>
          <w:color w:val="231F20"/>
        </w:rPr>
        <w:t>se </w:t>
      </w:r>
      <w:r>
        <w:rPr>
          <w:color w:val="231F20"/>
          <w:spacing w:val="-3"/>
        </w:rPr>
        <w:t>presenta porque </w:t>
      </w:r>
      <w:r>
        <w:rPr>
          <w:color w:val="231F20"/>
        </w:rPr>
        <w:t>si </w:t>
      </w:r>
      <w:r>
        <w:rPr>
          <w:color w:val="231F20"/>
          <w:spacing w:val="-3"/>
        </w:rPr>
        <w:t>bien </w:t>
      </w:r>
      <w:r>
        <w:rPr>
          <w:color w:val="231F20"/>
        </w:rPr>
        <w:t>una de sus </w:t>
      </w:r>
      <w:r>
        <w:rPr>
          <w:color w:val="231F20"/>
          <w:spacing w:val="-3"/>
        </w:rPr>
        <w:t>mayores </w:t>
      </w:r>
      <w:r>
        <w:rPr>
          <w:color w:val="231F20"/>
          <w:spacing w:val="-4"/>
        </w:rPr>
        <w:t>directivas </w:t>
      </w:r>
      <w:r>
        <w:rPr>
          <w:color w:val="231F20"/>
        </w:rPr>
        <w:t>es</w:t>
      </w:r>
      <w:r>
        <w:rPr>
          <w:color w:val="231F20"/>
          <w:spacing w:val="-10"/>
        </w:rPr>
        <w:t> </w:t>
      </w:r>
      <w:r>
        <w:rPr>
          <w:color w:val="231F20"/>
          <w:spacing w:val="-3"/>
        </w:rPr>
        <w:t>neutralizar</w:t>
      </w:r>
      <w:r>
        <w:rPr>
          <w:color w:val="231F20"/>
          <w:spacing w:val="-10"/>
        </w:rPr>
        <w:t> </w:t>
      </w:r>
      <w:r>
        <w:rPr>
          <w:color w:val="231F20"/>
          <w:spacing w:val="-3"/>
        </w:rPr>
        <w:t>todo</w:t>
      </w:r>
      <w:r>
        <w:rPr>
          <w:color w:val="231F20"/>
          <w:spacing w:val="-10"/>
        </w:rPr>
        <w:t> </w:t>
      </w:r>
      <w:r>
        <w:rPr>
          <w:color w:val="231F20"/>
        </w:rPr>
        <w:t>tipo</w:t>
      </w:r>
      <w:r>
        <w:rPr>
          <w:color w:val="231F20"/>
          <w:spacing w:val="-10"/>
        </w:rPr>
        <w:t> </w:t>
      </w:r>
      <w:r>
        <w:rPr>
          <w:color w:val="231F20"/>
        </w:rPr>
        <w:t>de</w:t>
      </w:r>
      <w:r>
        <w:rPr>
          <w:color w:val="231F20"/>
          <w:spacing w:val="-10"/>
        </w:rPr>
        <w:t> </w:t>
      </w:r>
      <w:r>
        <w:rPr>
          <w:color w:val="231F20"/>
          <w:spacing w:val="-3"/>
        </w:rPr>
        <w:t>violencia,</w:t>
      </w:r>
      <w:r>
        <w:rPr>
          <w:color w:val="231F20"/>
          <w:spacing w:val="-10"/>
        </w:rPr>
        <w:t> </w:t>
      </w:r>
      <w:r>
        <w:rPr>
          <w:color w:val="231F20"/>
        </w:rPr>
        <w:t>al</w:t>
      </w:r>
      <w:r>
        <w:rPr>
          <w:color w:val="231F20"/>
          <w:spacing w:val="-10"/>
        </w:rPr>
        <w:t> </w:t>
      </w:r>
      <w:r>
        <w:rPr>
          <w:color w:val="231F20"/>
        </w:rPr>
        <w:t>final</w:t>
      </w:r>
      <w:r>
        <w:rPr>
          <w:color w:val="231F20"/>
          <w:spacing w:val="-10"/>
        </w:rPr>
        <w:t> </w:t>
      </w:r>
      <w:r>
        <w:rPr>
          <w:color w:val="231F20"/>
        </w:rPr>
        <w:t>él</w:t>
      </w:r>
      <w:r>
        <w:rPr>
          <w:color w:val="231F20"/>
          <w:spacing w:val="-10"/>
        </w:rPr>
        <w:t> </w:t>
      </w:r>
      <w:r>
        <w:rPr>
          <w:color w:val="231F20"/>
          <w:spacing w:val="-3"/>
        </w:rPr>
        <w:t>mismo</w:t>
      </w:r>
      <w:r>
        <w:rPr>
          <w:color w:val="231F20"/>
          <w:spacing w:val="-10"/>
        </w:rPr>
        <w:t> </w:t>
      </w:r>
      <w:r>
        <w:rPr>
          <w:color w:val="231F20"/>
        </w:rPr>
        <w:t>la</w:t>
      </w:r>
      <w:r>
        <w:rPr>
          <w:color w:val="231F20"/>
          <w:spacing w:val="-10"/>
        </w:rPr>
        <w:t> </w:t>
      </w:r>
      <w:r>
        <w:rPr>
          <w:color w:val="231F20"/>
          <w:spacing w:val="-3"/>
        </w:rPr>
        <w:t>produce</w:t>
      </w:r>
      <w:r>
        <w:rPr>
          <w:color w:val="231F20"/>
          <w:spacing w:val="-10"/>
        </w:rPr>
        <w:t> </w:t>
      </w:r>
      <w:r>
        <w:rPr>
          <w:color w:val="231F20"/>
        </w:rPr>
        <w:t>en</w:t>
      </w:r>
      <w:r>
        <w:rPr>
          <w:color w:val="231F20"/>
          <w:spacing w:val="-10"/>
        </w:rPr>
        <w:t> </w:t>
      </w:r>
      <w:r>
        <w:rPr>
          <w:color w:val="231F20"/>
        </w:rPr>
        <w:t>sus</w:t>
      </w:r>
      <w:r>
        <w:rPr>
          <w:color w:val="231F20"/>
          <w:spacing w:val="-10"/>
        </w:rPr>
        <w:t> </w:t>
      </w:r>
      <w:r>
        <w:rPr>
          <w:color w:val="231F20"/>
          <w:spacing w:val="-3"/>
        </w:rPr>
        <w:t>dife- rentes</w:t>
      </w:r>
      <w:r>
        <w:rPr>
          <w:color w:val="231F20"/>
          <w:spacing w:val="-11"/>
        </w:rPr>
        <w:t> </w:t>
      </w:r>
      <w:r>
        <w:rPr>
          <w:color w:val="231F20"/>
          <w:spacing w:val="-3"/>
        </w:rPr>
        <w:t>momentos</w:t>
      </w:r>
      <w:r>
        <w:rPr>
          <w:color w:val="231F20"/>
          <w:spacing w:val="-11"/>
        </w:rPr>
        <w:t> </w:t>
      </w:r>
      <w:r>
        <w:rPr>
          <w:color w:val="231F20"/>
        </w:rPr>
        <w:t>de</w:t>
      </w:r>
      <w:r>
        <w:rPr>
          <w:color w:val="231F20"/>
          <w:spacing w:val="-11"/>
        </w:rPr>
        <w:t> </w:t>
      </w:r>
      <w:r>
        <w:rPr>
          <w:color w:val="231F20"/>
          <w:spacing w:val="-3"/>
        </w:rPr>
        <w:t>acción.</w:t>
      </w:r>
      <w:r>
        <w:rPr>
          <w:color w:val="231F20"/>
          <w:spacing w:val="-11"/>
        </w:rPr>
        <w:t> </w:t>
      </w:r>
      <w:r>
        <w:rPr>
          <w:color w:val="231F20"/>
          <w:spacing w:val="-3"/>
        </w:rPr>
        <w:t>Para</w:t>
      </w:r>
      <w:r>
        <w:rPr>
          <w:color w:val="231F20"/>
          <w:spacing w:val="-11"/>
        </w:rPr>
        <w:t> </w:t>
      </w:r>
      <w:r>
        <w:rPr>
          <w:color w:val="231F20"/>
        </w:rPr>
        <w:t>ir</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spacing w:val="-3"/>
        </w:rPr>
        <w:t>médula</w:t>
      </w:r>
      <w:r>
        <w:rPr>
          <w:color w:val="231F20"/>
          <w:spacing w:val="-11"/>
        </w:rPr>
        <w:t> </w:t>
      </w:r>
      <w:r>
        <w:rPr>
          <w:color w:val="231F20"/>
        </w:rPr>
        <w:t>de</w:t>
      </w:r>
      <w:r>
        <w:rPr>
          <w:color w:val="231F20"/>
          <w:spacing w:val="-11"/>
        </w:rPr>
        <w:t> </w:t>
      </w:r>
      <w:r>
        <w:rPr>
          <w:color w:val="231F20"/>
        </w:rPr>
        <w:t>tal</w:t>
      </w:r>
      <w:r>
        <w:rPr>
          <w:color w:val="231F20"/>
          <w:spacing w:val="-11"/>
        </w:rPr>
        <w:t> </w:t>
      </w:r>
      <w:r>
        <w:rPr>
          <w:color w:val="231F20"/>
          <w:spacing w:val="-3"/>
        </w:rPr>
        <w:t>contradicción,</w:t>
      </w:r>
      <w:r>
        <w:rPr>
          <w:color w:val="231F20"/>
          <w:spacing w:val="-11"/>
        </w:rPr>
        <w:t> </w:t>
      </w:r>
      <w:r>
        <w:rPr>
          <w:color w:val="231F20"/>
        </w:rPr>
        <w:t>el</w:t>
      </w:r>
      <w:r>
        <w:rPr>
          <w:color w:val="231F20"/>
          <w:spacing w:val="-11"/>
        </w:rPr>
        <w:t> </w:t>
      </w:r>
      <w:r>
        <w:rPr>
          <w:color w:val="231F20"/>
          <w:spacing w:val="-3"/>
        </w:rPr>
        <w:t>autor realiza </w:t>
      </w:r>
      <w:r>
        <w:rPr>
          <w:color w:val="231F20"/>
        </w:rPr>
        <w:t>un </w:t>
      </w:r>
      <w:r>
        <w:rPr>
          <w:color w:val="231F20"/>
          <w:spacing w:val="-3"/>
        </w:rPr>
        <w:t>análisis </w:t>
      </w:r>
      <w:r>
        <w:rPr>
          <w:color w:val="231F20"/>
        </w:rPr>
        <w:t>del </w:t>
      </w:r>
      <w:r>
        <w:rPr>
          <w:color w:val="231F20"/>
          <w:spacing w:val="-3"/>
        </w:rPr>
        <w:t>Estado colonial </w:t>
      </w:r>
      <w:r>
        <w:rPr>
          <w:color w:val="231F20"/>
        </w:rPr>
        <w:t>y </w:t>
      </w:r>
      <w:r>
        <w:rPr>
          <w:color w:val="231F20"/>
          <w:spacing w:val="-3"/>
        </w:rPr>
        <w:t>postcolonial, trayendo </w:t>
      </w:r>
      <w:r>
        <w:rPr>
          <w:color w:val="231F20"/>
        </w:rPr>
        <w:t>la </w:t>
      </w:r>
      <w:r>
        <w:rPr>
          <w:color w:val="231F20"/>
          <w:spacing w:val="-3"/>
        </w:rPr>
        <w:t>discusión </w:t>
      </w:r>
      <w:r>
        <w:rPr>
          <w:color w:val="231F20"/>
        </w:rPr>
        <w:t>a la</w:t>
      </w:r>
      <w:r>
        <w:rPr>
          <w:color w:val="231F20"/>
          <w:spacing w:val="-12"/>
        </w:rPr>
        <w:t> </w:t>
      </w:r>
      <w:r>
        <w:rPr>
          <w:color w:val="231F20"/>
          <w:spacing w:val="-3"/>
        </w:rPr>
        <w:t>actualidad</w:t>
      </w:r>
      <w:r>
        <w:rPr>
          <w:color w:val="231F20"/>
          <w:spacing w:val="-12"/>
        </w:rPr>
        <w:t> </w:t>
      </w:r>
      <w:r>
        <w:rPr>
          <w:color w:val="231F20"/>
        </w:rPr>
        <w:t>y</w:t>
      </w:r>
      <w:r>
        <w:rPr>
          <w:color w:val="231F20"/>
          <w:spacing w:val="-12"/>
        </w:rPr>
        <w:t> </w:t>
      </w:r>
      <w:r>
        <w:rPr>
          <w:color w:val="231F20"/>
        </w:rPr>
        <w:t>al</w:t>
      </w:r>
      <w:r>
        <w:rPr>
          <w:color w:val="231F20"/>
          <w:spacing w:val="-12"/>
        </w:rPr>
        <w:t> </w:t>
      </w:r>
      <w:r>
        <w:rPr>
          <w:color w:val="231F20"/>
          <w:spacing w:val="-3"/>
        </w:rPr>
        <w:t>concepto</w:t>
      </w:r>
      <w:r>
        <w:rPr>
          <w:color w:val="231F20"/>
          <w:spacing w:val="-12"/>
        </w:rPr>
        <w:t> </w:t>
      </w:r>
      <w:r>
        <w:rPr>
          <w:color w:val="231F20"/>
        </w:rPr>
        <w:t>de</w:t>
      </w:r>
      <w:r>
        <w:rPr>
          <w:color w:val="231F20"/>
          <w:spacing w:val="-12"/>
        </w:rPr>
        <w:t> </w:t>
      </w:r>
      <w:r>
        <w:rPr>
          <w:color w:val="231F20"/>
          <w:spacing w:val="-3"/>
        </w:rPr>
        <w:t>Estado</w:t>
      </w:r>
      <w:r>
        <w:rPr>
          <w:color w:val="231F20"/>
          <w:spacing w:val="-12"/>
        </w:rPr>
        <w:t> </w:t>
      </w:r>
      <w:r>
        <w:rPr>
          <w:color w:val="231F20"/>
          <w:spacing w:val="-3"/>
        </w:rPr>
        <w:t>global;</w:t>
      </w:r>
      <w:r>
        <w:rPr>
          <w:color w:val="231F20"/>
          <w:spacing w:val="-12"/>
        </w:rPr>
        <w:t> </w:t>
      </w:r>
      <w:r>
        <w:rPr>
          <w:color w:val="231F20"/>
        </w:rPr>
        <w:t>en</w:t>
      </w:r>
      <w:r>
        <w:rPr>
          <w:color w:val="231F20"/>
          <w:spacing w:val="-12"/>
        </w:rPr>
        <w:t> </w:t>
      </w:r>
      <w:r>
        <w:rPr>
          <w:color w:val="231F20"/>
          <w:spacing w:val="-5"/>
        </w:rPr>
        <w:t>particular,</w:t>
      </w:r>
      <w:r>
        <w:rPr>
          <w:color w:val="231F20"/>
          <w:spacing w:val="-12"/>
        </w:rPr>
        <w:t> </w:t>
      </w:r>
      <w:r>
        <w:rPr>
          <w:color w:val="231F20"/>
        </w:rPr>
        <w:t>se</w:t>
      </w:r>
      <w:r>
        <w:rPr>
          <w:color w:val="231F20"/>
          <w:spacing w:val="-12"/>
        </w:rPr>
        <w:t> </w:t>
      </w:r>
      <w:r>
        <w:rPr>
          <w:color w:val="231F20"/>
          <w:spacing w:val="-3"/>
        </w:rPr>
        <w:t>interroga</w:t>
      </w:r>
      <w:r>
        <w:rPr>
          <w:color w:val="231F20"/>
          <w:spacing w:val="-12"/>
        </w:rPr>
        <w:t> </w:t>
      </w:r>
      <w:r>
        <w:rPr>
          <w:color w:val="231F20"/>
          <w:spacing w:val="-3"/>
        </w:rPr>
        <w:t>sobre </w:t>
      </w:r>
      <w:r>
        <w:rPr>
          <w:color w:val="231F20"/>
        </w:rPr>
        <w:t>si</w:t>
      </w:r>
      <w:r>
        <w:rPr>
          <w:color w:val="231F20"/>
          <w:spacing w:val="-9"/>
        </w:rPr>
        <w:t> </w:t>
      </w:r>
      <w:r>
        <w:rPr>
          <w:color w:val="231F20"/>
          <w:spacing w:val="-3"/>
        </w:rPr>
        <w:t>éste</w:t>
      </w:r>
      <w:r>
        <w:rPr>
          <w:color w:val="231F20"/>
          <w:spacing w:val="-9"/>
        </w:rPr>
        <w:t> </w:t>
      </w:r>
      <w:r>
        <w:rPr>
          <w:color w:val="231F20"/>
          <w:spacing w:val="-3"/>
        </w:rPr>
        <w:t>tiene</w:t>
      </w:r>
      <w:r>
        <w:rPr>
          <w:color w:val="231F20"/>
          <w:spacing w:val="-9"/>
        </w:rPr>
        <w:t> </w:t>
      </w:r>
      <w:r>
        <w:rPr>
          <w:color w:val="231F20"/>
        </w:rPr>
        <w:t>un</w:t>
      </w:r>
      <w:r>
        <w:rPr>
          <w:color w:val="231F20"/>
          <w:spacing w:val="-9"/>
        </w:rPr>
        <w:t> </w:t>
      </w:r>
      <w:r>
        <w:rPr>
          <w:rFonts w:ascii="Arial" w:hAnsi="Arial"/>
          <w:i/>
          <w:color w:val="231F20"/>
          <w:spacing w:val="-3"/>
        </w:rPr>
        <w:t>significado</w:t>
      </w:r>
      <w:r>
        <w:rPr>
          <w:rFonts w:ascii="Arial" w:hAnsi="Arial"/>
          <w:i/>
          <w:color w:val="231F20"/>
          <w:spacing w:val="-2"/>
        </w:rPr>
        <w:t> </w:t>
      </w:r>
      <w:r>
        <w:rPr>
          <w:rFonts w:ascii="Arial" w:hAnsi="Arial"/>
          <w:i/>
          <w:color w:val="231F20"/>
          <w:spacing w:val="-3"/>
        </w:rPr>
        <w:t>compartido</w:t>
      </w:r>
      <w:r>
        <w:rPr>
          <w:rFonts w:ascii="Arial" w:hAnsi="Arial"/>
          <w:i/>
          <w:color w:val="231F20"/>
          <w:spacing w:val="-2"/>
        </w:rPr>
        <w:t> </w:t>
      </w:r>
      <w:r>
        <w:rPr>
          <w:color w:val="231F20"/>
        </w:rPr>
        <w:t>en</w:t>
      </w:r>
      <w:r>
        <w:rPr>
          <w:color w:val="231F20"/>
          <w:spacing w:val="-9"/>
        </w:rPr>
        <w:t> </w:t>
      </w:r>
      <w:r>
        <w:rPr>
          <w:color w:val="231F20"/>
        </w:rPr>
        <w:t>el</w:t>
      </w:r>
      <w:r>
        <w:rPr>
          <w:color w:val="231F20"/>
          <w:spacing w:val="-9"/>
        </w:rPr>
        <w:t> </w:t>
      </w:r>
      <w:r>
        <w:rPr>
          <w:color w:val="231F20"/>
          <w:spacing w:val="-3"/>
        </w:rPr>
        <w:t>nuevo</w:t>
      </w:r>
      <w:r>
        <w:rPr>
          <w:color w:val="231F20"/>
          <w:spacing w:val="-9"/>
        </w:rPr>
        <w:t> </w:t>
      </w:r>
      <w:r>
        <w:rPr>
          <w:color w:val="231F20"/>
          <w:spacing w:val="-3"/>
        </w:rPr>
        <w:t>rol</w:t>
      </w:r>
      <w:r>
        <w:rPr>
          <w:color w:val="231F20"/>
          <w:spacing w:val="-9"/>
        </w:rPr>
        <w:t> </w:t>
      </w:r>
      <w:r>
        <w:rPr>
          <w:color w:val="231F20"/>
        </w:rPr>
        <w:t>que</w:t>
      </w:r>
      <w:r>
        <w:rPr>
          <w:color w:val="231F20"/>
          <w:spacing w:val="-9"/>
        </w:rPr>
        <w:t> </w:t>
      </w:r>
      <w:r>
        <w:rPr>
          <w:color w:val="231F20"/>
          <w:spacing w:val="-3"/>
        </w:rPr>
        <w:t>juega</w:t>
      </w:r>
      <w:r>
        <w:rPr>
          <w:color w:val="231F20"/>
          <w:spacing w:val="-9"/>
        </w:rPr>
        <w:t> </w:t>
      </w:r>
      <w:r>
        <w:rPr>
          <w:color w:val="231F20"/>
          <w:spacing w:val="-3"/>
        </w:rPr>
        <w:t>ante</w:t>
      </w:r>
      <w:r>
        <w:rPr>
          <w:color w:val="231F20"/>
          <w:spacing w:val="-9"/>
        </w:rPr>
        <w:t> </w:t>
      </w:r>
      <w:r>
        <w:rPr>
          <w:color w:val="231F20"/>
        </w:rPr>
        <w:t>la</w:t>
      </w:r>
      <w:r>
        <w:rPr>
          <w:color w:val="231F20"/>
          <w:spacing w:val="-9"/>
        </w:rPr>
        <w:t> </w:t>
      </w:r>
      <w:r>
        <w:rPr>
          <w:color w:val="231F20"/>
          <w:spacing w:val="-3"/>
        </w:rPr>
        <w:t>glo- balización. </w:t>
      </w:r>
      <w:r>
        <w:rPr>
          <w:color w:val="231F20"/>
        </w:rPr>
        <w:t>Es </w:t>
      </w:r>
      <w:r>
        <w:rPr>
          <w:color w:val="231F20"/>
          <w:spacing w:val="-3"/>
        </w:rPr>
        <w:t>innegable </w:t>
      </w:r>
      <w:r>
        <w:rPr>
          <w:color w:val="231F20"/>
        </w:rPr>
        <w:t>que el </w:t>
      </w:r>
      <w:r>
        <w:rPr>
          <w:color w:val="231F20"/>
          <w:spacing w:val="-3"/>
        </w:rPr>
        <w:t>Estado </w:t>
      </w:r>
      <w:r>
        <w:rPr>
          <w:color w:val="231F20"/>
        </w:rPr>
        <w:t>ha </w:t>
      </w:r>
      <w:r>
        <w:rPr>
          <w:color w:val="231F20"/>
          <w:spacing w:val="-3"/>
        </w:rPr>
        <w:t>sufrido transformaciones radicales </w:t>
      </w:r>
      <w:r>
        <w:rPr>
          <w:color w:val="231F20"/>
        </w:rPr>
        <w:t>al</w:t>
      </w:r>
      <w:r>
        <w:rPr>
          <w:color w:val="231F20"/>
          <w:spacing w:val="-17"/>
        </w:rPr>
        <w:t> </w:t>
      </w:r>
      <w:r>
        <w:rPr>
          <w:color w:val="231F20"/>
          <w:spacing w:val="-3"/>
        </w:rPr>
        <w:t>pasar</w:t>
      </w:r>
      <w:r>
        <w:rPr>
          <w:color w:val="231F20"/>
          <w:spacing w:val="-17"/>
        </w:rPr>
        <w:t> </w:t>
      </w:r>
      <w:r>
        <w:rPr>
          <w:color w:val="231F20"/>
        </w:rPr>
        <w:t>de</w:t>
      </w:r>
      <w:r>
        <w:rPr>
          <w:color w:val="231F20"/>
          <w:spacing w:val="-17"/>
        </w:rPr>
        <w:t> </w:t>
      </w:r>
      <w:r>
        <w:rPr>
          <w:color w:val="231F20"/>
        </w:rPr>
        <w:t>su</w:t>
      </w:r>
      <w:r>
        <w:rPr>
          <w:color w:val="231F20"/>
          <w:spacing w:val="-17"/>
        </w:rPr>
        <w:t> </w:t>
      </w:r>
      <w:r>
        <w:rPr>
          <w:color w:val="231F20"/>
          <w:spacing w:val="-3"/>
        </w:rPr>
        <w:t>estatus</w:t>
      </w:r>
      <w:r>
        <w:rPr>
          <w:color w:val="231F20"/>
          <w:spacing w:val="-17"/>
        </w:rPr>
        <w:t> </w:t>
      </w:r>
      <w:r>
        <w:rPr>
          <w:color w:val="231F20"/>
          <w:spacing w:val="-3"/>
        </w:rPr>
        <w:t>moderno</w:t>
      </w:r>
      <w:r>
        <w:rPr>
          <w:color w:val="231F20"/>
          <w:spacing w:val="-17"/>
        </w:rPr>
        <w:t> </w:t>
      </w:r>
      <w:r>
        <w:rPr>
          <w:color w:val="231F20"/>
        </w:rPr>
        <w:t>a</w:t>
      </w:r>
      <w:r>
        <w:rPr>
          <w:color w:val="231F20"/>
          <w:spacing w:val="-17"/>
        </w:rPr>
        <w:t> </w:t>
      </w:r>
      <w:r>
        <w:rPr>
          <w:color w:val="231F20"/>
        </w:rPr>
        <w:t>uno</w:t>
      </w:r>
      <w:r>
        <w:rPr>
          <w:color w:val="231F20"/>
          <w:spacing w:val="-17"/>
        </w:rPr>
        <w:t> </w:t>
      </w:r>
      <w:r>
        <w:rPr>
          <w:color w:val="231F20"/>
          <w:spacing w:val="-3"/>
        </w:rPr>
        <w:t>global,</w:t>
      </w:r>
      <w:r>
        <w:rPr>
          <w:color w:val="231F20"/>
          <w:spacing w:val="-17"/>
        </w:rPr>
        <w:t> </w:t>
      </w:r>
      <w:r>
        <w:rPr>
          <w:color w:val="231F20"/>
        </w:rPr>
        <w:t>lo</w:t>
      </w:r>
      <w:r>
        <w:rPr>
          <w:color w:val="231F20"/>
          <w:spacing w:val="-17"/>
        </w:rPr>
        <w:t> </w:t>
      </w:r>
      <w:r>
        <w:rPr>
          <w:color w:val="231F20"/>
          <w:spacing w:val="-3"/>
        </w:rPr>
        <w:t>cual</w:t>
      </w:r>
      <w:r>
        <w:rPr>
          <w:color w:val="231F20"/>
          <w:spacing w:val="-17"/>
        </w:rPr>
        <w:t> </w:t>
      </w:r>
      <w:r>
        <w:rPr>
          <w:color w:val="231F20"/>
        </w:rPr>
        <w:t>nos</w:t>
      </w:r>
      <w:r>
        <w:rPr>
          <w:color w:val="231F20"/>
          <w:spacing w:val="-17"/>
        </w:rPr>
        <w:t> </w:t>
      </w:r>
      <w:r>
        <w:rPr>
          <w:color w:val="231F20"/>
          <w:spacing w:val="-3"/>
        </w:rPr>
        <w:t>lleva</w:t>
      </w:r>
      <w:r>
        <w:rPr>
          <w:color w:val="231F20"/>
          <w:spacing w:val="-17"/>
        </w:rPr>
        <w:t> </w:t>
      </w:r>
      <w:r>
        <w:rPr>
          <w:color w:val="231F20"/>
        </w:rPr>
        <w:t>a</w:t>
      </w:r>
      <w:r>
        <w:rPr>
          <w:color w:val="231F20"/>
          <w:spacing w:val="-17"/>
        </w:rPr>
        <w:t> </w:t>
      </w:r>
      <w:r>
        <w:rPr>
          <w:color w:val="231F20"/>
          <w:spacing w:val="-3"/>
        </w:rPr>
        <w:t>constatar</w:t>
      </w:r>
      <w:r>
        <w:rPr>
          <w:color w:val="231F20"/>
          <w:spacing w:val="-17"/>
        </w:rPr>
        <w:t> </w:t>
      </w:r>
      <w:r>
        <w:rPr>
          <w:color w:val="231F20"/>
          <w:spacing w:val="-3"/>
        </w:rPr>
        <w:t>que </w:t>
      </w:r>
      <w:r>
        <w:rPr>
          <w:color w:val="231F20"/>
        </w:rPr>
        <w:t>su</w:t>
      </w:r>
      <w:r>
        <w:rPr>
          <w:color w:val="231F20"/>
          <w:spacing w:val="-13"/>
        </w:rPr>
        <w:t> </w:t>
      </w:r>
      <w:r>
        <w:rPr>
          <w:color w:val="231F20"/>
          <w:spacing w:val="-3"/>
        </w:rPr>
        <w:t>historia,</w:t>
      </w:r>
      <w:r>
        <w:rPr>
          <w:color w:val="231F20"/>
          <w:spacing w:val="-13"/>
        </w:rPr>
        <w:t> </w:t>
      </w:r>
      <w:r>
        <w:rPr>
          <w:color w:val="231F20"/>
          <w:spacing w:val="-3"/>
        </w:rPr>
        <w:t>lejos</w:t>
      </w:r>
      <w:r>
        <w:rPr>
          <w:color w:val="231F20"/>
          <w:spacing w:val="-13"/>
        </w:rPr>
        <w:t> </w:t>
      </w:r>
      <w:r>
        <w:rPr>
          <w:color w:val="231F20"/>
        </w:rPr>
        <w:t>de</w:t>
      </w:r>
      <w:r>
        <w:rPr>
          <w:color w:val="231F20"/>
          <w:spacing w:val="-13"/>
        </w:rPr>
        <w:t> </w:t>
      </w:r>
      <w:r>
        <w:rPr>
          <w:color w:val="231F20"/>
        </w:rPr>
        <w:t>ser</w:t>
      </w:r>
      <w:r>
        <w:rPr>
          <w:color w:val="231F20"/>
          <w:spacing w:val="-13"/>
        </w:rPr>
        <w:t> </w:t>
      </w:r>
      <w:r>
        <w:rPr>
          <w:color w:val="231F20"/>
          <w:spacing w:val="-3"/>
        </w:rPr>
        <w:t>continua,</w:t>
      </w:r>
      <w:r>
        <w:rPr>
          <w:color w:val="231F20"/>
          <w:spacing w:val="-13"/>
        </w:rPr>
        <w:t> </w:t>
      </w:r>
      <w:r>
        <w:rPr>
          <w:color w:val="231F20"/>
          <w:spacing w:val="-3"/>
        </w:rPr>
        <w:t>está</w:t>
      </w:r>
      <w:r>
        <w:rPr>
          <w:color w:val="231F20"/>
          <w:spacing w:val="-13"/>
        </w:rPr>
        <w:t> </w:t>
      </w:r>
      <w:r>
        <w:rPr>
          <w:color w:val="231F20"/>
          <w:spacing w:val="-3"/>
        </w:rPr>
        <w:t>surcada</w:t>
      </w:r>
      <w:r>
        <w:rPr>
          <w:color w:val="231F20"/>
          <w:spacing w:val="-13"/>
        </w:rPr>
        <w:t> </w:t>
      </w:r>
      <w:r>
        <w:rPr>
          <w:color w:val="231F20"/>
        </w:rPr>
        <w:t>por</w:t>
      </w:r>
      <w:r>
        <w:rPr>
          <w:color w:val="231F20"/>
          <w:spacing w:val="-13"/>
        </w:rPr>
        <w:t> </w:t>
      </w:r>
      <w:r>
        <w:rPr>
          <w:color w:val="231F20"/>
          <w:spacing w:val="-3"/>
        </w:rPr>
        <w:t>cortes</w:t>
      </w:r>
      <w:r>
        <w:rPr>
          <w:color w:val="231F20"/>
          <w:spacing w:val="-13"/>
        </w:rPr>
        <w:t> </w:t>
      </w:r>
      <w:r>
        <w:rPr>
          <w:color w:val="231F20"/>
        </w:rPr>
        <w:t>y</w:t>
      </w:r>
      <w:r>
        <w:rPr>
          <w:color w:val="231F20"/>
          <w:spacing w:val="-13"/>
        </w:rPr>
        <w:t> </w:t>
      </w:r>
      <w:r>
        <w:rPr>
          <w:color w:val="231F20"/>
          <w:spacing w:val="-3"/>
        </w:rPr>
        <w:t>alteraciones</w:t>
      </w:r>
      <w:r>
        <w:rPr>
          <w:color w:val="231F20"/>
          <w:spacing w:val="-13"/>
        </w:rPr>
        <w:t> </w:t>
      </w:r>
      <w:r>
        <w:rPr>
          <w:color w:val="231F20"/>
          <w:spacing w:val="-3"/>
        </w:rPr>
        <w:t>drás- ticas.</w:t>
      </w:r>
      <w:r>
        <w:rPr>
          <w:color w:val="231F20"/>
          <w:spacing w:val="-14"/>
        </w:rPr>
        <w:t> </w:t>
      </w:r>
      <w:r>
        <w:rPr>
          <w:color w:val="231F20"/>
        </w:rPr>
        <w:t>Por</w:t>
      </w:r>
      <w:r>
        <w:rPr>
          <w:color w:val="231F20"/>
          <w:spacing w:val="-14"/>
        </w:rPr>
        <w:t> </w:t>
      </w:r>
      <w:r>
        <w:rPr>
          <w:color w:val="231F20"/>
          <w:spacing w:val="-3"/>
        </w:rPr>
        <w:t>ejemplo,</w:t>
      </w:r>
      <w:r>
        <w:rPr>
          <w:color w:val="231F20"/>
          <w:spacing w:val="-14"/>
        </w:rPr>
        <w:t> </w:t>
      </w:r>
      <w:r>
        <w:rPr>
          <w:color w:val="231F20"/>
        </w:rPr>
        <w:t>si</w:t>
      </w:r>
      <w:r>
        <w:rPr>
          <w:color w:val="231F20"/>
          <w:spacing w:val="-14"/>
        </w:rPr>
        <w:t> </w:t>
      </w:r>
      <w:r>
        <w:rPr>
          <w:color w:val="231F20"/>
          <w:spacing w:val="-3"/>
        </w:rPr>
        <w:t>antes</w:t>
      </w:r>
      <w:r>
        <w:rPr>
          <w:color w:val="231F20"/>
          <w:spacing w:val="-14"/>
        </w:rPr>
        <w:t> </w:t>
      </w:r>
      <w:r>
        <w:rPr>
          <w:color w:val="231F20"/>
        </w:rPr>
        <w:t>el</w:t>
      </w:r>
      <w:r>
        <w:rPr>
          <w:color w:val="231F20"/>
          <w:spacing w:val="-14"/>
        </w:rPr>
        <w:t> </w:t>
      </w:r>
      <w:r>
        <w:rPr>
          <w:color w:val="231F20"/>
          <w:spacing w:val="-3"/>
        </w:rPr>
        <w:t>“pueblo</w:t>
      </w:r>
      <w:r>
        <w:rPr>
          <w:color w:val="231F20"/>
          <w:spacing w:val="-14"/>
        </w:rPr>
        <w:t> </w:t>
      </w:r>
      <w:r>
        <w:rPr>
          <w:color w:val="231F20"/>
        </w:rPr>
        <w:t>era</w:t>
      </w:r>
      <w:r>
        <w:rPr>
          <w:color w:val="231F20"/>
          <w:spacing w:val="-14"/>
        </w:rPr>
        <w:t> </w:t>
      </w:r>
      <w:r>
        <w:rPr>
          <w:color w:val="231F20"/>
        </w:rPr>
        <w:t>la</w:t>
      </w:r>
      <w:r>
        <w:rPr>
          <w:color w:val="231F20"/>
          <w:spacing w:val="-14"/>
        </w:rPr>
        <w:t> </w:t>
      </w:r>
      <w:r>
        <w:rPr>
          <w:color w:val="231F20"/>
          <w:spacing w:val="-3"/>
        </w:rPr>
        <w:t>solución</w:t>
      </w:r>
      <w:r>
        <w:rPr>
          <w:color w:val="231F20"/>
          <w:spacing w:val="-14"/>
        </w:rPr>
        <w:t> </w:t>
      </w:r>
      <w:r>
        <w:rPr>
          <w:color w:val="231F20"/>
          <w:spacing w:val="-3"/>
        </w:rPr>
        <w:t>siempre</w:t>
      </w:r>
      <w:r>
        <w:rPr>
          <w:color w:val="231F20"/>
          <w:spacing w:val="-14"/>
        </w:rPr>
        <w:t> </w:t>
      </w:r>
      <w:r>
        <w:rPr>
          <w:color w:val="231F20"/>
          <w:spacing w:val="-3"/>
        </w:rPr>
        <w:t>dada</w:t>
      </w:r>
      <w:r>
        <w:rPr>
          <w:color w:val="231F20"/>
          <w:spacing w:val="-14"/>
        </w:rPr>
        <w:t> </w:t>
      </w:r>
      <w:r>
        <w:rPr>
          <w:color w:val="231F20"/>
        </w:rPr>
        <w:t>al</w:t>
      </w:r>
      <w:r>
        <w:rPr>
          <w:color w:val="231F20"/>
          <w:spacing w:val="-14"/>
        </w:rPr>
        <w:t> </w:t>
      </w:r>
      <w:r>
        <w:rPr>
          <w:color w:val="231F20"/>
          <w:spacing w:val="-3"/>
        </w:rPr>
        <w:t>enigma </w:t>
      </w:r>
      <w:r>
        <w:rPr>
          <w:color w:val="231F20"/>
        </w:rPr>
        <w:t>del </w:t>
      </w:r>
      <w:r>
        <w:rPr>
          <w:color w:val="231F20"/>
          <w:spacing w:val="-3"/>
        </w:rPr>
        <w:t>Estado democrático”, </w:t>
      </w:r>
      <w:r>
        <w:rPr>
          <w:color w:val="231F20"/>
        </w:rPr>
        <w:t>a </w:t>
      </w:r>
      <w:r>
        <w:rPr>
          <w:color w:val="231F20"/>
          <w:spacing w:val="-3"/>
        </w:rPr>
        <w:t>partir </w:t>
      </w:r>
      <w:r>
        <w:rPr>
          <w:color w:val="231F20"/>
        </w:rPr>
        <w:t>de los </w:t>
      </w:r>
      <w:r>
        <w:rPr>
          <w:color w:val="231F20"/>
          <w:spacing w:val="-3"/>
        </w:rPr>
        <w:t>años ochenta aquél </w:t>
      </w:r>
      <w:r>
        <w:rPr>
          <w:color w:val="231F20"/>
        </w:rPr>
        <w:t>ha </w:t>
      </w:r>
      <w:r>
        <w:rPr>
          <w:color w:val="231F20"/>
          <w:spacing w:val="-3"/>
        </w:rPr>
        <w:t>dejado de </w:t>
      </w:r>
      <w:r>
        <w:rPr>
          <w:color w:val="231F20"/>
        </w:rPr>
        <w:t>ser </w:t>
      </w:r>
      <w:r>
        <w:rPr>
          <w:color w:val="231F20"/>
          <w:spacing w:val="-3"/>
        </w:rPr>
        <w:t>sujeto político para convertirse </w:t>
      </w:r>
      <w:r>
        <w:rPr>
          <w:color w:val="231F20"/>
        </w:rPr>
        <w:t>en </w:t>
      </w:r>
      <w:r>
        <w:rPr>
          <w:color w:val="231F20"/>
          <w:spacing w:val="-3"/>
        </w:rPr>
        <w:t>objeto </w:t>
      </w:r>
      <w:r>
        <w:rPr>
          <w:color w:val="231F20"/>
        </w:rPr>
        <w:t>de las </w:t>
      </w:r>
      <w:r>
        <w:rPr>
          <w:color w:val="231F20"/>
          <w:spacing w:val="-3"/>
        </w:rPr>
        <w:t>políticas </w:t>
      </w:r>
      <w:r>
        <w:rPr>
          <w:color w:val="231F20"/>
        </w:rPr>
        <w:t>de un </w:t>
      </w:r>
      <w:r>
        <w:rPr>
          <w:color w:val="231F20"/>
          <w:spacing w:val="-3"/>
        </w:rPr>
        <w:t>gobierno cada </w:t>
      </w:r>
      <w:r>
        <w:rPr>
          <w:color w:val="231F20"/>
        </w:rPr>
        <w:t>vez más </w:t>
      </w:r>
      <w:r>
        <w:rPr>
          <w:color w:val="231F20"/>
          <w:spacing w:val="-3"/>
        </w:rPr>
        <w:t>ajeno </w:t>
      </w:r>
      <w:r>
        <w:rPr>
          <w:color w:val="231F20"/>
        </w:rPr>
        <w:t>a los </w:t>
      </w:r>
      <w:r>
        <w:rPr>
          <w:color w:val="231F20"/>
          <w:spacing w:val="-3"/>
        </w:rPr>
        <w:t>ideales </w:t>
      </w:r>
      <w:r>
        <w:rPr>
          <w:color w:val="231F20"/>
        </w:rPr>
        <w:t>del </w:t>
      </w:r>
      <w:r>
        <w:rPr>
          <w:color w:val="231F20"/>
          <w:spacing w:val="-3"/>
        </w:rPr>
        <w:t>Estado</w:t>
      </w:r>
      <w:r>
        <w:rPr>
          <w:color w:val="231F20"/>
          <w:spacing w:val="-20"/>
        </w:rPr>
        <w:t> </w:t>
      </w:r>
      <w:r>
        <w:rPr>
          <w:color w:val="231F20"/>
          <w:spacing w:val="-3"/>
        </w:rPr>
        <w:t>democrático.</w:t>
      </w:r>
    </w:p>
    <w:p>
      <w:pPr>
        <w:pStyle w:val="BodyText"/>
        <w:spacing w:line="247" w:lineRule="auto"/>
        <w:ind w:left="117" w:right="101" w:firstLine="566"/>
        <w:jc w:val="both"/>
      </w:pPr>
      <w:r>
        <w:rPr>
          <w:color w:val="231F20"/>
          <w:w w:val="105"/>
        </w:rPr>
        <w:t>En “Naturalizar las paradojas: un acercamiento a la globalización desde</w:t>
      </w:r>
      <w:r>
        <w:rPr>
          <w:color w:val="231F20"/>
          <w:spacing w:val="-20"/>
          <w:w w:val="105"/>
        </w:rPr>
        <w:t> </w:t>
      </w:r>
      <w:r>
        <w:rPr>
          <w:color w:val="231F20"/>
          <w:w w:val="105"/>
        </w:rPr>
        <w:t>Gilles</w:t>
      </w:r>
      <w:r>
        <w:rPr>
          <w:color w:val="231F20"/>
          <w:spacing w:val="-20"/>
          <w:w w:val="105"/>
        </w:rPr>
        <w:t> </w:t>
      </w:r>
      <w:r>
        <w:rPr>
          <w:color w:val="231F20"/>
          <w:w w:val="105"/>
        </w:rPr>
        <w:t>Deleuze”,</w:t>
      </w:r>
      <w:r>
        <w:rPr>
          <w:color w:val="231F20"/>
          <w:spacing w:val="-20"/>
          <w:w w:val="105"/>
        </w:rPr>
        <w:t> </w:t>
      </w:r>
      <w:r>
        <w:rPr>
          <w:color w:val="231F20"/>
          <w:w w:val="105"/>
        </w:rPr>
        <w:t>María</w:t>
      </w:r>
      <w:r>
        <w:rPr>
          <w:color w:val="231F20"/>
          <w:spacing w:val="-20"/>
          <w:w w:val="105"/>
        </w:rPr>
        <w:t> </w:t>
      </w:r>
      <w:r>
        <w:rPr>
          <w:color w:val="231F20"/>
          <w:w w:val="105"/>
        </w:rPr>
        <w:t>Luisa</w:t>
      </w:r>
      <w:r>
        <w:rPr>
          <w:color w:val="231F20"/>
          <w:spacing w:val="-20"/>
          <w:w w:val="105"/>
        </w:rPr>
        <w:t> </w:t>
      </w:r>
      <w:r>
        <w:rPr>
          <w:color w:val="231F20"/>
          <w:w w:val="105"/>
        </w:rPr>
        <w:t>Bacarlett</w:t>
      </w:r>
      <w:r>
        <w:rPr>
          <w:color w:val="231F20"/>
          <w:spacing w:val="-20"/>
          <w:w w:val="105"/>
        </w:rPr>
        <w:t> </w:t>
      </w:r>
      <w:r>
        <w:rPr>
          <w:color w:val="231F20"/>
          <w:w w:val="105"/>
        </w:rPr>
        <w:t>Pérez</w:t>
      </w:r>
      <w:r>
        <w:rPr>
          <w:color w:val="231F20"/>
          <w:spacing w:val="-20"/>
          <w:w w:val="105"/>
        </w:rPr>
        <w:t> </w:t>
      </w:r>
      <w:r>
        <w:rPr>
          <w:color w:val="231F20"/>
          <w:w w:val="105"/>
        </w:rPr>
        <w:t>destaca</w:t>
      </w:r>
      <w:r>
        <w:rPr>
          <w:color w:val="231F20"/>
          <w:spacing w:val="-20"/>
          <w:w w:val="105"/>
        </w:rPr>
        <w:t> </w:t>
      </w:r>
      <w:r>
        <w:rPr>
          <w:color w:val="231F20"/>
          <w:w w:val="105"/>
        </w:rPr>
        <w:t>puntos</w:t>
      </w:r>
      <w:r>
        <w:rPr>
          <w:color w:val="231F20"/>
          <w:spacing w:val="-20"/>
          <w:w w:val="105"/>
        </w:rPr>
        <w:t> </w:t>
      </w:r>
      <w:r>
        <w:rPr>
          <w:color w:val="231F20"/>
          <w:w w:val="105"/>
        </w:rPr>
        <w:t>intere- santes</w:t>
      </w:r>
      <w:r>
        <w:rPr>
          <w:color w:val="231F20"/>
          <w:spacing w:val="-19"/>
          <w:w w:val="105"/>
        </w:rPr>
        <w:t> </w:t>
      </w:r>
      <w:r>
        <w:rPr>
          <w:color w:val="231F20"/>
          <w:w w:val="105"/>
        </w:rPr>
        <w:t>sobre</w:t>
      </w:r>
      <w:r>
        <w:rPr>
          <w:color w:val="231F20"/>
          <w:spacing w:val="-18"/>
          <w:w w:val="105"/>
        </w:rPr>
        <w:t> </w:t>
      </w:r>
      <w:r>
        <w:rPr>
          <w:color w:val="231F20"/>
          <w:w w:val="105"/>
        </w:rPr>
        <w:t>la</w:t>
      </w:r>
      <w:r>
        <w:rPr>
          <w:color w:val="231F20"/>
          <w:spacing w:val="-18"/>
          <w:w w:val="105"/>
        </w:rPr>
        <w:t> </w:t>
      </w:r>
      <w:r>
        <w:rPr>
          <w:color w:val="231F20"/>
          <w:w w:val="105"/>
        </w:rPr>
        <w:t>paradoja</w:t>
      </w:r>
      <w:r>
        <w:rPr>
          <w:color w:val="231F20"/>
          <w:spacing w:val="-18"/>
          <w:w w:val="105"/>
        </w:rPr>
        <w:t> </w:t>
      </w:r>
      <w:r>
        <w:rPr>
          <w:color w:val="231F20"/>
          <w:w w:val="105"/>
        </w:rPr>
        <w:t>intrínseca</w:t>
      </w:r>
      <w:r>
        <w:rPr>
          <w:color w:val="231F20"/>
          <w:spacing w:val="-18"/>
          <w:w w:val="105"/>
        </w:rPr>
        <w:t> </w:t>
      </w:r>
      <w:r>
        <w:rPr>
          <w:color w:val="231F20"/>
          <w:w w:val="105"/>
        </w:rPr>
        <w:t>de</w:t>
      </w:r>
      <w:r>
        <w:rPr>
          <w:color w:val="231F20"/>
          <w:spacing w:val="-19"/>
          <w:w w:val="105"/>
        </w:rPr>
        <w:t> </w:t>
      </w:r>
      <w:r>
        <w:rPr>
          <w:color w:val="231F20"/>
          <w:w w:val="105"/>
        </w:rPr>
        <w:t>la</w:t>
      </w:r>
      <w:r>
        <w:rPr>
          <w:color w:val="231F20"/>
          <w:spacing w:val="-18"/>
          <w:w w:val="105"/>
        </w:rPr>
        <w:t> </w:t>
      </w:r>
      <w:r>
        <w:rPr>
          <w:color w:val="231F20"/>
          <w:w w:val="105"/>
        </w:rPr>
        <w:t>globalización,</w:t>
      </w:r>
      <w:r>
        <w:rPr>
          <w:color w:val="231F20"/>
          <w:spacing w:val="-19"/>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resume</w:t>
      </w:r>
      <w:r>
        <w:rPr>
          <w:color w:val="231F20"/>
          <w:spacing w:val="-19"/>
          <w:w w:val="105"/>
        </w:rPr>
        <w:t> </w:t>
      </w:r>
      <w:r>
        <w:rPr>
          <w:color w:val="231F20"/>
          <w:w w:val="105"/>
        </w:rPr>
        <w:t>en la dicotomía global–local. No son pocos los autores que han subrayado el carácter paradójico entre la fuerza heterogeneizadora de lo local y</w:t>
      </w:r>
      <w:r>
        <w:rPr>
          <w:color w:val="231F20"/>
          <w:spacing w:val="-9"/>
          <w:w w:val="105"/>
        </w:rPr>
        <w:t> </w:t>
      </w:r>
      <w:r>
        <w:rPr>
          <w:color w:val="231F20"/>
          <w:w w:val="105"/>
        </w:rPr>
        <w:t>la fuerza</w:t>
      </w:r>
      <w:r>
        <w:rPr>
          <w:color w:val="231F20"/>
          <w:spacing w:val="-30"/>
          <w:w w:val="105"/>
        </w:rPr>
        <w:t> </w:t>
      </w:r>
      <w:r>
        <w:rPr>
          <w:color w:val="231F20"/>
          <w:w w:val="105"/>
        </w:rPr>
        <w:t>homogeneizadora</w:t>
      </w:r>
      <w:r>
        <w:rPr>
          <w:color w:val="231F20"/>
          <w:spacing w:val="-30"/>
          <w:w w:val="105"/>
        </w:rPr>
        <w:t> </w:t>
      </w:r>
      <w:r>
        <w:rPr>
          <w:color w:val="231F20"/>
          <w:w w:val="105"/>
        </w:rPr>
        <w:t>de</w:t>
      </w:r>
      <w:r>
        <w:rPr>
          <w:color w:val="231F20"/>
          <w:spacing w:val="-30"/>
          <w:w w:val="105"/>
        </w:rPr>
        <w:t> </w:t>
      </w:r>
      <w:r>
        <w:rPr>
          <w:color w:val="231F20"/>
          <w:w w:val="105"/>
        </w:rPr>
        <w:t>lo</w:t>
      </w:r>
      <w:r>
        <w:rPr>
          <w:color w:val="231F20"/>
          <w:spacing w:val="-30"/>
          <w:w w:val="105"/>
        </w:rPr>
        <w:t> </w:t>
      </w:r>
      <w:r>
        <w:rPr>
          <w:color w:val="231F20"/>
          <w:w w:val="105"/>
        </w:rPr>
        <w:t>global.</w:t>
      </w:r>
      <w:r>
        <w:rPr>
          <w:color w:val="231F20"/>
          <w:spacing w:val="-30"/>
          <w:w w:val="105"/>
        </w:rPr>
        <w:t> </w:t>
      </w:r>
      <w:r>
        <w:rPr>
          <w:color w:val="231F20"/>
          <w:w w:val="105"/>
        </w:rPr>
        <w:t>La</w:t>
      </w:r>
      <w:r>
        <w:rPr>
          <w:color w:val="231F20"/>
          <w:spacing w:val="-30"/>
          <w:w w:val="105"/>
        </w:rPr>
        <w:t> </w:t>
      </w:r>
      <w:r>
        <w:rPr>
          <w:color w:val="231F20"/>
          <w:w w:val="105"/>
        </w:rPr>
        <w:t>autora</w:t>
      </w:r>
      <w:r>
        <w:rPr>
          <w:color w:val="231F20"/>
          <w:spacing w:val="-30"/>
          <w:w w:val="105"/>
        </w:rPr>
        <w:t> </w:t>
      </w:r>
      <w:r>
        <w:rPr>
          <w:color w:val="231F20"/>
          <w:w w:val="105"/>
        </w:rPr>
        <w:t>identifica</w:t>
      </w:r>
      <w:r>
        <w:rPr>
          <w:color w:val="231F20"/>
          <w:spacing w:val="-30"/>
          <w:w w:val="105"/>
        </w:rPr>
        <w:t> </w:t>
      </w:r>
      <w:r>
        <w:rPr>
          <w:color w:val="231F20"/>
          <w:w w:val="105"/>
        </w:rPr>
        <w:t>cinco</w:t>
      </w:r>
      <w:r>
        <w:rPr>
          <w:color w:val="231F20"/>
          <w:spacing w:val="-30"/>
          <w:w w:val="105"/>
        </w:rPr>
        <w:t> </w:t>
      </w:r>
      <w:r>
        <w:rPr>
          <w:color w:val="231F20"/>
          <w:w w:val="105"/>
        </w:rPr>
        <w:t>paradojas centrales</w:t>
      </w:r>
      <w:r>
        <w:rPr>
          <w:color w:val="231F20"/>
          <w:spacing w:val="-9"/>
          <w:w w:val="105"/>
        </w:rPr>
        <w:t> </w:t>
      </w:r>
      <w:r>
        <w:rPr>
          <w:color w:val="231F20"/>
          <w:w w:val="105"/>
        </w:rPr>
        <w:t>relacionadas</w:t>
      </w:r>
      <w:r>
        <w:rPr>
          <w:color w:val="231F20"/>
          <w:spacing w:val="-9"/>
          <w:w w:val="105"/>
        </w:rPr>
        <w:t> </w:t>
      </w:r>
      <w:r>
        <w:rPr>
          <w:color w:val="231F20"/>
          <w:w w:val="105"/>
        </w:rPr>
        <w:t>con</w:t>
      </w:r>
      <w:r>
        <w:rPr>
          <w:color w:val="231F20"/>
          <w:spacing w:val="-9"/>
          <w:w w:val="105"/>
        </w:rPr>
        <w:t> </w:t>
      </w:r>
      <w:r>
        <w:rPr>
          <w:color w:val="231F20"/>
          <w:w w:val="105"/>
        </w:rPr>
        <w:t>la</w:t>
      </w:r>
      <w:r>
        <w:rPr>
          <w:color w:val="231F20"/>
          <w:spacing w:val="-9"/>
          <w:w w:val="105"/>
        </w:rPr>
        <w:t> </w:t>
      </w:r>
      <w:r>
        <w:rPr>
          <w:color w:val="231F20"/>
          <w:w w:val="105"/>
        </w:rPr>
        <w:t>dicotomía</w:t>
      </w:r>
      <w:r>
        <w:rPr>
          <w:color w:val="231F20"/>
          <w:spacing w:val="-9"/>
          <w:w w:val="105"/>
        </w:rPr>
        <w:t> </w:t>
      </w:r>
      <w:r>
        <w:rPr>
          <w:color w:val="231F20"/>
          <w:w w:val="105"/>
        </w:rPr>
        <w:t>global–local:</w:t>
      </w:r>
      <w:r>
        <w:rPr>
          <w:color w:val="231F20"/>
          <w:spacing w:val="-9"/>
          <w:w w:val="105"/>
        </w:rPr>
        <w:t> </w:t>
      </w:r>
      <w:r>
        <w:rPr>
          <w:color w:val="231F20"/>
          <w:w w:val="105"/>
        </w:rPr>
        <w:t>homogeneización– heterogeneización,</w:t>
      </w:r>
      <w:r>
        <w:rPr>
          <w:color w:val="231F20"/>
          <w:spacing w:val="-25"/>
          <w:w w:val="105"/>
        </w:rPr>
        <w:t> </w:t>
      </w:r>
      <w:r>
        <w:rPr>
          <w:color w:val="231F20"/>
          <w:w w:val="105"/>
        </w:rPr>
        <w:t>totalidad–parcialidad,</w:t>
      </w:r>
      <w:r>
        <w:rPr>
          <w:color w:val="231F20"/>
          <w:spacing w:val="-25"/>
          <w:w w:val="105"/>
        </w:rPr>
        <w:t> </w:t>
      </w:r>
      <w:r>
        <w:rPr>
          <w:color w:val="231F20"/>
          <w:w w:val="105"/>
        </w:rPr>
        <w:t>finitud–pluralidad,</w:t>
      </w:r>
      <w:r>
        <w:rPr>
          <w:color w:val="231F20"/>
          <w:spacing w:val="-25"/>
          <w:w w:val="105"/>
        </w:rPr>
        <w:t> </w:t>
      </w:r>
      <w:r>
        <w:rPr>
          <w:color w:val="231F20"/>
          <w:w w:val="105"/>
        </w:rPr>
        <w:t>origen–fin</w:t>
      </w:r>
      <w:r>
        <w:rPr>
          <w:color w:val="231F20"/>
          <w:spacing w:val="-25"/>
          <w:w w:val="105"/>
        </w:rPr>
        <w:t> </w:t>
      </w:r>
      <w:r>
        <w:rPr>
          <w:color w:val="231F20"/>
          <w:w w:val="105"/>
        </w:rPr>
        <w:t>y centro–márgenes.</w:t>
      </w:r>
      <w:r>
        <w:rPr>
          <w:color w:val="231F20"/>
          <w:spacing w:val="-20"/>
          <w:w w:val="105"/>
        </w:rPr>
        <w:t> </w:t>
      </w:r>
      <w:r>
        <w:rPr>
          <w:color w:val="231F20"/>
          <w:spacing w:val="-5"/>
          <w:w w:val="105"/>
        </w:rPr>
        <w:t>Tales</w:t>
      </w:r>
      <w:r>
        <w:rPr>
          <w:color w:val="231F20"/>
          <w:spacing w:val="-20"/>
          <w:w w:val="105"/>
        </w:rPr>
        <w:t> </w:t>
      </w:r>
      <w:r>
        <w:rPr>
          <w:color w:val="231F20"/>
          <w:w w:val="105"/>
        </w:rPr>
        <w:t>paradojas</w:t>
      </w:r>
      <w:r>
        <w:rPr>
          <w:color w:val="231F20"/>
          <w:spacing w:val="-20"/>
          <w:w w:val="105"/>
        </w:rPr>
        <w:t> </w:t>
      </w:r>
      <w:r>
        <w:rPr>
          <w:color w:val="231F20"/>
          <w:w w:val="105"/>
        </w:rPr>
        <w:t>enfrentan</w:t>
      </w:r>
      <w:r>
        <w:rPr>
          <w:color w:val="231F20"/>
          <w:spacing w:val="-20"/>
          <w:w w:val="105"/>
        </w:rPr>
        <w:t> </w:t>
      </w:r>
      <w:r>
        <w:rPr>
          <w:color w:val="231F20"/>
          <w:w w:val="105"/>
        </w:rPr>
        <w:t>dos</w:t>
      </w:r>
      <w:r>
        <w:rPr>
          <w:color w:val="231F20"/>
          <w:spacing w:val="-20"/>
          <w:w w:val="105"/>
        </w:rPr>
        <w:t> </w:t>
      </w:r>
      <w:r>
        <w:rPr>
          <w:color w:val="231F20"/>
          <w:w w:val="105"/>
        </w:rPr>
        <w:t>contrarios</w:t>
      </w:r>
      <w:r>
        <w:rPr>
          <w:color w:val="231F20"/>
          <w:spacing w:val="-20"/>
          <w:w w:val="105"/>
        </w:rPr>
        <w:t> </w:t>
      </w:r>
      <w:r>
        <w:rPr>
          <w:color w:val="231F20"/>
          <w:w w:val="105"/>
        </w:rPr>
        <w:t>que,</w:t>
      </w:r>
      <w:r>
        <w:rPr>
          <w:color w:val="231F20"/>
          <w:spacing w:val="-20"/>
          <w:w w:val="105"/>
        </w:rPr>
        <w:t> </w:t>
      </w:r>
      <w:r>
        <w:rPr>
          <w:color w:val="231F20"/>
          <w:w w:val="105"/>
        </w:rPr>
        <w:t>sin</w:t>
      </w:r>
      <w:r>
        <w:rPr>
          <w:color w:val="231F20"/>
          <w:spacing w:val="-20"/>
          <w:w w:val="105"/>
        </w:rPr>
        <w:t> </w:t>
      </w:r>
      <w:r>
        <w:rPr>
          <w:color w:val="231F20"/>
          <w:w w:val="105"/>
        </w:rPr>
        <w:t>em- bargo,</w:t>
      </w:r>
      <w:r>
        <w:rPr>
          <w:color w:val="231F20"/>
          <w:spacing w:val="-21"/>
          <w:w w:val="105"/>
        </w:rPr>
        <w:t> </w:t>
      </w:r>
      <w:r>
        <w:rPr>
          <w:color w:val="231F20"/>
          <w:w w:val="105"/>
        </w:rPr>
        <w:t>se</w:t>
      </w:r>
      <w:r>
        <w:rPr>
          <w:color w:val="231F20"/>
          <w:spacing w:val="-21"/>
          <w:w w:val="105"/>
        </w:rPr>
        <w:t> </w:t>
      </w:r>
      <w:r>
        <w:rPr>
          <w:color w:val="231F20"/>
          <w:w w:val="105"/>
        </w:rPr>
        <w:t>tocan</w:t>
      </w:r>
      <w:r>
        <w:rPr>
          <w:color w:val="231F20"/>
          <w:spacing w:val="-21"/>
          <w:w w:val="105"/>
        </w:rPr>
        <w:t> </w:t>
      </w:r>
      <w:r>
        <w:rPr>
          <w:color w:val="231F20"/>
          <w:w w:val="105"/>
        </w:rPr>
        <w:t>y</w:t>
      </w:r>
      <w:r>
        <w:rPr>
          <w:color w:val="231F20"/>
          <w:spacing w:val="-21"/>
          <w:w w:val="105"/>
        </w:rPr>
        <w:t> </w:t>
      </w:r>
      <w:r>
        <w:rPr>
          <w:color w:val="231F20"/>
          <w:w w:val="105"/>
        </w:rPr>
        <w:t>complementan,</w:t>
      </w:r>
      <w:r>
        <w:rPr>
          <w:color w:val="231F20"/>
          <w:spacing w:val="-21"/>
          <w:w w:val="105"/>
        </w:rPr>
        <w:t> </w:t>
      </w:r>
      <w:r>
        <w:rPr>
          <w:color w:val="231F20"/>
          <w:w w:val="105"/>
        </w:rPr>
        <w:t>como</w:t>
      </w:r>
      <w:r>
        <w:rPr>
          <w:color w:val="231F20"/>
          <w:spacing w:val="-21"/>
          <w:w w:val="105"/>
        </w:rPr>
        <w:t> </w:t>
      </w:r>
      <w:r>
        <w:rPr>
          <w:color w:val="231F20"/>
          <w:w w:val="105"/>
        </w:rPr>
        <w:t>lo</w:t>
      </w:r>
      <w:r>
        <w:rPr>
          <w:color w:val="231F20"/>
          <w:spacing w:val="-21"/>
          <w:w w:val="105"/>
        </w:rPr>
        <w:t> </w:t>
      </w:r>
      <w:r>
        <w:rPr>
          <w:color w:val="231F20"/>
          <w:w w:val="105"/>
        </w:rPr>
        <w:t>demuestra</w:t>
      </w:r>
      <w:r>
        <w:rPr>
          <w:color w:val="231F20"/>
          <w:spacing w:val="-21"/>
          <w:w w:val="105"/>
        </w:rPr>
        <w:t> </w:t>
      </w:r>
      <w:r>
        <w:rPr>
          <w:color w:val="231F20"/>
          <w:w w:val="105"/>
        </w:rPr>
        <w:t>el</w:t>
      </w:r>
      <w:r>
        <w:rPr>
          <w:color w:val="231F20"/>
          <w:spacing w:val="-21"/>
          <w:w w:val="105"/>
        </w:rPr>
        <w:t> </w:t>
      </w:r>
      <w:r>
        <w:rPr>
          <w:color w:val="231F20"/>
          <w:w w:val="105"/>
        </w:rPr>
        <w:t>neologismo</w:t>
      </w:r>
      <w:r>
        <w:rPr>
          <w:color w:val="231F20"/>
          <w:spacing w:val="-21"/>
          <w:w w:val="105"/>
        </w:rPr>
        <w:t> </w:t>
      </w:r>
      <w:r>
        <w:rPr>
          <w:color w:val="231F20"/>
          <w:w w:val="105"/>
        </w:rPr>
        <w:t>de</w:t>
      </w:r>
      <w:r>
        <w:rPr>
          <w:color w:val="231F20"/>
          <w:spacing w:val="-21"/>
          <w:w w:val="105"/>
        </w:rPr>
        <w:t> </w:t>
      </w:r>
      <w:r>
        <w:rPr>
          <w:rFonts w:ascii="Arial" w:hAnsi="Arial"/>
          <w:i/>
          <w:color w:val="231F20"/>
          <w:w w:val="105"/>
        </w:rPr>
        <w:t>lo </w:t>
      </w:r>
      <w:r>
        <w:rPr>
          <w:rFonts w:ascii="Arial" w:hAnsi="Arial"/>
          <w:i/>
          <w:color w:val="231F20"/>
          <w:w w:val="105"/>
        </w:rPr>
        <w:t>glocal</w:t>
      </w:r>
      <w:r>
        <w:rPr>
          <w:color w:val="231F20"/>
          <w:w w:val="105"/>
        </w:rPr>
        <w:t>.</w:t>
      </w:r>
      <w:r>
        <w:rPr>
          <w:color w:val="231F20"/>
          <w:spacing w:val="3"/>
          <w:w w:val="105"/>
        </w:rPr>
        <w:t> </w:t>
      </w:r>
      <w:r>
        <w:rPr>
          <w:color w:val="231F20"/>
          <w:w w:val="105"/>
        </w:rPr>
        <w:t>Sin</w:t>
      </w:r>
      <w:r>
        <w:rPr>
          <w:color w:val="231F20"/>
          <w:spacing w:val="-33"/>
          <w:w w:val="105"/>
        </w:rPr>
        <w:t> </w:t>
      </w:r>
      <w:r>
        <w:rPr>
          <w:color w:val="231F20"/>
          <w:w w:val="105"/>
        </w:rPr>
        <w:t>embargo,</w:t>
      </w:r>
      <w:r>
        <w:rPr>
          <w:color w:val="231F20"/>
          <w:spacing w:val="-33"/>
          <w:w w:val="105"/>
        </w:rPr>
        <w:t> </w:t>
      </w:r>
      <w:r>
        <w:rPr>
          <w:color w:val="231F20"/>
          <w:w w:val="105"/>
        </w:rPr>
        <w:t>la</w:t>
      </w:r>
      <w:r>
        <w:rPr>
          <w:color w:val="231F20"/>
          <w:spacing w:val="-33"/>
          <w:w w:val="105"/>
        </w:rPr>
        <w:t> </w:t>
      </w:r>
      <w:r>
        <w:rPr>
          <w:color w:val="231F20"/>
          <w:w w:val="105"/>
        </w:rPr>
        <w:t>intención</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autora</w:t>
      </w:r>
      <w:r>
        <w:rPr>
          <w:color w:val="231F20"/>
          <w:spacing w:val="-33"/>
          <w:w w:val="105"/>
        </w:rPr>
        <w:t> </w:t>
      </w:r>
      <w:r>
        <w:rPr>
          <w:color w:val="231F20"/>
          <w:w w:val="105"/>
        </w:rPr>
        <w:t>es</w:t>
      </w:r>
      <w:r>
        <w:rPr>
          <w:color w:val="231F20"/>
          <w:spacing w:val="-33"/>
          <w:w w:val="105"/>
        </w:rPr>
        <w:t> </w:t>
      </w:r>
      <w:r>
        <w:rPr>
          <w:color w:val="231F20"/>
          <w:w w:val="105"/>
        </w:rPr>
        <w:t>interrogarnos</w:t>
      </w:r>
      <w:r>
        <w:rPr>
          <w:color w:val="231F20"/>
          <w:spacing w:val="-33"/>
          <w:w w:val="105"/>
        </w:rPr>
        <w:t> </w:t>
      </w:r>
      <w:r>
        <w:rPr>
          <w:color w:val="231F20"/>
          <w:w w:val="105"/>
        </w:rPr>
        <w:t>si</w:t>
      </w:r>
      <w:r>
        <w:rPr>
          <w:color w:val="231F20"/>
          <w:spacing w:val="-33"/>
          <w:w w:val="105"/>
        </w:rPr>
        <w:t> </w:t>
      </w:r>
      <w:r>
        <w:rPr>
          <w:color w:val="231F20"/>
          <w:w w:val="105"/>
        </w:rPr>
        <w:t>al</w:t>
      </w:r>
      <w:r>
        <w:rPr>
          <w:color w:val="231F20"/>
          <w:spacing w:val="-33"/>
          <w:w w:val="105"/>
        </w:rPr>
        <w:t> </w:t>
      </w:r>
      <w:r>
        <w:rPr>
          <w:color w:val="231F20"/>
          <w:w w:val="105"/>
        </w:rPr>
        <w:t>reducir el</w:t>
      </w:r>
      <w:r>
        <w:rPr>
          <w:color w:val="231F20"/>
          <w:spacing w:val="-15"/>
          <w:w w:val="105"/>
        </w:rPr>
        <w:t> </w:t>
      </w:r>
      <w:r>
        <w:rPr>
          <w:color w:val="231F20"/>
          <w:w w:val="105"/>
        </w:rPr>
        <w:t>esquema</w:t>
      </w:r>
      <w:r>
        <w:rPr>
          <w:color w:val="231F20"/>
          <w:spacing w:val="-15"/>
          <w:w w:val="105"/>
        </w:rPr>
        <w:t> </w:t>
      </w:r>
      <w:r>
        <w:rPr>
          <w:color w:val="231F20"/>
          <w:w w:val="105"/>
        </w:rPr>
        <w:t>a</w:t>
      </w:r>
      <w:r>
        <w:rPr>
          <w:color w:val="231F20"/>
          <w:spacing w:val="-15"/>
          <w:w w:val="105"/>
        </w:rPr>
        <w:t> </w:t>
      </w:r>
      <w:r>
        <w:rPr>
          <w:color w:val="231F20"/>
          <w:w w:val="105"/>
        </w:rPr>
        <w:t>dos</w:t>
      </w:r>
      <w:r>
        <w:rPr>
          <w:color w:val="231F20"/>
          <w:spacing w:val="-15"/>
          <w:w w:val="105"/>
        </w:rPr>
        <w:t> </w:t>
      </w:r>
      <w:r>
        <w:rPr>
          <w:color w:val="231F20"/>
          <w:w w:val="105"/>
        </w:rPr>
        <w:t>contrarios</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complementan,</w:t>
      </w:r>
      <w:r>
        <w:rPr>
          <w:color w:val="231F20"/>
          <w:spacing w:val="-15"/>
          <w:w w:val="105"/>
        </w:rPr>
        <w:t> </w:t>
      </w:r>
      <w:r>
        <w:rPr>
          <w:color w:val="231F20"/>
          <w:w w:val="105"/>
        </w:rPr>
        <w:t>no</w:t>
      </w:r>
      <w:r>
        <w:rPr>
          <w:color w:val="231F20"/>
          <w:spacing w:val="-15"/>
          <w:w w:val="105"/>
        </w:rPr>
        <w:t> </w:t>
      </w:r>
      <w:r>
        <w:rPr>
          <w:color w:val="231F20"/>
          <w:w w:val="105"/>
        </w:rPr>
        <w:t>estamos</w:t>
      </w:r>
      <w:r>
        <w:rPr>
          <w:color w:val="231F20"/>
          <w:spacing w:val="-15"/>
          <w:w w:val="105"/>
        </w:rPr>
        <w:t> </w:t>
      </w:r>
      <w:r>
        <w:rPr>
          <w:color w:val="231F20"/>
          <w:w w:val="105"/>
        </w:rPr>
        <w:t>en</w:t>
      </w:r>
      <w:r>
        <w:rPr>
          <w:color w:val="231F20"/>
          <w:spacing w:val="-15"/>
          <w:w w:val="105"/>
        </w:rPr>
        <w:t> </w:t>
      </w:r>
      <w:r>
        <w:rPr>
          <w:color w:val="231F20"/>
          <w:w w:val="105"/>
        </w:rPr>
        <w:t>reali- dad</w:t>
      </w:r>
      <w:r>
        <w:rPr>
          <w:color w:val="231F20"/>
          <w:spacing w:val="-9"/>
          <w:w w:val="105"/>
        </w:rPr>
        <w:t> </w:t>
      </w:r>
      <w:r>
        <w:rPr>
          <w:color w:val="231F20"/>
          <w:w w:val="105"/>
        </w:rPr>
        <w:t>empobreciendo</w:t>
      </w:r>
      <w:r>
        <w:rPr>
          <w:color w:val="231F20"/>
          <w:spacing w:val="-9"/>
          <w:w w:val="105"/>
        </w:rPr>
        <w:t> </w:t>
      </w:r>
      <w:r>
        <w:rPr>
          <w:color w:val="231F20"/>
          <w:w w:val="105"/>
        </w:rPr>
        <w:t>la</w:t>
      </w:r>
      <w:r>
        <w:rPr>
          <w:color w:val="231F20"/>
          <w:spacing w:val="-9"/>
          <w:w w:val="105"/>
        </w:rPr>
        <w:t> </w:t>
      </w:r>
      <w:r>
        <w:rPr>
          <w:color w:val="231F20"/>
          <w:w w:val="105"/>
        </w:rPr>
        <w:t>fuerza</w:t>
      </w:r>
      <w:r>
        <w:rPr>
          <w:color w:val="231F20"/>
          <w:spacing w:val="-9"/>
          <w:w w:val="105"/>
        </w:rPr>
        <w:t> </w:t>
      </w:r>
      <w:r>
        <w:rPr>
          <w:color w:val="231F20"/>
          <w:w w:val="105"/>
        </w:rPr>
        <w:t>de</w:t>
      </w:r>
      <w:r>
        <w:rPr>
          <w:color w:val="231F20"/>
          <w:spacing w:val="-9"/>
          <w:w w:val="105"/>
        </w:rPr>
        <w:t> </w:t>
      </w:r>
      <w:r>
        <w:rPr>
          <w:color w:val="231F20"/>
          <w:w w:val="105"/>
        </w:rPr>
        <w:t>crítica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paradoja.</w:t>
      </w:r>
      <w:r>
        <w:rPr>
          <w:color w:val="231F20"/>
          <w:spacing w:val="-9"/>
          <w:w w:val="105"/>
        </w:rPr>
        <w:t> </w:t>
      </w:r>
      <w:r>
        <w:rPr>
          <w:color w:val="231F20"/>
          <w:w w:val="105"/>
        </w:rPr>
        <w:t>Retomando</w:t>
      </w:r>
      <w:r>
        <w:rPr>
          <w:color w:val="231F20"/>
          <w:spacing w:val="-9"/>
          <w:w w:val="105"/>
        </w:rPr>
        <w:t> </w:t>
      </w:r>
      <w:r>
        <w:rPr>
          <w:color w:val="231F20"/>
          <w:w w:val="105"/>
        </w:rPr>
        <w:t>a</w:t>
      </w:r>
      <w:r>
        <w:rPr>
          <w:color w:val="231F20"/>
          <w:spacing w:val="-9"/>
          <w:w w:val="105"/>
        </w:rPr>
        <w:t> </w:t>
      </w:r>
      <w:r>
        <w:rPr>
          <w:color w:val="231F20"/>
          <w:w w:val="105"/>
        </w:rPr>
        <w:t>los autores</w:t>
      </w:r>
      <w:r>
        <w:rPr>
          <w:color w:val="231F20"/>
          <w:spacing w:val="-24"/>
          <w:w w:val="105"/>
        </w:rPr>
        <w:t> </w:t>
      </w:r>
      <w:r>
        <w:rPr>
          <w:color w:val="231F20"/>
          <w:w w:val="105"/>
        </w:rPr>
        <w:t>citados,</w:t>
      </w:r>
      <w:r>
        <w:rPr>
          <w:color w:val="231F20"/>
          <w:spacing w:val="-24"/>
          <w:w w:val="105"/>
        </w:rPr>
        <w:t> </w:t>
      </w:r>
      <w:r>
        <w:rPr>
          <w:color w:val="231F20"/>
          <w:w w:val="105"/>
        </w:rPr>
        <w:t>la</w:t>
      </w:r>
      <w:r>
        <w:rPr>
          <w:color w:val="231F20"/>
          <w:spacing w:val="-24"/>
          <w:w w:val="105"/>
        </w:rPr>
        <w:t> </w:t>
      </w:r>
      <w:r>
        <w:rPr>
          <w:color w:val="231F20"/>
          <w:w w:val="105"/>
        </w:rPr>
        <w:t>autora</w:t>
      </w:r>
      <w:r>
        <w:rPr>
          <w:color w:val="231F20"/>
          <w:spacing w:val="-24"/>
          <w:w w:val="105"/>
        </w:rPr>
        <w:t> </w:t>
      </w:r>
      <w:r>
        <w:rPr>
          <w:color w:val="231F20"/>
          <w:w w:val="105"/>
        </w:rPr>
        <w:t>nos</w:t>
      </w:r>
      <w:r>
        <w:rPr>
          <w:color w:val="231F20"/>
          <w:spacing w:val="-24"/>
          <w:w w:val="105"/>
        </w:rPr>
        <w:t> </w:t>
      </w:r>
      <w:r>
        <w:rPr>
          <w:color w:val="231F20"/>
          <w:w w:val="105"/>
        </w:rPr>
        <w:t>invita</w:t>
      </w:r>
      <w:r>
        <w:rPr>
          <w:color w:val="231F20"/>
          <w:spacing w:val="-24"/>
          <w:w w:val="105"/>
        </w:rPr>
        <w:t> </w:t>
      </w:r>
      <w:r>
        <w:rPr>
          <w:color w:val="231F20"/>
          <w:w w:val="105"/>
        </w:rPr>
        <w:t>a</w:t>
      </w:r>
      <w:r>
        <w:rPr>
          <w:color w:val="231F20"/>
          <w:spacing w:val="-24"/>
          <w:w w:val="105"/>
        </w:rPr>
        <w:t> </w:t>
      </w:r>
      <w:r>
        <w:rPr>
          <w:color w:val="231F20"/>
          <w:w w:val="105"/>
        </w:rPr>
        <w:t>llevar</w:t>
      </w:r>
      <w:r>
        <w:rPr>
          <w:color w:val="231F20"/>
          <w:spacing w:val="-24"/>
          <w:w w:val="105"/>
        </w:rPr>
        <w:t> </w:t>
      </w:r>
      <w:r>
        <w:rPr>
          <w:color w:val="231F20"/>
          <w:w w:val="105"/>
        </w:rPr>
        <w:t>las</w:t>
      </w:r>
      <w:r>
        <w:rPr>
          <w:color w:val="231F20"/>
          <w:spacing w:val="-24"/>
          <w:w w:val="105"/>
        </w:rPr>
        <w:t> </w:t>
      </w:r>
      <w:r>
        <w:rPr>
          <w:color w:val="231F20"/>
          <w:w w:val="105"/>
        </w:rPr>
        <w:t>paradojas</w:t>
      </w:r>
      <w:r>
        <w:rPr>
          <w:color w:val="231F20"/>
          <w:spacing w:val="-24"/>
          <w:w w:val="105"/>
        </w:rPr>
        <w:t> </w:t>
      </w:r>
      <w:r>
        <w:rPr>
          <w:color w:val="231F20"/>
          <w:w w:val="105"/>
        </w:rPr>
        <w:t>a</w:t>
      </w:r>
      <w:r>
        <w:rPr>
          <w:color w:val="231F20"/>
          <w:spacing w:val="-24"/>
          <w:w w:val="105"/>
        </w:rPr>
        <w:t> </w:t>
      </w:r>
      <w:r>
        <w:rPr>
          <w:color w:val="231F20"/>
          <w:w w:val="105"/>
        </w:rPr>
        <w:t>su</w:t>
      </w:r>
      <w:r>
        <w:rPr>
          <w:color w:val="231F20"/>
          <w:spacing w:val="-24"/>
          <w:w w:val="105"/>
        </w:rPr>
        <w:t> </w:t>
      </w:r>
      <w:r>
        <w:rPr>
          <w:color w:val="231F20"/>
          <w:w w:val="105"/>
        </w:rPr>
        <w:t>límite,</w:t>
      </w:r>
      <w:r>
        <w:rPr>
          <w:color w:val="231F20"/>
          <w:spacing w:val="-24"/>
          <w:w w:val="105"/>
        </w:rPr>
        <w:t> </w:t>
      </w:r>
      <w:r>
        <w:rPr>
          <w:color w:val="231F20"/>
          <w:w w:val="105"/>
        </w:rPr>
        <w:t>a</w:t>
      </w:r>
      <w:r>
        <w:rPr>
          <w:color w:val="231F20"/>
          <w:spacing w:val="-24"/>
          <w:w w:val="105"/>
        </w:rPr>
        <w:t> </w:t>
      </w:r>
      <w:r>
        <w:rPr>
          <w:color w:val="231F20"/>
          <w:w w:val="105"/>
        </w:rPr>
        <w:t>no</w:t>
      </w:r>
    </w:p>
    <w:p>
      <w:pPr>
        <w:spacing w:after="0" w:line="247" w:lineRule="auto"/>
        <w:jc w:val="both"/>
        <w:sectPr>
          <w:pgSz w:w="9640" w:h="13890"/>
          <w:pgMar w:top="0" w:bottom="280" w:left="1300" w:right="1200"/>
        </w:sectPr>
      </w:pPr>
    </w:p>
    <w:p>
      <w:pPr>
        <w:pStyle w:val="BodyText"/>
        <w:spacing w:line="244" w:lineRule="auto" w:before="107"/>
        <w:ind w:left="103" w:right="115"/>
        <w:jc w:val="both"/>
      </w:pPr>
      <w:r>
        <w:rPr>
          <w:color w:val="231F20"/>
        </w:rPr>
        <w:t>intentar</w:t>
      </w:r>
      <w:r>
        <w:rPr>
          <w:color w:val="231F20"/>
          <w:spacing w:val="-8"/>
        </w:rPr>
        <w:t> </w:t>
      </w:r>
      <w:r>
        <w:rPr>
          <w:color w:val="231F20"/>
        </w:rPr>
        <w:t>hibridarlas</w:t>
      </w:r>
      <w:r>
        <w:rPr>
          <w:color w:val="231F20"/>
          <w:spacing w:val="-8"/>
        </w:rPr>
        <w:t> </w:t>
      </w:r>
      <w:r>
        <w:rPr>
          <w:color w:val="231F20"/>
        </w:rPr>
        <w:t>u</w:t>
      </w:r>
      <w:r>
        <w:rPr>
          <w:color w:val="231F20"/>
          <w:spacing w:val="-8"/>
        </w:rPr>
        <w:t> </w:t>
      </w:r>
      <w:r>
        <w:rPr>
          <w:color w:val="231F20"/>
        </w:rPr>
        <w:t>homogeneizarlas,</w:t>
      </w:r>
      <w:r>
        <w:rPr>
          <w:color w:val="231F20"/>
          <w:spacing w:val="-8"/>
        </w:rPr>
        <w:t> </w:t>
      </w:r>
      <w:r>
        <w:rPr>
          <w:color w:val="231F20"/>
        </w:rPr>
        <w:t>sino</w:t>
      </w:r>
      <w:r>
        <w:rPr>
          <w:color w:val="231F20"/>
          <w:spacing w:val="-8"/>
        </w:rPr>
        <w:t> </w:t>
      </w:r>
      <w:r>
        <w:rPr>
          <w:color w:val="231F20"/>
        </w:rPr>
        <w:t>afirmar</w:t>
      </w:r>
      <w:r>
        <w:rPr>
          <w:color w:val="231F20"/>
          <w:spacing w:val="-8"/>
        </w:rPr>
        <w:t> </w:t>
      </w:r>
      <w:r>
        <w:rPr>
          <w:color w:val="231F20"/>
        </w:rPr>
        <w:t>su</w:t>
      </w:r>
      <w:r>
        <w:rPr>
          <w:color w:val="231F20"/>
          <w:spacing w:val="-8"/>
        </w:rPr>
        <w:t> </w:t>
      </w:r>
      <w:r>
        <w:rPr>
          <w:color w:val="231F20"/>
        </w:rPr>
        <w:t>carácter</w:t>
      </w:r>
      <w:r>
        <w:rPr>
          <w:color w:val="231F20"/>
          <w:spacing w:val="-8"/>
        </w:rPr>
        <w:t> </w:t>
      </w:r>
      <w:r>
        <w:rPr>
          <w:color w:val="231F20"/>
        </w:rPr>
        <w:t>indecidible. La</w:t>
      </w:r>
      <w:r>
        <w:rPr>
          <w:color w:val="231F20"/>
          <w:spacing w:val="-7"/>
        </w:rPr>
        <w:t> </w:t>
      </w:r>
      <w:r>
        <w:rPr>
          <w:color w:val="231F20"/>
        </w:rPr>
        <w:t>diferencia</w:t>
      </w:r>
      <w:r>
        <w:rPr>
          <w:color w:val="231F20"/>
          <w:spacing w:val="-7"/>
        </w:rPr>
        <w:t> </w:t>
      </w:r>
      <w:r>
        <w:rPr>
          <w:color w:val="231F20"/>
        </w:rPr>
        <w:t>radical</w:t>
      </w:r>
      <w:r>
        <w:rPr>
          <w:color w:val="231F20"/>
          <w:spacing w:val="-7"/>
        </w:rPr>
        <w:t> </w:t>
      </w:r>
      <w:r>
        <w:rPr>
          <w:color w:val="231F20"/>
        </w:rPr>
        <w:t>no</w:t>
      </w:r>
      <w:r>
        <w:rPr>
          <w:color w:val="231F20"/>
          <w:spacing w:val="-7"/>
        </w:rPr>
        <w:t> </w:t>
      </w:r>
      <w:r>
        <w:rPr>
          <w:color w:val="231F20"/>
        </w:rPr>
        <w:t>nacería</w:t>
      </w:r>
      <w:r>
        <w:rPr>
          <w:color w:val="231F20"/>
          <w:spacing w:val="-7"/>
        </w:rPr>
        <w:t> </w:t>
      </w:r>
      <w:r>
        <w:rPr>
          <w:color w:val="231F20"/>
        </w:rPr>
        <w:t>ni</w:t>
      </w:r>
      <w:r>
        <w:rPr>
          <w:color w:val="231F20"/>
          <w:spacing w:val="-7"/>
        </w:rPr>
        <w:t> </w:t>
      </w:r>
      <w:r>
        <w:rPr>
          <w:color w:val="231F20"/>
        </w:rPr>
        <w:t>en</w:t>
      </w:r>
      <w:r>
        <w:rPr>
          <w:color w:val="231F20"/>
          <w:spacing w:val="-7"/>
        </w:rPr>
        <w:t> </w:t>
      </w:r>
      <w:r>
        <w:rPr>
          <w:color w:val="231F20"/>
        </w:rPr>
        <w:t>lo</w:t>
      </w:r>
      <w:r>
        <w:rPr>
          <w:color w:val="231F20"/>
          <w:spacing w:val="-7"/>
        </w:rPr>
        <w:t> </w:t>
      </w:r>
      <w:r>
        <w:rPr>
          <w:color w:val="231F20"/>
        </w:rPr>
        <w:t>local</w:t>
      </w:r>
      <w:r>
        <w:rPr>
          <w:color w:val="231F20"/>
          <w:spacing w:val="-7"/>
        </w:rPr>
        <w:t> </w:t>
      </w:r>
      <w:r>
        <w:rPr>
          <w:color w:val="231F20"/>
        </w:rPr>
        <w:t>ni</w:t>
      </w:r>
      <w:r>
        <w:rPr>
          <w:color w:val="231F20"/>
          <w:spacing w:val="-7"/>
        </w:rPr>
        <w:t> </w:t>
      </w:r>
      <w:r>
        <w:rPr>
          <w:color w:val="231F20"/>
        </w:rPr>
        <w:t>en</w:t>
      </w:r>
      <w:r>
        <w:rPr>
          <w:color w:val="231F20"/>
          <w:spacing w:val="-7"/>
        </w:rPr>
        <w:t> </w:t>
      </w:r>
      <w:r>
        <w:rPr>
          <w:color w:val="231F20"/>
        </w:rPr>
        <w:t>lo</w:t>
      </w:r>
      <w:r>
        <w:rPr>
          <w:color w:val="231F20"/>
          <w:spacing w:val="-7"/>
        </w:rPr>
        <w:t> </w:t>
      </w:r>
      <w:r>
        <w:rPr>
          <w:color w:val="231F20"/>
        </w:rPr>
        <w:t>global</w:t>
      </w:r>
      <w:r>
        <w:rPr>
          <w:color w:val="231F20"/>
          <w:spacing w:val="-7"/>
        </w:rPr>
        <w:t> </w:t>
      </w:r>
      <w:r>
        <w:rPr>
          <w:color w:val="231F20"/>
        </w:rPr>
        <w:t>ni</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híbrido de ambos, sino </w:t>
      </w:r>
      <w:r>
        <w:rPr>
          <w:rFonts w:ascii="Arial" w:hAnsi="Arial"/>
          <w:i/>
          <w:color w:val="231F20"/>
        </w:rPr>
        <w:t>entre </w:t>
      </w:r>
      <w:r>
        <w:rPr>
          <w:color w:val="231F20"/>
        </w:rPr>
        <w:t>ambos, en una </w:t>
      </w:r>
      <w:r>
        <w:rPr>
          <w:rFonts w:ascii="Arial" w:hAnsi="Arial"/>
          <w:i/>
          <w:color w:val="231F20"/>
        </w:rPr>
        <w:t>zona de indecidibilidad </w:t>
      </w:r>
      <w:r>
        <w:rPr>
          <w:color w:val="231F20"/>
        </w:rPr>
        <w:t>entre lo local y lo global: ni </w:t>
      </w:r>
      <w:r>
        <w:rPr>
          <w:rFonts w:ascii="Arial" w:hAnsi="Arial"/>
          <w:i/>
          <w:color w:val="231F20"/>
        </w:rPr>
        <w:t>propiamente </w:t>
      </w:r>
      <w:r>
        <w:rPr>
          <w:color w:val="231F20"/>
        </w:rPr>
        <w:t>globales ni </w:t>
      </w:r>
      <w:r>
        <w:rPr>
          <w:rFonts w:ascii="Arial" w:hAnsi="Arial"/>
          <w:i/>
          <w:color w:val="231F20"/>
        </w:rPr>
        <w:t>propiamente </w:t>
      </w:r>
      <w:r>
        <w:rPr>
          <w:rFonts w:ascii="Arial" w:hAnsi="Arial"/>
          <w:i/>
          <w:color w:val="231F20"/>
          <w:spacing w:val="23"/>
        </w:rPr>
        <w:t> </w:t>
      </w:r>
      <w:r>
        <w:rPr>
          <w:color w:val="231F20"/>
        </w:rPr>
        <w:t>locales.</w:t>
      </w:r>
    </w:p>
    <w:p>
      <w:pPr>
        <w:pStyle w:val="BodyText"/>
        <w:spacing w:line="244" w:lineRule="auto"/>
        <w:ind w:left="103" w:right="115" w:firstLine="566"/>
        <w:jc w:val="both"/>
      </w:pPr>
      <w:r>
        <w:rPr>
          <w:color w:val="231F20"/>
          <w:w w:val="105"/>
        </w:rPr>
        <w:t>Pierangelo</w:t>
      </w:r>
      <w:r>
        <w:rPr>
          <w:color w:val="231F20"/>
          <w:spacing w:val="-30"/>
          <w:w w:val="105"/>
        </w:rPr>
        <w:t> </w:t>
      </w:r>
      <w:r>
        <w:rPr>
          <w:color w:val="231F20"/>
          <w:w w:val="105"/>
        </w:rPr>
        <w:t>Schiera,</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w w:val="105"/>
        </w:rPr>
        <w:t>Estado</w:t>
      </w:r>
      <w:r>
        <w:rPr>
          <w:color w:val="231F20"/>
          <w:spacing w:val="-30"/>
          <w:w w:val="105"/>
        </w:rPr>
        <w:t> </w:t>
      </w:r>
      <w:r>
        <w:rPr>
          <w:color w:val="231F20"/>
          <w:w w:val="105"/>
        </w:rPr>
        <w:t>moderno</w:t>
      </w:r>
      <w:r>
        <w:rPr>
          <w:color w:val="231F20"/>
          <w:spacing w:val="-30"/>
          <w:w w:val="105"/>
        </w:rPr>
        <w:t> </w:t>
      </w:r>
      <w:r>
        <w:rPr>
          <w:color w:val="231F20"/>
          <w:w w:val="105"/>
        </w:rPr>
        <w:t>hoy</w:t>
      </w:r>
      <w:r>
        <w:rPr>
          <w:color w:val="231F20"/>
          <w:spacing w:val="-30"/>
          <w:w w:val="105"/>
        </w:rPr>
        <w:t> </w:t>
      </w:r>
      <w:r>
        <w:rPr>
          <w:color w:val="231F20"/>
          <w:w w:val="105"/>
        </w:rPr>
        <w:t>y</w:t>
      </w:r>
      <w:r>
        <w:rPr>
          <w:color w:val="231F20"/>
          <w:spacing w:val="-30"/>
          <w:w w:val="105"/>
        </w:rPr>
        <w:t> </w:t>
      </w:r>
      <w:r>
        <w:rPr>
          <w:color w:val="231F20"/>
          <w:w w:val="105"/>
        </w:rPr>
        <w:t>mañana”,</w:t>
      </w:r>
      <w:r>
        <w:rPr>
          <w:color w:val="231F20"/>
          <w:spacing w:val="-30"/>
          <w:w w:val="105"/>
        </w:rPr>
        <w:t> </w:t>
      </w:r>
      <w:r>
        <w:rPr>
          <w:color w:val="231F20"/>
          <w:w w:val="105"/>
        </w:rPr>
        <w:t>reflexio- na</w:t>
      </w:r>
      <w:r>
        <w:rPr>
          <w:color w:val="231F20"/>
          <w:spacing w:val="-19"/>
          <w:w w:val="105"/>
        </w:rPr>
        <w:t> </w:t>
      </w:r>
      <w:r>
        <w:rPr>
          <w:color w:val="231F20"/>
          <w:w w:val="105"/>
        </w:rPr>
        <w:t>sobre</w:t>
      </w:r>
      <w:r>
        <w:rPr>
          <w:color w:val="231F20"/>
          <w:spacing w:val="-19"/>
          <w:w w:val="105"/>
        </w:rPr>
        <w:t> </w:t>
      </w:r>
      <w:r>
        <w:rPr>
          <w:color w:val="231F20"/>
          <w:w w:val="105"/>
        </w:rPr>
        <w:t>el</w:t>
      </w:r>
      <w:r>
        <w:rPr>
          <w:color w:val="231F20"/>
          <w:spacing w:val="-19"/>
          <w:w w:val="105"/>
        </w:rPr>
        <w:t> </w:t>
      </w:r>
      <w:r>
        <w:rPr>
          <w:color w:val="231F20"/>
          <w:w w:val="105"/>
        </w:rPr>
        <w:t>Estado</w:t>
      </w:r>
      <w:r>
        <w:rPr>
          <w:color w:val="231F20"/>
          <w:spacing w:val="-19"/>
          <w:w w:val="105"/>
        </w:rPr>
        <w:t> </w:t>
      </w:r>
      <w:r>
        <w:rPr>
          <w:color w:val="231F20"/>
          <w:w w:val="105"/>
        </w:rPr>
        <w:t>en</w:t>
      </w:r>
      <w:r>
        <w:rPr>
          <w:color w:val="231F20"/>
          <w:spacing w:val="-19"/>
          <w:w w:val="105"/>
        </w:rPr>
        <w:t> </w:t>
      </w:r>
      <w:r>
        <w:rPr>
          <w:color w:val="231F20"/>
          <w:w w:val="105"/>
        </w:rPr>
        <w:t>su</w:t>
      </w:r>
      <w:r>
        <w:rPr>
          <w:color w:val="231F20"/>
          <w:spacing w:val="-19"/>
          <w:w w:val="105"/>
        </w:rPr>
        <w:t> </w:t>
      </w:r>
      <w:r>
        <w:rPr>
          <w:color w:val="231F20"/>
          <w:w w:val="105"/>
        </w:rPr>
        <w:t>situación</w:t>
      </w:r>
      <w:r>
        <w:rPr>
          <w:color w:val="231F20"/>
          <w:spacing w:val="-19"/>
          <w:w w:val="105"/>
        </w:rPr>
        <w:t> </w:t>
      </w:r>
      <w:r>
        <w:rPr>
          <w:color w:val="231F20"/>
          <w:w w:val="105"/>
        </w:rPr>
        <w:t>actual</w:t>
      </w:r>
      <w:r>
        <w:rPr>
          <w:color w:val="231F20"/>
          <w:spacing w:val="-19"/>
          <w:w w:val="105"/>
        </w:rPr>
        <w:t> </w:t>
      </w:r>
      <w:r>
        <w:rPr>
          <w:color w:val="231F20"/>
          <w:w w:val="105"/>
        </w:rPr>
        <w:t>y</w:t>
      </w:r>
      <w:r>
        <w:rPr>
          <w:color w:val="231F20"/>
          <w:spacing w:val="-19"/>
          <w:w w:val="105"/>
        </w:rPr>
        <w:t> </w:t>
      </w:r>
      <w:r>
        <w:rPr>
          <w:color w:val="231F20"/>
          <w:w w:val="105"/>
        </w:rPr>
        <w:t>su</w:t>
      </w:r>
      <w:r>
        <w:rPr>
          <w:color w:val="231F20"/>
          <w:spacing w:val="-19"/>
          <w:w w:val="105"/>
        </w:rPr>
        <w:t> </w:t>
      </w:r>
      <w:r>
        <w:rPr>
          <w:color w:val="231F20"/>
          <w:w w:val="105"/>
        </w:rPr>
        <w:t>posible</w:t>
      </w:r>
      <w:r>
        <w:rPr>
          <w:color w:val="231F20"/>
          <w:spacing w:val="-19"/>
          <w:w w:val="105"/>
        </w:rPr>
        <w:t> </w:t>
      </w:r>
      <w:r>
        <w:rPr>
          <w:color w:val="231F20"/>
          <w:w w:val="105"/>
        </w:rPr>
        <w:t>futuro.</w:t>
      </w:r>
      <w:r>
        <w:rPr>
          <w:color w:val="231F20"/>
          <w:spacing w:val="-19"/>
          <w:w w:val="105"/>
        </w:rPr>
        <w:t> </w:t>
      </w:r>
      <w:r>
        <w:rPr>
          <w:color w:val="231F20"/>
          <w:w w:val="105"/>
        </w:rPr>
        <w:t>La</w:t>
      </w:r>
      <w:r>
        <w:rPr>
          <w:color w:val="231F20"/>
          <w:spacing w:val="-19"/>
          <w:w w:val="105"/>
        </w:rPr>
        <w:t> </w:t>
      </w:r>
      <w:r>
        <w:rPr>
          <w:color w:val="231F20"/>
          <w:w w:val="105"/>
        </w:rPr>
        <w:t>intención del</w:t>
      </w:r>
      <w:r>
        <w:rPr>
          <w:color w:val="231F20"/>
          <w:spacing w:val="-12"/>
          <w:w w:val="105"/>
        </w:rPr>
        <w:t> </w:t>
      </w:r>
      <w:r>
        <w:rPr>
          <w:color w:val="231F20"/>
          <w:w w:val="105"/>
        </w:rPr>
        <w:t>autor</w:t>
      </w:r>
      <w:r>
        <w:rPr>
          <w:color w:val="231F20"/>
          <w:spacing w:val="-12"/>
          <w:w w:val="105"/>
        </w:rPr>
        <w:t> </w:t>
      </w:r>
      <w:r>
        <w:rPr>
          <w:color w:val="231F20"/>
          <w:w w:val="105"/>
        </w:rPr>
        <w:t>no</w:t>
      </w:r>
      <w:r>
        <w:rPr>
          <w:color w:val="231F20"/>
          <w:spacing w:val="-12"/>
          <w:w w:val="105"/>
        </w:rPr>
        <w:t> </w:t>
      </w:r>
      <w:r>
        <w:rPr>
          <w:color w:val="231F20"/>
          <w:w w:val="105"/>
        </w:rPr>
        <w:t>es</w:t>
      </w:r>
      <w:r>
        <w:rPr>
          <w:color w:val="231F20"/>
          <w:spacing w:val="-12"/>
          <w:w w:val="105"/>
        </w:rPr>
        <w:t> </w:t>
      </w:r>
      <w:r>
        <w:rPr>
          <w:color w:val="231F20"/>
          <w:w w:val="105"/>
        </w:rPr>
        <w:t>establecer</w:t>
      </w:r>
      <w:r>
        <w:rPr>
          <w:color w:val="231F20"/>
          <w:spacing w:val="-12"/>
          <w:w w:val="105"/>
        </w:rPr>
        <w:t> </w:t>
      </w:r>
      <w:r>
        <w:rPr>
          <w:color w:val="231F20"/>
          <w:w w:val="105"/>
        </w:rPr>
        <w:t>qué</w:t>
      </w:r>
      <w:r>
        <w:rPr>
          <w:color w:val="231F20"/>
          <w:spacing w:val="-12"/>
          <w:w w:val="105"/>
        </w:rPr>
        <w:t> </w:t>
      </w:r>
      <w:r>
        <w:rPr>
          <w:color w:val="231F20"/>
          <w:w w:val="105"/>
        </w:rPr>
        <w:t>debe</w:t>
      </w:r>
      <w:r>
        <w:rPr>
          <w:color w:val="231F20"/>
          <w:spacing w:val="-12"/>
          <w:w w:val="105"/>
        </w:rPr>
        <w:t> </w:t>
      </w:r>
      <w:r>
        <w:rPr>
          <w:color w:val="231F20"/>
          <w:w w:val="105"/>
        </w:rPr>
        <w:t>hacerse</w:t>
      </w:r>
      <w:r>
        <w:rPr>
          <w:color w:val="231F20"/>
          <w:spacing w:val="-12"/>
          <w:w w:val="105"/>
        </w:rPr>
        <w:t> </w:t>
      </w:r>
      <w:r>
        <w:rPr>
          <w:color w:val="231F20"/>
          <w:w w:val="105"/>
        </w:rPr>
        <w:t>o</w:t>
      </w:r>
      <w:r>
        <w:rPr>
          <w:color w:val="231F20"/>
          <w:spacing w:val="-12"/>
          <w:w w:val="105"/>
        </w:rPr>
        <w:t> </w:t>
      </w:r>
      <w:r>
        <w:rPr>
          <w:color w:val="231F20"/>
          <w:w w:val="105"/>
        </w:rPr>
        <w:t>no,</w:t>
      </w:r>
      <w:r>
        <w:rPr>
          <w:color w:val="231F20"/>
          <w:spacing w:val="50"/>
          <w:w w:val="105"/>
        </w:rPr>
        <w:t> </w:t>
      </w:r>
      <w:r>
        <w:rPr>
          <w:color w:val="231F20"/>
          <w:w w:val="105"/>
        </w:rPr>
        <w:t>sino</w:t>
      </w:r>
      <w:r>
        <w:rPr>
          <w:color w:val="231F20"/>
          <w:spacing w:val="-12"/>
          <w:w w:val="105"/>
        </w:rPr>
        <w:t> </w:t>
      </w:r>
      <w:r>
        <w:rPr>
          <w:color w:val="231F20"/>
          <w:w w:val="105"/>
        </w:rPr>
        <w:t>entender</w:t>
      </w:r>
      <w:r>
        <w:rPr>
          <w:color w:val="231F20"/>
          <w:spacing w:val="-12"/>
          <w:w w:val="105"/>
        </w:rPr>
        <w:t> </w:t>
      </w:r>
      <w:r>
        <w:rPr>
          <w:color w:val="231F20"/>
          <w:w w:val="105"/>
        </w:rPr>
        <w:t>qué</w:t>
      </w:r>
      <w:r>
        <w:rPr>
          <w:color w:val="231F20"/>
          <w:spacing w:val="-12"/>
          <w:w w:val="105"/>
        </w:rPr>
        <w:t> </w:t>
      </w:r>
      <w:r>
        <w:rPr>
          <w:color w:val="231F20"/>
          <w:w w:val="105"/>
        </w:rPr>
        <w:t>es probable</w:t>
      </w:r>
      <w:r>
        <w:rPr>
          <w:color w:val="231F20"/>
          <w:spacing w:val="-10"/>
          <w:w w:val="105"/>
        </w:rPr>
        <w:t> </w:t>
      </w:r>
      <w:r>
        <w:rPr>
          <w:color w:val="231F20"/>
          <w:w w:val="105"/>
        </w:rPr>
        <w:t>que</w:t>
      </w:r>
      <w:r>
        <w:rPr>
          <w:color w:val="231F20"/>
          <w:spacing w:val="-10"/>
          <w:w w:val="105"/>
        </w:rPr>
        <w:t> </w:t>
      </w:r>
      <w:r>
        <w:rPr>
          <w:color w:val="231F20"/>
          <w:w w:val="105"/>
        </w:rPr>
        <w:t>suceda</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luz</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acontecimientos</w:t>
      </w:r>
      <w:r>
        <w:rPr>
          <w:color w:val="231F20"/>
          <w:spacing w:val="-10"/>
          <w:w w:val="105"/>
        </w:rPr>
        <w:t> </w:t>
      </w:r>
      <w:r>
        <w:rPr>
          <w:color w:val="231F20"/>
          <w:w w:val="105"/>
        </w:rPr>
        <w:t>de</w:t>
      </w:r>
      <w:r>
        <w:rPr>
          <w:color w:val="231F20"/>
          <w:spacing w:val="-10"/>
          <w:w w:val="105"/>
        </w:rPr>
        <w:t> </w:t>
      </w:r>
      <w:r>
        <w:rPr>
          <w:color w:val="231F20"/>
          <w:spacing w:val="-5"/>
          <w:w w:val="105"/>
        </w:rPr>
        <w:t>hoy.</w:t>
      </w:r>
      <w:r>
        <w:rPr>
          <w:color w:val="231F20"/>
          <w:spacing w:val="-6"/>
          <w:w w:val="105"/>
        </w:rPr>
        <w:t> </w:t>
      </w:r>
      <w:r>
        <w:rPr>
          <w:color w:val="231F20"/>
          <w:w w:val="105"/>
        </w:rPr>
        <w:t>Para</w:t>
      </w:r>
      <w:r>
        <w:rPr>
          <w:color w:val="231F20"/>
          <w:spacing w:val="-10"/>
          <w:w w:val="105"/>
        </w:rPr>
        <w:t> </w:t>
      </w:r>
      <w:r>
        <w:rPr>
          <w:color w:val="231F20"/>
          <w:w w:val="105"/>
        </w:rPr>
        <w:t>ello</w:t>
      </w:r>
      <w:r>
        <w:rPr>
          <w:color w:val="231F20"/>
          <w:spacing w:val="-10"/>
          <w:w w:val="105"/>
        </w:rPr>
        <w:t> </w:t>
      </w:r>
      <w:r>
        <w:rPr>
          <w:color w:val="231F20"/>
          <w:w w:val="105"/>
        </w:rPr>
        <w:t>es imperioso</w:t>
      </w:r>
      <w:r>
        <w:rPr>
          <w:color w:val="231F20"/>
          <w:spacing w:val="-43"/>
          <w:w w:val="105"/>
        </w:rPr>
        <w:t> </w:t>
      </w:r>
      <w:r>
        <w:rPr>
          <w:color w:val="231F20"/>
          <w:w w:val="105"/>
        </w:rPr>
        <w:t>problematizar</w:t>
      </w:r>
      <w:r>
        <w:rPr>
          <w:color w:val="231F20"/>
          <w:spacing w:val="-43"/>
          <w:w w:val="105"/>
        </w:rPr>
        <w:t> </w:t>
      </w:r>
      <w:r>
        <w:rPr>
          <w:color w:val="231F20"/>
          <w:w w:val="105"/>
        </w:rPr>
        <w:t>la</w:t>
      </w:r>
      <w:r>
        <w:rPr>
          <w:color w:val="231F20"/>
          <w:spacing w:val="-43"/>
          <w:w w:val="105"/>
        </w:rPr>
        <w:t> </w:t>
      </w:r>
      <w:r>
        <w:rPr>
          <w:color w:val="231F20"/>
          <w:w w:val="105"/>
        </w:rPr>
        <w:t>relación</w:t>
      </w:r>
      <w:r>
        <w:rPr>
          <w:color w:val="231F20"/>
          <w:spacing w:val="-43"/>
          <w:w w:val="105"/>
        </w:rPr>
        <w:t> </w:t>
      </w:r>
      <w:r>
        <w:rPr>
          <w:color w:val="231F20"/>
          <w:w w:val="105"/>
        </w:rPr>
        <w:t>entre</w:t>
      </w:r>
      <w:r>
        <w:rPr>
          <w:color w:val="231F20"/>
          <w:spacing w:val="-43"/>
          <w:w w:val="105"/>
        </w:rPr>
        <w:t> </w:t>
      </w:r>
      <w:r>
        <w:rPr>
          <w:color w:val="231F20"/>
          <w:w w:val="105"/>
        </w:rPr>
        <w:t>Derecho</w:t>
      </w:r>
      <w:r>
        <w:rPr>
          <w:color w:val="231F20"/>
          <w:spacing w:val="-43"/>
          <w:w w:val="105"/>
        </w:rPr>
        <w:t> </w:t>
      </w:r>
      <w:r>
        <w:rPr>
          <w:color w:val="231F20"/>
          <w:w w:val="105"/>
        </w:rPr>
        <w:t>y</w:t>
      </w:r>
      <w:r>
        <w:rPr>
          <w:color w:val="231F20"/>
          <w:spacing w:val="-43"/>
          <w:w w:val="105"/>
        </w:rPr>
        <w:t> </w:t>
      </w:r>
      <w:r>
        <w:rPr>
          <w:color w:val="231F20"/>
          <w:w w:val="105"/>
        </w:rPr>
        <w:t>Estado</w:t>
      </w:r>
      <w:r>
        <w:rPr>
          <w:color w:val="231F20"/>
          <w:spacing w:val="-43"/>
          <w:w w:val="105"/>
        </w:rPr>
        <w:t> </w:t>
      </w:r>
      <w:r>
        <w:rPr>
          <w:color w:val="231F20"/>
          <w:w w:val="105"/>
        </w:rPr>
        <w:t>y</w:t>
      </w:r>
      <w:r>
        <w:rPr>
          <w:color w:val="231F20"/>
          <w:spacing w:val="-43"/>
          <w:w w:val="105"/>
        </w:rPr>
        <w:t> </w:t>
      </w:r>
      <w:r>
        <w:rPr>
          <w:color w:val="231F20"/>
          <w:w w:val="105"/>
        </w:rPr>
        <w:t>preguntarnos si</w:t>
      </w:r>
      <w:r>
        <w:rPr>
          <w:color w:val="231F20"/>
          <w:spacing w:val="-18"/>
          <w:w w:val="105"/>
        </w:rPr>
        <w:t> </w:t>
      </w:r>
      <w:r>
        <w:rPr>
          <w:color w:val="231F20"/>
          <w:w w:val="105"/>
        </w:rPr>
        <w:t>entre</w:t>
      </w:r>
      <w:r>
        <w:rPr>
          <w:color w:val="231F20"/>
          <w:spacing w:val="-18"/>
          <w:w w:val="105"/>
        </w:rPr>
        <w:t> </w:t>
      </w:r>
      <w:r>
        <w:rPr>
          <w:color w:val="231F20"/>
          <w:w w:val="105"/>
        </w:rPr>
        <w:t>ambos</w:t>
      </w:r>
      <w:r>
        <w:rPr>
          <w:color w:val="231F20"/>
          <w:spacing w:val="-18"/>
          <w:w w:val="105"/>
        </w:rPr>
        <w:t> </w:t>
      </w:r>
      <w:r>
        <w:rPr>
          <w:color w:val="231F20"/>
          <w:w w:val="105"/>
        </w:rPr>
        <w:t>hay</w:t>
      </w:r>
      <w:r>
        <w:rPr>
          <w:color w:val="231F20"/>
          <w:spacing w:val="-18"/>
          <w:w w:val="105"/>
        </w:rPr>
        <w:t> </w:t>
      </w:r>
      <w:r>
        <w:rPr>
          <w:color w:val="231F20"/>
          <w:w w:val="105"/>
        </w:rPr>
        <w:t>una</w:t>
      </w:r>
      <w:r>
        <w:rPr>
          <w:color w:val="231F20"/>
          <w:spacing w:val="-18"/>
          <w:w w:val="105"/>
        </w:rPr>
        <w:t> </w:t>
      </w:r>
      <w:r>
        <w:rPr>
          <w:color w:val="231F20"/>
          <w:w w:val="105"/>
        </w:rPr>
        <w:t>relación</w:t>
      </w:r>
      <w:r>
        <w:rPr>
          <w:color w:val="231F20"/>
          <w:spacing w:val="-18"/>
          <w:w w:val="105"/>
        </w:rPr>
        <w:t> </w:t>
      </w:r>
      <w:r>
        <w:rPr>
          <w:color w:val="231F20"/>
          <w:w w:val="105"/>
        </w:rPr>
        <w:t>intrínseca</w:t>
      </w:r>
      <w:r>
        <w:rPr>
          <w:color w:val="231F20"/>
          <w:spacing w:val="-18"/>
          <w:w w:val="105"/>
        </w:rPr>
        <w:t> </w:t>
      </w:r>
      <w:r>
        <w:rPr>
          <w:color w:val="231F20"/>
          <w:w w:val="105"/>
        </w:rPr>
        <w:t>o</w:t>
      </w:r>
      <w:r>
        <w:rPr>
          <w:color w:val="231F20"/>
          <w:spacing w:val="-18"/>
          <w:w w:val="105"/>
        </w:rPr>
        <w:t> </w:t>
      </w:r>
      <w:r>
        <w:rPr>
          <w:color w:val="231F20"/>
          <w:w w:val="105"/>
        </w:rPr>
        <w:t>necesaria.</w:t>
      </w:r>
      <w:r>
        <w:rPr>
          <w:color w:val="231F20"/>
          <w:spacing w:val="-18"/>
          <w:w w:val="105"/>
        </w:rPr>
        <w:t> </w:t>
      </w:r>
      <w:r>
        <w:rPr>
          <w:color w:val="231F20"/>
          <w:w w:val="105"/>
        </w:rPr>
        <w:t>La</w:t>
      </w:r>
      <w:r>
        <w:rPr>
          <w:color w:val="231F20"/>
          <w:spacing w:val="-18"/>
          <w:w w:val="105"/>
        </w:rPr>
        <w:t> </w:t>
      </w:r>
      <w:r>
        <w:rPr>
          <w:color w:val="231F20"/>
          <w:w w:val="105"/>
        </w:rPr>
        <w:t>historia</w:t>
      </w:r>
      <w:r>
        <w:rPr>
          <w:color w:val="231F20"/>
          <w:spacing w:val="-18"/>
          <w:w w:val="105"/>
        </w:rPr>
        <w:t> </w:t>
      </w:r>
      <w:r>
        <w:rPr>
          <w:color w:val="231F20"/>
          <w:w w:val="105"/>
        </w:rPr>
        <w:t>ha</w:t>
      </w:r>
      <w:r>
        <w:rPr>
          <w:color w:val="231F20"/>
          <w:spacing w:val="-18"/>
          <w:w w:val="105"/>
        </w:rPr>
        <w:t> </w:t>
      </w:r>
      <w:r>
        <w:rPr>
          <w:color w:val="231F20"/>
          <w:w w:val="105"/>
        </w:rPr>
        <w:t>de- mostrado</w:t>
      </w:r>
      <w:r>
        <w:rPr>
          <w:color w:val="231F20"/>
          <w:spacing w:val="-40"/>
          <w:w w:val="105"/>
        </w:rPr>
        <w:t> </w:t>
      </w:r>
      <w:r>
        <w:rPr>
          <w:color w:val="231F20"/>
          <w:w w:val="105"/>
        </w:rPr>
        <w:t>que</w:t>
      </w:r>
      <w:r>
        <w:rPr>
          <w:color w:val="231F20"/>
          <w:spacing w:val="-40"/>
          <w:w w:val="105"/>
        </w:rPr>
        <w:t> </w:t>
      </w:r>
      <w:r>
        <w:rPr>
          <w:color w:val="231F20"/>
          <w:w w:val="105"/>
        </w:rPr>
        <w:t>la</w:t>
      </w:r>
      <w:r>
        <w:rPr>
          <w:color w:val="231F20"/>
          <w:spacing w:val="-40"/>
          <w:w w:val="105"/>
        </w:rPr>
        <w:t> </w:t>
      </w:r>
      <w:r>
        <w:rPr>
          <w:color w:val="231F20"/>
          <w:w w:val="105"/>
        </w:rPr>
        <w:t>vida</w:t>
      </w:r>
      <w:r>
        <w:rPr>
          <w:color w:val="231F20"/>
          <w:spacing w:val="-40"/>
          <w:w w:val="105"/>
        </w:rPr>
        <w:t> </w:t>
      </w:r>
      <w:r>
        <w:rPr>
          <w:color w:val="231F20"/>
          <w:w w:val="105"/>
        </w:rPr>
        <w:t>social</w:t>
      </w:r>
      <w:r>
        <w:rPr>
          <w:color w:val="231F20"/>
          <w:spacing w:val="-40"/>
          <w:w w:val="105"/>
        </w:rPr>
        <w:t> </w:t>
      </w:r>
      <w:r>
        <w:rPr>
          <w:color w:val="231F20"/>
          <w:w w:val="105"/>
        </w:rPr>
        <w:t>y</w:t>
      </w:r>
      <w:r>
        <w:rPr>
          <w:color w:val="231F20"/>
          <w:spacing w:val="-40"/>
          <w:w w:val="105"/>
        </w:rPr>
        <w:t> </w:t>
      </w:r>
      <w:r>
        <w:rPr>
          <w:color w:val="231F20"/>
          <w:w w:val="105"/>
        </w:rPr>
        <w:t>los</w:t>
      </w:r>
      <w:r>
        <w:rPr>
          <w:color w:val="231F20"/>
          <w:spacing w:val="-40"/>
          <w:w w:val="105"/>
        </w:rPr>
        <w:t> </w:t>
      </w:r>
      <w:r>
        <w:rPr>
          <w:color w:val="231F20"/>
          <w:w w:val="105"/>
        </w:rPr>
        <w:t>vínculos</w:t>
      </w:r>
      <w:r>
        <w:rPr>
          <w:color w:val="231F20"/>
          <w:spacing w:val="-40"/>
          <w:w w:val="105"/>
        </w:rPr>
        <w:t> </w:t>
      </w:r>
      <w:r>
        <w:rPr>
          <w:color w:val="231F20"/>
          <w:w w:val="105"/>
        </w:rPr>
        <w:t>humanos</w:t>
      </w:r>
      <w:r>
        <w:rPr>
          <w:color w:val="231F20"/>
          <w:spacing w:val="-40"/>
          <w:w w:val="105"/>
        </w:rPr>
        <w:t> </w:t>
      </w:r>
      <w:r>
        <w:rPr>
          <w:color w:val="231F20"/>
          <w:w w:val="105"/>
        </w:rPr>
        <w:t>no</w:t>
      </w:r>
      <w:r>
        <w:rPr>
          <w:color w:val="231F20"/>
          <w:spacing w:val="-40"/>
          <w:w w:val="105"/>
        </w:rPr>
        <w:t> </w:t>
      </w:r>
      <w:r>
        <w:rPr>
          <w:color w:val="231F20"/>
          <w:w w:val="105"/>
        </w:rPr>
        <w:t>se</w:t>
      </w:r>
      <w:r>
        <w:rPr>
          <w:color w:val="231F20"/>
          <w:spacing w:val="-40"/>
          <w:w w:val="105"/>
        </w:rPr>
        <w:t> </w:t>
      </w:r>
      <w:r>
        <w:rPr>
          <w:color w:val="231F20"/>
          <w:w w:val="105"/>
        </w:rPr>
        <w:t>resuelven</w:t>
      </w:r>
      <w:r>
        <w:rPr>
          <w:color w:val="231F20"/>
          <w:spacing w:val="-40"/>
          <w:w w:val="105"/>
        </w:rPr>
        <w:t> </w:t>
      </w:r>
      <w:r>
        <w:rPr>
          <w:color w:val="231F20"/>
          <w:w w:val="105"/>
        </w:rPr>
        <w:t>necesa- riamente</w:t>
      </w:r>
      <w:r>
        <w:rPr>
          <w:color w:val="231F20"/>
          <w:spacing w:val="-43"/>
          <w:w w:val="105"/>
        </w:rPr>
        <w:t> </w:t>
      </w:r>
      <w:r>
        <w:rPr>
          <w:color w:val="231F20"/>
          <w:w w:val="105"/>
        </w:rPr>
        <w:t>en</w:t>
      </w:r>
      <w:r>
        <w:rPr>
          <w:color w:val="231F20"/>
          <w:spacing w:val="-43"/>
          <w:w w:val="105"/>
        </w:rPr>
        <w:t> </w:t>
      </w:r>
      <w:r>
        <w:rPr>
          <w:color w:val="231F20"/>
          <w:w w:val="105"/>
        </w:rPr>
        <w:t>relaciones</w:t>
      </w:r>
      <w:r>
        <w:rPr>
          <w:color w:val="231F20"/>
          <w:spacing w:val="-43"/>
          <w:w w:val="105"/>
        </w:rPr>
        <w:t> </w:t>
      </w:r>
      <w:r>
        <w:rPr>
          <w:color w:val="231F20"/>
          <w:w w:val="105"/>
        </w:rPr>
        <w:t>contractuales</w:t>
      </w:r>
      <w:r>
        <w:rPr>
          <w:color w:val="231F20"/>
          <w:spacing w:val="-43"/>
          <w:w w:val="105"/>
        </w:rPr>
        <w:t> </w:t>
      </w:r>
      <w:r>
        <w:rPr>
          <w:color w:val="231F20"/>
          <w:w w:val="105"/>
        </w:rPr>
        <w:t>y</w:t>
      </w:r>
      <w:r>
        <w:rPr>
          <w:color w:val="231F20"/>
          <w:spacing w:val="-43"/>
          <w:w w:val="105"/>
        </w:rPr>
        <w:t> </w:t>
      </w:r>
      <w:r>
        <w:rPr>
          <w:color w:val="231F20"/>
          <w:w w:val="105"/>
        </w:rPr>
        <w:t>legales.</w:t>
      </w:r>
      <w:r>
        <w:rPr>
          <w:color w:val="231F20"/>
          <w:spacing w:val="-43"/>
          <w:w w:val="105"/>
        </w:rPr>
        <w:t> </w:t>
      </w:r>
      <w:r>
        <w:rPr>
          <w:color w:val="231F20"/>
          <w:w w:val="105"/>
        </w:rPr>
        <w:t>Pensar</w:t>
      </w:r>
      <w:r>
        <w:rPr>
          <w:color w:val="231F20"/>
          <w:spacing w:val="-43"/>
          <w:w w:val="105"/>
        </w:rPr>
        <w:t> </w:t>
      </w:r>
      <w:r>
        <w:rPr>
          <w:color w:val="231F20"/>
          <w:w w:val="105"/>
        </w:rPr>
        <w:t>el</w:t>
      </w:r>
      <w:r>
        <w:rPr>
          <w:color w:val="231F20"/>
          <w:spacing w:val="-43"/>
          <w:w w:val="105"/>
        </w:rPr>
        <w:t> </w:t>
      </w:r>
      <w:r>
        <w:rPr>
          <w:color w:val="231F20"/>
          <w:w w:val="105"/>
        </w:rPr>
        <w:t>futuro</w:t>
      </w:r>
      <w:r>
        <w:rPr>
          <w:color w:val="231F20"/>
          <w:spacing w:val="-43"/>
          <w:w w:val="105"/>
        </w:rPr>
        <w:t> </w:t>
      </w:r>
      <w:r>
        <w:rPr>
          <w:color w:val="231F20"/>
          <w:w w:val="105"/>
        </w:rPr>
        <w:t>tendría</w:t>
      </w:r>
      <w:r>
        <w:rPr>
          <w:color w:val="231F20"/>
          <w:spacing w:val="-43"/>
          <w:w w:val="105"/>
        </w:rPr>
        <w:t> </w:t>
      </w:r>
      <w:r>
        <w:rPr>
          <w:color w:val="231F20"/>
          <w:w w:val="105"/>
        </w:rPr>
        <w:t>que ser</w:t>
      </w:r>
      <w:r>
        <w:rPr>
          <w:color w:val="231F20"/>
          <w:spacing w:val="-12"/>
          <w:w w:val="105"/>
        </w:rPr>
        <w:t> </w:t>
      </w:r>
      <w:r>
        <w:rPr>
          <w:color w:val="231F20"/>
          <w:w w:val="105"/>
        </w:rPr>
        <w:t>una</w:t>
      </w:r>
      <w:r>
        <w:rPr>
          <w:color w:val="231F20"/>
          <w:spacing w:val="-12"/>
          <w:w w:val="105"/>
        </w:rPr>
        <w:t> </w:t>
      </w:r>
      <w:r>
        <w:rPr>
          <w:color w:val="231F20"/>
          <w:w w:val="105"/>
        </w:rPr>
        <w:t>invitación</w:t>
      </w:r>
      <w:r>
        <w:rPr>
          <w:color w:val="231F20"/>
          <w:spacing w:val="-12"/>
          <w:w w:val="105"/>
        </w:rPr>
        <w:t> </w:t>
      </w:r>
      <w:r>
        <w:rPr>
          <w:color w:val="231F20"/>
          <w:w w:val="105"/>
        </w:rPr>
        <w:t>a</w:t>
      </w:r>
      <w:r>
        <w:rPr>
          <w:color w:val="231F20"/>
          <w:spacing w:val="-12"/>
          <w:w w:val="105"/>
        </w:rPr>
        <w:t> </w:t>
      </w:r>
      <w:r>
        <w:rPr>
          <w:color w:val="231F20"/>
          <w:w w:val="105"/>
        </w:rPr>
        <w:t>reflexionar</w:t>
      </w:r>
      <w:r>
        <w:rPr>
          <w:color w:val="231F20"/>
          <w:spacing w:val="-12"/>
          <w:w w:val="105"/>
        </w:rPr>
        <w:t> </w:t>
      </w:r>
      <w:r>
        <w:rPr>
          <w:color w:val="231F20"/>
          <w:w w:val="105"/>
        </w:rPr>
        <w:t>sobre</w:t>
      </w:r>
      <w:r>
        <w:rPr>
          <w:color w:val="231F20"/>
          <w:spacing w:val="-12"/>
          <w:w w:val="105"/>
        </w:rPr>
        <w:t> </w:t>
      </w:r>
      <w:r>
        <w:rPr>
          <w:color w:val="231F20"/>
          <w:w w:val="105"/>
        </w:rPr>
        <w:t>otras</w:t>
      </w:r>
      <w:r>
        <w:rPr>
          <w:color w:val="231F20"/>
          <w:spacing w:val="-12"/>
          <w:w w:val="105"/>
        </w:rPr>
        <w:t> </w:t>
      </w:r>
      <w:r>
        <w:rPr>
          <w:color w:val="231F20"/>
          <w:w w:val="105"/>
        </w:rPr>
        <w:t>formas</w:t>
      </w:r>
      <w:r>
        <w:rPr>
          <w:color w:val="231F20"/>
          <w:spacing w:val="-12"/>
          <w:w w:val="105"/>
        </w:rPr>
        <w:t> </w:t>
      </w:r>
      <w:r>
        <w:rPr>
          <w:color w:val="231F20"/>
          <w:w w:val="105"/>
        </w:rPr>
        <w:t>de</w:t>
      </w:r>
      <w:r>
        <w:rPr>
          <w:color w:val="231F20"/>
          <w:spacing w:val="-12"/>
          <w:w w:val="105"/>
        </w:rPr>
        <w:t> </w:t>
      </w:r>
      <w:r>
        <w:rPr>
          <w:color w:val="231F20"/>
          <w:w w:val="105"/>
        </w:rPr>
        <w:t>relación</w:t>
      </w:r>
      <w:r>
        <w:rPr>
          <w:color w:val="231F20"/>
          <w:spacing w:val="-12"/>
          <w:w w:val="105"/>
        </w:rPr>
        <w:t> </w:t>
      </w:r>
      <w:r>
        <w:rPr>
          <w:color w:val="231F20"/>
          <w:w w:val="105"/>
        </w:rPr>
        <w:t>marcadas quizá por la </w:t>
      </w:r>
      <w:r>
        <w:rPr>
          <w:rFonts w:ascii="Arial" w:hAnsi="Arial"/>
          <w:i/>
          <w:color w:val="231F20"/>
          <w:w w:val="105"/>
        </w:rPr>
        <w:t>filia</w:t>
      </w:r>
      <w:r>
        <w:rPr>
          <w:color w:val="231F20"/>
          <w:w w:val="105"/>
        </w:rPr>
        <w:t>, por la recuperación de un marco de amistad, entendi- da</w:t>
      </w:r>
      <w:r>
        <w:rPr>
          <w:color w:val="231F20"/>
          <w:spacing w:val="-12"/>
          <w:w w:val="105"/>
        </w:rPr>
        <w:t> </w:t>
      </w:r>
      <w:r>
        <w:rPr>
          <w:color w:val="231F20"/>
          <w:w w:val="105"/>
        </w:rPr>
        <w:t>como</w:t>
      </w:r>
      <w:r>
        <w:rPr>
          <w:color w:val="231F20"/>
          <w:spacing w:val="-12"/>
          <w:w w:val="105"/>
        </w:rPr>
        <w:t> </w:t>
      </w:r>
      <w:r>
        <w:rPr>
          <w:color w:val="231F20"/>
          <w:w w:val="105"/>
        </w:rPr>
        <w:t>relación</w:t>
      </w:r>
      <w:r>
        <w:rPr>
          <w:color w:val="231F20"/>
          <w:spacing w:val="-12"/>
          <w:w w:val="105"/>
        </w:rPr>
        <w:t> </w:t>
      </w:r>
      <w:r>
        <w:rPr>
          <w:color w:val="231F20"/>
          <w:w w:val="105"/>
        </w:rPr>
        <w:t>adecuada</w:t>
      </w:r>
      <w:r>
        <w:rPr>
          <w:color w:val="231F20"/>
          <w:spacing w:val="-12"/>
          <w:w w:val="105"/>
        </w:rPr>
        <w:t> </w:t>
      </w:r>
      <w:r>
        <w:rPr>
          <w:color w:val="231F20"/>
          <w:w w:val="105"/>
        </w:rPr>
        <w:t>(medida)</w:t>
      </w:r>
      <w:r>
        <w:rPr>
          <w:color w:val="231F20"/>
          <w:spacing w:val="-12"/>
          <w:w w:val="105"/>
        </w:rPr>
        <w:t> </w:t>
      </w:r>
      <w:r>
        <w:rPr>
          <w:color w:val="231F20"/>
          <w:w w:val="105"/>
        </w:rPr>
        <w:t>entre</w:t>
      </w:r>
      <w:r>
        <w:rPr>
          <w:color w:val="231F20"/>
          <w:spacing w:val="-12"/>
          <w:w w:val="105"/>
        </w:rPr>
        <w:t> </w:t>
      </w:r>
      <w:r>
        <w:rPr>
          <w:color w:val="231F20"/>
          <w:w w:val="105"/>
        </w:rPr>
        <w:t>inferiores</w:t>
      </w:r>
      <w:r>
        <w:rPr>
          <w:color w:val="231F20"/>
          <w:spacing w:val="-12"/>
          <w:w w:val="105"/>
        </w:rPr>
        <w:t> </w:t>
      </w:r>
      <w:r>
        <w:rPr>
          <w:color w:val="231F20"/>
          <w:w w:val="105"/>
        </w:rPr>
        <w:t>y</w:t>
      </w:r>
      <w:r>
        <w:rPr>
          <w:color w:val="231F20"/>
          <w:spacing w:val="-12"/>
          <w:w w:val="105"/>
        </w:rPr>
        <w:t> </w:t>
      </w:r>
      <w:r>
        <w:rPr>
          <w:color w:val="231F20"/>
          <w:w w:val="105"/>
        </w:rPr>
        <w:t>superiores</w:t>
      </w:r>
      <w:r>
        <w:rPr>
          <w:color w:val="231F20"/>
          <w:spacing w:val="-12"/>
          <w:w w:val="105"/>
        </w:rPr>
        <w:t> </w:t>
      </w:r>
      <w:r>
        <w:rPr>
          <w:color w:val="231F20"/>
          <w:w w:val="105"/>
        </w:rPr>
        <w:t>en</w:t>
      </w:r>
      <w:r>
        <w:rPr>
          <w:color w:val="231F20"/>
          <w:spacing w:val="-12"/>
          <w:w w:val="105"/>
        </w:rPr>
        <w:t> </w:t>
      </w:r>
      <w:r>
        <w:rPr>
          <w:color w:val="231F20"/>
          <w:w w:val="105"/>
        </w:rPr>
        <w:t>un cuadro</w:t>
      </w:r>
      <w:r>
        <w:rPr>
          <w:color w:val="231F20"/>
          <w:spacing w:val="-17"/>
          <w:w w:val="105"/>
        </w:rPr>
        <w:t> </w:t>
      </w:r>
      <w:r>
        <w:rPr>
          <w:color w:val="231F20"/>
          <w:w w:val="105"/>
        </w:rPr>
        <w:t>de</w:t>
      </w:r>
      <w:r>
        <w:rPr>
          <w:color w:val="231F20"/>
          <w:spacing w:val="-17"/>
          <w:w w:val="105"/>
        </w:rPr>
        <w:t> </w:t>
      </w:r>
      <w:r>
        <w:rPr>
          <w:color w:val="231F20"/>
          <w:w w:val="105"/>
        </w:rPr>
        <w:t>dignidad</w:t>
      </w:r>
      <w:r>
        <w:rPr>
          <w:color w:val="231F20"/>
          <w:spacing w:val="-17"/>
          <w:w w:val="105"/>
        </w:rPr>
        <w:t> </w:t>
      </w:r>
      <w:r>
        <w:rPr>
          <w:color w:val="231F20"/>
          <w:w w:val="105"/>
        </w:rPr>
        <w:t>y</w:t>
      </w:r>
      <w:r>
        <w:rPr>
          <w:color w:val="231F20"/>
          <w:spacing w:val="-17"/>
          <w:w w:val="105"/>
        </w:rPr>
        <w:t> </w:t>
      </w:r>
      <w:r>
        <w:rPr>
          <w:color w:val="231F20"/>
          <w:w w:val="105"/>
        </w:rPr>
        <w:t>libertad,</w:t>
      </w:r>
      <w:r>
        <w:rPr>
          <w:color w:val="231F20"/>
          <w:spacing w:val="-17"/>
          <w:w w:val="105"/>
        </w:rPr>
        <w:t> </w:t>
      </w:r>
      <w:r>
        <w:rPr>
          <w:color w:val="231F20"/>
          <w:w w:val="105"/>
        </w:rPr>
        <w:t>pero</w:t>
      </w:r>
      <w:r>
        <w:rPr>
          <w:color w:val="231F20"/>
          <w:spacing w:val="-17"/>
          <w:w w:val="105"/>
        </w:rPr>
        <w:t> </w:t>
      </w:r>
      <w:r>
        <w:rPr>
          <w:color w:val="231F20"/>
          <w:w w:val="105"/>
        </w:rPr>
        <w:t>sobre</w:t>
      </w:r>
      <w:r>
        <w:rPr>
          <w:color w:val="231F20"/>
          <w:spacing w:val="-17"/>
          <w:w w:val="105"/>
        </w:rPr>
        <w:t> </w:t>
      </w:r>
      <w:r>
        <w:rPr>
          <w:color w:val="231F20"/>
          <w:w w:val="105"/>
        </w:rPr>
        <w:t>todo,</w:t>
      </w:r>
      <w:r>
        <w:rPr>
          <w:color w:val="231F20"/>
          <w:spacing w:val="-17"/>
          <w:w w:val="105"/>
        </w:rPr>
        <w:t> </w:t>
      </w:r>
      <w:r>
        <w:rPr>
          <w:color w:val="231F20"/>
          <w:w w:val="105"/>
        </w:rPr>
        <w:t>en</w:t>
      </w:r>
      <w:r>
        <w:rPr>
          <w:color w:val="231F20"/>
          <w:spacing w:val="-17"/>
          <w:w w:val="105"/>
        </w:rPr>
        <w:t> </w:t>
      </w:r>
      <w:r>
        <w:rPr>
          <w:color w:val="231F20"/>
          <w:w w:val="105"/>
        </w:rPr>
        <w:t>una</w:t>
      </w:r>
      <w:r>
        <w:rPr>
          <w:color w:val="231F20"/>
          <w:spacing w:val="-17"/>
          <w:w w:val="105"/>
        </w:rPr>
        <w:t> </w:t>
      </w:r>
      <w:r>
        <w:rPr>
          <w:color w:val="231F20"/>
          <w:w w:val="105"/>
        </w:rPr>
        <w:t>nuevo</w:t>
      </w:r>
      <w:r>
        <w:rPr>
          <w:color w:val="231F20"/>
          <w:spacing w:val="-17"/>
          <w:w w:val="105"/>
        </w:rPr>
        <w:t> </w:t>
      </w:r>
      <w:r>
        <w:rPr>
          <w:color w:val="231F20"/>
          <w:w w:val="105"/>
        </w:rPr>
        <w:t>paradigma de</w:t>
      </w:r>
      <w:r>
        <w:rPr>
          <w:color w:val="231F20"/>
          <w:spacing w:val="-19"/>
          <w:w w:val="105"/>
        </w:rPr>
        <w:t> </w:t>
      </w:r>
      <w:r>
        <w:rPr>
          <w:rFonts w:ascii="Arial" w:hAnsi="Arial"/>
          <w:i/>
          <w:color w:val="231F20"/>
          <w:w w:val="105"/>
        </w:rPr>
        <w:t>comunidad</w:t>
      </w:r>
      <w:r>
        <w:rPr>
          <w:rFonts w:ascii="Calibri" w:hAnsi="Calibri"/>
          <w:i/>
          <w:color w:val="231F20"/>
          <w:w w:val="105"/>
        </w:rPr>
        <w:t>. </w:t>
      </w:r>
      <w:r>
        <w:rPr>
          <w:color w:val="231F20"/>
          <w:w w:val="105"/>
        </w:rPr>
        <w:t>La</w:t>
      </w:r>
      <w:r>
        <w:rPr>
          <w:color w:val="231F20"/>
          <w:spacing w:val="-19"/>
          <w:w w:val="105"/>
        </w:rPr>
        <w:t> </w:t>
      </w:r>
      <w:r>
        <w:rPr>
          <w:color w:val="231F20"/>
          <w:w w:val="105"/>
        </w:rPr>
        <w:t>intención</w:t>
      </w:r>
      <w:r>
        <w:rPr>
          <w:color w:val="231F20"/>
          <w:spacing w:val="-19"/>
          <w:w w:val="105"/>
        </w:rPr>
        <w:t> </w:t>
      </w:r>
      <w:r>
        <w:rPr>
          <w:color w:val="231F20"/>
          <w:w w:val="105"/>
        </w:rPr>
        <w:t>final</w:t>
      </w:r>
      <w:r>
        <w:rPr>
          <w:color w:val="231F20"/>
          <w:spacing w:val="-19"/>
          <w:w w:val="105"/>
        </w:rPr>
        <w:t> </w:t>
      </w:r>
      <w:r>
        <w:rPr>
          <w:color w:val="231F20"/>
          <w:w w:val="105"/>
        </w:rPr>
        <w:t>del</w:t>
      </w:r>
      <w:r>
        <w:rPr>
          <w:color w:val="231F20"/>
          <w:spacing w:val="-19"/>
          <w:w w:val="105"/>
        </w:rPr>
        <w:t> </w:t>
      </w:r>
      <w:r>
        <w:rPr>
          <w:color w:val="231F20"/>
          <w:w w:val="105"/>
        </w:rPr>
        <w:t>ensayo</w:t>
      </w:r>
      <w:r>
        <w:rPr>
          <w:color w:val="231F20"/>
          <w:spacing w:val="-19"/>
          <w:w w:val="105"/>
        </w:rPr>
        <w:t> </w:t>
      </w:r>
      <w:r>
        <w:rPr>
          <w:color w:val="231F20"/>
          <w:w w:val="105"/>
        </w:rPr>
        <w:t>es</w:t>
      </w:r>
      <w:r>
        <w:rPr>
          <w:color w:val="231F20"/>
          <w:spacing w:val="-19"/>
          <w:w w:val="105"/>
        </w:rPr>
        <w:t> </w:t>
      </w:r>
      <w:r>
        <w:rPr>
          <w:color w:val="231F20"/>
          <w:w w:val="105"/>
        </w:rPr>
        <w:t>provocarnos</w:t>
      </w:r>
      <w:r>
        <w:rPr>
          <w:color w:val="231F20"/>
          <w:spacing w:val="-19"/>
          <w:w w:val="105"/>
        </w:rPr>
        <w:t> </w:t>
      </w:r>
      <w:r>
        <w:rPr>
          <w:color w:val="231F20"/>
          <w:w w:val="105"/>
        </w:rPr>
        <w:t>a</w:t>
      </w:r>
      <w:r>
        <w:rPr>
          <w:color w:val="231F20"/>
          <w:spacing w:val="-19"/>
          <w:w w:val="105"/>
        </w:rPr>
        <w:t> </w:t>
      </w:r>
      <w:r>
        <w:rPr>
          <w:color w:val="231F20"/>
          <w:w w:val="105"/>
        </w:rPr>
        <w:t>reflexionar sobre si el Estado tiene un carácter ineluctable o sólo circunstancial.</w:t>
      </w:r>
      <w:r>
        <w:rPr>
          <w:color w:val="231F20"/>
          <w:spacing w:val="-13"/>
          <w:w w:val="105"/>
        </w:rPr>
        <w:t> </w:t>
      </w:r>
      <w:r>
        <w:rPr>
          <w:color w:val="231F20"/>
          <w:w w:val="105"/>
        </w:rPr>
        <w:t>La globalización y todo lo que ella ha implicado es precisamente lo que ha puesto</w:t>
      </w:r>
      <w:r>
        <w:rPr>
          <w:color w:val="231F20"/>
          <w:spacing w:val="-37"/>
          <w:w w:val="105"/>
        </w:rPr>
        <w:t> </w:t>
      </w:r>
      <w:r>
        <w:rPr>
          <w:color w:val="231F20"/>
          <w:w w:val="105"/>
        </w:rPr>
        <w:t>sobre</w:t>
      </w:r>
      <w:r>
        <w:rPr>
          <w:color w:val="231F20"/>
          <w:spacing w:val="-37"/>
          <w:w w:val="105"/>
        </w:rPr>
        <w:t> </w:t>
      </w:r>
      <w:r>
        <w:rPr>
          <w:color w:val="231F20"/>
          <w:w w:val="105"/>
        </w:rPr>
        <w:t>la</w:t>
      </w:r>
      <w:r>
        <w:rPr>
          <w:color w:val="231F20"/>
          <w:spacing w:val="-37"/>
          <w:w w:val="105"/>
        </w:rPr>
        <w:t> </w:t>
      </w:r>
      <w:r>
        <w:rPr>
          <w:color w:val="231F20"/>
          <w:w w:val="105"/>
        </w:rPr>
        <w:t>mesa</w:t>
      </w:r>
      <w:r>
        <w:rPr>
          <w:color w:val="231F20"/>
          <w:spacing w:val="-37"/>
          <w:w w:val="105"/>
        </w:rPr>
        <w:t> </w:t>
      </w:r>
      <w:r>
        <w:rPr>
          <w:color w:val="231F20"/>
          <w:w w:val="105"/>
        </w:rPr>
        <w:t>tal</w:t>
      </w:r>
      <w:r>
        <w:rPr>
          <w:color w:val="231F20"/>
          <w:spacing w:val="-37"/>
          <w:w w:val="105"/>
        </w:rPr>
        <w:t> </w:t>
      </w:r>
      <w:r>
        <w:rPr>
          <w:color w:val="231F20"/>
          <w:w w:val="105"/>
        </w:rPr>
        <w:t>interrogante.</w:t>
      </w:r>
    </w:p>
    <w:p>
      <w:pPr>
        <w:pStyle w:val="BodyText"/>
        <w:spacing w:line="244" w:lineRule="auto" w:before="1"/>
        <w:ind w:left="103" w:right="115" w:firstLine="566"/>
        <w:jc w:val="both"/>
      </w:pPr>
      <w:r>
        <w:rPr>
          <w:color w:val="231F20"/>
        </w:rPr>
        <w:t>Por su parte, Israel Covarrubias, en “‘El afuera siempre es adentro’. </w:t>
      </w:r>
      <w:r>
        <w:rPr>
          <w:color w:val="231F20"/>
          <w:spacing w:val="-3"/>
        </w:rPr>
        <w:t>Tensiones </w:t>
      </w:r>
      <w:r>
        <w:rPr>
          <w:color w:val="231F20"/>
        </w:rPr>
        <w:t>y transformaciones recientes en el espacio político del Estado y la democracia”, aborda el papel del Estado en un mundo globalizado y las circunstancias que los desestabilizan. Aquí también el punto de partida es una paradoja: la del desfasamiento entre la reproducción de la vida social y el proceso institucional de aseguramiento del bienestar. Esta contradic- ción</w:t>
      </w:r>
      <w:r>
        <w:rPr>
          <w:color w:val="231F20"/>
          <w:spacing w:val="-12"/>
        </w:rPr>
        <w:t> </w:t>
      </w:r>
      <w:r>
        <w:rPr>
          <w:color w:val="231F20"/>
        </w:rPr>
        <w:t>enfrenta,</w:t>
      </w:r>
      <w:r>
        <w:rPr>
          <w:color w:val="231F20"/>
          <w:spacing w:val="-12"/>
        </w:rPr>
        <w:t> </w:t>
      </w:r>
      <w:r>
        <w:rPr>
          <w:color w:val="231F20"/>
        </w:rPr>
        <w:t>por</w:t>
      </w:r>
      <w:r>
        <w:rPr>
          <w:color w:val="231F20"/>
          <w:spacing w:val="-12"/>
        </w:rPr>
        <w:t> </w:t>
      </w:r>
      <w:r>
        <w:rPr>
          <w:color w:val="231F20"/>
        </w:rPr>
        <w:t>un</w:t>
      </w:r>
      <w:r>
        <w:rPr>
          <w:color w:val="231F20"/>
          <w:spacing w:val="-12"/>
        </w:rPr>
        <w:t> </w:t>
      </w:r>
      <w:r>
        <w:rPr>
          <w:color w:val="231F20"/>
        </w:rPr>
        <w:t>lado,</w:t>
      </w:r>
      <w:r>
        <w:rPr>
          <w:color w:val="231F20"/>
          <w:spacing w:val="-12"/>
        </w:rPr>
        <w:t> </w:t>
      </w:r>
      <w:r>
        <w:rPr>
          <w:color w:val="231F20"/>
        </w:rPr>
        <w:t>el</w:t>
      </w:r>
      <w:r>
        <w:rPr>
          <w:color w:val="231F20"/>
          <w:spacing w:val="-12"/>
        </w:rPr>
        <w:t> </w:t>
      </w:r>
      <w:r>
        <w:rPr>
          <w:color w:val="231F20"/>
        </w:rPr>
        <w:t>agotamiento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estructuras</w:t>
      </w:r>
      <w:r>
        <w:rPr>
          <w:color w:val="231F20"/>
          <w:spacing w:val="-12"/>
        </w:rPr>
        <w:t> </w:t>
      </w:r>
      <w:r>
        <w:rPr>
          <w:color w:val="231F20"/>
        </w:rPr>
        <w:t>de</w:t>
      </w:r>
      <w:r>
        <w:rPr>
          <w:color w:val="231F20"/>
          <w:spacing w:val="-12"/>
        </w:rPr>
        <w:t> </w:t>
      </w:r>
      <w:r>
        <w:rPr>
          <w:color w:val="231F20"/>
        </w:rPr>
        <w:t>bienestar</w:t>
      </w:r>
      <w:r>
        <w:rPr>
          <w:color w:val="231F20"/>
          <w:spacing w:val="-12"/>
        </w:rPr>
        <w:t> </w:t>
      </w:r>
      <w:r>
        <w:rPr>
          <w:color w:val="231F20"/>
          <w:spacing w:val="-10"/>
        </w:rPr>
        <w:t>y, </w:t>
      </w:r>
      <w:r>
        <w:rPr>
          <w:color w:val="231F20"/>
        </w:rPr>
        <w:t>por otro, el ascenso de la democracia como </w:t>
      </w:r>
      <w:r>
        <w:rPr>
          <w:rFonts w:ascii="Arial" w:hAnsi="Arial"/>
          <w:i/>
          <w:color w:val="231F20"/>
        </w:rPr>
        <w:t>forma global </w:t>
      </w:r>
      <w:r>
        <w:rPr>
          <w:color w:val="231F20"/>
        </w:rPr>
        <w:t>de gobierno. En otros términos, mantener el ideal del Estado democrático, en una realidad social y política en donde ya no es posible sostener el Estado de</w:t>
      </w:r>
      <w:r>
        <w:rPr>
          <w:color w:val="231F20"/>
          <w:spacing w:val="-21"/>
        </w:rPr>
        <w:t> </w:t>
      </w:r>
      <w:r>
        <w:rPr>
          <w:color w:val="231F20"/>
        </w:rPr>
        <w:t>bienestar, ha implicado la emergencia de un universo </w:t>
      </w:r>
      <w:r>
        <w:rPr>
          <w:rFonts w:ascii="Arial" w:hAnsi="Arial"/>
          <w:i/>
          <w:color w:val="231F20"/>
        </w:rPr>
        <w:t>infraestatal</w:t>
      </w:r>
      <w:r>
        <w:rPr>
          <w:color w:val="231F20"/>
        </w:rPr>
        <w:t>, que montado en</w:t>
      </w:r>
      <w:r>
        <w:rPr>
          <w:color w:val="231F20"/>
          <w:spacing w:val="-28"/>
        </w:rPr>
        <w:t> </w:t>
      </w:r>
      <w:r>
        <w:rPr>
          <w:color w:val="231F20"/>
        </w:rPr>
        <w:t>la lógica del secreto y la clandestinidad, ha terminado por producir crimina- lidad</w:t>
      </w:r>
      <w:r>
        <w:rPr>
          <w:color w:val="231F20"/>
          <w:spacing w:val="-7"/>
        </w:rPr>
        <w:t> </w:t>
      </w:r>
      <w:r>
        <w:rPr>
          <w:color w:val="231F20"/>
        </w:rPr>
        <w:t>y</w:t>
      </w:r>
      <w:r>
        <w:rPr>
          <w:color w:val="231F20"/>
          <w:spacing w:val="-7"/>
        </w:rPr>
        <w:t> </w:t>
      </w:r>
      <w:r>
        <w:rPr>
          <w:color w:val="231F20"/>
        </w:rPr>
        <w:t>violencia.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configuración</w:t>
      </w:r>
      <w:r>
        <w:rPr>
          <w:color w:val="231F20"/>
          <w:spacing w:val="-7"/>
        </w:rPr>
        <w:t> </w:t>
      </w:r>
      <w:r>
        <w:rPr>
          <w:color w:val="231F20"/>
        </w:rPr>
        <w:t>de</w:t>
      </w:r>
      <w:r>
        <w:rPr>
          <w:color w:val="231F20"/>
          <w:spacing w:val="-7"/>
        </w:rPr>
        <w:t> </w:t>
      </w:r>
      <w:r>
        <w:rPr>
          <w:color w:val="231F20"/>
        </w:rPr>
        <w:t>esta</w:t>
      </w:r>
      <w:r>
        <w:rPr>
          <w:color w:val="231F20"/>
          <w:spacing w:val="-7"/>
        </w:rPr>
        <w:t> </w:t>
      </w:r>
      <w:r>
        <w:rPr>
          <w:rFonts w:ascii="Arial" w:hAnsi="Arial"/>
          <w:i/>
          <w:color w:val="231F20"/>
        </w:rPr>
        <w:t>soberanía</w:t>
      </w:r>
      <w:r>
        <w:rPr>
          <w:rFonts w:ascii="Arial" w:hAnsi="Arial"/>
          <w:i/>
          <w:color w:val="231F20"/>
          <w:spacing w:val="1"/>
        </w:rPr>
        <w:t> </w:t>
      </w:r>
      <w:r>
        <w:rPr>
          <w:rFonts w:ascii="Arial" w:hAnsi="Arial"/>
          <w:i/>
          <w:color w:val="231F20"/>
        </w:rPr>
        <w:t>criminal</w:t>
      </w:r>
      <w:r>
        <w:rPr>
          <w:rFonts w:ascii="Arial" w:hAnsi="Arial"/>
          <w:i/>
          <w:color w:val="231F20"/>
          <w:spacing w:val="1"/>
        </w:rPr>
        <w:t> </w:t>
      </w:r>
      <w:r>
        <w:rPr>
          <w:color w:val="231F20"/>
        </w:rPr>
        <w:t>se</w:t>
      </w:r>
      <w:r>
        <w:rPr>
          <w:color w:val="231F20"/>
          <w:spacing w:val="-6"/>
        </w:rPr>
        <w:t> </w:t>
      </w:r>
      <w:r>
        <w:rPr>
          <w:color w:val="231F20"/>
        </w:rPr>
        <w:t>ha</w:t>
      </w:r>
      <w:r>
        <w:rPr>
          <w:color w:val="231F20"/>
          <w:spacing w:val="-6"/>
        </w:rPr>
        <w:t> </w:t>
      </w:r>
      <w:r>
        <w:rPr>
          <w:color w:val="231F20"/>
        </w:rPr>
        <w:t>dado lugar a un ambiente de creciente miedo e inseguridad. Ante tal panorama, es necesaria la búsqueda de alternativas viables para sostener el ideal de- mocrático basado en la política del bienestar, ya que en las condiciones actuales sólo podremos esperar la generación cada vez más decidida de anomia e</w:t>
      </w:r>
      <w:r>
        <w:rPr>
          <w:color w:val="231F20"/>
          <w:spacing w:val="21"/>
        </w:rPr>
        <w:t> </w:t>
      </w:r>
      <w:r>
        <w:rPr>
          <w:color w:val="231F20"/>
        </w:rPr>
        <w:t>inseguridad.</w:t>
      </w:r>
    </w:p>
    <w:p>
      <w:pPr>
        <w:pStyle w:val="BodyText"/>
        <w:spacing w:line="247" w:lineRule="auto" w:before="1"/>
        <w:ind w:left="103" w:right="115" w:firstLine="566"/>
        <w:jc w:val="both"/>
      </w:pPr>
      <w:r>
        <w:rPr>
          <w:color w:val="231F20"/>
        </w:rPr>
        <w:t>El trabajo “Asuntos de frontera. Soberanía territorial y orden glo-  bal en el debate sobre el ‘nuevo intervencionismo humanitario’”, de Luca Scuccimarra,</w:t>
      </w:r>
      <w:r>
        <w:rPr>
          <w:color w:val="231F20"/>
          <w:spacing w:val="-5"/>
        </w:rPr>
        <w:t> </w:t>
      </w:r>
      <w:r>
        <w:rPr>
          <w:color w:val="231F20"/>
        </w:rPr>
        <w:t>hace</w:t>
      </w:r>
      <w:r>
        <w:rPr>
          <w:color w:val="231F20"/>
          <w:spacing w:val="-5"/>
        </w:rPr>
        <w:t> </w:t>
      </w:r>
      <w:r>
        <w:rPr>
          <w:color w:val="231F20"/>
        </w:rPr>
        <w:t>un</w:t>
      </w:r>
      <w:r>
        <w:rPr>
          <w:color w:val="231F20"/>
          <w:spacing w:val="-5"/>
        </w:rPr>
        <w:t> </w:t>
      </w:r>
      <w:r>
        <w:rPr>
          <w:color w:val="231F20"/>
        </w:rPr>
        <w:t>interesante</w:t>
      </w:r>
      <w:r>
        <w:rPr>
          <w:color w:val="231F20"/>
          <w:spacing w:val="-5"/>
        </w:rPr>
        <w:t> </w:t>
      </w:r>
      <w:r>
        <w:rPr>
          <w:color w:val="231F20"/>
        </w:rPr>
        <w:t>recorrido</w:t>
      </w:r>
      <w:r>
        <w:rPr>
          <w:color w:val="231F20"/>
          <w:spacing w:val="-5"/>
        </w:rPr>
        <w:t> </w:t>
      </w:r>
      <w:r>
        <w:rPr>
          <w:color w:val="231F20"/>
        </w:rPr>
        <w:t>sobre</w:t>
      </w:r>
      <w:r>
        <w:rPr>
          <w:color w:val="231F20"/>
          <w:spacing w:val="-5"/>
        </w:rPr>
        <w:t> </w:t>
      </w:r>
      <w:r>
        <w:rPr>
          <w:color w:val="231F20"/>
        </w:rPr>
        <w:t>el</w:t>
      </w:r>
      <w:r>
        <w:rPr>
          <w:color w:val="231F20"/>
          <w:spacing w:val="-5"/>
        </w:rPr>
        <w:t> </w:t>
      </w:r>
      <w:r>
        <w:rPr>
          <w:color w:val="231F20"/>
        </w:rPr>
        <w:t>tema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soberanía</w:t>
      </w:r>
      <w:r>
        <w:rPr>
          <w:color w:val="231F20"/>
          <w:spacing w:val="-5"/>
        </w:rPr>
        <w:t> </w:t>
      </w:r>
      <w:r>
        <w:rPr>
          <w:color w:val="231F20"/>
        </w:rPr>
        <w:t>y sus</w:t>
      </w:r>
      <w:r>
        <w:rPr>
          <w:color w:val="231F20"/>
          <w:spacing w:val="-6"/>
        </w:rPr>
        <w:t> </w:t>
      </w:r>
      <w:r>
        <w:rPr>
          <w:color w:val="231F20"/>
        </w:rPr>
        <w:t>fundamentos</w:t>
      </w:r>
      <w:r>
        <w:rPr>
          <w:color w:val="231F20"/>
          <w:spacing w:val="-6"/>
        </w:rPr>
        <w:t> </w:t>
      </w:r>
      <w:r>
        <w:rPr>
          <w:color w:val="231F20"/>
        </w:rPr>
        <w:t>normativos.</w:t>
      </w:r>
      <w:r>
        <w:rPr>
          <w:color w:val="231F20"/>
          <w:spacing w:val="-6"/>
        </w:rPr>
        <w:t> </w:t>
      </w:r>
      <w:r>
        <w:rPr>
          <w:color w:val="231F20"/>
          <w:spacing w:val="-3"/>
        </w:rPr>
        <w:t>Trayendo</w:t>
      </w:r>
      <w:r>
        <w:rPr>
          <w:color w:val="231F20"/>
          <w:spacing w:val="-6"/>
        </w:rPr>
        <w:t> </w:t>
      </w:r>
      <w:r>
        <w:rPr>
          <w:color w:val="231F20"/>
        </w:rPr>
        <w:t>a</w:t>
      </w:r>
      <w:r>
        <w:rPr>
          <w:color w:val="231F20"/>
          <w:spacing w:val="-6"/>
        </w:rPr>
        <w:t> </w:t>
      </w:r>
      <w:r>
        <w:rPr>
          <w:color w:val="231F20"/>
        </w:rPr>
        <w:t>cuenta</w:t>
      </w:r>
      <w:r>
        <w:rPr>
          <w:color w:val="231F20"/>
          <w:spacing w:val="-6"/>
        </w:rPr>
        <w:t> </w:t>
      </w:r>
      <w:r>
        <w:rPr>
          <w:color w:val="231F20"/>
        </w:rPr>
        <w:t>posturas</w:t>
      </w:r>
      <w:r>
        <w:rPr>
          <w:color w:val="231F20"/>
          <w:spacing w:val="-6"/>
        </w:rPr>
        <w:t> </w:t>
      </w:r>
      <w:r>
        <w:rPr>
          <w:color w:val="231F20"/>
        </w:rPr>
        <w:t>en</w:t>
      </w:r>
      <w:r>
        <w:rPr>
          <w:color w:val="231F20"/>
          <w:spacing w:val="-6"/>
        </w:rPr>
        <w:t> </w:t>
      </w:r>
      <w:r>
        <w:rPr>
          <w:color w:val="231F20"/>
        </w:rPr>
        <w:t>pro</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con-</w:t>
      </w:r>
    </w:p>
    <w:p>
      <w:pPr>
        <w:pStyle w:val="BodyText"/>
        <w:rPr>
          <w:sz w:val="20"/>
        </w:rPr>
      </w:pPr>
    </w:p>
    <w:p>
      <w:pPr>
        <w:pStyle w:val="BodyText"/>
        <w:rPr>
          <w:sz w:val="20"/>
        </w:rPr>
      </w:pPr>
    </w:p>
    <w:p>
      <w:pPr>
        <w:pStyle w:val="BodyText"/>
        <w:spacing w:before="2"/>
        <w:rPr>
          <w:sz w:val="23"/>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73728"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Arial" w:hAnsi="Arial"/>
          <w:color w:val="414042"/>
          <w:position w:val="-4"/>
          <w:sz w:val="20"/>
        </w:rPr>
        <w:t>12</w:t>
        <w:tab/>
      </w:r>
      <w:r>
        <w:rPr>
          <w:rFonts w:ascii="Calibri" w:hAnsi="Calibri"/>
          <w:color w:val="6D6E71"/>
          <w:sz w:val="16"/>
        </w:rPr>
        <w:t>Jorge Olvera</w:t>
      </w:r>
      <w:r>
        <w:rPr>
          <w:rFonts w:ascii="Calibri" w:hAnsi="Calibri"/>
          <w:color w:val="6D6E71"/>
          <w:spacing w:val="14"/>
          <w:sz w:val="16"/>
        </w:rPr>
        <w:t> </w:t>
      </w:r>
      <w:r>
        <w:rPr>
          <w:rFonts w:ascii="Calibri" w:hAnsi="Calibri"/>
          <w:color w:val="6D6E71"/>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1578" w:val="right" w:leader="none"/>
        </w:tabs>
        <w:spacing w:before="58"/>
        <w:ind w:left="64" w:right="219" w:firstLine="0"/>
        <w:jc w:val="right"/>
        <w:rPr>
          <w:rFonts w:ascii="Arial" w:hAnsi="Arial"/>
          <w:sz w:val="20"/>
        </w:rPr>
      </w:pPr>
      <w:r>
        <w:rPr/>
        <w:pict>
          <v:group style="position:absolute;margin-left:383.821014pt;margin-top:-25.476145pt;width:8.65pt;height:41pt;mso-position-horizontal-relative:page;mso-position-vertical-relative:paragraph;z-index:-17370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Calibri" w:hAnsi="Calibri"/>
          <w:color w:val="6D6E71"/>
          <w:sz w:val="14"/>
        </w:rPr>
        <w:t>INTRODUCCIÓN</w:t>
      </w:r>
      <w:r>
        <w:rPr>
          <w:rFonts w:ascii="Arial" w:hAnsi="Arial"/>
          <w:color w:val="414042"/>
          <w:position w:val="-3"/>
          <w:sz w:val="20"/>
        </w:rPr>
        <w:tab/>
        <w:t>13</w:t>
      </w:r>
    </w:p>
    <w:p>
      <w:pPr>
        <w:pStyle w:val="BodyText"/>
        <w:rPr>
          <w:rFonts w:ascii="Arial"/>
          <w:sz w:val="20"/>
        </w:rPr>
      </w:pPr>
    </w:p>
    <w:p>
      <w:pPr>
        <w:pStyle w:val="BodyText"/>
        <w:rPr>
          <w:rFonts w:ascii="Arial"/>
          <w:sz w:val="20"/>
        </w:rPr>
      </w:pPr>
    </w:p>
    <w:p>
      <w:pPr>
        <w:pStyle w:val="BodyText"/>
        <w:spacing w:line="247" w:lineRule="auto" w:before="163"/>
        <w:ind w:left="117" w:right="101"/>
        <w:jc w:val="both"/>
      </w:pPr>
      <w:r>
        <w:rPr>
          <w:color w:val="231F20"/>
        </w:rPr>
        <w:t>tra,</w:t>
      </w:r>
      <w:r>
        <w:rPr>
          <w:color w:val="231F20"/>
          <w:spacing w:val="-10"/>
        </w:rPr>
        <w:t> </w:t>
      </w:r>
      <w:r>
        <w:rPr>
          <w:color w:val="231F20"/>
        </w:rPr>
        <w:t>el</w:t>
      </w:r>
      <w:r>
        <w:rPr>
          <w:color w:val="231F20"/>
          <w:spacing w:val="-10"/>
        </w:rPr>
        <w:t> </w:t>
      </w:r>
      <w:r>
        <w:rPr>
          <w:color w:val="231F20"/>
        </w:rPr>
        <w:t>autor</w:t>
      </w:r>
      <w:r>
        <w:rPr>
          <w:color w:val="231F20"/>
          <w:spacing w:val="-10"/>
        </w:rPr>
        <w:t> </w:t>
      </w:r>
      <w:r>
        <w:rPr>
          <w:color w:val="231F20"/>
        </w:rPr>
        <w:t>invita</w:t>
      </w:r>
      <w:r>
        <w:rPr>
          <w:color w:val="231F20"/>
          <w:spacing w:val="-10"/>
        </w:rPr>
        <w:t> </w:t>
      </w:r>
      <w:r>
        <w:rPr>
          <w:color w:val="231F20"/>
        </w:rPr>
        <w:t>a</w:t>
      </w:r>
      <w:r>
        <w:rPr>
          <w:color w:val="231F20"/>
          <w:spacing w:val="-10"/>
        </w:rPr>
        <w:t> </w:t>
      </w:r>
      <w:r>
        <w:rPr>
          <w:color w:val="231F20"/>
        </w:rPr>
        <w:t>reflexionar</w:t>
      </w:r>
      <w:r>
        <w:rPr>
          <w:color w:val="231F20"/>
          <w:spacing w:val="-10"/>
        </w:rPr>
        <w:t> </w:t>
      </w:r>
      <w:r>
        <w:rPr>
          <w:color w:val="231F20"/>
        </w:rPr>
        <w:t>sobre</w:t>
      </w:r>
      <w:r>
        <w:rPr>
          <w:color w:val="231F20"/>
          <w:spacing w:val="-10"/>
        </w:rPr>
        <w:t> </w:t>
      </w:r>
      <w:r>
        <w:rPr>
          <w:color w:val="231F20"/>
        </w:rPr>
        <w:t>la</w:t>
      </w:r>
      <w:r>
        <w:rPr>
          <w:color w:val="231F20"/>
          <w:spacing w:val="-10"/>
        </w:rPr>
        <w:t> </w:t>
      </w:r>
      <w:r>
        <w:rPr>
          <w:color w:val="231F20"/>
        </w:rPr>
        <w:t>legitimidad</w:t>
      </w:r>
      <w:r>
        <w:rPr>
          <w:color w:val="231F20"/>
          <w:spacing w:val="-10"/>
        </w:rPr>
        <w:t> </w:t>
      </w:r>
      <w:r>
        <w:rPr>
          <w:color w:val="231F20"/>
        </w:rPr>
        <w:t>del</w:t>
      </w:r>
      <w:r>
        <w:rPr>
          <w:color w:val="231F20"/>
          <w:spacing w:val="-10"/>
        </w:rPr>
        <w:t> </w:t>
      </w:r>
      <w:r>
        <w:rPr>
          <w:color w:val="231F20"/>
        </w:rPr>
        <w:t>intervencionismo</w:t>
      </w:r>
      <w:r>
        <w:rPr>
          <w:color w:val="231F20"/>
          <w:spacing w:val="-10"/>
        </w:rPr>
        <w:t> </w:t>
      </w:r>
      <w:r>
        <w:rPr>
          <w:color w:val="231F20"/>
        </w:rPr>
        <w:t>de uno</w:t>
      </w:r>
      <w:r>
        <w:rPr>
          <w:color w:val="231F20"/>
          <w:spacing w:val="-9"/>
        </w:rPr>
        <w:t> </w:t>
      </w:r>
      <w:r>
        <w:rPr>
          <w:color w:val="231F20"/>
        </w:rPr>
        <w:t>o</w:t>
      </w:r>
      <w:r>
        <w:rPr>
          <w:color w:val="231F20"/>
          <w:spacing w:val="-9"/>
        </w:rPr>
        <w:t> </w:t>
      </w:r>
      <w:r>
        <w:rPr>
          <w:color w:val="231F20"/>
        </w:rPr>
        <w:t>más</w:t>
      </w:r>
      <w:r>
        <w:rPr>
          <w:color w:val="231F20"/>
          <w:spacing w:val="-9"/>
        </w:rPr>
        <w:t> </w:t>
      </w:r>
      <w:r>
        <w:rPr>
          <w:color w:val="231F20"/>
        </w:rPr>
        <w:t>Estados</w:t>
      </w:r>
      <w:r>
        <w:rPr>
          <w:color w:val="231F20"/>
          <w:spacing w:val="-9"/>
        </w:rPr>
        <w:t> </w:t>
      </w:r>
      <w:r>
        <w:rPr>
          <w:color w:val="231F20"/>
        </w:rPr>
        <w:t>sobre</w:t>
      </w:r>
      <w:r>
        <w:rPr>
          <w:color w:val="231F20"/>
          <w:spacing w:val="-9"/>
        </w:rPr>
        <w:t> </w:t>
      </w:r>
      <w:r>
        <w:rPr>
          <w:color w:val="231F20"/>
        </w:rPr>
        <w:t>otro(s)</w:t>
      </w:r>
      <w:r>
        <w:rPr>
          <w:color w:val="231F20"/>
          <w:spacing w:val="-9"/>
        </w:rPr>
        <w:t> </w:t>
      </w:r>
      <w:r>
        <w:rPr>
          <w:color w:val="231F20"/>
        </w:rPr>
        <w:t>cuando</w:t>
      </w:r>
      <w:r>
        <w:rPr>
          <w:color w:val="231F20"/>
          <w:spacing w:val="-9"/>
        </w:rPr>
        <w:t> </w:t>
      </w:r>
      <w:r>
        <w:rPr>
          <w:color w:val="231F20"/>
        </w:rPr>
        <w:t>la</w:t>
      </w:r>
      <w:r>
        <w:rPr>
          <w:color w:val="231F20"/>
          <w:spacing w:val="-9"/>
        </w:rPr>
        <w:t> </w:t>
      </w:r>
      <w:r>
        <w:rPr>
          <w:color w:val="231F20"/>
        </w:rPr>
        <w:t>finalidad</w:t>
      </w:r>
      <w:r>
        <w:rPr>
          <w:color w:val="231F20"/>
          <w:spacing w:val="-9"/>
        </w:rPr>
        <w:t> </w:t>
      </w:r>
      <w:r>
        <w:rPr>
          <w:color w:val="231F20"/>
        </w:rPr>
        <w:t>es</w:t>
      </w:r>
      <w:r>
        <w:rPr>
          <w:color w:val="231F20"/>
          <w:spacing w:val="-9"/>
        </w:rPr>
        <w:t> </w:t>
      </w:r>
      <w:r>
        <w:rPr>
          <w:color w:val="231F20"/>
        </w:rPr>
        <w:t>prevenir</w:t>
      </w:r>
      <w:r>
        <w:rPr>
          <w:color w:val="231F20"/>
          <w:spacing w:val="-9"/>
        </w:rPr>
        <w:t> </w:t>
      </w:r>
      <w:r>
        <w:rPr>
          <w:color w:val="231F20"/>
        </w:rPr>
        <w:t>violaciones a los Derechos humanos, lo cual conlleva también una paradoja: la posi- bilidad de violentar el Derecho Internacional o de violar los derechos de algunos para proteger los derechos de otros. </w:t>
      </w:r>
      <w:r>
        <w:rPr>
          <w:color w:val="231F20"/>
          <w:spacing w:val="-8"/>
        </w:rPr>
        <w:t>Tal </w:t>
      </w:r>
      <w:r>
        <w:rPr>
          <w:color w:val="231F20"/>
        </w:rPr>
        <w:t>situación contradictoria la representa de manera paradigmática la “intervención humanitaria”, pues frecuentemente se le ha usado como pretexto para vulnerar la soberanía de otros países e intervenir armamentísticamente en ellos, por lo cual ten- dría más bien que ser reconocida como “intervención bélica”. Ante los cambios geopolíticos que conlleva el esquema global , y debido a las com- plejas cuestiones jurídico–políticas originadas por él, se hace necesario  hoy más que nunca </w:t>
      </w:r>
      <w:r>
        <w:rPr>
          <w:color w:val="231F20"/>
          <w:spacing w:val="-3"/>
        </w:rPr>
        <w:t>repensar, </w:t>
      </w:r>
      <w:r>
        <w:rPr>
          <w:color w:val="231F20"/>
        </w:rPr>
        <w:t>criticar y renovar nuestro sistema de</w:t>
      </w:r>
      <w:r>
        <w:rPr>
          <w:color w:val="231F20"/>
          <w:spacing w:val="-34"/>
        </w:rPr>
        <w:t> </w:t>
      </w:r>
      <w:r>
        <w:rPr>
          <w:color w:val="231F20"/>
        </w:rPr>
        <w:t>catego- rías respecto de la soberanía</w:t>
      </w:r>
      <w:r>
        <w:rPr>
          <w:color w:val="231F20"/>
          <w:spacing w:val="2"/>
        </w:rPr>
        <w:t> </w:t>
      </w:r>
      <w:r>
        <w:rPr>
          <w:color w:val="231F20"/>
        </w:rPr>
        <w:t>nacional.</w:t>
      </w:r>
    </w:p>
    <w:p>
      <w:pPr>
        <w:pStyle w:val="BodyText"/>
        <w:spacing w:line="247" w:lineRule="auto"/>
        <w:ind w:left="117" w:right="101" w:firstLine="566"/>
        <w:jc w:val="both"/>
      </w:pPr>
      <w:r>
        <w:rPr>
          <w:color w:val="231F20"/>
          <w:w w:val="105"/>
        </w:rPr>
        <w:t>Lo</w:t>
      </w:r>
      <w:r>
        <w:rPr>
          <w:color w:val="231F20"/>
          <w:spacing w:val="-32"/>
          <w:w w:val="105"/>
        </w:rPr>
        <w:t> </w:t>
      </w:r>
      <w:r>
        <w:rPr>
          <w:color w:val="231F20"/>
          <w:w w:val="105"/>
        </w:rPr>
        <w:t>que</w:t>
      </w:r>
      <w:r>
        <w:rPr>
          <w:color w:val="231F20"/>
          <w:spacing w:val="-32"/>
          <w:w w:val="105"/>
        </w:rPr>
        <w:t> </w:t>
      </w:r>
      <w:r>
        <w:rPr>
          <w:color w:val="231F20"/>
          <w:spacing w:val="-3"/>
          <w:w w:val="105"/>
        </w:rPr>
        <w:t>sobresale</w:t>
      </w:r>
      <w:r>
        <w:rPr>
          <w:color w:val="231F20"/>
          <w:spacing w:val="-32"/>
          <w:w w:val="105"/>
        </w:rPr>
        <w:t> </w:t>
      </w:r>
      <w:r>
        <w:rPr>
          <w:color w:val="231F20"/>
          <w:w w:val="105"/>
        </w:rPr>
        <w:t>en</w:t>
      </w:r>
      <w:r>
        <w:rPr>
          <w:color w:val="231F20"/>
          <w:spacing w:val="-32"/>
          <w:w w:val="105"/>
        </w:rPr>
        <w:t> </w:t>
      </w:r>
      <w:r>
        <w:rPr>
          <w:color w:val="231F20"/>
          <w:w w:val="105"/>
        </w:rPr>
        <w:t>las</w:t>
      </w:r>
      <w:r>
        <w:rPr>
          <w:color w:val="231F20"/>
          <w:spacing w:val="-32"/>
          <w:w w:val="105"/>
        </w:rPr>
        <w:t> </w:t>
      </w:r>
      <w:r>
        <w:rPr>
          <w:color w:val="231F20"/>
          <w:w w:val="105"/>
        </w:rPr>
        <w:t>seis</w:t>
      </w:r>
      <w:r>
        <w:rPr>
          <w:color w:val="231F20"/>
          <w:spacing w:val="-32"/>
          <w:w w:val="105"/>
        </w:rPr>
        <w:t> </w:t>
      </w:r>
      <w:r>
        <w:rPr>
          <w:color w:val="231F20"/>
          <w:w w:val="105"/>
        </w:rPr>
        <w:t>aportaciones</w:t>
      </w:r>
      <w:r>
        <w:rPr>
          <w:color w:val="231F20"/>
          <w:spacing w:val="-32"/>
          <w:w w:val="105"/>
        </w:rPr>
        <w:t> </w:t>
      </w:r>
      <w:r>
        <w:rPr>
          <w:color w:val="231F20"/>
          <w:w w:val="105"/>
        </w:rPr>
        <w:t>aquí</w:t>
      </w:r>
      <w:r>
        <w:rPr>
          <w:color w:val="231F20"/>
          <w:spacing w:val="-32"/>
          <w:w w:val="105"/>
        </w:rPr>
        <w:t> </w:t>
      </w:r>
      <w:r>
        <w:rPr>
          <w:color w:val="231F20"/>
          <w:spacing w:val="-3"/>
          <w:w w:val="105"/>
        </w:rPr>
        <w:t>reunidas</w:t>
      </w:r>
      <w:r>
        <w:rPr>
          <w:color w:val="231F20"/>
          <w:spacing w:val="-32"/>
          <w:w w:val="105"/>
        </w:rPr>
        <w:t> </w:t>
      </w:r>
      <w:r>
        <w:rPr>
          <w:color w:val="231F20"/>
          <w:w w:val="105"/>
        </w:rPr>
        <w:t>es</w:t>
      </w:r>
      <w:r>
        <w:rPr>
          <w:color w:val="231F20"/>
          <w:spacing w:val="-32"/>
          <w:w w:val="105"/>
        </w:rPr>
        <w:t> </w:t>
      </w:r>
      <w:r>
        <w:rPr>
          <w:color w:val="231F20"/>
          <w:w w:val="105"/>
        </w:rPr>
        <w:t>la</w:t>
      </w:r>
      <w:r>
        <w:rPr>
          <w:color w:val="231F20"/>
          <w:spacing w:val="-32"/>
          <w:w w:val="105"/>
        </w:rPr>
        <w:t> </w:t>
      </w:r>
      <w:r>
        <w:rPr>
          <w:color w:val="231F20"/>
          <w:w w:val="105"/>
        </w:rPr>
        <w:t>identifi- cación</w:t>
      </w:r>
      <w:r>
        <w:rPr>
          <w:color w:val="231F20"/>
          <w:spacing w:val="-53"/>
          <w:w w:val="105"/>
        </w:rPr>
        <w:t> </w:t>
      </w:r>
      <w:r>
        <w:rPr>
          <w:color w:val="231F20"/>
          <w:w w:val="105"/>
        </w:rPr>
        <w:t>de</w:t>
      </w:r>
      <w:r>
        <w:rPr>
          <w:color w:val="231F20"/>
          <w:spacing w:val="-53"/>
          <w:w w:val="105"/>
        </w:rPr>
        <w:t> </w:t>
      </w:r>
      <w:r>
        <w:rPr>
          <w:color w:val="231F20"/>
          <w:w w:val="105"/>
        </w:rPr>
        <w:t>paradojas</w:t>
      </w:r>
      <w:r>
        <w:rPr>
          <w:color w:val="231F20"/>
          <w:spacing w:val="-53"/>
          <w:w w:val="105"/>
        </w:rPr>
        <w:t> </w:t>
      </w:r>
      <w:r>
        <w:rPr>
          <w:color w:val="231F20"/>
          <w:w w:val="105"/>
        </w:rPr>
        <w:t>y</w:t>
      </w:r>
      <w:r>
        <w:rPr>
          <w:color w:val="231F20"/>
          <w:spacing w:val="-53"/>
          <w:w w:val="105"/>
        </w:rPr>
        <w:t> </w:t>
      </w:r>
      <w:r>
        <w:rPr>
          <w:color w:val="231F20"/>
          <w:w w:val="105"/>
        </w:rPr>
        <w:t>contradicciones</w:t>
      </w:r>
      <w:r>
        <w:rPr>
          <w:color w:val="231F20"/>
          <w:spacing w:val="-53"/>
          <w:w w:val="105"/>
        </w:rPr>
        <w:t> </w:t>
      </w:r>
      <w:r>
        <w:rPr>
          <w:color w:val="231F20"/>
          <w:spacing w:val="-3"/>
          <w:w w:val="105"/>
        </w:rPr>
        <w:t>inherentes</w:t>
      </w:r>
      <w:r>
        <w:rPr>
          <w:color w:val="231F20"/>
          <w:spacing w:val="-53"/>
          <w:w w:val="105"/>
        </w:rPr>
        <w:t> </w:t>
      </w:r>
      <w:r>
        <w:rPr>
          <w:color w:val="231F20"/>
          <w:w w:val="105"/>
        </w:rPr>
        <w:t>a</w:t>
      </w:r>
      <w:r>
        <w:rPr>
          <w:color w:val="231F20"/>
          <w:spacing w:val="-53"/>
          <w:w w:val="105"/>
        </w:rPr>
        <w:t> </w:t>
      </w:r>
      <w:r>
        <w:rPr>
          <w:color w:val="231F20"/>
          <w:w w:val="105"/>
        </w:rPr>
        <w:t>las</w:t>
      </w:r>
      <w:r>
        <w:rPr>
          <w:color w:val="231F20"/>
          <w:spacing w:val="-53"/>
          <w:w w:val="105"/>
        </w:rPr>
        <w:t> </w:t>
      </w:r>
      <w:r>
        <w:rPr>
          <w:color w:val="231F20"/>
          <w:w w:val="105"/>
        </w:rPr>
        <w:t>condiciones</w:t>
      </w:r>
      <w:r>
        <w:rPr>
          <w:color w:val="231F20"/>
          <w:spacing w:val="-53"/>
          <w:w w:val="105"/>
        </w:rPr>
        <w:t> </w:t>
      </w:r>
      <w:r>
        <w:rPr>
          <w:color w:val="231F20"/>
          <w:w w:val="105"/>
        </w:rPr>
        <w:t>políticas, sociales,</w:t>
      </w:r>
      <w:r>
        <w:rPr>
          <w:color w:val="231F20"/>
          <w:spacing w:val="-28"/>
          <w:w w:val="105"/>
        </w:rPr>
        <w:t> </w:t>
      </w:r>
      <w:r>
        <w:rPr>
          <w:color w:val="231F20"/>
          <w:w w:val="105"/>
        </w:rPr>
        <w:t>económicas</w:t>
      </w:r>
      <w:r>
        <w:rPr>
          <w:color w:val="231F20"/>
          <w:spacing w:val="-28"/>
          <w:w w:val="105"/>
        </w:rPr>
        <w:t> </w:t>
      </w:r>
      <w:r>
        <w:rPr>
          <w:color w:val="231F20"/>
          <w:w w:val="105"/>
        </w:rPr>
        <w:t>y</w:t>
      </w:r>
      <w:r>
        <w:rPr>
          <w:color w:val="231F20"/>
          <w:spacing w:val="-28"/>
          <w:w w:val="105"/>
        </w:rPr>
        <w:t> </w:t>
      </w:r>
      <w:r>
        <w:rPr>
          <w:color w:val="231F20"/>
          <w:w w:val="105"/>
        </w:rPr>
        <w:t>culturales</w:t>
      </w:r>
      <w:r>
        <w:rPr>
          <w:color w:val="231F20"/>
          <w:spacing w:val="-28"/>
          <w:w w:val="105"/>
        </w:rPr>
        <w:t> </w:t>
      </w:r>
      <w:r>
        <w:rPr>
          <w:color w:val="231F20"/>
          <w:w w:val="105"/>
        </w:rPr>
        <w:t>de</w:t>
      </w:r>
      <w:r>
        <w:rPr>
          <w:color w:val="231F20"/>
          <w:spacing w:val="-28"/>
          <w:w w:val="105"/>
        </w:rPr>
        <w:t> </w:t>
      </w:r>
      <w:r>
        <w:rPr>
          <w:color w:val="231F20"/>
          <w:spacing w:val="-3"/>
          <w:w w:val="105"/>
        </w:rPr>
        <w:t>nuestro</w:t>
      </w:r>
      <w:r>
        <w:rPr>
          <w:color w:val="231F20"/>
          <w:spacing w:val="-28"/>
          <w:w w:val="105"/>
        </w:rPr>
        <w:t> </w:t>
      </w:r>
      <w:r>
        <w:rPr>
          <w:color w:val="231F20"/>
          <w:w w:val="105"/>
        </w:rPr>
        <w:t>existir</w:t>
      </w:r>
      <w:r>
        <w:rPr>
          <w:color w:val="231F20"/>
          <w:spacing w:val="-28"/>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w w:val="105"/>
        </w:rPr>
        <w:t>era</w:t>
      </w:r>
      <w:r>
        <w:rPr>
          <w:color w:val="231F20"/>
          <w:spacing w:val="-28"/>
          <w:w w:val="105"/>
        </w:rPr>
        <w:t> </w:t>
      </w:r>
      <w:r>
        <w:rPr>
          <w:color w:val="231F20"/>
          <w:w w:val="105"/>
        </w:rPr>
        <w:t>contemporá- nea:</w:t>
      </w:r>
      <w:r>
        <w:rPr>
          <w:color w:val="231F20"/>
          <w:spacing w:val="-43"/>
          <w:w w:val="105"/>
        </w:rPr>
        <w:t> </w:t>
      </w:r>
      <w:r>
        <w:rPr>
          <w:color w:val="231F20"/>
          <w:w w:val="105"/>
        </w:rPr>
        <w:t>la</w:t>
      </w:r>
      <w:r>
        <w:rPr>
          <w:color w:val="231F20"/>
          <w:spacing w:val="-43"/>
          <w:w w:val="105"/>
        </w:rPr>
        <w:t> </w:t>
      </w:r>
      <w:r>
        <w:rPr>
          <w:color w:val="231F20"/>
          <w:w w:val="105"/>
        </w:rPr>
        <w:t>era</w:t>
      </w:r>
      <w:r>
        <w:rPr>
          <w:color w:val="231F20"/>
          <w:spacing w:val="-43"/>
          <w:w w:val="105"/>
        </w:rPr>
        <w:t> </w:t>
      </w:r>
      <w:r>
        <w:rPr>
          <w:color w:val="231F20"/>
          <w:w w:val="105"/>
        </w:rPr>
        <w:t>de</w:t>
      </w:r>
      <w:r>
        <w:rPr>
          <w:color w:val="231F20"/>
          <w:spacing w:val="-43"/>
          <w:w w:val="105"/>
        </w:rPr>
        <w:t> </w:t>
      </w:r>
      <w:r>
        <w:rPr>
          <w:color w:val="231F20"/>
          <w:w w:val="105"/>
        </w:rPr>
        <w:t>la</w:t>
      </w:r>
      <w:r>
        <w:rPr>
          <w:color w:val="231F20"/>
          <w:spacing w:val="-43"/>
          <w:w w:val="105"/>
        </w:rPr>
        <w:t> </w:t>
      </w:r>
      <w:r>
        <w:rPr>
          <w:color w:val="231F20"/>
          <w:w w:val="105"/>
        </w:rPr>
        <w:t>globalización.</w:t>
      </w:r>
      <w:r>
        <w:rPr>
          <w:color w:val="231F20"/>
          <w:spacing w:val="-43"/>
          <w:w w:val="105"/>
        </w:rPr>
        <w:t> </w:t>
      </w:r>
      <w:r>
        <w:rPr>
          <w:color w:val="231F20"/>
          <w:w w:val="105"/>
        </w:rPr>
        <w:t>En</w:t>
      </w:r>
      <w:r>
        <w:rPr>
          <w:color w:val="231F20"/>
          <w:spacing w:val="-43"/>
          <w:w w:val="105"/>
        </w:rPr>
        <w:t> </w:t>
      </w:r>
      <w:r>
        <w:rPr>
          <w:color w:val="231F20"/>
          <w:w w:val="105"/>
        </w:rPr>
        <w:t>cada</w:t>
      </w:r>
      <w:r>
        <w:rPr>
          <w:color w:val="231F20"/>
          <w:spacing w:val="-43"/>
          <w:w w:val="105"/>
        </w:rPr>
        <w:t> </w:t>
      </w:r>
      <w:r>
        <w:rPr>
          <w:color w:val="231F20"/>
          <w:w w:val="105"/>
        </w:rPr>
        <w:t>uno</w:t>
      </w:r>
      <w:r>
        <w:rPr>
          <w:color w:val="231F20"/>
          <w:spacing w:val="-43"/>
          <w:w w:val="105"/>
        </w:rPr>
        <w:t> </w:t>
      </w:r>
      <w:r>
        <w:rPr>
          <w:color w:val="231F20"/>
          <w:w w:val="105"/>
        </w:rPr>
        <w:t>de</w:t>
      </w:r>
      <w:r>
        <w:rPr>
          <w:color w:val="231F20"/>
          <w:spacing w:val="-43"/>
          <w:w w:val="105"/>
        </w:rPr>
        <w:t> </w:t>
      </w:r>
      <w:r>
        <w:rPr>
          <w:color w:val="231F20"/>
          <w:w w:val="105"/>
        </w:rPr>
        <w:t>estos</w:t>
      </w:r>
      <w:r>
        <w:rPr>
          <w:color w:val="231F20"/>
          <w:spacing w:val="-43"/>
          <w:w w:val="105"/>
        </w:rPr>
        <w:t> </w:t>
      </w:r>
      <w:r>
        <w:rPr>
          <w:color w:val="231F20"/>
          <w:w w:val="105"/>
        </w:rPr>
        <w:t>ámbitos</w:t>
      </w:r>
      <w:r>
        <w:rPr>
          <w:color w:val="231F20"/>
          <w:spacing w:val="-43"/>
          <w:w w:val="105"/>
        </w:rPr>
        <w:t> </w:t>
      </w:r>
      <w:r>
        <w:rPr>
          <w:color w:val="231F20"/>
          <w:w w:val="105"/>
        </w:rPr>
        <w:t>actúan</w:t>
      </w:r>
      <w:r>
        <w:rPr>
          <w:color w:val="231F20"/>
          <w:spacing w:val="-43"/>
          <w:w w:val="105"/>
        </w:rPr>
        <w:t> </w:t>
      </w:r>
      <w:r>
        <w:rPr>
          <w:color w:val="231F20"/>
          <w:w w:val="105"/>
        </w:rPr>
        <w:t>fuerzas que</w:t>
      </w:r>
      <w:r>
        <w:rPr>
          <w:color w:val="231F20"/>
          <w:spacing w:val="-17"/>
          <w:w w:val="105"/>
        </w:rPr>
        <w:t> </w:t>
      </w:r>
      <w:r>
        <w:rPr>
          <w:color w:val="231F20"/>
          <w:w w:val="105"/>
        </w:rPr>
        <w:t>chocan</w:t>
      </w:r>
      <w:r>
        <w:rPr>
          <w:color w:val="231F20"/>
          <w:spacing w:val="-17"/>
          <w:w w:val="105"/>
        </w:rPr>
        <w:t> </w:t>
      </w:r>
      <w:r>
        <w:rPr>
          <w:color w:val="231F20"/>
          <w:spacing w:val="-3"/>
          <w:w w:val="105"/>
        </w:rPr>
        <w:t>entre</w:t>
      </w:r>
      <w:r>
        <w:rPr>
          <w:color w:val="231F20"/>
          <w:spacing w:val="-17"/>
          <w:w w:val="105"/>
        </w:rPr>
        <w:t> </w:t>
      </w:r>
      <w:r>
        <w:rPr>
          <w:color w:val="231F20"/>
          <w:w w:val="105"/>
        </w:rPr>
        <w:t>sí</w:t>
      </w:r>
      <w:r>
        <w:rPr>
          <w:color w:val="231F20"/>
          <w:spacing w:val="-17"/>
          <w:w w:val="105"/>
        </w:rPr>
        <w:t> </w:t>
      </w:r>
      <w:r>
        <w:rPr>
          <w:color w:val="231F20"/>
          <w:w w:val="105"/>
        </w:rPr>
        <w:t>y</w:t>
      </w:r>
      <w:r>
        <w:rPr>
          <w:color w:val="231F20"/>
          <w:spacing w:val="-17"/>
          <w:w w:val="105"/>
        </w:rPr>
        <w:t> </w:t>
      </w:r>
      <w:r>
        <w:rPr>
          <w:color w:val="231F20"/>
          <w:spacing w:val="-3"/>
          <w:w w:val="105"/>
        </w:rPr>
        <w:t>producen</w:t>
      </w:r>
      <w:r>
        <w:rPr>
          <w:color w:val="231F20"/>
          <w:spacing w:val="-17"/>
          <w:w w:val="105"/>
        </w:rPr>
        <w:t> </w:t>
      </w:r>
      <w:r>
        <w:rPr>
          <w:color w:val="231F20"/>
          <w:w w:val="105"/>
        </w:rPr>
        <w:t>cortos</w:t>
      </w:r>
      <w:r>
        <w:rPr>
          <w:color w:val="231F20"/>
          <w:spacing w:val="-17"/>
          <w:w w:val="105"/>
        </w:rPr>
        <w:t> </w:t>
      </w:r>
      <w:r>
        <w:rPr>
          <w:color w:val="231F20"/>
          <w:spacing w:val="-3"/>
          <w:w w:val="105"/>
        </w:rPr>
        <w:t>circuitos</w:t>
      </w:r>
      <w:r>
        <w:rPr>
          <w:color w:val="231F20"/>
          <w:spacing w:val="-17"/>
          <w:w w:val="105"/>
        </w:rPr>
        <w:t> </w:t>
      </w:r>
      <w:r>
        <w:rPr>
          <w:color w:val="231F20"/>
          <w:w w:val="105"/>
        </w:rPr>
        <w:t>en</w:t>
      </w:r>
      <w:r>
        <w:rPr>
          <w:color w:val="231F20"/>
          <w:spacing w:val="-17"/>
          <w:w w:val="105"/>
        </w:rPr>
        <w:t> </w:t>
      </w:r>
      <w:r>
        <w:rPr>
          <w:color w:val="231F20"/>
          <w:w w:val="105"/>
        </w:rPr>
        <w:t>sistemas</w:t>
      </w:r>
      <w:r>
        <w:rPr>
          <w:color w:val="231F20"/>
          <w:spacing w:val="-17"/>
          <w:w w:val="105"/>
        </w:rPr>
        <w:t> </w:t>
      </w:r>
      <w:r>
        <w:rPr>
          <w:color w:val="231F20"/>
          <w:w w:val="105"/>
        </w:rPr>
        <w:t>y</w:t>
      </w:r>
      <w:r>
        <w:rPr>
          <w:color w:val="231F20"/>
          <w:spacing w:val="-17"/>
          <w:w w:val="105"/>
        </w:rPr>
        <w:t> </w:t>
      </w:r>
      <w:r>
        <w:rPr>
          <w:color w:val="231F20"/>
          <w:w w:val="105"/>
        </w:rPr>
        <w:t>estructuras que</w:t>
      </w:r>
      <w:r>
        <w:rPr>
          <w:color w:val="231F20"/>
          <w:spacing w:val="-36"/>
          <w:w w:val="105"/>
        </w:rPr>
        <w:t> </w:t>
      </w:r>
      <w:r>
        <w:rPr>
          <w:color w:val="231F20"/>
          <w:spacing w:val="-3"/>
          <w:w w:val="105"/>
        </w:rPr>
        <w:t>parecían</w:t>
      </w:r>
      <w:r>
        <w:rPr>
          <w:color w:val="231F20"/>
          <w:spacing w:val="-36"/>
          <w:w w:val="105"/>
        </w:rPr>
        <w:t> </w:t>
      </w:r>
      <w:r>
        <w:rPr>
          <w:color w:val="231F20"/>
          <w:w w:val="105"/>
        </w:rPr>
        <w:t>estar</w:t>
      </w:r>
      <w:r>
        <w:rPr>
          <w:color w:val="231F20"/>
          <w:spacing w:val="-36"/>
          <w:w w:val="105"/>
        </w:rPr>
        <w:t> </w:t>
      </w:r>
      <w:r>
        <w:rPr>
          <w:color w:val="231F20"/>
          <w:w w:val="105"/>
        </w:rPr>
        <w:t>erigidos</w:t>
      </w:r>
      <w:r>
        <w:rPr>
          <w:color w:val="231F20"/>
          <w:spacing w:val="-36"/>
          <w:w w:val="105"/>
        </w:rPr>
        <w:t> </w:t>
      </w:r>
      <w:r>
        <w:rPr>
          <w:color w:val="231F20"/>
          <w:spacing w:val="-3"/>
          <w:w w:val="105"/>
        </w:rPr>
        <w:t>sobre</w:t>
      </w:r>
      <w:r>
        <w:rPr>
          <w:color w:val="231F20"/>
          <w:spacing w:val="-36"/>
          <w:w w:val="105"/>
        </w:rPr>
        <w:t> </w:t>
      </w:r>
      <w:r>
        <w:rPr>
          <w:color w:val="231F20"/>
          <w:w w:val="105"/>
        </w:rPr>
        <w:t>cimientos</w:t>
      </w:r>
      <w:r>
        <w:rPr>
          <w:color w:val="231F20"/>
          <w:spacing w:val="-36"/>
          <w:w w:val="105"/>
        </w:rPr>
        <w:t> </w:t>
      </w:r>
      <w:r>
        <w:rPr>
          <w:color w:val="231F20"/>
          <w:w w:val="105"/>
        </w:rPr>
        <w:t>estables.</w:t>
      </w:r>
      <w:r>
        <w:rPr>
          <w:color w:val="231F20"/>
          <w:spacing w:val="-36"/>
          <w:w w:val="105"/>
        </w:rPr>
        <w:t> </w:t>
      </w:r>
      <w:r>
        <w:rPr>
          <w:color w:val="231F20"/>
          <w:w w:val="105"/>
        </w:rPr>
        <w:t>No</w:t>
      </w:r>
      <w:r>
        <w:rPr>
          <w:color w:val="231F20"/>
          <w:spacing w:val="-36"/>
          <w:w w:val="105"/>
        </w:rPr>
        <w:t> </w:t>
      </w:r>
      <w:r>
        <w:rPr>
          <w:color w:val="231F20"/>
          <w:w w:val="105"/>
        </w:rPr>
        <w:t>obstante,</w:t>
      </w:r>
      <w:r>
        <w:rPr>
          <w:color w:val="231F20"/>
          <w:spacing w:val="-36"/>
          <w:w w:val="105"/>
        </w:rPr>
        <w:t> </w:t>
      </w:r>
      <w:r>
        <w:rPr>
          <w:color w:val="231F20"/>
          <w:w w:val="105"/>
        </w:rPr>
        <w:t>ante</w:t>
      </w:r>
      <w:r>
        <w:rPr>
          <w:color w:val="231F20"/>
          <w:spacing w:val="-36"/>
          <w:w w:val="105"/>
        </w:rPr>
        <w:t> </w:t>
      </w:r>
      <w:r>
        <w:rPr>
          <w:color w:val="231F20"/>
          <w:w w:val="105"/>
        </w:rPr>
        <w:t>un panorama</w:t>
      </w:r>
      <w:r>
        <w:rPr>
          <w:color w:val="231F20"/>
          <w:spacing w:val="-45"/>
          <w:w w:val="105"/>
        </w:rPr>
        <w:t> </w:t>
      </w:r>
      <w:r>
        <w:rPr>
          <w:color w:val="231F20"/>
          <w:w w:val="105"/>
        </w:rPr>
        <w:t>caracterizado</w:t>
      </w:r>
      <w:r>
        <w:rPr>
          <w:color w:val="231F20"/>
          <w:spacing w:val="-45"/>
          <w:w w:val="105"/>
        </w:rPr>
        <w:t> </w:t>
      </w:r>
      <w:r>
        <w:rPr>
          <w:color w:val="231F20"/>
          <w:w w:val="105"/>
        </w:rPr>
        <w:t>por</w:t>
      </w:r>
      <w:r>
        <w:rPr>
          <w:color w:val="231F20"/>
          <w:spacing w:val="-45"/>
          <w:w w:val="105"/>
        </w:rPr>
        <w:t> </w:t>
      </w:r>
      <w:r>
        <w:rPr>
          <w:color w:val="231F20"/>
          <w:w w:val="105"/>
        </w:rPr>
        <w:t>la</w:t>
      </w:r>
      <w:r>
        <w:rPr>
          <w:color w:val="231F20"/>
          <w:spacing w:val="-45"/>
          <w:w w:val="105"/>
        </w:rPr>
        <w:t> </w:t>
      </w:r>
      <w:r>
        <w:rPr>
          <w:color w:val="231F20"/>
          <w:spacing w:val="-3"/>
          <w:w w:val="105"/>
        </w:rPr>
        <w:t>creciente</w:t>
      </w:r>
      <w:r>
        <w:rPr>
          <w:color w:val="231F20"/>
          <w:spacing w:val="-45"/>
          <w:w w:val="105"/>
        </w:rPr>
        <w:t> </w:t>
      </w:r>
      <w:r>
        <w:rPr>
          <w:color w:val="231F20"/>
          <w:w w:val="105"/>
        </w:rPr>
        <w:t>inestabilidad</w:t>
      </w:r>
      <w:r>
        <w:rPr>
          <w:color w:val="231F20"/>
          <w:spacing w:val="-45"/>
          <w:w w:val="105"/>
        </w:rPr>
        <w:t> </w:t>
      </w:r>
      <w:r>
        <w:rPr>
          <w:color w:val="231F20"/>
          <w:w w:val="105"/>
        </w:rPr>
        <w:t>y</w:t>
      </w:r>
      <w:r>
        <w:rPr>
          <w:color w:val="231F20"/>
          <w:spacing w:val="-45"/>
          <w:w w:val="105"/>
        </w:rPr>
        <w:t> </w:t>
      </w:r>
      <w:r>
        <w:rPr>
          <w:color w:val="231F20"/>
          <w:w w:val="105"/>
        </w:rPr>
        <w:t>el</w:t>
      </w:r>
      <w:r>
        <w:rPr>
          <w:color w:val="231F20"/>
          <w:spacing w:val="-45"/>
          <w:w w:val="105"/>
        </w:rPr>
        <w:t> </w:t>
      </w:r>
      <w:r>
        <w:rPr>
          <w:color w:val="231F20"/>
          <w:w w:val="105"/>
        </w:rPr>
        <w:t>cambio</w:t>
      </w:r>
      <w:r>
        <w:rPr>
          <w:color w:val="231F20"/>
          <w:spacing w:val="-45"/>
          <w:w w:val="105"/>
        </w:rPr>
        <w:t> </w:t>
      </w:r>
      <w:r>
        <w:rPr>
          <w:color w:val="231F20"/>
          <w:spacing w:val="-3"/>
          <w:w w:val="105"/>
        </w:rPr>
        <w:t>frenético, </w:t>
      </w:r>
      <w:r>
        <w:rPr>
          <w:color w:val="231F20"/>
          <w:w w:val="105"/>
        </w:rPr>
        <w:t>los</w:t>
      </w:r>
      <w:r>
        <w:rPr>
          <w:color w:val="231F20"/>
          <w:spacing w:val="-11"/>
          <w:w w:val="105"/>
        </w:rPr>
        <w:t> </w:t>
      </w:r>
      <w:r>
        <w:rPr>
          <w:color w:val="231F20"/>
          <w:spacing w:val="-3"/>
          <w:w w:val="105"/>
        </w:rPr>
        <w:t>autores</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spacing w:val="-3"/>
          <w:w w:val="105"/>
        </w:rPr>
        <w:t>reflexiones</w:t>
      </w:r>
      <w:r>
        <w:rPr>
          <w:color w:val="231F20"/>
          <w:spacing w:val="-11"/>
          <w:w w:val="105"/>
        </w:rPr>
        <w:t> </w:t>
      </w:r>
      <w:r>
        <w:rPr>
          <w:color w:val="231F20"/>
          <w:w w:val="105"/>
        </w:rPr>
        <w:t>vertidas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spacing w:val="-3"/>
          <w:w w:val="105"/>
        </w:rPr>
        <w:t>presente</w:t>
      </w:r>
      <w:r>
        <w:rPr>
          <w:color w:val="231F20"/>
          <w:spacing w:val="-11"/>
          <w:w w:val="105"/>
        </w:rPr>
        <w:t> </w:t>
      </w:r>
      <w:r>
        <w:rPr>
          <w:color w:val="231F20"/>
          <w:w w:val="105"/>
        </w:rPr>
        <w:t>libro</w:t>
      </w:r>
      <w:r>
        <w:rPr>
          <w:color w:val="231F20"/>
          <w:spacing w:val="-11"/>
          <w:w w:val="105"/>
        </w:rPr>
        <w:t> </w:t>
      </w:r>
      <w:r>
        <w:rPr>
          <w:color w:val="231F20"/>
          <w:w w:val="105"/>
        </w:rPr>
        <w:t>exponen</w:t>
      </w:r>
      <w:r>
        <w:rPr>
          <w:color w:val="231F20"/>
          <w:spacing w:val="-11"/>
          <w:w w:val="105"/>
        </w:rPr>
        <w:t> </w:t>
      </w:r>
      <w:r>
        <w:rPr>
          <w:color w:val="231F20"/>
          <w:w w:val="105"/>
        </w:rPr>
        <w:t>tanto </w:t>
      </w:r>
      <w:r>
        <w:rPr>
          <w:color w:val="231F20"/>
          <w:spacing w:val="-3"/>
          <w:w w:val="105"/>
        </w:rPr>
        <w:t>problemas</w:t>
      </w:r>
      <w:r>
        <w:rPr>
          <w:color w:val="231F20"/>
          <w:spacing w:val="-32"/>
          <w:w w:val="105"/>
        </w:rPr>
        <w:t> </w:t>
      </w:r>
      <w:r>
        <w:rPr>
          <w:color w:val="231F20"/>
          <w:w w:val="105"/>
        </w:rPr>
        <w:t>como</w:t>
      </w:r>
      <w:r>
        <w:rPr>
          <w:color w:val="231F20"/>
          <w:spacing w:val="-32"/>
          <w:w w:val="105"/>
        </w:rPr>
        <w:t> </w:t>
      </w:r>
      <w:r>
        <w:rPr>
          <w:color w:val="231F20"/>
          <w:w w:val="105"/>
        </w:rPr>
        <w:t>paradojas,</w:t>
      </w:r>
      <w:r>
        <w:rPr>
          <w:color w:val="231F20"/>
          <w:spacing w:val="-32"/>
          <w:w w:val="105"/>
        </w:rPr>
        <w:t> </w:t>
      </w:r>
      <w:r>
        <w:rPr>
          <w:color w:val="231F20"/>
          <w:spacing w:val="-3"/>
          <w:w w:val="105"/>
        </w:rPr>
        <w:t>pero</w:t>
      </w:r>
      <w:r>
        <w:rPr>
          <w:color w:val="231F20"/>
          <w:spacing w:val="-32"/>
          <w:w w:val="105"/>
        </w:rPr>
        <w:t> </w:t>
      </w:r>
      <w:r>
        <w:rPr>
          <w:color w:val="231F20"/>
          <w:w w:val="105"/>
        </w:rPr>
        <w:t>también</w:t>
      </w:r>
      <w:r>
        <w:rPr>
          <w:color w:val="231F20"/>
          <w:spacing w:val="-32"/>
          <w:w w:val="105"/>
        </w:rPr>
        <w:t> </w:t>
      </w:r>
      <w:r>
        <w:rPr>
          <w:color w:val="231F20"/>
          <w:w w:val="105"/>
        </w:rPr>
        <w:t>dejan</w:t>
      </w:r>
      <w:r>
        <w:rPr>
          <w:color w:val="231F20"/>
          <w:spacing w:val="-32"/>
          <w:w w:val="105"/>
        </w:rPr>
        <w:t> </w:t>
      </w:r>
      <w:r>
        <w:rPr>
          <w:color w:val="231F20"/>
          <w:spacing w:val="-3"/>
          <w:w w:val="105"/>
        </w:rPr>
        <w:t>sobre</w:t>
      </w:r>
      <w:r>
        <w:rPr>
          <w:color w:val="231F20"/>
          <w:spacing w:val="-32"/>
          <w:w w:val="105"/>
        </w:rPr>
        <w:t> </w:t>
      </w:r>
      <w:r>
        <w:rPr>
          <w:color w:val="231F20"/>
          <w:w w:val="105"/>
        </w:rPr>
        <w:t>la</w:t>
      </w:r>
      <w:r>
        <w:rPr>
          <w:color w:val="231F20"/>
          <w:spacing w:val="-32"/>
          <w:w w:val="105"/>
        </w:rPr>
        <w:t> </w:t>
      </w:r>
      <w:r>
        <w:rPr>
          <w:color w:val="231F20"/>
          <w:w w:val="105"/>
        </w:rPr>
        <w:t>mesa</w:t>
      </w:r>
      <w:r>
        <w:rPr>
          <w:color w:val="231F20"/>
          <w:spacing w:val="-32"/>
          <w:w w:val="105"/>
        </w:rPr>
        <w:t> </w:t>
      </w:r>
      <w:r>
        <w:rPr>
          <w:color w:val="231F20"/>
          <w:w w:val="105"/>
        </w:rPr>
        <w:t>un</w:t>
      </w:r>
      <w:r>
        <w:rPr>
          <w:color w:val="231F20"/>
          <w:spacing w:val="-32"/>
          <w:w w:val="105"/>
        </w:rPr>
        <w:t> </w:t>
      </w:r>
      <w:r>
        <w:rPr>
          <w:color w:val="231F20"/>
          <w:w w:val="105"/>
        </w:rPr>
        <w:t>material </w:t>
      </w:r>
      <w:r>
        <w:rPr>
          <w:color w:val="231F20"/>
        </w:rPr>
        <w:t>de</w:t>
      </w:r>
      <w:r>
        <w:rPr>
          <w:color w:val="231F20"/>
          <w:spacing w:val="-11"/>
        </w:rPr>
        <w:t> </w:t>
      </w:r>
      <w:r>
        <w:rPr>
          <w:color w:val="231F20"/>
        </w:rPr>
        <w:t>gran</w:t>
      </w:r>
      <w:r>
        <w:rPr>
          <w:color w:val="231F20"/>
          <w:spacing w:val="-11"/>
        </w:rPr>
        <w:t> </w:t>
      </w:r>
      <w:r>
        <w:rPr>
          <w:color w:val="231F20"/>
        </w:rPr>
        <w:t>valor</w:t>
      </w:r>
      <w:r>
        <w:rPr>
          <w:color w:val="231F20"/>
          <w:spacing w:val="-11"/>
        </w:rPr>
        <w:t> </w:t>
      </w:r>
      <w:r>
        <w:rPr>
          <w:color w:val="231F20"/>
        </w:rPr>
        <w:t>para</w:t>
      </w:r>
      <w:r>
        <w:rPr>
          <w:color w:val="231F20"/>
          <w:spacing w:val="-11"/>
        </w:rPr>
        <w:t> </w:t>
      </w:r>
      <w:r>
        <w:rPr>
          <w:color w:val="231F20"/>
          <w:spacing w:val="-3"/>
        </w:rPr>
        <w:t>reflexionar</w:t>
      </w:r>
      <w:r>
        <w:rPr>
          <w:color w:val="231F20"/>
          <w:spacing w:val="-11"/>
        </w:rPr>
        <w:t> </w:t>
      </w:r>
      <w:r>
        <w:rPr>
          <w:color w:val="231F20"/>
        </w:rPr>
        <w:t>críticamente</w:t>
      </w:r>
      <w:r>
        <w:rPr>
          <w:color w:val="231F20"/>
          <w:spacing w:val="-11"/>
        </w:rPr>
        <w:t> </w:t>
      </w:r>
      <w:r>
        <w:rPr>
          <w:color w:val="231F20"/>
        </w:rPr>
        <w:t>el</w:t>
      </w:r>
      <w:r>
        <w:rPr>
          <w:color w:val="231F20"/>
          <w:spacing w:val="-11"/>
        </w:rPr>
        <w:t> </w:t>
      </w:r>
      <w:r>
        <w:rPr>
          <w:color w:val="231F20"/>
        </w:rPr>
        <w:t>desconcierto</w:t>
      </w:r>
      <w:r>
        <w:rPr>
          <w:color w:val="231F20"/>
          <w:spacing w:val="-11"/>
        </w:rPr>
        <w:t> </w:t>
      </w:r>
      <w:r>
        <w:rPr>
          <w:color w:val="231F20"/>
        </w:rPr>
        <w:t>contemporáneo.</w:t>
      </w:r>
    </w:p>
    <w:p>
      <w:pPr>
        <w:pStyle w:val="BodyText"/>
        <w:spacing w:before="5"/>
      </w:pPr>
    </w:p>
    <w:p>
      <w:pPr>
        <w:pStyle w:val="BodyText"/>
        <w:ind w:left="64" w:right="101"/>
        <w:jc w:val="right"/>
      </w:pPr>
      <w:r>
        <w:rPr>
          <w:color w:val="231F20"/>
          <w:w w:val="105"/>
        </w:rPr>
        <w:t>Jorge Olvera García</w:t>
      </w:r>
    </w:p>
    <w:p>
      <w:pPr>
        <w:spacing w:after="0"/>
        <w:jc w:val="right"/>
        <w:sectPr>
          <w:pgSz w:w="9640" w:h="13890"/>
          <w:pgMar w:top="0" w:bottom="280" w:left="1300" w:right="1200"/>
        </w:sectPr>
      </w:pPr>
    </w:p>
    <w:p>
      <w:pPr>
        <w:pStyle w:val="BodyText"/>
        <w:spacing w:before="4"/>
        <w:rPr>
          <w:rFonts w:ascii="Times New Roman"/>
          <w:sz w:val="17"/>
        </w:rPr>
      </w:pPr>
      <w:r>
        <w:rPr/>
        <w:pict>
          <v:line style="position:absolute;mso-position-horizontal-relative:page;mso-position-vertical-relative:page;z-index:1720" from="481.822998pt,0pt" to="481.822998pt,694.487976pt" stroked="true" strokeweight=".134pt" strokecolor="#6d6e71">
            <w10:wrap type="none"/>
          </v:line>
        </w:pict>
      </w:r>
    </w:p>
    <w:p>
      <w:pPr>
        <w:spacing w:after="0"/>
        <w:rPr>
          <w:rFonts w:ascii="Times New Roman"/>
          <w:sz w:val="17"/>
        </w:rPr>
        <w:sectPr>
          <w:pgSz w:w="9640" w:h="13890"/>
          <w:pgMar w:top="0" w:bottom="0" w:left="1340" w:right="0"/>
        </w:sectPr>
      </w:pPr>
    </w:p>
    <w:p>
      <w:pPr>
        <w:pStyle w:val="BodyText"/>
        <w:ind w:left="861"/>
        <w:rPr>
          <w:rFonts w:ascii="Times New Roman"/>
          <w:sz w:val="20"/>
        </w:rPr>
      </w:pPr>
      <w:r>
        <w:rPr/>
        <w:pict>
          <v:rect style="position:absolute;margin-left:0pt;margin-top:0pt;width:481.89pt;height:694.487976pt;mso-position-horizontal-relative:page;mso-position-vertical-relative:page;z-index:-173632" filled="true" fillcolor="#6d6e71" stroked="false">
            <v:fill type="solid"/>
            <w10:wrap type="none"/>
          </v:rect>
        </w:pict>
      </w:r>
      <w:r>
        <w:rPr>
          <w:rFonts w:ascii="Times New Roman"/>
          <w:sz w:val="20"/>
        </w:rPr>
        <w:pict>
          <v:group style="width:259.5pt;height:425.1pt;mso-position-horizontal-relative:char;mso-position-vertical-relative:line" coordorigin="0,0" coordsize="5190,8502">
            <v:shape style="position:absolute;left:2843;top:633;width:2346;height:7869" type="#_x0000_t75" stroked="false">
              <v:imagedata r:id="rId37" o:title=""/>
            </v:shape>
            <v:shape style="position:absolute;left:2864;top:1653;width:1729;height:3773" coordorigin="2864,1653" coordsize="1729,3773" path="m2953,1653l2941,1678,2914,1749,2885,1854,2864,1984,3158,3145,3436,3890,3860,4543,4593,5425,4587,5306,4571,5018,4552,4668,4535,4361,4023,4075,3687,3697,3380,2974,2953,1653xe" filled="true" fillcolor="#7e8083" stroked="false">
              <v:path arrowok="t"/>
              <v:fill type="solid"/>
            </v:shape>
            <v:shape style="position:absolute;left:0;top:0;width:4665;height:6117" type="#_x0000_t75" stroked="false">
              <v:imagedata r:id="rId38" o:title=""/>
            </v:shape>
            <v:shape style="position:absolute;left:2253;top:9;width:721;height:3805" coordorigin="2253,9" coordsize="721,3805" path="m2757,9l2525,58,2286,1239,2253,2024,2468,2765,2973,3814,2757,9xe" filled="true" fillcolor="#a9abae" stroked="false">
              <v:path arrowok="t"/>
              <v:fill type="solid"/>
            </v:shape>
            <v:shape style="position:absolute;left:2385;top:7;width:602;height:3856" coordorigin="2385,7" coordsize="602,3856" path="m2759,7l2524,51,2520,52,2519,56,2493,174,2487,203,2481,233,2475,262,2470,292,2449,411,2444,441,2440,470,2436,500,2432,530,2424,590,2417,650,2411,710,2405,770,2402,800,2400,833,2398,863,2396,891,2392,952,2391,981,2390,1012,2386,1132,2385,1162,2385,1222,2385,1313,2386,1374,2389,1437,2391,1495,2394,1555,2398,1615,2402,1675,2413,1796,2419,1856,2426,1916,2433,1976,2441,2036,2449,2096,2458,2155,2468,2215,2473,2245,2478,2274,2484,2304,2495,2363,2501,2393,2506,2422,2513,2452,2538,2570,2566,2687,2581,2746,2596,2804,2612,2863,2628,2920,2645,2978,2662,3035,2680,3093,2698,3150,2718,3207,2737,3264,2757,3321,2778,3377,2799,3433,2821,3489,2843,3545,2866,3600,2889,3656,2913,3710,2939,3765,2965,3819,2986,3862,2983,3815,2964,3815,2961,3765,2957,3756,2933,3701,2910,3646,2888,3591,2866,3535,2845,3479,2824,3423,2804,3367,2785,3310,2766,3253,2747,3196,2729,3139,2712,3082,2695,3025,2679,2967,2663,2909,2647,2852,2632,2794,2618,2735,2603,2677,2577,2561,2552,2443,2546,2414,2541,2384,2535,2355,2530,2325,2525,2296,2519,2266,2515,2237,2510,2207,2500,2148,2491,2089,2483,2029,2474,1970,2460,1851,2454,1791,2449,1732,2443,1672,2439,1612,2431,1492,2427,1372,2425,1342,2424,1313,2424,1282,2424,1252,2423,1222,2423,1192,2422,1162,2423,1132,2425,1011,2425,982,2426,951,2428,923,2431,860,2432,830,2434,803,2436,773,2441,713,2446,653,2451,593,2458,534,2461,504,2465,474,2468,444,2472,414,2490,296,2494,266,2499,236,2504,207,2530,64,2526,64,2531,59,2548,59,2755,12,2759,12,2759,7xm2961,3765l2964,3815,2982,3810,2961,3765xm2759,12l2755,12,2758,91,2767,328,2771,414,2774,485,2796,961,2821,1437,2825,1516,2829,1596,2834,1675,2839,1754,2843,1834,2853,1992,2858,2071,2864,2150,2875,2309,2880,2388,2885,2467,2896,2626,2902,2705,2907,2784,2912,2863,2926,3101,2930,3161,2933,3220,2936,3280,2944,3418,2948,3498,2952,3577,2956,3656,2960,3736,2961,3765,2982,3810,2964,3815,2983,3815,2978,3735,2972,3655,2967,3576,2962,3497,2958,3418,2949,3279,2946,3219,2942,3160,2927,2862,2923,2783,2919,2704,2915,2625,2908,2466,2904,2384,2901,2304,2894,2148,2890,2069,2886,1990,2878,1831,2874,1752,2869,1672,2865,1594,2860,1514,2855,1434,2826,959,2794,484,2789,405,2783,326,2777,247,2765,88,2759,12xm2531,59l2526,64,2530,63,2531,59xm2530,63l2526,64,2530,64,2530,63xm2548,59l2531,59,2530,63,2548,59xe" filled="true" fillcolor="#ffffff" stroked="false">
              <v:path arrowok="t"/>
              <v:fill type="solid"/>
            </v:shape>
            <v:shape style="position:absolute;left:765;top:4108;width:1689;height:2056" coordorigin="765,4108" coordsize="1689,2056" path="m2396,4108l2330,4111,2257,4118,2175,4134,2085,4160,1988,4198,1882,4250,1826,4282,1769,4318,1709,4358,1648,4404,1584,4454,1519,4510,1452,4571,1383,4638,1312,4711,1239,4790,1165,4876,1088,4969,1010,5069,930,5176,848,5291,765,5413,874,6164,1348,5141,1671,4586,1990,4307,2453,4110,2425,4109,2396,4108xe" filled="true" fillcolor="#bec0c2" stroked="false">
              <v:path arrowok="t"/>
              <v:fill type="solid"/>
            </v:shape>
            <v:shape style="position:absolute;left:763;top:4090;width:1709;height:2094" coordorigin="763,4090" coordsize="1709,2094" path="m2385,4090l2350,4090,2315,4092,2280,4096,2246,4100,2211,4106,2177,4113,2109,4130,2027,4159,2010,4165,1994,4172,1978,4179,1946,4193,1931,4200,1915,4208,1838,4250,1823,4259,1808,4268,1705,4335,1622,4398,1608,4409,1594,4419,1580,4430,1461,4534,1337,4658,1313,4684,1290,4710,1266,4736,1243,4762,1219,4788,1196,4815,1174,4842,1086,4951,1064,4979,1043,5007,918,5177,899,5206,763,5412,763,5413,763,5414,785,5602,791,5649,796,5696,802,5743,818,5866,828,5941,838,6016,848,6092,858,6167,859,6172,862,6177,874,6183,884,6180,888,6171,888,6171,892,6162,889,6162,859,6157,881,6110,878,6087,866,6012,854,5937,842,5862,823,5740,815,5694,807,5647,799,5600,767,5414,912,5216,933,5188,1062,5023,1084,4996,1220,4837,1244,4812,1268,4786,1291,4761,1315,4736,1339,4710,1363,4685,1488,4565,1606,4464,1619,4453,1633,4443,1729,4371,1829,4306,1844,4297,1859,4289,1933,4248,1949,4241,2026,4206,2041,4199,2121,4171,2186,4153,2218,4146,2251,4140,2285,4135,2318,4132,2351,4129,2366,4129,2371,4126,2447,4093,2465,4093,2464,4092,2419,4090,2385,4090xm881,6110l859,6157,889,6162,881,6110xm2385,4128l2366,4129,2299,4166,2231,4212,2214,4224,2197,4236,2165,4261,2133,4287,2102,4314,2071,4342,2026,4384,2011,4398,1997,4413,1983,4428,1968,4443,1954,4457,1940,4472,1871,4549,1817,4612,1791,4644,1765,4676,1739,4708,1689,4773,1664,4806,1615,4872,1566,4939,1542,4973,1495,5041,1449,5110,1426,5144,1380,5213,1358,5247,1335,5282,1291,5352,1248,5423,1205,5494,1163,5566,1142,5602,1122,5638,1102,5674,1062,5747,1043,5784,1023,5821,1004,5858,967,5932,930,6006,894,6081,881,6110,889,6162,892,6162,924,6097,960,6022,998,5949,1036,5875,1074,5802,1113,5729,1152,5656,1192,5583,1272,5439,1287,5412,1313,5367,1334,5331,1355,5295,1397,5225,1441,5154,1485,5084,1531,5016,1554,4982,1577,4948,1625,4880,1649,4847,1674,4814,1699,4782,1750,4717,1776,4685,1802,4654,1829,4622,1883,4561,1954,4487,1968,4473,1983,4459,1999,4443,2012,4430,2027,4416,2042,4402,2088,4362,2119,4336,2150,4311,2182,4286,2199,4274,2231,4250,2248,4239,2316,4196,2386,4159,2456,4129,2452,4129,2418,4128,2385,4128xm2452,4128l2385,4128,2418,4128,2452,4129,2452,4128xm2465,4093l2447,4093,2452,4129,2456,4129,2459,4128,2460,4128,2466,4125,2471,4119,2472,4101,2465,4093xm2447,4093l2371,4126,2366,4129,2385,4128,2452,4128,2447,4093xe" filled="true" fillcolor="#ffffff" stroked="false">
              <v:path arrowok="t"/>
              <v:fill type="solid"/>
            </v:shape>
            <v:shape style="position:absolute;left:874;top:4111;width:2141;height:2054" coordorigin="874,4111" coordsize="2141,2054" path="m2486,4111l2096,4164,1797,4395,1440,4998,874,6164,985,6035,1092,5914,1196,5800,1296,5693,1392,5593,1485,5501,1575,5414,1660,5334,1743,5261,1822,5193,1898,5131,1971,5074,2042,5022,2109,4976,2173,4934,2235,4896,2294,4863,2350,4834,2404,4809,2455,4787,2504,4769,2551,4754,2596,4742,2638,4732,2679,4725,2717,4720,2754,4718,2789,4716,2975,4716,2959,4706,2904,4657,2850,4599,2797,4535,2746,4467,2696,4397,2604,4263,2561,4203,2522,4152,2486,4111xm2975,4716l2789,4716,2822,4717,2854,4719,2884,4721,2913,4725,2940,4729,2966,4734,3015,4743,2975,4716xe" filled="true" fillcolor="#828486" stroked="false">
              <v:path arrowok="t"/>
              <v:fill type="solid"/>
            </v:shape>
            <v:shape style="position:absolute;left:871;top:4104;width:2162;height:2063" coordorigin="871,4104" coordsize="2162,2063" path="m872,6166l873,6167,873,6166,872,6166xm875,6165l874,6166,873,6166,874,6167,875,6166,875,6165xm885,6147l872,6163,872,6163,872,6165,872,6166,872,6166,873,6166,874,6166,875,6165,885,6147xm872,6165l872,6166,872,6166,872,6165xm2810,4698l2768,4698,2725,4701,2683,4705,2642,4712,2600,4721,2559,4731,2519,4743,2479,4757,2439,4772,2400,4788,2362,4805,2324,4824,2286,4843,2249,4863,2213,4884,2141,4928,2071,4975,2036,5000,2002,5025,1968,5050,1934,5076,1901,5101,1868,5128,1803,5182,1739,5237,1708,5265,1645,5322,1614,5351,1553,5409,1523,5439,1493,5469,1433,5529,1345,5620,1316,5651,1230,5744,1117,5871,1090,5903,1035,5967,980,6032,885,6147,875,6165,988,6040,1132,5885,1248,5763,1337,5673,1456,5553,1547,5466,1578,5437,1639,5380,1671,5352,1733,5297,1765,5269,1797,5242,1829,5215,1894,5162,1926,5136,1993,5085,2026,5060,2060,5036,2094,5012,2163,4966,2234,4923,2269,4902,2306,4882,2342,4862,2379,4844,2416,4827,2454,4811,2492,4796,2530,4782,2569,4770,2609,4760,2648,4751,2688,4744,2728,4739,2769,4736,2809,4735,2974,4735,2963,4728,2944,4712,2936,4711,2894,4705,2852,4700,2810,4698xm872,6163l871,6164,871,6164,872,6163xm2488,4104l2486,4104,2444,4109,2404,4119,2365,4132,2327,4148,2289,4166,2253,4187,2218,4209,2184,4233,2119,4285,2056,4339,1995,4397,1937,4457,1880,4518,1825,4581,1772,4646,1719,4712,1668,4778,1619,4846,1571,4915,1523,4985,1477,5055,1432,5126,1387,5197,1343,5269,1300,5341,1258,5414,1216,5487,1175,5561,1135,5635,1095,5709,1056,5784,1018,5859,980,5934,943,6010,907,6087,872,6163,885,6147,915,6091,954,6016,994,5942,1075,5795,1116,5722,1158,5649,1200,5576,1242,5504,1285,5431,1328,5359,1372,5288,1416,5217,1461,5146,1507,5076,1553,5006,1599,4936,1647,4867,1695,4799,1744,4732,1794,4665,1845,4599,1898,4535,1952,4472,2008,4411,2067,4352,2128,4297,2193,4245,2226,4221,2260,4199,2295,4178,2332,4159,2369,4144,2407,4131,2447,4123,2483,4118,2481,4116,2500,4116,2491,4106,2489,4104,2488,4104xm2974,4735l2809,4735,2850,4737,2890,4740,2930,4745,2971,4752,3012,4760,3012,4760,3018,4761,3025,4758,3007,4758,2974,4735xm2944,4712l2963,4728,3007,4758,3018,4727,2977,4718,2944,4712xm2500,4116l2481,4116,2486,4118,2483,4118,2499,4135,2515,4154,2531,4175,2546,4195,2562,4216,2577,4237,2591,4259,2606,4280,2664,4367,2693,4410,2723,4453,2753,4495,2784,4537,2816,4578,2849,4619,2885,4657,2922,4694,2944,4712,2977,4718,3018,4727,3007,4758,3025,4758,3025,4758,3029,4751,3033,4743,3030,4733,3022,4728,3001,4716,2981,4702,2961,4687,2942,4671,2923,4654,2905,4636,2887,4618,2869,4599,2835,4561,2802,4521,2771,4481,2740,4439,2709,4398,2679,4355,2589,4228,2573,4207,2558,4186,2542,4165,2526,4145,2509,4125,2500,4116xm2481,4116l2483,4118,2486,4118,2481,4116xe" filled="true" fillcolor="#ffffff" stroked="false">
              <v:path arrowok="t"/>
              <v:fill type="solid"/>
            </v:shape>
            <v:shape style="position:absolute;left:1244;top:138;width:1771;height:4609" coordorigin="1244,138" coordsize="1771,4609" path="m2174,138l1618,256,1244,1778,1264,2753,1811,3602,3015,4747,3001,4483,2984,4202,2969,3979,2963,3887,2240,3071,1917,2408,1920,1547,2174,138xe" filled="true" fillcolor="#959799" stroked="false">
              <v:path arrowok="t"/>
              <v:fill type="solid"/>
            </v:shape>
            <v:shape style="position:absolute;left:1491;top:130;width:1535;height:4640" coordorigin="1491,130" coordsize="1535,4640" path="m2186,130l2172,130,1616,270,1597,350,1581,410,1566,490,1552,570,1540,650,1529,730,1520,790,1512,870,1506,950,1500,1030,1496,1110,1493,1190,1491,1270,1491,1350,1491,1430,1493,1490,1497,1570,1501,1650,1507,1730,1514,1810,1522,1890,1531,1970,1541,2050,1553,2110,1566,2190,1581,2270,1596,2350,1613,2430,1632,2490,1651,2570,1672,2650,1695,2730,1718,2790,1743,2870,1769,2950,1797,3010,1825,3090,1855,3150,1887,3230,1919,3290,1953,3370,1987,3430,2024,3510,2061,3570,2099,3630,2138,3710,2179,3770,2220,3830,2262,3890,2306,3970,2350,4030,2396,4090,2419,4110,2442,4150,2466,4170,2489,4210,2513,4230,2537,4270,2562,4290,2586,4330,2611,4350,2636,4390,2661,4410,2687,4430,2713,4470,2739,4490,2765,4530,2791,4550,2844,4610,2898,4650,2953,4710,3008,4770,3025,4770,3024,4750,3005,4750,3004,4732,2965,4690,2910,4650,2855,4590,2802,4550,2775,4510,2749,4490,2723,4450,2671,4410,2646,4370,2621,4350,2596,4310,2571,4290,2547,4250,2523,4230,2499,4190,2452,4130,2428,4110,2406,4070,2361,4010,2317,3950,2274,3890,2232,3830,2192,3770,2152,3690,2114,3630,2077,3570,2042,3490,2007,3430,1974,3350,1942,3290,1910,3210,1881,3150,1852,3070,1825,3010,1799,2930,1774,2850,1750,2790,1727,2710,1706,2630,1685,2570,1666,2490,1648,2410,1632,2330,1616,2270,1601,2190,1588,2110,1575,2030,1564,1950,1555,1890,1546,1810,1539,1730,1533,1650,1528,1570,1524,1490,1521,1410,1519,1350,1518,1270,1519,1190,1521,1110,1523,1030,1528,950,1533,870,1539,810,1547,730,1555,650,1565,570,1576,490,1589,410,1603,350,1620,270,2164,152,2165,150,2183,150,2186,130xm3004,4732l3005,4750,3021,4750,3004,4732xm2949,3906l2954,3990,2960,4070,2967,4150,2973,4250,2978,4330,3004,4732,3021,4750,3024,4750,2999,4250,2994,4150,2989,4070,2984,3990,2980,3910,2952,3910,2949,3906xm2947,3890l2949,3906,2952,3910,2947,3890xm2979,3890l2947,3890,2952,3910,2980,3910,2979,3890xm2183,150l2176,150,2164,152,2153,210,2141,270,2130,330,2120,390,2110,450,2102,510,2093,570,2086,630,2079,690,2073,770,2068,830,2063,890,2059,950,2056,1010,2053,1070,2052,1130,2051,1190,2051,1270,2051,1330,2052,1390,2055,1450,2057,1510,2061,1570,2066,1630,2074,1710,2083,1790,2093,1870,2105,1970,2119,2050,2134,2130,2151,2210,2169,2290,2188,2370,2209,2450,2232,2530,2256,2610,2281,2690,2308,2770,2337,2850,2367,2930,2399,2990,2432,3070,2467,3150,2503,3230,2540,3290,2579,3370,2620,3430,2662,3510,2695,3570,2728,3610,2763,3670,2798,3710,2835,3770,2872,3810,2911,3870,2949,3906,2947,3890,2974,3890,2935,3850,2898,3790,2861,3750,2826,3690,2791,3650,2758,3590,2725,3550,2693,3490,2652,3410,2613,3350,2574,3270,2538,3210,2502,3130,2469,3050,2436,2970,2405,2910,2376,2830,2348,2750,2322,2670,2296,2590,2272,2510,2250,2430,2229,2350,2209,2270,2191,2190,2175,2110,2160,2030,2146,1950,2134,1870,2123,1790,2114,1710,2106,1630,2100,1570,2096,1510,2092,1450,2089,1390,2085,1250,2085,1190,2085,1130,2085,1070,2087,1010,2089,950,2092,890,2096,830,2101,770,2106,710,2112,630,2118,570,2126,510,2134,450,2142,390,2152,330,2162,270,2172,210,2183,150xm2176,150l2165,150,2164,152,2176,150xe" filled="true" fillcolor="#ffffff" stroked="false">
              <v:path arrowok="t"/>
              <v:fill type="solid"/>
            </v:shape>
          </v:group>
        </w:pict>
      </w:r>
      <w:r>
        <w:rPr>
          <w:rFonts w:ascii="Times New Roman"/>
          <w:sz w:val="20"/>
        </w:rPr>
      </w:r>
    </w:p>
    <w:p>
      <w:pPr>
        <w:spacing w:line="187" w:lineRule="auto" w:before="42"/>
        <w:ind w:left="365" w:right="3001" w:firstLine="591"/>
        <w:jc w:val="right"/>
        <w:rPr>
          <w:rFonts w:ascii="Lucida Sans Unicode" w:hAnsi="Lucida Sans Unicode"/>
          <w:sz w:val="28"/>
        </w:rPr>
      </w:pPr>
      <w:r>
        <w:rPr>
          <w:rFonts w:ascii="Lucida Sans Unicode" w:hAnsi="Lucida Sans Unicode"/>
          <w:color w:val="FFFFFF"/>
          <w:w w:val="90"/>
          <w:sz w:val="28"/>
        </w:rPr>
        <w:t>CAMBIO DE PARADIftMA</w:t>
      </w:r>
      <w:r>
        <w:rPr>
          <w:rFonts w:ascii="Lucida Sans Unicode" w:hAnsi="Lucida Sans Unicode"/>
          <w:color w:val="FFFFFF"/>
          <w:w w:val="89"/>
          <w:sz w:val="28"/>
        </w:rPr>
        <w:t> </w:t>
      </w:r>
      <w:r>
        <w:rPr>
          <w:rFonts w:ascii="Lucida Sans Unicode" w:hAnsi="Lucida Sans Unicode"/>
          <w:color w:val="FFFFFF"/>
          <w:w w:val="95"/>
          <w:sz w:val="28"/>
        </w:rPr>
        <w:t>JURÍDICO: EL 11–S Y LA</w:t>
      </w:r>
      <w:r>
        <w:rPr>
          <w:rFonts w:ascii="Lucida Sans Unicode" w:hAnsi="Lucida Sans Unicode"/>
          <w:color w:val="FFFFFF"/>
          <w:w w:val="90"/>
          <w:sz w:val="28"/>
        </w:rPr>
        <w:t> </w:t>
      </w:r>
      <w:r>
        <w:rPr>
          <w:rFonts w:ascii="Lucida Sans Unicode" w:hAnsi="Lucida Sans Unicode"/>
          <w:color w:val="FFFFFF"/>
          <w:w w:val="90"/>
          <w:sz w:val="28"/>
        </w:rPr>
        <w:t>DELINCUENCIA ORftANIZADA</w:t>
      </w:r>
    </w:p>
    <w:p>
      <w:pPr>
        <w:spacing w:line="363" w:lineRule="exact" w:before="0"/>
        <w:ind w:left="1284" w:right="1700" w:firstLine="0"/>
        <w:jc w:val="center"/>
        <w:rPr>
          <w:rFonts w:ascii="Lucida Sans Unicode" w:hAnsi="Lucida Sans Unicode"/>
          <w:sz w:val="28"/>
        </w:rPr>
      </w:pPr>
      <w:r>
        <w:rPr>
          <w:rFonts w:ascii="Lucida Sans Unicode" w:hAnsi="Lucida Sans Unicode"/>
          <w:color w:val="FFFFFF"/>
          <w:w w:val="95"/>
          <w:sz w:val="28"/>
        </w:rPr>
        <w:t>EN MÉXICO</w:t>
      </w:r>
    </w:p>
    <w:p>
      <w:pPr>
        <w:pStyle w:val="BodyText"/>
        <w:rPr>
          <w:rFonts w:ascii="Lucida Sans Unicode"/>
          <w:sz w:val="28"/>
        </w:rPr>
      </w:pPr>
    </w:p>
    <w:p>
      <w:pPr>
        <w:pStyle w:val="BodyText"/>
        <w:spacing w:before="7"/>
        <w:rPr>
          <w:rFonts w:ascii="Lucida Sans Unicode"/>
          <w:sz w:val="17"/>
        </w:rPr>
      </w:pPr>
    </w:p>
    <w:p>
      <w:pPr>
        <w:spacing w:before="0"/>
        <w:ind w:left="3954" w:right="692" w:firstLine="0"/>
        <w:jc w:val="left"/>
        <w:rPr>
          <w:rFonts w:ascii="Calibri" w:hAnsi="Calibri"/>
          <w:sz w:val="28"/>
        </w:rPr>
      </w:pPr>
      <w:r>
        <w:rPr>
          <w:rFonts w:ascii="Calibri" w:hAnsi="Calibri"/>
          <w:color w:val="FFFFFF"/>
          <w:sz w:val="28"/>
        </w:rPr>
        <w:t>Jorge Olvera García</w:t>
      </w:r>
    </w:p>
    <w:p>
      <w:pPr>
        <w:spacing w:after="0"/>
        <w:jc w:val="left"/>
        <w:rPr>
          <w:rFonts w:ascii="Calibri" w:hAnsi="Calibri"/>
          <w:sz w:val="28"/>
        </w:rPr>
        <w:sectPr>
          <w:pgSz w:w="9640" w:h="13890"/>
          <w:pgMar w:top="116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spacing w:line="228" w:lineRule="exact" w:before="101"/>
        <w:ind w:left="3518" w:right="101" w:firstLine="0"/>
        <w:jc w:val="both"/>
        <w:rPr>
          <w:rFonts w:ascii="Calibri" w:hAnsi="Calibri"/>
          <w:i/>
          <w:sz w:val="19"/>
        </w:rPr>
      </w:pPr>
      <w:r>
        <w:rPr>
          <w:rFonts w:ascii="Calibri" w:hAnsi="Calibri"/>
          <w:i/>
          <w:color w:val="231F20"/>
          <w:sz w:val="19"/>
        </w:rPr>
        <w:t>La estructura imperial y, en particular, el po- </w:t>
      </w:r>
      <w:r>
        <w:rPr>
          <w:rFonts w:ascii="Calibri" w:hAnsi="Calibri"/>
          <w:i/>
          <w:color w:val="231F20"/>
          <w:sz w:val="19"/>
        </w:rPr>
        <w:t>der militar de Washington, se afirma como</w:t>
      </w:r>
      <w:r>
        <w:rPr>
          <w:rFonts w:ascii="Calibri" w:hAnsi="Calibri"/>
          <w:i/>
          <w:color w:val="231F20"/>
          <w:spacing w:val="-24"/>
          <w:sz w:val="19"/>
        </w:rPr>
        <w:t> </w:t>
      </w:r>
      <w:r>
        <w:rPr>
          <w:rFonts w:ascii="Calibri" w:hAnsi="Calibri"/>
          <w:i/>
          <w:color w:val="231F20"/>
          <w:sz w:val="19"/>
        </w:rPr>
        <w:t>un ejercicio unilateral de voluntad política. […] Después</w:t>
      </w:r>
      <w:r>
        <w:rPr>
          <w:rFonts w:ascii="Calibri" w:hAnsi="Calibri"/>
          <w:i/>
          <w:color w:val="231F20"/>
          <w:spacing w:val="-8"/>
          <w:sz w:val="19"/>
        </w:rPr>
        <w:t> </w:t>
      </w:r>
      <w:r>
        <w:rPr>
          <w:rFonts w:ascii="Calibri" w:hAnsi="Calibri"/>
          <w:i/>
          <w:color w:val="231F20"/>
          <w:sz w:val="19"/>
        </w:rPr>
        <w:t>del</w:t>
      </w:r>
      <w:r>
        <w:rPr>
          <w:rFonts w:ascii="Calibri" w:hAnsi="Calibri"/>
          <w:i/>
          <w:color w:val="231F20"/>
          <w:spacing w:val="-8"/>
          <w:sz w:val="19"/>
        </w:rPr>
        <w:t> </w:t>
      </w:r>
      <w:r>
        <w:rPr>
          <w:rFonts w:ascii="Calibri" w:hAnsi="Calibri"/>
          <w:i/>
          <w:color w:val="231F20"/>
          <w:sz w:val="19"/>
        </w:rPr>
        <w:t>11</w:t>
      </w:r>
      <w:r>
        <w:rPr>
          <w:rFonts w:ascii="Calibri" w:hAnsi="Calibri"/>
          <w:i/>
          <w:color w:val="231F20"/>
          <w:spacing w:val="-8"/>
          <w:sz w:val="19"/>
        </w:rPr>
        <w:t> </w:t>
      </w:r>
      <w:r>
        <w:rPr>
          <w:rFonts w:ascii="Calibri" w:hAnsi="Calibri"/>
          <w:i/>
          <w:color w:val="231F20"/>
          <w:sz w:val="19"/>
        </w:rPr>
        <w:t>de</w:t>
      </w:r>
      <w:r>
        <w:rPr>
          <w:rFonts w:ascii="Calibri" w:hAnsi="Calibri"/>
          <w:i/>
          <w:color w:val="231F20"/>
          <w:spacing w:val="-8"/>
          <w:sz w:val="19"/>
        </w:rPr>
        <w:t> </w:t>
      </w:r>
      <w:r>
        <w:rPr>
          <w:rFonts w:ascii="Calibri" w:hAnsi="Calibri"/>
          <w:i/>
          <w:color w:val="231F20"/>
          <w:sz w:val="19"/>
        </w:rPr>
        <w:t>septiembre,</w:t>
      </w:r>
      <w:r>
        <w:rPr>
          <w:rFonts w:ascii="Calibri" w:hAnsi="Calibri"/>
          <w:i/>
          <w:color w:val="231F20"/>
          <w:spacing w:val="-8"/>
          <w:sz w:val="19"/>
        </w:rPr>
        <w:t> </w:t>
      </w:r>
      <w:r>
        <w:rPr>
          <w:rFonts w:ascii="Calibri" w:hAnsi="Calibri"/>
          <w:i/>
          <w:color w:val="231F20"/>
          <w:sz w:val="19"/>
        </w:rPr>
        <w:t>el</w:t>
      </w:r>
      <w:r>
        <w:rPr>
          <w:rFonts w:ascii="Calibri" w:hAnsi="Calibri"/>
          <w:i/>
          <w:color w:val="231F20"/>
          <w:spacing w:val="-8"/>
          <w:sz w:val="19"/>
        </w:rPr>
        <w:t> </w:t>
      </w:r>
      <w:r>
        <w:rPr>
          <w:rFonts w:ascii="Calibri" w:hAnsi="Calibri"/>
          <w:i/>
          <w:color w:val="231F20"/>
          <w:sz w:val="19"/>
        </w:rPr>
        <w:t>desarrollo</w:t>
      </w:r>
      <w:r>
        <w:rPr>
          <w:rFonts w:ascii="Calibri" w:hAnsi="Calibri"/>
          <w:i/>
          <w:color w:val="231F20"/>
          <w:spacing w:val="-8"/>
          <w:sz w:val="19"/>
        </w:rPr>
        <w:t> </w:t>
      </w:r>
      <w:r>
        <w:rPr>
          <w:rFonts w:ascii="Calibri" w:hAnsi="Calibri"/>
          <w:i/>
          <w:color w:val="231F20"/>
          <w:sz w:val="19"/>
        </w:rPr>
        <w:t>de la soberanía imperial conoce una fortísima aceleración.</w:t>
      </w:r>
    </w:p>
    <w:p>
      <w:pPr>
        <w:pStyle w:val="BodyText"/>
        <w:rPr>
          <w:rFonts w:ascii="Calibri"/>
          <w:i/>
          <w:sz w:val="14"/>
        </w:rPr>
      </w:pPr>
    </w:p>
    <w:p>
      <w:pPr>
        <w:spacing w:line="247" w:lineRule="auto" w:before="0"/>
        <w:ind w:left="3518" w:right="101" w:firstLine="0"/>
        <w:jc w:val="both"/>
        <w:rPr>
          <w:rFonts w:ascii="Calibri"/>
          <w:sz w:val="19"/>
        </w:rPr>
      </w:pPr>
      <w:r>
        <w:rPr>
          <w:rFonts w:ascii="Calibri"/>
          <w:i/>
          <w:color w:val="231F20"/>
          <w:sz w:val="19"/>
        </w:rPr>
        <w:t>La multitud y la guerra</w:t>
      </w:r>
      <w:r>
        <w:rPr>
          <w:rFonts w:ascii="Calibri"/>
          <w:color w:val="231F20"/>
          <w:sz w:val="19"/>
        </w:rPr>
        <w:t>, Michael Hardt y Toni Negri.</w:t>
      </w:r>
    </w:p>
    <w:p>
      <w:pPr>
        <w:pStyle w:val="BodyText"/>
        <w:spacing w:before="12"/>
        <w:rPr>
          <w:rFonts w:ascii="Calibri"/>
          <w:sz w:val="18"/>
        </w:rPr>
      </w:pPr>
    </w:p>
    <w:p>
      <w:pPr>
        <w:spacing w:before="56"/>
        <w:ind w:left="117" w:right="0" w:firstLine="0"/>
        <w:jc w:val="left"/>
        <w:rPr>
          <w:rFonts w:ascii="Arial" w:hAnsi="Arial"/>
          <w:i/>
          <w:sz w:val="21"/>
        </w:rPr>
      </w:pPr>
      <w:r>
        <w:rPr>
          <w:rFonts w:ascii="Arial" w:hAnsi="Arial"/>
          <w:i/>
          <w:color w:val="231F20"/>
          <w:w w:val="105"/>
          <w:sz w:val="21"/>
        </w:rPr>
        <w:t>Introducción</w:t>
      </w:r>
    </w:p>
    <w:p>
      <w:pPr>
        <w:pStyle w:val="BodyText"/>
        <w:rPr>
          <w:rFonts w:ascii="Arial"/>
          <w:i/>
          <w:sz w:val="20"/>
        </w:rPr>
      </w:pPr>
    </w:p>
    <w:p>
      <w:pPr>
        <w:pStyle w:val="BodyText"/>
        <w:spacing w:line="247" w:lineRule="auto" w:before="172"/>
        <w:ind w:left="1180" w:right="101"/>
        <w:jc w:val="both"/>
      </w:pPr>
      <w:r>
        <w:rPr/>
        <w:pict>
          <v:shapetype id="_x0000_t202" o:spt="202" coordsize="21600,21600" path="m,l,21600r21600,l21600,xe">
            <v:stroke joinstyle="miter"/>
            <v:path gradientshapeok="t" o:connecttype="rect"/>
          </v:shapetype>
          <v:shape style="position:absolute;margin-left:82.667099pt;margin-top:18.524137pt;width:31.2pt;height:51pt;mso-position-horizontal-relative:page;mso-position-vertical-relative:paragraph;z-index:1792"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L</w:t>
                  </w:r>
                </w:p>
              </w:txbxContent>
            </v:textbox>
            <w10:wrap type="none"/>
          </v:shape>
        </w:pict>
      </w:r>
      <w:r>
        <w:rPr>
          <w:color w:val="231F20"/>
          <w:w w:val="105"/>
        </w:rPr>
        <w:t>os</w:t>
      </w:r>
      <w:r>
        <w:rPr>
          <w:color w:val="231F20"/>
          <w:spacing w:val="-22"/>
          <w:w w:val="105"/>
        </w:rPr>
        <w:t> </w:t>
      </w:r>
      <w:r>
        <w:rPr>
          <w:color w:val="231F20"/>
          <w:w w:val="105"/>
        </w:rPr>
        <w:t>atentados</w:t>
      </w:r>
      <w:r>
        <w:rPr>
          <w:color w:val="231F20"/>
          <w:spacing w:val="-22"/>
          <w:w w:val="105"/>
        </w:rPr>
        <w:t> </w:t>
      </w:r>
      <w:r>
        <w:rPr>
          <w:color w:val="231F20"/>
          <w:w w:val="105"/>
        </w:rPr>
        <w:t>del</w:t>
      </w:r>
      <w:r>
        <w:rPr>
          <w:color w:val="231F20"/>
          <w:spacing w:val="-22"/>
          <w:w w:val="105"/>
        </w:rPr>
        <w:t> </w:t>
      </w:r>
      <w:r>
        <w:rPr>
          <w:color w:val="231F20"/>
          <w:w w:val="105"/>
        </w:rPr>
        <w:t>11</w:t>
      </w:r>
      <w:r>
        <w:rPr>
          <w:color w:val="231F20"/>
          <w:spacing w:val="-22"/>
          <w:w w:val="105"/>
        </w:rPr>
        <w:t> </w:t>
      </w:r>
      <w:r>
        <w:rPr>
          <w:color w:val="231F20"/>
          <w:w w:val="105"/>
        </w:rPr>
        <w:t>de</w:t>
      </w:r>
      <w:r>
        <w:rPr>
          <w:color w:val="231F20"/>
          <w:spacing w:val="-22"/>
          <w:w w:val="105"/>
        </w:rPr>
        <w:t> </w:t>
      </w:r>
      <w:r>
        <w:rPr>
          <w:color w:val="231F20"/>
          <w:w w:val="105"/>
        </w:rPr>
        <w:t>septiembre</w:t>
      </w:r>
      <w:r>
        <w:rPr>
          <w:color w:val="231F20"/>
          <w:spacing w:val="-22"/>
          <w:w w:val="105"/>
        </w:rPr>
        <w:t> </w:t>
      </w:r>
      <w:r>
        <w:rPr>
          <w:color w:val="231F20"/>
          <w:w w:val="105"/>
        </w:rPr>
        <w:t>de</w:t>
      </w:r>
      <w:r>
        <w:rPr>
          <w:color w:val="231F20"/>
          <w:spacing w:val="-22"/>
          <w:w w:val="105"/>
        </w:rPr>
        <w:t> </w:t>
      </w:r>
      <w:r>
        <w:rPr>
          <w:color w:val="231F20"/>
          <w:w w:val="105"/>
        </w:rPr>
        <w:t>2001</w:t>
      </w:r>
      <w:r>
        <w:rPr>
          <w:color w:val="231F20"/>
          <w:spacing w:val="-22"/>
          <w:w w:val="105"/>
        </w:rPr>
        <w:t> </w:t>
      </w:r>
      <w:r>
        <w:rPr>
          <w:color w:val="231F20"/>
          <w:w w:val="105"/>
        </w:rPr>
        <w:t>cambiaron</w:t>
      </w:r>
      <w:r>
        <w:rPr>
          <w:color w:val="231F20"/>
          <w:spacing w:val="-22"/>
          <w:w w:val="105"/>
        </w:rPr>
        <w:t> </w:t>
      </w:r>
      <w:r>
        <w:rPr>
          <w:color w:val="231F20"/>
          <w:w w:val="105"/>
        </w:rPr>
        <w:t>de</w:t>
      </w:r>
      <w:r>
        <w:rPr>
          <w:color w:val="231F20"/>
          <w:spacing w:val="-22"/>
          <w:w w:val="105"/>
        </w:rPr>
        <w:t> </w:t>
      </w:r>
      <w:r>
        <w:rPr>
          <w:color w:val="231F20"/>
          <w:w w:val="105"/>
        </w:rPr>
        <w:t>ma- nera</w:t>
      </w:r>
      <w:r>
        <w:rPr>
          <w:color w:val="231F20"/>
          <w:spacing w:val="-27"/>
          <w:w w:val="105"/>
        </w:rPr>
        <w:t> </w:t>
      </w:r>
      <w:r>
        <w:rPr>
          <w:color w:val="231F20"/>
          <w:w w:val="105"/>
        </w:rPr>
        <w:t>radical</w:t>
      </w:r>
      <w:r>
        <w:rPr>
          <w:color w:val="231F20"/>
          <w:spacing w:val="-27"/>
          <w:w w:val="105"/>
        </w:rPr>
        <w:t> </w:t>
      </w:r>
      <w:r>
        <w:rPr>
          <w:color w:val="231F20"/>
          <w:w w:val="105"/>
        </w:rPr>
        <w:t>la</w:t>
      </w:r>
      <w:r>
        <w:rPr>
          <w:color w:val="231F20"/>
          <w:spacing w:val="-27"/>
          <w:w w:val="105"/>
        </w:rPr>
        <w:t> </w:t>
      </w:r>
      <w:r>
        <w:rPr>
          <w:color w:val="231F20"/>
          <w:w w:val="105"/>
        </w:rPr>
        <w:t>forma</w:t>
      </w:r>
      <w:r>
        <w:rPr>
          <w:color w:val="231F20"/>
          <w:spacing w:val="-27"/>
          <w:w w:val="105"/>
        </w:rPr>
        <w:t> </w:t>
      </w:r>
      <w:r>
        <w:rPr>
          <w:color w:val="231F20"/>
          <w:w w:val="105"/>
        </w:rPr>
        <w:t>de</w:t>
      </w:r>
      <w:r>
        <w:rPr>
          <w:color w:val="231F20"/>
          <w:spacing w:val="-27"/>
          <w:w w:val="105"/>
        </w:rPr>
        <w:t> </w:t>
      </w:r>
      <w:r>
        <w:rPr>
          <w:color w:val="231F20"/>
          <w:w w:val="105"/>
        </w:rPr>
        <w:t>concebir</w:t>
      </w:r>
      <w:r>
        <w:rPr>
          <w:color w:val="231F20"/>
          <w:spacing w:val="-27"/>
          <w:w w:val="105"/>
        </w:rPr>
        <w:t> </w:t>
      </w:r>
      <w:r>
        <w:rPr>
          <w:color w:val="231F20"/>
          <w:w w:val="105"/>
        </w:rPr>
        <w:t>y</w:t>
      </w:r>
      <w:r>
        <w:rPr>
          <w:color w:val="231F20"/>
          <w:spacing w:val="-27"/>
          <w:w w:val="105"/>
        </w:rPr>
        <w:t> </w:t>
      </w:r>
      <w:r>
        <w:rPr>
          <w:color w:val="231F20"/>
          <w:w w:val="105"/>
        </w:rPr>
        <w:t>ejercer</w:t>
      </w:r>
      <w:r>
        <w:rPr>
          <w:color w:val="231F20"/>
          <w:spacing w:val="-27"/>
          <w:w w:val="105"/>
        </w:rPr>
        <w:t> </w:t>
      </w:r>
      <w:r>
        <w:rPr>
          <w:color w:val="231F20"/>
          <w:w w:val="105"/>
        </w:rPr>
        <w:t>la</w:t>
      </w:r>
      <w:r>
        <w:rPr>
          <w:color w:val="231F20"/>
          <w:spacing w:val="-27"/>
          <w:w w:val="105"/>
        </w:rPr>
        <w:t> </w:t>
      </w:r>
      <w:r>
        <w:rPr>
          <w:color w:val="231F20"/>
          <w:w w:val="105"/>
        </w:rPr>
        <w:t>legalidad</w:t>
      </w:r>
      <w:r>
        <w:rPr>
          <w:color w:val="231F20"/>
          <w:spacing w:val="-27"/>
          <w:w w:val="105"/>
        </w:rPr>
        <w:t> </w:t>
      </w:r>
      <w:r>
        <w:rPr>
          <w:color w:val="231F20"/>
          <w:w w:val="105"/>
        </w:rPr>
        <w:t>por</w:t>
      </w:r>
      <w:r>
        <w:rPr>
          <w:color w:val="231F20"/>
          <w:spacing w:val="-27"/>
          <w:w w:val="105"/>
        </w:rPr>
        <w:t> </w:t>
      </w:r>
      <w:r>
        <w:rPr>
          <w:color w:val="231F20"/>
          <w:spacing w:val="-3"/>
          <w:w w:val="105"/>
        </w:rPr>
        <w:t>par- </w:t>
      </w:r>
      <w:r>
        <w:rPr>
          <w:color w:val="231F20"/>
          <w:w w:val="105"/>
        </w:rPr>
        <w:t>te del Estado legislativo de derecho, al provocar una</w:t>
      </w:r>
      <w:r>
        <w:rPr>
          <w:color w:val="231F20"/>
          <w:spacing w:val="-44"/>
          <w:w w:val="105"/>
        </w:rPr>
        <w:t> </w:t>
      </w:r>
      <w:r>
        <w:rPr>
          <w:color w:val="231F20"/>
          <w:w w:val="105"/>
        </w:rPr>
        <w:t>separa- ción</w:t>
      </w:r>
      <w:r>
        <w:rPr>
          <w:color w:val="231F20"/>
          <w:spacing w:val="-16"/>
          <w:w w:val="105"/>
        </w:rPr>
        <w:t> </w:t>
      </w:r>
      <w:r>
        <w:rPr>
          <w:color w:val="231F20"/>
          <w:w w:val="105"/>
        </w:rPr>
        <w:t>radical</w:t>
      </w:r>
      <w:r>
        <w:rPr>
          <w:color w:val="231F20"/>
          <w:spacing w:val="-16"/>
          <w:w w:val="105"/>
        </w:rPr>
        <w:t> </w:t>
      </w:r>
      <w:r>
        <w:rPr>
          <w:color w:val="231F20"/>
          <w:w w:val="105"/>
        </w:rPr>
        <w:t>entre</w:t>
      </w:r>
      <w:r>
        <w:rPr>
          <w:color w:val="231F20"/>
          <w:spacing w:val="-16"/>
          <w:w w:val="105"/>
        </w:rPr>
        <w:t> </w:t>
      </w:r>
      <w:r>
        <w:rPr>
          <w:color w:val="231F20"/>
          <w:w w:val="105"/>
        </w:rPr>
        <w:t>lo</w:t>
      </w:r>
      <w:r>
        <w:rPr>
          <w:color w:val="231F20"/>
          <w:spacing w:val="-16"/>
          <w:w w:val="105"/>
        </w:rPr>
        <w:t> </w:t>
      </w:r>
      <w:r>
        <w:rPr>
          <w:color w:val="231F20"/>
          <w:w w:val="105"/>
        </w:rPr>
        <w:t>válido</w:t>
      </w:r>
      <w:r>
        <w:rPr>
          <w:color w:val="231F20"/>
          <w:spacing w:val="-16"/>
          <w:w w:val="105"/>
        </w:rPr>
        <w:t> </w:t>
      </w:r>
      <w:r>
        <w:rPr>
          <w:color w:val="231F20"/>
          <w:w w:val="105"/>
        </w:rPr>
        <w:t>y</w:t>
      </w:r>
      <w:r>
        <w:rPr>
          <w:color w:val="231F20"/>
          <w:spacing w:val="-16"/>
          <w:w w:val="105"/>
        </w:rPr>
        <w:t> </w:t>
      </w:r>
      <w:r>
        <w:rPr>
          <w:color w:val="231F20"/>
          <w:w w:val="105"/>
        </w:rPr>
        <w:t>lo</w:t>
      </w:r>
      <w:r>
        <w:rPr>
          <w:color w:val="231F20"/>
          <w:spacing w:val="-16"/>
          <w:w w:val="105"/>
        </w:rPr>
        <w:t> </w:t>
      </w:r>
      <w:r>
        <w:rPr>
          <w:color w:val="231F20"/>
          <w:w w:val="105"/>
        </w:rPr>
        <w:t>justo.</w:t>
      </w:r>
      <w:r>
        <w:rPr>
          <w:color w:val="231F20"/>
          <w:spacing w:val="-16"/>
          <w:w w:val="105"/>
        </w:rPr>
        <w:t> </w:t>
      </w:r>
      <w:r>
        <w:rPr>
          <w:color w:val="231F20"/>
          <w:w w:val="105"/>
        </w:rPr>
        <w:t>Como</w:t>
      </w:r>
      <w:r>
        <w:rPr>
          <w:color w:val="231F20"/>
          <w:spacing w:val="-16"/>
          <w:w w:val="105"/>
        </w:rPr>
        <w:t> </w:t>
      </w:r>
      <w:r>
        <w:rPr>
          <w:color w:val="231F20"/>
          <w:w w:val="105"/>
        </w:rPr>
        <w:t>ya</w:t>
      </w:r>
      <w:r>
        <w:rPr>
          <w:color w:val="231F20"/>
          <w:spacing w:val="-16"/>
          <w:w w:val="105"/>
        </w:rPr>
        <w:t> </w:t>
      </w:r>
      <w:r>
        <w:rPr>
          <w:color w:val="231F20"/>
          <w:w w:val="105"/>
        </w:rPr>
        <w:t>lo</w:t>
      </w:r>
      <w:r>
        <w:rPr>
          <w:color w:val="231F20"/>
          <w:spacing w:val="-16"/>
          <w:w w:val="105"/>
        </w:rPr>
        <w:t> </w:t>
      </w:r>
      <w:r>
        <w:rPr>
          <w:color w:val="231F20"/>
          <w:w w:val="105"/>
        </w:rPr>
        <w:t>expone</w:t>
      </w:r>
      <w:r>
        <w:rPr>
          <w:color w:val="231F20"/>
          <w:spacing w:val="-16"/>
          <w:w w:val="105"/>
        </w:rPr>
        <w:t> </w:t>
      </w:r>
      <w:r>
        <w:rPr>
          <w:color w:val="231F20"/>
          <w:w w:val="105"/>
        </w:rPr>
        <w:t>Luigi Ferrajoli,</w:t>
      </w:r>
      <w:r>
        <w:rPr>
          <w:color w:val="231F20"/>
          <w:spacing w:val="-15"/>
          <w:w w:val="105"/>
        </w:rPr>
        <w:t> </w:t>
      </w:r>
      <w:r>
        <w:rPr>
          <w:color w:val="231F20"/>
          <w:w w:val="105"/>
        </w:rPr>
        <w:t>este</w:t>
      </w:r>
      <w:r>
        <w:rPr>
          <w:color w:val="231F20"/>
          <w:spacing w:val="-15"/>
          <w:w w:val="105"/>
        </w:rPr>
        <w:t> </w:t>
      </w:r>
      <w:r>
        <w:rPr>
          <w:color w:val="231F20"/>
          <w:w w:val="105"/>
        </w:rPr>
        <w:t>golpe</w:t>
      </w:r>
      <w:r>
        <w:rPr>
          <w:color w:val="231F20"/>
          <w:spacing w:val="-15"/>
          <w:w w:val="105"/>
        </w:rPr>
        <w:t> </w:t>
      </w:r>
      <w:r>
        <w:rPr>
          <w:color w:val="231F20"/>
          <w:w w:val="105"/>
        </w:rPr>
        <w:t>frontal</w:t>
      </w:r>
      <w:r>
        <w:rPr>
          <w:color w:val="231F20"/>
          <w:spacing w:val="-15"/>
          <w:w w:val="105"/>
        </w:rPr>
        <w:t> </w:t>
      </w:r>
      <w:r>
        <w:rPr>
          <w:color w:val="231F20"/>
          <w:w w:val="105"/>
        </w:rPr>
        <w:t>ha</w:t>
      </w:r>
      <w:r>
        <w:rPr>
          <w:color w:val="231F20"/>
          <w:spacing w:val="-15"/>
          <w:w w:val="105"/>
        </w:rPr>
        <w:t> </w:t>
      </w:r>
      <w:r>
        <w:rPr>
          <w:color w:val="231F20"/>
          <w:w w:val="105"/>
        </w:rPr>
        <w:t>provocado</w:t>
      </w:r>
      <w:r>
        <w:rPr>
          <w:color w:val="231F20"/>
          <w:spacing w:val="-15"/>
          <w:w w:val="105"/>
        </w:rPr>
        <w:t> </w:t>
      </w:r>
      <w:r>
        <w:rPr>
          <w:color w:val="231F20"/>
          <w:w w:val="105"/>
        </w:rPr>
        <w:t>un</w:t>
      </w:r>
      <w:r>
        <w:rPr>
          <w:color w:val="231F20"/>
          <w:spacing w:val="-15"/>
          <w:w w:val="105"/>
        </w:rPr>
        <w:t> </w:t>
      </w:r>
      <w:r>
        <w:rPr>
          <w:color w:val="231F20"/>
          <w:w w:val="105"/>
        </w:rPr>
        <w:t>cambio</w:t>
      </w:r>
      <w:r>
        <w:rPr>
          <w:color w:val="231F20"/>
          <w:spacing w:val="-15"/>
          <w:w w:val="105"/>
        </w:rPr>
        <w:t> </w:t>
      </w:r>
      <w:r>
        <w:rPr>
          <w:color w:val="231F20"/>
          <w:w w:val="105"/>
        </w:rPr>
        <w:t>de</w:t>
      </w:r>
      <w:r>
        <w:rPr>
          <w:color w:val="231F20"/>
          <w:spacing w:val="-15"/>
          <w:w w:val="105"/>
        </w:rPr>
        <w:t> </w:t>
      </w:r>
      <w:r>
        <w:rPr>
          <w:color w:val="231F20"/>
          <w:w w:val="105"/>
        </w:rPr>
        <w:t>para-</w:t>
      </w:r>
    </w:p>
    <w:p>
      <w:pPr>
        <w:pStyle w:val="BodyText"/>
        <w:spacing w:line="244" w:lineRule="auto"/>
        <w:ind w:left="117" w:right="101"/>
        <w:jc w:val="both"/>
      </w:pPr>
      <w:r>
        <w:rPr>
          <w:color w:val="231F20"/>
          <w:w w:val="105"/>
        </w:rPr>
        <w:t>digma</w:t>
      </w:r>
      <w:r>
        <w:rPr>
          <w:color w:val="231F20"/>
          <w:spacing w:val="-31"/>
          <w:w w:val="105"/>
        </w:rPr>
        <w:t> </w:t>
      </w:r>
      <w:r>
        <w:rPr>
          <w:color w:val="231F20"/>
          <w:w w:val="105"/>
        </w:rPr>
        <w:t>jurídico</w:t>
      </w:r>
      <w:r>
        <w:rPr>
          <w:color w:val="231F20"/>
          <w:spacing w:val="-31"/>
          <w:w w:val="105"/>
        </w:rPr>
        <w:t> </w:t>
      </w:r>
      <w:r>
        <w:rPr>
          <w:color w:val="231F20"/>
          <w:w w:val="105"/>
        </w:rPr>
        <w:t>en</w:t>
      </w:r>
      <w:r>
        <w:rPr>
          <w:color w:val="231F20"/>
          <w:spacing w:val="-31"/>
          <w:w w:val="105"/>
        </w:rPr>
        <w:t> </w:t>
      </w:r>
      <w:r>
        <w:rPr>
          <w:color w:val="231F20"/>
          <w:w w:val="105"/>
        </w:rPr>
        <w:t>la</w:t>
      </w:r>
      <w:r>
        <w:rPr>
          <w:color w:val="231F20"/>
          <w:spacing w:val="-31"/>
          <w:w w:val="105"/>
        </w:rPr>
        <w:t> </w:t>
      </w:r>
      <w:r>
        <w:rPr>
          <w:color w:val="231F20"/>
          <w:w w:val="105"/>
        </w:rPr>
        <w:t>forma</w:t>
      </w:r>
      <w:r>
        <w:rPr>
          <w:color w:val="231F20"/>
          <w:spacing w:val="-31"/>
          <w:w w:val="105"/>
        </w:rPr>
        <w:t> </w:t>
      </w:r>
      <w:r>
        <w:rPr>
          <w:color w:val="231F20"/>
          <w:w w:val="105"/>
        </w:rPr>
        <w:t>de</w:t>
      </w:r>
      <w:r>
        <w:rPr>
          <w:color w:val="231F20"/>
          <w:spacing w:val="-31"/>
          <w:w w:val="105"/>
        </w:rPr>
        <w:t> </w:t>
      </w:r>
      <w:r>
        <w:rPr>
          <w:color w:val="231F20"/>
          <w:w w:val="105"/>
        </w:rPr>
        <w:t>concebir</w:t>
      </w:r>
      <w:r>
        <w:rPr>
          <w:color w:val="231F20"/>
          <w:spacing w:val="-31"/>
          <w:w w:val="105"/>
        </w:rPr>
        <w:t> </w:t>
      </w:r>
      <w:r>
        <w:rPr>
          <w:color w:val="231F20"/>
          <w:w w:val="105"/>
        </w:rPr>
        <w:t>el</w:t>
      </w:r>
      <w:r>
        <w:rPr>
          <w:color w:val="231F20"/>
          <w:spacing w:val="-31"/>
          <w:w w:val="105"/>
        </w:rPr>
        <w:t> </w:t>
      </w:r>
      <w:r>
        <w:rPr>
          <w:color w:val="231F20"/>
          <w:w w:val="105"/>
        </w:rPr>
        <w:t>Estado</w:t>
      </w:r>
      <w:r>
        <w:rPr>
          <w:color w:val="231F20"/>
          <w:spacing w:val="-31"/>
          <w:w w:val="105"/>
        </w:rPr>
        <w:t> </w:t>
      </w:r>
      <w:r>
        <w:rPr>
          <w:color w:val="231F20"/>
          <w:w w:val="105"/>
        </w:rPr>
        <w:t>de</w:t>
      </w:r>
      <w:r>
        <w:rPr>
          <w:color w:val="231F20"/>
          <w:spacing w:val="-31"/>
          <w:w w:val="105"/>
        </w:rPr>
        <w:t> </w:t>
      </w:r>
      <w:r>
        <w:rPr>
          <w:color w:val="231F20"/>
          <w:w w:val="105"/>
        </w:rPr>
        <w:t>derecho.</w:t>
      </w:r>
      <w:r>
        <w:rPr>
          <w:color w:val="231F20"/>
          <w:spacing w:val="-31"/>
          <w:w w:val="105"/>
        </w:rPr>
        <w:t> </w:t>
      </w:r>
      <w:r>
        <w:rPr>
          <w:color w:val="231F20"/>
          <w:w w:val="105"/>
        </w:rPr>
        <w:t>El</w:t>
      </w:r>
      <w:r>
        <w:rPr>
          <w:color w:val="231F20"/>
          <w:spacing w:val="-31"/>
          <w:w w:val="105"/>
        </w:rPr>
        <w:t> </w:t>
      </w:r>
      <w:r>
        <w:rPr>
          <w:rFonts w:ascii="Arial" w:hAnsi="Arial"/>
          <w:i/>
          <w:color w:val="231F20"/>
          <w:w w:val="105"/>
        </w:rPr>
        <w:t>decisionis- </w:t>
      </w:r>
      <w:r>
        <w:rPr>
          <w:rFonts w:ascii="Arial" w:hAnsi="Arial"/>
          <w:i/>
          <w:color w:val="231F20"/>
          <w:w w:val="105"/>
        </w:rPr>
        <w:t>mo</w:t>
      </w:r>
      <w:r>
        <w:rPr>
          <w:rFonts w:ascii="Arial" w:hAnsi="Arial"/>
          <w:i/>
          <w:color w:val="231F20"/>
          <w:spacing w:val="-13"/>
          <w:w w:val="105"/>
        </w:rPr>
        <w:t> </w:t>
      </w:r>
      <w:r>
        <w:rPr>
          <w:rFonts w:ascii="Arial" w:hAnsi="Arial"/>
          <w:i/>
          <w:color w:val="231F20"/>
          <w:w w:val="105"/>
        </w:rPr>
        <w:t>político</w:t>
      </w:r>
      <w:r>
        <w:rPr>
          <w:rFonts w:ascii="Arial" w:hAnsi="Arial"/>
          <w:i/>
          <w:color w:val="231F20"/>
          <w:spacing w:val="-13"/>
          <w:w w:val="105"/>
        </w:rPr>
        <w:t> </w:t>
      </w:r>
      <w:r>
        <w:rPr>
          <w:color w:val="231F20"/>
          <w:w w:val="105"/>
        </w:rPr>
        <w:t>encabezado</w:t>
      </w:r>
      <w:r>
        <w:rPr>
          <w:color w:val="231F20"/>
          <w:spacing w:val="-20"/>
          <w:w w:val="105"/>
        </w:rPr>
        <w:t> </w:t>
      </w:r>
      <w:r>
        <w:rPr>
          <w:color w:val="231F20"/>
          <w:w w:val="105"/>
        </w:rPr>
        <w:t>por</w:t>
      </w:r>
      <w:r>
        <w:rPr>
          <w:color w:val="231F20"/>
          <w:spacing w:val="-20"/>
          <w:w w:val="105"/>
        </w:rPr>
        <w:t> </w:t>
      </w:r>
      <w:r>
        <w:rPr>
          <w:color w:val="231F20"/>
          <w:w w:val="105"/>
        </w:rPr>
        <w:t>Carl</w:t>
      </w:r>
      <w:r>
        <w:rPr>
          <w:color w:val="231F20"/>
          <w:spacing w:val="-20"/>
          <w:w w:val="105"/>
        </w:rPr>
        <w:t> </w:t>
      </w:r>
      <w:r>
        <w:rPr>
          <w:color w:val="231F20"/>
          <w:w w:val="105"/>
        </w:rPr>
        <w:t>Schmitt</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20"/>
          <w:w w:val="105"/>
        </w:rPr>
        <w:t> </w:t>
      </w:r>
      <w:r>
        <w:rPr>
          <w:rFonts w:ascii="Arial" w:hAnsi="Arial"/>
          <w:i/>
          <w:color w:val="231F20"/>
          <w:w w:val="105"/>
        </w:rPr>
        <w:t>Derecho</w:t>
      </w:r>
      <w:r>
        <w:rPr>
          <w:rFonts w:ascii="Arial" w:hAnsi="Arial"/>
          <w:i/>
          <w:color w:val="231F20"/>
          <w:spacing w:val="-13"/>
          <w:w w:val="105"/>
        </w:rPr>
        <w:t> </w:t>
      </w:r>
      <w:r>
        <w:rPr>
          <w:rFonts w:ascii="Arial" w:hAnsi="Arial"/>
          <w:i/>
          <w:color w:val="231F20"/>
          <w:w w:val="105"/>
        </w:rPr>
        <w:t>penal</w:t>
      </w:r>
      <w:r>
        <w:rPr>
          <w:rFonts w:ascii="Arial" w:hAnsi="Arial"/>
          <w:i/>
          <w:color w:val="231F20"/>
          <w:spacing w:val="-13"/>
          <w:w w:val="105"/>
        </w:rPr>
        <w:t> </w:t>
      </w:r>
      <w:r>
        <w:rPr>
          <w:rFonts w:ascii="Arial" w:hAnsi="Arial"/>
          <w:i/>
          <w:color w:val="231F20"/>
          <w:w w:val="105"/>
        </w:rPr>
        <w:t>del</w:t>
      </w:r>
      <w:r>
        <w:rPr>
          <w:rFonts w:ascii="Arial" w:hAnsi="Arial"/>
          <w:i/>
          <w:color w:val="231F20"/>
          <w:spacing w:val="-13"/>
          <w:w w:val="105"/>
        </w:rPr>
        <w:t> </w:t>
      </w:r>
      <w:r>
        <w:rPr>
          <w:rFonts w:ascii="Arial" w:hAnsi="Arial"/>
          <w:i/>
          <w:color w:val="231F20"/>
          <w:w w:val="105"/>
        </w:rPr>
        <w:t>enemigo </w:t>
      </w:r>
      <w:r>
        <w:rPr>
          <w:color w:val="231F20"/>
          <w:w w:val="105"/>
        </w:rPr>
        <w:t>(</w:t>
      </w:r>
      <w:r>
        <w:rPr>
          <w:color w:val="231F20"/>
          <w:w w:val="105"/>
          <w:sz w:val="18"/>
        </w:rPr>
        <w:t>DPE</w:t>
      </w:r>
      <w:r>
        <w:rPr>
          <w:color w:val="231F20"/>
          <w:w w:val="105"/>
        </w:rPr>
        <w:t>)</w:t>
      </w:r>
      <w:r>
        <w:rPr>
          <w:color w:val="231F20"/>
          <w:spacing w:val="-45"/>
          <w:w w:val="105"/>
        </w:rPr>
        <w:t> </w:t>
      </w:r>
      <w:r>
        <w:rPr>
          <w:color w:val="231F20"/>
          <w:w w:val="105"/>
        </w:rPr>
        <w:t>(en</w:t>
      </w:r>
      <w:r>
        <w:rPr>
          <w:color w:val="231F20"/>
          <w:spacing w:val="-45"/>
          <w:w w:val="105"/>
        </w:rPr>
        <w:t> </w:t>
      </w:r>
      <w:r>
        <w:rPr>
          <w:color w:val="231F20"/>
          <w:w w:val="105"/>
        </w:rPr>
        <w:t>alemán,</w:t>
      </w:r>
      <w:r>
        <w:rPr>
          <w:color w:val="231F20"/>
          <w:spacing w:val="-45"/>
          <w:w w:val="105"/>
        </w:rPr>
        <w:t> </w:t>
      </w:r>
      <w:r>
        <w:rPr>
          <w:rFonts w:ascii="Arial" w:hAnsi="Arial"/>
          <w:i/>
          <w:color w:val="231F20"/>
          <w:w w:val="105"/>
        </w:rPr>
        <w:t>Feindstrafrecht</w:t>
      </w:r>
      <w:r>
        <w:rPr>
          <w:color w:val="231F20"/>
          <w:w w:val="105"/>
        </w:rPr>
        <w:t>)</w:t>
      </w:r>
      <w:r>
        <w:rPr>
          <w:color w:val="231F20"/>
          <w:spacing w:val="-45"/>
          <w:w w:val="105"/>
        </w:rPr>
        <w:t> </w:t>
      </w:r>
      <w:r>
        <w:rPr>
          <w:color w:val="231F20"/>
          <w:w w:val="105"/>
        </w:rPr>
        <w:t>de</w:t>
      </w:r>
      <w:r>
        <w:rPr>
          <w:color w:val="231F20"/>
          <w:spacing w:val="-45"/>
          <w:w w:val="105"/>
        </w:rPr>
        <w:t> </w:t>
      </w:r>
      <w:r>
        <w:rPr>
          <w:color w:val="231F20"/>
          <w:w w:val="105"/>
        </w:rPr>
        <w:t>Günther</w:t>
      </w:r>
      <w:r>
        <w:rPr>
          <w:color w:val="231F20"/>
          <w:spacing w:val="-45"/>
          <w:w w:val="105"/>
        </w:rPr>
        <w:t> </w:t>
      </w:r>
      <w:r>
        <w:rPr>
          <w:color w:val="231F20"/>
          <w:w w:val="105"/>
        </w:rPr>
        <w:t>Jakobs</w:t>
      </w:r>
      <w:r>
        <w:rPr>
          <w:color w:val="231F20"/>
          <w:spacing w:val="-45"/>
          <w:w w:val="105"/>
        </w:rPr>
        <w:t> </w:t>
      </w:r>
      <w:r>
        <w:rPr>
          <w:color w:val="231F20"/>
          <w:w w:val="105"/>
        </w:rPr>
        <w:t>se</w:t>
      </w:r>
      <w:r>
        <w:rPr>
          <w:color w:val="231F20"/>
          <w:spacing w:val="-45"/>
          <w:w w:val="105"/>
        </w:rPr>
        <w:t> </w:t>
      </w:r>
      <w:r>
        <w:rPr>
          <w:color w:val="231F20"/>
          <w:w w:val="105"/>
        </w:rPr>
        <w:t>han</w:t>
      </w:r>
      <w:r>
        <w:rPr>
          <w:color w:val="231F20"/>
          <w:spacing w:val="-45"/>
          <w:w w:val="105"/>
        </w:rPr>
        <w:t> </w:t>
      </w:r>
      <w:r>
        <w:rPr>
          <w:color w:val="231F20"/>
          <w:w w:val="105"/>
        </w:rPr>
        <w:t>convertido</w:t>
      </w:r>
      <w:r>
        <w:rPr>
          <w:color w:val="231F20"/>
          <w:spacing w:val="-45"/>
          <w:w w:val="105"/>
        </w:rPr>
        <w:t> </w:t>
      </w:r>
      <w:r>
        <w:rPr>
          <w:color w:val="231F20"/>
          <w:w w:val="105"/>
        </w:rPr>
        <w:t>en el</w:t>
      </w:r>
      <w:r>
        <w:rPr>
          <w:color w:val="231F20"/>
          <w:spacing w:val="-22"/>
          <w:w w:val="105"/>
        </w:rPr>
        <w:t> </w:t>
      </w:r>
      <w:r>
        <w:rPr>
          <w:color w:val="231F20"/>
          <w:w w:val="105"/>
        </w:rPr>
        <w:t>paradigma</w:t>
      </w:r>
      <w:r>
        <w:rPr>
          <w:color w:val="231F20"/>
          <w:spacing w:val="-22"/>
          <w:w w:val="105"/>
        </w:rPr>
        <w:t> </w:t>
      </w:r>
      <w:r>
        <w:rPr>
          <w:color w:val="231F20"/>
          <w:w w:val="105"/>
        </w:rPr>
        <w:t>de</w:t>
      </w:r>
      <w:r>
        <w:rPr>
          <w:color w:val="231F20"/>
          <w:spacing w:val="-22"/>
          <w:w w:val="105"/>
        </w:rPr>
        <w:t> </w:t>
      </w:r>
      <w:r>
        <w:rPr>
          <w:color w:val="231F20"/>
          <w:w w:val="105"/>
        </w:rPr>
        <w:t>lo</w:t>
      </w:r>
      <w:r>
        <w:rPr>
          <w:color w:val="231F20"/>
          <w:spacing w:val="-22"/>
          <w:w w:val="105"/>
        </w:rPr>
        <w:t> </w:t>
      </w:r>
      <w:r>
        <w:rPr>
          <w:color w:val="231F20"/>
          <w:w w:val="105"/>
        </w:rPr>
        <w:t>que</w:t>
      </w:r>
      <w:r>
        <w:rPr>
          <w:color w:val="231F20"/>
          <w:spacing w:val="-22"/>
          <w:w w:val="105"/>
        </w:rPr>
        <w:t> </w:t>
      </w:r>
      <w:r>
        <w:rPr>
          <w:color w:val="231F20"/>
          <w:w w:val="105"/>
        </w:rPr>
        <w:t>hoy</w:t>
      </w:r>
      <w:r>
        <w:rPr>
          <w:color w:val="231F20"/>
          <w:spacing w:val="-22"/>
          <w:w w:val="105"/>
        </w:rPr>
        <w:t> </w:t>
      </w:r>
      <w:r>
        <w:rPr>
          <w:color w:val="231F20"/>
          <w:w w:val="105"/>
        </w:rPr>
        <w:t>conocemos</w:t>
      </w:r>
      <w:r>
        <w:rPr>
          <w:color w:val="231F20"/>
          <w:spacing w:val="-22"/>
          <w:w w:val="105"/>
        </w:rPr>
        <w:t> </w:t>
      </w:r>
      <w:r>
        <w:rPr>
          <w:color w:val="231F20"/>
          <w:w w:val="105"/>
        </w:rPr>
        <w:t>como</w:t>
      </w:r>
      <w:r>
        <w:rPr>
          <w:color w:val="231F20"/>
          <w:spacing w:val="-22"/>
          <w:w w:val="105"/>
        </w:rPr>
        <w:t> </w:t>
      </w:r>
      <w:r>
        <w:rPr>
          <w:color w:val="231F20"/>
          <w:w w:val="105"/>
        </w:rPr>
        <w:t>“guerra</w:t>
      </w:r>
      <w:r>
        <w:rPr>
          <w:color w:val="231F20"/>
          <w:spacing w:val="-22"/>
          <w:w w:val="105"/>
        </w:rPr>
        <w:t> </w:t>
      </w:r>
      <w:r>
        <w:rPr>
          <w:color w:val="231F20"/>
          <w:w w:val="105"/>
        </w:rPr>
        <w:t>en</w:t>
      </w:r>
      <w:r>
        <w:rPr>
          <w:color w:val="231F20"/>
          <w:spacing w:val="-22"/>
          <w:w w:val="105"/>
        </w:rPr>
        <w:t> </w:t>
      </w:r>
      <w:r>
        <w:rPr>
          <w:color w:val="231F20"/>
          <w:w w:val="105"/>
        </w:rPr>
        <w:t>contra</w:t>
      </w:r>
      <w:r>
        <w:rPr>
          <w:color w:val="231F20"/>
          <w:spacing w:val="-22"/>
          <w:w w:val="105"/>
        </w:rPr>
        <w:t> </w:t>
      </w:r>
      <w:r>
        <w:rPr>
          <w:color w:val="231F20"/>
          <w:w w:val="105"/>
        </w:rPr>
        <w:t>del</w:t>
      </w:r>
      <w:r>
        <w:rPr>
          <w:color w:val="231F20"/>
          <w:spacing w:val="-22"/>
          <w:w w:val="105"/>
        </w:rPr>
        <w:t> </w:t>
      </w:r>
      <w:r>
        <w:rPr>
          <w:color w:val="231F20"/>
          <w:w w:val="105"/>
        </w:rPr>
        <w:t>terro- rismo”</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ámbito</w:t>
      </w:r>
      <w:r>
        <w:rPr>
          <w:color w:val="231F20"/>
          <w:spacing w:val="-7"/>
          <w:w w:val="105"/>
        </w:rPr>
        <w:t> </w:t>
      </w:r>
      <w:r>
        <w:rPr>
          <w:color w:val="231F20"/>
          <w:w w:val="105"/>
        </w:rPr>
        <w:t>internacional</w:t>
      </w:r>
      <w:r>
        <w:rPr>
          <w:color w:val="231F20"/>
          <w:spacing w:val="-7"/>
          <w:w w:val="105"/>
        </w:rPr>
        <w:t> </w:t>
      </w:r>
      <w:r>
        <w:rPr>
          <w:color w:val="231F20"/>
          <w:w w:val="105"/>
        </w:rPr>
        <w:t>y</w:t>
      </w:r>
      <w:r>
        <w:rPr>
          <w:color w:val="231F20"/>
          <w:spacing w:val="-7"/>
          <w:w w:val="105"/>
        </w:rPr>
        <w:t> </w:t>
      </w:r>
      <w:r>
        <w:rPr>
          <w:color w:val="231F20"/>
          <w:w w:val="105"/>
        </w:rPr>
        <w:t>“guerra</w:t>
      </w:r>
      <w:r>
        <w:rPr>
          <w:color w:val="231F20"/>
          <w:spacing w:val="-7"/>
          <w:w w:val="105"/>
        </w:rPr>
        <w:t> </w:t>
      </w:r>
      <w:r>
        <w:rPr>
          <w:color w:val="231F20"/>
          <w:w w:val="105"/>
        </w:rPr>
        <w:t>en</w:t>
      </w:r>
      <w:r>
        <w:rPr>
          <w:color w:val="231F20"/>
          <w:spacing w:val="-7"/>
          <w:w w:val="105"/>
        </w:rPr>
        <w:t> </w:t>
      </w:r>
      <w:r>
        <w:rPr>
          <w:color w:val="231F20"/>
          <w:w w:val="105"/>
        </w:rPr>
        <w:t>contra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delincuencia organizada” en el ámbito nacional. En México, la guerra en contra de</w:t>
      </w:r>
      <w:r>
        <w:rPr>
          <w:color w:val="231F20"/>
          <w:spacing w:val="-46"/>
          <w:w w:val="105"/>
        </w:rPr>
        <w:t> </w:t>
      </w:r>
      <w:r>
        <w:rPr>
          <w:color w:val="231F20"/>
          <w:w w:val="105"/>
        </w:rPr>
        <w:t>la delincuencia</w:t>
      </w:r>
      <w:r>
        <w:rPr>
          <w:color w:val="231F20"/>
          <w:spacing w:val="-41"/>
          <w:w w:val="105"/>
        </w:rPr>
        <w:t> </w:t>
      </w:r>
      <w:r>
        <w:rPr>
          <w:color w:val="231F20"/>
          <w:w w:val="105"/>
        </w:rPr>
        <w:t>organizada</w:t>
      </w:r>
      <w:r>
        <w:rPr>
          <w:color w:val="231F20"/>
          <w:spacing w:val="-41"/>
          <w:w w:val="105"/>
        </w:rPr>
        <w:t> </w:t>
      </w:r>
      <w:r>
        <w:rPr>
          <w:color w:val="231F20"/>
          <w:w w:val="105"/>
        </w:rPr>
        <w:t>ha</w:t>
      </w:r>
      <w:r>
        <w:rPr>
          <w:color w:val="231F20"/>
          <w:spacing w:val="-41"/>
          <w:w w:val="105"/>
        </w:rPr>
        <w:t> </w:t>
      </w:r>
      <w:r>
        <w:rPr>
          <w:color w:val="231F20"/>
          <w:w w:val="105"/>
        </w:rPr>
        <w:t>generado</w:t>
      </w:r>
      <w:r>
        <w:rPr>
          <w:color w:val="231F20"/>
          <w:spacing w:val="-41"/>
          <w:w w:val="105"/>
        </w:rPr>
        <w:t> </w:t>
      </w:r>
      <w:r>
        <w:rPr>
          <w:color w:val="231F20"/>
          <w:w w:val="105"/>
        </w:rPr>
        <w:t>una</w:t>
      </w:r>
      <w:r>
        <w:rPr>
          <w:color w:val="231F20"/>
          <w:spacing w:val="-41"/>
          <w:w w:val="105"/>
        </w:rPr>
        <w:t> </w:t>
      </w:r>
      <w:r>
        <w:rPr>
          <w:color w:val="231F20"/>
          <w:w w:val="105"/>
        </w:rPr>
        <w:t>serie</w:t>
      </w:r>
      <w:r>
        <w:rPr>
          <w:color w:val="231F20"/>
          <w:spacing w:val="-41"/>
          <w:w w:val="105"/>
        </w:rPr>
        <w:t> </w:t>
      </w:r>
      <w:r>
        <w:rPr>
          <w:color w:val="231F20"/>
          <w:w w:val="105"/>
        </w:rPr>
        <w:t>de</w:t>
      </w:r>
      <w:r>
        <w:rPr>
          <w:color w:val="231F20"/>
          <w:spacing w:val="-41"/>
          <w:w w:val="105"/>
        </w:rPr>
        <w:t> </w:t>
      </w:r>
      <w:r>
        <w:rPr>
          <w:color w:val="231F20"/>
          <w:w w:val="105"/>
        </w:rPr>
        <w:t>reformas</w:t>
      </w:r>
      <w:r>
        <w:rPr>
          <w:color w:val="231F20"/>
          <w:spacing w:val="-41"/>
          <w:w w:val="105"/>
        </w:rPr>
        <w:t> </w:t>
      </w:r>
      <w:r>
        <w:rPr>
          <w:color w:val="231F20"/>
          <w:w w:val="105"/>
        </w:rPr>
        <w:t>constituciona- les</w:t>
      </w:r>
      <w:r>
        <w:rPr>
          <w:color w:val="231F20"/>
          <w:spacing w:val="-35"/>
          <w:w w:val="105"/>
        </w:rPr>
        <w:t> </w:t>
      </w:r>
      <w:r>
        <w:rPr>
          <w:color w:val="231F20"/>
          <w:w w:val="105"/>
        </w:rPr>
        <w:t>y</w:t>
      </w:r>
      <w:r>
        <w:rPr>
          <w:color w:val="231F20"/>
          <w:spacing w:val="-35"/>
          <w:w w:val="105"/>
        </w:rPr>
        <w:t> </w:t>
      </w:r>
      <w:r>
        <w:rPr>
          <w:color w:val="231F20"/>
          <w:w w:val="105"/>
        </w:rPr>
        <w:t>al</w:t>
      </w:r>
      <w:r>
        <w:rPr>
          <w:color w:val="231F20"/>
          <w:spacing w:val="-35"/>
          <w:w w:val="105"/>
        </w:rPr>
        <w:t> </w:t>
      </w:r>
      <w:r>
        <w:rPr>
          <w:color w:val="231F20"/>
          <w:w w:val="105"/>
        </w:rPr>
        <w:t>Código</w:t>
      </w:r>
      <w:r>
        <w:rPr>
          <w:color w:val="231F20"/>
          <w:spacing w:val="-35"/>
          <w:w w:val="105"/>
        </w:rPr>
        <w:t> </w:t>
      </w:r>
      <w:r>
        <w:rPr>
          <w:color w:val="231F20"/>
          <w:w w:val="105"/>
        </w:rPr>
        <w:t>Penal</w:t>
      </w:r>
      <w:r>
        <w:rPr>
          <w:color w:val="231F20"/>
          <w:spacing w:val="-35"/>
          <w:w w:val="105"/>
        </w:rPr>
        <w:t> </w:t>
      </w:r>
      <w:r>
        <w:rPr>
          <w:color w:val="231F20"/>
          <w:w w:val="105"/>
        </w:rPr>
        <w:t>que</w:t>
      </w:r>
      <w:r>
        <w:rPr>
          <w:color w:val="231F20"/>
          <w:spacing w:val="-35"/>
          <w:w w:val="105"/>
        </w:rPr>
        <w:t> </w:t>
      </w:r>
      <w:r>
        <w:rPr>
          <w:color w:val="231F20"/>
          <w:w w:val="105"/>
        </w:rPr>
        <w:t>se</w:t>
      </w:r>
      <w:r>
        <w:rPr>
          <w:color w:val="231F20"/>
          <w:spacing w:val="-35"/>
          <w:w w:val="105"/>
        </w:rPr>
        <w:t> </w:t>
      </w:r>
      <w:r>
        <w:rPr>
          <w:color w:val="231F20"/>
          <w:w w:val="105"/>
        </w:rPr>
        <w:t>han</w:t>
      </w:r>
      <w:r>
        <w:rPr>
          <w:color w:val="231F20"/>
          <w:spacing w:val="-35"/>
          <w:w w:val="105"/>
        </w:rPr>
        <w:t> </w:t>
      </w:r>
      <w:r>
        <w:rPr>
          <w:color w:val="231F20"/>
          <w:w w:val="105"/>
        </w:rPr>
        <w:t>reflejado</w:t>
      </w:r>
      <w:r>
        <w:rPr>
          <w:color w:val="231F20"/>
          <w:spacing w:val="-35"/>
          <w:w w:val="105"/>
        </w:rPr>
        <w:t> </w:t>
      </w:r>
      <w:r>
        <w:rPr>
          <w:color w:val="231F20"/>
          <w:w w:val="105"/>
        </w:rPr>
        <w:t>en</w:t>
      </w:r>
      <w:r>
        <w:rPr>
          <w:color w:val="231F20"/>
          <w:spacing w:val="-35"/>
          <w:w w:val="105"/>
        </w:rPr>
        <w:t> </w:t>
      </w:r>
      <w:r>
        <w:rPr>
          <w:color w:val="231F20"/>
          <w:w w:val="105"/>
        </w:rPr>
        <w:t>el</w:t>
      </w:r>
      <w:r>
        <w:rPr>
          <w:color w:val="231F20"/>
          <w:spacing w:val="-35"/>
          <w:w w:val="105"/>
        </w:rPr>
        <w:t> </w:t>
      </w:r>
      <w:r>
        <w:rPr>
          <w:color w:val="231F20"/>
          <w:w w:val="105"/>
        </w:rPr>
        <w:t>menoscabo</w:t>
      </w:r>
      <w:r>
        <w:rPr>
          <w:color w:val="231F20"/>
          <w:spacing w:val="-35"/>
          <w:w w:val="105"/>
        </w:rPr>
        <w:t> </w:t>
      </w:r>
      <w:r>
        <w:rPr>
          <w:color w:val="231F20"/>
          <w:w w:val="105"/>
        </w:rPr>
        <w:t>de</w:t>
      </w:r>
      <w:r>
        <w:rPr>
          <w:color w:val="231F20"/>
          <w:spacing w:val="-35"/>
          <w:w w:val="105"/>
        </w:rPr>
        <w:t> </w:t>
      </w:r>
      <w:r>
        <w:rPr>
          <w:color w:val="231F20"/>
          <w:w w:val="105"/>
        </w:rPr>
        <w:t>las</w:t>
      </w:r>
      <w:r>
        <w:rPr>
          <w:color w:val="231F20"/>
          <w:spacing w:val="-35"/>
          <w:w w:val="105"/>
        </w:rPr>
        <w:t> </w:t>
      </w:r>
      <w:r>
        <w:rPr>
          <w:color w:val="231F20"/>
          <w:w w:val="105"/>
        </w:rPr>
        <w:t>garantías individuales</w:t>
      </w:r>
      <w:r>
        <w:rPr>
          <w:color w:val="231F20"/>
          <w:spacing w:val="-33"/>
          <w:w w:val="105"/>
        </w:rPr>
        <w:t> </w:t>
      </w:r>
      <w:r>
        <w:rPr>
          <w:color w:val="231F20"/>
          <w:w w:val="105"/>
        </w:rPr>
        <w:t>y</w:t>
      </w:r>
      <w:r>
        <w:rPr>
          <w:color w:val="231F20"/>
          <w:spacing w:val="-33"/>
          <w:w w:val="105"/>
        </w:rPr>
        <w:t> </w:t>
      </w:r>
      <w:r>
        <w:rPr>
          <w:color w:val="231F20"/>
          <w:w w:val="105"/>
        </w:rPr>
        <w:t>procesales</w:t>
      </w:r>
      <w:r>
        <w:rPr>
          <w:color w:val="231F20"/>
          <w:spacing w:val="-33"/>
          <w:w w:val="105"/>
        </w:rPr>
        <w:t> </w:t>
      </w:r>
      <w:r>
        <w:rPr>
          <w:color w:val="231F20"/>
          <w:w w:val="105"/>
        </w:rPr>
        <w:t>en</w:t>
      </w:r>
      <w:r>
        <w:rPr>
          <w:color w:val="231F20"/>
          <w:spacing w:val="-33"/>
          <w:w w:val="105"/>
        </w:rPr>
        <w:t> </w:t>
      </w:r>
      <w:r>
        <w:rPr>
          <w:color w:val="231F20"/>
          <w:w w:val="105"/>
        </w:rPr>
        <w:t>pos</w:t>
      </w:r>
      <w:r>
        <w:rPr>
          <w:color w:val="231F20"/>
          <w:spacing w:val="-33"/>
          <w:w w:val="105"/>
        </w:rPr>
        <w:t> </w:t>
      </w:r>
      <w:r>
        <w:rPr>
          <w:color w:val="231F20"/>
          <w:w w:val="105"/>
        </w:rPr>
        <w:t>de</w:t>
      </w:r>
      <w:r>
        <w:rPr>
          <w:color w:val="231F20"/>
          <w:spacing w:val="-33"/>
          <w:w w:val="105"/>
        </w:rPr>
        <w:t> </w:t>
      </w:r>
      <w:r>
        <w:rPr>
          <w:color w:val="231F20"/>
          <w:w w:val="105"/>
        </w:rPr>
        <w:t>privilegiar</w:t>
      </w:r>
      <w:r>
        <w:rPr>
          <w:color w:val="231F20"/>
          <w:spacing w:val="-33"/>
          <w:w w:val="105"/>
        </w:rPr>
        <w:t> </w:t>
      </w:r>
      <w:r>
        <w:rPr>
          <w:color w:val="231F20"/>
          <w:w w:val="105"/>
        </w:rPr>
        <w:t>la</w:t>
      </w:r>
      <w:r>
        <w:rPr>
          <w:color w:val="231F20"/>
          <w:spacing w:val="-33"/>
          <w:w w:val="105"/>
        </w:rPr>
        <w:t> </w:t>
      </w:r>
      <w:r>
        <w:rPr>
          <w:color w:val="231F20"/>
          <w:w w:val="105"/>
        </w:rPr>
        <w:t>seguridad</w:t>
      </w:r>
      <w:r>
        <w:rPr>
          <w:color w:val="231F20"/>
          <w:spacing w:val="-33"/>
          <w:w w:val="105"/>
        </w:rPr>
        <w:t> </w:t>
      </w:r>
      <w:r>
        <w:rPr>
          <w:color w:val="231F20"/>
          <w:w w:val="105"/>
        </w:rPr>
        <w:t>nacional.</w:t>
      </w:r>
      <w:r>
        <w:rPr>
          <w:color w:val="231F20"/>
          <w:spacing w:val="-33"/>
          <w:w w:val="105"/>
        </w:rPr>
        <w:t> </w:t>
      </w:r>
      <w:r>
        <w:rPr>
          <w:color w:val="231F20"/>
          <w:w w:val="105"/>
        </w:rPr>
        <w:t>Dicho panorama puede verse como una de las formas que toma esta</w:t>
      </w:r>
      <w:r>
        <w:rPr>
          <w:color w:val="231F20"/>
          <w:spacing w:val="-19"/>
          <w:w w:val="105"/>
        </w:rPr>
        <w:t> </w:t>
      </w:r>
      <w:r>
        <w:rPr>
          <w:color w:val="231F20"/>
          <w:w w:val="105"/>
        </w:rPr>
        <w:t>escisión entre</w:t>
      </w:r>
      <w:r>
        <w:rPr>
          <w:color w:val="231F20"/>
          <w:spacing w:val="-30"/>
          <w:w w:val="105"/>
        </w:rPr>
        <w:t> </w:t>
      </w:r>
      <w:r>
        <w:rPr>
          <w:color w:val="231F20"/>
          <w:w w:val="105"/>
        </w:rPr>
        <w:t>lo</w:t>
      </w:r>
      <w:r>
        <w:rPr>
          <w:color w:val="231F20"/>
          <w:spacing w:val="-30"/>
          <w:w w:val="105"/>
        </w:rPr>
        <w:t> </w:t>
      </w:r>
      <w:r>
        <w:rPr>
          <w:color w:val="231F20"/>
          <w:w w:val="105"/>
        </w:rPr>
        <w:t>válido</w:t>
      </w:r>
      <w:r>
        <w:rPr>
          <w:color w:val="231F20"/>
          <w:spacing w:val="-30"/>
          <w:w w:val="105"/>
        </w:rPr>
        <w:t> </w:t>
      </w:r>
      <w:r>
        <w:rPr>
          <w:color w:val="231F20"/>
          <w:w w:val="105"/>
        </w:rPr>
        <w:t>y</w:t>
      </w:r>
      <w:r>
        <w:rPr>
          <w:color w:val="231F20"/>
          <w:spacing w:val="-30"/>
          <w:w w:val="105"/>
        </w:rPr>
        <w:t> </w:t>
      </w:r>
      <w:r>
        <w:rPr>
          <w:color w:val="231F20"/>
          <w:w w:val="105"/>
        </w:rPr>
        <w:t>lo</w:t>
      </w:r>
      <w:r>
        <w:rPr>
          <w:color w:val="231F20"/>
          <w:spacing w:val="-30"/>
          <w:w w:val="105"/>
        </w:rPr>
        <w:t> </w:t>
      </w:r>
      <w:r>
        <w:rPr>
          <w:color w:val="231F20"/>
          <w:w w:val="105"/>
        </w:rPr>
        <w:t>justo.</w:t>
      </w:r>
    </w:p>
    <w:p>
      <w:pPr>
        <w:pStyle w:val="BodyText"/>
        <w:spacing w:line="244" w:lineRule="auto" w:before="1"/>
        <w:ind w:left="117" w:right="101" w:firstLine="566"/>
        <w:jc w:val="both"/>
      </w:pPr>
      <w:r>
        <w:rPr>
          <w:color w:val="231F20"/>
        </w:rPr>
        <w:t>En</w:t>
      </w:r>
      <w:r>
        <w:rPr>
          <w:color w:val="231F20"/>
          <w:spacing w:val="-10"/>
        </w:rPr>
        <w:t> </w:t>
      </w:r>
      <w:r>
        <w:rPr>
          <w:color w:val="231F20"/>
        </w:rPr>
        <w:t>el</w:t>
      </w:r>
      <w:r>
        <w:rPr>
          <w:color w:val="231F20"/>
          <w:spacing w:val="-10"/>
        </w:rPr>
        <w:t> </w:t>
      </w:r>
      <w:r>
        <w:rPr>
          <w:color w:val="231F20"/>
        </w:rPr>
        <w:t>caso</w:t>
      </w:r>
      <w:r>
        <w:rPr>
          <w:color w:val="231F20"/>
          <w:spacing w:val="-10"/>
        </w:rPr>
        <w:t> </w:t>
      </w:r>
      <w:r>
        <w:rPr>
          <w:color w:val="231F20"/>
        </w:rPr>
        <w:t>de</w:t>
      </w:r>
      <w:r>
        <w:rPr>
          <w:color w:val="231F20"/>
          <w:spacing w:val="-10"/>
        </w:rPr>
        <w:t> </w:t>
      </w:r>
      <w:r>
        <w:rPr>
          <w:color w:val="231F20"/>
        </w:rPr>
        <w:t>Carl</w:t>
      </w:r>
      <w:r>
        <w:rPr>
          <w:color w:val="231F20"/>
          <w:spacing w:val="-10"/>
        </w:rPr>
        <w:t> </w:t>
      </w:r>
      <w:r>
        <w:rPr>
          <w:color w:val="231F20"/>
        </w:rPr>
        <w:t>Schmitt</w:t>
      </w:r>
      <w:r>
        <w:rPr>
          <w:color w:val="231F20"/>
          <w:spacing w:val="-10"/>
        </w:rPr>
        <w:t> </w:t>
      </w:r>
      <w:r>
        <w:rPr>
          <w:color w:val="231F20"/>
        </w:rPr>
        <w:t>—en</w:t>
      </w:r>
      <w:r>
        <w:rPr>
          <w:color w:val="231F20"/>
          <w:spacing w:val="-10"/>
        </w:rPr>
        <w:t> </w:t>
      </w:r>
      <w:r>
        <w:rPr>
          <w:color w:val="231F20"/>
        </w:rPr>
        <w:t>consonancia</w:t>
      </w:r>
      <w:r>
        <w:rPr>
          <w:color w:val="231F20"/>
          <w:spacing w:val="-10"/>
        </w:rPr>
        <w:t> </w:t>
      </w:r>
      <w:r>
        <w:rPr>
          <w:color w:val="231F20"/>
        </w:rPr>
        <w:t>con</w:t>
      </w:r>
      <w:r>
        <w:rPr>
          <w:color w:val="231F20"/>
          <w:spacing w:val="-10"/>
        </w:rPr>
        <w:t> </w:t>
      </w:r>
      <w:r>
        <w:rPr>
          <w:color w:val="231F20"/>
        </w:rPr>
        <w:t>una</w:t>
      </w:r>
      <w:r>
        <w:rPr>
          <w:color w:val="231F20"/>
          <w:spacing w:val="-10"/>
        </w:rPr>
        <w:t> </w:t>
      </w:r>
      <w:r>
        <w:rPr>
          <w:color w:val="231F20"/>
        </w:rPr>
        <w:t>idea</w:t>
      </w:r>
      <w:r>
        <w:rPr>
          <w:color w:val="231F20"/>
          <w:spacing w:val="-10"/>
        </w:rPr>
        <w:t> </w:t>
      </w:r>
      <w:r>
        <w:rPr>
          <w:color w:val="231F20"/>
        </w:rPr>
        <w:t>cara</w:t>
      </w:r>
      <w:r>
        <w:rPr>
          <w:color w:val="231F20"/>
          <w:spacing w:val="-10"/>
        </w:rPr>
        <w:t> </w:t>
      </w:r>
      <w:r>
        <w:rPr>
          <w:color w:val="231F20"/>
        </w:rPr>
        <w:t>a</w:t>
      </w:r>
      <w:r>
        <w:rPr>
          <w:color w:val="231F20"/>
          <w:spacing w:val="-10"/>
        </w:rPr>
        <w:t> </w:t>
      </w:r>
      <w:r>
        <w:rPr>
          <w:color w:val="231F20"/>
          <w:spacing w:val="-3"/>
        </w:rPr>
        <w:t>Wal- </w:t>
      </w:r>
      <w:r>
        <w:rPr>
          <w:color w:val="231F20"/>
        </w:rPr>
        <w:t>ter Benjamin—, queda claro que después del 11–S los términos de</w:t>
      </w:r>
      <w:r>
        <w:rPr>
          <w:color w:val="231F20"/>
          <w:spacing w:val="-22"/>
        </w:rPr>
        <w:t> </w:t>
      </w:r>
      <w:r>
        <w:rPr>
          <w:color w:val="231F20"/>
        </w:rPr>
        <w:t>“guerra justa” y “guerra preventiva” han hecho evidente que vivimos en un </w:t>
      </w:r>
      <w:r>
        <w:rPr>
          <w:rFonts w:ascii="Arial" w:hAnsi="Arial"/>
          <w:i/>
          <w:color w:val="231F20"/>
        </w:rPr>
        <w:t>estado </w:t>
      </w:r>
      <w:r>
        <w:rPr>
          <w:rFonts w:ascii="Arial" w:hAnsi="Arial"/>
          <w:i/>
          <w:color w:val="231F20"/>
        </w:rPr>
        <w:t>de excepción </w:t>
      </w:r>
      <w:r>
        <w:rPr>
          <w:color w:val="231F20"/>
        </w:rPr>
        <w:t>que se ha convertido en la regla o, si se quiere ver de otra manera,</w:t>
      </w:r>
      <w:r>
        <w:rPr>
          <w:color w:val="231F20"/>
          <w:spacing w:val="-4"/>
        </w:rPr>
        <w:t> </w:t>
      </w:r>
      <w:r>
        <w:rPr>
          <w:color w:val="231F20"/>
        </w:rPr>
        <w:t>en</w:t>
      </w:r>
      <w:r>
        <w:rPr>
          <w:color w:val="231F20"/>
          <w:spacing w:val="-4"/>
        </w:rPr>
        <w:t> </w:t>
      </w:r>
      <w:r>
        <w:rPr>
          <w:color w:val="231F20"/>
        </w:rPr>
        <w:t>hacer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suspensión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ley</w:t>
      </w:r>
      <w:r>
        <w:rPr>
          <w:color w:val="231F20"/>
          <w:spacing w:val="-4"/>
        </w:rPr>
        <w:t> </w:t>
      </w:r>
      <w:r>
        <w:rPr>
          <w:color w:val="231F20"/>
        </w:rPr>
        <w:t>la</w:t>
      </w:r>
      <w:r>
        <w:rPr>
          <w:color w:val="231F20"/>
          <w:spacing w:val="-4"/>
        </w:rPr>
        <w:t> </w:t>
      </w:r>
      <w:r>
        <w:rPr>
          <w:color w:val="231F20"/>
        </w:rPr>
        <w:t>garantía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existencia</w:t>
      </w:r>
      <w:r>
        <w:rPr>
          <w:color w:val="231F20"/>
          <w:spacing w:val="-4"/>
        </w:rPr>
        <w:t> </w:t>
      </w:r>
      <w:r>
        <w:rPr>
          <w:color w:val="231F20"/>
        </w:rPr>
        <w:t>del Estado de derecho. La formulación de la idea de “guerra preventiva”, que puede afectar a cuantos países crea oportuno el interés nacional, viene a </w:t>
      </w:r>
      <w:r>
        <w:rPr>
          <w:color w:val="231F20"/>
          <w:spacing w:val="-3"/>
        </w:rPr>
        <w:t>asumir,</w:t>
      </w:r>
      <w:r>
        <w:rPr>
          <w:color w:val="231F20"/>
          <w:spacing w:val="-7"/>
        </w:rPr>
        <w:t> </w:t>
      </w:r>
      <w:r>
        <w:rPr>
          <w:rFonts w:ascii="Arial" w:hAnsi="Arial"/>
          <w:i/>
          <w:color w:val="231F20"/>
        </w:rPr>
        <w:t>de facto</w:t>
      </w:r>
      <w:r>
        <w:rPr>
          <w:color w:val="231F20"/>
        </w:rPr>
        <w:t>,</w:t>
      </w:r>
      <w:r>
        <w:rPr>
          <w:color w:val="231F20"/>
          <w:spacing w:val="-7"/>
        </w:rPr>
        <w:t> </w:t>
      </w:r>
      <w:r>
        <w:rPr>
          <w:color w:val="231F20"/>
        </w:rPr>
        <w:t>la</w:t>
      </w:r>
      <w:r>
        <w:rPr>
          <w:color w:val="231F20"/>
          <w:spacing w:val="-7"/>
        </w:rPr>
        <w:t> </w:t>
      </w:r>
      <w:r>
        <w:rPr>
          <w:color w:val="231F20"/>
        </w:rPr>
        <w:t>tesis</w:t>
      </w:r>
      <w:r>
        <w:rPr>
          <w:color w:val="231F20"/>
          <w:spacing w:val="-7"/>
        </w:rPr>
        <w:t> </w:t>
      </w:r>
      <w:r>
        <w:rPr>
          <w:color w:val="231F20"/>
        </w:rPr>
        <w:t>schmittiana</w:t>
      </w:r>
      <w:r>
        <w:rPr>
          <w:color w:val="231F20"/>
          <w:spacing w:val="-7"/>
        </w:rPr>
        <w:t> </w:t>
      </w:r>
      <w:r>
        <w:rPr>
          <w:color w:val="231F20"/>
        </w:rPr>
        <w:t>según</w:t>
      </w:r>
      <w:r>
        <w:rPr>
          <w:color w:val="231F20"/>
          <w:spacing w:val="-7"/>
        </w:rPr>
        <w:t> </w:t>
      </w:r>
      <w:r>
        <w:rPr>
          <w:color w:val="231F20"/>
        </w:rPr>
        <w:t>la</w:t>
      </w:r>
      <w:r>
        <w:rPr>
          <w:color w:val="231F20"/>
          <w:spacing w:val="-7"/>
        </w:rPr>
        <w:t> </w:t>
      </w:r>
      <w:r>
        <w:rPr>
          <w:color w:val="231F20"/>
        </w:rPr>
        <w:t>cual</w:t>
      </w:r>
      <w:r>
        <w:rPr>
          <w:color w:val="231F20"/>
          <w:spacing w:val="-7"/>
        </w:rPr>
        <w:t> </w:t>
      </w:r>
      <w:r>
        <w:rPr>
          <w:color w:val="231F20"/>
        </w:rPr>
        <w:t>una</w:t>
      </w:r>
      <w:r>
        <w:rPr>
          <w:color w:val="231F20"/>
          <w:spacing w:val="-7"/>
        </w:rPr>
        <w:t> </w:t>
      </w:r>
      <w:r>
        <w:rPr>
          <w:color w:val="231F20"/>
        </w:rPr>
        <w:t>prescripción</w:t>
      </w:r>
      <w:r>
        <w:rPr>
          <w:color w:val="231F20"/>
          <w:spacing w:val="-7"/>
        </w:rPr>
        <w:t> </w:t>
      </w:r>
      <w:r>
        <w:rPr>
          <w:color w:val="231F20"/>
        </w:rPr>
        <w:t>jurídica sólo puede establecerse por una decisión política absoluta. La situación de México</w:t>
      </w:r>
      <w:r>
        <w:rPr>
          <w:color w:val="231F20"/>
          <w:spacing w:val="-6"/>
        </w:rPr>
        <w:t> </w:t>
      </w:r>
      <w:r>
        <w:rPr>
          <w:color w:val="231F20"/>
        </w:rPr>
        <w:t>frente</w:t>
      </w:r>
      <w:r>
        <w:rPr>
          <w:color w:val="231F20"/>
          <w:spacing w:val="-6"/>
        </w:rPr>
        <w:t> </w:t>
      </w:r>
      <w:r>
        <w:rPr>
          <w:color w:val="231F20"/>
        </w:rPr>
        <w:t>al</w:t>
      </w:r>
      <w:r>
        <w:rPr>
          <w:color w:val="231F20"/>
          <w:spacing w:val="-6"/>
        </w:rPr>
        <w:t> </w:t>
      </w:r>
      <w:r>
        <w:rPr>
          <w:color w:val="231F20"/>
        </w:rPr>
        <w:t>combate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delincuencia</w:t>
      </w:r>
      <w:r>
        <w:rPr>
          <w:color w:val="231F20"/>
          <w:spacing w:val="-6"/>
        </w:rPr>
        <w:t> </w:t>
      </w:r>
      <w:r>
        <w:rPr>
          <w:color w:val="231F20"/>
        </w:rPr>
        <w:t>organizada</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muy</w:t>
      </w:r>
      <w:r>
        <w:rPr>
          <w:color w:val="231F20"/>
          <w:spacing w:val="-6"/>
        </w:rPr>
        <w:t> </w:t>
      </w:r>
      <w:r>
        <w:rPr>
          <w:color w:val="231F20"/>
        </w:rPr>
        <w:t>distinta, ahí también las zonas de excepción a la ley son lo que, paradójicamente, permite que la legalidad se</w:t>
      </w:r>
      <w:r>
        <w:rPr>
          <w:color w:val="231F20"/>
          <w:spacing w:val="42"/>
        </w:rPr>
        <w:t> </w:t>
      </w:r>
      <w:r>
        <w:rPr>
          <w:color w:val="231F20"/>
        </w:rPr>
        <w:t>sostenga.</w:t>
      </w:r>
    </w:p>
    <w:p>
      <w:pPr>
        <w:pStyle w:val="BodyText"/>
        <w:spacing w:line="247" w:lineRule="auto" w:before="1"/>
        <w:ind w:left="117" w:right="101" w:firstLine="566"/>
        <w:jc w:val="both"/>
      </w:pPr>
      <w:r>
        <w:rPr>
          <w:color w:val="231F20"/>
          <w:w w:val="105"/>
        </w:rPr>
        <w:t>El</w:t>
      </w:r>
      <w:r>
        <w:rPr>
          <w:color w:val="231F20"/>
          <w:spacing w:val="-26"/>
          <w:w w:val="105"/>
        </w:rPr>
        <w:t> </w:t>
      </w:r>
      <w:r>
        <w:rPr>
          <w:color w:val="231F20"/>
          <w:w w:val="105"/>
          <w:sz w:val="18"/>
        </w:rPr>
        <w:t>DPE</w:t>
      </w:r>
      <w:r>
        <w:rPr>
          <w:color w:val="231F20"/>
          <w:spacing w:val="-16"/>
          <w:w w:val="105"/>
          <w:sz w:val="18"/>
        </w:rPr>
        <w:t> </w:t>
      </w:r>
      <w:r>
        <w:rPr>
          <w:color w:val="231F20"/>
          <w:w w:val="105"/>
        </w:rPr>
        <w:t>de</w:t>
      </w:r>
      <w:r>
        <w:rPr>
          <w:color w:val="231F20"/>
          <w:spacing w:val="-26"/>
          <w:w w:val="105"/>
        </w:rPr>
        <w:t> </w:t>
      </w:r>
      <w:r>
        <w:rPr>
          <w:color w:val="231F20"/>
          <w:w w:val="105"/>
        </w:rPr>
        <w:t>Jakobs</w:t>
      </w:r>
      <w:r>
        <w:rPr>
          <w:color w:val="231F20"/>
          <w:spacing w:val="-26"/>
          <w:w w:val="105"/>
        </w:rPr>
        <w:t> </w:t>
      </w:r>
      <w:r>
        <w:rPr>
          <w:color w:val="231F20"/>
          <w:w w:val="105"/>
        </w:rPr>
        <w:t>contraviene</w:t>
      </w:r>
      <w:r>
        <w:rPr>
          <w:color w:val="231F20"/>
          <w:spacing w:val="-26"/>
          <w:w w:val="105"/>
        </w:rPr>
        <w:t> </w:t>
      </w:r>
      <w:r>
        <w:rPr>
          <w:color w:val="231F20"/>
          <w:w w:val="105"/>
        </w:rPr>
        <w:t>también</w:t>
      </w:r>
      <w:r>
        <w:rPr>
          <w:color w:val="231F20"/>
          <w:spacing w:val="-26"/>
          <w:w w:val="105"/>
        </w:rPr>
        <w:t> </w:t>
      </w:r>
      <w:r>
        <w:rPr>
          <w:color w:val="231F20"/>
          <w:w w:val="105"/>
        </w:rPr>
        <w:t>uno</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principios</w:t>
      </w:r>
      <w:r>
        <w:rPr>
          <w:color w:val="231F20"/>
          <w:spacing w:val="-26"/>
          <w:w w:val="105"/>
        </w:rPr>
        <w:t> </w:t>
      </w:r>
      <w:r>
        <w:rPr>
          <w:color w:val="231F20"/>
          <w:w w:val="105"/>
        </w:rPr>
        <w:t>esencia- les</w:t>
      </w:r>
      <w:r>
        <w:rPr>
          <w:color w:val="231F20"/>
          <w:spacing w:val="-31"/>
          <w:w w:val="105"/>
        </w:rPr>
        <w:t> </w:t>
      </w:r>
      <w:r>
        <w:rPr>
          <w:color w:val="231F20"/>
          <w:w w:val="105"/>
        </w:rPr>
        <w:t>del</w:t>
      </w:r>
      <w:r>
        <w:rPr>
          <w:color w:val="231F20"/>
          <w:spacing w:val="-31"/>
          <w:w w:val="105"/>
        </w:rPr>
        <w:t> </w:t>
      </w:r>
      <w:r>
        <w:rPr>
          <w:color w:val="231F20"/>
          <w:w w:val="105"/>
        </w:rPr>
        <w:t>Estado</w:t>
      </w:r>
      <w:r>
        <w:rPr>
          <w:color w:val="231F20"/>
          <w:spacing w:val="-31"/>
          <w:w w:val="105"/>
        </w:rPr>
        <w:t> </w:t>
      </w:r>
      <w:r>
        <w:rPr>
          <w:color w:val="231F20"/>
          <w:w w:val="105"/>
        </w:rPr>
        <w:t>de</w:t>
      </w:r>
      <w:r>
        <w:rPr>
          <w:color w:val="231F20"/>
          <w:spacing w:val="-31"/>
          <w:w w:val="105"/>
        </w:rPr>
        <w:t> </w:t>
      </w:r>
      <w:r>
        <w:rPr>
          <w:color w:val="231F20"/>
          <w:w w:val="105"/>
        </w:rPr>
        <w:t>derecho</w:t>
      </w:r>
      <w:r>
        <w:rPr>
          <w:color w:val="231F20"/>
          <w:spacing w:val="-31"/>
          <w:w w:val="105"/>
        </w:rPr>
        <w:t> </w:t>
      </w:r>
      <w:r>
        <w:rPr>
          <w:color w:val="231F20"/>
          <w:w w:val="105"/>
        </w:rPr>
        <w:t>liberal:</w:t>
      </w:r>
      <w:r>
        <w:rPr>
          <w:color w:val="231F20"/>
          <w:spacing w:val="-31"/>
          <w:w w:val="105"/>
        </w:rPr>
        <w:t> </w:t>
      </w:r>
      <w:r>
        <w:rPr>
          <w:color w:val="231F20"/>
          <w:w w:val="105"/>
        </w:rPr>
        <w:t>la</w:t>
      </w:r>
      <w:r>
        <w:rPr>
          <w:color w:val="231F20"/>
          <w:spacing w:val="-31"/>
          <w:w w:val="105"/>
        </w:rPr>
        <w:t> </w:t>
      </w:r>
      <w:r>
        <w:rPr>
          <w:color w:val="231F20"/>
          <w:w w:val="105"/>
        </w:rPr>
        <w:t>igualdad</w:t>
      </w:r>
      <w:r>
        <w:rPr>
          <w:color w:val="231F20"/>
          <w:spacing w:val="-31"/>
          <w:w w:val="105"/>
        </w:rPr>
        <w:t> </w:t>
      </w:r>
      <w:r>
        <w:rPr>
          <w:color w:val="231F20"/>
          <w:w w:val="105"/>
        </w:rPr>
        <w:t>ante</w:t>
      </w:r>
      <w:r>
        <w:rPr>
          <w:color w:val="231F20"/>
          <w:spacing w:val="-31"/>
          <w:w w:val="105"/>
        </w:rPr>
        <w:t> </w:t>
      </w:r>
      <w:r>
        <w:rPr>
          <w:color w:val="231F20"/>
          <w:w w:val="105"/>
        </w:rPr>
        <w:t>la</w:t>
      </w:r>
      <w:r>
        <w:rPr>
          <w:color w:val="231F20"/>
          <w:spacing w:val="-31"/>
          <w:w w:val="105"/>
        </w:rPr>
        <w:t> </w:t>
      </w:r>
      <w:r>
        <w:rPr>
          <w:color w:val="231F20"/>
          <w:w w:val="105"/>
        </w:rPr>
        <w:t>ley</w:t>
      </w:r>
      <w:r>
        <w:rPr>
          <w:color w:val="231F20"/>
          <w:spacing w:val="-31"/>
          <w:w w:val="105"/>
        </w:rPr>
        <w:t> </w:t>
      </w:r>
      <w:r>
        <w:rPr>
          <w:color w:val="231F20"/>
          <w:w w:val="105"/>
        </w:rPr>
        <w:t>de</w:t>
      </w:r>
      <w:r>
        <w:rPr>
          <w:color w:val="231F20"/>
          <w:spacing w:val="-31"/>
          <w:w w:val="105"/>
        </w:rPr>
        <w:t> </w:t>
      </w:r>
      <w:r>
        <w:rPr>
          <w:color w:val="231F20"/>
          <w:w w:val="105"/>
        </w:rPr>
        <w:t>todos</w:t>
      </w:r>
      <w:r>
        <w:rPr>
          <w:color w:val="231F20"/>
          <w:spacing w:val="-31"/>
          <w:w w:val="105"/>
        </w:rPr>
        <w:t> </w:t>
      </w:r>
      <w:r>
        <w:rPr>
          <w:color w:val="231F20"/>
          <w:w w:val="105"/>
        </w:rPr>
        <w:t>los</w:t>
      </w:r>
      <w:r>
        <w:rPr>
          <w:color w:val="231F20"/>
          <w:spacing w:val="-31"/>
          <w:w w:val="105"/>
        </w:rPr>
        <w:t> </w:t>
      </w:r>
      <w:r>
        <w:rPr>
          <w:color w:val="231F20"/>
          <w:w w:val="105"/>
        </w:rPr>
        <w:t>ciuda- danos.</w:t>
      </w:r>
      <w:r>
        <w:rPr>
          <w:color w:val="231F20"/>
          <w:spacing w:val="-35"/>
          <w:w w:val="105"/>
        </w:rPr>
        <w:t> </w:t>
      </w:r>
      <w:r>
        <w:rPr>
          <w:color w:val="231F20"/>
          <w:w w:val="105"/>
        </w:rPr>
        <w:t>En</w:t>
      </w:r>
      <w:r>
        <w:rPr>
          <w:color w:val="231F20"/>
          <w:spacing w:val="-35"/>
          <w:w w:val="105"/>
        </w:rPr>
        <w:t> </w:t>
      </w:r>
      <w:r>
        <w:rPr>
          <w:color w:val="231F20"/>
          <w:w w:val="105"/>
        </w:rPr>
        <w:t>el</w:t>
      </w:r>
      <w:r>
        <w:rPr>
          <w:color w:val="231F20"/>
          <w:spacing w:val="-35"/>
          <w:w w:val="105"/>
        </w:rPr>
        <w:t> </w:t>
      </w:r>
      <w:r>
        <w:rPr>
          <w:color w:val="231F20"/>
          <w:w w:val="105"/>
        </w:rPr>
        <w:t>mundo</w:t>
      </w:r>
      <w:r>
        <w:rPr>
          <w:color w:val="231F20"/>
          <w:spacing w:val="-35"/>
          <w:w w:val="105"/>
        </w:rPr>
        <w:t> </w:t>
      </w:r>
      <w:r>
        <w:rPr>
          <w:color w:val="231F20"/>
          <w:w w:val="105"/>
        </w:rPr>
        <w:t>actual</w:t>
      </w:r>
      <w:r>
        <w:rPr>
          <w:color w:val="231F20"/>
          <w:spacing w:val="-35"/>
          <w:w w:val="105"/>
        </w:rPr>
        <w:t> </w:t>
      </w:r>
      <w:r>
        <w:rPr>
          <w:color w:val="231F20"/>
          <w:w w:val="105"/>
        </w:rPr>
        <w:t>es</w:t>
      </w:r>
      <w:r>
        <w:rPr>
          <w:color w:val="231F20"/>
          <w:spacing w:val="-35"/>
          <w:w w:val="105"/>
        </w:rPr>
        <w:t> </w:t>
      </w:r>
      <w:r>
        <w:rPr>
          <w:color w:val="231F20"/>
          <w:w w:val="105"/>
        </w:rPr>
        <w:t>cada</w:t>
      </w:r>
      <w:r>
        <w:rPr>
          <w:color w:val="231F20"/>
          <w:spacing w:val="-35"/>
          <w:w w:val="105"/>
        </w:rPr>
        <w:t> </w:t>
      </w:r>
      <w:r>
        <w:rPr>
          <w:color w:val="231F20"/>
          <w:w w:val="105"/>
        </w:rPr>
        <w:t>vez</w:t>
      </w:r>
      <w:r>
        <w:rPr>
          <w:color w:val="231F20"/>
          <w:spacing w:val="-35"/>
          <w:w w:val="105"/>
        </w:rPr>
        <w:t> </w:t>
      </w:r>
      <w:r>
        <w:rPr>
          <w:color w:val="231F20"/>
          <w:w w:val="105"/>
        </w:rPr>
        <w:t>más</w:t>
      </w:r>
      <w:r>
        <w:rPr>
          <w:color w:val="231F20"/>
          <w:spacing w:val="-35"/>
          <w:w w:val="105"/>
        </w:rPr>
        <w:t> </w:t>
      </w:r>
      <w:r>
        <w:rPr>
          <w:color w:val="231F20"/>
          <w:w w:val="105"/>
        </w:rPr>
        <w:t>pronunciada</w:t>
      </w:r>
      <w:r>
        <w:rPr>
          <w:color w:val="231F20"/>
          <w:spacing w:val="-35"/>
          <w:w w:val="105"/>
        </w:rPr>
        <w:t> </w:t>
      </w:r>
      <w:r>
        <w:rPr>
          <w:color w:val="231F20"/>
          <w:w w:val="105"/>
        </w:rPr>
        <w:t>la</w:t>
      </w:r>
      <w:r>
        <w:rPr>
          <w:color w:val="231F20"/>
          <w:spacing w:val="-35"/>
          <w:w w:val="105"/>
        </w:rPr>
        <w:t> </w:t>
      </w:r>
      <w:r>
        <w:rPr>
          <w:color w:val="231F20"/>
          <w:w w:val="105"/>
        </w:rPr>
        <w:t>distinción</w:t>
      </w:r>
      <w:r>
        <w:rPr>
          <w:color w:val="231F20"/>
          <w:spacing w:val="-35"/>
          <w:w w:val="105"/>
        </w:rPr>
        <w:t> </w:t>
      </w:r>
      <w:r>
        <w:rPr>
          <w:color w:val="231F20"/>
          <w:w w:val="105"/>
        </w:rPr>
        <w:t>entre</w:t>
      </w:r>
    </w:p>
    <w:p>
      <w:pPr>
        <w:spacing w:after="0" w:line="247" w:lineRule="auto"/>
        <w:jc w:val="both"/>
        <w:sectPr>
          <w:pgSz w:w="9640" w:h="13890"/>
          <w:pgMar w:top="1300" w:bottom="280" w:left="1300" w:right="1200"/>
        </w:sectPr>
      </w:pPr>
    </w:p>
    <w:p>
      <w:pPr>
        <w:pStyle w:val="BodyText"/>
        <w:spacing w:line="244" w:lineRule="auto" w:before="107"/>
        <w:ind w:left="103" w:right="115"/>
        <w:jc w:val="both"/>
      </w:pPr>
      <w:r>
        <w:rPr>
          <w:color w:val="231F20"/>
          <w:w w:val="105"/>
        </w:rPr>
        <w:t>ciudadanos</w:t>
      </w:r>
      <w:r>
        <w:rPr>
          <w:color w:val="231F20"/>
          <w:spacing w:val="-26"/>
          <w:w w:val="105"/>
        </w:rPr>
        <w:t> </w:t>
      </w:r>
      <w:r>
        <w:rPr>
          <w:color w:val="231F20"/>
          <w:w w:val="105"/>
        </w:rPr>
        <w:t>respetuosos</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ley</w:t>
      </w:r>
      <w:r>
        <w:rPr>
          <w:color w:val="231F20"/>
          <w:spacing w:val="-26"/>
          <w:w w:val="105"/>
        </w:rPr>
        <w:t> </w:t>
      </w:r>
      <w:r>
        <w:rPr>
          <w:color w:val="231F20"/>
          <w:w w:val="105"/>
        </w:rPr>
        <w:t>—que</w:t>
      </w:r>
      <w:r>
        <w:rPr>
          <w:color w:val="231F20"/>
          <w:spacing w:val="-26"/>
          <w:w w:val="105"/>
        </w:rPr>
        <w:t> </w:t>
      </w:r>
      <w:r>
        <w:rPr>
          <w:color w:val="231F20"/>
          <w:w w:val="105"/>
        </w:rPr>
        <w:t>han</w:t>
      </w:r>
      <w:r>
        <w:rPr>
          <w:color w:val="231F20"/>
          <w:spacing w:val="-26"/>
          <w:w w:val="105"/>
        </w:rPr>
        <w:t> </w:t>
      </w:r>
      <w:r>
        <w:rPr>
          <w:color w:val="231F20"/>
          <w:w w:val="105"/>
        </w:rPr>
        <w:t>celebrado</w:t>
      </w:r>
      <w:r>
        <w:rPr>
          <w:color w:val="231F20"/>
          <w:spacing w:val="-26"/>
          <w:w w:val="105"/>
        </w:rPr>
        <w:t> </w:t>
      </w:r>
      <w:r>
        <w:rPr>
          <w:color w:val="231F20"/>
          <w:w w:val="105"/>
        </w:rPr>
        <w:t>un</w:t>
      </w:r>
      <w:r>
        <w:rPr>
          <w:color w:val="231F20"/>
          <w:spacing w:val="-26"/>
          <w:w w:val="105"/>
        </w:rPr>
        <w:t> </w:t>
      </w:r>
      <w:r>
        <w:rPr>
          <w:color w:val="231F20"/>
          <w:w w:val="105"/>
        </w:rPr>
        <w:t>acuerdo</w:t>
      </w:r>
      <w:r>
        <w:rPr>
          <w:color w:val="231F20"/>
          <w:spacing w:val="-26"/>
          <w:w w:val="105"/>
        </w:rPr>
        <w:t> </w:t>
      </w:r>
      <w:r>
        <w:rPr>
          <w:rFonts w:ascii="Arial" w:hAnsi="Arial"/>
          <w:i/>
          <w:color w:val="231F20"/>
          <w:w w:val="105"/>
        </w:rPr>
        <w:t>a</w:t>
      </w:r>
      <w:r>
        <w:rPr>
          <w:rFonts w:ascii="Arial" w:hAnsi="Arial"/>
          <w:i/>
          <w:color w:val="231F20"/>
          <w:spacing w:val="-19"/>
          <w:w w:val="105"/>
        </w:rPr>
        <w:t> </w:t>
      </w:r>
      <w:r>
        <w:rPr>
          <w:rFonts w:ascii="Arial" w:hAnsi="Arial"/>
          <w:i/>
          <w:color w:val="231F20"/>
          <w:w w:val="105"/>
        </w:rPr>
        <w:t>priori </w:t>
      </w:r>
      <w:r>
        <w:rPr>
          <w:color w:val="231F20"/>
          <w:w w:val="105"/>
        </w:rPr>
        <w:t>con</w:t>
      </w:r>
      <w:r>
        <w:rPr>
          <w:color w:val="231F20"/>
          <w:spacing w:val="-13"/>
          <w:w w:val="105"/>
        </w:rPr>
        <w:t> </w:t>
      </w:r>
      <w:r>
        <w:rPr>
          <w:color w:val="231F20"/>
          <w:w w:val="105"/>
        </w:rPr>
        <w:t>el</w:t>
      </w:r>
      <w:r>
        <w:rPr>
          <w:color w:val="231F20"/>
          <w:spacing w:val="-13"/>
          <w:w w:val="105"/>
        </w:rPr>
        <w:t> </w:t>
      </w:r>
      <w:r>
        <w:rPr>
          <w:color w:val="231F20"/>
          <w:w w:val="105"/>
        </w:rPr>
        <w:t>Estado,</w:t>
      </w:r>
      <w:r>
        <w:rPr>
          <w:color w:val="231F20"/>
          <w:spacing w:val="-13"/>
          <w:w w:val="105"/>
        </w:rPr>
        <w:t> </w:t>
      </w:r>
      <w:r>
        <w:rPr>
          <w:color w:val="231F20"/>
          <w:w w:val="105"/>
        </w:rPr>
        <w:t>y</w:t>
      </w:r>
      <w:r>
        <w:rPr>
          <w:color w:val="231F20"/>
          <w:spacing w:val="-13"/>
          <w:w w:val="105"/>
        </w:rPr>
        <w:t> </w:t>
      </w:r>
      <w:r>
        <w:rPr>
          <w:color w:val="231F20"/>
          <w:w w:val="105"/>
        </w:rPr>
        <w:t>por</w:t>
      </w:r>
      <w:r>
        <w:rPr>
          <w:color w:val="231F20"/>
          <w:spacing w:val="-13"/>
          <w:w w:val="105"/>
        </w:rPr>
        <w:t> </w:t>
      </w:r>
      <w:r>
        <w:rPr>
          <w:color w:val="231F20"/>
          <w:w w:val="105"/>
        </w:rPr>
        <w:t>lo</w:t>
      </w:r>
      <w:r>
        <w:rPr>
          <w:color w:val="231F20"/>
          <w:spacing w:val="-13"/>
          <w:w w:val="105"/>
        </w:rPr>
        <w:t> </w:t>
      </w:r>
      <w:r>
        <w:rPr>
          <w:color w:val="231F20"/>
          <w:w w:val="105"/>
        </w:rPr>
        <w:t>tanto</w:t>
      </w:r>
      <w:r>
        <w:rPr>
          <w:color w:val="231F20"/>
          <w:spacing w:val="-13"/>
          <w:w w:val="105"/>
        </w:rPr>
        <w:t> </w:t>
      </w:r>
      <w:r>
        <w:rPr>
          <w:color w:val="231F20"/>
          <w:w w:val="105"/>
        </w:rPr>
        <w:t>son</w:t>
      </w:r>
      <w:r>
        <w:rPr>
          <w:color w:val="231F20"/>
          <w:spacing w:val="-13"/>
          <w:w w:val="105"/>
        </w:rPr>
        <w:t> </w:t>
      </w:r>
      <w:r>
        <w:rPr>
          <w:color w:val="231F20"/>
          <w:w w:val="105"/>
        </w:rPr>
        <w:t>plenamente</w:t>
      </w:r>
      <w:r>
        <w:rPr>
          <w:color w:val="231F20"/>
          <w:spacing w:val="-13"/>
          <w:w w:val="105"/>
        </w:rPr>
        <w:t> </w:t>
      </w:r>
      <w:r>
        <w:rPr>
          <w:color w:val="231F20"/>
          <w:w w:val="105"/>
        </w:rPr>
        <w:t>ciudadanos</w:t>
      </w:r>
      <w:r>
        <w:rPr>
          <w:color w:val="231F20"/>
          <w:spacing w:val="-13"/>
          <w:w w:val="105"/>
        </w:rPr>
        <w:t> </w:t>
      </w:r>
      <w:r>
        <w:rPr>
          <w:color w:val="231F20"/>
          <w:w w:val="105"/>
        </w:rPr>
        <w:t>de</w:t>
      </w:r>
      <w:r>
        <w:rPr>
          <w:color w:val="231F20"/>
          <w:spacing w:val="-13"/>
          <w:w w:val="105"/>
        </w:rPr>
        <w:t> </w:t>
      </w:r>
      <w:r>
        <w:rPr>
          <w:color w:val="231F20"/>
          <w:w w:val="105"/>
        </w:rPr>
        <w:t>derecho—</w:t>
      </w:r>
      <w:r>
        <w:rPr>
          <w:color w:val="231F20"/>
          <w:spacing w:val="-13"/>
          <w:w w:val="105"/>
        </w:rPr>
        <w:t> </w:t>
      </w:r>
      <w:r>
        <w:rPr>
          <w:color w:val="231F20"/>
          <w:w w:val="105"/>
        </w:rPr>
        <w:t>y aquellos</w:t>
      </w:r>
      <w:r>
        <w:rPr>
          <w:color w:val="231F20"/>
          <w:spacing w:val="-7"/>
          <w:w w:val="105"/>
        </w:rPr>
        <w:t> </w:t>
      </w:r>
      <w:r>
        <w:rPr>
          <w:color w:val="231F20"/>
          <w:w w:val="105"/>
        </w:rPr>
        <w:t>que</w:t>
      </w:r>
      <w:r>
        <w:rPr>
          <w:color w:val="231F20"/>
          <w:spacing w:val="-7"/>
          <w:w w:val="105"/>
        </w:rPr>
        <w:t> </w:t>
      </w:r>
      <w:r>
        <w:rPr>
          <w:color w:val="231F20"/>
          <w:w w:val="105"/>
        </w:rPr>
        <w:t>violan</w:t>
      </w:r>
      <w:r>
        <w:rPr>
          <w:color w:val="231F20"/>
          <w:spacing w:val="-7"/>
          <w:w w:val="105"/>
        </w:rPr>
        <w:t> </w:t>
      </w:r>
      <w:r>
        <w:rPr>
          <w:color w:val="231F20"/>
          <w:w w:val="105"/>
        </w:rPr>
        <w:t>ese</w:t>
      </w:r>
      <w:r>
        <w:rPr>
          <w:color w:val="231F20"/>
          <w:spacing w:val="-7"/>
          <w:w w:val="105"/>
        </w:rPr>
        <w:t> </w:t>
      </w:r>
      <w:r>
        <w:rPr>
          <w:color w:val="231F20"/>
          <w:w w:val="105"/>
        </w:rPr>
        <w:t>acuerdo</w:t>
      </w:r>
      <w:r>
        <w:rPr>
          <w:color w:val="231F20"/>
          <w:spacing w:val="-7"/>
          <w:w w:val="105"/>
        </w:rPr>
        <w:t> </w:t>
      </w:r>
      <w:r>
        <w:rPr>
          <w:color w:val="231F20"/>
          <w:w w:val="105"/>
        </w:rPr>
        <w:t>previo</w:t>
      </w:r>
      <w:r>
        <w:rPr>
          <w:color w:val="231F20"/>
          <w:spacing w:val="-7"/>
          <w:w w:val="105"/>
        </w:rPr>
        <w:t> </w:t>
      </w:r>
      <w:r>
        <w:rPr>
          <w:color w:val="231F20"/>
          <w:w w:val="105"/>
        </w:rPr>
        <w:t>y</w:t>
      </w:r>
      <w:r>
        <w:rPr>
          <w:color w:val="231F20"/>
          <w:spacing w:val="-7"/>
          <w:w w:val="105"/>
        </w:rPr>
        <w:t> </w:t>
      </w:r>
      <w:r>
        <w:rPr>
          <w:color w:val="231F20"/>
          <w:w w:val="105"/>
        </w:rPr>
        <w:t>atentan</w:t>
      </w:r>
      <w:r>
        <w:rPr>
          <w:color w:val="231F20"/>
          <w:spacing w:val="-7"/>
          <w:w w:val="105"/>
        </w:rPr>
        <w:t> </w:t>
      </w:r>
      <w:r>
        <w:rPr>
          <w:color w:val="231F20"/>
          <w:w w:val="105"/>
        </w:rPr>
        <w:t>contra</w:t>
      </w:r>
      <w:r>
        <w:rPr>
          <w:color w:val="231F20"/>
          <w:spacing w:val="-7"/>
          <w:w w:val="105"/>
        </w:rPr>
        <w:t> </w:t>
      </w:r>
      <w:r>
        <w:rPr>
          <w:color w:val="231F20"/>
          <w:w w:val="105"/>
        </w:rPr>
        <w:t>la</w:t>
      </w:r>
      <w:r>
        <w:rPr>
          <w:color w:val="231F20"/>
          <w:spacing w:val="-7"/>
          <w:w w:val="105"/>
        </w:rPr>
        <w:t> </w:t>
      </w:r>
      <w:r>
        <w:rPr>
          <w:color w:val="231F20"/>
          <w:w w:val="105"/>
        </w:rPr>
        <w:t>sociedad</w:t>
      </w:r>
      <w:r>
        <w:rPr>
          <w:color w:val="231F20"/>
          <w:spacing w:val="-7"/>
          <w:w w:val="105"/>
        </w:rPr>
        <w:t> </w:t>
      </w:r>
      <w:r>
        <w:rPr>
          <w:color w:val="231F20"/>
          <w:w w:val="105"/>
        </w:rPr>
        <w:t>en- tera,</w:t>
      </w:r>
      <w:r>
        <w:rPr>
          <w:color w:val="231F20"/>
          <w:spacing w:val="-21"/>
          <w:w w:val="105"/>
        </w:rPr>
        <w:t> </w:t>
      </w:r>
      <w:r>
        <w:rPr>
          <w:color w:val="231F20"/>
          <w:w w:val="105"/>
        </w:rPr>
        <w:t>a</w:t>
      </w:r>
      <w:r>
        <w:rPr>
          <w:color w:val="231F20"/>
          <w:spacing w:val="-21"/>
          <w:w w:val="105"/>
        </w:rPr>
        <w:t> </w:t>
      </w:r>
      <w:r>
        <w:rPr>
          <w:color w:val="231F20"/>
          <w:w w:val="105"/>
        </w:rPr>
        <w:t>través</w:t>
      </w:r>
      <w:r>
        <w:rPr>
          <w:color w:val="231F20"/>
          <w:spacing w:val="-21"/>
          <w:w w:val="105"/>
        </w:rPr>
        <w:t> </w:t>
      </w:r>
      <w:r>
        <w:rPr>
          <w:color w:val="231F20"/>
          <w:w w:val="105"/>
        </w:rPr>
        <w:t>del</w:t>
      </w:r>
      <w:r>
        <w:rPr>
          <w:color w:val="231F20"/>
          <w:spacing w:val="-21"/>
          <w:w w:val="105"/>
        </w:rPr>
        <w:t> </w:t>
      </w:r>
      <w:r>
        <w:rPr>
          <w:color w:val="231F20"/>
          <w:w w:val="105"/>
        </w:rPr>
        <w:t>terrorismo,</w:t>
      </w:r>
      <w:r>
        <w:rPr>
          <w:color w:val="231F20"/>
          <w:spacing w:val="-21"/>
          <w:w w:val="105"/>
        </w:rPr>
        <w:t> </w:t>
      </w:r>
      <w:r>
        <w:rPr>
          <w:color w:val="231F20"/>
          <w:w w:val="105"/>
        </w:rPr>
        <w:t>el</w:t>
      </w:r>
      <w:r>
        <w:rPr>
          <w:color w:val="231F20"/>
          <w:spacing w:val="-21"/>
          <w:w w:val="105"/>
        </w:rPr>
        <w:t> </w:t>
      </w:r>
      <w:r>
        <w:rPr>
          <w:color w:val="231F20"/>
          <w:w w:val="105"/>
        </w:rPr>
        <w:t>narcotráfico</w:t>
      </w:r>
      <w:r>
        <w:rPr>
          <w:color w:val="231F20"/>
          <w:spacing w:val="-21"/>
          <w:w w:val="105"/>
        </w:rPr>
        <w:t> </w:t>
      </w:r>
      <w:r>
        <w:rPr>
          <w:color w:val="231F20"/>
          <w:w w:val="105"/>
        </w:rPr>
        <w:t>y</w:t>
      </w:r>
      <w:r>
        <w:rPr>
          <w:color w:val="231F20"/>
          <w:spacing w:val="-21"/>
          <w:w w:val="105"/>
        </w:rPr>
        <w:t> </w:t>
      </w:r>
      <w:r>
        <w:rPr>
          <w:color w:val="231F20"/>
          <w:w w:val="105"/>
        </w:rPr>
        <w:t>la</w:t>
      </w:r>
      <w:r>
        <w:rPr>
          <w:color w:val="231F20"/>
          <w:spacing w:val="-21"/>
          <w:w w:val="105"/>
        </w:rPr>
        <w:t> </w:t>
      </w:r>
      <w:r>
        <w:rPr>
          <w:color w:val="231F20"/>
          <w:w w:val="105"/>
        </w:rPr>
        <w:t>delincuencia</w:t>
      </w:r>
      <w:r>
        <w:rPr>
          <w:color w:val="231F20"/>
          <w:spacing w:val="-21"/>
          <w:w w:val="105"/>
        </w:rPr>
        <w:t> </w:t>
      </w:r>
      <w:r>
        <w:rPr>
          <w:color w:val="231F20"/>
          <w:w w:val="105"/>
        </w:rPr>
        <w:t>organizada, convirtiéndose en enemigos de la sociedad </w:t>
      </w:r>
      <w:r>
        <w:rPr>
          <w:color w:val="231F20"/>
          <w:spacing w:val="-10"/>
          <w:w w:val="105"/>
        </w:rPr>
        <w:t>y, </w:t>
      </w:r>
      <w:r>
        <w:rPr>
          <w:color w:val="231F20"/>
          <w:w w:val="105"/>
        </w:rPr>
        <w:t>por ende, sin el </w:t>
      </w:r>
      <w:r>
        <w:rPr>
          <w:rFonts w:ascii="Arial" w:hAnsi="Arial"/>
          <w:i/>
          <w:color w:val="231F20"/>
          <w:w w:val="105"/>
        </w:rPr>
        <w:t>status </w:t>
      </w:r>
      <w:r>
        <w:rPr>
          <w:color w:val="231F20"/>
          <w:w w:val="105"/>
        </w:rPr>
        <w:t>de ciudadanos.</w:t>
      </w:r>
      <w:r>
        <w:rPr>
          <w:color w:val="231F20"/>
          <w:spacing w:val="-5"/>
          <w:w w:val="105"/>
        </w:rPr>
        <w:t> </w:t>
      </w:r>
      <w:r>
        <w:rPr>
          <w:color w:val="231F20"/>
          <w:w w:val="105"/>
        </w:rPr>
        <w:t>En</w:t>
      </w:r>
      <w:r>
        <w:rPr>
          <w:color w:val="231F20"/>
          <w:spacing w:val="-38"/>
          <w:w w:val="105"/>
        </w:rPr>
        <w:t> </w:t>
      </w:r>
      <w:r>
        <w:rPr>
          <w:color w:val="231F20"/>
          <w:w w:val="105"/>
        </w:rPr>
        <w:t>este</w:t>
      </w:r>
      <w:r>
        <w:rPr>
          <w:color w:val="231F20"/>
          <w:spacing w:val="-38"/>
          <w:w w:val="105"/>
        </w:rPr>
        <w:t> </w:t>
      </w:r>
      <w:r>
        <w:rPr>
          <w:color w:val="231F20"/>
          <w:w w:val="105"/>
        </w:rPr>
        <w:t>sentido,</w:t>
      </w:r>
      <w:r>
        <w:rPr>
          <w:color w:val="231F20"/>
          <w:spacing w:val="-38"/>
          <w:w w:val="105"/>
        </w:rPr>
        <w:t> </w:t>
      </w:r>
      <w:r>
        <w:rPr>
          <w:color w:val="231F20"/>
          <w:w w:val="105"/>
        </w:rPr>
        <w:t>Jakobs</w:t>
      </w:r>
      <w:r>
        <w:rPr>
          <w:color w:val="231F20"/>
          <w:spacing w:val="-38"/>
          <w:w w:val="105"/>
        </w:rPr>
        <w:t> </w:t>
      </w:r>
      <w:r>
        <w:rPr>
          <w:color w:val="231F20"/>
          <w:w w:val="105"/>
        </w:rPr>
        <w:t>sustenta</w:t>
      </w:r>
      <w:r>
        <w:rPr>
          <w:color w:val="231F20"/>
          <w:spacing w:val="-38"/>
          <w:w w:val="105"/>
        </w:rPr>
        <w:t> </w:t>
      </w:r>
      <w:r>
        <w:rPr>
          <w:color w:val="231F20"/>
          <w:w w:val="105"/>
        </w:rPr>
        <w:t>que</w:t>
      </w:r>
      <w:r>
        <w:rPr>
          <w:color w:val="231F20"/>
          <w:spacing w:val="-38"/>
          <w:w w:val="105"/>
        </w:rPr>
        <w:t> </w:t>
      </w:r>
      <w:r>
        <w:rPr>
          <w:color w:val="231F20"/>
          <w:w w:val="105"/>
        </w:rPr>
        <w:t>existe</w:t>
      </w:r>
      <w:r>
        <w:rPr>
          <w:color w:val="231F20"/>
          <w:spacing w:val="-38"/>
          <w:w w:val="105"/>
        </w:rPr>
        <w:t> </w:t>
      </w:r>
      <w:r>
        <w:rPr>
          <w:color w:val="231F20"/>
          <w:w w:val="105"/>
        </w:rPr>
        <w:t>un</w:t>
      </w:r>
      <w:r>
        <w:rPr>
          <w:color w:val="231F20"/>
          <w:spacing w:val="-38"/>
          <w:w w:val="105"/>
        </w:rPr>
        <w:t> </w:t>
      </w:r>
      <w:r>
        <w:rPr>
          <w:color w:val="231F20"/>
          <w:w w:val="105"/>
        </w:rPr>
        <w:t>Derecho</w:t>
      </w:r>
      <w:r>
        <w:rPr>
          <w:color w:val="231F20"/>
          <w:spacing w:val="-38"/>
          <w:w w:val="105"/>
        </w:rPr>
        <w:t> </w:t>
      </w:r>
      <w:r>
        <w:rPr>
          <w:color w:val="231F20"/>
          <w:w w:val="105"/>
        </w:rPr>
        <w:t>penal para</w:t>
      </w:r>
      <w:r>
        <w:rPr>
          <w:color w:val="231F20"/>
          <w:spacing w:val="-26"/>
          <w:w w:val="105"/>
        </w:rPr>
        <w:t> </w:t>
      </w:r>
      <w:r>
        <w:rPr>
          <w:color w:val="231F20"/>
          <w:w w:val="105"/>
        </w:rPr>
        <w:t>el</w:t>
      </w:r>
      <w:r>
        <w:rPr>
          <w:color w:val="231F20"/>
          <w:spacing w:val="-26"/>
          <w:w w:val="105"/>
        </w:rPr>
        <w:t> </w:t>
      </w:r>
      <w:r>
        <w:rPr>
          <w:color w:val="231F20"/>
          <w:w w:val="105"/>
        </w:rPr>
        <w:t>delincuente</w:t>
      </w:r>
      <w:r>
        <w:rPr>
          <w:color w:val="231F20"/>
          <w:spacing w:val="-26"/>
          <w:w w:val="105"/>
        </w:rPr>
        <w:t> </w:t>
      </w:r>
      <w:r>
        <w:rPr>
          <w:color w:val="231F20"/>
          <w:w w:val="105"/>
        </w:rPr>
        <w:t>“ordinario”</w:t>
      </w:r>
      <w:r>
        <w:rPr>
          <w:color w:val="231F20"/>
          <w:spacing w:val="-26"/>
          <w:w w:val="105"/>
        </w:rPr>
        <w:t> </w:t>
      </w:r>
      <w:r>
        <w:rPr>
          <w:color w:val="231F20"/>
          <w:w w:val="105"/>
        </w:rPr>
        <w:t>y</w:t>
      </w:r>
      <w:r>
        <w:rPr>
          <w:color w:val="231F20"/>
          <w:spacing w:val="-26"/>
          <w:w w:val="105"/>
        </w:rPr>
        <w:t> </w:t>
      </w:r>
      <w:r>
        <w:rPr>
          <w:color w:val="231F20"/>
          <w:w w:val="105"/>
        </w:rPr>
        <w:t>un</w:t>
      </w:r>
      <w:r>
        <w:rPr>
          <w:color w:val="231F20"/>
          <w:spacing w:val="-26"/>
          <w:w w:val="105"/>
        </w:rPr>
        <w:t> </w:t>
      </w:r>
      <w:r>
        <w:rPr>
          <w:color w:val="231F20"/>
          <w:w w:val="105"/>
          <w:sz w:val="18"/>
        </w:rPr>
        <w:t>DPE</w:t>
      </w:r>
      <w:r>
        <w:rPr>
          <w:color w:val="231F20"/>
          <w:w w:val="105"/>
        </w:rPr>
        <w:t>,</w:t>
      </w:r>
      <w:r>
        <w:rPr>
          <w:color w:val="231F20"/>
          <w:spacing w:val="-26"/>
          <w:w w:val="105"/>
        </w:rPr>
        <w:t> </w:t>
      </w:r>
      <w:r>
        <w:rPr>
          <w:color w:val="231F20"/>
          <w:w w:val="105"/>
        </w:rPr>
        <w:t>el</w:t>
      </w:r>
      <w:r>
        <w:rPr>
          <w:color w:val="231F20"/>
          <w:spacing w:val="-26"/>
          <w:w w:val="105"/>
        </w:rPr>
        <w:t> </w:t>
      </w:r>
      <w:r>
        <w:rPr>
          <w:color w:val="231F20"/>
          <w:w w:val="105"/>
        </w:rPr>
        <w:t>cual</w:t>
      </w:r>
      <w:r>
        <w:rPr>
          <w:color w:val="231F20"/>
          <w:spacing w:val="-26"/>
          <w:w w:val="105"/>
        </w:rPr>
        <w:t> </w:t>
      </w:r>
      <w:r>
        <w:rPr>
          <w:color w:val="231F20"/>
          <w:w w:val="105"/>
        </w:rPr>
        <w:t>se</w:t>
      </w:r>
      <w:r>
        <w:rPr>
          <w:color w:val="231F20"/>
          <w:spacing w:val="-26"/>
          <w:w w:val="105"/>
        </w:rPr>
        <w:t> </w:t>
      </w:r>
      <w:r>
        <w:rPr>
          <w:color w:val="231F20"/>
          <w:w w:val="105"/>
        </w:rPr>
        <w:t>ha</w:t>
      </w:r>
      <w:r>
        <w:rPr>
          <w:color w:val="231F20"/>
          <w:spacing w:val="-26"/>
          <w:w w:val="105"/>
        </w:rPr>
        <w:t> </w:t>
      </w:r>
      <w:r>
        <w:rPr>
          <w:color w:val="231F20"/>
          <w:w w:val="105"/>
        </w:rPr>
        <w:t>originado</w:t>
      </w:r>
      <w:r>
        <w:rPr>
          <w:color w:val="231F20"/>
          <w:spacing w:val="-26"/>
          <w:w w:val="105"/>
        </w:rPr>
        <w:t> </w:t>
      </w:r>
      <w:r>
        <w:rPr>
          <w:color w:val="231F20"/>
          <w:w w:val="105"/>
        </w:rPr>
        <w:t>para</w:t>
      </w:r>
      <w:r>
        <w:rPr>
          <w:color w:val="231F20"/>
          <w:spacing w:val="-26"/>
          <w:w w:val="105"/>
        </w:rPr>
        <w:t> </w:t>
      </w:r>
      <w:r>
        <w:rPr>
          <w:color w:val="231F20"/>
          <w:w w:val="105"/>
        </w:rPr>
        <w:t>com- batir al delincuente “extraordinario”. A juicio de Jakobs, las sociedades occidentales</w:t>
      </w:r>
      <w:r>
        <w:rPr>
          <w:color w:val="231F20"/>
          <w:spacing w:val="-28"/>
          <w:w w:val="105"/>
        </w:rPr>
        <w:t> </w:t>
      </w:r>
      <w:r>
        <w:rPr>
          <w:color w:val="231F20"/>
          <w:w w:val="105"/>
        </w:rPr>
        <w:t>postindustriales</w:t>
      </w:r>
      <w:r>
        <w:rPr>
          <w:color w:val="231F20"/>
          <w:spacing w:val="-28"/>
          <w:w w:val="105"/>
        </w:rPr>
        <w:t> </w:t>
      </w:r>
      <w:r>
        <w:rPr>
          <w:color w:val="231F20"/>
          <w:w w:val="105"/>
        </w:rPr>
        <w:t>se</w:t>
      </w:r>
      <w:r>
        <w:rPr>
          <w:color w:val="231F20"/>
          <w:spacing w:val="-28"/>
          <w:w w:val="105"/>
        </w:rPr>
        <w:t> </w:t>
      </w:r>
      <w:r>
        <w:rPr>
          <w:color w:val="231F20"/>
          <w:w w:val="105"/>
        </w:rPr>
        <w:t>caracterizan</w:t>
      </w:r>
      <w:r>
        <w:rPr>
          <w:color w:val="231F20"/>
          <w:spacing w:val="-28"/>
          <w:w w:val="105"/>
        </w:rPr>
        <w:t> </w:t>
      </w:r>
      <w:r>
        <w:rPr>
          <w:color w:val="231F20"/>
          <w:w w:val="105"/>
        </w:rPr>
        <w:t>por</w:t>
      </w:r>
      <w:r>
        <w:rPr>
          <w:color w:val="231F20"/>
          <w:spacing w:val="-28"/>
          <w:w w:val="105"/>
        </w:rPr>
        <w:t> </w:t>
      </w:r>
      <w:r>
        <w:rPr>
          <w:color w:val="231F20"/>
          <w:w w:val="105"/>
        </w:rPr>
        <w:t>una</w:t>
      </w:r>
      <w:r>
        <w:rPr>
          <w:color w:val="231F20"/>
          <w:spacing w:val="-28"/>
          <w:w w:val="105"/>
        </w:rPr>
        <w:t> </w:t>
      </w:r>
      <w:r>
        <w:rPr>
          <w:color w:val="231F20"/>
          <w:w w:val="105"/>
        </w:rPr>
        <w:t>progresiva</w:t>
      </w:r>
      <w:r>
        <w:rPr>
          <w:color w:val="231F20"/>
          <w:spacing w:val="-28"/>
          <w:w w:val="105"/>
        </w:rPr>
        <w:t> </w:t>
      </w:r>
      <w:r>
        <w:rPr>
          <w:color w:val="231F20"/>
          <w:w w:val="105"/>
        </w:rPr>
        <w:t>anonimi- dad</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conductas</w:t>
      </w:r>
      <w:r>
        <w:rPr>
          <w:color w:val="231F20"/>
          <w:spacing w:val="-25"/>
          <w:w w:val="105"/>
        </w:rPr>
        <w:t> </w:t>
      </w:r>
      <w:r>
        <w:rPr>
          <w:color w:val="231F20"/>
          <w:w w:val="105"/>
        </w:rPr>
        <w:t>sociales,</w:t>
      </w:r>
      <w:r>
        <w:rPr>
          <w:color w:val="231F20"/>
          <w:spacing w:val="-25"/>
          <w:w w:val="105"/>
        </w:rPr>
        <w:t> </w:t>
      </w:r>
      <w:r>
        <w:rPr>
          <w:color w:val="231F20"/>
          <w:w w:val="105"/>
        </w:rPr>
        <w:t>por</w:t>
      </w:r>
      <w:r>
        <w:rPr>
          <w:color w:val="231F20"/>
          <w:spacing w:val="-25"/>
          <w:w w:val="105"/>
        </w:rPr>
        <w:t> </w:t>
      </w:r>
      <w:r>
        <w:rPr>
          <w:color w:val="231F20"/>
          <w:w w:val="105"/>
        </w:rPr>
        <w:t>la</w:t>
      </w:r>
      <w:r>
        <w:rPr>
          <w:color w:val="231F20"/>
          <w:spacing w:val="-25"/>
          <w:w w:val="105"/>
        </w:rPr>
        <w:t> </w:t>
      </w:r>
      <w:r>
        <w:rPr>
          <w:color w:val="231F20"/>
          <w:w w:val="105"/>
        </w:rPr>
        <w:t>uniformidad</w:t>
      </w:r>
      <w:r>
        <w:rPr>
          <w:color w:val="231F20"/>
          <w:spacing w:val="-25"/>
          <w:w w:val="105"/>
        </w:rPr>
        <w:t> </w:t>
      </w:r>
      <w:r>
        <w:rPr>
          <w:color w:val="231F20"/>
          <w:w w:val="105"/>
        </w:rPr>
        <w:t>de</w:t>
      </w:r>
      <w:r>
        <w:rPr>
          <w:color w:val="231F20"/>
          <w:spacing w:val="-25"/>
          <w:w w:val="105"/>
        </w:rPr>
        <w:t> </w:t>
      </w:r>
      <w:r>
        <w:rPr>
          <w:color w:val="231F20"/>
          <w:w w:val="105"/>
        </w:rPr>
        <w:t>comportamientos</w:t>
      </w:r>
      <w:r>
        <w:rPr>
          <w:color w:val="231F20"/>
          <w:spacing w:val="-25"/>
          <w:w w:val="105"/>
        </w:rPr>
        <w:t> </w:t>
      </w:r>
      <w:r>
        <w:rPr>
          <w:color w:val="231F20"/>
          <w:w w:val="105"/>
        </w:rPr>
        <w:t>de masas,</w:t>
      </w:r>
      <w:r>
        <w:rPr>
          <w:color w:val="231F20"/>
          <w:spacing w:val="-30"/>
          <w:w w:val="105"/>
        </w:rPr>
        <w:t> </w:t>
      </w:r>
      <w:r>
        <w:rPr>
          <w:color w:val="231F20"/>
          <w:w w:val="105"/>
        </w:rPr>
        <w:t>por</w:t>
      </w:r>
      <w:r>
        <w:rPr>
          <w:color w:val="231F20"/>
          <w:spacing w:val="-30"/>
          <w:w w:val="105"/>
        </w:rPr>
        <w:t> </w:t>
      </w:r>
      <w:r>
        <w:rPr>
          <w:color w:val="231F20"/>
          <w:w w:val="105"/>
        </w:rPr>
        <w:t>el</w:t>
      </w:r>
      <w:r>
        <w:rPr>
          <w:color w:val="231F20"/>
          <w:spacing w:val="-30"/>
          <w:w w:val="105"/>
        </w:rPr>
        <w:t> </w:t>
      </w:r>
      <w:r>
        <w:rPr>
          <w:color w:val="231F20"/>
          <w:w w:val="105"/>
        </w:rPr>
        <w:t>predominio</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economía,</w:t>
      </w:r>
      <w:r>
        <w:rPr>
          <w:color w:val="231F20"/>
          <w:spacing w:val="-30"/>
          <w:w w:val="105"/>
        </w:rPr>
        <w:t> </w:t>
      </w:r>
      <w:r>
        <w:rPr>
          <w:color w:val="231F20"/>
          <w:w w:val="105"/>
        </w:rPr>
        <w:t>por</w:t>
      </w:r>
      <w:r>
        <w:rPr>
          <w:color w:val="231F20"/>
          <w:spacing w:val="-30"/>
          <w:w w:val="105"/>
        </w:rPr>
        <w:t> </w:t>
      </w:r>
      <w:r>
        <w:rPr>
          <w:color w:val="231F20"/>
          <w:w w:val="105"/>
        </w:rPr>
        <w:t>la</w:t>
      </w:r>
      <w:r>
        <w:rPr>
          <w:color w:val="231F20"/>
          <w:spacing w:val="-30"/>
          <w:w w:val="105"/>
        </w:rPr>
        <w:t> </w:t>
      </w:r>
      <w:r>
        <w:rPr>
          <w:color w:val="231F20"/>
          <w:w w:val="105"/>
        </w:rPr>
        <w:t>conciencia</w:t>
      </w:r>
      <w:r>
        <w:rPr>
          <w:color w:val="231F20"/>
          <w:spacing w:val="-30"/>
          <w:w w:val="105"/>
        </w:rPr>
        <w:t> </w:t>
      </w:r>
      <w:r>
        <w:rPr>
          <w:color w:val="231F20"/>
          <w:w w:val="105"/>
        </w:rPr>
        <w:t>de</w:t>
      </w:r>
      <w:r>
        <w:rPr>
          <w:color w:val="231F20"/>
          <w:spacing w:val="-30"/>
          <w:w w:val="105"/>
        </w:rPr>
        <w:t> </w:t>
      </w:r>
      <w:r>
        <w:rPr>
          <w:color w:val="231F20"/>
          <w:w w:val="105"/>
        </w:rPr>
        <w:t>riesgo</w:t>
      </w:r>
      <w:r>
        <w:rPr>
          <w:color w:val="231F20"/>
          <w:spacing w:val="-30"/>
          <w:w w:val="105"/>
        </w:rPr>
        <w:t> </w:t>
      </w:r>
      <w:r>
        <w:rPr>
          <w:color w:val="231F20"/>
          <w:w w:val="105"/>
        </w:rPr>
        <w:t>y</w:t>
      </w:r>
      <w:r>
        <w:rPr>
          <w:color w:val="231F20"/>
          <w:spacing w:val="-30"/>
          <w:w w:val="105"/>
        </w:rPr>
        <w:t> </w:t>
      </w:r>
      <w:r>
        <w:rPr>
          <w:color w:val="231F20"/>
          <w:w w:val="105"/>
        </w:rPr>
        <w:t>por una</w:t>
      </w:r>
      <w:r>
        <w:rPr>
          <w:color w:val="231F20"/>
          <w:spacing w:val="-16"/>
          <w:w w:val="105"/>
        </w:rPr>
        <w:t> </w:t>
      </w:r>
      <w:r>
        <w:rPr>
          <w:color w:val="231F20"/>
          <w:w w:val="105"/>
        </w:rPr>
        <w:t>uniformidad</w:t>
      </w:r>
      <w:r>
        <w:rPr>
          <w:color w:val="231F20"/>
          <w:spacing w:val="-16"/>
          <w:w w:val="105"/>
        </w:rPr>
        <w:t> </w:t>
      </w:r>
      <w:r>
        <w:rPr>
          <w:color w:val="231F20"/>
          <w:w w:val="105"/>
        </w:rPr>
        <w:t>del</w:t>
      </w:r>
      <w:r>
        <w:rPr>
          <w:color w:val="231F20"/>
          <w:spacing w:val="-16"/>
          <w:w w:val="105"/>
        </w:rPr>
        <w:t> </w:t>
      </w:r>
      <w:r>
        <w:rPr>
          <w:color w:val="231F20"/>
          <w:w w:val="105"/>
        </w:rPr>
        <w:t>sistema</w:t>
      </w:r>
      <w:r>
        <w:rPr>
          <w:color w:val="231F20"/>
          <w:spacing w:val="-16"/>
          <w:w w:val="105"/>
        </w:rPr>
        <w:t> </w:t>
      </w:r>
      <w:r>
        <w:rPr>
          <w:color w:val="231F20"/>
          <w:w w:val="105"/>
        </w:rPr>
        <w:t>punitivo,</w:t>
      </w:r>
      <w:r>
        <w:rPr>
          <w:color w:val="231F20"/>
          <w:spacing w:val="-16"/>
          <w:w w:val="105"/>
        </w:rPr>
        <w:t> </w:t>
      </w:r>
      <w:r>
        <w:rPr>
          <w:color w:val="231F20"/>
          <w:w w:val="105"/>
        </w:rPr>
        <w:t>que</w:t>
      </w:r>
      <w:r>
        <w:rPr>
          <w:color w:val="231F20"/>
          <w:spacing w:val="-16"/>
          <w:w w:val="105"/>
        </w:rPr>
        <w:t> </w:t>
      </w:r>
      <w:r>
        <w:rPr>
          <w:color w:val="231F20"/>
          <w:w w:val="105"/>
        </w:rPr>
        <w:t>ha</w:t>
      </w:r>
      <w:r>
        <w:rPr>
          <w:color w:val="231F20"/>
          <w:spacing w:val="-16"/>
          <w:w w:val="105"/>
        </w:rPr>
        <w:t> </w:t>
      </w:r>
      <w:r>
        <w:rPr>
          <w:color w:val="231F20"/>
          <w:w w:val="105"/>
        </w:rPr>
        <w:t>obligado</w:t>
      </w:r>
      <w:r>
        <w:rPr>
          <w:color w:val="231F20"/>
          <w:spacing w:val="-16"/>
          <w:w w:val="105"/>
        </w:rPr>
        <w:t> </w:t>
      </w:r>
      <w:r>
        <w:rPr>
          <w:color w:val="231F20"/>
          <w:w w:val="105"/>
        </w:rPr>
        <w:t>a</w:t>
      </w:r>
      <w:r>
        <w:rPr>
          <w:color w:val="231F20"/>
          <w:spacing w:val="-16"/>
          <w:w w:val="105"/>
        </w:rPr>
        <w:t> </w:t>
      </w:r>
      <w:r>
        <w:rPr>
          <w:color w:val="231F20"/>
          <w:w w:val="105"/>
        </w:rPr>
        <w:t>buscar</w:t>
      </w:r>
      <w:r>
        <w:rPr>
          <w:color w:val="231F20"/>
          <w:spacing w:val="-16"/>
          <w:w w:val="105"/>
        </w:rPr>
        <w:t> </w:t>
      </w:r>
      <w:r>
        <w:rPr>
          <w:color w:val="231F20"/>
          <w:w w:val="105"/>
        </w:rPr>
        <w:t>medidas extraordinarias</w:t>
      </w:r>
      <w:r>
        <w:rPr>
          <w:color w:val="231F20"/>
          <w:spacing w:val="-44"/>
          <w:w w:val="105"/>
        </w:rPr>
        <w:t> </w:t>
      </w:r>
      <w:r>
        <w:rPr>
          <w:color w:val="231F20"/>
          <w:w w:val="105"/>
        </w:rPr>
        <w:t>para</w:t>
      </w:r>
      <w:r>
        <w:rPr>
          <w:color w:val="231F20"/>
          <w:spacing w:val="-44"/>
          <w:w w:val="105"/>
        </w:rPr>
        <w:t> </w:t>
      </w:r>
      <w:r>
        <w:rPr>
          <w:color w:val="231F20"/>
          <w:w w:val="105"/>
        </w:rPr>
        <w:t>poder</w:t>
      </w:r>
      <w:r>
        <w:rPr>
          <w:color w:val="231F20"/>
          <w:spacing w:val="-44"/>
          <w:w w:val="105"/>
        </w:rPr>
        <w:t> </w:t>
      </w:r>
      <w:r>
        <w:rPr>
          <w:color w:val="231F20"/>
          <w:w w:val="105"/>
        </w:rPr>
        <w:t>combatir</w:t>
      </w:r>
      <w:r>
        <w:rPr>
          <w:color w:val="231F20"/>
          <w:spacing w:val="-44"/>
          <w:w w:val="105"/>
        </w:rPr>
        <w:t> </w:t>
      </w:r>
      <w:r>
        <w:rPr>
          <w:color w:val="231F20"/>
          <w:w w:val="105"/>
        </w:rPr>
        <w:t>tales</w:t>
      </w:r>
      <w:r>
        <w:rPr>
          <w:color w:val="231F20"/>
          <w:spacing w:val="-44"/>
          <w:w w:val="105"/>
        </w:rPr>
        <w:t> </w:t>
      </w:r>
      <w:r>
        <w:rPr>
          <w:color w:val="231F20"/>
          <w:w w:val="105"/>
        </w:rPr>
        <w:t>comportamientos</w:t>
      </w:r>
      <w:r>
        <w:rPr>
          <w:color w:val="231F20"/>
          <w:spacing w:val="-44"/>
          <w:w w:val="105"/>
        </w:rPr>
        <w:t> </w:t>
      </w:r>
      <w:r>
        <w:rPr>
          <w:color w:val="231F20"/>
          <w:w w:val="105"/>
        </w:rPr>
        <w:t>sociales.</w:t>
      </w:r>
    </w:p>
    <w:p>
      <w:pPr>
        <w:pStyle w:val="BodyText"/>
        <w:spacing w:line="247" w:lineRule="auto" w:before="1"/>
        <w:ind w:left="103" w:right="115" w:firstLine="566"/>
        <w:jc w:val="both"/>
      </w:pPr>
      <w:r>
        <w:rPr>
          <w:color w:val="231F20"/>
        </w:rPr>
        <w:t>En este breve artículo pretendemos, en la primera parte, hacer un análisis</w:t>
      </w:r>
      <w:r>
        <w:rPr>
          <w:color w:val="231F20"/>
          <w:spacing w:val="-5"/>
        </w:rPr>
        <w:t> </w:t>
      </w:r>
      <w:r>
        <w:rPr>
          <w:color w:val="231F20"/>
        </w:rPr>
        <w:t>argumentativo</w:t>
      </w:r>
      <w:r>
        <w:rPr>
          <w:color w:val="231F20"/>
          <w:spacing w:val="-5"/>
        </w:rPr>
        <w:t> </w:t>
      </w:r>
      <w:r>
        <w:rPr>
          <w:color w:val="231F20"/>
        </w:rPr>
        <w:t>sobre</w:t>
      </w:r>
      <w:r>
        <w:rPr>
          <w:color w:val="231F20"/>
          <w:spacing w:val="-5"/>
        </w:rPr>
        <w:t> </w:t>
      </w:r>
      <w:r>
        <w:rPr>
          <w:color w:val="231F20"/>
        </w:rPr>
        <w:t>el</w:t>
      </w:r>
      <w:r>
        <w:rPr>
          <w:color w:val="231F20"/>
          <w:spacing w:val="-5"/>
        </w:rPr>
        <w:t> </w:t>
      </w:r>
      <w:r>
        <w:rPr>
          <w:color w:val="231F20"/>
        </w:rPr>
        <w:t>antes</w:t>
      </w:r>
      <w:r>
        <w:rPr>
          <w:color w:val="231F20"/>
          <w:spacing w:val="-5"/>
        </w:rPr>
        <w:t> </w:t>
      </w:r>
      <w:r>
        <w:rPr>
          <w:color w:val="231F20"/>
        </w:rPr>
        <w:t>y</w:t>
      </w:r>
      <w:r>
        <w:rPr>
          <w:color w:val="231F20"/>
          <w:spacing w:val="-5"/>
        </w:rPr>
        <w:t> </w:t>
      </w:r>
      <w:r>
        <w:rPr>
          <w:color w:val="231F20"/>
        </w:rPr>
        <w:t>después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atentados</w:t>
      </w:r>
      <w:r>
        <w:rPr>
          <w:color w:val="231F20"/>
          <w:spacing w:val="-5"/>
        </w:rPr>
        <w:t> </w:t>
      </w:r>
      <w:r>
        <w:rPr>
          <w:color w:val="231F20"/>
        </w:rPr>
        <w:t>del</w:t>
      </w:r>
      <w:r>
        <w:rPr>
          <w:color w:val="231F20"/>
          <w:spacing w:val="-5"/>
        </w:rPr>
        <w:t> </w:t>
      </w:r>
      <w:r>
        <w:rPr>
          <w:color w:val="231F20"/>
        </w:rPr>
        <w:t>11–S, acontecimientos que provocaron el cambio del paradigma jurídico en de- trimento de las garantías individuales. En el segundo apartado, realizare- mos un recorrido descriptivo sobre las reformas constitucionales</w:t>
      </w:r>
      <w:r>
        <w:rPr>
          <w:color w:val="231F20"/>
          <w:spacing w:val="-27"/>
        </w:rPr>
        <w:t> </w:t>
      </w:r>
      <w:r>
        <w:rPr>
          <w:color w:val="231F20"/>
        </w:rPr>
        <w:t>realizadas enfocadas al combate a la delincuencia organizada en México, hecho que ha instaurado un </w:t>
      </w:r>
      <w:r>
        <w:rPr>
          <w:color w:val="231F20"/>
          <w:sz w:val="18"/>
        </w:rPr>
        <w:t>DPE</w:t>
      </w:r>
      <w:r>
        <w:rPr>
          <w:color w:val="231F20"/>
        </w:rPr>
        <w:t>. En ambos apartados resaltaremos la importancia de las propuestas de Schmitt y</w:t>
      </w:r>
      <w:r>
        <w:rPr>
          <w:color w:val="231F20"/>
          <w:spacing w:val="-5"/>
        </w:rPr>
        <w:t> </w:t>
      </w:r>
      <w:r>
        <w:rPr>
          <w:color w:val="231F20"/>
        </w:rPr>
        <w:t>Jakobs.</w:t>
      </w:r>
    </w:p>
    <w:p>
      <w:pPr>
        <w:pStyle w:val="BodyText"/>
        <w:spacing w:before="5"/>
        <w:rPr>
          <w:sz w:val="24"/>
        </w:rPr>
      </w:pPr>
    </w:p>
    <w:p>
      <w:pPr>
        <w:spacing w:before="1"/>
        <w:ind w:left="103" w:right="0" w:firstLine="0"/>
        <w:jc w:val="both"/>
        <w:rPr>
          <w:rFonts w:ascii="Arial" w:hAnsi="Arial"/>
          <w:i/>
          <w:sz w:val="21"/>
        </w:rPr>
      </w:pPr>
      <w:r>
        <w:rPr>
          <w:rFonts w:ascii="Arial" w:hAnsi="Arial"/>
          <w:i/>
          <w:color w:val="231F20"/>
          <w:sz w:val="21"/>
        </w:rPr>
        <w:t>El combate al terrorismo después del 11–S</w:t>
      </w:r>
    </w:p>
    <w:p>
      <w:pPr>
        <w:pStyle w:val="BodyText"/>
        <w:rPr>
          <w:rFonts w:ascii="Arial"/>
          <w:i/>
          <w:sz w:val="20"/>
        </w:rPr>
      </w:pPr>
    </w:p>
    <w:p>
      <w:pPr>
        <w:pStyle w:val="BodyText"/>
        <w:spacing w:line="247" w:lineRule="auto" w:before="172"/>
        <w:ind w:left="103" w:right="115"/>
        <w:jc w:val="both"/>
      </w:pPr>
      <w:r>
        <w:rPr>
          <w:color w:val="231F20"/>
          <w:w w:val="105"/>
        </w:rPr>
        <w:t>Manuel</w:t>
      </w:r>
      <w:r>
        <w:rPr>
          <w:color w:val="231F20"/>
          <w:spacing w:val="-6"/>
          <w:w w:val="105"/>
        </w:rPr>
        <w:t> </w:t>
      </w:r>
      <w:r>
        <w:rPr>
          <w:color w:val="231F20"/>
          <w:w w:val="105"/>
        </w:rPr>
        <w:t>Castells</w:t>
      </w:r>
      <w:r>
        <w:rPr>
          <w:color w:val="231F20"/>
          <w:spacing w:val="-6"/>
          <w:w w:val="105"/>
        </w:rPr>
        <w:t> </w:t>
      </w:r>
      <w:r>
        <w:rPr>
          <w:color w:val="231F20"/>
          <w:w w:val="105"/>
        </w:rPr>
        <w:t>en</w:t>
      </w:r>
      <w:r>
        <w:rPr>
          <w:color w:val="231F20"/>
          <w:spacing w:val="-6"/>
          <w:w w:val="105"/>
        </w:rPr>
        <w:t> </w:t>
      </w:r>
      <w:r>
        <w:rPr>
          <w:color w:val="231F20"/>
          <w:w w:val="105"/>
        </w:rPr>
        <w:t>1990</w:t>
      </w:r>
      <w:r>
        <w:rPr>
          <w:color w:val="231F20"/>
          <w:spacing w:val="-6"/>
          <w:w w:val="105"/>
        </w:rPr>
        <w:t> </w:t>
      </w:r>
      <w:r>
        <w:rPr>
          <w:color w:val="231F20"/>
          <w:w w:val="105"/>
        </w:rPr>
        <w:t>vaticinaba</w:t>
      </w:r>
      <w:r>
        <w:rPr>
          <w:color w:val="231F20"/>
          <w:spacing w:val="-6"/>
          <w:w w:val="105"/>
        </w:rPr>
        <w:t> </w:t>
      </w:r>
      <w:r>
        <w:rPr>
          <w:color w:val="231F20"/>
          <w:w w:val="105"/>
        </w:rPr>
        <w:t>que</w:t>
      </w:r>
      <w:r>
        <w:rPr>
          <w:color w:val="231F20"/>
          <w:spacing w:val="-6"/>
          <w:w w:val="105"/>
        </w:rPr>
        <w:t> </w:t>
      </w:r>
      <w:r>
        <w:rPr>
          <w:color w:val="231F20"/>
          <w:w w:val="105"/>
        </w:rPr>
        <w:t>“[…]</w:t>
      </w:r>
      <w:r>
        <w:rPr>
          <w:color w:val="231F20"/>
          <w:spacing w:val="-6"/>
          <w:w w:val="105"/>
        </w:rPr>
        <w:t> </w:t>
      </w:r>
      <w:r>
        <w:rPr>
          <w:color w:val="231F20"/>
          <w:w w:val="105"/>
        </w:rPr>
        <w:t>el</w:t>
      </w:r>
      <w:r>
        <w:rPr>
          <w:color w:val="231F20"/>
          <w:spacing w:val="-6"/>
          <w:w w:val="105"/>
        </w:rPr>
        <w:t> </w:t>
      </w:r>
      <w:r>
        <w:rPr>
          <w:color w:val="231F20"/>
          <w:w w:val="105"/>
        </w:rPr>
        <w:t>terrorismo</w:t>
      </w:r>
      <w:r>
        <w:rPr>
          <w:color w:val="231F20"/>
          <w:spacing w:val="-6"/>
          <w:w w:val="105"/>
        </w:rPr>
        <w:t> </w:t>
      </w:r>
      <w:r>
        <w:rPr>
          <w:color w:val="231F20"/>
          <w:w w:val="105"/>
        </w:rPr>
        <w:t>fundamenta- lista</w:t>
      </w:r>
      <w:r>
        <w:rPr>
          <w:color w:val="231F20"/>
          <w:spacing w:val="-20"/>
          <w:w w:val="105"/>
        </w:rPr>
        <w:t> </w:t>
      </w:r>
      <w:r>
        <w:rPr>
          <w:color w:val="231F20"/>
          <w:w w:val="105"/>
        </w:rPr>
        <w:t>será</w:t>
      </w:r>
      <w:r>
        <w:rPr>
          <w:color w:val="231F20"/>
          <w:spacing w:val="-20"/>
          <w:w w:val="105"/>
        </w:rPr>
        <w:t> </w:t>
      </w:r>
      <w:r>
        <w:rPr>
          <w:color w:val="231F20"/>
          <w:w w:val="105"/>
        </w:rPr>
        <w:t>(ya</w:t>
      </w:r>
      <w:r>
        <w:rPr>
          <w:color w:val="231F20"/>
          <w:spacing w:val="-20"/>
          <w:w w:val="105"/>
        </w:rPr>
        <w:t> </w:t>
      </w:r>
      <w:r>
        <w:rPr>
          <w:color w:val="231F20"/>
          <w:w w:val="105"/>
        </w:rPr>
        <w:t>es)</w:t>
      </w:r>
      <w:r>
        <w:rPr>
          <w:color w:val="231F20"/>
          <w:spacing w:val="-20"/>
          <w:w w:val="105"/>
        </w:rPr>
        <w:t> </w:t>
      </w:r>
      <w:r>
        <w:rPr>
          <w:color w:val="231F20"/>
          <w:w w:val="105"/>
        </w:rPr>
        <w:t>la</w:t>
      </w:r>
      <w:r>
        <w:rPr>
          <w:color w:val="231F20"/>
          <w:spacing w:val="-20"/>
          <w:w w:val="105"/>
        </w:rPr>
        <w:t> </w:t>
      </w:r>
      <w:r>
        <w:rPr>
          <w:color w:val="231F20"/>
          <w:w w:val="105"/>
        </w:rPr>
        <w:t>guerra</w:t>
      </w:r>
      <w:r>
        <w:rPr>
          <w:color w:val="231F20"/>
          <w:spacing w:val="-20"/>
          <w:w w:val="105"/>
        </w:rPr>
        <w:t> </w:t>
      </w:r>
      <w:r>
        <w:rPr>
          <w:color w:val="231F20"/>
          <w:w w:val="105"/>
        </w:rPr>
        <w:t>mundial</w:t>
      </w:r>
      <w:r>
        <w:rPr>
          <w:color w:val="231F20"/>
          <w:spacing w:val="-20"/>
          <w:w w:val="105"/>
        </w:rPr>
        <w:t> </w:t>
      </w:r>
      <w:r>
        <w:rPr>
          <w:color w:val="231F20"/>
          <w:w w:val="105"/>
        </w:rPr>
        <w:t>del</w:t>
      </w:r>
      <w:r>
        <w:rPr>
          <w:color w:val="231F20"/>
          <w:spacing w:val="-20"/>
          <w:w w:val="105"/>
        </w:rPr>
        <w:t> </w:t>
      </w:r>
      <w:r>
        <w:rPr>
          <w:color w:val="231F20"/>
          <w:w w:val="105"/>
        </w:rPr>
        <w:t>siglo</w:t>
      </w:r>
      <w:r>
        <w:rPr>
          <w:color w:val="231F20"/>
          <w:spacing w:val="-20"/>
          <w:w w:val="105"/>
        </w:rPr>
        <w:t> </w:t>
      </w:r>
      <w:r>
        <w:rPr>
          <w:color w:val="231F20"/>
          <w:w w:val="105"/>
          <w:sz w:val="18"/>
        </w:rPr>
        <w:t>XXI</w:t>
      </w:r>
      <w:r>
        <w:rPr>
          <w:color w:val="231F20"/>
          <w:w w:val="105"/>
        </w:rPr>
        <w:t>”</w:t>
      </w:r>
      <w:r>
        <w:rPr>
          <w:color w:val="231F20"/>
          <w:w w:val="105"/>
          <w:position w:val="7"/>
          <w:sz w:val="12"/>
        </w:rPr>
        <w:t>1</w:t>
      </w:r>
      <w:r>
        <w:rPr>
          <w:color w:val="231F20"/>
          <w:w w:val="105"/>
        </w:rPr>
        <w:t>.</w:t>
      </w:r>
      <w:r>
        <w:rPr>
          <w:color w:val="231F20"/>
          <w:spacing w:val="-20"/>
          <w:w w:val="105"/>
        </w:rPr>
        <w:t> </w:t>
      </w:r>
      <w:r>
        <w:rPr>
          <w:color w:val="231F20"/>
          <w:w w:val="105"/>
        </w:rPr>
        <w:t>Sin</w:t>
      </w:r>
      <w:r>
        <w:rPr>
          <w:color w:val="231F20"/>
          <w:spacing w:val="-20"/>
          <w:w w:val="105"/>
        </w:rPr>
        <w:t> </w:t>
      </w:r>
      <w:r>
        <w:rPr>
          <w:color w:val="231F20"/>
          <w:w w:val="105"/>
        </w:rPr>
        <w:t>duda,</w:t>
      </w:r>
      <w:r>
        <w:rPr>
          <w:color w:val="231F20"/>
          <w:spacing w:val="-20"/>
          <w:w w:val="105"/>
        </w:rPr>
        <w:t> </w:t>
      </w:r>
      <w:r>
        <w:rPr>
          <w:color w:val="231F20"/>
          <w:w w:val="105"/>
        </w:rPr>
        <w:t>no</w:t>
      </w:r>
      <w:r>
        <w:rPr>
          <w:color w:val="231F20"/>
          <w:spacing w:val="-20"/>
          <w:w w:val="105"/>
        </w:rPr>
        <w:t> </w:t>
      </w:r>
      <w:r>
        <w:rPr>
          <w:color w:val="231F20"/>
          <w:w w:val="105"/>
        </w:rPr>
        <w:t>se</w:t>
      </w:r>
      <w:r>
        <w:rPr>
          <w:color w:val="231F20"/>
          <w:spacing w:val="-20"/>
          <w:w w:val="105"/>
        </w:rPr>
        <w:t> </w:t>
      </w:r>
      <w:r>
        <w:rPr>
          <w:color w:val="231F20"/>
          <w:w w:val="105"/>
        </w:rPr>
        <w:t>trataba de</w:t>
      </w:r>
      <w:r>
        <w:rPr>
          <w:color w:val="231F20"/>
          <w:spacing w:val="-18"/>
          <w:w w:val="105"/>
        </w:rPr>
        <w:t> </w:t>
      </w:r>
      <w:r>
        <w:rPr>
          <w:color w:val="231F20"/>
          <w:w w:val="105"/>
        </w:rPr>
        <w:t>una</w:t>
      </w:r>
      <w:r>
        <w:rPr>
          <w:color w:val="231F20"/>
          <w:spacing w:val="-18"/>
          <w:w w:val="105"/>
        </w:rPr>
        <w:t> </w:t>
      </w:r>
      <w:r>
        <w:rPr>
          <w:color w:val="231F20"/>
          <w:w w:val="105"/>
        </w:rPr>
        <w:t>profecía,</w:t>
      </w:r>
      <w:r>
        <w:rPr>
          <w:color w:val="231F20"/>
          <w:spacing w:val="-18"/>
          <w:w w:val="105"/>
        </w:rPr>
        <w:t> </w:t>
      </w:r>
      <w:r>
        <w:rPr>
          <w:color w:val="231F20"/>
          <w:w w:val="105"/>
        </w:rPr>
        <w:t>sino</w:t>
      </w:r>
      <w:r>
        <w:rPr>
          <w:color w:val="231F20"/>
          <w:spacing w:val="-18"/>
          <w:w w:val="105"/>
        </w:rPr>
        <w:t> </w:t>
      </w:r>
      <w:r>
        <w:rPr>
          <w:color w:val="231F20"/>
          <w:w w:val="105"/>
        </w:rPr>
        <w:t>de</w:t>
      </w:r>
      <w:r>
        <w:rPr>
          <w:color w:val="231F20"/>
          <w:spacing w:val="-18"/>
          <w:w w:val="105"/>
        </w:rPr>
        <w:t> </w:t>
      </w:r>
      <w:r>
        <w:rPr>
          <w:color w:val="231F20"/>
          <w:w w:val="105"/>
        </w:rPr>
        <w:t>un</w:t>
      </w:r>
      <w:r>
        <w:rPr>
          <w:color w:val="231F20"/>
          <w:spacing w:val="-18"/>
          <w:w w:val="105"/>
        </w:rPr>
        <w:t> </w:t>
      </w:r>
      <w:r>
        <w:rPr>
          <w:color w:val="231F20"/>
          <w:w w:val="105"/>
        </w:rPr>
        <w:t>profundo</w:t>
      </w:r>
      <w:r>
        <w:rPr>
          <w:color w:val="231F20"/>
          <w:spacing w:val="-18"/>
          <w:w w:val="105"/>
        </w:rPr>
        <w:t> </w:t>
      </w:r>
      <w:r>
        <w:rPr>
          <w:color w:val="231F20"/>
          <w:w w:val="105"/>
        </w:rPr>
        <w:t>análisis,</w:t>
      </w:r>
      <w:r>
        <w:rPr>
          <w:color w:val="231F20"/>
          <w:spacing w:val="-18"/>
          <w:w w:val="105"/>
        </w:rPr>
        <w:t> </w:t>
      </w:r>
      <w:r>
        <w:rPr>
          <w:color w:val="231F20"/>
          <w:w w:val="105"/>
        </w:rPr>
        <w:t>anunciando</w:t>
      </w:r>
      <w:r>
        <w:rPr>
          <w:color w:val="231F20"/>
          <w:spacing w:val="-18"/>
          <w:w w:val="105"/>
        </w:rPr>
        <w:t> </w:t>
      </w:r>
      <w:r>
        <w:rPr>
          <w:color w:val="231F20"/>
          <w:w w:val="105"/>
        </w:rPr>
        <w:t>que</w:t>
      </w:r>
      <w:r>
        <w:rPr>
          <w:color w:val="231F20"/>
          <w:spacing w:val="-18"/>
          <w:w w:val="105"/>
        </w:rPr>
        <w:t> </w:t>
      </w:r>
      <w:r>
        <w:rPr>
          <w:color w:val="231F20"/>
          <w:w w:val="105"/>
        </w:rPr>
        <w:t>el</w:t>
      </w:r>
      <w:r>
        <w:rPr>
          <w:color w:val="231F20"/>
          <w:spacing w:val="-18"/>
          <w:w w:val="105"/>
        </w:rPr>
        <w:t> </w:t>
      </w:r>
      <w:r>
        <w:rPr>
          <w:color w:val="231F20"/>
          <w:w w:val="105"/>
        </w:rPr>
        <w:t>mundo, ante</w:t>
      </w:r>
      <w:r>
        <w:rPr>
          <w:color w:val="231F20"/>
          <w:spacing w:val="-20"/>
          <w:w w:val="105"/>
        </w:rPr>
        <w:t> </w:t>
      </w:r>
      <w:r>
        <w:rPr>
          <w:color w:val="231F20"/>
          <w:w w:val="105"/>
        </w:rPr>
        <w:t>la</w:t>
      </w:r>
      <w:r>
        <w:rPr>
          <w:color w:val="231F20"/>
          <w:spacing w:val="-20"/>
          <w:w w:val="105"/>
        </w:rPr>
        <w:t> </w:t>
      </w:r>
      <w:r>
        <w:rPr>
          <w:color w:val="231F20"/>
          <w:w w:val="105"/>
        </w:rPr>
        <w:t>lógica</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exclusión</w:t>
      </w:r>
      <w:r>
        <w:rPr>
          <w:color w:val="231F20"/>
          <w:spacing w:val="-20"/>
          <w:w w:val="105"/>
        </w:rPr>
        <w:t> </w:t>
      </w:r>
      <w:r>
        <w:rPr>
          <w:color w:val="231F20"/>
          <w:w w:val="105"/>
        </w:rPr>
        <w:t>y</w:t>
      </w:r>
      <w:r>
        <w:rPr>
          <w:color w:val="231F20"/>
          <w:spacing w:val="-20"/>
          <w:w w:val="105"/>
        </w:rPr>
        <w:t> </w:t>
      </w:r>
      <w:r>
        <w:rPr>
          <w:color w:val="231F20"/>
          <w:w w:val="105"/>
        </w:rPr>
        <w:t>segregación</w:t>
      </w:r>
      <w:r>
        <w:rPr>
          <w:color w:val="231F20"/>
          <w:spacing w:val="-20"/>
          <w:w w:val="105"/>
        </w:rPr>
        <w:t> </w:t>
      </w:r>
      <w:r>
        <w:rPr>
          <w:color w:val="231F20"/>
          <w:w w:val="105"/>
        </w:rPr>
        <w:t>del</w:t>
      </w:r>
      <w:r>
        <w:rPr>
          <w:color w:val="231F20"/>
          <w:spacing w:val="-20"/>
          <w:w w:val="105"/>
        </w:rPr>
        <w:t> </w:t>
      </w:r>
      <w:r>
        <w:rPr>
          <w:color w:val="231F20"/>
          <w:w w:val="105"/>
        </w:rPr>
        <w:t>sistema,</w:t>
      </w:r>
      <w:r>
        <w:rPr>
          <w:color w:val="231F20"/>
          <w:spacing w:val="-20"/>
          <w:w w:val="105"/>
        </w:rPr>
        <w:t> </w:t>
      </w:r>
      <w:r>
        <w:rPr>
          <w:color w:val="231F20"/>
          <w:w w:val="105"/>
        </w:rPr>
        <w:t>catalogaba</w:t>
      </w:r>
      <w:r>
        <w:rPr>
          <w:color w:val="231F20"/>
          <w:spacing w:val="-20"/>
          <w:w w:val="105"/>
        </w:rPr>
        <w:t> </w:t>
      </w:r>
      <w:r>
        <w:rPr>
          <w:color w:val="231F20"/>
          <w:w w:val="105"/>
        </w:rPr>
        <w:t>prác- ticamente</w:t>
      </w:r>
      <w:r>
        <w:rPr>
          <w:color w:val="231F20"/>
          <w:spacing w:val="-14"/>
          <w:w w:val="105"/>
        </w:rPr>
        <w:t> </w:t>
      </w:r>
      <w:r>
        <w:rPr>
          <w:color w:val="231F20"/>
          <w:w w:val="105"/>
        </w:rPr>
        <w:t>a</w:t>
      </w:r>
      <w:r>
        <w:rPr>
          <w:color w:val="231F20"/>
          <w:spacing w:val="-14"/>
          <w:w w:val="105"/>
        </w:rPr>
        <w:t> </w:t>
      </w:r>
      <w:r>
        <w:rPr>
          <w:color w:val="231F20"/>
          <w:w w:val="105"/>
        </w:rPr>
        <w:t>una</w:t>
      </w:r>
      <w:r>
        <w:rPr>
          <w:color w:val="231F20"/>
          <w:spacing w:val="-14"/>
          <w:w w:val="105"/>
        </w:rPr>
        <w:t> </w:t>
      </w:r>
      <w:r>
        <w:rPr>
          <w:color w:val="231F20"/>
          <w:w w:val="105"/>
        </w:rPr>
        <w:t>gran</w:t>
      </w:r>
      <w:r>
        <w:rPr>
          <w:color w:val="231F20"/>
          <w:spacing w:val="-14"/>
          <w:w w:val="105"/>
        </w:rPr>
        <w:t> </w:t>
      </w:r>
      <w:r>
        <w:rPr>
          <w:color w:val="231F20"/>
          <w:w w:val="105"/>
        </w:rPr>
        <w:t>parte</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población</w:t>
      </w:r>
      <w:r>
        <w:rPr>
          <w:color w:val="231F20"/>
          <w:spacing w:val="-14"/>
          <w:w w:val="105"/>
        </w:rPr>
        <w:t> </w:t>
      </w:r>
      <w:r>
        <w:rPr>
          <w:color w:val="231F20"/>
          <w:w w:val="105"/>
        </w:rPr>
        <w:t>excluida</w:t>
      </w:r>
      <w:r>
        <w:rPr>
          <w:color w:val="231F20"/>
          <w:spacing w:val="-14"/>
          <w:w w:val="105"/>
        </w:rPr>
        <w:t> </w:t>
      </w:r>
      <w:r>
        <w:rPr>
          <w:color w:val="231F20"/>
          <w:w w:val="105"/>
        </w:rPr>
        <w:t>como</w:t>
      </w:r>
      <w:r>
        <w:rPr>
          <w:color w:val="231F20"/>
          <w:spacing w:val="-14"/>
          <w:w w:val="105"/>
        </w:rPr>
        <w:t> </w:t>
      </w:r>
      <w:r>
        <w:rPr>
          <w:rFonts w:ascii="Arial" w:hAnsi="Arial"/>
          <w:i/>
          <w:color w:val="231F20"/>
          <w:w w:val="105"/>
        </w:rPr>
        <w:t>subhumanos</w:t>
      </w:r>
      <w:r>
        <w:rPr>
          <w:color w:val="231F20"/>
          <w:w w:val="105"/>
        </w:rPr>
        <w:t>. Categoría</w:t>
      </w:r>
      <w:r>
        <w:rPr>
          <w:color w:val="231F20"/>
          <w:spacing w:val="-34"/>
          <w:w w:val="105"/>
        </w:rPr>
        <w:t> </w:t>
      </w:r>
      <w:r>
        <w:rPr>
          <w:color w:val="231F20"/>
          <w:w w:val="105"/>
        </w:rPr>
        <w:t>cuestionable</w:t>
      </w:r>
      <w:r>
        <w:rPr>
          <w:color w:val="231F20"/>
          <w:spacing w:val="-34"/>
          <w:w w:val="105"/>
        </w:rPr>
        <w:t> </w:t>
      </w:r>
      <w:r>
        <w:rPr>
          <w:color w:val="231F20"/>
          <w:w w:val="105"/>
        </w:rPr>
        <w:t>desde</w:t>
      </w:r>
      <w:r>
        <w:rPr>
          <w:color w:val="231F20"/>
          <w:spacing w:val="-34"/>
          <w:w w:val="105"/>
        </w:rPr>
        <w:t> </w:t>
      </w:r>
      <w:r>
        <w:rPr>
          <w:color w:val="231F20"/>
          <w:w w:val="105"/>
        </w:rPr>
        <w:t>un</w:t>
      </w:r>
      <w:r>
        <w:rPr>
          <w:color w:val="231F20"/>
          <w:spacing w:val="-34"/>
          <w:w w:val="105"/>
        </w:rPr>
        <w:t> </w:t>
      </w:r>
      <w:r>
        <w:rPr>
          <w:color w:val="231F20"/>
          <w:w w:val="105"/>
        </w:rPr>
        <w:t>punto</w:t>
      </w:r>
      <w:r>
        <w:rPr>
          <w:color w:val="231F20"/>
          <w:spacing w:val="-34"/>
          <w:w w:val="105"/>
        </w:rPr>
        <w:t> </w:t>
      </w:r>
      <w:r>
        <w:rPr>
          <w:color w:val="231F20"/>
          <w:w w:val="105"/>
        </w:rPr>
        <w:t>de</w:t>
      </w:r>
      <w:r>
        <w:rPr>
          <w:color w:val="231F20"/>
          <w:spacing w:val="-34"/>
          <w:w w:val="105"/>
        </w:rPr>
        <w:t> </w:t>
      </w:r>
      <w:r>
        <w:rPr>
          <w:color w:val="231F20"/>
          <w:w w:val="105"/>
        </w:rPr>
        <w:t>vista</w:t>
      </w:r>
      <w:r>
        <w:rPr>
          <w:color w:val="231F20"/>
          <w:spacing w:val="-34"/>
          <w:w w:val="105"/>
        </w:rPr>
        <w:t> </w:t>
      </w:r>
      <w:r>
        <w:rPr>
          <w:color w:val="231F20"/>
          <w:w w:val="105"/>
        </w:rPr>
        <w:t>ético,</w:t>
      </w:r>
      <w:r>
        <w:rPr>
          <w:color w:val="231F20"/>
          <w:spacing w:val="-34"/>
          <w:w w:val="105"/>
        </w:rPr>
        <w:t> </w:t>
      </w:r>
      <w:r>
        <w:rPr>
          <w:color w:val="231F20"/>
          <w:w w:val="105"/>
        </w:rPr>
        <w:t>nombra</w:t>
      </w:r>
      <w:r>
        <w:rPr>
          <w:color w:val="231F20"/>
          <w:spacing w:val="-34"/>
          <w:w w:val="105"/>
        </w:rPr>
        <w:t> </w:t>
      </w:r>
      <w:r>
        <w:rPr>
          <w:color w:val="231F20"/>
          <w:w w:val="105"/>
        </w:rPr>
        <w:t>a</w:t>
      </w:r>
      <w:r>
        <w:rPr>
          <w:color w:val="231F20"/>
          <w:spacing w:val="-34"/>
          <w:w w:val="105"/>
        </w:rPr>
        <w:t> </w:t>
      </w:r>
      <w:r>
        <w:rPr>
          <w:color w:val="231F20"/>
          <w:w w:val="105"/>
        </w:rPr>
        <w:t>una</w:t>
      </w:r>
      <w:r>
        <w:rPr>
          <w:color w:val="231F20"/>
          <w:spacing w:val="-34"/>
          <w:w w:val="105"/>
        </w:rPr>
        <w:t> </w:t>
      </w:r>
      <w:r>
        <w:rPr>
          <w:color w:val="231F20"/>
          <w:w w:val="105"/>
        </w:rPr>
        <w:t>franja mayoritaria</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población</w:t>
      </w:r>
      <w:r>
        <w:rPr>
          <w:color w:val="231F20"/>
          <w:spacing w:val="-38"/>
          <w:w w:val="105"/>
        </w:rPr>
        <w:t> </w:t>
      </w:r>
      <w:r>
        <w:rPr>
          <w:color w:val="231F20"/>
          <w:w w:val="105"/>
        </w:rPr>
        <w:t>mundial</w:t>
      </w:r>
      <w:r>
        <w:rPr>
          <w:color w:val="231F20"/>
          <w:spacing w:val="-38"/>
          <w:w w:val="105"/>
        </w:rPr>
        <w:t> </w:t>
      </w:r>
      <w:r>
        <w:rPr>
          <w:color w:val="231F20"/>
          <w:w w:val="105"/>
        </w:rPr>
        <w:t>que</w:t>
      </w:r>
      <w:r>
        <w:rPr>
          <w:color w:val="231F20"/>
          <w:spacing w:val="-38"/>
          <w:w w:val="105"/>
        </w:rPr>
        <w:t> </w:t>
      </w:r>
      <w:r>
        <w:rPr>
          <w:color w:val="231F20"/>
          <w:w w:val="105"/>
        </w:rPr>
        <w:t>es</w:t>
      </w:r>
      <w:r>
        <w:rPr>
          <w:color w:val="231F20"/>
          <w:spacing w:val="-38"/>
          <w:w w:val="105"/>
        </w:rPr>
        <w:t> </w:t>
      </w:r>
      <w:r>
        <w:rPr>
          <w:color w:val="231F20"/>
          <w:w w:val="105"/>
        </w:rPr>
        <w:t>víctima</w:t>
      </w:r>
      <w:r>
        <w:rPr>
          <w:color w:val="231F20"/>
          <w:spacing w:val="-38"/>
          <w:w w:val="105"/>
        </w:rPr>
        <w:t> </w:t>
      </w:r>
      <w:r>
        <w:rPr>
          <w:color w:val="231F20"/>
          <w:w w:val="105"/>
        </w:rPr>
        <w:t>de</w:t>
      </w:r>
      <w:r>
        <w:rPr>
          <w:color w:val="231F20"/>
          <w:spacing w:val="-38"/>
          <w:w w:val="105"/>
        </w:rPr>
        <w:t> </w:t>
      </w:r>
      <w:r>
        <w:rPr>
          <w:color w:val="231F20"/>
          <w:w w:val="105"/>
        </w:rPr>
        <w:t>una</w:t>
      </w:r>
      <w:r>
        <w:rPr>
          <w:color w:val="231F20"/>
          <w:spacing w:val="-38"/>
          <w:w w:val="105"/>
        </w:rPr>
        <w:t> </w:t>
      </w:r>
      <w:r>
        <w:rPr>
          <w:color w:val="231F20"/>
          <w:w w:val="105"/>
        </w:rPr>
        <w:t>paradoja,</w:t>
      </w:r>
      <w:r>
        <w:rPr>
          <w:color w:val="231F20"/>
          <w:spacing w:val="-38"/>
          <w:w w:val="105"/>
        </w:rPr>
        <w:t> </w:t>
      </w:r>
      <w:r>
        <w:rPr>
          <w:color w:val="231F20"/>
          <w:w w:val="105"/>
        </w:rPr>
        <w:t>tal</w:t>
      </w:r>
      <w:r>
        <w:rPr>
          <w:color w:val="231F20"/>
          <w:spacing w:val="-38"/>
          <w:w w:val="105"/>
        </w:rPr>
        <w:t> </w:t>
      </w:r>
      <w:r>
        <w:rPr>
          <w:color w:val="231F20"/>
          <w:w w:val="105"/>
        </w:rPr>
        <w:t>vez irresoluble:</w:t>
      </w:r>
      <w:r>
        <w:rPr>
          <w:color w:val="231F20"/>
          <w:spacing w:val="-33"/>
          <w:w w:val="105"/>
        </w:rPr>
        <w:t> </w:t>
      </w:r>
      <w:r>
        <w:rPr>
          <w:color w:val="231F20"/>
          <w:w w:val="105"/>
        </w:rPr>
        <w:t>por</w:t>
      </w:r>
      <w:r>
        <w:rPr>
          <w:color w:val="231F20"/>
          <w:spacing w:val="-33"/>
          <w:w w:val="105"/>
        </w:rPr>
        <w:t> </w:t>
      </w:r>
      <w:r>
        <w:rPr>
          <w:color w:val="231F20"/>
          <w:w w:val="105"/>
        </w:rPr>
        <w:t>una</w:t>
      </w:r>
      <w:r>
        <w:rPr>
          <w:color w:val="231F20"/>
          <w:spacing w:val="-33"/>
          <w:w w:val="105"/>
        </w:rPr>
        <w:t> </w:t>
      </w:r>
      <w:r>
        <w:rPr>
          <w:color w:val="231F20"/>
          <w:w w:val="105"/>
        </w:rPr>
        <w:t>parte,</w:t>
      </w:r>
      <w:r>
        <w:rPr>
          <w:color w:val="231F20"/>
          <w:spacing w:val="-33"/>
          <w:w w:val="105"/>
        </w:rPr>
        <w:t> </w:t>
      </w:r>
      <w:r>
        <w:rPr>
          <w:color w:val="231F20"/>
          <w:w w:val="105"/>
        </w:rPr>
        <w:t>una</w:t>
      </w:r>
      <w:r>
        <w:rPr>
          <w:color w:val="231F20"/>
          <w:spacing w:val="-33"/>
          <w:w w:val="105"/>
        </w:rPr>
        <w:t> </w:t>
      </w:r>
      <w:r>
        <w:rPr>
          <w:color w:val="231F20"/>
          <w:w w:val="105"/>
        </w:rPr>
        <w:t>brutal</w:t>
      </w:r>
      <w:r>
        <w:rPr>
          <w:color w:val="231F20"/>
          <w:spacing w:val="-33"/>
          <w:w w:val="105"/>
        </w:rPr>
        <w:t> </w:t>
      </w:r>
      <w:r>
        <w:rPr>
          <w:color w:val="231F20"/>
          <w:w w:val="105"/>
        </w:rPr>
        <w:t>occidentalización</w:t>
      </w:r>
      <w:r>
        <w:rPr>
          <w:color w:val="231F20"/>
          <w:spacing w:val="-33"/>
          <w:w w:val="105"/>
        </w:rPr>
        <w:t> </w:t>
      </w:r>
      <w:r>
        <w:rPr>
          <w:color w:val="231F20"/>
          <w:w w:val="105"/>
        </w:rPr>
        <w:t>forzada</w:t>
      </w:r>
      <w:r>
        <w:rPr>
          <w:color w:val="231F20"/>
          <w:spacing w:val="-33"/>
          <w:w w:val="105"/>
        </w:rPr>
        <w:t> </w:t>
      </w:r>
      <w:r>
        <w:rPr>
          <w:color w:val="231F20"/>
          <w:spacing w:val="-10"/>
          <w:w w:val="105"/>
        </w:rPr>
        <w:t>y,</w:t>
      </w:r>
      <w:r>
        <w:rPr>
          <w:color w:val="231F20"/>
          <w:spacing w:val="-33"/>
          <w:w w:val="105"/>
        </w:rPr>
        <w:t> </w:t>
      </w:r>
      <w:r>
        <w:rPr>
          <w:color w:val="231F20"/>
          <w:w w:val="105"/>
        </w:rPr>
        <w:t>por</w:t>
      </w:r>
      <w:r>
        <w:rPr>
          <w:color w:val="231F20"/>
          <w:spacing w:val="-33"/>
          <w:w w:val="105"/>
        </w:rPr>
        <w:t> </w:t>
      </w:r>
      <w:r>
        <w:rPr>
          <w:color w:val="231F20"/>
          <w:w w:val="105"/>
        </w:rPr>
        <w:t>otra, un</w:t>
      </w:r>
      <w:r>
        <w:rPr>
          <w:color w:val="231F20"/>
          <w:spacing w:val="-44"/>
          <w:w w:val="105"/>
        </w:rPr>
        <w:t> </w:t>
      </w:r>
      <w:r>
        <w:rPr>
          <w:color w:val="231F20"/>
          <w:w w:val="105"/>
        </w:rPr>
        <w:t>integrismo</w:t>
      </w:r>
      <w:r>
        <w:rPr>
          <w:color w:val="231F20"/>
          <w:spacing w:val="-44"/>
          <w:w w:val="105"/>
        </w:rPr>
        <w:t> </w:t>
      </w:r>
      <w:r>
        <w:rPr>
          <w:color w:val="231F20"/>
          <w:w w:val="105"/>
        </w:rPr>
        <w:t>a</w:t>
      </w:r>
      <w:r>
        <w:rPr>
          <w:color w:val="231F20"/>
          <w:spacing w:val="-44"/>
          <w:w w:val="105"/>
        </w:rPr>
        <w:t> </w:t>
      </w:r>
      <w:r>
        <w:rPr>
          <w:color w:val="231F20"/>
          <w:w w:val="105"/>
        </w:rPr>
        <w:t>ultranza</w:t>
      </w:r>
      <w:r>
        <w:rPr>
          <w:color w:val="231F20"/>
          <w:spacing w:val="-44"/>
          <w:w w:val="105"/>
        </w:rPr>
        <w:t> </w:t>
      </w:r>
      <w:r>
        <w:rPr>
          <w:color w:val="231F20"/>
          <w:w w:val="105"/>
        </w:rPr>
        <w:t>fuertemente</w:t>
      </w:r>
      <w:r>
        <w:rPr>
          <w:color w:val="231F20"/>
          <w:spacing w:val="-44"/>
          <w:w w:val="105"/>
        </w:rPr>
        <w:t> </w:t>
      </w:r>
      <w:r>
        <w:rPr>
          <w:color w:val="231F20"/>
          <w:w w:val="105"/>
        </w:rPr>
        <w:t>xenófobo.</w:t>
      </w:r>
    </w:p>
    <w:p>
      <w:pPr>
        <w:pStyle w:val="BodyText"/>
        <w:spacing w:line="247" w:lineRule="auto"/>
        <w:ind w:left="103" w:right="115" w:firstLine="566"/>
        <w:jc w:val="both"/>
      </w:pPr>
      <w:r>
        <w:rPr>
          <w:color w:val="231F20"/>
        </w:rPr>
        <w:t>Los Estados Unidos no habían sido atacados en su propio territorio desde el ataque japonés de Pearl </w:t>
      </w:r>
      <w:r>
        <w:rPr>
          <w:color w:val="231F20"/>
          <w:spacing w:val="-3"/>
        </w:rPr>
        <w:t>Harbor, </w:t>
      </w:r>
      <w:r>
        <w:rPr>
          <w:color w:val="231F20"/>
        </w:rPr>
        <w:t>el 7 de diciembre de 1941, su- ceso que propició la intromisión de Estados Unidos en la Segunda Guerra Mundial hasta que, en 1945, las Potencias del Eje fueron derrotadas por  la coalición Aliada. Por el contrario, Estados Unidos ha protagonizado un sinnúmero de intervenciones bélicas desde fines del siglo </w:t>
      </w:r>
      <w:r>
        <w:rPr>
          <w:color w:val="231F20"/>
          <w:sz w:val="18"/>
        </w:rPr>
        <w:t>XIX</w:t>
      </w:r>
      <w:r>
        <w:rPr>
          <w:color w:val="231F20"/>
        </w:rPr>
        <w:t>, como sus- tenta Fernando Quesada: “En el último siglo, más concretamente de</w:t>
      </w:r>
      <w:r>
        <w:rPr>
          <w:color w:val="231F20"/>
          <w:spacing w:val="44"/>
        </w:rPr>
        <w:t> </w:t>
      </w:r>
      <w:r>
        <w:rPr>
          <w:color w:val="231F20"/>
        </w:rPr>
        <w:t>1890</w:t>
      </w:r>
    </w:p>
    <w:p>
      <w:pPr>
        <w:pStyle w:val="BodyText"/>
        <w:spacing w:before="6"/>
        <w:rPr>
          <w:sz w:val="20"/>
        </w:rPr>
      </w:pPr>
      <w:r>
        <w:rPr/>
        <w:pict>
          <v:line style="position:absolute;mso-position-horizontal-relative:page;mso-position-vertical-relative:paragraph;z-index:1816;mso-wrap-distance-left:0;mso-wrap-distance-right:0" from="65.1968pt,14.491284pt" to="178.5828pt,14.491284pt" stroked="true" strokeweight=".3pt" strokecolor="#231f20">
            <w10:wrap type="topAndBottom"/>
          </v:line>
        </w:pict>
      </w:r>
    </w:p>
    <w:p>
      <w:pPr>
        <w:spacing w:before="10"/>
        <w:ind w:left="103" w:right="0" w:firstLine="0"/>
        <w:jc w:val="left"/>
        <w:rPr>
          <w:rFonts w:ascii="Calibri" w:hAnsi="Calibri"/>
          <w:sz w:val="17"/>
        </w:rPr>
      </w:pPr>
      <w:r>
        <w:rPr>
          <w:rFonts w:ascii="Calibri" w:hAnsi="Calibri"/>
          <w:color w:val="231F20"/>
          <w:position w:val="6"/>
          <w:sz w:val="10"/>
        </w:rPr>
        <w:t>1  </w:t>
      </w:r>
      <w:r>
        <w:rPr>
          <w:rFonts w:ascii="Calibri" w:hAnsi="Calibri"/>
          <w:color w:val="231F20"/>
          <w:sz w:val="17"/>
        </w:rPr>
        <w:t>M. Castells, “El comienzo de la Historia”, </w:t>
      </w:r>
      <w:r>
        <w:rPr>
          <w:rFonts w:ascii="Calibri" w:hAnsi="Calibri"/>
          <w:i/>
          <w:color w:val="231F20"/>
          <w:sz w:val="17"/>
        </w:rPr>
        <w:t>El futuro del socialismo</w:t>
      </w:r>
      <w:r>
        <w:rPr>
          <w:rFonts w:ascii="Calibri" w:hAnsi="Calibri"/>
          <w:color w:val="231F20"/>
          <w:sz w:val="17"/>
        </w:rPr>
        <w:t>, vol.4., no. 2, 1990, p.71.</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73560"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Arial" w:hAnsi="Arial"/>
          <w:color w:val="414042"/>
          <w:position w:val="-4"/>
          <w:sz w:val="20"/>
        </w:rPr>
        <w:t>18</w:t>
        <w:tab/>
      </w:r>
      <w:r>
        <w:rPr>
          <w:rFonts w:ascii="Calibri" w:hAnsi="Calibri"/>
          <w:color w:val="6D6E71"/>
          <w:sz w:val="16"/>
        </w:rPr>
        <w:t>Jorge Olvera</w:t>
      </w:r>
      <w:r>
        <w:rPr>
          <w:rFonts w:ascii="Calibri" w:hAnsi="Calibri"/>
          <w:color w:val="6D6E71"/>
          <w:spacing w:val="14"/>
          <w:sz w:val="16"/>
        </w:rPr>
        <w:t> </w:t>
      </w:r>
      <w:r>
        <w:rPr>
          <w:rFonts w:ascii="Calibri" w:hAnsi="Calibri"/>
          <w:color w:val="6D6E71"/>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36" w:val="right" w:leader="none"/>
        </w:tabs>
        <w:spacing w:before="58"/>
        <w:ind w:left="927" w:right="0" w:firstLine="0"/>
        <w:jc w:val="left"/>
        <w:rPr>
          <w:rFonts w:ascii="Arial" w:hAnsi="Arial"/>
          <w:sz w:val="20"/>
        </w:rPr>
      </w:pPr>
      <w:r>
        <w:rPr/>
        <w:pict>
          <v:group style="position:absolute;margin-left:383.821014pt;margin-top:-25.476145pt;width:8.65pt;height:41pt;mso-position-horizontal-relative:page;mso-position-vertical-relative:paragraph;z-index:-17351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Calibri" w:hAnsi="Calibri"/>
          <w:color w:val="6D6E71"/>
          <w:w w:val="105"/>
          <w:sz w:val="14"/>
        </w:rPr>
        <w:t>CAMBIO DE PARADIGMA JURÍDICO: EL 11-S Y LA DELINCUENCIA ORGANIZADA</w:t>
      </w:r>
      <w:r>
        <w:rPr>
          <w:rFonts w:ascii="Calibri" w:hAnsi="Calibri"/>
          <w:color w:val="6D6E71"/>
          <w:spacing w:val="11"/>
          <w:w w:val="105"/>
          <w:sz w:val="14"/>
        </w:rPr>
        <w:t> </w:t>
      </w:r>
      <w:r>
        <w:rPr>
          <w:rFonts w:ascii="Calibri" w:hAnsi="Calibri"/>
          <w:color w:val="6D6E71"/>
          <w:w w:val="105"/>
          <w:sz w:val="14"/>
        </w:rPr>
        <w:t>EN</w:t>
      </w:r>
      <w:r>
        <w:rPr>
          <w:rFonts w:ascii="Calibri" w:hAnsi="Calibri"/>
          <w:color w:val="6D6E71"/>
          <w:spacing w:val="1"/>
          <w:w w:val="105"/>
          <w:sz w:val="14"/>
        </w:rPr>
        <w:t> </w:t>
      </w:r>
      <w:r>
        <w:rPr>
          <w:rFonts w:ascii="Calibri" w:hAnsi="Calibri"/>
          <w:color w:val="6D6E71"/>
          <w:w w:val="105"/>
          <w:sz w:val="14"/>
        </w:rPr>
        <w:t>MÉXICO</w:t>
      </w:r>
      <w:r>
        <w:rPr>
          <w:rFonts w:ascii="Arial" w:hAnsi="Arial"/>
          <w:color w:val="414042"/>
          <w:w w:val="105"/>
          <w:position w:val="-3"/>
          <w:sz w:val="20"/>
        </w:rPr>
        <w:tab/>
        <w:t>19</w:t>
      </w:r>
    </w:p>
    <w:p>
      <w:pPr>
        <w:pStyle w:val="BodyText"/>
        <w:rPr>
          <w:rFonts w:ascii="Arial"/>
          <w:sz w:val="22"/>
        </w:rPr>
      </w:pPr>
    </w:p>
    <w:p>
      <w:pPr>
        <w:pStyle w:val="BodyText"/>
        <w:spacing w:before="2"/>
        <w:rPr>
          <w:rFonts w:ascii="Arial"/>
          <w:sz w:val="32"/>
        </w:rPr>
      </w:pPr>
    </w:p>
    <w:p>
      <w:pPr>
        <w:pStyle w:val="BodyText"/>
        <w:spacing w:line="247" w:lineRule="auto"/>
        <w:ind w:left="108" w:right="113"/>
        <w:jc w:val="both"/>
      </w:pPr>
      <w:r>
        <w:rPr>
          <w:color w:val="231F20"/>
        </w:rPr>
        <w:t>a 2001, </w:t>
      </w:r>
      <w:r>
        <w:rPr>
          <w:color w:val="231F20"/>
          <w:sz w:val="18"/>
        </w:rPr>
        <w:t>EE. UU</w:t>
      </w:r>
      <w:r>
        <w:rPr>
          <w:color w:val="231F20"/>
        </w:rPr>
        <w:t>. ha sostenido 134 actuaciones bélicas en 53 escenarios dife- rentes, cifra no superada por ninguna nación”</w:t>
      </w:r>
      <w:r>
        <w:rPr>
          <w:color w:val="231F20"/>
          <w:position w:val="7"/>
          <w:sz w:val="12"/>
        </w:rPr>
        <w:t>2</w:t>
      </w:r>
      <w:r>
        <w:rPr>
          <w:color w:val="231F20"/>
        </w:rPr>
        <w:t>. Con el fin de la Segunda Guerra</w:t>
      </w:r>
      <w:r>
        <w:rPr>
          <w:color w:val="231F20"/>
          <w:spacing w:val="-4"/>
        </w:rPr>
        <w:t> </w:t>
      </w:r>
      <w:r>
        <w:rPr>
          <w:color w:val="231F20"/>
        </w:rPr>
        <w:t>Mundial</w:t>
      </w:r>
      <w:r>
        <w:rPr>
          <w:color w:val="231F20"/>
          <w:spacing w:val="-4"/>
        </w:rPr>
        <w:t> </w:t>
      </w:r>
      <w:r>
        <w:rPr>
          <w:color w:val="231F20"/>
        </w:rPr>
        <w:t>la</w:t>
      </w:r>
      <w:r>
        <w:rPr>
          <w:color w:val="231F20"/>
          <w:spacing w:val="-4"/>
        </w:rPr>
        <w:t> </w:t>
      </w:r>
      <w:r>
        <w:rPr>
          <w:color w:val="231F20"/>
        </w:rPr>
        <w:t>figura</w:t>
      </w:r>
      <w:r>
        <w:rPr>
          <w:color w:val="231F20"/>
          <w:spacing w:val="-4"/>
        </w:rPr>
        <w:t> </w:t>
      </w:r>
      <w:r>
        <w:rPr>
          <w:color w:val="231F20"/>
        </w:rPr>
        <w:t>del</w:t>
      </w:r>
      <w:r>
        <w:rPr>
          <w:color w:val="231F20"/>
          <w:spacing w:val="-4"/>
        </w:rPr>
        <w:t> </w:t>
      </w:r>
      <w:r>
        <w:rPr>
          <w:color w:val="231F20"/>
        </w:rPr>
        <w:t>enemigo</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debilitó,</w:t>
      </w:r>
      <w:r>
        <w:rPr>
          <w:color w:val="231F20"/>
          <w:spacing w:val="-4"/>
        </w:rPr>
        <w:t> </w:t>
      </w:r>
      <w:r>
        <w:rPr>
          <w:color w:val="231F20"/>
        </w:rPr>
        <w:t>al</w:t>
      </w:r>
      <w:r>
        <w:rPr>
          <w:color w:val="231F20"/>
          <w:spacing w:val="-4"/>
        </w:rPr>
        <w:t> </w:t>
      </w:r>
      <w:r>
        <w:rPr>
          <w:color w:val="231F20"/>
        </w:rPr>
        <w:t>contrario,</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blo- que comunista enfrente, los Estados Unidos pudieron seguir sosteniendo y justificando una actividad bélica intensa y “legal”. Sin embargo, cuando los regímenes comunistas europeos se desmoronaban uno tras otro, Estados Unidos perdía con ello a su enemigo más longevo. La caída del Muro de Berlín en 1989, el colapso de la Unión Soviética en 1991 y el fin de la Gue- rra Fría cambiaron el panorama radicalmente. El socialismo había desapa- recido y el triunfo del capitalismo venía acompañado con la implantación generalizada de las democracias liberales. Se cuenta que el analista ruso Gueorgui</w:t>
      </w:r>
      <w:r>
        <w:rPr>
          <w:color w:val="231F20"/>
          <w:spacing w:val="-7"/>
        </w:rPr>
        <w:t> </w:t>
      </w:r>
      <w:r>
        <w:rPr>
          <w:color w:val="231F20"/>
        </w:rPr>
        <w:t>Arbatov,</w:t>
      </w:r>
      <w:r>
        <w:rPr>
          <w:color w:val="231F20"/>
          <w:spacing w:val="-7"/>
        </w:rPr>
        <w:t> </w:t>
      </w:r>
      <w:r>
        <w:rPr>
          <w:color w:val="231F20"/>
        </w:rPr>
        <w:t>en</w:t>
      </w:r>
      <w:r>
        <w:rPr>
          <w:color w:val="231F20"/>
          <w:spacing w:val="-7"/>
        </w:rPr>
        <w:t> </w:t>
      </w:r>
      <w:r>
        <w:rPr>
          <w:color w:val="231F20"/>
        </w:rPr>
        <w:t>1991,</w:t>
      </w:r>
      <w:r>
        <w:rPr>
          <w:color w:val="231F20"/>
          <w:spacing w:val="-7"/>
        </w:rPr>
        <w:t> </w:t>
      </w:r>
      <w:r>
        <w:rPr>
          <w:color w:val="231F20"/>
        </w:rPr>
        <w:t>tras</w:t>
      </w:r>
      <w:r>
        <w:rPr>
          <w:color w:val="231F20"/>
          <w:spacing w:val="-7"/>
        </w:rPr>
        <w:t> </w:t>
      </w:r>
      <w:r>
        <w:rPr>
          <w:color w:val="231F20"/>
        </w:rPr>
        <w:t>la</w:t>
      </w:r>
      <w:r>
        <w:rPr>
          <w:color w:val="231F20"/>
          <w:spacing w:val="-7"/>
        </w:rPr>
        <w:t> </w:t>
      </w:r>
      <w:r>
        <w:rPr>
          <w:color w:val="231F20"/>
        </w:rPr>
        <w:t>disolución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Unión</w:t>
      </w:r>
      <w:r>
        <w:rPr>
          <w:color w:val="231F20"/>
          <w:spacing w:val="-7"/>
        </w:rPr>
        <w:t> </w:t>
      </w:r>
      <w:r>
        <w:rPr>
          <w:color w:val="231F20"/>
        </w:rPr>
        <w:t>Soviética,</w:t>
      </w:r>
      <w:r>
        <w:rPr>
          <w:color w:val="231F20"/>
          <w:spacing w:val="-7"/>
        </w:rPr>
        <w:t> </w:t>
      </w:r>
      <w:r>
        <w:rPr>
          <w:color w:val="231F20"/>
        </w:rPr>
        <w:t>expresó a los norteamericanos: “Acabamos de hacerles a ustedes algo mucho peor que cuando los amenazábamos con nuestros misiles nucleares: los hemos dejado sin</w:t>
      </w:r>
      <w:r>
        <w:rPr>
          <w:color w:val="231F20"/>
          <w:spacing w:val="58"/>
        </w:rPr>
        <w:t> </w:t>
      </w:r>
      <w:r>
        <w:rPr>
          <w:color w:val="231F20"/>
        </w:rPr>
        <w:t>enemigo”</w:t>
      </w:r>
      <w:r>
        <w:rPr>
          <w:color w:val="231F20"/>
          <w:position w:val="7"/>
          <w:sz w:val="12"/>
        </w:rPr>
        <w:t>3</w:t>
      </w:r>
      <w:r>
        <w:rPr>
          <w:color w:val="231F20"/>
        </w:rPr>
        <w:t>.</w:t>
      </w:r>
    </w:p>
    <w:p>
      <w:pPr>
        <w:pStyle w:val="BodyText"/>
        <w:spacing w:line="247" w:lineRule="auto"/>
        <w:ind w:left="108" w:right="113" w:firstLine="566"/>
        <w:jc w:val="both"/>
      </w:pPr>
      <w:r>
        <w:rPr>
          <w:color w:val="231F20"/>
        </w:rPr>
        <w:t>El</w:t>
      </w:r>
      <w:r>
        <w:rPr>
          <w:color w:val="231F20"/>
          <w:spacing w:val="-13"/>
        </w:rPr>
        <w:t> </w:t>
      </w:r>
      <w:r>
        <w:rPr>
          <w:color w:val="231F20"/>
        </w:rPr>
        <w:t>17</w:t>
      </w:r>
      <w:r>
        <w:rPr>
          <w:color w:val="231F20"/>
          <w:spacing w:val="-13"/>
        </w:rPr>
        <w:t> </w:t>
      </w:r>
      <w:r>
        <w:rPr>
          <w:color w:val="231F20"/>
        </w:rPr>
        <w:t>de</w:t>
      </w:r>
      <w:r>
        <w:rPr>
          <w:color w:val="231F20"/>
          <w:spacing w:val="-13"/>
        </w:rPr>
        <w:t> </w:t>
      </w:r>
      <w:r>
        <w:rPr>
          <w:color w:val="231F20"/>
        </w:rPr>
        <w:t>julio</w:t>
      </w:r>
      <w:r>
        <w:rPr>
          <w:color w:val="231F20"/>
          <w:spacing w:val="-13"/>
        </w:rPr>
        <w:t> </w:t>
      </w:r>
      <w:r>
        <w:rPr>
          <w:color w:val="231F20"/>
        </w:rPr>
        <w:t>de</w:t>
      </w:r>
      <w:r>
        <w:rPr>
          <w:color w:val="231F20"/>
          <w:spacing w:val="-13"/>
        </w:rPr>
        <w:t> </w:t>
      </w:r>
      <w:r>
        <w:rPr>
          <w:color w:val="231F20"/>
        </w:rPr>
        <w:t>1998,</w:t>
      </w:r>
      <w:r>
        <w:rPr>
          <w:color w:val="231F20"/>
          <w:spacing w:val="-13"/>
        </w:rPr>
        <w:t> </w:t>
      </w:r>
      <w:r>
        <w:rPr>
          <w:color w:val="231F20"/>
        </w:rPr>
        <w:t>120</w:t>
      </w:r>
      <w:r>
        <w:rPr>
          <w:color w:val="231F20"/>
          <w:spacing w:val="-13"/>
        </w:rPr>
        <w:t> </w:t>
      </w:r>
      <w:r>
        <w:rPr>
          <w:color w:val="231F20"/>
        </w:rPr>
        <w:t>naciones</w:t>
      </w:r>
      <w:r>
        <w:rPr>
          <w:color w:val="231F20"/>
          <w:spacing w:val="-13"/>
        </w:rPr>
        <w:t> </w:t>
      </w:r>
      <w:r>
        <w:rPr>
          <w:color w:val="231F20"/>
        </w:rPr>
        <w:t>votaban</w:t>
      </w:r>
      <w:r>
        <w:rPr>
          <w:color w:val="231F20"/>
          <w:spacing w:val="-13"/>
        </w:rPr>
        <w:t> </w:t>
      </w:r>
      <w:r>
        <w:rPr>
          <w:color w:val="231F20"/>
        </w:rPr>
        <w:t>la</w:t>
      </w:r>
      <w:r>
        <w:rPr>
          <w:color w:val="231F20"/>
          <w:spacing w:val="-13"/>
        </w:rPr>
        <w:t> </w:t>
      </w:r>
      <w:r>
        <w:rPr>
          <w:color w:val="231F20"/>
        </w:rPr>
        <w:t>aprobación</w:t>
      </w:r>
      <w:r>
        <w:rPr>
          <w:color w:val="231F20"/>
          <w:spacing w:val="-13"/>
        </w:rPr>
        <w:t> </w:t>
      </w:r>
      <w:r>
        <w:rPr>
          <w:color w:val="231F20"/>
        </w:rPr>
        <w:t>del</w:t>
      </w:r>
      <w:r>
        <w:rPr>
          <w:color w:val="231F20"/>
          <w:spacing w:val="-13"/>
        </w:rPr>
        <w:t> </w:t>
      </w:r>
      <w:r>
        <w:rPr>
          <w:color w:val="231F20"/>
        </w:rPr>
        <w:t>Estatu- to de Roma que, entre sus cometidos, incluía la creación del </w:t>
      </w:r>
      <w:r>
        <w:rPr>
          <w:color w:val="231F20"/>
          <w:spacing w:val="-3"/>
        </w:rPr>
        <w:t>Tribunal </w:t>
      </w:r>
      <w:r>
        <w:rPr>
          <w:color w:val="231F20"/>
        </w:rPr>
        <w:t>Penal Internacional. El vaticinio era que llegaría por fin a consolidarse la protec- ción de los derechos humanos en el mundo entero. Geoffrey Robertson lo narra de la siguiente</w:t>
      </w:r>
      <w:r>
        <w:rPr>
          <w:color w:val="231F20"/>
          <w:spacing w:val="-38"/>
        </w:rPr>
        <w:t> </w:t>
      </w:r>
      <w:r>
        <w:rPr>
          <w:color w:val="231F20"/>
        </w:rPr>
        <w:t>manera:</w:t>
      </w:r>
    </w:p>
    <w:p>
      <w:pPr>
        <w:pStyle w:val="BodyText"/>
        <w:spacing w:before="10"/>
        <w:rPr>
          <w:sz w:val="22"/>
        </w:rPr>
      </w:pPr>
    </w:p>
    <w:p>
      <w:pPr>
        <w:spacing w:line="220" w:lineRule="exact" w:before="1"/>
        <w:ind w:left="1526" w:right="113" w:firstLine="0"/>
        <w:jc w:val="both"/>
        <w:rPr>
          <w:sz w:val="19"/>
        </w:rPr>
      </w:pPr>
      <w:r>
        <w:rPr>
          <w:color w:val="231F20"/>
          <w:sz w:val="19"/>
        </w:rPr>
        <w:t>Puede decirse, con razonable convicción, que el 10 de septiem- bre de 2001 se inauguró la tercera era de los derechos humanos, la etapa en que las normas humanitarias básicas debían alcanzar cierto grado de obligatoriedad. Cuarenta y dos estados, incluyen- do</w:t>
      </w:r>
      <w:r>
        <w:rPr>
          <w:color w:val="231F20"/>
          <w:spacing w:val="-9"/>
          <w:sz w:val="19"/>
        </w:rPr>
        <w:t> </w:t>
      </w:r>
      <w:r>
        <w:rPr>
          <w:color w:val="231F20"/>
          <w:sz w:val="19"/>
        </w:rPr>
        <w:t>a</w:t>
      </w:r>
      <w:r>
        <w:rPr>
          <w:color w:val="231F20"/>
          <w:spacing w:val="-9"/>
          <w:sz w:val="19"/>
        </w:rPr>
        <w:t> </w:t>
      </w:r>
      <w:r>
        <w:rPr>
          <w:color w:val="231F20"/>
          <w:sz w:val="19"/>
        </w:rPr>
        <w:t>Gran</w:t>
      </w:r>
      <w:r>
        <w:rPr>
          <w:color w:val="231F20"/>
          <w:spacing w:val="-9"/>
          <w:sz w:val="19"/>
        </w:rPr>
        <w:t> </w:t>
      </w:r>
      <w:r>
        <w:rPr>
          <w:color w:val="231F20"/>
          <w:sz w:val="19"/>
        </w:rPr>
        <w:t>Bretaña,</w:t>
      </w:r>
      <w:r>
        <w:rPr>
          <w:color w:val="231F20"/>
          <w:spacing w:val="-9"/>
          <w:sz w:val="19"/>
        </w:rPr>
        <w:t> </w:t>
      </w:r>
      <w:r>
        <w:rPr>
          <w:color w:val="231F20"/>
          <w:sz w:val="19"/>
        </w:rPr>
        <w:t>Francia</w:t>
      </w:r>
      <w:r>
        <w:rPr>
          <w:color w:val="231F20"/>
          <w:spacing w:val="-9"/>
          <w:sz w:val="19"/>
        </w:rPr>
        <w:t> </w:t>
      </w:r>
      <w:r>
        <w:rPr>
          <w:color w:val="231F20"/>
          <w:sz w:val="19"/>
        </w:rPr>
        <w:t>y</w:t>
      </w:r>
      <w:r>
        <w:rPr>
          <w:color w:val="231F20"/>
          <w:spacing w:val="-9"/>
          <w:sz w:val="19"/>
        </w:rPr>
        <w:t> </w:t>
      </w:r>
      <w:r>
        <w:rPr>
          <w:color w:val="231F20"/>
          <w:sz w:val="19"/>
        </w:rPr>
        <w:t>Rusia,</w:t>
      </w:r>
      <w:r>
        <w:rPr>
          <w:color w:val="231F20"/>
          <w:spacing w:val="-9"/>
          <w:sz w:val="19"/>
        </w:rPr>
        <w:t> </w:t>
      </w:r>
      <w:r>
        <w:rPr>
          <w:color w:val="231F20"/>
          <w:sz w:val="19"/>
        </w:rPr>
        <w:t>habían</w:t>
      </w:r>
      <w:r>
        <w:rPr>
          <w:color w:val="231F20"/>
          <w:spacing w:val="-9"/>
          <w:sz w:val="19"/>
        </w:rPr>
        <w:t> </w:t>
      </w:r>
      <w:r>
        <w:rPr>
          <w:color w:val="231F20"/>
          <w:sz w:val="19"/>
        </w:rPr>
        <w:t>ratificado</w:t>
      </w:r>
      <w:r>
        <w:rPr>
          <w:color w:val="231F20"/>
          <w:spacing w:val="-9"/>
          <w:sz w:val="19"/>
        </w:rPr>
        <w:t> </w:t>
      </w:r>
      <w:r>
        <w:rPr>
          <w:color w:val="231F20"/>
          <w:sz w:val="19"/>
        </w:rPr>
        <w:t>el</w:t>
      </w:r>
      <w:r>
        <w:rPr>
          <w:color w:val="231F20"/>
          <w:spacing w:val="-9"/>
          <w:sz w:val="19"/>
        </w:rPr>
        <w:t> </w:t>
      </w:r>
      <w:r>
        <w:rPr>
          <w:color w:val="231F20"/>
          <w:sz w:val="19"/>
        </w:rPr>
        <w:t>Estatuto</w:t>
      </w:r>
      <w:r>
        <w:rPr>
          <w:color w:val="231F20"/>
          <w:spacing w:val="-9"/>
          <w:sz w:val="19"/>
        </w:rPr>
        <w:t> </w:t>
      </w:r>
      <w:r>
        <w:rPr>
          <w:color w:val="231F20"/>
          <w:sz w:val="19"/>
        </w:rPr>
        <w:t>de Roma, y se esperaba que el </w:t>
      </w:r>
      <w:r>
        <w:rPr>
          <w:color w:val="231F20"/>
          <w:spacing w:val="-3"/>
          <w:sz w:val="19"/>
        </w:rPr>
        <w:t>Tribunal </w:t>
      </w:r>
      <w:r>
        <w:rPr>
          <w:color w:val="231F20"/>
          <w:sz w:val="19"/>
        </w:rPr>
        <w:t>Internacional de Justicia</w:t>
      </w:r>
      <w:r>
        <w:rPr>
          <w:color w:val="231F20"/>
          <w:spacing w:val="-7"/>
          <w:sz w:val="19"/>
        </w:rPr>
        <w:t> </w:t>
      </w:r>
      <w:r>
        <w:rPr>
          <w:color w:val="231F20"/>
          <w:sz w:val="19"/>
        </w:rPr>
        <w:t>(</w:t>
      </w:r>
      <w:r>
        <w:rPr>
          <w:color w:val="231F20"/>
          <w:sz w:val="16"/>
        </w:rPr>
        <w:t>TIJ</w:t>
      </w:r>
      <w:r>
        <w:rPr>
          <w:color w:val="231F20"/>
          <w:sz w:val="19"/>
        </w:rPr>
        <w:t>) abriera</w:t>
      </w:r>
      <w:r>
        <w:rPr>
          <w:color w:val="231F20"/>
          <w:spacing w:val="-17"/>
          <w:sz w:val="19"/>
        </w:rPr>
        <w:t> </w:t>
      </w:r>
      <w:r>
        <w:rPr>
          <w:color w:val="231F20"/>
          <w:sz w:val="19"/>
        </w:rPr>
        <w:t>sus</w:t>
      </w:r>
      <w:r>
        <w:rPr>
          <w:color w:val="231F20"/>
          <w:spacing w:val="-17"/>
          <w:sz w:val="19"/>
        </w:rPr>
        <w:t> </w:t>
      </w:r>
      <w:r>
        <w:rPr>
          <w:color w:val="231F20"/>
          <w:sz w:val="19"/>
        </w:rPr>
        <w:t>puertas</w:t>
      </w:r>
      <w:r>
        <w:rPr>
          <w:color w:val="231F20"/>
          <w:spacing w:val="-17"/>
          <w:sz w:val="19"/>
        </w:rPr>
        <w:t> </w:t>
      </w:r>
      <w:r>
        <w:rPr>
          <w:color w:val="231F20"/>
          <w:sz w:val="19"/>
        </w:rPr>
        <w:t>a</w:t>
      </w:r>
      <w:r>
        <w:rPr>
          <w:color w:val="231F20"/>
          <w:spacing w:val="-17"/>
          <w:sz w:val="19"/>
        </w:rPr>
        <w:t> </w:t>
      </w:r>
      <w:r>
        <w:rPr>
          <w:color w:val="231F20"/>
          <w:sz w:val="19"/>
        </w:rPr>
        <w:t>finales</w:t>
      </w:r>
      <w:r>
        <w:rPr>
          <w:color w:val="231F20"/>
          <w:spacing w:val="-17"/>
          <w:sz w:val="19"/>
        </w:rPr>
        <w:t> </w:t>
      </w:r>
      <w:r>
        <w:rPr>
          <w:color w:val="231F20"/>
          <w:sz w:val="19"/>
        </w:rPr>
        <w:t>de</w:t>
      </w:r>
      <w:r>
        <w:rPr>
          <w:color w:val="231F20"/>
          <w:spacing w:val="-17"/>
          <w:sz w:val="19"/>
        </w:rPr>
        <w:t> </w:t>
      </w:r>
      <w:r>
        <w:rPr>
          <w:color w:val="231F20"/>
          <w:sz w:val="19"/>
        </w:rPr>
        <w:t>2002.</w:t>
      </w:r>
      <w:r>
        <w:rPr>
          <w:color w:val="231F20"/>
          <w:spacing w:val="-17"/>
          <w:sz w:val="19"/>
        </w:rPr>
        <w:t> </w:t>
      </w:r>
      <w:r>
        <w:rPr>
          <w:color w:val="231F20"/>
          <w:sz w:val="19"/>
        </w:rPr>
        <w:t>[…]</w:t>
      </w:r>
      <w:r>
        <w:rPr>
          <w:color w:val="231F20"/>
          <w:spacing w:val="-17"/>
          <w:sz w:val="19"/>
        </w:rPr>
        <w:t> </w:t>
      </w:r>
      <w:r>
        <w:rPr>
          <w:color w:val="231F20"/>
          <w:sz w:val="19"/>
        </w:rPr>
        <w:t>El</w:t>
      </w:r>
      <w:r>
        <w:rPr>
          <w:color w:val="231F20"/>
          <w:spacing w:val="-17"/>
          <w:sz w:val="19"/>
        </w:rPr>
        <w:t> </w:t>
      </w:r>
      <w:r>
        <w:rPr>
          <w:color w:val="231F20"/>
          <w:sz w:val="19"/>
        </w:rPr>
        <w:t>avance</w:t>
      </w:r>
      <w:r>
        <w:rPr>
          <w:color w:val="231F20"/>
          <w:spacing w:val="-17"/>
          <w:sz w:val="19"/>
        </w:rPr>
        <w:t> </w:t>
      </w:r>
      <w:r>
        <w:rPr>
          <w:color w:val="231F20"/>
          <w:sz w:val="19"/>
        </w:rPr>
        <w:t>de</w:t>
      </w:r>
      <w:r>
        <w:rPr>
          <w:color w:val="231F20"/>
          <w:spacing w:val="-17"/>
          <w:sz w:val="19"/>
        </w:rPr>
        <w:t> </w:t>
      </w:r>
      <w:r>
        <w:rPr>
          <w:color w:val="231F20"/>
          <w:sz w:val="19"/>
        </w:rPr>
        <w:t>los</w:t>
      </w:r>
      <w:r>
        <w:rPr>
          <w:color w:val="231F20"/>
          <w:spacing w:val="-17"/>
          <w:sz w:val="19"/>
        </w:rPr>
        <w:t> </w:t>
      </w:r>
      <w:r>
        <w:rPr>
          <w:color w:val="231F20"/>
          <w:sz w:val="19"/>
        </w:rPr>
        <w:t>derechos civiles y políticos en el mundo parecía lo suficientemente asegura- do para que las dos </w:t>
      </w:r>
      <w:r>
        <w:rPr>
          <w:color w:val="231F20"/>
          <w:sz w:val="16"/>
        </w:rPr>
        <w:t>ONG </w:t>
      </w:r>
      <w:r>
        <w:rPr>
          <w:color w:val="231F20"/>
          <w:sz w:val="19"/>
        </w:rPr>
        <w:t>más importantes —Human Rights Watch y Amnistía Internacional— dirigieran sus focos a los derechos eco- nómicos y sociales, que hasta entonces habían tenido abandona- dos. […] Entonces, literalmente como caídos del cielo, llegaron los dos ataques kamikaze contra el World </w:t>
      </w:r>
      <w:r>
        <w:rPr>
          <w:color w:val="231F20"/>
          <w:spacing w:val="-4"/>
          <w:sz w:val="19"/>
        </w:rPr>
        <w:t>Trate </w:t>
      </w:r>
      <w:r>
        <w:rPr>
          <w:color w:val="231F20"/>
          <w:sz w:val="19"/>
        </w:rPr>
        <w:t>Center y el</w:t>
      </w:r>
      <w:r>
        <w:rPr>
          <w:color w:val="231F20"/>
          <w:spacing w:val="-34"/>
          <w:sz w:val="19"/>
        </w:rPr>
        <w:t> </w:t>
      </w:r>
      <w:r>
        <w:rPr>
          <w:color w:val="231F20"/>
          <w:sz w:val="19"/>
        </w:rPr>
        <w:t>Pentágono del 11 de</w:t>
      </w:r>
      <w:r>
        <w:rPr>
          <w:color w:val="231F20"/>
          <w:spacing w:val="14"/>
          <w:sz w:val="19"/>
        </w:rPr>
        <w:t> </w:t>
      </w:r>
      <w:r>
        <w:rPr>
          <w:color w:val="231F20"/>
          <w:sz w:val="19"/>
        </w:rPr>
        <w:t>septiembre</w:t>
      </w:r>
      <w:r>
        <w:rPr>
          <w:color w:val="231F20"/>
          <w:position w:val="6"/>
          <w:sz w:val="11"/>
        </w:rPr>
        <w:t>4</w:t>
      </w:r>
      <w:r>
        <w:rPr>
          <w:color w:val="231F20"/>
          <w:sz w:val="19"/>
        </w:rPr>
        <w:t>.</w:t>
      </w:r>
    </w:p>
    <w:p>
      <w:pPr>
        <w:pStyle w:val="BodyText"/>
        <w:spacing w:before="11"/>
        <w:rPr>
          <w:sz w:val="23"/>
        </w:rPr>
      </w:pPr>
    </w:p>
    <w:p>
      <w:pPr>
        <w:pStyle w:val="BodyText"/>
        <w:spacing w:line="247" w:lineRule="auto"/>
        <w:ind w:left="108" w:right="113"/>
        <w:jc w:val="both"/>
      </w:pPr>
      <w:r>
        <w:rPr>
          <w:color w:val="231F20"/>
        </w:rPr>
        <w:t>La</w:t>
      </w:r>
      <w:r>
        <w:rPr>
          <w:color w:val="231F20"/>
          <w:spacing w:val="-7"/>
        </w:rPr>
        <w:t> </w:t>
      </w:r>
      <w:r>
        <w:rPr>
          <w:color w:val="231F20"/>
        </w:rPr>
        <w:t>llegada</w:t>
      </w:r>
      <w:r>
        <w:rPr>
          <w:color w:val="231F20"/>
          <w:spacing w:val="-7"/>
        </w:rPr>
        <w:t> </w:t>
      </w:r>
      <w:r>
        <w:rPr>
          <w:color w:val="231F20"/>
        </w:rPr>
        <w:t>de</w:t>
      </w:r>
      <w:r>
        <w:rPr>
          <w:color w:val="231F20"/>
          <w:spacing w:val="-7"/>
        </w:rPr>
        <w:t> </w:t>
      </w:r>
      <w:r>
        <w:rPr>
          <w:color w:val="231F20"/>
        </w:rPr>
        <w:t>esta</w:t>
      </w:r>
      <w:r>
        <w:rPr>
          <w:color w:val="231F20"/>
          <w:spacing w:val="-7"/>
        </w:rPr>
        <w:t> </w:t>
      </w:r>
      <w:r>
        <w:rPr>
          <w:color w:val="231F20"/>
        </w:rPr>
        <w:t>nueva</w:t>
      </w:r>
      <w:r>
        <w:rPr>
          <w:color w:val="231F20"/>
          <w:spacing w:val="-7"/>
        </w:rPr>
        <w:t> </w:t>
      </w:r>
      <w:r>
        <w:rPr>
          <w:color w:val="231F20"/>
        </w:rPr>
        <w:t>amenaza</w:t>
      </w:r>
      <w:r>
        <w:rPr>
          <w:color w:val="231F20"/>
          <w:spacing w:val="-7"/>
        </w:rPr>
        <w:t> </w:t>
      </w:r>
      <w:r>
        <w:rPr>
          <w:color w:val="231F20"/>
        </w:rPr>
        <w:t>significó</w:t>
      </w:r>
      <w:r>
        <w:rPr>
          <w:color w:val="231F20"/>
          <w:spacing w:val="-7"/>
        </w:rPr>
        <w:t> </w:t>
      </w:r>
      <w:r>
        <w:rPr>
          <w:color w:val="231F20"/>
        </w:rPr>
        <w:t>la</w:t>
      </w:r>
      <w:r>
        <w:rPr>
          <w:color w:val="231F20"/>
          <w:spacing w:val="-7"/>
        </w:rPr>
        <w:t> </w:t>
      </w:r>
      <w:r>
        <w:rPr>
          <w:color w:val="231F20"/>
        </w:rPr>
        <w:t>ocupación</w:t>
      </w:r>
      <w:r>
        <w:rPr>
          <w:color w:val="231F20"/>
          <w:spacing w:val="-7"/>
        </w:rPr>
        <w:t> </w:t>
      </w:r>
      <w:r>
        <w:rPr>
          <w:color w:val="231F20"/>
        </w:rPr>
        <w:t>de</w:t>
      </w:r>
      <w:r>
        <w:rPr>
          <w:color w:val="231F20"/>
          <w:spacing w:val="-7"/>
        </w:rPr>
        <w:t> </w:t>
      </w:r>
      <w:r>
        <w:rPr>
          <w:color w:val="231F20"/>
        </w:rPr>
        <w:t>aquel</w:t>
      </w:r>
      <w:r>
        <w:rPr>
          <w:color w:val="231F20"/>
          <w:spacing w:val="-7"/>
        </w:rPr>
        <w:t> </w:t>
      </w:r>
      <w:r>
        <w:rPr>
          <w:color w:val="231F20"/>
        </w:rPr>
        <w:t>vacío</w:t>
      </w:r>
      <w:r>
        <w:rPr>
          <w:color w:val="231F20"/>
          <w:spacing w:val="-7"/>
        </w:rPr>
        <w:t> </w:t>
      </w:r>
      <w:r>
        <w:rPr>
          <w:color w:val="231F20"/>
        </w:rPr>
        <w:t>que había dejado la caída del bloque soviético, los Estados Unidos necesitaban urgentemente un nuevo enemigo para justificar su postura</w:t>
      </w:r>
      <w:r>
        <w:rPr>
          <w:color w:val="231F20"/>
          <w:spacing w:val="-7"/>
        </w:rPr>
        <w:t> </w:t>
      </w:r>
      <w:r>
        <w:rPr>
          <w:color w:val="231F20"/>
        </w:rPr>
        <w:t>intervencionista</w:t>
      </w:r>
    </w:p>
    <w:p>
      <w:pPr>
        <w:pStyle w:val="BodyText"/>
        <w:rPr>
          <w:sz w:val="20"/>
        </w:rPr>
      </w:pPr>
    </w:p>
    <w:p>
      <w:pPr>
        <w:pStyle w:val="BodyText"/>
        <w:spacing w:before="3"/>
        <w:rPr>
          <w:sz w:val="10"/>
        </w:rPr>
      </w:pPr>
      <w:r>
        <w:rPr/>
        <w:pict>
          <v:line style="position:absolute;mso-position-horizontal-relative:page;mso-position-vertical-relative:paragraph;z-index:1864;mso-wrap-distance-left:0;mso-wrap-distance-right:0" from="69.448799pt,8.290175pt" to="182.834799pt,8.290175pt" stroked="true" strokeweight=".3pt" strokecolor="#231f20">
            <w10:wrap type="topAndBottom"/>
          </v:line>
        </w:pict>
      </w:r>
    </w:p>
    <w:p>
      <w:pPr>
        <w:spacing w:line="204" w:lineRule="exact" w:before="9"/>
        <w:ind w:left="108" w:right="111" w:firstLine="0"/>
        <w:jc w:val="left"/>
        <w:rPr>
          <w:rFonts w:ascii="Calibri" w:hAnsi="Calibri"/>
          <w:sz w:val="17"/>
        </w:rPr>
      </w:pPr>
      <w:r>
        <w:rPr>
          <w:rFonts w:ascii="Calibri" w:hAnsi="Calibri"/>
          <w:color w:val="231F20"/>
          <w:w w:val="105"/>
          <w:position w:val="6"/>
          <w:sz w:val="10"/>
        </w:rPr>
        <w:t>2</w:t>
      </w:r>
      <w:r>
        <w:rPr>
          <w:rFonts w:ascii="Calibri" w:hAnsi="Calibri"/>
          <w:color w:val="231F20"/>
          <w:spacing w:val="-2"/>
          <w:w w:val="105"/>
          <w:position w:val="6"/>
          <w:sz w:val="10"/>
        </w:rPr>
        <w:t> </w:t>
      </w:r>
      <w:r>
        <w:rPr>
          <w:rFonts w:ascii="Calibri" w:hAnsi="Calibri"/>
          <w:color w:val="231F20"/>
          <w:spacing w:val="-7"/>
          <w:w w:val="105"/>
          <w:sz w:val="17"/>
        </w:rPr>
        <w:t>F.</w:t>
      </w:r>
      <w:r>
        <w:rPr>
          <w:rFonts w:ascii="Calibri" w:hAnsi="Calibri"/>
          <w:color w:val="231F20"/>
          <w:spacing w:val="-19"/>
          <w:w w:val="105"/>
          <w:sz w:val="17"/>
        </w:rPr>
        <w:t> </w:t>
      </w:r>
      <w:r>
        <w:rPr>
          <w:rFonts w:ascii="Calibri" w:hAnsi="Calibri"/>
          <w:color w:val="231F20"/>
          <w:w w:val="105"/>
          <w:sz w:val="17"/>
        </w:rPr>
        <w:t>Quesada,</w:t>
      </w:r>
      <w:r>
        <w:rPr>
          <w:rFonts w:ascii="Calibri" w:hAnsi="Calibri"/>
          <w:color w:val="231F20"/>
          <w:spacing w:val="-19"/>
          <w:w w:val="105"/>
          <w:sz w:val="17"/>
        </w:rPr>
        <w:t> </w:t>
      </w:r>
      <w:r>
        <w:rPr>
          <w:rFonts w:ascii="Calibri" w:hAnsi="Calibri"/>
          <w:color w:val="231F20"/>
          <w:w w:val="105"/>
          <w:sz w:val="17"/>
        </w:rPr>
        <w:t>“11</w:t>
      </w:r>
      <w:r>
        <w:rPr>
          <w:rFonts w:ascii="Calibri" w:hAnsi="Calibri"/>
          <w:color w:val="231F20"/>
          <w:spacing w:val="-19"/>
          <w:w w:val="105"/>
          <w:sz w:val="17"/>
        </w:rPr>
        <w:t> </w:t>
      </w:r>
      <w:r>
        <w:rPr>
          <w:rFonts w:ascii="Calibri" w:hAnsi="Calibri"/>
          <w:color w:val="231F20"/>
          <w:w w:val="105"/>
          <w:sz w:val="17"/>
        </w:rPr>
        <w:t>de</w:t>
      </w:r>
      <w:r>
        <w:rPr>
          <w:rFonts w:ascii="Calibri" w:hAnsi="Calibri"/>
          <w:color w:val="231F20"/>
          <w:spacing w:val="-19"/>
          <w:w w:val="105"/>
          <w:sz w:val="17"/>
        </w:rPr>
        <w:t> </w:t>
      </w:r>
      <w:r>
        <w:rPr>
          <w:rFonts w:ascii="Calibri" w:hAnsi="Calibri"/>
          <w:color w:val="231F20"/>
          <w:w w:val="105"/>
          <w:sz w:val="17"/>
        </w:rPr>
        <w:t>septiembre.</w:t>
      </w:r>
      <w:r>
        <w:rPr>
          <w:rFonts w:ascii="Calibri" w:hAnsi="Calibri"/>
          <w:color w:val="231F20"/>
          <w:spacing w:val="-19"/>
          <w:w w:val="105"/>
          <w:sz w:val="17"/>
        </w:rPr>
        <w:t> </w:t>
      </w:r>
      <w:r>
        <w:rPr>
          <w:rFonts w:ascii="Calibri" w:hAnsi="Calibri"/>
          <w:color w:val="231F20"/>
          <w:w w:val="105"/>
          <w:sz w:val="17"/>
        </w:rPr>
        <w:t>El</w:t>
      </w:r>
      <w:r>
        <w:rPr>
          <w:rFonts w:ascii="Calibri" w:hAnsi="Calibri"/>
          <w:color w:val="231F20"/>
          <w:spacing w:val="-19"/>
          <w:w w:val="105"/>
          <w:sz w:val="17"/>
        </w:rPr>
        <w:t> </w:t>
      </w:r>
      <w:r>
        <w:rPr>
          <w:rFonts w:ascii="Calibri" w:hAnsi="Calibri"/>
          <w:color w:val="231F20"/>
          <w:w w:val="105"/>
          <w:sz w:val="17"/>
        </w:rPr>
        <w:t>fundamentalismo</w:t>
      </w:r>
      <w:r>
        <w:rPr>
          <w:rFonts w:ascii="Calibri" w:hAnsi="Calibri"/>
          <w:color w:val="231F20"/>
          <w:spacing w:val="-19"/>
          <w:w w:val="105"/>
          <w:sz w:val="17"/>
        </w:rPr>
        <w:t> </w:t>
      </w:r>
      <w:r>
        <w:rPr>
          <w:rFonts w:ascii="Calibri" w:hAnsi="Calibri"/>
          <w:color w:val="231F20"/>
          <w:w w:val="105"/>
          <w:sz w:val="17"/>
        </w:rPr>
        <w:t>en</w:t>
      </w:r>
      <w:r>
        <w:rPr>
          <w:rFonts w:ascii="Calibri" w:hAnsi="Calibri"/>
          <w:color w:val="231F20"/>
          <w:spacing w:val="-19"/>
          <w:w w:val="105"/>
          <w:sz w:val="17"/>
        </w:rPr>
        <w:t> </w:t>
      </w:r>
      <w:r>
        <w:rPr>
          <w:rFonts w:ascii="Calibri" w:hAnsi="Calibri"/>
          <w:color w:val="231F20"/>
          <w:w w:val="105"/>
          <w:sz w:val="15"/>
        </w:rPr>
        <w:t>EE.</w:t>
      </w:r>
      <w:r>
        <w:rPr>
          <w:rFonts w:ascii="Calibri" w:hAnsi="Calibri"/>
          <w:color w:val="231F20"/>
          <w:spacing w:val="-17"/>
          <w:w w:val="105"/>
          <w:sz w:val="15"/>
        </w:rPr>
        <w:t> </w:t>
      </w:r>
      <w:r>
        <w:rPr>
          <w:rFonts w:ascii="Calibri" w:hAnsi="Calibri"/>
          <w:color w:val="231F20"/>
          <w:w w:val="105"/>
          <w:sz w:val="15"/>
        </w:rPr>
        <w:t>UU.</w:t>
      </w:r>
      <w:r>
        <w:rPr>
          <w:rFonts w:ascii="Calibri" w:hAnsi="Calibri"/>
          <w:color w:val="231F20"/>
          <w:w w:val="105"/>
          <w:sz w:val="17"/>
        </w:rPr>
        <w:t>:</w:t>
      </w:r>
      <w:r>
        <w:rPr>
          <w:rFonts w:ascii="Calibri" w:hAnsi="Calibri"/>
          <w:color w:val="231F20"/>
          <w:spacing w:val="-19"/>
          <w:w w:val="105"/>
          <w:sz w:val="17"/>
        </w:rPr>
        <w:t> </w:t>
      </w:r>
      <w:r>
        <w:rPr>
          <w:rFonts w:ascii="Calibri" w:hAnsi="Calibri"/>
          <w:color w:val="231F20"/>
          <w:w w:val="105"/>
          <w:sz w:val="17"/>
        </w:rPr>
        <w:t>mito</w:t>
      </w:r>
      <w:r>
        <w:rPr>
          <w:rFonts w:ascii="Calibri" w:hAnsi="Calibri"/>
          <w:color w:val="231F20"/>
          <w:spacing w:val="-19"/>
          <w:w w:val="105"/>
          <w:sz w:val="17"/>
        </w:rPr>
        <w:t> </w:t>
      </w:r>
      <w:r>
        <w:rPr>
          <w:rFonts w:ascii="Calibri" w:hAnsi="Calibri"/>
          <w:color w:val="231F20"/>
          <w:w w:val="105"/>
          <w:sz w:val="17"/>
        </w:rPr>
        <w:t>fundacional</w:t>
      </w:r>
      <w:r>
        <w:rPr>
          <w:rFonts w:ascii="Calibri" w:hAnsi="Calibri"/>
          <w:color w:val="231F20"/>
          <w:spacing w:val="-20"/>
          <w:w w:val="105"/>
          <w:sz w:val="17"/>
        </w:rPr>
        <w:t> </w:t>
      </w:r>
      <w:r>
        <w:rPr>
          <w:rFonts w:ascii="Calibri" w:hAnsi="Calibri"/>
          <w:color w:val="231F20"/>
          <w:w w:val="105"/>
          <w:sz w:val="17"/>
        </w:rPr>
        <w:t>y</w:t>
      </w:r>
      <w:r>
        <w:rPr>
          <w:rFonts w:ascii="Calibri" w:hAnsi="Calibri"/>
          <w:color w:val="231F20"/>
          <w:spacing w:val="-19"/>
          <w:w w:val="105"/>
          <w:sz w:val="17"/>
        </w:rPr>
        <w:t> </w:t>
      </w:r>
      <w:r>
        <w:rPr>
          <w:rFonts w:ascii="Calibri" w:hAnsi="Calibri"/>
          <w:color w:val="231F20"/>
          <w:w w:val="105"/>
          <w:sz w:val="17"/>
        </w:rPr>
        <w:t>progreso</w:t>
      </w:r>
      <w:r>
        <w:rPr>
          <w:rFonts w:ascii="Calibri" w:hAnsi="Calibri"/>
          <w:color w:val="231F20"/>
          <w:spacing w:val="-19"/>
          <w:w w:val="105"/>
          <w:sz w:val="17"/>
        </w:rPr>
        <w:t> </w:t>
      </w:r>
      <w:r>
        <w:rPr>
          <w:rFonts w:ascii="Calibri" w:hAnsi="Calibri"/>
          <w:color w:val="231F20"/>
          <w:w w:val="105"/>
          <w:sz w:val="17"/>
        </w:rPr>
        <w:t>consti- tuyente”,</w:t>
      </w:r>
      <w:r>
        <w:rPr>
          <w:rFonts w:ascii="Calibri" w:hAnsi="Calibri"/>
          <w:color w:val="231F20"/>
          <w:spacing w:val="-21"/>
          <w:w w:val="105"/>
          <w:sz w:val="17"/>
        </w:rPr>
        <w:t> </w:t>
      </w:r>
      <w:r>
        <w:rPr>
          <w:rFonts w:ascii="Calibri" w:hAnsi="Calibri"/>
          <w:color w:val="231F20"/>
          <w:w w:val="105"/>
          <w:sz w:val="17"/>
        </w:rPr>
        <w:t>B.</w:t>
      </w:r>
      <w:r>
        <w:rPr>
          <w:rFonts w:ascii="Calibri" w:hAnsi="Calibri"/>
          <w:color w:val="231F20"/>
          <w:spacing w:val="-21"/>
          <w:w w:val="105"/>
          <w:sz w:val="17"/>
        </w:rPr>
        <w:t> </w:t>
      </w:r>
      <w:r>
        <w:rPr>
          <w:rFonts w:ascii="Calibri" w:hAnsi="Calibri"/>
          <w:color w:val="231F20"/>
          <w:w w:val="105"/>
          <w:sz w:val="17"/>
        </w:rPr>
        <w:t>Riutort</w:t>
      </w:r>
      <w:r>
        <w:rPr>
          <w:rFonts w:ascii="Calibri" w:hAnsi="Calibri"/>
          <w:color w:val="231F20"/>
          <w:spacing w:val="-21"/>
          <w:w w:val="105"/>
          <w:sz w:val="17"/>
        </w:rPr>
        <w:t> </w:t>
      </w:r>
      <w:r>
        <w:rPr>
          <w:rFonts w:ascii="Calibri" w:hAnsi="Calibri"/>
          <w:color w:val="231F20"/>
          <w:w w:val="105"/>
          <w:sz w:val="17"/>
        </w:rPr>
        <w:t>(Ed.),</w:t>
      </w:r>
      <w:r>
        <w:rPr>
          <w:rFonts w:ascii="Calibri" w:hAnsi="Calibri"/>
          <w:color w:val="231F20"/>
          <w:spacing w:val="-21"/>
          <w:w w:val="105"/>
          <w:sz w:val="17"/>
        </w:rPr>
        <w:t> </w:t>
      </w:r>
      <w:r>
        <w:rPr>
          <w:rFonts w:ascii="Calibri" w:hAnsi="Calibri"/>
          <w:i/>
          <w:color w:val="231F20"/>
          <w:w w:val="105"/>
          <w:sz w:val="17"/>
        </w:rPr>
        <w:t>Conflictos</w:t>
      </w:r>
      <w:r>
        <w:rPr>
          <w:rFonts w:ascii="Calibri" w:hAnsi="Calibri"/>
          <w:i/>
          <w:color w:val="231F20"/>
          <w:spacing w:val="-22"/>
          <w:w w:val="105"/>
          <w:sz w:val="17"/>
        </w:rPr>
        <w:t> </w:t>
      </w:r>
      <w:r>
        <w:rPr>
          <w:rFonts w:ascii="Calibri" w:hAnsi="Calibri"/>
          <w:i/>
          <w:color w:val="231F20"/>
          <w:w w:val="105"/>
          <w:sz w:val="17"/>
        </w:rPr>
        <w:t>bélicos</w:t>
      </w:r>
      <w:r>
        <w:rPr>
          <w:rFonts w:ascii="Calibri" w:hAnsi="Calibri"/>
          <w:i/>
          <w:color w:val="231F20"/>
          <w:spacing w:val="-23"/>
          <w:w w:val="105"/>
          <w:sz w:val="17"/>
        </w:rPr>
        <w:t> </w:t>
      </w:r>
      <w:r>
        <w:rPr>
          <w:rFonts w:ascii="Calibri" w:hAnsi="Calibri"/>
          <w:i/>
          <w:color w:val="231F20"/>
          <w:w w:val="105"/>
          <w:sz w:val="17"/>
        </w:rPr>
        <w:t>y</w:t>
      </w:r>
      <w:r>
        <w:rPr>
          <w:rFonts w:ascii="Calibri" w:hAnsi="Calibri"/>
          <w:i/>
          <w:color w:val="231F20"/>
          <w:spacing w:val="-22"/>
          <w:w w:val="105"/>
          <w:sz w:val="17"/>
        </w:rPr>
        <w:t> </w:t>
      </w:r>
      <w:r>
        <w:rPr>
          <w:rFonts w:ascii="Calibri" w:hAnsi="Calibri"/>
          <w:i/>
          <w:color w:val="231F20"/>
          <w:w w:val="105"/>
          <w:sz w:val="17"/>
        </w:rPr>
        <w:t>nuevo</w:t>
      </w:r>
      <w:r>
        <w:rPr>
          <w:rFonts w:ascii="Calibri" w:hAnsi="Calibri"/>
          <w:i/>
          <w:color w:val="231F20"/>
          <w:spacing w:val="-22"/>
          <w:w w:val="105"/>
          <w:sz w:val="17"/>
        </w:rPr>
        <w:t> </w:t>
      </w:r>
      <w:r>
        <w:rPr>
          <w:rFonts w:ascii="Calibri" w:hAnsi="Calibri"/>
          <w:i/>
          <w:color w:val="231F20"/>
          <w:w w:val="105"/>
          <w:sz w:val="17"/>
        </w:rPr>
        <w:t>orden</w:t>
      </w:r>
      <w:r>
        <w:rPr>
          <w:rFonts w:ascii="Calibri" w:hAnsi="Calibri"/>
          <w:i/>
          <w:color w:val="231F20"/>
          <w:spacing w:val="-22"/>
          <w:w w:val="105"/>
          <w:sz w:val="17"/>
        </w:rPr>
        <w:t> </w:t>
      </w:r>
      <w:r>
        <w:rPr>
          <w:rFonts w:ascii="Calibri" w:hAnsi="Calibri"/>
          <w:i/>
          <w:color w:val="231F20"/>
          <w:w w:val="105"/>
          <w:sz w:val="17"/>
        </w:rPr>
        <w:t>mundial</w:t>
      </w:r>
      <w:r>
        <w:rPr>
          <w:rFonts w:ascii="Calibri" w:hAnsi="Calibri"/>
          <w:color w:val="231F20"/>
          <w:w w:val="105"/>
          <w:sz w:val="17"/>
        </w:rPr>
        <w:t>,</w:t>
      </w:r>
      <w:r>
        <w:rPr>
          <w:rFonts w:ascii="Calibri" w:hAnsi="Calibri"/>
          <w:color w:val="231F20"/>
          <w:spacing w:val="-21"/>
          <w:w w:val="105"/>
          <w:sz w:val="17"/>
        </w:rPr>
        <w:t> </w:t>
      </w:r>
      <w:r>
        <w:rPr>
          <w:rFonts w:ascii="Calibri" w:hAnsi="Calibri"/>
          <w:color w:val="231F20"/>
          <w:w w:val="105"/>
          <w:sz w:val="17"/>
        </w:rPr>
        <w:t>España,</w:t>
      </w:r>
      <w:r>
        <w:rPr>
          <w:rFonts w:ascii="Calibri" w:hAnsi="Calibri"/>
          <w:color w:val="231F20"/>
          <w:spacing w:val="-21"/>
          <w:w w:val="105"/>
          <w:sz w:val="17"/>
        </w:rPr>
        <w:t> </w:t>
      </w:r>
      <w:r>
        <w:rPr>
          <w:rFonts w:ascii="Calibri" w:hAnsi="Calibri"/>
          <w:color w:val="231F20"/>
          <w:w w:val="105"/>
          <w:sz w:val="17"/>
        </w:rPr>
        <w:t>Icaria,</w:t>
      </w:r>
      <w:r>
        <w:rPr>
          <w:rFonts w:ascii="Calibri" w:hAnsi="Calibri"/>
          <w:color w:val="231F20"/>
          <w:spacing w:val="-21"/>
          <w:w w:val="105"/>
          <w:sz w:val="17"/>
        </w:rPr>
        <w:t> </w:t>
      </w:r>
      <w:r>
        <w:rPr>
          <w:rFonts w:ascii="Calibri" w:hAnsi="Calibri"/>
          <w:color w:val="231F20"/>
          <w:w w:val="105"/>
          <w:sz w:val="17"/>
        </w:rPr>
        <w:t>2003,</w:t>
      </w:r>
      <w:r>
        <w:rPr>
          <w:rFonts w:ascii="Calibri" w:hAnsi="Calibri"/>
          <w:color w:val="231F20"/>
          <w:spacing w:val="-21"/>
          <w:w w:val="105"/>
          <w:sz w:val="17"/>
        </w:rPr>
        <w:t> </w:t>
      </w:r>
      <w:r>
        <w:rPr>
          <w:rFonts w:ascii="Calibri" w:hAnsi="Calibri"/>
          <w:color w:val="231F20"/>
          <w:w w:val="105"/>
          <w:sz w:val="17"/>
        </w:rPr>
        <w:t>p.</w:t>
      </w:r>
      <w:r>
        <w:rPr>
          <w:rFonts w:ascii="Calibri" w:hAnsi="Calibri"/>
          <w:color w:val="231F20"/>
          <w:spacing w:val="-21"/>
          <w:w w:val="105"/>
          <w:sz w:val="17"/>
        </w:rPr>
        <w:t> </w:t>
      </w:r>
      <w:r>
        <w:rPr>
          <w:rFonts w:ascii="Calibri" w:hAnsi="Calibri"/>
          <w:color w:val="231F20"/>
          <w:w w:val="105"/>
          <w:sz w:val="17"/>
        </w:rPr>
        <w:t>98.</w:t>
      </w:r>
    </w:p>
    <w:p>
      <w:pPr>
        <w:spacing w:line="204" w:lineRule="exact" w:before="0"/>
        <w:ind w:left="108" w:right="43" w:firstLine="0"/>
        <w:jc w:val="left"/>
        <w:rPr>
          <w:rFonts w:ascii="Calibri" w:hAnsi="Calibri"/>
          <w:sz w:val="17"/>
        </w:rPr>
      </w:pPr>
      <w:r>
        <w:rPr>
          <w:rFonts w:ascii="Calibri" w:hAnsi="Calibri"/>
          <w:color w:val="231F20"/>
          <w:w w:val="105"/>
          <w:position w:val="6"/>
          <w:sz w:val="10"/>
        </w:rPr>
        <w:t>3 </w:t>
      </w:r>
      <w:r>
        <w:rPr>
          <w:rFonts w:ascii="Calibri" w:hAnsi="Calibri"/>
          <w:color w:val="231F20"/>
          <w:w w:val="105"/>
          <w:sz w:val="17"/>
        </w:rPr>
        <w:t>Citado en F. Bosoer, “Carl Schmitt en Washington (2001–2004)”, </w:t>
      </w:r>
      <w:r>
        <w:rPr>
          <w:rFonts w:ascii="Calibri" w:hAnsi="Calibri"/>
          <w:i/>
          <w:color w:val="231F20"/>
          <w:w w:val="105"/>
          <w:sz w:val="17"/>
        </w:rPr>
        <w:t>Terrorismo Siglo </w:t>
      </w:r>
      <w:r>
        <w:rPr>
          <w:rFonts w:ascii="Calibri" w:hAnsi="Calibri"/>
          <w:i/>
          <w:color w:val="231F20"/>
          <w:w w:val="105"/>
          <w:sz w:val="14"/>
        </w:rPr>
        <w:t>XXI</w:t>
      </w:r>
      <w:r>
        <w:rPr>
          <w:rFonts w:ascii="Calibri" w:hAnsi="Calibri"/>
          <w:color w:val="231F20"/>
          <w:w w:val="105"/>
          <w:sz w:val="17"/>
        </w:rPr>
        <w:t>, Argentina, Universidad Nacional de Mar del Plata/Ediciones Suárez, 2010, p. 97.</w:t>
      </w:r>
    </w:p>
    <w:p>
      <w:pPr>
        <w:spacing w:before="1"/>
        <w:ind w:left="108" w:right="0" w:firstLine="0"/>
        <w:jc w:val="left"/>
        <w:rPr>
          <w:rFonts w:ascii="Calibri" w:hAnsi="Calibri"/>
          <w:sz w:val="17"/>
        </w:rPr>
      </w:pPr>
      <w:r>
        <w:rPr>
          <w:rFonts w:ascii="Calibri" w:hAnsi="Calibri"/>
          <w:color w:val="231F20"/>
          <w:w w:val="105"/>
          <w:position w:val="6"/>
          <w:sz w:val="10"/>
        </w:rPr>
        <w:t>4 </w:t>
      </w:r>
      <w:r>
        <w:rPr>
          <w:rFonts w:ascii="Calibri" w:hAnsi="Calibri"/>
          <w:color w:val="231F20"/>
          <w:w w:val="105"/>
          <w:sz w:val="17"/>
        </w:rPr>
        <w:t>G. Robertson, </w:t>
      </w:r>
      <w:r>
        <w:rPr>
          <w:rFonts w:ascii="Calibri" w:hAnsi="Calibri"/>
          <w:i/>
          <w:color w:val="231F20"/>
          <w:w w:val="105"/>
          <w:sz w:val="17"/>
        </w:rPr>
        <w:t>Crímenes contra la humanidad</w:t>
      </w:r>
      <w:r>
        <w:rPr>
          <w:rFonts w:ascii="Calibri" w:hAnsi="Calibri"/>
          <w:color w:val="231F20"/>
          <w:w w:val="105"/>
          <w:sz w:val="17"/>
        </w:rPr>
        <w:t>, España, Siglo </w:t>
      </w:r>
      <w:r>
        <w:rPr>
          <w:rFonts w:ascii="Calibri" w:hAnsi="Calibri"/>
          <w:color w:val="231F20"/>
          <w:w w:val="105"/>
          <w:sz w:val="15"/>
        </w:rPr>
        <w:t>XXI</w:t>
      </w:r>
      <w:r>
        <w:rPr>
          <w:rFonts w:ascii="Calibri" w:hAnsi="Calibri"/>
          <w:color w:val="231F20"/>
          <w:w w:val="105"/>
          <w:sz w:val="17"/>
        </w:rPr>
        <w:t>, 2008, p. 489.</w:t>
      </w:r>
    </w:p>
    <w:p>
      <w:pPr>
        <w:spacing w:after="0"/>
        <w:jc w:val="left"/>
        <w:rPr>
          <w:rFonts w:ascii="Calibri" w:hAnsi="Calibri"/>
          <w:sz w:val="17"/>
        </w:rPr>
        <w:sectPr>
          <w:pgSz w:w="9640" w:h="13890"/>
          <w:pgMar w:top="0" w:bottom="280" w:left="1280" w:right="1160"/>
        </w:sectPr>
      </w:pPr>
    </w:p>
    <w:p>
      <w:pPr>
        <w:pStyle w:val="BodyText"/>
        <w:spacing w:line="247" w:lineRule="auto" w:before="107"/>
        <w:ind w:left="103" w:right="115"/>
        <w:jc w:val="both"/>
      </w:pPr>
      <w:r>
        <w:rPr>
          <w:color w:val="231F20"/>
        </w:rPr>
        <w:t>y desplegar su poderío </w:t>
      </w:r>
      <w:r>
        <w:rPr>
          <w:color w:val="231F20"/>
          <w:spacing w:val="-3"/>
        </w:rPr>
        <w:t>militar. </w:t>
      </w:r>
      <w:r>
        <w:rPr>
          <w:color w:val="231F20"/>
        </w:rPr>
        <w:t>Ese enemigo sería una supuesta lucha en contra del terrorismo. Así lo aclara José María Marco: “El enemigo ya no  lo forman estados gobernados por oligarquías con intereses predecibles, como había ocurrido con la Unión Soviética. Ahora el enemigo son redes de grupos terroristas islamistas y regímenes revolucionarios, también de doctrina</w:t>
      </w:r>
      <w:r>
        <w:rPr>
          <w:color w:val="231F20"/>
          <w:spacing w:val="21"/>
        </w:rPr>
        <w:t> </w:t>
      </w:r>
      <w:r>
        <w:rPr>
          <w:color w:val="231F20"/>
        </w:rPr>
        <w:t>islamista”</w:t>
      </w:r>
      <w:r>
        <w:rPr>
          <w:color w:val="231F20"/>
          <w:position w:val="7"/>
          <w:sz w:val="12"/>
        </w:rPr>
        <w:t>5</w:t>
      </w:r>
      <w:r>
        <w:rPr>
          <w:color w:val="231F20"/>
        </w:rPr>
        <w:t>.</w:t>
      </w:r>
    </w:p>
    <w:p>
      <w:pPr>
        <w:pStyle w:val="BodyText"/>
        <w:spacing w:line="247" w:lineRule="auto"/>
        <w:ind w:left="103" w:right="115" w:firstLine="566"/>
        <w:jc w:val="both"/>
      </w:pPr>
      <w:r>
        <w:rPr>
          <w:color w:val="231F20"/>
        </w:rPr>
        <w:t>Así, desde la perspectiva norteamericana, el parteaguas de la lucha contra el terrorismo lo establecieron los ataques del 11 de septiembre de 2001 sobre el pueblo norteamericano, los cuales dejaron 2,973 muertos. Muchos analistas de este hecho concuerdan que los atentados fueron más un pretexto que una causa de la ofensiva norteamericana. Con antelación, el 20 de enero de 2000, el senador norteamericano Jesse Helms, en su carácter de representante del Comité de Relaciones Exteriores, manifestó ante el Consejo de Seguridad que ninguna institución de las Naciones Uni- das es competente para juzgar decisiones sobre Seguridad Nacional y la Política Exterior de los Estados Unidos. Con ese argumento, los norteame- ricanos</w:t>
      </w:r>
      <w:r>
        <w:rPr>
          <w:color w:val="231F20"/>
          <w:spacing w:val="-24"/>
        </w:rPr>
        <w:t> </w:t>
      </w:r>
      <w:r>
        <w:rPr>
          <w:color w:val="231F20"/>
        </w:rPr>
        <w:t>crearon</w:t>
      </w:r>
      <w:r>
        <w:rPr>
          <w:color w:val="231F20"/>
          <w:spacing w:val="-24"/>
        </w:rPr>
        <w:t> </w:t>
      </w:r>
      <w:r>
        <w:rPr>
          <w:color w:val="231F20"/>
        </w:rPr>
        <w:t>la</w:t>
      </w:r>
      <w:r>
        <w:rPr>
          <w:color w:val="231F20"/>
          <w:spacing w:val="-24"/>
        </w:rPr>
        <w:t> </w:t>
      </w:r>
      <w:r>
        <w:rPr>
          <w:color w:val="231F20"/>
        </w:rPr>
        <w:t>ley</w:t>
      </w:r>
      <w:r>
        <w:rPr>
          <w:color w:val="231F20"/>
          <w:spacing w:val="-24"/>
        </w:rPr>
        <w:t> </w:t>
      </w:r>
      <w:r>
        <w:rPr>
          <w:rFonts w:ascii="Arial" w:hAnsi="Arial"/>
          <w:i/>
          <w:color w:val="231F20"/>
        </w:rPr>
        <w:t>H.</w:t>
      </w:r>
      <w:r>
        <w:rPr>
          <w:rFonts w:ascii="Arial" w:hAnsi="Arial"/>
          <w:i/>
          <w:color w:val="231F20"/>
          <w:spacing w:val="-17"/>
        </w:rPr>
        <w:t> </w:t>
      </w:r>
      <w:r>
        <w:rPr>
          <w:rFonts w:ascii="Arial" w:hAnsi="Arial"/>
          <w:i/>
          <w:color w:val="231F20"/>
        </w:rPr>
        <w:t>R.</w:t>
      </w:r>
      <w:r>
        <w:rPr>
          <w:rFonts w:ascii="Arial" w:hAnsi="Arial"/>
          <w:i/>
          <w:color w:val="231F20"/>
          <w:spacing w:val="-17"/>
        </w:rPr>
        <w:t> </w:t>
      </w:r>
      <w:r>
        <w:rPr>
          <w:rFonts w:ascii="Arial" w:hAnsi="Arial"/>
          <w:i/>
          <w:color w:val="231F20"/>
        </w:rPr>
        <w:t>4775</w:t>
      </w:r>
      <w:r>
        <w:rPr>
          <w:rFonts w:ascii="Arial" w:hAnsi="Arial"/>
          <w:i/>
          <w:color w:val="231F20"/>
          <w:spacing w:val="-17"/>
        </w:rPr>
        <w:t> </w:t>
      </w:r>
      <w:r>
        <w:rPr>
          <w:rFonts w:ascii="Arial" w:hAnsi="Arial"/>
          <w:i/>
          <w:color w:val="231F20"/>
        </w:rPr>
        <w:t>American</w:t>
      </w:r>
      <w:r>
        <w:rPr>
          <w:rFonts w:ascii="Arial" w:hAnsi="Arial"/>
          <w:i/>
          <w:color w:val="231F20"/>
          <w:spacing w:val="-17"/>
        </w:rPr>
        <w:t> </w:t>
      </w:r>
      <w:r>
        <w:rPr>
          <w:rFonts w:ascii="Arial" w:hAnsi="Arial"/>
          <w:i/>
          <w:color w:val="231F20"/>
        </w:rPr>
        <w:t>Servicemember’s</w:t>
      </w:r>
      <w:r>
        <w:rPr>
          <w:rFonts w:ascii="Arial" w:hAnsi="Arial"/>
          <w:i/>
          <w:color w:val="231F20"/>
          <w:spacing w:val="-17"/>
        </w:rPr>
        <w:t> </w:t>
      </w:r>
      <w:r>
        <w:rPr>
          <w:rFonts w:ascii="Arial" w:hAnsi="Arial"/>
          <w:i/>
          <w:color w:val="231F20"/>
        </w:rPr>
        <w:t>Protection</w:t>
      </w:r>
      <w:r>
        <w:rPr>
          <w:rFonts w:ascii="Arial" w:hAnsi="Arial"/>
          <w:i/>
          <w:color w:val="231F20"/>
          <w:spacing w:val="-17"/>
        </w:rPr>
        <w:t> </w:t>
      </w:r>
      <w:r>
        <w:rPr>
          <w:rFonts w:ascii="Arial" w:hAnsi="Arial"/>
          <w:i/>
          <w:color w:val="231F20"/>
        </w:rPr>
        <w:t>Act</w:t>
      </w:r>
      <w:r>
        <w:rPr>
          <w:color w:val="231F20"/>
        </w:rPr>
        <w:t>, la cual fue expedida para evitar que ciudadanos estadunidenses, civiles y militares</w:t>
      </w:r>
      <w:r>
        <w:rPr>
          <w:color w:val="231F20"/>
          <w:spacing w:val="-12"/>
        </w:rPr>
        <w:t> </w:t>
      </w:r>
      <w:r>
        <w:rPr>
          <w:color w:val="231F20"/>
        </w:rPr>
        <w:t>fueran</w:t>
      </w:r>
      <w:r>
        <w:rPr>
          <w:color w:val="231F20"/>
          <w:spacing w:val="-12"/>
        </w:rPr>
        <w:t> </w:t>
      </w:r>
      <w:r>
        <w:rPr>
          <w:color w:val="231F20"/>
        </w:rPr>
        <w:t>alcanzados</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justicia</w:t>
      </w:r>
      <w:r>
        <w:rPr>
          <w:color w:val="231F20"/>
          <w:spacing w:val="-12"/>
        </w:rPr>
        <w:t> </w:t>
      </w:r>
      <w:r>
        <w:rPr>
          <w:color w:val="231F20"/>
        </w:rPr>
        <w:t>internacional</w:t>
      </w:r>
      <w:r>
        <w:rPr>
          <w:color w:val="231F20"/>
          <w:spacing w:val="-12"/>
        </w:rPr>
        <w:t> </w:t>
      </w:r>
      <w:r>
        <w:rPr>
          <w:color w:val="231F20"/>
          <w:spacing w:val="-10"/>
        </w:rPr>
        <w:t>y,</w:t>
      </w:r>
      <w:r>
        <w:rPr>
          <w:color w:val="231F20"/>
          <w:spacing w:val="-12"/>
        </w:rPr>
        <w:t> </w:t>
      </w:r>
      <w:r>
        <w:rPr>
          <w:color w:val="231F20"/>
        </w:rPr>
        <w:t>con</w:t>
      </w:r>
      <w:r>
        <w:rPr>
          <w:color w:val="231F20"/>
          <w:spacing w:val="-12"/>
        </w:rPr>
        <w:t> </w:t>
      </w:r>
      <w:r>
        <w:rPr>
          <w:color w:val="231F20"/>
        </w:rPr>
        <w:t>posterioridad, por</w:t>
      </w:r>
      <w:r>
        <w:rPr>
          <w:color w:val="231F20"/>
          <w:spacing w:val="-11"/>
        </w:rPr>
        <w:t> </w:t>
      </w:r>
      <w:r>
        <w:rPr>
          <w:color w:val="231F20"/>
        </w:rPr>
        <w:t>la</w:t>
      </w:r>
      <w:r>
        <w:rPr>
          <w:color w:val="231F20"/>
          <w:spacing w:val="-11"/>
        </w:rPr>
        <w:t> </w:t>
      </w:r>
      <w:r>
        <w:rPr>
          <w:color w:val="231F20"/>
        </w:rPr>
        <w:t>Corte</w:t>
      </w:r>
      <w:r>
        <w:rPr>
          <w:color w:val="231F20"/>
          <w:spacing w:val="-11"/>
        </w:rPr>
        <w:t> </w:t>
      </w:r>
      <w:r>
        <w:rPr>
          <w:color w:val="231F20"/>
        </w:rPr>
        <w:t>Penal</w:t>
      </w:r>
      <w:r>
        <w:rPr>
          <w:color w:val="231F20"/>
          <w:spacing w:val="-11"/>
        </w:rPr>
        <w:t> </w:t>
      </w:r>
      <w:r>
        <w:rPr>
          <w:color w:val="231F20"/>
        </w:rPr>
        <w:t>Internacional</w:t>
      </w:r>
      <w:r>
        <w:rPr>
          <w:color w:val="231F20"/>
          <w:spacing w:val="-11"/>
        </w:rPr>
        <w:t> </w:t>
      </w:r>
      <w:r>
        <w:rPr>
          <w:color w:val="231F20"/>
        </w:rPr>
        <w:t>creada,</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Estatuto</w:t>
      </w:r>
      <w:r>
        <w:rPr>
          <w:color w:val="231F20"/>
          <w:spacing w:val="-11"/>
        </w:rPr>
        <w:t> </w:t>
      </w:r>
      <w:r>
        <w:rPr>
          <w:color w:val="231F20"/>
        </w:rPr>
        <w:t>de</w:t>
      </w:r>
      <w:r>
        <w:rPr>
          <w:color w:val="231F20"/>
          <w:spacing w:val="-11"/>
        </w:rPr>
        <w:t> </w:t>
      </w:r>
      <w:r>
        <w:rPr>
          <w:color w:val="231F20"/>
        </w:rPr>
        <w:t>Roma,</w:t>
      </w:r>
      <w:r>
        <w:rPr>
          <w:color w:val="231F20"/>
          <w:spacing w:val="-11"/>
        </w:rPr>
        <w:t> </w:t>
      </w:r>
      <w:r>
        <w:rPr>
          <w:color w:val="231F20"/>
        </w:rPr>
        <w:t>que</w:t>
      </w:r>
      <w:r>
        <w:rPr>
          <w:color w:val="231F20"/>
          <w:spacing w:val="-11"/>
        </w:rPr>
        <w:t> </w:t>
      </w:r>
      <w:r>
        <w:rPr>
          <w:color w:val="231F20"/>
        </w:rPr>
        <w:t>entró en vigor el 1 de enero de</w:t>
      </w:r>
      <w:r>
        <w:rPr>
          <w:color w:val="231F20"/>
          <w:spacing w:val="-44"/>
        </w:rPr>
        <w:t> </w:t>
      </w:r>
      <w:r>
        <w:rPr>
          <w:color w:val="231F20"/>
        </w:rPr>
        <w:t>2002.</w:t>
      </w:r>
    </w:p>
    <w:p>
      <w:pPr>
        <w:pStyle w:val="BodyText"/>
        <w:spacing w:before="10"/>
        <w:rPr>
          <w:sz w:val="22"/>
        </w:rPr>
      </w:pPr>
    </w:p>
    <w:p>
      <w:pPr>
        <w:spacing w:line="220" w:lineRule="exact" w:before="1"/>
        <w:ind w:left="1521" w:right="115" w:firstLine="0"/>
        <w:jc w:val="both"/>
        <w:rPr>
          <w:sz w:val="19"/>
        </w:rPr>
      </w:pPr>
      <w:r>
        <w:rPr>
          <w:color w:val="231F20"/>
          <w:sz w:val="19"/>
        </w:rPr>
        <w:t>Con esta declaración, el gobierno estadunidense establece su prioridad ante la comunidad internacional respecto de la Corte Penal Internacional; para mayor precisión agrega que si los jue- ces nacionales se niegan a revisar decisiones sobre la Seguridad Nacional, tampoco lo debe hacer un Tribunal supranacional. Sos- tiene, finalmente, que sus connacionales desconfían de la Corte y rechazan las pretensiones de la Naciones Unidas de ser la fuente legítima para el uso de la fuerza</w:t>
      </w:r>
      <w:r>
        <w:rPr>
          <w:color w:val="231F20"/>
          <w:position w:val="6"/>
          <w:sz w:val="11"/>
        </w:rPr>
        <w:t>6</w:t>
      </w:r>
      <w:r>
        <w:rPr>
          <w:color w:val="231F20"/>
          <w:sz w:val="19"/>
        </w:rPr>
        <w:t>.</w:t>
      </w:r>
    </w:p>
    <w:p>
      <w:pPr>
        <w:pStyle w:val="BodyText"/>
        <w:spacing w:before="11"/>
        <w:rPr>
          <w:sz w:val="23"/>
        </w:rPr>
      </w:pPr>
    </w:p>
    <w:p>
      <w:pPr>
        <w:pStyle w:val="BodyText"/>
        <w:spacing w:line="247" w:lineRule="auto"/>
        <w:ind w:left="103" w:right="115"/>
        <w:jc w:val="both"/>
      </w:pPr>
      <w:r>
        <w:rPr>
          <w:color w:val="231F20"/>
        </w:rPr>
        <w:t>Con la negación de la autoridad punitiva internacional, de la Corte Penal Internacional y del liderazgo de las Naciones Unidas, </w:t>
      </w:r>
      <w:r>
        <w:rPr>
          <w:color w:val="231F20"/>
          <w:sz w:val="18"/>
        </w:rPr>
        <w:t>EUA </w:t>
      </w:r>
      <w:r>
        <w:rPr>
          <w:color w:val="231F20"/>
        </w:rPr>
        <w:t>desconoció al órgano</w:t>
      </w:r>
      <w:r>
        <w:rPr>
          <w:color w:val="231F20"/>
          <w:spacing w:val="-7"/>
        </w:rPr>
        <w:t> </w:t>
      </w:r>
      <w:r>
        <w:rPr>
          <w:color w:val="231F20"/>
        </w:rPr>
        <w:t>legitimador</w:t>
      </w:r>
      <w:r>
        <w:rPr>
          <w:color w:val="231F20"/>
          <w:spacing w:val="-7"/>
        </w:rPr>
        <w:t> </w:t>
      </w:r>
      <w:r>
        <w:rPr>
          <w:color w:val="231F20"/>
        </w:rPr>
        <w:t>para</w:t>
      </w:r>
      <w:r>
        <w:rPr>
          <w:color w:val="231F20"/>
          <w:spacing w:val="-7"/>
        </w:rPr>
        <w:t> </w:t>
      </w:r>
      <w:r>
        <w:rPr>
          <w:color w:val="231F20"/>
        </w:rPr>
        <w:t>sancionar</w:t>
      </w:r>
      <w:r>
        <w:rPr>
          <w:color w:val="231F20"/>
          <w:spacing w:val="-7"/>
        </w:rPr>
        <w:t> </w:t>
      </w:r>
      <w:r>
        <w:rPr>
          <w:color w:val="231F20"/>
        </w:rPr>
        <w:t>toda</w:t>
      </w:r>
      <w:r>
        <w:rPr>
          <w:color w:val="231F20"/>
          <w:spacing w:val="-7"/>
        </w:rPr>
        <w:t> </w:t>
      </w:r>
      <w:r>
        <w:rPr>
          <w:color w:val="231F20"/>
        </w:rPr>
        <w:t>invasión</w:t>
      </w:r>
      <w:r>
        <w:rPr>
          <w:color w:val="231F20"/>
          <w:spacing w:val="-7"/>
        </w:rPr>
        <w:t> </w:t>
      </w:r>
      <w:r>
        <w:rPr>
          <w:color w:val="231F20"/>
        </w:rPr>
        <w:t>bélica</w:t>
      </w:r>
      <w:r>
        <w:rPr>
          <w:color w:val="231F20"/>
          <w:spacing w:val="-7"/>
        </w:rPr>
        <w:t> </w:t>
      </w:r>
      <w:r>
        <w:rPr>
          <w:color w:val="231F20"/>
        </w:rPr>
        <w:t>a</w:t>
      </w:r>
      <w:r>
        <w:rPr>
          <w:color w:val="231F20"/>
          <w:spacing w:val="-7"/>
        </w:rPr>
        <w:t> </w:t>
      </w:r>
      <w:r>
        <w:rPr>
          <w:color w:val="231F20"/>
        </w:rPr>
        <w:t>otro</w:t>
      </w:r>
      <w:r>
        <w:rPr>
          <w:color w:val="231F20"/>
          <w:spacing w:val="-7"/>
        </w:rPr>
        <w:t> </w:t>
      </w:r>
      <w:r>
        <w:rPr>
          <w:color w:val="231F20"/>
        </w:rPr>
        <w:t>país.</w:t>
      </w:r>
      <w:r>
        <w:rPr>
          <w:color w:val="231F20"/>
          <w:spacing w:val="-7"/>
        </w:rPr>
        <w:t> </w:t>
      </w:r>
      <w:r>
        <w:rPr>
          <w:color w:val="231F20"/>
        </w:rPr>
        <w:t>La</w:t>
      </w:r>
      <w:r>
        <w:rPr>
          <w:color w:val="231F20"/>
          <w:spacing w:val="-7"/>
        </w:rPr>
        <w:t> </w:t>
      </w:r>
      <w:r>
        <w:rPr>
          <w:color w:val="231F20"/>
        </w:rPr>
        <w:t>inva- sión</w:t>
      </w:r>
      <w:r>
        <w:rPr>
          <w:color w:val="231F20"/>
          <w:spacing w:val="-9"/>
        </w:rPr>
        <w:t> </w:t>
      </w:r>
      <w:r>
        <w:rPr>
          <w:color w:val="231F20"/>
        </w:rPr>
        <w:t>a</w:t>
      </w:r>
      <w:r>
        <w:rPr>
          <w:color w:val="231F20"/>
          <w:spacing w:val="-9"/>
        </w:rPr>
        <w:t> </w:t>
      </w:r>
      <w:r>
        <w:rPr>
          <w:color w:val="231F20"/>
        </w:rPr>
        <w:t>Irak</w:t>
      </w:r>
      <w:r>
        <w:rPr>
          <w:color w:val="231F20"/>
          <w:spacing w:val="-9"/>
        </w:rPr>
        <w:t> </w:t>
      </w:r>
      <w:r>
        <w:rPr>
          <w:color w:val="231F20"/>
        </w:rPr>
        <w:t>fue</w:t>
      </w:r>
      <w:r>
        <w:rPr>
          <w:color w:val="231F20"/>
          <w:spacing w:val="-9"/>
        </w:rPr>
        <w:t> </w:t>
      </w:r>
      <w:r>
        <w:rPr>
          <w:color w:val="231F20"/>
        </w:rPr>
        <w:t>la</w:t>
      </w:r>
      <w:r>
        <w:rPr>
          <w:color w:val="231F20"/>
          <w:spacing w:val="-9"/>
        </w:rPr>
        <w:t> </w:t>
      </w:r>
      <w:r>
        <w:rPr>
          <w:color w:val="231F20"/>
        </w:rPr>
        <w:t>consumación</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Golpe</w:t>
      </w:r>
      <w:r>
        <w:rPr>
          <w:color w:val="231F20"/>
          <w:spacing w:val="-9"/>
        </w:rPr>
        <w:t> </w:t>
      </w:r>
      <w:r>
        <w:rPr>
          <w:color w:val="231F20"/>
        </w:rPr>
        <w:t>de</w:t>
      </w:r>
      <w:r>
        <w:rPr>
          <w:color w:val="231F20"/>
          <w:spacing w:val="-9"/>
        </w:rPr>
        <w:t> </w:t>
      </w:r>
      <w:r>
        <w:rPr>
          <w:color w:val="231F20"/>
        </w:rPr>
        <w:t>Estado</w:t>
      </w:r>
      <w:r>
        <w:rPr>
          <w:color w:val="231F20"/>
          <w:spacing w:val="-9"/>
        </w:rPr>
        <w:t> </w:t>
      </w:r>
      <w:r>
        <w:rPr>
          <w:color w:val="231F20"/>
        </w:rPr>
        <w:t>a</w:t>
      </w:r>
      <w:r>
        <w:rPr>
          <w:color w:val="231F20"/>
          <w:spacing w:val="-9"/>
        </w:rPr>
        <w:t> </w:t>
      </w:r>
      <w:r>
        <w:rPr>
          <w:color w:val="231F20"/>
        </w:rPr>
        <w:t>escala</w:t>
      </w:r>
      <w:r>
        <w:rPr>
          <w:color w:val="231F20"/>
          <w:spacing w:val="-9"/>
        </w:rPr>
        <w:t> </w:t>
      </w:r>
      <w:r>
        <w:rPr>
          <w:color w:val="231F20"/>
        </w:rPr>
        <w:t>mundial.</w:t>
      </w:r>
      <w:r>
        <w:rPr>
          <w:color w:val="231F20"/>
          <w:spacing w:val="-9"/>
        </w:rPr>
        <w:t> </w:t>
      </w:r>
      <w:r>
        <w:rPr>
          <w:color w:val="231F20"/>
        </w:rPr>
        <w:t>Sin embargo, ya desde 1998 Estados Unidos había atacado las bases de Osa- ma Bin Laden en Sudán y Afganistán. Este suceso condujo, el 7 de agosto de 1999, a la explosión de camiones bomba de Al Qaeda en las</w:t>
      </w:r>
      <w:r>
        <w:rPr>
          <w:color w:val="231F20"/>
          <w:spacing w:val="-38"/>
        </w:rPr>
        <w:t> </w:t>
      </w:r>
      <w:r>
        <w:rPr>
          <w:color w:val="231F20"/>
        </w:rPr>
        <w:t>embajadas de</w:t>
      </w:r>
      <w:r>
        <w:rPr>
          <w:color w:val="231F20"/>
          <w:spacing w:val="-6"/>
        </w:rPr>
        <w:t> </w:t>
      </w:r>
      <w:r>
        <w:rPr>
          <w:color w:val="231F20"/>
          <w:sz w:val="18"/>
        </w:rPr>
        <w:t>EUA</w:t>
      </w:r>
      <w:r>
        <w:rPr>
          <w:color w:val="231F20"/>
          <w:spacing w:val="4"/>
          <w:sz w:val="18"/>
        </w:rPr>
        <w:t> </w:t>
      </w:r>
      <w:r>
        <w:rPr>
          <w:color w:val="231F20"/>
        </w:rPr>
        <w:t>en</w:t>
      </w:r>
      <w:r>
        <w:rPr>
          <w:color w:val="231F20"/>
          <w:spacing w:val="-6"/>
        </w:rPr>
        <w:t> </w:t>
      </w:r>
      <w:r>
        <w:rPr>
          <w:color w:val="231F20"/>
        </w:rPr>
        <w:t>Kenia</w:t>
      </w:r>
      <w:r>
        <w:rPr>
          <w:color w:val="231F20"/>
          <w:spacing w:val="-6"/>
        </w:rPr>
        <w:t> </w:t>
      </w:r>
      <w:r>
        <w:rPr>
          <w:color w:val="231F20"/>
        </w:rPr>
        <w:t>y</w:t>
      </w:r>
      <w:r>
        <w:rPr>
          <w:color w:val="231F20"/>
          <w:spacing w:val="-6"/>
        </w:rPr>
        <w:t> </w:t>
      </w:r>
      <w:r>
        <w:rPr>
          <w:color w:val="231F20"/>
          <w:spacing w:val="-3"/>
        </w:rPr>
        <w:t>Tanzania,</w:t>
      </w:r>
      <w:r>
        <w:rPr>
          <w:color w:val="231F20"/>
          <w:spacing w:val="-6"/>
        </w:rPr>
        <w:t> </w:t>
      </w:r>
      <w:r>
        <w:rPr>
          <w:color w:val="231F20"/>
        </w:rPr>
        <w:t>cuyo</w:t>
      </w:r>
      <w:r>
        <w:rPr>
          <w:color w:val="231F20"/>
          <w:spacing w:val="-6"/>
        </w:rPr>
        <w:t> </w:t>
      </w:r>
      <w:r>
        <w:rPr>
          <w:color w:val="231F20"/>
        </w:rPr>
        <w:t>saldo</w:t>
      </w:r>
      <w:r>
        <w:rPr>
          <w:color w:val="231F20"/>
          <w:spacing w:val="-6"/>
        </w:rPr>
        <w:t> </w:t>
      </w:r>
      <w:r>
        <w:rPr>
          <w:color w:val="231F20"/>
        </w:rPr>
        <w:t>fue</w:t>
      </w:r>
      <w:r>
        <w:rPr>
          <w:color w:val="231F20"/>
          <w:spacing w:val="-6"/>
        </w:rPr>
        <w:t> </w:t>
      </w:r>
      <w:r>
        <w:rPr>
          <w:color w:val="231F20"/>
        </w:rPr>
        <w:t>de</w:t>
      </w:r>
      <w:r>
        <w:rPr>
          <w:color w:val="231F20"/>
          <w:spacing w:val="-6"/>
        </w:rPr>
        <w:t> </w:t>
      </w:r>
      <w:r>
        <w:rPr>
          <w:color w:val="231F20"/>
        </w:rPr>
        <w:t>234</w:t>
      </w:r>
      <w:r>
        <w:rPr>
          <w:color w:val="231F20"/>
          <w:spacing w:val="-6"/>
        </w:rPr>
        <w:t> </w:t>
      </w:r>
      <w:r>
        <w:rPr>
          <w:color w:val="231F20"/>
        </w:rPr>
        <w:t>muertos.</w:t>
      </w:r>
    </w:p>
    <w:p>
      <w:pPr>
        <w:pStyle w:val="BodyText"/>
        <w:rPr>
          <w:sz w:val="20"/>
        </w:rPr>
      </w:pPr>
    </w:p>
    <w:p>
      <w:pPr>
        <w:pStyle w:val="BodyText"/>
        <w:spacing w:before="2"/>
        <w:rPr>
          <w:sz w:val="24"/>
        </w:rPr>
      </w:pPr>
      <w:r>
        <w:rPr/>
        <w:pict>
          <v:line style="position:absolute;mso-position-horizontal-relative:page;mso-position-vertical-relative:paragraph;z-index:1912;mso-wrap-distance-left:0;mso-wrap-distance-right:0" from="65.1968pt,16.690168pt" to="178.5828pt,16.690168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position w:val="6"/>
          <w:sz w:val="10"/>
        </w:rPr>
        <w:t>5 </w:t>
      </w:r>
      <w:r>
        <w:rPr>
          <w:rFonts w:ascii="Calibri" w:hAnsi="Calibri"/>
          <w:color w:val="231F20"/>
          <w:sz w:val="17"/>
        </w:rPr>
        <w:t>J. M. Marco, </w:t>
      </w:r>
      <w:r>
        <w:rPr>
          <w:rFonts w:ascii="Calibri" w:hAnsi="Calibri"/>
          <w:i/>
          <w:color w:val="231F20"/>
          <w:sz w:val="17"/>
        </w:rPr>
        <w:t>La nueva revolución americana</w:t>
      </w:r>
      <w:r>
        <w:rPr>
          <w:rFonts w:ascii="Calibri" w:hAnsi="Calibri"/>
          <w:color w:val="231F20"/>
          <w:sz w:val="17"/>
        </w:rPr>
        <w:t>, España, Ciudadela Libros, 2007, p. 379.</w:t>
      </w:r>
    </w:p>
    <w:p>
      <w:pPr>
        <w:spacing w:line="235" w:lineRule="auto" w:before="1"/>
        <w:ind w:left="103" w:right="0" w:firstLine="0"/>
        <w:jc w:val="left"/>
        <w:rPr>
          <w:rFonts w:ascii="Calibri" w:hAnsi="Calibri"/>
          <w:sz w:val="17"/>
        </w:rPr>
      </w:pPr>
      <w:r>
        <w:rPr>
          <w:rFonts w:ascii="Calibri" w:hAnsi="Calibri"/>
          <w:color w:val="231F20"/>
          <w:position w:val="6"/>
          <w:sz w:val="10"/>
        </w:rPr>
        <w:t>6 </w:t>
      </w:r>
      <w:r>
        <w:rPr>
          <w:rFonts w:ascii="Calibri" w:hAnsi="Calibri"/>
          <w:color w:val="231F20"/>
          <w:sz w:val="17"/>
        </w:rPr>
        <w:t>A. Trujillo Sánchez, </w:t>
      </w:r>
      <w:r>
        <w:rPr>
          <w:rFonts w:ascii="Calibri" w:hAnsi="Calibri"/>
          <w:i/>
          <w:color w:val="231F20"/>
          <w:sz w:val="17"/>
        </w:rPr>
        <w:t>La Corte Penal Internacional. La cuestión humana versus razón humana</w:t>
      </w:r>
      <w:r>
        <w:rPr>
          <w:rFonts w:ascii="Calibri" w:hAnsi="Calibri"/>
          <w:color w:val="231F20"/>
          <w:sz w:val="17"/>
        </w:rPr>
        <w:t>, México, IBIJUS, 2014, p. 359.</w:t>
      </w:r>
    </w:p>
    <w:p>
      <w:pPr>
        <w:pStyle w:val="BodyText"/>
        <w:rPr>
          <w:rFonts w:ascii="Calibri"/>
          <w:sz w:val="20"/>
        </w:rPr>
      </w:pPr>
    </w:p>
    <w:p>
      <w:pPr>
        <w:pStyle w:val="BodyText"/>
        <w:spacing w:before="10"/>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73464"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Arial" w:hAnsi="Arial"/>
          <w:color w:val="414042"/>
          <w:position w:val="-4"/>
          <w:sz w:val="20"/>
        </w:rPr>
        <w:t>20</w:t>
        <w:tab/>
      </w:r>
      <w:r>
        <w:rPr>
          <w:rFonts w:ascii="Calibri" w:hAnsi="Calibri"/>
          <w:color w:val="6D6E71"/>
          <w:sz w:val="16"/>
        </w:rPr>
        <w:t>Jorge Olvera</w:t>
      </w:r>
      <w:r>
        <w:rPr>
          <w:rFonts w:ascii="Calibri" w:hAnsi="Calibri"/>
          <w:color w:val="6D6E71"/>
          <w:spacing w:val="14"/>
          <w:sz w:val="16"/>
        </w:rPr>
        <w:t> </w:t>
      </w:r>
      <w:r>
        <w:rPr>
          <w:rFonts w:ascii="Calibri" w:hAnsi="Calibri"/>
          <w:color w:val="6D6E71"/>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8"/>
        <w:ind w:left="907" w:right="0" w:firstLine="0"/>
        <w:jc w:val="left"/>
        <w:rPr>
          <w:rFonts w:ascii="Arial" w:hAnsi="Arial"/>
          <w:sz w:val="20"/>
        </w:rPr>
      </w:pPr>
      <w:r>
        <w:rPr/>
        <w:pict>
          <v:group style="position:absolute;margin-left:383.821014pt;margin-top:-25.476145pt;width:8.65pt;height:41pt;mso-position-horizontal-relative:page;mso-position-vertical-relative:paragraph;z-index:-17341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Calibri" w:hAnsi="Calibri"/>
          <w:color w:val="6D6E71"/>
          <w:w w:val="105"/>
          <w:sz w:val="14"/>
        </w:rPr>
        <w:t>CAMBIO DE PARADIGMA JURÍDICO: EL 11-S Y LA DELINCUENCIA ORGANIZADA</w:t>
      </w:r>
      <w:r>
        <w:rPr>
          <w:rFonts w:ascii="Calibri" w:hAnsi="Calibri"/>
          <w:color w:val="6D6E71"/>
          <w:spacing w:val="11"/>
          <w:w w:val="105"/>
          <w:sz w:val="14"/>
        </w:rPr>
        <w:t> </w:t>
      </w:r>
      <w:r>
        <w:rPr>
          <w:rFonts w:ascii="Calibri" w:hAnsi="Calibri"/>
          <w:color w:val="6D6E71"/>
          <w:w w:val="105"/>
          <w:sz w:val="14"/>
        </w:rPr>
        <w:t>EN</w:t>
      </w:r>
      <w:r>
        <w:rPr>
          <w:rFonts w:ascii="Calibri" w:hAnsi="Calibri"/>
          <w:color w:val="6D6E71"/>
          <w:spacing w:val="1"/>
          <w:w w:val="105"/>
          <w:sz w:val="14"/>
        </w:rPr>
        <w:t> </w:t>
      </w:r>
      <w:r>
        <w:rPr>
          <w:rFonts w:ascii="Calibri" w:hAnsi="Calibri"/>
          <w:color w:val="6D6E71"/>
          <w:w w:val="105"/>
          <w:sz w:val="14"/>
        </w:rPr>
        <w:t>MÉXICO</w:t>
      </w:r>
      <w:r>
        <w:rPr>
          <w:rFonts w:ascii="Arial" w:hAnsi="Arial"/>
          <w:color w:val="414042"/>
          <w:w w:val="105"/>
          <w:position w:val="-3"/>
          <w:sz w:val="20"/>
        </w:rPr>
        <w:tab/>
        <w:t>21</w:t>
      </w:r>
    </w:p>
    <w:p>
      <w:pPr>
        <w:pStyle w:val="BodyText"/>
        <w:rPr>
          <w:rFonts w:ascii="Arial"/>
          <w:sz w:val="20"/>
        </w:rPr>
      </w:pPr>
    </w:p>
    <w:p>
      <w:pPr>
        <w:pStyle w:val="BodyText"/>
        <w:rPr>
          <w:rFonts w:ascii="Arial"/>
          <w:sz w:val="20"/>
        </w:rPr>
      </w:pPr>
    </w:p>
    <w:p>
      <w:pPr>
        <w:pStyle w:val="BodyText"/>
        <w:spacing w:line="244" w:lineRule="auto" w:before="163"/>
        <w:ind w:left="117" w:right="101"/>
        <w:jc w:val="both"/>
      </w:pPr>
      <w:r>
        <w:rPr>
          <w:color w:val="231F20"/>
        </w:rPr>
        <w:t>Los ataques contra las </w:t>
      </w:r>
      <w:r>
        <w:rPr>
          <w:color w:val="231F20"/>
          <w:spacing w:val="-5"/>
        </w:rPr>
        <w:t>Torres </w:t>
      </w:r>
      <w:r>
        <w:rPr>
          <w:color w:val="231F20"/>
        </w:rPr>
        <w:t>gemelas y el Pentágono provocaron que los poderes financieros, políticos y militares del mundo declararan un </w:t>
      </w:r>
      <w:r>
        <w:rPr>
          <w:rFonts w:ascii="Arial" w:hAnsi="Arial"/>
          <w:i/>
          <w:color w:val="231F20"/>
        </w:rPr>
        <w:t>estado </w:t>
      </w:r>
      <w:r>
        <w:rPr>
          <w:rFonts w:ascii="Arial" w:hAnsi="Arial"/>
          <w:i/>
          <w:color w:val="231F20"/>
        </w:rPr>
        <w:t>de excepción universal</w:t>
      </w:r>
      <w:r>
        <w:rPr>
          <w:rFonts w:ascii="Calibri" w:hAnsi="Calibri"/>
          <w:i/>
          <w:color w:val="231F20"/>
        </w:rPr>
        <w:t>. </w:t>
      </w:r>
      <w:r>
        <w:rPr>
          <w:color w:val="231F20"/>
        </w:rPr>
        <w:t>Sin duda, con el 11–S se aceleraran las</w:t>
      </w:r>
      <w:r>
        <w:rPr>
          <w:color w:val="231F20"/>
          <w:spacing w:val="-19"/>
        </w:rPr>
        <w:t> </w:t>
      </w:r>
      <w:r>
        <w:rPr>
          <w:color w:val="231F20"/>
        </w:rPr>
        <w:t>tendencias que</w:t>
      </w:r>
      <w:r>
        <w:rPr>
          <w:color w:val="231F20"/>
          <w:spacing w:val="-9"/>
        </w:rPr>
        <w:t> </w:t>
      </w:r>
      <w:r>
        <w:rPr>
          <w:color w:val="231F20"/>
        </w:rPr>
        <w:t>empujan</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restricción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derechos</w:t>
      </w:r>
      <w:r>
        <w:rPr>
          <w:color w:val="231F20"/>
          <w:spacing w:val="-9"/>
        </w:rPr>
        <w:t> </w:t>
      </w:r>
      <w:r>
        <w:rPr>
          <w:color w:val="231F20"/>
        </w:rPr>
        <w:t>y</w:t>
      </w:r>
      <w:r>
        <w:rPr>
          <w:color w:val="231F20"/>
          <w:spacing w:val="-9"/>
        </w:rPr>
        <w:t> </w:t>
      </w:r>
      <w:r>
        <w:rPr>
          <w:color w:val="231F20"/>
        </w:rPr>
        <w:t>libertades</w:t>
      </w:r>
      <w:r>
        <w:rPr>
          <w:color w:val="231F20"/>
          <w:spacing w:val="-9"/>
        </w:rPr>
        <w:t> </w:t>
      </w:r>
      <w:r>
        <w:rPr>
          <w:color w:val="231F20"/>
        </w:rPr>
        <w:t>civiles</w:t>
      </w:r>
      <w:r>
        <w:rPr>
          <w:color w:val="231F20"/>
          <w:spacing w:val="-9"/>
        </w:rPr>
        <w:t> </w:t>
      </w:r>
      <w:r>
        <w:rPr>
          <w:color w:val="231F20"/>
        </w:rPr>
        <w:t>y</w:t>
      </w:r>
      <w:r>
        <w:rPr>
          <w:color w:val="231F20"/>
          <w:spacing w:val="-9"/>
        </w:rPr>
        <w:t> </w:t>
      </w:r>
      <w:r>
        <w:rPr>
          <w:color w:val="231F20"/>
        </w:rPr>
        <w:t>democrá- ticas, a la vez que se apuntaló la gestación de Estados policíacos y</w:t>
      </w:r>
      <w:r>
        <w:rPr>
          <w:color w:val="231F20"/>
          <w:spacing w:val="-28"/>
        </w:rPr>
        <w:t> </w:t>
      </w:r>
      <w:r>
        <w:rPr>
          <w:color w:val="231F20"/>
        </w:rPr>
        <w:t>militari- zados</w:t>
      </w:r>
      <w:r>
        <w:rPr>
          <w:color w:val="231F20"/>
          <w:spacing w:val="-9"/>
        </w:rPr>
        <w:t> </w:t>
      </w:r>
      <w:r>
        <w:rPr>
          <w:color w:val="231F20"/>
        </w:rPr>
        <w:t>caracterizados</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restricción</w:t>
      </w:r>
      <w:r>
        <w:rPr>
          <w:color w:val="231F20"/>
          <w:spacing w:val="-9"/>
        </w:rPr>
        <w:t> </w:t>
      </w:r>
      <w:r>
        <w:rPr>
          <w:color w:val="231F20"/>
        </w:rPr>
        <w:t>de</w:t>
      </w:r>
      <w:r>
        <w:rPr>
          <w:color w:val="231F20"/>
          <w:spacing w:val="-9"/>
        </w:rPr>
        <w:t> </w:t>
      </w:r>
      <w:r>
        <w:rPr>
          <w:color w:val="231F20"/>
        </w:rPr>
        <w:t>libertades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cancelación</w:t>
      </w:r>
      <w:r>
        <w:rPr>
          <w:color w:val="231F20"/>
          <w:spacing w:val="-9"/>
        </w:rPr>
        <w:t> </w:t>
      </w:r>
      <w:r>
        <w:rPr>
          <w:color w:val="231F20"/>
        </w:rPr>
        <w:t>de</w:t>
      </w:r>
      <w:r>
        <w:rPr>
          <w:color w:val="231F20"/>
          <w:spacing w:val="-9"/>
        </w:rPr>
        <w:t> </w:t>
      </w:r>
      <w:r>
        <w:rPr>
          <w:color w:val="231F20"/>
        </w:rPr>
        <w:t>una verdadera vida</w:t>
      </w:r>
      <w:r>
        <w:rPr>
          <w:color w:val="231F20"/>
          <w:spacing w:val="18"/>
        </w:rPr>
        <w:t> </w:t>
      </w:r>
      <w:r>
        <w:rPr>
          <w:color w:val="231F20"/>
        </w:rPr>
        <w:t>democrática.</w:t>
      </w:r>
    </w:p>
    <w:p>
      <w:pPr>
        <w:pStyle w:val="BodyText"/>
        <w:spacing w:line="247" w:lineRule="auto" w:before="1"/>
        <w:ind w:left="117" w:right="100" w:firstLine="566"/>
        <w:jc w:val="both"/>
      </w:pPr>
      <w:r>
        <w:rPr>
          <w:color w:val="231F20"/>
        </w:rPr>
        <w:t>La manera de proceder de los Estados Unidos ante los ataques te- rroristas reflejó que lo verdaderamente importante era señalar quién es el enemigo. Detrás de esta respuesta una concepción schmittiana de la polí- tica se hizo evidente —aunque seguramente no de manera consciente—, pues en tal lógica bélica e invasiva la dicotomía amigo/enemigo termina funcionando como fundamento y justificación de la guerra y de la legiti- midad política de un país. Con ello, se puso en operación un andamiaje perverso que dio lugar a un derecho fuera del derecho, fuera del ordena- miento jurídico. La paradoja schmittiana contenida en la dicotomía amigo/ enemigo se presenta como marco que hace inteligible el proceder del imperialismo  norteamericano.</w:t>
      </w:r>
    </w:p>
    <w:p>
      <w:pPr>
        <w:pStyle w:val="BodyText"/>
        <w:spacing w:before="10"/>
        <w:rPr>
          <w:sz w:val="22"/>
        </w:rPr>
      </w:pPr>
    </w:p>
    <w:p>
      <w:pPr>
        <w:spacing w:line="220" w:lineRule="exact" w:before="1"/>
        <w:ind w:left="1534" w:right="101" w:firstLine="0"/>
        <w:jc w:val="both"/>
        <w:rPr>
          <w:sz w:val="19"/>
        </w:rPr>
      </w:pPr>
      <w:r>
        <w:rPr>
          <w:color w:val="231F20"/>
          <w:sz w:val="19"/>
        </w:rPr>
        <w:t>La legislación del 11–S sitúa al derecho penal más allá del Estado de derecho. Los derechos y las libertades de los ciudadanos se disuelven en un nuevo derecho penal del enemigo que facilita    la creación del espacio donde las reglas jurídicas desaparecen y se transmutan en pura arbitrariedad. Lo que se impone de este modo, no es un estado de excepción limitado en el tiempo, sino un estado de excepción permanente. No </w:t>
      </w:r>
      <w:r>
        <w:rPr>
          <w:color w:val="231F20"/>
          <w:spacing w:val="-5"/>
          <w:sz w:val="19"/>
        </w:rPr>
        <w:t>hay, </w:t>
      </w:r>
      <w:r>
        <w:rPr>
          <w:color w:val="231F20"/>
          <w:sz w:val="19"/>
        </w:rPr>
        <w:t>como en la lectura de la excepción realizada por Carl Schmitt, una simple</w:t>
      </w:r>
      <w:r>
        <w:rPr>
          <w:color w:val="231F20"/>
          <w:spacing w:val="-22"/>
          <w:sz w:val="19"/>
        </w:rPr>
        <w:t> </w:t>
      </w:r>
      <w:r>
        <w:rPr>
          <w:color w:val="231F20"/>
          <w:sz w:val="19"/>
        </w:rPr>
        <w:t>suspensión provisional</w:t>
      </w:r>
      <w:r>
        <w:rPr>
          <w:color w:val="231F20"/>
          <w:spacing w:val="-10"/>
          <w:sz w:val="19"/>
        </w:rPr>
        <w:t> </w:t>
      </w:r>
      <w:r>
        <w:rPr>
          <w:color w:val="231F20"/>
          <w:sz w:val="19"/>
        </w:rPr>
        <w:t>de</w:t>
      </w:r>
      <w:r>
        <w:rPr>
          <w:color w:val="231F20"/>
          <w:spacing w:val="-10"/>
          <w:sz w:val="19"/>
        </w:rPr>
        <w:t> </w:t>
      </w:r>
      <w:r>
        <w:rPr>
          <w:color w:val="231F20"/>
          <w:sz w:val="19"/>
        </w:rPr>
        <w:t>las</w:t>
      </w:r>
      <w:r>
        <w:rPr>
          <w:color w:val="231F20"/>
          <w:spacing w:val="-10"/>
          <w:sz w:val="19"/>
        </w:rPr>
        <w:t> </w:t>
      </w:r>
      <w:r>
        <w:rPr>
          <w:color w:val="231F20"/>
          <w:sz w:val="19"/>
        </w:rPr>
        <w:t>garantías</w:t>
      </w:r>
      <w:r>
        <w:rPr>
          <w:color w:val="231F20"/>
          <w:spacing w:val="-10"/>
          <w:sz w:val="19"/>
        </w:rPr>
        <w:t> </w:t>
      </w:r>
      <w:r>
        <w:rPr>
          <w:color w:val="231F20"/>
          <w:sz w:val="19"/>
        </w:rPr>
        <w:t>constitucionales</w:t>
      </w:r>
      <w:r>
        <w:rPr>
          <w:color w:val="231F20"/>
          <w:spacing w:val="-10"/>
          <w:sz w:val="19"/>
        </w:rPr>
        <w:t> </w:t>
      </w:r>
      <w:r>
        <w:rPr>
          <w:color w:val="231F20"/>
          <w:sz w:val="19"/>
        </w:rPr>
        <w:t>tras</w:t>
      </w:r>
      <w:r>
        <w:rPr>
          <w:color w:val="231F20"/>
          <w:spacing w:val="-10"/>
          <w:sz w:val="19"/>
        </w:rPr>
        <w:t> </w:t>
      </w:r>
      <w:r>
        <w:rPr>
          <w:color w:val="231F20"/>
          <w:sz w:val="19"/>
        </w:rPr>
        <w:t>la</w:t>
      </w:r>
      <w:r>
        <w:rPr>
          <w:color w:val="231F20"/>
          <w:spacing w:val="-10"/>
          <w:sz w:val="19"/>
        </w:rPr>
        <w:t> </w:t>
      </w:r>
      <w:r>
        <w:rPr>
          <w:color w:val="231F20"/>
          <w:sz w:val="19"/>
        </w:rPr>
        <w:t>cual</w:t>
      </w:r>
      <w:r>
        <w:rPr>
          <w:color w:val="231F20"/>
          <w:spacing w:val="-10"/>
          <w:sz w:val="19"/>
        </w:rPr>
        <w:t> </w:t>
      </w:r>
      <w:r>
        <w:rPr>
          <w:color w:val="231F20"/>
          <w:sz w:val="19"/>
        </w:rPr>
        <w:t>es</w:t>
      </w:r>
      <w:r>
        <w:rPr>
          <w:color w:val="231F20"/>
          <w:spacing w:val="-10"/>
          <w:sz w:val="19"/>
        </w:rPr>
        <w:t> </w:t>
      </w:r>
      <w:r>
        <w:rPr>
          <w:color w:val="231F20"/>
          <w:sz w:val="19"/>
        </w:rPr>
        <w:t>posible, al</w:t>
      </w:r>
      <w:r>
        <w:rPr>
          <w:color w:val="231F20"/>
          <w:spacing w:val="-7"/>
          <w:sz w:val="19"/>
        </w:rPr>
        <w:t> </w:t>
      </w:r>
      <w:r>
        <w:rPr>
          <w:color w:val="231F20"/>
          <w:sz w:val="19"/>
        </w:rPr>
        <w:t>menos</w:t>
      </w:r>
      <w:r>
        <w:rPr>
          <w:color w:val="231F20"/>
          <w:spacing w:val="-7"/>
          <w:sz w:val="19"/>
        </w:rPr>
        <w:t> </w:t>
      </w:r>
      <w:r>
        <w:rPr>
          <w:color w:val="231F20"/>
          <w:sz w:val="19"/>
        </w:rPr>
        <w:t>formalmente,</w:t>
      </w:r>
      <w:r>
        <w:rPr>
          <w:color w:val="231F20"/>
          <w:spacing w:val="-7"/>
          <w:sz w:val="19"/>
        </w:rPr>
        <w:t> </w:t>
      </w:r>
      <w:r>
        <w:rPr>
          <w:color w:val="231F20"/>
          <w:sz w:val="19"/>
        </w:rPr>
        <w:t>un</w:t>
      </w:r>
      <w:r>
        <w:rPr>
          <w:color w:val="231F20"/>
          <w:spacing w:val="-7"/>
          <w:sz w:val="19"/>
        </w:rPr>
        <w:t> </w:t>
      </w:r>
      <w:r>
        <w:rPr>
          <w:color w:val="231F20"/>
          <w:sz w:val="19"/>
        </w:rPr>
        <w:t>retorno</w:t>
      </w:r>
      <w:r>
        <w:rPr>
          <w:color w:val="231F20"/>
          <w:spacing w:val="-7"/>
          <w:sz w:val="19"/>
        </w:rPr>
        <w:t> </w:t>
      </w:r>
      <w:r>
        <w:rPr>
          <w:color w:val="231F20"/>
          <w:sz w:val="19"/>
        </w:rPr>
        <w:t>a</w:t>
      </w:r>
      <w:r>
        <w:rPr>
          <w:color w:val="231F20"/>
          <w:spacing w:val="-7"/>
          <w:sz w:val="19"/>
        </w:rPr>
        <w:t> </w:t>
      </w:r>
      <w:r>
        <w:rPr>
          <w:color w:val="231F20"/>
          <w:sz w:val="19"/>
        </w:rPr>
        <w:t>los</w:t>
      </w:r>
      <w:r>
        <w:rPr>
          <w:color w:val="231F20"/>
          <w:spacing w:val="-7"/>
          <w:sz w:val="19"/>
        </w:rPr>
        <w:t> </w:t>
      </w:r>
      <w:r>
        <w:rPr>
          <w:color w:val="231F20"/>
          <w:sz w:val="19"/>
        </w:rPr>
        <w:t>principios</w:t>
      </w:r>
      <w:r>
        <w:rPr>
          <w:color w:val="231F20"/>
          <w:spacing w:val="-7"/>
          <w:sz w:val="19"/>
        </w:rPr>
        <w:t> </w:t>
      </w:r>
      <w:r>
        <w:rPr>
          <w:color w:val="231F20"/>
          <w:sz w:val="19"/>
        </w:rPr>
        <w:t>garantistas.</w:t>
      </w:r>
      <w:r>
        <w:rPr>
          <w:color w:val="231F20"/>
          <w:spacing w:val="-7"/>
          <w:sz w:val="19"/>
        </w:rPr>
        <w:t> </w:t>
      </w:r>
      <w:r>
        <w:rPr>
          <w:color w:val="231F20"/>
          <w:sz w:val="19"/>
        </w:rPr>
        <w:t>Por el contrario, el estado de excepción, como en la previsión de</w:t>
      </w:r>
      <w:r>
        <w:rPr>
          <w:color w:val="231F20"/>
          <w:spacing w:val="-25"/>
          <w:sz w:val="19"/>
        </w:rPr>
        <w:t> </w:t>
      </w:r>
      <w:r>
        <w:rPr>
          <w:color w:val="231F20"/>
          <w:spacing w:val="-3"/>
          <w:sz w:val="19"/>
        </w:rPr>
        <w:t>Wal- </w:t>
      </w:r>
      <w:r>
        <w:rPr>
          <w:color w:val="231F20"/>
          <w:sz w:val="19"/>
        </w:rPr>
        <w:t>ter Benjamin, pasa a ser la regla. Los conceptos jurídicos de gue- rra y de paz, de soberanía y de adversario mutan tan profunda- mente que el propio régimen político ve alterada su</w:t>
      </w:r>
      <w:r>
        <w:rPr>
          <w:color w:val="231F20"/>
          <w:spacing w:val="27"/>
          <w:sz w:val="19"/>
        </w:rPr>
        <w:t> </w:t>
      </w:r>
      <w:r>
        <w:rPr>
          <w:color w:val="231F20"/>
          <w:sz w:val="19"/>
        </w:rPr>
        <w:t>naturaleza</w:t>
      </w:r>
      <w:r>
        <w:rPr>
          <w:color w:val="231F20"/>
          <w:position w:val="6"/>
          <w:sz w:val="11"/>
        </w:rPr>
        <w:t>7</w:t>
      </w:r>
      <w:r>
        <w:rPr>
          <w:color w:val="231F20"/>
          <w:sz w:val="19"/>
        </w:rPr>
        <w:t>.</w:t>
      </w:r>
    </w:p>
    <w:p>
      <w:pPr>
        <w:pStyle w:val="BodyText"/>
        <w:spacing w:before="11"/>
        <w:rPr>
          <w:sz w:val="23"/>
        </w:rPr>
      </w:pPr>
    </w:p>
    <w:p>
      <w:pPr>
        <w:pStyle w:val="BodyText"/>
        <w:spacing w:line="247" w:lineRule="auto"/>
        <w:ind w:left="117" w:right="101"/>
        <w:jc w:val="both"/>
      </w:pPr>
      <w:r>
        <w:rPr>
          <w:color w:val="231F20"/>
          <w:w w:val="105"/>
        </w:rPr>
        <w:t>En</w:t>
      </w:r>
      <w:r>
        <w:rPr>
          <w:color w:val="231F20"/>
          <w:spacing w:val="-34"/>
          <w:w w:val="105"/>
        </w:rPr>
        <w:t> </w:t>
      </w:r>
      <w:r>
        <w:rPr>
          <w:color w:val="231F20"/>
          <w:w w:val="105"/>
        </w:rPr>
        <w:t>el</w:t>
      </w:r>
      <w:r>
        <w:rPr>
          <w:color w:val="231F20"/>
          <w:spacing w:val="-34"/>
          <w:w w:val="105"/>
        </w:rPr>
        <w:t> </w:t>
      </w:r>
      <w:r>
        <w:rPr>
          <w:color w:val="231F20"/>
          <w:w w:val="105"/>
        </w:rPr>
        <w:t>mismo</w:t>
      </w:r>
      <w:r>
        <w:rPr>
          <w:color w:val="231F20"/>
          <w:spacing w:val="-34"/>
          <w:w w:val="105"/>
        </w:rPr>
        <w:t> </w:t>
      </w:r>
      <w:r>
        <w:rPr>
          <w:color w:val="231F20"/>
          <w:w w:val="105"/>
        </w:rPr>
        <w:t>talante,</w:t>
      </w:r>
      <w:r>
        <w:rPr>
          <w:color w:val="231F20"/>
          <w:spacing w:val="-34"/>
          <w:w w:val="105"/>
        </w:rPr>
        <w:t> </w:t>
      </w:r>
      <w:r>
        <w:rPr>
          <w:color w:val="231F20"/>
          <w:w w:val="105"/>
        </w:rPr>
        <w:t>Günther</w:t>
      </w:r>
      <w:r>
        <w:rPr>
          <w:color w:val="231F20"/>
          <w:spacing w:val="-34"/>
          <w:w w:val="105"/>
        </w:rPr>
        <w:t> </w:t>
      </w:r>
      <w:r>
        <w:rPr>
          <w:color w:val="231F20"/>
          <w:w w:val="105"/>
        </w:rPr>
        <w:t>Jakobs</w:t>
      </w:r>
      <w:r>
        <w:rPr>
          <w:color w:val="231F20"/>
          <w:spacing w:val="-34"/>
          <w:w w:val="105"/>
        </w:rPr>
        <w:t> </w:t>
      </w:r>
      <w:r>
        <w:rPr>
          <w:color w:val="231F20"/>
          <w:w w:val="105"/>
        </w:rPr>
        <w:t>propuso</w:t>
      </w:r>
      <w:r>
        <w:rPr>
          <w:color w:val="231F20"/>
          <w:spacing w:val="-34"/>
          <w:w w:val="105"/>
        </w:rPr>
        <w:t> </w:t>
      </w:r>
      <w:r>
        <w:rPr>
          <w:color w:val="231F20"/>
          <w:w w:val="105"/>
        </w:rPr>
        <w:t>un</w:t>
      </w:r>
      <w:r>
        <w:rPr>
          <w:color w:val="231F20"/>
          <w:spacing w:val="-34"/>
          <w:w w:val="105"/>
        </w:rPr>
        <w:t> </w:t>
      </w:r>
      <w:r>
        <w:rPr>
          <w:color w:val="231F20"/>
          <w:w w:val="105"/>
        </w:rPr>
        <w:t>derecho</w:t>
      </w:r>
      <w:r>
        <w:rPr>
          <w:color w:val="231F20"/>
          <w:spacing w:val="-34"/>
          <w:w w:val="105"/>
        </w:rPr>
        <w:t> </w:t>
      </w:r>
      <w:r>
        <w:rPr>
          <w:color w:val="231F20"/>
          <w:w w:val="105"/>
        </w:rPr>
        <w:t>penal</w:t>
      </w:r>
      <w:r>
        <w:rPr>
          <w:color w:val="231F20"/>
          <w:spacing w:val="-34"/>
          <w:w w:val="105"/>
        </w:rPr>
        <w:t> </w:t>
      </w:r>
      <w:r>
        <w:rPr>
          <w:color w:val="231F20"/>
          <w:w w:val="105"/>
        </w:rPr>
        <w:t>autoritario que</w:t>
      </w:r>
      <w:r>
        <w:rPr>
          <w:color w:val="231F20"/>
          <w:spacing w:val="-30"/>
          <w:w w:val="105"/>
        </w:rPr>
        <w:t> </w:t>
      </w:r>
      <w:r>
        <w:rPr>
          <w:color w:val="231F20"/>
          <w:w w:val="105"/>
        </w:rPr>
        <w:t>podía</w:t>
      </w:r>
      <w:r>
        <w:rPr>
          <w:color w:val="231F20"/>
          <w:spacing w:val="-30"/>
          <w:w w:val="105"/>
        </w:rPr>
        <w:t> </w:t>
      </w:r>
      <w:r>
        <w:rPr>
          <w:color w:val="231F20"/>
          <w:w w:val="105"/>
        </w:rPr>
        <w:t>dar</w:t>
      </w:r>
      <w:r>
        <w:rPr>
          <w:color w:val="231F20"/>
          <w:spacing w:val="-30"/>
          <w:w w:val="105"/>
        </w:rPr>
        <w:t> </w:t>
      </w:r>
      <w:r>
        <w:rPr>
          <w:color w:val="231F20"/>
          <w:w w:val="105"/>
        </w:rPr>
        <w:t>respuesta</w:t>
      </w:r>
      <w:r>
        <w:rPr>
          <w:color w:val="231F20"/>
          <w:spacing w:val="-30"/>
          <w:w w:val="105"/>
        </w:rPr>
        <w:t> </w:t>
      </w:r>
      <w:r>
        <w:rPr>
          <w:color w:val="231F20"/>
          <w:w w:val="105"/>
        </w:rPr>
        <w:t>a</w:t>
      </w:r>
      <w:r>
        <w:rPr>
          <w:color w:val="231F20"/>
          <w:spacing w:val="-31"/>
          <w:w w:val="105"/>
        </w:rPr>
        <w:t> </w:t>
      </w:r>
      <w:r>
        <w:rPr>
          <w:rFonts w:ascii="Arial" w:hAnsi="Arial"/>
          <w:i/>
          <w:color w:val="231F20"/>
          <w:w w:val="105"/>
        </w:rPr>
        <w:t>casos</w:t>
      </w:r>
      <w:r>
        <w:rPr>
          <w:rFonts w:ascii="Arial" w:hAnsi="Arial"/>
          <w:i/>
          <w:color w:val="231F20"/>
          <w:spacing w:val="-23"/>
          <w:w w:val="105"/>
        </w:rPr>
        <w:t> </w:t>
      </w:r>
      <w:r>
        <w:rPr>
          <w:rFonts w:ascii="Arial" w:hAnsi="Arial"/>
          <w:i/>
          <w:color w:val="231F20"/>
          <w:w w:val="105"/>
        </w:rPr>
        <w:t>extremos</w:t>
      </w:r>
      <w:r>
        <w:rPr>
          <w:color w:val="231F20"/>
          <w:w w:val="105"/>
        </w:rPr>
        <w:t>,</w:t>
      </w:r>
      <w:r>
        <w:rPr>
          <w:color w:val="231F20"/>
          <w:spacing w:val="-30"/>
          <w:w w:val="105"/>
        </w:rPr>
        <w:t> </w:t>
      </w:r>
      <w:r>
        <w:rPr>
          <w:color w:val="231F20"/>
          <w:w w:val="105"/>
        </w:rPr>
        <w:t>en</w:t>
      </w:r>
      <w:r>
        <w:rPr>
          <w:color w:val="231F20"/>
          <w:spacing w:val="-30"/>
          <w:w w:val="105"/>
        </w:rPr>
        <w:t> </w:t>
      </w:r>
      <w:r>
        <w:rPr>
          <w:color w:val="231F20"/>
          <w:w w:val="105"/>
        </w:rPr>
        <w:t>donde</w:t>
      </w:r>
      <w:r>
        <w:rPr>
          <w:color w:val="231F20"/>
          <w:spacing w:val="-30"/>
          <w:w w:val="105"/>
        </w:rPr>
        <w:t> </w:t>
      </w:r>
      <w:r>
        <w:rPr>
          <w:color w:val="231F20"/>
          <w:w w:val="105"/>
        </w:rPr>
        <w:t>los</w:t>
      </w:r>
      <w:r>
        <w:rPr>
          <w:color w:val="231F20"/>
          <w:spacing w:val="-30"/>
          <w:w w:val="105"/>
        </w:rPr>
        <w:t> </w:t>
      </w:r>
      <w:r>
        <w:rPr>
          <w:color w:val="231F20"/>
          <w:w w:val="105"/>
        </w:rPr>
        <w:t>derechos</w:t>
      </w:r>
      <w:r>
        <w:rPr>
          <w:color w:val="231F20"/>
          <w:spacing w:val="-30"/>
          <w:w w:val="105"/>
        </w:rPr>
        <w:t> </w:t>
      </w:r>
      <w:r>
        <w:rPr>
          <w:color w:val="231F20"/>
          <w:w w:val="105"/>
        </w:rPr>
        <w:t>del</w:t>
      </w:r>
      <w:r>
        <w:rPr>
          <w:color w:val="231F20"/>
          <w:spacing w:val="-30"/>
          <w:w w:val="105"/>
        </w:rPr>
        <w:t> </w:t>
      </w:r>
      <w:r>
        <w:rPr>
          <w:color w:val="231F20"/>
          <w:w w:val="105"/>
        </w:rPr>
        <w:t>ciu- dadano</w:t>
      </w:r>
      <w:r>
        <w:rPr>
          <w:color w:val="231F20"/>
          <w:spacing w:val="-35"/>
          <w:w w:val="105"/>
        </w:rPr>
        <w:t> </w:t>
      </w:r>
      <w:r>
        <w:rPr>
          <w:color w:val="231F20"/>
          <w:w w:val="105"/>
        </w:rPr>
        <w:t>(liberal)</w:t>
      </w:r>
      <w:r>
        <w:rPr>
          <w:color w:val="231F20"/>
          <w:spacing w:val="-35"/>
          <w:w w:val="105"/>
        </w:rPr>
        <w:t> </w:t>
      </w:r>
      <w:r>
        <w:rPr>
          <w:color w:val="231F20"/>
          <w:w w:val="105"/>
        </w:rPr>
        <w:t>serían</w:t>
      </w:r>
      <w:r>
        <w:rPr>
          <w:color w:val="231F20"/>
          <w:spacing w:val="-35"/>
          <w:w w:val="105"/>
        </w:rPr>
        <w:t> </w:t>
      </w:r>
      <w:r>
        <w:rPr>
          <w:color w:val="231F20"/>
          <w:w w:val="105"/>
        </w:rPr>
        <w:t>insuficientes.</w:t>
      </w:r>
      <w:r>
        <w:rPr>
          <w:color w:val="231F20"/>
          <w:spacing w:val="-35"/>
          <w:w w:val="105"/>
        </w:rPr>
        <w:t> </w:t>
      </w:r>
      <w:r>
        <w:rPr>
          <w:color w:val="231F20"/>
          <w:w w:val="105"/>
        </w:rPr>
        <w:t>El</w:t>
      </w:r>
      <w:r>
        <w:rPr>
          <w:color w:val="231F20"/>
          <w:spacing w:val="-35"/>
          <w:w w:val="105"/>
        </w:rPr>
        <w:t> </w:t>
      </w:r>
      <w:r>
        <w:rPr>
          <w:color w:val="231F20"/>
          <w:w w:val="105"/>
          <w:sz w:val="18"/>
        </w:rPr>
        <w:t>DPE</w:t>
      </w:r>
      <w:r>
        <w:rPr>
          <w:color w:val="231F20"/>
          <w:spacing w:val="-24"/>
          <w:w w:val="105"/>
          <w:sz w:val="18"/>
        </w:rPr>
        <w:t> </w:t>
      </w:r>
      <w:r>
        <w:rPr>
          <w:color w:val="231F20"/>
          <w:w w:val="105"/>
        </w:rPr>
        <w:t>se</w:t>
      </w:r>
      <w:r>
        <w:rPr>
          <w:color w:val="231F20"/>
          <w:spacing w:val="-35"/>
          <w:w w:val="105"/>
        </w:rPr>
        <w:t> </w:t>
      </w:r>
      <w:r>
        <w:rPr>
          <w:color w:val="231F20"/>
          <w:w w:val="105"/>
        </w:rPr>
        <w:t>caracteriza</w:t>
      </w:r>
      <w:r>
        <w:rPr>
          <w:color w:val="231F20"/>
          <w:spacing w:val="-35"/>
          <w:w w:val="105"/>
        </w:rPr>
        <w:t> </w:t>
      </w:r>
      <w:r>
        <w:rPr>
          <w:color w:val="231F20"/>
          <w:w w:val="105"/>
        </w:rPr>
        <w:t>por</w:t>
      </w:r>
      <w:r>
        <w:rPr>
          <w:color w:val="231F20"/>
          <w:spacing w:val="-35"/>
          <w:w w:val="105"/>
        </w:rPr>
        <w:t> </w:t>
      </w:r>
      <w:r>
        <w:rPr>
          <w:color w:val="231F20"/>
          <w:w w:val="105"/>
        </w:rPr>
        <w:t>tres</w:t>
      </w:r>
      <w:r>
        <w:rPr>
          <w:color w:val="231F20"/>
          <w:spacing w:val="-35"/>
          <w:w w:val="105"/>
        </w:rPr>
        <w:t> </w:t>
      </w:r>
      <w:r>
        <w:rPr>
          <w:color w:val="231F20"/>
          <w:w w:val="105"/>
        </w:rPr>
        <w:t>elemen- tos:</w:t>
      </w:r>
      <w:r>
        <w:rPr>
          <w:color w:val="231F20"/>
          <w:spacing w:val="-26"/>
          <w:w w:val="105"/>
        </w:rPr>
        <w:t> </w:t>
      </w:r>
      <w:r>
        <w:rPr>
          <w:color w:val="231F20"/>
          <w:w w:val="105"/>
        </w:rPr>
        <w:t>el</w:t>
      </w:r>
      <w:r>
        <w:rPr>
          <w:color w:val="231F20"/>
          <w:spacing w:val="-26"/>
          <w:w w:val="105"/>
        </w:rPr>
        <w:t> </w:t>
      </w:r>
      <w:r>
        <w:rPr>
          <w:color w:val="231F20"/>
          <w:w w:val="105"/>
        </w:rPr>
        <w:t>primero</w:t>
      </w:r>
      <w:r>
        <w:rPr>
          <w:color w:val="231F20"/>
          <w:spacing w:val="-26"/>
          <w:w w:val="105"/>
        </w:rPr>
        <w:t> </w:t>
      </w:r>
      <w:r>
        <w:rPr>
          <w:color w:val="231F20"/>
          <w:w w:val="105"/>
        </w:rPr>
        <w:t>de</w:t>
      </w:r>
      <w:r>
        <w:rPr>
          <w:color w:val="231F20"/>
          <w:spacing w:val="-26"/>
          <w:w w:val="105"/>
        </w:rPr>
        <w:t> </w:t>
      </w:r>
      <w:r>
        <w:rPr>
          <w:color w:val="231F20"/>
          <w:w w:val="105"/>
        </w:rPr>
        <w:t>ellos</w:t>
      </w:r>
      <w:r>
        <w:rPr>
          <w:color w:val="231F20"/>
          <w:spacing w:val="-26"/>
          <w:w w:val="105"/>
        </w:rPr>
        <w:t> </w:t>
      </w:r>
      <w:r>
        <w:rPr>
          <w:color w:val="231F20"/>
          <w:w w:val="105"/>
        </w:rPr>
        <w:t>se</w:t>
      </w:r>
      <w:r>
        <w:rPr>
          <w:color w:val="231F20"/>
          <w:spacing w:val="-26"/>
          <w:w w:val="105"/>
        </w:rPr>
        <w:t> </w:t>
      </w:r>
      <w:r>
        <w:rPr>
          <w:color w:val="231F20"/>
          <w:w w:val="105"/>
        </w:rPr>
        <w:t>fundamenta</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prospección</w:t>
      </w:r>
      <w:r>
        <w:rPr>
          <w:color w:val="231F20"/>
          <w:spacing w:val="-26"/>
          <w:w w:val="105"/>
        </w:rPr>
        <w:t> </w:t>
      </w:r>
      <w:r>
        <w:rPr>
          <w:color w:val="231F20"/>
          <w:w w:val="105"/>
        </w:rPr>
        <w:t>y</w:t>
      </w:r>
      <w:r>
        <w:rPr>
          <w:color w:val="231F20"/>
          <w:spacing w:val="-26"/>
          <w:w w:val="105"/>
        </w:rPr>
        <w:t> </w:t>
      </w:r>
      <w:r>
        <w:rPr>
          <w:color w:val="231F20"/>
          <w:w w:val="105"/>
        </w:rPr>
        <w:t>anticipación</w:t>
      </w:r>
      <w:r>
        <w:rPr>
          <w:color w:val="231F20"/>
          <w:spacing w:val="-26"/>
          <w:w w:val="105"/>
        </w:rPr>
        <w:t> </w:t>
      </w:r>
      <w:r>
        <w:rPr>
          <w:color w:val="231F20"/>
          <w:w w:val="105"/>
        </w:rPr>
        <w:t>de la</w:t>
      </w:r>
      <w:r>
        <w:rPr>
          <w:color w:val="231F20"/>
          <w:spacing w:val="-8"/>
          <w:w w:val="105"/>
        </w:rPr>
        <w:t> </w:t>
      </w:r>
      <w:r>
        <w:rPr>
          <w:color w:val="231F20"/>
          <w:w w:val="105"/>
        </w:rPr>
        <w:t>punibilidad,</w:t>
      </w:r>
      <w:r>
        <w:rPr>
          <w:color w:val="231F20"/>
          <w:spacing w:val="-8"/>
          <w:w w:val="105"/>
        </w:rPr>
        <w:t> </w:t>
      </w:r>
      <w:r>
        <w:rPr>
          <w:color w:val="231F20"/>
          <w:w w:val="105"/>
        </w:rPr>
        <w:t>es</w:t>
      </w:r>
      <w:r>
        <w:rPr>
          <w:color w:val="231F20"/>
          <w:spacing w:val="-8"/>
          <w:w w:val="105"/>
        </w:rPr>
        <w:t> </w:t>
      </w:r>
      <w:r>
        <w:rPr>
          <w:color w:val="231F20"/>
          <w:spacing w:val="-4"/>
          <w:w w:val="105"/>
        </w:rPr>
        <w:t>decir,</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factibilidad</w:t>
      </w:r>
      <w:r>
        <w:rPr>
          <w:color w:val="231F20"/>
          <w:spacing w:val="-8"/>
          <w:w w:val="105"/>
        </w:rPr>
        <w:t> </w:t>
      </w:r>
      <w:r>
        <w:rPr>
          <w:color w:val="231F20"/>
          <w:w w:val="105"/>
        </w:rPr>
        <w:t>de</w:t>
      </w:r>
      <w:r>
        <w:rPr>
          <w:color w:val="231F20"/>
          <w:spacing w:val="-8"/>
          <w:w w:val="105"/>
        </w:rPr>
        <w:t> </w:t>
      </w:r>
      <w:r>
        <w:rPr>
          <w:color w:val="231F20"/>
          <w:w w:val="105"/>
        </w:rPr>
        <w:t>un</w:t>
      </w:r>
      <w:r>
        <w:rPr>
          <w:color w:val="231F20"/>
          <w:spacing w:val="-8"/>
          <w:w w:val="105"/>
        </w:rPr>
        <w:t> </w:t>
      </w:r>
      <w:r>
        <w:rPr>
          <w:color w:val="231F20"/>
          <w:w w:val="105"/>
        </w:rPr>
        <w:t>hecho</w:t>
      </w:r>
      <w:r>
        <w:rPr>
          <w:color w:val="231F20"/>
          <w:spacing w:val="-8"/>
          <w:w w:val="105"/>
        </w:rPr>
        <w:t> </w:t>
      </w:r>
      <w:r>
        <w:rPr>
          <w:color w:val="231F20"/>
          <w:w w:val="105"/>
        </w:rPr>
        <w:t>futuro</w:t>
      </w:r>
      <w:r>
        <w:rPr>
          <w:color w:val="231F20"/>
          <w:spacing w:val="-8"/>
          <w:w w:val="105"/>
        </w:rPr>
        <w:t> </w:t>
      </w:r>
      <w:r>
        <w:rPr>
          <w:color w:val="231F20"/>
          <w:w w:val="105"/>
        </w:rPr>
        <w:t>a</w:t>
      </w:r>
      <w:r>
        <w:rPr>
          <w:color w:val="231F20"/>
          <w:spacing w:val="-8"/>
          <w:w w:val="105"/>
        </w:rPr>
        <w:t> </w:t>
      </w:r>
      <w:r>
        <w:rPr>
          <w:color w:val="231F20"/>
          <w:w w:val="105"/>
        </w:rPr>
        <w:t>diferencia de</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tradicionalmente</w:t>
      </w:r>
      <w:r>
        <w:rPr>
          <w:color w:val="231F20"/>
          <w:spacing w:val="-9"/>
          <w:w w:val="105"/>
        </w:rPr>
        <w:t> </w:t>
      </w:r>
      <w:r>
        <w:rPr>
          <w:color w:val="231F20"/>
          <w:w w:val="105"/>
        </w:rPr>
        <w:t>se</w:t>
      </w:r>
      <w:r>
        <w:rPr>
          <w:color w:val="231F20"/>
          <w:spacing w:val="-9"/>
          <w:w w:val="105"/>
        </w:rPr>
        <w:t> </w:t>
      </w:r>
      <w:r>
        <w:rPr>
          <w:color w:val="231F20"/>
          <w:w w:val="105"/>
        </w:rPr>
        <w:t>manejaba,</w:t>
      </w:r>
      <w:r>
        <w:rPr>
          <w:color w:val="231F20"/>
          <w:spacing w:val="-9"/>
          <w:w w:val="105"/>
        </w:rPr>
        <w:t> </w:t>
      </w:r>
      <w:r>
        <w:rPr>
          <w:color w:val="231F20"/>
          <w:w w:val="105"/>
        </w:rPr>
        <w:t>que</w:t>
      </w:r>
      <w:r>
        <w:rPr>
          <w:color w:val="231F20"/>
          <w:spacing w:val="-9"/>
          <w:w w:val="105"/>
        </w:rPr>
        <w:t> </w:t>
      </w:r>
      <w:r>
        <w:rPr>
          <w:color w:val="231F20"/>
          <w:w w:val="105"/>
        </w:rPr>
        <w:t>era</w:t>
      </w:r>
      <w:r>
        <w:rPr>
          <w:color w:val="231F20"/>
          <w:spacing w:val="-9"/>
          <w:w w:val="105"/>
        </w:rPr>
        <w:t> </w:t>
      </w:r>
      <w:r>
        <w:rPr>
          <w:color w:val="231F20"/>
          <w:w w:val="105"/>
        </w:rPr>
        <w:t>un</w:t>
      </w:r>
      <w:r>
        <w:rPr>
          <w:color w:val="231F20"/>
          <w:spacing w:val="-9"/>
          <w:w w:val="105"/>
        </w:rPr>
        <w:t> </w:t>
      </w:r>
      <w:r>
        <w:rPr>
          <w:color w:val="231F20"/>
          <w:w w:val="105"/>
        </w:rPr>
        <w:t>suceso</w:t>
      </w:r>
      <w:r>
        <w:rPr>
          <w:color w:val="231F20"/>
          <w:spacing w:val="-9"/>
          <w:w w:val="105"/>
        </w:rPr>
        <w:t> </w:t>
      </w:r>
      <w:r>
        <w:rPr>
          <w:color w:val="231F20"/>
          <w:w w:val="105"/>
        </w:rPr>
        <w:t>retrospecti- vo</w:t>
      </w:r>
      <w:r>
        <w:rPr>
          <w:color w:val="231F20"/>
          <w:spacing w:val="-5"/>
          <w:w w:val="105"/>
        </w:rPr>
        <w:t> </w:t>
      </w:r>
      <w:r>
        <w:rPr>
          <w:color w:val="231F20"/>
          <w:w w:val="105"/>
        </w:rPr>
        <w:t>(la</w:t>
      </w:r>
      <w:r>
        <w:rPr>
          <w:color w:val="231F20"/>
          <w:spacing w:val="-5"/>
          <w:w w:val="105"/>
        </w:rPr>
        <w:t> </w:t>
      </w:r>
      <w:r>
        <w:rPr>
          <w:color w:val="231F20"/>
          <w:w w:val="105"/>
        </w:rPr>
        <w:t>comisión</w:t>
      </w:r>
      <w:r>
        <w:rPr>
          <w:color w:val="231F20"/>
          <w:spacing w:val="-5"/>
          <w:w w:val="105"/>
        </w:rPr>
        <w:t> </w:t>
      </w:r>
      <w:r>
        <w:rPr>
          <w:color w:val="231F20"/>
          <w:w w:val="105"/>
        </w:rPr>
        <w:t>de</w:t>
      </w:r>
      <w:r>
        <w:rPr>
          <w:color w:val="231F20"/>
          <w:spacing w:val="-5"/>
          <w:w w:val="105"/>
        </w:rPr>
        <w:t> </w:t>
      </w:r>
      <w:r>
        <w:rPr>
          <w:color w:val="231F20"/>
          <w:w w:val="105"/>
        </w:rPr>
        <w:t>un</w:t>
      </w:r>
      <w:r>
        <w:rPr>
          <w:color w:val="231F20"/>
          <w:spacing w:val="-5"/>
          <w:w w:val="105"/>
        </w:rPr>
        <w:t> </w:t>
      </w:r>
      <w:r>
        <w:rPr>
          <w:color w:val="231F20"/>
          <w:w w:val="105"/>
        </w:rPr>
        <w:t>delito).</w:t>
      </w:r>
      <w:r>
        <w:rPr>
          <w:color w:val="231F20"/>
          <w:spacing w:val="-5"/>
          <w:w w:val="105"/>
        </w:rPr>
        <w:t> </w:t>
      </w:r>
      <w:r>
        <w:rPr>
          <w:color w:val="231F20"/>
          <w:w w:val="105"/>
        </w:rPr>
        <w:t>En</w:t>
      </w:r>
      <w:r>
        <w:rPr>
          <w:color w:val="231F20"/>
          <w:spacing w:val="-5"/>
          <w:w w:val="105"/>
        </w:rPr>
        <w:t> </w:t>
      </w:r>
      <w:r>
        <w:rPr>
          <w:color w:val="231F20"/>
          <w:w w:val="105"/>
        </w:rPr>
        <w:t>segundo</w:t>
      </w:r>
      <w:r>
        <w:rPr>
          <w:color w:val="231F20"/>
          <w:spacing w:val="-5"/>
          <w:w w:val="105"/>
        </w:rPr>
        <w:t> </w:t>
      </w:r>
      <w:r>
        <w:rPr>
          <w:color w:val="231F20"/>
          <w:spacing w:val="-4"/>
          <w:w w:val="105"/>
        </w:rPr>
        <w:t>lugar,</w:t>
      </w:r>
      <w:r>
        <w:rPr>
          <w:color w:val="231F20"/>
          <w:spacing w:val="-5"/>
          <w:w w:val="105"/>
        </w:rPr>
        <w:t> </w:t>
      </w:r>
      <w:r>
        <w:rPr>
          <w:color w:val="231F20"/>
          <w:w w:val="105"/>
        </w:rPr>
        <w:t>las</w:t>
      </w:r>
      <w:r>
        <w:rPr>
          <w:color w:val="231F20"/>
          <w:spacing w:val="-5"/>
          <w:w w:val="105"/>
        </w:rPr>
        <w:t> </w:t>
      </w:r>
      <w:r>
        <w:rPr>
          <w:color w:val="231F20"/>
          <w:w w:val="105"/>
        </w:rPr>
        <w:t>penas</w:t>
      </w:r>
      <w:r>
        <w:rPr>
          <w:color w:val="231F20"/>
          <w:spacing w:val="-5"/>
          <w:w w:val="105"/>
        </w:rPr>
        <w:t> </w:t>
      </w:r>
      <w:r>
        <w:rPr>
          <w:color w:val="231F20"/>
          <w:w w:val="105"/>
        </w:rPr>
        <w:t>previstas</w:t>
      </w:r>
      <w:r>
        <w:rPr>
          <w:color w:val="231F20"/>
          <w:spacing w:val="-5"/>
          <w:w w:val="105"/>
        </w:rPr>
        <w:t> </w:t>
      </w:r>
      <w:r>
        <w:rPr>
          <w:color w:val="231F20"/>
          <w:w w:val="105"/>
        </w:rPr>
        <w:t>son desproporcionadamente</w:t>
      </w:r>
      <w:r>
        <w:rPr>
          <w:color w:val="231F20"/>
          <w:spacing w:val="-13"/>
          <w:w w:val="105"/>
        </w:rPr>
        <w:t> </w:t>
      </w:r>
      <w:r>
        <w:rPr>
          <w:color w:val="231F20"/>
          <w:w w:val="105"/>
        </w:rPr>
        <w:t>altas,</w:t>
      </w:r>
      <w:r>
        <w:rPr>
          <w:color w:val="231F20"/>
          <w:spacing w:val="-13"/>
          <w:w w:val="105"/>
        </w:rPr>
        <w:t> </w:t>
      </w:r>
      <w:r>
        <w:rPr>
          <w:color w:val="231F20"/>
          <w:w w:val="105"/>
        </w:rPr>
        <w:t>es</w:t>
      </w:r>
      <w:r>
        <w:rPr>
          <w:color w:val="231F20"/>
          <w:spacing w:val="-13"/>
          <w:w w:val="105"/>
        </w:rPr>
        <w:t> </w:t>
      </w:r>
      <w:r>
        <w:rPr>
          <w:color w:val="231F20"/>
          <w:spacing w:val="-4"/>
          <w:w w:val="105"/>
        </w:rPr>
        <w:t>decir,</w:t>
      </w:r>
      <w:r>
        <w:rPr>
          <w:color w:val="231F20"/>
          <w:spacing w:val="-13"/>
          <w:w w:val="105"/>
        </w:rPr>
        <w:t> </w:t>
      </w:r>
      <w:r>
        <w:rPr>
          <w:color w:val="231F20"/>
          <w:w w:val="105"/>
        </w:rPr>
        <w:t>se</w:t>
      </w:r>
      <w:r>
        <w:rPr>
          <w:color w:val="231F20"/>
          <w:spacing w:val="-13"/>
          <w:w w:val="105"/>
        </w:rPr>
        <w:t> </w:t>
      </w:r>
      <w:r>
        <w:rPr>
          <w:color w:val="231F20"/>
          <w:w w:val="105"/>
        </w:rPr>
        <w:t>expresan</w:t>
      </w:r>
      <w:r>
        <w:rPr>
          <w:color w:val="231F20"/>
          <w:spacing w:val="-13"/>
          <w:w w:val="105"/>
        </w:rPr>
        <w:t> </w:t>
      </w:r>
      <w:r>
        <w:rPr>
          <w:color w:val="231F20"/>
          <w:w w:val="105"/>
        </w:rPr>
        <w:t>como</w:t>
      </w:r>
      <w:r>
        <w:rPr>
          <w:color w:val="231F20"/>
          <w:spacing w:val="-13"/>
          <w:w w:val="105"/>
        </w:rPr>
        <w:t> </w:t>
      </w:r>
      <w:r>
        <w:rPr>
          <w:color w:val="231F20"/>
          <w:w w:val="105"/>
        </w:rPr>
        <w:t>sentencias</w:t>
      </w:r>
      <w:r>
        <w:rPr>
          <w:color w:val="231F20"/>
          <w:spacing w:val="-13"/>
          <w:w w:val="105"/>
        </w:rPr>
        <w:t> </w:t>
      </w:r>
      <w:r>
        <w:rPr>
          <w:color w:val="231F20"/>
          <w:w w:val="105"/>
        </w:rPr>
        <w:t>de</w:t>
      </w:r>
    </w:p>
    <w:p>
      <w:pPr>
        <w:pStyle w:val="BodyText"/>
        <w:rPr>
          <w:sz w:val="20"/>
        </w:rPr>
      </w:pPr>
    </w:p>
    <w:p>
      <w:pPr>
        <w:pStyle w:val="BodyText"/>
        <w:spacing w:before="2"/>
        <w:rPr>
          <w:sz w:val="13"/>
        </w:rPr>
      </w:pPr>
      <w:r>
        <w:rPr/>
        <w:pict>
          <v:line style="position:absolute;mso-position-horizontal-relative:page;mso-position-vertical-relative:paragraph;z-index:1960;mso-wrap-distance-left:0;mso-wrap-distance-right:0" from="70.866203pt,10.090268pt" to="184.252203pt,10.090268pt" stroked="true" strokeweight=".3pt" strokecolor="#231f20">
            <w10:wrap type="topAndBottom"/>
          </v:line>
        </w:pict>
      </w:r>
    </w:p>
    <w:p>
      <w:pPr>
        <w:spacing w:before="10"/>
        <w:ind w:left="117" w:right="0" w:firstLine="0"/>
        <w:jc w:val="left"/>
        <w:rPr>
          <w:rFonts w:ascii="Calibri" w:hAnsi="Calibri"/>
          <w:sz w:val="17"/>
        </w:rPr>
      </w:pPr>
      <w:r>
        <w:rPr>
          <w:rFonts w:ascii="Calibri" w:hAnsi="Calibri"/>
          <w:color w:val="231F20"/>
          <w:position w:val="6"/>
          <w:sz w:val="10"/>
        </w:rPr>
        <w:t>7 </w:t>
      </w:r>
      <w:r>
        <w:rPr>
          <w:rFonts w:ascii="Calibri" w:hAnsi="Calibri"/>
          <w:color w:val="231F20"/>
          <w:sz w:val="17"/>
        </w:rPr>
        <w:t>J. Asens y G. Pisarello, </w:t>
      </w:r>
      <w:r>
        <w:rPr>
          <w:rFonts w:ascii="Calibri" w:hAnsi="Calibri"/>
          <w:i/>
          <w:color w:val="231F20"/>
          <w:sz w:val="17"/>
        </w:rPr>
        <w:t>No hay derecho(s)</w:t>
      </w:r>
      <w:r>
        <w:rPr>
          <w:rFonts w:ascii="Calibri" w:hAnsi="Calibri"/>
          <w:color w:val="231F20"/>
          <w:sz w:val="17"/>
        </w:rPr>
        <w:t>, España, Icaria, 2011, p. 26.</w:t>
      </w:r>
    </w:p>
    <w:p>
      <w:pPr>
        <w:spacing w:after="0"/>
        <w:jc w:val="left"/>
        <w:rPr>
          <w:rFonts w:ascii="Calibri" w:hAnsi="Calibri"/>
          <w:sz w:val="17"/>
        </w:rPr>
        <w:sectPr>
          <w:pgSz w:w="9640" w:h="13890"/>
          <w:pgMar w:top="0" w:bottom="280" w:left="1300" w:right="1200"/>
        </w:sectPr>
      </w:pPr>
    </w:p>
    <w:p>
      <w:pPr>
        <w:pStyle w:val="BodyText"/>
        <w:spacing w:line="247" w:lineRule="auto" w:before="118"/>
        <w:ind w:left="103" w:right="115"/>
        <w:jc w:val="both"/>
      </w:pPr>
      <w:r>
        <w:rPr>
          <w:color w:val="231F20"/>
          <w:w w:val="105"/>
        </w:rPr>
        <w:t>larga</w:t>
      </w:r>
      <w:r>
        <w:rPr>
          <w:color w:val="231F20"/>
          <w:spacing w:val="-25"/>
          <w:w w:val="105"/>
        </w:rPr>
        <w:t> </w:t>
      </w:r>
      <w:r>
        <w:rPr>
          <w:color w:val="231F20"/>
          <w:w w:val="105"/>
        </w:rPr>
        <w:t>duración</w:t>
      </w:r>
      <w:r>
        <w:rPr>
          <w:color w:val="231F20"/>
          <w:spacing w:val="-25"/>
          <w:w w:val="105"/>
        </w:rPr>
        <w:t> </w:t>
      </w:r>
      <w:r>
        <w:rPr>
          <w:color w:val="231F20"/>
          <w:w w:val="105"/>
        </w:rPr>
        <w:t>donde</w:t>
      </w:r>
      <w:r>
        <w:rPr>
          <w:color w:val="231F20"/>
          <w:spacing w:val="-25"/>
          <w:w w:val="105"/>
        </w:rPr>
        <w:t> </w:t>
      </w:r>
      <w:r>
        <w:rPr>
          <w:color w:val="231F20"/>
          <w:w w:val="105"/>
        </w:rPr>
        <w:t>los</w:t>
      </w:r>
      <w:r>
        <w:rPr>
          <w:color w:val="231F20"/>
          <w:spacing w:val="-25"/>
          <w:w w:val="105"/>
        </w:rPr>
        <w:t> </w:t>
      </w:r>
      <w:r>
        <w:rPr>
          <w:color w:val="231F20"/>
          <w:w w:val="105"/>
        </w:rPr>
        <w:t>derechos</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delincuentes</w:t>
      </w:r>
      <w:r>
        <w:rPr>
          <w:color w:val="231F20"/>
          <w:spacing w:val="-25"/>
          <w:w w:val="105"/>
        </w:rPr>
        <w:t> </w:t>
      </w:r>
      <w:r>
        <w:rPr>
          <w:color w:val="231F20"/>
          <w:w w:val="105"/>
        </w:rPr>
        <w:t>se</w:t>
      </w:r>
      <w:r>
        <w:rPr>
          <w:color w:val="231F20"/>
          <w:spacing w:val="-25"/>
          <w:w w:val="105"/>
        </w:rPr>
        <w:t> </w:t>
      </w:r>
      <w:r>
        <w:rPr>
          <w:color w:val="231F20"/>
          <w:w w:val="105"/>
        </w:rPr>
        <w:t>vulneran</w:t>
      </w:r>
      <w:r>
        <w:rPr>
          <w:color w:val="231F20"/>
          <w:spacing w:val="-25"/>
          <w:w w:val="105"/>
        </w:rPr>
        <w:t> </w:t>
      </w:r>
      <w:r>
        <w:rPr>
          <w:color w:val="231F20"/>
          <w:w w:val="105"/>
        </w:rPr>
        <w:t>bajo</w:t>
      </w:r>
      <w:r>
        <w:rPr>
          <w:color w:val="231F20"/>
          <w:spacing w:val="-25"/>
          <w:w w:val="105"/>
        </w:rPr>
        <w:t> </w:t>
      </w:r>
      <w:r>
        <w:rPr>
          <w:color w:val="231F20"/>
          <w:w w:val="105"/>
        </w:rPr>
        <w:t>el argumento</w:t>
      </w:r>
      <w:r>
        <w:rPr>
          <w:color w:val="231F20"/>
          <w:spacing w:val="-6"/>
          <w:w w:val="105"/>
        </w:rPr>
        <w:t> </w:t>
      </w:r>
      <w:r>
        <w:rPr>
          <w:color w:val="231F20"/>
          <w:w w:val="105"/>
        </w:rPr>
        <w:t>de</w:t>
      </w:r>
      <w:r>
        <w:rPr>
          <w:color w:val="231F20"/>
          <w:spacing w:val="-6"/>
          <w:w w:val="105"/>
        </w:rPr>
        <w:t> </w:t>
      </w:r>
      <w:r>
        <w:rPr>
          <w:color w:val="231F20"/>
          <w:w w:val="105"/>
        </w:rPr>
        <w:t>“alta</w:t>
      </w:r>
      <w:r>
        <w:rPr>
          <w:color w:val="231F20"/>
          <w:spacing w:val="-6"/>
          <w:w w:val="105"/>
        </w:rPr>
        <w:t> </w:t>
      </w:r>
      <w:r>
        <w:rPr>
          <w:color w:val="231F20"/>
          <w:w w:val="105"/>
        </w:rPr>
        <w:t>peligrosidad”</w:t>
      </w:r>
      <w:r>
        <w:rPr>
          <w:color w:val="231F20"/>
          <w:spacing w:val="-6"/>
          <w:w w:val="105"/>
        </w:rPr>
        <w:t> </w:t>
      </w:r>
      <w:r>
        <w:rPr>
          <w:color w:val="231F20"/>
          <w:w w:val="105"/>
        </w:rPr>
        <w:t>y</w:t>
      </w:r>
      <w:r>
        <w:rPr>
          <w:color w:val="231F20"/>
          <w:spacing w:val="-6"/>
          <w:w w:val="105"/>
        </w:rPr>
        <w:t> </w:t>
      </w:r>
      <w:r>
        <w:rPr>
          <w:color w:val="231F20"/>
          <w:w w:val="105"/>
        </w:rPr>
        <w:t>por</w:t>
      </w:r>
      <w:r>
        <w:rPr>
          <w:color w:val="231F20"/>
          <w:spacing w:val="-6"/>
          <w:w w:val="105"/>
        </w:rPr>
        <w:t> </w:t>
      </w:r>
      <w:r>
        <w:rPr>
          <w:color w:val="231F20"/>
          <w:w w:val="105"/>
        </w:rPr>
        <w:t>ello</w:t>
      </w:r>
      <w:r>
        <w:rPr>
          <w:color w:val="231F20"/>
          <w:spacing w:val="-6"/>
          <w:w w:val="105"/>
        </w:rPr>
        <w:t> </w:t>
      </w:r>
      <w:r>
        <w:rPr>
          <w:color w:val="231F20"/>
          <w:w w:val="105"/>
        </w:rPr>
        <w:t>son</w:t>
      </w:r>
      <w:r>
        <w:rPr>
          <w:color w:val="231F20"/>
          <w:spacing w:val="-6"/>
          <w:w w:val="105"/>
        </w:rPr>
        <w:t> </w:t>
      </w:r>
      <w:r>
        <w:rPr>
          <w:color w:val="231F20"/>
          <w:w w:val="105"/>
        </w:rPr>
        <w:t>recluidos</w:t>
      </w:r>
      <w:r>
        <w:rPr>
          <w:color w:val="231F20"/>
          <w:spacing w:val="-6"/>
          <w:w w:val="105"/>
        </w:rPr>
        <w:t> </w:t>
      </w:r>
      <w:r>
        <w:rPr>
          <w:color w:val="231F20"/>
          <w:w w:val="105"/>
        </w:rPr>
        <w:t>en</w:t>
      </w:r>
      <w:r>
        <w:rPr>
          <w:color w:val="231F20"/>
          <w:spacing w:val="-6"/>
          <w:w w:val="105"/>
        </w:rPr>
        <w:t> </w:t>
      </w:r>
      <w:r>
        <w:rPr>
          <w:color w:val="231F20"/>
          <w:w w:val="105"/>
        </w:rPr>
        <w:t>una</w:t>
      </w:r>
      <w:r>
        <w:rPr>
          <w:color w:val="231F20"/>
          <w:spacing w:val="-6"/>
          <w:w w:val="105"/>
        </w:rPr>
        <w:t> </w:t>
      </w:r>
      <w:r>
        <w:rPr>
          <w:color w:val="231F20"/>
          <w:w w:val="105"/>
        </w:rPr>
        <w:t>prisión de</w:t>
      </w:r>
      <w:r>
        <w:rPr>
          <w:color w:val="231F20"/>
          <w:spacing w:val="-29"/>
          <w:w w:val="105"/>
        </w:rPr>
        <w:t> </w:t>
      </w:r>
      <w:r>
        <w:rPr>
          <w:color w:val="231F20"/>
          <w:w w:val="105"/>
        </w:rPr>
        <w:t>máxima</w:t>
      </w:r>
      <w:r>
        <w:rPr>
          <w:color w:val="231F20"/>
          <w:spacing w:val="-29"/>
          <w:w w:val="105"/>
        </w:rPr>
        <w:t> </w:t>
      </w:r>
      <w:r>
        <w:rPr>
          <w:color w:val="231F20"/>
          <w:w w:val="105"/>
        </w:rPr>
        <w:t>seguridad.</w:t>
      </w:r>
      <w:r>
        <w:rPr>
          <w:color w:val="231F20"/>
          <w:spacing w:val="-29"/>
          <w:w w:val="105"/>
        </w:rPr>
        <w:t> </w:t>
      </w:r>
      <w:r>
        <w:rPr>
          <w:color w:val="231F20"/>
          <w:w w:val="105"/>
        </w:rPr>
        <w:t>En</w:t>
      </w:r>
      <w:r>
        <w:rPr>
          <w:color w:val="231F20"/>
          <w:spacing w:val="-29"/>
          <w:w w:val="105"/>
        </w:rPr>
        <w:t> </w:t>
      </w:r>
      <w:r>
        <w:rPr>
          <w:color w:val="231F20"/>
          <w:w w:val="105"/>
        </w:rPr>
        <w:t>tercer</w:t>
      </w:r>
      <w:r>
        <w:rPr>
          <w:color w:val="231F20"/>
          <w:spacing w:val="-29"/>
          <w:w w:val="105"/>
        </w:rPr>
        <w:t> </w:t>
      </w:r>
      <w:r>
        <w:rPr>
          <w:color w:val="231F20"/>
          <w:spacing w:val="-4"/>
          <w:w w:val="105"/>
        </w:rPr>
        <w:t>lugar,</w:t>
      </w:r>
      <w:r>
        <w:rPr>
          <w:color w:val="231F20"/>
          <w:spacing w:val="-29"/>
          <w:w w:val="105"/>
        </w:rPr>
        <w:t> </w:t>
      </w:r>
      <w:r>
        <w:rPr>
          <w:color w:val="231F20"/>
          <w:w w:val="105"/>
        </w:rPr>
        <w:t>determinadas</w:t>
      </w:r>
      <w:r>
        <w:rPr>
          <w:color w:val="231F20"/>
          <w:spacing w:val="-29"/>
          <w:w w:val="105"/>
        </w:rPr>
        <w:t> </w:t>
      </w:r>
      <w:r>
        <w:rPr>
          <w:color w:val="231F20"/>
          <w:w w:val="105"/>
        </w:rPr>
        <w:t>garantías</w:t>
      </w:r>
      <w:r>
        <w:rPr>
          <w:color w:val="231F20"/>
          <w:spacing w:val="-29"/>
          <w:w w:val="105"/>
        </w:rPr>
        <w:t> </w:t>
      </w:r>
      <w:r>
        <w:rPr>
          <w:color w:val="231F20"/>
          <w:w w:val="105"/>
        </w:rPr>
        <w:t>procesales son</w:t>
      </w:r>
      <w:r>
        <w:rPr>
          <w:color w:val="231F20"/>
          <w:spacing w:val="-36"/>
          <w:w w:val="105"/>
        </w:rPr>
        <w:t> </w:t>
      </w:r>
      <w:r>
        <w:rPr>
          <w:color w:val="231F20"/>
          <w:w w:val="105"/>
        </w:rPr>
        <w:t>relativizadas</w:t>
      </w:r>
      <w:r>
        <w:rPr>
          <w:color w:val="231F20"/>
          <w:spacing w:val="-36"/>
          <w:w w:val="105"/>
        </w:rPr>
        <w:t> </w:t>
      </w:r>
      <w:r>
        <w:rPr>
          <w:color w:val="231F20"/>
          <w:w w:val="105"/>
        </w:rPr>
        <w:t>o</w:t>
      </w:r>
      <w:r>
        <w:rPr>
          <w:color w:val="231F20"/>
          <w:spacing w:val="-36"/>
          <w:w w:val="105"/>
        </w:rPr>
        <w:t> </w:t>
      </w:r>
      <w:r>
        <w:rPr>
          <w:color w:val="231F20"/>
          <w:w w:val="105"/>
        </w:rPr>
        <w:t>incluso</w:t>
      </w:r>
      <w:r>
        <w:rPr>
          <w:color w:val="231F20"/>
          <w:spacing w:val="-36"/>
          <w:w w:val="105"/>
        </w:rPr>
        <w:t> </w:t>
      </w:r>
      <w:r>
        <w:rPr>
          <w:color w:val="231F20"/>
          <w:w w:val="105"/>
        </w:rPr>
        <w:t>suprimidas.</w:t>
      </w:r>
      <w:r>
        <w:rPr>
          <w:color w:val="231F20"/>
          <w:spacing w:val="-36"/>
          <w:w w:val="105"/>
        </w:rPr>
        <w:t> </w:t>
      </w:r>
      <w:r>
        <w:rPr>
          <w:color w:val="231F20"/>
          <w:w w:val="105"/>
        </w:rPr>
        <w:t>Por</w:t>
      </w:r>
      <w:r>
        <w:rPr>
          <w:color w:val="231F20"/>
          <w:spacing w:val="-36"/>
          <w:w w:val="105"/>
        </w:rPr>
        <w:t> </w:t>
      </w:r>
      <w:r>
        <w:rPr>
          <w:color w:val="231F20"/>
          <w:w w:val="105"/>
        </w:rPr>
        <w:t>último,</w:t>
      </w:r>
      <w:r>
        <w:rPr>
          <w:color w:val="231F20"/>
          <w:spacing w:val="-36"/>
          <w:w w:val="105"/>
        </w:rPr>
        <w:t> </w:t>
      </w:r>
      <w:r>
        <w:rPr>
          <w:color w:val="231F20"/>
          <w:w w:val="105"/>
        </w:rPr>
        <w:t>se</w:t>
      </w:r>
      <w:r>
        <w:rPr>
          <w:color w:val="231F20"/>
          <w:spacing w:val="-36"/>
          <w:w w:val="105"/>
        </w:rPr>
        <w:t> </w:t>
      </w:r>
      <w:r>
        <w:rPr>
          <w:color w:val="231F20"/>
          <w:w w:val="105"/>
        </w:rPr>
        <w:t>suele</w:t>
      </w:r>
      <w:r>
        <w:rPr>
          <w:color w:val="231F20"/>
          <w:spacing w:val="-36"/>
          <w:w w:val="105"/>
        </w:rPr>
        <w:t> </w:t>
      </w:r>
      <w:r>
        <w:rPr>
          <w:color w:val="231F20"/>
          <w:w w:val="105"/>
        </w:rPr>
        <w:t>hacer</w:t>
      </w:r>
      <w:r>
        <w:rPr>
          <w:color w:val="231F20"/>
          <w:spacing w:val="-36"/>
          <w:w w:val="105"/>
        </w:rPr>
        <w:t> </w:t>
      </w:r>
      <w:r>
        <w:rPr>
          <w:color w:val="231F20"/>
          <w:w w:val="105"/>
        </w:rPr>
        <w:t>caso</w:t>
      </w:r>
      <w:r>
        <w:rPr>
          <w:color w:val="231F20"/>
          <w:spacing w:val="-36"/>
          <w:w w:val="105"/>
        </w:rPr>
        <w:t> </w:t>
      </w:r>
      <w:r>
        <w:rPr>
          <w:color w:val="231F20"/>
          <w:w w:val="105"/>
        </w:rPr>
        <w:t>omi- so a los tratados internacionales de Derechos Humanos y de</w:t>
      </w:r>
      <w:r>
        <w:rPr>
          <w:color w:val="231F20"/>
          <w:spacing w:val="-43"/>
          <w:w w:val="105"/>
        </w:rPr>
        <w:t> </w:t>
      </w:r>
      <w:r>
        <w:rPr>
          <w:color w:val="231F20"/>
          <w:w w:val="105"/>
        </w:rPr>
        <w:t>Tribunales Internacionales</w:t>
      </w:r>
      <w:r>
        <w:rPr>
          <w:color w:val="231F20"/>
          <w:w w:val="105"/>
          <w:position w:val="7"/>
          <w:sz w:val="12"/>
        </w:rPr>
        <w:t>8</w:t>
      </w:r>
      <w:r>
        <w:rPr>
          <w:color w:val="231F20"/>
          <w:w w:val="105"/>
        </w:rPr>
        <w:t>.</w:t>
      </w:r>
      <w:r>
        <w:rPr>
          <w:color w:val="231F20"/>
          <w:spacing w:val="-17"/>
          <w:w w:val="105"/>
        </w:rPr>
        <w:t> </w:t>
      </w:r>
      <w:r>
        <w:rPr>
          <w:color w:val="231F20"/>
          <w:w w:val="105"/>
        </w:rPr>
        <w:t>El</w:t>
      </w:r>
      <w:r>
        <w:rPr>
          <w:color w:val="231F20"/>
          <w:spacing w:val="-17"/>
          <w:w w:val="105"/>
        </w:rPr>
        <w:t> </w:t>
      </w:r>
      <w:r>
        <w:rPr>
          <w:color w:val="231F20"/>
          <w:w w:val="105"/>
          <w:sz w:val="18"/>
        </w:rPr>
        <w:t>DPE</w:t>
      </w:r>
      <w:r>
        <w:rPr>
          <w:color w:val="231F20"/>
          <w:spacing w:val="-8"/>
          <w:w w:val="105"/>
          <w:sz w:val="18"/>
        </w:rPr>
        <w:t> </w:t>
      </w:r>
      <w:r>
        <w:rPr>
          <w:color w:val="231F20"/>
          <w:w w:val="105"/>
        </w:rPr>
        <w:t>sólo</w:t>
      </w:r>
      <w:r>
        <w:rPr>
          <w:color w:val="231F20"/>
          <w:spacing w:val="-17"/>
          <w:w w:val="105"/>
        </w:rPr>
        <w:t> </w:t>
      </w:r>
      <w:r>
        <w:rPr>
          <w:color w:val="231F20"/>
          <w:w w:val="105"/>
        </w:rPr>
        <w:t>se</w:t>
      </w:r>
      <w:r>
        <w:rPr>
          <w:color w:val="231F20"/>
          <w:spacing w:val="-17"/>
          <w:w w:val="105"/>
        </w:rPr>
        <w:t> </w:t>
      </w:r>
      <w:r>
        <w:rPr>
          <w:color w:val="231F20"/>
          <w:w w:val="105"/>
        </w:rPr>
        <w:t>puede</w:t>
      </w:r>
      <w:r>
        <w:rPr>
          <w:color w:val="231F20"/>
          <w:spacing w:val="-17"/>
          <w:w w:val="105"/>
        </w:rPr>
        <w:t> </w:t>
      </w:r>
      <w:r>
        <w:rPr>
          <w:color w:val="231F20"/>
          <w:w w:val="105"/>
        </w:rPr>
        <w:t>legitimar</w:t>
      </w:r>
      <w:r>
        <w:rPr>
          <w:color w:val="231F20"/>
          <w:spacing w:val="-17"/>
          <w:w w:val="105"/>
        </w:rPr>
        <w:t> </w:t>
      </w:r>
      <w:r>
        <w:rPr>
          <w:color w:val="231F20"/>
          <w:w w:val="105"/>
        </w:rPr>
        <w:t>con</w:t>
      </w:r>
      <w:r>
        <w:rPr>
          <w:color w:val="231F20"/>
          <w:spacing w:val="-17"/>
          <w:w w:val="105"/>
        </w:rPr>
        <w:t> </w:t>
      </w:r>
      <w:r>
        <w:rPr>
          <w:color w:val="231F20"/>
          <w:w w:val="105"/>
        </w:rPr>
        <w:t>un</w:t>
      </w:r>
      <w:r>
        <w:rPr>
          <w:color w:val="231F20"/>
          <w:spacing w:val="-17"/>
          <w:w w:val="105"/>
        </w:rPr>
        <w:t> </w:t>
      </w:r>
      <w:r>
        <w:rPr>
          <w:color w:val="231F20"/>
          <w:w w:val="105"/>
        </w:rPr>
        <w:t>Derecho</w:t>
      </w:r>
      <w:r>
        <w:rPr>
          <w:color w:val="231F20"/>
          <w:spacing w:val="-17"/>
          <w:w w:val="105"/>
        </w:rPr>
        <w:t> </w:t>
      </w:r>
      <w:r>
        <w:rPr>
          <w:color w:val="231F20"/>
          <w:w w:val="105"/>
        </w:rPr>
        <w:t>penal</w:t>
      </w:r>
      <w:r>
        <w:rPr>
          <w:color w:val="231F20"/>
          <w:spacing w:val="-17"/>
          <w:w w:val="105"/>
        </w:rPr>
        <w:t> </w:t>
      </w:r>
      <w:r>
        <w:rPr>
          <w:color w:val="231F20"/>
          <w:w w:val="105"/>
        </w:rPr>
        <w:t>de emergencia</w:t>
      </w:r>
      <w:r>
        <w:rPr>
          <w:color w:val="231F20"/>
          <w:spacing w:val="-28"/>
          <w:w w:val="105"/>
        </w:rPr>
        <w:t> </w:t>
      </w:r>
      <w:r>
        <w:rPr>
          <w:color w:val="231F20"/>
          <w:w w:val="105"/>
        </w:rPr>
        <w:t>que</w:t>
      </w:r>
      <w:r>
        <w:rPr>
          <w:color w:val="231F20"/>
          <w:spacing w:val="-28"/>
          <w:w w:val="105"/>
        </w:rPr>
        <w:t> </w:t>
      </w:r>
      <w:r>
        <w:rPr>
          <w:color w:val="231F20"/>
          <w:w w:val="105"/>
        </w:rPr>
        <w:t>rige</w:t>
      </w:r>
      <w:r>
        <w:rPr>
          <w:color w:val="231F20"/>
          <w:spacing w:val="-28"/>
          <w:w w:val="105"/>
        </w:rPr>
        <w:t> </w:t>
      </w:r>
      <w:r>
        <w:rPr>
          <w:color w:val="231F20"/>
          <w:w w:val="105"/>
        </w:rPr>
        <w:t>excepcionalmente</w:t>
      </w:r>
      <w:r>
        <w:rPr>
          <w:color w:val="231F20"/>
          <w:spacing w:val="-28"/>
          <w:w w:val="105"/>
        </w:rPr>
        <w:t> </w:t>
      </w:r>
      <w:r>
        <w:rPr>
          <w:color w:val="231F20"/>
          <w:w w:val="105"/>
        </w:rPr>
        <w:t>y</w:t>
      </w:r>
      <w:r>
        <w:rPr>
          <w:color w:val="231F20"/>
          <w:spacing w:val="-28"/>
          <w:w w:val="105"/>
        </w:rPr>
        <w:t> </w:t>
      </w:r>
      <w:r>
        <w:rPr>
          <w:color w:val="231F20"/>
          <w:w w:val="105"/>
        </w:rPr>
        <w:t>no</w:t>
      </w:r>
      <w:r>
        <w:rPr>
          <w:color w:val="231F20"/>
          <w:spacing w:val="-28"/>
          <w:w w:val="105"/>
        </w:rPr>
        <w:t> </w:t>
      </w:r>
      <w:r>
        <w:rPr>
          <w:color w:val="231F20"/>
          <w:w w:val="105"/>
        </w:rPr>
        <w:t>de</w:t>
      </w:r>
      <w:r>
        <w:rPr>
          <w:color w:val="231F20"/>
          <w:spacing w:val="-28"/>
          <w:w w:val="105"/>
        </w:rPr>
        <w:t> </w:t>
      </w:r>
      <w:r>
        <w:rPr>
          <w:color w:val="231F20"/>
          <w:w w:val="105"/>
        </w:rPr>
        <w:t>manera</w:t>
      </w:r>
      <w:r>
        <w:rPr>
          <w:color w:val="231F20"/>
          <w:spacing w:val="-28"/>
          <w:w w:val="105"/>
        </w:rPr>
        <w:t> </w:t>
      </w:r>
      <w:r>
        <w:rPr>
          <w:color w:val="231F20"/>
          <w:w w:val="105"/>
        </w:rPr>
        <w:t>permanente,</w:t>
      </w:r>
      <w:r>
        <w:rPr>
          <w:color w:val="231F20"/>
          <w:spacing w:val="-28"/>
          <w:w w:val="105"/>
        </w:rPr>
        <w:t> </w:t>
      </w:r>
      <w:r>
        <w:rPr>
          <w:color w:val="231F20"/>
          <w:w w:val="105"/>
        </w:rPr>
        <w:t>tal</w:t>
      </w:r>
      <w:r>
        <w:rPr>
          <w:color w:val="231F20"/>
          <w:spacing w:val="-28"/>
          <w:w w:val="105"/>
        </w:rPr>
        <w:t> </w:t>
      </w:r>
      <w:r>
        <w:rPr>
          <w:color w:val="231F20"/>
          <w:w w:val="105"/>
        </w:rPr>
        <w:t>y como</w:t>
      </w:r>
      <w:r>
        <w:rPr>
          <w:color w:val="231F20"/>
          <w:spacing w:val="-24"/>
          <w:w w:val="105"/>
        </w:rPr>
        <w:t> </w:t>
      </w:r>
      <w:r>
        <w:rPr>
          <w:color w:val="231F20"/>
          <w:w w:val="105"/>
        </w:rPr>
        <w:t>ha</w:t>
      </w:r>
      <w:r>
        <w:rPr>
          <w:color w:val="231F20"/>
          <w:spacing w:val="-24"/>
          <w:w w:val="105"/>
        </w:rPr>
        <w:t> </w:t>
      </w:r>
      <w:r>
        <w:rPr>
          <w:color w:val="231F20"/>
          <w:w w:val="105"/>
        </w:rPr>
        <w:t>sido</w:t>
      </w:r>
      <w:r>
        <w:rPr>
          <w:color w:val="231F20"/>
          <w:spacing w:val="-24"/>
          <w:w w:val="105"/>
        </w:rPr>
        <w:t> </w:t>
      </w:r>
      <w:r>
        <w:rPr>
          <w:color w:val="231F20"/>
          <w:w w:val="105"/>
        </w:rPr>
        <w:t>utilizado</w:t>
      </w:r>
      <w:r>
        <w:rPr>
          <w:color w:val="231F20"/>
          <w:spacing w:val="-24"/>
          <w:w w:val="105"/>
        </w:rPr>
        <w:t> </w:t>
      </w:r>
      <w:r>
        <w:rPr>
          <w:color w:val="231F20"/>
          <w:w w:val="105"/>
        </w:rPr>
        <w:t>por</w:t>
      </w:r>
      <w:r>
        <w:rPr>
          <w:color w:val="231F20"/>
          <w:spacing w:val="-24"/>
          <w:w w:val="105"/>
        </w:rPr>
        <w:t> </w:t>
      </w:r>
      <w:r>
        <w:rPr>
          <w:color w:val="231F20"/>
          <w:w w:val="105"/>
        </w:rPr>
        <w:t>los</w:t>
      </w:r>
      <w:r>
        <w:rPr>
          <w:color w:val="231F20"/>
          <w:spacing w:val="-24"/>
          <w:w w:val="105"/>
        </w:rPr>
        <w:t> </w:t>
      </w:r>
      <w:r>
        <w:rPr>
          <w:color w:val="231F20"/>
          <w:w w:val="105"/>
        </w:rPr>
        <w:t>Estados</w:t>
      </w:r>
      <w:r>
        <w:rPr>
          <w:color w:val="231F20"/>
          <w:spacing w:val="-24"/>
          <w:w w:val="105"/>
        </w:rPr>
        <w:t> </w:t>
      </w:r>
      <w:r>
        <w:rPr>
          <w:color w:val="231F20"/>
          <w:w w:val="105"/>
        </w:rPr>
        <w:t>Unidos.</w:t>
      </w:r>
    </w:p>
    <w:p>
      <w:pPr>
        <w:pStyle w:val="BodyText"/>
        <w:spacing w:line="247" w:lineRule="auto"/>
        <w:ind w:left="103" w:right="115" w:firstLine="566"/>
        <w:jc w:val="both"/>
      </w:pPr>
      <w:r>
        <w:rPr>
          <w:color w:val="231F20"/>
        </w:rPr>
        <w:t>Sin embargo, aunque tanto Schmitt como Jakobs dan un lugar im- portante a la figura del enemigo en sus respectivas propuestas, sin duda no coinciden en todos los puntos. El propio Jakobs comenta uno de los aspectos de su divergencia:</w:t>
      </w:r>
    </w:p>
    <w:p>
      <w:pPr>
        <w:pStyle w:val="BodyText"/>
        <w:spacing w:before="10"/>
        <w:rPr>
          <w:sz w:val="22"/>
        </w:rPr>
      </w:pPr>
    </w:p>
    <w:p>
      <w:pPr>
        <w:spacing w:line="220" w:lineRule="exact" w:before="1"/>
        <w:ind w:left="1521" w:right="114" w:firstLine="0"/>
        <w:jc w:val="both"/>
        <w:rPr>
          <w:sz w:val="19"/>
        </w:rPr>
      </w:pPr>
      <w:r>
        <w:rPr>
          <w:color w:val="231F20"/>
          <w:w w:val="105"/>
          <w:sz w:val="19"/>
        </w:rPr>
        <w:t>En</w:t>
      </w:r>
      <w:r>
        <w:rPr>
          <w:color w:val="231F20"/>
          <w:spacing w:val="-29"/>
          <w:w w:val="105"/>
          <w:sz w:val="19"/>
        </w:rPr>
        <w:t> </w:t>
      </w:r>
      <w:r>
        <w:rPr>
          <w:color w:val="231F20"/>
          <w:w w:val="105"/>
          <w:sz w:val="19"/>
        </w:rPr>
        <w:t>primer</w:t>
      </w:r>
      <w:r>
        <w:rPr>
          <w:color w:val="231F20"/>
          <w:spacing w:val="-29"/>
          <w:w w:val="105"/>
          <w:sz w:val="19"/>
        </w:rPr>
        <w:t> </w:t>
      </w:r>
      <w:r>
        <w:rPr>
          <w:color w:val="231F20"/>
          <w:spacing w:val="-3"/>
          <w:w w:val="105"/>
          <w:sz w:val="19"/>
        </w:rPr>
        <w:t>lugar,</w:t>
      </w:r>
      <w:r>
        <w:rPr>
          <w:color w:val="231F20"/>
          <w:spacing w:val="-29"/>
          <w:w w:val="105"/>
          <w:sz w:val="19"/>
        </w:rPr>
        <w:t> </w:t>
      </w:r>
      <w:r>
        <w:rPr>
          <w:color w:val="231F20"/>
          <w:w w:val="105"/>
          <w:sz w:val="19"/>
        </w:rPr>
        <w:t>el</w:t>
      </w:r>
      <w:r>
        <w:rPr>
          <w:color w:val="231F20"/>
          <w:spacing w:val="-29"/>
          <w:w w:val="105"/>
          <w:sz w:val="19"/>
        </w:rPr>
        <w:t> </w:t>
      </w:r>
      <w:r>
        <w:rPr>
          <w:color w:val="231F20"/>
          <w:w w:val="105"/>
          <w:sz w:val="19"/>
        </w:rPr>
        <w:t>concepto</w:t>
      </w:r>
      <w:r>
        <w:rPr>
          <w:color w:val="231F20"/>
          <w:spacing w:val="-29"/>
          <w:w w:val="105"/>
          <w:sz w:val="19"/>
        </w:rPr>
        <w:t> </w:t>
      </w:r>
      <w:r>
        <w:rPr>
          <w:color w:val="231F20"/>
          <w:w w:val="105"/>
          <w:sz w:val="19"/>
        </w:rPr>
        <w:t>[enemigo]</w:t>
      </w:r>
      <w:r>
        <w:rPr>
          <w:color w:val="231F20"/>
          <w:spacing w:val="-29"/>
          <w:w w:val="105"/>
          <w:sz w:val="19"/>
        </w:rPr>
        <w:t> </w:t>
      </w:r>
      <w:r>
        <w:rPr>
          <w:color w:val="231F20"/>
          <w:w w:val="105"/>
          <w:sz w:val="19"/>
        </w:rPr>
        <w:t>aquí</w:t>
      </w:r>
      <w:r>
        <w:rPr>
          <w:color w:val="231F20"/>
          <w:spacing w:val="-29"/>
          <w:w w:val="105"/>
          <w:sz w:val="19"/>
        </w:rPr>
        <w:t> </w:t>
      </w:r>
      <w:r>
        <w:rPr>
          <w:color w:val="231F20"/>
          <w:w w:val="105"/>
          <w:sz w:val="19"/>
        </w:rPr>
        <w:t>utilizado</w:t>
      </w:r>
      <w:r>
        <w:rPr>
          <w:color w:val="231F20"/>
          <w:spacing w:val="-29"/>
          <w:w w:val="105"/>
          <w:sz w:val="19"/>
        </w:rPr>
        <w:t> </w:t>
      </w:r>
      <w:r>
        <w:rPr>
          <w:color w:val="231F20"/>
          <w:w w:val="105"/>
          <w:sz w:val="19"/>
        </w:rPr>
        <w:t>no</w:t>
      </w:r>
      <w:r>
        <w:rPr>
          <w:color w:val="231F20"/>
          <w:spacing w:val="-29"/>
          <w:w w:val="105"/>
          <w:sz w:val="19"/>
        </w:rPr>
        <w:t> </w:t>
      </w:r>
      <w:r>
        <w:rPr>
          <w:color w:val="231F20"/>
          <w:w w:val="105"/>
          <w:sz w:val="19"/>
        </w:rPr>
        <w:t>es</w:t>
      </w:r>
      <w:r>
        <w:rPr>
          <w:color w:val="231F20"/>
          <w:spacing w:val="-29"/>
          <w:w w:val="105"/>
          <w:sz w:val="19"/>
        </w:rPr>
        <w:t> </w:t>
      </w:r>
      <w:r>
        <w:rPr>
          <w:color w:val="231F20"/>
          <w:w w:val="105"/>
          <w:sz w:val="19"/>
        </w:rPr>
        <w:t>el</w:t>
      </w:r>
      <w:r>
        <w:rPr>
          <w:color w:val="231F20"/>
          <w:spacing w:val="-29"/>
          <w:w w:val="105"/>
          <w:sz w:val="19"/>
        </w:rPr>
        <w:t> </w:t>
      </w:r>
      <w:r>
        <w:rPr>
          <w:color w:val="231F20"/>
          <w:w w:val="105"/>
          <w:sz w:val="19"/>
        </w:rPr>
        <w:t>que se</w:t>
      </w:r>
      <w:r>
        <w:rPr>
          <w:color w:val="231F20"/>
          <w:spacing w:val="-23"/>
          <w:w w:val="105"/>
          <w:sz w:val="19"/>
        </w:rPr>
        <w:t> </w:t>
      </w:r>
      <w:r>
        <w:rPr>
          <w:color w:val="231F20"/>
          <w:w w:val="105"/>
          <w:sz w:val="19"/>
        </w:rPr>
        <w:t>formula</w:t>
      </w:r>
      <w:r>
        <w:rPr>
          <w:color w:val="231F20"/>
          <w:spacing w:val="-23"/>
          <w:w w:val="105"/>
          <w:sz w:val="19"/>
        </w:rPr>
        <w:t> </w:t>
      </w:r>
      <w:r>
        <w:rPr>
          <w:color w:val="231F20"/>
          <w:w w:val="105"/>
          <w:sz w:val="19"/>
        </w:rPr>
        <w:t>en</w:t>
      </w:r>
      <w:r>
        <w:rPr>
          <w:color w:val="231F20"/>
          <w:spacing w:val="-23"/>
          <w:w w:val="105"/>
          <w:sz w:val="19"/>
        </w:rPr>
        <w:t> </w:t>
      </w:r>
      <w:r>
        <w:rPr>
          <w:color w:val="231F20"/>
          <w:w w:val="105"/>
          <w:sz w:val="19"/>
        </w:rPr>
        <w:t>“Der</w:t>
      </w:r>
      <w:r>
        <w:rPr>
          <w:color w:val="231F20"/>
          <w:spacing w:val="-23"/>
          <w:w w:val="105"/>
          <w:sz w:val="19"/>
        </w:rPr>
        <w:t> </w:t>
      </w:r>
      <w:r>
        <w:rPr>
          <w:color w:val="231F20"/>
          <w:w w:val="105"/>
          <w:sz w:val="19"/>
        </w:rPr>
        <w:t>Begriff</w:t>
      </w:r>
      <w:r>
        <w:rPr>
          <w:color w:val="231F20"/>
          <w:spacing w:val="-23"/>
          <w:w w:val="105"/>
          <w:sz w:val="19"/>
        </w:rPr>
        <w:t> </w:t>
      </w:r>
      <w:r>
        <w:rPr>
          <w:color w:val="231F20"/>
          <w:w w:val="105"/>
          <w:sz w:val="19"/>
        </w:rPr>
        <w:t>des</w:t>
      </w:r>
      <w:r>
        <w:rPr>
          <w:color w:val="231F20"/>
          <w:spacing w:val="-23"/>
          <w:w w:val="105"/>
          <w:sz w:val="19"/>
        </w:rPr>
        <w:t> </w:t>
      </w:r>
      <w:r>
        <w:rPr>
          <w:color w:val="231F20"/>
          <w:w w:val="105"/>
          <w:sz w:val="19"/>
        </w:rPr>
        <w:t>Politischen”</w:t>
      </w:r>
      <w:r>
        <w:rPr>
          <w:color w:val="231F20"/>
          <w:spacing w:val="-23"/>
          <w:w w:val="105"/>
          <w:sz w:val="19"/>
        </w:rPr>
        <w:t> </w:t>
      </w:r>
      <w:r>
        <w:rPr>
          <w:color w:val="231F20"/>
          <w:w w:val="105"/>
          <w:sz w:val="19"/>
        </w:rPr>
        <w:t>de</w:t>
      </w:r>
      <w:r>
        <w:rPr>
          <w:color w:val="231F20"/>
          <w:spacing w:val="-23"/>
          <w:w w:val="105"/>
          <w:sz w:val="19"/>
        </w:rPr>
        <w:t> </w:t>
      </w:r>
      <w:r>
        <w:rPr>
          <w:color w:val="231F20"/>
          <w:w w:val="105"/>
          <w:sz w:val="19"/>
        </w:rPr>
        <w:t>Carl</w:t>
      </w:r>
      <w:r>
        <w:rPr>
          <w:color w:val="231F20"/>
          <w:spacing w:val="-23"/>
          <w:w w:val="105"/>
          <w:sz w:val="19"/>
        </w:rPr>
        <w:t> </w:t>
      </w:r>
      <w:r>
        <w:rPr>
          <w:color w:val="231F20"/>
          <w:w w:val="105"/>
          <w:sz w:val="19"/>
        </w:rPr>
        <w:t>Schmitt,</w:t>
      </w:r>
      <w:r>
        <w:rPr>
          <w:color w:val="231F20"/>
          <w:spacing w:val="-23"/>
          <w:w w:val="105"/>
          <w:sz w:val="19"/>
        </w:rPr>
        <w:t> </w:t>
      </w:r>
      <w:r>
        <w:rPr>
          <w:color w:val="231F20"/>
          <w:w w:val="105"/>
          <w:sz w:val="19"/>
        </w:rPr>
        <w:t>el</w:t>
      </w:r>
      <w:r>
        <w:rPr>
          <w:color w:val="231F20"/>
          <w:spacing w:val="-23"/>
          <w:w w:val="105"/>
          <w:sz w:val="19"/>
        </w:rPr>
        <w:t> </w:t>
      </w:r>
      <w:r>
        <w:rPr>
          <w:color w:val="231F20"/>
          <w:w w:val="105"/>
          <w:sz w:val="19"/>
        </w:rPr>
        <w:t>del enemigo</w:t>
      </w:r>
      <w:r>
        <w:rPr>
          <w:color w:val="231F20"/>
          <w:spacing w:val="-7"/>
          <w:w w:val="105"/>
          <w:sz w:val="19"/>
        </w:rPr>
        <w:t> </w:t>
      </w:r>
      <w:r>
        <w:rPr>
          <w:color w:val="231F20"/>
          <w:w w:val="105"/>
          <w:sz w:val="19"/>
        </w:rPr>
        <w:t>en</w:t>
      </w:r>
      <w:r>
        <w:rPr>
          <w:color w:val="231F20"/>
          <w:spacing w:val="-7"/>
          <w:w w:val="105"/>
          <w:sz w:val="19"/>
        </w:rPr>
        <w:t> </w:t>
      </w:r>
      <w:r>
        <w:rPr>
          <w:color w:val="231F20"/>
          <w:w w:val="105"/>
          <w:sz w:val="19"/>
        </w:rPr>
        <w:t>cuanto</w:t>
      </w:r>
      <w:r>
        <w:rPr>
          <w:color w:val="231F20"/>
          <w:spacing w:val="-7"/>
          <w:w w:val="105"/>
          <w:sz w:val="19"/>
        </w:rPr>
        <w:t> </w:t>
      </w:r>
      <w:r>
        <w:rPr>
          <w:color w:val="231F20"/>
          <w:w w:val="105"/>
          <w:sz w:val="19"/>
        </w:rPr>
        <w:t>adversario</w:t>
      </w:r>
      <w:r>
        <w:rPr>
          <w:color w:val="231F20"/>
          <w:spacing w:val="-7"/>
          <w:w w:val="105"/>
          <w:sz w:val="19"/>
        </w:rPr>
        <w:t> </w:t>
      </w:r>
      <w:r>
        <w:rPr>
          <w:color w:val="231F20"/>
          <w:w w:val="105"/>
          <w:sz w:val="19"/>
        </w:rPr>
        <w:t>existencial.</w:t>
      </w:r>
      <w:r>
        <w:rPr>
          <w:color w:val="231F20"/>
          <w:spacing w:val="-7"/>
          <w:w w:val="105"/>
          <w:sz w:val="19"/>
        </w:rPr>
        <w:t> </w:t>
      </w:r>
      <w:r>
        <w:rPr>
          <w:color w:val="231F20"/>
          <w:w w:val="105"/>
          <w:sz w:val="19"/>
        </w:rPr>
        <w:t>Para</w:t>
      </w:r>
      <w:r>
        <w:rPr>
          <w:color w:val="231F20"/>
          <w:spacing w:val="-7"/>
          <w:w w:val="105"/>
          <w:sz w:val="19"/>
        </w:rPr>
        <w:t> </w:t>
      </w:r>
      <w:r>
        <w:rPr>
          <w:color w:val="231F20"/>
          <w:w w:val="105"/>
          <w:sz w:val="19"/>
        </w:rPr>
        <w:t>Carl</w:t>
      </w:r>
      <w:r>
        <w:rPr>
          <w:color w:val="231F20"/>
          <w:spacing w:val="-7"/>
          <w:w w:val="105"/>
          <w:sz w:val="19"/>
        </w:rPr>
        <w:t> </w:t>
      </w:r>
      <w:r>
        <w:rPr>
          <w:color w:val="231F20"/>
          <w:w w:val="105"/>
          <w:sz w:val="19"/>
        </w:rPr>
        <w:t>Schmitt,</w:t>
      </w:r>
      <w:r>
        <w:rPr>
          <w:color w:val="231F20"/>
          <w:spacing w:val="-7"/>
          <w:w w:val="105"/>
          <w:sz w:val="19"/>
        </w:rPr>
        <w:t> </w:t>
      </w:r>
      <w:r>
        <w:rPr>
          <w:color w:val="231F20"/>
          <w:w w:val="105"/>
          <w:sz w:val="19"/>
        </w:rPr>
        <w:t>el concepto de lo político es un concepto teológico secularizado, que</w:t>
      </w:r>
      <w:r>
        <w:rPr>
          <w:color w:val="231F20"/>
          <w:spacing w:val="-10"/>
          <w:w w:val="105"/>
          <w:sz w:val="19"/>
        </w:rPr>
        <w:t> </w:t>
      </w:r>
      <w:r>
        <w:rPr>
          <w:color w:val="231F20"/>
          <w:w w:val="105"/>
          <w:sz w:val="19"/>
        </w:rPr>
        <w:t>separa</w:t>
      </w:r>
      <w:r>
        <w:rPr>
          <w:color w:val="231F20"/>
          <w:spacing w:val="-10"/>
          <w:w w:val="105"/>
          <w:sz w:val="19"/>
        </w:rPr>
        <w:t> </w:t>
      </w:r>
      <w:r>
        <w:rPr>
          <w:color w:val="231F20"/>
          <w:w w:val="105"/>
          <w:sz w:val="19"/>
        </w:rPr>
        <w:t>más</w:t>
      </w:r>
      <w:r>
        <w:rPr>
          <w:color w:val="231F20"/>
          <w:spacing w:val="-10"/>
          <w:w w:val="105"/>
          <w:sz w:val="19"/>
        </w:rPr>
        <w:t> </w:t>
      </w:r>
      <w:r>
        <w:rPr>
          <w:color w:val="231F20"/>
          <w:w w:val="105"/>
          <w:sz w:val="19"/>
        </w:rPr>
        <w:t>bien</w:t>
      </w:r>
      <w:r>
        <w:rPr>
          <w:color w:val="231F20"/>
          <w:spacing w:val="-10"/>
          <w:w w:val="105"/>
          <w:sz w:val="19"/>
        </w:rPr>
        <w:t> </w:t>
      </w:r>
      <w:r>
        <w:rPr>
          <w:color w:val="231F20"/>
          <w:w w:val="105"/>
          <w:sz w:val="19"/>
        </w:rPr>
        <w:t>los</w:t>
      </w:r>
      <w:r>
        <w:rPr>
          <w:color w:val="231F20"/>
          <w:spacing w:val="-10"/>
          <w:w w:val="105"/>
          <w:sz w:val="19"/>
        </w:rPr>
        <w:t> </w:t>
      </w:r>
      <w:r>
        <w:rPr>
          <w:color w:val="231F20"/>
          <w:w w:val="105"/>
          <w:sz w:val="19"/>
        </w:rPr>
        <w:t>que</w:t>
      </w:r>
      <w:r>
        <w:rPr>
          <w:color w:val="231F20"/>
          <w:spacing w:val="-10"/>
          <w:w w:val="105"/>
          <w:sz w:val="19"/>
        </w:rPr>
        <w:t> </w:t>
      </w:r>
      <w:r>
        <w:rPr>
          <w:color w:val="231F20"/>
          <w:w w:val="105"/>
          <w:sz w:val="19"/>
        </w:rPr>
        <w:t>temen</w:t>
      </w:r>
      <w:r>
        <w:rPr>
          <w:color w:val="231F20"/>
          <w:spacing w:val="-10"/>
          <w:w w:val="105"/>
          <w:sz w:val="19"/>
        </w:rPr>
        <w:t> </w:t>
      </w:r>
      <w:r>
        <w:rPr>
          <w:color w:val="231F20"/>
          <w:w w:val="105"/>
          <w:sz w:val="19"/>
        </w:rPr>
        <w:t>a</w:t>
      </w:r>
      <w:r>
        <w:rPr>
          <w:color w:val="231F20"/>
          <w:spacing w:val="-10"/>
          <w:w w:val="105"/>
          <w:sz w:val="19"/>
        </w:rPr>
        <w:t> </w:t>
      </w:r>
      <w:r>
        <w:rPr>
          <w:color w:val="231F20"/>
          <w:w w:val="105"/>
          <w:sz w:val="19"/>
        </w:rPr>
        <w:t>Dios</w:t>
      </w:r>
      <w:r>
        <w:rPr>
          <w:color w:val="231F20"/>
          <w:spacing w:val="-10"/>
          <w:w w:val="105"/>
          <w:sz w:val="19"/>
        </w:rPr>
        <w:t> </w:t>
      </w:r>
      <w:r>
        <w:rPr>
          <w:color w:val="231F20"/>
          <w:w w:val="105"/>
          <w:sz w:val="19"/>
        </w:rPr>
        <w:t>de</w:t>
      </w:r>
      <w:r>
        <w:rPr>
          <w:color w:val="231F20"/>
          <w:spacing w:val="-10"/>
          <w:w w:val="105"/>
          <w:sz w:val="19"/>
        </w:rPr>
        <w:t> </w:t>
      </w:r>
      <w:r>
        <w:rPr>
          <w:color w:val="231F20"/>
          <w:w w:val="105"/>
          <w:sz w:val="19"/>
        </w:rPr>
        <w:t>los</w:t>
      </w:r>
      <w:r>
        <w:rPr>
          <w:color w:val="231F20"/>
          <w:spacing w:val="-10"/>
          <w:w w:val="105"/>
          <w:sz w:val="19"/>
        </w:rPr>
        <w:t> </w:t>
      </w:r>
      <w:r>
        <w:rPr>
          <w:color w:val="231F20"/>
          <w:w w:val="105"/>
          <w:sz w:val="19"/>
        </w:rPr>
        <w:t>que</w:t>
      </w:r>
      <w:r>
        <w:rPr>
          <w:color w:val="231F20"/>
          <w:spacing w:val="-10"/>
          <w:w w:val="105"/>
          <w:sz w:val="19"/>
        </w:rPr>
        <w:t> </w:t>
      </w:r>
      <w:r>
        <w:rPr>
          <w:color w:val="231F20"/>
          <w:w w:val="105"/>
          <w:sz w:val="19"/>
        </w:rPr>
        <w:t>no</w:t>
      </w:r>
      <w:r>
        <w:rPr>
          <w:color w:val="231F20"/>
          <w:spacing w:val="-10"/>
          <w:w w:val="105"/>
          <w:sz w:val="19"/>
        </w:rPr>
        <w:t> </w:t>
      </w:r>
      <w:r>
        <w:rPr>
          <w:color w:val="231F20"/>
          <w:w w:val="105"/>
          <w:sz w:val="19"/>
        </w:rPr>
        <w:t>tienen Dios</w:t>
      </w:r>
      <w:r>
        <w:rPr>
          <w:color w:val="231F20"/>
          <w:spacing w:val="-10"/>
          <w:w w:val="105"/>
          <w:sz w:val="19"/>
        </w:rPr>
        <w:t> </w:t>
      </w:r>
      <w:r>
        <w:rPr>
          <w:color w:val="231F20"/>
          <w:w w:val="105"/>
          <w:sz w:val="19"/>
        </w:rPr>
        <w:t>que</w:t>
      </w:r>
      <w:r>
        <w:rPr>
          <w:color w:val="231F20"/>
          <w:spacing w:val="-10"/>
          <w:w w:val="105"/>
          <w:sz w:val="19"/>
        </w:rPr>
        <w:t> </w:t>
      </w:r>
      <w:r>
        <w:rPr>
          <w:color w:val="231F20"/>
          <w:w w:val="105"/>
          <w:sz w:val="19"/>
        </w:rPr>
        <w:t>a</w:t>
      </w:r>
      <w:r>
        <w:rPr>
          <w:color w:val="231F20"/>
          <w:spacing w:val="-10"/>
          <w:w w:val="105"/>
          <w:sz w:val="19"/>
        </w:rPr>
        <w:t> </w:t>
      </w:r>
      <w:r>
        <w:rPr>
          <w:color w:val="231F20"/>
          <w:w w:val="105"/>
          <w:sz w:val="19"/>
        </w:rPr>
        <w:t>los</w:t>
      </w:r>
      <w:r>
        <w:rPr>
          <w:color w:val="231F20"/>
          <w:spacing w:val="-10"/>
          <w:w w:val="105"/>
          <w:sz w:val="19"/>
        </w:rPr>
        <w:t> </w:t>
      </w:r>
      <w:r>
        <w:rPr>
          <w:color w:val="231F20"/>
          <w:w w:val="105"/>
          <w:sz w:val="19"/>
        </w:rPr>
        <w:t>oponentes</w:t>
      </w:r>
      <w:r>
        <w:rPr>
          <w:color w:val="231F20"/>
          <w:spacing w:val="-10"/>
          <w:w w:val="105"/>
          <w:sz w:val="19"/>
        </w:rPr>
        <w:t> </w:t>
      </w:r>
      <w:r>
        <w:rPr>
          <w:color w:val="231F20"/>
          <w:w w:val="105"/>
          <w:sz w:val="19"/>
        </w:rPr>
        <w:t>políticos</w:t>
      </w:r>
      <w:r>
        <w:rPr>
          <w:color w:val="231F20"/>
          <w:spacing w:val="-10"/>
          <w:w w:val="105"/>
          <w:sz w:val="19"/>
        </w:rPr>
        <w:t> </w:t>
      </w:r>
      <w:r>
        <w:rPr>
          <w:color w:val="231F20"/>
          <w:w w:val="105"/>
          <w:sz w:val="19"/>
        </w:rPr>
        <w:t>en</w:t>
      </w:r>
      <w:r>
        <w:rPr>
          <w:color w:val="231F20"/>
          <w:spacing w:val="-10"/>
          <w:w w:val="105"/>
          <w:sz w:val="19"/>
        </w:rPr>
        <w:t> </w:t>
      </w:r>
      <w:r>
        <w:rPr>
          <w:color w:val="231F20"/>
          <w:w w:val="105"/>
          <w:sz w:val="19"/>
        </w:rPr>
        <w:t>el</w:t>
      </w:r>
      <w:r>
        <w:rPr>
          <w:color w:val="231F20"/>
          <w:spacing w:val="-10"/>
          <w:w w:val="105"/>
          <w:sz w:val="19"/>
        </w:rPr>
        <w:t> </w:t>
      </w:r>
      <w:r>
        <w:rPr>
          <w:color w:val="231F20"/>
          <w:w w:val="105"/>
          <w:sz w:val="19"/>
        </w:rPr>
        <w:t>sentido</w:t>
      </w:r>
      <w:r>
        <w:rPr>
          <w:color w:val="231F20"/>
          <w:spacing w:val="-10"/>
          <w:w w:val="105"/>
          <w:sz w:val="19"/>
        </w:rPr>
        <w:t> </w:t>
      </w:r>
      <w:r>
        <w:rPr>
          <w:color w:val="231F20"/>
          <w:w w:val="105"/>
          <w:sz w:val="19"/>
        </w:rPr>
        <w:t>hoy</w:t>
      </w:r>
      <w:r>
        <w:rPr>
          <w:color w:val="231F20"/>
          <w:spacing w:val="-10"/>
          <w:w w:val="105"/>
          <w:sz w:val="19"/>
        </w:rPr>
        <w:t> </w:t>
      </w:r>
      <w:r>
        <w:rPr>
          <w:color w:val="231F20"/>
          <w:w w:val="105"/>
          <w:sz w:val="19"/>
        </w:rPr>
        <w:t>habitual.</w:t>
      </w:r>
      <w:r>
        <w:rPr>
          <w:color w:val="231F20"/>
          <w:spacing w:val="-10"/>
          <w:w w:val="105"/>
          <w:sz w:val="19"/>
        </w:rPr>
        <w:t> </w:t>
      </w:r>
      <w:r>
        <w:rPr>
          <w:color w:val="231F20"/>
          <w:w w:val="105"/>
          <w:sz w:val="19"/>
        </w:rPr>
        <w:t>El concepto</w:t>
      </w:r>
      <w:r>
        <w:rPr>
          <w:color w:val="231F20"/>
          <w:spacing w:val="-11"/>
          <w:w w:val="105"/>
          <w:sz w:val="19"/>
        </w:rPr>
        <w:t> </w:t>
      </w:r>
      <w:r>
        <w:rPr>
          <w:color w:val="231F20"/>
          <w:w w:val="105"/>
          <w:sz w:val="19"/>
        </w:rPr>
        <w:t>de</w:t>
      </w:r>
      <w:r>
        <w:rPr>
          <w:color w:val="231F20"/>
          <w:spacing w:val="-11"/>
          <w:w w:val="105"/>
          <w:sz w:val="19"/>
        </w:rPr>
        <w:t> </w:t>
      </w:r>
      <w:r>
        <w:rPr>
          <w:color w:val="231F20"/>
          <w:w w:val="105"/>
          <w:sz w:val="19"/>
        </w:rPr>
        <w:t>Schmitt</w:t>
      </w:r>
      <w:r>
        <w:rPr>
          <w:color w:val="231F20"/>
          <w:spacing w:val="-11"/>
          <w:w w:val="105"/>
          <w:sz w:val="19"/>
        </w:rPr>
        <w:t> </w:t>
      </w:r>
      <w:r>
        <w:rPr>
          <w:color w:val="231F20"/>
          <w:w w:val="105"/>
          <w:sz w:val="19"/>
        </w:rPr>
        <w:t>no</w:t>
      </w:r>
      <w:r>
        <w:rPr>
          <w:color w:val="231F20"/>
          <w:spacing w:val="-11"/>
          <w:w w:val="105"/>
          <w:sz w:val="19"/>
        </w:rPr>
        <w:t> </w:t>
      </w:r>
      <w:r>
        <w:rPr>
          <w:color w:val="231F20"/>
          <w:w w:val="105"/>
          <w:sz w:val="19"/>
        </w:rPr>
        <w:t>se</w:t>
      </w:r>
      <w:r>
        <w:rPr>
          <w:color w:val="231F20"/>
          <w:spacing w:val="-11"/>
          <w:w w:val="105"/>
          <w:sz w:val="19"/>
        </w:rPr>
        <w:t> </w:t>
      </w:r>
      <w:r>
        <w:rPr>
          <w:color w:val="231F20"/>
          <w:w w:val="105"/>
          <w:sz w:val="19"/>
        </w:rPr>
        <w:t>refiere</w:t>
      </w:r>
      <w:r>
        <w:rPr>
          <w:color w:val="231F20"/>
          <w:spacing w:val="-11"/>
          <w:w w:val="105"/>
          <w:sz w:val="19"/>
        </w:rPr>
        <w:t> </w:t>
      </w:r>
      <w:r>
        <w:rPr>
          <w:color w:val="231F20"/>
          <w:w w:val="105"/>
          <w:sz w:val="19"/>
        </w:rPr>
        <w:t>a</w:t>
      </w:r>
      <w:r>
        <w:rPr>
          <w:color w:val="231F20"/>
          <w:spacing w:val="-11"/>
          <w:w w:val="105"/>
          <w:sz w:val="19"/>
        </w:rPr>
        <w:t> </w:t>
      </w:r>
      <w:r>
        <w:rPr>
          <w:color w:val="231F20"/>
          <w:w w:val="105"/>
          <w:sz w:val="19"/>
        </w:rPr>
        <w:t>un</w:t>
      </w:r>
      <w:r>
        <w:rPr>
          <w:color w:val="231F20"/>
          <w:spacing w:val="-11"/>
          <w:w w:val="105"/>
          <w:sz w:val="19"/>
        </w:rPr>
        <w:t> </w:t>
      </w:r>
      <w:r>
        <w:rPr>
          <w:color w:val="231F20"/>
          <w:w w:val="105"/>
          <w:sz w:val="19"/>
        </w:rPr>
        <w:t>delincuente,</w:t>
      </w:r>
      <w:r>
        <w:rPr>
          <w:color w:val="231F20"/>
          <w:spacing w:val="-11"/>
          <w:w w:val="105"/>
          <w:sz w:val="19"/>
        </w:rPr>
        <w:t> </w:t>
      </w:r>
      <w:r>
        <w:rPr>
          <w:color w:val="231F20"/>
          <w:w w:val="105"/>
          <w:sz w:val="19"/>
        </w:rPr>
        <w:t>sino</w:t>
      </w:r>
      <w:r>
        <w:rPr>
          <w:color w:val="231F20"/>
          <w:spacing w:val="-11"/>
          <w:w w:val="105"/>
          <w:sz w:val="19"/>
        </w:rPr>
        <w:t> </w:t>
      </w:r>
      <w:r>
        <w:rPr>
          <w:color w:val="231F20"/>
          <w:w w:val="105"/>
          <w:sz w:val="19"/>
        </w:rPr>
        <w:t>al</w:t>
      </w:r>
      <w:r>
        <w:rPr>
          <w:color w:val="231F20"/>
          <w:spacing w:val="-11"/>
          <w:w w:val="105"/>
          <w:sz w:val="19"/>
        </w:rPr>
        <w:t> </w:t>
      </w:r>
      <w:r>
        <w:rPr>
          <w:rFonts w:ascii="Calibri" w:hAnsi="Calibri"/>
          <w:i/>
          <w:color w:val="231F20"/>
          <w:w w:val="105"/>
          <w:sz w:val="19"/>
        </w:rPr>
        <w:t>ho</w:t>
      </w:r>
      <w:r>
        <w:rPr>
          <w:rFonts w:ascii="Arial" w:hAnsi="Arial"/>
          <w:i/>
          <w:color w:val="231F20"/>
          <w:w w:val="105"/>
          <w:sz w:val="19"/>
        </w:rPr>
        <w:t>s- </w:t>
      </w:r>
      <w:r>
        <w:rPr>
          <w:rFonts w:ascii="Arial" w:hAnsi="Arial"/>
          <w:i/>
          <w:color w:val="231F20"/>
          <w:w w:val="105"/>
          <w:sz w:val="19"/>
        </w:rPr>
        <w:t>tis</w:t>
      </w:r>
      <w:r>
        <w:rPr>
          <w:color w:val="231F20"/>
          <w:w w:val="105"/>
          <w:sz w:val="19"/>
        </w:rPr>
        <w:t>,</w:t>
      </w:r>
      <w:r>
        <w:rPr>
          <w:color w:val="231F20"/>
          <w:spacing w:val="-15"/>
          <w:w w:val="105"/>
          <w:sz w:val="19"/>
        </w:rPr>
        <w:t> </w:t>
      </w:r>
      <w:r>
        <w:rPr>
          <w:color w:val="231F20"/>
          <w:w w:val="105"/>
          <w:sz w:val="19"/>
        </w:rPr>
        <w:t>al</w:t>
      </w:r>
      <w:r>
        <w:rPr>
          <w:color w:val="231F20"/>
          <w:spacing w:val="-15"/>
          <w:w w:val="105"/>
          <w:sz w:val="19"/>
        </w:rPr>
        <w:t> </w:t>
      </w:r>
      <w:r>
        <w:rPr>
          <w:rFonts w:ascii="Arial" w:hAnsi="Arial"/>
          <w:i/>
          <w:color w:val="231F20"/>
          <w:w w:val="105"/>
          <w:sz w:val="19"/>
        </w:rPr>
        <w:t>otro</w:t>
      </w:r>
      <w:r>
        <w:rPr>
          <w:color w:val="231F20"/>
          <w:w w:val="105"/>
          <w:sz w:val="19"/>
        </w:rPr>
        <w:t>;</w:t>
      </w:r>
      <w:r>
        <w:rPr>
          <w:color w:val="231F20"/>
          <w:spacing w:val="-15"/>
          <w:w w:val="105"/>
          <w:sz w:val="19"/>
        </w:rPr>
        <w:t> </w:t>
      </w:r>
      <w:r>
        <w:rPr>
          <w:color w:val="231F20"/>
          <w:w w:val="105"/>
          <w:sz w:val="19"/>
        </w:rPr>
        <w:t>dentro</w:t>
      </w:r>
      <w:r>
        <w:rPr>
          <w:color w:val="231F20"/>
          <w:spacing w:val="-15"/>
          <w:w w:val="105"/>
          <w:sz w:val="19"/>
        </w:rPr>
        <w:t> </w:t>
      </w:r>
      <w:r>
        <w:rPr>
          <w:color w:val="231F20"/>
          <w:w w:val="105"/>
          <w:sz w:val="19"/>
        </w:rPr>
        <w:t>del</w:t>
      </w:r>
      <w:r>
        <w:rPr>
          <w:color w:val="231F20"/>
          <w:spacing w:val="-15"/>
          <w:w w:val="105"/>
          <w:sz w:val="19"/>
        </w:rPr>
        <w:t> </w:t>
      </w:r>
      <w:r>
        <w:rPr>
          <w:color w:val="231F20"/>
          <w:w w:val="105"/>
          <w:sz w:val="19"/>
        </w:rPr>
        <w:t>Estado,</w:t>
      </w:r>
      <w:r>
        <w:rPr>
          <w:color w:val="231F20"/>
          <w:spacing w:val="-15"/>
          <w:w w:val="105"/>
          <w:sz w:val="19"/>
        </w:rPr>
        <w:t> </w:t>
      </w:r>
      <w:r>
        <w:rPr>
          <w:color w:val="231F20"/>
          <w:w w:val="105"/>
          <w:sz w:val="19"/>
        </w:rPr>
        <w:t>sólo</w:t>
      </w:r>
      <w:r>
        <w:rPr>
          <w:color w:val="231F20"/>
          <w:spacing w:val="-15"/>
          <w:w w:val="105"/>
          <w:sz w:val="19"/>
        </w:rPr>
        <w:t> </w:t>
      </w:r>
      <w:r>
        <w:rPr>
          <w:color w:val="231F20"/>
          <w:w w:val="105"/>
          <w:sz w:val="19"/>
        </w:rPr>
        <w:t>cuando</w:t>
      </w:r>
      <w:r>
        <w:rPr>
          <w:color w:val="231F20"/>
          <w:spacing w:val="-15"/>
          <w:w w:val="105"/>
          <w:sz w:val="19"/>
        </w:rPr>
        <w:t> </w:t>
      </w:r>
      <w:r>
        <w:rPr>
          <w:color w:val="231F20"/>
          <w:w w:val="105"/>
          <w:sz w:val="19"/>
        </w:rPr>
        <w:t>se</w:t>
      </w:r>
      <w:r>
        <w:rPr>
          <w:color w:val="231F20"/>
          <w:spacing w:val="-15"/>
          <w:w w:val="105"/>
          <w:sz w:val="19"/>
        </w:rPr>
        <w:t> </w:t>
      </w:r>
      <w:r>
        <w:rPr>
          <w:color w:val="231F20"/>
          <w:w w:val="105"/>
          <w:sz w:val="19"/>
        </w:rPr>
        <w:t>llega</w:t>
      </w:r>
      <w:r>
        <w:rPr>
          <w:color w:val="231F20"/>
          <w:spacing w:val="-15"/>
          <w:w w:val="105"/>
          <w:sz w:val="19"/>
        </w:rPr>
        <w:t> </w:t>
      </w:r>
      <w:r>
        <w:rPr>
          <w:color w:val="231F20"/>
          <w:w w:val="105"/>
          <w:sz w:val="19"/>
        </w:rPr>
        <w:t>a</w:t>
      </w:r>
      <w:r>
        <w:rPr>
          <w:color w:val="231F20"/>
          <w:spacing w:val="-15"/>
          <w:w w:val="105"/>
          <w:sz w:val="19"/>
        </w:rPr>
        <w:t> </w:t>
      </w:r>
      <w:r>
        <w:rPr>
          <w:color w:val="231F20"/>
          <w:w w:val="105"/>
          <w:sz w:val="19"/>
        </w:rPr>
        <w:t>una</w:t>
      </w:r>
      <w:r>
        <w:rPr>
          <w:color w:val="231F20"/>
          <w:spacing w:val="-15"/>
          <w:w w:val="105"/>
          <w:sz w:val="19"/>
        </w:rPr>
        <w:t> </w:t>
      </w:r>
      <w:r>
        <w:rPr>
          <w:color w:val="231F20"/>
          <w:w w:val="105"/>
          <w:sz w:val="19"/>
        </w:rPr>
        <w:t>guerra civil</w:t>
      </w:r>
      <w:r>
        <w:rPr>
          <w:color w:val="231F20"/>
          <w:spacing w:val="-28"/>
          <w:w w:val="105"/>
          <w:sz w:val="19"/>
        </w:rPr>
        <w:t> </w:t>
      </w:r>
      <w:r>
        <w:rPr>
          <w:color w:val="231F20"/>
          <w:w w:val="105"/>
          <w:sz w:val="19"/>
        </w:rPr>
        <w:t>existe</w:t>
      </w:r>
      <w:r>
        <w:rPr>
          <w:color w:val="231F20"/>
          <w:spacing w:val="-28"/>
          <w:w w:val="105"/>
          <w:sz w:val="19"/>
        </w:rPr>
        <w:t> </w:t>
      </w:r>
      <w:r>
        <w:rPr>
          <w:color w:val="231F20"/>
          <w:w w:val="105"/>
          <w:sz w:val="19"/>
        </w:rPr>
        <w:t>una</w:t>
      </w:r>
      <w:r>
        <w:rPr>
          <w:color w:val="231F20"/>
          <w:spacing w:val="-28"/>
          <w:w w:val="105"/>
          <w:sz w:val="19"/>
        </w:rPr>
        <w:t> </w:t>
      </w:r>
      <w:r>
        <w:rPr>
          <w:color w:val="231F20"/>
          <w:w w:val="105"/>
          <w:sz w:val="19"/>
        </w:rPr>
        <w:t>confrontación</w:t>
      </w:r>
      <w:r>
        <w:rPr>
          <w:color w:val="231F20"/>
          <w:spacing w:val="-28"/>
          <w:w w:val="105"/>
          <w:sz w:val="19"/>
        </w:rPr>
        <w:t> </w:t>
      </w:r>
      <w:r>
        <w:rPr>
          <w:color w:val="231F20"/>
          <w:w w:val="105"/>
          <w:sz w:val="19"/>
        </w:rPr>
        <w:t>política</w:t>
      </w:r>
      <w:r>
        <w:rPr>
          <w:color w:val="231F20"/>
          <w:spacing w:val="-28"/>
          <w:w w:val="105"/>
          <w:sz w:val="19"/>
        </w:rPr>
        <w:t> </w:t>
      </w:r>
      <w:r>
        <w:rPr>
          <w:color w:val="231F20"/>
          <w:w w:val="105"/>
          <w:sz w:val="19"/>
        </w:rPr>
        <w:t>en</w:t>
      </w:r>
      <w:r>
        <w:rPr>
          <w:color w:val="231F20"/>
          <w:spacing w:val="-28"/>
          <w:w w:val="105"/>
          <w:sz w:val="19"/>
        </w:rPr>
        <w:t> </w:t>
      </w:r>
      <w:r>
        <w:rPr>
          <w:color w:val="231F20"/>
          <w:w w:val="105"/>
          <w:sz w:val="19"/>
        </w:rPr>
        <w:t>el</w:t>
      </w:r>
      <w:r>
        <w:rPr>
          <w:color w:val="231F20"/>
          <w:spacing w:val="-28"/>
          <w:w w:val="105"/>
          <w:sz w:val="19"/>
        </w:rPr>
        <w:t> </w:t>
      </w:r>
      <w:r>
        <w:rPr>
          <w:color w:val="231F20"/>
          <w:w w:val="105"/>
          <w:sz w:val="19"/>
        </w:rPr>
        <w:t>sentido</w:t>
      </w:r>
      <w:r>
        <w:rPr>
          <w:color w:val="231F20"/>
          <w:spacing w:val="-28"/>
          <w:w w:val="105"/>
          <w:sz w:val="19"/>
        </w:rPr>
        <w:t> </w:t>
      </w:r>
      <w:r>
        <w:rPr>
          <w:color w:val="231F20"/>
          <w:w w:val="105"/>
          <w:sz w:val="19"/>
        </w:rPr>
        <w:t>de</w:t>
      </w:r>
      <w:r>
        <w:rPr>
          <w:color w:val="231F20"/>
          <w:spacing w:val="-28"/>
          <w:w w:val="105"/>
          <w:sz w:val="19"/>
        </w:rPr>
        <w:t> </w:t>
      </w:r>
      <w:r>
        <w:rPr>
          <w:color w:val="231F20"/>
          <w:w w:val="105"/>
          <w:sz w:val="19"/>
        </w:rPr>
        <w:t>Schmitt.</w:t>
      </w:r>
      <w:r>
        <w:rPr>
          <w:color w:val="231F20"/>
          <w:spacing w:val="-28"/>
          <w:w w:val="105"/>
          <w:sz w:val="19"/>
        </w:rPr>
        <w:t> </w:t>
      </w:r>
      <w:r>
        <w:rPr>
          <w:color w:val="231F20"/>
          <w:w w:val="105"/>
          <w:sz w:val="19"/>
        </w:rPr>
        <w:t>En cambio,</w:t>
      </w:r>
      <w:r>
        <w:rPr>
          <w:color w:val="231F20"/>
          <w:spacing w:val="-11"/>
          <w:w w:val="105"/>
          <w:sz w:val="19"/>
        </w:rPr>
        <w:t> </w:t>
      </w:r>
      <w:r>
        <w:rPr>
          <w:color w:val="231F20"/>
          <w:w w:val="105"/>
          <w:sz w:val="19"/>
        </w:rPr>
        <w:t>el</w:t>
      </w:r>
      <w:r>
        <w:rPr>
          <w:color w:val="231F20"/>
          <w:spacing w:val="-11"/>
          <w:w w:val="105"/>
          <w:sz w:val="19"/>
        </w:rPr>
        <w:t> </w:t>
      </w:r>
      <w:r>
        <w:rPr>
          <w:color w:val="231F20"/>
          <w:w w:val="105"/>
          <w:sz w:val="19"/>
        </w:rPr>
        <w:t>enemigo</w:t>
      </w:r>
      <w:r>
        <w:rPr>
          <w:color w:val="231F20"/>
          <w:spacing w:val="-11"/>
          <w:w w:val="105"/>
          <w:sz w:val="19"/>
        </w:rPr>
        <w:t> </w:t>
      </w:r>
      <w:r>
        <w:rPr>
          <w:color w:val="231F20"/>
          <w:w w:val="105"/>
          <w:sz w:val="19"/>
        </w:rPr>
        <w:t>del</w:t>
      </w:r>
      <w:r>
        <w:rPr>
          <w:color w:val="231F20"/>
          <w:spacing w:val="-11"/>
          <w:w w:val="105"/>
          <w:sz w:val="19"/>
        </w:rPr>
        <w:t> </w:t>
      </w:r>
      <w:r>
        <w:rPr>
          <w:color w:val="231F20"/>
          <w:w w:val="105"/>
          <w:sz w:val="19"/>
        </w:rPr>
        <w:t>Derecho</w:t>
      </w:r>
      <w:r>
        <w:rPr>
          <w:color w:val="231F20"/>
          <w:spacing w:val="-11"/>
          <w:w w:val="105"/>
          <w:sz w:val="19"/>
        </w:rPr>
        <w:t> </w:t>
      </w:r>
      <w:r>
        <w:rPr>
          <w:color w:val="231F20"/>
          <w:w w:val="105"/>
          <w:sz w:val="19"/>
        </w:rPr>
        <w:t>penal</w:t>
      </w:r>
      <w:r>
        <w:rPr>
          <w:color w:val="231F20"/>
          <w:spacing w:val="-11"/>
          <w:w w:val="105"/>
          <w:sz w:val="19"/>
        </w:rPr>
        <w:t> </w:t>
      </w:r>
      <w:r>
        <w:rPr>
          <w:color w:val="231F20"/>
          <w:w w:val="105"/>
          <w:sz w:val="19"/>
        </w:rPr>
        <w:t>del</w:t>
      </w:r>
      <w:r>
        <w:rPr>
          <w:color w:val="231F20"/>
          <w:spacing w:val="-11"/>
          <w:w w:val="105"/>
          <w:sz w:val="19"/>
        </w:rPr>
        <w:t> </w:t>
      </w:r>
      <w:r>
        <w:rPr>
          <w:color w:val="231F20"/>
          <w:w w:val="105"/>
          <w:sz w:val="19"/>
        </w:rPr>
        <w:t>enemigo</w:t>
      </w:r>
      <w:r>
        <w:rPr>
          <w:color w:val="231F20"/>
          <w:spacing w:val="-11"/>
          <w:w w:val="105"/>
          <w:sz w:val="19"/>
        </w:rPr>
        <w:t> </w:t>
      </w:r>
      <w:r>
        <w:rPr>
          <w:color w:val="231F20"/>
          <w:w w:val="105"/>
          <w:sz w:val="19"/>
        </w:rPr>
        <w:t>es</w:t>
      </w:r>
      <w:r>
        <w:rPr>
          <w:color w:val="231F20"/>
          <w:spacing w:val="-11"/>
          <w:w w:val="105"/>
          <w:sz w:val="19"/>
        </w:rPr>
        <w:t> </w:t>
      </w:r>
      <w:r>
        <w:rPr>
          <w:color w:val="231F20"/>
          <w:w w:val="105"/>
          <w:sz w:val="19"/>
        </w:rPr>
        <w:t>un</w:t>
      </w:r>
      <w:r>
        <w:rPr>
          <w:color w:val="231F20"/>
          <w:spacing w:val="-11"/>
          <w:w w:val="105"/>
          <w:sz w:val="19"/>
        </w:rPr>
        <w:t> </w:t>
      </w:r>
      <w:r>
        <w:rPr>
          <w:color w:val="231F20"/>
          <w:w w:val="105"/>
          <w:sz w:val="19"/>
        </w:rPr>
        <w:t>delin- cuente</w:t>
      </w:r>
      <w:r>
        <w:rPr>
          <w:color w:val="231F20"/>
          <w:spacing w:val="-28"/>
          <w:w w:val="105"/>
          <w:sz w:val="19"/>
        </w:rPr>
        <w:t> </w:t>
      </w:r>
      <w:r>
        <w:rPr>
          <w:color w:val="231F20"/>
          <w:w w:val="105"/>
          <w:sz w:val="19"/>
        </w:rPr>
        <w:t>de</w:t>
      </w:r>
      <w:r>
        <w:rPr>
          <w:color w:val="231F20"/>
          <w:spacing w:val="-28"/>
          <w:w w:val="105"/>
          <w:sz w:val="19"/>
        </w:rPr>
        <w:t> </w:t>
      </w:r>
      <w:r>
        <w:rPr>
          <w:color w:val="231F20"/>
          <w:w w:val="105"/>
          <w:sz w:val="19"/>
        </w:rPr>
        <w:t>aquellos</w:t>
      </w:r>
      <w:r>
        <w:rPr>
          <w:color w:val="231F20"/>
          <w:spacing w:val="-28"/>
          <w:w w:val="105"/>
          <w:sz w:val="19"/>
        </w:rPr>
        <w:t> </w:t>
      </w:r>
      <w:r>
        <w:rPr>
          <w:color w:val="231F20"/>
          <w:w w:val="105"/>
          <w:sz w:val="19"/>
        </w:rPr>
        <w:t>que</w:t>
      </w:r>
      <w:r>
        <w:rPr>
          <w:color w:val="231F20"/>
          <w:spacing w:val="-28"/>
          <w:w w:val="105"/>
          <w:sz w:val="19"/>
        </w:rPr>
        <w:t> </w:t>
      </w:r>
      <w:r>
        <w:rPr>
          <w:color w:val="231F20"/>
          <w:w w:val="105"/>
          <w:sz w:val="19"/>
        </w:rPr>
        <w:t>cabe</w:t>
      </w:r>
      <w:r>
        <w:rPr>
          <w:color w:val="231F20"/>
          <w:spacing w:val="-28"/>
          <w:w w:val="105"/>
          <w:sz w:val="19"/>
        </w:rPr>
        <w:t> </w:t>
      </w:r>
      <w:r>
        <w:rPr>
          <w:color w:val="231F20"/>
          <w:w w:val="105"/>
          <w:sz w:val="19"/>
        </w:rPr>
        <w:t>suponer</w:t>
      </w:r>
      <w:r>
        <w:rPr>
          <w:color w:val="231F20"/>
          <w:spacing w:val="-28"/>
          <w:w w:val="105"/>
          <w:sz w:val="19"/>
        </w:rPr>
        <w:t> </w:t>
      </w:r>
      <w:r>
        <w:rPr>
          <w:color w:val="231F20"/>
          <w:w w:val="105"/>
          <w:sz w:val="19"/>
        </w:rPr>
        <w:t>que</w:t>
      </w:r>
      <w:r>
        <w:rPr>
          <w:color w:val="231F20"/>
          <w:spacing w:val="-28"/>
          <w:w w:val="105"/>
          <w:sz w:val="19"/>
        </w:rPr>
        <w:t> </w:t>
      </w:r>
      <w:r>
        <w:rPr>
          <w:color w:val="231F20"/>
          <w:w w:val="105"/>
          <w:sz w:val="19"/>
        </w:rPr>
        <w:t>son</w:t>
      </w:r>
      <w:r>
        <w:rPr>
          <w:color w:val="231F20"/>
          <w:spacing w:val="-28"/>
          <w:w w:val="105"/>
          <w:sz w:val="19"/>
        </w:rPr>
        <w:t> </w:t>
      </w:r>
      <w:r>
        <w:rPr>
          <w:color w:val="231F20"/>
          <w:w w:val="105"/>
          <w:sz w:val="19"/>
        </w:rPr>
        <w:t>permanentemente peligrosos,</w:t>
      </w:r>
      <w:r>
        <w:rPr>
          <w:color w:val="231F20"/>
          <w:spacing w:val="-33"/>
          <w:w w:val="105"/>
          <w:sz w:val="19"/>
        </w:rPr>
        <w:t> </w:t>
      </w:r>
      <w:r>
        <w:rPr>
          <w:color w:val="231F20"/>
          <w:w w:val="105"/>
          <w:sz w:val="19"/>
        </w:rPr>
        <w:t>un</w:t>
      </w:r>
      <w:r>
        <w:rPr>
          <w:color w:val="231F20"/>
          <w:spacing w:val="-33"/>
          <w:w w:val="105"/>
          <w:sz w:val="19"/>
        </w:rPr>
        <w:t> </w:t>
      </w:r>
      <w:r>
        <w:rPr>
          <w:rFonts w:ascii="Arial" w:hAnsi="Arial"/>
          <w:i/>
          <w:color w:val="231F20"/>
          <w:w w:val="105"/>
          <w:sz w:val="19"/>
        </w:rPr>
        <w:t>inimicus</w:t>
      </w:r>
      <w:r>
        <w:rPr>
          <w:color w:val="231F20"/>
          <w:w w:val="105"/>
          <w:sz w:val="19"/>
        </w:rPr>
        <w:t>.</w:t>
      </w:r>
      <w:r>
        <w:rPr>
          <w:color w:val="231F20"/>
          <w:spacing w:val="-33"/>
          <w:w w:val="105"/>
          <w:sz w:val="19"/>
        </w:rPr>
        <w:t> </w:t>
      </w:r>
      <w:r>
        <w:rPr>
          <w:color w:val="231F20"/>
          <w:w w:val="105"/>
          <w:sz w:val="19"/>
        </w:rPr>
        <w:t>No</w:t>
      </w:r>
      <w:r>
        <w:rPr>
          <w:color w:val="231F20"/>
          <w:spacing w:val="-33"/>
          <w:w w:val="105"/>
          <w:sz w:val="19"/>
        </w:rPr>
        <w:t> </w:t>
      </w:r>
      <w:r>
        <w:rPr>
          <w:color w:val="231F20"/>
          <w:w w:val="105"/>
          <w:sz w:val="19"/>
        </w:rPr>
        <w:t>es</w:t>
      </w:r>
      <w:r>
        <w:rPr>
          <w:color w:val="231F20"/>
          <w:spacing w:val="-33"/>
          <w:w w:val="105"/>
          <w:sz w:val="19"/>
        </w:rPr>
        <w:t> </w:t>
      </w:r>
      <w:r>
        <w:rPr>
          <w:color w:val="231F20"/>
          <w:w w:val="105"/>
          <w:sz w:val="19"/>
        </w:rPr>
        <w:t>otro,</w:t>
      </w:r>
      <w:r>
        <w:rPr>
          <w:color w:val="231F20"/>
          <w:spacing w:val="-33"/>
          <w:w w:val="105"/>
          <w:sz w:val="19"/>
        </w:rPr>
        <w:t> </w:t>
      </w:r>
      <w:r>
        <w:rPr>
          <w:color w:val="231F20"/>
          <w:w w:val="105"/>
          <w:sz w:val="19"/>
        </w:rPr>
        <w:t>sino</w:t>
      </w:r>
      <w:r>
        <w:rPr>
          <w:color w:val="231F20"/>
          <w:spacing w:val="-33"/>
          <w:w w:val="105"/>
          <w:sz w:val="19"/>
        </w:rPr>
        <w:t> </w:t>
      </w:r>
      <w:r>
        <w:rPr>
          <w:color w:val="231F20"/>
          <w:w w:val="105"/>
          <w:sz w:val="19"/>
        </w:rPr>
        <w:t>que</w:t>
      </w:r>
      <w:r>
        <w:rPr>
          <w:color w:val="231F20"/>
          <w:spacing w:val="-33"/>
          <w:w w:val="105"/>
          <w:sz w:val="19"/>
        </w:rPr>
        <w:t> </w:t>
      </w:r>
      <w:r>
        <w:rPr>
          <w:color w:val="231F20"/>
          <w:w w:val="105"/>
          <w:sz w:val="19"/>
        </w:rPr>
        <w:t>debería</w:t>
      </w:r>
      <w:r>
        <w:rPr>
          <w:color w:val="231F20"/>
          <w:spacing w:val="-33"/>
          <w:w w:val="105"/>
          <w:sz w:val="19"/>
        </w:rPr>
        <w:t> </w:t>
      </w:r>
      <w:r>
        <w:rPr>
          <w:color w:val="231F20"/>
          <w:w w:val="105"/>
          <w:sz w:val="19"/>
        </w:rPr>
        <w:t>comportarse como</w:t>
      </w:r>
      <w:r>
        <w:rPr>
          <w:color w:val="231F20"/>
          <w:spacing w:val="-14"/>
          <w:w w:val="105"/>
          <w:sz w:val="19"/>
        </w:rPr>
        <w:t> </w:t>
      </w:r>
      <w:r>
        <w:rPr>
          <w:color w:val="231F20"/>
          <w:w w:val="105"/>
          <w:sz w:val="19"/>
        </w:rPr>
        <w:t>un</w:t>
      </w:r>
      <w:r>
        <w:rPr>
          <w:color w:val="231F20"/>
          <w:spacing w:val="-14"/>
          <w:w w:val="105"/>
          <w:sz w:val="19"/>
        </w:rPr>
        <w:t> </w:t>
      </w:r>
      <w:r>
        <w:rPr>
          <w:color w:val="231F20"/>
          <w:w w:val="105"/>
          <w:sz w:val="19"/>
        </w:rPr>
        <w:t>igual,</w:t>
      </w:r>
      <w:r>
        <w:rPr>
          <w:color w:val="231F20"/>
          <w:spacing w:val="-14"/>
          <w:w w:val="105"/>
          <w:sz w:val="19"/>
        </w:rPr>
        <w:t> </w:t>
      </w:r>
      <w:r>
        <w:rPr>
          <w:color w:val="231F20"/>
          <w:w w:val="105"/>
          <w:sz w:val="19"/>
        </w:rPr>
        <w:t>y</w:t>
      </w:r>
      <w:r>
        <w:rPr>
          <w:color w:val="231F20"/>
          <w:spacing w:val="-14"/>
          <w:w w:val="105"/>
          <w:sz w:val="19"/>
        </w:rPr>
        <w:t> </w:t>
      </w:r>
      <w:r>
        <w:rPr>
          <w:color w:val="231F20"/>
          <w:w w:val="105"/>
          <w:sz w:val="19"/>
        </w:rPr>
        <w:t>por</w:t>
      </w:r>
      <w:r>
        <w:rPr>
          <w:color w:val="231F20"/>
          <w:spacing w:val="-14"/>
          <w:w w:val="105"/>
          <w:sz w:val="19"/>
        </w:rPr>
        <w:t> </w:t>
      </w:r>
      <w:r>
        <w:rPr>
          <w:color w:val="231F20"/>
          <w:w w:val="105"/>
          <w:sz w:val="19"/>
        </w:rPr>
        <w:t>ello</w:t>
      </w:r>
      <w:r>
        <w:rPr>
          <w:color w:val="231F20"/>
          <w:spacing w:val="-14"/>
          <w:w w:val="105"/>
          <w:sz w:val="19"/>
        </w:rPr>
        <w:t> </w:t>
      </w:r>
      <w:r>
        <w:rPr>
          <w:color w:val="231F20"/>
          <w:w w:val="105"/>
          <w:sz w:val="19"/>
        </w:rPr>
        <w:t>se</w:t>
      </w:r>
      <w:r>
        <w:rPr>
          <w:color w:val="231F20"/>
          <w:spacing w:val="-14"/>
          <w:w w:val="105"/>
          <w:sz w:val="19"/>
        </w:rPr>
        <w:t> </w:t>
      </w:r>
      <w:r>
        <w:rPr>
          <w:color w:val="231F20"/>
          <w:w w:val="105"/>
          <w:sz w:val="19"/>
        </w:rPr>
        <w:t>le</w:t>
      </w:r>
      <w:r>
        <w:rPr>
          <w:color w:val="231F20"/>
          <w:spacing w:val="-14"/>
          <w:w w:val="105"/>
          <w:sz w:val="19"/>
        </w:rPr>
        <w:t> </w:t>
      </w:r>
      <w:r>
        <w:rPr>
          <w:color w:val="231F20"/>
          <w:w w:val="105"/>
          <w:sz w:val="19"/>
        </w:rPr>
        <w:t>atribuye</w:t>
      </w:r>
      <w:r>
        <w:rPr>
          <w:color w:val="231F20"/>
          <w:spacing w:val="-14"/>
          <w:w w:val="105"/>
          <w:sz w:val="19"/>
        </w:rPr>
        <w:t> </w:t>
      </w:r>
      <w:r>
        <w:rPr>
          <w:color w:val="231F20"/>
          <w:w w:val="105"/>
          <w:sz w:val="19"/>
        </w:rPr>
        <w:t>culpabilidad</w:t>
      </w:r>
      <w:r>
        <w:rPr>
          <w:color w:val="231F20"/>
          <w:spacing w:val="-14"/>
          <w:w w:val="105"/>
          <w:sz w:val="19"/>
        </w:rPr>
        <w:t> </w:t>
      </w:r>
      <w:r>
        <w:rPr>
          <w:color w:val="231F20"/>
          <w:w w:val="105"/>
          <w:sz w:val="19"/>
        </w:rPr>
        <w:t>jurídico–pe- nal,</w:t>
      </w:r>
      <w:r>
        <w:rPr>
          <w:color w:val="231F20"/>
          <w:spacing w:val="-32"/>
          <w:w w:val="105"/>
          <w:sz w:val="19"/>
        </w:rPr>
        <w:t> </w:t>
      </w:r>
      <w:r>
        <w:rPr>
          <w:color w:val="231F20"/>
          <w:w w:val="105"/>
          <w:sz w:val="19"/>
        </w:rPr>
        <w:t>a</w:t>
      </w:r>
      <w:r>
        <w:rPr>
          <w:color w:val="231F20"/>
          <w:spacing w:val="-32"/>
          <w:w w:val="105"/>
          <w:sz w:val="19"/>
        </w:rPr>
        <w:t> </w:t>
      </w:r>
      <w:r>
        <w:rPr>
          <w:color w:val="231F20"/>
          <w:w w:val="105"/>
          <w:sz w:val="19"/>
        </w:rPr>
        <w:t>diferencia</w:t>
      </w:r>
      <w:r>
        <w:rPr>
          <w:color w:val="231F20"/>
          <w:spacing w:val="-32"/>
          <w:w w:val="105"/>
          <w:sz w:val="19"/>
        </w:rPr>
        <w:t> </w:t>
      </w:r>
      <w:r>
        <w:rPr>
          <w:color w:val="231F20"/>
          <w:w w:val="105"/>
          <w:sz w:val="19"/>
        </w:rPr>
        <w:t>del</w:t>
      </w:r>
      <w:r>
        <w:rPr>
          <w:color w:val="231F20"/>
          <w:spacing w:val="-32"/>
          <w:w w:val="105"/>
          <w:sz w:val="19"/>
        </w:rPr>
        <w:t> </w:t>
      </w:r>
      <w:r>
        <w:rPr>
          <w:rFonts w:ascii="Arial" w:hAnsi="Arial"/>
          <w:i/>
          <w:color w:val="231F20"/>
          <w:w w:val="105"/>
          <w:sz w:val="19"/>
        </w:rPr>
        <w:t>hostis</w:t>
      </w:r>
      <w:r>
        <w:rPr>
          <w:rFonts w:ascii="Arial" w:hAnsi="Arial"/>
          <w:i/>
          <w:color w:val="231F20"/>
          <w:spacing w:val="-23"/>
          <w:w w:val="105"/>
          <w:sz w:val="19"/>
        </w:rPr>
        <w:t> </w:t>
      </w:r>
      <w:r>
        <w:rPr>
          <w:color w:val="231F20"/>
          <w:w w:val="105"/>
          <w:sz w:val="19"/>
        </w:rPr>
        <w:t>de</w:t>
      </w:r>
      <w:r>
        <w:rPr>
          <w:color w:val="231F20"/>
          <w:spacing w:val="-32"/>
          <w:w w:val="105"/>
          <w:sz w:val="19"/>
        </w:rPr>
        <w:t> </w:t>
      </w:r>
      <w:r>
        <w:rPr>
          <w:color w:val="231F20"/>
          <w:w w:val="105"/>
          <w:sz w:val="19"/>
        </w:rPr>
        <w:t>Schmitt</w:t>
      </w:r>
      <w:r>
        <w:rPr>
          <w:color w:val="231F20"/>
          <w:w w:val="105"/>
          <w:position w:val="6"/>
          <w:sz w:val="11"/>
        </w:rPr>
        <w:t>9</w:t>
      </w:r>
      <w:r>
        <w:rPr>
          <w:color w:val="231F20"/>
          <w:w w:val="105"/>
          <w:sz w:val="19"/>
        </w:rPr>
        <w:t>.</w:t>
      </w:r>
    </w:p>
    <w:p>
      <w:pPr>
        <w:pStyle w:val="BodyText"/>
        <w:spacing w:before="11"/>
        <w:rPr>
          <w:sz w:val="23"/>
        </w:rPr>
      </w:pPr>
    </w:p>
    <w:p>
      <w:pPr>
        <w:pStyle w:val="BodyText"/>
        <w:spacing w:line="247" w:lineRule="auto"/>
        <w:ind w:left="103" w:right="115"/>
        <w:jc w:val="both"/>
      </w:pPr>
      <w:r>
        <w:rPr>
          <w:color w:val="231F20"/>
          <w:w w:val="105"/>
        </w:rPr>
        <w:t>Independientemente</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divergencias,</w:t>
      </w:r>
      <w:r>
        <w:rPr>
          <w:color w:val="231F20"/>
          <w:spacing w:val="-22"/>
          <w:w w:val="105"/>
        </w:rPr>
        <w:t> </w:t>
      </w:r>
      <w:r>
        <w:rPr>
          <w:color w:val="231F20"/>
          <w:w w:val="105"/>
        </w:rPr>
        <w:t>el</w:t>
      </w:r>
      <w:r>
        <w:rPr>
          <w:color w:val="231F20"/>
          <w:spacing w:val="-22"/>
          <w:w w:val="105"/>
        </w:rPr>
        <w:t> </w:t>
      </w:r>
      <w:r>
        <w:rPr>
          <w:color w:val="231F20"/>
          <w:w w:val="105"/>
        </w:rPr>
        <w:t>enemigo</w:t>
      </w:r>
      <w:r>
        <w:rPr>
          <w:color w:val="231F20"/>
          <w:spacing w:val="-22"/>
          <w:w w:val="105"/>
        </w:rPr>
        <w:t> </w:t>
      </w:r>
      <w:r>
        <w:rPr>
          <w:color w:val="231F20"/>
          <w:w w:val="105"/>
        </w:rPr>
        <w:t>de</w:t>
      </w:r>
      <w:r>
        <w:rPr>
          <w:color w:val="231F20"/>
          <w:spacing w:val="-22"/>
          <w:w w:val="105"/>
        </w:rPr>
        <w:t> </w:t>
      </w:r>
      <w:r>
        <w:rPr>
          <w:color w:val="231F20"/>
          <w:w w:val="105"/>
        </w:rPr>
        <w:t>Schmitt</w:t>
      </w:r>
      <w:r>
        <w:rPr>
          <w:color w:val="231F20"/>
          <w:spacing w:val="-22"/>
          <w:w w:val="105"/>
        </w:rPr>
        <w:t> </w:t>
      </w:r>
      <w:r>
        <w:rPr>
          <w:color w:val="231F20"/>
          <w:w w:val="105"/>
        </w:rPr>
        <w:t>y</w:t>
      </w:r>
      <w:r>
        <w:rPr>
          <w:color w:val="231F20"/>
          <w:spacing w:val="-22"/>
          <w:w w:val="105"/>
        </w:rPr>
        <w:t> </w:t>
      </w:r>
      <w:r>
        <w:rPr>
          <w:color w:val="231F20"/>
          <w:w w:val="105"/>
        </w:rPr>
        <w:t>el</w:t>
      </w:r>
      <w:r>
        <w:rPr>
          <w:color w:val="231F20"/>
          <w:spacing w:val="-22"/>
          <w:w w:val="105"/>
        </w:rPr>
        <w:t> </w:t>
      </w:r>
      <w:r>
        <w:rPr>
          <w:color w:val="231F20"/>
          <w:w w:val="105"/>
        </w:rPr>
        <w:t>pro- pio</w:t>
      </w:r>
      <w:r>
        <w:rPr>
          <w:color w:val="231F20"/>
          <w:spacing w:val="-21"/>
          <w:w w:val="105"/>
        </w:rPr>
        <w:t> </w:t>
      </w:r>
      <w:r>
        <w:rPr>
          <w:color w:val="231F20"/>
          <w:w w:val="105"/>
        </w:rPr>
        <w:t>de</w:t>
      </w:r>
      <w:r>
        <w:rPr>
          <w:color w:val="231F20"/>
          <w:spacing w:val="-21"/>
          <w:w w:val="105"/>
        </w:rPr>
        <w:t> </w:t>
      </w:r>
      <w:r>
        <w:rPr>
          <w:color w:val="231F20"/>
          <w:w w:val="105"/>
        </w:rPr>
        <w:t>Jakobs</w:t>
      </w:r>
      <w:r>
        <w:rPr>
          <w:color w:val="231F20"/>
          <w:spacing w:val="-21"/>
          <w:w w:val="105"/>
        </w:rPr>
        <w:t> </w:t>
      </w:r>
      <w:r>
        <w:rPr>
          <w:color w:val="231F20"/>
          <w:w w:val="105"/>
        </w:rPr>
        <w:t>comparten</w:t>
      </w:r>
      <w:r>
        <w:rPr>
          <w:color w:val="231F20"/>
          <w:spacing w:val="-21"/>
          <w:w w:val="105"/>
        </w:rPr>
        <w:t> </w:t>
      </w:r>
      <w:r>
        <w:rPr>
          <w:color w:val="231F20"/>
          <w:w w:val="105"/>
        </w:rPr>
        <w:t>un</w:t>
      </w:r>
      <w:r>
        <w:rPr>
          <w:color w:val="231F20"/>
          <w:spacing w:val="-21"/>
          <w:w w:val="105"/>
        </w:rPr>
        <w:t> </w:t>
      </w:r>
      <w:r>
        <w:rPr>
          <w:color w:val="231F20"/>
          <w:w w:val="105"/>
        </w:rPr>
        <w:t>carácter</w:t>
      </w:r>
      <w:r>
        <w:rPr>
          <w:color w:val="231F20"/>
          <w:spacing w:val="-21"/>
          <w:w w:val="105"/>
        </w:rPr>
        <w:t> </w:t>
      </w:r>
      <w:r>
        <w:rPr>
          <w:color w:val="231F20"/>
          <w:w w:val="105"/>
        </w:rPr>
        <w:t>ambiguo.</w:t>
      </w:r>
      <w:r>
        <w:rPr>
          <w:color w:val="231F20"/>
          <w:spacing w:val="-21"/>
          <w:w w:val="105"/>
        </w:rPr>
        <w:t> </w:t>
      </w:r>
      <w:r>
        <w:rPr>
          <w:color w:val="231F20"/>
          <w:w w:val="105"/>
        </w:rPr>
        <w:t>Efectivamente,</w:t>
      </w:r>
      <w:r>
        <w:rPr>
          <w:color w:val="231F20"/>
          <w:spacing w:val="-21"/>
          <w:w w:val="105"/>
        </w:rPr>
        <w:t> </w:t>
      </w:r>
      <w:r>
        <w:rPr>
          <w:color w:val="231F20"/>
          <w:w w:val="105"/>
        </w:rPr>
        <w:t>en</w:t>
      </w:r>
      <w:r>
        <w:rPr>
          <w:color w:val="231F20"/>
          <w:spacing w:val="-21"/>
          <w:w w:val="105"/>
        </w:rPr>
        <w:t> </w:t>
      </w:r>
      <w:r>
        <w:rPr>
          <w:color w:val="231F20"/>
          <w:w w:val="105"/>
        </w:rPr>
        <w:t>ambos autores el enemigo es alguien que por estar fuera del régimen jurídico queda,</w:t>
      </w:r>
      <w:r>
        <w:rPr>
          <w:color w:val="231F20"/>
          <w:spacing w:val="-36"/>
          <w:w w:val="105"/>
        </w:rPr>
        <w:t> </w:t>
      </w:r>
      <w:r>
        <w:rPr>
          <w:color w:val="231F20"/>
          <w:w w:val="105"/>
        </w:rPr>
        <w:t>paradójicamente,</w:t>
      </w:r>
      <w:r>
        <w:rPr>
          <w:color w:val="231F20"/>
          <w:spacing w:val="-36"/>
          <w:w w:val="105"/>
        </w:rPr>
        <w:t> </w:t>
      </w:r>
      <w:r>
        <w:rPr>
          <w:color w:val="231F20"/>
          <w:w w:val="105"/>
        </w:rPr>
        <w:t>más</w:t>
      </w:r>
      <w:r>
        <w:rPr>
          <w:color w:val="231F20"/>
          <w:spacing w:val="-36"/>
          <w:w w:val="105"/>
        </w:rPr>
        <w:t> </w:t>
      </w:r>
      <w:r>
        <w:rPr>
          <w:color w:val="231F20"/>
          <w:w w:val="105"/>
        </w:rPr>
        <w:t>decididamente</w:t>
      </w:r>
      <w:r>
        <w:rPr>
          <w:color w:val="231F20"/>
          <w:spacing w:val="-36"/>
          <w:w w:val="105"/>
        </w:rPr>
        <w:t> </w:t>
      </w:r>
      <w:r>
        <w:rPr>
          <w:color w:val="231F20"/>
          <w:w w:val="105"/>
        </w:rPr>
        <w:t>incluido</w:t>
      </w:r>
      <w:r>
        <w:rPr>
          <w:color w:val="231F20"/>
          <w:spacing w:val="-36"/>
          <w:w w:val="105"/>
        </w:rPr>
        <w:t> </w:t>
      </w:r>
      <w:r>
        <w:rPr>
          <w:color w:val="231F20"/>
          <w:w w:val="105"/>
        </w:rPr>
        <w:t>en</w:t>
      </w:r>
      <w:r>
        <w:rPr>
          <w:color w:val="231F20"/>
          <w:spacing w:val="-36"/>
          <w:w w:val="105"/>
        </w:rPr>
        <w:t> </w:t>
      </w:r>
      <w:r>
        <w:rPr>
          <w:color w:val="231F20"/>
          <w:w w:val="105"/>
        </w:rPr>
        <w:t>él.</w:t>
      </w:r>
      <w:r>
        <w:rPr>
          <w:color w:val="231F20"/>
          <w:spacing w:val="-36"/>
          <w:w w:val="105"/>
        </w:rPr>
        <w:t> </w:t>
      </w:r>
      <w:r>
        <w:rPr>
          <w:color w:val="231F20"/>
          <w:w w:val="105"/>
        </w:rPr>
        <w:t>Es</w:t>
      </w:r>
      <w:r>
        <w:rPr>
          <w:color w:val="231F20"/>
          <w:spacing w:val="-36"/>
          <w:w w:val="105"/>
        </w:rPr>
        <w:t> </w:t>
      </w:r>
      <w:r>
        <w:rPr>
          <w:color w:val="231F20"/>
          <w:spacing w:val="-4"/>
          <w:w w:val="105"/>
        </w:rPr>
        <w:t>decir,</w:t>
      </w:r>
      <w:r>
        <w:rPr>
          <w:color w:val="231F20"/>
          <w:spacing w:val="-36"/>
          <w:w w:val="105"/>
        </w:rPr>
        <w:t> </w:t>
      </w:r>
      <w:r>
        <w:rPr>
          <w:color w:val="231F20"/>
          <w:w w:val="105"/>
        </w:rPr>
        <w:t>a</w:t>
      </w:r>
      <w:r>
        <w:rPr>
          <w:color w:val="231F20"/>
          <w:spacing w:val="-36"/>
          <w:w w:val="105"/>
        </w:rPr>
        <w:t> </w:t>
      </w:r>
      <w:r>
        <w:rPr>
          <w:color w:val="231F20"/>
          <w:w w:val="105"/>
        </w:rPr>
        <w:t>tra- vés de la suspensión–violación de la </w:t>
      </w:r>
      <w:r>
        <w:rPr>
          <w:color w:val="231F20"/>
          <w:spacing w:val="-5"/>
          <w:w w:val="105"/>
        </w:rPr>
        <w:t>ley, </w:t>
      </w:r>
      <w:r>
        <w:rPr>
          <w:color w:val="231F20"/>
          <w:w w:val="105"/>
        </w:rPr>
        <w:t>el enemigo será incluido en</w:t>
      </w:r>
      <w:r>
        <w:rPr>
          <w:color w:val="231F20"/>
          <w:spacing w:val="-30"/>
          <w:w w:val="105"/>
        </w:rPr>
        <w:t> </w:t>
      </w:r>
      <w:r>
        <w:rPr>
          <w:color w:val="231F20"/>
          <w:w w:val="105"/>
        </w:rPr>
        <w:t>un régimen</w:t>
      </w:r>
      <w:r>
        <w:rPr>
          <w:color w:val="231F20"/>
          <w:spacing w:val="-28"/>
          <w:w w:val="105"/>
        </w:rPr>
        <w:t> </w:t>
      </w:r>
      <w:r>
        <w:rPr>
          <w:color w:val="231F20"/>
          <w:w w:val="105"/>
        </w:rPr>
        <w:t>legal</w:t>
      </w:r>
      <w:r>
        <w:rPr>
          <w:color w:val="231F20"/>
          <w:spacing w:val="-28"/>
          <w:w w:val="105"/>
        </w:rPr>
        <w:t> </w:t>
      </w:r>
      <w:r>
        <w:rPr>
          <w:color w:val="231F20"/>
          <w:w w:val="105"/>
        </w:rPr>
        <w:t>que</w:t>
      </w:r>
      <w:r>
        <w:rPr>
          <w:color w:val="231F20"/>
          <w:spacing w:val="-28"/>
          <w:w w:val="105"/>
        </w:rPr>
        <w:t> </w:t>
      </w:r>
      <w:r>
        <w:rPr>
          <w:color w:val="231F20"/>
          <w:w w:val="105"/>
        </w:rPr>
        <w:t>de</w:t>
      </w:r>
      <w:r>
        <w:rPr>
          <w:color w:val="231F20"/>
          <w:spacing w:val="-28"/>
          <w:w w:val="105"/>
        </w:rPr>
        <w:t> </w:t>
      </w:r>
      <w:r>
        <w:rPr>
          <w:color w:val="231F20"/>
          <w:w w:val="105"/>
        </w:rPr>
        <w:t>antemano</w:t>
      </w:r>
      <w:r>
        <w:rPr>
          <w:color w:val="231F20"/>
          <w:spacing w:val="-28"/>
          <w:w w:val="105"/>
        </w:rPr>
        <w:t> </w:t>
      </w:r>
      <w:r>
        <w:rPr>
          <w:color w:val="231F20"/>
          <w:w w:val="105"/>
        </w:rPr>
        <w:t>lo</w:t>
      </w:r>
      <w:r>
        <w:rPr>
          <w:color w:val="231F20"/>
          <w:spacing w:val="-28"/>
          <w:w w:val="105"/>
        </w:rPr>
        <w:t> </w:t>
      </w:r>
      <w:r>
        <w:rPr>
          <w:color w:val="231F20"/>
          <w:w w:val="105"/>
        </w:rPr>
        <w:t>excluye.</w:t>
      </w:r>
    </w:p>
    <w:p>
      <w:pPr>
        <w:spacing w:line="247" w:lineRule="auto" w:before="0"/>
        <w:ind w:left="103" w:right="115" w:firstLine="566"/>
        <w:jc w:val="both"/>
        <w:rPr>
          <w:sz w:val="21"/>
        </w:rPr>
      </w:pPr>
      <w:r>
        <w:rPr>
          <w:color w:val="231F20"/>
          <w:sz w:val="21"/>
        </w:rPr>
        <w:t>Sabemos que los Estados Unidos respondieron a esos ataques terro- ristas con medidas que no fueron respetuosas de muchos de los tratados internacionales de convivencia entre naciones y de respeto a los derechos humanos. Con la promulgación el 26 de octubre de 2001 de la ley </w:t>
      </w:r>
      <w:r>
        <w:rPr>
          <w:rFonts w:ascii="Arial" w:hAnsi="Arial"/>
          <w:i/>
          <w:color w:val="231F20"/>
          <w:sz w:val="21"/>
        </w:rPr>
        <w:t>Uniting </w:t>
      </w:r>
      <w:r>
        <w:rPr>
          <w:rFonts w:ascii="Arial" w:hAnsi="Arial"/>
          <w:i/>
          <w:color w:val="231F20"/>
          <w:sz w:val="21"/>
        </w:rPr>
        <w:t>and Strengthening America by Providing Appropiate </w:t>
      </w:r>
      <w:r>
        <w:rPr>
          <w:rFonts w:ascii="Arial" w:hAnsi="Arial"/>
          <w:i/>
          <w:color w:val="231F20"/>
          <w:spacing w:val="-5"/>
          <w:sz w:val="21"/>
        </w:rPr>
        <w:t>Tools </w:t>
      </w:r>
      <w:r>
        <w:rPr>
          <w:rFonts w:ascii="Arial" w:hAnsi="Arial"/>
          <w:i/>
          <w:color w:val="231F20"/>
          <w:sz w:val="21"/>
        </w:rPr>
        <w:t>Required to In- tercept and Obstruct </w:t>
      </w:r>
      <w:r>
        <w:rPr>
          <w:rFonts w:ascii="Arial" w:hAnsi="Arial"/>
          <w:i/>
          <w:color w:val="231F20"/>
          <w:spacing w:val="-4"/>
          <w:sz w:val="21"/>
        </w:rPr>
        <w:t>Terrorism </w:t>
      </w:r>
      <w:r>
        <w:rPr>
          <w:color w:val="231F20"/>
          <w:sz w:val="21"/>
        </w:rPr>
        <w:t>(Ley para unir y fortalecer a Estados</w:t>
      </w:r>
      <w:r>
        <w:rPr>
          <w:color w:val="231F20"/>
          <w:spacing w:val="-31"/>
          <w:sz w:val="21"/>
        </w:rPr>
        <w:t> </w:t>
      </w:r>
      <w:r>
        <w:rPr>
          <w:color w:val="231F20"/>
          <w:sz w:val="21"/>
        </w:rPr>
        <w:t>Unidos</w:t>
      </w:r>
    </w:p>
    <w:p>
      <w:pPr>
        <w:pStyle w:val="BodyText"/>
        <w:spacing w:before="7"/>
        <w:rPr>
          <w:sz w:val="24"/>
        </w:rPr>
      </w:pPr>
      <w:r>
        <w:rPr/>
        <w:pict>
          <v:line style="position:absolute;mso-position-horizontal-relative:page;mso-position-vertical-relative:paragraph;z-index:2008;mso-wrap-distance-left:0;mso-wrap-distance-right:0" from="65.196899pt,16.935499pt" to="178.582899pt,16.935499pt" stroked="true" strokeweight=".3pt" strokecolor="#231f20">
            <w10:wrap type="topAndBottom"/>
          </v:line>
        </w:pict>
      </w:r>
    </w:p>
    <w:p>
      <w:pPr>
        <w:spacing w:line="204" w:lineRule="exact" w:before="8"/>
        <w:ind w:left="103" w:right="0" w:firstLine="0"/>
        <w:jc w:val="left"/>
        <w:rPr>
          <w:rFonts w:ascii="Calibri" w:hAnsi="Calibri"/>
          <w:sz w:val="17"/>
        </w:rPr>
      </w:pPr>
      <w:r>
        <w:rPr>
          <w:rFonts w:ascii="Calibri" w:hAnsi="Calibri"/>
          <w:color w:val="231F20"/>
          <w:position w:val="6"/>
          <w:sz w:val="10"/>
        </w:rPr>
        <w:t>8 </w:t>
      </w:r>
      <w:r>
        <w:rPr>
          <w:rFonts w:ascii="Calibri" w:hAnsi="Calibri"/>
          <w:color w:val="231F20"/>
          <w:sz w:val="17"/>
        </w:rPr>
        <w:t>C. Parma, </w:t>
      </w:r>
      <w:r>
        <w:rPr>
          <w:rFonts w:ascii="Calibri" w:hAnsi="Calibri"/>
          <w:i/>
          <w:color w:val="231F20"/>
          <w:sz w:val="17"/>
        </w:rPr>
        <w:t>Roxin o Jakobs ¿Quién es el enemigo en el derecho penal?</w:t>
      </w:r>
      <w:r>
        <w:rPr>
          <w:rFonts w:ascii="Calibri" w:hAnsi="Calibri"/>
          <w:color w:val="231F20"/>
          <w:sz w:val="17"/>
        </w:rPr>
        <w:t>, Colombia, Ediciones Jurídicas Andrés  Morales, 2009.</w:t>
      </w:r>
    </w:p>
    <w:p>
      <w:pPr>
        <w:spacing w:line="204" w:lineRule="exact" w:before="0"/>
        <w:ind w:left="103" w:right="104" w:firstLine="0"/>
        <w:jc w:val="left"/>
        <w:rPr>
          <w:rFonts w:ascii="Calibri" w:hAnsi="Calibri"/>
          <w:sz w:val="17"/>
        </w:rPr>
      </w:pPr>
      <w:r>
        <w:rPr>
          <w:rFonts w:ascii="Calibri" w:hAnsi="Calibri"/>
          <w:color w:val="231F20"/>
          <w:position w:val="6"/>
          <w:sz w:val="10"/>
        </w:rPr>
        <w:t>9 </w:t>
      </w:r>
      <w:r>
        <w:rPr>
          <w:rFonts w:ascii="Calibri" w:hAnsi="Calibri"/>
          <w:color w:val="231F20"/>
          <w:sz w:val="17"/>
        </w:rPr>
        <w:t>G. Jakobs y M. Polaino, </w:t>
      </w:r>
      <w:r>
        <w:rPr>
          <w:rFonts w:ascii="Calibri" w:hAnsi="Calibri"/>
          <w:i/>
          <w:color w:val="231F20"/>
          <w:sz w:val="17"/>
        </w:rPr>
        <w:t>El Derecho Penal del Enemigo en el contexto del funcionalismo</w:t>
      </w:r>
      <w:r>
        <w:rPr>
          <w:rFonts w:ascii="Calibri" w:hAnsi="Calibri"/>
          <w:color w:val="231F20"/>
          <w:sz w:val="17"/>
        </w:rPr>
        <w:t>, México, Flo- res Editor y Distribuidor, 2008, p. 29.</w:t>
      </w:r>
    </w:p>
    <w:p>
      <w:pPr>
        <w:pStyle w:val="BodyText"/>
        <w:rPr>
          <w:rFonts w:ascii="Calibri"/>
          <w:sz w:val="20"/>
        </w:rPr>
      </w:pPr>
    </w:p>
    <w:p>
      <w:pPr>
        <w:pStyle w:val="BodyText"/>
        <w:spacing w:before="1"/>
        <w:rPr>
          <w:rFonts w:ascii="Calibri"/>
          <w:sz w:val="28"/>
        </w:rPr>
      </w:pPr>
    </w:p>
    <w:p>
      <w:pPr>
        <w:tabs>
          <w:tab w:pos="1317" w:val="left" w:leader="none"/>
        </w:tabs>
        <w:spacing w:before="69"/>
        <w:ind w:left="267" w:right="0" w:firstLine="0"/>
        <w:jc w:val="left"/>
        <w:rPr>
          <w:rFonts w:ascii="Calibri" w:hAnsi="Calibri"/>
          <w:sz w:val="16"/>
        </w:rPr>
      </w:pPr>
      <w:r>
        <w:rPr/>
        <w:pict>
          <v:group style="position:absolute;margin-left:98.079102pt;margin-top:-3.308812pt;width:20.4pt;height:43pt;mso-position-horizontal-relative:page;mso-position-vertical-relative:paragraph;z-index:-173368" coordorigin="1962,-66" coordsize="408,860">
            <v:line style="position:absolute" from="2211,73" to="2211,789" stroked="true" strokeweight=".35pt" strokecolor="#231f20"/>
            <v:shape style="position:absolute;left:2179;top:-13;width:190;height:445" type="#_x0000_t75" stroked="false">
              <v:imagedata r:id="rId34" o:title=""/>
            </v:shape>
            <v:shape style="position:absolute;left:1962;top:-66;width:250;height:502" type="#_x0000_t75" stroked="false">
              <v:imagedata r:id="rId35" o:title=""/>
            </v:shape>
            <w10:wrap type="none"/>
          </v:group>
        </w:pict>
      </w:r>
      <w:r>
        <w:rPr>
          <w:rFonts w:ascii="Arial" w:hAnsi="Arial"/>
          <w:color w:val="414042"/>
          <w:position w:val="-4"/>
          <w:sz w:val="20"/>
        </w:rPr>
        <w:t>22</w:t>
        <w:tab/>
      </w:r>
      <w:r>
        <w:rPr>
          <w:rFonts w:ascii="Calibri" w:hAnsi="Calibri"/>
          <w:color w:val="6D6E71"/>
          <w:sz w:val="16"/>
        </w:rPr>
        <w:t>Jorge Olvera</w:t>
      </w:r>
      <w:r>
        <w:rPr>
          <w:rFonts w:ascii="Calibri" w:hAnsi="Calibri"/>
          <w:color w:val="6D6E71"/>
          <w:spacing w:val="14"/>
          <w:sz w:val="16"/>
        </w:rPr>
        <w:t> </w:t>
      </w:r>
      <w:r>
        <w:rPr>
          <w:rFonts w:ascii="Calibri" w:hAnsi="Calibri"/>
          <w:color w:val="6D6E71"/>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8"/>
        <w:ind w:left="907" w:right="0" w:firstLine="0"/>
        <w:jc w:val="left"/>
        <w:rPr>
          <w:rFonts w:ascii="Arial" w:hAnsi="Arial"/>
          <w:sz w:val="20"/>
        </w:rPr>
      </w:pPr>
      <w:r>
        <w:rPr/>
        <w:pict>
          <v:group style="position:absolute;margin-left:383.821014pt;margin-top:-25.476145pt;width:8.65pt;height:41pt;mso-position-horizontal-relative:page;mso-position-vertical-relative:paragraph;z-index:-17332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Calibri" w:hAnsi="Calibri"/>
          <w:color w:val="6D6E71"/>
          <w:w w:val="105"/>
          <w:sz w:val="14"/>
        </w:rPr>
        <w:t>CAMBIO DE PARADIGMA JURÍDICO: EL 11-S Y LA DELINCUENCIA ORGANIZADA</w:t>
      </w:r>
      <w:r>
        <w:rPr>
          <w:rFonts w:ascii="Calibri" w:hAnsi="Calibri"/>
          <w:color w:val="6D6E71"/>
          <w:spacing w:val="11"/>
          <w:w w:val="105"/>
          <w:sz w:val="14"/>
        </w:rPr>
        <w:t> </w:t>
      </w:r>
      <w:r>
        <w:rPr>
          <w:rFonts w:ascii="Calibri" w:hAnsi="Calibri"/>
          <w:color w:val="6D6E71"/>
          <w:w w:val="105"/>
          <w:sz w:val="14"/>
        </w:rPr>
        <w:t>EN</w:t>
      </w:r>
      <w:r>
        <w:rPr>
          <w:rFonts w:ascii="Calibri" w:hAnsi="Calibri"/>
          <w:color w:val="6D6E71"/>
          <w:spacing w:val="1"/>
          <w:w w:val="105"/>
          <w:sz w:val="14"/>
        </w:rPr>
        <w:t> </w:t>
      </w:r>
      <w:r>
        <w:rPr>
          <w:rFonts w:ascii="Calibri" w:hAnsi="Calibri"/>
          <w:color w:val="6D6E71"/>
          <w:w w:val="105"/>
          <w:sz w:val="14"/>
        </w:rPr>
        <w:t>MÉXICO</w:t>
      </w:r>
      <w:r>
        <w:rPr>
          <w:rFonts w:ascii="Arial" w:hAnsi="Arial"/>
          <w:color w:val="414042"/>
          <w:w w:val="105"/>
          <w:position w:val="-3"/>
          <w:sz w:val="20"/>
        </w:rPr>
        <w:tab/>
        <w:t>23</w:t>
      </w:r>
    </w:p>
    <w:p>
      <w:pPr>
        <w:pStyle w:val="BodyText"/>
        <w:rPr>
          <w:rFonts w:ascii="Arial"/>
          <w:sz w:val="20"/>
        </w:rPr>
      </w:pPr>
    </w:p>
    <w:p>
      <w:pPr>
        <w:pStyle w:val="BodyText"/>
        <w:rPr>
          <w:rFonts w:ascii="Arial"/>
          <w:sz w:val="20"/>
        </w:rPr>
      </w:pPr>
    </w:p>
    <w:p>
      <w:pPr>
        <w:pStyle w:val="BodyText"/>
        <w:spacing w:line="244" w:lineRule="auto" w:before="174"/>
        <w:ind w:left="117" w:right="101"/>
        <w:jc w:val="both"/>
      </w:pPr>
      <w:r>
        <w:rPr>
          <w:color w:val="231F20"/>
        </w:rPr>
        <w:t>de América mediante la provisión de las herramientas requeridas para in- terceptar y obstruir el terrorismo), mayormente conocida como</w:t>
      </w:r>
      <w:r>
        <w:rPr>
          <w:color w:val="231F20"/>
          <w:spacing w:val="-32"/>
        </w:rPr>
        <w:t> </w:t>
      </w:r>
      <w:r>
        <w:rPr>
          <w:rFonts w:ascii="Arial" w:hAnsi="Arial"/>
          <w:i/>
          <w:color w:val="231F20"/>
          <w:sz w:val="18"/>
        </w:rPr>
        <w:t>USA </w:t>
      </w:r>
      <w:r>
        <w:rPr>
          <w:rFonts w:ascii="Arial" w:hAnsi="Arial"/>
          <w:i/>
          <w:color w:val="231F20"/>
        </w:rPr>
        <w:t>Patriot </w:t>
      </w:r>
      <w:r>
        <w:rPr>
          <w:rFonts w:ascii="Arial" w:hAnsi="Arial"/>
          <w:i/>
          <w:color w:val="231F20"/>
        </w:rPr>
        <w:t>Act </w:t>
      </w:r>
      <w:r>
        <w:rPr>
          <w:color w:val="231F20"/>
        </w:rPr>
        <w:t>(Ley patriótica de los Estados Unidos de América), se prevé una serie de medidas para combatir al terrorismo. Entre los rubros más destacados se</w:t>
      </w:r>
      <w:r>
        <w:rPr>
          <w:color w:val="231F20"/>
          <w:spacing w:val="-22"/>
        </w:rPr>
        <w:t> </w:t>
      </w:r>
      <w:r>
        <w:rPr>
          <w:color w:val="231F20"/>
        </w:rPr>
        <w:t>encuentran:</w:t>
      </w:r>
    </w:p>
    <w:p>
      <w:pPr>
        <w:pStyle w:val="BodyText"/>
        <w:spacing w:before="7"/>
      </w:pPr>
    </w:p>
    <w:p>
      <w:pPr>
        <w:pStyle w:val="ListParagraph"/>
        <w:numPr>
          <w:ilvl w:val="0"/>
          <w:numId w:val="1"/>
        </w:numPr>
        <w:tabs>
          <w:tab w:pos="1045" w:val="left" w:leader="none"/>
        </w:tabs>
        <w:spacing w:line="244" w:lineRule="auto" w:before="1" w:after="0"/>
        <w:ind w:left="1044" w:right="101" w:hanging="360"/>
        <w:jc w:val="both"/>
        <w:rPr>
          <w:sz w:val="21"/>
        </w:rPr>
      </w:pPr>
      <w:r>
        <w:rPr>
          <w:color w:val="231F20"/>
          <w:w w:val="105"/>
          <w:sz w:val="21"/>
        </w:rPr>
        <w:t>El</w:t>
      </w:r>
      <w:r>
        <w:rPr>
          <w:color w:val="231F20"/>
          <w:spacing w:val="-11"/>
          <w:w w:val="105"/>
          <w:sz w:val="21"/>
        </w:rPr>
        <w:t> </w:t>
      </w:r>
      <w:r>
        <w:rPr>
          <w:color w:val="231F20"/>
          <w:w w:val="105"/>
          <w:sz w:val="21"/>
        </w:rPr>
        <w:t>incremento</w:t>
      </w:r>
      <w:r>
        <w:rPr>
          <w:color w:val="231F20"/>
          <w:spacing w:val="-11"/>
          <w:w w:val="105"/>
          <w:sz w:val="21"/>
        </w:rPr>
        <w:t> </w:t>
      </w:r>
      <w:r>
        <w:rPr>
          <w:color w:val="231F20"/>
          <w:w w:val="105"/>
          <w:sz w:val="21"/>
        </w:rPr>
        <w:t>de</w:t>
      </w:r>
      <w:r>
        <w:rPr>
          <w:color w:val="231F20"/>
          <w:spacing w:val="-11"/>
          <w:w w:val="105"/>
          <w:sz w:val="21"/>
        </w:rPr>
        <w:t> </w:t>
      </w:r>
      <w:r>
        <w:rPr>
          <w:color w:val="231F20"/>
          <w:w w:val="105"/>
          <w:sz w:val="21"/>
        </w:rPr>
        <w:t>recursos</w:t>
      </w:r>
      <w:r>
        <w:rPr>
          <w:color w:val="231F20"/>
          <w:spacing w:val="-11"/>
          <w:w w:val="105"/>
          <w:sz w:val="21"/>
        </w:rPr>
        <w:t> </w:t>
      </w:r>
      <w:r>
        <w:rPr>
          <w:color w:val="231F20"/>
          <w:w w:val="105"/>
          <w:sz w:val="21"/>
        </w:rPr>
        <w:t>para</w:t>
      </w:r>
      <w:r>
        <w:rPr>
          <w:color w:val="231F20"/>
          <w:spacing w:val="-11"/>
          <w:w w:val="105"/>
          <w:sz w:val="21"/>
        </w:rPr>
        <w:t> </w:t>
      </w:r>
      <w:r>
        <w:rPr>
          <w:color w:val="231F20"/>
          <w:w w:val="105"/>
          <w:sz w:val="21"/>
        </w:rPr>
        <w:t>la</w:t>
      </w:r>
      <w:r>
        <w:rPr>
          <w:color w:val="231F20"/>
          <w:spacing w:val="-11"/>
          <w:w w:val="105"/>
          <w:sz w:val="21"/>
        </w:rPr>
        <w:t> </w:t>
      </w:r>
      <w:r>
        <w:rPr>
          <w:color w:val="231F20"/>
          <w:w w:val="105"/>
          <w:sz w:val="21"/>
        </w:rPr>
        <w:t>Seguridad</w:t>
      </w:r>
      <w:r>
        <w:rPr>
          <w:color w:val="231F20"/>
          <w:spacing w:val="-11"/>
          <w:w w:val="105"/>
          <w:sz w:val="21"/>
        </w:rPr>
        <w:t> </w:t>
      </w:r>
      <w:r>
        <w:rPr>
          <w:color w:val="231F20"/>
          <w:w w:val="105"/>
          <w:sz w:val="21"/>
        </w:rPr>
        <w:t>Nacional:</w:t>
      </w:r>
      <w:r>
        <w:rPr>
          <w:color w:val="231F20"/>
          <w:spacing w:val="-11"/>
          <w:w w:val="105"/>
          <w:sz w:val="21"/>
        </w:rPr>
        <w:t> </w:t>
      </w:r>
      <w:r>
        <w:rPr>
          <w:color w:val="231F20"/>
          <w:w w:val="105"/>
          <w:sz w:val="21"/>
        </w:rPr>
        <w:t>200</w:t>
      </w:r>
      <w:r>
        <w:rPr>
          <w:color w:val="231F20"/>
          <w:spacing w:val="-11"/>
          <w:w w:val="105"/>
          <w:sz w:val="21"/>
        </w:rPr>
        <w:t> </w:t>
      </w:r>
      <w:r>
        <w:rPr>
          <w:color w:val="231F20"/>
          <w:w w:val="105"/>
          <w:sz w:val="21"/>
        </w:rPr>
        <w:t>mi- llones</w:t>
      </w:r>
      <w:r>
        <w:rPr>
          <w:color w:val="231F20"/>
          <w:spacing w:val="-18"/>
          <w:w w:val="105"/>
          <w:sz w:val="21"/>
        </w:rPr>
        <w:t> </w:t>
      </w:r>
      <w:r>
        <w:rPr>
          <w:color w:val="231F20"/>
          <w:w w:val="105"/>
          <w:sz w:val="21"/>
        </w:rPr>
        <w:t>de</w:t>
      </w:r>
      <w:r>
        <w:rPr>
          <w:color w:val="231F20"/>
          <w:spacing w:val="-18"/>
          <w:w w:val="105"/>
          <w:sz w:val="21"/>
        </w:rPr>
        <w:t> </w:t>
      </w:r>
      <w:r>
        <w:rPr>
          <w:color w:val="231F20"/>
          <w:w w:val="105"/>
          <w:sz w:val="21"/>
        </w:rPr>
        <w:t>dólares</w:t>
      </w:r>
      <w:r>
        <w:rPr>
          <w:color w:val="231F20"/>
          <w:spacing w:val="-18"/>
          <w:w w:val="105"/>
          <w:sz w:val="21"/>
        </w:rPr>
        <w:t> </w:t>
      </w:r>
      <w:r>
        <w:rPr>
          <w:color w:val="231F20"/>
          <w:w w:val="105"/>
          <w:sz w:val="21"/>
        </w:rPr>
        <w:t>adicionales</w:t>
      </w:r>
      <w:r>
        <w:rPr>
          <w:color w:val="231F20"/>
          <w:spacing w:val="-18"/>
          <w:w w:val="105"/>
          <w:sz w:val="21"/>
        </w:rPr>
        <w:t> </w:t>
      </w:r>
      <w:r>
        <w:rPr>
          <w:color w:val="231F20"/>
          <w:w w:val="105"/>
          <w:sz w:val="21"/>
        </w:rPr>
        <w:t>fueron</w:t>
      </w:r>
      <w:r>
        <w:rPr>
          <w:color w:val="231F20"/>
          <w:spacing w:val="-18"/>
          <w:w w:val="105"/>
          <w:sz w:val="21"/>
        </w:rPr>
        <w:t> </w:t>
      </w:r>
      <w:r>
        <w:rPr>
          <w:color w:val="231F20"/>
          <w:w w:val="105"/>
          <w:sz w:val="21"/>
        </w:rPr>
        <w:t>destinados</w:t>
      </w:r>
      <w:r>
        <w:rPr>
          <w:color w:val="231F20"/>
          <w:spacing w:val="-18"/>
          <w:w w:val="105"/>
          <w:sz w:val="21"/>
        </w:rPr>
        <w:t> </w:t>
      </w:r>
      <w:r>
        <w:rPr>
          <w:color w:val="231F20"/>
          <w:w w:val="105"/>
          <w:sz w:val="21"/>
        </w:rPr>
        <w:t>para</w:t>
      </w:r>
      <w:r>
        <w:rPr>
          <w:color w:val="231F20"/>
          <w:spacing w:val="-18"/>
          <w:w w:val="105"/>
          <w:sz w:val="21"/>
        </w:rPr>
        <w:t> </w:t>
      </w:r>
      <w:r>
        <w:rPr>
          <w:color w:val="231F20"/>
          <w:w w:val="105"/>
          <w:sz w:val="21"/>
        </w:rPr>
        <w:t>el</w:t>
      </w:r>
      <w:r>
        <w:rPr>
          <w:color w:val="231F20"/>
          <w:spacing w:val="-18"/>
          <w:w w:val="105"/>
          <w:sz w:val="21"/>
        </w:rPr>
        <w:t> </w:t>
      </w:r>
      <w:r>
        <w:rPr>
          <w:rFonts w:ascii="Arial" w:hAnsi="Arial"/>
          <w:i/>
          <w:color w:val="231F20"/>
          <w:w w:val="105"/>
          <w:sz w:val="21"/>
        </w:rPr>
        <w:t>Federal </w:t>
      </w:r>
      <w:r>
        <w:rPr>
          <w:rFonts w:ascii="Arial" w:hAnsi="Arial"/>
          <w:i/>
          <w:color w:val="231F20"/>
          <w:w w:val="105"/>
          <w:sz w:val="21"/>
        </w:rPr>
        <w:t>Bureau</w:t>
      </w:r>
      <w:r>
        <w:rPr>
          <w:rFonts w:ascii="Arial" w:hAnsi="Arial"/>
          <w:i/>
          <w:color w:val="231F20"/>
          <w:spacing w:val="-38"/>
          <w:w w:val="105"/>
          <w:sz w:val="21"/>
        </w:rPr>
        <w:t> </w:t>
      </w:r>
      <w:r>
        <w:rPr>
          <w:rFonts w:ascii="Arial" w:hAnsi="Arial"/>
          <w:i/>
          <w:color w:val="231F20"/>
          <w:w w:val="105"/>
          <w:sz w:val="21"/>
        </w:rPr>
        <w:t>of</w:t>
      </w:r>
      <w:r>
        <w:rPr>
          <w:rFonts w:ascii="Arial" w:hAnsi="Arial"/>
          <w:i/>
          <w:color w:val="231F20"/>
          <w:spacing w:val="-38"/>
          <w:w w:val="105"/>
          <w:sz w:val="21"/>
        </w:rPr>
        <w:t> </w:t>
      </w:r>
      <w:r>
        <w:rPr>
          <w:rFonts w:ascii="Arial" w:hAnsi="Arial"/>
          <w:i/>
          <w:color w:val="231F20"/>
          <w:w w:val="105"/>
          <w:sz w:val="21"/>
        </w:rPr>
        <w:t>Investigation</w:t>
      </w:r>
      <w:r>
        <w:rPr>
          <w:color w:val="231F20"/>
          <w:w w:val="105"/>
          <w:sz w:val="21"/>
        </w:rPr>
        <w:t>,</w:t>
      </w:r>
      <w:r>
        <w:rPr>
          <w:color w:val="231F20"/>
          <w:spacing w:val="-45"/>
          <w:w w:val="105"/>
          <w:sz w:val="21"/>
        </w:rPr>
        <w:t> </w:t>
      </w:r>
      <w:r>
        <w:rPr>
          <w:color w:val="231F20"/>
          <w:w w:val="105"/>
          <w:sz w:val="21"/>
        </w:rPr>
        <w:t>correspondientes</w:t>
      </w:r>
      <w:r>
        <w:rPr>
          <w:color w:val="231F20"/>
          <w:spacing w:val="-45"/>
          <w:w w:val="105"/>
          <w:sz w:val="21"/>
        </w:rPr>
        <w:t> </w:t>
      </w:r>
      <w:r>
        <w:rPr>
          <w:color w:val="231F20"/>
          <w:w w:val="105"/>
          <w:sz w:val="21"/>
        </w:rPr>
        <w:t>a</w:t>
      </w:r>
      <w:r>
        <w:rPr>
          <w:color w:val="231F20"/>
          <w:spacing w:val="-45"/>
          <w:w w:val="105"/>
          <w:sz w:val="21"/>
        </w:rPr>
        <w:t> </w:t>
      </w:r>
      <w:r>
        <w:rPr>
          <w:color w:val="231F20"/>
          <w:w w:val="105"/>
          <w:sz w:val="21"/>
        </w:rPr>
        <w:t>2002,</w:t>
      </w:r>
      <w:r>
        <w:rPr>
          <w:color w:val="231F20"/>
          <w:spacing w:val="-45"/>
          <w:w w:val="105"/>
          <w:sz w:val="21"/>
        </w:rPr>
        <w:t> </w:t>
      </w:r>
      <w:r>
        <w:rPr>
          <w:color w:val="231F20"/>
          <w:w w:val="105"/>
          <w:sz w:val="21"/>
        </w:rPr>
        <w:t>2003,</w:t>
      </w:r>
      <w:r>
        <w:rPr>
          <w:color w:val="231F20"/>
          <w:spacing w:val="-45"/>
          <w:w w:val="105"/>
          <w:sz w:val="21"/>
        </w:rPr>
        <w:t> </w:t>
      </w:r>
      <w:r>
        <w:rPr>
          <w:color w:val="231F20"/>
          <w:w w:val="105"/>
          <w:sz w:val="21"/>
        </w:rPr>
        <w:t>2004;</w:t>
      </w:r>
      <w:r>
        <w:rPr>
          <w:color w:val="231F20"/>
          <w:spacing w:val="-45"/>
          <w:w w:val="105"/>
          <w:sz w:val="21"/>
        </w:rPr>
        <w:t> </w:t>
      </w:r>
      <w:r>
        <w:rPr>
          <w:color w:val="231F20"/>
          <w:w w:val="105"/>
          <w:sz w:val="21"/>
        </w:rPr>
        <w:t>el incremento</w:t>
      </w:r>
      <w:r>
        <w:rPr>
          <w:color w:val="231F20"/>
          <w:spacing w:val="-14"/>
          <w:w w:val="105"/>
          <w:sz w:val="21"/>
        </w:rPr>
        <w:t> </w:t>
      </w:r>
      <w:r>
        <w:rPr>
          <w:color w:val="231F20"/>
          <w:w w:val="105"/>
          <w:sz w:val="21"/>
        </w:rPr>
        <w:t>del</w:t>
      </w:r>
      <w:r>
        <w:rPr>
          <w:color w:val="231F20"/>
          <w:spacing w:val="-14"/>
          <w:w w:val="105"/>
          <w:sz w:val="21"/>
        </w:rPr>
        <w:t> </w:t>
      </w:r>
      <w:r>
        <w:rPr>
          <w:color w:val="231F20"/>
          <w:w w:val="105"/>
          <w:sz w:val="21"/>
        </w:rPr>
        <w:t>personal</w:t>
      </w:r>
      <w:r>
        <w:rPr>
          <w:color w:val="231F20"/>
          <w:spacing w:val="-14"/>
          <w:w w:val="105"/>
          <w:sz w:val="21"/>
        </w:rPr>
        <w:t> </w:t>
      </w:r>
      <w:r>
        <w:rPr>
          <w:color w:val="231F20"/>
          <w:w w:val="105"/>
          <w:sz w:val="21"/>
        </w:rPr>
        <w:t>en</w:t>
      </w:r>
      <w:r>
        <w:rPr>
          <w:color w:val="231F20"/>
          <w:spacing w:val="-14"/>
          <w:w w:val="105"/>
          <w:sz w:val="21"/>
        </w:rPr>
        <w:t> </w:t>
      </w:r>
      <w:r>
        <w:rPr>
          <w:color w:val="231F20"/>
          <w:w w:val="105"/>
          <w:sz w:val="21"/>
        </w:rPr>
        <w:t>el</w:t>
      </w:r>
      <w:r>
        <w:rPr>
          <w:color w:val="231F20"/>
          <w:spacing w:val="-14"/>
          <w:w w:val="105"/>
          <w:sz w:val="21"/>
        </w:rPr>
        <w:t> </w:t>
      </w:r>
      <w:r>
        <w:rPr>
          <w:color w:val="231F20"/>
          <w:w w:val="105"/>
          <w:sz w:val="21"/>
        </w:rPr>
        <w:t>área</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inmigración</w:t>
      </w:r>
      <w:r>
        <w:rPr>
          <w:color w:val="231F20"/>
          <w:spacing w:val="-14"/>
          <w:w w:val="105"/>
          <w:sz w:val="21"/>
        </w:rPr>
        <w:t> </w:t>
      </w:r>
      <w:r>
        <w:rPr>
          <w:color w:val="231F20"/>
          <w:w w:val="105"/>
          <w:sz w:val="21"/>
        </w:rPr>
        <w:t>y</w:t>
      </w:r>
      <w:r>
        <w:rPr>
          <w:color w:val="231F20"/>
          <w:spacing w:val="-14"/>
          <w:w w:val="105"/>
          <w:sz w:val="21"/>
        </w:rPr>
        <w:t> </w:t>
      </w:r>
      <w:r>
        <w:rPr>
          <w:color w:val="231F20"/>
          <w:w w:val="105"/>
          <w:sz w:val="21"/>
        </w:rPr>
        <w:t>aduanas</w:t>
      </w:r>
      <w:r>
        <w:rPr>
          <w:color w:val="231F20"/>
          <w:spacing w:val="-14"/>
          <w:w w:val="105"/>
          <w:sz w:val="21"/>
        </w:rPr>
        <w:t> </w:t>
      </w:r>
      <w:r>
        <w:rPr>
          <w:color w:val="231F20"/>
          <w:w w:val="105"/>
          <w:sz w:val="21"/>
        </w:rPr>
        <w:t>a lo</w:t>
      </w:r>
      <w:r>
        <w:rPr>
          <w:color w:val="231F20"/>
          <w:spacing w:val="-13"/>
          <w:w w:val="105"/>
          <w:sz w:val="21"/>
        </w:rPr>
        <w:t> </w:t>
      </w:r>
      <w:r>
        <w:rPr>
          <w:color w:val="231F20"/>
          <w:w w:val="105"/>
          <w:sz w:val="21"/>
        </w:rPr>
        <w:t>largo</w:t>
      </w:r>
      <w:r>
        <w:rPr>
          <w:color w:val="231F20"/>
          <w:spacing w:val="-13"/>
          <w:w w:val="105"/>
          <w:sz w:val="21"/>
        </w:rPr>
        <w:t> </w:t>
      </w:r>
      <w:r>
        <w:rPr>
          <w:color w:val="231F20"/>
          <w:w w:val="105"/>
          <w:sz w:val="21"/>
        </w:rPr>
        <w:t>de</w:t>
      </w:r>
      <w:r>
        <w:rPr>
          <w:color w:val="231F20"/>
          <w:spacing w:val="-13"/>
          <w:w w:val="105"/>
          <w:sz w:val="21"/>
        </w:rPr>
        <w:t> </w:t>
      </w:r>
      <w:r>
        <w:rPr>
          <w:color w:val="231F20"/>
          <w:w w:val="105"/>
          <w:sz w:val="21"/>
        </w:rPr>
        <w:t>la</w:t>
      </w:r>
      <w:r>
        <w:rPr>
          <w:color w:val="231F20"/>
          <w:spacing w:val="-13"/>
          <w:w w:val="105"/>
          <w:sz w:val="21"/>
        </w:rPr>
        <w:t> </w:t>
      </w:r>
      <w:r>
        <w:rPr>
          <w:color w:val="231F20"/>
          <w:w w:val="105"/>
          <w:sz w:val="21"/>
        </w:rPr>
        <w:t>frontera</w:t>
      </w:r>
      <w:r>
        <w:rPr>
          <w:color w:val="231F20"/>
          <w:spacing w:val="-13"/>
          <w:w w:val="105"/>
          <w:sz w:val="21"/>
        </w:rPr>
        <w:t> </w:t>
      </w:r>
      <w:r>
        <w:rPr>
          <w:color w:val="231F20"/>
          <w:w w:val="105"/>
          <w:sz w:val="21"/>
        </w:rPr>
        <w:t>con</w:t>
      </w:r>
      <w:r>
        <w:rPr>
          <w:color w:val="231F20"/>
          <w:spacing w:val="-13"/>
          <w:w w:val="105"/>
          <w:sz w:val="21"/>
        </w:rPr>
        <w:t> </w:t>
      </w:r>
      <w:r>
        <w:rPr>
          <w:color w:val="231F20"/>
          <w:w w:val="105"/>
          <w:sz w:val="21"/>
        </w:rPr>
        <w:t>México,</w:t>
      </w:r>
      <w:r>
        <w:rPr>
          <w:color w:val="231F20"/>
          <w:spacing w:val="-13"/>
          <w:w w:val="105"/>
          <w:sz w:val="21"/>
        </w:rPr>
        <w:t> </w:t>
      </w:r>
      <w:r>
        <w:rPr>
          <w:color w:val="231F20"/>
          <w:w w:val="105"/>
          <w:sz w:val="21"/>
        </w:rPr>
        <w:t>triplicando</w:t>
      </w:r>
      <w:r>
        <w:rPr>
          <w:color w:val="231F20"/>
          <w:spacing w:val="-13"/>
          <w:w w:val="105"/>
          <w:sz w:val="21"/>
        </w:rPr>
        <w:t> </w:t>
      </w:r>
      <w:r>
        <w:rPr>
          <w:color w:val="231F20"/>
          <w:w w:val="105"/>
          <w:sz w:val="21"/>
        </w:rPr>
        <w:t>dichos</w:t>
      </w:r>
      <w:r>
        <w:rPr>
          <w:color w:val="231F20"/>
          <w:spacing w:val="-13"/>
          <w:w w:val="105"/>
          <w:sz w:val="21"/>
        </w:rPr>
        <w:t> </w:t>
      </w:r>
      <w:r>
        <w:rPr>
          <w:color w:val="231F20"/>
          <w:w w:val="105"/>
          <w:sz w:val="21"/>
        </w:rPr>
        <w:t>efectivos; la asignación de 150 millones de dólares, en los próximos</w:t>
      </w:r>
      <w:r>
        <w:rPr>
          <w:color w:val="231F20"/>
          <w:spacing w:val="-23"/>
          <w:w w:val="105"/>
          <w:sz w:val="21"/>
        </w:rPr>
        <w:t> </w:t>
      </w:r>
      <w:r>
        <w:rPr>
          <w:color w:val="231F20"/>
          <w:w w:val="105"/>
          <w:sz w:val="21"/>
        </w:rPr>
        <w:t>dos años,</w:t>
      </w:r>
      <w:r>
        <w:rPr>
          <w:color w:val="231F20"/>
          <w:spacing w:val="-37"/>
          <w:w w:val="105"/>
          <w:sz w:val="21"/>
        </w:rPr>
        <w:t> </w:t>
      </w:r>
      <w:r>
        <w:rPr>
          <w:color w:val="231F20"/>
          <w:w w:val="105"/>
          <w:sz w:val="21"/>
        </w:rPr>
        <w:t>para</w:t>
      </w:r>
      <w:r>
        <w:rPr>
          <w:color w:val="231F20"/>
          <w:spacing w:val="-37"/>
          <w:w w:val="105"/>
          <w:sz w:val="21"/>
        </w:rPr>
        <w:t> </w:t>
      </w:r>
      <w:r>
        <w:rPr>
          <w:color w:val="231F20"/>
          <w:w w:val="105"/>
          <w:sz w:val="21"/>
        </w:rPr>
        <w:t>el</w:t>
      </w:r>
      <w:r>
        <w:rPr>
          <w:color w:val="231F20"/>
          <w:spacing w:val="-37"/>
          <w:w w:val="105"/>
          <w:sz w:val="21"/>
        </w:rPr>
        <w:t> </w:t>
      </w:r>
      <w:r>
        <w:rPr>
          <w:color w:val="231F20"/>
          <w:w w:val="105"/>
          <w:sz w:val="21"/>
        </w:rPr>
        <w:t>sistema</w:t>
      </w:r>
      <w:r>
        <w:rPr>
          <w:color w:val="231F20"/>
          <w:spacing w:val="-37"/>
          <w:w w:val="105"/>
          <w:sz w:val="21"/>
        </w:rPr>
        <w:t> </w:t>
      </w:r>
      <w:r>
        <w:rPr>
          <w:color w:val="231F20"/>
          <w:w w:val="105"/>
          <w:sz w:val="21"/>
        </w:rPr>
        <w:t>de</w:t>
      </w:r>
      <w:r>
        <w:rPr>
          <w:color w:val="231F20"/>
          <w:spacing w:val="-37"/>
          <w:w w:val="105"/>
          <w:sz w:val="21"/>
        </w:rPr>
        <w:t> </w:t>
      </w:r>
      <w:r>
        <w:rPr>
          <w:color w:val="231F20"/>
          <w:w w:val="105"/>
          <w:sz w:val="21"/>
        </w:rPr>
        <w:t>intercambio</w:t>
      </w:r>
      <w:r>
        <w:rPr>
          <w:color w:val="231F20"/>
          <w:spacing w:val="-37"/>
          <w:w w:val="105"/>
          <w:sz w:val="21"/>
        </w:rPr>
        <w:t> </w:t>
      </w:r>
      <w:r>
        <w:rPr>
          <w:color w:val="231F20"/>
          <w:w w:val="105"/>
          <w:sz w:val="21"/>
        </w:rPr>
        <w:t>de</w:t>
      </w:r>
      <w:r>
        <w:rPr>
          <w:color w:val="231F20"/>
          <w:spacing w:val="-37"/>
          <w:w w:val="105"/>
          <w:sz w:val="21"/>
        </w:rPr>
        <w:t> </w:t>
      </w:r>
      <w:r>
        <w:rPr>
          <w:color w:val="231F20"/>
          <w:w w:val="105"/>
          <w:sz w:val="21"/>
        </w:rPr>
        <w:t>información,</w:t>
      </w:r>
      <w:r>
        <w:rPr>
          <w:color w:val="231F20"/>
          <w:spacing w:val="-37"/>
          <w:w w:val="105"/>
          <w:sz w:val="21"/>
        </w:rPr>
        <w:t> </w:t>
      </w:r>
      <w:r>
        <w:rPr>
          <w:color w:val="231F20"/>
          <w:w w:val="105"/>
          <w:sz w:val="21"/>
        </w:rPr>
        <w:t>y</w:t>
      </w:r>
      <w:r>
        <w:rPr>
          <w:color w:val="231F20"/>
          <w:spacing w:val="-37"/>
          <w:w w:val="105"/>
          <w:sz w:val="21"/>
        </w:rPr>
        <w:t> </w:t>
      </w:r>
      <w:r>
        <w:rPr>
          <w:color w:val="231F20"/>
          <w:w w:val="105"/>
          <w:sz w:val="21"/>
        </w:rPr>
        <w:t>el</w:t>
      </w:r>
      <w:r>
        <w:rPr>
          <w:color w:val="231F20"/>
          <w:spacing w:val="-37"/>
          <w:w w:val="105"/>
          <w:sz w:val="21"/>
        </w:rPr>
        <w:t> </w:t>
      </w:r>
      <w:r>
        <w:rPr>
          <w:color w:val="231F20"/>
          <w:w w:val="105"/>
          <w:sz w:val="21"/>
        </w:rPr>
        <w:t>otorga- miento</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facultades</w:t>
      </w:r>
      <w:r>
        <w:rPr>
          <w:color w:val="231F20"/>
          <w:spacing w:val="-16"/>
          <w:w w:val="105"/>
          <w:sz w:val="21"/>
        </w:rPr>
        <w:t> </w:t>
      </w:r>
      <w:r>
        <w:rPr>
          <w:color w:val="231F20"/>
          <w:w w:val="105"/>
          <w:sz w:val="21"/>
        </w:rPr>
        <w:t>al</w:t>
      </w:r>
      <w:r>
        <w:rPr>
          <w:color w:val="231F20"/>
          <w:spacing w:val="-16"/>
          <w:w w:val="105"/>
          <w:sz w:val="21"/>
        </w:rPr>
        <w:t> </w:t>
      </w:r>
      <w:r>
        <w:rPr>
          <w:color w:val="231F20"/>
          <w:w w:val="105"/>
          <w:sz w:val="21"/>
        </w:rPr>
        <w:t>fiscal</w:t>
      </w:r>
      <w:r>
        <w:rPr>
          <w:color w:val="231F20"/>
          <w:spacing w:val="-16"/>
          <w:w w:val="105"/>
          <w:sz w:val="21"/>
        </w:rPr>
        <w:t> </w:t>
      </w:r>
      <w:r>
        <w:rPr>
          <w:color w:val="231F20"/>
          <w:w w:val="105"/>
          <w:sz w:val="21"/>
        </w:rPr>
        <w:t>general</w:t>
      </w:r>
      <w:r>
        <w:rPr>
          <w:color w:val="231F20"/>
          <w:spacing w:val="-16"/>
          <w:w w:val="105"/>
          <w:sz w:val="21"/>
        </w:rPr>
        <w:t> </w:t>
      </w:r>
      <w:r>
        <w:rPr>
          <w:color w:val="231F20"/>
          <w:w w:val="105"/>
          <w:sz w:val="21"/>
        </w:rPr>
        <w:t>para</w:t>
      </w:r>
      <w:r>
        <w:rPr>
          <w:color w:val="231F20"/>
          <w:spacing w:val="-16"/>
          <w:w w:val="105"/>
          <w:sz w:val="21"/>
        </w:rPr>
        <w:t> </w:t>
      </w:r>
      <w:r>
        <w:rPr>
          <w:color w:val="231F20"/>
          <w:w w:val="105"/>
          <w:sz w:val="21"/>
        </w:rPr>
        <w:t>ofrecer</w:t>
      </w:r>
      <w:r>
        <w:rPr>
          <w:color w:val="231F20"/>
          <w:spacing w:val="-16"/>
          <w:w w:val="105"/>
          <w:sz w:val="21"/>
        </w:rPr>
        <w:t> </w:t>
      </w:r>
      <w:r>
        <w:rPr>
          <w:color w:val="231F20"/>
          <w:w w:val="105"/>
          <w:sz w:val="21"/>
        </w:rPr>
        <w:t>recompensa </w:t>
      </w:r>
      <w:r>
        <w:rPr>
          <w:color w:val="231F20"/>
          <w:sz w:val="21"/>
        </w:rPr>
        <w:t>por</w:t>
      </w:r>
      <w:r>
        <w:rPr>
          <w:color w:val="231F20"/>
          <w:spacing w:val="16"/>
          <w:sz w:val="21"/>
        </w:rPr>
        <w:t> </w:t>
      </w:r>
      <w:r>
        <w:rPr>
          <w:color w:val="231F20"/>
          <w:sz w:val="21"/>
        </w:rPr>
        <w:t>información.</w:t>
      </w:r>
    </w:p>
    <w:p>
      <w:pPr>
        <w:pStyle w:val="ListParagraph"/>
        <w:numPr>
          <w:ilvl w:val="0"/>
          <w:numId w:val="1"/>
        </w:numPr>
        <w:tabs>
          <w:tab w:pos="1045" w:val="left" w:leader="none"/>
        </w:tabs>
        <w:spacing w:line="247" w:lineRule="auto" w:before="1" w:after="0"/>
        <w:ind w:left="1044" w:right="101" w:hanging="360"/>
        <w:jc w:val="both"/>
        <w:rPr>
          <w:sz w:val="21"/>
        </w:rPr>
      </w:pPr>
      <w:r>
        <w:rPr>
          <w:color w:val="231F20"/>
          <w:sz w:val="21"/>
        </w:rPr>
        <w:t>Se efectuaron ajustes en los controles de migración, se amplia- ron facultades al fiscal general para detener y deportar</w:t>
      </w:r>
      <w:r>
        <w:rPr>
          <w:color w:val="231F20"/>
          <w:spacing w:val="-18"/>
          <w:sz w:val="21"/>
        </w:rPr>
        <w:t> </w:t>
      </w:r>
      <w:r>
        <w:rPr>
          <w:color w:val="231F20"/>
          <w:sz w:val="21"/>
        </w:rPr>
        <w:t>extranje- ros si cree, de modo razonable, que ponen en peligro la seguri- dad</w:t>
      </w:r>
      <w:r>
        <w:rPr>
          <w:color w:val="231F20"/>
          <w:spacing w:val="18"/>
          <w:sz w:val="21"/>
        </w:rPr>
        <w:t> </w:t>
      </w:r>
      <w:r>
        <w:rPr>
          <w:color w:val="231F20"/>
          <w:sz w:val="21"/>
        </w:rPr>
        <w:t>nacional.</w:t>
      </w:r>
    </w:p>
    <w:p>
      <w:pPr>
        <w:pStyle w:val="ListParagraph"/>
        <w:numPr>
          <w:ilvl w:val="0"/>
          <w:numId w:val="1"/>
        </w:numPr>
        <w:tabs>
          <w:tab w:pos="1045" w:val="left" w:leader="none"/>
        </w:tabs>
        <w:spacing w:line="247" w:lineRule="auto" w:before="0" w:after="0"/>
        <w:ind w:left="1044" w:right="101" w:hanging="360"/>
        <w:jc w:val="both"/>
        <w:rPr>
          <w:sz w:val="21"/>
        </w:rPr>
      </w:pPr>
      <w:r>
        <w:rPr>
          <w:color w:val="231F20"/>
          <w:sz w:val="21"/>
        </w:rPr>
        <w:t>El otorgamiento de herramientas de investigación para las co- municaciones, entre las cuales destacan: la facultad de los in- vestigadores para efectuar registros de llamadas, lo que incluye números telefónicos marcados en cierta línea telefónica y la ins- talación de dispositivos de intercepción y rastreo, y la extensión de facultades a la autoridad para recoger muestras de </w:t>
      </w:r>
      <w:r>
        <w:rPr>
          <w:color w:val="231F20"/>
          <w:sz w:val="18"/>
        </w:rPr>
        <w:t>ADN </w:t>
      </w:r>
      <w:r>
        <w:rPr>
          <w:color w:val="231F20"/>
          <w:sz w:val="21"/>
        </w:rPr>
        <w:t>de  los</w:t>
      </w:r>
      <w:r>
        <w:rPr>
          <w:color w:val="231F20"/>
          <w:spacing w:val="-15"/>
          <w:sz w:val="21"/>
        </w:rPr>
        <w:t> </w:t>
      </w:r>
      <w:r>
        <w:rPr>
          <w:color w:val="231F20"/>
          <w:sz w:val="21"/>
        </w:rPr>
        <w:t>infractores.</w:t>
      </w:r>
    </w:p>
    <w:p>
      <w:pPr>
        <w:pStyle w:val="ListParagraph"/>
        <w:numPr>
          <w:ilvl w:val="0"/>
          <w:numId w:val="1"/>
        </w:numPr>
        <w:tabs>
          <w:tab w:pos="1045" w:val="left" w:leader="none"/>
        </w:tabs>
        <w:spacing w:line="247" w:lineRule="auto" w:before="0" w:after="0"/>
        <w:ind w:left="1044" w:right="101" w:hanging="360"/>
        <w:jc w:val="both"/>
        <w:rPr>
          <w:sz w:val="21"/>
        </w:rPr>
      </w:pPr>
      <w:r>
        <w:rPr>
          <w:color w:val="231F20"/>
          <w:w w:val="105"/>
          <w:sz w:val="21"/>
        </w:rPr>
        <w:t>Se permite el arresto hasta por seis meses a individuos de</w:t>
      </w:r>
      <w:r>
        <w:rPr>
          <w:color w:val="231F20"/>
          <w:spacing w:val="-24"/>
          <w:w w:val="105"/>
          <w:sz w:val="21"/>
        </w:rPr>
        <w:t> </w:t>
      </w:r>
      <w:r>
        <w:rPr>
          <w:color w:val="231F20"/>
          <w:w w:val="105"/>
          <w:sz w:val="21"/>
        </w:rPr>
        <w:t>los que</w:t>
      </w:r>
      <w:r>
        <w:rPr>
          <w:color w:val="231F20"/>
          <w:spacing w:val="-19"/>
          <w:w w:val="105"/>
          <w:sz w:val="21"/>
        </w:rPr>
        <w:t> </w:t>
      </w:r>
      <w:r>
        <w:rPr>
          <w:color w:val="231F20"/>
          <w:w w:val="105"/>
          <w:sz w:val="21"/>
        </w:rPr>
        <w:t>se</w:t>
      </w:r>
      <w:r>
        <w:rPr>
          <w:color w:val="231F20"/>
          <w:spacing w:val="-19"/>
          <w:w w:val="105"/>
          <w:sz w:val="21"/>
        </w:rPr>
        <w:t> </w:t>
      </w:r>
      <w:r>
        <w:rPr>
          <w:color w:val="231F20"/>
          <w:w w:val="105"/>
          <w:sz w:val="21"/>
        </w:rPr>
        <w:t>sospeche</w:t>
      </w:r>
      <w:r>
        <w:rPr>
          <w:color w:val="231F20"/>
          <w:spacing w:val="-19"/>
          <w:w w:val="105"/>
          <w:sz w:val="21"/>
        </w:rPr>
        <w:t> </w:t>
      </w:r>
      <w:r>
        <w:rPr>
          <w:color w:val="231F20"/>
          <w:w w:val="105"/>
          <w:sz w:val="21"/>
        </w:rPr>
        <w:t>la</w:t>
      </w:r>
      <w:r>
        <w:rPr>
          <w:color w:val="231F20"/>
          <w:spacing w:val="-19"/>
          <w:w w:val="105"/>
          <w:sz w:val="21"/>
        </w:rPr>
        <w:t> </w:t>
      </w:r>
      <w:r>
        <w:rPr>
          <w:color w:val="231F20"/>
          <w:w w:val="105"/>
          <w:sz w:val="21"/>
        </w:rPr>
        <w:t>comisión</w:t>
      </w:r>
      <w:r>
        <w:rPr>
          <w:color w:val="231F20"/>
          <w:spacing w:val="-19"/>
          <w:w w:val="105"/>
          <w:sz w:val="21"/>
        </w:rPr>
        <w:t> </w:t>
      </w:r>
      <w:r>
        <w:rPr>
          <w:color w:val="231F20"/>
          <w:w w:val="105"/>
          <w:sz w:val="21"/>
        </w:rPr>
        <w:t>o</w:t>
      </w:r>
      <w:r>
        <w:rPr>
          <w:color w:val="231F20"/>
          <w:spacing w:val="-19"/>
          <w:w w:val="105"/>
          <w:sz w:val="21"/>
        </w:rPr>
        <w:t> </w:t>
      </w:r>
      <w:r>
        <w:rPr>
          <w:color w:val="231F20"/>
          <w:w w:val="105"/>
          <w:sz w:val="21"/>
        </w:rPr>
        <w:t>probable</w:t>
      </w:r>
      <w:r>
        <w:rPr>
          <w:color w:val="231F20"/>
          <w:spacing w:val="-19"/>
          <w:w w:val="105"/>
          <w:sz w:val="21"/>
        </w:rPr>
        <w:t> </w:t>
      </w:r>
      <w:r>
        <w:rPr>
          <w:color w:val="231F20"/>
          <w:w w:val="105"/>
          <w:sz w:val="21"/>
        </w:rPr>
        <w:t>comisión</w:t>
      </w:r>
      <w:r>
        <w:rPr>
          <w:color w:val="231F20"/>
          <w:spacing w:val="-19"/>
          <w:w w:val="105"/>
          <w:sz w:val="21"/>
        </w:rPr>
        <w:t> </w:t>
      </w:r>
      <w:r>
        <w:rPr>
          <w:color w:val="231F20"/>
          <w:w w:val="105"/>
          <w:sz w:val="21"/>
        </w:rPr>
        <w:t>de</w:t>
      </w:r>
      <w:r>
        <w:rPr>
          <w:color w:val="231F20"/>
          <w:spacing w:val="-19"/>
          <w:w w:val="105"/>
          <w:sz w:val="21"/>
        </w:rPr>
        <w:t> </w:t>
      </w:r>
      <w:r>
        <w:rPr>
          <w:color w:val="231F20"/>
          <w:w w:val="105"/>
          <w:sz w:val="21"/>
        </w:rPr>
        <w:t>algún</w:t>
      </w:r>
      <w:r>
        <w:rPr>
          <w:color w:val="231F20"/>
          <w:spacing w:val="-19"/>
          <w:w w:val="105"/>
          <w:sz w:val="21"/>
        </w:rPr>
        <w:t> </w:t>
      </w:r>
      <w:r>
        <w:rPr>
          <w:color w:val="231F20"/>
          <w:w w:val="105"/>
          <w:sz w:val="21"/>
        </w:rPr>
        <w:t>acto </w:t>
      </w:r>
      <w:r>
        <w:rPr>
          <w:color w:val="231F20"/>
          <w:sz w:val="21"/>
        </w:rPr>
        <w:t>de</w:t>
      </w:r>
      <w:r>
        <w:rPr>
          <w:color w:val="231F20"/>
          <w:spacing w:val="4"/>
          <w:sz w:val="21"/>
        </w:rPr>
        <w:t> </w:t>
      </w:r>
      <w:r>
        <w:rPr>
          <w:color w:val="231F20"/>
          <w:sz w:val="21"/>
        </w:rPr>
        <w:t>terrorismo.</w:t>
      </w:r>
    </w:p>
    <w:p>
      <w:pPr>
        <w:pStyle w:val="BodyText"/>
        <w:spacing w:before="5"/>
      </w:pPr>
    </w:p>
    <w:p>
      <w:pPr>
        <w:pStyle w:val="BodyText"/>
        <w:spacing w:line="247" w:lineRule="auto"/>
        <w:ind w:left="117" w:right="101"/>
        <w:jc w:val="both"/>
        <w:rPr>
          <w:sz w:val="12"/>
        </w:rPr>
      </w:pPr>
      <w:r>
        <w:rPr>
          <w:color w:val="231F20"/>
        </w:rPr>
        <w:t>Con esta última disposición se viola una garantía constitucional</w:t>
      </w:r>
      <w:r>
        <w:rPr>
          <w:color w:val="231F20"/>
          <w:spacing w:val="-28"/>
        </w:rPr>
        <w:t> </w:t>
      </w:r>
      <w:r>
        <w:rPr>
          <w:color w:val="231F20"/>
        </w:rPr>
        <w:t>establecida por las convenciones de derechos humanos, la cual consiste en que no se pueden suspender las garantías de libertad a un solo individuo más allá de los</w:t>
      </w:r>
      <w:r>
        <w:rPr>
          <w:color w:val="231F20"/>
          <w:spacing w:val="-8"/>
        </w:rPr>
        <w:t> </w:t>
      </w:r>
      <w:r>
        <w:rPr>
          <w:color w:val="231F20"/>
        </w:rPr>
        <w:t>tiempos</w:t>
      </w:r>
      <w:r>
        <w:rPr>
          <w:color w:val="231F20"/>
          <w:spacing w:val="-8"/>
        </w:rPr>
        <w:t> </w:t>
      </w:r>
      <w:r>
        <w:rPr>
          <w:color w:val="231F20"/>
        </w:rPr>
        <w:t>previstos</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ley</w:t>
      </w:r>
      <w:r>
        <w:rPr>
          <w:color w:val="231F20"/>
          <w:spacing w:val="-8"/>
        </w:rPr>
        <w:t> </w:t>
      </w:r>
      <w:r>
        <w:rPr>
          <w:color w:val="231F20"/>
        </w:rPr>
        <w:t>ordinaria.</w:t>
      </w:r>
      <w:r>
        <w:rPr>
          <w:color w:val="231F20"/>
          <w:spacing w:val="-8"/>
        </w:rPr>
        <w:t> </w:t>
      </w:r>
      <w:r>
        <w:rPr>
          <w:color w:val="231F20"/>
        </w:rPr>
        <w:t>Sin</w:t>
      </w:r>
      <w:r>
        <w:rPr>
          <w:color w:val="231F20"/>
          <w:spacing w:val="-8"/>
        </w:rPr>
        <w:t> </w:t>
      </w:r>
      <w:r>
        <w:rPr>
          <w:color w:val="231F20"/>
        </w:rPr>
        <w:t>duda,</w:t>
      </w:r>
      <w:r>
        <w:rPr>
          <w:color w:val="231F20"/>
          <w:spacing w:val="-8"/>
        </w:rPr>
        <w:t> </w:t>
      </w:r>
      <w:r>
        <w:rPr>
          <w:color w:val="231F20"/>
        </w:rPr>
        <w:t>luego</w:t>
      </w:r>
      <w:r>
        <w:rPr>
          <w:color w:val="231F20"/>
          <w:spacing w:val="-8"/>
        </w:rPr>
        <w:t> </w:t>
      </w:r>
      <w:r>
        <w:rPr>
          <w:color w:val="231F20"/>
        </w:rPr>
        <w:t>del</w:t>
      </w:r>
      <w:r>
        <w:rPr>
          <w:color w:val="231F20"/>
          <w:spacing w:val="-8"/>
        </w:rPr>
        <w:t> </w:t>
      </w:r>
      <w:r>
        <w:rPr>
          <w:color w:val="231F20"/>
        </w:rPr>
        <w:t>11–S</w:t>
      </w:r>
      <w:r>
        <w:rPr>
          <w:color w:val="231F20"/>
          <w:spacing w:val="-8"/>
        </w:rPr>
        <w:t> </w:t>
      </w:r>
      <w:r>
        <w:rPr>
          <w:color w:val="231F20"/>
        </w:rPr>
        <w:t>el</w:t>
      </w:r>
      <w:r>
        <w:rPr>
          <w:color w:val="231F20"/>
          <w:spacing w:val="-8"/>
        </w:rPr>
        <w:t> </w:t>
      </w:r>
      <w:r>
        <w:rPr>
          <w:color w:val="231F20"/>
        </w:rPr>
        <w:t>modo de entender las libertades, los derechos y las garantías cambió de manera radical. Estamos ante una nueva figura del constitucionalismo: la suspen- sión</w:t>
      </w:r>
      <w:r>
        <w:rPr>
          <w:color w:val="231F20"/>
          <w:spacing w:val="-9"/>
        </w:rPr>
        <w:t> </w:t>
      </w:r>
      <w:r>
        <w:rPr>
          <w:color w:val="231F20"/>
        </w:rPr>
        <w:t>individualizada</w:t>
      </w:r>
      <w:r>
        <w:rPr>
          <w:color w:val="231F20"/>
          <w:spacing w:val="-9"/>
        </w:rPr>
        <w:t> </w:t>
      </w:r>
      <w:r>
        <w:rPr>
          <w:color w:val="231F20"/>
        </w:rPr>
        <w:t>de</w:t>
      </w:r>
      <w:r>
        <w:rPr>
          <w:color w:val="231F20"/>
          <w:spacing w:val="-9"/>
        </w:rPr>
        <w:t> </w:t>
      </w:r>
      <w:r>
        <w:rPr>
          <w:color w:val="231F20"/>
        </w:rPr>
        <w:t>derechos</w:t>
      </w:r>
      <w:r>
        <w:rPr>
          <w:color w:val="231F20"/>
          <w:spacing w:val="-9"/>
        </w:rPr>
        <w:t> </w:t>
      </w:r>
      <w:r>
        <w:rPr>
          <w:color w:val="231F20"/>
        </w:rPr>
        <w:t>y</w:t>
      </w:r>
      <w:r>
        <w:rPr>
          <w:color w:val="231F20"/>
          <w:spacing w:val="-9"/>
        </w:rPr>
        <w:t> </w:t>
      </w:r>
      <w:r>
        <w:rPr>
          <w:color w:val="231F20"/>
        </w:rPr>
        <w:t>garantías.</w:t>
      </w:r>
      <w:r>
        <w:rPr>
          <w:color w:val="231F20"/>
          <w:spacing w:val="-9"/>
        </w:rPr>
        <w:t> </w:t>
      </w:r>
      <w:r>
        <w:rPr>
          <w:color w:val="231F20"/>
        </w:rPr>
        <w:t>Sin</w:t>
      </w:r>
      <w:r>
        <w:rPr>
          <w:color w:val="231F20"/>
          <w:spacing w:val="-9"/>
        </w:rPr>
        <w:t> </w:t>
      </w:r>
      <w:r>
        <w:rPr>
          <w:color w:val="231F20"/>
        </w:rPr>
        <w:t>embargo,</w:t>
      </w:r>
      <w:r>
        <w:rPr>
          <w:color w:val="231F20"/>
          <w:spacing w:val="-9"/>
        </w:rPr>
        <w:t> </w:t>
      </w:r>
      <w:r>
        <w:rPr>
          <w:color w:val="231F20"/>
        </w:rPr>
        <w:t>esta</w:t>
      </w:r>
      <w:r>
        <w:rPr>
          <w:color w:val="231F20"/>
          <w:spacing w:val="-9"/>
        </w:rPr>
        <w:t> </w:t>
      </w:r>
      <w:r>
        <w:rPr>
          <w:color w:val="231F20"/>
        </w:rPr>
        <w:t>figura</w:t>
      </w:r>
      <w:r>
        <w:rPr>
          <w:color w:val="231F20"/>
          <w:spacing w:val="-9"/>
        </w:rPr>
        <w:t> </w:t>
      </w:r>
      <w:r>
        <w:rPr>
          <w:color w:val="231F20"/>
        </w:rPr>
        <w:t>no</w:t>
      </w:r>
      <w:r>
        <w:rPr>
          <w:color w:val="231F20"/>
          <w:spacing w:val="-9"/>
        </w:rPr>
        <w:t> </w:t>
      </w:r>
      <w:r>
        <w:rPr>
          <w:color w:val="231F20"/>
        </w:rPr>
        <w:t>la inauguraron los Estados Unidos, sino el derecho</w:t>
      </w:r>
      <w:r>
        <w:rPr>
          <w:color w:val="231F20"/>
          <w:spacing w:val="37"/>
        </w:rPr>
        <w:t> </w:t>
      </w:r>
      <w:r>
        <w:rPr>
          <w:color w:val="231F20"/>
        </w:rPr>
        <w:t>europeo.</w:t>
      </w:r>
      <w:r>
        <w:rPr>
          <w:color w:val="231F20"/>
          <w:position w:val="7"/>
          <w:sz w:val="12"/>
        </w:rPr>
        <w:t>10</w:t>
      </w:r>
    </w:p>
    <w:p>
      <w:pPr>
        <w:pStyle w:val="BodyText"/>
        <w:spacing w:before="3"/>
        <w:rPr>
          <w:sz w:val="25"/>
        </w:rPr>
      </w:pPr>
      <w:r>
        <w:rPr/>
        <w:pict>
          <v:line style="position:absolute;mso-position-horizontal-relative:page;mso-position-vertical-relative:paragraph;z-index:2056;mso-wrap-distance-left:0;mso-wrap-distance-right:0" from="70.866096pt,17.340084pt" to="184.252096pt,17.340084pt" stroked="true" strokeweight=".3pt" strokecolor="#231f20">
            <w10:wrap type="topAndBottom"/>
          </v:line>
        </w:pict>
      </w:r>
    </w:p>
    <w:p>
      <w:pPr>
        <w:spacing w:line="204" w:lineRule="exact" w:before="8"/>
        <w:ind w:left="117" w:right="101" w:firstLine="0"/>
        <w:jc w:val="both"/>
        <w:rPr>
          <w:rFonts w:ascii="Calibri" w:hAnsi="Calibri"/>
          <w:sz w:val="17"/>
        </w:rPr>
      </w:pPr>
      <w:r>
        <w:rPr>
          <w:rFonts w:ascii="Calibri" w:hAnsi="Calibri"/>
          <w:color w:val="231F20"/>
          <w:w w:val="105"/>
          <w:position w:val="6"/>
          <w:sz w:val="10"/>
        </w:rPr>
        <w:t>10</w:t>
      </w:r>
      <w:r>
        <w:rPr>
          <w:rFonts w:ascii="Calibri" w:hAnsi="Calibri"/>
          <w:color w:val="231F20"/>
          <w:spacing w:val="2"/>
          <w:w w:val="105"/>
          <w:position w:val="6"/>
          <w:sz w:val="10"/>
        </w:rPr>
        <w:t> </w:t>
      </w:r>
      <w:r>
        <w:rPr>
          <w:rFonts w:ascii="Calibri" w:hAnsi="Calibri"/>
          <w:color w:val="231F20"/>
          <w:w w:val="105"/>
          <w:sz w:val="17"/>
        </w:rPr>
        <w:t>“La</w:t>
      </w:r>
      <w:r>
        <w:rPr>
          <w:rFonts w:ascii="Calibri" w:hAnsi="Calibri"/>
          <w:color w:val="231F20"/>
          <w:spacing w:val="-14"/>
          <w:w w:val="105"/>
          <w:sz w:val="17"/>
        </w:rPr>
        <w:t> </w:t>
      </w:r>
      <w:r>
        <w:rPr>
          <w:rFonts w:ascii="Calibri" w:hAnsi="Calibri"/>
          <w:color w:val="231F20"/>
          <w:w w:val="105"/>
          <w:sz w:val="17"/>
        </w:rPr>
        <w:t>suspensión</w:t>
      </w:r>
      <w:r>
        <w:rPr>
          <w:rFonts w:ascii="Calibri" w:hAnsi="Calibri"/>
          <w:color w:val="231F20"/>
          <w:spacing w:val="-14"/>
          <w:w w:val="105"/>
          <w:sz w:val="17"/>
        </w:rPr>
        <w:t> </w:t>
      </w:r>
      <w:r>
        <w:rPr>
          <w:rFonts w:ascii="Calibri" w:hAnsi="Calibri"/>
          <w:color w:val="231F20"/>
          <w:w w:val="105"/>
          <w:sz w:val="17"/>
        </w:rPr>
        <w:t>de</w:t>
      </w:r>
      <w:r>
        <w:rPr>
          <w:rFonts w:ascii="Calibri" w:hAnsi="Calibri"/>
          <w:color w:val="231F20"/>
          <w:spacing w:val="-14"/>
          <w:w w:val="105"/>
          <w:sz w:val="17"/>
        </w:rPr>
        <w:t> </w:t>
      </w:r>
      <w:r>
        <w:rPr>
          <w:rFonts w:ascii="Calibri" w:hAnsi="Calibri"/>
          <w:color w:val="231F20"/>
          <w:w w:val="105"/>
          <w:sz w:val="17"/>
        </w:rPr>
        <w:t>derechos</w:t>
      </w:r>
      <w:r>
        <w:rPr>
          <w:rFonts w:ascii="Calibri" w:hAnsi="Calibri"/>
          <w:color w:val="231F20"/>
          <w:spacing w:val="-15"/>
          <w:w w:val="105"/>
          <w:sz w:val="17"/>
        </w:rPr>
        <w:t> </w:t>
      </w:r>
      <w:r>
        <w:rPr>
          <w:rFonts w:ascii="Calibri" w:hAnsi="Calibri"/>
          <w:color w:val="231F20"/>
          <w:w w:val="105"/>
          <w:sz w:val="17"/>
        </w:rPr>
        <w:t>y</w:t>
      </w:r>
      <w:r>
        <w:rPr>
          <w:rFonts w:ascii="Calibri" w:hAnsi="Calibri"/>
          <w:color w:val="231F20"/>
          <w:spacing w:val="-14"/>
          <w:w w:val="105"/>
          <w:sz w:val="17"/>
        </w:rPr>
        <w:t> </w:t>
      </w:r>
      <w:r>
        <w:rPr>
          <w:rFonts w:ascii="Calibri" w:hAnsi="Calibri"/>
          <w:color w:val="231F20"/>
          <w:w w:val="105"/>
          <w:sz w:val="17"/>
        </w:rPr>
        <w:t>garantías</w:t>
      </w:r>
      <w:r>
        <w:rPr>
          <w:rFonts w:ascii="Calibri" w:hAnsi="Calibri"/>
          <w:color w:val="231F20"/>
          <w:spacing w:val="-14"/>
          <w:w w:val="105"/>
          <w:sz w:val="17"/>
        </w:rPr>
        <w:t> </w:t>
      </w:r>
      <w:r>
        <w:rPr>
          <w:rFonts w:ascii="Calibri" w:hAnsi="Calibri"/>
          <w:color w:val="231F20"/>
          <w:w w:val="105"/>
          <w:sz w:val="17"/>
        </w:rPr>
        <w:t>o</w:t>
      </w:r>
      <w:r>
        <w:rPr>
          <w:rFonts w:ascii="Calibri" w:hAnsi="Calibri"/>
          <w:color w:val="231F20"/>
          <w:spacing w:val="-14"/>
          <w:w w:val="105"/>
          <w:sz w:val="17"/>
        </w:rPr>
        <w:t> </w:t>
      </w:r>
      <w:r>
        <w:rPr>
          <w:rFonts w:ascii="Calibri" w:hAnsi="Calibri"/>
          <w:color w:val="231F20"/>
          <w:w w:val="105"/>
          <w:sz w:val="17"/>
        </w:rPr>
        <w:t>derechos</w:t>
      </w:r>
      <w:r>
        <w:rPr>
          <w:rFonts w:ascii="Calibri" w:hAnsi="Calibri"/>
          <w:color w:val="231F20"/>
          <w:spacing w:val="-14"/>
          <w:w w:val="105"/>
          <w:sz w:val="17"/>
        </w:rPr>
        <w:t> </w:t>
      </w:r>
      <w:r>
        <w:rPr>
          <w:rFonts w:ascii="Calibri" w:hAnsi="Calibri"/>
          <w:color w:val="231F20"/>
          <w:w w:val="105"/>
          <w:sz w:val="17"/>
        </w:rPr>
        <w:t>de</w:t>
      </w:r>
      <w:r>
        <w:rPr>
          <w:rFonts w:ascii="Calibri" w:hAnsi="Calibri"/>
          <w:color w:val="231F20"/>
          <w:spacing w:val="-14"/>
          <w:w w:val="105"/>
          <w:sz w:val="17"/>
        </w:rPr>
        <w:t> </w:t>
      </w:r>
      <w:r>
        <w:rPr>
          <w:rFonts w:ascii="Calibri" w:hAnsi="Calibri"/>
          <w:color w:val="231F20"/>
          <w:w w:val="105"/>
          <w:sz w:val="17"/>
        </w:rPr>
        <w:t>derogación</w:t>
      </w:r>
      <w:r>
        <w:rPr>
          <w:rFonts w:ascii="Calibri" w:hAnsi="Calibri"/>
          <w:color w:val="231F20"/>
          <w:spacing w:val="-14"/>
          <w:w w:val="105"/>
          <w:sz w:val="17"/>
        </w:rPr>
        <w:t> </w:t>
      </w:r>
      <w:r>
        <w:rPr>
          <w:rFonts w:ascii="Calibri" w:hAnsi="Calibri"/>
          <w:color w:val="231F20"/>
          <w:w w:val="105"/>
          <w:sz w:val="17"/>
        </w:rPr>
        <w:t>—como</w:t>
      </w:r>
      <w:r>
        <w:rPr>
          <w:rFonts w:ascii="Calibri" w:hAnsi="Calibri"/>
          <w:color w:val="231F20"/>
          <w:spacing w:val="-14"/>
          <w:w w:val="105"/>
          <w:sz w:val="17"/>
        </w:rPr>
        <w:t> </w:t>
      </w:r>
      <w:r>
        <w:rPr>
          <w:rFonts w:ascii="Calibri" w:hAnsi="Calibri"/>
          <w:color w:val="231F20"/>
          <w:w w:val="105"/>
          <w:sz w:val="17"/>
        </w:rPr>
        <w:t>es</w:t>
      </w:r>
      <w:r>
        <w:rPr>
          <w:rFonts w:ascii="Calibri" w:hAnsi="Calibri"/>
          <w:color w:val="231F20"/>
          <w:spacing w:val="-14"/>
          <w:w w:val="105"/>
          <w:sz w:val="17"/>
        </w:rPr>
        <w:t> </w:t>
      </w:r>
      <w:r>
        <w:rPr>
          <w:rFonts w:ascii="Calibri" w:hAnsi="Calibri"/>
          <w:color w:val="231F20"/>
          <w:w w:val="105"/>
          <w:sz w:val="17"/>
        </w:rPr>
        <w:t>conocido</w:t>
      </w:r>
      <w:r>
        <w:rPr>
          <w:rFonts w:ascii="Calibri" w:hAnsi="Calibri"/>
          <w:color w:val="231F20"/>
          <w:spacing w:val="-14"/>
          <w:w w:val="105"/>
          <w:sz w:val="17"/>
        </w:rPr>
        <w:t> </w:t>
      </w:r>
      <w:r>
        <w:rPr>
          <w:rFonts w:ascii="Calibri" w:hAnsi="Calibri"/>
          <w:color w:val="231F20"/>
          <w:w w:val="105"/>
          <w:sz w:val="17"/>
        </w:rPr>
        <w:t>en</w:t>
      </w:r>
      <w:r>
        <w:rPr>
          <w:rFonts w:ascii="Calibri" w:hAnsi="Calibri"/>
          <w:color w:val="231F20"/>
          <w:spacing w:val="-14"/>
          <w:w w:val="105"/>
          <w:sz w:val="17"/>
        </w:rPr>
        <w:t> </w:t>
      </w:r>
      <w:r>
        <w:rPr>
          <w:rFonts w:ascii="Calibri" w:hAnsi="Calibri"/>
          <w:color w:val="231F20"/>
          <w:w w:val="105"/>
          <w:sz w:val="17"/>
        </w:rPr>
        <w:t>el</w:t>
      </w:r>
      <w:r>
        <w:rPr>
          <w:rFonts w:ascii="Calibri" w:hAnsi="Calibri"/>
          <w:color w:val="231F20"/>
          <w:spacing w:val="-14"/>
          <w:w w:val="105"/>
          <w:sz w:val="17"/>
        </w:rPr>
        <w:t> </w:t>
      </w:r>
      <w:r>
        <w:rPr>
          <w:rFonts w:ascii="Calibri" w:hAnsi="Calibri"/>
          <w:color w:val="231F20"/>
          <w:w w:val="105"/>
          <w:sz w:val="17"/>
        </w:rPr>
        <w:t>ám- bito</w:t>
      </w:r>
      <w:r>
        <w:rPr>
          <w:rFonts w:ascii="Calibri" w:hAnsi="Calibri"/>
          <w:color w:val="231F20"/>
          <w:spacing w:val="-19"/>
          <w:w w:val="105"/>
          <w:sz w:val="17"/>
        </w:rPr>
        <w:t> </w:t>
      </w:r>
      <w:r>
        <w:rPr>
          <w:rFonts w:ascii="Calibri" w:hAnsi="Calibri"/>
          <w:color w:val="231F20"/>
          <w:w w:val="105"/>
          <w:sz w:val="17"/>
        </w:rPr>
        <w:t>europeo—</w:t>
      </w:r>
      <w:r>
        <w:rPr>
          <w:rFonts w:ascii="Calibri" w:hAnsi="Calibri"/>
          <w:color w:val="231F20"/>
          <w:spacing w:val="-19"/>
          <w:w w:val="105"/>
          <w:sz w:val="17"/>
        </w:rPr>
        <w:t> </w:t>
      </w:r>
      <w:r>
        <w:rPr>
          <w:rFonts w:ascii="Calibri" w:hAnsi="Calibri"/>
          <w:color w:val="231F20"/>
          <w:w w:val="105"/>
          <w:sz w:val="17"/>
        </w:rPr>
        <w:t>la</w:t>
      </w:r>
      <w:r>
        <w:rPr>
          <w:rFonts w:ascii="Calibri" w:hAnsi="Calibri"/>
          <w:color w:val="231F20"/>
          <w:spacing w:val="-19"/>
          <w:w w:val="105"/>
          <w:sz w:val="17"/>
        </w:rPr>
        <w:t> </w:t>
      </w:r>
      <w:r>
        <w:rPr>
          <w:rFonts w:ascii="Calibri" w:hAnsi="Calibri"/>
          <w:color w:val="231F20"/>
          <w:w w:val="105"/>
          <w:sz w:val="17"/>
        </w:rPr>
        <w:t>podemos</w:t>
      </w:r>
      <w:r>
        <w:rPr>
          <w:rFonts w:ascii="Calibri" w:hAnsi="Calibri"/>
          <w:color w:val="231F20"/>
          <w:spacing w:val="-19"/>
          <w:w w:val="105"/>
          <w:sz w:val="17"/>
        </w:rPr>
        <w:t> </w:t>
      </w:r>
      <w:r>
        <w:rPr>
          <w:rFonts w:ascii="Calibri" w:hAnsi="Calibri"/>
          <w:color w:val="231F20"/>
          <w:w w:val="105"/>
          <w:sz w:val="17"/>
        </w:rPr>
        <w:t>definir</w:t>
      </w:r>
      <w:r>
        <w:rPr>
          <w:rFonts w:ascii="Calibri" w:hAnsi="Calibri"/>
          <w:color w:val="231F20"/>
          <w:spacing w:val="-19"/>
          <w:w w:val="105"/>
          <w:sz w:val="17"/>
        </w:rPr>
        <w:t> </w:t>
      </w:r>
      <w:r>
        <w:rPr>
          <w:rFonts w:ascii="Calibri" w:hAnsi="Calibri"/>
          <w:color w:val="231F20"/>
          <w:w w:val="105"/>
          <w:sz w:val="17"/>
        </w:rPr>
        <w:t>como</w:t>
      </w:r>
      <w:r>
        <w:rPr>
          <w:rFonts w:ascii="Calibri" w:hAnsi="Calibri"/>
          <w:color w:val="231F20"/>
          <w:spacing w:val="-19"/>
          <w:w w:val="105"/>
          <w:sz w:val="17"/>
        </w:rPr>
        <w:t> </w:t>
      </w:r>
      <w:r>
        <w:rPr>
          <w:rFonts w:ascii="Calibri" w:hAnsi="Calibri"/>
          <w:color w:val="231F20"/>
          <w:w w:val="105"/>
          <w:sz w:val="17"/>
        </w:rPr>
        <w:t>una</w:t>
      </w:r>
      <w:r>
        <w:rPr>
          <w:rFonts w:ascii="Calibri" w:hAnsi="Calibri"/>
          <w:color w:val="231F20"/>
          <w:spacing w:val="-19"/>
          <w:w w:val="105"/>
          <w:sz w:val="17"/>
        </w:rPr>
        <w:t> </w:t>
      </w:r>
      <w:r>
        <w:rPr>
          <w:rFonts w:ascii="Calibri" w:hAnsi="Calibri"/>
          <w:color w:val="231F20"/>
          <w:w w:val="105"/>
          <w:sz w:val="17"/>
        </w:rPr>
        <w:t>institución</w:t>
      </w:r>
      <w:r>
        <w:rPr>
          <w:rFonts w:ascii="Calibri" w:hAnsi="Calibri"/>
          <w:color w:val="231F20"/>
          <w:spacing w:val="-19"/>
          <w:w w:val="105"/>
          <w:sz w:val="17"/>
        </w:rPr>
        <w:t> </w:t>
      </w:r>
      <w:r>
        <w:rPr>
          <w:rFonts w:ascii="Calibri" w:hAnsi="Calibri"/>
          <w:color w:val="231F20"/>
          <w:w w:val="105"/>
          <w:sz w:val="17"/>
        </w:rPr>
        <w:t>jurídica</w:t>
      </w:r>
      <w:r>
        <w:rPr>
          <w:rFonts w:ascii="Calibri" w:hAnsi="Calibri"/>
          <w:color w:val="231F20"/>
          <w:spacing w:val="-19"/>
          <w:w w:val="105"/>
          <w:sz w:val="17"/>
        </w:rPr>
        <w:t> </w:t>
      </w:r>
      <w:r>
        <w:rPr>
          <w:rFonts w:ascii="Calibri" w:hAnsi="Calibri"/>
          <w:color w:val="231F20"/>
          <w:w w:val="105"/>
          <w:sz w:val="17"/>
        </w:rPr>
        <w:t>que</w:t>
      </w:r>
      <w:r>
        <w:rPr>
          <w:rFonts w:ascii="Calibri" w:hAnsi="Calibri"/>
          <w:color w:val="231F20"/>
          <w:spacing w:val="-19"/>
          <w:w w:val="105"/>
          <w:sz w:val="17"/>
        </w:rPr>
        <w:t> </w:t>
      </w:r>
      <w:r>
        <w:rPr>
          <w:rFonts w:ascii="Calibri" w:hAnsi="Calibri"/>
          <w:color w:val="231F20"/>
          <w:w w:val="105"/>
          <w:sz w:val="17"/>
        </w:rPr>
        <w:t>tiene</w:t>
      </w:r>
      <w:r>
        <w:rPr>
          <w:rFonts w:ascii="Calibri" w:hAnsi="Calibri"/>
          <w:color w:val="231F20"/>
          <w:spacing w:val="-19"/>
          <w:w w:val="105"/>
          <w:sz w:val="17"/>
        </w:rPr>
        <w:t> </w:t>
      </w:r>
      <w:r>
        <w:rPr>
          <w:rFonts w:ascii="Calibri" w:hAnsi="Calibri"/>
          <w:color w:val="231F20"/>
          <w:w w:val="105"/>
          <w:sz w:val="17"/>
        </w:rPr>
        <w:t>como</w:t>
      </w:r>
      <w:r>
        <w:rPr>
          <w:rFonts w:ascii="Calibri" w:hAnsi="Calibri"/>
          <w:color w:val="231F20"/>
          <w:spacing w:val="-19"/>
          <w:w w:val="105"/>
          <w:sz w:val="17"/>
        </w:rPr>
        <w:t> </w:t>
      </w:r>
      <w:r>
        <w:rPr>
          <w:rFonts w:ascii="Calibri" w:hAnsi="Calibri"/>
          <w:color w:val="231F20"/>
          <w:w w:val="105"/>
          <w:sz w:val="17"/>
        </w:rPr>
        <w:t>objetivo</w:t>
      </w:r>
      <w:r>
        <w:rPr>
          <w:rFonts w:ascii="Calibri" w:hAnsi="Calibri"/>
          <w:color w:val="231F20"/>
          <w:spacing w:val="-19"/>
          <w:w w:val="105"/>
          <w:sz w:val="17"/>
        </w:rPr>
        <w:t> </w:t>
      </w:r>
      <w:r>
        <w:rPr>
          <w:rFonts w:ascii="Calibri" w:hAnsi="Calibri"/>
          <w:color w:val="231F20"/>
          <w:w w:val="105"/>
          <w:sz w:val="17"/>
        </w:rPr>
        <w:t>restringir o</w:t>
      </w:r>
      <w:r>
        <w:rPr>
          <w:rFonts w:ascii="Calibri" w:hAnsi="Calibri"/>
          <w:color w:val="231F20"/>
          <w:spacing w:val="-21"/>
          <w:w w:val="105"/>
          <w:sz w:val="17"/>
        </w:rPr>
        <w:t> </w:t>
      </w:r>
      <w:r>
        <w:rPr>
          <w:rFonts w:ascii="Calibri" w:hAnsi="Calibri"/>
          <w:color w:val="231F20"/>
          <w:w w:val="105"/>
          <w:sz w:val="17"/>
        </w:rPr>
        <w:t>limitar</w:t>
      </w:r>
      <w:r>
        <w:rPr>
          <w:rFonts w:ascii="Calibri" w:hAnsi="Calibri"/>
          <w:color w:val="231F20"/>
          <w:spacing w:val="-21"/>
          <w:w w:val="105"/>
          <w:sz w:val="17"/>
        </w:rPr>
        <w:t> </w:t>
      </w:r>
      <w:r>
        <w:rPr>
          <w:rFonts w:ascii="Calibri" w:hAnsi="Calibri"/>
          <w:color w:val="231F20"/>
          <w:w w:val="105"/>
          <w:sz w:val="17"/>
        </w:rPr>
        <w:t>el</w:t>
      </w:r>
      <w:r>
        <w:rPr>
          <w:rFonts w:ascii="Calibri" w:hAnsi="Calibri"/>
          <w:color w:val="231F20"/>
          <w:spacing w:val="-21"/>
          <w:w w:val="105"/>
          <w:sz w:val="17"/>
        </w:rPr>
        <w:t> </w:t>
      </w:r>
      <w:r>
        <w:rPr>
          <w:rFonts w:ascii="Calibri" w:hAnsi="Calibri"/>
          <w:color w:val="231F20"/>
          <w:w w:val="105"/>
          <w:sz w:val="17"/>
        </w:rPr>
        <w:t>disfrute</w:t>
      </w:r>
      <w:r>
        <w:rPr>
          <w:rFonts w:ascii="Calibri" w:hAnsi="Calibri"/>
          <w:color w:val="231F20"/>
          <w:spacing w:val="-21"/>
          <w:w w:val="105"/>
          <w:sz w:val="17"/>
        </w:rPr>
        <w:t> </w:t>
      </w:r>
      <w:r>
        <w:rPr>
          <w:rFonts w:ascii="Calibri" w:hAnsi="Calibri"/>
          <w:color w:val="231F20"/>
          <w:w w:val="105"/>
          <w:sz w:val="17"/>
        </w:rPr>
        <w:t>de</w:t>
      </w:r>
      <w:r>
        <w:rPr>
          <w:rFonts w:ascii="Calibri" w:hAnsi="Calibri"/>
          <w:color w:val="231F20"/>
          <w:spacing w:val="-21"/>
          <w:w w:val="105"/>
          <w:sz w:val="17"/>
        </w:rPr>
        <w:t> </w:t>
      </w:r>
      <w:r>
        <w:rPr>
          <w:rFonts w:ascii="Calibri" w:hAnsi="Calibri"/>
          <w:color w:val="231F20"/>
          <w:w w:val="105"/>
          <w:sz w:val="17"/>
        </w:rPr>
        <w:t>ciertos</w:t>
      </w:r>
      <w:r>
        <w:rPr>
          <w:rFonts w:ascii="Calibri" w:hAnsi="Calibri"/>
          <w:color w:val="231F20"/>
          <w:spacing w:val="-21"/>
          <w:w w:val="105"/>
          <w:sz w:val="17"/>
        </w:rPr>
        <w:t> </w:t>
      </w:r>
      <w:r>
        <w:rPr>
          <w:rFonts w:ascii="Calibri" w:hAnsi="Calibri"/>
          <w:color w:val="231F20"/>
          <w:w w:val="105"/>
          <w:sz w:val="17"/>
        </w:rPr>
        <w:t>derechos</w:t>
      </w:r>
      <w:r>
        <w:rPr>
          <w:rFonts w:ascii="Calibri" w:hAnsi="Calibri"/>
          <w:color w:val="231F20"/>
          <w:spacing w:val="-21"/>
          <w:w w:val="105"/>
          <w:sz w:val="17"/>
        </w:rPr>
        <w:t> </w:t>
      </w:r>
      <w:r>
        <w:rPr>
          <w:rFonts w:ascii="Calibri" w:hAnsi="Calibri"/>
          <w:color w:val="231F20"/>
          <w:w w:val="105"/>
          <w:sz w:val="17"/>
        </w:rPr>
        <w:t>fundamentales</w:t>
      </w:r>
      <w:r>
        <w:rPr>
          <w:rFonts w:ascii="Calibri" w:hAnsi="Calibri"/>
          <w:color w:val="231F20"/>
          <w:spacing w:val="-21"/>
          <w:w w:val="105"/>
          <w:sz w:val="17"/>
        </w:rPr>
        <w:t> </w:t>
      </w:r>
      <w:r>
        <w:rPr>
          <w:rFonts w:ascii="Calibri" w:hAnsi="Calibri"/>
          <w:color w:val="231F20"/>
          <w:w w:val="105"/>
          <w:sz w:val="17"/>
        </w:rPr>
        <w:t>relacionados</w:t>
      </w:r>
      <w:r>
        <w:rPr>
          <w:rFonts w:ascii="Calibri" w:hAnsi="Calibri"/>
          <w:color w:val="231F20"/>
          <w:spacing w:val="-21"/>
          <w:w w:val="105"/>
          <w:sz w:val="17"/>
        </w:rPr>
        <w:t> </w:t>
      </w:r>
      <w:r>
        <w:rPr>
          <w:rFonts w:ascii="Calibri" w:hAnsi="Calibri"/>
          <w:color w:val="231F20"/>
          <w:w w:val="105"/>
          <w:sz w:val="17"/>
        </w:rPr>
        <w:t>esencialmente</w:t>
      </w:r>
      <w:r>
        <w:rPr>
          <w:rFonts w:ascii="Calibri" w:hAnsi="Calibri"/>
          <w:color w:val="231F20"/>
          <w:spacing w:val="-21"/>
          <w:w w:val="105"/>
          <w:sz w:val="17"/>
        </w:rPr>
        <w:t> </w:t>
      </w:r>
      <w:r>
        <w:rPr>
          <w:rFonts w:ascii="Calibri" w:hAnsi="Calibri"/>
          <w:color w:val="231F20"/>
          <w:w w:val="105"/>
          <w:sz w:val="17"/>
        </w:rPr>
        <w:t>con</w:t>
      </w:r>
      <w:r>
        <w:rPr>
          <w:rFonts w:ascii="Calibri" w:hAnsi="Calibri"/>
          <w:color w:val="231F20"/>
          <w:spacing w:val="-21"/>
          <w:w w:val="105"/>
          <w:sz w:val="17"/>
        </w:rPr>
        <w:t> </w:t>
      </w:r>
      <w:r>
        <w:rPr>
          <w:rFonts w:ascii="Calibri" w:hAnsi="Calibri"/>
          <w:color w:val="231F20"/>
          <w:w w:val="105"/>
          <w:sz w:val="17"/>
        </w:rPr>
        <w:t>el</w:t>
      </w:r>
      <w:r>
        <w:rPr>
          <w:rFonts w:ascii="Calibri" w:hAnsi="Calibri"/>
          <w:color w:val="231F20"/>
          <w:spacing w:val="-21"/>
          <w:w w:val="105"/>
          <w:sz w:val="17"/>
        </w:rPr>
        <w:t> </w:t>
      </w:r>
      <w:r>
        <w:rPr>
          <w:rFonts w:ascii="Calibri" w:hAnsi="Calibri"/>
          <w:color w:val="231F20"/>
          <w:w w:val="105"/>
          <w:sz w:val="17"/>
        </w:rPr>
        <w:t>procedi- miento</w:t>
      </w:r>
      <w:r>
        <w:rPr>
          <w:rFonts w:ascii="Calibri" w:hAnsi="Calibri"/>
          <w:color w:val="231F20"/>
          <w:spacing w:val="-14"/>
          <w:w w:val="105"/>
          <w:sz w:val="17"/>
        </w:rPr>
        <w:t> </w:t>
      </w:r>
      <w:r>
        <w:rPr>
          <w:rFonts w:ascii="Calibri" w:hAnsi="Calibri"/>
          <w:color w:val="231F20"/>
          <w:w w:val="105"/>
          <w:sz w:val="17"/>
        </w:rPr>
        <w:t>penal</w:t>
      </w:r>
      <w:r>
        <w:rPr>
          <w:rFonts w:ascii="Calibri" w:hAnsi="Calibri"/>
          <w:color w:val="231F20"/>
          <w:spacing w:val="-14"/>
          <w:w w:val="105"/>
          <w:sz w:val="17"/>
        </w:rPr>
        <w:t> </w:t>
      </w:r>
      <w:r>
        <w:rPr>
          <w:rFonts w:ascii="Calibri" w:hAnsi="Calibri"/>
          <w:color w:val="231F20"/>
          <w:w w:val="105"/>
          <w:sz w:val="17"/>
        </w:rPr>
        <w:t>para</w:t>
      </w:r>
      <w:r>
        <w:rPr>
          <w:rFonts w:ascii="Calibri" w:hAnsi="Calibri"/>
          <w:color w:val="231F20"/>
          <w:spacing w:val="-14"/>
          <w:w w:val="105"/>
          <w:sz w:val="17"/>
        </w:rPr>
        <w:t> </w:t>
      </w:r>
      <w:r>
        <w:rPr>
          <w:rFonts w:ascii="Calibri" w:hAnsi="Calibri"/>
          <w:color w:val="231F20"/>
          <w:w w:val="105"/>
          <w:sz w:val="17"/>
        </w:rPr>
        <w:t>facilitar</w:t>
      </w:r>
      <w:r>
        <w:rPr>
          <w:rFonts w:ascii="Calibri" w:hAnsi="Calibri"/>
          <w:color w:val="231F20"/>
          <w:spacing w:val="-14"/>
          <w:w w:val="105"/>
          <w:sz w:val="17"/>
        </w:rPr>
        <w:t> </w:t>
      </w:r>
      <w:r>
        <w:rPr>
          <w:rFonts w:ascii="Calibri" w:hAnsi="Calibri"/>
          <w:color w:val="231F20"/>
          <w:w w:val="105"/>
          <w:sz w:val="17"/>
        </w:rPr>
        <w:t>las</w:t>
      </w:r>
      <w:r>
        <w:rPr>
          <w:rFonts w:ascii="Calibri" w:hAnsi="Calibri"/>
          <w:color w:val="231F20"/>
          <w:spacing w:val="-14"/>
          <w:w w:val="105"/>
          <w:sz w:val="17"/>
        </w:rPr>
        <w:t> </w:t>
      </w:r>
      <w:r>
        <w:rPr>
          <w:rFonts w:ascii="Calibri" w:hAnsi="Calibri"/>
          <w:color w:val="231F20"/>
          <w:w w:val="105"/>
          <w:sz w:val="17"/>
        </w:rPr>
        <w:t>investigaciones</w:t>
      </w:r>
      <w:r>
        <w:rPr>
          <w:rFonts w:ascii="Calibri" w:hAnsi="Calibri"/>
          <w:color w:val="231F20"/>
          <w:spacing w:val="-14"/>
          <w:w w:val="105"/>
          <w:sz w:val="17"/>
        </w:rPr>
        <w:t> </w:t>
      </w:r>
      <w:r>
        <w:rPr>
          <w:rFonts w:ascii="Calibri" w:hAnsi="Calibri"/>
          <w:color w:val="231F20"/>
          <w:w w:val="105"/>
          <w:sz w:val="17"/>
        </w:rPr>
        <w:t>relacionadas</w:t>
      </w:r>
      <w:r>
        <w:rPr>
          <w:rFonts w:ascii="Calibri" w:hAnsi="Calibri"/>
          <w:color w:val="231F20"/>
          <w:spacing w:val="-14"/>
          <w:w w:val="105"/>
          <w:sz w:val="17"/>
        </w:rPr>
        <w:t> </w:t>
      </w:r>
      <w:r>
        <w:rPr>
          <w:rFonts w:ascii="Calibri" w:hAnsi="Calibri"/>
          <w:color w:val="231F20"/>
          <w:w w:val="105"/>
          <w:sz w:val="17"/>
        </w:rPr>
        <w:t>con</w:t>
      </w:r>
      <w:r>
        <w:rPr>
          <w:rFonts w:ascii="Calibri" w:hAnsi="Calibri"/>
          <w:color w:val="231F20"/>
          <w:spacing w:val="-14"/>
          <w:w w:val="105"/>
          <w:sz w:val="17"/>
        </w:rPr>
        <w:t> </w:t>
      </w:r>
      <w:r>
        <w:rPr>
          <w:rFonts w:ascii="Calibri" w:hAnsi="Calibri"/>
          <w:color w:val="231F20"/>
          <w:w w:val="105"/>
          <w:sz w:val="17"/>
        </w:rPr>
        <w:t>la</w:t>
      </w:r>
      <w:r>
        <w:rPr>
          <w:rFonts w:ascii="Calibri" w:hAnsi="Calibri"/>
          <w:color w:val="231F20"/>
          <w:spacing w:val="-14"/>
          <w:w w:val="105"/>
          <w:sz w:val="17"/>
        </w:rPr>
        <w:t> </w:t>
      </w:r>
      <w:r>
        <w:rPr>
          <w:rFonts w:ascii="Calibri" w:hAnsi="Calibri"/>
          <w:color w:val="231F20"/>
          <w:w w:val="105"/>
          <w:sz w:val="17"/>
        </w:rPr>
        <w:t>comisión</w:t>
      </w:r>
      <w:r>
        <w:rPr>
          <w:rFonts w:ascii="Calibri" w:hAnsi="Calibri"/>
          <w:color w:val="231F20"/>
          <w:spacing w:val="-14"/>
          <w:w w:val="105"/>
          <w:sz w:val="17"/>
        </w:rPr>
        <w:t> </w:t>
      </w:r>
      <w:r>
        <w:rPr>
          <w:rFonts w:ascii="Calibri" w:hAnsi="Calibri"/>
          <w:color w:val="231F20"/>
          <w:w w:val="105"/>
          <w:sz w:val="17"/>
        </w:rPr>
        <w:t>de</w:t>
      </w:r>
      <w:r>
        <w:rPr>
          <w:rFonts w:ascii="Calibri" w:hAnsi="Calibri"/>
          <w:color w:val="231F20"/>
          <w:spacing w:val="-14"/>
          <w:w w:val="105"/>
          <w:sz w:val="17"/>
        </w:rPr>
        <w:t> </w:t>
      </w:r>
      <w:r>
        <w:rPr>
          <w:rFonts w:ascii="Calibri" w:hAnsi="Calibri"/>
          <w:color w:val="231F20"/>
          <w:w w:val="105"/>
          <w:sz w:val="17"/>
        </w:rPr>
        <w:t>delitos</w:t>
      </w:r>
      <w:r>
        <w:rPr>
          <w:rFonts w:ascii="Calibri" w:hAnsi="Calibri"/>
          <w:color w:val="231F20"/>
          <w:spacing w:val="-14"/>
          <w:w w:val="105"/>
          <w:sz w:val="17"/>
        </w:rPr>
        <w:t> </w:t>
      </w:r>
      <w:r>
        <w:rPr>
          <w:rFonts w:ascii="Calibri" w:hAnsi="Calibri"/>
          <w:color w:val="231F20"/>
          <w:w w:val="105"/>
          <w:sz w:val="17"/>
        </w:rPr>
        <w:t>que</w:t>
      </w:r>
      <w:r>
        <w:rPr>
          <w:rFonts w:ascii="Calibri" w:hAnsi="Calibri"/>
          <w:color w:val="231F20"/>
          <w:spacing w:val="-14"/>
          <w:w w:val="105"/>
          <w:sz w:val="17"/>
        </w:rPr>
        <w:t> </w:t>
      </w:r>
      <w:r>
        <w:rPr>
          <w:rFonts w:ascii="Calibri" w:hAnsi="Calibri"/>
          <w:color w:val="231F20"/>
          <w:w w:val="105"/>
          <w:sz w:val="17"/>
        </w:rPr>
        <w:t>afecten</w:t>
      </w:r>
    </w:p>
    <w:p>
      <w:pPr>
        <w:spacing w:after="0" w:line="204" w:lineRule="exact"/>
        <w:jc w:val="both"/>
        <w:rPr>
          <w:rFonts w:ascii="Calibri" w:hAnsi="Calibri"/>
          <w:sz w:val="17"/>
        </w:rPr>
        <w:sectPr>
          <w:pgSz w:w="9640" w:h="13890"/>
          <w:pgMar w:top="0" w:bottom="280" w:left="1300" w:right="1200"/>
        </w:sectPr>
      </w:pPr>
    </w:p>
    <w:p>
      <w:pPr>
        <w:spacing w:line="220" w:lineRule="exact" w:before="121"/>
        <w:ind w:left="1521" w:right="115" w:firstLine="0"/>
        <w:jc w:val="both"/>
        <w:rPr>
          <w:sz w:val="19"/>
        </w:rPr>
      </w:pPr>
      <w:r>
        <w:rPr>
          <w:color w:val="231F20"/>
          <w:sz w:val="19"/>
        </w:rPr>
        <w:t>La Patriot Act, aprobada en octubre de 2001, es un paquete de medidas antiterroristas que modifican la estructura de los dere- chos civiles y políticos y legitima la suspensión del derecho más antiguo de la jurisprudencia anglosajona, el </w:t>
      </w:r>
      <w:r>
        <w:rPr>
          <w:rFonts w:ascii="Arial" w:hAnsi="Arial"/>
          <w:i/>
          <w:color w:val="231F20"/>
          <w:sz w:val="19"/>
        </w:rPr>
        <w:t>habeas corpus</w:t>
      </w:r>
      <w:r>
        <w:rPr>
          <w:color w:val="231F20"/>
          <w:sz w:val="19"/>
        </w:rPr>
        <w:t>.</w:t>
      </w:r>
      <w:r>
        <w:rPr>
          <w:color w:val="231F20"/>
          <w:spacing w:val="-39"/>
          <w:sz w:val="19"/>
        </w:rPr>
        <w:t> </w:t>
      </w:r>
      <w:r>
        <w:rPr>
          <w:color w:val="231F20"/>
          <w:sz w:val="19"/>
        </w:rPr>
        <w:t>Junto con ello, autoriza asimismo la detención de todo sospechoso de poner en peligro la seguridad nacional a partir de su perfil étni- co.</w:t>
      </w:r>
      <w:r>
        <w:rPr>
          <w:color w:val="231F20"/>
          <w:spacing w:val="-10"/>
          <w:sz w:val="19"/>
        </w:rPr>
        <w:t> </w:t>
      </w:r>
      <w:r>
        <w:rPr>
          <w:color w:val="231F20"/>
          <w:sz w:val="19"/>
        </w:rPr>
        <w:t>[…]</w:t>
      </w:r>
      <w:r>
        <w:rPr>
          <w:color w:val="231F20"/>
          <w:spacing w:val="-10"/>
          <w:sz w:val="19"/>
        </w:rPr>
        <w:t> </w:t>
      </w:r>
      <w:r>
        <w:rPr>
          <w:color w:val="231F20"/>
          <w:sz w:val="19"/>
        </w:rPr>
        <w:t>Se</w:t>
      </w:r>
      <w:r>
        <w:rPr>
          <w:color w:val="231F20"/>
          <w:spacing w:val="-10"/>
          <w:sz w:val="19"/>
        </w:rPr>
        <w:t> </w:t>
      </w:r>
      <w:r>
        <w:rPr>
          <w:color w:val="231F20"/>
          <w:sz w:val="19"/>
        </w:rPr>
        <w:t>calcula</w:t>
      </w:r>
      <w:r>
        <w:rPr>
          <w:color w:val="231F20"/>
          <w:spacing w:val="-10"/>
          <w:sz w:val="19"/>
        </w:rPr>
        <w:t> </w:t>
      </w:r>
      <w:r>
        <w:rPr>
          <w:color w:val="231F20"/>
          <w:sz w:val="19"/>
        </w:rPr>
        <w:t>que</w:t>
      </w:r>
      <w:r>
        <w:rPr>
          <w:color w:val="231F20"/>
          <w:spacing w:val="-10"/>
          <w:sz w:val="19"/>
        </w:rPr>
        <w:t> </w:t>
      </w:r>
      <w:r>
        <w:rPr>
          <w:color w:val="231F20"/>
          <w:sz w:val="19"/>
        </w:rPr>
        <w:t>más</w:t>
      </w:r>
      <w:r>
        <w:rPr>
          <w:color w:val="231F20"/>
          <w:spacing w:val="-10"/>
          <w:sz w:val="19"/>
        </w:rPr>
        <w:t> </w:t>
      </w:r>
      <w:r>
        <w:rPr>
          <w:color w:val="231F20"/>
          <w:sz w:val="19"/>
        </w:rPr>
        <w:t>de</w:t>
      </w:r>
      <w:r>
        <w:rPr>
          <w:color w:val="231F20"/>
          <w:spacing w:val="-10"/>
          <w:sz w:val="19"/>
        </w:rPr>
        <w:t> </w:t>
      </w:r>
      <w:r>
        <w:rPr>
          <w:color w:val="231F20"/>
          <w:sz w:val="19"/>
        </w:rPr>
        <w:t>12,000</w:t>
      </w:r>
      <w:r>
        <w:rPr>
          <w:color w:val="231F20"/>
          <w:spacing w:val="-10"/>
          <w:sz w:val="19"/>
        </w:rPr>
        <w:t> </w:t>
      </w:r>
      <w:r>
        <w:rPr>
          <w:color w:val="231F20"/>
          <w:sz w:val="19"/>
        </w:rPr>
        <w:t>extranjeros</w:t>
      </w:r>
      <w:r>
        <w:rPr>
          <w:color w:val="231F20"/>
          <w:spacing w:val="-10"/>
          <w:sz w:val="19"/>
        </w:rPr>
        <w:t> </w:t>
      </w:r>
      <w:r>
        <w:rPr>
          <w:color w:val="231F20"/>
          <w:sz w:val="19"/>
        </w:rPr>
        <w:t>encarcelados</w:t>
      </w:r>
      <w:r>
        <w:rPr>
          <w:color w:val="231F20"/>
          <w:spacing w:val="-10"/>
          <w:sz w:val="19"/>
        </w:rPr>
        <w:t> </w:t>
      </w:r>
      <w:r>
        <w:rPr>
          <w:color w:val="231F20"/>
          <w:sz w:val="19"/>
        </w:rPr>
        <w:t>en secreto y sometidos a un régimen de aislamiento, con interroga- torios y abusos físicos o psicológicos y sin derecho a un abogado, han sido liberados sin acusación y expulsados del país. Las me- didas adoptadas en virtud de la </w:t>
      </w:r>
      <w:r>
        <w:rPr>
          <w:rFonts w:ascii="Arial" w:hAnsi="Arial"/>
          <w:i/>
          <w:color w:val="231F20"/>
          <w:sz w:val="19"/>
        </w:rPr>
        <w:t>Patrior Act </w:t>
      </w:r>
      <w:r>
        <w:rPr>
          <w:color w:val="231F20"/>
          <w:sz w:val="19"/>
        </w:rPr>
        <w:t>se han visto comple- mentadas por las impuestas por la </w:t>
      </w:r>
      <w:r>
        <w:rPr>
          <w:rFonts w:ascii="Arial" w:hAnsi="Arial"/>
          <w:i/>
          <w:color w:val="231F20"/>
          <w:sz w:val="19"/>
        </w:rPr>
        <w:t>Military Order</w:t>
      </w:r>
      <w:r>
        <w:rPr>
          <w:color w:val="231F20"/>
          <w:sz w:val="19"/>
        </w:rPr>
        <w:t>, una orden del presidente Bush que permite someter a los no–ciudadanos </w:t>
      </w:r>
      <w:r>
        <w:rPr>
          <w:color w:val="231F20"/>
          <w:spacing w:val="-3"/>
          <w:sz w:val="19"/>
        </w:rPr>
        <w:t>nor- </w:t>
      </w:r>
      <w:r>
        <w:rPr>
          <w:color w:val="231F20"/>
          <w:sz w:val="19"/>
        </w:rPr>
        <w:t>teamericanos, sospechosos de actividades terroristas, a jurisdic- ciones especiales y detenciones indefinidas. La novedad de esta orden</w:t>
      </w:r>
      <w:r>
        <w:rPr>
          <w:color w:val="231F20"/>
          <w:spacing w:val="-11"/>
          <w:sz w:val="19"/>
        </w:rPr>
        <w:t> </w:t>
      </w:r>
      <w:r>
        <w:rPr>
          <w:color w:val="231F20"/>
          <w:sz w:val="19"/>
        </w:rPr>
        <w:t>consiste</w:t>
      </w:r>
      <w:r>
        <w:rPr>
          <w:color w:val="231F20"/>
          <w:spacing w:val="-11"/>
          <w:sz w:val="19"/>
        </w:rPr>
        <w:t> </w:t>
      </w:r>
      <w:r>
        <w:rPr>
          <w:color w:val="231F20"/>
          <w:sz w:val="19"/>
        </w:rPr>
        <w:t>en</w:t>
      </w:r>
      <w:r>
        <w:rPr>
          <w:color w:val="231F20"/>
          <w:spacing w:val="-11"/>
          <w:sz w:val="19"/>
        </w:rPr>
        <w:t> </w:t>
      </w:r>
      <w:r>
        <w:rPr>
          <w:color w:val="231F20"/>
          <w:sz w:val="19"/>
        </w:rPr>
        <w:t>crear</w:t>
      </w:r>
      <w:r>
        <w:rPr>
          <w:color w:val="231F20"/>
          <w:spacing w:val="-11"/>
          <w:sz w:val="19"/>
        </w:rPr>
        <w:t> </w:t>
      </w:r>
      <w:r>
        <w:rPr>
          <w:color w:val="231F20"/>
          <w:sz w:val="19"/>
        </w:rPr>
        <w:t>una</w:t>
      </w:r>
      <w:r>
        <w:rPr>
          <w:color w:val="231F20"/>
          <w:spacing w:val="-11"/>
          <w:sz w:val="19"/>
        </w:rPr>
        <w:t> </w:t>
      </w:r>
      <w:r>
        <w:rPr>
          <w:color w:val="231F20"/>
          <w:sz w:val="19"/>
        </w:rPr>
        <w:t>auténtica</w:t>
      </w:r>
      <w:r>
        <w:rPr>
          <w:color w:val="231F20"/>
          <w:spacing w:val="-11"/>
          <w:sz w:val="19"/>
        </w:rPr>
        <w:t> </w:t>
      </w:r>
      <w:r>
        <w:rPr>
          <w:color w:val="231F20"/>
          <w:sz w:val="19"/>
        </w:rPr>
        <w:t>zona</w:t>
      </w:r>
      <w:r>
        <w:rPr>
          <w:color w:val="231F20"/>
          <w:spacing w:val="-11"/>
          <w:sz w:val="19"/>
        </w:rPr>
        <w:t> </w:t>
      </w:r>
      <w:r>
        <w:rPr>
          <w:color w:val="231F20"/>
          <w:sz w:val="19"/>
        </w:rPr>
        <w:t>de</w:t>
      </w:r>
      <w:r>
        <w:rPr>
          <w:color w:val="231F20"/>
          <w:spacing w:val="-11"/>
          <w:sz w:val="19"/>
        </w:rPr>
        <w:t> </w:t>
      </w:r>
      <w:r>
        <w:rPr>
          <w:color w:val="231F20"/>
          <w:sz w:val="19"/>
        </w:rPr>
        <w:t>no</w:t>
      </w:r>
      <w:r>
        <w:rPr>
          <w:color w:val="231F20"/>
          <w:spacing w:val="-11"/>
          <w:sz w:val="19"/>
        </w:rPr>
        <w:t> </w:t>
      </w:r>
      <w:r>
        <w:rPr>
          <w:color w:val="231F20"/>
          <w:sz w:val="19"/>
        </w:rPr>
        <w:t>derecho</w:t>
      </w:r>
      <w:r>
        <w:rPr>
          <w:color w:val="231F20"/>
          <w:spacing w:val="-11"/>
          <w:sz w:val="19"/>
        </w:rPr>
        <w:t> </w:t>
      </w:r>
      <w:r>
        <w:rPr>
          <w:color w:val="231F20"/>
          <w:sz w:val="19"/>
        </w:rPr>
        <w:t>para</w:t>
      </w:r>
      <w:r>
        <w:rPr>
          <w:color w:val="231F20"/>
          <w:spacing w:val="-11"/>
          <w:sz w:val="19"/>
        </w:rPr>
        <w:t> </w:t>
      </w:r>
      <w:r>
        <w:rPr>
          <w:color w:val="231F20"/>
          <w:sz w:val="19"/>
        </w:rPr>
        <w:t>los extranjeros acusados de</w:t>
      </w:r>
      <w:r>
        <w:rPr>
          <w:color w:val="231F20"/>
          <w:spacing w:val="-17"/>
          <w:sz w:val="19"/>
        </w:rPr>
        <w:t> </w:t>
      </w:r>
      <w:r>
        <w:rPr>
          <w:color w:val="231F20"/>
          <w:sz w:val="19"/>
        </w:rPr>
        <w:t>terrorismo</w:t>
      </w:r>
      <w:r>
        <w:rPr>
          <w:color w:val="231F20"/>
          <w:position w:val="6"/>
          <w:sz w:val="11"/>
        </w:rPr>
        <w:t>11</w:t>
      </w:r>
      <w:r>
        <w:rPr>
          <w:color w:val="231F20"/>
          <w:sz w:val="19"/>
        </w:rPr>
        <w:t>.</w:t>
      </w:r>
    </w:p>
    <w:p>
      <w:pPr>
        <w:pStyle w:val="BodyText"/>
        <w:spacing w:before="11"/>
        <w:rPr>
          <w:sz w:val="23"/>
        </w:rPr>
      </w:pPr>
    </w:p>
    <w:p>
      <w:pPr>
        <w:pStyle w:val="BodyText"/>
        <w:spacing w:line="247" w:lineRule="auto"/>
        <w:ind w:left="103" w:right="115"/>
        <w:jc w:val="both"/>
      </w:pPr>
      <w:r>
        <w:rPr>
          <w:color w:val="231F20"/>
          <w:w w:val="105"/>
        </w:rPr>
        <w:t>Otras</w:t>
      </w:r>
      <w:r>
        <w:rPr>
          <w:color w:val="231F20"/>
          <w:spacing w:val="-40"/>
          <w:w w:val="105"/>
        </w:rPr>
        <w:t> </w:t>
      </w:r>
      <w:r>
        <w:rPr>
          <w:color w:val="231F20"/>
          <w:w w:val="105"/>
        </w:rPr>
        <w:t>medidas</w:t>
      </w:r>
      <w:r>
        <w:rPr>
          <w:color w:val="231F20"/>
          <w:spacing w:val="-40"/>
          <w:w w:val="105"/>
        </w:rPr>
        <w:t> </w:t>
      </w:r>
      <w:r>
        <w:rPr>
          <w:color w:val="231F20"/>
          <w:w w:val="105"/>
        </w:rPr>
        <w:t>que</w:t>
      </w:r>
      <w:r>
        <w:rPr>
          <w:color w:val="231F20"/>
          <w:spacing w:val="-40"/>
          <w:w w:val="105"/>
        </w:rPr>
        <w:t> </w:t>
      </w:r>
      <w:r>
        <w:rPr>
          <w:color w:val="231F20"/>
          <w:w w:val="105"/>
        </w:rPr>
        <w:t>ha</w:t>
      </w:r>
      <w:r>
        <w:rPr>
          <w:color w:val="231F20"/>
          <w:spacing w:val="-40"/>
          <w:w w:val="105"/>
        </w:rPr>
        <w:t> </w:t>
      </w:r>
      <w:r>
        <w:rPr>
          <w:color w:val="231F20"/>
          <w:w w:val="105"/>
        </w:rPr>
        <w:t>estipulado</w:t>
      </w:r>
      <w:r>
        <w:rPr>
          <w:color w:val="231F20"/>
          <w:spacing w:val="-40"/>
          <w:w w:val="105"/>
        </w:rPr>
        <w:t> </w:t>
      </w:r>
      <w:r>
        <w:rPr>
          <w:color w:val="231F20"/>
          <w:w w:val="105"/>
        </w:rPr>
        <w:t>esta</w:t>
      </w:r>
      <w:r>
        <w:rPr>
          <w:color w:val="231F20"/>
          <w:spacing w:val="-40"/>
          <w:w w:val="105"/>
        </w:rPr>
        <w:t> </w:t>
      </w:r>
      <w:r>
        <w:rPr>
          <w:color w:val="231F20"/>
          <w:spacing w:val="-5"/>
          <w:w w:val="105"/>
        </w:rPr>
        <w:t>ley,</w:t>
      </w:r>
      <w:r>
        <w:rPr>
          <w:color w:val="231F20"/>
          <w:spacing w:val="-40"/>
          <w:w w:val="105"/>
        </w:rPr>
        <w:t> </w:t>
      </w:r>
      <w:r>
        <w:rPr>
          <w:color w:val="231F20"/>
          <w:w w:val="105"/>
        </w:rPr>
        <w:t>como</w:t>
      </w:r>
      <w:r>
        <w:rPr>
          <w:color w:val="231F20"/>
          <w:spacing w:val="-40"/>
          <w:w w:val="105"/>
        </w:rPr>
        <w:t> </w:t>
      </w:r>
      <w:r>
        <w:rPr>
          <w:color w:val="231F20"/>
          <w:w w:val="105"/>
        </w:rPr>
        <w:t>mencionamos</w:t>
      </w:r>
      <w:r>
        <w:rPr>
          <w:color w:val="231F20"/>
          <w:spacing w:val="-40"/>
          <w:w w:val="105"/>
        </w:rPr>
        <w:t> </w:t>
      </w:r>
      <w:r>
        <w:rPr>
          <w:color w:val="231F20"/>
          <w:w w:val="105"/>
        </w:rPr>
        <w:t>líneas</w:t>
      </w:r>
      <w:r>
        <w:rPr>
          <w:color w:val="231F20"/>
          <w:spacing w:val="-40"/>
          <w:w w:val="105"/>
        </w:rPr>
        <w:t> </w:t>
      </w:r>
      <w:r>
        <w:rPr>
          <w:color w:val="231F20"/>
          <w:w w:val="105"/>
        </w:rPr>
        <w:t>atrás, son</w:t>
      </w:r>
      <w:r>
        <w:rPr>
          <w:color w:val="231F20"/>
          <w:spacing w:val="-31"/>
          <w:w w:val="105"/>
        </w:rPr>
        <w:t> </w:t>
      </w:r>
      <w:r>
        <w:rPr>
          <w:color w:val="231F20"/>
          <w:w w:val="105"/>
        </w:rPr>
        <w:t>una</w:t>
      </w:r>
      <w:r>
        <w:rPr>
          <w:color w:val="231F20"/>
          <w:spacing w:val="-31"/>
          <w:w w:val="105"/>
        </w:rPr>
        <w:t> </w:t>
      </w:r>
      <w:r>
        <w:rPr>
          <w:color w:val="231F20"/>
          <w:w w:val="105"/>
        </w:rPr>
        <w:t>serie</w:t>
      </w:r>
      <w:r>
        <w:rPr>
          <w:color w:val="231F20"/>
          <w:spacing w:val="-31"/>
          <w:w w:val="105"/>
        </w:rPr>
        <w:t> </w:t>
      </w:r>
      <w:r>
        <w:rPr>
          <w:color w:val="231F20"/>
          <w:w w:val="105"/>
        </w:rPr>
        <w:t>de</w:t>
      </w:r>
      <w:r>
        <w:rPr>
          <w:color w:val="231F20"/>
          <w:spacing w:val="-31"/>
          <w:w w:val="105"/>
        </w:rPr>
        <w:t> </w:t>
      </w:r>
      <w:r>
        <w:rPr>
          <w:color w:val="231F20"/>
          <w:w w:val="105"/>
        </w:rPr>
        <w:t>postulados</w:t>
      </w:r>
      <w:r>
        <w:rPr>
          <w:color w:val="231F20"/>
          <w:spacing w:val="-31"/>
          <w:w w:val="105"/>
        </w:rPr>
        <w:t> </w:t>
      </w:r>
      <w:r>
        <w:rPr>
          <w:color w:val="231F20"/>
          <w:w w:val="105"/>
        </w:rPr>
        <w:t>relativos</w:t>
      </w:r>
      <w:r>
        <w:rPr>
          <w:color w:val="231F20"/>
          <w:spacing w:val="-31"/>
          <w:w w:val="105"/>
        </w:rPr>
        <w:t> </w:t>
      </w:r>
      <w:r>
        <w:rPr>
          <w:color w:val="231F20"/>
          <w:w w:val="105"/>
        </w:rPr>
        <w:t>a</w:t>
      </w:r>
      <w:r>
        <w:rPr>
          <w:color w:val="231F20"/>
          <w:spacing w:val="-31"/>
          <w:w w:val="105"/>
        </w:rPr>
        <w:t> </w:t>
      </w:r>
      <w:r>
        <w:rPr>
          <w:color w:val="231F20"/>
          <w:w w:val="105"/>
        </w:rPr>
        <w:t>la</w:t>
      </w:r>
      <w:r>
        <w:rPr>
          <w:color w:val="231F20"/>
          <w:spacing w:val="-31"/>
          <w:w w:val="105"/>
        </w:rPr>
        <w:t> </w:t>
      </w:r>
      <w:r>
        <w:rPr>
          <w:color w:val="231F20"/>
          <w:w w:val="105"/>
        </w:rPr>
        <w:t>prevención</w:t>
      </w:r>
      <w:r>
        <w:rPr>
          <w:color w:val="231F20"/>
          <w:spacing w:val="-31"/>
          <w:w w:val="105"/>
        </w:rPr>
        <w:t> </w:t>
      </w:r>
      <w:r>
        <w:rPr>
          <w:color w:val="231F20"/>
          <w:w w:val="105"/>
        </w:rPr>
        <w:t>del</w:t>
      </w:r>
      <w:r>
        <w:rPr>
          <w:color w:val="231F20"/>
          <w:spacing w:val="-31"/>
          <w:w w:val="105"/>
        </w:rPr>
        <w:t> </w:t>
      </w:r>
      <w:r>
        <w:rPr>
          <w:color w:val="231F20"/>
          <w:w w:val="105"/>
        </w:rPr>
        <w:t>terrorismo,</w:t>
      </w:r>
      <w:r>
        <w:rPr>
          <w:color w:val="231F20"/>
          <w:spacing w:val="-31"/>
          <w:w w:val="105"/>
        </w:rPr>
        <w:t> </w:t>
      </w:r>
      <w:r>
        <w:rPr>
          <w:color w:val="231F20"/>
          <w:w w:val="105"/>
        </w:rPr>
        <w:t>sobre todo</w:t>
      </w:r>
      <w:r>
        <w:rPr>
          <w:color w:val="231F20"/>
          <w:spacing w:val="-20"/>
          <w:w w:val="105"/>
        </w:rPr>
        <w:t> </w:t>
      </w:r>
      <w:r>
        <w:rPr>
          <w:color w:val="231F20"/>
          <w:w w:val="105"/>
        </w:rPr>
        <w:t>en</w:t>
      </w:r>
      <w:r>
        <w:rPr>
          <w:color w:val="231F20"/>
          <w:spacing w:val="-20"/>
          <w:w w:val="105"/>
        </w:rPr>
        <w:t> </w:t>
      </w:r>
      <w:r>
        <w:rPr>
          <w:color w:val="231F20"/>
          <w:w w:val="105"/>
        </w:rPr>
        <w:t>materia</w:t>
      </w:r>
      <w:r>
        <w:rPr>
          <w:color w:val="231F20"/>
          <w:spacing w:val="-20"/>
          <w:w w:val="105"/>
        </w:rPr>
        <w:t> </w:t>
      </w:r>
      <w:r>
        <w:rPr>
          <w:color w:val="231F20"/>
          <w:w w:val="105"/>
        </w:rPr>
        <w:t>de</w:t>
      </w:r>
      <w:r>
        <w:rPr>
          <w:color w:val="231F20"/>
          <w:spacing w:val="-20"/>
          <w:w w:val="105"/>
        </w:rPr>
        <w:t> </w:t>
      </w:r>
      <w:r>
        <w:rPr>
          <w:color w:val="231F20"/>
          <w:w w:val="105"/>
        </w:rPr>
        <w:t>control</w:t>
      </w:r>
      <w:r>
        <w:rPr>
          <w:color w:val="231F20"/>
          <w:spacing w:val="-20"/>
          <w:w w:val="105"/>
        </w:rPr>
        <w:t> </w:t>
      </w:r>
      <w:r>
        <w:rPr>
          <w:color w:val="231F20"/>
          <w:w w:val="105"/>
        </w:rPr>
        <w:t>de</w:t>
      </w:r>
      <w:r>
        <w:rPr>
          <w:color w:val="231F20"/>
          <w:spacing w:val="-20"/>
          <w:w w:val="105"/>
        </w:rPr>
        <w:t> </w:t>
      </w:r>
      <w:r>
        <w:rPr>
          <w:color w:val="231F20"/>
          <w:w w:val="105"/>
        </w:rPr>
        <w:t>financiamiento</w:t>
      </w:r>
      <w:r>
        <w:rPr>
          <w:color w:val="231F20"/>
          <w:spacing w:val="-20"/>
          <w:w w:val="105"/>
        </w:rPr>
        <w:t> </w:t>
      </w:r>
      <w:r>
        <w:rPr>
          <w:color w:val="231F20"/>
          <w:w w:val="105"/>
        </w:rPr>
        <w:t>a</w:t>
      </w:r>
      <w:r>
        <w:rPr>
          <w:color w:val="231F20"/>
          <w:spacing w:val="-20"/>
          <w:w w:val="105"/>
        </w:rPr>
        <w:t> </w:t>
      </w:r>
      <w:r>
        <w:rPr>
          <w:color w:val="231F20"/>
          <w:w w:val="105"/>
        </w:rPr>
        <w:t>estas</w:t>
      </w:r>
      <w:r>
        <w:rPr>
          <w:color w:val="231F20"/>
          <w:spacing w:val="-20"/>
          <w:w w:val="105"/>
        </w:rPr>
        <w:t> </w:t>
      </w:r>
      <w:r>
        <w:rPr>
          <w:color w:val="231F20"/>
          <w:w w:val="105"/>
        </w:rPr>
        <w:t>organizaciones</w:t>
      </w:r>
      <w:r>
        <w:rPr>
          <w:color w:val="231F20"/>
          <w:spacing w:val="-20"/>
          <w:w w:val="105"/>
        </w:rPr>
        <w:t> </w:t>
      </w:r>
      <w:r>
        <w:rPr>
          <w:color w:val="231F20"/>
          <w:w w:val="105"/>
        </w:rPr>
        <w:t>y</w:t>
      </w:r>
      <w:r>
        <w:rPr>
          <w:color w:val="231F20"/>
          <w:spacing w:val="-20"/>
          <w:w w:val="105"/>
        </w:rPr>
        <w:t> </w:t>
      </w:r>
      <w:r>
        <w:rPr>
          <w:color w:val="231F20"/>
          <w:w w:val="105"/>
        </w:rPr>
        <w:t>de intercepción</w:t>
      </w:r>
      <w:r>
        <w:rPr>
          <w:color w:val="231F20"/>
          <w:spacing w:val="-11"/>
          <w:w w:val="105"/>
        </w:rPr>
        <w:t> </w:t>
      </w:r>
      <w:r>
        <w:rPr>
          <w:color w:val="231F20"/>
          <w:w w:val="105"/>
        </w:rPr>
        <w:t>de</w:t>
      </w:r>
      <w:r>
        <w:rPr>
          <w:color w:val="231F20"/>
          <w:spacing w:val="-11"/>
          <w:w w:val="105"/>
        </w:rPr>
        <w:t> </w:t>
      </w:r>
      <w:r>
        <w:rPr>
          <w:color w:val="231F20"/>
          <w:w w:val="105"/>
        </w:rPr>
        <w:t>telecomunicaciones,</w:t>
      </w:r>
      <w:r>
        <w:rPr>
          <w:color w:val="231F20"/>
          <w:spacing w:val="-11"/>
          <w:w w:val="105"/>
        </w:rPr>
        <w:t> </w:t>
      </w:r>
      <w:r>
        <w:rPr>
          <w:color w:val="231F20"/>
          <w:w w:val="105"/>
        </w:rPr>
        <w:t>reforzando</w:t>
      </w:r>
      <w:r>
        <w:rPr>
          <w:color w:val="231F20"/>
          <w:spacing w:val="-11"/>
          <w:w w:val="105"/>
        </w:rPr>
        <w:t> </w:t>
      </w:r>
      <w:r>
        <w:rPr>
          <w:color w:val="231F20"/>
          <w:w w:val="105"/>
        </w:rPr>
        <w:t>el</w:t>
      </w:r>
      <w:r>
        <w:rPr>
          <w:color w:val="231F20"/>
          <w:spacing w:val="-11"/>
          <w:w w:val="105"/>
        </w:rPr>
        <w:t> </w:t>
      </w:r>
      <w:r>
        <w:rPr>
          <w:color w:val="231F20"/>
          <w:w w:val="105"/>
        </w:rPr>
        <w:t>poder</w:t>
      </w:r>
      <w:r>
        <w:rPr>
          <w:color w:val="231F20"/>
          <w:spacing w:val="-11"/>
          <w:w w:val="105"/>
        </w:rPr>
        <w:t> </w:t>
      </w:r>
      <w:r>
        <w:rPr>
          <w:color w:val="231F20"/>
          <w:w w:val="105"/>
        </w:rPr>
        <w:t>para</w:t>
      </w:r>
      <w:r>
        <w:rPr>
          <w:color w:val="231F20"/>
          <w:spacing w:val="-11"/>
          <w:w w:val="105"/>
        </w:rPr>
        <w:t> </w:t>
      </w:r>
      <w:r>
        <w:rPr>
          <w:color w:val="231F20"/>
          <w:w w:val="105"/>
        </w:rPr>
        <w:t>investigar por</w:t>
      </w:r>
      <w:r>
        <w:rPr>
          <w:color w:val="231F20"/>
          <w:spacing w:val="-29"/>
          <w:w w:val="105"/>
        </w:rPr>
        <w:t> </w:t>
      </w:r>
      <w:r>
        <w:rPr>
          <w:color w:val="231F20"/>
          <w:w w:val="105"/>
        </w:rPr>
        <w:t>medio</w:t>
      </w:r>
      <w:r>
        <w:rPr>
          <w:color w:val="231F20"/>
          <w:spacing w:val="-29"/>
          <w:w w:val="105"/>
        </w:rPr>
        <w:t> </w:t>
      </w:r>
      <w:r>
        <w:rPr>
          <w:color w:val="231F20"/>
          <w:w w:val="105"/>
        </w:rPr>
        <w:t>de</w:t>
      </w:r>
      <w:r>
        <w:rPr>
          <w:color w:val="231F20"/>
          <w:spacing w:val="-29"/>
          <w:w w:val="105"/>
        </w:rPr>
        <w:t> </w:t>
      </w:r>
      <w:r>
        <w:rPr>
          <w:color w:val="231F20"/>
          <w:w w:val="105"/>
        </w:rPr>
        <w:t>previsiones</w:t>
      </w:r>
      <w:r>
        <w:rPr>
          <w:color w:val="231F20"/>
          <w:spacing w:val="-29"/>
          <w:w w:val="105"/>
        </w:rPr>
        <w:t> </w:t>
      </w:r>
      <w:r>
        <w:rPr>
          <w:color w:val="231F20"/>
          <w:w w:val="105"/>
        </w:rPr>
        <w:t>penales</w:t>
      </w:r>
      <w:r>
        <w:rPr>
          <w:color w:val="231F20"/>
          <w:spacing w:val="-29"/>
          <w:w w:val="105"/>
        </w:rPr>
        <w:t> </w:t>
      </w:r>
      <w:r>
        <w:rPr>
          <w:color w:val="231F20"/>
          <w:w w:val="105"/>
        </w:rPr>
        <w:t>especiales.</w:t>
      </w:r>
    </w:p>
    <w:p>
      <w:pPr>
        <w:pStyle w:val="BodyText"/>
        <w:spacing w:before="10"/>
        <w:rPr>
          <w:sz w:val="22"/>
        </w:rPr>
      </w:pPr>
    </w:p>
    <w:p>
      <w:pPr>
        <w:spacing w:line="220" w:lineRule="exact" w:before="1"/>
        <w:ind w:left="1521" w:right="115" w:firstLine="0"/>
        <w:jc w:val="both"/>
        <w:rPr>
          <w:sz w:val="19"/>
        </w:rPr>
      </w:pPr>
      <w:r>
        <w:rPr>
          <w:color w:val="231F20"/>
          <w:sz w:val="19"/>
        </w:rPr>
        <w:t>La ley en mención, responde a un paradigma discriminatorio pro- pio de los ordenamientos jerarquizados de casta o clase de las fases más arcaicas de las experiencias jurídicas y todavía domi- nantes en el mundo jurídico actual. A este modelo Luigi Ferrajoli le denomina </w:t>
      </w:r>
      <w:r>
        <w:rPr>
          <w:rFonts w:ascii="Arial" w:hAnsi="Arial"/>
          <w:i/>
          <w:color w:val="231F20"/>
          <w:sz w:val="19"/>
        </w:rPr>
        <w:t>modelo de diferenciación jurídica de las diferencias</w:t>
      </w:r>
      <w:r>
        <w:rPr>
          <w:color w:val="231F20"/>
          <w:sz w:val="19"/>
        </w:rPr>
        <w:t>, que se expresa en la valoración de algunas identidades y en la desvalorización</w:t>
      </w:r>
      <w:r>
        <w:rPr>
          <w:color w:val="231F20"/>
          <w:spacing w:val="-10"/>
          <w:sz w:val="19"/>
        </w:rPr>
        <w:t> </w:t>
      </w:r>
      <w:r>
        <w:rPr>
          <w:color w:val="231F20"/>
          <w:sz w:val="19"/>
        </w:rPr>
        <w:t>de</w:t>
      </w:r>
      <w:r>
        <w:rPr>
          <w:color w:val="231F20"/>
          <w:spacing w:val="-10"/>
          <w:sz w:val="19"/>
        </w:rPr>
        <w:t> </w:t>
      </w:r>
      <w:r>
        <w:rPr>
          <w:color w:val="231F20"/>
          <w:sz w:val="19"/>
        </w:rPr>
        <w:t>otras,</w:t>
      </w:r>
      <w:r>
        <w:rPr>
          <w:color w:val="231F20"/>
          <w:spacing w:val="-10"/>
          <w:sz w:val="19"/>
        </w:rPr>
        <w:t> </w:t>
      </w:r>
      <w:r>
        <w:rPr>
          <w:color w:val="231F20"/>
          <w:sz w:val="19"/>
        </w:rPr>
        <w:t>lo</w:t>
      </w:r>
      <w:r>
        <w:rPr>
          <w:color w:val="231F20"/>
          <w:spacing w:val="-10"/>
          <w:sz w:val="19"/>
        </w:rPr>
        <w:t> </w:t>
      </w:r>
      <w:r>
        <w:rPr>
          <w:color w:val="231F20"/>
          <w:sz w:val="19"/>
        </w:rPr>
        <w:t>que</w:t>
      </w:r>
      <w:r>
        <w:rPr>
          <w:color w:val="231F20"/>
          <w:spacing w:val="-10"/>
          <w:sz w:val="19"/>
        </w:rPr>
        <w:t> </w:t>
      </w:r>
      <w:r>
        <w:rPr>
          <w:color w:val="231F20"/>
          <w:sz w:val="19"/>
        </w:rPr>
        <w:t>deriva,</w:t>
      </w:r>
      <w:r>
        <w:rPr>
          <w:color w:val="231F20"/>
          <w:spacing w:val="-10"/>
          <w:sz w:val="19"/>
        </w:rPr>
        <w:t> </w:t>
      </w:r>
      <w:r>
        <w:rPr>
          <w:color w:val="231F20"/>
          <w:sz w:val="19"/>
        </w:rPr>
        <w:t>por</w:t>
      </w:r>
      <w:r>
        <w:rPr>
          <w:color w:val="231F20"/>
          <w:spacing w:val="-10"/>
          <w:sz w:val="19"/>
        </w:rPr>
        <w:t> </w:t>
      </w:r>
      <w:r>
        <w:rPr>
          <w:color w:val="231F20"/>
          <w:sz w:val="19"/>
        </w:rPr>
        <w:t>tanto,</w:t>
      </w:r>
      <w:r>
        <w:rPr>
          <w:color w:val="231F20"/>
          <w:spacing w:val="-10"/>
          <w:sz w:val="19"/>
        </w:rPr>
        <w:t> </w:t>
      </w:r>
      <w:r>
        <w:rPr>
          <w:color w:val="231F20"/>
          <w:sz w:val="19"/>
        </w:rPr>
        <w:t>en</w:t>
      </w:r>
      <w:r>
        <w:rPr>
          <w:color w:val="231F20"/>
          <w:spacing w:val="-10"/>
          <w:sz w:val="19"/>
        </w:rPr>
        <w:t> </w:t>
      </w:r>
      <w:r>
        <w:rPr>
          <w:color w:val="231F20"/>
          <w:sz w:val="19"/>
        </w:rPr>
        <w:t>la</w:t>
      </w:r>
      <w:r>
        <w:rPr>
          <w:color w:val="231F20"/>
          <w:spacing w:val="-10"/>
          <w:sz w:val="19"/>
        </w:rPr>
        <w:t> </w:t>
      </w:r>
      <w:r>
        <w:rPr>
          <w:color w:val="231F20"/>
          <w:sz w:val="19"/>
        </w:rPr>
        <w:t>jerarquiza- ción de las diferentes</w:t>
      </w:r>
      <w:r>
        <w:rPr>
          <w:color w:val="231F20"/>
          <w:spacing w:val="31"/>
          <w:sz w:val="19"/>
        </w:rPr>
        <w:t> </w:t>
      </w:r>
      <w:r>
        <w:rPr>
          <w:color w:val="231F20"/>
          <w:sz w:val="19"/>
        </w:rPr>
        <w:t>identidades</w:t>
      </w:r>
      <w:r>
        <w:rPr>
          <w:color w:val="231F20"/>
          <w:position w:val="6"/>
          <w:sz w:val="11"/>
        </w:rPr>
        <w:t>12</w:t>
      </w:r>
      <w:r>
        <w:rPr>
          <w:color w:val="231F20"/>
          <w:sz w:val="19"/>
        </w:rPr>
        <w:t>.</w:t>
      </w:r>
    </w:p>
    <w:p>
      <w:pPr>
        <w:pStyle w:val="BodyText"/>
        <w:spacing w:before="11"/>
        <w:rPr>
          <w:sz w:val="23"/>
        </w:rPr>
      </w:pPr>
    </w:p>
    <w:p>
      <w:pPr>
        <w:pStyle w:val="BodyText"/>
        <w:spacing w:line="244" w:lineRule="auto"/>
        <w:ind w:left="103" w:right="115"/>
        <w:jc w:val="both"/>
      </w:pPr>
      <w:r>
        <w:rPr>
          <w:color w:val="231F20"/>
          <w:w w:val="105"/>
        </w:rPr>
        <w:t>Después</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atentados</w:t>
      </w:r>
      <w:r>
        <w:rPr>
          <w:color w:val="231F20"/>
          <w:spacing w:val="-30"/>
          <w:w w:val="105"/>
        </w:rPr>
        <w:t> </w:t>
      </w:r>
      <w:r>
        <w:rPr>
          <w:color w:val="231F20"/>
          <w:w w:val="105"/>
        </w:rPr>
        <w:t>del</w:t>
      </w:r>
      <w:r>
        <w:rPr>
          <w:color w:val="231F20"/>
          <w:spacing w:val="-30"/>
          <w:w w:val="105"/>
        </w:rPr>
        <w:t> </w:t>
      </w:r>
      <w:r>
        <w:rPr>
          <w:color w:val="231F20"/>
          <w:w w:val="105"/>
        </w:rPr>
        <w:t>11–S,</w:t>
      </w:r>
      <w:r>
        <w:rPr>
          <w:color w:val="231F20"/>
          <w:spacing w:val="-30"/>
          <w:w w:val="105"/>
        </w:rPr>
        <w:t> </w:t>
      </w:r>
      <w:r>
        <w:rPr>
          <w:color w:val="231F20"/>
          <w:w w:val="105"/>
        </w:rPr>
        <w:t>George</w:t>
      </w:r>
      <w:r>
        <w:rPr>
          <w:color w:val="231F20"/>
          <w:spacing w:val="-30"/>
          <w:w w:val="105"/>
        </w:rPr>
        <w:t> </w:t>
      </w:r>
      <w:r>
        <w:rPr>
          <w:color w:val="231F20"/>
          <w:spacing w:val="-8"/>
          <w:w w:val="105"/>
        </w:rPr>
        <w:t>W.</w:t>
      </w:r>
      <w:r>
        <w:rPr>
          <w:color w:val="231F20"/>
          <w:spacing w:val="-30"/>
          <w:w w:val="105"/>
        </w:rPr>
        <w:t> </w:t>
      </w:r>
      <w:r>
        <w:rPr>
          <w:color w:val="231F20"/>
          <w:w w:val="105"/>
        </w:rPr>
        <w:t>Bush,</w:t>
      </w:r>
      <w:r>
        <w:rPr>
          <w:color w:val="231F20"/>
          <w:spacing w:val="-30"/>
          <w:w w:val="105"/>
        </w:rPr>
        <w:t> </w:t>
      </w:r>
      <w:r>
        <w:rPr>
          <w:color w:val="231F20"/>
          <w:w w:val="105"/>
        </w:rPr>
        <w:t>gracias</w:t>
      </w:r>
      <w:r>
        <w:rPr>
          <w:color w:val="231F20"/>
          <w:spacing w:val="-30"/>
          <w:w w:val="105"/>
        </w:rPr>
        <w:t> </w:t>
      </w:r>
      <w:r>
        <w:rPr>
          <w:color w:val="231F20"/>
          <w:w w:val="105"/>
        </w:rPr>
        <w:t>a</w:t>
      </w:r>
      <w:r>
        <w:rPr>
          <w:color w:val="231F20"/>
          <w:spacing w:val="-30"/>
          <w:w w:val="105"/>
        </w:rPr>
        <w:t> </w:t>
      </w:r>
      <w:r>
        <w:rPr>
          <w:color w:val="231F20"/>
          <w:w w:val="105"/>
        </w:rPr>
        <w:t>que</w:t>
      </w:r>
      <w:r>
        <w:rPr>
          <w:color w:val="231F20"/>
          <w:spacing w:val="-30"/>
          <w:w w:val="105"/>
        </w:rPr>
        <w:t> </w:t>
      </w:r>
      <w:r>
        <w:rPr>
          <w:color w:val="231F20"/>
          <w:w w:val="105"/>
        </w:rPr>
        <w:t>el</w:t>
      </w:r>
      <w:r>
        <w:rPr>
          <w:color w:val="231F20"/>
          <w:spacing w:val="-30"/>
          <w:w w:val="105"/>
        </w:rPr>
        <w:t> </w:t>
      </w:r>
      <w:r>
        <w:rPr>
          <w:color w:val="231F20"/>
          <w:w w:val="105"/>
        </w:rPr>
        <w:t>Con- greso le delegó responsabilidades bajo la denominada </w:t>
      </w:r>
      <w:r>
        <w:rPr>
          <w:rFonts w:ascii="Arial" w:hAnsi="Arial"/>
          <w:i/>
          <w:color w:val="231F20"/>
          <w:w w:val="105"/>
          <w:sz w:val="18"/>
        </w:rPr>
        <w:t>USA </w:t>
      </w:r>
      <w:r>
        <w:rPr>
          <w:rFonts w:ascii="Arial" w:hAnsi="Arial"/>
          <w:i/>
          <w:color w:val="231F20"/>
          <w:w w:val="105"/>
        </w:rPr>
        <w:t>Patriot Act</w:t>
      </w:r>
      <w:r>
        <w:rPr>
          <w:color w:val="231F20"/>
          <w:w w:val="105"/>
        </w:rPr>
        <w:t>, aprobada</w:t>
      </w:r>
      <w:r>
        <w:rPr>
          <w:color w:val="231F20"/>
          <w:spacing w:val="-15"/>
          <w:w w:val="105"/>
        </w:rPr>
        <w:t> </w:t>
      </w:r>
      <w:r>
        <w:rPr>
          <w:color w:val="231F20"/>
          <w:w w:val="105"/>
        </w:rPr>
        <w:t>por</w:t>
      </w:r>
      <w:r>
        <w:rPr>
          <w:color w:val="231F20"/>
          <w:spacing w:val="-15"/>
          <w:w w:val="105"/>
        </w:rPr>
        <w:t> </w:t>
      </w:r>
      <w:r>
        <w:rPr>
          <w:color w:val="231F20"/>
          <w:w w:val="105"/>
        </w:rPr>
        <w:t>ambas</w:t>
      </w:r>
      <w:r>
        <w:rPr>
          <w:color w:val="231F20"/>
          <w:spacing w:val="-15"/>
          <w:w w:val="105"/>
        </w:rPr>
        <w:t> </w:t>
      </w:r>
      <w:r>
        <w:rPr>
          <w:color w:val="231F20"/>
          <w:w w:val="105"/>
        </w:rPr>
        <w:t>cámaras</w:t>
      </w:r>
      <w:r>
        <w:rPr>
          <w:color w:val="231F20"/>
          <w:spacing w:val="-15"/>
          <w:w w:val="105"/>
        </w:rPr>
        <w:t> </w:t>
      </w:r>
      <w:r>
        <w:rPr>
          <w:color w:val="231F20"/>
          <w:w w:val="105"/>
        </w:rPr>
        <w:t>legislativas</w:t>
      </w:r>
      <w:r>
        <w:rPr>
          <w:color w:val="231F20"/>
          <w:spacing w:val="-15"/>
          <w:w w:val="105"/>
        </w:rPr>
        <w:t> </w:t>
      </w:r>
      <w:r>
        <w:rPr>
          <w:color w:val="231F20"/>
          <w:w w:val="105"/>
        </w:rPr>
        <w:t>en</w:t>
      </w:r>
      <w:r>
        <w:rPr>
          <w:color w:val="231F20"/>
          <w:spacing w:val="-15"/>
          <w:w w:val="105"/>
        </w:rPr>
        <w:t> </w:t>
      </w:r>
      <w:r>
        <w:rPr>
          <w:color w:val="231F20"/>
          <w:w w:val="105"/>
        </w:rPr>
        <w:t>2001,</w:t>
      </w:r>
      <w:r>
        <w:rPr>
          <w:color w:val="231F20"/>
          <w:spacing w:val="-15"/>
          <w:w w:val="105"/>
        </w:rPr>
        <w:t> </w:t>
      </w:r>
      <w:r>
        <w:rPr>
          <w:color w:val="231F20"/>
          <w:w w:val="105"/>
        </w:rPr>
        <w:t>emprendió</w:t>
      </w:r>
      <w:r>
        <w:rPr>
          <w:color w:val="231F20"/>
          <w:spacing w:val="-15"/>
          <w:w w:val="105"/>
        </w:rPr>
        <w:t> </w:t>
      </w:r>
      <w:r>
        <w:rPr>
          <w:color w:val="231F20"/>
          <w:w w:val="105"/>
        </w:rPr>
        <w:t>una</w:t>
      </w:r>
      <w:r>
        <w:rPr>
          <w:color w:val="231F20"/>
          <w:spacing w:val="-15"/>
          <w:w w:val="105"/>
        </w:rPr>
        <w:t> </w:t>
      </w:r>
      <w:r>
        <w:rPr>
          <w:color w:val="231F20"/>
          <w:w w:val="105"/>
        </w:rPr>
        <w:t>lucha con</w:t>
      </w:r>
      <w:r>
        <w:rPr>
          <w:color w:val="231F20"/>
          <w:spacing w:val="-12"/>
          <w:w w:val="105"/>
        </w:rPr>
        <w:t> </w:t>
      </w:r>
      <w:r>
        <w:rPr>
          <w:color w:val="231F20"/>
          <w:w w:val="105"/>
        </w:rPr>
        <w:t>la</w:t>
      </w:r>
      <w:r>
        <w:rPr>
          <w:color w:val="231F20"/>
          <w:spacing w:val="-12"/>
          <w:w w:val="105"/>
        </w:rPr>
        <w:t> </w:t>
      </w:r>
      <w:r>
        <w:rPr>
          <w:color w:val="231F20"/>
          <w:w w:val="105"/>
        </w:rPr>
        <w:t>bandera</w:t>
      </w:r>
      <w:r>
        <w:rPr>
          <w:color w:val="231F20"/>
          <w:spacing w:val="-12"/>
          <w:w w:val="105"/>
        </w:rPr>
        <w:t> </w:t>
      </w:r>
      <w:r>
        <w:rPr>
          <w:color w:val="231F20"/>
          <w:w w:val="105"/>
        </w:rPr>
        <w:t>de</w:t>
      </w:r>
      <w:r>
        <w:rPr>
          <w:color w:val="231F20"/>
          <w:spacing w:val="-12"/>
          <w:w w:val="105"/>
        </w:rPr>
        <w:t> </w:t>
      </w:r>
      <w:r>
        <w:rPr>
          <w:color w:val="231F20"/>
          <w:w w:val="105"/>
        </w:rPr>
        <w:t>aniquilar</w:t>
      </w:r>
      <w:r>
        <w:rPr>
          <w:color w:val="231F20"/>
          <w:spacing w:val="-12"/>
          <w:w w:val="105"/>
        </w:rPr>
        <w:t> </w:t>
      </w:r>
      <w:r>
        <w:rPr>
          <w:color w:val="231F20"/>
          <w:w w:val="105"/>
        </w:rPr>
        <w:t>el</w:t>
      </w:r>
      <w:r>
        <w:rPr>
          <w:color w:val="231F20"/>
          <w:spacing w:val="-12"/>
          <w:w w:val="105"/>
        </w:rPr>
        <w:t> </w:t>
      </w:r>
      <w:r>
        <w:rPr>
          <w:color w:val="231F20"/>
          <w:w w:val="105"/>
        </w:rPr>
        <w:t>terrorismo,</w:t>
      </w:r>
      <w:r>
        <w:rPr>
          <w:color w:val="231F20"/>
          <w:spacing w:val="-12"/>
          <w:w w:val="105"/>
        </w:rPr>
        <w:t> </w:t>
      </w:r>
      <w:r>
        <w:rPr>
          <w:color w:val="231F20"/>
          <w:w w:val="105"/>
        </w:rPr>
        <w:t>situación</w:t>
      </w:r>
      <w:r>
        <w:rPr>
          <w:color w:val="231F20"/>
          <w:spacing w:val="-12"/>
          <w:w w:val="105"/>
        </w:rPr>
        <w:t> </w:t>
      </w:r>
      <w:r>
        <w:rPr>
          <w:color w:val="231F20"/>
          <w:w w:val="105"/>
        </w:rPr>
        <w:t>que</w:t>
      </w:r>
      <w:r>
        <w:rPr>
          <w:color w:val="231F20"/>
          <w:spacing w:val="-12"/>
          <w:w w:val="105"/>
        </w:rPr>
        <w:t> </w:t>
      </w:r>
      <w:r>
        <w:rPr>
          <w:color w:val="231F20"/>
          <w:w w:val="105"/>
        </w:rPr>
        <w:t>condujo</w:t>
      </w:r>
      <w:r>
        <w:rPr>
          <w:color w:val="231F20"/>
          <w:spacing w:val="-12"/>
          <w:w w:val="105"/>
        </w:rPr>
        <w:t> </w:t>
      </w:r>
      <w:r>
        <w:rPr>
          <w:color w:val="231F20"/>
          <w:w w:val="105"/>
        </w:rPr>
        <w:t>a</w:t>
      </w:r>
      <w:r>
        <w:rPr>
          <w:color w:val="231F20"/>
          <w:spacing w:val="-12"/>
          <w:w w:val="105"/>
        </w:rPr>
        <w:t> </w:t>
      </w:r>
      <w:r>
        <w:rPr>
          <w:color w:val="231F20"/>
          <w:w w:val="105"/>
        </w:rPr>
        <w:t>tomar medidas</w:t>
      </w:r>
      <w:r>
        <w:rPr>
          <w:color w:val="231F20"/>
          <w:spacing w:val="-24"/>
          <w:w w:val="105"/>
        </w:rPr>
        <w:t> </w:t>
      </w:r>
      <w:r>
        <w:rPr>
          <w:color w:val="231F20"/>
          <w:w w:val="105"/>
        </w:rPr>
        <w:t>excesivas</w:t>
      </w:r>
      <w:r>
        <w:rPr>
          <w:color w:val="231F20"/>
          <w:spacing w:val="-24"/>
          <w:w w:val="105"/>
        </w:rPr>
        <w:t> </w:t>
      </w:r>
      <w:r>
        <w:rPr>
          <w:color w:val="231F20"/>
          <w:w w:val="105"/>
        </w:rPr>
        <w:t>de</w:t>
      </w:r>
      <w:r>
        <w:rPr>
          <w:color w:val="231F20"/>
          <w:spacing w:val="-24"/>
          <w:w w:val="105"/>
        </w:rPr>
        <w:t> </w:t>
      </w:r>
      <w:r>
        <w:rPr>
          <w:color w:val="231F20"/>
          <w:w w:val="105"/>
        </w:rPr>
        <w:t>vigilancia,</w:t>
      </w:r>
      <w:r>
        <w:rPr>
          <w:color w:val="231F20"/>
          <w:spacing w:val="-24"/>
          <w:w w:val="105"/>
        </w:rPr>
        <w:t> </w:t>
      </w:r>
      <w:r>
        <w:rPr>
          <w:color w:val="231F20"/>
          <w:w w:val="105"/>
        </w:rPr>
        <w:t>donde</w:t>
      </w:r>
      <w:r>
        <w:rPr>
          <w:color w:val="231F20"/>
          <w:spacing w:val="-24"/>
          <w:w w:val="105"/>
        </w:rPr>
        <w:t> </w:t>
      </w:r>
      <w:r>
        <w:rPr>
          <w:color w:val="231F20"/>
          <w:w w:val="105"/>
        </w:rPr>
        <w:t>los</w:t>
      </w:r>
      <w:r>
        <w:rPr>
          <w:color w:val="231F20"/>
          <w:spacing w:val="-24"/>
          <w:w w:val="105"/>
        </w:rPr>
        <w:t> </w:t>
      </w:r>
      <w:r>
        <w:rPr>
          <w:color w:val="231F20"/>
          <w:w w:val="105"/>
        </w:rPr>
        <w:t>sospechosos</w:t>
      </w:r>
      <w:r>
        <w:rPr>
          <w:color w:val="231F20"/>
          <w:spacing w:val="-24"/>
          <w:w w:val="105"/>
        </w:rPr>
        <w:t> </w:t>
      </w:r>
      <w:r>
        <w:rPr>
          <w:color w:val="231F20"/>
          <w:w w:val="105"/>
        </w:rPr>
        <w:t>podían</w:t>
      </w:r>
      <w:r>
        <w:rPr>
          <w:color w:val="231F20"/>
          <w:spacing w:val="-24"/>
          <w:w w:val="105"/>
        </w:rPr>
        <w:t> </w:t>
      </w:r>
      <w:r>
        <w:rPr>
          <w:color w:val="231F20"/>
          <w:w w:val="105"/>
        </w:rPr>
        <w:t>ser</w:t>
      </w:r>
      <w:r>
        <w:rPr>
          <w:color w:val="231F20"/>
          <w:spacing w:val="-24"/>
          <w:w w:val="105"/>
        </w:rPr>
        <w:t> </w:t>
      </w:r>
      <w:r>
        <w:rPr>
          <w:color w:val="231F20"/>
          <w:w w:val="105"/>
        </w:rPr>
        <w:t>priva- dos</w:t>
      </w:r>
      <w:r>
        <w:rPr>
          <w:color w:val="231F20"/>
          <w:spacing w:val="-25"/>
          <w:w w:val="105"/>
        </w:rPr>
        <w:t> </w:t>
      </w:r>
      <w:r>
        <w:rPr>
          <w:color w:val="231F20"/>
          <w:w w:val="105"/>
        </w:rPr>
        <w:t>de</w:t>
      </w:r>
      <w:r>
        <w:rPr>
          <w:color w:val="231F20"/>
          <w:spacing w:val="-25"/>
          <w:w w:val="105"/>
        </w:rPr>
        <w:t> </w:t>
      </w:r>
      <w:r>
        <w:rPr>
          <w:color w:val="231F20"/>
          <w:w w:val="105"/>
        </w:rPr>
        <w:t>sus</w:t>
      </w:r>
      <w:r>
        <w:rPr>
          <w:color w:val="231F20"/>
          <w:spacing w:val="-25"/>
          <w:w w:val="105"/>
        </w:rPr>
        <w:t> </w:t>
      </w:r>
      <w:r>
        <w:rPr>
          <w:color w:val="231F20"/>
          <w:w w:val="105"/>
        </w:rPr>
        <w:t>garantías</w:t>
      </w:r>
      <w:r>
        <w:rPr>
          <w:color w:val="231F20"/>
          <w:spacing w:val="-25"/>
          <w:w w:val="105"/>
        </w:rPr>
        <w:t> </w:t>
      </w:r>
      <w:r>
        <w:rPr>
          <w:color w:val="231F20"/>
          <w:w w:val="105"/>
        </w:rPr>
        <w:t>individuales</w:t>
      </w:r>
      <w:r>
        <w:rPr>
          <w:color w:val="231F20"/>
          <w:spacing w:val="-25"/>
          <w:w w:val="105"/>
        </w:rPr>
        <w:t> </w:t>
      </w:r>
      <w:r>
        <w:rPr>
          <w:color w:val="231F20"/>
          <w:w w:val="105"/>
        </w:rPr>
        <w:t>y</w:t>
      </w:r>
      <w:r>
        <w:rPr>
          <w:color w:val="231F20"/>
          <w:spacing w:val="-25"/>
          <w:w w:val="105"/>
        </w:rPr>
        <w:t> </w:t>
      </w:r>
      <w:r>
        <w:rPr>
          <w:color w:val="231F20"/>
          <w:w w:val="105"/>
        </w:rPr>
        <w:t>puestos</w:t>
      </w:r>
      <w:r>
        <w:rPr>
          <w:color w:val="231F20"/>
          <w:spacing w:val="-25"/>
          <w:w w:val="105"/>
        </w:rPr>
        <w:t> </w:t>
      </w:r>
      <w:r>
        <w:rPr>
          <w:color w:val="231F20"/>
          <w:w w:val="105"/>
        </w:rPr>
        <w:t>en</w:t>
      </w:r>
      <w:r>
        <w:rPr>
          <w:color w:val="231F20"/>
          <w:spacing w:val="-25"/>
          <w:w w:val="105"/>
        </w:rPr>
        <w:t> </w:t>
      </w:r>
      <w:r>
        <w:rPr>
          <w:color w:val="231F20"/>
          <w:w w:val="105"/>
        </w:rPr>
        <w:t>estado</w:t>
      </w:r>
      <w:r>
        <w:rPr>
          <w:color w:val="231F20"/>
          <w:spacing w:val="-25"/>
          <w:w w:val="105"/>
        </w:rPr>
        <w:t> </w:t>
      </w:r>
      <w:r>
        <w:rPr>
          <w:color w:val="231F20"/>
          <w:w w:val="105"/>
        </w:rPr>
        <w:t>de</w:t>
      </w:r>
      <w:r>
        <w:rPr>
          <w:color w:val="231F20"/>
          <w:spacing w:val="-25"/>
          <w:w w:val="105"/>
        </w:rPr>
        <w:t> </w:t>
      </w:r>
      <w:r>
        <w:rPr>
          <w:color w:val="231F20"/>
          <w:w w:val="105"/>
        </w:rPr>
        <w:t>indefensión,</w:t>
      </w:r>
      <w:r>
        <w:rPr>
          <w:color w:val="231F20"/>
          <w:spacing w:val="-25"/>
          <w:w w:val="105"/>
        </w:rPr>
        <w:t> </w:t>
      </w:r>
      <w:r>
        <w:rPr>
          <w:color w:val="231F20"/>
          <w:w w:val="105"/>
        </w:rPr>
        <w:t>pri-</w:t>
      </w:r>
    </w:p>
    <w:p>
      <w:pPr>
        <w:pStyle w:val="BodyText"/>
        <w:spacing w:before="6"/>
        <w:rPr>
          <w:sz w:val="29"/>
        </w:rPr>
      </w:pPr>
      <w:r>
        <w:rPr/>
        <w:pict>
          <v:line style="position:absolute;mso-position-horizontal-relative:page;mso-position-vertical-relative:paragraph;z-index:2104;mso-wrap-distance-left:0;mso-wrap-distance-right:0" from="65.1968pt,19.914017pt" to="178.5828pt,19.914017pt" stroked="true" strokeweight=".3pt" strokecolor="#231f20">
            <w10:wrap type="topAndBottom"/>
          </v:line>
        </w:pict>
      </w:r>
    </w:p>
    <w:p>
      <w:pPr>
        <w:spacing w:line="204" w:lineRule="exact" w:before="8"/>
        <w:ind w:left="103" w:right="114" w:firstLine="0"/>
        <w:jc w:val="both"/>
        <w:rPr>
          <w:rFonts w:ascii="Calibri" w:hAnsi="Calibri"/>
          <w:sz w:val="17"/>
        </w:rPr>
      </w:pPr>
      <w:r>
        <w:rPr>
          <w:rFonts w:ascii="Calibri" w:hAnsi="Calibri"/>
          <w:color w:val="231F20"/>
          <w:sz w:val="17"/>
        </w:rPr>
        <w:t>o pongan en peligro la subsistencia y normal desarrollo del Estado constitucional y democrático” (</w:t>
      </w:r>
      <w:r>
        <w:rPr>
          <w:rFonts w:ascii="Calibri" w:hAnsi="Calibri"/>
          <w:i/>
          <w:color w:val="231F20"/>
          <w:sz w:val="17"/>
        </w:rPr>
        <w:t>Vid</w:t>
      </w:r>
      <w:r>
        <w:rPr>
          <w:rFonts w:ascii="Calibri" w:hAnsi="Calibri"/>
          <w:color w:val="231F20"/>
          <w:sz w:val="17"/>
        </w:rPr>
        <w:t>. C. Möller, “La suspensión de derechos y garantías en el combate a la delincuencia organizada en México”, M. Carbonell (Coord.), </w:t>
      </w:r>
      <w:r>
        <w:rPr>
          <w:rFonts w:ascii="Calibri" w:hAnsi="Calibri"/>
          <w:i/>
          <w:color w:val="231F20"/>
          <w:sz w:val="17"/>
        </w:rPr>
        <w:t>Derecho Constitucional. Memoria del congreso Internacional de </w:t>
      </w:r>
      <w:r>
        <w:rPr>
          <w:rFonts w:ascii="Calibri" w:hAnsi="Calibri"/>
          <w:i/>
          <w:color w:val="231F20"/>
          <w:sz w:val="17"/>
        </w:rPr>
        <w:t>Cultura y Sistemas Jurídicos Comparados</w:t>
      </w:r>
      <w:r>
        <w:rPr>
          <w:rFonts w:ascii="Calibri" w:hAnsi="Calibri"/>
          <w:color w:val="231F20"/>
          <w:sz w:val="17"/>
        </w:rPr>
        <w:t>, México, </w:t>
      </w:r>
      <w:r>
        <w:rPr>
          <w:rFonts w:ascii="Calibri" w:hAnsi="Calibri"/>
          <w:color w:val="231F20"/>
          <w:sz w:val="15"/>
        </w:rPr>
        <w:t>UNAM</w:t>
      </w:r>
      <w:r>
        <w:rPr>
          <w:rFonts w:ascii="Calibri" w:hAnsi="Calibri"/>
          <w:color w:val="231F20"/>
          <w:sz w:val="17"/>
        </w:rPr>
        <w:t>, 2004, p.  996).</w:t>
      </w:r>
    </w:p>
    <w:p>
      <w:pPr>
        <w:spacing w:line="206" w:lineRule="exact" w:before="1"/>
        <w:ind w:left="103" w:right="0" w:firstLine="0"/>
        <w:jc w:val="both"/>
        <w:rPr>
          <w:rFonts w:ascii="Calibri"/>
          <w:sz w:val="17"/>
        </w:rPr>
      </w:pPr>
      <w:r>
        <w:rPr>
          <w:rFonts w:ascii="Calibri"/>
          <w:color w:val="231F20"/>
          <w:position w:val="6"/>
          <w:sz w:val="10"/>
        </w:rPr>
        <w:t>11 </w:t>
      </w:r>
      <w:r>
        <w:rPr>
          <w:rFonts w:ascii="Calibri"/>
          <w:color w:val="231F20"/>
          <w:sz w:val="17"/>
        </w:rPr>
        <w:t>Asens y Pisarello, </w:t>
      </w:r>
      <w:r>
        <w:rPr>
          <w:rFonts w:ascii="Calibri"/>
          <w:i/>
          <w:color w:val="231F20"/>
          <w:sz w:val="17"/>
        </w:rPr>
        <w:t>No hay derecho(s)</w:t>
      </w:r>
      <w:r>
        <w:rPr>
          <w:rFonts w:ascii="Calibri"/>
          <w:color w:val="231F20"/>
          <w:sz w:val="17"/>
        </w:rPr>
        <w:t>, p. 25.</w:t>
      </w:r>
    </w:p>
    <w:p>
      <w:pPr>
        <w:spacing w:line="235" w:lineRule="auto" w:before="1"/>
        <w:ind w:left="103" w:right="114" w:firstLine="0"/>
        <w:jc w:val="both"/>
        <w:rPr>
          <w:rFonts w:ascii="Calibri" w:hAnsi="Calibri"/>
          <w:sz w:val="17"/>
        </w:rPr>
      </w:pPr>
      <w:r>
        <w:rPr>
          <w:rFonts w:ascii="Calibri" w:hAnsi="Calibri"/>
          <w:color w:val="231F20"/>
          <w:position w:val="6"/>
          <w:sz w:val="10"/>
        </w:rPr>
        <w:t>12 </w:t>
      </w:r>
      <w:r>
        <w:rPr>
          <w:rFonts w:ascii="Calibri" w:hAnsi="Calibri"/>
          <w:color w:val="231F20"/>
          <w:sz w:val="17"/>
        </w:rPr>
        <w:t>Möller, “La suspensión de derechos y garantías en el combate a la delincuencia organizada en México”, pp. 1000–1001.</w:t>
      </w:r>
    </w:p>
    <w:p>
      <w:pPr>
        <w:pStyle w:val="BodyText"/>
        <w:rPr>
          <w:rFonts w:ascii="Calibri"/>
          <w:sz w:val="20"/>
        </w:rPr>
      </w:pPr>
    </w:p>
    <w:p>
      <w:pPr>
        <w:pStyle w:val="BodyText"/>
        <w:spacing w:before="10"/>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73272"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Arial" w:hAnsi="Arial"/>
          <w:color w:val="414042"/>
          <w:position w:val="-4"/>
          <w:sz w:val="20"/>
        </w:rPr>
        <w:t>24</w:t>
        <w:tab/>
      </w:r>
      <w:r>
        <w:rPr>
          <w:rFonts w:ascii="Calibri" w:hAnsi="Calibri"/>
          <w:color w:val="6D6E71"/>
          <w:sz w:val="16"/>
        </w:rPr>
        <w:t>Jorge Olvera</w:t>
      </w:r>
      <w:r>
        <w:rPr>
          <w:rFonts w:ascii="Calibri" w:hAnsi="Calibri"/>
          <w:color w:val="6D6E71"/>
          <w:spacing w:val="14"/>
          <w:sz w:val="16"/>
        </w:rPr>
        <w:t> </w:t>
      </w:r>
      <w:r>
        <w:rPr>
          <w:rFonts w:ascii="Calibri" w:hAnsi="Calibri"/>
          <w:color w:val="6D6E71"/>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8"/>
        <w:ind w:left="907" w:right="0" w:firstLine="0"/>
        <w:jc w:val="left"/>
        <w:rPr>
          <w:rFonts w:ascii="Arial" w:hAnsi="Arial"/>
          <w:sz w:val="20"/>
        </w:rPr>
      </w:pPr>
      <w:r>
        <w:rPr/>
        <w:pict>
          <v:group style="position:absolute;margin-left:383.821014pt;margin-top:-25.476145pt;width:8.65pt;height:41pt;mso-position-horizontal-relative:page;mso-position-vertical-relative:paragraph;z-index:-17322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Calibri" w:hAnsi="Calibri"/>
          <w:color w:val="6D6E71"/>
          <w:w w:val="105"/>
          <w:sz w:val="14"/>
        </w:rPr>
        <w:t>CAMBIO DE PARADIGMA JURÍDICO: EL 11-S Y LA DELINCUENCIA ORGANIZADA</w:t>
      </w:r>
      <w:r>
        <w:rPr>
          <w:rFonts w:ascii="Calibri" w:hAnsi="Calibri"/>
          <w:color w:val="6D6E71"/>
          <w:spacing w:val="11"/>
          <w:w w:val="105"/>
          <w:sz w:val="14"/>
        </w:rPr>
        <w:t> </w:t>
      </w:r>
      <w:r>
        <w:rPr>
          <w:rFonts w:ascii="Calibri" w:hAnsi="Calibri"/>
          <w:color w:val="6D6E71"/>
          <w:w w:val="105"/>
          <w:sz w:val="14"/>
        </w:rPr>
        <w:t>EN</w:t>
      </w:r>
      <w:r>
        <w:rPr>
          <w:rFonts w:ascii="Calibri" w:hAnsi="Calibri"/>
          <w:color w:val="6D6E71"/>
          <w:spacing w:val="1"/>
          <w:w w:val="105"/>
          <w:sz w:val="14"/>
        </w:rPr>
        <w:t> </w:t>
      </w:r>
      <w:r>
        <w:rPr>
          <w:rFonts w:ascii="Calibri" w:hAnsi="Calibri"/>
          <w:color w:val="6D6E71"/>
          <w:w w:val="105"/>
          <w:sz w:val="14"/>
        </w:rPr>
        <w:t>MÉXICO</w:t>
      </w:r>
      <w:r>
        <w:rPr>
          <w:rFonts w:ascii="Arial" w:hAnsi="Arial"/>
          <w:color w:val="414042"/>
          <w:w w:val="105"/>
          <w:position w:val="-3"/>
          <w:sz w:val="20"/>
        </w:rPr>
        <w:tab/>
        <w:t>25</w:t>
      </w:r>
    </w:p>
    <w:p>
      <w:pPr>
        <w:pStyle w:val="BodyText"/>
        <w:rPr>
          <w:rFonts w:ascii="Arial"/>
          <w:sz w:val="20"/>
        </w:rPr>
      </w:pPr>
    </w:p>
    <w:p>
      <w:pPr>
        <w:pStyle w:val="BodyText"/>
        <w:rPr>
          <w:rFonts w:ascii="Arial"/>
          <w:sz w:val="20"/>
        </w:rPr>
      </w:pPr>
    </w:p>
    <w:p>
      <w:pPr>
        <w:pStyle w:val="BodyText"/>
        <w:spacing w:line="247" w:lineRule="auto" w:before="163"/>
        <w:ind w:left="117" w:right="101"/>
        <w:jc w:val="both"/>
      </w:pPr>
      <w:r>
        <w:rPr>
          <w:color w:val="231F20"/>
        </w:rPr>
        <w:t>mero ante las garantías que le otorgan sus propios países </w:t>
      </w:r>
      <w:r>
        <w:rPr>
          <w:color w:val="231F20"/>
          <w:spacing w:val="-10"/>
        </w:rPr>
        <w:t>y, </w:t>
      </w:r>
      <w:r>
        <w:rPr>
          <w:color w:val="231F20"/>
        </w:rPr>
        <w:t>segundo,</w:t>
      </w:r>
      <w:r>
        <w:rPr>
          <w:color w:val="231F20"/>
          <w:spacing w:val="-36"/>
        </w:rPr>
        <w:t> </w:t>
      </w:r>
      <w:r>
        <w:rPr>
          <w:color w:val="231F20"/>
        </w:rPr>
        <w:t>ante los derechos que los salvaguardan en los tratados</w:t>
      </w:r>
      <w:r>
        <w:rPr>
          <w:color w:val="231F20"/>
          <w:spacing w:val="1"/>
        </w:rPr>
        <w:t> </w:t>
      </w:r>
      <w:r>
        <w:rPr>
          <w:color w:val="231F20"/>
        </w:rPr>
        <w:t>internacionales.</w:t>
      </w:r>
    </w:p>
    <w:p>
      <w:pPr>
        <w:pStyle w:val="BodyText"/>
        <w:spacing w:line="247" w:lineRule="auto"/>
        <w:ind w:left="117" w:right="101" w:firstLine="566"/>
        <w:jc w:val="both"/>
      </w:pPr>
      <w:r>
        <w:rPr>
          <w:color w:val="231F20"/>
        </w:rPr>
        <w:t>El 6 de mayo de 2002, el presidente Bush retira su firma del </w:t>
      </w:r>
      <w:r>
        <w:rPr>
          <w:color w:val="231F20"/>
          <w:spacing w:val="-3"/>
        </w:rPr>
        <w:t>Tratado </w:t>
      </w:r>
      <w:r>
        <w:rPr>
          <w:color w:val="231F20"/>
        </w:rPr>
        <w:t>de Roma. El 28 de enero de 2003, Hans Blix y Mohamed ElBaradei, envia- dos a Irak para inspeccionar la existencia de Armas de destrucción masiva (</w:t>
      </w:r>
      <w:r>
        <w:rPr>
          <w:color w:val="231F20"/>
          <w:sz w:val="18"/>
        </w:rPr>
        <w:t>ADM</w:t>
      </w:r>
      <w:r>
        <w:rPr>
          <w:color w:val="231F20"/>
        </w:rPr>
        <w:t>) en ese país, informan que necesitan más tiempo para completar las inspecciones. El 5 de febrero del mismo año, el Secretario de Estado de Estados Unidos, Colin Powell, presenta pruebas supuestamente irrefuta- bles</w:t>
      </w:r>
      <w:r>
        <w:rPr>
          <w:color w:val="231F20"/>
          <w:spacing w:val="-6"/>
        </w:rPr>
        <w:t> </w:t>
      </w:r>
      <w:r>
        <w:rPr>
          <w:color w:val="231F20"/>
        </w:rPr>
        <w:t>e</w:t>
      </w:r>
      <w:r>
        <w:rPr>
          <w:color w:val="231F20"/>
          <w:spacing w:val="-6"/>
        </w:rPr>
        <w:t> </w:t>
      </w:r>
      <w:r>
        <w:rPr>
          <w:color w:val="231F20"/>
        </w:rPr>
        <w:t>innegables</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Irak</w:t>
      </w:r>
      <w:r>
        <w:rPr>
          <w:color w:val="231F20"/>
          <w:spacing w:val="-6"/>
        </w:rPr>
        <w:t> </w:t>
      </w:r>
      <w:r>
        <w:rPr>
          <w:color w:val="231F20"/>
        </w:rPr>
        <w:t>mantiene</w:t>
      </w:r>
      <w:r>
        <w:rPr>
          <w:color w:val="231F20"/>
          <w:spacing w:val="-6"/>
        </w:rPr>
        <w:t> </w:t>
      </w:r>
      <w:r>
        <w:rPr>
          <w:color w:val="231F20"/>
        </w:rPr>
        <w:t>ocultas</w:t>
      </w:r>
      <w:r>
        <w:rPr>
          <w:color w:val="231F20"/>
          <w:spacing w:val="-6"/>
        </w:rPr>
        <w:t> </w:t>
      </w:r>
      <w:r>
        <w:rPr>
          <w:color w:val="231F20"/>
          <w:sz w:val="18"/>
        </w:rPr>
        <w:t>ADM</w:t>
      </w:r>
      <w:r>
        <w:rPr>
          <w:color w:val="231F20"/>
        </w:rPr>
        <w:t>.</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el</w:t>
      </w:r>
      <w:r>
        <w:rPr>
          <w:color w:val="231F20"/>
          <w:spacing w:val="-6"/>
        </w:rPr>
        <w:t> </w:t>
      </w:r>
      <w:r>
        <w:rPr>
          <w:color w:val="231F20"/>
        </w:rPr>
        <w:t>14</w:t>
      </w:r>
      <w:r>
        <w:rPr>
          <w:color w:val="231F20"/>
          <w:spacing w:val="-6"/>
        </w:rPr>
        <w:t> </w:t>
      </w:r>
      <w:r>
        <w:rPr>
          <w:color w:val="231F20"/>
        </w:rPr>
        <w:t>de febrero Blix presenta su segundo informe ante el Consejo de Seguridad, exponiendo que siguen sin aparecer las supuestas </w:t>
      </w:r>
      <w:r>
        <w:rPr>
          <w:color w:val="231F20"/>
          <w:sz w:val="18"/>
        </w:rPr>
        <w:t>ADM</w:t>
      </w:r>
      <w:r>
        <w:rPr>
          <w:color w:val="231F20"/>
        </w:rPr>
        <w:t>. Haciendo caso omiso de tales informes, Estados Unidos y Gran Bretaña atacan Irak el 19 de</w:t>
      </w:r>
      <w:r>
        <w:rPr>
          <w:color w:val="231F20"/>
          <w:spacing w:val="-8"/>
        </w:rPr>
        <w:t> </w:t>
      </w:r>
      <w:r>
        <w:rPr>
          <w:color w:val="231F20"/>
        </w:rPr>
        <w:t>marzo</w:t>
      </w:r>
      <w:r>
        <w:rPr>
          <w:color w:val="231F20"/>
          <w:spacing w:val="-8"/>
        </w:rPr>
        <w:t> </w:t>
      </w:r>
      <w:r>
        <w:rPr>
          <w:color w:val="231F20"/>
        </w:rPr>
        <w:t>de</w:t>
      </w:r>
      <w:r>
        <w:rPr>
          <w:color w:val="231F20"/>
          <w:spacing w:val="-8"/>
        </w:rPr>
        <w:t> </w:t>
      </w:r>
      <w:r>
        <w:rPr>
          <w:color w:val="231F20"/>
        </w:rPr>
        <w:t>2003.</w:t>
      </w:r>
      <w:r>
        <w:rPr>
          <w:color w:val="231F20"/>
          <w:spacing w:val="-8"/>
        </w:rPr>
        <w:t> </w:t>
      </w:r>
      <w:r>
        <w:rPr>
          <w:color w:val="231F20"/>
        </w:rPr>
        <w:t>Las</w:t>
      </w:r>
      <w:r>
        <w:rPr>
          <w:color w:val="231F20"/>
          <w:spacing w:val="-8"/>
        </w:rPr>
        <w:t> </w:t>
      </w:r>
      <w:r>
        <w:rPr>
          <w:color w:val="231F20"/>
        </w:rPr>
        <w:t>justificaciones</w:t>
      </w:r>
      <w:r>
        <w:rPr>
          <w:color w:val="231F20"/>
          <w:spacing w:val="-8"/>
        </w:rPr>
        <w:t> </w:t>
      </w:r>
      <w:r>
        <w:rPr>
          <w:color w:val="231F20"/>
        </w:rPr>
        <w:t>son</w:t>
      </w:r>
      <w:r>
        <w:rPr>
          <w:color w:val="231F20"/>
          <w:spacing w:val="-8"/>
        </w:rPr>
        <w:t> </w:t>
      </w:r>
      <w:r>
        <w:rPr>
          <w:color w:val="231F20"/>
        </w:rPr>
        <w:t>evidentemente</w:t>
      </w:r>
      <w:r>
        <w:rPr>
          <w:color w:val="231F20"/>
          <w:spacing w:val="-8"/>
        </w:rPr>
        <w:t> </w:t>
      </w:r>
      <w:r>
        <w:rPr>
          <w:color w:val="231F20"/>
        </w:rPr>
        <w:t>falseadas:</w:t>
      </w:r>
    </w:p>
    <w:p>
      <w:pPr>
        <w:pStyle w:val="BodyText"/>
        <w:spacing w:before="10"/>
        <w:rPr>
          <w:sz w:val="22"/>
        </w:rPr>
      </w:pPr>
    </w:p>
    <w:p>
      <w:pPr>
        <w:spacing w:line="220" w:lineRule="exact" w:before="1"/>
        <w:ind w:left="1534" w:right="101" w:firstLine="0"/>
        <w:jc w:val="both"/>
        <w:rPr>
          <w:sz w:val="19"/>
        </w:rPr>
      </w:pPr>
      <w:r>
        <w:rPr>
          <w:color w:val="231F20"/>
          <w:sz w:val="19"/>
        </w:rPr>
        <w:t>Las tres principales justificaciones que explícita e implícitamente ofreció la administración Bush para generar apoyo público a la guerra fueron: que Irak poseía ilegalmente armas de destrucción masiva y estaba preparado para usarlas contra </w:t>
      </w:r>
      <w:r>
        <w:rPr>
          <w:color w:val="231F20"/>
          <w:sz w:val="16"/>
        </w:rPr>
        <w:t>EUA </w:t>
      </w:r>
      <w:r>
        <w:rPr>
          <w:color w:val="231F20"/>
          <w:sz w:val="19"/>
        </w:rPr>
        <w:t>en un futuro inmediato; que, de algún modo, Irak había estado vinculado a</w:t>
      </w:r>
      <w:r>
        <w:rPr>
          <w:color w:val="231F20"/>
          <w:spacing w:val="-20"/>
          <w:sz w:val="19"/>
        </w:rPr>
        <w:t> </w:t>
      </w:r>
      <w:r>
        <w:rPr>
          <w:color w:val="231F20"/>
          <w:sz w:val="19"/>
        </w:rPr>
        <w:t>los ataques del 11–S, de suerte que perseguir a Saddam Hussein era la</w:t>
      </w:r>
      <w:r>
        <w:rPr>
          <w:color w:val="231F20"/>
          <w:spacing w:val="-10"/>
          <w:sz w:val="19"/>
        </w:rPr>
        <w:t> </w:t>
      </w:r>
      <w:r>
        <w:rPr>
          <w:color w:val="231F20"/>
          <w:sz w:val="19"/>
        </w:rPr>
        <w:t>siguiente</w:t>
      </w:r>
      <w:r>
        <w:rPr>
          <w:color w:val="231F20"/>
          <w:spacing w:val="-10"/>
          <w:sz w:val="19"/>
        </w:rPr>
        <w:t> </w:t>
      </w:r>
      <w:r>
        <w:rPr>
          <w:color w:val="231F20"/>
          <w:sz w:val="19"/>
        </w:rPr>
        <w:t>medida</w:t>
      </w:r>
      <w:r>
        <w:rPr>
          <w:color w:val="231F20"/>
          <w:spacing w:val="-10"/>
          <w:sz w:val="19"/>
        </w:rPr>
        <w:t> </w:t>
      </w:r>
      <w:r>
        <w:rPr>
          <w:color w:val="231F20"/>
          <w:sz w:val="19"/>
        </w:rPr>
        <w:t>racional</w:t>
      </w:r>
      <w:r>
        <w:rPr>
          <w:color w:val="231F20"/>
          <w:spacing w:val="-10"/>
          <w:sz w:val="19"/>
        </w:rPr>
        <w:t> </w:t>
      </w:r>
      <w:r>
        <w:rPr>
          <w:color w:val="231F20"/>
          <w:sz w:val="19"/>
        </w:rPr>
        <w:t>en</w:t>
      </w:r>
      <w:r>
        <w:rPr>
          <w:color w:val="231F20"/>
          <w:spacing w:val="-10"/>
          <w:sz w:val="19"/>
        </w:rPr>
        <w:t> </w:t>
      </w:r>
      <w:r>
        <w:rPr>
          <w:color w:val="231F20"/>
          <w:sz w:val="19"/>
        </w:rPr>
        <w:t>la</w:t>
      </w:r>
      <w:r>
        <w:rPr>
          <w:color w:val="231F20"/>
          <w:spacing w:val="-10"/>
          <w:sz w:val="19"/>
        </w:rPr>
        <w:t> </w:t>
      </w:r>
      <w:r>
        <w:rPr>
          <w:color w:val="231F20"/>
          <w:sz w:val="19"/>
        </w:rPr>
        <w:t>campaña</w:t>
      </w:r>
      <w:r>
        <w:rPr>
          <w:color w:val="231F20"/>
          <w:spacing w:val="-10"/>
          <w:sz w:val="19"/>
        </w:rPr>
        <w:t> </w:t>
      </w:r>
      <w:r>
        <w:rPr>
          <w:color w:val="231F20"/>
          <w:sz w:val="19"/>
        </w:rPr>
        <w:t>contra</w:t>
      </w:r>
      <w:r>
        <w:rPr>
          <w:color w:val="231F20"/>
          <w:spacing w:val="-10"/>
          <w:sz w:val="19"/>
        </w:rPr>
        <w:t> </w:t>
      </w:r>
      <w:r>
        <w:rPr>
          <w:color w:val="231F20"/>
          <w:sz w:val="19"/>
        </w:rPr>
        <w:t>Bin</w:t>
      </w:r>
      <w:r>
        <w:rPr>
          <w:color w:val="231F20"/>
          <w:spacing w:val="-10"/>
          <w:sz w:val="19"/>
        </w:rPr>
        <w:t> </w:t>
      </w:r>
      <w:r>
        <w:rPr>
          <w:color w:val="231F20"/>
          <w:sz w:val="19"/>
        </w:rPr>
        <w:t>Laden;</w:t>
      </w:r>
      <w:r>
        <w:rPr>
          <w:color w:val="231F20"/>
          <w:spacing w:val="-10"/>
          <w:sz w:val="19"/>
        </w:rPr>
        <w:t> </w:t>
      </w:r>
      <w:r>
        <w:rPr>
          <w:color w:val="231F20"/>
          <w:sz w:val="19"/>
        </w:rPr>
        <w:t>que, más</w:t>
      </w:r>
      <w:r>
        <w:rPr>
          <w:color w:val="231F20"/>
          <w:spacing w:val="-12"/>
          <w:sz w:val="19"/>
        </w:rPr>
        <w:t> </w:t>
      </w:r>
      <w:r>
        <w:rPr>
          <w:color w:val="231F20"/>
          <w:sz w:val="19"/>
        </w:rPr>
        <w:t>allá</w:t>
      </w:r>
      <w:r>
        <w:rPr>
          <w:color w:val="231F20"/>
          <w:spacing w:val="-12"/>
          <w:sz w:val="19"/>
        </w:rPr>
        <w:t> </w:t>
      </w:r>
      <w:r>
        <w:rPr>
          <w:color w:val="231F20"/>
          <w:sz w:val="19"/>
        </w:rPr>
        <w:t>del</w:t>
      </w:r>
      <w:r>
        <w:rPr>
          <w:color w:val="231F20"/>
          <w:spacing w:val="-12"/>
          <w:sz w:val="19"/>
        </w:rPr>
        <w:t> </w:t>
      </w:r>
      <w:r>
        <w:rPr>
          <w:color w:val="231F20"/>
          <w:sz w:val="19"/>
        </w:rPr>
        <w:t>11–S,</w:t>
      </w:r>
      <w:r>
        <w:rPr>
          <w:color w:val="231F20"/>
          <w:spacing w:val="-12"/>
          <w:sz w:val="19"/>
        </w:rPr>
        <w:t> </w:t>
      </w:r>
      <w:r>
        <w:rPr>
          <w:color w:val="231F20"/>
          <w:sz w:val="19"/>
        </w:rPr>
        <w:t>Irak</w:t>
      </w:r>
      <w:r>
        <w:rPr>
          <w:color w:val="231F20"/>
          <w:spacing w:val="-12"/>
          <w:sz w:val="19"/>
        </w:rPr>
        <w:t> </w:t>
      </w:r>
      <w:r>
        <w:rPr>
          <w:color w:val="231F20"/>
          <w:sz w:val="19"/>
        </w:rPr>
        <w:t>era</w:t>
      </w:r>
      <w:r>
        <w:rPr>
          <w:color w:val="231F20"/>
          <w:spacing w:val="-12"/>
          <w:sz w:val="19"/>
        </w:rPr>
        <w:t> </w:t>
      </w:r>
      <w:r>
        <w:rPr>
          <w:color w:val="231F20"/>
          <w:sz w:val="19"/>
        </w:rPr>
        <w:t>el</w:t>
      </w:r>
      <w:r>
        <w:rPr>
          <w:color w:val="231F20"/>
          <w:spacing w:val="-12"/>
          <w:sz w:val="19"/>
        </w:rPr>
        <w:t> </w:t>
      </w:r>
      <w:r>
        <w:rPr>
          <w:color w:val="231F20"/>
          <w:sz w:val="19"/>
        </w:rPr>
        <w:t>principal</w:t>
      </w:r>
      <w:r>
        <w:rPr>
          <w:color w:val="231F20"/>
          <w:spacing w:val="-12"/>
          <w:sz w:val="19"/>
        </w:rPr>
        <w:t> </w:t>
      </w:r>
      <w:r>
        <w:rPr>
          <w:color w:val="231F20"/>
          <w:sz w:val="19"/>
        </w:rPr>
        <w:t>Estado</w:t>
      </w:r>
      <w:r>
        <w:rPr>
          <w:color w:val="231F20"/>
          <w:spacing w:val="-12"/>
          <w:sz w:val="19"/>
        </w:rPr>
        <w:t> </w:t>
      </w:r>
      <w:r>
        <w:rPr>
          <w:color w:val="231F20"/>
          <w:sz w:val="19"/>
        </w:rPr>
        <w:t>terrorista,</w:t>
      </w:r>
      <w:r>
        <w:rPr>
          <w:color w:val="231F20"/>
          <w:spacing w:val="-12"/>
          <w:sz w:val="19"/>
        </w:rPr>
        <w:t> </w:t>
      </w:r>
      <w:r>
        <w:rPr>
          <w:color w:val="231F20"/>
          <w:sz w:val="19"/>
        </w:rPr>
        <w:t>por</w:t>
      </w:r>
      <w:r>
        <w:rPr>
          <w:color w:val="231F20"/>
          <w:spacing w:val="-12"/>
          <w:sz w:val="19"/>
        </w:rPr>
        <w:t> </w:t>
      </w:r>
      <w:r>
        <w:rPr>
          <w:color w:val="231F20"/>
          <w:sz w:val="19"/>
        </w:rPr>
        <w:t>lo</w:t>
      </w:r>
      <w:r>
        <w:rPr>
          <w:color w:val="231F20"/>
          <w:spacing w:val="-12"/>
          <w:sz w:val="19"/>
        </w:rPr>
        <w:t> </w:t>
      </w:r>
      <w:r>
        <w:rPr>
          <w:color w:val="231F20"/>
          <w:sz w:val="19"/>
        </w:rPr>
        <w:t>que la Guerra contra el </w:t>
      </w:r>
      <w:r>
        <w:rPr>
          <w:color w:val="231F20"/>
          <w:spacing w:val="-5"/>
          <w:sz w:val="19"/>
        </w:rPr>
        <w:t>Terror </w:t>
      </w:r>
      <w:r>
        <w:rPr>
          <w:color w:val="231F20"/>
          <w:sz w:val="19"/>
        </w:rPr>
        <w:t>debía pasar por</w:t>
      </w:r>
      <w:r>
        <w:rPr>
          <w:color w:val="231F20"/>
          <w:spacing w:val="25"/>
          <w:sz w:val="19"/>
        </w:rPr>
        <w:t> </w:t>
      </w:r>
      <w:r>
        <w:rPr>
          <w:color w:val="231F20"/>
          <w:sz w:val="19"/>
        </w:rPr>
        <w:t>Bagdad</w:t>
      </w:r>
      <w:r>
        <w:rPr>
          <w:color w:val="231F20"/>
          <w:position w:val="6"/>
          <w:sz w:val="11"/>
        </w:rPr>
        <w:t>13</w:t>
      </w:r>
      <w:r>
        <w:rPr>
          <w:color w:val="231F20"/>
          <w:sz w:val="19"/>
        </w:rPr>
        <w:t>.</w:t>
      </w:r>
    </w:p>
    <w:p>
      <w:pPr>
        <w:pStyle w:val="BodyText"/>
        <w:spacing w:before="11"/>
        <w:rPr>
          <w:sz w:val="23"/>
        </w:rPr>
      </w:pPr>
    </w:p>
    <w:p>
      <w:pPr>
        <w:pStyle w:val="BodyText"/>
        <w:spacing w:line="247" w:lineRule="auto"/>
        <w:ind w:left="117" w:right="101"/>
        <w:jc w:val="both"/>
      </w:pPr>
      <w:r>
        <w:rPr>
          <w:color w:val="231F20"/>
        </w:rPr>
        <w:t>Meses antes a la invación de Irak, el 25 de septiembre de 2002, la Casa Blanca</w:t>
      </w:r>
      <w:r>
        <w:rPr>
          <w:color w:val="231F20"/>
          <w:spacing w:val="-5"/>
        </w:rPr>
        <w:t> </w:t>
      </w:r>
      <w:r>
        <w:rPr>
          <w:color w:val="231F20"/>
        </w:rPr>
        <w:t>dio</w:t>
      </w:r>
      <w:r>
        <w:rPr>
          <w:color w:val="231F20"/>
          <w:spacing w:val="-5"/>
        </w:rPr>
        <w:t> </w:t>
      </w:r>
      <w:r>
        <w:rPr>
          <w:color w:val="231F20"/>
        </w:rPr>
        <w:t>a</w:t>
      </w:r>
      <w:r>
        <w:rPr>
          <w:color w:val="231F20"/>
          <w:spacing w:val="-5"/>
        </w:rPr>
        <w:t> </w:t>
      </w:r>
      <w:r>
        <w:rPr>
          <w:color w:val="231F20"/>
        </w:rPr>
        <w:t>conocer</w:t>
      </w:r>
      <w:r>
        <w:rPr>
          <w:color w:val="231F20"/>
          <w:spacing w:val="-5"/>
        </w:rPr>
        <w:t> </w:t>
      </w:r>
      <w:r>
        <w:rPr>
          <w:color w:val="231F20"/>
        </w:rPr>
        <w:t>un</w:t>
      </w:r>
      <w:r>
        <w:rPr>
          <w:color w:val="231F20"/>
          <w:spacing w:val="-5"/>
        </w:rPr>
        <w:t> </w:t>
      </w:r>
      <w:r>
        <w:rPr>
          <w:color w:val="231F20"/>
        </w:rPr>
        <w:t>escrito</w:t>
      </w:r>
      <w:r>
        <w:rPr>
          <w:color w:val="231F20"/>
          <w:spacing w:val="-5"/>
        </w:rPr>
        <w:t> </w:t>
      </w:r>
      <w:r>
        <w:rPr>
          <w:color w:val="231F20"/>
        </w:rPr>
        <w:t>titulado:</w:t>
      </w:r>
      <w:r>
        <w:rPr>
          <w:color w:val="231F20"/>
          <w:spacing w:val="-5"/>
        </w:rPr>
        <w:t> </w:t>
      </w:r>
      <w:r>
        <w:rPr>
          <w:color w:val="231F20"/>
        </w:rPr>
        <w:t>“La</w:t>
      </w:r>
      <w:r>
        <w:rPr>
          <w:color w:val="231F20"/>
          <w:spacing w:val="-5"/>
        </w:rPr>
        <w:t> </w:t>
      </w:r>
      <w:r>
        <w:rPr>
          <w:color w:val="231F20"/>
        </w:rPr>
        <w:t>estrategia</w:t>
      </w:r>
      <w:r>
        <w:rPr>
          <w:color w:val="231F20"/>
          <w:spacing w:val="-5"/>
        </w:rPr>
        <w:t> </w:t>
      </w:r>
      <w:r>
        <w:rPr>
          <w:color w:val="231F20"/>
        </w:rPr>
        <w:t>de</w:t>
      </w:r>
      <w:r>
        <w:rPr>
          <w:color w:val="231F20"/>
          <w:spacing w:val="-5"/>
        </w:rPr>
        <w:t> </w:t>
      </w:r>
      <w:r>
        <w:rPr>
          <w:color w:val="231F20"/>
        </w:rPr>
        <w:t>seguridad</w:t>
      </w:r>
      <w:r>
        <w:rPr>
          <w:color w:val="231F20"/>
          <w:spacing w:val="-5"/>
        </w:rPr>
        <w:t> </w:t>
      </w:r>
      <w:r>
        <w:rPr>
          <w:color w:val="231F20"/>
        </w:rPr>
        <w:t>nacio- nal de los Estados Unidos”, en él se revela un claro gesto intervencionista e imperialista norteamericano basado en los “valores e intereses naciona- les”.</w:t>
      </w:r>
      <w:r>
        <w:rPr>
          <w:color w:val="231F20"/>
          <w:spacing w:val="-10"/>
        </w:rPr>
        <w:t> </w:t>
      </w:r>
      <w:r>
        <w:rPr>
          <w:color w:val="231F20"/>
        </w:rPr>
        <w:t>De</w:t>
      </w:r>
      <w:r>
        <w:rPr>
          <w:color w:val="231F20"/>
          <w:spacing w:val="-10"/>
        </w:rPr>
        <w:t> </w:t>
      </w:r>
      <w:r>
        <w:rPr>
          <w:color w:val="231F20"/>
        </w:rPr>
        <w:t>esta</w:t>
      </w:r>
      <w:r>
        <w:rPr>
          <w:color w:val="231F20"/>
          <w:spacing w:val="-10"/>
        </w:rPr>
        <w:t> </w:t>
      </w:r>
      <w:r>
        <w:rPr>
          <w:color w:val="231F20"/>
        </w:rPr>
        <w:t>manera,</w:t>
      </w:r>
      <w:r>
        <w:rPr>
          <w:color w:val="231F20"/>
          <w:spacing w:val="-10"/>
        </w:rPr>
        <w:t> </w:t>
      </w:r>
      <w:r>
        <w:rPr>
          <w:color w:val="231F20"/>
          <w:sz w:val="18"/>
        </w:rPr>
        <w:t>EUA </w:t>
      </w:r>
      <w:r>
        <w:rPr>
          <w:color w:val="231F20"/>
        </w:rPr>
        <w:t>se</w:t>
      </w:r>
      <w:r>
        <w:rPr>
          <w:color w:val="231F20"/>
          <w:spacing w:val="-10"/>
        </w:rPr>
        <w:t> </w:t>
      </w:r>
      <w:r>
        <w:rPr>
          <w:color w:val="231F20"/>
        </w:rPr>
        <w:t>siente</w:t>
      </w:r>
      <w:r>
        <w:rPr>
          <w:color w:val="231F20"/>
          <w:spacing w:val="-10"/>
        </w:rPr>
        <w:t> </w:t>
      </w:r>
      <w:r>
        <w:rPr>
          <w:color w:val="231F20"/>
        </w:rPr>
        <w:t>legitimado</w:t>
      </w:r>
      <w:r>
        <w:rPr>
          <w:color w:val="231F20"/>
          <w:spacing w:val="-10"/>
        </w:rPr>
        <w:t> </w:t>
      </w:r>
      <w:r>
        <w:rPr>
          <w:color w:val="231F20"/>
        </w:rPr>
        <w:t>para</w:t>
      </w:r>
      <w:r>
        <w:rPr>
          <w:color w:val="231F20"/>
          <w:spacing w:val="-10"/>
        </w:rPr>
        <w:t> </w:t>
      </w:r>
      <w:r>
        <w:rPr>
          <w:color w:val="231F20"/>
        </w:rPr>
        <w:t>llevar</w:t>
      </w:r>
      <w:r>
        <w:rPr>
          <w:color w:val="231F20"/>
          <w:spacing w:val="-10"/>
        </w:rPr>
        <w:t> </w:t>
      </w:r>
      <w:r>
        <w:rPr>
          <w:color w:val="231F20"/>
        </w:rPr>
        <w:t>a</w:t>
      </w:r>
      <w:r>
        <w:rPr>
          <w:color w:val="231F20"/>
          <w:spacing w:val="-10"/>
        </w:rPr>
        <w:t> </w:t>
      </w:r>
      <w:r>
        <w:rPr>
          <w:color w:val="231F20"/>
        </w:rPr>
        <w:t>cabo</w:t>
      </w:r>
      <w:r>
        <w:rPr>
          <w:color w:val="231F20"/>
          <w:spacing w:val="-10"/>
        </w:rPr>
        <w:t> </w:t>
      </w:r>
      <w:r>
        <w:rPr>
          <w:color w:val="231F20"/>
        </w:rPr>
        <w:t>la</w:t>
      </w:r>
      <w:r>
        <w:rPr>
          <w:color w:val="231F20"/>
          <w:spacing w:val="-10"/>
        </w:rPr>
        <w:t> </w:t>
      </w:r>
      <w:r>
        <w:rPr>
          <w:color w:val="231F20"/>
        </w:rPr>
        <w:t>defensa de</w:t>
      </w:r>
      <w:r>
        <w:rPr>
          <w:color w:val="231F20"/>
          <w:spacing w:val="-12"/>
        </w:rPr>
        <w:t> </w:t>
      </w:r>
      <w:r>
        <w:rPr>
          <w:color w:val="231F20"/>
        </w:rPr>
        <w:t>la</w:t>
      </w:r>
      <w:r>
        <w:rPr>
          <w:color w:val="231F20"/>
          <w:spacing w:val="-12"/>
        </w:rPr>
        <w:t> </w:t>
      </w:r>
      <w:r>
        <w:rPr>
          <w:color w:val="231F20"/>
        </w:rPr>
        <w:t>justicia</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supuesta</w:t>
      </w:r>
      <w:r>
        <w:rPr>
          <w:color w:val="231F20"/>
          <w:spacing w:val="-12"/>
        </w:rPr>
        <w:t> </w:t>
      </w:r>
      <w:r>
        <w:rPr>
          <w:color w:val="231F20"/>
        </w:rPr>
        <w:t>libertad</w:t>
      </w:r>
      <w:r>
        <w:rPr>
          <w:color w:val="231F20"/>
          <w:spacing w:val="-12"/>
        </w:rPr>
        <w:t> </w:t>
      </w:r>
      <w:r>
        <w:rPr>
          <w:color w:val="231F20"/>
        </w:rPr>
        <w:t>de</w:t>
      </w:r>
      <w:r>
        <w:rPr>
          <w:color w:val="231F20"/>
          <w:spacing w:val="-12"/>
        </w:rPr>
        <w:t> </w:t>
      </w:r>
      <w:r>
        <w:rPr>
          <w:color w:val="231F20"/>
        </w:rPr>
        <w:t>cualquier</w:t>
      </w:r>
      <w:r>
        <w:rPr>
          <w:color w:val="231F20"/>
          <w:spacing w:val="-12"/>
        </w:rPr>
        <w:t> </w:t>
      </w:r>
      <w:r>
        <w:rPr>
          <w:color w:val="231F20"/>
        </w:rPr>
        <w:t>persona</w:t>
      </w:r>
      <w:r>
        <w:rPr>
          <w:color w:val="231F20"/>
          <w:spacing w:val="-12"/>
        </w:rPr>
        <w:t> </w:t>
      </w:r>
      <w:r>
        <w:rPr>
          <w:color w:val="231F20"/>
        </w:rPr>
        <w:t>que</w:t>
      </w:r>
      <w:r>
        <w:rPr>
          <w:color w:val="231F20"/>
          <w:spacing w:val="-12"/>
        </w:rPr>
        <w:t> </w:t>
      </w:r>
      <w:r>
        <w:rPr>
          <w:color w:val="231F20"/>
        </w:rPr>
        <w:t>esté</w:t>
      </w:r>
      <w:r>
        <w:rPr>
          <w:color w:val="231F20"/>
          <w:spacing w:val="-12"/>
        </w:rPr>
        <w:t> </w:t>
      </w:r>
      <w:r>
        <w:rPr>
          <w:color w:val="231F20"/>
        </w:rPr>
        <w:t>a</w:t>
      </w:r>
      <w:r>
        <w:rPr>
          <w:color w:val="231F20"/>
          <w:spacing w:val="-12"/>
        </w:rPr>
        <w:t> </w:t>
      </w:r>
      <w:r>
        <w:rPr>
          <w:color w:val="231F20"/>
        </w:rPr>
        <w:t>su</w:t>
      </w:r>
      <w:r>
        <w:rPr>
          <w:color w:val="231F20"/>
          <w:spacing w:val="-12"/>
        </w:rPr>
        <w:t> </w:t>
      </w:r>
      <w:r>
        <w:rPr>
          <w:color w:val="231F20"/>
        </w:rPr>
        <w:t>favor en cualquier parte del mundo. Sin duda, los procesos planetarios están gobernados por poderes fácticos que se sitúan más allá de todo control y de las instancias estatales. Para Noam Chomsky la tendencia en la nueva era del imperialismo está</w:t>
      </w:r>
      <w:r>
        <w:rPr>
          <w:color w:val="231F20"/>
          <w:spacing w:val="-6"/>
        </w:rPr>
        <w:t> </w:t>
      </w:r>
      <w:r>
        <w:rPr>
          <w:color w:val="231F20"/>
        </w:rPr>
        <w:t>clara.</w:t>
      </w:r>
    </w:p>
    <w:p>
      <w:pPr>
        <w:pStyle w:val="BodyText"/>
        <w:spacing w:before="10"/>
        <w:rPr>
          <w:sz w:val="22"/>
        </w:rPr>
      </w:pPr>
    </w:p>
    <w:p>
      <w:pPr>
        <w:spacing w:line="220" w:lineRule="exact" w:before="1"/>
        <w:ind w:left="1534" w:right="101" w:firstLine="0"/>
        <w:jc w:val="both"/>
        <w:rPr>
          <w:sz w:val="19"/>
        </w:rPr>
      </w:pPr>
      <w:r>
        <w:rPr>
          <w:color w:val="231F20"/>
          <w:sz w:val="19"/>
        </w:rPr>
        <w:t>Apuntan a un gobierno mundial (de los ricos y para los ricos), es- tados nacionales que movilizan recursos en torno a sus bancos y grandes empresas con base nacional, y que controlan a la pobla- ción; un mayor crecimiento de las grandes empresas transnacio- nales que han de controlar la economía mundial. Y en esa Nueva Era Imperial, de la que habla la prensa financiera, van  formando</w:t>
      </w:r>
    </w:p>
    <w:p>
      <w:pPr>
        <w:pStyle w:val="BodyText"/>
        <w:spacing w:before="11"/>
        <w:rPr>
          <w:sz w:val="22"/>
        </w:rPr>
      </w:pPr>
      <w:r>
        <w:rPr/>
        <w:pict>
          <v:line style="position:absolute;mso-position-horizontal-relative:page;mso-position-vertical-relative:paragraph;z-index:2152;mso-wrap-distance-left:0;mso-wrap-distance-right:0" from="70.866203pt,15.936203pt" to="184.252203pt,15.936203pt" stroked="true" strokeweight=".3pt" strokecolor="#231f20">
            <w10:wrap type="topAndBottom"/>
          </v:line>
        </w:pict>
      </w:r>
    </w:p>
    <w:p>
      <w:pPr>
        <w:spacing w:line="204" w:lineRule="exact" w:before="9"/>
        <w:ind w:left="117" w:right="101" w:firstLine="0"/>
        <w:jc w:val="both"/>
        <w:rPr>
          <w:rFonts w:ascii="Calibri" w:hAnsi="Calibri"/>
          <w:sz w:val="17"/>
        </w:rPr>
      </w:pPr>
      <w:r>
        <w:rPr>
          <w:rFonts w:ascii="Calibri" w:hAnsi="Calibri"/>
          <w:color w:val="231F20"/>
          <w:position w:val="6"/>
          <w:sz w:val="10"/>
        </w:rPr>
        <w:t>13 </w:t>
      </w:r>
      <w:r>
        <w:rPr>
          <w:rFonts w:ascii="Calibri" w:hAnsi="Calibri"/>
          <w:color w:val="231F20"/>
          <w:sz w:val="17"/>
        </w:rPr>
        <w:t>R. McChesney, “Decir la verdad en el momento de la verdad: la prensa norteamericana y la inva- sión de Irak”, L. Panitch y C. Leys (Eds.), </w:t>
      </w:r>
      <w:r>
        <w:rPr>
          <w:rFonts w:ascii="Calibri" w:hAnsi="Calibri"/>
          <w:i/>
          <w:color w:val="231F20"/>
          <w:sz w:val="17"/>
        </w:rPr>
        <w:t>Socialist resgister: diciendo la verdad</w:t>
      </w:r>
      <w:r>
        <w:rPr>
          <w:rFonts w:ascii="Calibri" w:hAnsi="Calibri"/>
          <w:color w:val="231F20"/>
          <w:sz w:val="17"/>
        </w:rPr>
        <w:t>, Argentina, </w:t>
      </w:r>
      <w:r>
        <w:rPr>
          <w:rFonts w:ascii="Calibri" w:hAnsi="Calibri"/>
          <w:color w:val="231F20"/>
          <w:sz w:val="15"/>
        </w:rPr>
        <w:t>CLACSO</w:t>
      </w:r>
      <w:r>
        <w:rPr>
          <w:rFonts w:ascii="Calibri" w:hAnsi="Calibri"/>
          <w:color w:val="231F20"/>
          <w:sz w:val="17"/>
        </w:rPr>
        <w:t>, 2006, p. 156.</w:t>
      </w:r>
    </w:p>
    <w:p>
      <w:pPr>
        <w:spacing w:after="0" w:line="204" w:lineRule="exact"/>
        <w:jc w:val="both"/>
        <w:rPr>
          <w:rFonts w:ascii="Calibri" w:hAnsi="Calibri"/>
          <w:sz w:val="17"/>
        </w:rPr>
        <w:sectPr>
          <w:pgSz w:w="9640" w:h="13890"/>
          <w:pgMar w:top="0" w:bottom="280" w:left="1300" w:right="1200"/>
        </w:sectPr>
      </w:pPr>
    </w:p>
    <w:p>
      <w:pPr>
        <w:spacing w:line="220" w:lineRule="exact" w:before="129"/>
        <w:ind w:left="1522" w:right="113" w:firstLine="0"/>
        <w:jc w:val="both"/>
        <w:rPr>
          <w:sz w:val="19"/>
        </w:rPr>
      </w:pPr>
      <w:r>
        <w:rPr>
          <w:color w:val="231F20"/>
          <w:sz w:val="19"/>
        </w:rPr>
        <w:t>poco a poco sus propias instituciones de gobierno que son reflejo de esas realidades económicas</w:t>
      </w:r>
      <w:r>
        <w:rPr>
          <w:color w:val="231F20"/>
          <w:position w:val="6"/>
          <w:sz w:val="11"/>
        </w:rPr>
        <w:t>14</w:t>
      </w:r>
      <w:r>
        <w:rPr>
          <w:color w:val="231F20"/>
          <w:sz w:val="19"/>
        </w:rPr>
        <w:t>.</w:t>
      </w:r>
    </w:p>
    <w:p>
      <w:pPr>
        <w:pStyle w:val="BodyText"/>
        <w:spacing w:before="11"/>
        <w:rPr>
          <w:sz w:val="23"/>
        </w:rPr>
      </w:pPr>
    </w:p>
    <w:p>
      <w:pPr>
        <w:pStyle w:val="BodyText"/>
        <w:spacing w:line="247" w:lineRule="auto"/>
        <w:ind w:left="105" w:right="113"/>
        <w:jc w:val="both"/>
      </w:pPr>
      <w:r>
        <w:rPr>
          <w:color w:val="231F20"/>
          <w:w w:val="105"/>
        </w:rPr>
        <w:t>Los</w:t>
      </w:r>
      <w:r>
        <w:rPr>
          <w:color w:val="231F20"/>
          <w:spacing w:val="-24"/>
          <w:w w:val="105"/>
        </w:rPr>
        <w:t> </w:t>
      </w:r>
      <w:r>
        <w:rPr>
          <w:color w:val="231F20"/>
          <w:w w:val="105"/>
        </w:rPr>
        <w:t>Estados</w:t>
      </w:r>
      <w:r>
        <w:rPr>
          <w:color w:val="231F20"/>
          <w:spacing w:val="-24"/>
          <w:w w:val="105"/>
        </w:rPr>
        <w:t> </w:t>
      </w:r>
      <w:r>
        <w:rPr>
          <w:color w:val="231F20"/>
          <w:w w:val="105"/>
        </w:rPr>
        <w:t>Unidos</w:t>
      </w:r>
      <w:r>
        <w:rPr>
          <w:color w:val="231F20"/>
          <w:spacing w:val="-24"/>
          <w:w w:val="105"/>
        </w:rPr>
        <w:t> </w:t>
      </w:r>
      <w:r>
        <w:rPr>
          <w:color w:val="231F20"/>
          <w:w w:val="105"/>
        </w:rPr>
        <w:t>han</w:t>
      </w:r>
      <w:r>
        <w:rPr>
          <w:color w:val="231F20"/>
          <w:spacing w:val="-24"/>
          <w:w w:val="105"/>
        </w:rPr>
        <w:t> </w:t>
      </w:r>
      <w:r>
        <w:rPr>
          <w:color w:val="231F20"/>
          <w:w w:val="105"/>
        </w:rPr>
        <w:t>perdido</w:t>
      </w:r>
      <w:r>
        <w:rPr>
          <w:color w:val="231F20"/>
          <w:spacing w:val="-24"/>
          <w:w w:val="105"/>
        </w:rPr>
        <w:t> </w:t>
      </w:r>
      <w:r>
        <w:rPr>
          <w:color w:val="231F20"/>
          <w:w w:val="105"/>
        </w:rPr>
        <w:t>parte</w:t>
      </w:r>
      <w:r>
        <w:rPr>
          <w:color w:val="231F20"/>
          <w:spacing w:val="-24"/>
          <w:w w:val="105"/>
        </w:rPr>
        <w:t> </w:t>
      </w:r>
      <w:r>
        <w:rPr>
          <w:color w:val="231F20"/>
          <w:w w:val="105"/>
        </w:rPr>
        <w:t>de</w:t>
      </w:r>
      <w:r>
        <w:rPr>
          <w:color w:val="231F20"/>
          <w:spacing w:val="-24"/>
          <w:w w:val="105"/>
        </w:rPr>
        <w:t> </w:t>
      </w:r>
      <w:r>
        <w:rPr>
          <w:color w:val="231F20"/>
          <w:w w:val="105"/>
        </w:rPr>
        <w:t>su</w:t>
      </w:r>
      <w:r>
        <w:rPr>
          <w:color w:val="231F20"/>
          <w:spacing w:val="-24"/>
          <w:w w:val="105"/>
        </w:rPr>
        <w:t> </w:t>
      </w:r>
      <w:r>
        <w:rPr>
          <w:color w:val="231F20"/>
          <w:w w:val="105"/>
        </w:rPr>
        <w:t>fuerza</w:t>
      </w:r>
      <w:r>
        <w:rPr>
          <w:color w:val="231F20"/>
          <w:spacing w:val="-24"/>
          <w:w w:val="105"/>
        </w:rPr>
        <w:t> </w:t>
      </w:r>
      <w:r>
        <w:rPr>
          <w:color w:val="231F20"/>
          <w:w w:val="105"/>
        </w:rPr>
        <w:t>para</w:t>
      </w:r>
      <w:r>
        <w:rPr>
          <w:color w:val="231F20"/>
          <w:spacing w:val="-24"/>
          <w:w w:val="105"/>
        </w:rPr>
        <w:t> </w:t>
      </w:r>
      <w:r>
        <w:rPr>
          <w:color w:val="231F20"/>
          <w:w w:val="105"/>
        </w:rPr>
        <w:t>controlar</w:t>
      </w:r>
      <w:r>
        <w:rPr>
          <w:color w:val="231F20"/>
          <w:spacing w:val="-24"/>
          <w:w w:val="105"/>
        </w:rPr>
        <w:t> </w:t>
      </w:r>
      <w:r>
        <w:rPr>
          <w:color w:val="231F20"/>
          <w:w w:val="105"/>
        </w:rPr>
        <w:t>al</w:t>
      </w:r>
      <w:r>
        <w:rPr>
          <w:color w:val="231F20"/>
          <w:spacing w:val="-24"/>
          <w:w w:val="105"/>
        </w:rPr>
        <w:t> </w:t>
      </w:r>
      <w:r>
        <w:rPr>
          <w:color w:val="231F20"/>
          <w:w w:val="105"/>
        </w:rPr>
        <w:t>mun- do,</w:t>
      </w:r>
      <w:r>
        <w:rPr>
          <w:color w:val="231F20"/>
          <w:spacing w:val="-36"/>
          <w:w w:val="105"/>
        </w:rPr>
        <w:t> </w:t>
      </w:r>
      <w:r>
        <w:rPr>
          <w:color w:val="231F20"/>
          <w:w w:val="105"/>
        </w:rPr>
        <w:t>no</w:t>
      </w:r>
      <w:r>
        <w:rPr>
          <w:color w:val="231F20"/>
          <w:spacing w:val="-36"/>
          <w:w w:val="105"/>
        </w:rPr>
        <w:t> </w:t>
      </w:r>
      <w:r>
        <w:rPr>
          <w:color w:val="231F20"/>
          <w:w w:val="105"/>
        </w:rPr>
        <w:t>obstante,</w:t>
      </w:r>
      <w:r>
        <w:rPr>
          <w:color w:val="231F20"/>
          <w:spacing w:val="-36"/>
          <w:w w:val="105"/>
        </w:rPr>
        <w:t> </w:t>
      </w:r>
      <w:r>
        <w:rPr>
          <w:color w:val="231F20"/>
          <w:w w:val="105"/>
        </w:rPr>
        <w:t>siguen</w:t>
      </w:r>
      <w:r>
        <w:rPr>
          <w:color w:val="231F20"/>
          <w:spacing w:val="-36"/>
          <w:w w:val="105"/>
        </w:rPr>
        <w:t> </w:t>
      </w:r>
      <w:r>
        <w:rPr>
          <w:color w:val="231F20"/>
          <w:w w:val="105"/>
        </w:rPr>
        <w:t>dominando.</w:t>
      </w:r>
      <w:r>
        <w:rPr>
          <w:color w:val="231F20"/>
          <w:spacing w:val="-36"/>
          <w:w w:val="105"/>
        </w:rPr>
        <w:t> </w:t>
      </w:r>
      <w:r>
        <w:rPr>
          <w:color w:val="231F20"/>
          <w:w w:val="105"/>
        </w:rPr>
        <w:t>Sus</w:t>
      </w:r>
      <w:r>
        <w:rPr>
          <w:color w:val="231F20"/>
          <w:spacing w:val="-36"/>
          <w:w w:val="105"/>
        </w:rPr>
        <w:t> </w:t>
      </w:r>
      <w:r>
        <w:rPr>
          <w:color w:val="231F20"/>
          <w:w w:val="105"/>
        </w:rPr>
        <w:t>adversarios</w:t>
      </w:r>
      <w:r>
        <w:rPr>
          <w:color w:val="231F20"/>
          <w:spacing w:val="-36"/>
          <w:w w:val="105"/>
        </w:rPr>
        <w:t> </w:t>
      </w:r>
      <w:r>
        <w:rPr>
          <w:color w:val="231F20"/>
          <w:w w:val="105"/>
        </w:rPr>
        <w:t>codician</w:t>
      </w:r>
      <w:r>
        <w:rPr>
          <w:color w:val="231F20"/>
          <w:spacing w:val="-36"/>
          <w:w w:val="105"/>
        </w:rPr>
        <w:t> </w:t>
      </w:r>
      <w:r>
        <w:rPr>
          <w:color w:val="231F20"/>
          <w:w w:val="105"/>
        </w:rPr>
        <w:t>su</w:t>
      </w:r>
      <w:r>
        <w:rPr>
          <w:color w:val="231F20"/>
          <w:spacing w:val="-36"/>
          <w:w w:val="105"/>
        </w:rPr>
        <w:t> </w:t>
      </w:r>
      <w:r>
        <w:rPr>
          <w:color w:val="231F20"/>
          <w:w w:val="105"/>
        </w:rPr>
        <w:t>caída,</w:t>
      </w:r>
      <w:r>
        <w:rPr>
          <w:color w:val="231F20"/>
          <w:spacing w:val="-36"/>
          <w:w w:val="105"/>
        </w:rPr>
        <w:t> </w:t>
      </w:r>
      <w:r>
        <w:rPr>
          <w:color w:val="231F20"/>
          <w:w w:val="105"/>
        </w:rPr>
        <w:t>por ejemplo,</w:t>
      </w:r>
      <w:r>
        <w:rPr>
          <w:color w:val="231F20"/>
          <w:spacing w:val="-20"/>
          <w:w w:val="105"/>
        </w:rPr>
        <w:t> </w:t>
      </w:r>
      <w:r>
        <w:rPr>
          <w:color w:val="231F20"/>
          <w:w w:val="105"/>
        </w:rPr>
        <w:t>Rusia</w:t>
      </w:r>
      <w:r>
        <w:rPr>
          <w:color w:val="231F20"/>
          <w:spacing w:val="-20"/>
          <w:w w:val="105"/>
        </w:rPr>
        <w:t> </w:t>
      </w:r>
      <w:r>
        <w:rPr>
          <w:color w:val="231F20"/>
          <w:w w:val="105"/>
        </w:rPr>
        <w:t>busca</w:t>
      </w:r>
      <w:r>
        <w:rPr>
          <w:color w:val="231F20"/>
          <w:spacing w:val="-20"/>
          <w:w w:val="105"/>
        </w:rPr>
        <w:t> </w:t>
      </w:r>
      <w:r>
        <w:rPr>
          <w:color w:val="231F20"/>
          <w:w w:val="105"/>
        </w:rPr>
        <w:t>recuperar</w:t>
      </w:r>
      <w:r>
        <w:rPr>
          <w:color w:val="231F20"/>
          <w:spacing w:val="-20"/>
          <w:w w:val="105"/>
        </w:rPr>
        <w:t> </w:t>
      </w:r>
      <w:r>
        <w:rPr>
          <w:color w:val="231F20"/>
          <w:w w:val="105"/>
        </w:rPr>
        <w:t>su</w:t>
      </w:r>
      <w:r>
        <w:rPr>
          <w:color w:val="231F20"/>
          <w:spacing w:val="-20"/>
          <w:w w:val="105"/>
        </w:rPr>
        <w:t> </w:t>
      </w:r>
      <w:r>
        <w:rPr>
          <w:color w:val="231F20"/>
          <w:w w:val="105"/>
        </w:rPr>
        <w:t>papel</w:t>
      </w:r>
      <w:r>
        <w:rPr>
          <w:color w:val="231F20"/>
          <w:spacing w:val="-20"/>
          <w:w w:val="105"/>
        </w:rPr>
        <w:t> </w:t>
      </w:r>
      <w:r>
        <w:rPr>
          <w:color w:val="231F20"/>
          <w:w w:val="105"/>
        </w:rPr>
        <w:t>hegemónico,</w:t>
      </w:r>
      <w:r>
        <w:rPr>
          <w:color w:val="231F20"/>
          <w:spacing w:val="-20"/>
          <w:w w:val="105"/>
        </w:rPr>
        <w:t> </w:t>
      </w:r>
      <w:r>
        <w:rPr>
          <w:color w:val="231F20"/>
          <w:w w:val="105"/>
        </w:rPr>
        <w:t>el</w:t>
      </w:r>
      <w:r>
        <w:rPr>
          <w:color w:val="231F20"/>
          <w:spacing w:val="-20"/>
          <w:w w:val="105"/>
        </w:rPr>
        <w:t> </w:t>
      </w:r>
      <w:r>
        <w:rPr>
          <w:color w:val="231F20"/>
          <w:w w:val="105"/>
        </w:rPr>
        <w:t>Estado</w:t>
      </w:r>
      <w:r>
        <w:rPr>
          <w:color w:val="231F20"/>
          <w:spacing w:val="-20"/>
          <w:w w:val="105"/>
        </w:rPr>
        <w:t> </w:t>
      </w:r>
      <w:r>
        <w:rPr>
          <w:color w:val="231F20"/>
          <w:w w:val="105"/>
        </w:rPr>
        <w:t>Islámico proseguirá</w:t>
      </w:r>
      <w:r>
        <w:rPr>
          <w:color w:val="231F20"/>
          <w:spacing w:val="-10"/>
          <w:w w:val="105"/>
        </w:rPr>
        <w:t> </w:t>
      </w:r>
      <w:r>
        <w:rPr>
          <w:color w:val="231F20"/>
          <w:w w:val="105"/>
        </w:rPr>
        <w:t>con</w:t>
      </w:r>
      <w:r>
        <w:rPr>
          <w:color w:val="231F20"/>
          <w:spacing w:val="-10"/>
          <w:w w:val="105"/>
        </w:rPr>
        <w:t> </w:t>
      </w:r>
      <w:r>
        <w:rPr>
          <w:color w:val="231F20"/>
          <w:w w:val="105"/>
        </w:rPr>
        <w:t>su</w:t>
      </w:r>
      <w:r>
        <w:rPr>
          <w:color w:val="231F20"/>
          <w:spacing w:val="-10"/>
          <w:w w:val="105"/>
        </w:rPr>
        <w:t> </w:t>
      </w:r>
      <w:r>
        <w:rPr>
          <w:color w:val="231F20"/>
          <w:w w:val="105"/>
        </w:rPr>
        <w:t>política</w:t>
      </w:r>
      <w:r>
        <w:rPr>
          <w:color w:val="231F20"/>
          <w:spacing w:val="-10"/>
          <w:w w:val="105"/>
        </w:rPr>
        <w:t> </w:t>
      </w:r>
      <w:r>
        <w:rPr>
          <w:color w:val="231F20"/>
          <w:w w:val="105"/>
        </w:rPr>
        <w:t>de</w:t>
      </w:r>
      <w:r>
        <w:rPr>
          <w:color w:val="231F20"/>
          <w:spacing w:val="-10"/>
          <w:w w:val="105"/>
        </w:rPr>
        <w:t> </w:t>
      </w:r>
      <w:r>
        <w:rPr>
          <w:color w:val="231F20"/>
          <w:spacing w:val="-4"/>
          <w:w w:val="105"/>
        </w:rPr>
        <w:t>terror,</w:t>
      </w:r>
      <w:r>
        <w:rPr>
          <w:color w:val="231F20"/>
          <w:spacing w:val="-10"/>
          <w:w w:val="105"/>
        </w:rPr>
        <w:t> </w:t>
      </w:r>
      <w:r>
        <w:rPr>
          <w:color w:val="231F20"/>
          <w:w w:val="105"/>
        </w:rPr>
        <w:t>China</w:t>
      </w:r>
      <w:r>
        <w:rPr>
          <w:color w:val="231F20"/>
          <w:spacing w:val="-10"/>
          <w:w w:val="105"/>
        </w:rPr>
        <w:t> </w:t>
      </w:r>
      <w:r>
        <w:rPr>
          <w:color w:val="231F20"/>
          <w:w w:val="105"/>
        </w:rPr>
        <w:t>allana</w:t>
      </w:r>
      <w:r>
        <w:rPr>
          <w:color w:val="231F20"/>
          <w:spacing w:val="-10"/>
          <w:w w:val="105"/>
        </w:rPr>
        <w:t> </w:t>
      </w:r>
      <w:r>
        <w:rPr>
          <w:color w:val="231F20"/>
          <w:w w:val="105"/>
        </w:rPr>
        <w:t>el</w:t>
      </w:r>
      <w:r>
        <w:rPr>
          <w:color w:val="231F20"/>
          <w:spacing w:val="-10"/>
          <w:w w:val="105"/>
        </w:rPr>
        <w:t> </w:t>
      </w:r>
      <w:r>
        <w:rPr>
          <w:color w:val="231F20"/>
          <w:w w:val="105"/>
        </w:rPr>
        <w:t>camino</w:t>
      </w:r>
      <w:r>
        <w:rPr>
          <w:color w:val="231F20"/>
          <w:spacing w:val="-10"/>
          <w:w w:val="105"/>
        </w:rPr>
        <w:t> </w:t>
      </w:r>
      <w:r>
        <w:rPr>
          <w:color w:val="231F20"/>
          <w:w w:val="105"/>
        </w:rPr>
        <w:t>con</w:t>
      </w:r>
      <w:r>
        <w:rPr>
          <w:color w:val="231F20"/>
          <w:spacing w:val="-10"/>
          <w:w w:val="105"/>
        </w:rPr>
        <w:t> </w:t>
      </w:r>
      <w:r>
        <w:rPr>
          <w:color w:val="231F20"/>
          <w:w w:val="105"/>
        </w:rPr>
        <w:t>su</w:t>
      </w:r>
      <w:r>
        <w:rPr>
          <w:color w:val="231F20"/>
          <w:spacing w:val="-10"/>
          <w:w w:val="105"/>
        </w:rPr>
        <w:t> </w:t>
      </w:r>
      <w:r>
        <w:rPr>
          <w:color w:val="231F20"/>
          <w:w w:val="105"/>
        </w:rPr>
        <w:t>poder económico</w:t>
      </w:r>
      <w:r>
        <w:rPr>
          <w:color w:val="231F20"/>
          <w:spacing w:val="-17"/>
          <w:w w:val="105"/>
        </w:rPr>
        <w:t> </w:t>
      </w:r>
      <w:r>
        <w:rPr>
          <w:color w:val="231F20"/>
          <w:w w:val="105"/>
        </w:rPr>
        <w:t>en</w:t>
      </w:r>
      <w:r>
        <w:rPr>
          <w:color w:val="231F20"/>
          <w:spacing w:val="-17"/>
          <w:w w:val="105"/>
        </w:rPr>
        <w:t> </w:t>
      </w:r>
      <w:r>
        <w:rPr>
          <w:color w:val="231F20"/>
          <w:w w:val="105"/>
        </w:rPr>
        <w:t>influencia</w:t>
      </w:r>
      <w:r>
        <w:rPr>
          <w:color w:val="231F20"/>
          <w:spacing w:val="-17"/>
          <w:w w:val="105"/>
        </w:rPr>
        <w:t> </w:t>
      </w:r>
      <w:r>
        <w:rPr>
          <w:color w:val="231F20"/>
          <w:w w:val="105"/>
        </w:rPr>
        <w:t>geopolítica,</w:t>
      </w:r>
      <w:r>
        <w:rPr>
          <w:color w:val="231F20"/>
          <w:spacing w:val="-17"/>
          <w:w w:val="105"/>
        </w:rPr>
        <w:t> </w:t>
      </w:r>
      <w:r>
        <w:rPr>
          <w:color w:val="231F20"/>
          <w:w w:val="105"/>
        </w:rPr>
        <w:t>amenazando</w:t>
      </w:r>
      <w:r>
        <w:rPr>
          <w:color w:val="231F20"/>
          <w:spacing w:val="-17"/>
          <w:w w:val="105"/>
        </w:rPr>
        <w:t> </w:t>
      </w:r>
      <w:r>
        <w:rPr>
          <w:color w:val="231F20"/>
          <w:w w:val="105"/>
        </w:rPr>
        <w:t>con</w:t>
      </w:r>
      <w:r>
        <w:rPr>
          <w:color w:val="231F20"/>
          <w:spacing w:val="-17"/>
          <w:w w:val="105"/>
        </w:rPr>
        <w:t> </w:t>
      </w:r>
      <w:r>
        <w:rPr>
          <w:color w:val="231F20"/>
          <w:w w:val="105"/>
        </w:rPr>
        <w:t>debilitar</w:t>
      </w:r>
      <w:r>
        <w:rPr>
          <w:color w:val="231F20"/>
          <w:spacing w:val="-17"/>
          <w:w w:val="105"/>
        </w:rPr>
        <w:t> </w:t>
      </w:r>
      <w:r>
        <w:rPr>
          <w:color w:val="231F20"/>
          <w:w w:val="105"/>
        </w:rPr>
        <w:t>aún</w:t>
      </w:r>
      <w:r>
        <w:rPr>
          <w:color w:val="231F20"/>
          <w:spacing w:val="-17"/>
          <w:w w:val="105"/>
        </w:rPr>
        <w:t> </w:t>
      </w:r>
      <w:r>
        <w:rPr>
          <w:color w:val="231F20"/>
          <w:w w:val="105"/>
        </w:rPr>
        <w:t>más, en</w:t>
      </w:r>
      <w:r>
        <w:rPr>
          <w:color w:val="231F20"/>
          <w:spacing w:val="-32"/>
          <w:w w:val="105"/>
        </w:rPr>
        <w:t> </w:t>
      </w:r>
      <w:r>
        <w:rPr>
          <w:color w:val="231F20"/>
          <w:w w:val="105"/>
        </w:rPr>
        <w:t>las</w:t>
      </w:r>
      <w:r>
        <w:rPr>
          <w:color w:val="231F20"/>
          <w:spacing w:val="-32"/>
          <w:w w:val="105"/>
        </w:rPr>
        <w:t> </w:t>
      </w:r>
      <w:r>
        <w:rPr>
          <w:color w:val="231F20"/>
          <w:w w:val="105"/>
        </w:rPr>
        <w:t>próximas</w:t>
      </w:r>
      <w:r>
        <w:rPr>
          <w:color w:val="231F20"/>
          <w:spacing w:val="-32"/>
          <w:w w:val="105"/>
        </w:rPr>
        <w:t> </w:t>
      </w:r>
      <w:r>
        <w:rPr>
          <w:color w:val="231F20"/>
          <w:w w:val="105"/>
        </w:rPr>
        <w:t>décadas,</w:t>
      </w:r>
      <w:r>
        <w:rPr>
          <w:color w:val="231F20"/>
          <w:spacing w:val="-32"/>
          <w:w w:val="105"/>
        </w:rPr>
        <w:t> </w:t>
      </w:r>
      <w:r>
        <w:rPr>
          <w:color w:val="231F20"/>
          <w:w w:val="105"/>
        </w:rPr>
        <w:t>el</w:t>
      </w:r>
      <w:r>
        <w:rPr>
          <w:color w:val="231F20"/>
          <w:spacing w:val="-32"/>
          <w:w w:val="105"/>
        </w:rPr>
        <w:t> </w:t>
      </w:r>
      <w:r>
        <w:rPr>
          <w:color w:val="231F20"/>
          <w:w w:val="105"/>
        </w:rPr>
        <w:t>orden</w:t>
      </w:r>
      <w:r>
        <w:rPr>
          <w:color w:val="231F20"/>
          <w:spacing w:val="-32"/>
          <w:w w:val="105"/>
        </w:rPr>
        <w:t> </w:t>
      </w:r>
      <w:r>
        <w:rPr>
          <w:color w:val="231F20"/>
          <w:w w:val="105"/>
        </w:rPr>
        <w:t>liberal</w:t>
      </w:r>
      <w:r>
        <w:rPr>
          <w:color w:val="231F20"/>
          <w:spacing w:val="-32"/>
          <w:w w:val="105"/>
        </w:rPr>
        <w:t> </w:t>
      </w:r>
      <w:r>
        <w:rPr>
          <w:color w:val="231F20"/>
          <w:w w:val="105"/>
        </w:rPr>
        <w:t>y</w:t>
      </w:r>
      <w:r>
        <w:rPr>
          <w:color w:val="231F20"/>
          <w:spacing w:val="-32"/>
          <w:w w:val="105"/>
        </w:rPr>
        <w:t> </w:t>
      </w:r>
      <w:r>
        <w:rPr>
          <w:color w:val="231F20"/>
          <w:w w:val="105"/>
        </w:rPr>
        <w:t>democrático.</w:t>
      </w:r>
      <w:r>
        <w:rPr>
          <w:color w:val="231F20"/>
          <w:spacing w:val="-32"/>
          <w:w w:val="105"/>
        </w:rPr>
        <w:t> </w:t>
      </w:r>
      <w:r>
        <w:rPr>
          <w:color w:val="231F20"/>
          <w:w w:val="105"/>
        </w:rPr>
        <w:t>El</w:t>
      </w:r>
      <w:r>
        <w:rPr>
          <w:color w:val="231F20"/>
          <w:spacing w:val="-32"/>
          <w:w w:val="105"/>
        </w:rPr>
        <w:t> </w:t>
      </w:r>
      <w:r>
        <w:rPr>
          <w:color w:val="231F20"/>
          <w:w w:val="105"/>
        </w:rPr>
        <w:t>mundo</w:t>
      </w:r>
      <w:r>
        <w:rPr>
          <w:color w:val="231F20"/>
          <w:spacing w:val="-32"/>
          <w:w w:val="105"/>
        </w:rPr>
        <w:t> </w:t>
      </w:r>
      <w:r>
        <w:rPr>
          <w:color w:val="231F20"/>
          <w:w w:val="105"/>
        </w:rPr>
        <w:t>frente</w:t>
      </w:r>
      <w:r>
        <w:rPr>
          <w:color w:val="231F20"/>
          <w:spacing w:val="-32"/>
          <w:w w:val="105"/>
        </w:rPr>
        <w:t> </w:t>
      </w:r>
      <w:r>
        <w:rPr>
          <w:color w:val="231F20"/>
          <w:w w:val="105"/>
        </w:rPr>
        <w:t>a nuestros</w:t>
      </w:r>
      <w:r>
        <w:rPr>
          <w:color w:val="231F20"/>
          <w:spacing w:val="-48"/>
          <w:w w:val="105"/>
        </w:rPr>
        <w:t> </w:t>
      </w:r>
      <w:r>
        <w:rPr>
          <w:color w:val="231F20"/>
          <w:w w:val="105"/>
        </w:rPr>
        <w:t>ojos</w:t>
      </w:r>
      <w:r>
        <w:rPr>
          <w:color w:val="231F20"/>
          <w:spacing w:val="-48"/>
          <w:w w:val="105"/>
        </w:rPr>
        <w:t> </w:t>
      </w:r>
      <w:r>
        <w:rPr>
          <w:color w:val="231F20"/>
          <w:w w:val="105"/>
        </w:rPr>
        <w:t>se</w:t>
      </w:r>
      <w:r>
        <w:rPr>
          <w:color w:val="231F20"/>
          <w:spacing w:val="-48"/>
          <w:w w:val="105"/>
        </w:rPr>
        <w:t> </w:t>
      </w:r>
      <w:r>
        <w:rPr>
          <w:color w:val="231F20"/>
          <w:w w:val="105"/>
        </w:rPr>
        <w:t>transforma.</w:t>
      </w:r>
      <w:r>
        <w:rPr>
          <w:color w:val="231F20"/>
          <w:spacing w:val="-48"/>
          <w:w w:val="105"/>
        </w:rPr>
        <w:t> </w:t>
      </w:r>
      <w:r>
        <w:rPr>
          <w:color w:val="231F20"/>
          <w:w w:val="105"/>
        </w:rPr>
        <w:t>Siempre</w:t>
      </w:r>
      <w:r>
        <w:rPr>
          <w:color w:val="231F20"/>
          <w:spacing w:val="-48"/>
          <w:w w:val="105"/>
        </w:rPr>
        <w:t> </w:t>
      </w:r>
      <w:r>
        <w:rPr>
          <w:color w:val="231F20"/>
          <w:w w:val="105"/>
        </w:rPr>
        <w:t>habrá</w:t>
      </w:r>
      <w:r>
        <w:rPr>
          <w:color w:val="231F20"/>
          <w:spacing w:val="-48"/>
          <w:w w:val="105"/>
        </w:rPr>
        <w:t> </w:t>
      </w:r>
      <w:r>
        <w:rPr>
          <w:color w:val="231F20"/>
          <w:w w:val="105"/>
        </w:rPr>
        <w:t>personas</w:t>
      </w:r>
      <w:r>
        <w:rPr>
          <w:color w:val="231F20"/>
          <w:spacing w:val="-48"/>
          <w:w w:val="105"/>
        </w:rPr>
        <w:t> </w:t>
      </w:r>
      <w:r>
        <w:rPr>
          <w:color w:val="231F20"/>
          <w:w w:val="105"/>
        </w:rPr>
        <w:t>peligrosas</w:t>
      </w:r>
      <w:r>
        <w:rPr>
          <w:color w:val="231F20"/>
          <w:spacing w:val="-48"/>
          <w:w w:val="105"/>
        </w:rPr>
        <w:t> </w:t>
      </w:r>
      <w:r>
        <w:rPr>
          <w:color w:val="231F20"/>
          <w:w w:val="105"/>
        </w:rPr>
        <w:t>y</w:t>
      </w:r>
      <w:r>
        <w:rPr>
          <w:color w:val="231F20"/>
          <w:spacing w:val="-48"/>
          <w:w w:val="105"/>
        </w:rPr>
        <w:t> </w:t>
      </w:r>
      <w:r>
        <w:rPr>
          <w:color w:val="231F20"/>
          <w:w w:val="105"/>
        </w:rPr>
        <w:t>naciones deshonestas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mundo,</w:t>
      </w:r>
      <w:r>
        <w:rPr>
          <w:color w:val="231F20"/>
          <w:spacing w:val="-13"/>
          <w:w w:val="105"/>
        </w:rPr>
        <w:t> </w:t>
      </w:r>
      <w:r>
        <w:rPr>
          <w:color w:val="231F20"/>
          <w:w w:val="105"/>
        </w:rPr>
        <w:t>aunado</w:t>
      </w:r>
      <w:r>
        <w:rPr>
          <w:color w:val="231F20"/>
          <w:spacing w:val="-13"/>
          <w:w w:val="105"/>
        </w:rPr>
        <w:t> </w:t>
      </w:r>
      <w:r>
        <w:rPr>
          <w:color w:val="231F20"/>
          <w:w w:val="105"/>
        </w:rPr>
        <w:t>a</w:t>
      </w:r>
      <w:r>
        <w:rPr>
          <w:color w:val="231F20"/>
          <w:spacing w:val="-13"/>
          <w:w w:val="105"/>
        </w:rPr>
        <w:t> </w:t>
      </w:r>
      <w:r>
        <w:rPr>
          <w:color w:val="231F20"/>
          <w:w w:val="105"/>
        </w:rPr>
        <w:t>ello</w:t>
      </w:r>
      <w:r>
        <w:rPr>
          <w:color w:val="231F20"/>
          <w:spacing w:val="-13"/>
          <w:w w:val="105"/>
        </w:rPr>
        <w:t> </w:t>
      </w:r>
      <w:r>
        <w:rPr>
          <w:color w:val="231F20"/>
          <w:w w:val="105"/>
        </w:rPr>
        <w:t>la</w:t>
      </w:r>
      <w:r>
        <w:rPr>
          <w:color w:val="231F20"/>
          <w:spacing w:val="-13"/>
          <w:w w:val="105"/>
        </w:rPr>
        <w:t> </w:t>
      </w:r>
      <w:r>
        <w:rPr>
          <w:color w:val="231F20"/>
          <w:w w:val="105"/>
        </w:rPr>
        <w:t>difusión</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tecnología</w:t>
      </w:r>
      <w:r>
        <w:rPr>
          <w:color w:val="231F20"/>
          <w:spacing w:val="-13"/>
          <w:w w:val="105"/>
        </w:rPr>
        <w:t> </w:t>
      </w:r>
      <w:r>
        <w:rPr>
          <w:color w:val="231F20"/>
          <w:w w:val="105"/>
        </w:rPr>
        <w:t>pro- bablemente</w:t>
      </w:r>
      <w:r>
        <w:rPr>
          <w:color w:val="231F20"/>
          <w:spacing w:val="-49"/>
          <w:w w:val="105"/>
        </w:rPr>
        <w:t> </w:t>
      </w:r>
      <w:r>
        <w:rPr>
          <w:color w:val="231F20"/>
          <w:w w:val="105"/>
        </w:rPr>
        <w:t>nos</w:t>
      </w:r>
      <w:r>
        <w:rPr>
          <w:color w:val="231F20"/>
          <w:spacing w:val="-49"/>
          <w:w w:val="105"/>
        </w:rPr>
        <w:t> </w:t>
      </w:r>
      <w:r>
        <w:rPr>
          <w:color w:val="231F20"/>
          <w:w w:val="105"/>
        </w:rPr>
        <w:t>vuelva</w:t>
      </w:r>
      <w:r>
        <w:rPr>
          <w:color w:val="231F20"/>
          <w:spacing w:val="-49"/>
          <w:w w:val="105"/>
        </w:rPr>
        <w:t> </w:t>
      </w:r>
      <w:r>
        <w:rPr>
          <w:color w:val="231F20"/>
          <w:w w:val="105"/>
        </w:rPr>
        <w:t>más</w:t>
      </w:r>
      <w:r>
        <w:rPr>
          <w:color w:val="231F20"/>
          <w:spacing w:val="-49"/>
          <w:w w:val="105"/>
        </w:rPr>
        <w:t> </w:t>
      </w:r>
      <w:r>
        <w:rPr>
          <w:color w:val="231F20"/>
          <w:w w:val="105"/>
        </w:rPr>
        <w:t>vulnerables.</w:t>
      </w:r>
    </w:p>
    <w:p>
      <w:pPr>
        <w:pStyle w:val="BodyText"/>
        <w:spacing w:before="5"/>
        <w:rPr>
          <w:sz w:val="24"/>
        </w:rPr>
      </w:pPr>
    </w:p>
    <w:p>
      <w:pPr>
        <w:spacing w:before="1"/>
        <w:ind w:left="105" w:right="0" w:firstLine="0"/>
        <w:jc w:val="both"/>
        <w:rPr>
          <w:rFonts w:ascii="Arial" w:hAnsi="Arial"/>
          <w:i/>
          <w:sz w:val="21"/>
        </w:rPr>
      </w:pPr>
      <w:r>
        <w:rPr>
          <w:rFonts w:ascii="Arial" w:hAnsi="Arial"/>
          <w:i/>
          <w:color w:val="231F20"/>
          <w:sz w:val="21"/>
        </w:rPr>
        <w:t>Delincuencia organizada en México</w:t>
      </w:r>
    </w:p>
    <w:p>
      <w:pPr>
        <w:pStyle w:val="BodyText"/>
        <w:rPr>
          <w:rFonts w:ascii="Arial"/>
          <w:i/>
          <w:sz w:val="20"/>
        </w:rPr>
      </w:pPr>
    </w:p>
    <w:p>
      <w:pPr>
        <w:pStyle w:val="BodyText"/>
        <w:spacing w:line="247" w:lineRule="auto" w:before="172"/>
        <w:ind w:left="105" w:right="113"/>
        <w:jc w:val="both"/>
      </w:pPr>
      <w:r>
        <w:rPr>
          <w:color w:val="231F20"/>
        </w:rPr>
        <w:t>La respuesta de México ante el 11–S fue sin duda prudente. En el Consejo de Seguridad de la </w:t>
      </w:r>
      <w:r>
        <w:rPr>
          <w:color w:val="231F20"/>
          <w:sz w:val="18"/>
        </w:rPr>
        <w:t>ONU </w:t>
      </w:r>
      <w:r>
        <w:rPr>
          <w:color w:val="231F20"/>
        </w:rPr>
        <w:t>México no respaldó la postura de Estados Unidos  y Gran Bretaña, que pretendían que el Consejo apoyara una resolución radical para atacar militarmente a Irak. México se inclinó por la propuesta que obligaba a Irak a aceptar a los inspectores de la </w:t>
      </w:r>
      <w:r>
        <w:rPr>
          <w:color w:val="231F20"/>
          <w:sz w:val="18"/>
        </w:rPr>
        <w:t>ONU </w:t>
      </w:r>
      <w:r>
        <w:rPr>
          <w:color w:val="231F20"/>
        </w:rPr>
        <w:t>para buscar </w:t>
      </w:r>
      <w:r>
        <w:rPr>
          <w:color w:val="231F20"/>
          <w:spacing w:val="-4"/>
        </w:rPr>
        <w:t>ar-</w:t>
      </w:r>
      <w:r>
        <w:rPr>
          <w:color w:val="231F20"/>
          <w:spacing w:val="57"/>
        </w:rPr>
        <w:t> </w:t>
      </w:r>
      <w:r>
        <w:rPr>
          <w:color w:val="231F20"/>
        </w:rPr>
        <w:t>mas de destrucción masiva. Líneas atrás argumentamos que dichas armas nunca se encontraron realmente. La respuesta nacional frente a las medi- das adoptadas por Estados Unidos frente al terrorismo quizá fue reflejo de las relaciones estrechas y problemáticas que ambos países han sostenido históricamente. El trato a los migrantes y la administración de la frontera han sido fuente de roces y dificultades que han hecho patente otro perfil de la construcción de la política binacional y del concepto de enemigo. La frontera se ha convertido en un tema crítico de seguridad nacional para el vecino del norte, pero para México ha tocado puntos neurálgicos como el respeto a la soberanía nacional y a los derechos</w:t>
      </w:r>
      <w:r>
        <w:rPr>
          <w:color w:val="231F20"/>
          <w:spacing w:val="-29"/>
        </w:rPr>
        <w:t> </w:t>
      </w:r>
      <w:r>
        <w:rPr>
          <w:color w:val="231F20"/>
        </w:rPr>
        <w:t>humanos.</w:t>
      </w:r>
    </w:p>
    <w:p>
      <w:pPr>
        <w:pStyle w:val="BodyText"/>
        <w:spacing w:line="247" w:lineRule="auto"/>
        <w:ind w:left="105" w:firstLine="566"/>
      </w:pPr>
      <w:r>
        <w:rPr>
          <w:color w:val="231F20"/>
        </w:rPr>
        <w:t>En marzo de 2002 se firmaron convenios en Monterrey relacionados con este tema.</w:t>
      </w:r>
    </w:p>
    <w:p>
      <w:pPr>
        <w:pStyle w:val="BodyText"/>
        <w:spacing w:before="10"/>
        <w:rPr>
          <w:sz w:val="22"/>
        </w:rPr>
      </w:pPr>
    </w:p>
    <w:p>
      <w:pPr>
        <w:spacing w:line="220" w:lineRule="exact" w:before="1"/>
        <w:ind w:left="1522" w:right="113" w:firstLine="0"/>
        <w:jc w:val="both"/>
        <w:rPr>
          <w:sz w:val="19"/>
        </w:rPr>
      </w:pPr>
      <w:r>
        <w:rPr>
          <w:color w:val="231F20"/>
          <w:sz w:val="19"/>
        </w:rPr>
        <w:t>El propósito de los acuerdos de Monterrey es tener una frontera común “eficiente y segura”. Para ello, se incluyen compromisos de intercambio de información de personas, de transportes de mercancías, de embarcaciones y protección de la infraestructura de</w:t>
      </w:r>
      <w:r>
        <w:rPr>
          <w:color w:val="231F20"/>
          <w:spacing w:val="-11"/>
          <w:sz w:val="19"/>
        </w:rPr>
        <w:t> </w:t>
      </w:r>
      <w:r>
        <w:rPr>
          <w:color w:val="231F20"/>
          <w:sz w:val="19"/>
        </w:rPr>
        <w:t>la</w:t>
      </w:r>
      <w:r>
        <w:rPr>
          <w:color w:val="231F20"/>
          <w:spacing w:val="-11"/>
          <w:sz w:val="19"/>
        </w:rPr>
        <w:t> </w:t>
      </w:r>
      <w:r>
        <w:rPr>
          <w:color w:val="231F20"/>
          <w:sz w:val="19"/>
        </w:rPr>
        <w:t>frontera.</w:t>
      </w:r>
      <w:r>
        <w:rPr>
          <w:color w:val="231F20"/>
          <w:spacing w:val="-11"/>
          <w:sz w:val="19"/>
        </w:rPr>
        <w:t> </w:t>
      </w:r>
      <w:r>
        <w:rPr>
          <w:color w:val="231F20"/>
          <w:sz w:val="19"/>
        </w:rPr>
        <w:t>Por</w:t>
      </w:r>
      <w:r>
        <w:rPr>
          <w:color w:val="231F20"/>
          <w:spacing w:val="-11"/>
          <w:sz w:val="19"/>
        </w:rPr>
        <w:t> </w:t>
      </w:r>
      <w:r>
        <w:rPr>
          <w:color w:val="231F20"/>
          <w:sz w:val="19"/>
        </w:rPr>
        <w:t>ejemplo,</w:t>
      </w:r>
      <w:r>
        <w:rPr>
          <w:color w:val="231F20"/>
          <w:spacing w:val="-11"/>
          <w:sz w:val="19"/>
        </w:rPr>
        <w:t> </w:t>
      </w:r>
      <w:r>
        <w:rPr>
          <w:color w:val="231F20"/>
          <w:sz w:val="19"/>
        </w:rPr>
        <w:t>en</w:t>
      </w:r>
      <w:r>
        <w:rPr>
          <w:color w:val="231F20"/>
          <w:spacing w:val="-11"/>
          <w:sz w:val="19"/>
        </w:rPr>
        <w:t> </w:t>
      </w:r>
      <w:r>
        <w:rPr>
          <w:color w:val="231F20"/>
          <w:sz w:val="19"/>
        </w:rPr>
        <w:t>el</w:t>
      </w:r>
      <w:r>
        <w:rPr>
          <w:color w:val="231F20"/>
          <w:spacing w:val="-11"/>
          <w:sz w:val="19"/>
        </w:rPr>
        <w:t> </w:t>
      </w:r>
      <w:r>
        <w:rPr>
          <w:color w:val="231F20"/>
          <w:sz w:val="19"/>
        </w:rPr>
        <w:t>mes</w:t>
      </w:r>
      <w:r>
        <w:rPr>
          <w:color w:val="231F20"/>
          <w:spacing w:val="-10"/>
          <w:sz w:val="19"/>
        </w:rPr>
        <w:t> </w:t>
      </w:r>
      <w:r>
        <w:rPr>
          <w:color w:val="231F20"/>
          <w:sz w:val="19"/>
        </w:rPr>
        <w:t>de</w:t>
      </w:r>
      <w:r>
        <w:rPr>
          <w:color w:val="231F20"/>
          <w:spacing w:val="-11"/>
          <w:sz w:val="19"/>
        </w:rPr>
        <w:t> </w:t>
      </w:r>
      <w:r>
        <w:rPr>
          <w:color w:val="231F20"/>
          <w:sz w:val="19"/>
        </w:rPr>
        <w:t>octubre</w:t>
      </w:r>
      <w:r>
        <w:rPr>
          <w:color w:val="231F20"/>
          <w:spacing w:val="-10"/>
          <w:sz w:val="19"/>
        </w:rPr>
        <w:t> </w:t>
      </w:r>
      <w:r>
        <w:rPr>
          <w:color w:val="231F20"/>
          <w:sz w:val="19"/>
        </w:rPr>
        <w:t>de</w:t>
      </w:r>
      <w:r>
        <w:rPr>
          <w:color w:val="231F20"/>
          <w:spacing w:val="-11"/>
          <w:sz w:val="19"/>
        </w:rPr>
        <w:t> </w:t>
      </w:r>
      <w:r>
        <w:rPr>
          <w:color w:val="231F20"/>
          <w:sz w:val="19"/>
        </w:rPr>
        <w:t>2002</w:t>
      </w:r>
      <w:r>
        <w:rPr>
          <w:color w:val="231F20"/>
          <w:spacing w:val="-11"/>
          <w:sz w:val="19"/>
        </w:rPr>
        <w:t> </w:t>
      </w:r>
      <w:r>
        <w:rPr>
          <w:color w:val="231F20"/>
          <w:sz w:val="19"/>
        </w:rPr>
        <w:t>llegaron</w:t>
      </w:r>
    </w:p>
    <w:p>
      <w:pPr>
        <w:pStyle w:val="BodyText"/>
        <w:rPr>
          <w:sz w:val="20"/>
        </w:rPr>
      </w:pPr>
    </w:p>
    <w:p>
      <w:pPr>
        <w:pStyle w:val="BodyText"/>
        <w:rPr>
          <w:sz w:val="20"/>
        </w:rPr>
      </w:pPr>
    </w:p>
    <w:p>
      <w:pPr>
        <w:pStyle w:val="BodyText"/>
        <w:spacing w:before="3"/>
        <w:rPr>
          <w:sz w:val="25"/>
        </w:rPr>
      </w:pPr>
      <w:r>
        <w:rPr/>
        <w:pict>
          <v:line style="position:absolute;mso-position-horizontal-relative:page;mso-position-vertical-relative:paragraph;z-index:2200;mso-wrap-distance-left:0;mso-wrap-distance-right:0" from="65.283600pt,17.351379pt" to="178.6696pt,17.351379pt" stroked="true" strokeweight=".3pt" strokecolor="#231f20">
            <w10:wrap type="topAndBottom"/>
          </v:line>
        </w:pict>
      </w:r>
    </w:p>
    <w:p>
      <w:pPr>
        <w:spacing w:line="204" w:lineRule="exact" w:before="9"/>
        <w:ind w:left="105" w:right="0" w:firstLine="0"/>
        <w:jc w:val="left"/>
        <w:rPr>
          <w:rFonts w:ascii="Calibri" w:hAnsi="Calibri"/>
          <w:sz w:val="17"/>
        </w:rPr>
      </w:pPr>
      <w:r>
        <w:rPr>
          <w:rFonts w:ascii="Calibri" w:hAnsi="Calibri"/>
          <w:color w:val="231F20"/>
          <w:position w:val="6"/>
          <w:sz w:val="10"/>
        </w:rPr>
        <w:t>14 </w:t>
      </w:r>
      <w:r>
        <w:rPr>
          <w:rFonts w:ascii="Calibri" w:hAnsi="Calibri"/>
          <w:color w:val="231F20"/>
          <w:sz w:val="17"/>
        </w:rPr>
        <w:t>N. Chomsky, </w:t>
      </w:r>
      <w:r>
        <w:rPr>
          <w:rFonts w:ascii="Calibri" w:hAnsi="Calibri"/>
          <w:i/>
          <w:color w:val="231F20"/>
          <w:sz w:val="17"/>
        </w:rPr>
        <w:t>Política y cultura a finales del siglo </w:t>
      </w:r>
      <w:r>
        <w:rPr>
          <w:rFonts w:ascii="Calibri" w:hAnsi="Calibri"/>
          <w:i/>
          <w:color w:val="231F20"/>
          <w:sz w:val="15"/>
        </w:rPr>
        <w:t>XX</w:t>
      </w:r>
      <w:r>
        <w:rPr>
          <w:rFonts w:ascii="Calibri" w:hAnsi="Calibri"/>
          <w:i/>
          <w:color w:val="231F20"/>
          <w:sz w:val="17"/>
        </w:rPr>
        <w:t>. Un panorama de las actuales tendencias</w:t>
      </w:r>
      <w:r>
        <w:rPr>
          <w:rFonts w:ascii="Calibri" w:hAnsi="Calibri"/>
          <w:color w:val="231F20"/>
          <w:sz w:val="17"/>
        </w:rPr>
        <w:t>, Bar- celona, Ariel, 1994, p. 45.</w:t>
      </w:r>
    </w:p>
    <w:p>
      <w:pPr>
        <w:pStyle w:val="BodyText"/>
        <w:rPr>
          <w:rFonts w:ascii="Calibri"/>
          <w:sz w:val="20"/>
        </w:rPr>
      </w:pPr>
    </w:p>
    <w:p>
      <w:pPr>
        <w:pStyle w:val="BodyText"/>
        <w:spacing w:before="2"/>
        <w:rPr>
          <w:rFonts w:ascii="Calibri"/>
          <w:sz w:val="27"/>
        </w:rPr>
      </w:pPr>
    </w:p>
    <w:p>
      <w:pPr>
        <w:tabs>
          <w:tab w:pos="1317" w:val="left" w:leader="none"/>
        </w:tabs>
        <w:spacing w:before="69"/>
        <w:ind w:left="267" w:right="0" w:firstLine="0"/>
        <w:jc w:val="left"/>
        <w:rPr>
          <w:rFonts w:ascii="Calibri" w:hAnsi="Calibri"/>
          <w:sz w:val="16"/>
        </w:rPr>
      </w:pPr>
      <w:r>
        <w:rPr/>
        <w:pict>
          <v:group style="position:absolute;margin-left:98.079102pt;margin-top:-3.308812pt;width:20.4pt;height:43pt;mso-position-horizontal-relative:page;mso-position-vertical-relative:paragraph;z-index:-173176" coordorigin="1962,-66" coordsize="408,860">
            <v:line style="position:absolute" from="2211,73" to="2211,789" stroked="true" strokeweight=".35pt" strokecolor="#231f20"/>
            <v:shape style="position:absolute;left:2179;top:-13;width:190;height:445" type="#_x0000_t75" stroked="false">
              <v:imagedata r:id="rId34" o:title=""/>
            </v:shape>
            <v:shape style="position:absolute;left:1962;top:-66;width:250;height:502" type="#_x0000_t75" stroked="false">
              <v:imagedata r:id="rId35" o:title=""/>
            </v:shape>
            <w10:wrap type="none"/>
          </v:group>
        </w:pict>
      </w:r>
      <w:r>
        <w:rPr>
          <w:rFonts w:ascii="Arial" w:hAnsi="Arial"/>
          <w:color w:val="414042"/>
          <w:position w:val="-4"/>
          <w:sz w:val="20"/>
        </w:rPr>
        <w:t>26</w:t>
        <w:tab/>
      </w:r>
      <w:r>
        <w:rPr>
          <w:rFonts w:ascii="Calibri" w:hAnsi="Calibri"/>
          <w:color w:val="6D6E71"/>
          <w:sz w:val="16"/>
        </w:rPr>
        <w:t>Jorge Olvera</w:t>
      </w:r>
      <w:r>
        <w:rPr>
          <w:rFonts w:ascii="Calibri" w:hAnsi="Calibri"/>
          <w:color w:val="6D6E71"/>
          <w:spacing w:val="14"/>
          <w:sz w:val="16"/>
        </w:rPr>
        <w:t> </w:t>
      </w:r>
      <w:r>
        <w:rPr>
          <w:rFonts w:ascii="Calibri" w:hAnsi="Calibri"/>
          <w:color w:val="6D6E71"/>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8"/>
        <w:ind w:left="907" w:right="0" w:firstLine="0"/>
        <w:jc w:val="left"/>
        <w:rPr>
          <w:rFonts w:ascii="Arial" w:hAnsi="Arial"/>
          <w:sz w:val="20"/>
        </w:rPr>
      </w:pPr>
      <w:r>
        <w:rPr/>
        <w:pict>
          <v:group style="position:absolute;margin-left:383.821014pt;margin-top:-25.476145pt;width:8.65pt;height:41pt;mso-position-horizontal-relative:page;mso-position-vertical-relative:paragraph;z-index:-17312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Calibri" w:hAnsi="Calibri"/>
          <w:color w:val="6D6E71"/>
          <w:w w:val="105"/>
          <w:sz w:val="14"/>
        </w:rPr>
        <w:t>CAMBIO DE PARADIGMA JURÍDICO: EL 11-S Y LA DELINCUENCIA ORGANIZADA</w:t>
      </w:r>
      <w:r>
        <w:rPr>
          <w:rFonts w:ascii="Calibri" w:hAnsi="Calibri"/>
          <w:color w:val="6D6E71"/>
          <w:spacing w:val="11"/>
          <w:w w:val="105"/>
          <w:sz w:val="14"/>
        </w:rPr>
        <w:t> </w:t>
      </w:r>
      <w:r>
        <w:rPr>
          <w:rFonts w:ascii="Calibri" w:hAnsi="Calibri"/>
          <w:color w:val="6D6E71"/>
          <w:w w:val="105"/>
          <w:sz w:val="14"/>
        </w:rPr>
        <w:t>EN</w:t>
      </w:r>
      <w:r>
        <w:rPr>
          <w:rFonts w:ascii="Calibri" w:hAnsi="Calibri"/>
          <w:color w:val="6D6E71"/>
          <w:spacing w:val="1"/>
          <w:w w:val="105"/>
          <w:sz w:val="14"/>
        </w:rPr>
        <w:t> </w:t>
      </w:r>
      <w:r>
        <w:rPr>
          <w:rFonts w:ascii="Calibri" w:hAnsi="Calibri"/>
          <w:color w:val="6D6E71"/>
          <w:w w:val="105"/>
          <w:sz w:val="14"/>
        </w:rPr>
        <w:t>MÉXICO</w:t>
      </w:r>
      <w:r>
        <w:rPr>
          <w:rFonts w:ascii="Arial" w:hAnsi="Arial"/>
          <w:color w:val="414042"/>
          <w:w w:val="105"/>
          <w:position w:val="-3"/>
          <w:sz w:val="20"/>
        </w:rPr>
        <w:tab/>
        <w:t>27</w:t>
      </w:r>
    </w:p>
    <w:p>
      <w:pPr>
        <w:pStyle w:val="BodyText"/>
        <w:rPr>
          <w:rFonts w:ascii="Arial"/>
          <w:sz w:val="20"/>
        </w:rPr>
      </w:pPr>
    </w:p>
    <w:p>
      <w:pPr>
        <w:pStyle w:val="BodyText"/>
        <w:rPr>
          <w:rFonts w:ascii="Arial"/>
          <w:sz w:val="20"/>
        </w:rPr>
      </w:pPr>
    </w:p>
    <w:p>
      <w:pPr>
        <w:pStyle w:val="BodyText"/>
        <w:rPr>
          <w:rFonts w:ascii="Arial"/>
          <w:sz w:val="16"/>
        </w:rPr>
      </w:pPr>
    </w:p>
    <w:p>
      <w:pPr>
        <w:spacing w:line="220" w:lineRule="exact" w:before="0"/>
        <w:ind w:left="1536" w:right="100" w:firstLine="0"/>
        <w:jc w:val="both"/>
        <w:rPr>
          <w:sz w:val="19"/>
        </w:rPr>
      </w:pPr>
      <w:r>
        <w:rPr>
          <w:color w:val="231F20"/>
          <w:w w:val="105"/>
          <w:sz w:val="19"/>
        </w:rPr>
        <w:t>a</w:t>
      </w:r>
      <w:r>
        <w:rPr>
          <w:color w:val="231F20"/>
          <w:spacing w:val="-30"/>
          <w:w w:val="105"/>
          <w:sz w:val="19"/>
        </w:rPr>
        <w:t> </w:t>
      </w:r>
      <w:r>
        <w:rPr>
          <w:color w:val="231F20"/>
          <w:w w:val="105"/>
          <w:sz w:val="19"/>
        </w:rPr>
        <w:t>México</w:t>
      </w:r>
      <w:r>
        <w:rPr>
          <w:color w:val="231F20"/>
          <w:spacing w:val="-30"/>
          <w:w w:val="105"/>
          <w:sz w:val="19"/>
        </w:rPr>
        <w:t> </w:t>
      </w:r>
      <w:r>
        <w:rPr>
          <w:color w:val="231F20"/>
          <w:w w:val="105"/>
          <w:sz w:val="19"/>
        </w:rPr>
        <w:t>los</w:t>
      </w:r>
      <w:r>
        <w:rPr>
          <w:color w:val="231F20"/>
          <w:spacing w:val="-30"/>
          <w:w w:val="105"/>
          <w:sz w:val="19"/>
        </w:rPr>
        <w:t> </w:t>
      </w:r>
      <w:r>
        <w:rPr>
          <w:color w:val="231F20"/>
          <w:w w:val="105"/>
          <w:sz w:val="19"/>
        </w:rPr>
        <w:t>agentes</w:t>
      </w:r>
      <w:r>
        <w:rPr>
          <w:color w:val="231F20"/>
          <w:spacing w:val="-30"/>
          <w:w w:val="105"/>
          <w:sz w:val="19"/>
        </w:rPr>
        <w:t> </w:t>
      </w:r>
      <w:r>
        <w:rPr>
          <w:color w:val="231F20"/>
          <w:w w:val="105"/>
          <w:sz w:val="19"/>
        </w:rPr>
        <w:t>del</w:t>
      </w:r>
      <w:r>
        <w:rPr>
          <w:color w:val="231F20"/>
          <w:spacing w:val="-30"/>
          <w:w w:val="105"/>
          <w:sz w:val="19"/>
        </w:rPr>
        <w:t> </w:t>
      </w:r>
      <w:r>
        <w:rPr>
          <w:color w:val="231F20"/>
          <w:w w:val="105"/>
          <w:sz w:val="16"/>
        </w:rPr>
        <w:t>FBI</w:t>
      </w:r>
      <w:r>
        <w:rPr>
          <w:color w:val="231F20"/>
          <w:spacing w:val="-20"/>
          <w:w w:val="105"/>
          <w:sz w:val="16"/>
        </w:rPr>
        <w:t> </w:t>
      </w:r>
      <w:r>
        <w:rPr>
          <w:color w:val="231F20"/>
          <w:w w:val="105"/>
          <w:sz w:val="19"/>
        </w:rPr>
        <w:t>para</w:t>
      </w:r>
      <w:r>
        <w:rPr>
          <w:color w:val="231F20"/>
          <w:spacing w:val="-30"/>
          <w:w w:val="105"/>
          <w:sz w:val="19"/>
        </w:rPr>
        <w:t> </w:t>
      </w:r>
      <w:r>
        <w:rPr>
          <w:color w:val="231F20"/>
          <w:w w:val="105"/>
          <w:sz w:val="19"/>
        </w:rPr>
        <w:t>dar</w:t>
      </w:r>
      <w:r>
        <w:rPr>
          <w:color w:val="231F20"/>
          <w:spacing w:val="-30"/>
          <w:w w:val="105"/>
          <w:sz w:val="19"/>
        </w:rPr>
        <w:t> </w:t>
      </w:r>
      <w:r>
        <w:rPr>
          <w:color w:val="231F20"/>
          <w:w w:val="105"/>
          <w:sz w:val="19"/>
        </w:rPr>
        <w:t>capacitación</w:t>
      </w:r>
      <w:r>
        <w:rPr>
          <w:color w:val="231F20"/>
          <w:spacing w:val="-30"/>
          <w:w w:val="105"/>
          <w:sz w:val="19"/>
        </w:rPr>
        <w:t> </w:t>
      </w:r>
      <w:r>
        <w:rPr>
          <w:color w:val="231F20"/>
          <w:w w:val="105"/>
          <w:sz w:val="19"/>
        </w:rPr>
        <w:t>en</w:t>
      </w:r>
      <w:r>
        <w:rPr>
          <w:color w:val="231F20"/>
          <w:spacing w:val="-30"/>
          <w:w w:val="105"/>
          <w:sz w:val="19"/>
        </w:rPr>
        <w:t> </w:t>
      </w:r>
      <w:r>
        <w:rPr>
          <w:color w:val="231F20"/>
          <w:w w:val="105"/>
          <w:sz w:val="19"/>
        </w:rPr>
        <w:t>el</w:t>
      </w:r>
      <w:r>
        <w:rPr>
          <w:color w:val="231F20"/>
          <w:spacing w:val="-30"/>
          <w:w w:val="105"/>
          <w:sz w:val="19"/>
        </w:rPr>
        <w:t> </w:t>
      </w:r>
      <w:r>
        <w:rPr>
          <w:color w:val="231F20"/>
          <w:w w:val="105"/>
          <w:sz w:val="19"/>
        </w:rPr>
        <w:t>aeropuer- to</w:t>
      </w:r>
      <w:r>
        <w:rPr>
          <w:color w:val="231F20"/>
          <w:spacing w:val="-20"/>
          <w:w w:val="105"/>
          <w:sz w:val="19"/>
        </w:rPr>
        <w:t> </w:t>
      </w:r>
      <w:r>
        <w:rPr>
          <w:color w:val="231F20"/>
          <w:w w:val="105"/>
          <w:sz w:val="19"/>
        </w:rPr>
        <w:t>internacional</w:t>
      </w:r>
      <w:r>
        <w:rPr>
          <w:color w:val="231F20"/>
          <w:spacing w:val="-20"/>
          <w:w w:val="105"/>
          <w:sz w:val="19"/>
        </w:rPr>
        <w:t> </w:t>
      </w:r>
      <w:r>
        <w:rPr>
          <w:color w:val="231F20"/>
          <w:w w:val="105"/>
          <w:sz w:val="19"/>
        </w:rPr>
        <w:t>de</w:t>
      </w:r>
      <w:r>
        <w:rPr>
          <w:color w:val="231F20"/>
          <w:spacing w:val="-20"/>
          <w:w w:val="105"/>
          <w:sz w:val="19"/>
        </w:rPr>
        <w:t> </w:t>
      </w:r>
      <w:r>
        <w:rPr>
          <w:color w:val="231F20"/>
          <w:w w:val="105"/>
          <w:sz w:val="19"/>
        </w:rPr>
        <w:t>la</w:t>
      </w:r>
      <w:r>
        <w:rPr>
          <w:color w:val="231F20"/>
          <w:spacing w:val="-20"/>
          <w:w w:val="105"/>
          <w:sz w:val="19"/>
        </w:rPr>
        <w:t> </w:t>
      </w:r>
      <w:r>
        <w:rPr>
          <w:color w:val="231F20"/>
          <w:w w:val="105"/>
          <w:sz w:val="19"/>
        </w:rPr>
        <w:t>ciudad</w:t>
      </w:r>
      <w:r>
        <w:rPr>
          <w:color w:val="231F20"/>
          <w:spacing w:val="-20"/>
          <w:w w:val="105"/>
          <w:sz w:val="19"/>
        </w:rPr>
        <w:t> </w:t>
      </w:r>
      <w:r>
        <w:rPr>
          <w:color w:val="231F20"/>
          <w:w w:val="105"/>
          <w:sz w:val="19"/>
        </w:rPr>
        <w:t>de</w:t>
      </w:r>
      <w:r>
        <w:rPr>
          <w:color w:val="231F20"/>
          <w:spacing w:val="-20"/>
          <w:w w:val="105"/>
          <w:sz w:val="19"/>
        </w:rPr>
        <w:t> </w:t>
      </w:r>
      <w:r>
        <w:rPr>
          <w:color w:val="231F20"/>
          <w:w w:val="105"/>
          <w:sz w:val="19"/>
        </w:rPr>
        <w:t>México</w:t>
      </w:r>
      <w:r>
        <w:rPr>
          <w:color w:val="231F20"/>
          <w:w w:val="105"/>
          <w:position w:val="6"/>
          <w:sz w:val="11"/>
        </w:rPr>
        <w:t>15</w:t>
      </w:r>
      <w:r>
        <w:rPr>
          <w:color w:val="231F20"/>
          <w:w w:val="105"/>
          <w:sz w:val="19"/>
        </w:rPr>
        <w:t>.</w:t>
      </w:r>
    </w:p>
    <w:p>
      <w:pPr>
        <w:pStyle w:val="BodyText"/>
        <w:spacing w:before="11"/>
        <w:rPr>
          <w:sz w:val="23"/>
        </w:rPr>
      </w:pPr>
    </w:p>
    <w:p>
      <w:pPr>
        <w:pStyle w:val="BodyText"/>
        <w:spacing w:line="247" w:lineRule="auto"/>
        <w:ind w:left="119" w:right="100"/>
        <w:jc w:val="both"/>
      </w:pPr>
      <w:r>
        <w:rPr>
          <w:color w:val="231F20"/>
          <w:w w:val="105"/>
        </w:rPr>
        <w:t>Aunque</w:t>
      </w:r>
      <w:r>
        <w:rPr>
          <w:color w:val="231F20"/>
          <w:spacing w:val="-26"/>
          <w:w w:val="105"/>
        </w:rPr>
        <w:t> </w:t>
      </w:r>
      <w:r>
        <w:rPr>
          <w:color w:val="231F20"/>
          <w:w w:val="105"/>
        </w:rPr>
        <w:t>la</w:t>
      </w:r>
      <w:r>
        <w:rPr>
          <w:color w:val="231F20"/>
          <w:spacing w:val="-26"/>
          <w:w w:val="105"/>
        </w:rPr>
        <w:t> </w:t>
      </w:r>
      <w:r>
        <w:rPr>
          <w:color w:val="231F20"/>
          <w:w w:val="105"/>
        </w:rPr>
        <w:t>lucha</w:t>
      </w:r>
      <w:r>
        <w:rPr>
          <w:color w:val="231F20"/>
          <w:spacing w:val="-26"/>
          <w:w w:val="105"/>
        </w:rPr>
        <w:t> </w:t>
      </w:r>
      <w:r>
        <w:rPr>
          <w:color w:val="231F20"/>
          <w:w w:val="105"/>
        </w:rPr>
        <w:t>en</w:t>
      </w:r>
      <w:r>
        <w:rPr>
          <w:color w:val="231F20"/>
          <w:spacing w:val="-26"/>
          <w:w w:val="105"/>
        </w:rPr>
        <w:t> </w:t>
      </w:r>
      <w:r>
        <w:rPr>
          <w:color w:val="231F20"/>
          <w:w w:val="105"/>
        </w:rPr>
        <w:t>contra</w:t>
      </w:r>
      <w:r>
        <w:rPr>
          <w:color w:val="231F20"/>
          <w:spacing w:val="-26"/>
          <w:w w:val="105"/>
        </w:rPr>
        <w:t> </w:t>
      </w:r>
      <w:r>
        <w:rPr>
          <w:color w:val="231F20"/>
          <w:w w:val="105"/>
        </w:rPr>
        <w:t>del</w:t>
      </w:r>
      <w:r>
        <w:rPr>
          <w:color w:val="231F20"/>
          <w:spacing w:val="-26"/>
          <w:w w:val="105"/>
        </w:rPr>
        <w:t> </w:t>
      </w:r>
      <w:r>
        <w:rPr>
          <w:color w:val="231F20"/>
          <w:w w:val="105"/>
        </w:rPr>
        <w:t>terrorismo</w:t>
      </w:r>
      <w:r>
        <w:rPr>
          <w:color w:val="231F20"/>
          <w:spacing w:val="-26"/>
          <w:w w:val="105"/>
        </w:rPr>
        <w:t> </w:t>
      </w:r>
      <w:r>
        <w:rPr>
          <w:color w:val="231F20"/>
          <w:w w:val="105"/>
        </w:rPr>
        <w:t>es</w:t>
      </w:r>
      <w:r>
        <w:rPr>
          <w:color w:val="231F20"/>
          <w:spacing w:val="-26"/>
          <w:w w:val="105"/>
        </w:rPr>
        <w:t> </w:t>
      </w:r>
      <w:r>
        <w:rPr>
          <w:color w:val="231F20"/>
          <w:w w:val="105"/>
        </w:rPr>
        <w:t>una</w:t>
      </w:r>
      <w:r>
        <w:rPr>
          <w:color w:val="231F20"/>
          <w:spacing w:val="-26"/>
          <w:w w:val="105"/>
        </w:rPr>
        <w:t> </w:t>
      </w:r>
      <w:r>
        <w:rPr>
          <w:color w:val="231F20"/>
          <w:w w:val="105"/>
        </w:rPr>
        <w:t>tarea</w:t>
      </w:r>
      <w:r>
        <w:rPr>
          <w:color w:val="231F20"/>
          <w:spacing w:val="-26"/>
          <w:w w:val="105"/>
        </w:rPr>
        <w:t> </w:t>
      </w:r>
      <w:r>
        <w:rPr>
          <w:color w:val="231F20"/>
          <w:w w:val="105"/>
        </w:rPr>
        <w:t>prioritaria</w:t>
      </w:r>
      <w:r>
        <w:rPr>
          <w:color w:val="231F20"/>
          <w:spacing w:val="-26"/>
          <w:w w:val="105"/>
        </w:rPr>
        <w:t> </w:t>
      </w:r>
      <w:r>
        <w:rPr>
          <w:color w:val="231F20"/>
          <w:w w:val="105"/>
        </w:rPr>
        <w:t>para</w:t>
      </w:r>
      <w:r>
        <w:rPr>
          <w:color w:val="231F20"/>
          <w:spacing w:val="-26"/>
          <w:w w:val="105"/>
        </w:rPr>
        <w:t> </w:t>
      </w:r>
      <w:r>
        <w:rPr>
          <w:color w:val="231F20"/>
          <w:w w:val="105"/>
        </w:rPr>
        <w:t>am- bas</w:t>
      </w:r>
      <w:r>
        <w:rPr>
          <w:color w:val="231F20"/>
          <w:spacing w:val="-26"/>
          <w:w w:val="105"/>
        </w:rPr>
        <w:t> </w:t>
      </w:r>
      <w:r>
        <w:rPr>
          <w:color w:val="231F20"/>
          <w:w w:val="105"/>
        </w:rPr>
        <w:t>naciones,</w:t>
      </w:r>
      <w:r>
        <w:rPr>
          <w:color w:val="231F20"/>
          <w:spacing w:val="-26"/>
          <w:w w:val="105"/>
        </w:rPr>
        <w:t> </w:t>
      </w:r>
      <w:r>
        <w:rPr>
          <w:color w:val="231F20"/>
          <w:w w:val="105"/>
        </w:rPr>
        <w:t>el</w:t>
      </w:r>
      <w:r>
        <w:rPr>
          <w:color w:val="231F20"/>
          <w:spacing w:val="-26"/>
          <w:w w:val="105"/>
        </w:rPr>
        <w:t> </w:t>
      </w:r>
      <w:r>
        <w:rPr>
          <w:color w:val="231F20"/>
          <w:w w:val="105"/>
        </w:rPr>
        <w:t>tema</w:t>
      </w:r>
      <w:r>
        <w:rPr>
          <w:color w:val="231F20"/>
          <w:spacing w:val="-26"/>
          <w:w w:val="105"/>
        </w:rPr>
        <w:t> </w:t>
      </w:r>
      <w:r>
        <w:rPr>
          <w:color w:val="231F20"/>
          <w:w w:val="105"/>
        </w:rPr>
        <w:t>ha</w:t>
      </w:r>
      <w:r>
        <w:rPr>
          <w:color w:val="231F20"/>
          <w:spacing w:val="-26"/>
          <w:w w:val="105"/>
        </w:rPr>
        <w:t> </w:t>
      </w:r>
      <w:r>
        <w:rPr>
          <w:color w:val="231F20"/>
          <w:w w:val="105"/>
        </w:rPr>
        <w:t>sido</w:t>
      </w:r>
      <w:r>
        <w:rPr>
          <w:color w:val="231F20"/>
          <w:spacing w:val="-26"/>
          <w:w w:val="105"/>
        </w:rPr>
        <w:t> </w:t>
      </w:r>
      <w:r>
        <w:rPr>
          <w:color w:val="231F20"/>
          <w:w w:val="105"/>
        </w:rPr>
        <w:t>opacado</w:t>
      </w:r>
      <w:r>
        <w:rPr>
          <w:color w:val="231F20"/>
          <w:spacing w:val="-26"/>
          <w:w w:val="105"/>
        </w:rPr>
        <w:t> </w:t>
      </w:r>
      <w:r>
        <w:rPr>
          <w:color w:val="231F20"/>
          <w:w w:val="105"/>
        </w:rPr>
        <w:t>por</w:t>
      </w:r>
      <w:r>
        <w:rPr>
          <w:color w:val="231F20"/>
          <w:spacing w:val="-26"/>
          <w:w w:val="105"/>
        </w:rPr>
        <w:t> </w:t>
      </w:r>
      <w:r>
        <w:rPr>
          <w:color w:val="231F20"/>
          <w:w w:val="105"/>
        </w:rPr>
        <w:t>la</w:t>
      </w:r>
      <w:r>
        <w:rPr>
          <w:color w:val="231F20"/>
          <w:spacing w:val="-26"/>
          <w:w w:val="105"/>
        </w:rPr>
        <w:t> </w:t>
      </w:r>
      <w:r>
        <w:rPr>
          <w:color w:val="231F20"/>
          <w:w w:val="105"/>
        </w:rPr>
        <w:t>problemática</w:t>
      </w:r>
      <w:r>
        <w:rPr>
          <w:color w:val="231F20"/>
          <w:spacing w:val="-26"/>
          <w:w w:val="105"/>
        </w:rPr>
        <w:t> </w:t>
      </w:r>
      <w:r>
        <w:rPr>
          <w:color w:val="231F20"/>
          <w:w w:val="105"/>
        </w:rPr>
        <w:t>del</w:t>
      </w:r>
      <w:r>
        <w:rPr>
          <w:color w:val="231F20"/>
          <w:spacing w:val="-26"/>
          <w:w w:val="105"/>
        </w:rPr>
        <w:t> </w:t>
      </w:r>
      <w:r>
        <w:rPr>
          <w:color w:val="231F20"/>
          <w:w w:val="105"/>
        </w:rPr>
        <w:t>trasiego</w:t>
      </w:r>
      <w:r>
        <w:rPr>
          <w:color w:val="231F20"/>
          <w:spacing w:val="-26"/>
          <w:w w:val="105"/>
        </w:rPr>
        <w:t> </w:t>
      </w:r>
      <w:r>
        <w:rPr>
          <w:color w:val="231F20"/>
          <w:w w:val="105"/>
        </w:rPr>
        <w:t>de drogas</w:t>
      </w:r>
      <w:r>
        <w:rPr>
          <w:color w:val="231F20"/>
          <w:spacing w:val="-24"/>
          <w:w w:val="105"/>
        </w:rPr>
        <w:t> </w:t>
      </w:r>
      <w:r>
        <w:rPr>
          <w:color w:val="231F20"/>
          <w:w w:val="105"/>
        </w:rPr>
        <w:t>de</w:t>
      </w:r>
      <w:r>
        <w:rPr>
          <w:color w:val="231F20"/>
          <w:spacing w:val="-24"/>
          <w:w w:val="105"/>
        </w:rPr>
        <w:t> </w:t>
      </w:r>
      <w:r>
        <w:rPr>
          <w:color w:val="231F20"/>
          <w:w w:val="105"/>
        </w:rPr>
        <w:t>México</w:t>
      </w:r>
      <w:r>
        <w:rPr>
          <w:color w:val="231F20"/>
          <w:spacing w:val="-24"/>
          <w:w w:val="105"/>
        </w:rPr>
        <w:t> </w:t>
      </w:r>
      <w:r>
        <w:rPr>
          <w:color w:val="231F20"/>
          <w:w w:val="105"/>
        </w:rPr>
        <w:t>a</w:t>
      </w:r>
      <w:r>
        <w:rPr>
          <w:color w:val="231F20"/>
          <w:spacing w:val="-24"/>
          <w:w w:val="105"/>
        </w:rPr>
        <w:t> </w:t>
      </w:r>
      <w:r>
        <w:rPr>
          <w:color w:val="231F20"/>
          <w:w w:val="105"/>
        </w:rPr>
        <w:t>los</w:t>
      </w:r>
      <w:r>
        <w:rPr>
          <w:color w:val="231F20"/>
          <w:spacing w:val="-24"/>
          <w:w w:val="105"/>
        </w:rPr>
        <w:t> </w:t>
      </w:r>
      <w:r>
        <w:rPr>
          <w:color w:val="231F20"/>
          <w:w w:val="105"/>
        </w:rPr>
        <w:t>Estados</w:t>
      </w:r>
      <w:r>
        <w:rPr>
          <w:color w:val="231F20"/>
          <w:spacing w:val="-24"/>
          <w:w w:val="105"/>
        </w:rPr>
        <w:t> </w:t>
      </w:r>
      <w:r>
        <w:rPr>
          <w:color w:val="231F20"/>
          <w:w w:val="105"/>
        </w:rPr>
        <w:t>Unidos</w:t>
      </w:r>
      <w:r>
        <w:rPr>
          <w:color w:val="231F20"/>
          <w:spacing w:val="-24"/>
          <w:w w:val="105"/>
        </w:rPr>
        <w:t> </w:t>
      </w:r>
      <w:r>
        <w:rPr>
          <w:color w:val="231F20"/>
          <w:w w:val="105"/>
        </w:rPr>
        <w:t>y</w:t>
      </w:r>
      <w:r>
        <w:rPr>
          <w:color w:val="231F20"/>
          <w:spacing w:val="-24"/>
          <w:w w:val="105"/>
        </w:rPr>
        <w:t> </w:t>
      </w:r>
      <w:r>
        <w:rPr>
          <w:color w:val="231F20"/>
          <w:w w:val="105"/>
        </w:rPr>
        <w:t>la</w:t>
      </w:r>
      <w:r>
        <w:rPr>
          <w:color w:val="231F20"/>
          <w:spacing w:val="-24"/>
          <w:w w:val="105"/>
        </w:rPr>
        <w:t> </w:t>
      </w:r>
      <w:r>
        <w:rPr>
          <w:color w:val="231F20"/>
          <w:w w:val="105"/>
        </w:rPr>
        <w:t>delincuencia</w:t>
      </w:r>
      <w:r>
        <w:rPr>
          <w:color w:val="231F20"/>
          <w:spacing w:val="-24"/>
          <w:w w:val="105"/>
        </w:rPr>
        <w:t> </w:t>
      </w:r>
      <w:r>
        <w:rPr>
          <w:color w:val="231F20"/>
          <w:w w:val="105"/>
        </w:rPr>
        <w:t>organizada</w:t>
      </w:r>
      <w:r>
        <w:rPr>
          <w:color w:val="231F20"/>
          <w:spacing w:val="-24"/>
          <w:w w:val="105"/>
        </w:rPr>
        <w:t> </w:t>
      </w:r>
      <w:r>
        <w:rPr>
          <w:color w:val="231F20"/>
          <w:w w:val="105"/>
        </w:rPr>
        <w:t>como principal</w:t>
      </w:r>
      <w:r>
        <w:rPr>
          <w:color w:val="231F20"/>
          <w:spacing w:val="-23"/>
          <w:w w:val="105"/>
        </w:rPr>
        <w:t> </w:t>
      </w:r>
      <w:r>
        <w:rPr>
          <w:color w:val="231F20"/>
          <w:w w:val="105"/>
        </w:rPr>
        <w:t>problema</w:t>
      </w:r>
      <w:r>
        <w:rPr>
          <w:color w:val="231F20"/>
          <w:spacing w:val="-23"/>
          <w:w w:val="105"/>
        </w:rPr>
        <w:t> </w:t>
      </w:r>
      <w:r>
        <w:rPr>
          <w:color w:val="231F20"/>
          <w:w w:val="105"/>
        </w:rPr>
        <w:t>de</w:t>
      </w:r>
      <w:r>
        <w:rPr>
          <w:color w:val="231F20"/>
          <w:spacing w:val="-23"/>
          <w:w w:val="105"/>
        </w:rPr>
        <w:t> </w:t>
      </w:r>
      <w:r>
        <w:rPr>
          <w:color w:val="231F20"/>
          <w:w w:val="105"/>
        </w:rPr>
        <w:t>seguridad</w:t>
      </w:r>
      <w:r>
        <w:rPr>
          <w:color w:val="231F20"/>
          <w:spacing w:val="-23"/>
          <w:w w:val="105"/>
        </w:rPr>
        <w:t> </w:t>
      </w:r>
      <w:r>
        <w:rPr>
          <w:color w:val="231F20"/>
          <w:w w:val="105"/>
        </w:rPr>
        <w:t>nacional.</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plano</w:t>
      </w:r>
      <w:r>
        <w:rPr>
          <w:color w:val="231F20"/>
          <w:spacing w:val="-23"/>
          <w:w w:val="105"/>
        </w:rPr>
        <w:t> </w:t>
      </w:r>
      <w:r>
        <w:rPr>
          <w:color w:val="231F20"/>
          <w:w w:val="105"/>
        </w:rPr>
        <w:t>discursivo,</w:t>
      </w:r>
      <w:r>
        <w:rPr>
          <w:color w:val="231F20"/>
          <w:spacing w:val="-23"/>
          <w:w w:val="105"/>
        </w:rPr>
        <w:t> </w:t>
      </w:r>
      <w:r>
        <w:rPr>
          <w:color w:val="231F20"/>
          <w:w w:val="105"/>
        </w:rPr>
        <w:t>la</w:t>
      </w:r>
      <w:r>
        <w:rPr>
          <w:color w:val="231F20"/>
          <w:spacing w:val="-23"/>
          <w:w w:val="105"/>
        </w:rPr>
        <w:t> </w:t>
      </w:r>
      <w:r>
        <w:rPr>
          <w:color w:val="231F20"/>
          <w:w w:val="105"/>
        </w:rPr>
        <w:t>segu- ridad</w:t>
      </w:r>
      <w:r>
        <w:rPr>
          <w:color w:val="231F20"/>
          <w:spacing w:val="-41"/>
          <w:w w:val="105"/>
        </w:rPr>
        <w:t> </w:t>
      </w:r>
      <w:r>
        <w:rPr>
          <w:color w:val="231F20"/>
          <w:w w:val="105"/>
        </w:rPr>
        <w:t>nacional</w:t>
      </w:r>
      <w:r>
        <w:rPr>
          <w:color w:val="231F20"/>
          <w:spacing w:val="-41"/>
          <w:w w:val="105"/>
        </w:rPr>
        <w:t> </w:t>
      </w:r>
      <w:r>
        <w:rPr>
          <w:color w:val="231F20"/>
          <w:w w:val="105"/>
        </w:rPr>
        <w:t>guarda</w:t>
      </w:r>
      <w:r>
        <w:rPr>
          <w:color w:val="231F20"/>
          <w:spacing w:val="-41"/>
          <w:w w:val="105"/>
        </w:rPr>
        <w:t> </w:t>
      </w:r>
      <w:r>
        <w:rPr>
          <w:color w:val="231F20"/>
          <w:w w:val="105"/>
        </w:rPr>
        <w:t>una</w:t>
      </w:r>
      <w:r>
        <w:rPr>
          <w:color w:val="231F20"/>
          <w:spacing w:val="-41"/>
          <w:w w:val="105"/>
        </w:rPr>
        <w:t> </w:t>
      </w:r>
      <w:r>
        <w:rPr>
          <w:color w:val="231F20"/>
          <w:w w:val="105"/>
        </w:rPr>
        <w:t>relación</w:t>
      </w:r>
      <w:r>
        <w:rPr>
          <w:color w:val="231F20"/>
          <w:spacing w:val="-41"/>
          <w:w w:val="105"/>
        </w:rPr>
        <w:t> </w:t>
      </w:r>
      <w:r>
        <w:rPr>
          <w:color w:val="231F20"/>
          <w:w w:val="105"/>
        </w:rPr>
        <w:t>intrínseca</w:t>
      </w:r>
      <w:r>
        <w:rPr>
          <w:color w:val="231F20"/>
          <w:spacing w:val="-41"/>
          <w:w w:val="105"/>
        </w:rPr>
        <w:t> </w:t>
      </w:r>
      <w:r>
        <w:rPr>
          <w:color w:val="231F20"/>
          <w:w w:val="105"/>
        </w:rPr>
        <w:t>con</w:t>
      </w:r>
      <w:r>
        <w:rPr>
          <w:color w:val="231F20"/>
          <w:spacing w:val="-41"/>
          <w:w w:val="105"/>
        </w:rPr>
        <w:t> </w:t>
      </w:r>
      <w:r>
        <w:rPr>
          <w:color w:val="231F20"/>
          <w:w w:val="105"/>
        </w:rPr>
        <w:t>la</w:t>
      </w:r>
      <w:r>
        <w:rPr>
          <w:color w:val="231F20"/>
          <w:spacing w:val="-41"/>
          <w:w w:val="105"/>
        </w:rPr>
        <w:t> </w:t>
      </w:r>
      <w:r>
        <w:rPr>
          <w:color w:val="231F20"/>
          <w:w w:val="105"/>
        </w:rPr>
        <w:t>soberanía</w:t>
      </w:r>
      <w:r>
        <w:rPr>
          <w:color w:val="231F20"/>
          <w:spacing w:val="-41"/>
          <w:w w:val="105"/>
        </w:rPr>
        <w:t> </w:t>
      </w:r>
      <w:r>
        <w:rPr>
          <w:color w:val="231F20"/>
          <w:w w:val="105"/>
        </w:rPr>
        <w:t>nacional.</w:t>
      </w:r>
      <w:r>
        <w:rPr>
          <w:color w:val="231F20"/>
          <w:spacing w:val="-41"/>
          <w:w w:val="105"/>
        </w:rPr>
        <w:t> </w:t>
      </w:r>
      <w:r>
        <w:rPr>
          <w:color w:val="231F20"/>
          <w:w w:val="105"/>
        </w:rPr>
        <w:t>Sin embargo,</w:t>
      </w:r>
      <w:r>
        <w:rPr>
          <w:color w:val="231F20"/>
          <w:spacing w:val="-21"/>
          <w:w w:val="105"/>
        </w:rPr>
        <w:t> </w:t>
      </w:r>
      <w:r>
        <w:rPr>
          <w:color w:val="231F20"/>
          <w:w w:val="105"/>
        </w:rPr>
        <w:t>en</w:t>
      </w:r>
      <w:r>
        <w:rPr>
          <w:color w:val="231F20"/>
          <w:spacing w:val="-21"/>
          <w:w w:val="105"/>
        </w:rPr>
        <w:t> </w:t>
      </w:r>
      <w:r>
        <w:rPr>
          <w:color w:val="231F20"/>
          <w:w w:val="105"/>
        </w:rPr>
        <w:t>México</w:t>
      </w:r>
      <w:r>
        <w:rPr>
          <w:color w:val="231F20"/>
          <w:spacing w:val="-21"/>
          <w:w w:val="105"/>
        </w:rPr>
        <w:t> </w:t>
      </w:r>
      <w:r>
        <w:rPr>
          <w:color w:val="231F20"/>
          <w:w w:val="105"/>
        </w:rPr>
        <w:t>tal</w:t>
      </w:r>
      <w:r>
        <w:rPr>
          <w:color w:val="231F20"/>
          <w:spacing w:val="-21"/>
          <w:w w:val="105"/>
        </w:rPr>
        <w:t> </w:t>
      </w:r>
      <w:r>
        <w:rPr>
          <w:color w:val="231F20"/>
          <w:w w:val="105"/>
        </w:rPr>
        <w:t>problema</w:t>
      </w:r>
      <w:r>
        <w:rPr>
          <w:color w:val="231F20"/>
          <w:spacing w:val="-21"/>
          <w:w w:val="105"/>
        </w:rPr>
        <w:t> </w:t>
      </w:r>
      <w:r>
        <w:rPr>
          <w:color w:val="231F20"/>
          <w:w w:val="105"/>
        </w:rPr>
        <w:t>se</w:t>
      </w:r>
      <w:r>
        <w:rPr>
          <w:color w:val="231F20"/>
          <w:spacing w:val="-21"/>
          <w:w w:val="105"/>
        </w:rPr>
        <w:t> </w:t>
      </w:r>
      <w:r>
        <w:rPr>
          <w:color w:val="231F20"/>
          <w:w w:val="105"/>
        </w:rPr>
        <w:t>torna</w:t>
      </w:r>
      <w:r>
        <w:rPr>
          <w:color w:val="231F20"/>
          <w:spacing w:val="-21"/>
          <w:w w:val="105"/>
        </w:rPr>
        <w:t> </w:t>
      </w:r>
      <w:r>
        <w:rPr>
          <w:color w:val="231F20"/>
          <w:w w:val="105"/>
        </w:rPr>
        <w:t>mucho</w:t>
      </w:r>
      <w:r>
        <w:rPr>
          <w:color w:val="231F20"/>
          <w:spacing w:val="-21"/>
          <w:w w:val="105"/>
        </w:rPr>
        <w:t> </w:t>
      </w:r>
      <w:r>
        <w:rPr>
          <w:color w:val="231F20"/>
          <w:w w:val="105"/>
        </w:rPr>
        <w:t>más</w:t>
      </w:r>
      <w:r>
        <w:rPr>
          <w:color w:val="231F20"/>
          <w:spacing w:val="-21"/>
          <w:w w:val="105"/>
        </w:rPr>
        <w:t> </w:t>
      </w:r>
      <w:r>
        <w:rPr>
          <w:color w:val="231F20"/>
          <w:w w:val="105"/>
        </w:rPr>
        <w:t>complejo,</w:t>
      </w:r>
      <w:r>
        <w:rPr>
          <w:color w:val="231F20"/>
          <w:spacing w:val="-21"/>
          <w:w w:val="105"/>
        </w:rPr>
        <w:t> </w:t>
      </w:r>
      <w:r>
        <w:rPr>
          <w:color w:val="231F20"/>
          <w:w w:val="105"/>
        </w:rPr>
        <w:t>pues</w:t>
      </w:r>
      <w:r>
        <w:rPr>
          <w:color w:val="231F20"/>
          <w:spacing w:val="-21"/>
          <w:w w:val="105"/>
        </w:rPr>
        <w:t> </w:t>
      </w:r>
      <w:r>
        <w:rPr>
          <w:color w:val="231F20"/>
          <w:w w:val="105"/>
        </w:rPr>
        <w:t>es inseparable</w:t>
      </w:r>
      <w:r>
        <w:rPr>
          <w:color w:val="231F20"/>
          <w:spacing w:val="-25"/>
          <w:w w:val="105"/>
        </w:rPr>
        <w:t> </w:t>
      </w:r>
      <w:r>
        <w:rPr>
          <w:color w:val="231F20"/>
          <w:w w:val="105"/>
        </w:rPr>
        <w:t>de</w:t>
      </w:r>
      <w:r>
        <w:rPr>
          <w:color w:val="231F20"/>
          <w:spacing w:val="-25"/>
          <w:w w:val="105"/>
        </w:rPr>
        <w:t> </w:t>
      </w:r>
      <w:r>
        <w:rPr>
          <w:color w:val="231F20"/>
          <w:w w:val="105"/>
        </w:rPr>
        <w:t>otras</w:t>
      </w:r>
      <w:r>
        <w:rPr>
          <w:color w:val="231F20"/>
          <w:spacing w:val="-25"/>
          <w:w w:val="105"/>
        </w:rPr>
        <w:t> </w:t>
      </w:r>
      <w:r>
        <w:rPr>
          <w:color w:val="231F20"/>
          <w:w w:val="105"/>
        </w:rPr>
        <w:t>dificultades</w:t>
      </w:r>
      <w:r>
        <w:rPr>
          <w:color w:val="231F20"/>
          <w:spacing w:val="-25"/>
          <w:w w:val="105"/>
        </w:rPr>
        <w:t> </w:t>
      </w:r>
      <w:r>
        <w:rPr>
          <w:color w:val="231F20"/>
          <w:w w:val="105"/>
        </w:rPr>
        <w:t>como</w:t>
      </w:r>
      <w:r>
        <w:rPr>
          <w:color w:val="231F20"/>
          <w:spacing w:val="-25"/>
          <w:w w:val="105"/>
        </w:rPr>
        <w:t> </w:t>
      </w:r>
      <w:r>
        <w:rPr>
          <w:color w:val="231F20"/>
          <w:w w:val="105"/>
        </w:rPr>
        <w:t>el</w:t>
      </w:r>
      <w:r>
        <w:rPr>
          <w:color w:val="231F20"/>
          <w:spacing w:val="-25"/>
          <w:w w:val="105"/>
        </w:rPr>
        <w:t> </w:t>
      </w:r>
      <w:r>
        <w:rPr>
          <w:color w:val="231F20"/>
          <w:w w:val="105"/>
        </w:rPr>
        <w:t>subdesarrollo</w:t>
      </w:r>
      <w:r>
        <w:rPr>
          <w:color w:val="231F20"/>
          <w:spacing w:val="-25"/>
          <w:w w:val="105"/>
        </w:rPr>
        <w:t> </w:t>
      </w:r>
      <w:r>
        <w:rPr>
          <w:color w:val="231F20"/>
          <w:w w:val="105"/>
        </w:rPr>
        <w:t>económico,</w:t>
      </w:r>
      <w:r>
        <w:rPr>
          <w:color w:val="231F20"/>
          <w:spacing w:val="-25"/>
          <w:w w:val="105"/>
        </w:rPr>
        <w:t> </w:t>
      </w:r>
      <w:r>
        <w:rPr>
          <w:color w:val="231F20"/>
          <w:w w:val="105"/>
        </w:rPr>
        <w:t>social y</w:t>
      </w:r>
      <w:r>
        <w:rPr>
          <w:color w:val="231F20"/>
          <w:spacing w:val="-20"/>
          <w:w w:val="105"/>
        </w:rPr>
        <w:t> </w:t>
      </w:r>
      <w:r>
        <w:rPr>
          <w:color w:val="231F20"/>
          <w:w w:val="105"/>
        </w:rPr>
        <w:t>político,</w:t>
      </w:r>
      <w:r>
        <w:rPr>
          <w:color w:val="231F20"/>
          <w:spacing w:val="-20"/>
          <w:w w:val="105"/>
        </w:rPr>
        <w:t> </w:t>
      </w:r>
      <w:r>
        <w:rPr>
          <w:color w:val="231F20"/>
          <w:w w:val="105"/>
        </w:rPr>
        <w:t>la</w:t>
      </w:r>
      <w:r>
        <w:rPr>
          <w:color w:val="231F20"/>
          <w:spacing w:val="-20"/>
          <w:w w:val="105"/>
        </w:rPr>
        <w:t> </w:t>
      </w:r>
      <w:r>
        <w:rPr>
          <w:color w:val="231F20"/>
          <w:w w:val="105"/>
        </w:rPr>
        <w:t>pobreza,</w:t>
      </w:r>
      <w:r>
        <w:rPr>
          <w:color w:val="231F20"/>
          <w:spacing w:val="-20"/>
          <w:w w:val="105"/>
        </w:rPr>
        <w:t> </w:t>
      </w:r>
      <w:r>
        <w:rPr>
          <w:color w:val="231F20"/>
          <w:w w:val="105"/>
        </w:rPr>
        <w:t>la</w:t>
      </w:r>
      <w:r>
        <w:rPr>
          <w:color w:val="231F20"/>
          <w:spacing w:val="-20"/>
          <w:w w:val="105"/>
        </w:rPr>
        <w:t> </w:t>
      </w:r>
      <w:r>
        <w:rPr>
          <w:color w:val="231F20"/>
          <w:w w:val="105"/>
        </w:rPr>
        <w:t>desigualdad,</w:t>
      </w:r>
      <w:r>
        <w:rPr>
          <w:color w:val="231F20"/>
          <w:spacing w:val="-20"/>
          <w:w w:val="105"/>
        </w:rPr>
        <w:t> </w:t>
      </w:r>
      <w:r>
        <w:rPr>
          <w:color w:val="231F20"/>
          <w:w w:val="105"/>
        </w:rPr>
        <w:t>la</w:t>
      </w:r>
      <w:r>
        <w:rPr>
          <w:color w:val="231F20"/>
          <w:spacing w:val="-20"/>
          <w:w w:val="105"/>
        </w:rPr>
        <w:t> </w:t>
      </w:r>
      <w:r>
        <w:rPr>
          <w:color w:val="231F20"/>
          <w:w w:val="105"/>
        </w:rPr>
        <w:t>larga</w:t>
      </w:r>
      <w:r>
        <w:rPr>
          <w:color w:val="231F20"/>
          <w:spacing w:val="-20"/>
          <w:w w:val="105"/>
        </w:rPr>
        <w:t> </w:t>
      </w:r>
      <w:r>
        <w:rPr>
          <w:color w:val="231F20"/>
          <w:w w:val="105"/>
        </w:rPr>
        <w:t>estadía</w:t>
      </w:r>
      <w:r>
        <w:rPr>
          <w:color w:val="231F20"/>
          <w:spacing w:val="-20"/>
          <w:w w:val="105"/>
        </w:rPr>
        <w:t> </w:t>
      </w:r>
      <w:r>
        <w:rPr>
          <w:color w:val="231F20"/>
          <w:w w:val="105"/>
        </w:rPr>
        <w:t>de</w:t>
      </w:r>
      <w:r>
        <w:rPr>
          <w:color w:val="231F20"/>
          <w:spacing w:val="-20"/>
          <w:w w:val="105"/>
        </w:rPr>
        <w:t> </w:t>
      </w:r>
      <w:r>
        <w:rPr>
          <w:color w:val="231F20"/>
          <w:w w:val="105"/>
        </w:rPr>
        <w:t>un</w:t>
      </w:r>
      <w:r>
        <w:rPr>
          <w:color w:val="231F20"/>
          <w:spacing w:val="-20"/>
          <w:w w:val="105"/>
        </w:rPr>
        <w:t> </w:t>
      </w:r>
      <w:r>
        <w:rPr>
          <w:color w:val="231F20"/>
          <w:w w:val="105"/>
        </w:rPr>
        <w:t>partido</w:t>
      </w:r>
      <w:r>
        <w:rPr>
          <w:color w:val="231F20"/>
          <w:spacing w:val="-20"/>
          <w:w w:val="105"/>
        </w:rPr>
        <w:t> </w:t>
      </w:r>
      <w:r>
        <w:rPr>
          <w:color w:val="231F20"/>
          <w:w w:val="105"/>
        </w:rPr>
        <w:t>hege- mónico,</w:t>
      </w:r>
      <w:r>
        <w:rPr>
          <w:color w:val="231F20"/>
          <w:spacing w:val="-22"/>
          <w:w w:val="105"/>
        </w:rPr>
        <w:t> </w:t>
      </w:r>
      <w:r>
        <w:rPr>
          <w:color w:val="231F20"/>
          <w:w w:val="105"/>
        </w:rPr>
        <w:t>la</w:t>
      </w:r>
      <w:r>
        <w:rPr>
          <w:color w:val="231F20"/>
          <w:spacing w:val="-22"/>
          <w:w w:val="105"/>
        </w:rPr>
        <w:t> </w:t>
      </w:r>
      <w:r>
        <w:rPr>
          <w:color w:val="231F20"/>
          <w:w w:val="105"/>
        </w:rPr>
        <w:t>ausencia</w:t>
      </w:r>
      <w:r>
        <w:rPr>
          <w:color w:val="231F20"/>
          <w:spacing w:val="-22"/>
          <w:w w:val="105"/>
        </w:rPr>
        <w:t> </w:t>
      </w:r>
      <w:r>
        <w:rPr>
          <w:color w:val="231F20"/>
          <w:w w:val="105"/>
        </w:rPr>
        <w:t>de</w:t>
      </w:r>
      <w:r>
        <w:rPr>
          <w:color w:val="231F20"/>
          <w:spacing w:val="-22"/>
          <w:w w:val="105"/>
        </w:rPr>
        <w:t> </w:t>
      </w:r>
      <w:r>
        <w:rPr>
          <w:color w:val="231F20"/>
          <w:w w:val="105"/>
        </w:rPr>
        <w:t>una</w:t>
      </w:r>
      <w:r>
        <w:rPr>
          <w:color w:val="231F20"/>
          <w:spacing w:val="-22"/>
          <w:w w:val="105"/>
        </w:rPr>
        <w:t> </w:t>
      </w:r>
      <w:r>
        <w:rPr>
          <w:color w:val="231F20"/>
          <w:w w:val="105"/>
        </w:rPr>
        <w:t>verdadera</w:t>
      </w:r>
      <w:r>
        <w:rPr>
          <w:color w:val="231F20"/>
          <w:spacing w:val="-22"/>
          <w:w w:val="105"/>
        </w:rPr>
        <w:t> </w:t>
      </w:r>
      <w:r>
        <w:rPr>
          <w:color w:val="231F20"/>
          <w:w w:val="105"/>
        </w:rPr>
        <w:t>vida</w:t>
      </w:r>
      <w:r>
        <w:rPr>
          <w:color w:val="231F20"/>
          <w:spacing w:val="-22"/>
          <w:w w:val="105"/>
        </w:rPr>
        <w:t> </w:t>
      </w:r>
      <w:r>
        <w:rPr>
          <w:color w:val="231F20"/>
          <w:w w:val="105"/>
        </w:rPr>
        <w:t>democrática</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w w:val="105"/>
        </w:rPr>
        <w:t>existencia</w:t>
      </w:r>
      <w:r>
        <w:rPr>
          <w:color w:val="231F20"/>
          <w:spacing w:val="-22"/>
          <w:w w:val="105"/>
        </w:rPr>
        <w:t> </w:t>
      </w:r>
      <w:r>
        <w:rPr>
          <w:color w:val="231F20"/>
          <w:w w:val="105"/>
        </w:rPr>
        <w:t>de poderes</w:t>
      </w:r>
      <w:r>
        <w:rPr>
          <w:color w:val="231F20"/>
          <w:spacing w:val="-33"/>
          <w:w w:val="105"/>
        </w:rPr>
        <w:t> </w:t>
      </w:r>
      <w:r>
        <w:rPr>
          <w:color w:val="231F20"/>
          <w:w w:val="105"/>
        </w:rPr>
        <w:t>fácticos</w:t>
      </w:r>
      <w:r>
        <w:rPr>
          <w:color w:val="231F20"/>
          <w:spacing w:val="-33"/>
          <w:w w:val="105"/>
        </w:rPr>
        <w:t> </w:t>
      </w:r>
      <w:r>
        <w:rPr>
          <w:color w:val="231F20"/>
          <w:w w:val="105"/>
        </w:rPr>
        <w:t>generadores</w:t>
      </w:r>
      <w:r>
        <w:rPr>
          <w:color w:val="231F20"/>
          <w:spacing w:val="-33"/>
          <w:w w:val="105"/>
        </w:rPr>
        <w:t> </w:t>
      </w:r>
      <w:r>
        <w:rPr>
          <w:color w:val="231F20"/>
          <w:w w:val="105"/>
        </w:rPr>
        <w:t>de</w:t>
      </w:r>
      <w:r>
        <w:rPr>
          <w:color w:val="231F20"/>
          <w:spacing w:val="-33"/>
          <w:w w:val="105"/>
        </w:rPr>
        <w:t> </w:t>
      </w:r>
      <w:r>
        <w:rPr>
          <w:color w:val="231F20"/>
          <w:w w:val="105"/>
        </w:rPr>
        <w:t>inestabilidad.</w:t>
      </w:r>
    </w:p>
    <w:p>
      <w:pPr>
        <w:pStyle w:val="BodyText"/>
        <w:spacing w:line="247" w:lineRule="auto"/>
        <w:ind w:left="119" w:right="100" w:firstLine="566"/>
        <w:jc w:val="both"/>
      </w:pPr>
      <w:r>
        <w:rPr>
          <w:color w:val="231F20"/>
        </w:rPr>
        <w:t>La transición política en México es un proceso incompleto e insosla- yable, bloqueado por diversos “poderes fácticos”: organizaciones sindica- les corporativas que desarrolló el viejo régimen, caciques rurales que han sobrevivido al vendaval neoliberal, organizaciones clientelares urbanas, redes de intereses creados en el sistema de justicia (Poder Judicial) y en los partidos políticos, poderes fácticos económicos que favorecen a unos cuantos y, por último, el crimen organizado.</w:t>
      </w:r>
    </w:p>
    <w:p>
      <w:pPr>
        <w:pStyle w:val="BodyText"/>
        <w:spacing w:before="10"/>
        <w:rPr>
          <w:sz w:val="22"/>
        </w:rPr>
      </w:pPr>
    </w:p>
    <w:p>
      <w:pPr>
        <w:spacing w:line="220" w:lineRule="exact" w:before="1"/>
        <w:ind w:left="1536" w:right="100" w:firstLine="0"/>
        <w:jc w:val="both"/>
        <w:rPr>
          <w:sz w:val="19"/>
        </w:rPr>
      </w:pPr>
      <w:r>
        <w:rPr>
          <w:color w:val="231F20"/>
          <w:sz w:val="19"/>
        </w:rPr>
        <w:t>Los poderes fácticos ilegales se expresan hoy día principalmente en la capacidad del narcotráfico para controlar territorios, diversi- ficar</w:t>
      </w:r>
      <w:r>
        <w:rPr>
          <w:color w:val="231F20"/>
          <w:spacing w:val="-13"/>
          <w:sz w:val="19"/>
        </w:rPr>
        <w:t> </w:t>
      </w:r>
      <w:r>
        <w:rPr>
          <w:color w:val="231F20"/>
          <w:sz w:val="19"/>
        </w:rPr>
        <w:t>sus</w:t>
      </w:r>
      <w:r>
        <w:rPr>
          <w:color w:val="231F20"/>
          <w:spacing w:val="-13"/>
          <w:sz w:val="19"/>
        </w:rPr>
        <w:t> </w:t>
      </w:r>
      <w:r>
        <w:rPr>
          <w:color w:val="231F20"/>
          <w:sz w:val="19"/>
        </w:rPr>
        <w:t>negocios</w:t>
      </w:r>
      <w:r>
        <w:rPr>
          <w:color w:val="231F20"/>
          <w:spacing w:val="-13"/>
          <w:sz w:val="19"/>
        </w:rPr>
        <w:t> </w:t>
      </w:r>
      <w:r>
        <w:rPr>
          <w:color w:val="231F20"/>
          <w:sz w:val="19"/>
        </w:rPr>
        <w:t>a</w:t>
      </w:r>
      <w:r>
        <w:rPr>
          <w:color w:val="231F20"/>
          <w:spacing w:val="-13"/>
          <w:sz w:val="19"/>
        </w:rPr>
        <w:t> </w:t>
      </w:r>
      <w:r>
        <w:rPr>
          <w:color w:val="231F20"/>
          <w:sz w:val="19"/>
        </w:rPr>
        <w:t>la</w:t>
      </w:r>
      <w:r>
        <w:rPr>
          <w:color w:val="231F20"/>
          <w:spacing w:val="-13"/>
          <w:sz w:val="19"/>
        </w:rPr>
        <w:t> </w:t>
      </w:r>
      <w:r>
        <w:rPr>
          <w:color w:val="231F20"/>
          <w:sz w:val="19"/>
        </w:rPr>
        <w:t>trata</w:t>
      </w:r>
      <w:r>
        <w:rPr>
          <w:color w:val="231F20"/>
          <w:spacing w:val="-13"/>
          <w:sz w:val="19"/>
        </w:rPr>
        <w:t> </w:t>
      </w:r>
      <w:r>
        <w:rPr>
          <w:color w:val="231F20"/>
          <w:sz w:val="19"/>
        </w:rPr>
        <w:t>de</w:t>
      </w:r>
      <w:r>
        <w:rPr>
          <w:color w:val="231F20"/>
          <w:spacing w:val="-13"/>
          <w:sz w:val="19"/>
        </w:rPr>
        <w:t> </w:t>
      </w:r>
      <w:r>
        <w:rPr>
          <w:color w:val="231F20"/>
          <w:sz w:val="19"/>
        </w:rPr>
        <w:t>personas</w:t>
      </w:r>
      <w:r>
        <w:rPr>
          <w:color w:val="231F20"/>
          <w:spacing w:val="-13"/>
          <w:sz w:val="19"/>
        </w:rPr>
        <w:t> </w:t>
      </w:r>
      <w:r>
        <w:rPr>
          <w:color w:val="231F20"/>
          <w:sz w:val="19"/>
        </w:rPr>
        <w:t>(ante</w:t>
      </w:r>
      <w:r>
        <w:rPr>
          <w:color w:val="231F20"/>
          <w:spacing w:val="-13"/>
          <w:sz w:val="19"/>
        </w:rPr>
        <w:t> </w:t>
      </w:r>
      <w:r>
        <w:rPr>
          <w:color w:val="231F20"/>
          <w:sz w:val="19"/>
        </w:rPr>
        <w:t>todo</w:t>
      </w:r>
      <w:r>
        <w:rPr>
          <w:color w:val="231F20"/>
          <w:spacing w:val="-13"/>
          <w:sz w:val="19"/>
        </w:rPr>
        <w:t> </w:t>
      </w:r>
      <w:r>
        <w:rPr>
          <w:color w:val="231F20"/>
          <w:sz w:val="19"/>
        </w:rPr>
        <w:t>el</w:t>
      </w:r>
      <w:r>
        <w:rPr>
          <w:color w:val="231F20"/>
          <w:spacing w:val="-13"/>
          <w:sz w:val="19"/>
        </w:rPr>
        <w:t> </w:t>
      </w:r>
      <w:r>
        <w:rPr>
          <w:color w:val="231F20"/>
          <w:sz w:val="19"/>
        </w:rPr>
        <w:t>tráfico</w:t>
      </w:r>
      <w:r>
        <w:rPr>
          <w:color w:val="231F20"/>
          <w:spacing w:val="-13"/>
          <w:sz w:val="19"/>
        </w:rPr>
        <w:t> </w:t>
      </w:r>
      <w:r>
        <w:rPr>
          <w:color w:val="231F20"/>
          <w:sz w:val="19"/>
        </w:rPr>
        <w:t>de</w:t>
      </w:r>
      <w:r>
        <w:rPr>
          <w:color w:val="231F20"/>
          <w:spacing w:val="-13"/>
          <w:sz w:val="19"/>
        </w:rPr>
        <w:t> </w:t>
      </w:r>
      <w:r>
        <w:rPr>
          <w:color w:val="231F20"/>
          <w:sz w:val="19"/>
        </w:rPr>
        <w:t>in- documentados) y el control del contrabando al menudeo, y</w:t>
      </w:r>
      <w:r>
        <w:rPr>
          <w:color w:val="231F20"/>
          <w:spacing w:val="-35"/>
          <w:sz w:val="19"/>
        </w:rPr>
        <w:t> </w:t>
      </w:r>
      <w:r>
        <w:rPr>
          <w:color w:val="231F20"/>
          <w:sz w:val="19"/>
        </w:rPr>
        <w:t>dispu- tar el monopolio de la violencia al Estado mexicano. Es imposible determinar el poderío económico de la delincuencia organizada, pero se dice que ingresa al país un monto de divisas superior al producido por el turismo y apenas menor a los ingresos deriva- dos de las remesas de los mexicanos en el extranjero o las</w:t>
      </w:r>
      <w:r>
        <w:rPr>
          <w:color w:val="231F20"/>
          <w:spacing w:val="-36"/>
          <w:sz w:val="19"/>
        </w:rPr>
        <w:t> </w:t>
      </w:r>
      <w:r>
        <w:rPr>
          <w:color w:val="231F20"/>
          <w:sz w:val="19"/>
        </w:rPr>
        <w:t>prove- nientes de la explotación petrolera (ambas en el rango de los 25 mil millones de dólares anuales). La importancia económica del narcotráfico hoy en México es extraordinaria, pues explica mucho del funcionamiento del mercado inmobiliario en varias ciudades del norte y de las costas de México, así como la existencia de</w:t>
      </w:r>
      <w:r>
        <w:rPr>
          <w:color w:val="231F20"/>
          <w:spacing w:val="-19"/>
          <w:sz w:val="19"/>
        </w:rPr>
        <w:t> </w:t>
      </w:r>
      <w:r>
        <w:rPr>
          <w:color w:val="231F20"/>
          <w:sz w:val="19"/>
        </w:rPr>
        <w:t>una fuente de empleo ilegal para miles de</w:t>
      </w:r>
      <w:r>
        <w:rPr>
          <w:color w:val="231F20"/>
          <w:spacing w:val="38"/>
          <w:sz w:val="19"/>
        </w:rPr>
        <w:t> </w:t>
      </w:r>
      <w:r>
        <w:rPr>
          <w:color w:val="231F20"/>
          <w:sz w:val="19"/>
        </w:rPr>
        <w:t>personas</w:t>
      </w:r>
      <w:r>
        <w:rPr>
          <w:color w:val="231F20"/>
          <w:position w:val="6"/>
          <w:sz w:val="11"/>
        </w:rPr>
        <w:t>16</w:t>
      </w:r>
      <w:r>
        <w:rPr>
          <w:color w:val="231F20"/>
          <w:sz w:val="19"/>
        </w:rPr>
        <w:t>.</w:t>
      </w:r>
    </w:p>
    <w:p>
      <w:pPr>
        <w:pStyle w:val="BodyText"/>
        <w:spacing w:before="11"/>
        <w:rPr>
          <w:sz w:val="23"/>
        </w:rPr>
      </w:pPr>
    </w:p>
    <w:p>
      <w:pPr>
        <w:pStyle w:val="BodyText"/>
        <w:spacing w:line="247" w:lineRule="auto"/>
        <w:ind w:left="119" w:right="100"/>
        <w:jc w:val="both"/>
      </w:pPr>
      <w:r>
        <w:rPr>
          <w:color w:val="231F20"/>
          <w:w w:val="105"/>
        </w:rPr>
        <w:t>La</w:t>
      </w:r>
      <w:r>
        <w:rPr>
          <w:color w:val="231F20"/>
          <w:spacing w:val="-30"/>
          <w:w w:val="105"/>
        </w:rPr>
        <w:t> </w:t>
      </w:r>
      <w:r>
        <w:rPr>
          <w:color w:val="231F20"/>
          <w:w w:val="105"/>
        </w:rPr>
        <w:t>lucha</w:t>
      </w:r>
      <w:r>
        <w:rPr>
          <w:color w:val="231F20"/>
          <w:spacing w:val="-30"/>
          <w:w w:val="105"/>
        </w:rPr>
        <w:t> </w:t>
      </w:r>
      <w:r>
        <w:rPr>
          <w:color w:val="231F20"/>
          <w:w w:val="105"/>
        </w:rPr>
        <w:t>en</w:t>
      </w:r>
      <w:r>
        <w:rPr>
          <w:color w:val="231F20"/>
          <w:spacing w:val="-30"/>
          <w:w w:val="105"/>
        </w:rPr>
        <w:t> </w:t>
      </w:r>
      <w:r>
        <w:rPr>
          <w:color w:val="231F20"/>
          <w:w w:val="105"/>
        </w:rPr>
        <w:t>contra</w:t>
      </w:r>
      <w:r>
        <w:rPr>
          <w:color w:val="231F20"/>
          <w:spacing w:val="-30"/>
          <w:w w:val="105"/>
        </w:rPr>
        <w:t> </w:t>
      </w:r>
      <w:r>
        <w:rPr>
          <w:color w:val="231F20"/>
          <w:w w:val="105"/>
        </w:rPr>
        <w:t>del</w:t>
      </w:r>
      <w:r>
        <w:rPr>
          <w:color w:val="231F20"/>
          <w:spacing w:val="-30"/>
          <w:w w:val="105"/>
        </w:rPr>
        <w:t> </w:t>
      </w:r>
      <w:r>
        <w:rPr>
          <w:color w:val="231F20"/>
          <w:w w:val="105"/>
        </w:rPr>
        <w:t>narcotráfico</w:t>
      </w:r>
      <w:r>
        <w:rPr>
          <w:color w:val="231F20"/>
          <w:spacing w:val="-30"/>
          <w:w w:val="105"/>
        </w:rPr>
        <w:t> </w:t>
      </w:r>
      <w:r>
        <w:rPr>
          <w:color w:val="231F20"/>
          <w:w w:val="105"/>
        </w:rPr>
        <w:t>y</w:t>
      </w:r>
      <w:r>
        <w:rPr>
          <w:color w:val="231F20"/>
          <w:spacing w:val="-30"/>
          <w:w w:val="105"/>
        </w:rPr>
        <w:t> </w:t>
      </w:r>
      <w:r>
        <w:rPr>
          <w:color w:val="231F20"/>
          <w:w w:val="105"/>
        </w:rPr>
        <w:t>la</w:t>
      </w:r>
      <w:r>
        <w:rPr>
          <w:color w:val="231F20"/>
          <w:spacing w:val="-30"/>
          <w:w w:val="105"/>
        </w:rPr>
        <w:t> </w:t>
      </w:r>
      <w:r>
        <w:rPr>
          <w:color w:val="231F20"/>
          <w:w w:val="105"/>
        </w:rPr>
        <w:t>delincuencia</w:t>
      </w:r>
      <w:r>
        <w:rPr>
          <w:color w:val="231F20"/>
          <w:spacing w:val="-30"/>
          <w:w w:val="105"/>
        </w:rPr>
        <w:t> </w:t>
      </w:r>
      <w:r>
        <w:rPr>
          <w:color w:val="231F20"/>
          <w:w w:val="105"/>
        </w:rPr>
        <w:t>organizada</w:t>
      </w:r>
      <w:r>
        <w:rPr>
          <w:color w:val="231F20"/>
          <w:spacing w:val="-30"/>
          <w:w w:val="105"/>
        </w:rPr>
        <w:t> </w:t>
      </w:r>
      <w:r>
        <w:rPr>
          <w:color w:val="231F20"/>
          <w:w w:val="105"/>
        </w:rPr>
        <w:t>se</w:t>
      </w:r>
      <w:r>
        <w:rPr>
          <w:color w:val="231F20"/>
          <w:spacing w:val="-30"/>
          <w:w w:val="105"/>
        </w:rPr>
        <w:t> </w:t>
      </w:r>
      <w:r>
        <w:rPr>
          <w:color w:val="231F20"/>
          <w:w w:val="105"/>
        </w:rPr>
        <w:t>ha</w:t>
      </w:r>
      <w:r>
        <w:rPr>
          <w:color w:val="231F20"/>
          <w:spacing w:val="-30"/>
          <w:w w:val="105"/>
        </w:rPr>
        <w:t> </w:t>
      </w:r>
      <w:r>
        <w:rPr>
          <w:color w:val="231F20"/>
          <w:w w:val="105"/>
        </w:rPr>
        <w:t>con- vertido</w:t>
      </w:r>
      <w:r>
        <w:rPr>
          <w:color w:val="231F20"/>
          <w:spacing w:val="-28"/>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w w:val="105"/>
        </w:rPr>
        <w:t>tarea</w:t>
      </w:r>
      <w:r>
        <w:rPr>
          <w:color w:val="231F20"/>
          <w:spacing w:val="-28"/>
          <w:w w:val="105"/>
        </w:rPr>
        <w:t> </w:t>
      </w:r>
      <w:r>
        <w:rPr>
          <w:color w:val="231F20"/>
          <w:w w:val="105"/>
        </w:rPr>
        <w:t>predominante</w:t>
      </w:r>
      <w:r>
        <w:rPr>
          <w:color w:val="231F20"/>
          <w:spacing w:val="-28"/>
          <w:w w:val="105"/>
        </w:rPr>
        <w:t> </w:t>
      </w:r>
      <w:r>
        <w:rPr>
          <w:color w:val="231F20"/>
          <w:w w:val="105"/>
        </w:rPr>
        <w:t>para</w:t>
      </w:r>
      <w:r>
        <w:rPr>
          <w:color w:val="231F20"/>
          <w:spacing w:val="-28"/>
          <w:w w:val="105"/>
        </w:rPr>
        <w:t> </w:t>
      </w:r>
      <w:r>
        <w:rPr>
          <w:color w:val="231F20"/>
          <w:w w:val="105"/>
        </w:rPr>
        <w:t>el</w:t>
      </w:r>
      <w:r>
        <w:rPr>
          <w:color w:val="231F20"/>
          <w:spacing w:val="-28"/>
          <w:w w:val="105"/>
        </w:rPr>
        <w:t> </w:t>
      </w:r>
      <w:r>
        <w:rPr>
          <w:color w:val="231F20"/>
          <w:w w:val="105"/>
        </w:rPr>
        <w:t>Estado</w:t>
      </w:r>
      <w:r>
        <w:rPr>
          <w:color w:val="231F20"/>
          <w:spacing w:val="-28"/>
          <w:w w:val="105"/>
        </w:rPr>
        <w:t> </w:t>
      </w:r>
      <w:r>
        <w:rPr>
          <w:color w:val="231F20"/>
          <w:w w:val="105"/>
        </w:rPr>
        <w:t>mexicano,</w:t>
      </w:r>
      <w:r>
        <w:rPr>
          <w:color w:val="231F20"/>
          <w:spacing w:val="-28"/>
          <w:w w:val="105"/>
        </w:rPr>
        <w:t> </w:t>
      </w:r>
      <w:r>
        <w:rPr>
          <w:color w:val="231F20"/>
          <w:w w:val="105"/>
        </w:rPr>
        <w:t>por</w:t>
      </w:r>
      <w:r>
        <w:rPr>
          <w:color w:val="231F20"/>
          <w:spacing w:val="-28"/>
          <w:w w:val="105"/>
        </w:rPr>
        <w:t> </w:t>
      </w:r>
      <w:r>
        <w:rPr>
          <w:color w:val="231F20"/>
          <w:w w:val="105"/>
        </w:rPr>
        <w:t>ello,</w:t>
      </w:r>
      <w:r>
        <w:rPr>
          <w:color w:val="231F20"/>
          <w:spacing w:val="-28"/>
          <w:w w:val="105"/>
        </w:rPr>
        <w:t> </w:t>
      </w:r>
      <w:r>
        <w:rPr>
          <w:color w:val="231F20"/>
          <w:w w:val="105"/>
        </w:rPr>
        <w:t>desde</w:t>
      </w:r>
    </w:p>
    <w:p>
      <w:pPr>
        <w:pStyle w:val="BodyText"/>
        <w:rPr>
          <w:sz w:val="20"/>
        </w:rPr>
      </w:pPr>
      <w:r>
        <w:rPr/>
        <w:pict>
          <v:line style="position:absolute;mso-position-horizontal-relative:page;mso-position-vertical-relative:paragraph;z-index:2248;mso-wrap-distance-left:0;mso-wrap-distance-right:0" from="70.952904pt,14.185588pt" to="184.338904pt,14.185588pt" stroked="true" strokeweight=".3pt" strokecolor="#231f20">
            <w10:wrap type="topAndBottom"/>
          </v:line>
        </w:pict>
      </w:r>
    </w:p>
    <w:p>
      <w:pPr>
        <w:spacing w:line="204" w:lineRule="exact" w:before="8"/>
        <w:ind w:left="119" w:right="99" w:firstLine="0"/>
        <w:jc w:val="both"/>
        <w:rPr>
          <w:rFonts w:ascii="Calibri" w:hAnsi="Calibri"/>
          <w:sz w:val="17"/>
        </w:rPr>
      </w:pPr>
      <w:r>
        <w:rPr>
          <w:rFonts w:ascii="Calibri" w:hAnsi="Calibri"/>
          <w:color w:val="231F20"/>
          <w:position w:val="6"/>
          <w:sz w:val="10"/>
        </w:rPr>
        <w:t>15 </w:t>
      </w:r>
      <w:r>
        <w:rPr>
          <w:rFonts w:ascii="Calibri" w:hAnsi="Calibri"/>
          <w:color w:val="231F20"/>
          <w:sz w:val="17"/>
        </w:rPr>
        <w:t>R. Benítez Manaut,“La seguridad de México después del 11 de septiembre”, J. M. Sandoval y A. Betancourt (Comps.), </w:t>
      </w:r>
      <w:r>
        <w:rPr>
          <w:rFonts w:ascii="Calibri" w:hAnsi="Calibri"/>
          <w:i/>
          <w:color w:val="231F20"/>
          <w:sz w:val="17"/>
        </w:rPr>
        <w:t>La Hegemonía estadounidense después de la guerra de Irak</w:t>
      </w:r>
      <w:r>
        <w:rPr>
          <w:rFonts w:ascii="Calibri" w:hAnsi="Calibri"/>
          <w:color w:val="231F20"/>
          <w:sz w:val="17"/>
        </w:rPr>
        <w:t>, México, Plaza y Valdés Editores, 2005, p. 140.</w:t>
      </w:r>
    </w:p>
    <w:p>
      <w:pPr>
        <w:spacing w:line="204" w:lineRule="exact" w:before="0"/>
        <w:ind w:left="119" w:right="100" w:firstLine="0"/>
        <w:jc w:val="both"/>
        <w:rPr>
          <w:rFonts w:ascii="Calibri" w:hAnsi="Calibri"/>
          <w:sz w:val="17"/>
        </w:rPr>
      </w:pPr>
      <w:r>
        <w:rPr>
          <w:rFonts w:ascii="Calibri" w:hAnsi="Calibri"/>
          <w:color w:val="231F20"/>
          <w:position w:val="6"/>
          <w:sz w:val="10"/>
        </w:rPr>
        <w:t>16 </w:t>
      </w:r>
      <w:r>
        <w:rPr>
          <w:rFonts w:ascii="Calibri" w:hAnsi="Calibri"/>
          <w:color w:val="231F20"/>
          <w:sz w:val="17"/>
        </w:rPr>
        <w:t>A. Olvera, “Poderes fácticos y democracia en México: sindicatos, caciques, monopolios y delin- cuencia organizada en un país en transición”, I. Cheresky (Comp.), </w:t>
      </w:r>
      <w:r>
        <w:rPr>
          <w:rFonts w:ascii="Calibri" w:hAnsi="Calibri"/>
          <w:i/>
          <w:color w:val="231F20"/>
          <w:sz w:val="17"/>
        </w:rPr>
        <w:t>Ciudadanía y legitimidad demo- </w:t>
      </w:r>
      <w:r>
        <w:rPr>
          <w:rFonts w:ascii="Calibri" w:hAnsi="Calibri"/>
          <w:i/>
          <w:color w:val="231F20"/>
          <w:sz w:val="17"/>
        </w:rPr>
        <w:t>crática en América Latina</w:t>
      </w:r>
      <w:r>
        <w:rPr>
          <w:rFonts w:ascii="Calibri" w:hAnsi="Calibri"/>
          <w:color w:val="231F20"/>
          <w:sz w:val="17"/>
        </w:rPr>
        <w:t>, Argentina, Prometeo Libros, 2011, pp. 330–331.</w:t>
      </w:r>
    </w:p>
    <w:p>
      <w:pPr>
        <w:spacing w:after="0" w:line="204" w:lineRule="exact"/>
        <w:jc w:val="both"/>
        <w:rPr>
          <w:rFonts w:ascii="Calibri" w:hAnsi="Calibri"/>
          <w:sz w:val="17"/>
        </w:rPr>
        <w:sectPr>
          <w:pgSz w:w="9640" w:h="13890"/>
          <w:pgMar w:top="0" w:bottom="280" w:left="1300" w:right="1200"/>
        </w:sectPr>
      </w:pPr>
    </w:p>
    <w:p>
      <w:pPr>
        <w:pStyle w:val="BodyText"/>
        <w:spacing w:line="247" w:lineRule="auto" w:before="113"/>
        <w:ind w:left="103" w:right="115"/>
        <w:jc w:val="both"/>
      </w:pPr>
      <w:r>
        <w:rPr>
          <w:color w:val="231F20"/>
        </w:rPr>
        <w:t>los noventa se realizaron reformas constitucionales para enfrentar jurídi- camente esta lucha. Por tanto, es primordial hacer un recorrido ante tales cambios normativos.</w:t>
      </w:r>
    </w:p>
    <w:p>
      <w:pPr>
        <w:pStyle w:val="BodyText"/>
        <w:spacing w:line="247" w:lineRule="auto"/>
        <w:ind w:left="103" w:right="115" w:firstLine="566"/>
        <w:jc w:val="both"/>
      </w:pPr>
      <w:r>
        <w:rPr>
          <w:color w:val="231F20"/>
        </w:rPr>
        <w:t>La reforma constitucional de 1993 incluyó el tema de la delincuencia organizada. Posteriormente, en 1996, se instituyó el ordenamiento deno- minado Ley Federal contra la Delincuencia Organizada (</w:t>
      </w:r>
      <w:r>
        <w:rPr>
          <w:color w:val="231F20"/>
          <w:sz w:val="18"/>
        </w:rPr>
        <w:t>LFDO</w:t>
      </w:r>
      <w:r>
        <w:rPr>
          <w:color w:val="231F20"/>
        </w:rPr>
        <w:t>)</w:t>
      </w:r>
      <w:r>
        <w:rPr>
          <w:color w:val="231F20"/>
          <w:position w:val="7"/>
          <w:sz w:val="12"/>
        </w:rPr>
        <w:t>17</w:t>
      </w:r>
      <w:r>
        <w:rPr>
          <w:color w:val="231F20"/>
        </w:rPr>
        <w:t>, la cual es- tablece en su artículo segundo:</w:t>
      </w:r>
    </w:p>
    <w:p>
      <w:pPr>
        <w:pStyle w:val="BodyText"/>
        <w:spacing w:before="10"/>
        <w:rPr>
          <w:sz w:val="22"/>
        </w:rPr>
      </w:pPr>
    </w:p>
    <w:p>
      <w:pPr>
        <w:spacing w:line="220" w:lineRule="exact" w:before="1"/>
        <w:ind w:left="1521" w:right="114" w:firstLine="0"/>
        <w:jc w:val="both"/>
        <w:rPr>
          <w:sz w:val="19"/>
        </w:rPr>
      </w:pPr>
      <w:r>
        <w:rPr>
          <w:color w:val="231F20"/>
          <w:w w:val="105"/>
          <w:sz w:val="19"/>
        </w:rPr>
        <w:t>Cuando</w:t>
      </w:r>
      <w:r>
        <w:rPr>
          <w:color w:val="231F20"/>
          <w:spacing w:val="-34"/>
          <w:w w:val="105"/>
          <w:sz w:val="19"/>
        </w:rPr>
        <w:t> </w:t>
      </w:r>
      <w:r>
        <w:rPr>
          <w:color w:val="231F20"/>
          <w:w w:val="105"/>
          <w:sz w:val="19"/>
        </w:rPr>
        <w:t>tres</w:t>
      </w:r>
      <w:r>
        <w:rPr>
          <w:color w:val="231F20"/>
          <w:spacing w:val="-34"/>
          <w:w w:val="105"/>
          <w:sz w:val="19"/>
        </w:rPr>
        <w:t> </w:t>
      </w:r>
      <w:r>
        <w:rPr>
          <w:color w:val="231F20"/>
          <w:w w:val="105"/>
          <w:sz w:val="19"/>
        </w:rPr>
        <w:t>o</w:t>
      </w:r>
      <w:r>
        <w:rPr>
          <w:color w:val="231F20"/>
          <w:spacing w:val="-34"/>
          <w:w w:val="105"/>
          <w:sz w:val="19"/>
        </w:rPr>
        <w:t> </w:t>
      </w:r>
      <w:r>
        <w:rPr>
          <w:color w:val="231F20"/>
          <w:w w:val="105"/>
          <w:sz w:val="19"/>
        </w:rPr>
        <w:t>más</w:t>
      </w:r>
      <w:r>
        <w:rPr>
          <w:color w:val="231F20"/>
          <w:spacing w:val="-34"/>
          <w:w w:val="105"/>
          <w:sz w:val="19"/>
        </w:rPr>
        <w:t> </w:t>
      </w:r>
      <w:r>
        <w:rPr>
          <w:color w:val="231F20"/>
          <w:w w:val="105"/>
          <w:sz w:val="19"/>
        </w:rPr>
        <w:t>personas</w:t>
      </w:r>
      <w:r>
        <w:rPr>
          <w:color w:val="231F20"/>
          <w:spacing w:val="-34"/>
          <w:w w:val="105"/>
          <w:sz w:val="19"/>
        </w:rPr>
        <w:t> </w:t>
      </w:r>
      <w:r>
        <w:rPr>
          <w:color w:val="231F20"/>
          <w:w w:val="105"/>
          <w:sz w:val="19"/>
        </w:rPr>
        <w:t>acuerden</w:t>
      </w:r>
      <w:r>
        <w:rPr>
          <w:color w:val="231F20"/>
          <w:spacing w:val="-34"/>
          <w:w w:val="105"/>
          <w:sz w:val="19"/>
        </w:rPr>
        <w:t> </w:t>
      </w:r>
      <w:r>
        <w:rPr>
          <w:color w:val="231F20"/>
          <w:w w:val="105"/>
          <w:sz w:val="19"/>
        </w:rPr>
        <w:t>organizarse</w:t>
      </w:r>
      <w:r>
        <w:rPr>
          <w:color w:val="231F20"/>
          <w:spacing w:val="-34"/>
          <w:w w:val="105"/>
          <w:sz w:val="19"/>
        </w:rPr>
        <w:t> </w:t>
      </w:r>
      <w:r>
        <w:rPr>
          <w:color w:val="231F20"/>
          <w:w w:val="105"/>
          <w:sz w:val="19"/>
        </w:rPr>
        <w:t>o</w:t>
      </w:r>
      <w:r>
        <w:rPr>
          <w:color w:val="231F20"/>
          <w:spacing w:val="-34"/>
          <w:w w:val="105"/>
          <w:sz w:val="19"/>
        </w:rPr>
        <w:t> </w:t>
      </w:r>
      <w:r>
        <w:rPr>
          <w:color w:val="231F20"/>
          <w:w w:val="105"/>
          <w:sz w:val="19"/>
        </w:rPr>
        <w:t>se</w:t>
      </w:r>
      <w:r>
        <w:rPr>
          <w:color w:val="231F20"/>
          <w:spacing w:val="-34"/>
          <w:w w:val="105"/>
          <w:sz w:val="19"/>
        </w:rPr>
        <w:t> </w:t>
      </w:r>
      <w:r>
        <w:rPr>
          <w:color w:val="231F20"/>
          <w:w w:val="105"/>
          <w:sz w:val="19"/>
        </w:rPr>
        <w:t>organicen para </w:t>
      </w:r>
      <w:r>
        <w:rPr>
          <w:color w:val="231F20"/>
          <w:spacing w:val="-3"/>
          <w:w w:val="105"/>
          <w:sz w:val="19"/>
        </w:rPr>
        <w:t>realizar, </w:t>
      </w:r>
      <w:r>
        <w:rPr>
          <w:color w:val="231F20"/>
          <w:w w:val="105"/>
          <w:sz w:val="19"/>
        </w:rPr>
        <w:t>en forma permanente o reiterada, conductas</w:t>
      </w:r>
      <w:r>
        <w:rPr>
          <w:color w:val="231F20"/>
          <w:spacing w:val="-19"/>
          <w:w w:val="105"/>
          <w:sz w:val="19"/>
        </w:rPr>
        <w:t> </w:t>
      </w:r>
      <w:r>
        <w:rPr>
          <w:color w:val="231F20"/>
          <w:w w:val="105"/>
          <w:sz w:val="19"/>
        </w:rPr>
        <w:t>que por</w:t>
      </w:r>
      <w:r>
        <w:rPr>
          <w:color w:val="231F20"/>
          <w:spacing w:val="-20"/>
          <w:w w:val="105"/>
          <w:sz w:val="19"/>
        </w:rPr>
        <w:t> </w:t>
      </w:r>
      <w:r>
        <w:rPr>
          <w:color w:val="231F20"/>
          <w:w w:val="105"/>
          <w:sz w:val="19"/>
        </w:rPr>
        <w:t>sí</w:t>
      </w:r>
      <w:r>
        <w:rPr>
          <w:color w:val="231F20"/>
          <w:spacing w:val="-20"/>
          <w:w w:val="105"/>
          <w:sz w:val="19"/>
        </w:rPr>
        <w:t> </w:t>
      </w:r>
      <w:r>
        <w:rPr>
          <w:color w:val="231F20"/>
          <w:w w:val="105"/>
          <w:sz w:val="19"/>
        </w:rPr>
        <w:t>o</w:t>
      </w:r>
      <w:r>
        <w:rPr>
          <w:color w:val="231F20"/>
          <w:spacing w:val="-20"/>
          <w:w w:val="105"/>
          <w:sz w:val="19"/>
        </w:rPr>
        <w:t> </w:t>
      </w:r>
      <w:r>
        <w:rPr>
          <w:color w:val="231F20"/>
          <w:w w:val="105"/>
          <w:sz w:val="19"/>
        </w:rPr>
        <w:t>unidas</w:t>
      </w:r>
      <w:r>
        <w:rPr>
          <w:color w:val="231F20"/>
          <w:spacing w:val="-20"/>
          <w:w w:val="105"/>
          <w:sz w:val="19"/>
        </w:rPr>
        <w:t> </w:t>
      </w:r>
      <w:r>
        <w:rPr>
          <w:color w:val="231F20"/>
          <w:w w:val="105"/>
          <w:sz w:val="19"/>
        </w:rPr>
        <w:t>a</w:t>
      </w:r>
      <w:r>
        <w:rPr>
          <w:color w:val="231F20"/>
          <w:spacing w:val="-20"/>
          <w:w w:val="105"/>
          <w:sz w:val="19"/>
        </w:rPr>
        <w:t> </w:t>
      </w:r>
      <w:r>
        <w:rPr>
          <w:color w:val="231F20"/>
          <w:w w:val="105"/>
          <w:sz w:val="19"/>
        </w:rPr>
        <w:t>otras</w:t>
      </w:r>
      <w:r>
        <w:rPr>
          <w:color w:val="231F20"/>
          <w:spacing w:val="-20"/>
          <w:w w:val="105"/>
          <w:sz w:val="19"/>
        </w:rPr>
        <w:t> </w:t>
      </w:r>
      <w:r>
        <w:rPr>
          <w:color w:val="231F20"/>
          <w:w w:val="105"/>
          <w:sz w:val="19"/>
        </w:rPr>
        <w:t>tienen</w:t>
      </w:r>
      <w:r>
        <w:rPr>
          <w:color w:val="231F20"/>
          <w:spacing w:val="-20"/>
          <w:w w:val="105"/>
          <w:sz w:val="19"/>
        </w:rPr>
        <w:t> </w:t>
      </w:r>
      <w:r>
        <w:rPr>
          <w:color w:val="231F20"/>
          <w:w w:val="105"/>
          <w:sz w:val="19"/>
        </w:rPr>
        <w:t>como</w:t>
      </w:r>
      <w:r>
        <w:rPr>
          <w:color w:val="231F20"/>
          <w:spacing w:val="-20"/>
          <w:w w:val="105"/>
          <w:sz w:val="19"/>
        </w:rPr>
        <w:t> </w:t>
      </w:r>
      <w:r>
        <w:rPr>
          <w:color w:val="231F20"/>
          <w:w w:val="105"/>
          <w:sz w:val="19"/>
        </w:rPr>
        <w:t>fin</w:t>
      </w:r>
      <w:r>
        <w:rPr>
          <w:color w:val="231F20"/>
          <w:spacing w:val="-20"/>
          <w:w w:val="105"/>
          <w:sz w:val="19"/>
        </w:rPr>
        <w:t> </w:t>
      </w:r>
      <w:r>
        <w:rPr>
          <w:color w:val="231F20"/>
          <w:w w:val="105"/>
          <w:sz w:val="19"/>
        </w:rPr>
        <w:t>o</w:t>
      </w:r>
      <w:r>
        <w:rPr>
          <w:color w:val="231F20"/>
          <w:spacing w:val="-20"/>
          <w:w w:val="105"/>
          <w:sz w:val="19"/>
        </w:rPr>
        <w:t> </w:t>
      </w:r>
      <w:r>
        <w:rPr>
          <w:color w:val="231F20"/>
          <w:w w:val="105"/>
          <w:sz w:val="19"/>
        </w:rPr>
        <w:t>resultado</w:t>
      </w:r>
      <w:r>
        <w:rPr>
          <w:color w:val="231F20"/>
          <w:spacing w:val="-20"/>
          <w:w w:val="105"/>
          <w:sz w:val="19"/>
        </w:rPr>
        <w:t> </w:t>
      </w:r>
      <w:r>
        <w:rPr>
          <w:color w:val="231F20"/>
          <w:w w:val="105"/>
          <w:sz w:val="19"/>
        </w:rPr>
        <w:t>cometer</w:t>
      </w:r>
      <w:r>
        <w:rPr>
          <w:color w:val="231F20"/>
          <w:spacing w:val="-20"/>
          <w:w w:val="105"/>
          <w:sz w:val="19"/>
        </w:rPr>
        <w:t> </w:t>
      </w:r>
      <w:r>
        <w:rPr>
          <w:color w:val="231F20"/>
          <w:w w:val="105"/>
          <w:sz w:val="19"/>
        </w:rPr>
        <w:t>algu- no</w:t>
      </w:r>
      <w:r>
        <w:rPr>
          <w:color w:val="231F20"/>
          <w:spacing w:val="-25"/>
          <w:w w:val="105"/>
          <w:sz w:val="19"/>
        </w:rPr>
        <w:t> </w:t>
      </w:r>
      <w:r>
        <w:rPr>
          <w:color w:val="231F20"/>
          <w:w w:val="105"/>
          <w:sz w:val="19"/>
        </w:rPr>
        <w:t>o</w:t>
      </w:r>
      <w:r>
        <w:rPr>
          <w:color w:val="231F20"/>
          <w:spacing w:val="-25"/>
          <w:w w:val="105"/>
          <w:sz w:val="19"/>
        </w:rPr>
        <w:t> </w:t>
      </w:r>
      <w:r>
        <w:rPr>
          <w:color w:val="231F20"/>
          <w:w w:val="105"/>
          <w:sz w:val="19"/>
        </w:rPr>
        <w:t>algunos</w:t>
      </w:r>
      <w:r>
        <w:rPr>
          <w:color w:val="231F20"/>
          <w:spacing w:val="-25"/>
          <w:w w:val="105"/>
          <w:sz w:val="19"/>
        </w:rPr>
        <w:t> </w:t>
      </w:r>
      <w:r>
        <w:rPr>
          <w:color w:val="231F20"/>
          <w:w w:val="105"/>
          <w:sz w:val="19"/>
        </w:rPr>
        <w:t>de</w:t>
      </w:r>
      <w:r>
        <w:rPr>
          <w:color w:val="231F20"/>
          <w:spacing w:val="-25"/>
          <w:w w:val="105"/>
          <w:sz w:val="19"/>
        </w:rPr>
        <w:t> </w:t>
      </w:r>
      <w:r>
        <w:rPr>
          <w:color w:val="231F20"/>
          <w:w w:val="105"/>
          <w:sz w:val="19"/>
        </w:rPr>
        <w:t>los</w:t>
      </w:r>
      <w:r>
        <w:rPr>
          <w:color w:val="231F20"/>
          <w:spacing w:val="-25"/>
          <w:w w:val="105"/>
          <w:sz w:val="19"/>
        </w:rPr>
        <w:t> </w:t>
      </w:r>
      <w:r>
        <w:rPr>
          <w:color w:val="231F20"/>
          <w:w w:val="105"/>
          <w:sz w:val="19"/>
        </w:rPr>
        <w:t>delitos</w:t>
      </w:r>
      <w:r>
        <w:rPr>
          <w:color w:val="231F20"/>
          <w:spacing w:val="-25"/>
          <w:w w:val="105"/>
          <w:sz w:val="19"/>
        </w:rPr>
        <w:t> </w:t>
      </w:r>
      <w:r>
        <w:rPr>
          <w:color w:val="231F20"/>
          <w:w w:val="105"/>
          <w:sz w:val="19"/>
        </w:rPr>
        <w:t>siguientes,</w:t>
      </w:r>
      <w:r>
        <w:rPr>
          <w:color w:val="231F20"/>
          <w:spacing w:val="-25"/>
          <w:w w:val="105"/>
          <w:sz w:val="19"/>
        </w:rPr>
        <w:t> </w:t>
      </w:r>
      <w:r>
        <w:rPr>
          <w:color w:val="231F20"/>
          <w:w w:val="105"/>
          <w:sz w:val="19"/>
        </w:rPr>
        <w:t>serán</w:t>
      </w:r>
      <w:r>
        <w:rPr>
          <w:color w:val="231F20"/>
          <w:spacing w:val="-25"/>
          <w:w w:val="105"/>
          <w:sz w:val="19"/>
        </w:rPr>
        <w:t> </w:t>
      </w:r>
      <w:r>
        <w:rPr>
          <w:color w:val="231F20"/>
          <w:w w:val="105"/>
          <w:sz w:val="19"/>
        </w:rPr>
        <w:t>sancionadas</w:t>
      </w:r>
      <w:r>
        <w:rPr>
          <w:color w:val="231F20"/>
          <w:spacing w:val="-25"/>
          <w:w w:val="105"/>
          <w:sz w:val="19"/>
        </w:rPr>
        <w:t> </w:t>
      </w:r>
      <w:r>
        <w:rPr>
          <w:color w:val="231F20"/>
          <w:w w:val="105"/>
          <w:sz w:val="19"/>
        </w:rPr>
        <w:t>por</w:t>
      </w:r>
      <w:r>
        <w:rPr>
          <w:color w:val="231F20"/>
          <w:spacing w:val="-25"/>
          <w:w w:val="105"/>
          <w:sz w:val="19"/>
        </w:rPr>
        <w:t> </w:t>
      </w:r>
      <w:r>
        <w:rPr>
          <w:color w:val="231F20"/>
          <w:w w:val="105"/>
          <w:sz w:val="19"/>
        </w:rPr>
        <w:t>ese solo</w:t>
      </w:r>
      <w:r>
        <w:rPr>
          <w:color w:val="231F20"/>
          <w:spacing w:val="-28"/>
          <w:w w:val="105"/>
          <w:sz w:val="19"/>
        </w:rPr>
        <w:t> </w:t>
      </w:r>
      <w:r>
        <w:rPr>
          <w:color w:val="231F20"/>
          <w:w w:val="105"/>
          <w:sz w:val="19"/>
        </w:rPr>
        <w:t>hecho,</w:t>
      </w:r>
      <w:r>
        <w:rPr>
          <w:color w:val="231F20"/>
          <w:spacing w:val="-28"/>
          <w:w w:val="105"/>
          <w:sz w:val="19"/>
        </w:rPr>
        <w:t> </w:t>
      </w:r>
      <w:r>
        <w:rPr>
          <w:color w:val="231F20"/>
          <w:w w:val="105"/>
          <w:sz w:val="19"/>
        </w:rPr>
        <w:t>como</w:t>
      </w:r>
      <w:r>
        <w:rPr>
          <w:color w:val="231F20"/>
          <w:spacing w:val="-28"/>
          <w:w w:val="105"/>
          <w:sz w:val="19"/>
        </w:rPr>
        <w:t> </w:t>
      </w:r>
      <w:r>
        <w:rPr>
          <w:color w:val="231F20"/>
          <w:w w:val="105"/>
          <w:sz w:val="19"/>
        </w:rPr>
        <w:t>miembros</w:t>
      </w:r>
      <w:r>
        <w:rPr>
          <w:color w:val="231F20"/>
          <w:spacing w:val="-28"/>
          <w:w w:val="105"/>
          <w:sz w:val="19"/>
        </w:rPr>
        <w:t> </w:t>
      </w:r>
      <w:r>
        <w:rPr>
          <w:color w:val="231F20"/>
          <w:w w:val="105"/>
          <w:sz w:val="19"/>
        </w:rPr>
        <w:t>de</w:t>
      </w:r>
      <w:r>
        <w:rPr>
          <w:color w:val="231F20"/>
          <w:spacing w:val="-28"/>
          <w:w w:val="105"/>
          <w:sz w:val="19"/>
        </w:rPr>
        <w:t> </w:t>
      </w:r>
      <w:r>
        <w:rPr>
          <w:color w:val="231F20"/>
          <w:w w:val="105"/>
          <w:sz w:val="19"/>
        </w:rPr>
        <w:t>la</w:t>
      </w:r>
      <w:r>
        <w:rPr>
          <w:color w:val="231F20"/>
          <w:spacing w:val="-28"/>
          <w:w w:val="105"/>
          <w:sz w:val="19"/>
        </w:rPr>
        <w:t> </w:t>
      </w:r>
      <w:r>
        <w:rPr>
          <w:color w:val="231F20"/>
          <w:w w:val="105"/>
          <w:sz w:val="19"/>
        </w:rPr>
        <w:t>delincuencia</w:t>
      </w:r>
      <w:r>
        <w:rPr>
          <w:color w:val="231F20"/>
          <w:spacing w:val="-28"/>
          <w:w w:val="105"/>
          <w:sz w:val="19"/>
        </w:rPr>
        <w:t> </w:t>
      </w:r>
      <w:r>
        <w:rPr>
          <w:color w:val="231F20"/>
          <w:w w:val="105"/>
          <w:sz w:val="19"/>
        </w:rPr>
        <w:t>organizada:</w:t>
      </w:r>
    </w:p>
    <w:p>
      <w:pPr>
        <w:pStyle w:val="ListParagraph"/>
        <w:numPr>
          <w:ilvl w:val="0"/>
          <w:numId w:val="2"/>
        </w:numPr>
        <w:tabs>
          <w:tab w:pos="1882" w:val="left" w:leader="none"/>
        </w:tabs>
        <w:spacing w:line="220" w:lineRule="exact" w:before="113" w:after="0"/>
        <w:ind w:left="1881" w:right="115" w:hanging="360"/>
        <w:jc w:val="both"/>
        <w:rPr>
          <w:sz w:val="19"/>
        </w:rPr>
      </w:pPr>
      <w:r>
        <w:rPr>
          <w:color w:val="231F20"/>
          <w:spacing w:val="-3"/>
          <w:w w:val="105"/>
          <w:sz w:val="19"/>
        </w:rPr>
        <w:t>Terrorismo,</w:t>
      </w:r>
      <w:r>
        <w:rPr>
          <w:color w:val="231F20"/>
          <w:spacing w:val="-48"/>
          <w:w w:val="105"/>
          <w:sz w:val="19"/>
        </w:rPr>
        <w:t> </w:t>
      </w:r>
      <w:r>
        <w:rPr>
          <w:color w:val="231F20"/>
          <w:w w:val="105"/>
          <w:sz w:val="19"/>
        </w:rPr>
        <w:t>previsto</w:t>
      </w:r>
      <w:r>
        <w:rPr>
          <w:color w:val="231F20"/>
          <w:spacing w:val="-48"/>
          <w:w w:val="105"/>
          <w:sz w:val="19"/>
        </w:rPr>
        <w:t> </w:t>
      </w:r>
      <w:r>
        <w:rPr>
          <w:color w:val="231F20"/>
          <w:w w:val="105"/>
          <w:sz w:val="19"/>
        </w:rPr>
        <w:t>en</w:t>
      </w:r>
      <w:r>
        <w:rPr>
          <w:color w:val="231F20"/>
          <w:spacing w:val="-48"/>
          <w:w w:val="105"/>
          <w:sz w:val="19"/>
        </w:rPr>
        <w:t> </w:t>
      </w:r>
      <w:r>
        <w:rPr>
          <w:color w:val="231F20"/>
          <w:w w:val="105"/>
          <w:sz w:val="19"/>
        </w:rPr>
        <w:t>el</w:t>
      </w:r>
      <w:r>
        <w:rPr>
          <w:color w:val="231F20"/>
          <w:spacing w:val="-48"/>
          <w:w w:val="105"/>
          <w:sz w:val="19"/>
        </w:rPr>
        <w:t> </w:t>
      </w:r>
      <w:r>
        <w:rPr>
          <w:color w:val="231F20"/>
          <w:w w:val="105"/>
          <w:sz w:val="19"/>
        </w:rPr>
        <w:t>artículo</w:t>
      </w:r>
      <w:r>
        <w:rPr>
          <w:color w:val="231F20"/>
          <w:spacing w:val="-48"/>
          <w:w w:val="105"/>
          <w:sz w:val="19"/>
        </w:rPr>
        <w:t> </w:t>
      </w:r>
      <w:r>
        <w:rPr>
          <w:color w:val="231F20"/>
          <w:w w:val="105"/>
          <w:sz w:val="19"/>
        </w:rPr>
        <w:t>139,</w:t>
      </w:r>
      <w:r>
        <w:rPr>
          <w:color w:val="231F20"/>
          <w:spacing w:val="-48"/>
          <w:w w:val="105"/>
          <w:sz w:val="19"/>
        </w:rPr>
        <w:t> </w:t>
      </w:r>
      <w:r>
        <w:rPr>
          <w:color w:val="231F20"/>
          <w:w w:val="105"/>
          <w:sz w:val="19"/>
        </w:rPr>
        <w:t>párrafo</w:t>
      </w:r>
      <w:r>
        <w:rPr>
          <w:color w:val="231F20"/>
          <w:spacing w:val="-48"/>
          <w:w w:val="105"/>
          <w:sz w:val="19"/>
        </w:rPr>
        <w:t> </w:t>
      </w:r>
      <w:r>
        <w:rPr>
          <w:color w:val="231F20"/>
          <w:w w:val="105"/>
          <w:sz w:val="19"/>
        </w:rPr>
        <w:t>primero;</w:t>
      </w:r>
      <w:r>
        <w:rPr>
          <w:color w:val="231F20"/>
          <w:spacing w:val="-48"/>
          <w:w w:val="105"/>
          <w:sz w:val="19"/>
        </w:rPr>
        <w:t> </w:t>
      </w:r>
      <w:r>
        <w:rPr>
          <w:color w:val="231F20"/>
          <w:w w:val="105"/>
          <w:sz w:val="19"/>
        </w:rPr>
        <w:t>contra la</w:t>
      </w:r>
      <w:r>
        <w:rPr>
          <w:color w:val="231F20"/>
          <w:spacing w:val="-38"/>
          <w:w w:val="105"/>
          <w:sz w:val="19"/>
        </w:rPr>
        <w:t> </w:t>
      </w:r>
      <w:r>
        <w:rPr>
          <w:color w:val="231F20"/>
          <w:w w:val="105"/>
          <w:sz w:val="19"/>
        </w:rPr>
        <w:t>salud,</w:t>
      </w:r>
      <w:r>
        <w:rPr>
          <w:color w:val="231F20"/>
          <w:spacing w:val="-38"/>
          <w:w w:val="105"/>
          <w:sz w:val="19"/>
        </w:rPr>
        <w:t> </w:t>
      </w:r>
      <w:r>
        <w:rPr>
          <w:color w:val="231F20"/>
          <w:w w:val="105"/>
          <w:sz w:val="19"/>
        </w:rPr>
        <w:t>previsto</w:t>
      </w:r>
      <w:r>
        <w:rPr>
          <w:color w:val="231F20"/>
          <w:spacing w:val="-38"/>
          <w:w w:val="105"/>
          <w:sz w:val="19"/>
        </w:rPr>
        <w:t> </w:t>
      </w:r>
      <w:r>
        <w:rPr>
          <w:color w:val="231F20"/>
          <w:w w:val="105"/>
          <w:sz w:val="19"/>
        </w:rPr>
        <w:t>en</w:t>
      </w:r>
      <w:r>
        <w:rPr>
          <w:color w:val="231F20"/>
          <w:spacing w:val="-38"/>
          <w:w w:val="105"/>
          <w:sz w:val="19"/>
        </w:rPr>
        <w:t> </w:t>
      </w:r>
      <w:r>
        <w:rPr>
          <w:color w:val="231F20"/>
          <w:w w:val="105"/>
          <w:sz w:val="19"/>
        </w:rPr>
        <w:t>el</w:t>
      </w:r>
      <w:r>
        <w:rPr>
          <w:color w:val="231F20"/>
          <w:spacing w:val="-38"/>
          <w:w w:val="105"/>
          <w:sz w:val="19"/>
        </w:rPr>
        <w:t> </w:t>
      </w:r>
      <w:r>
        <w:rPr>
          <w:color w:val="231F20"/>
          <w:w w:val="105"/>
          <w:sz w:val="19"/>
        </w:rPr>
        <w:t>artículo</w:t>
      </w:r>
      <w:r>
        <w:rPr>
          <w:color w:val="231F20"/>
          <w:spacing w:val="-38"/>
          <w:w w:val="105"/>
          <w:sz w:val="19"/>
        </w:rPr>
        <w:t> </w:t>
      </w:r>
      <w:r>
        <w:rPr>
          <w:color w:val="231F20"/>
          <w:w w:val="105"/>
          <w:sz w:val="19"/>
        </w:rPr>
        <w:t>194</w:t>
      </w:r>
      <w:r>
        <w:rPr>
          <w:color w:val="231F20"/>
          <w:spacing w:val="-38"/>
          <w:w w:val="105"/>
          <w:sz w:val="19"/>
        </w:rPr>
        <w:t> </w:t>
      </w:r>
      <w:r>
        <w:rPr>
          <w:color w:val="231F20"/>
          <w:w w:val="105"/>
          <w:sz w:val="19"/>
        </w:rPr>
        <w:t>y</w:t>
      </w:r>
      <w:r>
        <w:rPr>
          <w:color w:val="231F20"/>
          <w:spacing w:val="-38"/>
          <w:w w:val="105"/>
          <w:sz w:val="19"/>
        </w:rPr>
        <w:t> </w:t>
      </w:r>
      <w:r>
        <w:rPr>
          <w:color w:val="231F20"/>
          <w:w w:val="105"/>
          <w:sz w:val="19"/>
        </w:rPr>
        <w:t>195,</w:t>
      </w:r>
      <w:r>
        <w:rPr>
          <w:color w:val="231F20"/>
          <w:spacing w:val="-38"/>
          <w:w w:val="105"/>
          <w:sz w:val="19"/>
        </w:rPr>
        <w:t> </w:t>
      </w:r>
      <w:r>
        <w:rPr>
          <w:color w:val="231F20"/>
          <w:w w:val="105"/>
          <w:sz w:val="19"/>
        </w:rPr>
        <w:t>párrafo</w:t>
      </w:r>
      <w:r>
        <w:rPr>
          <w:color w:val="231F20"/>
          <w:spacing w:val="-38"/>
          <w:w w:val="105"/>
          <w:sz w:val="19"/>
        </w:rPr>
        <w:t> </w:t>
      </w:r>
      <w:r>
        <w:rPr>
          <w:color w:val="231F20"/>
          <w:w w:val="105"/>
          <w:sz w:val="19"/>
        </w:rPr>
        <w:t>primero;</w:t>
      </w:r>
      <w:r>
        <w:rPr>
          <w:color w:val="231F20"/>
          <w:spacing w:val="-38"/>
          <w:w w:val="105"/>
          <w:sz w:val="19"/>
        </w:rPr>
        <w:t> </w:t>
      </w:r>
      <w:r>
        <w:rPr>
          <w:color w:val="231F20"/>
          <w:w w:val="105"/>
          <w:sz w:val="19"/>
        </w:rPr>
        <w:t>fal- sificación</w:t>
      </w:r>
      <w:r>
        <w:rPr>
          <w:color w:val="231F20"/>
          <w:spacing w:val="-30"/>
          <w:w w:val="105"/>
          <w:sz w:val="19"/>
        </w:rPr>
        <w:t> </w:t>
      </w:r>
      <w:r>
        <w:rPr>
          <w:color w:val="231F20"/>
          <w:w w:val="105"/>
          <w:sz w:val="19"/>
        </w:rPr>
        <w:t>o</w:t>
      </w:r>
      <w:r>
        <w:rPr>
          <w:color w:val="231F20"/>
          <w:spacing w:val="-30"/>
          <w:w w:val="105"/>
          <w:sz w:val="19"/>
        </w:rPr>
        <w:t> </w:t>
      </w:r>
      <w:r>
        <w:rPr>
          <w:color w:val="231F20"/>
          <w:w w:val="105"/>
          <w:sz w:val="19"/>
        </w:rPr>
        <w:t>alteración</w:t>
      </w:r>
      <w:r>
        <w:rPr>
          <w:color w:val="231F20"/>
          <w:spacing w:val="-30"/>
          <w:w w:val="105"/>
          <w:sz w:val="19"/>
        </w:rPr>
        <w:t> </w:t>
      </w:r>
      <w:r>
        <w:rPr>
          <w:color w:val="231F20"/>
          <w:w w:val="105"/>
          <w:sz w:val="19"/>
        </w:rPr>
        <w:t>de</w:t>
      </w:r>
      <w:r>
        <w:rPr>
          <w:color w:val="231F20"/>
          <w:spacing w:val="-30"/>
          <w:w w:val="105"/>
          <w:sz w:val="19"/>
        </w:rPr>
        <w:t> </w:t>
      </w:r>
      <w:r>
        <w:rPr>
          <w:color w:val="231F20"/>
          <w:w w:val="105"/>
          <w:sz w:val="19"/>
        </w:rPr>
        <w:t>moneda,</w:t>
      </w:r>
      <w:r>
        <w:rPr>
          <w:color w:val="231F20"/>
          <w:spacing w:val="-30"/>
          <w:w w:val="105"/>
          <w:sz w:val="19"/>
        </w:rPr>
        <w:t> </w:t>
      </w:r>
      <w:r>
        <w:rPr>
          <w:color w:val="231F20"/>
          <w:w w:val="105"/>
          <w:sz w:val="19"/>
        </w:rPr>
        <w:t>previsto</w:t>
      </w:r>
      <w:r>
        <w:rPr>
          <w:color w:val="231F20"/>
          <w:spacing w:val="-30"/>
          <w:w w:val="105"/>
          <w:sz w:val="19"/>
        </w:rPr>
        <w:t> </w:t>
      </w:r>
      <w:r>
        <w:rPr>
          <w:color w:val="231F20"/>
          <w:w w:val="105"/>
          <w:sz w:val="19"/>
        </w:rPr>
        <w:t>en</w:t>
      </w:r>
      <w:r>
        <w:rPr>
          <w:color w:val="231F20"/>
          <w:spacing w:val="-30"/>
          <w:w w:val="105"/>
          <w:sz w:val="19"/>
        </w:rPr>
        <w:t> </w:t>
      </w:r>
      <w:r>
        <w:rPr>
          <w:color w:val="231F20"/>
          <w:w w:val="105"/>
          <w:sz w:val="19"/>
        </w:rPr>
        <w:t>el</w:t>
      </w:r>
      <w:r>
        <w:rPr>
          <w:color w:val="231F20"/>
          <w:spacing w:val="-30"/>
          <w:w w:val="105"/>
          <w:sz w:val="19"/>
        </w:rPr>
        <w:t> </w:t>
      </w:r>
      <w:r>
        <w:rPr>
          <w:color w:val="231F20"/>
          <w:w w:val="105"/>
          <w:sz w:val="19"/>
        </w:rPr>
        <w:t>artículo</w:t>
      </w:r>
      <w:r>
        <w:rPr>
          <w:color w:val="231F20"/>
          <w:spacing w:val="-30"/>
          <w:w w:val="105"/>
          <w:sz w:val="19"/>
        </w:rPr>
        <w:t> </w:t>
      </w:r>
      <w:r>
        <w:rPr>
          <w:color w:val="231F20"/>
          <w:w w:val="105"/>
          <w:sz w:val="19"/>
        </w:rPr>
        <w:t>234, 236</w:t>
      </w:r>
      <w:r>
        <w:rPr>
          <w:color w:val="231F20"/>
          <w:spacing w:val="-8"/>
          <w:w w:val="105"/>
          <w:sz w:val="19"/>
        </w:rPr>
        <w:t> </w:t>
      </w:r>
      <w:r>
        <w:rPr>
          <w:color w:val="231F20"/>
          <w:w w:val="105"/>
          <w:sz w:val="19"/>
        </w:rPr>
        <w:t>y</w:t>
      </w:r>
      <w:r>
        <w:rPr>
          <w:color w:val="231F20"/>
          <w:spacing w:val="-8"/>
          <w:w w:val="105"/>
          <w:sz w:val="19"/>
        </w:rPr>
        <w:t> </w:t>
      </w:r>
      <w:r>
        <w:rPr>
          <w:color w:val="231F20"/>
          <w:w w:val="105"/>
          <w:sz w:val="19"/>
        </w:rPr>
        <w:t>237;</w:t>
      </w:r>
      <w:r>
        <w:rPr>
          <w:color w:val="231F20"/>
          <w:spacing w:val="-8"/>
          <w:w w:val="105"/>
          <w:sz w:val="19"/>
        </w:rPr>
        <w:t> </w:t>
      </w:r>
      <w:r>
        <w:rPr>
          <w:color w:val="231F20"/>
          <w:w w:val="105"/>
          <w:sz w:val="19"/>
        </w:rPr>
        <w:t>operaciones</w:t>
      </w:r>
      <w:r>
        <w:rPr>
          <w:color w:val="231F20"/>
          <w:spacing w:val="-8"/>
          <w:w w:val="105"/>
          <w:sz w:val="19"/>
        </w:rPr>
        <w:t> </w:t>
      </w:r>
      <w:r>
        <w:rPr>
          <w:color w:val="231F20"/>
          <w:w w:val="105"/>
          <w:sz w:val="19"/>
        </w:rPr>
        <w:t>con</w:t>
      </w:r>
      <w:r>
        <w:rPr>
          <w:color w:val="231F20"/>
          <w:spacing w:val="-8"/>
          <w:w w:val="105"/>
          <w:sz w:val="19"/>
        </w:rPr>
        <w:t> </w:t>
      </w:r>
      <w:r>
        <w:rPr>
          <w:color w:val="231F20"/>
          <w:w w:val="105"/>
          <w:sz w:val="19"/>
        </w:rPr>
        <w:t>recursos</w:t>
      </w:r>
      <w:r>
        <w:rPr>
          <w:color w:val="231F20"/>
          <w:spacing w:val="-8"/>
          <w:w w:val="105"/>
          <w:sz w:val="19"/>
        </w:rPr>
        <w:t> </w:t>
      </w:r>
      <w:r>
        <w:rPr>
          <w:color w:val="231F20"/>
          <w:w w:val="105"/>
          <w:sz w:val="19"/>
        </w:rPr>
        <w:t>de</w:t>
      </w:r>
      <w:r>
        <w:rPr>
          <w:color w:val="231F20"/>
          <w:spacing w:val="-8"/>
          <w:w w:val="105"/>
          <w:sz w:val="19"/>
        </w:rPr>
        <w:t> </w:t>
      </w:r>
      <w:r>
        <w:rPr>
          <w:color w:val="231F20"/>
          <w:w w:val="105"/>
          <w:sz w:val="19"/>
        </w:rPr>
        <w:t>procedencia</w:t>
      </w:r>
      <w:r>
        <w:rPr>
          <w:color w:val="231F20"/>
          <w:spacing w:val="-8"/>
          <w:w w:val="105"/>
          <w:sz w:val="19"/>
        </w:rPr>
        <w:t> </w:t>
      </w:r>
      <w:r>
        <w:rPr>
          <w:color w:val="231F20"/>
          <w:w w:val="105"/>
          <w:sz w:val="19"/>
        </w:rPr>
        <w:t>ilícita, previsto</w:t>
      </w:r>
      <w:r>
        <w:rPr>
          <w:color w:val="231F20"/>
          <w:spacing w:val="-24"/>
          <w:w w:val="105"/>
          <w:sz w:val="19"/>
        </w:rPr>
        <w:t> </w:t>
      </w:r>
      <w:r>
        <w:rPr>
          <w:color w:val="231F20"/>
          <w:w w:val="105"/>
          <w:sz w:val="19"/>
        </w:rPr>
        <w:t>en</w:t>
      </w:r>
      <w:r>
        <w:rPr>
          <w:color w:val="231F20"/>
          <w:spacing w:val="-24"/>
          <w:w w:val="105"/>
          <w:sz w:val="19"/>
        </w:rPr>
        <w:t> </w:t>
      </w:r>
      <w:r>
        <w:rPr>
          <w:color w:val="231F20"/>
          <w:w w:val="105"/>
          <w:sz w:val="19"/>
        </w:rPr>
        <w:t>el</w:t>
      </w:r>
      <w:r>
        <w:rPr>
          <w:color w:val="231F20"/>
          <w:spacing w:val="-24"/>
          <w:w w:val="105"/>
          <w:sz w:val="19"/>
        </w:rPr>
        <w:t> </w:t>
      </w:r>
      <w:r>
        <w:rPr>
          <w:color w:val="231F20"/>
          <w:w w:val="105"/>
          <w:sz w:val="19"/>
        </w:rPr>
        <w:t>artículo</w:t>
      </w:r>
      <w:r>
        <w:rPr>
          <w:color w:val="231F20"/>
          <w:spacing w:val="-24"/>
          <w:w w:val="105"/>
          <w:sz w:val="19"/>
        </w:rPr>
        <w:t> </w:t>
      </w:r>
      <w:r>
        <w:rPr>
          <w:color w:val="231F20"/>
          <w:w w:val="105"/>
          <w:sz w:val="19"/>
        </w:rPr>
        <w:t>400</w:t>
      </w:r>
      <w:r>
        <w:rPr>
          <w:color w:val="231F20"/>
          <w:spacing w:val="-24"/>
          <w:w w:val="105"/>
          <w:sz w:val="19"/>
        </w:rPr>
        <w:t> </w:t>
      </w:r>
      <w:r>
        <w:rPr>
          <w:color w:val="231F20"/>
          <w:w w:val="105"/>
          <w:sz w:val="19"/>
        </w:rPr>
        <w:t>bis,</w:t>
      </w:r>
      <w:r>
        <w:rPr>
          <w:color w:val="231F20"/>
          <w:spacing w:val="-24"/>
          <w:w w:val="105"/>
          <w:sz w:val="19"/>
        </w:rPr>
        <w:t> </w:t>
      </w:r>
      <w:r>
        <w:rPr>
          <w:color w:val="231F20"/>
          <w:w w:val="105"/>
          <w:sz w:val="19"/>
        </w:rPr>
        <w:t>todos</w:t>
      </w:r>
      <w:r>
        <w:rPr>
          <w:color w:val="231F20"/>
          <w:spacing w:val="-24"/>
          <w:w w:val="105"/>
          <w:sz w:val="19"/>
        </w:rPr>
        <w:t> </w:t>
      </w:r>
      <w:r>
        <w:rPr>
          <w:color w:val="231F20"/>
          <w:w w:val="105"/>
          <w:sz w:val="19"/>
        </w:rPr>
        <w:t>del</w:t>
      </w:r>
      <w:r>
        <w:rPr>
          <w:color w:val="231F20"/>
          <w:spacing w:val="-24"/>
          <w:w w:val="105"/>
          <w:sz w:val="19"/>
        </w:rPr>
        <w:t> </w:t>
      </w:r>
      <w:r>
        <w:rPr>
          <w:color w:val="231F20"/>
          <w:w w:val="105"/>
          <w:sz w:val="19"/>
        </w:rPr>
        <w:t>Código</w:t>
      </w:r>
      <w:r>
        <w:rPr>
          <w:color w:val="231F20"/>
          <w:spacing w:val="-24"/>
          <w:w w:val="105"/>
          <w:sz w:val="19"/>
        </w:rPr>
        <w:t> </w:t>
      </w:r>
      <w:r>
        <w:rPr>
          <w:color w:val="231F20"/>
          <w:w w:val="105"/>
          <w:sz w:val="19"/>
        </w:rPr>
        <w:t>Penal</w:t>
      </w:r>
      <w:r>
        <w:rPr>
          <w:color w:val="231F20"/>
          <w:spacing w:val="-24"/>
          <w:w w:val="105"/>
          <w:sz w:val="19"/>
        </w:rPr>
        <w:t> </w:t>
      </w:r>
      <w:r>
        <w:rPr>
          <w:color w:val="231F20"/>
          <w:w w:val="105"/>
          <w:sz w:val="19"/>
        </w:rPr>
        <w:t>para</w:t>
      </w:r>
      <w:r>
        <w:rPr>
          <w:color w:val="231F20"/>
          <w:spacing w:val="-24"/>
          <w:w w:val="105"/>
          <w:sz w:val="19"/>
        </w:rPr>
        <w:t> </w:t>
      </w:r>
      <w:r>
        <w:rPr>
          <w:color w:val="231F20"/>
          <w:w w:val="105"/>
          <w:sz w:val="19"/>
        </w:rPr>
        <w:t>el Distrito</w:t>
      </w:r>
      <w:r>
        <w:rPr>
          <w:color w:val="231F20"/>
          <w:spacing w:val="-5"/>
          <w:w w:val="105"/>
          <w:sz w:val="19"/>
        </w:rPr>
        <w:t> </w:t>
      </w:r>
      <w:r>
        <w:rPr>
          <w:color w:val="231F20"/>
          <w:w w:val="105"/>
          <w:sz w:val="19"/>
        </w:rPr>
        <w:t>Federal</w:t>
      </w:r>
      <w:r>
        <w:rPr>
          <w:color w:val="231F20"/>
          <w:spacing w:val="-5"/>
          <w:w w:val="105"/>
          <w:sz w:val="19"/>
        </w:rPr>
        <w:t> </w:t>
      </w:r>
      <w:r>
        <w:rPr>
          <w:color w:val="231F20"/>
          <w:w w:val="105"/>
          <w:sz w:val="19"/>
        </w:rPr>
        <w:t>en</w:t>
      </w:r>
      <w:r>
        <w:rPr>
          <w:color w:val="231F20"/>
          <w:spacing w:val="-5"/>
          <w:w w:val="105"/>
          <w:sz w:val="19"/>
        </w:rPr>
        <w:t> </w:t>
      </w:r>
      <w:r>
        <w:rPr>
          <w:color w:val="231F20"/>
          <w:w w:val="105"/>
          <w:sz w:val="19"/>
        </w:rPr>
        <w:t>Materia</w:t>
      </w:r>
      <w:r>
        <w:rPr>
          <w:color w:val="231F20"/>
          <w:spacing w:val="-5"/>
          <w:w w:val="105"/>
          <w:sz w:val="19"/>
        </w:rPr>
        <w:t> </w:t>
      </w:r>
      <w:r>
        <w:rPr>
          <w:color w:val="231F20"/>
          <w:w w:val="105"/>
          <w:sz w:val="19"/>
        </w:rPr>
        <w:t>del</w:t>
      </w:r>
      <w:r>
        <w:rPr>
          <w:color w:val="231F20"/>
          <w:spacing w:val="-5"/>
          <w:w w:val="105"/>
          <w:sz w:val="19"/>
        </w:rPr>
        <w:t> </w:t>
      </w:r>
      <w:r>
        <w:rPr>
          <w:color w:val="231F20"/>
          <w:w w:val="105"/>
          <w:sz w:val="19"/>
        </w:rPr>
        <w:t>Fuero</w:t>
      </w:r>
      <w:r>
        <w:rPr>
          <w:color w:val="231F20"/>
          <w:spacing w:val="-5"/>
          <w:w w:val="105"/>
          <w:sz w:val="19"/>
        </w:rPr>
        <w:t> </w:t>
      </w:r>
      <w:r>
        <w:rPr>
          <w:color w:val="231F20"/>
          <w:w w:val="105"/>
          <w:sz w:val="19"/>
        </w:rPr>
        <w:t>Común</w:t>
      </w:r>
      <w:r>
        <w:rPr>
          <w:color w:val="231F20"/>
          <w:spacing w:val="-5"/>
          <w:w w:val="105"/>
          <w:sz w:val="19"/>
        </w:rPr>
        <w:t> </w:t>
      </w:r>
      <w:r>
        <w:rPr>
          <w:color w:val="231F20"/>
          <w:w w:val="105"/>
          <w:sz w:val="19"/>
        </w:rPr>
        <w:t>y</w:t>
      </w:r>
      <w:r>
        <w:rPr>
          <w:color w:val="231F20"/>
          <w:spacing w:val="-5"/>
          <w:w w:val="105"/>
          <w:sz w:val="19"/>
        </w:rPr>
        <w:t> </w:t>
      </w:r>
      <w:r>
        <w:rPr>
          <w:color w:val="231F20"/>
          <w:w w:val="105"/>
          <w:sz w:val="19"/>
        </w:rPr>
        <w:t>para</w:t>
      </w:r>
      <w:r>
        <w:rPr>
          <w:color w:val="231F20"/>
          <w:spacing w:val="-5"/>
          <w:w w:val="105"/>
          <w:sz w:val="19"/>
        </w:rPr>
        <w:t> </w:t>
      </w:r>
      <w:r>
        <w:rPr>
          <w:color w:val="231F20"/>
          <w:w w:val="105"/>
          <w:sz w:val="19"/>
        </w:rPr>
        <w:t>toda</w:t>
      </w:r>
      <w:r>
        <w:rPr>
          <w:color w:val="231F20"/>
          <w:spacing w:val="-5"/>
          <w:w w:val="105"/>
          <w:sz w:val="19"/>
        </w:rPr>
        <w:t> </w:t>
      </w:r>
      <w:r>
        <w:rPr>
          <w:color w:val="231F20"/>
          <w:w w:val="105"/>
          <w:sz w:val="19"/>
        </w:rPr>
        <w:t>la República</w:t>
      </w:r>
      <w:r>
        <w:rPr>
          <w:color w:val="231F20"/>
          <w:spacing w:val="-25"/>
          <w:w w:val="105"/>
          <w:sz w:val="19"/>
        </w:rPr>
        <w:t> </w:t>
      </w:r>
      <w:r>
        <w:rPr>
          <w:color w:val="231F20"/>
          <w:w w:val="105"/>
          <w:sz w:val="19"/>
        </w:rPr>
        <w:t>en</w:t>
      </w:r>
      <w:r>
        <w:rPr>
          <w:color w:val="231F20"/>
          <w:spacing w:val="-25"/>
          <w:w w:val="105"/>
          <w:sz w:val="19"/>
        </w:rPr>
        <w:t> </w:t>
      </w:r>
      <w:r>
        <w:rPr>
          <w:color w:val="231F20"/>
          <w:w w:val="105"/>
          <w:sz w:val="19"/>
        </w:rPr>
        <w:t>Materia</w:t>
      </w:r>
      <w:r>
        <w:rPr>
          <w:color w:val="231F20"/>
          <w:spacing w:val="-25"/>
          <w:w w:val="105"/>
          <w:sz w:val="19"/>
        </w:rPr>
        <w:t> </w:t>
      </w:r>
      <w:r>
        <w:rPr>
          <w:color w:val="231F20"/>
          <w:w w:val="105"/>
          <w:sz w:val="19"/>
        </w:rPr>
        <w:t>del</w:t>
      </w:r>
      <w:r>
        <w:rPr>
          <w:color w:val="231F20"/>
          <w:spacing w:val="-25"/>
          <w:w w:val="105"/>
          <w:sz w:val="19"/>
        </w:rPr>
        <w:t> </w:t>
      </w:r>
      <w:r>
        <w:rPr>
          <w:color w:val="231F20"/>
          <w:w w:val="105"/>
          <w:sz w:val="19"/>
        </w:rPr>
        <w:t>Fuero</w:t>
      </w:r>
      <w:r>
        <w:rPr>
          <w:color w:val="231F20"/>
          <w:spacing w:val="-25"/>
          <w:w w:val="105"/>
          <w:sz w:val="19"/>
        </w:rPr>
        <w:t> </w:t>
      </w:r>
      <w:r>
        <w:rPr>
          <w:color w:val="231F20"/>
          <w:w w:val="105"/>
          <w:sz w:val="19"/>
        </w:rPr>
        <w:t>Federal;</w:t>
      </w:r>
    </w:p>
    <w:p>
      <w:pPr>
        <w:pStyle w:val="ListParagraph"/>
        <w:numPr>
          <w:ilvl w:val="0"/>
          <w:numId w:val="2"/>
        </w:numPr>
        <w:tabs>
          <w:tab w:pos="1882" w:val="left" w:leader="none"/>
        </w:tabs>
        <w:spacing w:line="220" w:lineRule="exact" w:before="113" w:after="0"/>
        <w:ind w:left="1881" w:right="115" w:hanging="360"/>
        <w:jc w:val="both"/>
        <w:rPr>
          <w:sz w:val="19"/>
        </w:rPr>
      </w:pPr>
      <w:r>
        <w:rPr>
          <w:color w:val="231F20"/>
          <w:sz w:val="19"/>
        </w:rPr>
        <w:t>Acopio</w:t>
      </w:r>
      <w:r>
        <w:rPr>
          <w:color w:val="231F20"/>
          <w:spacing w:val="-7"/>
          <w:sz w:val="19"/>
        </w:rPr>
        <w:t> </w:t>
      </w:r>
      <w:r>
        <w:rPr>
          <w:color w:val="231F20"/>
          <w:sz w:val="19"/>
        </w:rPr>
        <w:t>y</w:t>
      </w:r>
      <w:r>
        <w:rPr>
          <w:color w:val="231F20"/>
          <w:spacing w:val="-7"/>
          <w:sz w:val="19"/>
        </w:rPr>
        <w:t> </w:t>
      </w:r>
      <w:r>
        <w:rPr>
          <w:color w:val="231F20"/>
          <w:sz w:val="19"/>
        </w:rPr>
        <w:t>tráfico</w:t>
      </w:r>
      <w:r>
        <w:rPr>
          <w:color w:val="231F20"/>
          <w:spacing w:val="-7"/>
          <w:sz w:val="19"/>
        </w:rPr>
        <w:t> </w:t>
      </w:r>
      <w:r>
        <w:rPr>
          <w:color w:val="231F20"/>
          <w:sz w:val="19"/>
        </w:rPr>
        <w:t>de</w:t>
      </w:r>
      <w:r>
        <w:rPr>
          <w:color w:val="231F20"/>
          <w:spacing w:val="-7"/>
          <w:sz w:val="19"/>
        </w:rPr>
        <w:t> </w:t>
      </w:r>
      <w:r>
        <w:rPr>
          <w:color w:val="231F20"/>
          <w:sz w:val="19"/>
        </w:rPr>
        <w:t>armas,</w:t>
      </w:r>
      <w:r>
        <w:rPr>
          <w:color w:val="231F20"/>
          <w:spacing w:val="-7"/>
          <w:sz w:val="19"/>
        </w:rPr>
        <w:t> </w:t>
      </w:r>
      <w:r>
        <w:rPr>
          <w:color w:val="231F20"/>
          <w:sz w:val="19"/>
        </w:rPr>
        <w:t>previsto</w:t>
      </w:r>
      <w:r>
        <w:rPr>
          <w:color w:val="231F20"/>
          <w:spacing w:val="-7"/>
          <w:sz w:val="19"/>
        </w:rPr>
        <w:t> </w:t>
      </w:r>
      <w:r>
        <w:rPr>
          <w:color w:val="231F20"/>
          <w:sz w:val="19"/>
        </w:rPr>
        <w:t>en</w:t>
      </w:r>
      <w:r>
        <w:rPr>
          <w:color w:val="231F20"/>
          <w:spacing w:val="-7"/>
          <w:sz w:val="19"/>
        </w:rPr>
        <w:t> </w:t>
      </w:r>
      <w:r>
        <w:rPr>
          <w:color w:val="231F20"/>
          <w:sz w:val="19"/>
        </w:rPr>
        <w:t>los</w:t>
      </w:r>
      <w:r>
        <w:rPr>
          <w:color w:val="231F20"/>
          <w:spacing w:val="-7"/>
          <w:sz w:val="19"/>
        </w:rPr>
        <w:t> </w:t>
      </w:r>
      <w:r>
        <w:rPr>
          <w:color w:val="231F20"/>
          <w:sz w:val="19"/>
        </w:rPr>
        <w:t>artículos</w:t>
      </w:r>
      <w:r>
        <w:rPr>
          <w:color w:val="231F20"/>
          <w:spacing w:val="-7"/>
          <w:sz w:val="19"/>
        </w:rPr>
        <w:t> </w:t>
      </w:r>
      <w:r>
        <w:rPr>
          <w:color w:val="231F20"/>
          <w:sz w:val="19"/>
        </w:rPr>
        <w:t>83</w:t>
      </w:r>
      <w:r>
        <w:rPr>
          <w:color w:val="231F20"/>
          <w:spacing w:val="-7"/>
          <w:sz w:val="19"/>
        </w:rPr>
        <w:t> </w:t>
      </w:r>
      <w:r>
        <w:rPr>
          <w:color w:val="231F20"/>
          <w:sz w:val="19"/>
        </w:rPr>
        <w:t>bis</w:t>
      </w:r>
      <w:r>
        <w:rPr>
          <w:color w:val="231F20"/>
          <w:spacing w:val="-7"/>
          <w:sz w:val="19"/>
        </w:rPr>
        <w:t> </w:t>
      </w:r>
      <w:r>
        <w:rPr>
          <w:color w:val="231F20"/>
          <w:sz w:val="19"/>
        </w:rPr>
        <w:t>y</w:t>
      </w:r>
      <w:r>
        <w:rPr>
          <w:color w:val="231F20"/>
          <w:spacing w:val="-7"/>
          <w:sz w:val="19"/>
        </w:rPr>
        <w:t> </w:t>
      </w:r>
      <w:r>
        <w:rPr>
          <w:color w:val="231F20"/>
          <w:sz w:val="19"/>
        </w:rPr>
        <w:t>84 de la Ley Federal de Armas de Fuego y</w:t>
      </w:r>
      <w:r>
        <w:rPr>
          <w:color w:val="231F20"/>
          <w:spacing w:val="25"/>
          <w:sz w:val="19"/>
        </w:rPr>
        <w:t> </w:t>
      </w:r>
      <w:r>
        <w:rPr>
          <w:color w:val="231F20"/>
          <w:sz w:val="19"/>
        </w:rPr>
        <w:t>Explosivos;</w:t>
      </w:r>
    </w:p>
    <w:p>
      <w:pPr>
        <w:pStyle w:val="ListParagraph"/>
        <w:numPr>
          <w:ilvl w:val="0"/>
          <w:numId w:val="2"/>
        </w:numPr>
        <w:tabs>
          <w:tab w:pos="1882" w:val="left" w:leader="none"/>
        </w:tabs>
        <w:spacing w:line="220" w:lineRule="exact" w:before="113" w:after="0"/>
        <w:ind w:left="1881" w:right="115" w:hanging="360"/>
        <w:jc w:val="both"/>
        <w:rPr>
          <w:sz w:val="19"/>
        </w:rPr>
      </w:pPr>
      <w:r>
        <w:rPr>
          <w:color w:val="231F20"/>
          <w:spacing w:val="-3"/>
          <w:w w:val="105"/>
          <w:sz w:val="19"/>
        </w:rPr>
        <w:t>Tráfico</w:t>
      </w:r>
      <w:r>
        <w:rPr>
          <w:color w:val="231F20"/>
          <w:spacing w:val="-14"/>
          <w:w w:val="105"/>
          <w:sz w:val="19"/>
        </w:rPr>
        <w:t> </w:t>
      </w:r>
      <w:r>
        <w:rPr>
          <w:color w:val="231F20"/>
          <w:w w:val="105"/>
          <w:sz w:val="19"/>
        </w:rPr>
        <w:t>de</w:t>
      </w:r>
      <w:r>
        <w:rPr>
          <w:color w:val="231F20"/>
          <w:spacing w:val="-14"/>
          <w:w w:val="105"/>
          <w:sz w:val="19"/>
        </w:rPr>
        <w:t> </w:t>
      </w:r>
      <w:r>
        <w:rPr>
          <w:color w:val="231F20"/>
          <w:w w:val="105"/>
          <w:sz w:val="19"/>
        </w:rPr>
        <w:t>indocumentados,</w:t>
      </w:r>
      <w:r>
        <w:rPr>
          <w:color w:val="231F20"/>
          <w:spacing w:val="-14"/>
          <w:w w:val="105"/>
          <w:sz w:val="19"/>
        </w:rPr>
        <w:t> </w:t>
      </w:r>
      <w:r>
        <w:rPr>
          <w:color w:val="231F20"/>
          <w:w w:val="105"/>
          <w:sz w:val="19"/>
        </w:rPr>
        <w:t>previsto</w:t>
      </w:r>
      <w:r>
        <w:rPr>
          <w:color w:val="231F20"/>
          <w:spacing w:val="-14"/>
          <w:w w:val="105"/>
          <w:sz w:val="19"/>
        </w:rPr>
        <w:t> </w:t>
      </w:r>
      <w:r>
        <w:rPr>
          <w:color w:val="231F20"/>
          <w:w w:val="105"/>
          <w:sz w:val="19"/>
        </w:rPr>
        <w:t>en</w:t>
      </w:r>
      <w:r>
        <w:rPr>
          <w:color w:val="231F20"/>
          <w:spacing w:val="-14"/>
          <w:w w:val="105"/>
          <w:sz w:val="19"/>
        </w:rPr>
        <w:t> </w:t>
      </w:r>
      <w:r>
        <w:rPr>
          <w:color w:val="231F20"/>
          <w:w w:val="105"/>
          <w:sz w:val="19"/>
        </w:rPr>
        <w:t>el</w:t>
      </w:r>
      <w:r>
        <w:rPr>
          <w:color w:val="231F20"/>
          <w:spacing w:val="-14"/>
          <w:w w:val="105"/>
          <w:sz w:val="19"/>
        </w:rPr>
        <w:t> </w:t>
      </w:r>
      <w:r>
        <w:rPr>
          <w:color w:val="231F20"/>
          <w:w w:val="105"/>
          <w:sz w:val="19"/>
        </w:rPr>
        <w:t>artículo</w:t>
      </w:r>
      <w:r>
        <w:rPr>
          <w:color w:val="231F20"/>
          <w:spacing w:val="-14"/>
          <w:w w:val="105"/>
          <w:sz w:val="19"/>
        </w:rPr>
        <w:t> </w:t>
      </w:r>
      <w:r>
        <w:rPr>
          <w:color w:val="231F20"/>
          <w:w w:val="105"/>
          <w:sz w:val="19"/>
        </w:rPr>
        <w:t>138</w:t>
      </w:r>
      <w:r>
        <w:rPr>
          <w:color w:val="231F20"/>
          <w:spacing w:val="-14"/>
          <w:w w:val="105"/>
          <w:sz w:val="19"/>
        </w:rPr>
        <w:t> </w:t>
      </w:r>
      <w:r>
        <w:rPr>
          <w:color w:val="231F20"/>
          <w:w w:val="105"/>
          <w:sz w:val="19"/>
        </w:rPr>
        <w:t>de</w:t>
      </w:r>
      <w:r>
        <w:rPr>
          <w:color w:val="231F20"/>
          <w:spacing w:val="-14"/>
          <w:w w:val="105"/>
          <w:sz w:val="19"/>
        </w:rPr>
        <w:t> </w:t>
      </w:r>
      <w:r>
        <w:rPr>
          <w:color w:val="231F20"/>
          <w:w w:val="105"/>
          <w:sz w:val="19"/>
        </w:rPr>
        <w:t>la Ley</w:t>
      </w:r>
      <w:r>
        <w:rPr>
          <w:color w:val="231F20"/>
          <w:spacing w:val="-24"/>
          <w:w w:val="105"/>
          <w:sz w:val="19"/>
        </w:rPr>
        <w:t> </w:t>
      </w:r>
      <w:r>
        <w:rPr>
          <w:color w:val="231F20"/>
          <w:w w:val="105"/>
          <w:sz w:val="19"/>
        </w:rPr>
        <w:t>General</w:t>
      </w:r>
      <w:r>
        <w:rPr>
          <w:color w:val="231F20"/>
          <w:spacing w:val="-24"/>
          <w:w w:val="105"/>
          <w:sz w:val="19"/>
        </w:rPr>
        <w:t> </w:t>
      </w:r>
      <w:r>
        <w:rPr>
          <w:color w:val="231F20"/>
          <w:w w:val="105"/>
          <w:sz w:val="19"/>
        </w:rPr>
        <w:t>de</w:t>
      </w:r>
      <w:r>
        <w:rPr>
          <w:color w:val="231F20"/>
          <w:spacing w:val="-24"/>
          <w:w w:val="105"/>
          <w:sz w:val="19"/>
        </w:rPr>
        <w:t> </w:t>
      </w:r>
      <w:r>
        <w:rPr>
          <w:color w:val="231F20"/>
          <w:w w:val="105"/>
          <w:sz w:val="19"/>
        </w:rPr>
        <w:t>Población;</w:t>
      </w:r>
    </w:p>
    <w:p>
      <w:pPr>
        <w:pStyle w:val="ListParagraph"/>
        <w:numPr>
          <w:ilvl w:val="0"/>
          <w:numId w:val="2"/>
        </w:numPr>
        <w:tabs>
          <w:tab w:pos="1882" w:val="left" w:leader="none"/>
        </w:tabs>
        <w:spacing w:line="220" w:lineRule="exact" w:before="113" w:after="0"/>
        <w:ind w:left="1881" w:right="115" w:hanging="360"/>
        <w:jc w:val="both"/>
        <w:rPr>
          <w:sz w:val="19"/>
        </w:rPr>
      </w:pPr>
      <w:r>
        <w:rPr>
          <w:color w:val="231F20"/>
          <w:spacing w:val="-3"/>
          <w:sz w:val="19"/>
        </w:rPr>
        <w:t>Tráfico</w:t>
      </w:r>
      <w:r>
        <w:rPr>
          <w:color w:val="231F20"/>
          <w:spacing w:val="-12"/>
          <w:sz w:val="19"/>
        </w:rPr>
        <w:t> </w:t>
      </w:r>
      <w:r>
        <w:rPr>
          <w:color w:val="231F20"/>
          <w:sz w:val="19"/>
        </w:rPr>
        <w:t>de</w:t>
      </w:r>
      <w:r>
        <w:rPr>
          <w:color w:val="231F20"/>
          <w:spacing w:val="-12"/>
          <w:sz w:val="19"/>
        </w:rPr>
        <w:t> </w:t>
      </w:r>
      <w:r>
        <w:rPr>
          <w:color w:val="231F20"/>
          <w:sz w:val="19"/>
        </w:rPr>
        <w:t>órganos,</w:t>
      </w:r>
      <w:r>
        <w:rPr>
          <w:color w:val="231F20"/>
          <w:spacing w:val="-12"/>
          <w:sz w:val="19"/>
        </w:rPr>
        <w:t> </w:t>
      </w:r>
      <w:r>
        <w:rPr>
          <w:color w:val="231F20"/>
          <w:sz w:val="19"/>
        </w:rPr>
        <w:t>previsto</w:t>
      </w:r>
      <w:r>
        <w:rPr>
          <w:color w:val="231F20"/>
          <w:spacing w:val="-12"/>
          <w:sz w:val="19"/>
        </w:rPr>
        <w:t> </w:t>
      </w:r>
      <w:r>
        <w:rPr>
          <w:color w:val="231F20"/>
          <w:sz w:val="19"/>
        </w:rPr>
        <w:t>en</w:t>
      </w:r>
      <w:r>
        <w:rPr>
          <w:color w:val="231F20"/>
          <w:spacing w:val="-12"/>
          <w:sz w:val="19"/>
        </w:rPr>
        <w:t> </w:t>
      </w:r>
      <w:r>
        <w:rPr>
          <w:color w:val="231F20"/>
          <w:sz w:val="19"/>
        </w:rPr>
        <w:t>los</w:t>
      </w:r>
      <w:r>
        <w:rPr>
          <w:color w:val="231F20"/>
          <w:spacing w:val="-12"/>
          <w:sz w:val="19"/>
        </w:rPr>
        <w:t> </w:t>
      </w:r>
      <w:r>
        <w:rPr>
          <w:color w:val="231F20"/>
          <w:sz w:val="19"/>
        </w:rPr>
        <w:t>artículos</w:t>
      </w:r>
      <w:r>
        <w:rPr>
          <w:color w:val="231F20"/>
          <w:spacing w:val="-12"/>
          <w:sz w:val="19"/>
        </w:rPr>
        <w:t> </w:t>
      </w:r>
      <w:r>
        <w:rPr>
          <w:color w:val="231F20"/>
          <w:sz w:val="19"/>
        </w:rPr>
        <w:t>461,</w:t>
      </w:r>
      <w:r>
        <w:rPr>
          <w:color w:val="231F20"/>
          <w:spacing w:val="-12"/>
          <w:sz w:val="19"/>
        </w:rPr>
        <w:t> </w:t>
      </w:r>
      <w:r>
        <w:rPr>
          <w:color w:val="231F20"/>
          <w:sz w:val="19"/>
        </w:rPr>
        <w:t>462</w:t>
      </w:r>
      <w:r>
        <w:rPr>
          <w:color w:val="231F20"/>
          <w:spacing w:val="-12"/>
          <w:sz w:val="19"/>
        </w:rPr>
        <w:t> </w:t>
      </w:r>
      <w:r>
        <w:rPr>
          <w:color w:val="231F20"/>
          <w:sz w:val="19"/>
        </w:rPr>
        <w:t>y</w:t>
      </w:r>
      <w:r>
        <w:rPr>
          <w:color w:val="231F20"/>
          <w:spacing w:val="-12"/>
          <w:sz w:val="19"/>
        </w:rPr>
        <w:t> </w:t>
      </w:r>
      <w:r>
        <w:rPr>
          <w:color w:val="231F20"/>
          <w:sz w:val="19"/>
        </w:rPr>
        <w:t>462</w:t>
      </w:r>
      <w:r>
        <w:rPr>
          <w:color w:val="231F20"/>
          <w:spacing w:val="-12"/>
          <w:sz w:val="19"/>
        </w:rPr>
        <w:t> </w:t>
      </w:r>
      <w:r>
        <w:rPr>
          <w:color w:val="231F20"/>
          <w:sz w:val="19"/>
        </w:rPr>
        <w:t>bis de la Ley General de Salud,</w:t>
      </w:r>
      <w:r>
        <w:rPr>
          <w:color w:val="231F20"/>
          <w:spacing w:val="-2"/>
          <w:sz w:val="19"/>
        </w:rPr>
        <w:t> </w:t>
      </w:r>
      <w:r>
        <w:rPr>
          <w:color w:val="231F20"/>
          <w:sz w:val="19"/>
        </w:rPr>
        <w:t>y</w:t>
      </w:r>
    </w:p>
    <w:p>
      <w:pPr>
        <w:pStyle w:val="ListParagraph"/>
        <w:numPr>
          <w:ilvl w:val="0"/>
          <w:numId w:val="2"/>
        </w:numPr>
        <w:tabs>
          <w:tab w:pos="1882" w:val="left" w:leader="none"/>
        </w:tabs>
        <w:spacing w:line="220" w:lineRule="exact" w:before="113" w:after="0"/>
        <w:ind w:left="1881" w:right="115" w:hanging="360"/>
        <w:jc w:val="both"/>
        <w:rPr>
          <w:sz w:val="19"/>
        </w:rPr>
      </w:pPr>
      <w:r>
        <w:rPr>
          <w:color w:val="231F20"/>
          <w:w w:val="105"/>
          <w:sz w:val="19"/>
        </w:rPr>
        <w:t>Asalto,</w:t>
      </w:r>
      <w:r>
        <w:rPr>
          <w:color w:val="231F20"/>
          <w:spacing w:val="-37"/>
          <w:w w:val="105"/>
          <w:sz w:val="19"/>
        </w:rPr>
        <w:t> </w:t>
      </w:r>
      <w:r>
        <w:rPr>
          <w:color w:val="231F20"/>
          <w:w w:val="105"/>
          <w:sz w:val="19"/>
        </w:rPr>
        <w:t>previsto</w:t>
      </w:r>
      <w:r>
        <w:rPr>
          <w:color w:val="231F20"/>
          <w:spacing w:val="-37"/>
          <w:w w:val="105"/>
          <w:sz w:val="19"/>
        </w:rPr>
        <w:t> </w:t>
      </w:r>
      <w:r>
        <w:rPr>
          <w:color w:val="231F20"/>
          <w:w w:val="105"/>
          <w:sz w:val="19"/>
        </w:rPr>
        <w:t>en</w:t>
      </w:r>
      <w:r>
        <w:rPr>
          <w:color w:val="231F20"/>
          <w:spacing w:val="-37"/>
          <w:w w:val="105"/>
          <w:sz w:val="19"/>
        </w:rPr>
        <w:t> </w:t>
      </w:r>
      <w:r>
        <w:rPr>
          <w:color w:val="231F20"/>
          <w:w w:val="105"/>
          <w:sz w:val="19"/>
        </w:rPr>
        <w:t>los</w:t>
      </w:r>
      <w:r>
        <w:rPr>
          <w:color w:val="231F20"/>
          <w:spacing w:val="-37"/>
          <w:w w:val="105"/>
          <w:sz w:val="19"/>
        </w:rPr>
        <w:t> </w:t>
      </w:r>
      <w:r>
        <w:rPr>
          <w:color w:val="231F20"/>
          <w:w w:val="105"/>
          <w:sz w:val="19"/>
        </w:rPr>
        <w:t>artículos</w:t>
      </w:r>
      <w:r>
        <w:rPr>
          <w:color w:val="231F20"/>
          <w:spacing w:val="-37"/>
          <w:w w:val="105"/>
          <w:sz w:val="19"/>
        </w:rPr>
        <w:t> </w:t>
      </w:r>
      <w:r>
        <w:rPr>
          <w:color w:val="231F20"/>
          <w:w w:val="105"/>
          <w:sz w:val="19"/>
        </w:rPr>
        <w:t>286</w:t>
      </w:r>
      <w:r>
        <w:rPr>
          <w:color w:val="231F20"/>
          <w:spacing w:val="-37"/>
          <w:w w:val="105"/>
          <w:sz w:val="19"/>
        </w:rPr>
        <w:t> </w:t>
      </w:r>
      <w:r>
        <w:rPr>
          <w:color w:val="231F20"/>
          <w:w w:val="105"/>
          <w:sz w:val="19"/>
        </w:rPr>
        <w:t>y</w:t>
      </w:r>
      <w:r>
        <w:rPr>
          <w:color w:val="231F20"/>
          <w:spacing w:val="-37"/>
          <w:w w:val="105"/>
          <w:sz w:val="19"/>
        </w:rPr>
        <w:t> </w:t>
      </w:r>
      <w:r>
        <w:rPr>
          <w:color w:val="231F20"/>
          <w:w w:val="105"/>
          <w:sz w:val="19"/>
        </w:rPr>
        <w:t>287;</w:t>
      </w:r>
      <w:r>
        <w:rPr>
          <w:color w:val="231F20"/>
          <w:spacing w:val="-37"/>
          <w:w w:val="105"/>
          <w:sz w:val="19"/>
        </w:rPr>
        <w:t> </w:t>
      </w:r>
      <w:r>
        <w:rPr>
          <w:color w:val="231F20"/>
          <w:w w:val="105"/>
          <w:sz w:val="19"/>
        </w:rPr>
        <w:t>secuestro,</w:t>
      </w:r>
      <w:r>
        <w:rPr>
          <w:color w:val="231F20"/>
          <w:spacing w:val="-37"/>
          <w:w w:val="105"/>
          <w:sz w:val="19"/>
        </w:rPr>
        <w:t> </w:t>
      </w:r>
      <w:r>
        <w:rPr>
          <w:color w:val="231F20"/>
          <w:w w:val="105"/>
          <w:sz w:val="19"/>
        </w:rPr>
        <w:t>previsto en</w:t>
      </w:r>
      <w:r>
        <w:rPr>
          <w:color w:val="231F20"/>
          <w:spacing w:val="-22"/>
          <w:w w:val="105"/>
          <w:sz w:val="19"/>
        </w:rPr>
        <w:t> </w:t>
      </w:r>
      <w:r>
        <w:rPr>
          <w:color w:val="231F20"/>
          <w:w w:val="105"/>
          <w:sz w:val="19"/>
        </w:rPr>
        <w:t>el</w:t>
      </w:r>
      <w:r>
        <w:rPr>
          <w:color w:val="231F20"/>
          <w:spacing w:val="-22"/>
          <w:w w:val="105"/>
          <w:sz w:val="19"/>
        </w:rPr>
        <w:t> </w:t>
      </w:r>
      <w:r>
        <w:rPr>
          <w:color w:val="231F20"/>
          <w:w w:val="105"/>
          <w:sz w:val="19"/>
        </w:rPr>
        <w:t>artículo</w:t>
      </w:r>
      <w:r>
        <w:rPr>
          <w:color w:val="231F20"/>
          <w:spacing w:val="-22"/>
          <w:w w:val="105"/>
          <w:sz w:val="19"/>
        </w:rPr>
        <w:t> </w:t>
      </w:r>
      <w:r>
        <w:rPr>
          <w:color w:val="231F20"/>
          <w:w w:val="105"/>
          <w:sz w:val="19"/>
        </w:rPr>
        <w:t>366,</w:t>
      </w:r>
      <w:r>
        <w:rPr>
          <w:color w:val="231F20"/>
          <w:spacing w:val="-22"/>
          <w:w w:val="105"/>
          <w:sz w:val="19"/>
        </w:rPr>
        <w:t> </w:t>
      </w:r>
      <w:r>
        <w:rPr>
          <w:color w:val="231F20"/>
          <w:w w:val="105"/>
          <w:sz w:val="19"/>
        </w:rPr>
        <w:t>y</w:t>
      </w:r>
      <w:r>
        <w:rPr>
          <w:color w:val="231F20"/>
          <w:spacing w:val="-22"/>
          <w:w w:val="105"/>
          <w:sz w:val="19"/>
        </w:rPr>
        <w:t> </w:t>
      </w:r>
      <w:r>
        <w:rPr>
          <w:color w:val="231F20"/>
          <w:w w:val="105"/>
          <w:sz w:val="19"/>
        </w:rPr>
        <w:t>robo</w:t>
      </w:r>
      <w:r>
        <w:rPr>
          <w:color w:val="231F20"/>
          <w:spacing w:val="-22"/>
          <w:w w:val="105"/>
          <w:sz w:val="19"/>
        </w:rPr>
        <w:t> </w:t>
      </w:r>
      <w:r>
        <w:rPr>
          <w:color w:val="231F20"/>
          <w:w w:val="105"/>
          <w:sz w:val="19"/>
        </w:rPr>
        <w:t>de</w:t>
      </w:r>
      <w:r>
        <w:rPr>
          <w:color w:val="231F20"/>
          <w:spacing w:val="-22"/>
          <w:w w:val="105"/>
          <w:sz w:val="19"/>
        </w:rPr>
        <w:t> </w:t>
      </w:r>
      <w:r>
        <w:rPr>
          <w:color w:val="231F20"/>
          <w:w w:val="105"/>
          <w:sz w:val="19"/>
        </w:rPr>
        <w:t>vehículos,</w:t>
      </w:r>
      <w:r>
        <w:rPr>
          <w:color w:val="231F20"/>
          <w:spacing w:val="-22"/>
          <w:w w:val="105"/>
          <w:sz w:val="19"/>
        </w:rPr>
        <w:t> </w:t>
      </w:r>
      <w:r>
        <w:rPr>
          <w:color w:val="231F20"/>
          <w:w w:val="105"/>
          <w:sz w:val="19"/>
        </w:rPr>
        <w:t>previsto</w:t>
      </w:r>
      <w:r>
        <w:rPr>
          <w:color w:val="231F20"/>
          <w:spacing w:val="-22"/>
          <w:w w:val="105"/>
          <w:sz w:val="19"/>
        </w:rPr>
        <w:t> </w:t>
      </w:r>
      <w:r>
        <w:rPr>
          <w:color w:val="231F20"/>
          <w:w w:val="105"/>
          <w:sz w:val="19"/>
        </w:rPr>
        <w:t>en</w:t>
      </w:r>
      <w:r>
        <w:rPr>
          <w:color w:val="231F20"/>
          <w:spacing w:val="-22"/>
          <w:w w:val="105"/>
          <w:sz w:val="19"/>
        </w:rPr>
        <w:t> </w:t>
      </w:r>
      <w:r>
        <w:rPr>
          <w:color w:val="231F20"/>
          <w:w w:val="105"/>
          <w:sz w:val="19"/>
        </w:rPr>
        <w:t>el</w:t>
      </w:r>
      <w:r>
        <w:rPr>
          <w:color w:val="231F20"/>
          <w:spacing w:val="-22"/>
          <w:w w:val="105"/>
          <w:sz w:val="19"/>
        </w:rPr>
        <w:t> </w:t>
      </w:r>
      <w:r>
        <w:rPr>
          <w:color w:val="231F20"/>
          <w:w w:val="105"/>
          <w:sz w:val="19"/>
        </w:rPr>
        <w:t>artículo 381 bis del Código Penal para el Distrito Federal en Mate- ria</w:t>
      </w:r>
      <w:r>
        <w:rPr>
          <w:color w:val="231F20"/>
          <w:spacing w:val="-11"/>
          <w:w w:val="105"/>
          <w:sz w:val="19"/>
        </w:rPr>
        <w:t> </w:t>
      </w:r>
      <w:r>
        <w:rPr>
          <w:color w:val="231F20"/>
          <w:w w:val="105"/>
          <w:sz w:val="19"/>
        </w:rPr>
        <w:t>del</w:t>
      </w:r>
      <w:r>
        <w:rPr>
          <w:color w:val="231F20"/>
          <w:spacing w:val="-11"/>
          <w:w w:val="105"/>
          <w:sz w:val="19"/>
        </w:rPr>
        <w:t> </w:t>
      </w:r>
      <w:r>
        <w:rPr>
          <w:color w:val="231F20"/>
          <w:w w:val="105"/>
          <w:sz w:val="19"/>
        </w:rPr>
        <w:t>Fuero</w:t>
      </w:r>
      <w:r>
        <w:rPr>
          <w:color w:val="231F20"/>
          <w:spacing w:val="-11"/>
          <w:w w:val="105"/>
          <w:sz w:val="19"/>
        </w:rPr>
        <w:t> </w:t>
      </w:r>
      <w:r>
        <w:rPr>
          <w:color w:val="231F20"/>
          <w:w w:val="105"/>
          <w:sz w:val="19"/>
        </w:rPr>
        <w:t>Común</w:t>
      </w:r>
      <w:r>
        <w:rPr>
          <w:color w:val="231F20"/>
          <w:spacing w:val="-11"/>
          <w:w w:val="105"/>
          <w:sz w:val="19"/>
        </w:rPr>
        <w:t> </w:t>
      </w:r>
      <w:r>
        <w:rPr>
          <w:color w:val="231F20"/>
          <w:w w:val="105"/>
          <w:sz w:val="19"/>
        </w:rPr>
        <w:t>y</w:t>
      </w:r>
      <w:r>
        <w:rPr>
          <w:color w:val="231F20"/>
          <w:spacing w:val="-11"/>
          <w:w w:val="105"/>
          <w:sz w:val="19"/>
        </w:rPr>
        <w:t> </w:t>
      </w:r>
      <w:r>
        <w:rPr>
          <w:color w:val="231F20"/>
          <w:w w:val="105"/>
          <w:sz w:val="19"/>
        </w:rPr>
        <w:t>para</w:t>
      </w:r>
      <w:r>
        <w:rPr>
          <w:color w:val="231F20"/>
          <w:spacing w:val="-11"/>
          <w:w w:val="105"/>
          <w:sz w:val="19"/>
        </w:rPr>
        <w:t> </w:t>
      </w:r>
      <w:r>
        <w:rPr>
          <w:color w:val="231F20"/>
          <w:w w:val="105"/>
          <w:sz w:val="19"/>
        </w:rPr>
        <w:t>toda</w:t>
      </w:r>
      <w:r>
        <w:rPr>
          <w:color w:val="231F20"/>
          <w:spacing w:val="-11"/>
          <w:w w:val="105"/>
          <w:sz w:val="19"/>
        </w:rPr>
        <w:t> </w:t>
      </w:r>
      <w:r>
        <w:rPr>
          <w:color w:val="231F20"/>
          <w:w w:val="105"/>
          <w:sz w:val="19"/>
        </w:rPr>
        <w:t>la</w:t>
      </w:r>
      <w:r>
        <w:rPr>
          <w:color w:val="231F20"/>
          <w:spacing w:val="-11"/>
          <w:w w:val="105"/>
          <w:sz w:val="19"/>
        </w:rPr>
        <w:t> </w:t>
      </w:r>
      <w:r>
        <w:rPr>
          <w:color w:val="231F20"/>
          <w:w w:val="105"/>
          <w:sz w:val="19"/>
        </w:rPr>
        <w:t>República</w:t>
      </w:r>
      <w:r>
        <w:rPr>
          <w:color w:val="231F20"/>
          <w:spacing w:val="-11"/>
          <w:w w:val="105"/>
          <w:sz w:val="19"/>
        </w:rPr>
        <w:t> </w:t>
      </w:r>
      <w:r>
        <w:rPr>
          <w:color w:val="231F20"/>
          <w:w w:val="105"/>
          <w:sz w:val="19"/>
        </w:rPr>
        <w:t>en</w:t>
      </w:r>
      <w:r>
        <w:rPr>
          <w:color w:val="231F20"/>
          <w:spacing w:val="-11"/>
          <w:w w:val="105"/>
          <w:sz w:val="19"/>
        </w:rPr>
        <w:t> </w:t>
      </w:r>
      <w:r>
        <w:rPr>
          <w:color w:val="231F20"/>
          <w:w w:val="105"/>
          <w:sz w:val="19"/>
        </w:rPr>
        <w:t>Materia</w:t>
      </w:r>
      <w:r>
        <w:rPr>
          <w:color w:val="231F20"/>
          <w:spacing w:val="-11"/>
          <w:w w:val="105"/>
          <w:sz w:val="19"/>
        </w:rPr>
        <w:t> </w:t>
      </w:r>
      <w:r>
        <w:rPr>
          <w:color w:val="231F20"/>
          <w:w w:val="105"/>
          <w:sz w:val="19"/>
        </w:rPr>
        <w:t>de Fuero</w:t>
      </w:r>
      <w:r>
        <w:rPr>
          <w:color w:val="231F20"/>
          <w:spacing w:val="-30"/>
          <w:w w:val="105"/>
          <w:sz w:val="19"/>
        </w:rPr>
        <w:t> </w:t>
      </w:r>
      <w:r>
        <w:rPr>
          <w:color w:val="231F20"/>
          <w:w w:val="105"/>
          <w:sz w:val="19"/>
        </w:rPr>
        <w:t>Federal,</w:t>
      </w:r>
      <w:r>
        <w:rPr>
          <w:color w:val="231F20"/>
          <w:spacing w:val="-30"/>
          <w:w w:val="105"/>
          <w:sz w:val="19"/>
        </w:rPr>
        <w:t> </w:t>
      </w:r>
      <w:r>
        <w:rPr>
          <w:color w:val="231F20"/>
          <w:w w:val="105"/>
          <w:sz w:val="19"/>
        </w:rPr>
        <w:t>o</w:t>
      </w:r>
      <w:r>
        <w:rPr>
          <w:color w:val="231F20"/>
          <w:spacing w:val="-30"/>
          <w:w w:val="105"/>
          <w:sz w:val="19"/>
        </w:rPr>
        <w:t> </w:t>
      </w:r>
      <w:r>
        <w:rPr>
          <w:color w:val="231F20"/>
          <w:w w:val="105"/>
          <w:sz w:val="19"/>
        </w:rPr>
        <w:t>en</w:t>
      </w:r>
      <w:r>
        <w:rPr>
          <w:color w:val="231F20"/>
          <w:spacing w:val="-30"/>
          <w:w w:val="105"/>
          <w:sz w:val="19"/>
        </w:rPr>
        <w:t> </w:t>
      </w:r>
      <w:r>
        <w:rPr>
          <w:color w:val="231F20"/>
          <w:w w:val="105"/>
          <w:sz w:val="19"/>
        </w:rPr>
        <w:t>las</w:t>
      </w:r>
      <w:r>
        <w:rPr>
          <w:color w:val="231F20"/>
          <w:spacing w:val="-30"/>
          <w:w w:val="105"/>
          <w:sz w:val="19"/>
        </w:rPr>
        <w:t> </w:t>
      </w:r>
      <w:r>
        <w:rPr>
          <w:color w:val="231F20"/>
          <w:w w:val="105"/>
          <w:sz w:val="19"/>
        </w:rPr>
        <w:t>disposiciones</w:t>
      </w:r>
      <w:r>
        <w:rPr>
          <w:color w:val="231F20"/>
          <w:spacing w:val="-30"/>
          <w:w w:val="105"/>
          <w:sz w:val="19"/>
        </w:rPr>
        <w:t> </w:t>
      </w:r>
      <w:r>
        <w:rPr>
          <w:color w:val="231F20"/>
          <w:w w:val="105"/>
          <w:sz w:val="19"/>
        </w:rPr>
        <w:t>correspondientes</w:t>
      </w:r>
      <w:r>
        <w:rPr>
          <w:color w:val="231F20"/>
          <w:spacing w:val="-30"/>
          <w:w w:val="105"/>
          <w:sz w:val="19"/>
        </w:rPr>
        <w:t> </w:t>
      </w:r>
      <w:r>
        <w:rPr>
          <w:color w:val="231F20"/>
          <w:w w:val="105"/>
          <w:sz w:val="19"/>
        </w:rPr>
        <w:t>de</w:t>
      </w:r>
      <w:r>
        <w:rPr>
          <w:color w:val="231F20"/>
          <w:spacing w:val="-30"/>
          <w:w w:val="105"/>
          <w:sz w:val="19"/>
        </w:rPr>
        <w:t> </w:t>
      </w:r>
      <w:r>
        <w:rPr>
          <w:color w:val="231F20"/>
          <w:w w:val="105"/>
          <w:sz w:val="19"/>
        </w:rPr>
        <w:t>las </w:t>
      </w:r>
      <w:r>
        <w:rPr>
          <w:color w:val="231F20"/>
          <w:sz w:val="19"/>
        </w:rPr>
        <w:t>legislaciones penales</w:t>
      </w:r>
      <w:r>
        <w:rPr>
          <w:color w:val="231F20"/>
          <w:spacing w:val="23"/>
          <w:sz w:val="19"/>
        </w:rPr>
        <w:t> </w:t>
      </w:r>
      <w:r>
        <w:rPr>
          <w:color w:val="231F20"/>
          <w:sz w:val="19"/>
        </w:rPr>
        <w:t>estatales</w:t>
      </w:r>
      <w:r>
        <w:rPr>
          <w:color w:val="231F20"/>
          <w:position w:val="6"/>
          <w:sz w:val="11"/>
        </w:rPr>
        <w:t>18</w:t>
      </w:r>
      <w:r>
        <w:rPr>
          <w:color w:val="231F20"/>
          <w:sz w:val="19"/>
        </w:rPr>
        <w:t>.</w:t>
      </w:r>
    </w:p>
    <w:p>
      <w:pPr>
        <w:pStyle w:val="BodyText"/>
        <w:spacing w:before="11"/>
        <w:rPr>
          <w:sz w:val="23"/>
        </w:rPr>
      </w:pPr>
    </w:p>
    <w:p>
      <w:pPr>
        <w:pStyle w:val="BodyText"/>
        <w:spacing w:line="247" w:lineRule="auto"/>
        <w:ind w:left="103" w:right="115"/>
        <w:jc w:val="both"/>
      </w:pPr>
      <w:r>
        <w:rPr>
          <w:color w:val="231F20"/>
        </w:rPr>
        <w:t>La </w:t>
      </w:r>
      <w:r>
        <w:rPr>
          <w:color w:val="231F20"/>
          <w:sz w:val="18"/>
        </w:rPr>
        <w:t>LFDO </w:t>
      </w:r>
      <w:r>
        <w:rPr>
          <w:color w:val="231F20"/>
        </w:rPr>
        <w:t>ha tenido críticos y seguidores. Respecto a los primeros, esta ley es</w:t>
      </w:r>
      <w:r>
        <w:rPr>
          <w:color w:val="231F20"/>
          <w:spacing w:val="-11"/>
        </w:rPr>
        <w:t> </w:t>
      </w:r>
      <w:r>
        <w:rPr>
          <w:color w:val="231F20"/>
        </w:rPr>
        <w:t>un</w:t>
      </w:r>
      <w:r>
        <w:rPr>
          <w:color w:val="231F20"/>
          <w:spacing w:val="-11"/>
        </w:rPr>
        <w:t> </w:t>
      </w:r>
      <w:r>
        <w:rPr>
          <w:color w:val="231F20"/>
        </w:rPr>
        <w:t>óbice</w:t>
      </w:r>
      <w:r>
        <w:rPr>
          <w:color w:val="231F20"/>
          <w:spacing w:val="-11"/>
        </w:rPr>
        <w:t> </w:t>
      </w:r>
      <w:r>
        <w:rPr>
          <w:color w:val="231F20"/>
        </w:rPr>
        <w:t>que</w:t>
      </w:r>
      <w:r>
        <w:rPr>
          <w:color w:val="231F20"/>
          <w:spacing w:val="-11"/>
        </w:rPr>
        <w:t> </w:t>
      </w:r>
      <w:r>
        <w:rPr>
          <w:color w:val="231F20"/>
        </w:rPr>
        <w:t>disminuye</w:t>
      </w:r>
      <w:r>
        <w:rPr>
          <w:color w:val="231F20"/>
          <w:spacing w:val="-11"/>
        </w:rPr>
        <w:t> </w:t>
      </w:r>
      <w:r>
        <w:rPr>
          <w:color w:val="231F20"/>
        </w:rPr>
        <w:t>las</w:t>
      </w:r>
      <w:r>
        <w:rPr>
          <w:color w:val="231F20"/>
          <w:spacing w:val="-11"/>
        </w:rPr>
        <w:t> </w:t>
      </w:r>
      <w:r>
        <w:rPr>
          <w:color w:val="231F20"/>
        </w:rPr>
        <w:t>garantías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ciudadanos</w:t>
      </w:r>
      <w:r>
        <w:rPr>
          <w:color w:val="231F20"/>
          <w:spacing w:val="-11"/>
        </w:rPr>
        <w:t> </w:t>
      </w:r>
      <w:r>
        <w:rPr>
          <w:color w:val="231F20"/>
        </w:rPr>
        <w:t>y</w:t>
      </w:r>
      <w:r>
        <w:rPr>
          <w:color w:val="231F20"/>
          <w:spacing w:val="-11"/>
        </w:rPr>
        <w:t> </w:t>
      </w:r>
      <w:r>
        <w:rPr>
          <w:color w:val="231F20"/>
        </w:rPr>
        <w:t>restringe</w:t>
      </w:r>
      <w:r>
        <w:rPr>
          <w:color w:val="231F20"/>
          <w:spacing w:val="-11"/>
        </w:rPr>
        <w:t> </w:t>
      </w:r>
      <w:r>
        <w:rPr>
          <w:color w:val="231F20"/>
        </w:rPr>
        <w:t>dere- chos</w:t>
      </w:r>
      <w:r>
        <w:rPr>
          <w:color w:val="231F20"/>
          <w:spacing w:val="-13"/>
        </w:rPr>
        <w:t> </w:t>
      </w:r>
      <w:r>
        <w:rPr>
          <w:color w:val="231F20"/>
        </w:rPr>
        <w:t>ante</w:t>
      </w:r>
      <w:r>
        <w:rPr>
          <w:color w:val="231F20"/>
          <w:spacing w:val="-13"/>
        </w:rPr>
        <w:t> </w:t>
      </w:r>
      <w:r>
        <w:rPr>
          <w:color w:val="231F20"/>
        </w:rPr>
        <w:t>proceso</w:t>
      </w:r>
      <w:r>
        <w:rPr>
          <w:color w:val="231F20"/>
          <w:spacing w:val="-13"/>
        </w:rPr>
        <w:t> </w:t>
      </w:r>
      <w:r>
        <w:rPr>
          <w:color w:val="231F20"/>
        </w:rPr>
        <w:t>penal.</w:t>
      </w:r>
      <w:r>
        <w:rPr>
          <w:color w:val="231F20"/>
          <w:spacing w:val="-13"/>
        </w:rPr>
        <w:t> </w:t>
      </w:r>
      <w:r>
        <w:rPr>
          <w:color w:val="231F20"/>
        </w:rPr>
        <w:t>Para</w:t>
      </w:r>
      <w:r>
        <w:rPr>
          <w:color w:val="231F20"/>
          <w:spacing w:val="-13"/>
        </w:rPr>
        <w:t> </w:t>
      </w:r>
      <w:r>
        <w:rPr>
          <w:color w:val="231F20"/>
        </w:rPr>
        <w:t>otros,</w:t>
      </w:r>
      <w:r>
        <w:rPr>
          <w:color w:val="231F20"/>
          <w:spacing w:val="-13"/>
        </w:rPr>
        <w:t> </w:t>
      </w:r>
      <w:r>
        <w:rPr>
          <w:color w:val="231F20"/>
        </w:rPr>
        <w:t>los</w:t>
      </w:r>
      <w:r>
        <w:rPr>
          <w:color w:val="231F20"/>
          <w:spacing w:val="-13"/>
        </w:rPr>
        <w:t> </w:t>
      </w:r>
      <w:r>
        <w:rPr>
          <w:color w:val="231F20"/>
        </w:rPr>
        <w:t>apologistas,</w:t>
      </w:r>
      <w:r>
        <w:rPr>
          <w:color w:val="231F20"/>
          <w:spacing w:val="-13"/>
        </w:rPr>
        <w:t> </w:t>
      </w:r>
      <w:r>
        <w:rPr>
          <w:color w:val="231F20"/>
        </w:rPr>
        <w:t>estas</w:t>
      </w:r>
      <w:r>
        <w:rPr>
          <w:color w:val="231F20"/>
          <w:spacing w:val="-13"/>
        </w:rPr>
        <w:t> </w:t>
      </w:r>
      <w:r>
        <w:rPr>
          <w:color w:val="231F20"/>
        </w:rPr>
        <w:t>restricciones</w:t>
      </w:r>
      <w:r>
        <w:rPr>
          <w:color w:val="231F20"/>
          <w:spacing w:val="-13"/>
        </w:rPr>
        <w:t> </w:t>
      </w:r>
      <w:r>
        <w:rPr>
          <w:color w:val="231F20"/>
        </w:rPr>
        <w:t>son necesarias para un combate frontal a la delincuencia organizada. Entre los instrumentos de investigación implementados en esta </w:t>
      </w:r>
      <w:r>
        <w:rPr>
          <w:color w:val="231F20"/>
          <w:spacing w:val="-5"/>
        </w:rPr>
        <w:t>ley, </w:t>
      </w:r>
      <w:r>
        <w:rPr>
          <w:color w:val="231F20"/>
        </w:rPr>
        <w:t>se encuentran:</w:t>
      </w:r>
    </w:p>
    <w:p>
      <w:pPr>
        <w:pStyle w:val="BodyText"/>
        <w:rPr>
          <w:sz w:val="20"/>
        </w:rPr>
      </w:pPr>
    </w:p>
    <w:p>
      <w:pPr>
        <w:pStyle w:val="BodyText"/>
        <w:spacing w:before="11"/>
        <w:rPr>
          <w:sz w:val="17"/>
        </w:rPr>
      </w:pPr>
      <w:r>
        <w:rPr/>
        <w:pict>
          <v:line style="position:absolute;mso-position-horizontal-relative:page;mso-position-vertical-relative:paragraph;z-index:2296;mso-wrap-distance-left:0;mso-wrap-distance-right:0" from="65.196899pt,12.943778pt" to="178.582899pt,12.943778pt" stroked="true" strokeweight=".3pt" strokecolor="#231f20">
            <w10:wrap type="topAndBottom"/>
          </v:line>
        </w:pict>
      </w:r>
    </w:p>
    <w:p>
      <w:pPr>
        <w:spacing w:line="204" w:lineRule="exact" w:before="9"/>
        <w:ind w:left="103" w:right="115" w:firstLine="0"/>
        <w:jc w:val="both"/>
        <w:rPr>
          <w:rFonts w:ascii="Calibri" w:hAnsi="Calibri"/>
          <w:sz w:val="17"/>
        </w:rPr>
      </w:pPr>
      <w:r>
        <w:rPr>
          <w:rFonts w:ascii="Calibri" w:hAnsi="Calibri"/>
          <w:color w:val="231F20"/>
          <w:position w:val="6"/>
          <w:sz w:val="10"/>
        </w:rPr>
        <w:t>17 </w:t>
      </w:r>
      <w:r>
        <w:rPr>
          <w:rFonts w:ascii="Calibri" w:hAnsi="Calibri"/>
          <w:color w:val="231F20"/>
          <w:sz w:val="17"/>
        </w:rPr>
        <w:t>S. García Ramírez “Garantías individuales y régimen constitucional sobre la delincuencia organi- zada”, </w:t>
      </w:r>
      <w:r>
        <w:rPr>
          <w:rFonts w:ascii="Calibri" w:hAnsi="Calibri"/>
          <w:i/>
          <w:color w:val="231F20"/>
          <w:sz w:val="17"/>
        </w:rPr>
        <w:t>El Sistema de justicia Penal en México: Retos y Perspectivas</w:t>
      </w:r>
      <w:r>
        <w:rPr>
          <w:rFonts w:ascii="Calibri" w:hAnsi="Calibri"/>
          <w:color w:val="231F20"/>
          <w:sz w:val="17"/>
        </w:rPr>
        <w:t>, México, </w:t>
      </w:r>
      <w:r>
        <w:rPr>
          <w:rFonts w:ascii="Calibri" w:hAnsi="Calibri"/>
          <w:color w:val="231F20"/>
          <w:sz w:val="15"/>
        </w:rPr>
        <w:t>SCJN</w:t>
      </w:r>
      <w:r>
        <w:rPr>
          <w:rFonts w:ascii="Calibri" w:hAnsi="Calibri"/>
          <w:color w:val="231F20"/>
          <w:sz w:val="17"/>
        </w:rPr>
        <w:t>, 2008.</w:t>
      </w:r>
    </w:p>
    <w:p>
      <w:pPr>
        <w:spacing w:line="204" w:lineRule="exact" w:before="0"/>
        <w:ind w:left="103" w:right="115" w:firstLine="0"/>
        <w:jc w:val="both"/>
        <w:rPr>
          <w:rFonts w:ascii="Calibri" w:hAnsi="Calibri"/>
          <w:sz w:val="17"/>
        </w:rPr>
      </w:pPr>
      <w:r>
        <w:rPr>
          <w:rFonts w:ascii="Calibri" w:hAnsi="Calibri"/>
          <w:color w:val="231F20"/>
          <w:position w:val="6"/>
          <w:sz w:val="10"/>
        </w:rPr>
        <w:t>18 </w:t>
      </w:r>
      <w:r>
        <w:rPr>
          <w:rFonts w:ascii="Calibri" w:hAnsi="Calibri"/>
          <w:color w:val="231F20"/>
          <w:sz w:val="17"/>
        </w:rPr>
        <w:t>Cámara de Diputados del H. Congreso de la Unión, </w:t>
      </w:r>
      <w:r>
        <w:rPr>
          <w:rFonts w:ascii="Calibri" w:hAnsi="Calibri"/>
          <w:i/>
          <w:color w:val="231F20"/>
          <w:sz w:val="17"/>
        </w:rPr>
        <w:t>Ley Federal Contra la Delincuencia Organizada</w:t>
      </w:r>
      <w:r>
        <w:rPr>
          <w:rFonts w:ascii="Calibri" w:hAnsi="Calibri"/>
          <w:color w:val="231F20"/>
          <w:sz w:val="17"/>
        </w:rPr>
        <w:t>, 14</w:t>
      </w:r>
      <w:r>
        <w:rPr>
          <w:rFonts w:ascii="Calibri" w:hAnsi="Calibri"/>
          <w:color w:val="231F20"/>
          <w:spacing w:val="-5"/>
          <w:sz w:val="17"/>
        </w:rPr>
        <w:t> </w:t>
      </w:r>
      <w:r>
        <w:rPr>
          <w:rFonts w:ascii="Calibri" w:hAnsi="Calibri"/>
          <w:color w:val="231F20"/>
          <w:sz w:val="17"/>
        </w:rPr>
        <w:t>de</w:t>
      </w:r>
      <w:r>
        <w:rPr>
          <w:rFonts w:ascii="Calibri" w:hAnsi="Calibri"/>
          <w:color w:val="231F20"/>
          <w:spacing w:val="-5"/>
          <w:sz w:val="17"/>
        </w:rPr>
        <w:t> </w:t>
      </w:r>
      <w:r>
        <w:rPr>
          <w:rFonts w:ascii="Calibri" w:hAnsi="Calibri"/>
          <w:color w:val="231F20"/>
          <w:sz w:val="17"/>
        </w:rPr>
        <w:t>marzo</w:t>
      </w:r>
      <w:r>
        <w:rPr>
          <w:rFonts w:ascii="Calibri" w:hAnsi="Calibri"/>
          <w:color w:val="231F20"/>
          <w:spacing w:val="-5"/>
          <w:sz w:val="17"/>
        </w:rPr>
        <w:t> </w:t>
      </w:r>
      <w:r>
        <w:rPr>
          <w:rFonts w:ascii="Calibri" w:hAnsi="Calibri"/>
          <w:color w:val="231F20"/>
          <w:sz w:val="17"/>
        </w:rPr>
        <w:t>de</w:t>
      </w:r>
      <w:r>
        <w:rPr>
          <w:rFonts w:ascii="Calibri" w:hAnsi="Calibri"/>
          <w:color w:val="231F20"/>
          <w:spacing w:val="-5"/>
          <w:sz w:val="17"/>
        </w:rPr>
        <w:t> </w:t>
      </w:r>
      <w:r>
        <w:rPr>
          <w:rFonts w:ascii="Calibri" w:hAnsi="Calibri"/>
          <w:color w:val="231F20"/>
          <w:sz w:val="17"/>
        </w:rPr>
        <w:t>2014,</w:t>
      </w:r>
      <w:r>
        <w:rPr>
          <w:rFonts w:ascii="Calibri" w:hAnsi="Calibri"/>
          <w:color w:val="231F20"/>
          <w:spacing w:val="-5"/>
          <w:sz w:val="17"/>
        </w:rPr>
        <w:t> </w:t>
      </w:r>
      <w:r>
        <w:rPr>
          <w:rFonts w:ascii="Calibri" w:hAnsi="Calibri"/>
          <w:color w:val="231F20"/>
          <w:sz w:val="17"/>
        </w:rPr>
        <w:t>consultado</w:t>
      </w:r>
      <w:r>
        <w:rPr>
          <w:rFonts w:ascii="Calibri" w:hAnsi="Calibri"/>
          <w:color w:val="231F20"/>
          <w:spacing w:val="-5"/>
          <w:sz w:val="17"/>
        </w:rPr>
        <w:t> </w:t>
      </w:r>
      <w:r>
        <w:rPr>
          <w:rFonts w:ascii="Calibri" w:hAnsi="Calibri"/>
          <w:color w:val="231F20"/>
          <w:sz w:val="17"/>
        </w:rPr>
        <w:t>el</w:t>
      </w:r>
      <w:r>
        <w:rPr>
          <w:rFonts w:ascii="Calibri" w:hAnsi="Calibri"/>
          <w:color w:val="231F20"/>
          <w:spacing w:val="-5"/>
          <w:sz w:val="17"/>
        </w:rPr>
        <w:t> </w:t>
      </w:r>
      <w:r>
        <w:rPr>
          <w:rFonts w:ascii="Calibri" w:hAnsi="Calibri"/>
          <w:color w:val="231F20"/>
          <w:sz w:val="17"/>
        </w:rPr>
        <w:t>1</w:t>
      </w:r>
      <w:r>
        <w:rPr>
          <w:rFonts w:ascii="Calibri" w:hAnsi="Calibri"/>
          <w:color w:val="231F20"/>
          <w:spacing w:val="-5"/>
          <w:sz w:val="17"/>
        </w:rPr>
        <w:t> </w:t>
      </w:r>
      <w:r>
        <w:rPr>
          <w:rFonts w:ascii="Calibri" w:hAnsi="Calibri"/>
          <w:color w:val="231F20"/>
          <w:sz w:val="17"/>
        </w:rPr>
        <w:t>de</w:t>
      </w:r>
      <w:r>
        <w:rPr>
          <w:rFonts w:ascii="Calibri" w:hAnsi="Calibri"/>
          <w:color w:val="231F20"/>
          <w:spacing w:val="-5"/>
          <w:sz w:val="17"/>
        </w:rPr>
        <w:t> </w:t>
      </w:r>
      <w:r>
        <w:rPr>
          <w:rFonts w:ascii="Calibri" w:hAnsi="Calibri"/>
          <w:color w:val="231F20"/>
          <w:sz w:val="17"/>
        </w:rPr>
        <w:t>octubre</w:t>
      </w:r>
      <w:r>
        <w:rPr>
          <w:rFonts w:ascii="Calibri" w:hAnsi="Calibri"/>
          <w:color w:val="231F20"/>
          <w:spacing w:val="-5"/>
          <w:sz w:val="17"/>
        </w:rPr>
        <w:t> </w:t>
      </w:r>
      <w:r>
        <w:rPr>
          <w:rFonts w:ascii="Calibri" w:hAnsi="Calibri"/>
          <w:color w:val="231F20"/>
          <w:sz w:val="17"/>
        </w:rPr>
        <w:t>de</w:t>
      </w:r>
      <w:r>
        <w:rPr>
          <w:rFonts w:ascii="Calibri" w:hAnsi="Calibri"/>
          <w:color w:val="231F20"/>
          <w:spacing w:val="-5"/>
          <w:sz w:val="17"/>
        </w:rPr>
        <w:t> </w:t>
      </w:r>
      <w:r>
        <w:rPr>
          <w:rFonts w:ascii="Calibri" w:hAnsi="Calibri"/>
          <w:color w:val="231F20"/>
          <w:sz w:val="17"/>
        </w:rPr>
        <w:t>2015,</w:t>
      </w:r>
      <w:r>
        <w:rPr>
          <w:rFonts w:ascii="Calibri" w:hAnsi="Calibri"/>
          <w:color w:val="231F20"/>
          <w:spacing w:val="-5"/>
          <w:sz w:val="17"/>
        </w:rPr>
        <w:t> </w:t>
      </w:r>
      <w:r>
        <w:rPr>
          <w:rFonts w:ascii="Calibri" w:hAnsi="Calibri"/>
          <w:color w:val="231F20"/>
          <w:sz w:val="17"/>
        </w:rPr>
        <w:t>disponible</w:t>
      </w:r>
      <w:r>
        <w:rPr>
          <w:rFonts w:ascii="Calibri" w:hAnsi="Calibri"/>
          <w:color w:val="231F20"/>
          <w:spacing w:val="-5"/>
          <w:sz w:val="17"/>
        </w:rPr>
        <w:t> </w:t>
      </w:r>
      <w:r>
        <w:rPr>
          <w:rFonts w:ascii="Calibri" w:hAnsi="Calibri"/>
          <w:color w:val="231F20"/>
          <w:sz w:val="17"/>
        </w:rPr>
        <w:t>en:</w:t>
      </w:r>
      <w:r>
        <w:rPr>
          <w:rFonts w:ascii="Calibri" w:hAnsi="Calibri"/>
          <w:color w:val="231F20"/>
          <w:spacing w:val="-5"/>
          <w:sz w:val="17"/>
        </w:rPr>
        <w:t> </w:t>
      </w:r>
      <w:hyperlink r:id="rId39">
        <w:r>
          <w:rPr>
            <w:rFonts w:ascii="Calibri" w:hAnsi="Calibri"/>
            <w:color w:val="231F20"/>
            <w:sz w:val="17"/>
          </w:rPr>
          <w:t>http://www.diputados.gob.</w:t>
        </w:r>
      </w:hyperlink>
      <w:r>
        <w:rPr>
          <w:rFonts w:ascii="Calibri" w:hAnsi="Calibri"/>
          <w:color w:val="231F20"/>
          <w:sz w:val="17"/>
        </w:rPr>
        <w:t> mx/LeyesBiblio/pdf/101.pdf.</w:t>
      </w:r>
    </w:p>
    <w:p>
      <w:pPr>
        <w:pStyle w:val="BodyText"/>
        <w:rPr>
          <w:rFonts w:ascii="Calibri"/>
          <w:sz w:val="20"/>
        </w:rPr>
      </w:pPr>
    </w:p>
    <w:p>
      <w:pPr>
        <w:pStyle w:val="BodyText"/>
        <w:spacing w:before="8"/>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73080"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Arial" w:hAnsi="Arial"/>
          <w:color w:val="414042"/>
          <w:position w:val="-4"/>
          <w:sz w:val="20"/>
        </w:rPr>
        <w:t>28</w:t>
        <w:tab/>
      </w:r>
      <w:r>
        <w:rPr>
          <w:rFonts w:ascii="Calibri" w:hAnsi="Calibri"/>
          <w:color w:val="6D6E71"/>
          <w:sz w:val="16"/>
        </w:rPr>
        <w:t>Jorge Olvera</w:t>
      </w:r>
      <w:r>
        <w:rPr>
          <w:rFonts w:ascii="Calibri" w:hAnsi="Calibri"/>
          <w:color w:val="6D6E71"/>
          <w:spacing w:val="14"/>
          <w:sz w:val="16"/>
        </w:rPr>
        <w:t> </w:t>
      </w:r>
      <w:r>
        <w:rPr>
          <w:rFonts w:ascii="Calibri" w:hAnsi="Calibri"/>
          <w:color w:val="6D6E71"/>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8"/>
        <w:ind w:left="907" w:right="0" w:firstLine="0"/>
        <w:jc w:val="left"/>
        <w:rPr>
          <w:rFonts w:ascii="Arial" w:hAnsi="Arial"/>
          <w:sz w:val="20"/>
        </w:rPr>
      </w:pPr>
      <w:r>
        <w:rPr/>
        <w:pict>
          <v:group style="position:absolute;margin-left:383.821014pt;margin-top:-25.476145pt;width:8.65pt;height:41pt;mso-position-horizontal-relative:page;mso-position-vertical-relative:paragraph;z-index:-17303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Calibri" w:hAnsi="Calibri"/>
          <w:color w:val="6D6E71"/>
          <w:w w:val="105"/>
          <w:sz w:val="14"/>
        </w:rPr>
        <w:t>CAMBIO DE PARADIGMA JURÍDICO: EL 11-S Y LA DELINCUENCIA ORGANIZADA</w:t>
      </w:r>
      <w:r>
        <w:rPr>
          <w:rFonts w:ascii="Calibri" w:hAnsi="Calibri"/>
          <w:color w:val="6D6E71"/>
          <w:spacing w:val="11"/>
          <w:w w:val="105"/>
          <w:sz w:val="14"/>
        </w:rPr>
        <w:t> </w:t>
      </w:r>
      <w:r>
        <w:rPr>
          <w:rFonts w:ascii="Calibri" w:hAnsi="Calibri"/>
          <w:color w:val="6D6E71"/>
          <w:w w:val="105"/>
          <w:sz w:val="14"/>
        </w:rPr>
        <w:t>EN</w:t>
      </w:r>
      <w:r>
        <w:rPr>
          <w:rFonts w:ascii="Calibri" w:hAnsi="Calibri"/>
          <w:color w:val="6D6E71"/>
          <w:spacing w:val="1"/>
          <w:w w:val="105"/>
          <w:sz w:val="14"/>
        </w:rPr>
        <w:t> </w:t>
      </w:r>
      <w:r>
        <w:rPr>
          <w:rFonts w:ascii="Calibri" w:hAnsi="Calibri"/>
          <w:color w:val="6D6E71"/>
          <w:w w:val="105"/>
          <w:sz w:val="14"/>
        </w:rPr>
        <w:t>MÉXICO</w:t>
      </w:r>
      <w:r>
        <w:rPr>
          <w:rFonts w:ascii="Arial" w:hAnsi="Arial"/>
          <w:color w:val="414042"/>
          <w:w w:val="105"/>
          <w:position w:val="-3"/>
          <w:sz w:val="20"/>
        </w:rPr>
        <w:tab/>
        <w:t>29</w:t>
      </w:r>
    </w:p>
    <w:p>
      <w:pPr>
        <w:pStyle w:val="BodyText"/>
        <w:rPr>
          <w:rFonts w:ascii="Arial"/>
          <w:sz w:val="20"/>
        </w:rPr>
      </w:pPr>
    </w:p>
    <w:p>
      <w:pPr>
        <w:pStyle w:val="BodyText"/>
        <w:rPr>
          <w:rFonts w:ascii="Arial"/>
          <w:sz w:val="20"/>
        </w:rPr>
      </w:pPr>
    </w:p>
    <w:p>
      <w:pPr>
        <w:pStyle w:val="ListParagraph"/>
        <w:numPr>
          <w:ilvl w:val="0"/>
          <w:numId w:val="3"/>
        </w:numPr>
        <w:tabs>
          <w:tab w:pos="1044" w:val="left" w:leader="none"/>
          <w:tab w:pos="1045" w:val="left" w:leader="none"/>
        </w:tabs>
        <w:spacing w:line="240" w:lineRule="auto" w:before="169" w:after="0"/>
        <w:ind w:left="1044" w:right="0" w:hanging="360"/>
        <w:jc w:val="left"/>
        <w:rPr>
          <w:sz w:val="21"/>
        </w:rPr>
      </w:pPr>
      <w:r>
        <w:rPr>
          <w:color w:val="231F20"/>
          <w:sz w:val="21"/>
        </w:rPr>
        <w:t>La infiltración de agentes en la</w:t>
      </w:r>
      <w:r>
        <w:rPr>
          <w:color w:val="231F20"/>
          <w:spacing w:val="-29"/>
          <w:sz w:val="21"/>
        </w:rPr>
        <w:t> </w:t>
      </w:r>
      <w:r>
        <w:rPr>
          <w:color w:val="231F20"/>
          <w:sz w:val="21"/>
        </w:rPr>
        <w:t>estructura</w:t>
      </w:r>
    </w:p>
    <w:p>
      <w:pPr>
        <w:pStyle w:val="ListParagraph"/>
        <w:numPr>
          <w:ilvl w:val="0"/>
          <w:numId w:val="3"/>
        </w:numPr>
        <w:tabs>
          <w:tab w:pos="1044" w:val="left" w:leader="none"/>
          <w:tab w:pos="1045" w:val="left" w:leader="none"/>
        </w:tabs>
        <w:spacing w:line="240" w:lineRule="auto" w:before="6" w:after="0"/>
        <w:ind w:left="1044" w:right="0" w:hanging="360"/>
        <w:jc w:val="left"/>
        <w:rPr>
          <w:sz w:val="21"/>
        </w:rPr>
      </w:pPr>
      <w:r>
        <w:rPr>
          <w:color w:val="231F20"/>
          <w:w w:val="105"/>
          <w:sz w:val="21"/>
        </w:rPr>
        <w:t>La</w:t>
      </w:r>
      <w:r>
        <w:rPr>
          <w:color w:val="231F20"/>
          <w:spacing w:val="-42"/>
          <w:w w:val="105"/>
          <w:sz w:val="21"/>
        </w:rPr>
        <w:t> </w:t>
      </w:r>
      <w:r>
        <w:rPr>
          <w:color w:val="231F20"/>
          <w:w w:val="105"/>
          <w:sz w:val="21"/>
        </w:rPr>
        <w:t>intervención</w:t>
      </w:r>
      <w:r>
        <w:rPr>
          <w:color w:val="231F20"/>
          <w:spacing w:val="-42"/>
          <w:w w:val="105"/>
          <w:sz w:val="21"/>
        </w:rPr>
        <w:t> </w:t>
      </w:r>
      <w:r>
        <w:rPr>
          <w:color w:val="231F20"/>
          <w:w w:val="105"/>
          <w:sz w:val="21"/>
        </w:rPr>
        <w:t>de</w:t>
      </w:r>
      <w:r>
        <w:rPr>
          <w:color w:val="231F20"/>
          <w:spacing w:val="-42"/>
          <w:w w:val="105"/>
          <w:sz w:val="21"/>
        </w:rPr>
        <w:t> </w:t>
      </w:r>
      <w:r>
        <w:rPr>
          <w:color w:val="231F20"/>
          <w:w w:val="105"/>
          <w:sz w:val="21"/>
        </w:rPr>
        <w:t>comunicaciones</w:t>
      </w:r>
      <w:r>
        <w:rPr>
          <w:color w:val="231F20"/>
          <w:spacing w:val="-42"/>
          <w:w w:val="105"/>
          <w:sz w:val="21"/>
        </w:rPr>
        <w:t> </w:t>
      </w:r>
      <w:r>
        <w:rPr>
          <w:color w:val="231F20"/>
          <w:w w:val="105"/>
          <w:sz w:val="21"/>
        </w:rPr>
        <w:t>privadas</w:t>
      </w:r>
    </w:p>
    <w:p>
      <w:pPr>
        <w:pStyle w:val="ListParagraph"/>
        <w:numPr>
          <w:ilvl w:val="0"/>
          <w:numId w:val="3"/>
        </w:numPr>
        <w:tabs>
          <w:tab w:pos="1044" w:val="left" w:leader="none"/>
          <w:tab w:pos="1045" w:val="left" w:leader="none"/>
        </w:tabs>
        <w:spacing w:line="240" w:lineRule="auto" w:before="6" w:after="0"/>
        <w:ind w:left="1044" w:right="0" w:hanging="360"/>
        <w:jc w:val="left"/>
        <w:rPr>
          <w:sz w:val="21"/>
        </w:rPr>
      </w:pPr>
      <w:r>
        <w:rPr>
          <w:color w:val="231F20"/>
          <w:w w:val="105"/>
          <w:sz w:val="21"/>
        </w:rPr>
        <w:t>El</w:t>
      </w:r>
      <w:r>
        <w:rPr>
          <w:color w:val="231F20"/>
          <w:spacing w:val="-21"/>
          <w:w w:val="105"/>
          <w:sz w:val="21"/>
        </w:rPr>
        <w:t> </w:t>
      </w:r>
      <w:r>
        <w:rPr>
          <w:color w:val="231F20"/>
          <w:w w:val="105"/>
          <w:sz w:val="21"/>
        </w:rPr>
        <w:t>cateo</w:t>
      </w:r>
    </w:p>
    <w:p>
      <w:pPr>
        <w:pStyle w:val="ListParagraph"/>
        <w:numPr>
          <w:ilvl w:val="0"/>
          <w:numId w:val="3"/>
        </w:numPr>
        <w:tabs>
          <w:tab w:pos="1044" w:val="left" w:leader="none"/>
          <w:tab w:pos="1045" w:val="left" w:leader="none"/>
        </w:tabs>
        <w:spacing w:line="240" w:lineRule="auto" w:before="6" w:after="0"/>
        <w:ind w:left="1044" w:right="0" w:hanging="360"/>
        <w:jc w:val="left"/>
        <w:rPr>
          <w:sz w:val="21"/>
        </w:rPr>
      </w:pPr>
      <w:r>
        <w:rPr>
          <w:color w:val="231F20"/>
          <w:sz w:val="21"/>
        </w:rPr>
        <w:t>La</w:t>
      </w:r>
      <w:r>
        <w:rPr>
          <w:color w:val="231F20"/>
          <w:spacing w:val="13"/>
          <w:sz w:val="21"/>
        </w:rPr>
        <w:t> </w:t>
      </w:r>
      <w:r>
        <w:rPr>
          <w:color w:val="231F20"/>
          <w:sz w:val="21"/>
        </w:rPr>
        <w:t>recompensa</w:t>
      </w:r>
    </w:p>
    <w:p>
      <w:pPr>
        <w:pStyle w:val="ListParagraph"/>
        <w:numPr>
          <w:ilvl w:val="0"/>
          <w:numId w:val="3"/>
        </w:numPr>
        <w:tabs>
          <w:tab w:pos="1044" w:val="left" w:leader="none"/>
          <w:tab w:pos="1045" w:val="left" w:leader="none"/>
        </w:tabs>
        <w:spacing w:line="240" w:lineRule="auto" w:before="6" w:after="0"/>
        <w:ind w:left="1044" w:right="0" w:hanging="360"/>
        <w:jc w:val="left"/>
        <w:rPr>
          <w:sz w:val="21"/>
        </w:rPr>
      </w:pPr>
      <w:r>
        <w:rPr>
          <w:color w:val="231F20"/>
          <w:sz w:val="21"/>
        </w:rPr>
        <w:t>La información</w:t>
      </w:r>
      <w:r>
        <w:rPr>
          <w:color w:val="231F20"/>
          <w:spacing w:val="8"/>
          <w:sz w:val="21"/>
        </w:rPr>
        <w:t> </w:t>
      </w:r>
      <w:r>
        <w:rPr>
          <w:color w:val="231F20"/>
          <w:sz w:val="21"/>
        </w:rPr>
        <w:t>anónima</w:t>
      </w:r>
    </w:p>
    <w:p>
      <w:pPr>
        <w:pStyle w:val="ListParagraph"/>
        <w:numPr>
          <w:ilvl w:val="0"/>
          <w:numId w:val="3"/>
        </w:numPr>
        <w:tabs>
          <w:tab w:pos="1044" w:val="left" w:leader="none"/>
          <w:tab w:pos="1045" w:val="left" w:leader="none"/>
        </w:tabs>
        <w:spacing w:line="240" w:lineRule="auto" w:before="6" w:after="0"/>
        <w:ind w:left="1044" w:right="0" w:hanging="360"/>
        <w:jc w:val="left"/>
        <w:rPr>
          <w:sz w:val="21"/>
        </w:rPr>
      </w:pPr>
      <w:r>
        <w:rPr>
          <w:color w:val="231F20"/>
          <w:w w:val="105"/>
          <w:sz w:val="21"/>
        </w:rPr>
        <w:t>El</w:t>
      </w:r>
      <w:r>
        <w:rPr>
          <w:color w:val="231F20"/>
          <w:spacing w:val="-36"/>
          <w:w w:val="105"/>
          <w:sz w:val="21"/>
        </w:rPr>
        <w:t> </w:t>
      </w:r>
      <w:r>
        <w:rPr>
          <w:color w:val="231F20"/>
          <w:w w:val="105"/>
          <w:sz w:val="21"/>
        </w:rPr>
        <w:t>arraigo</w:t>
      </w:r>
    </w:p>
    <w:p>
      <w:pPr>
        <w:pStyle w:val="ListParagraph"/>
        <w:numPr>
          <w:ilvl w:val="0"/>
          <w:numId w:val="3"/>
        </w:numPr>
        <w:tabs>
          <w:tab w:pos="1044" w:val="left" w:leader="none"/>
          <w:tab w:pos="1045" w:val="left" w:leader="none"/>
        </w:tabs>
        <w:spacing w:line="240" w:lineRule="auto" w:before="6" w:after="0"/>
        <w:ind w:left="1044" w:right="0" w:hanging="360"/>
        <w:jc w:val="left"/>
        <w:rPr>
          <w:sz w:val="21"/>
        </w:rPr>
      </w:pPr>
      <w:r>
        <w:rPr>
          <w:color w:val="231F20"/>
          <w:sz w:val="21"/>
        </w:rPr>
        <w:t>La reserva de actuación de averiguación</w:t>
      </w:r>
      <w:r>
        <w:rPr>
          <w:color w:val="231F20"/>
          <w:spacing w:val="-10"/>
          <w:sz w:val="21"/>
        </w:rPr>
        <w:t> </w:t>
      </w:r>
      <w:r>
        <w:rPr>
          <w:color w:val="231F20"/>
          <w:sz w:val="21"/>
        </w:rPr>
        <w:t>previa</w:t>
      </w:r>
    </w:p>
    <w:p>
      <w:pPr>
        <w:pStyle w:val="ListParagraph"/>
        <w:numPr>
          <w:ilvl w:val="0"/>
          <w:numId w:val="3"/>
        </w:numPr>
        <w:tabs>
          <w:tab w:pos="1044" w:val="left" w:leader="none"/>
          <w:tab w:pos="1045" w:val="left" w:leader="none"/>
        </w:tabs>
        <w:spacing w:line="240" w:lineRule="auto" w:before="6" w:after="0"/>
        <w:ind w:left="1044" w:right="0" w:hanging="360"/>
        <w:jc w:val="left"/>
        <w:rPr>
          <w:sz w:val="21"/>
        </w:rPr>
      </w:pPr>
      <w:r>
        <w:rPr>
          <w:color w:val="231F20"/>
          <w:w w:val="105"/>
          <w:sz w:val="21"/>
        </w:rPr>
        <w:t>El</w:t>
      </w:r>
      <w:r>
        <w:rPr>
          <w:color w:val="231F20"/>
          <w:spacing w:val="-29"/>
          <w:w w:val="105"/>
          <w:sz w:val="21"/>
        </w:rPr>
        <w:t> </w:t>
      </w:r>
      <w:r>
        <w:rPr>
          <w:color w:val="231F20"/>
          <w:w w:val="105"/>
          <w:sz w:val="21"/>
        </w:rPr>
        <w:t>aseguramiento</w:t>
      </w:r>
      <w:r>
        <w:rPr>
          <w:color w:val="231F20"/>
          <w:spacing w:val="-29"/>
          <w:w w:val="105"/>
          <w:sz w:val="21"/>
        </w:rPr>
        <w:t> </w:t>
      </w:r>
      <w:r>
        <w:rPr>
          <w:color w:val="231F20"/>
          <w:w w:val="105"/>
          <w:sz w:val="21"/>
        </w:rPr>
        <w:t>de</w:t>
      </w:r>
      <w:r>
        <w:rPr>
          <w:color w:val="231F20"/>
          <w:spacing w:val="-29"/>
          <w:w w:val="105"/>
          <w:sz w:val="21"/>
        </w:rPr>
        <w:t> </w:t>
      </w:r>
      <w:r>
        <w:rPr>
          <w:color w:val="231F20"/>
          <w:w w:val="105"/>
          <w:sz w:val="21"/>
        </w:rPr>
        <w:t>bienes</w:t>
      </w:r>
    </w:p>
    <w:p>
      <w:pPr>
        <w:pStyle w:val="BodyText"/>
        <w:rPr>
          <w:sz w:val="22"/>
        </w:rPr>
      </w:pPr>
    </w:p>
    <w:p>
      <w:pPr>
        <w:pStyle w:val="BodyText"/>
        <w:spacing w:line="244" w:lineRule="auto" w:before="1"/>
        <w:ind w:left="117" w:right="101"/>
        <w:jc w:val="both"/>
      </w:pPr>
      <w:r>
        <w:rPr>
          <w:color w:val="231F20"/>
        </w:rPr>
        <w:t>El</w:t>
      </w:r>
      <w:r>
        <w:rPr>
          <w:color w:val="231F20"/>
          <w:spacing w:val="-5"/>
        </w:rPr>
        <w:t> </w:t>
      </w:r>
      <w:r>
        <w:rPr>
          <w:color w:val="231F20"/>
        </w:rPr>
        <w:t>instrumento</w:t>
      </w:r>
      <w:r>
        <w:rPr>
          <w:color w:val="231F20"/>
          <w:spacing w:val="-5"/>
        </w:rPr>
        <w:t> </w:t>
      </w:r>
      <w:r>
        <w:rPr>
          <w:color w:val="231F20"/>
        </w:rPr>
        <w:t>que</w:t>
      </w:r>
      <w:r>
        <w:rPr>
          <w:color w:val="231F20"/>
          <w:spacing w:val="-5"/>
        </w:rPr>
        <w:t> </w:t>
      </w:r>
      <w:r>
        <w:rPr>
          <w:color w:val="231F20"/>
        </w:rPr>
        <w:t>ha</w:t>
      </w:r>
      <w:r>
        <w:rPr>
          <w:color w:val="231F20"/>
          <w:spacing w:val="-5"/>
        </w:rPr>
        <w:t> </w:t>
      </w:r>
      <w:r>
        <w:rPr>
          <w:color w:val="231F20"/>
        </w:rPr>
        <w:t>causado</w:t>
      </w:r>
      <w:r>
        <w:rPr>
          <w:color w:val="231F20"/>
          <w:spacing w:val="-5"/>
        </w:rPr>
        <w:t> </w:t>
      </w:r>
      <w:r>
        <w:rPr>
          <w:color w:val="231F20"/>
        </w:rPr>
        <w:t>mayores</w:t>
      </w:r>
      <w:r>
        <w:rPr>
          <w:color w:val="231F20"/>
          <w:spacing w:val="-5"/>
        </w:rPr>
        <w:t> </w:t>
      </w:r>
      <w:r>
        <w:rPr>
          <w:color w:val="231F20"/>
        </w:rPr>
        <w:t>críticas</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arraigo,</w:t>
      </w:r>
      <w:r>
        <w:rPr>
          <w:color w:val="231F20"/>
          <w:spacing w:val="-5"/>
        </w:rPr>
        <w:t> </w:t>
      </w:r>
      <w:r>
        <w:rPr>
          <w:color w:val="231F20"/>
        </w:rPr>
        <w:t>contemplado en el artículo 16 constitucional párrafo sexto, el cual considera que </w:t>
      </w:r>
      <w:r>
        <w:rPr>
          <w:rFonts w:ascii="Arial" w:hAnsi="Arial"/>
          <w:i/>
          <w:color w:val="231F20"/>
        </w:rPr>
        <w:t>el ene- </w:t>
      </w:r>
      <w:r>
        <w:rPr>
          <w:rFonts w:ascii="Arial" w:hAnsi="Arial"/>
          <w:i/>
          <w:color w:val="231F20"/>
        </w:rPr>
        <w:t>migo organizado </w:t>
      </w:r>
      <w:r>
        <w:rPr>
          <w:color w:val="231F20"/>
        </w:rPr>
        <w:t>podrá</w:t>
      </w:r>
      <w:r>
        <w:rPr>
          <w:color w:val="231F20"/>
          <w:spacing w:val="-7"/>
        </w:rPr>
        <w:t> </w:t>
      </w:r>
      <w:r>
        <w:rPr>
          <w:color w:val="231F20"/>
        </w:rPr>
        <w:t>ser</w:t>
      </w:r>
      <w:r>
        <w:rPr>
          <w:color w:val="231F20"/>
          <w:spacing w:val="-7"/>
        </w:rPr>
        <w:t> </w:t>
      </w:r>
      <w:r>
        <w:rPr>
          <w:color w:val="231F20"/>
        </w:rPr>
        <w:t>arraigado</w:t>
      </w:r>
      <w:r>
        <w:rPr>
          <w:color w:val="231F20"/>
          <w:spacing w:val="-7"/>
        </w:rPr>
        <w:t> </w:t>
      </w:r>
      <w:r>
        <w:rPr>
          <w:color w:val="231F20"/>
        </w:rPr>
        <w:t>por</w:t>
      </w:r>
      <w:r>
        <w:rPr>
          <w:color w:val="231F20"/>
          <w:spacing w:val="-7"/>
        </w:rPr>
        <w:t> </w:t>
      </w:r>
      <w:r>
        <w:rPr>
          <w:color w:val="231F20"/>
        </w:rPr>
        <w:t>cuarenta</w:t>
      </w:r>
      <w:r>
        <w:rPr>
          <w:color w:val="231F20"/>
          <w:spacing w:val="-7"/>
        </w:rPr>
        <w:t> </w:t>
      </w:r>
      <w:r>
        <w:rPr>
          <w:color w:val="231F20"/>
        </w:rPr>
        <w:t>días,</w:t>
      </w:r>
      <w:r>
        <w:rPr>
          <w:color w:val="231F20"/>
          <w:spacing w:val="-7"/>
        </w:rPr>
        <w:t> </w:t>
      </w:r>
      <w:r>
        <w:rPr>
          <w:color w:val="231F20"/>
        </w:rPr>
        <w:t>término</w:t>
      </w:r>
      <w:r>
        <w:rPr>
          <w:color w:val="231F20"/>
          <w:spacing w:val="-7"/>
        </w:rPr>
        <w:t> </w:t>
      </w:r>
      <w:r>
        <w:rPr>
          <w:color w:val="231F20"/>
        </w:rPr>
        <w:t>que</w:t>
      </w:r>
      <w:r>
        <w:rPr>
          <w:color w:val="231F20"/>
          <w:spacing w:val="-7"/>
        </w:rPr>
        <w:t> </w:t>
      </w:r>
      <w:r>
        <w:rPr>
          <w:color w:val="231F20"/>
        </w:rPr>
        <w:t>podrá prorrogarse hasta ochenta días, siempre que el Ministerio Público acredite tal</w:t>
      </w:r>
      <w:r>
        <w:rPr>
          <w:color w:val="231F20"/>
          <w:spacing w:val="-3"/>
        </w:rPr>
        <w:t> </w:t>
      </w:r>
      <w:r>
        <w:rPr>
          <w:color w:val="231F20"/>
        </w:rPr>
        <w:t>extensión.</w:t>
      </w:r>
    </w:p>
    <w:p>
      <w:pPr>
        <w:pStyle w:val="BodyText"/>
        <w:spacing w:line="247" w:lineRule="auto" w:before="1"/>
        <w:ind w:left="117" w:right="101" w:firstLine="566"/>
        <w:jc w:val="both"/>
      </w:pPr>
      <w:r>
        <w:rPr>
          <w:color w:val="231F20"/>
        </w:rPr>
        <w:t>Desde el sexenio de Ernesto Zedillo Ponce de León (1994–2000) se consideró que el narcotráfico era un problema de seguridad nacional,</w:t>
      </w:r>
      <w:r>
        <w:rPr>
          <w:color w:val="231F20"/>
          <w:spacing w:val="-22"/>
        </w:rPr>
        <w:t> </w:t>
      </w:r>
      <w:r>
        <w:rPr>
          <w:color w:val="231F20"/>
        </w:rPr>
        <w:t>pues éste afectaba profundamente la estabilidad del país, por lo cual había que declarar la guerra a quienes se dedicaban a esa actividad. La fragilidad de las instituciones, fundamentalmente las encargadas de la seguridad públi- ca, provocó la participación de las fuerzas armadas en el combate al </w:t>
      </w:r>
      <w:r>
        <w:rPr>
          <w:color w:val="231F20"/>
          <w:spacing w:val="-3"/>
        </w:rPr>
        <w:t>nar- </w:t>
      </w:r>
      <w:r>
        <w:rPr>
          <w:color w:val="231F20"/>
        </w:rPr>
        <w:t>cotráfico. El narcotráfico ha devenido en uno de los principales problemas de seguridad nacional. Sin embargo, la problemática es añeja, así lo</w:t>
      </w:r>
      <w:r>
        <w:rPr>
          <w:color w:val="231F20"/>
          <w:spacing w:val="-24"/>
        </w:rPr>
        <w:t> </w:t>
      </w:r>
      <w:r>
        <w:rPr>
          <w:color w:val="231F20"/>
        </w:rPr>
        <w:t>aclara Martín Gabriel</w:t>
      </w:r>
      <w:r>
        <w:rPr>
          <w:color w:val="231F20"/>
          <w:spacing w:val="17"/>
        </w:rPr>
        <w:t> </w:t>
      </w:r>
      <w:r>
        <w:rPr>
          <w:color w:val="231F20"/>
        </w:rPr>
        <w:t>Barrón:</w:t>
      </w:r>
    </w:p>
    <w:p>
      <w:pPr>
        <w:pStyle w:val="BodyText"/>
        <w:spacing w:before="10"/>
        <w:rPr>
          <w:sz w:val="22"/>
        </w:rPr>
      </w:pPr>
    </w:p>
    <w:p>
      <w:pPr>
        <w:spacing w:line="220" w:lineRule="exact" w:before="1"/>
        <w:ind w:left="1534" w:right="101" w:firstLine="0"/>
        <w:jc w:val="both"/>
        <w:rPr>
          <w:sz w:val="19"/>
        </w:rPr>
      </w:pPr>
      <w:r>
        <w:rPr>
          <w:color w:val="231F20"/>
          <w:w w:val="105"/>
          <w:sz w:val="19"/>
        </w:rPr>
        <w:t>México</w:t>
      </w:r>
      <w:r>
        <w:rPr>
          <w:color w:val="231F20"/>
          <w:spacing w:val="-26"/>
          <w:w w:val="105"/>
          <w:sz w:val="19"/>
        </w:rPr>
        <w:t> </w:t>
      </w:r>
      <w:r>
        <w:rPr>
          <w:color w:val="231F20"/>
          <w:w w:val="105"/>
          <w:sz w:val="19"/>
        </w:rPr>
        <w:t>tiene</w:t>
      </w:r>
      <w:r>
        <w:rPr>
          <w:color w:val="231F20"/>
          <w:spacing w:val="-26"/>
          <w:w w:val="105"/>
          <w:sz w:val="19"/>
        </w:rPr>
        <w:t> </w:t>
      </w:r>
      <w:r>
        <w:rPr>
          <w:color w:val="231F20"/>
          <w:w w:val="105"/>
          <w:sz w:val="19"/>
        </w:rPr>
        <w:t>una</w:t>
      </w:r>
      <w:r>
        <w:rPr>
          <w:color w:val="231F20"/>
          <w:spacing w:val="-26"/>
          <w:w w:val="105"/>
          <w:sz w:val="19"/>
        </w:rPr>
        <w:t> </w:t>
      </w:r>
      <w:r>
        <w:rPr>
          <w:color w:val="231F20"/>
          <w:w w:val="105"/>
          <w:sz w:val="19"/>
        </w:rPr>
        <w:t>larga</w:t>
      </w:r>
      <w:r>
        <w:rPr>
          <w:color w:val="231F20"/>
          <w:spacing w:val="-26"/>
          <w:w w:val="105"/>
          <w:sz w:val="19"/>
        </w:rPr>
        <w:t> </w:t>
      </w:r>
      <w:r>
        <w:rPr>
          <w:color w:val="231F20"/>
          <w:w w:val="105"/>
          <w:sz w:val="19"/>
        </w:rPr>
        <w:t>experiencia</w:t>
      </w:r>
      <w:r>
        <w:rPr>
          <w:color w:val="231F20"/>
          <w:spacing w:val="-26"/>
          <w:w w:val="105"/>
          <w:sz w:val="19"/>
        </w:rPr>
        <w:t> </w:t>
      </w:r>
      <w:r>
        <w:rPr>
          <w:color w:val="231F20"/>
          <w:w w:val="105"/>
          <w:sz w:val="19"/>
        </w:rPr>
        <w:t>en</w:t>
      </w:r>
      <w:r>
        <w:rPr>
          <w:color w:val="231F20"/>
          <w:spacing w:val="-26"/>
          <w:w w:val="105"/>
          <w:sz w:val="19"/>
        </w:rPr>
        <w:t> </w:t>
      </w:r>
      <w:r>
        <w:rPr>
          <w:color w:val="231F20"/>
          <w:w w:val="105"/>
          <w:sz w:val="19"/>
        </w:rPr>
        <w:t>la</w:t>
      </w:r>
      <w:r>
        <w:rPr>
          <w:color w:val="231F20"/>
          <w:spacing w:val="-26"/>
          <w:w w:val="105"/>
          <w:sz w:val="19"/>
        </w:rPr>
        <w:t> </w:t>
      </w:r>
      <w:r>
        <w:rPr>
          <w:color w:val="231F20"/>
          <w:w w:val="105"/>
          <w:sz w:val="19"/>
        </w:rPr>
        <w:t>participación</w:t>
      </w:r>
      <w:r>
        <w:rPr>
          <w:color w:val="231F20"/>
          <w:spacing w:val="-26"/>
          <w:w w:val="105"/>
          <w:sz w:val="19"/>
        </w:rPr>
        <w:t> </w:t>
      </w:r>
      <w:r>
        <w:rPr>
          <w:color w:val="231F20"/>
          <w:w w:val="105"/>
          <w:sz w:val="19"/>
        </w:rPr>
        <w:t>de</w:t>
      </w:r>
      <w:r>
        <w:rPr>
          <w:color w:val="231F20"/>
          <w:spacing w:val="-26"/>
          <w:w w:val="105"/>
          <w:sz w:val="19"/>
        </w:rPr>
        <w:t> </w:t>
      </w:r>
      <w:r>
        <w:rPr>
          <w:color w:val="231F20"/>
          <w:w w:val="105"/>
          <w:sz w:val="19"/>
        </w:rPr>
        <w:t>las</w:t>
      </w:r>
      <w:r>
        <w:rPr>
          <w:color w:val="231F20"/>
          <w:spacing w:val="-26"/>
          <w:w w:val="105"/>
          <w:sz w:val="19"/>
        </w:rPr>
        <w:t> </w:t>
      </w:r>
      <w:r>
        <w:rPr>
          <w:color w:val="231F20"/>
          <w:spacing w:val="-3"/>
          <w:w w:val="105"/>
          <w:sz w:val="19"/>
        </w:rPr>
        <w:t>fuer- </w:t>
      </w:r>
      <w:r>
        <w:rPr>
          <w:color w:val="231F20"/>
          <w:w w:val="105"/>
          <w:sz w:val="19"/>
        </w:rPr>
        <w:t>zas</w:t>
      </w:r>
      <w:r>
        <w:rPr>
          <w:color w:val="231F20"/>
          <w:spacing w:val="-21"/>
          <w:w w:val="105"/>
          <w:sz w:val="19"/>
        </w:rPr>
        <w:t> </w:t>
      </w:r>
      <w:r>
        <w:rPr>
          <w:color w:val="231F20"/>
          <w:w w:val="105"/>
          <w:sz w:val="19"/>
        </w:rPr>
        <w:t>armadas</w:t>
      </w:r>
      <w:r>
        <w:rPr>
          <w:color w:val="231F20"/>
          <w:spacing w:val="-21"/>
          <w:w w:val="105"/>
          <w:sz w:val="19"/>
        </w:rPr>
        <w:t> </w:t>
      </w:r>
      <w:r>
        <w:rPr>
          <w:color w:val="231F20"/>
          <w:w w:val="105"/>
          <w:sz w:val="19"/>
        </w:rPr>
        <w:t>en</w:t>
      </w:r>
      <w:r>
        <w:rPr>
          <w:color w:val="231F20"/>
          <w:spacing w:val="-21"/>
          <w:w w:val="105"/>
          <w:sz w:val="19"/>
        </w:rPr>
        <w:t> </w:t>
      </w:r>
      <w:r>
        <w:rPr>
          <w:color w:val="231F20"/>
          <w:w w:val="105"/>
          <w:sz w:val="19"/>
        </w:rPr>
        <w:t>la</w:t>
      </w:r>
      <w:r>
        <w:rPr>
          <w:color w:val="231F20"/>
          <w:spacing w:val="-21"/>
          <w:w w:val="105"/>
          <w:sz w:val="19"/>
        </w:rPr>
        <w:t> </w:t>
      </w:r>
      <w:r>
        <w:rPr>
          <w:color w:val="231F20"/>
          <w:w w:val="105"/>
          <w:sz w:val="19"/>
        </w:rPr>
        <w:t>lucha</w:t>
      </w:r>
      <w:r>
        <w:rPr>
          <w:color w:val="231F20"/>
          <w:spacing w:val="-21"/>
          <w:w w:val="105"/>
          <w:sz w:val="19"/>
        </w:rPr>
        <w:t> </w:t>
      </w:r>
      <w:r>
        <w:rPr>
          <w:color w:val="231F20"/>
          <w:w w:val="105"/>
          <w:sz w:val="19"/>
        </w:rPr>
        <w:t>contra</w:t>
      </w:r>
      <w:r>
        <w:rPr>
          <w:color w:val="231F20"/>
          <w:spacing w:val="-21"/>
          <w:w w:val="105"/>
          <w:sz w:val="19"/>
        </w:rPr>
        <w:t> </w:t>
      </w:r>
      <w:r>
        <w:rPr>
          <w:color w:val="231F20"/>
          <w:w w:val="105"/>
          <w:sz w:val="19"/>
        </w:rPr>
        <w:t>las</w:t>
      </w:r>
      <w:r>
        <w:rPr>
          <w:color w:val="231F20"/>
          <w:spacing w:val="-21"/>
          <w:w w:val="105"/>
          <w:sz w:val="19"/>
        </w:rPr>
        <w:t> </w:t>
      </w:r>
      <w:r>
        <w:rPr>
          <w:color w:val="231F20"/>
          <w:w w:val="105"/>
          <w:sz w:val="19"/>
        </w:rPr>
        <w:t>drogas,</w:t>
      </w:r>
      <w:r>
        <w:rPr>
          <w:color w:val="231F20"/>
          <w:spacing w:val="-21"/>
          <w:w w:val="105"/>
          <w:sz w:val="19"/>
        </w:rPr>
        <w:t> </w:t>
      </w:r>
      <w:r>
        <w:rPr>
          <w:color w:val="231F20"/>
          <w:w w:val="105"/>
          <w:sz w:val="19"/>
        </w:rPr>
        <w:t>la</w:t>
      </w:r>
      <w:r>
        <w:rPr>
          <w:color w:val="231F20"/>
          <w:spacing w:val="-21"/>
          <w:w w:val="105"/>
          <w:sz w:val="19"/>
        </w:rPr>
        <w:t> </w:t>
      </w:r>
      <w:r>
        <w:rPr>
          <w:color w:val="231F20"/>
          <w:w w:val="105"/>
          <w:sz w:val="19"/>
        </w:rPr>
        <w:t>participación</w:t>
      </w:r>
      <w:r>
        <w:rPr>
          <w:color w:val="231F20"/>
          <w:spacing w:val="-21"/>
          <w:w w:val="105"/>
          <w:sz w:val="19"/>
        </w:rPr>
        <w:t> </w:t>
      </w:r>
      <w:r>
        <w:rPr>
          <w:color w:val="231F20"/>
          <w:w w:val="105"/>
          <w:sz w:val="19"/>
        </w:rPr>
        <w:t>de</w:t>
      </w:r>
      <w:r>
        <w:rPr>
          <w:color w:val="231F20"/>
          <w:spacing w:val="-21"/>
          <w:w w:val="105"/>
          <w:sz w:val="19"/>
        </w:rPr>
        <w:t> </w:t>
      </w:r>
      <w:r>
        <w:rPr>
          <w:color w:val="231F20"/>
          <w:w w:val="105"/>
          <w:sz w:val="19"/>
        </w:rPr>
        <w:t>los militares</w:t>
      </w:r>
      <w:r>
        <w:rPr>
          <w:color w:val="231F20"/>
          <w:spacing w:val="-15"/>
          <w:w w:val="105"/>
          <w:sz w:val="19"/>
        </w:rPr>
        <w:t> </w:t>
      </w:r>
      <w:r>
        <w:rPr>
          <w:color w:val="231F20"/>
          <w:w w:val="105"/>
          <w:sz w:val="19"/>
        </w:rPr>
        <w:t>en</w:t>
      </w:r>
      <w:r>
        <w:rPr>
          <w:color w:val="231F20"/>
          <w:spacing w:val="-15"/>
          <w:w w:val="105"/>
          <w:sz w:val="19"/>
        </w:rPr>
        <w:t> </w:t>
      </w:r>
      <w:r>
        <w:rPr>
          <w:color w:val="231F20"/>
          <w:w w:val="105"/>
          <w:sz w:val="19"/>
        </w:rPr>
        <w:t>el</w:t>
      </w:r>
      <w:r>
        <w:rPr>
          <w:color w:val="231F20"/>
          <w:spacing w:val="-15"/>
          <w:w w:val="105"/>
          <w:sz w:val="19"/>
        </w:rPr>
        <w:t> </w:t>
      </w:r>
      <w:r>
        <w:rPr>
          <w:color w:val="231F20"/>
          <w:w w:val="105"/>
          <w:sz w:val="19"/>
        </w:rPr>
        <w:t>combate</w:t>
      </w:r>
      <w:r>
        <w:rPr>
          <w:color w:val="231F20"/>
          <w:spacing w:val="-15"/>
          <w:w w:val="105"/>
          <w:sz w:val="19"/>
        </w:rPr>
        <w:t> </w:t>
      </w:r>
      <w:r>
        <w:rPr>
          <w:color w:val="231F20"/>
          <w:w w:val="105"/>
          <w:sz w:val="19"/>
        </w:rPr>
        <w:t>a</w:t>
      </w:r>
      <w:r>
        <w:rPr>
          <w:color w:val="231F20"/>
          <w:spacing w:val="-15"/>
          <w:w w:val="105"/>
          <w:sz w:val="19"/>
        </w:rPr>
        <w:t> </w:t>
      </w:r>
      <w:r>
        <w:rPr>
          <w:color w:val="231F20"/>
          <w:w w:val="105"/>
          <w:sz w:val="19"/>
        </w:rPr>
        <w:t>las</w:t>
      </w:r>
      <w:r>
        <w:rPr>
          <w:color w:val="231F20"/>
          <w:spacing w:val="-15"/>
          <w:w w:val="105"/>
          <w:sz w:val="19"/>
        </w:rPr>
        <w:t> </w:t>
      </w:r>
      <w:r>
        <w:rPr>
          <w:color w:val="231F20"/>
          <w:w w:val="105"/>
          <w:sz w:val="19"/>
        </w:rPr>
        <w:t>drogas</w:t>
      </w:r>
      <w:r>
        <w:rPr>
          <w:color w:val="231F20"/>
          <w:spacing w:val="-15"/>
          <w:w w:val="105"/>
          <w:sz w:val="19"/>
        </w:rPr>
        <w:t> </w:t>
      </w:r>
      <w:r>
        <w:rPr>
          <w:color w:val="231F20"/>
          <w:w w:val="105"/>
          <w:sz w:val="19"/>
        </w:rPr>
        <w:t>data</w:t>
      </w:r>
      <w:r>
        <w:rPr>
          <w:color w:val="231F20"/>
          <w:spacing w:val="-15"/>
          <w:w w:val="105"/>
          <w:sz w:val="19"/>
        </w:rPr>
        <w:t> </w:t>
      </w:r>
      <w:r>
        <w:rPr>
          <w:color w:val="231F20"/>
          <w:w w:val="105"/>
          <w:sz w:val="19"/>
        </w:rPr>
        <w:t>de</w:t>
      </w:r>
      <w:r>
        <w:rPr>
          <w:color w:val="231F20"/>
          <w:spacing w:val="-15"/>
          <w:w w:val="105"/>
          <w:sz w:val="19"/>
        </w:rPr>
        <w:t> </w:t>
      </w:r>
      <w:r>
        <w:rPr>
          <w:color w:val="231F20"/>
          <w:w w:val="105"/>
          <w:sz w:val="19"/>
        </w:rPr>
        <w:t>por</w:t>
      </w:r>
      <w:r>
        <w:rPr>
          <w:color w:val="231F20"/>
          <w:spacing w:val="-15"/>
          <w:w w:val="105"/>
          <w:sz w:val="19"/>
        </w:rPr>
        <w:t> </w:t>
      </w:r>
      <w:r>
        <w:rPr>
          <w:color w:val="231F20"/>
          <w:w w:val="105"/>
          <w:sz w:val="19"/>
        </w:rPr>
        <w:t>lo</w:t>
      </w:r>
      <w:r>
        <w:rPr>
          <w:color w:val="231F20"/>
          <w:spacing w:val="-15"/>
          <w:w w:val="105"/>
          <w:sz w:val="19"/>
        </w:rPr>
        <w:t> </w:t>
      </w:r>
      <w:r>
        <w:rPr>
          <w:color w:val="231F20"/>
          <w:w w:val="105"/>
          <w:sz w:val="19"/>
        </w:rPr>
        <w:t>menos</w:t>
      </w:r>
      <w:r>
        <w:rPr>
          <w:color w:val="231F20"/>
          <w:spacing w:val="-15"/>
          <w:w w:val="105"/>
          <w:sz w:val="19"/>
        </w:rPr>
        <w:t> </w:t>
      </w:r>
      <w:r>
        <w:rPr>
          <w:color w:val="231F20"/>
          <w:w w:val="105"/>
          <w:sz w:val="19"/>
        </w:rPr>
        <w:t>la</w:t>
      </w:r>
      <w:r>
        <w:rPr>
          <w:color w:val="231F20"/>
          <w:spacing w:val="-15"/>
          <w:w w:val="105"/>
          <w:sz w:val="19"/>
        </w:rPr>
        <w:t> </w:t>
      </w:r>
      <w:r>
        <w:rPr>
          <w:color w:val="231F20"/>
          <w:w w:val="105"/>
          <w:sz w:val="19"/>
        </w:rPr>
        <w:t>dé- cada de los treinta, pero se volvió especialmente importante a finales</w:t>
      </w:r>
      <w:r>
        <w:rPr>
          <w:color w:val="231F20"/>
          <w:spacing w:val="-16"/>
          <w:w w:val="105"/>
          <w:sz w:val="19"/>
        </w:rPr>
        <w:t> </w:t>
      </w:r>
      <w:r>
        <w:rPr>
          <w:color w:val="231F20"/>
          <w:w w:val="105"/>
          <w:sz w:val="19"/>
        </w:rPr>
        <w:t>de</w:t>
      </w:r>
      <w:r>
        <w:rPr>
          <w:color w:val="231F20"/>
          <w:spacing w:val="-16"/>
          <w:w w:val="105"/>
          <w:sz w:val="19"/>
        </w:rPr>
        <w:t> </w:t>
      </w:r>
      <w:r>
        <w:rPr>
          <w:color w:val="231F20"/>
          <w:w w:val="105"/>
          <w:sz w:val="19"/>
        </w:rPr>
        <w:t>los</w:t>
      </w:r>
      <w:r>
        <w:rPr>
          <w:color w:val="231F20"/>
          <w:spacing w:val="-16"/>
          <w:w w:val="105"/>
          <w:sz w:val="19"/>
        </w:rPr>
        <w:t> </w:t>
      </w:r>
      <w:r>
        <w:rPr>
          <w:color w:val="231F20"/>
          <w:w w:val="105"/>
          <w:sz w:val="19"/>
        </w:rPr>
        <w:t>setenta.</w:t>
      </w:r>
      <w:r>
        <w:rPr>
          <w:color w:val="231F20"/>
          <w:spacing w:val="-16"/>
          <w:w w:val="105"/>
          <w:sz w:val="19"/>
        </w:rPr>
        <w:t> </w:t>
      </w:r>
      <w:r>
        <w:rPr>
          <w:color w:val="231F20"/>
          <w:w w:val="105"/>
          <w:sz w:val="19"/>
        </w:rPr>
        <w:t>La</w:t>
      </w:r>
      <w:r>
        <w:rPr>
          <w:color w:val="231F20"/>
          <w:spacing w:val="-16"/>
          <w:w w:val="105"/>
          <w:sz w:val="19"/>
        </w:rPr>
        <w:t> </w:t>
      </w:r>
      <w:r>
        <w:rPr>
          <w:color w:val="231F20"/>
          <w:w w:val="105"/>
          <w:sz w:val="19"/>
        </w:rPr>
        <w:t>militarización</w:t>
      </w:r>
      <w:r>
        <w:rPr>
          <w:color w:val="231F20"/>
          <w:spacing w:val="-16"/>
          <w:w w:val="105"/>
          <w:sz w:val="19"/>
        </w:rPr>
        <w:t> </w:t>
      </w:r>
      <w:r>
        <w:rPr>
          <w:color w:val="231F20"/>
          <w:w w:val="105"/>
          <w:sz w:val="19"/>
        </w:rPr>
        <w:t>del</w:t>
      </w:r>
      <w:r>
        <w:rPr>
          <w:color w:val="231F20"/>
          <w:spacing w:val="-16"/>
          <w:w w:val="105"/>
          <w:sz w:val="19"/>
        </w:rPr>
        <w:t> </w:t>
      </w:r>
      <w:r>
        <w:rPr>
          <w:color w:val="231F20"/>
          <w:w w:val="105"/>
          <w:sz w:val="19"/>
        </w:rPr>
        <w:t>combate</w:t>
      </w:r>
      <w:r>
        <w:rPr>
          <w:color w:val="231F20"/>
          <w:spacing w:val="-16"/>
          <w:w w:val="105"/>
          <w:sz w:val="19"/>
        </w:rPr>
        <w:t> </w:t>
      </w:r>
      <w:r>
        <w:rPr>
          <w:color w:val="231F20"/>
          <w:w w:val="105"/>
          <w:sz w:val="19"/>
        </w:rPr>
        <w:t>a</w:t>
      </w:r>
      <w:r>
        <w:rPr>
          <w:color w:val="231F20"/>
          <w:spacing w:val="-16"/>
          <w:w w:val="105"/>
          <w:sz w:val="19"/>
        </w:rPr>
        <w:t> </w:t>
      </w:r>
      <w:r>
        <w:rPr>
          <w:color w:val="231F20"/>
          <w:w w:val="105"/>
          <w:sz w:val="19"/>
        </w:rPr>
        <w:t>las</w:t>
      </w:r>
      <w:r>
        <w:rPr>
          <w:color w:val="231F20"/>
          <w:spacing w:val="-16"/>
          <w:w w:val="105"/>
          <w:sz w:val="19"/>
        </w:rPr>
        <w:t> </w:t>
      </w:r>
      <w:r>
        <w:rPr>
          <w:color w:val="231F20"/>
          <w:w w:val="105"/>
          <w:sz w:val="19"/>
        </w:rPr>
        <w:t>drogas recibió nuevo impulso en la siguiente década, cuando el presi- dente Miguel de la Madrid lo declaró un asunto de Seguridad Nacional</w:t>
      </w:r>
      <w:r>
        <w:rPr>
          <w:color w:val="231F20"/>
          <w:spacing w:val="-25"/>
          <w:w w:val="105"/>
          <w:sz w:val="19"/>
        </w:rPr>
        <w:t> </w:t>
      </w:r>
      <w:r>
        <w:rPr>
          <w:color w:val="231F20"/>
          <w:w w:val="105"/>
          <w:sz w:val="19"/>
        </w:rPr>
        <w:t>y</w:t>
      </w:r>
      <w:r>
        <w:rPr>
          <w:color w:val="231F20"/>
          <w:spacing w:val="-25"/>
          <w:w w:val="105"/>
          <w:sz w:val="19"/>
        </w:rPr>
        <w:t> </w:t>
      </w:r>
      <w:r>
        <w:rPr>
          <w:color w:val="231F20"/>
          <w:w w:val="105"/>
          <w:sz w:val="19"/>
        </w:rPr>
        <w:t>con</w:t>
      </w:r>
      <w:r>
        <w:rPr>
          <w:color w:val="231F20"/>
          <w:spacing w:val="-25"/>
          <w:w w:val="105"/>
          <w:sz w:val="19"/>
        </w:rPr>
        <w:t> </w:t>
      </w:r>
      <w:r>
        <w:rPr>
          <w:color w:val="231F20"/>
          <w:w w:val="105"/>
          <w:sz w:val="19"/>
        </w:rPr>
        <w:t>ello</w:t>
      </w:r>
      <w:r>
        <w:rPr>
          <w:color w:val="231F20"/>
          <w:spacing w:val="-25"/>
          <w:w w:val="105"/>
          <w:sz w:val="19"/>
        </w:rPr>
        <w:t> </w:t>
      </w:r>
      <w:r>
        <w:rPr>
          <w:color w:val="231F20"/>
          <w:w w:val="105"/>
          <w:sz w:val="19"/>
        </w:rPr>
        <w:t>se</w:t>
      </w:r>
      <w:r>
        <w:rPr>
          <w:color w:val="231F20"/>
          <w:spacing w:val="-25"/>
          <w:w w:val="105"/>
          <w:sz w:val="19"/>
        </w:rPr>
        <w:t> </w:t>
      </w:r>
      <w:r>
        <w:rPr>
          <w:color w:val="231F20"/>
          <w:w w:val="105"/>
          <w:sz w:val="19"/>
        </w:rPr>
        <w:t>ha</w:t>
      </w:r>
      <w:r>
        <w:rPr>
          <w:color w:val="231F20"/>
          <w:spacing w:val="-25"/>
          <w:w w:val="105"/>
          <w:sz w:val="19"/>
        </w:rPr>
        <w:t> </w:t>
      </w:r>
      <w:r>
        <w:rPr>
          <w:color w:val="231F20"/>
          <w:w w:val="105"/>
          <w:sz w:val="19"/>
        </w:rPr>
        <w:t>recrudecido</w:t>
      </w:r>
      <w:r>
        <w:rPr>
          <w:color w:val="231F20"/>
          <w:spacing w:val="-25"/>
          <w:w w:val="105"/>
          <w:sz w:val="19"/>
        </w:rPr>
        <w:t> </w:t>
      </w:r>
      <w:r>
        <w:rPr>
          <w:color w:val="231F20"/>
          <w:w w:val="105"/>
          <w:sz w:val="19"/>
        </w:rPr>
        <w:t>la</w:t>
      </w:r>
      <w:r>
        <w:rPr>
          <w:color w:val="231F20"/>
          <w:spacing w:val="-25"/>
          <w:w w:val="105"/>
          <w:sz w:val="19"/>
        </w:rPr>
        <w:t> </w:t>
      </w:r>
      <w:r>
        <w:rPr>
          <w:color w:val="231F20"/>
          <w:w w:val="105"/>
          <w:sz w:val="19"/>
        </w:rPr>
        <w:t>militarización</w:t>
      </w:r>
      <w:r>
        <w:rPr>
          <w:color w:val="231F20"/>
          <w:spacing w:val="-25"/>
          <w:w w:val="105"/>
          <w:sz w:val="19"/>
        </w:rPr>
        <w:t> </w:t>
      </w:r>
      <w:r>
        <w:rPr>
          <w:color w:val="231F20"/>
          <w:w w:val="105"/>
          <w:sz w:val="19"/>
        </w:rPr>
        <w:t>desde</w:t>
      </w:r>
      <w:r>
        <w:rPr>
          <w:color w:val="231F20"/>
          <w:spacing w:val="-25"/>
          <w:w w:val="105"/>
          <w:sz w:val="19"/>
        </w:rPr>
        <w:t> </w:t>
      </w:r>
      <w:r>
        <w:rPr>
          <w:color w:val="231F20"/>
          <w:w w:val="105"/>
          <w:sz w:val="19"/>
        </w:rPr>
        <w:t>hace dos</w:t>
      </w:r>
      <w:r>
        <w:rPr>
          <w:color w:val="231F20"/>
          <w:spacing w:val="-32"/>
          <w:w w:val="105"/>
          <w:sz w:val="19"/>
        </w:rPr>
        <w:t> </w:t>
      </w:r>
      <w:r>
        <w:rPr>
          <w:color w:val="231F20"/>
          <w:w w:val="105"/>
          <w:sz w:val="19"/>
        </w:rPr>
        <w:t>décadas</w:t>
      </w:r>
      <w:r>
        <w:rPr>
          <w:color w:val="231F20"/>
          <w:spacing w:val="-32"/>
          <w:w w:val="105"/>
          <w:sz w:val="19"/>
        </w:rPr>
        <w:t> </w:t>
      </w:r>
      <w:r>
        <w:rPr>
          <w:color w:val="231F20"/>
          <w:w w:val="105"/>
          <w:sz w:val="19"/>
        </w:rPr>
        <w:t>de</w:t>
      </w:r>
      <w:r>
        <w:rPr>
          <w:color w:val="231F20"/>
          <w:spacing w:val="-32"/>
          <w:w w:val="105"/>
          <w:sz w:val="19"/>
        </w:rPr>
        <w:t> </w:t>
      </w:r>
      <w:r>
        <w:rPr>
          <w:color w:val="231F20"/>
          <w:w w:val="105"/>
          <w:sz w:val="19"/>
        </w:rPr>
        <w:t>las</w:t>
      </w:r>
      <w:r>
        <w:rPr>
          <w:color w:val="231F20"/>
          <w:spacing w:val="-32"/>
          <w:w w:val="105"/>
          <w:sz w:val="19"/>
        </w:rPr>
        <w:t> </w:t>
      </w:r>
      <w:r>
        <w:rPr>
          <w:color w:val="231F20"/>
          <w:w w:val="105"/>
          <w:sz w:val="19"/>
        </w:rPr>
        <w:t>instituciones</w:t>
      </w:r>
      <w:r>
        <w:rPr>
          <w:color w:val="231F20"/>
          <w:spacing w:val="-32"/>
          <w:w w:val="105"/>
          <w:sz w:val="19"/>
        </w:rPr>
        <w:t> </w:t>
      </w:r>
      <w:r>
        <w:rPr>
          <w:color w:val="231F20"/>
          <w:w w:val="105"/>
          <w:sz w:val="19"/>
        </w:rPr>
        <w:t>responsables</w:t>
      </w:r>
      <w:r>
        <w:rPr>
          <w:color w:val="231F20"/>
          <w:spacing w:val="-32"/>
          <w:w w:val="105"/>
          <w:sz w:val="19"/>
        </w:rPr>
        <w:t> </w:t>
      </w:r>
      <w:r>
        <w:rPr>
          <w:color w:val="231F20"/>
          <w:w w:val="105"/>
          <w:sz w:val="19"/>
        </w:rPr>
        <w:t>del</w:t>
      </w:r>
      <w:r>
        <w:rPr>
          <w:color w:val="231F20"/>
          <w:spacing w:val="-32"/>
          <w:w w:val="105"/>
          <w:sz w:val="19"/>
        </w:rPr>
        <w:t> </w:t>
      </w:r>
      <w:r>
        <w:rPr>
          <w:color w:val="231F20"/>
          <w:w w:val="105"/>
          <w:sz w:val="19"/>
        </w:rPr>
        <w:t>combate</w:t>
      </w:r>
      <w:r>
        <w:rPr>
          <w:color w:val="231F20"/>
          <w:spacing w:val="-32"/>
          <w:w w:val="105"/>
          <w:sz w:val="19"/>
        </w:rPr>
        <w:t> </w:t>
      </w:r>
      <w:r>
        <w:rPr>
          <w:color w:val="231F20"/>
          <w:w w:val="105"/>
          <w:sz w:val="19"/>
        </w:rPr>
        <w:t>al</w:t>
      </w:r>
      <w:r>
        <w:rPr>
          <w:color w:val="231F20"/>
          <w:spacing w:val="-32"/>
          <w:w w:val="105"/>
          <w:sz w:val="19"/>
        </w:rPr>
        <w:t> </w:t>
      </w:r>
      <w:r>
        <w:rPr>
          <w:color w:val="231F20"/>
          <w:spacing w:val="-3"/>
          <w:w w:val="105"/>
          <w:sz w:val="19"/>
        </w:rPr>
        <w:t>nar- </w:t>
      </w:r>
      <w:r>
        <w:rPr>
          <w:color w:val="231F20"/>
          <w:w w:val="105"/>
          <w:sz w:val="19"/>
        </w:rPr>
        <w:t>cotráfico,</w:t>
      </w:r>
      <w:r>
        <w:rPr>
          <w:color w:val="231F20"/>
          <w:spacing w:val="-28"/>
          <w:w w:val="105"/>
          <w:sz w:val="19"/>
        </w:rPr>
        <w:t> </w:t>
      </w:r>
      <w:r>
        <w:rPr>
          <w:color w:val="231F20"/>
          <w:w w:val="105"/>
          <w:sz w:val="19"/>
        </w:rPr>
        <w:t>todo</w:t>
      </w:r>
      <w:r>
        <w:rPr>
          <w:color w:val="231F20"/>
          <w:spacing w:val="-28"/>
          <w:w w:val="105"/>
          <w:sz w:val="19"/>
        </w:rPr>
        <w:t> </w:t>
      </w:r>
      <w:r>
        <w:rPr>
          <w:color w:val="231F20"/>
          <w:w w:val="105"/>
          <w:sz w:val="19"/>
        </w:rPr>
        <w:t>ello</w:t>
      </w:r>
      <w:r>
        <w:rPr>
          <w:color w:val="231F20"/>
          <w:spacing w:val="-28"/>
          <w:w w:val="105"/>
          <w:sz w:val="19"/>
        </w:rPr>
        <w:t> </w:t>
      </w:r>
      <w:r>
        <w:rPr>
          <w:color w:val="231F20"/>
          <w:w w:val="105"/>
          <w:sz w:val="19"/>
        </w:rPr>
        <w:t>a</w:t>
      </w:r>
      <w:r>
        <w:rPr>
          <w:color w:val="231F20"/>
          <w:spacing w:val="-28"/>
          <w:w w:val="105"/>
          <w:sz w:val="19"/>
        </w:rPr>
        <w:t> </w:t>
      </w:r>
      <w:r>
        <w:rPr>
          <w:color w:val="231F20"/>
          <w:w w:val="105"/>
          <w:sz w:val="19"/>
        </w:rPr>
        <w:t>instancias</w:t>
      </w:r>
      <w:r>
        <w:rPr>
          <w:color w:val="231F20"/>
          <w:spacing w:val="-28"/>
          <w:w w:val="105"/>
          <w:sz w:val="19"/>
        </w:rPr>
        <w:t> </w:t>
      </w:r>
      <w:r>
        <w:rPr>
          <w:color w:val="231F20"/>
          <w:w w:val="105"/>
          <w:sz w:val="19"/>
        </w:rPr>
        <w:t>y</w:t>
      </w:r>
      <w:r>
        <w:rPr>
          <w:color w:val="231F20"/>
          <w:spacing w:val="-28"/>
          <w:w w:val="105"/>
          <w:sz w:val="19"/>
        </w:rPr>
        <w:t> </w:t>
      </w:r>
      <w:r>
        <w:rPr>
          <w:color w:val="231F20"/>
          <w:w w:val="105"/>
          <w:sz w:val="19"/>
        </w:rPr>
        <w:t>presiones</w:t>
      </w:r>
      <w:r>
        <w:rPr>
          <w:color w:val="231F20"/>
          <w:spacing w:val="-28"/>
          <w:w w:val="105"/>
          <w:sz w:val="19"/>
        </w:rPr>
        <w:t> </w:t>
      </w:r>
      <w:r>
        <w:rPr>
          <w:color w:val="231F20"/>
          <w:w w:val="105"/>
          <w:sz w:val="19"/>
        </w:rPr>
        <w:t>de</w:t>
      </w:r>
      <w:r>
        <w:rPr>
          <w:color w:val="231F20"/>
          <w:spacing w:val="-28"/>
          <w:w w:val="105"/>
          <w:sz w:val="19"/>
        </w:rPr>
        <w:t> </w:t>
      </w:r>
      <w:r>
        <w:rPr>
          <w:color w:val="231F20"/>
          <w:w w:val="105"/>
          <w:sz w:val="19"/>
        </w:rPr>
        <w:t>Estados</w:t>
      </w:r>
      <w:r>
        <w:rPr>
          <w:color w:val="231F20"/>
          <w:spacing w:val="-28"/>
          <w:w w:val="105"/>
          <w:sz w:val="19"/>
        </w:rPr>
        <w:t> </w:t>
      </w:r>
      <w:r>
        <w:rPr>
          <w:color w:val="231F20"/>
          <w:w w:val="105"/>
          <w:sz w:val="19"/>
        </w:rPr>
        <w:t>Unidos</w:t>
      </w:r>
      <w:r>
        <w:rPr>
          <w:color w:val="231F20"/>
          <w:w w:val="105"/>
          <w:position w:val="6"/>
          <w:sz w:val="11"/>
        </w:rPr>
        <w:t>19</w:t>
      </w:r>
      <w:r>
        <w:rPr>
          <w:color w:val="231F20"/>
          <w:w w:val="105"/>
          <w:sz w:val="19"/>
        </w:rPr>
        <w:t>.</w:t>
      </w:r>
    </w:p>
    <w:p>
      <w:pPr>
        <w:pStyle w:val="BodyText"/>
        <w:spacing w:before="11"/>
        <w:rPr>
          <w:sz w:val="23"/>
        </w:rPr>
      </w:pPr>
    </w:p>
    <w:p>
      <w:pPr>
        <w:pStyle w:val="BodyText"/>
        <w:spacing w:line="247" w:lineRule="auto"/>
        <w:ind w:left="117" w:right="101"/>
        <w:jc w:val="both"/>
      </w:pPr>
      <w:r>
        <w:rPr>
          <w:color w:val="231F20"/>
        </w:rPr>
        <w:t>En 1998, Ernesto Zedillo instauró la Policía Federal Preventiva, cuyas prin- cipales atribuciones son: 1) combatir el crimen organizado y otros delitos que amenazan la seguridad nacional; 2) restaurar y mantener el orden</w:t>
      </w:r>
      <w:r>
        <w:rPr>
          <w:color w:val="231F20"/>
          <w:spacing w:val="-27"/>
        </w:rPr>
        <w:t> </w:t>
      </w:r>
      <w:r>
        <w:rPr>
          <w:color w:val="231F20"/>
        </w:rPr>
        <w:t>pú- blico;</w:t>
      </w:r>
      <w:r>
        <w:rPr>
          <w:color w:val="231F20"/>
          <w:spacing w:val="-9"/>
        </w:rPr>
        <w:t> </w:t>
      </w:r>
      <w:r>
        <w:rPr>
          <w:color w:val="231F20"/>
        </w:rPr>
        <w:t>3)</w:t>
      </w:r>
      <w:r>
        <w:rPr>
          <w:color w:val="231F20"/>
          <w:spacing w:val="-9"/>
        </w:rPr>
        <w:t> </w:t>
      </w:r>
      <w:r>
        <w:rPr>
          <w:color w:val="231F20"/>
        </w:rPr>
        <w:t>la</w:t>
      </w:r>
      <w:r>
        <w:rPr>
          <w:color w:val="231F20"/>
          <w:spacing w:val="-9"/>
        </w:rPr>
        <w:t> </w:t>
      </w:r>
      <w:r>
        <w:rPr>
          <w:color w:val="231F20"/>
        </w:rPr>
        <w:t>lucha</w:t>
      </w:r>
      <w:r>
        <w:rPr>
          <w:color w:val="231F20"/>
          <w:spacing w:val="-9"/>
        </w:rPr>
        <w:t> </w:t>
      </w:r>
      <w:r>
        <w:rPr>
          <w:color w:val="231F20"/>
        </w:rPr>
        <w:t>contra</w:t>
      </w:r>
      <w:r>
        <w:rPr>
          <w:color w:val="231F20"/>
          <w:spacing w:val="-9"/>
        </w:rPr>
        <w:t> </w:t>
      </w:r>
      <w:r>
        <w:rPr>
          <w:color w:val="231F20"/>
        </w:rPr>
        <w:t>el</w:t>
      </w:r>
      <w:r>
        <w:rPr>
          <w:color w:val="231F20"/>
          <w:spacing w:val="-9"/>
        </w:rPr>
        <w:t> </w:t>
      </w:r>
      <w:r>
        <w:rPr>
          <w:color w:val="231F20"/>
        </w:rPr>
        <w:t>narcotráfico;</w:t>
      </w:r>
      <w:r>
        <w:rPr>
          <w:color w:val="231F20"/>
          <w:spacing w:val="-9"/>
        </w:rPr>
        <w:t> </w:t>
      </w:r>
      <w:r>
        <w:rPr>
          <w:color w:val="231F20"/>
        </w:rPr>
        <w:t>4)</w:t>
      </w:r>
      <w:r>
        <w:rPr>
          <w:color w:val="231F20"/>
          <w:spacing w:val="-9"/>
        </w:rPr>
        <w:t> </w:t>
      </w:r>
      <w:r>
        <w:rPr>
          <w:color w:val="231F20"/>
        </w:rPr>
        <w:t>rescatar</w:t>
      </w:r>
      <w:r>
        <w:rPr>
          <w:color w:val="231F20"/>
          <w:spacing w:val="-9"/>
        </w:rPr>
        <w:t> </w:t>
      </w:r>
      <w:r>
        <w:rPr>
          <w:color w:val="231F20"/>
        </w:rPr>
        <w:t>a</w:t>
      </w:r>
      <w:r>
        <w:rPr>
          <w:color w:val="231F20"/>
          <w:spacing w:val="-9"/>
        </w:rPr>
        <w:t> </w:t>
      </w:r>
      <w:r>
        <w:rPr>
          <w:color w:val="231F20"/>
        </w:rPr>
        <w:t>víctimas</w:t>
      </w:r>
      <w:r>
        <w:rPr>
          <w:color w:val="231F20"/>
          <w:spacing w:val="-9"/>
        </w:rPr>
        <w:t> </w:t>
      </w:r>
      <w:r>
        <w:rPr>
          <w:color w:val="231F20"/>
        </w:rPr>
        <w:t>de</w:t>
      </w:r>
      <w:r>
        <w:rPr>
          <w:color w:val="231F20"/>
          <w:spacing w:val="-9"/>
        </w:rPr>
        <w:t> </w:t>
      </w:r>
      <w:r>
        <w:rPr>
          <w:color w:val="231F20"/>
        </w:rPr>
        <w:t>secuestro, etc. </w:t>
      </w:r>
      <w:r>
        <w:rPr>
          <w:color w:val="231F20"/>
          <w:spacing w:val="-8"/>
        </w:rPr>
        <w:t>Tal </w:t>
      </w:r>
      <w:r>
        <w:rPr>
          <w:color w:val="231F20"/>
        </w:rPr>
        <w:t>tendencia a la militarización del combate al narcotráfico se</w:t>
      </w:r>
      <w:r>
        <w:rPr>
          <w:color w:val="231F20"/>
          <w:spacing w:val="-31"/>
        </w:rPr>
        <w:t> </w:t>
      </w:r>
      <w:r>
        <w:rPr>
          <w:color w:val="231F20"/>
        </w:rPr>
        <w:t>acentuó con en el gobierno de Felipe Calderón. Quizá las críticas más acuciosas  </w:t>
      </w:r>
      <w:r>
        <w:rPr>
          <w:color w:val="231F20"/>
          <w:spacing w:val="38"/>
        </w:rPr>
        <w:t> </w:t>
      </w:r>
      <w:r>
        <w:rPr>
          <w:color w:val="231F20"/>
        </w:rPr>
        <w:t>a</w:t>
      </w:r>
    </w:p>
    <w:p>
      <w:pPr>
        <w:pStyle w:val="BodyText"/>
        <w:spacing w:before="7"/>
        <w:rPr>
          <w:sz w:val="24"/>
        </w:rPr>
      </w:pPr>
      <w:r>
        <w:rPr/>
        <w:pict>
          <v:line style="position:absolute;mso-position-horizontal-relative:page;mso-position-vertical-relative:paragraph;z-index:2344;mso-wrap-distance-left:0;mso-wrap-distance-right:0" from="70.866096pt,16.960487pt" to="184.252096pt,16.960487pt" stroked="true" strokeweight=".3pt" strokecolor="#231f20">
            <w10:wrap type="topAndBottom"/>
          </v:line>
        </w:pict>
      </w:r>
    </w:p>
    <w:p>
      <w:pPr>
        <w:spacing w:line="204" w:lineRule="exact" w:before="9"/>
        <w:ind w:left="117" w:right="0" w:firstLine="0"/>
        <w:jc w:val="left"/>
        <w:rPr>
          <w:rFonts w:ascii="Calibri" w:hAnsi="Calibri"/>
          <w:sz w:val="17"/>
        </w:rPr>
      </w:pPr>
      <w:r>
        <w:rPr>
          <w:rFonts w:ascii="Calibri" w:hAnsi="Calibri"/>
          <w:color w:val="231F20"/>
          <w:position w:val="6"/>
          <w:sz w:val="10"/>
        </w:rPr>
        <w:t>19</w:t>
      </w:r>
      <w:r>
        <w:rPr>
          <w:rFonts w:ascii="Calibri" w:hAnsi="Calibri"/>
          <w:color w:val="231F20"/>
          <w:spacing w:val="9"/>
          <w:position w:val="6"/>
          <w:sz w:val="10"/>
        </w:rPr>
        <w:t> </w:t>
      </w:r>
      <w:r>
        <w:rPr>
          <w:rFonts w:ascii="Calibri" w:hAnsi="Calibri"/>
          <w:color w:val="231F20"/>
          <w:sz w:val="17"/>
        </w:rPr>
        <w:t>M.</w:t>
      </w:r>
      <w:r>
        <w:rPr>
          <w:rFonts w:ascii="Calibri" w:hAnsi="Calibri"/>
          <w:color w:val="231F20"/>
          <w:spacing w:val="-7"/>
          <w:sz w:val="17"/>
        </w:rPr>
        <w:t> </w:t>
      </w:r>
      <w:r>
        <w:rPr>
          <w:rFonts w:ascii="Calibri" w:hAnsi="Calibri"/>
          <w:color w:val="231F20"/>
          <w:sz w:val="17"/>
        </w:rPr>
        <w:t>Barrón</w:t>
      </w:r>
      <w:r>
        <w:rPr>
          <w:rFonts w:ascii="Calibri" w:hAnsi="Calibri"/>
          <w:color w:val="231F20"/>
          <w:spacing w:val="-7"/>
          <w:sz w:val="17"/>
        </w:rPr>
        <w:t> </w:t>
      </w:r>
      <w:r>
        <w:rPr>
          <w:rFonts w:ascii="Calibri" w:hAnsi="Calibri"/>
          <w:color w:val="231F20"/>
          <w:sz w:val="17"/>
        </w:rPr>
        <w:t>Cruz,</w:t>
      </w:r>
      <w:r>
        <w:rPr>
          <w:rFonts w:ascii="Calibri" w:hAnsi="Calibri"/>
          <w:color w:val="231F20"/>
          <w:spacing w:val="-7"/>
          <w:sz w:val="17"/>
        </w:rPr>
        <w:t> </w:t>
      </w:r>
      <w:r>
        <w:rPr>
          <w:rFonts w:ascii="Calibri" w:hAnsi="Calibri"/>
          <w:i/>
          <w:color w:val="231F20"/>
          <w:sz w:val="17"/>
        </w:rPr>
        <w:t>Violencia</w:t>
      </w:r>
      <w:r>
        <w:rPr>
          <w:rFonts w:ascii="Calibri" w:hAnsi="Calibri"/>
          <w:i/>
          <w:color w:val="231F20"/>
          <w:spacing w:val="-9"/>
          <w:sz w:val="17"/>
        </w:rPr>
        <w:t> </w:t>
      </w:r>
      <w:r>
        <w:rPr>
          <w:rFonts w:ascii="Calibri" w:hAnsi="Calibri"/>
          <w:i/>
          <w:color w:val="231F20"/>
          <w:sz w:val="17"/>
        </w:rPr>
        <w:t>y</w:t>
      </w:r>
      <w:r>
        <w:rPr>
          <w:rFonts w:ascii="Calibri" w:hAnsi="Calibri"/>
          <w:i/>
          <w:color w:val="231F20"/>
          <w:spacing w:val="-8"/>
          <w:sz w:val="17"/>
        </w:rPr>
        <w:t> </w:t>
      </w:r>
      <w:r>
        <w:rPr>
          <w:rFonts w:ascii="Calibri" w:hAnsi="Calibri"/>
          <w:i/>
          <w:color w:val="231F20"/>
          <w:sz w:val="17"/>
        </w:rPr>
        <w:t>seguridad</w:t>
      </w:r>
      <w:r>
        <w:rPr>
          <w:rFonts w:ascii="Calibri" w:hAnsi="Calibri"/>
          <w:i/>
          <w:color w:val="231F20"/>
          <w:spacing w:val="-8"/>
          <w:sz w:val="17"/>
        </w:rPr>
        <w:t> </w:t>
      </w:r>
      <w:r>
        <w:rPr>
          <w:rFonts w:ascii="Calibri" w:hAnsi="Calibri"/>
          <w:i/>
          <w:color w:val="231F20"/>
          <w:sz w:val="17"/>
        </w:rPr>
        <w:t>en</w:t>
      </w:r>
      <w:r>
        <w:rPr>
          <w:rFonts w:ascii="Calibri" w:hAnsi="Calibri"/>
          <w:i/>
          <w:color w:val="231F20"/>
          <w:spacing w:val="-8"/>
          <w:sz w:val="17"/>
        </w:rPr>
        <w:t> </w:t>
      </w:r>
      <w:r>
        <w:rPr>
          <w:rFonts w:ascii="Calibri" w:hAnsi="Calibri"/>
          <w:i/>
          <w:color w:val="231F20"/>
          <w:sz w:val="17"/>
        </w:rPr>
        <w:t>México</w:t>
      </w:r>
      <w:r>
        <w:rPr>
          <w:rFonts w:ascii="Calibri" w:hAnsi="Calibri"/>
          <w:i/>
          <w:color w:val="231F20"/>
          <w:spacing w:val="-8"/>
          <w:sz w:val="17"/>
        </w:rPr>
        <w:t> </w:t>
      </w:r>
      <w:r>
        <w:rPr>
          <w:rFonts w:ascii="Calibri" w:hAnsi="Calibri"/>
          <w:i/>
          <w:color w:val="231F20"/>
          <w:sz w:val="17"/>
        </w:rPr>
        <w:t>en</w:t>
      </w:r>
      <w:r>
        <w:rPr>
          <w:rFonts w:ascii="Calibri" w:hAnsi="Calibri"/>
          <w:i/>
          <w:color w:val="231F20"/>
          <w:spacing w:val="-8"/>
          <w:sz w:val="17"/>
        </w:rPr>
        <w:t> </w:t>
      </w:r>
      <w:r>
        <w:rPr>
          <w:rFonts w:ascii="Calibri" w:hAnsi="Calibri"/>
          <w:i/>
          <w:color w:val="231F20"/>
          <w:sz w:val="17"/>
        </w:rPr>
        <w:t>el</w:t>
      </w:r>
      <w:r>
        <w:rPr>
          <w:rFonts w:ascii="Calibri" w:hAnsi="Calibri"/>
          <w:i/>
          <w:color w:val="231F20"/>
          <w:spacing w:val="-8"/>
          <w:sz w:val="17"/>
        </w:rPr>
        <w:t> </w:t>
      </w:r>
      <w:r>
        <w:rPr>
          <w:rFonts w:ascii="Calibri" w:hAnsi="Calibri"/>
          <w:i/>
          <w:color w:val="231F20"/>
          <w:sz w:val="17"/>
        </w:rPr>
        <w:t>umbral</w:t>
      </w:r>
      <w:r>
        <w:rPr>
          <w:rFonts w:ascii="Calibri" w:hAnsi="Calibri"/>
          <w:i/>
          <w:color w:val="231F20"/>
          <w:spacing w:val="-8"/>
          <w:sz w:val="17"/>
        </w:rPr>
        <w:t> </w:t>
      </w:r>
      <w:r>
        <w:rPr>
          <w:rFonts w:ascii="Calibri" w:hAnsi="Calibri"/>
          <w:i/>
          <w:color w:val="231F20"/>
          <w:sz w:val="17"/>
        </w:rPr>
        <w:t>del</w:t>
      </w:r>
      <w:r>
        <w:rPr>
          <w:rFonts w:ascii="Calibri" w:hAnsi="Calibri"/>
          <w:i/>
          <w:color w:val="231F20"/>
          <w:spacing w:val="-8"/>
          <w:sz w:val="17"/>
        </w:rPr>
        <w:t> </w:t>
      </w:r>
      <w:r>
        <w:rPr>
          <w:rFonts w:ascii="Calibri" w:hAnsi="Calibri"/>
          <w:i/>
          <w:color w:val="231F20"/>
          <w:sz w:val="17"/>
        </w:rPr>
        <w:t>siglo</w:t>
      </w:r>
      <w:r>
        <w:rPr>
          <w:rFonts w:ascii="Calibri" w:hAnsi="Calibri"/>
          <w:i/>
          <w:color w:val="231F20"/>
          <w:spacing w:val="-7"/>
          <w:sz w:val="17"/>
        </w:rPr>
        <w:t> </w:t>
      </w:r>
      <w:r>
        <w:rPr>
          <w:rFonts w:ascii="Calibri" w:hAnsi="Calibri"/>
          <w:i/>
          <w:color w:val="231F20"/>
          <w:sz w:val="15"/>
        </w:rPr>
        <w:t>XXI</w:t>
      </w:r>
      <w:r>
        <w:rPr>
          <w:rFonts w:ascii="Calibri" w:hAnsi="Calibri"/>
          <w:i/>
          <w:color w:val="231F20"/>
          <w:sz w:val="17"/>
        </w:rPr>
        <w:t>,</w:t>
      </w:r>
      <w:r>
        <w:rPr>
          <w:rFonts w:ascii="Calibri" w:hAnsi="Calibri"/>
          <w:i/>
          <w:color w:val="231F20"/>
          <w:spacing w:val="-7"/>
          <w:sz w:val="17"/>
        </w:rPr>
        <w:t> </w:t>
      </w:r>
      <w:r>
        <w:rPr>
          <w:rFonts w:ascii="Calibri" w:hAnsi="Calibri"/>
          <w:color w:val="231F20"/>
          <w:sz w:val="17"/>
        </w:rPr>
        <w:t>México,</w:t>
      </w:r>
      <w:r>
        <w:rPr>
          <w:rFonts w:ascii="Calibri" w:hAnsi="Calibri"/>
          <w:color w:val="231F20"/>
          <w:spacing w:val="-7"/>
          <w:sz w:val="17"/>
        </w:rPr>
        <w:t> </w:t>
      </w:r>
      <w:r>
        <w:rPr>
          <w:rFonts w:ascii="Calibri" w:hAnsi="Calibri"/>
          <w:color w:val="231F20"/>
          <w:sz w:val="17"/>
        </w:rPr>
        <w:t>Editorial</w:t>
      </w:r>
      <w:r>
        <w:rPr>
          <w:rFonts w:ascii="Calibri" w:hAnsi="Calibri"/>
          <w:color w:val="231F20"/>
          <w:spacing w:val="-7"/>
          <w:sz w:val="17"/>
        </w:rPr>
        <w:t> </w:t>
      </w:r>
      <w:r>
        <w:rPr>
          <w:rFonts w:ascii="Calibri" w:hAnsi="Calibri"/>
          <w:color w:val="231F20"/>
          <w:sz w:val="17"/>
        </w:rPr>
        <w:t>Novum, </w:t>
      </w:r>
      <w:r>
        <w:rPr>
          <w:rFonts w:ascii="Calibri" w:hAnsi="Calibri"/>
          <w:color w:val="231F20"/>
          <w:w w:val="95"/>
          <w:sz w:val="17"/>
        </w:rPr>
        <w:t>2012, pp.</w:t>
      </w:r>
      <w:r>
        <w:rPr>
          <w:rFonts w:ascii="Calibri" w:hAnsi="Calibri"/>
          <w:color w:val="231F20"/>
          <w:spacing w:val="-21"/>
          <w:w w:val="95"/>
          <w:sz w:val="17"/>
        </w:rPr>
        <w:t> </w:t>
      </w:r>
      <w:r>
        <w:rPr>
          <w:rFonts w:ascii="Calibri" w:hAnsi="Calibri"/>
          <w:color w:val="231F20"/>
          <w:spacing w:val="-3"/>
          <w:w w:val="95"/>
          <w:sz w:val="17"/>
        </w:rPr>
        <w:t>166–167.</w:t>
      </w:r>
    </w:p>
    <w:p>
      <w:pPr>
        <w:spacing w:after="0" w:line="204" w:lineRule="exact"/>
        <w:jc w:val="left"/>
        <w:rPr>
          <w:rFonts w:ascii="Calibri" w:hAnsi="Calibri"/>
          <w:sz w:val="17"/>
        </w:rPr>
        <w:sectPr>
          <w:pgSz w:w="9640" w:h="13890"/>
          <w:pgMar w:top="0" w:bottom="280" w:left="1300" w:right="1200"/>
        </w:sectPr>
      </w:pPr>
    </w:p>
    <w:p>
      <w:pPr>
        <w:pStyle w:val="BodyText"/>
        <w:spacing w:line="247" w:lineRule="auto" w:before="107"/>
        <w:ind w:left="103" w:right="115"/>
        <w:jc w:val="both"/>
      </w:pPr>
      <w:r>
        <w:rPr>
          <w:color w:val="231F20"/>
        </w:rPr>
        <w:t>su sexenio se dirigieron a la manera como manejó la seguridad nacional y la inserción del Ejército y la Armada en las calles, a partir de diciembre de 2006,</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cual</w:t>
      </w:r>
      <w:r>
        <w:rPr>
          <w:color w:val="231F20"/>
          <w:spacing w:val="-9"/>
        </w:rPr>
        <w:t> </w:t>
      </w:r>
      <w:r>
        <w:rPr>
          <w:color w:val="231F20"/>
        </w:rPr>
        <w:t>se</w:t>
      </w:r>
      <w:r>
        <w:rPr>
          <w:color w:val="231F20"/>
          <w:spacing w:val="-9"/>
        </w:rPr>
        <w:t> </w:t>
      </w:r>
      <w:r>
        <w:rPr>
          <w:color w:val="231F20"/>
        </w:rPr>
        <w:t>creó</w:t>
      </w:r>
      <w:r>
        <w:rPr>
          <w:color w:val="231F20"/>
          <w:spacing w:val="-9"/>
        </w:rPr>
        <w:t> </w:t>
      </w:r>
      <w:r>
        <w:rPr>
          <w:color w:val="231F20"/>
        </w:rPr>
        <w:t>una</w:t>
      </w:r>
      <w:r>
        <w:rPr>
          <w:color w:val="231F20"/>
          <w:spacing w:val="-9"/>
        </w:rPr>
        <w:t> </w:t>
      </w:r>
      <w:r>
        <w:rPr>
          <w:color w:val="231F20"/>
        </w:rPr>
        <w:t>atmósfera</w:t>
      </w:r>
      <w:r>
        <w:rPr>
          <w:color w:val="231F20"/>
          <w:spacing w:val="-9"/>
        </w:rPr>
        <w:t> </w:t>
      </w:r>
      <w:r>
        <w:rPr>
          <w:color w:val="231F20"/>
        </w:rPr>
        <w:t>de</w:t>
      </w:r>
      <w:r>
        <w:rPr>
          <w:color w:val="231F20"/>
          <w:spacing w:val="-9"/>
        </w:rPr>
        <w:t> </w:t>
      </w:r>
      <w:r>
        <w:rPr>
          <w:color w:val="231F20"/>
        </w:rPr>
        <w:t>incertidumbre</w:t>
      </w:r>
      <w:r>
        <w:rPr>
          <w:color w:val="231F20"/>
          <w:spacing w:val="-9"/>
        </w:rPr>
        <w:t> </w:t>
      </w:r>
      <w:r>
        <w:rPr>
          <w:color w:val="231F20"/>
        </w:rPr>
        <w:t>con</w:t>
      </w:r>
      <w:r>
        <w:rPr>
          <w:color w:val="231F20"/>
          <w:spacing w:val="-9"/>
        </w:rPr>
        <w:t> </w:t>
      </w:r>
      <w:r>
        <w:rPr>
          <w:color w:val="231F20"/>
        </w:rPr>
        <w:t>relación</w:t>
      </w:r>
      <w:r>
        <w:rPr>
          <w:color w:val="231F20"/>
          <w:spacing w:val="-9"/>
        </w:rPr>
        <w:t> </w:t>
      </w:r>
      <w:r>
        <w:rPr>
          <w:color w:val="231F20"/>
        </w:rPr>
        <w:t>a</w:t>
      </w:r>
      <w:r>
        <w:rPr>
          <w:color w:val="231F20"/>
          <w:spacing w:val="-9"/>
        </w:rPr>
        <w:t> </w:t>
      </w:r>
      <w:r>
        <w:rPr>
          <w:color w:val="231F20"/>
        </w:rPr>
        <w:t>los derechos humanos y la suspensión de</w:t>
      </w:r>
      <w:r>
        <w:rPr>
          <w:color w:val="231F20"/>
          <w:spacing w:val="-19"/>
        </w:rPr>
        <w:t> </w:t>
      </w:r>
      <w:r>
        <w:rPr>
          <w:color w:val="231F20"/>
        </w:rPr>
        <w:t>garantías.</w:t>
      </w:r>
    </w:p>
    <w:p>
      <w:pPr>
        <w:pStyle w:val="BodyText"/>
        <w:spacing w:before="10"/>
        <w:rPr>
          <w:sz w:val="22"/>
        </w:rPr>
      </w:pPr>
    </w:p>
    <w:p>
      <w:pPr>
        <w:spacing w:line="220" w:lineRule="exact" w:before="1"/>
        <w:ind w:left="1521" w:right="115" w:firstLine="0"/>
        <w:jc w:val="both"/>
        <w:rPr>
          <w:sz w:val="19"/>
        </w:rPr>
      </w:pPr>
      <w:r>
        <w:rPr>
          <w:color w:val="231F20"/>
          <w:w w:val="105"/>
          <w:sz w:val="19"/>
        </w:rPr>
        <w:t>Problema</w:t>
      </w:r>
      <w:r>
        <w:rPr>
          <w:color w:val="231F20"/>
          <w:spacing w:val="-30"/>
          <w:w w:val="105"/>
          <w:sz w:val="19"/>
        </w:rPr>
        <w:t> </w:t>
      </w:r>
      <w:r>
        <w:rPr>
          <w:color w:val="231F20"/>
          <w:w w:val="105"/>
          <w:sz w:val="19"/>
        </w:rPr>
        <w:t>difícil</w:t>
      </w:r>
      <w:r>
        <w:rPr>
          <w:color w:val="231F20"/>
          <w:spacing w:val="-30"/>
          <w:w w:val="105"/>
          <w:sz w:val="19"/>
        </w:rPr>
        <w:t> </w:t>
      </w:r>
      <w:r>
        <w:rPr>
          <w:color w:val="231F20"/>
          <w:w w:val="105"/>
          <w:sz w:val="19"/>
        </w:rPr>
        <w:t>es</w:t>
      </w:r>
      <w:r>
        <w:rPr>
          <w:color w:val="231F20"/>
          <w:spacing w:val="-30"/>
          <w:w w:val="105"/>
          <w:sz w:val="19"/>
        </w:rPr>
        <w:t> </w:t>
      </w:r>
      <w:r>
        <w:rPr>
          <w:color w:val="231F20"/>
          <w:w w:val="105"/>
          <w:sz w:val="19"/>
        </w:rPr>
        <w:t>precisar</w:t>
      </w:r>
      <w:r>
        <w:rPr>
          <w:color w:val="231F20"/>
          <w:spacing w:val="-30"/>
          <w:w w:val="105"/>
          <w:sz w:val="19"/>
        </w:rPr>
        <w:t> </w:t>
      </w:r>
      <w:r>
        <w:rPr>
          <w:color w:val="231F20"/>
          <w:w w:val="105"/>
          <w:sz w:val="19"/>
        </w:rPr>
        <w:t>cuándo</w:t>
      </w:r>
      <w:r>
        <w:rPr>
          <w:color w:val="231F20"/>
          <w:spacing w:val="-30"/>
          <w:w w:val="105"/>
          <w:sz w:val="19"/>
        </w:rPr>
        <w:t> </w:t>
      </w:r>
      <w:r>
        <w:rPr>
          <w:color w:val="231F20"/>
          <w:w w:val="105"/>
          <w:sz w:val="19"/>
        </w:rPr>
        <w:t>puede</w:t>
      </w:r>
      <w:r>
        <w:rPr>
          <w:color w:val="231F20"/>
          <w:spacing w:val="-30"/>
          <w:w w:val="105"/>
          <w:sz w:val="19"/>
        </w:rPr>
        <w:t> </w:t>
      </w:r>
      <w:r>
        <w:rPr>
          <w:color w:val="231F20"/>
          <w:w w:val="105"/>
          <w:sz w:val="19"/>
        </w:rPr>
        <w:t>el</w:t>
      </w:r>
      <w:r>
        <w:rPr>
          <w:color w:val="231F20"/>
          <w:spacing w:val="-30"/>
          <w:w w:val="105"/>
          <w:sz w:val="19"/>
        </w:rPr>
        <w:t> </w:t>
      </w:r>
      <w:r>
        <w:rPr>
          <w:color w:val="231F20"/>
          <w:w w:val="105"/>
          <w:sz w:val="19"/>
        </w:rPr>
        <w:t>presidente</w:t>
      </w:r>
      <w:r>
        <w:rPr>
          <w:color w:val="231F20"/>
          <w:spacing w:val="-30"/>
          <w:w w:val="105"/>
          <w:sz w:val="19"/>
        </w:rPr>
        <w:t> </w:t>
      </w:r>
      <w:r>
        <w:rPr>
          <w:color w:val="231F20"/>
          <w:w w:val="105"/>
          <w:sz w:val="19"/>
        </w:rPr>
        <w:t>hacer</w:t>
      </w:r>
      <w:r>
        <w:rPr>
          <w:color w:val="231F20"/>
          <w:spacing w:val="-30"/>
          <w:w w:val="105"/>
          <w:sz w:val="19"/>
        </w:rPr>
        <w:t> </w:t>
      </w:r>
      <w:r>
        <w:rPr>
          <w:color w:val="231F20"/>
          <w:w w:val="105"/>
          <w:sz w:val="19"/>
        </w:rPr>
        <w:t>uso de</w:t>
      </w:r>
      <w:r>
        <w:rPr>
          <w:color w:val="231F20"/>
          <w:spacing w:val="-30"/>
          <w:w w:val="105"/>
          <w:sz w:val="19"/>
        </w:rPr>
        <w:t> </w:t>
      </w:r>
      <w:r>
        <w:rPr>
          <w:color w:val="231F20"/>
          <w:w w:val="105"/>
          <w:sz w:val="19"/>
        </w:rPr>
        <w:t>la</w:t>
      </w:r>
      <w:r>
        <w:rPr>
          <w:color w:val="231F20"/>
          <w:spacing w:val="-30"/>
          <w:w w:val="105"/>
          <w:sz w:val="19"/>
        </w:rPr>
        <w:t> </w:t>
      </w:r>
      <w:r>
        <w:rPr>
          <w:color w:val="231F20"/>
          <w:w w:val="105"/>
          <w:sz w:val="19"/>
        </w:rPr>
        <w:t>fuerza</w:t>
      </w:r>
      <w:r>
        <w:rPr>
          <w:color w:val="231F20"/>
          <w:spacing w:val="-30"/>
          <w:w w:val="105"/>
          <w:sz w:val="19"/>
        </w:rPr>
        <w:t> </w:t>
      </w:r>
      <w:r>
        <w:rPr>
          <w:color w:val="231F20"/>
          <w:w w:val="105"/>
          <w:sz w:val="19"/>
        </w:rPr>
        <w:t>pública</w:t>
      </w:r>
      <w:r>
        <w:rPr>
          <w:color w:val="231F20"/>
          <w:spacing w:val="-30"/>
          <w:w w:val="105"/>
          <w:sz w:val="19"/>
        </w:rPr>
        <w:t> </w:t>
      </w:r>
      <w:r>
        <w:rPr>
          <w:color w:val="231F20"/>
          <w:w w:val="105"/>
          <w:sz w:val="19"/>
        </w:rPr>
        <w:t>para</w:t>
      </w:r>
      <w:r>
        <w:rPr>
          <w:color w:val="231F20"/>
          <w:spacing w:val="-30"/>
          <w:w w:val="105"/>
          <w:sz w:val="19"/>
        </w:rPr>
        <w:t> </w:t>
      </w:r>
      <w:r>
        <w:rPr>
          <w:color w:val="231F20"/>
          <w:w w:val="105"/>
          <w:sz w:val="19"/>
        </w:rPr>
        <w:t>preservar</w:t>
      </w:r>
      <w:r>
        <w:rPr>
          <w:color w:val="231F20"/>
          <w:spacing w:val="-30"/>
          <w:w w:val="105"/>
          <w:sz w:val="19"/>
        </w:rPr>
        <w:t> </w:t>
      </w:r>
      <w:r>
        <w:rPr>
          <w:color w:val="231F20"/>
          <w:w w:val="105"/>
          <w:sz w:val="19"/>
        </w:rPr>
        <w:t>la</w:t>
      </w:r>
      <w:r>
        <w:rPr>
          <w:color w:val="231F20"/>
          <w:spacing w:val="-30"/>
          <w:w w:val="105"/>
          <w:sz w:val="19"/>
        </w:rPr>
        <w:t> </w:t>
      </w:r>
      <w:r>
        <w:rPr>
          <w:color w:val="231F20"/>
          <w:w w:val="105"/>
          <w:sz w:val="19"/>
        </w:rPr>
        <w:t>seguridad</w:t>
      </w:r>
      <w:r>
        <w:rPr>
          <w:color w:val="231F20"/>
          <w:spacing w:val="-30"/>
          <w:w w:val="105"/>
          <w:sz w:val="19"/>
        </w:rPr>
        <w:t> </w:t>
      </w:r>
      <w:r>
        <w:rPr>
          <w:color w:val="231F20"/>
          <w:w w:val="105"/>
          <w:sz w:val="19"/>
        </w:rPr>
        <w:t>interior;</w:t>
      </w:r>
      <w:r>
        <w:rPr>
          <w:color w:val="231F20"/>
          <w:spacing w:val="-30"/>
          <w:w w:val="105"/>
          <w:sz w:val="19"/>
        </w:rPr>
        <w:t> </w:t>
      </w:r>
      <w:r>
        <w:rPr>
          <w:color w:val="231F20"/>
          <w:w w:val="105"/>
          <w:sz w:val="19"/>
        </w:rPr>
        <w:t>una</w:t>
      </w:r>
      <w:r>
        <w:rPr>
          <w:color w:val="231F20"/>
          <w:spacing w:val="-30"/>
          <w:w w:val="105"/>
          <w:sz w:val="19"/>
        </w:rPr>
        <w:t> </w:t>
      </w:r>
      <w:r>
        <w:rPr>
          <w:color w:val="231F20"/>
          <w:w w:val="105"/>
          <w:sz w:val="19"/>
        </w:rPr>
        <w:t>con- testación</w:t>
      </w:r>
      <w:r>
        <w:rPr>
          <w:color w:val="231F20"/>
          <w:spacing w:val="-14"/>
          <w:w w:val="105"/>
          <w:sz w:val="19"/>
        </w:rPr>
        <w:t> </w:t>
      </w:r>
      <w:r>
        <w:rPr>
          <w:color w:val="231F20"/>
          <w:w w:val="105"/>
          <w:sz w:val="19"/>
        </w:rPr>
        <w:t>general</w:t>
      </w:r>
      <w:r>
        <w:rPr>
          <w:color w:val="231F20"/>
          <w:spacing w:val="-14"/>
          <w:w w:val="105"/>
          <w:sz w:val="19"/>
        </w:rPr>
        <w:t> </w:t>
      </w:r>
      <w:r>
        <w:rPr>
          <w:color w:val="231F20"/>
          <w:w w:val="105"/>
          <w:sz w:val="19"/>
        </w:rPr>
        <w:t>podría</w:t>
      </w:r>
      <w:r>
        <w:rPr>
          <w:color w:val="231F20"/>
          <w:spacing w:val="-14"/>
          <w:w w:val="105"/>
          <w:sz w:val="19"/>
        </w:rPr>
        <w:t> </w:t>
      </w:r>
      <w:r>
        <w:rPr>
          <w:color w:val="231F20"/>
          <w:w w:val="105"/>
          <w:sz w:val="19"/>
        </w:rPr>
        <w:t>ser</w:t>
      </w:r>
      <w:r>
        <w:rPr>
          <w:color w:val="231F20"/>
          <w:spacing w:val="-14"/>
          <w:w w:val="105"/>
          <w:sz w:val="19"/>
        </w:rPr>
        <w:t> </w:t>
      </w:r>
      <w:r>
        <w:rPr>
          <w:color w:val="231F20"/>
          <w:w w:val="105"/>
          <w:sz w:val="19"/>
        </w:rPr>
        <w:t>la</w:t>
      </w:r>
      <w:r>
        <w:rPr>
          <w:color w:val="231F20"/>
          <w:spacing w:val="-14"/>
          <w:w w:val="105"/>
          <w:sz w:val="19"/>
        </w:rPr>
        <w:t> </w:t>
      </w:r>
      <w:r>
        <w:rPr>
          <w:color w:val="231F20"/>
          <w:w w:val="105"/>
          <w:sz w:val="19"/>
        </w:rPr>
        <w:t>siguiente:</w:t>
      </w:r>
      <w:r>
        <w:rPr>
          <w:color w:val="231F20"/>
          <w:spacing w:val="-14"/>
          <w:w w:val="105"/>
          <w:sz w:val="19"/>
        </w:rPr>
        <w:t> </w:t>
      </w:r>
      <w:r>
        <w:rPr>
          <w:color w:val="231F20"/>
          <w:w w:val="105"/>
          <w:sz w:val="19"/>
        </w:rPr>
        <w:t>existe</w:t>
      </w:r>
      <w:r>
        <w:rPr>
          <w:color w:val="231F20"/>
          <w:spacing w:val="-14"/>
          <w:w w:val="105"/>
          <w:sz w:val="19"/>
        </w:rPr>
        <w:t> </w:t>
      </w:r>
      <w:r>
        <w:rPr>
          <w:color w:val="231F20"/>
          <w:w w:val="105"/>
          <w:sz w:val="19"/>
        </w:rPr>
        <w:t>una</w:t>
      </w:r>
      <w:r>
        <w:rPr>
          <w:color w:val="231F20"/>
          <w:spacing w:val="-14"/>
          <w:w w:val="105"/>
          <w:sz w:val="19"/>
        </w:rPr>
        <w:t> </w:t>
      </w:r>
      <w:r>
        <w:rPr>
          <w:color w:val="231F20"/>
          <w:w w:val="105"/>
          <w:sz w:val="19"/>
        </w:rPr>
        <w:t>paz</w:t>
      </w:r>
      <w:r>
        <w:rPr>
          <w:color w:val="231F20"/>
          <w:spacing w:val="-14"/>
          <w:w w:val="105"/>
          <w:sz w:val="19"/>
        </w:rPr>
        <w:t> </w:t>
      </w:r>
      <w:r>
        <w:rPr>
          <w:color w:val="231F20"/>
          <w:w w:val="105"/>
          <w:sz w:val="19"/>
        </w:rPr>
        <w:t>mínima para</w:t>
      </w:r>
      <w:r>
        <w:rPr>
          <w:color w:val="231F20"/>
          <w:spacing w:val="-31"/>
          <w:w w:val="105"/>
          <w:sz w:val="19"/>
        </w:rPr>
        <w:t> </w:t>
      </w:r>
      <w:r>
        <w:rPr>
          <w:color w:val="231F20"/>
          <w:w w:val="105"/>
          <w:sz w:val="19"/>
        </w:rPr>
        <w:t>el</w:t>
      </w:r>
      <w:r>
        <w:rPr>
          <w:color w:val="231F20"/>
          <w:spacing w:val="-31"/>
          <w:w w:val="105"/>
          <w:sz w:val="19"/>
        </w:rPr>
        <w:t> </w:t>
      </w:r>
      <w:r>
        <w:rPr>
          <w:color w:val="231F20"/>
          <w:w w:val="105"/>
          <w:sz w:val="19"/>
        </w:rPr>
        <w:t>desarrollo</w:t>
      </w:r>
      <w:r>
        <w:rPr>
          <w:color w:val="231F20"/>
          <w:spacing w:val="-31"/>
          <w:w w:val="105"/>
          <w:sz w:val="19"/>
        </w:rPr>
        <w:t> </w:t>
      </w:r>
      <w:r>
        <w:rPr>
          <w:color w:val="231F20"/>
          <w:w w:val="105"/>
          <w:sz w:val="19"/>
        </w:rPr>
        <w:t>de</w:t>
      </w:r>
      <w:r>
        <w:rPr>
          <w:color w:val="231F20"/>
          <w:spacing w:val="-31"/>
          <w:w w:val="105"/>
          <w:sz w:val="19"/>
        </w:rPr>
        <w:t> </w:t>
      </w:r>
      <w:r>
        <w:rPr>
          <w:color w:val="231F20"/>
          <w:w w:val="105"/>
          <w:sz w:val="19"/>
        </w:rPr>
        <w:t>la</w:t>
      </w:r>
      <w:r>
        <w:rPr>
          <w:color w:val="231F20"/>
          <w:spacing w:val="-31"/>
          <w:w w:val="105"/>
          <w:sz w:val="19"/>
        </w:rPr>
        <w:t> </w:t>
      </w:r>
      <w:r>
        <w:rPr>
          <w:color w:val="231F20"/>
          <w:w w:val="105"/>
          <w:sz w:val="19"/>
        </w:rPr>
        <w:t>vida</w:t>
      </w:r>
      <w:r>
        <w:rPr>
          <w:color w:val="231F20"/>
          <w:spacing w:val="-31"/>
          <w:w w:val="105"/>
          <w:sz w:val="19"/>
        </w:rPr>
        <w:t> </w:t>
      </w:r>
      <w:r>
        <w:rPr>
          <w:color w:val="231F20"/>
          <w:w w:val="105"/>
          <w:sz w:val="19"/>
        </w:rPr>
        <w:t>cotidiana;</w:t>
      </w:r>
      <w:r>
        <w:rPr>
          <w:color w:val="231F20"/>
          <w:spacing w:val="-31"/>
          <w:w w:val="105"/>
          <w:sz w:val="19"/>
        </w:rPr>
        <w:t> </w:t>
      </w:r>
      <w:r>
        <w:rPr>
          <w:color w:val="231F20"/>
          <w:w w:val="105"/>
          <w:sz w:val="19"/>
        </w:rPr>
        <w:t>si</w:t>
      </w:r>
      <w:r>
        <w:rPr>
          <w:color w:val="231F20"/>
          <w:spacing w:val="-31"/>
          <w:w w:val="105"/>
          <w:sz w:val="19"/>
        </w:rPr>
        <w:t> </w:t>
      </w:r>
      <w:r>
        <w:rPr>
          <w:color w:val="231F20"/>
          <w:w w:val="105"/>
          <w:sz w:val="19"/>
        </w:rPr>
        <w:t>ella</w:t>
      </w:r>
      <w:r>
        <w:rPr>
          <w:color w:val="231F20"/>
          <w:spacing w:val="-31"/>
          <w:w w:val="105"/>
          <w:sz w:val="19"/>
        </w:rPr>
        <w:t> </w:t>
      </w:r>
      <w:r>
        <w:rPr>
          <w:color w:val="231F20"/>
          <w:w w:val="105"/>
          <w:sz w:val="19"/>
        </w:rPr>
        <w:t>peligra,</w:t>
      </w:r>
      <w:r>
        <w:rPr>
          <w:color w:val="231F20"/>
          <w:spacing w:val="-31"/>
          <w:w w:val="105"/>
          <w:sz w:val="19"/>
        </w:rPr>
        <w:t> </w:t>
      </w:r>
      <w:r>
        <w:rPr>
          <w:color w:val="231F20"/>
          <w:w w:val="105"/>
          <w:sz w:val="19"/>
        </w:rPr>
        <w:t>el</w:t>
      </w:r>
      <w:r>
        <w:rPr>
          <w:color w:val="231F20"/>
          <w:spacing w:val="-31"/>
          <w:w w:val="105"/>
          <w:sz w:val="19"/>
        </w:rPr>
        <w:t> </w:t>
      </w:r>
      <w:r>
        <w:rPr>
          <w:color w:val="231F20"/>
          <w:w w:val="105"/>
          <w:sz w:val="19"/>
        </w:rPr>
        <w:t>presidente puede</w:t>
      </w:r>
      <w:r>
        <w:rPr>
          <w:color w:val="231F20"/>
          <w:spacing w:val="-39"/>
          <w:w w:val="105"/>
          <w:sz w:val="19"/>
        </w:rPr>
        <w:t> </w:t>
      </w:r>
      <w:r>
        <w:rPr>
          <w:color w:val="231F20"/>
          <w:w w:val="105"/>
          <w:sz w:val="19"/>
        </w:rPr>
        <w:t>hacer</w:t>
      </w:r>
      <w:r>
        <w:rPr>
          <w:color w:val="231F20"/>
          <w:spacing w:val="-38"/>
          <w:w w:val="105"/>
          <w:sz w:val="19"/>
        </w:rPr>
        <w:t> </w:t>
      </w:r>
      <w:r>
        <w:rPr>
          <w:color w:val="231F20"/>
          <w:w w:val="105"/>
          <w:sz w:val="19"/>
        </w:rPr>
        <w:t>uso</w:t>
      </w:r>
      <w:r>
        <w:rPr>
          <w:color w:val="231F20"/>
          <w:spacing w:val="-39"/>
          <w:w w:val="105"/>
          <w:sz w:val="19"/>
        </w:rPr>
        <w:t> </w:t>
      </w:r>
      <w:r>
        <w:rPr>
          <w:color w:val="231F20"/>
          <w:w w:val="105"/>
          <w:sz w:val="19"/>
        </w:rPr>
        <w:t>de</w:t>
      </w:r>
      <w:r>
        <w:rPr>
          <w:color w:val="231F20"/>
          <w:spacing w:val="-39"/>
          <w:w w:val="105"/>
          <w:sz w:val="19"/>
        </w:rPr>
        <w:t> </w:t>
      </w:r>
      <w:r>
        <w:rPr>
          <w:color w:val="231F20"/>
          <w:w w:val="105"/>
          <w:sz w:val="19"/>
        </w:rPr>
        <w:t>esta</w:t>
      </w:r>
      <w:r>
        <w:rPr>
          <w:color w:val="231F20"/>
          <w:spacing w:val="-38"/>
          <w:w w:val="105"/>
          <w:sz w:val="19"/>
        </w:rPr>
        <w:t> </w:t>
      </w:r>
      <w:r>
        <w:rPr>
          <w:color w:val="231F20"/>
          <w:w w:val="105"/>
          <w:sz w:val="19"/>
        </w:rPr>
        <w:t>facultad.</w:t>
      </w:r>
      <w:r>
        <w:rPr>
          <w:color w:val="231F20"/>
          <w:spacing w:val="-38"/>
          <w:w w:val="105"/>
          <w:sz w:val="19"/>
        </w:rPr>
        <w:t> </w:t>
      </w:r>
      <w:r>
        <w:rPr>
          <w:color w:val="231F20"/>
          <w:w w:val="105"/>
          <w:sz w:val="19"/>
        </w:rPr>
        <w:t>La</w:t>
      </w:r>
      <w:r>
        <w:rPr>
          <w:color w:val="231F20"/>
          <w:spacing w:val="-39"/>
          <w:w w:val="105"/>
          <w:sz w:val="19"/>
        </w:rPr>
        <w:t> </w:t>
      </w:r>
      <w:r>
        <w:rPr>
          <w:color w:val="231F20"/>
          <w:w w:val="105"/>
          <w:sz w:val="19"/>
        </w:rPr>
        <w:t>regla</w:t>
      </w:r>
      <w:r>
        <w:rPr>
          <w:color w:val="231F20"/>
          <w:spacing w:val="-39"/>
          <w:w w:val="105"/>
          <w:sz w:val="19"/>
        </w:rPr>
        <w:t> </w:t>
      </w:r>
      <w:r>
        <w:rPr>
          <w:color w:val="231F20"/>
          <w:w w:val="105"/>
          <w:sz w:val="19"/>
        </w:rPr>
        <w:t>anterior</w:t>
      </w:r>
      <w:r>
        <w:rPr>
          <w:color w:val="231F20"/>
          <w:spacing w:val="-38"/>
          <w:w w:val="105"/>
          <w:sz w:val="19"/>
        </w:rPr>
        <w:t> </w:t>
      </w:r>
      <w:r>
        <w:rPr>
          <w:color w:val="231F20"/>
          <w:w w:val="105"/>
          <w:sz w:val="19"/>
        </w:rPr>
        <w:t>es</w:t>
      </w:r>
      <w:r>
        <w:rPr>
          <w:color w:val="231F20"/>
          <w:spacing w:val="-39"/>
          <w:w w:val="105"/>
          <w:sz w:val="19"/>
        </w:rPr>
        <w:t> </w:t>
      </w:r>
      <w:r>
        <w:rPr>
          <w:color w:val="231F20"/>
          <w:w w:val="105"/>
          <w:sz w:val="19"/>
        </w:rPr>
        <w:t>de</w:t>
      </w:r>
      <w:r>
        <w:rPr>
          <w:color w:val="231F20"/>
          <w:spacing w:val="-39"/>
          <w:w w:val="105"/>
          <w:sz w:val="19"/>
        </w:rPr>
        <w:t> </w:t>
      </w:r>
      <w:r>
        <w:rPr>
          <w:color w:val="231F20"/>
          <w:w w:val="105"/>
          <w:sz w:val="19"/>
        </w:rPr>
        <w:t>aristas</w:t>
      </w:r>
      <w:r>
        <w:rPr>
          <w:color w:val="231F20"/>
          <w:spacing w:val="-39"/>
          <w:w w:val="105"/>
          <w:sz w:val="19"/>
        </w:rPr>
        <w:t> </w:t>
      </w:r>
      <w:r>
        <w:rPr>
          <w:color w:val="231F20"/>
          <w:w w:val="105"/>
          <w:sz w:val="19"/>
        </w:rPr>
        <w:t>no bien</w:t>
      </w:r>
      <w:r>
        <w:rPr>
          <w:color w:val="231F20"/>
          <w:spacing w:val="-31"/>
          <w:w w:val="105"/>
          <w:sz w:val="19"/>
        </w:rPr>
        <w:t> </w:t>
      </w:r>
      <w:r>
        <w:rPr>
          <w:color w:val="231F20"/>
          <w:w w:val="105"/>
          <w:sz w:val="19"/>
        </w:rPr>
        <w:t>definidas,</w:t>
      </w:r>
      <w:r>
        <w:rPr>
          <w:color w:val="231F20"/>
          <w:spacing w:val="-31"/>
          <w:w w:val="105"/>
          <w:sz w:val="19"/>
        </w:rPr>
        <w:t> </w:t>
      </w:r>
      <w:r>
        <w:rPr>
          <w:color w:val="231F20"/>
          <w:w w:val="105"/>
          <w:sz w:val="19"/>
        </w:rPr>
        <w:t>pero</w:t>
      </w:r>
      <w:r>
        <w:rPr>
          <w:color w:val="231F20"/>
          <w:spacing w:val="-31"/>
          <w:w w:val="105"/>
          <w:sz w:val="19"/>
        </w:rPr>
        <w:t> </w:t>
      </w:r>
      <w:r>
        <w:rPr>
          <w:color w:val="231F20"/>
          <w:w w:val="105"/>
          <w:sz w:val="19"/>
        </w:rPr>
        <w:t>hay</w:t>
      </w:r>
      <w:r>
        <w:rPr>
          <w:color w:val="231F20"/>
          <w:spacing w:val="-31"/>
          <w:w w:val="105"/>
          <w:sz w:val="19"/>
        </w:rPr>
        <w:t> </w:t>
      </w:r>
      <w:r>
        <w:rPr>
          <w:color w:val="231F20"/>
          <w:w w:val="105"/>
          <w:sz w:val="19"/>
        </w:rPr>
        <w:t>que</w:t>
      </w:r>
      <w:r>
        <w:rPr>
          <w:color w:val="231F20"/>
          <w:spacing w:val="-31"/>
          <w:w w:val="105"/>
          <w:sz w:val="19"/>
        </w:rPr>
        <w:t> </w:t>
      </w:r>
      <w:r>
        <w:rPr>
          <w:color w:val="231F20"/>
          <w:w w:val="105"/>
          <w:sz w:val="19"/>
        </w:rPr>
        <w:t>aclarar</w:t>
      </w:r>
      <w:r>
        <w:rPr>
          <w:color w:val="231F20"/>
          <w:spacing w:val="-31"/>
          <w:w w:val="105"/>
          <w:sz w:val="19"/>
        </w:rPr>
        <w:t> </w:t>
      </w:r>
      <w:r>
        <w:rPr>
          <w:color w:val="231F20"/>
          <w:w w:val="105"/>
          <w:sz w:val="19"/>
        </w:rPr>
        <w:t>que</w:t>
      </w:r>
      <w:r>
        <w:rPr>
          <w:color w:val="231F20"/>
          <w:spacing w:val="-31"/>
          <w:w w:val="105"/>
          <w:sz w:val="19"/>
        </w:rPr>
        <w:t> </w:t>
      </w:r>
      <w:r>
        <w:rPr>
          <w:color w:val="231F20"/>
          <w:w w:val="105"/>
          <w:sz w:val="19"/>
        </w:rPr>
        <w:t>en</w:t>
      </w:r>
      <w:r>
        <w:rPr>
          <w:color w:val="231F20"/>
          <w:spacing w:val="-31"/>
          <w:w w:val="105"/>
          <w:sz w:val="19"/>
        </w:rPr>
        <w:t> </w:t>
      </w:r>
      <w:r>
        <w:rPr>
          <w:color w:val="231F20"/>
          <w:w w:val="105"/>
          <w:sz w:val="19"/>
        </w:rPr>
        <w:t>el</w:t>
      </w:r>
      <w:r>
        <w:rPr>
          <w:color w:val="231F20"/>
          <w:spacing w:val="-31"/>
          <w:w w:val="105"/>
          <w:sz w:val="19"/>
        </w:rPr>
        <w:t> </w:t>
      </w:r>
      <w:r>
        <w:rPr>
          <w:color w:val="231F20"/>
          <w:w w:val="105"/>
          <w:sz w:val="19"/>
        </w:rPr>
        <w:t>ejercicio</w:t>
      </w:r>
      <w:r>
        <w:rPr>
          <w:color w:val="231F20"/>
          <w:spacing w:val="-31"/>
          <w:w w:val="105"/>
          <w:sz w:val="19"/>
        </w:rPr>
        <w:t> </w:t>
      </w:r>
      <w:r>
        <w:rPr>
          <w:color w:val="231F20"/>
          <w:w w:val="105"/>
          <w:sz w:val="19"/>
        </w:rPr>
        <w:t>de</w:t>
      </w:r>
      <w:r>
        <w:rPr>
          <w:color w:val="231F20"/>
          <w:spacing w:val="-31"/>
          <w:w w:val="105"/>
          <w:sz w:val="19"/>
        </w:rPr>
        <w:t> </w:t>
      </w:r>
      <w:r>
        <w:rPr>
          <w:color w:val="231F20"/>
          <w:w w:val="105"/>
          <w:sz w:val="19"/>
        </w:rPr>
        <w:t>la</w:t>
      </w:r>
      <w:r>
        <w:rPr>
          <w:color w:val="231F20"/>
          <w:spacing w:val="-31"/>
          <w:w w:val="105"/>
          <w:sz w:val="19"/>
        </w:rPr>
        <w:t> </w:t>
      </w:r>
      <w:r>
        <w:rPr>
          <w:color w:val="231F20"/>
          <w:w w:val="105"/>
          <w:sz w:val="19"/>
        </w:rPr>
        <w:t>facul- tad</w:t>
      </w:r>
      <w:r>
        <w:rPr>
          <w:color w:val="231F20"/>
          <w:spacing w:val="-40"/>
          <w:w w:val="105"/>
          <w:sz w:val="19"/>
        </w:rPr>
        <w:t> </w:t>
      </w:r>
      <w:r>
        <w:rPr>
          <w:color w:val="231F20"/>
          <w:w w:val="105"/>
          <w:sz w:val="19"/>
        </w:rPr>
        <w:t>a</w:t>
      </w:r>
      <w:r>
        <w:rPr>
          <w:color w:val="231F20"/>
          <w:spacing w:val="-40"/>
          <w:w w:val="105"/>
          <w:sz w:val="19"/>
        </w:rPr>
        <w:t> </w:t>
      </w:r>
      <w:r>
        <w:rPr>
          <w:color w:val="231F20"/>
          <w:w w:val="105"/>
          <w:sz w:val="19"/>
        </w:rPr>
        <w:t>que</w:t>
      </w:r>
      <w:r>
        <w:rPr>
          <w:color w:val="231F20"/>
          <w:spacing w:val="-40"/>
          <w:w w:val="105"/>
          <w:sz w:val="19"/>
        </w:rPr>
        <w:t> </w:t>
      </w:r>
      <w:r>
        <w:rPr>
          <w:color w:val="231F20"/>
          <w:w w:val="105"/>
          <w:sz w:val="19"/>
        </w:rPr>
        <w:t>nos</w:t>
      </w:r>
      <w:r>
        <w:rPr>
          <w:color w:val="231F20"/>
          <w:spacing w:val="-40"/>
          <w:w w:val="105"/>
          <w:sz w:val="19"/>
        </w:rPr>
        <w:t> </w:t>
      </w:r>
      <w:r>
        <w:rPr>
          <w:color w:val="231F20"/>
          <w:w w:val="105"/>
          <w:sz w:val="19"/>
        </w:rPr>
        <w:t>referimos,</w:t>
      </w:r>
      <w:r>
        <w:rPr>
          <w:color w:val="231F20"/>
          <w:spacing w:val="-40"/>
          <w:w w:val="105"/>
          <w:sz w:val="19"/>
        </w:rPr>
        <w:t> </w:t>
      </w:r>
      <w:r>
        <w:rPr>
          <w:color w:val="231F20"/>
          <w:w w:val="105"/>
          <w:sz w:val="19"/>
        </w:rPr>
        <w:t>no</w:t>
      </w:r>
      <w:r>
        <w:rPr>
          <w:color w:val="231F20"/>
          <w:spacing w:val="-40"/>
          <w:w w:val="105"/>
          <w:sz w:val="19"/>
        </w:rPr>
        <w:t> </w:t>
      </w:r>
      <w:r>
        <w:rPr>
          <w:color w:val="231F20"/>
          <w:w w:val="105"/>
          <w:sz w:val="19"/>
        </w:rPr>
        <w:t>se</w:t>
      </w:r>
      <w:r>
        <w:rPr>
          <w:color w:val="231F20"/>
          <w:spacing w:val="-40"/>
          <w:w w:val="105"/>
          <w:sz w:val="19"/>
        </w:rPr>
        <w:t> </w:t>
      </w:r>
      <w:r>
        <w:rPr>
          <w:color w:val="231F20"/>
          <w:w w:val="105"/>
          <w:sz w:val="19"/>
        </w:rPr>
        <w:t>deben</w:t>
      </w:r>
      <w:r>
        <w:rPr>
          <w:color w:val="231F20"/>
          <w:spacing w:val="-40"/>
          <w:w w:val="105"/>
          <w:sz w:val="19"/>
        </w:rPr>
        <w:t> </w:t>
      </w:r>
      <w:r>
        <w:rPr>
          <w:color w:val="231F20"/>
          <w:w w:val="105"/>
          <w:sz w:val="19"/>
        </w:rPr>
        <w:t>violar</w:t>
      </w:r>
      <w:r>
        <w:rPr>
          <w:color w:val="231F20"/>
          <w:spacing w:val="-40"/>
          <w:w w:val="105"/>
          <w:sz w:val="19"/>
        </w:rPr>
        <w:t> </w:t>
      </w:r>
      <w:r>
        <w:rPr>
          <w:color w:val="231F20"/>
          <w:w w:val="105"/>
          <w:sz w:val="19"/>
        </w:rPr>
        <w:t>los</w:t>
      </w:r>
      <w:r>
        <w:rPr>
          <w:color w:val="231F20"/>
          <w:spacing w:val="-40"/>
          <w:w w:val="105"/>
          <w:sz w:val="19"/>
        </w:rPr>
        <w:t> </w:t>
      </w:r>
      <w:r>
        <w:rPr>
          <w:color w:val="231F20"/>
          <w:w w:val="105"/>
          <w:sz w:val="19"/>
        </w:rPr>
        <w:t>derechos</w:t>
      </w:r>
      <w:r>
        <w:rPr>
          <w:color w:val="231F20"/>
          <w:spacing w:val="-40"/>
          <w:w w:val="105"/>
          <w:sz w:val="19"/>
        </w:rPr>
        <w:t> </w:t>
      </w:r>
      <w:r>
        <w:rPr>
          <w:color w:val="231F20"/>
          <w:w w:val="105"/>
          <w:sz w:val="19"/>
        </w:rPr>
        <w:t>humanos. Si</w:t>
      </w:r>
      <w:r>
        <w:rPr>
          <w:color w:val="231F20"/>
          <w:spacing w:val="-25"/>
          <w:w w:val="105"/>
          <w:sz w:val="19"/>
        </w:rPr>
        <w:t> </w:t>
      </w:r>
      <w:r>
        <w:rPr>
          <w:color w:val="231F20"/>
          <w:w w:val="105"/>
          <w:sz w:val="19"/>
        </w:rPr>
        <w:t>la</w:t>
      </w:r>
      <w:r>
        <w:rPr>
          <w:color w:val="231F20"/>
          <w:spacing w:val="-25"/>
          <w:w w:val="105"/>
          <w:sz w:val="19"/>
        </w:rPr>
        <w:t> </w:t>
      </w:r>
      <w:r>
        <w:rPr>
          <w:color w:val="231F20"/>
          <w:w w:val="105"/>
          <w:sz w:val="19"/>
        </w:rPr>
        <w:t>situación</w:t>
      </w:r>
      <w:r>
        <w:rPr>
          <w:color w:val="231F20"/>
          <w:spacing w:val="-25"/>
          <w:w w:val="105"/>
          <w:sz w:val="19"/>
        </w:rPr>
        <w:t> </w:t>
      </w:r>
      <w:r>
        <w:rPr>
          <w:color w:val="231F20"/>
          <w:w w:val="105"/>
          <w:sz w:val="19"/>
        </w:rPr>
        <w:t>llegase</w:t>
      </w:r>
      <w:r>
        <w:rPr>
          <w:color w:val="231F20"/>
          <w:spacing w:val="-25"/>
          <w:w w:val="105"/>
          <w:sz w:val="19"/>
        </w:rPr>
        <w:t> </w:t>
      </w:r>
      <w:r>
        <w:rPr>
          <w:color w:val="231F20"/>
          <w:w w:val="105"/>
          <w:sz w:val="19"/>
        </w:rPr>
        <w:t>a</w:t>
      </w:r>
      <w:r>
        <w:rPr>
          <w:color w:val="231F20"/>
          <w:spacing w:val="-25"/>
          <w:w w:val="105"/>
          <w:sz w:val="19"/>
        </w:rPr>
        <w:t> </w:t>
      </w:r>
      <w:r>
        <w:rPr>
          <w:color w:val="231F20"/>
          <w:w w:val="105"/>
          <w:sz w:val="19"/>
        </w:rPr>
        <w:t>configurar</w:t>
      </w:r>
      <w:r>
        <w:rPr>
          <w:color w:val="231F20"/>
          <w:spacing w:val="-25"/>
          <w:w w:val="105"/>
          <w:sz w:val="19"/>
        </w:rPr>
        <w:t> </w:t>
      </w:r>
      <w:r>
        <w:rPr>
          <w:color w:val="231F20"/>
          <w:w w:val="105"/>
          <w:sz w:val="19"/>
        </w:rPr>
        <w:t>una</w:t>
      </w:r>
      <w:r>
        <w:rPr>
          <w:color w:val="231F20"/>
          <w:spacing w:val="-25"/>
          <w:w w:val="105"/>
          <w:sz w:val="19"/>
        </w:rPr>
        <w:t> </w:t>
      </w:r>
      <w:r>
        <w:rPr>
          <w:color w:val="231F20"/>
          <w:w w:val="105"/>
          <w:sz w:val="19"/>
        </w:rPr>
        <w:t>emergencia,</w:t>
      </w:r>
      <w:r>
        <w:rPr>
          <w:color w:val="231F20"/>
          <w:spacing w:val="-25"/>
          <w:w w:val="105"/>
          <w:sz w:val="19"/>
        </w:rPr>
        <w:t> </w:t>
      </w:r>
      <w:r>
        <w:rPr>
          <w:color w:val="231F20"/>
          <w:w w:val="105"/>
          <w:sz w:val="19"/>
        </w:rPr>
        <w:t>el</w:t>
      </w:r>
      <w:r>
        <w:rPr>
          <w:color w:val="231F20"/>
          <w:spacing w:val="-25"/>
          <w:w w:val="105"/>
          <w:sz w:val="19"/>
        </w:rPr>
        <w:t> </w:t>
      </w:r>
      <w:r>
        <w:rPr>
          <w:color w:val="231F20"/>
          <w:w w:val="105"/>
          <w:sz w:val="19"/>
        </w:rPr>
        <w:t>presidente tiene</w:t>
      </w:r>
      <w:r>
        <w:rPr>
          <w:color w:val="231F20"/>
          <w:spacing w:val="-42"/>
          <w:w w:val="105"/>
          <w:sz w:val="19"/>
        </w:rPr>
        <w:t> </w:t>
      </w:r>
      <w:r>
        <w:rPr>
          <w:color w:val="231F20"/>
          <w:w w:val="105"/>
          <w:sz w:val="19"/>
        </w:rPr>
        <w:t>que</w:t>
      </w:r>
      <w:r>
        <w:rPr>
          <w:color w:val="231F20"/>
          <w:spacing w:val="-42"/>
          <w:w w:val="105"/>
          <w:sz w:val="19"/>
        </w:rPr>
        <w:t> </w:t>
      </w:r>
      <w:r>
        <w:rPr>
          <w:color w:val="231F20"/>
          <w:w w:val="105"/>
          <w:sz w:val="19"/>
        </w:rPr>
        <w:t>solicitar</w:t>
      </w:r>
      <w:r>
        <w:rPr>
          <w:color w:val="231F20"/>
          <w:spacing w:val="-42"/>
          <w:w w:val="105"/>
          <w:sz w:val="19"/>
        </w:rPr>
        <w:t> </w:t>
      </w:r>
      <w:r>
        <w:rPr>
          <w:color w:val="231F20"/>
          <w:w w:val="105"/>
          <w:sz w:val="19"/>
        </w:rPr>
        <w:t>al</w:t>
      </w:r>
      <w:r>
        <w:rPr>
          <w:color w:val="231F20"/>
          <w:spacing w:val="-42"/>
          <w:w w:val="105"/>
          <w:sz w:val="19"/>
        </w:rPr>
        <w:t> </w:t>
      </w:r>
      <w:r>
        <w:rPr>
          <w:color w:val="231F20"/>
          <w:w w:val="105"/>
          <w:sz w:val="19"/>
        </w:rPr>
        <w:t>congreso</w:t>
      </w:r>
      <w:r>
        <w:rPr>
          <w:color w:val="231F20"/>
          <w:spacing w:val="-42"/>
          <w:w w:val="105"/>
          <w:sz w:val="19"/>
        </w:rPr>
        <w:t> </w:t>
      </w:r>
      <w:r>
        <w:rPr>
          <w:color w:val="231F20"/>
          <w:w w:val="105"/>
          <w:sz w:val="19"/>
        </w:rPr>
        <w:t>la</w:t>
      </w:r>
      <w:r>
        <w:rPr>
          <w:color w:val="231F20"/>
          <w:spacing w:val="-42"/>
          <w:w w:val="105"/>
          <w:sz w:val="19"/>
        </w:rPr>
        <w:t> </w:t>
      </w:r>
      <w:r>
        <w:rPr>
          <w:color w:val="231F20"/>
          <w:w w:val="105"/>
          <w:sz w:val="19"/>
        </w:rPr>
        <w:t>suspensión</w:t>
      </w:r>
      <w:r>
        <w:rPr>
          <w:color w:val="231F20"/>
          <w:spacing w:val="-42"/>
          <w:w w:val="105"/>
          <w:sz w:val="19"/>
        </w:rPr>
        <w:t> </w:t>
      </w:r>
      <w:r>
        <w:rPr>
          <w:color w:val="231F20"/>
          <w:w w:val="105"/>
          <w:sz w:val="19"/>
        </w:rPr>
        <w:t>de</w:t>
      </w:r>
      <w:r>
        <w:rPr>
          <w:color w:val="231F20"/>
          <w:spacing w:val="-42"/>
          <w:w w:val="105"/>
          <w:sz w:val="19"/>
        </w:rPr>
        <w:t> </w:t>
      </w:r>
      <w:r>
        <w:rPr>
          <w:color w:val="231F20"/>
          <w:w w:val="105"/>
          <w:sz w:val="19"/>
        </w:rPr>
        <w:t>las</w:t>
      </w:r>
      <w:r>
        <w:rPr>
          <w:color w:val="231F20"/>
          <w:spacing w:val="-42"/>
          <w:w w:val="105"/>
          <w:sz w:val="19"/>
        </w:rPr>
        <w:t> </w:t>
      </w:r>
      <w:r>
        <w:rPr>
          <w:color w:val="231F20"/>
          <w:w w:val="105"/>
          <w:sz w:val="19"/>
        </w:rPr>
        <w:t>garantías</w:t>
      </w:r>
      <w:r>
        <w:rPr>
          <w:color w:val="231F20"/>
          <w:spacing w:val="-42"/>
          <w:w w:val="105"/>
          <w:sz w:val="19"/>
        </w:rPr>
        <w:t> </w:t>
      </w:r>
      <w:r>
        <w:rPr>
          <w:color w:val="231F20"/>
          <w:w w:val="105"/>
          <w:sz w:val="19"/>
        </w:rPr>
        <w:t>indivi- duales;</w:t>
      </w:r>
      <w:r>
        <w:rPr>
          <w:color w:val="231F20"/>
          <w:spacing w:val="-38"/>
          <w:w w:val="105"/>
          <w:sz w:val="19"/>
        </w:rPr>
        <w:t> </w:t>
      </w:r>
      <w:r>
        <w:rPr>
          <w:color w:val="231F20"/>
          <w:w w:val="105"/>
          <w:sz w:val="19"/>
        </w:rPr>
        <w:t>es</w:t>
      </w:r>
      <w:r>
        <w:rPr>
          <w:color w:val="231F20"/>
          <w:spacing w:val="-38"/>
          <w:w w:val="105"/>
          <w:sz w:val="19"/>
        </w:rPr>
        <w:t> </w:t>
      </w:r>
      <w:r>
        <w:rPr>
          <w:color w:val="231F20"/>
          <w:spacing w:val="-4"/>
          <w:w w:val="105"/>
          <w:sz w:val="19"/>
        </w:rPr>
        <w:t>decir,</w:t>
      </w:r>
      <w:r>
        <w:rPr>
          <w:color w:val="231F20"/>
          <w:spacing w:val="-38"/>
          <w:w w:val="105"/>
          <w:sz w:val="19"/>
        </w:rPr>
        <w:t> </w:t>
      </w:r>
      <w:r>
        <w:rPr>
          <w:color w:val="231F20"/>
          <w:w w:val="105"/>
          <w:sz w:val="19"/>
        </w:rPr>
        <w:t>el</w:t>
      </w:r>
      <w:r>
        <w:rPr>
          <w:color w:val="231F20"/>
          <w:spacing w:val="-38"/>
          <w:w w:val="105"/>
          <w:sz w:val="19"/>
        </w:rPr>
        <w:t> </w:t>
      </w:r>
      <w:r>
        <w:rPr>
          <w:color w:val="231F20"/>
          <w:w w:val="105"/>
          <w:sz w:val="19"/>
        </w:rPr>
        <w:t>solo</w:t>
      </w:r>
      <w:r>
        <w:rPr>
          <w:color w:val="231F20"/>
          <w:spacing w:val="-38"/>
          <w:w w:val="105"/>
          <w:sz w:val="19"/>
        </w:rPr>
        <w:t> </w:t>
      </w:r>
      <w:r>
        <w:rPr>
          <w:color w:val="231F20"/>
          <w:w w:val="105"/>
          <w:sz w:val="19"/>
        </w:rPr>
        <w:t>criterio</w:t>
      </w:r>
      <w:r>
        <w:rPr>
          <w:color w:val="231F20"/>
          <w:spacing w:val="-38"/>
          <w:w w:val="105"/>
          <w:sz w:val="19"/>
        </w:rPr>
        <w:t> </w:t>
      </w:r>
      <w:r>
        <w:rPr>
          <w:color w:val="231F20"/>
          <w:w w:val="105"/>
          <w:sz w:val="19"/>
        </w:rPr>
        <w:t>del</w:t>
      </w:r>
      <w:r>
        <w:rPr>
          <w:color w:val="231F20"/>
          <w:spacing w:val="-38"/>
          <w:w w:val="105"/>
          <w:sz w:val="19"/>
        </w:rPr>
        <w:t> </w:t>
      </w:r>
      <w:r>
        <w:rPr>
          <w:color w:val="231F20"/>
          <w:w w:val="105"/>
          <w:sz w:val="19"/>
        </w:rPr>
        <w:t>presidente</w:t>
      </w:r>
      <w:r>
        <w:rPr>
          <w:color w:val="231F20"/>
          <w:spacing w:val="-38"/>
          <w:w w:val="105"/>
          <w:sz w:val="19"/>
        </w:rPr>
        <w:t> </w:t>
      </w:r>
      <w:r>
        <w:rPr>
          <w:color w:val="231F20"/>
          <w:w w:val="105"/>
          <w:sz w:val="19"/>
        </w:rPr>
        <w:t>no</w:t>
      </w:r>
      <w:r>
        <w:rPr>
          <w:color w:val="231F20"/>
          <w:spacing w:val="-38"/>
          <w:w w:val="105"/>
          <w:sz w:val="19"/>
        </w:rPr>
        <w:t> </w:t>
      </w:r>
      <w:r>
        <w:rPr>
          <w:color w:val="231F20"/>
          <w:w w:val="105"/>
          <w:sz w:val="19"/>
        </w:rPr>
        <w:t>es</w:t>
      </w:r>
      <w:r>
        <w:rPr>
          <w:color w:val="231F20"/>
          <w:spacing w:val="-38"/>
          <w:w w:val="105"/>
          <w:sz w:val="19"/>
        </w:rPr>
        <w:t> </w:t>
      </w:r>
      <w:r>
        <w:rPr>
          <w:color w:val="231F20"/>
          <w:w w:val="105"/>
          <w:sz w:val="19"/>
        </w:rPr>
        <w:t>suficiente</w:t>
      </w:r>
      <w:r>
        <w:rPr>
          <w:color w:val="231F20"/>
          <w:spacing w:val="-38"/>
          <w:w w:val="105"/>
          <w:sz w:val="19"/>
        </w:rPr>
        <w:t> </w:t>
      </w:r>
      <w:r>
        <w:rPr>
          <w:color w:val="231F20"/>
          <w:w w:val="105"/>
          <w:sz w:val="19"/>
        </w:rPr>
        <w:t>para calificar</w:t>
      </w:r>
      <w:r>
        <w:rPr>
          <w:color w:val="231F20"/>
          <w:spacing w:val="-16"/>
          <w:w w:val="105"/>
          <w:sz w:val="19"/>
        </w:rPr>
        <w:t> </w:t>
      </w:r>
      <w:r>
        <w:rPr>
          <w:color w:val="231F20"/>
          <w:w w:val="105"/>
          <w:sz w:val="19"/>
        </w:rPr>
        <w:t>lo</w:t>
      </w:r>
      <w:r>
        <w:rPr>
          <w:color w:val="231F20"/>
          <w:spacing w:val="-16"/>
          <w:w w:val="105"/>
          <w:sz w:val="19"/>
        </w:rPr>
        <w:t> </w:t>
      </w:r>
      <w:r>
        <w:rPr>
          <w:color w:val="231F20"/>
          <w:w w:val="105"/>
          <w:sz w:val="19"/>
        </w:rPr>
        <w:t>crítico</w:t>
      </w:r>
      <w:r>
        <w:rPr>
          <w:color w:val="231F20"/>
          <w:spacing w:val="-16"/>
          <w:w w:val="105"/>
          <w:sz w:val="19"/>
        </w:rPr>
        <w:t> </w:t>
      </w:r>
      <w:r>
        <w:rPr>
          <w:color w:val="231F20"/>
          <w:w w:val="105"/>
          <w:sz w:val="19"/>
        </w:rPr>
        <w:t>de</w:t>
      </w:r>
      <w:r>
        <w:rPr>
          <w:color w:val="231F20"/>
          <w:spacing w:val="-16"/>
          <w:w w:val="105"/>
          <w:sz w:val="19"/>
        </w:rPr>
        <w:t> </w:t>
      </w:r>
      <w:r>
        <w:rPr>
          <w:color w:val="231F20"/>
          <w:w w:val="105"/>
          <w:sz w:val="19"/>
        </w:rPr>
        <w:t>la</w:t>
      </w:r>
      <w:r>
        <w:rPr>
          <w:color w:val="231F20"/>
          <w:spacing w:val="-16"/>
          <w:w w:val="105"/>
          <w:sz w:val="19"/>
        </w:rPr>
        <w:t> </w:t>
      </w:r>
      <w:r>
        <w:rPr>
          <w:color w:val="231F20"/>
          <w:w w:val="105"/>
          <w:sz w:val="19"/>
        </w:rPr>
        <w:t>situación</w:t>
      </w:r>
      <w:r>
        <w:rPr>
          <w:color w:val="231F20"/>
          <w:spacing w:val="-16"/>
          <w:w w:val="105"/>
          <w:sz w:val="19"/>
        </w:rPr>
        <w:t> </w:t>
      </w:r>
      <w:r>
        <w:rPr>
          <w:color w:val="231F20"/>
          <w:w w:val="105"/>
          <w:sz w:val="19"/>
        </w:rPr>
        <w:t>sino</w:t>
      </w:r>
      <w:r>
        <w:rPr>
          <w:color w:val="231F20"/>
          <w:spacing w:val="-16"/>
          <w:w w:val="105"/>
          <w:sz w:val="19"/>
        </w:rPr>
        <w:t> </w:t>
      </w:r>
      <w:r>
        <w:rPr>
          <w:color w:val="231F20"/>
          <w:w w:val="105"/>
          <w:sz w:val="19"/>
        </w:rPr>
        <w:t>que</w:t>
      </w:r>
      <w:r>
        <w:rPr>
          <w:color w:val="231F20"/>
          <w:spacing w:val="-16"/>
          <w:w w:val="105"/>
          <w:sz w:val="19"/>
        </w:rPr>
        <w:t> </w:t>
      </w:r>
      <w:r>
        <w:rPr>
          <w:color w:val="231F20"/>
          <w:w w:val="105"/>
          <w:sz w:val="19"/>
        </w:rPr>
        <w:t>para</w:t>
      </w:r>
      <w:r>
        <w:rPr>
          <w:color w:val="231F20"/>
          <w:spacing w:val="-16"/>
          <w:w w:val="105"/>
          <w:sz w:val="19"/>
        </w:rPr>
        <w:t> </w:t>
      </w:r>
      <w:r>
        <w:rPr>
          <w:color w:val="231F20"/>
          <w:w w:val="105"/>
          <w:sz w:val="19"/>
        </w:rPr>
        <w:t>ello</w:t>
      </w:r>
      <w:r>
        <w:rPr>
          <w:color w:val="231F20"/>
          <w:spacing w:val="-16"/>
          <w:w w:val="105"/>
          <w:sz w:val="19"/>
        </w:rPr>
        <w:t> </w:t>
      </w:r>
      <w:r>
        <w:rPr>
          <w:color w:val="231F20"/>
          <w:w w:val="105"/>
          <w:sz w:val="19"/>
        </w:rPr>
        <w:t>se</w:t>
      </w:r>
      <w:r>
        <w:rPr>
          <w:color w:val="231F20"/>
          <w:spacing w:val="-16"/>
          <w:w w:val="105"/>
          <w:sz w:val="19"/>
        </w:rPr>
        <w:t> </w:t>
      </w:r>
      <w:r>
        <w:rPr>
          <w:color w:val="231F20"/>
          <w:w w:val="105"/>
          <w:sz w:val="19"/>
        </w:rPr>
        <w:t>requiere</w:t>
      </w:r>
      <w:r>
        <w:rPr>
          <w:color w:val="231F20"/>
          <w:spacing w:val="-16"/>
          <w:w w:val="105"/>
          <w:sz w:val="19"/>
        </w:rPr>
        <w:t> </w:t>
      </w:r>
      <w:r>
        <w:rPr>
          <w:color w:val="231F20"/>
          <w:w w:val="105"/>
          <w:sz w:val="19"/>
        </w:rPr>
        <w:t>la intervención</w:t>
      </w:r>
      <w:r>
        <w:rPr>
          <w:color w:val="231F20"/>
          <w:spacing w:val="-35"/>
          <w:w w:val="105"/>
          <w:sz w:val="19"/>
        </w:rPr>
        <w:t> </w:t>
      </w:r>
      <w:r>
        <w:rPr>
          <w:color w:val="231F20"/>
          <w:w w:val="105"/>
          <w:sz w:val="19"/>
        </w:rPr>
        <w:t>del</w:t>
      </w:r>
      <w:r>
        <w:rPr>
          <w:color w:val="231F20"/>
          <w:spacing w:val="-35"/>
          <w:w w:val="105"/>
          <w:sz w:val="19"/>
        </w:rPr>
        <w:t> </w:t>
      </w:r>
      <w:r>
        <w:rPr>
          <w:color w:val="231F20"/>
          <w:w w:val="105"/>
          <w:sz w:val="19"/>
        </w:rPr>
        <w:t>congreso</w:t>
      </w:r>
      <w:r>
        <w:rPr>
          <w:color w:val="231F20"/>
          <w:spacing w:val="-35"/>
          <w:w w:val="105"/>
          <w:sz w:val="19"/>
        </w:rPr>
        <w:t> </w:t>
      </w:r>
      <w:r>
        <w:rPr>
          <w:color w:val="231F20"/>
          <w:w w:val="105"/>
          <w:sz w:val="19"/>
        </w:rPr>
        <w:t>[…]</w:t>
      </w:r>
      <w:r>
        <w:rPr>
          <w:color w:val="231F20"/>
          <w:spacing w:val="-35"/>
          <w:w w:val="105"/>
          <w:sz w:val="19"/>
        </w:rPr>
        <w:t> </w:t>
      </w:r>
      <w:r>
        <w:rPr>
          <w:color w:val="231F20"/>
          <w:w w:val="105"/>
          <w:sz w:val="19"/>
        </w:rPr>
        <w:t>Se</w:t>
      </w:r>
      <w:r>
        <w:rPr>
          <w:color w:val="231F20"/>
          <w:spacing w:val="-35"/>
          <w:w w:val="105"/>
          <w:sz w:val="19"/>
        </w:rPr>
        <w:t> </w:t>
      </w:r>
      <w:r>
        <w:rPr>
          <w:color w:val="231F20"/>
          <w:w w:val="105"/>
          <w:sz w:val="19"/>
        </w:rPr>
        <w:t>ha</w:t>
      </w:r>
      <w:r>
        <w:rPr>
          <w:color w:val="231F20"/>
          <w:spacing w:val="-35"/>
          <w:w w:val="105"/>
          <w:sz w:val="19"/>
        </w:rPr>
        <w:t> </w:t>
      </w:r>
      <w:r>
        <w:rPr>
          <w:color w:val="231F20"/>
          <w:w w:val="105"/>
          <w:sz w:val="19"/>
        </w:rPr>
        <w:t>usado</w:t>
      </w:r>
      <w:r>
        <w:rPr>
          <w:color w:val="231F20"/>
          <w:spacing w:val="-35"/>
          <w:w w:val="105"/>
          <w:sz w:val="19"/>
        </w:rPr>
        <w:t> </w:t>
      </w:r>
      <w:r>
        <w:rPr>
          <w:color w:val="231F20"/>
          <w:w w:val="105"/>
          <w:sz w:val="19"/>
        </w:rPr>
        <w:t>esta</w:t>
      </w:r>
      <w:r>
        <w:rPr>
          <w:color w:val="231F20"/>
          <w:spacing w:val="-35"/>
          <w:w w:val="105"/>
          <w:sz w:val="19"/>
        </w:rPr>
        <w:t> </w:t>
      </w:r>
      <w:r>
        <w:rPr>
          <w:color w:val="231F20"/>
          <w:w w:val="105"/>
          <w:sz w:val="19"/>
        </w:rPr>
        <w:t>facultad</w:t>
      </w:r>
      <w:r>
        <w:rPr>
          <w:color w:val="231F20"/>
          <w:spacing w:val="-35"/>
          <w:w w:val="105"/>
          <w:sz w:val="19"/>
        </w:rPr>
        <w:t> </w:t>
      </w:r>
      <w:r>
        <w:rPr>
          <w:color w:val="231F20"/>
          <w:w w:val="105"/>
          <w:sz w:val="19"/>
        </w:rPr>
        <w:t>para</w:t>
      </w:r>
      <w:r>
        <w:rPr>
          <w:color w:val="231F20"/>
          <w:spacing w:val="-35"/>
          <w:w w:val="105"/>
          <w:sz w:val="19"/>
        </w:rPr>
        <w:t> </w:t>
      </w:r>
      <w:r>
        <w:rPr>
          <w:color w:val="231F20"/>
          <w:w w:val="105"/>
          <w:sz w:val="19"/>
        </w:rPr>
        <w:t>pre- servar</w:t>
      </w:r>
      <w:r>
        <w:rPr>
          <w:color w:val="231F20"/>
          <w:spacing w:val="-26"/>
          <w:w w:val="105"/>
          <w:sz w:val="19"/>
        </w:rPr>
        <w:t> </w:t>
      </w:r>
      <w:r>
        <w:rPr>
          <w:color w:val="231F20"/>
          <w:w w:val="105"/>
          <w:sz w:val="19"/>
        </w:rPr>
        <w:t>funciones</w:t>
      </w:r>
      <w:r>
        <w:rPr>
          <w:color w:val="231F20"/>
          <w:spacing w:val="-26"/>
          <w:w w:val="105"/>
          <w:sz w:val="19"/>
        </w:rPr>
        <w:t> </w:t>
      </w:r>
      <w:r>
        <w:rPr>
          <w:color w:val="231F20"/>
          <w:w w:val="105"/>
          <w:sz w:val="19"/>
        </w:rPr>
        <w:t>relacionadas</w:t>
      </w:r>
      <w:r>
        <w:rPr>
          <w:color w:val="231F20"/>
          <w:spacing w:val="-26"/>
          <w:w w:val="105"/>
          <w:sz w:val="19"/>
        </w:rPr>
        <w:t> </w:t>
      </w:r>
      <w:r>
        <w:rPr>
          <w:color w:val="231F20"/>
          <w:w w:val="105"/>
          <w:sz w:val="19"/>
        </w:rPr>
        <w:t>con</w:t>
      </w:r>
      <w:r>
        <w:rPr>
          <w:color w:val="231F20"/>
          <w:spacing w:val="-26"/>
          <w:w w:val="105"/>
          <w:sz w:val="19"/>
        </w:rPr>
        <w:t> </w:t>
      </w:r>
      <w:r>
        <w:rPr>
          <w:color w:val="231F20"/>
          <w:w w:val="105"/>
          <w:sz w:val="19"/>
        </w:rPr>
        <w:t>la</w:t>
      </w:r>
      <w:r>
        <w:rPr>
          <w:color w:val="231F20"/>
          <w:spacing w:val="-26"/>
          <w:w w:val="105"/>
          <w:sz w:val="19"/>
        </w:rPr>
        <w:t> </w:t>
      </w:r>
      <w:r>
        <w:rPr>
          <w:color w:val="231F20"/>
          <w:w w:val="105"/>
          <w:sz w:val="19"/>
        </w:rPr>
        <w:t>existencia</w:t>
      </w:r>
      <w:r>
        <w:rPr>
          <w:color w:val="231F20"/>
          <w:spacing w:val="-26"/>
          <w:w w:val="105"/>
          <w:sz w:val="19"/>
        </w:rPr>
        <w:t> </w:t>
      </w:r>
      <w:r>
        <w:rPr>
          <w:color w:val="231F20"/>
          <w:w w:val="105"/>
          <w:sz w:val="19"/>
        </w:rPr>
        <w:t>y</w:t>
      </w:r>
      <w:r>
        <w:rPr>
          <w:color w:val="231F20"/>
          <w:spacing w:val="-26"/>
          <w:w w:val="105"/>
          <w:sz w:val="19"/>
        </w:rPr>
        <w:t> </w:t>
      </w:r>
      <w:r>
        <w:rPr>
          <w:color w:val="231F20"/>
          <w:w w:val="105"/>
          <w:sz w:val="19"/>
        </w:rPr>
        <w:t>la</w:t>
      </w:r>
      <w:r>
        <w:rPr>
          <w:color w:val="231F20"/>
          <w:spacing w:val="-26"/>
          <w:w w:val="105"/>
          <w:sz w:val="19"/>
        </w:rPr>
        <w:t> </w:t>
      </w:r>
      <w:r>
        <w:rPr>
          <w:color w:val="231F20"/>
          <w:w w:val="105"/>
          <w:sz w:val="19"/>
        </w:rPr>
        <w:t>operación</w:t>
      </w:r>
      <w:r>
        <w:rPr>
          <w:color w:val="231F20"/>
          <w:spacing w:val="-26"/>
          <w:w w:val="105"/>
          <w:sz w:val="19"/>
        </w:rPr>
        <w:t> </w:t>
      </w:r>
      <w:r>
        <w:rPr>
          <w:color w:val="231F20"/>
          <w:w w:val="105"/>
          <w:sz w:val="19"/>
        </w:rPr>
        <w:t>del propio</w:t>
      </w:r>
      <w:r>
        <w:rPr>
          <w:color w:val="231F20"/>
          <w:spacing w:val="-18"/>
          <w:w w:val="105"/>
          <w:sz w:val="19"/>
        </w:rPr>
        <w:t> </w:t>
      </w:r>
      <w:r>
        <w:rPr>
          <w:color w:val="231F20"/>
          <w:w w:val="105"/>
          <w:sz w:val="19"/>
        </w:rPr>
        <w:t>gobierno,</w:t>
      </w:r>
      <w:r>
        <w:rPr>
          <w:color w:val="231F20"/>
          <w:spacing w:val="-18"/>
          <w:w w:val="105"/>
          <w:sz w:val="19"/>
        </w:rPr>
        <w:t> </w:t>
      </w:r>
      <w:r>
        <w:rPr>
          <w:color w:val="231F20"/>
          <w:w w:val="105"/>
          <w:sz w:val="19"/>
        </w:rPr>
        <w:t>por</w:t>
      </w:r>
      <w:r>
        <w:rPr>
          <w:color w:val="231F20"/>
          <w:spacing w:val="-18"/>
          <w:w w:val="105"/>
          <w:sz w:val="19"/>
        </w:rPr>
        <w:t> </w:t>
      </w:r>
      <w:r>
        <w:rPr>
          <w:color w:val="231F20"/>
          <w:w w:val="105"/>
          <w:sz w:val="19"/>
        </w:rPr>
        <w:t>lo</w:t>
      </w:r>
      <w:r>
        <w:rPr>
          <w:color w:val="231F20"/>
          <w:spacing w:val="-18"/>
          <w:w w:val="105"/>
          <w:sz w:val="19"/>
        </w:rPr>
        <w:t> </w:t>
      </w:r>
      <w:r>
        <w:rPr>
          <w:color w:val="231F20"/>
          <w:w w:val="105"/>
          <w:sz w:val="19"/>
        </w:rPr>
        <w:t>que</w:t>
      </w:r>
      <w:r>
        <w:rPr>
          <w:color w:val="231F20"/>
          <w:spacing w:val="-18"/>
          <w:w w:val="105"/>
          <w:sz w:val="19"/>
        </w:rPr>
        <w:t> </w:t>
      </w:r>
      <w:r>
        <w:rPr>
          <w:color w:val="231F20"/>
          <w:w w:val="105"/>
          <w:sz w:val="19"/>
        </w:rPr>
        <w:t>es,</w:t>
      </w:r>
      <w:r>
        <w:rPr>
          <w:color w:val="231F20"/>
          <w:spacing w:val="-18"/>
          <w:w w:val="105"/>
          <w:sz w:val="19"/>
        </w:rPr>
        <w:t> </w:t>
      </w:r>
      <w:r>
        <w:rPr>
          <w:color w:val="231F20"/>
          <w:w w:val="105"/>
          <w:sz w:val="19"/>
        </w:rPr>
        <w:t>sin</w:t>
      </w:r>
      <w:r>
        <w:rPr>
          <w:color w:val="231F20"/>
          <w:spacing w:val="-18"/>
          <w:w w:val="105"/>
          <w:sz w:val="19"/>
        </w:rPr>
        <w:t> </w:t>
      </w:r>
      <w:r>
        <w:rPr>
          <w:color w:val="231F20"/>
          <w:w w:val="105"/>
          <w:sz w:val="19"/>
        </w:rPr>
        <w:t>duda,</w:t>
      </w:r>
      <w:r>
        <w:rPr>
          <w:color w:val="231F20"/>
          <w:spacing w:val="-18"/>
          <w:w w:val="105"/>
          <w:sz w:val="19"/>
        </w:rPr>
        <w:t> </w:t>
      </w:r>
      <w:r>
        <w:rPr>
          <w:color w:val="231F20"/>
          <w:w w:val="105"/>
          <w:sz w:val="19"/>
        </w:rPr>
        <w:t>una</w:t>
      </w:r>
      <w:r>
        <w:rPr>
          <w:color w:val="231F20"/>
          <w:spacing w:val="-18"/>
          <w:w w:val="105"/>
          <w:sz w:val="19"/>
        </w:rPr>
        <w:t> </w:t>
      </w:r>
      <w:r>
        <w:rPr>
          <w:color w:val="231F20"/>
          <w:w w:val="105"/>
          <w:sz w:val="19"/>
        </w:rPr>
        <w:t>de</w:t>
      </w:r>
      <w:r>
        <w:rPr>
          <w:color w:val="231F20"/>
          <w:spacing w:val="-18"/>
          <w:w w:val="105"/>
          <w:sz w:val="19"/>
        </w:rPr>
        <w:t> </w:t>
      </w:r>
      <w:r>
        <w:rPr>
          <w:color w:val="231F20"/>
          <w:w w:val="105"/>
          <w:sz w:val="19"/>
        </w:rPr>
        <w:t>las</w:t>
      </w:r>
      <w:r>
        <w:rPr>
          <w:color w:val="231F20"/>
          <w:spacing w:val="-18"/>
          <w:w w:val="105"/>
          <w:sz w:val="19"/>
        </w:rPr>
        <w:t> </w:t>
      </w:r>
      <w:r>
        <w:rPr>
          <w:color w:val="231F20"/>
          <w:w w:val="105"/>
          <w:sz w:val="19"/>
        </w:rPr>
        <w:t>atribuciones más</w:t>
      </w:r>
      <w:r>
        <w:rPr>
          <w:color w:val="231F20"/>
          <w:spacing w:val="-22"/>
          <w:w w:val="105"/>
          <w:sz w:val="19"/>
        </w:rPr>
        <w:t> </w:t>
      </w:r>
      <w:r>
        <w:rPr>
          <w:color w:val="231F20"/>
          <w:w w:val="105"/>
          <w:sz w:val="19"/>
        </w:rPr>
        <w:t>delicadas</w:t>
      </w:r>
      <w:r>
        <w:rPr>
          <w:color w:val="231F20"/>
          <w:spacing w:val="-22"/>
          <w:w w:val="105"/>
          <w:sz w:val="19"/>
        </w:rPr>
        <w:t> </w:t>
      </w:r>
      <w:r>
        <w:rPr>
          <w:color w:val="231F20"/>
          <w:w w:val="105"/>
          <w:sz w:val="19"/>
        </w:rPr>
        <w:t>que</w:t>
      </w:r>
      <w:r>
        <w:rPr>
          <w:color w:val="231F20"/>
          <w:spacing w:val="-22"/>
          <w:w w:val="105"/>
          <w:sz w:val="19"/>
        </w:rPr>
        <w:t> </w:t>
      </w:r>
      <w:r>
        <w:rPr>
          <w:color w:val="231F20"/>
          <w:w w:val="105"/>
          <w:sz w:val="19"/>
        </w:rPr>
        <w:t>tiene</w:t>
      </w:r>
      <w:r>
        <w:rPr>
          <w:color w:val="231F20"/>
          <w:spacing w:val="-22"/>
          <w:w w:val="105"/>
          <w:sz w:val="19"/>
        </w:rPr>
        <w:t> </w:t>
      </w:r>
      <w:r>
        <w:rPr>
          <w:color w:val="231F20"/>
          <w:w w:val="105"/>
          <w:sz w:val="19"/>
        </w:rPr>
        <w:t>el</w:t>
      </w:r>
      <w:r>
        <w:rPr>
          <w:color w:val="231F20"/>
          <w:spacing w:val="-22"/>
          <w:w w:val="105"/>
          <w:sz w:val="19"/>
        </w:rPr>
        <w:t> </w:t>
      </w:r>
      <w:r>
        <w:rPr>
          <w:color w:val="231F20"/>
          <w:w w:val="105"/>
          <w:sz w:val="19"/>
        </w:rPr>
        <w:t>presidente</w:t>
      </w:r>
      <w:r>
        <w:rPr>
          <w:color w:val="231F20"/>
          <w:spacing w:val="-22"/>
          <w:w w:val="105"/>
          <w:sz w:val="19"/>
        </w:rPr>
        <w:t> </w:t>
      </w:r>
      <w:r>
        <w:rPr>
          <w:color w:val="231F20"/>
          <w:w w:val="105"/>
          <w:sz w:val="19"/>
        </w:rPr>
        <w:t>[…]</w:t>
      </w:r>
      <w:r>
        <w:rPr>
          <w:color w:val="231F20"/>
          <w:spacing w:val="-22"/>
          <w:w w:val="105"/>
          <w:sz w:val="19"/>
        </w:rPr>
        <w:t> </w:t>
      </w:r>
      <w:r>
        <w:rPr>
          <w:color w:val="231F20"/>
          <w:w w:val="105"/>
          <w:sz w:val="19"/>
        </w:rPr>
        <w:t>Esta</w:t>
      </w:r>
      <w:r>
        <w:rPr>
          <w:color w:val="231F20"/>
          <w:spacing w:val="-22"/>
          <w:w w:val="105"/>
          <w:sz w:val="19"/>
        </w:rPr>
        <w:t> </w:t>
      </w:r>
      <w:r>
        <w:rPr>
          <w:color w:val="231F20"/>
          <w:w w:val="105"/>
          <w:sz w:val="19"/>
        </w:rPr>
        <w:t>facultad</w:t>
      </w:r>
      <w:r>
        <w:rPr>
          <w:color w:val="231F20"/>
          <w:spacing w:val="-22"/>
          <w:w w:val="105"/>
          <w:sz w:val="19"/>
        </w:rPr>
        <w:t> </w:t>
      </w:r>
      <w:r>
        <w:rPr>
          <w:color w:val="231F20"/>
          <w:w w:val="105"/>
          <w:sz w:val="19"/>
        </w:rPr>
        <w:t>debe</w:t>
      </w:r>
      <w:r>
        <w:rPr>
          <w:color w:val="231F20"/>
          <w:spacing w:val="-22"/>
          <w:w w:val="105"/>
          <w:sz w:val="19"/>
        </w:rPr>
        <w:t> </w:t>
      </w:r>
      <w:r>
        <w:rPr>
          <w:color w:val="231F20"/>
          <w:w w:val="105"/>
          <w:sz w:val="19"/>
        </w:rPr>
        <w:t>ser usada</w:t>
      </w:r>
      <w:r>
        <w:rPr>
          <w:color w:val="231F20"/>
          <w:spacing w:val="-23"/>
          <w:w w:val="105"/>
          <w:sz w:val="19"/>
        </w:rPr>
        <w:t> </w:t>
      </w:r>
      <w:r>
        <w:rPr>
          <w:color w:val="231F20"/>
          <w:w w:val="105"/>
          <w:sz w:val="19"/>
        </w:rPr>
        <w:t>como</w:t>
      </w:r>
      <w:r>
        <w:rPr>
          <w:color w:val="231F20"/>
          <w:spacing w:val="-23"/>
          <w:w w:val="105"/>
          <w:sz w:val="19"/>
        </w:rPr>
        <w:t> </w:t>
      </w:r>
      <w:r>
        <w:rPr>
          <w:color w:val="231F20"/>
          <w:w w:val="105"/>
          <w:sz w:val="19"/>
        </w:rPr>
        <w:t>fuerza</w:t>
      </w:r>
      <w:r>
        <w:rPr>
          <w:color w:val="231F20"/>
          <w:spacing w:val="-23"/>
          <w:w w:val="105"/>
          <w:sz w:val="19"/>
        </w:rPr>
        <w:t> </w:t>
      </w:r>
      <w:r>
        <w:rPr>
          <w:color w:val="231F20"/>
          <w:w w:val="105"/>
          <w:sz w:val="19"/>
        </w:rPr>
        <w:t>del</w:t>
      </w:r>
      <w:r>
        <w:rPr>
          <w:color w:val="231F20"/>
          <w:spacing w:val="-23"/>
          <w:w w:val="105"/>
          <w:sz w:val="19"/>
        </w:rPr>
        <w:t> </w:t>
      </w:r>
      <w:r>
        <w:rPr>
          <w:color w:val="231F20"/>
          <w:w w:val="105"/>
          <w:sz w:val="19"/>
        </w:rPr>
        <w:t>derecho</w:t>
      </w:r>
      <w:r>
        <w:rPr>
          <w:color w:val="231F20"/>
          <w:spacing w:val="-23"/>
          <w:w w:val="105"/>
          <w:sz w:val="19"/>
        </w:rPr>
        <w:t> </w:t>
      </w:r>
      <w:r>
        <w:rPr>
          <w:color w:val="231F20"/>
          <w:w w:val="105"/>
          <w:sz w:val="19"/>
        </w:rPr>
        <w:t>y</w:t>
      </w:r>
      <w:r>
        <w:rPr>
          <w:color w:val="231F20"/>
          <w:spacing w:val="-23"/>
          <w:w w:val="105"/>
          <w:sz w:val="19"/>
        </w:rPr>
        <w:t> </w:t>
      </w:r>
      <w:r>
        <w:rPr>
          <w:color w:val="231F20"/>
          <w:w w:val="105"/>
          <w:sz w:val="19"/>
        </w:rPr>
        <w:t>para</w:t>
      </w:r>
      <w:r>
        <w:rPr>
          <w:color w:val="231F20"/>
          <w:spacing w:val="-23"/>
          <w:w w:val="105"/>
          <w:sz w:val="19"/>
        </w:rPr>
        <w:t> </w:t>
      </w:r>
      <w:r>
        <w:rPr>
          <w:color w:val="231F20"/>
          <w:w w:val="105"/>
          <w:sz w:val="19"/>
        </w:rPr>
        <w:t>preservar</w:t>
      </w:r>
      <w:r>
        <w:rPr>
          <w:color w:val="231F20"/>
          <w:spacing w:val="-23"/>
          <w:w w:val="105"/>
          <w:sz w:val="19"/>
        </w:rPr>
        <w:t> </w:t>
      </w:r>
      <w:r>
        <w:rPr>
          <w:color w:val="231F20"/>
          <w:w w:val="105"/>
          <w:sz w:val="19"/>
        </w:rPr>
        <w:t>la</w:t>
      </w:r>
      <w:r>
        <w:rPr>
          <w:color w:val="231F20"/>
          <w:spacing w:val="-23"/>
          <w:w w:val="105"/>
          <w:sz w:val="19"/>
        </w:rPr>
        <w:t> </w:t>
      </w:r>
      <w:r>
        <w:rPr>
          <w:color w:val="231F20"/>
          <w:w w:val="105"/>
          <w:sz w:val="19"/>
        </w:rPr>
        <w:t>vigencia</w:t>
      </w:r>
      <w:r>
        <w:rPr>
          <w:color w:val="231F20"/>
          <w:spacing w:val="-23"/>
          <w:w w:val="105"/>
          <w:sz w:val="19"/>
        </w:rPr>
        <w:t> </w:t>
      </w:r>
      <w:r>
        <w:rPr>
          <w:color w:val="231F20"/>
          <w:w w:val="105"/>
          <w:sz w:val="19"/>
        </w:rPr>
        <w:t>de</w:t>
      </w:r>
      <w:r>
        <w:rPr>
          <w:color w:val="231F20"/>
          <w:spacing w:val="-23"/>
          <w:w w:val="105"/>
          <w:sz w:val="19"/>
        </w:rPr>
        <w:t> </w:t>
      </w:r>
      <w:r>
        <w:rPr>
          <w:color w:val="231F20"/>
          <w:w w:val="105"/>
          <w:sz w:val="19"/>
        </w:rPr>
        <w:t>la Constitución,</w:t>
      </w:r>
      <w:r>
        <w:rPr>
          <w:color w:val="231F20"/>
          <w:spacing w:val="-36"/>
          <w:w w:val="105"/>
          <w:sz w:val="19"/>
        </w:rPr>
        <w:t> </w:t>
      </w:r>
      <w:r>
        <w:rPr>
          <w:color w:val="231F20"/>
          <w:w w:val="105"/>
          <w:sz w:val="19"/>
        </w:rPr>
        <w:t>y</w:t>
      </w:r>
      <w:r>
        <w:rPr>
          <w:color w:val="231F20"/>
          <w:spacing w:val="-36"/>
          <w:w w:val="105"/>
          <w:sz w:val="19"/>
        </w:rPr>
        <w:t> </w:t>
      </w:r>
      <w:r>
        <w:rPr>
          <w:color w:val="231F20"/>
          <w:w w:val="105"/>
          <w:sz w:val="19"/>
        </w:rPr>
        <w:t>no</w:t>
      </w:r>
      <w:r>
        <w:rPr>
          <w:color w:val="231F20"/>
          <w:spacing w:val="-36"/>
          <w:w w:val="105"/>
          <w:sz w:val="19"/>
        </w:rPr>
        <w:t> </w:t>
      </w:r>
      <w:r>
        <w:rPr>
          <w:color w:val="231F20"/>
          <w:w w:val="105"/>
          <w:sz w:val="19"/>
        </w:rPr>
        <w:t>como</w:t>
      </w:r>
      <w:r>
        <w:rPr>
          <w:color w:val="231F20"/>
          <w:spacing w:val="-36"/>
          <w:w w:val="105"/>
          <w:sz w:val="19"/>
        </w:rPr>
        <w:t> </w:t>
      </w:r>
      <w:r>
        <w:rPr>
          <w:color w:val="231F20"/>
          <w:w w:val="105"/>
          <w:sz w:val="19"/>
        </w:rPr>
        <w:t>un</w:t>
      </w:r>
      <w:r>
        <w:rPr>
          <w:color w:val="231F20"/>
          <w:spacing w:val="-36"/>
          <w:w w:val="105"/>
          <w:sz w:val="19"/>
        </w:rPr>
        <w:t> </w:t>
      </w:r>
      <w:r>
        <w:rPr>
          <w:color w:val="231F20"/>
          <w:w w:val="105"/>
          <w:sz w:val="19"/>
        </w:rPr>
        <w:t>medio</w:t>
      </w:r>
      <w:r>
        <w:rPr>
          <w:color w:val="231F20"/>
          <w:spacing w:val="-36"/>
          <w:w w:val="105"/>
          <w:sz w:val="19"/>
        </w:rPr>
        <w:t> </w:t>
      </w:r>
      <w:r>
        <w:rPr>
          <w:color w:val="231F20"/>
          <w:w w:val="105"/>
          <w:sz w:val="19"/>
        </w:rPr>
        <w:t>persecutorio</w:t>
      </w:r>
      <w:r>
        <w:rPr>
          <w:color w:val="231F20"/>
          <w:spacing w:val="-36"/>
          <w:w w:val="105"/>
          <w:sz w:val="19"/>
        </w:rPr>
        <w:t> </w:t>
      </w:r>
      <w:r>
        <w:rPr>
          <w:color w:val="231F20"/>
          <w:w w:val="105"/>
          <w:sz w:val="19"/>
        </w:rPr>
        <w:t>y</w:t>
      </w:r>
      <w:r>
        <w:rPr>
          <w:color w:val="231F20"/>
          <w:spacing w:val="-36"/>
          <w:w w:val="105"/>
          <w:sz w:val="19"/>
        </w:rPr>
        <w:t> </w:t>
      </w:r>
      <w:r>
        <w:rPr>
          <w:color w:val="231F20"/>
          <w:w w:val="105"/>
          <w:sz w:val="19"/>
        </w:rPr>
        <w:t>represivo</w:t>
      </w:r>
      <w:r>
        <w:rPr>
          <w:color w:val="231F20"/>
          <w:w w:val="105"/>
          <w:position w:val="6"/>
          <w:sz w:val="11"/>
        </w:rPr>
        <w:t>20</w:t>
      </w:r>
      <w:r>
        <w:rPr>
          <w:color w:val="231F20"/>
          <w:w w:val="105"/>
          <w:sz w:val="19"/>
        </w:rPr>
        <w:t>.</w:t>
      </w:r>
    </w:p>
    <w:p>
      <w:pPr>
        <w:pStyle w:val="BodyText"/>
        <w:spacing w:before="11"/>
        <w:rPr>
          <w:sz w:val="23"/>
        </w:rPr>
      </w:pPr>
    </w:p>
    <w:p>
      <w:pPr>
        <w:pStyle w:val="BodyText"/>
        <w:spacing w:line="247" w:lineRule="auto"/>
        <w:ind w:left="103" w:right="115"/>
        <w:jc w:val="both"/>
      </w:pPr>
      <w:r>
        <w:rPr>
          <w:color w:val="231F20"/>
          <w:w w:val="105"/>
        </w:rPr>
        <w:t>Sin</w:t>
      </w:r>
      <w:r>
        <w:rPr>
          <w:color w:val="231F20"/>
          <w:spacing w:val="-29"/>
          <w:w w:val="105"/>
        </w:rPr>
        <w:t> </w:t>
      </w:r>
      <w:r>
        <w:rPr>
          <w:color w:val="231F20"/>
          <w:w w:val="105"/>
        </w:rPr>
        <w:t>embargo,</w:t>
      </w:r>
      <w:r>
        <w:rPr>
          <w:color w:val="231F20"/>
          <w:spacing w:val="-29"/>
          <w:w w:val="105"/>
        </w:rPr>
        <w:t> </w:t>
      </w:r>
      <w:r>
        <w:rPr>
          <w:color w:val="231F20"/>
          <w:w w:val="105"/>
        </w:rPr>
        <w:t>en</w:t>
      </w:r>
      <w:r>
        <w:rPr>
          <w:color w:val="231F20"/>
          <w:spacing w:val="-29"/>
          <w:w w:val="105"/>
        </w:rPr>
        <w:t> </w:t>
      </w:r>
      <w:r>
        <w:rPr>
          <w:color w:val="231F20"/>
          <w:w w:val="105"/>
        </w:rPr>
        <w:t>la</w:t>
      </w:r>
      <w:r>
        <w:rPr>
          <w:color w:val="231F20"/>
          <w:spacing w:val="-29"/>
          <w:w w:val="105"/>
        </w:rPr>
        <w:t> </w:t>
      </w:r>
      <w:r>
        <w:rPr>
          <w:color w:val="231F20"/>
          <w:w w:val="105"/>
        </w:rPr>
        <w:t>historia</w:t>
      </w:r>
      <w:r>
        <w:rPr>
          <w:color w:val="231F20"/>
          <w:spacing w:val="-29"/>
          <w:w w:val="105"/>
        </w:rPr>
        <w:t> </w:t>
      </w:r>
      <w:r>
        <w:rPr>
          <w:color w:val="231F20"/>
          <w:w w:val="105"/>
        </w:rPr>
        <w:t>del</w:t>
      </w:r>
      <w:r>
        <w:rPr>
          <w:color w:val="231F20"/>
          <w:spacing w:val="-29"/>
          <w:w w:val="105"/>
        </w:rPr>
        <w:t> </w:t>
      </w:r>
      <w:r>
        <w:rPr>
          <w:color w:val="231F20"/>
          <w:w w:val="105"/>
        </w:rPr>
        <w:t>país</w:t>
      </w:r>
      <w:r>
        <w:rPr>
          <w:color w:val="231F20"/>
          <w:spacing w:val="-29"/>
          <w:w w:val="105"/>
        </w:rPr>
        <w:t> </w:t>
      </w:r>
      <w:r>
        <w:rPr>
          <w:color w:val="231F20"/>
          <w:w w:val="105"/>
        </w:rPr>
        <w:t>se</w:t>
      </w:r>
      <w:r>
        <w:rPr>
          <w:color w:val="231F20"/>
          <w:spacing w:val="-29"/>
          <w:w w:val="105"/>
        </w:rPr>
        <w:t> </w:t>
      </w:r>
      <w:r>
        <w:rPr>
          <w:color w:val="231F20"/>
          <w:w w:val="105"/>
        </w:rPr>
        <w:t>ha</w:t>
      </w:r>
      <w:r>
        <w:rPr>
          <w:color w:val="231F20"/>
          <w:spacing w:val="-29"/>
          <w:w w:val="105"/>
        </w:rPr>
        <w:t> </w:t>
      </w:r>
      <w:r>
        <w:rPr>
          <w:color w:val="231F20"/>
          <w:w w:val="105"/>
        </w:rPr>
        <w:t>evitado</w:t>
      </w:r>
      <w:r>
        <w:rPr>
          <w:color w:val="231F20"/>
          <w:spacing w:val="-29"/>
          <w:w w:val="105"/>
        </w:rPr>
        <w:t> </w:t>
      </w:r>
      <w:r>
        <w:rPr>
          <w:color w:val="231F20"/>
          <w:w w:val="105"/>
        </w:rPr>
        <w:t>la</w:t>
      </w:r>
      <w:r>
        <w:rPr>
          <w:color w:val="231F20"/>
          <w:spacing w:val="-29"/>
          <w:w w:val="105"/>
        </w:rPr>
        <w:t> </w:t>
      </w:r>
      <w:r>
        <w:rPr>
          <w:color w:val="231F20"/>
          <w:w w:val="105"/>
        </w:rPr>
        <w:t>utilización</w:t>
      </w:r>
      <w:r>
        <w:rPr>
          <w:color w:val="231F20"/>
          <w:spacing w:val="-29"/>
          <w:w w:val="105"/>
        </w:rPr>
        <w:t> </w:t>
      </w:r>
      <w:r>
        <w:rPr>
          <w:color w:val="231F20"/>
          <w:w w:val="105"/>
        </w:rPr>
        <w:t>del</w:t>
      </w:r>
      <w:r>
        <w:rPr>
          <w:color w:val="231F20"/>
          <w:spacing w:val="-29"/>
          <w:w w:val="105"/>
        </w:rPr>
        <w:t> </w:t>
      </w:r>
      <w:r>
        <w:rPr>
          <w:color w:val="231F20"/>
          <w:w w:val="105"/>
        </w:rPr>
        <w:t>29</w:t>
      </w:r>
      <w:r>
        <w:rPr>
          <w:color w:val="231F20"/>
          <w:spacing w:val="-29"/>
          <w:w w:val="105"/>
        </w:rPr>
        <w:t> </w:t>
      </w:r>
      <w:r>
        <w:rPr>
          <w:color w:val="231F20"/>
          <w:w w:val="105"/>
        </w:rPr>
        <w:t>cons- titucional. Se percibe la idea de que la utilización del mismo hablaría</w:t>
      </w:r>
      <w:r>
        <w:rPr>
          <w:color w:val="231F20"/>
          <w:spacing w:val="-35"/>
          <w:w w:val="105"/>
        </w:rPr>
        <w:t> </w:t>
      </w:r>
      <w:r>
        <w:rPr>
          <w:color w:val="231F20"/>
          <w:w w:val="105"/>
        </w:rPr>
        <w:t>de un</w:t>
      </w:r>
      <w:r>
        <w:rPr>
          <w:color w:val="231F20"/>
          <w:spacing w:val="-16"/>
          <w:w w:val="105"/>
        </w:rPr>
        <w:t> </w:t>
      </w:r>
      <w:r>
        <w:rPr>
          <w:color w:val="231F20"/>
          <w:w w:val="105"/>
        </w:rPr>
        <w:t>gobierno</w:t>
      </w:r>
      <w:r>
        <w:rPr>
          <w:color w:val="231F20"/>
          <w:spacing w:val="-16"/>
          <w:w w:val="105"/>
        </w:rPr>
        <w:t> </w:t>
      </w:r>
      <w:r>
        <w:rPr>
          <w:color w:val="231F20"/>
          <w:w w:val="105"/>
        </w:rPr>
        <w:t>débil</w:t>
      </w:r>
      <w:r>
        <w:rPr>
          <w:color w:val="231F20"/>
          <w:spacing w:val="-16"/>
          <w:w w:val="105"/>
        </w:rPr>
        <w:t> </w:t>
      </w:r>
      <w:r>
        <w:rPr>
          <w:color w:val="231F20"/>
          <w:w w:val="105"/>
        </w:rPr>
        <w:t>que</w:t>
      </w:r>
      <w:r>
        <w:rPr>
          <w:color w:val="231F20"/>
          <w:spacing w:val="-16"/>
          <w:w w:val="105"/>
        </w:rPr>
        <w:t> </w:t>
      </w:r>
      <w:r>
        <w:rPr>
          <w:color w:val="231F20"/>
          <w:w w:val="105"/>
        </w:rPr>
        <w:t>no</w:t>
      </w:r>
      <w:r>
        <w:rPr>
          <w:color w:val="231F20"/>
          <w:spacing w:val="-16"/>
          <w:w w:val="105"/>
        </w:rPr>
        <w:t> </w:t>
      </w:r>
      <w:r>
        <w:rPr>
          <w:color w:val="231F20"/>
          <w:w w:val="105"/>
        </w:rPr>
        <w:t>resuelve</w:t>
      </w:r>
      <w:r>
        <w:rPr>
          <w:color w:val="231F20"/>
          <w:spacing w:val="-16"/>
          <w:w w:val="105"/>
        </w:rPr>
        <w:t> </w:t>
      </w:r>
      <w:r>
        <w:rPr>
          <w:color w:val="231F20"/>
          <w:w w:val="105"/>
        </w:rPr>
        <w:t>situaciones</w:t>
      </w:r>
      <w:r>
        <w:rPr>
          <w:color w:val="231F20"/>
          <w:spacing w:val="-16"/>
          <w:w w:val="105"/>
        </w:rPr>
        <w:t> </w:t>
      </w:r>
      <w:r>
        <w:rPr>
          <w:color w:val="231F20"/>
          <w:w w:val="105"/>
        </w:rPr>
        <w:t>de</w:t>
      </w:r>
      <w:r>
        <w:rPr>
          <w:color w:val="231F20"/>
          <w:spacing w:val="-16"/>
          <w:w w:val="105"/>
        </w:rPr>
        <w:t> </w:t>
      </w:r>
      <w:r>
        <w:rPr>
          <w:color w:val="231F20"/>
          <w:w w:val="105"/>
        </w:rPr>
        <w:t>crisis</w:t>
      </w:r>
      <w:r>
        <w:rPr>
          <w:color w:val="231F20"/>
          <w:spacing w:val="-16"/>
          <w:w w:val="105"/>
        </w:rPr>
        <w:t> </w:t>
      </w:r>
      <w:r>
        <w:rPr>
          <w:color w:val="231F20"/>
          <w:w w:val="105"/>
        </w:rPr>
        <w:t>o</w:t>
      </w:r>
      <w:r>
        <w:rPr>
          <w:color w:val="231F20"/>
          <w:spacing w:val="-16"/>
          <w:w w:val="105"/>
        </w:rPr>
        <w:t> </w:t>
      </w:r>
      <w:r>
        <w:rPr>
          <w:color w:val="231F20"/>
          <w:w w:val="105"/>
        </w:rPr>
        <w:t>emergencia</w:t>
      </w:r>
      <w:r>
        <w:rPr>
          <w:color w:val="231F20"/>
          <w:spacing w:val="-16"/>
          <w:w w:val="105"/>
        </w:rPr>
        <w:t> </w:t>
      </w:r>
      <w:r>
        <w:rPr>
          <w:color w:val="231F20"/>
          <w:w w:val="105"/>
        </w:rPr>
        <w:t>por medios</w:t>
      </w:r>
      <w:r>
        <w:rPr>
          <w:color w:val="231F20"/>
          <w:spacing w:val="-22"/>
          <w:w w:val="105"/>
        </w:rPr>
        <w:t> </w:t>
      </w:r>
      <w:r>
        <w:rPr>
          <w:color w:val="231F20"/>
          <w:w w:val="105"/>
        </w:rPr>
        <w:t>normales.</w:t>
      </w:r>
      <w:r>
        <w:rPr>
          <w:color w:val="231F20"/>
          <w:spacing w:val="-22"/>
          <w:w w:val="105"/>
        </w:rPr>
        <w:t> </w:t>
      </w:r>
      <w:r>
        <w:rPr>
          <w:color w:val="231F20"/>
          <w:w w:val="105"/>
        </w:rPr>
        <w:t>Para</w:t>
      </w:r>
      <w:r>
        <w:rPr>
          <w:color w:val="231F20"/>
          <w:spacing w:val="-22"/>
          <w:w w:val="105"/>
        </w:rPr>
        <w:t> </w:t>
      </w:r>
      <w:r>
        <w:rPr>
          <w:color w:val="231F20"/>
          <w:w w:val="105"/>
        </w:rPr>
        <w:t>subsanar</w:t>
      </w:r>
      <w:r>
        <w:rPr>
          <w:color w:val="231F20"/>
          <w:spacing w:val="-22"/>
          <w:w w:val="105"/>
        </w:rPr>
        <w:t> </w:t>
      </w:r>
      <w:r>
        <w:rPr>
          <w:color w:val="231F20"/>
          <w:w w:val="105"/>
        </w:rPr>
        <w:t>la</w:t>
      </w:r>
      <w:r>
        <w:rPr>
          <w:color w:val="231F20"/>
          <w:spacing w:val="-22"/>
          <w:w w:val="105"/>
        </w:rPr>
        <w:t> </w:t>
      </w:r>
      <w:r>
        <w:rPr>
          <w:color w:val="231F20"/>
          <w:w w:val="105"/>
        </w:rPr>
        <w:t>utilización</w:t>
      </w:r>
      <w:r>
        <w:rPr>
          <w:color w:val="231F20"/>
          <w:spacing w:val="-22"/>
          <w:w w:val="105"/>
        </w:rPr>
        <w:t> </w:t>
      </w:r>
      <w:r>
        <w:rPr>
          <w:color w:val="231F20"/>
          <w:w w:val="105"/>
        </w:rPr>
        <w:t>del</w:t>
      </w:r>
      <w:r>
        <w:rPr>
          <w:color w:val="231F20"/>
          <w:spacing w:val="-22"/>
          <w:w w:val="105"/>
        </w:rPr>
        <w:t> </w:t>
      </w:r>
      <w:r>
        <w:rPr>
          <w:color w:val="231F20"/>
          <w:w w:val="105"/>
        </w:rPr>
        <w:t>estado</w:t>
      </w:r>
      <w:r>
        <w:rPr>
          <w:color w:val="231F20"/>
          <w:spacing w:val="-22"/>
          <w:w w:val="105"/>
        </w:rPr>
        <w:t> </w:t>
      </w:r>
      <w:r>
        <w:rPr>
          <w:color w:val="231F20"/>
          <w:w w:val="105"/>
        </w:rPr>
        <w:t>de</w:t>
      </w:r>
      <w:r>
        <w:rPr>
          <w:color w:val="231F20"/>
          <w:spacing w:val="-22"/>
          <w:w w:val="105"/>
        </w:rPr>
        <w:t> </w:t>
      </w:r>
      <w:r>
        <w:rPr>
          <w:color w:val="231F20"/>
          <w:w w:val="105"/>
        </w:rPr>
        <w:t>excepción,</w:t>
      </w:r>
      <w:r>
        <w:rPr>
          <w:color w:val="231F20"/>
          <w:spacing w:val="-22"/>
          <w:w w:val="105"/>
        </w:rPr>
        <w:t> </w:t>
      </w:r>
      <w:r>
        <w:rPr>
          <w:color w:val="231F20"/>
          <w:w w:val="105"/>
        </w:rPr>
        <w:t>el Estado</w:t>
      </w:r>
      <w:r>
        <w:rPr>
          <w:color w:val="231F20"/>
          <w:spacing w:val="-31"/>
          <w:w w:val="105"/>
        </w:rPr>
        <w:t> </w:t>
      </w:r>
      <w:r>
        <w:rPr>
          <w:color w:val="231F20"/>
          <w:w w:val="105"/>
        </w:rPr>
        <w:t>mexicano</w:t>
      </w:r>
      <w:r>
        <w:rPr>
          <w:color w:val="231F20"/>
          <w:spacing w:val="-31"/>
          <w:w w:val="105"/>
        </w:rPr>
        <w:t> </w:t>
      </w:r>
      <w:r>
        <w:rPr>
          <w:color w:val="231F20"/>
          <w:w w:val="105"/>
        </w:rPr>
        <w:t>ha</w:t>
      </w:r>
      <w:r>
        <w:rPr>
          <w:color w:val="231F20"/>
          <w:spacing w:val="-31"/>
          <w:w w:val="105"/>
        </w:rPr>
        <w:t> </w:t>
      </w:r>
      <w:r>
        <w:rPr>
          <w:color w:val="231F20"/>
          <w:w w:val="105"/>
        </w:rPr>
        <w:t>creado</w:t>
      </w:r>
      <w:r>
        <w:rPr>
          <w:color w:val="231F20"/>
          <w:spacing w:val="-31"/>
          <w:w w:val="105"/>
        </w:rPr>
        <w:t> </w:t>
      </w:r>
      <w:r>
        <w:rPr>
          <w:color w:val="231F20"/>
          <w:w w:val="105"/>
        </w:rPr>
        <w:t>otro</w:t>
      </w:r>
      <w:r>
        <w:rPr>
          <w:color w:val="231F20"/>
          <w:spacing w:val="-31"/>
          <w:w w:val="105"/>
        </w:rPr>
        <w:t> </w:t>
      </w:r>
      <w:r>
        <w:rPr>
          <w:color w:val="231F20"/>
          <w:w w:val="105"/>
        </w:rPr>
        <w:t>tipo</w:t>
      </w:r>
      <w:r>
        <w:rPr>
          <w:color w:val="231F20"/>
          <w:spacing w:val="-31"/>
          <w:w w:val="105"/>
        </w:rPr>
        <w:t> </w:t>
      </w:r>
      <w:r>
        <w:rPr>
          <w:color w:val="231F20"/>
          <w:w w:val="105"/>
        </w:rPr>
        <w:t>de</w:t>
      </w:r>
      <w:r>
        <w:rPr>
          <w:color w:val="231F20"/>
          <w:spacing w:val="-31"/>
          <w:w w:val="105"/>
        </w:rPr>
        <w:t> </w:t>
      </w:r>
      <w:r>
        <w:rPr>
          <w:color w:val="231F20"/>
          <w:w w:val="105"/>
        </w:rPr>
        <w:t>estratagemas.</w:t>
      </w:r>
    </w:p>
    <w:p>
      <w:pPr>
        <w:pStyle w:val="BodyText"/>
        <w:spacing w:line="247" w:lineRule="auto"/>
        <w:ind w:left="103" w:right="115" w:firstLine="566"/>
        <w:jc w:val="both"/>
      </w:pPr>
      <w:r>
        <w:rPr>
          <w:color w:val="231F20"/>
        </w:rPr>
        <w:t>Ante</w:t>
      </w:r>
      <w:r>
        <w:rPr>
          <w:color w:val="231F20"/>
          <w:spacing w:val="-15"/>
        </w:rPr>
        <w:t> </w:t>
      </w:r>
      <w:r>
        <w:rPr>
          <w:color w:val="231F20"/>
        </w:rPr>
        <w:t>la</w:t>
      </w:r>
      <w:r>
        <w:rPr>
          <w:color w:val="231F20"/>
          <w:spacing w:val="-15"/>
        </w:rPr>
        <w:t> </w:t>
      </w:r>
      <w:r>
        <w:rPr>
          <w:color w:val="231F20"/>
        </w:rPr>
        <w:t>reforma</w:t>
      </w:r>
      <w:r>
        <w:rPr>
          <w:color w:val="231F20"/>
          <w:spacing w:val="-15"/>
        </w:rPr>
        <w:t> </w:t>
      </w:r>
      <w:r>
        <w:rPr>
          <w:color w:val="231F20"/>
        </w:rPr>
        <w:t>constitucional</w:t>
      </w:r>
      <w:r>
        <w:rPr>
          <w:color w:val="231F20"/>
          <w:spacing w:val="-15"/>
        </w:rPr>
        <w:t> </w:t>
      </w:r>
      <w:r>
        <w:rPr>
          <w:color w:val="231F20"/>
        </w:rPr>
        <w:t>en</w:t>
      </w:r>
      <w:r>
        <w:rPr>
          <w:color w:val="231F20"/>
          <w:spacing w:val="-15"/>
        </w:rPr>
        <w:t> </w:t>
      </w:r>
      <w:r>
        <w:rPr>
          <w:color w:val="231F20"/>
        </w:rPr>
        <w:t>materia</w:t>
      </w:r>
      <w:r>
        <w:rPr>
          <w:color w:val="231F20"/>
          <w:spacing w:val="-15"/>
        </w:rPr>
        <w:t> </w:t>
      </w:r>
      <w:r>
        <w:rPr>
          <w:color w:val="231F20"/>
        </w:rPr>
        <w:t>penal</w:t>
      </w:r>
      <w:r>
        <w:rPr>
          <w:color w:val="231F20"/>
          <w:spacing w:val="-15"/>
        </w:rPr>
        <w:t> </w:t>
      </w:r>
      <w:r>
        <w:rPr>
          <w:color w:val="231F20"/>
        </w:rPr>
        <w:t>en</w:t>
      </w:r>
      <w:r>
        <w:rPr>
          <w:color w:val="231F20"/>
          <w:spacing w:val="-15"/>
        </w:rPr>
        <w:t> </w:t>
      </w:r>
      <w:r>
        <w:rPr>
          <w:color w:val="231F20"/>
        </w:rPr>
        <w:t>2008,</w:t>
      </w:r>
      <w:r>
        <w:rPr>
          <w:color w:val="231F20"/>
          <w:spacing w:val="-15"/>
        </w:rPr>
        <w:t> </w:t>
      </w:r>
      <w:r>
        <w:rPr>
          <w:color w:val="231F20"/>
        </w:rPr>
        <w:t>juristas</w:t>
      </w:r>
      <w:r>
        <w:rPr>
          <w:color w:val="231F20"/>
          <w:spacing w:val="-15"/>
        </w:rPr>
        <w:t> </w:t>
      </w:r>
      <w:r>
        <w:rPr>
          <w:color w:val="231F20"/>
        </w:rPr>
        <w:t>emi- nentes</w:t>
      </w:r>
      <w:r>
        <w:rPr>
          <w:color w:val="231F20"/>
          <w:spacing w:val="-10"/>
        </w:rPr>
        <w:t> </w:t>
      </w:r>
      <w:r>
        <w:rPr>
          <w:color w:val="231F20"/>
        </w:rPr>
        <w:t>tomaron</w:t>
      </w:r>
      <w:r>
        <w:rPr>
          <w:color w:val="231F20"/>
          <w:spacing w:val="-10"/>
        </w:rPr>
        <w:t> </w:t>
      </w:r>
      <w:r>
        <w:rPr>
          <w:color w:val="231F20"/>
        </w:rPr>
        <w:t>posturas</w:t>
      </w:r>
      <w:r>
        <w:rPr>
          <w:color w:val="231F20"/>
          <w:spacing w:val="-10"/>
        </w:rPr>
        <w:t> </w:t>
      </w:r>
      <w:r>
        <w:rPr>
          <w:color w:val="231F20"/>
        </w:rPr>
        <w:t>a</w:t>
      </w:r>
      <w:r>
        <w:rPr>
          <w:color w:val="231F20"/>
          <w:spacing w:val="-10"/>
        </w:rPr>
        <w:t> </w:t>
      </w:r>
      <w:r>
        <w:rPr>
          <w:color w:val="231F20"/>
        </w:rPr>
        <w:t>favor</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contra.</w:t>
      </w:r>
      <w:r>
        <w:rPr>
          <w:color w:val="231F20"/>
          <w:spacing w:val="-10"/>
        </w:rPr>
        <w:t> </w:t>
      </w:r>
      <w:r>
        <w:rPr>
          <w:color w:val="231F20"/>
        </w:rPr>
        <w:t>En</w:t>
      </w:r>
      <w:r>
        <w:rPr>
          <w:color w:val="231F20"/>
          <w:spacing w:val="-10"/>
        </w:rPr>
        <w:t> </w:t>
      </w:r>
      <w:r>
        <w:rPr>
          <w:color w:val="231F20"/>
        </w:rPr>
        <w:t>tal</w:t>
      </w:r>
      <w:r>
        <w:rPr>
          <w:color w:val="231F20"/>
          <w:spacing w:val="-10"/>
        </w:rPr>
        <w:t> </w:t>
      </w:r>
      <w:r>
        <w:rPr>
          <w:color w:val="231F20"/>
        </w:rPr>
        <w:t>reforma</w:t>
      </w:r>
      <w:r>
        <w:rPr>
          <w:color w:val="231F20"/>
          <w:spacing w:val="-10"/>
        </w:rPr>
        <w:t> </w:t>
      </w:r>
      <w:r>
        <w:rPr>
          <w:color w:val="231F20"/>
        </w:rPr>
        <w:t>se</w:t>
      </w:r>
      <w:r>
        <w:rPr>
          <w:color w:val="231F20"/>
          <w:spacing w:val="-10"/>
        </w:rPr>
        <w:t> </w:t>
      </w:r>
      <w:r>
        <w:rPr>
          <w:color w:val="231F20"/>
        </w:rPr>
        <w:t>modificaron los</w:t>
      </w:r>
      <w:r>
        <w:rPr>
          <w:color w:val="231F20"/>
          <w:spacing w:val="-29"/>
        </w:rPr>
        <w:t> </w:t>
      </w:r>
      <w:r>
        <w:rPr>
          <w:color w:val="231F20"/>
        </w:rPr>
        <w:t>artículos</w:t>
      </w:r>
      <w:r>
        <w:rPr>
          <w:color w:val="231F20"/>
          <w:spacing w:val="-29"/>
        </w:rPr>
        <w:t> </w:t>
      </w:r>
      <w:r>
        <w:rPr>
          <w:color w:val="231F20"/>
        </w:rPr>
        <w:t>16,</w:t>
      </w:r>
      <w:r>
        <w:rPr>
          <w:color w:val="231F20"/>
          <w:spacing w:val="-29"/>
        </w:rPr>
        <w:t> </w:t>
      </w:r>
      <w:r>
        <w:rPr>
          <w:color w:val="231F20"/>
        </w:rPr>
        <w:t>17,</w:t>
      </w:r>
      <w:r>
        <w:rPr>
          <w:color w:val="231F20"/>
          <w:spacing w:val="-29"/>
        </w:rPr>
        <w:t> </w:t>
      </w:r>
      <w:r>
        <w:rPr>
          <w:color w:val="231F20"/>
        </w:rPr>
        <w:t>18,</w:t>
      </w:r>
      <w:r>
        <w:rPr>
          <w:color w:val="231F20"/>
          <w:spacing w:val="-29"/>
        </w:rPr>
        <w:t> </w:t>
      </w:r>
      <w:r>
        <w:rPr>
          <w:color w:val="231F20"/>
        </w:rPr>
        <w:t>19,</w:t>
      </w:r>
      <w:r>
        <w:rPr>
          <w:color w:val="231F20"/>
          <w:spacing w:val="-29"/>
        </w:rPr>
        <w:t> </w:t>
      </w:r>
      <w:r>
        <w:rPr>
          <w:color w:val="231F20"/>
        </w:rPr>
        <w:t>20,</w:t>
      </w:r>
      <w:r>
        <w:rPr>
          <w:color w:val="231F20"/>
          <w:spacing w:val="-29"/>
        </w:rPr>
        <w:t> </w:t>
      </w:r>
      <w:r>
        <w:rPr>
          <w:color w:val="231F20"/>
        </w:rPr>
        <w:t>21,</w:t>
      </w:r>
      <w:r>
        <w:rPr>
          <w:color w:val="231F20"/>
          <w:spacing w:val="-29"/>
        </w:rPr>
        <w:t> </w:t>
      </w:r>
      <w:r>
        <w:rPr>
          <w:color w:val="231F20"/>
        </w:rPr>
        <w:t>23;</w:t>
      </w:r>
      <w:r>
        <w:rPr>
          <w:color w:val="231F20"/>
          <w:spacing w:val="-29"/>
        </w:rPr>
        <w:t> </w:t>
      </w:r>
      <w:r>
        <w:rPr>
          <w:color w:val="231F20"/>
        </w:rPr>
        <w:t>las</w:t>
      </w:r>
      <w:r>
        <w:rPr>
          <w:color w:val="231F20"/>
          <w:spacing w:val="-29"/>
        </w:rPr>
        <w:t> </w:t>
      </w:r>
      <w:r>
        <w:rPr>
          <w:color w:val="231F20"/>
        </w:rPr>
        <w:t>fracciones</w:t>
      </w:r>
      <w:r>
        <w:rPr>
          <w:color w:val="231F20"/>
          <w:spacing w:val="-29"/>
        </w:rPr>
        <w:t> </w:t>
      </w:r>
      <w:r>
        <w:rPr>
          <w:color w:val="231F20"/>
          <w:sz w:val="18"/>
        </w:rPr>
        <w:t>XXI</w:t>
      </w:r>
      <w:r>
        <w:rPr>
          <w:color w:val="231F20"/>
          <w:spacing w:val="-20"/>
          <w:sz w:val="18"/>
        </w:rPr>
        <w:t> </w:t>
      </w:r>
      <w:r>
        <w:rPr>
          <w:color w:val="231F20"/>
        </w:rPr>
        <w:t>y</w:t>
      </w:r>
      <w:r>
        <w:rPr>
          <w:color w:val="231F20"/>
          <w:spacing w:val="-29"/>
        </w:rPr>
        <w:t> </w:t>
      </w:r>
      <w:r>
        <w:rPr>
          <w:color w:val="231F20"/>
          <w:sz w:val="18"/>
        </w:rPr>
        <w:t>XXIII</w:t>
      </w:r>
      <w:r>
        <w:rPr>
          <w:color w:val="231F20"/>
          <w:spacing w:val="-20"/>
          <w:sz w:val="18"/>
        </w:rPr>
        <w:t> </w:t>
      </w:r>
      <w:r>
        <w:rPr>
          <w:color w:val="231F20"/>
        </w:rPr>
        <w:t>del</w:t>
      </w:r>
      <w:r>
        <w:rPr>
          <w:color w:val="231F20"/>
          <w:spacing w:val="-29"/>
        </w:rPr>
        <w:t> </w:t>
      </w:r>
      <w:r>
        <w:rPr>
          <w:color w:val="231F20"/>
        </w:rPr>
        <w:t>artículo</w:t>
      </w:r>
      <w:r>
        <w:rPr>
          <w:color w:val="231F20"/>
          <w:spacing w:val="-29"/>
        </w:rPr>
        <w:t> </w:t>
      </w:r>
      <w:r>
        <w:rPr>
          <w:color w:val="231F20"/>
        </w:rPr>
        <w:t>73; la</w:t>
      </w:r>
      <w:r>
        <w:rPr>
          <w:color w:val="231F20"/>
          <w:spacing w:val="-21"/>
        </w:rPr>
        <w:t> </w:t>
      </w:r>
      <w:r>
        <w:rPr>
          <w:color w:val="231F20"/>
        </w:rPr>
        <w:t>fracción</w:t>
      </w:r>
      <w:r>
        <w:rPr>
          <w:color w:val="231F20"/>
          <w:spacing w:val="-21"/>
        </w:rPr>
        <w:t> </w:t>
      </w:r>
      <w:r>
        <w:rPr>
          <w:color w:val="231F20"/>
          <w:sz w:val="18"/>
        </w:rPr>
        <w:t>VII</w:t>
      </w:r>
      <w:r>
        <w:rPr>
          <w:color w:val="231F20"/>
          <w:spacing w:val="-12"/>
          <w:sz w:val="18"/>
        </w:rPr>
        <w:t> </w:t>
      </w:r>
      <w:r>
        <w:rPr>
          <w:color w:val="231F20"/>
        </w:rPr>
        <w:t>del</w:t>
      </w:r>
      <w:r>
        <w:rPr>
          <w:color w:val="231F20"/>
          <w:spacing w:val="-21"/>
        </w:rPr>
        <w:t> </w:t>
      </w:r>
      <w:r>
        <w:rPr>
          <w:color w:val="231F20"/>
        </w:rPr>
        <w:t>artículo</w:t>
      </w:r>
      <w:r>
        <w:rPr>
          <w:color w:val="231F20"/>
          <w:spacing w:val="-21"/>
        </w:rPr>
        <w:t> </w:t>
      </w:r>
      <w:r>
        <w:rPr>
          <w:color w:val="231F20"/>
        </w:rPr>
        <w:t>115</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fracción</w:t>
      </w:r>
      <w:r>
        <w:rPr>
          <w:color w:val="231F20"/>
          <w:spacing w:val="-21"/>
        </w:rPr>
        <w:t> </w:t>
      </w:r>
      <w:r>
        <w:rPr>
          <w:color w:val="231F20"/>
          <w:sz w:val="18"/>
        </w:rPr>
        <w:t>XIII</w:t>
      </w:r>
      <w:r>
        <w:rPr>
          <w:color w:val="231F20"/>
          <w:spacing w:val="-12"/>
          <w:sz w:val="18"/>
        </w:rPr>
        <w:t> </w:t>
      </w:r>
      <w:r>
        <w:rPr>
          <w:color w:val="231F20"/>
        </w:rPr>
        <w:t>del</w:t>
      </w:r>
      <w:r>
        <w:rPr>
          <w:color w:val="231F20"/>
          <w:spacing w:val="-21"/>
        </w:rPr>
        <w:t> </w:t>
      </w:r>
      <w:r>
        <w:rPr>
          <w:color w:val="231F20"/>
        </w:rPr>
        <w:t>apartado</w:t>
      </w:r>
      <w:r>
        <w:rPr>
          <w:color w:val="231F20"/>
          <w:spacing w:val="-21"/>
        </w:rPr>
        <w:t> </w:t>
      </w:r>
      <w:r>
        <w:rPr>
          <w:color w:val="231F20"/>
        </w:rPr>
        <w:t>B</w:t>
      </w:r>
      <w:r>
        <w:rPr>
          <w:color w:val="231F20"/>
          <w:spacing w:val="-21"/>
        </w:rPr>
        <w:t> </w:t>
      </w:r>
      <w:r>
        <w:rPr>
          <w:color w:val="231F20"/>
        </w:rPr>
        <w:t>del</w:t>
      </w:r>
      <w:r>
        <w:rPr>
          <w:color w:val="231F20"/>
          <w:spacing w:val="-21"/>
        </w:rPr>
        <w:t> </w:t>
      </w:r>
      <w:r>
        <w:rPr>
          <w:color w:val="231F20"/>
        </w:rPr>
        <w:t>artículo</w:t>
      </w:r>
      <w:r>
        <w:rPr>
          <w:color w:val="231F20"/>
          <w:spacing w:val="-21"/>
        </w:rPr>
        <w:t> </w:t>
      </w:r>
      <w:r>
        <w:rPr>
          <w:color w:val="231F20"/>
        </w:rPr>
        <w:t>123 constitucionales. En el artículo 16, párrafo séptimo, se ha incorporado una descripción de la delincuencia organizada, asaz genérica y ambigua: “por delincuencia organizada se entiende una organización de hecho de tres o más personas, para cometer delitos en forma permanente o reiterada, en los términos de la ley de la</w:t>
      </w:r>
      <w:r>
        <w:rPr>
          <w:color w:val="231F20"/>
          <w:spacing w:val="-10"/>
        </w:rPr>
        <w:t> </w:t>
      </w:r>
      <w:r>
        <w:rPr>
          <w:color w:val="231F20"/>
        </w:rPr>
        <w:t>materia”</w:t>
      </w:r>
      <w:r>
        <w:rPr>
          <w:color w:val="231F20"/>
          <w:position w:val="7"/>
          <w:sz w:val="12"/>
        </w:rPr>
        <w:t>21</w:t>
      </w:r>
      <w:r>
        <w:rPr>
          <w:color w:val="231F20"/>
        </w:rPr>
        <w:t>.</w:t>
      </w:r>
    </w:p>
    <w:p>
      <w:pPr>
        <w:pStyle w:val="BodyText"/>
        <w:spacing w:line="247" w:lineRule="auto"/>
        <w:ind w:left="103" w:right="113" w:firstLine="566"/>
        <w:jc w:val="both"/>
      </w:pPr>
      <w:r>
        <w:rPr>
          <w:color w:val="231F20"/>
          <w:w w:val="105"/>
        </w:rPr>
        <w:t>Jorge Carpizo realizó algunas observaciones sobre la</w:t>
      </w:r>
      <w:r>
        <w:rPr>
          <w:color w:val="231F20"/>
          <w:spacing w:val="-47"/>
          <w:w w:val="105"/>
        </w:rPr>
        <w:t> </w:t>
      </w:r>
      <w:r>
        <w:rPr>
          <w:color w:val="231F20"/>
          <w:w w:val="105"/>
        </w:rPr>
        <w:t>modificación de</w:t>
      </w:r>
      <w:r>
        <w:rPr>
          <w:color w:val="231F20"/>
          <w:spacing w:val="-32"/>
          <w:w w:val="105"/>
        </w:rPr>
        <w:t> </w:t>
      </w:r>
      <w:r>
        <w:rPr>
          <w:color w:val="231F20"/>
          <w:w w:val="105"/>
        </w:rPr>
        <w:t>este</w:t>
      </w:r>
      <w:r>
        <w:rPr>
          <w:color w:val="231F20"/>
          <w:spacing w:val="-32"/>
          <w:w w:val="105"/>
        </w:rPr>
        <w:t> </w:t>
      </w:r>
      <w:r>
        <w:rPr>
          <w:color w:val="231F20"/>
          <w:spacing w:val="2"/>
          <w:w w:val="105"/>
        </w:rPr>
        <w:t>artículo:</w:t>
      </w:r>
    </w:p>
    <w:p>
      <w:pPr>
        <w:pStyle w:val="BodyText"/>
        <w:rPr>
          <w:sz w:val="20"/>
        </w:rPr>
      </w:pP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2392;mso-wrap-distance-left:0;mso-wrap-distance-right:0" from="65.1968pt,10.549544pt" to="178.5828pt,10.549544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position w:val="6"/>
          <w:sz w:val="10"/>
        </w:rPr>
        <w:t>20 </w:t>
      </w:r>
      <w:r>
        <w:rPr>
          <w:rFonts w:ascii="Calibri" w:hAnsi="Calibri"/>
          <w:color w:val="231F20"/>
          <w:sz w:val="17"/>
        </w:rPr>
        <w:t>J. Carpizo, </w:t>
      </w:r>
      <w:r>
        <w:rPr>
          <w:rFonts w:ascii="Calibri" w:hAnsi="Calibri"/>
          <w:i/>
          <w:color w:val="231F20"/>
          <w:sz w:val="17"/>
        </w:rPr>
        <w:t>La Constitución mexicana de 1917</w:t>
      </w:r>
      <w:r>
        <w:rPr>
          <w:rFonts w:ascii="Calibri" w:hAnsi="Calibri"/>
          <w:color w:val="231F20"/>
          <w:sz w:val="17"/>
        </w:rPr>
        <w:t>, México, Porrúa, 2002, pp. 285–286.</w:t>
      </w:r>
    </w:p>
    <w:p>
      <w:pPr>
        <w:spacing w:line="235" w:lineRule="auto" w:before="1"/>
        <w:ind w:left="103" w:right="0" w:firstLine="0"/>
        <w:jc w:val="left"/>
        <w:rPr>
          <w:rFonts w:ascii="Calibri" w:hAnsi="Calibri"/>
          <w:sz w:val="17"/>
        </w:rPr>
      </w:pPr>
      <w:r>
        <w:rPr>
          <w:rFonts w:ascii="Calibri" w:hAnsi="Calibri"/>
          <w:color w:val="231F20"/>
          <w:position w:val="6"/>
          <w:sz w:val="10"/>
        </w:rPr>
        <w:t>21</w:t>
      </w:r>
      <w:r>
        <w:rPr>
          <w:rFonts w:ascii="Calibri" w:hAnsi="Calibri"/>
          <w:color w:val="231F20"/>
          <w:spacing w:val="-4"/>
          <w:position w:val="6"/>
          <w:sz w:val="10"/>
        </w:rPr>
        <w:t> </w:t>
      </w:r>
      <w:r>
        <w:rPr>
          <w:rFonts w:ascii="Calibri" w:hAnsi="Calibri"/>
          <w:color w:val="231F20"/>
          <w:sz w:val="17"/>
        </w:rPr>
        <w:t>Secretaría</w:t>
      </w:r>
      <w:r>
        <w:rPr>
          <w:rFonts w:ascii="Calibri" w:hAnsi="Calibri"/>
          <w:color w:val="231F20"/>
          <w:spacing w:val="-20"/>
          <w:sz w:val="17"/>
        </w:rPr>
        <w:t> </w:t>
      </w:r>
      <w:r>
        <w:rPr>
          <w:rFonts w:ascii="Calibri" w:hAnsi="Calibri"/>
          <w:color w:val="231F20"/>
          <w:sz w:val="17"/>
        </w:rPr>
        <w:t>de</w:t>
      </w:r>
      <w:r>
        <w:rPr>
          <w:rFonts w:ascii="Calibri" w:hAnsi="Calibri"/>
          <w:color w:val="231F20"/>
          <w:spacing w:val="-20"/>
          <w:sz w:val="17"/>
        </w:rPr>
        <w:t> </w:t>
      </w:r>
      <w:r>
        <w:rPr>
          <w:rFonts w:ascii="Calibri" w:hAnsi="Calibri"/>
          <w:color w:val="231F20"/>
          <w:sz w:val="17"/>
        </w:rPr>
        <w:t>Gobernación,</w:t>
      </w:r>
      <w:r>
        <w:rPr>
          <w:rFonts w:ascii="Calibri" w:hAnsi="Calibri"/>
          <w:color w:val="231F20"/>
          <w:spacing w:val="-20"/>
          <w:sz w:val="17"/>
        </w:rPr>
        <w:t> </w:t>
      </w:r>
      <w:r>
        <w:rPr>
          <w:rFonts w:ascii="Calibri" w:hAnsi="Calibri"/>
          <w:i/>
          <w:color w:val="231F20"/>
          <w:sz w:val="17"/>
        </w:rPr>
        <w:t>Diario</w:t>
      </w:r>
      <w:r>
        <w:rPr>
          <w:rFonts w:ascii="Calibri" w:hAnsi="Calibri"/>
          <w:i/>
          <w:color w:val="231F20"/>
          <w:spacing w:val="-21"/>
          <w:sz w:val="17"/>
        </w:rPr>
        <w:t> </w:t>
      </w:r>
      <w:r>
        <w:rPr>
          <w:rFonts w:ascii="Calibri" w:hAnsi="Calibri"/>
          <w:i/>
          <w:color w:val="231F20"/>
          <w:sz w:val="17"/>
        </w:rPr>
        <w:t>Oficial</w:t>
      </w:r>
      <w:r>
        <w:rPr>
          <w:rFonts w:ascii="Calibri" w:hAnsi="Calibri"/>
          <w:i/>
          <w:color w:val="231F20"/>
          <w:spacing w:val="-21"/>
          <w:sz w:val="17"/>
        </w:rPr>
        <w:t> </w:t>
      </w:r>
      <w:r>
        <w:rPr>
          <w:rFonts w:ascii="Calibri" w:hAnsi="Calibri"/>
          <w:i/>
          <w:color w:val="231F20"/>
          <w:sz w:val="17"/>
        </w:rPr>
        <w:t>de</w:t>
      </w:r>
      <w:r>
        <w:rPr>
          <w:rFonts w:ascii="Calibri" w:hAnsi="Calibri"/>
          <w:i/>
          <w:color w:val="231F20"/>
          <w:spacing w:val="-21"/>
          <w:sz w:val="17"/>
        </w:rPr>
        <w:t> </w:t>
      </w:r>
      <w:r>
        <w:rPr>
          <w:rFonts w:ascii="Calibri" w:hAnsi="Calibri"/>
          <w:i/>
          <w:color w:val="231F20"/>
          <w:sz w:val="17"/>
        </w:rPr>
        <w:t>la</w:t>
      </w:r>
      <w:r>
        <w:rPr>
          <w:rFonts w:ascii="Calibri" w:hAnsi="Calibri"/>
          <w:i/>
          <w:color w:val="231F20"/>
          <w:spacing w:val="-21"/>
          <w:sz w:val="17"/>
        </w:rPr>
        <w:t> </w:t>
      </w:r>
      <w:r>
        <w:rPr>
          <w:rFonts w:ascii="Calibri" w:hAnsi="Calibri"/>
          <w:i/>
          <w:color w:val="231F20"/>
          <w:spacing w:val="-3"/>
          <w:sz w:val="17"/>
        </w:rPr>
        <w:t>Federación</w:t>
      </w:r>
      <w:r>
        <w:rPr>
          <w:rFonts w:ascii="Calibri" w:hAnsi="Calibri"/>
          <w:color w:val="231F20"/>
          <w:spacing w:val="-3"/>
          <w:sz w:val="17"/>
        </w:rPr>
        <w:t>,</w:t>
      </w:r>
      <w:r>
        <w:rPr>
          <w:rFonts w:ascii="Calibri" w:hAnsi="Calibri"/>
          <w:color w:val="231F20"/>
          <w:spacing w:val="-20"/>
          <w:sz w:val="17"/>
        </w:rPr>
        <w:t> </w:t>
      </w:r>
      <w:r>
        <w:rPr>
          <w:rFonts w:ascii="Calibri" w:hAnsi="Calibri"/>
          <w:color w:val="231F20"/>
          <w:sz w:val="17"/>
        </w:rPr>
        <w:t>18</w:t>
      </w:r>
      <w:r>
        <w:rPr>
          <w:rFonts w:ascii="Calibri" w:hAnsi="Calibri"/>
          <w:color w:val="231F20"/>
          <w:spacing w:val="-20"/>
          <w:sz w:val="17"/>
        </w:rPr>
        <w:t> </w:t>
      </w:r>
      <w:r>
        <w:rPr>
          <w:rFonts w:ascii="Calibri" w:hAnsi="Calibri"/>
          <w:color w:val="231F20"/>
          <w:sz w:val="17"/>
        </w:rPr>
        <w:t>de</w:t>
      </w:r>
      <w:r>
        <w:rPr>
          <w:rFonts w:ascii="Calibri" w:hAnsi="Calibri"/>
          <w:color w:val="231F20"/>
          <w:spacing w:val="-20"/>
          <w:sz w:val="17"/>
        </w:rPr>
        <w:t> </w:t>
      </w:r>
      <w:r>
        <w:rPr>
          <w:rFonts w:ascii="Calibri" w:hAnsi="Calibri"/>
          <w:color w:val="231F20"/>
          <w:sz w:val="17"/>
        </w:rPr>
        <w:t>julio</w:t>
      </w:r>
      <w:r>
        <w:rPr>
          <w:rFonts w:ascii="Calibri" w:hAnsi="Calibri"/>
          <w:color w:val="231F20"/>
          <w:spacing w:val="-20"/>
          <w:sz w:val="17"/>
        </w:rPr>
        <w:t> </w:t>
      </w:r>
      <w:r>
        <w:rPr>
          <w:rFonts w:ascii="Calibri" w:hAnsi="Calibri"/>
          <w:color w:val="231F20"/>
          <w:sz w:val="17"/>
        </w:rPr>
        <w:t>de</w:t>
      </w:r>
      <w:r>
        <w:rPr>
          <w:rFonts w:ascii="Calibri" w:hAnsi="Calibri"/>
          <w:color w:val="231F20"/>
          <w:spacing w:val="-20"/>
          <w:sz w:val="17"/>
        </w:rPr>
        <w:t> </w:t>
      </w:r>
      <w:r>
        <w:rPr>
          <w:rFonts w:ascii="Calibri" w:hAnsi="Calibri"/>
          <w:color w:val="231F20"/>
          <w:sz w:val="17"/>
        </w:rPr>
        <w:t>2008,</w:t>
      </w:r>
      <w:r>
        <w:rPr>
          <w:rFonts w:ascii="Calibri" w:hAnsi="Calibri"/>
          <w:color w:val="231F20"/>
          <w:spacing w:val="-20"/>
          <w:sz w:val="17"/>
        </w:rPr>
        <w:t> </w:t>
      </w:r>
      <w:r>
        <w:rPr>
          <w:rFonts w:ascii="Calibri" w:hAnsi="Calibri"/>
          <w:color w:val="231F20"/>
          <w:sz w:val="17"/>
        </w:rPr>
        <w:t>consultado</w:t>
      </w:r>
      <w:r>
        <w:rPr>
          <w:rFonts w:ascii="Calibri" w:hAnsi="Calibri"/>
          <w:color w:val="231F20"/>
          <w:spacing w:val="-20"/>
          <w:sz w:val="17"/>
        </w:rPr>
        <w:t> </w:t>
      </w:r>
      <w:r>
        <w:rPr>
          <w:rFonts w:ascii="Calibri" w:hAnsi="Calibri"/>
          <w:color w:val="231F20"/>
          <w:sz w:val="17"/>
        </w:rPr>
        <w:t>el</w:t>
      </w:r>
      <w:r>
        <w:rPr>
          <w:rFonts w:ascii="Calibri" w:hAnsi="Calibri"/>
          <w:color w:val="231F20"/>
          <w:spacing w:val="-20"/>
          <w:sz w:val="17"/>
        </w:rPr>
        <w:t> </w:t>
      </w:r>
      <w:r>
        <w:rPr>
          <w:rFonts w:ascii="Calibri" w:hAnsi="Calibri"/>
          <w:color w:val="231F20"/>
          <w:sz w:val="17"/>
        </w:rPr>
        <w:t>23</w:t>
      </w:r>
      <w:r>
        <w:rPr>
          <w:rFonts w:ascii="Calibri" w:hAnsi="Calibri"/>
          <w:color w:val="231F20"/>
          <w:spacing w:val="-20"/>
          <w:sz w:val="17"/>
        </w:rPr>
        <w:t> </w:t>
      </w:r>
      <w:r>
        <w:rPr>
          <w:rFonts w:ascii="Calibri" w:hAnsi="Calibri"/>
          <w:color w:val="231F20"/>
          <w:sz w:val="17"/>
        </w:rPr>
        <w:t>de</w:t>
      </w:r>
      <w:r>
        <w:rPr>
          <w:rFonts w:ascii="Calibri" w:hAnsi="Calibri"/>
          <w:color w:val="231F20"/>
          <w:spacing w:val="-20"/>
          <w:sz w:val="17"/>
        </w:rPr>
        <w:t> </w:t>
      </w:r>
      <w:r>
        <w:rPr>
          <w:rFonts w:ascii="Calibri" w:hAnsi="Calibri"/>
          <w:color w:val="231F20"/>
          <w:sz w:val="17"/>
        </w:rPr>
        <w:t>julio de  2015,  disponible  en: </w:t>
      </w:r>
      <w:r>
        <w:rPr>
          <w:rFonts w:ascii="Calibri" w:hAnsi="Calibri"/>
          <w:color w:val="231F20"/>
          <w:spacing w:val="14"/>
          <w:sz w:val="17"/>
        </w:rPr>
        <w:t> </w:t>
      </w:r>
      <w:r>
        <w:rPr>
          <w:rFonts w:ascii="Calibri" w:hAnsi="Calibri"/>
          <w:color w:val="231F20"/>
          <w:spacing w:val="-3"/>
          <w:sz w:val="17"/>
        </w:rPr>
        <w:t>http://dof.gob.mx/nota_detalle.php?codigo=5046978&amp;fecha=18/06/2008.</w:t>
      </w:r>
    </w:p>
    <w:p>
      <w:pPr>
        <w:pStyle w:val="BodyText"/>
        <w:rPr>
          <w:rFonts w:ascii="Calibri"/>
          <w:sz w:val="20"/>
        </w:rPr>
      </w:pPr>
    </w:p>
    <w:p>
      <w:pPr>
        <w:pStyle w:val="BodyText"/>
        <w:spacing w:before="10"/>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72984"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Arial" w:hAnsi="Arial"/>
          <w:color w:val="414042"/>
          <w:position w:val="-4"/>
          <w:sz w:val="20"/>
        </w:rPr>
        <w:t>30</w:t>
        <w:tab/>
      </w:r>
      <w:r>
        <w:rPr>
          <w:rFonts w:ascii="Calibri" w:hAnsi="Calibri"/>
          <w:color w:val="6D6E71"/>
          <w:sz w:val="16"/>
        </w:rPr>
        <w:t>Jorge Olvera</w:t>
      </w:r>
      <w:r>
        <w:rPr>
          <w:rFonts w:ascii="Calibri" w:hAnsi="Calibri"/>
          <w:color w:val="6D6E71"/>
          <w:spacing w:val="14"/>
          <w:sz w:val="16"/>
        </w:rPr>
        <w:t> </w:t>
      </w:r>
      <w:r>
        <w:rPr>
          <w:rFonts w:ascii="Calibri" w:hAnsi="Calibri"/>
          <w:color w:val="6D6E71"/>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876" w:val="right" w:leader="none"/>
        </w:tabs>
        <w:spacing w:before="58"/>
        <w:ind w:left="867" w:right="0" w:firstLine="0"/>
        <w:jc w:val="left"/>
        <w:rPr>
          <w:rFonts w:ascii="Arial" w:hAnsi="Arial"/>
          <w:sz w:val="20"/>
        </w:rPr>
      </w:pPr>
      <w:r>
        <w:rPr/>
        <w:pict>
          <v:group style="position:absolute;margin-left:383.821014pt;margin-top:-25.476145pt;width:8.65pt;height:41pt;mso-position-horizontal-relative:page;mso-position-vertical-relative:paragraph;z-index:-17296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Calibri" w:hAnsi="Calibri"/>
          <w:color w:val="6D6E71"/>
          <w:w w:val="105"/>
          <w:sz w:val="14"/>
        </w:rPr>
        <w:t>CAMBIO DE PARADIGMA JURÍDICO: EL 11-S Y LA DELINCUENCIA ORGANIZADA</w:t>
      </w:r>
      <w:r>
        <w:rPr>
          <w:rFonts w:ascii="Calibri" w:hAnsi="Calibri"/>
          <w:color w:val="6D6E71"/>
          <w:spacing w:val="11"/>
          <w:w w:val="105"/>
          <w:sz w:val="14"/>
        </w:rPr>
        <w:t> </w:t>
      </w:r>
      <w:r>
        <w:rPr>
          <w:rFonts w:ascii="Calibri" w:hAnsi="Calibri"/>
          <w:color w:val="6D6E71"/>
          <w:w w:val="105"/>
          <w:sz w:val="14"/>
        </w:rPr>
        <w:t>EN</w:t>
      </w:r>
      <w:r>
        <w:rPr>
          <w:rFonts w:ascii="Calibri" w:hAnsi="Calibri"/>
          <w:color w:val="6D6E71"/>
          <w:spacing w:val="1"/>
          <w:w w:val="105"/>
          <w:sz w:val="14"/>
        </w:rPr>
        <w:t> </w:t>
      </w:r>
      <w:r>
        <w:rPr>
          <w:rFonts w:ascii="Calibri" w:hAnsi="Calibri"/>
          <w:color w:val="6D6E71"/>
          <w:w w:val="105"/>
          <w:sz w:val="14"/>
        </w:rPr>
        <w:t>MÉXICO</w:t>
      </w:r>
      <w:r>
        <w:rPr>
          <w:rFonts w:ascii="Arial" w:hAnsi="Arial"/>
          <w:color w:val="414042"/>
          <w:w w:val="105"/>
          <w:position w:val="-3"/>
          <w:sz w:val="20"/>
        </w:rPr>
        <w:tab/>
        <w:t>31</w:t>
      </w:r>
    </w:p>
    <w:p>
      <w:pPr>
        <w:pStyle w:val="BodyText"/>
        <w:rPr>
          <w:rFonts w:ascii="Arial"/>
          <w:sz w:val="18"/>
        </w:rPr>
      </w:pPr>
    </w:p>
    <w:p>
      <w:pPr>
        <w:pStyle w:val="BodyText"/>
        <w:rPr>
          <w:rFonts w:ascii="Arial"/>
          <w:sz w:val="18"/>
        </w:rPr>
      </w:pPr>
    </w:p>
    <w:p>
      <w:pPr>
        <w:pStyle w:val="BodyText"/>
        <w:spacing w:before="4"/>
        <w:rPr>
          <w:rFonts w:ascii="Arial"/>
          <w:sz w:val="19"/>
        </w:rPr>
      </w:pPr>
    </w:p>
    <w:p>
      <w:pPr>
        <w:pStyle w:val="ListParagraph"/>
        <w:numPr>
          <w:ilvl w:val="0"/>
          <w:numId w:val="4"/>
        </w:numPr>
        <w:tabs>
          <w:tab w:pos="1855" w:val="left" w:leader="none"/>
        </w:tabs>
        <w:spacing w:line="220" w:lineRule="exact" w:before="1" w:after="0"/>
        <w:ind w:left="1854" w:right="101" w:hanging="360"/>
        <w:jc w:val="both"/>
        <w:rPr>
          <w:sz w:val="19"/>
        </w:rPr>
      </w:pPr>
      <w:r>
        <w:rPr>
          <w:color w:val="231F20"/>
          <w:w w:val="105"/>
          <w:sz w:val="19"/>
        </w:rPr>
        <w:t>Se</w:t>
      </w:r>
      <w:r>
        <w:rPr>
          <w:color w:val="231F20"/>
          <w:spacing w:val="-16"/>
          <w:w w:val="105"/>
          <w:sz w:val="19"/>
        </w:rPr>
        <w:t> </w:t>
      </w:r>
      <w:r>
        <w:rPr>
          <w:color w:val="231F20"/>
          <w:w w:val="105"/>
          <w:sz w:val="19"/>
        </w:rPr>
        <w:t>definió</w:t>
      </w:r>
      <w:r>
        <w:rPr>
          <w:color w:val="231F20"/>
          <w:spacing w:val="-16"/>
          <w:w w:val="105"/>
          <w:sz w:val="19"/>
        </w:rPr>
        <w:t> </w:t>
      </w:r>
      <w:r>
        <w:rPr>
          <w:color w:val="231F20"/>
          <w:w w:val="105"/>
          <w:sz w:val="19"/>
        </w:rPr>
        <w:t>por</w:t>
      </w:r>
      <w:r>
        <w:rPr>
          <w:color w:val="231F20"/>
          <w:spacing w:val="-16"/>
          <w:w w:val="105"/>
          <w:sz w:val="19"/>
        </w:rPr>
        <w:t> </w:t>
      </w:r>
      <w:r>
        <w:rPr>
          <w:color w:val="231F20"/>
          <w:w w:val="105"/>
          <w:sz w:val="19"/>
        </w:rPr>
        <w:t>vez</w:t>
      </w:r>
      <w:r>
        <w:rPr>
          <w:color w:val="231F20"/>
          <w:spacing w:val="-16"/>
          <w:w w:val="105"/>
          <w:sz w:val="19"/>
        </w:rPr>
        <w:t> </w:t>
      </w:r>
      <w:r>
        <w:rPr>
          <w:color w:val="231F20"/>
          <w:w w:val="105"/>
          <w:sz w:val="19"/>
        </w:rPr>
        <w:t>primera</w:t>
      </w:r>
      <w:r>
        <w:rPr>
          <w:color w:val="231F20"/>
          <w:spacing w:val="-16"/>
          <w:w w:val="105"/>
          <w:sz w:val="19"/>
        </w:rPr>
        <w:t> </w:t>
      </w:r>
      <w:r>
        <w:rPr>
          <w:color w:val="231F20"/>
          <w:w w:val="105"/>
          <w:sz w:val="19"/>
        </w:rPr>
        <w:t>en</w:t>
      </w:r>
      <w:r>
        <w:rPr>
          <w:color w:val="231F20"/>
          <w:spacing w:val="-16"/>
          <w:w w:val="105"/>
          <w:sz w:val="19"/>
        </w:rPr>
        <w:t> </w:t>
      </w:r>
      <w:r>
        <w:rPr>
          <w:color w:val="231F20"/>
          <w:w w:val="105"/>
          <w:sz w:val="19"/>
        </w:rPr>
        <w:t>la</w:t>
      </w:r>
      <w:r>
        <w:rPr>
          <w:color w:val="231F20"/>
          <w:spacing w:val="-16"/>
          <w:w w:val="105"/>
          <w:sz w:val="19"/>
        </w:rPr>
        <w:t> </w:t>
      </w:r>
      <w:r>
        <w:rPr>
          <w:color w:val="231F20"/>
          <w:w w:val="105"/>
          <w:sz w:val="19"/>
        </w:rPr>
        <w:t>Constitución</w:t>
      </w:r>
      <w:r>
        <w:rPr>
          <w:color w:val="231F20"/>
          <w:spacing w:val="-16"/>
          <w:w w:val="105"/>
          <w:sz w:val="19"/>
        </w:rPr>
        <w:t> </w:t>
      </w:r>
      <w:r>
        <w:rPr>
          <w:color w:val="231F20"/>
          <w:w w:val="105"/>
          <w:sz w:val="19"/>
        </w:rPr>
        <w:t>el</w:t>
      </w:r>
      <w:r>
        <w:rPr>
          <w:color w:val="231F20"/>
          <w:spacing w:val="-16"/>
          <w:w w:val="105"/>
          <w:sz w:val="19"/>
        </w:rPr>
        <w:t> </w:t>
      </w:r>
      <w:r>
        <w:rPr>
          <w:color w:val="231F20"/>
          <w:w w:val="105"/>
          <w:sz w:val="19"/>
        </w:rPr>
        <w:t>concepto</w:t>
      </w:r>
      <w:r>
        <w:rPr>
          <w:color w:val="231F20"/>
          <w:spacing w:val="-16"/>
          <w:w w:val="105"/>
          <w:sz w:val="19"/>
        </w:rPr>
        <w:t> </w:t>
      </w:r>
      <w:r>
        <w:rPr>
          <w:color w:val="231F20"/>
          <w:w w:val="105"/>
          <w:sz w:val="19"/>
        </w:rPr>
        <w:t>de “delincuencia</w:t>
      </w:r>
      <w:r>
        <w:rPr>
          <w:color w:val="231F20"/>
          <w:spacing w:val="-38"/>
          <w:w w:val="105"/>
          <w:sz w:val="19"/>
        </w:rPr>
        <w:t> </w:t>
      </w:r>
      <w:r>
        <w:rPr>
          <w:color w:val="231F20"/>
          <w:w w:val="105"/>
          <w:sz w:val="19"/>
        </w:rPr>
        <w:t>organizada”,</w:t>
      </w:r>
      <w:r>
        <w:rPr>
          <w:color w:val="231F20"/>
          <w:spacing w:val="-38"/>
          <w:w w:val="105"/>
          <w:sz w:val="19"/>
        </w:rPr>
        <w:t> </w:t>
      </w:r>
      <w:r>
        <w:rPr>
          <w:color w:val="231F20"/>
          <w:w w:val="105"/>
          <w:sz w:val="19"/>
        </w:rPr>
        <w:t>pero</w:t>
      </w:r>
      <w:r>
        <w:rPr>
          <w:color w:val="231F20"/>
          <w:spacing w:val="-38"/>
          <w:w w:val="105"/>
          <w:sz w:val="19"/>
        </w:rPr>
        <w:t> </w:t>
      </w:r>
      <w:r>
        <w:rPr>
          <w:color w:val="231F20"/>
          <w:w w:val="105"/>
          <w:sz w:val="19"/>
        </w:rPr>
        <w:t>resulta</w:t>
      </w:r>
      <w:r>
        <w:rPr>
          <w:color w:val="231F20"/>
          <w:spacing w:val="-38"/>
          <w:w w:val="105"/>
          <w:sz w:val="19"/>
        </w:rPr>
        <w:t> </w:t>
      </w:r>
      <w:r>
        <w:rPr>
          <w:color w:val="231F20"/>
          <w:w w:val="105"/>
          <w:sz w:val="19"/>
        </w:rPr>
        <w:t>ser</w:t>
      </w:r>
      <w:r>
        <w:rPr>
          <w:color w:val="231F20"/>
          <w:spacing w:val="-38"/>
          <w:w w:val="105"/>
          <w:sz w:val="19"/>
        </w:rPr>
        <w:t> </w:t>
      </w:r>
      <w:r>
        <w:rPr>
          <w:color w:val="231F20"/>
          <w:w w:val="105"/>
          <w:sz w:val="19"/>
        </w:rPr>
        <w:t>amplia,</w:t>
      </w:r>
      <w:r>
        <w:rPr>
          <w:color w:val="231F20"/>
          <w:spacing w:val="-38"/>
          <w:w w:val="105"/>
          <w:sz w:val="19"/>
        </w:rPr>
        <w:t> </w:t>
      </w:r>
      <w:r>
        <w:rPr>
          <w:color w:val="231F20"/>
          <w:w w:val="105"/>
          <w:sz w:val="19"/>
        </w:rPr>
        <w:t>imprecisa </w:t>
      </w:r>
      <w:r>
        <w:rPr>
          <w:color w:val="231F20"/>
          <w:spacing w:val="-9"/>
          <w:w w:val="105"/>
          <w:sz w:val="19"/>
        </w:rPr>
        <w:t>y,</w:t>
      </w:r>
      <w:r>
        <w:rPr>
          <w:color w:val="231F20"/>
          <w:spacing w:val="-29"/>
          <w:w w:val="105"/>
          <w:sz w:val="19"/>
        </w:rPr>
        <w:t> </w:t>
      </w:r>
      <w:r>
        <w:rPr>
          <w:color w:val="231F20"/>
          <w:w w:val="105"/>
          <w:sz w:val="19"/>
        </w:rPr>
        <w:t>por</w:t>
      </w:r>
      <w:r>
        <w:rPr>
          <w:color w:val="231F20"/>
          <w:spacing w:val="-29"/>
          <w:w w:val="105"/>
          <w:sz w:val="19"/>
        </w:rPr>
        <w:t> </w:t>
      </w:r>
      <w:r>
        <w:rPr>
          <w:color w:val="231F20"/>
          <w:w w:val="105"/>
          <w:sz w:val="19"/>
        </w:rPr>
        <w:t>ende,</w:t>
      </w:r>
      <w:r>
        <w:rPr>
          <w:color w:val="231F20"/>
          <w:spacing w:val="-29"/>
          <w:w w:val="105"/>
          <w:sz w:val="19"/>
        </w:rPr>
        <w:t> </w:t>
      </w:r>
      <w:r>
        <w:rPr>
          <w:color w:val="231F20"/>
          <w:w w:val="105"/>
          <w:sz w:val="19"/>
        </w:rPr>
        <w:t>peligrosa</w:t>
      </w:r>
      <w:r>
        <w:rPr>
          <w:color w:val="231F20"/>
          <w:spacing w:val="-29"/>
          <w:w w:val="105"/>
          <w:sz w:val="19"/>
        </w:rPr>
        <w:t> </w:t>
      </w:r>
      <w:r>
        <w:rPr>
          <w:color w:val="231F20"/>
          <w:w w:val="105"/>
          <w:sz w:val="19"/>
        </w:rPr>
        <w:t>para</w:t>
      </w:r>
      <w:r>
        <w:rPr>
          <w:color w:val="231F20"/>
          <w:spacing w:val="-29"/>
          <w:w w:val="105"/>
          <w:sz w:val="19"/>
        </w:rPr>
        <w:t> </w:t>
      </w:r>
      <w:r>
        <w:rPr>
          <w:color w:val="231F20"/>
          <w:w w:val="105"/>
          <w:sz w:val="19"/>
        </w:rPr>
        <w:t>las</w:t>
      </w:r>
      <w:r>
        <w:rPr>
          <w:color w:val="231F20"/>
          <w:spacing w:val="-29"/>
          <w:w w:val="105"/>
          <w:sz w:val="19"/>
        </w:rPr>
        <w:t> </w:t>
      </w:r>
      <w:r>
        <w:rPr>
          <w:color w:val="231F20"/>
          <w:w w:val="105"/>
          <w:sz w:val="19"/>
        </w:rPr>
        <w:t>libertades.</w:t>
      </w:r>
    </w:p>
    <w:p>
      <w:pPr>
        <w:pStyle w:val="BodyText"/>
        <w:spacing w:before="1"/>
        <w:rPr>
          <w:sz w:val="14"/>
        </w:rPr>
      </w:pPr>
    </w:p>
    <w:p>
      <w:pPr>
        <w:pStyle w:val="ListParagraph"/>
        <w:numPr>
          <w:ilvl w:val="0"/>
          <w:numId w:val="4"/>
        </w:numPr>
        <w:tabs>
          <w:tab w:pos="1855" w:val="left" w:leader="none"/>
        </w:tabs>
        <w:spacing w:line="220" w:lineRule="exact" w:before="0" w:after="0"/>
        <w:ind w:left="1854" w:right="101" w:hanging="360"/>
        <w:jc w:val="both"/>
        <w:rPr>
          <w:sz w:val="19"/>
        </w:rPr>
      </w:pPr>
      <w:r>
        <w:rPr>
          <w:color w:val="231F20"/>
          <w:w w:val="105"/>
          <w:sz w:val="19"/>
        </w:rPr>
        <w:t>Implica</w:t>
      </w:r>
      <w:r>
        <w:rPr>
          <w:color w:val="231F20"/>
          <w:spacing w:val="-34"/>
          <w:w w:val="105"/>
          <w:sz w:val="19"/>
        </w:rPr>
        <w:t> </w:t>
      </w:r>
      <w:r>
        <w:rPr>
          <w:color w:val="231F20"/>
          <w:w w:val="105"/>
          <w:sz w:val="19"/>
        </w:rPr>
        <w:t>la</w:t>
      </w:r>
      <w:r>
        <w:rPr>
          <w:color w:val="231F20"/>
          <w:spacing w:val="-34"/>
          <w:w w:val="105"/>
          <w:sz w:val="19"/>
        </w:rPr>
        <w:t> </w:t>
      </w:r>
      <w:r>
        <w:rPr>
          <w:color w:val="231F20"/>
          <w:w w:val="105"/>
          <w:sz w:val="19"/>
        </w:rPr>
        <w:t>creación</w:t>
      </w:r>
      <w:r>
        <w:rPr>
          <w:color w:val="231F20"/>
          <w:spacing w:val="-34"/>
          <w:w w:val="105"/>
          <w:sz w:val="19"/>
        </w:rPr>
        <w:t> </w:t>
      </w:r>
      <w:r>
        <w:rPr>
          <w:color w:val="231F20"/>
          <w:w w:val="105"/>
          <w:sz w:val="19"/>
        </w:rPr>
        <w:t>de</w:t>
      </w:r>
      <w:r>
        <w:rPr>
          <w:color w:val="231F20"/>
          <w:spacing w:val="-34"/>
          <w:w w:val="105"/>
          <w:sz w:val="19"/>
        </w:rPr>
        <w:t> </w:t>
      </w:r>
      <w:r>
        <w:rPr>
          <w:color w:val="231F20"/>
          <w:w w:val="105"/>
          <w:sz w:val="19"/>
        </w:rPr>
        <w:t>dos</w:t>
      </w:r>
      <w:r>
        <w:rPr>
          <w:color w:val="231F20"/>
          <w:spacing w:val="-34"/>
          <w:w w:val="105"/>
          <w:sz w:val="19"/>
        </w:rPr>
        <w:t> </w:t>
      </w:r>
      <w:r>
        <w:rPr>
          <w:color w:val="231F20"/>
          <w:w w:val="105"/>
          <w:sz w:val="19"/>
        </w:rPr>
        <w:t>derechos</w:t>
      </w:r>
      <w:r>
        <w:rPr>
          <w:color w:val="231F20"/>
          <w:spacing w:val="-34"/>
          <w:w w:val="105"/>
          <w:sz w:val="19"/>
        </w:rPr>
        <w:t> </w:t>
      </w:r>
      <w:r>
        <w:rPr>
          <w:color w:val="231F20"/>
          <w:w w:val="105"/>
          <w:sz w:val="19"/>
        </w:rPr>
        <w:t>penales:</w:t>
      </w:r>
      <w:r>
        <w:rPr>
          <w:color w:val="231F20"/>
          <w:spacing w:val="-34"/>
          <w:w w:val="105"/>
          <w:sz w:val="19"/>
        </w:rPr>
        <w:t> </w:t>
      </w:r>
      <w:r>
        <w:rPr>
          <w:color w:val="231F20"/>
          <w:w w:val="105"/>
          <w:sz w:val="19"/>
        </w:rPr>
        <w:t>el</w:t>
      </w:r>
      <w:r>
        <w:rPr>
          <w:color w:val="231F20"/>
          <w:spacing w:val="-34"/>
          <w:w w:val="105"/>
          <w:sz w:val="19"/>
        </w:rPr>
        <w:t> </w:t>
      </w:r>
      <w:r>
        <w:rPr>
          <w:color w:val="231F20"/>
          <w:w w:val="105"/>
          <w:sz w:val="19"/>
        </w:rPr>
        <w:t>ordinario,</w:t>
      </w:r>
      <w:r>
        <w:rPr>
          <w:color w:val="231F20"/>
          <w:spacing w:val="-34"/>
          <w:w w:val="105"/>
          <w:sz w:val="19"/>
        </w:rPr>
        <w:t> </w:t>
      </w:r>
      <w:r>
        <w:rPr>
          <w:color w:val="231F20"/>
          <w:w w:val="105"/>
          <w:sz w:val="19"/>
        </w:rPr>
        <w:t>con amplias</w:t>
      </w:r>
      <w:r>
        <w:rPr>
          <w:color w:val="231F20"/>
          <w:spacing w:val="-31"/>
          <w:w w:val="105"/>
          <w:sz w:val="19"/>
        </w:rPr>
        <w:t> </w:t>
      </w:r>
      <w:r>
        <w:rPr>
          <w:color w:val="231F20"/>
          <w:w w:val="105"/>
          <w:sz w:val="19"/>
        </w:rPr>
        <w:t>garantías,</w:t>
      </w:r>
      <w:r>
        <w:rPr>
          <w:color w:val="231F20"/>
          <w:spacing w:val="-31"/>
          <w:w w:val="105"/>
          <w:sz w:val="19"/>
        </w:rPr>
        <w:t> </w:t>
      </w:r>
      <w:r>
        <w:rPr>
          <w:color w:val="231F20"/>
          <w:w w:val="105"/>
          <w:sz w:val="19"/>
        </w:rPr>
        <w:t>y</w:t>
      </w:r>
      <w:r>
        <w:rPr>
          <w:color w:val="231F20"/>
          <w:spacing w:val="-31"/>
          <w:w w:val="105"/>
          <w:sz w:val="19"/>
        </w:rPr>
        <w:t> </w:t>
      </w:r>
      <w:r>
        <w:rPr>
          <w:color w:val="231F20"/>
          <w:w w:val="105"/>
          <w:sz w:val="19"/>
        </w:rPr>
        <w:t>otro</w:t>
      </w:r>
      <w:r>
        <w:rPr>
          <w:color w:val="231F20"/>
          <w:spacing w:val="-31"/>
          <w:w w:val="105"/>
          <w:sz w:val="19"/>
        </w:rPr>
        <w:t> </w:t>
      </w:r>
      <w:r>
        <w:rPr>
          <w:color w:val="231F20"/>
          <w:w w:val="105"/>
          <w:sz w:val="19"/>
        </w:rPr>
        <w:t>de</w:t>
      </w:r>
      <w:r>
        <w:rPr>
          <w:color w:val="231F20"/>
          <w:spacing w:val="-31"/>
          <w:w w:val="105"/>
          <w:sz w:val="19"/>
        </w:rPr>
        <w:t> </w:t>
      </w:r>
      <w:r>
        <w:rPr>
          <w:color w:val="231F20"/>
          <w:w w:val="105"/>
          <w:sz w:val="19"/>
        </w:rPr>
        <w:t>carácter</w:t>
      </w:r>
      <w:r>
        <w:rPr>
          <w:color w:val="231F20"/>
          <w:spacing w:val="-31"/>
          <w:w w:val="105"/>
          <w:sz w:val="19"/>
        </w:rPr>
        <w:t> </w:t>
      </w:r>
      <w:r>
        <w:rPr>
          <w:color w:val="231F20"/>
          <w:w w:val="105"/>
          <w:sz w:val="19"/>
        </w:rPr>
        <w:t>excepcional,</w:t>
      </w:r>
      <w:r>
        <w:rPr>
          <w:color w:val="231F20"/>
          <w:spacing w:val="-31"/>
          <w:w w:val="105"/>
          <w:sz w:val="19"/>
        </w:rPr>
        <w:t> </w:t>
      </w:r>
      <w:r>
        <w:rPr>
          <w:color w:val="231F20"/>
          <w:w w:val="105"/>
          <w:sz w:val="19"/>
        </w:rPr>
        <w:t>con</w:t>
      </w:r>
      <w:r>
        <w:rPr>
          <w:color w:val="231F20"/>
          <w:spacing w:val="-31"/>
          <w:w w:val="105"/>
          <w:sz w:val="19"/>
        </w:rPr>
        <w:t> </w:t>
      </w:r>
      <w:r>
        <w:rPr>
          <w:color w:val="231F20"/>
          <w:w w:val="105"/>
          <w:sz w:val="19"/>
        </w:rPr>
        <w:t>garan- tías reducidas o “recortadas”, cuyo origen se encuentra</w:t>
      </w:r>
      <w:r>
        <w:rPr>
          <w:color w:val="231F20"/>
          <w:spacing w:val="-16"/>
          <w:w w:val="105"/>
          <w:sz w:val="19"/>
        </w:rPr>
        <w:t> </w:t>
      </w:r>
      <w:r>
        <w:rPr>
          <w:color w:val="231F20"/>
          <w:w w:val="105"/>
          <w:sz w:val="19"/>
        </w:rPr>
        <w:t>en la</w:t>
      </w:r>
      <w:r>
        <w:rPr>
          <w:color w:val="231F20"/>
          <w:spacing w:val="-21"/>
          <w:w w:val="105"/>
          <w:sz w:val="19"/>
        </w:rPr>
        <w:t> </w:t>
      </w:r>
      <w:r>
        <w:rPr>
          <w:color w:val="231F20"/>
          <w:w w:val="105"/>
          <w:sz w:val="19"/>
        </w:rPr>
        <w:t>Ley</w:t>
      </w:r>
      <w:r>
        <w:rPr>
          <w:color w:val="231F20"/>
          <w:spacing w:val="-21"/>
          <w:w w:val="105"/>
          <w:sz w:val="19"/>
        </w:rPr>
        <w:t> </w:t>
      </w:r>
      <w:r>
        <w:rPr>
          <w:color w:val="231F20"/>
          <w:w w:val="105"/>
          <w:sz w:val="19"/>
        </w:rPr>
        <w:t>Federal</w:t>
      </w:r>
      <w:r>
        <w:rPr>
          <w:color w:val="231F20"/>
          <w:spacing w:val="-21"/>
          <w:w w:val="105"/>
          <w:sz w:val="19"/>
        </w:rPr>
        <w:t> </w:t>
      </w:r>
      <w:r>
        <w:rPr>
          <w:color w:val="231F20"/>
          <w:w w:val="105"/>
          <w:sz w:val="19"/>
        </w:rPr>
        <w:t>contra</w:t>
      </w:r>
      <w:r>
        <w:rPr>
          <w:color w:val="231F20"/>
          <w:spacing w:val="-21"/>
          <w:w w:val="105"/>
          <w:sz w:val="19"/>
        </w:rPr>
        <w:t> </w:t>
      </w:r>
      <w:r>
        <w:rPr>
          <w:color w:val="231F20"/>
          <w:w w:val="105"/>
          <w:sz w:val="19"/>
        </w:rPr>
        <w:t>la</w:t>
      </w:r>
      <w:r>
        <w:rPr>
          <w:color w:val="231F20"/>
          <w:spacing w:val="-21"/>
          <w:w w:val="105"/>
          <w:sz w:val="19"/>
        </w:rPr>
        <w:t> </w:t>
      </w:r>
      <w:r>
        <w:rPr>
          <w:color w:val="231F20"/>
          <w:w w:val="105"/>
          <w:sz w:val="19"/>
        </w:rPr>
        <w:t>Delincuencia</w:t>
      </w:r>
      <w:r>
        <w:rPr>
          <w:color w:val="231F20"/>
          <w:spacing w:val="-21"/>
          <w:w w:val="105"/>
          <w:sz w:val="19"/>
        </w:rPr>
        <w:t> </w:t>
      </w:r>
      <w:r>
        <w:rPr>
          <w:color w:val="231F20"/>
          <w:w w:val="105"/>
          <w:sz w:val="19"/>
        </w:rPr>
        <w:t>Organizada</w:t>
      </w:r>
      <w:r>
        <w:rPr>
          <w:color w:val="231F20"/>
          <w:spacing w:val="-21"/>
          <w:w w:val="105"/>
          <w:sz w:val="19"/>
        </w:rPr>
        <w:t> </w:t>
      </w:r>
      <w:r>
        <w:rPr>
          <w:color w:val="231F20"/>
          <w:w w:val="105"/>
          <w:sz w:val="19"/>
        </w:rPr>
        <w:t>de</w:t>
      </w:r>
      <w:r>
        <w:rPr>
          <w:color w:val="231F20"/>
          <w:spacing w:val="-21"/>
          <w:w w:val="105"/>
          <w:sz w:val="19"/>
        </w:rPr>
        <w:t> </w:t>
      </w:r>
      <w:r>
        <w:rPr>
          <w:color w:val="231F20"/>
          <w:w w:val="105"/>
          <w:sz w:val="19"/>
        </w:rPr>
        <w:t>1996,</w:t>
      </w:r>
      <w:r>
        <w:rPr>
          <w:color w:val="231F20"/>
          <w:spacing w:val="-21"/>
          <w:w w:val="105"/>
          <w:sz w:val="19"/>
        </w:rPr>
        <w:t> </w:t>
      </w:r>
      <w:r>
        <w:rPr>
          <w:color w:val="231F20"/>
          <w:w w:val="105"/>
          <w:sz w:val="19"/>
        </w:rPr>
        <w:t>la cual</w:t>
      </w:r>
      <w:r>
        <w:rPr>
          <w:color w:val="231F20"/>
          <w:spacing w:val="-32"/>
          <w:w w:val="105"/>
          <w:sz w:val="19"/>
        </w:rPr>
        <w:t> </w:t>
      </w:r>
      <w:r>
        <w:rPr>
          <w:color w:val="231F20"/>
          <w:w w:val="105"/>
          <w:sz w:val="19"/>
        </w:rPr>
        <w:t>abrió</w:t>
      </w:r>
      <w:r>
        <w:rPr>
          <w:color w:val="231F20"/>
          <w:spacing w:val="-32"/>
          <w:w w:val="105"/>
          <w:sz w:val="19"/>
        </w:rPr>
        <w:t> </w:t>
      </w:r>
      <w:r>
        <w:rPr>
          <w:color w:val="231F20"/>
          <w:w w:val="105"/>
          <w:sz w:val="19"/>
        </w:rPr>
        <w:t>una</w:t>
      </w:r>
      <w:r>
        <w:rPr>
          <w:color w:val="231F20"/>
          <w:spacing w:val="-32"/>
          <w:w w:val="105"/>
          <w:sz w:val="19"/>
        </w:rPr>
        <w:t> </w:t>
      </w:r>
      <w:r>
        <w:rPr>
          <w:color w:val="231F20"/>
          <w:w w:val="105"/>
          <w:sz w:val="19"/>
        </w:rPr>
        <w:t>ruta</w:t>
      </w:r>
      <w:r>
        <w:rPr>
          <w:color w:val="231F20"/>
          <w:spacing w:val="-32"/>
          <w:w w:val="105"/>
          <w:sz w:val="19"/>
        </w:rPr>
        <w:t> </w:t>
      </w:r>
      <w:r>
        <w:rPr>
          <w:color w:val="231F20"/>
          <w:w w:val="105"/>
          <w:sz w:val="19"/>
        </w:rPr>
        <w:t>“desgarantizadora”.</w:t>
      </w:r>
    </w:p>
    <w:p>
      <w:pPr>
        <w:pStyle w:val="BodyText"/>
        <w:spacing w:before="1"/>
        <w:rPr>
          <w:sz w:val="14"/>
        </w:rPr>
      </w:pPr>
    </w:p>
    <w:p>
      <w:pPr>
        <w:pStyle w:val="ListParagraph"/>
        <w:numPr>
          <w:ilvl w:val="0"/>
          <w:numId w:val="4"/>
        </w:numPr>
        <w:tabs>
          <w:tab w:pos="1855" w:val="left" w:leader="none"/>
        </w:tabs>
        <w:spacing w:line="220" w:lineRule="exact" w:before="0" w:after="0"/>
        <w:ind w:left="1854" w:right="101" w:hanging="360"/>
        <w:jc w:val="both"/>
        <w:rPr>
          <w:sz w:val="19"/>
        </w:rPr>
      </w:pPr>
      <w:r>
        <w:rPr>
          <w:color w:val="231F20"/>
          <w:w w:val="105"/>
          <w:sz w:val="19"/>
        </w:rPr>
        <w:t>Se</w:t>
      </w:r>
      <w:r>
        <w:rPr>
          <w:color w:val="231F20"/>
          <w:spacing w:val="-29"/>
          <w:w w:val="105"/>
          <w:sz w:val="19"/>
        </w:rPr>
        <w:t> </w:t>
      </w:r>
      <w:r>
        <w:rPr>
          <w:color w:val="231F20"/>
          <w:w w:val="105"/>
          <w:sz w:val="19"/>
        </w:rPr>
        <w:t>introduce</w:t>
      </w:r>
      <w:r>
        <w:rPr>
          <w:color w:val="231F20"/>
          <w:spacing w:val="-29"/>
          <w:w w:val="105"/>
          <w:sz w:val="19"/>
        </w:rPr>
        <w:t> </w:t>
      </w:r>
      <w:r>
        <w:rPr>
          <w:color w:val="231F20"/>
          <w:w w:val="105"/>
          <w:sz w:val="19"/>
        </w:rPr>
        <w:t>la</w:t>
      </w:r>
      <w:r>
        <w:rPr>
          <w:color w:val="231F20"/>
          <w:spacing w:val="-29"/>
          <w:w w:val="105"/>
          <w:sz w:val="19"/>
        </w:rPr>
        <w:t> </w:t>
      </w:r>
      <w:r>
        <w:rPr>
          <w:color w:val="231F20"/>
          <w:w w:val="105"/>
          <w:sz w:val="19"/>
        </w:rPr>
        <w:t>figura</w:t>
      </w:r>
      <w:r>
        <w:rPr>
          <w:color w:val="231F20"/>
          <w:spacing w:val="-29"/>
          <w:w w:val="105"/>
          <w:sz w:val="19"/>
        </w:rPr>
        <w:t> </w:t>
      </w:r>
      <w:r>
        <w:rPr>
          <w:color w:val="231F20"/>
          <w:w w:val="105"/>
          <w:sz w:val="19"/>
        </w:rPr>
        <w:t>del</w:t>
      </w:r>
      <w:r>
        <w:rPr>
          <w:color w:val="231F20"/>
          <w:spacing w:val="-29"/>
          <w:w w:val="105"/>
          <w:sz w:val="19"/>
        </w:rPr>
        <w:t> </w:t>
      </w:r>
      <w:r>
        <w:rPr>
          <w:color w:val="231F20"/>
          <w:w w:val="105"/>
          <w:sz w:val="19"/>
        </w:rPr>
        <w:t>arraigo</w:t>
      </w:r>
      <w:r>
        <w:rPr>
          <w:color w:val="231F20"/>
          <w:spacing w:val="-29"/>
          <w:w w:val="105"/>
          <w:sz w:val="19"/>
        </w:rPr>
        <w:t> </w:t>
      </w:r>
      <w:r>
        <w:rPr>
          <w:color w:val="231F20"/>
          <w:w w:val="105"/>
          <w:sz w:val="19"/>
        </w:rPr>
        <w:t>para</w:t>
      </w:r>
      <w:r>
        <w:rPr>
          <w:color w:val="231F20"/>
          <w:spacing w:val="-29"/>
          <w:w w:val="105"/>
          <w:sz w:val="19"/>
        </w:rPr>
        <w:t> </w:t>
      </w:r>
      <w:r>
        <w:rPr>
          <w:color w:val="231F20"/>
          <w:w w:val="105"/>
          <w:sz w:val="19"/>
        </w:rPr>
        <w:t>delitos</w:t>
      </w:r>
      <w:r>
        <w:rPr>
          <w:color w:val="231F20"/>
          <w:spacing w:val="-29"/>
          <w:w w:val="105"/>
          <w:sz w:val="19"/>
        </w:rPr>
        <w:t> </w:t>
      </w:r>
      <w:r>
        <w:rPr>
          <w:color w:val="231F20"/>
          <w:w w:val="105"/>
          <w:sz w:val="19"/>
        </w:rPr>
        <w:t>de</w:t>
      </w:r>
      <w:r>
        <w:rPr>
          <w:color w:val="231F20"/>
          <w:spacing w:val="-29"/>
          <w:w w:val="105"/>
          <w:sz w:val="19"/>
        </w:rPr>
        <w:t> </w:t>
      </w:r>
      <w:r>
        <w:rPr>
          <w:color w:val="231F20"/>
          <w:w w:val="105"/>
          <w:sz w:val="19"/>
        </w:rPr>
        <w:t>delincuencia organizada</w:t>
      </w:r>
      <w:r>
        <w:rPr>
          <w:color w:val="231F20"/>
          <w:spacing w:val="-9"/>
          <w:w w:val="105"/>
          <w:sz w:val="19"/>
        </w:rPr>
        <w:t> </w:t>
      </w:r>
      <w:r>
        <w:rPr>
          <w:color w:val="231F20"/>
          <w:w w:val="105"/>
          <w:sz w:val="19"/>
        </w:rPr>
        <w:t>hasta</w:t>
      </w:r>
      <w:r>
        <w:rPr>
          <w:color w:val="231F20"/>
          <w:spacing w:val="-9"/>
          <w:w w:val="105"/>
          <w:sz w:val="19"/>
        </w:rPr>
        <w:t> </w:t>
      </w:r>
      <w:r>
        <w:rPr>
          <w:color w:val="231F20"/>
          <w:w w:val="105"/>
          <w:sz w:val="19"/>
        </w:rPr>
        <w:t>por</w:t>
      </w:r>
      <w:r>
        <w:rPr>
          <w:color w:val="231F20"/>
          <w:spacing w:val="-9"/>
          <w:w w:val="105"/>
          <w:sz w:val="19"/>
        </w:rPr>
        <w:t> </w:t>
      </w:r>
      <w:r>
        <w:rPr>
          <w:color w:val="231F20"/>
          <w:w w:val="105"/>
          <w:sz w:val="19"/>
        </w:rPr>
        <w:t>cuarenta</w:t>
      </w:r>
      <w:r>
        <w:rPr>
          <w:color w:val="231F20"/>
          <w:spacing w:val="-9"/>
          <w:w w:val="105"/>
          <w:sz w:val="19"/>
        </w:rPr>
        <w:t> </w:t>
      </w:r>
      <w:r>
        <w:rPr>
          <w:color w:val="231F20"/>
          <w:w w:val="105"/>
          <w:sz w:val="19"/>
        </w:rPr>
        <w:t>días,</w:t>
      </w:r>
      <w:r>
        <w:rPr>
          <w:color w:val="231F20"/>
          <w:spacing w:val="-9"/>
          <w:w w:val="105"/>
          <w:sz w:val="19"/>
        </w:rPr>
        <w:t> </w:t>
      </w:r>
      <w:r>
        <w:rPr>
          <w:color w:val="231F20"/>
          <w:w w:val="105"/>
          <w:sz w:val="19"/>
        </w:rPr>
        <w:t>los</w:t>
      </w:r>
      <w:r>
        <w:rPr>
          <w:color w:val="231F20"/>
          <w:spacing w:val="-9"/>
          <w:w w:val="105"/>
          <w:sz w:val="19"/>
        </w:rPr>
        <w:t> </w:t>
      </w:r>
      <w:r>
        <w:rPr>
          <w:color w:val="231F20"/>
          <w:w w:val="105"/>
          <w:sz w:val="19"/>
        </w:rPr>
        <w:t>que</w:t>
      </w:r>
      <w:r>
        <w:rPr>
          <w:color w:val="231F20"/>
          <w:spacing w:val="-9"/>
          <w:w w:val="105"/>
          <w:sz w:val="19"/>
        </w:rPr>
        <w:t> </w:t>
      </w:r>
      <w:r>
        <w:rPr>
          <w:color w:val="231F20"/>
          <w:w w:val="105"/>
          <w:sz w:val="19"/>
        </w:rPr>
        <w:t>podrán</w:t>
      </w:r>
      <w:r>
        <w:rPr>
          <w:color w:val="231F20"/>
          <w:spacing w:val="-9"/>
          <w:w w:val="105"/>
          <w:sz w:val="19"/>
        </w:rPr>
        <w:t> </w:t>
      </w:r>
      <w:r>
        <w:rPr>
          <w:color w:val="231F20"/>
          <w:w w:val="105"/>
          <w:sz w:val="19"/>
        </w:rPr>
        <w:t>prorro- garse</w:t>
      </w:r>
      <w:r>
        <w:rPr>
          <w:color w:val="231F20"/>
          <w:spacing w:val="-9"/>
          <w:w w:val="105"/>
          <w:sz w:val="19"/>
        </w:rPr>
        <w:t> </w:t>
      </w:r>
      <w:r>
        <w:rPr>
          <w:color w:val="231F20"/>
          <w:w w:val="105"/>
          <w:sz w:val="19"/>
        </w:rPr>
        <w:t>hasta</w:t>
      </w:r>
      <w:r>
        <w:rPr>
          <w:color w:val="231F20"/>
          <w:spacing w:val="-9"/>
          <w:w w:val="105"/>
          <w:sz w:val="19"/>
        </w:rPr>
        <w:t> </w:t>
      </w:r>
      <w:r>
        <w:rPr>
          <w:color w:val="231F20"/>
          <w:w w:val="105"/>
          <w:sz w:val="19"/>
        </w:rPr>
        <w:t>ochenta.</w:t>
      </w:r>
      <w:r>
        <w:rPr>
          <w:color w:val="231F20"/>
          <w:spacing w:val="-9"/>
          <w:w w:val="105"/>
          <w:sz w:val="19"/>
        </w:rPr>
        <w:t> </w:t>
      </w:r>
      <w:r>
        <w:rPr>
          <w:color w:val="231F20"/>
          <w:w w:val="105"/>
          <w:sz w:val="19"/>
        </w:rPr>
        <w:t>El</w:t>
      </w:r>
      <w:r>
        <w:rPr>
          <w:color w:val="231F20"/>
          <w:spacing w:val="-9"/>
          <w:w w:val="105"/>
          <w:sz w:val="19"/>
        </w:rPr>
        <w:t> </w:t>
      </w:r>
      <w:r>
        <w:rPr>
          <w:color w:val="231F20"/>
          <w:w w:val="105"/>
          <w:sz w:val="19"/>
        </w:rPr>
        <w:t>arraigo</w:t>
      </w:r>
      <w:r>
        <w:rPr>
          <w:color w:val="231F20"/>
          <w:spacing w:val="-9"/>
          <w:w w:val="105"/>
          <w:sz w:val="19"/>
        </w:rPr>
        <w:t> </w:t>
      </w:r>
      <w:r>
        <w:rPr>
          <w:color w:val="231F20"/>
          <w:w w:val="105"/>
          <w:sz w:val="19"/>
        </w:rPr>
        <w:t>lo</w:t>
      </w:r>
      <w:r>
        <w:rPr>
          <w:color w:val="231F20"/>
          <w:spacing w:val="-9"/>
          <w:w w:val="105"/>
          <w:sz w:val="19"/>
        </w:rPr>
        <w:t> </w:t>
      </w:r>
      <w:r>
        <w:rPr>
          <w:color w:val="231F20"/>
          <w:w w:val="105"/>
          <w:sz w:val="19"/>
        </w:rPr>
        <w:t>decreta</w:t>
      </w:r>
      <w:r>
        <w:rPr>
          <w:color w:val="231F20"/>
          <w:spacing w:val="-9"/>
          <w:w w:val="105"/>
          <w:sz w:val="19"/>
        </w:rPr>
        <w:t> </w:t>
      </w:r>
      <w:r>
        <w:rPr>
          <w:color w:val="231F20"/>
          <w:w w:val="105"/>
          <w:sz w:val="19"/>
        </w:rPr>
        <w:t>el</w:t>
      </w:r>
      <w:r>
        <w:rPr>
          <w:color w:val="231F20"/>
          <w:spacing w:val="-9"/>
          <w:w w:val="105"/>
          <w:sz w:val="19"/>
        </w:rPr>
        <w:t> </w:t>
      </w:r>
      <w:r>
        <w:rPr>
          <w:color w:val="231F20"/>
          <w:w w:val="105"/>
          <w:sz w:val="19"/>
        </w:rPr>
        <w:t>juez</w:t>
      </w:r>
      <w:r>
        <w:rPr>
          <w:color w:val="231F20"/>
          <w:spacing w:val="-9"/>
          <w:w w:val="105"/>
          <w:sz w:val="19"/>
        </w:rPr>
        <w:t> </w:t>
      </w:r>
      <w:r>
        <w:rPr>
          <w:color w:val="231F20"/>
          <w:w w:val="105"/>
          <w:sz w:val="19"/>
        </w:rPr>
        <w:t>a</w:t>
      </w:r>
      <w:r>
        <w:rPr>
          <w:color w:val="231F20"/>
          <w:spacing w:val="-9"/>
          <w:w w:val="105"/>
          <w:sz w:val="19"/>
        </w:rPr>
        <w:t> </w:t>
      </w:r>
      <w:r>
        <w:rPr>
          <w:color w:val="231F20"/>
          <w:w w:val="105"/>
          <w:sz w:val="19"/>
        </w:rPr>
        <w:t>petición del Ministerio</w:t>
      </w:r>
      <w:r>
        <w:rPr>
          <w:color w:val="231F20"/>
          <w:spacing w:val="-33"/>
          <w:w w:val="105"/>
          <w:sz w:val="19"/>
        </w:rPr>
        <w:t> </w:t>
      </w:r>
      <w:r>
        <w:rPr>
          <w:color w:val="231F20"/>
          <w:w w:val="105"/>
          <w:sz w:val="19"/>
        </w:rPr>
        <w:t>Público.</w:t>
      </w:r>
    </w:p>
    <w:p>
      <w:pPr>
        <w:pStyle w:val="BodyText"/>
        <w:spacing w:before="1"/>
        <w:rPr>
          <w:sz w:val="14"/>
        </w:rPr>
      </w:pPr>
    </w:p>
    <w:p>
      <w:pPr>
        <w:pStyle w:val="ListParagraph"/>
        <w:numPr>
          <w:ilvl w:val="0"/>
          <w:numId w:val="4"/>
        </w:numPr>
        <w:tabs>
          <w:tab w:pos="1855" w:val="left" w:leader="none"/>
        </w:tabs>
        <w:spacing w:line="220" w:lineRule="exact" w:before="0" w:after="0"/>
        <w:ind w:left="1854" w:right="101" w:hanging="360"/>
        <w:jc w:val="both"/>
        <w:rPr>
          <w:sz w:val="19"/>
        </w:rPr>
      </w:pPr>
      <w:r>
        <w:rPr>
          <w:color w:val="231F20"/>
          <w:w w:val="105"/>
          <w:sz w:val="19"/>
        </w:rPr>
        <w:t>Si</w:t>
      </w:r>
      <w:r>
        <w:rPr>
          <w:color w:val="231F20"/>
          <w:spacing w:val="-18"/>
          <w:w w:val="105"/>
          <w:sz w:val="19"/>
        </w:rPr>
        <w:t> </w:t>
      </w:r>
      <w:r>
        <w:rPr>
          <w:color w:val="231F20"/>
          <w:w w:val="105"/>
          <w:sz w:val="19"/>
        </w:rPr>
        <w:t>alguien</w:t>
      </w:r>
      <w:r>
        <w:rPr>
          <w:color w:val="231F20"/>
          <w:spacing w:val="-18"/>
          <w:w w:val="105"/>
          <w:sz w:val="19"/>
        </w:rPr>
        <w:t> </w:t>
      </w:r>
      <w:r>
        <w:rPr>
          <w:color w:val="231F20"/>
          <w:w w:val="105"/>
          <w:sz w:val="19"/>
        </w:rPr>
        <w:t>es</w:t>
      </w:r>
      <w:r>
        <w:rPr>
          <w:color w:val="231F20"/>
          <w:spacing w:val="-18"/>
          <w:w w:val="105"/>
          <w:sz w:val="19"/>
        </w:rPr>
        <w:t> </w:t>
      </w:r>
      <w:r>
        <w:rPr>
          <w:color w:val="231F20"/>
          <w:w w:val="105"/>
          <w:sz w:val="19"/>
        </w:rPr>
        <w:t>inculpado</w:t>
      </w:r>
      <w:r>
        <w:rPr>
          <w:color w:val="231F20"/>
          <w:spacing w:val="-18"/>
          <w:w w:val="105"/>
          <w:sz w:val="19"/>
        </w:rPr>
        <w:t> </w:t>
      </w:r>
      <w:r>
        <w:rPr>
          <w:color w:val="231F20"/>
          <w:w w:val="105"/>
          <w:sz w:val="19"/>
        </w:rPr>
        <w:t>por</w:t>
      </w:r>
      <w:r>
        <w:rPr>
          <w:color w:val="231F20"/>
          <w:spacing w:val="-18"/>
          <w:w w:val="105"/>
          <w:sz w:val="19"/>
        </w:rPr>
        <w:t> </w:t>
      </w:r>
      <w:r>
        <w:rPr>
          <w:color w:val="231F20"/>
          <w:w w:val="105"/>
          <w:sz w:val="19"/>
        </w:rPr>
        <w:t>delincuencia</w:t>
      </w:r>
      <w:r>
        <w:rPr>
          <w:color w:val="231F20"/>
          <w:spacing w:val="-18"/>
          <w:w w:val="105"/>
          <w:sz w:val="19"/>
        </w:rPr>
        <w:t> </w:t>
      </w:r>
      <w:r>
        <w:rPr>
          <w:color w:val="231F20"/>
          <w:w w:val="105"/>
          <w:sz w:val="19"/>
        </w:rPr>
        <w:t>organizada</w:t>
      </w:r>
      <w:r>
        <w:rPr>
          <w:color w:val="231F20"/>
          <w:spacing w:val="-18"/>
          <w:w w:val="105"/>
          <w:sz w:val="19"/>
        </w:rPr>
        <w:t> </w:t>
      </w:r>
      <w:r>
        <w:rPr>
          <w:color w:val="231F20"/>
          <w:w w:val="105"/>
          <w:sz w:val="19"/>
        </w:rPr>
        <w:t>y</w:t>
      </w:r>
      <w:r>
        <w:rPr>
          <w:color w:val="231F20"/>
          <w:spacing w:val="-18"/>
          <w:w w:val="105"/>
          <w:sz w:val="19"/>
        </w:rPr>
        <w:t> </w:t>
      </w:r>
      <w:r>
        <w:rPr>
          <w:color w:val="231F20"/>
          <w:w w:val="105"/>
          <w:sz w:val="19"/>
        </w:rPr>
        <w:t>evade la justicia después de la emisión del auto de vinculación a proceso,</w:t>
      </w:r>
      <w:r>
        <w:rPr>
          <w:color w:val="231F20"/>
          <w:spacing w:val="-15"/>
          <w:w w:val="105"/>
          <w:sz w:val="19"/>
        </w:rPr>
        <w:t> </w:t>
      </w:r>
      <w:r>
        <w:rPr>
          <w:color w:val="231F20"/>
          <w:w w:val="105"/>
          <w:sz w:val="19"/>
        </w:rPr>
        <w:t>o</w:t>
      </w:r>
      <w:r>
        <w:rPr>
          <w:color w:val="231F20"/>
          <w:spacing w:val="-15"/>
          <w:w w:val="105"/>
          <w:sz w:val="19"/>
        </w:rPr>
        <w:t> </w:t>
      </w:r>
      <w:r>
        <w:rPr>
          <w:color w:val="231F20"/>
          <w:w w:val="105"/>
          <w:sz w:val="19"/>
        </w:rPr>
        <w:t>es</w:t>
      </w:r>
      <w:r>
        <w:rPr>
          <w:color w:val="231F20"/>
          <w:spacing w:val="-15"/>
          <w:w w:val="105"/>
          <w:sz w:val="19"/>
        </w:rPr>
        <w:t> </w:t>
      </w:r>
      <w:r>
        <w:rPr>
          <w:color w:val="231F20"/>
          <w:w w:val="105"/>
          <w:sz w:val="19"/>
        </w:rPr>
        <w:t>puesto</w:t>
      </w:r>
      <w:r>
        <w:rPr>
          <w:color w:val="231F20"/>
          <w:spacing w:val="-15"/>
          <w:w w:val="105"/>
          <w:sz w:val="19"/>
        </w:rPr>
        <w:t> </w:t>
      </w:r>
      <w:r>
        <w:rPr>
          <w:color w:val="231F20"/>
          <w:w w:val="105"/>
          <w:sz w:val="19"/>
        </w:rPr>
        <w:t>a</w:t>
      </w:r>
      <w:r>
        <w:rPr>
          <w:color w:val="231F20"/>
          <w:spacing w:val="-15"/>
          <w:w w:val="105"/>
          <w:sz w:val="19"/>
        </w:rPr>
        <w:t> </w:t>
      </w:r>
      <w:r>
        <w:rPr>
          <w:color w:val="231F20"/>
          <w:w w:val="105"/>
          <w:sz w:val="19"/>
        </w:rPr>
        <w:t>disposición</w:t>
      </w:r>
      <w:r>
        <w:rPr>
          <w:color w:val="231F20"/>
          <w:spacing w:val="-15"/>
          <w:w w:val="105"/>
          <w:sz w:val="19"/>
        </w:rPr>
        <w:t> </w:t>
      </w:r>
      <w:r>
        <w:rPr>
          <w:color w:val="231F20"/>
          <w:w w:val="105"/>
          <w:sz w:val="19"/>
        </w:rPr>
        <w:t>de</w:t>
      </w:r>
      <w:r>
        <w:rPr>
          <w:color w:val="231F20"/>
          <w:spacing w:val="-15"/>
          <w:w w:val="105"/>
          <w:sz w:val="19"/>
        </w:rPr>
        <w:t> </w:t>
      </w:r>
      <w:r>
        <w:rPr>
          <w:color w:val="231F20"/>
          <w:w w:val="105"/>
          <w:sz w:val="19"/>
        </w:rPr>
        <w:t>otro</w:t>
      </w:r>
      <w:r>
        <w:rPr>
          <w:color w:val="231F20"/>
          <w:spacing w:val="-15"/>
          <w:w w:val="105"/>
          <w:sz w:val="19"/>
        </w:rPr>
        <w:t> </w:t>
      </w:r>
      <w:r>
        <w:rPr>
          <w:color w:val="231F20"/>
          <w:w w:val="105"/>
          <w:sz w:val="19"/>
        </w:rPr>
        <w:t>juez</w:t>
      </w:r>
      <w:r>
        <w:rPr>
          <w:color w:val="231F20"/>
          <w:spacing w:val="-15"/>
          <w:w w:val="105"/>
          <w:sz w:val="19"/>
        </w:rPr>
        <w:t> </w:t>
      </w:r>
      <w:r>
        <w:rPr>
          <w:color w:val="231F20"/>
          <w:w w:val="105"/>
          <w:sz w:val="19"/>
        </w:rPr>
        <w:t>que</w:t>
      </w:r>
      <w:r>
        <w:rPr>
          <w:color w:val="231F20"/>
          <w:spacing w:val="-15"/>
          <w:w w:val="105"/>
          <w:sz w:val="19"/>
        </w:rPr>
        <w:t> </w:t>
      </w:r>
      <w:r>
        <w:rPr>
          <w:color w:val="231F20"/>
          <w:w w:val="105"/>
          <w:sz w:val="19"/>
        </w:rPr>
        <w:t>lo</w:t>
      </w:r>
      <w:r>
        <w:rPr>
          <w:color w:val="231F20"/>
          <w:spacing w:val="-15"/>
          <w:w w:val="105"/>
          <w:sz w:val="19"/>
        </w:rPr>
        <w:t> </w:t>
      </w:r>
      <w:r>
        <w:rPr>
          <w:color w:val="231F20"/>
          <w:w w:val="105"/>
          <w:sz w:val="19"/>
        </w:rPr>
        <w:t>recla- ma</w:t>
      </w:r>
      <w:r>
        <w:rPr>
          <w:color w:val="231F20"/>
          <w:spacing w:val="-27"/>
          <w:w w:val="105"/>
          <w:sz w:val="19"/>
        </w:rPr>
        <w:t> </w:t>
      </w:r>
      <w:r>
        <w:rPr>
          <w:color w:val="231F20"/>
          <w:w w:val="105"/>
          <w:sz w:val="19"/>
        </w:rPr>
        <w:t>en</w:t>
      </w:r>
      <w:r>
        <w:rPr>
          <w:color w:val="231F20"/>
          <w:spacing w:val="-27"/>
          <w:w w:val="105"/>
          <w:sz w:val="19"/>
        </w:rPr>
        <w:t> </w:t>
      </w:r>
      <w:r>
        <w:rPr>
          <w:color w:val="231F20"/>
          <w:w w:val="105"/>
          <w:sz w:val="19"/>
        </w:rPr>
        <w:t>el</w:t>
      </w:r>
      <w:r>
        <w:rPr>
          <w:color w:val="231F20"/>
          <w:spacing w:val="-27"/>
          <w:w w:val="105"/>
          <w:sz w:val="19"/>
        </w:rPr>
        <w:t> </w:t>
      </w:r>
      <w:r>
        <w:rPr>
          <w:color w:val="231F20"/>
          <w:w w:val="105"/>
          <w:sz w:val="19"/>
        </w:rPr>
        <w:t>extranjero,</w:t>
      </w:r>
      <w:r>
        <w:rPr>
          <w:color w:val="231F20"/>
          <w:spacing w:val="-27"/>
          <w:w w:val="105"/>
          <w:sz w:val="19"/>
        </w:rPr>
        <w:t> </w:t>
      </w:r>
      <w:r>
        <w:rPr>
          <w:color w:val="231F20"/>
          <w:w w:val="105"/>
          <w:sz w:val="19"/>
        </w:rPr>
        <w:t>se</w:t>
      </w:r>
      <w:r>
        <w:rPr>
          <w:color w:val="231F20"/>
          <w:spacing w:val="-27"/>
          <w:w w:val="105"/>
          <w:sz w:val="19"/>
        </w:rPr>
        <w:t> </w:t>
      </w:r>
      <w:r>
        <w:rPr>
          <w:color w:val="231F20"/>
          <w:w w:val="105"/>
          <w:sz w:val="19"/>
        </w:rPr>
        <w:t>suspende</w:t>
      </w:r>
      <w:r>
        <w:rPr>
          <w:color w:val="231F20"/>
          <w:spacing w:val="-27"/>
          <w:w w:val="105"/>
          <w:sz w:val="19"/>
        </w:rPr>
        <w:t> </w:t>
      </w:r>
      <w:r>
        <w:rPr>
          <w:color w:val="231F20"/>
          <w:w w:val="105"/>
          <w:sz w:val="19"/>
        </w:rPr>
        <w:t>el</w:t>
      </w:r>
      <w:r>
        <w:rPr>
          <w:color w:val="231F20"/>
          <w:spacing w:val="-27"/>
          <w:w w:val="105"/>
          <w:sz w:val="19"/>
        </w:rPr>
        <w:t> </w:t>
      </w:r>
      <w:r>
        <w:rPr>
          <w:color w:val="231F20"/>
          <w:w w:val="105"/>
          <w:sz w:val="19"/>
        </w:rPr>
        <w:t>proceso</w:t>
      </w:r>
      <w:r>
        <w:rPr>
          <w:color w:val="231F20"/>
          <w:spacing w:val="-27"/>
          <w:w w:val="105"/>
          <w:sz w:val="19"/>
        </w:rPr>
        <w:t> </w:t>
      </w:r>
      <w:r>
        <w:rPr>
          <w:color w:val="231F20"/>
          <w:w w:val="105"/>
          <w:sz w:val="19"/>
        </w:rPr>
        <w:t>y</w:t>
      </w:r>
      <w:r>
        <w:rPr>
          <w:color w:val="231F20"/>
          <w:spacing w:val="-27"/>
          <w:w w:val="105"/>
          <w:sz w:val="19"/>
        </w:rPr>
        <w:t> </w:t>
      </w:r>
      <w:r>
        <w:rPr>
          <w:color w:val="231F20"/>
          <w:w w:val="105"/>
          <w:sz w:val="19"/>
        </w:rPr>
        <w:t>los</w:t>
      </w:r>
      <w:r>
        <w:rPr>
          <w:color w:val="231F20"/>
          <w:spacing w:val="-27"/>
          <w:w w:val="105"/>
          <w:sz w:val="19"/>
        </w:rPr>
        <w:t> </w:t>
      </w:r>
      <w:r>
        <w:rPr>
          <w:color w:val="231F20"/>
          <w:w w:val="105"/>
          <w:sz w:val="19"/>
        </w:rPr>
        <w:t>plazos</w:t>
      </w:r>
      <w:r>
        <w:rPr>
          <w:color w:val="231F20"/>
          <w:spacing w:val="-27"/>
          <w:w w:val="105"/>
          <w:sz w:val="19"/>
        </w:rPr>
        <w:t> </w:t>
      </w:r>
      <w:r>
        <w:rPr>
          <w:color w:val="231F20"/>
          <w:w w:val="105"/>
          <w:sz w:val="19"/>
        </w:rPr>
        <w:t>para la</w:t>
      </w:r>
      <w:r>
        <w:rPr>
          <w:color w:val="231F20"/>
          <w:spacing w:val="-23"/>
          <w:w w:val="105"/>
          <w:sz w:val="19"/>
        </w:rPr>
        <w:t> </w:t>
      </w:r>
      <w:r>
        <w:rPr>
          <w:color w:val="231F20"/>
          <w:w w:val="105"/>
          <w:sz w:val="19"/>
        </w:rPr>
        <w:t>prescripción</w:t>
      </w:r>
      <w:r>
        <w:rPr>
          <w:color w:val="231F20"/>
          <w:spacing w:val="-23"/>
          <w:w w:val="105"/>
          <w:sz w:val="19"/>
        </w:rPr>
        <w:t> </w:t>
      </w:r>
      <w:r>
        <w:rPr>
          <w:color w:val="231F20"/>
          <w:w w:val="105"/>
          <w:sz w:val="19"/>
        </w:rPr>
        <w:t>de</w:t>
      </w:r>
      <w:r>
        <w:rPr>
          <w:color w:val="231F20"/>
          <w:spacing w:val="-23"/>
          <w:w w:val="105"/>
          <w:sz w:val="19"/>
        </w:rPr>
        <w:t> </w:t>
      </w:r>
      <w:r>
        <w:rPr>
          <w:color w:val="231F20"/>
          <w:w w:val="105"/>
          <w:sz w:val="19"/>
        </w:rPr>
        <w:t>la</w:t>
      </w:r>
      <w:r>
        <w:rPr>
          <w:color w:val="231F20"/>
          <w:spacing w:val="-23"/>
          <w:w w:val="105"/>
          <w:sz w:val="19"/>
        </w:rPr>
        <w:t> </w:t>
      </w:r>
      <w:r>
        <w:rPr>
          <w:color w:val="231F20"/>
          <w:w w:val="105"/>
          <w:sz w:val="19"/>
        </w:rPr>
        <w:t>acción</w:t>
      </w:r>
      <w:r>
        <w:rPr>
          <w:color w:val="231F20"/>
          <w:spacing w:val="-23"/>
          <w:w w:val="105"/>
          <w:sz w:val="19"/>
        </w:rPr>
        <w:t> </w:t>
      </w:r>
      <w:r>
        <w:rPr>
          <w:color w:val="231F20"/>
          <w:w w:val="105"/>
          <w:sz w:val="19"/>
        </w:rPr>
        <w:t>penal.</w:t>
      </w:r>
    </w:p>
    <w:p>
      <w:pPr>
        <w:pStyle w:val="BodyText"/>
        <w:spacing w:before="1"/>
        <w:rPr>
          <w:sz w:val="14"/>
        </w:rPr>
      </w:pPr>
    </w:p>
    <w:p>
      <w:pPr>
        <w:pStyle w:val="ListParagraph"/>
        <w:numPr>
          <w:ilvl w:val="0"/>
          <w:numId w:val="4"/>
        </w:numPr>
        <w:tabs>
          <w:tab w:pos="1855" w:val="left" w:leader="none"/>
        </w:tabs>
        <w:spacing w:line="220" w:lineRule="exact" w:before="0" w:after="0"/>
        <w:ind w:left="1854" w:right="101" w:hanging="360"/>
        <w:jc w:val="both"/>
        <w:rPr>
          <w:sz w:val="19"/>
        </w:rPr>
      </w:pPr>
      <w:r>
        <w:rPr>
          <w:color w:val="231F20"/>
          <w:sz w:val="19"/>
        </w:rPr>
        <w:t>En caso de delincuencia organizada el juez podrá autorizar que se mantenga en reserva el nombre y datos del</w:t>
      </w:r>
      <w:r>
        <w:rPr>
          <w:color w:val="231F20"/>
          <w:spacing w:val="-16"/>
          <w:sz w:val="19"/>
        </w:rPr>
        <w:t> </w:t>
      </w:r>
      <w:r>
        <w:rPr>
          <w:color w:val="231F20"/>
          <w:sz w:val="19"/>
        </w:rPr>
        <w:t>acusador, así también se dan beneficios a favor del inculpado, procesa- do o sentenciado que preste ayuda eficaz en la investigación y persecución de ese tipo de</w:t>
      </w:r>
      <w:r>
        <w:rPr>
          <w:color w:val="231F20"/>
          <w:spacing w:val="47"/>
          <w:sz w:val="19"/>
        </w:rPr>
        <w:t> </w:t>
      </w:r>
      <w:r>
        <w:rPr>
          <w:color w:val="231F20"/>
          <w:sz w:val="19"/>
        </w:rPr>
        <w:t>delitos.</w:t>
      </w:r>
    </w:p>
    <w:p>
      <w:pPr>
        <w:pStyle w:val="BodyText"/>
        <w:spacing w:before="1"/>
        <w:rPr>
          <w:sz w:val="14"/>
        </w:rPr>
      </w:pPr>
    </w:p>
    <w:p>
      <w:pPr>
        <w:pStyle w:val="ListParagraph"/>
        <w:numPr>
          <w:ilvl w:val="0"/>
          <w:numId w:val="4"/>
        </w:numPr>
        <w:tabs>
          <w:tab w:pos="1855" w:val="left" w:leader="none"/>
        </w:tabs>
        <w:spacing w:line="220" w:lineRule="exact" w:before="0" w:after="0"/>
        <w:ind w:left="1854" w:right="101" w:hanging="360"/>
        <w:jc w:val="both"/>
        <w:rPr>
          <w:sz w:val="19"/>
        </w:rPr>
      </w:pPr>
      <w:r>
        <w:rPr>
          <w:color w:val="231F20"/>
          <w:w w:val="105"/>
          <w:sz w:val="19"/>
        </w:rPr>
        <w:t>Las</w:t>
      </w:r>
      <w:r>
        <w:rPr>
          <w:color w:val="231F20"/>
          <w:spacing w:val="-6"/>
          <w:w w:val="105"/>
          <w:sz w:val="19"/>
        </w:rPr>
        <w:t> </w:t>
      </w:r>
      <w:r>
        <w:rPr>
          <w:color w:val="231F20"/>
          <w:w w:val="105"/>
          <w:sz w:val="19"/>
        </w:rPr>
        <w:t>actuaciones</w:t>
      </w:r>
      <w:r>
        <w:rPr>
          <w:color w:val="231F20"/>
          <w:spacing w:val="-6"/>
          <w:w w:val="105"/>
          <w:sz w:val="19"/>
        </w:rPr>
        <w:t> </w:t>
      </w:r>
      <w:r>
        <w:rPr>
          <w:color w:val="231F20"/>
          <w:w w:val="105"/>
          <w:sz w:val="19"/>
        </w:rPr>
        <w:t>en</w:t>
      </w:r>
      <w:r>
        <w:rPr>
          <w:color w:val="231F20"/>
          <w:spacing w:val="-6"/>
          <w:w w:val="105"/>
          <w:sz w:val="19"/>
        </w:rPr>
        <w:t> </w:t>
      </w:r>
      <w:r>
        <w:rPr>
          <w:color w:val="231F20"/>
          <w:w w:val="105"/>
          <w:sz w:val="19"/>
        </w:rPr>
        <w:t>la</w:t>
      </w:r>
      <w:r>
        <w:rPr>
          <w:color w:val="231F20"/>
          <w:spacing w:val="-6"/>
          <w:w w:val="105"/>
          <w:sz w:val="19"/>
        </w:rPr>
        <w:t> </w:t>
      </w:r>
      <w:r>
        <w:rPr>
          <w:color w:val="231F20"/>
          <w:w w:val="105"/>
          <w:sz w:val="19"/>
        </w:rPr>
        <w:t>fase</w:t>
      </w:r>
      <w:r>
        <w:rPr>
          <w:color w:val="231F20"/>
          <w:spacing w:val="-6"/>
          <w:w w:val="105"/>
          <w:sz w:val="19"/>
        </w:rPr>
        <w:t> </w:t>
      </w:r>
      <w:r>
        <w:rPr>
          <w:color w:val="231F20"/>
          <w:w w:val="105"/>
          <w:sz w:val="19"/>
        </w:rPr>
        <w:t>de</w:t>
      </w:r>
      <w:r>
        <w:rPr>
          <w:color w:val="231F20"/>
          <w:spacing w:val="-6"/>
          <w:w w:val="105"/>
          <w:sz w:val="19"/>
        </w:rPr>
        <w:t> </w:t>
      </w:r>
      <w:r>
        <w:rPr>
          <w:color w:val="231F20"/>
          <w:w w:val="105"/>
          <w:sz w:val="19"/>
        </w:rPr>
        <w:t>investigación</w:t>
      </w:r>
      <w:r>
        <w:rPr>
          <w:color w:val="231F20"/>
          <w:spacing w:val="-6"/>
          <w:w w:val="105"/>
          <w:sz w:val="19"/>
        </w:rPr>
        <w:t> </w:t>
      </w:r>
      <w:r>
        <w:rPr>
          <w:color w:val="231F20"/>
          <w:w w:val="105"/>
          <w:sz w:val="19"/>
        </w:rPr>
        <w:t>podrán</w:t>
      </w:r>
      <w:r>
        <w:rPr>
          <w:color w:val="231F20"/>
          <w:spacing w:val="-6"/>
          <w:w w:val="105"/>
          <w:sz w:val="19"/>
        </w:rPr>
        <w:t> </w:t>
      </w:r>
      <w:r>
        <w:rPr>
          <w:color w:val="231F20"/>
          <w:w w:val="105"/>
          <w:sz w:val="19"/>
        </w:rPr>
        <w:t>tener</w:t>
      </w:r>
      <w:r>
        <w:rPr>
          <w:color w:val="231F20"/>
          <w:spacing w:val="-6"/>
          <w:w w:val="105"/>
          <w:sz w:val="19"/>
        </w:rPr>
        <w:t> </w:t>
      </w:r>
      <w:r>
        <w:rPr>
          <w:color w:val="231F20"/>
          <w:w w:val="105"/>
          <w:sz w:val="19"/>
        </w:rPr>
        <w:t>el valor</w:t>
      </w:r>
      <w:r>
        <w:rPr>
          <w:color w:val="231F20"/>
          <w:spacing w:val="-28"/>
          <w:w w:val="105"/>
          <w:sz w:val="19"/>
        </w:rPr>
        <w:t> </w:t>
      </w:r>
      <w:r>
        <w:rPr>
          <w:color w:val="231F20"/>
          <w:w w:val="105"/>
          <w:sz w:val="19"/>
        </w:rPr>
        <w:t>probatorio,</w:t>
      </w:r>
      <w:r>
        <w:rPr>
          <w:color w:val="231F20"/>
          <w:spacing w:val="-28"/>
          <w:w w:val="105"/>
          <w:sz w:val="19"/>
        </w:rPr>
        <w:t> </w:t>
      </w:r>
      <w:r>
        <w:rPr>
          <w:color w:val="231F20"/>
          <w:w w:val="105"/>
          <w:sz w:val="19"/>
        </w:rPr>
        <w:t>cuando</w:t>
      </w:r>
      <w:r>
        <w:rPr>
          <w:color w:val="231F20"/>
          <w:spacing w:val="-28"/>
          <w:w w:val="105"/>
          <w:sz w:val="19"/>
        </w:rPr>
        <w:t> </w:t>
      </w:r>
      <w:r>
        <w:rPr>
          <w:color w:val="231F20"/>
          <w:w w:val="105"/>
          <w:sz w:val="19"/>
        </w:rPr>
        <w:t>no</w:t>
      </w:r>
      <w:r>
        <w:rPr>
          <w:color w:val="231F20"/>
          <w:spacing w:val="-28"/>
          <w:w w:val="105"/>
          <w:sz w:val="19"/>
        </w:rPr>
        <w:t> </w:t>
      </w:r>
      <w:r>
        <w:rPr>
          <w:color w:val="231F20"/>
          <w:w w:val="105"/>
          <w:sz w:val="19"/>
        </w:rPr>
        <w:t>se</w:t>
      </w:r>
      <w:r>
        <w:rPr>
          <w:color w:val="231F20"/>
          <w:spacing w:val="-28"/>
          <w:w w:val="105"/>
          <w:sz w:val="19"/>
        </w:rPr>
        <w:t> </w:t>
      </w:r>
      <w:r>
        <w:rPr>
          <w:color w:val="231F20"/>
          <w:w w:val="105"/>
          <w:sz w:val="19"/>
        </w:rPr>
        <w:t>puedan</w:t>
      </w:r>
      <w:r>
        <w:rPr>
          <w:color w:val="231F20"/>
          <w:spacing w:val="-28"/>
          <w:w w:val="105"/>
          <w:sz w:val="19"/>
        </w:rPr>
        <w:t> </w:t>
      </w:r>
      <w:r>
        <w:rPr>
          <w:color w:val="231F20"/>
          <w:w w:val="105"/>
          <w:sz w:val="19"/>
        </w:rPr>
        <w:t>reproducir</w:t>
      </w:r>
      <w:r>
        <w:rPr>
          <w:color w:val="231F20"/>
          <w:spacing w:val="-28"/>
          <w:w w:val="105"/>
          <w:sz w:val="19"/>
        </w:rPr>
        <w:t> </w:t>
      </w:r>
      <w:r>
        <w:rPr>
          <w:color w:val="231F20"/>
          <w:w w:val="105"/>
          <w:sz w:val="19"/>
        </w:rPr>
        <w:t>en</w:t>
      </w:r>
      <w:r>
        <w:rPr>
          <w:color w:val="231F20"/>
          <w:spacing w:val="-28"/>
          <w:w w:val="105"/>
          <w:sz w:val="19"/>
        </w:rPr>
        <w:t> </w:t>
      </w:r>
      <w:r>
        <w:rPr>
          <w:color w:val="231F20"/>
          <w:w w:val="105"/>
          <w:sz w:val="19"/>
        </w:rPr>
        <w:t>el</w:t>
      </w:r>
      <w:r>
        <w:rPr>
          <w:color w:val="231F20"/>
          <w:spacing w:val="-28"/>
          <w:w w:val="105"/>
          <w:sz w:val="19"/>
        </w:rPr>
        <w:t> </w:t>
      </w:r>
      <w:r>
        <w:rPr>
          <w:color w:val="231F20"/>
          <w:w w:val="105"/>
          <w:sz w:val="19"/>
        </w:rPr>
        <w:t>juicio o</w:t>
      </w:r>
      <w:r>
        <w:rPr>
          <w:color w:val="231F20"/>
          <w:spacing w:val="-27"/>
          <w:w w:val="105"/>
          <w:sz w:val="19"/>
        </w:rPr>
        <w:t> </w:t>
      </w:r>
      <w:r>
        <w:rPr>
          <w:color w:val="231F20"/>
          <w:w w:val="105"/>
          <w:sz w:val="19"/>
        </w:rPr>
        <w:t>existan</w:t>
      </w:r>
      <w:r>
        <w:rPr>
          <w:color w:val="231F20"/>
          <w:spacing w:val="-27"/>
          <w:w w:val="105"/>
          <w:sz w:val="19"/>
        </w:rPr>
        <w:t> </w:t>
      </w:r>
      <w:r>
        <w:rPr>
          <w:color w:val="231F20"/>
          <w:w w:val="105"/>
          <w:sz w:val="19"/>
        </w:rPr>
        <w:t>riesgos</w:t>
      </w:r>
      <w:r>
        <w:rPr>
          <w:color w:val="231F20"/>
          <w:spacing w:val="-27"/>
          <w:w w:val="105"/>
          <w:sz w:val="19"/>
        </w:rPr>
        <w:t> </w:t>
      </w:r>
      <w:r>
        <w:rPr>
          <w:color w:val="231F20"/>
          <w:w w:val="105"/>
          <w:sz w:val="19"/>
        </w:rPr>
        <w:t>para</w:t>
      </w:r>
      <w:r>
        <w:rPr>
          <w:color w:val="231F20"/>
          <w:spacing w:val="-27"/>
          <w:w w:val="105"/>
          <w:sz w:val="19"/>
        </w:rPr>
        <w:t> </w:t>
      </w:r>
      <w:r>
        <w:rPr>
          <w:color w:val="231F20"/>
          <w:w w:val="105"/>
          <w:sz w:val="19"/>
        </w:rPr>
        <w:t>los</w:t>
      </w:r>
      <w:r>
        <w:rPr>
          <w:color w:val="231F20"/>
          <w:spacing w:val="-27"/>
          <w:w w:val="105"/>
          <w:sz w:val="19"/>
        </w:rPr>
        <w:t> </w:t>
      </w:r>
      <w:r>
        <w:rPr>
          <w:color w:val="231F20"/>
          <w:w w:val="105"/>
          <w:sz w:val="19"/>
        </w:rPr>
        <w:t>testigos</w:t>
      </w:r>
      <w:r>
        <w:rPr>
          <w:color w:val="231F20"/>
          <w:spacing w:val="-27"/>
          <w:w w:val="105"/>
          <w:sz w:val="19"/>
        </w:rPr>
        <w:t> </w:t>
      </w:r>
      <w:r>
        <w:rPr>
          <w:color w:val="231F20"/>
          <w:w w:val="105"/>
          <w:sz w:val="19"/>
        </w:rPr>
        <w:t>o</w:t>
      </w:r>
      <w:r>
        <w:rPr>
          <w:color w:val="231F20"/>
          <w:spacing w:val="-27"/>
          <w:w w:val="105"/>
          <w:sz w:val="19"/>
        </w:rPr>
        <w:t> </w:t>
      </w:r>
      <w:r>
        <w:rPr>
          <w:color w:val="231F20"/>
          <w:w w:val="105"/>
          <w:sz w:val="19"/>
        </w:rPr>
        <w:t>las</w:t>
      </w:r>
      <w:r>
        <w:rPr>
          <w:color w:val="231F20"/>
          <w:spacing w:val="-27"/>
          <w:w w:val="105"/>
          <w:sz w:val="19"/>
        </w:rPr>
        <w:t> </w:t>
      </w:r>
      <w:r>
        <w:rPr>
          <w:color w:val="231F20"/>
          <w:w w:val="105"/>
          <w:sz w:val="19"/>
        </w:rPr>
        <w:t>víctimas.</w:t>
      </w:r>
      <w:r>
        <w:rPr>
          <w:color w:val="231F20"/>
          <w:spacing w:val="-27"/>
          <w:w w:val="105"/>
          <w:sz w:val="19"/>
        </w:rPr>
        <w:t> </w:t>
      </w:r>
      <w:r>
        <w:rPr>
          <w:color w:val="231F20"/>
          <w:w w:val="105"/>
          <w:sz w:val="19"/>
        </w:rPr>
        <w:t>El</w:t>
      </w:r>
      <w:r>
        <w:rPr>
          <w:color w:val="231F20"/>
          <w:spacing w:val="-27"/>
          <w:w w:val="105"/>
          <w:sz w:val="19"/>
        </w:rPr>
        <w:t> </w:t>
      </w:r>
      <w:r>
        <w:rPr>
          <w:color w:val="231F20"/>
          <w:w w:val="105"/>
          <w:sz w:val="19"/>
        </w:rPr>
        <w:t>inculpado las</w:t>
      </w:r>
      <w:r>
        <w:rPr>
          <w:color w:val="231F20"/>
          <w:spacing w:val="-29"/>
          <w:w w:val="105"/>
          <w:sz w:val="19"/>
        </w:rPr>
        <w:t> </w:t>
      </w:r>
      <w:r>
        <w:rPr>
          <w:color w:val="231F20"/>
          <w:w w:val="105"/>
          <w:sz w:val="19"/>
        </w:rPr>
        <w:t>puede</w:t>
      </w:r>
      <w:r>
        <w:rPr>
          <w:color w:val="231F20"/>
          <w:spacing w:val="-29"/>
          <w:w w:val="105"/>
          <w:sz w:val="19"/>
        </w:rPr>
        <w:t> </w:t>
      </w:r>
      <w:r>
        <w:rPr>
          <w:color w:val="231F20"/>
          <w:spacing w:val="-3"/>
          <w:w w:val="105"/>
          <w:sz w:val="19"/>
        </w:rPr>
        <w:t>objetar,</w:t>
      </w:r>
      <w:r>
        <w:rPr>
          <w:color w:val="231F20"/>
          <w:spacing w:val="-29"/>
          <w:w w:val="105"/>
          <w:sz w:val="19"/>
        </w:rPr>
        <w:t> </w:t>
      </w:r>
      <w:r>
        <w:rPr>
          <w:color w:val="231F20"/>
          <w:w w:val="105"/>
          <w:sz w:val="19"/>
        </w:rPr>
        <w:t>impugnar</w:t>
      </w:r>
      <w:r>
        <w:rPr>
          <w:color w:val="231F20"/>
          <w:spacing w:val="-29"/>
          <w:w w:val="105"/>
          <w:sz w:val="19"/>
        </w:rPr>
        <w:t> </w:t>
      </w:r>
      <w:r>
        <w:rPr>
          <w:color w:val="231F20"/>
          <w:w w:val="105"/>
          <w:sz w:val="19"/>
        </w:rPr>
        <w:t>o</w:t>
      </w:r>
      <w:r>
        <w:rPr>
          <w:color w:val="231F20"/>
          <w:spacing w:val="-29"/>
          <w:w w:val="105"/>
          <w:sz w:val="19"/>
        </w:rPr>
        <w:t> </w:t>
      </w:r>
      <w:r>
        <w:rPr>
          <w:color w:val="231F20"/>
          <w:w w:val="105"/>
          <w:sz w:val="19"/>
        </w:rPr>
        <w:t>aportar</w:t>
      </w:r>
      <w:r>
        <w:rPr>
          <w:color w:val="231F20"/>
          <w:spacing w:val="-29"/>
          <w:w w:val="105"/>
          <w:sz w:val="19"/>
        </w:rPr>
        <w:t> </w:t>
      </w:r>
      <w:r>
        <w:rPr>
          <w:color w:val="231F20"/>
          <w:w w:val="105"/>
          <w:sz w:val="19"/>
        </w:rPr>
        <w:t>pruebas</w:t>
      </w:r>
      <w:r>
        <w:rPr>
          <w:color w:val="231F20"/>
          <w:spacing w:val="-29"/>
          <w:w w:val="105"/>
          <w:sz w:val="19"/>
        </w:rPr>
        <w:t> </w:t>
      </w:r>
      <w:r>
        <w:rPr>
          <w:color w:val="231F20"/>
          <w:w w:val="105"/>
          <w:sz w:val="19"/>
        </w:rPr>
        <w:t>en</w:t>
      </w:r>
      <w:r>
        <w:rPr>
          <w:color w:val="231F20"/>
          <w:spacing w:val="-29"/>
          <w:w w:val="105"/>
          <w:sz w:val="19"/>
        </w:rPr>
        <w:t> </w:t>
      </w:r>
      <w:r>
        <w:rPr>
          <w:color w:val="231F20"/>
          <w:w w:val="105"/>
          <w:sz w:val="19"/>
        </w:rPr>
        <w:t>contrario.</w:t>
      </w:r>
    </w:p>
    <w:p>
      <w:pPr>
        <w:pStyle w:val="BodyText"/>
        <w:spacing w:before="1"/>
        <w:rPr>
          <w:sz w:val="14"/>
        </w:rPr>
      </w:pPr>
    </w:p>
    <w:p>
      <w:pPr>
        <w:pStyle w:val="ListParagraph"/>
        <w:numPr>
          <w:ilvl w:val="0"/>
          <w:numId w:val="4"/>
        </w:numPr>
        <w:tabs>
          <w:tab w:pos="1855" w:val="left" w:leader="none"/>
        </w:tabs>
        <w:spacing w:line="220" w:lineRule="exact" w:before="0" w:after="0"/>
        <w:ind w:left="1854" w:right="101" w:hanging="360"/>
        <w:jc w:val="both"/>
        <w:rPr>
          <w:sz w:val="19"/>
        </w:rPr>
      </w:pPr>
      <w:r>
        <w:rPr>
          <w:color w:val="231F20"/>
          <w:w w:val="105"/>
          <w:sz w:val="19"/>
        </w:rPr>
        <w:t>No se considera confiscación la “extinción de dominio” de bienes</w:t>
      </w:r>
      <w:r>
        <w:rPr>
          <w:color w:val="231F20"/>
          <w:spacing w:val="-13"/>
          <w:w w:val="105"/>
          <w:sz w:val="19"/>
        </w:rPr>
        <w:t> </w:t>
      </w:r>
      <w:r>
        <w:rPr>
          <w:color w:val="231F20"/>
          <w:w w:val="105"/>
          <w:sz w:val="19"/>
        </w:rPr>
        <w:t>a</w:t>
      </w:r>
      <w:r>
        <w:rPr>
          <w:color w:val="231F20"/>
          <w:spacing w:val="-13"/>
          <w:w w:val="105"/>
          <w:sz w:val="19"/>
        </w:rPr>
        <w:t> </w:t>
      </w:r>
      <w:r>
        <w:rPr>
          <w:color w:val="231F20"/>
          <w:w w:val="105"/>
          <w:sz w:val="19"/>
        </w:rPr>
        <w:t>favor</w:t>
      </w:r>
      <w:r>
        <w:rPr>
          <w:color w:val="231F20"/>
          <w:spacing w:val="-13"/>
          <w:w w:val="105"/>
          <w:sz w:val="19"/>
        </w:rPr>
        <w:t> </w:t>
      </w:r>
      <w:r>
        <w:rPr>
          <w:color w:val="231F20"/>
          <w:w w:val="105"/>
          <w:sz w:val="19"/>
        </w:rPr>
        <w:t>del</w:t>
      </w:r>
      <w:r>
        <w:rPr>
          <w:color w:val="231F20"/>
          <w:spacing w:val="-13"/>
          <w:w w:val="105"/>
          <w:sz w:val="19"/>
        </w:rPr>
        <w:t> </w:t>
      </w:r>
      <w:r>
        <w:rPr>
          <w:color w:val="231F20"/>
          <w:w w:val="105"/>
          <w:sz w:val="19"/>
        </w:rPr>
        <w:t>Estado,</w:t>
      </w:r>
      <w:r>
        <w:rPr>
          <w:color w:val="231F20"/>
          <w:spacing w:val="-13"/>
          <w:w w:val="105"/>
          <w:sz w:val="19"/>
        </w:rPr>
        <w:t> </w:t>
      </w:r>
      <w:r>
        <w:rPr>
          <w:color w:val="231F20"/>
          <w:w w:val="105"/>
          <w:sz w:val="19"/>
        </w:rPr>
        <w:t>lo</w:t>
      </w:r>
      <w:r>
        <w:rPr>
          <w:color w:val="231F20"/>
          <w:spacing w:val="-13"/>
          <w:w w:val="105"/>
          <w:sz w:val="19"/>
        </w:rPr>
        <w:t> </w:t>
      </w:r>
      <w:r>
        <w:rPr>
          <w:color w:val="231F20"/>
          <w:w w:val="105"/>
          <w:sz w:val="19"/>
        </w:rPr>
        <w:t>que</w:t>
      </w:r>
      <w:r>
        <w:rPr>
          <w:color w:val="231F20"/>
          <w:spacing w:val="-13"/>
          <w:w w:val="105"/>
          <w:sz w:val="19"/>
        </w:rPr>
        <w:t> </w:t>
      </w:r>
      <w:r>
        <w:rPr>
          <w:color w:val="231F20"/>
          <w:w w:val="105"/>
          <w:sz w:val="19"/>
        </w:rPr>
        <w:t>se</w:t>
      </w:r>
      <w:r>
        <w:rPr>
          <w:color w:val="231F20"/>
          <w:spacing w:val="-13"/>
          <w:w w:val="105"/>
          <w:sz w:val="19"/>
        </w:rPr>
        <w:t> </w:t>
      </w:r>
      <w:r>
        <w:rPr>
          <w:color w:val="231F20"/>
          <w:w w:val="105"/>
          <w:sz w:val="19"/>
        </w:rPr>
        <w:t>ha</w:t>
      </w:r>
      <w:r>
        <w:rPr>
          <w:color w:val="231F20"/>
          <w:spacing w:val="-13"/>
          <w:w w:val="105"/>
          <w:sz w:val="19"/>
        </w:rPr>
        <w:t> </w:t>
      </w:r>
      <w:r>
        <w:rPr>
          <w:color w:val="231F20"/>
          <w:w w:val="105"/>
          <w:sz w:val="19"/>
        </w:rPr>
        <w:t>conocido</w:t>
      </w:r>
      <w:r>
        <w:rPr>
          <w:color w:val="231F20"/>
          <w:spacing w:val="-13"/>
          <w:w w:val="105"/>
          <w:sz w:val="19"/>
        </w:rPr>
        <w:t> </w:t>
      </w:r>
      <w:r>
        <w:rPr>
          <w:color w:val="231F20"/>
          <w:w w:val="105"/>
          <w:sz w:val="19"/>
        </w:rPr>
        <w:t>como</w:t>
      </w:r>
      <w:r>
        <w:rPr>
          <w:color w:val="231F20"/>
          <w:spacing w:val="-13"/>
          <w:w w:val="105"/>
          <w:sz w:val="19"/>
        </w:rPr>
        <w:t> </w:t>
      </w:r>
      <w:r>
        <w:rPr>
          <w:color w:val="231F20"/>
          <w:w w:val="105"/>
          <w:sz w:val="19"/>
        </w:rPr>
        <w:t>“bie- nes</w:t>
      </w:r>
      <w:r>
        <w:rPr>
          <w:color w:val="231F20"/>
          <w:spacing w:val="-7"/>
          <w:w w:val="105"/>
          <w:sz w:val="19"/>
        </w:rPr>
        <w:t> </w:t>
      </w:r>
      <w:r>
        <w:rPr>
          <w:color w:val="231F20"/>
          <w:w w:val="105"/>
          <w:sz w:val="19"/>
        </w:rPr>
        <w:t>asegurados”;</w:t>
      </w:r>
      <w:r>
        <w:rPr>
          <w:color w:val="231F20"/>
          <w:spacing w:val="-7"/>
          <w:w w:val="105"/>
          <w:sz w:val="19"/>
        </w:rPr>
        <w:t> </w:t>
      </w:r>
      <w:r>
        <w:rPr>
          <w:color w:val="231F20"/>
          <w:w w:val="105"/>
          <w:sz w:val="19"/>
        </w:rPr>
        <w:t>es</w:t>
      </w:r>
      <w:r>
        <w:rPr>
          <w:color w:val="231F20"/>
          <w:spacing w:val="-7"/>
          <w:w w:val="105"/>
          <w:sz w:val="19"/>
        </w:rPr>
        <w:t> </w:t>
      </w:r>
      <w:r>
        <w:rPr>
          <w:color w:val="231F20"/>
          <w:w w:val="105"/>
          <w:sz w:val="19"/>
        </w:rPr>
        <w:t>preciso</w:t>
      </w:r>
      <w:r>
        <w:rPr>
          <w:color w:val="231F20"/>
          <w:spacing w:val="-7"/>
          <w:w w:val="105"/>
          <w:sz w:val="19"/>
        </w:rPr>
        <w:t> </w:t>
      </w:r>
      <w:r>
        <w:rPr>
          <w:color w:val="231F20"/>
          <w:w w:val="105"/>
          <w:sz w:val="19"/>
        </w:rPr>
        <w:t>que</w:t>
      </w:r>
      <w:r>
        <w:rPr>
          <w:color w:val="231F20"/>
          <w:spacing w:val="-7"/>
          <w:w w:val="105"/>
          <w:sz w:val="19"/>
        </w:rPr>
        <w:t> </w:t>
      </w:r>
      <w:r>
        <w:rPr>
          <w:color w:val="231F20"/>
          <w:w w:val="105"/>
          <w:sz w:val="19"/>
        </w:rPr>
        <w:t>para</w:t>
      </w:r>
      <w:r>
        <w:rPr>
          <w:color w:val="231F20"/>
          <w:spacing w:val="-7"/>
          <w:w w:val="105"/>
          <w:sz w:val="19"/>
        </w:rPr>
        <w:t> </w:t>
      </w:r>
      <w:r>
        <w:rPr>
          <w:color w:val="231F20"/>
          <w:w w:val="105"/>
          <w:sz w:val="19"/>
        </w:rPr>
        <w:t>ello</w:t>
      </w:r>
      <w:r>
        <w:rPr>
          <w:color w:val="231F20"/>
          <w:spacing w:val="-7"/>
          <w:w w:val="105"/>
          <w:sz w:val="19"/>
        </w:rPr>
        <w:t> </w:t>
      </w:r>
      <w:r>
        <w:rPr>
          <w:color w:val="231F20"/>
          <w:w w:val="105"/>
          <w:sz w:val="19"/>
        </w:rPr>
        <w:t>se</w:t>
      </w:r>
      <w:r>
        <w:rPr>
          <w:color w:val="231F20"/>
          <w:spacing w:val="-7"/>
          <w:w w:val="105"/>
          <w:sz w:val="19"/>
        </w:rPr>
        <w:t> </w:t>
      </w:r>
      <w:r>
        <w:rPr>
          <w:color w:val="231F20"/>
          <w:w w:val="105"/>
          <w:sz w:val="19"/>
        </w:rPr>
        <w:t>establezca</w:t>
      </w:r>
      <w:r>
        <w:rPr>
          <w:color w:val="231F20"/>
          <w:spacing w:val="-7"/>
          <w:w w:val="105"/>
          <w:sz w:val="19"/>
        </w:rPr>
        <w:t> </w:t>
      </w:r>
      <w:r>
        <w:rPr>
          <w:color w:val="231F20"/>
          <w:w w:val="105"/>
          <w:sz w:val="19"/>
        </w:rPr>
        <w:t>un procedimiento</w:t>
      </w:r>
      <w:r>
        <w:rPr>
          <w:color w:val="231F20"/>
          <w:spacing w:val="-33"/>
          <w:w w:val="105"/>
          <w:sz w:val="19"/>
        </w:rPr>
        <w:t> </w:t>
      </w:r>
      <w:r>
        <w:rPr>
          <w:color w:val="231F20"/>
          <w:w w:val="105"/>
          <w:sz w:val="19"/>
        </w:rPr>
        <w:t>jurisdiccional</w:t>
      </w:r>
      <w:r>
        <w:rPr>
          <w:color w:val="231F20"/>
          <w:spacing w:val="-33"/>
          <w:w w:val="105"/>
          <w:sz w:val="19"/>
        </w:rPr>
        <w:t> </w:t>
      </w:r>
      <w:r>
        <w:rPr>
          <w:color w:val="231F20"/>
          <w:w w:val="105"/>
          <w:sz w:val="19"/>
        </w:rPr>
        <w:t>y</w:t>
      </w:r>
      <w:r>
        <w:rPr>
          <w:color w:val="231F20"/>
          <w:spacing w:val="-33"/>
          <w:w w:val="105"/>
          <w:sz w:val="19"/>
        </w:rPr>
        <w:t> </w:t>
      </w:r>
      <w:r>
        <w:rPr>
          <w:color w:val="231F20"/>
          <w:w w:val="105"/>
          <w:sz w:val="19"/>
        </w:rPr>
        <w:t>autónomo</w:t>
      </w:r>
      <w:r>
        <w:rPr>
          <w:color w:val="231F20"/>
          <w:spacing w:val="-33"/>
          <w:w w:val="105"/>
          <w:sz w:val="19"/>
        </w:rPr>
        <w:t> </w:t>
      </w:r>
      <w:r>
        <w:rPr>
          <w:color w:val="231F20"/>
          <w:w w:val="105"/>
          <w:sz w:val="19"/>
        </w:rPr>
        <w:t>al</w:t>
      </w:r>
      <w:r>
        <w:rPr>
          <w:color w:val="231F20"/>
          <w:spacing w:val="-33"/>
          <w:w w:val="105"/>
          <w:sz w:val="19"/>
        </w:rPr>
        <w:t> </w:t>
      </w:r>
      <w:r>
        <w:rPr>
          <w:color w:val="231F20"/>
          <w:w w:val="105"/>
          <w:sz w:val="19"/>
        </w:rPr>
        <w:t>de</w:t>
      </w:r>
      <w:r>
        <w:rPr>
          <w:color w:val="231F20"/>
          <w:spacing w:val="-33"/>
          <w:w w:val="105"/>
          <w:sz w:val="19"/>
        </w:rPr>
        <w:t> </w:t>
      </w:r>
      <w:r>
        <w:rPr>
          <w:color w:val="231F20"/>
          <w:w w:val="105"/>
          <w:sz w:val="19"/>
        </w:rPr>
        <w:t>materia</w:t>
      </w:r>
      <w:r>
        <w:rPr>
          <w:color w:val="231F20"/>
          <w:spacing w:val="-33"/>
          <w:w w:val="105"/>
          <w:sz w:val="19"/>
        </w:rPr>
        <w:t> </w:t>
      </w:r>
      <w:r>
        <w:rPr>
          <w:color w:val="231F20"/>
          <w:w w:val="105"/>
          <w:sz w:val="19"/>
        </w:rPr>
        <w:t>penal, que</w:t>
      </w:r>
      <w:r>
        <w:rPr>
          <w:color w:val="231F20"/>
          <w:spacing w:val="-26"/>
          <w:w w:val="105"/>
          <w:sz w:val="19"/>
        </w:rPr>
        <w:t> </w:t>
      </w:r>
      <w:r>
        <w:rPr>
          <w:color w:val="231F20"/>
          <w:w w:val="105"/>
          <w:sz w:val="19"/>
        </w:rPr>
        <w:t>procederá</w:t>
      </w:r>
      <w:r>
        <w:rPr>
          <w:color w:val="231F20"/>
          <w:spacing w:val="-26"/>
          <w:w w:val="105"/>
          <w:sz w:val="19"/>
        </w:rPr>
        <w:t> </w:t>
      </w:r>
      <w:r>
        <w:rPr>
          <w:color w:val="231F20"/>
          <w:w w:val="105"/>
          <w:sz w:val="19"/>
        </w:rPr>
        <w:t>en</w:t>
      </w:r>
      <w:r>
        <w:rPr>
          <w:color w:val="231F20"/>
          <w:spacing w:val="-26"/>
          <w:w w:val="105"/>
          <w:sz w:val="19"/>
        </w:rPr>
        <w:t> </w:t>
      </w:r>
      <w:r>
        <w:rPr>
          <w:color w:val="231F20"/>
          <w:w w:val="105"/>
          <w:sz w:val="19"/>
        </w:rPr>
        <w:t>los</w:t>
      </w:r>
      <w:r>
        <w:rPr>
          <w:color w:val="231F20"/>
          <w:spacing w:val="-26"/>
          <w:w w:val="105"/>
          <w:sz w:val="19"/>
        </w:rPr>
        <w:t> </w:t>
      </w:r>
      <w:r>
        <w:rPr>
          <w:color w:val="231F20"/>
          <w:w w:val="105"/>
          <w:sz w:val="19"/>
        </w:rPr>
        <w:t>casos</w:t>
      </w:r>
      <w:r>
        <w:rPr>
          <w:color w:val="231F20"/>
          <w:spacing w:val="-26"/>
          <w:w w:val="105"/>
          <w:sz w:val="19"/>
        </w:rPr>
        <w:t> </w:t>
      </w:r>
      <w:r>
        <w:rPr>
          <w:color w:val="231F20"/>
          <w:w w:val="105"/>
          <w:sz w:val="19"/>
        </w:rPr>
        <w:t>de</w:t>
      </w:r>
      <w:r>
        <w:rPr>
          <w:color w:val="231F20"/>
          <w:spacing w:val="-26"/>
          <w:w w:val="105"/>
          <w:sz w:val="19"/>
        </w:rPr>
        <w:t> </w:t>
      </w:r>
      <w:r>
        <w:rPr>
          <w:color w:val="231F20"/>
          <w:w w:val="105"/>
          <w:sz w:val="19"/>
        </w:rPr>
        <w:t>delincuencia</w:t>
      </w:r>
      <w:r>
        <w:rPr>
          <w:color w:val="231F20"/>
          <w:spacing w:val="-26"/>
          <w:w w:val="105"/>
          <w:sz w:val="19"/>
        </w:rPr>
        <w:t> </w:t>
      </w:r>
      <w:r>
        <w:rPr>
          <w:color w:val="231F20"/>
          <w:w w:val="105"/>
          <w:sz w:val="19"/>
        </w:rPr>
        <w:t>organizada,</w:t>
      </w:r>
      <w:r>
        <w:rPr>
          <w:color w:val="231F20"/>
          <w:spacing w:val="-26"/>
          <w:w w:val="105"/>
          <w:sz w:val="19"/>
        </w:rPr>
        <w:t> </w:t>
      </w:r>
      <w:r>
        <w:rPr>
          <w:color w:val="231F20"/>
          <w:w w:val="105"/>
          <w:sz w:val="19"/>
        </w:rPr>
        <w:t>deli- tos</w:t>
      </w:r>
      <w:r>
        <w:rPr>
          <w:color w:val="231F20"/>
          <w:spacing w:val="-40"/>
          <w:w w:val="105"/>
          <w:sz w:val="19"/>
        </w:rPr>
        <w:t> </w:t>
      </w:r>
      <w:r>
        <w:rPr>
          <w:color w:val="231F20"/>
          <w:w w:val="105"/>
          <w:sz w:val="19"/>
        </w:rPr>
        <w:t>contra</w:t>
      </w:r>
      <w:r>
        <w:rPr>
          <w:color w:val="231F20"/>
          <w:spacing w:val="-40"/>
          <w:w w:val="105"/>
          <w:sz w:val="19"/>
        </w:rPr>
        <w:t> </w:t>
      </w:r>
      <w:r>
        <w:rPr>
          <w:color w:val="231F20"/>
          <w:w w:val="105"/>
          <w:sz w:val="19"/>
        </w:rPr>
        <w:t>la</w:t>
      </w:r>
      <w:r>
        <w:rPr>
          <w:color w:val="231F20"/>
          <w:spacing w:val="-40"/>
          <w:w w:val="105"/>
          <w:sz w:val="19"/>
        </w:rPr>
        <w:t> </w:t>
      </w:r>
      <w:r>
        <w:rPr>
          <w:color w:val="231F20"/>
          <w:w w:val="105"/>
          <w:sz w:val="19"/>
        </w:rPr>
        <w:t>salud,</w:t>
      </w:r>
      <w:r>
        <w:rPr>
          <w:color w:val="231F20"/>
          <w:spacing w:val="-40"/>
          <w:w w:val="105"/>
          <w:sz w:val="19"/>
        </w:rPr>
        <w:t> </w:t>
      </w:r>
      <w:r>
        <w:rPr>
          <w:color w:val="231F20"/>
          <w:w w:val="105"/>
          <w:sz w:val="19"/>
        </w:rPr>
        <w:t>secuestro,</w:t>
      </w:r>
      <w:r>
        <w:rPr>
          <w:color w:val="231F20"/>
          <w:spacing w:val="-40"/>
          <w:w w:val="105"/>
          <w:sz w:val="19"/>
        </w:rPr>
        <w:t> </w:t>
      </w:r>
      <w:r>
        <w:rPr>
          <w:color w:val="231F20"/>
          <w:w w:val="105"/>
          <w:sz w:val="19"/>
        </w:rPr>
        <w:t>robo</w:t>
      </w:r>
      <w:r>
        <w:rPr>
          <w:color w:val="231F20"/>
          <w:spacing w:val="-40"/>
          <w:w w:val="105"/>
          <w:sz w:val="19"/>
        </w:rPr>
        <w:t> </w:t>
      </w:r>
      <w:r>
        <w:rPr>
          <w:color w:val="231F20"/>
          <w:w w:val="105"/>
          <w:sz w:val="19"/>
        </w:rPr>
        <w:t>de</w:t>
      </w:r>
      <w:r>
        <w:rPr>
          <w:color w:val="231F20"/>
          <w:spacing w:val="-40"/>
          <w:w w:val="105"/>
          <w:sz w:val="19"/>
        </w:rPr>
        <w:t> </w:t>
      </w:r>
      <w:r>
        <w:rPr>
          <w:color w:val="231F20"/>
          <w:w w:val="105"/>
          <w:sz w:val="19"/>
        </w:rPr>
        <w:t>vehículos</w:t>
      </w:r>
      <w:r>
        <w:rPr>
          <w:color w:val="231F20"/>
          <w:spacing w:val="-40"/>
          <w:w w:val="105"/>
          <w:sz w:val="19"/>
        </w:rPr>
        <w:t> </w:t>
      </w:r>
      <w:r>
        <w:rPr>
          <w:color w:val="231F20"/>
          <w:w w:val="105"/>
          <w:sz w:val="19"/>
        </w:rPr>
        <w:t>y</w:t>
      </w:r>
      <w:r>
        <w:rPr>
          <w:color w:val="231F20"/>
          <w:spacing w:val="-40"/>
          <w:w w:val="105"/>
          <w:sz w:val="19"/>
        </w:rPr>
        <w:t> </w:t>
      </w:r>
      <w:r>
        <w:rPr>
          <w:color w:val="231F20"/>
          <w:w w:val="105"/>
          <w:sz w:val="19"/>
        </w:rPr>
        <w:t>trata</w:t>
      </w:r>
      <w:r>
        <w:rPr>
          <w:color w:val="231F20"/>
          <w:spacing w:val="-40"/>
          <w:w w:val="105"/>
          <w:sz w:val="19"/>
        </w:rPr>
        <w:t> </w:t>
      </w:r>
      <w:r>
        <w:rPr>
          <w:color w:val="231F20"/>
          <w:w w:val="105"/>
          <w:sz w:val="19"/>
        </w:rPr>
        <w:t>de</w:t>
      </w:r>
      <w:r>
        <w:rPr>
          <w:color w:val="231F20"/>
          <w:spacing w:val="-40"/>
          <w:w w:val="105"/>
          <w:sz w:val="19"/>
        </w:rPr>
        <w:t> </w:t>
      </w:r>
      <w:r>
        <w:rPr>
          <w:color w:val="231F20"/>
          <w:spacing w:val="-4"/>
          <w:w w:val="105"/>
          <w:sz w:val="19"/>
        </w:rPr>
        <w:t>per- </w:t>
      </w:r>
      <w:r>
        <w:rPr>
          <w:color w:val="231F20"/>
          <w:w w:val="105"/>
          <w:sz w:val="19"/>
        </w:rPr>
        <w:t>sonas,</w:t>
      </w:r>
      <w:r>
        <w:rPr>
          <w:color w:val="231F20"/>
          <w:spacing w:val="-37"/>
          <w:w w:val="105"/>
          <w:sz w:val="19"/>
        </w:rPr>
        <w:t> </w:t>
      </w:r>
      <w:r>
        <w:rPr>
          <w:color w:val="231F20"/>
          <w:w w:val="105"/>
          <w:sz w:val="19"/>
        </w:rPr>
        <w:t>y</w:t>
      </w:r>
      <w:r>
        <w:rPr>
          <w:color w:val="231F20"/>
          <w:spacing w:val="-37"/>
          <w:w w:val="105"/>
          <w:sz w:val="19"/>
        </w:rPr>
        <w:t> </w:t>
      </w:r>
      <w:r>
        <w:rPr>
          <w:color w:val="231F20"/>
          <w:w w:val="105"/>
          <w:sz w:val="19"/>
        </w:rPr>
        <w:t>respecto</w:t>
      </w:r>
      <w:r>
        <w:rPr>
          <w:color w:val="231F20"/>
          <w:spacing w:val="-37"/>
          <w:w w:val="105"/>
          <w:sz w:val="19"/>
        </w:rPr>
        <w:t> </w:t>
      </w:r>
      <w:r>
        <w:rPr>
          <w:color w:val="231F20"/>
          <w:w w:val="105"/>
          <w:sz w:val="19"/>
        </w:rPr>
        <w:t>de</w:t>
      </w:r>
      <w:r>
        <w:rPr>
          <w:color w:val="231F20"/>
          <w:spacing w:val="-37"/>
          <w:w w:val="105"/>
          <w:sz w:val="19"/>
        </w:rPr>
        <w:t> </w:t>
      </w:r>
      <w:r>
        <w:rPr>
          <w:color w:val="231F20"/>
          <w:w w:val="105"/>
          <w:sz w:val="19"/>
        </w:rPr>
        <w:t>los</w:t>
      </w:r>
      <w:r>
        <w:rPr>
          <w:color w:val="231F20"/>
          <w:spacing w:val="-37"/>
          <w:w w:val="105"/>
          <w:sz w:val="19"/>
        </w:rPr>
        <w:t> </w:t>
      </w:r>
      <w:r>
        <w:rPr>
          <w:color w:val="231F20"/>
          <w:w w:val="105"/>
          <w:sz w:val="19"/>
        </w:rPr>
        <w:t>bienes</w:t>
      </w:r>
      <w:r>
        <w:rPr>
          <w:color w:val="231F20"/>
          <w:spacing w:val="-37"/>
          <w:w w:val="105"/>
          <w:sz w:val="19"/>
        </w:rPr>
        <w:t> </w:t>
      </w:r>
      <w:r>
        <w:rPr>
          <w:color w:val="231F20"/>
          <w:w w:val="105"/>
          <w:sz w:val="19"/>
        </w:rPr>
        <w:t>que</w:t>
      </w:r>
      <w:r>
        <w:rPr>
          <w:color w:val="231F20"/>
          <w:spacing w:val="-37"/>
          <w:w w:val="105"/>
          <w:sz w:val="19"/>
        </w:rPr>
        <w:t> </w:t>
      </w:r>
      <w:r>
        <w:rPr>
          <w:color w:val="231F20"/>
          <w:w w:val="105"/>
          <w:sz w:val="19"/>
        </w:rPr>
        <w:t>la</w:t>
      </w:r>
      <w:r>
        <w:rPr>
          <w:color w:val="231F20"/>
          <w:spacing w:val="-37"/>
          <w:w w:val="105"/>
          <w:sz w:val="19"/>
        </w:rPr>
        <w:t> </w:t>
      </w:r>
      <w:r>
        <w:rPr>
          <w:color w:val="231F20"/>
          <w:w w:val="105"/>
          <w:sz w:val="19"/>
        </w:rPr>
        <w:t>Constitución</w:t>
      </w:r>
      <w:r>
        <w:rPr>
          <w:color w:val="231F20"/>
          <w:spacing w:val="-37"/>
          <w:w w:val="105"/>
          <w:sz w:val="19"/>
        </w:rPr>
        <w:t> </w:t>
      </w:r>
      <w:r>
        <w:rPr>
          <w:color w:val="231F20"/>
          <w:w w:val="105"/>
          <w:sz w:val="19"/>
        </w:rPr>
        <w:t>especifica.</w:t>
      </w:r>
    </w:p>
    <w:p>
      <w:pPr>
        <w:pStyle w:val="BodyText"/>
        <w:spacing w:before="1"/>
        <w:rPr>
          <w:sz w:val="14"/>
        </w:rPr>
      </w:pPr>
    </w:p>
    <w:p>
      <w:pPr>
        <w:spacing w:line="220" w:lineRule="exact" w:before="0"/>
        <w:ind w:left="1854" w:right="101" w:firstLine="0"/>
        <w:jc w:val="both"/>
        <w:rPr>
          <w:sz w:val="19"/>
        </w:rPr>
      </w:pPr>
      <w:r>
        <w:rPr>
          <w:color w:val="231F20"/>
          <w:sz w:val="19"/>
        </w:rPr>
        <w:t>Este aspecto es importante porque golpea al crimen organi- zado</w:t>
      </w:r>
      <w:r>
        <w:rPr>
          <w:color w:val="231F20"/>
          <w:spacing w:val="-13"/>
          <w:sz w:val="19"/>
        </w:rPr>
        <w:t> </w:t>
      </w:r>
      <w:r>
        <w:rPr>
          <w:color w:val="231F20"/>
          <w:sz w:val="19"/>
        </w:rPr>
        <w:t>y</w:t>
      </w:r>
      <w:r>
        <w:rPr>
          <w:color w:val="231F20"/>
          <w:spacing w:val="-13"/>
          <w:sz w:val="19"/>
        </w:rPr>
        <w:t> </w:t>
      </w:r>
      <w:r>
        <w:rPr>
          <w:color w:val="231F20"/>
          <w:sz w:val="19"/>
        </w:rPr>
        <w:t>otros</w:t>
      </w:r>
      <w:r>
        <w:rPr>
          <w:color w:val="231F20"/>
          <w:spacing w:val="-13"/>
          <w:sz w:val="19"/>
        </w:rPr>
        <w:t> </w:t>
      </w:r>
      <w:r>
        <w:rPr>
          <w:color w:val="231F20"/>
          <w:sz w:val="19"/>
        </w:rPr>
        <w:t>delitos</w:t>
      </w:r>
      <w:r>
        <w:rPr>
          <w:color w:val="231F20"/>
          <w:spacing w:val="-13"/>
          <w:sz w:val="19"/>
        </w:rPr>
        <w:t> </w:t>
      </w:r>
      <w:r>
        <w:rPr>
          <w:color w:val="231F20"/>
          <w:sz w:val="19"/>
        </w:rPr>
        <w:t>graves</w:t>
      </w:r>
      <w:r>
        <w:rPr>
          <w:color w:val="231F20"/>
          <w:spacing w:val="-13"/>
          <w:sz w:val="19"/>
        </w:rPr>
        <w:t> </w:t>
      </w:r>
      <w:r>
        <w:rPr>
          <w:color w:val="231F20"/>
          <w:sz w:val="19"/>
        </w:rPr>
        <w:t>en</w:t>
      </w:r>
      <w:r>
        <w:rPr>
          <w:color w:val="231F20"/>
          <w:spacing w:val="-13"/>
          <w:sz w:val="19"/>
        </w:rPr>
        <w:t> </w:t>
      </w:r>
      <w:r>
        <w:rPr>
          <w:color w:val="231F20"/>
          <w:sz w:val="19"/>
        </w:rPr>
        <w:t>su</w:t>
      </w:r>
      <w:r>
        <w:rPr>
          <w:color w:val="231F20"/>
          <w:spacing w:val="-13"/>
          <w:sz w:val="19"/>
        </w:rPr>
        <w:t> </w:t>
      </w:r>
      <w:r>
        <w:rPr>
          <w:color w:val="231F20"/>
          <w:sz w:val="19"/>
        </w:rPr>
        <w:t>propio</w:t>
      </w:r>
      <w:r>
        <w:rPr>
          <w:color w:val="231F20"/>
          <w:spacing w:val="-13"/>
          <w:sz w:val="19"/>
        </w:rPr>
        <w:t> </w:t>
      </w:r>
      <w:r>
        <w:rPr>
          <w:color w:val="231F20"/>
          <w:sz w:val="19"/>
        </w:rPr>
        <w:t>corazón:</w:t>
      </w:r>
      <w:r>
        <w:rPr>
          <w:color w:val="231F20"/>
          <w:spacing w:val="-13"/>
          <w:sz w:val="19"/>
        </w:rPr>
        <w:t> </w:t>
      </w:r>
      <w:r>
        <w:rPr>
          <w:color w:val="231F20"/>
          <w:sz w:val="19"/>
        </w:rPr>
        <w:t>los</w:t>
      </w:r>
      <w:r>
        <w:rPr>
          <w:color w:val="231F20"/>
          <w:spacing w:val="-13"/>
          <w:sz w:val="19"/>
        </w:rPr>
        <w:t> </w:t>
      </w:r>
      <w:r>
        <w:rPr>
          <w:color w:val="231F20"/>
          <w:sz w:val="19"/>
        </w:rPr>
        <w:t>inmensos rendimientos económicos que implican y que son la causa de la realización de esos delitos. Como bien dice la exposición de motivos del proyecto, se enfrenta a la delincuencia afec- tándose</w:t>
      </w:r>
      <w:r>
        <w:rPr>
          <w:color w:val="231F20"/>
          <w:spacing w:val="-6"/>
          <w:sz w:val="19"/>
        </w:rPr>
        <w:t> </w:t>
      </w:r>
      <w:r>
        <w:rPr>
          <w:color w:val="231F20"/>
          <w:sz w:val="19"/>
        </w:rPr>
        <w:t>directamente</w:t>
      </w:r>
      <w:r>
        <w:rPr>
          <w:color w:val="231F20"/>
          <w:spacing w:val="-6"/>
          <w:sz w:val="19"/>
        </w:rPr>
        <w:t> </w:t>
      </w:r>
      <w:r>
        <w:rPr>
          <w:color w:val="231F20"/>
          <w:sz w:val="19"/>
        </w:rPr>
        <w:t>a</w:t>
      </w:r>
      <w:r>
        <w:rPr>
          <w:color w:val="231F20"/>
          <w:spacing w:val="-6"/>
          <w:sz w:val="19"/>
        </w:rPr>
        <w:t> </w:t>
      </w:r>
      <w:r>
        <w:rPr>
          <w:color w:val="231F20"/>
          <w:sz w:val="19"/>
        </w:rPr>
        <w:t>la</w:t>
      </w:r>
      <w:r>
        <w:rPr>
          <w:color w:val="231F20"/>
          <w:spacing w:val="-6"/>
          <w:sz w:val="19"/>
        </w:rPr>
        <w:t> </w:t>
      </w:r>
      <w:r>
        <w:rPr>
          <w:color w:val="231F20"/>
          <w:sz w:val="19"/>
        </w:rPr>
        <w:t>economía</w:t>
      </w:r>
      <w:r>
        <w:rPr>
          <w:color w:val="231F20"/>
          <w:spacing w:val="-6"/>
          <w:sz w:val="19"/>
        </w:rPr>
        <w:t> </w:t>
      </w:r>
      <w:r>
        <w:rPr>
          <w:color w:val="231F20"/>
          <w:sz w:val="19"/>
        </w:rPr>
        <w:t>del</w:t>
      </w:r>
      <w:r>
        <w:rPr>
          <w:color w:val="231F20"/>
          <w:spacing w:val="-6"/>
          <w:sz w:val="19"/>
        </w:rPr>
        <w:t> </w:t>
      </w:r>
      <w:r>
        <w:rPr>
          <w:color w:val="231F20"/>
          <w:sz w:val="19"/>
        </w:rPr>
        <w:t>crimen,</w:t>
      </w:r>
      <w:r>
        <w:rPr>
          <w:color w:val="231F20"/>
          <w:spacing w:val="-6"/>
          <w:sz w:val="19"/>
        </w:rPr>
        <w:t> </w:t>
      </w:r>
      <w:r>
        <w:rPr>
          <w:color w:val="231F20"/>
          <w:sz w:val="19"/>
        </w:rPr>
        <w:t>se</w:t>
      </w:r>
      <w:r>
        <w:rPr>
          <w:color w:val="231F20"/>
          <w:spacing w:val="-6"/>
          <w:sz w:val="19"/>
        </w:rPr>
        <w:t> </w:t>
      </w:r>
      <w:r>
        <w:rPr>
          <w:color w:val="231F20"/>
          <w:sz w:val="19"/>
        </w:rPr>
        <w:t>aumentan sus</w:t>
      </w:r>
      <w:r>
        <w:rPr>
          <w:color w:val="231F20"/>
          <w:spacing w:val="-9"/>
          <w:sz w:val="19"/>
        </w:rPr>
        <w:t> </w:t>
      </w:r>
      <w:r>
        <w:rPr>
          <w:color w:val="231F20"/>
          <w:sz w:val="19"/>
        </w:rPr>
        <w:t>costos</w:t>
      </w:r>
      <w:r>
        <w:rPr>
          <w:color w:val="231F20"/>
          <w:spacing w:val="-9"/>
          <w:sz w:val="19"/>
        </w:rPr>
        <w:t> </w:t>
      </w:r>
      <w:r>
        <w:rPr>
          <w:color w:val="231F20"/>
          <w:sz w:val="19"/>
        </w:rPr>
        <w:t>y</w:t>
      </w:r>
      <w:r>
        <w:rPr>
          <w:color w:val="231F20"/>
          <w:spacing w:val="-9"/>
          <w:sz w:val="19"/>
        </w:rPr>
        <w:t> </w:t>
      </w:r>
      <w:r>
        <w:rPr>
          <w:color w:val="231F20"/>
          <w:sz w:val="19"/>
        </w:rPr>
        <w:t>se</w:t>
      </w:r>
      <w:r>
        <w:rPr>
          <w:color w:val="231F20"/>
          <w:spacing w:val="-9"/>
          <w:sz w:val="19"/>
        </w:rPr>
        <w:t> </w:t>
      </w:r>
      <w:r>
        <w:rPr>
          <w:color w:val="231F20"/>
          <w:sz w:val="19"/>
        </w:rPr>
        <w:t>reducen</w:t>
      </w:r>
      <w:r>
        <w:rPr>
          <w:color w:val="231F20"/>
          <w:spacing w:val="-9"/>
          <w:sz w:val="19"/>
        </w:rPr>
        <w:t> </w:t>
      </w:r>
      <w:r>
        <w:rPr>
          <w:color w:val="231F20"/>
          <w:sz w:val="19"/>
        </w:rPr>
        <w:t>sus</w:t>
      </w:r>
      <w:r>
        <w:rPr>
          <w:color w:val="231F20"/>
          <w:spacing w:val="-9"/>
          <w:sz w:val="19"/>
        </w:rPr>
        <w:t> </w:t>
      </w:r>
      <w:r>
        <w:rPr>
          <w:color w:val="231F20"/>
          <w:sz w:val="19"/>
        </w:rPr>
        <w:t>ganancias.</w:t>
      </w:r>
    </w:p>
    <w:p>
      <w:pPr>
        <w:spacing w:after="0" w:line="220" w:lineRule="exact"/>
        <w:jc w:val="both"/>
        <w:rPr>
          <w:sz w:val="19"/>
        </w:rPr>
        <w:sectPr>
          <w:pgSz w:w="9640" w:h="13890"/>
          <w:pgMar w:top="0" w:bottom="280" w:left="1340" w:right="1200"/>
        </w:sectPr>
      </w:pPr>
    </w:p>
    <w:p>
      <w:pPr>
        <w:pStyle w:val="ListParagraph"/>
        <w:numPr>
          <w:ilvl w:val="0"/>
          <w:numId w:val="4"/>
        </w:numPr>
        <w:tabs>
          <w:tab w:pos="1926" w:val="left" w:leader="none"/>
        </w:tabs>
        <w:spacing w:line="220" w:lineRule="exact" w:before="127" w:after="0"/>
        <w:ind w:left="1881" w:right="115" w:hanging="360"/>
        <w:jc w:val="both"/>
        <w:rPr>
          <w:sz w:val="19"/>
        </w:rPr>
      </w:pPr>
      <w:r>
        <w:rPr>
          <w:color w:val="231F20"/>
          <w:sz w:val="19"/>
        </w:rPr>
        <w:t>El Congreso de la Unión tiene facultades para legislar en</w:t>
      </w:r>
      <w:r>
        <w:rPr>
          <w:color w:val="231F20"/>
          <w:spacing w:val="-39"/>
          <w:sz w:val="19"/>
        </w:rPr>
        <w:t> </w:t>
      </w:r>
      <w:r>
        <w:rPr>
          <w:color w:val="231F20"/>
          <w:sz w:val="19"/>
        </w:rPr>
        <w:t>ma- teria de delincuencia organizada. En consecuencia, las enti- dades federativas ya no poseerán dicha</w:t>
      </w:r>
      <w:r>
        <w:rPr>
          <w:color w:val="231F20"/>
          <w:spacing w:val="11"/>
          <w:sz w:val="19"/>
        </w:rPr>
        <w:t> </w:t>
      </w:r>
      <w:r>
        <w:rPr>
          <w:color w:val="231F20"/>
          <w:sz w:val="19"/>
        </w:rPr>
        <w:t>atribución</w:t>
      </w:r>
      <w:r>
        <w:rPr>
          <w:color w:val="231F20"/>
          <w:position w:val="6"/>
          <w:sz w:val="11"/>
        </w:rPr>
        <w:t>22</w:t>
      </w:r>
      <w:r>
        <w:rPr>
          <w:color w:val="231F20"/>
          <w:sz w:val="19"/>
        </w:rPr>
        <w:t>.</w:t>
      </w:r>
    </w:p>
    <w:p>
      <w:pPr>
        <w:pStyle w:val="BodyText"/>
        <w:spacing w:before="11"/>
        <w:rPr>
          <w:sz w:val="23"/>
        </w:rPr>
      </w:pPr>
    </w:p>
    <w:p>
      <w:pPr>
        <w:pStyle w:val="BodyText"/>
        <w:spacing w:line="247" w:lineRule="auto"/>
        <w:ind w:left="103" w:right="115"/>
        <w:jc w:val="both"/>
      </w:pPr>
      <w:r>
        <w:rPr>
          <w:color w:val="231F20"/>
          <w:w w:val="105"/>
        </w:rPr>
        <w:t>De acuerdo con Carpizo, tal reforma se desprende en gran medida del reconocimiento</w:t>
      </w:r>
      <w:r>
        <w:rPr>
          <w:color w:val="231F20"/>
          <w:spacing w:val="-30"/>
          <w:w w:val="105"/>
        </w:rPr>
        <w:t> </w:t>
      </w:r>
      <w:r>
        <w:rPr>
          <w:color w:val="231F20"/>
          <w:w w:val="105"/>
        </w:rPr>
        <w:t>del</w:t>
      </w:r>
      <w:r>
        <w:rPr>
          <w:color w:val="231F20"/>
          <w:spacing w:val="-30"/>
          <w:w w:val="105"/>
        </w:rPr>
        <w:t> </w:t>
      </w:r>
      <w:r>
        <w:rPr>
          <w:color w:val="231F20"/>
          <w:w w:val="105"/>
        </w:rPr>
        <w:t>crimen</w:t>
      </w:r>
      <w:r>
        <w:rPr>
          <w:color w:val="231F20"/>
          <w:spacing w:val="-30"/>
          <w:w w:val="105"/>
        </w:rPr>
        <w:t> </w:t>
      </w:r>
      <w:r>
        <w:rPr>
          <w:color w:val="231F20"/>
          <w:w w:val="105"/>
        </w:rPr>
        <w:t>organizado</w:t>
      </w:r>
      <w:r>
        <w:rPr>
          <w:color w:val="231F20"/>
          <w:spacing w:val="-30"/>
          <w:w w:val="105"/>
        </w:rPr>
        <w:t> </w:t>
      </w:r>
      <w:r>
        <w:rPr>
          <w:color w:val="231F20"/>
          <w:w w:val="105"/>
        </w:rPr>
        <w:t>como</w:t>
      </w:r>
      <w:r>
        <w:rPr>
          <w:color w:val="231F20"/>
          <w:spacing w:val="-30"/>
          <w:w w:val="105"/>
        </w:rPr>
        <w:t> </w:t>
      </w:r>
      <w:r>
        <w:rPr>
          <w:color w:val="231F20"/>
          <w:w w:val="105"/>
        </w:rPr>
        <w:t>realidad</w:t>
      </w:r>
      <w:r>
        <w:rPr>
          <w:color w:val="231F20"/>
          <w:spacing w:val="-30"/>
          <w:w w:val="105"/>
        </w:rPr>
        <w:t> </w:t>
      </w:r>
      <w:r>
        <w:rPr>
          <w:color w:val="231F20"/>
          <w:w w:val="105"/>
        </w:rPr>
        <w:t>actual</w:t>
      </w:r>
      <w:r>
        <w:rPr>
          <w:color w:val="231F20"/>
          <w:spacing w:val="-30"/>
          <w:w w:val="105"/>
        </w:rPr>
        <w:t> </w:t>
      </w:r>
      <w:r>
        <w:rPr>
          <w:color w:val="231F20"/>
          <w:w w:val="105"/>
        </w:rPr>
        <w:t>y</w:t>
      </w:r>
      <w:r>
        <w:rPr>
          <w:color w:val="231F20"/>
          <w:spacing w:val="-30"/>
          <w:w w:val="105"/>
        </w:rPr>
        <w:t> </w:t>
      </w:r>
      <w:r>
        <w:rPr>
          <w:color w:val="231F20"/>
          <w:w w:val="105"/>
        </w:rPr>
        <w:t>global,</w:t>
      </w:r>
      <w:r>
        <w:rPr>
          <w:color w:val="231F20"/>
          <w:spacing w:val="-30"/>
          <w:w w:val="105"/>
        </w:rPr>
        <w:t> </w:t>
      </w:r>
      <w:r>
        <w:rPr>
          <w:color w:val="231F20"/>
          <w:w w:val="105"/>
        </w:rPr>
        <w:t>ade- más</w:t>
      </w:r>
      <w:r>
        <w:rPr>
          <w:color w:val="231F20"/>
          <w:spacing w:val="-22"/>
          <w:w w:val="105"/>
        </w:rPr>
        <w:t> </w:t>
      </w:r>
      <w:r>
        <w:rPr>
          <w:color w:val="231F20"/>
          <w:w w:val="105"/>
        </w:rPr>
        <w:t>de</w:t>
      </w:r>
      <w:r>
        <w:rPr>
          <w:color w:val="231F20"/>
          <w:spacing w:val="-22"/>
          <w:w w:val="105"/>
        </w:rPr>
        <w:t> </w:t>
      </w:r>
      <w:r>
        <w:rPr>
          <w:color w:val="231F20"/>
          <w:w w:val="105"/>
        </w:rPr>
        <w:t>ampararse</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Convención</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Naciones</w:t>
      </w:r>
      <w:r>
        <w:rPr>
          <w:color w:val="231F20"/>
          <w:spacing w:val="-22"/>
          <w:w w:val="105"/>
        </w:rPr>
        <w:t> </w:t>
      </w:r>
      <w:r>
        <w:rPr>
          <w:color w:val="231F20"/>
          <w:w w:val="105"/>
        </w:rPr>
        <w:t>Unidas</w:t>
      </w:r>
      <w:r>
        <w:rPr>
          <w:color w:val="231F20"/>
          <w:spacing w:val="-22"/>
          <w:w w:val="105"/>
        </w:rPr>
        <w:t> </w:t>
      </w:r>
      <w:r>
        <w:rPr>
          <w:color w:val="231F20"/>
          <w:w w:val="105"/>
        </w:rPr>
        <w:t>contra</w:t>
      </w:r>
      <w:r>
        <w:rPr>
          <w:color w:val="231F20"/>
          <w:spacing w:val="-22"/>
          <w:w w:val="105"/>
        </w:rPr>
        <w:t> </w:t>
      </w:r>
      <w:r>
        <w:rPr>
          <w:color w:val="231F20"/>
          <w:w w:val="105"/>
        </w:rPr>
        <w:t>la</w:t>
      </w:r>
      <w:r>
        <w:rPr>
          <w:color w:val="231F20"/>
          <w:spacing w:val="-22"/>
          <w:w w:val="105"/>
        </w:rPr>
        <w:t> </w:t>
      </w:r>
      <w:r>
        <w:rPr>
          <w:color w:val="231F20"/>
          <w:w w:val="105"/>
        </w:rPr>
        <w:t>De- lincuencia</w:t>
      </w:r>
      <w:r>
        <w:rPr>
          <w:color w:val="231F20"/>
          <w:spacing w:val="-36"/>
          <w:w w:val="105"/>
        </w:rPr>
        <w:t> </w:t>
      </w:r>
      <w:r>
        <w:rPr>
          <w:color w:val="231F20"/>
          <w:w w:val="105"/>
        </w:rPr>
        <w:t>Organizada</w:t>
      </w:r>
      <w:r>
        <w:rPr>
          <w:color w:val="231F20"/>
          <w:spacing w:val="-36"/>
          <w:w w:val="105"/>
        </w:rPr>
        <w:t> </w:t>
      </w:r>
      <w:r>
        <w:rPr>
          <w:color w:val="231F20"/>
          <w:w w:val="105"/>
        </w:rPr>
        <w:t>Trasnacional</w:t>
      </w:r>
      <w:r>
        <w:rPr>
          <w:color w:val="231F20"/>
          <w:spacing w:val="-36"/>
          <w:w w:val="105"/>
        </w:rPr>
        <w:t> </w:t>
      </w:r>
      <w:r>
        <w:rPr>
          <w:color w:val="231F20"/>
          <w:w w:val="105"/>
        </w:rPr>
        <w:t>o</w:t>
      </w:r>
      <w:r>
        <w:rPr>
          <w:color w:val="231F20"/>
          <w:spacing w:val="-36"/>
          <w:w w:val="105"/>
        </w:rPr>
        <w:t> </w:t>
      </w:r>
      <w:r>
        <w:rPr>
          <w:color w:val="231F20"/>
          <w:w w:val="105"/>
        </w:rPr>
        <w:t>también</w:t>
      </w:r>
      <w:r>
        <w:rPr>
          <w:color w:val="231F20"/>
          <w:spacing w:val="-36"/>
          <w:w w:val="105"/>
        </w:rPr>
        <w:t> </w:t>
      </w:r>
      <w:r>
        <w:rPr>
          <w:color w:val="231F20"/>
          <w:w w:val="105"/>
        </w:rPr>
        <w:t>conocida</w:t>
      </w:r>
      <w:r>
        <w:rPr>
          <w:color w:val="231F20"/>
          <w:spacing w:val="-36"/>
          <w:w w:val="105"/>
        </w:rPr>
        <w:t> </w:t>
      </w:r>
      <w:r>
        <w:rPr>
          <w:color w:val="231F20"/>
          <w:w w:val="105"/>
        </w:rPr>
        <w:t>como</w:t>
      </w:r>
      <w:r>
        <w:rPr>
          <w:color w:val="231F20"/>
          <w:spacing w:val="-36"/>
          <w:w w:val="105"/>
        </w:rPr>
        <w:t> </w:t>
      </w:r>
      <w:r>
        <w:rPr>
          <w:color w:val="231F20"/>
          <w:w w:val="105"/>
        </w:rPr>
        <w:t>Convención de</w:t>
      </w:r>
      <w:r>
        <w:rPr>
          <w:color w:val="231F20"/>
          <w:spacing w:val="-49"/>
          <w:w w:val="105"/>
        </w:rPr>
        <w:t> </w:t>
      </w:r>
      <w:r>
        <w:rPr>
          <w:color w:val="231F20"/>
          <w:w w:val="105"/>
        </w:rPr>
        <w:t>Palermo</w:t>
      </w:r>
      <w:r>
        <w:rPr>
          <w:color w:val="231F20"/>
          <w:w w:val="105"/>
          <w:position w:val="7"/>
          <w:sz w:val="12"/>
        </w:rPr>
        <w:t>23</w:t>
      </w:r>
      <w:r>
        <w:rPr>
          <w:color w:val="231F20"/>
          <w:w w:val="105"/>
        </w:rPr>
        <w:t>.</w:t>
      </w:r>
    </w:p>
    <w:p>
      <w:pPr>
        <w:pStyle w:val="BodyText"/>
        <w:spacing w:line="247" w:lineRule="auto"/>
        <w:ind w:left="103" w:right="115" w:firstLine="566"/>
        <w:jc w:val="both"/>
      </w:pPr>
      <w:r>
        <w:rPr>
          <w:color w:val="231F20"/>
        </w:rPr>
        <w:t>Para el </w:t>
      </w:r>
      <w:r>
        <w:rPr>
          <w:color w:val="231F20"/>
          <w:spacing w:val="-3"/>
        </w:rPr>
        <w:t>expresidente </w:t>
      </w:r>
      <w:r>
        <w:rPr>
          <w:color w:val="231F20"/>
        </w:rPr>
        <w:t>de la Corte Interamericana de </w:t>
      </w:r>
      <w:r>
        <w:rPr>
          <w:color w:val="231F20"/>
          <w:spacing w:val="-3"/>
        </w:rPr>
        <w:t>Derechos </w:t>
      </w:r>
      <w:r>
        <w:rPr>
          <w:color w:val="231F20"/>
        </w:rPr>
        <w:t>Huma- nos, </w:t>
      </w:r>
      <w:r>
        <w:rPr>
          <w:color w:val="231F20"/>
          <w:spacing w:val="-3"/>
        </w:rPr>
        <w:t>Sergio García Ramírez, </w:t>
      </w:r>
      <w:r>
        <w:rPr>
          <w:color w:val="231F20"/>
        </w:rPr>
        <w:t>el combate a la delincuencia </w:t>
      </w:r>
      <w:r>
        <w:rPr>
          <w:color w:val="231F20"/>
          <w:spacing w:val="-3"/>
        </w:rPr>
        <w:t>organizada </w:t>
      </w:r>
      <w:r>
        <w:rPr>
          <w:color w:val="231F20"/>
        </w:rPr>
        <w:t>rom- pió con una tradición del </w:t>
      </w:r>
      <w:r>
        <w:rPr>
          <w:color w:val="231F20"/>
          <w:spacing w:val="-3"/>
        </w:rPr>
        <w:t>Derecho </w:t>
      </w:r>
      <w:r>
        <w:rPr>
          <w:color w:val="231F20"/>
        </w:rPr>
        <w:t>penal que ha llevado demasiados años construir</w:t>
      </w:r>
      <w:r>
        <w:rPr>
          <w:color w:val="231F20"/>
          <w:spacing w:val="-13"/>
        </w:rPr>
        <w:t> </w:t>
      </w:r>
      <w:r>
        <w:rPr>
          <w:color w:val="231F20"/>
        </w:rPr>
        <w:t>a</w:t>
      </w:r>
      <w:r>
        <w:rPr>
          <w:color w:val="231F20"/>
          <w:spacing w:val="-13"/>
        </w:rPr>
        <w:t> </w:t>
      </w:r>
      <w:r>
        <w:rPr>
          <w:color w:val="231F20"/>
        </w:rPr>
        <w:t>nivel</w:t>
      </w:r>
      <w:r>
        <w:rPr>
          <w:color w:val="231F20"/>
          <w:spacing w:val="-13"/>
        </w:rPr>
        <w:t> </w:t>
      </w:r>
      <w:r>
        <w:rPr>
          <w:color w:val="231F20"/>
        </w:rPr>
        <w:t>mundial</w:t>
      </w:r>
      <w:r>
        <w:rPr>
          <w:color w:val="231F20"/>
          <w:spacing w:val="-13"/>
        </w:rPr>
        <w:t> </w:t>
      </w:r>
      <w:r>
        <w:rPr>
          <w:color w:val="231F20"/>
        </w:rPr>
        <w:t>y</w:t>
      </w:r>
      <w:r>
        <w:rPr>
          <w:color w:val="231F20"/>
          <w:spacing w:val="-13"/>
        </w:rPr>
        <w:t> </w:t>
      </w:r>
      <w:r>
        <w:rPr>
          <w:color w:val="231F20"/>
        </w:rPr>
        <w:t>que</w:t>
      </w:r>
      <w:r>
        <w:rPr>
          <w:color w:val="231F20"/>
          <w:spacing w:val="-13"/>
        </w:rPr>
        <w:t> </w:t>
      </w:r>
      <w:r>
        <w:rPr>
          <w:color w:val="231F20"/>
        </w:rPr>
        <w:t>en</w:t>
      </w:r>
      <w:r>
        <w:rPr>
          <w:color w:val="231F20"/>
          <w:spacing w:val="-13"/>
        </w:rPr>
        <w:t> </w:t>
      </w:r>
      <w:r>
        <w:rPr>
          <w:color w:val="231F20"/>
        </w:rPr>
        <w:t>México</w:t>
      </w:r>
      <w:r>
        <w:rPr>
          <w:color w:val="231F20"/>
          <w:spacing w:val="-13"/>
        </w:rPr>
        <w:t> </w:t>
      </w:r>
      <w:r>
        <w:rPr>
          <w:color w:val="231F20"/>
        </w:rPr>
        <w:t>apenas</w:t>
      </w:r>
      <w:r>
        <w:rPr>
          <w:color w:val="231F20"/>
          <w:spacing w:val="-13"/>
        </w:rPr>
        <w:t> </w:t>
      </w:r>
      <w:r>
        <w:rPr>
          <w:color w:val="231F20"/>
        </w:rPr>
        <w:t>se</w:t>
      </w:r>
      <w:r>
        <w:rPr>
          <w:color w:val="231F20"/>
          <w:spacing w:val="-13"/>
        </w:rPr>
        <w:t> </w:t>
      </w:r>
      <w:r>
        <w:rPr>
          <w:color w:val="231F20"/>
        </w:rPr>
        <w:t>comenzaba</w:t>
      </w:r>
      <w:r>
        <w:rPr>
          <w:color w:val="231F20"/>
          <w:spacing w:val="-13"/>
        </w:rPr>
        <w:t> </w:t>
      </w:r>
      <w:r>
        <w:rPr>
          <w:color w:val="231F20"/>
        </w:rPr>
        <w:t>a</w:t>
      </w:r>
      <w:r>
        <w:rPr>
          <w:color w:val="231F20"/>
          <w:spacing w:val="-13"/>
        </w:rPr>
        <w:t> </w:t>
      </w:r>
      <w:r>
        <w:rPr>
          <w:color w:val="231F20"/>
        </w:rPr>
        <w:t>edificar:</w:t>
      </w:r>
    </w:p>
    <w:p>
      <w:pPr>
        <w:pStyle w:val="BodyText"/>
        <w:spacing w:before="10"/>
        <w:rPr>
          <w:sz w:val="22"/>
        </w:rPr>
      </w:pPr>
    </w:p>
    <w:p>
      <w:pPr>
        <w:spacing w:line="220" w:lineRule="exact" w:before="1"/>
        <w:ind w:left="1521" w:right="115" w:firstLine="0"/>
        <w:jc w:val="both"/>
        <w:rPr>
          <w:sz w:val="19"/>
        </w:rPr>
      </w:pPr>
      <w:r>
        <w:rPr>
          <w:color w:val="231F20"/>
          <w:spacing w:val="-3"/>
          <w:w w:val="105"/>
          <w:sz w:val="19"/>
        </w:rPr>
        <w:t>Desde</w:t>
      </w:r>
      <w:r>
        <w:rPr>
          <w:color w:val="231F20"/>
          <w:spacing w:val="-21"/>
          <w:w w:val="105"/>
          <w:sz w:val="19"/>
        </w:rPr>
        <w:t> </w:t>
      </w:r>
      <w:r>
        <w:rPr>
          <w:color w:val="231F20"/>
          <w:spacing w:val="-3"/>
          <w:w w:val="105"/>
          <w:sz w:val="19"/>
        </w:rPr>
        <w:t>hace</w:t>
      </w:r>
      <w:r>
        <w:rPr>
          <w:color w:val="231F20"/>
          <w:spacing w:val="-21"/>
          <w:w w:val="105"/>
          <w:sz w:val="19"/>
        </w:rPr>
        <w:t> </w:t>
      </w:r>
      <w:r>
        <w:rPr>
          <w:color w:val="231F20"/>
          <w:spacing w:val="-3"/>
          <w:w w:val="105"/>
          <w:sz w:val="19"/>
        </w:rPr>
        <w:t>tiempo</w:t>
      </w:r>
      <w:r>
        <w:rPr>
          <w:color w:val="231F20"/>
          <w:spacing w:val="-21"/>
          <w:w w:val="105"/>
          <w:sz w:val="19"/>
        </w:rPr>
        <w:t> </w:t>
      </w:r>
      <w:r>
        <w:rPr>
          <w:color w:val="231F20"/>
          <w:w w:val="105"/>
          <w:sz w:val="19"/>
        </w:rPr>
        <w:t>se</w:t>
      </w:r>
      <w:r>
        <w:rPr>
          <w:color w:val="231F20"/>
          <w:spacing w:val="-21"/>
          <w:w w:val="105"/>
          <w:sz w:val="19"/>
        </w:rPr>
        <w:t> </w:t>
      </w:r>
      <w:r>
        <w:rPr>
          <w:color w:val="231F20"/>
          <w:w w:val="105"/>
          <w:sz w:val="19"/>
        </w:rPr>
        <w:t>ha</w:t>
      </w:r>
      <w:r>
        <w:rPr>
          <w:color w:val="231F20"/>
          <w:spacing w:val="-21"/>
          <w:w w:val="105"/>
          <w:sz w:val="19"/>
        </w:rPr>
        <w:t> </w:t>
      </w:r>
      <w:r>
        <w:rPr>
          <w:color w:val="231F20"/>
          <w:spacing w:val="-3"/>
          <w:w w:val="105"/>
          <w:sz w:val="19"/>
        </w:rPr>
        <w:t>insinuado,</w:t>
      </w:r>
      <w:r>
        <w:rPr>
          <w:color w:val="231F20"/>
          <w:spacing w:val="-21"/>
          <w:w w:val="105"/>
          <w:sz w:val="19"/>
        </w:rPr>
        <w:t> </w:t>
      </w:r>
      <w:r>
        <w:rPr>
          <w:color w:val="231F20"/>
          <w:spacing w:val="-4"/>
          <w:w w:val="105"/>
          <w:sz w:val="19"/>
        </w:rPr>
        <w:t>recogido</w:t>
      </w:r>
      <w:r>
        <w:rPr>
          <w:color w:val="231F20"/>
          <w:spacing w:val="-21"/>
          <w:w w:val="105"/>
          <w:sz w:val="19"/>
        </w:rPr>
        <w:t> </w:t>
      </w:r>
      <w:r>
        <w:rPr>
          <w:color w:val="231F20"/>
          <w:w w:val="105"/>
          <w:sz w:val="19"/>
        </w:rPr>
        <w:t>o</w:t>
      </w:r>
      <w:r>
        <w:rPr>
          <w:color w:val="231F20"/>
          <w:spacing w:val="-21"/>
          <w:w w:val="105"/>
          <w:sz w:val="19"/>
        </w:rPr>
        <w:t> </w:t>
      </w:r>
      <w:r>
        <w:rPr>
          <w:color w:val="231F20"/>
          <w:spacing w:val="-3"/>
          <w:w w:val="105"/>
          <w:sz w:val="19"/>
        </w:rPr>
        <w:t>consolidado</w:t>
      </w:r>
      <w:r>
        <w:rPr>
          <w:color w:val="231F20"/>
          <w:spacing w:val="-21"/>
          <w:w w:val="105"/>
          <w:sz w:val="19"/>
        </w:rPr>
        <w:t> </w:t>
      </w:r>
      <w:r>
        <w:rPr>
          <w:color w:val="231F20"/>
          <w:spacing w:val="-4"/>
          <w:w w:val="105"/>
          <w:sz w:val="19"/>
        </w:rPr>
        <w:t>—tres </w:t>
      </w:r>
      <w:r>
        <w:rPr>
          <w:color w:val="231F20"/>
          <w:w w:val="105"/>
          <w:sz w:val="19"/>
        </w:rPr>
        <w:t>pasos</w:t>
      </w:r>
      <w:r>
        <w:rPr>
          <w:color w:val="231F20"/>
          <w:spacing w:val="-43"/>
          <w:w w:val="105"/>
          <w:sz w:val="19"/>
        </w:rPr>
        <w:t> </w:t>
      </w:r>
      <w:r>
        <w:rPr>
          <w:color w:val="231F20"/>
          <w:w w:val="105"/>
          <w:sz w:val="19"/>
        </w:rPr>
        <w:t>en</w:t>
      </w:r>
      <w:r>
        <w:rPr>
          <w:color w:val="231F20"/>
          <w:spacing w:val="-43"/>
          <w:w w:val="105"/>
          <w:sz w:val="19"/>
        </w:rPr>
        <w:t> </w:t>
      </w:r>
      <w:r>
        <w:rPr>
          <w:color w:val="231F20"/>
          <w:w w:val="105"/>
          <w:sz w:val="19"/>
        </w:rPr>
        <w:t>un</w:t>
      </w:r>
      <w:r>
        <w:rPr>
          <w:color w:val="231F20"/>
          <w:spacing w:val="-43"/>
          <w:w w:val="105"/>
          <w:sz w:val="19"/>
        </w:rPr>
        <w:t> </w:t>
      </w:r>
      <w:r>
        <w:rPr>
          <w:color w:val="231F20"/>
          <w:w w:val="105"/>
          <w:sz w:val="19"/>
        </w:rPr>
        <w:t>solo</w:t>
      </w:r>
      <w:r>
        <w:rPr>
          <w:color w:val="231F20"/>
          <w:spacing w:val="-43"/>
          <w:w w:val="105"/>
          <w:sz w:val="19"/>
        </w:rPr>
        <w:t> </w:t>
      </w:r>
      <w:r>
        <w:rPr>
          <w:color w:val="231F20"/>
          <w:w w:val="105"/>
          <w:sz w:val="19"/>
        </w:rPr>
        <w:t>rumbo,</w:t>
      </w:r>
      <w:r>
        <w:rPr>
          <w:color w:val="231F20"/>
          <w:spacing w:val="-43"/>
          <w:w w:val="105"/>
          <w:sz w:val="19"/>
        </w:rPr>
        <w:t> </w:t>
      </w:r>
      <w:r>
        <w:rPr>
          <w:color w:val="231F20"/>
          <w:w w:val="105"/>
          <w:sz w:val="19"/>
        </w:rPr>
        <w:t>difícilmente</w:t>
      </w:r>
      <w:r>
        <w:rPr>
          <w:color w:val="231F20"/>
          <w:spacing w:val="-43"/>
          <w:w w:val="105"/>
          <w:sz w:val="19"/>
        </w:rPr>
        <w:t> </w:t>
      </w:r>
      <w:r>
        <w:rPr>
          <w:color w:val="231F20"/>
          <w:spacing w:val="-3"/>
          <w:w w:val="105"/>
          <w:sz w:val="19"/>
        </w:rPr>
        <w:t>reversible</w:t>
      </w:r>
      <w:r>
        <w:rPr>
          <w:color w:val="231F20"/>
          <w:spacing w:val="-43"/>
          <w:w w:val="105"/>
          <w:sz w:val="19"/>
        </w:rPr>
        <w:t> </w:t>
      </w:r>
      <w:r>
        <w:rPr>
          <w:color w:val="231F20"/>
          <w:w w:val="105"/>
          <w:sz w:val="19"/>
        </w:rPr>
        <w:t>y</w:t>
      </w:r>
      <w:r>
        <w:rPr>
          <w:color w:val="231F20"/>
          <w:spacing w:val="-43"/>
          <w:w w:val="105"/>
          <w:sz w:val="19"/>
        </w:rPr>
        <w:t> </w:t>
      </w:r>
      <w:r>
        <w:rPr>
          <w:color w:val="231F20"/>
          <w:w w:val="105"/>
          <w:sz w:val="19"/>
        </w:rPr>
        <w:t>sumamente</w:t>
      </w:r>
      <w:r>
        <w:rPr>
          <w:color w:val="231F20"/>
          <w:spacing w:val="-43"/>
          <w:w w:val="105"/>
          <w:sz w:val="19"/>
        </w:rPr>
        <w:t> </w:t>
      </w:r>
      <w:r>
        <w:rPr>
          <w:color w:val="231F20"/>
          <w:spacing w:val="-3"/>
          <w:w w:val="105"/>
          <w:sz w:val="19"/>
        </w:rPr>
        <w:t>preo- </w:t>
      </w:r>
      <w:r>
        <w:rPr>
          <w:color w:val="231F20"/>
          <w:w w:val="105"/>
          <w:sz w:val="19"/>
        </w:rPr>
        <w:t>cupante—</w:t>
      </w:r>
      <w:r>
        <w:rPr>
          <w:color w:val="231F20"/>
          <w:spacing w:val="-20"/>
          <w:w w:val="105"/>
          <w:sz w:val="19"/>
        </w:rPr>
        <w:t> </w:t>
      </w:r>
      <w:r>
        <w:rPr>
          <w:color w:val="231F20"/>
          <w:w w:val="105"/>
          <w:sz w:val="19"/>
        </w:rPr>
        <w:t>la</w:t>
      </w:r>
      <w:r>
        <w:rPr>
          <w:color w:val="231F20"/>
          <w:spacing w:val="-20"/>
          <w:w w:val="105"/>
          <w:sz w:val="19"/>
        </w:rPr>
        <w:t> </w:t>
      </w:r>
      <w:r>
        <w:rPr>
          <w:color w:val="231F20"/>
          <w:w w:val="105"/>
          <w:sz w:val="19"/>
        </w:rPr>
        <w:t>idea</w:t>
      </w:r>
      <w:r>
        <w:rPr>
          <w:color w:val="231F20"/>
          <w:spacing w:val="-20"/>
          <w:w w:val="105"/>
          <w:sz w:val="19"/>
        </w:rPr>
        <w:t> </w:t>
      </w:r>
      <w:r>
        <w:rPr>
          <w:color w:val="231F20"/>
          <w:w w:val="105"/>
          <w:sz w:val="19"/>
        </w:rPr>
        <w:t>de</w:t>
      </w:r>
      <w:r>
        <w:rPr>
          <w:color w:val="231F20"/>
          <w:spacing w:val="-20"/>
          <w:w w:val="105"/>
          <w:sz w:val="19"/>
        </w:rPr>
        <w:t> </w:t>
      </w:r>
      <w:r>
        <w:rPr>
          <w:color w:val="231F20"/>
          <w:w w:val="105"/>
          <w:sz w:val="19"/>
        </w:rPr>
        <w:t>escindir</w:t>
      </w:r>
      <w:r>
        <w:rPr>
          <w:color w:val="231F20"/>
          <w:spacing w:val="-20"/>
          <w:w w:val="105"/>
          <w:sz w:val="19"/>
        </w:rPr>
        <w:t> </w:t>
      </w:r>
      <w:r>
        <w:rPr>
          <w:color w:val="231F20"/>
          <w:w w:val="105"/>
          <w:sz w:val="19"/>
        </w:rPr>
        <w:t>en</w:t>
      </w:r>
      <w:r>
        <w:rPr>
          <w:color w:val="231F20"/>
          <w:spacing w:val="-20"/>
          <w:w w:val="105"/>
          <w:sz w:val="19"/>
        </w:rPr>
        <w:t> </w:t>
      </w:r>
      <w:r>
        <w:rPr>
          <w:color w:val="231F20"/>
          <w:w w:val="105"/>
          <w:sz w:val="19"/>
        </w:rPr>
        <w:t>dos</w:t>
      </w:r>
      <w:r>
        <w:rPr>
          <w:color w:val="231F20"/>
          <w:spacing w:val="-20"/>
          <w:w w:val="105"/>
          <w:sz w:val="19"/>
        </w:rPr>
        <w:t> </w:t>
      </w:r>
      <w:r>
        <w:rPr>
          <w:color w:val="231F20"/>
          <w:spacing w:val="-3"/>
          <w:w w:val="105"/>
          <w:sz w:val="19"/>
        </w:rPr>
        <w:t>direcciones</w:t>
      </w:r>
      <w:r>
        <w:rPr>
          <w:color w:val="231F20"/>
          <w:spacing w:val="-20"/>
          <w:w w:val="105"/>
          <w:sz w:val="19"/>
        </w:rPr>
        <w:t> </w:t>
      </w:r>
      <w:r>
        <w:rPr>
          <w:color w:val="231F20"/>
          <w:w w:val="105"/>
          <w:sz w:val="19"/>
        </w:rPr>
        <w:t>el</w:t>
      </w:r>
      <w:r>
        <w:rPr>
          <w:color w:val="231F20"/>
          <w:spacing w:val="-20"/>
          <w:w w:val="105"/>
          <w:sz w:val="19"/>
        </w:rPr>
        <w:t> </w:t>
      </w:r>
      <w:r>
        <w:rPr>
          <w:color w:val="231F20"/>
          <w:spacing w:val="-3"/>
          <w:w w:val="105"/>
          <w:sz w:val="19"/>
        </w:rPr>
        <w:t>derecho</w:t>
      </w:r>
      <w:r>
        <w:rPr>
          <w:color w:val="231F20"/>
          <w:spacing w:val="-20"/>
          <w:w w:val="105"/>
          <w:sz w:val="19"/>
        </w:rPr>
        <w:t> </w:t>
      </w:r>
      <w:r>
        <w:rPr>
          <w:color w:val="231F20"/>
          <w:w w:val="105"/>
          <w:sz w:val="19"/>
        </w:rPr>
        <w:t>penal sustantivo,</w:t>
      </w:r>
      <w:r>
        <w:rPr>
          <w:color w:val="231F20"/>
          <w:spacing w:val="-16"/>
          <w:w w:val="105"/>
          <w:sz w:val="19"/>
        </w:rPr>
        <w:t> </w:t>
      </w:r>
      <w:r>
        <w:rPr>
          <w:color w:val="231F20"/>
          <w:spacing w:val="-3"/>
          <w:w w:val="105"/>
          <w:sz w:val="19"/>
        </w:rPr>
        <w:t>procesal</w:t>
      </w:r>
      <w:r>
        <w:rPr>
          <w:color w:val="231F20"/>
          <w:spacing w:val="-16"/>
          <w:w w:val="105"/>
          <w:sz w:val="19"/>
        </w:rPr>
        <w:t> </w:t>
      </w:r>
      <w:r>
        <w:rPr>
          <w:color w:val="231F20"/>
          <w:w w:val="105"/>
          <w:sz w:val="19"/>
        </w:rPr>
        <w:t>y</w:t>
      </w:r>
      <w:r>
        <w:rPr>
          <w:color w:val="231F20"/>
          <w:spacing w:val="-16"/>
          <w:w w:val="105"/>
          <w:sz w:val="19"/>
        </w:rPr>
        <w:t> </w:t>
      </w:r>
      <w:r>
        <w:rPr>
          <w:color w:val="231F20"/>
          <w:w w:val="105"/>
          <w:sz w:val="19"/>
        </w:rPr>
        <w:t>ejecutivo,</w:t>
      </w:r>
      <w:r>
        <w:rPr>
          <w:color w:val="231F20"/>
          <w:spacing w:val="-16"/>
          <w:w w:val="105"/>
          <w:sz w:val="19"/>
        </w:rPr>
        <w:t> </w:t>
      </w:r>
      <w:r>
        <w:rPr>
          <w:color w:val="231F20"/>
          <w:w w:val="105"/>
          <w:sz w:val="19"/>
        </w:rPr>
        <w:t>que</w:t>
      </w:r>
      <w:r>
        <w:rPr>
          <w:color w:val="231F20"/>
          <w:spacing w:val="-16"/>
          <w:w w:val="105"/>
          <w:sz w:val="19"/>
        </w:rPr>
        <w:t> </w:t>
      </w:r>
      <w:r>
        <w:rPr>
          <w:color w:val="231F20"/>
          <w:w w:val="105"/>
          <w:sz w:val="19"/>
        </w:rPr>
        <w:t>fue</w:t>
      </w:r>
      <w:r>
        <w:rPr>
          <w:color w:val="231F20"/>
          <w:spacing w:val="-16"/>
          <w:w w:val="105"/>
          <w:sz w:val="19"/>
        </w:rPr>
        <w:t> </w:t>
      </w:r>
      <w:r>
        <w:rPr>
          <w:color w:val="231F20"/>
          <w:w w:val="105"/>
          <w:sz w:val="19"/>
        </w:rPr>
        <w:t>construido</w:t>
      </w:r>
      <w:r>
        <w:rPr>
          <w:color w:val="231F20"/>
          <w:spacing w:val="-16"/>
          <w:w w:val="105"/>
          <w:sz w:val="19"/>
        </w:rPr>
        <w:t> </w:t>
      </w:r>
      <w:r>
        <w:rPr>
          <w:color w:val="231F20"/>
          <w:w w:val="105"/>
          <w:sz w:val="19"/>
        </w:rPr>
        <w:t>a</w:t>
      </w:r>
      <w:r>
        <w:rPr>
          <w:color w:val="231F20"/>
          <w:spacing w:val="-16"/>
          <w:w w:val="105"/>
          <w:sz w:val="19"/>
        </w:rPr>
        <w:t> </w:t>
      </w:r>
      <w:r>
        <w:rPr>
          <w:color w:val="231F20"/>
          <w:w w:val="105"/>
          <w:sz w:val="19"/>
        </w:rPr>
        <w:t>lo</w:t>
      </w:r>
      <w:r>
        <w:rPr>
          <w:color w:val="231F20"/>
          <w:spacing w:val="-16"/>
          <w:w w:val="105"/>
          <w:sz w:val="19"/>
        </w:rPr>
        <w:t> </w:t>
      </w:r>
      <w:r>
        <w:rPr>
          <w:color w:val="231F20"/>
          <w:spacing w:val="-3"/>
          <w:w w:val="105"/>
          <w:sz w:val="19"/>
        </w:rPr>
        <w:t>largo</w:t>
      </w:r>
      <w:r>
        <w:rPr>
          <w:color w:val="231F20"/>
          <w:spacing w:val="-16"/>
          <w:w w:val="105"/>
          <w:sz w:val="19"/>
        </w:rPr>
        <w:t> </w:t>
      </w:r>
      <w:r>
        <w:rPr>
          <w:color w:val="231F20"/>
          <w:w w:val="105"/>
          <w:sz w:val="19"/>
        </w:rPr>
        <w:t>de doscientos</w:t>
      </w:r>
      <w:r>
        <w:rPr>
          <w:color w:val="231F20"/>
          <w:spacing w:val="-25"/>
          <w:w w:val="105"/>
          <w:sz w:val="19"/>
        </w:rPr>
        <w:t> </w:t>
      </w:r>
      <w:r>
        <w:rPr>
          <w:color w:val="231F20"/>
          <w:w w:val="105"/>
          <w:sz w:val="19"/>
        </w:rPr>
        <w:t>años</w:t>
      </w:r>
      <w:r>
        <w:rPr>
          <w:color w:val="231F20"/>
          <w:spacing w:val="-25"/>
          <w:w w:val="105"/>
          <w:sz w:val="19"/>
        </w:rPr>
        <w:t> </w:t>
      </w:r>
      <w:r>
        <w:rPr>
          <w:color w:val="231F20"/>
          <w:w w:val="105"/>
          <w:sz w:val="19"/>
        </w:rPr>
        <w:t>de</w:t>
      </w:r>
      <w:r>
        <w:rPr>
          <w:color w:val="231F20"/>
          <w:spacing w:val="-25"/>
          <w:w w:val="105"/>
          <w:sz w:val="19"/>
        </w:rPr>
        <w:t> </w:t>
      </w:r>
      <w:r>
        <w:rPr>
          <w:color w:val="231F20"/>
          <w:w w:val="105"/>
          <w:sz w:val="19"/>
        </w:rPr>
        <w:t>trabajo</w:t>
      </w:r>
      <w:r>
        <w:rPr>
          <w:color w:val="231F20"/>
          <w:spacing w:val="-25"/>
          <w:w w:val="105"/>
          <w:sz w:val="19"/>
        </w:rPr>
        <w:t> </w:t>
      </w:r>
      <w:r>
        <w:rPr>
          <w:color w:val="231F20"/>
          <w:w w:val="105"/>
          <w:sz w:val="19"/>
        </w:rPr>
        <w:t>en</w:t>
      </w:r>
      <w:r>
        <w:rPr>
          <w:color w:val="231F20"/>
          <w:spacing w:val="-25"/>
          <w:w w:val="105"/>
          <w:sz w:val="19"/>
        </w:rPr>
        <w:t> </w:t>
      </w:r>
      <w:r>
        <w:rPr>
          <w:color w:val="231F20"/>
          <w:w w:val="105"/>
          <w:sz w:val="19"/>
        </w:rPr>
        <w:t>favor</w:t>
      </w:r>
      <w:r>
        <w:rPr>
          <w:color w:val="231F20"/>
          <w:spacing w:val="-25"/>
          <w:w w:val="105"/>
          <w:sz w:val="19"/>
        </w:rPr>
        <w:t> </w:t>
      </w:r>
      <w:r>
        <w:rPr>
          <w:color w:val="231F20"/>
          <w:w w:val="105"/>
          <w:sz w:val="19"/>
        </w:rPr>
        <w:t>de</w:t>
      </w:r>
      <w:r>
        <w:rPr>
          <w:color w:val="231F20"/>
          <w:spacing w:val="-25"/>
          <w:w w:val="105"/>
          <w:sz w:val="19"/>
        </w:rPr>
        <w:t> </w:t>
      </w:r>
      <w:r>
        <w:rPr>
          <w:color w:val="231F20"/>
          <w:w w:val="105"/>
          <w:sz w:val="19"/>
        </w:rPr>
        <w:t>la</w:t>
      </w:r>
      <w:r>
        <w:rPr>
          <w:color w:val="231F20"/>
          <w:spacing w:val="-25"/>
          <w:w w:val="105"/>
          <w:sz w:val="19"/>
        </w:rPr>
        <w:t> </w:t>
      </w:r>
      <w:r>
        <w:rPr>
          <w:color w:val="231F20"/>
          <w:w w:val="105"/>
          <w:sz w:val="19"/>
        </w:rPr>
        <w:t>racionalidad</w:t>
      </w:r>
      <w:r>
        <w:rPr>
          <w:color w:val="231F20"/>
          <w:spacing w:val="-25"/>
          <w:w w:val="105"/>
          <w:sz w:val="19"/>
        </w:rPr>
        <w:t> </w:t>
      </w:r>
      <w:r>
        <w:rPr>
          <w:color w:val="231F20"/>
          <w:w w:val="105"/>
          <w:sz w:val="19"/>
        </w:rPr>
        <w:t>y</w:t>
      </w:r>
      <w:r>
        <w:rPr>
          <w:color w:val="231F20"/>
          <w:spacing w:val="-25"/>
          <w:w w:val="105"/>
          <w:sz w:val="19"/>
        </w:rPr>
        <w:t> </w:t>
      </w:r>
      <w:r>
        <w:rPr>
          <w:color w:val="231F20"/>
          <w:w w:val="105"/>
          <w:sz w:val="19"/>
        </w:rPr>
        <w:t>la</w:t>
      </w:r>
      <w:r>
        <w:rPr>
          <w:color w:val="231F20"/>
          <w:spacing w:val="-25"/>
          <w:w w:val="105"/>
          <w:sz w:val="19"/>
        </w:rPr>
        <w:t> </w:t>
      </w:r>
      <w:r>
        <w:rPr>
          <w:color w:val="231F20"/>
          <w:w w:val="105"/>
          <w:sz w:val="19"/>
        </w:rPr>
        <w:t>demo- cracia.</w:t>
      </w:r>
      <w:r>
        <w:rPr>
          <w:color w:val="231F20"/>
          <w:spacing w:val="-30"/>
          <w:w w:val="105"/>
          <w:sz w:val="19"/>
        </w:rPr>
        <w:t> </w:t>
      </w:r>
      <w:r>
        <w:rPr>
          <w:color w:val="231F20"/>
          <w:w w:val="105"/>
          <w:sz w:val="19"/>
        </w:rPr>
        <w:t>[…]</w:t>
      </w:r>
      <w:r>
        <w:rPr>
          <w:color w:val="231F20"/>
          <w:spacing w:val="-30"/>
          <w:w w:val="105"/>
          <w:sz w:val="19"/>
        </w:rPr>
        <w:t> </w:t>
      </w:r>
      <w:r>
        <w:rPr>
          <w:color w:val="231F20"/>
          <w:w w:val="105"/>
          <w:sz w:val="19"/>
        </w:rPr>
        <w:t>En</w:t>
      </w:r>
      <w:r>
        <w:rPr>
          <w:color w:val="231F20"/>
          <w:spacing w:val="-30"/>
          <w:w w:val="105"/>
          <w:sz w:val="19"/>
        </w:rPr>
        <w:t> </w:t>
      </w:r>
      <w:r>
        <w:rPr>
          <w:color w:val="231F20"/>
          <w:w w:val="105"/>
          <w:sz w:val="19"/>
        </w:rPr>
        <w:t>primer</w:t>
      </w:r>
      <w:r>
        <w:rPr>
          <w:color w:val="231F20"/>
          <w:spacing w:val="-30"/>
          <w:w w:val="105"/>
          <w:sz w:val="19"/>
        </w:rPr>
        <w:t> </w:t>
      </w:r>
      <w:r>
        <w:rPr>
          <w:color w:val="231F20"/>
          <w:w w:val="105"/>
          <w:sz w:val="19"/>
        </w:rPr>
        <w:t>término,</w:t>
      </w:r>
      <w:r>
        <w:rPr>
          <w:color w:val="231F20"/>
          <w:spacing w:val="-30"/>
          <w:w w:val="105"/>
          <w:sz w:val="19"/>
        </w:rPr>
        <w:t> </w:t>
      </w:r>
      <w:r>
        <w:rPr>
          <w:color w:val="231F20"/>
          <w:w w:val="105"/>
          <w:sz w:val="19"/>
        </w:rPr>
        <w:t>existe</w:t>
      </w:r>
      <w:r>
        <w:rPr>
          <w:color w:val="231F20"/>
          <w:spacing w:val="-30"/>
          <w:w w:val="105"/>
          <w:sz w:val="19"/>
        </w:rPr>
        <w:t> </w:t>
      </w:r>
      <w:r>
        <w:rPr>
          <w:color w:val="231F20"/>
          <w:w w:val="105"/>
          <w:sz w:val="19"/>
        </w:rPr>
        <w:t>un</w:t>
      </w:r>
      <w:r>
        <w:rPr>
          <w:color w:val="231F20"/>
          <w:spacing w:val="-30"/>
          <w:w w:val="105"/>
          <w:sz w:val="19"/>
        </w:rPr>
        <w:t> </w:t>
      </w:r>
      <w:r>
        <w:rPr>
          <w:color w:val="231F20"/>
          <w:w w:val="105"/>
          <w:sz w:val="19"/>
        </w:rPr>
        <w:t>sistema</w:t>
      </w:r>
      <w:r>
        <w:rPr>
          <w:color w:val="231F20"/>
          <w:spacing w:val="-30"/>
          <w:w w:val="105"/>
          <w:sz w:val="19"/>
        </w:rPr>
        <w:t> </w:t>
      </w:r>
      <w:r>
        <w:rPr>
          <w:color w:val="231F20"/>
          <w:w w:val="105"/>
          <w:sz w:val="19"/>
        </w:rPr>
        <w:t>penal</w:t>
      </w:r>
      <w:r>
        <w:rPr>
          <w:color w:val="231F20"/>
          <w:spacing w:val="-30"/>
          <w:w w:val="105"/>
          <w:sz w:val="19"/>
        </w:rPr>
        <w:t> </w:t>
      </w:r>
      <w:r>
        <w:rPr>
          <w:color w:val="231F20"/>
          <w:spacing w:val="-3"/>
          <w:w w:val="105"/>
          <w:sz w:val="19"/>
        </w:rPr>
        <w:t>“ordinario” </w:t>
      </w:r>
      <w:r>
        <w:rPr>
          <w:color w:val="231F20"/>
          <w:w w:val="105"/>
          <w:sz w:val="19"/>
        </w:rPr>
        <w:t>o</w:t>
      </w:r>
      <w:r>
        <w:rPr>
          <w:color w:val="231F20"/>
          <w:spacing w:val="-16"/>
          <w:w w:val="105"/>
          <w:sz w:val="19"/>
        </w:rPr>
        <w:t> </w:t>
      </w:r>
      <w:r>
        <w:rPr>
          <w:color w:val="231F20"/>
          <w:spacing w:val="-3"/>
          <w:w w:val="105"/>
          <w:sz w:val="19"/>
        </w:rPr>
        <w:t>“regular”,</w:t>
      </w:r>
      <w:r>
        <w:rPr>
          <w:color w:val="231F20"/>
          <w:spacing w:val="-16"/>
          <w:w w:val="105"/>
          <w:sz w:val="19"/>
        </w:rPr>
        <w:t> </w:t>
      </w:r>
      <w:r>
        <w:rPr>
          <w:color w:val="231F20"/>
          <w:w w:val="105"/>
          <w:sz w:val="19"/>
        </w:rPr>
        <w:t>en</w:t>
      </w:r>
      <w:r>
        <w:rPr>
          <w:color w:val="231F20"/>
          <w:spacing w:val="-16"/>
          <w:w w:val="105"/>
          <w:sz w:val="19"/>
        </w:rPr>
        <w:t> </w:t>
      </w:r>
      <w:r>
        <w:rPr>
          <w:color w:val="231F20"/>
          <w:w w:val="105"/>
          <w:sz w:val="19"/>
        </w:rPr>
        <w:t>el</w:t>
      </w:r>
      <w:r>
        <w:rPr>
          <w:color w:val="231F20"/>
          <w:spacing w:val="-16"/>
          <w:w w:val="105"/>
          <w:sz w:val="19"/>
        </w:rPr>
        <w:t> </w:t>
      </w:r>
      <w:r>
        <w:rPr>
          <w:color w:val="231F20"/>
          <w:w w:val="105"/>
          <w:sz w:val="19"/>
        </w:rPr>
        <w:t>que</w:t>
      </w:r>
      <w:r>
        <w:rPr>
          <w:color w:val="231F20"/>
          <w:spacing w:val="-16"/>
          <w:w w:val="105"/>
          <w:sz w:val="19"/>
        </w:rPr>
        <w:t> </w:t>
      </w:r>
      <w:r>
        <w:rPr>
          <w:color w:val="231F20"/>
          <w:w w:val="105"/>
          <w:sz w:val="19"/>
        </w:rPr>
        <w:t>desembocan</w:t>
      </w:r>
      <w:r>
        <w:rPr>
          <w:color w:val="231F20"/>
          <w:spacing w:val="-16"/>
          <w:w w:val="105"/>
          <w:sz w:val="19"/>
        </w:rPr>
        <w:t> </w:t>
      </w:r>
      <w:r>
        <w:rPr>
          <w:color w:val="231F20"/>
          <w:w w:val="105"/>
          <w:sz w:val="19"/>
        </w:rPr>
        <w:t>las</w:t>
      </w:r>
      <w:r>
        <w:rPr>
          <w:color w:val="231F20"/>
          <w:spacing w:val="-16"/>
          <w:w w:val="105"/>
          <w:sz w:val="19"/>
        </w:rPr>
        <w:t> </w:t>
      </w:r>
      <w:r>
        <w:rPr>
          <w:color w:val="231F20"/>
          <w:spacing w:val="-3"/>
          <w:w w:val="105"/>
          <w:sz w:val="19"/>
        </w:rPr>
        <w:t>mejores</w:t>
      </w:r>
      <w:r>
        <w:rPr>
          <w:color w:val="231F20"/>
          <w:spacing w:val="-16"/>
          <w:w w:val="105"/>
          <w:sz w:val="19"/>
        </w:rPr>
        <w:t> </w:t>
      </w:r>
      <w:r>
        <w:rPr>
          <w:color w:val="231F20"/>
          <w:w w:val="105"/>
          <w:sz w:val="19"/>
        </w:rPr>
        <w:t>corrientes</w:t>
      </w:r>
      <w:r>
        <w:rPr>
          <w:color w:val="231F20"/>
          <w:spacing w:val="-16"/>
          <w:w w:val="105"/>
          <w:sz w:val="19"/>
        </w:rPr>
        <w:t> </w:t>
      </w:r>
      <w:r>
        <w:rPr>
          <w:color w:val="231F20"/>
          <w:w w:val="105"/>
          <w:sz w:val="19"/>
        </w:rPr>
        <w:t>demo- cráticas</w:t>
      </w:r>
      <w:r>
        <w:rPr>
          <w:color w:val="231F20"/>
          <w:spacing w:val="-25"/>
          <w:w w:val="105"/>
          <w:sz w:val="19"/>
        </w:rPr>
        <w:t> </w:t>
      </w:r>
      <w:r>
        <w:rPr>
          <w:color w:val="231F20"/>
          <w:w w:val="105"/>
          <w:sz w:val="19"/>
        </w:rPr>
        <w:t>y</w:t>
      </w:r>
      <w:r>
        <w:rPr>
          <w:color w:val="231F20"/>
          <w:spacing w:val="-25"/>
          <w:w w:val="105"/>
          <w:sz w:val="19"/>
        </w:rPr>
        <w:t> </w:t>
      </w:r>
      <w:r>
        <w:rPr>
          <w:color w:val="231F20"/>
          <w:w w:val="105"/>
          <w:sz w:val="19"/>
        </w:rPr>
        <w:t>garantistas,</w:t>
      </w:r>
      <w:r>
        <w:rPr>
          <w:color w:val="231F20"/>
          <w:spacing w:val="-25"/>
          <w:w w:val="105"/>
          <w:sz w:val="19"/>
        </w:rPr>
        <w:t> </w:t>
      </w:r>
      <w:r>
        <w:rPr>
          <w:color w:val="231F20"/>
          <w:spacing w:val="-3"/>
          <w:w w:val="105"/>
          <w:sz w:val="19"/>
        </w:rPr>
        <w:t>surgidas,</w:t>
      </w:r>
      <w:r>
        <w:rPr>
          <w:color w:val="231F20"/>
          <w:spacing w:val="-25"/>
          <w:w w:val="105"/>
          <w:sz w:val="19"/>
        </w:rPr>
        <w:t> </w:t>
      </w:r>
      <w:r>
        <w:rPr>
          <w:color w:val="231F20"/>
          <w:spacing w:val="-3"/>
          <w:w w:val="105"/>
          <w:sz w:val="19"/>
        </w:rPr>
        <w:t>sobre</w:t>
      </w:r>
      <w:r>
        <w:rPr>
          <w:color w:val="231F20"/>
          <w:spacing w:val="-25"/>
          <w:w w:val="105"/>
          <w:sz w:val="19"/>
        </w:rPr>
        <w:t> </w:t>
      </w:r>
      <w:r>
        <w:rPr>
          <w:color w:val="231F20"/>
          <w:w w:val="105"/>
          <w:sz w:val="19"/>
        </w:rPr>
        <w:t>todo,</w:t>
      </w:r>
      <w:r>
        <w:rPr>
          <w:color w:val="231F20"/>
          <w:spacing w:val="-25"/>
          <w:w w:val="105"/>
          <w:sz w:val="19"/>
        </w:rPr>
        <w:t> </w:t>
      </w:r>
      <w:r>
        <w:rPr>
          <w:color w:val="231F20"/>
          <w:w w:val="105"/>
          <w:sz w:val="19"/>
        </w:rPr>
        <w:t>en</w:t>
      </w:r>
      <w:r>
        <w:rPr>
          <w:color w:val="231F20"/>
          <w:spacing w:val="-25"/>
          <w:w w:val="105"/>
          <w:sz w:val="19"/>
        </w:rPr>
        <w:t> </w:t>
      </w:r>
      <w:r>
        <w:rPr>
          <w:color w:val="231F20"/>
          <w:w w:val="105"/>
          <w:sz w:val="19"/>
        </w:rPr>
        <w:t>el</w:t>
      </w:r>
      <w:r>
        <w:rPr>
          <w:color w:val="231F20"/>
          <w:spacing w:val="-25"/>
          <w:w w:val="105"/>
          <w:sz w:val="19"/>
        </w:rPr>
        <w:t> </w:t>
      </w:r>
      <w:r>
        <w:rPr>
          <w:color w:val="231F20"/>
          <w:w w:val="105"/>
          <w:sz w:val="19"/>
        </w:rPr>
        <w:t>último</w:t>
      </w:r>
      <w:r>
        <w:rPr>
          <w:color w:val="231F20"/>
          <w:spacing w:val="-25"/>
          <w:w w:val="105"/>
          <w:sz w:val="19"/>
        </w:rPr>
        <w:t> </w:t>
      </w:r>
      <w:r>
        <w:rPr>
          <w:color w:val="231F20"/>
          <w:spacing w:val="-3"/>
          <w:w w:val="105"/>
          <w:sz w:val="19"/>
        </w:rPr>
        <w:t>tercio</w:t>
      </w:r>
      <w:r>
        <w:rPr>
          <w:color w:val="231F20"/>
          <w:spacing w:val="-25"/>
          <w:w w:val="105"/>
          <w:sz w:val="19"/>
        </w:rPr>
        <w:t> </w:t>
      </w:r>
      <w:r>
        <w:rPr>
          <w:color w:val="231F20"/>
          <w:spacing w:val="-2"/>
          <w:w w:val="105"/>
          <w:sz w:val="19"/>
        </w:rPr>
        <w:t>del </w:t>
      </w:r>
      <w:r>
        <w:rPr>
          <w:color w:val="231F20"/>
          <w:w w:val="105"/>
          <w:sz w:val="19"/>
        </w:rPr>
        <w:t>siglo</w:t>
      </w:r>
      <w:r>
        <w:rPr>
          <w:color w:val="231F20"/>
          <w:spacing w:val="-7"/>
          <w:w w:val="105"/>
          <w:sz w:val="19"/>
        </w:rPr>
        <w:t> </w:t>
      </w:r>
      <w:r>
        <w:rPr>
          <w:color w:val="231F20"/>
          <w:w w:val="105"/>
          <w:sz w:val="16"/>
        </w:rPr>
        <w:t>XVIII</w:t>
      </w:r>
      <w:r>
        <w:rPr>
          <w:color w:val="231F20"/>
          <w:spacing w:val="2"/>
          <w:w w:val="105"/>
          <w:sz w:val="16"/>
        </w:rPr>
        <w:t> </w:t>
      </w:r>
      <w:r>
        <w:rPr>
          <w:color w:val="231F20"/>
          <w:w w:val="105"/>
          <w:sz w:val="19"/>
        </w:rPr>
        <w:t>y</w:t>
      </w:r>
      <w:r>
        <w:rPr>
          <w:color w:val="231F20"/>
          <w:spacing w:val="-7"/>
          <w:w w:val="105"/>
          <w:sz w:val="19"/>
        </w:rPr>
        <w:t> </w:t>
      </w:r>
      <w:r>
        <w:rPr>
          <w:color w:val="231F20"/>
          <w:w w:val="105"/>
          <w:sz w:val="19"/>
        </w:rPr>
        <w:t>que</w:t>
      </w:r>
      <w:r>
        <w:rPr>
          <w:color w:val="231F20"/>
          <w:spacing w:val="-7"/>
          <w:w w:val="105"/>
          <w:sz w:val="19"/>
        </w:rPr>
        <w:t> </w:t>
      </w:r>
      <w:r>
        <w:rPr>
          <w:color w:val="231F20"/>
          <w:spacing w:val="-3"/>
          <w:w w:val="105"/>
          <w:sz w:val="19"/>
        </w:rPr>
        <w:t>prosperaron</w:t>
      </w:r>
      <w:r>
        <w:rPr>
          <w:color w:val="231F20"/>
          <w:spacing w:val="-7"/>
          <w:w w:val="105"/>
          <w:sz w:val="19"/>
        </w:rPr>
        <w:t> </w:t>
      </w:r>
      <w:r>
        <w:rPr>
          <w:color w:val="231F20"/>
          <w:w w:val="105"/>
          <w:sz w:val="19"/>
        </w:rPr>
        <w:t>a</w:t>
      </w:r>
      <w:r>
        <w:rPr>
          <w:color w:val="231F20"/>
          <w:spacing w:val="-7"/>
          <w:w w:val="105"/>
          <w:sz w:val="19"/>
        </w:rPr>
        <w:t> </w:t>
      </w:r>
      <w:r>
        <w:rPr>
          <w:color w:val="231F20"/>
          <w:w w:val="105"/>
          <w:sz w:val="19"/>
        </w:rPr>
        <w:t>lo</w:t>
      </w:r>
      <w:r>
        <w:rPr>
          <w:color w:val="231F20"/>
          <w:spacing w:val="-7"/>
          <w:w w:val="105"/>
          <w:sz w:val="19"/>
        </w:rPr>
        <w:t> </w:t>
      </w:r>
      <w:r>
        <w:rPr>
          <w:color w:val="231F20"/>
          <w:spacing w:val="-3"/>
          <w:w w:val="105"/>
          <w:sz w:val="19"/>
        </w:rPr>
        <w:t>largo</w:t>
      </w:r>
      <w:r>
        <w:rPr>
          <w:color w:val="231F20"/>
          <w:spacing w:val="-7"/>
          <w:w w:val="105"/>
          <w:sz w:val="19"/>
        </w:rPr>
        <w:t> </w:t>
      </w:r>
      <w:r>
        <w:rPr>
          <w:color w:val="231F20"/>
          <w:w w:val="105"/>
          <w:sz w:val="19"/>
        </w:rPr>
        <w:t>de</w:t>
      </w:r>
      <w:r>
        <w:rPr>
          <w:color w:val="231F20"/>
          <w:spacing w:val="-7"/>
          <w:w w:val="105"/>
          <w:sz w:val="19"/>
        </w:rPr>
        <w:t> </w:t>
      </w:r>
      <w:r>
        <w:rPr>
          <w:color w:val="231F20"/>
          <w:w w:val="105"/>
          <w:sz w:val="19"/>
        </w:rPr>
        <w:t>los</w:t>
      </w:r>
      <w:r>
        <w:rPr>
          <w:color w:val="231F20"/>
          <w:spacing w:val="-7"/>
          <w:w w:val="105"/>
          <w:sz w:val="19"/>
        </w:rPr>
        <w:t> </w:t>
      </w:r>
      <w:r>
        <w:rPr>
          <w:color w:val="231F20"/>
          <w:w w:val="105"/>
          <w:sz w:val="19"/>
        </w:rPr>
        <w:t>siglos</w:t>
      </w:r>
      <w:r>
        <w:rPr>
          <w:color w:val="231F20"/>
          <w:spacing w:val="-7"/>
          <w:w w:val="105"/>
          <w:sz w:val="19"/>
        </w:rPr>
        <w:t> </w:t>
      </w:r>
      <w:r>
        <w:rPr>
          <w:color w:val="231F20"/>
          <w:w w:val="105"/>
          <w:sz w:val="16"/>
        </w:rPr>
        <w:t>XIX</w:t>
      </w:r>
      <w:r>
        <w:rPr>
          <w:color w:val="231F20"/>
          <w:spacing w:val="2"/>
          <w:w w:val="105"/>
          <w:sz w:val="16"/>
        </w:rPr>
        <w:t> </w:t>
      </w:r>
      <w:r>
        <w:rPr>
          <w:color w:val="231F20"/>
          <w:w w:val="105"/>
          <w:sz w:val="19"/>
        </w:rPr>
        <w:t>y</w:t>
      </w:r>
      <w:r>
        <w:rPr>
          <w:color w:val="231F20"/>
          <w:spacing w:val="-7"/>
          <w:w w:val="105"/>
          <w:sz w:val="19"/>
        </w:rPr>
        <w:t> </w:t>
      </w:r>
      <w:r>
        <w:rPr>
          <w:color w:val="231F20"/>
          <w:w w:val="105"/>
          <w:sz w:val="19"/>
        </w:rPr>
        <w:t>buena parte</w:t>
      </w:r>
      <w:r>
        <w:rPr>
          <w:color w:val="231F20"/>
          <w:spacing w:val="-46"/>
          <w:w w:val="105"/>
          <w:sz w:val="19"/>
        </w:rPr>
        <w:t> </w:t>
      </w:r>
      <w:r>
        <w:rPr>
          <w:color w:val="231F20"/>
          <w:w w:val="105"/>
          <w:sz w:val="19"/>
        </w:rPr>
        <w:t>del</w:t>
      </w:r>
      <w:r>
        <w:rPr>
          <w:color w:val="231F20"/>
          <w:spacing w:val="-46"/>
          <w:w w:val="105"/>
          <w:sz w:val="19"/>
        </w:rPr>
        <w:t> </w:t>
      </w:r>
      <w:r>
        <w:rPr>
          <w:color w:val="231F20"/>
          <w:w w:val="105"/>
          <w:sz w:val="16"/>
        </w:rPr>
        <w:t>XX</w:t>
      </w:r>
      <w:r>
        <w:rPr>
          <w:color w:val="231F20"/>
          <w:w w:val="105"/>
          <w:sz w:val="19"/>
        </w:rPr>
        <w:t>.</w:t>
      </w:r>
      <w:r>
        <w:rPr>
          <w:color w:val="231F20"/>
          <w:spacing w:val="-46"/>
          <w:w w:val="105"/>
          <w:sz w:val="19"/>
        </w:rPr>
        <w:t> </w:t>
      </w:r>
      <w:r>
        <w:rPr>
          <w:color w:val="231F20"/>
          <w:w w:val="105"/>
          <w:sz w:val="19"/>
        </w:rPr>
        <w:t>En</w:t>
      </w:r>
      <w:r>
        <w:rPr>
          <w:color w:val="231F20"/>
          <w:spacing w:val="-46"/>
          <w:w w:val="105"/>
          <w:sz w:val="19"/>
        </w:rPr>
        <w:t> </w:t>
      </w:r>
      <w:r>
        <w:rPr>
          <w:color w:val="231F20"/>
          <w:w w:val="105"/>
          <w:sz w:val="19"/>
        </w:rPr>
        <w:t>segundo</w:t>
      </w:r>
      <w:r>
        <w:rPr>
          <w:color w:val="231F20"/>
          <w:spacing w:val="-46"/>
          <w:w w:val="105"/>
          <w:sz w:val="19"/>
        </w:rPr>
        <w:t> </w:t>
      </w:r>
      <w:r>
        <w:rPr>
          <w:color w:val="231F20"/>
          <w:w w:val="105"/>
          <w:sz w:val="19"/>
        </w:rPr>
        <w:t>término,</w:t>
      </w:r>
      <w:r>
        <w:rPr>
          <w:color w:val="231F20"/>
          <w:spacing w:val="-46"/>
          <w:w w:val="105"/>
          <w:sz w:val="19"/>
        </w:rPr>
        <w:t> </w:t>
      </w:r>
      <w:r>
        <w:rPr>
          <w:color w:val="231F20"/>
          <w:w w:val="105"/>
          <w:sz w:val="19"/>
        </w:rPr>
        <w:t>comienza</w:t>
      </w:r>
      <w:r>
        <w:rPr>
          <w:color w:val="231F20"/>
          <w:spacing w:val="-46"/>
          <w:w w:val="105"/>
          <w:sz w:val="19"/>
        </w:rPr>
        <w:t> </w:t>
      </w:r>
      <w:r>
        <w:rPr>
          <w:color w:val="231F20"/>
          <w:w w:val="105"/>
          <w:sz w:val="19"/>
        </w:rPr>
        <w:t>a</w:t>
      </w:r>
      <w:r>
        <w:rPr>
          <w:color w:val="231F20"/>
          <w:spacing w:val="-46"/>
          <w:w w:val="105"/>
          <w:sz w:val="19"/>
        </w:rPr>
        <w:t> </w:t>
      </w:r>
      <w:r>
        <w:rPr>
          <w:color w:val="231F20"/>
          <w:w w:val="105"/>
          <w:sz w:val="19"/>
        </w:rPr>
        <w:t>existir</w:t>
      </w:r>
      <w:r>
        <w:rPr>
          <w:color w:val="231F20"/>
          <w:spacing w:val="-46"/>
          <w:w w:val="105"/>
          <w:sz w:val="19"/>
        </w:rPr>
        <w:t> </w:t>
      </w:r>
      <w:r>
        <w:rPr>
          <w:color w:val="231F20"/>
          <w:w w:val="105"/>
          <w:sz w:val="19"/>
        </w:rPr>
        <w:t>un</w:t>
      </w:r>
      <w:r>
        <w:rPr>
          <w:color w:val="231F20"/>
          <w:spacing w:val="-46"/>
          <w:w w:val="105"/>
          <w:sz w:val="19"/>
        </w:rPr>
        <w:t> </w:t>
      </w:r>
      <w:r>
        <w:rPr>
          <w:color w:val="231F20"/>
          <w:w w:val="105"/>
          <w:sz w:val="19"/>
        </w:rPr>
        <w:t>sistema</w:t>
      </w:r>
      <w:r>
        <w:rPr>
          <w:color w:val="231F20"/>
          <w:spacing w:val="-46"/>
          <w:w w:val="105"/>
          <w:sz w:val="19"/>
        </w:rPr>
        <w:t> </w:t>
      </w:r>
      <w:r>
        <w:rPr>
          <w:color w:val="231F20"/>
          <w:w w:val="105"/>
          <w:sz w:val="19"/>
        </w:rPr>
        <w:t>no- minalmente</w:t>
      </w:r>
      <w:r>
        <w:rPr>
          <w:color w:val="231F20"/>
          <w:spacing w:val="-28"/>
          <w:w w:val="105"/>
          <w:sz w:val="19"/>
        </w:rPr>
        <w:t> </w:t>
      </w:r>
      <w:r>
        <w:rPr>
          <w:color w:val="231F20"/>
          <w:w w:val="105"/>
          <w:sz w:val="19"/>
        </w:rPr>
        <w:t>“excepcional”</w:t>
      </w:r>
      <w:r>
        <w:rPr>
          <w:color w:val="231F20"/>
          <w:spacing w:val="-28"/>
          <w:w w:val="105"/>
          <w:sz w:val="19"/>
        </w:rPr>
        <w:t> </w:t>
      </w:r>
      <w:r>
        <w:rPr>
          <w:color w:val="231F20"/>
          <w:w w:val="105"/>
          <w:sz w:val="19"/>
        </w:rPr>
        <w:t>o</w:t>
      </w:r>
      <w:r>
        <w:rPr>
          <w:color w:val="231F20"/>
          <w:spacing w:val="-28"/>
          <w:w w:val="105"/>
          <w:sz w:val="19"/>
        </w:rPr>
        <w:t> </w:t>
      </w:r>
      <w:r>
        <w:rPr>
          <w:color w:val="231F20"/>
          <w:spacing w:val="-3"/>
          <w:w w:val="105"/>
          <w:sz w:val="19"/>
        </w:rPr>
        <w:t>“extraordinario”,</w:t>
      </w:r>
      <w:r>
        <w:rPr>
          <w:color w:val="231F20"/>
          <w:spacing w:val="-28"/>
          <w:w w:val="105"/>
          <w:sz w:val="19"/>
        </w:rPr>
        <w:t> </w:t>
      </w:r>
      <w:r>
        <w:rPr>
          <w:color w:val="231F20"/>
          <w:w w:val="105"/>
          <w:sz w:val="19"/>
        </w:rPr>
        <w:t>con</w:t>
      </w:r>
      <w:r>
        <w:rPr>
          <w:color w:val="231F20"/>
          <w:spacing w:val="-28"/>
          <w:w w:val="105"/>
          <w:sz w:val="19"/>
        </w:rPr>
        <w:t> </w:t>
      </w:r>
      <w:r>
        <w:rPr>
          <w:color w:val="231F20"/>
          <w:spacing w:val="-3"/>
          <w:w w:val="105"/>
          <w:sz w:val="19"/>
        </w:rPr>
        <w:t>procedimientos </w:t>
      </w:r>
      <w:r>
        <w:rPr>
          <w:color w:val="231F20"/>
          <w:sz w:val="19"/>
        </w:rPr>
        <w:t>“ajustados”</w:t>
      </w:r>
      <w:r>
        <w:rPr>
          <w:color w:val="231F20"/>
          <w:spacing w:val="-14"/>
          <w:sz w:val="19"/>
        </w:rPr>
        <w:t> </w:t>
      </w:r>
      <w:r>
        <w:rPr>
          <w:color w:val="231F20"/>
          <w:sz w:val="19"/>
        </w:rPr>
        <w:t>y</w:t>
      </w:r>
      <w:r>
        <w:rPr>
          <w:color w:val="231F20"/>
          <w:spacing w:val="-14"/>
          <w:sz w:val="19"/>
        </w:rPr>
        <w:t> </w:t>
      </w:r>
      <w:r>
        <w:rPr>
          <w:color w:val="231F20"/>
          <w:sz w:val="19"/>
        </w:rPr>
        <w:t>garantías</w:t>
      </w:r>
      <w:r>
        <w:rPr>
          <w:color w:val="231F20"/>
          <w:spacing w:val="-14"/>
          <w:sz w:val="19"/>
        </w:rPr>
        <w:t> </w:t>
      </w:r>
      <w:r>
        <w:rPr>
          <w:color w:val="231F20"/>
          <w:sz w:val="19"/>
        </w:rPr>
        <w:t>“limitadas”,</w:t>
      </w:r>
      <w:r>
        <w:rPr>
          <w:color w:val="231F20"/>
          <w:spacing w:val="-14"/>
          <w:sz w:val="19"/>
        </w:rPr>
        <w:t> </w:t>
      </w:r>
      <w:r>
        <w:rPr>
          <w:color w:val="231F20"/>
          <w:sz w:val="19"/>
        </w:rPr>
        <w:t>supuestamente</w:t>
      </w:r>
      <w:r>
        <w:rPr>
          <w:color w:val="231F20"/>
          <w:spacing w:val="-14"/>
          <w:sz w:val="19"/>
        </w:rPr>
        <w:t> </w:t>
      </w:r>
      <w:r>
        <w:rPr>
          <w:color w:val="231F20"/>
          <w:sz w:val="19"/>
        </w:rPr>
        <w:t>necesario</w:t>
      </w:r>
      <w:r>
        <w:rPr>
          <w:color w:val="231F20"/>
          <w:spacing w:val="-14"/>
          <w:sz w:val="19"/>
        </w:rPr>
        <w:t> </w:t>
      </w:r>
      <w:r>
        <w:rPr>
          <w:color w:val="231F20"/>
          <w:sz w:val="19"/>
        </w:rPr>
        <w:t>para </w:t>
      </w:r>
      <w:r>
        <w:rPr>
          <w:color w:val="231F20"/>
          <w:w w:val="105"/>
          <w:sz w:val="19"/>
        </w:rPr>
        <w:t>lidiar</w:t>
      </w:r>
      <w:r>
        <w:rPr>
          <w:color w:val="231F20"/>
          <w:spacing w:val="-36"/>
          <w:w w:val="105"/>
          <w:sz w:val="19"/>
        </w:rPr>
        <w:t> </w:t>
      </w:r>
      <w:r>
        <w:rPr>
          <w:color w:val="231F20"/>
          <w:w w:val="105"/>
          <w:sz w:val="19"/>
        </w:rPr>
        <w:t>con</w:t>
      </w:r>
      <w:r>
        <w:rPr>
          <w:color w:val="231F20"/>
          <w:spacing w:val="-36"/>
          <w:w w:val="105"/>
          <w:sz w:val="19"/>
        </w:rPr>
        <w:t> </w:t>
      </w:r>
      <w:r>
        <w:rPr>
          <w:color w:val="231F20"/>
          <w:w w:val="105"/>
          <w:sz w:val="19"/>
        </w:rPr>
        <w:t>formas</w:t>
      </w:r>
      <w:r>
        <w:rPr>
          <w:color w:val="231F20"/>
          <w:spacing w:val="-36"/>
          <w:w w:val="105"/>
          <w:sz w:val="19"/>
        </w:rPr>
        <w:t> </w:t>
      </w:r>
      <w:r>
        <w:rPr>
          <w:color w:val="231F20"/>
          <w:w w:val="105"/>
          <w:sz w:val="19"/>
        </w:rPr>
        <w:t>complejas</w:t>
      </w:r>
      <w:r>
        <w:rPr>
          <w:color w:val="231F20"/>
          <w:spacing w:val="-36"/>
          <w:w w:val="105"/>
          <w:sz w:val="19"/>
        </w:rPr>
        <w:t> </w:t>
      </w:r>
      <w:r>
        <w:rPr>
          <w:color w:val="231F20"/>
          <w:w w:val="105"/>
          <w:sz w:val="19"/>
        </w:rPr>
        <w:t>de</w:t>
      </w:r>
      <w:r>
        <w:rPr>
          <w:color w:val="231F20"/>
          <w:spacing w:val="-36"/>
          <w:w w:val="105"/>
          <w:sz w:val="19"/>
        </w:rPr>
        <w:t> </w:t>
      </w:r>
      <w:r>
        <w:rPr>
          <w:color w:val="231F20"/>
          <w:w w:val="105"/>
          <w:sz w:val="19"/>
        </w:rPr>
        <w:t>criminalidad.</w:t>
      </w:r>
      <w:r>
        <w:rPr>
          <w:color w:val="231F20"/>
          <w:spacing w:val="-36"/>
          <w:w w:val="105"/>
          <w:sz w:val="19"/>
        </w:rPr>
        <w:t> </w:t>
      </w:r>
      <w:r>
        <w:rPr>
          <w:color w:val="231F20"/>
          <w:w w:val="105"/>
          <w:sz w:val="19"/>
        </w:rPr>
        <w:t>Desde</w:t>
      </w:r>
      <w:r>
        <w:rPr>
          <w:color w:val="231F20"/>
          <w:spacing w:val="-36"/>
          <w:w w:val="105"/>
          <w:sz w:val="19"/>
        </w:rPr>
        <w:t> </w:t>
      </w:r>
      <w:r>
        <w:rPr>
          <w:color w:val="231F20"/>
          <w:w w:val="105"/>
          <w:sz w:val="19"/>
        </w:rPr>
        <w:t>luego,</w:t>
      </w:r>
      <w:r>
        <w:rPr>
          <w:color w:val="231F20"/>
          <w:spacing w:val="-36"/>
          <w:w w:val="105"/>
          <w:sz w:val="19"/>
        </w:rPr>
        <w:t> </w:t>
      </w:r>
      <w:r>
        <w:rPr>
          <w:color w:val="231F20"/>
          <w:w w:val="105"/>
          <w:sz w:val="19"/>
        </w:rPr>
        <w:t>el</w:t>
      </w:r>
      <w:r>
        <w:rPr>
          <w:color w:val="231F20"/>
          <w:spacing w:val="-36"/>
          <w:w w:val="105"/>
          <w:sz w:val="19"/>
        </w:rPr>
        <w:t> </w:t>
      </w:r>
      <w:r>
        <w:rPr>
          <w:color w:val="231F20"/>
          <w:w w:val="105"/>
          <w:sz w:val="19"/>
        </w:rPr>
        <w:t>siste- ma</w:t>
      </w:r>
      <w:r>
        <w:rPr>
          <w:color w:val="231F20"/>
          <w:spacing w:val="-23"/>
          <w:w w:val="105"/>
          <w:sz w:val="19"/>
        </w:rPr>
        <w:t> </w:t>
      </w:r>
      <w:r>
        <w:rPr>
          <w:color w:val="231F20"/>
          <w:spacing w:val="-3"/>
          <w:w w:val="105"/>
          <w:sz w:val="19"/>
        </w:rPr>
        <w:t>extraordinario</w:t>
      </w:r>
      <w:r>
        <w:rPr>
          <w:color w:val="231F20"/>
          <w:spacing w:val="-23"/>
          <w:w w:val="105"/>
          <w:sz w:val="19"/>
        </w:rPr>
        <w:t> </w:t>
      </w:r>
      <w:r>
        <w:rPr>
          <w:color w:val="231F20"/>
          <w:w w:val="105"/>
          <w:sz w:val="19"/>
        </w:rPr>
        <w:t>tiene</w:t>
      </w:r>
      <w:r>
        <w:rPr>
          <w:color w:val="231F20"/>
          <w:spacing w:val="-23"/>
          <w:w w:val="105"/>
          <w:sz w:val="19"/>
        </w:rPr>
        <w:t> </w:t>
      </w:r>
      <w:r>
        <w:rPr>
          <w:color w:val="231F20"/>
          <w:w w:val="105"/>
          <w:sz w:val="19"/>
        </w:rPr>
        <w:t>constantes</w:t>
      </w:r>
      <w:r>
        <w:rPr>
          <w:color w:val="231F20"/>
          <w:spacing w:val="-23"/>
          <w:w w:val="105"/>
          <w:sz w:val="19"/>
        </w:rPr>
        <w:t> </w:t>
      </w:r>
      <w:r>
        <w:rPr>
          <w:color w:val="231F20"/>
          <w:w w:val="105"/>
          <w:sz w:val="19"/>
        </w:rPr>
        <w:t>avances</w:t>
      </w:r>
      <w:r>
        <w:rPr>
          <w:color w:val="231F20"/>
          <w:spacing w:val="-23"/>
          <w:w w:val="105"/>
          <w:sz w:val="19"/>
        </w:rPr>
        <w:t> </w:t>
      </w:r>
      <w:r>
        <w:rPr>
          <w:color w:val="231F20"/>
          <w:spacing w:val="-3"/>
          <w:w w:val="105"/>
          <w:sz w:val="19"/>
        </w:rPr>
        <w:t>sobre</w:t>
      </w:r>
      <w:r>
        <w:rPr>
          <w:color w:val="231F20"/>
          <w:spacing w:val="-23"/>
          <w:w w:val="105"/>
          <w:sz w:val="19"/>
        </w:rPr>
        <w:t> </w:t>
      </w:r>
      <w:r>
        <w:rPr>
          <w:color w:val="231F20"/>
          <w:w w:val="105"/>
          <w:sz w:val="19"/>
        </w:rPr>
        <w:t>el</w:t>
      </w:r>
      <w:r>
        <w:rPr>
          <w:color w:val="231F20"/>
          <w:spacing w:val="-23"/>
          <w:w w:val="105"/>
          <w:sz w:val="19"/>
        </w:rPr>
        <w:t> </w:t>
      </w:r>
      <w:r>
        <w:rPr>
          <w:color w:val="231F20"/>
          <w:w w:val="105"/>
          <w:sz w:val="19"/>
        </w:rPr>
        <w:t>territorio</w:t>
      </w:r>
      <w:r>
        <w:rPr>
          <w:color w:val="231F20"/>
          <w:spacing w:val="-23"/>
          <w:w w:val="105"/>
          <w:sz w:val="19"/>
        </w:rPr>
        <w:t> </w:t>
      </w:r>
      <w:r>
        <w:rPr>
          <w:color w:val="231F20"/>
          <w:spacing w:val="-2"/>
          <w:w w:val="105"/>
          <w:sz w:val="19"/>
        </w:rPr>
        <w:t>del </w:t>
      </w:r>
      <w:r>
        <w:rPr>
          <w:color w:val="231F20"/>
          <w:spacing w:val="-3"/>
          <w:w w:val="105"/>
          <w:sz w:val="19"/>
        </w:rPr>
        <w:t>otro,</w:t>
      </w:r>
      <w:r>
        <w:rPr>
          <w:color w:val="231F20"/>
          <w:spacing w:val="-15"/>
          <w:w w:val="105"/>
          <w:sz w:val="19"/>
        </w:rPr>
        <w:t> </w:t>
      </w:r>
      <w:r>
        <w:rPr>
          <w:color w:val="231F20"/>
          <w:w w:val="105"/>
          <w:sz w:val="19"/>
        </w:rPr>
        <w:t>y</w:t>
      </w:r>
      <w:r>
        <w:rPr>
          <w:color w:val="231F20"/>
          <w:spacing w:val="-15"/>
          <w:w w:val="105"/>
          <w:sz w:val="19"/>
        </w:rPr>
        <w:t> </w:t>
      </w:r>
      <w:r>
        <w:rPr>
          <w:color w:val="231F20"/>
          <w:w w:val="105"/>
          <w:sz w:val="19"/>
        </w:rPr>
        <w:t>al</w:t>
      </w:r>
      <w:r>
        <w:rPr>
          <w:color w:val="231F20"/>
          <w:spacing w:val="-15"/>
          <w:w w:val="105"/>
          <w:sz w:val="19"/>
        </w:rPr>
        <w:t> </w:t>
      </w:r>
      <w:r>
        <w:rPr>
          <w:color w:val="231F20"/>
          <w:w w:val="105"/>
          <w:sz w:val="19"/>
        </w:rPr>
        <w:t>cabo</w:t>
      </w:r>
      <w:r>
        <w:rPr>
          <w:color w:val="231F20"/>
          <w:spacing w:val="-15"/>
          <w:w w:val="105"/>
          <w:sz w:val="19"/>
        </w:rPr>
        <w:t> </w:t>
      </w:r>
      <w:r>
        <w:rPr>
          <w:color w:val="231F20"/>
          <w:w w:val="105"/>
          <w:sz w:val="19"/>
        </w:rPr>
        <w:t>de</w:t>
      </w:r>
      <w:r>
        <w:rPr>
          <w:color w:val="231F20"/>
          <w:spacing w:val="-15"/>
          <w:w w:val="105"/>
          <w:sz w:val="19"/>
        </w:rPr>
        <w:t> </w:t>
      </w:r>
      <w:r>
        <w:rPr>
          <w:color w:val="231F20"/>
          <w:w w:val="105"/>
          <w:sz w:val="19"/>
        </w:rPr>
        <w:t>algún</w:t>
      </w:r>
      <w:r>
        <w:rPr>
          <w:color w:val="231F20"/>
          <w:spacing w:val="-15"/>
          <w:w w:val="105"/>
          <w:sz w:val="19"/>
        </w:rPr>
        <w:t> </w:t>
      </w:r>
      <w:r>
        <w:rPr>
          <w:color w:val="231F20"/>
          <w:w w:val="105"/>
          <w:sz w:val="19"/>
        </w:rPr>
        <w:t>tiempo</w:t>
      </w:r>
      <w:r>
        <w:rPr>
          <w:color w:val="231F20"/>
          <w:spacing w:val="-15"/>
          <w:w w:val="105"/>
          <w:sz w:val="19"/>
        </w:rPr>
        <w:t> </w:t>
      </w:r>
      <w:r>
        <w:rPr>
          <w:color w:val="231F20"/>
          <w:w w:val="105"/>
          <w:sz w:val="19"/>
        </w:rPr>
        <w:t>pudiera</w:t>
      </w:r>
      <w:r>
        <w:rPr>
          <w:color w:val="231F20"/>
          <w:spacing w:val="-15"/>
          <w:w w:val="105"/>
          <w:sz w:val="19"/>
        </w:rPr>
        <w:t> </w:t>
      </w:r>
      <w:r>
        <w:rPr>
          <w:color w:val="231F20"/>
          <w:w w:val="105"/>
          <w:sz w:val="19"/>
        </w:rPr>
        <w:t>convertirse</w:t>
      </w:r>
      <w:r>
        <w:rPr>
          <w:color w:val="231F20"/>
          <w:spacing w:val="-15"/>
          <w:w w:val="105"/>
          <w:sz w:val="19"/>
        </w:rPr>
        <w:t> </w:t>
      </w:r>
      <w:r>
        <w:rPr>
          <w:color w:val="231F20"/>
          <w:w w:val="105"/>
          <w:sz w:val="19"/>
        </w:rPr>
        <w:t>en</w:t>
      </w:r>
      <w:r>
        <w:rPr>
          <w:color w:val="231F20"/>
          <w:spacing w:val="-15"/>
          <w:w w:val="105"/>
          <w:sz w:val="19"/>
        </w:rPr>
        <w:t> </w:t>
      </w:r>
      <w:r>
        <w:rPr>
          <w:color w:val="231F20"/>
          <w:spacing w:val="-3"/>
          <w:w w:val="105"/>
          <w:sz w:val="19"/>
        </w:rPr>
        <w:t>ordinario. </w:t>
      </w:r>
      <w:r>
        <w:rPr>
          <w:color w:val="231F20"/>
          <w:w w:val="105"/>
          <w:sz w:val="19"/>
        </w:rPr>
        <w:t>En</w:t>
      </w:r>
      <w:r>
        <w:rPr>
          <w:color w:val="231F20"/>
          <w:spacing w:val="-30"/>
          <w:w w:val="105"/>
          <w:sz w:val="19"/>
        </w:rPr>
        <w:t> </w:t>
      </w:r>
      <w:r>
        <w:rPr>
          <w:color w:val="231F20"/>
          <w:w w:val="105"/>
          <w:sz w:val="19"/>
        </w:rPr>
        <w:t>este</w:t>
      </w:r>
      <w:r>
        <w:rPr>
          <w:color w:val="231F20"/>
          <w:spacing w:val="-30"/>
          <w:w w:val="105"/>
          <w:sz w:val="19"/>
        </w:rPr>
        <w:t> </w:t>
      </w:r>
      <w:r>
        <w:rPr>
          <w:color w:val="231F20"/>
          <w:w w:val="105"/>
          <w:sz w:val="19"/>
        </w:rPr>
        <w:t>caso,</w:t>
      </w:r>
      <w:r>
        <w:rPr>
          <w:color w:val="231F20"/>
          <w:spacing w:val="-30"/>
          <w:w w:val="105"/>
          <w:sz w:val="19"/>
        </w:rPr>
        <w:t> </w:t>
      </w:r>
      <w:r>
        <w:rPr>
          <w:color w:val="231F20"/>
          <w:w w:val="105"/>
          <w:sz w:val="19"/>
        </w:rPr>
        <w:t>el</w:t>
      </w:r>
      <w:r>
        <w:rPr>
          <w:color w:val="231F20"/>
          <w:spacing w:val="-30"/>
          <w:w w:val="105"/>
          <w:sz w:val="19"/>
        </w:rPr>
        <w:t> </w:t>
      </w:r>
      <w:r>
        <w:rPr>
          <w:color w:val="231F20"/>
          <w:w w:val="105"/>
          <w:sz w:val="19"/>
        </w:rPr>
        <w:t>desplazamiento</w:t>
      </w:r>
      <w:r>
        <w:rPr>
          <w:color w:val="231F20"/>
          <w:spacing w:val="-30"/>
          <w:w w:val="105"/>
          <w:sz w:val="19"/>
        </w:rPr>
        <w:t> </w:t>
      </w:r>
      <w:r>
        <w:rPr>
          <w:color w:val="231F20"/>
          <w:w w:val="105"/>
          <w:sz w:val="19"/>
        </w:rPr>
        <w:t>significaría</w:t>
      </w:r>
      <w:r>
        <w:rPr>
          <w:color w:val="231F20"/>
          <w:spacing w:val="-30"/>
          <w:w w:val="105"/>
          <w:sz w:val="19"/>
        </w:rPr>
        <w:t> </w:t>
      </w:r>
      <w:r>
        <w:rPr>
          <w:color w:val="231F20"/>
          <w:spacing w:val="-3"/>
          <w:w w:val="105"/>
          <w:sz w:val="19"/>
        </w:rPr>
        <w:t>erosión</w:t>
      </w:r>
      <w:r>
        <w:rPr>
          <w:color w:val="231F20"/>
          <w:spacing w:val="-30"/>
          <w:w w:val="105"/>
          <w:sz w:val="19"/>
        </w:rPr>
        <w:t> </w:t>
      </w:r>
      <w:r>
        <w:rPr>
          <w:color w:val="231F20"/>
          <w:w w:val="105"/>
          <w:sz w:val="19"/>
        </w:rPr>
        <w:t>de</w:t>
      </w:r>
      <w:r>
        <w:rPr>
          <w:color w:val="231F20"/>
          <w:spacing w:val="-30"/>
          <w:w w:val="105"/>
          <w:sz w:val="19"/>
        </w:rPr>
        <w:t> </w:t>
      </w:r>
      <w:r>
        <w:rPr>
          <w:color w:val="231F20"/>
          <w:w w:val="105"/>
          <w:sz w:val="19"/>
        </w:rPr>
        <w:t>libertades, mengua</w:t>
      </w:r>
      <w:r>
        <w:rPr>
          <w:color w:val="231F20"/>
          <w:spacing w:val="-43"/>
          <w:w w:val="105"/>
          <w:sz w:val="19"/>
        </w:rPr>
        <w:t> </w:t>
      </w:r>
      <w:r>
        <w:rPr>
          <w:color w:val="231F20"/>
          <w:w w:val="105"/>
          <w:sz w:val="19"/>
        </w:rPr>
        <w:t>de</w:t>
      </w:r>
      <w:r>
        <w:rPr>
          <w:color w:val="231F20"/>
          <w:spacing w:val="-43"/>
          <w:w w:val="105"/>
          <w:sz w:val="19"/>
        </w:rPr>
        <w:t> </w:t>
      </w:r>
      <w:r>
        <w:rPr>
          <w:color w:val="231F20"/>
          <w:w w:val="105"/>
          <w:sz w:val="19"/>
        </w:rPr>
        <w:t>garantías</w:t>
      </w:r>
      <w:r>
        <w:rPr>
          <w:color w:val="231F20"/>
          <w:spacing w:val="-43"/>
          <w:w w:val="105"/>
          <w:sz w:val="19"/>
        </w:rPr>
        <w:t> </w:t>
      </w:r>
      <w:r>
        <w:rPr>
          <w:color w:val="231F20"/>
          <w:w w:val="105"/>
          <w:sz w:val="19"/>
        </w:rPr>
        <w:t>y</w:t>
      </w:r>
      <w:r>
        <w:rPr>
          <w:color w:val="231F20"/>
          <w:spacing w:val="-43"/>
          <w:w w:val="105"/>
          <w:sz w:val="19"/>
        </w:rPr>
        <w:t> </w:t>
      </w:r>
      <w:r>
        <w:rPr>
          <w:color w:val="231F20"/>
          <w:spacing w:val="-3"/>
          <w:w w:val="105"/>
          <w:sz w:val="19"/>
        </w:rPr>
        <w:t>retraimiento</w:t>
      </w:r>
      <w:r>
        <w:rPr>
          <w:color w:val="231F20"/>
          <w:spacing w:val="-43"/>
          <w:w w:val="105"/>
          <w:sz w:val="19"/>
        </w:rPr>
        <w:t> </w:t>
      </w:r>
      <w:r>
        <w:rPr>
          <w:color w:val="231F20"/>
          <w:w w:val="105"/>
          <w:sz w:val="19"/>
        </w:rPr>
        <w:t>de</w:t>
      </w:r>
      <w:r>
        <w:rPr>
          <w:color w:val="231F20"/>
          <w:spacing w:val="-43"/>
          <w:w w:val="105"/>
          <w:sz w:val="19"/>
        </w:rPr>
        <w:t> </w:t>
      </w:r>
      <w:r>
        <w:rPr>
          <w:color w:val="231F20"/>
          <w:w w:val="105"/>
          <w:sz w:val="19"/>
        </w:rPr>
        <w:t>la</w:t>
      </w:r>
      <w:r>
        <w:rPr>
          <w:color w:val="231F20"/>
          <w:spacing w:val="-43"/>
          <w:w w:val="105"/>
          <w:sz w:val="19"/>
        </w:rPr>
        <w:t> </w:t>
      </w:r>
      <w:r>
        <w:rPr>
          <w:color w:val="231F20"/>
          <w:w w:val="105"/>
          <w:sz w:val="19"/>
        </w:rPr>
        <w:t>democracia</w:t>
      </w:r>
      <w:r>
        <w:rPr>
          <w:color w:val="231F20"/>
          <w:w w:val="105"/>
          <w:position w:val="6"/>
          <w:sz w:val="11"/>
        </w:rPr>
        <w:t>24</w:t>
      </w:r>
      <w:r>
        <w:rPr>
          <w:color w:val="231F20"/>
          <w:w w:val="105"/>
          <w:sz w:val="19"/>
        </w:rPr>
        <w:t>.</w:t>
      </w:r>
    </w:p>
    <w:p>
      <w:pPr>
        <w:pStyle w:val="BodyText"/>
        <w:spacing w:before="11"/>
        <w:rPr>
          <w:sz w:val="23"/>
        </w:rPr>
      </w:pPr>
    </w:p>
    <w:p>
      <w:pPr>
        <w:pStyle w:val="BodyText"/>
        <w:spacing w:line="247" w:lineRule="auto"/>
        <w:ind w:left="103" w:right="114"/>
        <w:jc w:val="both"/>
      </w:pPr>
      <w:r>
        <w:rPr>
          <w:color w:val="231F20"/>
          <w:w w:val="105"/>
        </w:rPr>
        <w:t>El constitucionalismo liberal que había velado durante tanto tiempo</w:t>
      </w:r>
      <w:r>
        <w:rPr>
          <w:color w:val="231F20"/>
          <w:spacing w:val="-11"/>
          <w:w w:val="105"/>
        </w:rPr>
        <w:t> </w:t>
      </w:r>
      <w:r>
        <w:rPr>
          <w:color w:val="231F20"/>
          <w:w w:val="105"/>
        </w:rPr>
        <w:t>por la separación de poderes, el imperio de la ley y la consolidación de las garantías</w:t>
      </w:r>
      <w:r>
        <w:rPr>
          <w:color w:val="231F20"/>
          <w:spacing w:val="-17"/>
          <w:w w:val="105"/>
        </w:rPr>
        <w:t> </w:t>
      </w:r>
      <w:r>
        <w:rPr>
          <w:color w:val="231F20"/>
          <w:w w:val="105"/>
        </w:rPr>
        <w:t>individuales,</w:t>
      </w:r>
      <w:r>
        <w:rPr>
          <w:color w:val="231F20"/>
          <w:spacing w:val="-17"/>
          <w:w w:val="105"/>
        </w:rPr>
        <w:t> </w:t>
      </w:r>
      <w:r>
        <w:rPr>
          <w:color w:val="231F20"/>
          <w:w w:val="105"/>
        </w:rPr>
        <w:t>se</w:t>
      </w:r>
      <w:r>
        <w:rPr>
          <w:color w:val="231F20"/>
          <w:spacing w:val="-17"/>
          <w:w w:val="105"/>
        </w:rPr>
        <w:t> </w:t>
      </w:r>
      <w:r>
        <w:rPr>
          <w:color w:val="231F20"/>
          <w:w w:val="105"/>
        </w:rPr>
        <w:t>enfrenta</w:t>
      </w:r>
      <w:r>
        <w:rPr>
          <w:color w:val="231F20"/>
          <w:spacing w:val="-17"/>
          <w:w w:val="105"/>
        </w:rPr>
        <w:t> </w:t>
      </w:r>
      <w:r>
        <w:rPr>
          <w:color w:val="231F20"/>
          <w:w w:val="105"/>
        </w:rPr>
        <w:t>así</w:t>
      </w:r>
      <w:r>
        <w:rPr>
          <w:color w:val="231F20"/>
          <w:spacing w:val="-17"/>
          <w:w w:val="105"/>
        </w:rPr>
        <w:t> </w:t>
      </w:r>
      <w:r>
        <w:rPr>
          <w:color w:val="231F20"/>
          <w:w w:val="105"/>
        </w:rPr>
        <w:t>a</w:t>
      </w:r>
      <w:r>
        <w:rPr>
          <w:color w:val="231F20"/>
          <w:spacing w:val="-17"/>
          <w:w w:val="105"/>
        </w:rPr>
        <w:t> </w:t>
      </w:r>
      <w:r>
        <w:rPr>
          <w:color w:val="231F20"/>
          <w:w w:val="105"/>
        </w:rPr>
        <w:t>su</w:t>
      </w:r>
      <w:r>
        <w:rPr>
          <w:color w:val="231F20"/>
          <w:spacing w:val="-16"/>
          <w:w w:val="105"/>
        </w:rPr>
        <w:t> </w:t>
      </w:r>
      <w:r>
        <w:rPr>
          <w:color w:val="231F20"/>
          <w:w w:val="105"/>
        </w:rPr>
        <w:t>más</w:t>
      </w:r>
      <w:r>
        <w:rPr>
          <w:color w:val="231F20"/>
          <w:spacing w:val="-16"/>
          <w:w w:val="105"/>
        </w:rPr>
        <w:t> </w:t>
      </w:r>
      <w:r>
        <w:rPr>
          <w:color w:val="231F20"/>
          <w:w w:val="105"/>
        </w:rPr>
        <w:t>profunda</w:t>
      </w:r>
      <w:r>
        <w:rPr>
          <w:color w:val="231F20"/>
          <w:spacing w:val="-17"/>
          <w:w w:val="105"/>
        </w:rPr>
        <w:t> </w:t>
      </w:r>
      <w:r>
        <w:rPr>
          <w:color w:val="231F20"/>
          <w:w w:val="105"/>
        </w:rPr>
        <w:t>crisis,</w:t>
      </w:r>
      <w:r>
        <w:rPr>
          <w:color w:val="231F20"/>
          <w:spacing w:val="-17"/>
          <w:w w:val="105"/>
        </w:rPr>
        <w:t> </w:t>
      </w:r>
      <w:r>
        <w:rPr>
          <w:color w:val="231F20"/>
          <w:w w:val="105"/>
        </w:rPr>
        <w:t>el</w:t>
      </w:r>
      <w:r>
        <w:rPr>
          <w:color w:val="231F20"/>
          <w:spacing w:val="-17"/>
          <w:w w:val="105"/>
        </w:rPr>
        <w:t> </w:t>
      </w:r>
      <w:r>
        <w:rPr>
          <w:color w:val="231F20"/>
          <w:w w:val="105"/>
        </w:rPr>
        <w:t>afuera de</w:t>
      </w:r>
      <w:r>
        <w:rPr>
          <w:color w:val="231F20"/>
          <w:spacing w:val="-20"/>
          <w:w w:val="105"/>
        </w:rPr>
        <w:t> </w:t>
      </w:r>
      <w:r>
        <w:rPr>
          <w:color w:val="231F20"/>
          <w:w w:val="105"/>
        </w:rPr>
        <w:t>la</w:t>
      </w:r>
      <w:r>
        <w:rPr>
          <w:color w:val="231F20"/>
          <w:spacing w:val="-20"/>
          <w:w w:val="105"/>
        </w:rPr>
        <w:t> </w:t>
      </w:r>
      <w:r>
        <w:rPr>
          <w:color w:val="231F20"/>
          <w:w w:val="105"/>
        </w:rPr>
        <w:t>ley</w:t>
      </w:r>
      <w:r>
        <w:rPr>
          <w:color w:val="231F20"/>
          <w:spacing w:val="-20"/>
          <w:w w:val="105"/>
        </w:rPr>
        <w:t> </w:t>
      </w:r>
      <w:r>
        <w:rPr>
          <w:color w:val="231F20"/>
          <w:w w:val="105"/>
        </w:rPr>
        <w:t>del</w:t>
      </w:r>
      <w:r>
        <w:rPr>
          <w:color w:val="231F20"/>
          <w:spacing w:val="-20"/>
          <w:w w:val="105"/>
        </w:rPr>
        <w:t> </w:t>
      </w:r>
      <w:r>
        <w:rPr>
          <w:color w:val="231F20"/>
          <w:w w:val="105"/>
        </w:rPr>
        <w:t>ordenamiento</w:t>
      </w:r>
      <w:r>
        <w:rPr>
          <w:color w:val="231F20"/>
          <w:spacing w:val="-20"/>
          <w:w w:val="105"/>
        </w:rPr>
        <w:t> </w:t>
      </w:r>
      <w:r>
        <w:rPr>
          <w:color w:val="231F20"/>
          <w:w w:val="105"/>
        </w:rPr>
        <w:t>jurídico.</w:t>
      </w:r>
      <w:r>
        <w:rPr>
          <w:color w:val="231F20"/>
          <w:spacing w:val="-20"/>
          <w:w w:val="105"/>
        </w:rPr>
        <w:t> </w:t>
      </w:r>
      <w:r>
        <w:rPr>
          <w:color w:val="231F20"/>
          <w:w w:val="105"/>
        </w:rPr>
        <w:t>México</w:t>
      </w:r>
      <w:r>
        <w:rPr>
          <w:color w:val="231F20"/>
          <w:spacing w:val="-20"/>
          <w:w w:val="105"/>
        </w:rPr>
        <w:t> </w:t>
      </w:r>
      <w:r>
        <w:rPr>
          <w:color w:val="231F20"/>
          <w:w w:val="105"/>
        </w:rPr>
        <w:t>estaba</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búsqueda</w:t>
      </w:r>
      <w:r>
        <w:rPr>
          <w:color w:val="231F20"/>
          <w:spacing w:val="-20"/>
          <w:w w:val="105"/>
        </w:rPr>
        <w:t> </w:t>
      </w:r>
      <w:r>
        <w:rPr>
          <w:color w:val="231F20"/>
          <w:w w:val="105"/>
        </w:rPr>
        <w:t>de</w:t>
      </w:r>
      <w:r>
        <w:rPr>
          <w:color w:val="231F20"/>
          <w:spacing w:val="-20"/>
          <w:w w:val="105"/>
        </w:rPr>
        <w:t> </w:t>
      </w:r>
      <w:r>
        <w:rPr>
          <w:color w:val="231F20"/>
          <w:w w:val="105"/>
        </w:rPr>
        <w:t>ese ideal</w:t>
      </w:r>
      <w:r>
        <w:rPr>
          <w:color w:val="231F20"/>
          <w:spacing w:val="-12"/>
          <w:w w:val="105"/>
        </w:rPr>
        <w:t> </w:t>
      </w:r>
      <w:r>
        <w:rPr>
          <w:color w:val="231F20"/>
          <w:w w:val="105"/>
        </w:rPr>
        <w:t>constitucional,</w:t>
      </w:r>
      <w:r>
        <w:rPr>
          <w:color w:val="231F20"/>
          <w:spacing w:val="-12"/>
          <w:w w:val="105"/>
        </w:rPr>
        <w:t> </w:t>
      </w:r>
      <w:r>
        <w:rPr>
          <w:color w:val="231F20"/>
          <w:w w:val="105"/>
        </w:rPr>
        <w:t>pero</w:t>
      </w:r>
      <w:r>
        <w:rPr>
          <w:color w:val="231F20"/>
          <w:spacing w:val="-12"/>
          <w:w w:val="105"/>
        </w:rPr>
        <w:t> </w:t>
      </w:r>
      <w:r>
        <w:rPr>
          <w:color w:val="231F20"/>
          <w:w w:val="105"/>
        </w:rPr>
        <w:t>con</w:t>
      </w:r>
      <w:r>
        <w:rPr>
          <w:color w:val="231F20"/>
          <w:spacing w:val="-12"/>
          <w:w w:val="105"/>
        </w:rPr>
        <w:t> </w:t>
      </w:r>
      <w:r>
        <w:rPr>
          <w:color w:val="231F20"/>
          <w:w w:val="105"/>
        </w:rPr>
        <w:t>la</w:t>
      </w:r>
      <w:r>
        <w:rPr>
          <w:color w:val="231F20"/>
          <w:spacing w:val="-12"/>
          <w:w w:val="105"/>
        </w:rPr>
        <w:t> </w:t>
      </w:r>
      <w:r>
        <w:rPr>
          <w:color w:val="231F20"/>
          <w:w w:val="105"/>
        </w:rPr>
        <w:t>aparición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delincuencia</w:t>
      </w:r>
      <w:r>
        <w:rPr>
          <w:color w:val="231F20"/>
          <w:spacing w:val="-12"/>
          <w:w w:val="105"/>
        </w:rPr>
        <w:t> </w:t>
      </w:r>
      <w:r>
        <w:rPr>
          <w:color w:val="231F20"/>
          <w:w w:val="105"/>
        </w:rPr>
        <w:t>organizada,</w:t>
      </w:r>
    </w:p>
    <w:p>
      <w:pPr>
        <w:pStyle w:val="BodyText"/>
        <w:spacing w:line="252" w:lineRule="exact"/>
        <w:ind w:left="103"/>
        <w:jc w:val="both"/>
      </w:pPr>
      <w:r>
        <w:rPr>
          <w:color w:val="231F20"/>
        </w:rPr>
        <w:t>—aunada a la fragilidad de muchas instituciones— se hizo necesario  crear</w:t>
      </w:r>
    </w:p>
    <w:p>
      <w:pPr>
        <w:pStyle w:val="BodyText"/>
        <w:spacing w:before="6"/>
        <w:rPr>
          <w:sz w:val="17"/>
        </w:rPr>
      </w:pPr>
      <w:r>
        <w:rPr/>
        <w:pict>
          <v:line style="position:absolute;mso-position-horizontal-relative:page;mso-position-vertical-relative:paragraph;z-index:2464;mso-wrap-distance-left:0;mso-wrap-distance-right:0" from="65.1968pt,12.684093pt" to="178.5828pt,12.684093pt" stroked="true" strokeweight=".3pt" strokecolor="#231f20">
            <w10:wrap type="topAndBottom"/>
          </v:line>
        </w:pict>
      </w:r>
    </w:p>
    <w:p>
      <w:pPr>
        <w:spacing w:line="204" w:lineRule="exact" w:before="9"/>
        <w:ind w:left="103" w:right="115" w:firstLine="0"/>
        <w:jc w:val="both"/>
        <w:rPr>
          <w:rFonts w:ascii="Calibri" w:hAnsi="Calibri"/>
          <w:sz w:val="17"/>
        </w:rPr>
      </w:pPr>
      <w:r>
        <w:rPr>
          <w:rFonts w:ascii="Calibri" w:hAnsi="Calibri"/>
          <w:color w:val="231F20"/>
          <w:position w:val="6"/>
          <w:sz w:val="10"/>
        </w:rPr>
        <w:t>22 </w:t>
      </w:r>
      <w:r>
        <w:rPr>
          <w:rFonts w:ascii="Calibri" w:hAnsi="Calibri"/>
          <w:color w:val="231F20"/>
          <w:sz w:val="17"/>
        </w:rPr>
        <w:t>J. Carpizo, “La reforma del Estado 2007 y 2008”, Andrew Ellis, Jesús Orozco, </w:t>
      </w:r>
      <w:r>
        <w:rPr>
          <w:rFonts w:ascii="Calibri" w:hAnsi="Calibri"/>
          <w:i/>
          <w:color w:val="231F20"/>
          <w:sz w:val="17"/>
        </w:rPr>
        <w:t>et al., Cómo hacer que </w:t>
      </w:r>
      <w:r>
        <w:rPr>
          <w:rFonts w:ascii="Calibri" w:hAnsi="Calibri"/>
          <w:i/>
          <w:color w:val="231F20"/>
          <w:sz w:val="17"/>
        </w:rPr>
        <w:t>funcione el sistema presidencial</w:t>
      </w:r>
      <w:r>
        <w:rPr>
          <w:rFonts w:ascii="Calibri" w:hAnsi="Calibri"/>
          <w:color w:val="231F20"/>
          <w:sz w:val="17"/>
        </w:rPr>
        <w:t>, México, </w:t>
      </w:r>
      <w:r>
        <w:rPr>
          <w:rFonts w:ascii="Calibri" w:hAnsi="Calibri"/>
          <w:color w:val="231F20"/>
          <w:sz w:val="15"/>
        </w:rPr>
        <w:t>UNAM</w:t>
      </w:r>
      <w:r>
        <w:rPr>
          <w:rFonts w:ascii="Calibri" w:hAnsi="Calibri"/>
          <w:color w:val="231F20"/>
          <w:sz w:val="17"/>
        </w:rPr>
        <w:t>/</w:t>
      </w:r>
      <w:r>
        <w:rPr>
          <w:rFonts w:ascii="Calibri" w:hAnsi="Calibri"/>
          <w:color w:val="231F20"/>
          <w:sz w:val="15"/>
        </w:rPr>
        <w:t>IDEA</w:t>
      </w:r>
      <w:r>
        <w:rPr>
          <w:rFonts w:ascii="Calibri" w:hAnsi="Calibri"/>
          <w:color w:val="231F20"/>
          <w:sz w:val="17"/>
        </w:rPr>
        <w:t>,  2009.</w:t>
      </w:r>
    </w:p>
    <w:p>
      <w:pPr>
        <w:spacing w:line="204" w:lineRule="exact" w:before="0"/>
        <w:ind w:left="103" w:right="115" w:firstLine="0"/>
        <w:jc w:val="both"/>
        <w:rPr>
          <w:rFonts w:ascii="Calibri" w:hAnsi="Calibri"/>
          <w:sz w:val="17"/>
        </w:rPr>
      </w:pPr>
      <w:r>
        <w:rPr>
          <w:rFonts w:ascii="Calibri" w:hAnsi="Calibri"/>
          <w:color w:val="231F20"/>
          <w:w w:val="105"/>
          <w:position w:val="6"/>
          <w:sz w:val="10"/>
        </w:rPr>
        <w:t>23</w:t>
      </w:r>
      <w:r>
        <w:rPr>
          <w:rFonts w:ascii="Calibri" w:hAnsi="Calibri"/>
          <w:color w:val="231F20"/>
          <w:spacing w:val="8"/>
          <w:w w:val="105"/>
          <w:position w:val="6"/>
          <w:sz w:val="10"/>
        </w:rPr>
        <w:t> </w:t>
      </w:r>
      <w:r>
        <w:rPr>
          <w:rFonts w:ascii="Calibri" w:hAnsi="Calibri"/>
          <w:color w:val="231F20"/>
          <w:w w:val="105"/>
          <w:sz w:val="17"/>
        </w:rPr>
        <w:t>Este</w:t>
      </w:r>
      <w:r>
        <w:rPr>
          <w:rFonts w:ascii="Calibri" w:hAnsi="Calibri"/>
          <w:color w:val="231F20"/>
          <w:spacing w:val="-10"/>
          <w:w w:val="105"/>
          <w:sz w:val="17"/>
        </w:rPr>
        <w:t> </w:t>
      </w:r>
      <w:r>
        <w:rPr>
          <w:rFonts w:ascii="Calibri" w:hAnsi="Calibri"/>
          <w:color w:val="231F20"/>
          <w:w w:val="105"/>
          <w:sz w:val="17"/>
        </w:rPr>
        <w:t>documento</w:t>
      </w:r>
      <w:r>
        <w:rPr>
          <w:rFonts w:ascii="Calibri" w:hAnsi="Calibri"/>
          <w:color w:val="231F20"/>
          <w:spacing w:val="-10"/>
          <w:w w:val="105"/>
          <w:sz w:val="17"/>
        </w:rPr>
        <w:t> </w:t>
      </w:r>
      <w:r>
        <w:rPr>
          <w:rFonts w:ascii="Calibri" w:hAnsi="Calibri"/>
          <w:color w:val="231F20"/>
          <w:w w:val="105"/>
          <w:sz w:val="17"/>
        </w:rPr>
        <w:t>fue</w:t>
      </w:r>
      <w:r>
        <w:rPr>
          <w:rFonts w:ascii="Calibri" w:hAnsi="Calibri"/>
          <w:color w:val="231F20"/>
          <w:spacing w:val="-10"/>
          <w:w w:val="105"/>
          <w:sz w:val="17"/>
        </w:rPr>
        <w:t> </w:t>
      </w:r>
      <w:r>
        <w:rPr>
          <w:rFonts w:ascii="Calibri" w:hAnsi="Calibri"/>
          <w:color w:val="231F20"/>
          <w:w w:val="105"/>
          <w:sz w:val="17"/>
        </w:rPr>
        <w:t>suscrito</w:t>
      </w:r>
      <w:r>
        <w:rPr>
          <w:rFonts w:ascii="Calibri" w:hAnsi="Calibri"/>
          <w:color w:val="231F20"/>
          <w:spacing w:val="-10"/>
          <w:w w:val="105"/>
          <w:sz w:val="17"/>
        </w:rPr>
        <w:t> </w:t>
      </w:r>
      <w:r>
        <w:rPr>
          <w:rFonts w:ascii="Calibri" w:hAnsi="Calibri"/>
          <w:color w:val="231F20"/>
          <w:w w:val="105"/>
          <w:sz w:val="17"/>
        </w:rPr>
        <w:t>por</w:t>
      </w:r>
      <w:r>
        <w:rPr>
          <w:rFonts w:ascii="Calibri" w:hAnsi="Calibri"/>
          <w:color w:val="231F20"/>
          <w:spacing w:val="-10"/>
          <w:w w:val="105"/>
          <w:sz w:val="17"/>
        </w:rPr>
        <w:t> </w:t>
      </w:r>
      <w:r>
        <w:rPr>
          <w:rFonts w:ascii="Calibri" w:hAnsi="Calibri"/>
          <w:color w:val="231F20"/>
          <w:w w:val="105"/>
          <w:sz w:val="17"/>
        </w:rPr>
        <w:t>miembros</w:t>
      </w:r>
      <w:r>
        <w:rPr>
          <w:rFonts w:ascii="Calibri" w:hAnsi="Calibri"/>
          <w:color w:val="231F20"/>
          <w:spacing w:val="-10"/>
          <w:w w:val="105"/>
          <w:sz w:val="17"/>
        </w:rPr>
        <w:t> </w:t>
      </w:r>
      <w:r>
        <w:rPr>
          <w:rFonts w:ascii="Calibri" w:hAnsi="Calibri"/>
          <w:color w:val="231F20"/>
          <w:w w:val="105"/>
          <w:sz w:val="17"/>
        </w:rPr>
        <w:t>de</w:t>
      </w:r>
      <w:r>
        <w:rPr>
          <w:rFonts w:ascii="Calibri" w:hAnsi="Calibri"/>
          <w:color w:val="231F20"/>
          <w:spacing w:val="-10"/>
          <w:w w:val="105"/>
          <w:sz w:val="17"/>
        </w:rPr>
        <w:t> </w:t>
      </w:r>
      <w:r>
        <w:rPr>
          <w:rFonts w:ascii="Calibri" w:hAnsi="Calibri"/>
          <w:color w:val="231F20"/>
          <w:w w:val="105"/>
          <w:sz w:val="17"/>
        </w:rPr>
        <w:t>la</w:t>
      </w:r>
      <w:r>
        <w:rPr>
          <w:rFonts w:ascii="Calibri" w:hAnsi="Calibri"/>
          <w:color w:val="231F20"/>
          <w:spacing w:val="-10"/>
          <w:w w:val="105"/>
          <w:sz w:val="17"/>
        </w:rPr>
        <w:t> </w:t>
      </w:r>
      <w:r>
        <w:rPr>
          <w:rFonts w:ascii="Calibri" w:hAnsi="Calibri"/>
          <w:color w:val="231F20"/>
          <w:w w:val="105"/>
          <w:sz w:val="17"/>
        </w:rPr>
        <w:t>Organización</w:t>
      </w:r>
      <w:r>
        <w:rPr>
          <w:rFonts w:ascii="Calibri" w:hAnsi="Calibri"/>
          <w:color w:val="231F20"/>
          <w:spacing w:val="-10"/>
          <w:w w:val="105"/>
          <w:sz w:val="17"/>
        </w:rPr>
        <w:t> </w:t>
      </w:r>
      <w:r>
        <w:rPr>
          <w:rFonts w:ascii="Calibri" w:hAnsi="Calibri"/>
          <w:color w:val="231F20"/>
          <w:w w:val="105"/>
          <w:sz w:val="17"/>
        </w:rPr>
        <w:t>de</w:t>
      </w:r>
      <w:r>
        <w:rPr>
          <w:rFonts w:ascii="Calibri" w:hAnsi="Calibri"/>
          <w:color w:val="231F20"/>
          <w:spacing w:val="-10"/>
          <w:w w:val="105"/>
          <w:sz w:val="17"/>
        </w:rPr>
        <w:t> </w:t>
      </w:r>
      <w:r>
        <w:rPr>
          <w:rFonts w:ascii="Calibri" w:hAnsi="Calibri"/>
          <w:color w:val="231F20"/>
          <w:w w:val="105"/>
          <w:sz w:val="17"/>
        </w:rPr>
        <w:t>las</w:t>
      </w:r>
      <w:r>
        <w:rPr>
          <w:rFonts w:ascii="Calibri" w:hAnsi="Calibri"/>
          <w:color w:val="231F20"/>
          <w:spacing w:val="-10"/>
          <w:w w:val="105"/>
          <w:sz w:val="17"/>
        </w:rPr>
        <w:t> </w:t>
      </w:r>
      <w:r>
        <w:rPr>
          <w:rFonts w:ascii="Calibri" w:hAnsi="Calibri"/>
          <w:color w:val="231F20"/>
          <w:w w:val="105"/>
          <w:sz w:val="17"/>
        </w:rPr>
        <w:t>Naciones</w:t>
      </w:r>
      <w:r>
        <w:rPr>
          <w:rFonts w:ascii="Calibri" w:hAnsi="Calibri"/>
          <w:color w:val="231F20"/>
          <w:spacing w:val="-10"/>
          <w:w w:val="105"/>
          <w:sz w:val="17"/>
        </w:rPr>
        <w:t> </w:t>
      </w:r>
      <w:r>
        <w:rPr>
          <w:rFonts w:ascii="Calibri" w:hAnsi="Calibri"/>
          <w:color w:val="231F20"/>
          <w:w w:val="105"/>
          <w:sz w:val="17"/>
        </w:rPr>
        <w:t>Unidas</w:t>
      </w:r>
      <w:r>
        <w:rPr>
          <w:rFonts w:ascii="Calibri" w:hAnsi="Calibri"/>
          <w:color w:val="231F20"/>
          <w:spacing w:val="-10"/>
          <w:w w:val="105"/>
          <w:sz w:val="17"/>
        </w:rPr>
        <w:t> </w:t>
      </w:r>
      <w:r>
        <w:rPr>
          <w:rFonts w:ascii="Calibri" w:hAnsi="Calibri"/>
          <w:color w:val="231F20"/>
          <w:w w:val="105"/>
          <w:sz w:val="17"/>
        </w:rPr>
        <w:t>en</w:t>
      </w:r>
      <w:r>
        <w:rPr>
          <w:rFonts w:ascii="Calibri" w:hAnsi="Calibri"/>
          <w:color w:val="231F20"/>
          <w:spacing w:val="-10"/>
          <w:w w:val="105"/>
          <w:sz w:val="17"/>
        </w:rPr>
        <w:t> </w:t>
      </w:r>
      <w:r>
        <w:rPr>
          <w:rFonts w:ascii="Calibri" w:hAnsi="Calibri"/>
          <w:color w:val="231F20"/>
          <w:w w:val="105"/>
          <w:sz w:val="17"/>
        </w:rPr>
        <w:t>Paler- mo,</w:t>
      </w:r>
      <w:r>
        <w:rPr>
          <w:rFonts w:ascii="Calibri" w:hAnsi="Calibri"/>
          <w:color w:val="231F20"/>
          <w:spacing w:val="-12"/>
          <w:w w:val="105"/>
          <w:sz w:val="17"/>
        </w:rPr>
        <w:t> </w:t>
      </w:r>
      <w:r>
        <w:rPr>
          <w:rFonts w:ascii="Calibri" w:hAnsi="Calibri"/>
          <w:color w:val="231F20"/>
          <w:w w:val="105"/>
          <w:sz w:val="17"/>
        </w:rPr>
        <w:t>Italia,</w:t>
      </w:r>
      <w:r>
        <w:rPr>
          <w:rFonts w:ascii="Calibri" w:hAnsi="Calibri"/>
          <w:color w:val="231F20"/>
          <w:spacing w:val="-12"/>
          <w:w w:val="105"/>
          <w:sz w:val="17"/>
        </w:rPr>
        <w:t> </w:t>
      </w:r>
      <w:r>
        <w:rPr>
          <w:rFonts w:ascii="Calibri" w:hAnsi="Calibri"/>
          <w:color w:val="231F20"/>
          <w:w w:val="105"/>
          <w:sz w:val="17"/>
        </w:rPr>
        <w:t>el</w:t>
      </w:r>
      <w:r>
        <w:rPr>
          <w:rFonts w:ascii="Calibri" w:hAnsi="Calibri"/>
          <w:color w:val="231F20"/>
          <w:spacing w:val="-12"/>
          <w:w w:val="105"/>
          <w:sz w:val="17"/>
        </w:rPr>
        <w:t> </w:t>
      </w:r>
      <w:r>
        <w:rPr>
          <w:rFonts w:ascii="Calibri" w:hAnsi="Calibri"/>
          <w:color w:val="231F20"/>
          <w:w w:val="105"/>
          <w:sz w:val="17"/>
        </w:rPr>
        <w:t>15</w:t>
      </w:r>
      <w:r>
        <w:rPr>
          <w:rFonts w:ascii="Calibri" w:hAnsi="Calibri"/>
          <w:color w:val="231F20"/>
          <w:spacing w:val="-12"/>
          <w:w w:val="105"/>
          <w:sz w:val="17"/>
        </w:rPr>
        <w:t> </w:t>
      </w:r>
      <w:r>
        <w:rPr>
          <w:rFonts w:ascii="Calibri" w:hAnsi="Calibri"/>
          <w:color w:val="231F20"/>
          <w:w w:val="105"/>
          <w:sz w:val="17"/>
        </w:rPr>
        <w:t>de</w:t>
      </w:r>
      <w:r>
        <w:rPr>
          <w:rFonts w:ascii="Calibri" w:hAnsi="Calibri"/>
          <w:color w:val="231F20"/>
          <w:spacing w:val="-12"/>
          <w:w w:val="105"/>
          <w:sz w:val="17"/>
        </w:rPr>
        <w:t> </w:t>
      </w:r>
      <w:r>
        <w:rPr>
          <w:rFonts w:ascii="Calibri" w:hAnsi="Calibri"/>
          <w:color w:val="231F20"/>
          <w:w w:val="105"/>
          <w:sz w:val="17"/>
        </w:rPr>
        <w:t>diciembre</w:t>
      </w:r>
      <w:r>
        <w:rPr>
          <w:rFonts w:ascii="Calibri" w:hAnsi="Calibri"/>
          <w:color w:val="231F20"/>
          <w:spacing w:val="-12"/>
          <w:w w:val="105"/>
          <w:sz w:val="17"/>
        </w:rPr>
        <w:t> </w:t>
      </w:r>
      <w:r>
        <w:rPr>
          <w:rFonts w:ascii="Calibri" w:hAnsi="Calibri"/>
          <w:color w:val="231F20"/>
          <w:w w:val="105"/>
          <w:sz w:val="17"/>
        </w:rPr>
        <w:t>de</w:t>
      </w:r>
      <w:r>
        <w:rPr>
          <w:rFonts w:ascii="Calibri" w:hAnsi="Calibri"/>
          <w:color w:val="231F20"/>
          <w:spacing w:val="-12"/>
          <w:w w:val="105"/>
          <w:sz w:val="17"/>
        </w:rPr>
        <w:t> </w:t>
      </w:r>
      <w:r>
        <w:rPr>
          <w:rFonts w:ascii="Calibri" w:hAnsi="Calibri"/>
          <w:color w:val="231F20"/>
          <w:w w:val="105"/>
          <w:sz w:val="17"/>
        </w:rPr>
        <w:t>2000.</w:t>
      </w:r>
      <w:r>
        <w:rPr>
          <w:rFonts w:ascii="Calibri" w:hAnsi="Calibri"/>
          <w:color w:val="231F20"/>
          <w:spacing w:val="-12"/>
          <w:w w:val="105"/>
          <w:sz w:val="17"/>
        </w:rPr>
        <w:t> </w:t>
      </w:r>
      <w:r>
        <w:rPr>
          <w:rFonts w:ascii="Calibri" w:hAnsi="Calibri"/>
          <w:color w:val="231F20"/>
          <w:w w:val="105"/>
          <w:sz w:val="17"/>
        </w:rPr>
        <w:t>Fue</w:t>
      </w:r>
      <w:r>
        <w:rPr>
          <w:rFonts w:ascii="Calibri" w:hAnsi="Calibri"/>
          <w:color w:val="231F20"/>
          <w:spacing w:val="-12"/>
          <w:w w:val="105"/>
          <w:sz w:val="17"/>
        </w:rPr>
        <w:t> </w:t>
      </w:r>
      <w:r>
        <w:rPr>
          <w:rFonts w:ascii="Calibri" w:hAnsi="Calibri"/>
          <w:color w:val="231F20"/>
          <w:w w:val="105"/>
          <w:sz w:val="17"/>
        </w:rPr>
        <w:t>aprobado</w:t>
      </w:r>
      <w:r>
        <w:rPr>
          <w:rFonts w:ascii="Calibri" w:hAnsi="Calibri"/>
          <w:color w:val="231F20"/>
          <w:spacing w:val="-12"/>
          <w:w w:val="105"/>
          <w:sz w:val="17"/>
        </w:rPr>
        <w:t> </w:t>
      </w:r>
      <w:r>
        <w:rPr>
          <w:rFonts w:ascii="Calibri" w:hAnsi="Calibri"/>
          <w:color w:val="231F20"/>
          <w:w w:val="105"/>
          <w:sz w:val="17"/>
        </w:rPr>
        <w:t>por</w:t>
      </w:r>
      <w:r>
        <w:rPr>
          <w:rFonts w:ascii="Calibri" w:hAnsi="Calibri"/>
          <w:color w:val="231F20"/>
          <w:spacing w:val="-12"/>
          <w:w w:val="105"/>
          <w:sz w:val="17"/>
        </w:rPr>
        <w:t> </w:t>
      </w:r>
      <w:r>
        <w:rPr>
          <w:rFonts w:ascii="Calibri" w:hAnsi="Calibri"/>
          <w:color w:val="231F20"/>
          <w:w w:val="105"/>
          <w:sz w:val="17"/>
        </w:rPr>
        <w:t>el</w:t>
      </w:r>
      <w:r>
        <w:rPr>
          <w:rFonts w:ascii="Calibri" w:hAnsi="Calibri"/>
          <w:color w:val="231F20"/>
          <w:spacing w:val="-12"/>
          <w:w w:val="105"/>
          <w:sz w:val="17"/>
        </w:rPr>
        <w:t> </w:t>
      </w:r>
      <w:r>
        <w:rPr>
          <w:rFonts w:ascii="Calibri" w:hAnsi="Calibri"/>
          <w:color w:val="231F20"/>
          <w:w w:val="105"/>
          <w:sz w:val="17"/>
        </w:rPr>
        <w:t>Senado</w:t>
      </w:r>
      <w:r>
        <w:rPr>
          <w:rFonts w:ascii="Calibri" w:hAnsi="Calibri"/>
          <w:color w:val="231F20"/>
          <w:spacing w:val="-12"/>
          <w:w w:val="105"/>
          <w:sz w:val="17"/>
        </w:rPr>
        <w:t> </w:t>
      </w:r>
      <w:r>
        <w:rPr>
          <w:rFonts w:ascii="Calibri" w:hAnsi="Calibri"/>
          <w:color w:val="231F20"/>
          <w:w w:val="105"/>
          <w:sz w:val="17"/>
        </w:rPr>
        <w:t>de</w:t>
      </w:r>
      <w:r>
        <w:rPr>
          <w:rFonts w:ascii="Calibri" w:hAnsi="Calibri"/>
          <w:color w:val="231F20"/>
          <w:spacing w:val="-12"/>
          <w:w w:val="105"/>
          <w:sz w:val="17"/>
        </w:rPr>
        <w:t> </w:t>
      </w:r>
      <w:r>
        <w:rPr>
          <w:rFonts w:ascii="Calibri" w:hAnsi="Calibri"/>
          <w:color w:val="231F20"/>
          <w:w w:val="105"/>
          <w:sz w:val="17"/>
        </w:rPr>
        <w:t>la</w:t>
      </w:r>
      <w:r>
        <w:rPr>
          <w:rFonts w:ascii="Calibri" w:hAnsi="Calibri"/>
          <w:color w:val="231F20"/>
          <w:spacing w:val="-12"/>
          <w:w w:val="105"/>
          <w:sz w:val="17"/>
        </w:rPr>
        <w:t> </w:t>
      </w:r>
      <w:r>
        <w:rPr>
          <w:rFonts w:ascii="Calibri" w:hAnsi="Calibri"/>
          <w:color w:val="231F20"/>
          <w:w w:val="105"/>
          <w:sz w:val="17"/>
        </w:rPr>
        <w:t>República</w:t>
      </w:r>
      <w:r>
        <w:rPr>
          <w:rFonts w:ascii="Calibri" w:hAnsi="Calibri"/>
          <w:color w:val="231F20"/>
          <w:spacing w:val="-12"/>
          <w:w w:val="105"/>
          <w:sz w:val="17"/>
        </w:rPr>
        <w:t> </w:t>
      </w:r>
      <w:r>
        <w:rPr>
          <w:rFonts w:ascii="Calibri" w:hAnsi="Calibri"/>
          <w:color w:val="231F20"/>
          <w:w w:val="105"/>
          <w:sz w:val="17"/>
        </w:rPr>
        <w:t>mexicana</w:t>
      </w:r>
      <w:r>
        <w:rPr>
          <w:rFonts w:ascii="Calibri" w:hAnsi="Calibri"/>
          <w:color w:val="231F20"/>
          <w:spacing w:val="-12"/>
          <w:w w:val="105"/>
          <w:sz w:val="17"/>
        </w:rPr>
        <w:t> </w:t>
      </w:r>
      <w:r>
        <w:rPr>
          <w:rFonts w:ascii="Calibri" w:hAnsi="Calibri"/>
          <w:color w:val="231F20"/>
          <w:w w:val="105"/>
          <w:sz w:val="17"/>
        </w:rPr>
        <w:t>el</w:t>
      </w:r>
      <w:r>
        <w:rPr>
          <w:rFonts w:ascii="Calibri" w:hAnsi="Calibri"/>
          <w:color w:val="231F20"/>
          <w:spacing w:val="-12"/>
          <w:w w:val="105"/>
          <w:sz w:val="17"/>
        </w:rPr>
        <w:t> </w:t>
      </w:r>
      <w:r>
        <w:rPr>
          <w:rFonts w:ascii="Calibri" w:hAnsi="Calibri"/>
          <w:color w:val="231F20"/>
          <w:w w:val="105"/>
          <w:sz w:val="17"/>
        </w:rPr>
        <w:t>22 de</w:t>
      </w:r>
      <w:r>
        <w:rPr>
          <w:rFonts w:ascii="Calibri" w:hAnsi="Calibri"/>
          <w:color w:val="231F20"/>
          <w:spacing w:val="-11"/>
          <w:w w:val="105"/>
          <w:sz w:val="17"/>
        </w:rPr>
        <w:t> </w:t>
      </w:r>
      <w:r>
        <w:rPr>
          <w:rFonts w:ascii="Calibri" w:hAnsi="Calibri"/>
          <w:color w:val="231F20"/>
          <w:w w:val="105"/>
          <w:sz w:val="17"/>
        </w:rPr>
        <w:t>octubre</w:t>
      </w:r>
      <w:r>
        <w:rPr>
          <w:rFonts w:ascii="Calibri" w:hAnsi="Calibri"/>
          <w:color w:val="231F20"/>
          <w:spacing w:val="-11"/>
          <w:w w:val="105"/>
          <w:sz w:val="17"/>
        </w:rPr>
        <w:t> </w:t>
      </w:r>
      <w:r>
        <w:rPr>
          <w:rFonts w:ascii="Calibri" w:hAnsi="Calibri"/>
          <w:color w:val="231F20"/>
          <w:w w:val="105"/>
          <w:sz w:val="17"/>
        </w:rPr>
        <w:t>de</w:t>
      </w:r>
      <w:r>
        <w:rPr>
          <w:rFonts w:ascii="Calibri" w:hAnsi="Calibri"/>
          <w:color w:val="231F20"/>
          <w:spacing w:val="-11"/>
          <w:w w:val="105"/>
          <w:sz w:val="17"/>
        </w:rPr>
        <w:t> </w:t>
      </w:r>
      <w:r>
        <w:rPr>
          <w:rFonts w:ascii="Calibri" w:hAnsi="Calibri"/>
          <w:color w:val="231F20"/>
          <w:w w:val="105"/>
          <w:sz w:val="17"/>
        </w:rPr>
        <w:t>2002</w:t>
      </w:r>
      <w:r>
        <w:rPr>
          <w:rFonts w:ascii="Calibri" w:hAnsi="Calibri"/>
          <w:color w:val="231F20"/>
          <w:spacing w:val="-13"/>
          <w:w w:val="105"/>
          <w:sz w:val="17"/>
        </w:rPr>
        <w:t> </w:t>
      </w:r>
      <w:r>
        <w:rPr>
          <w:rFonts w:ascii="Calibri" w:hAnsi="Calibri"/>
          <w:color w:val="231F20"/>
          <w:w w:val="105"/>
          <w:sz w:val="17"/>
        </w:rPr>
        <w:t>y</w:t>
      </w:r>
      <w:r>
        <w:rPr>
          <w:rFonts w:ascii="Calibri" w:hAnsi="Calibri"/>
          <w:color w:val="231F20"/>
          <w:spacing w:val="-11"/>
          <w:w w:val="105"/>
          <w:sz w:val="17"/>
        </w:rPr>
        <w:t> </w:t>
      </w:r>
      <w:r>
        <w:rPr>
          <w:rFonts w:ascii="Calibri" w:hAnsi="Calibri"/>
          <w:color w:val="231F20"/>
          <w:w w:val="105"/>
          <w:sz w:val="17"/>
        </w:rPr>
        <w:t>publicado</w:t>
      </w:r>
      <w:r>
        <w:rPr>
          <w:rFonts w:ascii="Calibri" w:hAnsi="Calibri"/>
          <w:color w:val="231F20"/>
          <w:spacing w:val="-11"/>
          <w:w w:val="105"/>
          <w:sz w:val="17"/>
        </w:rPr>
        <w:t> </w:t>
      </w:r>
      <w:r>
        <w:rPr>
          <w:rFonts w:ascii="Calibri" w:hAnsi="Calibri"/>
          <w:color w:val="231F20"/>
          <w:w w:val="105"/>
          <w:sz w:val="17"/>
        </w:rPr>
        <w:t>el</w:t>
      </w:r>
      <w:r>
        <w:rPr>
          <w:rFonts w:ascii="Calibri" w:hAnsi="Calibri"/>
          <w:color w:val="231F20"/>
          <w:spacing w:val="-11"/>
          <w:w w:val="105"/>
          <w:sz w:val="17"/>
        </w:rPr>
        <w:t> </w:t>
      </w:r>
      <w:r>
        <w:rPr>
          <w:rFonts w:ascii="Calibri" w:hAnsi="Calibri"/>
          <w:color w:val="231F20"/>
          <w:w w:val="105"/>
          <w:sz w:val="17"/>
        </w:rPr>
        <w:t>2</w:t>
      </w:r>
      <w:r>
        <w:rPr>
          <w:rFonts w:ascii="Calibri" w:hAnsi="Calibri"/>
          <w:color w:val="231F20"/>
          <w:spacing w:val="-11"/>
          <w:w w:val="105"/>
          <w:sz w:val="17"/>
        </w:rPr>
        <w:t> </w:t>
      </w:r>
      <w:r>
        <w:rPr>
          <w:rFonts w:ascii="Calibri" w:hAnsi="Calibri"/>
          <w:color w:val="231F20"/>
          <w:w w:val="105"/>
          <w:sz w:val="17"/>
        </w:rPr>
        <w:t>de</w:t>
      </w:r>
      <w:r>
        <w:rPr>
          <w:rFonts w:ascii="Calibri" w:hAnsi="Calibri"/>
          <w:color w:val="231F20"/>
          <w:spacing w:val="-11"/>
          <w:w w:val="105"/>
          <w:sz w:val="17"/>
        </w:rPr>
        <w:t> </w:t>
      </w:r>
      <w:r>
        <w:rPr>
          <w:rFonts w:ascii="Calibri" w:hAnsi="Calibri"/>
          <w:color w:val="231F20"/>
          <w:w w:val="105"/>
          <w:sz w:val="17"/>
        </w:rPr>
        <w:t>diciembre</w:t>
      </w:r>
      <w:r>
        <w:rPr>
          <w:rFonts w:ascii="Calibri" w:hAnsi="Calibri"/>
          <w:color w:val="231F20"/>
          <w:spacing w:val="-11"/>
          <w:w w:val="105"/>
          <w:sz w:val="17"/>
        </w:rPr>
        <w:t> </w:t>
      </w:r>
      <w:r>
        <w:rPr>
          <w:rFonts w:ascii="Calibri" w:hAnsi="Calibri"/>
          <w:color w:val="231F20"/>
          <w:w w:val="105"/>
          <w:sz w:val="17"/>
        </w:rPr>
        <w:t>del</w:t>
      </w:r>
      <w:r>
        <w:rPr>
          <w:rFonts w:ascii="Calibri" w:hAnsi="Calibri"/>
          <w:color w:val="231F20"/>
          <w:spacing w:val="-11"/>
          <w:w w:val="105"/>
          <w:sz w:val="17"/>
        </w:rPr>
        <w:t> </w:t>
      </w:r>
      <w:r>
        <w:rPr>
          <w:rFonts w:ascii="Calibri" w:hAnsi="Calibri"/>
          <w:color w:val="231F20"/>
          <w:w w:val="105"/>
          <w:sz w:val="17"/>
        </w:rPr>
        <w:t>mismo</w:t>
      </w:r>
      <w:r>
        <w:rPr>
          <w:rFonts w:ascii="Calibri" w:hAnsi="Calibri"/>
          <w:color w:val="231F20"/>
          <w:spacing w:val="-11"/>
          <w:w w:val="105"/>
          <w:sz w:val="17"/>
        </w:rPr>
        <w:t> </w:t>
      </w:r>
      <w:r>
        <w:rPr>
          <w:rFonts w:ascii="Calibri" w:hAnsi="Calibri"/>
          <w:color w:val="231F20"/>
          <w:w w:val="105"/>
          <w:sz w:val="17"/>
        </w:rPr>
        <w:t>año;</w:t>
      </w:r>
      <w:r>
        <w:rPr>
          <w:rFonts w:ascii="Calibri" w:hAnsi="Calibri"/>
          <w:color w:val="231F20"/>
          <w:spacing w:val="-11"/>
          <w:w w:val="105"/>
          <w:sz w:val="17"/>
        </w:rPr>
        <w:t> </w:t>
      </w:r>
      <w:r>
        <w:rPr>
          <w:rFonts w:ascii="Calibri" w:hAnsi="Calibri"/>
          <w:color w:val="231F20"/>
          <w:w w:val="105"/>
          <w:sz w:val="17"/>
        </w:rPr>
        <w:t>ratificado</w:t>
      </w:r>
      <w:r>
        <w:rPr>
          <w:rFonts w:ascii="Calibri" w:hAnsi="Calibri"/>
          <w:color w:val="231F20"/>
          <w:spacing w:val="-11"/>
          <w:w w:val="105"/>
          <w:sz w:val="17"/>
        </w:rPr>
        <w:t> </w:t>
      </w:r>
      <w:r>
        <w:rPr>
          <w:rFonts w:ascii="Calibri" w:hAnsi="Calibri"/>
          <w:color w:val="231F20"/>
          <w:w w:val="105"/>
          <w:sz w:val="17"/>
        </w:rPr>
        <w:t>el</w:t>
      </w:r>
      <w:r>
        <w:rPr>
          <w:rFonts w:ascii="Calibri" w:hAnsi="Calibri"/>
          <w:color w:val="231F20"/>
          <w:spacing w:val="-11"/>
          <w:w w:val="105"/>
          <w:sz w:val="17"/>
        </w:rPr>
        <w:t> </w:t>
      </w:r>
      <w:r>
        <w:rPr>
          <w:rFonts w:ascii="Calibri" w:hAnsi="Calibri"/>
          <w:color w:val="231F20"/>
          <w:w w:val="105"/>
          <w:sz w:val="17"/>
        </w:rPr>
        <w:t>4</w:t>
      </w:r>
      <w:r>
        <w:rPr>
          <w:rFonts w:ascii="Calibri" w:hAnsi="Calibri"/>
          <w:color w:val="231F20"/>
          <w:spacing w:val="-11"/>
          <w:w w:val="105"/>
          <w:sz w:val="17"/>
        </w:rPr>
        <w:t> </w:t>
      </w:r>
      <w:r>
        <w:rPr>
          <w:rFonts w:ascii="Calibri" w:hAnsi="Calibri"/>
          <w:color w:val="231F20"/>
          <w:w w:val="105"/>
          <w:sz w:val="17"/>
        </w:rPr>
        <w:t>de</w:t>
      </w:r>
      <w:r>
        <w:rPr>
          <w:rFonts w:ascii="Calibri" w:hAnsi="Calibri"/>
          <w:color w:val="231F20"/>
          <w:spacing w:val="-11"/>
          <w:w w:val="105"/>
          <w:sz w:val="17"/>
        </w:rPr>
        <w:t> </w:t>
      </w:r>
      <w:r>
        <w:rPr>
          <w:rFonts w:ascii="Calibri" w:hAnsi="Calibri"/>
          <w:color w:val="231F20"/>
          <w:w w:val="105"/>
          <w:sz w:val="17"/>
        </w:rPr>
        <w:t>marzo</w:t>
      </w:r>
      <w:r>
        <w:rPr>
          <w:rFonts w:ascii="Calibri" w:hAnsi="Calibri"/>
          <w:color w:val="231F20"/>
          <w:spacing w:val="-11"/>
          <w:w w:val="105"/>
          <w:sz w:val="17"/>
        </w:rPr>
        <w:t> </w:t>
      </w:r>
      <w:r>
        <w:rPr>
          <w:rFonts w:ascii="Calibri" w:hAnsi="Calibri"/>
          <w:color w:val="231F20"/>
          <w:w w:val="105"/>
          <w:sz w:val="17"/>
        </w:rPr>
        <w:t>de</w:t>
      </w:r>
      <w:r>
        <w:rPr>
          <w:rFonts w:ascii="Calibri" w:hAnsi="Calibri"/>
          <w:color w:val="231F20"/>
          <w:spacing w:val="-11"/>
          <w:w w:val="105"/>
          <w:sz w:val="17"/>
        </w:rPr>
        <w:t> </w:t>
      </w:r>
      <w:r>
        <w:rPr>
          <w:rFonts w:ascii="Calibri" w:hAnsi="Calibri"/>
          <w:color w:val="231F20"/>
          <w:w w:val="105"/>
          <w:sz w:val="17"/>
        </w:rPr>
        <w:t>2003 y</w:t>
      </w:r>
      <w:r>
        <w:rPr>
          <w:rFonts w:ascii="Calibri" w:hAnsi="Calibri"/>
          <w:color w:val="231F20"/>
          <w:spacing w:val="-20"/>
          <w:w w:val="105"/>
          <w:sz w:val="17"/>
        </w:rPr>
        <w:t> </w:t>
      </w:r>
      <w:r>
        <w:rPr>
          <w:rFonts w:ascii="Calibri" w:hAnsi="Calibri"/>
          <w:color w:val="231F20"/>
          <w:w w:val="105"/>
          <w:sz w:val="17"/>
        </w:rPr>
        <w:t>publicado</w:t>
      </w:r>
      <w:r>
        <w:rPr>
          <w:rFonts w:ascii="Calibri" w:hAnsi="Calibri"/>
          <w:color w:val="231F20"/>
          <w:spacing w:val="-20"/>
          <w:w w:val="105"/>
          <w:sz w:val="17"/>
        </w:rPr>
        <w:t> </w:t>
      </w:r>
      <w:r>
        <w:rPr>
          <w:rFonts w:ascii="Calibri" w:hAnsi="Calibri"/>
          <w:color w:val="231F20"/>
          <w:w w:val="105"/>
          <w:sz w:val="17"/>
        </w:rPr>
        <w:t>en</w:t>
      </w:r>
      <w:r>
        <w:rPr>
          <w:rFonts w:ascii="Calibri" w:hAnsi="Calibri"/>
          <w:color w:val="231F20"/>
          <w:spacing w:val="-20"/>
          <w:w w:val="105"/>
          <w:sz w:val="17"/>
        </w:rPr>
        <w:t> </w:t>
      </w:r>
      <w:r>
        <w:rPr>
          <w:rFonts w:ascii="Calibri" w:hAnsi="Calibri"/>
          <w:color w:val="231F20"/>
          <w:w w:val="105"/>
          <w:sz w:val="17"/>
        </w:rPr>
        <w:t>el</w:t>
      </w:r>
      <w:r>
        <w:rPr>
          <w:rFonts w:ascii="Calibri" w:hAnsi="Calibri"/>
          <w:color w:val="231F20"/>
          <w:spacing w:val="-20"/>
          <w:w w:val="105"/>
          <w:sz w:val="17"/>
        </w:rPr>
        <w:t> </w:t>
      </w:r>
      <w:r>
        <w:rPr>
          <w:rFonts w:ascii="Calibri" w:hAnsi="Calibri"/>
          <w:i/>
          <w:color w:val="231F20"/>
          <w:w w:val="105"/>
          <w:sz w:val="17"/>
        </w:rPr>
        <w:t>Diario</w:t>
      </w:r>
      <w:r>
        <w:rPr>
          <w:rFonts w:ascii="Calibri" w:hAnsi="Calibri"/>
          <w:i/>
          <w:color w:val="231F20"/>
          <w:spacing w:val="-20"/>
          <w:w w:val="105"/>
          <w:sz w:val="17"/>
        </w:rPr>
        <w:t> </w:t>
      </w:r>
      <w:r>
        <w:rPr>
          <w:rFonts w:ascii="Calibri" w:hAnsi="Calibri"/>
          <w:i/>
          <w:color w:val="231F20"/>
          <w:w w:val="105"/>
          <w:sz w:val="17"/>
        </w:rPr>
        <w:t>Oficial</w:t>
      </w:r>
      <w:r>
        <w:rPr>
          <w:rFonts w:ascii="Calibri" w:hAnsi="Calibri"/>
          <w:i/>
          <w:color w:val="231F20"/>
          <w:spacing w:val="-20"/>
          <w:w w:val="105"/>
          <w:sz w:val="17"/>
        </w:rPr>
        <w:t> </w:t>
      </w:r>
      <w:r>
        <w:rPr>
          <w:rFonts w:ascii="Calibri" w:hAnsi="Calibri"/>
          <w:i/>
          <w:color w:val="231F20"/>
          <w:w w:val="105"/>
          <w:sz w:val="17"/>
        </w:rPr>
        <w:t>de</w:t>
      </w:r>
      <w:r>
        <w:rPr>
          <w:rFonts w:ascii="Calibri" w:hAnsi="Calibri"/>
          <w:i/>
          <w:color w:val="231F20"/>
          <w:spacing w:val="-20"/>
          <w:w w:val="105"/>
          <w:sz w:val="17"/>
        </w:rPr>
        <w:t> </w:t>
      </w:r>
      <w:r>
        <w:rPr>
          <w:rFonts w:ascii="Calibri" w:hAnsi="Calibri"/>
          <w:i/>
          <w:color w:val="231F20"/>
          <w:w w:val="105"/>
          <w:sz w:val="17"/>
        </w:rPr>
        <w:t>la</w:t>
      </w:r>
      <w:r>
        <w:rPr>
          <w:rFonts w:ascii="Calibri" w:hAnsi="Calibri"/>
          <w:i/>
          <w:color w:val="231F20"/>
          <w:spacing w:val="-20"/>
          <w:w w:val="105"/>
          <w:sz w:val="17"/>
        </w:rPr>
        <w:t> </w:t>
      </w:r>
      <w:r>
        <w:rPr>
          <w:rFonts w:ascii="Calibri" w:hAnsi="Calibri"/>
          <w:i/>
          <w:color w:val="231F20"/>
          <w:w w:val="105"/>
          <w:sz w:val="17"/>
        </w:rPr>
        <w:t>Federación</w:t>
      </w:r>
      <w:r>
        <w:rPr>
          <w:rFonts w:ascii="Calibri" w:hAnsi="Calibri"/>
          <w:i/>
          <w:color w:val="231F20"/>
          <w:spacing w:val="-20"/>
          <w:w w:val="105"/>
          <w:sz w:val="17"/>
        </w:rPr>
        <w:t> </w:t>
      </w:r>
      <w:r>
        <w:rPr>
          <w:rFonts w:ascii="Calibri" w:hAnsi="Calibri"/>
          <w:color w:val="231F20"/>
          <w:w w:val="105"/>
          <w:sz w:val="17"/>
        </w:rPr>
        <w:t>el</w:t>
      </w:r>
      <w:r>
        <w:rPr>
          <w:rFonts w:ascii="Calibri" w:hAnsi="Calibri"/>
          <w:color w:val="231F20"/>
          <w:spacing w:val="-20"/>
          <w:w w:val="105"/>
          <w:sz w:val="17"/>
        </w:rPr>
        <w:t> </w:t>
      </w:r>
      <w:r>
        <w:rPr>
          <w:rFonts w:ascii="Calibri" w:hAnsi="Calibri"/>
          <w:color w:val="231F20"/>
          <w:sz w:val="17"/>
        </w:rPr>
        <w:t>11</w:t>
      </w:r>
      <w:r>
        <w:rPr>
          <w:rFonts w:ascii="Calibri" w:hAnsi="Calibri"/>
          <w:color w:val="231F20"/>
          <w:spacing w:val="-18"/>
          <w:sz w:val="17"/>
        </w:rPr>
        <w:t> </w:t>
      </w:r>
      <w:r>
        <w:rPr>
          <w:rFonts w:ascii="Calibri" w:hAnsi="Calibri"/>
          <w:color w:val="231F20"/>
          <w:w w:val="105"/>
          <w:sz w:val="17"/>
        </w:rPr>
        <w:t>de</w:t>
      </w:r>
      <w:r>
        <w:rPr>
          <w:rFonts w:ascii="Calibri" w:hAnsi="Calibri"/>
          <w:color w:val="231F20"/>
          <w:spacing w:val="-20"/>
          <w:w w:val="105"/>
          <w:sz w:val="17"/>
        </w:rPr>
        <w:t> </w:t>
      </w:r>
      <w:r>
        <w:rPr>
          <w:rFonts w:ascii="Calibri" w:hAnsi="Calibri"/>
          <w:color w:val="231F20"/>
          <w:w w:val="105"/>
          <w:sz w:val="17"/>
        </w:rPr>
        <w:t>abril</w:t>
      </w:r>
      <w:r>
        <w:rPr>
          <w:rFonts w:ascii="Calibri" w:hAnsi="Calibri"/>
          <w:color w:val="231F20"/>
          <w:spacing w:val="-20"/>
          <w:w w:val="105"/>
          <w:sz w:val="17"/>
        </w:rPr>
        <w:t> </w:t>
      </w:r>
      <w:r>
        <w:rPr>
          <w:rFonts w:ascii="Calibri" w:hAnsi="Calibri"/>
          <w:color w:val="231F20"/>
          <w:w w:val="105"/>
          <w:sz w:val="17"/>
        </w:rPr>
        <w:t>del</w:t>
      </w:r>
      <w:r>
        <w:rPr>
          <w:rFonts w:ascii="Calibri" w:hAnsi="Calibri"/>
          <w:color w:val="231F20"/>
          <w:spacing w:val="-20"/>
          <w:w w:val="105"/>
          <w:sz w:val="17"/>
        </w:rPr>
        <w:t> </w:t>
      </w:r>
      <w:r>
        <w:rPr>
          <w:rFonts w:ascii="Calibri" w:hAnsi="Calibri"/>
          <w:color w:val="231F20"/>
          <w:w w:val="105"/>
          <w:sz w:val="17"/>
        </w:rPr>
        <w:t>mismo</w:t>
      </w:r>
      <w:r>
        <w:rPr>
          <w:rFonts w:ascii="Calibri" w:hAnsi="Calibri"/>
          <w:color w:val="231F20"/>
          <w:spacing w:val="-20"/>
          <w:w w:val="105"/>
          <w:sz w:val="17"/>
        </w:rPr>
        <w:t> </w:t>
      </w:r>
      <w:r>
        <w:rPr>
          <w:rFonts w:ascii="Calibri" w:hAnsi="Calibri"/>
          <w:color w:val="231F20"/>
          <w:w w:val="105"/>
          <w:sz w:val="17"/>
        </w:rPr>
        <w:t>año.</w:t>
      </w:r>
    </w:p>
    <w:p>
      <w:pPr>
        <w:spacing w:line="204" w:lineRule="exact" w:before="0"/>
        <w:ind w:left="103" w:right="115" w:firstLine="0"/>
        <w:jc w:val="both"/>
        <w:rPr>
          <w:rFonts w:ascii="Calibri" w:hAnsi="Calibri"/>
          <w:sz w:val="17"/>
        </w:rPr>
      </w:pPr>
      <w:r>
        <w:rPr>
          <w:rFonts w:ascii="Calibri" w:hAnsi="Calibri"/>
          <w:color w:val="231F20"/>
          <w:w w:val="105"/>
          <w:position w:val="6"/>
          <w:sz w:val="10"/>
        </w:rPr>
        <w:t>24</w:t>
      </w:r>
      <w:r>
        <w:rPr>
          <w:rFonts w:ascii="Calibri" w:hAnsi="Calibri"/>
          <w:color w:val="231F20"/>
          <w:spacing w:val="-1"/>
          <w:w w:val="105"/>
          <w:position w:val="6"/>
          <w:sz w:val="10"/>
        </w:rPr>
        <w:t> </w:t>
      </w:r>
      <w:r>
        <w:rPr>
          <w:rFonts w:ascii="Calibri" w:hAnsi="Calibri"/>
          <w:color w:val="231F20"/>
          <w:w w:val="105"/>
          <w:sz w:val="17"/>
        </w:rPr>
        <w:t>García</w:t>
      </w:r>
      <w:r>
        <w:rPr>
          <w:rFonts w:ascii="Calibri" w:hAnsi="Calibri"/>
          <w:color w:val="231F20"/>
          <w:spacing w:val="-17"/>
          <w:w w:val="105"/>
          <w:sz w:val="17"/>
        </w:rPr>
        <w:t> </w:t>
      </w:r>
      <w:r>
        <w:rPr>
          <w:rFonts w:ascii="Calibri" w:hAnsi="Calibri"/>
          <w:color w:val="231F20"/>
          <w:w w:val="105"/>
          <w:sz w:val="17"/>
        </w:rPr>
        <w:t>Ramírez,</w:t>
      </w:r>
      <w:r>
        <w:rPr>
          <w:rFonts w:ascii="Calibri" w:hAnsi="Calibri"/>
          <w:color w:val="231F20"/>
          <w:spacing w:val="-17"/>
          <w:w w:val="105"/>
          <w:sz w:val="17"/>
        </w:rPr>
        <w:t> </w:t>
      </w:r>
      <w:r>
        <w:rPr>
          <w:rFonts w:ascii="Calibri" w:hAnsi="Calibri"/>
          <w:color w:val="231F20"/>
          <w:w w:val="105"/>
          <w:sz w:val="17"/>
        </w:rPr>
        <w:t>“Garantías</w:t>
      </w:r>
      <w:r>
        <w:rPr>
          <w:rFonts w:ascii="Calibri" w:hAnsi="Calibri"/>
          <w:color w:val="231F20"/>
          <w:spacing w:val="-17"/>
          <w:w w:val="105"/>
          <w:sz w:val="17"/>
        </w:rPr>
        <w:t> </w:t>
      </w:r>
      <w:r>
        <w:rPr>
          <w:rFonts w:ascii="Calibri" w:hAnsi="Calibri"/>
          <w:color w:val="231F20"/>
          <w:w w:val="105"/>
          <w:sz w:val="17"/>
        </w:rPr>
        <w:t>individuales</w:t>
      </w:r>
      <w:r>
        <w:rPr>
          <w:rFonts w:ascii="Calibri" w:hAnsi="Calibri"/>
          <w:color w:val="231F20"/>
          <w:spacing w:val="-18"/>
          <w:w w:val="105"/>
          <w:sz w:val="17"/>
        </w:rPr>
        <w:t> </w:t>
      </w:r>
      <w:r>
        <w:rPr>
          <w:rFonts w:ascii="Calibri" w:hAnsi="Calibri"/>
          <w:color w:val="231F20"/>
          <w:w w:val="105"/>
          <w:sz w:val="17"/>
        </w:rPr>
        <w:t>y</w:t>
      </w:r>
      <w:r>
        <w:rPr>
          <w:rFonts w:ascii="Calibri" w:hAnsi="Calibri"/>
          <w:color w:val="231F20"/>
          <w:spacing w:val="-17"/>
          <w:w w:val="105"/>
          <w:sz w:val="17"/>
        </w:rPr>
        <w:t> </w:t>
      </w:r>
      <w:r>
        <w:rPr>
          <w:rFonts w:ascii="Calibri" w:hAnsi="Calibri"/>
          <w:color w:val="231F20"/>
          <w:w w:val="105"/>
          <w:sz w:val="17"/>
        </w:rPr>
        <w:t>régimen</w:t>
      </w:r>
      <w:r>
        <w:rPr>
          <w:rFonts w:ascii="Calibri" w:hAnsi="Calibri"/>
          <w:color w:val="231F20"/>
          <w:spacing w:val="-17"/>
          <w:w w:val="105"/>
          <w:sz w:val="17"/>
        </w:rPr>
        <w:t> </w:t>
      </w:r>
      <w:r>
        <w:rPr>
          <w:rFonts w:ascii="Calibri" w:hAnsi="Calibri"/>
          <w:color w:val="231F20"/>
          <w:w w:val="105"/>
          <w:sz w:val="17"/>
        </w:rPr>
        <w:t>constitucional</w:t>
      </w:r>
      <w:r>
        <w:rPr>
          <w:rFonts w:ascii="Calibri" w:hAnsi="Calibri"/>
          <w:color w:val="231F20"/>
          <w:spacing w:val="-17"/>
          <w:w w:val="105"/>
          <w:sz w:val="17"/>
        </w:rPr>
        <w:t> </w:t>
      </w:r>
      <w:r>
        <w:rPr>
          <w:rFonts w:ascii="Calibri" w:hAnsi="Calibri"/>
          <w:color w:val="231F20"/>
          <w:w w:val="105"/>
          <w:sz w:val="17"/>
        </w:rPr>
        <w:t>sobre</w:t>
      </w:r>
      <w:r>
        <w:rPr>
          <w:rFonts w:ascii="Calibri" w:hAnsi="Calibri"/>
          <w:color w:val="231F20"/>
          <w:spacing w:val="-17"/>
          <w:w w:val="105"/>
          <w:sz w:val="17"/>
        </w:rPr>
        <w:t> </w:t>
      </w:r>
      <w:r>
        <w:rPr>
          <w:rFonts w:ascii="Calibri" w:hAnsi="Calibri"/>
          <w:color w:val="231F20"/>
          <w:w w:val="105"/>
          <w:sz w:val="17"/>
        </w:rPr>
        <w:t>la</w:t>
      </w:r>
      <w:r>
        <w:rPr>
          <w:rFonts w:ascii="Calibri" w:hAnsi="Calibri"/>
          <w:color w:val="231F20"/>
          <w:spacing w:val="-17"/>
          <w:w w:val="105"/>
          <w:sz w:val="17"/>
        </w:rPr>
        <w:t> </w:t>
      </w:r>
      <w:r>
        <w:rPr>
          <w:rFonts w:ascii="Calibri" w:hAnsi="Calibri"/>
          <w:color w:val="231F20"/>
          <w:w w:val="105"/>
          <w:sz w:val="17"/>
        </w:rPr>
        <w:t>delincuencia</w:t>
      </w:r>
      <w:r>
        <w:rPr>
          <w:rFonts w:ascii="Calibri" w:hAnsi="Calibri"/>
          <w:color w:val="231F20"/>
          <w:spacing w:val="-17"/>
          <w:w w:val="105"/>
          <w:sz w:val="17"/>
        </w:rPr>
        <w:t> </w:t>
      </w:r>
      <w:r>
        <w:rPr>
          <w:rFonts w:ascii="Calibri" w:hAnsi="Calibri"/>
          <w:color w:val="231F20"/>
          <w:w w:val="105"/>
          <w:sz w:val="17"/>
        </w:rPr>
        <w:t>organiza- </w:t>
      </w:r>
      <w:r>
        <w:rPr>
          <w:rFonts w:ascii="Calibri" w:hAnsi="Calibri"/>
          <w:color w:val="231F20"/>
          <w:spacing w:val="-3"/>
          <w:w w:val="95"/>
          <w:sz w:val="17"/>
        </w:rPr>
        <w:t>da”, </w:t>
      </w:r>
      <w:r>
        <w:rPr>
          <w:rFonts w:ascii="Calibri" w:hAnsi="Calibri"/>
          <w:color w:val="231F20"/>
          <w:w w:val="95"/>
          <w:sz w:val="17"/>
        </w:rPr>
        <w:t>pp.</w:t>
      </w:r>
      <w:r>
        <w:rPr>
          <w:rFonts w:ascii="Calibri" w:hAnsi="Calibri"/>
          <w:color w:val="231F20"/>
          <w:spacing w:val="-15"/>
          <w:w w:val="95"/>
          <w:sz w:val="17"/>
        </w:rPr>
        <w:t> </w:t>
      </w:r>
      <w:r>
        <w:rPr>
          <w:rFonts w:ascii="Calibri" w:hAnsi="Calibri"/>
          <w:color w:val="231F20"/>
          <w:w w:val="95"/>
          <w:sz w:val="17"/>
        </w:rPr>
        <w:t>152–153.</w:t>
      </w:r>
    </w:p>
    <w:p>
      <w:pPr>
        <w:pStyle w:val="BodyText"/>
        <w:rPr>
          <w:rFonts w:ascii="Calibri"/>
          <w:sz w:val="20"/>
        </w:rPr>
      </w:pPr>
    </w:p>
    <w:p>
      <w:pPr>
        <w:pStyle w:val="BodyText"/>
        <w:spacing w:before="1"/>
        <w:rPr>
          <w:rFonts w:ascii="Calibri"/>
          <w:sz w:val="28"/>
        </w:rPr>
      </w:pPr>
    </w:p>
    <w:p>
      <w:pPr>
        <w:tabs>
          <w:tab w:pos="1317" w:val="left" w:leader="none"/>
        </w:tabs>
        <w:spacing w:before="69"/>
        <w:ind w:left="267" w:right="0" w:firstLine="0"/>
        <w:jc w:val="left"/>
        <w:rPr>
          <w:rFonts w:ascii="Calibri" w:hAnsi="Calibri"/>
          <w:sz w:val="16"/>
        </w:rPr>
      </w:pPr>
      <w:r>
        <w:rPr/>
        <w:pict>
          <v:group style="position:absolute;margin-left:98.079102pt;margin-top:-3.308812pt;width:20.4pt;height:43pt;mso-position-horizontal-relative:page;mso-position-vertical-relative:paragraph;z-index:-172912" coordorigin="1962,-66" coordsize="408,860">
            <v:line style="position:absolute" from="2211,73" to="2211,789" stroked="true" strokeweight=".35pt" strokecolor="#231f20"/>
            <v:shape style="position:absolute;left:2179;top:-13;width:190;height:445" type="#_x0000_t75" stroked="false">
              <v:imagedata r:id="rId34" o:title=""/>
            </v:shape>
            <v:shape style="position:absolute;left:1962;top:-66;width:250;height:502" type="#_x0000_t75" stroked="false">
              <v:imagedata r:id="rId35" o:title=""/>
            </v:shape>
            <w10:wrap type="none"/>
          </v:group>
        </w:pict>
      </w:r>
      <w:r>
        <w:rPr>
          <w:rFonts w:ascii="Arial" w:hAnsi="Arial"/>
          <w:color w:val="414042"/>
          <w:position w:val="-4"/>
          <w:sz w:val="20"/>
        </w:rPr>
        <w:t>32</w:t>
        <w:tab/>
      </w:r>
      <w:r>
        <w:rPr>
          <w:rFonts w:ascii="Calibri" w:hAnsi="Calibri"/>
          <w:color w:val="6D6E71"/>
          <w:sz w:val="16"/>
        </w:rPr>
        <w:t>Jorge Olvera</w:t>
      </w:r>
      <w:r>
        <w:rPr>
          <w:rFonts w:ascii="Calibri" w:hAnsi="Calibri"/>
          <w:color w:val="6D6E71"/>
          <w:spacing w:val="14"/>
          <w:sz w:val="16"/>
        </w:rPr>
        <w:t> </w:t>
      </w:r>
      <w:r>
        <w:rPr>
          <w:rFonts w:ascii="Calibri" w:hAnsi="Calibri"/>
          <w:color w:val="6D6E71"/>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8"/>
        <w:ind w:left="907" w:right="0" w:firstLine="0"/>
        <w:jc w:val="left"/>
        <w:rPr>
          <w:rFonts w:ascii="Arial" w:hAnsi="Arial"/>
          <w:sz w:val="20"/>
        </w:rPr>
      </w:pPr>
      <w:r>
        <w:rPr/>
        <w:pict>
          <v:group style="position:absolute;margin-left:383.821014pt;margin-top:-25.476145pt;width:8.65pt;height:41pt;mso-position-horizontal-relative:page;mso-position-vertical-relative:paragraph;z-index:-17286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Calibri" w:hAnsi="Calibri"/>
          <w:color w:val="6D6E71"/>
          <w:w w:val="105"/>
          <w:sz w:val="14"/>
        </w:rPr>
        <w:t>CAMBIO DE PARADIGMA JURÍDICO: EL 11-S Y LA DELINCUENCIA ORGANIZADA</w:t>
      </w:r>
      <w:r>
        <w:rPr>
          <w:rFonts w:ascii="Calibri" w:hAnsi="Calibri"/>
          <w:color w:val="6D6E71"/>
          <w:spacing w:val="11"/>
          <w:w w:val="105"/>
          <w:sz w:val="14"/>
        </w:rPr>
        <w:t> </w:t>
      </w:r>
      <w:r>
        <w:rPr>
          <w:rFonts w:ascii="Calibri" w:hAnsi="Calibri"/>
          <w:color w:val="6D6E71"/>
          <w:w w:val="105"/>
          <w:sz w:val="14"/>
        </w:rPr>
        <w:t>EN</w:t>
      </w:r>
      <w:r>
        <w:rPr>
          <w:rFonts w:ascii="Calibri" w:hAnsi="Calibri"/>
          <w:color w:val="6D6E71"/>
          <w:spacing w:val="1"/>
          <w:w w:val="105"/>
          <w:sz w:val="14"/>
        </w:rPr>
        <w:t> </w:t>
      </w:r>
      <w:r>
        <w:rPr>
          <w:rFonts w:ascii="Calibri" w:hAnsi="Calibri"/>
          <w:color w:val="6D6E71"/>
          <w:w w:val="105"/>
          <w:sz w:val="14"/>
        </w:rPr>
        <w:t>MÉXICO</w:t>
      </w:r>
      <w:r>
        <w:rPr>
          <w:rFonts w:ascii="Arial" w:hAnsi="Arial"/>
          <w:color w:val="414042"/>
          <w:w w:val="105"/>
          <w:position w:val="-3"/>
          <w:sz w:val="20"/>
        </w:rPr>
        <w:tab/>
        <w:t>33</w:t>
      </w:r>
    </w:p>
    <w:p>
      <w:pPr>
        <w:pStyle w:val="BodyText"/>
        <w:rPr>
          <w:rFonts w:ascii="Arial"/>
          <w:sz w:val="20"/>
        </w:rPr>
      </w:pPr>
    </w:p>
    <w:p>
      <w:pPr>
        <w:pStyle w:val="BodyText"/>
        <w:rPr>
          <w:rFonts w:ascii="Arial"/>
          <w:sz w:val="20"/>
        </w:rPr>
      </w:pPr>
    </w:p>
    <w:p>
      <w:pPr>
        <w:pStyle w:val="BodyText"/>
        <w:spacing w:line="247" w:lineRule="auto" w:before="169"/>
        <w:ind w:left="117" w:right="101"/>
        <w:jc w:val="both"/>
      </w:pPr>
      <w:r>
        <w:rPr>
          <w:color w:val="231F20"/>
        </w:rPr>
        <w:t>un </w:t>
      </w:r>
      <w:r>
        <w:rPr>
          <w:color w:val="231F20"/>
          <w:sz w:val="18"/>
        </w:rPr>
        <w:t>DPE </w:t>
      </w:r>
      <w:r>
        <w:rPr>
          <w:color w:val="231F20"/>
        </w:rPr>
        <w:t>que se expresa en detrimento de las garantías individuales y pro- cesales:</w:t>
      </w:r>
    </w:p>
    <w:p>
      <w:pPr>
        <w:pStyle w:val="BodyText"/>
        <w:spacing w:before="10"/>
        <w:rPr>
          <w:sz w:val="22"/>
        </w:rPr>
      </w:pPr>
    </w:p>
    <w:p>
      <w:pPr>
        <w:spacing w:line="220" w:lineRule="exact" w:before="1"/>
        <w:ind w:left="1534" w:right="101" w:firstLine="0"/>
        <w:jc w:val="both"/>
        <w:rPr>
          <w:sz w:val="19"/>
        </w:rPr>
      </w:pPr>
      <w:r>
        <w:rPr>
          <w:color w:val="231F20"/>
          <w:sz w:val="19"/>
        </w:rPr>
        <w:t>La reforma constitucional altera el rumbo e incorpora dos siste- mas:</w:t>
      </w:r>
      <w:r>
        <w:rPr>
          <w:color w:val="231F20"/>
          <w:spacing w:val="-6"/>
          <w:sz w:val="19"/>
        </w:rPr>
        <w:t> </w:t>
      </w:r>
      <w:r>
        <w:rPr>
          <w:color w:val="231F20"/>
          <w:sz w:val="19"/>
        </w:rPr>
        <w:t>uno</w:t>
      </w:r>
      <w:r>
        <w:rPr>
          <w:color w:val="231F20"/>
          <w:spacing w:val="-6"/>
          <w:sz w:val="19"/>
        </w:rPr>
        <w:t> </w:t>
      </w:r>
      <w:r>
        <w:rPr>
          <w:color w:val="231F20"/>
          <w:sz w:val="19"/>
        </w:rPr>
        <w:t>de</w:t>
      </w:r>
      <w:r>
        <w:rPr>
          <w:color w:val="231F20"/>
          <w:spacing w:val="-6"/>
          <w:sz w:val="19"/>
        </w:rPr>
        <w:t> </w:t>
      </w:r>
      <w:r>
        <w:rPr>
          <w:color w:val="231F20"/>
          <w:sz w:val="19"/>
        </w:rPr>
        <w:t>carácter</w:t>
      </w:r>
      <w:r>
        <w:rPr>
          <w:color w:val="231F20"/>
          <w:spacing w:val="-6"/>
          <w:sz w:val="19"/>
        </w:rPr>
        <w:t> </w:t>
      </w:r>
      <w:r>
        <w:rPr>
          <w:color w:val="231F20"/>
          <w:sz w:val="19"/>
        </w:rPr>
        <w:t>supuestamente</w:t>
      </w:r>
      <w:r>
        <w:rPr>
          <w:color w:val="231F20"/>
          <w:spacing w:val="-6"/>
          <w:sz w:val="19"/>
        </w:rPr>
        <w:t> </w:t>
      </w:r>
      <w:r>
        <w:rPr>
          <w:color w:val="231F20"/>
          <w:sz w:val="19"/>
        </w:rPr>
        <w:t>ordinario,</w:t>
      </w:r>
      <w:r>
        <w:rPr>
          <w:color w:val="231F20"/>
          <w:spacing w:val="-6"/>
          <w:sz w:val="19"/>
        </w:rPr>
        <w:t> </w:t>
      </w:r>
      <w:r>
        <w:rPr>
          <w:color w:val="231F20"/>
          <w:sz w:val="19"/>
        </w:rPr>
        <w:t>con</w:t>
      </w:r>
      <w:r>
        <w:rPr>
          <w:color w:val="231F20"/>
          <w:spacing w:val="-6"/>
          <w:sz w:val="19"/>
        </w:rPr>
        <w:t> </w:t>
      </w:r>
      <w:r>
        <w:rPr>
          <w:color w:val="231F20"/>
          <w:sz w:val="19"/>
        </w:rPr>
        <w:t>amplios</w:t>
      </w:r>
      <w:r>
        <w:rPr>
          <w:color w:val="231F20"/>
          <w:spacing w:val="-6"/>
          <w:sz w:val="19"/>
        </w:rPr>
        <w:t> </w:t>
      </w:r>
      <w:r>
        <w:rPr>
          <w:color w:val="231F20"/>
          <w:sz w:val="19"/>
        </w:rPr>
        <w:t>dere- chos</w:t>
      </w:r>
      <w:r>
        <w:rPr>
          <w:color w:val="231F20"/>
          <w:spacing w:val="-14"/>
          <w:sz w:val="19"/>
        </w:rPr>
        <w:t> </w:t>
      </w:r>
      <w:r>
        <w:rPr>
          <w:color w:val="231F20"/>
          <w:sz w:val="19"/>
        </w:rPr>
        <w:t>y</w:t>
      </w:r>
      <w:r>
        <w:rPr>
          <w:color w:val="231F20"/>
          <w:spacing w:val="-14"/>
          <w:sz w:val="19"/>
        </w:rPr>
        <w:t> </w:t>
      </w:r>
      <w:r>
        <w:rPr>
          <w:color w:val="231F20"/>
          <w:sz w:val="19"/>
        </w:rPr>
        <w:t>garantías;</w:t>
      </w:r>
      <w:r>
        <w:rPr>
          <w:color w:val="231F20"/>
          <w:spacing w:val="-14"/>
          <w:sz w:val="19"/>
        </w:rPr>
        <w:t> </w:t>
      </w:r>
      <w:r>
        <w:rPr>
          <w:color w:val="231F20"/>
          <w:sz w:val="19"/>
        </w:rPr>
        <w:t>y</w:t>
      </w:r>
      <w:r>
        <w:rPr>
          <w:color w:val="231F20"/>
          <w:spacing w:val="-14"/>
          <w:sz w:val="19"/>
        </w:rPr>
        <w:t> </w:t>
      </w:r>
      <w:r>
        <w:rPr>
          <w:color w:val="231F20"/>
          <w:sz w:val="19"/>
        </w:rPr>
        <w:t>otro</w:t>
      </w:r>
      <w:r>
        <w:rPr>
          <w:color w:val="231F20"/>
          <w:spacing w:val="-14"/>
          <w:sz w:val="19"/>
        </w:rPr>
        <w:t> </w:t>
      </w:r>
      <w:r>
        <w:rPr>
          <w:color w:val="231F20"/>
          <w:sz w:val="19"/>
        </w:rPr>
        <w:t>de</w:t>
      </w:r>
      <w:r>
        <w:rPr>
          <w:color w:val="231F20"/>
          <w:spacing w:val="-14"/>
          <w:sz w:val="19"/>
        </w:rPr>
        <w:t> </w:t>
      </w:r>
      <w:r>
        <w:rPr>
          <w:color w:val="231F20"/>
          <w:sz w:val="19"/>
        </w:rPr>
        <w:t>naturaleza</w:t>
      </w:r>
      <w:r>
        <w:rPr>
          <w:color w:val="231F20"/>
          <w:spacing w:val="-14"/>
          <w:sz w:val="19"/>
        </w:rPr>
        <w:t> </w:t>
      </w:r>
      <w:r>
        <w:rPr>
          <w:color w:val="231F20"/>
          <w:sz w:val="19"/>
        </w:rPr>
        <w:t>supuestamente</w:t>
      </w:r>
      <w:r>
        <w:rPr>
          <w:color w:val="231F20"/>
          <w:spacing w:val="-14"/>
          <w:sz w:val="19"/>
        </w:rPr>
        <w:t> </w:t>
      </w:r>
      <w:r>
        <w:rPr>
          <w:color w:val="231F20"/>
          <w:sz w:val="19"/>
        </w:rPr>
        <w:t>excepcional, con derechos y garantías reducidos o recortados, aplicable a la delincuencia organizada. Con ello se “constitucionaliza” el proce- so “desgarantizador” iniciado 1996 con la deplorable Ley Federal contra la Delincuencia organizada, que infectó el proceso penal. En 1996 teníamos a la vista un grave problema: la delincuencia organizada. Ahora tenemos dos: esa delincuencia, que ha creci- do hasta extremos insospechados, y la legislación dictada para combatirla. Y ya no se tratará solamente de una </w:t>
      </w:r>
      <w:r>
        <w:rPr>
          <w:color w:val="231F20"/>
          <w:spacing w:val="-5"/>
          <w:sz w:val="19"/>
        </w:rPr>
        <w:t>ley, </w:t>
      </w:r>
      <w:r>
        <w:rPr>
          <w:color w:val="231F20"/>
          <w:sz w:val="19"/>
        </w:rPr>
        <w:t>sino de </w:t>
      </w:r>
      <w:r>
        <w:rPr>
          <w:color w:val="231F20"/>
          <w:spacing w:val="-3"/>
          <w:sz w:val="19"/>
        </w:rPr>
        <w:t>nor- </w:t>
      </w:r>
      <w:r>
        <w:rPr>
          <w:color w:val="231F20"/>
          <w:sz w:val="19"/>
        </w:rPr>
        <w:t>mas constitucionales, nada menos. […] Es un error desmontar el Estado de Derecho con el objetivo de preservarlo. Esta paradoja entraña severos peligros en la propia Ley</w:t>
      </w:r>
      <w:r>
        <w:rPr>
          <w:color w:val="231F20"/>
          <w:spacing w:val="-23"/>
          <w:sz w:val="19"/>
        </w:rPr>
        <w:t> </w:t>
      </w:r>
      <w:r>
        <w:rPr>
          <w:color w:val="231F20"/>
          <w:sz w:val="19"/>
        </w:rPr>
        <w:t>Suprema</w:t>
      </w:r>
      <w:r>
        <w:rPr>
          <w:color w:val="231F20"/>
          <w:position w:val="6"/>
          <w:sz w:val="11"/>
        </w:rPr>
        <w:t>25</w:t>
      </w:r>
      <w:r>
        <w:rPr>
          <w:color w:val="231F20"/>
          <w:sz w:val="19"/>
        </w:rPr>
        <w:t>.</w:t>
      </w:r>
    </w:p>
    <w:p>
      <w:pPr>
        <w:pStyle w:val="BodyText"/>
        <w:spacing w:before="11"/>
        <w:rPr>
          <w:sz w:val="23"/>
        </w:rPr>
      </w:pPr>
    </w:p>
    <w:p>
      <w:pPr>
        <w:pStyle w:val="BodyText"/>
        <w:spacing w:line="247" w:lineRule="auto"/>
        <w:ind w:left="117" w:right="101"/>
        <w:jc w:val="both"/>
      </w:pPr>
      <w:r>
        <w:rPr>
          <w:color w:val="231F20"/>
        </w:rPr>
        <w:t>La lección que a nivel jurídico y penal nos ha dejado el combate a la delin- cuencia </w:t>
      </w:r>
      <w:r>
        <w:rPr>
          <w:color w:val="231F20"/>
          <w:spacing w:val="-3"/>
        </w:rPr>
        <w:t>organizada </w:t>
      </w:r>
      <w:r>
        <w:rPr>
          <w:color w:val="231F20"/>
        </w:rPr>
        <w:t>está encaminada a </w:t>
      </w:r>
      <w:r>
        <w:rPr>
          <w:color w:val="231F20"/>
          <w:spacing w:val="-3"/>
        </w:rPr>
        <w:t>reflexionar sobre </w:t>
      </w:r>
      <w:r>
        <w:rPr>
          <w:color w:val="231F20"/>
        </w:rPr>
        <w:t>la </w:t>
      </w:r>
      <w:r>
        <w:rPr>
          <w:color w:val="231F20"/>
          <w:spacing w:val="-3"/>
        </w:rPr>
        <w:t>profunda </w:t>
      </w:r>
      <w:r>
        <w:rPr>
          <w:color w:val="231F20"/>
        </w:rPr>
        <w:t>muta- ción</w:t>
      </w:r>
      <w:r>
        <w:rPr>
          <w:color w:val="231F20"/>
          <w:spacing w:val="-12"/>
        </w:rPr>
        <w:t> </w:t>
      </w:r>
      <w:r>
        <w:rPr>
          <w:color w:val="231F20"/>
        </w:rPr>
        <w:t>el</w:t>
      </w:r>
      <w:r>
        <w:rPr>
          <w:color w:val="231F20"/>
          <w:spacing w:val="-12"/>
        </w:rPr>
        <w:t> </w:t>
      </w:r>
      <w:r>
        <w:rPr>
          <w:color w:val="231F20"/>
        </w:rPr>
        <w:t>paradigma</w:t>
      </w:r>
      <w:r>
        <w:rPr>
          <w:color w:val="231F20"/>
          <w:spacing w:val="-12"/>
        </w:rPr>
        <w:t> </w:t>
      </w:r>
      <w:r>
        <w:rPr>
          <w:color w:val="231F20"/>
        </w:rPr>
        <w:t>jurídico</w:t>
      </w:r>
      <w:r>
        <w:rPr>
          <w:color w:val="231F20"/>
          <w:spacing w:val="-12"/>
        </w:rPr>
        <w:t> </w:t>
      </w:r>
      <w:r>
        <w:rPr>
          <w:color w:val="231F20"/>
          <w:spacing w:val="-3"/>
        </w:rPr>
        <w:t>nuestro</w:t>
      </w:r>
      <w:r>
        <w:rPr>
          <w:color w:val="231F20"/>
          <w:spacing w:val="-12"/>
        </w:rPr>
        <w:t> </w:t>
      </w:r>
      <w:r>
        <w:rPr>
          <w:color w:val="231F20"/>
        </w:rPr>
        <w:t>país</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últimos</w:t>
      </w:r>
      <w:r>
        <w:rPr>
          <w:color w:val="231F20"/>
          <w:spacing w:val="-12"/>
        </w:rPr>
        <w:t> </w:t>
      </w:r>
      <w:r>
        <w:rPr>
          <w:color w:val="231F20"/>
        </w:rPr>
        <w:t>años.</w:t>
      </w:r>
      <w:r>
        <w:rPr>
          <w:color w:val="231F20"/>
          <w:spacing w:val="-12"/>
        </w:rPr>
        <w:t> </w:t>
      </w:r>
      <w:r>
        <w:rPr>
          <w:color w:val="231F20"/>
        </w:rPr>
        <w:t>En</w:t>
      </w:r>
      <w:r>
        <w:rPr>
          <w:color w:val="231F20"/>
          <w:spacing w:val="-12"/>
        </w:rPr>
        <w:t> </w:t>
      </w:r>
      <w:r>
        <w:rPr>
          <w:color w:val="231F20"/>
        </w:rPr>
        <w:t>consonancia con una mutación que también se </w:t>
      </w:r>
      <w:r>
        <w:rPr>
          <w:color w:val="231F20"/>
          <w:spacing w:val="-3"/>
        </w:rPr>
        <w:t>expresa </w:t>
      </w:r>
      <w:r>
        <w:rPr>
          <w:color w:val="231F20"/>
        </w:rPr>
        <w:t>a nivel global, el </w:t>
      </w:r>
      <w:r>
        <w:rPr>
          <w:color w:val="231F20"/>
          <w:spacing w:val="-3"/>
        </w:rPr>
        <w:t>derecho </w:t>
      </w:r>
      <w:r>
        <w:rPr>
          <w:color w:val="231F20"/>
        </w:rPr>
        <w:t>penal nacional se encamina cada vez más hacia una justicia </w:t>
      </w:r>
      <w:r>
        <w:rPr>
          <w:color w:val="231F20"/>
          <w:spacing w:val="-2"/>
        </w:rPr>
        <w:t>diferenciada </w:t>
      </w:r>
      <w:r>
        <w:rPr>
          <w:color w:val="231F20"/>
        </w:rPr>
        <w:t>donde los ciudadanos </w:t>
      </w:r>
      <w:r>
        <w:rPr>
          <w:color w:val="231F20"/>
          <w:spacing w:val="-3"/>
        </w:rPr>
        <w:t>respetuosos </w:t>
      </w:r>
      <w:r>
        <w:rPr>
          <w:color w:val="231F20"/>
        </w:rPr>
        <w:t>de la ley serán juzgados bajo un </w:t>
      </w:r>
      <w:r>
        <w:rPr>
          <w:color w:val="231F20"/>
          <w:spacing w:val="-3"/>
        </w:rPr>
        <w:t>ordenamien- </w:t>
      </w:r>
      <w:r>
        <w:rPr>
          <w:color w:val="231F20"/>
        </w:rPr>
        <w:t>to </w:t>
      </w:r>
      <w:r>
        <w:rPr>
          <w:color w:val="231F20"/>
          <w:spacing w:val="-3"/>
        </w:rPr>
        <w:t>respetuoso </w:t>
      </w:r>
      <w:r>
        <w:rPr>
          <w:color w:val="231F20"/>
        </w:rPr>
        <w:t>de sus garantías, mientras que aquellos que han violado la legalidad serán sometidos a una penalidad diferente, </w:t>
      </w:r>
      <w:r>
        <w:rPr>
          <w:color w:val="231F20"/>
          <w:spacing w:val="-3"/>
        </w:rPr>
        <w:t>siempre </w:t>
      </w:r>
      <w:r>
        <w:rPr>
          <w:color w:val="231F20"/>
        </w:rPr>
        <w:t>dispuesta a </w:t>
      </w:r>
      <w:r>
        <w:rPr>
          <w:color w:val="231F20"/>
          <w:spacing w:val="-3"/>
        </w:rPr>
        <w:t>arrojarlos </w:t>
      </w:r>
      <w:r>
        <w:rPr>
          <w:color w:val="231F20"/>
        </w:rPr>
        <w:t>a una zona de indeterminación, donde sus </w:t>
      </w:r>
      <w:r>
        <w:rPr>
          <w:color w:val="231F20"/>
          <w:spacing w:val="-3"/>
        </w:rPr>
        <w:t>derechos </w:t>
      </w:r>
      <w:r>
        <w:rPr>
          <w:color w:val="231F20"/>
        </w:rPr>
        <w:t>y garantías pueden</w:t>
      </w:r>
      <w:r>
        <w:rPr>
          <w:color w:val="231F20"/>
          <w:spacing w:val="-21"/>
        </w:rPr>
        <w:t> </w:t>
      </w:r>
      <w:r>
        <w:rPr>
          <w:color w:val="231F20"/>
        </w:rPr>
        <w:t>ser</w:t>
      </w:r>
      <w:r>
        <w:rPr>
          <w:color w:val="231F20"/>
          <w:spacing w:val="-21"/>
        </w:rPr>
        <w:t> </w:t>
      </w:r>
      <w:r>
        <w:rPr>
          <w:color w:val="231F20"/>
        </w:rPr>
        <w:t>puestos</w:t>
      </w:r>
      <w:r>
        <w:rPr>
          <w:color w:val="231F20"/>
          <w:spacing w:val="-21"/>
        </w:rPr>
        <w:t> </w:t>
      </w:r>
      <w:r>
        <w:rPr>
          <w:color w:val="231F20"/>
          <w:spacing w:val="-3"/>
        </w:rPr>
        <w:t>entre</w:t>
      </w:r>
      <w:r>
        <w:rPr>
          <w:color w:val="231F20"/>
          <w:spacing w:val="-21"/>
        </w:rPr>
        <w:t> </w:t>
      </w:r>
      <w:r>
        <w:rPr>
          <w:color w:val="231F20"/>
          <w:spacing w:val="-3"/>
        </w:rPr>
        <w:t>paréntesis.</w:t>
      </w:r>
      <w:r>
        <w:rPr>
          <w:color w:val="231F20"/>
          <w:spacing w:val="-21"/>
        </w:rPr>
        <w:t> </w:t>
      </w:r>
      <w:r>
        <w:rPr>
          <w:color w:val="231F20"/>
        </w:rPr>
        <w:t>Sin</w:t>
      </w:r>
      <w:r>
        <w:rPr>
          <w:color w:val="231F20"/>
          <w:spacing w:val="-21"/>
        </w:rPr>
        <w:t> </w:t>
      </w:r>
      <w:r>
        <w:rPr>
          <w:color w:val="231F20"/>
        </w:rPr>
        <w:t>duda,</w:t>
      </w:r>
      <w:r>
        <w:rPr>
          <w:color w:val="231F20"/>
          <w:spacing w:val="-21"/>
        </w:rPr>
        <w:t> </w:t>
      </w:r>
      <w:r>
        <w:rPr>
          <w:color w:val="231F20"/>
        </w:rPr>
        <w:t>la</w:t>
      </w:r>
      <w:r>
        <w:rPr>
          <w:color w:val="231F20"/>
          <w:spacing w:val="-21"/>
        </w:rPr>
        <w:t> </w:t>
      </w:r>
      <w:r>
        <w:rPr>
          <w:color w:val="231F20"/>
        </w:rPr>
        <w:t>guerra</w:t>
      </w:r>
      <w:r>
        <w:rPr>
          <w:color w:val="231F20"/>
          <w:spacing w:val="-21"/>
        </w:rPr>
        <w:t> </w:t>
      </w:r>
      <w:r>
        <w:rPr>
          <w:color w:val="231F20"/>
        </w:rPr>
        <w:t>contra</w:t>
      </w:r>
      <w:r>
        <w:rPr>
          <w:color w:val="231F20"/>
          <w:spacing w:val="-21"/>
        </w:rPr>
        <w:t> </w:t>
      </w:r>
      <w:r>
        <w:rPr>
          <w:color w:val="231F20"/>
        </w:rPr>
        <w:t>el</w:t>
      </w:r>
      <w:r>
        <w:rPr>
          <w:color w:val="231F20"/>
          <w:spacing w:val="-21"/>
        </w:rPr>
        <w:t> </w:t>
      </w:r>
      <w:r>
        <w:rPr>
          <w:color w:val="231F20"/>
        </w:rPr>
        <w:t>crimen</w:t>
      </w:r>
      <w:r>
        <w:rPr>
          <w:color w:val="231F20"/>
          <w:spacing w:val="-21"/>
        </w:rPr>
        <w:t> </w:t>
      </w:r>
      <w:r>
        <w:rPr>
          <w:color w:val="231F20"/>
          <w:spacing w:val="-5"/>
        </w:rPr>
        <w:t>or- </w:t>
      </w:r>
      <w:r>
        <w:rPr>
          <w:color w:val="231F20"/>
        </w:rPr>
        <w:t>ganizado</w:t>
      </w:r>
      <w:r>
        <w:rPr>
          <w:color w:val="231F20"/>
          <w:spacing w:val="-20"/>
        </w:rPr>
        <w:t> </w:t>
      </w:r>
      <w:r>
        <w:rPr>
          <w:color w:val="231F20"/>
        </w:rPr>
        <w:t>ha</w:t>
      </w:r>
      <w:r>
        <w:rPr>
          <w:color w:val="231F20"/>
          <w:spacing w:val="-20"/>
        </w:rPr>
        <w:t> </w:t>
      </w:r>
      <w:r>
        <w:rPr>
          <w:color w:val="231F20"/>
        </w:rPr>
        <w:t>hecho</w:t>
      </w:r>
      <w:r>
        <w:rPr>
          <w:color w:val="231F20"/>
          <w:spacing w:val="-20"/>
        </w:rPr>
        <w:t> </w:t>
      </w:r>
      <w:r>
        <w:rPr>
          <w:color w:val="231F20"/>
        </w:rPr>
        <w:t>necesaria</w:t>
      </w:r>
      <w:r>
        <w:rPr>
          <w:color w:val="231F20"/>
          <w:spacing w:val="-20"/>
        </w:rPr>
        <w:t> </w:t>
      </w:r>
      <w:r>
        <w:rPr>
          <w:color w:val="231F20"/>
        </w:rPr>
        <w:t>una</w:t>
      </w:r>
      <w:r>
        <w:rPr>
          <w:color w:val="231F20"/>
          <w:spacing w:val="-20"/>
        </w:rPr>
        <w:t> </w:t>
      </w:r>
      <w:r>
        <w:rPr>
          <w:color w:val="231F20"/>
        </w:rPr>
        <w:t>nueva</w:t>
      </w:r>
      <w:r>
        <w:rPr>
          <w:color w:val="231F20"/>
          <w:spacing w:val="-20"/>
        </w:rPr>
        <w:t> </w:t>
      </w:r>
      <w:r>
        <w:rPr>
          <w:color w:val="231F20"/>
        </w:rPr>
        <w:t>disposición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penalidad,</w:t>
      </w:r>
      <w:r>
        <w:rPr>
          <w:color w:val="231F20"/>
          <w:spacing w:val="-20"/>
        </w:rPr>
        <w:t> </w:t>
      </w:r>
      <w:r>
        <w:rPr>
          <w:color w:val="231F20"/>
        </w:rPr>
        <w:t>sin</w:t>
      </w:r>
      <w:r>
        <w:rPr>
          <w:color w:val="231F20"/>
          <w:spacing w:val="-20"/>
        </w:rPr>
        <w:t> </w:t>
      </w:r>
      <w:r>
        <w:rPr>
          <w:color w:val="231F20"/>
        </w:rPr>
        <w:t>em- </w:t>
      </w:r>
      <w:r>
        <w:rPr>
          <w:color w:val="231F20"/>
          <w:spacing w:val="-3"/>
        </w:rPr>
        <w:t>bargo</w:t>
      </w:r>
      <w:r>
        <w:rPr>
          <w:color w:val="231F20"/>
          <w:spacing w:val="-10"/>
        </w:rPr>
        <w:t> </w:t>
      </w:r>
      <w:r>
        <w:rPr>
          <w:color w:val="231F20"/>
        </w:rPr>
        <w:t>la</w:t>
      </w:r>
      <w:r>
        <w:rPr>
          <w:color w:val="231F20"/>
          <w:spacing w:val="-10"/>
        </w:rPr>
        <w:t> </w:t>
      </w:r>
      <w:r>
        <w:rPr>
          <w:color w:val="231F20"/>
          <w:spacing w:val="-3"/>
        </w:rPr>
        <w:t>reflexión</w:t>
      </w:r>
      <w:r>
        <w:rPr>
          <w:color w:val="231F20"/>
          <w:spacing w:val="-10"/>
        </w:rPr>
        <w:t> </w:t>
      </w:r>
      <w:r>
        <w:rPr>
          <w:color w:val="231F20"/>
        </w:rPr>
        <w:t>jurídica</w:t>
      </w:r>
      <w:r>
        <w:rPr>
          <w:color w:val="231F20"/>
          <w:spacing w:val="-10"/>
        </w:rPr>
        <w:t> </w:t>
      </w:r>
      <w:r>
        <w:rPr>
          <w:color w:val="231F20"/>
        </w:rPr>
        <w:t>y</w:t>
      </w:r>
      <w:r>
        <w:rPr>
          <w:color w:val="231F20"/>
          <w:spacing w:val="-10"/>
        </w:rPr>
        <w:t> </w:t>
      </w:r>
      <w:r>
        <w:rPr>
          <w:color w:val="231F20"/>
        </w:rPr>
        <w:t>filosófica</w:t>
      </w:r>
      <w:r>
        <w:rPr>
          <w:color w:val="231F20"/>
          <w:spacing w:val="-10"/>
        </w:rPr>
        <w:t> </w:t>
      </w:r>
      <w:r>
        <w:rPr>
          <w:color w:val="231F20"/>
        </w:rPr>
        <w:t>está</w:t>
      </w:r>
      <w:r>
        <w:rPr>
          <w:color w:val="231F20"/>
          <w:spacing w:val="-10"/>
        </w:rPr>
        <w:t> </w:t>
      </w:r>
      <w:r>
        <w:rPr>
          <w:color w:val="231F20"/>
        </w:rPr>
        <w:t>obligada</w:t>
      </w:r>
      <w:r>
        <w:rPr>
          <w:color w:val="231F20"/>
          <w:spacing w:val="-10"/>
        </w:rPr>
        <w:t> </w:t>
      </w:r>
      <w:r>
        <w:rPr>
          <w:color w:val="231F20"/>
        </w:rPr>
        <w:t>a</w:t>
      </w:r>
      <w:r>
        <w:rPr>
          <w:color w:val="231F20"/>
          <w:spacing w:val="-10"/>
        </w:rPr>
        <w:t> </w:t>
      </w:r>
      <w:r>
        <w:rPr>
          <w:color w:val="231F20"/>
        </w:rPr>
        <w:t>pensar</w:t>
      </w:r>
      <w:r>
        <w:rPr>
          <w:color w:val="231F20"/>
          <w:spacing w:val="-10"/>
        </w:rPr>
        <w:t> </w:t>
      </w:r>
      <w:r>
        <w:rPr>
          <w:color w:val="231F20"/>
        </w:rPr>
        <w:t>hacia</w:t>
      </w:r>
      <w:r>
        <w:rPr>
          <w:color w:val="231F20"/>
          <w:spacing w:val="-10"/>
        </w:rPr>
        <w:t> </w:t>
      </w:r>
      <w:r>
        <w:rPr>
          <w:color w:val="231F20"/>
        </w:rPr>
        <w:t>dónde</w:t>
      </w:r>
      <w:r>
        <w:rPr>
          <w:color w:val="231F20"/>
          <w:spacing w:val="-10"/>
        </w:rPr>
        <w:t> </w:t>
      </w:r>
      <w:r>
        <w:rPr>
          <w:color w:val="231F20"/>
        </w:rPr>
        <w:t>se encamina</w:t>
      </w:r>
      <w:r>
        <w:rPr>
          <w:color w:val="231F20"/>
          <w:spacing w:val="-21"/>
        </w:rPr>
        <w:t> </w:t>
      </w:r>
      <w:r>
        <w:rPr>
          <w:color w:val="231F20"/>
        </w:rPr>
        <w:t>dicha</w:t>
      </w:r>
      <w:r>
        <w:rPr>
          <w:color w:val="231F20"/>
          <w:spacing w:val="-21"/>
        </w:rPr>
        <w:t> </w:t>
      </w:r>
      <w:r>
        <w:rPr>
          <w:color w:val="231F20"/>
        </w:rPr>
        <w:t>transformación.</w:t>
      </w:r>
      <w:r>
        <w:rPr>
          <w:color w:val="231F20"/>
          <w:spacing w:val="-21"/>
        </w:rPr>
        <w:t> </w:t>
      </w:r>
      <w:r>
        <w:rPr>
          <w:color w:val="231F20"/>
        </w:rPr>
        <w:t>Las</w:t>
      </w:r>
      <w:r>
        <w:rPr>
          <w:color w:val="231F20"/>
          <w:spacing w:val="-21"/>
        </w:rPr>
        <w:t> </w:t>
      </w:r>
      <w:r>
        <w:rPr>
          <w:color w:val="231F20"/>
        </w:rPr>
        <w:t>herramientas</w:t>
      </w:r>
      <w:r>
        <w:rPr>
          <w:color w:val="231F20"/>
          <w:spacing w:val="-21"/>
        </w:rPr>
        <w:t> </w:t>
      </w:r>
      <w:r>
        <w:rPr>
          <w:color w:val="231F20"/>
        </w:rPr>
        <w:t>encontradas</w:t>
      </w:r>
      <w:r>
        <w:rPr>
          <w:color w:val="231F20"/>
          <w:spacing w:val="-21"/>
        </w:rPr>
        <w:t> </w:t>
      </w:r>
      <w:r>
        <w:rPr>
          <w:color w:val="231F20"/>
        </w:rPr>
        <w:t>en</w:t>
      </w:r>
      <w:r>
        <w:rPr>
          <w:color w:val="231F20"/>
          <w:spacing w:val="-21"/>
        </w:rPr>
        <w:t> </w:t>
      </w:r>
      <w:r>
        <w:rPr>
          <w:color w:val="231F20"/>
        </w:rPr>
        <w:t>Schmitt</w:t>
      </w:r>
      <w:r>
        <w:rPr>
          <w:color w:val="231F20"/>
          <w:spacing w:val="-21"/>
        </w:rPr>
        <w:t> </w:t>
      </w:r>
      <w:r>
        <w:rPr>
          <w:color w:val="231F20"/>
        </w:rPr>
        <w:t>y Jakobs nos han permitido dotarnos de un aparato dispuesto a </w:t>
      </w:r>
      <w:r>
        <w:rPr>
          <w:color w:val="231F20"/>
          <w:spacing w:val="-3"/>
        </w:rPr>
        <w:t>comprender </w:t>
      </w:r>
      <w:r>
        <w:rPr>
          <w:color w:val="231F20"/>
        </w:rPr>
        <w:t>y</w:t>
      </w:r>
      <w:r>
        <w:rPr>
          <w:color w:val="231F20"/>
          <w:spacing w:val="-13"/>
        </w:rPr>
        <w:t> </w:t>
      </w:r>
      <w:r>
        <w:rPr>
          <w:color w:val="231F20"/>
        </w:rPr>
        <w:t>situar</w:t>
      </w:r>
      <w:r>
        <w:rPr>
          <w:color w:val="231F20"/>
          <w:spacing w:val="-13"/>
        </w:rPr>
        <w:t> </w:t>
      </w:r>
      <w:r>
        <w:rPr>
          <w:color w:val="231F20"/>
        </w:rPr>
        <w:t>tales</w:t>
      </w:r>
      <w:r>
        <w:rPr>
          <w:color w:val="231F20"/>
          <w:spacing w:val="-13"/>
        </w:rPr>
        <w:t> </w:t>
      </w:r>
      <w:r>
        <w:rPr>
          <w:color w:val="231F20"/>
        </w:rPr>
        <w:t>mutaciones</w:t>
      </w:r>
      <w:r>
        <w:rPr>
          <w:color w:val="231F20"/>
          <w:spacing w:val="-13"/>
        </w:rPr>
        <w:t> </w:t>
      </w:r>
      <w:r>
        <w:rPr>
          <w:color w:val="231F20"/>
        </w:rPr>
        <w:t>que</w:t>
      </w:r>
      <w:r>
        <w:rPr>
          <w:color w:val="231F20"/>
          <w:spacing w:val="-13"/>
        </w:rPr>
        <w:t> </w:t>
      </w:r>
      <w:r>
        <w:rPr>
          <w:color w:val="231F20"/>
        </w:rPr>
        <w:t>afectan</w:t>
      </w:r>
      <w:r>
        <w:rPr>
          <w:color w:val="231F20"/>
          <w:spacing w:val="-13"/>
        </w:rPr>
        <w:t> </w:t>
      </w:r>
      <w:r>
        <w:rPr>
          <w:color w:val="231F20"/>
          <w:spacing w:val="-2"/>
        </w:rPr>
        <w:t>directamente</w:t>
      </w:r>
      <w:r>
        <w:rPr>
          <w:color w:val="231F20"/>
          <w:spacing w:val="-13"/>
        </w:rPr>
        <w:t> </w:t>
      </w:r>
      <w:r>
        <w:rPr>
          <w:color w:val="231F20"/>
        </w:rPr>
        <w:t>nuestra</w:t>
      </w:r>
      <w:r>
        <w:rPr>
          <w:color w:val="231F20"/>
          <w:spacing w:val="-13"/>
        </w:rPr>
        <w:t> </w:t>
      </w:r>
      <w:r>
        <w:rPr>
          <w:color w:val="231F20"/>
        </w:rPr>
        <w:t>cotidianidad.</w:t>
      </w:r>
    </w:p>
    <w:p>
      <w:pPr>
        <w:pStyle w:val="BodyText"/>
        <w:spacing w:before="5"/>
        <w:rPr>
          <w:sz w:val="24"/>
        </w:rPr>
      </w:pPr>
    </w:p>
    <w:p>
      <w:pPr>
        <w:spacing w:before="1"/>
        <w:ind w:left="117" w:right="0" w:firstLine="0"/>
        <w:jc w:val="both"/>
        <w:rPr>
          <w:rFonts w:ascii="Arial" w:hAnsi="Arial"/>
          <w:i/>
          <w:sz w:val="21"/>
        </w:rPr>
      </w:pPr>
      <w:r>
        <w:rPr>
          <w:rFonts w:ascii="Arial" w:hAnsi="Arial"/>
          <w:i/>
          <w:color w:val="231F20"/>
          <w:w w:val="105"/>
          <w:sz w:val="21"/>
        </w:rPr>
        <w:t>A manera de conclusión</w:t>
      </w:r>
    </w:p>
    <w:p>
      <w:pPr>
        <w:pStyle w:val="BodyText"/>
        <w:rPr>
          <w:rFonts w:ascii="Arial"/>
          <w:i/>
          <w:sz w:val="20"/>
        </w:rPr>
      </w:pPr>
    </w:p>
    <w:p>
      <w:pPr>
        <w:pStyle w:val="BodyText"/>
        <w:spacing w:line="247" w:lineRule="auto" w:before="172"/>
        <w:ind w:left="117" w:right="101"/>
        <w:jc w:val="both"/>
      </w:pPr>
      <w:r>
        <w:rPr>
          <w:color w:val="231F20"/>
        </w:rPr>
        <w:t>Jurídicamente y teóricamente la postura decisionista de Carl Schmitt y el </w:t>
      </w:r>
      <w:r>
        <w:rPr>
          <w:color w:val="231F20"/>
          <w:sz w:val="18"/>
        </w:rPr>
        <w:t>DPE </w:t>
      </w:r>
      <w:r>
        <w:rPr>
          <w:color w:val="231F20"/>
        </w:rPr>
        <w:t>de Günther Jakobs tienen toda validez y certeza, representan una for- ma no sólo de entender el derecho sino la misma política. Sin embargo, son posturas que se expresan contrarias en muchos puntos a los ideales del Estado de derecho liberal–democrático, el cual sustenta la separación de poderes, el imperio y la igualdad ante la ley. Bajo este paradigma, el</w:t>
      </w:r>
    </w:p>
    <w:p>
      <w:pPr>
        <w:pStyle w:val="BodyText"/>
        <w:spacing w:before="5"/>
        <w:rPr>
          <w:sz w:val="19"/>
        </w:rPr>
      </w:pPr>
      <w:r>
        <w:rPr/>
        <w:pict>
          <v:line style="position:absolute;mso-position-horizontal-relative:page;mso-position-vertical-relative:paragraph;z-index:2512;mso-wrap-distance-left:0;mso-wrap-distance-right:0" from="70.866096pt,13.861286pt" to="184.252096pt,13.861286pt" stroked="true" strokeweight=".3pt" strokecolor="#231f20">
            <w10:wrap type="topAndBottom"/>
          </v:line>
        </w:pict>
      </w:r>
    </w:p>
    <w:p>
      <w:pPr>
        <w:spacing w:before="10"/>
        <w:ind w:left="117" w:right="0" w:firstLine="0"/>
        <w:jc w:val="left"/>
        <w:rPr>
          <w:rFonts w:ascii="Calibri" w:hAnsi="Calibri"/>
          <w:sz w:val="17"/>
        </w:rPr>
      </w:pPr>
      <w:r>
        <w:rPr>
          <w:rFonts w:ascii="Calibri" w:hAnsi="Calibri"/>
          <w:color w:val="231F20"/>
          <w:position w:val="6"/>
          <w:sz w:val="10"/>
        </w:rPr>
        <w:t>25 </w:t>
      </w:r>
      <w:r>
        <w:rPr>
          <w:rFonts w:ascii="Calibri" w:hAnsi="Calibri"/>
          <w:color w:val="231F20"/>
          <w:sz w:val="17"/>
        </w:rPr>
        <w:t>S. García Ramírez, “Sabor veneno”, </w:t>
      </w:r>
      <w:r>
        <w:rPr>
          <w:rFonts w:ascii="Calibri" w:hAnsi="Calibri"/>
          <w:i/>
          <w:color w:val="231F20"/>
          <w:sz w:val="17"/>
        </w:rPr>
        <w:t>El Universal</w:t>
      </w:r>
      <w:r>
        <w:rPr>
          <w:rFonts w:ascii="Calibri" w:hAnsi="Calibri"/>
          <w:color w:val="231F20"/>
          <w:sz w:val="17"/>
        </w:rPr>
        <w:t>, México, 22 de febrero de 2008, p 14.</w:t>
      </w:r>
    </w:p>
    <w:p>
      <w:pPr>
        <w:spacing w:after="0"/>
        <w:jc w:val="left"/>
        <w:rPr>
          <w:rFonts w:ascii="Calibri" w:hAnsi="Calibri"/>
          <w:sz w:val="17"/>
        </w:rPr>
        <w:sectPr>
          <w:pgSz w:w="9640" w:h="13890"/>
          <w:pgMar w:top="0" w:bottom="280" w:left="1300" w:right="1200"/>
        </w:sectPr>
      </w:pPr>
    </w:p>
    <w:p>
      <w:pPr>
        <w:pStyle w:val="BodyText"/>
        <w:spacing w:line="247" w:lineRule="auto" w:before="107"/>
        <w:ind w:left="103" w:right="115"/>
        <w:jc w:val="both"/>
      </w:pPr>
      <w:r>
        <w:rPr>
          <w:color w:val="231F20"/>
        </w:rPr>
        <w:t>soberano no debe tomar decisiones fuera del ordenamiento jurídico que contravengan la separación de poderes y los derechos del ciudadano; sin embargo, para autores como Jakobs y Schmitt esta situación</w:t>
      </w:r>
      <w:r>
        <w:rPr>
          <w:color w:val="231F20"/>
          <w:spacing w:val="-20"/>
        </w:rPr>
        <w:t> </w:t>
      </w:r>
      <w:r>
        <w:rPr>
          <w:color w:val="231F20"/>
        </w:rPr>
        <w:t>representaría más bien un estado ideal, pero no daría cuenta de la complejidad real, en donde a veces es necesario dar paso a la contradicción y a la paradoja, es </w:t>
      </w:r>
      <w:r>
        <w:rPr>
          <w:color w:val="231F20"/>
          <w:spacing w:val="-4"/>
        </w:rPr>
        <w:t>decir,</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suspensión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ley</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fin</w:t>
      </w:r>
      <w:r>
        <w:rPr>
          <w:color w:val="231F20"/>
          <w:spacing w:val="-12"/>
        </w:rPr>
        <w:t> </w:t>
      </w:r>
      <w:r>
        <w:rPr>
          <w:color w:val="231F20"/>
        </w:rPr>
        <w:t>de</w:t>
      </w:r>
      <w:r>
        <w:rPr>
          <w:color w:val="231F20"/>
          <w:spacing w:val="-12"/>
        </w:rPr>
        <w:t> </w:t>
      </w:r>
      <w:r>
        <w:rPr>
          <w:color w:val="231F20"/>
        </w:rPr>
        <w:t>sostener</w:t>
      </w:r>
      <w:r>
        <w:rPr>
          <w:color w:val="231F20"/>
          <w:spacing w:val="-12"/>
        </w:rPr>
        <w:t> </w:t>
      </w:r>
      <w:r>
        <w:rPr>
          <w:color w:val="231F20"/>
        </w:rPr>
        <w:t>la</w:t>
      </w:r>
      <w:r>
        <w:rPr>
          <w:color w:val="231F20"/>
          <w:spacing w:val="-12"/>
        </w:rPr>
        <w:t> </w:t>
      </w:r>
      <w:r>
        <w:rPr>
          <w:color w:val="231F20"/>
        </w:rPr>
        <w:t>legalidad.</w:t>
      </w:r>
      <w:r>
        <w:rPr>
          <w:color w:val="231F20"/>
          <w:spacing w:val="-12"/>
        </w:rPr>
        <w:t> </w:t>
      </w:r>
      <w:r>
        <w:rPr>
          <w:color w:val="231F20"/>
        </w:rPr>
        <w:t>Para</w:t>
      </w:r>
      <w:r>
        <w:rPr>
          <w:color w:val="231F20"/>
          <w:spacing w:val="-12"/>
        </w:rPr>
        <w:t> </w:t>
      </w:r>
      <w:r>
        <w:rPr>
          <w:color w:val="231F20"/>
        </w:rPr>
        <w:t>estos autores el sistema penal “ordinario” funcionaría sin problemas para aque- llos ciudadanos que han aceptado el acuerdo sinalagmático de derechos y obligaciones; por el contrario, aquellos que lo han violado serían sujetos a otra forma de penalidad que supondría la suspensión del sistema ordinario y su exclusión del mismo. Desde una perspectiva liberal–democrática, la violación de la ley no supondría suspender el orden jurídico: aunque uno viole la ley siempre existe la promesa de que, una vez cumplida la pena, sea posible reintegrarlo a la vida social. Sin embargo, desde la perspectiva de los autores aquí abordados, en el contexto del terrorismo y de la delin- cuencia organizada esto no es tan fácil, por ello es necesaria la existencia de un </w:t>
      </w:r>
      <w:r>
        <w:rPr>
          <w:color w:val="231F20"/>
          <w:sz w:val="18"/>
        </w:rPr>
        <w:t>DPE </w:t>
      </w:r>
      <w:r>
        <w:rPr>
          <w:color w:val="231F20"/>
        </w:rPr>
        <w:t>y de un estado de excepción que, como decisión del soberano, a</w:t>
      </w:r>
      <w:r>
        <w:rPr>
          <w:color w:val="231F20"/>
          <w:spacing w:val="-10"/>
        </w:rPr>
        <w:t> </w:t>
      </w:r>
      <w:r>
        <w:rPr>
          <w:color w:val="231F20"/>
        </w:rPr>
        <w:t>la</w:t>
      </w:r>
      <w:r>
        <w:rPr>
          <w:color w:val="231F20"/>
          <w:spacing w:val="-10"/>
        </w:rPr>
        <w:t> </w:t>
      </w:r>
      <w:r>
        <w:rPr>
          <w:color w:val="231F20"/>
        </w:rPr>
        <w:t>larga</w:t>
      </w:r>
      <w:r>
        <w:rPr>
          <w:color w:val="231F20"/>
          <w:spacing w:val="-10"/>
        </w:rPr>
        <w:t> </w:t>
      </w:r>
      <w:r>
        <w:rPr>
          <w:color w:val="231F20"/>
        </w:rPr>
        <w:t>se</w:t>
      </w:r>
      <w:r>
        <w:rPr>
          <w:color w:val="231F20"/>
          <w:spacing w:val="-10"/>
        </w:rPr>
        <w:t> </w:t>
      </w:r>
      <w:r>
        <w:rPr>
          <w:color w:val="231F20"/>
        </w:rPr>
        <w:t>convertirá</w:t>
      </w:r>
      <w:r>
        <w:rPr>
          <w:color w:val="231F20"/>
          <w:spacing w:val="-10"/>
        </w:rPr>
        <w:t> </w:t>
      </w:r>
      <w:r>
        <w:rPr>
          <w:color w:val="231F20"/>
        </w:rPr>
        <w:t>en</w:t>
      </w:r>
      <w:r>
        <w:rPr>
          <w:color w:val="231F20"/>
          <w:spacing w:val="-10"/>
        </w:rPr>
        <w:t> </w:t>
      </w:r>
      <w:r>
        <w:rPr>
          <w:color w:val="231F20"/>
        </w:rPr>
        <w:t>regla.</w:t>
      </w:r>
    </w:p>
    <w:p>
      <w:pPr>
        <w:pStyle w:val="BodyText"/>
        <w:spacing w:line="247" w:lineRule="auto"/>
        <w:ind w:left="103" w:right="115" w:firstLine="566"/>
        <w:jc w:val="both"/>
      </w:pPr>
      <w:r>
        <w:rPr>
          <w:color w:val="231F20"/>
          <w:spacing w:val="-5"/>
          <w:w w:val="105"/>
        </w:rPr>
        <w:t>Tanto </w:t>
      </w:r>
      <w:r>
        <w:rPr>
          <w:color w:val="231F20"/>
          <w:w w:val="105"/>
        </w:rPr>
        <w:t>el </w:t>
      </w:r>
      <w:r>
        <w:rPr>
          <w:color w:val="231F20"/>
          <w:w w:val="105"/>
          <w:sz w:val="18"/>
        </w:rPr>
        <w:t>DPE </w:t>
      </w:r>
      <w:r>
        <w:rPr>
          <w:color w:val="231F20"/>
          <w:w w:val="105"/>
        </w:rPr>
        <w:t>jakobsiano como el decisionismo schmittiano dan</w:t>
      </w:r>
      <w:r>
        <w:rPr>
          <w:color w:val="231F20"/>
          <w:spacing w:val="-40"/>
          <w:w w:val="105"/>
        </w:rPr>
        <w:t> </w:t>
      </w:r>
      <w:r>
        <w:rPr>
          <w:color w:val="231F20"/>
          <w:w w:val="105"/>
        </w:rPr>
        <w:t>ca- bida a la paradoja como fundamento del derecho y del poder político, asumen</w:t>
      </w:r>
      <w:r>
        <w:rPr>
          <w:color w:val="231F20"/>
          <w:spacing w:val="-27"/>
          <w:w w:val="105"/>
        </w:rPr>
        <w:t> </w:t>
      </w:r>
      <w:r>
        <w:rPr>
          <w:color w:val="231F20"/>
          <w:w w:val="105"/>
        </w:rPr>
        <w:t>que</w:t>
      </w:r>
      <w:r>
        <w:rPr>
          <w:color w:val="231F20"/>
          <w:spacing w:val="-27"/>
          <w:w w:val="105"/>
        </w:rPr>
        <w:t> </w:t>
      </w:r>
      <w:r>
        <w:rPr>
          <w:color w:val="231F20"/>
          <w:w w:val="105"/>
        </w:rPr>
        <w:t>para</w:t>
      </w:r>
      <w:r>
        <w:rPr>
          <w:color w:val="231F20"/>
          <w:spacing w:val="-27"/>
          <w:w w:val="105"/>
        </w:rPr>
        <w:t> </w:t>
      </w:r>
      <w:r>
        <w:rPr>
          <w:color w:val="231F20"/>
          <w:w w:val="105"/>
        </w:rPr>
        <w:t>sustentar</w:t>
      </w:r>
      <w:r>
        <w:rPr>
          <w:color w:val="231F20"/>
          <w:spacing w:val="-27"/>
          <w:w w:val="105"/>
        </w:rPr>
        <w:t> </w:t>
      </w:r>
      <w:r>
        <w:rPr>
          <w:color w:val="231F20"/>
          <w:w w:val="105"/>
        </w:rPr>
        <w:t>la</w:t>
      </w:r>
      <w:r>
        <w:rPr>
          <w:color w:val="231F20"/>
          <w:spacing w:val="-27"/>
          <w:w w:val="105"/>
        </w:rPr>
        <w:t> </w:t>
      </w:r>
      <w:r>
        <w:rPr>
          <w:color w:val="231F20"/>
          <w:w w:val="105"/>
        </w:rPr>
        <w:t>legalidad</w:t>
      </w:r>
      <w:r>
        <w:rPr>
          <w:color w:val="231F20"/>
          <w:spacing w:val="-27"/>
          <w:w w:val="105"/>
        </w:rPr>
        <w:t> </w:t>
      </w:r>
      <w:r>
        <w:rPr>
          <w:color w:val="231F20"/>
          <w:w w:val="105"/>
        </w:rPr>
        <w:t>y</w:t>
      </w:r>
      <w:r>
        <w:rPr>
          <w:color w:val="231F20"/>
          <w:spacing w:val="-27"/>
          <w:w w:val="105"/>
        </w:rPr>
        <w:t> </w:t>
      </w:r>
      <w:r>
        <w:rPr>
          <w:color w:val="231F20"/>
          <w:w w:val="105"/>
        </w:rPr>
        <w:t>protegerla</w:t>
      </w:r>
      <w:r>
        <w:rPr>
          <w:color w:val="231F20"/>
          <w:spacing w:val="-27"/>
          <w:w w:val="105"/>
        </w:rPr>
        <w:t> </w:t>
      </w:r>
      <w:r>
        <w:rPr>
          <w:color w:val="231F20"/>
          <w:w w:val="105"/>
        </w:rPr>
        <w:t>es</w:t>
      </w:r>
      <w:r>
        <w:rPr>
          <w:color w:val="231F20"/>
          <w:spacing w:val="-27"/>
          <w:w w:val="105"/>
        </w:rPr>
        <w:t> </w:t>
      </w:r>
      <w:r>
        <w:rPr>
          <w:color w:val="231F20"/>
          <w:w w:val="105"/>
        </w:rPr>
        <w:t>necesario,</w:t>
      </w:r>
      <w:r>
        <w:rPr>
          <w:color w:val="231F20"/>
          <w:spacing w:val="-27"/>
          <w:w w:val="105"/>
        </w:rPr>
        <w:t> </w:t>
      </w:r>
      <w:r>
        <w:rPr>
          <w:color w:val="231F20"/>
          <w:w w:val="105"/>
        </w:rPr>
        <w:t>en</w:t>
      </w:r>
      <w:r>
        <w:rPr>
          <w:color w:val="231F20"/>
          <w:spacing w:val="-27"/>
          <w:w w:val="105"/>
        </w:rPr>
        <w:t> </w:t>
      </w:r>
      <w:r>
        <w:rPr>
          <w:color w:val="231F20"/>
          <w:w w:val="105"/>
        </w:rPr>
        <w:t>oca- siones,</w:t>
      </w:r>
      <w:r>
        <w:rPr>
          <w:color w:val="231F20"/>
          <w:spacing w:val="-30"/>
          <w:w w:val="105"/>
        </w:rPr>
        <w:t> </w:t>
      </w:r>
      <w:r>
        <w:rPr>
          <w:color w:val="231F20"/>
          <w:w w:val="105"/>
        </w:rPr>
        <w:t>suspenderla.</w:t>
      </w:r>
      <w:r>
        <w:rPr>
          <w:color w:val="231F20"/>
          <w:spacing w:val="-30"/>
          <w:w w:val="105"/>
        </w:rPr>
        <w:t> </w:t>
      </w:r>
      <w:r>
        <w:rPr>
          <w:color w:val="231F20"/>
          <w:w w:val="105"/>
        </w:rPr>
        <w:t>La</w:t>
      </w:r>
      <w:r>
        <w:rPr>
          <w:color w:val="231F20"/>
          <w:spacing w:val="-30"/>
          <w:w w:val="105"/>
        </w:rPr>
        <w:t> </w:t>
      </w:r>
      <w:r>
        <w:rPr>
          <w:color w:val="231F20"/>
          <w:w w:val="105"/>
        </w:rPr>
        <w:t>“paradoja</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soberanía”</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que</w:t>
      </w:r>
      <w:r>
        <w:rPr>
          <w:color w:val="231F20"/>
          <w:spacing w:val="-30"/>
          <w:w w:val="105"/>
        </w:rPr>
        <w:t> </w:t>
      </w:r>
      <w:r>
        <w:rPr>
          <w:color w:val="231F20"/>
          <w:w w:val="105"/>
        </w:rPr>
        <w:t>habla</w:t>
      </w:r>
      <w:r>
        <w:rPr>
          <w:color w:val="231F20"/>
          <w:spacing w:val="-30"/>
          <w:w w:val="105"/>
        </w:rPr>
        <w:t> </w:t>
      </w:r>
      <w:r>
        <w:rPr>
          <w:color w:val="231F20"/>
          <w:w w:val="105"/>
        </w:rPr>
        <w:t>Giorgio Agamben</w:t>
      </w:r>
      <w:r>
        <w:rPr>
          <w:color w:val="231F20"/>
          <w:spacing w:val="-30"/>
          <w:w w:val="105"/>
        </w:rPr>
        <w:t> </w:t>
      </w:r>
      <w:r>
        <w:rPr>
          <w:color w:val="231F20"/>
          <w:w w:val="105"/>
        </w:rPr>
        <w:t>a</w:t>
      </w:r>
      <w:r>
        <w:rPr>
          <w:color w:val="231F20"/>
          <w:spacing w:val="-30"/>
          <w:w w:val="105"/>
        </w:rPr>
        <w:t> </w:t>
      </w:r>
      <w:r>
        <w:rPr>
          <w:color w:val="231F20"/>
          <w:w w:val="105"/>
        </w:rPr>
        <w:t>partir</w:t>
      </w:r>
      <w:r>
        <w:rPr>
          <w:color w:val="231F20"/>
          <w:spacing w:val="-30"/>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w w:val="105"/>
        </w:rPr>
        <w:t>ideas</w:t>
      </w:r>
      <w:r>
        <w:rPr>
          <w:color w:val="231F20"/>
          <w:spacing w:val="-30"/>
          <w:w w:val="105"/>
        </w:rPr>
        <w:t> </w:t>
      </w:r>
      <w:r>
        <w:rPr>
          <w:color w:val="231F20"/>
          <w:w w:val="105"/>
        </w:rPr>
        <w:t>de</w:t>
      </w:r>
      <w:r>
        <w:rPr>
          <w:color w:val="231F20"/>
          <w:spacing w:val="-30"/>
          <w:w w:val="105"/>
        </w:rPr>
        <w:t> </w:t>
      </w:r>
      <w:r>
        <w:rPr>
          <w:color w:val="231F20"/>
          <w:w w:val="105"/>
        </w:rPr>
        <w:t>Carl</w:t>
      </w:r>
      <w:r>
        <w:rPr>
          <w:color w:val="231F20"/>
          <w:spacing w:val="-30"/>
          <w:w w:val="105"/>
        </w:rPr>
        <w:t> </w:t>
      </w:r>
      <w:r>
        <w:rPr>
          <w:color w:val="231F20"/>
          <w:w w:val="105"/>
        </w:rPr>
        <w:t>Schmitt,</w:t>
      </w:r>
      <w:r>
        <w:rPr>
          <w:color w:val="231F20"/>
          <w:spacing w:val="-30"/>
          <w:w w:val="105"/>
        </w:rPr>
        <w:t> </w:t>
      </w:r>
      <w:r>
        <w:rPr>
          <w:color w:val="231F20"/>
          <w:w w:val="105"/>
        </w:rPr>
        <w:t>parte</w:t>
      </w:r>
      <w:r>
        <w:rPr>
          <w:color w:val="231F20"/>
          <w:spacing w:val="-30"/>
          <w:w w:val="105"/>
        </w:rPr>
        <w:t> </w:t>
      </w:r>
      <w:r>
        <w:rPr>
          <w:color w:val="231F20"/>
          <w:w w:val="105"/>
        </w:rPr>
        <w:t>del</w:t>
      </w:r>
      <w:r>
        <w:rPr>
          <w:color w:val="231F20"/>
          <w:spacing w:val="-30"/>
          <w:w w:val="105"/>
        </w:rPr>
        <w:t> </w:t>
      </w:r>
      <w:r>
        <w:rPr>
          <w:color w:val="231F20"/>
          <w:w w:val="105"/>
        </w:rPr>
        <w:t>hecho</w:t>
      </w:r>
      <w:r>
        <w:rPr>
          <w:color w:val="231F20"/>
          <w:spacing w:val="-30"/>
          <w:w w:val="105"/>
        </w:rPr>
        <w:t> </w:t>
      </w:r>
      <w:r>
        <w:rPr>
          <w:color w:val="231F20"/>
          <w:w w:val="105"/>
        </w:rPr>
        <w:t>de</w:t>
      </w:r>
      <w:r>
        <w:rPr>
          <w:color w:val="231F20"/>
          <w:spacing w:val="-30"/>
          <w:w w:val="105"/>
        </w:rPr>
        <w:t> </w:t>
      </w:r>
      <w:r>
        <w:rPr>
          <w:color w:val="231F20"/>
          <w:w w:val="105"/>
        </w:rPr>
        <w:t>que</w:t>
      </w:r>
      <w:r>
        <w:rPr>
          <w:color w:val="231F20"/>
          <w:spacing w:val="-30"/>
          <w:w w:val="105"/>
        </w:rPr>
        <w:t> </w:t>
      </w:r>
      <w:r>
        <w:rPr>
          <w:color w:val="231F20"/>
          <w:w w:val="105"/>
        </w:rPr>
        <w:t>es</w:t>
      </w:r>
      <w:r>
        <w:rPr>
          <w:color w:val="231F20"/>
          <w:spacing w:val="-30"/>
          <w:w w:val="105"/>
        </w:rPr>
        <w:t> </w:t>
      </w:r>
      <w:r>
        <w:rPr>
          <w:color w:val="231F20"/>
          <w:w w:val="105"/>
        </w:rPr>
        <w:t>el soberano</w:t>
      </w:r>
      <w:r>
        <w:rPr>
          <w:color w:val="231F20"/>
          <w:spacing w:val="-24"/>
          <w:w w:val="105"/>
        </w:rPr>
        <w:t> </w:t>
      </w:r>
      <w:r>
        <w:rPr>
          <w:color w:val="231F20"/>
          <w:w w:val="105"/>
        </w:rPr>
        <w:t>“quien</w:t>
      </w:r>
      <w:r>
        <w:rPr>
          <w:color w:val="231F20"/>
          <w:spacing w:val="-24"/>
          <w:w w:val="105"/>
        </w:rPr>
        <w:t> </w:t>
      </w:r>
      <w:r>
        <w:rPr>
          <w:color w:val="231F20"/>
          <w:w w:val="105"/>
        </w:rPr>
        <w:t>decide</w:t>
      </w:r>
      <w:r>
        <w:rPr>
          <w:color w:val="231F20"/>
          <w:spacing w:val="-24"/>
          <w:w w:val="105"/>
        </w:rPr>
        <w:t> </w:t>
      </w:r>
      <w:r>
        <w:rPr>
          <w:color w:val="231F20"/>
          <w:w w:val="105"/>
        </w:rPr>
        <w:t>sobre</w:t>
      </w:r>
      <w:r>
        <w:rPr>
          <w:color w:val="231F20"/>
          <w:spacing w:val="-24"/>
          <w:w w:val="105"/>
        </w:rPr>
        <w:t> </w:t>
      </w:r>
      <w:r>
        <w:rPr>
          <w:color w:val="231F20"/>
          <w:w w:val="105"/>
        </w:rPr>
        <w:t>el</w:t>
      </w:r>
      <w:r>
        <w:rPr>
          <w:color w:val="231F20"/>
          <w:spacing w:val="-24"/>
          <w:w w:val="105"/>
        </w:rPr>
        <w:t> </w:t>
      </w:r>
      <w:r>
        <w:rPr>
          <w:color w:val="231F20"/>
          <w:w w:val="105"/>
        </w:rPr>
        <w:t>estado</w:t>
      </w:r>
      <w:r>
        <w:rPr>
          <w:color w:val="231F20"/>
          <w:spacing w:val="-24"/>
          <w:w w:val="105"/>
        </w:rPr>
        <w:t> </w:t>
      </w:r>
      <w:r>
        <w:rPr>
          <w:color w:val="231F20"/>
          <w:w w:val="105"/>
        </w:rPr>
        <w:t>de</w:t>
      </w:r>
      <w:r>
        <w:rPr>
          <w:color w:val="231F20"/>
          <w:spacing w:val="-24"/>
          <w:w w:val="105"/>
        </w:rPr>
        <w:t> </w:t>
      </w:r>
      <w:r>
        <w:rPr>
          <w:color w:val="231F20"/>
          <w:w w:val="105"/>
        </w:rPr>
        <w:t>excepción”</w:t>
      </w:r>
      <w:r>
        <w:rPr>
          <w:color w:val="231F20"/>
          <w:w w:val="105"/>
          <w:position w:val="7"/>
          <w:sz w:val="12"/>
        </w:rPr>
        <w:t>26</w:t>
      </w:r>
      <w:r>
        <w:rPr>
          <w:color w:val="231F20"/>
          <w:w w:val="105"/>
        </w:rPr>
        <w:t>,</w:t>
      </w:r>
      <w:r>
        <w:rPr>
          <w:color w:val="231F20"/>
          <w:spacing w:val="-24"/>
          <w:w w:val="105"/>
        </w:rPr>
        <w:t> </w:t>
      </w:r>
      <w:r>
        <w:rPr>
          <w:color w:val="231F20"/>
          <w:w w:val="105"/>
        </w:rPr>
        <w:t>con</w:t>
      </w:r>
      <w:r>
        <w:rPr>
          <w:color w:val="231F20"/>
          <w:spacing w:val="-24"/>
          <w:w w:val="105"/>
        </w:rPr>
        <w:t> </w:t>
      </w:r>
      <w:r>
        <w:rPr>
          <w:color w:val="231F20"/>
          <w:w w:val="105"/>
        </w:rPr>
        <w:t>lo</w:t>
      </w:r>
      <w:r>
        <w:rPr>
          <w:color w:val="231F20"/>
          <w:spacing w:val="-24"/>
          <w:w w:val="105"/>
        </w:rPr>
        <w:t> </w:t>
      </w:r>
      <w:r>
        <w:rPr>
          <w:color w:val="231F20"/>
          <w:w w:val="105"/>
        </w:rPr>
        <w:t>cual</w:t>
      </w:r>
      <w:r>
        <w:rPr>
          <w:color w:val="231F20"/>
          <w:spacing w:val="-24"/>
          <w:w w:val="105"/>
        </w:rPr>
        <w:t> </w:t>
      </w:r>
      <w:r>
        <w:rPr>
          <w:color w:val="231F20"/>
          <w:w w:val="105"/>
        </w:rPr>
        <w:t>aquél se</w:t>
      </w:r>
      <w:r>
        <w:rPr>
          <w:color w:val="231F20"/>
          <w:spacing w:val="18"/>
          <w:w w:val="105"/>
        </w:rPr>
        <w:t> </w:t>
      </w:r>
      <w:r>
        <w:rPr>
          <w:color w:val="231F20"/>
          <w:w w:val="105"/>
        </w:rPr>
        <w:t>encontraría</w:t>
      </w:r>
      <w:r>
        <w:rPr>
          <w:color w:val="231F20"/>
          <w:spacing w:val="-26"/>
          <w:w w:val="105"/>
        </w:rPr>
        <w:t> </w:t>
      </w:r>
      <w:r>
        <w:rPr>
          <w:color w:val="231F20"/>
          <w:w w:val="105"/>
        </w:rPr>
        <w:t>en</w:t>
      </w:r>
      <w:r>
        <w:rPr>
          <w:color w:val="231F20"/>
          <w:spacing w:val="-26"/>
          <w:w w:val="105"/>
        </w:rPr>
        <w:t> </w:t>
      </w:r>
      <w:r>
        <w:rPr>
          <w:color w:val="231F20"/>
          <w:w w:val="105"/>
        </w:rPr>
        <w:t>una</w:t>
      </w:r>
      <w:r>
        <w:rPr>
          <w:color w:val="231F20"/>
          <w:spacing w:val="-26"/>
          <w:w w:val="105"/>
        </w:rPr>
        <w:t> </w:t>
      </w:r>
      <w:r>
        <w:rPr>
          <w:color w:val="231F20"/>
          <w:w w:val="105"/>
        </w:rPr>
        <w:t>situación</w:t>
      </w:r>
      <w:r>
        <w:rPr>
          <w:color w:val="231F20"/>
          <w:spacing w:val="-26"/>
          <w:w w:val="105"/>
        </w:rPr>
        <w:t> </w:t>
      </w:r>
      <w:r>
        <w:rPr>
          <w:color w:val="231F20"/>
          <w:w w:val="105"/>
        </w:rPr>
        <w:t>al</w:t>
      </w:r>
      <w:r>
        <w:rPr>
          <w:color w:val="231F20"/>
          <w:spacing w:val="-26"/>
          <w:w w:val="105"/>
        </w:rPr>
        <w:t> </w:t>
      </w:r>
      <w:r>
        <w:rPr>
          <w:color w:val="231F20"/>
          <w:w w:val="105"/>
        </w:rPr>
        <w:t>menos</w:t>
      </w:r>
      <w:r>
        <w:rPr>
          <w:color w:val="231F20"/>
          <w:spacing w:val="-26"/>
          <w:w w:val="105"/>
        </w:rPr>
        <w:t> </w:t>
      </w:r>
      <w:r>
        <w:rPr>
          <w:color w:val="231F20"/>
          <w:w w:val="105"/>
        </w:rPr>
        <w:t>ambigua,</w:t>
      </w:r>
      <w:r>
        <w:rPr>
          <w:color w:val="231F20"/>
          <w:spacing w:val="-26"/>
          <w:w w:val="105"/>
        </w:rPr>
        <w:t> </w:t>
      </w:r>
      <w:r>
        <w:rPr>
          <w:color w:val="231F20"/>
          <w:w w:val="105"/>
        </w:rPr>
        <w:t>al</w:t>
      </w:r>
      <w:r>
        <w:rPr>
          <w:color w:val="231F20"/>
          <w:spacing w:val="-26"/>
          <w:w w:val="105"/>
        </w:rPr>
        <w:t> </w:t>
      </w:r>
      <w:r>
        <w:rPr>
          <w:color w:val="231F20"/>
          <w:w w:val="105"/>
        </w:rPr>
        <w:t>mismo</w:t>
      </w:r>
      <w:r>
        <w:rPr>
          <w:color w:val="231F20"/>
          <w:spacing w:val="-26"/>
          <w:w w:val="105"/>
        </w:rPr>
        <w:t> </w:t>
      </w:r>
      <w:r>
        <w:rPr>
          <w:color w:val="231F20"/>
          <w:w w:val="105"/>
        </w:rPr>
        <w:t>tiempo</w:t>
      </w:r>
      <w:r>
        <w:rPr>
          <w:color w:val="231F20"/>
          <w:spacing w:val="-26"/>
          <w:w w:val="105"/>
        </w:rPr>
        <w:t> </w:t>
      </w:r>
      <w:r>
        <w:rPr>
          <w:color w:val="231F20"/>
          <w:w w:val="105"/>
        </w:rPr>
        <w:t>den- tro</w:t>
      </w:r>
      <w:r>
        <w:rPr>
          <w:color w:val="231F20"/>
          <w:spacing w:val="-30"/>
          <w:w w:val="105"/>
        </w:rPr>
        <w:t> </w:t>
      </w:r>
      <w:r>
        <w:rPr>
          <w:color w:val="231F20"/>
          <w:w w:val="105"/>
        </w:rPr>
        <w:t>y</w:t>
      </w:r>
      <w:r>
        <w:rPr>
          <w:color w:val="231F20"/>
          <w:spacing w:val="-30"/>
          <w:w w:val="105"/>
        </w:rPr>
        <w:t> </w:t>
      </w:r>
      <w:r>
        <w:rPr>
          <w:color w:val="231F20"/>
          <w:w w:val="105"/>
        </w:rPr>
        <w:t>fuera</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ley;</w:t>
      </w:r>
      <w:r>
        <w:rPr>
          <w:color w:val="231F20"/>
          <w:spacing w:val="-30"/>
          <w:w w:val="105"/>
        </w:rPr>
        <w:t> </w:t>
      </w:r>
      <w:r>
        <w:rPr>
          <w:color w:val="231F20"/>
          <w:w w:val="105"/>
        </w:rPr>
        <w:t>así,</w:t>
      </w:r>
      <w:r>
        <w:rPr>
          <w:color w:val="231F20"/>
          <w:spacing w:val="-30"/>
          <w:w w:val="105"/>
        </w:rPr>
        <w:t> </w:t>
      </w:r>
      <w:r>
        <w:rPr>
          <w:color w:val="231F20"/>
          <w:w w:val="105"/>
        </w:rPr>
        <w:t>en</w:t>
      </w:r>
      <w:r>
        <w:rPr>
          <w:color w:val="231F20"/>
          <w:spacing w:val="-30"/>
          <w:w w:val="105"/>
        </w:rPr>
        <w:t> </w:t>
      </w:r>
      <w:r>
        <w:rPr>
          <w:color w:val="231F20"/>
          <w:w w:val="105"/>
        </w:rPr>
        <w:t>situaciones</w:t>
      </w:r>
      <w:r>
        <w:rPr>
          <w:color w:val="231F20"/>
          <w:spacing w:val="-30"/>
          <w:w w:val="105"/>
        </w:rPr>
        <w:t> </w:t>
      </w:r>
      <w:r>
        <w:rPr>
          <w:color w:val="231F20"/>
          <w:w w:val="105"/>
        </w:rPr>
        <w:t>de</w:t>
      </w:r>
      <w:r>
        <w:rPr>
          <w:color w:val="231F20"/>
          <w:spacing w:val="-30"/>
          <w:w w:val="105"/>
        </w:rPr>
        <w:t> </w:t>
      </w:r>
      <w:r>
        <w:rPr>
          <w:color w:val="231F20"/>
          <w:w w:val="105"/>
        </w:rPr>
        <w:t>emergencia</w:t>
      </w:r>
      <w:r>
        <w:rPr>
          <w:color w:val="231F20"/>
          <w:spacing w:val="-30"/>
          <w:w w:val="105"/>
        </w:rPr>
        <w:t> </w:t>
      </w:r>
      <w:r>
        <w:rPr>
          <w:color w:val="231F20"/>
          <w:w w:val="105"/>
        </w:rPr>
        <w:t>el</w:t>
      </w:r>
      <w:r>
        <w:rPr>
          <w:color w:val="231F20"/>
          <w:spacing w:val="-30"/>
          <w:w w:val="105"/>
        </w:rPr>
        <w:t> </w:t>
      </w:r>
      <w:r>
        <w:rPr>
          <w:color w:val="231F20"/>
          <w:w w:val="105"/>
        </w:rPr>
        <w:t>soberano</w:t>
      </w:r>
      <w:r>
        <w:rPr>
          <w:color w:val="231F20"/>
          <w:spacing w:val="-30"/>
          <w:w w:val="105"/>
        </w:rPr>
        <w:t> </w:t>
      </w:r>
      <w:r>
        <w:rPr>
          <w:color w:val="231F20"/>
          <w:w w:val="105"/>
        </w:rPr>
        <w:t>tiene</w:t>
      </w:r>
      <w:r>
        <w:rPr>
          <w:color w:val="231F20"/>
          <w:spacing w:val="-30"/>
          <w:w w:val="105"/>
        </w:rPr>
        <w:t> </w:t>
      </w:r>
      <w:r>
        <w:rPr>
          <w:color w:val="231F20"/>
          <w:w w:val="105"/>
        </w:rPr>
        <w:t>la potestad</w:t>
      </w:r>
      <w:r>
        <w:rPr>
          <w:color w:val="231F20"/>
          <w:spacing w:val="-34"/>
          <w:w w:val="105"/>
        </w:rPr>
        <w:t> </w:t>
      </w:r>
      <w:r>
        <w:rPr>
          <w:color w:val="231F20"/>
          <w:w w:val="105"/>
        </w:rPr>
        <w:t>de</w:t>
      </w:r>
      <w:r>
        <w:rPr>
          <w:color w:val="231F20"/>
          <w:spacing w:val="-34"/>
          <w:w w:val="105"/>
        </w:rPr>
        <w:t> </w:t>
      </w:r>
      <w:r>
        <w:rPr>
          <w:color w:val="231F20"/>
          <w:w w:val="105"/>
        </w:rPr>
        <w:t>suspender</w:t>
      </w:r>
      <w:r>
        <w:rPr>
          <w:color w:val="231F20"/>
          <w:spacing w:val="-34"/>
          <w:w w:val="105"/>
        </w:rPr>
        <w:t> </w:t>
      </w:r>
      <w:r>
        <w:rPr>
          <w:color w:val="231F20"/>
          <w:w w:val="105"/>
        </w:rPr>
        <w:t>la</w:t>
      </w:r>
      <w:r>
        <w:rPr>
          <w:color w:val="231F20"/>
          <w:spacing w:val="-34"/>
          <w:w w:val="105"/>
        </w:rPr>
        <w:t> </w:t>
      </w:r>
      <w:r>
        <w:rPr>
          <w:color w:val="231F20"/>
          <w:w w:val="105"/>
        </w:rPr>
        <w:t>ley</w:t>
      </w:r>
      <w:r>
        <w:rPr>
          <w:color w:val="231F20"/>
          <w:spacing w:val="-34"/>
          <w:w w:val="105"/>
        </w:rPr>
        <w:t> </w:t>
      </w:r>
      <w:r>
        <w:rPr>
          <w:color w:val="231F20"/>
          <w:w w:val="105"/>
        </w:rPr>
        <w:t>en</w:t>
      </w:r>
      <w:r>
        <w:rPr>
          <w:color w:val="231F20"/>
          <w:spacing w:val="-34"/>
          <w:w w:val="105"/>
        </w:rPr>
        <w:t> </w:t>
      </w:r>
      <w:r>
        <w:rPr>
          <w:color w:val="231F20"/>
          <w:w w:val="105"/>
        </w:rPr>
        <w:t>la</w:t>
      </w:r>
      <w:r>
        <w:rPr>
          <w:color w:val="231F20"/>
          <w:spacing w:val="-34"/>
          <w:w w:val="105"/>
        </w:rPr>
        <w:t> </w:t>
      </w:r>
      <w:r>
        <w:rPr>
          <w:color w:val="231F20"/>
          <w:w w:val="105"/>
        </w:rPr>
        <w:t>que</w:t>
      </w:r>
      <w:r>
        <w:rPr>
          <w:color w:val="231F20"/>
          <w:spacing w:val="-34"/>
          <w:w w:val="105"/>
        </w:rPr>
        <w:t> </w:t>
      </w:r>
      <w:r>
        <w:rPr>
          <w:color w:val="231F20"/>
          <w:w w:val="105"/>
        </w:rPr>
        <w:t>se</w:t>
      </w:r>
      <w:r>
        <w:rPr>
          <w:color w:val="231F20"/>
          <w:spacing w:val="-34"/>
          <w:w w:val="105"/>
        </w:rPr>
        <w:t> </w:t>
      </w:r>
      <w:r>
        <w:rPr>
          <w:color w:val="231F20"/>
          <w:w w:val="105"/>
        </w:rPr>
        <w:t>supone</w:t>
      </w:r>
      <w:r>
        <w:rPr>
          <w:color w:val="231F20"/>
          <w:spacing w:val="-34"/>
          <w:w w:val="105"/>
        </w:rPr>
        <w:t> </w:t>
      </w:r>
      <w:r>
        <w:rPr>
          <w:color w:val="231F20"/>
          <w:w w:val="105"/>
        </w:rPr>
        <w:t>reside</w:t>
      </w:r>
      <w:r>
        <w:rPr>
          <w:color w:val="231F20"/>
          <w:spacing w:val="-34"/>
          <w:w w:val="105"/>
        </w:rPr>
        <w:t> </w:t>
      </w:r>
      <w:r>
        <w:rPr>
          <w:color w:val="231F20"/>
          <w:w w:val="105"/>
        </w:rPr>
        <w:t>su</w:t>
      </w:r>
      <w:r>
        <w:rPr>
          <w:color w:val="231F20"/>
          <w:spacing w:val="-34"/>
          <w:w w:val="105"/>
        </w:rPr>
        <w:t> </w:t>
      </w:r>
      <w:r>
        <w:rPr>
          <w:color w:val="231F20"/>
          <w:w w:val="105"/>
        </w:rPr>
        <w:t>legitimidad.</w:t>
      </w:r>
      <w:r>
        <w:rPr>
          <w:color w:val="231F20"/>
          <w:spacing w:val="-34"/>
          <w:w w:val="105"/>
        </w:rPr>
        <w:t> </w:t>
      </w:r>
      <w:r>
        <w:rPr>
          <w:color w:val="231F20"/>
          <w:w w:val="105"/>
        </w:rPr>
        <w:t>Por el</w:t>
      </w:r>
      <w:r>
        <w:rPr>
          <w:color w:val="231F20"/>
          <w:spacing w:val="-40"/>
          <w:w w:val="105"/>
        </w:rPr>
        <w:t> </w:t>
      </w:r>
      <w:r>
        <w:rPr>
          <w:color w:val="231F20"/>
          <w:w w:val="105"/>
        </w:rPr>
        <w:t>contrario,</w:t>
      </w:r>
      <w:r>
        <w:rPr>
          <w:color w:val="231F20"/>
          <w:spacing w:val="-40"/>
          <w:w w:val="105"/>
        </w:rPr>
        <w:t> </w:t>
      </w:r>
      <w:r>
        <w:rPr>
          <w:color w:val="231F20"/>
          <w:w w:val="105"/>
        </w:rPr>
        <w:t>desde</w:t>
      </w:r>
      <w:r>
        <w:rPr>
          <w:color w:val="231F20"/>
          <w:spacing w:val="-40"/>
          <w:w w:val="105"/>
        </w:rPr>
        <w:t> </w:t>
      </w:r>
      <w:r>
        <w:rPr>
          <w:color w:val="231F20"/>
          <w:w w:val="105"/>
        </w:rPr>
        <w:t>la</w:t>
      </w:r>
      <w:r>
        <w:rPr>
          <w:color w:val="231F20"/>
          <w:spacing w:val="-40"/>
          <w:w w:val="105"/>
        </w:rPr>
        <w:t> </w:t>
      </w:r>
      <w:r>
        <w:rPr>
          <w:color w:val="231F20"/>
          <w:w w:val="105"/>
        </w:rPr>
        <w:t>perspectiva</w:t>
      </w:r>
      <w:r>
        <w:rPr>
          <w:color w:val="231F20"/>
          <w:spacing w:val="-40"/>
          <w:w w:val="105"/>
        </w:rPr>
        <w:t> </w:t>
      </w:r>
      <w:r>
        <w:rPr>
          <w:color w:val="231F20"/>
          <w:w w:val="105"/>
        </w:rPr>
        <w:t>del</w:t>
      </w:r>
      <w:r>
        <w:rPr>
          <w:color w:val="231F20"/>
          <w:spacing w:val="-40"/>
          <w:w w:val="105"/>
        </w:rPr>
        <w:t> </w:t>
      </w:r>
      <w:r>
        <w:rPr>
          <w:color w:val="231F20"/>
          <w:w w:val="105"/>
        </w:rPr>
        <w:t>derecho</w:t>
      </w:r>
      <w:r>
        <w:rPr>
          <w:color w:val="231F20"/>
          <w:spacing w:val="-40"/>
          <w:w w:val="105"/>
        </w:rPr>
        <w:t> </w:t>
      </w:r>
      <w:r>
        <w:rPr>
          <w:color w:val="231F20"/>
          <w:w w:val="105"/>
        </w:rPr>
        <w:t>liberal–democrático</w:t>
      </w:r>
      <w:r>
        <w:rPr>
          <w:color w:val="231F20"/>
          <w:spacing w:val="-40"/>
          <w:w w:val="105"/>
        </w:rPr>
        <w:t> </w:t>
      </w:r>
      <w:r>
        <w:rPr>
          <w:color w:val="231F20"/>
          <w:w w:val="105"/>
        </w:rPr>
        <w:t>es</w:t>
      </w:r>
      <w:r>
        <w:rPr>
          <w:color w:val="231F20"/>
          <w:spacing w:val="-40"/>
          <w:w w:val="105"/>
        </w:rPr>
        <w:t> </w:t>
      </w:r>
      <w:r>
        <w:rPr>
          <w:color w:val="231F20"/>
          <w:w w:val="105"/>
        </w:rPr>
        <w:t>nece- sario</w:t>
      </w:r>
      <w:r>
        <w:rPr>
          <w:color w:val="231F20"/>
          <w:spacing w:val="-36"/>
          <w:w w:val="105"/>
        </w:rPr>
        <w:t> </w:t>
      </w:r>
      <w:r>
        <w:rPr>
          <w:color w:val="231F20"/>
          <w:w w:val="105"/>
        </w:rPr>
        <w:t>siempre</w:t>
      </w:r>
      <w:r>
        <w:rPr>
          <w:color w:val="231F20"/>
          <w:spacing w:val="-36"/>
          <w:w w:val="105"/>
        </w:rPr>
        <w:t> </w:t>
      </w:r>
      <w:r>
        <w:rPr>
          <w:color w:val="231F20"/>
          <w:w w:val="105"/>
        </w:rPr>
        <w:t>que</w:t>
      </w:r>
      <w:r>
        <w:rPr>
          <w:color w:val="231F20"/>
          <w:spacing w:val="-36"/>
          <w:w w:val="105"/>
        </w:rPr>
        <w:t> </w:t>
      </w:r>
      <w:r>
        <w:rPr>
          <w:color w:val="231F20"/>
          <w:w w:val="105"/>
        </w:rPr>
        <w:t>el</w:t>
      </w:r>
      <w:r>
        <w:rPr>
          <w:color w:val="231F20"/>
          <w:spacing w:val="-36"/>
          <w:w w:val="105"/>
        </w:rPr>
        <w:t> </w:t>
      </w:r>
      <w:r>
        <w:rPr>
          <w:color w:val="231F20"/>
          <w:w w:val="105"/>
        </w:rPr>
        <w:t>soberano</w:t>
      </w:r>
      <w:r>
        <w:rPr>
          <w:color w:val="231F20"/>
          <w:spacing w:val="-36"/>
          <w:w w:val="105"/>
        </w:rPr>
        <w:t> </w:t>
      </w:r>
      <w:r>
        <w:rPr>
          <w:color w:val="231F20"/>
          <w:w w:val="105"/>
        </w:rPr>
        <w:t>esté</w:t>
      </w:r>
      <w:r>
        <w:rPr>
          <w:color w:val="231F20"/>
          <w:spacing w:val="-36"/>
          <w:w w:val="105"/>
        </w:rPr>
        <w:t> </w:t>
      </w:r>
      <w:r>
        <w:rPr>
          <w:color w:val="231F20"/>
          <w:w w:val="105"/>
        </w:rPr>
        <w:t>regulado</w:t>
      </w:r>
      <w:r>
        <w:rPr>
          <w:color w:val="231F20"/>
          <w:spacing w:val="-36"/>
          <w:w w:val="105"/>
        </w:rPr>
        <w:t> </w:t>
      </w:r>
      <w:r>
        <w:rPr>
          <w:color w:val="231F20"/>
          <w:w w:val="105"/>
        </w:rPr>
        <w:t>en</w:t>
      </w:r>
      <w:r>
        <w:rPr>
          <w:color w:val="231F20"/>
          <w:spacing w:val="-36"/>
          <w:w w:val="105"/>
        </w:rPr>
        <w:t> </w:t>
      </w:r>
      <w:r>
        <w:rPr>
          <w:color w:val="231F20"/>
          <w:w w:val="105"/>
        </w:rPr>
        <w:t>situaciones</w:t>
      </w:r>
      <w:r>
        <w:rPr>
          <w:color w:val="231F20"/>
          <w:spacing w:val="-36"/>
          <w:w w:val="105"/>
        </w:rPr>
        <w:t> </w:t>
      </w:r>
      <w:r>
        <w:rPr>
          <w:color w:val="231F20"/>
          <w:w w:val="105"/>
        </w:rPr>
        <w:t>de</w:t>
      </w:r>
      <w:r>
        <w:rPr>
          <w:color w:val="231F20"/>
          <w:spacing w:val="-36"/>
          <w:w w:val="105"/>
        </w:rPr>
        <w:t> </w:t>
      </w:r>
      <w:r>
        <w:rPr>
          <w:color w:val="231F20"/>
          <w:w w:val="105"/>
        </w:rPr>
        <w:t>emergencia (como</w:t>
      </w:r>
      <w:r>
        <w:rPr>
          <w:color w:val="231F20"/>
          <w:spacing w:val="-33"/>
          <w:w w:val="105"/>
        </w:rPr>
        <w:t> </w:t>
      </w:r>
      <w:r>
        <w:rPr>
          <w:color w:val="231F20"/>
          <w:w w:val="105"/>
        </w:rPr>
        <w:t>el</w:t>
      </w:r>
      <w:r>
        <w:rPr>
          <w:color w:val="231F20"/>
          <w:spacing w:val="-33"/>
          <w:w w:val="105"/>
        </w:rPr>
        <w:t> </w:t>
      </w:r>
      <w:r>
        <w:rPr>
          <w:color w:val="231F20"/>
          <w:w w:val="105"/>
        </w:rPr>
        <w:t>terrorismo</w:t>
      </w:r>
      <w:r>
        <w:rPr>
          <w:color w:val="231F20"/>
          <w:spacing w:val="-33"/>
          <w:w w:val="105"/>
        </w:rPr>
        <w:t> </w:t>
      </w:r>
      <w:r>
        <w:rPr>
          <w:color w:val="231F20"/>
          <w:w w:val="105"/>
        </w:rPr>
        <w:t>o</w:t>
      </w:r>
      <w:r>
        <w:rPr>
          <w:color w:val="231F20"/>
          <w:spacing w:val="-33"/>
          <w:w w:val="105"/>
        </w:rPr>
        <w:t> </w:t>
      </w:r>
      <w:r>
        <w:rPr>
          <w:color w:val="231F20"/>
          <w:w w:val="105"/>
        </w:rPr>
        <w:t>la</w:t>
      </w:r>
      <w:r>
        <w:rPr>
          <w:color w:val="231F20"/>
          <w:spacing w:val="-33"/>
          <w:w w:val="105"/>
        </w:rPr>
        <w:t> </w:t>
      </w:r>
      <w:r>
        <w:rPr>
          <w:color w:val="231F20"/>
          <w:w w:val="105"/>
        </w:rPr>
        <w:t>delincuencia</w:t>
      </w:r>
      <w:r>
        <w:rPr>
          <w:color w:val="231F20"/>
          <w:spacing w:val="-33"/>
          <w:w w:val="105"/>
        </w:rPr>
        <w:t> </w:t>
      </w:r>
      <w:r>
        <w:rPr>
          <w:color w:val="231F20"/>
          <w:w w:val="105"/>
        </w:rPr>
        <w:t>organizada)</w:t>
      </w:r>
      <w:r>
        <w:rPr>
          <w:color w:val="231F20"/>
          <w:spacing w:val="-33"/>
          <w:w w:val="105"/>
        </w:rPr>
        <w:t> </w:t>
      </w:r>
      <w:r>
        <w:rPr>
          <w:color w:val="231F20"/>
          <w:w w:val="105"/>
        </w:rPr>
        <w:t>bajo</w:t>
      </w:r>
      <w:r>
        <w:rPr>
          <w:color w:val="231F20"/>
          <w:spacing w:val="-33"/>
          <w:w w:val="105"/>
        </w:rPr>
        <w:t> </w:t>
      </w:r>
      <w:r>
        <w:rPr>
          <w:color w:val="231F20"/>
          <w:w w:val="105"/>
        </w:rPr>
        <w:t>el</w:t>
      </w:r>
      <w:r>
        <w:rPr>
          <w:color w:val="231F20"/>
          <w:spacing w:val="-33"/>
          <w:w w:val="105"/>
        </w:rPr>
        <w:t> </w:t>
      </w:r>
      <w:r>
        <w:rPr>
          <w:color w:val="231F20"/>
          <w:w w:val="105"/>
        </w:rPr>
        <w:t>yugo</w:t>
      </w:r>
      <w:r>
        <w:rPr>
          <w:color w:val="231F20"/>
          <w:spacing w:val="-33"/>
          <w:w w:val="105"/>
        </w:rPr>
        <w:t> </w:t>
      </w:r>
      <w:r>
        <w:rPr>
          <w:color w:val="231F20"/>
          <w:w w:val="105"/>
        </w:rPr>
        <w:t>del</w:t>
      </w:r>
      <w:r>
        <w:rPr>
          <w:color w:val="231F20"/>
          <w:spacing w:val="-33"/>
          <w:w w:val="105"/>
        </w:rPr>
        <w:t> </w:t>
      </w:r>
      <w:r>
        <w:rPr>
          <w:color w:val="231F20"/>
          <w:w w:val="105"/>
        </w:rPr>
        <w:t>ordena- miento</w:t>
      </w:r>
      <w:r>
        <w:rPr>
          <w:color w:val="231F20"/>
          <w:spacing w:val="-20"/>
          <w:w w:val="105"/>
        </w:rPr>
        <w:t> </w:t>
      </w:r>
      <w:r>
        <w:rPr>
          <w:color w:val="231F20"/>
          <w:w w:val="105"/>
        </w:rPr>
        <w:t>jurídico.</w:t>
      </w:r>
      <w:r>
        <w:rPr>
          <w:color w:val="231F20"/>
          <w:spacing w:val="-20"/>
          <w:w w:val="105"/>
        </w:rPr>
        <w:t> </w:t>
      </w:r>
      <w:r>
        <w:rPr>
          <w:color w:val="231F20"/>
          <w:w w:val="105"/>
        </w:rPr>
        <w:t>Entre</w:t>
      </w:r>
      <w:r>
        <w:rPr>
          <w:color w:val="231F20"/>
          <w:spacing w:val="-20"/>
          <w:w w:val="105"/>
        </w:rPr>
        <w:t> </w:t>
      </w:r>
      <w:r>
        <w:rPr>
          <w:color w:val="231F20"/>
          <w:w w:val="105"/>
        </w:rPr>
        <w:t>ambos</w:t>
      </w:r>
      <w:r>
        <w:rPr>
          <w:color w:val="231F20"/>
          <w:spacing w:val="-20"/>
          <w:w w:val="105"/>
        </w:rPr>
        <w:t> </w:t>
      </w:r>
      <w:r>
        <w:rPr>
          <w:color w:val="231F20"/>
          <w:w w:val="105"/>
        </w:rPr>
        <w:t>paradigmas</w:t>
      </w:r>
      <w:r>
        <w:rPr>
          <w:color w:val="231F20"/>
          <w:spacing w:val="-20"/>
          <w:w w:val="105"/>
        </w:rPr>
        <w:t> </w:t>
      </w:r>
      <w:r>
        <w:rPr>
          <w:color w:val="231F20"/>
          <w:w w:val="105"/>
        </w:rPr>
        <w:t>el</w:t>
      </w:r>
      <w:r>
        <w:rPr>
          <w:color w:val="231F20"/>
          <w:spacing w:val="-20"/>
          <w:w w:val="105"/>
        </w:rPr>
        <w:t> </w:t>
      </w:r>
      <w:r>
        <w:rPr>
          <w:color w:val="231F20"/>
          <w:w w:val="105"/>
        </w:rPr>
        <w:t>punto</w:t>
      </w:r>
      <w:r>
        <w:rPr>
          <w:color w:val="231F20"/>
          <w:spacing w:val="-20"/>
          <w:w w:val="105"/>
        </w:rPr>
        <w:t> </w:t>
      </w:r>
      <w:r>
        <w:rPr>
          <w:color w:val="231F20"/>
          <w:w w:val="105"/>
        </w:rPr>
        <w:t>en</w:t>
      </w:r>
      <w:r>
        <w:rPr>
          <w:color w:val="231F20"/>
          <w:spacing w:val="-20"/>
          <w:w w:val="105"/>
        </w:rPr>
        <w:t> </w:t>
      </w:r>
      <w:r>
        <w:rPr>
          <w:color w:val="231F20"/>
          <w:w w:val="105"/>
        </w:rPr>
        <w:t>disputa</w:t>
      </w:r>
      <w:r>
        <w:rPr>
          <w:color w:val="231F20"/>
          <w:spacing w:val="-20"/>
          <w:w w:val="105"/>
        </w:rPr>
        <w:t> </w:t>
      </w:r>
      <w:r>
        <w:rPr>
          <w:color w:val="231F20"/>
          <w:w w:val="105"/>
        </w:rPr>
        <w:t>consiste</w:t>
      </w:r>
      <w:r>
        <w:rPr>
          <w:color w:val="231F20"/>
          <w:spacing w:val="-20"/>
          <w:w w:val="105"/>
        </w:rPr>
        <w:t> </w:t>
      </w:r>
      <w:r>
        <w:rPr>
          <w:color w:val="231F20"/>
          <w:w w:val="105"/>
        </w:rPr>
        <w:t>en saber</w:t>
      </w:r>
      <w:r>
        <w:rPr>
          <w:color w:val="231F20"/>
          <w:spacing w:val="-33"/>
          <w:w w:val="105"/>
        </w:rPr>
        <w:t> </w:t>
      </w:r>
      <w:r>
        <w:rPr>
          <w:color w:val="231F20"/>
          <w:w w:val="105"/>
        </w:rPr>
        <w:t>cómo</w:t>
      </w:r>
      <w:r>
        <w:rPr>
          <w:color w:val="231F20"/>
          <w:spacing w:val="-33"/>
          <w:w w:val="105"/>
        </w:rPr>
        <w:t> </w:t>
      </w:r>
      <w:r>
        <w:rPr>
          <w:color w:val="231F20"/>
          <w:w w:val="105"/>
        </w:rPr>
        <w:t>debe</w:t>
      </w:r>
      <w:r>
        <w:rPr>
          <w:color w:val="231F20"/>
          <w:spacing w:val="-33"/>
          <w:w w:val="105"/>
        </w:rPr>
        <w:t> </w:t>
      </w:r>
      <w:r>
        <w:rPr>
          <w:color w:val="231F20"/>
          <w:w w:val="105"/>
        </w:rPr>
        <w:t>enfrentar</w:t>
      </w:r>
      <w:r>
        <w:rPr>
          <w:color w:val="231F20"/>
          <w:spacing w:val="-33"/>
          <w:w w:val="105"/>
        </w:rPr>
        <w:t> </w:t>
      </w:r>
      <w:r>
        <w:rPr>
          <w:color w:val="231F20"/>
          <w:w w:val="105"/>
        </w:rPr>
        <w:t>el</w:t>
      </w:r>
      <w:r>
        <w:rPr>
          <w:color w:val="231F20"/>
          <w:spacing w:val="-33"/>
          <w:w w:val="105"/>
        </w:rPr>
        <w:t> </w:t>
      </w:r>
      <w:r>
        <w:rPr>
          <w:color w:val="231F20"/>
          <w:w w:val="105"/>
        </w:rPr>
        <w:t>derecho</w:t>
      </w:r>
      <w:r>
        <w:rPr>
          <w:color w:val="231F20"/>
          <w:spacing w:val="-33"/>
          <w:w w:val="105"/>
        </w:rPr>
        <w:t> </w:t>
      </w:r>
      <w:r>
        <w:rPr>
          <w:color w:val="231F20"/>
          <w:w w:val="105"/>
        </w:rPr>
        <w:t>situaciones</w:t>
      </w:r>
      <w:r>
        <w:rPr>
          <w:color w:val="231F20"/>
          <w:spacing w:val="-33"/>
          <w:w w:val="105"/>
        </w:rPr>
        <w:t> </w:t>
      </w:r>
      <w:r>
        <w:rPr>
          <w:color w:val="231F20"/>
          <w:w w:val="105"/>
        </w:rPr>
        <w:t>extraordinarias</w:t>
      </w:r>
      <w:r>
        <w:rPr>
          <w:color w:val="231F20"/>
          <w:spacing w:val="-33"/>
          <w:w w:val="105"/>
        </w:rPr>
        <w:t> </w:t>
      </w:r>
      <w:r>
        <w:rPr>
          <w:color w:val="231F20"/>
          <w:w w:val="105"/>
        </w:rPr>
        <w:t>como</w:t>
      </w:r>
      <w:r>
        <w:rPr>
          <w:color w:val="231F20"/>
          <w:spacing w:val="-33"/>
          <w:w w:val="105"/>
        </w:rPr>
        <w:t> </w:t>
      </w:r>
      <w:r>
        <w:rPr>
          <w:color w:val="231F20"/>
          <w:w w:val="105"/>
        </w:rPr>
        <w:t>el terrorismo</w:t>
      </w:r>
      <w:r>
        <w:rPr>
          <w:color w:val="231F20"/>
          <w:spacing w:val="-8"/>
          <w:w w:val="105"/>
        </w:rPr>
        <w:t> </w:t>
      </w:r>
      <w:r>
        <w:rPr>
          <w:color w:val="231F20"/>
          <w:w w:val="105"/>
        </w:rPr>
        <w:t>o</w:t>
      </w:r>
      <w:r>
        <w:rPr>
          <w:color w:val="231F20"/>
          <w:spacing w:val="-8"/>
          <w:w w:val="105"/>
        </w:rPr>
        <w:t> </w:t>
      </w:r>
      <w:r>
        <w:rPr>
          <w:color w:val="231F20"/>
          <w:w w:val="105"/>
        </w:rPr>
        <w:t>el</w:t>
      </w:r>
      <w:r>
        <w:rPr>
          <w:color w:val="231F20"/>
          <w:spacing w:val="-8"/>
          <w:w w:val="105"/>
        </w:rPr>
        <w:t> </w:t>
      </w:r>
      <w:r>
        <w:rPr>
          <w:color w:val="231F20"/>
          <w:w w:val="105"/>
        </w:rPr>
        <w:t>crimen</w:t>
      </w:r>
      <w:r>
        <w:rPr>
          <w:color w:val="231F20"/>
          <w:spacing w:val="-8"/>
          <w:w w:val="105"/>
        </w:rPr>
        <w:t> </w:t>
      </w:r>
      <w:r>
        <w:rPr>
          <w:color w:val="231F20"/>
          <w:w w:val="105"/>
        </w:rPr>
        <w:t>organizado</w:t>
      </w:r>
      <w:r>
        <w:rPr>
          <w:color w:val="231F20"/>
          <w:spacing w:val="-8"/>
          <w:w w:val="105"/>
        </w:rPr>
        <w:t> </w:t>
      </w:r>
      <w:r>
        <w:rPr>
          <w:color w:val="231F20"/>
          <w:w w:val="105"/>
        </w:rPr>
        <w:t>¿es</w:t>
      </w:r>
      <w:r>
        <w:rPr>
          <w:color w:val="231F20"/>
          <w:spacing w:val="-8"/>
          <w:w w:val="105"/>
        </w:rPr>
        <w:t> </w:t>
      </w:r>
      <w:r>
        <w:rPr>
          <w:color w:val="231F20"/>
          <w:w w:val="105"/>
        </w:rPr>
        <w:t>posible</w:t>
      </w:r>
      <w:r>
        <w:rPr>
          <w:color w:val="231F20"/>
          <w:spacing w:val="-8"/>
          <w:w w:val="105"/>
        </w:rPr>
        <w:t> </w:t>
      </w:r>
      <w:r>
        <w:rPr>
          <w:color w:val="231F20"/>
          <w:w w:val="105"/>
        </w:rPr>
        <w:t>enfrentar</w:t>
      </w:r>
      <w:r>
        <w:rPr>
          <w:color w:val="231F20"/>
          <w:spacing w:val="-8"/>
          <w:w w:val="105"/>
        </w:rPr>
        <w:t> </w:t>
      </w:r>
      <w:r>
        <w:rPr>
          <w:color w:val="231F20"/>
          <w:w w:val="105"/>
        </w:rPr>
        <w:t>tales</w:t>
      </w:r>
      <w:r>
        <w:rPr>
          <w:color w:val="231F20"/>
          <w:spacing w:val="-8"/>
          <w:w w:val="105"/>
        </w:rPr>
        <w:t> </w:t>
      </w:r>
      <w:r>
        <w:rPr>
          <w:color w:val="231F20"/>
          <w:w w:val="105"/>
        </w:rPr>
        <w:t>problemas sin</w:t>
      </w:r>
      <w:r>
        <w:rPr>
          <w:color w:val="231F20"/>
          <w:spacing w:val="-32"/>
          <w:w w:val="105"/>
        </w:rPr>
        <w:t> </w:t>
      </w:r>
      <w:r>
        <w:rPr>
          <w:color w:val="231F20"/>
          <w:w w:val="105"/>
        </w:rPr>
        <w:t>dar</w:t>
      </w:r>
      <w:r>
        <w:rPr>
          <w:color w:val="231F20"/>
          <w:spacing w:val="-32"/>
          <w:w w:val="105"/>
        </w:rPr>
        <w:t> </w:t>
      </w:r>
      <w:r>
        <w:rPr>
          <w:color w:val="231F20"/>
          <w:w w:val="105"/>
        </w:rPr>
        <w:t>cabida</w:t>
      </w:r>
      <w:r>
        <w:rPr>
          <w:color w:val="231F20"/>
          <w:spacing w:val="-32"/>
          <w:w w:val="105"/>
        </w:rPr>
        <w:t> </w:t>
      </w:r>
      <w:r>
        <w:rPr>
          <w:color w:val="231F20"/>
          <w:w w:val="105"/>
        </w:rPr>
        <w:t>a</w:t>
      </w:r>
      <w:r>
        <w:rPr>
          <w:color w:val="231F20"/>
          <w:spacing w:val="-32"/>
          <w:w w:val="105"/>
        </w:rPr>
        <w:t> </w:t>
      </w:r>
      <w:r>
        <w:rPr>
          <w:color w:val="231F20"/>
          <w:w w:val="105"/>
        </w:rPr>
        <w:t>la</w:t>
      </w:r>
      <w:r>
        <w:rPr>
          <w:color w:val="231F20"/>
          <w:spacing w:val="-32"/>
          <w:w w:val="105"/>
        </w:rPr>
        <w:t> </w:t>
      </w:r>
      <w:r>
        <w:rPr>
          <w:color w:val="231F20"/>
          <w:w w:val="105"/>
        </w:rPr>
        <w:t>excepción?,</w:t>
      </w:r>
      <w:r>
        <w:rPr>
          <w:color w:val="231F20"/>
          <w:spacing w:val="-32"/>
          <w:w w:val="105"/>
        </w:rPr>
        <w:t> </w:t>
      </w:r>
      <w:r>
        <w:rPr>
          <w:color w:val="231F20"/>
          <w:w w:val="105"/>
        </w:rPr>
        <w:t>¿es</w:t>
      </w:r>
      <w:r>
        <w:rPr>
          <w:color w:val="231F20"/>
          <w:spacing w:val="-32"/>
          <w:w w:val="105"/>
        </w:rPr>
        <w:t> </w:t>
      </w:r>
      <w:r>
        <w:rPr>
          <w:color w:val="231F20"/>
          <w:w w:val="105"/>
        </w:rPr>
        <w:t>posible</w:t>
      </w:r>
      <w:r>
        <w:rPr>
          <w:color w:val="231F20"/>
          <w:spacing w:val="-32"/>
          <w:w w:val="105"/>
        </w:rPr>
        <w:t> </w:t>
      </w:r>
      <w:r>
        <w:rPr>
          <w:color w:val="231F20"/>
          <w:w w:val="105"/>
        </w:rPr>
        <w:t>pensar</w:t>
      </w:r>
      <w:r>
        <w:rPr>
          <w:color w:val="231F20"/>
          <w:spacing w:val="-32"/>
          <w:w w:val="105"/>
        </w:rPr>
        <w:t> </w:t>
      </w:r>
      <w:r>
        <w:rPr>
          <w:color w:val="231F20"/>
          <w:w w:val="105"/>
        </w:rPr>
        <w:t>al</w:t>
      </w:r>
      <w:r>
        <w:rPr>
          <w:color w:val="231F20"/>
          <w:spacing w:val="-32"/>
          <w:w w:val="105"/>
        </w:rPr>
        <w:t> </w:t>
      </w:r>
      <w:r>
        <w:rPr>
          <w:color w:val="231F20"/>
          <w:w w:val="105"/>
        </w:rPr>
        <w:t>soberano</w:t>
      </w:r>
      <w:r>
        <w:rPr>
          <w:color w:val="231F20"/>
          <w:spacing w:val="-32"/>
          <w:w w:val="105"/>
        </w:rPr>
        <w:t> </w:t>
      </w:r>
      <w:r>
        <w:rPr>
          <w:color w:val="231F20"/>
          <w:w w:val="105"/>
        </w:rPr>
        <w:t>sin</w:t>
      </w:r>
      <w:r>
        <w:rPr>
          <w:color w:val="231F20"/>
          <w:spacing w:val="-32"/>
          <w:w w:val="105"/>
        </w:rPr>
        <w:t> </w:t>
      </w:r>
      <w:r>
        <w:rPr>
          <w:color w:val="231F20"/>
          <w:w w:val="105"/>
        </w:rPr>
        <w:t>la</w:t>
      </w:r>
      <w:r>
        <w:rPr>
          <w:color w:val="231F20"/>
          <w:spacing w:val="-32"/>
          <w:w w:val="105"/>
        </w:rPr>
        <w:t> </w:t>
      </w:r>
      <w:r>
        <w:rPr>
          <w:color w:val="231F20"/>
          <w:w w:val="105"/>
        </w:rPr>
        <w:t>excep- ción?</w:t>
      </w:r>
      <w:r>
        <w:rPr>
          <w:color w:val="231F20"/>
          <w:spacing w:val="-19"/>
          <w:w w:val="105"/>
        </w:rPr>
        <w:t> </w:t>
      </w:r>
      <w:r>
        <w:rPr>
          <w:color w:val="231F20"/>
          <w:w w:val="105"/>
        </w:rPr>
        <w:t>Es</w:t>
      </w:r>
      <w:r>
        <w:rPr>
          <w:color w:val="231F20"/>
          <w:spacing w:val="-19"/>
          <w:w w:val="105"/>
        </w:rPr>
        <w:t> </w:t>
      </w:r>
      <w:r>
        <w:rPr>
          <w:color w:val="231F20"/>
          <w:w w:val="105"/>
        </w:rPr>
        <w:t>esta,</w:t>
      </w:r>
      <w:r>
        <w:rPr>
          <w:color w:val="231F20"/>
          <w:spacing w:val="-19"/>
          <w:w w:val="105"/>
        </w:rPr>
        <w:t> </w:t>
      </w:r>
      <w:r>
        <w:rPr>
          <w:color w:val="231F20"/>
          <w:w w:val="105"/>
        </w:rPr>
        <w:t>consideramos,</w:t>
      </w:r>
      <w:r>
        <w:rPr>
          <w:color w:val="231F20"/>
          <w:spacing w:val="-19"/>
          <w:w w:val="105"/>
        </w:rPr>
        <w:t> </w:t>
      </w:r>
      <w:r>
        <w:rPr>
          <w:color w:val="231F20"/>
          <w:w w:val="105"/>
        </w:rPr>
        <w:t>una</w:t>
      </w:r>
      <w:r>
        <w:rPr>
          <w:color w:val="231F20"/>
          <w:spacing w:val="-19"/>
          <w:w w:val="105"/>
        </w:rPr>
        <w:t> </w:t>
      </w:r>
      <w:r>
        <w:rPr>
          <w:color w:val="231F20"/>
          <w:w w:val="105"/>
        </w:rPr>
        <w:t>tarea</w:t>
      </w:r>
      <w:r>
        <w:rPr>
          <w:color w:val="231F20"/>
          <w:spacing w:val="-19"/>
          <w:w w:val="105"/>
        </w:rPr>
        <w:t> </w:t>
      </w:r>
      <w:r>
        <w:rPr>
          <w:color w:val="231F20"/>
          <w:w w:val="105"/>
        </w:rPr>
        <w:t>insoslayable</w:t>
      </w:r>
      <w:r>
        <w:rPr>
          <w:color w:val="231F20"/>
          <w:spacing w:val="-19"/>
          <w:w w:val="105"/>
        </w:rPr>
        <w:t> </w:t>
      </w:r>
      <w:r>
        <w:rPr>
          <w:color w:val="231F20"/>
          <w:w w:val="105"/>
        </w:rPr>
        <w:t>para</w:t>
      </w:r>
      <w:r>
        <w:rPr>
          <w:color w:val="231F20"/>
          <w:spacing w:val="-19"/>
          <w:w w:val="105"/>
        </w:rPr>
        <w:t> </w:t>
      </w:r>
      <w:r>
        <w:rPr>
          <w:color w:val="231F20"/>
          <w:w w:val="105"/>
        </w:rPr>
        <w:t>el</w:t>
      </w:r>
      <w:r>
        <w:rPr>
          <w:color w:val="231F20"/>
          <w:spacing w:val="-19"/>
          <w:w w:val="105"/>
        </w:rPr>
        <w:t> </w:t>
      </w:r>
      <w:r>
        <w:rPr>
          <w:color w:val="231F20"/>
          <w:w w:val="105"/>
        </w:rPr>
        <w:t>pensamiento jurídico</w:t>
      </w:r>
      <w:r>
        <w:rPr>
          <w:color w:val="231F20"/>
          <w:spacing w:val="-25"/>
          <w:w w:val="105"/>
        </w:rPr>
        <w:t> </w:t>
      </w:r>
      <w:r>
        <w:rPr>
          <w:color w:val="231F20"/>
          <w:w w:val="105"/>
        </w:rPr>
        <w:t>actual,</w:t>
      </w:r>
      <w:r>
        <w:rPr>
          <w:color w:val="231F20"/>
          <w:spacing w:val="-25"/>
          <w:w w:val="105"/>
        </w:rPr>
        <w:t> </w:t>
      </w:r>
      <w:r>
        <w:rPr>
          <w:color w:val="231F20"/>
          <w:w w:val="105"/>
        </w:rPr>
        <w:t>tal</w:t>
      </w:r>
      <w:r>
        <w:rPr>
          <w:color w:val="231F20"/>
          <w:spacing w:val="-25"/>
          <w:w w:val="105"/>
        </w:rPr>
        <w:t> </w:t>
      </w:r>
      <w:r>
        <w:rPr>
          <w:color w:val="231F20"/>
          <w:w w:val="105"/>
        </w:rPr>
        <w:t>y</w:t>
      </w:r>
      <w:r>
        <w:rPr>
          <w:color w:val="231F20"/>
          <w:spacing w:val="-25"/>
          <w:w w:val="105"/>
        </w:rPr>
        <w:t> </w:t>
      </w:r>
      <w:r>
        <w:rPr>
          <w:color w:val="231F20"/>
          <w:w w:val="105"/>
        </w:rPr>
        <w:t>como</w:t>
      </w:r>
      <w:r>
        <w:rPr>
          <w:color w:val="231F20"/>
          <w:spacing w:val="-25"/>
          <w:w w:val="105"/>
        </w:rPr>
        <w:t> </w:t>
      </w:r>
      <w:r>
        <w:rPr>
          <w:color w:val="231F20"/>
          <w:w w:val="105"/>
        </w:rPr>
        <w:t>ya</w:t>
      </w:r>
      <w:r>
        <w:rPr>
          <w:color w:val="231F20"/>
          <w:spacing w:val="-25"/>
          <w:w w:val="105"/>
        </w:rPr>
        <w:t> </w:t>
      </w:r>
      <w:r>
        <w:rPr>
          <w:color w:val="231F20"/>
          <w:w w:val="105"/>
        </w:rPr>
        <w:t>lo</w:t>
      </w:r>
      <w:r>
        <w:rPr>
          <w:color w:val="231F20"/>
          <w:spacing w:val="-25"/>
          <w:w w:val="105"/>
        </w:rPr>
        <w:t> </w:t>
      </w:r>
      <w:r>
        <w:rPr>
          <w:color w:val="231F20"/>
          <w:w w:val="105"/>
        </w:rPr>
        <w:t>expuso</w:t>
      </w:r>
      <w:r>
        <w:rPr>
          <w:color w:val="231F20"/>
          <w:spacing w:val="-25"/>
          <w:w w:val="105"/>
        </w:rPr>
        <w:t> </w:t>
      </w:r>
      <w:r>
        <w:rPr>
          <w:color w:val="231F20"/>
          <w:w w:val="105"/>
        </w:rPr>
        <w:t>Giorgio</w:t>
      </w:r>
      <w:r>
        <w:rPr>
          <w:color w:val="231F20"/>
          <w:spacing w:val="-25"/>
          <w:w w:val="105"/>
        </w:rPr>
        <w:t> </w:t>
      </w:r>
      <w:r>
        <w:rPr>
          <w:color w:val="231F20"/>
          <w:w w:val="105"/>
        </w:rPr>
        <w:t>Agamben.</w:t>
      </w:r>
    </w:p>
    <w:p>
      <w:pPr>
        <w:pStyle w:val="BodyText"/>
        <w:spacing w:before="10"/>
        <w:rPr>
          <w:sz w:val="22"/>
        </w:rPr>
      </w:pPr>
    </w:p>
    <w:p>
      <w:pPr>
        <w:spacing w:line="220" w:lineRule="exact" w:before="1"/>
        <w:ind w:left="1521" w:right="115" w:firstLine="0"/>
        <w:jc w:val="both"/>
        <w:rPr>
          <w:sz w:val="19"/>
        </w:rPr>
      </w:pPr>
      <w:r>
        <w:rPr>
          <w:color w:val="231F20"/>
          <w:w w:val="105"/>
          <w:sz w:val="19"/>
        </w:rPr>
        <w:t>La</w:t>
      </w:r>
      <w:r>
        <w:rPr>
          <w:color w:val="231F20"/>
          <w:spacing w:val="-31"/>
          <w:w w:val="105"/>
          <w:sz w:val="19"/>
        </w:rPr>
        <w:t> </w:t>
      </w:r>
      <w:r>
        <w:rPr>
          <w:color w:val="231F20"/>
          <w:w w:val="105"/>
          <w:sz w:val="19"/>
        </w:rPr>
        <w:t>contigüidad</w:t>
      </w:r>
      <w:r>
        <w:rPr>
          <w:color w:val="231F20"/>
          <w:spacing w:val="-31"/>
          <w:w w:val="105"/>
          <w:sz w:val="19"/>
        </w:rPr>
        <w:t> </w:t>
      </w:r>
      <w:r>
        <w:rPr>
          <w:color w:val="231F20"/>
          <w:w w:val="105"/>
          <w:sz w:val="19"/>
        </w:rPr>
        <w:t>esencial</w:t>
      </w:r>
      <w:r>
        <w:rPr>
          <w:color w:val="231F20"/>
          <w:spacing w:val="-31"/>
          <w:w w:val="105"/>
          <w:sz w:val="19"/>
        </w:rPr>
        <w:t> </w:t>
      </w:r>
      <w:r>
        <w:rPr>
          <w:color w:val="231F20"/>
          <w:w w:val="105"/>
          <w:sz w:val="19"/>
        </w:rPr>
        <w:t>entre</w:t>
      </w:r>
      <w:r>
        <w:rPr>
          <w:color w:val="231F20"/>
          <w:spacing w:val="-31"/>
          <w:w w:val="105"/>
          <w:sz w:val="19"/>
        </w:rPr>
        <w:t> </w:t>
      </w:r>
      <w:r>
        <w:rPr>
          <w:color w:val="231F20"/>
          <w:w w:val="105"/>
          <w:sz w:val="19"/>
        </w:rPr>
        <w:t>estado</w:t>
      </w:r>
      <w:r>
        <w:rPr>
          <w:color w:val="231F20"/>
          <w:spacing w:val="-31"/>
          <w:w w:val="105"/>
          <w:sz w:val="19"/>
        </w:rPr>
        <w:t> </w:t>
      </w:r>
      <w:r>
        <w:rPr>
          <w:color w:val="231F20"/>
          <w:w w:val="105"/>
          <w:sz w:val="19"/>
        </w:rPr>
        <w:t>de</w:t>
      </w:r>
      <w:r>
        <w:rPr>
          <w:color w:val="231F20"/>
          <w:spacing w:val="-31"/>
          <w:w w:val="105"/>
          <w:sz w:val="19"/>
        </w:rPr>
        <w:t> </w:t>
      </w:r>
      <w:r>
        <w:rPr>
          <w:color w:val="231F20"/>
          <w:w w:val="105"/>
          <w:sz w:val="19"/>
        </w:rPr>
        <w:t>excepción</w:t>
      </w:r>
      <w:r>
        <w:rPr>
          <w:color w:val="231F20"/>
          <w:spacing w:val="-31"/>
          <w:w w:val="105"/>
          <w:sz w:val="19"/>
        </w:rPr>
        <w:t> </w:t>
      </w:r>
      <w:r>
        <w:rPr>
          <w:color w:val="231F20"/>
          <w:w w:val="105"/>
          <w:sz w:val="19"/>
        </w:rPr>
        <w:t>y</w:t>
      </w:r>
      <w:r>
        <w:rPr>
          <w:color w:val="231F20"/>
          <w:spacing w:val="-31"/>
          <w:w w:val="105"/>
          <w:sz w:val="19"/>
        </w:rPr>
        <w:t> </w:t>
      </w:r>
      <w:r>
        <w:rPr>
          <w:color w:val="231F20"/>
          <w:w w:val="105"/>
          <w:sz w:val="19"/>
        </w:rPr>
        <w:t>soberanía</w:t>
      </w:r>
      <w:r>
        <w:rPr>
          <w:color w:val="231F20"/>
          <w:spacing w:val="-31"/>
          <w:w w:val="105"/>
          <w:sz w:val="19"/>
        </w:rPr>
        <w:t> </w:t>
      </w:r>
      <w:r>
        <w:rPr>
          <w:color w:val="231F20"/>
          <w:w w:val="105"/>
          <w:sz w:val="19"/>
        </w:rPr>
        <w:t>ha sido</w:t>
      </w:r>
      <w:r>
        <w:rPr>
          <w:color w:val="231F20"/>
          <w:spacing w:val="-16"/>
          <w:w w:val="105"/>
          <w:sz w:val="19"/>
        </w:rPr>
        <w:t> </w:t>
      </w:r>
      <w:r>
        <w:rPr>
          <w:color w:val="231F20"/>
          <w:w w:val="105"/>
          <w:sz w:val="19"/>
        </w:rPr>
        <w:t>establecida</w:t>
      </w:r>
      <w:r>
        <w:rPr>
          <w:color w:val="231F20"/>
          <w:spacing w:val="-16"/>
          <w:w w:val="105"/>
          <w:sz w:val="19"/>
        </w:rPr>
        <w:t> </w:t>
      </w:r>
      <w:r>
        <w:rPr>
          <w:color w:val="231F20"/>
          <w:w w:val="105"/>
          <w:sz w:val="19"/>
        </w:rPr>
        <w:t>por</w:t>
      </w:r>
      <w:r>
        <w:rPr>
          <w:color w:val="231F20"/>
          <w:spacing w:val="-16"/>
          <w:w w:val="105"/>
          <w:sz w:val="19"/>
        </w:rPr>
        <w:t> </w:t>
      </w:r>
      <w:r>
        <w:rPr>
          <w:color w:val="231F20"/>
          <w:w w:val="105"/>
          <w:sz w:val="19"/>
        </w:rPr>
        <w:t>Carl</w:t>
      </w:r>
      <w:r>
        <w:rPr>
          <w:color w:val="231F20"/>
          <w:spacing w:val="-16"/>
          <w:w w:val="105"/>
          <w:sz w:val="19"/>
        </w:rPr>
        <w:t> </w:t>
      </w:r>
      <w:r>
        <w:rPr>
          <w:color w:val="231F20"/>
          <w:w w:val="105"/>
          <w:sz w:val="19"/>
        </w:rPr>
        <w:t>Schmitt</w:t>
      </w:r>
      <w:r>
        <w:rPr>
          <w:color w:val="231F20"/>
          <w:spacing w:val="-16"/>
          <w:w w:val="105"/>
          <w:sz w:val="19"/>
        </w:rPr>
        <w:t> </w:t>
      </w:r>
      <w:r>
        <w:rPr>
          <w:color w:val="231F20"/>
          <w:w w:val="105"/>
          <w:sz w:val="19"/>
        </w:rPr>
        <w:t>en</w:t>
      </w:r>
      <w:r>
        <w:rPr>
          <w:color w:val="231F20"/>
          <w:spacing w:val="-16"/>
          <w:w w:val="105"/>
          <w:sz w:val="19"/>
        </w:rPr>
        <w:t> </w:t>
      </w:r>
      <w:r>
        <w:rPr>
          <w:color w:val="231F20"/>
          <w:w w:val="105"/>
          <w:sz w:val="19"/>
        </w:rPr>
        <w:t>su</w:t>
      </w:r>
      <w:r>
        <w:rPr>
          <w:color w:val="231F20"/>
          <w:spacing w:val="-16"/>
          <w:w w:val="105"/>
          <w:sz w:val="19"/>
        </w:rPr>
        <w:t> </w:t>
      </w:r>
      <w:r>
        <w:rPr>
          <w:rFonts w:ascii="Arial" w:hAnsi="Arial"/>
          <w:i/>
          <w:color w:val="231F20"/>
          <w:spacing w:val="-3"/>
          <w:w w:val="105"/>
          <w:sz w:val="19"/>
        </w:rPr>
        <w:t>Teología</w:t>
      </w:r>
      <w:r>
        <w:rPr>
          <w:rFonts w:ascii="Arial" w:hAnsi="Arial"/>
          <w:i/>
          <w:color w:val="231F20"/>
          <w:spacing w:val="-9"/>
          <w:w w:val="105"/>
          <w:sz w:val="19"/>
        </w:rPr>
        <w:t> </w:t>
      </w:r>
      <w:r>
        <w:rPr>
          <w:rFonts w:ascii="Arial" w:hAnsi="Arial"/>
          <w:i/>
          <w:color w:val="231F20"/>
          <w:w w:val="105"/>
          <w:sz w:val="19"/>
        </w:rPr>
        <w:t>política</w:t>
      </w:r>
      <w:r>
        <w:rPr>
          <w:rFonts w:ascii="Arial" w:hAnsi="Arial"/>
          <w:i/>
          <w:color w:val="231F20"/>
          <w:spacing w:val="-9"/>
          <w:w w:val="105"/>
          <w:sz w:val="19"/>
        </w:rPr>
        <w:t> </w:t>
      </w:r>
      <w:r>
        <w:rPr>
          <w:color w:val="231F20"/>
          <w:w w:val="105"/>
          <w:sz w:val="19"/>
        </w:rPr>
        <w:t>(1922). Si bien su célebre definición del soberano en tanto “aquel que decide sobre el estado de excepción” ha sido ampliamente</w:t>
      </w:r>
      <w:r>
        <w:rPr>
          <w:color w:val="231F20"/>
          <w:spacing w:val="4"/>
          <w:w w:val="105"/>
          <w:sz w:val="19"/>
        </w:rPr>
        <w:t> </w:t>
      </w:r>
      <w:r>
        <w:rPr>
          <w:color w:val="231F20"/>
          <w:w w:val="105"/>
          <w:sz w:val="19"/>
        </w:rPr>
        <w:t>co-</w:t>
      </w:r>
    </w:p>
    <w:p>
      <w:pPr>
        <w:pStyle w:val="BodyText"/>
        <w:spacing w:before="1"/>
        <w:rPr>
          <w:sz w:val="24"/>
        </w:rPr>
      </w:pPr>
      <w:r>
        <w:rPr/>
        <w:pict>
          <v:line style="position:absolute;mso-position-horizontal-relative:page;mso-position-vertical-relative:paragraph;z-index:2560;mso-wrap-distance-left:0;mso-wrap-distance-right:0" from="65.196899pt,16.682699pt" to="178.582899pt,16.682699pt" stroked="true" strokeweight=".3pt" strokecolor="#231f20">
            <w10:wrap type="topAndBottom"/>
          </v:line>
        </w:pict>
      </w:r>
    </w:p>
    <w:p>
      <w:pPr>
        <w:spacing w:before="10"/>
        <w:ind w:left="103" w:right="0" w:firstLine="0"/>
        <w:jc w:val="left"/>
        <w:rPr>
          <w:rFonts w:ascii="Calibri" w:hAnsi="Calibri"/>
          <w:sz w:val="17"/>
        </w:rPr>
      </w:pPr>
      <w:r>
        <w:rPr>
          <w:rFonts w:ascii="Calibri" w:hAnsi="Calibri"/>
          <w:color w:val="231F20"/>
          <w:position w:val="6"/>
          <w:sz w:val="10"/>
        </w:rPr>
        <w:t>26  </w:t>
      </w:r>
      <w:r>
        <w:rPr>
          <w:rFonts w:ascii="Calibri" w:hAnsi="Calibri"/>
          <w:color w:val="231F20"/>
          <w:sz w:val="17"/>
        </w:rPr>
        <w:t>C. Schmitt, </w:t>
      </w:r>
      <w:r>
        <w:rPr>
          <w:rFonts w:ascii="Calibri" w:hAnsi="Calibri"/>
          <w:i/>
          <w:color w:val="231F20"/>
          <w:sz w:val="17"/>
        </w:rPr>
        <w:t>Teología Política</w:t>
      </w:r>
      <w:r>
        <w:rPr>
          <w:rFonts w:ascii="Calibri" w:hAnsi="Calibri"/>
          <w:color w:val="231F20"/>
          <w:sz w:val="17"/>
        </w:rPr>
        <w:t>, España, Trotta, 2009, p. 13.</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72816"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Arial" w:hAnsi="Arial"/>
          <w:color w:val="414042"/>
          <w:position w:val="-4"/>
          <w:sz w:val="20"/>
        </w:rPr>
        <w:t>34</w:t>
        <w:tab/>
      </w:r>
      <w:r>
        <w:rPr>
          <w:rFonts w:ascii="Calibri" w:hAnsi="Calibri"/>
          <w:color w:val="6D6E71"/>
          <w:sz w:val="16"/>
        </w:rPr>
        <w:t>Jorge Olvera</w:t>
      </w:r>
      <w:r>
        <w:rPr>
          <w:rFonts w:ascii="Calibri" w:hAnsi="Calibri"/>
          <w:color w:val="6D6E71"/>
          <w:spacing w:val="14"/>
          <w:sz w:val="16"/>
        </w:rPr>
        <w:t> </w:t>
      </w:r>
      <w:r>
        <w:rPr>
          <w:rFonts w:ascii="Calibri" w:hAnsi="Calibri"/>
          <w:color w:val="6D6E71"/>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8"/>
        <w:ind w:left="907" w:right="0" w:firstLine="0"/>
        <w:jc w:val="left"/>
        <w:rPr>
          <w:rFonts w:ascii="Arial" w:hAnsi="Arial"/>
          <w:sz w:val="20"/>
        </w:rPr>
      </w:pPr>
      <w:r>
        <w:rPr/>
        <w:pict>
          <v:group style="position:absolute;margin-left:383.821014pt;margin-top:-25.476145pt;width:8.65pt;height:41pt;mso-position-horizontal-relative:page;mso-position-vertical-relative:paragraph;z-index:-17276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Calibri" w:hAnsi="Calibri"/>
          <w:color w:val="6D6E71"/>
          <w:w w:val="105"/>
          <w:sz w:val="14"/>
        </w:rPr>
        <w:t>CAMBIO DE PARADIGMA JURÍDICO: EL 11-S Y LA DELINCUENCIA ORGANIZADA</w:t>
      </w:r>
      <w:r>
        <w:rPr>
          <w:rFonts w:ascii="Calibri" w:hAnsi="Calibri"/>
          <w:color w:val="6D6E71"/>
          <w:spacing w:val="11"/>
          <w:w w:val="105"/>
          <w:sz w:val="14"/>
        </w:rPr>
        <w:t> </w:t>
      </w:r>
      <w:r>
        <w:rPr>
          <w:rFonts w:ascii="Calibri" w:hAnsi="Calibri"/>
          <w:color w:val="6D6E71"/>
          <w:w w:val="105"/>
          <w:sz w:val="14"/>
        </w:rPr>
        <w:t>EN</w:t>
      </w:r>
      <w:r>
        <w:rPr>
          <w:rFonts w:ascii="Calibri" w:hAnsi="Calibri"/>
          <w:color w:val="6D6E71"/>
          <w:spacing w:val="1"/>
          <w:w w:val="105"/>
          <w:sz w:val="14"/>
        </w:rPr>
        <w:t> </w:t>
      </w:r>
      <w:r>
        <w:rPr>
          <w:rFonts w:ascii="Calibri" w:hAnsi="Calibri"/>
          <w:color w:val="6D6E71"/>
          <w:w w:val="105"/>
          <w:sz w:val="14"/>
        </w:rPr>
        <w:t>MÉXICO</w:t>
      </w:r>
      <w:r>
        <w:rPr>
          <w:rFonts w:ascii="Arial" w:hAnsi="Arial"/>
          <w:color w:val="414042"/>
          <w:w w:val="105"/>
          <w:position w:val="-3"/>
          <w:sz w:val="20"/>
        </w:rPr>
        <w:tab/>
        <w:t>35</w:t>
      </w:r>
    </w:p>
    <w:p>
      <w:pPr>
        <w:spacing w:line="220" w:lineRule="exact" w:before="637"/>
        <w:ind w:left="1534" w:right="101" w:firstLine="0"/>
        <w:jc w:val="both"/>
        <w:rPr>
          <w:sz w:val="19"/>
        </w:rPr>
      </w:pPr>
      <w:r>
        <w:rPr>
          <w:color w:val="231F20"/>
          <w:sz w:val="19"/>
        </w:rPr>
        <w:t>mentada</w:t>
      </w:r>
      <w:r>
        <w:rPr>
          <w:color w:val="231F20"/>
          <w:spacing w:val="-8"/>
          <w:sz w:val="19"/>
        </w:rPr>
        <w:t> </w:t>
      </w:r>
      <w:r>
        <w:rPr>
          <w:color w:val="231F20"/>
          <w:sz w:val="19"/>
        </w:rPr>
        <w:t>y</w:t>
      </w:r>
      <w:r>
        <w:rPr>
          <w:color w:val="231F20"/>
          <w:spacing w:val="-8"/>
          <w:sz w:val="19"/>
        </w:rPr>
        <w:t> </w:t>
      </w:r>
      <w:r>
        <w:rPr>
          <w:color w:val="231F20"/>
          <w:sz w:val="19"/>
        </w:rPr>
        <w:t>discutida,</w:t>
      </w:r>
      <w:r>
        <w:rPr>
          <w:color w:val="231F20"/>
          <w:spacing w:val="-8"/>
          <w:sz w:val="19"/>
        </w:rPr>
        <w:t> </w:t>
      </w:r>
      <w:r>
        <w:rPr>
          <w:color w:val="231F20"/>
          <w:sz w:val="19"/>
        </w:rPr>
        <w:t>falta</w:t>
      </w:r>
      <w:r>
        <w:rPr>
          <w:color w:val="231F20"/>
          <w:spacing w:val="-8"/>
          <w:sz w:val="19"/>
        </w:rPr>
        <w:t> </w:t>
      </w:r>
      <w:r>
        <w:rPr>
          <w:color w:val="231F20"/>
          <w:sz w:val="19"/>
        </w:rPr>
        <w:t>todavía</w:t>
      </w:r>
      <w:r>
        <w:rPr>
          <w:color w:val="231F20"/>
          <w:spacing w:val="-8"/>
          <w:sz w:val="19"/>
        </w:rPr>
        <w:t> </w:t>
      </w:r>
      <w:r>
        <w:rPr>
          <w:color w:val="231F20"/>
          <w:sz w:val="19"/>
        </w:rPr>
        <w:t>hasta</w:t>
      </w:r>
      <w:r>
        <w:rPr>
          <w:color w:val="231F20"/>
          <w:spacing w:val="-8"/>
          <w:sz w:val="19"/>
        </w:rPr>
        <w:t> </w:t>
      </w:r>
      <w:r>
        <w:rPr>
          <w:color w:val="231F20"/>
          <w:sz w:val="19"/>
        </w:rPr>
        <w:t>hoy</w:t>
      </w:r>
      <w:r>
        <w:rPr>
          <w:color w:val="231F20"/>
          <w:spacing w:val="-8"/>
          <w:sz w:val="19"/>
        </w:rPr>
        <w:t> </w:t>
      </w:r>
      <w:r>
        <w:rPr>
          <w:color w:val="231F20"/>
          <w:sz w:val="19"/>
        </w:rPr>
        <w:t>en</w:t>
      </w:r>
      <w:r>
        <w:rPr>
          <w:color w:val="231F20"/>
          <w:spacing w:val="-8"/>
          <w:sz w:val="19"/>
        </w:rPr>
        <w:t> </w:t>
      </w:r>
      <w:r>
        <w:rPr>
          <w:color w:val="231F20"/>
          <w:sz w:val="19"/>
        </w:rPr>
        <w:t>el</w:t>
      </w:r>
      <w:r>
        <w:rPr>
          <w:color w:val="231F20"/>
          <w:spacing w:val="-8"/>
          <w:sz w:val="19"/>
        </w:rPr>
        <w:t> </w:t>
      </w:r>
      <w:r>
        <w:rPr>
          <w:color w:val="231F20"/>
          <w:sz w:val="19"/>
        </w:rPr>
        <w:t>derecho</w:t>
      </w:r>
      <w:r>
        <w:rPr>
          <w:color w:val="231F20"/>
          <w:spacing w:val="-8"/>
          <w:sz w:val="19"/>
        </w:rPr>
        <w:t> </w:t>
      </w:r>
      <w:r>
        <w:rPr>
          <w:color w:val="231F20"/>
          <w:sz w:val="19"/>
        </w:rPr>
        <w:t>público una teoría del estado de excepción, y los juristas y expertos en derecho público parecen considerar el problema más como un </w:t>
      </w:r>
      <w:r>
        <w:rPr>
          <w:rFonts w:ascii="Calibri" w:hAnsi="Calibri"/>
          <w:i/>
          <w:color w:val="231F20"/>
          <w:sz w:val="19"/>
        </w:rPr>
        <w:t>questio  facti  </w:t>
      </w:r>
      <w:r>
        <w:rPr>
          <w:color w:val="231F20"/>
          <w:sz w:val="19"/>
        </w:rPr>
        <w:t>que como un genuino problema </w:t>
      </w:r>
      <w:r>
        <w:rPr>
          <w:color w:val="231F20"/>
          <w:spacing w:val="11"/>
          <w:sz w:val="19"/>
        </w:rPr>
        <w:t> </w:t>
      </w:r>
      <w:r>
        <w:rPr>
          <w:color w:val="231F20"/>
          <w:sz w:val="19"/>
        </w:rPr>
        <w:t>jurídico</w:t>
      </w:r>
      <w:r>
        <w:rPr>
          <w:color w:val="231F20"/>
          <w:position w:val="6"/>
          <w:sz w:val="11"/>
        </w:rPr>
        <w:t>27</w:t>
      </w:r>
      <w:r>
        <w:rPr>
          <w:color w:val="231F20"/>
          <w:sz w:val="19"/>
        </w:rPr>
        <w:t>.</w:t>
      </w:r>
    </w:p>
    <w:p>
      <w:pPr>
        <w:pStyle w:val="BodyText"/>
        <w:spacing w:line="247" w:lineRule="auto" w:before="289"/>
        <w:ind w:left="117" w:right="101"/>
        <w:jc w:val="both"/>
      </w:pPr>
      <w:r>
        <w:rPr>
          <w:color w:val="231F20"/>
          <w:w w:val="105"/>
        </w:rPr>
        <w:t>Un</w:t>
      </w:r>
      <w:r>
        <w:rPr>
          <w:color w:val="231F20"/>
          <w:spacing w:val="-27"/>
          <w:w w:val="105"/>
        </w:rPr>
        <w:t> </w:t>
      </w:r>
      <w:r>
        <w:rPr>
          <w:color w:val="231F20"/>
          <w:w w:val="105"/>
        </w:rPr>
        <w:t>talante</w:t>
      </w:r>
      <w:r>
        <w:rPr>
          <w:color w:val="231F20"/>
          <w:spacing w:val="-27"/>
          <w:w w:val="105"/>
        </w:rPr>
        <w:t> </w:t>
      </w:r>
      <w:r>
        <w:rPr>
          <w:color w:val="231F20"/>
          <w:w w:val="105"/>
        </w:rPr>
        <w:t>crítico</w:t>
      </w:r>
      <w:r>
        <w:rPr>
          <w:color w:val="231F20"/>
          <w:spacing w:val="-27"/>
          <w:w w:val="105"/>
        </w:rPr>
        <w:t> </w:t>
      </w:r>
      <w:r>
        <w:rPr>
          <w:color w:val="231F20"/>
          <w:w w:val="105"/>
        </w:rPr>
        <w:t>y</w:t>
      </w:r>
      <w:r>
        <w:rPr>
          <w:color w:val="231F20"/>
          <w:spacing w:val="-27"/>
          <w:w w:val="105"/>
        </w:rPr>
        <w:t> </w:t>
      </w:r>
      <w:r>
        <w:rPr>
          <w:color w:val="231F20"/>
          <w:w w:val="105"/>
        </w:rPr>
        <w:t>reflexivo</w:t>
      </w:r>
      <w:r>
        <w:rPr>
          <w:color w:val="231F20"/>
          <w:spacing w:val="-27"/>
          <w:w w:val="105"/>
        </w:rPr>
        <w:t> </w:t>
      </w:r>
      <w:r>
        <w:rPr>
          <w:color w:val="231F20"/>
          <w:w w:val="105"/>
        </w:rPr>
        <w:t>es</w:t>
      </w:r>
      <w:r>
        <w:rPr>
          <w:color w:val="231F20"/>
          <w:spacing w:val="-27"/>
          <w:w w:val="105"/>
        </w:rPr>
        <w:t> </w:t>
      </w:r>
      <w:r>
        <w:rPr>
          <w:color w:val="231F20"/>
          <w:w w:val="105"/>
        </w:rPr>
        <w:t>imperioso</w:t>
      </w:r>
      <w:r>
        <w:rPr>
          <w:color w:val="231F20"/>
          <w:spacing w:val="-27"/>
          <w:w w:val="105"/>
        </w:rPr>
        <w:t> </w:t>
      </w:r>
      <w:r>
        <w:rPr>
          <w:color w:val="231F20"/>
          <w:w w:val="105"/>
        </w:rPr>
        <w:t>para</w:t>
      </w:r>
      <w:r>
        <w:rPr>
          <w:color w:val="231F20"/>
          <w:spacing w:val="-27"/>
          <w:w w:val="105"/>
        </w:rPr>
        <w:t> </w:t>
      </w:r>
      <w:r>
        <w:rPr>
          <w:color w:val="231F20"/>
          <w:w w:val="105"/>
        </w:rPr>
        <w:t>el</w:t>
      </w:r>
      <w:r>
        <w:rPr>
          <w:color w:val="231F20"/>
          <w:spacing w:val="-27"/>
          <w:w w:val="105"/>
        </w:rPr>
        <w:t> </w:t>
      </w:r>
      <w:r>
        <w:rPr>
          <w:color w:val="231F20"/>
          <w:w w:val="105"/>
        </w:rPr>
        <w:t>pensamiento</w:t>
      </w:r>
      <w:r>
        <w:rPr>
          <w:color w:val="231F20"/>
          <w:spacing w:val="-27"/>
          <w:w w:val="105"/>
        </w:rPr>
        <w:t> </w:t>
      </w:r>
      <w:r>
        <w:rPr>
          <w:color w:val="231F20"/>
          <w:w w:val="105"/>
        </w:rPr>
        <w:t>jurídico</w:t>
      </w:r>
      <w:r>
        <w:rPr>
          <w:color w:val="231F20"/>
          <w:spacing w:val="-27"/>
          <w:w w:val="105"/>
        </w:rPr>
        <w:t> </w:t>
      </w:r>
      <w:r>
        <w:rPr>
          <w:color w:val="231F20"/>
          <w:w w:val="105"/>
        </w:rPr>
        <w:t>ac- tual,</w:t>
      </w:r>
      <w:r>
        <w:rPr>
          <w:color w:val="231F20"/>
          <w:spacing w:val="-19"/>
          <w:w w:val="105"/>
        </w:rPr>
        <w:t> </w:t>
      </w:r>
      <w:r>
        <w:rPr>
          <w:color w:val="231F20"/>
          <w:w w:val="105"/>
        </w:rPr>
        <w:t>sobre</w:t>
      </w:r>
      <w:r>
        <w:rPr>
          <w:color w:val="231F20"/>
          <w:spacing w:val="-19"/>
          <w:w w:val="105"/>
        </w:rPr>
        <w:t> </w:t>
      </w:r>
      <w:r>
        <w:rPr>
          <w:color w:val="231F20"/>
          <w:w w:val="105"/>
        </w:rPr>
        <w:t>todo</w:t>
      </w:r>
      <w:r>
        <w:rPr>
          <w:color w:val="231F20"/>
          <w:spacing w:val="-19"/>
          <w:w w:val="105"/>
        </w:rPr>
        <w:t> </w:t>
      </w:r>
      <w:r>
        <w:rPr>
          <w:color w:val="231F20"/>
          <w:w w:val="105"/>
        </w:rPr>
        <w:t>por</w:t>
      </w:r>
      <w:r>
        <w:rPr>
          <w:color w:val="231F20"/>
          <w:spacing w:val="-19"/>
          <w:w w:val="105"/>
        </w:rPr>
        <w:t> </w:t>
      </w:r>
      <w:r>
        <w:rPr>
          <w:color w:val="231F20"/>
          <w:w w:val="105"/>
        </w:rPr>
        <w:t>la</w:t>
      </w:r>
      <w:r>
        <w:rPr>
          <w:color w:val="231F20"/>
          <w:spacing w:val="-19"/>
          <w:w w:val="105"/>
        </w:rPr>
        <w:t> </w:t>
      </w:r>
      <w:r>
        <w:rPr>
          <w:color w:val="231F20"/>
          <w:w w:val="105"/>
        </w:rPr>
        <w:t>complejidad</w:t>
      </w:r>
      <w:r>
        <w:rPr>
          <w:color w:val="231F20"/>
          <w:spacing w:val="-19"/>
          <w:w w:val="105"/>
        </w:rPr>
        <w:t> </w:t>
      </w:r>
      <w:r>
        <w:rPr>
          <w:color w:val="231F20"/>
          <w:w w:val="105"/>
        </w:rPr>
        <w:t>del</w:t>
      </w:r>
      <w:r>
        <w:rPr>
          <w:color w:val="231F20"/>
          <w:spacing w:val="-19"/>
          <w:w w:val="105"/>
        </w:rPr>
        <w:t> </w:t>
      </w:r>
      <w:r>
        <w:rPr>
          <w:color w:val="231F20"/>
          <w:w w:val="105"/>
        </w:rPr>
        <w:t>panorama</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presenta</w:t>
      </w:r>
      <w:r>
        <w:rPr>
          <w:color w:val="231F20"/>
          <w:spacing w:val="-19"/>
          <w:w w:val="105"/>
        </w:rPr>
        <w:t> </w:t>
      </w:r>
      <w:r>
        <w:rPr>
          <w:color w:val="231F20"/>
          <w:w w:val="105"/>
        </w:rPr>
        <w:t>a</w:t>
      </w:r>
      <w:r>
        <w:rPr>
          <w:color w:val="231F20"/>
          <w:spacing w:val="-19"/>
          <w:w w:val="105"/>
        </w:rPr>
        <w:t> </w:t>
      </w:r>
      <w:r>
        <w:rPr>
          <w:color w:val="231F20"/>
          <w:w w:val="105"/>
        </w:rPr>
        <w:t>nivel internacional</w:t>
      </w:r>
      <w:r>
        <w:rPr>
          <w:color w:val="231F20"/>
          <w:spacing w:val="-30"/>
          <w:w w:val="105"/>
        </w:rPr>
        <w:t> </w:t>
      </w:r>
      <w:r>
        <w:rPr>
          <w:color w:val="231F20"/>
          <w:w w:val="105"/>
        </w:rPr>
        <w:t>y</w:t>
      </w:r>
      <w:r>
        <w:rPr>
          <w:color w:val="231F20"/>
          <w:spacing w:val="-30"/>
          <w:w w:val="105"/>
        </w:rPr>
        <w:t> </w:t>
      </w:r>
      <w:r>
        <w:rPr>
          <w:color w:val="231F20"/>
          <w:w w:val="105"/>
        </w:rPr>
        <w:t>nacional.</w:t>
      </w:r>
      <w:r>
        <w:rPr>
          <w:color w:val="231F20"/>
          <w:spacing w:val="-30"/>
          <w:w w:val="105"/>
        </w:rPr>
        <w:t> </w:t>
      </w:r>
      <w:r>
        <w:rPr>
          <w:color w:val="231F20"/>
          <w:w w:val="105"/>
        </w:rPr>
        <w:t>Lo</w:t>
      </w:r>
      <w:r>
        <w:rPr>
          <w:color w:val="231F20"/>
          <w:spacing w:val="-30"/>
          <w:w w:val="105"/>
        </w:rPr>
        <w:t> </w:t>
      </w:r>
      <w:r>
        <w:rPr>
          <w:color w:val="231F20"/>
          <w:w w:val="105"/>
        </w:rPr>
        <w:t>antes</w:t>
      </w:r>
      <w:r>
        <w:rPr>
          <w:color w:val="231F20"/>
          <w:spacing w:val="-30"/>
          <w:w w:val="105"/>
        </w:rPr>
        <w:t> </w:t>
      </w:r>
      <w:r>
        <w:rPr>
          <w:color w:val="231F20"/>
          <w:w w:val="105"/>
        </w:rPr>
        <w:t>expuesto</w:t>
      </w:r>
      <w:r>
        <w:rPr>
          <w:color w:val="231F20"/>
          <w:spacing w:val="-30"/>
          <w:w w:val="105"/>
        </w:rPr>
        <w:t> </w:t>
      </w:r>
      <w:r>
        <w:rPr>
          <w:color w:val="231F20"/>
          <w:w w:val="105"/>
        </w:rPr>
        <w:t>ha</w:t>
      </w:r>
      <w:r>
        <w:rPr>
          <w:color w:val="231F20"/>
          <w:spacing w:val="-30"/>
          <w:w w:val="105"/>
        </w:rPr>
        <w:t> </w:t>
      </w:r>
      <w:r>
        <w:rPr>
          <w:color w:val="231F20"/>
          <w:w w:val="105"/>
        </w:rPr>
        <w:t>evidenciado</w:t>
      </w:r>
      <w:r>
        <w:rPr>
          <w:color w:val="231F20"/>
          <w:spacing w:val="-30"/>
          <w:w w:val="105"/>
        </w:rPr>
        <w:t> </w:t>
      </w:r>
      <w:r>
        <w:rPr>
          <w:color w:val="231F20"/>
          <w:w w:val="105"/>
        </w:rPr>
        <w:t>la</w:t>
      </w:r>
      <w:r>
        <w:rPr>
          <w:color w:val="231F20"/>
          <w:spacing w:val="-30"/>
          <w:w w:val="105"/>
        </w:rPr>
        <w:t> </w:t>
      </w:r>
      <w:r>
        <w:rPr>
          <w:color w:val="231F20"/>
          <w:w w:val="105"/>
        </w:rPr>
        <w:t>dificultad</w:t>
      </w:r>
      <w:r>
        <w:rPr>
          <w:color w:val="231F20"/>
          <w:spacing w:val="-30"/>
          <w:w w:val="105"/>
        </w:rPr>
        <w:t> </w:t>
      </w:r>
      <w:r>
        <w:rPr>
          <w:color w:val="231F20"/>
          <w:w w:val="105"/>
        </w:rPr>
        <w:t>de dar</w:t>
      </w:r>
      <w:r>
        <w:rPr>
          <w:color w:val="231F20"/>
          <w:spacing w:val="-21"/>
          <w:w w:val="105"/>
        </w:rPr>
        <w:t> </w:t>
      </w:r>
      <w:r>
        <w:rPr>
          <w:color w:val="231F20"/>
          <w:w w:val="105"/>
        </w:rPr>
        <w:t>con</w:t>
      </w:r>
      <w:r>
        <w:rPr>
          <w:color w:val="231F20"/>
          <w:spacing w:val="-21"/>
          <w:w w:val="105"/>
        </w:rPr>
        <w:t> </w:t>
      </w:r>
      <w:r>
        <w:rPr>
          <w:color w:val="231F20"/>
          <w:w w:val="105"/>
        </w:rPr>
        <w:t>respuestas</w:t>
      </w:r>
      <w:r>
        <w:rPr>
          <w:color w:val="231F20"/>
          <w:spacing w:val="-21"/>
          <w:w w:val="105"/>
        </w:rPr>
        <w:t> </w:t>
      </w:r>
      <w:r>
        <w:rPr>
          <w:color w:val="231F20"/>
          <w:w w:val="105"/>
        </w:rPr>
        <w:t>fáciles,</w:t>
      </w:r>
      <w:r>
        <w:rPr>
          <w:color w:val="231F20"/>
          <w:spacing w:val="-21"/>
          <w:w w:val="105"/>
        </w:rPr>
        <w:t> </w:t>
      </w:r>
      <w:r>
        <w:rPr>
          <w:color w:val="231F20"/>
          <w:w w:val="105"/>
        </w:rPr>
        <w:t>lo</w:t>
      </w:r>
      <w:r>
        <w:rPr>
          <w:color w:val="231F20"/>
          <w:spacing w:val="-21"/>
          <w:w w:val="105"/>
        </w:rPr>
        <w:t> </w:t>
      </w:r>
      <w:r>
        <w:rPr>
          <w:color w:val="231F20"/>
          <w:w w:val="105"/>
        </w:rPr>
        <w:t>urgente</w:t>
      </w:r>
      <w:r>
        <w:rPr>
          <w:color w:val="231F20"/>
          <w:spacing w:val="-21"/>
          <w:w w:val="105"/>
        </w:rPr>
        <w:t> </w:t>
      </w:r>
      <w:r>
        <w:rPr>
          <w:color w:val="231F20"/>
          <w:w w:val="105"/>
        </w:rPr>
        <w:t>ahora</w:t>
      </w:r>
      <w:r>
        <w:rPr>
          <w:color w:val="231F20"/>
          <w:spacing w:val="-21"/>
          <w:w w:val="105"/>
        </w:rPr>
        <w:t> </w:t>
      </w:r>
      <w:r>
        <w:rPr>
          <w:color w:val="231F20"/>
          <w:w w:val="105"/>
        </w:rPr>
        <w:t>es</w:t>
      </w:r>
      <w:r>
        <w:rPr>
          <w:color w:val="231F20"/>
          <w:spacing w:val="-21"/>
          <w:w w:val="105"/>
        </w:rPr>
        <w:t> </w:t>
      </w:r>
      <w:r>
        <w:rPr>
          <w:color w:val="231F20"/>
          <w:w w:val="105"/>
        </w:rPr>
        <w:t>problematizar</w:t>
      </w:r>
      <w:r>
        <w:rPr>
          <w:color w:val="231F20"/>
          <w:spacing w:val="-21"/>
          <w:w w:val="105"/>
        </w:rPr>
        <w:t> </w:t>
      </w:r>
      <w:r>
        <w:rPr>
          <w:color w:val="231F20"/>
          <w:w w:val="105"/>
        </w:rPr>
        <w:t>las</w:t>
      </w:r>
      <w:r>
        <w:rPr>
          <w:color w:val="231F20"/>
          <w:spacing w:val="-21"/>
          <w:w w:val="105"/>
        </w:rPr>
        <w:t> </w:t>
      </w:r>
      <w:r>
        <w:rPr>
          <w:color w:val="231F20"/>
          <w:w w:val="105"/>
        </w:rPr>
        <w:t>comple- jas</w:t>
      </w:r>
      <w:r>
        <w:rPr>
          <w:color w:val="231F20"/>
          <w:spacing w:val="-7"/>
          <w:w w:val="105"/>
        </w:rPr>
        <w:t> </w:t>
      </w:r>
      <w:r>
        <w:rPr>
          <w:color w:val="231F20"/>
          <w:w w:val="105"/>
        </w:rPr>
        <w:t>relaciones</w:t>
      </w:r>
      <w:r>
        <w:rPr>
          <w:color w:val="231F20"/>
          <w:spacing w:val="-7"/>
          <w:w w:val="105"/>
        </w:rPr>
        <w:t> </w:t>
      </w:r>
      <w:r>
        <w:rPr>
          <w:color w:val="231F20"/>
          <w:w w:val="105"/>
        </w:rPr>
        <w:t>entre</w:t>
      </w:r>
      <w:r>
        <w:rPr>
          <w:color w:val="231F20"/>
          <w:spacing w:val="-7"/>
          <w:w w:val="105"/>
        </w:rPr>
        <w:t> </w:t>
      </w:r>
      <w:r>
        <w:rPr>
          <w:color w:val="231F20"/>
          <w:w w:val="105"/>
        </w:rPr>
        <w:t>una</w:t>
      </w:r>
      <w:r>
        <w:rPr>
          <w:color w:val="231F20"/>
          <w:spacing w:val="-7"/>
          <w:w w:val="105"/>
        </w:rPr>
        <w:t> </w:t>
      </w:r>
      <w:r>
        <w:rPr>
          <w:color w:val="231F20"/>
          <w:w w:val="105"/>
        </w:rPr>
        <w:t>realidad</w:t>
      </w:r>
      <w:r>
        <w:rPr>
          <w:color w:val="231F20"/>
          <w:spacing w:val="-7"/>
          <w:w w:val="105"/>
        </w:rPr>
        <w:t> </w:t>
      </w:r>
      <w:r>
        <w:rPr>
          <w:color w:val="231F20"/>
          <w:w w:val="105"/>
        </w:rPr>
        <w:t>social</w:t>
      </w:r>
      <w:r>
        <w:rPr>
          <w:color w:val="231F20"/>
          <w:spacing w:val="-7"/>
          <w:w w:val="105"/>
        </w:rPr>
        <w:t> </w:t>
      </w:r>
      <w:r>
        <w:rPr>
          <w:color w:val="231F20"/>
          <w:w w:val="105"/>
        </w:rPr>
        <w:t>y</w:t>
      </w:r>
      <w:r>
        <w:rPr>
          <w:color w:val="231F20"/>
          <w:spacing w:val="-7"/>
          <w:w w:val="105"/>
        </w:rPr>
        <w:t> </w:t>
      </w:r>
      <w:r>
        <w:rPr>
          <w:color w:val="231F20"/>
          <w:w w:val="105"/>
        </w:rPr>
        <w:t>política</w:t>
      </w:r>
      <w:r>
        <w:rPr>
          <w:color w:val="231F20"/>
          <w:spacing w:val="-7"/>
          <w:w w:val="105"/>
        </w:rPr>
        <w:t> </w:t>
      </w:r>
      <w:r>
        <w:rPr>
          <w:color w:val="231F20"/>
          <w:w w:val="105"/>
        </w:rPr>
        <w:t>plagada</w:t>
      </w:r>
      <w:r>
        <w:rPr>
          <w:color w:val="231F20"/>
          <w:spacing w:val="-7"/>
          <w:w w:val="105"/>
        </w:rPr>
        <w:t> </w:t>
      </w:r>
      <w:r>
        <w:rPr>
          <w:color w:val="231F20"/>
          <w:w w:val="105"/>
        </w:rPr>
        <w:t>de</w:t>
      </w:r>
      <w:r>
        <w:rPr>
          <w:color w:val="231F20"/>
          <w:spacing w:val="-7"/>
          <w:w w:val="105"/>
        </w:rPr>
        <w:t> </w:t>
      </w:r>
      <w:r>
        <w:rPr>
          <w:color w:val="231F20"/>
          <w:w w:val="105"/>
        </w:rPr>
        <w:t>situaciones excepcionales</w:t>
      </w:r>
      <w:r>
        <w:rPr>
          <w:color w:val="231F20"/>
          <w:spacing w:val="-33"/>
          <w:w w:val="105"/>
        </w:rPr>
        <w:t> </w:t>
      </w:r>
      <w:r>
        <w:rPr>
          <w:color w:val="231F20"/>
          <w:w w:val="105"/>
        </w:rPr>
        <w:t>y</w:t>
      </w:r>
      <w:r>
        <w:rPr>
          <w:color w:val="231F20"/>
          <w:spacing w:val="-33"/>
          <w:w w:val="105"/>
        </w:rPr>
        <w:t> </w:t>
      </w:r>
      <w:r>
        <w:rPr>
          <w:color w:val="231F20"/>
          <w:w w:val="105"/>
        </w:rPr>
        <w:t>un</w:t>
      </w:r>
      <w:r>
        <w:rPr>
          <w:color w:val="231F20"/>
          <w:spacing w:val="-33"/>
          <w:w w:val="105"/>
        </w:rPr>
        <w:t> </w:t>
      </w:r>
      <w:r>
        <w:rPr>
          <w:color w:val="231F20"/>
          <w:w w:val="105"/>
        </w:rPr>
        <w:t>derecho</w:t>
      </w:r>
      <w:r>
        <w:rPr>
          <w:color w:val="231F20"/>
          <w:spacing w:val="-33"/>
          <w:w w:val="105"/>
        </w:rPr>
        <w:t> </w:t>
      </w:r>
      <w:r>
        <w:rPr>
          <w:color w:val="231F20"/>
          <w:w w:val="105"/>
        </w:rPr>
        <w:t>que</w:t>
      </w:r>
      <w:r>
        <w:rPr>
          <w:color w:val="231F20"/>
          <w:spacing w:val="-33"/>
          <w:w w:val="105"/>
        </w:rPr>
        <w:t> </w:t>
      </w:r>
      <w:r>
        <w:rPr>
          <w:color w:val="231F20"/>
          <w:w w:val="105"/>
        </w:rPr>
        <w:t>debe</w:t>
      </w:r>
      <w:r>
        <w:rPr>
          <w:color w:val="231F20"/>
          <w:spacing w:val="-33"/>
          <w:w w:val="105"/>
        </w:rPr>
        <w:t> </w:t>
      </w:r>
      <w:r>
        <w:rPr>
          <w:color w:val="231F20"/>
          <w:w w:val="105"/>
        </w:rPr>
        <w:t>hacer</w:t>
      </w:r>
      <w:r>
        <w:rPr>
          <w:color w:val="231F20"/>
          <w:spacing w:val="-33"/>
          <w:w w:val="105"/>
        </w:rPr>
        <w:t> </w:t>
      </w:r>
      <w:r>
        <w:rPr>
          <w:color w:val="231F20"/>
          <w:w w:val="105"/>
        </w:rPr>
        <w:t>frente</w:t>
      </w:r>
      <w:r>
        <w:rPr>
          <w:color w:val="231F20"/>
          <w:spacing w:val="-33"/>
          <w:w w:val="105"/>
        </w:rPr>
        <w:t> </w:t>
      </w:r>
      <w:r>
        <w:rPr>
          <w:color w:val="231F20"/>
          <w:w w:val="105"/>
        </w:rPr>
        <w:t>a</w:t>
      </w:r>
      <w:r>
        <w:rPr>
          <w:color w:val="231F20"/>
          <w:spacing w:val="-33"/>
          <w:w w:val="105"/>
        </w:rPr>
        <w:t> </w:t>
      </w:r>
      <w:r>
        <w:rPr>
          <w:color w:val="231F20"/>
          <w:w w:val="105"/>
        </w:rPr>
        <w:t>las</w:t>
      </w:r>
      <w:r>
        <w:rPr>
          <w:color w:val="231F20"/>
          <w:spacing w:val="-33"/>
          <w:w w:val="105"/>
        </w:rPr>
        <w:t> </w:t>
      </w:r>
      <w:r>
        <w:rPr>
          <w:color w:val="231F20"/>
          <w:w w:val="105"/>
        </w:rPr>
        <w:t>mismas</w:t>
      </w:r>
      <w:r>
        <w:rPr>
          <w:color w:val="231F20"/>
          <w:spacing w:val="-33"/>
          <w:w w:val="105"/>
        </w:rPr>
        <w:t> </w:t>
      </w:r>
      <w:r>
        <w:rPr>
          <w:color w:val="231F20"/>
          <w:w w:val="105"/>
        </w:rPr>
        <w:t>con</w:t>
      </w:r>
      <w:r>
        <w:rPr>
          <w:color w:val="231F20"/>
          <w:spacing w:val="-33"/>
          <w:w w:val="105"/>
        </w:rPr>
        <w:t> </w:t>
      </w:r>
      <w:r>
        <w:rPr>
          <w:color w:val="231F20"/>
          <w:w w:val="105"/>
        </w:rPr>
        <w:t>herra- mientas</w:t>
      </w:r>
      <w:r>
        <w:rPr>
          <w:color w:val="231F20"/>
          <w:spacing w:val="-21"/>
          <w:w w:val="105"/>
        </w:rPr>
        <w:t> </w:t>
      </w:r>
      <w:r>
        <w:rPr>
          <w:color w:val="231F20"/>
          <w:w w:val="105"/>
        </w:rPr>
        <w:t>que</w:t>
      </w:r>
      <w:r>
        <w:rPr>
          <w:color w:val="231F20"/>
          <w:spacing w:val="-21"/>
          <w:w w:val="105"/>
        </w:rPr>
        <w:t> </w:t>
      </w:r>
      <w:r>
        <w:rPr>
          <w:color w:val="231F20"/>
          <w:w w:val="105"/>
        </w:rPr>
        <w:t>no</w:t>
      </w:r>
      <w:r>
        <w:rPr>
          <w:color w:val="231F20"/>
          <w:spacing w:val="-21"/>
          <w:w w:val="105"/>
        </w:rPr>
        <w:t> </w:t>
      </w:r>
      <w:r>
        <w:rPr>
          <w:color w:val="231F20"/>
          <w:w w:val="105"/>
        </w:rPr>
        <w:t>siempre</w:t>
      </w:r>
      <w:r>
        <w:rPr>
          <w:color w:val="231F20"/>
          <w:spacing w:val="-21"/>
          <w:w w:val="105"/>
        </w:rPr>
        <w:t> </w:t>
      </w:r>
      <w:r>
        <w:rPr>
          <w:color w:val="231F20"/>
          <w:w w:val="105"/>
        </w:rPr>
        <w:t>abarcan</w:t>
      </w:r>
      <w:r>
        <w:rPr>
          <w:color w:val="231F20"/>
          <w:spacing w:val="-21"/>
          <w:w w:val="105"/>
        </w:rPr>
        <w:t> </w:t>
      </w:r>
      <w:r>
        <w:rPr>
          <w:color w:val="231F20"/>
          <w:w w:val="105"/>
        </w:rPr>
        <w:t>la</w:t>
      </w:r>
      <w:r>
        <w:rPr>
          <w:color w:val="231F20"/>
          <w:spacing w:val="-21"/>
          <w:w w:val="105"/>
        </w:rPr>
        <w:t> </w:t>
      </w:r>
      <w:r>
        <w:rPr>
          <w:color w:val="231F20"/>
          <w:w w:val="105"/>
        </w:rPr>
        <w:t>pluralidad</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eventos.</w:t>
      </w:r>
      <w:r>
        <w:rPr>
          <w:color w:val="231F20"/>
          <w:spacing w:val="-21"/>
          <w:w w:val="105"/>
        </w:rPr>
        <w:t> </w:t>
      </w:r>
      <w:r>
        <w:rPr>
          <w:color w:val="231F20"/>
          <w:w w:val="105"/>
        </w:rPr>
        <w:t>Lo</w:t>
      </w:r>
      <w:r>
        <w:rPr>
          <w:color w:val="231F20"/>
          <w:spacing w:val="-21"/>
          <w:w w:val="105"/>
        </w:rPr>
        <w:t> </w:t>
      </w:r>
      <w:r>
        <w:rPr>
          <w:color w:val="231F20"/>
          <w:w w:val="105"/>
        </w:rPr>
        <w:t>cierto</w:t>
      </w:r>
      <w:r>
        <w:rPr>
          <w:color w:val="231F20"/>
          <w:spacing w:val="-21"/>
          <w:w w:val="105"/>
        </w:rPr>
        <w:t> </w:t>
      </w:r>
      <w:r>
        <w:rPr>
          <w:color w:val="231F20"/>
          <w:w w:val="105"/>
        </w:rPr>
        <w:t>es que</w:t>
      </w:r>
      <w:r>
        <w:rPr>
          <w:color w:val="231F20"/>
          <w:spacing w:val="-29"/>
          <w:w w:val="105"/>
        </w:rPr>
        <w:t> </w:t>
      </w:r>
      <w:r>
        <w:rPr>
          <w:color w:val="231F20"/>
          <w:w w:val="105"/>
        </w:rPr>
        <w:t>un</w:t>
      </w:r>
      <w:r>
        <w:rPr>
          <w:color w:val="231F20"/>
          <w:spacing w:val="-29"/>
          <w:w w:val="105"/>
        </w:rPr>
        <w:t> </w:t>
      </w:r>
      <w:r>
        <w:rPr>
          <w:color w:val="231F20"/>
          <w:w w:val="105"/>
        </w:rPr>
        <w:t>Estado</w:t>
      </w:r>
      <w:r>
        <w:rPr>
          <w:color w:val="231F20"/>
          <w:spacing w:val="-29"/>
          <w:w w:val="105"/>
        </w:rPr>
        <w:t> </w:t>
      </w:r>
      <w:r>
        <w:rPr>
          <w:color w:val="231F20"/>
          <w:w w:val="105"/>
        </w:rPr>
        <w:t>de</w:t>
      </w:r>
      <w:r>
        <w:rPr>
          <w:color w:val="231F20"/>
          <w:spacing w:val="-29"/>
          <w:w w:val="105"/>
        </w:rPr>
        <w:t> </w:t>
      </w:r>
      <w:r>
        <w:rPr>
          <w:color w:val="231F20"/>
          <w:w w:val="105"/>
        </w:rPr>
        <w:t>derecho</w:t>
      </w:r>
      <w:r>
        <w:rPr>
          <w:color w:val="231F20"/>
          <w:spacing w:val="-29"/>
          <w:w w:val="105"/>
        </w:rPr>
        <w:t> </w:t>
      </w:r>
      <w:r>
        <w:rPr>
          <w:color w:val="231F20"/>
          <w:w w:val="105"/>
        </w:rPr>
        <w:t>ideal</w:t>
      </w:r>
      <w:r>
        <w:rPr>
          <w:color w:val="231F20"/>
          <w:spacing w:val="-29"/>
          <w:w w:val="105"/>
        </w:rPr>
        <w:t> </w:t>
      </w:r>
      <w:r>
        <w:rPr>
          <w:color w:val="231F20"/>
          <w:w w:val="105"/>
        </w:rPr>
        <w:t>nunca</w:t>
      </w:r>
      <w:r>
        <w:rPr>
          <w:color w:val="231F20"/>
          <w:spacing w:val="-29"/>
          <w:w w:val="105"/>
        </w:rPr>
        <w:t> </w:t>
      </w:r>
      <w:r>
        <w:rPr>
          <w:color w:val="231F20"/>
          <w:w w:val="105"/>
        </w:rPr>
        <w:t>lo</w:t>
      </w:r>
      <w:r>
        <w:rPr>
          <w:color w:val="231F20"/>
          <w:spacing w:val="-29"/>
          <w:w w:val="105"/>
        </w:rPr>
        <w:t> </w:t>
      </w:r>
      <w:r>
        <w:rPr>
          <w:color w:val="231F20"/>
          <w:w w:val="105"/>
        </w:rPr>
        <w:t>hemos</w:t>
      </w:r>
      <w:r>
        <w:rPr>
          <w:color w:val="231F20"/>
          <w:spacing w:val="-29"/>
          <w:w w:val="105"/>
        </w:rPr>
        <w:t> </w:t>
      </w:r>
      <w:r>
        <w:rPr>
          <w:color w:val="231F20"/>
          <w:w w:val="105"/>
        </w:rPr>
        <w:t>conocido</w:t>
      </w:r>
      <w:r>
        <w:rPr>
          <w:color w:val="231F20"/>
          <w:spacing w:val="-29"/>
          <w:w w:val="105"/>
        </w:rPr>
        <w:t> </w:t>
      </w:r>
      <w:r>
        <w:rPr>
          <w:color w:val="231F20"/>
          <w:w w:val="105"/>
        </w:rPr>
        <w:t>y</w:t>
      </w:r>
      <w:r>
        <w:rPr>
          <w:color w:val="231F20"/>
          <w:spacing w:val="-29"/>
          <w:w w:val="105"/>
        </w:rPr>
        <w:t> </w:t>
      </w:r>
      <w:r>
        <w:rPr>
          <w:color w:val="231F20"/>
          <w:w w:val="105"/>
        </w:rPr>
        <w:t>las</w:t>
      </w:r>
      <w:r>
        <w:rPr>
          <w:color w:val="231F20"/>
          <w:spacing w:val="-29"/>
          <w:w w:val="105"/>
        </w:rPr>
        <w:t> </w:t>
      </w:r>
      <w:r>
        <w:rPr>
          <w:color w:val="231F20"/>
          <w:w w:val="105"/>
        </w:rPr>
        <w:t>situaciones extraordinarias</w:t>
      </w:r>
      <w:r>
        <w:rPr>
          <w:color w:val="231F20"/>
          <w:spacing w:val="-25"/>
          <w:w w:val="105"/>
        </w:rPr>
        <w:t> </w:t>
      </w:r>
      <w:r>
        <w:rPr>
          <w:color w:val="231F20"/>
          <w:w w:val="105"/>
        </w:rPr>
        <w:t>se</w:t>
      </w:r>
      <w:r>
        <w:rPr>
          <w:color w:val="231F20"/>
          <w:spacing w:val="-25"/>
          <w:w w:val="105"/>
        </w:rPr>
        <w:t> </w:t>
      </w:r>
      <w:r>
        <w:rPr>
          <w:color w:val="231F20"/>
          <w:w w:val="105"/>
        </w:rPr>
        <w:t>manifiestan</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mundo</w:t>
      </w:r>
      <w:r>
        <w:rPr>
          <w:color w:val="231F20"/>
          <w:spacing w:val="-25"/>
          <w:w w:val="105"/>
        </w:rPr>
        <w:t> </w:t>
      </w:r>
      <w:r>
        <w:rPr>
          <w:color w:val="231F20"/>
          <w:w w:val="105"/>
        </w:rPr>
        <w:t>fáctico</w:t>
      </w:r>
      <w:r>
        <w:rPr>
          <w:color w:val="231F20"/>
          <w:spacing w:val="-25"/>
          <w:w w:val="105"/>
        </w:rPr>
        <w:t> </w:t>
      </w:r>
      <w:r>
        <w:rPr>
          <w:color w:val="231F20"/>
          <w:w w:val="105"/>
        </w:rPr>
        <w:t>por</w:t>
      </w:r>
      <w:r>
        <w:rPr>
          <w:color w:val="231F20"/>
          <w:spacing w:val="-25"/>
          <w:w w:val="105"/>
        </w:rPr>
        <w:t> </w:t>
      </w:r>
      <w:r>
        <w:rPr>
          <w:color w:val="231F20"/>
          <w:spacing w:val="-3"/>
          <w:w w:val="105"/>
        </w:rPr>
        <w:t>doquier.</w:t>
      </w:r>
      <w:r>
        <w:rPr>
          <w:color w:val="231F20"/>
          <w:spacing w:val="-25"/>
          <w:w w:val="105"/>
        </w:rPr>
        <w:t> </w:t>
      </w:r>
      <w:r>
        <w:rPr>
          <w:color w:val="231F20"/>
          <w:w w:val="105"/>
        </w:rPr>
        <w:t>La</w:t>
      </w:r>
      <w:r>
        <w:rPr>
          <w:color w:val="231F20"/>
          <w:spacing w:val="-25"/>
          <w:w w:val="105"/>
        </w:rPr>
        <w:t> </w:t>
      </w:r>
      <w:r>
        <w:rPr>
          <w:color w:val="231F20"/>
          <w:w w:val="105"/>
        </w:rPr>
        <w:t>puesta en</w:t>
      </w:r>
      <w:r>
        <w:rPr>
          <w:color w:val="231F20"/>
          <w:spacing w:val="-28"/>
          <w:w w:val="105"/>
        </w:rPr>
        <w:t> </w:t>
      </w:r>
      <w:r>
        <w:rPr>
          <w:color w:val="231F20"/>
          <w:w w:val="105"/>
        </w:rPr>
        <w:t>marcha</w:t>
      </w:r>
      <w:r>
        <w:rPr>
          <w:color w:val="231F20"/>
          <w:spacing w:val="-28"/>
          <w:w w:val="105"/>
        </w:rPr>
        <w:t> </w:t>
      </w:r>
      <w:r>
        <w:rPr>
          <w:color w:val="231F20"/>
          <w:w w:val="105"/>
        </w:rPr>
        <w:t>de</w:t>
      </w:r>
      <w:r>
        <w:rPr>
          <w:color w:val="231F20"/>
          <w:spacing w:val="-28"/>
          <w:w w:val="105"/>
        </w:rPr>
        <w:t> </w:t>
      </w:r>
      <w:r>
        <w:rPr>
          <w:color w:val="231F20"/>
          <w:w w:val="105"/>
        </w:rPr>
        <w:t>un</w:t>
      </w:r>
      <w:r>
        <w:rPr>
          <w:color w:val="231F20"/>
          <w:spacing w:val="-28"/>
          <w:w w:val="105"/>
        </w:rPr>
        <w:t> </w:t>
      </w:r>
      <w:r>
        <w:rPr>
          <w:color w:val="231F20"/>
          <w:w w:val="105"/>
        </w:rPr>
        <w:t>pensamiento</w:t>
      </w:r>
      <w:r>
        <w:rPr>
          <w:color w:val="231F20"/>
          <w:spacing w:val="-28"/>
          <w:w w:val="105"/>
        </w:rPr>
        <w:t> </w:t>
      </w:r>
      <w:r>
        <w:rPr>
          <w:color w:val="231F20"/>
          <w:w w:val="105"/>
        </w:rPr>
        <w:t>crítico,</w:t>
      </w:r>
      <w:r>
        <w:rPr>
          <w:color w:val="231F20"/>
          <w:spacing w:val="-28"/>
          <w:w w:val="105"/>
        </w:rPr>
        <w:t> </w:t>
      </w:r>
      <w:r>
        <w:rPr>
          <w:color w:val="231F20"/>
          <w:w w:val="105"/>
        </w:rPr>
        <w:t>conectado</w:t>
      </w:r>
      <w:r>
        <w:rPr>
          <w:color w:val="231F20"/>
          <w:spacing w:val="-28"/>
          <w:w w:val="105"/>
        </w:rPr>
        <w:t> </w:t>
      </w:r>
      <w:r>
        <w:rPr>
          <w:color w:val="231F20"/>
          <w:w w:val="105"/>
        </w:rPr>
        <w:t>y</w:t>
      </w:r>
      <w:r>
        <w:rPr>
          <w:color w:val="231F20"/>
          <w:spacing w:val="-28"/>
          <w:w w:val="105"/>
        </w:rPr>
        <w:t> </w:t>
      </w:r>
      <w:r>
        <w:rPr>
          <w:color w:val="231F20"/>
          <w:w w:val="105"/>
        </w:rPr>
        <w:t>preocupado</w:t>
      </w:r>
      <w:r>
        <w:rPr>
          <w:color w:val="231F20"/>
          <w:spacing w:val="-28"/>
          <w:w w:val="105"/>
        </w:rPr>
        <w:t> </w:t>
      </w:r>
      <w:r>
        <w:rPr>
          <w:color w:val="231F20"/>
          <w:w w:val="105"/>
        </w:rPr>
        <w:t>por</w:t>
      </w:r>
      <w:r>
        <w:rPr>
          <w:color w:val="231F20"/>
          <w:spacing w:val="-28"/>
          <w:w w:val="105"/>
        </w:rPr>
        <w:t> </w:t>
      </w:r>
      <w:r>
        <w:rPr>
          <w:color w:val="231F20"/>
          <w:w w:val="105"/>
        </w:rPr>
        <w:t>la</w:t>
      </w:r>
      <w:r>
        <w:rPr>
          <w:color w:val="231F20"/>
          <w:spacing w:val="-28"/>
          <w:w w:val="105"/>
        </w:rPr>
        <w:t> </w:t>
      </w:r>
      <w:r>
        <w:rPr>
          <w:color w:val="231F20"/>
          <w:w w:val="105"/>
        </w:rPr>
        <w:t>rea- lidad,</w:t>
      </w:r>
      <w:r>
        <w:rPr>
          <w:color w:val="231F20"/>
          <w:spacing w:val="-35"/>
          <w:w w:val="105"/>
        </w:rPr>
        <w:t> </w:t>
      </w:r>
      <w:r>
        <w:rPr>
          <w:color w:val="231F20"/>
          <w:w w:val="105"/>
        </w:rPr>
        <w:t>es</w:t>
      </w:r>
      <w:r>
        <w:rPr>
          <w:color w:val="231F20"/>
          <w:spacing w:val="-35"/>
          <w:w w:val="105"/>
        </w:rPr>
        <w:t> </w:t>
      </w:r>
      <w:r>
        <w:rPr>
          <w:color w:val="231F20"/>
          <w:w w:val="105"/>
        </w:rPr>
        <w:t>hoy</w:t>
      </w:r>
      <w:r>
        <w:rPr>
          <w:color w:val="231F20"/>
          <w:spacing w:val="-35"/>
          <w:w w:val="105"/>
        </w:rPr>
        <w:t> </w:t>
      </w:r>
      <w:r>
        <w:rPr>
          <w:color w:val="231F20"/>
          <w:w w:val="105"/>
        </w:rPr>
        <w:t>más</w:t>
      </w:r>
      <w:r>
        <w:rPr>
          <w:color w:val="231F20"/>
          <w:spacing w:val="-35"/>
          <w:w w:val="105"/>
        </w:rPr>
        <w:t> </w:t>
      </w:r>
      <w:r>
        <w:rPr>
          <w:color w:val="231F20"/>
          <w:w w:val="105"/>
        </w:rPr>
        <w:t>necesario</w:t>
      </w:r>
      <w:r>
        <w:rPr>
          <w:color w:val="231F20"/>
          <w:spacing w:val="-35"/>
          <w:w w:val="105"/>
        </w:rPr>
        <w:t> </w:t>
      </w:r>
      <w:r>
        <w:rPr>
          <w:color w:val="231F20"/>
          <w:w w:val="105"/>
        </w:rPr>
        <w:t>que</w:t>
      </w:r>
      <w:r>
        <w:rPr>
          <w:color w:val="231F20"/>
          <w:spacing w:val="-35"/>
          <w:w w:val="105"/>
        </w:rPr>
        <w:t> </w:t>
      </w:r>
      <w:r>
        <w:rPr>
          <w:color w:val="231F20"/>
          <w:w w:val="105"/>
        </w:rPr>
        <w:t>nunca.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r>
        <w:rPr/>
        <w:pict>
          <v:line style="position:absolute;mso-position-horizontal-relative:page;mso-position-vertical-relative:paragraph;z-index:2608;mso-wrap-distance-left:0;mso-wrap-distance-right:0" from="70.866096pt,14.435338pt" to="184.252096pt,14.435338pt" stroked="true" strokeweight=".3pt" strokecolor="#231f20">
            <w10:wrap type="topAndBottom"/>
          </v:line>
        </w:pict>
      </w:r>
    </w:p>
    <w:p>
      <w:pPr>
        <w:spacing w:before="10"/>
        <w:ind w:left="117" w:right="0" w:firstLine="0"/>
        <w:jc w:val="left"/>
        <w:rPr>
          <w:rFonts w:ascii="Calibri" w:hAnsi="Calibri"/>
          <w:sz w:val="17"/>
        </w:rPr>
      </w:pPr>
      <w:r>
        <w:rPr>
          <w:rFonts w:ascii="Calibri" w:hAnsi="Calibri"/>
          <w:color w:val="231F20"/>
          <w:position w:val="6"/>
          <w:sz w:val="10"/>
        </w:rPr>
        <w:t>27  </w:t>
      </w:r>
      <w:r>
        <w:rPr>
          <w:rFonts w:ascii="Calibri" w:hAnsi="Calibri"/>
          <w:color w:val="231F20"/>
          <w:sz w:val="17"/>
        </w:rPr>
        <w:t>G. Agamben, </w:t>
      </w:r>
      <w:r>
        <w:rPr>
          <w:rFonts w:ascii="Calibri" w:hAnsi="Calibri"/>
          <w:i/>
          <w:color w:val="231F20"/>
          <w:sz w:val="17"/>
        </w:rPr>
        <w:t>Estado de excepción, Homo sacer II. I</w:t>
      </w:r>
      <w:r>
        <w:rPr>
          <w:rFonts w:ascii="Calibri" w:hAnsi="Calibri"/>
          <w:color w:val="231F20"/>
          <w:sz w:val="17"/>
        </w:rPr>
        <w:t>, Buenos Aires, Adriana Hidalgo, 2005, p. 23.</w:t>
      </w:r>
    </w:p>
    <w:p>
      <w:pPr>
        <w:spacing w:after="0"/>
        <w:jc w:val="left"/>
        <w:rPr>
          <w:rFonts w:ascii="Calibri" w:hAnsi="Calibri"/>
          <w:sz w:val="17"/>
        </w:rPr>
        <w:sectPr>
          <w:pgSz w:w="9640" w:h="13890"/>
          <w:pgMar w:top="0" w:bottom="280" w:left="1300" w:right="1200"/>
        </w:sectPr>
      </w:pPr>
    </w:p>
    <w:p>
      <w:pPr>
        <w:pStyle w:val="BodyText"/>
        <w:spacing w:before="4"/>
        <w:rPr>
          <w:rFonts w:ascii="Times New Roman"/>
          <w:sz w:val="17"/>
        </w:rPr>
      </w:pPr>
      <w:r>
        <w:rPr/>
        <w:pict>
          <v:line style="position:absolute;mso-position-horizontal-relative:page;mso-position-vertical-relative:page;z-index:2656" from="481.822998pt,0pt" to="481.822998pt,694.487976pt" stroked="true" strokeweight=".134pt" strokecolor="#6d6e71">
            <w10:wrap type="none"/>
          </v:line>
        </w:pict>
      </w:r>
    </w:p>
    <w:p>
      <w:pPr>
        <w:spacing w:after="0"/>
        <w:rPr>
          <w:rFonts w:ascii="Times New Roman"/>
          <w:sz w:val="17"/>
        </w:rPr>
        <w:sectPr>
          <w:pgSz w:w="9640" w:h="13890"/>
          <w:pgMar w:top="0" w:bottom="0" w:left="1340" w:right="0"/>
        </w:sectPr>
      </w:pPr>
    </w:p>
    <w:p>
      <w:pPr>
        <w:pStyle w:val="BodyText"/>
        <w:ind w:left="861"/>
        <w:rPr>
          <w:rFonts w:ascii="Times New Roman"/>
          <w:sz w:val="20"/>
        </w:rPr>
      </w:pPr>
      <w:r>
        <w:rPr/>
        <w:pict>
          <v:rect style="position:absolute;margin-left:0pt;margin-top:0pt;width:481.89pt;height:694.487976pt;mso-position-horizontal-relative:page;mso-position-vertical-relative:page;z-index:-172696" filled="true" fillcolor="#6d6e71" stroked="false">
            <v:fill type="solid"/>
            <w10:wrap type="none"/>
          </v:rect>
        </w:pict>
      </w:r>
      <w:r>
        <w:rPr>
          <w:rFonts w:ascii="Times New Roman"/>
          <w:sz w:val="20"/>
        </w:rPr>
        <w:pict>
          <v:group style="width:259.5pt;height:425.1pt;mso-position-horizontal-relative:char;mso-position-vertical-relative:line" coordorigin="0,0" coordsize="5190,8502">
            <v:shape style="position:absolute;left:2843;top:633;width:2346;height:7869" type="#_x0000_t75" stroked="false">
              <v:imagedata r:id="rId37" o:title=""/>
            </v:shape>
            <v:shape style="position:absolute;left:2864;top:1653;width:1729;height:3773" coordorigin="2864,1653" coordsize="1729,3773" path="m2953,1653l2941,1678,2914,1749,2885,1854,2864,1984,3158,3145,3436,3890,3860,4543,4593,5425,4587,5306,4571,5018,4552,4668,4535,4361,4023,4075,3687,3697,3380,2974,2953,1653xe" filled="true" fillcolor="#7e8083" stroked="false">
              <v:path arrowok="t"/>
              <v:fill type="solid"/>
            </v:shape>
            <v:shape style="position:absolute;left:0;top:0;width:4665;height:6117" type="#_x0000_t75" stroked="false">
              <v:imagedata r:id="rId38" o:title=""/>
            </v:shape>
            <v:shape style="position:absolute;left:2253;top:9;width:721;height:3805" coordorigin="2253,9" coordsize="721,3805" path="m2757,9l2525,58,2286,1239,2253,2024,2468,2765,2973,3814,2757,9xe" filled="true" fillcolor="#a9abae" stroked="false">
              <v:path arrowok="t"/>
              <v:fill type="solid"/>
            </v:shape>
            <v:shape style="position:absolute;left:2385;top:7;width:602;height:3856" coordorigin="2385,7" coordsize="602,3856" path="m2759,7l2524,51,2520,52,2519,56,2493,174,2487,203,2481,233,2475,262,2470,292,2449,411,2444,441,2440,470,2436,500,2432,530,2424,590,2417,650,2411,710,2405,770,2402,800,2400,833,2398,863,2396,891,2392,952,2391,981,2390,1012,2386,1132,2385,1162,2385,1222,2385,1313,2386,1374,2389,1437,2391,1495,2394,1555,2398,1615,2402,1675,2413,1796,2419,1856,2426,1916,2433,1976,2441,2036,2449,2096,2458,2155,2468,2215,2473,2245,2478,2274,2484,2304,2495,2363,2501,2393,2506,2422,2513,2452,2538,2570,2566,2687,2581,2746,2596,2804,2612,2863,2628,2920,2645,2978,2662,3035,2680,3093,2698,3150,2718,3207,2737,3264,2757,3321,2778,3377,2799,3433,2821,3489,2843,3545,2866,3600,2889,3656,2913,3710,2939,3765,2965,3819,2986,3862,2983,3815,2964,3815,2961,3765,2957,3756,2933,3701,2910,3646,2888,3591,2866,3535,2845,3479,2824,3423,2804,3367,2785,3310,2766,3253,2747,3196,2729,3139,2712,3082,2695,3025,2679,2967,2663,2909,2647,2852,2632,2794,2618,2735,2603,2677,2577,2561,2552,2443,2546,2414,2541,2384,2535,2355,2530,2325,2525,2296,2519,2266,2515,2237,2510,2207,2500,2148,2491,2089,2483,2029,2474,1970,2460,1851,2454,1791,2449,1732,2443,1672,2439,1612,2431,1492,2427,1372,2425,1342,2424,1313,2424,1282,2424,1252,2423,1222,2423,1192,2422,1162,2423,1132,2425,1011,2425,982,2426,951,2428,923,2431,860,2432,830,2434,803,2436,773,2441,713,2446,653,2451,593,2458,534,2461,504,2465,474,2468,444,2472,414,2490,296,2494,266,2499,236,2504,207,2530,64,2526,64,2531,59,2548,59,2755,12,2759,12,2759,7xm2961,3765l2964,3815,2982,3810,2961,3765xm2759,12l2755,12,2758,91,2767,328,2771,414,2774,485,2796,961,2821,1437,2825,1516,2829,1596,2834,1675,2839,1754,2843,1834,2853,1992,2858,2071,2864,2150,2875,2309,2880,2388,2885,2467,2896,2626,2902,2705,2907,2784,2912,2863,2926,3101,2930,3161,2933,3220,2936,3280,2944,3418,2948,3498,2952,3577,2956,3656,2960,3736,2961,3765,2982,3810,2964,3815,2983,3815,2978,3735,2972,3655,2967,3576,2962,3497,2958,3418,2949,3279,2946,3219,2942,3160,2927,2862,2923,2783,2919,2704,2915,2625,2908,2466,2904,2384,2901,2304,2894,2148,2890,2069,2886,1990,2878,1831,2874,1752,2869,1672,2865,1594,2860,1514,2855,1434,2826,959,2794,484,2789,405,2783,326,2777,247,2765,88,2759,12xm2531,59l2526,64,2530,63,2531,59xm2530,63l2526,64,2530,64,2530,63xm2548,59l2531,59,2530,63,2548,59xe" filled="true" fillcolor="#ffffff" stroked="false">
              <v:path arrowok="t"/>
              <v:fill type="solid"/>
            </v:shape>
            <v:shape style="position:absolute;left:765;top:4108;width:1689;height:2056" coordorigin="765,4108" coordsize="1689,2056" path="m2396,4108l2330,4111,2257,4118,2175,4134,2085,4160,1988,4198,1882,4250,1826,4282,1769,4318,1709,4358,1648,4404,1584,4454,1519,4510,1452,4571,1383,4638,1312,4711,1239,4790,1165,4876,1088,4969,1010,5069,930,5176,848,5291,765,5413,874,6164,1348,5141,1671,4586,1990,4307,2453,4110,2425,4109,2396,4108xe" filled="true" fillcolor="#bec0c2" stroked="false">
              <v:path arrowok="t"/>
              <v:fill type="solid"/>
            </v:shape>
            <v:shape style="position:absolute;left:763;top:4090;width:1709;height:2094" coordorigin="763,4090" coordsize="1709,2094" path="m2385,4090l2350,4090,2315,4092,2280,4096,2246,4100,2211,4106,2177,4113,2109,4130,2027,4159,2010,4165,1994,4172,1978,4179,1946,4193,1931,4200,1915,4208,1838,4250,1823,4259,1808,4268,1705,4335,1622,4398,1608,4409,1594,4419,1580,4430,1461,4534,1337,4658,1313,4684,1290,4710,1266,4736,1243,4762,1219,4788,1196,4815,1174,4842,1086,4951,1064,4979,1043,5007,918,5177,899,5206,763,5412,763,5413,763,5414,785,5602,791,5649,796,5696,802,5743,818,5866,828,5941,838,6016,848,6092,858,6167,859,6172,862,6177,874,6183,884,6180,888,6171,888,6171,892,6162,889,6162,859,6157,881,6110,878,6087,866,6012,854,5937,842,5862,823,5740,815,5694,807,5647,799,5600,767,5414,912,5216,933,5188,1062,5023,1084,4996,1220,4837,1244,4812,1268,4786,1291,4761,1315,4736,1339,4710,1363,4685,1488,4565,1606,4464,1619,4453,1633,4443,1729,4371,1829,4306,1844,4297,1859,4289,1933,4248,1949,4241,2026,4206,2041,4199,2121,4171,2186,4153,2218,4146,2251,4140,2285,4135,2318,4132,2351,4129,2366,4129,2371,4126,2447,4093,2465,4093,2464,4092,2419,4090,2385,4090xm881,6110l859,6157,889,6162,881,6110xm2385,4128l2366,4129,2299,4166,2231,4212,2214,4224,2197,4236,2165,4261,2133,4287,2102,4314,2071,4342,2026,4384,2011,4398,1997,4413,1983,4428,1968,4443,1954,4457,1940,4472,1871,4549,1817,4612,1791,4644,1765,4676,1739,4708,1689,4773,1664,4806,1615,4872,1566,4939,1542,4973,1495,5041,1449,5110,1426,5144,1380,5213,1358,5247,1335,5282,1291,5352,1248,5423,1205,5494,1163,5566,1142,5602,1122,5638,1102,5674,1062,5747,1043,5784,1023,5821,1004,5858,967,5932,930,6006,894,6081,881,6110,889,6162,892,6162,924,6097,960,6022,998,5949,1036,5875,1074,5802,1113,5729,1152,5656,1192,5583,1272,5439,1287,5412,1313,5367,1334,5331,1355,5295,1397,5225,1441,5154,1485,5084,1531,5016,1554,4982,1577,4948,1625,4880,1649,4847,1674,4814,1699,4782,1750,4717,1776,4685,1802,4654,1829,4622,1883,4561,1954,4487,1968,4473,1983,4459,1999,4443,2012,4430,2027,4416,2042,4402,2088,4362,2119,4336,2150,4311,2182,4286,2199,4274,2231,4250,2248,4239,2316,4196,2386,4159,2456,4129,2452,4129,2418,4128,2385,4128xm2452,4128l2385,4128,2418,4128,2452,4129,2452,4128xm2465,4093l2447,4093,2452,4129,2456,4129,2459,4128,2460,4128,2466,4125,2471,4119,2472,4101,2465,4093xm2447,4093l2371,4126,2366,4129,2385,4128,2452,4128,2447,4093xe" filled="true" fillcolor="#ffffff" stroked="false">
              <v:path arrowok="t"/>
              <v:fill type="solid"/>
            </v:shape>
            <v:shape style="position:absolute;left:874;top:4111;width:2141;height:2054" coordorigin="874,4111" coordsize="2141,2054" path="m2486,4111l2096,4164,1797,4395,1440,4998,874,6164,985,6035,1092,5914,1196,5800,1296,5693,1392,5593,1485,5501,1575,5414,1660,5334,1743,5261,1822,5193,1898,5131,1971,5074,2042,5022,2109,4976,2173,4934,2235,4896,2294,4863,2350,4834,2404,4809,2455,4787,2504,4769,2551,4754,2596,4742,2638,4732,2679,4725,2717,4720,2754,4718,2789,4716,2975,4716,2959,4706,2904,4657,2850,4599,2797,4535,2746,4467,2696,4397,2604,4263,2561,4203,2522,4152,2486,4111xm2975,4716l2789,4716,2822,4717,2854,4719,2884,4721,2913,4725,2940,4729,2966,4734,3015,4743,2975,4716xe" filled="true" fillcolor="#828486" stroked="false">
              <v:path arrowok="t"/>
              <v:fill type="solid"/>
            </v:shape>
            <v:shape style="position:absolute;left:871;top:4104;width:2162;height:2063" coordorigin="871,4104" coordsize="2162,2063" path="m872,6166l873,6167,873,6166,872,6166xm875,6165l874,6166,873,6166,874,6167,875,6166,875,6165xm885,6147l872,6163,872,6163,872,6165,872,6166,872,6166,873,6166,874,6166,875,6165,885,6147xm872,6165l872,6166,872,6166,872,6165xm2810,4698l2768,4698,2725,4701,2683,4705,2642,4712,2600,4721,2559,4731,2519,4743,2479,4757,2439,4772,2400,4788,2362,4805,2324,4824,2286,4843,2249,4863,2213,4884,2141,4928,2071,4975,2036,5000,2002,5025,1968,5050,1934,5076,1901,5101,1868,5128,1803,5182,1739,5237,1708,5265,1645,5322,1614,5351,1553,5409,1523,5439,1493,5469,1433,5529,1345,5620,1316,5651,1230,5744,1117,5871,1090,5903,1035,5967,980,6032,885,6147,875,6165,988,6040,1132,5885,1248,5763,1337,5673,1456,5553,1547,5466,1578,5437,1639,5380,1671,5352,1733,5297,1765,5269,1797,5242,1829,5215,1894,5162,1926,5136,1993,5085,2026,5060,2060,5036,2094,5012,2163,4966,2234,4923,2269,4902,2306,4882,2342,4862,2379,4844,2416,4827,2454,4811,2492,4796,2530,4782,2569,4770,2609,4760,2648,4751,2688,4744,2728,4739,2769,4736,2809,4735,2974,4735,2963,4728,2944,4712,2936,4711,2894,4705,2852,4700,2810,4698xm872,6163l871,6164,871,6164,872,6163xm2488,4104l2486,4104,2444,4109,2404,4119,2365,4132,2327,4148,2289,4166,2253,4187,2218,4209,2184,4233,2119,4285,2056,4339,1995,4397,1937,4457,1880,4518,1825,4581,1772,4646,1719,4712,1668,4778,1619,4846,1571,4915,1523,4985,1477,5055,1432,5126,1387,5197,1343,5269,1300,5341,1258,5414,1216,5487,1175,5561,1135,5635,1095,5709,1056,5784,1018,5859,980,5934,943,6010,907,6087,872,6163,885,6147,915,6091,954,6016,994,5942,1075,5795,1116,5722,1158,5649,1200,5576,1242,5504,1285,5431,1328,5359,1372,5288,1416,5217,1461,5146,1507,5076,1553,5006,1599,4936,1647,4867,1695,4799,1744,4732,1794,4665,1845,4599,1898,4535,1952,4472,2008,4411,2067,4352,2128,4297,2193,4245,2226,4221,2260,4199,2295,4178,2332,4159,2369,4144,2407,4131,2447,4123,2483,4118,2481,4116,2500,4116,2491,4106,2489,4104,2488,4104xm2974,4735l2809,4735,2850,4737,2890,4740,2930,4745,2971,4752,3012,4760,3012,4760,3018,4761,3025,4758,3007,4758,2974,4735xm2944,4712l2963,4728,3007,4758,3018,4727,2977,4718,2944,4712xm2500,4116l2481,4116,2486,4118,2483,4118,2499,4135,2515,4154,2531,4175,2546,4195,2562,4216,2577,4237,2591,4259,2606,4280,2664,4367,2693,4410,2723,4453,2753,4495,2784,4537,2816,4578,2849,4619,2885,4657,2922,4694,2944,4712,2977,4718,3018,4727,3007,4758,3025,4758,3025,4758,3029,4751,3033,4743,3030,4733,3022,4728,3001,4716,2981,4702,2961,4687,2942,4671,2923,4654,2905,4636,2887,4618,2869,4599,2835,4561,2802,4521,2771,4481,2740,4439,2709,4398,2679,4355,2589,4228,2573,4207,2558,4186,2542,4165,2526,4145,2509,4125,2500,4116xm2481,4116l2483,4118,2486,4118,2481,4116xe" filled="true" fillcolor="#ffffff" stroked="false">
              <v:path arrowok="t"/>
              <v:fill type="solid"/>
            </v:shape>
            <v:shape style="position:absolute;left:1244;top:138;width:1771;height:4609" coordorigin="1244,138" coordsize="1771,4609" path="m2174,138l1618,256,1244,1778,1264,2753,1811,3602,3015,4747,3001,4483,2984,4202,2969,3979,2963,3887,2240,3071,1917,2408,1920,1547,2174,138xe" filled="true" fillcolor="#959799" stroked="false">
              <v:path arrowok="t"/>
              <v:fill type="solid"/>
            </v:shape>
            <v:shape style="position:absolute;left:1491;top:130;width:1535;height:4640" coordorigin="1491,130" coordsize="1535,4640" path="m2186,130l2172,130,1616,270,1597,350,1581,410,1566,490,1552,570,1540,650,1529,730,1520,790,1512,870,1506,950,1500,1030,1496,1110,1493,1190,1491,1270,1491,1350,1491,1430,1493,1490,1497,1570,1501,1650,1507,1730,1514,1810,1522,1890,1531,1970,1541,2050,1553,2110,1566,2190,1581,2270,1596,2350,1613,2430,1632,2490,1651,2570,1672,2650,1695,2730,1718,2790,1743,2870,1769,2950,1797,3010,1825,3090,1855,3150,1887,3230,1919,3290,1953,3370,1987,3430,2024,3510,2061,3570,2099,3630,2138,3710,2179,3770,2220,3830,2262,3890,2306,3970,2350,4030,2396,4090,2419,4110,2442,4150,2466,4170,2489,4210,2513,4230,2537,4270,2562,4290,2586,4330,2611,4350,2636,4390,2661,4410,2687,4430,2713,4470,2739,4490,2765,4530,2791,4550,2844,4610,2898,4650,2953,4710,3008,4770,3025,4770,3024,4750,3005,4750,3004,4732,2965,4690,2910,4650,2855,4590,2802,4550,2775,4510,2749,4490,2723,4450,2671,4410,2646,4370,2621,4350,2596,4310,2571,4290,2547,4250,2523,4230,2499,4190,2452,4130,2428,4110,2406,4070,2361,4010,2317,3950,2274,3890,2232,3830,2192,3770,2152,3690,2114,3630,2077,3570,2042,3490,2007,3430,1974,3350,1942,3290,1910,3210,1881,3150,1852,3070,1825,3010,1799,2930,1774,2850,1750,2790,1727,2710,1706,2630,1685,2570,1666,2490,1648,2410,1632,2330,1616,2270,1601,2190,1588,2110,1575,2030,1564,1950,1555,1890,1546,1810,1539,1730,1533,1650,1528,1570,1524,1490,1521,1410,1519,1350,1518,1270,1519,1190,1521,1110,1523,1030,1528,950,1533,870,1539,810,1547,730,1555,650,1565,570,1576,490,1589,410,1603,350,1620,270,2164,152,2165,150,2183,150,2186,130xm3004,4732l3005,4750,3021,4750,3004,4732xm2949,3906l2954,3990,2960,4070,2967,4150,2973,4250,2978,4330,3004,4732,3021,4750,3024,4750,2999,4250,2994,4150,2989,4070,2984,3990,2980,3910,2952,3910,2949,3906xm2947,3890l2949,3906,2952,3910,2947,3890xm2979,3890l2947,3890,2952,3910,2980,3910,2979,3890xm2183,150l2176,150,2164,152,2153,210,2141,270,2130,330,2120,390,2110,450,2102,510,2093,570,2086,630,2079,690,2073,770,2068,830,2063,890,2059,950,2056,1010,2053,1070,2052,1130,2051,1190,2051,1270,2051,1330,2052,1390,2055,1450,2057,1510,2061,1570,2066,1630,2074,1710,2083,1790,2093,1870,2105,1970,2119,2050,2134,2130,2151,2210,2169,2290,2188,2370,2209,2450,2232,2530,2256,2610,2281,2690,2308,2770,2337,2850,2367,2930,2399,2990,2432,3070,2467,3150,2503,3230,2540,3290,2579,3370,2620,3430,2662,3510,2695,3570,2728,3610,2763,3670,2798,3710,2835,3770,2872,3810,2911,3870,2949,3906,2947,3890,2974,3890,2935,3850,2898,3790,2861,3750,2826,3690,2791,3650,2758,3590,2725,3550,2693,3490,2652,3410,2613,3350,2574,3270,2538,3210,2502,3130,2469,3050,2436,2970,2405,2910,2376,2830,2348,2750,2322,2670,2296,2590,2272,2510,2250,2430,2229,2350,2209,2270,2191,2190,2175,2110,2160,2030,2146,1950,2134,1870,2123,1790,2114,1710,2106,1630,2100,1570,2096,1510,2092,1450,2089,1390,2085,1250,2085,1190,2085,1130,2085,1070,2087,1010,2089,950,2092,890,2096,830,2101,770,2106,710,2112,630,2118,570,2126,510,2134,450,2142,390,2152,330,2162,270,2172,210,2183,150xm2176,150l2165,150,2164,152,2176,150xe" filled="true" fillcolor="#ffffff" stroked="false">
              <v:path arrowok="t"/>
              <v:fill type="solid"/>
            </v:shape>
          </v:group>
        </w:pict>
      </w:r>
      <w:r>
        <w:rPr>
          <w:rFonts w:ascii="Times New Roman"/>
          <w:sz w:val="20"/>
        </w:rPr>
      </w:r>
    </w:p>
    <w:p>
      <w:pPr>
        <w:spacing w:line="187" w:lineRule="auto" w:before="22"/>
        <w:ind w:left="1696" w:right="3024" w:hanging="188"/>
        <w:jc w:val="both"/>
        <w:rPr>
          <w:rFonts w:ascii="Lucida Sans Unicode" w:hAnsi="Lucida Sans Unicode"/>
          <w:sz w:val="28"/>
        </w:rPr>
      </w:pPr>
      <w:r>
        <w:rPr>
          <w:rFonts w:ascii="Lucida Sans Unicode" w:hAnsi="Lucida Sans Unicode"/>
          <w:color w:val="FFFFFF"/>
          <w:w w:val="95"/>
          <w:sz w:val="28"/>
        </w:rPr>
        <w:t>EL</w:t>
      </w:r>
      <w:r>
        <w:rPr>
          <w:rFonts w:ascii="Lucida Sans Unicode" w:hAnsi="Lucida Sans Unicode"/>
          <w:color w:val="FFFFFF"/>
          <w:spacing w:val="-42"/>
          <w:w w:val="95"/>
          <w:sz w:val="28"/>
        </w:rPr>
        <w:t> </w:t>
      </w:r>
      <w:r>
        <w:rPr>
          <w:rFonts w:ascii="Lucida Sans Unicode" w:hAnsi="Lucida Sans Unicode"/>
          <w:color w:val="FFFFFF"/>
          <w:spacing w:val="-3"/>
          <w:w w:val="95"/>
          <w:sz w:val="28"/>
        </w:rPr>
        <w:t>ESTADO</w:t>
      </w:r>
      <w:r>
        <w:rPr>
          <w:rFonts w:ascii="Lucida Sans Unicode" w:hAnsi="Lucida Sans Unicode"/>
          <w:color w:val="FFFFFF"/>
          <w:spacing w:val="-42"/>
          <w:w w:val="95"/>
          <w:sz w:val="28"/>
        </w:rPr>
        <w:t> </w:t>
      </w:r>
      <w:r>
        <w:rPr>
          <w:rFonts w:ascii="Lucida Sans Unicode" w:hAnsi="Lucida Sans Unicode"/>
          <w:color w:val="FFFFFF"/>
          <w:w w:val="95"/>
          <w:sz w:val="28"/>
        </w:rPr>
        <w:t>ftLOBAL </w:t>
      </w:r>
      <w:r>
        <w:rPr>
          <w:rFonts w:ascii="Lucida Sans Unicode" w:hAnsi="Lucida Sans Unicode"/>
          <w:color w:val="FFFFFF"/>
          <w:sz w:val="28"/>
        </w:rPr>
        <w:t>Y</w:t>
      </w:r>
      <w:r>
        <w:rPr>
          <w:rFonts w:ascii="Lucida Sans Unicode" w:hAnsi="Lucida Sans Unicode"/>
          <w:color w:val="FFFFFF"/>
          <w:spacing w:val="-60"/>
          <w:sz w:val="28"/>
        </w:rPr>
        <w:t> </w:t>
      </w:r>
      <w:r>
        <w:rPr>
          <w:rFonts w:ascii="Lucida Sans Unicode" w:hAnsi="Lucida Sans Unicode"/>
          <w:color w:val="FFFFFF"/>
          <w:sz w:val="28"/>
        </w:rPr>
        <w:t>LA</w:t>
      </w:r>
      <w:r>
        <w:rPr>
          <w:rFonts w:ascii="Lucida Sans Unicode" w:hAnsi="Lucida Sans Unicode"/>
          <w:color w:val="FFFFFF"/>
          <w:spacing w:val="-60"/>
          <w:sz w:val="28"/>
        </w:rPr>
        <w:t> </w:t>
      </w:r>
      <w:r>
        <w:rPr>
          <w:rFonts w:ascii="Lucida Sans Unicode" w:hAnsi="Lucida Sans Unicode"/>
          <w:color w:val="FFFFFF"/>
          <w:sz w:val="28"/>
        </w:rPr>
        <w:t>EVOLUCIÓN </w:t>
      </w:r>
      <w:r>
        <w:rPr>
          <w:rFonts w:ascii="Lucida Sans Unicode" w:hAnsi="Lucida Sans Unicode"/>
          <w:color w:val="FFFFFF"/>
          <w:w w:val="95"/>
          <w:sz w:val="28"/>
        </w:rPr>
        <w:t>DE LA</w:t>
      </w:r>
      <w:r>
        <w:rPr>
          <w:rFonts w:ascii="Lucida Sans Unicode" w:hAnsi="Lucida Sans Unicode"/>
          <w:color w:val="FFFFFF"/>
          <w:spacing w:val="-60"/>
          <w:w w:val="95"/>
          <w:sz w:val="28"/>
        </w:rPr>
        <w:t> </w:t>
      </w:r>
      <w:r>
        <w:rPr>
          <w:rFonts w:ascii="Lucida Sans Unicode" w:hAnsi="Lucida Sans Unicode"/>
          <w:color w:val="FFFFFF"/>
          <w:w w:val="95"/>
          <w:sz w:val="28"/>
        </w:rPr>
        <w:t>SOBERANÍA</w:t>
      </w:r>
    </w:p>
    <w:p>
      <w:pPr>
        <w:pStyle w:val="BodyText"/>
        <w:rPr>
          <w:rFonts w:ascii="Lucida Sans Unicode"/>
          <w:sz w:val="28"/>
        </w:rPr>
      </w:pPr>
    </w:p>
    <w:p>
      <w:pPr>
        <w:pStyle w:val="BodyText"/>
        <w:spacing w:before="1"/>
        <w:rPr>
          <w:rFonts w:ascii="Lucida Sans Unicode"/>
          <w:sz w:val="41"/>
        </w:rPr>
      </w:pPr>
    </w:p>
    <w:p>
      <w:pPr>
        <w:spacing w:before="0"/>
        <w:ind w:left="3931" w:right="692" w:firstLine="0"/>
        <w:jc w:val="left"/>
        <w:rPr>
          <w:rFonts w:ascii="Calibri"/>
          <w:sz w:val="28"/>
        </w:rPr>
      </w:pPr>
      <w:r>
        <w:rPr>
          <w:rFonts w:ascii="Calibri"/>
          <w:color w:val="FFFFFF"/>
          <w:sz w:val="28"/>
        </w:rPr>
        <w:t>Maurizio Ricciardi</w:t>
      </w:r>
    </w:p>
    <w:p>
      <w:pPr>
        <w:spacing w:after="0"/>
        <w:jc w:val="left"/>
        <w:rPr>
          <w:rFonts w:ascii="Calibri"/>
          <w:sz w:val="28"/>
        </w:rPr>
        <w:sectPr>
          <w:pgSz w:w="9640" w:h="13890"/>
          <w:pgMar w:top="116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7"/>
        </w:rPr>
      </w:pPr>
    </w:p>
    <w:p>
      <w:pPr>
        <w:spacing w:before="57"/>
        <w:ind w:left="117" w:right="0" w:firstLine="0"/>
        <w:jc w:val="left"/>
        <w:rPr>
          <w:rFonts w:ascii="Arial" w:hAnsi="Arial"/>
          <w:i/>
          <w:sz w:val="21"/>
        </w:rPr>
      </w:pPr>
      <w:r>
        <w:rPr>
          <w:rFonts w:ascii="Arial" w:hAnsi="Arial"/>
          <w:i/>
          <w:color w:val="231F20"/>
          <w:sz w:val="21"/>
        </w:rPr>
        <w:t>Soberanía y Estado</w:t>
      </w:r>
    </w:p>
    <w:p>
      <w:pPr>
        <w:pStyle w:val="BodyText"/>
        <w:rPr>
          <w:rFonts w:ascii="Arial"/>
          <w:i/>
          <w:sz w:val="20"/>
        </w:rPr>
      </w:pPr>
    </w:p>
    <w:p>
      <w:pPr>
        <w:pStyle w:val="BodyText"/>
        <w:spacing w:line="247" w:lineRule="auto" w:before="172"/>
        <w:ind w:left="1180" w:right="101"/>
        <w:jc w:val="both"/>
      </w:pPr>
      <w:r>
        <w:rPr/>
        <w:pict>
          <v:shape style="position:absolute;margin-left:82.218903pt;margin-top:19.580740pt;width:31.2pt;height:51pt;mso-position-horizontal-relative:page;mso-position-vertical-relative:paragraph;z-index:2752"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rPr>
        <w:t>n la época de la globalización la soberanía parece abandonar</w:t>
      </w:r>
      <w:r>
        <w:rPr>
          <w:color w:val="231F20"/>
          <w:spacing w:val="-13"/>
        </w:rPr>
        <w:t> </w:t>
      </w:r>
      <w:r>
        <w:rPr>
          <w:color w:val="231F20"/>
        </w:rPr>
        <w:t>al Estado. La que le había sido atribuida como una característica fundamental y necesaria, pues se somete a una redefinición constante gracias a la cual es reconocida más o menos</w:t>
      </w:r>
      <w:r>
        <w:rPr>
          <w:color w:val="231F20"/>
          <w:spacing w:val="-28"/>
        </w:rPr>
        <w:t> </w:t>
      </w:r>
      <w:r>
        <w:rPr>
          <w:color w:val="231F20"/>
        </w:rPr>
        <w:t>abierta- mente como una pluralidad de sujetos diferentes del   </w:t>
      </w:r>
      <w:r>
        <w:rPr>
          <w:color w:val="231F20"/>
          <w:spacing w:val="26"/>
        </w:rPr>
        <w:t> </w:t>
      </w:r>
      <w:r>
        <w:rPr>
          <w:color w:val="231F20"/>
        </w:rPr>
        <w:t>Estado.</w:t>
      </w:r>
    </w:p>
    <w:p>
      <w:pPr>
        <w:pStyle w:val="BodyText"/>
        <w:spacing w:line="247" w:lineRule="auto"/>
        <w:ind w:left="117" w:right="101"/>
        <w:jc w:val="both"/>
      </w:pP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pone</w:t>
      </w:r>
      <w:r>
        <w:rPr>
          <w:color w:val="231F20"/>
          <w:spacing w:val="-8"/>
          <w:w w:val="105"/>
        </w:rPr>
        <w:t> </w:t>
      </w:r>
      <w:r>
        <w:rPr>
          <w:color w:val="231F20"/>
          <w:w w:val="105"/>
        </w:rPr>
        <w:t>en</w:t>
      </w:r>
      <w:r>
        <w:rPr>
          <w:color w:val="231F20"/>
          <w:spacing w:val="-8"/>
          <w:w w:val="105"/>
        </w:rPr>
        <w:t> </w:t>
      </w:r>
      <w:r>
        <w:rPr>
          <w:color w:val="231F20"/>
          <w:w w:val="105"/>
        </w:rPr>
        <w:t>discusión</w:t>
      </w:r>
      <w:r>
        <w:rPr>
          <w:color w:val="231F20"/>
          <w:spacing w:val="-8"/>
          <w:w w:val="105"/>
        </w:rPr>
        <w:t> </w:t>
      </w:r>
      <w:r>
        <w:rPr>
          <w:color w:val="231F20"/>
          <w:w w:val="105"/>
        </w:rPr>
        <w:t>no</w:t>
      </w:r>
      <w:r>
        <w:rPr>
          <w:color w:val="231F20"/>
          <w:spacing w:val="-8"/>
          <w:w w:val="105"/>
        </w:rPr>
        <w:t> </w:t>
      </w:r>
      <w:r>
        <w:rPr>
          <w:color w:val="231F20"/>
          <w:w w:val="105"/>
        </w:rPr>
        <w:t>es</w:t>
      </w:r>
      <w:r>
        <w:rPr>
          <w:color w:val="231F20"/>
          <w:spacing w:val="-8"/>
          <w:w w:val="105"/>
        </w:rPr>
        <w:t> </w:t>
      </w:r>
      <w:r>
        <w:rPr>
          <w:color w:val="231F20"/>
          <w:w w:val="105"/>
        </w:rPr>
        <w:t>simplemente</w:t>
      </w:r>
      <w:r>
        <w:rPr>
          <w:color w:val="231F20"/>
          <w:spacing w:val="-8"/>
          <w:w w:val="105"/>
        </w:rPr>
        <w:t> </w:t>
      </w:r>
      <w:r>
        <w:rPr>
          <w:color w:val="231F20"/>
          <w:w w:val="105"/>
        </w:rPr>
        <w:t>el</w:t>
      </w:r>
      <w:r>
        <w:rPr>
          <w:color w:val="231F20"/>
          <w:spacing w:val="-8"/>
          <w:w w:val="105"/>
        </w:rPr>
        <w:t> </w:t>
      </w:r>
      <w:r>
        <w:rPr>
          <w:color w:val="231F20"/>
          <w:w w:val="105"/>
        </w:rPr>
        <w:t>papel</w:t>
      </w:r>
      <w:r>
        <w:rPr>
          <w:color w:val="231F20"/>
          <w:spacing w:val="-8"/>
          <w:w w:val="105"/>
        </w:rPr>
        <w:t> </w:t>
      </w:r>
      <w:r>
        <w:rPr>
          <w:color w:val="231F20"/>
          <w:w w:val="105"/>
        </w:rPr>
        <w:t>de</w:t>
      </w:r>
      <w:r>
        <w:rPr>
          <w:color w:val="231F20"/>
          <w:spacing w:val="-8"/>
          <w:w w:val="105"/>
        </w:rPr>
        <w:t> </w:t>
      </w:r>
      <w:r>
        <w:rPr>
          <w:color w:val="231F20"/>
          <w:w w:val="105"/>
        </w:rPr>
        <w:t>este</w:t>
      </w:r>
      <w:r>
        <w:rPr>
          <w:color w:val="231F20"/>
          <w:spacing w:val="-8"/>
          <w:w w:val="105"/>
        </w:rPr>
        <w:t> </w:t>
      </w:r>
      <w:r>
        <w:rPr>
          <w:color w:val="231F20"/>
          <w:w w:val="105"/>
        </w:rPr>
        <w:t>último, sino</w:t>
      </w:r>
      <w:r>
        <w:rPr>
          <w:color w:val="231F20"/>
          <w:spacing w:val="-26"/>
          <w:w w:val="105"/>
        </w:rPr>
        <w:t> </w:t>
      </w:r>
      <w:r>
        <w:rPr>
          <w:color w:val="231F20"/>
          <w:w w:val="105"/>
        </w:rPr>
        <w:t>un</w:t>
      </w:r>
      <w:r>
        <w:rPr>
          <w:color w:val="231F20"/>
          <w:spacing w:val="-26"/>
          <w:w w:val="105"/>
        </w:rPr>
        <w:t> </w:t>
      </w:r>
      <w:r>
        <w:rPr>
          <w:color w:val="231F20"/>
          <w:w w:val="105"/>
        </w:rPr>
        <w:t>específico</w:t>
      </w:r>
      <w:r>
        <w:rPr>
          <w:color w:val="231F20"/>
          <w:spacing w:val="-26"/>
          <w:w w:val="105"/>
        </w:rPr>
        <w:t> </w:t>
      </w:r>
      <w:r>
        <w:rPr>
          <w:color w:val="231F20"/>
          <w:w w:val="105"/>
        </w:rPr>
        <w:t>orden</w:t>
      </w:r>
      <w:r>
        <w:rPr>
          <w:color w:val="231F20"/>
          <w:spacing w:val="-26"/>
          <w:w w:val="105"/>
        </w:rPr>
        <w:t> </w:t>
      </w:r>
      <w:r>
        <w:rPr>
          <w:color w:val="231F20"/>
          <w:w w:val="105"/>
        </w:rPr>
        <w:t>político</w:t>
      </w:r>
      <w:r>
        <w:rPr>
          <w:color w:val="231F20"/>
          <w:spacing w:val="-26"/>
          <w:w w:val="105"/>
        </w:rPr>
        <w:t> </w:t>
      </w:r>
      <w:r>
        <w:rPr>
          <w:color w:val="231F20"/>
          <w:w w:val="105"/>
        </w:rPr>
        <w:t>que</w:t>
      </w:r>
      <w:r>
        <w:rPr>
          <w:color w:val="231F20"/>
          <w:spacing w:val="-26"/>
          <w:w w:val="105"/>
        </w:rPr>
        <w:t> </w:t>
      </w:r>
      <w:r>
        <w:rPr>
          <w:color w:val="231F20"/>
          <w:w w:val="105"/>
        </w:rPr>
        <w:t>había</w:t>
      </w:r>
      <w:r>
        <w:rPr>
          <w:color w:val="231F20"/>
          <w:spacing w:val="-26"/>
          <w:w w:val="105"/>
        </w:rPr>
        <w:t> </w:t>
      </w:r>
      <w:r>
        <w:rPr>
          <w:color w:val="231F20"/>
          <w:w w:val="105"/>
        </w:rPr>
        <w:t>encontrado</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síntesis</w:t>
      </w:r>
      <w:r>
        <w:rPr>
          <w:color w:val="231F20"/>
          <w:spacing w:val="-26"/>
          <w:w w:val="105"/>
        </w:rPr>
        <w:t> </w:t>
      </w:r>
      <w:r>
        <w:rPr>
          <w:color w:val="231F20"/>
          <w:w w:val="105"/>
        </w:rPr>
        <w:t>entre Estado</w:t>
      </w:r>
      <w:r>
        <w:rPr>
          <w:color w:val="231F20"/>
          <w:spacing w:val="-24"/>
          <w:w w:val="105"/>
        </w:rPr>
        <w:t> </w:t>
      </w:r>
      <w:r>
        <w:rPr>
          <w:color w:val="231F20"/>
          <w:w w:val="105"/>
        </w:rPr>
        <w:t>y</w:t>
      </w:r>
      <w:r>
        <w:rPr>
          <w:color w:val="231F20"/>
          <w:spacing w:val="-24"/>
          <w:w w:val="105"/>
        </w:rPr>
        <w:t> </w:t>
      </w:r>
      <w:r>
        <w:rPr>
          <w:color w:val="231F20"/>
          <w:w w:val="105"/>
        </w:rPr>
        <w:t>soberanía</w:t>
      </w:r>
      <w:r>
        <w:rPr>
          <w:color w:val="231F20"/>
          <w:spacing w:val="-24"/>
          <w:w w:val="105"/>
        </w:rPr>
        <w:t> </w:t>
      </w:r>
      <w:r>
        <w:rPr>
          <w:color w:val="231F20"/>
          <w:w w:val="105"/>
        </w:rPr>
        <w:t>su</w:t>
      </w:r>
      <w:r>
        <w:rPr>
          <w:color w:val="231F20"/>
          <w:spacing w:val="-24"/>
          <w:w w:val="105"/>
        </w:rPr>
        <w:t> </w:t>
      </w:r>
      <w:r>
        <w:rPr>
          <w:color w:val="231F20"/>
          <w:w w:val="105"/>
        </w:rPr>
        <w:t>propio</w:t>
      </w:r>
      <w:r>
        <w:rPr>
          <w:color w:val="231F20"/>
          <w:spacing w:val="-24"/>
          <w:w w:val="105"/>
        </w:rPr>
        <w:t> </w:t>
      </w:r>
      <w:r>
        <w:rPr>
          <w:color w:val="231F20"/>
          <w:w w:val="105"/>
        </w:rPr>
        <w:t>fundamento</w:t>
      </w:r>
      <w:r>
        <w:rPr>
          <w:color w:val="231F20"/>
          <w:w w:val="105"/>
          <w:position w:val="7"/>
          <w:sz w:val="12"/>
        </w:rPr>
        <w:t>1</w:t>
      </w:r>
      <w:r>
        <w:rPr>
          <w:color w:val="231F20"/>
          <w:w w:val="105"/>
        </w:rPr>
        <w:t>.</w:t>
      </w:r>
      <w:r>
        <w:rPr>
          <w:color w:val="231F20"/>
          <w:spacing w:val="-24"/>
          <w:w w:val="105"/>
        </w:rPr>
        <w:t> </w:t>
      </w:r>
      <w:r>
        <w:rPr>
          <w:color w:val="231F20"/>
          <w:w w:val="105"/>
        </w:rPr>
        <w:t>El</w:t>
      </w:r>
      <w:r>
        <w:rPr>
          <w:color w:val="231F20"/>
          <w:spacing w:val="-24"/>
          <w:w w:val="105"/>
        </w:rPr>
        <w:t> </w:t>
      </w:r>
      <w:r>
        <w:rPr>
          <w:color w:val="231F20"/>
          <w:w w:val="105"/>
        </w:rPr>
        <w:t>orden</w:t>
      </w:r>
      <w:r>
        <w:rPr>
          <w:color w:val="231F20"/>
          <w:spacing w:val="-24"/>
          <w:w w:val="105"/>
        </w:rPr>
        <w:t> </w:t>
      </w:r>
      <w:r>
        <w:rPr>
          <w:color w:val="231F20"/>
          <w:w w:val="105"/>
        </w:rPr>
        <w:t>soberano</w:t>
      </w:r>
      <w:r>
        <w:rPr>
          <w:color w:val="231F20"/>
          <w:spacing w:val="-24"/>
          <w:w w:val="105"/>
        </w:rPr>
        <w:t> </w:t>
      </w:r>
      <w:r>
        <w:rPr>
          <w:color w:val="231F20"/>
          <w:w w:val="105"/>
        </w:rPr>
        <w:t>clásico</w:t>
      </w:r>
      <w:r>
        <w:rPr>
          <w:color w:val="231F20"/>
          <w:spacing w:val="-24"/>
          <w:w w:val="105"/>
        </w:rPr>
        <w:t> </w:t>
      </w:r>
      <w:r>
        <w:rPr>
          <w:color w:val="231F20"/>
          <w:w w:val="105"/>
        </w:rPr>
        <w:t>hoy parece</w:t>
      </w:r>
      <w:r>
        <w:rPr>
          <w:color w:val="231F20"/>
          <w:spacing w:val="-30"/>
          <w:w w:val="105"/>
        </w:rPr>
        <w:t> </w:t>
      </w:r>
      <w:r>
        <w:rPr>
          <w:color w:val="231F20"/>
          <w:w w:val="105"/>
        </w:rPr>
        <w:t>incapaz</w:t>
      </w:r>
      <w:r>
        <w:rPr>
          <w:color w:val="231F20"/>
          <w:spacing w:val="-30"/>
          <w:w w:val="105"/>
        </w:rPr>
        <w:t> </w:t>
      </w:r>
      <w:r>
        <w:rPr>
          <w:color w:val="231F20"/>
          <w:w w:val="105"/>
        </w:rPr>
        <w:t>de</w:t>
      </w:r>
      <w:r>
        <w:rPr>
          <w:color w:val="231F20"/>
          <w:spacing w:val="-30"/>
          <w:w w:val="105"/>
        </w:rPr>
        <w:t> </w:t>
      </w:r>
      <w:r>
        <w:rPr>
          <w:color w:val="231F20"/>
          <w:w w:val="105"/>
        </w:rPr>
        <w:t>responder</w:t>
      </w:r>
      <w:r>
        <w:rPr>
          <w:color w:val="231F20"/>
          <w:spacing w:val="-30"/>
          <w:w w:val="105"/>
        </w:rPr>
        <w:t> </w:t>
      </w:r>
      <w:r>
        <w:rPr>
          <w:color w:val="231F20"/>
          <w:w w:val="105"/>
        </w:rPr>
        <w:t>al</w:t>
      </w:r>
      <w:r>
        <w:rPr>
          <w:color w:val="231F20"/>
          <w:spacing w:val="-30"/>
          <w:w w:val="105"/>
        </w:rPr>
        <w:t> </w:t>
      </w:r>
      <w:r>
        <w:rPr>
          <w:color w:val="231F20"/>
          <w:w w:val="105"/>
        </w:rPr>
        <w:t>reto</w:t>
      </w:r>
      <w:r>
        <w:rPr>
          <w:color w:val="231F20"/>
          <w:spacing w:val="-30"/>
          <w:w w:val="105"/>
        </w:rPr>
        <w:t> </w:t>
      </w:r>
      <w:r>
        <w:rPr>
          <w:color w:val="231F20"/>
          <w:w w:val="105"/>
        </w:rPr>
        <w:t>de</w:t>
      </w:r>
      <w:r>
        <w:rPr>
          <w:color w:val="231F20"/>
          <w:spacing w:val="-30"/>
          <w:w w:val="105"/>
        </w:rPr>
        <w:t> </w:t>
      </w:r>
      <w:r>
        <w:rPr>
          <w:color w:val="231F20"/>
          <w:w w:val="105"/>
        </w:rPr>
        <w:t>una</w:t>
      </w:r>
      <w:r>
        <w:rPr>
          <w:color w:val="231F20"/>
          <w:spacing w:val="-30"/>
          <w:w w:val="105"/>
        </w:rPr>
        <w:t> </w:t>
      </w:r>
      <w:r>
        <w:rPr>
          <w:color w:val="231F20"/>
          <w:w w:val="105"/>
        </w:rPr>
        <w:t>pluralidad</w:t>
      </w:r>
      <w:r>
        <w:rPr>
          <w:color w:val="231F20"/>
          <w:spacing w:val="-30"/>
          <w:w w:val="105"/>
        </w:rPr>
        <w:t> </w:t>
      </w:r>
      <w:r>
        <w:rPr>
          <w:color w:val="231F20"/>
          <w:w w:val="105"/>
        </w:rPr>
        <w:t>de</w:t>
      </w:r>
      <w:r>
        <w:rPr>
          <w:color w:val="231F20"/>
          <w:spacing w:val="-30"/>
          <w:w w:val="105"/>
        </w:rPr>
        <w:t> </w:t>
      </w:r>
      <w:r>
        <w:rPr>
          <w:color w:val="231F20"/>
          <w:w w:val="105"/>
        </w:rPr>
        <w:t>fuentes</w:t>
      </w:r>
      <w:r>
        <w:rPr>
          <w:color w:val="231F20"/>
          <w:spacing w:val="-30"/>
          <w:w w:val="105"/>
        </w:rPr>
        <w:t> </w:t>
      </w:r>
      <w:r>
        <w:rPr>
          <w:color w:val="231F20"/>
          <w:w w:val="105"/>
        </w:rPr>
        <w:t>normati- vas,</w:t>
      </w:r>
      <w:r>
        <w:rPr>
          <w:color w:val="231F20"/>
          <w:spacing w:val="-34"/>
          <w:w w:val="105"/>
        </w:rPr>
        <w:t> </w:t>
      </w:r>
      <w:r>
        <w:rPr>
          <w:color w:val="231F20"/>
          <w:w w:val="105"/>
        </w:rPr>
        <w:t>poniendo</w:t>
      </w:r>
      <w:r>
        <w:rPr>
          <w:color w:val="231F20"/>
          <w:spacing w:val="-34"/>
          <w:w w:val="105"/>
        </w:rPr>
        <w:t> </w:t>
      </w:r>
      <w:r>
        <w:rPr>
          <w:color w:val="231F20"/>
          <w:w w:val="105"/>
        </w:rPr>
        <w:t>en</w:t>
      </w:r>
      <w:r>
        <w:rPr>
          <w:color w:val="231F20"/>
          <w:spacing w:val="-34"/>
          <w:w w:val="105"/>
        </w:rPr>
        <w:t> </w:t>
      </w:r>
      <w:r>
        <w:rPr>
          <w:color w:val="231F20"/>
          <w:w w:val="105"/>
        </w:rPr>
        <w:t>discusión</w:t>
      </w:r>
      <w:r>
        <w:rPr>
          <w:color w:val="231F20"/>
          <w:spacing w:val="-34"/>
          <w:w w:val="105"/>
        </w:rPr>
        <w:t> </w:t>
      </w:r>
      <w:r>
        <w:rPr>
          <w:color w:val="231F20"/>
          <w:w w:val="105"/>
        </w:rPr>
        <w:t>la</w:t>
      </w:r>
      <w:r>
        <w:rPr>
          <w:color w:val="231F20"/>
          <w:spacing w:val="-34"/>
          <w:w w:val="105"/>
        </w:rPr>
        <w:t> </w:t>
      </w:r>
      <w:r>
        <w:rPr>
          <w:color w:val="231F20"/>
          <w:w w:val="105"/>
        </w:rPr>
        <w:t>propia</w:t>
      </w:r>
      <w:r>
        <w:rPr>
          <w:color w:val="231F20"/>
          <w:spacing w:val="-34"/>
          <w:w w:val="105"/>
        </w:rPr>
        <w:t> </w:t>
      </w:r>
      <w:r>
        <w:rPr>
          <w:color w:val="231F20"/>
          <w:w w:val="105"/>
        </w:rPr>
        <w:t>historia.</w:t>
      </w:r>
      <w:r>
        <w:rPr>
          <w:color w:val="231F20"/>
          <w:spacing w:val="-34"/>
          <w:w w:val="105"/>
        </w:rPr>
        <w:t> </w:t>
      </w:r>
      <w:r>
        <w:rPr>
          <w:color w:val="231F20"/>
          <w:w w:val="105"/>
        </w:rPr>
        <w:t>El</w:t>
      </w:r>
      <w:r>
        <w:rPr>
          <w:color w:val="231F20"/>
          <w:spacing w:val="-34"/>
          <w:w w:val="105"/>
        </w:rPr>
        <w:t> </w:t>
      </w:r>
      <w:r>
        <w:rPr>
          <w:color w:val="231F20"/>
          <w:w w:val="105"/>
        </w:rPr>
        <w:t>Estado,</w:t>
      </w:r>
      <w:r>
        <w:rPr>
          <w:color w:val="231F20"/>
          <w:spacing w:val="-34"/>
          <w:w w:val="105"/>
        </w:rPr>
        <w:t> </w:t>
      </w:r>
      <w:r>
        <w:rPr>
          <w:color w:val="231F20"/>
          <w:w w:val="105"/>
        </w:rPr>
        <w:t>en</w:t>
      </w:r>
      <w:r>
        <w:rPr>
          <w:color w:val="231F20"/>
          <w:spacing w:val="-34"/>
          <w:w w:val="105"/>
        </w:rPr>
        <w:t> </w:t>
      </w:r>
      <w:r>
        <w:rPr>
          <w:color w:val="231F20"/>
          <w:w w:val="105"/>
        </w:rPr>
        <w:t>efecto,</w:t>
      </w:r>
      <w:r>
        <w:rPr>
          <w:color w:val="231F20"/>
          <w:spacing w:val="-34"/>
          <w:w w:val="105"/>
        </w:rPr>
        <w:t> </w:t>
      </w:r>
      <w:r>
        <w:rPr>
          <w:color w:val="231F20"/>
          <w:w w:val="105"/>
        </w:rPr>
        <w:t>ha</w:t>
      </w:r>
      <w:r>
        <w:rPr>
          <w:color w:val="231F20"/>
          <w:spacing w:val="-34"/>
          <w:w w:val="105"/>
        </w:rPr>
        <w:t> </w:t>
      </w:r>
      <w:r>
        <w:rPr>
          <w:color w:val="231F20"/>
          <w:w w:val="105"/>
        </w:rPr>
        <w:t>podi- do apropiarse de la soberanía, afirmándose como único factor de</w:t>
      </w:r>
      <w:r>
        <w:rPr>
          <w:color w:val="231F20"/>
          <w:spacing w:val="-48"/>
          <w:w w:val="105"/>
        </w:rPr>
        <w:t> </w:t>
      </w:r>
      <w:r>
        <w:rPr>
          <w:color w:val="231F20"/>
          <w:w w:val="105"/>
        </w:rPr>
        <w:t>orden capaz</w:t>
      </w:r>
      <w:r>
        <w:rPr>
          <w:color w:val="231F20"/>
          <w:spacing w:val="-25"/>
          <w:w w:val="105"/>
        </w:rPr>
        <w:t> </w:t>
      </w:r>
      <w:r>
        <w:rPr>
          <w:color w:val="231F20"/>
          <w:w w:val="105"/>
        </w:rPr>
        <w:t>de</w:t>
      </w:r>
      <w:r>
        <w:rPr>
          <w:color w:val="231F20"/>
          <w:spacing w:val="-25"/>
          <w:w w:val="105"/>
        </w:rPr>
        <w:t> </w:t>
      </w:r>
      <w:r>
        <w:rPr>
          <w:color w:val="231F20"/>
          <w:w w:val="105"/>
        </w:rPr>
        <w:t>colmar</w:t>
      </w:r>
      <w:r>
        <w:rPr>
          <w:color w:val="231F20"/>
          <w:spacing w:val="-25"/>
          <w:w w:val="105"/>
        </w:rPr>
        <w:t> </w:t>
      </w:r>
      <w:r>
        <w:rPr>
          <w:color w:val="231F20"/>
          <w:w w:val="105"/>
        </w:rPr>
        <w:t>el</w:t>
      </w:r>
      <w:r>
        <w:rPr>
          <w:color w:val="231F20"/>
          <w:spacing w:val="-25"/>
          <w:w w:val="105"/>
        </w:rPr>
        <w:t> </w:t>
      </w:r>
      <w:r>
        <w:rPr>
          <w:color w:val="231F20"/>
          <w:w w:val="105"/>
        </w:rPr>
        <w:t>“vacío</w:t>
      </w:r>
      <w:r>
        <w:rPr>
          <w:color w:val="231F20"/>
          <w:spacing w:val="-25"/>
          <w:w w:val="105"/>
        </w:rPr>
        <w:t> </w:t>
      </w:r>
      <w:r>
        <w:rPr>
          <w:color w:val="231F20"/>
          <w:w w:val="105"/>
        </w:rPr>
        <w:t>normativo”</w:t>
      </w:r>
      <w:r>
        <w:rPr>
          <w:color w:val="231F20"/>
          <w:spacing w:val="-25"/>
          <w:w w:val="105"/>
        </w:rPr>
        <w:t> </w:t>
      </w:r>
      <w:r>
        <w:rPr>
          <w:color w:val="231F20"/>
          <w:w w:val="105"/>
        </w:rPr>
        <w:t>que</w:t>
      </w:r>
      <w:r>
        <w:rPr>
          <w:color w:val="231F20"/>
          <w:spacing w:val="-25"/>
          <w:w w:val="105"/>
        </w:rPr>
        <w:t> </w:t>
      </w:r>
      <w:r>
        <w:rPr>
          <w:color w:val="231F20"/>
          <w:w w:val="105"/>
        </w:rPr>
        <w:t>de</w:t>
      </w:r>
      <w:r>
        <w:rPr>
          <w:color w:val="231F20"/>
          <w:spacing w:val="-25"/>
          <w:w w:val="105"/>
        </w:rPr>
        <w:t> </w:t>
      </w:r>
      <w:r>
        <w:rPr>
          <w:color w:val="231F20"/>
          <w:w w:val="105"/>
        </w:rPr>
        <w:t>otra</w:t>
      </w:r>
      <w:r>
        <w:rPr>
          <w:color w:val="231F20"/>
          <w:spacing w:val="-25"/>
          <w:w w:val="105"/>
        </w:rPr>
        <w:t> </w:t>
      </w:r>
      <w:r>
        <w:rPr>
          <w:color w:val="231F20"/>
          <w:w w:val="105"/>
        </w:rPr>
        <w:t>manera</w:t>
      </w:r>
      <w:r>
        <w:rPr>
          <w:color w:val="231F20"/>
          <w:spacing w:val="-25"/>
          <w:w w:val="105"/>
        </w:rPr>
        <w:t> </w:t>
      </w:r>
      <w:r>
        <w:rPr>
          <w:color w:val="231F20"/>
          <w:w w:val="105"/>
        </w:rPr>
        <w:t>parecía</w:t>
      </w:r>
      <w:r>
        <w:rPr>
          <w:color w:val="231F20"/>
          <w:spacing w:val="-25"/>
          <w:w w:val="105"/>
        </w:rPr>
        <w:t> </w:t>
      </w:r>
      <w:r>
        <w:rPr>
          <w:color w:val="231F20"/>
          <w:w w:val="105"/>
        </w:rPr>
        <w:t>amena- zar</w:t>
      </w:r>
      <w:r>
        <w:rPr>
          <w:color w:val="231F20"/>
          <w:spacing w:val="-15"/>
          <w:w w:val="105"/>
        </w:rPr>
        <w:t> </w:t>
      </w:r>
      <w:r>
        <w:rPr>
          <w:color w:val="231F20"/>
          <w:w w:val="105"/>
        </w:rPr>
        <w:t>las</w:t>
      </w:r>
      <w:r>
        <w:rPr>
          <w:color w:val="231F20"/>
          <w:spacing w:val="-15"/>
          <w:w w:val="105"/>
        </w:rPr>
        <w:t> </w:t>
      </w:r>
      <w:r>
        <w:rPr>
          <w:color w:val="231F20"/>
          <w:w w:val="105"/>
        </w:rPr>
        <w:t>relaciones</w:t>
      </w:r>
      <w:r>
        <w:rPr>
          <w:color w:val="231F20"/>
          <w:spacing w:val="-15"/>
          <w:w w:val="105"/>
        </w:rPr>
        <w:t> </w:t>
      </w:r>
      <w:r>
        <w:rPr>
          <w:color w:val="231F20"/>
          <w:w w:val="105"/>
        </w:rPr>
        <w:t>públicas.</w:t>
      </w:r>
      <w:r>
        <w:rPr>
          <w:color w:val="231F20"/>
          <w:spacing w:val="-15"/>
          <w:w w:val="105"/>
        </w:rPr>
        <w:t> </w:t>
      </w:r>
      <w:r>
        <w:rPr>
          <w:color w:val="231F20"/>
          <w:w w:val="105"/>
        </w:rPr>
        <w:t>Éste</w:t>
      </w:r>
      <w:r>
        <w:rPr>
          <w:color w:val="231F20"/>
          <w:spacing w:val="-15"/>
          <w:w w:val="105"/>
        </w:rPr>
        <w:t> </w:t>
      </w:r>
      <w:r>
        <w:rPr>
          <w:color w:val="231F20"/>
          <w:w w:val="105"/>
        </w:rPr>
        <w:t>era</w:t>
      </w:r>
      <w:r>
        <w:rPr>
          <w:color w:val="231F20"/>
          <w:spacing w:val="-15"/>
          <w:w w:val="105"/>
        </w:rPr>
        <w:t> </w:t>
      </w:r>
      <w:r>
        <w:rPr>
          <w:color w:val="231F20"/>
          <w:w w:val="105"/>
        </w:rPr>
        <w:t>el</w:t>
      </w:r>
      <w:r>
        <w:rPr>
          <w:color w:val="231F20"/>
          <w:spacing w:val="-15"/>
          <w:w w:val="105"/>
        </w:rPr>
        <w:t> </w:t>
      </w:r>
      <w:r>
        <w:rPr>
          <w:color w:val="231F20"/>
          <w:w w:val="105"/>
        </w:rPr>
        <w:t>único</w:t>
      </w:r>
      <w:r>
        <w:rPr>
          <w:color w:val="231F20"/>
          <w:spacing w:val="-15"/>
          <w:w w:val="105"/>
        </w:rPr>
        <w:t> </w:t>
      </w:r>
      <w:r>
        <w:rPr>
          <w:color w:val="231F20"/>
          <w:w w:val="105"/>
        </w:rPr>
        <w:t>garante</w:t>
      </w:r>
      <w:r>
        <w:rPr>
          <w:color w:val="231F20"/>
          <w:spacing w:val="-15"/>
          <w:w w:val="105"/>
        </w:rPr>
        <w:t> </w:t>
      </w:r>
      <w:r>
        <w:rPr>
          <w:color w:val="231F20"/>
          <w:w w:val="105"/>
        </w:rPr>
        <w:t>de</w:t>
      </w:r>
      <w:r>
        <w:rPr>
          <w:color w:val="231F20"/>
          <w:spacing w:val="-15"/>
          <w:w w:val="105"/>
        </w:rPr>
        <w:t> </w:t>
      </w:r>
      <w:r>
        <w:rPr>
          <w:color w:val="231F20"/>
          <w:w w:val="105"/>
        </w:rPr>
        <w:t>un</w:t>
      </w:r>
      <w:r>
        <w:rPr>
          <w:color w:val="231F20"/>
          <w:spacing w:val="-15"/>
          <w:w w:val="105"/>
        </w:rPr>
        <w:t> </w:t>
      </w:r>
      <w:r>
        <w:rPr>
          <w:color w:val="231F20"/>
          <w:w w:val="105"/>
        </w:rPr>
        <w:t>orden</w:t>
      </w:r>
      <w:r>
        <w:rPr>
          <w:color w:val="231F20"/>
          <w:spacing w:val="-15"/>
          <w:w w:val="105"/>
        </w:rPr>
        <w:t> </w:t>
      </w:r>
      <w:r>
        <w:rPr>
          <w:color w:val="231F20"/>
          <w:w w:val="105"/>
        </w:rPr>
        <w:t>de</w:t>
      </w:r>
      <w:r>
        <w:rPr>
          <w:color w:val="231F20"/>
          <w:spacing w:val="-15"/>
          <w:w w:val="105"/>
        </w:rPr>
        <w:t> </w:t>
      </w:r>
      <w:r>
        <w:rPr>
          <w:color w:val="231F20"/>
          <w:w w:val="105"/>
        </w:rPr>
        <w:t>otra manera</w:t>
      </w:r>
      <w:r>
        <w:rPr>
          <w:color w:val="231F20"/>
          <w:spacing w:val="-27"/>
          <w:w w:val="105"/>
        </w:rPr>
        <w:t> </w:t>
      </w:r>
      <w:r>
        <w:rPr>
          <w:color w:val="231F20"/>
          <w:w w:val="105"/>
        </w:rPr>
        <w:t>inexistente</w:t>
      </w:r>
      <w:r>
        <w:rPr>
          <w:color w:val="231F20"/>
          <w:spacing w:val="-27"/>
          <w:w w:val="105"/>
        </w:rPr>
        <w:t> </w:t>
      </w:r>
      <w:r>
        <w:rPr>
          <w:color w:val="231F20"/>
          <w:w w:val="105"/>
        </w:rPr>
        <w:t>y</w:t>
      </w:r>
      <w:r>
        <w:rPr>
          <w:color w:val="231F20"/>
          <w:spacing w:val="-27"/>
          <w:w w:val="105"/>
        </w:rPr>
        <w:t> </w:t>
      </w:r>
      <w:r>
        <w:rPr>
          <w:color w:val="231F20"/>
          <w:w w:val="105"/>
        </w:rPr>
        <w:t>la</w:t>
      </w:r>
      <w:r>
        <w:rPr>
          <w:color w:val="231F20"/>
          <w:spacing w:val="-27"/>
          <w:w w:val="105"/>
        </w:rPr>
        <w:t> </w:t>
      </w:r>
      <w:r>
        <w:rPr>
          <w:color w:val="231F20"/>
          <w:w w:val="105"/>
        </w:rPr>
        <w:t>soberanía</w:t>
      </w:r>
      <w:r>
        <w:rPr>
          <w:color w:val="231F20"/>
          <w:spacing w:val="-27"/>
          <w:w w:val="105"/>
        </w:rPr>
        <w:t> </w:t>
      </w:r>
      <w:r>
        <w:rPr>
          <w:color w:val="231F20"/>
          <w:w w:val="105"/>
        </w:rPr>
        <w:t>reasumía</w:t>
      </w:r>
      <w:r>
        <w:rPr>
          <w:color w:val="231F20"/>
          <w:spacing w:val="-27"/>
          <w:w w:val="105"/>
        </w:rPr>
        <w:t> </w:t>
      </w:r>
      <w:r>
        <w:rPr>
          <w:color w:val="231F20"/>
          <w:w w:val="105"/>
        </w:rPr>
        <w:t>las</w:t>
      </w:r>
      <w:r>
        <w:rPr>
          <w:color w:val="231F20"/>
          <w:spacing w:val="-27"/>
          <w:w w:val="105"/>
        </w:rPr>
        <w:t> </w:t>
      </w:r>
      <w:r>
        <w:rPr>
          <w:color w:val="231F20"/>
          <w:w w:val="105"/>
        </w:rPr>
        <w:t>condiciones</w:t>
      </w:r>
      <w:r>
        <w:rPr>
          <w:color w:val="231F20"/>
          <w:spacing w:val="-27"/>
          <w:w w:val="105"/>
        </w:rPr>
        <w:t> </w:t>
      </w:r>
      <w:r>
        <w:rPr>
          <w:color w:val="231F20"/>
          <w:w w:val="105"/>
        </w:rPr>
        <w:t>de</w:t>
      </w:r>
      <w:r>
        <w:rPr>
          <w:color w:val="231F20"/>
          <w:spacing w:val="-27"/>
          <w:w w:val="105"/>
        </w:rPr>
        <w:t> </w:t>
      </w:r>
      <w:r>
        <w:rPr>
          <w:color w:val="231F20"/>
          <w:w w:val="105"/>
        </w:rPr>
        <w:t>posibilidad de</w:t>
      </w:r>
      <w:r>
        <w:rPr>
          <w:color w:val="231F20"/>
          <w:spacing w:val="-25"/>
          <w:w w:val="105"/>
        </w:rPr>
        <w:t> </w:t>
      </w:r>
      <w:r>
        <w:rPr>
          <w:color w:val="231F20"/>
          <w:w w:val="105"/>
        </w:rPr>
        <w:t>ese</w:t>
      </w:r>
      <w:r>
        <w:rPr>
          <w:color w:val="231F20"/>
          <w:spacing w:val="-25"/>
          <w:w w:val="105"/>
        </w:rPr>
        <w:t> </w:t>
      </w:r>
      <w:r>
        <w:rPr>
          <w:color w:val="231F20"/>
          <w:w w:val="105"/>
        </w:rPr>
        <w:t>orden.</w:t>
      </w:r>
      <w:r>
        <w:rPr>
          <w:color w:val="231F20"/>
          <w:spacing w:val="-25"/>
          <w:w w:val="105"/>
        </w:rPr>
        <w:t> </w:t>
      </w:r>
      <w:r>
        <w:rPr>
          <w:color w:val="231F20"/>
          <w:w w:val="105"/>
        </w:rPr>
        <w:t>La</w:t>
      </w:r>
      <w:r>
        <w:rPr>
          <w:color w:val="231F20"/>
          <w:spacing w:val="-25"/>
          <w:w w:val="105"/>
        </w:rPr>
        <w:t> </w:t>
      </w:r>
      <w:r>
        <w:rPr>
          <w:color w:val="231F20"/>
          <w:w w:val="105"/>
        </w:rPr>
        <w:t>tendencia</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w w:val="105"/>
        </w:rPr>
        <w:t>separación</w:t>
      </w:r>
      <w:r>
        <w:rPr>
          <w:color w:val="231F20"/>
          <w:spacing w:val="-25"/>
          <w:w w:val="105"/>
        </w:rPr>
        <w:t> </w:t>
      </w:r>
      <w:r>
        <w:rPr>
          <w:color w:val="231F20"/>
          <w:w w:val="105"/>
        </w:rPr>
        <w:t>entre</w:t>
      </w:r>
      <w:r>
        <w:rPr>
          <w:color w:val="231F20"/>
          <w:spacing w:val="-25"/>
          <w:w w:val="105"/>
        </w:rPr>
        <w:t> </w:t>
      </w:r>
      <w:r>
        <w:rPr>
          <w:color w:val="231F20"/>
          <w:w w:val="105"/>
        </w:rPr>
        <w:t>Estado</w:t>
      </w:r>
      <w:r>
        <w:rPr>
          <w:color w:val="231F20"/>
          <w:spacing w:val="-25"/>
          <w:w w:val="105"/>
        </w:rPr>
        <w:t> </w:t>
      </w:r>
      <w:r>
        <w:rPr>
          <w:color w:val="231F20"/>
          <w:w w:val="105"/>
        </w:rPr>
        <w:t>y</w:t>
      </w:r>
      <w:r>
        <w:rPr>
          <w:color w:val="231F20"/>
          <w:spacing w:val="-25"/>
          <w:w w:val="105"/>
        </w:rPr>
        <w:t> </w:t>
      </w:r>
      <w:r>
        <w:rPr>
          <w:color w:val="231F20"/>
          <w:w w:val="105"/>
        </w:rPr>
        <w:t>soberanía</w:t>
      </w:r>
      <w:r>
        <w:rPr>
          <w:color w:val="231F20"/>
          <w:spacing w:val="-25"/>
          <w:w w:val="105"/>
        </w:rPr>
        <w:t> </w:t>
      </w:r>
      <w:r>
        <w:rPr>
          <w:color w:val="231F20"/>
          <w:w w:val="105"/>
        </w:rPr>
        <w:t>pone en</w:t>
      </w:r>
      <w:r>
        <w:rPr>
          <w:color w:val="231F20"/>
          <w:spacing w:val="-39"/>
          <w:w w:val="105"/>
        </w:rPr>
        <w:t> </w:t>
      </w:r>
      <w:r>
        <w:rPr>
          <w:color w:val="231F20"/>
          <w:w w:val="105"/>
        </w:rPr>
        <w:t>discusión</w:t>
      </w:r>
      <w:r>
        <w:rPr>
          <w:color w:val="231F20"/>
          <w:spacing w:val="-39"/>
          <w:w w:val="105"/>
        </w:rPr>
        <w:t> </w:t>
      </w:r>
      <w:r>
        <w:rPr>
          <w:color w:val="231F20"/>
          <w:w w:val="105"/>
        </w:rPr>
        <w:t>la</w:t>
      </w:r>
      <w:r>
        <w:rPr>
          <w:color w:val="231F20"/>
          <w:spacing w:val="-39"/>
          <w:w w:val="105"/>
        </w:rPr>
        <w:t> </w:t>
      </w:r>
      <w:r>
        <w:rPr>
          <w:color w:val="231F20"/>
          <w:w w:val="105"/>
        </w:rPr>
        <w:t>pretensión</w:t>
      </w:r>
      <w:r>
        <w:rPr>
          <w:color w:val="231F20"/>
          <w:spacing w:val="-39"/>
          <w:w w:val="105"/>
        </w:rPr>
        <w:t> </w:t>
      </w:r>
      <w:r>
        <w:rPr>
          <w:color w:val="231F20"/>
          <w:w w:val="105"/>
        </w:rPr>
        <w:t>de</w:t>
      </w:r>
      <w:r>
        <w:rPr>
          <w:color w:val="231F20"/>
          <w:spacing w:val="-39"/>
          <w:w w:val="105"/>
        </w:rPr>
        <w:t> </w:t>
      </w:r>
      <w:r>
        <w:rPr>
          <w:color w:val="231F20"/>
          <w:w w:val="105"/>
        </w:rPr>
        <w:t>fundar</w:t>
      </w:r>
      <w:r>
        <w:rPr>
          <w:color w:val="231F20"/>
          <w:spacing w:val="-39"/>
          <w:w w:val="105"/>
        </w:rPr>
        <w:t> </w:t>
      </w:r>
      <w:r>
        <w:rPr>
          <w:color w:val="231F20"/>
          <w:w w:val="105"/>
        </w:rPr>
        <w:t>un</w:t>
      </w:r>
      <w:r>
        <w:rPr>
          <w:color w:val="231F20"/>
          <w:spacing w:val="-39"/>
          <w:w w:val="105"/>
        </w:rPr>
        <w:t> </w:t>
      </w:r>
      <w:r>
        <w:rPr>
          <w:color w:val="231F20"/>
          <w:w w:val="105"/>
        </w:rPr>
        <w:t>orden</w:t>
      </w:r>
      <w:r>
        <w:rPr>
          <w:color w:val="231F20"/>
          <w:spacing w:val="-39"/>
          <w:w w:val="105"/>
        </w:rPr>
        <w:t> </w:t>
      </w:r>
      <w:r>
        <w:rPr>
          <w:color w:val="231F20"/>
          <w:w w:val="105"/>
        </w:rPr>
        <w:t>racional</w:t>
      </w:r>
      <w:r>
        <w:rPr>
          <w:color w:val="231F20"/>
          <w:spacing w:val="-39"/>
          <w:w w:val="105"/>
        </w:rPr>
        <w:t> </w:t>
      </w:r>
      <w:r>
        <w:rPr>
          <w:color w:val="231F20"/>
          <w:w w:val="105"/>
        </w:rPr>
        <w:t>potencialmente</w:t>
      </w:r>
      <w:r>
        <w:rPr>
          <w:color w:val="231F20"/>
          <w:spacing w:val="-39"/>
          <w:w w:val="105"/>
        </w:rPr>
        <w:t> </w:t>
      </w:r>
      <w:r>
        <w:rPr>
          <w:color w:val="231F20"/>
          <w:w w:val="105"/>
        </w:rPr>
        <w:t>uni- versal</w:t>
      </w:r>
      <w:r>
        <w:rPr>
          <w:color w:val="231F20"/>
          <w:w w:val="105"/>
          <w:position w:val="7"/>
          <w:sz w:val="12"/>
        </w:rPr>
        <w:t>2</w:t>
      </w:r>
      <w:r>
        <w:rPr>
          <w:color w:val="231F20"/>
          <w:w w:val="105"/>
        </w:rPr>
        <w:t>.</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interior</w:t>
      </w:r>
      <w:r>
        <w:rPr>
          <w:color w:val="231F20"/>
          <w:spacing w:val="-5"/>
          <w:w w:val="105"/>
        </w:rPr>
        <w:t> </w:t>
      </w:r>
      <w:r>
        <w:rPr>
          <w:color w:val="231F20"/>
          <w:w w:val="105"/>
        </w:rPr>
        <w:t>de</w:t>
      </w:r>
      <w:r>
        <w:rPr>
          <w:color w:val="231F20"/>
          <w:spacing w:val="-5"/>
          <w:w w:val="105"/>
        </w:rPr>
        <w:t> </w:t>
      </w:r>
      <w:r>
        <w:rPr>
          <w:color w:val="231F20"/>
          <w:w w:val="105"/>
        </w:rPr>
        <w:t>este</w:t>
      </w:r>
      <w:r>
        <w:rPr>
          <w:color w:val="231F20"/>
          <w:spacing w:val="-5"/>
          <w:w w:val="105"/>
        </w:rPr>
        <w:t> </w:t>
      </w:r>
      <w:r>
        <w:rPr>
          <w:color w:val="231F20"/>
          <w:w w:val="105"/>
        </w:rPr>
        <w:t>orden</w:t>
      </w:r>
      <w:r>
        <w:rPr>
          <w:color w:val="231F20"/>
          <w:spacing w:val="-5"/>
          <w:w w:val="105"/>
        </w:rPr>
        <w:t> </w:t>
      </w:r>
      <w:r>
        <w:rPr>
          <w:color w:val="231F20"/>
          <w:w w:val="105"/>
        </w:rPr>
        <w:t>político,</w:t>
      </w:r>
      <w:r>
        <w:rPr>
          <w:color w:val="231F20"/>
          <w:spacing w:val="-5"/>
          <w:w w:val="105"/>
        </w:rPr>
        <w:t> </w:t>
      </w:r>
      <w:r>
        <w:rPr>
          <w:color w:val="231F20"/>
          <w:w w:val="105"/>
        </w:rPr>
        <w:t>la</w:t>
      </w:r>
      <w:r>
        <w:rPr>
          <w:color w:val="231F20"/>
          <w:spacing w:val="-5"/>
          <w:w w:val="105"/>
        </w:rPr>
        <w:t> </w:t>
      </w:r>
      <w:r>
        <w:rPr>
          <w:color w:val="231F20"/>
          <w:w w:val="105"/>
        </w:rPr>
        <w:t>asunción</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soberanía tenía</w:t>
      </w:r>
      <w:r>
        <w:rPr>
          <w:color w:val="231F20"/>
          <w:spacing w:val="-30"/>
          <w:w w:val="105"/>
        </w:rPr>
        <w:t> </w:t>
      </w:r>
      <w:r>
        <w:rPr>
          <w:color w:val="231F20"/>
          <w:w w:val="105"/>
        </w:rPr>
        <w:t>un</w:t>
      </w:r>
      <w:r>
        <w:rPr>
          <w:color w:val="231F20"/>
          <w:spacing w:val="-30"/>
          <w:w w:val="105"/>
        </w:rPr>
        <w:t> </w:t>
      </w:r>
      <w:r>
        <w:rPr>
          <w:color w:val="231F20"/>
          <w:w w:val="105"/>
        </w:rPr>
        <w:t>carácter</w:t>
      </w:r>
      <w:r>
        <w:rPr>
          <w:color w:val="231F20"/>
          <w:spacing w:val="-30"/>
          <w:w w:val="105"/>
        </w:rPr>
        <w:t> </w:t>
      </w:r>
      <w:r>
        <w:rPr>
          <w:color w:val="231F20"/>
          <w:w w:val="105"/>
        </w:rPr>
        <w:t>al</w:t>
      </w:r>
      <w:r>
        <w:rPr>
          <w:color w:val="231F20"/>
          <w:spacing w:val="-30"/>
          <w:w w:val="105"/>
        </w:rPr>
        <w:t> </w:t>
      </w:r>
      <w:r>
        <w:rPr>
          <w:color w:val="231F20"/>
          <w:w w:val="105"/>
        </w:rPr>
        <w:t>mismo</w:t>
      </w:r>
      <w:r>
        <w:rPr>
          <w:color w:val="231F20"/>
          <w:spacing w:val="-30"/>
          <w:w w:val="105"/>
        </w:rPr>
        <w:t> </w:t>
      </w:r>
      <w:r>
        <w:rPr>
          <w:color w:val="231F20"/>
          <w:w w:val="105"/>
        </w:rPr>
        <w:t>tiempo</w:t>
      </w:r>
      <w:r>
        <w:rPr>
          <w:color w:val="231F20"/>
          <w:spacing w:val="-30"/>
          <w:w w:val="105"/>
        </w:rPr>
        <w:t> </w:t>
      </w:r>
      <w:r>
        <w:rPr>
          <w:color w:val="231F20"/>
          <w:w w:val="105"/>
        </w:rPr>
        <w:t>absoluto</w:t>
      </w:r>
      <w:r>
        <w:rPr>
          <w:color w:val="231F20"/>
          <w:spacing w:val="-30"/>
          <w:w w:val="105"/>
        </w:rPr>
        <w:t> </w:t>
      </w:r>
      <w:r>
        <w:rPr>
          <w:color w:val="231F20"/>
          <w:w w:val="105"/>
        </w:rPr>
        <w:t>y</w:t>
      </w:r>
      <w:r>
        <w:rPr>
          <w:color w:val="231F20"/>
          <w:spacing w:val="-30"/>
          <w:w w:val="105"/>
        </w:rPr>
        <w:t> </w:t>
      </w:r>
      <w:r>
        <w:rPr>
          <w:color w:val="231F20"/>
          <w:w w:val="105"/>
        </w:rPr>
        <w:t>limitado:</w:t>
      </w:r>
      <w:r>
        <w:rPr>
          <w:color w:val="231F20"/>
          <w:spacing w:val="-30"/>
          <w:w w:val="105"/>
        </w:rPr>
        <w:t> </w:t>
      </w:r>
      <w:r>
        <w:rPr>
          <w:color w:val="231F20"/>
          <w:w w:val="105"/>
        </w:rPr>
        <w:t>ésta</w:t>
      </w:r>
      <w:r>
        <w:rPr>
          <w:color w:val="231F20"/>
          <w:spacing w:val="-30"/>
          <w:w w:val="105"/>
        </w:rPr>
        <w:t> </w:t>
      </w:r>
      <w:r>
        <w:rPr>
          <w:color w:val="231F20"/>
          <w:w w:val="105"/>
        </w:rPr>
        <w:t>no</w:t>
      </w:r>
      <w:r>
        <w:rPr>
          <w:color w:val="231F20"/>
          <w:spacing w:val="-30"/>
          <w:w w:val="105"/>
        </w:rPr>
        <w:t> </w:t>
      </w:r>
      <w:r>
        <w:rPr>
          <w:color w:val="231F20"/>
          <w:w w:val="105"/>
        </w:rPr>
        <w:t>debía</w:t>
      </w:r>
      <w:r>
        <w:rPr>
          <w:color w:val="231F20"/>
          <w:spacing w:val="-30"/>
          <w:w w:val="105"/>
        </w:rPr>
        <w:t> </w:t>
      </w:r>
      <w:r>
        <w:rPr>
          <w:color w:val="231F20"/>
          <w:w w:val="105"/>
        </w:rPr>
        <w:t>tener límites,</w:t>
      </w:r>
      <w:r>
        <w:rPr>
          <w:color w:val="231F20"/>
          <w:spacing w:val="-15"/>
          <w:w w:val="105"/>
        </w:rPr>
        <w:t> </w:t>
      </w:r>
      <w:r>
        <w:rPr>
          <w:color w:val="231F20"/>
          <w:w w:val="105"/>
        </w:rPr>
        <w:t>pero</w:t>
      </w:r>
      <w:r>
        <w:rPr>
          <w:color w:val="231F20"/>
          <w:spacing w:val="-15"/>
          <w:w w:val="105"/>
        </w:rPr>
        <w:t> </w:t>
      </w:r>
      <w:r>
        <w:rPr>
          <w:color w:val="231F20"/>
          <w:w w:val="105"/>
        </w:rPr>
        <w:t>podía</w:t>
      </w:r>
      <w:r>
        <w:rPr>
          <w:color w:val="231F20"/>
          <w:spacing w:val="-15"/>
          <w:w w:val="105"/>
        </w:rPr>
        <w:t> </w:t>
      </w:r>
      <w:r>
        <w:rPr>
          <w:color w:val="231F20"/>
          <w:w w:val="105"/>
        </w:rPr>
        <w:t>ejercerse</w:t>
      </w:r>
      <w:r>
        <w:rPr>
          <w:color w:val="231F20"/>
          <w:spacing w:val="-15"/>
          <w:w w:val="105"/>
        </w:rPr>
        <w:t> </w:t>
      </w:r>
      <w:r>
        <w:rPr>
          <w:color w:val="231F20"/>
          <w:w w:val="105"/>
        </w:rPr>
        <w:t>sólo</w:t>
      </w:r>
      <w:r>
        <w:rPr>
          <w:color w:val="231F20"/>
          <w:spacing w:val="-15"/>
          <w:w w:val="105"/>
        </w:rPr>
        <w:t> </w:t>
      </w:r>
      <w:r>
        <w:rPr>
          <w:color w:val="231F20"/>
          <w:w w:val="105"/>
        </w:rPr>
        <w:t>dentro</w:t>
      </w:r>
      <w:r>
        <w:rPr>
          <w:color w:val="231F20"/>
          <w:spacing w:val="-15"/>
          <w:w w:val="105"/>
        </w:rPr>
        <w:t> </w:t>
      </w:r>
      <w:r>
        <w:rPr>
          <w:color w:val="231F20"/>
          <w:w w:val="105"/>
        </w:rPr>
        <w:t>de</w:t>
      </w:r>
      <w:r>
        <w:rPr>
          <w:color w:val="231F20"/>
          <w:spacing w:val="-15"/>
          <w:w w:val="105"/>
        </w:rPr>
        <w:t> </w:t>
      </w:r>
      <w:r>
        <w:rPr>
          <w:color w:val="231F20"/>
          <w:w w:val="105"/>
        </w:rPr>
        <w:t>confines</w:t>
      </w:r>
      <w:r>
        <w:rPr>
          <w:color w:val="231F20"/>
          <w:spacing w:val="-15"/>
          <w:w w:val="105"/>
        </w:rPr>
        <w:t> </w:t>
      </w:r>
      <w:r>
        <w:rPr>
          <w:color w:val="231F20"/>
          <w:w w:val="105"/>
        </w:rPr>
        <w:t>precisos</w:t>
      </w:r>
      <w:r>
        <w:rPr>
          <w:color w:val="231F20"/>
          <w:spacing w:val="-15"/>
          <w:w w:val="105"/>
        </w:rPr>
        <w:t> </w:t>
      </w:r>
      <w:r>
        <w:rPr>
          <w:color w:val="231F20"/>
          <w:w w:val="105"/>
        </w:rPr>
        <w:t>que</w:t>
      </w:r>
      <w:r>
        <w:rPr>
          <w:color w:val="231F20"/>
          <w:spacing w:val="-15"/>
          <w:w w:val="105"/>
        </w:rPr>
        <w:t> </w:t>
      </w:r>
      <w:r>
        <w:rPr>
          <w:color w:val="231F20"/>
          <w:w w:val="105"/>
        </w:rPr>
        <w:t>presu- ponían</w:t>
      </w:r>
      <w:r>
        <w:rPr>
          <w:color w:val="231F20"/>
          <w:spacing w:val="-37"/>
          <w:w w:val="105"/>
        </w:rPr>
        <w:t> </w:t>
      </w:r>
      <w:r>
        <w:rPr>
          <w:color w:val="231F20"/>
          <w:w w:val="105"/>
        </w:rPr>
        <w:t>la</w:t>
      </w:r>
      <w:r>
        <w:rPr>
          <w:color w:val="231F20"/>
          <w:spacing w:val="-37"/>
          <w:w w:val="105"/>
        </w:rPr>
        <w:t> </w:t>
      </w:r>
      <w:r>
        <w:rPr>
          <w:color w:val="231F20"/>
          <w:w w:val="105"/>
        </w:rPr>
        <w:t>existencia</w:t>
      </w:r>
      <w:r>
        <w:rPr>
          <w:color w:val="231F20"/>
          <w:spacing w:val="-37"/>
          <w:w w:val="105"/>
        </w:rPr>
        <w:t> </w:t>
      </w:r>
      <w:r>
        <w:rPr>
          <w:color w:val="231F20"/>
          <w:w w:val="105"/>
        </w:rPr>
        <w:t>de</w:t>
      </w:r>
      <w:r>
        <w:rPr>
          <w:color w:val="231F20"/>
          <w:spacing w:val="-37"/>
          <w:w w:val="105"/>
        </w:rPr>
        <w:t> </w:t>
      </w:r>
      <w:r>
        <w:rPr>
          <w:color w:val="231F20"/>
          <w:w w:val="105"/>
        </w:rPr>
        <w:t>otros</w:t>
      </w:r>
      <w:r>
        <w:rPr>
          <w:color w:val="231F20"/>
          <w:spacing w:val="-37"/>
          <w:w w:val="105"/>
        </w:rPr>
        <w:t> </w:t>
      </w:r>
      <w:r>
        <w:rPr>
          <w:color w:val="231F20"/>
          <w:w w:val="105"/>
        </w:rPr>
        <w:t>Estados</w:t>
      </w:r>
      <w:r>
        <w:rPr>
          <w:color w:val="231F20"/>
          <w:spacing w:val="-37"/>
          <w:w w:val="105"/>
        </w:rPr>
        <w:t> </w:t>
      </w:r>
      <w:r>
        <w:rPr>
          <w:color w:val="231F20"/>
          <w:w w:val="105"/>
        </w:rPr>
        <w:t>soberanos.</w:t>
      </w:r>
      <w:r>
        <w:rPr>
          <w:color w:val="231F20"/>
          <w:spacing w:val="-37"/>
          <w:w w:val="105"/>
        </w:rPr>
        <w:t> </w:t>
      </w:r>
      <w:r>
        <w:rPr>
          <w:color w:val="231F20"/>
          <w:w w:val="105"/>
        </w:rPr>
        <w:t>El</w:t>
      </w:r>
      <w:r>
        <w:rPr>
          <w:color w:val="231F20"/>
          <w:spacing w:val="-37"/>
          <w:w w:val="105"/>
        </w:rPr>
        <w:t> </w:t>
      </w:r>
      <w:r>
        <w:rPr>
          <w:color w:val="231F20"/>
          <w:w w:val="105"/>
        </w:rPr>
        <w:t>orden</w:t>
      </w:r>
      <w:r>
        <w:rPr>
          <w:color w:val="231F20"/>
          <w:spacing w:val="-37"/>
          <w:w w:val="105"/>
        </w:rPr>
        <w:t> </w:t>
      </w:r>
      <w:r>
        <w:rPr>
          <w:color w:val="231F20"/>
          <w:w w:val="105"/>
        </w:rPr>
        <w:t>soberano</w:t>
      </w:r>
      <w:r>
        <w:rPr>
          <w:color w:val="231F20"/>
          <w:spacing w:val="-37"/>
          <w:w w:val="105"/>
        </w:rPr>
        <w:t> </w:t>
      </w:r>
      <w:r>
        <w:rPr>
          <w:color w:val="231F20"/>
          <w:w w:val="105"/>
        </w:rPr>
        <w:t>se</w:t>
      </w:r>
      <w:r>
        <w:rPr>
          <w:color w:val="231F20"/>
          <w:spacing w:val="-37"/>
          <w:w w:val="105"/>
        </w:rPr>
        <w:t> </w:t>
      </w:r>
      <w:r>
        <w:rPr>
          <w:color w:val="231F20"/>
          <w:w w:val="105"/>
        </w:rPr>
        <w:t>fun- daba</w:t>
      </w:r>
      <w:r>
        <w:rPr>
          <w:color w:val="231F20"/>
          <w:spacing w:val="-14"/>
          <w:w w:val="105"/>
        </w:rPr>
        <w:t> </w:t>
      </w:r>
      <w:r>
        <w:rPr>
          <w:color w:val="231F20"/>
          <w:w w:val="105"/>
        </w:rPr>
        <w:t>consecuentemente</w:t>
      </w:r>
      <w:r>
        <w:rPr>
          <w:color w:val="231F20"/>
          <w:spacing w:val="-14"/>
          <w:w w:val="105"/>
        </w:rPr>
        <w:t> </w:t>
      </w:r>
      <w:r>
        <w:rPr>
          <w:color w:val="231F20"/>
          <w:w w:val="105"/>
        </w:rPr>
        <w:t>sobre</w:t>
      </w:r>
      <w:r>
        <w:rPr>
          <w:color w:val="231F20"/>
          <w:spacing w:val="-14"/>
          <w:w w:val="105"/>
        </w:rPr>
        <w:t> </w:t>
      </w:r>
      <w:r>
        <w:rPr>
          <w:color w:val="231F20"/>
          <w:w w:val="105"/>
        </w:rPr>
        <w:t>el</w:t>
      </w:r>
      <w:r>
        <w:rPr>
          <w:color w:val="231F20"/>
          <w:spacing w:val="-14"/>
          <w:w w:val="105"/>
        </w:rPr>
        <w:t> </w:t>
      </w:r>
      <w:r>
        <w:rPr>
          <w:color w:val="231F20"/>
          <w:w w:val="105"/>
        </w:rPr>
        <w:t>supuesto</w:t>
      </w:r>
      <w:r>
        <w:rPr>
          <w:color w:val="231F20"/>
          <w:spacing w:val="-14"/>
          <w:w w:val="105"/>
        </w:rPr>
        <w:t> </w:t>
      </w:r>
      <w:r>
        <w:rPr>
          <w:color w:val="231F20"/>
          <w:w w:val="105"/>
        </w:rPr>
        <w:t>de</w:t>
      </w:r>
      <w:r>
        <w:rPr>
          <w:color w:val="231F20"/>
          <w:spacing w:val="-14"/>
          <w:w w:val="105"/>
        </w:rPr>
        <w:t> </w:t>
      </w:r>
      <w:r>
        <w:rPr>
          <w:color w:val="231F20"/>
          <w:w w:val="105"/>
        </w:rPr>
        <w:t>que</w:t>
      </w:r>
      <w:r>
        <w:rPr>
          <w:color w:val="231F20"/>
          <w:spacing w:val="-14"/>
          <w:w w:val="105"/>
        </w:rPr>
        <w:t> </w:t>
      </w:r>
      <w:r>
        <w:rPr>
          <w:color w:val="231F20"/>
          <w:w w:val="105"/>
        </w:rPr>
        <w:t>cada</w:t>
      </w:r>
      <w:r>
        <w:rPr>
          <w:color w:val="231F20"/>
          <w:spacing w:val="-14"/>
          <w:w w:val="105"/>
        </w:rPr>
        <w:t> </w:t>
      </w:r>
      <w:r>
        <w:rPr>
          <w:color w:val="231F20"/>
          <w:w w:val="105"/>
        </w:rPr>
        <w:t>Estado</w:t>
      </w:r>
      <w:r>
        <w:rPr>
          <w:color w:val="231F20"/>
          <w:spacing w:val="-14"/>
          <w:w w:val="105"/>
        </w:rPr>
        <w:t> </w:t>
      </w:r>
      <w:r>
        <w:rPr>
          <w:color w:val="231F20"/>
          <w:w w:val="105"/>
        </w:rPr>
        <w:t>podía</w:t>
      </w:r>
      <w:r>
        <w:rPr>
          <w:color w:val="231F20"/>
          <w:spacing w:val="-14"/>
          <w:w w:val="105"/>
        </w:rPr>
        <w:t> </w:t>
      </w:r>
      <w:r>
        <w:rPr>
          <w:color w:val="231F20"/>
          <w:w w:val="105"/>
        </w:rPr>
        <w:t>no preocuparse</w:t>
      </w:r>
      <w:r>
        <w:rPr>
          <w:color w:val="231F20"/>
          <w:spacing w:val="-10"/>
          <w:w w:val="105"/>
        </w:rPr>
        <w:t> </w:t>
      </w:r>
      <w:r>
        <w:rPr>
          <w:color w:val="231F20"/>
          <w:w w:val="105"/>
        </w:rPr>
        <w:t>por</w:t>
      </w:r>
      <w:r>
        <w:rPr>
          <w:color w:val="231F20"/>
          <w:spacing w:val="-10"/>
          <w:w w:val="105"/>
        </w:rPr>
        <w:t> </w:t>
      </w:r>
      <w:r>
        <w:rPr>
          <w:color w:val="231F20"/>
          <w:w w:val="105"/>
        </w:rPr>
        <w:t>los</w:t>
      </w:r>
      <w:r>
        <w:rPr>
          <w:color w:val="231F20"/>
          <w:spacing w:val="-10"/>
          <w:w w:val="105"/>
        </w:rPr>
        <w:t> </w:t>
      </w:r>
      <w:r>
        <w:rPr>
          <w:color w:val="231F20"/>
          <w:w w:val="105"/>
        </w:rPr>
        <w:t>demás</w:t>
      </w:r>
      <w:r>
        <w:rPr>
          <w:color w:val="231F20"/>
          <w:spacing w:val="-10"/>
          <w:w w:val="105"/>
        </w:rPr>
        <w:t> </w:t>
      </w:r>
      <w:r>
        <w:rPr>
          <w:color w:val="231F20"/>
          <w:w w:val="105"/>
        </w:rPr>
        <w:t>ordenamientos,</w:t>
      </w:r>
      <w:r>
        <w:rPr>
          <w:color w:val="231F20"/>
          <w:spacing w:val="-10"/>
          <w:w w:val="105"/>
        </w:rPr>
        <w:t> </w:t>
      </w:r>
      <w:r>
        <w:rPr>
          <w:color w:val="231F20"/>
          <w:w w:val="105"/>
        </w:rPr>
        <w:t>ya</w:t>
      </w:r>
      <w:r>
        <w:rPr>
          <w:color w:val="231F20"/>
          <w:spacing w:val="-10"/>
          <w:w w:val="105"/>
        </w:rPr>
        <w:t> </w:t>
      </w:r>
      <w:r>
        <w:rPr>
          <w:color w:val="231F20"/>
          <w:w w:val="105"/>
        </w:rPr>
        <w:t>que</w:t>
      </w:r>
      <w:r>
        <w:rPr>
          <w:color w:val="231F20"/>
          <w:spacing w:val="-10"/>
          <w:w w:val="105"/>
        </w:rPr>
        <w:t> </w:t>
      </w:r>
      <w:r>
        <w:rPr>
          <w:color w:val="231F20"/>
          <w:w w:val="105"/>
        </w:rPr>
        <w:t>éstos</w:t>
      </w:r>
      <w:r>
        <w:rPr>
          <w:color w:val="231F20"/>
          <w:spacing w:val="-10"/>
          <w:w w:val="105"/>
        </w:rPr>
        <w:t> </w:t>
      </w:r>
      <w:r>
        <w:rPr>
          <w:color w:val="231F20"/>
          <w:w w:val="105"/>
        </w:rPr>
        <w:t>no</w:t>
      </w:r>
      <w:r>
        <w:rPr>
          <w:color w:val="231F20"/>
          <w:spacing w:val="-10"/>
          <w:w w:val="105"/>
        </w:rPr>
        <w:t> </w:t>
      </w:r>
      <w:r>
        <w:rPr>
          <w:color w:val="231F20"/>
          <w:w w:val="105"/>
        </w:rPr>
        <w:t>lo</w:t>
      </w:r>
      <w:r>
        <w:rPr>
          <w:color w:val="231F20"/>
          <w:spacing w:val="-10"/>
          <w:w w:val="105"/>
        </w:rPr>
        <w:t> </w:t>
      </w:r>
      <w:r>
        <w:rPr>
          <w:color w:val="231F20"/>
          <w:w w:val="105"/>
        </w:rPr>
        <w:t>limitaban objetivamente,</w:t>
      </w:r>
      <w:r>
        <w:rPr>
          <w:color w:val="231F20"/>
          <w:spacing w:val="-20"/>
          <w:w w:val="105"/>
        </w:rPr>
        <w:t> </w:t>
      </w:r>
      <w:r>
        <w:rPr>
          <w:color w:val="231F20"/>
          <w:w w:val="105"/>
        </w:rPr>
        <w:t>al</w:t>
      </w:r>
      <w:r>
        <w:rPr>
          <w:color w:val="231F20"/>
          <w:spacing w:val="-20"/>
          <w:w w:val="105"/>
        </w:rPr>
        <w:t> </w:t>
      </w:r>
      <w:r>
        <w:rPr>
          <w:color w:val="231F20"/>
          <w:w w:val="105"/>
        </w:rPr>
        <w:t>grado</w:t>
      </w:r>
      <w:r>
        <w:rPr>
          <w:color w:val="231F20"/>
          <w:spacing w:val="-20"/>
          <w:w w:val="105"/>
        </w:rPr>
        <w:t> </w:t>
      </w:r>
      <w:r>
        <w:rPr>
          <w:color w:val="231F20"/>
          <w:w w:val="105"/>
        </w:rPr>
        <w:t>que</w:t>
      </w:r>
      <w:r>
        <w:rPr>
          <w:color w:val="231F20"/>
          <w:spacing w:val="-20"/>
          <w:w w:val="105"/>
        </w:rPr>
        <w:t> </w:t>
      </w:r>
      <w:r>
        <w:rPr>
          <w:color w:val="231F20"/>
          <w:w w:val="105"/>
        </w:rPr>
        <w:t>cada</w:t>
      </w:r>
      <w:r>
        <w:rPr>
          <w:color w:val="231F20"/>
          <w:spacing w:val="-20"/>
          <w:w w:val="105"/>
        </w:rPr>
        <w:t> </w:t>
      </w:r>
      <w:r>
        <w:rPr>
          <w:color w:val="231F20"/>
          <w:w w:val="105"/>
        </w:rPr>
        <w:t>limitación</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soberanía</w:t>
      </w:r>
      <w:r>
        <w:rPr>
          <w:color w:val="231F20"/>
          <w:spacing w:val="-20"/>
          <w:w w:val="105"/>
        </w:rPr>
        <w:t> </w:t>
      </w:r>
      <w:r>
        <w:rPr>
          <w:color w:val="231F20"/>
          <w:w w:val="105"/>
        </w:rPr>
        <w:t>misma</w:t>
      </w:r>
      <w:r>
        <w:rPr>
          <w:color w:val="231F20"/>
          <w:spacing w:val="-20"/>
          <w:w w:val="105"/>
        </w:rPr>
        <w:t> </w:t>
      </w:r>
      <w:r>
        <w:rPr>
          <w:color w:val="231F20"/>
          <w:w w:val="105"/>
        </w:rPr>
        <w:t>podía ser</w:t>
      </w:r>
      <w:r>
        <w:rPr>
          <w:color w:val="231F20"/>
          <w:spacing w:val="-8"/>
          <w:w w:val="105"/>
        </w:rPr>
        <w:t> </w:t>
      </w:r>
      <w:r>
        <w:rPr>
          <w:color w:val="231F20"/>
          <w:w w:val="105"/>
        </w:rPr>
        <w:t>sólo</w:t>
      </w:r>
      <w:r>
        <w:rPr>
          <w:color w:val="231F20"/>
          <w:spacing w:val="-8"/>
          <w:w w:val="105"/>
        </w:rPr>
        <w:t> </w:t>
      </w:r>
      <w:r>
        <w:rPr>
          <w:color w:val="231F20"/>
          <w:w w:val="105"/>
        </w:rPr>
        <w:t>una</w:t>
      </w:r>
      <w:r>
        <w:rPr>
          <w:color w:val="231F20"/>
          <w:spacing w:val="-8"/>
          <w:w w:val="105"/>
        </w:rPr>
        <w:t> </w:t>
      </w:r>
      <w:r>
        <w:rPr>
          <w:color w:val="231F20"/>
          <w:w w:val="105"/>
        </w:rPr>
        <w:t>autolimitación</w:t>
      </w:r>
      <w:r>
        <w:rPr>
          <w:color w:val="231F20"/>
          <w:spacing w:val="-8"/>
          <w:w w:val="105"/>
        </w:rPr>
        <w:t> </w:t>
      </w:r>
      <w:r>
        <w:rPr>
          <w:color w:val="231F20"/>
          <w:w w:val="105"/>
        </w:rPr>
        <w:t>de</w:t>
      </w:r>
      <w:r>
        <w:rPr>
          <w:color w:val="231F20"/>
          <w:spacing w:val="-8"/>
          <w:w w:val="105"/>
        </w:rPr>
        <w:t> </w:t>
      </w:r>
      <w:r>
        <w:rPr>
          <w:color w:val="231F20"/>
          <w:w w:val="105"/>
        </w:rPr>
        <w:t>cada</w:t>
      </w:r>
      <w:r>
        <w:rPr>
          <w:color w:val="231F20"/>
          <w:spacing w:val="-8"/>
          <w:w w:val="105"/>
        </w:rPr>
        <w:t> </w:t>
      </w:r>
      <w:r>
        <w:rPr>
          <w:color w:val="231F20"/>
          <w:w w:val="105"/>
        </w:rPr>
        <w:t>Estado.</w:t>
      </w:r>
      <w:r>
        <w:rPr>
          <w:color w:val="231F20"/>
          <w:spacing w:val="-8"/>
          <w:w w:val="105"/>
        </w:rPr>
        <w:t> </w:t>
      </w:r>
      <w:r>
        <w:rPr>
          <w:color w:val="231F20"/>
          <w:w w:val="105"/>
        </w:rPr>
        <w:t>La</w:t>
      </w:r>
      <w:r>
        <w:rPr>
          <w:color w:val="231F20"/>
          <w:spacing w:val="-8"/>
          <w:w w:val="105"/>
        </w:rPr>
        <w:t> </w:t>
      </w:r>
      <w:r>
        <w:rPr>
          <w:color w:val="231F20"/>
          <w:w w:val="105"/>
        </w:rPr>
        <w:t>pérdida</w:t>
      </w:r>
      <w:r>
        <w:rPr>
          <w:color w:val="231F20"/>
          <w:spacing w:val="-8"/>
          <w:w w:val="105"/>
        </w:rPr>
        <w:t> </w:t>
      </w:r>
      <w:r>
        <w:rPr>
          <w:color w:val="231F20"/>
          <w:w w:val="105"/>
        </w:rPr>
        <w:t>de</w:t>
      </w:r>
      <w:r>
        <w:rPr>
          <w:color w:val="231F20"/>
          <w:spacing w:val="-8"/>
          <w:w w:val="105"/>
        </w:rPr>
        <w:t> </w:t>
      </w:r>
      <w:r>
        <w:rPr>
          <w:color w:val="231F20"/>
          <w:w w:val="105"/>
        </w:rPr>
        <w:t>soberanía</w:t>
      </w:r>
      <w:r>
        <w:rPr>
          <w:color w:val="231F20"/>
          <w:spacing w:val="-8"/>
          <w:w w:val="105"/>
        </w:rPr>
        <w:t> </w:t>
      </w:r>
      <w:r>
        <w:rPr>
          <w:color w:val="231F20"/>
          <w:w w:val="105"/>
        </w:rPr>
        <w:t>del Estado</w:t>
      </w:r>
      <w:r>
        <w:rPr>
          <w:color w:val="231F20"/>
          <w:spacing w:val="-19"/>
          <w:w w:val="105"/>
        </w:rPr>
        <w:t> </w:t>
      </w:r>
      <w:r>
        <w:rPr>
          <w:color w:val="231F20"/>
          <w:w w:val="105"/>
        </w:rPr>
        <w:t>parece</w:t>
      </w:r>
      <w:r>
        <w:rPr>
          <w:color w:val="231F20"/>
          <w:spacing w:val="-19"/>
          <w:w w:val="105"/>
        </w:rPr>
        <w:t> </w:t>
      </w:r>
      <w:r>
        <w:rPr>
          <w:color w:val="231F20"/>
          <w:w w:val="105"/>
        </w:rPr>
        <w:t>provocada,</w:t>
      </w:r>
      <w:r>
        <w:rPr>
          <w:color w:val="231F20"/>
          <w:spacing w:val="-19"/>
          <w:w w:val="105"/>
        </w:rPr>
        <w:t> </w:t>
      </w:r>
      <w:r>
        <w:rPr>
          <w:color w:val="231F20"/>
          <w:w w:val="105"/>
        </w:rPr>
        <w:t>en</w:t>
      </w:r>
      <w:r>
        <w:rPr>
          <w:color w:val="231F20"/>
          <w:spacing w:val="-19"/>
          <w:w w:val="105"/>
        </w:rPr>
        <w:t> </w:t>
      </w:r>
      <w:r>
        <w:rPr>
          <w:color w:val="231F20"/>
          <w:w w:val="105"/>
        </w:rPr>
        <w:t>primer</w:t>
      </w:r>
      <w:r>
        <w:rPr>
          <w:color w:val="231F20"/>
          <w:spacing w:val="-19"/>
          <w:w w:val="105"/>
        </w:rPr>
        <w:t> </w:t>
      </w:r>
      <w:r>
        <w:rPr>
          <w:color w:val="231F20"/>
          <w:spacing w:val="-4"/>
          <w:w w:val="105"/>
        </w:rPr>
        <w:t>lugar,</w:t>
      </w:r>
      <w:r>
        <w:rPr>
          <w:color w:val="231F20"/>
          <w:spacing w:val="-19"/>
          <w:w w:val="105"/>
        </w:rPr>
        <w:t> </w:t>
      </w:r>
      <w:r>
        <w:rPr>
          <w:color w:val="231F20"/>
          <w:w w:val="105"/>
        </w:rPr>
        <w:t>por</w:t>
      </w:r>
      <w:r>
        <w:rPr>
          <w:color w:val="231F20"/>
          <w:spacing w:val="-19"/>
          <w:w w:val="105"/>
        </w:rPr>
        <w:t> </w:t>
      </w:r>
      <w:r>
        <w:rPr>
          <w:color w:val="231F20"/>
          <w:w w:val="105"/>
        </w:rPr>
        <w:t>la</w:t>
      </w:r>
      <w:r>
        <w:rPr>
          <w:color w:val="231F20"/>
          <w:spacing w:val="-19"/>
          <w:w w:val="105"/>
        </w:rPr>
        <w:t> </w:t>
      </w:r>
      <w:r>
        <w:rPr>
          <w:color w:val="231F20"/>
          <w:w w:val="105"/>
        </w:rPr>
        <w:t>imposibilidad</w:t>
      </w:r>
      <w:r>
        <w:rPr>
          <w:color w:val="231F20"/>
          <w:spacing w:val="-19"/>
          <w:w w:val="105"/>
        </w:rPr>
        <w:t> </w:t>
      </w:r>
      <w:r>
        <w:rPr>
          <w:color w:val="231F20"/>
          <w:w w:val="105"/>
        </w:rPr>
        <w:t>de</w:t>
      </w:r>
      <w:r>
        <w:rPr>
          <w:color w:val="231F20"/>
          <w:spacing w:val="-19"/>
          <w:w w:val="105"/>
        </w:rPr>
        <w:t> </w:t>
      </w:r>
      <w:r>
        <w:rPr>
          <w:color w:val="231F20"/>
          <w:w w:val="105"/>
        </w:rPr>
        <w:t>gober- nar</w:t>
      </w:r>
      <w:r>
        <w:rPr>
          <w:color w:val="231F20"/>
          <w:spacing w:val="-25"/>
          <w:w w:val="105"/>
        </w:rPr>
        <w:t> </w:t>
      </w:r>
      <w:r>
        <w:rPr>
          <w:color w:val="231F20"/>
          <w:w w:val="105"/>
        </w:rPr>
        <w:t>eficazmente</w:t>
      </w:r>
      <w:r>
        <w:rPr>
          <w:color w:val="231F20"/>
          <w:spacing w:val="-25"/>
          <w:w w:val="105"/>
        </w:rPr>
        <w:t> </w:t>
      </w:r>
      <w:r>
        <w:rPr>
          <w:color w:val="231F20"/>
          <w:w w:val="105"/>
        </w:rPr>
        <w:t>este</w:t>
      </w:r>
      <w:r>
        <w:rPr>
          <w:color w:val="231F20"/>
          <w:spacing w:val="-25"/>
          <w:w w:val="105"/>
        </w:rPr>
        <w:t> </w:t>
      </w:r>
      <w:r>
        <w:rPr>
          <w:color w:val="231F20"/>
          <w:w w:val="105"/>
        </w:rPr>
        <w:t>espacio</w:t>
      </w:r>
      <w:r>
        <w:rPr>
          <w:color w:val="231F20"/>
          <w:spacing w:val="-25"/>
          <w:w w:val="105"/>
        </w:rPr>
        <w:t> </w:t>
      </w:r>
      <w:r>
        <w:rPr>
          <w:color w:val="231F20"/>
          <w:w w:val="105"/>
        </w:rPr>
        <w:t>externo.</w:t>
      </w:r>
      <w:r>
        <w:rPr>
          <w:color w:val="231F20"/>
          <w:spacing w:val="-25"/>
          <w:w w:val="105"/>
        </w:rPr>
        <w:t> </w:t>
      </w:r>
      <w:r>
        <w:rPr>
          <w:color w:val="231F20"/>
          <w:w w:val="105"/>
        </w:rPr>
        <w:t>No</w:t>
      </w:r>
      <w:r>
        <w:rPr>
          <w:color w:val="231F20"/>
          <w:spacing w:val="-25"/>
          <w:w w:val="105"/>
        </w:rPr>
        <w:t> </w:t>
      </w:r>
      <w:r>
        <w:rPr>
          <w:color w:val="231F20"/>
          <w:w w:val="105"/>
        </w:rPr>
        <w:t>es</w:t>
      </w:r>
      <w:r>
        <w:rPr>
          <w:color w:val="231F20"/>
          <w:spacing w:val="-25"/>
          <w:w w:val="105"/>
        </w:rPr>
        <w:t> </w:t>
      </w:r>
      <w:r>
        <w:rPr>
          <w:color w:val="231F20"/>
          <w:w w:val="105"/>
        </w:rPr>
        <w:t>casual</w:t>
      </w:r>
      <w:r>
        <w:rPr>
          <w:color w:val="231F20"/>
          <w:spacing w:val="-25"/>
          <w:w w:val="105"/>
        </w:rPr>
        <w:t> </w:t>
      </w:r>
      <w:r>
        <w:rPr>
          <w:color w:val="231F20"/>
          <w:w w:val="105"/>
        </w:rPr>
        <w:t>que</w:t>
      </w:r>
      <w:r>
        <w:rPr>
          <w:color w:val="231F20"/>
          <w:spacing w:val="-25"/>
          <w:w w:val="105"/>
        </w:rPr>
        <w:t> </w:t>
      </w:r>
      <w:r>
        <w:rPr>
          <w:color w:val="231F20"/>
          <w:w w:val="105"/>
        </w:rPr>
        <w:t>en</w:t>
      </w:r>
      <w:r>
        <w:rPr>
          <w:color w:val="231F20"/>
          <w:spacing w:val="-25"/>
          <w:w w:val="105"/>
        </w:rPr>
        <w:t> </w:t>
      </w:r>
      <w:r>
        <w:rPr>
          <w:color w:val="231F20"/>
          <w:w w:val="105"/>
        </w:rPr>
        <w:t>las</w:t>
      </w:r>
      <w:r>
        <w:rPr>
          <w:color w:val="231F20"/>
          <w:spacing w:val="-25"/>
          <w:w w:val="105"/>
        </w:rPr>
        <w:t> </w:t>
      </w:r>
      <w:r>
        <w:rPr>
          <w:color w:val="231F20"/>
          <w:w w:val="105"/>
        </w:rPr>
        <w:t>últimas</w:t>
      </w:r>
      <w:r>
        <w:rPr>
          <w:color w:val="231F20"/>
          <w:spacing w:val="-25"/>
          <w:w w:val="105"/>
        </w:rPr>
        <w:t> </w:t>
      </w:r>
      <w:r>
        <w:rPr>
          <w:color w:val="231F20"/>
          <w:w w:val="105"/>
        </w:rPr>
        <w:t>dé-</w:t>
      </w:r>
    </w:p>
    <w:p>
      <w:pPr>
        <w:pStyle w:val="BodyText"/>
        <w:rPr>
          <w:sz w:val="20"/>
        </w:rPr>
      </w:pPr>
    </w:p>
    <w:p>
      <w:pPr>
        <w:pStyle w:val="BodyText"/>
        <w:spacing w:before="9"/>
        <w:rPr>
          <w:sz w:val="15"/>
        </w:rPr>
      </w:pPr>
      <w:r>
        <w:rPr/>
        <w:pict>
          <v:line style="position:absolute;mso-position-horizontal-relative:page;mso-position-vertical-relative:paragraph;z-index:2728;mso-wrap-distance-left:0;mso-wrap-distance-right:0" from="70.866096pt,11.635069pt" to="184.252096pt,11.635069pt" stroked="true" strokeweight=".3pt" strokecolor="#231f20">
            <w10:wrap type="topAndBottom"/>
          </v:line>
        </w:pict>
      </w:r>
    </w:p>
    <w:p>
      <w:pPr>
        <w:spacing w:line="204" w:lineRule="exact" w:before="9"/>
        <w:ind w:left="117" w:right="0" w:firstLine="0"/>
        <w:jc w:val="left"/>
        <w:rPr>
          <w:rFonts w:ascii="Calibri" w:hAnsi="Calibri"/>
          <w:sz w:val="17"/>
        </w:rPr>
      </w:pPr>
      <w:r>
        <w:rPr>
          <w:rFonts w:ascii="Calibri" w:hAnsi="Calibri"/>
          <w:color w:val="231F20"/>
          <w:position w:val="6"/>
          <w:sz w:val="10"/>
        </w:rPr>
        <w:t>1 </w:t>
      </w:r>
      <w:r>
        <w:rPr>
          <w:rFonts w:ascii="Calibri" w:hAnsi="Calibri"/>
          <w:color w:val="231F20"/>
          <w:sz w:val="17"/>
        </w:rPr>
        <w:t>M. Loughlin, “Ten Tenets of Sovereignty”, N. Walker (Ed.), </w:t>
      </w:r>
      <w:r>
        <w:rPr>
          <w:rFonts w:ascii="Calibri" w:hAnsi="Calibri"/>
          <w:i/>
          <w:color w:val="231F20"/>
          <w:sz w:val="17"/>
        </w:rPr>
        <w:t>Sovereignty in Transition</w:t>
      </w:r>
      <w:r>
        <w:rPr>
          <w:rFonts w:ascii="Calibri" w:hAnsi="Calibri"/>
          <w:color w:val="231F20"/>
          <w:sz w:val="17"/>
        </w:rPr>
        <w:t>, Oxford and Portland, Hart Publishing, 2006, pp.   55–86.</w:t>
      </w:r>
    </w:p>
    <w:p>
      <w:pPr>
        <w:spacing w:before="1"/>
        <w:ind w:left="117" w:right="0" w:firstLine="0"/>
        <w:jc w:val="left"/>
        <w:rPr>
          <w:rFonts w:ascii="Calibri" w:hAnsi="Calibri"/>
          <w:sz w:val="17"/>
        </w:rPr>
      </w:pPr>
      <w:r>
        <w:rPr>
          <w:rFonts w:ascii="Calibri" w:hAnsi="Calibri"/>
          <w:color w:val="231F20"/>
          <w:position w:val="6"/>
          <w:sz w:val="10"/>
        </w:rPr>
        <w:t>2  </w:t>
      </w:r>
      <w:r>
        <w:rPr>
          <w:rFonts w:ascii="Calibri" w:hAnsi="Calibri"/>
          <w:color w:val="231F20"/>
          <w:sz w:val="17"/>
        </w:rPr>
        <w:t>B. Waldenfels, </w:t>
      </w:r>
      <w:r>
        <w:rPr>
          <w:rFonts w:ascii="Calibri" w:hAnsi="Calibri"/>
          <w:i/>
          <w:color w:val="231F20"/>
          <w:sz w:val="17"/>
        </w:rPr>
        <w:t>Ordnung in Zwielicht</w:t>
      </w:r>
      <w:r>
        <w:rPr>
          <w:rFonts w:ascii="Calibri" w:hAnsi="Calibri"/>
          <w:color w:val="231F20"/>
          <w:sz w:val="17"/>
        </w:rPr>
        <w:t>, München, Fink, 2013.</w:t>
      </w:r>
    </w:p>
    <w:p>
      <w:pPr>
        <w:spacing w:after="0"/>
        <w:jc w:val="left"/>
        <w:rPr>
          <w:rFonts w:ascii="Calibri" w:hAnsi="Calibri"/>
          <w:sz w:val="17"/>
        </w:rPr>
        <w:sectPr>
          <w:pgSz w:w="9640" w:h="13890"/>
          <w:pgMar w:top="1300" w:bottom="280" w:left="1300" w:right="1200"/>
        </w:sectPr>
      </w:pPr>
    </w:p>
    <w:p>
      <w:pPr>
        <w:pStyle w:val="BodyText"/>
        <w:spacing w:line="247" w:lineRule="auto" w:before="107"/>
        <w:ind w:left="103" w:right="114"/>
        <w:jc w:val="both"/>
      </w:pPr>
      <w:r>
        <w:rPr>
          <w:color w:val="231F20"/>
        </w:rPr>
        <w:t>cadas el debate político sobre las transformaciones de la estatalidad ha sido dominado por las doctrinas de las relaciones internacionales. En la búsqueda de un “nuevo orden mundial” Anne–Marie Slaughter ha tomado como concepto de referencia al “Estado desagregado”, negando que el Estado como tal pueda poseer una voluntad unitaria</w:t>
      </w:r>
      <w:r>
        <w:rPr>
          <w:color w:val="231F20"/>
          <w:position w:val="7"/>
          <w:sz w:val="12"/>
        </w:rPr>
        <w:t>3</w:t>
      </w:r>
      <w:r>
        <w:rPr>
          <w:color w:val="231F20"/>
        </w:rPr>
        <w:t>. De esta manera el Estado tiende a ser equiparado con una agencia administrativa con tareas más o menos amplias y definidas. Como consecuencia, éste no puede en modo alguno ser el garante del orden soberano, sino sólo la articulación particular de una </w:t>
      </w:r>
      <w:r>
        <w:rPr>
          <w:rFonts w:ascii="Arial" w:hAnsi="Arial"/>
          <w:i/>
          <w:color w:val="231F20"/>
        </w:rPr>
        <w:t>governance </w:t>
      </w:r>
      <w:r>
        <w:rPr>
          <w:color w:val="231F20"/>
        </w:rPr>
        <w:t>global que parece apropiarse de la política de la soberanía. De esta forma se pone en discusión el orden político que durante siglos había establecido una modalidad precisa para la delimita- ción y la jerarquía de los espacios soberanos. Sin embargo, no es sólo la dificultad de gobernar en modo eficaz los espacios externos la que deter- mina lo que aparece como una inexorable obsolescencia del Estado. La relación</w:t>
      </w:r>
      <w:r>
        <w:rPr>
          <w:color w:val="231F20"/>
          <w:spacing w:val="-6"/>
        </w:rPr>
        <w:t> </w:t>
      </w:r>
      <w:r>
        <w:rPr>
          <w:color w:val="231F20"/>
        </w:rPr>
        <w:t>entre</w:t>
      </w:r>
      <w:r>
        <w:rPr>
          <w:color w:val="231F20"/>
          <w:spacing w:val="-6"/>
        </w:rPr>
        <w:t> </w:t>
      </w:r>
      <w:r>
        <w:rPr>
          <w:color w:val="231F20"/>
        </w:rPr>
        <w:t>Estado</w:t>
      </w:r>
      <w:r>
        <w:rPr>
          <w:color w:val="231F20"/>
          <w:spacing w:val="-6"/>
        </w:rPr>
        <w:t> </w:t>
      </w:r>
      <w:r>
        <w:rPr>
          <w:color w:val="231F20"/>
        </w:rPr>
        <w:t>y</w:t>
      </w:r>
      <w:r>
        <w:rPr>
          <w:color w:val="231F20"/>
          <w:spacing w:val="-6"/>
        </w:rPr>
        <w:t> </w:t>
      </w:r>
      <w:r>
        <w:rPr>
          <w:color w:val="231F20"/>
        </w:rPr>
        <w:t>soberanía</w:t>
      </w:r>
      <w:r>
        <w:rPr>
          <w:color w:val="231F20"/>
          <w:spacing w:val="-6"/>
        </w:rPr>
        <w:t> </w:t>
      </w:r>
      <w:r>
        <w:rPr>
          <w:color w:val="231F20"/>
        </w:rPr>
        <w:t>se</w:t>
      </w:r>
      <w:r>
        <w:rPr>
          <w:color w:val="231F20"/>
          <w:spacing w:val="-5"/>
        </w:rPr>
        <w:t> </w:t>
      </w:r>
      <w:r>
        <w:rPr>
          <w:color w:val="231F20"/>
        </w:rPr>
        <w:t>pone</w:t>
      </w:r>
      <w:r>
        <w:rPr>
          <w:color w:val="231F20"/>
          <w:spacing w:val="-6"/>
        </w:rPr>
        <w:t> </w:t>
      </w:r>
      <w:r>
        <w:rPr>
          <w:color w:val="231F20"/>
        </w:rPr>
        <w:t>en</w:t>
      </w:r>
      <w:r>
        <w:rPr>
          <w:color w:val="231F20"/>
          <w:spacing w:val="-6"/>
        </w:rPr>
        <w:t> </w:t>
      </w:r>
      <w:r>
        <w:rPr>
          <w:color w:val="231F20"/>
        </w:rPr>
        <w:t>crisis</w:t>
      </w:r>
      <w:r>
        <w:rPr>
          <w:color w:val="231F20"/>
          <w:spacing w:val="-6"/>
        </w:rPr>
        <w:t> </w:t>
      </w:r>
      <w:r>
        <w:rPr>
          <w:color w:val="231F20"/>
        </w:rPr>
        <w:t>también</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simétri- cos problemas de gobierno del espacio </w:t>
      </w:r>
      <w:r>
        <w:rPr>
          <w:color w:val="231F20"/>
          <w:spacing w:val="25"/>
        </w:rPr>
        <w:t> </w:t>
      </w:r>
      <w:r>
        <w:rPr>
          <w:color w:val="231F20"/>
        </w:rPr>
        <w:t>interno.</w:t>
      </w:r>
    </w:p>
    <w:p>
      <w:pPr>
        <w:pStyle w:val="BodyText"/>
        <w:spacing w:line="247" w:lineRule="auto"/>
        <w:ind w:left="103" w:right="115" w:firstLine="566"/>
        <w:jc w:val="both"/>
        <w:rPr>
          <w:rFonts w:ascii="Arial" w:hAnsi="Arial"/>
          <w:i/>
        </w:rPr>
      </w:pPr>
      <w:r>
        <w:rPr>
          <w:color w:val="231F20"/>
        </w:rPr>
        <w:t>Como ha escrito Aihwa Ong, el impacto de décadas de políticas neo- liberales ha producido “espacios y tecnologías políticas múltiples para un gobierno diferenciado del territorio nacional”. De esta manera también la unidad del espacio interno se ha puesto en discusión, porque sobre algu- nas porciones de ese espacio agentes económicos multinacionales y agen- cias internacionales terminan por tener un poder igual y a veces superior al del Estado mismo. Esta “soberanía segmentada” se caracteriza por “un </w:t>
      </w:r>
      <w:r>
        <w:rPr>
          <w:rFonts w:ascii="Arial" w:hAnsi="Arial"/>
          <w:i/>
          <w:color w:val="231F20"/>
        </w:rPr>
        <w:t>management </w:t>
      </w:r>
      <w:r>
        <w:rPr>
          <w:color w:val="231F20"/>
        </w:rPr>
        <w:t>flexible de la soberanía como adaptación de los gobiernos a los dictámenes del capital global, dando a las </w:t>
      </w:r>
      <w:r>
        <w:rPr>
          <w:rFonts w:ascii="Arial" w:hAnsi="Arial"/>
          <w:i/>
          <w:color w:val="231F20"/>
        </w:rPr>
        <w:t>corporation </w:t>
      </w:r>
      <w:r>
        <w:rPr>
          <w:color w:val="231F20"/>
        </w:rPr>
        <w:t>un poder indi- recto sobre las condiciones políticas de los ciudadanos en zonas que son articuladas en modo diferenciado a la producción global y a los círculos financieros”</w:t>
      </w:r>
      <w:r>
        <w:rPr>
          <w:color w:val="231F20"/>
          <w:position w:val="7"/>
          <w:sz w:val="12"/>
        </w:rPr>
        <w:t>4</w:t>
      </w:r>
      <w:r>
        <w:rPr>
          <w:color w:val="231F20"/>
        </w:rPr>
        <w:t>. Esta redefinición de los espacios estatales internos modifica también el significado de las fronteras que dejan de ser exclusivamente   la línea de demarcación entre el orden interno del Estado y el desorden externo, para convertirse en instrumentos de gobierno total del espacio, líneas diferenciadas que definen las posibilidades individuales y colectivas de relación al interior del mismo Estado</w:t>
      </w:r>
      <w:r>
        <w:rPr>
          <w:color w:val="231F20"/>
          <w:position w:val="7"/>
          <w:sz w:val="12"/>
        </w:rPr>
        <w:t>5</w:t>
      </w:r>
      <w:r>
        <w:rPr>
          <w:color w:val="231F20"/>
        </w:rPr>
        <w:t>. Lo que Mark Neocleous llamó    la “fundación territorial del orden” ha sido posible conectando estrecha- mente el espacio interno con el externo, porque “la soberanía no implica solamente el espacio, lo crea; abandonado a sí mismo, el paisaje </w:t>
      </w:r>
      <w:r>
        <w:rPr>
          <w:color w:val="231F20"/>
          <w:spacing w:val="31"/>
        </w:rPr>
        <w:t> </w:t>
      </w:r>
      <w:r>
        <w:rPr>
          <w:color w:val="231F20"/>
        </w:rPr>
        <w:t>(</w:t>
      </w:r>
      <w:r>
        <w:rPr>
          <w:rFonts w:ascii="Arial" w:hAnsi="Arial"/>
          <w:i/>
          <w:color w:val="231F20"/>
        </w:rPr>
        <w:t>Lands-</w:t>
      </w:r>
    </w:p>
    <w:p>
      <w:pPr>
        <w:pStyle w:val="BodyText"/>
        <w:rPr>
          <w:rFonts w:ascii="Arial"/>
          <w:i/>
          <w:sz w:val="20"/>
        </w:rPr>
      </w:pPr>
    </w:p>
    <w:p>
      <w:pPr>
        <w:pStyle w:val="BodyText"/>
        <w:spacing w:before="1"/>
        <w:rPr>
          <w:rFonts w:ascii="Arial"/>
          <w:i/>
          <w:sz w:val="17"/>
        </w:rPr>
      </w:pPr>
      <w:r>
        <w:rPr/>
        <w:pict>
          <v:line style="position:absolute;mso-position-horizontal-relative:page;mso-position-vertical-relative:paragraph;z-index:2776;mso-wrap-distance-left:0;mso-wrap-distance-right:0" from="65.196899pt,11.949973pt" to="178.582899pt,11.949973pt" stroked="true" strokeweight=".3pt" strokecolor="#231f20">
            <w10:wrap type="topAndBottom"/>
          </v:line>
        </w:pict>
      </w:r>
    </w:p>
    <w:p>
      <w:pPr>
        <w:spacing w:line="206" w:lineRule="exact" w:before="10"/>
        <w:ind w:left="103" w:right="0" w:firstLine="0"/>
        <w:jc w:val="left"/>
        <w:rPr>
          <w:rFonts w:ascii="Calibri"/>
          <w:sz w:val="17"/>
        </w:rPr>
      </w:pPr>
      <w:r>
        <w:rPr>
          <w:rFonts w:ascii="Calibri"/>
          <w:color w:val="231F20"/>
          <w:position w:val="6"/>
          <w:sz w:val="10"/>
        </w:rPr>
        <w:t>3  </w:t>
      </w:r>
      <w:r>
        <w:rPr>
          <w:rFonts w:ascii="Calibri"/>
          <w:color w:val="231F20"/>
          <w:sz w:val="17"/>
        </w:rPr>
        <w:t>A. M. Slaughter, </w:t>
      </w:r>
      <w:r>
        <w:rPr>
          <w:rFonts w:ascii="Calibri"/>
          <w:i/>
          <w:color w:val="231F20"/>
          <w:sz w:val="17"/>
        </w:rPr>
        <w:t>A New World Order</w:t>
      </w:r>
      <w:r>
        <w:rPr>
          <w:rFonts w:ascii="Calibri"/>
          <w:color w:val="231F20"/>
          <w:sz w:val="17"/>
        </w:rPr>
        <w:t>, Princeton, Princeton University Press, 2004, p. 12.</w:t>
      </w:r>
    </w:p>
    <w:p>
      <w:pPr>
        <w:spacing w:line="235" w:lineRule="auto" w:before="1"/>
        <w:ind w:left="103" w:right="0" w:firstLine="0"/>
        <w:jc w:val="left"/>
        <w:rPr>
          <w:rFonts w:ascii="Calibri" w:hAnsi="Calibri"/>
          <w:sz w:val="17"/>
        </w:rPr>
      </w:pPr>
      <w:r>
        <w:rPr>
          <w:rFonts w:ascii="Calibri" w:hAnsi="Calibri"/>
          <w:color w:val="231F20"/>
          <w:position w:val="6"/>
          <w:sz w:val="10"/>
        </w:rPr>
        <w:t>4 </w:t>
      </w:r>
      <w:r>
        <w:rPr>
          <w:rFonts w:ascii="Calibri" w:hAnsi="Calibri"/>
          <w:color w:val="231F20"/>
          <w:sz w:val="17"/>
        </w:rPr>
        <w:t>A. Ong, </w:t>
      </w:r>
      <w:r>
        <w:rPr>
          <w:rFonts w:ascii="Calibri" w:hAnsi="Calibri"/>
          <w:i/>
          <w:color w:val="231F20"/>
          <w:sz w:val="17"/>
        </w:rPr>
        <w:t>Neoliberalism as Exception. Mutations in Citizenship and Sovereignty</w:t>
      </w:r>
      <w:r>
        <w:rPr>
          <w:rFonts w:ascii="Calibri" w:hAnsi="Calibri"/>
          <w:color w:val="231F20"/>
          <w:sz w:val="17"/>
        </w:rPr>
        <w:t>, Durham and London, Duke University Press, 2006, pp. 77–78.</w:t>
      </w:r>
    </w:p>
    <w:p>
      <w:pPr>
        <w:spacing w:line="203" w:lineRule="exact" w:before="0"/>
        <w:ind w:left="103" w:right="0" w:firstLine="0"/>
        <w:jc w:val="left"/>
        <w:rPr>
          <w:rFonts w:ascii="Calibri" w:hAnsi="Calibri"/>
          <w:sz w:val="17"/>
        </w:rPr>
      </w:pPr>
      <w:r>
        <w:rPr>
          <w:rFonts w:ascii="Calibri" w:hAnsi="Calibri"/>
          <w:color w:val="231F20"/>
          <w:position w:val="6"/>
          <w:sz w:val="10"/>
        </w:rPr>
        <w:t>5   </w:t>
      </w:r>
      <w:r>
        <w:rPr>
          <w:rFonts w:ascii="Calibri" w:hAnsi="Calibri"/>
          <w:color w:val="231F20"/>
          <w:sz w:val="17"/>
        </w:rPr>
        <w:t>N.  Luhmann,  “Territorial  Borders  as  Systems  Boundaries”,  R.  Strassoldo y  G.  Delli  Zotti (Eds.),</w:t>
      </w:r>
    </w:p>
    <w:p>
      <w:pPr>
        <w:spacing w:line="204" w:lineRule="exact" w:before="0"/>
        <w:ind w:left="103" w:right="0" w:firstLine="0"/>
        <w:jc w:val="left"/>
        <w:rPr>
          <w:rFonts w:ascii="Calibri" w:hAnsi="Calibri"/>
          <w:sz w:val="17"/>
        </w:rPr>
      </w:pPr>
      <w:r>
        <w:rPr>
          <w:rFonts w:ascii="Calibri" w:hAnsi="Calibri"/>
          <w:i/>
          <w:color w:val="231F20"/>
          <w:sz w:val="17"/>
        </w:rPr>
        <w:t>Cooperation and Conflict in Border Areas</w:t>
      </w:r>
      <w:r>
        <w:rPr>
          <w:rFonts w:ascii="Calibri" w:hAnsi="Calibri"/>
          <w:color w:val="231F20"/>
          <w:sz w:val="17"/>
        </w:rPr>
        <w:t>, Milano, Franco Angeli, 1983, pp. 235–244; S. Mezzadra   y</w:t>
      </w:r>
    </w:p>
    <w:p>
      <w:pPr>
        <w:spacing w:line="206" w:lineRule="exact" w:before="0"/>
        <w:ind w:left="103" w:right="0" w:firstLine="0"/>
        <w:jc w:val="left"/>
        <w:rPr>
          <w:rFonts w:ascii="Calibri"/>
          <w:sz w:val="17"/>
        </w:rPr>
      </w:pPr>
      <w:r>
        <w:rPr>
          <w:rFonts w:ascii="Calibri"/>
          <w:color w:val="231F20"/>
          <w:sz w:val="17"/>
        </w:rPr>
        <w:t>B. Neilson, </w:t>
      </w:r>
      <w:r>
        <w:rPr>
          <w:rFonts w:ascii="Calibri"/>
          <w:i/>
          <w:color w:val="231F20"/>
          <w:sz w:val="17"/>
        </w:rPr>
        <w:t>Border as method, or the Multiplication of Labor</w:t>
      </w:r>
      <w:r>
        <w:rPr>
          <w:rFonts w:ascii="Calibri"/>
          <w:color w:val="231F20"/>
          <w:sz w:val="17"/>
        </w:rPr>
        <w:t>, Durham, Duke University Press, 2013.</w:t>
      </w:r>
    </w:p>
    <w:p>
      <w:pPr>
        <w:pStyle w:val="BodyText"/>
        <w:rPr>
          <w:rFonts w:ascii="Calibri"/>
          <w:sz w:val="20"/>
        </w:rPr>
      </w:pPr>
    </w:p>
    <w:p>
      <w:pPr>
        <w:pStyle w:val="BodyText"/>
        <w:spacing w:before="9"/>
        <w:rPr>
          <w:rFonts w:ascii="Calibri"/>
          <w:sz w:val="27"/>
        </w:rPr>
      </w:pPr>
    </w:p>
    <w:p>
      <w:pPr>
        <w:tabs>
          <w:tab w:pos="1331" w:val="left" w:leader="none"/>
        </w:tabs>
        <w:spacing w:before="68"/>
        <w:ind w:left="281" w:right="0" w:firstLine="0"/>
        <w:jc w:val="left"/>
        <w:rPr>
          <w:rFonts w:ascii="Calibri"/>
          <w:sz w:val="16"/>
        </w:rPr>
      </w:pPr>
      <w:r>
        <w:rPr/>
        <w:pict>
          <v:group style="position:absolute;margin-left:98.787804pt;margin-top:-3.358812pt;width:20.4pt;height:43pt;mso-position-horizontal-relative:page;mso-position-vertical-relative:paragraph;z-index:-172600"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40</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861" w:right="0" w:firstLine="0"/>
        <w:jc w:val="left"/>
        <w:rPr>
          <w:rFonts w:ascii="Arial" w:hAnsi="Arial"/>
          <w:sz w:val="20"/>
        </w:rPr>
      </w:pPr>
      <w:r>
        <w:rPr/>
        <w:pict>
          <v:group style="position:absolute;margin-left:383.821014pt;margin-top:-25.479271pt;width:8.65pt;height:41pt;mso-position-horizontal-relative:page;mso-position-vertical-relative:paragraph;z-index:-17255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3"/>
          <w:sz w:val="14"/>
        </w:rPr>
        <w:t> </w:t>
      </w:r>
      <w:r>
        <w:rPr>
          <w:rFonts w:ascii="Lucida Sans Unicode" w:hAnsi="Lucida Sans Unicode"/>
          <w:color w:val="6D6E71"/>
          <w:sz w:val="14"/>
        </w:rPr>
        <w:t>ESTADO</w:t>
      </w:r>
      <w:r>
        <w:rPr>
          <w:rFonts w:ascii="Lucida Sans Unicode" w:hAnsi="Lucida Sans Unicode"/>
          <w:color w:val="6D6E71"/>
          <w:spacing w:val="-23"/>
          <w:sz w:val="14"/>
        </w:rPr>
        <w:t> </w:t>
      </w:r>
      <w:r>
        <w:rPr>
          <w:rFonts w:ascii="Lucida Sans Unicode" w:hAnsi="Lucida Sans Unicode"/>
          <w:color w:val="6D6E71"/>
          <w:sz w:val="14"/>
        </w:rPr>
        <w:t>GLOBAL</w:t>
      </w:r>
      <w:r>
        <w:rPr>
          <w:rFonts w:ascii="Lucida Sans Unicode" w:hAnsi="Lucida Sans Unicode"/>
          <w:color w:val="6D6E71"/>
          <w:spacing w:val="-23"/>
          <w:sz w:val="14"/>
        </w:rPr>
        <w:t> </w:t>
      </w:r>
      <w:r>
        <w:rPr>
          <w:rFonts w:ascii="Lucida Sans Unicode" w:hAnsi="Lucida Sans Unicode"/>
          <w:color w:val="6D6E71"/>
          <w:sz w:val="14"/>
        </w:rPr>
        <w:t>Y</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EVOLUCIÓN</w:t>
      </w:r>
      <w:r>
        <w:rPr>
          <w:rFonts w:ascii="Lucida Sans Unicode" w:hAnsi="Lucida Sans Unicode"/>
          <w:color w:val="6D6E71"/>
          <w:spacing w:val="-23"/>
          <w:sz w:val="14"/>
        </w:rPr>
        <w:t> </w:t>
      </w:r>
      <w:r>
        <w:rPr>
          <w:rFonts w:ascii="Lucida Sans Unicode" w:hAnsi="Lucida Sans Unicode"/>
          <w:color w:val="6D6E71"/>
          <w:sz w:val="14"/>
        </w:rPr>
        <w:t>DE</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SOBERANÍA</w:t>
      </w:r>
      <w:r>
        <w:rPr>
          <w:rFonts w:ascii="Arial" w:hAnsi="Arial"/>
          <w:color w:val="414042"/>
          <w:position w:val="-3"/>
          <w:sz w:val="20"/>
        </w:rPr>
        <w:tab/>
        <w:t>41</w:t>
      </w:r>
    </w:p>
    <w:p>
      <w:pPr>
        <w:pStyle w:val="BodyText"/>
        <w:spacing w:line="247" w:lineRule="auto" w:before="623"/>
        <w:ind w:left="117" w:right="101"/>
        <w:jc w:val="both"/>
      </w:pPr>
      <w:r>
        <w:rPr>
          <w:rFonts w:ascii="Arial" w:hAnsi="Arial"/>
          <w:i/>
          <w:color w:val="231F20"/>
          <w:w w:val="105"/>
        </w:rPr>
        <w:t>cape</w:t>
      </w:r>
      <w:r>
        <w:rPr>
          <w:color w:val="231F20"/>
          <w:w w:val="105"/>
        </w:rPr>
        <w:t>)</w:t>
      </w:r>
      <w:r>
        <w:rPr>
          <w:color w:val="231F20"/>
          <w:spacing w:val="-32"/>
          <w:w w:val="105"/>
        </w:rPr>
        <w:t> </w:t>
      </w:r>
      <w:r>
        <w:rPr>
          <w:color w:val="231F20"/>
          <w:w w:val="105"/>
        </w:rPr>
        <w:t>no</w:t>
      </w:r>
      <w:r>
        <w:rPr>
          <w:color w:val="231F20"/>
          <w:spacing w:val="-32"/>
          <w:w w:val="105"/>
        </w:rPr>
        <w:t> </w:t>
      </w:r>
      <w:r>
        <w:rPr>
          <w:color w:val="231F20"/>
          <w:w w:val="105"/>
        </w:rPr>
        <w:t>tiene</w:t>
      </w:r>
      <w:r>
        <w:rPr>
          <w:color w:val="231F20"/>
          <w:spacing w:val="-32"/>
          <w:w w:val="105"/>
        </w:rPr>
        <w:t> </w:t>
      </w:r>
      <w:r>
        <w:rPr>
          <w:color w:val="231F20"/>
          <w:w w:val="105"/>
        </w:rPr>
        <w:t>forma</w:t>
      </w:r>
      <w:r>
        <w:rPr>
          <w:color w:val="231F20"/>
          <w:spacing w:val="-32"/>
          <w:w w:val="105"/>
        </w:rPr>
        <w:t> </w:t>
      </w:r>
      <w:r>
        <w:rPr>
          <w:color w:val="231F20"/>
          <w:w w:val="105"/>
        </w:rPr>
        <w:t>política”</w:t>
      </w:r>
      <w:r>
        <w:rPr>
          <w:color w:val="231F20"/>
          <w:w w:val="105"/>
          <w:position w:val="7"/>
          <w:sz w:val="12"/>
        </w:rPr>
        <w:t>6</w:t>
      </w:r>
      <w:r>
        <w:rPr>
          <w:color w:val="231F20"/>
          <w:w w:val="105"/>
        </w:rPr>
        <w:t>.</w:t>
      </w:r>
      <w:r>
        <w:rPr>
          <w:color w:val="231F20"/>
          <w:spacing w:val="-32"/>
          <w:w w:val="105"/>
        </w:rPr>
        <w:t> </w:t>
      </w:r>
      <w:r>
        <w:rPr>
          <w:color w:val="231F20"/>
          <w:w w:val="105"/>
        </w:rPr>
        <w:t>Esta</w:t>
      </w:r>
      <w:r>
        <w:rPr>
          <w:color w:val="231F20"/>
          <w:spacing w:val="-32"/>
          <w:w w:val="105"/>
        </w:rPr>
        <w:t> </w:t>
      </w:r>
      <w:r>
        <w:rPr>
          <w:color w:val="231F20"/>
          <w:w w:val="105"/>
        </w:rPr>
        <w:t>forma</w:t>
      </w:r>
      <w:r>
        <w:rPr>
          <w:color w:val="231F20"/>
          <w:spacing w:val="-32"/>
          <w:w w:val="105"/>
        </w:rPr>
        <w:t> </w:t>
      </w:r>
      <w:r>
        <w:rPr>
          <w:color w:val="231F20"/>
          <w:w w:val="105"/>
        </w:rPr>
        <w:t>política,</w:t>
      </w:r>
      <w:r>
        <w:rPr>
          <w:color w:val="231F20"/>
          <w:spacing w:val="-32"/>
          <w:w w:val="105"/>
        </w:rPr>
        <w:t> </w:t>
      </w:r>
      <w:r>
        <w:rPr>
          <w:color w:val="231F20"/>
          <w:w w:val="105"/>
        </w:rPr>
        <w:t>sin</w:t>
      </w:r>
      <w:r>
        <w:rPr>
          <w:color w:val="231F20"/>
          <w:spacing w:val="-32"/>
          <w:w w:val="105"/>
        </w:rPr>
        <w:t> </w:t>
      </w:r>
      <w:r>
        <w:rPr>
          <w:color w:val="231F20"/>
          <w:w w:val="105"/>
        </w:rPr>
        <w:t>embargo,</w:t>
      </w:r>
      <w:r>
        <w:rPr>
          <w:color w:val="231F20"/>
          <w:spacing w:val="-32"/>
          <w:w w:val="105"/>
        </w:rPr>
        <w:t> </w:t>
      </w:r>
      <w:r>
        <w:rPr>
          <w:color w:val="231F20"/>
          <w:w w:val="105"/>
        </w:rPr>
        <w:t>no</w:t>
      </w:r>
      <w:r>
        <w:rPr>
          <w:color w:val="231F20"/>
          <w:spacing w:val="-32"/>
          <w:w w:val="105"/>
        </w:rPr>
        <w:t> </w:t>
      </w:r>
      <w:r>
        <w:rPr>
          <w:color w:val="231F20"/>
          <w:w w:val="105"/>
        </w:rPr>
        <w:t>posee exclusivamente</w:t>
      </w:r>
      <w:r>
        <w:rPr>
          <w:color w:val="231F20"/>
          <w:spacing w:val="-34"/>
          <w:w w:val="105"/>
        </w:rPr>
        <w:t> </w:t>
      </w:r>
      <w:r>
        <w:rPr>
          <w:color w:val="231F20"/>
          <w:w w:val="105"/>
        </w:rPr>
        <w:t>una</w:t>
      </w:r>
      <w:r>
        <w:rPr>
          <w:color w:val="231F20"/>
          <w:spacing w:val="-34"/>
          <w:w w:val="105"/>
        </w:rPr>
        <w:t> </w:t>
      </w:r>
      <w:r>
        <w:rPr>
          <w:color w:val="231F20"/>
          <w:w w:val="105"/>
        </w:rPr>
        <w:t>dimensión</w:t>
      </w:r>
      <w:r>
        <w:rPr>
          <w:color w:val="231F20"/>
          <w:spacing w:val="-34"/>
          <w:w w:val="105"/>
        </w:rPr>
        <w:t> </w:t>
      </w:r>
      <w:r>
        <w:rPr>
          <w:color w:val="231F20"/>
          <w:w w:val="105"/>
        </w:rPr>
        <w:t>espacial.</w:t>
      </w:r>
      <w:r>
        <w:rPr>
          <w:color w:val="231F20"/>
          <w:spacing w:val="-34"/>
          <w:w w:val="105"/>
        </w:rPr>
        <w:t> </w:t>
      </w:r>
      <w:r>
        <w:rPr>
          <w:color w:val="231F20"/>
          <w:w w:val="105"/>
        </w:rPr>
        <w:t>Ésta</w:t>
      </w:r>
      <w:r>
        <w:rPr>
          <w:color w:val="231F20"/>
          <w:spacing w:val="-34"/>
          <w:w w:val="105"/>
        </w:rPr>
        <w:t> </w:t>
      </w:r>
      <w:r>
        <w:rPr>
          <w:color w:val="231F20"/>
          <w:w w:val="105"/>
        </w:rPr>
        <w:t>no</w:t>
      </w:r>
      <w:r>
        <w:rPr>
          <w:color w:val="231F20"/>
          <w:spacing w:val="-34"/>
          <w:w w:val="105"/>
        </w:rPr>
        <w:t> </w:t>
      </w:r>
      <w:r>
        <w:rPr>
          <w:color w:val="231F20"/>
          <w:w w:val="105"/>
        </w:rPr>
        <w:t>era</w:t>
      </w:r>
      <w:r>
        <w:rPr>
          <w:color w:val="231F20"/>
          <w:spacing w:val="-34"/>
          <w:w w:val="105"/>
        </w:rPr>
        <w:t> </w:t>
      </w:r>
      <w:r>
        <w:rPr>
          <w:color w:val="231F20"/>
          <w:w w:val="105"/>
        </w:rPr>
        <w:t>y</w:t>
      </w:r>
      <w:r>
        <w:rPr>
          <w:color w:val="231F20"/>
          <w:spacing w:val="-34"/>
          <w:w w:val="105"/>
        </w:rPr>
        <w:t> </w:t>
      </w:r>
      <w:r>
        <w:rPr>
          <w:color w:val="231F20"/>
          <w:w w:val="105"/>
        </w:rPr>
        <w:t>no</w:t>
      </w:r>
      <w:r>
        <w:rPr>
          <w:color w:val="231F20"/>
          <w:spacing w:val="-34"/>
          <w:w w:val="105"/>
        </w:rPr>
        <w:t> </w:t>
      </w:r>
      <w:r>
        <w:rPr>
          <w:color w:val="231F20"/>
          <w:w w:val="105"/>
        </w:rPr>
        <w:t>es</w:t>
      </w:r>
      <w:r>
        <w:rPr>
          <w:color w:val="231F20"/>
          <w:spacing w:val="-34"/>
          <w:w w:val="105"/>
        </w:rPr>
        <w:t> </w:t>
      </w:r>
      <w:r>
        <w:rPr>
          <w:color w:val="231F20"/>
          <w:w w:val="105"/>
        </w:rPr>
        <w:t>solamente</w:t>
      </w:r>
      <w:r>
        <w:rPr>
          <w:color w:val="231F20"/>
          <w:spacing w:val="-34"/>
          <w:w w:val="105"/>
        </w:rPr>
        <w:t> </w:t>
      </w:r>
      <w:r>
        <w:rPr>
          <w:color w:val="231F20"/>
          <w:w w:val="105"/>
        </w:rPr>
        <w:t>ga- rantizada</w:t>
      </w:r>
      <w:r>
        <w:rPr>
          <w:color w:val="231F20"/>
          <w:spacing w:val="-42"/>
          <w:w w:val="105"/>
        </w:rPr>
        <w:t> </w:t>
      </w:r>
      <w:r>
        <w:rPr>
          <w:color w:val="231F20"/>
          <w:w w:val="105"/>
        </w:rPr>
        <w:t>por</w:t>
      </w:r>
      <w:r>
        <w:rPr>
          <w:color w:val="231F20"/>
          <w:spacing w:val="-42"/>
          <w:w w:val="105"/>
        </w:rPr>
        <w:t> </w:t>
      </w:r>
      <w:r>
        <w:rPr>
          <w:color w:val="231F20"/>
          <w:w w:val="105"/>
        </w:rPr>
        <w:t>la</w:t>
      </w:r>
      <w:r>
        <w:rPr>
          <w:color w:val="231F20"/>
          <w:spacing w:val="-42"/>
          <w:w w:val="105"/>
        </w:rPr>
        <w:t> </w:t>
      </w:r>
      <w:r>
        <w:rPr>
          <w:color w:val="231F20"/>
          <w:w w:val="105"/>
        </w:rPr>
        <w:t>capacidad</w:t>
      </w:r>
      <w:r>
        <w:rPr>
          <w:color w:val="231F20"/>
          <w:spacing w:val="-42"/>
          <w:w w:val="105"/>
        </w:rPr>
        <w:t> </w:t>
      </w:r>
      <w:r>
        <w:rPr>
          <w:color w:val="231F20"/>
          <w:w w:val="105"/>
        </w:rPr>
        <w:t>de</w:t>
      </w:r>
      <w:r>
        <w:rPr>
          <w:color w:val="231F20"/>
          <w:spacing w:val="-42"/>
          <w:w w:val="105"/>
        </w:rPr>
        <w:t> </w:t>
      </w:r>
      <w:r>
        <w:rPr>
          <w:color w:val="231F20"/>
          <w:w w:val="105"/>
        </w:rPr>
        <w:t>conectar</w:t>
      </w:r>
      <w:r>
        <w:rPr>
          <w:color w:val="231F20"/>
          <w:spacing w:val="-42"/>
          <w:w w:val="105"/>
        </w:rPr>
        <w:t> </w:t>
      </w:r>
      <w:r>
        <w:rPr>
          <w:color w:val="231F20"/>
          <w:w w:val="105"/>
        </w:rPr>
        <w:t>simultáneamente</w:t>
      </w:r>
      <w:r>
        <w:rPr>
          <w:color w:val="231F20"/>
          <w:spacing w:val="-42"/>
          <w:w w:val="105"/>
        </w:rPr>
        <w:t> </w:t>
      </w:r>
      <w:r>
        <w:rPr>
          <w:color w:val="231F20"/>
          <w:w w:val="105"/>
        </w:rPr>
        <w:t>espacios</w:t>
      </w:r>
      <w:r>
        <w:rPr>
          <w:color w:val="231F20"/>
          <w:spacing w:val="-42"/>
          <w:w w:val="105"/>
        </w:rPr>
        <w:t> </w:t>
      </w:r>
      <w:r>
        <w:rPr>
          <w:color w:val="231F20"/>
          <w:w w:val="105"/>
        </w:rPr>
        <w:t>globales heterogéneos,</w:t>
      </w:r>
      <w:r>
        <w:rPr>
          <w:color w:val="231F20"/>
          <w:spacing w:val="-32"/>
          <w:w w:val="105"/>
        </w:rPr>
        <w:t> </w:t>
      </w:r>
      <w:r>
        <w:rPr>
          <w:color w:val="231F20"/>
          <w:w w:val="105"/>
        </w:rPr>
        <w:t>como</w:t>
      </w:r>
      <w:r>
        <w:rPr>
          <w:color w:val="231F20"/>
          <w:spacing w:val="-32"/>
          <w:w w:val="105"/>
        </w:rPr>
        <w:t> </w:t>
      </w:r>
      <w:r>
        <w:rPr>
          <w:color w:val="231F20"/>
          <w:w w:val="105"/>
        </w:rPr>
        <w:t>pueden</w:t>
      </w:r>
      <w:r>
        <w:rPr>
          <w:color w:val="231F20"/>
          <w:spacing w:val="-32"/>
          <w:w w:val="105"/>
        </w:rPr>
        <w:t> </w:t>
      </w:r>
      <w:r>
        <w:rPr>
          <w:color w:val="231F20"/>
          <w:w w:val="105"/>
        </w:rPr>
        <w:t>ser</w:t>
      </w:r>
      <w:r>
        <w:rPr>
          <w:color w:val="231F20"/>
          <w:spacing w:val="-32"/>
          <w:w w:val="105"/>
        </w:rPr>
        <w:t> </w:t>
      </w:r>
      <w:r>
        <w:rPr>
          <w:color w:val="231F20"/>
          <w:w w:val="105"/>
        </w:rPr>
        <w:t>los</w:t>
      </w:r>
      <w:r>
        <w:rPr>
          <w:color w:val="231F20"/>
          <w:spacing w:val="-32"/>
          <w:w w:val="105"/>
        </w:rPr>
        <w:t> </w:t>
      </w:r>
      <w:r>
        <w:rPr>
          <w:color w:val="231F20"/>
          <w:w w:val="105"/>
        </w:rPr>
        <w:t>del</w:t>
      </w:r>
      <w:r>
        <w:rPr>
          <w:color w:val="231F20"/>
          <w:spacing w:val="-32"/>
          <w:w w:val="105"/>
        </w:rPr>
        <w:t> </w:t>
      </w:r>
      <w:r>
        <w:rPr>
          <w:color w:val="231F20"/>
          <w:w w:val="105"/>
        </w:rPr>
        <w:t>gobierno,</w:t>
      </w:r>
      <w:r>
        <w:rPr>
          <w:color w:val="231F20"/>
          <w:spacing w:val="-32"/>
          <w:w w:val="105"/>
        </w:rPr>
        <w:t> </w:t>
      </w:r>
      <w:r>
        <w:rPr>
          <w:color w:val="231F20"/>
          <w:w w:val="105"/>
        </w:rPr>
        <w:t>del</w:t>
      </w:r>
      <w:r>
        <w:rPr>
          <w:color w:val="231F20"/>
          <w:spacing w:val="-32"/>
          <w:w w:val="105"/>
        </w:rPr>
        <w:t> </w:t>
      </w:r>
      <w:r>
        <w:rPr>
          <w:color w:val="231F20"/>
          <w:w w:val="105"/>
        </w:rPr>
        <w:t>Derecho,</w:t>
      </w:r>
      <w:r>
        <w:rPr>
          <w:color w:val="231F20"/>
          <w:spacing w:val="-32"/>
          <w:w w:val="105"/>
        </w:rPr>
        <w:t> </w:t>
      </w:r>
      <w:r>
        <w:rPr>
          <w:color w:val="231F20"/>
          <w:w w:val="105"/>
        </w:rPr>
        <w:t>del</w:t>
      </w:r>
      <w:r>
        <w:rPr>
          <w:color w:val="231F20"/>
          <w:spacing w:val="-32"/>
          <w:w w:val="105"/>
        </w:rPr>
        <w:t> </w:t>
      </w:r>
      <w:r>
        <w:rPr>
          <w:color w:val="231F20"/>
          <w:w w:val="105"/>
        </w:rPr>
        <w:t>dinero, de</w:t>
      </w:r>
      <w:r>
        <w:rPr>
          <w:color w:val="231F20"/>
          <w:spacing w:val="-17"/>
          <w:w w:val="105"/>
        </w:rPr>
        <w:t> </w:t>
      </w:r>
      <w:r>
        <w:rPr>
          <w:color w:val="231F20"/>
          <w:w w:val="105"/>
        </w:rPr>
        <w:t>la</w:t>
      </w:r>
      <w:r>
        <w:rPr>
          <w:color w:val="231F20"/>
          <w:spacing w:val="-17"/>
          <w:w w:val="105"/>
        </w:rPr>
        <w:t> </w:t>
      </w:r>
      <w:r>
        <w:rPr>
          <w:color w:val="231F20"/>
          <w:w w:val="105"/>
        </w:rPr>
        <w:t>ciencia</w:t>
      </w:r>
      <w:r>
        <w:rPr>
          <w:color w:val="231F20"/>
          <w:spacing w:val="-17"/>
          <w:w w:val="105"/>
        </w:rPr>
        <w:t> </w:t>
      </w:r>
      <w:r>
        <w:rPr>
          <w:color w:val="231F20"/>
          <w:w w:val="105"/>
        </w:rPr>
        <w:t>y</w:t>
      </w:r>
      <w:r>
        <w:rPr>
          <w:color w:val="231F20"/>
          <w:spacing w:val="-17"/>
          <w:w w:val="105"/>
        </w:rPr>
        <w:t> </w:t>
      </w:r>
      <w:r>
        <w:rPr>
          <w:color w:val="231F20"/>
          <w:w w:val="105"/>
        </w:rPr>
        <w:t>de</w:t>
      </w:r>
      <w:r>
        <w:rPr>
          <w:color w:val="231F20"/>
          <w:spacing w:val="36"/>
          <w:w w:val="105"/>
        </w:rPr>
        <w:t> </w:t>
      </w:r>
      <w:r>
        <w:rPr>
          <w:color w:val="231F20"/>
          <w:w w:val="105"/>
        </w:rPr>
        <w:t>la</w:t>
      </w:r>
      <w:r>
        <w:rPr>
          <w:color w:val="231F20"/>
          <w:spacing w:val="-17"/>
          <w:w w:val="105"/>
        </w:rPr>
        <w:t> </w:t>
      </w:r>
      <w:r>
        <w:rPr>
          <w:color w:val="231F20"/>
          <w:w w:val="105"/>
        </w:rPr>
        <w:t>moral</w:t>
      </w:r>
      <w:r>
        <w:rPr>
          <w:color w:val="231F20"/>
          <w:w w:val="105"/>
          <w:position w:val="7"/>
          <w:sz w:val="12"/>
        </w:rPr>
        <w:t>7</w:t>
      </w:r>
      <w:r>
        <w:rPr>
          <w:color w:val="231F20"/>
          <w:w w:val="105"/>
        </w:rPr>
        <w:t>.</w:t>
      </w:r>
      <w:r>
        <w:rPr>
          <w:color w:val="231F20"/>
          <w:spacing w:val="-17"/>
          <w:w w:val="105"/>
        </w:rPr>
        <w:t> </w:t>
      </w:r>
      <w:r>
        <w:rPr>
          <w:color w:val="231F20"/>
          <w:w w:val="105"/>
        </w:rPr>
        <w:t>Además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regulación</w:t>
      </w:r>
      <w:r>
        <w:rPr>
          <w:color w:val="231F20"/>
          <w:spacing w:val="-17"/>
          <w:w w:val="105"/>
        </w:rPr>
        <w:t> </w:t>
      </w:r>
      <w:r>
        <w:rPr>
          <w:color w:val="231F20"/>
          <w:w w:val="105"/>
        </w:rPr>
        <w:t>espacial,</w:t>
      </w:r>
      <w:r>
        <w:rPr>
          <w:color w:val="231F20"/>
          <w:spacing w:val="-17"/>
          <w:w w:val="105"/>
        </w:rPr>
        <w:t> </w:t>
      </w:r>
      <w:r>
        <w:rPr>
          <w:color w:val="231F20"/>
          <w:w w:val="105"/>
        </w:rPr>
        <w:t>la</w:t>
      </w:r>
      <w:r>
        <w:rPr>
          <w:color w:val="231F20"/>
          <w:spacing w:val="-17"/>
          <w:w w:val="105"/>
        </w:rPr>
        <w:t> </w:t>
      </w:r>
      <w:r>
        <w:rPr>
          <w:color w:val="231F20"/>
          <w:w w:val="105"/>
        </w:rPr>
        <w:t>sobera- nía</w:t>
      </w:r>
      <w:r>
        <w:rPr>
          <w:color w:val="231F20"/>
          <w:spacing w:val="-19"/>
          <w:w w:val="105"/>
        </w:rPr>
        <w:t> </w:t>
      </w:r>
      <w:r>
        <w:rPr>
          <w:color w:val="231F20"/>
          <w:w w:val="105"/>
        </w:rPr>
        <w:t>contiene</w:t>
      </w:r>
      <w:r>
        <w:rPr>
          <w:color w:val="231F20"/>
          <w:spacing w:val="-19"/>
          <w:w w:val="105"/>
        </w:rPr>
        <w:t> </w:t>
      </w:r>
      <w:r>
        <w:rPr>
          <w:color w:val="231F20"/>
          <w:w w:val="105"/>
        </w:rPr>
        <w:t>una</w:t>
      </w:r>
      <w:r>
        <w:rPr>
          <w:color w:val="231F20"/>
          <w:spacing w:val="-19"/>
          <w:w w:val="105"/>
        </w:rPr>
        <w:t> </w:t>
      </w:r>
      <w:r>
        <w:rPr>
          <w:color w:val="231F20"/>
          <w:w w:val="105"/>
        </w:rPr>
        <w:t>promesa</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coloca</w:t>
      </w:r>
      <w:r>
        <w:rPr>
          <w:color w:val="231F20"/>
          <w:spacing w:val="-19"/>
          <w:w w:val="105"/>
        </w:rPr>
        <w:t> </w:t>
      </w:r>
      <w:r>
        <w:rPr>
          <w:color w:val="231F20"/>
          <w:w w:val="105"/>
        </w:rPr>
        <w:t>completamente</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tiempo.</w:t>
      </w:r>
      <w:r>
        <w:rPr>
          <w:color w:val="231F20"/>
          <w:spacing w:val="-19"/>
          <w:w w:val="105"/>
        </w:rPr>
        <w:t> </w:t>
      </w:r>
      <w:r>
        <w:rPr>
          <w:color w:val="231F20"/>
          <w:w w:val="105"/>
        </w:rPr>
        <w:t>La “fundación</w:t>
      </w:r>
      <w:r>
        <w:rPr>
          <w:color w:val="231F20"/>
          <w:spacing w:val="-20"/>
          <w:w w:val="105"/>
        </w:rPr>
        <w:t> </w:t>
      </w:r>
      <w:r>
        <w:rPr>
          <w:color w:val="231F20"/>
          <w:w w:val="105"/>
        </w:rPr>
        <w:t>territorial</w:t>
      </w:r>
      <w:r>
        <w:rPr>
          <w:color w:val="231F20"/>
          <w:spacing w:val="-20"/>
          <w:w w:val="105"/>
        </w:rPr>
        <w:t> </w:t>
      </w:r>
      <w:r>
        <w:rPr>
          <w:color w:val="231F20"/>
          <w:w w:val="105"/>
        </w:rPr>
        <w:t>del</w:t>
      </w:r>
      <w:r>
        <w:rPr>
          <w:color w:val="231F20"/>
          <w:spacing w:val="-20"/>
          <w:w w:val="105"/>
        </w:rPr>
        <w:t> </w:t>
      </w:r>
      <w:r>
        <w:rPr>
          <w:color w:val="231F20"/>
          <w:w w:val="105"/>
        </w:rPr>
        <w:t>orden”</w:t>
      </w:r>
      <w:r>
        <w:rPr>
          <w:color w:val="231F20"/>
          <w:spacing w:val="-20"/>
          <w:w w:val="105"/>
        </w:rPr>
        <w:t> </w:t>
      </w:r>
      <w:r>
        <w:rPr>
          <w:color w:val="231F20"/>
          <w:w w:val="105"/>
        </w:rPr>
        <w:t>es</w:t>
      </w:r>
      <w:r>
        <w:rPr>
          <w:color w:val="231F20"/>
          <w:spacing w:val="-20"/>
          <w:w w:val="105"/>
        </w:rPr>
        <w:t> </w:t>
      </w:r>
      <w:r>
        <w:rPr>
          <w:color w:val="231F20"/>
          <w:w w:val="105"/>
        </w:rPr>
        <w:t>posible</w:t>
      </w:r>
      <w:r>
        <w:rPr>
          <w:color w:val="231F20"/>
          <w:spacing w:val="-20"/>
          <w:w w:val="105"/>
        </w:rPr>
        <w:t> </w:t>
      </w:r>
      <w:r>
        <w:rPr>
          <w:color w:val="231F20"/>
          <w:w w:val="105"/>
        </w:rPr>
        <w:t>sólo</w:t>
      </w:r>
      <w:r>
        <w:rPr>
          <w:color w:val="231F20"/>
          <w:spacing w:val="-20"/>
          <w:w w:val="105"/>
        </w:rPr>
        <w:t> </w:t>
      </w:r>
      <w:r>
        <w:rPr>
          <w:color w:val="231F20"/>
          <w:w w:val="105"/>
        </w:rPr>
        <w:t>si</w:t>
      </w:r>
      <w:r>
        <w:rPr>
          <w:color w:val="231F20"/>
          <w:spacing w:val="-20"/>
          <w:w w:val="105"/>
        </w:rPr>
        <w:t> </w:t>
      </w:r>
      <w:r>
        <w:rPr>
          <w:color w:val="231F20"/>
          <w:w w:val="105"/>
        </w:rPr>
        <w:t>deriva</w:t>
      </w:r>
      <w:r>
        <w:rPr>
          <w:color w:val="231F20"/>
          <w:spacing w:val="-20"/>
          <w:w w:val="105"/>
        </w:rPr>
        <w:t> </w:t>
      </w:r>
      <w:r>
        <w:rPr>
          <w:color w:val="231F20"/>
          <w:w w:val="105"/>
        </w:rPr>
        <w:t>de</w:t>
      </w:r>
      <w:r>
        <w:rPr>
          <w:color w:val="231F20"/>
          <w:spacing w:val="-20"/>
          <w:w w:val="105"/>
        </w:rPr>
        <w:t> </w:t>
      </w:r>
      <w:r>
        <w:rPr>
          <w:color w:val="231F20"/>
          <w:w w:val="105"/>
        </w:rPr>
        <w:t>un</w:t>
      </w:r>
      <w:r>
        <w:rPr>
          <w:color w:val="231F20"/>
          <w:spacing w:val="-20"/>
          <w:w w:val="105"/>
        </w:rPr>
        <w:t> </w:t>
      </w:r>
      <w:r>
        <w:rPr>
          <w:color w:val="231F20"/>
          <w:w w:val="105"/>
        </w:rPr>
        <w:t>acto</w:t>
      </w:r>
      <w:r>
        <w:rPr>
          <w:color w:val="231F20"/>
          <w:spacing w:val="-20"/>
          <w:w w:val="105"/>
        </w:rPr>
        <w:t> </w:t>
      </w:r>
      <w:r>
        <w:rPr>
          <w:color w:val="231F20"/>
          <w:w w:val="105"/>
        </w:rPr>
        <w:t>legíti- mo</w:t>
      </w:r>
      <w:r>
        <w:rPr>
          <w:color w:val="231F20"/>
          <w:spacing w:val="-23"/>
          <w:w w:val="105"/>
        </w:rPr>
        <w:t> </w:t>
      </w:r>
      <w:r>
        <w:rPr>
          <w:color w:val="231F20"/>
          <w:w w:val="105"/>
        </w:rPr>
        <w:t>que</w:t>
      </w:r>
      <w:r>
        <w:rPr>
          <w:color w:val="231F20"/>
          <w:spacing w:val="-23"/>
          <w:w w:val="105"/>
        </w:rPr>
        <w:t> </w:t>
      </w:r>
      <w:r>
        <w:rPr>
          <w:color w:val="231F20"/>
          <w:w w:val="105"/>
        </w:rPr>
        <w:t>se</w:t>
      </w:r>
      <w:r>
        <w:rPr>
          <w:color w:val="231F20"/>
          <w:spacing w:val="-23"/>
          <w:w w:val="105"/>
        </w:rPr>
        <w:t> </w:t>
      </w:r>
      <w:r>
        <w:rPr>
          <w:color w:val="231F20"/>
          <w:w w:val="105"/>
        </w:rPr>
        <w:t>ubica</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pasado,</w:t>
      </w:r>
      <w:r>
        <w:rPr>
          <w:color w:val="231F20"/>
          <w:spacing w:val="-23"/>
          <w:w w:val="105"/>
        </w:rPr>
        <w:t> </w:t>
      </w:r>
      <w:r>
        <w:rPr>
          <w:color w:val="231F20"/>
          <w:w w:val="105"/>
        </w:rPr>
        <w:t>pero</w:t>
      </w:r>
      <w:r>
        <w:rPr>
          <w:color w:val="231F20"/>
          <w:spacing w:val="-23"/>
          <w:w w:val="105"/>
        </w:rPr>
        <w:t> </w:t>
      </w:r>
      <w:r>
        <w:rPr>
          <w:color w:val="231F20"/>
          <w:w w:val="105"/>
        </w:rPr>
        <w:t>que</w:t>
      </w:r>
      <w:r>
        <w:rPr>
          <w:color w:val="231F20"/>
          <w:spacing w:val="-23"/>
          <w:w w:val="105"/>
        </w:rPr>
        <w:t> </w:t>
      </w:r>
      <w:r>
        <w:rPr>
          <w:color w:val="231F20"/>
          <w:w w:val="105"/>
        </w:rPr>
        <w:t>promete</w:t>
      </w:r>
      <w:r>
        <w:rPr>
          <w:color w:val="231F20"/>
          <w:spacing w:val="-23"/>
          <w:w w:val="105"/>
        </w:rPr>
        <w:t> </w:t>
      </w:r>
      <w:r>
        <w:rPr>
          <w:color w:val="231F20"/>
          <w:w w:val="105"/>
        </w:rPr>
        <w:t>permanecer</w:t>
      </w:r>
      <w:r>
        <w:rPr>
          <w:color w:val="231F20"/>
          <w:spacing w:val="-23"/>
          <w:w w:val="105"/>
        </w:rPr>
        <w:t> </w:t>
      </w:r>
      <w:r>
        <w:rPr>
          <w:color w:val="231F20"/>
          <w:w w:val="105"/>
        </w:rPr>
        <w:t>válido</w:t>
      </w:r>
      <w:r>
        <w:rPr>
          <w:color w:val="231F20"/>
          <w:spacing w:val="-23"/>
          <w:w w:val="105"/>
        </w:rPr>
        <w:t> </w:t>
      </w:r>
      <w:r>
        <w:rPr>
          <w:color w:val="231F20"/>
          <w:w w:val="105"/>
        </w:rPr>
        <w:t>en</w:t>
      </w:r>
      <w:r>
        <w:rPr>
          <w:color w:val="231F20"/>
          <w:spacing w:val="-23"/>
          <w:w w:val="105"/>
        </w:rPr>
        <w:t> </w:t>
      </w:r>
      <w:r>
        <w:rPr>
          <w:color w:val="231F20"/>
          <w:w w:val="105"/>
        </w:rPr>
        <w:t>el futuro.</w:t>
      </w:r>
      <w:r>
        <w:rPr>
          <w:color w:val="231F20"/>
          <w:spacing w:val="-20"/>
          <w:w w:val="105"/>
        </w:rPr>
        <w:t> </w:t>
      </w:r>
      <w:r>
        <w:rPr>
          <w:color w:val="231F20"/>
          <w:w w:val="105"/>
        </w:rPr>
        <w:t>A</w:t>
      </w:r>
      <w:r>
        <w:rPr>
          <w:color w:val="231F20"/>
          <w:spacing w:val="-20"/>
          <w:w w:val="105"/>
        </w:rPr>
        <w:t> </w:t>
      </w:r>
      <w:r>
        <w:rPr>
          <w:color w:val="231F20"/>
          <w:w w:val="105"/>
        </w:rPr>
        <w:t>diferencia</w:t>
      </w:r>
      <w:r>
        <w:rPr>
          <w:color w:val="231F20"/>
          <w:spacing w:val="-20"/>
          <w:w w:val="105"/>
        </w:rPr>
        <w:t> </w:t>
      </w:r>
      <w:r>
        <w:rPr>
          <w:color w:val="231F20"/>
          <w:w w:val="105"/>
        </w:rPr>
        <w:t>de</w:t>
      </w:r>
      <w:r>
        <w:rPr>
          <w:color w:val="231F20"/>
          <w:spacing w:val="-20"/>
          <w:w w:val="105"/>
        </w:rPr>
        <w:t> </w:t>
      </w:r>
      <w:r>
        <w:rPr>
          <w:color w:val="231F20"/>
          <w:w w:val="105"/>
        </w:rPr>
        <w:t>lo</w:t>
      </w:r>
      <w:r>
        <w:rPr>
          <w:color w:val="231F20"/>
          <w:spacing w:val="-20"/>
          <w:w w:val="105"/>
        </w:rPr>
        <w:t> </w:t>
      </w:r>
      <w:r>
        <w:rPr>
          <w:color w:val="231F20"/>
          <w:w w:val="105"/>
        </w:rPr>
        <w:t>que</w:t>
      </w:r>
      <w:r>
        <w:rPr>
          <w:color w:val="231F20"/>
          <w:spacing w:val="-20"/>
          <w:w w:val="105"/>
        </w:rPr>
        <w:t> </w:t>
      </w:r>
      <w:r>
        <w:rPr>
          <w:color w:val="231F20"/>
          <w:w w:val="105"/>
        </w:rPr>
        <w:t>Hannah</w:t>
      </w:r>
      <w:r>
        <w:rPr>
          <w:color w:val="231F20"/>
          <w:spacing w:val="-20"/>
          <w:w w:val="105"/>
        </w:rPr>
        <w:t> </w:t>
      </w:r>
      <w:r>
        <w:rPr>
          <w:color w:val="231F20"/>
          <w:w w:val="105"/>
        </w:rPr>
        <w:t>Arendt</w:t>
      </w:r>
      <w:r>
        <w:rPr>
          <w:color w:val="231F20"/>
          <w:spacing w:val="-20"/>
          <w:w w:val="105"/>
        </w:rPr>
        <w:t> </w:t>
      </w:r>
      <w:r>
        <w:rPr>
          <w:color w:val="231F20"/>
          <w:w w:val="105"/>
        </w:rPr>
        <w:t>atribuye</w:t>
      </w:r>
      <w:r>
        <w:rPr>
          <w:color w:val="231F20"/>
          <w:spacing w:val="-20"/>
          <w:w w:val="105"/>
        </w:rPr>
        <w:t> </w:t>
      </w:r>
      <w:r>
        <w:rPr>
          <w:color w:val="231F20"/>
          <w:w w:val="105"/>
        </w:rPr>
        <w:t>al</w:t>
      </w:r>
      <w:r>
        <w:rPr>
          <w:color w:val="231F20"/>
          <w:spacing w:val="-20"/>
          <w:w w:val="105"/>
        </w:rPr>
        <w:t> </w:t>
      </w:r>
      <w:r>
        <w:rPr>
          <w:color w:val="231F20"/>
          <w:w w:val="105"/>
        </w:rPr>
        <w:t>concepto</w:t>
      </w:r>
      <w:r>
        <w:rPr>
          <w:color w:val="231F20"/>
          <w:spacing w:val="-20"/>
          <w:w w:val="105"/>
        </w:rPr>
        <w:t> </w:t>
      </w:r>
      <w:r>
        <w:rPr>
          <w:color w:val="231F20"/>
          <w:w w:val="105"/>
        </w:rPr>
        <w:t>clásico de</w:t>
      </w:r>
      <w:r>
        <w:rPr>
          <w:color w:val="231F20"/>
          <w:spacing w:val="-21"/>
          <w:w w:val="105"/>
        </w:rPr>
        <w:t> </w:t>
      </w:r>
      <w:r>
        <w:rPr>
          <w:color w:val="231F20"/>
          <w:w w:val="105"/>
        </w:rPr>
        <w:t>autoridad,</w:t>
      </w:r>
      <w:r>
        <w:rPr>
          <w:color w:val="231F20"/>
          <w:spacing w:val="-21"/>
          <w:w w:val="105"/>
        </w:rPr>
        <w:t> </w:t>
      </w:r>
      <w:r>
        <w:rPr>
          <w:color w:val="231F20"/>
          <w:w w:val="105"/>
        </w:rPr>
        <w:t>la</w:t>
      </w:r>
      <w:r>
        <w:rPr>
          <w:color w:val="231F20"/>
          <w:spacing w:val="-21"/>
          <w:w w:val="105"/>
        </w:rPr>
        <w:t> </w:t>
      </w:r>
      <w:r>
        <w:rPr>
          <w:color w:val="231F20"/>
          <w:w w:val="105"/>
        </w:rPr>
        <w:t>autoridad</w:t>
      </w:r>
      <w:r>
        <w:rPr>
          <w:color w:val="231F20"/>
          <w:spacing w:val="-21"/>
          <w:w w:val="105"/>
        </w:rPr>
        <w:t> </w:t>
      </w:r>
      <w:r>
        <w:rPr>
          <w:color w:val="231F20"/>
          <w:w w:val="105"/>
        </w:rPr>
        <w:t>soberana</w:t>
      </w:r>
      <w:r>
        <w:rPr>
          <w:color w:val="231F20"/>
          <w:spacing w:val="-21"/>
          <w:w w:val="105"/>
        </w:rPr>
        <w:t> </w:t>
      </w:r>
      <w:r>
        <w:rPr>
          <w:color w:val="231F20"/>
          <w:w w:val="105"/>
        </w:rPr>
        <w:t>coincide</w:t>
      </w:r>
      <w:r>
        <w:rPr>
          <w:color w:val="231F20"/>
          <w:spacing w:val="-21"/>
          <w:w w:val="105"/>
        </w:rPr>
        <w:t> </w:t>
      </w:r>
      <w:r>
        <w:rPr>
          <w:color w:val="231F20"/>
          <w:w w:val="105"/>
        </w:rPr>
        <w:t>con</w:t>
      </w:r>
      <w:r>
        <w:rPr>
          <w:color w:val="231F20"/>
          <w:spacing w:val="-21"/>
          <w:w w:val="105"/>
        </w:rPr>
        <w:t> </w:t>
      </w:r>
      <w:r>
        <w:rPr>
          <w:color w:val="231F20"/>
          <w:w w:val="105"/>
        </w:rPr>
        <w:t>el</w:t>
      </w:r>
      <w:r>
        <w:rPr>
          <w:color w:val="231F20"/>
          <w:spacing w:val="-21"/>
          <w:w w:val="105"/>
        </w:rPr>
        <w:t> </w:t>
      </w:r>
      <w:r>
        <w:rPr>
          <w:color w:val="231F20"/>
          <w:w w:val="105"/>
        </w:rPr>
        <w:t>poder</w:t>
      </w:r>
      <w:r>
        <w:rPr>
          <w:color w:val="231F20"/>
          <w:spacing w:val="-21"/>
          <w:w w:val="105"/>
        </w:rPr>
        <w:t> </w:t>
      </w:r>
      <w:r>
        <w:rPr>
          <w:color w:val="231F20"/>
          <w:w w:val="105"/>
        </w:rPr>
        <w:t>y</w:t>
      </w:r>
      <w:r>
        <w:rPr>
          <w:color w:val="231F20"/>
          <w:spacing w:val="-21"/>
          <w:w w:val="105"/>
        </w:rPr>
        <w:t> </w:t>
      </w:r>
      <w:r>
        <w:rPr>
          <w:color w:val="231F20"/>
          <w:w w:val="105"/>
        </w:rPr>
        <w:t>es</w:t>
      </w:r>
      <w:r>
        <w:rPr>
          <w:color w:val="231F20"/>
          <w:spacing w:val="-21"/>
          <w:w w:val="105"/>
        </w:rPr>
        <w:t> </w:t>
      </w:r>
      <w:r>
        <w:rPr>
          <w:color w:val="231F20"/>
          <w:w w:val="105"/>
        </w:rPr>
        <w:t>legitimada por</w:t>
      </w:r>
      <w:r>
        <w:rPr>
          <w:color w:val="231F20"/>
          <w:spacing w:val="-22"/>
          <w:w w:val="105"/>
        </w:rPr>
        <w:t> </w:t>
      </w:r>
      <w:r>
        <w:rPr>
          <w:color w:val="231F20"/>
          <w:w w:val="105"/>
        </w:rPr>
        <w:t>su</w:t>
      </w:r>
      <w:r>
        <w:rPr>
          <w:color w:val="231F20"/>
          <w:spacing w:val="-22"/>
          <w:w w:val="105"/>
        </w:rPr>
        <w:t> </w:t>
      </w:r>
      <w:r>
        <w:rPr>
          <w:color w:val="231F20"/>
          <w:w w:val="105"/>
        </w:rPr>
        <w:t>apertura</w:t>
      </w:r>
      <w:r>
        <w:rPr>
          <w:color w:val="231F20"/>
          <w:spacing w:val="-22"/>
          <w:w w:val="105"/>
        </w:rPr>
        <w:t> </w:t>
      </w:r>
      <w:r>
        <w:rPr>
          <w:color w:val="231F20"/>
          <w:w w:val="105"/>
        </w:rPr>
        <w:t>al</w:t>
      </w:r>
      <w:r>
        <w:rPr>
          <w:color w:val="231F20"/>
          <w:spacing w:val="-22"/>
          <w:w w:val="105"/>
        </w:rPr>
        <w:t> </w:t>
      </w:r>
      <w:r>
        <w:rPr>
          <w:color w:val="231F20"/>
          <w:w w:val="105"/>
        </w:rPr>
        <w:t>futuro</w:t>
      </w:r>
      <w:r>
        <w:rPr>
          <w:color w:val="231F20"/>
          <w:spacing w:val="-22"/>
          <w:w w:val="105"/>
        </w:rPr>
        <w:t> </w:t>
      </w:r>
      <w:r>
        <w:rPr>
          <w:color w:val="231F20"/>
          <w:w w:val="105"/>
        </w:rPr>
        <w:t>y</w:t>
      </w:r>
      <w:r>
        <w:rPr>
          <w:color w:val="231F20"/>
          <w:spacing w:val="-22"/>
          <w:w w:val="105"/>
        </w:rPr>
        <w:t> </w:t>
      </w:r>
      <w:r>
        <w:rPr>
          <w:color w:val="231F20"/>
          <w:w w:val="105"/>
        </w:rPr>
        <w:t>no</w:t>
      </w:r>
      <w:r>
        <w:rPr>
          <w:color w:val="231F20"/>
          <w:spacing w:val="-22"/>
          <w:w w:val="105"/>
        </w:rPr>
        <w:t> </w:t>
      </w:r>
      <w:r>
        <w:rPr>
          <w:color w:val="231F20"/>
          <w:w w:val="105"/>
        </w:rPr>
        <w:t>por</w:t>
      </w:r>
      <w:r>
        <w:rPr>
          <w:color w:val="231F20"/>
          <w:spacing w:val="-22"/>
          <w:w w:val="105"/>
        </w:rPr>
        <w:t> </w:t>
      </w:r>
      <w:r>
        <w:rPr>
          <w:color w:val="231F20"/>
          <w:w w:val="105"/>
        </w:rPr>
        <w:t>su</w:t>
      </w:r>
      <w:r>
        <w:rPr>
          <w:color w:val="231F20"/>
          <w:spacing w:val="-22"/>
          <w:w w:val="105"/>
        </w:rPr>
        <w:t> </w:t>
      </w:r>
      <w:r>
        <w:rPr>
          <w:color w:val="231F20"/>
          <w:w w:val="105"/>
        </w:rPr>
        <w:t>referencia</w:t>
      </w:r>
      <w:r>
        <w:rPr>
          <w:color w:val="231F20"/>
          <w:spacing w:val="-22"/>
          <w:w w:val="105"/>
        </w:rPr>
        <w:t> </w:t>
      </w:r>
      <w:r>
        <w:rPr>
          <w:color w:val="231F20"/>
          <w:w w:val="105"/>
        </w:rPr>
        <w:t>al</w:t>
      </w:r>
      <w:r>
        <w:rPr>
          <w:color w:val="231F20"/>
          <w:spacing w:val="-22"/>
          <w:w w:val="105"/>
        </w:rPr>
        <w:t> </w:t>
      </w:r>
      <w:r>
        <w:rPr>
          <w:color w:val="231F20"/>
          <w:w w:val="105"/>
        </w:rPr>
        <w:t>pasado,</w:t>
      </w:r>
      <w:r>
        <w:rPr>
          <w:color w:val="231F20"/>
          <w:spacing w:val="-22"/>
          <w:w w:val="105"/>
        </w:rPr>
        <w:t> </w:t>
      </w:r>
      <w:r>
        <w:rPr>
          <w:color w:val="231F20"/>
          <w:w w:val="105"/>
        </w:rPr>
        <w:t>ni</w:t>
      </w:r>
      <w:r>
        <w:rPr>
          <w:color w:val="231F20"/>
          <w:spacing w:val="-22"/>
          <w:w w:val="105"/>
        </w:rPr>
        <w:t> </w:t>
      </w:r>
      <w:r>
        <w:rPr>
          <w:color w:val="231F20"/>
          <w:w w:val="105"/>
        </w:rPr>
        <w:t>siquiera</w:t>
      </w:r>
      <w:r>
        <w:rPr>
          <w:color w:val="231F20"/>
          <w:spacing w:val="-22"/>
          <w:w w:val="105"/>
        </w:rPr>
        <w:t> </w:t>
      </w:r>
      <w:r>
        <w:rPr>
          <w:color w:val="231F20"/>
          <w:w w:val="105"/>
        </w:rPr>
        <w:t>si</w:t>
      </w:r>
      <w:r>
        <w:rPr>
          <w:color w:val="231F20"/>
          <w:spacing w:val="-22"/>
          <w:w w:val="105"/>
        </w:rPr>
        <w:t> </w:t>
      </w:r>
      <w:r>
        <w:rPr>
          <w:color w:val="231F20"/>
          <w:w w:val="105"/>
        </w:rPr>
        <w:t>se trata de “un pasado no menos presente y actual en la vida de la</w:t>
      </w:r>
      <w:r>
        <w:rPr>
          <w:color w:val="231F20"/>
          <w:spacing w:val="-42"/>
          <w:w w:val="105"/>
        </w:rPr>
        <w:t> </w:t>
      </w:r>
      <w:r>
        <w:rPr>
          <w:color w:val="231F20"/>
          <w:w w:val="105"/>
        </w:rPr>
        <w:t>ciudad de</w:t>
      </w:r>
      <w:r>
        <w:rPr>
          <w:color w:val="231F20"/>
          <w:spacing w:val="-14"/>
          <w:w w:val="105"/>
        </w:rPr>
        <w:t> </w:t>
      </w:r>
      <w:r>
        <w:rPr>
          <w:color w:val="231F20"/>
          <w:w w:val="105"/>
        </w:rPr>
        <w:t>cuanto</w:t>
      </w:r>
      <w:r>
        <w:rPr>
          <w:color w:val="231F20"/>
          <w:spacing w:val="-14"/>
          <w:w w:val="105"/>
        </w:rPr>
        <w:t> </w:t>
      </w:r>
      <w:r>
        <w:rPr>
          <w:color w:val="231F20"/>
          <w:w w:val="105"/>
        </w:rPr>
        <w:t>no</w:t>
      </w:r>
      <w:r>
        <w:rPr>
          <w:color w:val="231F20"/>
          <w:spacing w:val="-14"/>
          <w:w w:val="105"/>
        </w:rPr>
        <w:t> </w:t>
      </w:r>
      <w:r>
        <w:rPr>
          <w:color w:val="231F20"/>
          <w:w w:val="105"/>
        </w:rPr>
        <w:t>lo</w:t>
      </w:r>
      <w:r>
        <w:rPr>
          <w:color w:val="231F20"/>
          <w:spacing w:val="-14"/>
          <w:w w:val="105"/>
        </w:rPr>
        <w:t> </w:t>
      </w:r>
      <w:r>
        <w:rPr>
          <w:color w:val="231F20"/>
          <w:w w:val="105"/>
        </w:rPr>
        <w:t>sean</w:t>
      </w:r>
      <w:r>
        <w:rPr>
          <w:color w:val="231F20"/>
          <w:spacing w:val="-14"/>
          <w:w w:val="105"/>
        </w:rPr>
        <w:t> </w:t>
      </w:r>
      <w:r>
        <w:rPr>
          <w:color w:val="231F20"/>
          <w:w w:val="105"/>
        </w:rPr>
        <w:t>el</w:t>
      </w:r>
      <w:r>
        <w:rPr>
          <w:color w:val="231F20"/>
          <w:spacing w:val="-14"/>
          <w:w w:val="105"/>
        </w:rPr>
        <w:t> </w:t>
      </w:r>
      <w:r>
        <w:rPr>
          <w:color w:val="231F20"/>
          <w:w w:val="105"/>
        </w:rPr>
        <w:t>poder</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fuerza</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vivos</w:t>
      </w:r>
      <w:r>
        <w:rPr>
          <w:color w:val="231F20"/>
          <w:spacing w:val="-14"/>
          <w:w w:val="105"/>
        </w:rPr>
        <w:t> </w:t>
      </w:r>
      <w:r>
        <w:rPr>
          <w:color w:val="231F20"/>
          <w:w w:val="105"/>
        </w:rPr>
        <w:t>contemporáneos”</w:t>
      </w:r>
      <w:r>
        <w:rPr>
          <w:color w:val="231F20"/>
          <w:w w:val="105"/>
          <w:position w:val="7"/>
          <w:sz w:val="12"/>
        </w:rPr>
        <w:t>8</w:t>
      </w:r>
      <w:r>
        <w:rPr>
          <w:color w:val="231F20"/>
          <w:w w:val="105"/>
        </w:rPr>
        <w:t>. La</w:t>
      </w:r>
      <w:r>
        <w:rPr>
          <w:color w:val="231F20"/>
          <w:spacing w:val="-21"/>
          <w:w w:val="105"/>
        </w:rPr>
        <w:t> </w:t>
      </w:r>
      <w:r>
        <w:rPr>
          <w:color w:val="231F20"/>
          <w:w w:val="105"/>
        </w:rPr>
        <w:t>soberanía</w:t>
      </w:r>
      <w:r>
        <w:rPr>
          <w:color w:val="231F20"/>
          <w:spacing w:val="-21"/>
          <w:w w:val="105"/>
        </w:rPr>
        <w:t> </w:t>
      </w:r>
      <w:r>
        <w:rPr>
          <w:color w:val="231F20"/>
          <w:w w:val="105"/>
        </w:rPr>
        <w:t>no</w:t>
      </w:r>
      <w:r>
        <w:rPr>
          <w:color w:val="231F20"/>
          <w:spacing w:val="-21"/>
          <w:w w:val="105"/>
        </w:rPr>
        <w:t> </w:t>
      </w:r>
      <w:r>
        <w:rPr>
          <w:color w:val="231F20"/>
          <w:w w:val="105"/>
        </w:rPr>
        <w:t>es</w:t>
      </w:r>
      <w:r>
        <w:rPr>
          <w:color w:val="231F20"/>
          <w:spacing w:val="-21"/>
          <w:w w:val="105"/>
        </w:rPr>
        <w:t> </w:t>
      </w:r>
      <w:r>
        <w:rPr>
          <w:color w:val="231F20"/>
          <w:w w:val="105"/>
        </w:rPr>
        <w:t>sólo</w:t>
      </w:r>
      <w:r>
        <w:rPr>
          <w:color w:val="231F20"/>
          <w:spacing w:val="-21"/>
          <w:w w:val="105"/>
        </w:rPr>
        <w:t> </w:t>
      </w:r>
      <w:r>
        <w:rPr>
          <w:color w:val="231F20"/>
          <w:w w:val="105"/>
        </w:rPr>
        <w:t>absoluta,</w:t>
      </w:r>
      <w:r>
        <w:rPr>
          <w:color w:val="231F20"/>
          <w:spacing w:val="-21"/>
          <w:w w:val="105"/>
        </w:rPr>
        <w:t> </w:t>
      </w:r>
      <w:r>
        <w:rPr>
          <w:color w:val="231F20"/>
          <w:w w:val="105"/>
        </w:rPr>
        <w:t>sino</w:t>
      </w:r>
      <w:r>
        <w:rPr>
          <w:color w:val="231F20"/>
          <w:spacing w:val="-21"/>
          <w:w w:val="105"/>
        </w:rPr>
        <w:t> </w:t>
      </w:r>
      <w:r>
        <w:rPr>
          <w:color w:val="231F20"/>
          <w:w w:val="105"/>
        </w:rPr>
        <w:t>también</w:t>
      </w:r>
      <w:r>
        <w:rPr>
          <w:color w:val="231F20"/>
          <w:spacing w:val="-21"/>
          <w:w w:val="105"/>
        </w:rPr>
        <w:t> </w:t>
      </w:r>
      <w:r>
        <w:rPr>
          <w:color w:val="231F20"/>
          <w:w w:val="105"/>
        </w:rPr>
        <w:t>limitada</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tiempo</w:t>
      </w:r>
      <w:r>
        <w:rPr>
          <w:color w:val="231F20"/>
          <w:spacing w:val="-21"/>
          <w:w w:val="105"/>
        </w:rPr>
        <w:t> </w:t>
      </w:r>
      <w:r>
        <w:rPr>
          <w:color w:val="231F20"/>
          <w:w w:val="105"/>
        </w:rPr>
        <w:t>y</w:t>
      </w:r>
      <w:r>
        <w:rPr>
          <w:color w:val="231F20"/>
          <w:spacing w:val="-21"/>
          <w:w w:val="105"/>
        </w:rPr>
        <w:t> </w:t>
      </w:r>
      <w:r>
        <w:rPr>
          <w:color w:val="231F20"/>
          <w:w w:val="105"/>
        </w:rPr>
        <w:t>las transformaciones</w:t>
      </w:r>
      <w:r>
        <w:rPr>
          <w:color w:val="231F20"/>
          <w:spacing w:val="-45"/>
          <w:w w:val="105"/>
        </w:rPr>
        <w:t> </w:t>
      </w:r>
      <w:r>
        <w:rPr>
          <w:color w:val="231F20"/>
          <w:w w:val="105"/>
        </w:rPr>
        <w:t>del</w:t>
      </w:r>
      <w:r>
        <w:rPr>
          <w:color w:val="231F20"/>
          <w:spacing w:val="-45"/>
          <w:w w:val="105"/>
        </w:rPr>
        <w:t> </w:t>
      </w:r>
      <w:r>
        <w:rPr>
          <w:color w:val="231F20"/>
          <w:w w:val="105"/>
        </w:rPr>
        <w:t>espacio</w:t>
      </w:r>
      <w:r>
        <w:rPr>
          <w:color w:val="231F20"/>
          <w:spacing w:val="-45"/>
          <w:w w:val="105"/>
        </w:rPr>
        <w:t> </w:t>
      </w:r>
      <w:r>
        <w:rPr>
          <w:color w:val="231F20"/>
          <w:w w:val="105"/>
        </w:rPr>
        <w:t>se</w:t>
      </w:r>
      <w:r>
        <w:rPr>
          <w:color w:val="231F20"/>
          <w:spacing w:val="-45"/>
          <w:w w:val="105"/>
        </w:rPr>
        <w:t> </w:t>
      </w:r>
      <w:r>
        <w:rPr>
          <w:color w:val="231F20"/>
          <w:w w:val="105"/>
        </w:rPr>
        <w:t>vuelven</w:t>
      </w:r>
      <w:r>
        <w:rPr>
          <w:color w:val="231F20"/>
          <w:spacing w:val="-45"/>
          <w:w w:val="105"/>
        </w:rPr>
        <w:t> </w:t>
      </w:r>
      <w:r>
        <w:rPr>
          <w:color w:val="231F20"/>
          <w:w w:val="105"/>
        </w:rPr>
        <w:t>significativas</w:t>
      </w:r>
      <w:r>
        <w:rPr>
          <w:color w:val="231F20"/>
          <w:spacing w:val="-45"/>
          <w:w w:val="105"/>
        </w:rPr>
        <w:t> </w:t>
      </w:r>
      <w:r>
        <w:rPr>
          <w:color w:val="231F20"/>
          <w:w w:val="105"/>
        </w:rPr>
        <w:t>porque</w:t>
      </w:r>
      <w:r>
        <w:rPr>
          <w:color w:val="231F20"/>
          <w:spacing w:val="-45"/>
          <w:w w:val="105"/>
        </w:rPr>
        <w:t> </w:t>
      </w:r>
      <w:r>
        <w:rPr>
          <w:color w:val="231F20"/>
          <w:w w:val="105"/>
        </w:rPr>
        <w:t>interrumpen la</w:t>
      </w:r>
      <w:r>
        <w:rPr>
          <w:color w:val="231F20"/>
          <w:spacing w:val="-28"/>
          <w:w w:val="105"/>
        </w:rPr>
        <w:t> </w:t>
      </w:r>
      <w:r>
        <w:rPr>
          <w:color w:val="231F20"/>
          <w:w w:val="105"/>
        </w:rPr>
        <w:t>que</w:t>
      </w:r>
      <w:r>
        <w:rPr>
          <w:color w:val="231F20"/>
          <w:spacing w:val="-28"/>
          <w:w w:val="105"/>
        </w:rPr>
        <w:t> </w:t>
      </w:r>
      <w:r>
        <w:rPr>
          <w:color w:val="231F20"/>
          <w:w w:val="105"/>
        </w:rPr>
        <w:t>ya</w:t>
      </w:r>
      <w:r>
        <w:rPr>
          <w:color w:val="231F20"/>
          <w:spacing w:val="-28"/>
          <w:w w:val="105"/>
        </w:rPr>
        <w:t> </w:t>
      </w:r>
      <w:r>
        <w:rPr>
          <w:color w:val="231F20"/>
          <w:w w:val="105"/>
        </w:rPr>
        <w:t>se</w:t>
      </w:r>
      <w:r>
        <w:rPr>
          <w:color w:val="231F20"/>
          <w:spacing w:val="-28"/>
          <w:w w:val="105"/>
        </w:rPr>
        <w:t> </w:t>
      </w:r>
      <w:r>
        <w:rPr>
          <w:color w:val="231F20"/>
          <w:w w:val="105"/>
        </w:rPr>
        <w:t>había</w:t>
      </w:r>
      <w:r>
        <w:rPr>
          <w:color w:val="231F20"/>
          <w:spacing w:val="-28"/>
          <w:w w:val="105"/>
        </w:rPr>
        <w:t> </w:t>
      </w:r>
      <w:r>
        <w:rPr>
          <w:color w:val="231F20"/>
          <w:w w:val="105"/>
        </w:rPr>
        <w:t>consolidado</w:t>
      </w:r>
      <w:r>
        <w:rPr>
          <w:color w:val="231F20"/>
          <w:spacing w:val="-28"/>
          <w:w w:val="105"/>
        </w:rPr>
        <w:t> </w:t>
      </w:r>
      <w:r>
        <w:rPr>
          <w:color w:val="231F20"/>
          <w:w w:val="105"/>
        </w:rPr>
        <w:t>como</w:t>
      </w:r>
      <w:r>
        <w:rPr>
          <w:color w:val="231F20"/>
          <w:spacing w:val="-28"/>
          <w:w w:val="105"/>
        </w:rPr>
        <w:t> </w:t>
      </w:r>
      <w:r>
        <w:rPr>
          <w:color w:val="231F20"/>
          <w:w w:val="105"/>
        </w:rPr>
        <w:t>una</w:t>
      </w:r>
      <w:r>
        <w:rPr>
          <w:color w:val="231F20"/>
          <w:spacing w:val="-28"/>
          <w:w w:val="105"/>
        </w:rPr>
        <w:t> </w:t>
      </w:r>
      <w:r>
        <w:rPr>
          <w:color w:val="231F20"/>
          <w:w w:val="105"/>
        </w:rPr>
        <w:t>tradición</w:t>
      </w:r>
      <w:r>
        <w:rPr>
          <w:color w:val="231F20"/>
          <w:spacing w:val="-28"/>
          <w:w w:val="105"/>
        </w:rPr>
        <w:t> </w:t>
      </w:r>
      <w:r>
        <w:rPr>
          <w:color w:val="231F20"/>
          <w:w w:val="105"/>
        </w:rPr>
        <w:t>soberana.</w:t>
      </w:r>
    </w:p>
    <w:p>
      <w:pPr>
        <w:pStyle w:val="BodyText"/>
        <w:spacing w:line="247" w:lineRule="auto"/>
        <w:ind w:left="117" w:right="101" w:firstLine="566"/>
        <w:jc w:val="both"/>
      </w:pPr>
      <w:r>
        <w:rPr>
          <w:color w:val="231F20"/>
        </w:rPr>
        <w:t>El rompimiento de esta tradición no revela por lo tanto sólo el</w:t>
      </w:r>
      <w:r>
        <w:rPr>
          <w:color w:val="231F20"/>
          <w:spacing w:val="-25"/>
        </w:rPr>
        <w:t> </w:t>
      </w:r>
      <w:r>
        <w:rPr>
          <w:color w:val="231F20"/>
        </w:rPr>
        <w:t>carác- ter espacialmente determinado de la existencia estatal, sino sobre todo la eventualidad</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acción</w:t>
      </w:r>
      <w:r>
        <w:rPr>
          <w:color w:val="231F20"/>
          <w:position w:val="7"/>
          <w:sz w:val="12"/>
        </w:rPr>
        <w:t>9</w:t>
      </w:r>
      <w:r>
        <w:rPr>
          <w:color w:val="231F20"/>
        </w:rPr>
        <w:t>.</w:t>
      </w:r>
      <w:r>
        <w:rPr>
          <w:color w:val="231F20"/>
          <w:spacing w:val="-5"/>
        </w:rPr>
        <w:t> </w:t>
      </w:r>
      <w:r>
        <w:rPr>
          <w:color w:val="231F20"/>
        </w:rPr>
        <w:t>La</w:t>
      </w:r>
      <w:r>
        <w:rPr>
          <w:color w:val="231F20"/>
          <w:spacing w:val="-5"/>
        </w:rPr>
        <w:t> </w:t>
      </w:r>
      <w:r>
        <w:rPr>
          <w:color w:val="231F20"/>
        </w:rPr>
        <w:t>amenaza</w:t>
      </w:r>
      <w:r>
        <w:rPr>
          <w:color w:val="231F20"/>
          <w:spacing w:val="-5"/>
        </w:rPr>
        <w:t> </w:t>
      </w:r>
      <w:r>
        <w:rPr>
          <w:color w:val="231F20"/>
        </w:rPr>
        <w:t>de</w:t>
      </w:r>
      <w:r>
        <w:rPr>
          <w:color w:val="231F20"/>
          <w:spacing w:val="-5"/>
        </w:rPr>
        <w:t> </w:t>
      </w:r>
      <w:r>
        <w:rPr>
          <w:color w:val="231F20"/>
        </w:rPr>
        <w:t>aparecer</w:t>
      </w:r>
      <w:r>
        <w:rPr>
          <w:color w:val="231F20"/>
          <w:spacing w:val="-5"/>
        </w:rPr>
        <w:t> </w:t>
      </w:r>
      <w:r>
        <w:rPr>
          <w:color w:val="231F20"/>
        </w:rPr>
        <w:t>como</w:t>
      </w:r>
      <w:r>
        <w:rPr>
          <w:color w:val="231F20"/>
          <w:spacing w:val="-5"/>
        </w:rPr>
        <w:t> </w:t>
      </w:r>
      <w:r>
        <w:rPr>
          <w:color w:val="231F20"/>
        </w:rPr>
        <w:t>el</w:t>
      </w:r>
      <w:r>
        <w:rPr>
          <w:color w:val="231F20"/>
          <w:spacing w:val="-5"/>
        </w:rPr>
        <w:t> </w:t>
      </w:r>
      <w:r>
        <w:rPr>
          <w:color w:val="231F20"/>
        </w:rPr>
        <w:t>titular</w:t>
      </w:r>
      <w:r>
        <w:rPr>
          <w:color w:val="231F20"/>
          <w:spacing w:val="-5"/>
        </w:rPr>
        <w:t> </w:t>
      </w:r>
      <w:r>
        <w:rPr>
          <w:color w:val="231F20"/>
        </w:rPr>
        <w:t>de</w:t>
      </w:r>
      <w:r>
        <w:rPr>
          <w:color w:val="231F20"/>
          <w:spacing w:val="-5"/>
        </w:rPr>
        <w:t> </w:t>
      </w:r>
      <w:r>
        <w:rPr>
          <w:color w:val="231F20"/>
        </w:rPr>
        <w:t>una autoridad contingente, que provoca incertidumbre, está estrechamente ligada a la dificultad de intervenir positivamente dentro de un ciclo eco- nómico dominado por movimientos que escapan a las posibilidades del gobierno estatal. Esta comprensión del Estado como factor de incertidum- bre aparece claramente ya en 2008, es </w:t>
      </w:r>
      <w:r>
        <w:rPr>
          <w:color w:val="231F20"/>
          <w:spacing w:val="-4"/>
        </w:rPr>
        <w:t>decir, </w:t>
      </w:r>
      <w:r>
        <w:rPr>
          <w:color w:val="231F20"/>
        </w:rPr>
        <w:t>antes de que la crisis mun- dial desplegara plenamente sus efectos políticos, cuando la </w:t>
      </w:r>
      <w:r>
        <w:rPr>
          <w:rFonts w:ascii="Arial" w:hAnsi="Arial"/>
          <w:i/>
          <w:color w:val="231F20"/>
        </w:rPr>
        <w:t>Organization </w:t>
      </w:r>
      <w:r>
        <w:rPr>
          <w:rFonts w:ascii="Arial" w:hAnsi="Arial"/>
          <w:i/>
          <w:color w:val="231F20"/>
        </w:rPr>
        <w:t>for Economic Co</w:t>
      </w:r>
      <w:r>
        <w:rPr>
          <w:color w:val="231F20"/>
        </w:rPr>
        <w:t>–</w:t>
      </w:r>
      <w:r>
        <w:rPr>
          <w:rFonts w:ascii="Arial" w:hAnsi="Arial"/>
          <w:i/>
          <w:color w:val="231F20"/>
        </w:rPr>
        <w:t>Operation and Development  </w:t>
      </w:r>
      <w:r>
        <w:rPr>
          <w:color w:val="231F20"/>
        </w:rPr>
        <w:t>registró el hecho de que los “Estados pueden ser una fuente de inseguridad” desde el momento   en que hay un número siempre mayor de “Estados débiles, frágiles o en vías de bancarrota”</w:t>
      </w:r>
      <w:r>
        <w:rPr>
          <w:color w:val="231F20"/>
          <w:position w:val="7"/>
          <w:sz w:val="12"/>
        </w:rPr>
        <w:t>10</w:t>
      </w:r>
      <w:r>
        <w:rPr>
          <w:color w:val="231F20"/>
        </w:rPr>
        <w:t>. No estamos frente a la descripción de una situación, sino más bien frente al intento de indicar posibles remedios no menos im- portantes para dirigir la acción de los Estados mismos. La condición de incertidumbre produce en efecto un déficit de racionalidad en las decisio- nes estatales, al punto de imponer al mismo tiempo una redefinición de sus tareas actuales y un replanteamiento total de su historia. Los</w:t>
      </w:r>
      <w:r>
        <w:rPr>
          <w:color w:val="231F20"/>
          <w:spacing w:val="28"/>
        </w:rPr>
        <w:t> </w:t>
      </w:r>
      <w:r>
        <w:rPr>
          <w:color w:val="231F20"/>
        </w:rPr>
        <w:t>Estados,</w:t>
      </w:r>
    </w:p>
    <w:p>
      <w:pPr>
        <w:pStyle w:val="BodyText"/>
        <w:spacing w:before="10"/>
        <w:rPr>
          <w:sz w:val="27"/>
        </w:rPr>
      </w:pPr>
      <w:r>
        <w:rPr/>
        <w:pict>
          <v:line style="position:absolute;mso-position-horizontal-relative:page;mso-position-vertical-relative:paragraph;z-index:2824;mso-wrap-distance-left:0;mso-wrap-distance-right:0" from="70.866203pt,18.906984pt" to="184.252203pt,18.906984pt" stroked="true" strokeweight=".3pt" strokecolor="#231f20">
            <w10:wrap type="topAndBottom"/>
          </v:line>
        </w:pict>
      </w:r>
    </w:p>
    <w:p>
      <w:pPr>
        <w:spacing w:line="206" w:lineRule="exact" w:before="10"/>
        <w:ind w:left="117" w:right="0" w:firstLine="0"/>
        <w:jc w:val="both"/>
        <w:rPr>
          <w:rFonts w:ascii="Calibri" w:hAnsi="Calibri"/>
          <w:sz w:val="17"/>
        </w:rPr>
      </w:pPr>
      <w:r>
        <w:rPr>
          <w:rFonts w:ascii="Calibri" w:hAnsi="Calibri"/>
          <w:color w:val="231F20"/>
          <w:position w:val="6"/>
          <w:sz w:val="10"/>
        </w:rPr>
        <w:t>6 </w:t>
      </w:r>
      <w:r>
        <w:rPr>
          <w:rFonts w:ascii="Calibri" w:hAnsi="Calibri"/>
          <w:color w:val="231F20"/>
          <w:sz w:val="17"/>
        </w:rPr>
        <w:t>M. Neocleous, </w:t>
      </w:r>
      <w:r>
        <w:rPr>
          <w:rFonts w:ascii="Calibri" w:hAnsi="Calibri"/>
          <w:i/>
          <w:color w:val="231F20"/>
          <w:sz w:val="17"/>
        </w:rPr>
        <w:t>Imagining the State</w:t>
      </w:r>
      <w:r>
        <w:rPr>
          <w:rFonts w:ascii="Calibri" w:hAnsi="Calibri"/>
          <w:color w:val="231F20"/>
          <w:sz w:val="17"/>
        </w:rPr>
        <w:t>, Maidenhead, Open University press, 2003, pp. 118–120.</w:t>
      </w:r>
    </w:p>
    <w:p>
      <w:pPr>
        <w:spacing w:line="235" w:lineRule="auto" w:before="1"/>
        <w:ind w:left="117" w:right="101" w:firstLine="0"/>
        <w:jc w:val="both"/>
        <w:rPr>
          <w:rFonts w:ascii="Calibri"/>
          <w:sz w:val="17"/>
        </w:rPr>
      </w:pPr>
      <w:r>
        <w:rPr>
          <w:rFonts w:ascii="Calibri"/>
          <w:color w:val="231F20"/>
          <w:position w:val="6"/>
          <w:sz w:val="10"/>
        </w:rPr>
        <w:t>7 </w:t>
      </w:r>
      <w:r>
        <w:rPr>
          <w:rFonts w:ascii="Calibri"/>
          <w:color w:val="231F20"/>
          <w:sz w:val="17"/>
        </w:rPr>
        <w:t>H. Willke, </w:t>
      </w:r>
      <w:r>
        <w:rPr>
          <w:rFonts w:ascii="Calibri"/>
          <w:i/>
          <w:color w:val="231F20"/>
          <w:sz w:val="17"/>
        </w:rPr>
        <w:t>Heterotopia. Studien zur Kritik der Ordnung moderner Gesellschaften</w:t>
      </w:r>
      <w:r>
        <w:rPr>
          <w:rFonts w:ascii="Calibri"/>
          <w:color w:val="231F20"/>
          <w:sz w:val="17"/>
        </w:rPr>
        <w:t>, Frankfurt am</w:t>
      </w:r>
      <w:r>
        <w:rPr>
          <w:rFonts w:ascii="Calibri"/>
          <w:color w:val="231F20"/>
          <w:spacing w:val="-26"/>
          <w:sz w:val="17"/>
        </w:rPr>
        <w:t> </w:t>
      </w:r>
      <w:r>
        <w:rPr>
          <w:rFonts w:ascii="Calibri"/>
          <w:color w:val="231F20"/>
          <w:sz w:val="17"/>
        </w:rPr>
        <w:t>Main, Suhrkamp,</w:t>
      </w:r>
      <w:r>
        <w:rPr>
          <w:rFonts w:ascii="Calibri"/>
          <w:color w:val="231F20"/>
          <w:spacing w:val="34"/>
          <w:sz w:val="17"/>
        </w:rPr>
        <w:t> </w:t>
      </w:r>
      <w:r>
        <w:rPr>
          <w:rFonts w:ascii="Calibri"/>
          <w:color w:val="231F20"/>
          <w:sz w:val="17"/>
        </w:rPr>
        <w:t>2003.</w:t>
      </w:r>
    </w:p>
    <w:p>
      <w:pPr>
        <w:spacing w:line="203" w:lineRule="exact" w:before="0"/>
        <w:ind w:left="117" w:right="0" w:firstLine="0"/>
        <w:jc w:val="both"/>
        <w:rPr>
          <w:rFonts w:ascii="Calibri" w:hAnsi="Calibri"/>
          <w:sz w:val="17"/>
        </w:rPr>
      </w:pPr>
      <w:r>
        <w:rPr>
          <w:rFonts w:ascii="Calibri" w:hAnsi="Calibri"/>
          <w:color w:val="231F20"/>
          <w:position w:val="6"/>
          <w:sz w:val="10"/>
        </w:rPr>
        <w:t>8 </w:t>
      </w:r>
      <w:r>
        <w:rPr>
          <w:rFonts w:ascii="Calibri" w:hAnsi="Calibri"/>
          <w:color w:val="231F20"/>
          <w:sz w:val="17"/>
        </w:rPr>
        <w:t>H. Arendt, </w:t>
      </w:r>
      <w:r>
        <w:rPr>
          <w:rFonts w:ascii="Calibri" w:hAnsi="Calibri"/>
          <w:i/>
          <w:color w:val="231F20"/>
          <w:sz w:val="17"/>
        </w:rPr>
        <w:t>Autorità</w:t>
      </w:r>
      <w:r>
        <w:rPr>
          <w:rFonts w:ascii="Calibri" w:hAnsi="Calibri"/>
          <w:color w:val="231F20"/>
          <w:sz w:val="17"/>
        </w:rPr>
        <w:t>, in Hannah Arendt, </w:t>
      </w:r>
      <w:r>
        <w:rPr>
          <w:rFonts w:ascii="Calibri" w:hAnsi="Calibri"/>
          <w:i/>
          <w:color w:val="231F20"/>
          <w:sz w:val="17"/>
        </w:rPr>
        <w:t>Tra passato e futuro</w:t>
      </w:r>
      <w:r>
        <w:rPr>
          <w:rFonts w:ascii="Calibri" w:hAnsi="Calibri"/>
          <w:color w:val="231F20"/>
          <w:sz w:val="17"/>
        </w:rPr>
        <w:t>, Milano, Garzanti, 1991, p. 167.</w:t>
      </w:r>
    </w:p>
    <w:p>
      <w:pPr>
        <w:spacing w:line="204" w:lineRule="exact" w:before="0"/>
        <w:ind w:left="117" w:right="0" w:firstLine="0"/>
        <w:jc w:val="both"/>
        <w:rPr>
          <w:rFonts w:ascii="Calibri" w:hAnsi="Calibri"/>
          <w:sz w:val="17"/>
        </w:rPr>
      </w:pPr>
      <w:r>
        <w:rPr>
          <w:rFonts w:ascii="Calibri" w:hAnsi="Calibri"/>
          <w:color w:val="231F20"/>
          <w:position w:val="6"/>
          <w:sz w:val="10"/>
        </w:rPr>
        <w:t>9  </w:t>
      </w:r>
      <w:r>
        <w:rPr>
          <w:rFonts w:ascii="Calibri" w:hAnsi="Calibri"/>
          <w:color w:val="231F20"/>
          <w:sz w:val="17"/>
        </w:rPr>
        <w:t>D. Loick, </w:t>
      </w:r>
      <w:r>
        <w:rPr>
          <w:rFonts w:ascii="Calibri" w:hAnsi="Calibri"/>
          <w:i/>
          <w:color w:val="231F20"/>
          <w:sz w:val="17"/>
        </w:rPr>
        <w:t>Kritik der Souveränität</w:t>
      </w:r>
      <w:r>
        <w:rPr>
          <w:rFonts w:ascii="Calibri" w:hAnsi="Calibri"/>
          <w:color w:val="231F20"/>
          <w:sz w:val="17"/>
        </w:rPr>
        <w:t>, Frankfurt am Main, Campus Verlag, 2012.</w:t>
      </w:r>
    </w:p>
    <w:p>
      <w:pPr>
        <w:spacing w:line="235" w:lineRule="auto" w:before="1"/>
        <w:ind w:left="117" w:right="101" w:firstLine="0"/>
        <w:jc w:val="both"/>
        <w:rPr>
          <w:rFonts w:ascii="Calibri" w:hAnsi="Calibri"/>
          <w:sz w:val="17"/>
        </w:rPr>
      </w:pPr>
      <w:r>
        <w:rPr>
          <w:rFonts w:ascii="Calibri" w:hAnsi="Calibri"/>
          <w:color w:val="231F20"/>
          <w:position w:val="6"/>
          <w:sz w:val="10"/>
        </w:rPr>
        <w:t>10 </w:t>
      </w:r>
      <w:r>
        <w:rPr>
          <w:rFonts w:ascii="Calibri" w:hAnsi="Calibri"/>
          <w:color w:val="231F20"/>
          <w:sz w:val="17"/>
        </w:rPr>
        <w:t>Organization for Economic Co–Operation and Development, </w:t>
      </w:r>
      <w:r>
        <w:rPr>
          <w:rFonts w:ascii="Calibri" w:hAnsi="Calibri"/>
          <w:i/>
          <w:color w:val="231F20"/>
          <w:sz w:val="17"/>
        </w:rPr>
        <w:t>Concepts and Dilemmas of State </w:t>
      </w:r>
      <w:r>
        <w:rPr>
          <w:rFonts w:ascii="Calibri" w:hAnsi="Calibri"/>
          <w:i/>
          <w:color w:val="231F20"/>
          <w:sz w:val="17"/>
        </w:rPr>
        <w:t>Building</w:t>
      </w:r>
      <w:r>
        <w:rPr>
          <w:rFonts w:ascii="Calibri" w:hAnsi="Calibri"/>
          <w:i/>
          <w:color w:val="231F20"/>
          <w:spacing w:val="-8"/>
          <w:sz w:val="17"/>
        </w:rPr>
        <w:t> </w:t>
      </w:r>
      <w:r>
        <w:rPr>
          <w:rFonts w:ascii="Calibri" w:hAnsi="Calibri"/>
          <w:i/>
          <w:color w:val="231F20"/>
          <w:sz w:val="17"/>
        </w:rPr>
        <w:t>in</w:t>
      </w:r>
      <w:r>
        <w:rPr>
          <w:rFonts w:ascii="Calibri" w:hAnsi="Calibri"/>
          <w:i/>
          <w:color w:val="231F20"/>
          <w:spacing w:val="-8"/>
          <w:sz w:val="17"/>
        </w:rPr>
        <w:t> </w:t>
      </w:r>
      <w:r>
        <w:rPr>
          <w:rFonts w:ascii="Calibri" w:hAnsi="Calibri"/>
          <w:i/>
          <w:color w:val="231F20"/>
          <w:sz w:val="17"/>
        </w:rPr>
        <w:t>Fragile</w:t>
      </w:r>
      <w:r>
        <w:rPr>
          <w:rFonts w:ascii="Calibri" w:hAnsi="Calibri"/>
          <w:i/>
          <w:color w:val="231F20"/>
          <w:spacing w:val="-8"/>
          <w:sz w:val="17"/>
        </w:rPr>
        <w:t> </w:t>
      </w:r>
      <w:r>
        <w:rPr>
          <w:rFonts w:ascii="Calibri" w:hAnsi="Calibri"/>
          <w:i/>
          <w:color w:val="231F20"/>
          <w:sz w:val="17"/>
        </w:rPr>
        <w:t>Situations.</w:t>
      </w:r>
      <w:r>
        <w:rPr>
          <w:rFonts w:ascii="Calibri" w:hAnsi="Calibri"/>
          <w:i/>
          <w:color w:val="231F20"/>
          <w:spacing w:val="-8"/>
          <w:sz w:val="17"/>
        </w:rPr>
        <w:t> </w:t>
      </w:r>
      <w:r>
        <w:rPr>
          <w:rFonts w:ascii="Calibri" w:hAnsi="Calibri"/>
          <w:i/>
          <w:color w:val="231F20"/>
          <w:sz w:val="17"/>
        </w:rPr>
        <w:t>From</w:t>
      </w:r>
      <w:r>
        <w:rPr>
          <w:rFonts w:ascii="Calibri" w:hAnsi="Calibri"/>
          <w:i/>
          <w:color w:val="231F20"/>
          <w:spacing w:val="-8"/>
          <w:sz w:val="17"/>
        </w:rPr>
        <w:t> </w:t>
      </w:r>
      <w:r>
        <w:rPr>
          <w:rFonts w:ascii="Calibri" w:hAnsi="Calibri"/>
          <w:i/>
          <w:color w:val="231F20"/>
          <w:sz w:val="17"/>
        </w:rPr>
        <w:t>Fragility</w:t>
      </w:r>
      <w:r>
        <w:rPr>
          <w:rFonts w:ascii="Calibri" w:hAnsi="Calibri"/>
          <w:i/>
          <w:color w:val="231F20"/>
          <w:spacing w:val="-8"/>
          <w:sz w:val="17"/>
        </w:rPr>
        <w:t> </w:t>
      </w:r>
      <w:r>
        <w:rPr>
          <w:rFonts w:ascii="Calibri" w:hAnsi="Calibri"/>
          <w:i/>
          <w:color w:val="231F20"/>
          <w:sz w:val="17"/>
        </w:rPr>
        <w:t>to</w:t>
      </w:r>
      <w:r>
        <w:rPr>
          <w:rFonts w:ascii="Calibri" w:hAnsi="Calibri"/>
          <w:i/>
          <w:color w:val="231F20"/>
          <w:spacing w:val="-8"/>
          <w:sz w:val="17"/>
        </w:rPr>
        <w:t> </w:t>
      </w:r>
      <w:r>
        <w:rPr>
          <w:rFonts w:ascii="Calibri" w:hAnsi="Calibri"/>
          <w:i/>
          <w:color w:val="231F20"/>
          <w:sz w:val="17"/>
        </w:rPr>
        <w:t>Resilience</w:t>
      </w:r>
      <w:r>
        <w:rPr>
          <w:rFonts w:ascii="Calibri" w:hAnsi="Calibri"/>
          <w:color w:val="231F20"/>
          <w:sz w:val="17"/>
        </w:rPr>
        <w:t>,</w:t>
      </w:r>
      <w:r>
        <w:rPr>
          <w:rFonts w:ascii="Calibri" w:hAnsi="Calibri"/>
          <w:color w:val="231F20"/>
          <w:spacing w:val="-8"/>
          <w:sz w:val="17"/>
        </w:rPr>
        <w:t> </w:t>
      </w:r>
      <w:r>
        <w:rPr>
          <w:rFonts w:ascii="Calibri" w:hAnsi="Calibri"/>
          <w:color w:val="231F20"/>
          <w:sz w:val="17"/>
        </w:rPr>
        <w:t>“Journal</w:t>
      </w:r>
      <w:r>
        <w:rPr>
          <w:rFonts w:ascii="Calibri" w:hAnsi="Calibri"/>
          <w:color w:val="231F20"/>
          <w:spacing w:val="-8"/>
          <w:sz w:val="17"/>
        </w:rPr>
        <w:t> </w:t>
      </w:r>
      <w:r>
        <w:rPr>
          <w:rFonts w:ascii="Calibri" w:hAnsi="Calibri"/>
          <w:color w:val="231F20"/>
          <w:sz w:val="17"/>
        </w:rPr>
        <w:t>on</w:t>
      </w:r>
      <w:r>
        <w:rPr>
          <w:rFonts w:ascii="Calibri" w:hAnsi="Calibri"/>
          <w:color w:val="231F20"/>
          <w:spacing w:val="-8"/>
          <w:sz w:val="17"/>
        </w:rPr>
        <w:t> </w:t>
      </w:r>
      <w:r>
        <w:rPr>
          <w:rFonts w:ascii="Calibri" w:hAnsi="Calibri"/>
          <w:color w:val="231F20"/>
          <w:sz w:val="17"/>
        </w:rPr>
        <w:t>Development”,</w:t>
      </w:r>
      <w:r>
        <w:rPr>
          <w:rFonts w:ascii="Calibri" w:hAnsi="Calibri"/>
          <w:color w:val="231F20"/>
          <w:spacing w:val="-8"/>
          <w:sz w:val="17"/>
        </w:rPr>
        <w:t> </w:t>
      </w:r>
      <w:r>
        <w:rPr>
          <w:rFonts w:ascii="Calibri" w:hAnsi="Calibri"/>
          <w:color w:val="231F20"/>
          <w:spacing w:val="-4"/>
          <w:sz w:val="17"/>
        </w:rPr>
        <w:t>9,</w:t>
      </w:r>
      <w:r>
        <w:rPr>
          <w:rFonts w:ascii="Calibri" w:hAnsi="Calibri"/>
          <w:color w:val="231F20"/>
          <w:spacing w:val="-8"/>
          <w:sz w:val="17"/>
        </w:rPr>
        <w:t> </w:t>
      </w:r>
      <w:r>
        <w:rPr>
          <w:rFonts w:ascii="Calibri" w:hAnsi="Calibri"/>
          <w:color w:val="231F20"/>
          <w:sz w:val="17"/>
        </w:rPr>
        <w:t>3/2008,</w:t>
      </w:r>
      <w:r>
        <w:rPr>
          <w:rFonts w:ascii="Calibri" w:hAnsi="Calibri"/>
          <w:color w:val="231F20"/>
          <w:spacing w:val="-8"/>
          <w:sz w:val="17"/>
        </w:rPr>
        <w:t> </w:t>
      </w:r>
      <w:r>
        <w:rPr>
          <w:rFonts w:ascii="Calibri" w:hAnsi="Calibri"/>
          <w:color w:val="231F20"/>
          <w:sz w:val="17"/>
        </w:rPr>
        <w:t>p.</w:t>
      </w:r>
      <w:r>
        <w:rPr>
          <w:rFonts w:ascii="Calibri" w:hAnsi="Calibri"/>
          <w:color w:val="231F20"/>
          <w:spacing w:val="-8"/>
          <w:sz w:val="17"/>
        </w:rPr>
        <w:t> </w:t>
      </w:r>
      <w:r>
        <w:rPr>
          <w:rFonts w:ascii="Calibri" w:hAnsi="Calibri"/>
          <w:color w:val="231F20"/>
          <w:sz w:val="17"/>
        </w:rPr>
        <w:t>11. Sobre los problemas y los límites de la categoría de reciliencia </w:t>
      </w:r>
      <w:r>
        <w:rPr>
          <w:rFonts w:ascii="Calibri" w:hAnsi="Calibri"/>
          <w:i/>
          <w:color w:val="231F20"/>
          <w:sz w:val="17"/>
        </w:rPr>
        <w:t>cfr</w:t>
      </w:r>
      <w:r>
        <w:rPr>
          <w:rFonts w:ascii="Calibri" w:hAnsi="Calibri"/>
          <w:color w:val="231F20"/>
          <w:sz w:val="17"/>
        </w:rPr>
        <w:t>. M. Neocleous, “Resisting Resi- lience”,</w:t>
      </w:r>
      <w:r>
        <w:rPr>
          <w:rFonts w:ascii="Calibri" w:hAnsi="Calibri"/>
          <w:color w:val="231F20"/>
          <w:spacing w:val="-18"/>
          <w:sz w:val="17"/>
        </w:rPr>
        <w:t> </w:t>
      </w:r>
      <w:r>
        <w:rPr>
          <w:rFonts w:ascii="Calibri" w:hAnsi="Calibri"/>
          <w:i/>
          <w:color w:val="231F20"/>
          <w:sz w:val="17"/>
        </w:rPr>
        <w:t>Radical</w:t>
      </w:r>
      <w:r>
        <w:rPr>
          <w:rFonts w:ascii="Calibri" w:hAnsi="Calibri"/>
          <w:i/>
          <w:color w:val="231F20"/>
          <w:spacing w:val="-18"/>
          <w:sz w:val="17"/>
        </w:rPr>
        <w:t> </w:t>
      </w:r>
      <w:r>
        <w:rPr>
          <w:rFonts w:ascii="Calibri" w:hAnsi="Calibri"/>
          <w:i/>
          <w:color w:val="231F20"/>
          <w:sz w:val="17"/>
        </w:rPr>
        <w:t>Philosophy</w:t>
      </w:r>
      <w:r>
        <w:rPr>
          <w:rFonts w:ascii="Calibri" w:hAnsi="Calibri"/>
          <w:color w:val="231F20"/>
          <w:sz w:val="17"/>
        </w:rPr>
        <w:t>,</w:t>
      </w:r>
      <w:r>
        <w:rPr>
          <w:rFonts w:ascii="Calibri" w:hAnsi="Calibri"/>
          <w:color w:val="231F20"/>
          <w:spacing w:val="-18"/>
          <w:sz w:val="17"/>
        </w:rPr>
        <w:t> </w:t>
      </w:r>
      <w:r>
        <w:rPr>
          <w:rFonts w:ascii="Calibri" w:hAnsi="Calibri"/>
          <w:color w:val="231F20"/>
          <w:sz w:val="17"/>
        </w:rPr>
        <w:t>178,</w:t>
      </w:r>
      <w:r>
        <w:rPr>
          <w:rFonts w:ascii="Calibri" w:hAnsi="Calibri"/>
          <w:color w:val="231F20"/>
          <w:spacing w:val="-18"/>
          <w:sz w:val="17"/>
        </w:rPr>
        <w:t> </w:t>
      </w:r>
      <w:r>
        <w:rPr>
          <w:rFonts w:ascii="Calibri" w:hAnsi="Calibri"/>
          <w:color w:val="231F20"/>
          <w:sz w:val="17"/>
        </w:rPr>
        <w:t>2013,</w:t>
      </w:r>
      <w:r>
        <w:rPr>
          <w:rFonts w:ascii="Calibri" w:hAnsi="Calibri"/>
          <w:color w:val="231F20"/>
          <w:spacing w:val="-18"/>
          <w:sz w:val="17"/>
        </w:rPr>
        <w:t> </w:t>
      </w:r>
      <w:r>
        <w:rPr>
          <w:rFonts w:ascii="Calibri" w:hAnsi="Calibri"/>
          <w:color w:val="231F20"/>
          <w:sz w:val="17"/>
        </w:rPr>
        <w:t>pp.</w:t>
      </w:r>
      <w:r>
        <w:rPr>
          <w:rFonts w:ascii="Calibri" w:hAnsi="Calibri"/>
          <w:color w:val="231F20"/>
          <w:spacing w:val="-18"/>
          <w:sz w:val="17"/>
        </w:rPr>
        <w:t> </w:t>
      </w:r>
      <w:r>
        <w:rPr>
          <w:rFonts w:ascii="Calibri" w:hAnsi="Calibri"/>
          <w:color w:val="231F20"/>
          <w:spacing w:val="-5"/>
          <w:sz w:val="17"/>
        </w:rPr>
        <w:t>2–7.</w:t>
      </w:r>
    </w:p>
    <w:p>
      <w:pPr>
        <w:spacing w:after="0" w:line="235" w:lineRule="auto"/>
        <w:jc w:val="both"/>
        <w:rPr>
          <w:rFonts w:ascii="Calibri" w:hAnsi="Calibri"/>
          <w:sz w:val="17"/>
        </w:rPr>
        <w:sectPr>
          <w:pgSz w:w="9640" w:h="13890"/>
          <w:pgMar w:top="0" w:bottom="280" w:left="1300" w:right="1200"/>
        </w:sectPr>
      </w:pPr>
    </w:p>
    <w:p>
      <w:pPr>
        <w:pStyle w:val="BodyText"/>
        <w:spacing w:line="247" w:lineRule="auto" w:before="107"/>
        <w:ind w:left="64" w:right="115"/>
        <w:jc w:val="right"/>
      </w:pPr>
      <w:r>
        <w:rPr>
          <w:color w:val="231F20"/>
          <w:w w:val="105"/>
        </w:rPr>
        <w:t>en</w:t>
      </w:r>
      <w:r>
        <w:rPr>
          <w:color w:val="231F20"/>
          <w:spacing w:val="-13"/>
          <w:w w:val="105"/>
        </w:rPr>
        <w:t> </w:t>
      </w:r>
      <w:r>
        <w:rPr>
          <w:color w:val="231F20"/>
          <w:w w:val="105"/>
        </w:rPr>
        <w:t>efecto,</w:t>
      </w:r>
      <w:r>
        <w:rPr>
          <w:color w:val="231F20"/>
          <w:spacing w:val="-13"/>
          <w:w w:val="105"/>
        </w:rPr>
        <w:t> </w:t>
      </w:r>
      <w:r>
        <w:rPr>
          <w:color w:val="231F20"/>
          <w:w w:val="105"/>
        </w:rPr>
        <w:t>administran</w:t>
      </w:r>
      <w:r>
        <w:rPr>
          <w:color w:val="231F20"/>
          <w:spacing w:val="-13"/>
          <w:w w:val="105"/>
        </w:rPr>
        <w:t> </w:t>
      </w:r>
      <w:r>
        <w:rPr>
          <w:color w:val="231F20"/>
          <w:w w:val="105"/>
        </w:rPr>
        <w:t>de</w:t>
      </w:r>
      <w:r>
        <w:rPr>
          <w:color w:val="231F20"/>
          <w:spacing w:val="-13"/>
          <w:w w:val="105"/>
        </w:rPr>
        <w:t> </w:t>
      </w:r>
      <w:r>
        <w:rPr>
          <w:color w:val="231F20"/>
          <w:w w:val="105"/>
        </w:rPr>
        <w:t>manera</w:t>
      </w:r>
      <w:r>
        <w:rPr>
          <w:color w:val="231F20"/>
          <w:spacing w:val="-13"/>
          <w:w w:val="105"/>
        </w:rPr>
        <w:t> </w:t>
      </w:r>
      <w:r>
        <w:rPr>
          <w:color w:val="231F20"/>
          <w:w w:val="105"/>
        </w:rPr>
        <w:t>problemática</w:t>
      </w:r>
      <w:r>
        <w:rPr>
          <w:color w:val="231F20"/>
          <w:spacing w:val="-13"/>
          <w:w w:val="105"/>
        </w:rPr>
        <w:t> </w:t>
      </w:r>
      <w:r>
        <w:rPr>
          <w:color w:val="231F20"/>
          <w:w w:val="105"/>
        </w:rPr>
        <w:t>tanto</w:t>
      </w:r>
      <w:r>
        <w:rPr>
          <w:color w:val="231F20"/>
          <w:spacing w:val="-13"/>
          <w:w w:val="105"/>
        </w:rPr>
        <w:t> </w:t>
      </w:r>
      <w:r>
        <w:rPr>
          <w:color w:val="231F20"/>
          <w:w w:val="105"/>
        </w:rPr>
        <w:t>su</w:t>
      </w:r>
      <w:r>
        <w:rPr>
          <w:color w:val="231F20"/>
          <w:spacing w:val="-13"/>
          <w:w w:val="105"/>
        </w:rPr>
        <w:t> </w:t>
      </w:r>
      <w:r>
        <w:rPr>
          <w:color w:val="231F20"/>
          <w:w w:val="105"/>
        </w:rPr>
        <w:t>espacio</w:t>
      </w:r>
      <w:r>
        <w:rPr>
          <w:color w:val="231F20"/>
          <w:spacing w:val="-13"/>
          <w:w w:val="105"/>
        </w:rPr>
        <w:t> </w:t>
      </w:r>
      <w:r>
        <w:rPr>
          <w:color w:val="231F20"/>
          <w:w w:val="105"/>
        </w:rPr>
        <w:t>interno</w:t>
      </w:r>
      <w:r>
        <w:rPr>
          <w:color w:val="231F20"/>
          <w:w w:val="101"/>
        </w:rPr>
        <w:t> </w:t>
      </w:r>
      <w:r>
        <w:rPr>
          <w:color w:val="231F20"/>
          <w:w w:val="105"/>
        </w:rPr>
        <w:t>como</w:t>
      </w:r>
      <w:r>
        <w:rPr>
          <w:color w:val="231F20"/>
          <w:spacing w:val="-22"/>
          <w:w w:val="105"/>
        </w:rPr>
        <w:t> </w:t>
      </w:r>
      <w:r>
        <w:rPr>
          <w:color w:val="231F20"/>
          <w:w w:val="105"/>
        </w:rPr>
        <w:t>su</w:t>
      </w:r>
      <w:r>
        <w:rPr>
          <w:color w:val="231F20"/>
          <w:spacing w:val="-22"/>
          <w:w w:val="105"/>
        </w:rPr>
        <w:t> </w:t>
      </w:r>
      <w:r>
        <w:rPr>
          <w:color w:val="231F20"/>
          <w:w w:val="105"/>
        </w:rPr>
        <w:t>relación</w:t>
      </w:r>
      <w:r>
        <w:rPr>
          <w:color w:val="231F20"/>
          <w:spacing w:val="-22"/>
          <w:w w:val="105"/>
        </w:rPr>
        <w:t> </w:t>
      </w:r>
      <w:r>
        <w:rPr>
          <w:color w:val="231F20"/>
          <w:w w:val="105"/>
        </w:rPr>
        <w:t>con</w:t>
      </w:r>
      <w:r>
        <w:rPr>
          <w:color w:val="231F20"/>
          <w:spacing w:val="-22"/>
          <w:w w:val="105"/>
        </w:rPr>
        <w:t> </w:t>
      </w:r>
      <w:r>
        <w:rPr>
          <w:color w:val="231F20"/>
          <w:w w:val="105"/>
        </w:rPr>
        <w:t>los</w:t>
      </w:r>
      <w:r>
        <w:rPr>
          <w:color w:val="231F20"/>
          <w:spacing w:val="-22"/>
          <w:w w:val="105"/>
        </w:rPr>
        <w:t> </w:t>
      </w:r>
      <w:r>
        <w:rPr>
          <w:color w:val="231F20"/>
          <w:w w:val="105"/>
        </w:rPr>
        <w:t>espacios</w:t>
      </w:r>
      <w:r>
        <w:rPr>
          <w:color w:val="231F20"/>
          <w:spacing w:val="-22"/>
          <w:w w:val="105"/>
        </w:rPr>
        <w:t> </w:t>
      </w:r>
      <w:r>
        <w:rPr>
          <w:color w:val="231F20"/>
          <w:w w:val="105"/>
        </w:rPr>
        <w:t>externos,</w:t>
      </w:r>
      <w:r>
        <w:rPr>
          <w:color w:val="231F20"/>
          <w:spacing w:val="-22"/>
          <w:w w:val="105"/>
        </w:rPr>
        <w:t> </w:t>
      </w:r>
      <w:r>
        <w:rPr>
          <w:color w:val="231F20"/>
          <w:w w:val="105"/>
        </w:rPr>
        <w:t>pueden</w:t>
      </w:r>
      <w:r>
        <w:rPr>
          <w:color w:val="231F20"/>
          <w:spacing w:val="-22"/>
          <w:w w:val="105"/>
        </w:rPr>
        <w:t> </w:t>
      </w:r>
      <w:r>
        <w:rPr>
          <w:color w:val="231F20"/>
          <w:w w:val="105"/>
        </w:rPr>
        <w:t>ya</w:t>
      </w:r>
      <w:r>
        <w:rPr>
          <w:color w:val="231F20"/>
          <w:spacing w:val="-22"/>
          <w:w w:val="105"/>
        </w:rPr>
        <w:t> </w:t>
      </w:r>
      <w:r>
        <w:rPr>
          <w:color w:val="231F20"/>
          <w:w w:val="105"/>
        </w:rPr>
        <w:t>garantizar</w:t>
      </w:r>
      <w:r>
        <w:rPr>
          <w:color w:val="231F20"/>
          <w:spacing w:val="-22"/>
          <w:w w:val="105"/>
        </w:rPr>
        <w:t> </w:t>
      </w:r>
      <w:r>
        <w:rPr>
          <w:color w:val="231F20"/>
          <w:w w:val="105"/>
        </w:rPr>
        <w:t>esa</w:t>
      </w:r>
      <w:r>
        <w:rPr>
          <w:color w:val="231F20"/>
          <w:spacing w:val="-22"/>
          <w:w w:val="105"/>
        </w:rPr>
        <w:t> </w:t>
      </w:r>
      <w:r>
        <w:rPr>
          <w:color w:val="231F20"/>
          <w:w w:val="105"/>
        </w:rPr>
        <w:t>se-</w:t>
      </w:r>
      <w:r>
        <w:rPr>
          <w:color w:val="231F20"/>
          <w:w w:val="91"/>
        </w:rPr>
        <w:t> </w:t>
      </w:r>
      <w:r>
        <w:rPr>
          <w:color w:val="231F20"/>
          <w:w w:val="105"/>
        </w:rPr>
        <w:t>guridad</w:t>
      </w:r>
      <w:r>
        <w:rPr>
          <w:color w:val="231F20"/>
          <w:spacing w:val="-36"/>
          <w:w w:val="105"/>
        </w:rPr>
        <w:t> </w:t>
      </w:r>
      <w:r>
        <w:rPr>
          <w:color w:val="231F20"/>
          <w:w w:val="105"/>
        </w:rPr>
        <w:t>que</w:t>
      </w:r>
      <w:r>
        <w:rPr>
          <w:color w:val="231F20"/>
          <w:spacing w:val="-36"/>
          <w:w w:val="105"/>
        </w:rPr>
        <w:t> </w:t>
      </w:r>
      <w:r>
        <w:rPr>
          <w:color w:val="231F20"/>
          <w:w w:val="105"/>
        </w:rPr>
        <w:t>debería</w:t>
      </w:r>
      <w:r>
        <w:rPr>
          <w:color w:val="231F20"/>
          <w:spacing w:val="-36"/>
          <w:w w:val="105"/>
        </w:rPr>
        <w:t> </w:t>
      </w:r>
      <w:r>
        <w:rPr>
          <w:color w:val="231F20"/>
          <w:w w:val="105"/>
        </w:rPr>
        <w:t>ser</w:t>
      </w:r>
      <w:r>
        <w:rPr>
          <w:color w:val="231F20"/>
          <w:spacing w:val="-36"/>
          <w:w w:val="105"/>
        </w:rPr>
        <w:t> </w:t>
      </w:r>
      <w:r>
        <w:rPr>
          <w:color w:val="231F20"/>
          <w:w w:val="105"/>
        </w:rPr>
        <w:t>su</w:t>
      </w:r>
      <w:r>
        <w:rPr>
          <w:color w:val="231F20"/>
          <w:spacing w:val="-36"/>
          <w:w w:val="105"/>
        </w:rPr>
        <w:t> </w:t>
      </w:r>
      <w:r>
        <w:rPr>
          <w:color w:val="231F20"/>
          <w:w w:val="105"/>
        </w:rPr>
        <w:t>primera</w:t>
      </w:r>
      <w:r>
        <w:rPr>
          <w:color w:val="231F20"/>
          <w:spacing w:val="-36"/>
          <w:w w:val="105"/>
        </w:rPr>
        <w:t> </w:t>
      </w:r>
      <w:r>
        <w:rPr>
          <w:color w:val="231F20"/>
          <w:w w:val="105"/>
        </w:rPr>
        <w:t>tarea</w:t>
      </w:r>
      <w:r>
        <w:rPr>
          <w:color w:val="231F20"/>
          <w:spacing w:val="-36"/>
          <w:w w:val="105"/>
        </w:rPr>
        <w:t> </w:t>
      </w:r>
      <w:r>
        <w:rPr>
          <w:color w:val="231F20"/>
          <w:w w:val="105"/>
        </w:rPr>
        <w:t>y</w:t>
      </w:r>
      <w:r>
        <w:rPr>
          <w:color w:val="231F20"/>
          <w:spacing w:val="-36"/>
          <w:w w:val="105"/>
        </w:rPr>
        <w:t> </w:t>
      </w:r>
      <w:r>
        <w:rPr>
          <w:color w:val="231F20"/>
          <w:w w:val="105"/>
        </w:rPr>
        <w:t>su</w:t>
      </w:r>
      <w:r>
        <w:rPr>
          <w:color w:val="231F20"/>
          <w:spacing w:val="-36"/>
          <w:w w:val="105"/>
        </w:rPr>
        <w:t> </w:t>
      </w:r>
      <w:r>
        <w:rPr>
          <w:color w:val="231F20"/>
          <w:w w:val="105"/>
        </w:rPr>
        <w:t>primer</w:t>
      </w:r>
      <w:r>
        <w:rPr>
          <w:color w:val="231F20"/>
          <w:spacing w:val="-36"/>
          <w:w w:val="105"/>
        </w:rPr>
        <w:t> </w:t>
      </w:r>
      <w:r>
        <w:rPr>
          <w:color w:val="231F20"/>
          <w:w w:val="105"/>
        </w:rPr>
        <w:t>recurso.</w:t>
      </w:r>
      <w:r>
        <w:rPr>
          <w:color w:val="231F20"/>
          <w:spacing w:val="-36"/>
          <w:w w:val="105"/>
        </w:rPr>
        <w:t> </w:t>
      </w:r>
      <w:r>
        <w:rPr>
          <w:color w:val="231F20"/>
          <w:w w:val="105"/>
        </w:rPr>
        <w:t>Parece</w:t>
      </w:r>
      <w:r>
        <w:rPr>
          <w:color w:val="231F20"/>
          <w:spacing w:val="-36"/>
          <w:w w:val="105"/>
        </w:rPr>
        <w:t> </w:t>
      </w:r>
      <w:r>
        <w:rPr>
          <w:color w:val="231F20"/>
          <w:w w:val="105"/>
        </w:rPr>
        <w:t>inevi-</w:t>
      </w:r>
      <w:r>
        <w:rPr>
          <w:color w:val="231F20"/>
          <w:w w:val="91"/>
        </w:rPr>
        <w:t> </w:t>
      </w:r>
      <w:r>
        <w:rPr>
          <w:color w:val="231F20"/>
          <w:w w:val="105"/>
        </w:rPr>
        <w:t>table</w:t>
      </w:r>
      <w:r>
        <w:rPr>
          <w:color w:val="231F20"/>
          <w:spacing w:val="-34"/>
          <w:w w:val="105"/>
        </w:rPr>
        <w:t> </w:t>
      </w:r>
      <w:r>
        <w:rPr>
          <w:color w:val="231F20"/>
          <w:w w:val="105"/>
        </w:rPr>
        <w:t>por</w:t>
      </w:r>
      <w:r>
        <w:rPr>
          <w:color w:val="231F20"/>
          <w:spacing w:val="-34"/>
          <w:w w:val="105"/>
        </w:rPr>
        <w:t> </w:t>
      </w:r>
      <w:r>
        <w:rPr>
          <w:color w:val="231F20"/>
          <w:w w:val="105"/>
        </w:rPr>
        <w:t>lo</w:t>
      </w:r>
      <w:r>
        <w:rPr>
          <w:color w:val="231F20"/>
          <w:spacing w:val="-34"/>
          <w:w w:val="105"/>
        </w:rPr>
        <w:t> </w:t>
      </w:r>
      <w:r>
        <w:rPr>
          <w:color w:val="231F20"/>
          <w:w w:val="105"/>
        </w:rPr>
        <w:t>tanto</w:t>
      </w:r>
      <w:r>
        <w:rPr>
          <w:color w:val="231F20"/>
          <w:spacing w:val="-34"/>
          <w:w w:val="105"/>
        </w:rPr>
        <w:t> </w:t>
      </w:r>
      <w:r>
        <w:rPr>
          <w:color w:val="231F20"/>
          <w:w w:val="105"/>
        </w:rPr>
        <w:t>afirmar</w:t>
      </w:r>
      <w:r>
        <w:rPr>
          <w:color w:val="231F20"/>
          <w:spacing w:val="-34"/>
          <w:w w:val="105"/>
        </w:rPr>
        <w:t> </w:t>
      </w:r>
      <w:r>
        <w:rPr>
          <w:color w:val="231F20"/>
          <w:w w:val="105"/>
        </w:rPr>
        <w:t>que</w:t>
      </w:r>
      <w:r>
        <w:rPr>
          <w:color w:val="231F20"/>
          <w:spacing w:val="-34"/>
          <w:w w:val="105"/>
        </w:rPr>
        <w:t> </w:t>
      </w:r>
      <w:r>
        <w:rPr>
          <w:color w:val="231F20"/>
          <w:w w:val="105"/>
        </w:rPr>
        <w:t>“Los</w:t>
      </w:r>
      <w:r>
        <w:rPr>
          <w:color w:val="231F20"/>
          <w:spacing w:val="-34"/>
          <w:w w:val="105"/>
        </w:rPr>
        <w:t> </w:t>
      </w:r>
      <w:r>
        <w:rPr>
          <w:color w:val="231F20"/>
          <w:w w:val="105"/>
        </w:rPr>
        <w:t>Estados</w:t>
      </w:r>
      <w:r>
        <w:rPr>
          <w:color w:val="231F20"/>
          <w:spacing w:val="-34"/>
          <w:w w:val="105"/>
        </w:rPr>
        <w:t> </w:t>
      </w:r>
      <w:r>
        <w:rPr>
          <w:color w:val="231F20"/>
          <w:w w:val="105"/>
        </w:rPr>
        <w:t>pueden</w:t>
      </w:r>
      <w:r>
        <w:rPr>
          <w:color w:val="231F20"/>
          <w:spacing w:val="-34"/>
          <w:w w:val="105"/>
        </w:rPr>
        <w:t> </w:t>
      </w:r>
      <w:r>
        <w:rPr>
          <w:color w:val="231F20"/>
          <w:w w:val="105"/>
        </w:rPr>
        <w:t>también</w:t>
      </w:r>
      <w:r>
        <w:rPr>
          <w:color w:val="231F20"/>
          <w:spacing w:val="-34"/>
          <w:w w:val="105"/>
        </w:rPr>
        <w:t> </w:t>
      </w:r>
      <w:r>
        <w:rPr>
          <w:color w:val="231F20"/>
          <w:w w:val="105"/>
        </w:rPr>
        <w:t>ser</w:t>
      </w:r>
      <w:r>
        <w:rPr>
          <w:color w:val="231F20"/>
          <w:spacing w:val="-34"/>
          <w:w w:val="105"/>
        </w:rPr>
        <w:t> </w:t>
      </w:r>
      <w:r>
        <w:rPr>
          <w:color w:val="231F20"/>
          <w:w w:val="105"/>
        </w:rPr>
        <w:t>una</w:t>
      </w:r>
      <w:r>
        <w:rPr>
          <w:color w:val="231F20"/>
          <w:spacing w:val="-34"/>
          <w:w w:val="105"/>
        </w:rPr>
        <w:t> </w:t>
      </w:r>
      <w:r>
        <w:rPr>
          <w:color w:val="231F20"/>
          <w:w w:val="105"/>
        </w:rPr>
        <w:t>fuente</w:t>
      </w:r>
      <w:r>
        <w:rPr>
          <w:color w:val="231F20"/>
          <w:w w:val="101"/>
        </w:rPr>
        <w:t> </w:t>
      </w:r>
      <w:r>
        <w:rPr>
          <w:color w:val="231F20"/>
          <w:w w:val="105"/>
        </w:rPr>
        <w:t>de inseguridad. Son aquellos que en conjunto hacen la guerra y</w:t>
      </w:r>
      <w:r>
        <w:rPr>
          <w:color w:val="231F20"/>
          <w:spacing w:val="54"/>
          <w:w w:val="105"/>
        </w:rPr>
        <w:t> </w:t>
      </w:r>
      <w:r>
        <w:rPr>
          <w:color w:val="231F20"/>
          <w:w w:val="105"/>
        </w:rPr>
        <w:t>en</w:t>
      </w:r>
      <w:r>
        <w:rPr>
          <w:color w:val="231F20"/>
          <w:spacing w:val="4"/>
          <w:w w:val="105"/>
        </w:rPr>
        <w:t> </w:t>
      </w:r>
      <w:r>
        <w:rPr>
          <w:color w:val="231F20"/>
          <w:w w:val="105"/>
        </w:rPr>
        <w:t>las</w:t>
      </w:r>
      <w:r>
        <w:rPr>
          <w:color w:val="231F20"/>
          <w:w w:val="98"/>
        </w:rPr>
        <w:t> </w:t>
      </w:r>
      <w:r>
        <w:rPr>
          <w:color w:val="231F20"/>
          <w:w w:val="105"/>
        </w:rPr>
        <w:t>seis</w:t>
      </w:r>
      <w:r>
        <w:rPr>
          <w:color w:val="231F20"/>
          <w:spacing w:val="-25"/>
          <w:w w:val="105"/>
        </w:rPr>
        <w:t> </w:t>
      </w:r>
      <w:r>
        <w:rPr>
          <w:color w:val="231F20"/>
          <w:w w:val="105"/>
        </w:rPr>
        <w:t>décadas</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fundación</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Naciones</w:t>
      </w:r>
      <w:r>
        <w:rPr>
          <w:color w:val="231F20"/>
          <w:spacing w:val="-25"/>
          <w:w w:val="105"/>
        </w:rPr>
        <w:t> </w:t>
      </w:r>
      <w:r>
        <w:rPr>
          <w:color w:val="231F20"/>
          <w:w w:val="105"/>
        </w:rPr>
        <w:t>Unidas,</w:t>
      </w:r>
      <w:r>
        <w:rPr>
          <w:color w:val="231F20"/>
          <w:spacing w:val="-25"/>
          <w:w w:val="105"/>
        </w:rPr>
        <w:t> </w:t>
      </w:r>
      <w:r>
        <w:rPr>
          <w:color w:val="231F20"/>
          <w:w w:val="105"/>
        </w:rPr>
        <w:t>los</w:t>
      </w:r>
      <w:r>
        <w:rPr>
          <w:color w:val="231F20"/>
          <w:spacing w:val="-25"/>
          <w:w w:val="105"/>
        </w:rPr>
        <w:t> </w:t>
      </w:r>
      <w:r>
        <w:rPr>
          <w:color w:val="231F20"/>
          <w:w w:val="105"/>
        </w:rPr>
        <w:t>Estados</w:t>
      </w:r>
      <w:r>
        <w:rPr>
          <w:color w:val="231F20"/>
          <w:spacing w:val="-25"/>
          <w:w w:val="105"/>
        </w:rPr>
        <w:t> </w:t>
      </w:r>
      <w:r>
        <w:rPr>
          <w:color w:val="231F20"/>
          <w:w w:val="105"/>
        </w:rPr>
        <w:t>han</w:t>
      </w:r>
      <w:r>
        <w:rPr>
          <w:color w:val="231F20"/>
          <w:spacing w:val="-25"/>
          <w:w w:val="105"/>
        </w:rPr>
        <w:t> </w:t>
      </w:r>
      <w:r>
        <w:rPr>
          <w:color w:val="231F20"/>
          <w:w w:val="105"/>
        </w:rPr>
        <w:t>sido</w:t>
      </w:r>
      <w:r>
        <w:rPr>
          <w:color w:val="231F20"/>
          <w:w w:val="105"/>
        </w:rPr>
        <w:t> </w:t>
      </w:r>
      <w:r>
        <w:rPr>
          <w:color w:val="231F20"/>
          <w:w w:val="105"/>
        </w:rPr>
        <w:t>responsables</w:t>
      </w:r>
      <w:r>
        <w:rPr>
          <w:color w:val="231F20"/>
          <w:spacing w:val="-24"/>
          <w:w w:val="105"/>
        </w:rPr>
        <w:t> </w:t>
      </w:r>
      <w:r>
        <w:rPr>
          <w:color w:val="231F20"/>
          <w:w w:val="105"/>
        </w:rPr>
        <w:t>de</w:t>
      </w:r>
      <w:r>
        <w:rPr>
          <w:color w:val="231F20"/>
          <w:spacing w:val="-24"/>
          <w:w w:val="105"/>
        </w:rPr>
        <w:t> </w:t>
      </w:r>
      <w:r>
        <w:rPr>
          <w:color w:val="231F20"/>
          <w:w w:val="105"/>
        </w:rPr>
        <w:t>más</w:t>
      </w:r>
      <w:r>
        <w:rPr>
          <w:color w:val="231F20"/>
          <w:spacing w:val="-24"/>
          <w:w w:val="105"/>
        </w:rPr>
        <w:t> </w:t>
      </w:r>
      <w:r>
        <w:rPr>
          <w:color w:val="231F20"/>
          <w:w w:val="105"/>
        </w:rPr>
        <w:t>muertes</w:t>
      </w:r>
      <w:r>
        <w:rPr>
          <w:color w:val="231F20"/>
          <w:spacing w:val="-24"/>
          <w:w w:val="105"/>
        </w:rPr>
        <w:t> </w:t>
      </w:r>
      <w:r>
        <w:rPr>
          <w:color w:val="231F20"/>
          <w:w w:val="105"/>
        </w:rPr>
        <w:t>violentas</w:t>
      </w:r>
      <w:r>
        <w:rPr>
          <w:color w:val="231F20"/>
          <w:spacing w:val="-24"/>
          <w:w w:val="105"/>
        </w:rPr>
        <w:t> </w:t>
      </w:r>
      <w:r>
        <w:rPr>
          <w:color w:val="231F20"/>
          <w:w w:val="105"/>
        </w:rPr>
        <w:t>que</w:t>
      </w:r>
      <w:r>
        <w:rPr>
          <w:color w:val="231F20"/>
          <w:spacing w:val="-24"/>
          <w:w w:val="105"/>
        </w:rPr>
        <w:t> </w:t>
      </w:r>
      <w:r>
        <w:rPr>
          <w:color w:val="231F20"/>
          <w:w w:val="105"/>
        </w:rPr>
        <w:t>los</w:t>
      </w:r>
      <w:r>
        <w:rPr>
          <w:color w:val="231F20"/>
          <w:spacing w:val="-24"/>
          <w:w w:val="105"/>
        </w:rPr>
        <w:t> </w:t>
      </w:r>
      <w:r>
        <w:rPr>
          <w:color w:val="231F20"/>
          <w:w w:val="105"/>
        </w:rPr>
        <w:t>revoltosos,</w:t>
      </w:r>
      <w:r>
        <w:rPr>
          <w:color w:val="231F20"/>
          <w:spacing w:val="-24"/>
          <w:w w:val="105"/>
        </w:rPr>
        <w:t> </w:t>
      </w:r>
      <w:r>
        <w:rPr>
          <w:color w:val="231F20"/>
          <w:w w:val="105"/>
        </w:rPr>
        <w:t>separatistas</w:t>
      </w:r>
      <w:r>
        <w:rPr>
          <w:color w:val="231F20"/>
          <w:spacing w:val="-24"/>
          <w:w w:val="105"/>
        </w:rPr>
        <w:t> </w:t>
      </w:r>
      <w:r>
        <w:rPr>
          <w:color w:val="231F20"/>
          <w:w w:val="105"/>
        </w:rPr>
        <w:t>y</w:t>
      </w:r>
      <w:r>
        <w:rPr>
          <w:color w:val="231F20"/>
          <w:w w:val="92"/>
        </w:rPr>
        <w:t> </w:t>
      </w:r>
      <w:r>
        <w:rPr>
          <w:color w:val="231F20"/>
          <w:w w:val="105"/>
        </w:rPr>
        <w:t>terroristas</w:t>
      </w:r>
      <w:r>
        <w:rPr>
          <w:color w:val="231F20"/>
          <w:spacing w:val="-35"/>
          <w:w w:val="105"/>
        </w:rPr>
        <w:t> </w:t>
      </w:r>
      <w:r>
        <w:rPr>
          <w:color w:val="231F20"/>
          <w:w w:val="105"/>
        </w:rPr>
        <w:t>juntos”</w:t>
      </w:r>
      <w:r>
        <w:rPr>
          <w:color w:val="231F20"/>
          <w:w w:val="105"/>
          <w:position w:val="7"/>
          <w:sz w:val="12"/>
        </w:rPr>
        <w:t>11</w:t>
      </w:r>
      <w:r>
        <w:rPr>
          <w:color w:val="231F20"/>
          <w:w w:val="105"/>
        </w:rPr>
        <w:t>.</w:t>
      </w:r>
      <w:r>
        <w:rPr>
          <w:color w:val="231F20"/>
          <w:spacing w:val="-35"/>
          <w:w w:val="105"/>
        </w:rPr>
        <w:t> </w:t>
      </w:r>
      <w:r>
        <w:rPr>
          <w:color w:val="231F20"/>
          <w:w w:val="105"/>
        </w:rPr>
        <w:t>Aquí</w:t>
      </w:r>
      <w:r>
        <w:rPr>
          <w:color w:val="231F20"/>
          <w:spacing w:val="-35"/>
          <w:w w:val="105"/>
        </w:rPr>
        <w:t> </w:t>
      </w:r>
      <w:r>
        <w:rPr>
          <w:color w:val="231F20"/>
          <w:w w:val="105"/>
        </w:rPr>
        <w:t>evidentemente</w:t>
      </w:r>
      <w:r>
        <w:rPr>
          <w:color w:val="231F20"/>
          <w:spacing w:val="-35"/>
          <w:w w:val="105"/>
        </w:rPr>
        <w:t> </w:t>
      </w:r>
      <w:r>
        <w:rPr>
          <w:color w:val="231F20"/>
          <w:w w:val="105"/>
        </w:rPr>
        <w:t>no</w:t>
      </w:r>
      <w:r>
        <w:rPr>
          <w:color w:val="231F20"/>
          <w:spacing w:val="-35"/>
          <w:w w:val="105"/>
        </w:rPr>
        <w:t> </w:t>
      </w:r>
      <w:r>
        <w:rPr>
          <w:color w:val="231F20"/>
          <w:w w:val="105"/>
        </w:rPr>
        <w:t>se</w:t>
      </w:r>
      <w:r>
        <w:rPr>
          <w:color w:val="231F20"/>
          <w:spacing w:val="-35"/>
          <w:w w:val="105"/>
        </w:rPr>
        <w:t> </w:t>
      </w:r>
      <w:r>
        <w:rPr>
          <w:color w:val="231F20"/>
          <w:w w:val="105"/>
        </w:rPr>
        <w:t>trata</w:t>
      </w:r>
      <w:r>
        <w:rPr>
          <w:color w:val="231F20"/>
          <w:spacing w:val="-35"/>
          <w:w w:val="105"/>
        </w:rPr>
        <w:t> </w:t>
      </w:r>
      <w:r>
        <w:rPr>
          <w:color w:val="231F20"/>
          <w:w w:val="105"/>
        </w:rPr>
        <w:t>de</w:t>
      </w:r>
      <w:r>
        <w:rPr>
          <w:color w:val="231F20"/>
          <w:spacing w:val="-35"/>
          <w:w w:val="105"/>
        </w:rPr>
        <w:t> </w:t>
      </w:r>
      <w:r>
        <w:rPr>
          <w:color w:val="231F20"/>
          <w:w w:val="105"/>
        </w:rPr>
        <w:t>la</w:t>
      </w:r>
      <w:r>
        <w:rPr>
          <w:color w:val="231F20"/>
          <w:spacing w:val="-35"/>
          <w:w w:val="105"/>
        </w:rPr>
        <w:t> </w:t>
      </w:r>
      <w:r>
        <w:rPr>
          <w:color w:val="231F20"/>
          <w:w w:val="105"/>
        </w:rPr>
        <w:t>violencia</w:t>
      </w:r>
      <w:r>
        <w:rPr>
          <w:color w:val="231F20"/>
          <w:spacing w:val="-35"/>
          <w:w w:val="105"/>
        </w:rPr>
        <w:t> </w:t>
      </w:r>
      <w:r>
        <w:rPr>
          <w:color w:val="231F20"/>
          <w:w w:val="105"/>
        </w:rPr>
        <w:t>“exter-</w:t>
      </w:r>
      <w:r>
        <w:rPr>
          <w:color w:val="231F20"/>
          <w:w w:val="91"/>
        </w:rPr>
        <w:t> </w:t>
      </w:r>
      <w:r>
        <w:rPr>
          <w:color w:val="231F20"/>
          <w:w w:val="105"/>
        </w:rPr>
        <w:t>na”</w:t>
      </w:r>
      <w:r>
        <w:rPr>
          <w:color w:val="231F20"/>
          <w:spacing w:val="-22"/>
          <w:w w:val="105"/>
        </w:rPr>
        <w:t> </w:t>
      </w:r>
      <w:r>
        <w:rPr>
          <w:color w:val="231F20"/>
          <w:w w:val="105"/>
        </w:rPr>
        <w:t>que</w:t>
      </w:r>
      <w:r>
        <w:rPr>
          <w:color w:val="231F20"/>
          <w:spacing w:val="-22"/>
          <w:w w:val="105"/>
        </w:rPr>
        <w:t> </w:t>
      </w:r>
      <w:r>
        <w:rPr>
          <w:color w:val="231F20"/>
          <w:w w:val="105"/>
        </w:rPr>
        <w:t>el</w:t>
      </w:r>
      <w:r>
        <w:rPr>
          <w:color w:val="231F20"/>
          <w:spacing w:val="-22"/>
          <w:w w:val="105"/>
        </w:rPr>
        <w:t> </w:t>
      </w:r>
      <w:r>
        <w:rPr>
          <w:color w:val="231F20"/>
          <w:w w:val="105"/>
        </w:rPr>
        <w:t>Estado</w:t>
      </w:r>
      <w:r>
        <w:rPr>
          <w:color w:val="231F20"/>
          <w:spacing w:val="-22"/>
          <w:w w:val="105"/>
        </w:rPr>
        <w:t> </w:t>
      </w:r>
      <w:r>
        <w:rPr>
          <w:color w:val="231F20"/>
          <w:w w:val="105"/>
        </w:rPr>
        <w:t>debe</w:t>
      </w:r>
      <w:r>
        <w:rPr>
          <w:color w:val="231F20"/>
          <w:spacing w:val="-22"/>
          <w:w w:val="105"/>
        </w:rPr>
        <w:t> </w:t>
      </w:r>
      <w:r>
        <w:rPr>
          <w:color w:val="231F20"/>
          <w:w w:val="105"/>
        </w:rPr>
        <w:t>neutralizar,</w:t>
      </w:r>
      <w:r>
        <w:rPr>
          <w:color w:val="231F20"/>
          <w:spacing w:val="-22"/>
          <w:w w:val="105"/>
        </w:rPr>
        <w:t> </w:t>
      </w:r>
      <w:r>
        <w:rPr>
          <w:color w:val="231F20"/>
          <w:w w:val="105"/>
        </w:rPr>
        <w:t>sino</w:t>
      </w:r>
      <w:r>
        <w:rPr>
          <w:color w:val="231F20"/>
          <w:spacing w:val="-22"/>
          <w:w w:val="105"/>
        </w:rPr>
        <w:t> </w:t>
      </w:r>
      <w:r>
        <w:rPr>
          <w:color w:val="231F20"/>
          <w:w w:val="105"/>
        </w:rPr>
        <w:t>de</w:t>
      </w:r>
      <w:r>
        <w:rPr>
          <w:color w:val="231F20"/>
          <w:spacing w:val="-22"/>
          <w:w w:val="105"/>
        </w:rPr>
        <w:t> </w:t>
      </w:r>
      <w:r>
        <w:rPr>
          <w:color w:val="231F20"/>
          <w:w w:val="105"/>
        </w:rPr>
        <w:t>aquella</w:t>
      </w:r>
      <w:r>
        <w:rPr>
          <w:color w:val="231F20"/>
          <w:spacing w:val="-22"/>
          <w:w w:val="105"/>
        </w:rPr>
        <w:t> </w:t>
      </w:r>
      <w:r>
        <w:rPr>
          <w:color w:val="231F20"/>
          <w:w w:val="105"/>
        </w:rPr>
        <w:t>que</w:t>
      </w:r>
      <w:r>
        <w:rPr>
          <w:color w:val="231F20"/>
          <w:spacing w:val="-22"/>
          <w:w w:val="105"/>
        </w:rPr>
        <w:t> </w:t>
      </w:r>
      <w:r>
        <w:rPr>
          <w:color w:val="231F20"/>
          <w:w w:val="105"/>
        </w:rPr>
        <w:t>él</w:t>
      </w:r>
      <w:r>
        <w:rPr>
          <w:color w:val="231F20"/>
          <w:spacing w:val="-22"/>
          <w:w w:val="105"/>
        </w:rPr>
        <w:t> </w:t>
      </w:r>
      <w:r>
        <w:rPr>
          <w:color w:val="231F20"/>
          <w:w w:val="105"/>
        </w:rPr>
        <w:t>mismo</w:t>
      </w:r>
      <w:r>
        <w:rPr>
          <w:color w:val="231F20"/>
          <w:spacing w:val="-22"/>
          <w:w w:val="105"/>
        </w:rPr>
        <w:t> </w:t>
      </w:r>
      <w:r>
        <w:rPr>
          <w:color w:val="231F20"/>
          <w:w w:val="105"/>
        </w:rPr>
        <w:t>produce</w:t>
      </w:r>
      <w:r>
        <w:rPr>
          <w:color w:val="231F20"/>
          <w:w w:val="105"/>
        </w:rPr>
        <w:t> </w:t>
      </w:r>
      <w:r>
        <w:rPr>
          <w:color w:val="231F20"/>
          <w:w w:val="105"/>
        </w:rPr>
        <w:t>en</w:t>
      </w:r>
      <w:r>
        <w:rPr>
          <w:color w:val="231F20"/>
          <w:spacing w:val="-14"/>
          <w:w w:val="105"/>
        </w:rPr>
        <w:t> </w:t>
      </w:r>
      <w:r>
        <w:rPr>
          <w:color w:val="231F20"/>
          <w:w w:val="105"/>
        </w:rPr>
        <w:t>sus</w:t>
      </w:r>
      <w:r>
        <w:rPr>
          <w:color w:val="231F20"/>
          <w:spacing w:val="-14"/>
          <w:w w:val="105"/>
        </w:rPr>
        <w:t> </w:t>
      </w:r>
      <w:r>
        <w:rPr>
          <w:color w:val="231F20"/>
          <w:w w:val="105"/>
        </w:rPr>
        <w:t>diferentes</w:t>
      </w:r>
      <w:r>
        <w:rPr>
          <w:color w:val="231F20"/>
          <w:spacing w:val="-14"/>
          <w:w w:val="105"/>
        </w:rPr>
        <w:t> </w:t>
      </w:r>
      <w:r>
        <w:rPr>
          <w:color w:val="231F20"/>
          <w:w w:val="105"/>
        </w:rPr>
        <w:t>momentos</w:t>
      </w:r>
      <w:r>
        <w:rPr>
          <w:color w:val="231F20"/>
          <w:spacing w:val="-14"/>
          <w:w w:val="105"/>
        </w:rPr>
        <w:t> </w:t>
      </w:r>
      <w:r>
        <w:rPr>
          <w:color w:val="231F20"/>
          <w:w w:val="105"/>
        </w:rPr>
        <w:t>de</w:t>
      </w:r>
      <w:r>
        <w:rPr>
          <w:color w:val="231F20"/>
          <w:spacing w:val="-14"/>
          <w:w w:val="105"/>
        </w:rPr>
        <w:t> </w:t>
      </w:r>
      <w:r>
        <w:rPr>
          <w:color w:val="231F20"/>
          <w:w w:val="105"/>
        </w:rPr>
        <w:t>acción.</w:t>
      </w:r>
      <w:r>
        <w:rPr>
          <w:color w:val="231F20"/>
          <w:spacing w:val="-14"/>
          <w:w w:val="105"/>
        </w:rPr>
        <w:t> </w:t>
      </w:r>
      <w:r>
        <w:rPr>
          <w:color w:val="231F20"/>
          <w:w w:val="105"/>
        </w:rPr>
        <w:t>La</w:t>
      </w:r>
      <w:r>
        <w:rPr>
          <w:color w:val="231F20"/>
          <w:spacing w:val="-14"/>
          <w:w w:val="105"/>
        </w:rPr>
        <w:t> </w:t>
      </w:r>
      <w:r>
        <w:rPr>
          <w:color w:val="231F20"/>
          <w:w w:val="105"/>
        </w:rPr>
        <w:t>fragilidad</w:t>
      </w:r>
      <w:r>
        <w:rPr>
          <w:color w:val="231F20"/>
          <w:spacing w:val="-14"/>
          <w:w w:val="105"/>
        </w:rPr>
        <w:t> </w:t>
      </w:r>
      <w:r>
        <w:rPr>
          <w:color w:val="231F20"/>
          <w:w w:val="105"/>
        </w:rPr>
        <w:t>del</w:t>
      </w:r>
      <w:r>
        <w:rPr>
          <w:color w:val="231F20"/>
          <w:spacing w:val="-14"/>
          <w:w w:val="105"/>
        </w:rPr>
        <w:t> </w:t>
      </w:r>
      <w:r>
        <w:rPr>
          <w:color w:val="231F20"/>
          <w:w w:val="105"/>
        </w:rPr>
        <w:t>Estado</w:t>
      </w:r>
      <w:r>
        <w:rPr>
          <w:color w:val="231F20"/>
          <w:spacing w:val="-14"/>
          <w:w w:val="105"/>
        </w:rPr>
        <w:t> </w:t>
      </w:r>
      <w:r>
        <w:rPr>
          <w:color w:val="231F20"/>
          <w:w w:val="105"/>
        </w:rPr>
        <w:t>depende</w:t>
      </w:r>
      <w:r>
        <w:rPr>
          <w:color w:val="231F20"/>
          <w:w w:val="106"/>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evidencia</w:t>
      </w:r>
      <w:r>
        <w:rPr>
          <w:color w:val="231F20"/>
          <w:spacing w:val="-24"/>
          <w:w w:val="105"/>
        </w:rPr>
        <w:t> </w:t>
      </w:r>
      <w:r>
        <w:rPr>
          <w:color w:val="231F20"/>
          <w:w w:val="105"/>
        </w:rPr>
        <w:t>de</w:t>
      </w:r>
      <w:r>
        <w:rPr>
          <w:color w:val="231F20"/>
          <w:spacing w:val="-24"/>
          <w:w w:val="105"/>
        </w:rPr>
        <w:t> </w:t>
      </w:r>
      <w:r>
        <w:rPr>
          <w:color w:val="231F20"/>
          <w:w w:val="105"/>
        </w:rPr>
        <w:t>que</w:t>
      </w:r>
      <w:r>
        <w:rPr>
          <w:color w:val="231F20"/>
          <w:spacing w:val="-24"/>
          <w:w w:val="105"/>
        </w:rPr>
        <w:t> </w:t>
      </w:r>
      <w:r>
        <w:rPr>
          <w:color w:val="231F20"/>
          <w:w w:val="105"/>
        </w:rPr>
        <w:t>es</w:t>
      </w:r>
      <w:r>
        <w:rPr>
          <w:color w:val="231F20"/>
          <w:spacing w:val="-24"/>
          <w:w w:val="105"/>
        </w:rPr>
        <w:t> </w:t>
      </w:r>
      <w:r>
        <w:rPr>
          <w:color w:val="231F20"/>
          <w:w w:val="105"/>
        </w:rPr>
        <w:t>un</w:t>
      </w:r>
      <w:r>
        <w:rPr>
          <w:color w:val="231F20"/>
          <w:spacing w:val="-24"/>
          <w:w w:val="105"/>
        </w:rPr>
        <w:t> </w:t>
      </w:r>
      <w:r>
        <w:rPr>
          <w:color w:val="231F20"/>
          <w:w w:val="105"/>
        </w:rPr>
        <w:t>agente</w:t>
      </w:r>
      <w:r>
        <w:rPr>
          <w:color w:val="231F20"/>
          <w:spacing w:val="-24"/>
          <w:w w:val="105"/>
        </w:rPr>
        <w:t> </w:t>
      </w:r>
      <w:r>
        <w:rPr>
          <w:color w:val="231F20"/>
          <w:w w:val="105"/>
        </w:rPr>
        <w:t>directo</w:t>
      </w:r>
      <w:r>
        <w:rPr>
          <w:color w:val="231F20"/>
          <w:spacing w:val="-24"/>
          <w:w w:val="105"/>
        </w:rPr>
        <w:t> </w:t>
      </w:r>
      <w:r>
        <w:rPr>
          <w:color w:val="231F20"/>
          <w:w w:val="105"/>
        </w:rPr>
        <w:t>y</w:t>
      </w:r>
      <w:r>
        <w:rPr>
          <w:color w:val="231F20"/>
          <w:spacing w:val="-24"/>
          <w:w w:val="105"/>
        </w:rPr>
        <w:t> </w:t>
      </w:r>
      <w:r>
        <w:rPr>
          <w:color w:val="231F20"/>
          <w:w w:val="105"/>
        </w:rPr>
        <w:t>no</w:t>
      </w:r>
      <w:r>
        <w:rPr>
          <w:color w:val="231F20"/>
          <w:spacing w:val="-24"/>
          <w:w w:val="105"/>
        </w:rPr>
        <w:t> </w:t>
      </w:r>
      <w:r>
        <w:rPr>
          <w:color w:val="231F20"/>
          <w:w w:val="105"/>
        </w:rPr>
        <w:t>ocasional</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violencia.</w:t>
      </w:r>
      <w:r>
        <w:rPr>
          <w:color w:val="231F20"/>
          <w:w w:val="101"/>
        </w:rPr>
        <w:t> </w:t>
      </w:r>
      <w:r>
        <w:rPr>
          <w:color w:val="231F20"/>
          <w:w w:val="105"/>
        </w:rPr>
        <w:t>Esta propensión a la violencia no es, por otra parte,</w:t>
      </w:r>
      <w:r>
        <w:rPr>
          <w:color w:val="231F20"/>
          <w:spacing w:val="-41"/>
          <w:w w:val="105"/>
        </w:rPr>
        <w:t> </w:t>
      </w:r>
      <w:r>
        <w:rPr>
          <w:color w:val="231F20"/>
          <w:w w:val="105"/>
        </w:rPr>
        <w:t>un</w:t>
      </w:r>
      <w:r>
        <w:rPr>
          <w:color w:val="231F20"/>
          <w:spacing w:val="-5"/>
          <w:w w:val="105"/>
        </w:rPr>
        <w:t> </w:t>
      </w:r>
      <w:r>
        <w:rPr>
          <w:color w:val="231F20"/>
          <w:w w:val="105"/>
        </w:rPr>
        <w:t>fenómeno</w:t>
      </w:r>
      <w:r>
        <w:rPr>
          <w:color w:val="231F20"/>
          <w:w w:val="103"/>
        </w:rPr>
        <w:t> </w:t>
      </w:r>
      <w:r>
        <w:rPr>
          <w:color w:val="231F20"/>
          <w:w w:val="105"/>
        </w:rPr>
        <w:t>reciente,</w:t>
      </w:r>
      <w:r>
        <w:rPr>
          <w:color w:val="231F20"/>
          <w:spacing w:val="-23"/>
          <w:w w:val="105"/>
        </w:rPr>
        <w:t> </w:t>
      </w:r>
      <w:r>
        <w:rPr>
          <w:color w:val="231F20"/>
          <w:w w:val="105"/>
        </w:rPr>
        <w:t>pues</w:t>
      </w:r>
      <w:r>
        <w:rPr>
          <w:color w:val="231F20"/>
          <w:spacing w:val="-23"/>
          <w:w w:val="105"/>
        </w:rPr>
        <w:t> </w:t>
      </w:r>
      <w:r>
        <w:rPr>
          <w:color w:val="231F20"/>
          <w:w w:val="105"/>
        </w:rPr>
        <w:t>ha</w:t>
      </w:r>
      <w:r>
        <w:rPr>
          <w:color w:val="231F20"/>
          <w:spacing w:val="-23"/>
          <w:w w:val="105"/>
        </w:rPr>
        <w:t> </w:t>
      </w:r>
      <w:r>
        <w:rPr>
          <w:color w:val="231F20"/>
          <w:w w:val="105"/>
        </w:rPr>
        <w:t>acompañado</w:t>
      </w:r>
      <w:r>
        <w:rPr>
          <w:color w:val="231F20"/>
          <w:spacing w:val="-23"/>
          <w:w w:val="105"/>
        </w:rPr>
        <w:t> </w:t>
      </w:r>
      <w:r>
        <w:rPr>
          <w:color w:val="231F20"/>
          <w:w w:val="105"/>
        </w:rPr>
        <w:t>toda</w:t>
      </w:r>
      <w:r>
        <w:rPr>
          <w:color w:val="231F20"/>
          <w:spacing w:val="-23"/>
          <w:w w:val="105"/>
        </w:rPr>
        <w:t> </w:t>
      </w:r>
      <w:r>
        <w:rPr>
          <w:color w:val="231F20"/>
          <w:w w:val="105"/>
        </w:rPr>
        <w:t>la</w:t>
      </w:r>
      <w:r>
        <w:rPr>
          <w:color w:val="231F20"/>
          <w:spacing w:val="-23"/>
          <w:w w:val="105"/>
        </w:rPr>
        <w:t> </w:t>
      </w:r>
      <w:r>
        <w:rPr>
          <w:color w:val="231F20"/>
          <w:w w:val="105"/>
        </w:rPr>
        <w:t>historia</w:t>
      </w:r>
      <w:r>
        <w:rPr>
          <w:color w:val="231F20"/>
          <w:spacing w:val="-23"/>
          <w:w w:val="105"/>
        </w:rPr>
        <w:t> </w:t>
      </w:r>
      <w:r>
        <w:rPr>
          <w:color w:val="231F20"/>
          <w:w w:val="105"/>
        </w:rPr>
        <w:t>del</w:t>
      </w:r>
      <w:r>
        <w:rPr>
          <w:color w:val="231F20"/>
          <w:spacing w:val="-23"/>
          <w:w w:val="105"/>
        </w:rPr>
        <w:t> </w:t>
      </w:r>
      <w:r>
        <w:rPr>
          <w:color w:val="231F20"/>
          <w:w w:val="105"/>
        </w:rPr>
        <w:t>Estado</w:t>
      </w:r>
      <w:r>
        <w:rPr>
          <w:color w:val="231F20"/>
          <w:spacing w:val="-23"/>
          <w:w w:val="105"/>
        </w:rPr>
        <w:t> </w:t>
      </w:r>
      <w:r>
        <w:rPr>
          <w:color w:val="231F20"/>
          <w:w w:val="105"/>
        </w:rPr>
        <w:t>moderno,</w:t>
      </w:r>
      <w:r>
        <w:rPr>
          <w:color w:val="231F20"/>
          <w:spacing w:val="-23"/>
          <w:w w:val="105"/>
        </w:rPr>
        <w:t> </w:t>
      </w:r>
      <w:r>
        <w:rPr>
          <w:color w:val="231F20"/>
          <w:w w:val="105"/>
        </w:rPr>
        <w:t>mos-</w:t>
      </w:r>
      <w:r>
        <w:rPr>
          <w:color w:val="231F20"/>
          <w:w w:val="91"/>
        </w:rPr>
        <w:t> </w:t>
      </w:r>
      <w:r>
        <w:rPr>
          <w:color w:val="231F20"/>
          <w:w w:val="105"/>
        </w:rPr>
        <w:t>trándose</w:t>
      </w:r>
      <w:r>
        <w:rPr>
          <w:color w:val="231F20"/>
          <w:spacing w:val="-25"/>
          <w:w w:val="105"/>
        </w:rPr>
        <w:t> </w:t>
      </w:r>
      <w:r>
        <w:rPr>
          <w:color w:val="231F20"/>
          <w:w w:val="105"/>
        </w:rPr>
        <w:t>sobre</w:t>
      </w:r>
      <w:r>
        <w:rPr>
          <w:color w:val="231F20"/>
          <w:spacing w:val="-25"/>
          <w:w w:val="105"/>
        </w:rPr>
        <w:t> </w:t>
      </w:r>
      <w:r>
        <w:rPr>
          <w:color w:val="231F20"/>
          <w:w w:val="105"/>
        </w:rPr>
        <w:t>todo</w:t>
      </w:r>
      <w:r>
        <w:rPr>
          <w:color w:val="231F20"/>
          <w:spacing w:val="-25"/>
          <w:w w:val="105"/>
        </w:rPr>
        <w:t> </w:t>
      </w:r>
      <w:r>
        <w:rPr>
          <w:color w:val="231F20"/>
          <w:w w:val="105"/>
        </w:rPr>
        <w:t>en</w:t>
      </w:r>
      <w:r>
        <w:rPr>
          <w:color w:val="231F20"/>
          <w:spacing w:val="-25"/>
          <w:w w:val="105"/>
        </w:rPr>
        <w:t> </w:t>
      </w:r>
      <w:r>
        <w:rPr>
          <w:color w:val="231F20"/>
          <w:w w:val="105"/>
        </w:rPr>
        <w:t>los</w:t>
      </w:r>
      <w:r>
        <w:rPr>
          <w:color w:val="231F20"/>
          <w:spacing w:val="-25"/>
          <w:w w:val="105"/>
        </w:rPr>
        <w:t> </w:t>
      </w:r>
      <w:r>
        <w:rPr>
          <w:color w:val="231F20"/>
          <w:w w:val="105"/>
        </w:rPr>
        <w:t>momentos</w:t>
      </w:r>
      <w:r>
        <w:rPr>
          <w:color w:val="231F20"/>
          <w:spacing w:val="-25"/>
          <w:w w:val="105"/>
        </w:rPr>
        <w:t> </w:t>
      </w:r>
      <w:r>
        <w:rPr>
          <w:color w:val="231F20"/>
          <w:w w:val="105"/>
        </w:rPr>
        <w:t>críticos</w:t>
      </w:r>
      <w:r>
        <w:rPr>
          <w:color w:val="231F20"/>
          <w:spacing w:val="-25"/>
          <w:w w:val="105"/>
        </w:rPr>
        <w:t> </w:t>
      </w:r>
      <w:r>
        <w:rPr>
          <w:color w:val="231F20"/>
          <w:w w:val="105"/>
        </w:rPr>
        <w:t>de</w:t>
      </w:r>
      <w:r>
        <w:rPr>
          <w:color w:val="231F20"/>
          <w:spacing w:val="-25"/>
          <w:w w:val="105"/>
        </w:rPr>
        <w:t> </w:t>
      </w:r>
      <w:r>
        <w:rPr>
          <w:color w:val="231F20"/>
          <w:w w:val="105"/>
        </w:rPr>
        <w:t>su</w:t>
      </w:r>
      <w:r>
        <w:rPr>
          <w:color w:val="231F20"/>
          <w:spacing w:val="-25"/>
          <w:w w:val="105"/>
        </w:rPr>
        <w:t> </w:t>
      </w:r>
      <w:r>
        <w:rPr>
          <w:color w:val="231F20"/>
          <w:w w:val="105"/>
        </w:rPr>
        <w:t>afirmación</w:t>
      </w:r>
      <w:r>
        <w:rPr>
          <w:color w:val="231F20"/>
          <w:spacing w:val="-25"/>
          <w:w w:val="105"/>
        </w:rPr>
        <w:t> </w:t>
      </w:r>
      <w:r>
        <w:rPr>
          <w:color w:val="231F20"/>
          <w:w w:val="105"/>
        </w:rPr>
        <w:t>política:</w:t>
      </w:r>
      <w:r>
        <w:rPr>
          <w:color w:val="231F20"/>
          <w:spacing w:val="-25"/>
          <w:w w:val="105"/>
        </w:rPr>
        <w:t> </w:t>
      </w:r>
      <w:r>
        <w:rPr>
          <w:color w:val="231F20"/>
          <w:w w:val="105"/>
        </w:rPr>
        <w:t>la</w:t>
      </w:r>
      <w:r>
        <w:rPr>
          <w:color w:val="231F20"/>
          <w:w w:val="100"/>
        </w:rPr>
        <w:t> </w:t>
      </w:r>
      <w:r>
        <w:rPr>
          <w:color w:val="231F20"/>
          <w:w w:val="105"/>
        </w:rPr>
        <w:t>Guerra</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30</w:t>
      </w:r>
      <w:r>
        <w:rPr>
          <w:color w:val="231F20"/>
          <w:spacing w:val="-21"/>
          <w:w w:val="105"/>
        </w:rPr>
        <w:t> </w:t>
      </w:r>
      <w:r>
        <w:rPr>
          <w:color w:val="231F20"/>
          <w:w w:val="105"/>
        </w:rPr>
        <w:t>años,</w:t>
      </w:r>
      <w:r>
        <w:rPr>
          <w:color w:val="231F20"/>
          <w:spacing w:val="-21"/>
          <w:w w:val="105"/>
        </w:rPr>
        <w:t> </w:t>
      </w:r>
      <w:r>
        <w:rPr>
          <w:color w:val="231F20"/>
          <w:w w:val="105"/>
        </w:rPr>
        <w:t>la</w:t>
      </w:r>
      <w:r>
        <w:rPr>
          <w:color w:val="231F20"/>
          <w:spacing w:val="-21"/>
          <w:w w:val="105"/>
        </w:rPr>
        <w:t> </w:t>
      </w:r>
      <w:r>
        <w:rPr>
          <w:color w:val="231F20"/>
          <w:w w:val="105"/>
        </w:rPr>
        <w:t>época</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revoluciones</w:t>
      </w:r>
      <w:r>
        <w:rPr>
          <w:color w:val="231F20"/>
          <w:spacing w:val="-21"/>
          <w:w w:val="105"/>
        </w:rPr>
        <w:t> </w:t>
      </w:r>
      <w:r>
        <w:rPr>
          <w:color w:val="231F20"/>
          <w:w w:val="105"/>
        </w:rPr>
        <w:t>entre</w:t>
      </w:r>
      <w:r>
        <w:rPr>
          <w:color w:val="231F20"/>
          <w:spacing w:val="-21"/>
          <w:w w:val="105"/>
        </w:rPr>
        <w:t> </w:t>
      </w:r>
      <w:r>
        <w:rPr>
          <w:color w:val="231F20"/>
          <w:w w:val="105"/>
        </w:rPr>
        <w:t>los</w:t>
      </w:r>
      <w:r>
        <w:rPr>
          <w:color w:val="231F20"/>
          <w:spacing w:val="-21"/>
          <w:w w:val="105"/>
        </w:rPr>
        <w:t> </w:t>
      </w:r>
      <w:r>
        <w:rPr>
          <w:color w:val="231F20"/>
          <w:w w:val="105"/>
        </w:rPr>
        <w:t>siglos</w:t>
      </w:r>
      <w:r>
        <w:rPr>
          <w:color w:val="231F20"/>
          <w:spacing w:val="-21"/>
          <w:w w:val="105"/>
        </w:rPr>
        <w:t> </w:t>
      </w:r>
      <w:r>
        <w:rPr>
          <w:color w:val="231F20"/>
          <w:w w:val="105"/>
          <w:sz w:val="18"/>
        </w:rPr>
        <w:t>XVIII</w:t>
      </w:r>
      <w:r>
        <w:rPr>
          <w:color w:val="231F20"/>
          <w:spacing w:val="-12"/>
          <w:w w:val="105"/>
          <w:sz w:val="18"/>
        </w:rPr>
        <w:t> </w:t>
      </w:r>
      <w:r>
        <w:rPr>
          <w:color w:val="231F20"/>
          <w:w w:val="105"/>
        </w:rPr>
        <w:t>y</w:t>
      </w:r>
      <w:r>
        <w:rPr>
          <w:color w:val="231F20"/>
          <w:w w:val="92"/>
        </w:rPr>
        <w:t> </w:t>
      </w:r>
      <w:r>
        <w:rPr>
          <w:color w:val="231F20"/>
          <w:w w:val="105"/>
          <w:sz w:val="18"/>
        </w:rPr>
        <w:t>XIX</w:t>
      </w:r>
      <w:r>
        <w:rPr>
          <w:color w:val="231F20"/>
          <w:spacing w:val="-9"/>
          <w:w w:val="105"/>
          <w:sz w:val="18"/>
        </w:rPr>
        <w:t> </w:t>
      </w:r>
      <w:r>
        <w:rPr>
          <w:color w:val="231F20"/>
          <w:w w:val="105"/>
        </w:rPr>
        <w:t>y</w:t>
      </w:r>
      <w:r>
        <w:rPr>
          <w:color w:val="231F20"/>
          <w:spacing w:val="-19"/>
          <w:w w:val="105"/>
        </w:rPr>
        <w:t> </w:t>
      </w:r>
      <w:r>
        <w:rPr>
          <w:color w:val="231F20"/>
          <w:w w:val="105"/>
        </w:rPr>
        <w:t>la</w:t>
      </w:r>
      <w:r>
        <w:rPr>
          <w:color w:val="231F20"/>
          <w:spacing w:val="-19"/>
          <w:w w:val="105"/>
        </w:rPr>
        <w:t> </w:t>
      </w:r>
      <w:r>
        <w:rPr>
          <w:color w:val="231F20"/>
          <w:w w:val="105"/>
        </w:rPr>
        <w:t>época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descolonización.</w:t>
      </w:r>
      <w:r>
        <w:rPr>
          <w:color w:val="231F20"/>
          <w:spacing w:val="-19"/>
          <w:w w:val="105"/>
        </w:rPr>
        <w:t> </w:t>
      </w:r>
      <w:r>
        <w:rPr>
          <w:color w:val="231F20"/>
          <w:w w:val="105"/>
        </w:rPr>
        <w:t>Más</w:t>
      </w:r>
      <w:r>
        <w:rPr>
          <w:color w:val="231F20"/>
          <w:spacing w:val="-19"/>
          <w:w w:val="105"/>
        </w:rPr>
        <w:t> </w:t>
      </w:r>
      <w:r>
        <w:rPr>
          <w:color w:val="231F20"/>
          <w:w w:val="105"/>
        </w:rPr>
        <w:t>que</w:t>
      </w:r>
      <w:r>
        <w:rPr>
          <w:color w:val="231F20"/>
          <w:spacing w:val="-19"/>
          <w:w w:val="105"/>
        </w:rPr>
        <w:t> </w:t>
      </w:r>
      <w:r>
        <w:rPr>
          <w:color w:val="231F20"/>
          <w:w w:val="105"/>
        </w:rPr>
        <w:t>un</w:t>
      </w:r>
      <w:r>
        <w:rPr>
          <w:color w:val="231F20"/>
          <w:spacing w:val="-19"/>
          <w:w w:val="105"/>
        </w:rPr>
        <w:t> </w:t>
      </w:r>
      <w:r>
        <w:rPr>
          <w:color w:val="231F20"/>
          <w:w w:val="105"/>
        </w:rPr>
        <w:t>monopolizador</w:t>
      </w:r>
      <w:r>
        <w:rPr>
          <w:color w:val="231F20"/>
          <w:spacing w:val="-19"/>
          <w:w w:val="105"/>
        </w:rPr>
        <w:t> </w:t>
      </w:r>
      <w:r>
        <w:rPr>
          <w:color w:val="231F20"/>
          <w:w w:val="105"/>
        </w:rPr>
        <w:t>absoluto</w:t>
      </w:r>
      <w:r>
        <w:rPr>
          <w:color w:val="231F20"/>
          <w:w w:val="103"/>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violencia</w:t>
      </w:r>
      <w:r>
        <w:rPr>
          <w:color w:val="231F20"/>
          <w:spacing w:val="-26"/>
          <w:w w:val="105"/>
        </w:rPr>
        <w:t> </w:t>
      </w:r>
      <w:r>
        <w:rPr>
          <w:color w:val="231F20"/>
          <w:w w:val="105"/>
        </w:rPr>
        <w:t>legítima,</w:t>
      </w:r>
      <w:r>
        <w:rPr>
          <w:color w:val="231F20"/>
          <w:spacing w:val="-26"/>
          <w:w w:val="105"/>
        </w:rPr>
        <w:t> </w:t>
      </w:r>
      <w:r>
        <w:rPr>
          <w:color w:val="231F20"/>
          <w:w w:val="105"/>
        </w:rPr>
        <w:t>el</w:t>
      </w:r>
      <w:r>
        <w:rPr>
          <w:color w:val="231F20"/>
          <w:spacing w:val="-26"/>
          <w:w w:val="105"/>
        </w:rPr>
        <w:t> </w:t>
      </w:r>
      <w:r>
        <w:rPr>
          <w:color w:val="231F20"/>
          <w:w w:val="105"/>
        </w:rPr>
        <w:t>Estado</w:t>
      </w:r>
      <w:r>
        <w:rPr>
          <w:color w:val="231F20"/>
          <w:spacing w:val="-26"/>
          <w:w w:val="105"/>
        </w:rPr>
        <w:t> </w:t>
      </w:r>
      <w:r>
        <w:rPr>
          <w:color w:val="231F20"/>
          <w:w w:val="105"/>
        </w:rPr>
        <w:t>parece</w:t>
      </w:r>
      <w:r>
        <w:rPr>
          <w:color w:val="231F20"/>
          <w:spacing w:val="-26"/>
          <w:w w:val="105"/>
        </w:rPr>
        <w:t> </w:t>
      </w:r>
      <w:r>
        <w:rPr>
          <w:color w:val="231F20"/>
          <w:w w:val="105"/>
        </w:rPr>
        <w:t>moverse</w:t>
      </w:r>
      <w:r>
        <w:rPr>
          <w:color w:val="231F20"/>
          <w:spacing w:val="-26"/>
          <w:w w:val="105"/>
        </w:rPr>
        <w:t> </w:t>
      </w:r>
      <w:r>
        <w:rPr>
          <w:color w:val="231F20"/>
          <w:w w:val="105"/>
        </w:rPr>
        <w:t>dentro</w:t>
      </w:r>
      <w:r>
        <w:rPr>
          <w:color w:val="231F20"/>
          <w:spacing w:val="-26"/>
          <w:w w:val="105"/>
        </w:rPr>
        <w:t> </w:t>
      </w:r>
      <w:r>
        <w:rPr>
          <w:color w:val="231F20"/>
          <w:w w:val="105"/>
        </w:rPr>
        <w:t>de</w:t>
      </w:r>
      <w:r>
        <w:rPr>
          <w:color w:val="231F20"/>
          <w:spacing w:val="-26"/>
          <w:w w:val="105"/>
        </w:rPr>
        <w:t> </w:t>
      </w:r>
      <w:r>
        <w:rPr>
          <w:color w:val="231F20"/>
          <w:w w:val="105"/>
        </w:rPr>
        <w:t>una</w:t>
      </w:r>
      <w:r>
        <w:rPr>
          <w:color w:val="231F20"/>
          <w:spacing w:val="-26"/>
          <w:w w:val="105"/>
        </w:rPr>
        <w:t> </w:t>
      </w:r>
      <w:r>
        <w:rPr>
          <w:color w:val="231F20"/>
          <w:w w:val="105"/>
        </w:rPr>
        <w:t>violencia</w:t>
      </w:r>
      <w:r>
        <w:rPr>
          <w:color w:val="231F20"/>
          <w:w w:val="102"/>
        </w:rPr>
        <w:t> </w:t>
      </w:r>
      <w:r>
        <w:rPr>
          <w:color w:val="231F20"/>
          <w:w w:val="105"/>
        </w:rPr>
        <w:t>que</w:t>
      </w:r>
      <w:r>
        <w:rPr>
          <w:color w:val="231F20"/>
          <w:spacing w:val="-9"/>
          <w:w w:val="105"/>
        </w:rPr>
        <w:t> </w:t>
      </w:r>
      <w:r>
        <w:rPr>
          <w:color w:val="231F20"/>
          <w:w w:val="105"/>
        </w:rPr>
        <w:t>no</w:t>
      </w:r>
      <w:r>
        <w:rPr>
          <w:color w:val="231F20"/>
          <w:spacing w:val="-9"/>
          <w:w w:val="105"/>
        </w:rPr>
        <w:t> </w:t>
      </w:r>
      <w:r>
        <w:rPr>
          <w:color w:val="231F20"/>
          <w:w w:val="105"/>
        </w:rPr>
        <w:t>logra</w:t>
      </w:r>
      <w:r>
        <w:rPr>
          <w:color w:val="231F20"/>
          <w:spacing w:val="-9"/>
          <w:w w:val="105"/>
        </w:rPr>
        <w:t> </w:t>
      </w:r>
      <w:r>
        <w:rPr>
          <w:color w:val="231F20"/>
          <w:w w:val="105"/>
        </w:rPr>
        <w:t>jamás</w:t>
      </w:r>
      <w:r>
        <w:rPr>
          <w:color w:val="231F20"/>
          <w:spacing w:val="-9"/>
          <w:w w:val="105"/>
        </w:rPr>
        <w:t> </w:t>
      </w:r>
      <w:r>
        <w:rPr>
          <w:color w:val="231F20"/>
          <w:w w:val="105"/>
        </w:rPr>
        <w:t>neutralizar</w:t>
      </w:r>
      <w:r>
        <w:rPr>
          <w:color w:val="231F20"/>
          <w:spacing w:val="-9"/>
          <w:w w:val="105"/>
        </w:rPr>
        <w:t> </w:t>
      </w:r>
      <w:r>
        <w:rPr>
          <w:color w:val="231F20"/>
          <w:w w:val="105"/>
        </w:rPr>
        <w:t>realmente.</w:t>
      </w:r>
      <w:r>
        <w:rPr>
          <w:color w:val="231F20"/>
          <w:spacing w:val="-9"/>
          <w:w w:val="105"/>
        </w:rPr>
        <w:t> </w:t>
      </w:r>
      <w:r>
        <w:rPr>
          <w:color w:val="231F20"/>
          <w:w w:val="105"/>
        </w:rPr>
        <w:t>La</w:t>
      </w:r>
      <w:r>
        <w:rPr>
          <w:color w:val="231F20"/>
          <w:spacing w:val="-9"/>
          <w:w w:val="105"/>
        </w:rPr>
        <w:t> </w:t>
      </w:r>
      <w:r>
        <w:rPr>
          <w:color w:val="231F20"/>
          <w:w w:val="105"/>
        </w:rPr>
        <w:t>violencia,</w:t>
      </w:r>
      <w:r>
        <w:rPr>
          <w:color w:val="231F20"/>
          <w:spacing w:val="-9"/>
          <w:w w:val="105"/>
        </w:rPr>
        <w:t> </w:t>
      </w:r>
      <w:r>
        <w:rPr>
          <w:color w:val="231F20"/>
          <w:w w:val="105"/>
        </w:rPr>
        <w:t>sin</w:t>
      </w:r>
      <w:r>
        <w:rPr>
          <w:color w:val="231F20"/>
          <w:spacing w:val="-9"/>
          <w:w w:val="105"/>
        </w:rPr>
        <w:t> </w:t>
      </w:r>
      <w:r>
        <w:rPr>
          <w:color w:val="231F20"/>
          <w:w w:val="105"/>
        </w:rPr>
        <w:t>embargo,</w:t>
      </w:r>
      <w:r>
        <w:rPr>
          <w:color w:val="231F20"/>
          <w:spacing w:val="-9"/>
          <w:w w:val="105"/>
        </w:rPr>
        <w:t> </w:t>
      </w:r>
      <w:r>
        <w:rPr>
          <w:color w:val="231F20"/>
          <w:w w:val="105"/>
        </w:rPr>
        <w:t>no</w:t>
      </w:r>
      <w:r>
        <w:rPr>
          <w:color w:val="231F20"/>
          <w:w w:val="104"/>
        </w:rPr>
        <w:t> </w:t>
      </w:r>
      <w:r>
        <w:rPr>
          <w:color w:val="231F20"/>
          <w:w w:val="105"/>
        </w:rPr>
        <w:t>solamente forma parte de la historia del Estado, al grado de</w:t>
      </w:r>
      <w:r>
        <w:rPr>
          <w:color w:val="231F20"/>
          <w:spacing w:val="-5"/>
          <w:w w:val="105"/>
        </w:rPr>
        <w:t> </w:t>
      </w:r>
      <w:r>
        <w:rPr>
          <w:color w:val="231F20"/>
          <w:w w:val="105"/>
        </w:rPr>
        <w:t>permitir</w:t>
      </w:r>
      <w:r>
        <w:rPr>
          <w:color w:val="231F20"/>
          <w:spacing w:val="-1"/>
          <w:w w:val="105"/>
        </w:rPr>
        <w:t> </w:t>
      </w:r>
      <w:r>
        <w:rPr>
          <w:color w:val="231F20"/>
          <w:w w:val="105"/>
        </w:rPr>
        <w:t>la</w:t>
      </w:r>
      <w:r>
        <w:rPr>
          <w:color w:val="231F20"/>
          <w:w w:val="100"/>
        </w:rPr>
        <w:t> </w:t>
      </w:r>
      <w:r>
        <w:rPr>
          <w:color w:val="231F20"/>
          <w:w w:val="105"/>
        </w:rPr>
        <w:t>periodicidad</w:t>
      </w:r>
      <w:r>
        <w:rPr>
          <w:color w:val="231F20"/>
          <w:spacing w:val="-35"/>
          <w:w w:val="105"/>
        </w:rPr>
        <w:t> </w:t>
      </w:r>
      <w:r>
        <w:rPr>
          <w:color w:val="231F20"/>
          <w:w w:val="105"/>
        </w:rPr>
        <w:t>de</w:t>
      </w:r>
      <w:r>
        <w:rPr>
          <w:color w:val="231F20"/>
          <w:spacing w:val="-35"/>
          <w:w w:val="105"/>
        </w:rPr>
        <w:t> </w:t>
      </w:r>
      <w:r>
        <w:rPr>
          <w:color w:val="231F20"/>
          <w:w w:val="105"/>
        </w:rPr>
        <w:t>sus</w:t>
      </w:r>
      <w:r>
        <w:rPr>
          <w:color w:val="231F20"/>
          <w:spacing w:val="-35"/>
          <w:w w:val="105"/>
        </w:rPr>
        <w:t> </w:t>
      </w:r>
      <w:r>
        <w:rPr>
          <w:color w:val="231F20"/>
          <w:w w:val="105"/>
        </w:rPr>
        <w:t>épocas,</w:t>
      </w:r>
      <w:r>
        <w:rPr>
          <w:color w:val="231F20"/>
          <w:spacing w:val="-35"/>
          <w:w w:val="105"/>
        </w:rPr>
        <w:t> </w:t>
      </w:r>
      <w:r>
        <w:rPr>
          <w:color w:val="231F20"/>
          <w:w w:val="105"/>
        </w:rPr>
        <w:t>sino</w:t>
      </w:r>
      <w:r>
        <w:rPr>
          <w:color w:val="231F20"/>
          <w:spacing w:val="-35"/>
          <w:w w:val="105"/>
        </w:rPr>
        <w:t> </w:t>
      </w:r>
      <w:r>
        <w:rPr>
          <w:color w:val="231F20"/>
          <w:w w:val="105"/>
        </w:rPr>
        <w:t>que</w:t>
      </w:r>
      <w:r>
        <w:rPr>
          <w:color w:val="231F20"/>
          <w:spacing w:val="-35"/>
          <w:w w:val="105"/>
        </w:rPr>
        <w:t> </w:t>
      </w:r>
      <w:r>
        <w:rPr>
          <w:color w:val="231F20"/>
          <w:w w:val="105"/>
        </w:rPr>
        <w:t>representa</w:t>
      </w:r>
      <w:r>
        <w:rPr>
          <w:color w:val="231F20"/>
          <w:spacing w:val="-35"/>
          <w:w w:val="105"/>
        </w:rPr>
        <w:t> </w:t>
      </w:r>
      <w:r>
        <w:rPr>
          <w:color w:val="231F20"/>
          <w:w w:val="105"/>
        </w:rPr>
        <w:t>también</w:t>
      </w:r>
      <w:r>
        <w:rPr>
          <w:color w:val="231F20"/>
          <w:spacing w:val="-35"/>
          <w:w w:val="105"/>
        </w:rPr>
        <w:t> </w:t>
      </w:r>
      <w:r>
        <w:rPr>
          <w:color w:val="231F20"/>
          <w:w w:val="105"/>
        </w:rPr>
        <w:t>la</w:t>
      </w:r>
      <w:r>
        <w:rPr>
          <w:color w:val="231F20"/>
          <w:spacing w:val="-35"/>
          <w:w w:val="105"/>
        </w:rPr>
        <w:t> </w:t>
      </w:r>
      <w:r>
        <w:rPr>
          <w:color w:val="231F20"/>
          <w:w w:val="105"/>
        </w:rPr>
        <w:t>experiencia</w:t>
      </w:r>
      <w:r>
        <w:rPr>
          <w:color w:val="231F20"/>
          <w:spacing w:val="-35"/>
          <w:w w:val="105"/>
        </w:rPr>
        <w:t> </w:t>
      </w:r>
      <w:r>
        <w:rPr>
          <w:color w:val="231F20"/>
          <w:w w:val="105"/>
        </w:rPr>
        <w:t>di-</w:t>
      </w:r>
      <w:r>
        <w:rPr>
          <w:color w:val="231F20"/>
          <w:w w:val="91"/>
        </w:rPr>
        <w:t> </w:t>
      </w:r>
      <w:r>
        <w:rPr>
          <w:color w:val="231F20"/>
          <w:w w:val="105"/>
        </w:rPr>
        <w:t>recta</w:t>
      </w:r>
      <w:r>
        <w:rPr>
          <w:color w:val="231F20"/>
          <w:spacing w:val="-22"/>
          <w:w w:val="105"/>
        </w:rPr>
        <w:t> </w:t>
      </w:r>
      <w:r>
        <w:rPr>
          <w:color w:val="231F20"/>
          <w:w w:val="105"/>
        </w:rPr>
        <w:t>de</w:t>
      </w:r>
      <w:r>
        <w:rPr>
          <w:color w:val="231F20"/>
          <w:spacing w:val="-22"/>
          <w:w w:val="105"/>
        </w:rPr>
        <w:t> </w:t>
      </w:r>
      <w:r>
        <w:rPr>
          <w:color w:val="231F20"/>
          <w:w w:val="105"/>
        </w:rPr>
        <w:t>millones</w:t>
      </w:r>
      <w:r>
        <w:rPr>
          <w:color w:val="231F20"/>
          <w:spacing w:val="-22"/>
          <w:w w:val="105"/>
        </w:rPr>
        <w:t> </w:t>
      </w:r>
      <w:r>
        <w:rPr>
          <w:color w:val="231F20"/>
          <w:w w:val="105"/>
        </w:rPr>
        <w:t>de</w:t>
      </w:r>
      <w:r>
        <w:rPr>
          <w:color w:val="231F20"/>
          <w:spacing w:val="-22"/>
          <w:w w:val="105"/>
        </w:rPr>
        <w:t> </w:t>
      </w:r>
      <w:r>
        <w:rPr>
          <w:color w:val="231F20"/>
          <w:w w:val="105"/>
        </w:rPr>
        <w:t>hombres</w:t>
      </w:r>
      <w:r>
        <w:rPr>
          <w:color w:val="231F20"/>
          <w:spacing w:val="-22"/>
          <w:w w:val="105"/>
        </w:rPr>
        <w:t> </w:t>
      </w:r>
      <w:r>
        <w:rPr>
          <w:color w:val="231F20"/>
          <w:w w:val="105"/>
        </w:rPr>
        <w:t>y</w:t>
      </w:r>
      <w:r>
        <w:rPr>
          <w:color w:val="231F20"/>
          <w:spacing w:val="-22"/>
          <w:w w:val="105"/>
        </w:rPr>
        <w:t> </w:t>
      </w:r>
      <w:r>
        <w:rPr>
          <w:color w:val="231F20"/>
          <w:w w:val="105"/>
        </w:rPr>
        <w:t>mujeres,</w:t>
      </w:r>
      <w:r>
        <w:rPr>
          <w:color w:val="231F20"/>
          <w:spacing w:val="-22"/>
          <w:w w:val="105"/>
        </w:rPr>
        <w:t> </w:t>
      </w:r>
      <w:r>
        <w:rPr>
          <w:color w:val="231F20"/>
          <w:w w:val="105"/>
        </w:rPr>
        <w:t>desde</w:t>
      </w:r>
      <w:r>
        <w:rPr>
          <w:color w:val="231F20"/>
          <w:spacing w:val="-22"/>
          <w:w w:val="105"/>
        </w:rPr>
        <w:t> </w:t>
      </w:r>
      <w:r>
        <w:rPr>
          <w:color w:val="231F20"/>
          <w:w w:val="105"/>
        </w:rPr>
        <w:t>el</w:t>
      </w:r>
      <w:r>
        <w:rPr>
          <w:color w:val="231F20"/>
          <w:spacing w:val="-22"/>
          <w:w w:val="105"/>
        </w:rPr>
        <w:t> </w:t>
      </w:r>
      <w:r>
        <w:rPr>
          <w:color w:val="231F20"/>
          <w:w w:val="105"/>
        </w:rPr>
        <w:t>momento</w:t>
      </w:r>
      <w:r>
        <w:rPr>
          <w:color w:val="231F20"/>
          <w:spacing w:val="-22"/>
          <w:w w:val="105"/>
        </w:rPr>
        <w:t> </w:t>
      </w:r>
      <w:r>
        <w:rPr>
          <w:color w:val="231F20"/>
          <w:w w:val="105"/>
        </w:rPr>
        <w:t>en</w:t>
      </w:r>
      <w:r>
        <w:rPr>
          <w:color w:val="231F20"/>
          <w:spacing w:val="-22"/>
          <w:w w:val="105"/>
        </w:rPr>
        <w:t> </w:t>
      </w:r>
      <w:r>
        <w:rPr>
          <w:color w:val="231F20"/>
          <w:w w:val="105"/>
        </w:rPr>
        <w:t>que</w:t>
      </w:r>
      <w:r>
        <w:rPr>
          <w:color w:val="231F20"/>
          <w:spacing w:val="-22"/>
          <w:w w:val="105"/>
        </w:rPr>
        <w:t> </w:t>
      </w:r>
      <w:r>
        <w:rPr>
          <w:color w:val="231F20"/>
          <w:w w:val="105"/>
        </w:rPr>
        <w:t>“para</w:t>
      </w:r>
      <w:r>
        <w:rPr>
          <w:color w:val="231F20"/>
          <w:w w:val="105"/>
        </w:rPr>
        <w:t> </w:t>
      </w:r>
      <w:r>
        <w:rPr>
          <w:color w:val="231F20"/>
          <w:w w:val="105"/>
        </w:rPr>
        <w:t>gran</w:t>
      </w:r>
      <w:r>
        <w:rPr>
          <w:color w:val="231F20"/>
          <w:spacing w:val="-38"/>
          <w:w w:val="105"/>
        </w:rPr>
        <w:t> </w:t>
      </w:r>
      <w:r>
        <w:rPr>
          <w:color w:val="231F20"/>
          <w:w w:val="105"/>
        </w:rPr>
        <w:t>parte</w:t>
      </w:r>
      <w:r>
        <w:rPr>
          <w:color w:val="231F20"/>
          <w:spacing w:val="-38"/>
          <w:w w:val="105"/>
        </w:rPr>
        <w:t> </w:t>
      </w:r>
      <w:r>
        <w:rPr>
          <w:color w:val="231F20"/>
          <w:w w:val="105"/>
        </w:rPr>
        <w:t>del</w:t>
      </w:r>
      <w:r>
        <w:rPr>
          <w:color w:val="231F20"/>
          <w:spacing w:val="-38"/>
          <w:w w:val="105"/>
        </w:rPr>
        <w:t> </w:t>
      </w:r>
      <w:r>
        <w:rPr>
          <w:color w:val="231F20"/>
          <w:w w:val="105"/>
        </w:rPr>
        <w:t>mundo</w:t>
      </w:r>
      <w:r>
        <w:rPr>
          <w:color w:val="231F20"/>
          <w:spacing w:val="-38"/>
          <w:w w:val="105"/>
        </w:rPr>
        <w:t> </w:t>
      </w:r>
      <w:r>
        <w:rPr>
          <w:color w:val="231F20"/>
          <w:w w:val="105"/>
        </w:rPr>
        <w:t>el</w:t>
      </w:r>
      <w:r>
        <w:rPr>
          <w:color w:val="231F20"/>
          <w:spacing w:val="-38"/>
          <w:w w:val="105"/>
        </w:rPr>
        <w:t> </w:t>
      </w:r>
      <w:r>
        <w:rPr>
          <w:color w:val="231F20"/>
          <w:w w:val="105"/>
        </w:rPr>
        <w:t>término</w:t>
      </w:r>
      <w:r>
        <w:rPr>
          <w:color w:val="231F20"/>
          <w:spacing w:val="-38"/>
          <w:w w:val="105"/>
        </w:rPr>
        <w:t> </w:t>
      </w:r>
      <w:r>
        <w:rPr>
          <w:color w:val="231F20"/>
          <w:w w:val="105"/>
        </w:rPr>
        <w:t>“construcción</w:t>
      </w:r>
      <w:r>
        <w:rPr>
          <w:color w:val="231F20"/>
          <w:spacing w:val="-38"/>
          <w:w w:val="105"/>
        </w:rPr>
        <w:t> </w:t>
      </w:r>
      <w:r>
        <w:rPr>
          <w:color w:val="231F20"/>
          <w:w w:val="105"/>
        </w:rPr>
        <w:t>del</w:t>
      </w:r>
      <w:r>
        <w:rPr>
          <w:color w:val="231F20"/>
          <w:spacing w:val="-38"/>
          <w:w w:val="105"/>
        </w:rPr>
        <w:t> </w:t>
      </w:r>
      <w:r>
        <w:rPr>
          <w:color w:val="231F20"/>
          <w:w w:val="105"/>
        </w:rPr>
        <w:t>Estado”</w:t>
      </w:r>
      <w:r>
        <w:rPr>
          <w:color w:val="231F20"/>
          <w:spacing w:val="-38"/>
          <w:w w:val="105"/>
        </w:rPr>
        <w:t> </w:t>
      </w:r>
      <w:r>
        <w:rPr>
          <w:color w:val="231F20"/>
          <w:w w:val="105"/>
        </w:rPr>
        <w:t>[</w:t>
      </w:r>
      <w:r>
        <w:rPr>
          <w:rFonts w:ascii="Arial" w:hAnsi="Arial"/>
          <w:i/>
          <w:color w:val="231F20"/>
          <w:w w:val="105"/>
        </w:rPr>
        <w:t>State</w:t>
      </w:r>
      <w:r>
        <w:rPr>
          <w:rFonts w:ascii="Arial" w:hAnsi="Arial"/>
          <w:i/>
          <w:color w:val="231F20"/>
          <w:spacing w:val="-31"/>
          <w:w w:val="105"/>
        </w:rPr>
        <w:t> </w:t>
      </w:r>
      <w:r>
        <w:rPr>
          <w:rFonts w:ascii="Arial" w:hAnsi="Arial"/>
          <w:i/>
          <w:color w:val="231F20"/>
          <w:w w:val="105"/>
        </w:rPr>
        <w:t>building</w:t>
      </w:r>
      <w:r>
        <w:rPr>
          <w:color w:val="231F20"/>
          <w:w w:val="105"/>
        </w:rPr>
        <w:t>]</w:t>
      </w:r>
      <w:r>
        <w:rPr>
          <w:color w:val="231F20"/>
          <w:w w:val="67"/>
        </w:rPr>
        <w:t> </w:t>
      </w:r>
      <w:r>
        <w:rPr>
          <w:color w:val="231F20"/>
          <w:w w:val="105"/>
        </w:rPr>
        <w:t>trae a la mente una historia sangrienta de represión colonial</w:t>
      </w:r>
      <w:r>
        <w:rPr>
          <w:color w:val="231F20"/>
          <w:spacing w:val="-33"/>
          <w:w w:val="105"/>
        </w:rPr>
        <w:t> </w:t>
      </w:r>
      <w:r>
        <w:rPr>
          <w:color w:val="231F20"/>
          <w:w w:val="105"/>
        </w:rPr>
        <w:t>y</w:t>
      </w:r>
      <w:r>
        <w:rPr>
          <w:color w:val="231F20"/>
          <w:spacing w:val="-4"/>
          <w:w w:val="105"/>
        </w:rPr>
        <w:t> </w:t>
      </w:r>
      <w:r>
        <w:rPr>
          <w:color w:val="231F20"/>
          <w:w w:val="105"/>
        </w:rPr>
        <w:t>violencia</w:t>
      </w:r>
      <w:r>
        <w:rPr>
          <w:color w:val="231F20"/>
          <w:w w:val="102"/>
        </w:rPr>
        <w:t> </w:t>
      </w:r>
      <w:r>
        <w:rPr>
          <w:color w:val="231F20"/>
          <w:w w:val="105"/>
        </w:rPr>
        <w:t>postcolonial”</w:t>
      </w:r>
      <w:r>
        <w:rPr>
          <w:color w:val="231F20"/>
          <w:w w:val="105"/>
          <w:position w:val="7"/>
          <w:sz w:val="12"/>
        </w:rPr>
        <w:t>12</w:t>
      </w:r>
      <w:r>
        <w:rPr>
          <w:color w:val="231F20"/>
          <w:w w:val="105"/>
        </w:rPr>
        <w:t>.</w:t>
      </w:r>
      <w:r>
        <w:rPr>
          <w:color w:val="231F20"/>
          <w:spacing w:val="-31"/>
          <w:w w:val="105"/>
        </w:rPr>
        <w:t> </w:t>
      </w:r>
      <w:r>
        <w:rPr>
          <w:color w:val="231F20"/>
          <w:w w:val="105"/>
        </w:rPr>
        <w:t>Esta</w:t>
      </w:r>
      <w:r>
        <w:rPr>
          <w:color w:val="231F20"/>
          <w:spacing w:val="-31"/>
          <w:w w:val="105"/>
        </w:rPr>
        <w:t> </w:t>
      </w:r>
      <w:r>
        <w:rPr>
          <w:color w:val="231F20"/>
          <w:w w:val="105"/>
        </w:rPr>
        <w:t>observación</w:t>
      </w:r>
      <w:r>
        <w:rPr>
          <w:color w:val="231F20"/>
          <w:spacing w:val="-31"/>
          <w:w w:val="105"/>
        </w:rPr>
        <w:t> </w:t>
      </w:r>
      <w:r>
        <w:rPr>
          <w:color w:val="231F20"/>
          <w:w w:val="105"/>
        </w:rPr>
        <w:t>pone</w:t>
      </w:r>
      <w:r>
        <w:rPr>
          <w:color w:val="231F20"/>
          <w:spacing w:val="-31"/>
          <w:w w:val="105"/>
        </w:rPr>
        <w:t> </w:t>
      </w:r>
      <w:r>
        <w:rPr>
          <w:color w:val="231F20"/>
          <w:w w:val="105"/>
        </w:rPr>
        <w:t>en</w:t>
      </w:r>
      <w:r>
        <w:rPr>
          <w:color w:val="231F20"/>
          <w:spacing w:val="-31"/>
          <w:w w:val="105"/>
        </w:rPr>
        <w:t> </w:t>
      </w:r>
      <w:r>
        <w:rPr>
          <w:color w:val="231F20"/>
          <w:w w:val="105"/>
        </w:rPr>
        <w:t>discusión</w:t>
      </w:r>
      <w:r>
        <w:rPr>
          <w:color w:val="231F20"/>
          <w:spacing w:val="-31"/>
          <w:w w:val="105"/>
        </w:rPr>
        <w:t> </w:t>
      </w:r>
      <w:r>
        <w:rPr>
          <w:color w:val="231F20"/>
          <w:w w:val="105"/>
        </w:rPr>
        <w:t>la</w:t>
      </w:r>
      <w:r>
        <w:rPr>
          <w:color w:val="231F20"/>
          <w:spacing w:val="-31"/>
          <w:w w:val="105"/>
        </w:rPr>
        <w:t> </w:t>
      </w:r>
      <w:r>
        <w:rPr>
          <w:color w:val="231F20"/>
          <w:w w:val="105"/>
        </w:rPr>
        <w:t>perspectiva</w:t>
      </w:r>
      <w:r>
        <w:rPr>
          <w:color w:val="231F20"/>
          <w:spacing w:val="-31"/>
          <w:w w:val="105"/>
        </w:rPr>
        <w:t> </w:t>
      </w:r>
      <w:r>
        <w:rPr>
          <w:color w:val="231F20"/>
          <w:w w:val="105"/>
        </w:rPr>
        <w:t>amplia-</w:t>
      </w:r>
      <w:r>
        <w:rPr>
          <w:color w:val="231F20"/>
          <w:w w:val="91"/>
        </w:rPr>
        <w:t> </w:t>
      </w:r>
      <w:r>
        <w:rPr>
          <w:color w:val="231F20"/>
          <w:w w:val="105"/>
        </w:rPr>
        <w:t>mente</w:t>
      </w:r>
      <w:r>
        <w:rPr>
          <w:color w:val="231F20"/>
          <w:spacing w:val="-10"/>
          <w:w w:val="105"/>
        </w:rPr>
        <w:t> </w:t>
      </w:r>
      <w:r>
        <w:rPr>
          <w:color w:val="231F20"/>
          <w:w w:val="105"/>
        </w:rPr>
        <w:t>presente</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historia</w:t>
      </w:r>
      <w:r>
        <w:rPr>
          <w:color w:val="231F20"/>
          <w:spacing w:val="-10"/>
          <w:w w:val="105"/>
        </w:rPr>
        <w:t> </w:t>
      </w:r>
      <w:r>
        <w:rPr>
          <w:color w:val="231F20"/>
          <w:w w:val="105"/>
        </w:rPr>
        <w:t>del</w:t>
      </w:r>
      <w:r>
        <w:rPr>
          <w:color w:val="231F20"/>
          <w:spacing w:val="-10"/>
          <w:w w:val="105"/>
        </w:rPr>
        <w:t> </w:t>
      </w:r>
      <w:r>
        <w:rPr>
          <w:color w:val="231F20"/>
          <w:w w:val="105"/>
        </w:rPr>
        <w:t>pensamiento</w:t>
      </w:r>
      <w:r>
        <w:rPr>
          <w:color w:val="231F20"/>
          <w:spacing w:val="-10"/>
          <w:w w:val="105"/>
        </w:rPr>
        <w:t> </w:t>
      </w:r>
      <w:r>
        <w:rPr>
          <w:color w:val="231F20"/>
          <w:w w:val="105"/>
        </w:rPr>
        <w:t>político,</w:t>
      </w:r>
      <w:r>
        <w:rPr>
          <w:color w:val="231F20"/>
          <w:spacing w:val="-10"/>
          <w:w w:val="105"/>
        </w:rPr>
        <w:t> </w:t>
      </w:r>
      <w:r>
        <w:rPr>
          <w:color w:val="231F20"/>
          <w:w w:val="105"/>
        </w:rPr>
        <w:t>según</w:t>
      </w:r>
      <w:r>
        <w:rPr>
          <w:color w:val="231F20"/>
          <w:spacing w:val="-10"/>
          <w:w w:val="105"/>
        </w:rPr>
        <w:t> </w:t>
      </w:r>
      <w:r>
        <w:rPr>
          <w:color w:val="231F20"/>
          <w:w w:val="105"/>
        </w:rPr>
        <w:t>la</w:t>
      </w:r>
      <w:r>
        <w:rPr>
          <w:color w:val="231F20"/>
          <w:spacing w:val="-10"/>
          <w:w w:val="105"/>
        </w:rPr>
        <w:t> </w:t>
      </w:r>
      <w:r>
        <w:rPr>
          <w:color w:val="231F20"/>
          <w:w w:val="105"/>
        </w:rPr>
        <w:t>cual</w:t>
      </w:r>
      <w:r>
        <w:rPr>
          <w:color w:val="231F20"/>
          <w:spacing w:val="-10"/>
          <w:w w:val="105"/>
        </w:rPr>
        <w:t> </w:t>
      </w:r>
      <w:r>
        <w:rPr>
          <w:color w:val="231F20"/>
          <w:w w:val="105"/>
        </w:rPr>
        <w:t>“el</w:t>
      </w:r>
      <w:r>
        <w:rPr>
          <w:color w:val="231F20"/>
          <w:w w:val="113"/>
        </w:rPr>
        <w:t> </w:t>
      </w:r>
      <w:r>
        <w:rPr>
          <w:color w:val="231F20"/>
          <w:w w:val="105"/>
        </w:rPr>
        <w:t>Estado</w:t>
      </w:r>
      <w:r>
        <w:rPr>
          <w:color w:val="231F20"/>
          <w:spacing w:val="-21"/>
          <w:w w:val="105"/>
        </w:rPr>
        <w:t> </w:t>
      </w:r>
      <w:r>
        <w:rPr>
          <w:color w:val="231F20"/>
          <w:w w:val="105"/>
        </w:rPr>
        <w:t>moderno</w:t>
      </w:r>
      <w:r>
        <w:rPr>
          <w:color w:val="231F20"/>
          <w:spacing w:val="-21"/>
          <w:w w:val="105"/>
        </w:rPr>
        <w:t> </w:t>
      </w:r>
      <w:r>
        <w:rPr>
          <w:color w:val="231F20"/>
          <w:w w:val="105"/>
        </w:rPr>
        <w:t>[ha</w:t>
      </w:r>
      <w:r>
        <w:rPr>
          <w:color w:val="231F20"/>
          <w:spacing w:val="-21"/>
          <w:w w:val="105"/>
        </w:rPr>
        <w:t> </w:t>
      </w:r>
      <w:r>
        <w:rPr>
          <w:color w:val="231F20"/>
          <w:w w:val="105"/>
        </w:rPr>
        <w:t>sido]</w:t>
      </w:r>
      <w:r>
        <w:rPr>
          <w:color w:val="231F20"/>
          <w:spacing w:val="-21"/>
          <w:w w:val="105"/>
        </w:rPr>
        <w:t> </w:t>
      </w:r>
      <w:r>
        <w:rPr>
          <w:color w:val="231F20"/>
          <w:w w:val="105"/>
        </w:rPr>
        <w:t>atentamente</w:t>
      </w:r>
      <w:r>
        <w:rPr>
          <w:color w:val="231F20"/>
          <w:spacing w:val="-21"/>
          <w:w w:val="105"/>
        </w:rPr>
        <w:t> </w:t>
      </w:r>
      <w:r>
        <w:rPr>
          <w:color w:val="231F20"/>
          <w:w w:val="105"/>
        </w:rPr>
        <w:t>construido</w:t>
      </w:r>
      <w:r>
        <w:rPr>
          <w:color w:val="231F20"/>
          <w:spacing w:val="-21"/>
          <w:w w:val="105"/>
        </w:rPr>
        <w:t> </w:t>
      </w:r>
      <w:r>
        <w:rPr>
          <w:color w:val="231F20"/>
          <w:w w:val="105"/>
        </w:rPr>
        <w:t>como</w:t>
      </w:r>
      <w:r>
        <w:rPr>
          <w:color w:val="231F20"/>
          <w:spacing w:val="-21"/>
          <w:w w:val="105"/>
        </w:rPr>
        <w:t> </w:t>
      </w:r>
      <w:r>
        <w:rPr>
          <w:color w:val="231F20"/>
          <w:w w:val="105"/>
        </w:rPr>
        <w:t>concepto</w:t>
      </w:r>
      <w:r>
        <w:rPr>
          <w:color w:val="231F20"/>
          <w:spacing w:val="-21"/>
          <w:w w:val="105"/>
        </w:rPr>
        <w:t> </w:t>
      </w:r>
      <w:r>
        <w:rPr>
          <w:color w:val="231F20"/>
          <w:w w:val="105"/>
        </w:rPr>
        <w:t>con</w:t>
      </w:r>
      <w:r>
        <w:rPr>
          <w:color w:val="231F20"/>
          <w:spacing w:val="-21"/>
          <w:w w:val="105"/>
        </w:rPr>
        <w:t> </w:t>
      </w:r>
      <w:r>
        <w:rPr>
          <w:color w:val="231F20"/>
          <w:w w:val="105"/>
        </w:rPr>
        <w:t>el</w:t>
      </w:r>
      <w:r>
        <w:rPr>
          <w:color w:val="231F20"/>
          <w:w w:val="105"/>
        </w:rPr>
        <w:t> </w:t>
      </w:r>
      <w:r>
        <w:rPr>
          <w:color w:val="231F20"/>
          <w:w w:val="105"/>
        </w:rPr>
        <w:t>propósito</w:t>
      </w:r>
      <w:r>
        <w:rPr>
          <w:color w:val="231F20"/>
          <w:spacing w:val="-34"/>
          <w:w w:val="105"/>
        </w:rPr>
        <w:t> </w:t>
      </w:r>
      <w:r>
        <w:rPr>
          <w:color w:val="231F20"/>
          <w:w w:val="105"/>
        </w:rPr>
        <w:t>específico</w:t>
      </w:r>
      <w:r>
        <w:rPr>
          <w:color w:val="231F20"/>
          <w:spacing w:val="-34"/>
          <w:w w:val="105"/>
        </w:rPr>
        <w:t> </w:t>
      </w:r>
      <w:r>
        <w:rPr>
          <w:color w:val="231F20"/>
          <w:w w:val="105"/>
        </w:rPr>
        <w:t>de</w:t>
      </w:r>
      <w:r>
        <w:rPr>
          <w:color w:val="231F20"/>
          <w:spacing w:val="-34"/>
          <w:w w:val="105"/>
        </w:rPr>
        <w:t> </w:t>
      </w:r>
      <w:r>
        <w:rPr>
          <w:color w:val="231F20"/>
          <w:w w:val="105"/>
        </w:rPr>
        <w:t>negar</w:t>
      </w:r>
      <w:r>
        <w:rPr>
          <w:color w:val="231F20"/>
          <w:spacing w:val="-34"/>
          <w:w w:val="105"/>
        </w:rPr>
        <w:t> </w:t>
      </w:r>
      <w:r>
        <w:rPr>
          <w:color w:val="231F20"/>
          <w:w w:val="105"/>
        </w:rPr>
        <w:t>las</w:t>
      </w:r>
      <w:r>
        <w:rPr>
          <w:color w:val="231F20"/>
          <w:spacing w:val="-34"/>
          <w:w w:val="105"/>
        </w:rPr>
        <w:t> </w:t>
      </w:r>
      <w:r>
        <w:rPr>
          <w:color w:val="231F20"/>
          <w:w w:val="105"/>
        </w:rPr>
        <w:t>pretensiones</w:t>
      </w:r>
      <w:r>
        <w:rPr>
          <w:color w:val="231F20"/>
          <w:spacing w:val="-34"/>
          <w:w w:val="105"/>
        </w:rPr>
        <w:t> </w:t>
      </w:r>
      <w:r>
        <w:rPr>
          <w:color w:val="231F20"/>
          <w:w w:val="105"/>
        </w:rPr>
        <w:t>de</w:t>
      </w:r>
      <w:r>
        <w:rPr>
          <w:color w:val="231F20"/>
          <w:spacing w:val="-34"/>
          <w:w w:val="105"/>
        </w:rPr>
        <w:t> </w:t>
      </w:r>
      <w:r>
        <w:rPr>
          <w:color w:val="231F20"/>
          <w:w w:val="105"/>
        </w:rPr>
        <w:t>cualquier</w:t>
      </w:r>
      <w:r>
        <w:rPr>
          <w:color w:val="231F20"/>
          <w:spacing w:val="-34"/>
          <w:w w:val="105"/>
        </w:rPr>
        <w:t> </w:t>
      </w:r>
      <w:r>
        <w:rPr>
          <w:color w:val="231F20"/>
          <w:w w:val="105"/>
        </w:rPr>
        <w:t>población</w:t>
      </w:r>
      <w:r>
        <w:rPr>
          <w:color w:val="231F20"/>
          <w:spacing w:val="-34"/>
          <w:w w:val="105"/>
        </w:rPr>
        <w:t> </w:t>
      </w:r>
      <w:r>
        <w:rPr>
          <w:color w:val="231F20"/>
          <w:w w:val="105"/>
        </w:rPr>
        <w:t>[</w:t>
      </w:r>
      <w:r>
        <w:rPr>
          <w:rFonts w:ascii="Arial" w:hAnsi="Arial"/>
          <w:i/>
          <w:color w:val="231F20"/>
          <w:w w:val="105"/>
        </w:rPr>
        <w:t>po-</w:t>
      </w:r>
      <w:r>
        <w:rPr>
          <w:rFonts w:ascii="Arial" w:hAnsi="Arial"/>
          <w:i/>
          <w:color w:val="231F20"/>
          <w:w w:val="99"/>
        </w:rPr>
        <w:t> </w:t>
      </w:r>
      <w:r>
        <w:rPr>
          <w:rFonts w:ascii="Arial" w:hAnsi="Arial"/>
          <w:i/>
          <w:color w:val="231F20"/>
          <w:w w:val="105"/>
        </w:rPr>
        <w:t>pulace</w:t>
      </w:r>
      <w:r>
        <w:rPr>
          <w:color w:val="231F20"/>
          <w:w w:val="105"/>
        </w:rPr>
        <w:t>]</w:t>
      </w:r>
      <w:r>
        <w:rPr>
          <w:color w:val="231F20"/>
          <w:spacing w:val="-32"/>
          <w:w w:val="105"/>
        </w:rPr>
        <w:t> </w:t>
      </w:r>
      <w:r>
        <w:rPr>
          <w:color w:val="231F20"/>
          <w:w w:val="105"/>
        </w:rPr>
        <w:t>de</w:t>
      </w:r>
      <w:r>
        <w:rPr>
          <w:color w:val="231F20"/>
          <w:spacing w:val="-32"/>
          <w:w w:val="105"/>
        </w:rPr>
        <w:t> </w:t>
      </w:r>
      <w:r>
        <w:rPr>
          <w:color w:val="231F20"/>
          <w:w w:val="105"/>
        </w:rPr>
        <w:t>ser</w:t>
      </w:r>
      <w:r>
        <w:rPr>
          <w:color w:val="231F20"/>
          <w:spacing w:val="-32"/>
          <w:w w:val="105"/>
        </w:rPr>
        <w:t> </w:t>
      </w:r>
      <w:r>
        <w:rPr>
          <w:color w:val="231F20"/>
          <w:w w:val="105"/>
        </w:rPr>
        <w:t>ella</w:t>
      </w:r>
      <w:r>
        <w:rPr>
          <w:color w:val="231F20"/>
          <w:spacing w:val="-32"/>
          <w:w w:val="105"/>
        </w:rPr>
        <w:t> </w:t>
      </w:r>
      <w:r>
        <w:rPr>
          <w:color w:val="231F20"/>
          <w:w w:val="105"/>
        </w:rPr>
        <w:t>misma</w:t>
      </w:r>
      <w:r>
        <w:rPr>
          <w:color w:val="231F20"/>
          <w:spacing w:val="-32"/>
          <w:w w:val="105"/>
        </w:rPr>
        <w:t> </w:t>
      </w:r>
      <w:r>
        <w:rPr>
          <w:color w:val="231F20"/>
          <w:w w:val="105"/>
        </w:rPr>
        <w:t>el</w:t>
      </w:r>
      <w:r>
        <w:rPr>
          <w:color w:val="231F20"/>
          <w:spacing w:val="-32"/>
          <w:w w:val="105"/>
        </w:rPr>
        <w:t> </w:t>
      </w:r>
      <w:r>
        <w:rPr>
          <w:color w:val="231F20"/>
          <w:w w:val="105"/>
        </w:rPr>
        <w:t>centro</w:t>
      </w:r>
      <w:r>
        <w:rPr>
          <w:color w:val="231F20"/>
          <w:spacing w:val="-32"/>
          <w:w w:val="105"/>
        </w:rPr>
        <w:t> </w:t>
      </w:r>
      <w:r>
        <w:rPr>
          <w:color w:val="231F20"/>
          <w:w w:val="105"/>
        </w:rPr>
        <w:t>continuativo</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w w:val="105"/>
        </w:rPr>
        <w:t>autoridad</w:t>
      </w:r>
      <w:r>
        <w:rPr>
          <w:color w:val="231F20"/>
          <w:spacing w:val="-32"/>
          <w:w w:val="105"/>
        </w:rPr>
        <w:t> </w:t>
      </w:r>
      <w:r>
        <w:rPr>
          <w:color w:val="231F20"/>
          <w:w w:val="105"/>
        </w:rPr>
        <w:t>política”</w:t>
      </w:r>
      <w:r>
        <w:rPr>
          <w:color w:val="231F20"/>
          <w:w w:val="105"/>
          <w:position w:val="7"/>
          <w:sz w:val="12"/>
        </w:rPr>
        <w:t>13</w:t>
      </w:r>
      <w:r>
        <w:rPr>
          <w:color w:val="231F20"/>
          <w:w w:val="105"/>
        </w:rPr>
        <w:t>.</w:t>
      </w:r>
      <w:r>
        <w:rPr>
          <w:color w:val="231F20"/>
          <w:w w:val="85"/>
        </w:rPr>
        <w:t> </w:t>
      </w:r>
      <w:r>
        <w:rPr>
          <w:color w:val="231F20"/>
          <w:w w:val="105"/>
        </w:rPr>
        <w:t>Si efectivamente la imagen del Estado es violenta, la centralización</w:t>
      </w:r>
      <w:r>
        <w:rPr>
          <w:color w:val="231F20"/>
          <w:spacing w:val="-11"/>
          <w:w w:val="105"/>
        </w:rPr>
        <w:t> </w:t>
      </w:r>
      <w:r>
        <w:rPr>
          <w:color w:val="231F20"/>
          <w:w w:val="105"/>
        </w:rPr>
        <w:t>y</w:t>
      </w:r>
      <w:r>
        <w:rPr>
          <w:color w:val="231F20"/>
          <w:spacing w:val="-2"/>
          <w:w w:val="105"/>
        </w:rPr>
        <w:t> </w:t>
      </w:r>
      <w:r>
        <w:rPr>
          <w:color w:val="231F20"/>
          <w:w w:val="105"/>
        </w:rPr>
        <w:t>la</w:t>
      </w:r>
      <w:r>
        <w:rPr>
          <w:color w:val="231F20"/>
          <w:w w:val="100"/>
        </w:rPr>
        <w:t> </w:t>
      </w:r>
      <w:r>
        <w:rPr>
          <w:color w:val="231F20"/>
          <w:w w:val="105"/>
        </w:rPr>
        <w:t>administración</w:t>
      </w:r>
      <w:r>
        <w:rPr>
          <w:color w:val="231F20"/>
          <w:spacing w:val="-23"/>
          <w:w w:val="105"/>
        </w:rPr>
        <w:t> </w:t>
      </w:r>
      <w:r>
        <w:rPr>
          <w:color w:val="231F20"/>
          <w:w w:val="105"/>
        </w:rPr>
        <w:t>separada</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autoridad</w:t>
      </w:r>
      <w:r>
        <w:rPr>
          <w:color w:val="231F20"/>
          <w:spacing w:val="-23"/>
          <w:w w:val="105"/>
        </w:rPr>
        <w:t> </w:t>
      </w:r>
      <w:r>
        <w:rPr>
          <w:color w:val="231F20"/>
          <w:w w:val="105"/>
        </w:rPr>
        <w:t>política</w:t>
      </w:r>
      <w:r>
        <w:rPr>
          <w:color w:val="231F20"/>
          <w:spacing w:val="-23"/>
          <w:w w:val="105"/>
        </w:rPr>
        <w:t> </w:t>
      </w:r>
      <w:r>
        <w:rPr>
          <w:color w:val="231F20"/>
          <w:w w:val="105"/>
        </w:rPr>
        <w:t>pierde</w:t>
      </w:r>
      <w:r>
        <w:rPr>
          <w:color w:val="231F20"/>
          <w:spacing w:val="-23"/>
          <w:w w:val="105"/>
        </w:rPr>
        <w:t> </w:t>
      </w:r>
      <w:r>
        <w:rPr>
          <w:color w:val="231F20"/>
          <w:w w:val="105"/>
        </w:rPr>
        <w:t>la</w:t>
      </w:r>
      <w:r>
        <w:rPr>
          <w:color w:val="231F20"/>
          <w:spacing w:val="-23"/>
          <w:w w:val="105"/>
        </w:rPr>
        <w:t> </w:t>
      </w:r>
      <w:r>
        <w:rPr>
          <w:color w:val="231F20"/>
          <w:w w:val="105"/>
        </w:rPr>
        <w:t>legitimidad</w:t>
      </w:r>
      <w:r>
        <w:rPr>
          <w:color w:val="231F20"/>
          <w:spacing w:val="-23"/>
          <w:w w:val="105"/>
        </w:rPr>
        <w:t> </w:t>
      </w:r>
      <w:r>
        <w:rPr>
          <w:color w:val="231F20"/>
          <w:w w:val="105"/>
        </w:rPr>
        <w:t>que</w:t>
      </w:r>
    </w:p>
    <w:p>
      <w:pPr>
        <w:pStyle w:val="BodyText"/>
        <w:spacing w:line="252" w:lineRule="exact"/>
        <w:ind w:left="103"/>
      </w:pPr>
      <w:r>
        <w:rPr>
          <w:color w:val="231F20"/>
        </w:rPr>
        <w:t>la tradición estatal le ha garantizado hasta ahora</w:t>
      </w:r>
      <w:r>
        <w:rPr>
          <w:color w:val="231F20"/>
          <w:position w:val="7"/>
          <w:sz w:val="12"/>
        </w:rPr>
        <w:t>14</w:t>
      </w:r>
      <w:r>
        <w:rPr>
          <w:color w:val="231F20"/>
        </w:rPr>
        <w:t>.</w:t>
      </w:r>
    </w:p>
    <w:p>
      <w:pPr>
        <w:pStyle w:val="BodyText"/>
        <w:spacing w:line="247" w:lineRule="auto" w:before="6"/>
        <w:ind w:left="103" w:right="114" w:firstLine="566"/>
        <w:jc w:val="both"/>
      </w:pPr>
      <w:r>
        <w:rPr>
          <w:color w:val="231F20"/>
          <w:w w:val="105"/>
        </w:rPr>
        <w:t>La</w:t>
      </w:r>
      <w:r>
        <w:rPr>
          <w:color w:val="231F20"/>
          <w:spacing w:val="-20"/>
          <w:w w:val="105"/>
        </w:rPr>
        <w:t> </w:t>
      </w:r>
      <w:r>
        <w:rPr>
          <w:color w:val="231F20"/>
          <w:w w:val="105"/>
        </w:rPr>
        <w:t>conjugación</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historia</w:t>
      </w:r>
      <w:r>
        <w:rPr>
          <w:color w:val="231F20"/>
          <w:spacing w:val="-20"/>
          <w:w w:val="105"/>
        </w:rPr>
        <w:t> </w:t>
      </w:r>
      <w:r>
        <w:rPr>
          <w:color w:val="231F20"/>
          <w:w w:val="105"/>
        </w:rPr>
        <w:t>pasada</w:t>
      </w:r>
      <w:r>
        <w:rPr>
          <w:color w:val="231F20"/>
          <w:spacing w:val="-20"/>
          <w:w w:val="105"/>
        </w:rPr>
        <w:t> </w:t>
      </w:r>
      <w:r>
        <w:rPr>
          <w:color w:val="231F20"/>
          <w:w w:val="105"/>
        </w:rPr>
        <w:t>y</w:t>
      </w:r>
      <w:r>
        <w:rPr>
          <w:color w:val="231F20"/>
          <w:spacing w:val="-20"/>
          <w:w w:val="105"/>
        </w:rPr>
        <w:t> </w:t>
      </w:r>
      <w:r>
        <w:rPr>
          <w:color w:val="231F20"/>
          <w:w w:val="105"/>
        </w:rPr>
        <w:t>aquella</w:t>
      </w:r>
      <w:r>
        <w:rPr>
          <w:color w:val="231F20"/>
          <w:spacing w:val="-20"/>
          <w:w w:val="105"/>
        </w:rPr>
        <w:t> </w:t>
      </w:r>
      <w:r>
        <w:rPr>
          <w:color w:val="231F20"/>
          <w:w w:val="105"/>
        </w:rPr>
        <w:t>presente</w:t>
      </w:r>
      <w:r>
        <w:rPr>
          <w:color w:val="231F20"/>
          <w:spacing w:val="-20"/>
          <w:w w:val="105"/>
        </w:rPr>
        <w:t> </w:t>
      </w:r>
      <w:r>
        <w:rPr>
          <w:color w:val="231F20"/>
          <w:w w:val="105"/>
        </w:rPr>
        <w:t>del</w:t>
      </w:r>
      <w:r>
        <w:rPr>
          <w:color w:val="231F20"/>
          <w:spacing w:val="-20"/>
          <w:w w:val="105"/>
        </w:rPr>
        <w:t> </w:t>
      </w:r>
      <w:r>
        <w:rPr>
          <w:color w:val="231F20"/>
          <w:w w:val="105"/>
        </w:rPr>
        <w:t>Estado, explica</w:t>
      </w:r>
      <w:r>
        <w:rPr>
          <w:color w:val="231F20"/>
          <w:spacing w:val="-9"/>
          <w:w w:val="105"/>
        </w:rPr>
        <w:t> </w:t>
      </w:r>
      <w:r>
        <w:rPr>
          <w:color w:val="231F20"/>
          <w:w w:val="105"/>
        </w:rPr>
        <w:t>por</w:t>
      </w:r>
      <w:r>
        <w:rPr>
          <w:color w:val="231F20"/>
          <w:spacing w:val="-9"/>
          <w:w w:val="105"/>
        </w:rPr>
        <w:t> </w:t>
      </w:r>
      <w:r>
        <w:rPr>
          <w:color w:val="231F20"/>
          <w:w w:val="105"/>
        </w:rPr>
        <w:t>qué</w:t>
      </w:r>
      <w:r>
        <w:rPr>
          <w:color w:val="231F20"/>
          <w:spacing w:val="-9"/>
          <w:w w:val="105"/>
        </w:rPr>
        <w:t> </w:t>
      </w:r>
      <w:r>
        <w:rPr>
          <w:color w:val="231F20"/>
          <w:w w:val="105"/>
        </w:rPr>
        <w:t>la</w:t>
      </w:r>
      <w:r>
        <w:rPr>
          <w:color w:val="231F20"/>
          <w:spacing w:val="-9"/>
          <w:w w:val="105"/>
        </w:rPr>
        <w:t> </w:t>
      </w:r>
      <w:r>
        <w:rPr>
          <w:color w:val="231F20"/>
          <w:w w:val="105"/>
        </w:rPr>
        <w:t>Organización</w:t>
      </w:r>
      <w:r>
        <w:rPr>
          <w:color w:val="231F20"/>
          <w:spacing w:val="-9"/>
          <w:w w:val="105"/>
        </w:rPr>
        <w:t> </w:t>
      </w:r>
      <w:r>
        <w:rPr>
          <w:color w:val="231F20"/>
          <w:w w:val="105"/>
        </w:rPr>
        <w:t>para</w:t>
      </w:r>
      <w:r>
        <w:rPr>
          <w:color w:val="231F20"/>
          <w:spacing w:val="-9"/>
          <w:w w:val="105"/>
        </w:rPr>
        <w:t> </w:t>
      </w:r>
      <w:r>
        <w:rPr>
          <w:color w:val="231F20"/>
          <w:w w:val="105"/>
        </w:rPr>
        <w:t>la</w:t>
      </w:r>
      <w:r>
        <w:rPr>
          <w:color w:val="231F20"/>
          <w:spacing w:val="-9"/>
          <w:w w:val="105"/>
        </w:rPr>
        <w:t> </w:t>
      </w:r>
      <w:r>
        <w:rPr>
          <w:color w:val="231F20"/>
          <w:w w:val="105"/>
        </w:rPr>
        <w:t>Cooperación</w:t>
      </w:r>
      <w:r>
        <w:rPr>
          <w:color w:val="231F20"/>
          <w:spacing w:val="-9"/>
          <w:w w:val="105"/>
        </w:rPr>
        <w:t> </w:t>
      </w:r>
      <w:r>
        <w:rPr>
          <w:color w:val="231F20"/>
          <w:w w:val="105"/>
        </w:rPr>
        <w:t>y</w:t>
      </w:r>
      <w:r>
        <w:rPr>
          <w:color w:val="231F20"/>
          <w:spacing w:val="-9"/>
          <w:w w:val="105"/>
        </w:rPr>
        <w:t> </w:t>
      </w:r>
      <w:r>
        <w:rPr>
          <w:color w:val="231F20"/>
          <w:w w:val="105"/>
        </w:rPr>
        <w:t>el</w:t>
      </w:r>
      <w:r>
        <w:rPr>
          <w:color w:val="231F20"/>
          <w:spacing w:val="-9"/>
          <w:w w:val="105"/>
        </w:rPr>
        <w:t> </w:t>
      </w:r>
      <w:r>
        <w:rPr>
          <w:color w:val="231F20"/>
          <w:w w:val="105"/>
        </w:rPr>
        <w:t>Desarrollo</w:t>
      </w:r>
      <w:r>
        <w:rPr>
          <w:color w:val="231F20"/>
          <w:spacing w:val="-9"/>
          <w:w w:val="105"/>
        </w:rPr>
        <w:t> </w:t>
      </w:r>
      <w:r>
        <w:rPr>
          <w:color w:val="231F20"/>
          <w:w w:val="105"/>
        </w:rPr>
        <w:t>Eco- nómico</w:t>
      </w:r>
      <w:r>
        <w:rPr>
          <w:color w:val="231F20"/>
          <w:spacing w:val="-19"/>
          <w:w w:val="105"/>
        </w:rPr>
        <w:t> </w:t>
      </w:r>
      <w:r>
        <w:rPr>
          <w:color w:val="231F20"/>
          <w:w w:val="105"/>
        </w:rPr>
        <w:t>(</w:t>
      </w:r>
      <w:r>
        <w:rPr>
          <w:color w:val="231F20"/>
          <w:w w:val="105"/>
          <w:sz w:val="18"/>
        </w:rPr>
        <w:t>OCDE</w:t>
      </w:r>
      <w:r>
        <w:rPr>
          <w:color w:val="231F20"/>
          <w:w w:val="105"/>
        </w:rPr>
        <w:t>)</w:t>
      </w:r>
      <w:r>
        <w:rPr>
          <w:color w:val="231F20"/>
          <w:spacing w:val="-19"/>
          <w:w w:val="105"/>
        </w:rPr>
        <w:t> </w:t>
      </w:r>
      <w:r>
        <w:rPr>
          <w:color w:val="231F20"/>
          <w:w w:val="105"/>
        </w:rPr>
        <w:t>asume</w:t>
      </w:r>
      <w:r>
        <w:rPr>
          <w:color w:val="231F20"/>
          <w:spacing w:val="-19"/>
          <w:w w:val="105"/>
        </w:rPr>
        <w:t> </w:t>
      </w:r>
      <w:r>
        <w:rPr>
          <w:color w:val="231F20"/>
          <w:w w:val="105"/>
        </w:rPr>
        <w:t>la</w:t>
      </w:r>
      <w:r>
        <w:rPr>
          <w:color w:val="231F20"/>
          <w:spacing w:val="-19"/>
          <w:w w:val="105"/>
        </w:rPr>
        <w:t> </w:t>
      </w:r>
      <w:r>
        <w:rPr>
          <w:color w:val="231F20"/>
          <w:w w:val="105"/>
        </w:rPr>
        <w:t>fragilidad</w:t>
      </w:r>
      <w:r>
        <w:rPr>
          <w:color w:val="231F20"/>
          <w:spacing w:val="-19"/>
          <w:w w:val="105"/>
        </w:rPr>
        <w:t> </w:t>
      </w:r>
      <w:r>
        <w:rPr>
          <w:color w:val="231F20"/>
          <w:w w:val="105"/>
        </w:rPr>
        <w:t>y</w:t>
      </w:r>
      <w:r>
        <w:rPr>
          <w:color w:val="231F20"/>
          <w:spacing w:val="-19"/>
          <w:w w:val="105"/>
        </w:rPr>
        <w:t> </w:t>
      </w:r>
      <w:r>
        <w:rPr>
          <w:color w:val="231F20"/>
          <w:w w:val="105"/>
        </w:rPr>
        <w:t>no</w:t>
      </w:r>
      <w:r>
        <w:rPr>
          <w:color w:val="231F20"/>
          <w:spacing w:val="-19"/>
          <w:w w:val="105"/>
        </w:rPr>
        <w:t> </w:t>
      </w:r>
      <w:r>
        <w:rPr>
          <w:color w:val="231F20"/>
          <w:w w:val="105"/>
        </w:rPr>
        <w:t>la</w:t>
      </w:r>
      <w:r>
        <w:rPr>
          <w:color w:val="231F20"/>
          <w:spacing w:val="-19"/>
          <w:w w:val="105"/>
        </w:rPr>
        <w:t> </w:t>
      </w:r>
      <w:r>
        <w:rPr>
          <w:color w:val="231F20"/>
          <w:w w:val="105"/>
        </w:rPr>
        <w:t>estabilidad</w:t>
      </w:r>
      <w:r>
        <w:rPr>
          <w:color w:val="231F20"/>
          <w:spacing w:val="-19"/>
          <w:w w:val="105"/>
        </w:rPr>
        <w:t> </w:t>
      </w:r>
      <w:r>
        <w:rPr>
          <w:color w:val="231F20"/>
          <w:w w:val="105"/>
        </w:rPr>
        <w:t>como</w:t>
      </w:r>
      <w:r>
        <w:rPr>
          <w:color w:val="231F20"/>
          <w:spacing w:val="-19"/>
          <w:w w:val="105"/>
        </w:rPr>
        <w:t> </w:t>
      </w:r>
      <w:r>
        <w:rPr>
          <w:color w:val="231F20"/>
          <w:w w:val="105"/>
        </w:rPr>
        <w:t>característica esencial</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Estados</w:t>
      </w:r>
      <w:r>
        <w:rPr>
          <w:color w:val="231F20"/>
          <w:spacing w:val="-13"/>
          <w:w w:val="105"/>
        </w:rPr>
        <w:t> </w:t>
      </w:r>
      <w:r>
        <w:rPr>
          <w:color w:val="231F20"/>
          <w:w w:val="105"/>
        </w:rPr>
        <w:t>contemporáneos.</w:t>
      </w:r>
      <w:r>
        <w:rPr>
          <w:color w:val="231F20"/>
          <w:spacing w:val="-13"/>
          <w:w w:val="105"/>
        </w:rPr>
        <w:t> </w:t>
      </w:r>
      <w:r>
        <w:rPr>
          <w:color w:val="231F20"/>
          <w:w w:val="105"/>
        </w:rPr>
        <w:t>La</w:t>
      </w:r>
      <w:r>
        <w:rPr>
          <w:color w:val="231F20"/>
          <w:spacing w:val="-13"/>
          <w:w w:val="105"/>
        </w:rPr>
        <w:t> </w:t>
      </w:r>
      <w:r>
        <w:rPr>
          <w:color w:val="231F20"/>
          <w:w w:val="105"/>
        </w:rPr>
        <w:t>fragilidad</w:t>
      </w:r>
      <w:r>
        <w:rPr>
          <w:color w:val="231F20"/>
          <w:spacing w:val="-13"/>
          <w:w w:val="105"/>
        </w:rPr>
        <w:t> </w:t>
      </w:r>
      <w:r>
        <w:rPr>
          <w:color w:val="231F20"/>
          <w:w w:val="105"/>
        </w:rPr>
        <w:t>se</w:t>
      </w:r>
      <w:r>
        <w:rPr>
          <w:color w:val="231F20"/>
          <w:spacing w:val="-13"/>
          <w:w w:val="105"/>
        </w:rPr>
        <w:t> </w:t>
      </w:r>
      <w:r>
        <w:rPr>
          <w:color w:val="231F20"/>
          <w:w w:val="105"/>
        </w:rPr>
        <w:t>convierte</w:t>
      </w:r>
      <w:r>
        <w:rPr>
          <w:color w:val="231F20"/>
          <w:spacing w:val="-13"/>
          <w:w w:val="105"/>
        </w:rPr>
        <w:t> </w:t>
      </w:r>
      <w:r>
        <w:rPr>
          <w:color w:val="231F20"/>
          <w:w w:val="105"/>
        </w:rPr>
        <w:t>en</w:t>
      </w:r>
      <w:r>
        <w:rPr>
          <w:color w:val="231F20"/>
          <w:spacing w:val="-13"/>
          <w:w w:val="105"/>
        </w:rPr>
        <w:t> </w:t>
      </w:r>
      <w:r>
        <w:rPr>
          <w:color w:val="231F20"/>
          <w:w w:val="105"/>
        </w:rPr>
        <w:t>el indicador</w:t>
      </w:r>
      <w:r>
        <w:rPr>
          <w:color w:val="231F20"/>
          <w:spacing w:val="-27"/>
          <w:w w:val="105"/>
        </w:rPr>
        <w:t> </w:t>
      </w:r>
      <w:r>
        <w:rPr>
          <w:color w:val="231F20"/>
          <w:w w:val="105"/>
        </w:rPr>
        <w:t>de</w:t>
      </w:r>
      <w:r>
        <w:rPr>
          <w:color w:val="231F20"/>
          <w:spacing w:val="-27"/>
          <w:w w:val="105"/>
        </w:rPr>
        <w:t> </w:t>
      </w:r>
      <w:r>
        <w:rPr>
          <w:color w:val="231F20"/>
          <w:w w:val="105"/>
        </w:rPr>
        <w:t>un</w:t>
      </w:r>
      <w:r>
        <w:rPr>
          <w:color w:val="231F20"/>
          <w:spacing w:val="-27"/>
          <w:w w:val="105"/>
        </w:rPr>
        <w:t> </w:t>
      </w:r>
      <w:r>
        <w:rPr>
          <w:color w:val="231F20"/>
          <w:w w:val="105"/>
        </w:rPr>
        <w:t>cambio</w:t>
      </w:r>
      <w:r>
        <w:rPr>
          <w:color w:val="231F20"/>
          <w:spacing w:val="-27"/>
          <w:w w:val="105"/>
        </w:rPr>
        <w:t> </w:t>
      </w:r>
      <w:r>
        <w:rPr>
          <w:color w:val="231F20"/>
          <w:w w:val="105"/>
        </w:rPr>
        <w:t>estructural</w:t>
      </w:r>
      <w:r>
        <w:rPr>
          <w:color w:val="231F20"/>
          <w:spacing w:val="-27"/>
          <w:w w:val="105"/>
        </w:rPr>
        <w:t> </w:t>
      </w:r>
      <w:r>
        <w:rPr>
          <w:color w:val="231F20"/>
          <w:w w:val="105"/>
        </w:rPr>
        <w:t>de</w:t>
      </w:r>
      <w:r>
        <w:rPr>
          <w:color w:val="231F20"/>
          <w:spacing w:val="-27"/>
          <w:w w:val="105"/>
        </w:rPr>
        <w:t> </w:t>
      </w:r>
      <w:r>
        <w:rPr>
          <w:color w:val="231F20"/>
          <w:w w:val="105"/>
        </w:rPr>
        <w:t>su</w:t>
      </w:r>
      <w:r>
        <w:rPr>
          <w:color w:val="231F20"/>
          <w:spacing w:val="-27"/>
          <w:w w:val="105"/>
        </w:rPr>
        <w:t> </w:t>
      </w:r>
      <w:r>
        <w:rPr>
          <w:color w:val="231F20"/>
          <w:w w:val="105"/>
        </w:rPr>
        <w:t>comprensión,</w:t>
      </w:r>
      <w:r>
        <w:rPr>
          <w:color w:val="231F20"/>
          <w:spacing w:val="-27"/>
          <w:w w:val="105"/>
        </w:rPr>
        <w:t> </w:t>
      </w:r>
      <w:r>
        <w:rPr>
          <w:color w:val="231F20"/>
          <w:w w:val="105"/>
        </w:rPr>
        <w:t>también</w:t>
      </w:r>
      <w:r>
        <w:rPr>
          <w:color w:val="231F20"/>
          <w:spacing w:val="-27"/>
          <w:w w:val="105"/>
        </w:rPr>
        <w:t> </w:t>
      </w:r>
      <w:r>
        <w:rPr>
          <w:color w:val="231F20"/>
          <w:w w:val="105"/>
        </w:rPr>
        <w:t>para</w:t>
      </w:r>
      <w:r>
        <w:rPr>
          <w:color w:val="231F20"/>
          <w:spacing w:val="-27"/>
          <w:w w:val="105"/>
        </w:rPr>
        <w:t> </w:t>
      </w:r>
      <w:r>
        <w:rPr>
          <w:color w:val="231F20"/>
          <w:w w:val="105"/>
        </w:rPr>
        <w:t>sos-</w:t>
      </w:r>
    </w:p>
    <w:p>
      <w:pPr>
        <w:pStyle w:val="BodyText"/>
        <w:spacing w:before="6"/>
        <w:rPr>
          <w:sz w:val="18"/>
        </w:rPr>
      </w:pPr>
      <w:r>
        <w:rPr/>
        <w:pict>
          <v:line style="position:absolute;mso-position-horizontal-relative:page;mso-position-vertical-relative:paragraph;z-index:2872;mso-wrap-distance-left:0;mso-wrap-distance-right:0" from="65.196899pt,13.306985pt" to="178.582899pt,13.306985pt" stroked="true" strokeweight=".3pt" strokecolor="#231f20">
            <w10:wrap type="topAndBottom"/>
          </v:line>
        </w:pict>
      </w:r>
    </w:p>
    <w:p>
      <w:pPr>
        <w:spacing w:line="204" w:lineRule="exact" w:before="9"/>
        <w:ind w:left="103" w:right="0" w:firstLine="0"/>
        <w:jc w:val="left"/>
        <w:rPr>
          <w:rFonts w:ascii="Calibri" w:hAnsi="Calibri"/>
          <w:sz w:val="17"/>
        </w:rPr>
      </w:pPr>
      <w:r>
        <w:rPr>
          <w:rFonts w:ascii="Calibri" w:hAnsi="Calibri"/>
          <w:color w:val="231F20"/>
          <w:position w:val="6"/>
          <w:sz w:val="10"/>
        </w:rPr>
        <w:t>11 </w:t>
      </w:r>
      <w:r>
        <w:rPr>
          <w:rFonts w:ascii="Calibri" w:hAnsi="Calibri"/>
          <w:color w:val="231F20"/>
          <w:sz w:val="17"/>
        </w:rPr>
        <w:t>Organization for Economic Co–Operation and Development, </w:t>
      </w:r>
      <w:r>
        <w:rPr>
          <w:rFonts w:ascii="Calibri" w:hAnsi="Calibri"/>
          <w:i/>
          <w:color w:val="231F20"/>
          <w:sz w:val="17"/>
        </w:rPr>
        <w:t>Concepts and Dilemmas of State </w:t>
      </w:r>
      <w:r>
        <w:rPr>
          <w:rFonts w:ascii="Calibri" w:hAnsi="Calibri"/>
          <w:i/>
          <w:color w:val="231F20"/>
          <w:sz w:val="17"/>
        </w:rPr>
        <w:t>Building in Fragile Situations</w:t>
      </w:r>
      <w:r>
        <w:rPr>
          <w:rFonts w:ascii="Calibri" w:hAnsi="Calibri"/>
          <w:color w:val="231F20"/>
          <w:sz w:val="17"/>
        </w:rPr>
        <w:t>, p. 21.</w:t>
      </w:r>
    </w:p>
    <w:p>
      <w:pPr>
        <w:spacing w:line="206" w:lineRule="exact" w:before="1"/>
        <w:ind w:left="103" w:right="0" w:firstLine="0"/>
        <w:jc w:val="left"/>
        <w:rPr>
          <w:rFonts w:ascii="Calibri" w:hAnsi="Calibri"/>
          <w:sz w:val="17"/>
        </w:rPr>
      </w:pPr>
      <w:r>
        <w:rPr>
          <w:rFonts w:ascii="Calibri" w:hAnsi="Calibri"/>
          <w:color w:val="231F20"/>
          <w:w w:val="105"/>
          <w:position w:val="6"/>
          <w:sz w:val="10"/>
        </w:rPr>
        <w:t>12 </w:t>
      </w:r>
      <w:r>
        <w:rPr>
          <w:rFonts w:ascii="Calibri" w:hAnsi="Calibri"/>
          <w:color w:val="231F20"/>
          <w:w w:val="105"/>
          <w:sz w:val="17"/>
        </w:rPr>
        <w:t>Organization for Economic Co–Operation and Development, p. 66.</w:t>
      </w:r>
    </w:p>
    <w:p>
      <w:pPr>
        <w:spacing w:line="235" w:lineRule="auto" w:before="1"/>
        <w:ind w:left="103" w:right="0" w:firstLine="0"/>
        <w:jc w:val="left"/>
        <w:rPr>
          <w:rFonts w:ascii="Calibri"/>
          <w:sz w:val="17"/>
        </w:rPr>
      </w:pPr>
      <w:r>
        <w:rPr>
          <w:rFonts w:ascii="Calibri"/>
          <w:color w:val="231F20"/>
          <w:position w:val="6"/>
          <w:sz w:val="10"/>
        </w:rPr>
        <w:t>13 </w:t>
      </w:r>
      <w:r>
        <w:rPr>
          <w:rFonts w:ascii="Calibri"/>
          <w:color w:val="231F20"/>
          <w:sz w:val="17"/>
        </w:rPr>
        <w:t>J. Dunn, </w:t>
      </w:r>
      <w:r>
        <w:rPr>
          <w:rFonts w:ascii="Calibri"/>
          <w:i/>
          <w:color w:val="231F20"/>
          <w:sz w:val="17"/>
        </w:rPr>
        <w:t>The History of Political Theory and Other Essays</w:t>
      </w:r>
      <w:r>
        <w:rPr>
          <w:rFonts w:ascii="Calibri"/>
          <w:color w:val="231F20"/>
          <w:sz w:val="17"/>
        </w:rPr>
        <w:t>, Cambridge, Cambridge University Press, 1996, p. 32.</w:t>
      </w:r>
    </w:p>
    <w:p>
      <w:pPr>
        <w:spacing w:line="203" w:lineRule="exact" w:before="0"/>
        <w:ind w:left="103" w:right="0" w:firstLine="0"/>
        <w:jc w:val="left"/>
        <w:rPr>
          <w:rFonts w:ascii="Calibri"/>
          <w:sz w:val="17"/>
        </w:rPr>
      </w:pPr>
      <w:r>
        <w:rPr>
          <w:rFonts w:ascii="Calibri"/>
          <w:color w:val="231F20"/>
          <w:w w:val="105"/>
          <w:position w:val="6"/>
          <w:sz w:val="10"/>
        </w:rPr>
        <w:t>14</w:t>
      </w:r>
      <w:r>
        <w:rPr>
          <w:rFonts w:ascii="Calibri"/>
          <w:color w:val="231F20"/>
          <w:spacing w:val="-8"/>
          <w:w w:val="105"/>
          <w:position w:val="6"/>
          <w:sz w:val="10"/>
        </w:rPr>
        <w:t> </w:t>
      </w:r>
      <w:r>
        <w:rPr>
          <w:rFonts w:ascii="Calibri"/>
          <w:color w:val="231F20"/>
          <w:w w:val="105"/>
          <w:sz w:val="17"/>
        </w:rPr>
        <w:t>K.</w:t>
      </w:r>
      <w:r>
        <w:rPr>
          <w:rFonts w:ascii="Calibri"/>
          <w:color w:val="231F20"/>
          <w:spacing w:val="-24"/>
          <w:w w:val="105"/>
          <w:sz w:val="17"/>
        </w:rPr>
        <w:t> </w:t>
      </w:r>
      <w:r>
        <w:rPr>
          <w:rFonts w:ascii="Calibri"/>
          <w:color w:val="231F20"/>
          <w:spacing w:val="-4"/>
          <w:w w:val="105"/>
          <w:sz w:val="17"/>
        </w:rPr>
        <w:t>H.F.</w:t>
      </w:r>
      <w:r>
        <w:rPr>
          <w:rFonts w:ascii="Calibri"/>
          <w:color w:val="231F20"/>
          <w:spacing w:val="-24"/>
          <w:w w:val="105"/>
          <w:sz w:val="17"/>
        </w:rPr>
        <w:t> </w:t>
      </w:r>
      <w:r>
        <w:rPr>
          <w:rFonts w:ascii="Calibri"/>
          <w:color w:val="231F20"/>
          <w:w w:val="105"/>
          <w:sz w:val="17"/>
        </w:rPr>
        <w:t>Dyson,</w:t>
      </w:r>
      <w:r>
        <w:rPr>
          <w:rFonts w:ascii="Calibri"/>
          <w:color w:val="231F20"/>
          <w:spacing w:val="-24"/>
          <w:w w:val="105"/>
          <w:sz w:val="17"/>
        </w:rPr>
        <w:t> </w:t>
      </w:r>
      <w:r>
        <w:rPr>
          <w:rFonts w:ascii="Calibri"/>
          <w:i/>
          <w:color w:val="231F20"/>
          <w:w w:val="105"/>
          <w:sz w:val="17"/>
        </w:rPr>
        <w:t>The</w:t>
      </w:r>
      <w:r>
        <w:rPr>
          <w:rFonts w:ascii="Calibri"/>
          <w:i/>
          <w:color w:val="231F20"/>
          <w:spacing w:val="-25"/>
          <w:w w:val="105"/>
          <w:sz w:val="17"/>
        </w:rPr>
        <w:t> </w:t>
      </w:r>
      <w:r>
        <w:rPr>
          <w:rFonts w:ascii="Calibri"/>
          <w:i/>
          <w:color w:val="231F20"/>
          <w:w w:val="105"/>
          <w:sz w:val="17"/>
        </w:rPr>
        <w:t>State</w:t>
      </w:r>
      <w:r>
        <w:rPr>
          <w:rFonts w:ascii="Calibri"/>
          <w:i/>
          <w:color w:val="231F20"/>
          <w:spacing w:val="-26"/>
          <w:w w:val="105"/>
          <w:sz w:val="17"/>
        </w:rPr>
        <w:t> </w:t>
      </w:r>
      <w:r>
        <w:rPr>
          <w:rFonts w:ascii="Calibri"/>
          <w:i/>
          <w:color w:val="231F20"/>
          <w:w w:val="105"/>
          <w:sz w:val="17"/>
        </w:rPr>
        <w:t>Tradition</w:t>
      </w:r>
      <w:r>
        <w:rPr>
          <w:rFonts w:ascii="Calibri"/>
          <w:i/>
          <w:color w:val="231F20"/>
          <w:spacing w:val="-25"/>
          <w:w w:val="105"/>
          <w:sz w:val="17"/>
        </w:rPr>
        <w:t> </w:t>
      </w:r>
      <w:r>
        <w:rPr>
          <w:rFonts w:ascii="Calibri"/>
          <w:i/>
          <w:color w:val="231F20"/>
          <w:w w:val="105"/>
          <w:sz w:val="17"/>
        </w:rPr>
        <w:t>in</w:t>
      </w:r>
      <w:r>
        <w:rPr>
          <w:rFonts w:ascii="Calibri"/>
          <w:i/>
          <w:color w:val="231F20"/>
          <w:spacing w:val="-26"/>
          <w:w w:val="105"/>
          <w:sz w:val="17"/>
        </w:rPr>
        <w:t> </w:t>
      </w:r>
      <w:r>
        <w:rPr>
          <w:rFonts w:ascii="Calibri"/>
          <w:i/>
          <w:color w:val="231F20"/>
          <w:w w:val="105"/>
          <w:sz w:val="17"/>
        </w:rPr>
        <w:t>Western</w:t>
      </w:r>
      <w:r>
        <w:rPr>
          <w:rFonts w:ascii="Calibri"/>
          <w:i/>
          <w:color w:val="231F20"/>
          <w:spacing w:val="-25"/>
          <w:w w:val="105"/>
          <w:sz w:val="17"/>
        </w:rPr>
        <w:t> </w:t>
      </w:r>
      <w:r>
        <w:rPr>
          <w:rFonts w:ascii="Calibri"/>
          <w:i/>
          <w:color w:val="231F20"/>
          <w:w w:val="105"/>
          <w:sz w:val="17"/>
        </w:rPr>
        <w:t>Europe.</w:t>
      </w:r>
      <w:r>
        <w:rPr>
          <w:rFonts w:ascii="Calibri"/>
          <w:i/>
          <w:color w:val="231F20"/>
          <w:spacing w:val="-25"/>
          <w:w w:val="105"/>
          <w:sz w:val="17"/>
        </w:rPr>
        <w:t> </w:t>
      </w:r>
      <w:r>
        <w:rPr>
          <w:rFonts w:ascii="Calibri"/>
          <w:i/>
          <w:color w:val="231F20"/>
          <w:w w:val="105"/>
          <w:sz w:val="17"/>
        </w:rPr>
        <w:t>A</w:t>
      </w:r>
      <w:r>
        <w:rPr>
          <w:rFonts w:ascii="Calibri"/>
          <w:i/>
          <w:color w:val="231F20"/>
          <w:spacing w:val="-25"/>
          <w:w w:val="105"/>
          <w:sz w:val="17"/>
        </w:rPr>
        <w:t> </w:t>
      </w:r>
      <w:r>
        <w:rPr>
          <w:rFonts w:ascii="Calibri"/>
          <w:i/>
          <w:color w:val="231F20"/>
          <w:w w:val="105"/>
          <w:sz w:val="17"/>
        </w:rPr>
        <w:t>Study</w:t>
      </w:r>
      <w:r>
        <w:rPr>
          <w:rFonts w:ascii="Calibri"/>
          <w:i/>
          <w:color w:val="231F20"/>
          <w:spacing w:val="-25"/>
          <w:w w:val="105"/>
          <w:sz w:val="17"/>
        </w:rPr>
        <w:t> </w:t>
      </w:r>
      <w:r>
        <w:rPr>
          <w:rFonts w:ascii="Calibri"/>
          <w:i/>
          <w:color w:val="231F20"/>
          <w:w w:val="105"/>
          <w:sz w:val="17"/>
        </w:rPr>
        <w:t>of</w:t>
      </w:r>
      <w:r>
        <w:rPr>
          <w:rFonts w:ascii="Calibri"/>
          <w:i/>
          <w:color w:val="231F20"/>
          <w:spacing w:val="-25"/>
          <w:w w:val="105"/>
          <w:sz w:val="17"/>
        </w:rPr>
        <w:t> </w:t>
      </w:r>
      <w:r>
        <w:rPr>
          <w:rFonts w:ascii="Calibri"/>
          <w:i/>
          <w:color w:val="231F20"/>
          <w:w w:val="105"/>
          <w:sz w:val="17"/>
        </w:rPr>
        <w:t>an</w:t>
      </w:r>
      <w:r>
        <w:rPr>
          <w:rFonts w:ascii="Calibri"/>
          <w:i/>
          <w:color w:val="231F20"/>
          <w:spacing w:val="-25"/>
          <w:w w:val="105"/>
          <w:sz w:val="17"/>
        </w:rPr>
        <w:t> </w:t>
      </w:r>
      <w:r>
        <w:rPr>
          <w:rFonts w:ascii="Calibri"/>
          <w:i/>
          <w:color w:val="231F20"/>
          <w:w w:val="105"/>
          <w:sz w:val="17"/>
        </w:rPr>
        <w:t>Idea</w:t>
      </w:r>
      <w:r>
        <w:rPr>
          <w:rFonts w:ascii="Calibri"/>
          <w:i/>
          <w:color w:val="231F20"/>
          <w:spacing w:val="-25"/>
          <w:w w:val="105"/>
          <w:sz w:val="17"/>
        </w:rPr>
        <w:t> </w:t>
      </w:r>
      <w:r>
        <w:rPr>
          <w:rFonts w:ascii="Calibri"/>
          <w:i/>
          <w:color w:val="231F20"/>
          <w:w w:val="105"/>
          <w:sz w:val="17"/>
        </w:rPr>
        <w:t>and</w:t>
      </w:r>
      <w:r>
        <w:rPr>
          <w:rFonts w:ascii="Calibri"/>
          <w:i/>
          <w:color w:val="231F20"/>
          <w:spacing w:val="-25"/>
          <w:w w:val="105"/>
          <w:sz w:val="17"/>
        </w:rPr>
        <w:t> </w:t>
      </w:r>
      <w:r>
        <w:rPr>
          <w:rFonts w:ascii="Calibri"/>
          <w:i/>
          <w:color w:val="231F20"/>
          <w:w w:val="105"/>
          <w:sz w:val="17"/>
        </w:rPr>
        <w:t>Institution</w:t>
      </w:r>
      <w:r>
        <w:rPr>
          <w:rFonts w:ascii="Calibri"/>
          <w:color w:val="231F20"/>
          <w:w w:val="105"/>
          <w:sz w:val="17"/>
        </w:rPr>
        <w:t>,</w:t>
      </w:r>
      <w:r>
        <w:rPr>
          <w:rFonts w:ascii="Calibri"/>
          <w:color w:val="231F20"/>
          <w:spacing w:val="-24"/>
          <w:w w:val="105"/>
          <w:sz w:val="17"/>
        </w:rPr>
        <w:t> </w:t>
      </w:r>
      <w:r>
        <w:rPr>
          <w:rFonts w:ascii="Calibri"/>
          <w:color w:val="231F20"/>
          <w:w w:val="105"/>
          <w:sz w:val="17"/>
        </w:rPr>
        <w:t>Colchester,</w:t>
      </w:r>
    </w:p>
    <w:p>
      <w:pPr>
        <w:spacing w:line="206" w:lineRule="exact" w:before="0"/>
        <w:ind w:left="103" w:right="0" w:firstLine="0"/>
        <w:jc w:val="left"/>
        <w:rPr>
          <w:rFonts w:ascii="Calibri" w:hAnsi="Calibri"/>
          <w:sz w:val="17"/>
        </w:rPr>
      </w:pPr>
      <w:r>
        <w:rPr>
          <w:rFonts w:ascii="Calibri" w:hAnsi="Calibri"/>
          <w:color w:val="231F20"/>
          <w:w w:val="105"/>
          <w:sz w:val="15"/>
        </w:rPr>
        <w:t>ECPR</w:t>
      </w:r>
      <w:r>
        <w:rPr>
          <w:rFonts w:ascii="Calibri" w:hAnsi="Calibri"/>
          <w:color w:val="231F20"/>
          <w:w w:val="105"/>
          <w:sz w:val="17"/>
        </w:rPr>
        <w:t>, 2009, sobre todo pp. 205–206.</w:t>
      </w:r>
    </w:p>
    <w:p>
      <w:pPr>
        <w:pStyle w:val="BodyText"/>
        <w:rPr>
          <w:rFonts w:ascii="Calibri"/>
          <w:sz w:val="20"/>
        </w:rPr>
      </w:pPr>
    </w:p>
    <w:p>
      <w:pPr>
        <w:pStyle w:val="BodyText"/>
        <w:spacing w:before="9"/>
        <w:rPr>
          <w:rFonts w:ascii="Calibri"/>
          <w:sz w:val="27"/>
        </w:rPr>
      </w:pPr>
    </w:p>
    <w:p>
      <w:pPr>
        <w:tabs>
          <w:tab w:pos="1331" w:val="left" w:leader="none"/>
        </w:tabs>
        <w:spacing w:before="68"/>
        <w:ind w:left="281" w:right="0" w:firstLine="0"/>
        <w:jc w:val="left"/>
        <w:rPr>
          <w:rFonts w:ascii="Calibri"/>
          <w:sz w:val="16"/>
        </w:rPr>
      </w:pPr>
      <w:r>
        <w:rPr/>
        <w:pict>
          <v:group style="position:absolute;margin-left:98.787804pt;margin-top:-3.358812pt;width:20.4pt;height:43pt;mso-position-horizontal-relative:page;mso-position-vertical-relative:paragraph;z-index:-172504"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42</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861" w:right="0" w:firstLine="0"/>
        <w:jc w:val="left"/>
        <w:rPr>
          <w:rFonts w:ascii="Arial" w:hAnsi="Arial"/>
          <w:sz w:val="20"/>
        </w:rPr>
      </w:pPr>
      <w:r>
        <w:rPr/>
        <w:pict>
          <v:group style="position:absolute;margin-left:383.821014pt;margin-top:-25.479271pt;width:8.65pt;height:41pt;mso-position-horizontal-relative:page;mso-position-vertical-relative:paragraph;z-index:-17245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3"/>
          <w:sz w:val="14"/>
        </w:rPr>
        <w:t> </w:t>
      </w:r>
      <w:r>
        <w:rPr>
          <w:rFonts w:ascii="Lucida Sans Unicode" w:hAnsi="Lucida Sans Unicode"/>
          <w:color w:val="6D6E71"/>
          <w:sz w:val="14"/>
        </w:rPr>
        <w:t>ESTADO</w:t>
      </w:r>
      <w:r>
        <w:rPr>
          <w:rFonts w:ascii="Lucida Sans Unicode" w:hAnsi="Lucida Sans Unicode"/>
          <w:color w:val="6D6E71"/>
          <w:spacing w:val="-23"/>
          <w:sz w:val="14"/>
        </w:rPr>
        <w:t> </w:t>
      </w:r>
      <w:r>
        <w:rPr>
          <w:rFonts w:ascii="Lucida Sans Unicode" w:hAnsi="Lucida Sans Unicode"/>
          <w:color w:val="6D6E71"/>
          <w:sz w:val="14"/>
        </w:rPr>
        <w:t>GLOBAL</w:t>
      </w:r>
      <w:r>
        <w:rPr>
          <w:rFonts w:ascii="Lucida Sans Unicode" w:hAnsi="Lucida Sans Unicode"/>
          <w:color w:val="6D6E71"/>
          <w:spacing w:val="-23"/>
          <w:sz w:val="14"/>
        </w:rPr>
        <w:t> </w:t>
      </w:r>
      <w:r>
        <w:rPr>
          <w:rFonts w:ascii="Lucida Sans Unicode" w:hAnsi="Lucida Sans Unicode"/>
          <w:color w:val="6D6E71"/>
          <w:sz w:val="14"/>
        </w:rPr>
        <w:t>Y</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EVOLUCIÓN</w:t>
      </w:r>
      <w:r>
        <w:rPr>
          <w:rFonts w:ascii="Lucida Sans Unicode" w:hAnsi="Lucida Sans Unicode"/>
          <w:color w:val="6D6E71"/>
          <w:spacing w:val="-23"/>
          <w:sz w:val="14"/>
        </w:rPr>
        <w:t> </w:t>
      </w:r>
      <w:r>
        <w:rPr>
          <w:rFonts w:ascii="Lucida Sans Unicode" w:hAnsi="Lucida Sans Unicode"/>
          <w:color w:val="6D6E71"/>
          <w:sz w:val="14"/>
        </w:rPr>
        <w:t>DE</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SOBERANÍA</w:t>
      </w:r>
      <w:r>
        <w:rPr>
          <w:rFonts w:ascii="Arial" w:hAnsi="Arial"/>
          <w:color w:val="414042"/>
          <w:position w:val="-3"/>
          <w:sz w:val="20"/>
        </w:rPr>
        <w:tab/>
        <w:t>43</w:t>
      </w:r>
    </w:p>
    <w:p>
      <w:pPr>
        <w:pStyle w:val="BodyText"/>
        <w:spacing w:line="247" w:lineRule="auto" w:before="623"/>
        <w:ind w:left="117" w:right="100"/>
        <w:jc w:val="both"/>
      </w:pPr>
      <w:r>
        <w:rPr>
          <w:color w:val="231F20"/>
        </w:rPr>
        <w:t>tener que éstos pueden pasar de la fragilidad a la resiliencia. Con mayor   o menor éxito los estados contemporáneos pueden entonces reaccionar ante las condiciones de inestabilidad en las que deben actuar, pero en ningún caso aspirar a imponer sobre el plano interno e internacional una estabilidad fundada sobre su absoluto protagonismo. El rasgo caracte- rístico de la acción estatal no sería entonces la potencial institucionali- zación de proyectos colectivos a través del tiempo, sino la capacidad de reaccionar ante situaciones complejas en las cuales la crisis no es un ele- mento temporal, y por lo tanto transitorio, sino que se convierte en una característica constitutiva del ambiente en el cual los Estados se encuen- tran operando. La historia incierta y violenta del Estado es el fin último de su situación global. De esta manera, debe señalarse que la globalización del contexto en que actúa el Estado no depende solamente de las trans- formaciones del espacio en que éste debe actuar. Las transformaciones  de escala son sin duda relevantes, la fragilidad es un problema histórico. Las transformaciones de la espacialidad del Estado, es </w:t>
      </w:r>
      <w:r>
        <w:rPr>
          <w:color w:val="231F20"/>
          <w:spacing w:val="-3"/>
        </w:rPr>
        <w:t>decir, </w:t>
      </w:r>
      <w:r>
        <w:rPr>
          <w:color w:val="231F20"/>
        </w:rPr>
        <w:t>su realizada internacionalización</w:t>
      </w:r>
      <w:r>
        <w:rPr>
          <w:color w:val="231F20"/>
          <w:position w:val="7"/>
          <w:sz w:val="12"/>
        </w:rPr>
        <w:t>15</w:t>
      </w:r>
      <w:r>
        <w:rPr>
          <w:color w:val="231F20"/>
        </w:rPr>
        <w:t>, son plenamente comprensibles, considerando las transformaciones del tiempo histórico del Estado mismo, o sea las con- diciones continuativas de su legitimación. La globalización transforma en forma radical el tiempo histórico en que el Estado actúa en cuanto modi- fica la forma de identificarlo. Las distorsiones al interior de este proceso hacen que la historia ya no funcione como fuente de legitimación, sino  que con frecuencia sirva como deslegitimación de la acción estatal, ha- ciéndola aparecer literalmente anacrónica, hasta poner en duda que sea históricamente</w:t>
      </w:r>
      <w:r>
        <w:rPr>
          <w:color w:val="231F20"/>
          <w:spacing w:val="28"/>
        </w:rPr>
        <w:t> </w:t>
      </w:r>
      <w:r>
        <w:rPr>
          <w:color w:val="231F20"/>
        </w:rPr>
        <w:t>necesaria</w:t>
      </w:r>
      <w:r>
        <w:rPr>
          <w:color w:val="231F20"/>
          <w:position w:val="7"/>
          <w:sz w:val="12"/>
        </w:rPr>
        <w:t>16</w:t>
      </w:r>
      <w:r>
        <w:rPr>
          <w:color w:val="231F20"/>
        </w:rPr>
        <w:t>.</w:t>
      </w:r>
    </w:p>
    <w:p>
      <w:pPr>
        <w:pStyle w:val="BodyText"/>
        <w:spacing w:line="247" w:lineRule="auto"/>
        <w:ind w:left="117" w:right="101" w:firstLine="566"/>
        <w:jc w:val="both"/>
      </w:pPr>
      <w:r>
        <w:rPr>
          <w:color w:val="231F20"/>
        </w:rPr>
        <w:t>Frente a las transformaciones de su geografía política, el Estado pa- rece tener dificultades para encontrar la solución a su historia, sin lograr representar en el tiempo un principio de autoridad de alguna manera su- perior</w:t>
      </w:r>
      <w:r>
        <w:rPr>
          <w:color w:val="231F20"/>
          <w:spacing w:val="-6"/>
        </w:rPr>
        <w:t> </w:t>
      </w:r>
      <w:r>
        <w:rPr>
          <w:color w:val="231F20"/>
        </w:rPr>
        <w:t>al</w:t>
      </w:r>
      <w:r>
        <w:rPr>
          <w:color w:val="231F20"/>
          <w:spacing w:val="-6"/>
        </w:rPr>
        <w:t> </w:t>
      </w:r>
      <w:r>
        <w:rPr>
          <w:color w:val="231F20"/>
        </w:rPr>
        <w:t>de</w:t>
      </w:r>
      <w:r>
        <w:rPr>
          <w:color w:val="231F20"/>
          <w:spacing w:val="-6"/>
        </w:rPr>
        <w:t> </w:t>
      </w:r>
      <w:r>
        <w:rPr>
          <w:color w:val="231F20"/>
        </w:rPr>
        <w:t>otras</w:t>
      </w:r>
      <w:r>
        <w:rPr>
          <w:color w:val="231F20"/>
          <w:spacing w:val="-6"/>
        </w:rPr>
        <w:t> </w:t>
      </w:r>
      <w:r>
        <w:rPr>
          <w:color w:val="231F20"/>
        </w:rPr>
        <w:t>instituciones</w:t>
      </w:r>
      <w:r>
        <w:rPr>
          <w:color w:val="231F20"/>
          <w:position w:val="7"/>
          <w:sz w:val="12"/>
        </w:rPr>
        <w:t>17</w:t>
      </w:r>
      <w:r>
        <w:rPr>
          <w:color w:val="231F20"/>
        </w:rPr>
        <w:t>.</w:t>
      </w:r>
      <w:r>
        <w:rPr>
          <w:color w:val="231F20"/>
          <w:spacing w:val="-6"/>
        </w:rPr>
        <w:t> </w:t>
      </w:r>
      <w:r>
        <w:rPr>
          <w:color w:val="231F20"/>
        </w:rPr>
        <w:t>La</w:t>
      </w:r>
      <w:r>
        <w:rPr>
          <w:color w:val="231F20"/>
          <w:spacing w:val="-6"/>
        </w:rPr>
        <w:t> </w:t>
      </w:r>
      <w:r>
        <w:rPr>
          <w:color w:val="231F20"/>
        </w:rPr>
        <w:t>problemática</w:t>
      </w:r>
      <w:r>
        <w:rPr>
          <w:color w:val="231F20"/>
          <w:spacing w:val="-6"/>
        </w:rPr>
        <w:t> </w:t>
      </w:r>
      <w:r>
        <w:rPr>
          <w:color w:val="231F20"/>
        </w:rPr>
        <w:t>conjugación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historia y de la geografía del Estado revela, en otros términos, su igualmente pro- blemática genealogía, mostrando conjuntamente el “carácter contingente y</w:t>
      </w:r>
      <w:r>
        <w:rPr>
          <w:color w:val="231F20"/>
          <w:spacing w:val="30"/>
        </w:rPr>
        <w:t> </w:t>
      </w:r>
      <w:r>
        <w:rPr>
          <w:color w:val="231F20"/>
        </w:rPr>
        <w:t>opinable</w:t>
      </w:r>
      <w:r>
        <w:rPr>
          <w:color w:val="231F20"/>
          <w:spacing w:val="30"/>
        </w:rPr>
        <w:t> </w:t>
      </w:r>
      <w:r>
        <w:rPr>
          <w:color w:val="231F20"/>
        </w:rPr>
        <w:t>del</w:t>
      </w:r>
      <w:r>
        <w:rPr>
          <w:color w:val="231F20"/>
          <w:spacing w:val="30"/>
        </w:rPr>
        <w:t> </w:t>
      </w:r>
      <w:r>
        <w:rPr>
          <w:color w:val="231F20"/>
        </w:rPr>
        <w:t>concepto”</w:t>
      </w:r>
      <w:r>
        <w:rPr>
          <w:color w:val="231F20"/>
          <w:position w:val="7"/>
          <w:sz w:val="12"/>
        </w:rPr>
        <w:t>18</w:t>
      </w:r>
      <w:r>
        <w:rPr>
          <w:color w:val="231F20"/>
        </w:rPr>
        <w:t>.</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interior</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genealogía</w:t>
      </w:r>
      <w:r>
        <w:rPr>
          <w:color w:val="231F20"/>
          <w:spacing w:val="30"/>
        </w:rPr>
        <w:t> </w:t>
      </w:r>
      <w:r>
        <w:rPr>
          <w:color w:val="231F20"/>
        </w:rPr>
        <w:t>del</w:t>
      </w:r>
      <w:r>
        <w:rPr>
          <w:color w:val="231F20"/>
          <w:spacing w:val="30"/>
        </w:rPr>
        <w:t> </w:t>
      </w:r>
      <w:r>
        <w:rPr>
          <w:color w:val="231F20"/>
        </w:rPr>
        <w:t>Estado</w:t>
      </w:r>
      <w:r>
        <w:rPr>
          <w:color w:val="231F20"/>
          <w:spacing w:val="30"/>
        </w:rPr>
        <w:t> </w:t>
      </w:r>
      <w:r>
        <w:rPr>
          <w:color w:val="231F20"/>
        </w:rPr>
        <w:t>el</w:t>
      </w:r>
    </w:p>
    <w:p>
      <w:pPr>
        <w:pStyle w:val="BodyText"/>
        <w:spacing w:before="2"/>
        <w:rPr>
          <w:sz w:val="20"/>
        </w:rPr>
      </w:pPr>
      <w:r>
        <w:rPr/>
        <w:pict>
          <v:line style="position:absolute;mso-position-horizontal-relative:page;mso-position-vertical-relative:paragraph;z-index:2920;mso-wrap-distance-left:0;mso-wrap-distance-right:0" from="70.866096pt,14.306985pt" to="184.252096pt,14.306985pt" stroked="true" strokeweight=".3pt" strokecolor="#231f20">
            <w10:wrap type="topAndBottom"/>
          </v:line>
        </w:pict>
      </w:r>
    </w:p>
    <w:p>
      <w:pPr>
        <w:spacing w:line="206" w:lineRule="exact" w:before="10"/>
        <w:ind w:left="117" w:right="0" w:firstLine="0"/>
        <w:jc w:val="left"/>
        <w:rPr>
          <w:rFonts w:ascii="Calibri" w:hAnsi="Calibri"/>
          <w:sz w:val="17"/>
        </w:rPr>
      </w:pPr>
      <w:r>
        <w:rPr>
          <w:rFonts w:ascii="Calibri" w:hAnsi="Calibri"/>
          <w:color w:val="231F20"/>
          <w:w w:val="105"/>
          <w:position w:val="6"/>
          <w:sz w:val="10"/>
        </w:rPr>
        <w:t>15</w:t>
      </w:r>
      <w:r>
        <w:rPr>
          <w:rFonts w:ascii="Calibri" w:hAnsi="Calibri"/>
          <w:color w:val="231F20"/>
          <w:spacing w:val="6"/>
          <w:w w:val="105"/>
          <w:position w:val="6"/>
          <w:sz w:val="10"/>
        </w:rPr>
        <w:t> </w:t>
      </w:r>
      <w:r>
        <w:rPr>
          <w:rFonts w:ascii="Calibri" w:hAnsi="Calibri"/>
          <w:i/>
          <w:color w:val="231F20"/>
          <w:spacing w:val="-4"/>
          <w:w w:val="105"/>
          <w:sz w:val="17"/>
        </w:rPr>
        <w:t>Cfr.</w:t>
      </w:r>
      <w:r>
        <w:rPr>
          <w:rFonts w:ascii="Calibri" w:hAnsi="Calibri"/>
          <w:i/>
          <w:color w:val="231F20"/>
          <w:spacing w:val="-11"/>
          <w:w w:val="105"/>
          <w:sz w:val="17"/>
        </w:rPr>
        <w:t> </w:t>
      </w:r>
      <w:r>
        <w:rPr>
          <w:rFonts w:ascii="Calibri" w:hAnsi="Calibri"/>
          <w:color w:val="231F20"/>
          <w:w w:val="105"/>
          <w:sz w:val="17"/>
        </w:rPr>
        <w:t>M.</w:t>
      </w:r>
      <w:r>
        <w:rPr>
          <w:rFonts w:ascii="Calibri" w:hAnsi="Calibri"/>
          <w:color w:val="231F20"/>
          <w:spacing w:val="-14"/>
          <w:w w:val="105"/>
          <w:sz w:val="17"/>
        </w:rPr>
        <w:t> </w:t>
      </w:r>
      <w:r>
        <w:rPr>
          <w:rFonts w:ascii="Calibri" w:hAnsi="Calibri"/>
          <w:color w:val="231F20"/>
          <w:w w:val="105"/>
          <w:sz w:val="17"/>
        </w:rPr>
        <w:t>Wissen</w:t>
      </w:r>
      <w:r>
        <w:rPr>
          <w:rFonts w:ascii="Calibri" w:hAnsi="Calibri"/>
          <w:color w:val="231F20"/>
          <w:spacing w:val="-12"/>
          <w:w w:val="105"/>
          <w:sz w:val="17"/>
        </w:rPr>
        <w:t> </w:t>
      </w:r>
      <w:r>
        <w:rPr>
          <w:rFonts w:ascii="Calibri" w:hAnsi="Calibri"/>
          <w:color w:val="231F20"/>
          <w:w w:val="105"/>
          <w:sz w:val="17"/>
        </w:rPr>
        <w:t>y</w:t>
      </w:r>
      <w:r>
        <w:rPr>
          <w:rFonts w:ascii="Calibri" w:hAnsi="Calibri"/>
          <w:color w:val="231F20"/>
          <w:spacing w:val="-11"/>
          <w:w w:val="105"/>
          <w:sz w:val="17"/>
        </w:rPr>
        <w:t> </w:t>
      </w:r>
      <w:r>
        <w:rPr>
          <w:rFonts w:ascii="Calibri" w:hAnsi="Calibri"/>
          <w:color w:val="231F20"/>
          <w:w w:val="105"/>
          <w:sz w:val="17"/>
        </w:rPr>
        <w:t>U.</w:t>
      </w:r>
      <w:r>
        <w:rPr>
          <w:rFonts w:ascii="Calibri" w:hAnsi="Calibri"/>
          <w:color w:val="231F20"/>
          <w:spacing w:val="-11"/>
          <w:w w:val="105"/>
          <w:sz w:val="17"/>
        </w:rPr>
        <w:t> </w:t>
      </w:r>
      <w:r>
        <w:rPr>
          <w:rFonts w:ascii="Calibri" w:hAnsi="Calibri"/>
          <w:color w:val="231F20"/>
          <w:w w:val="105"/>
          <w:sz w:val="17"/>
        </w:rPr>
        <w:t>Brand,</w:t>
      </w:r>
      <w:r>
        <w:rPr>
          <w:rFonts w:ascii="Calibri" w:hAnsi="Calibri"/>
          <w:color w:val="231F20"/>
          <w:spacing w:val="-11"/>
          <w:w w:val="105"/>
          <w:sz w:val="17"/>
        </w:rPr>
        <w:t> </w:t>
      </w:r>
      <w:r>
        <w:rPr>
          <w:rFonts w:ascii="Calibri" w:hAnsi="Calibri"/>
          <w:color w:val="231F20"/>
          <w:w w:val="105"/>
          <w:sz w:val="17"/>
        </w:rPr>
        <w:t>“Approaching</w:t>
      </w:r>
      <w:r>
        <w:rPr>
          <w:rFonts w:ascii="Calibri" w:hAnsi="Calibri"/>
          <w:color w:val="231F20"/>
          <w:spacing w:val="-11"/>
          <w:w w:val="105"/>
          <w:sz w:val="17"/>
        </w:rPr>
        <w:t> </w:t>
      </w:r>
      <w:r>
        <w:rPr>
          <w:rFonts w:ascii="Calibri" w:hAnsi="Calibri"/>
          <w:color w:val="231F20"/>
          <w:w w:val="105"/>
          <w:sz w:val="17"/>
        </w:rPr>
        <w:t>the</w:t>
      </w:r>
      <w:r>
        <w:rPr>
          <w:rFonts w:ascii="Calibri" w:hAnsi="Calibri"/>
          <w:color w:val="231F20"/>
          <w:spacing w:val="-11"/>
          <w:w w:val="105"/>
          <w:sz w:val="17"/>
        </w:rPr>
        <w:t> </w:t>
      </w:r>
      <w:r>
        <w:rPr>
          <w:rFonts w:ascii="Calibri" w:hAnsi="Calibri"/>
          <w:color w:val="231F20"/>
          <w:w w:val="105"/>
          <w:sz w:val="17"/>
        </w:rPr>
        <w:t>Internationalization</w:t>
      </w:r>
      <w:r>
        <w:rPr>
          <w:rFonts w:ascii="Calibri" w:hAnsi="Calibri"/>
          <w:color w:val="231F20"/>
          <w:spacing w:val="-11"/>
          <w:w w:val="105"/>
          <w:sz w:val="17"/>
        </w:rPr>
        <w:t> </w:t>
      </w:r>
      <w:r>
        <w:rPr>
          <w:rFonts w:ascii="Calibri" w:hAnsi="Calibri"/>
          <w:color w:val="231F20"/>
          <w:w w:val="105"/>
          <w:sz w:val="17"/>
        </w:rPr>
        <w:t>of</w:t>
      </w:r>
      <w:r>
        <w:rPr>
          <w:rFonts w:ascii="Calibri" w:hAnsi="Calibri"/>
          <w:color w:val="231F20"/>
          <w:spacing w:val="-11"/>
          <w:w w:val="105"/>
          <w:sz w:val="17"/>
        </w:rPr>
        <w:t> </w:t>
      </w:r>
      <w:r>
        <w:rPr>
          <w:rFonts w:ascii="Calibri" w:hAnsi="Calibri"/>
          <w:color w:val="231F20"/>
          <w:w w:val="105"/>
          <w:sz w:val="17"/>
        </w:rPr>
        <w:t>the</w:t>
      </w:r>
      <w:r>
        <w:rPr>
          <w:rFonts w:ascii="Calibri" w:hAnsi="Calibri"/>
          <w:color w:val="231F20"/>
          <w:spacing w:val="-11"/>
          <w:w w:val="105"/>
          <w:sz w:val="17"/>
        </w:rPr>
        <w:t> </w:t>
      </w:r>
      <w:r>
        <w:rPr>
          <w:rFonts w:ascii="Calibri" w:hAnsi="Calibri"/>
          <w:color w:val="231F20"/>
          <w:w w:val="105"/>
          <w:sz w:val="17"/>
        </w:rPr>
        <w:t>State:</w:t>
      </w:r>
      <w:r>
        <w:rPr>
          <w:rFonts w:ascii="Calibri" w:hAnsi="Calibri"/>
          <w:color w:val="231F20"/>
          <w:spacing w:val="-11"/>
          <w:w w:val="105"/>
          <w:sz w:val="17"/>
        </w:rPr>
        <w:t> </w:t>
      </w:r>
      <w:r>
        <w:rPr>
          <w:rFonts w:ascii="Calibri" w:hAnsi="Calibri"/>
          <w:color w:val="231F20"/>
          <w:w w:val="105"/>
          <w:sz w:val="17"/>
        </w:rPr>
        <w:t>An</w:t>
      </w:r>
      <w:r>
        <w:rPr>
          <w:rFonts w:ascii="Calibri" w:hAnsi="Calibri"/>
          <w:color w:val="231F20"/>
          <w:spacing w:val="-11"/>
          <w:w w:val="105"/>
          <w:sz w:val="17"/>
        </w:rPr>
        <w:t> </w:t>
      </w:r>
      <w:r>
        <w:rPr>
          <w:rFonts w:ascii="Calibri" w:hAnsi="Calibri"/>
          <w:color w:val="231F20"/>
          <w:w w:val="105"/>
          <w:sz w:val="17"/>
        </w:rPr>
        <w:t>Introduction”;</w:t>
      </w:r>
    </w:p>
    <w:p>
      <w:pPr>
        <w:spacing w:line="235" w:lineRule="auto" w:before="1"/>
        <w:ind w:left="117" w:right="99" w:firstLine="0"/>
        <w:jc w:val="left"/>
        <w:rPr>
          <w:rFonts w:ascii="Calibri" w:hAnsi="Calibri"/>
          <w:sz w:val="17"/>
        </w:rPr>
      </w:pPr>
      <w:r>
        <w:rPr>
          <w:rFonts w:ascii="Calibri" w:hAnsi="Calibri"/>
          <w:color w:val="231F20"/>
          <w:w w:val="105"/>
          <w:sz w:val="17"/>
        </w:rPr>
        <w:t>J.</w:t>
      </w:r>
      <w:r>
        <w:rPr>
          <w:rFonts w:ascii="Calibri" w:hAnsi="Calibri"/>
          <w:color w:val="231F20"/>
          <w:spacing w:val="-6"/>
          <w:w w:val="105"/>
          <w:sz w:val="17"/>
        </w:rPr>
        <w:t> </w:t>
      </w:r>
      <w:r>
        <w:rPr>
          <w:rFonts w:ascii="Calibri" w:hAnsi="Calibri"/>
          <w:color w:val="231F20"/>
          <w:w w:val="105"/>
          <w:sz w:val="17"/>
        </w:rPr>
        <w:t>Hirsch</w:t>
      </w:r>
      <w:r>
        <w:rPr>
          <w:rFonts w:ascii="Calibri" w:hAnsi="Calibri"/>
          <w:color w:val="231F20"/>
          <w:spacing w:val="-7"/>
          <w:w w:val="105"/>
          <w:sz w:val="17"/>
        </w:rPr>
        <w:t> </w:t>
      </w:r>
      <w:r>
        <w:rPr>
          <w:rFonts w:ascii="Calibri" w:hAnsi="Calibri"/>
          <w:color w:val="231F20"/>
          <w:w w:val="105"/>
          <w:sz w:val="17"/>
        </w:rPr>
        <w:t>y</w:t>
      </w:r>
      <w:r>
        <w:rPr>
          <w:rFonts w:ascii="Calibri" w:hAnsi="Calibri"/>
          <w:color w:val="231F20"/>
          <w:spacing w:val="-6"/>
          <w:w w:val="105"/>
          <w:sz w:val="17"/>
        </w:rPr>
        <w:t> </w:t>
      </w:r>
      <w:r>
        <w:rPr>
          <w:rFonts w:ascii="Calibri" w:hAnsi="Calibri"/>
          <w:color w:val="231F20"/>
          <w:w w:val="105"/>
          <w:sz w:val="17"/>
        </w:rPr>
        <w:t>J.</w:t>
      </w:r>
      <w:r>
        <w:rPr>
          <w:rFonts w:ascii="Calibri" w:hAnsi="Calibri"/>
          <w:color w:val="231F20"/>
          <w:spacing w:val="-6"/>
          <w:w w:val="105"/>
          <w:sz w:val="17"/>
        </w:rPr>
        <w:t> </w:t>
      </w:r>
      <w:r>
        <w:rPr>
          <w:rFonts w:ascii="Calibri" w:hAnsi="Calibri"/>
          <w:color w:val="231F20"/>
          <w:w w:val="105"/>
          <w:sz w:val="17"/>
        </w:rPr>
        <w:t>Kannankulam,</w:t>
      </w:r>
      <w:r>
        <w:rPr>
          <w:rFonts w:ascii="Calibri" w:hAnsi="Calibri"/>
          <w:color w:val="231F20"/>
          <w:spacing w:val="-6"/>
          <w:w w:val="105"/>
          <w:sz w:val="17"/>
        </w:rPr>
        <w:t> </w:t>
      </w:r>
      <w:r>
        <w:rPr>
          <w:rFonts w:ascii="Calibri" w:hAnsi="Calibri"/>
          <w:color w:val="231F20"/>
          <w:w w:val="105"/>
          <w:sz w:val="17"/>
        </w:rPr>
        <w:t>“The</w:t>
      </w:r>
      <w:r>
        <w:rPr>
          <w:rFonts w:ascii="Calibri" w:hAnsi="Calibri"/>
          <w:color w:val="231F20"/>
          <w:spacing w:val="-6"/>
          <w:w w:val="105"/>
          <w:sz w:val="17"/>
        </w:rPr>
        <w:t> </w:t>
      </w:r>
      <w:r>
        <w:rPr>
          <w:rFonts w:ascii="Calibri" w:hAnsi="Calibri"/>
          <w:color w:val="231F20"/>
          <w:w w:val="105"/>
          <w:sz w:val="17"/>
        </w:rPr>
        <w:t>Spaces</w:t>
      </w:r>
      <w:r>
        <w:rPr>
          <w:rFonts w:ascii="Calibri" w:hAnsi="Calibri"/>
          <w:color w:val="231F20"/>
          <w:spacing w:val="-6"/>
          <w:w w:val="105"/>
          <w:sz w:val="17"/>
        </w:rPr>
        <w:t> </w:t>
      </w:r>
      <w:r>
        <w:rPr>
          <w:rFonts w:ascii="Calibri" w:hAnsi="Calibri"/>
          <w:color w:val="231F20"/>
          <w:w w:val="105"/>
          <w:sz w:val="17"/>
        </w:rPr>
        <w:t>of</w:t>
      </w:r>
      <w:r>
        <w:rPr>
          <w:rFonts w:ascii="Calibri" w:hAnsi="Calibri"/>
          <w:color w:val="231F20"/>
          <w:spacing w:val="-6"/>
          <w:w w:val="105"/>
          <w:sz w:val="17"/>
        </w:rPr>
        <w:t> </w:t>
      </w:r>
      <w:r>
        <w:rPr>
          <w:rFonts w:ascii="Calibri" w:hAnsi="Calibri"/>
          <w:color w:val="231F20"/>
          <w:w w:val="105"/>
          <w:sz w:val="17"/>
        </w:rPr>
        <w:t>Capital:</w:t>
      </w:r>
      <w:r>
        <w:rPr>
          <w:rFonts w:ascii="Calibri" w:hAnsi="Calibri"/>
          <w:color w:val="231F20"/>
          <w:spacing w:val="-9"/>
          <w:w w:val="105"/>
          <w:sz w:val="17"/>
        </w:rPr>
        <w:t> </w:t>
      </w:r>
      <w:r>
        <w:rPr>
          <w:rFonts w:ascii="Calibri" w:hAnsi="Calibri"/>
          <w:color w:val="231F20"/>
          <w:w w:val="105"/>
          <w:sz w:val="17"/>
        </w:rPr>
        <w:t>The</w:t>
      </w:r>
      <w:r>
        <w:rPr>
          <w:rFonts w:ascii="Calibri" w:hAnsi="Calibri"/>
          <w:color w:val="231F20"/>
          <w:spacing w:val="-6"/>
          <w:w w:val="105"/>
          <w:sz w:val="17"/>
        </w:rPr>
        <w:t> </w:t>
      </w:r>
      <w:r>
        <w:rPr>
          <w:rFonts w:ascii="Calibri" w:hAnsi="Calibri"/>
          <w:color w:val="231F20"/>
          <w:w w:val="105"/>
          <w:sz w:val="17"/>
        </w:rPr>
        <w:t>Political</w:t>
      </w:r>
      <w:r>
        <w:rPr>
          <w:rFonts w:ascii="Calibri" w:hAnsi="Calibri"/>
          <w:color w:val="231F20"/>
          <w:spacing w:val="-6"/>
          <w:w w:val="105"/>
          <w:sz w:val="17"/>
        </w:rPr>
        <w:t> </w:t>
      </w:r>
      <w:r>
        <w:rPr>
          <w:rFonts w:ascii="Calibri" w:hAnsi="Calibri"/>
          <w:color w:val="231F20"/>
          <w:w w:val="105"/>
          <w:sz w:val="17"/>
        </w:rPr>
        <w:t>Form</w:t>
      </w:r>
      <w:r>
        <w:rPr>
          <w:rFonts w:ascii="Calibri" w:hAnsi="Calibri"/>
          <w:color w:val="231F20"/>
          <w:spacing w:val="-6"/>
          <w:w w:val="105"/>
          <w:sz w:val="17"/>
        </w:rPr>
        <w:t> </w:t>
      </w:r>
      <w:r>
        <w:rPr>
          <w:rFonts w:ascii="Calibri" w:hAnsi="Calibri"/>
          <w:color w:val="231F20"/>
          <w:w w:val="105"/>
          <w:sz w:val="17"/>
        </w:rPr>
        <w:t>of</w:t>
      </w:r>
      <w:r>
        <w:rPr>
          <w:rFonts w:ascii="Calibri" w:hAnsi="Calibri"/>
          <w:color w:val="231F20"/>
          <w:spacing w:val="-6"/>
          <w:w w:val="105"/>
          <w:sz w:val="17"/>
        </w:rPr>
        <w:t> </w:t>
      </w:r>
      <w:r>
        <w:rPr>
          <w:rFonts w:ascii="Calibri" w:hAnsi="Calibri"/>
          <w:color w:val="231F20"/>
          <w:w w:val="105"/>
          <w:sz w:val="17"/>
        </w:rPr>
        <w:t>Capitalism</w:t>
      </w:r>
      <w:r>
        <w:rPr>
          <w:rFonts w:ascii="Calibri" w:hAnsi="Calibri"/>
          <w:color w:val="231F20"/>
          <w:spacing w:val="-6"/>
          <w:w w:val="105"/>
          <w:sz w:val="17"/>
        </w:rPr>
        <w:t> </w:t>
      </w:r>
      <w:r>
        <w:rPr>
          <w:rFonts w:ascii="Calibri" w:hAnsi="Calibri"/>
          <w:color w:val="231F20"/>
          <w:w w:val="105"/>
          <w:sz w:val="17"/>
        </w:rPr>
        <w:t>and</w:t>
      </w:r>
      <w:r>
        <w:rPr>
          <w:rFonts w:ascii="Calibri" w:hAnsi="Calibri"/>
          <w:color w:val="231F20"/>
          <w:spacing w:val="-6"/>
          <w:w w:val="105"/>
          <w:sz w:val="17"/>
        </w:rPr>
        <w:t> </w:t>
      </w:r>
      <w:r>
        <w:rPr>
          <w:rFonts w:ascii="Calibri" w:hAnsi="Calibri"/>
          <w:color w:val="231F20"/>
          <w:w w:val="105"/>
          <w:sz w:val="17"/>
        </w:rPr>
        <w:t>the</w:t>
      </w:r>
      <w:r>
        <w:rPr>
          <w:rFonts w:ascii="Calibri" w:hAnsi="Calibri"/>
          <w:color w:val="231F20"/>
          <w:spacing w:val="-6"/>
          <w:w w:val="105"/>
          <w:sz w:val="17"/>
        </w:rPr>
        <w:t> </w:t>
      </w:r>
      <w:r>
        <w:rPr>
          <w:rFonts w:ascii="Calibri" w:hAnsi="Calibri"/>
          <w:color w:val="231F20"/>
          <w:w w:val="105"/>
          <w:sz w:val="17"/>
        </w:rPr>
        <w:t>Inter- nationalization</w:t>
      </w:r>
      <w:r>
        <w:rPr>
          <w:rFonts w:ascii="Calibri" w:hAnsi="Calibri"/>
          <w:color w:val="231F20"/>
          <w:spacing w:val="-29"/>
          <w:w w:val="105"/>
          <w:sz w:val="17"/>
        </w:rPr>
        <w:t> </w:t>
      </w:r>
      <w:r>
        <w:rPr>
          <w:rFonts w:ascii="Calibri" w:hAnsi="Calibri"/>
          <w:color w:val="231F20"/>
          <w:w w:val="105"/>
          <w:sz w:val="17"/>
        </w:rPr>
        <w:t>of</w:t>
      </w:r>
      <w:r>
        <w:rPr>
          <w:rFonts w:ascii="Calibri" w:hAnsi="Calibri"/>
          <w:color w:val="231F20"/>
          <w:spacing w:val="-29"/>
          <w:w w:val="105"/>
          <w:sz w:val="17"/>
        </w:rPr>
        <w:t> </w:t>
      </w:r>
      <w:r>
        <w:rPr>
          <w:rFonts w:ascii="Calibri" w:hAnsi="Calibri"/>
          <w:color w:val="231F20"/>
          <w:w w:val="105"/>
          <w:sz w:val="17"/>
        </w:rPr>
        <w:t>the</w:t>
      </w:r>
      <w:r>
        <w:rPr>
          <w:rFonts w:ascii="Calibri" w:hAnsi="Calibri"/>
          <w:color w:val="231F20"/>
          <w:spacing w:val="-29"/>
          <w:w w:val="105"/>
          <w:sz w:val="17"/>
        </w:rPr>
        <w:t> </w:t>
      </w:r>
      <w:r>
        <w:rPr>
          <w:rFonts w:ascii="Calibri" w:hAnsi="Calibri"/>
          <w:color w:val="231F20"/>
          <w:w w:val="105"/>
          <w:sz w:val="17"/>
        </w:rPr>
        <w:t>State”,</w:t>
      </w:r>
      <w:r>
        <w:rPr>
          <w:rFonts w:ascii="Calibri" w:hAnsi="Calibri"/>
          <w:color w:val="231F20"/>
          <w:spacing w:val="-29"/>
          <w:w w:val="105"/>
          <w:sz w:val="17"/>
        </w:rPr>
        <w:t> </w:t>
      </w:r>
      <w:r>
        <w:rPr>
          <w:rFonts w:ascii="Calibri" w:hAnsi="Calibri"/>
          <w:color w:val="231F20"/>
          <w:w w:val="105"/>
          <w:sz w:val="17"/>
        </w:rPr>
        <w:t>ambos</w:t>
      </w:r>
      <w:r>
        <w:rPr>
          <w:rFonts w:ascii="Calibri" w:hAnsi="Calibri"/>
          <w:color w:val="231F20"/>
          <w:spacing w:val="-29"/>
          <w:w w:val="105"/>
          <w:sz w:val="17"/>
        </w:rPr>
        <w:t> </w:t>
      </w:r>
      <w:r>
        <w:rPr>
          <w:rFonts w:ascii="Calibri" w:hAnsi="Calibri"/>
          <w:color w:val="231F20"/>
          <w:w w:val="105"/>
          <w:sz w:val="17"/>
        </w:rPr>
        <w:t>en</w:t>
      </w:r>
      <w:r>
        <w:rPr>
          <w:rFonts w:ascii="Calibri" w:hAnsi="Calibri"/>
          <w:color w:val="231F20"/>
          <w:spacing w:val="-29"/>
          <w:w w:val="105"/>
          <w:sz w:val="17"/>
        </w:rPr>
        <w:t> </w:t>
      </w:r>
      <w:r>
        <w:rPr>
          <w:rFonts w:ascii="Calibri" w:hAnsi="Calibri"/>
          <w:i/>
          <w:color w:val="231F20"/>
          <w:w w:val="105"/>
          <w:sz w:val="17"/>
        </w:rPr>
        <w:t>Antipode</w:t>
      </w:r>
      <w:r>
        <w:rPr>
          <w:rFonts w:ascii="Calibri" w:hAnsi="Calibri"/>
          <w:color w:val="231F20"/>
          <w:w w:val="105"/>
          <w:sz w:val="17"/>
        </w:rPr>
        <w:t>,</w:t>
      </w:r>
      <w:r>
        <w:rPr>
          <w:rFonts w:ascii="Calibri" w:hAnsi="Calibri"/>
          <w:color w:val="231F20"/>
          <w:spacing w:val="-29"/>
          <w:w w:val="105"/>
          <w:sz w:val="17"/>
        </w:rPr>
        <w:t> </w:t>
      </w:r>
      <w:r>
        <w:rPr>
          <w:rFonts w:ascii="Calibri" w:hAnsi="Calibri"/>
          <w:color w:val="231F20"/>
          <w:w w:val="105"/>
          <w:sz w:val="17"/>
        </w:rPr>
        <w:t>43,1,</w:t>
      </w:r>
      <w:r>
        <w:rPr>
          <w:rFonts w:ascii="Calibri" w:hAnsi="Calibri"/>
          <w:color w:val="231F20"/>
          <w:spacing w:val="-29"/>
          <w:w w:val="105"/>
          <w:sz w:val="17"/>
        </w:rPr>
        <w:t> </w:t>
      </w:r>
      <w:r>
        <w:rPr>
          <w:rFonts w:ascii="Calibri" w:hAnsi="Calibri"/>
          <w:color w:val="231F20"/>
          <w:w w:val="105"/>
          <w:sz w:val="17"/>
        </w:rPr>
        <w:t>2011,</w:t>
      </w:r>
      <w:r>
        <w:rPr>
          <w:rFonts w:ascii="Calibri" w:hAnsi="Calibri"/>
          <w:color w:val="231F20"/>
          <w:spacing w:val="-29"/>
          <w:w w:val="105"/>
          <w:sz w:val="17"/>
        </w:rPr>
        <w:t> </w:t>
      </w:r>
      <w:r>
        <w:rPr>
          <w:rFonts w:ascii="Calibri" w:hAnsi="Calibri"/>
          <w:color w:val="231F20"/>
          <w:w w:val="105"/>
          <w:sz w:val="17"/>
        </w:rPr>
        <w:t>respectivamente</w:t>
      </w:r>
      <w:r>
        <w:rPr>
          <w:rFonts w:ascii="Calibri" w:hAnsi="Calibri"/>
          <w:color w:val="231F20"/>
          <w:spacing w:val="-29"/>
          <w:w w:val="105"/>
          <w:sz w:val="17"/>
        </w:rPr>
        <w:t> </w:t>
      </w:r>
      <w:r>
        <w:rPr>
          <w:rFonts w:ascii="Calibri" w:hAnsi="Calibri"/>
          <w:color w:val="231F20"/>
          <w:w w:val="105"/>
          <w:sz w:val="17"/>
        </w:rPr>
        <w:t>pp.</w:t>
      </w:r>
      <w:r>
        <w:rPr>
          <w:rFonts w:ascii="Calibri" w:hAnsi="Calibri"/>
          <w:color w:val="231F20"/>
          <w:spacing w:val="-29"/>
          <w:w w:val="105"/>
          <w:sz w:val="17"/>
        </w:rPr>
        <w:t> </w:t>
      </w:r>
      <w:r>
        <w:rPr>
          <w:rFonts w:ascii="Calibri" w:hAnsi="Calibri"/>
          <w:color w:val="231F20"/>
          <w:w w:val="105"/>
          <w:sz w:val="17"/>
        </w:rPr>
        <w:t>1–11</w:t>
      </w:r>
      <w:r>
        <w:rPr>
          <w:rFonts w:ascii="Calibri" w:hAnsi="Calibri"/>
          <w:color w:val="231F20"/>
          <w:spacing w:val="-29"/>
          <w:w w:val="105"/>
          <w:sz w:val="17"/>
        </w:rPr>
        <w:t> </w:t>
      </w:r>
      <w:r>
        <w:rPr>
          <w:rFonts w:ascii="Calibri" w:hAnsi="Calibri"/>
          <w:color w:val="231F20"/>
          <w:w w:val="105"/>
          <w:sz w:val="17"/>
        </w:rPr>
        <w:t>y</w:t>
      </w:r>
      <w:r>
        <w:rPr>
          <w:rFonts w:ascii="Calibri" w:hAnsi="Calibri"/>
          <w:color w:val="231F20"/>
          <w:spacing w:val="-29"/>
          <w:w w:val="105"/>
          <w:sz w:val="17"/>
        </w:rPr>
        <w:t> </w:t>
      </w:r>
      <w:r>
        <w:rPr>
          <w:rFonts w:ascii="Calibri" w:hAnsi="Calibri"/>
          <w:color w:val="231F20"/>
          <w:w w:val="105"/>
          <w:sz w:val="17"/>
        </w:rPr>
        <w:t>pp.</w:t>
      </w:r>
      <w:r>
        <w:rPr>
          <w:rFonts w:ascii="Calibri" w:hAnsi="Calibri"/>
          <w:color w:val="231F20"/>
          <w:spacing w:val="-29"/>
          <w:w w:val="105"/>
          <w:sz w:val="17"/>
        </w:rPr>
        <w:t> </w:t>
      </w:r>
      <w:r>
        <w:rPr>
          <w:rFonts w:ascii="Calibri" w:hAnsi="Calibri"/>
          <w:color w:val="231F20"/>
          <w:spacing w:val="-3"/>
          <w:w w:val="105"/>
          <w:sz w:val="17"/>
        </w:rPr>
        <w:t>12–37. </w:t>
      </w:r>
      <w:r>
        <w:rPr>
          <w:rFonts w:ascii="Calibri" w:hAnsi="Calibri"/>
          <w:color w:val="231F20"/>
          <w:w w:val="105"/>
          <w:position w:val="6"/>
          <w:sz w:val="10"/>
        </w:rPr>
        <w:t>16</w:t>
      </w:r>
      <w:r>
        <w:rPr>
          <w:rFonts w:ascii="Calibri" w:hAnsi="Calibri"/>
          <w:color w:val="231F20"/>
          <w:spacing w:val="4"/>
          <w:w w:val="105"/>
          <w:position w:val="6"/>
          <w:sz w:val="10"/>
        </w:rPr>
        <w:t> </w:t>
      </w:r>
      <w:r>
        <w:rPr>
          <w:rFonts w:ascii="Calibri" w:hAnsi="Calibri"/>
          <w:i/>
          <w:color w:val="231F20"/>
          <w:spacing w:val="-4"/>
          <w:w w:val="105"/>
          <w:sz w:val="17"/>
        </w:rPr>
        <w:t>Cfr.</w:t>
      </w:r>
      <w:r>
        <w:rPr>
          <w:rFonts w:ascii="Calibri" w:hAnsi="Calibri"/>
          <w:i/>
          <w:color w:val="231F20"/>
          <w:spacing w:val="-16"/>
          <w:w w:val="105"/>
          <w:sz w:val="17"/>
        </w:rPr>
        <w:t> </w:t>
      </w:r>
      <w:r>
        <w:rPr>
          <w:rFonts w:ascii="Calibri" w:hAnsi="Calibri"/>
          <w:color w:val="231F20"/>
          <w:spacing w:val="-6"/>
          <w:w w:val="105"/>
          <w:sz w:val="17"/>
        </w:rPr>
        <w:t>W.</w:t>
      </w:r>
      <w:r>
        <w:rPr>
          <w:rFonts w:ascii="Calibri" w:hAnsi="Calibri"/>
          <w:color w:val="231F20"/>
          <w:spacing w:val="-13"/>
          <w:w w:val="105"/>
          <w:sz w:val="17"/>
        </w:rPr>
        <w:t> </w:t>
      </w:r>
      <w:r>
        <w:rPr>
          <w:rFonts w:ascii="Calibri" w:hAnsi="Calibri"/>
          <w:color w:val="231F20"/>
          <w:w w:val="105"/>
          <w:sz w:val="17"/>
        </w:rPr>
        <w:t>Reinhard,</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storia</w:t>
      </w:r>
      <w:r>
        <w:rPr>
          <w:rFonts w:ascii="Calibri" w:hAnsi="Calibri"/>
          <w:color w:val="231F20"/>
          <w:spacing w:val="-13"/>
          <w:w w:val="105"/>
          <w:sz w:val="17"/>
        </w:rPr>
        <w:t> </w:t>
      </w:r>
      <w:r>
        <w:rPr>
          <w:rFonts w:ascii="Calibri" w:hAnsi="Calibri"/>
          <w:color w:val="231F20"/>
          <w:w w:val="105"/>
          <w:sz w:val="17"/>
        </w:rPr>
        <w:t>come</w:t>
      </w:r>
      <w:r>
        <w:rPr>
          <w:rFonts w:ascii="Calibri" w:hAnsi="Calibri"/>
          <w:color w:val="231F20"/>
          <w:spacing w:val="-13"/>
          <w:w w:val="105"/>
          <w:sz w:val="17"/>
        </w:rPr>
        <w:t> </w:t>
      </w:r>
      <w:r>
        <w:rPr>
          <w:rFonts w:ascii="Calibri" w:hAnsi="Calibri"/>
          <w:color w:val="231F20"/>
          <w:w w:val="105"/>
          <w:sz w:val="17"/>
        </w:rPr>
        <w:t>delegittimazione</w:t>
      </w:r>
      <w:r>
        <w:rPr>
          <w:rFonts w:ascii="Calibri" w:hAnsi="Calibri"/>
          <w:color w:val="231F20"/>
          <w:spacing w:val="-13"/>
          <w:w w:val="105"/>
          <w:sz w:val="17"/>
        </w:rPr>
        <w:t> </w:t>
      </w:r>
      <w:r>
        <w:rPr>
          <w:rFonts w:ascii="Calibri" w:hAnsi="Calibri"/>
          <w:color w:val="231F20"/>
          <w:w w:val="105"/>
          <w:sz w:val="17"/>
        </w:rPr>
        <w:t>(Discorso</w:t>
      </w:r>
      <w:r>
        <w:rPr>
          <w:rFonts w:ascii="Calibri" w:hAnsi="Calibri"/>
          <w:color w:val="231F20"/>
          <w:spacing w:val="-13"/>
          <w:w w:val="105"/>
          <w:sz w:val="17"/>
        </w:rPr>
        <w:t> </w:t>
      </w:r>
      <w:r>
        <w:rPr>
          <w:rFonts w:ascii="Calibri" w:hAnsi="Calibri"/>
          <w:color w:val="231F20"/>
          <w:w w:val="105"/>
          <w:sz w:val="17"/>
        </w:rPr>
        <w:t>tenuto</w:t>
      </w:r>
      <w:r>
        <w:rPr>
          <w:rFonts w:ascii="Calibri" w:hAnsi="Calibri"/>
          <w:color w:val="231F20"/>
          <w:spacing w:val="-13"/>
          <w:w w:val="105"/>
          <w:sz w:val="17"/>
        </w:rPr>
        <w:t> </w:t>
      </w:r>
      <w:r>
        <w:rPr>
          <w:rFonts w:ascii="Calibri" w:hAnsi="Calibri"/>
          <w:color w:val="231F20"/>
          <w:w w:val="105"/>
          <w:sz w:val="17"/>
        </w:rPr>
        <w:t>in</w:t>
      </w:r>
      <w:r>
        <w:rPr>
          <w:rFonts w:ascii="Calibri" w:hAnsi="Calibri"/>
          <w:color w:val="231F20"/>
          <w:spacing w:val="-13"/>
          <w:w w:val="105"/>
          <w:sz w:val="17"/>
        </w:rPr>
        <w:t> </w:t>
      </w:r>
      <w:r>
        <w:rPr>
          <w:rFonts w:ascii="Calibri" w:hAnsi="Calibri"/>
          <w:color w:val="231F20"/>
          <w:w w:val="105"/>
          <w:sz w:val="17"/>
        </w:rPr>
        <w:t>occasione</w:t>
      </w:r>
      <w:r>
        <w:rPr>
          <w:rFonts w:ascii="Calibri" w:hAnsi="Calibri"/>
          <w:color w:val="231F20"/>
          <w:spacing w:val="-13"/>
          <w:w w:val="105"/>
          <w:sz w:val="17"/>
        </w:rPr>
        <w:t> </w:t>
      </w:r>
      <w:r>
        <w:rPr>
          <w:rFonts w:ascii="Calibri" w:hAnsi="Calibri"/>
          <w:color w:val="231F20"/>
          <w:w w:val="105"/>
          <w:sz w:val="17"/>
        </w:rPr>
        <w:t>dell’attribuzio- ne</w:t>
      </w:r>
      <w:r>
        <w:rPr>
          <w:rFonts w:ascii="Calibri" w:hAnsi="Calibri"/>
          <w:color w:val="231F20"/>
          <w:spacing w:val="-24"/>
          <w:w w:val="105"/>
          <w:sz w:val="17"/>
        </w:rPr>
        <w:t> </w:t>
      </w:r>
      <w:r>
        <w:rPr>
          <w:rFonts w:ascii="Calibri" w:hAnsi="Calibri"/>
          <w:color w:val="231F20"/>
          <w:w w:val="105"/>
          <w:sz w:val="17"/>
        </w:rPr>
        <w:t>di</w:t>
      </w:r>
      <w:r>
        <w:rPr>
          <w:rFonts w:ascii="Calibri" w:hAnsi="Calibri"/>
          <w:color w:val="231F20"/>
          <w:spacing w:val="-24"/>
          <w:w w:val="105"/>
          <w:sz w:val="17"/>
        </w:rPr>
        <w:t> </w:t>
      </w:r>
      <w:r>
        <w:rPr>
          <w:rFonts w:ascii="Calibri" w:hAnsi="Calibri"/>
          <w:color w:val="231F20"/>
          <w:w w:val="105"/>
          <w:sz w:val="17"/>
        </w:rPr>
        <w:t>un</w:t>
      </w:r>
      <w:r>
        <w:rPr>
          <w:rFonts w:ascii="Calibri" w:hAnsi="Calibri"/>
          <w:color w:val="231F20"/>
          <w:spacing w:val="-24"/>
          <w:w w:val="105"/>
          <w:sz w:val="17"/>
        </w:rPr>
        <w:t> </w:t>
      </w:r>
      <w:r>
        <w:rPr>
          <w:rFonts w:ascii="Calibri" w:hAnsi="Calibri"/>
          <w:color w:val="231F20"/>
          <w:w w:val="105"/>
          <w:sz w:val="17"/>
        </w:rPr>
        <w:t>importante</w:t>
      </w:r>
      <w:r>
        <w:rPr>
          <w:rFonts w:ascii="Calibri" w:hAnsi="Calibri"/>
          <w:color w:val="231F20"/>
          <w:spacing w:val="-24"/>
          <w:w w:val="105"/>
          <w:sz w:val="17"/>
        </w:rPr>
        <w:t> </w:t>
      </w:r>
      <w:r>
        <w:rPr>
          <w:rFonts w:ascii="Calibri" w:hAnsi="Calibri"/>
          <w:color w:val="231F20"/>
          <w:w w:val="105"/>
          <w:sz w:val="17"/>
        </w:rPr>
        <w:t>premio</w:t>
      </w:r>
      <w:r>
        <w:rPr>
          <w:rFonts w:ascii="Calibri" w:hAnsi="Calibri"/>
          <w:color w:val="231F20"/>
          <w:spacing w:val="-24"/>
          <w:w w:val="105"/>
          <w:sz w:val="17"/>
        </w:rPr>
        <w:t> </w:t>
      </w:r>
      <w:r>
        <w:rPr>
          <w:rFonts w:ascii="Calibri" w:hAnsi="Calibri"/>
          <w:color w:val="231F20"/>
          <w:w w:val="105"/>
          <w:sz w:val="17"/>
        </w:rPr>
        <w:t>storico,</w:t>
      </w:r>
      <w:r>
        <w:rPr>
          <w:rFonts w:ascii="Calibri" w:hAnsi="Calibri"/>
          <w:color w:val="231F20"/>
          <w:spacing w:val="-24"/>
          <w:w w:val="105"/>
          <w:sz w:val="17"/>
        </w:rPr>
        <w:t> </w:t>
      </w:r>
      <w:r>
        <w:rPr>
          <w:rFonts w:ascii="Calibri" w:hAnsi="Calibri"/>
          <w:color w:val="231F20"/>
          <w:w w:val="105"/>
          <w:sz w:val="17"/>
        </w:rPr>
        <w:t>Monaco,</w:t>
      </w:r>
      <w:r>
        <w:rPr>
          <w:rFonts w:ascii="Calibri" w:hAnsi="Calibri"/>
          <w:color w:val="231F20"/>
          <w:spacing w:val="-24"/>
          <w:w w:val="105"/>
          <w:sz w:val="17"/>
        </w:rPr>
        <w:t> </w:t>
      </w:r>
      <w:r>
        <w:rPr>
          <w:rFonts w:ascii="Calibri" w:hAnsi="Calibri"/>
          <w:color w:val="231F20"/>
          <w:w w:val="105"/>
          <w:sz w:val="17"/>
        </w:rPr>
        <w:t>23</w:t>
      </w:r>
      <w:r>
        <w:rPr>
          <w:rFonts w:ascii="Calibri" w:hAnsi="Calibri"/>
          <w:color w:val="231F20"/>
          <w:spacing w:val="-24"/>
          <w:w w:val="105"/>
          <w:sz w:val="17"/>
        </w:rPr>
        <w:t> </w:t>
      </w:r>
      <w:r>
        <w:rPr>
          <w:rFonts w:ascii="Calibri" w:hAnsi="Calibri"/>
          <w:color w:val="231F20"/>
          <w:w w:val="105"/>
          <w:sz w:val="17"/>
        </w:rPr>
        <w:t>novembre</w:t>
      </w:r>
      <w:r>
        <w:rPr>
          <w:rFonts w:ascii="Calibri" w:hAnsi="Calibri"/>
          <w:color w:val="231F20"/>
          <w:spacing w:val="-24"/>
          <w:w w:val="105"/>
          <w:sz w:val="17"/>
        </w:rPr>
        <w:t> </w:t>
      </w:r>
      <w:r>
        <w:rPr>
          <w:rFonts w:ascii="Calibri" w:hAnsi="Calibri"/>
          <w:color w:val="231F20"/>
          <w:w w:val="105"/>
          <w:sz w:val="17"/>
        </w:rPr>
        <w:t>2001)”,</w:t>
      </w:r>
      <w:r>
        <w:rPr>
          <w:rFonts w:ascii="Calibri" w:hAnsi="Calibri"/>
          <w:color w:val="231F20"/>
          <w:spacing w:val="-24"/>
          <w:w w:val="105"/>
          <w:sz w:val="17"/>
        </w:rPr>
        <w:t> </w:t>
      </w:r>
      <w:r>
        <w:rPr>
          <w:rFonts w:ascii="Calibri" w:hAnsi="Calibri"/>
          <w:i/>
          <w:color w:val="231F20"/>
          <w:w w:val="105"/>
          <w:sz w:val="17"/>
        </w:rPr>
        <w:t>Scienza</w:t>
      </w:r>
      <w:r>
        <w:rPr>
          <w:rFonts w:ascii="Calibri" w:hAnsi="Calibri"/>
          <w:i/>
          <w:color w:val="231F20"/>
          <w:spacing w:val="-24"/>
          <w:w w:val="105"/>
          <w:sz w:val="17"/>
        </w:rPr>
        <w:t> </w:t>
      </w:r>
      <w:r>
        <w:rPr>
          <w:rFonts w:ascii="Calibri" w:hAnsi="Calibri"/>
          <w:i/>
          <w:color w:val="231F20"/>
          <w:w w:val="105"/>
          <w:sz w:val="17"/>
        </w:rPr>
        <w:t>&amp;</w:t>
      </w:r>
      <w:r>
        <w:rPr>
          <w:rFonts w:ascii="Calibri" w:hAnsi="Calibri"/>
          <w:i/>
          <w:color w:val="231F20"/>
          <w:spacing w:val="-24"/>
          <w:w w:val="105"/>
          <w:sz w:val="17"/>
        </w:rPr>
        <w:t> </w:t>
      </w:r>
      <w:r>
        <w:rPr>
          <w:rFonts w:ascii="Calibri" w:hAnsi="Calibri"/>
          <w:i/>
          <w:color w:val="231F20"/>
          <w:w w:val="105"/>
          <w:sz w:val="17"/>
        </w:rPr>
        <w:t>Politica.</w:t>
      </w:r>
      <w:r>
        <w:rPr>
          <w:rFonts w:ascii="Calibri" w:hAnsi="Calibri"/>
          <w:i/>
          <w:color w:val="231F20"/>
          <w:spacing w:val="-24"/>
          <w:w w:val="105"/>
          <w:sz w:val="17"/>
        </w:rPr>
        <w:t> </w:t>
      </w:r>
      <w:r>
        <w:rPr>
          <w:rFonts w:ascii="Calibri" w:hAnsi="Calibri"/>
          <w:i/>
          <w:color w:val="231F20"/>
          <w:w w:val="105"/>
          <w:sz w:val="17"/>
        </w:rPr>
        <w:t>Per</w:t>
      </w:r>
      <w:r>
        <w:rPr>
          <w:rFonts w:ascii="Calibri" w:hAnsi="Calibri"/>
          <w:i/>
          <w:color w:val="231F20"/>
          <w:spacing w:val="-24"/>
          <w:w w:val="105"/>
          <w:sz w:val="17"/>
        </w:rPr>
        <w:t> </w:t>
      </w:r>
      <w:r>
        <w:rPr>
          <w:rFonts w:ascii="Calibri" w:hAnsi="Calibri"/>
          <w:i/>
          <w:color w:val="231F20"/>
          <w:w w:val="105"/>
          <w:sz w:val="17"/>
        </w:rPr>
        <w:t>una</w:t>
      </w:r>
      <w:r>
        <w:rPr>
          <w:rFonts w:ascii="Calibri" w:hAnsi="Calibri"/>
          <w:i/>
          <w:color w:val="231F20"/>
          <w:spacing w:val="-24"/>
          <w:w w:val="105"/>
          <w:sz w:val="17"/>
        </w:rPr>
        <w:t> </w:t>
      </w:r>
      <w:r>
        <w:rPr>
          <w:rFonts w:ascii="Calibri" w:hAnsi="Calibri"/>
          <w:i/>
          <w:color w:val="231F20"/>
          <w:w w:val="105"/>
          <w:sz w:val="17"/>
        </w:rPr>
        <w:t>storia </w:t>
      </w:r>
      <w:r>
        <w:rPr>
          <w:rFonts w:ascii="Calibri" w:hAnsi="Calibri"/>
          <w:i/>
          <w:color w:val="231F20"/>
          <w:sz w:val="17"/>
        </w:rPr>
        <w:t>delle dottrine</w:t>
      </w:r>
      <w:r>
        <w:rPr>
          <w:rFonts w:ascii="Calibri" w:hAnsi="Calibri"/>
          <w:color w:val="231F20"/>
          <w:sz w:val="17"/>
        </w:rPr>
        <w:t>, </w:t>
      </w:r>
      <w:r>
        <w:rPr>
          <w:rFonts w:ascii="Calibri" w:hAnsi="Calibri"/>
          <w:color w:val="231F20"/>
          <w:sz w:val="15"/>
        </w:rPr>
        <w:t>XIV</w:t>
      </w:r>
      <w:r>
        <w:rPr>
          <w:rFonts w:ascii="Calibri" w:hAnsi="Calibri"/>
          <w:color w:val="231F20"/>
          <w:sz w:val="17"/>
        </w:rPr>
        <w:t>, </w:t>
      </w:r>
      <w:r>
        <w:rPr>
          <w:rFonts w:ascii="Calibri" w:hAnsi="Calibri"/>
          <w:color w:val="231F20"/>
          <w:spacing w:val="-3"/>
          <w:sz w:val="17"/>
        </w:rPr>
        <w:t>27, </w:t>
      </w:r>
      <w:r>
        <w:rPr>
          <w:rFonts w:ascii="Calibri" w:hAnsi="Calibri"/>
          <w:color w:val="231F20"/>
          <w:sz w:val="17"/>
        </w:rPr>
        <w:t>2002, disponible en: </w:t>
      </w:r>
      <w:hyperlink r:id="rId42">
        <w:r>
          <w:rPr>
            <w:rFonts w:ascii="Calibri" w:hAnsi="Calibri"/>
            <w:color w:val="231F20"/>
            <w:sz w:val="17"/>
          </w:rPr>
          <w:t>http://scienzaepolitica.unibo.it/article</w:t>
        </w:r>
      </w:hyperlink>
      <w:r>
        <w:rPr>
          <w:rFonts w:ascii="Calibri" w:hAnsi="Calibri"/>
          <w:color w:val="231F20"/>
          <w:sz w:val="17"/>
        </w:rPr>
        <w:t>  </w:t>
      </w:r>
      <w:r>
        <w:rPr>
          <w:rFonts w:ascii="Calibri" w:hAnsi="Calibri"/>
          <w:color w:val="231F20"/>
          <w:spacing w:val="10"/>
          <w:sz w:val="17"/>
        </w:rPr>
        <w:t> </w:t>
      </w:r>
      <w:r>
        <w:rPr>
          <w:rFonts w:ascii="Calibri" w:hAnsi="Calibri"/>
          <w:color w:val="231F20"/>
          <w:sz w:val="17"/>
        </w:rPr>
        <w:t>/view/2895.</w:t>
      </w:r>
    </w:p>
    <w:p>
      <w:pPr>
        <w:spacing w:line="203" w:lineRule="exact" w:before="0"/>
        <w:ind w:left="117" w:right="0" w:firstLine="0"/>
        <w:jc w:val="left"/>
        <w:rPr>
          <w:rFonts w:ascii="Calibri" w:hAnsi="Calibri"/>
          <w:sz w:val="17"/>
        </w:rPr>
      </w:pPr>
      <w:r>
        <w:rPr>
          <w:rFonts w:ascii="Calibri" w:hAnsi="Calibri"/>
          <w:color w:val="231F20"/>
          <w:position w:val="6"/>
          <w:sz w:val="10"/>
        </w:rPr>
        <w:t>17  </w:t>
      </w:r>
      <w:r>
        <w:rPr>
          <w:rFonts w:ascii="Calibri" w:hAnsi="Calibri"/>
          <w:i/>
          <w:color w:val="231F20"/>
          <w:sz w:val="17"/>
        </w:rPr>
        <w:t>Cfr. </w:t>
      </w:r>
      <w:r>
        <w:rPr>
          <w:rFonts w:ascii="Calibri" w:hAnsi="Calibri"/>
          <w:color w:val="231F20"/>
          <w:sz w:val="17"/>
        </w:rPr>
        <w:t>Los tres ensayos de M. Sparke, “Political Geography: Political Geographies of Globalization</w:t>
      </w:r>
    </w:p>
    <w:p>
      <w:pPr>
        <w:spacing w:line="235" w:lineRule="auto" w:before="1"/>
        <w:ind w:left="117" w:right="101" w:firstLine="0"/>
        <w:jc w:val="both"/>
        <w:rPr>
          <w:rFonts w:ascii="Calibri" w:hAnsi="Calibri"/>
          <w:sz w:val="17"/>
        </w:rPr>
      </w:pPr>
      <w:r>
        <w:rPr>
          <w:rFonts w:ascii="Calibri" w:hAnsi="Calibri"/>
          <w:color w:val="231F20"/>
          <w:sz w:val="17"/>
        </w:rPr>
        <w:t>(1)</w:t>
      </w:r>
      <w:r>
        <w:rPr>
          <w:rFonts w:ascii="Calibri" w:hAnsi="Calibri"/>
          <w:color w:val="231F20"/>
          <w:spacing w:val="-6"/>
          <w:sz w:val="17"/>
        </w:rPr>
        <w:t> </w:t>
      </w:r>
      <w:r>
        <w:rPr>
          <w:rFonts w:ascii="Calibri" w:hAnsi="Calibri"/>
          <w:color w:val="231F20"/>
          <w:sz w:val="17"/>
        </w:rPr>
        <w:t>–</w:t>
      </w:r>
      <w:r>
        <w:rPr>
          <w:rFonts w:ascii="Calibri" w:hAnsi="Calibri"/>
          <w:color w:val="231F20"/>
          <w:spacing w:val="-6"/>
          <w:sz w:val="17"/>
        </w:rPr>
        <w:t> </w:t>
      </w:r>
      <w:r>
        <w:rPr>
          <w:rFonts w:ascii="Calibri" w:hAnsi="Calibri"/>
          <w:color w:val="231F20"/>
          <w:sz w:val="17"/>
        </w:rPr>
        <w:t>Dominance”,</w:t>
      </w:r>
      <w:r>
        <w:rPr>
          <w:rFonts w:ascii="Calibri" w:hAnsi="Calibri"/>
          <w:color w:val="231F20"/>
          <w:spacing w:val="-6"/>
          <w:sz w:val="17"/>
        </w:rPr>
        <w:t> </w:t>
      </w:r>
      <w:r>
        <w:rPr>
          <w:rFonts w:ascii="Calibri" w:hAnsi="Calibri"/>
          <w:i/>
          <w:color w:val="231F20"/>
          <w:sz w:val="17"/>
        </w:rPr>
        <w:t>Progress</w:t>
      </w:r>
      <w:r>
        <w:rPr>
          <w:rFonts w:ascii="Calibri" w:hAnsi="Calibri"/>
          <w:i/>
          <w:color w:val="231F20"/>
          <w:spacing w:val="-7"/>
          <w:sz w:val="17"/>
        </w:rPr>
        <w:t> </w:t>
      </w:r>
      <w:r>
        <w:rPr>
          <w:rFonts w:ascii="Calibri" w:hAnsi="Calibri"/>
          <w:i/>
          <w:color w:val="231F20"/>
          <w:sz w:val="17"/>
        </w:rPr>
        <w:t>in</w:t>
      </w:r>
      <w:r>
        <w:rPr>
          <w:rFonts w:ascii="Calibri" w:hAnsi="Calibri"/>
          <w:i/>
          <w:color w:val="231F20"/>
          <w:spacing w:val="-7"/>
          <w:sz w:val="17"/>
        </w:rPr>
        <w:t> </w:t>
      </w:r>
      <w:r>
        <w:rPr>
          <w:rFonts w:ascii="Calibri" w:hAnsi="Calibri"/>
          <w:i/>
          <w:color w:val="231F20"/>
          <w:sz w:val="17"/>
        </w:rPr>
        <w:t>Human</w:t>
      </w:r>
      <w:r>
        <w:rPr>
          <w:rFonts w:ascii="Calibri" w:hAnsi="Calibri"/>
          <w:i/>
          <w:color w:val="231F20"/>
          <w:spacing w:val="-7"/>
          <w:sz w:val="17"/>
        </w:rPr>
        <w:t> </w:t>
      </w:r>
      <w:r>
        <w:rPr>
          <w:rFonts w:ascii="Calibri" w:hAnsi="Calibri"/>
          <w:i/>
          <w:color w:val="231F20"/>
          <w:sz w:val="17"/>
        </w:rPr>
        <w:t>Geography</w:t>
      </w:r>
      <w:r>
        <w:rPr>
          <w:rFonts w:ascii="Calibri" w:hAnsi="Calibri"/>
          <w:color w:val="231F20"/>
          <w:sz w:val="17"/>
        </w:rPr>
        <w:t>,</w:t>
      </w:r>
      <w:r>
        <w:rPr>
          <w:rFonts w:ascii="Calibri" w:hAnsi="Calibri"/>
          <w:color w:val="231F20"/>
          <w:spacing w:val="-6"/>
          <w:sz w:val="17"/>
        </w:rPr>
        <w:t> </w:t>
      </w:r>
      <w:r>
        <w:rPr>
          <w:rFonts w:ascii="Calibri" w:hAnsi="Calibri"/>
          <w:color w:val="231F20"/>
          <w:sz w:val="17"/>
        </w:rPr>
        <w:t>28,</w:t>
      </w:r>
      <w:r>
        <w:rPr>
          <w:rFonts w:ascii="Calibri" w:hAnsi="Calibri"/>
          <w:color w:val="231F20"/>
          <w:spacing w:val="-6"/>
          <w:sz w:val="17"/>
        </w:rPr>
        <w:t> </w:t>
      </w:r>
      <w:r>
        <w:rPr>
          <w:rFonts w:ascii="Calibri" w:hAnsi="Calibri"/>
          <w:color w:val="231F20"/>
          <w:sz w:val="17"/>
        </w:rPr>
        <w:t>6,</w:t>
      </w:r>
      <w:r>
        <w:rPr>
          <w:rFonts w:ascii="Calibri" w:hAnsi="Calibri"/>
          <w:color w:val="231F20"/>
          <w:spacing w:val="-6"/>
          <w:sz w:val="17"/>
        </w:rPr>
        <w:t> </w:t>
      </w:r>
      <w:r>
        <w:rPr>
          <w:rFonts w:ascii="Calibri" w:hAnsi="Calibri"/>
          <w:color w:val="231F20"/>
          <w:sz w:val="17"/>
        </w:rPr>
        <w:t>2004,</w:t>
      </w:r>
      <w:r>
        <w:rPr>
          <w:rFonts w:ascii="Calibri" w:hAnsi="Calibri"/>
          <w:color w:val="231F20"/>
          <w:spacing w:val="-6"/>
          <w:sz w:val="17"/>
        </w:rPr>
        <w:t> </w:t>
      </w:r>
      <w:r>
        <w:rPr>
          <w:rFonts w:ascii="Calibri" w:hAnsi="Calibri"/>
          <w:color w:val="231F20"/>
          <w:sz w:val="17"/>
        </w:rPr>
        <w:t>pp.</w:t>
      </w:r>
      <w:r>
        <w:rPr>
          <w:rFonts w:ascii="Calibri" w:hAnsi="Calibri"/>
          <w:color w:val="231F20"/>
          <w:spacing w:val="-6"/>
          <w:sz w:val="17"/>
        </w:rPr>
        <w:t> </w:t>
      </w:r>
      <w:r>
        <w:rPr>
          <w:rFonts w:ascii="Calibri" w:hAnsi="Calibri"/>
          <w:color w:val="231F20"/>
          <w:sz w:val="17"/>
        </w:rPr>
        <w:t>777–794;</w:t>
      </w:r>
      <w:r>
        <w:rPr>
          <w:rFonts w:ascii="Calibri" w:hAnsi="Calibri"/>
          <w:color w:val="231F20"/>
          <w:spacing w:val="-6"/>
          <w:sz w:val="17"/>
        </w:rPr>
        <w:t> </w:t>
      </w:r>
      <w:r>
        <w:rPr>
          <w:rFonts w:ascii="Calibri" w:hAnsi="Calibri"/>
          <w:color w:val="231F20"/>
          <w:sz w:val="17"/>
        </w:rPr>
        <w:t>“Political</w:t>
      </w:r>
      <w:r>
        <w:rPr>
          <w:rFonts w:ascii="Calibri" w:hAnsi="Calibri"/>
          <w:color w:val="231F20"/>
          <w:spacing w:val="-6"/>
          <w:sz w:val="17"/>
        </w:rPr>
        <w:t> </w:t>
      </w:r>
      <w:r>
        <w:rPr>
          <w:rFonts w:ascii="Calibri" w:hAnsi="Calibri"/>
          <w:color w:val="231F20"/>
          <w:sz w:val="17"/>
        </w:rPr>
        <w:t>Geography:</w:t>
      </w:r>
      <w:r>
        <w:rPr>
          <w:rFonts w:ascii="Calibri" w:hAnsi="Calibri"/>
          <w:color w:val="231F20"/>
          <w:spacing w:val="-6"/>
          <w:sz w:val="17"/>
        </w:rPr>
        <w:t> </w:t>
      </w:r>
      <w:r>
        <w:rPr>
          <w:rFonts w:ascii="Calibri" w:hAnsi="Calibri"/>
          <w:color w:val="231F20"/>
          <w:sz w:val="17"/>
        </w:rPr>
        <w:t>Po- litical Geographies of Globalization (2) – Governance”, </w:t>
      </w:r>
      <w:r>
        <w:rPr>
          <w:rFonts w:ascii="Calibri" w:hAnsi="Calibri"/>
          <w:i/>
          <w:color w:val="231F20"/>
          <w:sz w:val="17"/>
        </w:rPr>
        <w:t>Progress in Human Geography</w:t>
      </w:r>
      <w:r>
        <w:rPr>
          <w:rFonts w:ascii="Calibri" w:hAnsi="Calibri"/>
          <w:color w:val="231F20"/>
          <w:sz w:val="17"/>
        </w:rPr>
        <w:t>, 30, 2, 2006, pp. 1–16; “Political Geography – Political Geographies of Globalization </w:t>
      </w:r>
      <w:r>
        <w:rPr>
          <w:rFonts w:ascii="Calibri" w:hAnsi="Calibri"/>
          <w:color w:val="231F20"/>
          <w:sz w:val="15"/>
        </w:rPr>
        <w:t>III</w:t>
      </w:r>
      <w:r>
        <w:rPr>
          <w:rFonts w:ascii="Calibri" w:hAnsi="Calibri"/>
          <w:color w:val="231F20"/>
          <w:sz w:val="17"/>
        </w:rPr>
        <w:t>: Resistance”, </w:t>
      </w:r>
      <w:r>
        <w:rPr>
          <w:rFonts w:ascii="Calibri" w:hAnsi="Calibri"/>
          <w:i/>
          <w:color w:val="231F20"/>
          <w:sz w:val="17"/>
        </w:rPr>
        <w:t>Progress in </w:t>
      </w:r>
      <w:r>
        <w:rPr>
          <w:rFonts w:ascii="Calibri" w:hAnsi="Calibri"/>
          <w:i/>
          <w:color w:val="231F20"/>
          <w:sz w:val="17"/>
        </w:rPr>
        <w:t>Human Geography</w:t>
      </w:r>
      <w:r>
        <w:rPr>
          <w:rFonts w:ascii="Calibri" w:hAnsi="Calibri"/>
          <w:color w:val="231F20"/>
          <w:sz w:val="17"/>
        </w:rPr>
        <w:t>, 32,3, 2008, pp.</w:t>
      </w:r>
      <w:r>
        <w:rPr>
          <w:rFonts w:ascii="Calibri" w:hAnsi="Calibri"/>
          <w:color w:val="231F20"/>
          <w:spacing w:val="9"/>
          <w:sz w:val="17"/>
        </w:rPr>
        <w:t> </w:t>
      </w:r>
      <w:r>
        <w:rPr>
          <w:rFonts w:ascii="Calibri" w:hAnsi="Calibri"/>
          <w:color w:val="231F20"/>
          <w:sz w:val="17"/>
        </w:rPr>
        <w:t>423–440.</w:t>
      </w:r>
    </w:p>
    <w:p>
      <w:pPr>
        <w:spacing w:line="205" w:lineRule="exact" w:before="0"/>
        <w:ind w:left="117" w:right="0" w:firstLine="0"/>
        <w:jc w:val="left"/>
        <w:rPr>
          <w:rFonts w:ascii="Calibri" w:hAnsi="Calibri"/>
          <w:i/>
          <w:sz w:val="17"/>
        </w:rPr>
      </w:pPr>
      <w:r>
        <w:rPr>
          <w:rFonts w:ascii="Calibri" w:hAnsi="Calibri"/>
          <w:color w:val="231F20"/>
          <w:position w:val="6"/>
          <w:sz w:val="10"/>
        </w:rPr>
        <w:t>18   </w:t>
      </w:r>
      <w:r>
        <w:rPr>
          <w:rFonts w:ascii="Calibri" w:hAnsi="Calibri"/>
          <w:color w:val="231F20"/>
          <w:sz w:val="17"/>
        </w:rPr>
        <w:t>Q. Skinner, “The Sovereign State: A Genealogy”, H. Kalmo y Q. Skinner (Eds.), </w:t>
      </w:r>
      <w:r>
        <w:rPr>
          <w:rFonts w:ascii="Calibri" w:hAnsi="Calibri"/>
          <w:i/>
          <w:color w:val="231F20"/>
          <w:sz w:val="17"/>
        </w:rPr>
        <w:t>Sovereignty in</w:t>
      </w:r>
    </w:p>
    <w:p>
      <w:pPr>
        <w:spacing w:after="0" w:line="205" w:lineRule="exact"/>
        <w:jc w:val="left"/>
        <w:rPr>
          <w:rFonts w:ascii="Calibri" w:hAnsi="Calibri"/>
          <w:sz w:val="17"/>
        </w:rPr>
        <w:sectPr>
          <w:pgSz w:w="9640" w:h="13890"/>
          <w:pgMar w:top="0" w:bottom="280" w:left="1300" w:right="1200"/>
        </w:sectPr>
      </w:pPr>
    </w:p>
    <w:p>
      <w:pPr>
        <w:pStyle w:val="BodyText"/>
        <w:spacing w:line="247" w:lineRule="auto" w:before="107"/>
        <w:ind w:left="103" w:right="115"/>
        <w:jc w:val="both"/>
      </w:pPr>
      <w:r>
        <w:rPr>
          <w:color w:val="231F20"/>
        </w:rPr>
        <w:t>impacto de la geografía no puede no ser reconducido y limitado</w:t>
      </w:r>
      <w:r>
        <w:rPr>
          <w:color w:val="231F20"/>
          <w:spacing w:val="-22"/>
        </w:rPr>
        <w:t> </w:t>
      </w:r>
      <w:r>
        <w:rPr>
          <w:color w:val="231F20"/>
        </w:rPr>
        <w:t>meramen- te a las diferentes manifestaciones nacionales que el concepto de Estado ha</w:t>
      </w:r>
      <w:r>
        <w:rPr>
          <w:color w:val="231F20"/>
          <w:spacing w:val="-8"/>
        </w:rPr>
        <w:t> </w:t>
      </w:r>
      <w:r>
        <w:rPr>
          <w:color w:val="231F20"/>
        </w:rPr>
        <w:t>tenido.</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trata</w:t>
      </w:r>
      <w:r>
        <w:rPr>
          <w:color w:val="231F20"/>
          <w:spacing w:val="-8"/>
        </w:rPr>
        <w:t> </w:t>
      </w:r>
      <w:r>
        <w:rPr>
          <w:color w:val="231F20"/>
        </w:rPr>
        <w:t>de</w:t>
      </w:r>
      <w:r>
        <w:rPr>
          <w:color w:val="231F20"/>
          <w:spacing w:val="-8"/>
        </w:rPr>
        <w:t> </w:t>
      </w:r>
      <w:r>
        <w:rPr>
          <w:color w:val="231F20"/>
          <w:spacing w:val="-3"/>
        </w:rPr>
        <w:t>comparar,</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último</w:t>
      </w:r>
      <w:r>
        <w:rPr>
          <w:color w:val="231F20"/>
          <w:spacing w:val="-8"/>
        </w:rPr>
        <w:t> </w:t>
      </w:r>
      <w:r>
        <w:rPr>
          <w:color w:val="231F20"/>
        </w:rPr>
        <w:t>análisis,</w:t>
      </w:r>
      <w:r>
        <w:rPr>
          <w:color w:val="231F20"/>
          <w:spacing w:val="-8"/>
        </w:rPr>
        <w:t> </w:t>
      </w:r>
      <w:r>
        <w:rPr>
          <w:color w:val="231F20"/>
        </w:rPr>
        <w:t>una</w:t>
      </w:r>
      <w:r>
        <w:rPr>
          <w:color w:val="231F20"/>
          <w:spacing w:val="-8"/>
        </w:rPr>
        <w:t> </w:t>
      </w:r>
      <w:r>
        <w:rPr>
          <w:color w:val="231F20"/>
        </w:rPr>
        <w:t>pluralidad</w:t>
      </w:r>
      <w:r>
        <w:rPr>
          <w:color w:val="231F20"/>
          <w:spacing w:val="-8"/>
        </w:rPr>
        <w:t> </w:t>
      </w:r>
      <w:r>
        <w:rPr>
          <w:color w:val="231F20"/>
        </w:rPr>
        <w:t>de formas</w:t>
      </w:r>
      <w:r>
        <w:rPr>
          <w:color w:val="231F20"/>
          <w:spacing w:val="-13"/>
        </w:rPr>
        <w:t> </w:t>
      </w:r>
      <w:r>
        <w:rPr>
          <w:color w:val="231F20"/>
        </w:rPr>
        <w:t>concretas</w:t>
      </w:r>
      <w:r>
        <w:rPr>
          <w:color w:val="231F20"/>
          <w:spacing w:val="-13"/>
        </w:rPr>
        <w:t> </w:t>
      </w:r>
      <w:r>
        <w:rPr>
          <w:color w:val="231F20"/>
        </w:rPr>
        <w:t>asumidas</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rPr>
        <w:t>Estado</w:t>
      </w:r>
      <w:r>
        <w:rPr>
          <w:color w:val="231F20"/>
          <w:spacing w:val="-13"/>
        </w:rPr>
        <w:t> </w:t>
      </w:r>
      <w:r>
        <w:rPr>
          <w:color w:val="231F20"/>
        </w:rPr>
        <w:t>con</w:t>
      </w:r>
      <w:r>
        <w:rPr>
          <w:color w:val="231F20"/>
          <w:spacing w:val="-13"/>
        </w:rPr>
        <w:t> </w:t>
      </w:r>
      <w:r>
        <w:rPr>
          <w:color w:val="231F20"/>
        </w:rPr>
        <w:t>el</w:t>
      </w:r>
      <w:r>
        <w:rPr>
          <w:color w:val="231F20"/>
          <w:spacing w:val="-13"/>
        </w:rPr>
        <w:t> </w:t>
      </w:r>
      <w:r>
        <w:rPr>
          <w:color w:val="231F20"/>
        </w:rPr>
        <w:t>fin</w:t>
      </w:r>
      <w:r>
        <w:rPr>
          <w:color w:val="231F20"/>
          <w:spacing w:val="-13"/>
        </w:rPr>
        <w:t> </w:t>
      </w:r>
      <w:r>
        <w:rPr>
          <w:color w:val="231F20"/>
        </w:rPr>
        <w:t>de</w:t>
      </w:r>
      <w:r>
        <w:rPr>
          <w:color w:val="231F20"/>
          <w:spacing w:val="-13"/>
        </w:rPr>
        <w:t> </w:t>
      </w:r>
      <w:r>
        <w:rPr>
          <w:color w:val="231F20"/>
          <w:spacing w:val="-3"/>
        </w:rPr>
        <w:t>reafirmar,</w:t>
      </w:r>
      <w:r>
        <w:rPr>
          <w:color w:val="231F20"/>
          <w:spacing w:val="-13"/>
        </w:rPr>
        <w:t> </w:t>
      </w:r>
      <w:r>
        <w:rPr>
          <w:color w:val="231F20"/>
        </w:rPr>
        <w:t>gracias</w:t>
      </w:r>
      <w:r>
        <w:rPr>
          <w:color w:val="231F20"/>
          <w:spacing w:val="-13"/>
        </w:rPr>
        <w:t> </w:t>
      </w:r>
      <w:r>
        <w:rPr>
          <w:color w:val="231F20"/>
        </w:rPr>
        <w:t>a</w:t>
      </w:r>
      <w:r>
        <w:rPr>
          <w:color w:val="231F20"/>
          <w:spacing w:val="-13"/>
        </w:rPr>
        <w:t> </w:t>
      </w:r>
      <w:r>
        <w:rPr>
          <w:color w:val="231F20"/>
        </w:rPr>
        <w:t>la teoría de la ficción, el papel central del Estado y del discurso político que se ha desarrollado en torno a ese</w:t>
      </w:r>
      <w:r>
        <w:rPr>
          <w:color w:val="231F20"/>
          <w:spacing w:val="-27"/>
        </w:rPr>
        <w:t> </w:t>
      </w:r>
      <w:r>
        <w:rPr>
          <w:color w:val="231F20"/>
        </w:rPr>
        <w:t>rol.</w:t>
      </w:r>
    </w:p>
    <w:p>
      <w:pPr>
        <w:pStyle w:val="BodyText"/>
        <w:spacing w:before="10"/>
        <w:rPr>
          <w:sz w:val="22"/>
        </w:rPr>
      </w:pPr>
    </w:p>
    <w:p>
      <w:pPr>
        <w:spacing w:line="220" w:lineRule="exact" w:before="1"/>
        <w:ind w:left="1521" w:right="115" w:firstLine="0"/>
        <w:jc w:val="both"/>
        <w:rPr>
          <w:sz w:val="19"/>
        </w:rPr>
      </w:pPr>
      <w:r>
        <w:rPr>
          <w:color w:val="231F20"/>
          <w:w w:val="105"/>
          <w:sz w:val="19"/>
        </w:rPr>
        <w:t>En</w:t>
      </w:r>
      <w:r>
        <w:rPr>
          <w:color w:val="231F20"/>
          <w:spacing w:val="-12"/>
          <w:w w:val="105"/>
          <w:sz w:val="19"/>
        </w:rPr>
        <w:t> </w:t>
      </w:r>
      <w:r>
        <w:rPr>
          <w:color w:val="231F20"/>
          <w:w w:val="105"/>
          <w:sz w:val="19"/>
        </w:rPr>
        <w:t>cuanto</w:t>
      </w:r>
      <w:r>
        <w:rPr>
          <w:color w:val="231F20"/>
          <w:spacing w:val="-12"/>
          <w:w w:val="105"/>
          <w:sz w:val="19"/>
        </w:rPr>
        <w:t> </w:t>
      </w:r>
      <w:r>
        <w:rPr>
          <w:rFonts w:ascii="Arial" w:hAnsi="Arial"/>
          <w:i/>
          <w:color w:val="231F20"/>
          <w:w w:val="105"/>
          <w:sz w:val="19"/>
        </w:rPr>
        <w:t>persona</w:t>
      </w:r>
      <w:r>
        <w:rPr>
          <w:rFonts w:ascii="Arial" w:hAnsi="Arial"/>
          <w:i/>
          <w:color w:val="231F20"/>
          <w:spacing w:val="-5"/>
          <w:w w:val="105"/>
          <w:sz w:val="19"/>
        </w:rPr>
        <w:t> </w:t>
      </w:r>
      <w:r>
        <w:rPr>
          <w:rFonts w:ascii="Arial" w:hAnsi="Arial"/>
          <w:i/>
          <w:color w:val="231F20"/>
          <w:w w:val="105"/>
          <w:sz w:val="19"/>
        </w:rPr>
        <w:t>ficta</w:t>
      </w:r>
      <w:r>
        <w:rPr>
          <w:rFonts w:ascii="Arial" w:hAnsi="Arial"/>
          <w:i/>
          <w:color w:val="231F20"/>
          <w:spacing w:val="-5"/>
          <w:w w:val="105"/>
          <w:sz w:val="19"/>
        </w:rPr>
        <w:t> </w:t>
      </w:r>
      <w:r>
        <w:rPr>
          <w:color w:val="231F20"/>
          <w:w w:val="105"/>
          <w:sz w:val="19"/>
        </w:rPr>
        <w:t>el</w:t>
      </w:r>
      <w:r>
        <w:rPr>
          <w:color w:val="231F20"/>
          <w:spacing w:val="-12"/>
          <w:w w:val="105"/>
          <w:sz w:val="19"/>
        </w:rPr>
        <w:t> </w:t>
      </w:r>
      <w:r>
        <w:rPr>
          <w:color w:val="231F20"/>
          <w:w w:val="105"/>
          <w:sz w:val="19"/>
        </w:rPr>
        <w:t>Estado</w:t>
      </w:r>
      <w:r>
        <w:rPr>
          <w:color w:val="231F20"/>
          <w:spacing w:val="-12"/>
          <w:w w:val="105"/>
          <w:sz w:val="19"/>
        </w:rPr>
        <w:t> </w:t>
      </w:r>
      <w:r>
        <w:rPr>
          <w:color w:val="231F20"/>
          <w:w w:val="105"/>
          <w:sz w:val="19"/>
        </w:rPr>
        <w:t>es</w:t>
      </w:r>
      <w:r>
        <w:rPr>
          <w:color w:val="231F20"/>
          <w:spacing w:val="-12"/>
          <w:w w:val="105"/>
          <w:sz w:val="19"/>
        </w:rPr>
        <w:t> </w:t>
      </w:r>
      <w:r>
        <w:rPr>
          <w:color w:val="231F20"/>
          <w:w w:val="105"/>
          <w:sz w:val="19"/>
        </w:rPr>
        <w:t>capaz</w:t>
      </w:r>
      <w:r>
        <w:rPr>
          <w:color w:val="231F20"/>
          <w:spacing w:val="-12"/>
          <w:w w:val="105"/>
          <w:sz w:val="19"/>
        </w:rPr>
        <w:t> </w:t>
      </w:r>
      <w:r>
        <w:rPr>
          <w:color w:val="231F20"/>
          <w:w w:val="105"/>
          <w:sz w:val="19"/>
        </w:rPr>
        <w:t>de</w:t>
      </w:r>
      <w:r>
        <w:rPr>
          <w:color w:val="231F20"/>
          <w:spacing w:val="-12"/>
          <w:w w:val="105"/>
          <w:sz w:val="19"/>
        </w:rPr>
        <w:t> </w:t>
      </w:r>
      <w:r>
        <w:rPr>
          <w:color w:val="231F20"/>
          <w:w w:val="105"/>
          <w:sz w:val="19"/>
        </w:rPr>
        <w:t>asumir</w:t>
      </w:r>
      <w:r>
        <w:rPr>
          <w:color w:val="231F20"/>
          <w:spacing w:val="-12"/>
          <w:w w:val="105"/>
          <w:sz w:val="19"/>
        </w:rPr>
        <w:t> </w:t>
      </w:r>
      <w:r>
        <w:rPr>
          <w:color w:val="231F20"/>
          <w:w w:val="105"/>
          <w:sz w:val="19"/>
        </w:rPr>
        <w:t>obligacio- nes que ningún gobierno y ninguna generación de ciudadanos puede</w:t>
      </w:r>
      <w:r>
        <w:rPr>
          <w:color w:val="231F20"/>
          <w:spacing w:val="-23"/>
          <w:w w:val="105"/>
          <w:sz w:val="19"/>
        </w:rPr>
        <w:t> </w:t>
      </w:r>
      <w:r>
        <w:rPr>
          <w:color w:val="231F20"/>
          <w:w w:val="105"/>
          <w:sz w:val="19"/>
        </w:rPr>
        <w:t>siquiera</w:t>
      </w:r>
      <w:r>
        <w:rPr>
          <w:color w:val="231F20"/>
          <w:spacing w:val="-23"/>
          <w:w w:val="105"/>
          <w:sz w:val="19"/>
        </w:rPr>
        <w:t> </w:t>
      </w:r>
      <w:r>
        <w:rPr>
          <w:color w:val="231F20"/>
          <w:w w:val="105"/>
          <w:sz w:val="19"/>
        </w:rPr>
        <w:t>esperar</w:t>
      </w:r>
      <w:r>
        <w:rPr>
          <w:color w:val="231F20"/>
          <w:spacing w:val="-23"/>
          <w:w w:val="105"/>
          <w:sz w:val="19"/>
        </w:rPr>
        <w:t> </w:t>
      </w:r>
      <w:r>
        <w:rPr>
          <w:color w:val="231F20"/>
          <w:spacing w:val="-3"/>
          <w:w w:val="105"/>
          <w:sz w:val="19"/>
        </w:rPr>
        <w:t>cumplir.</w:t>
      </w:r>
      <w:r>
        <w:rPr>
          <w:color w:val="231F20"/>
          <w:spacing w:val="-23"/>
          <w:w w:val="105"/>
          <w:sz w:val="19"/>
        </w:rPr>
        <w:t> </w:t>
      </w:r>
      <w:r>
        <w:rPr>
          <w:color w:val="231F20"/>
          <w:w w:val="105"/>
          <w:sz w:val="19"/>
        </w:rPr>
        <w:t>Llegaría</w:t>
      </w:r>
      <w:r>
        <w:rPr>
          <w:color w:val="231F20"/>
          <w:spacing w:val="-23"/>
          <w:w w:val="105"/>
          <w:sz w:val="19"/>
        </w:rPr>
        <w:t> </w:t>
      </w:r>
      <w:r>
        <w:rPr>
          <w:color w:val="231F20"/>
          <w:w w:val="105"/>
          <w:sz w:val="19"/>
        </w:rPr>
        <w:t>al</w:t>
      </w:r>
      <w:r>
        <w:rPr>
          <w:color w:val="231F20"/>
          <w:spacing w:val="-23"/>
          <w:w w:val="105"/>
          <w:sz w:val="19"/>
        </w:rPr>
        <w:t> </w:t>
      </w:r>
      <w:r>
        <w:rPr>
          <w:color w:val="231F20"/>
          <w:w w:val="105"/>
          <w:sz w:val="19"/>
        </w:rPr>
        <w:t>punto</w:t>
      </w:r>
      <w:r>
        <w:rPr>
          <w:color w:val="231F20"/>
          <w:spacing w:val="-23"/>
          <w:w w:val="105"/>
          <w:sz w:val="19"/>
        </w:rPr>
        <w:t> </w:t>
      </w:r>
      <w:r>
        <w:rPr>
          <w:color w:val="231F20"/>
          <w:w w:val="105"/>
          <w:sz w:val="19"/>
        </w:rPr>
        <w:t>de</w:t>
      </w:r>
      <w:r>
        <w:rPr>
          <w:color w:val="231F20"/>
          <w:spacing w:val="-23"/>
          <w:w w:val="105"/>
          <w:sz w:val="19"/>
        </w:rPr>
        <w:t> </w:t>
      </w:r>
      <w:r>
        <w:rPr>
          <w:color w:val="231F20"/>
          <w:w w:val="105"/>
          <w:sz w:val="19"/>
        </w:rPr>
        <w:t>afirmar</w:t>
      </w:r>
      <w:r>
        <w:rPr>
          <w:color w:val="231F20"/>
          <w:spacing w:val="-23"/>
          <w:w w:val="105"/>
          <w:sz w:val="19"/>
        </w:rPr>
        <w:t> </w:t>
      </w:r>
      <w:r>
        <w:rPr>
          <w:color w:val="231F20"/>
          <w:w w:val="105"/>
          <w:sz w:val="19"/>
        </w:rPr>
        <w:t>que, en</w:t>
      </w:r>
      <w:r>
        <w:rPr>
          <w:color w:val="231F20"/>
          <w:spacing w:val="-19"/>
          <w:w w:val="105"/>
          <w:sz w:val="19"/>
        </w:rPr>
        <w:t> </w:t>
      </w:r>
      <w:r>
        <w:rPr>
          <w:color w:val="231F20"/>
          <w:w w:val="105"/>
          <w:sz w:val="19"/>
        </w:rPr>
        <w:t>la</w:t>
      </w:r>
      <w:r>
        <w:rPr>
          <w:color w:val="231F20"/>
          <w:spacing w:val="-19"/>
          <w:w w:val="105"/>
          <w:sz w:val="19"/>
        </w:rPr>
        <w:t> </w:t>
      </w:r>
      <w:r>
        <w:rPr>
          <w:color w:val="231F20"/>
          <w:w w:val="105"/>
          <w:sz w:val="19"/>
        </w:rPr>
        <w:t>condición</w:t>
      </w:r>
      <w:r>
        <w:rPr>
          <w:color w:val="231F20"/>
          <w:spacing w:val="-19"/>
          <w:w w:val="105"/>
          <w:sz w:val="19"/>
        </w:rPr>
        <w:t> </w:t>
      </w:r>
      <w:r>
        <w:rPr>
          <w:color w:val="231F20"/>
          <w:w w:val="105"/>
          <w:sz w:val="19"/>
        </w:rPr>
        <w:t>presente</w:t>
      </w:r>
      <w:r>
        <w:rPr>
          <w:color w:val="231F20"/>
          <w:spacing w:val="-19"/>
          <w:w w:val="105"/>
          <w:sz w:val="19"/>
        </w:rPr>
        <w:t> </w:t>
      </w:r>
      <w:r>
        <w:rPr>
          <w:color w:val="231F20"/>
          <w:w w:val="105"/>
          <w:sz w:val="19"/>
        </w:rPr>
        <w:t>del</w:t>
      </w:r>
      <w:r>
        <w:rPr>
          <w:color w:val="231F20"/>
          <w:spacing w:val="-19"/>
          <w:w w:val="105"/>
          <w:sz w:val="19"/>
        </w:rPr>
        <w:t> </w:t>
      </w:r>
      <w:r>
        <w:rPr>
          <w:color w:val="231F20"/>
          <w:w w:val="105"/>
          <w:sz w:val="19"/>
        </w:rPr>
        <w:t>Derecho</w:t>
      </w:r>
      <w:r>
        <w:rPr>
          <w:color w:val="231F20"/>
          <w:spacing w:val="-19"/>
          <w:w w:val="105"/>
          <w:sz w:val="19"/>
        </w:rPr>
        <w:t> </w:t>
      </w:r>
      <w:r>
        <w:rPr>
          <w:color w:val="231F20"/>
          <w:w w:val="105"/>
          <w:sz w:val="19"/>
        </w:rPr>
        <w:t>contractual</w:t>
      </w:r>
      <w:r>
        <w:rPr>
          <w:color w:val="231F20"/>
          <w:spacing w:val="-19"/>
          <w:w w:val="105"/>
          <w:sz w:val="19"/>
        </w:rPr>
        <w:t> </w:t>
      </w:r>
      <w:r>
        <w:rPr>
          <w:color w:val="231F20"/>
          <w:w w:val="105"/>
          <w:sz w:val="19"/>
        </w:rPr>
        <w:t>[</w:t>
      </w:r>
      <w:r>
        <w:rPr>
          <w:rFonts w:ascii="Arial" w:hAnsi="Arial"/>
          <w:i/>
          <w:color w:val="231F20"/>
          <w:w w:val="105"/>
          <w:sz w:val="19"/>
        </w:rPr>
        <w:t>contract</w:t>
      </w:r>
      <w:r>
        <w:rPr>
          <w:rFonts w:ascii="Arial" w:hAnsi="Arial"/>
          <w:i/>
          <w:color w:val="231F20"/>
          <w:spacing w:val="-11"/>
          <w:w w:val="105"/>
          <w:sz w:val="19"/>
        </w:rPr>
        <w:t> </w:t>
      </w:r>
      <w:r>
        <w:rPr>
          <w:rFonts w:ascii="Arial" w:hAnsi="Arial"/>
          <w:i/>
          <w:color w:val="231F20"/>
          <w:w w:val="105"/>
          <w:sz w:val="19"/>
        </w:rPr>
        <w:t>law</w:t>
      </w:r>
      <w:r>
        <w:rPr>
          <w:color w:val="231F20"/>
          <w:w w:val="105"/>
          <w:sz w:val="19"/>
        </w:rPr>
        <w:t>], no</w:t>
      </w:r>
      <w:r>
        <w:rPr>
          <w:color w:val="231F20"/>
          <w:spacing w:val="-7"/>
          <w:w w:val="105"/>
          <w:sz w:val="19"/>
        </w:rPr>
        <w:t> </w:t>
      </w:r>
      <w:r>
        <w:rPr>
          <w:color w:val="231F20"/>
          <w:w w:val="105"/>
          <w:sz w:val="19"/>
        </w:rPr>
        <w:t>hay</w:t>
      </w:r>
      <w:r>
        <w:rPr>
          <w:color w:val="231F20"/>
          <w:spacing w:val="-7"/>
          <w:w w:val="105"/>
          <w:sz w:val="19"/>
        </w:rPr>
        <w:t> </w:t>
      </w:r>
      <w:r>
        <w:rPr>
          <w:color w:val="231F20"/>
          <w:w w:val="105"/>
          <w:sz w:val="19"/>
        </w:rPr>
        <w:t>ningún</w:t>
      </w:r>
      <w:r>
        <w:rPr>
          <w:color w:val="231F20"/>
          <w:spacing w:val="-7"/>
          <w:w w:val="105"/>
          <w:sz w:val="19"/>
        </w:rPr>
        <w:t> </w:t>
      </w:r>
      <w:r>
        <w:rPr>
          <w:color w:val="231F20"/>
          <w:w w:val="105"/>
          <w:sz w:val="19"/>
        </w:rPr>
        <w:t>otro</w:t>
      </w:r>
      <w:r>
        <w:rPr>
          <w:color w:val="231F20"/>
          <w:spacing w:val="-7"/>
          <w:w w:val="105"/>
          <w:sz w:val="19"/>
        </w:rPr>
        <w:t> </w:t>
      </w:r>
      <w:r>
        <w:rPr>
          <w:color w:val="231F20"/>
          <w:w w:val="105"/>
          <w:sz w:val="19"/>
        </w:rPr>
        <w:t>modo</w:t>
      </w:r>
      <w:r>
        <w:rPr>
          <w:color w:val="231F20"/>
          <w:spacing w:val="-7"/>
          <w:w w:val="105"/>
          <w:sz w:val="19"/>
        </w:rPr>
        <w:t> </w:t>
      </w:r>
      <w:r>
        <w:rPr>
          <w:color w:val="231F20"/>
          <w:w w:val="105"/>
          <w:sz w:val="19"/>
        </w:rPr>
        <w:t>de</w:t>
      </w:r>
      <w:r>
        <w:rPr>
          <w:color w:val="231F20"/>
          <w:spacing w:val="-7"/>
          <w:w w:val="105"/>
          <w:sz w:val="19"/>
        </w:rPr>
        <w:t> </w:t>
      </w:r>
      <w:r>
        <w:rPr>
          <w:color w:val="231F20"/>
          <w:w w:val="105"/>
          <w:sz w:val="19"/>
        </w:rPr>
        <w:t>cumplir</w:t>
      </w:r>
      <w:r>
        <w:rPr>
          <w:color w:val="231F20"/>
          <w:spacing w:val="-7"/>
          <w:w w:val="105"/>
          <w:sz w:val="19"/>
        </w:rPr>
        <w:t> </w:t>
      </w:r>
      <w:r>
        <w:rPr>
          <w:color w:val="231F20"/>
          <w:w w:val="105"/>
          <w:sz w:val="19"/>
        </w:rPr>
        <w:t>tales</w:t>
      </w:r>
      <w:r>
        <w:rPr>
          <w:color w:val="231F20"/>
          <w:spacing w:val="-7"/>
          <w:w w:val="105"/>
          <w:sz w:val="19"/>
        </w:rPr>
        <w:t> </w:t>
      </w:r>
      <w:r>
        <w:rPr>
          <w:color w:val="231F20"/>
          <w:w w:val="105"/>
          <w:sz w:val="19"/>
        </w:rPr>
        <w:t>obligaciones</w:t>
      </w:r>
      <w:r>
        <w:rPr>
          <w:color w:val="231F20"/>
          <w:spacing w:val="-7"/>
          <w:w w:val="105"/>
          <w:sz w:val="19"/>
        </w:rPr>
        <w:t> </w:t>
      </w:r>
      <w:r>
        <w:rPr>
          <w:color w:val="231F20"/>
          <w:w w:val="105"/>
          <w:sz w:val="19"/>
        </w:rPr>
        <w:t>si</w:t>
      </w:r>
      <w:r>
        <w:rPr>
          <w:color w:val="231F20"/>
          <w:spacing w:val="-7"/>
          <w:w w:val="105"/>
          <w:sz w:val="19"/>
        </w:rPr>
        <w:t> </w:t>
      </w:r>
      <w:r>
        <w:rPr>
          <w:color w:val="231F20"/>
          <w:w w:val="105"/>
          <w:sz w:val="19"/>
        </w:rPr>
        <w:t>no</w:t>
      </w:r>
      <w:r>
        <w:rPr>
          <w:color w:val="231F20"/>
          <w:spacing w:val="-7"/>
          <w:w w:val="105"/>
          <w:sz w:val="19"/>
        </w:rPr>
        <w:t> </w:t>
      </w:r>
      <w:r>
        <w:rPr>
          <w:color w:val="231F20"/>
          <w:w w:val="105"/>
          <w:sz w:val="19"/>
        </w:rPr>
        <w:t>es invocando</w:t>
      </w:r>
      <w:r>
        <w:rPr>
          <w:color w:val="231F20"/>
          <w:spacing w:val="-8"/>
          <w:w w:val="105"/>
          <w:sz w:val="19"/>
        </w:rPr>
        <w:t> </w:t>
      </w:r>
      <w:r>
        <w:rPr>
          <w:color w:val="231F20"/>
          <w:w w:val="105"/>
          <w:sz w:val="19"/>
        </w:rPr>
        <w:t>la</w:t>
      </w:r>
      <w:r>
        <w:rPr>
          <w:color w:val="231F20"/>
          <w:spacing w:val="-8"/>
          <w:w w:val="105"/>
          <w:sz w:val="19"/>
        </w:rPr>
        <w:t> </w:t>
      </w:r>
      <w:r>
        <w:rPr>
          <w:color w:val="231F20"/>
          <w:w w:val="105"/>
          <w:sz w:val="19"/>
        </w:rPr>
        <w:t>idea</w:t>
      </w:r>
      <w:r>
        <w:rPr>
          <w:color w:val="231F20"/>
          <w:spacing w:val="-8"/>
          <w:w w:val="105"/>
          <w:sz w:val="19"/>
        </w:rPr>
        <w:t> </w:t>
      </w:r>
      <w:r>
        <w:rPr>
          <w:color w:val="231F20"/>
          <w:w w:val="105"/>
          <w:sz w:val="19"/>
        </w:rPr>
        <w:t>del</w:t>
      </w:r>
      <w:r>
        <w:rPr>
          <w:color w:val="231F20"/>
          <w:spacing w:val="-8"/>
          <w:w w:val="105"/>
          <w:sz w:val="19"/>
        </w:rPr>
        <w:t> </w:t>
      </w:r>
      <w:r>
        <w:rPr>
          <w:color w:val="231F20"/>
          <w:w w:val="105"/>
          <w:sz w:val="19"/>
        </w:rPr>
        <w:t>Estado</w:t>
      </w:r>
      <w:r>
        <w:rPr>
          <w:color w:val="231F20"/>
          <w:spacing w:val="-8"/>
          <w:w w:val="105"/>
          <w:sz w:val="19"/>
        </w:rPr>
        <w:t> </w:t>
      </w:r>
      <w:r>
        <w:rPr>
          <w:color w:val="231F20"/>
          <w:w w:val="105"/>
          <w:sz w:val="19"/>
        </w:rPr>
        <w:t>como</w:t>
      </w:r>
      <w:r>
        <w:rPr>
          <w:color w:val="231F20"/>
          <w:spacing w:val="-8"/>
          <w:w w:val="105"/>
          <w:sz w:val="19"/>
        </w:rPr>
        <w:t> </w:t>
      </w:r>
      <w:r>
        <w:rPr>
          <w:color w:val="231F20"/>
          <w:w w:val="105"/>
          <w:sz w:val="19"/>
        </w:rPr>
        <w:t>persona</w:t>
      </w:r>
      <w:r>
        <w:rPr>
          <w:color w:val="231F20"/>
          <w:spacing w:val="-8"/>
          <w:w w:val="105"/>
          <w:sz w:val="19"/>
        </w:rPr>
        <w:t> </w:t>
      </w:r>
      <w:r>
        <w:rPr>
          <w:color w:val="231F20"/>
          <w:w w:val="105"/>
          <w:sz w:val="19"/>
        </w:rPr>
        <w:t>en</w:t>
      </w:r>
      <w:r>
        <w:rPr>
          <w:color w:val="231F20"/>
          <w:spacing w:val="-8"/>
          <w:w w:val="105"/>
          <w:sz w:val="19"/>
        </w:rPr>
        <w:t> </w:t>
      </w:r>
      <w:r>
        <w:rPr>
          <w:color w:val="231F20"/>
          <w:w w:val="105"/>
          <w:sz w:val="19"/>
        </w:rPr>
        <w:t>posesión,</w:t>
      </w:r>
      <w:r>
        <w:rPr>
          <w:color w:val="231F20"/>
          <w:spacing w:val="-8"/>
          <w:w w:val="105"/>
          <w:sz w:val="19"/>
        </w:rPr>
        <w:t> </w:t>
      </w:r>
      <w:r>
        <w:rPr>
          <w:color w:val="231F20"/>
          <w:w w:val="105"/>
          <w:sz w:val="19"/>
        </w:rPr>
        <w:t>según la expresión de Hobbes, de una eterna vida artificial.</w:t>
      </w:r>
      <w:r>
        <w:rPr>
          <w:color w:val="231F20"/>
          <w:spacing w:val="-27"/>
          <w:w w:val="105"/>
          <w:sz w:val="19"/>
        </w:rPr>
        <w:t> </w:t>
      </w:r>
      <w:r>
        <w:rPr>
          <w:color w:val="231F20"/>
          <w:w w:val="105"/>
          <w:sz w:val="19"/>
        </w:rPr>
        <w:t>Debemos reconocer</w:t>
      </w:r>
      <w:r>
        <w:rPr>
          <w:color w:val="231F20"/>
          <w:spacing w:val="-9"/>
          <w:w w:val="105"/>
          <w:sz w:val="19"/>
        </w:rPr>
        <w:t> </w:t>
      </w:r>
      <w:r>
        <w:rPr>
          <w:color w:val="231F20"/>
          <w:w w:val="105"/>
          <w:sz w:val="19"/>
        </w:rPr>
        <w:t>que</w:t>
      </w:r>
      <w:r>
        <w:rPr>
          <w:color w:val="231F20"/>
          <w:spacing w:val="-9"/>
          <w:w w:val="105"/>
          <w:sz w:val="19"/>
        </w:rPr>
        <w:t> </w:t>
      </w:r>
      <w:r>
        <w:rPr>
          <w:color w:val="231F20"/>
          <w:w w:val="105"/>
          <w:sz w:val="19"/>
        </w:rPr>
        <w:t>hay</w:t>
      </w:r>
      <w:r>
        <w:rPr>
          <w:color w:val="231F20"/>
          <w:spacing w:val="-9"/>
          <w:w w:val="105"/>
          <w:sz w:val="19"/>
        </w:rPr>
        <w:t> </w:t>
      </w:r>
      <w:r>
        <w:rPr>
          <w:color w:val="231F20"/>
          <w:w w:val="105"/>
          <w:sz w:val="19"/>
        </w:rPr>
        <w:t>una</w:t>
      </w:r>
      <w:r>
        <w:rPr>
          <w:color w:val="231F20"/>
          <w:spacing w:val="-9"/>
          <w:w w:val="105"/>
          <w:sz w:val="19"/>
        </w:rPr>
        <w:t> </w:t>
      </w:r>
      <w:r>
        <w:rPr>
          <w:color w:val="231F20"/>
          <w:w w:val="105"/>
          <w:sz w:val="19"/>
        </w:rPr>
        <w:t>razón</w:t>
      </w:r>
      <w:r>
        <w:rPr>
          <w:color w:val="231F20"/>
          <w:spacing w:val="-9"/>
          <w:w w:val="105"/>
          <w:sz w:val="19"/>
        </w:rPr>
        <w:t> </w:t>
      </w:r>
      <w:r>
        <w:rPr>
          <w:color w:val="231F20"/>
          <w:w w:val="105"/>
          <w:sz w:val="19"/>
        </w:rPr>
        <w:t>por</w:t>
      </w:r>
      <w:r>
        <w:rPr>
          <w:color w:val="231F20"/>
          <w:spacing w:val="-9"/>
          <w:w w:val="105"/>
          <w:sz w:val="19"/>
        </w:rPr>
        <w:t> </w:t>
      </w:r>
      <w:r>
        <w:rPr>
          <w:color w:val="231F20"/>
          <w:w w:val="105"/>
          <w:sz w:val="19"/>
        </w:rPr>
        <w:t>la</w:t>
      </w:r>
      <w:r>
        <w:rPr>
          <w:color w:val="231F20"/>
          <w:spacing w:val="-9"/>
          <w:w w:val="105"/>
          <w:sz w:val="19"/>
        </w:rPr>
        <w:t> </w:t>
      </w:r>
      <w:r>
        <w:rPr>
          <w:color w:val="231F20"/>
          <w:w w:val="105"/>
          <w:sz w:val="19"/>
        </w:rPr>
        <w:t>cual</w:t>
      </w:r>
      <w:r>
        <w:rPr>
          <w:color w:val="231F20"/>
          <w:spacing w:val="-9"/>
          <w:w w:val="105"/>
          <w:sz w:val="19"/>
        </w:rPr>
        <w:t> </w:t>
      </w:r>
      <w:r>
        <w:rPr>
          <w:color w:val="231F20"/>
          <w:w w:val="105"/>
          <w:sz w:val="19"/>
        </w:rPr>
        <w:t>probablemente</w:t>
      </w:r>
      <w:r>
        <w:rPr>
          <w:color w:val="231F20"/>
          <w:spacing w:val="-9"/>
          <w:w w:val="105"/>
          <w:sz w:val="19"/>
        </w:rPr>
        <w:t> </w:t>
      </w:r>
      <w:r>
        <w:rPr>
          <w:color w:val="231F20"/>
          <w:w w:val="105"/>
          <w:sz w:val="19"/>
        </w:rPr>
        <w:t>los</w:t>
      </w:r>
      <w:r>
        <w:rPr>
          <w:color w:val="231F20"/>
          <w:spacing w:val="-9"/>
          <w:w w:val="105"/>
          <w:sz w:val="19"/>
        </w:rPr>
        <w:t> </w:t>
      </w:r>
      <w:r>
        <w:rPr>
          <w:color w:val="231F20"/>
          <w:w w:val="105"/>
          <w:sz w:val="19"/>
        </w:rPr>
        <w:t>Es- tados</w:t>
      </w:r>
      <w:r>
        <w:rPr>
          <w:color w:val="231F20"/>
          <w:spacing w:val="-19"/>
          <w:w w:val="105"/>
          <w:sz w:val="19"/>
        </w:rPr>
        <w:t> </w:t>
      </w:r>
      <w:r>
        <w:rPr>
          <w:color w:val="231F20"/>
          <w:w w:val="105"/>
          <w:sz w:val="19"/>
        </w:rPr>
        <w:t>están</w:t>
      </w:r>
      <w:r>
        <w:rPr>
          <w:color w:val="231F20"/>
          <w:spacing w:val="-19"/>
          <w:w w:val="105"/>
          <w:sz w:val="19"/>
        </w:rPr>
        <w:t> </w:t>
      </w:r>
      <w:r>
        <w:rPr>
          <w:color w:val="231F20"/>
          <w:w w:val="105"/>
          <w:sz w:val="19"/>
        </w:rPr>
        <w:t>permaneciendo</w:t>
      </w:r>
      <w:r>
        <w:rPr>
          <w:color w:val="231F20"/>
          <w:spacing w:val="-19"/>
          <w:w w:val="105"/>
          <w:sz w:val="19"/>
        </w:rPr>
        <w:t> </w:t>
      </w:r>
      <w:r>
        <w:rPr>
          <w:color w:val="231F20"/>
          <w:w w:val="105"/>
          <w:sz w:val="19"/>
        </w:rPr>
        <w:t>como</w:t>
      </w:r>
      <w:r>
        <w:rPr>
          <w:color w:val="231F20"/>
          <w:spacing w:val="-19"/>
          <w:w w:val="105"/>
          <w:sz w:val="19"/>
        </w:rPr>
        <w:t> </w:t>
      </w:r>
      <w:r>
        <w:rPr>
          <w:color w:val="231F20"/>
          <w:w w:val="105"/>
          <w:sz w:val="19"/>
        </w:rPr>
        <w:t>actores</w:t>
      </w:r>
      <w:r>
        <w:rPr>
          <w:color w:val="231F20"/>
          <w:spacing w:val="-19"/>
          <w:w w:val="105"/>
          <w:sz w:val="19"/>
        </w:rPr>
        <w:t> </w:t>
      </w:r>
      <w:r>
        <w:rPr>
          <w:color w:val="231F20"/>
          <w:w w:val="105"/>
          <w:sz w:val="19"/>
        </w:rPr>
        <w:t>poderosos</w:t>
      </w:r>
      <w:r>
        <w:rPr>
          <w:color w:val="231F20"/>
          <w:spacing w:val="-19"/>
          <w:w w:val="105"/>
          <w:sz w:val="19"/>
        </w:rPr>
        <w:t> </w:t>
      </w:r>
      <w:r>
        <w:rPr>
          <w:color w:val="231F20"/>
          <w:w w:val="105"/>
          <w:sz w:val="19"/>
        </w:rPr>
        <w:t>del</w:t>
      </w:r>
      <w:r>
        <w:rPr>
          <w:color w:val="231F20"/>
          <w:spacing w:val="-19"/>
          <w:w w:val="105"/>
          <w:sz w:val="19"/>
        </w:rPr>
        <w:t> </w:t>
      </w:r>
      <w:r>
        <w:rPr>
          <w:color w:val="231F20"/>
          <w:w w:val="105"/>
          <w:sz w:val="19"/>
        </w:rPr>
        <w:t>mundo contemporáneo</w:t>
      </w:r>
      <w:r>
        <w:rPr>
          <w:color w:val="231F20"/>
          <w:spacing w:val="-36"/>
          <w:w w:val="105"/>
          <w:sz w:val="19"/>
        </w:rPr>
        <w:t> </w:t>
      </w:r>
      <w:r>
        <w:rPr>
          <w:color w:val="231F20"/>
          <w:w w:val="105"/>
          <w:sz w:val="19"/>
        </w:rPr>
        <w:t>y</w:t>
      </w:r>
      <w:r>
        <w:rPr>
          <w:color w:val="231F20"/>
          <w:spacing w:val="-36"/>
          <w:w w:val="105"/>
          <w:sz w:val="19"/>
        </w:rPr>
        <w:t> </w:t>
      </w:r>
      <w:r>
        <w:rPr>
          <w:color w:val="231F20"/>
          <w:w w:val="105"/>
          <w:sz w:val="19"/>
        </w:rPr>
        <w:t>sobreviven</w:t>
      </w:r>
      <w:r>
        <w:rPr>
          <w:color w:val="231F20"/>
          <w:spacing w:val="-36"/>
          <w:w w:val="105"/>
          <w:sz w:val="19"/>
        </w:rPr>
        <w:t> </w:t>
      </w:r>
      <w:r>
        <w:rPr>
          <w:color w:val="231F20"/>
          <w:w w:val="105"/>
          <w:sz w:val="19"/>
        </w:rPr>
        <w:t>a</w:t>
      </w:r>
      <w:r>
        <w:rPr>
          <w:color w:val="231F20"/>
          <w:spacing w:val="-36"/>
          <w:w w:val="105"/>
          <w:sz w:val="19"/>
        </w:rPr>
        <w:t> </w:t>
      </w:r>
      <w:r>
        <w:rPr>
          <w:color w:val="231F20"/>
          <w:w w:val="105"/>
          <w:sz w:val="19"/>
        </w:rPr>
        <w:t>todos</w:t>
      </w:r>
      <w:r>
        <w:rPr>
          <w:color w:val="231F20"/>
          <w:spacing w:val="-36"/>
          <w:w w:val="105"/>
          <w:sz w:val="19"/>
        </w:rPr>
        <w:t> </w:t>
      </w:r>
      <w:r>
        <w:rPr>
          <w:color w:val="231F20"/>
          <w:w w:val="105"/>
          <w:sz w:val="19"/>
        </w:rPr>
        <w:t>nosotros</w:t>
      </w:r>
      <w:r>
        <w:rPr>
          <w:color w:val="231F20"/>
          <w:w w:val="105"/>
          <w:position w:val="6"/>
          <w:sz w:val="11"/>
        </w:rPr>
        <w:t>19</w:t>
      </w:r>
      <w:r>
        <w:rPr>
          <w:color w:val="231F20"/>
          <w:w w:val="105"/>
          <w:sz w:val="19"/>
        </w:rPr>
        <w:t>.</w:t>
      </w:r>
    </w:p>
    <w:p>
      <w:pPr>
        <w:pStyle w:val="BodyText"/>
        <w:spacing w:before="11"/>
        <w:rPr>
          <w:sz w:val="23"/>
        </w:rPr>
      </w:pPr>
    </w:p>
    <w:p>
      <w:pPr>
        <w:pStyle w:val="BodyText"/>
        <w:spacing w:line="247" w:lineRule="auto"/>
        <w:ind w:left="103" w:right="115"/>
        <w:jc w:val="both"/>
      </w:pPr>
      <w:r>
        <w:rPr>
          <w:color w:val="231F20"/>
          <w:w w:val="105"/>
        </w:rPr>
        <w:t>La</w:t>
      </w:r>
      <w:r>
        <w:rPr>
          <w:color w:val="231F20"/>
          <w:spacing w:val="-21"/>
          <w:w w:val="105"/>
        </w:rPr>
        <w:t> </w:t>
      </w:r>
      <w:r>
        <w:rPr>
          <w:color w:val="231F20"/>
          <w:w w:val="105"/>
        </w:rPr>
        <w:t>nostalgia</w:t>
      </w:r>
      <w:r>
        <w:rPr>
          <w:color w:val="231F20"/>
          <w:spacing w:val="-21"/>
          <w:w w:val="105"/>
        </w:rPr>
        <w:t> </w:t>
      </w:r>
      <w:r>
        <w:rPr>
          <w:color w:val="231F20"/>
          <w:w w:val="105"/>
        </w:rPr>
        <w:t>por</w:t>
      </w:r>
      <w:r>
        <w:rPr>
          <w:color w:val="231F20"/>
          <w:spacing w:val="-21"/>
          <w:w w:val="105"/>
        </w:rPr>
        <w:t> </w:t>
      </w:r>
      <w:r>
        <w:rPr>
          <w:color w:val="231F20"/>
          <w:w w:val="105"/>
        </w:rPr>
        <w:t>la</w:t>
      </w:r>
      <w:r>
        <w:rPr>
          <w:color w:val="231F20"/>
          <w:spacing w:val="-21"/>
          <w:w w:val="105"/>
        </w:rPr>
        <w:t> </w:t>
      </w:r>
      <w:r>
        <w:rPr>
          <w:color w:val="231F20"/>
          <w:w w:val="105"/>
        </w:rPr>
        <w:t>capacidad</w:t>
      </w:r>
      <w:r>
        <w:rPr>
          <w:color w:val="231F20"/>
          <w:spacing w:val="-21"/>
          <w:w w:val="105"/>
        </w:rPr>
        <w:t> </w:t>
      </w:r>
      <w:r>
        <w:rPr>
          <w:color w:val="231F20"/>
          <w:w w:val="105"/>
        </w:rPr>
        <w:t>del</w:t>
      </w:r>
      <w:r>
        <w:rPr>
          <w:color w:val="231F20"/>
          <w:spacing w:val="-21"/>
          <w:w w:val="105"/>
        </w:rPr>
        <w:t> </w:t>
      </w:r>
      <w:r>
        <w:rPr>
          <w:color w:val="231F20"/>
          <w:w w:val="105"/>
        </w:rPr>
        <w:t>Estado</w:t>
      </w:r>
      <w:r>
        <w:rPr>
          <w:color w:val="231F20"/>
          <w:spacing w:val="-21"/>
          <w:w w:val="105"/>
        </w:rPr>
        <w:t> </w:t>
      </w:r>
      <w:r>
        <w:rPr>
          <w:color w:val="231F20"/>
          <w:w w:val="105"/>
        </w:rPr>
        <w:t>para</w:t>
      </w:r>
      <w:r>
        <w:rPr>
          <w:color w:val="231F20"/>
          <w:spacing w:val="-21"/>
          <w:w w:val="105"/>
        </w:rPr>
        <w:t> </w:t>
      </w:r>
      <w:r>
        <w:rPr>
          <w:color w:val="231F20"/>
          <w:w w:val="105"/>
        </w:rPr>
        <w:t>garantizar</w:t>
      </w:r>
      <w:r>
        <w:rPr>
          <w:color w:val="231F20"/>
          <w:spacing w:val="-21"/>
          <w:w w:val="105"/>
        </w:rPr>
        <w:t> </w:t>
      </w:r>
      <w:r>
        <w:rPr>
          <w:color w:val="231F20"/>
          <w:w w:val="105"/>
        </w:rPr>
        <w:t>con</w:t>
      </w:r>
      <w:r>
        <w:rPr>
          <w:color w:val="231F20"/>
          <w:spacing w:val="-21"/>
          <w:w w:val="105"/>
        </w:rPr>
        <w:t> </w:t>
      </w:r>
      <w:r>
        <w:rPr>
          <w:color w:val="231F20"/>
          <w:w w:val="105"/>
        </w:rPr>
        <w:t>su</w:t>
      </w:r>
      <w:r>
        <w:rPr>
          <w:color w:val="231F20"/>
          <w:spacing w:val="-21"/>
          <w:w w:val="105"/>
        </w:rPr>
        <w:t> </w:t>
      </w:r>
      <w:r>
        <w:rPr>
          <w:color w:val="231F20"/>
          <w:w w:val="105"/>
        </w:rPr>
        <w:t>autoridad los</w:t>
      </w:r>
      <w:r>
        <w:rPr>
          <w:color w:val="231F20"/>
          <w:spacing w:val="-29"/>
          <w:w w:val="105"/>
        </w:rPr>
        <w:t> </w:t>
      </w:r>
      <w:r>
        <w:rPr>
          <w:color w:val="231F20"/>
          <w:w w:val="105"/>
        </w:rPr>
        <w:t>contratos,</w:t>
      </w:r>
      <w:r>
        <w:rPr>
          <w:color w:val="231F20"/>
          <w:spacing w:val="-29"/>
          <w:w w:val="105"/>
        </w:rPr>
        <w:t> </w:t>
      </w:r>
      <w:r>
        <w:rPr>
          <w:color w:val="231F20"/>
          <w:w w:val="105"/>
        </w:rPr>
        <w:t>y</w:t>
      </w:r>
      <w:r>
        <w:rPr>
          <w:color w:val="231F20"/>
          <w:spacing w:val="-29"/>
          <w:w w:val="105"/>
        </w:rPr>
        <w:t> </w:t>
      </w:r>
      <w:r>
        <w:rPr>
          <w:color w:val="231F20"/>
          <w:w w:val="105"/>
        </w:rPr>
        <w:t>en</w:t>
      </w:r>
      <w:r>
        <w:rPr>
          <w:color w:val="231F20"/>
          <w:spacing w:val="-29"/>
          <w:w w:val="105"/>
        </w:rPr>
        <w:t> </w:t>
      </w:r>
      <w:r>
        <w:rPr>
          <w:color w:val="231F20"/>
          <w:w w:val="105"/>
        </w:rPr>
        <w:t>definitiva,</w:t>
      </w:r>
      <w:r>
        <w:rPr>
          <w:color w:val="231F20"/>
          <w:spacing w:val="-29"/>
          <w:w w:val="105"/>
        </w:rPr>
        <w:t> </w:t>
      </w:r>
      <w:r>
        <w:rPr>
          <w:color w:val="231F20"/>
          <w:w w:val="105"/>
        </w:rPr>
        <w:t>por</w:t>
      </w:r>
      <w:r>
        <w:rPr>
          <w:color w:val="231F20"/>
          <w:spacing w:val="-29"/>
          <w:w w:val="105"/>
        </w:rPr>
        <w:t> </w:t>
      </w:r>
      <w:r>
        <w:rPr>
          <w:color w:val="231F20"/>
          <w:w w:val="105"/>
        </w:rPr>
        <w:t>la</w:t>
      </w:r>
      <w:r>
        <w:rPr>
          <w:color w:val="231F20"/>
          <w:spacing w:val="-29"/>
          <w:w w:val="105"/>
        </w:rPr>
        <w:t> </w:t>
      </w:r>
      <w:r>
        <w:rPr>
          <w:color w:val="231F20"/>
          <w:w w:val="105"/>
        </w:rPr>
        <w:t>misma</w:t>
      </w:r>
      <w:r>
        <w:rPr>
          <w:color w:val="231F20"/>
          <w:spacing w:val="-29"/>
          <w:w w:val="105"/>
        </w:rPr>
        <w:t> </w:t>
      </w:r>
      <w:r>
        <w:rPr>
          <w:color w:val="231F20"/>
          <w:w w:val="105"/>
        </w:rPr>
        <w:t>capacidad</w:t>
      </w:r>
      <w:r>
        <w:rPr>
          <w:color w:val="231F20"/>
          <w:spacing w:val="-29"/>
          <w:w w:val="105"/>
        </w:rPr>
        <w:t> </w:t>
      </w:r>
      <w:r>
        <w:rPr>
          <w:color w:val="231F20"/>
          <w:w w:val="105"/>
        </w:rPr>
        <w:t>del</w:t>
      </w:r>
      <w:r>
        <w:rPr>
          <w:color w:val="231F20"/>
          <w:spacing w:val="-29"/>
          <w:w w:val="105"/>
        </w:rPr>
        <w:t> </w:t>
      </w:r>
      <w:r>
        <w:rPr>
          <w:color w:val="231F20"/>
          <w:w w:val="105"/>
        </w:rPr>
        <w:t>contrato</w:t>
      </w:r>
      <w:r>
        <w:rPr>
          <w:color w:val="231F20"/>
          <w:spacing w:val="-29"/>
          <w:w w:val="105"/>
        </w:rPr>
        <w:t> </w:t>
      </w:r>
      <w:r>
        <w:rPr>
          <w:color w:val="231F20"/>
          <w:w w:val="105"/>
        </w:rPr>
        <w:t>para</w:t>
      </w:r>
      <w:r>
        <w:rPr>
          <w:color w:val="231F20"/>
          <w:spacing w:val="-29"/>
          <w:w w:val="105"/>
        </w:rPr>
        <w:t> </w:t>
      </w:r>
      <w:r>
        <w:rPr>
          <w:color w:val="231F20"/>
          <w:w w:val="105"/>
        </w:rPr>
        <w:t>re- gular</w:t>
      </w:r>
      <w:r>
        <w:rPr>
          <w:color w:val="231F20"/>
          <w:spacing w:val="-29"/>
          <w:w w:val="105"/>
        </w:rPr>
        <w:t> </w:t>
      </w:r>
      <w:r>
        <w:rPr>
          <w:color w:val="231F20"/>
          <w:w w:val="105"/>
        </w:rPr>
        <w:t>las</w:t>
      </w:r>
      <w:r>
        <w:rPr>
          <w:color w:val="231F20"/>
          <w:spacing w:val="-29"/>
          <w:w w:val="105"/>
        </w:rPr>
        <w:t> </w:t>
      </w:r>
      <w:r>
        <w:rPr>
          <w:color w:val="231F20"/>
          <w:w w:val="105"/>
        </w:rPr>
        <w:t>relaciones</w:t>
      </w:r>
      <w:r>
        <w:rPr>
          <w:color w:val="231F20"/>
          <w:spacing w:val="-29"/>
          <w:w w:val="105"/>
        </w:rPr>
        <w:t> </w:t>
      </w:r>
      <w:r>
        <w:rPr>
          <w:color w:val="231F20"/>
          <w:w w:val="105"/>
        </w:rPr>
        <w:t>sociales</w:t>
      </w:r>
      <w:r>
        <w:rPr>
          <w:color w:val="231F20"/>
          <w:w w:val="105"/>
          <w:position w:val="7"/>
          <w:sz w:val="12"/>
        </w:rPr>
        <w:t>20</w:t>
      </w:r>
      <w:r>
        <w:rPr>
          <w:color w:val="231F20"/>
          <w:w w:val="105"/>
        </w:rPr>
        <w:t>,</w:t>
      </w:r>
      <w:r>
        <w:rPr>
          <w:color w:val="231F20"/>
          <w:spacing w:val="-29"/>
          <w:w w:val="105"/>
        </w:rPr>
        <w:t> </w:t>
      </w:r>
      <w:r>
        <w:rPr>
          <w:color w:val="231F20"/>
          <w:w w:val="105"/>
        </w:rPr>
        <w:t>es</w:t>
      </w:r>
      <w:r>
        <w:rPr>
          <w:color w:val="231F20"/>
          <w:spacing w:val="-29"/>
          <w:w w:val="105"/>
        </w:rPr>
        <w:t> </w:t>
      </w:r>
      <w:r>
        <w:rPr>
          <w:color w:val="231F20"/>
          <w:w w:val="105"/>
        </w:rPr>
        <w:t>la</w:t>
      </w:r>
      <w:r>
        <w:rPr>
          <w:color w:val="231F20"/>
          <w:spacing w:val="-29"/>
          <w:w w:val="105"/>
        </w:rPr>
        <w:t> </w:t>
      </w:r>
      <w:r>
        <w:rPr>
          <w:color w:val="231F20"/>
          <w:w w:val="105"/>
        </w:rPr>
        <w:t>señal</w:t>
      </w:r>
      <w:r>
        <w:rPr>
          <w:color w:val="231F20"/>
          <w:spacing w:val="-29"/>
          <w:w w:val="105"/>
        </w:rPr>
        <w:t> </w:t>
      </w:r>
      <w:r>
        <w:rPr>
          <w:color w:val="231F20"/>
          <w:w w:val="105"/>
        </w:rPr>
        <w:t>más</w:t>
      </w:r>
      <w:r>
        <w:rPr>
          <w:color w:val="231F20"/>
          <w:spacing w:val="-29"/>
          <w:w w:val="105"/>
        </w:rPr>
        <w:t> </w:t>
      </w:r>
      <w:r>
        <w:rPr>
          <w:color w:val="231F20"/>
          <w:w w:val="105"/>
        </w:rPr>
        <w:t>evidente</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dificultad</w:t>
      </w:r>
      <w:r>
        <w:rPr>
          <w:color w:val="231F20"/>
          <w:spacing w:val="-29"/>
          <w:w w:val="105"/>
        </w:rPr>
        <w:t> </w:t>
      </w:r>
      <w:r>
        <w:rPr>
          <w:color w:val="231F20"/>
          <w:w w:val="105"/>
        </w:rPr>
        <w:t>que éste</w:t>
      </w:r>
      <w:r>
        <w:rPr>
          <w:color w:val="231F20"/>
          <w:spacing w:val="-26"/>
          <w:w w:val="105"/>
        </w:rPr>
        <w:t> </w:t>
      </w:r>
      <w:r>
        <w:rPr>
          <w:color w:val="231F20"/>
          <w:w w:val="105"/>
        </w:rPr>
        <w:t>encuentra</w:t>
      </w:r>
      <w:r>
        <w:rPr>
          <w:color w:val="231F20"/>
          <w:spacing w:val="-26"/>
          <w:w w:val="105"/>
        </w:rPr>
        <w:t> </w:t>
      </w:r>
      <w:r>
        <w:rPr>
          <w:color w:val="231F20"/>
          <w:w w:val="105"/>
        </w:rPr>
        <w:t>para</w:t>
      </w:r>
      <w:r>
        <w:rPr>
          <w:color w:val="231F20"/>
          <w:spacing w:val="-26"/>
          <w:w w:val="105"/>
        </w:rPr>
        <w:t> </w:t>
      </w:r>
      <w:r>
        <w:rPr>
          <w:color w:val="231F20"/>
          <w:w w:val="105"/>
        </w:rPr>
        <w:t>producir</w:t>
      </w:r>
      <w:r>
        <w:rPr>
          <w:color w:val="231F20"/>
          <w:spacing w:val="-26"/>
          <w:w w:val="105"/>
        </w:rPr>
        <w:t> </w:t>
      </w:r>
      <w:r>
        <w:rPr>
          <w:color w:val="231F20"/>
          <w:w w:val="105"/>
        </w:rPr>
        <w:t>a</w:t>
      </w:r>
      <w:r>
        <w:rPr>
          <w:color w:val="231F20"/>
          <w:spacing w:val="-26"/>
          <w:w w:val="105"/>
        </w:rPr>
        <w:t> </w:t>
      </w:r>
      <w:r>
        <w:rPr>
          <w:color w:val="231F20"/>
          <w:w w:val="105"/>
        </w:rPr>
        <w:t>través</w:t>
      </w:r>
      <w:r>
        <w:rPr>
          <w:color w:val="231F20"/>
          <w:spacing w:val="-26"/>
          <w:w w:val="105"/>
        </w:rPr>
        <w:t> </w:t>
      </w:r>
      <w:r>
        <w:rPr>
          <w:color w:val="231F20"/>
          <w:w w:val="105"/>
        </w:rPr>
        <w:t>del</w:t>
      </w:r>
      <w:r>
        <w:rPr>
          <w:color w:val="231F20"/>
          <w:spacing w:val="-26"/>
          <w:w w:val="105"/>
        </w:rPr>
        <w:t> </w:t>
      </w:r>
      <w:r>
        <w:rPr>
          <w:color w:val="231F20"/>
          <w:w w:val="105"/>
        </w:rPr>
        <w:t>tiempo</w:t>
      </w:r>
      <w:r>
        <w:rPr>
          <w:color w:val="231F20"/>
          <w:spacing w:val="-26"/>
          <w:w w:val="105"/>
        </w:rPr>
        <w:t> </w:t>
      </w:r>
      <w:r>
        <w:rPr>
          <w:color w:val="231F20"/>
          <w:w w:val="105"/>
        </w:rPr>
        <w:t>todos</w:t>
      </w:r>
      <w:r>
        <w:rPr>
          <w:color w:val="231F20"/>
          <w:spacing w:val="-26"/>
          <w:w w:val="105"/>
        </w:rPr>
        <w:t> </w:t>
      </w:r>
      <w:r>
        <w:rPr>
          <w:color w:val="231F20"/>
          <w:w w:val="105"/>
        </w:rPr>
        <w:t>los</w:t>
      </w:r>
      <w:r>
        <w:rPr>
          <w:color w:val="231F20"/>
          <w:spacing w:val="-26"/>
          <w:w w:val="105"/>
        </w:rPr>
        <w:t> </w:t>
      </w:r>
      <w:r>
        <w:rPr>
          <w:color w:val="231F20"/>
          <w:w w:val="105"/>
        </w:rPr>
        <w:t>elementos</w:t>
      </w:r>
      <w:r>
        <w:rPr>
          <w:color w:val="231F20"/>
          <w:spacing w:val="-26"/>
          <w:w w:val="105"/>
        </w:rPr>
        <w:t> </w:t>
      </w:r>
      <w:r>
        <w:rPr>
          <w:color w:val="231F20"/>
          <w:w w:val="105"/>
        </w:rPr>
        <w:t>que le</w:t>
      </w:r>
      <w:r>
        <w:rPr>
          <w:color w:val="231F20"/>
          <w:spacing w:val="-32"/>
          <w:w w:val="105"/>
        </w:rPr>
        <w:t> </w:t>
      </w:r>
      <w:r>
        <w:rPr>
          <w:color w:val="231F20"/>
          <w:w w:val="105"/>
        </w:rPr>
        <w:t>han</w:t>
      </w:r>
      <w:r>
        <w:rPr>
          <w:color w:val="231F20"/>
          <w:spacing w:val="-32"/>
          <w:w w:val="105"/>
        </w:rPr>
        <w:t> </w:t>
      </w:r>
      <w:r>
        <w:rPr>
          <w:color w:val="231F20"/>
          <w:w w:val="105"/>
        </w:rPr>
        <w:t>garantizado</w:t>
      </w:r>
      <w:r>
        <w:rPr>
          <w:color w:val="231F20"/>
          <w:spacing w:val="-32"/>
          <w:w w:val="105"/>
        </w:rPr>
        <w:t> </w:t>
      </w:r>
      <w:r>
        <w:rPr>
          <w:color w:val="231F20"/>
          <w:w w:val="105"/>
        </w:rPr>
        <w:t>el</w:t>
      </w:r>
      <w:r>
        <w:rPr>
          <w:color w:val="231F20"/>
          <w:spacing w:val="-32"/>
          <w:w w:val="105"/>
        </w:rPr>
        <w:t> </w:t>
      </w:r>
      <w:r>
        <w:rPr>
          <w:color w:val="231F20"/>
          <w:w w:val="105"/>
        </w:rPr>
        <w:t>éxito.</w:t>
      </w:r>
      <w:r>
        <w:rPr>
          <w:color w:val="231F20"/>
          <w:spacing w:val="-32"/>
          <w:w w:val="105"/>
        </w:rPr>
        <w:t> </w:t>
      </w:r>
      <w:r>
        <w:rPr>
          <w:color w:val="231F20"/>
          <w:w w:val="105"/>
        </w:rPr>
        <w:t>La</w:t>
      </w:r>
      <w:r>
        <w:rPr>
          <w:color w:val="231F20"/>
          <w:spacing w:val="-32"/>
          <w:w w:val="105"/>
        </w:rPr>
        <w:t> </w:t>
      </w:r>
      <w:r>
        <w:rPr>
          <w:color w:val="231F20"/>
          <w:w w:val="105"/>
        </w:rPr>
        <w:t>nostalgia</w:t>
      </w:r>
      <w:r>
        <w:rPr>
          <w:color w:val="231F20"/>
          <w:spacing w:val="-32"/>
          <w:w w:val="105"/>
        </w:rPr>
        <w:t> </w:t>
      </w:r>
      <w:r>
        <w:rPr>
          <w:color w:val="231F20"/>
          <w:w w:val="105"/>
        </w:rPr>
        <w:t>no</w:t>
      </w:r>
      <w:r>
        <w:rPr>
          <w:color w:val="231F20"/>
          <w:spacing w:val="-32"/>
          <w:w w:val="105"/>
        </w:rPr>
        <w:t> </w:t>
      </w:r>
      <w:r>
        <w:rPr>
          <w:color w:val="231F20"/>
          <w:w w:val="105"/>
        </w:rPr>
        <w:t>hace</w:t>
      </w:r>
      <w:r>
        <w:rPr>
          <w:color w:val="231F20"/>
          <w:spacing w:val="-32"/>
          <w:w w:val="105"/>
        </w:rPr>
        <w:t> </w:t>
      </w:r>
      <w:r>
        <w:rPr>
          <w:color w:val="231F20"/>
          <w:w w:val="105"/>
        </w:rPr>
        <w:t>otra</w:t>
      </w:r>
      <w:r>
        <w:rPr>
          <w:color w:val="231F20"/>
          <w:spacing w:val="-32"/>
          <w:w w:val="105"/>
        </w:rPr>
        <w:t> </w:t>
      </w:r>
      <w:r>
        <w:rPr>
          <w:color w:val="231F20"/>
          <w:w w:val="105"/>
        </w:rPr>
        <w:t>cosa</w:t>
      </w:r>
      <w:r>
        <w:rPr>
          <w:color w:val="231F20"/>
          <w:spacing w:val="-32"/>
          <w:w w:val="105"/>
        </w:rPr>
        <w:t> </w:t>
      </w:r>
      <w:r>
        <w:rPr>
          <w:color w:val="231F20"/>
          <w:w w:val="105"/>
        </w:rPr>
        <w:t>que</w:t>
      </w:r>
      <w:r>
        <w:rPr>
          <w:color w:val="231F20"/>
          <w:spacing w:val="-32"/>
          <w:w w:val="105"/>
        </w:rPr>
        <w:t> </w:t>
      </w:r>
      <w:r>
        <w:rPr>
          <w:color w:val="231F20"/>
          <w:w w:val="105"/>
        </w:rPr>
        <w:t>confirmar</w:t>
      </w:r>
      <w:r>
        <w:rPr>
          <w:color w:val="231F20"/>
          <w:spacing w:val="-32"/>
          <w:w w:val="105"/>
        </w:rPr>
        <w:t> </w:t>
      </w:r>
      <w:r>
        <w:rPr>
          <w:color w:val="231F20"/>
          <w:w w:val="105"/>
        </w:rPr>
        <w:t>la fragilidad</w:t>
      </w:r>
      <w:r>
        <w:rPr>
          <w:color w:val="231F20"/>
          <w:spacing w:val="-27"/>
          <w:w w:val="105"/>
        </w:rPr>
        <w:t> </w:t>
      </w:r>
      <w:r>
        <w:rPr>
          <w:color w:val="231F20"/>
          <w:w w:val="105"/>
        </w:rPr>
        <w:t>que</w:t>
      </w:r>
      <w:r>
        <w:rPr>
          <w:color w:val="231F20"/>
          <w:spacing w:val="-27"/>
          <w:w w:val="105"/>
        </w:rPr>
        <w:t> </w:t>
      </w:r>
      <w:r>
        <w:rPr>
          <w:color w:val="231F20"/>
          <w:w w:val="105"/>
        </w:rPr>
        <w:t>deriva</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dificultades</w:t>
      </w:r>
      <w:r>
        <w:rPr>
          <w:color w:val="231F20"/>
          <w:spacing w:val="-27"/>
          <w:w w:val="105"/>
        </w:rPr>
        <w:t> </w:t>
      </w:r>
      <w:r>
        <w:rPr>
          <w:color w:val="231F20"/>
          <w:w w:val="105"/>
        </w:rPr>
        <w:t>de</w:t>
      </w:r>
      <w:r>
        <w:rPr>
          <w:color w:val="231F20"/>
          <w:spacing w:val="-27"/>
          <w:w w:val="105"/>
        </w:rPr>
        <w:t> </w:t>
      </w:r>
      <w:r>
        <w:rPr>
          <w:color w:val="231F20"/>
          <w:w w:val="105"/>
        </w:rPr>
        <w:t>globalizar</w:t>
      </w:r>
      <w:r>
        <w:rPr>
          <w:color w:val="231F20"/>
          <w:spacing w:val="-27"/>
          <w:w w:val="105"/>
        </w:rPr>
        <w:t> </w:t>
      </w:r>
      <w:r>
        <w:rPr>
          <w:color w:val="231F20"/>
          <w:w w:val="105"/>
        </w:rPr>
        <w:t>homogéneamente</w:t>
      </w:r>
      <w:r>
        <w:rPr>
          <w:color w:val="231F20"/>
          <w:spacing w:val="-27"/>
          <w:w w:val="105"/>
        </w:rPr>
        <w:t> </w:t>
      </w:r>
      <w:r>
        <w:rPr>
          <w:color w:val="231F20"/>
          <w:w w:val="105"/>
        </w:rPr>
        <w:t>la experiencia</w:t>
      </w:r>
      <w:r>
        <w:rPr>
          <w:color w:val="231F20"/>
          <w:spacing w:val="-36"/>
          <w:w w:val="105"/>
        </w:rPr>
        <w:t> </w:t>
      </w:r>
      <w:r>
        <w:rPr>
          <w:color w:val="231F20"/>
          <w:w w:val="105"/>
        </w:rPr>
        <w:t>estatal.</w:t>
      </w:r>
      <w:r>
        <w:rPr>
          <w:color w:val="231F20"/>
          <w:spacing w:val="-36"/>
          <w:w w:val="105"/>
        </w:rPr>
        <w:t> </w:t>
      </w:r>
      <w:r>
        <w:rPr>
          <w:color w:val="231F20"/>
          <w:w w:val="105"/>
        </w:rPr>
        <w:t>No</w:t>
      </w:r>
      <w:r>
        <w:rPr>
          <w:color w:val="231F20"/>
          <w:spacing w:val="-36"/>
          <w:w w:val="105"/>
        </w:rPr>
        <w:t> </w:t>
      </w:r>
      <w:r>
        <w:rPr>
          <w:color w:val="231F20"/>
          <w:w w:val="105"/>
        </w:rPr>
        <w:t>obstante</w:t>
      </w:r>
      <w:r>
        <w:rPr>
          <w:color w:val="231F20"/>
          <w:spacing w:val="-36"/>
          <w:w w:val="105"/>
        </w:rPr>
        <w:t> </w:t>
      </w:r>
      <w:r>
        <w:rPr>
          <w:color w:val="231F20"/>
          <w:w w:val="105"/>
        </w:rPr>
        <w:t>su</w:t>
      </w:r>
      <w:r>
        <w:rPr>
          <w:color w:val="231F20"/>
          <w:spacing w:val="-36"/>
          <w:w w:val="105"/>
        </w:rPr>
        <w:t> </w:t>
      </w:r>
      <w:r>
        <w:rPr>
          <w:color w:val="231F20"/>
          <w:w w:val="105"/>
        </w:rPr>
        <w:t>pasado</w:t>
      </w:r>
      <w:r>
        <w:rPr>
          <w:color w:val="231F20"/>
          <w:spacing w:val="-36"/>
          <w:w w:val="105"/>
        </w:rPr>
        <w:t> </w:t>
      </w:r>
      <w:r>
        <w:rPr>
          <w:color w:val="231F20"/>
          <w:w w:val="105"/>
        </w:rPr>
        <w:t>glorioso,</w:t>
      </w:r>
      <w:r>
        <w:rPr>
          <w:color w:val="231F20"/>
          <w:spacing w:val="-36"/>
          <w:w w:val="105"/>
        </w:rPr>
        <w:t> </w:t>
      </w:r>
      <w:r>
        <w:rPr>
          <w:color w:val="231F20"/>
          <w:w w:val="105"/>
        </w:rPr>
        <w:t>ni</w:t>
      </w:r>
      <w:r>
        <w:rPr>
          <w:color w:val="231F20"/>
          <w:spacing w:val="-36"/>
          <w:w w:val="105"/>
        </w:rPr>
        <w:t> </w:t>
      </w:r>
      <w:r>
        <w:rPr>
          <w:color w:val="231F20"/>
          <w:w w:val="105"/>
        </w:rPr>
        <w:t>siquiera</w:t>
      </w:r>
      <w:r>
        <w:rPr>
          <w:color w:val="231F20"/>
          <w:spacing w:val="-36"/>
          <w:w w:val="105"/>
        </w:rPr>
        <w:t> </w:t>
      </w:r>
      <w:r>
        <w:rPr>
          <w:color w:val="231F20"/>
          <w:w w:val="105"/>
        </w:rPr>
        <w:t>la</w:t>
      </w:r>
      <w:r>
        <w:rPr>
          <w:color w:val="231F20"/>
          <w:spacing w:val="-36"/>
          <w:w w:val="105"/>
        </w:rPr>
        <w:t> </w:t>
      </w:r>
      <w:r>
        <w:rPr>
          <w:color w:val="231F20"/>
          <w:w w:val="105"/>
        </w:rPr>
        <w:t>teoría</w:t>
      </w:r>
      <w:r>
        <w:rPr>
          <w:color w:val="231F20"/>
          <w:spacing w:val="-36"/>
          <w:w w:val="105"/>
        </w:rPr>
        <w:t> </w:t>
      </w:r>
      <w:r>
        <w:rPr>
          <w:color w:val="231F20"/>
          <w:w w:val="105"/>
        </w:rPr>
        <w:t>de la</w:t>
      </w:r>
      <w:r>
        <w:rPr>
          <w:color w:val="231F20"/>
          <w:spacing w:val="-23"/>
          <w:w w:val="105"/>
        </w:rPr>
        <w:t> </w:t>
      </w:r>
      <w:r>
        <w:rPr>
          <w:color w:val="231F20"/>
          <w:w w:val="105"/>
        </w:rPr>
        <w:t>ficción</w:t>
      </w:r>
      <w:r>
        <w:rPr>
          <w:color w:val="231F20"/>
          <w:spacing w:val="-23"/>
          <w:w w:val="105"/>
        </w:rPr>
        <w:t> </w:t>
      </w:r>
      <w:r>
        <w:rPr>
          <w:color w:val="231F20"/>
          <w:w w:val="105"/>
        </w:rPr>
        <w:t>es</w:t>
      </w:r>
      <w:r>
        <w:rPr>
          <w:color w:val="231F20"/>
          <w:spacing w:val="-23"/>
          <w:w w:val="105"/>
        </w:rPr>
        <w:t> </w:t>
      </w:r>
      <w:r>
        <w:rPr>
          <w:color w:val="231F20"/>
          <w:w w:val="105"/>
        </w:rPr>
        <w:t>capaz</w:t>
      </w:r>
      <w:r>
        <w:rPr>
          <w:color w:val="231F20"/>
          <w:spacing w:val="-23"/>
          <w:w w:val="105"/>
        </w:rPr>
        <w:t> </w:t>
      </w:r>
      <w:r>
        <w:rPr>
          <w:color w:val="231F20"/>
          <w:w w:val="105"/>
        </w:rPr>
        <w:t>de</w:t>
      </w:r>
      <w:r>
        <w:rPr>
          <w:color w:val="231F20"/>
          <w:spacing w:val="-23"/>
          <w:w w:val="105"/>
        </w:rPr>
        <w:t> </w:t>
      </w:r>
      <w:r>
        <w:rPr>
          <w:color w:val="231F20"/>
          <w:w w:val="105"/>
        </w:rPr>
        <w:t>subsumir</w:t>
      </w:r>
      <w:r>
        <w:rPr>
          <w:color w:val="231F20"/>
          <w:spacing w:val="-23"/>
          <w:w w:val="105"/>
        </w:rPr>
        <w:t> </w:t>
      </w:r>
      <w:r>
        <w:rPr>
          <w:color w:val="231F20"/>
          <w:w w:val="105"/>
        </w:rPr>
        <w:t>espacialidades</w:t>
      </w:r>
      <w:r>
        <w:rPr>
          <w:color w:val="231F20"/>
          <w:spacing w:val="-23"/>
          <w:w w:val="105"/>
        </w:rPr>
        <w:t> </w:t>
      </w:r>
      <w:r>
        <w:rPr>
          <w:color w:val="231F20"/>
          <w:w w:val="105"/>
        </w:rPr>
        <w:t>políticas</w:t>
      </w:r>
      <w:r>
        <w:rPr>
          <w:color w:val="231F20"/>
          <w:spacing w:val="-23"/>
          <w:w w:val="105"/>
        </w:rPr>
        <w:t> </w:t>
      </w:r>
      <w:r>
        <w:rPr>
          <w:color w:val="231F20"/>
          <w:w w:val="105"/>
        </w:rPr>
        <w:t>diferentes</w:t>
      </w:r>
      <w:r>
        <w:rPr>
          <w:color w:val="231F20"/>
          <w:spacing w:val="-23"/>
          <w:w w:val="105"/>
        </w:rPr>
        <w:t> </w:t>
      </w:r>
      <w:r>
        <w:rPr>
          <w:color w:val="231F20"/>
          <w:w w:val="105"/>
        </w:rPr>
        <w:t>gracias a</w:t>
      </w:r>
      <w:r>
        <w:rPr>
          <w:color w:val="231F20"/>
          <w:spacing w:val="-14"/>
          <w:w w:val="105"/>
        </w:rPr>
        <w:t> </w:t>
      </w:r>
      <w:r>
        <w:rPr>
          <w:color w:val="231F20"/>
          <w:w w:val="105"/>
        </w:rPr>
        <w:t>la</w:t>
      </w:r>
      <w:r>
        <w:rPr>
          <w:color w:val="231F20"/>
          <w:spacing w:val="-14"/>
          <w:w w:val="105"/>
        </w:rPr>
        <w:t> </w:t>
      </w:r>
      <w:r>
        <w:rPr>
          <w:color w:val="231F20"/>
          <w:w w:val="105"/>
        </w:rPr>
        <w:t>universalización</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forma</w:t>
      </w:r>
      <w:r>
        <w:rPr>
          <w:color w:val="231F20"/>
          <w:spacing w:val="-14"/>
          <w:w w:val="105"/>
        </w:rPr>
        <w:t> </w:t>
      </w:r>
      <w:r>
        <w:rPr>
          <w:color w:val="231F20"/>
          <w:w w:val="105"/>
        </w:rPr>
        <w:t>Estado.</w:t>
      </w:r>
      <w:r>
        <w:rPr>
          <w:color w:val="231F20"/>
          <w:spacing w:val="-14"/>
          <w:w w:val="105"/>
        </w:rPr>
        <w:t> </w:t>
      </w:r>
      <w:r>
        <w:rPr>
          <w:color w:val="231F20"/>
          <w:w w:val="105"/>
        </w:rPr>
        <w:t>Más</w:t>
      </w:r>
      <w:r>
        <w:rPr>
          <w:color w:val="231F20"/>
          <w:spacing w:val="-14"/>
          <w:w w:val="105"/>
        </w:rPr>
        <w:t> </w:t>
      </w:r>
      <w:r>
        <w:rPr>
          <w:color w:val="231F20"/>
          <w:w w:val="105"/>
        </w:rPr>
        <w:t>que</w:t>
      </w:r>
      <w:r>
        <w:rPr>
          <w:color w:val="231F20"/>
          <w:spacing w:val="-14"/>
          <w:w w:val="105"/>
        </w:rPr>
        <w:t> </w:t>
      </w:r>
      <w:r>
        <w:rPr>
          <w:color w:val="231F20"/>
          <w:w w:val="105"/>
        </w:rPr>
        <w:t>a</w:t>
      </w:r>
      <w:r>
        <w:rPr>
          <w:color w:val="231F20"/>
          <w:spacing w:val="-14"/>
          <w:w w:val="105"/>
        </w:rPr>
        <w:t> </w:t>
      </w:r>
      <w:r>
        <w:rPr>
          <w:color w:val="231F20"/>
          <w:w w:val="105"/>
        </w:rPr>
        <w:t>una</w:t>
      </w:r>
      <w:r>
        <w:rPr>
          <w:color w:val="231F20"/>
          <w:spacing w:val="-14"/>
          <w:w w:val="105"/>
        </w:rPr>
        <w:t> </w:t>
      </w:r>
      <w:r>
        <w:rPr>
          <w:color w:val="231F20"/>
          <w:w w:val="105"/>
        </w:rPr>
        <w:t>globalización</w:t>
      </w:r>
      <w:r>
        <w:rPr>
          <w:color w:val="231F20"/>
          <w:spacing w:val="-14"/>
          <w:w w:val="105"/>
        </w:rPr>
        <w:t> </w:t>
      </w:r>
      <w:r>
        <w:rPr>
          <w:color w:val="231F20"/>
          <w:w w:val="105"/>
        </w:rPr>
        <w:t>del Estado</w:t>
      </w:r>
      <w:r>
        <w:rPr>
          <w:color w:val="231F20"/>
          <w:spacing w:val="-36"/>
          <w:w w:val="105"/>
        </w:rPr>
        <w:t> </w:t>
      </w:r>
      <w:r>
        <w:rPr>
          <w:color w:val="231F20"/>
          <w:w w:val="105"/>
        </w:rPr>
        <w:t>estamos</w:t>
      </w:r>
      <w:r>
        <w:rPr>
          <w:color w:val="231F20"/>
          <w:spacing w:val="-36"/>
          <w:w w:val="105"/>
        </w:rPr>
        <w:t> </w:t>
      </w:r>
      <w:r>
        <w:rPr>
          <w:color w:val="231F20"/>
          <w:w w:val="105"/>
        </w:rPr>
        <w:t>frente</w:t>
      </w:r>
      <w:r>
        <w:rPr>
          <w:color w:val="231F20"/>
          <w:spacing w:val="-36"/>
          <w:w w:val="105"/>
        </w:rPr>
        <w:t> </w:t>
      </w:r>
      <w:r>
        <w:rPr>
          <w:color w:val="231F20"/>
          <w:w w:val="105"/>
        </w:rPr>
        <w:t>a</w:t>
      </w:r>
      <w:r>
        <w:rPr>
          <w:color w:val="231F20"/>
          <w:spacing w:val="-36"/>
          <w:w w:val="105"/>
        </w:rPr>
        <w:t> </w:t>
      </w:r>
      <w:r>
        <w:rPr>
          <w:color w:val="231F20"/>
          <w:w w:val="105"/>
        </w:rPr>
        <w:t>procesos</w:t>
      </w:r>
      <w:r>
        <w:rPr>
          <w:color w:val="231F20"/>
          <w:spacing w:val="-36"/>
          <w:w w:val="105"/>
        </w:rPr>
        <w:t> </w:t>
      </w:r>
      <w:r>
        <w:rPr>
          <w:color w:val="231F20"/>
          <w:w w:val="105"/>
        </w:rPr>
        <w:t>que</w:t>
      </w:r>
      <w:r>
        <w:rPr>
          <w:color w:val="231F20"/>
          <w:spacing w:val="-36"/>
          <w:w w:val="105"/>
        </w:rPr>
        <w:t> </w:t>
      </w:r>
      <w:r>
        <w:rPr>
          <w:color w:val="231F20"/>
          <w:w w:val="105"/>
        </w:rPr>
        <w:t>parecen</w:t>
      </w:r>
      <w:r>
        <w:rPr>
          <w:color w:val="231F20"/>
          <w:spacing w:val="-36"/>
          <w:w w:val="105"/>
        </w:rPr>
        <w:t> </w:t>
      </w:r>
      <w:r>
        <w:rPr>
          <w:color w:val="231F20"/>
          <w:w w:val="105"/>
        </w:rPr>
        <w:t>llevar</w:t>
      </w:r>
      <w:r>
        <w:rPr>
          <w:color w:val="231F20"/>
          <w:spacing w:val="-36"/>
          <w:w w:val="105"/>
        </w:rPr>
        <w:t> </w:t>
      </w:r>
      <w:r>
        <w:rPr>
          <w:color w:val="231F20"/>
          <w:w w:val="105"/>
        </w:rPr>
        <w:t>a</w:t>
      </w:r>
      <w:r>
        <w:rPr>
          <w:color w:val="231F20"/>
          <w:spacing w:val="-36"/>
          <w:w w:val="105"/>
        </w:rPr>
        <w:t> </w:t>
      </w:r>
      <w:r>
        <w:rPr>
          <w:color w:val="231F20"/>
          <w:w w:val="105"/>
        </w:rPr>
        <w:t>la</w:t>
      </w:r>
      <w:r>
        <w:rPr>
          <w:color w:val="231F20"/>
          <w:spacing w:val="-36"/>
          <w:w w:val="105"/>
        </w:rPr>
        <w:t> </w:t>
      </w:r>
      <w:r>
        <w:rPr>
          <w:color w:val="231F20"/>
          <w:w w:val="105"/>
        </w:rPr>
        <w:t>formación</w:t>
      </w:r>
      <w:r>
        <w:rPr>
          <w:color w:val="231F20"/>
          <w:spacing w:val="-36"/>
          <w:w w:val="105"/>
        </w:rPr>
        <w:t> </w:t>
      </w:r>
      <w:r>
        <w:rPr>
          <w:color w:val="231F20"/>
          <w:w w:val="105"/>
        </w:rPr>
        <w:t>de</w:t>
      </w:r>
      <w:r>
        <w:rPr>
          <w:color w:val="231F20"/>
          <w:spacing w:val="-36"/>
          <w:w w:val="105"/>
        </w:rPr>
        <w:t> </w:t>
      </w:r>
      <w:r>
        <w:rPr>
          <w:color w:val="231F20"/>
          <w:w w:val="105"/>
        </w:rPr>
        <w:t>una sociedad–mundo,</w:t>
      </w:r>
      <w:r>
        <w:rPr>
          <w:color w:val="231F20"/>
          <w:spacing w:val="-34"/>
          <w:w w:val="105"/>
        </w:rPr>
        <w:t> </w:t>
      </w:r>
      <w:r>
        <w:rPr>
          <w:color w:val="231F20"/>
          <w:w w:val="105"/>
        </w:rPr>
        <w:t>una</w:t>
      </w:r>
      <w:r>
        <w:rPr>
          <w:color w:val="231F20"/>
          <w:spacing w:val="-34"/>
          <w:w w:val="105"/>
        </w:rPr>
        <w:t> </w:t>
      </w:r>
      <w:r>
        <w:rPr>
          <w:rFonts w:ascii="Arial" w:hAnsi="Arial"/>
          <w:i/>
          <w:color w:val="231F20"/>
          <w:w w:val="105"/>
        </w:rPr>
        <w:t>Weltgesellschaft</w:t>
      </w:r>
      <w:r>
        <w:rPr>
          <w:color w:val="231F20"/>
          <w:w w:val="105"/>
        </w:rPr>
        <w:t>,</w:t>
      </w:r>
      <w:r>
        <w:rPr>
          <w:color w:val="231F20"/>
          <w:spacing w:val="-34"/>
          <w:w w:val="105"/>
        </w:rPr>
        <w:t> </w:t>
      </w:r>
      <w:r>
        <w:rPr>
          <w:color w:val="231F20"/>
          <w:w w:val="105"/>
        </w:rPr>
        <w:t>en</w:t>
      </w:r>
      <w:r>
        <w:rPr>
          <w:color w:val="231F20"/>
          <w:spacing w:val="-34"/>
          <w:w w:val="105"/>
        </w:rPr>
        <w:t> </w:t>
      </w:r>
      <w:r>
        <w:rPr>
          <w:color w:val="231F20"/>
          <w:w w:val="105"/>
        </w:rPr>
        <w:t>la</w:t>
      </w:r>
      <w:r>
        <w:rPr>
          <w:color w:val="231F20"/>
          <w:spacing w:val="-34"/>
          <w:w w:val="105"/>
        </w:rPr>
        <w:t> </w:t>
      </w:r>
      <w:r>
        <w:rPr>
          <w:color w:val="231F20"/>
          <w:w w:val="105"/>
        </w:rPr>
        <w:t>cual</w:t>
      </w:r>
      <w:r>
        <w:rPr>
          <w:color w:val="231F20"/>
          <w:spacing w:val="-34"/>
          <w:w w:val="105"/>
        </w:rPr>
        <w:t> </w:t>
      </w:r>
      <w:r>
        <w:rPr>
          <w:color w:val="231F20"/>
          <w:w w:val="105"/>
        </w:rPr>
        <w:t>la</w:t>
      </w:r>
      <w:r>
        <w:rPr>
          <w:color w:val="231F20"/>
          <w:spacing w:val="-34"/>
          <w:w w:val="105"/>
        </w:rPr>
        <w:t> </w:t>
      </w:r>
      <w:r>
        <w:rPr>
          <w:color w:val="231F20"/>
          <w:w w:val="105"/>
        </w:rPr>
        <w:t>“específica</w:t>
      </w:r>
      <w:r>
        <w:rPr>
          <w:color w:val="231F20"/>
          <w:spacing w:val="-34"/>
          <w:w w:val="105"/>
        </w:rPr>
        <w:t> </w:t>
      </w:r>
      <w:r>
        <w:rPr>
          <w:color w:val="231F20"/>
          <w:w w:val="105"/>
        </w:rPr>
        <w:t>combina- ción</w:t>
      </w:r>
      <w:r>
        <w:rPr>
          <w:color w:val="231F20"/>
          <w:spacing w:val="-16"/>
          <w:w w:val="105"/>
        </w:rPr>
        <w:t> </w:t>
      </w:r>
      <w:r>
        <w:rPr>
          <w:color w:val="231F20"/>
          <w:w w:val="105"/>
        </w:rPr>
        <w:t>de</w:t>
      </w:r>
      <w:r>
        <w:rPr>
          <w:color w:val="231F20"/>
          <w:spacing w:val="-16"/>
          <w:w w:val="105"/>
        </w:rPr>
        <w:t> </w:t>
      </w:r>
      <w:r>
        <w:rPr>
          <w:color w:val="231F20"/>
          <w:w w:val="105"/>
        </w:rPr>
        <w:t>Derecho</w:t>
      </w:r>
      <w:r>
        <w:rPr>
          <w:color w:val="231F20"/>
          <w:spacing w:val="-16"/>
          <w:w w:val="105"/>
        </w:rPr>
        <w:t> </w:t>
      </w:r>
      <w:r>
        <w:rPr>
          <w:color w:val="231F20"/>
          <w:w w:val="105"/>
        </w:rPr>
        <w:t>y</w:t>
      </w:r>
      <w:r>
        <w:rPr>
          <w:color w:val="231F20"/>
          <w:spacing w:val="-16"/>
          <w:w w:val="105"/>
        </w:rPr>
        <w:t> </w:t>
      </w:r>
      <w:r>
        <w:rPr>
          <w:color w:val="231F20"/>
          <w:w w:val="105"/>
        </w:rPr>
        <w:t>política”,</w:t>
      </w:r>
      <w:r>
        <w:rPr>
          <w:color w:val="231F20"/>
          <w:spacing w:val="-16"/>
          <w:w w:val="105"/>
        </w:rPr>
        <w:t> </w:t>
      </w:r>
      <w:r>
        <w:rPr>
          <w:color w:val="231F20"/>
          <w:w w:val="105"/>
        </w:rPr>
        <w:t>o</w:t>
      </w:r>
      <w:r>
        <w:rPr>
          <w:color w:val="231F20"/>
          <w:spacing w:val="-16"/>
          <w:w w:val="105"/>
        </w:rPr>
        <w:t> </w:t>
      </w:r>
      <w:r>
        <w:rPr>
          <w:color w:val="231F20"/>
          <w:w w:val="105"/>
        </w:rPr>
        <w:t>sea</w:t>
      </w:r>
      <w:r>
        <w:rPr>
          <w:color w:val="231F20"/>
          <w:spacing w:val="-16"/>
          <w:w w:val="105"/>
        </w:rPr>
        <w:t> </w:t>
      </w:r>
      <w:r>
        <w:rPr>
          <w:color w:val="231F20"/>
          <w:w w:val="105"/>
        </w:rPr>
        <w:t>la</w:t>
      </w:r>
      <w:r>
        <w:rPr>
          <w:color w:val="231F20"/>
          <w:spacing w:val="-16"/>
          <w:w w:val="105"/>
        </w:rPr>
        <w:t> </w:t>
      </w:r>
      <w:r>
        <w:rPr>
          <w:color w:val="231F20"/>
          <w:w w:val="105"/>
        </w:rPr>
        <w:t>producción</w:t>
      </w:r>
      <w:r>
        <w:rPr>
          <w:color w:val="231F20"/>
          <w:spacing w:val="-16"/>
          <w:w w:val="105"/>
        </w:rPr>
        <w:t> </w:t>
      </w:r>
      <w:r>
        <w:rPr>
          <w:color w:val="231F20"/>
          <w:w w:val="105"/>
        </w:rPr>
        <w:t>normativa</w:t>
      </w:r>
      <w:r>
        <w:rPr>
          <w:color w:val="231F20"/>
          <w:spacing w:val="-16"/>
          <w:w w:val="105"/>
        </w:rPr>
        <w:t> </w:t>
      </w:r>
      <w:r>
        <w:rPr>
          <w:color w:val="231F20"/>
          <w:w w:val="105"/>
        </w:rPr>
        <w:t>monopolizada o</w:t>
      </w:r>
      <w:r>
        <w:rPr>
          <w:color w:val="231F20"/>
          <w:spacing w:val="-16"/>
          <w:w w:val="105"/>
        </w:rPr>
        <w:t> </w:t>
      </w:r>
      <w:r>
        <w:rPr>
          <w:color w:val="231F20"/>
          <w:w w:val="105"/>
        </w:rPr>
        <w:t>de</w:t>
      </w:r>
      <w:r>
        <w:rPr>
          <w:color w:val="231F20"/>
          <w:spacing w:val="-16"/>
          <w:w w:val="105"/>
        </w:rPr>
        <w:t> </w:t>
      </w:r>
      <w:r>
        <w:rPr>
          <w:color w:val="231F20"/>
          <w:w w:val="105"/>
        </w:rPr>
        <w:t>cualquier</w:t>
      </w:r>
      <w:r>
        <w:rPr>
          <w:color w:val="231F20"/>
          <w:spacing w:val="-16"/>
          <w:w w:val="105"/>
        </w:rPr>
        <w:t> </w:t>
      </w:r>
      <w:r>
        <w:rPr>
          <w:color w:val="231F20"/>
          <w:w w:val="105"/>
        </w:rPr>
        <w:t>forma</w:t>
      </w:r>
      <w:r>
        <w:rPr>
          <w:color w:val="231F20"/>
          <w:spacing w:val="-16"/>
          <w:w w:val="105"/>
        </w:rPr>
        <w:t> </w:t>
      </w:r>
      <w:r>
        <w:rPr>
          <w:color w:val="231F20"/>
          <w:w w:val="105"/>
        </w:rPr>
        <w:t>autorizada</w:t>
      </w:r>
      <w:r>
        <w:rPr>
          <w:color w:val="231F20"/>
          <w:spacing w:val="-16"/>
          <w:w w:val="105"/>
        </w:rPr>
        <w:t> </w:t>
      </w:r>
      <w:r>
        <w:rPr>
          <w:color w:val="231F20"/>
          <w:w w:val="105"/>
        </w:rPr>
        <w:t>por</w:t>
      </w:r>
      <w:r>
        <w:rPr>
          <w:color w:val="231F20"/>
          <w:spacing w:val="-16"/>
          <w:w w:val="105"/>
        </w:rPr>
        <w:t> </w:t>
      </w:r>
      <w:r>
        <w:rPr>
          <w:color w:val="231F20"/>
          <w:w w:val="105"/>
        </w:rPr>
        <w:t>el</w:t>
      </w:r>
      <w:r>
        <w:rPr>
          <w:color w:val="231F20"/>
          <w:spacing w:val="-16"/>
          <w:w w:val="105"/>
        </w:rPr>
        <w:t> </w:t>
      </w:r>
      <w:r>
        <w:rPr>
          <w:color w:val="231F20"/>
          <w:w w:val="105"/>
        </w:rPr>
        <w:t>Estado–nación</w:t>
      </w:r>
      <w:r>
        <w:rPr>
          <w:color w:val="231F20"/>
          <w:spacing w:val="-17"/>
          <w:w w:val="105"/>
        </w:rPr>
        <w:t> </w:t>
      </w:r>
      <w:r>
        <w:rPr>
          <w:color w:val="231F20"/>
          <w:w w:val="105"/>
        </w:rPr>
        <w:t>unitario,</w:t>
      </w:r>
      <w:r>
        <w:rPr>
          <w:color w:val="231F20"/>
          <w:spacing w:val="-16"/>
          <w:w w:val="105"/>
        </w:rPr>
        <w:t> </w:t>
      </w:r>
      <w:r>
        <w:rPr>
          <w:color w:val="231F20"/>
          <w:w w:val="105"/>
        </w:rPr>
        <w:t>podría</w:t>
      </w:r>
      <w:r>
        <w:rPr>
          <w:color w:val="231F20"/>
          <w:spacing w:val="-16"/>
          <w:w w:val="105"/>
        </w:rPr>
        <w:t> </w:t>
      </w:r>
      <w:r>
        <w:rPr>
          <w:color w:val="231F20"/>
          <w:w w:val="105"/>
        </w:rPr>
        <w:t>in- cluso</w:t>
      </w:r>
      <w:r>
        <w:rPr>
          <w:color w:val="231F20"/>
          <w:spacing w:val="-10"/>
          <w:w w:val="105"/>
        </w:rPr>
        <w:t> </w:t>
      </w:r>
      <w:r>
        <w:rPr>
          <w:color w:val="231F20"/>
          <w:w w:val="105"/>
        </w:rPr>
        <w:t>revelarse</w:t>
      </w:r>
      <w:r>
        <w:rPr>
          <w:color w:val="231F20"/>
          <w:spacing w:val="-10"/>
          <w:w w:val="105"/>
        </w:rPr>
        <w:t> </w:t>
      </w:r>
      <w:r>
        <w:rPr>
          <w:color w:val="231F20"/>
          <w:w w:val="105"/>
        </w:rPr>
        <w:t>como</w:t>
      </w:r>
      <w:r>
        <w:rPr>
          <w:color w:val="231F20"/>
          <w:spacing w:val="-10"/>
          <w:w w:val="105"/>
        </w:rPr>
        <w:t> </w:t>
      </w:r>
      <w:r>
        <w:rPr>
          <w:color w:val="231F20"/>
          <w:w w:val="105"/>
        </w:rPr>
        <w:t>un</w:t>
      </w:r>
      <w:r>
        <w:rPr>
          <w:color w:val="231F20"/>
          <w:spacing w:val="-10"/>
          <w:w w:val="105"/>
        </w:rPr>
        <w:t> </w:t>
      </w:r>
      <w:r>
        <w:rPr>
          <w:color w:val="231F20"/>
          <w:w w:val="105"/>
        </w:rPr>
        <w:t>callejón</w:t>
      </w:r>
      <w:r>
        <w:rPr>
          <w:color w:val="231F20"/>
          <w:spacing w:val="-10"/>
          <w:w w:val="105"/>
        </w:rPr>
        <w:t> </w:t>
      </w:r>
      <w:r>
        <w:rPr>
          <w:color w:val="231F20"/>
          <w:w w:val="105"/>
        </w:rPr>
        <w:t>sin</w:t>
      </w:r>
      <w:r>
        <w:rPr>
          <w:color w:val="231F20"/>
          <w:spacing w:val="-10"/>
          <w:w w:val="105"/>
        </w:rPr>
        <w:t> </w:t>
      </w:r>
      <w:r>
        <w:rPr>
          <w:color w:val="231F20"/>
          <w:w w:val="105"/>
        </w:rPr>
        <w:t>salida,</w:t>
      </w:r>
      <w:r>
        <w:rPr>
          <w:color w:val="231F20"/>
          <w:spacing w:val="-10"/>
          <w:w w:val="105"/>
        </w:rPr>
        <w:t> </w:t>
      </w:r>
      <w:r>
        <w:rPr>
          <w:color w:val="231F20"/>
          <w:w w:val="105"/>
        </w:rPr>
        <w:t>una</w:t>
      </w:r>
      <w:r>
        <w:rPr>
          <w:color w:val="231F20"/>
          <w:spacing w:val="-10"/>
          <w:w w:val="105"/>
        </w:rPr>
        <w:t> </w:t>
      </w:r>
      <w:r>
        <w:rPr>
          <w:color w:val="231F20"/>
          <w:w w:val="105"/>
        </w:rPr>
        <w:t>“especialización</w:t>
      </w:r>
      <w:r>
        <w:rPr>
          <w:color w:val="231F20"/>
          <w:spacing w:val="-10"/>
          <w:w w:val="105"/>
        </w:rPr>
        <w:t> </w:t>
      </w:r>
      <w:r>
        <w:rPr>
          <w:color w:val="231F20"/>
          <w:w w:val="105"/>
        </w:rPr>
        <w:t>carente del</w:t>
      </w:r>
      <w:r>
        <w:rPr>
          <w:color w:val="231F20"/>
          <w:spacing w:val="-25"/>
          <w:w w:val="105"/>
        </w:rPr>
        <w:t> </w:t>
      </w:r>
      <w:r>
        <w:rPr>
          <w:color w:val="231F20"/>
          <w:w w:val="105"/>
        </w:rPr>
        <w:t>desarrollo</w:t>
      </w:r>
      <w:r>
        <w:rPr>
          <w:color w:val="231F20"/>
          <w:spacing w:val="-25"/>
          <w:w w:val="105"/>
        </w:rPr>
        <w:t> </w:t>
      </w:r>
      <w:r>
        <w:rPr>
          <w:color w:val="231F20"/>
          <w:w w:val="105"/>
        </w:rPr>
        <w:t>humano”</w:t>
      </w:r>
      <w:r>
        <w:rPr>
          <w:color w:val="231F20"/>
          <w:spacing w:val="-25"/>
          <w:w w:val="105"/>
        </w:rPr>
        <w:t> </w:t>
      </w:r>
      <w:r>
        <w:rPr>
          <w:color w:val="231F20"/>
          <w:w w:val="105"/>
          <w:position w:val="7"/>
          <w:sz w:val="12"/>
        </w:rPr>
        <w:t>21</w:t>
      </w:r>
      <w:r>
        <w:rPr>
          <w:color w:val="231F20"/>
          <w:w w:val="105"/>
        </w:rPr>
        <w:t>.</w:t>
      </w:r>
      <w:r>
        <w:rPr>
          <w:color w:val="231F20"/>
          <w:spacing w:val="-25"/>
          <w:w w:val="105"/>
        </w:rPr>
        <w:t> </w:t>
      </w:r>
      <w:r>
        <w:rPr>
          <w:color w:val="231F20"/>
          <w:w w:val="105"/>
        </w:rPr>
        <w:t>Se</w:t>
      </w:r>
      <w:r>
        <w:rPr>
          <w:color w:val="231F20"/>
          <w:spacing w:val="-25"/>
          <w:w w:val="105"/>
        </w:rPr>
        <w:t> </w:t>
      </w:r>
      <w:r>
        <w:rPr>
          <w:color w:val="231F20"/>
          <w:w w:val="105"/>
        </w:rPr>
        <w:t>convierte</w:t>
      </w:r>
      <w:r>
        <w:rPr>
          <w:color w:val="231F20"/>
          <w:spacing w:val="-25"/>
          <w:w w:val="105"/>
        </w:rPr>
        <w:t> </w:t>
      </w:r>
      <w:r>
        <w:rPr>
          <w:color w:val="231F20"/>
          <w:w w:val="105"/>
        </w:rPr>
        <w:t>en</w:t>
      </w:r>
      <w:r>
        <w:rPr>
          <w:color w:val="231F20"/>
          <w:spacing w:val="-25"/>
          <w:w w:val="105"/>
        </w:rPr>
        <w:t> </w:t>
      </w:r>
      <w:r>
        <w:rPr>
          <w:color w:val="231F20"/>
          <w:w w:val="105"/>
        </w:rPr>
        <w:t>poco</w:t>
      </w:r>
      <w:r>
        <w:rPr>
          <w:color w:val="231F20"/>
          <w:spacing w:val="-25"/>
          <w:w w:val="105"/>
        </w:rPr>
        <w:t> </w:t>
      </w:r>
      <w:r>
        <w:rPr>
          <w:color w:val="231F20"/>
          <w:w w:val="105"/>
        </w:rPr>
        <w:t>probable</w:t>
      </w:r>
      <w:r>
        <w:rPr>
          <w:color w:val="231F20"/>
          <w:spacing w:val="-25"/>
          <w:w w:val="105"/>
        </w:rPr>
        <w:t> </w:t>
      </w:r>
      <w:r>
        <w:rPr>
          <w:color w:val="231F20"/>
          <w:w w:val="105"/>
        </w:rPr>
        <w:t>la</w:t>
      </w:r>
      <w:r>
        <w:rPr>
          <w:color w:val="231F20"/>
          <w:spacing w:val="-25"/>
          <w:w w:val="105"/>
        </w:rPr>
        <w:t> </w:t>
      </w:r>
      <w:r>
        <w:rPr>
          <w:color w:val="231F20"/>
          <w:w w:val="105"/>
        </w:rPr>
        <w:t>realización</w:t>
      </w:r>
      <w:r>
        <w:rPr>
          <w:color w:val="231F20"/>
          <w:spacing w:val="-25"/>
          <w:w w:val="105"/>
        </w:rPr>
        <w:t> </w:t>
      </w:r>
      <w:r>
        <w:rPr>
          <w:color w:val="231F20"/>
          <w:w w:val="105"/>
        </w:rPr>
        <w:t>de un</w:t>
      </w:r>
      <w:r>
        <w:rPr>
          <w:color w:val="231F20"/>
          <w:spacing w:val="-22"/>
          <w:w w:val="105"/>
        </w:rPr>
        <w:t> </w:t>
      </w:r>
      <w:r>
        <w:rPr>
          <w:color w:val="231F20"/>
          <w:w w:val="105"/>
        </w:rPr>
        <w:t>Estado</w:t>
      </w:r>
      <w:r>
        <w:rPr>
          <w:color w:val="231F20"/>
          <w:spacing w:val="-22"/>
          <w:w w:val="105"/>
        </w:rPr>
        <w:t> </w:t>
      </w:r>
      <w:r>
        <w:rPr>
          <w:color w:val="231F20"/>
          <w:w w:val="105"/>
        </w:rPr>
        <w:t>mundial,</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cual</w:t>
      </w:r>
      <w:r>
        <w:rPr>
          <w:color w:val="231F20"/>
          <w:spacing w:val="-22"/>
          <w:w w:val="105"/>
        </w:rPr>
        <w:t> </w:t>
      </w:r>
      <w:r>
        <w:rPr>
          <w:color w:val="231F20"/>
          <w:w w:val="105"/>
        </w:rPr>
        <w:t>en</w:t>
      </w:r>
      <w:r>
        <w:rPr>
          <w:color w:val="231F20"/>
          <w:spacing w:val="-22"/>
          <w:w w:val="105"/>
        </w:rPr>
        <w:t> </w:t>
      </w:r>
      <w:r>
        <w:rPr>
          <w:color w:val="231F20"/>
          <w:w w:val="105"/>
        </w:rPr>
        <w:t>todo</w:t>
      </w:r>
      <w:r>
        <w:rPr>
          <w:color w:val="231F20"/>
          <w:spacing w:val="-22"/>
          <w:w w:val="105"/>
        </w:rPr>
        <w:t> </w:t>
      </w:r>
      <w:r>
        <w:rPr>
          <w:color w:val="231F20"/>
          <w:w w:val="105"/>
        </w:rPr>
        <w:t>el</w:t>
      </w:r>
      <w:r>
        <w:rPr>
          <w:color w:val="231F20"/>
          <w:spacing w:val="-22"/>
          <w:w w:val="105"/>
        </w:rPr>
        <w:t> </w:t>
      </w:r>
      <w:r>
        <w:rPr>
          <w:color w:val="231F20"/>
          <w:w w:val="105"/>
        </w:rPr>
        <w:t>globo</w:t>
      </w:r>
      <w:r>
        <w:rPr>
          <w:color w:val="231F20"/>
          <w:spacing w:val="-22"/>
          <w:w w:val="105"/>
        </w:rPr>
        <w:t> </w:t>
      </w:r>
      <w:r>
        <w:rPr>
          <w:color w:val="231F20"/>
          <w:w w:val="105"/>
        </w:rPr>
        <w:t>en</w:t>
      </w:r>
      <w:r>
        <w:rPr>
          <w:color w:val="231F20"/>
          <w:spacing w:val="-22"/>
          <w:w w:val="105"/>
        </w:rPr>
        <w:t> </w:t>
      </w:r>
      <w:r>
        <w:rPr>
          <w:color w:val="231F20"/>
          <w:w w:val="105"/>
        </w:rPr>
        <w:t>su</w:t>
      </w:r>
      <w:r>
        <w:rPr>
          <w:color w:val="231F20"/>
          <w:spacing w:val="-22"/>
          <w:w w:val="105"/>
        </w:rPr>
        <w:t> </w:t>
      </w:r>
      <w:r>
        <w:rPr>
          <w:color w:val="231F20"/>
          <w:w w:val="105"/>
        </w:rPr>
        <w:t>conjunto</w:t>
      </w:r>
      <w:r>
        <w:rPr>
          <w:color w:val="231F20"/>
          <w:spacing w:val="-22"/>
          <w:w w:val="105"/>
        </w:rPr>
        <w:t> </w:t>
      </w:r>
      <w:r>
        <w:rPr>
          <w:color w:val="231F20"/>
          <w:w w:val="105"/>
        </w:rPr>
        <w:t>se</w:t>
      </w:r>
      <w:r>
        <w:rPr>
          <w:color w:val="231F20"/>
          <w:spacing w:val="-22"/>
          <w:w w:val="105"/>
        </w:rPr>
        <w:t> </w:t>
      </w:r>
      <w:r>
        <w:rPr>
          <w:color w:val="231F20"/>
          <w:w w:val="105"/>
        </w:rPr>
        <w:t>extienda el</w:t>
      </w:r>
      <w:r>
        <w:rPr>
          <w:color w:val="231F20"/>
          <w:spacing w:val="-18"/>
          <w:w w:val="105"/>
        </w:rPr>
        <w:t> </w:t>
      </w:r>
      <w:r>
        <w:rPr>
          <w:color w:val="231F20"/>
          <w:w w:val="105"/>
        </w:rPr>
        <w:t>modelo</w:t>
      </w:r>
      <w:r>
        <w:rPr>
          <w:color w:val="231F20"/>
          <w:spacing w:val="-18"/>
          <w:w w:val="105"/>
        </w:rPr>
        <w:t> </w:t>
      </w:r>
      <w:r>
        <w:rPr>
          <w:color w:val="231F20"/>
          <w:w w:val="105"/>
        </w:rPr>
        <w:t>de</w:t>
      </w:r>
      <w:r>
        <w:rPr>
          <w:color w:val="231F20"/>
          <w:spacing w:val="-18"/>
          <w:w w:val="105"/>
        </w:rPr>
        <w:t> </w:t>
      </w:r>
      <w:r>
        <w:rPr>
          <w:color w:val="231F20"/>
          <w:w w:val="105"/>
        </w:rPr>
        <w:t>Estado–nación</w:t>
      </w:r>
      <w:r>
        <w:rPr>
          <w:color w:val="231F20"/>
          <w:spacing w:val="-18"/>
          <w:w w:val="105"/>
        </w:rPr>
        <w:t> </w:t>
      </w:r>
      <w:r>
        <w:rPr>
          <w:color w:val="231F20"/>
          <w:w w:val="105"/>
        </w:rPr>
        <w:t>unitario;</w:t>
      </w:r>
      <w:r>
        <w:rPr>
          <w:color w:val="231F20"/>
          <w:spacing w:val="-18"/>
          <w:w w:val="105"/>
        </w:rPr>
        <w:t> </w:t>
      </w:r>
      <w:r>
        <w:rPr>
          <w:color w:val="231F20"/>
          <w:w w:val="105"/>
        </w:rPr>
        <w:t>sin</w:t>
      </w:r>
      <w:r>
        <w:rPr>
          <w:color w:val="231F20"/>
          <w:spacing w:val="-18"/>
          <w:w w:val="105"/>
        </w:rPr>
        <w:t> </w:t>
      </w:r>
      <w:r>
        <w:rPr>
          <w:color w:val="231F20"/>
          <w:w w:val="105"/>
        </w:rPr>
        <w:t>embargo,</w:t>
      </w:r>
      <w:r>
        <w:rPr>
          <w:color w:val="231F20"/>
          <w:spacing w:val="-18"/>
          <w:w w:val="105"/>
        </w:rPr>
        <w:t> </w:t>
      </w:r>
      <w:r>
        <w:rPr>
          <w:color w:val="231F20"/>
          <w:w w:val="105"/>
        </w:rPr>
        <w:t>la</w:t>
      </w:r>
      <w:r>
        <w:rPr>
          <w:color w:val="231F20"/>
          <w:spacing w:val="-18"/>
          <w:w w:val="105"/>
        </w:rPr>
        <w:t> </w:t>
      </w:r>
      <w:r>
        <w:rPr>
          <w:color w:val="231F20"/>
          <w:w w:val="105"/>
        </w:rPr>
        <w:t>centralidad</w:t>
      </w:r>
      <w:r>
        <w:rPr>
          <w:color w:val="231F20"/>
          <w:spacing w:val="-18"/>
          <w:w w:val="105"/>
        </w:rPr>
        <w:t> </w:t>
      </w:r>
      <w:r>
        <w:rPr>
          <w:color w:val="231F20"/>
          <w:w w:val="105"/>
        </w:rPr>
        <w:t>política</w:t>
      </w:r>
    </w:p>
    <w:p>
      <w:pPr>
        <w:pStyle w:val="BodyText"/>
        <w:rPr>
          <w:sz w:val="20"/>
        </w:rPr>
      </w:pPr>
    </w:p>
    <w:p>
      <w:pPr>
        <w:pStyle w:val="BodyText"/>
        <w:rPr>
          <w:sz w:val="20"/>
        </w:rPr>
      </w:pPr>
    </w:p>
    <w:p>
      <w:pPr>
        <w:pStyle w:val="BodyText"/>
        <w:spacing w:before="4"/>
        <w:rPr>
          <w:sz w:val="29"/>
        </w:rPr>
      </w:pPr>
      <w:r>
        <w:rPr/>
        <w:pict>
          <v:line style="position:absolute;mso-position-horizontal-relative:page;mso-position-vertical-relative:paragraph;z-index:2968;mso-wrap-distance-left:0;mso-wrap-distance-right:0" from="65.1968pt,19.819862pt" to="178.5828pt,19.819862pt" stroked="true" strokeweight=".3pt" strokecolor="#231f20">
            <w10:wrap type="topAndBottom"/>
          </v:line>
        </w:pict>
      </w:r>
    </w:p>
    <w:p>
      <w:pPr>
        <w:spacing w:line="204" w:lineRule="exact" w:before="9"/>
        <w:ind w:left="103" w:right="0" w:firstLine="0"/>
        <w:jc w:val="left"/>
        <w:rPr>
          <w:rFonts w:ascii="Calibri"/>
          <w:sz w:val="17"/>
        </w:rPr>
      </w:pPr>
      <w:r>
        <w:rPr>
          <w:rFonts w:ascii="Calibri"/>
          <w:i/>
          <w:color w:val="231F20"/>
          <w:sz w:val="17"/>
        </w:rPr>
        <w:t>Fragments: The Past, Present and Future of a Contested Concept</w:t>
      </w:r>
      <w:r>
        <w:rPr>
          <w:rFonts w:ascii="Calibri"/>
          <w:color w:val="231F20"/>
          <w:sz w:val="17"/>
        </w:rPr>
        <w:t>, Cambridge, Cambridge University Press, 2010, p. 27.</w:t>
      </w:r>
    </w:p>
    <w:p>
      <w:pPr>
        <w:spacing w:line="206" w:lineRule="exact" w:before="1"/>
        <w:ind w:left="103" w:right="0" w:firstLine="0"/>
        <w:jc w:val="left"/>
        <w:rPr>
          <w:rFonts w:ascii="Calibri"/>
          <w:sz w:val="17"/>
        </w:rPr>
      </w:pPr>
      <w:r>
        <w:rPr>
          <w:rFonts w:ascii="Calibri"/>
          <w:color w:val="231F20"/>
          <w:position w:val="6"/>
          <w:sz w:val="10"/>
        </w:rPr>
        <w:t>19  </w:t>
      </w:r>
      <w:r>
        <w:rPr>
          <w:rFonts w:ascii="Calibri"/>
          <w:color w:val="231F20"/>
          <w:sz w:val="17"/>
        </w:rPr>
        <w:t>Skinner, p. 46.</w:t>
      </w:r>
    </w:p>
    <w:p>
      <w:pPr>
        <w:spacing w:line="235" w:lineRule="auto" w:before="1"/>
        <w:ind w:left="103" w:right="110" w:firstLine="0"/>
        <w:jc w:val="left"/>
        <w:rPr>
          <w:rFonts w:ascii="Calibri" w:hAnsi="Calibri"/>
          <w:sz w:val="17"/>
        </w:rPr>
      </w:pPr>
      <w:r>
        <w:rPr>
          <w:rFonts w:ascii="Calibri" w:hAnsi="Calibri"/>
          <w:color w:val="231F20"/>
          <w:w w:val="105"/>
          <w:position w:val="6"/>
          <w:sz w:val="10"/>
        </w:rPr>
        <w:t>20</w:t>
      </w:r>
      <w:r>
        <w:rPr>
          <w:rFonts w:ascii="Calibri" w:hAnsi="Calibri"/>
          <w:color w:val="231F20"/>
          <w:spacing w:val="-9"/>
          <w:w w:val="105"/>
          <w:position w:val="6"/>
          <w:sz w:val="10"/>
        </w:rPr>
        <w:t> </w:t>
      </w:r>
      <w:r>
        <w:rPr>
          <w:rFonts w:ascii="Calibri" w:hAnsi="Calibri"/>
          <w:color w:val="231F20"/>
          <w:spacing w:val="-10"/>
          <w:w w:val="105"/>
          <w:sz w:val="17"/>
        </w:rPr>
        <w:t>P.</w:t>
      </w:r>
      <w:r>
        <w:rPr>
          <w:rFonts w:ascii="Calibri" w:hAnsi="Calibri"/>
          <w:color w:val="231F20"/>
          <w:spacing w:val="-26"/>
          <w:w w:val="105"/>
          <w:sz w:val="17"/>
        </w:rPr>
        <w:t> </w:t>
      </w:r>
      <w:r>
        <w:rPr>
          <w:rFonts w:ascii="Calibri" w:hAnsi="Calibri"/>
          <w:color w:val="231F20"/>
          <w:w w:val="105"/>
          <w:sz w:val="17"/>
        </w:rPr>
        <w:t>Perulli,</w:t>
      </w:r>
      <w:r>
        <w:rPr>
          <w:rFonts w:ascii="Calibri" w:hAnsi="Calibri"/>
          <w:color w:val="231F20"/>
          <w:spacing w:val="-26"/>
          <w:w w:val="105"/>
          <w:sz w:val="17"/>
        </w:rPr>
        <w:t> </w:t>
      </w:r>
      <w:r>
        <w:rPr>
          <w:rFonts w:ascii="Calibri" w:hAnsi="Calibri"/>
          <w:i/>
          <w:color w:val="231F20"/>
          <w:w w:val="105"/>
          <w:sz w:val="17"/>
        </w:rPr>
        <w:t>Il</w:t>
      </w:r>
      <w:r>
        <w:rPr>
          <w:rFonts w:ascii="Calibri" w:hAnsi="Calibri"/>
          <w:i/>
          <w:color w:val="231F20"/>
          <w:spacing w:val="-26"/>
          <w:w w:val="105"/>
          <w:sz w:val="17"/>
        </w:rPr>
        <w:t> </w:t>
      </w:r>
      <w:r>
        <w:rPr>
          <w:rFonts w:ascii="Calibri" w:hAnsi="Calibri"/>
          <w:i/>
          <w:color w:val="231F20"/>
          <w:w w:val="105"/>
          <w:sz w:val="17"/>
        </w:rPr>
        <w:t>dio</w:t>
      </w:r>
      <w:r>
        <w:rPr>
          <w:rFonts w:ascii="Calibri" w:hAnsi="Calibri"/>
          <w:i/>
          <w:color w:val="231F20"/>
          <w:spacing w:val="-26"/>
          <w:w w:val="105"/>
          <w:sz w:val="17"/>
        </w:rPr>
        <w:t> </w:t>
      </w:r>
      <w:r>
        <w:rPr>
          <w:rFonts w:ascii="Calibri" w:hAnsi="Calibri"/>
          <w:i/>
          <w:color w:val="231F20"/>
          <w:w w:val="105"/>
          <w:sz w:val="17"/>
        </w:rPr>
        <w:t>contratto.</w:t>
      </w:r>
      <w:r>
        <w:rPr>
          <w:rFonts w:ascii="Calibri" w:hAnsi="Calibri"/>
          <w:i/>
          <w:color w:val="231F20"/>
          <w:spacing w:val="-26"/>
          <w:w w:val="105"/>
          <w:sz w:val="17"/>
        </w:rPr>
        <w:t> </w:t>
      </w:r>
      <w:r>
        <w:rPr>
          <w:rFonts w:ascii="Calibri" w:hAnsi="Calibri"/>
          <w:i/>
          <w:color w:val="231F20"/>
          <w:w w:val="105"/>
          <w:sz w:val="17"/>
        </w:rPr>
        <w:t>Origine</w:t>
      </w:r>
      <w:r>
        <w:rPr>
          <w:rFonts w:ascii="Calibri" w:hAnsi="Calibri"/>
          <w:i/>
          <w:color w:val="231F20"/>
          <w:spacing w:val="-26"/>
          <w:w w:val="105"/>
          <w:sz w:val="17"/>
        </w:rPr>
        <w:t> </w:t>
      </w:r>
      <w:r>
        <w:rPr>
          <w:rFonts w:ascii="Calibri" w:hAnsi="Calibri"/>
          <w:i/>
          <w:color w:val="231F20"/>
          <w:w w:val="105"/>
          <w:sz w:val="17"/>
        </w:rPr>
        <w:t>e</w:t>
      </w:r>
      <w:r>
        <w:rPr>
          <w:rFonts w:ascii="Calibri" w:hAnsi="Calibri"/>
          <w:i/>
          <w:color w:val="231F20"/>
          <w:spacing w:val="-26"/>
          <w:w w:val="105"/>
          <w:sz w:val="17"/>
        </w:rPr>
        <w:t> </w:t>
      </w:r>
      <w:r>
        <w:rPr>
          <w:rFonts w:ascii="Calibri" w:hAnsi="Calibri"/>
          <w:i/>
          <w:color w:val="231F20"/>
          <w:w w:val="105"/>
          <w:sz w:val="17"/>
        </w:rPr>
        <w:t>istituzione</w:t>
      </w:r>
      <w:r>
        <w:rPr>
          <w:rFonts w:ascii="Calibri" w:hAnsi="Calibri"/>
          <w:i/>
          <w:color w:val="231F20"/>
          <w:spacing w:val="-26"/>
          <w:w w:val="105"/>
          <w:sz w:val="17"/>
        </w:rPr>
        <w:t> </w:t>
      </w:r>
      <w:r>
        <w:rPr>
          <w:rFonts w:ascii="Calibri" w:hAnsi="Calibri"/>
          <w:i/>
          <w:color w:val="231F20"/>
          <w:w w:val="105"/>
          <w:sz w:val="17"/>
        </w:rPr>
        <w:t>della</w:t>
      </w:r>
      <w:r>
        <w:rPr>
          <w:rFonts w:ascii="Calibri" w:hAnsi="Calibri"/>
          <w:i/>
          <w:color w:val="231F20"/>
          <w:spacing w:val="-26"/>
          <w:w w:val="105"/>
          <w:sz w:val="17"/>
        </w:rPr>
        <w:t> </w:t>
      </w:r>
      <w:r>
        <w:rPr>
          <w:rFonts w:ascii="Calibri" w:hAnsi="Calibri"/>
          <w:i/>
          <w:color w:val="231F20"/>
          <w:w w:val="105"/>
          <w:sz w:val="17"/>
        </w:rPr>
        <w:t>società</w:t>
      </w:r>
      <w:r>
        <w:rPr>
          <w:rFonts w:ascii="Calibri" w:hAnsi="Calibri"/>
          <w:i/>
          <w:color w:val="231F20"/>
          <w:spacing w:val="-26"/>
          <w:w w:val="105"/>
          <w:sz w:val="17"/>
        </w:rPr>
        <w:t> </w:t>
      </w:r>
      <w:r>
        <w:rPr>
          <w:rFonts w:ascii="Calibri" w:hAnsi="Calibri"/>
          <w:i/>
          <w:color w:val="231F20"/>
          <w:w w:val="105"/>
          <w:sz w:val="17"/>
        </w:rPr>
        <w:t>contemporanea</w:t>
      </w:r>
      <w:r>
        <w:rPr>
          <w:rFonts w:ascii="Calibri" w:hAnsi="Calibri"/>
          <w:color w:val="231F20"/>
          <w:w w:val="105"/>
          <w:sz w:val="17"/>
        </w:rPr>
        <w:t>,</w:t>
      </w:r>
      <w:r>
        <w:rPr>
          <w:rFonts w:ascii="Calibri" w:hAnsi="Calibri"/>
          <w:color w:val="231F20"/>
          <w:spacing w:val="-28"/>
          <w:w w:val="105"/>
          <w:sz w:val="17"/>
        </w:rPr>
        <w:t> </w:t>
      </w:r>
      <w:r>
        <w:rPr>
          <w:rFonts w:ascii="Calibri" w:hAnsi="Calibri"/>
          <w:color w:val="231F20"/>
          <w:w w:val="105"/>
          <w:sz w:val="17"/>
        </w:rPr>
        <w:t>Torino,</w:t>
      </w:r>
      <w:r>
        <w:rPr>
          <w:rFonts w:ascii="Calibri" w:hAnsi="Calibri"/>
          <w:color w:val="231F20"/>
          <w:spacing w:val="-26"/>
          <w:w w:val="105"/>
          <w:sz w:val="17"/>
        </w:rPr>
        <w:t> </w:t>
      </w:r>
      <w:r>
        <w:rPr>
          <w:rFonts w:ascii="Calibri" w:hAnsi="Calibri"/>
          <w:color w:val="231F20"/>
          <w:w w:val="105"/>
          <w:sz w:val="17"/>
        </w:rPr>
        <w:t>Einaudi,</w:t>
      </w:r>
      <w:r>
        <w:rPr>
          <w:rFonts w:ascii="Calibri" w:hAnsi="Calibri"/>
          <w:color w:val="231F20"/>
          <w:spacing w:val="-26"/>
          <w:w w:val="105"/>
          <w:sz w:val="17"/>
        </w:rPr>
        <w:t> </w:t>
      </w:r>
      <w:r>
        <w:rPr>
          <w:rFonts w:ascii="Calibri" w:hAnsi="Calibri"/>
          <w:color w:val="231F20"/>
          <w:w w:val="105"/>
          <w:sz w:val="17"/>
        </w:rPr>
        <w:t>2012. </w:t>
      </w:r>
      <w:r>
        <w:rPr>
          <w:rFonts w:ascii="Calibri" w:hAnsi="Calibri"/>
          <w:color w:val="231F20"/>
          <w:w w:val="105"/>
          <w:position w:val="6"/>
          <w:sz w:val="10"/>
        </w:rPr>
        <w:t>21</w:t>
      </w:r>
      <w:r>
        <w:rPr>
          <w:rFonts w:ascii="Calibri" w:hAnsi="Calibri"/>
          <w:color w:val="231F20"/>
          <w:spacing w:val="-7"/>
          <w:w w:val="105"/>
          <w:position w:val="6"/>
          <w:sz w:val="10"/>
        </w:rPr>
        <w:t> </w:t>
      </w:r>
      <w:r>
        <w:rPr>
          <w:rFonts w:ascii="Calibri" w:hAnsi="Calibri"/>
          <w:color w:val="231F20"/>
          <w:w w:val="105"/>
          <w:sz w:val="17"/>
        </w:rPr>
        <w:t>N.</w:t>
      </w:r>
      <w:r>
        <w:rPr>
          <w:rFonts w:ascii="Calibri" w:hAnsi="Calibri"/>
          <w:color w:val="231F20"/>
          <w:spacing w:val="-23"/>
          <w:w w:val="105"/>
          <w:sz w:val="17"/>
        </w:rPr>
        <w:t> </w:t>
      </w:r>
      <w:r>
        <w:rPr>
          <w:rFonts w:ascii="Calibri" w:hAnsi="Calibri"/>
          <w:color w:val="231F20"/>
          <w:w w:val="105"/>
          <w:sz w:val="17"/>
        </w:rPr>
        <w:t>Luhmann,</w:t>
      </w:r>
      <w:r>
        <w:rPr>
          <w:rFonts w:ascii="Calibri" w:hAnsi="Calibri"/>
          <w:color w:val="231F20"/>
          <w:spacing w:val="-23"/>
          <w:w w:val="105"/>
          <w:sz w:val="17"/>
        </w:rPr>
        <w:t> </w:t>
      </w:r>
      <w:r>
        <w:rPr>
          <w:rFonts w:ascii="Calibri" w:hAnsi="Calibri"/>
          <w:color w:val="231F20"/>
          <w:w w:val="105"/>
          <w:sz w:val="17"/>
        </w:rPr>
        <w:t>“Die</w:t>
      </w:r>
      <w:r>
        <w:rPr>
          <w:rFonts w:ascii="Calibri" w:hAnsi="Calibri"/>
          <w:color w:val="231F20"/>
          <w:spacing w:val="-25"/>
          <w:w w:val="105"/>
          <w:sz w:val="17"/>
        </w:rPr>
        <w:t> </w:t>
      </w:r>
      <w:r>
        <w:rPr>
          <w:rFonts w:ascii="Calibri" w:hAnsi="Calibri"/>
          <w:color w:val="231F20"/>
          <w:w w:val="105"/>
          <w:sz w:val="17"/>
        </w:rPr>
        <w:t>Weltgesellschaft”,</w:t>
      </w:r>
      <w:r>
        <w:rPr>
          <w:rFonts w:ascii="Calibri" w:hAnsi="Calibri"/>
          <w:color w:val="231F20"/>
          <w:spacing w:val="-23"/>
          <w:w w:val="105"/>
          <w:sz w:val="17"/>
        </w:rPr>
        <w:t> </w:t>
      </w:r>
      <w:r>
        <w:rPr>
          <w:rFonts w:ascii="Calibri" w:hAnsi="Calibri"/>
          <w:color w:val="231F20"/>
          <w:w w:val="105"/>
          <w:sz w:val="17"/>
        </w:rPr>
        <w:t>N.</w:t>
      </w:r>
      <w:r>
        <w:rPr>
          <w:rFonts w:ascii="Calibri" w:hAnsi="Calibri"/>
          <w:color w:val="231F20"/>
          <w:spacing w:val="-23"/>
          <w:w w:val="105"/>
          <w:sz w:val="17"/>
        </w:rPr>
        <w:t> </w:t>
      </w:r>
      <w:r>
        <w:rPr>
          <w:rFonts w:ascii="Calibri" w:hAnsi="Calibri"/>
          <w:color w:val="231F20"/>
          <w:w w:val="105"/>
          <w:sz w:val="17"/>
        </w:rPr>
        <w:t>Luhmann,</w:t>
      </w:r>
      <w:r>
        <w:rPr>
          <w:rFonts w:ascii="Calibri" w:hAnsi="Calibri"/>
          <w:color w:val="231F20"/>
          <w:spacing w:val="-23"/>
          <w:w w:val="105"/>
          <w:sz w:val="17"/>
        </w:rPr>
        <w:t> </w:t>
      </w:r>
      <w:r>
        <w:rPr>
          <w:rFonts w:ascii="Calibri" w:hAnsi="Calibri"/>
          <w:i/>
          <w:color w:val="231F20"/>
          <w:w w:val="105"/>
          <w:sz w:val="17"/>
        </w:rPr>
        <w:t>Soziologische</w:t>
      </w:r>
      <w:r>
        <w:rPr>
          <w:rFonts w:ascii="Calibri" w:hAnsi="Calibri"/>
          <w:i/>
          <w:color w:val="231F20"/>
          <w:spacing w:val="-24"/>
          <w:w w:val="105"/>
          <w:sz w:val="17"/>
        </w:rPr>
        <w:t> </w:t>
      </w:r>
      <w:r>
        <w:rPr>
          <w:rFonts w:ascii="Calibri" w:hAnsi="Calibri"/>
          <w:i/>
          <w:color w:val="231F20"/>
          <w:w w:val="105"/>
          <w:sz w:val="17"/>
        </w:rPr>
        <w:t>Aufklärung</w:t>
      </w:r>
      <w:r>
        <w:rPr>
          <w:rFonts w:ascii="Calibri" w:hAnsi="Calibri"/>
          <w:i/>
          <w:color w:val="231F20"/>
          <w:spacing w:val="-24"/>
          <w:w w:val="105"/>
          <w:sz w:val="17"/>
        </w:rPr>
        <w:t> </w:t>
      </w:r>
      <w:r>
        <w:rPr>
          <w:rFonts w:ascii="Calibri" w:hAnsi="Calibri"/>
          <w:i/>
          <w:color w:val="231F20"/>
          <w:w w:val="105"/>
          <w:sz w:val="17"/>
        </w:rPr>
        <w:t>2</w:t>
      </w:r>
      <w:r>
        <w:rPr>
          <w:rFonts w:ascii="Calibri" w:hAnsi="Calibri"/>
          <w:color w:val="231F20"/>
          <w:w w:val="105"/>
          <w:sz w:val="17"/>
        </w:rPr>
        <w:t>,</w:t>
      </w:r>
      <w:r>
        <w:rPr>
          <w:rFonts w:ascii="Calibri" w:hAnsi="Calibri"/>
          <w:color w:val="231F20"/>
          <w:spacing w:val="-25"/>
          <w:w w:val="105"/>
          <w:sz w:val="17"/>
        </w:rPr>
        <w:t> </w:t>
      </w:r>
      <w:r>
        <w:rPr>
          <w:rFonts w:ascii="Calibri" w:hAnsi="Calibri"/>
          <w:color w:val="231F20"/>
          <w:w w:val="105"/>
          <w:sz w:val="17"/>
        </w:rPr>
        <w:t>Wiesbaden,</w:t>
      </w:r>
      <w:r>
        <w:rPr>
          <w:rFonts w:ascii="Calibri" w:hAnsi="Calibri"/>
          <w:color w:val="231F20"/>
          <w:spacing w:val="-25"/>
          <w:w w:val="105"/>
          <w:sz w:val="17"/>
        </w:rPr>
        <w:t> </w:t>
      </w:r>
      <w:r>
        <w:rPr>
          <w:rFonts w:ascii="Calibri" w:hAnsi="Calibri"/>
          <w:color w:val="231F20"/>
          <w:w w:val="105"/>
          <w:sz w:val="17"/>
        </w:rPr>
        <w:t>Verlag für</w:t>
      </w:r>
      <w:r>
        <w:rPr>
          <w:rFonts w:ascii="Calibri" w:hAnsi="Calibri"/>
          <w:color w:val="231F20"/>
          <w:spacing w:val="-6"/>
          <w:w w:val="105"/>
          <w:sz w:val="17"/>
        </w:rPr>
        <w:t> </w:t>
      </w:r>
      <w:r>
        <w:rPr>
          <w:rFonts w:ascii="Calibri" w:hAnsi="Calibri"/>
          <w:color w:val="231F20"/>
          <w:w w:val="105"/>
          <w:sz w:val="17"/>
        </w:rPr>
        <w:t>Sozialwissenschaften,</w:t>
      </w:r>
      <w:r>
        <w:rPr>
          <w:rFonts w:ascii="Calibri" w:hAnsi="Calibri"/>
          <w:color w:val="231F20"/>
          <w:spacing w:val="-6"/>
          <w:w w:val="105"/>
          <w:sz w:val="17"/>
        </w:rPr>
        <w:t> </w:t>
      </w:r>
      <w:r>
        <w:rPr>
          <w:rFonts w:ascii="Calibri" w:hAnsi="Calibri"/>
          <w:color w:val="231F20"/>
          <w:w w:val="105"/>
          <w:sz w:val="17"/>
        </w:rPr>
        <w:t>2005,</w:t>
      </w:r>
      <w:r>
        <w:rPr>
          <w:rFonts w:ascii="Calibri" w:hAnsi="Calibri"/>
          <w:color w:val="231F20"/>
          <w:spacing w:val="-6"/>
          <w:w w:val="105"/>
          <w:sz w:val="17"/>
        </w:rPr>
        <w:t> </w:t>
      </w:r>
      <w:r>
        <w:rPr>
          <w:rFonts w:ascii="Calibri" w:hAnsi="Calibri"/>
          <w:color w:val="231F20"/>
          <w:w w:val="105"/>
          <w:sz w:val="17"/>
        </w:rPr>
        <w:t>p.</w:t>
      </w:r>
      <w:r>
        <w:rPr>
          <w:rFonts w:ascii="Calibri" w:hAnsi="Calibri"/>
          <w:color w:val="231F20"/>
          <w:spacing w:val="-6"/>
          <w:w w:val="105"/>
          <w:sz w:val="17"/>
        </w:rPr>
        <w:t> </w:t>
      </w:r>
      <w:r>
        <w:rPr>
          <w:rFonts w:ascii="Calibri" w:hAnsi="Calibri"/>
          <w:color w:val="231F20"/>
          <w:w w:val="105"/>
          <w:sz w:val="17"/>
        </w:rPr>
        <w:t>71;</w:t>
      </w:r>
      <w:r>
        <w:rPr>
          <w:rFonts w:ascii="Calibri" w:hAnsi="Calibri"/>
          <w:color w:val="231F20"/>
          <w:spacing w:val="-5"/>
          <w:w w:val="105"/>
          <w:sz w:val="17"/>
        </w:rPr>
        <w:t> </w:t>
      </w:r>
      <w:r>
        <w:rPr>
          <w:rFonts w:ascii="Calibri" w:hAnsi="Calibri"/>
          <w:i/>
          <w:color w:val="231F20"/>
          <w:spacing w:val="-4"/>
          <w:w w:val="105"/>
          <w:sz w:val="17"/>
        </w:rPr>
        <w:t>Cfr.</w:t>
      </w:r>
      <w:r>
        <w:rPr>
          <w:rFonts w:ascii="Calibri" w:hAnsi="Calibri"/>
          <w:i/>
          <w:color w:val="231F20"/>
          <w:spacing w:val="-6"/>
          <w:w w:val="105"/>
          <w:sz w:val="17"/>
        </w:rPr>
        <w:t> </w:t>
      </w:r>
      <w:r>
        <w:rPr>
          <w:rFonts w:ascii="Calibri" w:hAnsi="Calibri"/>
          <w:color w:val="231F20"/>
          <w:w w:val="105"/>
          <w:sz w:val="17"/>
        </w:rPr>
        <w:t>anche</w:t>
      </w:r>
      <w:r>
        <w:rPr>
          <w:rFonts w:ascii="Calibri" w:hAnsi="Calibri"/>
          <w:color w:val="231F20"/>
          <w:spacing w:val="-6"/>
          <w:w w:val="105"/>
          <w:sz w:val="17"/>
        </w:rPr>
        <w:t> </w:t>
      </w:r>
      <w:r>
        <w:rPr>
          <w:rFonts w:ascii="Calibri" w:hAnsi="Calibri"/>
          <w:color w:val="231F20"/>
          <w:w w:val="105"/>
          <w:sz w:val="17"/>
        </w:rPr>
        <w:t>R.</w:t>
      </w:r>
      <w:r>
        <w:rPr>
          <w:rFonts w:ascii="Calibri" w:hAnsi="Calibri"/>
          <w:color w:val="231F20"/>
          <w:spacing w:val="-6"/>
          <w:w w:val="105"/>
          <w:sz w:val="17"/>
        </w:rPr>
        <w:t> </w:t>
      </w:r>
      <w:r>
        <w:rPr>
          <w:rFonts w:ascii="Calibri" w:hAnsi="Calibri"/>
          <w:color w:val="231F20"/>
          <w:w w:val="105"/>
          <w:sz w:val="17"/>
        </w:rPr>
        <w:t>Stichweh,</w:t>
      </w:r>
      <w:r>
        <w:rPr>
          <w:rFonts w:ascii="Calibri" w:hAnsi="Calibri"/>
          <w:color w:val="231F20"/>
          <w:spacing w:val="-6"/>
          <w:w w:val="105"/>
          <w:sz w:val="17"/>
        </w:rPr>
        <w:t> </w:t>
      </w:r>
      <w:r>
        <w:rPr>
          <w:rFonts w:ascii="Calibri" w:hAnsi="Calibri"/>
          <w:i/>
          <w:color w:val="231F20"/>
          <w:w w:val="105"/>
          <w:sz w:val="17"/>
        </w:rPr>
        <w:t>Die</w:t>
      </w:r>
      <w:r>
        <w:rPr>
          <w:rFonts w:ascii="Calibri" w:hAnsi="Calibri"/>
          <w:i/>
          <w:color w:val="231F20"/>
          <w:spacing w:val="-8"/>
          <w:w w:val="105"/>
          <w:sz w:val="17"/>
        </w:rPr>
        <w:t> </w:t>
      </w:r>
      <w:r>
        <w:rPr>
          <w:rFonts w:ascii="Calibri" w:hAnsi="Calibri"/>
          <w:i/>
          <w:color w:val="231F20"/>
          <w:w w:val="105"/>
          <w:sz w:val="17"/>
        </w:rPr>
        <w:t>Weltgesellschaft.</w:t>
      </w:r>
      <w:r>
        <w:rPr>
          <w:rFonts w:ascii="Calibri" w:hAnsi="Calibri"/>
          <w:i/>
          <w:color w:val="231F20"/>
          <w:spacing w:val="-6"/>
          <w:w w:val="105"/>
          <w:sz w:val="17"/>
        </w:rPr>
        <w:t> </w:t>
      </w:r>
      <w:r>
        <w:rPr>
          <w:rFonts w:ascii="Calibri" w:hAnsi="Calibri"/>
          <w:i/>
          <w:color w:val="231F20"/>
          <w:w w:val="105"/>
          <w:sz w:val="17"/>
        </w:rPr>
        <w:t>Soziologische </w:t>
      </w:r>
      <w:r>
        <w:rPr>
          <w:rFonts w:ascii="Calibri" w:hAnsi="Calibri"/>
          <w:i/>
          <w:color w:val="231F20"/>
          <w:w w:val="105"/>
          <w:sz w:val="17"/>
        </w:rPr>
        <w:t>Analysen</w:t>
      </w:r>
      <w:r>
        <w:rPr>
          <w:rFonts w:ascii="Calibri" w:hAnsi="Calibri"/>
          <w:color w:val="231F20"/>
          <w:w w:val="105"/>
          <w:sz w:val="17"/>
        </w:rPr>
        <w:t>,</w:t>
      </w:r>
      <w:r>
        <w:rPr>
          <w:rFonts w:ascii="Calibri" w:hAnsi="Calibri"/>
          <w:color w:val="231F20"/>
          <w:spacing w:val="-16"/>
          <w:w w:val="105"/>
          <w:sz w:val="17"/>
        </w:rPr>
        <w:t> </w:t>
      </w:r>
      <w:r>
        <w:rPr>
          <w:rFonts w:ascii="Calibri" w:hAnsi="Calibri"/>
          <w:color w:val="231F20"/>
          <w:w w:val="105"/>
          <w:sz w:val="17"/>
        </w:rPr>
        <w:t>Frankfurt</w:t>
      </w:r>
      <w:r>
        <w:rPr>
          <w:rFonts w:ascii="Calibri" w:hAnsi="Calibri"/>
          <w:color w:val="231F20"/>
          <w:spacing w:val="-16"/>
          <w:w w:val="105"/>
          <w:sz w:val="17"/>
        </w:rPr>
        <w:t> </w:t>
      </w:r>
      <w:r>
        <w:rPr>
          <w:rFonts w:ascii="Calibri" w:hAnsi="Calibri"/>
          <w:color w:val="231F20"/>
          <w:w w:val="105"/>
          <w:sz w:val="17"/>
        </w:rPr>
        <w:t>am</w:t>
      </w:r>
      <w:r>
        <w:rPr>
          <w:rFonts w:ascii="Calibri" w:hAnsi="Calibri"/>
          <w:color w:val="231F20"/>
          <w:spacing w:val="-16"/>
          <w:w w:val="105"/>
          <w:sz w:val="17"/>
        </w:rPr>
        <w:t> </w:t>
      </w:r>
      <w:r>
        <w:rPr>
          <w:rFonts w:ascii="Calibri" w:hAnsi="Calibri"/>
          <w:color w:val="231F20"/>
          <w:w w:val="105"/>
          <w:sz w:val="17"/>
        </w:rPr>
        <w:t>Main,</w:t>
      </w:r>
      <w:r>
        <w:rPr>
          <w:rFonts w:ascii="Calibri" w:hAnsi="Calibri"/>
          <w:color w:val="231F20"/>
          <w:spacing w:val="-16"/>
          <w:w w:val="105"/>
          <w:sz w:val="17"/>
        </w:rPr>
        <w:t> </w:t>
      </w:r>
      <w:r>
        <w:rPr>
          <w:rFonts w:ascii="Calibri" w:hAnsi="Calibri"/>
          <w:color w:val="231F20"/>
          <w:w w:val="105"/>
          <w:sz w:val="17"/>
        </w:rPr>
        <w:t>Suhrkamp,</w:t>
      </w:r>
      <w:r>
        <w:rPr>
          <w:rFonts w:ascii="Calibri" w:hAnsi="Calibri"/>
          <w:color w:val="231F20"/>
          <w:spacing w:val="-16"/>
          <w:w w:val="105"/>
          <w:sz w:val="17"/>
        </w:rPr>
        <w:t> </w:t>
      </w:r>
      <w:r>
        <w:rPr>
          <w:rFonts w:ascii="Calibri" w:hAnsi="Calibri"/>
          <w:color w:val="231F20"/>
          <w:w w:val="105"/>
          <w:sz w:val="17"/>
        </w:rPr>
        <w:t>2000.</w:t>
      </w:r>
    </w:p>
    <w:p>
      <w:pPr>
        <w:pStyle w:val="BodyText"/>
        <w:rPr>
          <w:rFonts w:ascii="Calibri"/>
          <w:sz w:val="20"/>
        </w:rPr>
      </w:pPr>
    </w:p>
    <w:p>
      <w:pPr>
        <w:pStyle w:val="BodyText"/>
        <w:spacing w:before="10"/>
        <w:rPr>
          <w:rFonts w:ascii="Calibri"/>
          <w:sz w:val="27"/>
        </w:rPr>
      </w:pPr>
    </w:p>
    <w:p>
      <w:pPr>
        <w:tabs>
          <w:tab w:pos="1331" w:val="left" w:leader="none"/>
        </w:tabs>
        <w:spacing w:before="68"/>
        <w:ind w:left="281" w:right="0" w:firstLine="0"/>
        <w:jc w:val="left"/>
        <w:rPr>
          <w:rFonts w:ascii="Calibri"/>
          <w:sz w:val="16"/>
        </w:rPr>
      </w:pPr>
      <w:r>
        <w:rPr/>
        <w:pict>
          <v:group style="position:absolute;margin-left:98.787804pt;margin-top:-3.358812pt;width:20.4pt;height:43pt;mso-position-horizontal-relative:page;mso-position-vertical-relative:paragraph;z-index:-172408"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44</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861" w:right="0" w:firstLine="0"/>
        <w:jc w:val="left"/>
        <w:rPr>
          <w:rFonts w:ascii="Arial" w:hAnsi="Arial"/>
          <w:sz w:val="20"/>
        </w:rPr>
      </w:pPr>
      <w:r>
        <w:rPr/>
        <w:pict>
          <v:group style="position:absolute;margin-left:383.821014pt;margin-top:-25.479271pt;width:8.65pt;height:41pt;mso-position-horizontal-relative:page;mso-position-vertical-relative:paragraph;z-index:-17236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3"/>
          <w:sz w:val="14"/>
        </w:rPr>
        <w:t> </w:t>
      </w:r>
      <w:r>
        <w:rPr>
          <w:rFonts w:ascii="Lucida Sans Unicode" w:hAnsi="Lucida Sans Unicode"/>
          <w:color w:val="6D6E71"/>
          <w:sz w:val="14"/>
        </w:rPr>
        <w:t>ESTADO</w:t>
      </w:r>
      <w:r>
        <w:rPr>
          <w:rFonts w:ascii="Lucida Sans Unicode" w:hAnsi="Lucida Sans Unicode"/>
          <w:color w:val="6D6E71"/>
          <w:spacing w:val="-23"/>
          <w:sz w:val="14"/>
        </w:rPr>
        <w:t> </w:t>
      </w:r>
      <w:r>
        <w:rPr>
          <w:rFonts w:ascii="Lucida Sans Unicode" w:hAnsi="Lucida Sans Unicode"/>
          <w:color w:val="6D6E71"/>
          <w:sz w:val="14"/>
        </w:rPr>
        <w:t>GLOBAL</w:t>
      </w:r>
      <w:r>
        <w:rPr>
          <w:rFonts w:ascii="Lucida Sans Unicode" w:hAnsi="Lucida Sans Unicode"/>
          <w:color w:val="6D6E71"/>
          <w:spacing w:val="-23"/>
          <w:sz w:val="14"/>
        </w:rPr>
        <w:t> </w:t>
      </w:r>
      <w:r>
        <w:rPr>
          <w:rFonts w:ascii="Lucida Sans Unicode" w:hAnsi="Lucida Sans Unicode"/>
          <w:color w:val="6D6E71"/>
          <w:sz w:val="14"/>
        </w:rPr>
        <w:t>Y</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EVOLUCIÓN</w:t>
      </w:r>
      <w:r>
        <w:rPr>
          <w:rFonts w:ascii="Lucida Sans Unicode" w:hAnsi="Lucida Sans Unicode"/>
          <w:color w:val="6D6E71"/>
          <w:spacing w:val="-23"/>
          <w:sz w:val="14"/>
        </w:rPr>
        <w:t> </w:t>
      </w:r>
      <w:r>
        <w:rPr>
          <w:rFonts w:ascii="Lucida Sans Unicode" w:hAnsi="Lucida Sans Unicode"/>
          <w:color w:val="6D6E71"/>
          <w:sz w:val="14"/>
        </w:rPr>
        <w:t>DE</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SOBERANÍA</w:t>
      </w:r>
      <w:r>
        <w:rPr>
          <w:rFonts w:ascii="Arial" w:hAnsi="Arial"/>
          <w:color w:val="414042"/>
          <w:position w:val="-3"/>
          <w:sz w:val="20"/>
        </w:rPr>
        <w:tab/>
        <w:t>45</w:t>
      </w:r>
    </w:p>
    <w:p>
      <w:pPr>
        <w:pStyle w:val="BodyText"/>
        <w:spacing w:line="247" w:lineRule="auto" w:before="623"/>
        <w:ind w:left="117"/>
      </w:pPr>
      <w:r>
        <w:rPr>
          <w:color w:val="231F20"/>
        </w:rPr>
        <w:t>asumida</w:t>
      </w:r>
      <w:r>
        <w:rPr>
          <w:color w:val="231F20"/>
          <w:spacing w:val="-16"/>
        </w:rPr>
        <w:t> </w:t>
      </w:r>
      <w:r>
        <w:rPr>
          <w:color w:val="231F20"/>
        </w:rPr>
        <w:t>por</w:t>
      </w:r>
      <w:r>
        <w:rPr>
          <w:color w:val="231F20"/>
          <w:spacing w:val="-16"/>
        </w:rPr>
        <w:t> </w:t>
      </w:r>
      <w:r>
        <w:rPr>
          <w:color w:val="231F20"/>
        </w:rPr>
        <w:t>los</w:t>
      </w:r>
      <w:r>
        <w:rPr>
          <w:color w:val="231F20"/>
          <w:spacing w:val="-16"/>
        </w:rPr>
        <w:t> </w:t>
      </w:r>
      <w:r>
        <w:rPr>
          <w:color w:val="231F20"/>
        </w:rPr>
        <w:t>procesos</w:t>
      </w:r>
      <w:r>
        <w:rPr>
          <w:color w:val="231F20"/>
          <w:spacing w:val="-16"/>
        </w:rPr>
        <w:t> </w:t>
      </w:r>
      <w:r>
        <w:rPr>
          <w:color w:val="231F20"/>
        </w:rPr>
        <w:t>evolutivos</w:t>
      </w:r>
      <w:r>
        <w:rPr>
          <w:color w:val="231F20"/>
          <w:spacing w:val="-16"/>
        </w:rPr>
        <w:t> </w:t>
      </w:r>
      <w:r>
        <w:rPr>
          <w:color w:val="231F20"/>
        </w:rPr>
        <w:t>deja</w:t>
      </w:r>
      <w:r>
        <w:rPr>
          <w:color w:val="231F20"/>
          <w:spacing w:val="-16"/>
        </w:rPr>
        <w:t> </w:t>
      </w:r>
      <w:r>
        <w:rPr>
          <w:color w:val="231F20"/>
        </w:rPr>
        <w:t>la</w:t>
      </w:r>
      <w:r>
        <w:rPr>
          <w:color w:val="231F20"/>
          <w:spacing w:val="-16"/>
        </w:rPr>
        <w:t> </w:t>
      </w:r>
      <w:r>
        <w:rPr>
          <w:color w:val="231F20"/>
        </w:rPr>
        <w:t>puerta</w:t>
      </w:r>
      <w:r>
        <w:rPr>
          <w:color w:val="231F20"/>
          <w:spacing w:val="-16"/>
        </w:rPr>
        <w:t> </w:t>
      </w:r>
      <w:r>
        <w:rPr>
          <w:color w:val="231F20"/>
        </w:rPr>
        <w:t>abierta</w:t>
      </w:r>
      <w:r>
        <w:rPr>
          <w:color w:val="231F20"/>
          <w:spacing w:val="-16"/>
        </w:rPr>
        <w:t> </w:t>
      </w:r>
      <w:r>
        <w:rPr>
          <w:color w:val="231F20"/>
        </w:rPr>
        <w:t>y</w:t>
      </w:r>
      <w:r>
        <w:rPr>
          <w:color w:val="231F20"/>
          <w:spacing w:val="-16"/>
        </w:rPr>
        <w:t> </w:t>
      </w:r>
      <w:r>
        <w:rPr>
          <w:color w:val="231F20"/>
        </w:rPr>
        <w:t>es</w:t>
      </w:r>
      <w:r>
        <w:rPr>
          <w:color w:val="231F20"/>
          <w:spacing w:val="-16"/>
        </w:rPr>
        <w:t> </w:t>
      </w:r>
      <w:r>
        <w:rPr>
          <w:color w:val="231F20"/>
        </w:rPr>
        <w:t>más,</w:t>
      </w:r>
      <w:r>
        <w:rPr>
          <w:color w:val="231F20"/>
          <w:spacing w:val="-16"/>
        </w:rPr>
        <w:t> </w:t>
      </w:r>
      <w:r>
        <w:rPr>
          <w:color w:val="231F20"/>
        </w:rPr>
        <w:t>plantea en modo todavía más decidido el problema de una estatalidad </w:t>
      </w:r>
      <w:r>
        <w:rPr>
          <w:color w:val="231F20"/>
          <w:spacing w:val="22"/>
        </w:rPr>
        <w:t> </w:t>
      </w:r>
      <w:r>
        <w:rPr>
          <w:color w:val="231F20"/>
        </w:rPr>
        <w:t>mundial</w:t>
      </w:r>
      <w:r>
        <w:rPr>
          <w:color w:val="231F20"/>
          <w:position w:val="7"/>
          <w:sz w:val="12"/>
        </w:rPr>
        <w:t>22</w:t>
      </w:r>
      <w:r>
        <w:rPr>
          <w:color w:val="231F20"/>
        </w:rPr>
        <w:t>.</w:t>
      </w:r>
    </w:p>
    <w:p>
      <w:pPr>
        <w:pStyle w:val="BodyText"/>
        <w:spacing w:line="247" w:lineRule="auto"/>
        <w:ind w:left="117" w:right="101" w:firstLine="566"/>
        <w:jc w:val="both"/>
      </w:pPr>
      <w:r>
        <w:rPr>
          <w:color w:val="231F20"/>
        </w:rPr>
        <w:t>Se trata por tanto de indagar sobre el concepto de Estado global  con sus diferencias y en continuidad con aquello que, con una formulación ya clásica, es definido como Estado moderno. Conceptualizar al Estado significa construir un instrumento históricamente coherente y significativo que tome en cuenta las transformaciones que intervienen en el interior de las disciplinas políticas de lo social que se han ocupado del Estado y que han contribuido a definirlo precisamente como objeto disciplinario. </w:t>
      </w:r>
      <w:r>
        <w:rPr>
          <w:color w:val="231F20"/>
          <w:spacing w:val="-3"/>
        </w:rPr>
        <w:t>Vale   </w:t>
      </w:r>
      <w:r>
        <w:rPr>
          <w:color w:val="231F20"/>
        </w:rPr>
        <w:t>la pena subrayar que se intenta reconstruir el concepto para ir más allá de la multiplicación territorial, pero también hacia la fragmentariedad de los infinitos análisis empíricos, históricos y politológicos sobre las diferentes experiencias estatales. Recientemente Mauro Calise y Theodor Lowi han introducido su </w:t>
      </w:r>
      <w:r>
        <w:rPr>
          <w:rFonts w:ascii="Arial" w:hAnsi="Arial"/>
          <w:i/>
          <w:color w:val="231F20"/>
        </w:rPr>
        <w:t>Interactive Dictionary of Political Science Concepts</w:t>
      </w:r>
      <w:r>
        <w:rPr>
          <w:rFonts w:ascii="Arial" w:hAnsi="Arial"/>
          <w:i/>
          <w:color w:val="231F20"/>
          <w:spacing w:val="-32"/>
        </w:rPr>
        <w:t> </w:t>
      </w:r>
      <w:r>
        <w:rPr>
          <w:color w:val="231F20"/>
        </w:rPr>
        <w:t>afirman- do programáticamente la necesidad de “bringing concepts back in”</w:t>
      </w:r>
      <w:r>
        <w:rPr>
          <w:color w:val="231F20"/>
          <w:position w:val="7"/>
          <w:sz w:val="12"/>
        </w:rPr>
        <w:t>23</w:t>
      </w:r>
      <w:r>
        <w:rPr>
          <w:color w:val="231F20"/>
        </w:rPr>
        <w:t>. La fórmula retoma literalmente aquella frase tan célebre utilizada a mediados de los años ochenta para reafirmar la autonomía del Estado como institu- ción: </w:t>
      </w:r>
      <w:r>
        <w:rPr>
          <w:rFonts w:ascii="Arial" w:hAnsi="Arial"/>
          <w:i/>
          <w:color w:val="231F20"/>
        </w:rPr>
        <w:t>Bringing the State Back  in</w:t>
      </w:r>
      <w:r>
        <w:rPr>
          <w:color w:val="231F20"/>
          <w:position w:val="7"/>
          <w:sz w:val="12"/>
        </w:rPr>
        <w:t>24</w:t>
      </w:r>
      <w:r>
        <w:rPr>
          <w:color w:val="231F20"/>
        </w:rPr>
        <w:t>. Resulta sin embargo significativo que en el diccionario la voz “Estado” sea construida en el cruce de muchas otras,</w:t>
      </w:r>
      <w:r>
        <w:rPr>
          <w:color w:val="231F20"/>
          <w:spacing w:val="-15"/>
        </w:rPr>
        <w:t> </w:t>
      </w:r>
      <w:r>
        <w:rPr>
          <w:color w:val="231F20"/>
        </w:rPr>
        <w:t>pero</w:t>
      </w:r>
      <w:r>
        <w:rPr>
          <w:color w:val="231F20"/>
          <w:spacing w:val="-15"/>
        </w:rPr>
        <w:t> </w:t>
      </w:r>
      <w:r>
        <w:rPr>
          <w:color w:val="231F20"/>
        </w:rPr>
        <w:t>sin</w:t>
      </w:r>
      <w:r>
        <w:rPr>
          <w:color w:val="231F20"/>
          <w:spacing w:val="-15"/>
        </w:rPr>
        <w:t> </w:t>
      </w:r>
      <w:r>
        <w:rPr>
          <w:color w:val="231F20"/>
        </w:rPr>
        <w:t>poseer</w:t>
      </w:r>
      <w:r>
        <w:rPr>
          <w:color w:val="231F20"/>
          <w:spacing w:val="-15"/>
        </w:rPr>
        <w:t> </w:t>
      </w:r>
      <w:r>
        <w:rPr>
          <w:color w:val="231F20"/>
        </w:rPr>
        <w:t>una</w:t>
      </w:r>
      <w:r>
        <w:rPr>
          <w:color w:val="231F20"/>
          <w:spacing w:val="-15"/>
        </w:rPr>
        <w:t> </w:t>
      </w:r>
      <w:r>
        <w:rPr>
          <w:color w:val="231F20"/>
        </w:rPr>
        <w:t>voz</w:t>
      </w:r>
      <w:r>
        <w:rPr>
          <w:color w:val="231F20"/>
          <w:spacing w:val="-15"/>
        </w:rPr>
        <w:t> </w:t>
      </w:r>
      <w:r>
        <w:rPr>
          <w:color w:val="231F20"/>
        </w:rPr>
        <w:t>propia,</w:t>
      </w:r>
      <w:r>
        <w:rPr>
          <w:color w:val="231F20"/>
          <w:spacing w:val="-15"/>
        </w:rPr>
        <w:t> </w:t>
      </w:r>
      <w:r>
        <w:rPr>
          <w:color w:val="231F20"/>
        </w:rPr>
        <w:t>por</w:t>
      </w:r>
      <w:r>
        <w:rPr>
          <w:color w:val="231F20"/>
          <w:spacing w:val="-15"/>
        </w:rPr>
        <w:t> </w:t>
      </w:r>
      <w:r>
        <w:rPr>
          <w:color w:val="231F20"/>
        </w:rPr>
        <w:t>así</w:t>
      </w:r>
      <w:r>
        <w:rPr>
          <w:color w:val="231F20"/>
          <w:spacing w:val="-15"/>
        </w:rPr>
        <w:t> </w:t>
      </w:r>
      <w:r>
        <w:rPr>
          <w:color w:val="231F20"/>
        </w:rPr>
        <w:t>decirlo,</w:t>
      </w:r>
      <w:r>
        <w:rPr>
          <w:color w:val="231F20"/>
          <w:spacing w:val="-15"/>
        </w:rPr>
        <w:t> </w:t>
      </w:r>
      <w:r>
        <w:rPr>
          <w:color w:val="231F20"/>
        </w:rPr>
        <w:t>narrativa.</w:t>
      </w:r>
      <w:r>
        <w:rPr>
          <w:color w:val="231F20"/>
          <w:spacing w:val="-15"/>
        </w:rPr>
        <w:t> </w:t>
      </w:r>
      <w:r>
        <w:rPr>
          <w:color w:val="231F20"/>
        </w:rPr>
        <w:t>La</w:t>
      </w:r>
      <w:r>
        <w:rPr>
          <w:color w:val="231F20"/>
          <w:spacing w:val="-15"/>
        </w:rPr>
        <w:t> </w:t>
      </w:r>
      <w:r>
        <w:rPr>
          <w:color w:val="231F20"/>
        </w:rPr>
        <w:t>dificultad de construir un concepto de Estado, si no es en la intersección de otros conceptos que terminan más por determinarlo que por ser determinados, resulta así plenamente evidente. Esto demuestra también que el Estado  es un concepto disciplinario en el sentido que es regularmente construido y reconstruido en el cruce de los discursos de las disciplinas políticas de   lo social. Se trata de sistematizaciones conjuntas, aunque con frecuencia contradictorias que sin embargo establecen los modos legítimos para refe- rirse al Estado tanto en el discurso científico como en el discurso público. Al mismo tiempo, éste es también un sujeto disciplinante que —también   a favor de esta construcción— produce e impone técnicamente procesos específicos para disciplinar lo social. No obstante, no sólo en el Derecho, sino también en las disciplinas sociales, siempre con mayor continuidad,</w:t>
      </w:r>
      <w:r>
        <w:rPr>
          <w:color w:val="231F20"/>
          <w:spacing w:val="-41"/>
        </w:rPr>
        <w:t> </w:t>
      </w:r>
      <w:r>
        <w:rPr>
          <w:color w:val="231F20"/>
        </w:rPr>
        <w:t>se vienen subrayando los límites del concepto de Estado. A decir verdad, los juristas disponen de una salida que les hace pasar del concepto de Estado al de</w:t>
      </w:r>
      <w:r>
        <w:rPr>
          <w:color w:val="231F20"/>
          <w:spacing w:val="15"/>
        </w:rPr>
        <w:t> </w:t>
      </w:r>
      <w:r>
        <w:rPr>
          <w:color w:val="231F20"/>
        </w:rPr>
        <w:t>constitución.</w:t>
      </w: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3016;mso-wrap-distance-left:0;mso-wrap-distance-right:0" from="70.866096pt,12.36646pt" to="184.252096pt,12.36646pt" stroked="true" strokeweight=".3pt" strokecolor="#231f20">
            <w10:wrap type="topAndBottom"/>
          </v:line>
        </w:pict>
      </w:r>
    </w:p>
    <w:p>
      <w:pPr>
        <w:spacing w:line="204" w:lineRule="exact" w:before="9"/>
        <w:ind w:left="117" w:right="0" w:firstLine="0"/>
        <w:jc w:val="left"/>
        <w:rPr>
          <w:rFonts w:ascii="Calibri" w:hAnsi="Calibri"/>
          <w:sz w:val="17"/>
        </w:rPr>
      </w:pPr>
      <w:r>
        <w:rPr>
          <w:rFonts w:ascii="Calibri" w:hAnsi="Calibri"/>
          <w:color w:val="231F20"/>
          <w:position w:val="6"/>
          <w:sz w:val="10"/>
        </w:rPr>
        <w:t>22 </w:t>
      </w:r>
      <w:r>
        <w:rPr>
          <w:rFonts w:ascii="Calibri" w:hAnsi="Calibri"/>
          <w:color w:val="231F20"/>
          <w:sz w:val="17"/>
        </w:rPr>
        <w:t>M. Albert y R. Stichweh (Eds.), </w:t>
      </w:r>
      <w:r>
        <w:rPr>
          <w:rFonts w:ascii="Calibri" w:hAnsi="Calibri"/>
          <w:i/>
          <w:color w:val="231F20"/>
          <w:sz w:val="17"/>
        </w:rPr>
        <w:t>Weltstaat und Weltstaatlichkeit. Beobachtungen globaler politischer </w:t>
      </w:r>
      <w:r>
        <w:rPr>
          <w:rFonts w:ascii="Calibri" w:hAnsi="Calibri"/>
          <w:i/>
          <w:color w:val="231F20"/>
          <w:w w:val="105"/>
          <w:sz w:val="17"/>
        </w:rPr>
        <w:t>Strukturbildung</w:t>
      </w:r>
      <w:r>
        <w:rPr>
          <w:rFonts w:ascii="Calibri" w:hAnsi="Calibri"/>
          <w:color w:val="231F20"/>
          <w:w w:val="105"/>
          <w:sz w:val="17"/>
        </w:rPr>
        <w:t>, Wiesbaden, Verlag für Sozialwissenschaften, 2007.</w:t>
      </w:r>
    </w:p>
    <w:p>
      <w:pPr>
        <w:spacing w:line="204" w:lineRule="exact" w:before="0"/>
        <w:ind w:left="117" w:right="0" w:firstLine="0"/>
        <w:jc w:val="left"/>
        <w:rPr>
          <w:rFonts w:ascii="Calibri"/>
          <w:sz w:val="17"/>
        </w:rPr>
      </w:pPr>
      <w:r>
        <w:rPr>
          <w:rFonts w:ascii="Calibri"/>
          <w:color w:val="231F20"/>
          <w:position w:val="6"/>
          <w:sz w:val="10"/>
        </w:rPr>
        <w:t>23 </w:t>
      </w:r>
      <w:r>
        <w:rPr>
          <w:rFonts w:ascii="Calibri"/>
          <w:color w:val="231F20"/>
          <w:sz w:val="17"/>
        </w:rPr>
        <w:t>M. Calise y Th. J. Lowi, </w:t>
      </w:r>
      <w:r>
        <w:rPr>
          <w:rFonts w:ascii="Calibri"/>
          <w:i/>
          <w:color w:val="231F20"/>
          <w:sz w:val="17"/>
        </w:rPr>
        <w:t>Hyperpolitics. An Interactive Dictionary of Political Science Concepts</w:t>
      </w:r>
      <w:r>
        <w:rPr>
          <w:rFonts w:ascii="Calibri"/>
          <w:color w:val="231F20"/>
          <w:sz w:val="17"/>
        </w:rPr>
        <w:t>, Chica- go/London, University of Chicago Press,  2010.</w:t>
      </w:r>
    </w:p>
    <w:p>
      <w:pPr>
        <w:spacing w:line="204" w:lineRule="exact" w:before="0"/>
        <w:ind w:left="117" w:right="148" w:firstLine="0"/>
        <w:jc w:val="left"/>
        <w:rPr>
          <w:rFonts w:ascii="Calibri"/>
          <w:sz w:val="17"/>
        </w:rPr>
      </w:pPr>
      <w:r>
        <w:rPr>
          <w:rFonts w:ascii="Calibri"/>
          <w:color w:val="231F20"/>
          <w:position w:val="6"/>
          <w:sz w:val="10"/>
        </w:rPr>
        <w:t>24 </w:t>
      </w:r>
      <w:r>
        <w:rPr>
          <w:rFonts w:ascii="Calibri"/>
          <w:color w:val="231F20"/>
          <w:spacing w:val="-10"/>
          <w:sz w:val="17"/>
        </w:rPr>
        <w:t>P. </w:t>
      </w:r>
      <w:r>
        <w:rPr>
          <w:rFonts w:ascii="Calibri"/>
          <w:color w:val="231F20"/>
          <w:sz w:val="17"/>
        </w:rPr>
        <w:t>B. Evans, D. Rueschemeyer y Th. Skocpol (Eds.), </w:t>
      </w:r>
      <w:r>
        <w:rPr>
          <w:rFonts w:ascii="Calibri"/>
          <w:i/>
          <w:color w:val="231F20"/>
          <w:sz w:val="17"/>
        </w:rPr>
        <w:t>Bringing the State Back in</w:t>
      </w:r>
      <w:r>
        <w:rPr>
          <w:rFonts w:ascii="Calibri"/>
          <w:color w:val="231F20"/>
          <w:sz w:val="17"/>
        </w:rPr>
        <w:t>, Cambridge/New  York, Cambridge University Press,</w:t>
      </w:r>
      <w:r>
        <w:rPr>
          <w:rFonts w:ascii="Calibri"/>
          <w:color w:val="231F20"/>
          <w:spacing w:val="9"/>
          <w:sz w:val="17"/>
        </w:rPr>
        <w:t> </w:t>
      </w:r>
      <w:r>
        <w:rPr>
          <w:rFonts w:ascii="Calibri"/>
          <w:color w:val="231F20"/>
          <w:sz w:val="17"/>
        </w:rPr>
        <w:t>1985.</w:t>
      </w:r>
    </w:p>
    <w:p>
      <w:pPr>
        <w:spacing w:after="0" w:line="204" w:lineRule="exact"/>
        <w:jc w:val="left"/>
        <w:rPr>
          <w:rFonts w:ascii="Calibri"/>
          <w:sz w:val="17"/>
        </w:rPr>
        <w:sectPr>
          <w:pgSz w:w="9640" w:h="13890"/>
          <w:pgMar w:top="0" w:bottom="280" w:left="1300" w:right="1200"/>
        </w:sectPr>
      </w:pPr>
    </w:p>
    <w:p>
      <w:pPr>
        <w:pStyle w:val="BodyText"/>
        <w:spacing w:line="247" w:lineRule="auto" w:before="107"/>
        <w:ind w:left="103" w:right="114"/>
        <w:jc w:val="both"/>
      </w:pPr>
      <w:r>
        <w:rPr>
          <w:color w:val="231F20"/>
          <w:w w:val="105"/>
        </w:rPr>
        <w:t>Hasso</w:t>
      </w:r>
      <w:r>
        <w:rPr>
          <w:color w:val="231F20"/>
          <w:spacing w:val="-13"/>
          <w:w w:val="105"/>
        </w:rPr>
        <w:t> </w:t>
      </w:r>
      <w:r>
        <w:rPr>
          <w:color w:val="231F20"/>
          <w:w w:val="105"/>
        </w:rPr>
        <w:t>Hofmann</w:t>
      </w:r>
      <w:r>
        <w:rPr>
          <w:color w:val="231F20"/>
          <w:spacing w:val="-13"/>
          <w:w w:val="105"/>
        </w:rPr>
        <w:t> </w:t>
      </w:r>
      <w:r>
        <w:rPr>
          <w:color w:val="231F20"/>
          <w:w w:val="105"/>
        </w:rPr>
        <w:t>sostiene</w:t>
      </w:r>
      <w:r>
        <w:rPr>
          <w:color w:val="231F20"/>
          <w:spacing w:val="-13"/>
          <w:w w:val="105"/>
        </w:rPr>
        <w:t> </w:t>
      </w:r>
      <w:r>
        <w:rPr>
          <w:color w:val="231F20"/>
          <w:w w:val="105"/>
        </w:rPr>
        <w:t>que</w:t>
      </w:r>
      <w:r>
        <w:rPr>
          <w:color w:val="231F20"/>
          <w:spacing w:val="-13"/>
          <w:w w:val="105"/>
        </w:rPr>
        <w:t> </w:t>
      </w:r>
      <w:r>
        <w:rPr>
          <w:color w:val="231F20"/>
          <w:w w:val="105"/>
        </w:rPr>
        <w:t>“el</w:t>
      </w:r>
      <w:r>
        <w:rPr>
          <w:color w:val="231F20"/>
          <w:spacing w:val="-13"/>
          <w:w w:val="105"/>
        </w:rPr>
        <w:t> </w:t>
      </w:r>
      <w:r>
        <w:rPr>
          <w:color w:val="231F20"/>
          <w:w w:val="105"/>
        </w:rPr>
        <w:t>concepto</w:t>
      </w:r>
      <w:r>
        <w:rPr>
          <w:color w:val="231F20"/>
          <w:spacing w:val="-13"/>
          <w:w w:val="105"/>
        </w:rPr>
        <w:t> </w:t>
      </w:r>
      <w:r>
        <w:rPr>
          <w:color w:val="231F20"/>
          <w:w w:val="105"/>
        </w:rPr>
        <w:t>de</w:t>
      </w:r>
      <w:r>
        <w:rPr>
          <w:color w:val="231F20"/>
          <w:spacing w:val="-13"/>
          <w:w w:val="105"/>
        </w:rPr>
        <w:t> </w:t>
      </w:r>
      <w:r>
        <w:rPr>
          <w:color w:val="231F20"/>
          <w:w w:val="105"/>
        </w:rPr>
        <w:t>Estado</w:t>
      </w:r>
      <w:r>
        <w:rPr>
          <w:color w:val="231F20"/>
          <w:spacing w:val="-13"/>
          <w:w w:val="105"/>
        </w:rPr>
        <w:t> </w:t>
      </w:r>
      <w:r>
        <w:rPr>
          <w:color w:val="231F20"/>
          <w:w w:val="105"/>
        </w:rPr>
        <w:t>ha</w:t>
      </w:r>
      <w:r>
        <w:rPr>
          <w:color w:val="231F20"/>
          <w:spacing w:val="-13"/>
          <w:w w:val="105"/>
        </w:rPr>
        <w:t> </w:t>
      </w:r>
      <w:r>
        <w:rPr>
          <w:color w:val="231F20"/>
          <w:w w:val="105"/>
        </w:rPr>
        <w:t>perdido</w:t>
      </w:r>
      <w:r>
        <w:rPr>
          <w:color w:val="231F20"/>
          <w:spacing w:val="-13"/>
          <w:w w:val="105"/>
        </w:rPr>
        <w:t> </w:t>
      </w:r>
      <w:r>
        <w:rPr>
          <w:color w:val="231F20"/>
          <w:w w:val="105"/>
        </w:rPr>
        <w:t>en</w:t>
      </w:r>
      <w:r>
        <w:rPr>
          <w:color w:val="231F20"/>
          <w:spacing w:val="-13"/>
          <w:w w:val="105"/>
        </w:rPr>
        <w:t> </w:t>
      </w:r>
      <w:r>
        <w:rPr>
          <w:color w:val="231F20"/>
          <w:w w:val="105"/>
        </w:rPr>
        <w:t>gran parte</w:t>
      </w:r>
      <w:r>
        <w:rPr>
          <w:color w:val="231F20"/>
          <w:spacing w:val="-34"/>
          <w:w w:val="105"/>
        </w:rPr>
        <w:t> </w:t>
      </w:r>
      <w:r>
        <w:rPr>
          <w:color w:val="231F20"/>
          <w:w w:val="105"/>
        </w:rPr>
        <w:t>su</w:t>
      </w:r>
      <w:r>
        <w:rPr>
          <w:color w:val="231F20"/>
          <w:spacing w:val="-34"/>
          <w:w w:val="105"/>
        </w:rPr>
        <w:t> </w:t>
      </w:r>
      <w:r>
        <w:rPr>
          <w:color w:val="231F20"/>
          <w:w w:val="105"/>
        </w:rPr>
        <w:t>fuerza</w:t>
      </w:r>
      <w:r>
        <w:rPr>
          <w:color w:val="231F20"/>
          <w:spacing w:val="-34"/>
          <w:w w:val="105"/>
        </w:rPr>
        <w:t> </w:t>
      </w:r>
      <w:r>
        <w:rPr>
          <w:color w:val="231F20"/>
          <w:w w:val="105"/>
        </w:rPr>
        <w:t>creadora</w:t>
      </w:r>
      <w:r>
        <w:rPr>
          <w:color w:val="231F20"/>
          <w:spacing w:val="-34"/>
          <w:w w:val="105"/>
        </w:rPr>
        <w:t> </w:t>
      </w:r>
      <w:r>
        <w:rPr>
          <w:color w:val="231F20"/>
          <w:w w:val="105"/>
        </w:rPr>
        <w:t>de</w:t>
      </w:r>
      <w:r>
        <w:rPr>
          <w:color w:val="231F20"/>
          <w:spacing w:val="-34"/>
          <w:w w:val="105"/>
        </w:rPr>
        <w:t> </w:t>
      </w:r>
      <w:r>
        <w:rPr>
          <w:color w:val="231F20"/>
          <w:w w:val="105"/>
        </w:rPr>
        <w:t>sistemas</w:t>
      </w:r>
      <w:r>
        <w:rPr>
          <w:color w:val="231F20"/>
          <w:spacing w:val="-34"/>
          <w:w w:val="105"/>
        </w:rPr>
        <w:t> </w:t>
      </w:r>
      <w:r>
        <w:rPr>
          <w:color w:val="231F20"/>
          <w:w w:val="105"/>
        </w:rPr>
        <w:t>y</w:t>
      </w:r>
      <w:r>
        <w:rPr>
          <w:color w:val="231F20"/>
          <w:spacing w:val="-34"/>
          <w:w w:val="105"/>
        </w:rPr>
        <w:t> </w:t>
      </w:r>
      <w:r>
        <w:rPr>
          <w:color w:val="231F20"/>
          <w:w w:val="105"/>
        </w:rPr>
        <w:t>el</w:t>
      </w:r>
      <w:r>
        <w:rPr>
          <w:color w:val="231F20"/>
          <w:spacing w:val="-34"/>
          <w:w w:val="105"/>
        </w:rPr>
        <w:t> </w:t>
      </w:r>
      <w:r>
        <w:rPr>
          <w:color w:val="231F20"/>
          <w:w w:val="105"/>
        </w:rPr>
        <w:t>que</w:t>
      </w:r>
      <w:r>
        <w:rPr>
          <w:color w:val="231F20"/>
          <w:spacing w:val="-34"/>
          <w:w w:val="105"/>
        </w:rPr>
        <w:t> </w:t>
      </w:r>
      <w:r>
        <w:rPr>
          <w:color w:val="231F20"/>
          <w:w w:val="105"/>
        </w:rPr>
        <w:t>gana</w:t>
      </w:r>
      <w:r>
        <w:rPr>
          <w:color w:val="231F20"/>
          <w:spacing w:val="-34"/>
          <w:w w:val="105"/>
        </w:rPr>
        <w:t> </w:t>
      </w:r>
      <w:r>
        <w:rPr>
          <w:color w:val="231F20"/>
          <w:w w:val="105"/>
        </w:rPr>
        <w:t>es</w:t>
      </w:r>
      <w:r>
        <w:rPr>
          <w:color w:val="231F20"/>
          <w:spacing w:val="-34"/>
          <w:w w:val="105"/>
        </w:rPr>
        <w:t> </w:t>
      </w:r>
      <w:r>
        <w:rPr>
          <w:color w:val="231F20"/>
          <w:w w:val="105"/>
        </w:rPr>
        <w:t>el</w:t>
      </w:r>
      <w:r>
        <w:rPr>
          <w:color w:val="231F20"/>
          <w:spacing w:val="-34"/>
          <w:w w:val="105"/>
        </w:rPr>
        <w:t> </w:t>
      </w:r>
      <w:r>
        <w:rPr>
          <w:color w:val="231F20"/>
          <w:w w:val="105"/>
        </w:rPr>
        <w:t>concepto</w:t>
      </w:r>
      <w:r>
        <w:rPr>
          <w:color w:val="231F20"/>
          <w:spacing w:val="-34"/>
          <w:w w:val="105"/>
        </w:rPr>
        <w:t> </w:t>
      </w:r>
      <w:r>
        <w:rPr>
          <w:color w:val="231F20"/>
          <w:w w:val="105"/>
        </w:rPr>
        <w:t>de</w:t>
      </w:r>
      <w:r>
        <w:rPr>
          <w:color w:val="231F20"/>
          <w:spacing w:val="-34"/>
          <w:w w:val="105"/>
        </w:rPr>
        <w:t> </w:t>
      </w:r>
      <w:r>
        <w:rPr>
          <w:color w:val="231F20"/>
          <w:w w:val="105"/>
        </w:rPr>
        <w:t>Cons- titución”</w:t>
      </w:r>
      <w:r>
        <w:rPr>
          <w:color w:val="231F20"/>
          <w:w w:val="105"/>
          <w:position w:val="7"/>
          <w:sz w:val="12"/>
        </w:rPr>
        <w:t>25</w:t>
      </w:r>
      <w:r>
        <w:rPr>
          <w:color w:val="231F20"/>
          <w:w w:val="105"/>
        </w:rPr>
        <w:t>.</w:t>
      </w:r>
      <w:r>
        <w:rPr>
          <w:color w:val="231F20"/>
          <w:spacing w:val="-28"/>
          <w:w w:val="105"/>
        </w:rPr>
        <w:t> </w:t>
      </w:r>
      <w:r>
        <w:rPr>
          <w:color w:val="231F20"/>
          <w:w w:val="105"/>
        </w:rPr>
        <w:t>En</w:t>
      </w:r>
      <w:r>
        <w:rPr>
          <w:color w:val="231F20"/>
          <w:spacing w:val="-28"/>
          <w:w w:val="105"/>
        </w:rPr>
        <w:t> </w:t>
      </w:r>
      <w:r>
        <w:rPr>
          <w:color w:val="231F20"/>
          <w:w w:val="105"/>
        </w:rPr>
        <w:t>las</w:t>
      </w:r>
      <w:r>
        <w:rPr>
          <w:color w:val="231F20"/>
          <w:spacing w:val="-28"/>
          <w:w w:val="105"/>
        </w:rPr>
        <w:t> </w:t>
      </w:r>
      <w:r>
        <w:rPr>
          <w:color w:val="231F20"/>
          <w:w w:val="105"/>
        </w:rPr>
        <w:t>mismas</w:t>
      </w:r>
      <w:r>
        <w:rPr>
          <w:color w:val="231F20"/>
          <w:spacing w:val="-28"/>
          <w:w w:val="105"/>
        </w:rPr>
        <w:t> </w:t>
      </w:r>
      <w:r>
        <w:rPr>
          <w:color w:val="231F20"/>
          <w:w w:val="105"/>
        </w:rPr>
        <w:t>Ciencias</w:t>
      </w:r>
      <w:r>
        <w:rPr>
          <w:color w:val="231F20"/>
          <w:spacing w:val="-28"/>
          <w:w w:val="105"/>
        </w:rPr>
        <w:t> </w:t>
      </w:r>
      <w:r>
        <w:rPr>
          <w:color w:val="231F20"/>
          <w:w w:val="105"/>
        </w:rPr>
        <w:t>Sociales,</w:t>
      </w:r>
      <w:r>
        <w:rPr>
          <w:color w:val="231F20"/>
          <w:spacing w:val="-28"/>
          <w:w w:val="105"/>
        </w:rPr>
        <w:t> </w:t>
      </w:r>
      <w:r>
        <w:rPr>
          <w:color w:val="231F20"/>
          <w:w w:val="105"/>
        </w:rPr>
        <w:t>que</w:t>
      </w:r>
      <w:r>
        <w:rPr>
          <w:color w:val="231F20"/>
          <w:spacing w:val="-28"/>
          <w:w w:val="105"/>
        </w:rPr>
        <w:t> </w:t>
      </w:r>
      <w:r>
        <w:rPr>
          <w:color w:val="231F20"/>
          <w:w w:val="105"/>
        </w:rPr>
        <w:t>han</w:t>
      </w:r>
      <w:r>
        <w:rPr>
          <w:color w:val="231F20"/>
          <w:spacing w:val="-28"/>
          <w:w w:val="105"/>
        </w:rPr>
        <w:t> </w:t>
      </w:r>
      <w:r>
        <w:rPr>
          <w:color w:val="231F20"/>
          <w:w w:val="105"/>
        </w:rPr>
        <w:t>contribuido</w:t>
      </w:r>
      <w:r>
        <w:rPr>
          <w:color w:val="231F20"/>
          <w:spacing w:val="-28"/>
          <w:w w:val="105"/>
        </w:rPr>
        <w:t> </w:t>
      </w:r>
      <w:r>
        <w:rPr>
          <w:color w:val="231F20"/>
          <w:w w:val="105"/>
        </w:rPr>
        <w:t>en</w:t>
      </w:r>
      <w:r>
        <w:rPr>
          <w:color w:val="231F20"/>
          <w:spacing w:val="-28"/>
          <w:w w:val="105"/>
        </w:rPr>
        <w:t> </w:t>
      </w:r>
      <w:r>
        <w:rPr>
          <w:color w:val="231F20"/>
          <w:w w:val="105"/>
        </w:rPr>
        <w:t>forma tal</w:t>
      </w:r>
      <w:r>
        <w:rPr>
          <w:color w:val="231F20"/>
          <w:spacing w:val="-25"/>
          <w:w w:val="105"/>
        </w:rPr>
        <w:t> </w:t>
      </w:r>
      <w:r>
        <w:rPr>
          <w:color w:val="231F20"/>
          <w:w w:val="105"/>
        </w:rPr>
        <w:t>vez</w:t>
      </w:r>
      <w:r>
        <w:rPr>
          <w:color w:val="231F20"/>
          <w:spacing w:val="-25"/>
          <w:w w:val="105"/>
        </w:rPr>
        <w:t> </w:t>
      </w:r>
      <w:r>
        <w:rPr>
          <w:color w:val="231F20"/>
          <w:w w:val="105"/>
        </w:rPr>
        <w:t>decisiva</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w w:val="105"/>
        </w:rPr>
        <w:t>sistematización</w:t>
      </w:r>
      <w:r>
        <w:rPr>
          <w:color w:val="231F20"/>
          <w:spacing w:val="-25"/>
          <w:w w:val="105"/>
        </w:rPr>
        <w:t> </w:t>
      </w:r>
      <w:r>
        <w:rPr>
          <w:color w:val="231F20"/>
          <w:w w:val="105"/>
        </w:rPr>
        <w:t>del</w:t>
      </w:r>
      <w:r>
        <w:rPr>
          <w:color w:val="231F20"/>
          <w:spacing w:val="-25"/>
          <w:w w:val="105"/>
        </w:rPr>
        <w:t> </w:t>
      </w:r>
      <w:r>
        <w:rPr>
          <w:color w:val="231F20"/>
          <w:w w:val="105"/>
        </w:rPr>
        <w:t>concepto</w:t>
      </w:r>
      <w:r>
        <w:rPr>
          <w:color w:val="231F20"/>
          <w:spacing w:val="-25"/>
          <w:w w:val="105"/>
        </w:rPr>
        <w:t> </w:t>
      </w:r>
      <w:r>
        <w:rPr>
          <w:color w:val="231F20"/>
          <w:w w:val="105"/>
        </w:rPr>
        <w:t>de</w:t>
      </w:r>
      <w:r>
        <w:rPr>
          <w:color w:val="231F20"/>
          <w:spacing w:val="-25"/>
          <w:w w:val="105"/>
        </w:rPr>
        <w:t> </w:t>
      </w:r>
      <w:r>
        <w:rPr>
          <w:color w:val="231F20"/>
          <w:w w:val="105"/>
        </w:rPr>
        <w:t>Estado</w:t>
      </w:r>
      <w:r>
        <w:rPr>
          <w:color w:val="231F20"/>
          <w:spacing w:val="-25"/>
          <w:w w:val="105"/>
        </w:rPr>
        <w:t> </w:t>
      </w:r>
      <w:r>
        <w:rPr>
          <w:color w:val="231F20"/>
          <w:w w:val="105"/>
        </w:rPr>
        <w:t>moderno</w:t>
      </w:r>
      <w:r>
        <w:rPr>
          <w:color w:val="231F20"/>
          <w:w w:val="105"/>
          <w:position w:val="7"/>
          <w:sz w:val="12"/>
        </w:rPr>
        <w:t>26</w:t>
      </w:r>
      <w:r>
        <w:rPr>
          <w:color w:val="231F20"/>
          <w:w w:val="105"/>
        </w:rPr>
        <w:t>,</w:t>
      </w:r>
      <w:r>
        <w:rPr>
          <w:color w:val="231F20"/>
          <w:spacing w:val="-25"/>
          <w:w w:val="105"/>
        </w:rPr>
        <w:t> </w:t>
      </w:r>
      <w:r>
        <w:rPr>
          <w:color w:val="231F20"/>
          <w:w w:val="105"/>
        </w:rPr>
        <w:t>se ha</w:t>
      </w:r>
      <w:r>
        <w:rPr>
          <w:color w:val="231F20"/>
          <w:spacing w:val="-10"/>
          <w:w w:val="105"/>
        </w:rPr>
        <w:t> </w:t>
      </w:r>
      <w:r>
        <w:rPr>
          <w:color w:val="231F20"/>
          <w:w w:val="105"/>
        </w:rPr>
        <w:t>afirmado</w:t>
      </w:r>
      <w:r>
        <w:rPr>
          <w:color w:val="231F20"/>
          <w:spacing w:val="-10"/>
          <w:w w:val="105"/>
        </w:rPr>
        <w:t> </w:t>
      </w:r>
      <w:r>
        <w:rPr>
          <w:color w:val="231F20"/>
          <w:w w:val="105"/>
        </w:rPr>
        <w:t>un</w:t>
      </w:r>
      <w:r>
        <w:rPr>
          <w:color w:val="231F20"/>
          <w:spacing w:val="-10"/>
          <w:w w:val="105"/>
        </w:rPr>
        <w:t> </w:t>
      </w:r>
      <w:r>
        <w:rPr>
          <w:color w:val="231F20"/>
          <w:w w:val="105"/>
        </w:rPr>
        <w:t>específico</w:t>
      </w:r>
      <w:r>
        <w:rPr>
          <w:color w:val="231F20"/>
          <w:spacing w:val="-10"/>
          <w:w w:val="105"/>
        </w:rPr>
        <w:t> </w:t>
      </w:r>
      <w:r>
        <w:rPr>
          <w:color w:val="231F20"/>
          <w:w w:val="105"/>
        </w:rPr>
        <w:t>“desencanto</w:t>
      </w:r>
      <w:r>
        <w:rPr>
          <w:color w:val="231F20"/>
          <w:spacing w:val="-10"/>
          <w:w w:val="105"/>
        </w:rPr>
        <w:t> </w:t>
      </w:r>
      <w:r>
        <w:rPr>
          <w:color w:val="231F20"/>
          <w:w w:val="105"/>
        </w:rPr>
        <w:t>sociológico”</w:t>
      </w:r>
      <w:r>
        <w:rPr>
          <w:color w:val="231F20"/>
          <w:spacing w:val="-10"/>
          <w:w w:val="105"/>
        </w:rPr>
        <w:t> </w:t>
      </w:r>
      <w:r>
        <w:rPr>
          <w:color w:val="231F20"/>
          <w:w w:val="105"/>
        </w:rPr>
        <w:t>sobre</w:t>
      </w:r>
      <w:r>
        <w:rPr>
          <w:color w:val="231F20"/>
          <w:spacing w:val="-10"/>
          <w:w w:val="105"/>
        </w:rPr>
        <w:t> </w:t>
      </w:r>
      <w:r>
        <w:rPr>
          <w:color w:val="231F20"/>
          <w:w w:val="105"/>
        </w:rPr>
        <w:t>el</w:t>
      </w:r>
      <w:r>
        <w:rPr>
          <w:color w:val="231F20"/>
          <w:spacing w:val="-10"/>
          <w:w w:val="105"/>
        </w:rPr>
        <w:t> </w:t>
      </w:r>
      <w:r>
        <w:rPr>
          <w:color w:val="231F20"/>
          <w:w w:val="105"/>
        </w:rPr>
        <w:t>Estado,</w:t>
      </w:r>
      <w:r>
        <w:rPr>
          <w:color w:val="231F20"/>
          <w:spacing w:val="-10"/>
          <w:w w:val="105"/>
        </w:rPr>
        <w:t> </w:t>
      </w:r>
      <w:r>
        <w:rPr>
          <w:color w:val="231F20"/>
          <w:w w:val="105"/>
        </w:rPr>
        <w:t>po- niéndolo</w:t>
      </w:r>
      <w:r>
        <w:rPr>
          <w:color w:val="231F20"/>
          <w:spacing w:val="-25"/>
          <w:w w:val="105"/>
        </w:rPr>
        <w:t> </w:t>
      </w:r>
      <w:r>
        <w:rPr>
          <w:color w:val="231F20"/>
          <w:w w:val="105"/>
        </w:rPr>
        <w:t>como</w:t>
      </w:r>
      <w:r>
        <w:rPr>
          <w:color w:val="231F20"/>
          <w:spacing w:val="-25"/>
          <w:w w:val="105"/>
        </w:rPr>
        <w:t> </w:t>
      </w:r>
      <w:r>
        <w:rPr>
          <w:color w:val="231F20"/>
          <w:w w:val="105"/>
        </w:rPr>
        <w:t>sistema</w:t>
      </w:r>
      <w:r>
        <w:rPr>
          <w:color w:val="231F20"/>
          <w:spacing w:val="-25"/>
          <w:w w:val="105"/>
        </w:rPr>
        <w:t> </w:t>
      </w:r>
      <w:r>
        <w:rPr>
          <w:color w:val="231F20"/>
          <w:w w:val="105"/>
        </w:rPr>
        <w:t>descentralizado</w:t>
      </w:r>
      <w:r>
        <w:rPr>
          <w:color w:val="231F20"/>
          <w:spacing w:val="-25"/>
          <w:w w:val="105"/>
        </w:rPr>
        <w:t> </w:t>
      </w:r>
      <w:r>
        <w:rPr>
          <w:color w:val="231F20"/>
          <w:w w:val="105"/>
        </w:rPr>
        <w:t>al</w:t>
      </w:r>
      <w:r>
        <w:rPr>
          <w:color w:val="231F20"/>
          <w:spacing w:val="-25"/>
          <w:w w:val="105"/>
        </w:rPr>
        <w:t> </w:t>
      </w:r>
      <w:r>
        <w:rPr>
          <w:color w:val="231F20"/>
          <w:w w:val="105"/>
        </w:rPr>
        <w:t>interior</w:t>
      </w:r>
      <w:r>
        <w:rPr>
          <w:color w:val="231F20"/>
          <w:spacing w:val="-25"/>
          <w:w w:val="105"/>
        </w:rPr>
        <w:t> </w:t>
      </w:r>
      <w:r>
        <w:rPr>
          <w:color w:val="231F20"/>
          <w:w w:val="105"/>
        </w:rPr>
        <w:t>del</w:t>
      </w:r>
      <w:r>
        <w:rPr>
          <w:color w:val="231F20"/>
          <w:spacing w:val="-25"/>
          <w:w w:val="105"/>
        </w:rPr>
        <w:t> </w:t>
      </w:r>
      <w:r>
        <w:rPr>
          <w:color w:val="231F20"/>
          <w:w w:val="105"/>
        </w:rPr>
        <w:t>sistema</w:t>
      </w:r>
      <w:r>
        <w:rPr>
          <w:color w:val="231F20"/>
          <w:spacing w:val="-25"/>
          <w:w w:val="105"/>
        </w:rPr>
        <w:t> </w:t>
      </w:r>
      <w:r>
        <w:rPr>
          <w:color w:val="231F20"/>
          <w:w w:val="105"/>
        </w:rPr>
        <w:t>social</w:t>
      </w:r>
      <w:r>
        <w:rPr>
          <w:color w:val="231F20"/>
          <w:spacing w:val="-25"/>
          <w:w w:val="105"/>
        </w:rPr>
        <w:t> </w:t>
      </w:r>
      <w:r>
        <w:rPr>
          <w:color w:val="231F20"/>
          <w:w w:val="105"/>
        </w:rPr>
        <w:t>en</w:t>
      </w:r>
      <w:r>
        <w:rPr>
          <w:color w:val="231F20"/>
          <w:spacing w:val="-25"/>
          <w:w w:val="105"/>
        </w:rPr>
        <w:t> </w:t>
      </w:r>
      <w:r>
        <w:rPr>
          <w:color w:val="231F20"/>
          <w:w w:val="105"/>
        </w:rPr>
        <w:t>su conjunto,</w:t>
      </w:r>
      <w:r>
        <w:rPr>
          <w:color w:val="231F20"/>
          <w:spacing w:val="-28"/>
          <w:w w:val="105"/>
        </w:rPr>
        <w:t> </w:t>
      </w:r>
      <w:r>
        <w:rPr>
          <w:color w:val="231F20"/>
          <w:w w:val="105"/>
        </w:rPr>
        <w:t>la</w:t>
      </w:r>
      <w:r>
        <w:rPr>
          <w:color w:val="231F20"/>
          <w:spacing w:val="-28"/>
          <w:w w:val="105"/>
        </w:rPr>
        <w:t> </w:t>
      </w:r>
      <w:r>
        <w:rPr>
          <w:color w:val="231F20"/>
          <w:w w:val="105"/>
        </w:rPr>
        <w:t>cual</w:t>
      </w:r>
      <w:r>
        <w:rPr>
          <w:color w:val="231F20"/>
          <w:spacing w:val="-28"/>
          <w:w w:val="105"/>
        </w:rPr>
        <w:t> </w:t>
      </w:r>
      <w:r>
        <w:rPr>
          <w:color w:val="231F20"/>
          <w:w w:val="105"/>
        </w:rPr>
        <w:t>tematiza</w:t>
      </w:r>
      <w:r>
        <w:rPr>
          <w:color w:val="231F20"/>
          <w:spacing w:val="-28"/>
          <w:w w:val="105"/>
        </w:rPr>
        <w:t> </w:t>
      </w:r>
      <w:r>
        <w:rPr>
          <w:color w:val="231F20"/>
          <w:w w:val="105"/>
        </w:rPr>
        <w:t>una</w:t>
      </w:r>
      <w:r>
        <w:rPr>
          <w:color w:val="231F20"/>
          <w:spacing w:val="-28"/>
          <w:w w:val="105"/>
        </w:rPr>
        <w:t> </w:t>
      </w:r>
      <w:r>
        <w:rPr>
          <w:color w:val="231F20"/>
          <w:w w:val="105"/>
        </w:rPr>
        <w:t>específica</w:t>
      </w:r>
      <w:r>
        <w:rPr>
          <w:color w:val="231F20"/>
          <w:spacing w:val="-28"/>
          <w:w w:val="105"/>
        </w:rPr>
        <w:t> </w:t>
      </w:r>
      <w:r>
        <w:rPr>
          <w:color w:val="231F20"/>
          <w:w w:val="105"/>
        </w:rPr>
        <w:t>modestia</w:t>
      </w:r>
      <w:r>
        <w:rPr>
          <w:color w:val="231F20"/>
          <w:spacing w:val="-28"/>
          <w:w w:val="105"/>
        </w:rPr>
        <w:t> </w:t>
      </w:r>
      <w:r>
        <w:rPr>
          <w:color w:val="231F20"/>
          <w:w w:val="105"/>
        </w:rPr>
        <w:t>del</w:t>
      </w:r>
      <w:r>
        <w:rPr>
          <w:color w:val="231F20"/>
          <w:spacing w:val="-28"/>
          <w:w w:val="105"/>
        </w:rPr>
        <w:t> </w:t>
      </w:r>
      <w:r>
        <w:rPr>
          <w:color w:val="231F20"/>
          <w:w w:val="105"/>
        </w:rPr>
        <w:t>Estado</w:t>
      </w:r>
      <w:r>
        <w:rPr>
          <w:color w:val="231F20"/>
          <w:spacing w:val="-28"/>
          <w:w w:val="105"/>
        </w:rPr>
        <w:t> </w:t>
      </w:r>
      <w:r>
        <w:rPr>
          <w:color w:val="231F20"/>
          <w:w w:val="105"/>
        </w:rPr>
        <w:t>que</w:t>
      </w:r>
      <w:r>
        <w:rPr>
          <w:color w:val="231F20"/>
          <w:spacing w:val="-28"/>
          <w:w w:val="105"/>
        </w:rPr>
        <w:t> </w:t>
      </w:r>
      <w:r>
        <w:rPr>
          <w:color w:val="231F20"/>
          <w:w w:val="105"/>
        </w:rPr>
        <w:t>debería llevarlo</w:t>
      </w:r>
      <w:r>
        <w:rPr>
          <w:color w:val="231F20"/>
          <w:spacing w:val="-15"/>
          <w:w w:val="105"/>
        </w:rPr>
        <w:t> </w:t>
      </w:r>
      <w:r>
        <w:rPr>
          <w:color w:val="231F20"/>
          <w:w w:val="105"/>
        </w:rPr>
        <w:t>a</w:t>
      </w:r>
      <w:r>
        <w:rPr>
          <w:color w:val="231F20"/>
          <w:spacing w:val="-15"/>
          <w:w w:val="105"/>
        </w:rPr>
        <w:t> </w:t>
      </w:r>
      <w:r>
        <w:rPr>
          <w:color w:val="231F20"/>
          <w:w w:val="105"/>
        </w:rPr>
        <w:t>reconocer</w:t>
      </w:r>
      <w:r>
        <w:rPr>
          <w:color w:val="231F20"/>
          <w:spacing w:val="-15"/>
          <w:w w:val="105"/>
        </w:rPr>
        <w:t> </w:t>
      </w:r>
      <w:r>
        <w:rPr>
          <w:color w:val="231F20"/>
          <w:w w:val="105"/>
        </w:rPr>
        <w:t>irónicamente</w:t>
      </w:r>
      <w:r>
        <w:rPr>
          <w:color w:val="231F20"/>
          <w:spacing w:val="-15"/>
          <w:w w:val="105"/>
        </w:rPr>
        <w:t> </w:t>
      </w:r>
      <w:r>
        <w:rPr>
          <w:color w:val="231F20"/>
          <w:w w:val="105"/>
        </w:rPr>
        <w:t>la</w:t>
      </w:r>
      <w:r>
        <w:rPr>
          <w:color w:val="231F20"/>
          <w:spacing w:val="-15"/>
          <w:w w:val="105"/>
        </w:rPr>
        <w:t> </w:t>
      </w:r>
      <w:r>
        <w:rPr>
          <w:color w:val="231F20"/>
          <w:w w:val="105"/>
        </w:rPr>
        <w:t>ya</w:t>
      </w:r>
      <w:r>
        <w:rPr>
          <w:color w:val="231F20"/>
          <w:spacing w:val="-15"/>
          <w:w w:val="105"/>
        </w:rPr>
        <w:t> </w:t>
      </w:r>
      <w:r>
        <w:rPr>
          <w:color w:val="231F20"/>
          <w:w w:val="105"/>
        </w:rPr>
        <w:t>propia</w:t>
      </w:r>
      <w:r>
        <w:rPr>
          <w:color w:val="231F20"/>
          <w:spacing w:val="-15"/>
          <w:w w:val="105"/>
        </w:rPr>
        <w:t> </w:t>
      </w:r>
      <w:r>
        <w:rPr>
          <w:color w:val="231F20"/>
          <w:w w:val="105"/>
        </w:rPr>
        <w:t>e</w:t>
      </w:r>
      <w:r>
        <w:rPr>
          <w:color w:val="231F20"/>
          <w:spacing w:val="-15"/>
          <w:w w:val="105"/>
        </w:rPr>
        <w:t> </w:t>
      </w:r>
      <w:r>
        <w:rPr>
          <w:color w:val="231F20"/>
          <w:w w:val="105"/>
        </w:rPr>
        <w:t>inequívoca</w:t>
      </w:r>
      <w:r>
        <w:rPr>
          <w:color w:val="231F20"/>
          <w:spacing w:val="-15"/>
          <w:w w:val="105"/>
        </w:rPr>
        <w:t> </w:t>
      </w:r>
      <w:r>
        <w:rPr>
          <w:color w:val="231F20"/>
          <w:w w:val="105"/>
        </w:rPr>
        <w:t>parcialidad</w:t>
      </w:r>
      <w:r>
        <w:rPr>
          <w:color w:val="231F20"/>
          <w:w w:val="105"/>
          <w:position w:val="7"/>
          <w:sz w:val="12"/>
        </w:rPr>
        <w:t>27</w:t>
      </w:r>
      <w:r>
        <w:rPr>
          <w:color w:val="231F20"/>
          <w:w w:val="105"/>
        </w:rPr>
        <w:t>. Se</w:t>
      </w:r>
      <w:r>
        <w:rPr>
          <w:color w:val="231F20"/>
          <w:spacing w:val="-5"/>
          <w:w w:val="105"/>
        </w:rPr>
        <w:t> </w:t>
      </w:r>
      <w:r>
        <w:rPr>
          <w:color w:val="231F20"/>
          <w:w w:val="105"/>
        </w:rPr>
        <w:t>trata</w:t>
      </w:r>
      <w:r>
        <w:rPr>
          <w:color w:val="231F20"/>
          <w:spacing w:val="-5"/>
          <w:w w:val="105"/>
        </w:rPr>
        <w:t> </w:t>
      </w:r>
      <w:r>
        <w:rPr>
          <w:color w:val="231F20"/>
          <w:w w:val="105"/>
        </w:rPr>
        <w:t>de</w:t>
      </w:r>
      <w:r>
        <w:rPr>
          <w:color w:val="231F20"/>
          <w:spacing w:val="-5"/>
          <w:w w:val="105"/>
        </w:rPr>
        <w:t> </w:t>
      </w:r>
      <w:r>
        <w:rPr>
          <w:color w:val="231F20"/>
          <w:w w:val="105"/>
        </w:rPr>
        <w:t>una</w:t>
      </w:r>
      <w:r>
        <w:rPr>
          <w:color w:val="231F20"/>
          <w:spacing w:val="-5"/>
          <w:w w:val="105"/>
        </w:rPr>
        <w:t> </w:t>
      </w:r>
      <w:r>
        <w:rPr>
          <w:color w:val="231F20"/>
          <w:w w:val="105"/>
        </w:rPr>
        <w:t>tendencia</w:t>
      </w:r>
      <w:r>
        <w:rPr>
          <w:color w:val="231F20"/>
          <w:spacing w:val="-5"/>
          <w:w w:val="105"/>
        </w:rPr>
        <w:t> </w:t>
      </w:r>
      <w:r>
        <w:rPr>
          <w:color w:val="231F20"/>
          <w:w w:val="105"/>
        </w:rPr>
        <w:t>reciente</w:t>
      </w:r>
      <w:r>
        <w:rPr>
          <w:color w:val="231F20"/>
          <w:spacing w:val="-5"/>
          <w:w w:val="105"/>
        </w:rPr>
        <w:t> </w:t>
      </w:r>
      <w:r>
        <w:rPr>
          <w:color w:val="231F20"/>
          <w:w w:val="105"/>
        </w:rPr>
        <w:t>en</w:t>
      </w:r>
      <w:r>
        <w:rPr>
          <w:color w:val="231F20"/>
          <w:spacing w:val="-5"/>
          <w:w w:val="105"/>
        </w:rPr>
        <w:t> </w:t>
      </w:r>
      <w:r>
        <w:rPr>
          <w:color w:val="231F20"/>
          <w:w w:val="105"/>
        </w:rPr>
        <w:t>Sociología</w:t>
      </w:r>
      <w:r>
        <w:rPr>
          <w:color w:val="231F20"/>
          <w:spacing w:val="-5"/>
          <w:w w:val="105"/>
        </w:rPr>
        <w:t> </w:t>
      </w:r>
      <w:r>
        <w:rPr>
          <w:color w:val="231F20"/>
          <w:w w:val="105"/>
        </w:rPr>
        <w:t>que</w:t>
      </w:r>
      <w:r>
        <w:rPr>
          <w:color w:val="231F20"/>
          <w:spacing w:val="-5"/>
          <w:w w:val="105"/>
        </w:rPr>
        <w:t> </w:t>
      </w:r>
      <w:r>
        <w:rPr>
          <w:color w:val="231F20"/>
          <w:w w:val="105"/>
        </w:rPr>
        <w:t>sin</w:t>
      </w:r>
      <w:r>
        <w:rPr>
          <w:color w:val="231F20"/>
          <w:spacing w:val="-5"/>
          <w:w w:val="105"/>
        </w:rPr>
        <w:t> </w:t>
      </w:r>
      <w:r>
        <w:rPr>
          <w:color w:val="231F20"/>
          <w:w w:val="105"/>
        </w:rPr>
        <w:t>embargo</w:t>
      </w:r>
      <w:r>
        <w:rPr>
          <w:color w:val="231F20"/>
          <w:spacing w:val="-5"/>
          <w:w w:val="105"/>
        </w:rPr>
        <w:t> </w:t>
      </w:r>
      <w:r>
        <w:rPr>
          <w:color w:val="231F20"/>
          <w:w w:val="105"/>
        </w:rPr>
        <w:t>tiene antecedentes</w:t>
      </w:r>
      <w:r>
        <w:rPr>
          <w:color w:val="231F20"/>
          <w:spacing w:val="-17"/>
          <w:w w:val="105"/>
        </w:rPr>
        <w:t> </w:t>
      </w:r>
      <w:r>
        <w:rPr>
          <w:color w:val="231F20"/>
          <w:w w:val="105"/>
        </w:rPr>
        <w:t>célebres</w:t>
      </w:r>
      <w:r>
        <w:rPr>
          <w:color w:val="231F20"/>
          <w:spacing w:val="-17"/>
          <w:w w:val="105"/>
        </w:rPr>
        <w:t> </w:t>
      </w:r>
      <w:r>
        <w:rPr>
          <w:color w:val="231F20"/>
          <w:w w:val="105"/>
        </w:rPr>
        <w:t>en</w:t>
      </w:r>
      <w:r>
        <w:rPr>
          <w:color w:val="231F20"/>
          <w:spacing w:val="-17"/>
          <w:w w:val="105"/>
        </w:rPr>
        <w:t> </w:t>
      </w:r>
      <w:r>
        <w:rPr>
          <w:color w:val="231F20"/>
          <w:w w:val="105"/>
        </w:rPr>
        <w:t>otras</w:t>
      </w:r>
      <w:r>
        <w:rPr>
          <w:color w:val="231F20"/>
          <w:spacing w:val="-17"/>
          <w:w w:val="105"/>
        </w:rPr>
        <w:t> </w:t>
      </w:r>
      <w:r>
        <w:rPr>
          <w:color w:val="231F20"/>
          <w:w w:val="105"/>
        </w:rPr>
        <w:t>disciplinas.</w:t>
      </w:r>
      <w:r>
        <w:rPr>
          <w:color w:val="231F20"/>
          <w:spacing w:val="-17"/>
          <w:w w:val="105"/>
        </w:rPr>
        <w:t> </w:t>
      </w:r>
      <w:r>
        <w:rPr>
          <w:color w:val="231F20"/>
          <w:spacing w:val="-10"/>
          <w:w w:val="105"/>
        </w:rPr>
        <w:t>Ya</w:t>
      </w:r>
      <w:r>
        <w:rPr>
          <w:color w:val="231F20"/>
          <w:spacing w:val="35"/>
          <w:w w:val="105"/>
        </w:rPr>
        <w:t> </w:t>
      </w:r>
      <w:r>
        <w:rPr>
          <w:color w:val="231F20"/>
          <w:w w:val="105"/>
        </w:rPr>
        <w:t>Alessandro</w:t>
      </w:r>
      <w:r>
        <w:rPr>
          <w:color w:val="231F20"/>
          <w:spacing w:val="-17"/>
          <w:w w:val="105"/>
        </w:rPr>
        <w:t> </w:t>
      </w:r>
      <w:r>
        <w:rPr>
          <w:color w:val="231F20"/>
          <w:w w:val="105"/>
        </w:rPr>
        <w:t>Passerin</w:t>
      </w:r>
      <w:r>
        <w:rPr>
          <w:color w:val="231F20"/>
          <w:spacing w:val="-17"/>
          <w:w w:val="105"/>
        </w:rPr>
        <w:t> </w:t>
      </w:r>
      <w:r>
        <w:rPr>
          <w:color w:val="231F20"/>
          <w:w w:val="105"/>
        </w:rPr>
        <w:t>d’En- treves, podía distinguir que “la disolución del concepto de Estado en la moderna</w:t>
      </w:r>
      <w:r>
        <w:rPr>
          <w:color w:val="231F20"/>
          <w:spacing w:val="-16"/>
          <w:w w:val="105"/>
        </w:rPr>
        <w:t> </w:t>
      </w:r>
      <w:r>
        <w:rPr>
          <w:color w:val="231F20"/>
          <w:w w:val="105"/>
        </w:rPr>
        <w:t>ciencia</w:t>
      </w:r>
      <w:r>
        <w:rPr>
          <w:color w:val="231F20"/>
          <w:spacing w:val="-16"/>
          <w:w w:val="105"/>
        </w:rPr>
        <w:t> </w:t>
      </w:r>
      <w:r>
        <w:rPr>
          <w:color w:val="231F20"/>
          <w:w w:val="105"/>
        </w:rPr>
        <w:t>política”</w:t>
      </w:r>
      <w:r>
        <w:rPr>
          <w:color w:val="231F20"/>
          <w:w w:val="105"/>
          <w:position w:val="7"/>
          <w:sz w:val="12"/>
        </w:rPr>
        <w:t>28</w:t>
      </w:r>
      <w:r>
        <w:rPr>
          <w:color w:val="231F20"/>
          <w:spacing w:val="14"/>
          <w:w w:val="105"/>
          <w:position w:val="7"/>
          <w:sz w:val="12"/>
        </w:rPr>
        <w:t> </w:t>
      </w:r>
      <w:r>
        <w:rPr>
          <w:color w:val="231F20"/>
          <w:w w:val="105"/>
        </w:rPr>
        <w:t>no</w:t>
      </w:r>
      <w:r>
        <w:rPr>
          <w:color w:val="231F20"/>
          <w:spacing w:val="-16"/>
          <w:w w:val="105"/>
        </w:rPr>
        <w:t> </w:t>
      </w:r>
      <w:r>
        <w:rPr>
          <w:color w:val="231F20"/>
          <w:w w:val="105"/>
        </w:rPr>
        <w:t>es</w:t>
      </w:r>
      <w:r>
        <w:rPr>
          <w:color w:val="231F20"/>
          <w:spacing w:val="-16"/>
          <w:w w:val="105"/>
        </w:rPr>
        <w:t> </w:t>
      </w:r>
      <w:r>
        <w:rPr>
          <w:color w:val="231F20"/>
          <w:w w:val="105"/>
        </w:rPr>
        <w:t>un</w:t>
      </w:r>
      <w:r>
        <w:rPr>
          <w:color w:val="231F20"/>
          <w:spacing w:val="-16"/>
          <w:w w:val="105"/>
        </w:rPr>
        <w:t> </w:t>
      </w:r>
      <w:r>
        <w:rPr>
          <w:color w:val="231F20"/>
          <w:w w:val="105"/>
        </w:rPr>
        <w:t>hecho</w:t>
      </w:r>
      <w:r>
        <w:rPr>
          <w:color w:val="231F20"/>
          <w:spacing w:val="-16"/>
          <w:w w:val="105"/>
        </w:rPr>
        <w:t> </w:t>
      </w:r>
      <w:r>
        <w:rPr>
          <w:color w:val="231F20"/>
          <w:w w:val="105"/>
        </w:rPr>
        <w:t>episódico,</w:t>
      </w:r>
      <w:r>
        <w:rPr>
          <w:color w:val="231F20"/>
          <w:spacing w:val="-16"/>
          <w:w w:val="105"/>
        </w:rPr>
        <w:t> </w:t>
      </w:r>
      <w:r>
        <w:rPr>
          <w:color w:val="231F20"/>
          <w:w w:val="105"/>
        </w:rPr>
        <w:t>sino</w:t>
      </w:r>
      <w:r>
        <w:rPr>
          <w:color w:val="231F20"/>
          <w:spacing w:val="-16"/>
          <w:w w:val="105"/>
        </w:rPr>
        <w:t> </w:t>
      </w:r>
      <w:r>
        <w:rPr>
          <w:color w:val="231F20"/>
          <w:w w:val="105"/>
        </w:rPr>
        <w:t>una</w:t>
      </w:r>
      <w:r>
        <w:rPr>
          <w:color w:val="231F20"/>
          <w:spacing w:val="-16"/>
          <w:w w:val="105"/>
        </w:rPr>
        <w:t> </w:t>
      </w:r>
      <w:r>
        <w:rPr>
          <w:color w:val="231F20"/>
          <w:w w:val="105"/>
        </w:rPr>
        <w:t>tendencia histórica</w:t>
      </w:r>
      <w:r>
        <w:rPr>
          <w:color w:val="231F20"/>
          <w:spacing w:val="-13"/>
          <w:w w:val="105"/>
        </w:rPr>
        <w:t> </w:t>
      </w:r>
      <w:r>
        <w:rPr>
          <w:color w:val="231F20"/>
          <w:w w:val="105"/>
        </w:rPr>
        <w:t>de</w:t>
      </w:r>
      <w:r>
        <w:rPr>
          <w:color w:val="231F20"/>
          <w:spacing w:val="-13"/>
          <w:w w:val="105"/>
        </w:rPr>
        <w:t> </w:t>
      </w:r>
      <w:r>
        <w:rPr>
          <w:color w:val="231F20"/>
          <w:w w:val="105"/>
        </w:rPr>
        <w:t>largo</w:t>
      </w:r>
      <w:r>
        <w:rPr>
          <w:color w:val="231F20"/>
          <w:spacing w:val="-13"/>
          <w:w w:val="105"/>
        </w:rPr>
        <w:t> </w:t>
      </w:r>
      <w:r>
        <w:rPr>
          <w:color w:val="231F20"/>
          <w:w w:val="105"/>
        </w:rPr>
        <w:t>periodo.</w:t>
      </w:r>
      <w:r>
        <w:rPr>
          <w:color w:val="231F20"/>
          <w:spacing w:val="-13"/>
          <w:w w:val="105"/>
        </w:rPr>
        <w:t> </w:t>
      </w:r>
      <w:r>
        <w:rPr>
          <w:color w:val="231F20"/>
          <w:w w:val="105"/>
        </w:rPr>
        <w:t>En</w:t>
      </w:r>
      <w:r>
        <w:rPr>
          <w:color w:val="231F20"/>
          <w:spacing w:val="-13"/>
          <w:w w:val="105"/>
        </w:rPr>
        <w:t> </w:t>
      </w:r>
      <w:r>
        <w:rPr>
          <w:color w:val="231F20"/>
          <w:w w:val="105"/>
        </w:rPr>
        <w:t>efecto,</w:t>
      </w:r>
      <w:r>
        <w:rPr>
          <w:color w:val="231F20"/>
          <w:spacing w:val="-13"/>
          <w:w w:val="105"/>
        </w:rPr>
        <w:t> </w:t>
      </w:r>
      <w:r>
        <w:rPr>
          <w:color w:val="231F20"/>
          <w:w w:val="105"/>
        </w:rPr>
        <w:t>más</w:t>
      </w:r>
      <w:r>
        <w:rPr>
          <w:color w:val="231F20"/>
          <w:spacing w:val="-13"/>
          <w:w w:val="105"/>
        </w:rPr>
        <w:t> </w:t>
      </w:r>
      <w:r>
        <w:rPr>
          <w:color w:val="231F20"/>
          <w:w w:val="105"/>
        </w:rPr>
        <w:t>allá</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notables</w:t>
      </w:r>
      <w:r>
        <w:rPr>
          <w:color w:val="231F20"/>
          <w:spacing w:val="-13"/>
          <w:w w:val="105"/>
        </w:rPr>
        <w:t> </w:t>
      </w:r>
      <w:r>
        <w:rPr>
          <w:color w:val="231F20"/>
          <w:w w:val="105"/>
        </w:rPr>
        <w:t>posiciones de</w:t>
      </w:r>
      <w:r>
        <w:rPr>
          <w:color w:val="231F20"/>
          <w:spacing w:val="-25"/>
          <w:w w:val="105"/>
        </w:rPr>
        <w:t> </w:t>
      </w:r>
      <w:r>
        <w:rPr>
          <w:color w:val="231F20"/>
          <w:w w:val="105"/>
        </w:rPr>
        <w:t>Arthur</w:t>
      </w:r>
      <w:r>
        <w:rPr>
          <w:color w:val="231F20"/>
          <w:spacing w:val="-25"/>
          <w:w w:val="105"/>
        </w:rPr>
        <w:t> </w:t>
      </w:r>
      <w:r>
        <w:rPr>
          <w:color w:val="231F20"/>
          <w:spacing w:val="-14"/>
          <w:w w:val="105"/>
        </w:rPr>
        <w:t>F.</w:t>
      </w:r>
      <w:r>
        <w:rPr>
          <w:color w:val="231F20"/>
          <w:spacing w:val="-25"/>
          <w:w w:val="105"/>
        </w:rPr>
        <w:t> </w:t>
      </w:r>
      <w:r>
        <w:rPr>
          <w:color w:val="231F20"/>
          <w:spacing w:val="-3"/>
          <w:w w:val="105"/>
        </w:rPr>
        <w:t>Bentley,</w:t>
      </w:r>
      <w:r>
        <w:rPr>
          <w:color w:val="231F20"/>
          <w:spacing w:val="-25"/>
          <w:w w:val="105"/>
        </w:rPr>
        <w:t> </w:t>
      </w:r>
      <w:r>
        <w:rPr>
          <w:color w:val="231F20"/>
          <w:w w:val="105"/>
        </w:rPr>
        <w:t>se</w:t>
      </w:r>
      <w:r>
        <w:rPr>
          <w:color w:val="231F20"/>
          <w:spacing w:val="-25"/>
          <w:w w:val="105"/>
        </w:rPr>
        <w:t> </w:t>
      </w:r>
      <w:r>
        <w:rPr>
          <w:color w:val="231F20"/>
          <w:w w:val="105"/>
        </w:rPr>
        <w:t>debe</w:t>
      </w:r>
      <w:r>
        <w:rPr>
          <w:color w:val="231F20"/>
          <w:spacing w:val="-25"/>
          <w:w w:val="105"/>
        </w:rPr>
        <w:t> </w:t>
      </w:r>
      <w:r>
        <w:rPr>
          <w:color w:val="231F20"/>
          <w:w w:val="105"/>
        </w:rPr>
        <w:t>pensar</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postura</w:t>
      </w:r>
      <w:r>
        <w:rPr>
          <w:color w:val="231F20"/>
          <w:spacing w:val="-25"/>
          <w:w w:val="105"/>
        </w:rPr>
        <w:t> </w:t>
      </w:r>
      <w:r>
        <w:rPr>
          <w:color w:val="231F20"/>
          <w:w w:val="105"/>
        </w:rPr>
        <w:t>célebre</w:t>
      </w:r>
      <w:r>
        <w:rPr>
          <w:color w:val="231F20"/>
          <w:spacing w:val="-24"/>
          <w:w w:val="105"/>
        </w:rPr>
        <w:t> </w:t>
      </w:r>
      <w:r>
        <w:rPr>
          <w:color w:val="231F20"/>
          <w:w w:val="105"/>
        </w:rPr>
        <w:t>de</w:t>
      </w:r>
      <w:r>
        <w:rPr>
          <w:color w:val="231F20"/>
          <w:spacing w:val="-25"/>
          <w:w w:val="105"/>
        </w:rPr>
        <w:t> </w:t>
      </w:r>
      <w:r>
        <w:rPr>
          <w:color w:val="231F20"/>
          <w:w w:val="105"/>
        </w:rPr>
        <w:t>David</w:t>
      </w:r>
      <w:r>
        <w:rPr>
          <w:color w:val="231F20"/>
          <w:spacing w:val="-25"/>
          <w:w w:val="105"/>
        </w:rPr>
        <w:t> </w:t>
      </w:r>
      <w:r>
        <w:rPr>
          <w:color w:val="231F20"/>
          <w:w w:val="105"/>
        </w:rPr>
        <w:t>Easto, que</w:t>
      </w:r>
      <w:r>
        <w:rPr>
          <w:color w:val="231F20"/>
          <w:spacing w:val="-35"/>
          <w:w w:val="105"/>
        </w:rPr>
        <w:t> </w:t>
      </w:r>
      <w:r>
        <w:rPr>
          <w:color w:val="231F20"/>
          <w:w w:val="105"/>
        </w:rPr>
        <w:t>aconsejaba</w:t>
      </w:r>
      <w:r>
        <w:rPr>
          <w:color w:val="231F20"/>
          <w:spacing w:val="-35"/>
          <w:w w:val="105"/>
        </w:rPr>
        <w:t> </w:t>
      </w:r>
      <w:r>
        <w:rPr>
          <w:color w:val="231F20"/>
          <w:w w:val="105"/>
        </w:rPr>
        <w:t>evitar</w:t>
      </w:r>
      <w:r>
        <w:rPr>
          <w:color w:val="231F20"/>
          <w:spacing w:val="-35"/>
          <w:w w:val="105"/>
        </w:rPr>
        <w:t> </w:t>
      </w:r>
      <w:r>
        <w:rPr>
          <w:color w:val="231F20"/>
          <w:w w:val="105"/>
        </w:rPr>
        <w:t>completamente</w:t>
      </w:r>
      <w:r>
        <w:rPr>
          <w:color w:val="231F20"/>
          <w:spacing w:val="-35"/>
          <w:w w:val="105"/>
        </w:rPr>
        <w:t> </w:t>
      </w:r>
      <w:r>
        <w:rPr>
          <w:color w:val="231F20"/>
          <w:w w:val="105"/>
        </w:rPr>
        <w:t>el</w:t>
      </w:r>
      <w:r>
        <w:rPr>
          <w:color w:val="231F20"/>
          <w:spacing w:val="-35"/>
          <w:w w:val="105"/>
        </w:rPr>
        <w:t> </w:t>
      </w:r>
      <w:r>
        <w:rPr>
          <w:color w:val="231F20"/>
          <w:w w:val="105"/>
        </w:rPr>
        <w:t>uso</w:t>
      </w:r>
      <w:r>
        <w:rPr>
          <w:color w:val="231F20"/>
          <w:spacing w:val="-35"/>
          <w:w w:val="105"/>
        </w:rPr>
        <w:t> </w:t>
      </w:r>
      <w:r>
        <w:rPr>
          <w:color w:val="231F20"/>
          <w:w w:val="105"/>
        </w:rPr>
        <w:t>del</w:t>
      </w:r>
      <w:r>
        <w:rPr>
          <w:color w:val="231F20"/>
          <w:spacing w:val="-35"/>
          <w:w w:val="105"/>
        </w:rPr>
        <w:t> </w:t>
      </w:r>
      <w:r>
        <w:rPr>
          <w:color w:val="231F20"/>
          <w:w w:val="105"/>
        </w:rPr>
        <w:t>término</w:t>
      </w:r>
      <w:r>
        <w:rPr>
          <w:color w:val="231F20"/>
          <w:spacing w:val="-35"/>
          <w:w w:val="105"/>
        </w:rPr>
        <w:t> </w:t>
      </w:r>
      <w:r>
        <w:rPr>
          <w:color w:val="231F20"/>
          <w:w w:val="105"/>
        </w:rPr>
        <w:t>Estado</w:t>
      </w:r>
      <w:r>
        <w:rPr>
          <w:color w:val="231F20"/>
          <w:spacing w:val="-35"/>
          <w:w w:val="105"/>
        </w:rPr>
        <w:t> </w:t>
      </w:r>
      <w:r>
        <w:rPr>
          <w:color w:val="231F20"/>
          <w:w w:val="105"/>
        </w:rPr>
        <w:t>a</w:t>
      </w:r>
      <w:r>
        <w:rPr>
          <w:color w:val="231F20"/>
          <w:spacing w:val="-35"/>
          <w:w w:val="105"/>
        </w:rPr>
        <w:t> </w:t>
      </w:r>
      <w:r>
        <w:rPr>
          <w:color w:val="231F20"/>
          <w:w w:val="105"/>
        </w:rPr>
        <w:t>favor</w:t>
      </w:r>
      <w:r>
        <w:rPr>
          <w:color w:val="231F20"/>
          <w:spacing w:val="-35"/>
          <w:w w:val="105"/>
        </w:rPr>
        <w:t> </w:t>
      </w:r>
      <w:r>
        <w:rPr>
          <w:color w:val="231F20"/>
          <w:w w:val="105"/>
        </w:rPr>
        <w:t>de una</w:t>
      </w:r>
      <w:r>
        <w:rPr>
          <w:color w:val="231F20"/>
          <w:spacing w:val="-41"/>
          <w:w w:val="105"/>
        </w:rPr>
        <w:t> </w:t>
      </w:r>
      <w:r>
        <w:rPr>
          <w:color w:val="231F20"/>
          <w:w w:val="105"/>
        </w:rPr>
        <w:t>menos</w:t>
      </w:r>
      <w:r>
        <w:rPr>
          <w:color w:val="231F20"/>
          <w:spacing w:val="-41"/>
          <w:w w:val="105"/>
        </w:rPr>
        <w:t> </w:t>
      </w:r>
      <w:r>
        <w:rPr>
          <w:color w:val="231F20"/>
          <w:w w:val="105"/>
        </w:rPr>
        <w:t>comprometedora</w:t>
      </w:r>
      <w:r>
        <w:rPr>
          <w:color w:val="231F20"/>
          <w:spacing w:val="-41"/>
          <w:w w:val="105"/>
        </w:rPr>
        <w:t> </w:t>
      </w:r>
      <w:r>
        <w:rPr>
          <w:color w:val="231F20"/>
          <w:w w:val="105"/>
        </w:rPr>
        <w:t>referencia</w:t>
      </w:r>
      <w:r>
        <w:rPr>
          <w:color w:val="231F20"/>
          <w:spacing w:val="-41"/>
          <w:w w:val="105"/>
        </w:rPr>
        <w:t> </w:t>
      </w:r>
      <w:r>
        <w:rPr>
          <w:color w:val="231F20"/>
          <w:w w:val="105"/>
        </w:rPr>
        <w:t>al</w:t>
      </w:r>
      <w:r>
        <w:rPr>
          <w:color w:val="231F20"/>
          <w:spacing w:val="-41"/>
          <w:w w:val="105"/>
        </w:rPr>
        <w:t> </w:t>
      </w:r>
      <w:r>
        <w:rPr>
          <w:color w:val="231F20"/>
          <w:w w:val="105"/>
        </w:rPr>
        <w:t>sistema</w:t>
      </w:r>
      <w:r>
        <w:rPr>
          <w:color w:val="231F20"/>
          <w:spacing w:val="-41"/>
          <w:w w:val="105"/>
        </w:rPr>
        <w:t> </w:t>
      </w:r>
      <w:r>
        <w:rPr>
          <w:color w:val="231F20"/>
          <w:w w:val="105"/>
        </w:rPr>
        <w:t>político</w:t>
      </w:r>
      <w:r>
        <w:rPr>
          <w:color w:val="231F20"/>
          <w:w w:val="105"/>
          <w:position w:val="7"/>
          <w:sz w:val="12"/>
        </w:rPr>
        <w:t>29</w:t>
      </w:r>
      <w:r>
        <w:rPr>
          <w:color w:val="231F20"/>
          <w:w w:val="105"/>
        </w:rPr>
        <w:t>.</w:t>
      </w:r>
    </w:p>
    <w:p>
      <w:pPr>
        <w:pStyle w:val="BodyText"/>
        <w:spacing w:line="247" w:lineRule="auto"/>
        <w:ind w:left="103" w:right="115" w:firstLine="566"/>
        <w:jc w:val="both"/>
      </w:pPr>
      <w:r>
        <w:rPr>
          <w:color w:val="231F20"/>
        </w:rPr>
        <w:t>Sin embargo, discutir sobre el Estado en la época de la globaliza- ción</w:t>
      </w:r>
      <w:r>
        <w:rPr>
          <w:color w:val="231F20"/>
          <w:position w:val="7"/>
          <w:sz w:val="12"/>
        </w:rPr>
        <w:t>30 </w:t>
      </w:r>
      <w:r>
        <w:rPr>
          <w:color w:val="231F20"/>
        </w:rPr>
        <w:t>no significa necesariamente recorrer de nuevo la genealogía de las caídas y los renacimientos de su concepto dentro de cada disciplina, sino tratar de individuar si éste mantiene un significado compartido en la</w:t>
      </w:r>
      <w:r>
        <w:rPr>
          <w:color w:val="231F20"/>
          <w:spacing w:val="-45"/>
        </w:rPr>
        <w:t> </w:t>
      </w:r>
      <w:r>
        <w:rPr>
          <w:color w:val="231F20"/>
        </w:rPr>
        <w:t>escala global y cómo lo hace. Significa tratar de construir una nueva Epistemo- logía del Estado, como lo ha hecho Otto Hintze después de la Primera Guerra Mundial, registrando lúcidamente las transformaciones que han intervenido en la que él define como “la historia y el sistema del Estado    y de la sociedad”</w:t>
      </w:r>
      <w:r>
        <w:rPr>
          <w:color w:val="231F20"/>
          <w:position w:val="7"/>
          <w:sz w:val="12"/>
        </w:rPr>
        <w:t>31</w:t>
      </w:r>
      <w:r>
        <w:rPr>
          <w:color w:val="231F20"/>
        </w:rPr>
        <w:t>. Hintze individua un verdadero cambio de paradigma que las Ciencias Sociales, no sólo en nombre de Max </w:t>
      </w:r>
      <w:r>
        <w:rPr>
          <w:color w:val="231F20"/>
          <w:spacing w:val="-4"/>
        </w:rPr>
        <w:t>Weber, </w:t>
      </w:r>
      <w:r>
        <w:rPr>
          <w:color w:val="231F20"/>
        </w:rPr>
        <w:t>imponen en el modo de observar y comprender la experiencia histórica del Estado en occidente. Esta vez desde la Historia política y desde el Derecho hasta la Sociología como ciencia de la investigación, pero también de la legitima- ción</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esto</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cumplido</w:t>
      </w:r>
      <w:r>
        <w:rPr>
          <w:color w:val="231F20"/>
          <w:spacing w:val="-6"/>
        </w:rPr>
        <w:t> </w:t>
      </w:r>
      <w:r>
        <w:rPr>
          <w:color w:val="231F20"/>
        </w:rPr>
        <w:t>en</w:t>
      </w:r>
      <w:r>
        <w:rPr>
          <w:color w:val="231F20"/>
          <w:spacing w:val="-6"/>
        </w:rPr>
        <w:t> </w:t>
      </w:r>
      <w:r>
        <w:rPr>
          <w:color w:val="231F20"/>
        </w:rPr>
        <w:t>forma</w:t>
      </w:r>
      <w:r>
        <w:rPr>
          <w:color w:val="231F20"/>
          <w:spacing w:val="-6"/>
        </w:rPr>
        <w:t> </w:t>
      </w:r>
      <w:r>
        <w:rPr>
          <w:color w:val="231F20"/>
        </w:rPr>
        <w:t>definitiva</w:t>
      </w:r>
      <w:r>
        <w:rPr>
          <w:color w:val="231F20"/>
          <w:spacing w:val="-6"/>
        </w:rPr>
        <w:t> </w:t>
      </w:r>
      <w:r>
        <w:rPr>
          <w:color w:val="231F20"/>
        </w:rPr>
        <w:t>atropellando</w:t>
      </w:r>
      <w:r>
        <w:rPr>
          <w:color w:val="231F20"/>
          <w:spacing w:val="-6"/>
        </w:rPr>
        <w:t> </w:t>
      </w:r>
      <w:r>
        <w:rPr>
          <w:color w:val="231F20"/>
        </w:rPr>
        <w:t>la</w:t>
      </w:r>
      <w:r>
        <w:rPr>
          <w:color w:val="231F20"/>
          <w:spacing w:val="-6"/>
        </w:rPr>
        <w:t> </w:t>
      </w:r>
      <w:r>
        <w:rPr>
          <w:color w:val="231F20"/>
        </w:rPr>
        <w:t>so-</w:t>
      </w:r>
    </w:p>
    <w:p>
      <w:pPr>
        <w:pStyle w:val="BodyText"/>
        <w:spacing w:before="6"/>
        <w:rPr>
          <w:sz w:val="29"/>
        </w:rPr>
      </w:pPr>
      <w:r>
        <w:rPr/>
        <w:pict>
          <v:line style="position:absolute;mso-position-horizontal-relative:page;mso-position-vertical-relative:paragraph;z-index:3064;mso-wrap-distance-left:0;mso-wrap-distance-right:0" from="65.196899pt,19.906984pt" to="178.582899pt,19.906984pt" stroked="true" strokeweight=".3pt" strokecolor="#231f20">
            <w10:wrap type="topAndBottom"/>
          </v:line>
        </w:pict>
      </w:r>
    </w:p>
    <w:p>
      <w:pPr>
        <w:spacing w:line="204" w:lineRule="exact" w:before="8"/>
        <w:ind w:left="103" w:right="115" w:firstLine="0"/>
        <w:jc w:val="both"/>
        <w:rPr>
          <w:rFonts w:ascii="Calibri" w:hAnsi="Calibri"/>
          <w:sz w:val="17"/>
        </w:rPr>
      </w:pPr>
      <w:r>
        <w:rPr>
          <w:rFonts w:ascii="Calibri" w:hAnsi="Calibri"/>
          <w:color w:val="231F20"/>
          <w:position w:val="6"/>
          <w:sz w:val="10"/>
        </w:rPr>
        <w:t>25 </w:t>
      </w:r>
      <w:r>
        <w:rPr>
          <w:rFonts w:ascii="Calibri" w:hAnsi="Calibri"/>
          <w:color w:val="231F20"/>
          <w:sz w:val="17"/>
        </w:rPr>
        <w:t>H. Hofmann, </w:t>
      </w:r>
      <w:r>
        <w:rPr>
          <w:rFonts w:ascii="Calibri" w:hAnsi="Calibri"/>
          <w:i/>
          <w:color w:val="231F20"/>
          <w:sz w:val="17"/>
        </w:rPr>
        <w:t>La libertà nello Stato moderno. Saggi di dottrina della Costituzione</w:t>
      </w:r>
      <w:r>
        <w:rPr>
          <w:rFonts w:ascii="Calibri" w:hAnsi="Calibri"/>
          <w:color w:val="231F20"/>
          <w:sz w:val="17"/>
        </w:rPr>
        <w:t>, Napoli, Guida, 2009, p. 55.</w:t>
      </w:r>
    </w:p>
    <w:p>
      <w:pPr>
        <w:spacing w:line="204" w:lineRule="exact" w:before="0"/>
        <w:ind w:left="103" w:right="115" w:firstLine="0"/>
        <w:jc w:val="both"/>
        <w:rPr>
          <w:rFonts w:ascii="Calibri" w:hAnsi="Calibri"/>
          <w:sz w:val="17"/>
        </w:rPr>
      </w:pPr>
      <w:r>
        <w:rPr>
          <w:rFonts w:ascii="Calibri" w:hAnsi="Calibri"/>
          <w:color w:val="231F20"/>
          <w:position w:val="6"/>
          <w:sz w:val="10"/>
        </w:rPr>
        <w:t>26 </w:t>
      </w:r>
      <w:r>
        <w:rPr>
          <w:rFonts w:ascii="Calibri" w:hAnsi="Calibri"/>
          <w:color w:val="231F20"/>
          <w:sz w:val="17"/>
        </w:rPr>
        <w:t>M. Ricciardi, </w:t>
      </w:r>
      <w:r>
        <w:rPr>
          <w:rFonts w:ascii="Calibri" w:hAnsi="Calibri"/>
          <w:i/>
          <w:color w:val="231F20"/>
          <w:sz w:val="17"/>
        </w:rPr>
        <w:t>La società come ordine. Teoria politica dei concetti sociali</w:t>
      </w:r>
      <w:r>
        <w:rPr>
          <w:rFonts w:ascii="Calibri" w:hAnsi="Calibri"/>
          <w:color w:val="231F20"/>
          <w:sz w:val="17"/>
        </w:rPr>
        <w:t>, Macerata, </w:t>
      </w:r>
      <w:r>
        <w:rPr>
          <w:rFonts w:ascii="Calibri" w:hAnsi="Calibri"/>
          <w:color w:val="231F20"/>
          <w:sz w:val="15"/>
        </w:rPr>
        <w:t>EUM</w:t>
      </w:r>
      <w:r>
        <w:rPr>
          <w:rFonts w:ascii="Calibri" w:hAnsi="Calibri"/>
          <w:color w:val="231F20"/>
          <w:sz w:val="17"/>
        </w:rPr>
        <w:t>, 2011, pp. 247–248.</w:t>
      </w:r>
    </w:p>
    <w:p>
      <w:pPr>
        <w:spacing w:line="204" w:lineRule="exact" w:before="0"/>
        <w:ind w:left="103" w:right="115" w:firstLine="0"/>
        <w:jc w:val="both"/>
        <w:rPr>
          <w:rFonts w:ascii="Calibri"/>
          <w:sz w:val="17"/>
        </w:rPr>
      </w:pPr>
      <w:r>
        <w:rPr>
          <w:rFonts w:ascii="Calibri"/>
          <w:color w:val="231F20"/>
          <w:position w:val="6"/>
          <w:sz w:val="10"/>
        </w:rPr>
        <w:t>27</w:t>
      </w:r>
      <w:r>
        <w:rPr>
          <w:rFonts w:ascii="Calibri"/>
          <w:color w:val="231F20"/>
          <w:spacing w:val="11"/>
          <w:position w:val="6"/>
          <w:sz w:val="10"/>
        </w:rPr>
        <w:t> </w:t>
      </w:r>
      <w:r>
        <w:rPr>
          <w:rFonts w:ascii="Calibri"/>
          <w:color w:val="231F20"/>
          <w:sz w:val="17"/>
        </w:rPr>
        <w:t>H.</w:t>
      </w:r>
      <w:r>
        <w:rPr>
          <w:rFonts w:ascii="Calibri"/>
          <w:color w:val="231F20"/>
          <w:spacing w:val="-10"/>
          <w:sz w:val="17"/>
        </w:rPr>
        <w:t> </w:t>
      </w:r>
      <w:r>
        <w:rPr>
          <w:rFonts w:ascii="Calibri"/>
          <w:color w:val="231F20"/>
          <w:sz w:val="17"/>
        </w:rPr>
        <w:t>Willke,</w:t>
      </w:r>
      <w:r>
        <w:rPr>
          <w:rFonts w:ascii="Calibri"/>
          <w:color w:val="231F20"/>
          <w:spacing w:val="-5"/>
          <w:sz w:val="17"/>
        </w:rPr>
        <w:t> </w:t>
      </w:r>
      <w:r>
        <w:rPr>
          <w:rFonts w:ascii="Calibri"/>
          <w:i/>
          <w:color w:val="231F20"/>
          <w:sz w:val="17"/>
        </w:rPr>
        <w:t>Ironie</w:t>
      </w:r>
      <w:r>
        <w:rPr>
          <w:rFonts w:ascii="Calibri"/>
          <w:i/>
          <w:color w:val="231F20"/>
          <w:spacing w:val="-7"/>
          <w:sz w:val="17"/>
        </w:rPr>
        <w:t> </w:t>
      </w:r>
      <w:r>
        <w:rPr>
          <w:rFonts w:ascii="Calibri"/>
          <w:i/>
          <w:color w:val="231F20"/>
          <w:sz w:val="17"/>
        </w:rPr>
        <w:t>des</w:t>
      </w:r>
      <w:r>
        <w:rPr>
          <w:rFonts w:ascii="Calibri"/>
          <w:i/>
          <w:color w:val="231F20"/>
          <w:spacing w:val="-7"/>
          <w:sz w:val="17"/>
        </w:rPr>
        <w:t> </w:t>
      </w:r>
      <w:r>
        <w:rPr>
          <w:rFonts w:ascii="Calibri"/>
          <w:i/>
          <w:color w:val="231F20"/>
          <w:sz w:val="17"/>
        </w:rPr>
        <w:t>Staates.</w:t>
      </w:r>
      <w:r>
        <w:rPr>
          <w:rFonts w:ascii="Calibri"/>
          <w:i/>
          <w:color w:val="231F20"/>
          <w:spacing w:val="-7"/>
          <w:sz w:val="17"/>
        </w:rPr>
        <w:t> </w:t>
      </w:r>
      <w:r>
        <w:rPr>
          <w:rFonts w:ascii="Calibri"/>
          <w:i/>
          <w:color w:val="231F20"/>
          <w:sz w:val="17"/>
        </w:rPr>
        <w:t>Grundlinien</w:t>
      </w:r>
      <w:r>
        <w:rPr>
          <w:rFonts w:ascii="Calibri"/>
          <w:i/>
          <w:color w:val="231F20"/>
          <w:spacing w:val="-7"/>
          <w:sz w:val="17"/>
        </w:rPr>
        <w:t> </w:t>
      </w:r>
      <w:r>
        <w:rPr>
          <w:rFonts w:ascii="Calibri"/>
          <w:i/>
          <w:color w:val="231F20"/>
          <w:sz w:val="17"/>
        </w:rPr>
        <w:t>einer</w:t>
      </w:r>
      <w:r>
        <w:rPr>
          <w:rFonts w:ascii="Calibri"/>
          <w:i/>
          <w:color w:val="231F20"/>
          <w:spacing w:val="-7"/>
          <w:sz w:val="17"/>
        </w:rPr>
        <w:t> </w:t>
      </w:r>
      <w:r>
        <w:rPr>
          <w:rFonts w:ascii="Calibri"/>
          <w:i/>
          <w:color w:val="231F20"/>
          <w:sz w:val="17"/>
        </w:rPr>
        <w:t>Staatstheorie</w:t>
      </w:r>
      <w:r>
        <w:rPr>
          <w:rFonts w:ascii="Calibri"/>
          <w:i/>
          <w:color w:val="231F20"/>
          <w:spacing w:val="-7"/>
          <w:sz w:val="17"/>
        </w:rPr>
        <w:t> </w:t>
      </w:r>
      <w:r>
        <w:rPr>
          <w:rFonts w:ascii="Calibri"/>
          <w:i/>
          <w:color w:val="231F20"/>
          <w:sz w:val="17"/>
        </w:rPr>
        <w:t>polyzentrischer</w:t>
      </w:r>
      <w:r>
        <w:rPr>
          <w:rFonts w:ascii="Calibri"/>
          <w:i/>
          <w:color w:val="231F20"/>
          <w:spacing w:val="-7"/>
          <w:sz w:val="17"/>
        </w:rPr>
        <w:t> </w:t>
      </w:r>
      <w:r>
        <w:rPr>
          <w:rFonts w:ascii="Calibri"/>
          <w:i/>
          <w:color w:val="231F20"/>
          <w:sz w:val="17"/>
        </w:rPr>
        <w:t>Gesellschaft</w:t>
      </w:r>
      <w:r>
        <w:rPr>
          <w:rFonts w:ascii="Calibri"/>
          <w:color w:val="231F20"/>
          <w:sz w:val="17"/>
        </w:rPr>
        <w:t>,</w:t>
      </w:r>
      <w:r>
        <w:rPr>
          <w:rFonts w:ascii="Calibri"/>
          <w:color w:val="231F20"/>
          <w:spacing w:val="-5"/>
          <w:sz w:val="17"/>
        </w:rPr>
        <w:t> </w:t>
      </w:r>
      <w:r>
        <w:rPr>
          <w:rFonts w:ascii="Calibri"/>
          <w:color w:val="231F20"/>
          <w:sz w:val="17"/>
        </w:rPr>
        <w:t>Frankfurt am</w:t>
      </w:r>
      <w:r>
        <w:rPr>
          <w:rFonts w:ascii="Calibri"/>
          <w:color w:val="231F20"/>
          <w:spacing w:val="-5"/>
          <w:sz w:val="17"/>
        </w:rPr>
        <w:t> </w:t>
      </w:r>
      <w:r>
        <w:rPr>
          <w:rFonts w:ascii="Calibri"/>
          <w:color w:val="231F20"/>
          <w:sz w:val="17"/>
        </w:rPr>
        <w:t>Main,</w:t>
      </w:r>
      <w:r>
        <w:rPr>
          <w:rFonts w:ascii="Calibri"/>
          <w:color w:val="231F20"/>
          <w:spacing w:val="-5"/>
          <w:sz w:val="17"/>
        </w:rPr>
        <w:t> </w:t>
      </w:r>
      <w:r>
        <w:rPr>
          <w:rFonts w:ascii="Calibri"/>
          <w:color w:val="231F20"/>
          <w:sz w:val="17"/>
        </w:rPr>
        <w:t>Suhrkamp,</w:t>
      </w:r>
      <w:r>
        <w:rPr>
          <w:rFonts w:ascii="Calibri"/>
          <w:color w:val="231F20"/>
          <w:spacing w:val="-5"/>
          <w:sz w:val="17"/>
        </w:rPr>
        <w:t> </w:t>
      </w:r>
      <w:r>
        <w:rPr>
          <w:rFonts w:ascii="Calibri"/>
          <w:color w:val="231F20"/>
          <w:sz w:val="17"/>
        </w:rPr>
        <w:t>1992;</w:t>
      </w:r>
      <w:r>
        <w:rPr>
          <w:rFonts w:ascii="Calibri"/>
          <w:color w:val="231F20"/>
          <w:spacing w:val="-5"/>
          <w:sz w:val="17"/>
        </w:rPr>
        <w:t> </w:t>
      </w:r>
      <w:r>
        <w:rPr>
          <w:rFonts w:ascii="Calibri"/>
          <w:color w:val="231F20"/>
          <w:sz w:val="17"/>
        </w:rPr>
        <w:t>H.</w:t>
      </w:r>
      <w:r>
        <w:rPr>
          <w:rFonts w:ascii="Calibri"/>
          <w:color w:val="231F20"/>
          <w:spacing w:val="-9"/>
          <w:sz w:val="17"/>
        </w:rPr>
        <w:t> </w:t>
      </w:r>
      <w:r>
        <w:rPr>
          <w:rFonts w:ascii="Calibri"/>
          <w:color w:val="231F20"/>
          <w:sz w:val="17"/>
        </w:rPr>
        <w:t>Willke,</w:t>
      </w:r>
      <w:r>
        <w:rPr>
          <w:rFonts w:ascii="Calibri"/>
          <w:color w:val="231F20"/>
          <w:spacing w:val="-5"/>
          <w:sz w:val="17"/>
        </w:rPr>
        <w:t> </w:t>
      </w:r>
      <w:r>
        <w:rPr>
          <w:rFonts w:ascii="Calibri"/>
          <w:i/>
          <w:color w:val="231F20"/>
          <w:sz w:val="17"/>
        </w:rPr>
        <w:t>Governance</w:t>
      </w:r>
      <w:r>
        <w:rPr>
          <w:rFonts w:ascii="Calibri"/>
          <w:i/>
          <w:color w:val="231F20"/>
          <w:spacing w:val="-6"/>
          <w:sz w:val="17"/>
        </w:rPr>
        <w:t> </w:t>
      </w:r>
      <w:r>
        <w:rPr>
          <w:rFonts w:ascii="Calibri"/>
          <w:i/>
          <w:color w:val="231F20"/>
          <w:sz w:val="17"/>
        </w:rPr>
        <w:t>in</w:t>
      </w:r>
      <w:r>
        <w:rPr>
          <w:rFonts w:ascii="Calibri"/>
          <w:i/>
          <w:color w:val="231F20"/>
          <w:spacing w:val="-6"/>
          <w:sz w:val="17"/>
        </w:rPr>
        <w:t> </w:t>
      </w:r>
      <w:r>
        <w:rPr>
          <w:rFonts w:ascii="Calibri"/>
          <w:i/>
          <w:color w:val="231F20"/>
          <w:sz w:val="17"/>
        </w:rPr>
        <w:t>a</w:t>
      </w:r>
      <w:r>
        <w:rPr>
          <w:rFonts w:ascii="Calibri"/>
          <w:i/>
          <w:color w:val="231F20"/>
          <w:spacing w:val="-6"/>
          <w:sz w:val="17"/>
        </w:rPr>
        <w:t> </w:t>
      </w:r>
      <w:r>
        <w:rPr>
          <w:rFonts w:ascii="Calibri"/>
          <w:i/>
          <w:color w:val="231F20"/>
          <w:sz w:val="17"/>
        </w:rPr>
        <w:t>Disenchanted</w:t>
      </w:r>
      <w:r>
        <w:rPr>
          <w:rFonts w:ascii="Calibri"/>
          <w:i/>
          <w:color w:val="231F20"/>
          <w:spacing w:val="-7"/>
          <w:sz w:val="17"/>
        </w:rPr>
        <w:t> </w:t>
      </w:r>
      <w:r>
        <w:rPr>
          <w:rFonts w:ascii="Calibri"/>
          <w:i/>
          <w:color w:val="231F20"/>
          <w:sz w:val="17"/>
        </w:rPr>
        <w:t>World.</w:t>
      </w:r>
      <w:r>
        <w:rPr>
          <w:rFonts w:ascii="Calibri"/>
          <w:i/>
          <w:color w:val="231F20"/>
          <w:spacing w:val="-8"/>
          <w:sz w:val="17"/>
        </w:rPr>
        <w:t> </w:t>
      </w:r>
      <w:r>
        <w:rPr>
          <w:rFonts w:ascii="Calibri"/>
          <w:i/>
          <w:color w:val="231F20"/>
          <w:sz w:val="17"/>
        </w:rPr>
        <w:t>The</w:t>
      </w:r>
      <w:r>
        <w:rPr>
          <w:rFonts w:ascii="Calibri"/>
          <w:i/>
          <w:color w:val="231F20"/>
          <w:spacing w:val="-6"/>
          <w:sz w:val="17"/>
        </w:rPr>
        <w:t> </w:t>
      </w:r>
      <w:r>
        <w:rPr>
          <w:rFonts w:ascii="Calibri"/>
          <w:i/>
          <w:color w:val="231F20"/>
          <w:sz w:val="17"/>
        </w:rPr>
        <w:t>End</w:t>
      </w:r>
      <w:r>
        <w:rPr>
          <w:rFonts w:ascii="Calibri"/>
          <w:i/>
          <w:color w:val="231F20"/>
          <w:spacing w:val="-6"/>
          <w:sz w:val="17"/>
        </w:rPr>
        <w:t> </w:t>
      </w:r>
      <w:r>
        <w:rPr>
          <w:rFonts w:ascii="Calibri"/>
          <w:i/>
          <w:color w:val="231F20"/>
          <w:sz w:val="17"/>
        </w:rPr>
        <w:t>of</w:t>
      </w:r>
      <w:r>
        <w:rPr>
          <w:rFonts w:ascii="Calibri"/>
          <w:i/>
          <w:color w:val="231F20"/>
          <w:spacing w:val="-6"/>
          <w:sz w:val="17"/>
        </w:rPr>
        <w:t> </w:t>
      </w:r>
      <w:r>
        <w:rPr>
          <w:rFonts w:ascii="Calibri"/>
          <w:i/>
          <w:color w:val="231F20"/>
          <w:sz w:val="17"/>
        </w:rPr>
        <w:t>Moral</w:t>
      </w:r>
      <w:r>
        <w:rPr>
          <w:rFonts w:ascii="Calibri"/>
          <w:i/>
          <w:color w:val="231F20"/>
          <w:spacing w:val="-6"/>
          <w:sz w:val="17"/>
        </w:rPr>
        <w:t> </w:t>
      </w:r>
      <w:r>
        <w:rPr>
          <w:rFonts w:ascii="Calibri"/>
          <w:i/>
          <w:color w:val="231F20"/>
          <w:sz w:val="17"/>
        </w:rPr>
        <w:t>Society</w:t>
      </w:r>
      <w:r>
        <w:rPr>
          <w:rFonts w:ascii="Calibri"/>
          <w:color w:val="231F20"/>
          <w:sz w:val="17"/>
        </w:rPr>
        <w:t>, Cheltenham, Northampton (</w:t>
      </w:r>
      <w:r>
        <w:rPr>
          <w:rFonts w:ascii="Calibri"/>
          <w:color w:val="231F20"/>
          <w:sz w:val="15"/>
        </w:rPr>
        <w:t>MA</w:t>
      </w:r>
      <w:r>
        <w:rPr>
          <w:rFonts w:ascii="Calibri"/>
          <w:color w:val="231F20"/>
          <w:sz w:val="17"/>
        </w:rPr>
        <w:t>), E. </w:t>
      </w:r>
      <w:r>
        <w:rPr>
          <w:rFonts w:ascii="Calibri"/>
          <w:color w:val="231F20"/>
          <w:spacing w:val="-3"/>
          <w:sz w:val="17"/>
        </w:rPr>
        <w:t>Elgar,   </w:t>
      </w:r>
      <w:r>
        <w:rPr>
          <w:rFonts w:ascii="Calibri"/>
          <w:color w:val="231F20"/>
          <w:spacing w:val="22"/>
          <w:sz w:val="17"/>
        </w:rPr>
        <w:t> </w:t>
      </w:r>
      <w:r>
        <w:rPr>
          <w:rFonts w:ascii="Calibri"/>
          <w:color w:val="231F20"/>
          <w:sz w:val="17"/>
        </w:rPr>
        <w:t>2009.</w:t>
      </w:r>
    </w:p>
    <w:p>
      <w:pPr>
        <w:spacing w:line="204" w:lineRule="exact" w:before="0"/>
        <w:ind w:left="103" w:right="115" w:firstLine="0"/>
        <w:jc w:val="both"/>
        <w:rPr>
          <w:rFonts w:ascii="Calibri" w:hAnsi="Calibri"/>
          <w:sz w:val="17"/>
        </w:rPr>
      </w:pPr>
      <w:r>
        <w:rPr>
          <w:rFonts w:ascii="Calibri" w:hAnsi="Calibri"/>
          <w:color w:val="231F20"/>
          <w:position w:val="6"/>
          <w:sz w:val="10"/>
        </w:rPr>
        <w:t>28 </w:t>
      </w:r>
      <w:r>
        <w:rPr>
          <w:rFonts w:ascii="Calibri" w:hAnsi="Calibri"/>
          <w:color w:val="231F20"/>
          <w:sz w:val="17"/>
        </w:rPr>
        <w:t>A. Passerin d’Entrèves, </w:t>
      </w:r>
      <w:r>
        <w:rPr>
          <w:rFonts w:ascii="Calibri" w:hAnsi="Calibri"/>
          <w:i/>
          <w:color w:val="231F20"/>
          <w:sz w:val="17"/>
        </w:rPr>
        <w:t>La dottrina dello Stato. Elementi di analisi e di interpretazione</w:t>
      </w:r>
      <w:r>
        <w:rPr>
          <w:rFonts w:ascii="Calibri" w:hAnsi="Calibri"/>
          <w:color w:val="231F20"/>
          <w:sz w:val="17"/>
        </w:rPr>
        <w:t>, Torino, Gia- ppichelli, 2009, p. 92.</w:t>
      </w:r>
    </w:p>
    <w:p>
      <w:pPr>
        <w:spacing w:line="204" w:lineRule="exact" w:before="0"/>
        <w:ind w:left="103" w:right="115" w:firstLine="0"/>
        <w:jc w:val="both"/>
        <w:rPr>
          <w:rFonts w:ascii="Calibri"/>
          <w:sz w:val="17"/>
        </w:rPr>
      </w:pPr>
      <w:r>
        <w:rPr>
          <w:rFonts w:ascii="Calibri"/>
          <w:color w:val="231F20"/>
          <w:position w:val="6"/>
          <w:sz w:val="10"/>
        </w:rPr>
        <w:t>29</w:t>
      </w:r>
      <w:r>
        <w:rPr>
          <w:rFonts w:ascii="Calibri"/>
          <w:color w:val="231F20"/>
          <w:spacing w:val="11"/>
          <w:position w:val="6"/>
          <w:sz w:val="10"/>
        </w:rPr>
        <w:t> </w:t>
      </w:r>
      <w:r>
        <w:rPr>
          <w:rFonts w:ascii="Calibri"/>
          <w:color w:val="231F20"/>
          <w:sz w:val="17"/>
        </w:rPr>
        <w:t>D.</w:t>
      </w:r>
      <w:r>
        <w:rPr>
          <w:rFonts w:ascii="Calibri"/>
          <w:color w:val="231F20"/>
          <w:spacing w:val="-5"/>
          <w:sz w:val="17"/>
        </w:rPr>
        <w:t> </w:t>
      </w:r>
      <w:r>
        <w:rPr>
          <w:rFonts w:ascii="Calibri"/>
          <w:color w:val="231F20"/>
          <w:sz w:val="17"/>
        </w:rPr>
        <w:t>Easton,</w:t>
      </w:r>
      <w:r>
        <w:rPr>
          <w:rFonts w:ascii="Calibri"/>
          <w:color w:val="231F20"/>
          <w:spacing w:val="-9"/>
          <w:sz w:val="17"/>
        </w:rPr>
        <w:t> </w:t>
      </w:r>
      <w:r>
        <w:rPr>
          <w:rFonts w:ascii="Calibri"/>
          <w:color w:val="231F20"/>
          <w:sz w:val="17"/>
        </w:rPr>
        <w:t>T</w:t>
      </w:r>
      <w:r>
        <w:rPr>
          <w:rFonts w:ascii="Calibri"/>
          <w:i/>
          <w:color w:val="231F20"/>
          <w:sz w:val="17"/>
        </w:rPr>
        <w:t>he</w:t>
      </w:r>
      <w:r>
        <w:rPr>
          <w:rFonts w:ascii="Calibri"/>
          <w:i/>
          <w:color w:val="231F20"/>
          <w:spacing w:val="-5"/>
          <w:sz w:val="17"/>
        </w:rPr>
        <w:t> </w:t>
      </w:r>
      <w:r>
        <w:rPr>
          <w:rFonts w:ascii="Calibri"/>
          <w:i/>
          <w:color w:val="231F20"/>
          <w:sz w:val="17"/>
        </w:rPr>
        <w:t>Political</w:t>
      </w:r>
      <w:r>
        <w:rPr>
          <w:rFonts w:ascii="Calibri"/>
          <w:i/>
          <w:color w:val="231F20"/>
          <w:spacing w:val="-5"/>
          <w:sz w:val="17"/>
        </w:rPr>
        <w:t> </w:t>
      </w:r>
      <w:r>
        <w:rPr>
          <w:rFonts w:ascii="Calibri"/>
          <w:i/>
          <w:color w:val="231F20"/>
          <w:sz w:val="17"/>
        </w:rPr>
        <w:t>System.</w:t>
      </w:r>
      <w:r>
        <w:rPr>
          <w:rFonts w:ascii="Calibri"/>
          <w:i/>
          <w:color w:val="231F20"/>
          <w:spacing w:val="-5"/>
          <w:sz w:val="17"/>
        </w:rPr>
        <w:t> </w:t>
      </w:r>
      <w:r>
        <w:rPr>
          <w:rFonts w:ascii="Calibri"/>
          <w:i/>
          <w:color w:val="231F20"/>
          <w:sz w:val="17"/>
        </w:rPr>
        <w:t>An</w:t>
      </w:r>
      <w:r>
        <w:rPr>
          <w:rFonts w:ascii="Calibri"/>
          <w:i/>
          <w:color w:val="231F20"/>
          <w:spacing w:val="-5"/>
          <w:sz w:val="17"/>
        </w:rPr>
        <w:t> </w:t>
      </w:r>
      <w:r>
        <w:rPr>
          <w:rFonts w:ascii="Calibri"/>
          <w:i/>
          <w:color w:val="231F20"/>
          <w:sz w:val="17"/>
        </w:rPr>
        <w:t>Inquiry</w:t>
      </w:r>
      <w:r>
        <w:rPr>
          <w:rFonts w:ascii="Calibri"/>
          <w:i/>
          <w:color w:val="231F20"/>
          <w:spacing w:val="-5"/>
          <w:sz w:val="17"/>
        </w:rPr>
        <w:t> </w:t>
      </w:r>
      <w:r>
        <w:rPr>
          <w:rFonts w:ascii="Calibri"/>
          <w:i/>
          <w:color w:val="231F20"/>
          <w:sz w:val="17"/>
        </w:rPr>
        <w:t>into</w:t>
      </w:r>
      <w:r>
        <w:rPr>
          <w:rFonts w:ascii="Calibri"/>
          <w:i/>
          <w:color w:val="231F20"/>
          <w:spacing w:val="-5"/>
          <w:sz w:val="17"/>
        </w:rPr>
        <w:t> </w:t>
      </w:r>
      <w:r>
        <w:rPr>
          <w:rFonts w:ascii="Calibri"/>
          <w:i/>
          <w:color w:val="231F20"/>
          <w:sz w:val="17"/>
        </w:rPr>
        <w:t>the</w:t>
      </w:r>
      <w:r>
        <w:rPr>
          <w:rFonts w:ascii="Calibri"/>
          <w:i/>
          <w:color w:val="231F20"/>
          <w:spacing w:val="-5"/>
          <w:sz w:val="17"/>
        </w:rPr>
        <w:t> </w:t>
      </w:r>
      <w:r>
        <w:rPr>
          <w:rFonts w:ascii="Calibri"/>
          <w:i/>
          <w:color w:val="231F20"/>
          <w:sz w:val="17"/>
        </w:rPr>
        <w:t>State</w:t>
      </w:r>
      <w:r>
        <w:rPr>
          <w:rFonts w:ascii="Calibri"/>
          <w:i/>
          <w:color w:val="231F20"/>
          <w:spacing w:val="-5"/>
          <w:sz w:val="17"/>
        </w:rPr>
        <w:t> </w:t>
      </w:r>
      <w:r>
        <w:rPr>
          <w:rFonts w:ascii="Calibri"/>
          <w:i/>
          <w:color w:val="231F20"/>
          <w:sz w:val="17"/>
        </w:rPr>
        <w:t>of</w:t>
      </w:r>
      <w:r>
        <w:rPr>
          <w:rFonts w:ascii="Calibri"/>
          <w:i/>
          <w:color w:val="231F20"/>
          <w:spacing w:val="-5"/>
          <w:sz w:val="17"/>
        </w:rPr>
        <w:t> </w:t>
      </w:r>
      <w:r>
        <w:rPr>
          <w:rFonts w:ascii="Calibri"/>
          <w:i/>
          <w:color w:val="231F20"/>
          <w:sz w:val="17"/>
        </w:rPr>
        <w:t>Political</w:t>
      </w:r>
      <w:r>
        <w:rPr>
          <w:rFonts w:ascii="Calibri"/>
          <w:i/>
          <w:color w:val="231F20"/>
          <w:spacing w:val="-5"/>
          <w:sz w:val="17"/>
        </w:rPr>
        <w:t> </w:t>
      </w:r>
      <w:r>
        <w:rPr>
          <w:rFonts w:ascii="Calibri"/>
          <w:i/>
          <w:color w:val="231F20"/>
          <w:sz w:val="17"/>
        </w:rPr>
        <w:t>Science</w:t>
      </w:r>
      <w:r>
        <w:rPr>
          <w:rFonts w:ascii="Calibri"/>
          <w:color w:val="231F20"/>
          <w:sz w:val="17"/>
        </w:rPr>
        <w:t>,</w:t>
      </w:r>
      <w:r>
        <w:rPr>
          <w:rFonts w:ascii="Calibri"/>
          <w:color w:val="231F20"/>
          <w:spacing w:val="-5"/>
          <w:sz w:val="17"/>
        </w:rPr>
        <w:t> </w:t>
      </w:r>
      <w:r>
        <w:rPr>
          <w:rFonts w:ascii="Calibri"/>
          <w:color w:val="231F20"/>
          <w:sz w:val="17"/>
        </w:rPr>
        <w:t>New</w:t>
      </w:r>
      <w:r>
        <w:rPr>
          <w:rFonts w:ascii="Calibri"/>
          <w:color w:val="231F20"/>
          <w:spacing w:val="-10"/>
          <w:sz w:val="17"/>
        </w:rPr>
        <w:t> </w:t>
      </w:r>
      <w:r>
        <w:rPr>
          <w:rFonts w:ascii="Calibri"/>
          <w:color w:val="231F20"/>
          <w:sz w:val="17"/>
        </w:rPr>
        <w:t>York,</w:t>
      </w:r>
      <w:r>
        <w:rPr>
          <w:rFonts w:ascii="Calibri"/>
          <w:color w:val="231F20"/>
          <w:spacing w:val="-5"/>
          <w:sz w:val="17"/>
        </w:rPr>
        <w:t> </w:t>
      </w:r>
      <w:r>
        <w:rPr>
          <w:rFonts w:ascii="Calibri"/>
          <w:color w:val="231F20"/>
          <w:spacing w:val="-2"/>
          <w:sz w:val="17"/>
        </w:rPr>
        <w:t>Knopf,</w:t>
      </w:r>
      <w:r>
        <w:rPr>
          <w:rFonts w:ascii="Calibri"/>
          <w:color w:val="231F20"/>
          <w:spacing w:val="-5"/>
          <w:sz w:val="17"/>
        </w:rPr>
        <w:t> </w:t>
      </w:r>
      <w:r>
        <w:rPr>
          <w:rFonts w:ascii="Calibri"/>
          <w:color w:val="231F20"/>
          <w:sz w:val="17"/>
        </w:rPr>
        <w:t>1953, p.</w:t>
      </w:r>
      <w:r>
        <w:rPr>
          <w:rFonts w:ascii="Calibri"/>
          <w:color w:val="231F20"/>
          <w:spacing w:val="-14"/>
          <w:sz w:val="17"/>
        </w:rPr>
        <w:t> </w:t>
      </w:r>
      <w:r>
        <w:rPr>
          <w:rFonts w:ascii="Calibri"/>
          <w:color w:val="231F20"/>
          <w:sz w:val="17"/>
        </w:rPr>
        <w:t>106.</w:t>
      </w:r>
    </w:p>
    <w:p>
      <w:pPr>
        <w:spacing w:line="206" w:lineRule="exact" w:before="1"/>
        <w:ind w:left="103" w:right="0" w:firstLine="0"/>
        <w:jc w:val="both"/>
        <w:rPr>
          <w:rFonts w:ascii="Calibri"/>
          <w:sz w:val="17"/>
        </w:rPr>
      </w:pPr>
      <w:r>
        <w:rPr>
          <w:rFonts w:ascii="Calibri"/>
          <w:color w:val="231F20"/>
          <w:position w:val="6"/>
          <w:sz w:val="10"/>
        </w:rPr>
        <w:t>30  </w:t>
      </w:r>
      <w:r>
        <w:rPr>
          <w:rFonts w:ascii="Calibri"/>
          <w:color w:val="231F20"/>
          <w:sz w:val="17"/>
        </w:rPr>
        <w:t>R. Gherardi y M. Ricciardi (Eds.), </w:t>
      </w:r>
      <w:r>
        <w:rPr>
          <w:rFonts w:ascii="Calibri"/>
          <w:i/>
          <w:color w:val="231F20"/>
          <w:sz w:val="17"/>
        </w:rPr>
        <w:t>Lo Stato globale</w:t>
      </w:r>
      <w:r>
        <w:rPr>
          <w:rFonts w:ascii="Calibri"/>
          <w:color w:val="231F20"/>
          <w:sz w:val="17"/>
        </w:rPr>
        <w:t>, Bologna, </w:t>
      </w:r>
      <w:r>
        <w:rPr>
          <w:rFonts w:ascii="Calibri"/>
          <w:color w:val="231F20"/>
          <w:sz w:val="15"/>
        </w:rPr>
        <w:t>CLEUB</w:t>
      </w:r>
      <w:r>
        <w:rPr>
          <w:rFonts w:ascii="Calibri"/>
          <w:color w:val="231F20"/>
          <w:sz w:val="17"/>
        </w:rPr>
        <w:t>,  2009.</w:t>
      </w:r>
    </w:p>
    <w:p>
      <w:pPr>
        <w:spacing w:line="235" w:lineRule="auto" w:before="1"/>
        <w:ind w:left="103" w:right="115" w:firstLine="0"/>
        <w:jc w:val="both"/>
        <w:rPr>
          <w:rFonts w:ascii="Calibri" w:hAnsi="Calibri"/>
          <w:sz w:val="17"/>
        </w:rPr>
      </w:pPr>
      <w:r>
        <w:rPr>
          <w:rFonts w:ascii="Calibri" w:hAnsi="Calibri"/>
          <w:color w:val="231F20"/>
          <w:position w:val="6"/>
          <w:sz w:val="10"/>
        </w:rPr>
        <w:t>31 </w:t>
      </w:r>
      <w:r>
        <w:rPr>
          <w:rFonts w:ascii="Calibri" w:hAnsi="Calibri"/>
          <w:color w:val="231F20"/>
          <w:sz w:val="17"/>
        </w:rPr>
        <w:t>M. Ricciardi, “Otto Hintze, lo Stato e il problema della pratica storica”, </w:t>
      </w:r>
      <w:r>
        <w:rPr>
          <w:rFonts w:ascii="Calibri" w:hAnsi="Calibri"/>
          <w:i/>
          <w:color w:val="231F20"/>
          <w:sz w:val="17"/>
        </w:rPr>
        <w:t>Contemporanea</w:t>
      </w:r>
      <w:r>
        <w:rPr>
          <w:rFonts w:ascii="Calibri" w:hAnsi="Calibri"/>
          <w:color w:val="231F20"/>
          <w:sz w:val="17"/>
        </w:rPr>
        <w:t>, </w:t>
      </w:r>
      <w:r>
        <w:rPr>
          <w:rFonts w:ascii="Calibri" w:hAnsi="Calibri"/>
          <w:color w:val="231F20"/>
          <w:sz w:val="15"/>
        </w:rPr>
        <w:t>XIII</w:t>
      </w:r>
      <w:r>
        <w:rPr>
          <w:rFonts w:ascii="Calibri" w:hAnsi="Calibri"/>
          <w:color w:val="231F20"/>
          <w:sz w:val="17"/>
        </w:rPr>
        <w:t>, 2010, </w:t>
      </w:r>
      <w:r>
        <w:rPr>
          <w:rFonts w:ascii="Calibri" w:hAnsi="Calibri"/>
          <w:color w:val="231F20"/>
          <w:w w:val="90"/>
          <w:sz w:val="17"/>
        </w:rPr>
        <w:t>pp. 163–171.</w:t>
      </w:r>
    </w:p>
    <w:p>
      <w:pPr>
        <w:pStyle w:val="BodyText"/>
        <w:rPr>
          <w:rFonts w:ascii="Calibri"/>
          <w:sz w:val="20"/>
        </w:rPr>
      </w:pPr>
    </w:p>
    <w:p>
      <w:pPr>
        <w:pStyle w:val="BodyText"/>
        <w:spacing w:before="10"/>
        <w:rPr>
          <w:rFonts w:ascii="Calibri"/>
          <w:sz w:val="27"/>
        </w:rPr>
      </w:pPr>
    </w:p>
    <w:p>
      <w:pPr>
        <w:tabs>
          <w:tab w:pos="1331" w:val="left" w:leader="none"/>
        </w:tabs>
        <w:spacing w:before="68"/>
        <w:ind w:left="281" w:right="0" w:firstLine="0"/>
        <w:jc w:val="left"/>
        <w:rPr>
          <w:rFonts w:ascii="Calibri"/>
          <w:sz w:val="16"/>
        </w:rPr>
      </w:pPr>
      <w:r>
        <w:rPr/>
        <w:pict>
          <v:group style="position:absolute;margin-left:98.787804pt;margin-top:-3.358812pt;width:20.4pt;height:43pt;mso-position-horizontal-relative:page;mso-position-vertical-relative:paragraph;z-index:-172312"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46</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861" w:right="0" w:firstLine="0"/>
        <w:jc w:val="left"/>
        <w:rPr>
          <w:rFonts w:ascii="Arial" w:hAnsi="Arial"/>
          <w:sz w:val="20"/>
        </w:rPr>
      </w:pPr>
      <w:r>
        <w:rPr/>
        <w:pict>
          <v:group style="position:absolute;margin-left:383.821014pt;margin-top:-25.479271pt;width:8.65pt;height:41pt;mso-position-horizontal-relative:page;mso-position-vertical-relative:paragraph;z-index:-17226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3"/>
          <w:sz w:val="14"/>
        </w:rPr>
        <w:t> </w:t>
      </w:r>
      <w:r>
        <w:rPr>
          <w:rFonts w:ascii="Lucida Sans Unicode" w:hAnsi="Lucida Sans Unicode"/>
          <w:color w:val="6D6E71"/>
          <w:sz w:val="14"/>
        </w:rPr>
        <w:t>ESTADO</w:t>
      </w:r>
      <w:r>
        <w:rPr>
          <w:rFonts w:ascii="Lucida Sans Unicode" w:hAnsi="Lucida Sans Unicode"/>
          <w:color w:val="6D6E71"/>
          <w:spacing w:val="-23"/>
          <w:sz w:val="14"/>
        </w:rPr>
        <w:t> </w:t>
      </w:r>
      <w:r>
        <w:rPr>
          <w:rFonts w:ascii="Lucida Sans Unicode" w:hAnsi="Lucida Sans Unicode"/>
          <w:color w:val="6D6E71"/>
          <w:sz w:val="14"/>
        </w:rPr>
        <w:t>GLOBAL</w:t>
      </w:r>
      <w:r>
        <w:rPr>
          <w:rFonts w:ascii="Lucida Sans Unicode" w:hAnsi="Lucida Sans Unicode"/>
          <w:color w:val="6D6E71"/>
          <w:spacing w:val="-23"/>
          <w:sz w:val="14"/>
        </w:rPr>
        <w:t> </w:t>
      </w:r>
      <w:r>
        <w:rPr>
          <w:rFonts w:ascii="Lucida Sans Unicode" w:hAnsi="Lucida Sans Unicode"/>
          <w:color w:val="6D6E71"/>
          <w:sz w:val="14"/>
        </w:rPr>
        <w:t>Y</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EVOLUCIÓN</w:t>
      </w:r>
      <w:r>
        <w:rPr>
          <w:rFonts w:ascii="Lucida Sans Unicode" w:hAnsi="Lucida Sans Unicode"/>
          <w:color w:val="6D6E71"/>
          <w:spacing w:val="-23"/>
          <w:sz w:val="14"/>
        </w:rPr>
        <w:t> </w:t>
      </w:r>
      <w:r>
        <w:rPr>
          <w:rFonts w:ascii="Lucida Sans Unicode" w:hAnsi="Lucida Sans Unicode"/>
          <w:color w:val="6D6E71"/>
          <w:sz w:val="14"/>
        </w:rPr>
        <w:t>DE</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SOBERANÍA</w:t>
      </w:r>
      <w:r>
        <w:rPr>
          <w:rFonts w:ascii="Arial" w:hAnsi="Arial"/>
          <w:color w:val="414042"/>
          <w:position w:val="-3"/>
          <w:sz w:val="20"/>
        </w:rPr>
        <w:tab/>
        <w:t>47</w:t>
      </w:r>
    </w:p>
    <w:p>
      <w:pPr>
        <w:pStyle w:val="BodyText"/>
        <w:spacing w:line="247" w:lineRule="auto" w:before="623"/>
        <w:ind w:left="117" w:right="101"/>
        <w:jc w:val="both"/>
      </w:pPr>
      <w:r>
        <w:rPr>
          <w:color w:val="231F20"/>
          <w:w w:val="105"/>
        </w:rPr>
        <w:t>beranía</w:t>
      </w:r>
      <w:r>
        <w:rPr>
          <w:color w:val="231F20"/>
          <w:spacing w:val="-24"/>
          <w:w w:val="105"/>
        </w:rPr>
        <w:t> </w:t>
      </w:r>
      <w:r>
        <w:rPr>
          <w:color w:val="231F20"/>
          <w:w w:val="105"/>
        </w:rPr>
        <w:t>estatal,</w:t>
      </w:r>
      <w:r>
        <w:rPr>
          <w:color w:val="231F20"/>
          <w:spacing w:val="-24"/>
          <w:w w:val="105"/>
        </w:rPr>
        <w:t> </w:t>
      </w:r>
      <w:r>
        <w:rPr>
          <w:color w:val="231F20"/>
          <w:w w:val="105"/>
        </w:rPr>
        <w:t>sus</w:t>
      </w:r>
      <w:r>
        <w:rPr>
          <w:color w:val="231F20"/>
          <w:spacing w:val="-24"/>
          <w:w w:val="105"/>
        </w:rPr>
        <w:t> </w:t>
      </w:r>
      <w:r>
        <w:rPr>
          <w:color w:val="231F20"/>
          <w:w w:val="105"/>
        </w:rPr>
        <w:t>fundamentos,</w:t>
      </w:r>
      <w:r>
        <w:rPr>
          <w:color w:val="231F20"/>
          <w:spacing w:val="-24"/>
          <w:w w:val="105"/>
        </w:rPr>
        <w:t> </w:t>
      </w:r>
      <w:r>
        <w:rPr>
          <w:color w:val="231F20"/>
          <w:w w:val="105"/>
        </w:rPr>
        <w:t>los</w:t>
      </w:r>
      <w:r>
        <w:rPr>
          <w:color w:val="231F20"/>
          <w:spacing w:val="-24"/>
          <w:w w:val="105"/>
        </w:rPr>
        <w:t> </w:t>
      </w:r>
      <w:r>
        <w:rPr>
          <w:color w:val="231F20"/>
          <w:w w:val="105"/>
        </w:rPr>
        <w:t>atributos</w:t>
      </w:r>
      <w:r>
        <w:rPr>
          <w:color w:val="231F20"/>
          <w:spacing w:val="-24"/>
          <w:w w:val="105"/>
        </w:rPr>
        <w:t> </w:t>
      </w:r>
      <w:r>
        <w:rPr>
          <w:color w:val="231F20"/>
          <w:w w:val="105"/>
        </w:rPr>
        <w:t>de</w:t>
      </w:r>
      <w:r>
        <w:rPr>
          <w:color w:val="231F20"/>
          <w:spacing w:val="-24"/>
          <w:w w:val="105"/>
        </w:rPr>
        <w:t> </w:t>
      </w:r>
      <w:r>
        <w:rPr>
          <w:color w:val="231F20"/>
          <w:w w:val="105"/>
        </w:rPr>
        <w:t>su</w:t>
      </w:r>
      <w:r>
        <w:rPr>
          <w:color w:val="231F20"/>
          <w:spacing w:val="-24"/>
          <w:w w:val="105"/>
        </w:rPr>
        <w:t> </w:t>
      </w:r>
      <w:r>
        <w:rPr>
          <w:color w:val="231F20"/>
          <w:w w:val="105"/>
        </w:rPr>
        <w:t>“absoluto”.</w:t>
      </w:r>
      <w:r>
        <w:rPr>
          <w:color w:val="231F20"/>
          <w:spacing w:val="-24"/>
          <w:w w:val="105"/>
        </w:rPr>
        <w:t> </w:t>
      </w:r>
      <w:r>
        <w:rPr>
          <w:color w:val="231F20"/>
          <w:w w:val="105"/>
        </w:rPr>
        <w:t>Se</w:t>
      </w:r>
      <w:r>
        <w:rPr>
          <w:color w:val="231F20"/>
          <w:spacing w:val="-24"/>
          <w:w w:val="105"/>
        </w:rPr>
        <w:t> </w:t>
      </w:r>
      <w:r>
        <w:rPr>
          <w:color w:val="231F20"/>
          <w:w w:val="105"/>
        </w:rPr>
        <w:t>debe por</w:t>
      </w:r>
      <w:r>
        <w:rPr>
          <w:color w:val="231F20"/>
          <w:spacing w:val="-6"/>
          <w:w w:val="105"/>
        </w:rPr>
        <w:t> </w:t>
      </w:r>
      <w:r>
        <w:rPr>
          <w:color w:val="231F20"/>
          <w:w w:val="105"/>
        </w:rPr>
        <w:t>el</w:t>
      </w:r>
      <w:r>
        <w:rPr>
          <w:color w:val="231F20"/>
          <w:spacing w:val="-6"/>
          <w:w w:val="105"/>
        </w:rPr>
        <w:t> </w:t>
      </w:r>
      <w:r>
        <w:rPr>
          <w:color w:val="231F20"/>
          <w:w w:val="105"/>
        </w:rPr>
        <w:t>contrario</w:t>
      </w:r>
      <w:r>
        <w:rPr>
          <w:color w:val="231F20"/>
          <w:spacing w:val="-6"/>
          <w:w w:val="105"/>
        </w:rPr>
        <w:t> </w:t>
      </w:r>
      <w:r>
        <w:rPr>
          <w:color w:val="231F20"/>
          <w:w w:val="105"/>
        </w:rPr>
        <w:t>considerar</w:t>
      </w:r>
      <w:r>
        <w:rPr>
          <w:color w:val="231F20"/>
          <w:spacing w:val="-6"/>
          <w:w w:val="105"/>
        </w:rPr>
        <w:t> </w:t>
      </w:r>
      <w:r>
        <w:rPr>
          <w:color w:val="231F20"/>
          <w:w w:val="105"/>
        </w:rPr>
        <w:t>la</w:t>
      </w:r>
      <w:r>
        <w:rPr>
          <w:color w:val="231F20"/>
          <w:spacing w:val="-6"/>
          <w:w w:val="105"/>
        </w:rPr>
        <w:t> </w:t>
      </w:r>
      <w:r>
        <w:rPr>
          <w:color w:val="231F20"/>
          <w:w w:val="105"/>
        </w:rPr>
        <w:t>hipótesis</w:t>
      </w:r>
      <w:r>
        <w:rPr>
          <w:color w:val="231F20"/>
          <w:spacing w:val="-6"/>
          <w:w w:val="105"/>
        </w:rPr>
        <w:t> </w:t>
      </w:r>
      <w:r>
        <w:rPr>
          <w:color w:val="231F20"/>
          <w:w w:val="105"/>
        </w:rPr>
        <w:t>de</w:t>
      </w:r>
      <w:r>
        <w:rPr>
          <w:color w:val="231F20"/>
          <w:spacing w:val="-6"/>
          <w:w w:val="105"/>
        </w:rPr>
        <w:t> </w:t>
      </w:r>
      <w:r>
        <w:rPr>
          <w:color w:val="231F20"/>
          <w:w w:val="105"/>
        </w:rPr>
        <w:t>que</w:t>
      </w:r>
      <w:r>
        <w:rPr>
          <w:color w:val="231F20"/>
          <w:spacing w:val="-6"/>
          <w:w w:val="105"/>
        </w:rPr>
        <w:t> </w:t>
      </w:r>
      <w:r>
        <w:rPr>
          <w:color w:val="231F20"/>
          <w:w w:val="105"/>
        </w:rPr>
        <w:t>la</w:t>
      </w:r>
      <w:r>
        <w:rPr>
          <w:color w:val="231F20"/>
          <w:spacing w:val="-6"/>
          <w:w w:val="105"/>
        </w:rPr>
        <w:t> </w:t>
      </w:r>
      <w:r>
        <w:rPr>
          <w:color w:val="231F20"/>
          <w:w w:val="105"/>
        </w:rPr>
        <w:t>Sociología</w:t>
      </w:r>
      <w:r>
        <w:rPr>
          <w:color w:val="231F20"/>
          <w:spacing w:val="-6"/>
          <w:w w:val="105"/>
        </w:rPr>
        <w:t> </w:t>
      </w:r>
      <w:r>
        <w:rPr>
          <w:color w:val="231F20"/>
          <w:w w:val="105"/>
        </w:rPr>
        <w:t>histórica</w:t>
      </w:r>
      <w:r>
        <w:rPr>
          <w:color w:val="231F20"/>
          <w:spacing w:val="-6"/>
          <w:w w:val="105"/>
        </w:rPr>
        <w:t> </w:t>
      </w:r>
      <w:r>
        <w:rPr>
          <w:color w:val="231F20"/>
          <w:w w:val="105"/>
        </w:rPr>
        <w:t>del Estado</w:t>
      </w:r>
      <w:r>
        <w:rPr>
          <w:color w:val="231F20"/>
          <w:spacing w:val="-37"/>
          <w:w w:val="105"/>
        </w:rPr>
        <w:t> </w:t>
      </w:r>
      <w:r>
        <w:rPr>
          <w:color w:val="231F20"/>
          <w:w w:val="105"/>
        </w:rPr>
        <w:t>necesita</w:t>
      </w:r>
      <w:r>
        <w:rPr>
          <w:color w:val="231F20"/>
          <w:spacing w:val="-37"/>
          <w:w w:val="105"/>
        </w:rPr>
        <w:t> </w:t>
      </w:r>
      <w:r>
        <w:rPr>
          <w:color w:val="231F20"/>
          <w:w w:val="105"/>
        </w:rPr>
        <w:t>un</w:t>
      </w:r>
      <w:r>
        <w:rPr>
          <w:color w:val="231F20"/>
          <w:spacing w:val="-37"/>
          <w:w w:val="105"/>
        </w:rPr>
        <w:t> </w:t>
      </w:r>
      <w:r>
        <w:rPr>
          <w:color w:val="231F20"/>
          <w:w w:val="105"/>
        </w:rPr>
        <w:t>replanteamiento</w:t>
      </w:r>
      <w:r>
        <w:rPr>
          <w:color w:val="231F20"/>
          <w:spacing w:val="-37"/>
          <w:w w:val="105"/>
        </w:rPr>
        <w:t> </w:t>
      </w:r>
      <w:r>
        <w:rPr>
          <w:color w:val="231F20"/>
          <w:w w:val="105"/>
        </w:rPr>
        <w:t>desde</w:t>
      </w:r>
      <w:r>
        <w:rPr>
          <w:color w:val="231F20"/>
          <w:spacing w:val="-37"/>
          <w:w w:val="105"/>
        </w:rPr>
        <w:t> </w:t>
      </w:r>
      <w:r>
        <w:rPr>
          <w:color w:val="231F20"/>
          <w:w w:val="105"/>
        </w:rPr>
        <w:t>el</w:t>
      </w:r>
      <w:r>
        <w:rPr>
          <w:color w:val="231F20"/>
          <w:spacing w:val="-37"/>
          <w:w w:val="105"/>
        </w:rPr>
        <w:t> </w:t>
      </w:r>
      <w:r>
        <w:rPr>
          <w:color w:val="231F20"/>
          <w:w w:val="105"/>
        </w:rPr>
        <w:t>momento</w:t>
      </w:r>
      <w:r>
        <w:rPr>
          <w:color w:val="231F20"/>
          <w:spacing w:val="-37"/>
          <w:w w:val="105"/>
        </w:rPr>
        <w:t> </w:t>
      </w:r>
      <w:r>
        <w:rPr>
          <w:color w:val="231F20"/>
          <w:w w:val="105"/>
        </w:rPr>
        <w:t>en</w:t>
      </w:r>
      <w:r>
        <w:rPr>
          <w:color w:val="231F20"/>
          <w:spacing w:val="-37"/>
          <w:w w:val="105"/>
        </w:rPr>
        <w:t> </w:t>
      </w:r>
      <w:r>
        <w:rPr>
          <w:color w:val="231F20"/>
          <w:w w:val="105"/>
        </w:rPr>
        <w:t>que</w:t>
      </w:r>
      <w:r>
        <w:rPr>
          <w:color w:val="231F20"/>
          <w:spacing w:val="-37"/>
          <w:w w:val="105"/>
        </w:rPr>
        <w:t> </w:t>
      </w:r>
      <w:r>
        <w:rPr>
          <w:color w:val="231F20"/>
          <w:w w:val="105"/>
        </w:rPr>
        <w:t>éste</w:t>
      </w:r>
      <w:r>
        <w:rPr>
          <w:color w:val="231F20"/>
          <w:spacing w:val="-37"/>
          <w:w w:val="105"/>
        </w:rPr>
        <w:t> </w:t>
      </w:r>
      <w:r>
        <w:rPr>
          <w:color w:val="231F20"/>
          <w:w w:val="105"/>
        </w:rPr>
        <w:t>parece perder</w:t>
      </w:r>
      <w:r>
        <w:rPr>
          <w:color w:val="231F20"/>
          <w:spacing w:val="-34"/>
          <w:w w:val="105"/>
        </w:rPr>
        <w:t> </w:t>
      </w:r>
      <w:r>
        <w:rPr>
          <w:color w:val="231F20"/>
          <w:w w:val="105"/>
        </w:rPr>
        <w:t>entre</w:t>
      </w:r>
      <w:r>
        <w:rPr>
          <w:color w:val="231F20"/>
          <w:spacing w:val="-34"/>
          <w:w w:val="105"/>
        </w:rPr>
        <w:t> </w:t>
      </w:r>
      <w:r>
        <w:rPr>
          <w:color w:val="231F20"/>
          <w:w w:val="105"/>
        </w:rPr>
        <w:t>miles</w:t>
      </w:r>
      <w:r>
        <w:rPr>
          <w:color w:val="231F20"/>
          <w:spacing w:val="-34"/>
          <w:w w:val="105"/>
        </w:rPr>
        <w:t> </w:t>
      </w:r>
      <w:r>
        <w:rPr>
          <w:color w:val="231F20"/>
          <w:w w:val="105"/>
        </w:rPr>
        <w:t>de</w:t>
      </w:r>
      <w:r>
        <w:rPr>
          <w:color w:val="231F20"/>
          <w:spacing w:val="-34"/>
          <w:w w:val="105"/>
        </w:rPr>
        <w:t> </w:t>
      </w:r>
      <w:r>
        <w:rPr>
          <w:color w:val="231F20"/>
          <w:w w:val="105"/>
        </w:rPr>
        <w:t>contradicciones</w:t>
      </w:r>
      <w:r>
        <w:rPr>
          <w:color w:val="231F20"/>
          <w:spacing w:val="-34"/>
          <w:w w:val="105"/>
        </w:rPr>
        <w:t> </w:t>
      </w:r>
      <w:r>
        <w:rPr>
          <w:color w:val="231F20"/>
          <w:w w:val="105"/>
        </w:rPr>
        <w:t>pero</w:t>
      </w:r>
      <w:r>
        <w:rPr>
          <w:color w:val="231F20"/>
          <w:spacing w:val="-34"/>
          <w:w w:val="105"/>
        </w:rPr>
        <w:t> </w:t>
      </w:r>
      <w:r>
        <w:rPr>
          <w:color w:val="231F20"/>
          <w:w w:val="105"/>
        </w:rPr>
        <w:t>inexorablemente</w:t>
      </w:r>
      <w:r>
        <w:rPr>
          <w:color w:val="231F20"/>
          <w:spacing w:val="-34"/>
          <w:w w:val="105"/>
        </w:rPr>
        <w:t> </w:t>
      </w:r>
      <w:r>
        <w:rPr>
          <w:color w:val="231F20"/>
          <w:w w:val="105"/>
        </w:rPr>
        <w:t>el</w:t>
      </w:r>
      <w:r>
        <w:rPr>
          <w:color w:val="231F20"/>
          <w:spacing w:val="-34"/>
          <w:w w:val="105"/>
        </w:rPr>
        <w:t> </w:t>
      </w:r>
      <w:r>
        <w:rPr>
          <w:color w:val="231F20"/>
          <w:w w:val="105"/>
        </w:rPr>
        <w:t>atributo</w:t>
      </w:r>
      <w:r>
        <w:rPr>
          <w:color w:val="231F20"/>
          <w:spacing w:val="-34"/>
          <w:w w:val="105"/>
        </w:rPr>
        <w:t> </w:t>
      </w:r>
      <w:r>
        <w:rPr>
          <w:color w:val="231F20"/>
          <w:w w:val="105"/>
        </w:rPr>
        <w:t>de “social”. El ocaso de lo social no corresponde sin embargo al abandono de las prácticas disciplinarias que habían acompañado a la</w:t>
      </w:r>
      <w:r>
        <w:rPr>
          <w:color w:val="231F20"/>
          <w:spacing w:val="-19"/>
          <w:w w:val="105"/>
        </w:rPr>
        <w:t> </w:t>
      </w:r>
      <w:r>
        <w:rPr>
          <w:color w:val="231F20"/>
          <w:w w:val="105"/>
        </w:rPr>
        <w:t>Constitución y</w:t>
      </w:r>
      <w:r>
        <w:rPr>
          <w:color w:val="231F20"/>
          <w:spacing w:val="-5"/>
          <w:w w:val="105"/>
        </w:rPr>
        <w:t> </w:t>
      </w:r>
      <w:r>
        <w:rPr>
          <w:color w:val="231F20"/>
          <w:w w:val="105"/>
        </w:rPr>
        <w:t>al</w:t>
      </w:r>
      <w:r>
        <w:rPr>
          <w:color w:val="231F20"/>
          <w:spacing w:val="-5"/>
          <w:w w:val="105"/>
        </w:rPr>
        <w:t> </w:t>
      </w:r>
      <w:r>
        <w:rPr>
          <w:color w:val="231F20"/>
          <w:w w:val="105"/>
        </w:rPr>
        <w:t>gobierno.</w:t>
      </w:r>
      <w:r>
        <w:rPr>
          <w:color w:val="231F20"/>
          <w:spacing w:val="-5"/>
          <w:w w:val="105"/>
        </w:rPr>
        <w:t> </w:t>
      </w:r>
      <w:r>
        <w:rPr>
          <w:color w:val="231F20"/>
          <w:w w:val="105"/>
        </w:rPr>
        <w:t>El</w:t>
      </w:r>
      <w:r>
        <w:rPr>
          <w:color w:val="231F20"/>
          <w:spacing w:val="-5"/>
          <w:w w:val="105"/>
        </w:rPr>
        <w:t> </w:t>
      </w:r>
      <w:r>
        <w:rPr>
          <w:color w:val="231F20"/>
          <w:w w:val="105"/>
        </w:rPr>
        <w:t>modelo</w:t>
      </w:r>
      <w:r>
        <w:rPr>
          <w:color w:val="231F20"/>
          <w:spacing w:val="-5"/>
          <w:w w:val="105"/>
        </w:rPr>
        <w:t> </w:t>
      </w:r>
      <w:r>
        <w:rPr>
          <w:color w:val="231F20"/>
          <w:w w:val="105"/>
        </w:rPr>
        <w:t>social</w:t>
      </w:r>
      <w:r>
        <w:rPr>
          <w:color w:val="231F20"/>
          <w:spacing w:val="-5"/>
          <w:w w:val="105"/>
        </w:rPr>
        <w:t> </w:t>
      </w:r>
      <w:r>
        <w:rPr>
          <w:color w:val="231F20"/>
          <w:w w:val="105"/>
        </w:rPr>
        <w:t>del</w:t>
      </w:r>
      <w:r>
        <w:rPr>
          <w:color w:val="231F20"/>
          <w:spacing w:val="-5"/>
          <w:w w:val="105"/>
        </w:rPr>
        <w:t> </w:t>
      </w:r>
      <w:r>
        <w:rPr>
          <w:color w:val="231F20"/>
          <w:w w:val="105"/>
        </w:rPr>
        <w:t>Estado</w:t>
      </w:r>
      <w:r>
        <w:rPr>
          <w:color w:val="231F20"/>
          <w:spacing w:val="-5"/>
          <w:w w:val="105"/>
        </w:rPr>
        <w:t> </w:t>
      </w:r>
      <w:r>
        <w:rPr>
          <w:color w:val="231F20"/>
          <w:w w:val="105"/>
        </w:rPr>
        <w:t>que</w:t>
      </w:r>
      <w:r>
        <w:rPr>
          <w:color w:val="231F20"/>
          <w:spacing w:val="-5"/>
          <w:w w:val="105"/>
        </w:rPr>
        <w:t> </w:t>
      </w:r>
      <w:r>
        <w:rPr>
          <w:color w:val="231F20"/>
          <w:w w:val="105"/>
        </w:rPr>
        <w:t>la</w:t>
      </w:r>
      <w:r>
        <w:rPr>
          <w:color w:val="231F20"/>
          <w:spacing w:val="-5"/>
          <w:w w:val="105"/>
        </w:rPr>
        <w:t> </w:t>
      </w:r>
      <w:r>
        <w:rPr>
          <w:color w:val="231F20"/>
          <w:w w:val="105"/>
        </w:rPr>
        <w:t>Sociología</w:t>
      </w:r>
      <w:r>
        <w:rPr>
          <w:color w:val="231F20"/>
          <w:spacing w:val="-5"/>
          <w:w w:val="105"/>
        </w:rPr>
        <w:t> </w:t>
      </w:r>
      <w:r>
        <w:rPr>
          <w:color w:val="231F20"/>
          <w:w w:val="105"/>
        </w:rPr>
        <w:t>había</w:t>
      </w:r>
      <w:r>
        <w:rPr>
          <w:color w:val="231F20"/>
          <w:spacing w:val="-5"/>
          <w:w w:val="105"/>
        </w:rPr>
        <w:t> </w:t>
      </w:r>
      <w:r>
        <w:rPr>
          <w:color w:val="231F20"/>
          <w:w w:val="105"/>
        </w:rPr>
        <w:t>dirigi- do y acompañado parece abrir paso a una disciplina sin compensación, a la constitución de lo social sin el reconocimiento de los sujetos que</w:t>
      </w:r>
      <w:r>
        <w:rPr>
          <w:color w:val="231F20"/>
          <w:spacing w:val="-24"/>
          <w:w w:val="105"/>
        </w:rPr>
        <w:t> </w:t>
      </w:r>
      <w:r>
        <w:rPr>
          <w:color w:val="231F20"/>
          <w:w w:val="105"/>
        </w:rPr>
        <w:t>lo mueven.</w:t>
      </w:r>
      <w:r>
        <w:rPr>
          <w:color w:val="231F20"/>
          <w:spacing w:val="-13"/>
          <w:w w:val="105"/>
        </w:rPr>
        <w:t> </w:t>
      </w:r>
      <w:r>
        <w:rPr>
          <w:color w:val="231F20"/>
          <w:w w:val="105"/>
        </w:rPr>
        <w:t>Esto</w:t>
      </w:r>
      <w:r>
        <w:rPr>
          <w:color w:val="231F20"/>
          <w:spacing w:val="-13"/>
          <w:w w:val="105"/>
        </w:rPr>
        <w:t> </w:t>
      </w:r>
      <w:r>
        <w:rPr>
          <w:color w:val="231F20"/>
          <w:w w:val="105"/>
        </w:rPr>
        <w:t>vuelve</w:t>
      </w:r>
      <w:r>
        <w:rPr>
          <w:color w:val="231F20"/>
          <w:spacing w:val="-13"/>
          <w:w w:val="105"/>
        </w:rPr>
        <w:t> </w:t>
      </w:r>
      <w:r>
        <w:rPr>
          <w:color w:val="231F20"/>
          <w:w w:val="105"/>
        </w:rPr>
        <w:t>inevitable</w:t>
      </w:r>
      <w:r>
        <w:rPr>
          <w:color w:val="231F20"/>
          <w:spacing w:val="-13"/>
          <w:w w:val="105"/>
        </w:rPr>
        <w:t> </w:t>
      </w:r>
      <w:r>
        <w:rPr>
          <w:color w:val="231F20"/>
          <w:w w:val="105"/>
        </w:rPr>
        <w:t>y</w:t>
      </w:r>
      <w:r>
        <w:rPr>
          <w:color w:val="231F20"/>
          <w:spacing w:val="-13"/>
          <w:w w:val="105"/>
        </w:rPr>
        <w:t> </w:t>
      </w:r>
      <w:r>
        <w:rPr>
          <w:color w:val="231F20"/>
          <w:w w:val="105"/>
        </w:rPr>
        <w:t>necesario</w:t>
      </w:r>
      <w:r>
        <w:rPr>
          <w:color w:val="231F20"/>
          <w:spacing w:val="-13"/>
          <w:w w:val="105"/>
        </w:rPr>
        <w:t> </w:t>
      </w:r>
      <w:r>
        <w:rPr>
          <w:color w:val="231F20"/>
          <w:w w:val="105"/>
        </w:rPr>
        <w:t>tomar</w:t>
      </w:r>
      <w:r>
        <w:rPr>
          <w:color w:val="231F20"/>
          <w:spacing w:val="-13"/>
          <w:w w:val="105"/>
        </w:rPr>
        <w:t> </w:t>
      </w:r>
      <w:r>
        <w:rPr>
          <w:color w:val="231F20"/>
          <w:w w:val="105"/>
        </w:rPr>
        <w:t>al</w:t>
      </w:r>
      <w:r>
        <w:rPr>
          <w:color w:val="231F20"/>
          <w:spacing w:val="-13"/>
          <w:w w:val="105"/>
        </w:rPr>
        <w:t> </w:t>
      </w:r>
      <w:r>
        <w:rPr>
          <w:color w:val="231F20"/>
          <w:w w:val="105"/>
        </w:rPr>
        <w:t>Estado</w:t>
      </w:r>
      <w:r>
        <w:rPr>
          <w:color w:val="231F20"/>
          <w:spacing w:val="-13"/>
          <w:w w:val="105"/>
        </w:rPr>
        <w:t> </w:t>
      </w:r>
      <w:r>
        <w:rPr>
          <w:color w:val="231F20"/>
          <w:w w:val="105"/>
        </w:rPr>
        <w:t>como</w:t>
      </w:r>
      <w:r>
        <w:rPr>
          <w:color w:val="231F20"/>
          <w:spacing w:val="-13"/>
          <w:w w:val="105"/>
        </w:rPr>
        <w:t> </w:t>
      </w:r>
      <w:r>
        <w:rPr>
          <w:color w:val="231F20"/>
          <w:w w:val="105"/>
        </w:rPr>
        <w:t>sujeto disciplinante</w:t>
      </w:r>
      <w:r>
        <w:rPr>
          <w:color w:val="231F20"/>
          <w:spacing w:val="-32"/>
          <w:w w:val="105"/>
        </w:rPr>
        <w:t> </w:t>
      </w:r>
      <w:r>
        <w:rPr>
          <w:color w:val="231F20"/>
          <w:w w:val="105"/>
        </w:rPr>
        <w:t>que</w:t>
      </w:r>
      <w:r>
        <w:rPr>
          <w:color w:val="231F20"/>
          <w:spacing w:val="-32"/>
          <w:w w:val="105"/>
        </w:rPr>
        <w:t> </w:t>
      </w:r>
      <w:r>
        <w:rPr>
          <w:color w:val="231F20"/>
          <w:w w:val="105"/>
        </w:rPr>
        <w:t>produce</w:t>
      </w:r>
      <w:r>
        <w:rPr>
          <w:color w:val="231F20"/>
          <w:spacing w:val="-32"/>
          <w:w w:val="105"/>
        </w:rPr>
        <w:t> </w:t>
      </w:r>
      <w:r>
        <w:rPr>
          <w:color w:val="231F20"/>
          <w:w w:val="105"/>
        </w:rPr>
        <w:t>efectos</w:t>
      </w:r>
      <w:r>
        <w:rPr>
          <w:color w:val="231F20"/>
          <w:spacing w:val="-32"/>
          <w:w w:val="105"/>
        </w:rPr>
        <w:t> </w:t>
      </w:r>
      <w:r>
        <w:rPr>
          <w:color w:val="231F20"/>
          <w:w w:val="105"/>
        </w:rPr>
        <w:t>normativos</w:t>
      </w:r>
      <w:r>
        <w:rPr>
          <w:color w:val="231F20"/>
          <w:spacing w:val="-32"/>
          <w:w w:val="105"/>
        </w:rPr>
        <w:t> </w:t>
      </w:r>
      <w:r>
        <w:rPr>
          <w:color w:val="231F20"/>
          <w:w w:val="105"/>
        </w:rPr>
        <w:t>sobre</w:t>
      </w:r>
      <w:r>
        <w:rPr>
          <w:color w:val="231F20"/>
          <w:spacing w:val="-32"/>
          <w:w w:val="105"/>
        </w:rPr>
        <w:t> </w:t>
      </w:r>
      <w:r>
        <w:rPr>
          <w:color w:val="231F20"/>
          <w:w w:val="105"/>
        </w:rPr>
        <w:t>la</w:t>
      </w:r>
      <w:r>
        <w:rPr>
          <w:color w:val="231F20"/>
          <w:spacing w:val="-32"/>
          <w:w w:val="105"/>
        </w:rPr>
        <w:t> </w:t>
      </w:r>
      <w:r>
        <w:rPr>
          <w:color w:val="231F20"/>
          <w:w w:val="105"/>
        </w:rPr>
        <w:t>realidad</w:t>
      </w:r>
      <w:r>
        <w:rPr>
          <w:color w:val="231F20"/>
          <w:spacing w:val="-32"/>
          <w:w w:val="105"/>
        </w:rPr>
        <w:t> </w:t>
      </w:r>
      <w:r>
        <w:rPr>
          <w:color w:val="231F20"/>
          <w:w w:val="105"/>
        </w:rPr>
        <w:t>social,</w:t>
      </w:r>
      <w:r>
        <w:rPr>
          <w:color w:val="231F20"/>
          <w:spacing w:val="-32"/>
          <w:w w:val="105"/>
        </w:rPr>
        <w:t> </w:t>
      </w:r>
      <w:r>
        <w:rPr>
          <w:color w:val="231F20"/>
          <w:spacing w:val="-3"/>
          <w:w w:val="105"/>
        </w:rPr>
        <w:t>por- </w:t>
      </w:r>
      <w:r>
        <w:rPr>
          <w:color w:val="231F20"/>
          <w:w w:val="105"/>
        </w:rPr>
        <w:t>que</w:t>
      </w:r>
      <w:r>
        <w:rPr>
          <w:color w:val="231F20"/>
          <w:spacing w:val="-21"/>
          <w:w w:val="105"/>
        </w:rPr>
        <w:t> </w:t>
      </w:r>
      <w:r>
        <w:rPr>
          <w:color w:val="231F20"/>
          <w:w w:val="105"/>
        </w:rPr>
        <w:t>puede</w:t>
      </w:r>
      <w:r>
        <w:rPr>
          <w:color w:val="231F20"/>
          <w:spacing w:val="-21"/>
          <w:w w:val="105"/>
        </w:rPr>
        <w:t> </w:t>
      </w:r>
      <w:r>
        <w:rPr>
          <w:color w:val="231F20"/>
          <w:w w:val="105"/>
        </w:rPr>
        <w:t>orientar</w:t>
      </w:r>
      <w:r>
        <w:rPr>
          <w:color w:val="231F20"/>
          <w:spacing w:val="-21"/>
          <w:w w:val="105"/>
        </w:rPr>
        <w:t> </w:t>
      </w:r>
      <w:r>
        <w:rPr>
          <w:color w:val="231F20"/>
          <w:w w:val="105"/>
        </w:rPr>
        <w:t>y</w:t>
      </w:r>
      <w:r>
        <w:rPr>
          <w:color w:val="231F20"/>
          <w:spacing w:val="-21"/>
          <w:w w:val="105"/>
        </w:rPr>
        <w:t> </w:t>
      </w:r>
      <w:r>
        <w:rPr>
          <w:color w:val="231F20"/>
          <w:w w:val="105"/>
        </w:rPr>
        <w:t>plasmar</w:t>
      </w:r>
      <w:r>
        <w:rPr>
          <w:color w:val="231F20"/>
          <w:spacing w:val="-21"/>
          <w:w w:val="105"/>
        </w:rPr>
        <w:t> </w:t>
      </w:r>
      <w:r>
        <w:rPr>
          <w:color w:val="231F20"/>
          <w:w w:val="105"/>
        </w:rPr>
        <w:t>un</w:t>
      </w:r>
      <w:r>
        <w:rPr>
          <w:color w:val="231F20"/>
          <w:spacing w:val="-21"/>
          <w:w w:val="105"/>
        </w:rPr>
        <w:t> </w:t>
      </w:r>
      <w:r>
        <w:rPr>
          <w:color w:val="231F20"/>
          <w:w w:val="105"/>
        </w:rPr>
        <w:t>conjunto</w:t>
      </w:r>
      <w:r>
        <w:rPr>
          <w:color w:val="231F20"/>
          <w:spacing w:val="-21"/>
          <w:w w:val="105"/>
        </w:rPr>
        <w:t> </w:t>
      </w:r>
      <w:r>
        <w:rPr>
          <w:color w:val="231F20"/>
          <w:w w:val="105"/>
        </w:rPr>
        <w:t>de</w:t>
      </w:r>
      <w:r>
        <w:rPr>
          <w:color w:val="231F20"/>
          <w:spacing w:val="-21"/>
          <w:w w:val="105"/>
        </w:rPr>
        <w:t> </w:t>
      </w:r>
      <w:r>
        <w:rPr>
          <w:color w:val="231F20"/>
          <w:w w:val="105"/>
        </w:rPr>
        <w:t>prácticas,</w:t>
      </w:r>
      <w:r>
        <w:rPr>
          <w:color w:val="231F20"/>
          <w:spacing w:val="-21"/>
          <w:w w:val="105"/>
        </w:rPr>
        <w:t> </w:t>
      </w:r>
      <w:r>
        <w:rPr>
          <w:color w:val="231F20"/>
          <w:w w:val="105"/>
        </w:rPr>
        <w:t>de</w:t>
      </w:r>
      <w:r>
        <w:rPr>
          <w:color w:val="231F20"/>
          <w:spacing w:val="-21"/>
          <w:w w:val="105"/>
        </w:rPr>
        <w:t> </w:t>
      </w:r>
      <w:r>
        <w:rPr>
          <w:color w:val="231F20"/>
          <w:w w:val="105"/>
        </w:rPr>
        <w:t>discursos</w:t>
      </w:r>
      <w:r>
        <w:rPr>
          <w:color w:val="231F20"/>
          <w:spacing w:val="-21"/>
          <w:w w:val="105"/>
        </w:rPr>
        <w:t> </w:t>
      </w:r>
      <w:r>
        <w:rPr>
          <w:color w:val="231F20"/>
          <w:w w:val="105"/>
        </w:rPr>
        <w:t>y</w:t>
      </w:r>
      <w:r>
        <w:rPr>
          <w:color w:val="231F20"/>
          <w:spacing w:val="-21"/>
          <w:w w:val="105"/>
        </w:rPr>
        <w:t> </w:t>
      </w:r>
      <w:r>
        <w:rPr>
          <w:color w:val="231F20"/>
          <w:w w:val="105"/>
        </w:rPr>
        <w:t>de </w:t>
      </w:r>
      <w:r>
        <w:rPr>
          <w:color w:val="231F20"/>
        </w:rPr>
        <w:t>retóricas para tomar decisiones colectivamente</w:t>
      </w:r>
      <w:r>
        <w:rPr>
          <w:color w:val="231F20"/>
          <w:spacing w:val="15"/>
        </w:rPr>
        <w:t> </w:t>
      </w:r>
      <w:r>
        <w:rPr>
          <w:color w:val="231F20"/>
        </w:rPr>
        <w:t>vinculantes.</w:t>
      </w:r>
    </w:p>
    <w:p>
      <w:pPr>
        <w:pStyle w:val="BodyText"/>
        <w:spacing w:line="247" w:lineRule="auto"/>
        <w:ind w:left="117" w:right="101" w:firstLine="566"/>
        <w:jc w:val="both"/>
      </w:pPr>
      <w:r>
        <w:rPr>
          <w:color w:val="231F20"/>
          <w:w w:val="105"/>
        </w:rPr>
        <w:t>Como</w:t>
      </w:r>
      <w:r>
        <w:rPr>
          <w:color w:val="231F20"/>
          <w:spacing w:val="-24"/>
          <w:w w:val="105"/>
        </w:rPr>
        <w:t> </w:t>
      </w:r>
      <w:r>
        <w:rPr>
          <w:color w:val="231F20"/>
          <w:w w:val="105"/>
        </w:rPr>
        <w:t>ha</w:t>
      </w:r>
      <w:r>
        <w:rPr>
          <w:color w:val="231F20"/>
          <w:spacing w:val="-24"/>
          <w:w w:val="105"/>
        </w:rPr>
        <w:t> </w:t>
      </w:r>
      <w:r>
        <w:rPr>
          <w:color w:val="231F20"/>
          <w:w w:val="105"/>
        </w:rPr>
        <w:t>escrito</w:t>
      </w:r>
      <w:r>
        <w:rPr>
          <w:color w:val="231F20"/>
          <w:spacing w:val="-24"/>
          <w:w w:val="105"/>
        </w:rPr>
        <w:t> </w:t>
      </w:r>
      <w:r>
        <w:rPr>
          <w:color w:val="231F20"/>
          <w:w w:val="105"/>
        </w:rPr>
        <w:t>Pierre</w:t>
      </w:r>
      <w:r>
        <w:rPr>
          <w:color w:val="231F20"/>
          <w:spacing w:val="-24"/>
          <w:w w:val="105"/>
        </w:rPr>
        <w:t> </w:t>
      </w:r>
      <w:r>
        <w:rPr>
          <w:color w:val="231F20"/>
          <w:w w:val="105"/>
        </w:rPr>
        <w:t>Bourdieu:</w:t>
      </w:r>
      <w:r>
        <w:rPr>
          <w:color w:val="231F20"/>
          <w:spacing w:val="-24"/>
          <w:w w:val="105"/>
        </w:rPr>
        <w:t> </w:t>
      </w:r>
      <w:r>
        <w:rPr>
          <w:color w:val="231F20"/>
          <w:w w:val="105"/>
        </w:rPr>
        <w:t>“El</w:t>
      </w:r>
      <w:r>
        <w:rPr>
          <w:color w:val="231F20"/>
          <w:spacing w:val="-24"/>
          <w:w w:val="105"/>
        </w:rPr>
        <w:t> </w:t>
      </w:r>
      <w:r>
        <w:rPr>
          <w:color w:val="231F20"/>
          <w:w w:val="105"/>
        </w:rPr>
        <w:t>Estado</w:t>
      </w:r>
      <w:r>
        <w:rPr>
          <w:color w:val="231F20"/>
          <w:spacing w:val="-24"/>
          <w:w w:val="105"/>
        </w:rPr>
        <w:t> </w:t>
      </w:r>
      <w:r>
        <w:rPr>
          <w:color w:val="231F20"/>
          <w:w w:val="105"/>
        </w:rPr>
        <w:t>es</w:t>
      </w:r>
      <w:r>
        <w:rPr>
          <w:color w:val="231F20"/>
          <w:spacing w:val="-24"/>
          <w:w w:val="105"/>
        </w:rPr>
        <w:t> </w:t>
      </w:r>
      <w:r>
        <w:rPr>
          <w:color w:val="231F20"/>
          <w:w w:val="105"/>
        </w:rPr>
        <w:t>un</w:t>
      </w:r>
      <w:r>
        <w:rPr>
          <w:color w:val="231F20"/>
          <w:spacing w:val="-24"/>
          <w:w w:val="105"/>
        </w:rPr>
        <w:t> </w:t>
      </w:r>
      <w:r>
        <w:rPr>
          <w:color w:val="231F20"/>
          <w:w w:val="105"/>
        </w:rPr>
        <w:t>principio</w:t>
      </w:r>
      <w:r>
        <w:rPr>
          <w:color w:val="231F20"/>
          <w:spacing w:val="-24"/>
          <w:w w:val="105"/>
        </w:rPr>
        <w:t> </w:t>
      </w:r>
      <w:r>
        <w:rPr>
          <w:color w:val="231F20"/>
          <w:w w:val="105"/>
        </w:rPr>
        <w:t>de</w:t>
      </w:r>
      <w:r>
        <w:rPr>
          <w:color w:val="231F20"/>
          <w:spacing w:val="-24"/>
          <w:w w:val="105"/>
        </w:rPr>
        <w:t> </w:t>
      </w:r>
      <w:r>
        <w:rPr>
          <w:color w:val="231F20"/>
          <w:w w:val="105"/>
        </w:rPr>
        <w:t>orto- doxia,</w:t>
      </w:r>
      <w:r>
        <w:rPr>
          <w:color w:val="231F20"/>
          <w:spacing w:val="-12"/>
          <w:w w:val="105"/>
        </w:rPr>
        <w:t> </w:t>
      </w:r>
      <w:r>
        <w:rPr>
          <w:color w:val="231F20"/>
          <w:w w:val="105"/>
        </w:rPr>
        <w:t>de</w:t>
      </w:r>
      <w:r>
        <w:rPr>
          <w:color w:val="231F20"/>
          <w:spacing w:val="-12"/>
          <w:w w:val="105"/>
        </w:rPr>
        <w:t> </w:t>
      </w:r>
      <w:r>
        <w:rPr>
          <w:color w:val="231F20"/>
          <w:w w:val="105"/>
        </w:rPr>
        <w:t>consenso</w:t>
      </w:r>
      <w:r>
        <w:rPr>
          <w:color w:val="231F20"/>
          <w:spacing w:val="-12"/>
          <w:w w:val="105"/>
        </w:rPr>
        <w:t> </w:t>
      </w:r>
      <w:r>
        <w:rPr>
          <w:color w:val="231F20"/>
          <w:w w:val="105"/>
        </w:rPr>
        <w:t>sobre</w:t>
      </w:r>
      <w:r>
        <w:rPr>
          <w:color w:val="231F20"/>
          <w:spacing w:val="-12"/>
          <w:w w:val="105"/>
        </w:rPr>
        <w:t> </w:t>
      </w:r>
      <w:r>
        <w:rPr>
          <w:color w:val="231F20"/>
          <w:w w:val="105"/>
        </w:rPr>
        <w:t>el</w:t>
      </w:r>
      <w:r>
        <w:rPr>
          <w:color w:val="231F20"/>
          <w:spacing w:val="-12"/>
          <w:w w:val="105"/>
        </w:rPr>
        <w:t> </w:t>
      </w:r>
      <w:r>
        <w:rPr>
          <w:color w:val="231F20"/>
          <w:w w:val="105"/>
        </w:rPr>
        <w:t>sentido</w:t>
      </w:r>
      <w:r>
        <w:rPr>
          <w:color w:val="231F20"/>
          <w:spacing w:val="-12"/>
          <w:w w:val="105"/>
        </w:rPr>
        <w:t> </w:t>
      </w:r>
      <w:r>
        <w:rPr>
          <w:color w:val="231F20"/>
          <w:w w:val="105"/>
        </w:rPr>
        <w:t>del</w:t>
      </w:r>
      <w:r>
        <w:rPr>
          <w:color w:val="231F20"/>
          <w:spacing w:val="-12"/>
          <w:w w:val="105"/>
        </w:rPr>
        <w:t> </w:t>
      </w:r>
      <w:r>
        <w:rPr>
          <w:color w:val="231F20"/>
          <w:w w:val="105"/>
        </w:rPr>
        <w:t>mundo”</w:t>
      </w:r>
      <w:r>
        <w:rPr>
          <w:color w:val="231F20"/>
          <w:w w:val="105"/>
          <w:position w:val="7"/>
          <w:sz w:val="12"/>
        </w:rPr>
        <w:t>32</w:t>
      </w:r>
      <w:r>
        <w:rPr>
          <w:color w:val="231F20"/>
          <w:w w:val="105"/>
        </w:rPr>
        <w:t>.</w:t>
      </w:r>
      <w:r>
        <w:rPr>
          <w:color w:val="231F20"/>
          <w:spacing w:val="-12"/>
          <w:w w:val="105"/>
        </w:rPr>
        <w:t> </w:t>
      </w:r>
      <w:r>
        <w:rPr>
          <w:color w:val="231F20"/>
          <w:w w:val="105"/>
        </w:rPr>
        <w:t>Una</w:t>
      </w:r>
      <w:r>
        <w:rPr>
          <w:color w:val="231F20"/>
          <w:spacing w:val="-12"/>
          <w:w w:val="105"/>
        </w:rPr>
        <w:t> </w:t>
      </w:r>
      <w:r>
        <w:rPr>
          <w:color w:val="231F20"/>
          <w:w w:val="105"/>
        </w:rPr>
        <w:t>ortodoxia</w:t>
      </w:r>
      <w:r>
        <w:rPr>
          <w:color w:val="231F20"/>
          <w:spacing w:val="-12"/>
          <w:w w:val="105"/>
        </w:rPr>
        <w:t> </w:t>
      </w:r>
      <w:r>
        <w:rPr>
          <w:color w:val="231F20"/>
          <w:w w:val="105"/>
        </w:rPr>
        <w:t>que</w:t>
      </w:r>
      <w:r>
        <w:rPr>
          <w:color w:val="231F20"/>
          <w:spacing w:val="-12"/>
          <w:w w:val="105"/>
        </w:rPr>
        <w:t> </w:t>
      </w:r>
      <w:r>
        <w:rPr>
          <w:color w:val="231F20"/>
          <w:w w:val="105"/>
        </w:rPr>
        <w:t>no es</w:t>
      </w:r>
      <w:r>
        <w:rPr>
          <w:color w:val="231F20"/>
          <w:spacing w:val="-12"/>
          <w:w w:val="105"/>
        </w:rPr>
        <w:t> </w:t>
      </w:r>
      <w:r>
        <w:rPr>
          <w:color w:val="231F20"/>
          <w:w w:val="105"/>
        </w:rPr>
        <w:t>inmediatamente</w:t>
      </w:r>
      <w:r>
        <w:rPr>
          <w:color w:val="231F20"/>
          <w:spacing w:val="-12"/>
          <w:w w:val="105"/>
        </w:rPr>
        <w:t> </w:t>
      </w:r>
      <w:r>
        <w:rPr>
          <w:color w:val="231F20"/>
          <w:w w:val="105"/>
        </w:rPr>
        <w:t>evidente</w:t>
      </w:r>
      <w:r>
        <w:rPr>
          <w:color w:val="231F20"/>
          <w:spacing w:val="-12"/>
          <w:w w:val="105"/>
        </w:rPr>
        <w:t> </w:t>
      </w:r>
      <w:r>
        <w:rPr>
          <w:color w:val="231F20"/>
          <w:w w:val="105"/>
        </w:rPr>
        <w:t>o,</w:t>
      </w:r>
      <w:r>
        <w:rPr>
          <w:color w:val="231F20"/>
          <w:spacing w:val="-12"/>
          <w:w w:val="105"/>
        </w:rPr>
        <w:t> </w:t>
      </w:r>
      <w:r>
        <w:rPr>
          <w:color w:val="231F20"/>
          <w:w w:val="105"/>
        </w:rPr>
        <w:t>en</w:t>
      </w:r>
      <w:r>
        <w:rPr>
          <w:color w:val="231F20"/>
          <w:spacing w:val="-12"/>
          <w:w w:val="105"/>
        </w:rPr>
        <w:t> </w:t>
      </w:r>
      <w:r>
        <w:rPr>
          <w:color w:val="231F20"/>
          <w:w w:val="105"/>
        </w:rPr>
        <w:t>todo</w:t>
      </w:r>
      <w:r>
        <w:rPr>
          <w:color w:val="231F20"/>
          <w:spacing w:val="-12"/>
          <w:w w:val="105"/>
        </w:rPr>
        <w:t> </w:t>
      </w:r>
      <w:r>
        <w:rPr>
          <w:color w:val="231F20"/>
          <w:w w:val="105"/>
        </w:rPr>
        <w:t>caso,</w:t>
      </w:r>
      <w:r>
        <w:rPr>
          <w:color w:val="231F20"/>
          <w:spacing w:val="-12"/>
          <w:w w:val="105"/>
        </w:rPr>
        <w:t> </w:t>
      </w:r>
      <w:r>
        <w:rPr>
          <w:color w:val="231F20"/>
          <w:w w:val="105"/>
        </w:rPr>
        <w:t>si</w:t>
      </w:r>
      <w:r>
        <w:rPr>
          <w:color w:val="231F20"/>
          <w:spacing w:val="-12"/>
          <w:w w:val="105"/>
        </w:rPr>
        <w:t> </w:t>
      </w:r>
      <w:r>
        <w:rPr>
          <w:color w:val="231F20"/>
          <w:w w:val="105"/>
        </w:rPr>
        <w:t>en</w:t>
      </w:r>
      <w:r>
        <w:rPr>
          <w:color w:val="231F20"/>
          <w:spacing w:val="-12"/>
          <w:w w:val="105"/>
        </w:rPr>
        <w:t> </w:t>
      </w:r>
      <w:r>
        <w:rPr>
          <w:color w:val="231F20"/>
          <w:w w:val="105"/>
        </w:rPr>
        <w:t>algún</w:t>
      </w:r>
      <w:r>
        <w:rPr>
          <w:color w:val="231F20"/>
          <w:spacing w:val="-12"/>
          <w:w w:val="105"/>
        </w:rPr>
        <w:t> </w:t>
      </w:r>
      <w:r>
        <w:rPr>
          <w:color w:val="231F20"/>
          <w:w w:val="105"/>
        </w:rPr>
        <w:t>momento</w:t>
      </w:r>
      <w:r>
        <w:rPr>
          <w:color w:val="231F20"/>
          <w:spacing w:val="-12"/>
          <w:w w:val="105"/>
        </w:rPr>
        <w:t> </w:t>
      </w:r>
      <w:r>
        <w:rPr>
          <w:color w:val="231F20"/>
          <w:w w:val="105"/>
        </w:rPr>
        <w:t>lo</w:t>
      </w:r>
      <w:r>
        <w:rPr>
          <w:color w:val="231F20"/>
          <w:spacing w:val="-12"/>
          <w:w w:val="105"/>
        </w:rPr>
        <w:t> </w:t>
      </w:r>
      <w:r>
        <w:rPr>
          <w:color w:val="231F20"/>
          <w:w w:val="105"/>
        </w:rPr>
        <w:t>ha sido,</w:t>
      </w:r>
      <w:r>
        <w:rPr>
          <w:color w:val="231F20"/>
          <w:spacing w:val="-13"/>
          <w:w w:val="105"/>
        </w:rPr>
        <w:t> </w:t>
      </w:r>
      <w:r>
        <w:rPr>
          <w:color w:val="231F20"/>
          <w:w w:val="105"/>
        </w:rPr>
        <w:t>ya</w:t>
      </w:r>
      <w:r>
        <w:rPr>
          <w:color w:val="231F20"/>
          <w:spacing w:val="-13"/>
          <w:w w:val="105"/>
        </w:rPr>
        <w:t> </w:t>
      </w:r>
      <w:r>
        <w:rPr>
          <w:color w:val="231F20"/>
          <w:w w:val="105"/>
        </w:rPr>
        <w:t>no</w:t>
      </w:r>
      <w:r>
        <w:rPr>
          <w:color w:val="231F20"/>
          <w:spacing w:val="-13"/>
          <w:w w:val="105"/>
        </w:rPr>
        <w:t> </w:t>
      </w:r>
      <w:r>
        <w:rPr>
          <w:color w:val="231F20"/>
          <w:w w:val="105"/>
        </w:rPr>
        <w:t>lo</w:t>
      </w:r>
      <w:r>
        <w:rPr>
          <w:color w:val="231F20"/>
          <w:spacing w:val="-13"/>
          <w:w w:val="105"/>
        </w:rPr>
        <w:t> </w:t>
      </w:r>
      <w:r>
        <w:rPr>
          <w:color w:val="231F20"/>
          <w:w w:val="105"/>
        </w:rPr>
        <w:t>es,</w:t>
      </w:r>
      <w:r>
        <w:rPr>
          <w:color w:val="231F20"/>
          <w:spacing w:val="-13"/>
          <w:w w:val="105"/>
        </w:rPr>
        <w:t> </w:t>
      </w:r>
      <w:r>
        <w:rPr>
          <w:color w:val="231F20"/>
          <w:w w:val="105"/>
        </w:rPr>
        <w:t>al</w:t>
      </w:r>
      <w:r>
        <w:rPr>
          <w:color w:val="231F20"/>
          <w:spacing w:val="-13"/>
          <w:w w:val="105"/>
        </w:rPr>
        <w:t> </w:t>
      </w:r>
      <w:r>
        <w:rPr>
          <w:color w:val="231F20"/>
          <w:w w:val="105"/>
        </w:rPr>
        <w:t>grado</w:t>
      </w:r>
      <w:r>
        <w:rPr>
          <w:color w:val="231F20"/>
          <w:spacing w:val="-13"/>
          <w:w w:val="105"/>
        </w:rPr>
        <w:t> </w:t>
      </w:r>
      <w:r>
        <w:rPr>
          <w:color w:val="231F20"/>
          <w:w w:val="105"/>
        </w:rPr>
        <w:t>que</w:t>
      </w:r>
      <w:r>
        <w:rPr>
          <w:color w:val="231F20"/>
          <w:spacing w:val="-13"/>
          <w:w w:val="105"/>
        </w:rPr>
        <w:t> </w:t>
      </w:r>
      <w:r>
        <w:rPr>
          <w:color w:val="231F20"/>
          <w:w w:val="105"/>
        </w:rPr>
        <w:t>su</w:t>
      </w:r>
      <w:r>
        <w:rPr>
          <w:color w:val="231F20"/>
          <w:spacing w:val="-13"/>
          <w:w w:val="105"/>
        </w:rPr>
        <w:t> </w:t>
      </w:r>
      <w:r>
        <w:rPr>
          <w:color w:val="231F20"/>
          <w:w w:val="105"/>
        </w:rPr>
        <w:t>forma</w:t>
      </w:r>
      <w:r>
        <w:rPr>
          <w:color w:val="231F20"/>
          <w:spacing w:val="-13"/>
          <w:w w:val="105"/>
        </w:rPr>
        <w:t> </w:t>
      </w:r>
      <w:r>
        <w:rPr>
          <w:color w:val="231F20"/>
          <w:w w:val="105"/>
        </w:rPr>
        <w:t>democrática</w:t>
      </w:r>
      <w:r>
        <w:rPr>
          <w:color w:val="231F20"/>
          <w:spacing w:val="-13"/>
          <w:w w:val="105"/>
        </w:rPr>
        <w:t> </w:t>
      </w:r>
      <w:r>
        <w:rPr>
          <w:color w:val="231F20"/>
          <w:w w:val="105"/>
        </w:rPr>
        <w:t>ya</w:t>
      </w:r>
      <w:r>
        <w:rPr>
          <w:color w:val="231F20"/>
          <w:spacing w:val="-13"/>
          <w:w w:val="105"/>
        </w:rPr>
        <w:t> </w:t>
      </w:r>
      <w:r>
        <w:rPr>
          <w:color w:val="231F20"/>
          <w:w w:val="105"/>
        </w:rPr>
        <w:t>no</w:t>
      </w:r>
      <w:r>
        <w:rPr>
          <w:color w:val="231F20"/>
          <w:spacing w:val="-13"/>
          <w:w w:val="105"/>
        </w:rPr>
        <w:t> </w:t>
      </w:r>
      <w:r>
        <w:rPr>
          <w:color w:val="231F20"/>
          <w:w w:val="105"/>
        </w:rPr>
        <w:t>es</w:t>
      </w:r>
      <w:r>
        <w:rPr>
          <w:color w:val="231F20"/>
          <w:spacing w:val="-13"/>
          <w:w w:val="105"/>
        </w:rPr>
        <w:t> </w:t>
      </w:r>
      <w:r>
        <w:rPr>
          <w:color w:val="231F20"/>
          <w:w w:val="105"/>
        </w:rPr>
        <w:t>imaginada como la cúspide de su desarrollo, sino como un proceso separado que puede</w:t>
      </w:r>
      <w:r>
        <w:rPr>
          <w:color w:val="231F20"/>
          <w:spacing w:val="-16"/>
          <w:w w:val="105"/>
        </w:rPr>
        <w:t> </w:t>
      </w:r>
      <w:r>
        <w:rPr>
          <w:color w:val="231F20"/>
          <w:w w:val="105"/>
        </w:rPr>
        <w:t>redefinir</w:t>
      </w:r>
      <w:r>
        <w:rPr>
          <w:color w:val="231F20"/>
          <w:spacing w:val="-16"/>
          <w:w w:val="105"/>
        </w:rPr>
        <w:t> </w:t>
      </w:r>
      <w:r>
        <w:rPr>
          <w:color w:val="231F20"/>
          <w:w w:val="105"/>
        </w:rPr>
        <w:t>la</w:t>
      </w:r>
      <w:r>
        <w:rPr>
          <w:color w:val="231F20"/>
          <w:spacing w:val="-16"/>
          <w:w w:val="105"/>
        </w:rPr>
        <w:t> </w:t>
      </w:r>
      <w:r>
        <w:rPr>
          <w:color w:val="231F20"/>
          <w:w w:val="105"/>
        </w:rPr>
        <w:t>función</w:t>
      </w:r>
      <w:r>
        <w:rPr>
          <w:color w:val="231F20"/>
          <w:spacing w:val="-16"/>
          <w:w w:val="105"/>
        </w:rPr>
        <w:t> </w:t>
      </w:r>
      <w:r>
        <w:rPr>
          <w:color w:val="231F20"/>
          <w:w w:val="105"/>
        </w:rPr>
        <w:t>misma</w:t>
      </w:r>
      <w:r>
        <w:rPr>
          <w:color w:val="231F20"/>
          <w:spacing w:val="-16"/>
          <w:w w:val="105"/>
        </w:rPr>
        <w:t> </w:t>
      </w:r>
      <w:r>
        <w:rPr>
          <w:color w:val="231F20"/>
          <w:w w:val="105"/>
        </w:rPr>
        <w:t>del</w:t>
      </w:r>
      <w:r>
        <w:rPr>
          <w:color w:val="231F20"/>
          <w:spacing w:val="-16"/>
          <w:w w:val="105"/>
        </w:rPr>
        <w:t> </w:t>
      </w:r>
      <w:r>
        <w:rPr>
          <w:color w:val="231F20"/>
          <w:w w:val="105"/>
        </w:rPr>
        <w:t>Estado</w:t>
      </w:r>
      <w:r>
        <w:rPr>
          <w:color w:val="231F20"/>
          <w:w w:val="105"/>
          <w:position w:val="7"/>
          <w:sz w:val="12"/>
        </w:rPr>
        <w:t>33</w:t>
      </w:r>
      <w:r>
        <w:rPr>
          <w:color w:val="231F20"/>
          <w:w w:val="105"/>
        </w:rPr>
        <w:t>.</w:t>
      </w:r>
      <w:r>
        <w:rPr>
          <w:color w:val="231F20"/>
          <w:spacing w:val="-16"/>
          <w:w w:val="105"/>
        </w:rPr>
        <w:t> </w:t>
      </w:r>
      <w:r>
        <w:rPr>
          <w:color w:val="231F20"/>
          <w:w w:val="105"/>
        </w:rPr>
        <w:t>Como</w:t>
      </w:r>
      <w:r>
        <w:rPr>
          <w:color w:val="231F20"/>
          <w:spacing w:val="-16"/>
          <w:w w:val="105"/>
        </w:rPr>
        <w:t> </w:t>
      </w:r>
      <w:r>
        <w:rPr>
          <w:color w:val="231F20"/>
          <w:w w:val="105"/>
        </w:rPr>
        <w:t>consecuencia,</w:t>
      </w:r>
      <w:r>
        <w:rPr>
          <w:color w:val="231F20"/>
          <w:spacing w:val="-16"/>
          <w:w w:val="105"/>
        </w:rPr>
        <w:t> </w:t>
      </w:r>
      <w:r>
        <w:rPr>
          <w:color w:val="231F20"/>
          <w:w w:val="105"/>
        </w:rPr>
        <w:t>tam- bién la investigación sobre el concepto de Estado global debe tomar</w:t>
      </w:r>
      <w:r>
        <w:rPr>
          <w:color w:val="231F20"/>
          <w:spacing w:val="-15"/>
          <w:w w:val="105"/>
        </w:rPr>
        <w:t> </w:t>
      </w:r>
      <w:r>
        <w:rPr>
          <w:color w:val="231F20"/>
          <w:w w:val="105"/>
        </w:rPr>
        <w:t>en cuenta</w:t>
      </w:r>
      <w:r>
        <w:rPr>
          <w:color w:val="231F20"/>
          <w:spacing w:val="-10"/>
          <w:w w:val="105"/>
        </w:rPr>
        <w:t> </w:t>
      </w:r>
      <w:r>
        <w:rPr>
          <w:color w:val="231F20"/>
          <w:w w:val="105"/>
        </w:rPr>
        <w:t>la</w:t>
      </w:r>
      <w:r>
        <w:rPr>
          <w:color w:val="231F20"/>
          <w:spacing w:val="-10"/>
          <w:w w:val="105"/>
        </w:rPr>
        <w:t> </w:t>
      </w:r>
      <w:r>
        <w:rPr>
          <w:color w:val="231F20"/>
          <w:w w:val="105"/>
        </w:rPr>
        <w:t>lucha</w:t>
      </w:r>
      <w:r>
        <w:rPr>
          <w:color w:val="231F20"/>
          <w:spacing w:val="-10"/>
          <w:w w:val="105"/>
        </w:rPr>
        <w:t> </w:t>
      </w:r>
      <w:r>
        <w:rPr>
          <w:color w:val="231F20"/>
          <w:w w:val="105"/>
        </w:rPr>
        <w:t>en</w:t>
      </w:r>
      <w:r>
        <w:rPr>
          <w:color w:val="231F20"/>
          <w:spacing w:val="-10"/>
          <w:w w:val="105"/>
        </w:rPr>
        <w:t> </w:t>
      </w:r>
      <w:r>
        <w:rPr>
          <w:color w:val="231F20"/>
          <w:w w:val="105"/>
        </w:rPr>
        <w:t>torno</w:t>
      </w:r>
      <w:r>
        <w:rPr>
          <w:color w:val="231F20"/>
          <w:spacing w:val="-10"/>
          <w:w w:val="105"/>
        </w:rPr>
        <w:t> </w:t>
      </w:r>
      <w:r>
        <w:rPr>
          <w:color w:val="231F20"/>
          <w:w w:val="105"/>
        </w:rPr>
        <w:t>a</w:t>
      </w:r>
      <w:r>
        <w:rPr>
          <w:color w:val="231F20"/>
          <w:spacing w:val="-10"/>
          <w:w w:val="105"/>
        </w:rPr>
        <w:t> </w:t>
      </w:r>
      <w:r>
        <w:rPr>
          <w:color w:val="231F20"/>
          <w:w w:val="105"/>
        </w:rPr>
        <w:t>esa</w:t>
      </w:r>
      <w:r>
        <w:rPr>
          <w:color w:val="231F20"/>
          <w:spacing w:val="-10"/>
          <w:w w:val="105"/>
        </w:rPr>
        <w:t> </w:t>
      </w:r>
      <w:r>
        <w:rPr>
          <w:color w:val="231F20"/>
          <w:w w:val="105"/>
        </w:rPr>
        <w:t>ortodoxia,</w:t>
      </w:r>
      <w:r>
        <w:rPr>
          <w:color w:val="231F20"/>
          <w:spacing w:val="-10"/>
          <w:w w:val="105"/>
        </w:rPr>
        <w:t> </w:t>
      </w:r>
      <w:r>
        <w:rPr>
          <w:color w:val="231F20"/>
          <w:w w:val="105"/>
        </w:rPr>
        <w:t>que</w:t>
      </w:r>
      <w:r>
        <w:rPr>
          <w:color w:val="231F20"/>
          <w:spacing w:val="-10"/>
          <w:w w:val="105"/>
        </w:rPr>
        <w:t> </w:t>
      </w:r>
      <w:r>
        <w:rPr>
          <w:color w:val="231F20"/>
          <w:w w:val="105"/>
        </w:rPr>
        <w:t>sin</w:t>
      </w:r>
      <w:r>
        <w:rPr>
          <w:color w:val="231F20"/>
          <w:spacing w:val="-10"/>
          <w:w w:val="105"/>
        </w:rPr>
        <w:t> </w:t>
      </w:r>
      <w:r>
        <w:rPr>
          <w:color w:val="231F20"/>
          <w:w w:val="105"/>
        </w:rPr>
        <w:t>embargo</w:t>
      </w:r>
      <w:r>
        <w:rPr>
          <w:color w:val="231F20"/>
          <w:spacing w:val="-10"/>
          <w:w w:val="105"/>
        </w:rPr>
        <w:t> </w:t>
      </w:r>
      <w:r>
        <w:rPr>
          <w:color w:val="231F20"/>
          <w:w w:val="105"/>
        </w:rPr>
        <w:t>no</w:t>
      </w:r>
      <w:r>
        <w:rPr>
          <w:color w:val="231F20"/>
          <w:spacing w:val="-10"/>
          <w:w w:val="105"/>
        </w:rPr>
        <w:t> </w:t>
      </w:r>
      <w:r>
        <w:rPr>
          <w:color w:val="231F20"/>
          <w:w w:val="105"/>
        </w:rPr>
        <w:t>puede</w:t>
      </w:r>
      <w:r>
        <w:rPr>
          <w:color w:val="231F20"/>
          <w:spacing w:val="-10"/>
          <w:w w:val="105"/>
        </w:rPr>
        <w:t> </w:t>
      </w:r>
      <w:r>
        <w:rPr>
          <w:color w:val="231F20"/>
          <w:w w:val="105"/>
        </w:rPr>
        <w:t>ser considerada</w:t>
      </w:r>
      <w:r>
        <w:rPr>
          <w:color w:val="231F20"/>
          <w:spacing w:val="-38"/>
          <w:w w:val="105"/>
        </w:rPr>
        <w:t> </w:t>
      </w:r>
      <w:r>
        <w:rPr>
          <w:color w:val="231F20"/>
          <w:w w:val="105"/>
        </w:rPr>
        <w:t>el</w:t>
      </w:r>
      <w:r>
        <w:rPr>
          <w:color w:val="231F20"/>
          <w:spacing w:val="-38"/>
          <w:w w:val="105"/>
        </w:rPr>
        <w:t> </w:t>
      </w:r>
      <w:r>
        <w:rPr>
          <w:color w:val="231F20"/>
          <w:w w:val="105"/>
        </w:rPr>
        <w:t>resultado</w:t>
      </w:r>
      <w:r>
        <w:rPr>
          <w:color w:val="231F20"/>
          <w:spacing w:val="-38"/>
          <w:w w:val="105"/>
        </w:rPr>
        <w:t> </w:t>
      </w:r>
      <w:r>
        <w:rPr>
          <w:color w:val="231F20"/>
          <w:w w:val="105"/>
        </w:rPr>
        <w:t>de</w:t>
      </w:r>
      <w:r>
        <w:rPr>
          <w:color w:val="231F20"/>
          <w:spacing w:val="-38"/>
          <w:w w:val="105"/>
        </w:rPr>
        <w:t> </w:t>
      </w:r>
      <w:r>
        <w:rPr>
          <w:color w:val="231F20"/>
          <w:w w:val="105"/>
        </w:rPr>
        <w:t>un</w:t>
      </w:r>
      <w:r>
        <w:rPr>
          <w:color w:val="231F20"/>
          <w:spacing w:val="-38"/>
          <w:w w:val="105"/>
        </w:rPr>
        <w:t> </w:t>
      </w:r>
      <w:r>
        <w:rPr>
          <w:color w:val="231F20"/>
          <w:w w:val="105"/>
        </w:rPr>
        <w:t>desarrollo</w:t>
      </w:r>
      <w:r>
        <w:rPr>
          <w:color w:val="231F20"/>
          <w:spacing w:val="-38"/>
          <w:w w:val="105"/>
        </w:rPr>
        <w:t> </w:t>
      </w:r>
      <w:r>
        <w:rPr>
          <w:color w:val="231F20"/>
          <w:w w:val="105"/>
        </w:rPr>
        <w:t>orientado</w:t>
      </w:r>
      <w:r>
        <w:rPr>
          <w:color w:val="231F20"/>
          <w:spacing w:val="-38"/>
          <w:w w:val="105"/>
        </w:rPr>
        <w:t> </w:t>
      </w:r>
      <w:r>
        <w:rPr>
          <w:color w:val="231F20"/>
          <w:w w:val="105"/>
        </w:rPr>
        <w:t>teleológicamente,</w:t>
      </w:r>
      <w:r>
        <w:rPr>
          <w:color w:val="231F20"/>
          <w:spacing w:val="-38"/>
          <w:w w:val="105"/>
        </w:rPr>
        <w:t> </w:t>
      </w:r>
      <w:r>
        <w:rPr>
          <w:color w:val="231F20"/>
          <w:w w:val="105"/>
        </w:rPr>
        <w:t>casi como</w:t>
      </w:r>
      <w:r>
        <w:rPr>
          <w:color w:val="231F20"/>
          <w:spacing w:val="-19"/>
          <w:w w:val="105"/>
        </w:rPr>
        <w:t> </w:t>
      </w:r>
      <w:r>
        <w:rPr>
          <w:color w:val="231F20"/>
          <w:w w:val="105"/>
        </w:rPr>
        <w:t>el</w:t>
      </w:r>
      <w:r>
        <w:rPr>
          <w:color w:val="231F20"/>
          <w:spacing w:val="-19"/>
          <w:w w:val="105"/>
        </w:rPr>
        <w:t> </w:t>
      </w:r>
      <w:r>
        <w:rPr>
          <w:color w:val="231F20"/>
          <w:w w:val="105"/>
        </w:rPr>
        <w:t>cumplimiento</w:t>
      </w:r>
      <w:r>
        <w:rPr>
          <w:color w:val="231F20"/>
          <w:spacing w:val="-19"/>
          <w:w w:val="105"/>
        </w:rPr>
        <w:t> </w:t>
      </w:r>
      <w:r>
        <w:rPr>
          <w:color w:val="231F20"/>
          <w:w w:val="105"/>
        </w:rPr>
        <w:t>del</w:t>
      </w:r>
      <w:r>
        <w:rPr>
          <w:color w:val="231F20"/>
          <w:spacing w:val="-19"/>
          <w:w w:val="105"/>
        </w:rPr>
        <w:t> </w:t>
      </w:r>
      <w:r>
        <w:rPr>
          <w:color w:val="231F20"/>
          <w:w w:val="105"/>
        </w:rPr>
        <w:t>sentido</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historia</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manifiesta</w:t>
      </w:r>
      <w:r>
        <w:rPr>
          <w:color w:val="231F20"/>
          <w:spacing w:val="-19"/>
          <w:w w:val="105"/>
        </w:rPr>
        <w:t> </w:t>
      </w:r>
      <w:r>
        <w:rPr>
          <w:color w:val="231F20"/>
          <w:w w:val="105"/>
        </w:rPr>
        <w:t>gracias a</w:t>
      </w:r>
      <w:r>
        <w:rPr>
          <w:color w:val="231F20"/>
          <w:spacing w:val="-5"/>
          <w:w w:val="105"/>
        </w:rPr>
        <w:t> </w:t>
      </w:r>
      <w:r>
        <w:rPr>
          <w:color w:val="231F20"/>
          <w:w w:val="105"/>
        </w:rPr>
        <w:t>y</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interior</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globalización.</w:t>
      </w:r>
      <w:r>
        <w:rPr>
          <w:color w:val="231F20"/>
          <w:spacing w:val="-5"/>
          <w:w w:val="105"/>
        </w:rPr>
        <w:t> </w:t>
      </w:r>
      <w:r>
        <w:rPr>
          <w:color w:val="231F20"/>
          <w:w w:val="105"/>
        </w:rPr>
        <w:t>Los</w:t>
      </w:r>
      <w:r>
        <w:rPr>
          <w:color w:val="231F20"/>
          <w:spacing w:val="-5"/>
          <w:w w:val="105"/>
        </w:rPr>
        <w:t> </w:t>
      </w:r>
      <w:r>
        <w:rPr>
          <w:color w:val="231F20"/>
          <w:w w:val="105"/>
        </w:rPr>
        <w:t>dos</w:t>
      </w:r>
      <w:r>
        <w:rPr>
          <w:color w:val="231F20"/>
          <w:spacing w:val="-5"/>
          <w:w w:val="105"/>
        </w:rPr>
        <w:t> </w:t>
      </w:r>
      <w:r>
        <w:rPr>
          <w:color w:val="231F20"/>
          <w:w w:val="105"/>
        </w:rPr>
        <w:t>términos</w:t>
      </w:r>
      <w:r>
        <w:rPr>
          <w:color w:val="231F20"/>
          <w:spacing w:val="-5"/>
          <w:w w:val="105"/>
        </w:rPr>
        <w:t> </w:t>
      </w:r>
      <w:r>
        <w:rPr>
          <w:color w:val="231F20"/>
          <w:w w:val="105"/>
        </w:rPr>
        <w:t>que</w:t>
      </w:r>
      <w:r>
        <w:rPr>
          <w:color w:val="231F20"/>
          <w:spacing w:val="-5"/>
          <w:w w:val="105"/>
        </w:rPr>
        <w:t> </w:t>
      </w:r>
      <w:r>
        <w:rPr>
          <w:color w:val="231F20"/>
          <w:w w:val="105"/>
        </w:rPr>
        <w:t>componen</w:t>
      </w:r>
      <w:r>
        <w:rPr>
          <w:color w:val="231F20"/>
          <w:spacing w:val="-5"/>
          <w:w w:val="105"/>
        </w:rPr>
        <w:t> </w:t>
      </w:r>
      <w:r>
        <w:rPr>
          <w:color w:val="231F20"/>
          <w:w w:val="105"/>
        </w:rPr>
        <w:t>el sintagma “Estado global” establecen un campo de tensión en el</w:t>
      </w:r>
      <w:r>
        <w:rPr>
          <w:color w:val="231F20"/>
          <w:spacing w:val="-33"/>
          <w:w w:val="105"/>
        </w:rPr>
        <w:t> </w:t>
      </w:r>
      <w:r>
        <w:rPr>
          <w:color w:val="231F20"/>
          <w:w w:val="105"/>
        </w:rPr>
        <w:t>interior del</w:t>
      </w:r>
      <w:r>
        <w:rPr>
          <w:color w:val="231F20"/>
          <w:spacing w:val="-36"/>
          <w:w w:val="105"/>
        </w:rPr>
        <w:t> </w:t>
      </w:r>
      <w:r>
        <w:rPr>
          <w:color w:val="231F20"/>
          <w:w w:val="105"/>
        </w:rPr>
        <w:t>cual</w:t>
      </w:r>
      <w:r>
        <w:rPr>
          <w:color w:val="231F20"/>
          <w:spacing w:val="-36"/>
          <w:w w:val="105"/>
        </w:rPr>
        <w:t> </w:t>
      </w:r>
      <w:r>
        <w:rPr>
          <w:color w:val="231F20"/>
          <w:w w:val="105"/>
        </w:rPr>
        <w:t>no</w:t>
      </w:r>
      <w:r>
        <w:rPr>
          <w:color w:val="231F20"/>
          <w:spacing w:val="-36"/>
          <w:w w:val="105"/>
        </w:rPr>
        <w:t> </w:t>
      </w:r>
      <w:r>
        <w:rPr>
          <w:color w:val="231F20"/>
          <w:w w:val="105"/>
        </w:rPr>
        <w:t>se</w:t>
      </w:r>
      <w:r>
        <w:rPr>
          <w:color w:val="231F20"/>
          <w:spacing w:val="-36"/>
          <w:w w:val="105"/>
        </w:rPr>
        <w:t> </w:t>
      </w:r>
      <w:r>
        <w:rPr>
          <w:color w:val="231F20"/>
          <w:w w:val="105"/>
        </w:rPr>
        <w:t>determina</w:t>
      </w:r>
      <w:r>
        <w:rPr>
          <w:color w:val="231F20"/>
          <w:spacing w:val="-36"/>
          <w:w w:val="105"/>
        </w:rPr>
        <w:t> </w:t>
      </w:r>
      <w:r>
        <w:rPr>
          <w:color w:val="231F20"/>
          <w:w w:val="105"/>
        </w:rPr>
        <w:t>en</w:t>
      </w:r>
      <w:r>
        <w:rPr>
          <w:color w:val="231F20"/>
          <w:spacing w:val="-36"/>
          <w:w w:val="105"/>
        </w:rPr>
        <w:t> </w:t>
      </w:r>
      <w:r>
        <w:rPr>
          <w:color w:val="231F20"/>
          <w:w w:val="105"/>
        </w:rPr>
        <w:t>modo</w:t>
      </w:r>
      <w:r>
        <w:rPr>
          <w:color w:val="231F20"/>
          <w:spacing w:val="-36"/>
          <w:w w:val="105"/>
        </w:rPr>
        <w:t> </w:t>
      </w:r>
      <w:r>
        <w:rPr>
          <w:color w:val="231F20"/>
          <w:w w:val="105"/>
        </w:rPr>
        <w:t>alguno</w:t>
      </w:r>
      <w:r>
        <w:rPr>
          <w:color w:val="231F20"/>
          <w:spacing w:val="-36"/>
          <w:w w:val="105"/>
        </w:rPr>
        <w:t> </w:t>
      </w:r>
      <w:r>
        <w:rPr>
          <w:color w:val="231F20"/>
          <w:w w:val="105"/>
        </w:rPr>
        <w:t>un</w:t>
      </w:r>
      <w:r>
        <w:rPr>
          <w:color w:val="231F20"/>
          <w:spacing w:val="-36"/>
          <w:w w:val="105"/>
        </w:rPr>
        <w:t> </w:t>
      </w:r>
      <w:r>
        <w:rPr>
          <w:color w:val="231F20"/>
          <w:w w:val="105"/>
        </w:rPr>
        <w:t>desarrollo</w:t>
      </w:r>
      <w:r>
        <w:rPr>
          <w:color w:val="231F20"/>
          <w:spacing w:val="-36"/>
          <w:w w:val="105"/>
        </w:rPr>
        <w:t> </w:t>
      </w:r>
      <w:r>
        <w:rPr>
          <w:color w:val="231F20"/>
          <w:w w:val="105"/>
        </w:rPr>
        <w:t>cierto</w:t>
      </w:r>
      <w:r>
        <w:rPr>
          <w:color w:val="231F20"/>
          <w:w w:val="105"/>
          <w:position w:val="7"/>
          <w:sz w:val="12"/>
        </w:rPr>
        <w:t>34</w:t>
      </w:r>
      <w:r>
        <w:rPr>
          <w:color w:val="231F20"/>
          <w:w w:val="105"/>
        </w:rPr>
        <w:t>.</w:t>
      </w:r>
      <w:r>
        <w:rPr>
          <w:color w:val="231F20"/>
          <w:spacing w:val="-36"/>
          <w:w w:val="105"/>
        </w:rPr>
        <w:t> </w:t>
      </w:r>
      <w:r>
        <w:rPr>
          <w:color w:val="231F20"/>
          <w:w w:val="105"/>
        </w:rPr>
        <w:t>Contrario</w:t>
      </w:r>
      <w:r>
        <w:rPr>
          <w:color w:val="231F20"/>
          <w:spacing w:val="-36"/>
          <w:w w:val="105"/>
        </w:rPr>
        <w:t> </w:t>
      </w:r>
      <w:r>
        <w:rPr>
          <w:color w:val="231F20"/>
          <w:w w:val="105"/>
        </w:rPr>
        <w:t>a lo</w:t>
      </w:r>
      <w:r>
        <w:rPr>
          <w:color w:val="231F20"/>
          <w:spacing w:val="-30"/>
          <w:w w:val="105"/>
        </w:rPr>
        <w:t> </w:t>
      </w:r>
      <w:r>
        <w:rPr>
          <w:color w:val="231F20"/>
          <w:w w:val="105"/>
        </w:rPr>
        <w:t>que</w:t>
      </w:r>
      <w:r>
        <w:rPr>
          <w:color w:val="231F20"/>
          <w:spacing w:val="-30"/>
          <w:w w:val="105"/>
        </w:rPr>
        <w:t> </w:t>
      </w:r>
      <w:r>
        <w:rPr>
          <w:color w:val="231F20"/>
          <w:w w:val="105"/>
        </w:rPr>
        <w:t>sostiene</w:t>
      </w:r>
      <w:r>
        <w:rPr>
          <w:color w:val="231F20"/>
          <w:spacing w:val="-30"/>
          <w:w w:val="105"/>
        </w:rPr>
        <w:t> </w:t>
      </w:r>
      <w:r>
        <w:rPr>
          <w:color w:val="231F20"/>
          <w:w w:val="105"/>
        </w:rPr>
        <w:t>Martin</w:t>
      </w:r>
      <w:r>
        <w:rPr>
          <w:color w:val="231F20"/>
          <w:spacing w:val="-30"/>
          <w:w w:val="105"/>
        </w:rPr>
        <w:t> </w:t>
      </w:r>
      <w:r>
        <w:rPr>
          <w:color w:val="231F20"/>
          <w:spacing w:val="-3"/>
          <w:w w:val="105"/>
        </w:rPr>
        <w:t>Shaw,</w:t>
      </w:r>
      <w:r>
        <w:rPr>
          <w:color w:val="231F20"/>
          <w:spacing w:val="-30"/>
          <w:w w:val="105"/>
        </w:rPr>
        <w:t> </w:t>
      </w:r>
      <w:r>
        <w:rPr>
          <w:color w:val="231F20"/>
          <w:w w:val="105"/>
        </w:rPr>
        <w:t>el</w:t>
      </w:r>
      <w:r>
        <w:rPr>
          <w:color w:val="231F20"/>
          <w:spacing w:val="-30"/>
          <w:w w:val="105"/>
        </w:rPr>
        <w:t> </w:t>
      </w:r>
      <w:r>
        <w:rPr>
          <w:color w:val="231F20"/>
          <w:w w:val="105"/>
        </w:rPr>
        <w:t>Estado</w:t>
      </w:r>
      <w:r>
        <w:rPr>
          <w:color w:val="231F20"/>
          <w:spacing w:val="-30"/>
          <w:w w:val="105"/>
        </w:rPr>
        <w:t> </w:t>
      </w:r>
      <w:r>
        <w:rPr>
          <w:color w:val="231F20"/>
          <w:w w:val="105"/>
        </w:rPr>
        <w:t>global</w:t>
      </w:r>
      <w:r>
        <w:rPr>
          <w:color w:val="231F20"/>
          <w:spacing w:val="-30"/>
          <w:w w:val="105"/>
        </w:rPr>
        <w:t> </w:t>
      </w:r>
      <w:r>
        <w:rPr>
          <w:color w:val="231F20"/>
          <w:w w:val="105"/>
        </w:rPr>
        <w:t>no</w:t>
      </w:r>
      <w:r>
        <w:rPr>
          <w:color w:val="231F20"/>
          <w:spacing w:val="-30"/>
          <w:w w:val="105"/>
        </w:rPr>
        <w:t> </w:t>
      </w:r>
      <w:r>
        <w:rPr>
          <w:color w:val="231F20"/>
          <w:w w:val="105"/>
        </w:rPr>
        <w:t>es</w:t>
      </w:r>
      <w:r>
        <w:rPr>
          <w:color w:val="231F20"/>
          <w:spacing w:val="-30"/>
          <w:w w:val="105"/>
        </w:rPr>
        <w:t> </w:t>
      </w:r>
      <w:r>
        <w:rPr>
          <w:color w:val="231F20"/>
          <w:w w:val="105"/>
        </w:rPr>
        <w:t>simplemente</w:t>
      </w:r>
      <w:r>
        <w:rPr>
          <w:color w:val="231F20"/>
          <w:spacing w:val="9"/>
          <w:w w:val="105"/>
        </w:rPr>
        <w:t> </w:t>
      </w:r>
      <w:r>
        <w:rPr>
          <w:color w:val="231F20"/>
          <w:w w:val="105"/>
        </w:rPr>
        <w:t>la</w:t>
      </w:r>
      <w:r>
        <w:rPr>
          <w:color w:val="231F20"/>
          <w:spacing w:val="-30"/>
          <w:w w:val="105"/>
        </w:rPr>
        <w:t> </w:t>
      </w:r>
      <w:r>
        <w:rPr>
          <w:color w:val="231F20"/>
          <w:w w:val="105"/>
        </w:rPr>
        <w:t>articu- lación,</w:t>
      </w:r>
      <w:r>
        <w:rPr>
          <w:color w:val="231F20"/>
          <w:spacing w:val="-10"/>
          <w:w w:val="105"/>
        </w:rPr>
        <w:t> </w:t>
      </w:r>
      <w:r>
        <w:rPr>
          <w:color w:val="231F20"/>
          <w:w w:val="105"/>
        </w:rPr>
        <w:t>por</w:t>
      </w:r>
      <w:r>
        <w:rPr>
          <w:color w:val="231F20"/>
          <w:spacing w:val="-10"/>
          <w:w w:val="105"/>
        </w:rPr>
        <w:t> </w:t>
      </w:r>
      <w:r>
        <w:rPr>
          <w:color w:val="231F20"/>
          <w:w w:val="105"/>
        </w:rPr>
        <w:t>muy</w:t>
      </w:r>
      <w:r>
        <w:rPr>
          <w:color w:val="231F20"/>
          <w:spacing w:val="-10"/>
          <w:w w:val="105"/>
        </w:rPr>
        <w:t> </w:t>
      </w:r>
      <w:r>
        <w:rPr>
          <w:color w:val="231F20"/>
          <w:w w:val="105"/>
        </w:rPr>
        <w:t>compleja</w:t>
      </w:r>
      <w:r>
        <w:rPr>
          <w:color w:val="231F20"/>
          <w:spacing w:val="-11"/>
          <w:w w:val="105"/>
        </w:rPr>
        <w:t> </w:t>
      </w:r>
      <w:r>
        <w:rPr>
          <w:color w:val="231F20"/>
          <w:w w:val="105"/>
        </w:rPr>
        <w:t>que</w:t>
      </w:r>
      <w:r>
        <w:rPr>
          <w:color w:val="231F20"/>
          <w:spacing w:val="-11"/>
          <w:w w:val="105"/>
        </w:rPr>
        <w:t> </w:t>
      </w:r>
      <w:r>
        <w:rPr>
          <w:color w:val="231F20"/>
          <w:w w:val="105"/>
        </w:rPr>
        <w:t>sea,</w:t>
      </w:r>
      <w:r>
        <w:rPr>
          <w:color w:val="231F20"/>
          <w:spacing w:val="-11"/>
          <w:w w:val="105"/>
        </w:rPr>
        <w:t> </w:t>
      </w:r>
      <w:r>
        <w:rPr>
          <w:color w:val="231F20"/>
          <w:w w:val="105"/>
        </w:rPr>
        <w:t>“del</w:t>
      </w:r>
      <w:r>
        <w:rPr>
          <w:color w:val="231F20"/>
          <w:spacing w:val="-11"/>
          <w:w w:val="105"/>
        </w:rPr>
        <w:t> </w:t>
      </w:r>
      <w:r>
        <w:rPr>
          <w:color w:val="231F20"/>
          <w:w w:val="105"/>
        </w:rPr>
        <w:t>Estado</w:t>
      </w:r>
      <w:r>
        <w:rPr>
          <w:color w:val="231F20"/>
          <w:spacing w:val="-11"/>
          <w:w w:val="105"/>
        </w:rPr>
        <w:t> </w:t>
      </w:r>
      <w:r>
        <w:rPr>
          <w:color w:val="231F20"/>
          <w:w w:val="105"/>
        </w:rPr>
        <w:t>occidental</w:t>
      </w:r>
      <w:r>
        <w:rPr>
          <w:color w:val="231F20"/>
          <w:spacing w:val="-11"/>
          <w:w w:val="105"/>
        </w:rPr>
        <w:t> </w:t>
      </w:r>
      <w:r>
        <w:rPr>
          <w:color w:val="231F20"/>
          <w:w w:val="105"/>
        </w:rPr>
        <w:t>globalizado”</w:t>
      </w:r>
      <w:r>
        <w:rPr>
          <w:color w:val="231F20"/>
          <w:w w:val="105"/>
          <w:position w:val="7"/>
          <w:sz w:val="12"/>
        </w:rPr>
        <w:t>35</w:t>
      </w:r>
      <w:r>
        <w:rPr>
          <w:color w:val="231F20"/>
          <w:w w:val="105"/>
        </w:rPr>
        <w:t>. Éste</w:t>
      </w:r>
      <w:r>
        <w:rPr>
          <w:color w:val="231F20"/>
          <w:spacing w:val="-7"/>
          <w:w w:val="105"/>
        </w:rPr>
        <w:t> </w:t>
      </w:r>
      <w:r>
        <w:rPr>
          <w:color w:val="231F20"/>
          <w:w w:val="105"/>
        </w:rPr>
        <w:t>no</w:t>
      </w:r>
      <w:r>
        <w:rPr>
          <w:color w:val="231F20"/>
          <w:spacing w:val="-7"/>
          <w:w w:val="105"/>
        </w:rPr>
        <w:t> </w:t>
      </w:r>
      <w:r>
        <w:rPr>
          <w:color w:val="231F20"/>
          <w:w w:val="105"/>
        </w:rPr>
        <w:t>es</w:t>
      </w:r>
      <w:r>
        <w:rPr>
          <w:color w:val="231F20"/>
          <w:spacing w:val="-7"/>
          <w:w w:val="105"/>
        </w:rPr>
        <w:t> </w:t>
      </w:r>
      <w:r>
        <w:rPr>
          <w:color w:val="231F20"/>
          <w:w w:val="105"/>
        </w:rPr>
        <w:t>el</w:t>
      </w:r>
      <w:r>
        <w:rPr>
          <w:color w:val="231F20"/>
          <w:spacing w:val="-7"/>
          <w:w w:val="105"/>
        </w:rPr>
        <w:t> </w:t>
      </w:r>
      <w:r>
        <w:rPr>
          <w:color w:val="231F20"/>
          <w:w w:val="105"/>
        </w:rPr>
        <w:t>encargado</w:t>
      </w:r>
      <w:r>
        <w:rPr>
          <w:color w:val="231F20"/>
          <w:spacing w:val="-7"/>
          <w:w w:val="105"/>
        </w:rPr>
        <w:t> </w:t>
      </w:r>
      <w:r>
        <w:rPr>
          <w:color w:val="231F20"/>
          <w:w w:val="105"/>
        </w:rPr>
        <w:t>de</w:t>
      </w:r>
      <w:r>
        <w:rPr>
          <w:color w:val="231F20"/>
          <w:spacing w:val="-7"/>
          <w:w w:val="105"/>
        </w:rPr>
        <w:t> </w:t>
      </w:r>
      <w:r>
        <w:rPr>
          <w:color w:val="231F20"/>
          <w:spacing w:val="-3"/>
          <w:w w:val="105"/>
        </w:rPr>
        <w:t>cumplir,</w:t>
      </w:r>
      <w:r>
        <w:rPr>
          <w:color w:val="231F20"/>
          <w:spacing w:val="-7"/>
          <w:w w:val="105"/>
        </w:rPr>
        <w:t> </w:t>
      </w:r>
      <w:r>
        <w:rPr>
          <w:color w:val="231F20"/>
          <w:w w:val="105"/>
        </w:rPr>
        <w:t>es</w:t>
      </w:r>
      <w:r>
        <w:rPr>
          <w:color w:val="231F20"/>
          <w:spacing w:val="-7"/>
          <w:w w:val="105"/>
        </w:rPr>
        <w:t> </w:t>
      </w:r>
      <w:r>
        <w:rPr>
          <w:color w:val="231F20"/>
          <w:spacing w:val="-4"/>
          <w:w w:val="105"/>
        </w:rPr>
        <w:t>decir,</w:t>
      </w:r>
      <w:r>
        <w:rPr>
          <w:color w:val="231F20"/>
          <w:spacing w:val="-7"/>
          <w:w w:val="105"/>
        </w:rPr>
        <w:t> </w:t>
      </w:r>
      <w:r>
        <w:rPr>
          <w:color w:val="231F20"/>
          <w:w w:val="105"/>
        </w:rPr>
        <w:t>de</w:t>
      </w:r>
      <w:r>
        <w:rPr>
          <w:color w:val="231F20"/>
          <w:spacing w:val="-7"/>
          <w:w w:val="105"/>
        </w:rPr>
        <w:t> </w:t>
      </w:r>
      <w:r>
        <w:rPr>
          <w:color w:val="231F20"/>
          <w:w w:val="105"/>
        </w:rPr>
        <w:t>globalizar,</w:t>
      </w:r>
      <w:r>
        <w:rPr>
          <w:color w:val="231F20"/>
          <w:spacing w:val="-7"/>
          <w:w w:val="105"/>
        </w:rPr>
        <w:t> </w:t>
      </w:r>
      <w:r>
        <w:rPr>
          <w:color w:val="231F20"/>
          <w:w w:val="105"/>
        </w:rPr>
        <w:t>la</w:t>
      </w:r>
      <w:r>
        <w:rPr>
          <w:color w:val="231F20"/>
          <w:spacing w:val="-7"/>
          <w:w w:val="105"/>
        </w:rPr>
        <w:t> </w:t>
      </w:r>
      <w:r>
        <w:rPr>
          <w:color w:val="231F20"/>
          <w:w w:val="105"/>
        </w:rPr>
        <w:t>revolución democrática</w:t>
      </w:r>
      <w:r>
        <w:rPr>
          <w:color w:val="231F20"/>
          <w:spacing w:val="-26"/>
          <w:w w:val="105"/>
        </w:rPr>
        <w:t> </w:t>
      </w:r>
      <w:r>
        <w:rPr>
          <w:color w:val="231F20"/>
          <w:w w:val="105"/>
        </w:rPr>
        <w:t>que</w:t>
      </w:r>
      <w:r>
        <w:rPr>
          <w:color w:val="231F20"/>
          <w:spacing w:val="-26"/>
          <w:w w:val="105"/>
        </w:rPr>
        <w:t> </w:t>
      </w:r>
      <w:r>
        <w:rPr>
          <w:color w:val="231F20"/>
          <w:w w:val="105"/>
        </w:rPr>
        <w:t>habría</w:t>
      </w:r>
      <w:r>
        <w:rPr>
          <w:color w:val="231F20"/>
          <w:spacing w:val="-26"/>
          <w:w w:val="105"/>
        </w:rPr>
        <w:t> </w:t>
      </w:r>
      <w:r>
        <w:rPr>
          <w:color w:val="231F20"/>
          <w:w w:val="105"/>
        </w:rPr>
        <w:t>caracterizado</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modernidad.</w:t>
      </w:r>
      <w:r>
        <w:rPr>
          <w:color w:val="231F20"/>
          <w:spacing w:val="-26"/>
          <w:w w:val="105"/>
        </w:rPr>
        <w:t> </w:t>
      </w:r>
      <w:r>
        <w:rPr>
          <w:color w:val="231F20"/>
          <w:w w:val="105"/>
        </w:rPr>
        <w:t>Éste</w:t>
      </w:r>
      <w:r>
        <w:rPr>
          <w:color w:val="231F20"/>
          <w:spacing w:val="-26"/>
          <w:w w:val="105"/>
        </w:rPr>
        <w:t> </w:t>
      </w:r>
      <w:r>
        <w:rPr>
          <w:color w:val="231F20"/>
          <w:w w:val="105"/>
        </w:rPr>
        <w:t>no</w:t>
      </w:r>
      <w:r>
        <w:rPr>
          <w:color w:val="231F20"/>
          <w:spacing w:val="-26"/>
          <w:w w:val="105"/>
        </w:rPr>
        <w:t> </w:t>
      </w:r>
      <w:r>
        <w:rPr>
          <w:color w:val="231F20"/>
          <w:w w:val="105"/>
        </w:rPr>
        <w:t>represen- ta</w:t>
      </w:r>
      <w:r>
        <w:rPr>
          <w:color w:val="231F20"/>
          <w:spacing w:val="-13"/>
          <w:w w:val="105"/>
        </w:rPr>
        <w:t> </w:t>
      </w:r>
      <w:r>
        <w:rPr>
          <w:color w:val="231F20"/>
          <w:w w:val="105"/>
        </w:rPr>
        <w:t>siquiera</w:t>
      </w:r>
      <w:r>
        <w:rPr>
          <w:color w:val="231F20"/>
          <w:spacing w:val="-13"/>
          <w:w w:val="105"/>
        </w:rPr>
        <w:t> </w:t>
      </w:r>
      <w:r>
        <w:rPr>
          <w:color w:val="231F20"/>
          <w:w w:val="105"/>
        </w:rPr>
        <w:t>la</w:t>
      </w:r>
      <w:r>
        <w:rPr>
          <w:color w:val="231F20"/>
          <w:spacing w:val="-13"/>
          <w:w w:val="105"/>
        </w:rPr>
        <w:t> </w:t>
      </w:r>
      <w:r>
        <w:rPr>
          <w:color w:val="231F20"/>
          <w:w w:val="105"/>
        </w:rPr>
        <w:t>evolución</w:t>
      </w:r>
      <w:r>
        <w:rPr>
          <w:color w:val="231F20"/>
          <w:spacing w:val="-13"/>
          <w:w w:val="105"/>
        </w:rPr>
        <w:t> </w:t>
      </w:r>
      <w:r>
        <w:rPr>
          <w:color w:val="231F20"/>
          <w:w w:val="105"/>
        </w:rPr>
        <w:t>al</w:t>
      </w:r>
      <w:r>
        <w:rPr>
          <w:color w:val="231F20"/>
          <w:spacing w:val="-13"/>
          <w:w w:val="105"/>
        </w:rPr>
        <w:t> </w:t>
      </w:r>
      <w:r>
        <w:rPr>
          <w:color w:val="231F20"/>
          <w:w w:val="105"/>
        </w:rPr>
        <w:t>mismo</w:t>
      </w:r>
      <w:r>
        <w:rPr>
          <w:color w:val="231F20"/>
          <w:spacing w:val="-13"/>
          <w:w w:val="105"/>
        </w:rPr>
        <w:t> </w:t>
      </w:r>
      <w:r>
        <w:rPr>
          <w:color w:val="231F20"/>
          <w:w w:val="105"/>
        </w:rPr>
        <w:t>tiempo</w:t>
      </w:r>
      <w:r>
        <w:rPr>
          <w:color w:val="231F20"/>
          <w:spacing w:val="-13"/>
          <w:w w:val="105"/>
        </w:rPr>
        <w:t> </w:t>
      </w:r>
      <w:r>
        <w:rPr>
          <w:color w:val="231F20"/>
          <w:w w:val="105"/>
        </w:rPr>
        <w:t>natural</w:t>
      </w:r>
      <w:r>
        <w:rPr>
          <w:color w:val="231F20"/>
          <w:spacing w:val="-13"/>
          <w:w w:val="105"/>
        </w:rPr>
        <w:t> </w:t>
      </w:r>
      <w:r>
        <w:rPr>
          <w:color w:val="231F20"/>
          <w:w w:val="105"/>
        </w:rPr>
        <w:t>y</w:t>
      </w:r>
      <w:r>
        <w:rPr>
          <w:color w:val="231F20"/>
          <w:spacing w:val="-13"/>
          <w:w w:val="105"/>
        </w:rPr>
        <w:t> </w:t>
      </w:r>
      <w:r>
        <w:rPr>
          <w:color w:val="231F20"/>
          <w:w w:val="105"/>
        </w:rPr>
        <w:t>conflictiva</w:t>
      </w:r>
      <w:r>
        <w:rPr>
          <w:color w:val="231F20"/>
          <w:spacing w:val="-13"/>
          <w:w w:val="105"/>
        </w:rPr>
        <w:t> </w:t>
      </w:r>
      <w:r>
        <w:rPr>
          <w:color w:val="231F20"/>
          <w:w w:val="105"/>
        </w:rPr>
        <w:t>de</w:t>
      </w:r>
      <w:r>
        <w:rPr>
          <w:color w:val="231F20"/>
          <w:spacing w:val="-13"/>
          <w:w w:val="105"/>
        </w:rPr>
        <w:t> </w:t>
      </w:r>
      <w:r>
        <w:rPr>
          <w:color w:val="231F20"/>
          <w:w w:val="105"/>
        </w:rPr>
        <w:t>aquellos que</w:t>
      </w:r>
      <w:r>
        <w:rPr>
          <w:color w:val="231F20"/>
          <w:spacing w:val="-18"/>
          <w:w w:val="105"/>
        </w:rPr>
        <w:t> </w:t>
      </w:r>
      <w:r>
        <w:rPr>
          <w:color w:val="231F20"/>
          <w:w w:val="105"/>
        </w:rPr>
        <w:t>se</w:t>
      </w:r>
      <w:r>
        <w:rPr>
          <w:color w:val="231F20"/>
          <w:spacing w:val="-18"/>
          <w:w w:val="105"/>
        </w:rPr>
        <w:t> </w:t>
      </w:r>
      <w:r>
        <w:rPr>
          <w:color w:val="231F20"/>
          <w:w w:val="105"/>
        </w:rPr>
        <w:t>consideran</w:t>
      </w:r>
      <w:r>
        <w:rPr>
          <w:color w:val="231F20"/>
          <w:spacing w:val="-18"/>
          <w:w w:val="105"/>
        </w:rPr>
        <w:t> </w:t>
      </w:r>
      <w:r>
        <w:rPr>
          <w:color w:val="231F20"/>
          <w:w w:val="105"/>
        </w:rPr>
        <w:t>los</w:t>
      </w:r>
      <w:r>
        <w:rPr>
          <w:color w:val="231F20"/>
          <w:spacing w:val="-18"/>
          <w:w w:val="105"/>
        </w:rPr>
        <w:t> </w:t>
      </w:r>
      <w:r>
        <w:rPr>
          <w:color w:val="231F20"/>
          <w:w w:val="105"/>
        </w:rPr>
        <w:t>contenidos</w:t>
      </w:r>
      <w:r>
        <w:rPr>
          <w:color w:val="231F20"/>
          <w:spacing w:val="-18"/>
          <w:w w:val="105"/>
        </w:rPr>
        <w:t> </w:t>
      </w:r>
      <w:r>
        <w:rPr>
          <w:color w:val="231F20"/>
          <w:w w:val="105"/>
        </w:rPr>
        <w:t>universales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globalización.</w:t>
      </w:r>
      <w:r>
        <w:rPr>
          <w:color w:val="231F20"/>
          <w:spacing w:val="-18"/>
          <w:w w:val="105"/>
        </w:rPr>
        <w:t> </w:t>
      </w:r>
      <w:r>
        <w:rPr>
          <w:color w:val="231F20"/>
          <w:w w:val="105"/>
        </w:rPr>
        <w:t>De</w:t>
      </w:r>
      <w:r>
        <w:rPr>
          <w:color w:val="231F20"/>
          <w:spacing w:val="-18"/>
          <w:w w:val="105"/>
        </w:rPr>
        <w:t> </w:t>
      </w:r>
      <w:r>
        <w:rPr>
          <w:color w:val="231F20"/>
          <w:w w:val="105"/>
        </w:rPr>
        <w:t>esta manera,</w:t>
      </w:r>
      <w:r>
        <w:rPr>
          <w:color w:val="231F20"/>
          <w:spacing w:val="-6"/>
          <w:w w:val="105"/>
        </w:rPr>
        <w:t> </w:t>
      </w:r>
      <w:r>
        <w:rPr>
          <w:color w:val="231F20"/>
          <w:w w:val="105"/>
        </w:rPr>
        <w:t>en</w:t>
      </w:r>
      <w:r>
        <w:rPr>
          <w:color w:val="231F20"/>
          <w:spacing w:val="-6"/>
          <w:w w:val="105"/>
        </w:rPr>
        <w:t> </w:t>
      </w:r>
      <w:r>
        <w:rPr>
          <w:color w:val="231F20"/>
          <w:w w:val="105"/>
        </w:rPr>
        <w:t>efecto</w:t>
      </w:r>
      <w:r>
        <w:rPr>
          <w:color w:val="231F20"/>
          <w:spacing w:val="-6"/>
          <w:w w:val="105"/>
        </w:rPr>
        <w:t> </w:t>
      </w:r>
      <w:r>
        <w:rPr>
          <w:color w:val="231F20"/>
          <w:w w:val="105"/>
        </w:rPr>
        <w:t>el</w:t>
      </w:r>
      <w:r>
        <w:rPr>
          <w:color w:val="231F20"/>
          <w:spacing w:val="-6"/>
          <w:w w:val="105"/>
        </w:rPr>
        <w:t> </w:t>
      </w:r>
      <w:r>
        <w:rPr>
          <w:color w:val="231F20"/>
          <w:w w:val="105"/>
        </w:rPr>
        <w:t>sustantivo</w:t>
      </w:r>
      <w:r>
        <w:rPr>
          <w:color w:val="231F20"/>
          <w:spacing w:val="-6"/>
          <w:w w:val="105"/>
        </w:rPr>
        <w:t> </w:t>
      </w:r>
      <w:r>
        <w:rPr>
          <w:color w:val="231F20"/>
          <w:w w:val="105"/>
        </w:rPr>
        <w:t>Estado</w:t>
      </w:r>
      <w:r>
        <w:rPr>
          <w:color w:val="231F20"/>
          <w:spacing w:val="-6"/>
          <w:w w:val="105"/>
        </w:rPr>
        <w:t> </w:t>
      </w:r>
      <w:r>
        <w:rPr>
          <w:color w:val="231F20"/>
          <w:w w:val="105"/>
        </w:rPr>
        <w:t>es</w:t>
      </w:r>
      <w:r>
        <w:rPr>
          <w:color w:val="231F20"/>
          <w:spacing w:val="-6"/>
          <w:w w:val="105"/>
        </w:rPr>
        <w:t> </w:t>
      </w:r>
      <w:r>
        <w:rPr>
          <w:color w:val="231F20"/>
          <w:w w:val="105"/>
        </w:rPr>
        <w:t>subordinado</w:t>
      </w:r>
      <w:r>
        <w:rPr>
          <w:color w:val="231F20"/>
          <w:spacing w:val="-6"/>
          <w:w w:val="105"/>
        </w:rPr>
        <w:t> </w:t>
      </w:r>
      <w:r>
        <w:rPr>
          <w:color w:val="231F20"/>
          <w:w w:val="105"/>
        </w:rPr>
        <w:t>a</w:t>
      </w:r>
      <w:r>
        <w:rPr>
          <w:color w:val="231F20"/>
          <w:spacing w:val="-6"/>
          <w:w w:val="105"/>
        </w:rPr>
        <w:t> </w:t>
      </w:r>
      <w:r>
        <w:rPr>
          <w:color w:val="231F20"/>
          <w:w w:val="105"/>
        </w:rPr>
        <w:t>un</w:t>
      </w:r>
      <w:r>
        <w:rPr>
          <w:color w:val="231F20"/>
          <w:spacing w:val="-6"/>
          <w:w w:val="105"/>
        </w:rPr>
        <w:t> </w:t>
      </w:r>
      <w:r>
        <w:rPr>
          <w:color w:val="231F20"/>
          <w:w w:val="105"/>
        </w:rPr>
        <w:t>proceso</w:t>
      </w:r>
      <w:r>
        <w:rPr>
          <w:color w:val="231F20"/>
          <w:spacing w:val="-6"/>
          <w:w w:val="105"/>
        </w:rPr>
        <w:t> </w:t>
      </w:r>
      <w:r>
        <w:rPr>
          <w:color w:val="231F20"/>
          <w:w w:val="105"/>
        </w:rPr>
        <w:t>de</w:t>
      </w:r>
    </w:p>
    <w:p>
      <w:pPr>
        <w:pStyle w:val="BodyText"/>
        <w:rPr>
          <w:sz w:val="20"/>
        </w:rPr>
      </w:pPr>
    </w:p>
    <w:p>
      <w:pPr>
        <w:pStyle w:val="BodyText"/>
        <w:spacing w:before="5"/>
        <w:rPr>
          <w:sz w:val="12"/>
        </w:rPr>
      </w:pPr>
      <w:r>
        <w:rPr/>
        <w:pict>
          <v:line style="position:absolute;mso-position-horizontal-relative:page;mso-position-vertical-relative:paragraph;z-index:3112;mso-wrap-distance-left:0;mso-wrap-distance-right:0" from="70.866096pt,9.636672pt" to="184.252096pt,9.636672pt" stroked="true" strokeweight=".3pt" strokecolor="#231f20">
            <w10:wrap type="topAndBottom"/>
          </v:line>
        </w:pict>
      </w:r>
    </w:p>
    <w:p>
      <w:pPr>
        <w:spacing w:line="206" w:lineRule="exact" w:before="10"/>
        <w:ind w:left="117" w:right="0" w:firstLine="0"/>
        <w:jc w:val="both"/>
        <w:rPr>
          <w:rFonts w:ascii="Calibri" w:hAnsi="Calibri"/>
          <w:sz w:val="17"/>
        </w:rPr>
      </w:pPr>
      <w:r>
        <w:rPr>
          <w:rFonts w:ascii="Calibri" w:hAnsi="Calibri"/>
          <w:color w:val="231F20"/>
          <w:position w:val="6"/>
          <w:sz w:val="10"/>
        </w:rPr>
        <w:t>32 </w:t>
      </w:r>
      <w:r>
        <w:rPr>
          <w:rFonts w:ascii="Calibri" w:hAnsi="Calibri"/>
          <w:color w:val="231F20"/>
          <w:sz w:val="17"/>
        </w:rPr>
        <w:t>P. Bourdieu, </w:t>
      </w:r>
      <w:r>
        <w:rPr>
          <w:rFonts w:ascii="Calibri" w:hAnsi="Calibri"/>
          <w:i/>
          <w:color w:val="231F20"/>
          <w:sz w:val="17"/>
        </w:rPr>
        <w:t>Sur l’État. Cours au collège de France 1989</w:t>
      </w:r>
      <w:r>
        <w:rPr>
          <w:rFonts w:ascii="Calibri" w:hAnsi="Calibri"/>
          <w:color w:val="231F20"/>
          <w:sz w:val="17"/>
        </w:rPr>
        <w:t>–</w:t>
      </w:r>
      <w:r>
        <w:rPr>
          <w:rFonts w:ascii="Calibri" w:hAnsi="Calibri"/>
          <w:i/>
          <w:color w:val="231F20"/>
          <w:sz w:val="17"/>
        </w:rPr>
        <w:t>1992</w:t>
      </w:r>
      <w:r>
        <w:rPr>
          <w:rFonts w:ascii="Calibri" w:hAnsi="Calibri"/>
          <w:color w:val="231F20"/>
          <w:sz w:val="17"/>
        </w:rPr>
        <w:t>, Paris, Raisons d’agir, 2012, p. 19.</w:t>
      </w:r>
    </w:p>
    <w:p>
      <w:pPr>
        <w:spacing w:line="235" w:lineRule="auto" w:before="1"/>
        <w:ind w:left="117" w:right="101" w:firstLine="0"/>
        <w:jc w:val="both"/>
        <w:rPr>
          <w:rFonts w:ascii="Calibri" w:hAnsi="Calibri"/>
          <w:sz w:val="17"/>
        </w:rPr>
      </w:pPr>
      <w:r>
        <w:rPr>
          <w:rFonts w:ascii="Calibri" w:hAnsi="Calibri"/>
          <w:color w:val="231F20"/>
          <w:w w:val="105"/>
          <w:position w:val="6"/>
          <w:sz w:val="10"/>
        </w:rPr>
        <w:t>33</w:t>
      </w:r>
      <w:r>
        <w:rPr>
          <w:rFonts w:ascii="Calibri" w:hAnsi="Calibri"/>
          <w:color w:val="231F20"/>
          <w:spacing w:val="-2"/>
          <w:w w:val="105"/>
          <w:position w:val="6"/>
          <w:sz w:val="10"/>
        </w:rPr>
        <w:t> </w:t>
      </w:r>
      <w:r>
        <w:rPr>
          <w:rFonts w:ascii="Calibri" w:hAnsi="Calibri"/>
          <w:color w:val="231F20"/>
          <w:w w:val="105"/>
          <w:sz w:val="17"/>
        </w:rPr>
        <w:t>“El</w:t>
      </w:r>
      <w:r>
        <w:rPr>
          <w:rFonts w:ascii="Calibri" w:hAnsi="Calibri"/>
          <w:color w:val="231F20"/>
          <w:spacing w:val="-19"/>
          <w:w w:val="105"/>
          <w:sz w:val="17"/>
        </w:rPr>
        <w:t> </w:t>
      </w:r>
      <w:r>
        <w:rPr>
          <w:rFonts w:ascii="Calibri" w:hAnsi="Calibri"/>
          <w:color w:val="231F20"/>
          <w:w w:val="105"/>
          <w:sz w:val="17"/>
        </w:rPr>
        <w:t>activismo</w:t>
      </w:r>
      <w:r>
        <w:rPr>
          <w:rFonts w:ascii="Calibri" w:hAnsi="Calibri"/>
          <w:color w:val="231F20"/>
          <w:spacing w:val="-20"/>
          <w:w w:val="105"/>
          <w:sz w:val="17"/>
        </w:rPr>
        <w:t> </w:t>
      </w:r>
      <w:r>
        <w:rPr>
          <w:rFonts w:ascii="Calibri" w:hAnsi="Calibri"/>
          <w:color w:val="231F20"/>
          <w:w w:val="105"/>
          <w:sz w:val="17"/>
        </w:rPr>
        <w:t>y</w:t>
      </w:r>
      <w:r>
        <w:rPr>
          <w:rFonts w:ascii="Calibri" w:hAnsi="Calibri"/>
          <w:color w:val="231F20"/>
          <w:spacing w:val="-19"/>
          <w:w w:val="105"/>
          <w:sz w:val="17"/>
        </w:rPr>
        <w:t> </w:t>
      </w:r>
      <w:r>
        <w:rPr>
          <w:rFonts w:ascii="Calibri" w:hAnsi="Calibri"/>
          <w:color w:val="231F20"/>
          <w:w w:val="105"/>
          <w:sz w:val="17"/>
        </w:rPr>
        <w:t>las</w:t>
      </w:r>
      <w:r>
        <w:rPr>
          <w:rFonts w:ascii="Calibri" w:hAnsi="Calibri"/>
          <w:color w:val="231F20"/>
          <w:spacing w:val="-19"/>
          <w:w w:val="105"/>
          <w:sz w:val="17"/>
        </w:rPr>
        <w:t> </w:t>
      </w:r>
      <w:r>
        <w:rPr>
          <w:rFonts w:ascii="Calibri" w:hAnsi="Calibri"/>
          <w:color w:val="231F20"/>
          <w:w w:val="105"/>
          <w:sz w:val="17"/>
        </w:rPr>
        <w:t>manifestaciones</w:t>
      </w:r>
      <w:r>
        <w:rPr>
          <w:rFonts w:ascii="Calibri" w:hAnsi="Calibri"/>
          <w:color w:val="231F20"/>
          <w:spacing w:val="-19"/>
          <w:w w:val="105"/>
          <w:sz w:val="17"/>
        </w:rPr>
        <w:t> </w:t>
      </w:r>
      <w:r>
        <w:rPr>
          <w:rFonts w:ascii="Calibri" w:hAnsi="Calibri"/>
          <w:color w:val="231F20"/>
          <w:w w:val="105"/>
          <w:sz w:val="17"/>
        </w:rPr>
        <w:t>públicas,</w:t>
      </w:r>
      <w:r>
        <w:rPr>
          <w:rFonts w:ascii="Calibri" w:hAnsi="Calibri"/>
          <w:color w:val="231F20"/>
          <w:spacing w:val="-19"/>
          <w:w w:val="105"/>
          <w:sz w:val="17"/>
        </w:rPr>
        <w:t> </w:t>
      </w:r>
      <w:r>
        <w:rPr>
          <w:rFonts w:ascii="Calibri" w:hAnsi="Calibri"/>
          <w:color w:val="231F20"/>
          <w:w w:val="105"/>
          <w:sz w:val="17"/>
        </w:rPr>
        <w:t>el</w:t>
      </w:r>
      <w:r>
        <w:rPr>
          <w:rFonts w:ascii="Calibri" w:hAnsi="Calibri"/>
          <w:color w:val="231F20"/>
          <w:spacing w:val="-19"/>
          <w:w w:val="105"/>
          <w:sz w:val="17"/>
        </w:rPr>
        <w:t> </w:t>
      </w:r>
      <w:r>
        <w:rPr>
          <w:rFonts w:ascii="Calibri" w:hAnsi="Calibri"/>
          <w:color w:val="231F20"/>
          <w:w w:val="105"/>
          <w:sz w:val="17"/>
        </w:rPr>
        <w:t>enfrentamiento</w:t>
      </w:r>
      <w:r>
        <w:rPr>
          <w:rFonts w:ascii="Calibri" w:hAnsi="Calibri"/>
          <w:color w:val="231F20"/>
          <w:spacing w:val="-19"/>
          <w:w w:val="105"/>
          <w:sz w:val="17"/>
        </w:rPr>
        <w:t> </w:t>
      </w:r>
      <w:r>
        <w:rPr>
          <w:rFonts w:ascii="Calibri" w:hAnsi="Calibri"/>
          <w:color w:val="231F20"/>
          <w:w w:val="105"/>
          <w:sz w:val="17"/>
        </w:rPr>
        <w:t>mediático</w:t>
      </w:r>
      <w:r>
        <w:rPr>
          <w:rFonts w:ascii="Calibri" w:hAnsi="Calibri"/>
          <w:color w:val="231F20"/>
          <w:spacing w:val="-20"/>
          <w:w w:val="105"/>
          <w:sz w:val="17"/>
        </w:rPr>
        <w:t> </w:t>
      </w:r>
      <w:r>
        <w:rPr>
          <w:rFonts w:ascii="Calibri" w:hAnsi="Calibri"/>
          <w:color w:val="231F20"/>
          <w:w w:val="105"/>
          <w:sz w:val="17"/>
        </w:rPr>
        <w:t>y</w:t>
      </w:r>
      <w:r>
        <w:rPr>
          <w:rFonts w:ascii="Calibri" w:hAnsi="Calibri"/>
          <w:color w:val="231F20"/>
          <w:spacing w:val="-19"/>
          <w:w w:val="105"/>
          <w:sz w:val="17"/>
        </w:rPr>
        <w:t> </w:t>
      </w:r>
      <w:r>
        <w:rPr>
          <w:rFonts w:ascii="Calibri" w:hAnsi="Calibri"/>
          <w:color w:val="231F20"/>
          <w:w w:val="105"/>
          <w:sz w:val="17"/>
        </w:rPr>
        <w:t>el</w:t>
      </w:r>
      <w:r>
        <w:rPr>
          <w:rFonts w:ascii="Calibri" w:hAnsi="Calibri"/>
          <w:color w:val="231F20"/>
          <w:spacing w:val="-19"/>
          <w:w w:val="105"/>
          <w:sz w:val="17"/>
        </w:rPr>
        <w:t> </w:t>
      </w:r>
      <w:r>
        <w:rPr>
          <w:rFonts w:ascii="Calibri" w:hAnsi="Calibri"/>
          <w:color w:val="231F20"/>
          <w:w w:val="105"/>
          <w:sz w:val="17"/>
        </w:rPr>
        <w:t>debate</w:t>
      </w:r>
      <w:r>
        <w:rPr>
          <w:rFonts w:ascii="Calibri" w:hAnsi="Calibri"/>
          <w:color w:val="231F20"/>
          <w:spacing w:val="-19"/>
          <w:w w:val="105"/>
          <w:sz w:val="17"/>
        </w:rPr>
        <w:t> </w:t>
      </w:r>
      <w:r>
        <w:rPr>
          <w:rFonts w:ascii="Calibri" w:hAnsi="Calibri"/>
          <w:color w:val="231F20"/>
          <w:w w:val="105"/>
          <w:sz w:val="17"/>
        </w:rPr>
        <w:t>abierto</w:t>
      </w:r>
      <w:r>
        <w:rPr>
          <w:rFonts w:ascii="Calibri" w:hAnsi="Calibri"/>
          <w:color w:val="231F20"/>
          <w:spacing w:val="-19"/>
          <w:w w:val="105"/>
          <w:sz w:val="17"/>
        </w:rPr>
        <w:t> </w:t>
      </w:r>
      <w:r>
        <w:rPr>
          <w:rFonts w:ascii="Calibri" w:hAnsi="Calibri"/>
          <w:color w:val="231F20"/>
          <w:w w:val="105"/>
          <w:sz w:val="17"/>
        </w:rPr>
        <w:t>son algunos</w:t>
      </w:r>
      <w:r>
        <w:rPr>
          <w:rFonts w:ascii="Calibri" w:hAnsi="Calibri"/>
          <w:color w:val="231F20"/>
          <w:spacing w:val="-9"/>
          <w:w w:val="105"/>
          <w:sz w:val="17"/>
        </w:rPr>
        <w:t> </w:t>
      </w:r>
      <w:r>
        <w:rPr>
          <w:rFonts w:ascii="Calibri" w:hAnsi="Calibri"/>
          <w:color w:val="231F20"/>
          <w:w w:val="105"/>
          <w:sz w:val="17"/>
        </w:rPr>
        <w:t>de</w:t>
      </w:r>
      <w:r>
        <w:rPr>
          <w:rFonts w:ascii="Calibri" w:hAnsi="Calibri"/>
          <w:color w:val="231F20"/>
          <w:spacing w:val="-9"/>
          <w:w w:val="105"/>
          <w:sz w:val="17"/>
        </w:rPr>
        <w:t> </w:t>
      </w:r>
      <w:r>
        <w:rPr>
          <w:rFonts w:ascii="Calibri" w:hAnsi="Calibri"/>
          <w:color w:val="231F20"/>
          <w:w w:val="105"/>
          <w:sz w:val="17"/>
        </w:rPr>
        <w:t>los</w:t>
      </w:r>
      <w:r>
        <w:rPr>
          <w:rFonts w:ascii="Calibri" w:hAnsi="Calibri"/>
          <w:color w:val="231F20"/>
          <w:spacing w:val="-9"/>
          <w:w w:val="105"/>
          <w:sz w:val="17"/>
        </w:rPr>
        <w:t> </w:t>
      </w:r>
      <w:r>
        <w:rPr>
          <w:rFonts w:ascii="Calibri" w:hAnsi="Calibri"/>
          <w:color w:val="231F20"/>
          <w:w w:val="105"/>
          <w:sz w:val="17"/>
        </w:rPr>
        <w:t>modos</w:t>
      </w:r>
      <w:r>
        <w:rPr>
          <w:rFonts w:ascii="Calibri" w:hAnsi="Calibri"/>
          <w:color w:val="231F20"/>
          <w:spacing w:val="-9"/>
          <w:w w:val="105"/>
          <w:sz w:val="17"/>
        </w:rPr>
        <w:t> </w:t>
      </w:r>
      <w:r>
        <w:rPr>
          <w:rFonts w:ascii="Calibri" w:hAnsi="Calibri"/>
          <w:color w:val="231F20"/>
          <w:w w:val="105"/>
          <w:sz w:val="17"/>
        </w:rPr>
        <w:t>en</w:t>
      </w:r>
      <w:r>
        <w:rPr>
          <w:rFonts w:ascii="Calibri" w:hAnsi="Calibri"/>
          <w:color w:val="231F20"/>
          <w:spacing w:val="-9"/>
          <w:w w:val="105"/>
          <w:sz w:val="17"/>
        </w:rPr>
        <w:t> </w:t>
      </w:r>
      <w:r>
        <w:rPr>
          <w:rFonts w:ascii="Calibri" w:hAnsi="Calibri"/>
          <w:color w:val="231F20"/>
          <w:w w:val="105"/>
          <w:sz w:val="17"/>
        </w:rPr>
        <w:t>que</w:t>
      </w:r>
      <w:r>
        <w:rPr>
          <w:rFonts w:ascii="Calibri" w:hAnsi="Calibri"/>
          <w:color w:val="231F20"/>
          <w:spacing w:val="-9"/>
          <w:w w:val="105"/>
          <w:sz w:val="17"/>
        </w:rPr>
        <w:t> </w:t>
      </w:r>
      <w:r>
        <w:rPr>
          <w:rFonts w:ascii="Calibri" w:hAnsi="Calibri"/>
          <w:color w:val="231F20"/>
          <w:w w:val="105"/>
          <w:sz w:val="17"/>
        </w:rPr>
        <w:t>es</w:t>
      </w:r>
      <w:r>
        <w:rPr>
          <w:rFonts w:ascii="Calibri" w:hAnsi="Calibri"/>
          <w:color w:val="231F20"/>
          <w:spacing w:val="-9"/>
          <w:w w:val="105"/>
          <w:sz w:val="17"/>
        </w:rPr>
        <w:t> </w:t>
      </w:r>
      <w:r>
        <w:rPr>
          <w:rFonts w:ascii="Calibri" w:hAnsi="Calibri"/>
          <w:color w:val="231F20"/>
          <w:w w:val="105"/>
          <w:sz w:val="17"/>
        </w:rPr>
        <w:t>posible</w:t>
      </w:r>
      <w:r>
        <w:rPr>
          <w:rFonts w:ascii="Calibri" w:hAnsi="Calibri"/>
          <w:color w:val="231F20"/>
          <w:spacing w:val="-9"/>
          <w:w w:val="105"/>
          <w:sz w:val="17"/>
        </w:rPr>
        <w:t> </w:t>
      </w:r>
      <w:r>
        <w:rPr>
          <w:rFonts w:ascii="Calibri" w:hAnsi="Calibri"/>
          <w:color w:val="231F20"/>
          <w:w w:val="105"/>
          <w:sz w:val="17"/>
        </w:rPr>
        <w:t>promover</w:t>
      </w:r>
      <w:r>
        <w:rPr>
          <w:rFonts w:ascii="Calibri" w:hAnsi="Calibri"/>
          <w:color w:val="231F20"/>
          <w:spacing w:val="-9"/>
          <w:w w:val="105"/>
          <w:sz w:val="17"/>
        </w:rPr>
        <w:t> </w:t>
      </w:r>
      <w:r>
        <w:rPr>
          <w:rFonts w:ascii="Calibri" w:hAnsi="Calibri"/>
          <w:color w:val="231F20"/>
          <w:w w:val="105"/>
          <w:sz w:val="17"/>
        </w:rPr>
        <w:t>la</w:t>
      </w:r>
      <w:r>
        <w:rPr>
          <w:rFonts w:ascii="Calibri" w:hAnsi="Calibri"/>
          <w:color w:val="231F20"/>
          <w:spacing w:val="-9"/>
          <w:w w:val="105"/>
          <w:sz w:val="17"/>
        </w:rPr>
        <w:t> </w:t>
      </w:r>
      <w:r>
        <w:rPr>
          <w:rFonts w:ascii="Calibri" w:hAnsi="Calibri"/>
          <w:color w:val="231F20"/>
          <w:w w:val="105"/>
          <w:sz w:val="17"/>
        </w:rPr>
        <w:t>democracia</w:t>
      </w:r>
      <w:r>
        <w:rPr>
          <w:rFonts w:ascii="Calibri" w:hAnsi="Calibri"/>
          <w:color w:val="231F20"/>
          <w:spacing w:val="-9"/>
          <w:w w:val="105"/>
          <w:sz w:val="17"/>
        </w:rPr>
        <w:t> </w:t>
      </w:r>
      <w:r>
        <w:rPr>
          <w:rFonts w:ascii="Calibri" w:hAnsi="Calibri"/>
          <w:color w:val="231F20"/>
          <w:w w:val="105"/>
          <w:sz w:val="17"/>
        </w:rPr>
        <w:t>global</w:t>
      </w:r>
      <w:r>
        <w:rPr>
          <w:rFonts w:ascii="Calibri" w:hAnsi="Calibri"/>
          <w:color w:val="231F20"/>
          <w:spacing w:val="-9"/>
          <w:w w:val="105"/>
          <w:sz w:val="17"/>
        </w:rPr>
        <w:t> </w:t>
      </w:r>
      <w:r>
        <w:rPr>
          <w:rFonts w:ascii="Calibri" w:hAnsi="Calibri"/>
          <w:color w:val="231F20"/>
          <w:w w:val="105"/>
          <w:sz w:val="17"/>
        </w:rPr>
        <w:t>sin</w:t>
      </w:r>
      <w:r>
        <w:rPr>
          <w:rFonts w:ascii="Calibri" w:hAnsi="Calibri"/>
          <w:color w:val="231F20"/>
          <w:spacing w:val="-9"/>
          <w:w w:val="105"/>
          <w:sz w:val="17"/>
        </w:rPr>
        <w:t> </w:t>
      </w:r>
      <w:r>
        <w:rPr>
          <w:rFonts w:ascii="Calibri" w:hAnsi="Calibri"/>
          <w:color w:val="231F20"/>
          <w:w w:val="105"/>
          <w:sz w:val="17"/>
        </w:rPr>
        <w:t>esperar</w:t>
      </w:r>
      <w:r>
        <w:rPr>
          <w:rFonts w:ascii="Calibri" w:hAnsi="Calibri"/>
          <w:color w:val="231F20"/>
          <w:spacing w:val="-9"/>
          <w:w w:val="105"/>
          <w:sz w:val="17"/>
        </w:rPr>
        <w:t> </w:t>
      </w:r>
      <w:r>
        <w:rPr>
          <w:rFonts w:ascii="Calibri" w:hAnsi="Calibri"/>
          <w:color w:val="231F20"/>
          <w:w w:val="105"/>
          <w:sz w:val="17"/>
        </w:rPr>
        <w:t>la</w:t>
      </w:r>
      <w:r>
        <w:rPr>
          <w:rFonts w:ascii="Calibri" w:hAnsi="Calibri"/>
          <w:color w:val="231F20"/>
          <w:spacing w:val="-9"/>
          <w:w w:val="105"/>
          <w:sz w:val="17"/>
        </w:rPr>
        <w:t> </w:t>
      </w:r>
      <w:r>
        <w:rPr>
          <w:rFonts w:ascii="Calibri" w:hAnsi="Calibri"/>
          <w:color w:val="231F20"/>
          <w:w w:val="105"/>
          <w:sz w:val="17"/>
        </w:rPr>
        <w:t>creación</w:t>
      </w:r>
      <w:r>
        <w:rPr>
          <w:rFonts w:ascii="Calibri" w:hAnsi="Calibri"/>
          <w:color w:val="231F20"/>
          <w:spacing w:val="-9"/>
          <w:w w:val="105"/>
          <w:sz w:val="17"/>
        </w:rPr>
        <w:t> </w:t>
      </w:r>
      <w:r>
        <w:rPr>
          <w:rFonts w:ascii="Calibri" w:hAnsi="Calibri"/>
          <w:color w:val="231F20"/>
          <w:w w:val="105"/>
          <w:sz w:val="17"/>
        </w:rPr>
        <w:t>de un</w:t>
      </w:r>
      <w:r>
        <w:rPr>
          <w:rFonts w:ascii="Calibri" w:hAnsi="Calibri"/>
          <w:color w:val="231F20"/>
          <w:spacing w:val="-8"/>
          <w:w w:val="105"/>
          <w:sz w:val="17"/>
        </w:rPr>
        <w:t> </w:t>
      </w:r>
      <w:r>
        <w:rPr>
          <w:rFonts w:ascii="Calibri" w:hAnsi="Calibri"/>
          <w:color w:val="231F20"/>
          <w:w w:val="105"/>
          <w:sz w:val="17"/>
        </w:rPr>
        <w:t>Estado</w:t>
      </w:r>
      <w:r>
        <w:rPr>
          <w:rFonts w:ascii="Calibri" w:hAnsi="Calibri"/>
          <w:color w:val="231F20"/>
          <w:spacing w:val="-8"/>
          <w:w w:val="105"/>
          <w:sz w:val="17"/>
        </w:rPr>
        <w:t> </w:t>
      </w:r>
      <w:r>
        <w:rPr>
          <w:rFonts w:ascii="Calibri" w:hAnsi="Calibri"/>
          <w:color w:val="231F20"/>
          <w:w w:val="105"/>
          <w:sz w:val="17"/>
        </w:rPr>
        <w:t>global”,</w:t>
      </w:r>
      <w:r>
        <w:rPr>
          <w:rFonts w:ascii="Calibri" w:hAnsi="Calibri"/>
          <w:color w:val="231F20"/>
          <w:spacing w:val="-8"/>
          <w:w w:val="105"/>
          <w:sz w:val="17"/>
        </w:rPr>
        <w:t> </w:t>
      </w:r>
      <w:r>
        <w:rPr>
          <w:rFonts w:ascii="Calibri" w:hAnsi="Calibri"/>
          <w:color w:val="231F20"/>
          <w:w w:val="105"/>
          <w:sz w:val="17"/>
        </w:rPr>
        <w:t>A.</w:t>
      </w:r>
      <w:r>
        <w:rPr>
          <w:rFonts w:ascii="Calibri" w:hAnsi="Calibri"/>
          <w:color w:val="231F20"/>
          <w:spacing w:val="-8"/>
          <w:w w:val="105"/>
          <w:sz w:val="17"/>
        </w:rPr>
        <w:t> </w:t>
      </w:r>
      <w:r>
        <w:rPr>
          <w:rFonts w:ascii="Calibri" w:hAnsi="Calibri"/>
          <w:color w:val="231F20"/>
          <w:w w:val="105"/>
          <w:sz w:val="17"/>
        </w:rPr>
        <w:t>Sen,</w:t>
      </w:r>
      <w:r>
        <w:rPr>
          <w:rFonts w:ascii="Calibri" w:hAnsi="Calibri"/>
          <w:color w:val="231F20"/>
          <w:spacing w:val="-8"/>
          <w:w w:val="105"/>
          <w:sz w:val="17"/>
        </w:rPr>
        <w:t> </w:t>
      </w:r>
      <w:r>
        <w:rPr>
          <w:rFonts w:ascii="Calibri" w:hAnsi="Calibri"/>
          <w:i/>
          <w:color w:val="231F20"/>
          <w:w w:val="105"/>
          <w:sz w:val="17"/>
        </w:rPr>
        <w:t>The</w:t>
      </w:r>
      <w:r>
        <w:rPr>
          <w:rFonts w:ascii="Calibri" w:hAnsi="Calibri"/>
          <w:i/>
          <w:color w:val="231F20"/>
          <w:spacing w:val="-9"/>
          <w:w w:val="105"/>
          <w:sz w:val="17"/>
        </w:rPr>
        <w:t> </w:t>
      </w:r>
      <w:r>
        <w:rPr>
          <w:rFonts w:ascii="Calibri" w:hAnsi="Calibri"/>
          <w:i/>
          <w:color w:val="231F20"/>
          <w:w w:val="105"/>
          <w:sz w:val="17"/>
        </w:rPr>
        <w:t>Idea</w:t>
      </w:r>
      <w:r>
        <w:rPr>
          <w:rFonts w:ascii="Calibri" w:hAnsi="Calibri"/>
          <w:i/>
          <w:color w:val="231F20"/>
          <w:spacing w:val="-9"/>
          <w:w w:val="105"/>
          <w:sz w:val="17"/>
        </w:rPr>
        <w:t> </w:t>
      </w:r>
      <w:r>
        <w:rPr>
          <w:rFonts w:ascii="Calibri" w:hAnsi="Calibri"/>
          <w:i/>
          <w:color w:val="231F20"/>
          <w:w w:val="105"/>
          <w:sz w:val="17"/>
        </w:rPr>
        <w:t>of</w:t>
      </w:r>
      <w:r>
        <w:rPr>
          <w:rFonts w:ascii="Calibri" w:hAnsi="Calibri"/>
          <w:i/>
          <w:color w:val="231F20"/>
          <w:spacing w:val="-9"/>
          <w:w w:val="105"/>
          <w:sz w:val="17"/>
        </w:rPr>
        <w:t> </w:t>
      </w:r>
      <w:r>
        <w:rPr>
          <w:rFonts w:ascii="Calibri" w:hAnsi="Calibri"/>
          <w:i/>
          <w:color w:val="231F20"/>
          <w:w w:val="105"/>
          <w:sz w:val="17"/>
        </w:rPr>
        <w:t>Justice</w:t>
      </w:r>
      <w:r>
        <w:rPr>
          <w:rFonts w:ascii="Calibri" w:hAnsi="Calibri"/>
          <w:color w:val="231F20"/>
          <w:w w:val="105"/>
          <w:sz w:val="17"/>
        </w:rPr>
        <w:t>,</w:t>
      </w:r>
      <w:r>
        <w:rPr>
          <w:rFonts w:ascii="Calibri" w:hAnsi="Calibri"/>
          <w:color w:val="231F20"/>
          <w:spacing w:val="-8"/>
          <w:w w:val="105"/>
          <w:sz w:val="17"/>
        </w:rPr>
        <w:t> </w:t>
      </w:r>
      <w:r>
        <w:rPr>
          <w:rFonts w:ascii="Calibri" w:hAnsi="Calibri"/>
          <w:color w:val="231F20"/>
          <w:w w:val="105"/>
          <w:sz w:val="17"/>
        </w:rPr>
        <w:t>Cambridge</w:t>
      </w:r>
      <w:r>
        <w:rPr>
          <w:rFonts w:ascii="Calibri" w:hAnsi="Calibri"/>
          <w:color w:val="231F20"/>
          <w:spacing w:val="-8"/>
          <w:w w:val="105"/>
          <w:sz w:val="17"/>
        </w:rPr>
        <w:t> </w:t>
      </w:r>
      <w:r>
        <w:rPr>
          <w:rFonts w:ascii="Calibri" w:hAnsi="Calibri"/>
          <w:color w:val="231F20"/>
          <w:w w:val="105"/>
          <w:sz w:val="17"/>
        </w:rPr>
        <w:t>(Mass.),</w:t>
      </w:r>
      <w:r>
        <w:rPr>
          <w:rFonts w:ascii="Calibri" w:hAnsi="Calibri"/>
          <w:color w:val="231F20"/>
          <w:spacing w:val="-8"/>
          <w:w w:val="105"/>
          <w:sz w:val="17"/>
        </w:rPr>
        <w:t> </w:t>
      </w:r>
      <w:r>
        <w:rPr>
          <w:rFonts w:ascii="Calibri" w:hAnsi="Calibri"/>
          <w:color w:val="231F20"/>
          <w:w w:val="105"/>
          <w:sz w:val="17"/>
        </w:rPr>
        <w:t>Harvard</w:t>
      </w:r>
      <w:r>
        <w:rPr>
          <w:rFonts w:ascii="Calibri" w:hAnsi="Calibri"/>
          <w:color w:val="231F20"/>
          <w:spacing w:val="-8"/>
          <w:w w:val="105"/>
          <w:sz w:val="17"/>
        </w:rPr>
        <w:t> </w:t>
      </w:r>
      <w:r>
        <w:rPr>
          <w:rFonts w:ascii="Calibri" w:hAnsi="Calibri"/>
          <w:color w:val="231F20"/>
          <w:w w:val="105"/>
          <w:sz w:val="17"/>
        </w:rPr>
        <w:t>University</w:t>
      </w:r>
      <w:r>
        <w:rPr>
          <w:rFonts w:ascii="Calibri" w:hAnsi="Calibri"/>
          <w:color w:val="231F20"/>
          <w:spacing w:val="-8"/>
          <w:w w:val="105"/>
          <w:sz w:val="17"/>
        </w:rPr>
        <w:t> </w:t>
      </w:r>
      <w:r>
        <w:rPr>
          <w:rFonts w:ascii="Calibri" w:hAnsi="Calibri"/>
          <w:color w:val="231F20"/>
          <w:w w:val="105"/>
          <w:sz w:val="17"/>
        </w:rPr>
        <w:t>Press,</w:t>
      </w:r>
      <w:r>
        <w:rPr>
          <w:rFonts w:ascii="Calibri" w:hAnsi="Calibri"/>
          <w:color w:val="231F20"/>
          <w:spacing w:val="-8"/>
          <w:w w:val="105"/>
          <w:sz w:val="17"/>
        </w:rPr>
        <w:t> </w:t>
      </w:r>
      <w:r>
        <w:rPr>
          <w:rFonts w:ascii="Calibri" w:hAnsi="Calibri"/>
          <w:color w:val="231F20"/>
          <w:w w:val="105"/>
          <w:sz w:val="17"/>
        </w:rPr>
        <w:t>2009, </w:t>
      </w:r>
      <w:r>
        <w:rPr>
          <w:rFonts w:ascii="Calibri" w:hAnsi="Calibri"/>
          <w:color w:val="231F20"/>
          <w:sz w:val="17"/>
        </w:rPr>
        <w:t>pp.</w:t>
      </w:r>
      <w:r>
        <w:rPr>
          <w:rFonts w:ascii="Calibri" w:hAnsi="Calibri"/>
          <w:color w:val="231F20"/>
          <w:spacing w:val="8"/>
          <w:sz w:val="17"/>
        </w:rPr>
        <w:t> </w:t>
      </w:r>
      <w:r>
        <w:rPr>
          <w:rFonts w:ascii="Calibri" w:hAnsi="Calibri"/>
          <w:color w:val="231F20"/>
          <w:sz w:val="17"/>
        </w:rPr>
        <w:t>409–410.</w:t>
      </w:r>
    </w:p>
    <w:p>
      <w:pPr>
        <w:spacing w:line="235" w:lineRule="auto" w:before="0"/>
        <w:ind w:left="117" w:right="101" w:firstLine="0"/>
        <w:jc w:val="both"/>
        <w:rPr>
          <w:rFonts w:ascii="Calibri" w:hAnsi="Calibri"/>
          <w:sz w:val="17"/>
        </w:rPr>
      </w:pPr>
      <w:r>
        <w:rPr>
          <w:rFonts w:ascii="Calibri" w:hAnsi="Calibri"/>
          <w:color w:val="231F20"/>
          <w:position w:val="6"/>
          <w:sz w:val="10"/>
        </w:rPr>
        <w:t>34 </w:t>
      </w:r>
      <w:r>
        <w:rPr>
          <w:rFonts w:ascii="Calibri" w:hAnsi="Calibri"/>
          <w:color w:val="231F20"/>
          <w:sz w:val="17"/>
        </w:rPr>
        <w:t>Esta acepción es diferente de aquella que concibe al Estado como una estructura altamente dife- renciada pero globalmente presente: A. Kazancigil (Ed.), </w:t>
      </w:r>
      <w:r>
        <w:rPr>
          <w:rFonts w:ascii="Calibri" w:hAnsi="Calibri"/>
          <w:i/>
          <w:color w:val="231F20"/>
          <w:sz w:val="17"/>
        </w:rPr>
        <w:t>The State in Global Perspective</w:t>
      </w:r>
      <w:r>
        <w:rPr>
          <w:rFonts w:ascii="Calibri" w:hAnsi="Calibri"/>
          <w:color w:val="231F20"/>
          <w:sz w:val="17"/>
        </w:rPr>
        <w:t>, Aldershot, Gower/Paris, Unesco, 1986.</w:t>
      </w:r>
    </w:p>
    <w:p>
      <w:pPr>
        <w:spacing w:line="235" w:lineRule="auto" w:before="0"/>
        <w:ind w:left="117" w:right="101" w:firstLine="0"/>
        <w:jc w:val="both"/>
        <w:rPr>
          <w:rFonts w:ascii="Calibri"/>
          <w:sz w:val="17"/>
        </w:rPr>
      </w:pPr>
      <w:r>
        <w:rPr>
          <w:rFonts w:ascii="Calibri"/>
          <w:color w:val="231F20"/>
          <w:position w:val="6"/>
          <w:sz w:val="10"/>
        </w:rPr>
        <w:t>35 </w:t>
      </w:r>
      <w:r>
        <w:rPr>
          <w:rFonts w:ascii="Calibri"/>
          <w:color w:val="231F20"/>
          <w:sz w:val="17"/>
        </w:rPr>
        <w:t>M. Shaw, </w:t>
      </w:r>
      <w:r>
        <w:rPr>
          <w:rFonts w:ascii="Calibri"/>
          <w:i/>
          <w:color w:val="231F20"/>
          <w:sz w:val="17"/>
        </w:rPr>
        <w:t>Theory of the Global State. Globality as Unfinished Revolution</w:t>
      </w:r>
      <w:r>
        <w:rPr>
          <w:rFonts w:ascii="Calibri"/>
          <w:color w:val="231F20"/>
          <w:sz w:val="17"/>
        </w:rPr>
        <w:t>, Cambridge, Cambridge University Press, 2000, p. 255.</w:t>
      </w:r>
    </w:p>
    <w:p>
      <w:pPr>
        <w:spacing w:after="0" w:line="235" w:lineRule="auto"/>
        <w:jc w:val="both"/>
        <w:rPr>
          <w:rFonts w:ascii="Calibri"/>
          <w:sz w:val="17"/>
        </w:rPr>
        <w:sectPr>
          <w:pgSz w:w="9640" w:h="13890"/>
          <w:pgMar w:top="0" w:bottom="280" w:left="1300" w:right="1200"/>
        </w:sectPr>
      </w:pPr>
    </w:p>
    <w:p>
      <w:pPr>
        <w:pStyle w:val="BodyText"/>
        <w:spacing w:line="247" w:lineRule="auto" w:before="107"/>
        <w:ind w:left="103" w:right="115"/>
        <w:jc w:val="both"/>
      </w:pPr>
      <w:r>
        <w:rPr>
          <w:color w:val="231F20"/>
        </w:rPr>
        <w:t>globalización imaginado en manera no muy diferente a la más clásica his- toria universal. El Estado global no es el Estado globalizado, pero señala una persistencia del Estado que tiene en su concepto contradicciones que detectan</w:t>
      </w:r>
      <w:r>
        <w:rPr>
          <w:color w:val="231F20"/>
          <w:spacing w:val="-14"/>
        </w:rPr>
        <w:t> </w:t>
      </w:r>
      <w:r>
        <w:rPr>
          <w:color w:val="231F20"/>
        </w:rPr>
        <w:t>algunas</w:t>
      </w:r>
      <w:r>
        <w:rPr>
          <w:color w:val="231F20"/>
          <w:spacing w:val="-14"/>
        </w:rPr>
        <w:t> </w:t>
      </w:r>
      <w:r>
        <w:rPr>
          <w:color w:val="231F20"/>
        </w:rPr>
        <w:t>transformaciones</w:t>
      </w:r>
      <w:r>
        <w:rPr>
          <w:color w:val="231F20"/>
          <w:spacing w:val="-14"/>
        </w:rPr>
        <w:t> </w:t>
      </w:r>
      <w:r>
        <w:rPr>
          <w:color w:val="231F20"/>
        </w:rPr>
        <w:t>irreversibles</w:t>
      </w:r>
      <w:r>
        <w:rPr>
          <w:color w:val="231F20"/>
          <w:spacing w:val="-14"/>
        </w:rPr>
        <w:t> </w:t>
      </w:r>
      <w:r>
        <w:rPr>
          <w:color w:val="231F20"/>
          <w:spacing w:val="-10"/>
        </w:rPr>
        <w:t>y,</w:t>
      </w:r>
      <w:r>
        <w:rPr>
          <w:color w:val="231F20"/>
          <w:spacing w:val="-14"/>
        </w:rPr>
        <w:t> </w:t>
      </w:r>
      <w:r>
        <w:rPr>
          <w:color w:val="231F20"/>
        </w:rPr>
        <w:t>por</w:t>
      </w:r>
      <w:r>
        <w:rPr>
          <w:color w:val="231F20"/>
          <w:spacing w:val="-14"/>
        </w:rPr>
        <w:t> </w:t>
      </w:r>
      <w:r>
        <w:rPr>
          <w:color w:val="231F20"/>
        </w:rPr>
        <w:t>lo</w:t>
      </w:r>
      <w:r>
        <w:rPr>
          <w:color w:val="231F20"/>
          <w:spacing w:val="-14"/>
        </w:rPr>
        <w:t> </w:t>
      </w:r>
      <w:r>
        <w:rPr>
          <w:color w:val="231F20"/>
        </w:rPr>
        <w:t>tanto,</w:t>
      </w:r>
      <w:r>
        <w:rPr>
          <w:color w:val="231F20"/>
          <w:spacing w:val="-14"/>
        </w:rPr>
        <w:t> </w:t>
      </w:r>
      <w:r>
        <w:rPr>
          <w:color w:val="231F20"/>
        </w:rPr>
        <w:t>una</w:t>
      </w:r>
      <w:r>
        <w:rPr>
          <w:color w:val="231F20"/>
          <w:spacing w:val="-14"/>
        </w:rPr>
        <w:t> </w:t>
      </w:r>
      <w:r>
        <w:rPr>
          <w:color w:val="231F20"/>
        </w:rPr>
        <w:t>nueva</w:t>
      </w:r>
      <w:r>
        <w:rPr>
          <w:color w:val="231F20"/>
          <w:spacing w:val="-14"/>
        </w:rPr>
        <w:t> </w:t>
      </w:r>
      <w:r>
        <w:rPr>
          <w:color w:val="231F20"/>
        </w:rPr>
        <w:t>y diferente posición del Estado al interior del sistema</w:t>
      </w:r>
      <w:r>
        <w:rPr>
          <w:color w:val="231F20"/>
          <w:spacing w:val="42"/>
        </w:rPr>
        <w:t> </w:t>
      </w:r>
      <w:r>
        <w:rPr>
          <w:color w:val="231F20"/>
        </w:rPr>
        <w:t>social.</w:t>
      </w:r>
    </w:p>
    <w:p>
      <w:pPr>
        <w:pStyle w:val="BodyText"/>
        <w:spacing w:before="5"/>
        <w:rPr>
          <w:sz w:val="24"/>
        </w:rPr>
      </w:pPr>
    </w:p>
    <w:p>
      <w:pPr>
        <w:spacing w:before="1"/>
        <w:ind w:left="103" w:right="0" w:firstLine="0"/>
        <w:jc w:val="both"/>
        <w:rPr>
          <w:rFonts w:ascii="Arial"/>
          <w:i/>
          <w:sz w:val="21"/>
        </w:rPr>
      </w:pPr>
      <w:r>
        <w:rPr>
          <w:rFonts w:ascii="Arial"/>
          <w:i/>
          <w:color w:val="231F20"/>
          <w:sz w:val="21"/>
        </w:rPr>
        <w:t>Un cambio de Estado</w:t>
      </w:r>
    </w:p>
    <w:p>
      <w:pPr>
        <w:pStyle w:val="BodyText"/>
        <w:rPr>
          <w:rFonts w:ascii="Arial"/>
          <w:i/>
          <w:sz w:val="20"/>
        </w:rPr>
      </w:pPr>
    </w:p>
    <w:p>
      <w:pPr>
        <w:pStyle w:val="BodyText"/>
        <w:spacing w:line="247" w:lineRule="auto" w:before="172"/>
        <w:ind w:left="103" w:right="115"/>
        <w:jc w:val="both"/>
      </w:pPr>
      <w:r>
        <w:rPr>
          <w:color w:val="231F20"/>
          <w:w w:val="105"/>
        </w:rPr>
        <w:t>El</w:t>
      </w:r>
      <w:r>
        <w:rPr>
          <w:color w:val="231F20"/>
          <w:spacing w:val="-5"/>
          <w:w w:val="105"/>
        </w:rPr>
        <w:t> </w:t>
      </w:r>
      <w:r>
        <w:rPr>
          <w:color w:val="231F20"/>
          <w:w w:val="105"/>
        </w:rPr>
        <w:t>error</w:t>
      </w:r>
      <w:r>
        <w:rPr>
          <w:color w:val="231F20"/>
          <w:spacing w:val="-5"/>
          <w:w w:val="105"/>
        </w:rPr>
        <w:t> </w:t>
      </w:r>
      <w:r>
        <w:rPr>
          <w:color w:val="231F20"/>
          <w:w w:val="105"/>
        </w:rPr>
        <w:t>es</w:t>
      </w:r>
      <w:r>
        <w:rPr>
          <w:color w:val="231F20"/>
          <w:spacing w:val="-5"/>
          <w:w w:val="105"/>
        </w:rPr>
        <w:t> </w:t>
      </w:r>
      <w:r>
        <w:rPr>
          <w:color w:val="231F20"/>
          <w:w w:val="105"/>
        </w:rPr>
        <w:t>asumir</w:t>
      </w:r>
      <w:r>
        <w:rPr>
          <w:color w:val="231F20"/>
          <w:spacing w:val="-5"/>
          <w:w w:val="105"/>
        </w:rPr>
        <w:t> </w:t>
      </w:r>
      <w:r>
        <w:rPr>
          <w:color w:val="231F20"/>
          <w:w w:val="105"/>
        </w:rPr>
        <w:t>que</w:t>
      </w:r>
      <w:r>
        <w:rPr>
          <w:color w:val="231F20"/>
          <w:spacing w:val="-5"/>
          <w:w w:val="105"/>
        </w:rPr>
        <w:t> </w:t>
      </w:r>
      <w:r>
        <w:rPr>
          <w:color w:val="231F20"/>
          <w:w w:val="105"/>
        </w:rPr>
        <w:t>el</w:t>
      </w:r>
      <w:r>
        <w:rPr>
          <w:color w:val="231F20"/>
          <w:spacing w:val="-5"/>
          <w:w w:val="105"/>
        </w:rPr>
        <w:t> </w:t>
      </w:r>
      <w:r>
        <w:rPr>
          <w:color w:val="231F20"/>
          <w:w w:val="105"/>
        </w:rPr>
        <w:t>Estado</w:t>
      </w:r>
      <w:r>
        <w:rPr>
          <w:color w:val="231F20"/>
          <w:spacing w:val="-5"/>
          <w:w w:val="105"/>
        </w:rPr>
        <w:t> </w:t>
      </w:r>
      <w:r>
        <w:rPr>
          <w:color w:val="231F20"/>
          <w:w w:val="105"/>
        </w:rPr>
        <w:t>es</w:t>
      </w:r>
      <w:r>
        <w:rPr>
          <w:color w:val="231F20"/>
          <w:spacing w:val="-5"/>
          <w:w w:val="105"/>
        </w:rPr>
        <w:t> </w:t>
      </w:r>
      <w:r>
        <w:rPr>
          <w:color w:val="231F20"/>
          <w:w w:val="105"/>
        </w:rPr>
        <w:t>el</w:t>
      </w:r>
      <w:r>
        <w:rPr>
          <w:color w:val="231F20"/>
          <w:spacing w:val="-5"/>
          <w:w w:val="105"/>
        </w:rPr>
        <w:t> </w:t>
      </w:r>
      <w:r>
        <w:rPr>
          <w:color w:val="231F20"/>
          <w:w w:val="105"/>
        </w:rPr>
        <w:t>solitario</w:t>
      </w:r>
      <w:r>
        <w:rPr>
          <w:color w:val="231F20"/>
          <w:spacing w:val="-5"/>
          <w:w w:val="105"/>
        </w:rPr>
        <w:t> </w:t>
      </w:r>
      <w:r>
        <w:rPr>
          <w:color w:val="231F20"/>
          <w:w w:val="105"/>
        </w:rPr>
        <w:t>y</w:t>
      </w:r>
      <w:r>
        <w:rPr>
          <w:color w:val="231F20"/>
          <w:spacing w:val="-5"/>
          <w:w w:val="105"/>
        </w:rPr>
        <w:t> </w:t>
      </w:r>
      <w:r>
        <w:rPr>
          <w:color w:val="231F20"/>
          <w:w w:val="105"/>
        </w:rPr>
        <w:t>a</w:t>
      </w:r>
      <w:r>
        <w:rPr>
          <w:color w:val="231F20"/>
          <w:spacing w:val="-5"/>
          <w:w w:val="105"/>
        </w:rPr>
        <w:t> </w:t>
      </w:r>
      <w:r>
        <w:rPr>
          <w:color w:val="231F20"/>
          <w:w w:val="105"/>
        </w:rPr>
        <w:t>veces</w:t>
      </w:r>
      <w:r>
        <w:rPr>
          <w:color w:val="231F20"/>
          <w:spacing w:val="-5"/>
          <w:w w:val="105"/>
        </w:rPr>
        <w:t> </w:t>
      </w:r>
      <w:r>
        <w:rPr>
          <w:color w:val="231F20"/>
          <w:w w:val="105"/>
        </w:rPr>
        <w:t>único</w:t>
      </w:r>
      <w:r>
        <w:rPr>
          <w:color w:val="231F20"/>
          <w:spacing w:val="-5"/>
          <w:w w:val="105"/>
        </w:rPr>
        <w:t> </w:t>
      </w:r>
      <w:r>
        <w:rPr>
          <w:color w:val="231F20"/>
          <w:w w:val="105"/>
        </w:rPr>
        <w:t>indicador del</w:t>
      </w:r>
      <w:r>
        <w:rPr>
          <w:color w:val="231F20"/>
          <w:spacing w:val="-15"/>
          <w:w w:val="105"/>
        </w:rPr>
        <w:t> </w:t>
      </w:r>
      <w:r>
        <w:rPr>
          <w:color w:val="231F20"/>
          <w:w w:val="105"/>
        </w:rPr>
        <w:t>orden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sociedad</w:t>
      </w:r>
      <w:r>
        <w:rPr>
          <w:color w:val="231F20"/>
          <w:spacing w:val="-15"/>
          <w:w w:val="105"/>
        </w:rPr>
        <w:t> </w:t>
      </w:r>
      <w:r>
        <w:rPr>
          <w:color w:val="231F20"/>
          <w:w w:val="105"/>
        </w:rPr>
        <w:t>moderna.</w:t>
      </w:r>
      <w:r>
        <w:rPr>
          <w:color w:val="231F20"/>
          <w:spacing w:val="-15"/>
          <w:w w:val="105"/>
        </w:rPr>
        <w:t> </w:t>
      </w:r>
      <w:r>
        <w:rPr>
          <w:color w:val="231F20"/>
          <w:w w:val="105"/>
        </w:rPr>
        <w:t>En</w:t>
      </w:r>
      <w:r>
        <w:rPr>
          <w:color w:val="231F20"/>
          <w:spacing w:val="-15"/>
          <w:w w:val="105"/>
        </w:rPr>
        <w:t> </w:t>
      </w:r>
      <w:r>
        <w:rPr>
          <w:color w:val="231F20"/>
          <w:w w:val="105"/>
        </w:rPr>
        <w:t>cambio,</w:t>
      </w:r>
      <w:r>
        <w:rPr>
          <w:color w:val="231F20"/>
          <w:spacing w:val="-15"/>
          <w:w w:val="105"/>
        </w:rPr>
        <w:t> </w:t>
      </w:r>
      <w:r>
        <w:rPr>
          <w:color w:val="231F20"/>
          <w:w w:val="105"/>
        </w:rPr>
        <w:t>se</w:t>
      </w:r>
      <w:r>
        <w:rPr>
          <w:color w:val="231F20"/>
          <w:spacing w:val="-15"/>
          <w:w w:val="105"/>
        </w:rPr>
        <w:t> </w:t>
      </w:r>
      <w:r>
        <w:rPr>
          <w:color w:val="231F20"/>
          <w:w w:val="105"/>
        </w:rPr>
        <w:t>debe</w:t>
      </w:r>
      <w:r>
        <w:rPr>
          <w:color w:val="231F20"/>
          <w:spacing w:val="-15"/>
          <w:w w:val="105"/>
        </w:rPr>
        <w:t> </w:t>
      </w:r>
      <w:r>
        <w:rPr>
          <w:color w:val="231F20"/>
          <w:w w:val="105"/>
        </w:rPr>
        <w:t>considerar</w:t>
      </w:r>
      <w:r>
        <w:rPr>
          <w:color w:val="231F20"/>
          <w:spacing w:val="-15"/>
          <w:w w:val="105"/>
        </w:rPr>
        <w:t> </w:t>
      </w:r>
      <w:r>
        <w:rPr>
          <w:color w:val="231F20"/>
          <w:w w:val="105"/>
        </w:rPr>
        <w:t>que</w:t>
      </w:r>
      <w:r>
        <w:rPr>
          <w:color w:val="231F20"/>
          <w:spacing w:val="-15"/>
          <w:w w:val="105"/>
        </w:rPr>
        <w:t> </w:t>
      </w:r>
      <w:r>
        <w:rPr>
          <w:color w:val="231F20"/>
          <w:w w:val="105"/>
        </w:rPr>
        <w:t>la continuidad</w:t>
      </w:r>
      <w:r>
        <w:rPr>
          <w:color w:val="231F20"/>
          <w:spacing w:val="-42"/>
          <w:w w:val="105"/>
        </w:rPr>
        <w:t> </w:t>
      </w:r>
      <w:r>
        <w:rPr>
          <w:color w:val="231F20"/>
          <w:w w:val="105"/>
        </w:rPr>
        <w:t>de</w:t>
      </w:r>
      <w:r>
        <w:rPr>
          <w:color w:val="231F20"/>
          <w:spacing w:val="-42"/>
          <w:w w:val="105"/>
        </w:rPr>
        <w:t> </w:t>
      </w:r>
      <w:r>
        <w:rPr>
          <w:color w:val="231F20"/>
          <w:w w:val="105"/>
        </w:rPr>
        <w:t>su</w:t>
      </w:r>
      <w:r>
        <w:rPr>
          <w:color w:val="231F20"/>
          <w:spacing w:val="-42"/>
          <w:w w:val="105"/>
        </w:rPr>
        <w:t> </w:t>
      </w:r>
      <w:r>
        <w:rPr>
          <w:color w:val="231F20"/>
          <w:w w:val="105"/>
        </w:rPr>
        <w:t>forma</w:t>
      </w:r>
      <w:r>
        <w:rPr>
          <w:color w:val="231F20"/>
          <w:spacing w:val="-42"/>
          <w:w w:val="105"/>
        </w:rPr>
        <w:t> </w:t>
      </w:r>
      <w:r>
        <w:rPr>
          <w:color w:val="231F20"/>
          <w:w w:val="105"/>
        </w:rPr>
        <w:t>organizativa</w:t>
      </w:r>
      <w:r>
        <w:rPr>
          <w:color w:val="231F20"/>
          <w:spacing w:val="-42"/>
          <w:w w:val="105"/>
        </w:rPr>
        <w:t> </w:t>
      </w:r>
      <w:r>
        <w:rPr>
          <w:color w:val="231F20"/>
          <w:w w:val="105"/>
        </w:rPr>
        <w:t>capitalista</w:t>
      </w:r>
      <w:r>
        <w:rPr>
          <w:color w:val="231F20"/>
          <w:spacing w:val="-42"/>
          <w:w w:val="105"/>
        </w:rPr>
        <w:t> </w:t>
      </w:r>
      <w:r>
        <w:rPr>
          <w:color w:val="231F20"/>
          <w:w w:val="105"/>
        </w:rPr>
        <w:t>se</w:t>
      </w:r>
      <w:r>
        <w:rPr>
          <w:color w:val="231F20"/>
          <w:spacing w:val="-42"/>
          <w:w w:val="105"/>
        </w:rPr>
        <w:t> </w:t>
      </w:r>
      <w:r>
        <w:rPr>
          <w:color w:val="231F20"/>
          <w:w w:val="105"/>
        </w:rPr>
        <w:t>sostiene</w:t>
      </w:r>
      <w:r>
        <w:rPr>
          <w:color w:val="231F20"/>
          <w:spacing w:val="-42"/>
          <w:w w:val="105"/>
        </w:rPr>
        <w:t> </w:t>
      </w:r>
      <w:r>
        <w:rPr>
          <w:color w:val="231F20"/>
          <w:w w:val="105"/>
        </w:rPr>
        <w:t>sobre</w:t>
      </w:r>
      <w:r>
        <w:rPr>
          <w:color w:val="231F20"/>
          <w:spacing w:val="-42"/>
          <w:w w:val="105"/>
        </w:rPr>
        <w:t> </w:t>
      </w:r>
      <w:r>
        <w:rPr>
          <w:color w:val="231F20"/>
          <w:w w:val="105"/>
        </w:rPr>
        <w:t>un</w:t>
      </w:r>
      <w:r>
        <w:rPr>
          <w:color w:val="231F20"/>
          <w:spacing w:val="-42"/>
          <w:w w:val="105"/>
        </w:rPr>
        <w:t> </w:t>
      </w:r>
      <w:r>
        <w:rPr>
          <w:color w:val="231F20"/>
          <w:w w:val="105"/>
        </w:rPr>
        <w:t>orden normativo</w:t>
      </w:r>
      <w:r>
        <w:rPr>
          <w:color w:val="231F20"/>
          <w:spacing w:val="-11"/>
          <w:w w:val="105"/>
        </w:rPr>
        <w:t> </w:t>
      </w:r>
      <w:r>
        <w:rPr>
          <w:color w:val="231F20"/>
          <w:w w:val="105"/>
        </w:rPr>
        <w:t>mucho</w:t>
      </w:r>
      <w:r>
        <w:rPr>
          <w:color w:val="231F20"/>
          <w:spacing w:val="-11"/>
          <w:w w:val="105"/>
        </w:rPr>
        <w:t> </w:t>
      </w:r>
      <w:r>
        <w:rPr>
          <w:color w:val="231F20"/>
          <w:w w:val="105"/>
        </w:rPr>
        <w:t>más</w:t>
      </w:r>
      <w:r>
        <w:rPr>
          <w:color w:val="231F20"/>
          <w:spacing w:val="-11"/>
          <w:w w:val="105"/>
        </w:rPr>
        <w:t> </w:t>
      </w:r>
      <w:r>
        <w:rPr>
          <w:color w:val="231F20"/>
          <w:w w:val="105"/>
        </w:rPr>
        <w:t>vasto</w:t>
      </w:r>
      <w:r>
        <w:rPr>
          <w:color w:val="231F20"/>
          <w:spacing w:val="-11"/>
          <w:w w:val="105"/>
        </w:rPr>
        <w:t> </w:t>
      </w:r>
      <w:r>
        <w:rPr>
          <w:color w:val="231F20"/>
          <w:w w:val="105"/>
        </w:rPr>
        <w:t>y</w:t>
      </w:r>
      <w:r>
        <w:rPr>
          <w:color w:val="231F20"/>
          <w:spacing w:val="-11"/>
          <w:w w:val="105"/>
        </w:rPr>
        <w:t> </w:t>
      </w:r>
      <w:r>
        <w:rPr>
          <w:color w:val="231F20"/>
          <w:w w:val="105"/>
        </w:rPr>
        <w:t>complejo</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orden</w:t>
      </w:r>
      <w:r>
        <w:rPr>
          <w:color w:val="231F20"/>
          <w:spacing w:val="-11"/>
          <w:w w:val="105"/>
        </w:rPr>
        <w:t> </w:t>
      </w:r>
      <w:r>
        <w:rPr>
          <w:color w:val="231F20"/>
          <w:w w:val="105"/>
        </w:rPr>
        <w:t>factual</w:t>
      </w:r>
      <w:r>
        <w:rPr>
          <w:color w:val="231F20"/>
          <w:spacing w:val="-11"/>
          <w:w w:val="105"/>
        </w:rPr>
        <w:t> </w:t>
      </w:r>
      <w:r>
        <w:rPr>
          <w:color w:val="231F20"/>
          <w:w w:val="105"/>
        </w:rPr>
        <w:t>impuesto</w:t>
      </w:r>
      <w:r>
        <w:rPr>
          <w:color w:val="231F20"/>
          <w:spacing w:val="-11"/>
          <w:w w:val="105"/>
        </w:rPr>
        <w:t> </w:t>
      </w:r>
      <w:r>
        <w:rPr>
          <w:color w:val="231F20"/>
          <w:w w:val="105"/>
        </w:rPr>
        <w:t>y garantizado por el Estado. Incluso la tendencial obsolescencia del</w:t>
      </w:r>
      <w:r>
        <w:rPr>
          <w:color w:val="231F20"/>
          <w:spacing w:val="-18"/>
          <w:w w:val="105"/>
        </w:rPr>
        <w:t> </w:t>
      </w:r>
      <w:r>
        <w:rPr>
          <w:color w:val="231F20"/>
          <w:w w:val="105"/>
        </w:rPr>
        <w:t>Esta- do–nación</w:t>
      </w:r>
      <w:r>
        <w:rPr>
          <w:color w:val="231F20"/>
          <w:spacing w:val="-18"/>
          <w:w w:val="105"/>
        </w:rPr>
        <w:t> </w:t>
      </w:r>
      <w:r>
        <w:rPr>
          <w:color w:val="231F20"/>
          <w:w w:val="105"/>
        </w:rPr>
        <w:t>debe</w:t>
      </w:r>
      <w:r>
        <w:rPr>
          <w:color w:val="231F20"/>
          <w:spacing w:val="-18"/>
          <w:w w:val="105"/>
        </w:rPr>
        <w:t> </w:t>
      </w:r>
      <w:r>
        <w:rPr>
          <w:color w:val="231F20"/>
          <w:w w:val="105"/>
        </w:rPr>
        <w:t>ser</w:t>
      </w:r>
      <w:r>
        <w:rPr>
          <w:color w:val="231F20"/>
          <w:spacing w:val="-18"/>
          <w:w w:val="105"/>
        </w:rPr>
        <w:t> </w:t>
      </w:r>
      <w:r>
        <w:rPr>
          <w:color w:val="231F20"/>
          <w:w w:val="105"/>
        </w:rPr>
        <w:t>comprendida</w:t>
      </w:r>
      <w:r>
        <w:rPr>
          <w:color w:val="231F20"/>
          <w:spacing w:val="-18"/>
          <w:w w:val="105"/>
        </w:rPr>
        <w:t> </w:t>
      </w:r>
      <w:r>
        <w:rPr>
          <w:color w:val="231F20"/>
          <w:w w:val="105"/>
        </w:rPr>
        <w:t>y</w:t>
      </w:r>
      <w:r>
        <w:rPr>
          <w:color w:val="231F20"/>
          <w:spacing w:val="-18"/>
          <w:w w:val="105"/>
        </w:rPr>
        <w:t> </w:t>
      </w:r>
      <w:r>
        <w:rPr>
          <w:color w:val="231F20"/>
          <w:w w:val="105"/>
        </w:rPr>
        <w:t>explicada</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cuadro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sociedad global</w:t>
      </w:r>
      <w:r>
        <w:rPr>
          <w:color w:val="231F20"/>
          <w:spacing w:val="-36"/>
          <w:w w:val="105"/>
        </w:rPr>
        <w:t> </w:t>
      </w:r>
      <w:r>
        <w:rPr>
          <w:color w:val="231F20"/>
          <w:w w:val="105"/>
        </w:rPr>
        <w:t>como</w:t>
      </w:r>
      <w:r>
        <w:rPr>
          <w:color w:val="231F20"/>
          <w:spacing w:val="-36"/>
          <w:w w:val="105"/>
        </w:rPr>
        <w:t> </w:t>
      </w:r>
      <w:r>
        <w:rPr>
          <w:color w:val="231F20"/>
          <w:w w:val="105"/>
        </w:rPr>
        <w:t>orden</w:t>
      </w:r>
      <w:r>
        <w:rPr>
          <w:color w:val="231F20"/>
          <w:w w:val="105"/>
          <w:position w:val="7"/>
          <w:sz w:val="12"/>
        </w:rPr>
        <w:t>36</w:t>
      </w:r>
      <w:r>
        <w:rPr>
          <w:color w:val="231F20"/>
          <w:w w:val="105"/>
        </w:rPr>
        <w:t>.</w:t>
      </w:r>
      <w:r>
        <w:rPr>
          <w:color w:val="231F20"/>
          <w:spacing w:val="-36"/>
          <w:w w:val="105"/>
        </w:rPr>
        <w:t> </w:t>
      </w:r>
      <w:r>
        <w:rPr>
          <w:color w:val="231F20"/>
          <w:w w:val="105"/>
        </w:rPr>
        <w:t>Esto,</w:t>
      </w:r>
      <w:r>
        <w:rPr>
          <w:color w:val="231F20"/>
          <w:spacing w:val="-36"/>
          <w:w w:val="105"/>
        </w:rPr>
        <w:t> </w:t>
      </w:r>
      <w:r>
        <w:rPr>
          <w:color w:val="231F20"/>
          <w:w w:val="105"/>
        </w:rPr>
        <w:t>en</w:t>
      </w:r>
      <w:r>
        <w:rPr>
          <w:color w:val="231F20"/>
          <w:spacing w:val="-36"/>
          <w:w w:val="105"/>
        </w:rPr>
        <w:t> </w:t>
      </w:r>
      <w:r>
        <w:rPr>
          <w:color w:val="231F20"/>
          <w:w w:val="105"/>
        </w:rPr>
        <w:t>efecto,</w:t>
      </w:r>
      <w:r>
        <w:rPr>
          <w:color w:val="231F20"/>
          <w:spacing w:val="-36"/>
          <w:w w:val="105"/>
        </w:rPr>
        <w:t> </w:t>
      </w:r>
      <w:r>
        <w:rPr>
          <w:color w:val="231F20"/>
          <w:w w:val="105"/>
        </w:rPr>
        <w:t>parece</w:t>
      </w:r>
      <w:r>
        <w:rPr>
          <w:color w:val="231F20"/>
          <w:spacing w:val="-36"/>
          <w:w w:val="105"/>
        </w:rPr>
        <w:t> </w:t>
      </w:r>
      <w:r>
        <w:rPr>
          <w:color w:val="231F20"/>
          <w:w w:val="105"/>
        </w:rPr>
        <w:t>progresivamente</w:t>
      </w:r>
      <w:r>
        <w:rPr>
          <w:color w:val="231F20"/>
          <w:spacing w:val="-36"/>
          <w:w w:val="105"/>
        </w:rPr>
        <w:t> </w:t>
      </w:r>
      <w:r>
        <w:rPr>
          <w:color w:val="231F20"/>
          <w:w w:val="105"/>
        </w:rPr>
        <w:t>inadecuado tanto</w:t>
      </w:r>
      <w:r>
        <w:rPr>
          <w:color w:val="231F20"/>
          <w:spacing w:val="-40"/>
          <w:w w:val="105"/>
        </w:rPr>
        <w:t> </w:t>
      </w:r>
      <w:r>
        <w:rPr>
          <w:color w:val="231F20"/>
          <w:w w:val="105"/>
        </w:rPr>
        <w:t>desde</w:t>
      </w:r>
      <w:r>
        <w:rPr>
          <w:color w:val="231F20"/>
          <w:spacing w:val="-40"/>
          <w:w w:val="105"/>
        </w:rPr>
        <w:t> </w:t>
      </w:r>
      <w:r>
        <w:rPr>
          <w:color w:val="231F20"/>
          <w:w w:val="105"/>
        </w:rPr>
        <w:t>el</w:t>
      </w:r>
      <w:r>
        <w:rPr>
          <w:color w:val="231F20"/>
          <w:spacing w:val="-40"/>
          <w:w w:val="105"/>
        </w:rPr>
        <w:t> </w:t>
      </w:r>
      <w:r>
        <w:rPr>
          <w:color w:val="231F20"/>
          <w:w w:val="105"/>
        </w:rPr>
        <w:t>punto</w:t>
      </w:r>
      <w:r>
        <w:rPr>
          <w:color w:val="231F20"/>
          <w:spacing w:val="-40"/>
          <w:w w:val="105"/>
        </w:rPr>
        <w:t> </w:t>
      </w:r>
      <w:r>
        <w:rPr>
          <w:color w:val="231F20"/>
          <w:w w:val="105"/>
        </w:rPr>
        <w:t>de</w:t>
      </w:r>
      <w:r>
        <w:rPr>
          <w:color w:val="231F20"/>
          <w:spacing w:val="-40"/>
          <w:w w:val="105"/>
        </w:rPr>
        <w:t> </w:t>
      </w:r>
      <w:r>
        <w:rPr>
          <w:color w:val="231F20"/>
          <w:w w:val="105"/>
        </w:rPr>
        <w:t>vista</w:t>
      </w:r>
      <w:r>
        <w:rPr>
          <w:color w:val="231F20"/>
          <w:spacing w:val="-40"/>
          <w:w w:val="105"/>
        </w:rPr>
        <w:t> </w:t>
      </w:r>
      <w:r>
        <w:rPr>
          <w:color w:val="231F20"/>
          <w:w w:val="105"/>
        </w:rPr>
        <w:t>organizativo,</w:t>
      </w:r>
      <w:r>
        <w:rPr>
          <w:color w:val="231F20"/>
          <w:spacing w:val="-40"/>
          <w:w w:val="105"/>
        </w:rPr>
        <w:t> </w:t>
      </w:r>
      <w:r>
        <w:rPr>
          <w:color w:val="231F20"/>
          <w:w w:val="105"/>
        </w:rPr>
        <w:t>es</w:t>
      </w:r>
      <w:r>
        <w:rPr>
          <w:color w:val="231F20"/>
          <w:spacing w:val="-40"/>
          <w:w w:val="105"/>
        </w:rPr>
        <w:t> </w:t>
      </w:r>
      <w:r>
        <w:rPr>
          <w:color w:val="231F20"/>
          <w:spacing w:val="-4"/>
          <w:w w:val="105"/>
        </w:rPr>
        <w:t>decir,</w:t>
      </w:r>
      <w:r>
        <w:rPr>
          <w:color w:val="231F20"/>
          <w:spacing w:val="-40"/>
          <w:w w:val="105"/>
        </w:rPr>
        <w:t> </w:t>
      </w:r>
      <w:r>
        <w:rPr>
          <w:color w:val="231F20"/>
          <w:w w:val="105"/>
        </w:rPr>
        <w:t>respecto</w:t>
      </w:r>
      <w:r>
        <w:rPr>
          <w:color w:val="231F20"/>
          <w:spacing w:val="-40"/>
          <w:w w:val="105"/>
        </w:rPr>
        <w:t> </w:t>
      </w:r>
      <w:r>
        <w:rPr>
          <w:color w:val="231F20"/>
          <w:w w:val="105"/>
        </w:rPr>
        <w:t>a</w:t>
      </w:r>
      <w:r>
        <w:rPr>
          <w:color w:val="231F20"/>
          <w:spacing w:val="-40"/>
          <w:w w:val="105"/>
        </w:rPr>
        <w:t> </w:t>
      </w:r>
      <w:r>
        <w:rPr>
          <w:color w:val="231F20"/>
          <w:w w:val="105"/>
        </w:rPr>
        <w:t>la</w:t>
      </w:r>
      <w:r>
        <w:rPr>
          <w:color w:val="231F20"/>
          <w:spacing w:val="-40"/>
          <w:w w:val="105"/>
        </w:rPr>
        <w:t> </w:t>
      </w:r>
      <w:r>
        <w:rPr>
          <w:color w:val="231F20"/>
          <w:w w:val="105"/>
        </w:rPr>
        <w:t>dimensión global</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relaciones</w:t>
      </w:r>
      <w:r>
        <w:rPr>
          <w:color w:val="231F20"/>
          <w:spacing w:val="-10"/>
          <w:w w:val="105"/>
        </w:rPr>
        <w:t> </w:t>
      </w:r>
      <w:r>
        <w:rPr>
          <w:color w:val="231F20"/>
          <w:w w:val="105"/>
        </w:rPr>
        <w:t>capitalistas</w:t>
      </w:r>
      <w:r>
        <w:rPr>
          <w:color w:val="231F20"/>
          <w:spacing w:val="-10"/>
          <w:w w:val="105"/>
        </w:rPr>
        <w:t> </w:t>
      </w:r>
      <w:r>
        <w:rPr>
          <w:color w:val="231F20"/>
          <w:w w:val="105"/>
        </w:rPr>
        <w:t>de</w:t>
      </w:r>
      <w:r>
        <w:rPr>
          <w:color w:val="231F20"/>
          <w:spacing w:val="-10"/>
          <w:w w:val="105"/>
        </w:rPr>
        <w:t> </w:t>
      </w:r>
      <w:r>
        <w:rPr>
          <w:color w:val="231F20"/>
          <w:w w:val="105"/>
        </w:rPr>
        <w:t>producción,</w:t>
      </w:r>
      <w:r>
        <w:rPr>
          <w:color w:val="231F20"/>
          <w:spacing w:val="-10"/>
          <w:w w:val="105"/>
        </w:rPr>
        <w:t> </w:t>
      </w:r>
      <w:r>
        <w:rPr>
          <w:color w:val="231F20"/>
          <w:w w:val="105"/>
        </w:rPr>
        <w:t>como</w:t>
      </w:r>
      <w:r>
        <w:rPr>
          <w:color w:val="231F20"/>
          <w:spacing w:val="-10"/>
          <w:w w:val="105"/>
        </w:rPr>
        <w:t> </w:t>
      </w:r>
      <w:r>
        <w:rPr>
          <w:color w:val="231F20"/>
          <w:w w:val="105"/>
        </w:rPr>
        <w:t>desde</w:t>
      </w:r>
      <w:r>
        <w:rPr>
          <w:color w:val="231F20"/>
          <w:spacing w:val="-10"/>
          <w:w w:val="105"/>
        </w:rPr>
        <w:t> </w:t>
      </w:r>
      <w:r>
        <w:rPr>
          <w:color w:val="231F20"/>
          <w:w w:val="105"/>
        </w:rPr>
        <w:t>el</w:t>
      </w:r>
      <w:r>
        <w:rPr>
          <w:color w:val="231F20"/>
          <w:spacing w:val="-10"/>
          <w:w w:val="105"/>
        </w:rPr>
        <w:t> </w:t>
      </w:r>
      <w:r>
        <w:rPr>
          <w:color w:val="231F20"/>
          <w:w w:val="105"/>
        </w:rPr>
        <w:t>punto de</w:t>
      </w:r>
      <w:r>
        <w:rPr>
          <w:color w:val="231F20"/>
          <w:spacing w:val="-40"/>
          <w:w w:val="105"/>
        </w:rPr>
        <w:t> </w:t>
      </w:r>
      <w:r>
        <w:rPr>
          <w:color w:val="231F20"/>
          <w:w w:val="105"/>
        </w:rPr>
        <w:t>vista</w:t>
      </w:r>
      <w:r>
        <w:rPr>
          <w:color w:val="231F20"/>
          <w:spacing w:val="-40"/>
          <w:w w:val="105"/>
        </w:rPr>
        <w:t> </w:t>
      </w:r>
      <w:r>
        <w:rPr>
          <w:color w:val="231F20"/>
          <w:w w:val="105"/>
        </w:rPr>
        <w:t>normativo,</w:t>
      </w:r>
      <w:r>
        <w:rPr>
          <w:color w:val="231F20"/>
          <w:spacing w:val="-40"/>
          <w:w w:val="105"/>
        </w:rPr>
        <w:t> </w:t>
      </w:r>
      <w:r>
        <w:rPr>
          <w:color w:val="231F20"/>
          <w:w w:val="105"/>
        </w:rPr>
        <w:t>porque</w:t>
      </w:r>
      <w:r>
        <w:rPr>
          <w:color w:val="231F20"/>
          <w:spacing w:val="-40"/>
          <w:w w:val="105"/>
        </w:rPr>
        <w:t> </w:t>
      </w:r>
      <w:r>
        <w:rPr>
          <w:color w:val="231F20"/>
          <w:w w:val="105"/>
        </w:rPr>
        <w:t>el</w:t>
      </w:r>
      <w:r>
        <w:rPr>
          <w:color w:val="231F20"/>
          <w:spacing w:val="-40"/>
          <w:w w:val="105"/>
        </w:rPr>
        <w:t> </w:t>
      </w:r>
      <w:r>
        <w:rPr>
          <w:color w:val="231F20"/>
          <w:w w:val="105"/>
        </w:rPr>
        <w:t>llamado</w:t>
      </w:r>
      <w:r>
        <w:rPr>
          <w:color w:val="231F20"/>
          <w:spacing w:val="-40"/>
          <w:w w:val="105"/>
        </w:rPr>
        <w:t> </w:t>
      </w:r>
      <w:r>
        <w:rPr>
          <w:color w:val="231F20"/>
          <w:w w:val="105"/>
        </w:rPr>
        <w:t>a</w:t>
      </w:r>
      <w:r>
        <w:rPr>
          <w:color w:val="231F20"/>
          <w:spacing w:val="-40"/>
          <w:w w:val="105"/>
        </w:rPr>
        <w:t> </w:t>
      </w:r>
      <w:r>
        <w:rPr>
          <w:color w:val="231F20"/>
          <w:w w:val="105"/>
        </w:rPr>
        <w:t>la</w:t>
      </w:r>
      <w:r>
        <w:rPr>
          <w:color w:val="231F20"/>
          <w:spacing w:val="-40"/>
          <w:w w:val="105"/>
        </w:rPr>
        <w:t> </w:t>
      </w:r>
      <w:r>
        <w:rPr>
          <w:color w:val="231F20"/>
          <w:w w:val="105"/>
        </w:rPr>
        <w:t>nación</w:t>
      </w:r>
      <w:r>
        <w:rPr>
          <w:color w:val="231F20"/>
          <w:spacing w:val="-40"/>
          <w:w w:val="105"/>
        </w:rPr>
        <w:t> </w:t>
      </w:r>
      <w:r>
        <w:rPr>
          <w:color w:val="231F20"/>
          <w:w w:val="105"/>
        </w:rPr>
        <w:t>no</w:t>
      </w:r>
      <w:r>
        <w:rPr>
          <w:color w:val="231F20"/>
          <w:spacing w:val="-40"/>
          <w:w w:val="105"/>
        </w:rPr>
        <w:t> </w:t>
      </w:r>
      <w:r>
        <w:rPr>
          <w:color w:val="231F20"/>
          <w:w w:val="105"/>
        </w:rPr>
        <w:t>constituye</w:t>
      </w:r>
      <w:r>
        <w:rPr>
          <w:color w:val="231F20"/>
          <w:spacing w:val="-40"/>
          <w:w w:val="105"/>
        </w:rPr>
        <w:t> </w:t>
      </w:r>
      <w:r>
        <w:rPr>
          <w:color w:val="231F20"/>
          <w:w w:val="105"/>
        </w:rPr>
        <w:t>ya</w:t>
      </w:r>
      <w:r>
        <w:rPr>
          <w:color w:val="231F20"/>
          <w:spacing w:val="-40"/>
          <w:w w:val="105"/>
        </w:rPr>
        <w:t> </w:t>
      </w:r>
      <w:r>
        <w:rPr>
          <w:color w:val="231F20"/>
          <w:w w:val="105"/>
        </w:rPr>
        <w:t>una</w:t>
      </w:r>
      <w:r>
        <w:rPr>
          <w:color w:val="231F20"/>
          <w:spacing w:val="-40"/>
          <w:w w:val="105"/>
        </w:rPr>
        <w:t> </w:t>
      </w:r>
      <w:r>
        <w:rPr>
          <w:color w:val="231F20"/>
          <w:w w:val="105"/>
        </w:rPr>
        <w:t>refe- rencia</w:t>
      </w:r>
      <w:r>
        <w:rPr>
          <w:color w:val="231F20"/>
          <w:spacing w:val="-37"/>
          <w:w w:val="105"/>
        </w:rPr>
        <w:t> </w:t>
      </w:r>
      <w:r>
        <w:rPr>
          <w:color w:val="231F20"/>
          <w:w w:val="105"/>
        </w:rPr>
        <w:t>normativa</w:t>
      </w:r>
      <w:r>
        <w:rPr>
          <w:color w:val="231F20"/>
          <w:spacing w:val="-37"/>
          <w:w w:val="105"/>
        </w:rPr>
        <w:t> </w:t>
      </w:r>
      <w:r>
        <w:rPr>
          <w:color w:val="231F20"/>
          <w:w w:val="105"/>
        </w:rPr>
        <w:t>adecuada</w:t>
      </w:r>
      <w:r>
        <w:rPr>
          <w:color w:val="231F20"/>
          <w:spacing w:val="-37"/>
          <w:w w:val="105"/>
        </w:rPr>
        <w:t> </w:t>
      </w:r>
      <w:r>
        <w:rPr>
          <w:color w:val="231F20"/>
          <w:w w:val="105"/>
        </w:rPr>
        <w:t>y</w:t>
      </w:r>
      <w:r>
        <w:rPr>
          <w:color w:val="231F20"/>
          <w:spacing w:val="-37"/>
          <w:w w:val="105"/>
        </w:rPr>
        <w:t> </w:t>
      </w:r>
      <w:r>
        <w:rPr>
          <w:color w:val="231F20"/>
          <w:w w:val="105"/>
        </w:rPr>
        <w:t>suficiente</w:t>
      </w:r>
      <w:r>
        <w:rPr>
          <w:color w:val="231F20"/>
          <w:spacing w:val="-37"/>
          <w:w w:val="105"/>
        </w:rPr>
        <w:t> </w:t>
      </w:r>
      <w:r>
        <w:rPr>
          <w:color w:val="231F20"/>
          <w:w w:val="105"/>
        </w:rPr>
        <w:t>frente</w:t>
      </w:r>
      <w:r>
        <w:rPr>
          <w:color w:val="231F20"/>
          <w:spacing w:val="-37"/>
          <w:w w:val="105"/>
        </w:rPr>
        <w:t> </w:t>
      </w:r>
      <w:r>
        <w:rPr>
          <w:color w:val="231F20"/>
          <w:w w:val="105"/>
        </w:rPr>
        <w:t>a</w:t>
      </w:r>
      <w:r>
        <w:rPr>
          <w:color w:val="231F20"/>
          <w:spacing w:val="-37"/>
          <w:w w:val="105"/>
        </w:rPr>
        <w:t> </w:t>
      </w:r>
      <w:r>
        <w:rPr>
          <w:color w:val="231F20"/>
          <w:w w:val="105"/>
        </w:rPr>
        <w:t>la</w:t>
      </w:r>
      <w:r>
        <w:rPr>
          <w:color w:val="231F20"/>
          <w:spacing w:val="-37"/>
          <w:w w:val="105"/>
        </w:rPr>
        <w:t> </w:t>
      </w:r>
      <w:r>
        <w:rPr>
          <w:color w:val="231F20"/>
          <w:w w:val="105"/>
        </w:rPr>
        <w:t>tensión</w:t>
      </w:r>
      <w:r>
        <w:rPr>
          <w:color w:val="231F20"/>
          <w:spacing w:val="-37"/>
          <w:w w:val="105"/>
        </w:rPr>
        <w:t> </w:t>
      </w:r>
      <w:r>
        <w:rPr>
          <w:color w:val="231F20"/>
          <w:w w:val="105"/>
        </w:rPr>
        <w:t>manifiesta</w:t>
      </w:r>
      <w:r>
        <w:rPr>
          <w:color w:val="231F20"/>
          <w:spacing w:val="-37"/>
          <w:w w:val="105"/>
        </w:rPr>
        <w:t> </w:t>
      </w:r>
      <w:r>
        <w:rPr>
          <w:color w:val="231F20"/>
          <w:w w:val="105"/>
        </w:rPr>
        <w:t>entre el</w:t>
      </w:r>
      <w:r>
        <w:rPr>
          <w:color w:val="231F20"/>
          <w:spacing w:val="-32"/>
          <w:w w:val="105"/>
        </w:rPr>
        <w:t> </w:t>
      </w:r>
      <w:r>
        <w:rPr>
          <w:color w:val="231F20"/>
          <w:w w:val="105"/>
        </w:rPr>
        <w:t>pueblo</w:t>
      </w:r>
      <w:r>
        <w:rPr>
          <w:color w:val="231F20"/>
          <w:spacing w:val="-32"/>
          <w:w w:val="105"/>
        </w:rPr>
        <w:t> </w:t>
      </w:r>
      <w:r>
        <w:rPr>
          <w:color w:val="231F20"/>
          <w:w w:val="105"/>
        </w:rPr>
        <w:t>y</w:t>
      </w:r>
      <w:r>
        <w:rPr>
          <w:color w:val="231F20"/>
          <w:spacing w:val="-32"/>
          <w:w w:val="105"/>
        </w:rPr>
        <w:t> </w:t>
      </w:r>
      <w:r>
        <w:rPr>
          <w:color w:val="231F20"/>
          <w:w w:val="105"/>
        </w:rPr>
        <w:t>la</w:t>
      </w:r>
      <w:r>
        <w:rPr>
          <w:color w:val="231F20"/>
          <w:spacing w:val="-32"/>
          <w:w w:val="105"/>
        </w:rPr>
        <w:t> </w:t>
      </w:r>
      <w:r>
        <w:rPr>
          <w:color w:val="231F20"/>
          <w:w w:val="105"/>
        </w:rPr>
        <w:t>población.</w:t>
      </w:r>
      <w:r>
        <w:rPr>
          <w:color w:val="231F20"/>
          <w:spacing w:val="-32"/>
          <w:w w:val="105"/>
        </w:rPr>
        <w:t> </w:t>
      </w:r>
      <w:r>
        <w:rPr>
          <w:color w:val="231F20"/>
          <w:w w:val="105"/>
        </w:rPr>
        <w:t>Sin</w:t>
      </w:r>
      <w:r>
        <w:rPr>
          <w:color w:val="231F20"/>
          <w:spacing w:val="-32"/>
          <w:w w:val="105"/>
        </w:rPr>
        <w:t> </w:t>
      </w:r>
      <w:r>
        <w:rPr>
          <w:color w:val="231F20"/>
          <w:w w:val="105"/>
        </w:rPr>
        <w:t>embargo,</w:t>
      </w:r>
      <w:r>
        <w:rPr>
          <w:color w:val="231F20"/>
          <w:spacing w:val="-32"/>
          <w:w w:val="105"/>
        </w:rPr>
        <w:t> </w:t>
      </w:r>
      <w:r>
        <w:rPr>
          <w:color w:val="231F20"/>
          <w:w w:val="105"/>
        </w:rPr>
        <w:t>el</w:t>
      </w:r>
      <w:r>
        <w:rPr>
          <w:color w:val="231F20"/>
          <w:spacing w:val="-32"/>
          <w:w w:val="105"/>
        </w:rPr>
        <w:t> </w:t>
      </w:r>
      <w:r>
        <w:rPr>
          <w:color w:val="231F20"/>
          <w:w w:val="105"/>
        </w:rPr>
        <w:t>hecho</w:t>
      </w:r>
      <w:r>
        <w:rPr>
          <w:color w:val="231F20"/>
          <w:spacing w:val="-32"/>
          <w:w w:val="105"/>
        </w:rPr>
        <w:t> </w:t>
      </w:r>
      <w:r>
        <w:rPr>
          <w:color w:val="231F20"/>
          <w:w w:val="105"/>
        </w:rPr>
        <w:t>empíricamente</w:t>
      </w:r>
      <w:r>
        <w:rPr>
          <w:color w:val="231F20"/>
          <w:spacing w:val="-32"/>
          <w:w w:val="105"/>
        </w:rPr>
        <w:t> </w:t>
      </w:r>
      <w:r>
        <w:rPr>
          <w:color w:val="231F20"/>
          <w:w w:val="105"/>
        </w:rPr>
        <w:t>observable a</w:t>
      </w:r>
      <w:r>
        <w:rPr>
          <w:color w:val="231F20"/>
          <w:spacing w:val="-12"/>
          <w:w w:val="105"/>
        </w:rPr>
        <w:t> </w:t>
      </w:r>
      <w:r>
        <w:rPr>
          <w:color w:val="231F20"/>
          <w:w w:val="105"/>
        </w:rPr>
        <w:t>simple</w:t>
      </w:r>
      <w:r>
        <w:rPr>
          <w:color w:val="231F20"/>
          <w:spacing w:val="-12"/>
          <w:w w:val="105"/>
        </w:rPr>
        <w:t> </w:t>
      </w:r>
      <w:r>
        <w:rPr>
          <w:color w:val="231F20"/>
          <w:w w:val="105"/>
        </w:rPr>
        <w:t>vista</w:t>
      </w:r>
      <w:r>
        <w:rPr>
          <w:color w:val="231F20"/>
          <w:spacing w:val="-12"/>
          <w:w w:val="105"/>
        </w:rPr>
        <w:t> </w:t>
      </w:r>
      <w:r>
        <w:rPr>
          <w:color w:val="231F20"/>
          <w:w w:val="105"/>
        </w:rPr>
        <w:t>de</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w w:val="105"/>
        </w:rPr>
        <w:t>capitalismo</w:t>
      </w:r>
      <w:r>
        <w:rPr>
          <w:color w:val="231F20"/>
          <w:spacing w:val="-12"/>
          <w:w w:val="105"/>
        </w:rPr>
        <w:t> </w:t>
      </w:r>
      <w:r>
        <w:rPr>
          <w:color w:val="231F20"/>
          <w:w w:val="105"/>
        </w:rPr>
        <w:t>no</w:t>
      </w:r>
      <w:r>
        <w:rPr>
          <w:color w:val="231F20"/>
          <w:spacing w:val="-12"/>
          <w:w w:val="105"/>
        </w:rPr>
        <w:t> </w:t>
      </w:r>
      <w:r>
        <w:rPr>
          <w:color w:val="231F20"/>
          <w:w w:val="105"/>
        </w:rPr>
        <w:t>sea</w:t>
      </w:r>
      <w:r>
        <w:rPr>
          <w:color w:val="231F20"/>
          <w:spacing w:val="-12"/>
          <w:w w:val="105"/>
        </w:rPr>
        <w:t> </w:t>
      </w:r>
      <w:r>
        <w:rPr>
          <w:color w:val="231F20"/>
          <w:w w:val="105"/>
        </w:rPr>
        <w:t>sólo</w:t>
      </w:r>
      <w:r>
        <w:rPr>
          <w:color w:val="231F20"/>
          <w:spacing w:val="-12"/>
          <w:w w:val="105"/>
        </w:rPr>
        <w:t> </w:t>
      </w:r>
      <w:r>
        <w:rPr>
          <w:color w:val="231F20"/>
          <w:w w:val="105"/>
        </w:rPr>
        <w:t>global</w:t>
      </w:r>
      <w:r>
        <w:rPr>
          <w:color w:val="231F20"/>
          <w:w w:val="105"/>
          <w:position w:val="7"/>
          <w:sz w:val="12"/>
        </w:rPr>
        <w:t>37</w:t>
      </w:r>
      <w:r>
        <w:rPr>
          <w:color w:val="231F20"/>
          <w:w w:val="105"/>
        </w:rPr>
        <w:t>,</w:t>
      </w:r>
      <w:r>
        <w:rPr>
          <w:color w:val="231F20"/>
          <w:spacing w:val="-12"/>
          <w:w w:val="105"/>
        </w:rPr>
        <w:t> </w:t>
      </w:r>
      <w:r>
        <w:rPr>
          <w:color w:val="231F20"/>
          <w:w w:val="105"/>
        </w:rPr>
        <w:t>así</w:t>
      </w:r>
      <w:r>
        <w:rPr>
          <w:color w:val="231F20"/>
          <w:spacing w:val="-12"/>
          <w:w w:val="105"/>
        </w:rPr>
        <w:t> </w:t>
      </w:r>
      <w:r>
        <w:rPr>
          <w:color w:val="231F20"/>
          <w:w w:val="105"/>
        </w:rPr>
        <w:t>como</w:t>
      </w:r>
      <w:r>
        <w:rPr>
          <w:color w:val="231F20"/>
          <w:spacing w:val="-12"/>
          <w:w w:val="105"/>
        </w:rPr>
        <w:t> </w:t>
      </w:r>
      <w:r>
        <w:rPr>
          <w:color w:val="231F20"/>
          <w:w w:val="105"/>
        </w:rPr>
        <w:t>que</w:t>
      </w:r>
      <w:r>
        <w:rPr>
          <w:color w:val="231F20"/>
          <w:spacing w:val="-12"/>
          <w:w w:val="105"/>
        </w:rPr>
        <w:t> </w:t>
      </w:r>
      <w:r>
        <w:rPr>
          <w:color w:val="231F20"/>
          <w:w w:val="105"/>
        </w:rPr>
        <w:t>el cuadro</w:t>
      </w:r>
      <w:r>
        <w:rPr>
          <w:color w:val="231F20"/>
          <w:spacing w:val="-6"/>
          <w:w w:val="105"/>
        </w:rPr>
        <w:t> </w:t>
      </w:r>
      <w:r>
        <w:rPr>
          <w:color w:val="231F20"/>
          <w:w w:val="105"/>
        </w:rPr>
        <w:t>normativo</w:t>
      </w:r>
      <w:r>
        <w:rPr>
          <w:color w:val="231F20"/>
          <w:spacing w:val="-6"/>
          <w:w w:val="105"/>
        </w:rPr>
        <w:t> </w:t>
      </w:r>
      <w:r>
        <w:rPr>
          <w:color w:val="231F20"/>
          <w:w w:val="105"/>
        </w:rPr>
        <w:t>no</w:t>
      </w:r>
      <w:r>
        <w:rPr>
          <w:color w:val="231F20"/>
          <w:spacing w:val="-6"/>
          <w:w w:val="105"/>
        </w:rPr>
        <w:t> </w:t>
      </w:r>
      <w:r>
        <w:rPr>
          <w:color w:val="231F20"/>
          <w:w w:val="105"/>
        </w:rPr>
        <w:t>sea</w:t>
      </w:r>
      <w:r>
        <w:rPr>
          <w:color w:val="231F20"/>
          <w:spacing w:val="-6"/>
          <w:w w:val="105"/>
        </w:rPr>
        <w:t> </w:t>
      </w:r>
      <w:r>
        <w:rPr>
          <w:color w:val="231F20"/>
          <w:w w:val="105"/>
        </w:rPr>
        <w:t>sólo</w:t>
      </w:r>
      <w:r>
        <w:rPr>
          <w:color w:val="231F20"/>
          <w:spacing w:val="-6"/>
          <w:w w:val="105"/>
        </w:rPr>
        <w:t> </w:t>
      </w:r>
      <w:r>
        <w:rPr>
          <w:color w:val="231F20"/>
          <w:w w:val="105"/>
        </w:rPr>
        <w:t>cosmopolítico,</w:t>
      </w:r>
      <w:r>
        <w:rPr>
          <w:color w:val="231F20"/>
          <w:spacing w:val="-6"/>
          <w:w w:val="105"/>
        </w:rPr>
        <w:t> </w:t>
      </w:r>
      <w:r>
        <w:rPr>
          <w:color w:val="231F20"/>
          <w:w w:val="105"/>
        </w:rPr>
        <w:t>permite</w:t>
      </w:r>
      <w:r>
        <w:rPr>
          <w:color w:val="231F20"/>
          <w:spacing w:val="-6"/>
          <w:w w:val="105"/>
        </w:rPr>
        <w:t> </w:t>
      </w:r>
      <w:r>
        <w:rPr>
          <w:color w:val="231F20"/>
          <w:w w:val="105"/>
        </w:rPr>
        <w:t>al</w:t>
      </w:r>
      <w:r>
        <w:rPr>
          <w:color w:val="231F20"/>
          <w:spacing w:val="-6"/>
          <w:w w:val="105"/>
        </w:rPr>
        <w:t> </w:t>
      </w:r>
      <w:r>
        <w:rPr>
          <w:color w:val="231F20"/>
          <w:w w:val="105"/>
        </w:rPr>
        <w:t>Estado</w:t>
      </w:r>
      <w:r>
        <w:rPr>
          <w:color w:val="231F20"/>
          <w:spacing w:val="-6"/>
          <w:w w:val="105"/>
        </w:rPr>
        <w:t> </w:t>
      </w:r>
      <w:r>
        <w:rPr>
          <w:color w:val="231F20"/>
          <w:w w:val="105"/>
        </w:rPr>
        <w:t>regresar constantemente al juego en el doble papel de jugador y de garante del juego</w:t>
      </w:r>
      <w:r>
        <w:rPr>
          <w:color w:val="231F20"/>
          <w:spacing w:val="-36"/>
          <w:w w:val="105"/>
        </w:rPr>
        <w:t> </w:t>
      </w:r>
      <w:r>
        <w:rPr>
          <w:color w:val="231F20"/>
          <w:w w:val="105"/>
        </w:rPr>
        <w:t>mismo,</w:t>
      </w:r>
      <w:r>
        <w:rPr>
          <w:color w:val="231F20"/>
          <w:spacing w:val="-36"/>
          <w:w w:val="105"/>
        </w:rPr>
        <w:t> </w:t>
      </w:r>
      <w:r>
        <w:rPr>
          <w:color w:val="231F20"/>
          <w:w w:val="105"/>
        </w:rPr>
        <w:t>mientras</w:t>
      </w:r>
      <w:r>
        <w:rPr>
          <w:color w:val="231F20"/>
          <w:spacing w:val="-36"/>
          <w:w w:val="105"/>
        </w:rPr>
        <w:t> </w:t>
      </w:r>
      <w:r>
        <w:rPr>
          <w:color w:val="231F20"/>
          <w:w w:val="105"/>
        </w:rPr>
        <w:t>al</w:t>
      </w:r>
      <w:r>
        <w:rPr>
          <w:color w:val="231F20"/>
          <w:spacing w:val="-36"/>
          <w:w w:val="105"/>
        </w:rPr>
        <w:t> </w:t>
      </w:r>
      <w:r>
        <w:rPr>
          <w:color w:val="231F20"/>
          <w:w w:val="105"/>
        </w:rPr>
        <w:t>mismo</w:t>
      </w:r>
      <w:r>
        <w:rPr>
          <w:color w:val="231F20"/>
          <w:spacing w:val="-36"/>
          <w:w w:val="105"/>
        </w:rPr>
        <w:t> </w:t>
      </w:r>
      <w:r>
        <w:rPr>
          <w:color w:val="231F20"/>
          <w:w w:val="105"/>
        </w:rPr>
        <w:t>tiempo</w:t>
      </w:r>
      <w:r>
        <w:rPr>
          <w:color w:val="231F20"/>
          <w:spacing w:val="-36"/>
          <w:w w:val="105"/>
        </w:rPr>
        <w:t> </w:t>
      </w:r>
      <w:r>
        <w:rPr>
          <w:color w:val="231F20"/>
          <w:w w:val="105"/>
        </w:rPr>
        <w:t>es</w:t>
      </w:r>
      <w:r>
        <w:rPr>
          <w:color w:val="231F20"/>
          <w:spacing w:val="-36"/>
          <w:w w:val="105"/>
        </w:rPr>
        <w:t> </w:t>
      </w:r>
      <w:r>
        <w:rPr>
          <w:color w:val="231F20"/>
          <w:w w:val="105"/>
        </w:rPr>
        <w:t>solamente</w:t>
      </w:r>
      <w:r>
        <w:rPr>
          <w:color w:val="231F20"/>
          <w:spacing w:val="-36"/>
          <w:w w:val="105"/>
        </w:rPr>
        <w:t> </w:t>
      </w:r>
      <w:r>
        <w:rPr>
          <w:color w:val="231F20"/>
          <w:w w:val="105"/>
        </w:rPr>
        <w:t>un</w:t>
      </w:r>
      <w:r>
        <w:rPr>
          <w:color w:val="231F20"/>
          <w:spacing w:val="-36"/>
          <w:w w:val="105"/>
        </w:rPr>
        <w:t> </w:t>
      </w:r>
      <w:r>
        <w:rPr>
          <w:color w:val="231F20"/>
          <w:w w:val="105"/>
        </w:rPr>
        <w:t>sujeto</w:t>
      </w:r>
      <w:r>
        <w:rPr>
          <w:color w:val="231F20"/>
          <w:spacing w:val="-36"/>
          <w:w w:val="105"/>
        </w:rPr>
        <w:t> </w:t>
      </w:r>
      <w:r>
        <w:rPr>
          <w:color w:val="231F20"/>
          <w:w w:val="105"/>
        </w:rPr>
        <w:t>más</w:t>
      </w:r>
      <w:r>
        <w:rPr>
          <w:color w:val="231F20"/>
          <w:spacing w:val="-36"/>
          <w:w w:val="105"/>
        </w:rPr>
        <w:t> </w:t>
      </w:r>
      <w:r>
        <w:rPr>
          <w:color w:val="231F20"/>
          <w:w w:val="105"/>
        </w:rPr>
        <w:t>o</w:t>
      </w:r>
      <w:r>
        <w:rPr>
          <w:color w:val="231F20"/>
          <w:spacing w:val="-36"/>
          <w:w w:val="105"/>
        </w:rPr>
        <w:t> </w:t>
      </w:r>
      <w:r>
        <w:rPr>
          <w:color w:val="231F20"/>
          <w:w w:val="105"/>
        </w:rPr>
        <w:t>me- nos</w:t>
      </w:r>
      <w:r>
        <w:rPr>
          <w:color w:val="231F20"/>
          <w:spacing w:val="-41"/>
          <w:w w:val="105"/>
        </w:rPr>
        <w:t> </w:t>
      </w:r>
      <w:r>
        <w:rPr>
          <w:color w:val="231F20"/>
          <w:w w:val="105"/>
        </w:rPr>
        <w:t>relevante</w:t>
      </w:r>
      <w:r>
        <w:rPr>
          <w:color w:val="231F20"/>
          <w:spacing w:val="-41"/>
          <w:w w:val="105"/>
        </w:rPr>
        <w:t> </w:t>
      </w:r>
      <w:r>
        <w:rPr>
          <w:color w:val="231F20"/>
          <w:w w:val="105"/>
        </w:rPr>
        <w:t>del</w:t>
      </w:r>
      <w:r>
        <w:rPr>
          <w:color w:val="231F20"/>
          <w:spacing w:val="-41"/>
          <w:w w:val="105"/>
        </w:rPr>
        <w:t> </w:t>
      </w:r>
      <w:r>
        <w:rPr>
          <w:color w:val="231F20"/>
          <w:w w:val="105"/>
        </w:rPr>
        <w:t>capitalismo</w:t>
      </w:r>
      <w:r>
        <w:rPr>
          <w:color w:val="231F20"/>
          <w:spacing w:val="-41"/>
          <w:w w:val="105"/>
        </w:rPr>
        <w:t> </w:t>
      </w:r>
      <w:r>
        <w:rPr>
          <w:color w:val="231F20"/>
          <w:w w:val="105"/>
        </w:rPr>
        <w:t>global</w:t>
      </w:r>
      <w:r>
        <w:rPr>
          <w:color w:val="231F20"/>
          <w:spacing w:val="-41"/>
          <w:w w:val="105"/>
        </w:rPr>
        <w:t> </w:t>
      </w:r>
      <w:r>
        <w:rPr>
          <w:color w:val="231F20"/>
          <w:w w:val="105"/>
        </w:rPr>
        <w:t>y</w:t>
      </w:r>
      <w:r>
        <w:rPr>
          <w:color w:val="231F20"/>
          <w:spacing w:val="-41"/>
          <w:w w:val="105"/>
        </w:rPr>
        <w:t> </w:t>
      </w:r>
      <w:r>
        <w:rPr>
          <w:color w:val="231F20"/>
          <w:w w:val="105"/>
        </w:rPr>
        <w:t>del</w:t>
      </w:r>
      <w:r>
        <w:rPr>
          <w:color w:val="231F20"/>
          <w:spacing w:val="-41"/>
          <w:w w:val="105"/>
        </w:rPr>
        <w:t> </w:t>
      </w:r>
      <w:r>
        <w:rPr>
          <w:color w:val="231F20"/>
          <w:w w:val="105"/>
        </w:rPr>
        <w:t>orden</w:t>
      </w:r>
      <w:r>
        <w:rPr>
          <w:color w:val="231F20"/>
          <w:spacing w:val="-41"/>
          <w:w w:val="105"/>
        </w:rPr>
        <w:t> </w:t>
      </w:r>
      <w:r>
        <w:rPr>
          <w:color w:val="231F20"/>
          <w:w w:val="105"/>
        </w:rPr>
        <w:t>jurídico</w:t>
      </w:r>
      <w:r>
        <w:rPr>
          <w:color w:val="231F20"/>
          <w:spacing w:val="-41"/>
          <w:w w:val="105"/>
        </w:rPr>
        <w:t> </w:t>
      </w:r>
      <w:r>
        <w:rPr>
          <w:color w:val="231F20"/>
          <w:w w:val="105"/>
        </w:rPr>
        <w:t>transnacional.</w:t>
      </w:r>
      <w:r>
        <w:rPr>
          <w:color w:val="231F20"/>
          <w:spacing w:val="-41"/>
          <w:w w:val="105"/>
        </w:rPr>
        <w:t> </w:t>
      </w:r>
      <w:r>
        <w:rPr>
          <w:color w:val="231F20"/>
          <w:w w:val="105"/>
        </w:rPr>
        <w:t>Esta oscilación</w:t>
      </w:r>
      <w:r>
        <w:rPr>
          <w:color w:val="231F20"/>
          <w:spacing w:val="-29"/>
          <w:w w:val="105"/>
        </w:rPr>
        <w:t> </w:t>
      </w:r>
      <w:r>
        <w:rPr>
          <w:color w:val="231F20"/>
          <w:w w:val="105"/>
        </w:rPr>
        <w:t>entre</w:t>
      </w:r>
      <w:r>
        <w:rPr>
          <w:color w:val="231F20"/>
          <w:spacing w:val="-29"/>
          <w:w w:val="105"/>
        </w:rPr>
        <w:t> </w:t>
      </w:r>
      <w:r>
        <w:rPr>
          <w:color w:val="231F20"/>
          <w:w w:val="105"/>
        </w:rPr>
        <w:t>los</w:t>
      </w:r>
      <w:r>
        <w:rPr>
          <w:color w:val="231F20"/>
          <w:spacing w:val="-29"/>
          <w:w w:val="105"/>
        </w:rPr>
        <w:t> </w:t>
      </w:r>
      <w:r>
        <w:rPr>
          <w:color w:val="231F20"/>
          <w:w w:val="105"/>
        </w:rPr>
        <w:t>roles</w:t>
      </w:r>
      <w:r>
        <w:rPr>
          <w:color w:val="231F20"/>
          <w:spacing w:val="-29"/>
          <w:w w:val="105"/>
        </w:rPr>
        <w:t> </w:t>
      </w:r>
      <w:r>
        <w:rPr>
          <w:color w:val="231F20"/>
          <w:w w:val="105"/>
        </w:rPr>
        <w:t>genera</w:t>
      </w:r>
      <w:r>
        <w:rPr>
          <w:color w:val="231F20"/>
          <w:spacing w:val="-29"/>
          <w:w w:val="105"/>
        </w:rPr>
        <w:t> </w:t>
      </w:r>
      <w:r>
        <w:rPr>
          <w:color w:val="231F20"/>
          <w:w w:val="105"/>
        </w:rPr>
        <w:t>también</w:t>
      </w:r>
      <w:r>
        <w:rPr>
          <w:color w:val="231F20"/>
          <w:spacing w:val="-29"/>
          <w:w w:val="105"/>
        </w:rPr>
        <w:t> </w:t>
      </w:r>
      <w:r>
        <w:rPr>
          <w:color w:val="231F20"/>
          <w:w w:val="105"/>
        </w:rPr>
        <w:t>la</w:t>
      </w:r>
      <w:r>
        <w:rPr>
          <w:color w:val="231F20"/>
          <w:spacing w:val="-29"/>
          <w:w w:val="105"/>
        </w:rPr>
        <w:t> </w:t>
      </w:r>
      <w:r>
        <w:rPr>
          <w:color w:val="231F20"/>
          <w:w w:val="105"/>
        </w:rPr>
        <w:t>incerteza</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representación comprensiva de aquello que conocemos como Estado nación, titular de la</w:t>
      </w:r>
      <w:r>
        <w:rPr>
          <w:color w:val="231F20"/>
          <w:spacing w:val="-10"/>
          <w:w w:val="105"/>
        </w:rPr>
        <w:t> </w:t>
      </w:r>
      <w:r>
        <w:rPr>
          <w:color w:val="231F20"/>
          <w:w w:val="105"/>
        </w:rPr>
        <w:t>potestad</w:t>
      </w:r>
      <w:r>
        <w:rPr>
          <w:color w:val="231F20"/>
          <w:spacing w:val="-10"/>
          <w:w w:val="105"/>
        </w:rPr>
        <w:t> </w:t>
      </w:r>
      <w:r>
        <w:rPr>
          <w:color w:val="231F20"/>
          <w:w w:val="105"/>
        </w:rPr>
        <w:t>exclusiva</w:t>
      </w:r>
      <w:r>
        <w:rPr>
          <w:color w:val="231F20"/>
          <w:spacing w:val="-10"/>
          <w:w w:val="105"/>
        </w:rPr>
        <w:t> </w:t>
      </w:r>
      <w:r>
        <w:rPr>
          <w:color w:val="231F20"/>
          <w:w w:val="105"/>
        </w:rPr>
        <w:t>de</w:t>
      </w:r>
      <w:r>
        <w:rPr>
          <w:color w:val="231F20"/>
          <w:spacing w:val="-10"/>
          <w:w w:val="105"/>
        </w:rPr>
        <w:t> </w:t>
      </w:r>
      <w:r>
        <w:rPr>
          <w:color w:val="231F20"/>
          <w:w w:val="105"/>
        </w:rPr>
        <w:t>producción</w:t>
      </w:r>
      <w:r>
        <w:rPr>
          <w:color w:val="231F20"/>
          <w:spacing w:val="-10"/>
          <w:w w:val="105"/>
        </w:rPr>
        <w:t> </w:t>
      </w:r>
      <w:r>
        <w:rPr>
          <w:color w:val="231F20"/>
          <w:w w:val="105"/>
        </w:rPr>
        <w:t>del</w:t>
      </w:r>
      <w:r>
        <w:rPr>
          <w:color w:val="231F20"/>
          <w:spacing w:val="-10"/>
          <w:w w:val="105"/>
        </w:rPr>
        <w:t> </w:t>
      </w:r>
      <w:r>
        <w:rPr>
          <w:color w:val="231F20"/>
          <w:w w:val="105"/>
        </w:rPr>
        <w:t>Derecho</w:t>
      </w:r>
      <w:r>
        <w:rPr>
          <w:color w:val="231F20"/>
          <w:spacing w:val="-10"/>
          <w:w w:val="105"/>
        </w:rPr>
        <w:t> </w:t>
      </w:r>
      <w:r>
        <w:rPr>
          <w:color w:val="231F20"/>
          <w:w w:val="105"/>
        </w:rPr>
        <w:t>positivo.</w:t>
      </w:r>
      <w:r>
        <w:rPr>
          <w:color w:val="231F20"/>
          <w:spacing w:val="-10"/>
          <w:w w:val="105"/>
        </w:rPr>
        <w:t> </w:t>
      </w:r>
      <w:r>
        <w:rPr>
          <w:color w:val="231F20"/>
          <w:w w:val="105"/>
        </w:rPr>
        <w:t>Este</w:t>
      </w:r>
      <w:r>
        <w:rPr>
          <w:color w:val="231F20"/>
          <w:spacing w:val="-10"/>
          <w:w w:val="105"/>
        </w:rPr>
        <w:t> </w:t>
      </w:r>
      <w:r>
        <w:rPr>
          <w:color w:val="231F20"/>
          <w:w w:val="105"/>
        </w:rPr>
        <w:t>último</w:t>
      </w:r>
      <w:r>
        <w:rPr>
          <w:color w:val="231F20"/>
          <w:spacing w:val="-10"/>
          <w:w w:val="105"/>
        </w:rPr>
        <w:t> </w:t>
      </w:r>
      <w:r>
        <w:rPr>
          <w:color w:val="231F20"/>
          <w:w w:val="105"/>
        </w:rPr>
        <w:t>se coloca</w:t>
      </w:r>
      <w:r>
        <w:rPr>
          <w:color w:val="231F20"/>
          <w:spacing w:val="-21"/>
          <w:w w:val="105"/>
        </w:rPr>
        <w:t> </w:t>
      </w:r>
      <w:r>
        <w:rPr>
          <w:color w:val="231F20"/>
          <w:w w:val="105"/>
        </w:rPr>
        <w:t>en</w:t>
      </w:r>
      <w:r>
        <w:rPr>
          <w:color w:val="231F20"/>
          <w:spacing w:val="-21"/>
          <w:w w:val="105"/>
        </w:rPr>
        <w:t> </w:t>
      </w:r>
      <w:r>
        <w:rPr>
          <w:color w:val="231F20"/>
          <w:w w:val="105"/>
        </w:rPr>
        <w:t>cambio</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cúspide</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contradicción</w:t>
      </w:r>
      <w:r>
        <w:rPr>
          <w:color w:val="231F20"/>
          <w:spacing w:val="-21"/>
          <w:w w:val="105"/>
        </w:rPr>
        <w:t> </w:t>
      </w:r>
      <w:r>
        <w:rPr>
          <w:color w:val="231F20"/>
          <w:w w:val="105"/>
        </w:rPr>
        <w:t>entre</w:t>
      </w:r>
      <w:r>
        <w:rPr>
          <w:color w:val="231F20"/>
          <w:spacing w:val="-21"/>
          <w:w w:val="105"/>
        </w:rPr>
        <w:t> </w:t>
      </w:r>
      <w:r>
        <w:rPr>
          <w:color w:val="231F20"/>
          <w:w w:val="105"/>
        </w:rPr>
        <w:t>el</w:t>
      </w:r>
      <w:r>
        <w:rPr>
          <w:color w:val="231F20"/>
          <w:spacing w:val="-21"/>
          <w:w w:val="105"/>
        </w:rPr>
        <w:t> </w:t>
      </w:r>
      <w:r>
        <w:rPr>
          <w:color w:val="231F20"/>
          <w:w w:val="105"/>
        </w:rPr>
        <w:t>ordenamiento normativo de la sociedad y su organización. Esto lo hace porque, como veremos,</w:t>
      </w:r>
      <w:r>
        <w:rPr>
          <w:color w:val="231F20"/>
          <w:spacing w:val="-34"/>
          <w:w w:val="105"/>
        </w:rPr>
        <w:t> </w:t>
      </w:r>
      <w:r>
        <w:rPr>
          <w:color w:val="231F20"/>
          <w:w w:val="105"/>
        </w:rPr>
        <w:t>puede</w:t>
      </w:r>
      <w:r>
        <w:rPr>
          <w:color w:val="231F20"/>
          <w:spacing w:val="-34"/>
          <w:w w:val="105"/>
        </w:rPr>
        <w:t> </w:t>
      </w:r>
      <w:r>
        <w:rPr>
          <w:color w:val="231F20"/>
          <w:w w:val="105"/>
        </w:rPr>
        <w:t>utilizar</w:t>
      </w:r>
      <w:r>
        <w:rPr>
          <w:color w:val="231F20"/>
          <w:spacing w:val="-34"/>
          <w:w w:val="105"/>
        </w:rPr>
        <w:t> </w:t>
      </w:r>
      <w:r>
        <w:rPr>
          <w:color w:val="231F20"/>
          <w:w w:val="105"/>
        </w:rPr>
        <w:t>recursos</w:t>
      </w:r>
      <w:r>
        <w:rPr>
          <w:color w:val="231F20"/>
          <w:spacing w:val="-34"/>
          <w:w w:val="105"/>
        </w:rPr>
        <w:t> </w:t>
      </w:r>
      <w:r>
        <w:rPr>
          <w:color w:val="231F20"/>
          <w:w w:val="105"/>
        </w:rPr>
        <w:t>normativos</w:t>
      </w:r>
      <w:r>
        <w:rPr>
          <w:color w:val="231F20"/>
          <w:spacing w:val="-34"/>
          <w:w w:val="105"/>
        </w:rPr>
        <w:t> </w:t>
      </w:r>
      <w:r>
        <w:rPr>
          <w:color w:val="231F20"/>
          <w:w w:val="105"/>
        </w:rPr>
        <w:t>provenientes</w:t>
      </w:r>
      <w:r>
        <w:rPr>
          <w:color w:val="231F20"/>
          <w:spacing w:val="-34"/>
          <w:w w:val="105"/>
        </w:rPr>
        <w:t> </w:t>
      </w:r>
      <w:r>
        <w:rPr>
          <w:color w:val="231F20"/>
          <w:w w:val="105"/>
        </w:rPr>
        <w:t>de</w:t>
      </w:r>
      <w:r>
        <w:rPr>
          <w:color w:val="231F20"/>
          <w:spacing w:val="-34"/>
          <w:w w:val="105"/>
        </w:rPr>
        <w:t> </w:t>
      </w:r>
      <w:r>
        <w:rPr>
          <w:color w:val="231F20"/>
          <w:w w:val="105"/>
        </w:rPr>
        <w:t>los</w:t>
      </w:r>
      <w:r>
        <w:rPr>
          <w:color w:val="231F20"/>
          <w:spacing w:val="-34"/>
          <w:w w:val="105"/>
        </w:rPr>
        <w:t> </w:t>
      </w:r>
      <w:r>
        <w:rPr>
          <w:color w:val="231F20"/>
          <w:w w:val="105"/>
        </w:rPr>
        <w:t>procesos de</w:t>
      </w:r>
      <w:r>
        <w:rPr>
          <w:color w:val="231F20"/>
          <w:spacing w:val="-35"/>
          <w:w w:val="105"/>
        </w:rPr>
        <w:t> </w:t>
      </w:r>
      <w:r>
        <w:rPr>
          <w:color w:val="231F20"/>
          <w:w w:val="105"/>
        </w:rPr>
        <w:t>disciplinamiento</w:t>
      </w:r>
      <w:r>
        <w:rPr>
          <w:color w:val="231F20"/>
          <w:spacing w:val="-35"/>
          <w:w w:val="105"/>
        </w:rPr>
        <w:t> </w:t>
      </w:r>
      <w:r>
        <w:rPr>
          <w:color w:val="231F20"/>
          <w:w w:val="105"/>
        </w:rPr>
        <w:t>y</w:t>
      </w:r>
      <w:r>
        <w:rPr>
          <w:color w:val="231F20"/>
          <w:spacing w:val="-35"/>
          <w:w w:val="105"/>
        </w:rPr>
        <w:t> </w:t>
      </w:r>
      <w:r>
        <w:rPr>
          <w:color w:val="231F20"/>
          <w:w w:val="105"/>
        </w:rPr>
        <w:t>de</w:t>
      </w:r>
      <w:r>
        <w:rPr>
          <w:color w:val="231F20"/>
          <w:spacing w:val="-35"/>
          <w:w w:val="105"/>
        </w:rPr>
        <w:t> </w:t>
      </w:r>
      <w:r>
        <w:rPr>
          <w:color w:val="231F20"/>
          <w:w w:val="105"/>
        </w:rPr>
        <w:t>gubernamentalidad</w:t>
      </w:r>
      <w:r>
        <w:rPr>
          <w:color w:val="231F20"/>
          <w:spacing w:val="-35"/>
          <w:w w:val="105"/>
        </w:rPr>
        <w:t> </w:t>
      </w:r>
      <w:r>
        <w:rPr>
          <w:color w:val="231F20"/>
          <w:w w:val="105"/>
        </w:rPr>
        <w:t>para</w:t>
      </w:r>
      <w:r>
        <w:rPr>
          <w:color w:val="231F20"/>
          <w:spacing w:val="-35"/>
          <w:w w:val="105"/>
        </w:rPr>
        <w:t> </w:t>
      </w:r>
      <w:r>
        <w:rPr>
          <w:color w:val="231F20"/>
          <w:w w:val="105"/>
        </w:rPr>
        <w:t>garantizar</w:t>
      </w:r>
      <w:r>
        <w:rPr>
          <w:color w:val="231F20"/>
          <w:spacing w:val="-35"/>
          <w:w w:val="105"/>
        </w:rPr>
        <w:t> </w:t>
      </w:r>
      <w:r>
        <w:rPr>
          <w:color w:val="231F20"/>
          <w:w w:val="105"/>
        </w:rPr>
        <w:t>la</w:t>
      </w:r>
      <w:r>
        <w:rPr>
          <w:color w:val="231F20"/>
          <w:spacing w:val="-35"/>
          <w:w w:val="105"/>
        </w:rPr>
        <w:t> </w:t>
      </w:r>
      <w:r>
        <w:rPr>
          <w:color w:val="231F20"/>
          <w:w w:val="105"/>
        </w:rPr>
        <w:t>legitimidad de</w:t>
      </w:r>
      <w:r>
        <w:rPr>
          <w:color w:val="231F20"/>
          <w:spacing w:val="-16"/>
          <w:w w:val="105"/>
        </w:rPr>
        <w:t> </w:t>
      </w:r>
      <w:r>
        <w:rPr>
          <w:color w:val="231F20"/>
          <w:w w:val="105"/>
        </w:rPr>
        <w:t>sus</w:t>
      </w:r>
      <w:r>
        <w:rPr>
          <w:color w:val="231F20"/>
          <w:spacing w:val="-16"/>
          <w:w w:val="105"/>
        </w:rPr>
        <w:t> </w:t>
      </w:r>
      <w:r>
        <w:rPr>
          <w:color w:val="231F20"/>
          <w:w w:val="105"/>
        </w:rPr>
        <w:t>pretensiones</w:t>
      </w:r>
      <w:r>
        <w:rPr>
          <w:color w:val="231F20"/>
          <w:spacing w:val="-16"/>
          <w:w w:val="105"/>
        </w:rPr>
        <w:t> </w:t>
      </w:r>
      <w:r>
        <w:rPr>
          <w:color w:val="231F20"/>
          <w:w w:val="105"/>
        </w:rPr>
        <w:t>de</w:t>
      </w:r>
      <w:r>
        <w:rPr>
          <w:color w:val="231F20"/>
          <w:spacing w:val="-16"/>
          <w:w w:val="105"/>
        </w:rPr>
        <w:t> </w:t>
      </w:r>
      <w:r>
        <w:rPr>
          <w:color w:val="231F20"/>
          <w:w w:val="105"/>
        </w:rPr>
        <w:t>soberanía.</w:t>
      </w:r>
      <w:r>
        <w:rPr>
          <w:color w:val="231F20"/>
          <w:spacing w:val="-16"/>
          <w:w w:val="105"/>
        </w:rPr>
        <w:t> </w:t>
      </w:r>
      <w:r>
        <w:rPr>
          <w:color w:val="231F20"/>
          <w:w w:val="105"/>
        </w:rPr>
        <w:t>El</w:t>
      </w:r>
      <w:r>
        <w:rPr>
          <w:color w:val="231F20"/>
          <w:spacing w:val="-16"/>
          <w:w w:val="105"/>
        </w:rPr>
        <w:t> </w:t>
      </w:r>
      <w:r>
        <w:rPr>
          <w:color w:val="231F20"/>
          <w:w w:val="105"/>
        </w:rPr>
        <w:t>Estado</w:t>
      </w:r>
      <w:r>
        <w:rPr>
          <w:color w:val="231F20"/>
          <w:spacing w:val="-16"/>
          <w:w w:val="105"/>
        </w:rPr>
        <w:t> </w:t>
      </w:r>
      <w:r>
        <w:rPr>
          <w:color w:val="231F20"/>
          <w:w w:val="105"/>
        </w:rPr>
        <w:t>global</w:t>
      </w:r>
      <w:r>
        <w:rPr>
          <w:color w:val="231F20"/>
          <w:spacing w:val="-16"/>
          <w:w w:val="105"/>
        </w:rPr>
        <w:t> </w:t>
      </w:r>
      <w:r>
        <w:rPr>
          <w:color w:val="231F20"/>
          <w:w w:val="105"/>
        </w:rPr>
        <w:t>es</w:t>
      </w:r>
      <w:r>
        <w:rPr>
          <w:color w:val="231F20"/>
          <w:spacing w:val="-16"/>
          <w:w w:val="105"/>
        </w:rPr>
        <w:t> </w:t>
      </w:r>
      <w:r>
        <w:rPr>
          <w:color w:val="231F20"/>
          <w:w w:val="105"/>
        </w:rPr>
        <w:t>capaz</w:t>
      </w:r>
      <w:r>
        <w:rPr>
          <w:color w:val="231F20"/>
          <w:spacing w:val="-16"/>
          <w:w w:val="105"/>
        </w:rPr>
        <w:t> </w:t>
      </w:r>
      <w:r>
        <w:rPr>
          <w:color w:val="231F20"/>
          <w:w w:val="105"/>
        </w:rPr>
        <w:t>entonces</w:t>
      </w:r>
      <w:r>
        <w:rPr>
          <w:color w:val="231F20"/>
          <w:spacing w:val="-16"/>
          <w:w w:val="105"/>
        </w:rPr>
        <w:t> </w:t>
      </w:r>
      <w:r>
        <w:rPr>
          <w:color w:val="231F20"/>
          <w:w w:val="105"/>
        </w:rPr>
        <w:t>de garantizar</w:t>
      </w:r>
      <w:r>
        <w:rPr>
          <w:color w:val="231F20"/>
          <w:spacing w:val="-34"/>
          <w:w w:val="105"/>
        </w:rPr>
        <w:t> </w:t>
      </w:r>
      <w:r>
        <w:rPr>
          <w:color w:val="231F20"/>
          <w:w w:val="105"/>
        </w:rPr>
        <w:t>la</w:t>
      </w:r>
      <w:r>
        <w:rPr>
          <w:color w:val="231F20"/>
          <w:spacing w:val="-34"/>
          <w:w w:val="105"/>
        </w:rPr>
        <w:t> </w:t>
      </w:r>
      <w:r>
        <w:rPr>
          <w:color w:val="231F20"/>
          <w:w w:val="105"/>
        </w:rPr>
        <w:t>propia</w:t>
      </w:r>
      <w:r>
        <w:rPr>
          <w:color w:val="231F20"/>
          <w:spacing w:val="-34"/>
          <w:w w:val="105"/>
        </w:rPr>
        <w:t> </w:t>
      </w:r>
      <w:r>
        <w:rPr>
          <w:color w:val="231F20"/>
          <w:w w:val="105"/>
        </w:rPr>
        <w:t>continuidad</w:t>
      </w:r>
      <w:r>
        <w:rPr>
          <w:color w:val="231F20"/>
          <w:spacing w:val="-34"/>
          <w:w w:val="105"/>
        </w:rPr>
        <w:t> </w:t>
      </w:r>
      <w:r>
        <w:rPr>
          <w:color w:val="231F20"/>
          <w:w w:val="105"/>
        </w:rPr>
        <w:t>porque</w:t>
      </w:r>
      <w:r>
        <w:rPr>
          <w:color w:val="231F20"/>
          <w:spacing w:val="-34"/>
          <w:w w:val="105"/>
        </w:rPr>
        <w:t> </w:t>
      </w:r>
      <w:r>
        <w:rPr>
          <w:color w:val="231F20"/>
          <w:w w:val="105"/>
        </w:rPr>
        <w:t>puede</w:t>
      </w:r>
      <w:r>
        <w:rPr>
          <w:color w:val="231F20"/>
          <w:spacing w:val="-34"/>
          <w:w w:val="105"/>
        </w:rPr>
        <w:t> </w:t>
      </w:r>
      <w:r>
        <w:rPr>
          <w:color w:val="231F20"/>
          <w:w w:val="105"/>
        </w:rPr>
        <w:t>utilizar</w:t>
      </w:r>
      <w:r>
        <w:rPr>
          <w:color w:val="231F20"/>
          <w:spacing w:val="-34"/>
          <w:w w:val="105"/>
        </w:rPr>
        <w:t> </w:t>
      </w:r>
      <w:r>
        <w:rPr>
          <w:color w:val="231F20"/>
          <w:w w:val="105"/>
        </w:rPr>
        <w:t>ordenamientos</w:t>
      </w:r>
      <w:r>
        <w:rPr>
          <w:color w:val="231F20"/>
          <w:spacing w:val="-34"/>
          <w:w w:val="105"/>
        </w:rPr>
        <w:t> </w:t>
      </w:r>
      <w:r>
        <w:rPr>
          <w:color w:val="231F20"/>
          <w:spacing w:val="-3"/>
          <w:w w:val="105"/>
        </w:rPr>
        <w:t>nor- </w:t>
      </w:r>
      <w:r>
        <w:rPr>
          <w:color w:val="231F20"/>
          <w:w w:val="105"/>
        </w:rPr>
        <w:t>mativos</w:t>
      </w:r>
      <w:r>
        <w:rPr>
          <w:color w:val="231F20"/>
          <w:spacing w:val="-18"/>
          <w:w w:val="105"/>
        </w:rPr>
        <w:t> </w:t>
      </w:r>
      <w:r>
        <w:rPr>
          <w:color w:val="231F20"/>
          <w:w w:val="105"/>
        </w:rPr>
        <w:t>que</w:t>
      </w:r>
      <w:r>
        <w:rPr>
          <w:color w:val="231F20"/>
          <w:spacing w:val="-18"/>
          <w:w w:val="105"/>
        </w:rPr>
        <w:t> </w:t>
      </w:r>
      <w:r>
        <w:rPr>
          <w:color w:val="231F20"/>
          <w:w w:val="105"/>
        </w:rPr>
        <w:t>no</w:t>
      </w:r>
      <w:r>
        <w:rPr>
          <w:color w:val="231F20"/>
          <w:spacing w:val="-18"/>
          <w:w w:val="105"/>
        </w:rPr>
        <w:t> </w:t>
      </w:r>
      <w:r>
        <w:rPr>
          <w:color w:val="231F20"/>
          <w:w w:val="105"/>
        </w:rPr>
        <w:t>produce</w:t>
      </w:r>
      <w:r>
        <w:rPr>
          <w:color w:val="231F20"/>
          <w:spacing w:val="-18"/>
          <w:w w:val="105"/>
        </w:rPr>
        <w:t> </w:t>
      </w:r>
      <w:r>
        <w:rPr>
          <w:color w:val="231F20"/>
          <w:w w:val="105"/>
        </w:rPr>
        <w:t>y</w:t>
      </w:r>
      <w:r>
        <w:rPr>
          <w:color w:val="231F20"/>
          <w:spacing w:val="-18"/>
          <w:w w:val="105"/>
        </w:rPr>
        <w:t> </w:t>
      </w:r>
      <w:r>
        <w:rPr>
          <w:color w:val="231F20"/>
          <w:w w:val="105"/>
        </w:rPr>
        <w:t>que</w:t>
      </w:r>
      <w:r>
        <w:rPr>
          <w:color w:val="231F20"/>
          <w:spacing w:val="-18"/>
          <w:w w:val="105"/>
        </w:rPr>
        <w:t> </w:t>
      </w:r>
      <w:r>
        <w:rPr>
          <w:color w:val="231F20"/>
          <w:w w:val="105"/>
        </w:rPr>
        <w:t>ni</w:t>
      </w:r>
      <w:r>
        <w:rPr>
          <w:color w:val="231F20"/>
          <w:spacing w:val="-18"/>
          <w:w w:val="105"/>
        </w:rPr>
        <w:t> </w:t>
      </w:r>
      <w:r>
        <w:rPr>
          <w:color w:val="231F20"/>
          <w:w w:val="105"/>
        </w:rPr>
        <w:t>siquiera</w:t>
      </w:r>
      <w:r>
        <w:rPr>
          <w:color w:val="231F20"/>
          <w:spacing w:val="-18"/>
          <w:w w:val="105"/>
        </w:rPr>
        <w:t> </w:t>
      </w:r>
      <w:r>
        <w:rPr>
          <w:color w:val="231F20"/>
          <w:w w:val="105"/>
        </w:rPr>
        <w:t>legitima.</w:t>
      </w:r>
      <w:r>
        <w:rPr>
          <w:color w:val="231F20"/>
          <w:spacing w:val="-18"/>
          <w:w w:val="105"/>
        </w:rPr>
        <w:t> </w:t>
      </w:r>
      <w:r>
        <w:rPr>
          <w:color w:val="231F20"/>
          <w:w w:val="105"/>
        </w:rPr>
        <w:t>Los</w:t>
      </w:r>
      <w:r>
        <w:rPr>
          <w:color w:val="231F20"/>
          <w:spacing w:val="-18"/>
          <w:w w:val="105"/>
        </w:rPr>
        <w:t> </w:t>
      </w:r>
      <w:r>
        <w:rPr>
          <w:color w:val="231F20"/>
          <w:w w:val="105"/>
        </w:rPr>
        <w:t>procesos</w:t>
      </w:r>
      <w:r>
        <w:rPr>
          <w:color w:val="231F20"/>
          <w:spacing w:val="-18"/>
          <w:w w:val="105"/>
        </w:rPr>
        <w:t> </w:t>
      </w:r>
      <w:r>
        <w:rPr>
          <w:color w:val="231F20"/>
          <w:w w:val="105"/>
        </w:rPr>
        <w:t>de</w:t>
      </w:r>
      <w:r>
        <w:rPr>
          <w:color w:val="231F20"/>
          <w:spacing w:val="-18"/>
          <w:w w:val="105"/>
        </w:rPr>
        <w:t> </w:t>
      </w:r>
      <w:r>
        <w:rPr>
          <w:color w:val="231F20"/>
          <w:w w:val="105"/>
        </w:rPr>
        <w:t>disci- plinamiento</w:t>
      </w:r>
      <w:r>
        <w:rPr>
          <w:color w:val="231F20"/>
          <w:spacing w:val="-22"/>
          <w:w w:val="105"/>
        </w:rPr>
        <w:t> </w:t>
      </w:r>
      <w:r>
        <w:rPr>
          <w:color w:val="231F20"/>
          <w:w w:val="105"/>
        </w:rPr>
        <w:t>y</w:t>
      </w:r>
      <w:r>
        <w:rPr>
          <w:color w:val="231F20"/>
          <w:spacing w:val="-22"/>
          <w:w w:val="105"/>
        </w:rPr>
        <w:t> </w:t>
      </w:r>
      <w:r>
        <w:rPr>
          <w:color w:val="231F20"/>
          <w:w w:val="105"/>
        </w:rPr>
        <w:t>de</w:t>
      </w:r>
      <w:r>
        <w:rPr>
          <w:color w:val="231F20"/>
          <w:spacing w:val="-22"/>
          <w:w w:val="105"/>
        </w:rPr>
        <w:t> </w:t>
      </w:r>
      <w:r>
        <w:rPr>
          <w:color w:val="231F20"/>
          <w:w w:val="105"/>
        </w:rPr>
        <w:t>gubernamentalidad</w:t>
      </w:r>
      <w:r>
        <w:rPr>
          <w:color w:val="231F20"/>
          <w:spacing w:val="-22"/>
          <w:w w:val="105"/>
        </w:rPr>
        <w:t> </w:t>
      </w:r>
      <w:r>
        <w:rPr>
          <w:color w:val="231F20"/>
          <w:w w:val="105"/>
        </w:rPr>
        <w:t>no</w:t>
      </w:r>
      <w:r>
        <w:rPr>
          <w:color w:val="231F20"/>
          <w:spacing w:val="-22"/>
          <w:w w:val="105"/>
        </w:rPr>
        <w:t> </w:t>
      </w:r>
      <w:r>
        <w:rPr>
          <w:color w:val="231F20"/>
          <w:w w:val="105"/>
        </w:rPr>
        <w:t>representan</w:t>
      </w:r>
      <w:r>
        <w:rPr>
          <w:color w:val="231F20"/>
          <w:spacing w:val="-22"/>
          <w:w w:val="105"/>
        </w:rPr>
        <w:t> </w:t>
      </w:r>
      <w:r>
        <w:rPr>
          <w:color w:val="231F20"/>
          <w:w w:val="105"/>
        </w:rPr>
        <w:t>ni</w:t>
      </w:r>
      <w:r>
        <w:rPr>
          <w:color w:val="231F20"/>
          <w:spacing w:val="-22"/>
          <w:w w:val="105"/>
        </w:rPr>
        <w:t> </w:t>
      </w:r>
      <w:r>
        <w:rPr>
          <w:color w:val="231F20"/>
          <w:w w:val="105"/>
        </w:rPr>
        <w:t>una</w:t>
      </w:r>
      <w:r>
        <w:rPr>
          <w:color w:val="231F20"/>
          <w:spacing w:val="-22"/>
          <w:w w:val="105"/>
        </w:rPr>
        <w:t> </w:t>
      </w:r>
      <w:r>
        <w:rPr>
          <w:color w:val="231F20"/>
          <w:w w:val="105"/>
        </w:rPr>
        <w:t>alternativa</w:t>
      </w:r>
      <w:r>
        <w:rPr>
          <w:color w:val="231F20"/>
          <w:spacing w:val="-22"/>
          <w:w w:val="105"/>
        </w:rPr>
        <w:t> </w:t>
      </w:r>
      <w:r>
        <w:rPr>
          <w:color w:val="231F20"/>
          <w:w w:val="105"/>
        </w:rPr>
        <w:t>ni una</w:t>
      </w:r>
      <w:r>
        <w:rPr>
          <w:color w:val="231F20"/>
          <w:spacing w:val="-36"/>
          <w:w w:val="105"/>
        </w:rPr>
        <w:t> </w:t>
      </w:r>
      <w:r>
        <w:rPr>
          <w:color w:val="231F20"/>
          <w:w w:val="105"/>
        </w:rPr>
        <w:t>contradicción</w:t>
      </w:r>
      <w:r>
        <w:rPr>
          <w:color w:val="231F20"/>
          <w:spacing w:val="-36"/>
          <w:w w:val="105"/>
        </w:rPr>
        <w:t> </w:t>
      </w:r>
      <w:r>
        <w:rPr>
          <w:color w:val="231F20"/>
          <w:w w:val="105"/>
        </w:rPr>
        <w:t>incurables</w:t>
      </w:r>
      <w:r>
        <w:rPr>
          <w:color w:val="231F20"/>
          <w:spacing w:val="-36"/>
          <w:w w:val="105"/>
        </w:rPr>
        <w:t> </w:t>
      </w:r>
      <w:r>
        <w:rPr>
          <w:color w:val="231F20"/>
          <w:w w:val="105"/>
        </w:rPr>
        <w:t>para</w:t>
      </w:r>
      <w:r>
        <w:rPr>
          <w:color w:val="231F20"/>
          <w:spacing w:val="-36"/>
          <w:w w:val="105"/>
        </w:rPr>
        <w:t> </w:t>
      </w:r>
      <w:r>
        <w:rPr>
          <w:color w:val="231F20"/>
          <w:w w:val="105"/>
        </w:rPr>
        <w:t>la</w:t>
      </w:r>
      <w:r>
        <w:rPr>
          <w:color w:val="231F20"/>
          <w:spacing w:val="-36"/>
          <w:w w:val="105"/>
        </w:rPr>
        <w:t> </w:t>
      </w:r>
      <w:r>
        <w:rPr>
          <w:color w:val="231F20"/>
          <w:w w:val="105"/>
        </w:rPr>
        <w:t>soberanía</w:t>
      </w:r>
      <w:r>
        <w:rPr>
          <w:color w:val="231F20"/>
          <w:spacing w:val="-36"/>
          <w:w w:val="105"/>
        </w:rPr>
        <w:t> </w:t>
      </w:r>
      <w:r>
        <w:rPr>
          <w:color w:val="231F20"/>
          <w:w w:val="105"/>
        </w:rPr>
        <w:t>del</w:t>
      </w:r>
      <w:r>
        <w:rPr>
          <w:color w:val="231F20"/>
          <w:spacing w:val="-36"/>
          <w:w w:val="105"/>
        </w:rPr>
        <w:t> </w:t>
      </w:r>
      <w:r>
        <w:rPr>
          <w:color w:val="231F20"/>
          <w:w w:val="105"/>
        </w:rPr>
        <w:t>Estado.</w:t>
      </w:r>
      <w:r>
        <w:rPr>
          <w:color w:val="231F20"/>
          <w:spacing w:val="-36"/>
          <w:w w:val="105"/>
        </w:rPr>
        <w:t> </w:t>
      </w:r>
      <w:r>
        <w:rPr>
          <w:color w:val="231F20"/>
          <w:w w:val="105"/>
        </w:rPr>
        <w:t>La</w:t>
      </w:r>
      <w:r>
        <w:rPr>
          <w:color w:val="231F20"/>
          <w:spacing w:val="-36"/>
          <w:w w:val="105"/>
        </w:rPr>
        <w:t> </w:t>
      </w:r>
      <w:r>
        <w:rPr>
          <w:color w:val="231F20"/>
          <w:w w:val="105"/>
        </w:rPr>
        <w:t>multiplicidad</w:t>
      </w:r>
    </w:p>
    <w:p>
      <w:pPr>
        <w:pStyle w:val="BodyText"/>
        <w:rPr>
          <w:sz w:val="20"/>
        </w:rPr>
      </w:pPr>
    </w:p>
    <w:p>
      <w:pPr>
        <w:pStyle w:val="BodyText"/>
        <w:spacing w:before="5"/>
        <w:rPr>
          <w:sz w:val="14"/>
        </w:rPr>
      </w:pPr>
      <w:r>
        <w:rPr/>
        <w:pict>
          <v:line style="position:absolute;mso-position-horizontal-relative:page;mso-position-vertical-relative:paragraph;z-index:3160;mso-wrap-distance-left:0;mso-wrap-distance-right:0" from="65.1968pt,10.820865pt" to="178.5828pt,10.820865pt" stroked="true" strokeweight=".3pt" strokecolor="#231f20">
            <w10:wrap type="topAndBottom"/>
          </v:line>
        </w:pict>
      </w:r>
    </w:p>
    <w:p>
      <w:pPr>
        <w:spacing w:line="204" w:lineRule="exact" w:before="8"/>
        <w:ind w:left="103" w:right="115" w:firstLine="0"/>
        <w:jc w:val="both"/>
        <w:rPr>
          <w:rFonts w:ascii="Calibri" w:hAnsi="Calibri"/>
          <w:sz w:val="17"/>
        </w:rPr>
      </w:pPr>
      <w:r>
        <w:rPr>
          <w:rFonts w:ascii="Calibri" w:hAnsi="Calibri"/>
          <w:color w:val="231F20"/>
          <w:position w:val="6"/>
          <w:sz w:val="10"/>
        </w:rPr>
        <w:t>36</w:t>
      </w:r>
      <w:r>
        <w:rPr>
          <w:rFonts w:ascii="Calibri" w:hAnsi="Calibri"/>
          <w:color w:val="231F20"/>
          <w:spacing w:val="11"/>
          <w:position w:val="6"/>
          <w:sz w:val="10"/>
        </w:rPr>
        <w:t> </w:t>
      </w:r>
      <w:r>
        <w:rPr>
          <w:rFonts w:ascii="Calibri" w:hAnsi="Calibri"/>
          <w:color w:val="231F20"/>
          <w:sz w:val="17"/>
        </w:rPr>
        <w:t>M.</w:t>
      </w:r>
      <w:r>
        <w:rPr>
          <w:rFonts w:ascii="Calibri" w:hAnsi="Calibri"/>
          <w:color w:val="231F20"/>
          <w:spacing w:val="-4"/>
          <w:sz w:val="17"/>
        </w:rPr>
        <w:t> </w:t>
      </w:r>
      <w:r>
        <w:rPr>
          <w:rFonts w:ascii="Calibri" w:hAnsi="Calibri"/>
          <w:color w:val="231F20"/>
          <w:sz w:val="17"/>
        </w:rPr>
        <w:t>Ricciardi,</w:t>
      </w:r>
      <w:r>
        <w:rPr>
          <w:rFonts w:ascii="Calibri" w:hAnsi="Calibri"/>
          <w:color w:val="231F20"/>
          <w:spacing w:val="-4"/>
          <w:sz w:val="17"/>
        </w:rPr>
        <w:t> </w:t>
      </w:r>
      <w:r>
        <w:rPr>
          <w:rFonts w:ascii="Calibri" w:hAnsi="Calibri"/>
          <w:i/>
          <w:color w:val="231F20"/>
          <w:sz w:val="17"/>
        </w:rPr>
        <w:t>The</w:t>
      </w:r>
      <w:r>
        <w:rPr>
          <w:rFonts w:ascii="Calibri" w:hAnsi="Calibri"/>
          <w:i/>
          <w:color w:val="231F20"/>
          <w:spacing w:val="-5"/>
          <w:sz w:val="17"/>
        </w:rPr>
        <w:t> </w:t>
      </w:r>
      <w:r>
        <w:rPr>
          <w:rFonts w:ascii="Calibri" w:hAnsi="Calibri"/>
          <w:i/>
          <w:color w:val="231F20"/>
          <w:sz w:val="17"/>
        </w:rPr>
        <w:t>Stalemate</w:t>
      </w:r>
      <w:r>
        <w:rPr>
          <w:rFonts w:ascii="Calibri" w:hAnsi="Calibri"/>
          <w:i/>
          <w:color w:val="231F20"/>
          <w:spacing w:val="-5"/>
          <w:sz w:val="17"/>
        </w:rPr>
        <w:t> </w:t>
      </w:r>
      <w:r>
        <w:rPr>
          <w:rFonts w:ascii="Calibri" w:hAnsi="Calibri"/>
          <w:i/>
          <w:color w:val="231F20"/>
          <w:sz w:val="17"/>
        </w:rPr>
        <w:t>of</w:t>
      </w:r>
      <w:r>
        <w:rPr>
          <w:rFonts w:ascii="Calibri" w:hAnsi="Calibri"/>
          <w:i/>
          <w:color w:val="231F20"/>
          <w:spacing w:val="-5"/>
          <w:sz w:val="17"/>
        </w:rPr>
        <w:t> </w:t>
      </w:r>
      <w:r>
        <w:rPr>
          <w:rFonts w:ascii="Calibri" w:hAnsi="Calibri"/>
          <w:i/>
          <w:color w:val="231F20"/>
          <w:sz w:val="17"/>
        </w:rPr>
        <w:t>Sovereignty:</w:t>
      </w:r>
      <w:r>
        <w:rPr>
          <w:rFonts w:ascii="Calibri" w:hAnsi="Calibri"/>
          <w:i/>
          <w:color w:val="231F20"/>
          <w:spacing w:val="-7"/>
          <w:sz w:val="17"/>
        </w:rPr>
        <w:t> </w:t>
      </w:r>
      <w:r>
        <w:rPr>
          <w:rFonts w:ascii="Calibri" w:hAnsi="Calibri"/>
          <w:i/>
          <w:color w:val="231F20"/>
          <w:sz w:val="17"/>
        </w:rPr>
        <w:t>Talcott</w:t>
      </w:r>
      <w:r>
        <w:rPr>
          <w:rFonts w:ascii="Calibri" w:hAnsi="Calibri"/>
          <w:i/>
          <w:color w:val="231F20"/>
          <w:spacing w:val="-5"/>
          <w:sz w:val="17"/>
        </w:rPr>
        <w:t> </w:t>
      </w:r>
      <w:r>
        <w:rPr>
          <w:rFonts w:ascii="Calibri" w:hAnsi="Calibri"/>
          <w:i/>
          <w:color w:val="231F20"/>
          <w:sz w:val="17"/>
        </w:rPr>
        <w:t>Parsons</w:t>
      </w:r>
      <w:r>
        <w:rPr>
          <w:rFonts w:ascii="Calibri" w:hAnsi="Calibri"/>
          <w:i/>
          <w:color w:val="231F20"/>
          <w:spacing w:val="-5"/>
          <w:sz w:val="17"/>
        </w:rPr>
        <w:t> </w:t>
      </w:r>
      <w:r>
        <w:rPr>
          <w:rFonts w:ascii="Calibri" w:hAnsi="Calibri"/>
          <w:i/>
          <w:color w:val="231F20"/>
          <w:sz w:val="17"/>
        </w:rPr>
        <w:t>and</w:t>
      </w:r>
      <w:r>
        <w:rPr>
          <w:rFonts w:ascii="Calibri" w:hAnsi="Calibri"/>
          <w:i/>
          <w:color w:val="231F20"/>
          <w:spacing w:val="-5"/>
          <w:sz w:val="17"/>
        </w:rPr>
        <w:t> </w:t>
      </w:r>
      <w:r>
        <w:rPr>
          <w:rFonts w:ascii="Calibri" w:hAnsi="Calibri"/>
          <w:i/>
          <w:color w:val="231F20"/>
          <w:sz w:val="17"/>
        </w:rPr>
        <w:t>the</w:t>
      </w:r>
      <w:r>
        <w:rPr>
          <w:rFonts w:ascii="Calibri" w:hAnsi="Calibri"/>
          <w:i/>
          <w:color w:val="231F20"/>
          <w:spacing w:val="-5"/>
          <w:sz w:val="17"/>
        </w:rPr>
        <w:t> </w:t>
      </w:r>
      <w:r>
        <w:rPr>
          <w:rFonts w:ascii="Calibri" w:hAnsi="Calibri"/>
          <w:i/>
          <w:color w:val="231F20"/>
          <w:sz w:val="17"/>
        </w:rPr>
        <w:t>Eve</w:t>
      </w:r>
      <w:r>
        <w:rPr>
          <w:rFonts w:ascii="Calibri" w:hAnsi="Calibri"/>
          <w:i/>
          <w:color w:val="231F20"/>
          <w:spacing w:val="-5"/>
          <w:sz w:val="17"/>
        </w:rPr>
        <w:t> </w:t>
      </w:r>
      <w:r>
        <w:rPr>
          <w:rFonts w:ascii="Calibri" w:hAnsi="Calibri"/>
          <w:i/>
          <w:color w:val="231F20"/>
          <w:sz w:val="17"/>
        </w:rPr>
        <w:t>of</w:t>
      </w:r>
      <w:r>
        <w:rPr>
          <w:rFonts w:ascii="Calibri" w:hAnsi="Calibri"/>
          <w:i/>
          <w:color w:val="231F20"/>
          <w:spacing w:val="-5"/>
          <w:sz w:val="17"/>
        </w:rPr>
        <w:t> </w:t>
      </w:r>
      <w:r>
        <w:rPr>
          <w:rFonts w:ascii="Calibri" w:hAnsi="Calibri"/>
          <w:i/>
          <w:color w:val="231F20"/>
          <w:sz w:val="17"/>
        </w:rPr>
        <w:t>a</w:t>
      </w:r>
      <w:r>
        <w:rPr>
          <w:rFonts w:ascii="Calibri" w:hAnsi="Calibri"/>
          <w:i/>
          <w:color w:val="231F20"/>
          <w:spacing w:val="-5"/>
          <w:sz w:val="17"/>
        </w:rPr>
        <w:t> </w:t>
      </w:r>
      <w:r>
        <w:rPr>
          <w:rFonts w:ascii="Calibri" w:hAnsi="Calibri"/>
          <w:i/>
          <w:color w:val="231F20"/>
          <w:sz w:val="17"/>
        </w:rPr>
        <w:t>Global</w:t>
      </w:r>
      <w:r>
        <w:rPr>
          <w:rFonts w:ascii="Calibri" w:hAnsi="Calibri"/>
          <w:i/>
          <w:color w:val="231F20"/>
          <w:spacing w:val="-5"/>
          <w:sz w:val="17"/>
        </w:rPr>
        <w:t> </w:t>
      </w:r>
      <w:r>
        <w:rPr>
          <w:rFonts w:ascii="Calibri" w:hAnsi="Calibri"/>
          <w:i/>
          <w:color w:val="231F20"/>
          <w:sz w:val="17"/>
        </w:rPr>
        <w:t>Social</w:t>
      </w:r>
      <w:r>
        <w:rPr>
          <w:rFonts w:ascii="Calibri" w:hAnsi="Calibri"/>
          <w:i/>
          <w:color w:val="231F20"/>
          <w:spacing w:val="-5"/>
          <w:sz w:val="17"/>
        </w:rPr>
        <w:t> </w:t>
      </w:r>
      <w:r>
        <w:rPr>
          <w:rFonts w:ascii="Calibri" w:hAnsi="Calibri"/>
          <w:i/>
          <w:color w:val="231F20"/>
          <w:sz w:val="17"/>
        </w:rPr>
        <w:t>System</w:t>
      </w:r>
      <w:r>
        <w:rPr>
          <w:rFonts w:ascii="Calibri" w:hAnsi="Calibri"/>
          <w:color w:val="231F20"/>
          <w:sz w:val="17"/>
        </w:rPr>
        <w:t>,</w:t>
      </w:r>
      <w:r>
        <w:rPr>
          <w:rFonts w:ascii="Calibri" w:hAnsi="Calibri"/>
          <w:color w:val="231F20"/>
          <w:spacing w:val="-4"/>
          <w:sz w:val="17"/>
        </w:rPr>
        <w:t> </w:t>
      </w:r>
      <w:r>
        <w:rPr>
          <w:rFonts w:ascii="Calibri" w:hAnsi="Calibri"/>
          <w:color w:val="231F20"/>
          <w:spacing w:val="-7"/>
          <w:sz w:val="17"/>
        </w:rPr>
        <w:t>F. </w:t>
      </w:r>
      <w:r>
        <w:rPr>
          <w:rFonts w:ascii="Calibri" w:hAnsi="Calibri"/>
          <w:color w:val="231F20"/>
          <w:sz w:val="17"/>
        </w:rPr>
        <w:t>Fasce, M. Vaudagna y R. Baritono (Eds.), </w:t>
      </w:r>
      <w:r>
        <w:rPr>
          <w:rFonts w:ascii="Calibri" w:hAnsi="Calibri"/>
          <w:i/>
          <w:color w:val="231F20"/>
          <w:sz w:val="17"/>
        </w:rPr>
        <w:t>Beyond the Nation: Pushing the Boundaries of U.S. History </w:t>
      </w:r>
      <w:r>
        <w:rPr>
          <w:rFonts w:ascii="Calibri" w:hAnsi="Calibri"/>
          <w:i/>
          <w:color w:val="231F20"/>
          <w:sz w:val="17"/>
        </w:rPr>
        <w:t>from</w:t>
      </w:r>
      <w:r>
        <w:rPr>
          <w:rFonts w:ascii="Calibri" w:hAnsi="Calibri"/>
          <w:i/>
          <w:color w:val="231F20"/>
          <w:spacing w:val="-9"/>
          <w:sz w:val="17"/>
        </w:rPr>
        <w:t> </w:t>
      </w:r>
      <w:r>
        <w:rPr>
          <w:rFonts w:ascii="Calibri" w:hAnsi="Calibri"/>
          <w:i/>
          <w:color w:val="231F20"/>
          <w:sz w:val="17"/>
        </w:rPr>
        <w:t>a</w:t>
      </w:r>
      <w:r>
        <w:rPr>
          <w:rFonts w:ascii="Calibri" w:hAnsi="Calibri"/>
          <w:i/>
          <w:color w:val="231F20"/>
          <w:spacing w:val="-12"/>
          <w:sz w:val="17"/>
        </w:rPr>
        <w:t> </w:t>
      </w:r>
      <w:r>
        <w:rPr>
          <w:rFonts w:ascii="Calibri" w:hAnsi="Calibri"/>
          <w:i/>
          <w:color w:val="231F20"/>
          <w:sz w:val="17"/>
        </w:rPr>
        <w:t>Transatlantic</w:t>
      </w:r>
      <w:r>
        <w:rPr>
          <w:rFonts w:ascii="Calibri" w:hAnsi="Calibri"/>
          <w:i/>
          <w:color w:val="231F20"/>
          <w:spacing w:val="-9"/>
          <w:sz w:val="17"/>
        </w:rPr>
        <w:t> </w:t>
      </w:r>
      <w:r>
        <w:rPr>
          <w:rFonts w:ascii="Calibri" w:hAnsi="Calibri"/>
          <w:i/>
          <w:color w:val="231F20"/>
          <w:sz w:val="17"/>
        </w:rPr>
        <w:t>Perspective</w:t>
      </w:r>
      <w:r>
        <w:rPr>
          <w:rFonts w:ascii="Calibri" w:hAnsi="Calibri"/>
          <w:color w:val="231F20"/>
          <w:sz w:val="17"/>
        </w:rPr>
        <w:t>,</w:t>
      </w:r>
      <w:r>
        <w:rPr>
          <w:rFonts w:ascii="Calibri" w:hAnsi="Calibri"/>
          <w:color w:val="231F20"/>
          <w:spacing w:val="-12"/>
          <w:sz w:val="17"/>
        </w:rPr>
        <w:t> </w:t>
      </w:r>
      <w:r>
        <w:rPr>
          <w:rFonts w:ascii="Calibri" w:hAnsi="Calibri"/>
          <w:color w:val="231F20"/>
          <w:sz w:val="17"/>
        </w:rPr>
        <w:t>Torino,</w:t>
      </w:r>
      <w:r>
        <w:rPr>
          <w:rFonts w:ascii="Calibri" w:hAnsi="Calibri"/>
          <w:color w:val="231F20"/>
          <w:spacing w:val="-8"/>
          <w:sz w:val="17"/>
        </w:rPr>
        <w:t> </w:t>
      </w:r>
      <w:r>
        <w:rPr>
          <w:rFonts w:ascii="Calibri" w:hAnsi="Calibri"/>
          <w:color w:val="231F20"/>
          <w:sz w:val="17"/>
        </w:rPr>
        <w:t>Otto,</w:t>
      </w:r>
      <w:r>
        <w:rPr>
          <w:rFonts w:ascii="Calibri" w:hAnsi="Calibri"/>
          <w:color w:val="231F20"/>
          <w:spacing w:val="-8"/>
          <w:sz w:val="17"/>
        </w:rPr>
        <w:t> </w:t>
      </w:r>
      <w:r>
        <w:rPr>
          <w:rFonts w:ascii="Calibri" w:hAnsi="Calibri"/>
          <w:color w:val="231F20"/>
          <w:sz w:val="17"/>
        </w:rPr>
        <w:t>2013,</w:t>
      </w:r>
      <w:r>
        <w:rPr>
          <w:rFonts w:ascii="Calibri" w:hAnsi="Calibri"/>
          <w:color w:val="231F20"/>
          <w:spacing w:val="-8"/>
          <w:sz w:val="17"/>
        </w:rPr>
        <w:t> </w:t>
      </w:r>
      <w:r>
        <w:rPr>
          <w:rFonts w:ascii="Calibri" w:hAnsi="Calibri"/>
          <w:color w:val="231F20"/>
          <w:sz w:val="17"/>
        </w:rPr>
        <w:t>pp.</w:t>
      </w:r>
      <w:r>
        <w:rPr>
          <w:rFonts w:ascii="Calibri" w:hAnsi="Calibri"/>
          <w:color w:val="231F20"/>
          <w:spacing w:val="-8"/>
          <w:sz w:val="17"/>
        </w:rPr>
        <w:t> </w:t>
      </w:r>
      <w:r>
        <w:rPr>
          <w:rFonts w:ascii="Calibri" w:hAnsi="Calibri"/>
          <w:color w:val="231F20"/>
          <w:sz w:val="17"/>
        </w:rPr>
        <w:t>205–224.</w:t>
      </w:r>
    </w:p>
    <w:p>
      <w:pPr>
        <w:spacing w:before="1"/>
        <w:ind w:left="103" w:right="0" w:firstLine="0"/>
        <w:jc w:val="both"/>
        <w:rPr>
          <w:rFonts w:ascii="Calibri"/>
          <w:sz w:val="17"/>
        </w:rPr>
      </w:pPr>
      <w:r>
        <w:rPr>
          <w:rFonts w:ascii="Calibri"/>
          <w:color w:val="231F20"/>
          <w:position w:val="6"/>
          <w:sz w:val="10"/>
        </w:rPr>
        <w:t>37 </w:t>
      </w:r>
      <w:r>
        <w:rPr>
          <w:rFonts w:ascii="Calibri"/>
          <w:color w:val="231F20"/>
          <w:sz w:val="17"/>
        </w:rPr>
        <w:t>S. Picciotto, </w:t>
      </w:r>
      <w:r>
        <w:rPr>
          <w:rFonts w:ascii="Calibri"/>
          <w:i/>
          <w:color w:val="231F20"/>
          <w:sz w:val="17"/>
        </w:rPr>
        <w:t>Regulating Global Corporate Capitalism</w:t>
      </w:r>
      <w:r>
        <w:rPr>
          <w:rFonts w:ascii="Calibri"/>
          <w:color w:val="231F20"/>
          <w:sz w:val="17"/>
        </w:rPr>
        <w:t>, Cambridge, Cambridge University Press, 2011.</w:t>
      </w:r>
    </w:p>
    <w:p>
      <w:pPr>
        <w:pStyle w:val="BodyText"/>
        <w:rPr>
          <w:rFonts w:ascii="Calibri"/>
          <w:sz w:val="20"/>
        </w:rPr>
      </w:pPr>
    </w:p>
    <w:p>
      <w:pPr>
        <w:pStyle w:val="BodyText"/>
        <w:spacing w:before="9"/>
        <w:rPr>
          <w:rFonts w:ascii="Calibri"/>
          <w:sz w:val="27"/>
        </w:rPr>
      </w:pPr>
    </w:p>
    <w:p>
      <w:pPr>
        <w:tabs>
          <w:tab w:pos="1331" w:val="left" w:leader="none"/>
        </w:tabs>
        <w:spacing w:before="68"/>
        <w:ind w:left="281" w:right="0" w:firstLine="0"/>
        <w:jc w:val="left"/>
        <w:rPr>
          <w:rFonts w:ascii="Calibri"/>
          <w:sz w:val="16"/>
        </w:rPr>
      </w:pPr>
      <w:r>
        <w:rPr/>
        <w:pict>
          <v:group style="position:absolute;margin-left:98.787804pt;margin-top:-3.358812pt;width:20.4pt;height:43pt;mso-position-horizontal-relative:page;mso-position-vertical-relative:paragraph;z-index:-172216"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48</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861" w:right="0" w:firstLine="0"/>
        <w:jc w:val="left"/>
        <w:rPr>
          <w:rFonts w:ascii="Arial" w:hAnsi="Arial"/>
          <w:sz w:val="20"/>
        </w:rPr>
      </w:pPr>
      <w:r>
        <w:rPr/>
        <w:pict>
          <v:group style="position:absolute;margin-left:383.821014pt;margin-top:-25.479271pt;width:8.65pt;height:41pt;mso-position-horizontal-relative:page;mso-position-vertical-relative:paragraph;z-index:-17216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3"/>
          <w:sz w:val="14"/>
        </w:rPr>
        <w:t> </w:t>
      </w:r>
      <w:r>
        <w:rPr>
          <w:rFonts w:ascii="Lucida Sans Unicode" w:hAnsi="Lucida Sans Unicode"/>
          <w:color w:val="6D6E71"/>
          <w:sz w:val="14"/>
        </w:rPr>
        <w:t>ESTADO</w:t>
      </w:r>
      <w:r>
        <w:rPr>
          <w:rFonts w:ascii="Lucida Sans Unicode" w:hAnsi="Lucida Sans Unicode"/>
          <w:color w:val="6D6E71"/>
          <w:spacing w:val="-23"/>
          <w:sz w:val="14"/>
        </w:rPr>
        <w:t> </w:t>
      </w:r>
      <w:r>
        <w:rPr>
          <w:rFonts w:ascii="Lucida Sans Unicode" w:hAnsi="Lucida Sans Unicode"/>
          <w:color w:val="6D6E71"/>
          <w:sz w:val="14"/>
        </w:rPr>
        <w:t>GLOBAL</w:t>
      </w:r>
      <w:r>
        <w:rPr>
          <w:rFonts w:ascii="Lucida Sans Unicode" w:hAnsi="Lucida Sans Unicode"/>
          <w:color w:val="6D6E71"/>
          <w:spacing w:val="-23"/>
          <w:sz w:val="14"/>
        </w:rPr>
        <w:t> </w:t>
      </w:r>
      <w:r>
        <w:rPr>
          <w:rFonts w:ascii="Lucida Sans Unicode" w:hAnsi="Lucida Sans Unicode"/>
          <w:color w:val="6D6E71"/>
          <w:sz w:val="14"/>
        </w:rPr>
        <w:t>Y</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EVOLUCIÓN</w:t>
      </w:r>
      <w:r>
        <w:rPr>
          <w:rFonts w:ascii="Lucida Sans Unicode" w:hAnsi="Lucida Sans Unicode"/>
          <w:color w:val="6D6E71"/>
          <w:spacing w:val="-23"/>
          <w:sz w:val="14"/>
        </w:rPr>
        <w:t> </w:t>
      </w:r>
      <w:r>
        <w:rPr>
          <w:rFonts w:ascii="Lucida Sans Unicode" w:hAnsi="Lucida Sans Unicode"/>
          <w:color w:val="6D6E71"/>
          <w:sz w:val="14"/>
        </w:rPr>
        <w:t>DE</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SOBERANÍA</w:t>
      </w:r>
      <w:r>
        <w:rPr>
          <w:rFonts w:ascii="Arial" w:hAnsi="Arial"/>
          <w:color w:val="414042"/>
          <w:position w:val="-3"/>
          <w:sz w:val="20"/>
        </w:rPr>
        <w:tab/>
        <w:t>49</w:t>
      </w:r>
    </w:p>
    <w:p>
      <w:pPr>
        <w:pStyle w:val="BodyText"/>
        <w:rPr>
          <w:rFonts w:ascii="Arial"/>
          <w:sz w:val="20"/>
        </w:rPr>
      </w:pPr>
    </w:p>
    <w:p>
      <w:pPr>
        <w:pStyle w:val="BodyText"/>
        <w:rPr>
          <w:rFonts w:ascii="Arial"/>
          <w:sz w:val="20"/>
        </w:rPr>
      </w:pPr>
    </w:p>
    <w:p>
      <w:pPr>
        <w:pStyle w:val="BodyText"/>
        <w:spacing w:line="247" w:lineRule="auto" w:before="163"/>
        <w:ind w:left="117" w:right="101"/>
        <w:jc w:val="both"/>
      </w:pP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formas</w:t>
      </w:r>
      <w:r>
        <w:rPr>
          <w:color w:val="231F20"/>
          <w:spacing w:val="-12"/>
          <w:w w:val="105"/>
        </w:rPr>
        <w:t> </w:t>
      </w:r>
      <w:r>
        <w:rPr>
          <w:color w:val="231F20"/>
          <w:w w:val="105"/>
        </w:rPr>
        <w:t>de</w:t>
      </w:r>
      <w:r>
        <w:rPr>
          <w:color w:val="231F20"/>
          <w:spacing w:val="-12"/>
          <w:w w:val="105"/>
        </w:rPr>
        <w:t> </w:t>
      </w:r>
      <w:r>
        <w:rPr>
          <w:color w:val="231F20"/>
          <w:w w:val="105"/>
        </w:rPr>
        <w:t>acceso</w:t>
      </w:r>
      <w:r>
        <w:rPr>
          <w:color w:val="231F20"/>
          <w:spacing w:val="-12"/>
          <w:w w:val="105"/>
        </w:rPr>
        <w:t> </w:t>
      </w:r>
      <w:r>
        <w:rPr>
          <w:color w:val="231F20"/>
          <w:w w:val="105"/>
        </w:rPr>
        <w:t>estatal</w:t>
      </w:r>
      <w:r>
        <w:rPr>
          <w:color w:val="231F20"/>
          <w:spacing w:val="-12"/>
          <w:w w:val="105"/>
        </w:rPr>
        <w:t> </w:t>
      </w:r>
      <w:r>
        <w:rPr>
          <w:color w:val="231F20"/>
          <w:w w:val="105"/>
        </w:rPr>
        <w:t>al</w:t>
      </w:r>
      <w:r>
        <w:rPr>
          <w:color w:val="231F20"/>
          <w:spacing w:val="-12"/>
          <w:w w:val="105"/>
        </w:rPr>
        <w:t> </w:t>
      </w:r>
      <w:r>
        <w:rPr>
          <w:color w:val="231F20"/>
          <w:w w:val="105"/>
        </w:rPr>
        <w:t>ordenamiento</w:t>
      </w:r>
      <w:r>
        <w:rPr>
          <w:color w:val="231F20"/>
          <w:spacing w:val="-12"/>
          <w:w w:val="105"/>
        </w:rPr>
        <w:t> </w:t>
      </w:r>
      <w:r>
        <w:rPr>
          <w:color w:val="231F20"/>
          <w:w w:val="105"/>
        </w:rPr>
        <w:t>normativo</w:t>
      </w:r>
      <w:r>
        <w:rPr>
          <w:color w:val="231F20"/>
          <w:spacing w:val="-12"/>
          <w:w w:val="105"/>
        </w:rPr>
        <w:t> </w:t>
      </w:r>
      <w:r>
        <w:rPr>
          <w:color w:val="231F20"/>
          <w:w w:val="105"/>
        </w:rPr>
        <w:t>produce</w:t>
      </w:r>
      <w:r>
        <w:rPr>
          <w:color w:val="231F20"/>
          <w:spacing w:val="-12"/>
          <w:w w:val="105"/>
        </w:rPr>
        <w:t> </w:t>
      </w:r>
      <w:r>
        <w:rPr>
          <w:color w:val="231F20"/>
          <w:w w:val="105"/>
        </w:rPr>
        <w:t>una correspondiente</w:t>
      </w:r>
      <w:r>
        <w:rPr>
          <w:color w:val="231F20"/>
          <w:spacing w:val="-27"/>
          <w:w w:val="105"/>
        </w:rPr>
        <w:t> </w:t>
      </w:r>
      <w:r>
        <w:rPr>
          <w:color w:val="231F20"/>
          <w:w w:val="105"/>
        </w:rPr>
        <w:t>multiplicidad</w:t>
      </w:r>
      <w:r>
        <w:rPr>
          <w:color w:val="231F20"/>
          <w:spacing w:val="-27"/>
          <w:w w:val="105"/>
        </w:rPr>
        <w:t> </w:t>
      </w:r>
      <w:r>
        <w:rPr>
          <w:color w:val="231F20"/>
          <w:w w:val="105"/>
        </w:rPr>
        <w:t>de</w:t>
      </w:r>
      <w:r>
        <w:rPr>
          <w:color w:val="231F20"/>
          <w:spacing w:val="-27"/>
          <w:w w:val="105"/>
        </w:rPr>
        <w:t> </w:t>
      </w:r>
      <w:r>
        <w:rPr>
          <w:color w:val="231F20"/>
          <w:w w:val="105"/>
        </w:rPr>
        <w:t>formas</w:t>
      </w:r>
      <w:r>
        <w:rPr>
          <w:color w:val="231F20"/>
          <w:spacing w:val="-27"/>
          <w:w w:val="105"/>
        </w:rPr>
        <w:t> </w:t>
      </w:r>
      <w:r>
        <w:rPr>
          <w:color w:val="231F20"/>
          <w:w w:val="105"/>
        </w:rPr>
        <w:t>empíricas</w:t>
      </w:r>
      <w:r>
        <w:rPr>
          <w:color w:val="231F20"/>
          <w:spacing w:val="-27"/>
          <w:w w:val="105"/>
        </w:rPr>
        <w:t> </w:t>
      </w:r>
      <w:r>
        <w:rPr>
          <w:color w:val="231F20"/>
          <w:w w:val="105"/>
        </w:rPr>
        <w:t>de</w:t>
      </w:r>
      <w:r>
        <w:rPr>
          <w:color w:val="231F20"/>
          <w:spacing w:val="-27"/>
          <w:w w:val="105"/>
        </w:rPr>
        <w:t> </w:t>
      </w:r>
      <w:r>
        <w:rPr>
          <w:color w:val="231F20"/>
          <w:w w:val="105"/>
        </w:rPr>
        <w:t>Estado,</w:t>
      </w:r>
      <w:r>
        <w:rPr>
          <w:color w:val="231F20"/>
          <w:spacing w:val="-27"/>
          <w:w w:val="105"/>
        </w:rPr>
        <w:t> </w:t>
      </w:r>
      <w:r>
        <w:rPr>
          <w:color w:val="231F20"/>
          <w:w w:val="105"/>
        </w:rPr>
        <w:t>sin</w:t>
      </w:r>
      <w:r>
        <w:rPr>
          <w:color w:val="231F20"/>
          <w:spacing w:val="-27"/>
          <w:w w:val="105"/>
        </w:rPr>
        <w:t> </w:t>
      </w:r>
      <w:r>
        <w:rPr>
          <w:color w:val="231F20"/>
          <w:w w:val="105"/>
        </w:rPr>
        <w:t>que</w:t>
      </w:r>
      <w:r>
        <w:rPr>
          <w:color w:val="231F20"/>
          <w:spacing w:val="-27"/>
          <w:w w:val="105"/>
        </w:rPr>
        <w:t> </w:t>
      </w:r>
      <w:r>
        <w:rPr>
          <w:color w:val="231F20"/>
          <w:w w:val="105"/>
        </w:rPr>
        <w:t>ello implique</w:t>
      </w:r>
      <w:r>
        <w:rPr>
          <w:color w:val="231F20"/>
          <w:spacing w:val="-25"/>
          <w:w w:val="105"/>
        </w:rPr>
        <w:t> </w:t>
      </w:r>
      <w:r>
        <w:rPr>
          <w:color w:val="231F20"/>
          <w:w w:val="105"/>
        </w:rPr>
        <w:t>la</w:t>
      </w:r>
      <w:r>
        <w:rPr>
          <w:color w:val="231F20"/>
          <w:spacing w:val="-25"/>
          <w:w w:val="105"/>
        </w:rPr>
        <w:t> </w:t>
      </w:r>
      <w:r>
        <w:rPr>
          <w:color w:val="231F20"/>
          <w:w w:val="105"/>
        </w:rPr>
        <w:t>imposibilidad</w:t>
      </w:r>
      <w:r>
        <w:rPr>
          <w:color w:val="231F20"/>
          <w:spacing w:val="-25"/>
          <w:w w:val="105"/>
        </w:rPr>
        <w:t> </w:t>
      </w:r>
      <w:r>
        <w:rPr>
          <w:color w:val="231F20"/>
          <w:w w:val="105"/>
        </w:rPr>
        <w:t>de</w:t>
      </w:r>
      <w:r>
        <w:rPr>
          <w:color w:val="231F20"/>
          <w:spacing w:val="-25"/>
          <w:w w:val="105"/>
        </w:rPr>
        <w:t> </w:t>
      </w:r>
      <w:r>
        <w:rPr>
          <w:color w:val="231F20"/>
          <w:w w:val="105"/>
        </w:rPr>
        <w:t>construir</w:t>
      </w:r>
      <w:r>
        <w:rPr>
          <w:color w:val="231F20"/>
          <w:spacing w:val="-25"/>
          <w:w w:val="105"/>
        </w:rPr>
        <w:t> </w:t>
      </w:r>
      <w:r>
        <w:rPr>
          <w:color w:val="231F20"/>
          <w:w w:val="105"/>
        </w:rPr>
        <w:t>un</w:t>
      </w:r>
      <w:r>
        <w:rPr>
          <w:color w:val="231F20"/>
          <w:spacing w:val="-25"/>
          <w:w w:val="105"/>
        </w:rPr>
        <w:t> </w:t>
      </w:r>
      <w:r>
        <w:rPr>
          <w:color w:val="231F20"/>
          <w:w w:val="105"/>
        </w:rPr>
        <w:t>concepto</w:t>
      </w:r>
      <w:r>
        <w:rPr>
          <w:color w:val="231F20"/>
          <w:spacing w:val="-25"/>
          <w:w w:val="105"/>
        </w:rPr>
        <w:t> </w:t>
      </w:r>
      <w:r>
        <w:rPr>
          <w:color w:val="231F20"/>
          <w:w w:val="105"/>
        </w:rPr>
        <w:t>incluyente</w:t>
      </w:r>
      <w:r>
        <w:rPr>
          <w:color w:val="231F20"/>
          <w:spacing w:val="-25"/>
          <w:w w:val="105"/>
        </w:rPr>
        <w:t> </w:t>
      </w:r>
      <w:r>
        <w:rPr>
          <w:color w:val="231F20"/>
          <w:w w:val="105"/>
        </w:rPr>
        <w:t>de</w:t>
      </w:r>
      <w:r>
        <w:rPr>
          <w:color w:val="231F20"/>
          <w:spacing w:val="-25"/>
          <w:w w:val="105"/>
        </w:rPr>
        <w:t> </w:t>
      </w:r>
      <w:r>
        <w:rPr>
          <w:color w:val="231F20"/>
          <w:w w:val="105"/>
        </w:rPr>
        <w:t>Estado.</w:t>
      </w:r>
    </w:p>
    <w:p>
      <w:pPr>
        <w:pStyle w:val="BodyText"/>
        <w:spacing w:line="247" w:lineRule="auto"/>
        <w:ind w:left="117" w:right="101" w:firstLine="566"/>
        <w:jc w:val="both"/>
      </w:pPr>
      <w:r>
        <w:rPr>
          <w:color w:val="231F20"/>
        </w:rPr>
        <w:t>A</w:t>
      </w:r>
      <w:r>
        <w:rPr>
          <w:color w:val="231F20"/>
          <w:spacing w:val="-5"/>
        </w:rPr>
        <w:t> </w:t>
      </w:r>
      <w:r>
        <w:rPr>
          <w:color w:val="231F20"/>
        </w:rPr>
        <w:t>mi</w:t>
      </w:r>
      <w:r>
        <w:rPr>
          <w:color w:val="231F20"/>
          <w:spacing w:val="-5"/>
        </w:rPr>
        <w:t> </w:t>
      </w:r>
      <w:r>
        <w:rPr>
          <w:color w:val="231F20"/>
        </w:rPr>
        <w:t>parecer</w:t>
      </w:r>
      <w:r>
        <w:rPr>
          <w:color w:val="231F20"/>
          <w:spacing w:val="-5"/>
        </w:rPr>
        <w:t> </w:t>
      </w:r>
      <w:r>
        <w:rPr>
          <w:color w:val="231F20"/>
        </w:rPr>
        <w:t>hay</w:t>
      </w:r>
      <w:r>
        <w:rPr>
          <w:color w:val="231F20"/>
          <w:spacing w:val="-5"/>
        </w:rPr>
        <w:t> </w:t>
      </w:r>
      <w:r>
        <w:rPr>
          <w:color w:val="231F20"/>
        </w:rPr>
        <w:t>tres</w:t>
      </w:r>
      <w:r>
        <w:rPr>
          <w:color w:val="231F20"/>
          <w:spacing w:val="-5"/>
        </w:rPr>
        <w:t> </w:t>
      </w:r>
      <w:r>
        <w:rPr>
          <w:color w:val="231F20"/>
        </w:rPr>
        <w:t>indicadores</w:t>
      </w:r>
      <w:r>
        <w:rPr>
          <w:color w:val="231F20"/>
          <w:spacing w:val="-5"/>
        </w:rPr>
        <w:t> </w:t>
      </w:r>
      <w:r>
        <w:rPr>
          <w:color w:val="231F20"/>
        </w:rPr>
        <w:t>significativos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paso</w:t>
      </w:r>
      <w:r>
        <w:rPr>
          <w:color w:val="231F20"/>
          <w:spacing w:val="-5"/>
        </w:rPr>
        <w:t> </w:t>
      </w:r>
      <w:r>
        <w:rPr>
          <w:color w:val="231F20"/>
        </w:rPr>
        <w:t>del</w:t>
      </w:r>
      <w:r>
        <w:rPr>
          <w:color w:val="231F20"/>
          <w:spacing w:val="-5"/>
        </w:rPr>
        <w:t> </w:t>
      </w:r>
      <w:r>
        <w:rPr>
          <w:color w:val="231F20"/>
        </w:rPr>
        <w:t>Estado moderno al Estado global. En los tres casos se registra la presencia de</w:t>
      </w:r>
      <w:r>
        <w:rPr>
          <w:color w:val="231F20"/>
          <w:spacing w:val="-35"/>
        </w:rPr>
        <w:t> </w:t>
      </w:r>
      <w:r>
        <w:rPr>
          <w:color w:val="231F20"/>
        </w:rPr>
        <w:t>una interrupción en la continuidad de la historia del Estado: a) el Estado global no puede asumir el origen del Estado como absolutamente significativo por su concepto. El Estado global no es entonces solamente la progresión infinita del Estado moderno; b) esta discontinuidad histórica corresponde  a una interrupción entre el origen y el funcionamiento del Estado, a la</w:t>
      </w:r>
      <w:r>
        <w:rPr>
          <w:color w:val="231F20"/>
          <w:spacing w:val="-13"/>
        </w:rPr>
        <w:t> </w:t>
      </w:r>
      <w:r>
        <w:rPr>
          <w:color w:val="231F20"/>
        </w:rPr>
        <w:t>cual corresponde una transformación de la legitimidad del Estado mismo; c)</w:t>
      </w:r>
      <w:r>
        <w:rPr>
          <w:color w:val="231F20"/>
          <w:spacing w:val="-18"/>
        </w:rPr>
        <w:t> </w:t>
      </w:r>
      <w:r>
        <w:rPr>
          <w:color w:val="231F20"/>
        </w:rPr>
        <w:t>las transformaciones que se manifiestan en el Estado global son particular- mente evidentes en la soberanía: de monopolio exclusivo de un agente a práctica difusa de una serie de estructuras</w:t>
      </w:r>
      <w:r>
        <w:rPr>
          <w:color w:val="231F20"/>
          <w:spacing w:val="-31"/>
        </w:rPr>
        <w:t> </w:t>
      </w:r>
      <w:r>
        <w:rPr>
          <w:color w:val="231F20"/>
        </w:rPr>
        <w:t>sociales.</w:t>
      </w:r>
    </w:p>
    <w:p>
      <w:pPr>
        <w:pStyle w:val="BodyText"/>
        <w:spacing w:line="247" w:lineRule="auto"/>
        <w:ind w:left="117" w:right="101" w:firstLine="566"/>
        <w:jc w:val="both"/>
      </w:pPr>
      <w:r>
        <w:rPr>
          <w:color w:val="231F20"/>
          <w:w w:val="105"/>
        </w:rPr>
        <w:t>Desde mi punto de vista, el conjunto de estas contradicciones es más</w:t>
      </w:r>
      <w:r>
        <w:rPr>
          <w:color w:val="231F20"/>
          <w:spacing w:val="-9"/>
          <w:w w:val="105"/>
        </w:rPr>
        <w:t> </w:t>
      </w:r>
      <w:r>
        <w:rPr>
          <w:color w:val="231F20"/>
          <w:w w:val="105"/>
        </w:rPr>
        <w:t>que</w:t>
      </w:r>
      <w:r>
        <w:rPr>
          <w:color w:val="231F20"/>
          <w:spacing w:val="-9"/>
          <w:w w:val="105"/>
        </w:rPr>
        <w:t> </w:t>
      </w:r>
      <w:r>
        <w:rPr>
          <w:color w:val="231F20"/>
          <w:w w:val="105"/>
        </w:rPr>
        <w:t>nunca</w:t>
      </w:r>
      <w:r>
        <w:rPr>
          <w:color w:val="231F20"/>
          <w:spacing w:val="-9"/>
          <w:w w:val="105"/>
        </w:rPr>
        <w:t> </w:t>
      </w:r>
      <w:r>
        <w:rPr>
          <w:color w:val="231F20"/>
          <w:w w:val="105"/>
        </w:rPr>
        <w:t>evidente</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figura</w:t>
      </w:r>
      <w:r>
        <w:rPr>
          <w:color w:val="231F20"/>
          <w:spacing w:val="-9"/>
          <w:w w:val="105"/>
        </w:rPr>
        <w:t> </w:t>
      </w:r>
      <w:r>
        <w:rPr>
          <w:color w:val="231F20"/>
          <w:w w:val="105"/>
        </w:rPr>
        <w:t>sólo</w:t>
      </w:r>
      <w:r>
        <w:rPr>
          <w:color w:val="231F20"/>
          <w:spacing w:val="-9"/>
          <w:w w:val="105"/>
        </w:rPr>
        <w:t> </w:t>
      </w:r>
      <w:r>
        <w:rPr>
          <w:color w:val="231F20"/>
          <w:w w:val="105"/>
        </w:rPr>
        <w:t>aparentemente</w:t>
      </w:r>
      <w:r>
        <w:rPr>
          <w:color w:val="231F20"/>
          <w:spacing w:val="-9"/>
          <w:w w:val="105"/>
        </w:rPr>
        <w:t> </w:t>
      </w:r>
      <w:r>
        <w:rPr>
          <w:color w:val="231F20"/>
          <w:w w:val="105"/>
        </w:rPr>
        <w:t>intermedia,</w:t>
      </w:r>
      <w:r>
        <w:rPr>
          <w:color w:val="231F20"/>
          <w:spacing w:val="-9"/>
          <w:w w:val="105"/>
        </w:rPr>
        <w:t> </w:t>
      </w:r>
      <w:r>
        <w:rPr>
          <w:color w:val="231F20"/>
          <w:w w:val="105"/>
        </w:rPr>
        <w:t>es </w:t>
      </w:r>
      <w:r>
        <w:rPr>
          <w:color w:val="231F20"/>
          <w:spacing w:val="-4"/>
          <w:w w:val="105"/>
        </w:rPr>
        <w:t>decir, </w:t>
      </w:r>
      <w:r>
        <w:rPr>
          <w:color w:val="231F20"/>
          <w:w w:val="105"/>
        </w:rPr>
        <w:t>a primera vista contingente y residual del Estado postcolonial.</w:t>
      </w:r>
      <w:r>
        <w:rPr>
          <w:color w:val="231F20"/>
          <w:spacing w:val="-22"/>
          <w:w w:val="105"/>
        </w:rPr>
        <w:t> </w:t>
      </w:r>
      <w:r>
        <w:rPr>
          <w:color w:val="231F20"/>
          <w:w w:val="105"/>
        </w:rPr>
        <w:t>Un Estado, pues, que según su denominación es definido por la necesidad de</w:t>
      </w:r>
      <w:r>
        <w:rPr>
          <w:color w:val="231F20"/>
          <w:spacing w:val="-12"/>
          <w:w w:val="105"/>
        </w:rPr>
        <w:t> </w:t>
      </w:r>
      <w:r>
        <w:rPr>
          <w:color w:val="231F20"/>
          <w:w w:val="105"/>
        </w:rPr>
        <w:t>enfrentarse</w:t>
      </w:r>
      <w:r>
        <w:rPr>
          <w:color w:val="231F20"/>
          <w:spacing w:val="-12"/>
          <w:w w:val="105"/>
        </w:rPr>
        <w:t> </w:t>
      </w:r>
      <w:r>
        <w:rPr>
          <w:color w:val="231F20"/>
          <w:w w:val="105"/>
        </w:rPr>
        <w:t>a</w:t>
      </w:r>
      <w:r>
        <w:rPr>
          <w:color w:val="231F20"/>
          <w:spacing w:val="-12"/>
          <w:w w:val="105"/>
        </w:rPr>
        <w:t> </w:t>
      </w:r>
      <w:r>
        <w:rPr>
          <w:color w:val="231F20"/>
          <w:w w:val="105"/>
        </w:rPr>
        <w:t>su</w:t>
      </w:r>
      <w:r>
        <w:rPr>
          <w:color w:val="231F20"/>
          <w:spacing w:val="-12"/>
          <w:w w:val="105"/>
        </w:rPr>
        <w:t> </w:t>
      </w:r>
      <w:r>
        <w:rPr>
          <w:color w:val="231F20"/>
          <w:w w:val="105"/>
        </w:rPr>
        <w:t>pasado,</w:t>
      </w:r>
      <w:r>
        <w:rPr>
          <w:color w:val="231F20"/>
          <w:spacing w:val="-12"/>
          <w:w w:val="105"/>
        </w:rPr>
        <w:t> </w:t>
      </w:r>
      <w:r>
        <w:rPr>
          <w:color w:val="231F20"/>
          <w:w w:val="105"/>
        </w:rPr>
        <w:t>con</w:t>
      </w:r>
      <w:r>
        <w:rPr>
          <w:color w:val="231F20"/>
          <w:spacing w:val="-12"/>
          <w:w w:val="105"/>
        </w:rPr>
        <w:t> </w:t>
      </w:r>
      <w:r>
        <w:rPr>
          <w:color w:val="231F20"/>
          <w:w w:val="105"/>
        </w:rPr>
        <w:t>una</w:t>
      </w:r>
      <w:r>
        <w:rPr>
          <w:color w:val="231F20"/>
          <w:spacing w:val="-12"/>
          <w:w w:val="105"/>
        </w:rPr>
        <w:t> </w:t>
      </w:r>
      <w:r>
        <w:rPr>
          <w:color w:val="231F20"/>
          <w:w w:val="105"/>
        </w:rPr>
        <w:t>soberanía</w:t>
      </w:r>
      <w:r>
        <w:rPr>
          <w:color w:val="231F20"/>
          <w:spacing w:val="-12"/>
          <w:w w:val="105"/>
        </w:rPr>
        <w:t> </w:t>
      </w:r>
      <w:r>
        <w:rPr>
          <w:color w:val="231F20"/>
          <w:w w:val="105"/>
        </w:rPr>
        <w:t>incierta,</w:t>
      </w:r>
      <w:r>
        <w:rPr>
          <w:color w:val="231F20"/>
          <w:spacing w:val="-12"/>
          <w:w w:val="105"/>
        </w:rPr>
        <w:t> </w:t>
      </w:r>
      <w:r>
        <w:rPr>
          <w:color w:val="231F20"/>
          <w:w w:val="105"/>
        </w:rPr>
        <w:t>con</w:t>
      </w:r>
      <w:r>
        <w:rPr>
          <w:color w:val="231F20"/>
          <w:spacing w:val="-12"/>
          <w:w w:val="105"/>
        </w:rPr>
        <w:t> </w:t>
      </w:r>
      <w:r>
        <w:rPr>
          <w:color w:val="231F20"/>
          <w:w w:val="105"/>
        </w:rPr>
        <w:t>una</w:t>
      </w:r>
      <w:r>
        <w:rPr>
          <w:color w:val="231F20"/>
          <w:spacing w:val="-12"/>
          <w:w w:val="105"/>
        </w:rPr>
        <w:t> </w:t>
      </w:r>
      <w:r>
        <w:rPr>
          <w:color w:val="231F20"/>
          <w:w w:val="105"/>
        </w:rPr>
        <w:t>historia por construir. El adjetivo </w:t>
      </w:r>
      <w:r>
        <w:rPr>
          <w:rFonts w:ascii="Arial" w:hAnsi="Arial"/>
          <w:i/>
          <w:color w:val="231F20"/>
          <w:w w:val="105"/>
        </w:rPr>
        <w:t>postcolonial </w:t>
      </w:r>
      <w:r>
        <w:rPr>
          <w:color w:val="231F20"/>
          <w:w w:val="105"/>
        </w:rPr>
        <w:t>ha asumido ya un significado</w:t>
      </w:r>
      <w:r>
        <w:rPr>
          <w:color w:val="231F20"/>
          <w:spacing w:val="-25"/>
          <w:w w:val="105"/>
        </w:rPr>
        <w:t> </w:t>
      </w:r>
      <w:r>
        <w:rPr>
          <w:color w:val="231F20"/>
          <w:w w:val="105"/>
        </w:rPr>
        <w:t>casi universal, indicando no sólo la transición más allá del colonialismo,</w:t>
      </w:r>
      <w:r>
        <w:rPr>
          <w:color w:val="231F20"/>
          <w:spacing w:val="-33"/>
          <w:w w:val="105"/>
        </w:rPr>
        <w:t> </w:t>
      </w:r>
      <w:r>
        <w:rPr>
          <w:color w:val="231F20"/>
          <w:w w:val="105"/>
        </w:rPr>
        <w:t>sino profundizando</w:t>
      </w:r>
      <w:r>
        <w:rPr>
          <w:color w:val="231F20"/>
          <w:spacing w:val="-36"/>
          <w:w w:val="105"/>
        </w:rPr>
        <w:t> </w:t>
      </w:r>
      <w:r>
        <w:rPr>
          <w:color w:val="231F20"/>
          <w:w w:val="105"/>
        </w:rPr>
        <w:t>más</w:t>
      </w:r>
      <w:r>
        <w:rPr>
          <w:color w:val="231F20"/>
          <w:spacing w:val="-36"/>
          <w:w w:val="105"/>
        </w:rPr>
        <w:t> </w:t>
      </w:r>
      <w:r>
        <w:rPr>
          <w:color w:val="231F20"/>
          <w:w w:val="105"/>
        </w:rPr>
        <w:t>en</w:t>
      </w:r>
      <w:r>
        <w:rPr>
          <w:color w:val="231F20"/>
          <w:spacing w:val="-36"/>
          <w:w w:val="105"/>
        </w:rPr>
        <w:t> </w:t>
      </w:r>
      <w:r>
        <w:rPr>
          <w:color w:val="231F20"/>
          <w:w w:val="105"/>
        </w:rPr>
        <w:t>las</w:t>
      </w:r>
      <w:r>
        <w:rPr>
          <w:color w:val="231F20"/>
          <w:spacing w:val="-36"/>
          <w:w w:val="105"/>
        </w:rPr>
        <w:t> </w:t>
      </w:r>
      <w:r>
        <w:rPr>
          <w:color w:val="231F20"/>
          <w:w w:val="105"/>
        </w:rPr>
        <w:t>características</w:t>
      </w:r>
      <w:r>
        <w:rPr>
          <w:color w:val="231F20"/>
          <w:spacing w:val="-36"/>
          <w:w w:val="105"/>
        </w:rPr>
        <w:t> </w:t>
      </w:r>
      <w:r>
        <w:rPr>
          <w:color w:val="231F20"/>
          <w:w w:val="105"/>
        </w:rPr>
        <w:t>generales</w:t>
      </w:r>
      <w:r>
        <w:rPr>
          <w:color w:val="231F20"/>
          <w:spacing w:val="-36"/>
          <w:w w:val="105"/>
        </w:rPr>
        <w:t> </w:t>
      </w:r>
      <w:r>
        <w:rPr>
          <w:color w:val="231F20"/>
          <w:w w:val="105"/>
        </w:rPr>
        <w:t>de</w:t>
      </w:r>
      <w:r>
        <w:rPr>
          <w:color w:val="231F20"/>
          <w:spacing w:val="-36"/>
          <w:w w:val="105"/>
        </w:rPr>
        <w:t> </w:t>
      </w:r>
      <w:r>
        <w:rPr>
          <w:color w:val="231F20"/>
          <w:w w:val="105"/>
        </w:rPr>
        <w:t>una</w:t>
      </w:r>
      <w:r>
        <w:rPr>
          <w:color w:val="231F20"/>
          <w:spacing w:val="-36"/>
          <w:w w:val="105"/>
        </w:rPr>
        <w:t> </w:t>
      </w:r>
      <w:r>
        <w:rPr>
          <w:color w:val="231F20"/>
          <w:w w:val="105"/>
        </w:rPr>
        <w:t>época</w:t>
      </w:r>
      <w:r>
        <w:rPr>
          <w:color w:val="231F20"/>
          <w:spacing w:val="-36"/>
          <w:w w:val="105"/>
        </w:rPr>
        <w:t> </w:t>
      </w:r>
      <w:r>
        <w:rPr>
          <w:color w:val="231F20"/>
          <w:w w:val="105"/>
        </w:rPr>
        <w:t>en</w:t>
      </w:r>
      <w:r>
        <w:rPr>
          <w:color w:val="231F20"/>
          <w:spacing w:val="-36"/>
          <w:w w:val="105"/>
        </w:rPr>
        <w:t> </w:t>
      </w:r>
      <w:r>
        <w:rPr>
          <w:color w:val="231F20"/>
          <w:w w:val="105"/>
        </w:rPr>
        <w:t>la</w:t>
      </w:r>
      <w:r>
        <w:rPr>
          <w:color w:val="231F20"/>
          <w:spacing w:val="-36"/>
          <w:w w:val="105"/>
        </w:rPr>
        <w:t> </w:t>
      </w:r>
      <w:r>
        <w:rPr>
          <w:color w:val="231F20"/>
          <w:w w:val="105"/>
        </w:rPr>
        <w:t>que a</w:t>
      </w:r>
      <w:r>
        <w:rPr>
          <w:color w:val="231F20"/>
          <w:spacing w:val="-25"/>
          <w:w w:val="105"/>
        </w:rPr>
        <w:t> </w:t>
      </w:r>
      <w:r>
        <w:rPr>
          <w:color w:val="231F20"/>
          <w:w w:val="105"/>
        </w:rPr>
        <w:t>escala</w:t>
      </w:r>
      <w:r>
        <w:rPr>
          <w:color w:val="231F20"/>
          <w:spacing w:val="-24"/>
          <w:w w:val="105"/>
        </w:rPr>
        <w:t> </w:t>
      </w:r>
      <w:r>
        <w:rPr>
          <w:color w:val="231F20"/>
          <w:w w:val="105"/>
        </w:rPr>
        <w:t>global</w:t>
      </w:r>
      <w:r>
        <w:rPr>
          <w:color w:val="231F20"/>
          <w:spacing w:val="-24"/>
          <w:w w:val="105"/>
        </w:rPr>
        <w:t> </w:t>
      </w:r>
      <w:r>
        <w:rPr>
          <w:color w:val="231F20"/>
          <w:w w:val="105"/>
        </w:rPr>
        <w:t>no</w:t>
      </w:r>
      <w:r>
        <w:rPr>
          <w:color w:val="231F20"/>
          <w:spacing w:val="-25"/>
          <w:w w:val="105"/>
        </w:rPr>
        <w:t> </w:t>
      </w:r>
      <w:r>
        <w:rPr>
          <w:color w:val="231F20"/>
          <w:w w:val="105"/>
        </w:rPr>
        <w:t>se</w:t>
      </w:r>
      <w:r>
        <w:rPr>
          <w:color w:val="231F20"/>
          <w:spacing w:val="-25"/>
          <w:w w:val="105"/>
        </w:rPr>
        <w:t> </w:t>
      </w:r>
      <w:r>
        <w:rPr>
          <w:color w:val="231F20"/>
          <w:w w:val="105"/>
        </w:rPr>
        <w:t>puede</w:t>
      </w:r>
      <w:r>
        <w:rPr>
          <w:color w:val="231F20"/>
          <w:spacing w:val="-24"/>
          <w:w w:val="105"/>
        </w:rPr>
        <w:t> </w:t>
      </w:r>
      <w:r>
        <w:rPr>
          <w:color w:val="231F20"/>
          <w:w w:val="105"/>
        </w:rPr>
        <w:t>de</w:t>
      </w:r>
      <w:r>
        <w:rPr>
          <w:color w:val="231F20"/>
          <w:spacing w:val="-25"/>
          <w:w w:val="105"/>
        </w:rPr>
        <w:t> </w:t>
      </w:r>
      <w:r>
        <w:rPr>
          <w:color w:val="231F20"/>
          <w:w w:val="105"/>
        </w:rPr>
        <w:t>ninguna</w:t>
      </w:r>
      <w:r>
        <w:rPr>
          <w:color w:val="231F20"/>
          <w:spacing w:val="-25"/>
          <w:w w:val="105"/>
        </w:rPr>
        <w:t> </w:t>
      </w:r>
      <w:r>
        <w:rPr>
          <w:color w:val="231F20"/>
          <w:w w:val="105"/>
        </w:rPr>
        <w:t>manera</w:t>
      </w:r>
      <w:r>
        <w:rPr>
          <w:color w:val="231F20"/>
          <w:spacing w:val="-25"/>
          <w:w w:val="105"/>
        </w:rPr>
        <w:t> </w:t>
      </w:r>
      <w:r>
        <w:rPr>
          <w:color w:val="231F20"/>
          <w:w w:val="105"/>
        </w:rPr>
        <w:t>evitar</w:t>
      </w:r>
      <w:r>
        <w:rPr>
          <w:color w:val="231F20"/>
          <w:spacing w:val="-24"/>
          <w:w w:val="105"/>
        </w:rPr>
        <w:t> </w:t>
      </w:r>
      <w:r>
        <w:rPr>
          <w:color w:val="231F20"/>
          <w:w w:val="105"/>
        </w:rPr>
        <w:t>enfrentarse</w:t>
      </w:r>
      <w:r>
        <w:rPr>
          <w:color w:val="231F20"/>
          <w:spacing w:val="-24"/>
          <w:w w:val="105"/>
        </w:rPr>
        <w:t> </w:t>
      </w:r>
      <w:r>
        <w:rPr>
          <w:color w:val="231F20"/>
          <w:w w:val="105"/>
        </w:rPr>
        <w:t>con</w:t>
      </w:r>
      <w:r>
        <w:rPr>
          <w:color w:val="231F20"/>
          <w:spacing w:val="-25"/>
          <w:w w:val="105"/>
        </w:rPr>
        <w:t> </w:t>
      </w:r>
      <w:r>
        <w:rPr>
          <w:color w:val="231F20"/>
          <w:w w:val="105"/>
        </w:rPr>
        <w:t>los resultados</w:t>
      </w:r>
      <w:r>
        <w:rPr>
          <w:color w:val="231F20"/>
          <w:spacing w:val="-37"/>
          <w:w w:val="105"/>
        </w:rPr>
        <w:t> </w:t>
      </w:r>
      <w:r>
        <w:rPr>
          <w:color w:val="231F20"/>
          <w:w w:val="105"/>
        </w:rPr>
        <w:t>todavía</w:t>
      </w:r>
      <w:r>
        <w:rPr>
          <w:color w:val="231F20"/>
          <w:spacing w:val="-37"/>
          <w:w w:val="105"/>
        </w:rPr>
        <w:t> </w:t>
      </w:r>
      <w:r>
        <w:rPr>
          <w:color w:val="231F20"/>
          <w:w w:val="105"/>
        </w:rPr>
        <w:t>presentes</w:t>
      </w:r>
      <w:r>
        <w:rPr>
          <w:color w:val="231F20"/>
          <w:spacing w:val="-37"/>
          <w:w w:val="105"/>
        </w:rPr>
        <w:t> </w:t>
      </w:r>
      <w:r>
        <w:rPr>
          <w:color w:val="231F20"/>
          <w:w w:val="105"/>
        </w:rPr>
        <w:t>del</w:t>
      </w:r>
      <w:r>
        <w:rPr>
          <w:color w:val="231F20"/>
          <w:spacing w:val="-37"/>
          <w:w w:val="105"/>
        </w:rPr>
        <w:t> </w:t>
      </w:r>
      <w:r>
        <w:rPr>
          <w:color w:val="231F20"/>
          <w:w w:val="105"/>
        </w:rPr>
        <w:t>colonialismo</w:t>
      </w:r>
      <w:r>
        <w:rPr>
          <w:color w:val="231F20"/>
          <w:w w:val="105"/>
          <w:position w:val="7"/>
          <w:sz w:val="12"/>
        </w:rPr>
        <w:t>38</w:t>
      </w:r>
      <w:r>
        <w:rPr>
          <w:color w:val="231F20"/>
          <w:w w:val="105"/>
        </w:rPr>
        <w:t>.</w:t>
      </w:r>
      <w:r>
        <w:rPr>
          <w:color w:val="231F20"/>
          <w:spacing w:val="-37"/>
          <w:w w:val="105"/>
        </w:rPr>
        <w:t> </w:t>
      </w:r>
      <w:r>
        <w:rPr>
          <w:color w:val="231F20"/>
          <w:w w:val="105"/>
        </w:rPr>
        <w:t>Como</w:t>
      </w:r>
      <w:r>
        <w:rPr>
          <w:color w:val="231F20"/>
          <w:spacing w:val="-37"/>
          <w:w w:val="105"/>
        </w:rPr>
        <w:t> </w:t>
      </w:r>
      <w:r>
        <w:rPr>
          <w:color w:val="231F20"/>
          <w:w w:val="105"/>
        </w:rPr>
        <w:t>detecta</w:t>
      </w:r>
      <w:r>
        <w:rPr>
          <w:color w:val="231F20"/>
          <w:spacing w:val="-37"/>
          <w:w w:val="105"/>
        </w:rPr>
        <w:t> </w:t>
      </w:r>
      <w:r>
        <w:rPr>
          <w:color w:val="231F20"/>
          <w:w w:val="105"/>
        </w:rPr>
        <w:t>justamente Nancy</w:t>
      </w:r>
      <w:r>
        <w:rPr>
          <w:color w:val="231F20"/>
          <w:spacing w:val="-6"/>
          <w:w w:val="105"/>
        </w:rPr>
        <w:t> </w:t>
      </w:r>
      <w:r>
        <w:rPr>
          <w:color w:val="231F20"/>
          <w:w w:val="105"/>
        </w:rPr>
        <w:t>Brown,</w:t>
      </w:r>
      <w:r>
        <w:rPr>
          <w:color w:val="231F20"/>
          <w:spacing w:val="-6"/>
          <w:w w:val="105"/>
        </w:rPr>
        <w:t> </w:t>
      </w:r>
      <w:r>
        <w:rPr>
          <w:color w:val="231F20"/>
          <w:w w:val="105"/>
        </w:rPr>
        <w:t>el</w:t>
      </w:r>
      <w:r>
        <w:rPr>
          <w:color w:val="231F20"/>
          <w:spacing w:val="-6"/>
          <w:w w:val="105"/>
        </w:rPr>
        <w:t> </w:t>
      </w:r>
      <w:r>
        <w:rPr>
          <w:color w:val="231F20"/>
          <w:w w:val="105"/>
        </w:rPr>
        <w:t>prefijo</w:t>
      </w:r>
      <w:r>
        <w:rPr>
          <w:color w:val="231F20"/>
          <w:spacing w:val="-6"/>
          <w:w w:val="105"/>
        </w:rPr>
        <w:t> </w:t>
      </w:r>
      <w:r>
        <w:rPr>
          <w:color w:val="231F20"/>
          <w:w w:val="105"/>
        </w:rPr>
        <w:t>post</w:t>
      </w:r>
      <w:r>
        <w:rPr>
          <w:color w:val="231F20"/>
          <w:spacing w:val="-6"/>
          <w:w w:val="105"/>
        </w:rPr>
        <w:t> </w:t>
      </w:r>
      <w:r>
        <w:rPr>
          <w:color w:val="231F20"/>
          <w:w w:val="105"/>
        </w:rPr>
        <w:t>no</w:t>
      </w:r>
      <w:r>
        <w:rPr>
          <w:color w:val="231F20"/>
          <w:spacing w:val="-6"/>
          <w:w w:val="105"/>
        </w:rPr>
        <w:t> </w:t>
      </w:r>
      <w:r>
        <w:rPr>
          <w:color w:val="231F20"/>
          <w:w w:val="105"/>
        </w:rPr>
        <w:t>implica</w:t>
      </w:r>
      <w:r>
        <w:rPr>
          <w:color w:val="231F20"/>
          <w:spacing w:val="-6"/>
          <w:w w:val="105"/>
        </w:rPr>
        <w:t> </w:t>
      </w:r>
      <w:r>
        <w:rPr>
          <w:color w:val="231F20"/>
          <w:w w:val="105"/>
        </w:rPr>
        <w:t>la</w:t>
      </w:r>
      <w:r>
        <w:rPr>
          <w:color w:val="231F20"/>
          <w:spacing w:val="-6"/>
          <w:w w:val="105"/>
        </w:rPr>
        <w:t> </w:t>
      </w:r>
      <w:r>
        <w:rPr>
          <w:color w:val="231F20"/>
          <w:w w:val="105"/>
        </w:rPr>
        <w:t>llegada</w:t>
      </w:r>
      <w:r>
        <w:rPr>
          <w:color w:val="231F20"/>
          <w:spacing w:val="-6"/>
          <w:w w:val="105"/>
        </w:rPr>
        <w:t> </w:t>
      </w:r>
      <w:r>
        <w:rPr>
          <w:color w:val="231F20"/>
          <w:w w:val="105"/>
        </w:rPr>
        <w:t>del</w:t>
      </w:r>
      <w:r>
        <w:rPr>
          <w:color w:val="231F20"/>
          <w:spacing w:val="-6"/>
          <w:w w:val="105"/>
        </w:rPr>
        <w:t> </w:t>
      </w:r>
      <w:r>
        <w:rPr>
          <w:color w:val="231F20"/>
          <w:w w:val="105"/>
        </w:rPr>
        <w:t>fin</w:t>
      </w:r>
      <w:r>
        <w:rPr>
          <w:color w:val="231F20"/>
          <w:spacing w:val="-6"/>
          <w:w w:val="105"/>
        </w:rPr>
        <w:t> </w:t>
      </w:r>
      <w:r>
        <w:rPr>
          <w:color w:val="231F20"/>
          <w:w w:val="105"/>
        </w:rPr>
        <w:t>de</w:t>
      </w:r>
      <w:r>
        <w:rPr>
          <w:color w:val="231F20"/>
          <w:spacing w:val="-6"/>
          <w:w w:val="105"/>
        </w:rPr>
        <w:t> </w:t>
      </w:r>
      <w:r>
        <w:rPr>
          <w:color w:val="231F20"/>
          <w:w w:val="105"/>
        </w:rPr>
        <w:t>un</w:t>
      </w:r>
      <w:r>
        <w:rPr>
          <w:color w:val="231F20"/>
          <w:spacing w:val="-6"/>
          <w:w w:val="105"/>
        </w:rPr>
        <w:t> </w:t>
      </w:r>
      <w:r>
        <w:rPr>
          <w:color w:val="231F20"/>
          <w:w w:val="105"/>
        </w:rPr>
        <w:t>proceso, sino</w:t>
      </w:r>
      <w:r>
        <w:rPr>
          <w:color w:val="231F20"/>
          <w:spacing w:val="-31"/>
          <w:w w:val="105"/>
        </w:rPr>
        <w:t> </w:t>
      </w:r>
      <w:r>
        <w:rPr>
          <w:color w:val="231F20"/>
          <w:w w:val="105"/>
        </w:rPr>
        <w:t>que</w:t>
      </w:r>
      <w:r>
        <w:rPr>
          <w:color w:val="231F20"/>
          <w:spacing w:val="-31"/>
          <w:w w:val="105"/>
        </w:rPr>
        <w:t> </w:t>
      </w:r>
      <w:r>
        <w:rPr>
          <w:color w:val="231F20"/>
          <w:w w:val="105"/>
        </w:rPr>
        <w:t>indica</w:t>
      </w:r>
      <w:r>
        <w:rPr>
          <w:color w:val="231F20"/>
          <w:spacing w:val="-31"/>
          <w:w w:val="105"/>
        </w:rPr>
        <w:t> </w:t>
      </w:r>
      <w:r>
        <w:rPr>
          <w:color w:val="231F20"/>
          <w:w w:val="105"/>
        </w:rPr>
        <w:t>más</w:t>
      </w:r>
      <w:r>
        <w:rPr>
          <w:color w:val="231F20"/>
          <w:spacing w:val="-31"/>
          <w:w w:val="105"/>
        </w:rPr>
        <w:t> </w:t>
      </w:r>
      <w:r>
        <w:rPr>
          <w:color w:val="231F20"/>
          <w:w w:val="105"/>
        </w:rPr>
        <w:t>bien:</w:t>
      </w:r>
    </w:p>
    <w:p>
      <w:pPr>
        <w:pStyle w:val="BodyText"/>
        <w:spacing w:before="10"/>
        <w:rPr>
          <w:sz w:val="22"/>
        </w:rPr>
      </w:pPr>
    </w:p>
    <w:p>
      <w:pPr>
        <w:spacing w:line="220" w:lineRule="exact" w:before="1"/>
        <w:ind w:left="1534" w:right="101" w:firstLine="0"/>
        <w:jc w:val="both"/>
        <w:rPr>
          <w:sz w:val="19"/>
        </w:rPr>
      </w:pPr>
      <w:r>
        <w:rPr>
          <w:color w:val="231F20"/>
          <w:w w:val="105"/>
          <w:sz w:val="19"/>
        </w:rPr>
        <w:t>una</w:t>
      </w:r>
      <w:r>
        <w:rPr>
          <w:color w:val="231F20"/>
          <w:spacing w:val="-31"/>
          <w:w w:val="105"/>
          <w:sz w:val="19"/>
        </w:rPr>
        <w:t> </w:t>
      </w:r>
      <w:r>
        <w:rPr>
          <w:color w:val="231F20"/>
          <w:w w:val="105"/>
          <w:sz w:val="19"/>
        </w:rPr>
        <w:t>formación</w:t>
      </w:r>
      <w:r>
        <w:rPr>
          <w:color w:val="231F20"/>
          <w:spacing w:val="-31"/>
          <w:w w:val="105"/>
          <w:sz w:val="19"/>
        </w:rPr>
        <w:t> </w:t>
      </w:r>
      <w:r>
        <w:rPr>
          <w:color w:val="231F20"/>
          <w:w w:val="105"/>
          <w:sz w:val="19"/>
        </w:rPr>
        <w:t>que</w:t>
      </w:r>
      <w:r>
        <w:rPr>
          <w:color w:val="231F20"/>
          <w:spacing w:val="-31"/>
          <w:w w:val="105"/>
          <w:sz w:val="19"/>
        </w:rPr>
        <w:t> </w:t>
      </w:r>
      <w:r>
        <w:rPr>
          <w:color w:val="231F20"/>
          <w:w w:val="105"/>
          <w:sz w:val="19"/>
        </w:rPr>
        <w:t>es</w:t>
      </w:r>
      <w:r>
        <w:rPr>
          <w:color w:val="231F20"/>
          <w:spacing w:val="-31"/>
          <w:w w:val="105"/>
          <w:sz w:val="19"/>
        </w:rPr>
        <w:t> </w:t>
      </w:r>
      <w:r>
        <w:rPr>
          <w:rFonts w:ascii="Arial" w:hAnsi="Arial"/>
          <w:i/>
          <w:color w:val="231F20"/>
          <w:w w:val="105"/>
          <w:sz w:val="19"/>
        </w:rPr>
        <w:t>temporalmente</w:t>
      </w:r>
      <w:r>
        <w:rPr>
          <w:rFonts w:ascii="Arial" w:hAnsi="Arial"/>
          <w:i/>
          <w:color w:val="231F20"/>
          <w:spacing w:val="-24"/>
          <w:w w:val="105"/>
          <w:sz w:val="19"/>
        </w:rPr>
        <w:t> </w:t>
      </w:r>
      <w:r>
        <w:rPr>
          <w:rFonts w:ascii="Arial" w:hAnsi="Arial"/>
          <w:i/>
          <w:color w:val="231F20"/>
          <w:w w:val="105"/>
          <w:sz w:val="19"/>
        </w:rPr>
        <w:t>sucesiva</w:t>
      </w:r>
      <w:r>
        <w:rPr>
          <w:rFonts w:ascii="Arial" w:hAnsi="Arial"/>
          <w:i/>
          <w:color w:val="231F20"/>
          <w:spacing w:val="-24"/>
          <w:w w:val="105"/>
          <w:sz w:val="19"/>
        </w:rPr>
        <w:t> </w:t>
      </w:r>
      <w:r>
        <w:rPr>
          <w:rFonts w:ascii="Arial" w:hAnsi="Arial"/>
          <w:i/>
          <w:color w:val="231F20"/>
          <w:w w:val="105"/>
          <w:sz w:val="19"/>
        </w:rPr>
        <w:t>pero</w:t>
      </w:r>
      <w:r>
        <w:rPr>
          <w:rFonts w:ascii="Arial" w:hAnsi="Arial"/>
          <w:i/>
          <w:color w:val="231F20"/>
          <w:spacing w:val="-24"/>
          <w:w w:val="105"/>
          <w:sz w:val="19"/>
        </w:rPr>
        <w:t> </w:t>
      </w:r>
      <w:r>
        <w:rPr>
          <w:rFonts w:ascii="Arial" w:hAnsi="Arial"/>
          <w:i/>
          <w:color w:val="231F20"/>
          <w:w w:val="105"/>
          <w:sz w:val="19"/>
        </w:rPr>
        <w:t>no</w:t>
      </w:r>
      <w:r>
        <w:rPr>
          <w:rFonts w:ascii="Arial" w:hAnsi="Arial"/>
          <w:i/>
          <w:color w:val="231F20"/>
          <w:spacing w:val="-24"/>
          <w:w w:val="105"/>
          <w:sz w:val="19"/>
        </w:rPr>
        <w:t> </w:t>
      </w:r>
      <w:r>
        <w:rPr>
          <w:rFonts w:ascii="Arial" w:hAnsi="Arial"/>
          <w:i/>
          <w:color w:val="231F20"/>
          <w:w w:val="105"/>
          <w:sz w:val="19"/>
        </w:rPr>
        <w:t>supera</w:t>
      </w:r>
      <w:r>
        <w:rPr>
          <w:rFonts w:ascii="Arial" w:hAnsi="Arial"/>
          <w:i/>
          <w:color w:val="231F20"/>
          <w:spacing w:val="-24"/>
          <w:w w:val="105"/>
          <w:sz w:val="19"/>
        </w:rPr>
        <w:t> </w:t>
      </w:r>
      <w:r>
        <w:rPr>
          <w:color w:val="231F20"/>
          <w:w w:val="105"/>
          <w:sz w:val="19"/>
        </w:rPr>
        <w:t>el término</w:t>
      </w:r>
      <w:r>
        <w:rPr>
          <w:color w:val="231F20"/>
          <w:spacing w:val="-12"/>
          <w:w w:val="105"/>
          <w:sz w:val="19"/>
        </w:rPr>
        <w:t> </w:t>
      </w:r>
      <w:r>
        <w:rPr>
          <w:color w:val="231F20"/>
          <w:w w:val="105"/>
          <w:sz w:val="19"/>
        </w:rPr>
        <w:t>al</w:t>
      </w:r>
      <w:r>
        <w:rPr>
          <w:color w:val="231F20"/>
          <w:spacing w:val="-12"/>
          <w:w w:val="105"/>
          <w:sz w:val="19"/>
        </w:rPr>
        <w:t> </w:t>
      </w:r>
      <w:r>
        <w:rPr>
          <w:color w:val="231F20"/>
          <w:w w:val="105"/>
          <w:sz w:val="19"/>
        </w:rPr>
        <w:t>que</w:t>
      </w:r>
      <w:r>
        <w:rPr>
          <w:color w:val="231F20"/>
          <w:spacing w:val="-12"/>
          <w:w w:val="105"/>
          <w:sz w:val="19"/>
        </w:rPr>
        <w:t> </w:t>
      </w:r>
      <w:r>
        <w:rPr>
          <w:color w:val="231F20"/>
          <w:w w:val="105"/>
          <w:sz w:val="19"/>
        </w:rPr>
        <w:t>acompaña.</w:t>
      </w:r>
      <w:r>
        <w:rPr>
          <w:color w:val="231F20"/>
          <w:spacing w:val="-12"/>
          <w:w w:val="105"/>
          <w:sz w:val="19"/>
        </w:rPr>
        <w:t> </w:t>
      </w:r>
      <w:r>
        <w:rPr>
          <w:color w:val="231F20"/>
          <w:w w:val="105"/>
          <w:sz w:val="19"/>
        </w:rPr>
        <w:t>“Post”</w:t>
      </w:r>
      <w:r>
        <w:rPr>
          <w:color w:val="231F20"/>
          <w:spacing w:val="-12"/>
          <w:w w:val="105"/>
          <w:sz w:val="19"/>
        </w:rPr>
        <w:t> </w:t>
      </w:r>
      <w:r>
        <w:rPr>
          <w:color w:val="231F20"/>
          <w:w w:val="105"/>
          <w:sz w:val="19"/>
        </w:rPr>
        <w:t>indica</w:t>
      </w:r>
      <w:r>
        <w:rPr>
          <w:color w:val="231F20"/>
          <w:spacing w:val="-12"/>
          <w:w w:val="105"/>
          <w:sz w:val="19"/>
        </w:rPr>
        <w:t> </w:t>
      </w:r>
      <w:r>
        <w:rPr>
          <w:color w:val="231F20"/>
          <w:w w:val="105"/>
          <w:sz w:val="19"/>
        </w:rPr>
        <w:t>una</w:t>
      </w:r>
      <w:r>
        <w:rPr>
          <w:color w:val="231F20"/>
          <w:spacing w:val="-12"/>
          <w:w w:val="105"/>
          <w:sz w:val="19"/>
        </w:rPr>
        <w:t> </w:t>
      </w:r>
      <w:r>
        <w:rPr>
          <w:color w:val="231F20"/>
          <w:w w:val="105"/>
          <w:sz w:val="19"/>
        </w:rPr>
        <w:t>condición</w:t>
      </w:r>
      <w:r>
        <w:rPr>
          <w:color w:val="231F20"/>
          <w:spacing w:val="-12"/>
          <w:w w:val="105"/>
          <w:sz w:val="19"/>
        </w:rPr>
        <w:t> </w:t>
      </w:r>
      <w:r>
        <w:rPr>
          <w:color w:val="231F20"/>
          <w:w w:val="105"/>
          <w:sz w:val="19"/>
        </w:rPr>
        <w:t>muy</w:t>
      </w:r>
      <w:r>
        <w:rPr>
          <w:color w:val="231F20"/>
          <w:spacing w:val="-12"/>
          <w:w w:val="105"/>
          <w:sz w:val="19"/>
        </w:rPr>
        <w:t> </w:t>
      </w:r>
      <w:r>
        <w:rPr>
          <w:color w:val="231F20"/>
          <w:spacing w:val="-3"/>
          <w:w w:val="105"/>
          <w:sz w:val="19"/>
        </w:rPr>
        <w:t>par- </w:t>
      </w:r>
      <w:r>
        <w:rPr>
          <w:color w:val="231F20"/>
          <w:w w:val="105"/>
          <w:sz w:val="19"/>
        </w:rPr>
        <w:t>ticular</w:t>
      </w:r>
      <w:r>
        <w:rPr>
          <w:color w:val="231F20"/>
          <w:spacing w:val="-11"/>
          <w:w w:val="105"/>
          <w:sz w:val="19"/>
        </w:rPr>
        <w:t> </w:t>
      </w:r>
      <w:r>
        <w:rPr>
          <w:color w:val="231F20"/>
          <w:w w:val="105"/>
          <w:sz w:val="19"/>
        </w:rPr>
        <w:t>de</w:t>
      </w:r>
      <w:r>
        <w:rPr>
          <w:color w:val="231F20"/>
          <w:spacing w:val="-11"/>
          <w:w w:val="105"/>
          <w:sz w:val="19"/>
        </w:rPr>
        <w:t> </w:t>
      </w:r>
      <w:r>
        <w:rPr>
          <w:color w:val="231F20"/>
          <w:w w:val="105"/>
          <w:sz w:val="19"/>
        </w:rPr>
        <w:t>posterioridad,</w:t>
      </w:r>
      <w:r>
        <w:rPr>
          <w:color w:val="231F20"/>
          <w:spacing w:val="-11"/>
          <w:w w:val="105"/>
          <w:sz w:val="19"/>
        </w:rPr>
        <w:t> </w:t>
      </w:r>
      <w:r>
        <w:rPr>
          <w:color w:val="231F20"/>
          <w:w w:val="105"/>
          <w:sz w:val="19"/>
        </w:rPr>
        <w:t>por</w:t>
      </w:r>
      <w:r>
        <w:rPr>
          <w:color w:val="231F20"/>
          <w:spacing w:val="-11"/>
          <w:w w:val="105"/>
          <w:sz w:val="19"/>
        </w:rPr>
        <w:t> </w:t>
      </w:r>
      <w:r>
        <w:rPr>
          <w:color w:val="231F20"/>
          <w:w w:val="105"/>
          <w:sz w:val="19"/>
        </w:rPr>
        <w:t>lo</w:t>
      </w:r>
      <w:r>
        <w:rPr>
          <w:color w:val="231F20"/>
          <w:spacing w:val="-11"/>
          <w:w w:val="105"/>
          <w:sz w:val="19"/>
        </w:rPr>
        <w:t> </w:t>
      </w:r>
      <w:r>
        <w:rPr>
          <w:color w:val="231F20"/>
          <w:w w:val="105"/>
          <w:sz w:val="19"/>
        </w:rPr>
        <w:t>cual</w:t>
      </w:r>
      <w:r>
        <w:rPr>
          <w:color w:val="231F20"/>
          <w:spacing w:val="-11"/>
          <w:w w:val="105"/>
          <w:sz w:val="19"/>
        </w:rPr>
        <w:t> </w:t>
      </w:r>
      <w:r>
        <w:rPr>
          <w:color w:val="231F20"/>
          <w:w w:val="105"/>
          <w:sz w:val="19"/>
        </w:rPr>
        <w:t>lo</w:t>
      </w:r>
      <w:r>
        <w:rPr>
          <w:color w:val="231F20"/>
          <w:spacing w:val="-11"/>
          <w:w w:val="105"/>
          <w:sz w:val="19"/>
        </w:rPr>
        <w:t> </w:t>
      </w:r>
      <w:r>
        <w:rPr>
          <w:color w:val="231F20"/>
          <w:w w:val="105"/>
          <w:sz w:val="19"/>
        </w:rPr>
        <w:t>que</w:t>
      </w:r>
      <w:r>
        <w:rPr>
          <w:color w:val="231F20"/>
          <w:spacing w:val="-11"/>
          <w:w w:val="105"/>
          <w:sz w:val="19"/>
        </w:rPr>
        <w:t> </w:t>
      </w:r>
      <w:r>
        <w:rPr>
          <w:color w:val="231F20"/>
          <w:w w:val="105"/>
          <w:sz w:val="19"/>
        </w:rPr>
        <w:t>ha</w:t>
      </w:r>
      <w:r>
        <w:rPr>
          <w:color w:val="231F20"/>
          <w:spacing w:val="-11"/>
          <w:w w:val="105"/>
          <w:sz w:val="19"/>
        </w:rPr>
        <w:t> </w:t>
      </w:r>
      <w:r>
        <w:rPr>
          <w:color w:val="231F20"/>
          <w:w w:val="105"/>
          <w:sz w:val="19"/>
        </w:rPr>
        <w:t>pasado</w:t>
      </w:r>
      <w:r>
        <w:rPr>
          <w:color w:val="231F20"/>
          <w:spacing w:val="-11"/>
          <w:w w:val="105"/>
          <w:sz w:val="19"/>
        </w:rPr>
        <w:t> </w:t>
      </w:r>
      <w:r>
        <w:rPr>
          <w:color w:val="231F20"/>
          <w:w w:val="105"/>
          <w:sz w:val="19"/>
        </w:rPr>
        <w:t>no</w:t>
      </w:r>
      <w:r>
        <w:rPr>
          <w:color w:val="231F20"/>
          <w:spacing w:val="-11"/>
          <w:w w:val="105"/>
          <w:sz w:val="19"/>
        </w:rPr>
        <w:t> </w:t>
      </w:r>
      <w:r>
        <w:rPr>
          <w:color w:val="231F20"/>
          <w:w w:val="105"/>
          <w:sz w:val="19"/>
        </w:rPr>
        <w:t>ha</w:t>
      </w:r>
      <w:r>
        <w:rPr>
          <w:color w:val="231F20"/>
          <w:spacing w:val="-11"/>
          <w:w w:val="105"/>
          <w:sz w:val="19"/>
        </w:rPr>
        <w:t> </w:t>
      </w:r>
      <w:r>
        <w:rPr>
          <w:color w:val="231F20"/>
          <w:w w:val="105"/>
          <w:sz w:val="19"/>
        </w:rPr>
        <w:t>sido superado</w:t>
      </w:r>
      <w:r>
        <w:rPr>
          <w:color w:val="231F20"/>
          <w:spacing w:val="-24"/>
          <w:w w:val="105"/>
          <w:sz w:val="19"/>
        </w:rPr>
        <w:t> </w:t>
      </w:r>
      <w:r>
        <w:rPr>
          <w:color w:val="231F20"/>
          <w:w w:val="105"/>
          <w:sz w:val="19"/>
        </w:rPr>
        <w:t>sino</w:t>
      </w:r>
      <w:r>
        <w:rPr>
          <w:color w:val="231F20"/>
          <w:spacing w:val="-24"/>
          <w:w w:val="105"/>
          <w:sz w:val="19"/>
        </w:rPr>
        <w:t> </w:t>
      </w:r>
      <w:r>
        <w:rPr>
          <w:color w:val="231F20"/>
          <w:w w:val="105"/>
          <w:sz w:val="19"/>
        </w:rPr>
        <w:t>que,</w:t>
      </w:r>
      <w:r>
        <w:rPr>
          <w:color w:val="231F20"/>
          <w:spacing w:val="-24"/>
          <w:w w:val="105"/>
          <w:sz w:val="19"/>
        </w:rPr>
        <w:t> </w:t>
      </w:r>
      <w:r>
        <w:rPr>
          <w:color w:val="231F20"/>
          <w:w w:val="105"/>
          <w:sz w:val="19"/>
        </w:rPr>
        <w:t>por</w:t>
      </w:r>
      <w:r>
        <w:rPr>
          <w:color w:val="231F20"/>
          <w:spacing w:val="-24"/>
          <w:w w:val="105"/>
          <w:sz w:val="19"/>
        </w:rPr>
        <w:t> </w:t>
      </w:r>
      <w:r>
        <w:rPr>
          <w:color w:val="231F20"/>
          <w:w w:val="105"/>
          <w:sz w:val="19"/>
        </w:rPr>
        <w:t>el</w:t>
      </w:r>
      <w:r>
        <w:rPr>
          <w:color w:val="231F20"/>
          <w:spacing w:val="-24"/>
          <w:w w:val="105"/>
          <w:sz w:val="19"/>
        </w:rPr>
        <w:t> </w:t>
      </w:r>
      <w:r>
        <w:rPr>
          <w:color w:val="231F20"/>
          <w:w w:val="105"/>
          <w:sz w:val="19"/>
        </w:rPr>
        <w:t>contrario,</w:t>
      </w:r>
      <w:r>
        <w:rPr>
          <w:color w:val="231F20"/>
          <w:spacing w:val="-24"/>
          <w:w w:val="105"/>
          <w:sz w:val="19"/>
        </w:rPr>
        <w:t> </w:t>
      </w:r>
      <w:r>
        <w:rPr>
          <w:color w:val="231F20"/>
          <w:w w:val="105"/>
          <w:sz w:val="19"/>
        </w:rPr>
        <w:t>inexorablemente</w:t>
      </w:r>
      <w:r>
        <w:rPr>
          <w:color w:val="231F20"/>
          <w:spacing w:val="-24"/>
          <w:w w:val="105"/>
          <w:sz w:val="19"/>
        </w:rPr>
        <w:t> </w:t>
      </w:r>
      <w:r>
        <w:rPr>
          <w:color w:val="231F20"/>
          <w:w w:val="105"/>
          <w:sz w:val="19"/>
        </w:rPr>
        <w:t>condiciona e</w:t>
      </w:r>
      <w:r>
        <w:rPr>
          <w:color w:val="231F20"/>
          <w:spacing w:val="-8"/>
          <w:w w:val="105"/>
          <w:sz w:val="19"/>
        </w:rPr>
        <w:t> </w:t>
      </w:r>
      <w:r>
        <w:rPr>
          <w:color w:val="231F20"/>
          <w:w w:val="105"/>
          <w:sz w:val="19"/>
        </w:rPr>
        <w:t>incluso</w:t>
      </w:r>
      <w:r>
        <w:rPr>
          <w:color w:val="231F20"/>
          <w:spacing w:val="-8"/>
          <w:w w:val="105"/>
          <w:sz w:val="19"/>
        </w:rPr>
        <w:t> </w:t>
      </w:r>
      <w:r>
        <w:rPr>
          <w:color w:val="231F20"/>
          <w:w w:val="105"/>
          <w:sz w:val="19"/>
        </w:rPr>
        <w:t>domina</w:t>
      </w:r>
      <w:r>
        <w:rPr>
          <w:color w:val="231F20"/>
          <w:spacing w:val="-8"/>
          <w:w w:val="105"/>
          <w:sz w:val="19"/>
        </w:rPr>
        <w:t> </w:t>
      </w:r>
      <w:r>
        <w:rPr>
          <w:color w:val="231F20"/>
          <w:w w:val="105"/>
          <w:sz w:val="19"/>
        </w:rPr>
        <w:t>un</w:t>
      </w:r>
      <w:r>
        <w:rPr>
          <w:color w:val="231F20"/>
          <w:spacing w:val="-8"/>
          <w:w w:val="105"/>
          <w:sz w:val="19"/>
        </w:rPr>
        <w:t> </w:t>
      </w:r>
      <w:r>
        <w:rPr>
          <w:color w:val="231F20"/>
          <w:w w:val="105"/>
          <w:sz w:val="19"/>
        </w:rPr>
        <w:t>presente</w:t>
      </w:r>
      <w:r>
        <w:rPr>
          <w:color w:val="231F20"/>
          <w:spacing w:val="-8"/>
          <w:w w:val="105"/>
          <w:sz w:val="19"/>
        </w:rPr>
        <w:t> </w:t>
      </w:r>
      <w:r>
        <w:rPr>
          <w:color w:val="231F20"/>
          <w:w w:val="105"/>
          <w:sz w:val="19"/>
        </w:rPr>
        <w:t>que</w:t>
      </w:r>
      <w:r>
        <w:rPr>
          <w:color w:val="231F20"/>
          <w:spacing w:val="-8"/>
          <w:w w:val="105"/>
          <w:sz w:val="19"/>
        </w:rPr>
        <w:t> </w:t>
      </w:r>
      <w:r>
        <w:rPr>
          <w:color w:val="231F20"/>
          <w:w w:val="105"/>
          <w:sz w:val="19"/>
        </w:rPr>
        <w:t>sin</w:t>
      </w:r>
      <w:r>
        <w:rPr>
          <w:color w:val="231F20"/>
          <w:spacing w:val="-8"/>
          <w:w w:val="105"/>
          <w:sz w:val="19"/>
        </w:rPr>
        <w:t> </w:t>
      </w:r>
      <w:r>
        <w:rPr>
          <w:color w:val="231F20"/>
          <w:w w:val="105"/>
          <w:sz w:val="19"/>
        </w:rPr>
        <w:t>embargo,</w:t>
      </w:r>
      <w:r>
        <w:rPr>
          <w:color w:val="231F20"/>
          <w:spacing w:val="-8"/>
          <w:w w:val="105"/>
          <w:sz w:val="19"/>
        </w:rPr>
        <w:t> </w:t>
      </w:r>
      <w:r>
        <w:rPr>
          <w:color w:val="231F20"/>
          <w:w w:val="105"/>
          <w:sz w:val="19"/>
        </w:rPr>
        <w:t>de</w:t>
      </w:r>
      <w:r>
        <w:rPr>
          <w:color w:val="231F20"/>
          <w:spacing w:val="-8"/>
          <w:w w:val="105"/>
          <w:sz w:val="19"/>
        </w:rPr>
        <w:t> </w:t>
      </w:r>
      <w:r>
        <w:rPr>
          <w:color w:val="231F20"/>
          <w:w w:val="105"/>
          <w:sz w:val="19"/>
        </w:rPr>
        <w:t>algún</w:t>
      </w:r>
      <w:r>
        <w:rPr>
          <w:color w:val="231F20"/>
          <w:spacing w:val="-8"/>
          <w:w w:val="105"/>
          <w:sz w:val="19"/>
        </w:rPr>
        <w:t> </w:t>
      </w:r>
      <w:r>
        <w:rPr>
          <w:color w:val="231F20"/>
          <w:w w:val="105"/>
          <w:sz w:val="19"/>
        </w:rPr>
        <w:t>modo introduce</w:t>
      </w:r>
      <w:r>
        <w:rPr>
          <w:color w:val="231F20"/>
          <w:spacing w:val="-8"/>
          <w:w w:val="105"/>
          <w:sz w:val="19"/>
        </w:rPr>
        <w:t> </w:t>
      </w:r>
      <w:r>
        <w:rPr>
          <w:color w:val="231F20"/>
          <w:w w:val="105"/>
          <w:sz w:val="19"/>
        </w:rPr>
        <w:t>una</w:t>
      </w:r>
      <w:r>
        <w:rPr>
          <w:color w:val="231F20"/>
          <w:spacing w:val="-8"/>
          <w:w w:val="105"/>
          <w:sz w:val="19"/>
        </w:rPr>
        <w:t> </w:t>
      </w:r>
      <w:r>
        <w:rPr>
          <w:color w:val="231F20"/>
          <w:w w:val="105"/>
          <w:sz w:val="19"/>
        </w:rPr>
        <w:t>discontinuidad.</w:t>
      </w:r>
      <w:r>
        <w:rPr>
          <w:color w:val="231F20"/>
          <w:spacing w:val="-8"/>
          <w:w w:val="105"/>
          <w:sz w:val="19"/>
        </w:rPr>
        <w:t> </w:t>
      </w:r>
      <w:r>
        <w:rPr>
          <w:color w:val="231F20"/>
          <w:w w:val="105"/>
          <w:sz w:val="19"/>
        </w:rPr>
        <w:t>En</w:t>
      </w:r>
      <w:r>
        <w:rPr>
          <w:color w:val="231F20"/>
          <w:spacing w:val="-8"/>
          <w:w w:val="105"/>
          <w:sz w:val="19"/>
        </w:rPr>
        <w:t> </w:t>
      </w:r>
      <w:r>
        <w:rPr>
          <w:color w:val="231F20"/>
          <w:w w:val="105"/>
          <w:sz w:val="19"/>
        </w:rPr>
        <w:t>otras</w:t>
      </w:r>
      <w:r>
        <w:rPr>
          <w:color w:val="231F20"/>
          <w:spacing w:val="-8"/>
          <w:w w:val="105"/>
          <w:sz w:val="19"/>
        </w:rPr>
        <w:t> </w:t>
      </w:r>
      <w:r>
        <w:rPr>
          <w:color w:val="231F20"/>
          <w:w w:val="105"/>
          <w:sz w:val="19"/>
        </w:rPr>
        <w:t>palabras,</w:t>
      </w:r>
      <w:r>
        <w:rPr>
          <w:color w:val="231F20"/>
          <w:spacing w:val="-8"/>
          <w:w w:val="105"/>
          <w:sz w:val="19"/>
        </w:rPr>
        <w:t> </w:t>
      </w:r>
      <w:r>
        <w:rPr>
          <w:color w:val="231F20"/>
          <w:w w:val="105"/>
          <w:sz w:val="19"/>
        </w:rPr>
        <w:t>usamos</w:t>
      </w:r>
      <w:r>
        <w:rPr>
          <w:color w:val="231F20"/>
          <w:spacing w:val="-8"/>
          <w:w w:val="105"/>
          <w:sz w:val="19"/>
        </w:rPr>
        <w:t> </w:t>
      </w:r>
      <w:r>
        <w:rPr>
          <w:color w:val="231F20"/>
          <w:w w:val="105"/>
          <w:sz w:val="19"/>
        </w:rPr>
        <w:t>el</w:t>
      </w:r>
      <w:r>
        <w:rPr>
          <w:color w:val="231F20"/>
          <w:spacing w:val="-8"/>
          <w:w w:val="105"/>
          <w:sz w:val="19"/>
        </w:rPr>
        <w:t> </w:t>
      </w:r>
      <w:r>
        <w:rPr>
          <w:color w:val="231F20"/>
          <w:spacing w:val="-3"/>
          <w:w w:val="105"/>
          <w:sz w:val="19"/>
        </w:rPr>
        <w:t>tér- </w:t>
      </w:r>
      <w:r>
        <w:rPr>
          <w:color w:val="231F20"/>
          <w:w w:val="105"/>
          <w:sz w:val="19"/>
        </w:rPr>
        <w:t>mino “post” sólo para indicar un presente que continúa siendo capturado</w:t>
      </w:r>
      <w:r>
        <w:rPr>
          <w:color w:val="231F20"/>
          <w:spacing w:val="-27"/>
          <w:w w:val="105"/>
          <w:sz w:val="19"/>
        </w:rPr>
        <w:t> </w:t>
      </w:r>
      <w:r>
        <w:rPr>
          <w:color w:val="231F20"/>
          <w:w w:val="105"/>
          <w:sz w:val="19"/>
        </w:rPr>
        <w:t>y</w:t>
      </w:r>
      <w:r>
        <w:rPr>
          <w:color w:val="231F20"/>
          <w:spacing w:val="-27"/>
          <w:w w:val="105"/>
          <w:sz w:val="19"/>
        </w:rPr>
        <w:t> </w:t>
      </w:r>
      <w:r>
        <w:rPr>
          <w:color w:val="231F20"/>
          <w:w w:val="105"/>
          <w:sz w:val="19"/>
        </w:rPr>
        <w:t>estructurado</w:t>
      </w:r>
      <w:r>
        <w:rPr>
          <w:color w:val="231F20"/>
          <w:spacing w:val="-27"/>
          <w:w w:val="105"/>
          <w:sz w:val="19"/>
        </w:rPr>
        <w:t> </w:t>
      </w:r>
      <w:r>
        <w:rPr>
          <w:color w:val="231F20"/>
          <w:w w:val="105"/>
          <w:sz w:val="19"/>
        </w:rPr>
        <w:t>desde</w:t>
      </w:r>
      <w:r>
        <w:rPr>
          <w:color w:val="231F20"/>
          <w:spacing w:val="-27"/>
          <w:w w:val="105"/>
          <w:sz w:val="19"/>
        </w:rPr>
        <w:t> </w:t>
      </w:r>
      <w:r>
        <w:rPr>
          <w:color w:val="231F20"/>
          <w:w w:val="105"/>
          <w:sz w:val="19"/>
        </w:rPr>
        <w:t>el</w:t>
      </w:r>
      <w:r>
        <w:rPr>
          <w:color w:val="231F20"/>
          <w:spacing w:val="-27"/>
          <w:w w:val="105"/>
          <w:sz w:val="19"/>
        </w:rPr>
        <w:t> </w:t>
      </w:r>
      <w:r>
        <w:rPr>
          <w:color w:val="231F20"/>
          <w:w w:val="105"/>
          <w:sz w:val="19"/>
        </w:rPr>
        <w:t>pasado”</w:t>
      </w:r>
      <w:r>
        <w:rPr>
          <w:color w:val="231F20"/>
          <w:w w:val="105"/>
          <w:position w:val="6"/>
          <w:sz w:val="11"/>
        </w:rPr>
        <w:t>39</w:t>
      </w:r>
      <w:r>
        <w:rPr>
          <w:color w:val="231F20"/>
          <w:w w:val="105"/>
          <w:sz w:val="19"/>
        </w:rPr>
        <w:t>.</w:t>
      </w:r>
    </w:p>
    <w:p>
      <w:pPr>
        <w:pStyle w:val="BodyText"/>
        <w:spacing w:before="11"/>
        <w:rPr>
          <w:sz w:val="23"/>
        </w:rPr>
      </w:pPr>
    </w:p>
    <w:p>
      <w:pPr>
        <w:pStyle w:val="BodyText"/>
        <w:spacing w:line="247" w:lineRule="auto"/>
        <w:ind w:left="117" w:right="101"/>
        <w:jc w:val="both"/>
      </w:pPr>
      <w:r>
        <w:rPr>
          <w:color w:val="231F20"/>
        </w:rPr>
        <w:t>Justo porque se refiere a la época en su conjunto, el atributo postcolonial termina entonces por actuar sobre todos los conceptos políticos y sociales obligando a su redeterminación total</w:t>
      </w:r>
      <w:r>
        <w:rPr>
          <w:color w:val="231F20"/>
          <w:position w:val="7"/>
          <w:sz w:val="12"/>
        </w:rPr>
        <w:t>40</w:t>
      </w:r>
      <w:r>
        <w:rPr>
          <w:color w:val="231F20"/>
        </w:rPr>
        <w:t>. El Estado postcolonial es así    algo</w:t>
      </w:r>
    </w:p>
    <w:p>
      <w:pPr>
        <w:pStyle w:val="BodyText"/>
        <w:spacing w:before="3"/>
        <w:rPr>
          <w:sz w:val="27"/>
        </w:rPr>
      </w:pPr>
      <w:r>
        <w:rPr/>
        <w:pict>
          <v:line style="position:absolute;mso-position-horizontal-relative:page;mso-position-vertical-relative:paragraph;z-index:3208;mso-wrap-distance-left:0;mso-wrap-distance-right:0" from="70.866096pt,18.560488pt" to="184.252096pt,18.560488pt" stroked="true" strokeweight=".3pt" strokecolor="#231f20">
            <w10:wrap type="topAndBottom"/>
          </v:line>
        </w:pict>
      </w:r>
    </w:p>
    <w:p>
      <w:pPr>
        <w:spacing w:line="204" w:lineRule="exact" w:before="8"/>
        <w:ind w:left="117" w:right="20" w:firstLine="0"/>
        <w:jc w:val="left"/>
        <w:rPr>
          <w:rFonts w:ascii="Calibri"/>
          <w:sz w:val="17"/>
        </w:rPr>
      </w:pPr>
      <w:r>
        <w:rPr>
          <w:rFonts w:ascii="Calibri"/>
          <w:color w:val="231F20"/>
          <w:position w:val="6"/>
          <w:sz w:val="10"/>
        </w:rPr>
        <w:t>38 </w:t>
      </w:r>
      <w:r>
        <w:rPr>
          <w:rFonts w:ascii="Calibri"/>
          <w:color w:val="231F20"/>
          <w:sz w:val="17"/>
        </w:rPr>
        <w:t>S. Mezzadra, </w:t>
      </w:r>
      <w:r>
        <w:rPr>
          <w:rFonts w:ascii="Calibri"/>
          <w:i/>
          <w:color w:val="231F20"/>
          <w:sz w:val="17"/>
        </w:rPr>
        <w:t>La condizione postcoloniale. Storia e politica nel presente globale</w:t>
      </w:r>
      <w:r>
        <w:rPr>
          <w:rFonts w:ascii="Calibri"/>
          <w:color w:val="231F20"/>
          <w:sz w:val="17"/>
        </w:rPr>
        <w:t>, Verona, Ombre Cor- te, 2008.</w:t>
      </w:r>
    </w:p>
    <w:p>
      <w:pPr>
        <w:spacing w:line="206" w:lineRule="exact" w:before="1"/>
        <w:ind w:left="117" w:right="0" w:firstLine="0"/>
        <w:jc w:val="left"/>
        <w:rPr>
          <w:rFonts w:ascii="Calibri"/>
          <w:sz w:val="17"/>
        </w:rPr>
      </w:pPr>
      <w:r>
        <w:rPr>
          <w:rFonts w:ascii="Calibri"/>
          <w:color w:val="231F20"/>
          <w:position w:val="6"/>
          <w:sz w:val="10"/>
        </w:rPr>
        <w:t>39 </w:t>
      </w:r>
      <w:r>
        <w:rPr>
          <w:rFonts w:ascii="Calibri"/>
          <w:color w:val="231F20"/>
          <w:sz w:val="17"/>
        </w:rPr>
        <w:t>N. Brown, </w:t>
      </w:r>
      <w:r>
        <w:rPr>
          <w:rFonts w:ascii="Calibri"/>
          <w:i/>
          <w:color w:val="231F20"/>
          <w:sz w:val="17"/>
        </w:rPr>
        <w:t>Walled States. Waining Sovereignty</w:t>
      </w:r>
      <w:r>
        <w:rPr>
          <w:rFonts w:ascii="Calibri"/>
          <w:color w:val="231F20"/>
          <w:sz w:val="17"/>
        </w:rPr>
        <w:t>, New York, Zone Book, 2010, p. 21.</w:t>
      </w:r>
    </w:p>
    <w:p>
      <w:pPr>
        <w:spacing w:line="206" w:lineRule="exact" w:before="0"/>
        <w:ind w:left="117" w:right="0" w:firstLine="0"/>
        <w:jc w:val="left"/>
        <w:rPr>
          <w:rFonts w:ascii="Calibri"/>
          <w:sz w:val="17"/>
        </w:rPr>
      </w:pPr>
      <w:r>
        <w:rPr>
          <w:rFonts w:ascii="Calibri"/>
          <w:color w:val="231F20"/>
          <w:position w:val="6"/>
          <w:sz w:val="10"/>
        </w:rPr>
        <w:t>40 </w:t>
      </w:r>
      <w:r>
        <w:rPr>
          <w:rFonts w:ascii="Calibri"/>
          <w:color w:val="231F20"/>
          <w:sz w:val="17"/>
        </w:rPr>
        <w:t>G. Ch. Spivak, </w:t>
      </w:r>
      <w:r>
        <w:rPr>
          <w:rFonts w:ascii="Calibri"/>
          <w:i/>
          <w:color w:val="231F20"/>
          <w:sz w:val="17"/>
        </w:rPr>
        <w:t>A Critique of Postcolonial Reason. Toward a History of the Vanishing Present</w:t>
      </w:r>
      <w:r>
        <w:rPr>
          <w:rFonts w:ascii="Calibri"/>
          <w:color w:val="231F20"/>
          <w:sz w:val="17"/>
        </w:rPr>
        <w:t>, Cambri-</w:t>
      </w:r>
    </w:p>
    <w:p>
      <w:pPr>
        <w:spacing w:after="0" w:line="206" w:lineRule="exact"/>
        <w:jc w:val="left"/>
        <w:rPr>
          <w:rFonts w:ascii="Calibri"/>
          <w:sz w:val="17"/>
        </w:rPr>
        <w:sectPr>
          <w:pgSz w:w="9640" w:h="13890"/>
          <w:pgMar w:top="0" w:bottom="280" w:left="1300" w:right="1200"/>
        </w:sectPr>
      </w:pPr>
    </w:p>
    <w:p>
      <w:pPr>
        <w:pStyle w:val="BodyText"/>
        <w:spacing w:line="247" w:lineRule="auto" w:before="107"/>
        <w:ind w:left="103" w:right="115"/>
        <w:jc w:val="both"/>
      </w:pPr>
      <w:r>
        <w:rPr>
          <w:color w:val="231F20"/>
        </w:rPr>
        <w:t>mucho más vasto y complejo que el emerger de la forma estatal en países anteriormente sometidos a la dominación colonial. No sucede que estos últimos emprendan el camino de la estatalidad como si ésta fuera única   y determinada. La realidad del Estado postcolonial retroactúa en cambio sobre el concepto de Estado moderno, evidenciando: a) características del Estado moderno que se consideraban superadas y de cualquier modo in- compatibles con su forma constitucional, democrática, racional; b) líneas de tendencia de la estatalidad moderna presentes, si bien con una intensi- dad diferente, incluso en los Estados que no provienen de una experiencia colonial sino, frecuentemente, como colonizadores. En otros términos, el Estado post colonial no es representable sólo como un retraso en el de- sarrollo de la estatalidad moderna, sino que determina el concepto en el momento</w:t>
      </w:r>
      <w:r>
        <w:rPr>
          <w:color w:val="231F20"/>
          <w:spacing w:val="-5"/>
        </w:rPr>
        <w:t> </w:t>
      </w:r>
      <w:r>
        <w:rPr>
          <w:color w:val="231F20"/>
        </w:rPr>
        <w:t>en</w:t>
      </w:r>
      <w:r>
        <w:rPr>
          <w:color w:val="231F20"/>
          <w:spacing w:val="-5"/>
        </w:rPr>
        <w:t> </w:t>
      </w:r>
      <w:r>
        <w:rPr>
          <w:color w:val="231F20"/>
        </w:rPr>
        <w:t>que</w:t>
      </w:r>
      <w:r>
        <w:rPr>
          <w:color w:val="231F20"/>
          <w:spacing w:val="-5"/>
        </w:rPr>
        <w:t> </w:t>
      </w:r>
      <w:r>
        <w:rPr>
          <w:color w:val="231F20"/>
        </w:rPr>
        <w:t>ésta</w:t>
      </w:r>
      <w:r>
        <w:rPr>
          <w:color w:val="231F20"/>
          <w:spacing w:val="-5"/>
        </w:rPr>
        <w:t> </w:t>
      </w:r>
      <w:r>
        <w:rPr>
          <w:color w:val="231F20"/>
        </w:rPr>
        <w:t>se</w:t>
      </w:r>
      <w:r>
        <w:rPr>
          <w:color w:val="231F20"/>
          <w:spacing w:val="-5"/>
        </w:rPr>
        <w:t> </w:t>
      </w:r>
      <w:r>
        <w:rPr>
          <w:color w:val="231F20"/>
        </w:rPr>
        <w:t>encuentra</w:t>
      </w:r>
      <w:r>
        <w:rPr>
          <w:color w:val="231F20"/>
          <w:spacing w:val="-5"/>
        </w:rPr>
        <w:t> </w:t>
      </w:r>
      <w:r>
        <w:rPr>
          <w:color w:val="231F20"/>
        </w:rPr>
        <w:t>encerrada</w:t>
      </w:r>
      <w:r>
        <w:rPr>
          <w:color w:val="231F20"/>
          <w:spacing w:val="-5"/>
        </w:rPr>
        <w:t> </w:t>
      </w:r>
      <w:r>
        <w:rPr>
          <w:color w:val="231F20"/>
        </w:rPr>
        <w:t>en</w:t>
      </w:r>
      <w:r>
        <w:rPr>
          <w:color w:val="231F20"/>
          <w:spacing w:val="-5"/>
        </w:rPr>
        <w:t> </w:t>
      </w:r>
      <w:r>
        <w:rPr>
          <w:color w:val="231F20"/>
        </w:rPr>
        <w:t>una</w:t>
      </w:r>
      <w:r>
        <w:rPr>
          <w:color w:val="231F20"/>
          <w:spacing w:val="-5"/>
        </w:rPr>
        <w:t> </w:t>
      </w:r>
      <w:r>
        <w:rPr>
          <w:color w:val="231F20"/>
        </w:rPr>
        <w:t>espacialidad</w:t>
      </w:r>
      <w:r>
        <w:rPr>
          <w:color w:val="231F20"/>
          <w:spacing w:val="-5"/>
        </w:rPr>
        <w:t> </w:t>
      </w:r>
      <w:r>
        <w:rPr>
          <w:color w:val="231F20"/>
        </w:rPr>
        <w:t>política, subvierte las distinciones entre centro y periferia, entre desarrollo y sub- desarrollo. Desde el punto de vista conceptual no se trata de “balancear diferentes acercamientos al estudio del Estado”, sino de “reconocer las co- nexiones integrales entre economía política, estructura social y diseño ins- titucional, práctica cotidiana y representación”</w:t>
      </w:r>
      <w:r>
        <w:rPr>
          <w:color w:val="231F20"/>
          <w:position w:val="7"/>
          <w:sz w:val="12"/>
        </w:rPr>
        <w:t>41</w:t>
      </w:r>
      <w:r>
        <w:rPr>
          <w:color w:val="231F20"/>
        </w:rPr>
        <w:t>. En el Estado global post- colonial el análisis no debe centrarse en la contraposición entre el carácter nacional</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posición</w:t>
      </w:r>
      <w:r>
        <w:rPr>
          <w:color w:val="231F20"/>
          <w:spacing w:val="-6"/>
        </w:rPr>
        <w:t> </w:t>
      </w:r>
      <w:r>
        <w:rPr>
          <w:color w:val="231F20"/>
        </w:rPr>
        <w:t>internacional,</w:t>
      </w:r>
      <w:r>
        <w:rPr>
          <w:color w:val="231F20"/>
          <w:spacing w:val="-6"/>
        </w:rPr>
        <w:t> </w:t>
      </w:r>
      <w:r>
        <w:rPr>
          <w:color w:val="231F20"/>
        </w:rPr>
        <w:t>sino</w:t>
      </w:r>
      <w:r>
        <w:rPr>
          <w:color w:val="231F20"/>
          <w:spacing w:val="-6"/>
        </w:rPr>
        <w:t> </w:t>
      </w:r>
      <w:r>
        <w:rPr>
          <w:color w:val="231F20"/>
        </w:rPr>
        <w:t>más</w:t>
      </w:r>
      <w:r>
        <w:rPr>
          <w:color w:val="231F20"/>
          <w:spacing w:val="-6"/>
        </w:rPr>
        <w:t> </w:t>
      </w:r>
      <w:r>
        <w:rPr>
          <w:color w:val="231F20"/>
        </w:rPr>
        <w:t>bien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comple- ja conexión administrativa que, gracias a los sistemas de </w:t>
      </w:r>
      <w:r>
        <w:rPr>
          <w:rFonts w:ascii="Arial" w:hAnsi="Arial"/>
          <w:i/>
          <w:color w:val="231F20"/>
        </w:rPr>
        <w:t>governance</w:t>
      </w:r>
      <w:r>
        <w:rPr>
          <w:color w:val="231F20"/>
          <w:position w:val="7"/>
          <w:sz w:val="12"/>
        </w:rPr>
        <w:t>42</w:t>
      </w:r>
      <w:r>
        <w:rPr>
          <w:color w:val="231F20"/>
        </w:rPr>
        <w:t>, lo conecta con los otros Estados. El Estado global postcolonial siempre se ha enfrentado a la propia insuficiencia, porque en su interior los procesos de constitucionalización vuelven a necesitar prácticas específicas de disciplina administrativa, porque no llegan nunca a normalizar la situación</w:t>
      </w:r>
      <w:r>
        <w:rPr>
          <w:color w:val="231F20"/>
          <w:position w:val="7"/>
          <w:sz w:val="12"/>
        </w:rPr>
        <w:t>43</w:t>
      </w:r>
      <w:r>
        <w:rPr>
          <w:color w:val="231F20"/>
        </w:rPr>
        <w:t>. Esto no ocurre sólo porque en la mayor parte de los casos la Constitución es, por así decirlo, un producto de importación que revela constantemente su ca- racterística</w:t>
      </w:r>
      <w:r>
        <w:rPr>
          <w:color w:val="231F20"/>
          <w:spacing w:val="-6"/>
        </w:rPr>
        <w:t> </w:t>
      </w:r>
      <w:r>
        <w:rPr>
          <w:color w:val="231F20"/>
        </w:rPr>
        <w:t>de</w:t>
      </w:r>
      <w:r>
        <w:rPr>
          <w:color w:val="231F20"/>
          <w:spacing w:val="-6"/>
        </w:rPr>
        <w:t> </w:t>
      </w:r>
      <w:r>
        <w:rPr>
          <w:color w:val="231F20"/>
        </w:rPr>
        <w:t>Constitución</w:t>
      </w:r>
      <w:r>
        <w:rPr>
          <w:color w:val="231F20"/>
          <w:spacing w:val="-6"/>
        </w:rPr>
        <w:t> </w:t>
      </w:r>
      <w:r>
        <w:rPr>
          <w:color w:val="231F20"/>
        </w:rPr>
        <w:t>colonial,</w:t>
      </w:r>
      <w:r>
        <w:rPr>
          <w:color w:val="231F20"/>
          <w:spacing w:val="-6"/>
        </w:rPr>
        <w:t> </w:t>
      </w:r>
      <w:r>
        <w:rPr>
          <w:color w:val="231F20"/>
        </w:rPr>
        <w:t>sino</w:t>
      </w:r>
      <w:r>
        <w:rPr>
          <w:color w:val="231F20"/>
          <w:spacing w:val="-6"/>
        </w:rPr>
        <w:t> </w:t>
      </w:r>
      <w:r>
        <w:rPr>
          <w:color w:val="231F20"/>
        </w:rPr>
        <w:t>también</w:t>
      </w:r>
      <w:r>
        <w:rPr>
          <w:color w:val="231F20"/>
          <w:spacing w:val="-6"/>
        </w:rPr>
        <w:t> </w:t>
      </w:r>
      <w:r>
        <w:rPr>
          <w:color w:val="231F20"/>
        </w:rPr>
        <w:t>porque</w:t>
      </w:r>
      <w:r>
        <w:rPr>
          <w:color w:val="231F20"/>
          <w:spacing w:val="-6"/>
        </w:rPr>
        <w:t> </w:t>
      </w:r>
      <w:r>
        <w:rPr>
          <w:color w:val="231F20"/>
        </w:rPr>
        <w:t>ésta</w:t>
      </w:r>
      <w:r>
        <w:rPr>
          <w:color w:val="231F20"/>
          <w:spacing w:val="-6"/>
        </w:rPr>
        <w:t> </w:t>
      </w:r>
      <w:r>
        <w:rPr>
          <w:color w:val="231F20"/>
        </w:rPr>
        <w:t>no</w:t>
      </w:r>
      <w:r>
        <w:rPr>
          <w:color w:val="231F20"/>
          <w:spacing w:val="-6"/>
        </w:rPr>
        <w:t> </w:t>
      </w:r>
      <w:r>
        <w:rPr>
          <w:color w:val="231F20"/>
        </w:rPr>
        <w:t>alcanza</w:t>
      </w:r>
      <w:r>
        <w:rPr>
          <w:color w:val="231F20"/>
          <w:spacing w:val="-6"/>
        </w:rPr>
        <w:t> </w:t>
      </w:r>
      <w:r>
        <w:rPr>
          <w:color w:val="231F20"/>
        </w:rPr>
        <w:t>a convertirse</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marco</w:t>
      </w:r>
      <w:r>
        <w:rPr>
          <w:color w:val="231F20"/>
          <w:spacing w:val="-6"/>
        </w:rPr>
        <w:t> </w:t>
      </w:r>
      <w:r>
        <w:rPr>
          <w:color w:val="231F20"/>
        </w:rPr>
        <w:t>de</w:t>
      </w:r>
      <w:r>
        <w:rPr>
          <w:color w:val="231F20"/>
          <w:spacing w:val="-6"/>
        </w:rPr>
        <w:t> </w:t>
      </w:r>
      <w:r>
        <w:rPr>
          <w:color w:val="231F20"/>
        </w:rPr>
        <w:t>referencia</w:t>
      </w:r>
      <w:r>
        <w:rPr>
          <w:color w:val="231F20"/>
          <w:spacing w:val="-6"/>
        </w:rPr>
        <w:t> </w:t>
      </w:r>
      <w:r>
        <w:rPr>
          <w:color w:val="231F20"/>
        </w:rPr>
        <w:t>que</w:t>
      </w:r>
      <w:r>
        <w:rPr>
          <w:color w:val="231F20"/>
          <w:spacing w:val="-6"/>
        </w:rPr>
        <w:t> </w:t>
      </w:r>
      <w:r>
        <w:rPr>
          <w:color w:val="231F20"/>
        </w:rPr>
        <w:t>pueda</w:t>
      </w:r>
      <w:r>
        <w:rPr>
          <w:color w:val="231F20"/>
          <w:spacing w:val="-6"/>
        </w:rPr>
        <w:t> </w:t>
      </w:r>
      <w:r>
        <w:rPr>
          <w:color w:val="231F20"/>
        </w:rPr>
        <w:t>garantizar</w:t>
      </w:r>
      <w:r>
        <w:rPr>
          <w:color w:val="231F20"/>
          <w:spacing w:val="-6"/>
        </w:rPr>
        <w:t> </w:t>
      </w:r>
      <w:r>
        <w:rPr>
          <w:color w:val="231F20"/>
        </w:rPr>
        <w:t>la</w:t>
      </w:r>
      <w:r>
        <w:rPr>
          <w:color w:val="231F20"/>
          <w:spacing w:val="-6"/>
        </w:rPr>
        <w:t> </w:t>
      </w:r>
      <w:r>
        <w:rPr>
          <w:color w:val="231F20"/>
        </w:rPr>
        <w:t>efectiva</w:t>
      </w:r>
      <w:r>
        <w:rPr>
          <w:color w:val="231F20"/>
          <w:spacing w:val="-6"/>
        </w:rPr>
        <w:t> </w:t>
      </w:r>
      <w:r>
        <w:rPr>
          <w:color w:val="231F20"/>
          <w:spacing w:val="-3"/>
        </w:rPr>
        <w:t>for- </w:t>
      </w:r>
      <w:r>
        <w:rPr>
          <w:color w:val="231F20"/>
        </w:rPr>
        <w:t>malidad y universalidad del Derecho. Ésta reclama continuamente enton- ces la acción de prácticas “gubernamentales” que no configuran una rela- ción entre el Estado como un lugar más o menos exclusivo de la</w:t>
      </w:r>
      <w:r>
        <w:rPr>
          <w:color w:val="231F20"/>
          <w:spacing w:val="-36"/>
        </w:rPr>
        <w:t> </w:t>
      </w:r>
      <w:r>
        <w:rPr>
          <w:color w:val="231F20"/>
        </w:rPr>
        <w:t>política</w:t>
      </w:r>
      <w:r>
        <w:rPr>
          <w:color w:val="231F20"/>
          <w:position w:val="7"/>
          <w:sz w:val="12"/>
        </w:rPr>
        <w:t>44 </w:t>
      </w:r>
      <w:r>
        <w:rPr>
          <w:color w:val="231F20"/>
        </w:rPr>
        <w:t>y</w:t>
      </w:r>
    </w:p>
    <w:p>
      <w:pPr>
        <w:pStyle w:val="BodyText"/>
        <w:spacing w:before="2"/>
        <w:rPr>
          <w:sz w:val="20"/>
        </w:rPr>
      </w:pPr>
      <w:r>
        <w:rPr/>
        <w:pict>
          <v:line style="position:absolute;mso-position-horizontal-relative:page;mso-position-vertical-relative:paragraph;z-index:3256;mso-wrap-distance-left:0;mso-wrap-distance-right:0" from="65.196899pt,14.306985pt" to="178.582899pt,14.306985pt" stroked="true" strokeweight=".3pt" strokecolor="#231f20">
            <w10:wrap type="topAndBottom"/>
          </v:line>
        </w:pict>
      </w:r>
    </w:p>
    <w:p>
      <w:pPr>
        <w:spacing w:line="206" w:lineRule="exact" w:before="10"/>
        <w:ind w:left="103" w:right="0" w:firstLine="0"/>
        <w:jc w:val="both"/>
        <w:rPr>
          <w:rFonts w:ascii="Calibri"/>
          <w:sz w:val="17"/>
        </w:rPr>
      </w:pPr>
      <w:r>
        <w:rPr>
          <w:rFonts w:ascii="Calibri"/>
          <w:color w:val="231F20"/>
          <w:sz w:val="17"/>
        </w:rPr>
        <w:t>dge (</w:t>
      </w:r>
      <w:r>
        <w:rPr>
          <w:rFonts w:ascii="Calibri"/>
          <w:color w:val="231F20"/>
          <w:sz w:val="15"/>
        </w:rPr>
        <w:t>MA</w:t>
      </w:r>
      <w:r>
        <w:rPr>
          <w:rFonts w:ascii="Calibri"/>
          <w:color w:val="231F20"/>
          <w:sz w:val="17"/>
        </w:rPr>
        <w:t>)/London, Harvard University Press,  1999.</w:t>
      </w:r>
    </w:p>
    <w:p>
      <w:pPr>
        <w:spacing w:line="235" w:lineRule="auto" w:before="1"/>
        <w:ind w:left="103" w:right="115" w:firstLine="0"/>
        <w:jc w:val="both"/>
        <w:rPr>
          <w:rFonts w:ascii="Calibri" w:hAnsi="Calibri"/>
          <w:sz w:val="17"/>
        </w:rPr>
      </w:pPr>
      <w:r>
        <w:rPr>
          <w:rFonts w:ascii="Calibri" w:hAnsi="Calibri"/>
          <w:color w:val="231F20"/>
          <w:position w:val="6"/>
          <w:sz w:val="10"/>
        </w:rPr>
        <w:t>41 </w:t>
      </w:r>
      <w:r>
        <w:rPr>
          <w:rFonts w:ascii="Calibri" w:hAnsi="Calibri"/>
          <w:color w:val="231F20"/>
          <w:sz w:val="17"/>
        </w:rPr>
        <w:t>A. Gupta and A. Sharma, “Globalization and Postcolonial States”, </w:t>
      </w:r>
      <w:r>
        <w:rPr>
          <w:rFonts w:ascii="Calibri" w:hAnsi="Calibri"/>
          <w:i/>
          <w:color w:val="231F20"/>
          <w:sz w:val="17"/>
        </w:rPr>
        <w:t>Current Anthropology</w:t>
      </w:r>
      <w:r>
        <w:rPr>
          <w:rFonts w:ascii="Calibri" w:hAnsi="Calibri"/>
          <w:color w:val="231F20"/>
          <w:sz w:val="17"/>
        </w:rPr>
        <w:t>, 47, Number 2, April 2006, p. 279.</w:t>
      </w:r>
    </w:p>
    <w:p>
      <w:pPr>
        <w:spacing w:line="235" w:lineRule="auto" w:before="0"/>
        <w:ind w:left="103" w:right="115" w:firstLine="0"/>
        <w:jc w:val="both"/>
        <w:rPr>
          <w:rFonts w:ascii="Calibri"/>
          <w:sz w:val="17"/>
        </w:rPr>
      </w:pPr>
      <w:r>
        <w:rPr>
          <w:rFonts w:ascii="Calibri"/>
          <w:color w:val="231F20"/>
          <w:position w:val="6"/>
          <w:sz w:val="10"/>
        </w:rPr>
        <w:t>42 </w:t>
      </w:r>
      <w:r>
        <w:rPr>
          <w:rFonts w:ascii="Calibri"/>
          <w:color w:val="231F20"/>
          <w:sz w:val="17"/>
        </w:rPr>
        <w:t>S. Bell y A. Hindmoor, </w:t>
      </w:r>
      <w:r>
        <w:rPr>
          <w:rFonts w:ascii="Calibri"/>
          <w:i/>
          <w:color w:val="231F20"/>
          <w:sz w:val="17"/>
        </w:rPr>
        <w:t>Rethinking Governance. The Centrality of the State in Modern Society</w:t>
      </w:r>
      <w:r>
        <w:rPr>
          <w:rFonts w:ascii="Calibri"/>
          <w:color w:val="231F20"/>
          <w:sz w:val="17"/>
        </w:rPr>
        <w:t>, Cam- bridge, Cambridge University Press,  2009.</w:t>
      </w:r>
    </w:p>
    <w:p>
      <w:pPr>
        <w:spacing w:line="235" w:lineRule="auto" w:before="0"/>
        <w:ind w:left="103" w:right="115" w:firstLine="0"/>
        <w:jc w:val="both"/>
        <w:rPr>
          <w:rFonts w:ascii="Calibri" w:hAnsi="Calibri"/>
          <w:sz w:val="17"/>
        </w:rPr>
      </w:pPr>
      <w:r>
        <w:rPr>
          <w:rFonts w:ascii="Calibri" w:hAnsi="Calibri"/>
          <w:color w:val="231F20"/>
          <w:w w:val="105"/>
          <w:position w:val="6"/>
          <w:sz w:val="10"/>
        </w:rPr>
        <w:t>43</w:t>
      </w:r>
      <w:r>
        <w:rPr>
          <w:rFonts w:ascii="Calibri" w:hAnsi="Calibri"/>
          <w:color w:val="231F20"/>
          <w:spacing w:val="-4"/>
          <w:w w:val="105"/>
          <w:position w:val="6"/>
          <w:sz w:val="10"/>
        </w:rPr>
        <w:t> </w:t>
      </w:r>
      <w:r>
        <w:rPr>
          <w:rFonts w:ascii="Calibri" w:hAnsi="Calibri"/>
          <w:i/>
          <w:color w:val="231F20"/>
          <w:spacing w:val="-4"/>
          <w:w w:val="105"/>
          <w:sz w:val="17"/>
        </w:rPr>
        <w:t>Cfr.</w:t>
      </w:r>
      <w:r>
        <w:rPr>
          <w:rFonts w:ascii="Calibri" w:hAnsi="Calibri"/>
          <w:i/>
          <w:color w:val="231F20"/>
          <w:spacing w:val="-6"/>
          <w:w w:val="105"/>
          <w:sz w:val="17"/>
        </w:rPr>
        <w:t> </w:t>
      </w:r>
      <w:r>
        <w:rPr>
          <w:rFonts w:ascii="Calibri" w:hAnsi="Calibri"/>
          <w:color w:val="231F20"/>
          <w:w w:val="105"/>
          <w:sz w:val="17"/>
        </w:rPr>
        <w:t>el</w:t>
      </w:r>
      <w:r>
        <w:rPr>
          <w:rFonts w:ascii="Calibri" w:hAnsi="Calibri"/>
          <w:color w:val="231F20"/>
          <w:spacing w:val="-6"/>
          <w:w w:val="105"/>
          <w:sz w:val="17"/>
        </w:rPr>
        <w:t> </w:t>
      </w:r>
      <w:r>
        <w:rPr>
          <w:rFonts w:ascii="Calibri" w:hAnsi="Calibri"/>
          <w:color w:val="231F20"/>
          <w:w w:val="105"/>
          <w:sz w:val="17"/>
        </w:rPr>
        <w:t>capítulo</w:t>
      </w:r>
      <w:r>
        <w:rPr>
          <w:rFonts w:ascii="Calibri" w:hAnsi="Calibri"/>
          <w:color w:val="231F20"/>
          <w:spacing w:val="-6"/>
          <w:w w:val="105"/>
          <w:sz w:val="17"/>
        </w:rPr>
        <w:t> </w:t>
      </w:r>
      <w:r>
        <w:rPr>
          <w:rFonts w:ascii="Calibri" w:hAnsi="Calibri"/>
          <w:color w:val="231F20"/>
          <w:w w:val="105"/>
          <w:sz w:val="17"/>
        </w:rPr>
        <w:t>sobre</w:t>
      </w:r>
      <w:r>
        <w:rPr>
          <w:rFonts w:ascii="Calibri" w:hAnsi="Calibri"/>
          <w:color w:val="231F20"/>
          <w:spacing w:val="-6"/>
          <w:w w:val="105"/>
          <w:sz w:val="17"/>
        </w:rPr>
        <w:t> </w:t>
      </w:r>
      <w:r>
        <w:rPr>
          <w:rFonts w:ascii="Calibri" w:hAnsi="Calibri"/>
          <w:color w:val="231F20"/>
          <w:w w:val="105"/>
          <w:sz w:val="17"/>
        </w:rPr>
        <w:t>el</w:t>
      </w:r>
      <w:r>
        <w:rPr>
          <w:rFonts w:ascii="Calibri" w:hAnsi="Calibri"/>
          <w:color w:val="231F20"/>
          <w:spacing w:val="-6"/>
          <w:w w:val="105"/>
          <w:sz w:val="17"/>
        </w:rPr>
        <w:t> </w:t>
      </w:r>
      <w:r>
        <w:rPr>
          <w:rFonts w:ascii="Calibri" w:hAnsi="Calibri"/>
          <w:i/>
          <w:color w:val="231F20"/>
          <w:w w:val="105"/>
          <w:sz w:val="17"/>
        </w:rPr>
        <w:t>Colonial</w:t>
      </w:r>
      <w:r>
        <w:rPr>
          <w:rFonts w:ascii="Calibri" w:hAnsi="Calibri"/>
          <w:i/>
          <w:color w:val="231F20"/>
          <w:spacing w:val="-7"/>
          <w:w w:val="105"/>
          <w:sz w:val="17"/>
        </w:rPr>
        <w:t> </w:t>
      </w:r>
      <w:r>
        <w:rPr>
          <w:rFonts w:ascii="Calibri" w:hAnsi="Calibri"/>
          <w:i/>
          <w:color w:val="231F20"/>
          <w:w w:val="105"/>
          <w:sz w:val="17"/>
        </w:rPr>
        <w:t>Constitutionalism</w:t>
      </w:r>
      <w:r>
        <w:rPr>
          <w:rFonts w:ascii="Calibri" w:hAnsi="Calibri"/>
          <w:color w:val="231F20"/>
          <w:w w:val="105"/>
          <w:sz w:val="17"/>
        </w:rPr>
        <w:t>,</w:t>
      </w:r>
      <w:r>
        <w:rPr>
          <w:rFonts w:ascii="Calibri" w:hAnsi="Calibri"/>
          <w:color w:val="231F20"/>
          <w:spacing w:val="-6"/>
          <w:w w:val="105"/>
          <w:sz w:val="17"/>
        </w:rPr>
        <w:t> </w:t>
      </w:r>
      <w:r>
        <w:rPr>
          <w:rFonts w:ascii="Calibri" w:hAnsi="Calibri"/>
          <w:color w:val="231F20"/>
          <w:w w:val="105"/>
          <w:sz w:val="17"/>
        </w:rPr>
        <w:t>R.</w:t>
      </w:r>
      <w:r>
        <w:rPr>
          <w:rFonts w:ascii="Calibri" w:hAnsi="Calibri"/>
          <w:color w:val="231F20"/>
          <w:spacing w:val="-6"/>
          <w:w w:val="105"/>
          <w:sz w:val="17"/>
        </w:rPr>
        <w:t> </w:t>
      </w:r>
      <w:r>
        <w:rPr>
          <w:rFonts w:ascii="Calibri" w:hAnsi="Calibri"/>
          <w:color w:val="231F20"/>
          <w:w w:val="105"/>
          <w:sz w:val="17"/>
        </w:rPr>
        <w:t>Samaddar,</w:t>
      </w:r>
      <w:r>
        <w:rPr>
          <w:rFonts w:ascii="Calibri" w:hAnsi="Calibri"/>
          <w:color w:val="231F20"/>
          <w:spacing w:val="-8"/>
          <w:w w:val="105"/>
          <w:sz w:val="17"/>
        </w:rPr>
        <w:t> </w:t>
      </w:r>
      <w:r>
        <w:rPr>
          <w:rFonts w:ascii="Calibri" w:hAnsi="Calibri"/>
          <w:color w:val="231F20"/>
          <w:w w:val="105"/>
          <w:sz w:val="17"/>
        </w:rPr>
        <w:t>T</w:t>
      </w:r>
      <w:r>
        <w:rPr>
          <w:rFonts w:ascii="Calibri" w:hAnsi="Calibri"/>
          <w:i/>
          <w:color w:val="231F20"/>
          <w:w w:val="105"/>
          <w:sz w:val="17"/>
        </w:rPr>
        <w:t>he</w:t>
      </w:r>
      <w:r>
        <w:rPr>
          <w:rFonts w:ascii="Calibri" w:hAnsi="Calibri"/>
          <w:i/>
          <w:color w:val="231F20"/>
          <w:spacing w:val="-7"/>
          <w:w w:val="105"/>
          <w:sz w:val="17"/>
        </w:rPr>
        <w:t> </w:t>
      </w:r>
      <w:r>
        <w:rPr>
          <w:rFonts w:ascii="Calibri" w:hAnsi="Calibri"/>
          <w:i/>
          <w:color w:val="231F20"/>
          <w:w w:val="105"/>
          <w:sz w:val="17"/>
        </w:rPr>
        <w:t>Materiality</w:t>
      </w:r>
      <w:r>
        <w:rPr>
          <w:rFonts w:ascii="Calibri" w:hAnsi="Calibri"/>
          <w:i/>
          <w:color w:val="231F20"/>
          <w:spacing w:val="-7"/>
          <w:w w:val="105"/>
          <w:sz w:val="17"/>
        </w:rPr>
        <w:t> </w:t>
      </w:r>
      <w:r>
        <w:rPr>
          <w:rFonts w:ascii="Calibri" w:hAnsi="Calibri"/>
          <w:i/>
          <w:color w:val="231F20"/>
          <w:w w:val="105"/>
          <w:sz w:val="17"/>
        </w:rPr>
        <w:t>of</w:t>
      </w:r>
      <w:r>
        <w:rPr>
          <w:rFonts w:ascii="Calibri" w:hAnsi="Calibri"/>
          <w:i/>
          <w:color w:val="231F20"/>
          <w:spacing w:val="-7"/>
          <w:w w:val="105"/>
          <w:sz w:val="17"/>
        </w:rPr>
        <w:t> </w:t>
      </w:r>
      <w:r>
        <w:rPr>
          <w:rFonts w:ascii="Calibri" w:hAnsi="Calibri"/>
          <w:i/>
          <w:color w:val="231F20"/>
          <w:w w:val="105"/>
          <w:sz w:val="17"/>
        </w:rPr>
        <w:t>Politics.</w:t>
      </w:r>
      <w:r>
        <w:rPr>
          <w:rFonts w:ascii="Calibri" w:hAnsi="Calibri"/>
          <w:i/>
          <w:color w:val="231F20"/>
          <w:spacing w:val="-9"/>
          <w:w w:val="105"/>
          <w:sz w:val="17"/>
        </w:rPr>
        <w:t> </w:t>
      </w:r>
      <w:r>
        <w:rPr>
          <w:rFonts w:ascii="Calibri" w:hAnsi="Calibri"/>
          <w:i/>
          <w:color w:val="231F20"/>
          <w:w w:val="105"/>
          <w:sz w:val="17"/>
        </w:rPr>
        <w:t>The </w:t>
      </w:r>
      <w:r>
        <w:rPr>
          <w:rFonts w:ascii="Calibri" w:hAnsi="Calibri"/>
          <w:i/>
          <w:color w:val="231F20"/>
          <w:w w:val="105"/>
          <w:sz w:val="17"/>
        </w:rPr>
        <w:t>Technologies</w:t>
      </w:r>
      <w:r>
        <w:rPr>
          <w:rFonts w:ascii="Calibri" w:hAnsi="Calibri"/>
          <w:i/>
          <w:color w:val="231F20"/>
          <w:spacing w:val="-26"/>
          <w:w w:val="105"/>
          <w:sz w:val="17"/>
        </w:rPr>
        <w:t> </w:t>
      </w:r>
      <w:r>
        <w:rPr>
          <w:rFonts w:ascii="Calibri" w:hAnsi="Calibri"/>
          <w:i/>
          <w:color w:val="231F20"/>
          <w:w w:val="105"/>
          <w:sz w:val="17"/>
        </w:rPr>
        <w:t>of</w:t>
      </w:r>
      <w:r>
        <w:rPr>
          <w:rFonts w:ascii="Calibri" w:hAnsi="Calibri"/>
          <w:i/>
          <w:color w:val="231F20"/>
          <w:spacing w:val="-26"/>
          <w:w w:val="105"/>
          <w:sz w:val="17"/>
        </w:rPr>
        <w:t> </w:t>
      </w:r>
      <w:r>
        <w:rPr>
          <w:rFonts w:ascii="Calibri" w:hAnsi="Calibri"/>
          <w:i/>
          <w:color w:val="231F20"/>
          <w:w w:val="105"/>
          <w:sz w:val="17"/>
        </w:rPr>
        <w:t>Rule</w:t>
      </w:r>
      <w:r>
        <w:rPr>
          <w:rFonts w:ascii="Calibri" w:hAnsi="Calibri"/>
          <w:color w:val="231F20"/>
          <w:w w:val="105"/>
          <w:sz w:val="17"/>
        </w:rPr>
        <w:t>,</w:t>
      </w:r>
      <w:r>
        <w:rPr>
          <w:rFonts w:ascii="Calibri" w:hAnsi="Calibri"/>
          <w:color w:val="231F20"/>
          <w:spacing w:val="-26"/>
          <w:w w:val="105"/>
          <w:sz w:val="17"/>
        </w:rPr>
        <w:t> </w:t>
      </w:r>
      <w:r>
        <w:rPr>
          <w:rFonts w:ascii="Calibri" w:hAnsi="Calibri"/>
          <w:color w:val="231F20"/>
          <w:w w:val="105"/>
          <w:sz w:val="17"/>
        </w:rPr>
        <w:t>London,</w:t>
      </w:r>
      <w:r>
        <w:rPr>
          <w:rFonts w:ascii="Calibri" w:hAnsi="Calibri"/>
          <w:color w:val="231F20"/>
          <w:spacing w:val="-26"/>
          <w:w w:val="105"/>
          <w:sz w:val="17"/>
        </w:rPr>
        <w:t> </w:t>
      </w:r>
      <w:r>
        <w:rPr>
          <w:rFonts w:ascii="Calibri" w:hAnsi="Calibri"/>
          <w:color w:val="231F20"/>
          <w:w w:val="105"/>
          <w:sz w:val="17"/>
        </w:rPr>
        <w:t>Anthem</w:t>
      </w:r>
      <w:r>
        <w:rPr>
          <w:rFonts w:ascii="Calibri" w:hAnsi="Calibri"/>
          <w:color w:val="231F20"/>
          <w:spacing w:val="-26"/>
          <w:w w:val="105"/>
          <w:sz w:val="17"/>
        </w:rPr>
        <w:t> </w:t>
      </w:r>
      <w:r>
        <w:rPr>
          <w:rFonts w:ascii="Calibri" w:hAnsi="Calibri"/>
          <w:color w:val="231F20"/>
          <w:w w:val="105"/>
          <w:sz w:val="17"/>
        </w:rPr>
        <w:t>Press,</w:t>
      </w:r>
      <w:r>
        <w:rPr>
          <w:rFonts w:ascii="Calibri" w:hAnsi="Calibri"/>
          <w:color w:val="231F20"/>
          <w:spacing w:val="-26"/>
          <w:w w:val="105"/>
          <w:sz w:val="17"/>
        </w:rPr>
        <w:t> </w:t>
      </w:r>
      <w:r>
        <w:rPr>
          <w:rFonts w:ascii="Calibri" w:hAnsi="Calibri"/>
          <w:color w:val="231F20"/>
          <w:spacing w:val="-4"/>
          <w:w w:val="105"/>
          <w:sz w:val="17"/>
        </w:rPr>
        <w:t>2007.</w:t>
      </w:r>
    </w:p>
    <w:p>
      <w:pPr>
        <w:spacing w:line="235" w:lineRule="auto" w:before="0"/>
        <w:ind w:left="103" w:right="114" w:firstLine="0"/>
        <w:jc w:val="both"/>
        <w:rPr>
          <w:rFonts w:ascii="Calibri" w:hAnsi="Calibri"/>
          <w:sz w:val="17"/>
        </w:rPr>
      </w:pPr>
      <w:r>
        <w:rPr>
          <w:rFonts w:ascii="Calibri" w:hAnsi="Calibri"/>
          <w:color w:val="231F20"/>
          <w:w w:val="105"/>
          <w:position w:val="6"/>
          <w:sz w:val="10"/>
        </w:rPr>
        <w:t>44</w:t>
      </w:r>
      <w:r>
        <w:rPr>
          <w:rFonts w:ascii="Calibri" w:hAnsi="Calibri"/>
          <w:color w:val="231F20"/>
          <w:spacing w:val="-5"/>
          <w:w w:val="105"/>
          <w:position w:val="6"/>
          <w:sz w:val="10"/>
        </w:rPr>
        <w:t> </w:t>
      </w:r>
      <w:r>
        <w:rPr>
          <w:rFonts w:ascii="Calibri" w:hAnsi="Calibri"/>
          <w:color w:val="231F20"/>
          <w:w w:val="105"/>
          <w:sz w:val="17"/>
        </w:rPr>
        <w:t>Sobre</w:t>
      </w:r>
      <w:r>
        <w:rPr>
          <w:rFonts w:ascii="Calibri" w:hAnsi="Calibri"/>
          <w:color w:val="231F20"/>
          <w:spacing w:val="-21"/>
          <w:w w:val="105"/>
          <w:sz w:val="17"/>
        </w:rPr>
        <w:t> </w:t>
      </w:r>
      <w:r>
        <w:rPr>
          <w:rFonts w:ascii="Calibri" w:hAnsi="Calibri"/>
          <w:color w:val="231F20"/>
          <w:w w:val="105"/>
          <w:sz w:val="17"/>
        </w:rPr>
        <w:t>el</w:t>
      </w:r>
      <w:r>
        <w:rPr>
          <w:rFonts w:ascii="Calibri" w:hAnsi="Calibri"/>
          <w:color w:val="231F20"/>
          <w:spacing w:val="-21"/>
          <w:w w:val="105"/>
          <w:sz w:val="17"/>
        </w:rPr>
        <w:t> </w:t>
      </w:r>
      <w:r>
        <w:rPr>
          <w:rFonts w:ascii="Calibri" w:hAnsi="Calibri"/>
          <w:color w:val="231F20"/>
          <w:w w:val="105"/>
          <w:sz w:val="17"/>
        </w:rPr>
        <w:t>uso</w:t>
      </w:r>
      <w:r>
        <w:rPr>
          <w:rFonts w:ascii="Calibri" w:hAnsi="Calibri"/>
          <w:color w:val="231F20"/>
          <w:spacing w:val="-21"/>
          <w:w w:val="105"/>
          <w:sz w:val="17"/>
        </w:rPr>
        <w:t> </w:t>
      </w:r>
      <w:r>
        <w:rPr>
          <w:rFonts w:ascii="Calibri" w:hAnsi="Calibri"/>
          <w:color w:val="231F20"/>
          <w:w w:val="105"/>
          <w:sz w:val="17"/>
        </w:rPr>
        <w:t>político</w:t>
      </w:r>
      <w:r>
        <w:rPr>
          <w:rFonts w:ascii="Calibri" w:hAnsi="Calibri"/>
          <w:color w:val="231F20"/>
          <w:spacing w:val="-21"/>
          <w:w w:val="105"/>
          <w:sz w:val="17"/>
        </w:rPr>
        <w:t> </w:t>
      </w:r>
      <w:r>
        <w:rPr>
          <w:rFonts w:ascii="Calibri" w:hAnsi="Calibri"/>
          <w:color w:val="231F20"/>
          <w:w w:val="105"/>
          <w:sz w:val="17"/>
        </w:rPr>
        <w:t>de</w:t>
      </w:r>
      <w:r>
        <w:rPr>
          <w:rFonts w:ascii="Calibri" w:hAnsi="Calibri"/>
          <w:color w:val="231F20"/>
          <w:spacing w:val="-21"/>
          <w:w w:val="105"/>
          <w:sz w:val="17"/>
        </w:rPr>
        <w:t> </w:t>
      </w:r>
      <w:r>
        <w:rPr>
          <w:rFonts w:ascii="Calibri" w:hAnsi="Calibri"/>
          <w:color w:val="231F20"/>
          <w:w w:val="105"/>
          <w:sz w:val="17"/>
        </w:rPr>
        <w:t>la</w:t>
      </w:r>
      <w:r>
        <w:rPr>
          <w:rFonts w:ascii="Calibri" w:hAnsi="Calibri"/>
          <w:color w:val="231F20"/>
          <w:spacing w:val="-21"/>
          <w:w w:val="105"/>
          <w:sz w:val="17"/>
        </w:rPr>
        <w:t> </w:t>
      </w:r>
      <w:r>
        <w:rPr>
          <w:rFonts w:ascii="Calibri" w:hAnsi="Calibri"/>
          <w:color w:val="231F20"/>
          <w:w w:val="105"/>
          <w:sz w:val="17"/>
        </w:rPr>
        <w:t>categoría</w:t>
      </w:r>
      <w:r>
        <w:rPr>
          <w:rFonts w:ascii="Calibri" w:hAnsi="Calibri"/>
          <w:color w:val="231F20"/>
          <w:spacing w:val="-21"/>
          <w:w w:val="105"/>
          <w:sz w:val="17"/>
        </w:rPr>
        <w:t> </w:t>
      </w:r>
      <w:r>
        <w:rPr>
          <w:rFonts w:ascii="Calibri" w:hAnsi="Calibri"/>
          <w:color w:val="231F20"/>
          <w:w w:val="105"/>
          <w:sz w:val="17"/>
        </w:rPr>
        <w:t>de</w:t>
      </w:r>
      <w:r>
        <w:rPr>
          <w:rFonts w:ascii="Calibri" w:hAnsi="Calibri"/>
          <w:color w:val="231F20"/>
          <w:spacing w:val="-21"/>
          <w:w w:val="105"/>
          <w:sz w:val="17"/>
        </w:rPr>
        <w:t> </w:t>
      </w:r>
      <w:r>
        <w:rPr>
          <w:rFonts w:ascii="Calibri" w:hAnsi="Calibri"/>
          <w:color w:val="231F20"/>
          <w:w w:val="105"/>
          <w:sz w:val="17"/>
        </w:rPr>
        <w:t>“gubernamentalidad“</w:t>
      </w:r>
      <w:r>
        <w:rPr>
          <w:rFonts w:ascii="Calibri" w:hAnsi="Calibri"/>
          <w:color w:val="231F20"/>
          <w:spacing w:val="-21"/>
          <w:w w:val="105"/>
          <w:sz w:val="17"/>
        </w:rPr>
        <w:t> </w:t>
      </w:r>
      <w:r>
        <w:rPr>
          <w:rFonts w:ascii="Calibri" w:hAnsi="Calibri"/>
          <w:i/>
          <w:color w:val="231F20"/>
          <w:spacing w:val="-4"/>
          <w:w w:val="105"/>
          <w:sz w:val="17"/>
        </w:rPr>
        <w:t>cfr.</w:t>
      </w:r>
      <w:r>
        <w:rPr>
          <w:rFonts w:ascii="Calibri" w:hAnsi="Calibri"/>
          <w:i/>
          <w:color w:val="231F20"/>
          <w:spacing w:val="-21"/>
          <w:w w:val="105"/>
          <w:sz w:val="17"/>
        </w:rPr>
        <w:t> </w:t>
      </w:r>
      <w:r>
        <w:rPr>
          <w:rFonts w:ascii="Calibri" w:hAnsi="Calibri"/>
          <w:color w:val="231F20"/>
          <w:w w:val="105"/>
          <w:sz w:val="17"/>
        </w:rPr>
        <w:t>N.</w:t>
      </w:r>
      <w:r>
        <w:rPr>
          <w:rFonts w:ascii="Calibri" w:hAnsi="Calibri"/>
          <w:color w:val="231F20"/>
          <w:spacing w:val="-21"/>
          <w:w w:val="105"/>
          <w:sz w:val="17"/>
        </w:rPr>
        <w:t> </w:t>
      </w:r>
      <w:r>
        <w:rPr>
          <w:rFonts w:ascii="Calibri" w:hAnsi="Calibri"/>
          <w:color w:val="231F20"/>
          <w:w w:val="105"/>
          <w:sz w:val="17"/>
        </w:rPr>
        <w:t>Rose</w:t>
      </w:r>
      <w:r>
        <w:rPr>
          <w:rFonts w:ascii="Calibri" w:hAnsi="Calibri"/>
          <w:color w:val="231F20"/>
          <w:spacing w:val="-22"/>
          <w:w w:val="105"/>
          <w:sz w:val="17"/>
        </w:rPr>
        <w:t> </w:t>
      </w:r>
      <w:r>
        <w:rPr>
          <w:rFonts w:ascii="Calibri" w:hAnsi="Calibri"/>
          <w:color w:val="231F20"/>
          <w:w w:val="105"/>
          <w:sz w:val="17"/>
        </w:rPr>
        <w:t>y</w:t>
      </w:r>
      <w:r>
        <w:rPr>
          <w:rFonts w:ascii="Calibri" w:hAnsi="Calibri"/>
          <w:color w:val="231F20"/>
          <w:spacing w:val="-21"/>
          <w:w w:val="105"/>
          <w:sz w:val="17"/>
        </w:rPr>
        <w:t> </w:t>
      </w:r>
      <w:r>
        <w:rPr>
          <w:rFonts w:ascii="Calibri" w:hAnsi="Calibri"/>
          <w:color w:val="231F20"/>
          <w:spacing w:val="-10"/>
          <w:w w:val="105"/>
          <w:sz w:val="17"/>
        </w:rPr>
        <w:t>P.</w:t>
      </w:r>
      <w:r>
        <w:rPr>
          <w:rFonts w:ascii="Calibri" w:hAnsi="Calibri"/>
          <w:color w:val="231F20"/>
          <w:spacing w:val="-21"/>
          <w:w w:val="105"/>
          <w:sz w:val="17"/>
        </w:rPr>
        <w:t> </w:t>
      </w:r>
      <w:r>
        <w:rPr>
          <w:rFonts w:ascii="Calibri" w:hAnsi="Calibri"/>
          <w:color w:val="231F20"/>
          <w:w w:val="105"/>
          <w:sz w:val="17"/>
        </w:rPr>
        <w:t>Miller,</w:t>
      </w:r>
      <w:r>
        <w:rPr>
          <w:rFonts w:ascii="Calibri" w:hAnsi="Calibri"/>
          <w:color w:val="231F20"/>
          <w:spacing w:val="-21"/>
          <w:w w:val="105"/>
          <w:sz w:val="17"/>
        </w:rPr>
        <w:t> </w:t>
      </w:r>
      <w:r>
        <w:rPr>
          <w:rFonts w:ascii="Calibri" w:hAnsi="Calibri"/>
          <w:i/>
          <w:color w:val="231F20"/>
          <w:w w:val="105"/>
          <w:sz w:val="17"/>
        </w:rPr>
        <w:t>Governing</w:t>
      </w:r>
      <w:r>
        <w:rPr>
          <w:rFonts w:ascii="Calibri" w:hAnsi="Calibri"/>
          <w:i/>
          <w:color w:val="231F20"/>
          <w:spacing w:val="-22"/>
          <w:w w:val="105"/>
          <w:sz w:val="17"/>
        </w:rPr>
        <w:t> </w:t>
      </w:r>
      <w:r>
        <w:rPr>
          <w:rFonts w:ascii="Calibri" w:hAnsi="Calibri"/>
          <w:i/>
          <w:color w:val="231F20"/>
          <w:w w:val="105"/>
          <w:sz w:val="17"/>
        </w:rPr>
        <w:t>the </w:t>
      </w:r>
      <w:r>
        <w:rPr>
          <w:rFonts w:ascii="Calibri" w:hAnsi="Calibri"/>
          <w:i/>
          <w:color w:val="231F20"/>
          <w:w w:val="105"/>
          <w:sz w:val="17"/>
        </w:rPr>
        <w:t>Present.</w:t>
      </w:r>
      <w:r>
        <w:rPr>
          <w:rFonts w:ascii="Calibri" w:hAnsi="Calibri"/>
          <w:i/>
          <w:color w:val="231F20"/>
          <w:spacing w:val="-23"/>
          <w:w w:val="105"/>
          <w:sz w:val="17"/>
        </w:rPr>
        <w:t> </w:t>
      </w:r>
      <w:r>
        <w:rPr>
          <w:rFonts w:ascii="Calibri" w:hAnsi="Calibri"/>
          <w:i/>
          <w:color w:val="231F20"/>
          <w:w w:val="105"/>
          <w:sz w:val="17"/>
        </w:rPr>
        <w:t>Administering</w:t>
      </w:r>
      <w:r>
        <w:rPr>
          <w:rFonts w:ascii="Calibri" w:hAnsi="Calibri"/>
          <w:i/>
          <w:color w:val="231F20"/>
          <w:spacing w:val="-23"/>
          <w:w w:val="105"/>
          <w:sz w:val="17"/>
        </w:rPr>
        <w:t> </w:t>
      </w:r>
      <w:r>
        <w:rPr>
          <w:rFonts w:ascii="Calibri" w:hAnsi="Calibri"/>
          <w:i/>
          <w:color w:val="231F20"/>
          <w:w w:val="105"/>
          <w:sz w:val="17"/>
        </w:rPr>
        <w:t>Economic,</w:t>
      </w:r>
      <w:r>
        <w:rPr>
          <w:rFonts w:ascii="Calibri" w:hAnsi="Calibri"/>
          <w:i/>
          <w:color w:val="231F20"/>
          <w:spacing w:val="-23"/>
          <w:w w:val="105"/>
          <w:sz w:val="17"/>
        </w:rPr>
        <w:t> </w:t>
      </w:r>
      <w:r>
        <w:rPr>
          <w:rFonts w:ascii="Calibri" w:hAnsi="Calibri"/>
          <w:i/>
          <w:color w:val="231F20"/>
          <w:w w:val="105"/>
          <w:sz w:val="17"/>
        </w:rPr>
        <w:t>Social</w:t>
      </w:r>
      <w:r>
        <w:rPr>
          <w:rFonts w:ascii="Calibri" w:hAnsi="Calibri"/>
          <w:i/>
          <w:color w:val="231F20"/>
          <w:spacing w:val="-23"/>
          <w:w w:val="105"/>
          <w:sz w:val="17"/>
        </w:rPr>
        <w:t> </w:t>
      </w:r>
      <w:r>
        <w:rPr>
          <w:rFonts w:ascii="Calibri" w:hAnsi="Calibri"/>
          <w:i/>
          <w:color w:val="231F20"/>
          <w:w w:val="105"/>
          <w:sz w:val="17"/>
        </w:rPr>
        <w:t>and</w:t>
      </w:r>
      <w:r>
        <w:rPr>
          <w:rFonts w:ascii="Calibri" w:hAnsi="Calibri"/>
          <w:i/>
          <w:color w:val="231F20"/>
          <w:spacing w:val="-23"/>
          <w:w w:val="105"/>
          <w:sz w:val="17"/>
        </w:rPr>
        <w:t> </w:t>
      </w:r>
      <w:r>
        <w:rPr>
          <w:rFonts w:ascii="Calibri" w:hAnsi="Calibri"/>
          <w:i/>
          <w:color w:val="231F20"/>
          <w:w w:val="105"/>
          <w:sz w:val="17"/>
        </w:rPr>
        <w:t>Personal</w:t>
      </w:r>
      <w:r>
        <w:rPr>
          <w:rFonts w:ascii="Calibri" w:hAnsi="Calibri"/>
          <w:i/>
          <w:color w:val="231F20"/>
          <w:spacing w:val="-23"/>
          <w:w w:val="105"/>
          <w:sz w:val="17"/>
        </w:rPr>
        <w:t> </w:t>
      </w:r>
      <w:r>
        <w:rPr>
          <w:rFonts w:ascii="Calibri" w:hAnsi="Calibri"/>
          <w:i/>
          <w:color w:val="231F20"/>
          <w:w w:val="105"/>
          <w:sz w:val="17"/>
        </w:rPr>
        <w:t>Life</w:t>
      </w:r>
      <w:r>
        <w:rPr>
          <w:rFonts w:ascii="Calibri" w:hAnsi="Calibri"/>
          <w:color w:val="231F20"/>
          <w:w w:val="105"/>
          <w:sz w:val="17"/>
        </w:rPr>
        <w:t>,</w:t>
      </w:r>
      <w:r>
        <w:rPr>
          <w:rFonts w:ascii="Calibri" w:hAnsi="Calibri"/>
          <w:color w:val="231F20"/>
          <w:spacing w:val="-22"/>
          <w:w w:val="105"/>
          <w:sz w:val="17"/>
        </w:rPr>
        <w:t> </w:t>
      </w:r>
      <w:r>
        <w:rPr>
          <w:rFonts w:ascii="Calibri" w:hAnsi="Calibri"/>
          <w:color w:val="231F20"/>
          <w:w w:val="105"/>
          <w:sz w:val="17"/>
        </w:rPr>
        <w:t>Cambridge,</w:t>
      </w:r>
      <w:r>
        <w:rPr>
          <w:rFonts w:ascii="Calibri" w:hAnsi="Calibri"/>
          <w:color w:val="231F20"/>
          <w:spacing w:val="-22"/>
          <w:w w:val="105"/>
          <w:sz w:val="17"/>
        </w:rPr>
        <w:t> </w:t>
      </w:r>
      <w:r>
        <w:rPr>
          <w:rFonts w:ascii="Calibri" w:hAnsi="Calibri"/>
          <w:color w:val="231F20"/>
          <w:w w:val="105"/>
          <w:sz w:val="17"/>
        </w:rPr>
        <w:t>Cambridge</w:t>
      </w:r>
      <w:r>
        <w:rPr>
          <w:rFonts w:ascii="Calibri" w:hAnsi="Calibri"/>
          <w:color w:val="231F20"/>
          <w:spacing w:val="-22"/>
          <w:w w:val="105"/>
          <w:sz w:val="17"/>
        </w:rPr>
        <w:t> </w:t>
      </w:r>
      <w:r>
        <w:rPr>
          <w:rFonts w:ascii="Calibri" w:hAnsi="Calibri"/>
          <w:color w:val="231F20"/>
          <w:w w:val="105"/>
          <w:sz w:val="17"/>
        </w:rPr>
        <w:t>University</w:t>
      </w:r>
      <w:r>
        <w:rPr>
          <w:rFonts w:ascii="Calibri" w:hAnsi="Calibri"/>
          <w:color w:val="231F20"/>
          <w:spacing w:val="-22"/>
          <w:w w:val="105"/>
          <w:sz w:val="17"/>
        </w:rPr>
        <w:t> </w:t>
      </w:r>
      <w:r>
        <w:rPr>
          <w:rFonts w:ascii="Calibri" w:hAnsi="Calibri"/>
          <w:color w:val="231F20"/>
          <w:w w:val="105"/>
          <w:sz w:val="17"/>
        </w:rPr>
        <w:t>Press, 2008. Vale la pena reenviar también a la crítica al papel “dejado” al Estado por los dos autores, </w:t>
      </w:r>
      <w:r>
        <w:rPr>
          <w:rFonts w:ascii="Calibri" w:hAnsi="Calibri"/>
          <w:i/>
          <w:color w:val="231F20"/>
          <w:spacing w:val="-4"/>
          <w:w w:val="105"/>
          <w:sz w:val="17"/>
        </w:rPr>
        <w:t>cfr.</w:t>
      </w:r>
      <w:r>
        <w:rPr>
          <w:rFonts w:ascii="Calibri" w:hAnsi="Calibri"/>
          <w:i/>
          <w:color w:val="231F20"/>
          <w:spacing w:val="-13"/>
          <w:w w:val="105"/>
          <w:sz w:val="17"/>
        </w:rPr>
        <w:t> </w:t>
      </w:r>
      <w:r>
        <w:rPr>
          <w:rFonts w:ascii="Calibri" w:hAnsi="Calibri"/>
          <w:color w:val="231F20"/>
          <w:w w:val="105"/>
          <w:sz w:val="17"/>
        </w:rPr>
        <w:t>B.</w:t>
      </w:r>
      <w:r>
        <w:rPr>
          <w:rFonts w:ascii="Calibri" w:hAnsi="Calibri"/>
          <w:color w:val="231F20"/>
          <w:spacing w:val="-13"/>
          <w:w w:val="105"/>
          <w:sz w:val="17"/>
        </w:rPr>
        <w:t> </w:t>
      </w:r>
      <w:r>
        <w:rPr>
          <w:rFonts w:ascii="Calibri" w:hAnsi="Calibri"/>
          <w:color w:val="231F20"/>
          <w:w w:val="105"/>
          <w:sz w:val="17"/>
        </w:rPr>
        <w:t>Curtis,</w:t>
      </w:r>
      <w:r>
        <w:rPr>
          <w:rFonts w:ascii="Calibri" w:hAnsi="Calibri"/>
          <w:color w:val="231F20"/>
          <w:spacing w:val="-13"/>
          <w:w w:val="105"/>
          <w:sz w:val="17"/>
        </w:rPr>
        <w:t> </w:t>
      </w:r>
      <w:r>
        <w:rPr>
          <w:rFonts w:ascii="Calibri" w:hAnsi="Calibri"/>
          <w:color w:val="231F20"/>
          <w:w w:val="105"/>
          <w:sz w:val="17"/>
        </w:rPr>
        <w:t>“Taking</w:t>
      </w:r>
      <w:r>
        <w:rPr>
          <w:rFonts w:ascii="Calibri" w:hAnsi="Calibri"/>
          <w:color w:val="231F20"/>
          <w:spacing w:val="-13"/>
          <w:w w:val="105"/>
          <w:sz w:val="17"/>
        </w:rPr>
        <w:t> </w:t>
      </w:r>
      <w:r>
        <w:rPr>
          <w:rFonts w:ascii="Calibri" w:hAnsi="Calibri"/>
          <w:color w:val="231F20"/>
          <w:w w:val="105"/>
          <w:sz w:val="17"/>
        </w:rPr>
        <w:t>the</w:t>
      </w:r>
      <w:r>
        <w:rPr>
          <w:rFonts w:ascii="Calibri" w:hAnsi="Calibri"/>
          <w:color w:val="231F20"/>
          <w:spacing w:val="-13"/>
          <w:w w:val="105"/>
          <w:sz w:val="17"/>
        </w:rPr>
        <w:t> </w:t>
      </w:r>
      <w:r>
        <w:rPr>
          <w:rFonts w:ascii="Calibri" w:hAnsi="Calibri"/>
          <w:color w:val="231F20"/>
          <w:w w:val="105"/>
          <w:sz w:val="17"/>
        </w:rPr>
        <w:t>State</w:t>
      </w:r>
      <w:r>
        <w:rPr>
          <w:rFonts w:ascii="Calibri" w:hAnsi="Calibri"/>
          <w:color w:val="231F20"/>
          <w:spacing w:val="-13"/>
          <w:w w:val="105"/>
          <w:sz w:val="17"/>
        </w:rPr>
        <w:t> </w:t>
      </w:r>
      <w:r>
        <w:rPr>
          <w:rFonts w:ascii="Calibri" w:hAnsi="Calibri"/>
          <w:color w:val="231F20"/>
          <w:w w:val="105"/>
          <w:sz w:val="17"/>
        </w:rPr>
        <w:t>Back</w:t>
      </w:r>
      <w:r>
        <w:rPr>
          <w:rFonts w:ascii="Calibri" w:hAnsi="Calibri"/>
          <w:color w:val="231F20"/>
          <w:spacing w:val="-13"/>
          <w:w w:val="105"/>
          <w:sz w:val="17"/>
        </w:rPr>
        <w:t> </w:t>
      </w:r>
      <w:r>
        <w:rPr>
          <w:rFonts w:ascii="Calibri" w:hAnsi="Calibri"/>
          <w:color w:val="231F20"/>
          <w:w w:val="105"/>
          <w:sz w:val="17"/>
        </w:rPr>
        <w:t>Out:</w:t>
      </w:r>
      <w:r>
        <w:rPr>
          <w:rFonts w:ascii="Calibri" w:hAnsi="Calibri"/>
          <w:color w:val="231F20"/>
          <w:spacing w:val="-13"/>
          <w:w w:val="105"/>
          <w:sz w:val="17"/>
        </w:rPr>
        <w:t> </w:t>
      </w:r>
      <w:r>
        <w:rPr>
          <w:rFonts w:ascii="Calibri" w:hAnsi="Calibri"/>
          <w:color w:val="231F20"/>
          <w:w w:val="105"/>
          <w:sz w:val="17"/>
        </w:rPr>
        <w:t>Rose</w:t>
      </w:r>
      <w:r>
        <w:rPr>
          <w:rFonts w:ascii="Calibri" w:hAnsi="Calibri"/>
          <w:color w:val="231F20"/>
          <w:spacing w:val="-13"/>
          <w:w w:val="105"/>
          <w:sz w:val="17"/>
        </w:rPr>
        <w:t> </w:t>
      </w:r>
      <w:r>
        <w:rPr>
          <w:rFonts w:ascii="Calibri" w:hAnsi="Calibri"/>
          <w:color w:val="231F20"/>
          <w:w w:val="105"/>
          <w:sz w:val="17"/>
        </w:rPr>
        <w:t>and</w:t>
      </w:r>
      <w:r>
        <w:rPr>
          <w:rFonts w:ascii="Calibri" w:hAnsi="Calibri"/>
          <w:color w:val="231F20"/>
          <w:spacing w:val="-13"/>
          <w:w w:val="105"/>
          <w:sz w:val="17"/>
        </w:rPr>
        <w:t> </w:t>
      </w:r>
      <w:r>
        <w:rPr>
          <w:rFonts w:ascii="Calibri" w:hAnsi="Calibri"/>
          <w:color w:val="231F20"/>
          <w:w w:val="105"/>
          <w:sz w:val="17"/>
        </w:rPr>
        <w:t>Miller</w:t>
      </w:r>
      <w:r>
        <w:rPr>
          <w:rFonts w:ascii="Calibri" w:hAnsi="Calibri"/>
          <w:color w:val="231F20"/>
          <w:spacing w:val="-13"/>
          <w:w w:val="105"/>
          <w:sz w:val="17"/>
        </w:rPr>
        <w:t> </w:t>
      </w:r>
      <w:r>
        <w:rPr>
          <w:rFonts w:ascii="Calibri" w:hAnsi="Calibri"/>
          <w:color w:val="231F20"/>
          <w:w w:val="105"/>
          <w:sz w:val="17"/>
        </w:rPr>
        <w:t>on</w:t>
      </w:r>
      <w:r>
        <w:rPr>
          <w:rFonts w:ascii="Calibri" w:hAnsi="Calibri"/>
          <w:color w:val="231F20"/>
          <w:spacing w:val="-13"/>
          <w:w w:val="105"/>
          <w:sz w:val="17"/>
        </w:rPr>
        <w:t> </w:t>
      </w:r>
      <w:r>
        <w:rPr>
          <w:rFonts w:ascii="Calibri" w:hAnsi="Calibri"/>
          <w:color w:val="231F20"/>
          <w:w w:val="105"/>
          <w:sz w:val="17"/>
        </w:rPr>
        <w:t>Political</w:t>
      </w:r>
      <w:r>
        <w:rPr>
          <w:rFonts w:ascii="Calibri" w:hAnsi="Calibri"/>
          <w:color w:val="231F20"/>
          <w:spacing w:val="-13"/>
          <w:w w:val="105"/>
          <w:sz w:val="17"/>
        </w:rPr>
        <w:t> </w:t>
      </w:r>
      <w:r>
        <w:rPr>
          <w:rFonts w:ascii="Calibri" w:hAnsi="Calibri"/>
          <w:color w:val="231F20"/>
          <w:w w:val="105"/>
          <w:sz w:val="17"/>
        </w:rPr>
        <w:t>Power”,</w:t>
      </w:r>
      <w:r>
        <w:rPr>
          <w:rFonts w:ascii="Calibri" w:hAnsi="Calibri"/>
          <w:color w:val="231F20"/>
          <w:spacing w:val="-13"/>
          <w:w w:val="105"/>
          <w:sz w:val="17"/>
        </w:rPr>
        <w:t> </w:t>
      </w:r>
      <w:r>
        <w:rPr>
          <w:rFonts w:ascii="Calibri" w:hAnsi="Calibri"/>
          <w:i/>
          <w:color w:val="231F20"/>
          <w:w w:val="105"/>
          <w:sz w:val="17"/>
        </w:rPr>
        <w:t>The</w:t>
      </w:r>
      <w:r>
        <w:rPr>
          <w:rFonts w:ascii="Calibri" w:hAnsi="Calibri"/>
          <w:i/>
          <w:color w:val="231F20"/>
          <w:spacing w:val="-14"/>
          <w:w w:val="105"/>
          <w:sz w:val="17"/>
        </w:rPr>
        <w:t> </w:t>
      </w:r>
      <w:r>
        <w:rPr>
          <w:rFonts w:ascii="Calibri" w:hAnsi="Calibri"/>
          <w:i/>
          <w:color w:val="231F20"/>
          <w:w w:val="105"/>
          <w:sz w:val="17"/>
        </w:rPr>
        <w:t>British</w:t>
      </w:r>
      <w:r>
        <w:rPr>
          <w:rFonts w:ascii="Calibri" w:hAnsi="Calibri"/>
          <w:i/>
          <w:color w:val="231F20"/>
          <w:spacing w:val="-14"/>
          <w:w w:val="105"/>
          <w:sz w:val="17"/>
        </w:rPr>
        <w:t> </w:t>
      </w:r>
      <w:r>
        <w:rPr>
          <w:rFonts w:ascii="Calibri" w:hAnsi="Calibri"/>
          <w:i/>
          <w:color w:val="231F20"/>
          <w:w w:val="105"/>
          <w:sz w:val="17"/>
        </w:rPr>
        <w:t>Journal</w:t>
      </w:r>
      <w:r>
        <w:rPr>
          <w:rFonts w:ascii="Calibri" w:hAnsi="Calibri"/>
          <w:i/>
          <w:color w:val="231F20"/>
          <w:spacing w:val="-14"/>
          <w:w w:val="105"/>
          <w:sz w:val="17"/>
        </w:rPr>
        <w:t> </w:t>
      </w:r>
      <w:r>
        <w:rPr>
          <w:rFonts w:ascii="Calibri" w:hAnsi="Calibri"/>
          <w:i/>
          <w:color w:val="231F20"/>
          <w:w w:val="105"/>
          <w:sz w:val="17"/>
        </w:rPr>
        <w:t>of </w:t>
      </w:r>
      <w:r>
        <w:rPr>
          <w:rFonts w:ascii="Calibri" w:hAnsi="Calibri"/>
          <w:i/>
          <w:color w:val="231F20"/>
          <w:sz w:val="17"/>
        </w:rPr>
        <w:t>Sociology</w:t>
      </w:r>
      <w:r>
        <w:rPr>
          <w:rFonts w:ascii="Calibri" w:hAnsi="Calibri"/>
          <w:color w:val="231F20"/>
          <w:sz w:val="17"/>
        </w:rPr>
        <w:t>,</w:t>
      </w:r>
      <w:r>
        <w:rPr>
          <w:rFonts w:ascii="Calibri" w:hAnsi="Calibri"/>
          <w:color w:val="231F20"/>
          <w:spacing w:val="-8"/>
          <w:sz w:val="17"/>
        </w:rPr>
        <w:t> </w:t>
      </w:r>
      <w:r>
        <w:rPr>
          <w:rFonts w:ascii="Calibri" w:hAnsi="Calibri"/>
          <w:color w:val="231F20"/>
          <w:sz w:val="17"/>
        </w:rPr>
        <w:t>46,</w:t>
      </w:r>
      <w:r>
        <w:rPr>
          <w:rFonts w:ascii="Calibri" w:hAnsi="Calibri"/>
          <w:color w:val="231F20"/>
          <w:spacing w:val="-8"/>
          <w:sz w:val="17"/>
        </w:rPr>
        <w:t> </w:t>
      </w:r>
      <w:r>
        <w:rPr>
          <w:rFonts w:ascii="Calibri" w:hAnsi="Calibri"/>
          <w:color w:val="231F20"/>
          <w:sz w:val="17"/>
        </w:rPr>
        <w:t>4,</w:t>
      </w:r>
      <w:r>
        <w:rPr>
          <w:rFonts w:ascii="Calibri" w:hAnsi="Calibri"/>
          <w:color w:val="231F20"/>
          <w:spacing w:val="-8"/>
          <w:sz w:val="17"/>
        </w:rPr>
        <w:t> </w:t>
      </w:r>
      <w:r>
        <w:rPr>
          <w:rFonts w:ascii="Calibri" w:hAnsi="Calibri"/>
          <w:color w:val="231F20"/>
          <w:sz w:val="17"/>
        </w:rPr>
        <w:t>1995,</w:t>
      </w:r>
      <w:r>
        <w:rPr>
          <w:rFonts w:ascii="Calibri" w:hAnsi="Calibri"/>
          <w:color w:val="231F20"/>
          <w:spacing w:val="-8"/>
          <w:sz w:val="17"/>
        </w:rPr>
        <w:t> </w:t>
      </w:r>
      <w:r>
        <w:rPr>
          <w:rFonts w:ascii="Calibri" w:hAnsi="Calibri"/>
          <w:color w:val="231F20"/>
          <w:sz w:val="17"/>
        </w:rPr>
        <w:t>pp.</w:t>
      </w:r>
      <w:r>
        <w:rPr>
          <w:rFonts w:ascii="Calibri" w:hAnsi="Calibri"/>
          <w:color w:val="231F20"/>
          <w:spacing w:val="-8"/>
          <w:sz w:val="17"/>
        </w:rPr>
        <w:t> </w:t>
      </w:r>
      <w:r>
        <w:rPr>
          <w:rFonts w:ascii="Calibri" w:hAnsi="Calibri"/>
          <w:color w:val="231F20"/>
          <w:sz w:val="17"/>
        </w:rPr>
        <w:t>575–589.</w:t>
      </w:r>
    </w:p>
    <w:p>
      <w:pPr>
        <w:pStyle w:val="BodyText"/>
        <w:rPr>
          <w:rFonts w:ascii="Calibri"/>
          <w:sz w:val="20"/>
        </w:rPr>
      </w:pPr>
    </w:p>
    <w:p>
      <w:pPr>
        <w:pStyle w:val="BodyText"/>
        <w:spacing w:before="10"/>
        <w:rPr>
          <w:rFonts w:ascii="Calibri"/>
          <w:sz w:val="27"/>
        </w:rPr>
      </w:pPr>
    </w:p>
    <w:p>
      <w:pPr>
        <w:tabs>
          <w:tab w:pos="1331" w:val="left" w:leader="none"/>
        </w:tabs>
        <w:spacing w:before="68"/>
        <w:ind w:left="281" w:right="0" w:firstLine="0"/>
        <w:jc w:val="left"/>
        <w:rPr>
          <w:rFonts w:ascii="Calibri"/>
          <w:sz w:val="16"/>
        </w:rPr>
      </w:pPr>
      <w:r>
        <w:rPr/>
        <w:pict>
          <v:group style="position:absolute;margin-left:98.787804pt;margin-top:-3.358812pt;width:20.4pt;height:43pt;mso-position-horizontal-relative:page;mso-position-vertical-relative:paragraph;z-index:-172120"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50</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861" w:right="0" w:firstLine="0"/>
        <w:jc w:val="left"/>
        <w:rPr>
          <w:rFonts w:ascii="Arial" w:hAnsi="Arial"/>
          <w:sz w:val="20"/>
        </w:rPr>
      </w:pPr>
      <w:r>
        <w:rPr/>
        <w:pict>
          <v:group style="position:absolute;margin-left:383.821014pt;margin-top:-25.479271pt;width:8.65pt;height:41pt;mso-position-horizontal-relative:page;mso-position-vertical-relative:paragraph;z-index:-17207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3"/>
          <w:sz w:val="14"/>
        </w:rPr>
        <w:t> </w:t>
      </w:r>
      <w:r>
        <w:rPr>
          <w:rFonts w:ascii="Lucida Sans Unicode" w:hAnsi="Lucida Sans Unicode"/>
          <w:color w:val="6D6E71"/>
          <w:sz w:val="14"/>
        </w:rPr>
        <w:t>ESTADO</w:t>
      </w:r>
      <w:r>
        <w:rPr>
          <w:rFonts w:ascii="Lucida Sans Unicode" w:hAnsi="Lucida Sans Unicode"/>
          <w:color w:val="6D6E71"/>
          <w:spacing w:val="-23"/>
          <w:sz w:val="14"/>
        </w:rPr>
        <w:t> </w:t>
      </w:r>
      <w:r>
        <w:rPr>
          <w:rFonts w:ascii="Lucida Sans Unicode" w:hAnsi="Lucida Sans Unicode"/>
          <w:color w:val="6D6E71"/>
          <w:sz w:val="14"/>
        </w:rPr>
        <w:t>GLOBAL</w:t>
      </w:r>
      <w:r>
        <w:rPr>
          <w:rFonts w:ascii="Lucida Sans Unicode" w:hAnsi="Lucida Sans Unicode"/>
          <w:color w:val="6D6E71"/>
          <w:spacing w:val="-23"/>
          <w:sz w:val="14"/>
        </w:rPr>
        <w:t> </w:t>
      </w:r>
      <w:r>
        <w:rPr>
          <w:rFonts w:ascii="Lucida Sans Unicode" w:hAnsi="Lucida Sans Unicode"/>
          <w:color w:val="6D6E71"/>
          <w:sz w:val="14"/>
        </w:rPr>
        <w:t>Y</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EVOLUCIÓN</w:t>
      </w:r>
      <w:r>
        <w:rPr>
          <w:rFonts w:ascii="Lucida Sans Unicode" w:hAnsi="Lucida Sans Unicode"/>
          <w:color w:val="6D6E71"/>
          <w:spacing w:val="-23"/>
          <w:sz w:val="14"/>
        </w:rPr>
        <w:t> </w:t>
      </w:r>
      <w:r>
        <w:rPr>
          <w:rFonts w:ascii="Lucida Sans Unicode" w:hAnsi="Lucida Sans Unicode"/>
          <w:color w:val="6D6E71"/>
          <w:sz w:val="14"/>
        </w:rPr>
        <w:t>DE</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SOBERANÍA</w:t>
      </w:r>
      <w:r>
        <w:rPr>
          <w:rFonts w:ascii="Arial" w:hAnsi="Arial"/>
          <w:color w:val="414042"/>
          <w:position w:val="-3"/>
          <w:sz w:val="20"/>
        </w:rPr>
        <w:tab/>
        <w:t>51</w:t>
      </w:r>
    </w:p>
    <w:p>
      <w:pPr>
        <w:pStyle w:val="BodyText"/>
        <w:rPr>
          <w:rFonts w:ascii="Arial"/>
          <w:sz w:val="20"/>
        </w:rPr>
      </w:pPr>
    </w:p>
    <w:p>
      <w:pPr>
        <w:pStyle w:val="BodyText"/>
        <w:rPr>
          <w:rFonts w:ascii="Arial"/>
          <w:sz w:val="20"/>
        </w:rPr>
      </w:pPr>
    </w:p>
    <w:p>
      <w:pPr>
        <w:pStyle w:val="BodyText"/>
        <w:spacing w:line="247" w:lineRule="auto" w:before="163"/>
        <w:ind w:left="117" w:right="100"/>
        <w:jc w:val="both"/>
      </w:pPr>
      <w:r>
        <w:rPr>
          <w:color w:val="231F20"/>
        </w:rPr>
        <w:t>la sociedad como ámbito que ha sido abierto —y precisamente por esto es impolítico— a la acción individual, sino más bien forman la producción de una mediación entre un grupo de agencias frecuentemente no    estatales</w:t>
      </w:r>
    </w:p>
    <w:p>
      <w:pPr>
        <w:pStyle w:val="BodyText"/>
        <w:spacing w:line="247" w:lineRule="auto"/>
        <w:ind w:left="64" w:right="101"/>
        <w:jc w:val="right"/>
      </w:pPr>
      <w:r>
        <w:rPr>
          <w:color w:val="231F20"/>
          <w:w w:val="105"/>
        </w:rPr>
        <w:t>—gubernamentales</w:t>
      </w:r>
      <w:r>
        <w:rPr>
          <w:color w:val="231F20"/>
          <w:spacing w:val="-29"/>
          <w:w w:val="105"/>
        </w:rPr>
        <w:t> </w:t>
      </w:r>
      <w:r>
        <w:rPr>
          <w:color w:val="231F20"/>
          <w:w w:val="105"/>
        </w:rPr>
        <w:t>o</w:t>
      </w:r>
      <w:r>
        <w:rPr>
          <w:color w:val="231F20"/>
          <w:spacing w:val="-29"/>
          <w:w w:val="105"/>
        </w:rPr>
        <w:t> </w:t>
      </w:r>
      <w:r>
        <w:rPr>
          <w:color w:val="231F20"/>
          <w:w w:val="105"/>
        </w:rPr>
        <w:t>no</w:t>
      </w:r>
      <w:r>
        <w:rPr>
          <w:color w:val="231F20"/>
          <w:spacing w:val="-29"/>
          <w:w w:val="105"/>
        </w:rPr>
        <w:t> </w:t>
      </w:r>
      <w:r>
        <w:rPr>
          <w:color w:val="231F20"/>
          <w:w w:val="105"/>
        </w:rPr>
        <w:t>gubernamentales—</w:t>
      </w:r>
      <w:r>
        <w:rPr>
          <w:color w:val="231F20"/>
          <w:spacing w:val="-29"/>
          <w:w w:val="105"/>
        </w:rPr>
        <w:t> </w:t>
      </w:r>
      <w:r>
        <w:rPr>
          <w:color w:val="231F20"/>
          <w:w w:val="105"/>
        </w:rPr>
        <w:t>y</w:t>
      </w:r>
      <w:r>
        <w:rPr>
          <w:color w:val="231F20"/>
          <w:spacing w:val="-29"/>
          <w:w w:val="105"/>
        </w:rPr>
        <w:t> </w:t>
      </w:r>
      <w:r>
        <w:rPr>
          <w:color w:val="231F20"/>
          <w:w w:val="105"/>
        </w:rPr>
        <w:t>la</w:t>
      </w:r>
      <w:r>
        <w:rPr>
          <w:color w:val="231F20"/>
          <w:spacing w:val="-29"/>
          <w:w w:val="105"/>
        </w:rPr>
        <w:t> </w:t>
      </w:r>
      <w:r>
        <w:rPr>
          <w:color w:val="231F20"/>
          <w:w w:val="105"/>
        </w:rPr>
        <w:t>población</w:t>
      </w:r>
      <w:r>
        <w:rPr>
          <w:color w:val="231F20"/>
          <w:w w:val="105"/>
          <w:position w:val="7"/>
          <w:sz w:val="12"/>
        </w:rPr>
        <w:t>45</w:t>
      </w:r>
      <w:r>
        <w:rPr>
          <w:color w:val="231F20"/>
          <w:w w:val="105"/>
        </w:rPr>
        <w:t>.</w:t>
      </w:r>
      <w:r>
        <w:rPr>
          <w:color w:val="231F20"/>
          <w:spacing w:val="-29"/>
          <w:w w:val="105"/>
        </w:rPr>
        <w:t> </w:t>
      </w:r>
      <w:r>
        <w:rPr>
          <w:color w:val="231F20"/>
          <w:w w:val="105"/>
        </w:rPr>
        <w:t>Se</w:t>
      </w:r>
      <w:r>
        <w:rPr>
          <w:color w:val="231F20"/>
          <w:spacing w:val="-29"/>
          <w:w w:val="105"/>
        </w:rPr>
        <w:t> </w:t>
      </w:r>
      <w:r>
        <w:rPr>
          <w:color w:val="231F20"/>
          <w:w w:val="105"/>
        </w:rPr>
        <w:t>determi-</w:t>
      </w:r>
      <w:r>
        <w:rPr>
          <w:color w:val="231F20"/>
          <w:w w:val="91"/>
        </w:rPr>
        <w:t> </w:t>
      </w:r>
      <w:r>
        <w:rPr>
          <w:color w:val="231F20"/>
          <w:w w:val="105"/>
        </w:rPr>
        <w:t>na</w:t>
      </w:r>
      <w:r>
        <w:rPr>
          <w:color w:val="231F20"/>
          <w:spacing w:val="-18"/>
          <w:w w:val="105"/>
        </w:rPr>
        <w:t> </w:t>
      </w:r>
      <w:r>
        <w:rPr>
          <w:color w:val="231F20"/>
          <w:w w:val="105"/>
        </w:rPr>
        <w:t>así</w:t>
      </w:r>
      <w:r>
        <w:rPr>
          <w:color w:val="231F20"/>
          <w:spacing w:val="-18"/>
          <w:w w:val="105"/>
        </w:rPr>
        <w:t> </w:t>
      </w:r>
      <w:r>
        <w:rPr>
          <w:color w:val="231F20"/>
          <w:w w:val="105"/>
        </w:rPr>
        <w:t>una</w:t>
      </w:r>
      <w:r>
        <w:rPr>
          <w:color w:val="231F20"/>
          <w:spacing w:val="-18"/>
          <w:w w:val="105"/>
        </w:rPr>
        <w:t> </w:t>
      </w:r>
      <w:r>
        <w:rPr>
          <w:color w:val="231F20"/>
          <w:w w:val="105"/>
        </w:rPr>
        <w:t>condición</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cual</w:t>
      </w:r>
      <w:r>
        <w:rPr>
          <w:color w:val="231F20"/>
          <w:spacing w:val="-18"/>
          <w:w w:val="105"/>
        </w:rPr>
        <w:t> </w:t>
      </w:r>
      <w:r>
        <w:rPr>
          <w:color w:val="231F20"/>
          <w:w w:val="105"/>
        </w:rPr>
        <w:t>proliferan</w:t>
      </w:r>
      <w:r>
        <w:rPr>
          <w:color w:val="231F20"/>
          <w:spacing w:val="-18"/>
          <w:w w:val="105"/>
        </w:rPr>
        <w:t> </w:t>
      </w:r>
      <w:r>
        <w:rPr>
          <w:color w:val="231F20"/>
          <w:w w:val="105"/>
        </w:rPr>
        <w:t>relaciones</w:t>
      </w:r>
      <w:r>
        <w:rPr>
          <w:color w:val="231F20"/>
          <w:spacing w:val="-18"/>
          <w:w w:val="105"/>
        </w:rPr>
        <w:t> </w:t>
      </w:r>
      <w:r>
        <w:rPr>
          <w:color w:val="231F20"/>
          <w:w w:val="105"/>
        </w:rPr>
        <w:t>políticas</w:t>
      </w:r>
      <w:r>
        <w:rPr>
          <w:color w:val="231F20"/>
          <w:spacing w:val="-18"/>
          <w:w w:val="105"/>
        </w:rPr>
        <w:t> </w:t>
      </w:r>
      <w:r>
        <w:rPr>
          <w:color w:val="231F20"/>
          <w:w w:val="105"/>
        </w:rPr>
        <w:t>o</w:t>
      </w:r>
      <w:r>
        <w:rPr>
          <w:color w:val="231F20"/>
          <w:spacing w:val="-18"/>
          <w:w w:val="105"/>
        </w:rPr>
        <w:t> </w:t>
      </w:r>
      <w:r>
        <w:rPr>
          <w:color w:val="231F20"/>
          <w:w w:val="105"/>
        </w:rPr>
        <w:t>relaciones</w:t>
      </w:r>
      <w:r>
        <w:rPr>
          <w:color w:val="231F20"/>
          <w:w w:val="103"/>
        </w:rPr>
        <w:t> </w:t>
      </w:r>
      <w:r>
        <w:rPr>
          <w:color w:val="231F20"/>
          <w:w w:val="105"/>
        </w:rPr>
        <w:t>que</w:t>
      </w:r>
      <w:r>
        <w:rPr>
          <w:color w:val="231F20"/>
          <w:spacing w:val="-26"/>
          <w:w w:val="105"/>
        </w:rPr>
        <w:t> </w:t>
      </w:r>
      <w:r>
        <w:rPr>
          <w:color w:val="231F20"/>
          <w:w w:val="105"/>
        </w:rPr>
        <w:t>continuamente</w:t>
      </w:r>
      <w:r>
        <w:rPr>
          <w:color w:val="231F20"/>
          <w:spacing w:val="-26"/>
          <w:w w:val="105"/>
        </w:rPr>
        <w:t> </w:t>
      </w:r>
      <w:r>
        <w:rPr>
          <w:color w:val="231F20"/>
          <w:w w:val="105"/>
        </w:rPr>
        <w:t>están</w:t>
      </w:r>
      <w:r>
        <w:rPr>
          <w:color w:val="231F20"/>
          <w:spacing w:val="-26"/>
          <w:w w:val="105"/>
        </w:rPr>
        <w:t> </w:t>
      </w:r>
      <w:r>
        <w:rPr>
          <w:color w:val="231F20"/>
          <w:w w:val="105"/>
        </w:rPr>
        <w:t>en</w:t>
      </w:r>
      <w:r>
        <w:rPr>
          <w:color w:val="231F20"/>
          <w:spacing w:val="-26"/>
          <w:w w:val="105"/>
        </w:rPr>
        <w:t> </w:t>
      </w:r>
      <w:r>
        <w:rPr>
          <w:color w:val="231F20"/>
          <w:w w:val="105"/>
        </w:rPr>
        <w:t>riesgo</w:t>
      </w:r>
      <w:r>
        <w:rPr>
          <w:color w:val="231F20"/>
          <w:spacing w:val="-26"/>
          <w:w w:val="105"/>
        </w:rPr>
        <w:t> </w:t>
      </w:r>
      <w:r>
        <w:rPr>
          <w:color w:val="231F20"/>
          <w:w w:val="105"/>
        </w:rPr>
        <w:t>de</w:t>
      </w:r>
      <w:r>
        <w:rPr>
          <w:color w:val="231F20"/>
          <w:spacing w:val="-26"/>
          <w:w w:val="105"/>
        </w:rPr>
        <w:t> </w:t>
      </w:r>
      <w:r>
        <w:rPr>
          <w:color w:val="231F20"/>
          <w:w w:val="105"/>
        </w:rPr>
        <w:t>ser</w:t>
      </w:r>
      <w:r>
        <w:rPr>
          <w:color w:val="231F20"/>
          <w:spacing w:val="-26"/>
          <w:w w:val="105"/>
        </w:rPr>
        <w:t> </w:t>
      </w:r>
      <w:r>
        <w:rPr>
          <w:color w:val="231F20"/>
          <w:w w:val="105"/>
        </w:rPr>
        <w:t>politizadas</w:t>
      </w:r>
      <w:r>
        <w:rPr>
          <w:color w:val="231F20"/>
          <w:spacing w:val="-26"/>
          <w:w w:val="105"/>
        </w:rPr>
        <w:t> </w:t>
      </w:r>
      <w:r>
        <w:rPr>
          <w:color w:val="231F20"/>
          <w:w w:val="105"/>
        </w:rPr>
        <w:t>porque</w:t>
      </w:r>
      <w:r>
        <w:rPr>
          <w:color w:val="231F20"/>
          <w:spacing w:val="-26"/>
          <w:w w:val="105"/>
        </w:rPr>
        <w:t> </w:t>
      </w:r>
      <w:r>
        <w:rPr>
          <w:color w:val="231F20"/>
          <w:w w:val="105"/>
        </w:rPr>
        <w:t>no</w:t>
      </w:r>
      <w:r>
        <w:rPr>
          <w:color w:val="231F20"/>
          <w:spacing w:val="-26"/>
          <w:w w:val="105"/>
        </w:rPr>
        <w:t> </w:t>
      </w:r>
      <w:r>
        <w:rPr>
          <w:color w:val="231F20"/>
          <w:w w:val="105"/>
        </w:rPr>
        <w:t>existe</w:t>
      </w:r>
      <w:r>
        <w:rPr>
          <w:color w:val="231F20"/>
          <w:spacing w:val="-26"/>
          <w:w w:val="105"/>
        </w:rPr>
        <w:t> </w:t>
      </w:r>
      <w:r>
        <w:rPr>
          <w:color w:val="231F20"/>
          <w:w w:val="105"/>
        </w:rPr>
        <w:t>un</w:t>
      </w:r>
      <w:r>
        <w:rPr>
          <w:color w:val="231F20"/>
          <w:w w:val="99"/>
        </w:rPr>
        <w:t> </w:t>
      </w:r>
      <w:r>
        <w:rPr>
          <w:color w:val="231F20"/>
          <w:w w:val="105"/>
        </w:rPr>
        <w:t>ámbito</w:t>
      </w:r>
      <w:r>
        <w:rPr>
          <w:color w:val="231F20"/>
          <w:spacing w:val="-9"/>
          <w:w w:val="105"/>
        </w:rPr>
        <w:t> </w:t>
      </w:r>
      <w:r>
        <w:rPr>
          <w:color w:val="231F20"/>
          <w:w w:val="105"/>
        </w:rPr>
        <w:t>único</w:t>
      </w:r>
      <w:r>
        <w:rPr>
          <w:color w:val="231F20"/>
          <w:spacing w:val="-9"/>
          <w:w w:val="105"/>
        </w:rPr>
        <w:t> </w:t>
      </w:r>
      <w:r>
        <w:rPr>
          <w:color w:val="231F20"/>
          <w:w w:val="105"/>
        </w:rPr>
        <w:t>y</w:t>
      </w:r>
      <w:r>
        <w:rPr>
          <w:color w:val="231F20"/>
          <w:spacing w:val="-9"/>
          <w:w w:val="105"/>
        </w:rPr>
        <w:t> </w:t>
      </w:r>
      <w:r>
        <w:rPr>
          <w:color w:val="231F20"/>
          <w:w w:val="105"/>
        </w:rPr>
        <w:t>cierto</w:t>
      </w:r>
      <w:r>
        <w:rPr>
          <w:color w:val="231F20"/>
          <w:spacing w:val="-9"/>
          <w:w w:val="105"/>
        </w:rPr>
        <w:t> </w:t>
      </w:r>
      <w:r>
        <w:rPr>
          <w:color w:val="231F20"/>
          <w:w w:val="105"/>
        </w:rPr>
        <w:t>que</w:t>
      </w:r>
      <w:r>
        <w:rPr>
          <w:color w:val="231F20"/>
          <w:spacing w:val="-9"/>
          <w:w w:val="105"/>
        </w:rPr>
        <w:t> </w:t>
      </w:r>
      <w:r>
        <w:rPr>
          <w:color w:val="231F20"/>
          <w:w w:val="105"/>
        </w:rPr>
        <w:t>pueda</w:t>
      </w:r>
      <w:r>
        <w:rPr>
          <w:color w:val="231F20"/>
          <w:spacing w:val="-9"/>
          <w:w w:val="105"/>
        </w:rPr>
        <w:t> </w:t>
      </w:r>
      <w:r>
        <w:rPr>
          <w:color w:val="231F20"/>
          <w:w w:val="105"/>
        </w:rPr>
        <w:t>pretender</w:t>
      </w:r>
      <w:r>
        <w:rPr>
          <w:color w:val="231F20"/>
          <w:spacing w:val="-9"/>
          <w:w w:val="105"/>
        </w:rPr>
        <w:t> </w:t>
      </w:r>
      <w:r>
        <w:rPr>
          <w:color w:val="231F20"/>
          <w:w w:val="105"/>
        </w:rPr>
        <w:t>el</w:t>
      </w:r>
      <w:r>
        <w:rPr>
          <w:color w:val="231F20"/>
          <w:spacing w:val="-9"/>
          <w:w w:val="105"/>
        </w:rPr>
        <w:t> </w:t>
      </w:r>
      <w:r>
        <w:rPr>
          <w:color w:val="231F20"/>
          <w:w w:val="105"/>
        </w:rPr>
        <w:t>monopolio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definición</w:t>
      </w:r>
      <w:r>
        <w:rPr>
          <w:color w:val="231F20"/>
          <w:w w:val="103"/>
        </w:rPr>
        <w:t> </w:t>
      </w:r>
      <w:r>
        <w:rPr>
          <w:color w:val="231F20"/>
          <w:w w:val="105"/>
        </w:rPr>
        <w:t>de</w:t>
      </w:r>
      <w:r>
        <w:rPr>
          <w:color w:val="231F20"/>
          <w:spacing w:val="-15"/>
          <w:w w:val="105"/>
        </w:rPr>
        <w:t> </w:t>
      </w:r>
      <w:r>
        <w:rPr>
          <w:color w:val="231F20"/>
          <w:w w:val="105"/>
        </w:rPr>
        <w:t>qué</w:t>
      </w:r>
      <w:r>
        <w:rPr>
          <w:color w:val="231F20"/>
          <w:spacing w:val="-15"/>
          <w:w w:val="105"/>
        </w:rPr>
        <w:t> </w:t>
      </w:r>
      <w:r>
        <w:rPr>
          <w:color w:val="231F20"/>
          <w:w w:val="105"/>
        </w:rPr>
        <w:t>es</w:t>
      </w:r>
      <w:r>
        <w:rPr>
          <w:color w:val="231F20"/>
          <w:spacing w:val="-15"/>
          <w:w w:val="105"/>
        </w:rPr>
        <w:t> </w:t>
      </w:r>
      <w:r>
        <w:rPr>
          <w:color w:val="231F20"/>
          <w:w w:val="105"/>
        </w:rPr>
        <w:t>político</w:t>
      </w:r>
      <w:r>
        <w:rPr>
          <w:color w:val="231F20"/>
          <w:spacing w:val="-15"/>
          <w:w w:val="105"/>
        </w:rPr>
        <w:t> </w:t>
      </w:r>
      <w:r>
        <w:rPr>
          <w:color w:val="231F20"/>
          <w:w w:val="105"/>
        </w:rPr>
        <w:t>y</w:t>
      </w:r>
      <w:r>
        <w:rPr>
          <w:color w:val="231F20"/>
          <w:spacing w:val="-15"/>
          <w:w w:val="105"/>
        </w:rPr>
        <w:t> </w:t>
      </w:r>
      <w:r>
        <w:rPr>
          <w:color w:val="231F20"/>
          <w:w w:val="105"/>
        </w:rPr>
        <w:t>qué</w:t>
      </w:r>
      <w:r>
        <w:rPr>
          <w:color w:val="231F20"/>
          <w:spacing w:val="-15"/>
          <w:w w:val="105"/>
        </w:rPr>
        <w:t> </w:t>
      </w:r>
      <w:r>
        <w:rPr>
          <w:color w:val="231F20"/>
          <w:w w:val="105"/>
        </w:rPr>
        <w:t>no</w:t>
      </w:r>
      <w:r>
        <w:rPr>
          <w:color w:val="231F20"/>
          <w:spacing w:val="-15"/>
          <w:w w:val="105"/>
        </w:rPr>
        <w:t> </w:t>
      </w:r>
      <w:r>
        <w:rPr>
          <w:color w:val="231F20"/>
          <w:w w:val="105"/>
        </w:rPr>
        <w:t>lo</w:t>
      </w:r>
      <w:r>
        <w:rPr>
          <w:color w:val="231F20"/>
          <w:spacing w:val="-15"/>
          <w:w w:val="105"/>
        </w:rPr>
        <w:t> </w:t>
      </w:r>
      <w:r>
        <w:rPr>
          <w:color w:val="231F20"/>
          <w:w w:val="105"/>
        </w:rPr>
        <w:t>es.</w:t>
      </w:r>
      <w:r>
        <w:rPr>
          <w:color w:val="231F20"/>
          <w:spacing w:val="-15"/>
          <w:w w:val="105"/>
        </w:rPr>
        <w:t> </w:t>
      </w:r>
      <w:r>
        <w:rPr>
          <w:color w:val="231F20"/>
          <w:w w:val="105"/>
        </w:rPr>
        <w:t>“Esta</w:t>
      </w:r>
      <w:r>
        <w:rPr>
          <w:color w:val="231F20"/>
          <w:spacing w:val="-15"/>
          <w:w w:val="105"/>
        </w:rPr>
        <w:t> </w:t>
      </w:r>
      <w:r>
        <w:rPr>
          <w:color w:val="231F20"/>
          <w:w w:val="105"/>
        </w:rPr>
        <w:t>oscilación</w:t>
      </w:r>
      <w:r>
        <w:rPr>
          <w:color w:val="231F20"/>
          <w:spacing w:val="-15"/>
          <w:w w:val="105"/>
        </w:rPr>
        <w:t> </w:t>
      </w:r>
      <w:r>
        <w:rPr>
          <w:color w:val="231F20"/>
          <w:w w:val="105"/>
        </w:rPr>
        <w:t>entre</w:t>
      </w:r>
      <w:r>
        <w:rPr>
          <w:color w:val="231F20"/>
          <w:spacing w:val="-15"/>
          <w:w w:val="105"/>
        </w:rPr>
        <w:t> </w:t>
      </w:r>
      <w:r>
        <w:rPr>
          <w:color w:val="231F20"/>
          <w:w w:val="105"/>
        </w:rPr>
        <w:t>lo</w:t>
      </w:r>
      <w:r>
        <w:rPr>
          <w:color w:val="231F20"/>
          <w:spacing w:val="-15"/>
          <w:w w:val="105"/>
        </w:rPr>
        <w:t> </w:t>
      </w:r>
      <w:r>
        <w:rPr>
          <w:color w:val="231F20"/>
          <w:w w:val="105"/>
        </w:rPr>
        <w:t>político</w:t>
      </w:r>
      <w:r>
        <w:rPr>
          <w:color w:val="231F20"/>
          <w:spacing w:val="-15"/>
          <w:w w:val="105"/>
        </w:rPr>
        <w:t> </w:t>
      </w:r>
      <w:r>
        <w:rPr>
          <w:color w:val="231F20"/>
          <w:w w:val="105"/>
        </w:rPr>
        <w:t>y</w:t>
      </w:r>
      <w:r>
        <w:rPr>
          <w:color w:val="231F20"/>
          <w:spacing w:val="-15"/>
          <w:w w:val="105"/>
        </w:rPr>
        <w:t> </w:t>
      </w:r>
      <w:r>
        <w:rPr>
          <w:color w:val="231F20"/>
          <w:w w:val="105"/>
        </w:rPr>
        <w:t>lo</w:t>
      </w:r>
      <w:r>
        <w:rPr>
          <w:color w:val="231F20"/>
          <w:spacing w:val="-15"/>
          <w:w w:val="105"/>
        </w:rPr>
        <w:t> </w:t>
      </w:r>
      <w:r>
        <w:rPr>
          <w:color w:val="231F20"/>
          <w:w w:val="105"/>
        </w:rPr>
        <w:t>so-</w:t>
      </w:r>
      <w:r>
        <w:rPr>
          <w:color w:val="231F20"/>
          <w:w w:val="91"/>
        </w:rPr>
        <w:t> </w:t>
      </w:r>
      <w:r>
        <w:rPr>
          <w:color w:val="231F20"/>
          <w:w w:val="105"/>
        </w:rPr>
        <w:t>cial</w:t>
      </w:r>
      <w:r>
        <w:rPr>
          <w:color w:val="231F20"/>
          <w:spacing w:val="-24"/>
          <w:w w:val="105"/>
        </w:rPr>
        <w:t> </w:t>
      </w:r>
      <w:r>
        <w:rPr>
          <w:color w:val="231F20"/>
          <w:w w:val="105"/>
        </w:rPr>
        <w:t>se</w:t>
      </w:r>
      <w:r>
        <w:rPr>
          <w:color w:val="231F20"/>
          <w:spacing w:val="-24"/>
          <w:w w:val="105"/>
        </w:rPr>
        <w:t> </w:t>
      </w:r>
      <w:r>
        <w:rPr>
          <w:color w:val="231F20"/>
          <w:w w:val="105"/>
        </w:rPr>
        <w:t>transfiere</w:t>
      </w:r>
      <w:r>
        <w:rPr>
          <w:color w:val="231F20"/>
          <w:spacing w:val="-24"/>
          <w:w w:val="105"/>
        </w:rPr>
        <w:t> </w:t>
      </w:r>
      <w:r>
        <w:rPr>
          <w:color w:val="231F20"/>
          <w:w w:val="105"/>
        </w:rPr>
        <w:t>hoy</w:t>
      </w:r>
      <w:r>
        <w:rPr>
          <w:color w:val="231F20"/>
          <w:spacing w:val="-24"/>
          <w:w w:val="105"/>
        </w:rPr>
        <w:t> </w:t>
      </w:r>
      <w:r>
        <w:rPr>
          <w:color w:val="231F20"/>
          <w:w w:val="105"/>
        </w:rPr>
        <w:t>a</w:t>
      </w:r>
      <w:r>
        <w:rPr>
          <w:color w:val="231F20"/>
          <w:spacing w:val="-24"/>
          <w:w w:val="105"/>
        </w:rPr>
        <w:t> </w:t>
      </w:r>
      <w:r>
        <w:rPr>
          <w:color w:val="231F20"/>
          <w:w w:val="105"/>
        </w:rPr>
        <w:t>la</w:t>
      </w:r>
      <w:r>
        <w:rPr>
          <w:color w:val="231F20"/>
          <w:spacing w:val="-24"/>
          <w:w w:val="105"/>
        </w:rPr>
        <w:t> </w:t>
      </w:r>
      <w:r>
        <w:rPr>
          <w:color w:val="231F20"/>
          <w:w w:val="105"/>
        </w:rPr>
        <w:t>sociedad</w:t>
      </w:r>
      <w:r>
        <w:rPr>
          <w:color w:val="231F20"/>
          <w:spacing w:val="-24"/>
          <w:w w:val="105"/>
        </w:rPr>
        <w:t> </w:t>
      </w:r>
      <w:r>
        <w:rPr>
          <w:color w:val="231F20"/>
          <w:w w:val="105"/>
        </w:rPr>
        <w:t>mundo”</w:t>
      </w:r>
      <w:r>
        <w:rPr>
          <w:color w:val="231F20"/>
          <w:w w:val="105"/>
          <w:position w:val="7"/>
          <w:sz w:val="12"/>
        </w:rPr>
        <w:t>46</w:t>
      </w:r>
      <w:r>
        <w:rPr>
          <w:color w:val="231F20"/>
          <w:w w:val="105"/>
        </w:rPr>
        <w:t>,</w:t>
      </w:r>
      <w:r>
        <w:rPr>
          <w:color w:val="231F20"/>
          <w:spacing w:val="-24"/>
          <w:w w:val="105"/>
        </w:rPr>
        <w:t> </w:t>
      </w:r>
      <w:r>
        <w:rPr>
          <w:color w:val="231F20"/>
          <w:w w:val="105"/>
        </w:rPr>
        <w:t>produciendo</w:t>
      </w:r>
      <w:r>
        <w:rPr>
          <w:color w:val="231F20"/>
          <w:spacing w:val="-24"/>
          <w:w w:val="105"/>
        </w:rPr>
        <w:t> </w:t>
      </w:r>
      <w:r>
        <w:rPr>
          <w:color w:val="231F20"/>
          <w:w w:val="105"/>
        </w:rPr>
        <w:t>como</w:t>
      </w:r>
      <w:r>
        <w:rPr>
          <w:color w:val="231F20"/>
          <w:spacing w:val="-24"/>
          <w:w w:val="105"/>
        </w:rPr>
        <w:t> </w:t>
      </w:r>
      <w:r>
        <w:rPr>
          <w:color w:val="231F20"/>
          <w:w w:val="105"/>
        </w:rPr>
        <w:t>veremos</w:t>
      </w:r>
      <w:r>
        <w:rPr>
          <w:color w:val="231F20"/>
          <w:w w:val="103"/>
        </w:rPr>
        <w:t> </w:t>
      </w:r>
      <w:r>
        <w:rPr>
          <w:color w:val="231F20"/>
          <w:w w:val="105"/>
        </w:rPr>
        <w:t>otras</w:t>
      </w:r>
      <w:r>
        <w:rPr>
          <w:color w:val="231F20"/>
          <w:spacing w:val="-34"/>
          <w:w w:val="105"/>
        </w:rPr>
        <w:t> </w:t>
      </w:r>
      <w:r>
        <w:rPr>
          <w:color w:val="231F20"/>
          <w:w w:val="105"/>
        </w:rPr>
        <w:t>oscilaciones</w:t>
      </w:r>
      <w:r>
        <w:rPr>
          <w:color w:val="231F20"/>
          <w:spacing w:val="-34"/>
          <w:w w:val="105"/>
        </w:rPr>
        <w:t> </w:t>
      </w:r>
      <w:r>
        <w:rPr>
          <w:color w:val="231F20"/>
          <w:w w:val="105"/>
        </w:rPr>
        <w:t>al</w:t>
      </w:r>
      <w:r>
        <w:rPr>
          <w:color w:val="231F20"/>
          <w:spacing w:val="-34"/>
          <w:w w:val="105"/>
        </w:rPr>
        <w:t> </w:t>
      </w:r>
      <w:r>
        <w:rPr>
          <w:color w:val="231F20"/>
          <w:w w:val="105"/>
        </w:rPr>
        <w:t>interior</w:t>
      </w:r>
      <w:r>
        <w:rPr>
          <w:color w:val="231F20"/>
          <w:spacing w:val="-34"/>
          <w:w w:val="105"/>
        </w:rPr>
        <w:t> </w:t>
      </w:r>
      <w:r>
        <w:rPr>
          <w:color w:val="231F20"/>
          <w:w w:val="105"/>
        </w:rPr>
        <w:t>del</w:t>
      </w:r>
      <w:r>
        <w:rPr>
          <w:color w:val="231F20"/>
          <w:spacing w:val="-34"/>
          <w:w w:val="105"/>
        </w:rPr>
        <w:t> </w:t>
      </w:r>
      <w:r>
        <w:rPr>
          <w:color w:val="231F20"/>
          <w:w w:val="105"/>
        </w:rPr>
        <w:t>mecanismo</w:t>
      </w:r>
      <w:r>
        <w:rPr>
          <w:color w:val="231F20"/>
          <w:spacing w:val="-34"/>
          <w:w w:val="105"/>
        </w:rPr>
        <w:t> </w:t>
      </w:r>
      <w:r>
        <w:rPr>
          <w:color w:val="231F20"/>
          <w:w w:val="105"/>
        </w:rPr>
        <w:t>soberano</w:t>
      </w:r>
      <w:r>
        <w:rPr>
          <w:color w:val="231F20"/>
          <w:spacing w:val="-34"/>
          <w:w w:val="105"/>
        </w:rPr>
        <w:t> </w:t>
      </w:r>
      <w:r>
        <w:rPr>
          <w:color w:val="231F20"/>
          <w:w w:val="105"/>
        </w:rPr>
        <w:t>y</w:t>
      </w:r>
      <w:r>
        <w:rPr>
          <w:color w:val="231F20"/>
          <w:spacing w:val="-34"/>
          <w:w w:val="105"/>
        </w:rPr>
        <w:t> </w:t>
      </w:r>
      <w:r>
        <w:rPr>
          <w:color w:val="231F20"/>
          <w:w w:val="105"/>
        </w:rPr>
        <w:t>de</w:t>
      </w:r>
      <w:r>
        <w:rPr>
          <w:color w:val="231F20"/>
          <w:spacing w:val="-34"/>
          <w:w w:val="105"/>
        </w:rPr>
        <w:t> </w:t>
      </w:r>
      <w:r>
        <w:rPr>
          <w:color w:val="231F20"/>
          <w:w w:val="105"/>
        </w:rPr>
        <w:t>su</w:t>
      </w:r>
      <w:r>
        <w:rPr>
          <w:color w:val="231F20"/>
          <w:spacing w:val="-34"/>
          <w:w w:val="105"/>
        </w:rPr>
        <w:t> </w:t>
      </w:r>
      <w:r>
        <w:rPr>
          <w:color w:val="231F20"/>
          <w:w w:val="105"/>
        </w:rPr>
        <w:t>legitimación.</w:t>
      </w:r>
      <w:r>
        <w:rPr>
          <w:color w:val="231F20"/>
          <w:w w:val="101"/>
        </w:rPr>
        <w:t> </w:t>
      </w:r>
      <w:r>
        <w:rPr>
          <w:color w:val="231F20"/>
          <w:w w:val="105"/>
        </w:rPr>
        <w:t>En</w:t>
      </w:r>
      <w:r>
        <w:rPr>
          <w:color w:val="231F20"/>
          <w:spacing w:val="-29"/>
          <w:w w:val="105"/>
        </w:rPr>
        <w:t> </w:t>
      </w:r>
      <w:r>
        <w:rPr>
          <w:color w:val="231F20"/>
          <w:w w:val="105"/>
        </w:rPr>
        <w:t>los</w:t>
      </w:r>
      <w:r>
        <w:rPr>
          <w:color w:val="231F20"/>
          <w:spacing w:val="-29"/>
          <w:w w:val="105"/>
        </w:rPr>
        <w:t> </w:t>
      </w:r>
      <w:r>
        <w:rPr>
          <w:color w:val="231F20"/>
          <w:w w:val="105"/>
        </w:rPr>
        <w:t>Estados</w:t>
      </w:r>
      <w:r>
        <w:rPr>
          <w:color w:val="231F20"/>
          <w:spacing w:val="-29"/>
          <w:w w:val="105"/>
        </w:rPr>
        <w:t> </w:t>
      </w:r>
      <w:r>
        <w:rPr>
          <w:color w:val="231F20"/>
          <w:w w:val="105"/>
        </w:rPr>
        <w:t>postcoloniales</w:t>
      </w:r>
      <w:r>
        <w:rPr>
          <w:color w:val="231F20"/>
          <w:spacing w:val="-29"/>
          <w:w w:val="105"/>
        </w:rPr>
        <w:t> </w:t>
      </w:r>
      <w:r>
        <w:rPr>
          <w:color w:val="231F20"/>
          <w:w w:val="105"/>
        </w:rPr>
        <w:t>cambia</w:t>
      </w:r>
      <w:r>
        <w:rPr>
          <w:color w:val="231F20"/>
          <w:spacing w:val="-29"/>
          <w:w w:val="105"/>
        </w:rPr>
        <w:t> </w:t>
      </w:r>
      <w:r>
        <w:rPr>
          <w:color w:val="231F20"/>
          <w:w w:val="105"/>
        </w:rPr>
        <w:t>la</w:t>
      </w:r>
      <w:r>
        <w:rPr>
          <w:color w:val="231F20"/>
          <w:spacing w:val="-29"/>
          <w:w w:val="105"/>
        </w:rPr>
        <w:t> </w:t>
      </w:r>
      <w:r>
        <w:rPr>
          <w:color w:val="231F20"/>
          <w:w w:val="105"/>
        </w:rPr>
        <w:t>conexión</w:t>
      </w:r>
      <w:r>
        <w:rPr>
          <w:color w:val="231F20"/>
          <w:spacing w:val="-29"/>
          <w:w w:val="105"/>
        </w:rPr>
        <w:t> </w:t>
      </w:r>
      <w:r>
        <w:rPr>
          <w:color w:val="231F20"/>
          <w:w w:val="105"/>
        </w:rPr>
        <w:t>que</w:t>
      </w:r>
      <w:r>
        <w:rPr>
          <w:color w:val="231F20"/>
          <w:spacing w:val="-29"/>
          <w:w w:val="105"/>
        </w:rPr>
        <w:t> </w:t>
      </w:r>
      <w:r>
        <w:rPr>
          <w:color w:val="231F20"/>
          <w:w w:val="105"/>
        </w:rPr>
        <w:t>históricamen-</w:t>
      </w:r>
    </w:p>
    <w:p>
      <w:pPr>
        <w:pStyle w:val="BodyText"/>
        <w:spacing w:line="247" w:lineRule="auto"/>
        <w:ind w:left="117" w:right="101"/>
        <w:jc w:val="both"/>
      </w:pPr>
      <w:r>
        <w:rPr>
          <w:color w:val="231F20"/>
        </w:rPr>
        <w:t>te</w:t>
      </w:r>
      <w:r>
        <w:rPr>
          <w:color w:val="231F20"/>
          <w:spacing w:val="-6"/>
        </w:rPr>
        <w:t> </w:t>
      </w:r>
      <w:r>
        <w:rPr>
          <w:color w:val="231F20"/>
        </w:rPr>
        <w:t>ha</w:t>
      </w:r>
      <w:r>
        <w:rPr>
          <w:color w:val="231F20"/>
          <w:spacing w:val="-6"/>
        </w:rPr>
        <w:t> </w:t>
      </w:r>
      <w:r>
        <w:rPr>
          <w:color w:val="231F20"/>
        </w:rPr>
        <w:t>ayudado</w:t>
      </w:r>
      <w:r>
        <w:rPr>
          <w:color w:val="231F20"/>
          <w:spacing w:val="-6"/>
        </w:rPr>
        <w:t> </w:t>
      </w:r>
      <w:r>
        <w:rPr>
          <w:color w:val="231F20"/>
        </w:rPr>
        <w:t>a</w:t>
      </w:r>
      <w:r>
        <w:rPr>
          <w:color w:val="231F20"/>
          <w:spacing w:val="-6"/>
        </w:rPr>
        <w:t> </w:t>
      </w:r>
      <w:r>
        <w:rPr>
          <w:color w:val="231F20"/>
        </w:rPr>
        <w:t>insertar</w:t>
      </w:r>
      <w:r>
        <w:rPr>
          <w:color w:val="231F20"/>
          <w:spacing w:val="-6"/>
        </w:rPr>
        <w:t> </w:t>
      </w:r>
      <w:r>
        <w:rPr>
          <w:color w:val="231F20"/>
        </w:rPr>
        <w:t>a</w:t>
      </w:r>
      <w:r>
        <w:rPr>
          <w:color w:val="231F20"/>
          <w:spacing w:val="-6"/>
        </w:rPr>
        <w:t> </w:t>
      </w:r>
      <w:r>
        <w:rPr>
          <w:color w:val="231F20"/>
        </w:rPr>
        <w:t>cada</w:t>
      </w:r>
      <w:r>
        <w:rPr>
          <w:color w:val="231F20"/>
          <w:spacing w:val="-6"/>
        </w:rPr>
        <w:t> </w:t>
      </w:r>
      <w:r>
        <w:rPr>
          <w:color w:val="231F20"/>
        </w:rPr>
        <w:t>Estado</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sistema,</w:t>
      </w:r>
      <w:r>
        <w:rPr>
          <w:color w:val="231F20"/>
          <w:spacing w:val="-6"/>
        </w:rPr>
        <w:t> </w:t>
      </w:r>
      <w:r>
        <w:rPr>
          <w:color w:val="231F20"/>
        </w:rPr>
        <w:t>reconociendo</w:t>
      </w:r>
      <w:r>
        <w:rPr>
          <w:color w:val="231F20"/>
          <w:spacing w:val="-6"/>
        </w:rPr>
        <w:t> </w:t>
      </w:r>
      <w:r>
        <w:rPr>
          <w:color w:val="231F20"/>
        </w:rPr>
        <w:t>y</w:t>
      </w:r>
      <w:r>
        <w:rPr>
          <w:color w:val="231F20"/>
          <w:spacing w:val="-6"/>
        </w:rPr>
        <w:t> </w:t>
      </w:r>
      <w:r>
        <w:rPr>
          <w:color w:val="231F20"/>
        </w:rPr>
        <w:t>legi- timando</w:t>
      </w:r>
      <w:r>
        <w:rPr>
          <w:color w:val="231F20"/>
          <w:spacing w:val="-8"/>
        </w:rPr>
        <w:t> </w:t>
      </w:r>
      <w:r>
        <w:rPr>
          <w:color w:val="231F20"/>
        </w:rPr>
        <w:t>la</w:t>
      </w:r>
      <w:r>
        <w:rPr>
          <w:color w:val="231F20"/>
          <w:spacing w:val="-8"/>
        </w:rPr>
        <w:t> </w:t>
      </w:r>
      <w:r>
        <w:rPr>
          <w:color w:val="231F20"/>
        </w:rPr>
        <w:t>existencia</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carácter</w:t>
      </w:r>
      <w:r>
        <w:rPr>
          <w:color w:val="231F20"/>
          <w:spacing w:val="-8"/>
        </w:rPr>
        <w:t> </w:t>
      </w:r>
      <w:r>
        <w:rPr>
          <w:color w:val="231F20"/>
        </w:rPr>
        <w:t>absoluto</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soberanía.</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Estados globales postcoloniales parece que el sistema se vuelve contra los Estados poniendo si no en peligro, al menos en discusión cada pretensión de ab- solutismo. “Esto es posible porque el Estado está irreversiblemente conec- tado con un </w:t>
      </w:r>
      <w:r>
        <w:rPr>
          <w:rFonts w:ascii="Arial" w:hAnsi="Arial"/>
          <w:i/>
          <w:color w:val="231F20"/>
        </w:rPr>
        <w:t>orden </w:t>
      </w:r>
      <w:r>
        <w:rPr>
          <w:color w:val="231F20"/>
        </w:rPr>
        <w:t>que empuja hacia la evolución de formas de soberanía compartida”</w:t>
      </w:r>
      <w:r>
        <w:rPr>
          <w:color w:val="231F20"/>
          <w:position w:val="7"/>
          <w:sz w:val="12"/>
        </w:rPr>
        <w:t>47</w:t>
      </w:r>
      <w:r>
        <w:rPr>
          <w:color w:val="231F20"/>
        </w:rPr>
        <w:t>. En otros términos, en el Estado históricamente postcolonial se evidencian procesos que, algunas veces como una verdadera anticipa- ción, están presentes en los Estados que un tiempo fueron colonizadores. Aun sin repensar irónicamente la propia representación, cada Estado se convierte,</w:t>
      </w:r>
      <w:r>
        <w:rPr>
          <w:color w:val="231F20"/>
          <w:spacing w:val="-9"/>
        </w:rPr>
        <w:t> </w:t>
      </w:r>
      <w:r>
        <w:rPr>
          <w:color w:val="231F20"/>
        </w:rPr>
        <w:t>como</w:t>
      </w:r>
      <w:r>
        <w:rPr>
          <w:color w:val="231F20"/>
          <w:spacing w:val="-9"/>
        </w:rPr>
        <w:t> </w:t>
      </w:r>
      <w:r>
        <w:rPr>
          <w:color w:val="231F20"/>
        </w:rPr>
        <w:t>consecuencia,</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rPr>
        <w:t>estructura</w:t>
      </w:r>
      <w:r>
        <w:rPr>
          <w:color w:val="231F20"/>
          <w:spacing w:val="-9"/>
        </w:rPr>
        <w:t> </w:t>
      </w:r>
      <w:r>
        <w:rPr>
          <w:color w:val="231F20"/>
        </w:rPr>
        <w:t>social</w:t>
      </w:r>
      <w:r>
        <w:rPr>
          <w:color w:val="231F20"/>
          <w:spacing w:val="-9"/>
        </w:rPr>
        <w:t> </w:t>
      </w:r>
      <w:r>
        <w:rPr>
          <w:color w:val="231F20"/>
        </w:rPr>
        <w:t>que</w:t>
      </w:r>
      <w:r>
        <w:rPr>
          <w:color w:val="231F20"/>
          <w:spacing w:val="-9"/>
        </w:rPr>
        <w:t> </w:t>
      </w:r>
      <w:r>
        <w:rPr>
          <w:color w:val="231F20"/>
        </w:rPr>
        <w:t>debe</w:t>
      </w:r>
      <w:r>
        <w:rPr>
          <w:color w:val="231F20"/>
          <w:spacing w:val="-9"/>
        </w:rPr>
        <w:t> </w:t>
      </w:r>
      <w:r>
        <w:rPr>
          <w:color w:val="231F20"/>
        </w:rPr>
        <w:t>renunciar a la pretensión de ser un agente soberano único y</w:t>
      </w:r>
      <w:r>
        <w:rPr>
          <w:color w:val="231F20"/>
          <w:spacing w:val="-21"/>
        </w:rPr>
        <w:t> </w:t>
      </w:r>
      <w:r>
        <w:rPr>
          <w:color w:val="231F20"/>
        </w:rPr>
        <w:t>exclusivo.</w:t>
      </w:r>
    </w:p>
    <w:p>
      <w:pPr>
        <w:pStyle w:val="BodyText"/>
        <w:spacing w:line="247" w:lineRule="auto"/>
        <w:ind w:left="117" w:right="101" w:firstLine="566"/>
        <w:jc w:val="both"/>
      </w:pPr>
      <w:r>
        <w:rPr>
          <w:color w:val="231F20"/>
          <w:w w:val="105"/>
        </w:rPr>
        <w:t>El</w:t>
      </w:r>
      <w:r>
        <w:rPr>
          <w:color w:val="231F20"/>
          <w:spacing w:val="-33"/>
          <w:w w:val="105"/>
        </w:rPr>
        <w:t> </w:t>
      </w:r>
      <w:r>
        <w:rPr>
          <w:color w:val="231F20"/>
          <w:w w:val="105"/>
        </w:rPr>
        <w:t>Estado</w:t>
      </w:r>
      <w:r>
        <w:rPr>
          <w:color w:val="231F20"/>
          <w:spacing w:val="-33"/>
          <w:w w:val="105"/>
        </w:rPr>
        <w:t> </w:t>
      </w:r>
      <w:r>
        <w:rPr>
          <w:color w:val="231F20"/>
          <w:w w:val="105"/>
        </w:rPr>
        <w:t>postcolonial</w:t>
      </w:r>
      <w:r>
        <w:rPr>
          <w:color w:val="231F20"/>
          <w:spacing w:val="-33"/>
          <w:w w:val="105"/>
        </w:rPr>
        <w:t> </w:t>
      </w:r>
      <w:r>
        <w:rPr>
          <w:color w:val="231F20"/>
          <w:w w:val="105"/>
        </w:rPr>
        <w:t>asume</w:t>
      </w:r>
      <w:r>
        <w:rPr>
          <w:color w:val="231F20"/>
          <w:spacing w:val="-33"/>
          <w:w w:val="105"/>
        </w:rPr>
        <w:t> </w:t>
      </w:r>
      <w:r>
        <w:rPr>
          <w:color w:val="231F20"/>
          <w:w w:val="105"/>
        </w:rPr>
        <w:t>algunos</w:t>
      </w:r>
      <w:r>
        <w:rPr>
          <w:color w:val="231F20"/>
          <w:spacing w:val="-33"/>
          <w:w w:val="105"/>
        </w:rPr>
        <w:t> </w:t>
      </w:r>
      <w:r>
        <w:rPr>
          <w:color w:val="231F20"/>
          <w:w w:val="105"/>
        </w:rPr>
        <w:t>rasgos</w:t>
      </w:r>
      <w:r>
        <w:rPr>
          <w:color w:val="231F20"/>
          <w:spacing w:val="-33"/>
          <w:w w:val="105"/>
        </w:rPr>
        <w:t> </w:t>
      </w:r>
      <w:r>
        <w:rPr>
          <w:color w:val="231F20"/>
          <w:w w:val="105"/>
        </w:rPr>
        <w:t>paradigmáticos</w:t>
      </w:r>
      <w:r>
        <w:rPr>
          <w:color w:val="231F20"/>
          <w:spacing w:val="-33"/>
          <w:w w:val="105"/>
        </w:rPr>
        <w:t> </w:t>
      </w:r>
      <w:r>
        <w:rPr>
          <w:color w:val="231F20"/>
          <w:w w:val="105"/>
        </w:rPr>
        <w:t>del</w:t>
      </w:r>
      <w:r>
        <w:rPr>
          <w:color w:val="231F20"/>
          <w:spacing w:val="-33"/>
          <w:w w:val="105"/>
        </w:rPr>
        <w:t> </w:t>
      </w:r>
      <w:r>
        <w:rPr>
          <w:color w:val="231F20"/>
          <w:w w:val="105"/>
        </w:rPr>
        <w:t>Es- tado</w:t>
      </w:r>
      <w:r>
        <w:rPr>
          <w:color w:val="231F20"/>
          <w:spacing w:val="-21"/>
          <w:w w:val="105"/>
        </w:rPr>
        <w:t> </w:t>
      </w:r>
      <w:r>
        <w:rPr>
          <w:color w:val="231F20"/>
          <w:w w:val="105"/>
        </w:rPr>
        <w:t>global</w:t>
      </w:r>
      <w:r>
        <w:rPr>
          <w:color w:val="231F20"/>
          <w:spacing w:val="-21"/>
          <w:w w:val="105"/>
        </w:rPr>
        <w:t> </w:t>
      </w:r>
      <w:r>
        <w:rPr>
          <w:color w:val="231F20"/>
          <w:w w:val="105"/>
        </w:rPr>
        <w:t>contemporáneo</w:t>
      </w:r>
      <w:r>
        <w:rPr>
          <w:color w:val="231F20"/>
          <w:spacing w:val="-21"/>
          <w:w w:val="105"/>
        </w:rPr>
        <w:t> </w:t>
      </w:r>
      <w:r>
        <w:rPr>
          <w:color w:val="231F20"/>
          <w:w w:val="105"/>
        </w:rPr>
        <w:t>porque</w:t>
      </w:r>
      <w:r>
        <w:rPr>
          <w:color w:val="231F20"/>
          <w:spacing w:val="-21"/>
          <w:w w:val="105"/>
        </w:rPr>
        <w:t> </w:t>
      </w:r>
      <w:r>
        <w:rPr>
          <w:color w:val="231F20"/>
          <w:w w:val="105"/>
        </w:rPr>
        <w:t>interrumpe</w:t>
      </w:r>
      <w:r>
        <w:rPr>
          <w:color w:val="231F20"/>
          <w:spacing w:val="-21"/>
          <w:w w:val="105"/>
        </w:rPr>
        <w:t> </w:t>
      </w:r>
      <w:r>
        <w:rPr>
          <w:color w:val="231F20"/>
          <w:w w:val="105"/>
        </w:rPr>
        <w:t>la</w:t>
      </w:r>
      <w:r>
        <w:rPr>
          <w:color w:val="231F20"/>
          <w:spacing w:val="-21"/>
          <w:w w:val="105"/>
        </w:rPr>
        <w:t> </w:t>
      </w:r>
      <w:r>
        <w:rPr>
          <w:color w:val="231F20"/>
          <w:w w:val="105"/>
        </w:rPr>
        <w:t>posibilidad</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analo- gía</w:t>
      </w:r>
      <w:r>
        <w:rPr>
          <w:color w:val="231F20"/>
          <w:spacing w:val="-19"/>
          <w:w w:val="105"/>
        </w:rPr>
        <w:t> </w:t>
      </w:r>
      <w:r>
        <w:rPr>
          <w:color w:val="231F20"/>
          <w:w w:val="105"/>
        </w:rPr>
        <w:t>gracias</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cual</w:t>
      </w:r>
      <w:r>
        <w:rPr>
          <w:color w:val="231F20"/>
          <w:spacing w:val="-19"/>
          <w:w w:val="105"/>
        </w:rPr>
        <w:t> </w:t>
      </w:r>
      <w:r>
        <w:rPr>
          <w:color w:val="231F20"/>
          <w:w w:val="105"/>
        </w:rPr>
        <w:t>procesos</w:t>
      </w:r>
      <w:r>
        <w:rPr>
          <w:color w:val="231F20"/>
          <w:spacing w:val="-19"/>
          <w:w w:val="105"/>
        </w:rPr>
        <w:t> </w:t>
      </w:r>
      <w:r>
        <w:rPr>
          <w:color w:val="231F20"/>
          <w:w w:val="105"/>
        </w:rPr>
        <w:t>locales</w:t>
      </w:r>
      <w:r>
        <w:rPr>
          <w:color w:val="231F20"/>
          <w:spacing w:val="-19"/>
          <w:w w:val="105"/>
        </w:rPr>
        <w:t> </w:t>
      </w:r>
      <w:r>
        <w:rPr>
          <w:color w:val="231F20"/>
          <w:w w:val="105"/>
        </w:rPr>
        <w:t>o</w:t>
      </w:r>
      <w:r>
        <w:rPr>
          <w:color w:val="231F20"/>
          <w:spacing w:val="-19"/>
          <w:w w:val="105"/>
        </w:rPr>
        <w:t> </w:t>
      </w:r>
      <w:r>
        <w:rPr>
          <w:color w:val="231F20"/>
          <w:w w:val="105"/>
        </w:rPr>
        <w:t>temporalmente</w:t>
      </w:r>
      <w:r>
        <w:rPr>
          <w:color w:val="231F20"/>
          <w:spacing w:val="-19"/>
          <w:w w:val="105"/>
        </w:rPr>
        <w:t> </w:t>
      </w:r>
      <w:r>
        <w:rPr>
          <w:color w:val="231F20"/>
          <w:w w:val="105"/>
        </w:rPr>
        <w:t>determinados</w:t>
      </w:r>
      <w:r>
        <w:rPr>
          <w:color w:val="231F20"/>
          <w:spacing w:val="-19"/>
          <w:w w:val="105"/>
        </w:rPr>
        <w:t> </w:t>
      </w:r>
      <w:r>
        <w:rPr>
          <w:color w:val="231F20"/>
          <w:w w:val="105"/>
        </w:rPr>
        <w:t>son normalmente</w:t>
      </w:r>
      <w:r>
        <w:rPr>
          <w:color w:val="231F20"/>
          <w:spacing w:val="-25"/>
          <w:w w:val="105"/>
        </w:rPr>
        <w:t> </w:t>
      </w:r>
      <w:r>
        <w:rPr>
          <w:color w:val="231F20"/>
          <w:w w:val="105"/>
        </w:rPr>
        <w:t>atribuidos</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w w:val="105"/>
        </w:rPr>
        <w:t>historia</w:t>
      </w:r>
      <w:r>
        <w:rPr>
          <w:color w:val="231F20"/>
          <w:spacing w:val="-25"/>
          <w:w w:val="105"/>
        </w:rPr>
        <w:t> </w:t>
      </w:r>
      <w:r>
        <w:rPr>
          <w:color w:val="231F20"/>
          <w:w w:val="105"/>
        </w:rPr>
        <w:t>del</w:t>
      </w:r>
      <w:r>
        <w:rPr>
          <w:color w:val="231F20"/>
          <w:spacing w:val="-25"/>
          <w:w w:val="105"/>
        </w:rPr>
        <w:t> </w:t>
      </w:r>
      <w:r>
        <w:rPr>
          <w:color w:val="231F20"/>
          <w:w w:val="105"/>
        </w:rPr>
        <w:t>Estado</w:t>
      </w:r>
      <w:r>
        <w:rPr>
          <w:color w:val="231F20"/>
          <w:spacing w:val="-25"/>
          <w:w w:val="105"/>
        </w:rPr>
        <w:t> </w:t>
      </w:r>
      <w:r>
        <w:rPr>
          <w:color w:val="231F20"/>
          <w:w w:val="105"/>
        </w:rPr>
        <w:t>en</w:t>
      </w:r>
      <w:r>
        <w:rPr>
          <w:color w:val="231F20"/>
          <w:spacing w:val="-25"/>
          <w:w w:val="105"/>
        </w:rPr>
        <w:t> </w:t>
      </w:r>
      <w:r>
        <w:rPr>
          <w:color w:val="231F20"/>
          <w:w w:val="105"/>
        </w:rPr>
        <w:t>su</w:t>
      </w:r>
      <w:r>
        <w:rPr>
          <w:color w:val="231F20"/>
          <w:spacing w:val="-25"/>
          <w:w w:val="105"/>
        </w:rPr>
        <w:t> </w:t>
      </w:r>
      <w:r>
        <w:rPr>
          <w:color w:val="231F20"/>
          <w:w w:val="105"/>
        </w:rPr>
        <w:t>conjunto.</w:t>
      </w:r>
      <w:r>
        <w:rPr>
          <w:color w:val="231F20"/>
          <w:spacing w:val="-25"/>
          <w:w w:val="105"/>
        </w:rPr>
        <w:t> </w:t>
      </w:r>
      <w:r>
        <w:rPr>
          <w:color w:val="231F20"/>
          <w:w w:val="105"/>
        </w:rPr>
        <w:t>El</w:t>
      </w:r>
      <w:r>
        <w:rPr>
          <w:color w:val="231F20"/>
          <w:spacing w:val="-25"/>
          <w:w w:val="105"/>
        </w:rPr>
        <w:t> </w:t>
      </w:r>
      <w:r>
        <w:rPr>
          <w:color w:val="231F20"/>
          <w:w w:val="105"/>
        </w:rPr>
        <w:t>estudio histórico</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procesos</w:t>
      </w:r>
      <w:r>
        <w:rPr>
          <w:color w:val="231F20"/>
          <w:spacing w:val="-17"/>
          <w:w w:val="105"/>
        </w:rPr>
        <w:t> </w:t>
      </w:r>
      <w:r>
        <w:rPr>
          <w:color w:val="231F20"/>
          <w:w w:val="105"/>
        </w:rPr>
        <w:t>de</w:t>
      </w:r>
      <w:r>
        <w:rPr>
          <w:color w:val="231F20"/>
          <w:spacing w:val="-17"/>
          <w:w w:val="105"/>
        </w:rPr>
        <w:t> </w:t>
      </w:r>
      <w:r>
        <w:rPr>
          <w:color w:val="231F20"/>
          <w:w w:val="105"/>
        </w:rPr>
        <w:t>formación</w:t>
      </w:r>
      <w:r>
        <w:rPr>
          <w:color w:val="231F20"/>
          <w:spacing w:val="-17"/>
          <w:w w:val="105"/>
        </w:rPr>
        <w:t> </w:t>
      </w:r>
      <w:r>
        <w:rPr>
          <w:color w:val="231F20"/>
          <w:w w:val="105"/>
        </w:rPr>
        <w:t>del</w:t>
      </w:r>
      <w:r>
        <w:rPr>
          <w:color w:val="231F20"/>
          <w:spacing w:val="-17"/>
          <w:w w:val="105"/>
        </w:rPr>
        <w:t> </w:t>
      </w:r>
      <w:r>
        <w:rPr>
          <w:color w:val="231F20"/>
          <w:w w:val="105"/>
        </w:rPr>
        <w:t>Estado</w:t>
      </w:r>
      <w:r>
        <w:rPr>
          <w:color w:val="231F20"/>
          <w:spacing w:val="-17"/>
          <w:w w:val="105"/>
        </w:rPr>
        <w:t> </w:t>
      </w:r>
      <w:r>
        <w:rPr>
          <w:color w:val="231F20"/>
          <w:w w:val="105"/>
        </w:rPr>
        <w:t>nunca</w:t>
      </w:r>
      <w:r>
        <w:rPr>
          <w:color w:val="231F20"/>
          <w:spacing w:val="-17"/>
          <w:w w:val="105"/>
        </w:rPr>
        <w:t> </w:t>
      </w:r>
      <w:r>
        <w:rPr>
          <w:color w:val="231F20"/>
          <w:w w:val="105"/>
        </w:rPr>
        <w:t>ha</w:t>
      </w:r>
      <w:r>
        <w:rPr>
          <w:color w:val="231F20"/>
          <w:spacing w:val="-17"/>
          <w:w w:val="105"/>
        </w:rPr>
        <w:t> </w:t>
      </w:r>
      <w:r>
        <w:rPr>
          <w:color w:val="231F20"/>
          <w:w w:val="105"/>
        </w:rPr>
        <w:t>sido</w:t>
      </w:r>
      <w:r>
        <w:rPr>
          <w:color w:val="231F20"/>
          <w:spacing w:val="-17"/>
          <w:w w:val="105"/>
        </w:rPr>
        <w:t> </w:t>
      </w:r>
      <w:r>
        <w:rPr>
          <w:color w:val="231F20"/>
          <w:w w:val="105"/>
        </w:rPr>
        <w:t>un</w:t>
      </w:r>
      <w:r>
        <w:rPr>
          <w:color w:val="231F20"/>
          <w:spacing w:val="-17"/>
          <w:w w:val="105"/>
        </w:rPr>
        <w:t> </w:t>
      </w:r>
      <w:r>
        <w:rPr>
          <w:color w:val="231F20"/>
          <w:w w:val="105"/>
        </w:rPr>
        <w:t>mero ejercicio antiguo, sino que ha siempre implicado la individuación de es- tructuras</w:t>
      </w:r>
      <w:r>
        <w:rPr>
          <w:color w:val="231F20"/>
          <w:spacing w:val="-24"/>
          <w:w w:val="105"/>
        </w:rPr>
        <w:t> </w:t>
      </w:r>
      <w:r>
        <w:rPr>
          <w:color w:val="231F20"/>
          <w:w w:val="105"/>
        </w:rPr>
        <w:t>que,</w:t>
      </w:r>
      <w:r>
        <w:rPr>
          <w:color w:val="231F20"/>
          <w:spacing w:val="-24"/>
          <w:w w:val="105"/>
        </w:rPr>
        <w:t> </w:t>
      </w:r>
      <w:r>
        <w:rPr>
          <w:color w:val="231F20"/>
          <w:w w:val="105"/>
        </w:rPr>
        <w:t>precisamente</w:t>
      </w:r>
      <w:r>
        <w:rPr>
          <w:color w:val="231F20"/>
          <w:spacing w:val="-24"/>
          <w:w w:val="105"/>
        </w:rPr>
        <w:t> </w:t>
      </w:r>
      <w:r>
        <w:rPr>
          <w:color w:val="231F20"/>
          <w:w w:val="105"/>
        </w:rPr>
        <w:t>porque</w:t>
      </w:r>
      <w:r>
        <w:rPr>
          <w:color w:val="231F20"/>
          <w:spacing w:val="-24"/>
          <w:w w:val="105"/>
        </w:rPr>
        <w:t> </w:t>
      </w:r>
      <w:r>
        <w:rPr>
          <w:color w:val="231F20"/>
          <w:w w:val="105"/>
        </w:rPr>
        <w:t>están</w:t>
      </w:r>
      <w:r>
        <w:rPr>
          <w:color w:val="231F20"/>
          <w:spacing w:val="-24"/>
          <w:w w:val="105"/>
        </w:rPr>
        <w:t> </w:t>
      </w:r>
      <w:r>
        <w:rPr>
          <w:color w:val="231F20"/>
          <w:w w:val="105"/>
        </w:rPr>
        <w:t>presentes</w:t>
      </w:r>
      <w:r>
        <w:rPr>
          <w:color w:val="231F20"/>
          <w:spacing w:val="-24"/>
          <w:w w:val="105"/>
        </w:rPr>
        <w:t> </w:t>
      </w:r>
      <w:r>
        <w:rPr>
          <w:color w:val="231F20"/>
          <w:w w:val="105"/>
        </w:rPr>
        <w:t>desde</w:t>
      </w:r>
      <w:r>
        <w:rPr>
          <w:color w:val="231F20"/>
          <w:spacing w:val="-24"/>
          <w:w w:val="105"/>
        </w:rPr>
        <w:t> </w:t>
      </w:r>
      <w:r>
        <w:rPr>
          <w:color w:val="231F20"/>
          <w:w w:val="105"/>
        </w:rPr>
        <w:t>el</w:t>
      </w:r>
      <w:r>
        <w:rPr>
          <w:color w:val="231F20"/>
          <w:spacing w:val="-24"/>
          <w:w w:val="105"/>
        </w:rPr>
        <w:t> </w:t>
      </w:r>
      <w:r>
        <w:rPr>
          <w:color w:val="231F20"/>
          <w:w w:val="105"/>
        </w:rPr>
        <w:t>origen,</w:t>
      </w:r>
      <w:r>
        <w:rPr>
          <w:color w:val="231F20"/>
          <w:spacing w:val="-24"/>
          <w:w w:val="105"/>
        </w:rPr>
        <w:t> </w:t>
      </w:r>
      <w:r>
        <w:rPr>
          <w:color w:val="231F20"/>
          <w:w w:val="105"/>
        </w:rPr>
        <w:t>son literalmente</w:t>
      </w:r>
      <w:r>
        <w:rPr>
          <w:color w:val="231F20"/>
          <w:spacing w:val="-34"/>
          <w:w w:val="105"/>
        </w:rPr>
        <w:t> </w:t>
      </w:r>
      <w:r>
        <w:rPr>
          <w:color w:val="231F20"/>
          <w:w w:val="105"/>
        </w:rPr>
        <w:t>llamadas</w:t>
      </w:r>
      <w:r>
        <w:rPr>
          <w:color w:val="231F20"/>
          <w:spacing w:val="-34"/>
          <w:w w:val="105"/>
        </w:rPr>
        <w:t> </w:t>
      </w:r>
      <w:r>
        <w:rPr>
          <w:color w:val="231F20"/>
          <w:w w:val="105"/>
        </w:rPr>
        <w:t>a</w:t>
      </w:r>
      <w:r>
        <w:rPr>
          <w:color w:val="231F20"/>
          <w:spacing w:val="-34"/>
          <w:w w:val="105"/>
        </w:rPr>
        <w:t> </w:t>
      </w:r>
      <w:r>
        <w:rPr>
          <w:color w:val="231F20"/>
          <w:w w:val="105"/>
        </w:rPr>
        <w:t>acuñar</w:t>
      </w:r>
      <w:r>
        <w:rPr>
          <w:color w:val="231F20"/>
          <w:spacing w:val="-34"/>
          <w:w w:val="105"/>
        </w:rPr>
        <w:t> </w:t>
      </w:r>
      <w:r>
        <w:rPr>
          <w:color w:val="231F20"/>
          <w:w w:val="105"/>
        </w:rPr>
        <w:t>el</w:t>
      </w:r>
      <w:r>
        <w:rPr>
          <w:color w:val="231F20"/>
          <w:spacing w:val="-34"/>
          <w:w w:val="105"/>
        </w:rPr>
        <w:t> </w:t>
      </w:r>
      <w:r>
        <w:rPr>
          <w:color w:val="231F20"/>
          <w:w w:val="105"/>
        </w:rPr>
        <w:t>concepto</w:t>
      </w:r>
      <w:r>
        <w:rPr>
          <w:color w:val="231F20"/>
          <w:spacing w:val="-34"/>
          <w:w w:val="105"/>
        </w:rPr>
        <w:t> </w:t>
      </w:r>
      <w:r>
        <w:rPr>
          <w:color w:val="231F20"/>
          <w:w w:val="105"/>
        </w:rPr>
        <w:t>de</w:t>
      </w:r>
      <w:r>
        <w:rPr>
          <w:color w:val="231F20"/>
          <w:spacing w:val="-34"/>
          <w:w w:val="105"/>
        </w:rPr>
        <w:t> </w:t>
      </w:r>
      <w:r>
        <w:rPr>
          <w:color w:val="231F20"/>
          <w:w w:val="105"/>
        </w:rPr>
        <w:t>Estado,</w:t>
      </w:r>
      <w:r>
        <w:rPr>
          <w:color w:val="231F20"/>
          <w:spacing w:val="-34"/>
          <w:w w:val="105"/>
        </w:rPr>
        <w:t> </w:t>
      </w:r>
      <w:r>
        <w:rPr>
          <w:color w:val="231F20"/>
          <w:w w:val="105"/>
        </w:rPr>
        <w:t>estableciendo</w:t>
      </w:r>
      <w:r>
        <w:rPr>
          <w:color w:val="231F20"/>
          <w:spacing w:val="-34"/>
          <w:w w:val="105"/>
        </w:rPr>
        <w:t> </w:t>
      </w:r>
      <w:r>
        <w:rPr>
          <w:color w:val="231F20"/>
          <w:w w:val="105"/>
        </w:rPr>
        <w:t>algu- nas</w:t>
      </w:r>
      <w:r>
        <w:rPr>
          <w:color w:val="231F20"/>
          <w:spacing w:val="-42"/>
          <w:w w:val="105"/>
        </w:rPr>
        <w:t> </w:t>
      </w:r>
      <w:r>
        <w:rPr>
          <w:color w:val="231F20"/>
          <w:w w:val="105"/>
        </w:rPr>
        <w:t>de</w:t>
      </w:r>
      <w:r>
        <w:rPr>
          <w:color w:val="231F20"/>
          <w:spacing w:val="-42"/>
          <w:w w:val="105"/>
        </w:rPr>
        <w:t> </w:t>
      </w:r>
      <w:r>
        <w:rPr>
          <w:color w:val="231F20"/>
          <w:w w:val="105"/>
        </w:rPr>
        <w:t>sus</w:t>
      </w:r>
      <w:r>
        <w:rPr>
          <w:color w:val="231F20"/>
          <w:spacing w:val="-42"/>
          <w:w w:val="105"/>
        </w:rPr>
        <w:t> </w:t>
      </w:r>
      <w:r>
        <w:rPr>
          <w:color w:val="231F20"/>
          <w:w w:val="105"/>
        </w:rPr>
        <w:t>características</w:t>
      </w:r>
      <w:r>
        <w:rPr>
          <w:color w:val="231F20"/>
          <w:spacing w:val="-42"/>
          <w:w w:val="105"/>
        </w:rPr>
        <w:t> </w:t>
      </w:r>
      <w:r>
        <w:rPr>
          <w:color w:val="231F20"/>
          <w:w w:val="105"/>
        </w:rPr>
        <w:t>consideradas</w:t>
      </w:r>
      <w:r>
        <w:rPr>
          <w:color w:val="231F20"/>
          <w:spacing w:val="-42"/>
          <w:w w:val="105"/>
        </w:rPr>
        <w:t> </w:t>
      </w:r>
      <w:r>
        <w:rPr>
          <w:color w:val="231F20"/>
          <w:w w:val="105"/>
        </w:rPr>
        <w:t>necesarias.</w:t>
      </w:r>
      <w:r>
        <w:rPr>
          <w:color w:val="231F20"/>
          <w:spacing w:val="-42"/>
          <w:w w:val="105"/>
        </w:rPr>
        <w:t> </w:t>
      </w:r>
      <w:r>
        <w:rPr>
          <w:color w:val="231F20"/>
          <w:w w:val="105"/>
        </w:rPr>
        <w:t>Las</w:t>
      </w:r>
      <w:r>
        <w:rPr>
          <w:color w:val="231F20"/>
          <w:spacing w:val="-42"/>
          <w:w w:val="105"/>
        </w:rPr>
        <w:t> </w:t>
      </w:r>
      <w:r>
        <w:rPr>
          <w:color w:val="231F20"/>
          <w:w w:val="105"/>
        </w:rPr>
        <w:t>diferentes</w:t>
      </w:r>
      <w:r>
        <w:rPr>
          <w:color w:val="231F20"/>
          <w:spacing w:val="-42"/>
          <w:w w:val="105"/>
        </w:rPr>
        <w:t> </w:t>
      </w:r>
      <w:r>
        <w:rPr>
          <w:color w:val="231F20"/>
          <w:w w:val="105"/>
        </w:rPr>
        <w:t>historio- grafías</w:t>
      </w:r>
      <w:r>
        <w:rPr>
          <w:color w:val="231F20"/>
          <w:spacing w:val="-25"/>
          <w:w w:val="105"/>
        </w:rPr>
        <w:t> </w:t>
      </w:r>
      <w:r>
        <w:rPr>
          <w:color w:val="231F20"/>
          <w:w w:val="105"/>
        </w:rPr>
        <w:t>sobre</w:t>
      </w:r>
      <w:r>
        <w:rPr>
          <w:color w:val="231F20"/>
          <w:spacing w:val="-25"/>
          <w:w w:val="105"/>
        </w:rPr>
        <w:t> </w:t>
      </w:r>
      <w:r>
        <w:rPr>
          <w:color w:val="231F20"/>
          <w:w w:val="105"/>
        </w:rPr>
        <w:t>la</w:t>
      </w:r>
      <w:r>
        <w:rPr>
          <w:color w:val="231F20"/>
          <w:spacing w:val="-25"/>
          <w:w w:val="105"/>
        </w:rPr>
        <w:t> </w:t>
      </w:r>
      <w:r>
        <w:rPr>
          <w:color w:val="231F20"/>
          <w:w w:val="105"/>
        </w:rPr>
        <w:t>formación</w:t>
      </w:r>
      <w:r>
        <w:rPr>
          <w:color w:val="231F20"/>
          <w:spacing w:val="-25"/>
          <w:w w:val="105"/>
        </w:rPr>
        <w:t> </w:t>
      </w:r>
      <w:r>
        <w:rPr>
          <w:color w:val="231F20"/>
          <w:w w:val="105"/>
        </w:rPr>
        <w:t>del</w:t>
      </w:r>
      <w:r>
        <w:rPr>
          <w:color w:val="231F20"/>
          <w:spacing w:val="-25"/>
          <w:w w:val="105"/>
        </w:rPr>
        <w:t> </w:t>
      </w:r>
      <w:r>
        <w:rPr>
          <w:color w:val="231F20"/>
          <w:w w:val="105"/>
        </w:rPr>
        <w:t>Estado,</w:t>
      </w:r>
      <w:r>
        <w:rPr>
          <w:color w:val="231F20"/>
          <w:spacing w:val="-25"/>
          <w:w w:val="105"/>
        </w:rPr>
        <w:t> </w:t>
      </w:r>
      <w:r>
        <w:rPr>
          <w:color w:val="231F20"/>
          <w:w w:val="105"/>
        </w:rPr>
        <w:t>las</w:t>
      </w:r>
      <w:r>
        <w:rPr>
          <w:color w:val="231F20"/>
          <w:spacing w:val="-25"/>
          <w:w w:val="105"/>
        </w:rPr>
        <w:t> </w:t>
      </w:r>
      <w:r>
        <w:rPr>
          <w:color w:val="231F20"/>
          <w:w w:val="105"/>
        </w:rPr>
        <w:t>diferentes</w:t>
      </w:r>
      <w:r>
        <w:rPr>
          <w:color w:val="231F20"/>
          <w:spacing w:val="-25"/>
          <w:w w:val="105"/>
        </w:rPr>
        <w:t> </w:t>
      </w:r>
      <w:r>
        <w:rPr>
          <w:color w:val="231F20"/>
          <w:w w:val="105"/>
        </w:rPr>
        <w:t>sociologías</w:t>
      </w:r>
      <w:r>
        <w:rPr>
          <w:color w:val="231F20"/>
          <w:spacing w:val="-25"/>
          <w:w w:val="105"/>
        </w:rPr>
        <w:t> </w:t>
      </w:r>
      <w:r>
        <w:rPr>
          <w:color w:val="231F20"/>
          <w:w w:val="105"/>
        </w:rPr>
        <w:t>históricas</w:t>
      </w:r>
    </w:p>
    <w:p>
      <w:pPr>
        <w:pStyle w:val="BodyText"/>
        <w:spacing w:line="247" w:lineRule="auto"/>
        <w:ind w:left="117" w:right="101"/>
        <w:jc w:val="both"/>
      </w:pPr>
      <w:r>
        <w:rPr>
          <w:color w:val="231F20"/>
          <w:w w:val="105"/>
        </w:rPr>
        <w:t>—y</w:t>
      </w:r>
      <w:r>
        <w:rPr>
          <w:color w:val="231F20"/>
          <w:spacing w:val="-20"/>
          <w:w w:val="105"/>
        </w:rPr>
        <w:t> </w:t>
      </w:r>
      <w:r>
        <w:rPr>
          <w:color w:val="231F20"/>
          <w:w w:val="105"/>
        </w:rPr>
        <w:t>como</w:t>
      </w:r>
      <w:r>
        <w:rPr>
          <w:color w:val="231F20"/>
          <w:spacing w:val="-20"/>
          <w:w w:val="105"/>
        </w:rPr>
        <w:t> </w:t>
      </w:r>
      <w:r>
        <w:rPr>
          <w:color w:val="231F20"/>
          <w:w w:val="105"/>
        </w:rPr>
        <w:t>veremos,</w:t>
      </w:r>
      <w:r>
        <w:rPr>
          <w:color w:val="231F20"/>
          <w:spacing w:val="-20"/>
          <w:w w:val="105"/>
        </w:rPr>
        <w:t> </w:t>
      </w:r>
      <w:r>
        <w:rPr>
          <w:color w:val="231F20"/>
          <w:w w:val="105"/>
        </w:rPr>
        <w:t>también</w:t>
      </w:r>
      <w:r>
        <w:rPr>
          <w:color w:val="231F20"/>
          <w:spacing w:val="-20"/>
          <w:w w:val="105"/>
        </w:rPr>
        <w:t> </w:t>
      </w:r>
      <w:r>
        <w:rPr>
          <w:color w:val="231F20"/>
          <w:w w:val="105"/>
        </w:rPr>
        <w:t>las</w:t>
      </w:r>
      <w:r>
        <w:rPr>
          <w:color w:val="231F20"/>
          <w:spacing w:val="-20"/>
          <w:w w:val="105"/>
        </w:rPr>
        <w:t> </w:t>
      </w:r>
      <w:r>
        <w:rPr>
          <w:color w:val="231F20"/>
          <w:w w:val="105"/>
        </w:rPr>
        <w:t>investigaciones</w:t>
      </w:r>
      <w:r>
        <w:rPr>
          <w:color w:val="231F20"/>
          <w:spacing w:val="-20"/>
          <w:w w:val="105"/>
        </w:rPr>
        <w:t> </w:t>
      </w:r>
      <w:r>
        <w:rPr>
          <w:color w:val="231F20"/>
          <w:w w:val="105"/>
        </w:rPr>
        <w:t>sobre</w:t>
      </w:r>
      <w:r>
        <w:rPr>
          <w:color w:val="231F20"/>
          <w:spacing w:val="-20"/>
          <w:w w:val="105"/>
        </w:rPr>
        <w:t> </w:t>
      </w:r>
      <w:r>
        <w:rPr>
          <w:color w:val="231F20"/>
          <w:w w:val="105"/>
        </w:rPr>
        <w:t>la</w:t>
      </w:r>
      <w:r>
        <w:rPr>
          <w:color w:val="231F20"/>
          <w:spacing w:val="-20"/>
          <w:w w:val="105"/>
        </w:rPr>
        <w:t> </w:t>
      </w:r>
      <w:r>
        <w:rPr>
          <w:color w:val="231F20"/>
          <w:w w:val="105"/>
        </w:rPr>
        <w:t>Antropología</w:t>
      </w:r>
      <w:r>
        <w:rPr>
          <w:color w:val="231F20"/>
          <w:spacing w:val="-20"/>
          <w:w w:val="105"/>
        </w:rPr>
        <w:t> </w:t>
      </w:r>
      <w:r>
        <w:rPr>
          <w:color w:val="231F20"/>
          <w:w w:val="105"/>
        </w:rPr>
        <w:t>del Estado—</w:t>
      </w:r>
      <w:r>
        <w:rPr>
          <w:color w:val="231F20"/>
          <w:spacing w:val="-8"/>
          <w:w w:val="105"/>
        </w:rPr>
        <w:t> </w:t>
      </w:r>
      <w:r>
        <w:rPr>
          <w:color w:val="231F20"/>
          <w:w w:val="105"/>
        </w:rPr>
        <w:t>son</w:t>
      </w:r>
      <w:r>
        <w:rPr>
          <w:color w:val="231F20"/>
          <w:spacing w:val="-8"/>
          <w:w w:val="105"/>
        </w:rPr>
        <w:t> </w:t>
      </w:r>
      <w:r>
        <w:rPr>
          <w:color w:val="231F20"/>
          <w:w w:val="105"/>
        </w:rPr>
        <w:t>episodios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lucha</w:t>
      </w:r>
      <w:r>
        <w:rPr>
          <w:color w:val="231F20"/>
          <w:spacing w:val="-8"/>
          <w:w w:val="105"/>
        </w:rPr>
        <w:t> </w:t>
      </w:r>
      <w:r>
        <w:rPr>
          <w:color w:val="231F20"/>
          <w:w w:val="105"/>
        </w:rPr>
        <w:t>por</w:t>
      </w:r>
      <w:r>
        <w:rPr>
          <w:color w:val="231F20"/>
          <w:spacing w:val="-8"/>
          <w:w w:val="105"/>
        </w:rPr>
        <w:t> </w:t>
      </w:r>
      <w:r>
        <w:rPr>
          <w:color w:val="231F20"/>
          <w:w w:val="105"/>
        </w:rPr>
        <w:t>la</w:t>
      </w:r>
      <w:r>
        <w:rPr>
          <w:color w:val="231F20"/>
          <w:spacing w:val="-8"/>
          <w:w w:val="105"/>
        </w:rPr>
        <w:t> </w:t>
      </w:r>
      <w:r>
        <w:rPr>
          <w:color w:val="231F20"/>
          <w:w w:val="105"/>
        </w:rPr>
        <w:t>ortodoxia</w:t>
      </w:r>
      <w:r>
        <w:rPr>
          <w:color w:val="231F20"/>
          <w:spacing w:val="-8"/>
          <w:w w:val="105"/>
        </w:rPr>
        <w:t> </w:t>
      </w:r>
      <w:r>
        <w:rPr>
          <w:color w:val="231F20"/>
          <w:w w:val="105"/>
        </w:rPr>
        <w:t>del</w:t>
      </w:r>
      <w:r>
        <w:rPr>
          <w:color w:val="231F20"/>
          <w:spacing w:val="-8"/>
          <w:w w:val="105"/>
        </w:rPr>
        <w:t> </w:t>
      </w:r>
      <w:r>
        <w:rPr>
          <w:color w:val="231F20"/>
          <w:w w:val="105"/>
        </w:rPr>
        <w:t>Estado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que</w:t>
      </w:r>
    </w:p>
    <w:p>
      <w:pPr>
        <w:pStyle w:val="BodyText"/>
        <w:rPr>
          <w:sz w:val="20"/>
        </w:rPr>
      </w:pPr>
    </w:p>
    <w:p>
      <w:pPr>
        <w:pStyle w:val="BodyText"/>
        <w:spacing w:before="1"/>
        <w:rPr>
          <w:sz w:val="20"/>
        </w:rPr>
      </w:pPr>
      <w:r>
        <w:rPr/>
        <w:pict>
          <v:line style="position:absolute;mso-position-horizontal-relative:page;mso-position-vertical-relative:paragraph;z-index:3304;mso-wrap-distance-left:0;mso-wrap-distance-right:0" from="70.866096pt,14.236672pt" to="184.252096pt,14.236672pt" stroked="true" strokeweight=".3pt" strokecolor="#231f20">
            <w10:wrap type="topAndBottom"/>
          </v:line>
        </w:pict>
      </w:r>
    </w:p>
    <w:p>
      <w:pPr>
        <w:spacing w:line="204" w:lineRule="exact" w:before="9"/>
        <w:ind w:left="117" w:right="101" w:firstLine="0"/>
        <w:jc w:val="both"/>
        <w:rPr>
          <w:rFonts w:ascii="Calibri" w:hAnsi="Calibri"/>
          <w:sz w:val="17"/>
        </w:rPr>
      </w:pPr>
      <w:r>
        <w:rPr>
          <w:rFonts w:ascii="Calibri" w:hAnsi="Calibri"/>
          <w:color w:val="231F20"/>
          <w:position w:val="6"/>
          <w:sz w:val="10"/>
        </w:rPr>
        <w:t>45 </w:t>
      </w:r>
      <w:r>
        <w:rPr>
          <w:rFonts w:ascii="Calibri" w:hAnsi="Calibri"/>
          <w:color w:val="231F20"/>
          <w:spacing w:val="-10"/>
          <w:sz w:val="17"/>
        </w:rPr>
        <w:t>P.  </w:t>
      </w:r>
      <w:r>
        <w:rPr>
          <w:rFonts w:ascii="Calibri" w:hAnsi="Calibri"/>
          <w:color w:val="231F20"/>
          <w:sz w:val="17"/>
        </w:rPr>
        <w:t>Chatterjee, </w:t>
      </w:r>
      <w:r>
        <w:rPr>
          <w:rFonts w:ascii="Calibri" w:hAnsi="Calibri"/>
          <w:i/>
          <w:color w:val="231F20"/>
          <w:sz w:val="17"/>
        </w:rPr>
        <w:t>Sovereign Violence and the Domain of the Political</w:t>
      </w:r>
      <w:r>
        <w:rPr>
          <w:rFonts w:ascii="Calibri" w:hAnsi="Calibri"/>
          <w:color w:val="231F20"/>
          <w:sz w:val="17"/>
        </w:rPr>
        <w:t>, Th. Blom Hansen y </w:t>
      </w:r>
      <w:r>
        <w:rPr>
          <w:rFonts w:ascii="Calibri" w:hAnsi="Calibri"/>
          <w:color w:val="231F20"/>
          <w:spacing w:val="-7"/>
          <w:sz w:val="17"/>
        </w:rPr>
        <w:t>F.  </w:t>
      </w:r>
      <w:r>
        <w:rPr>
          <w:rFonts w:ascii="Calibri" w:hAnsi="Calibri"/>
          <w:color w:val="231F20"/>
          <w:sz w:val="17"/>
        </w:rPr>
        <w:t>Steppu-  tat (Eds.), </w:t>
      </w:r>
      <w:r>
        <w:rPr>
          <w:rFonts w:ascii="Calibri" w:hAnsi="Calibri"/>
          <w:i/>
          <w:color w:val="231F20"/>
          <w:sz w:val="17"/>
        </w:rPr>
        <w:t>Sovereign Bodies. Citizens, Migrants, and States in the Postcolonial World</w:t>
      </w:r>
      <w:r>
        <w:rPr>
          <w:rFonts w:ascii="Calibri" w:hAnsi="Calibri"/>
          <w:color w:val="231F20"/>
          <w:sz w:val="17"/>
        </w:rPr>
        <w:t>, Princeton, N.J./ Oxford, Princeton University Press, 2005, pp. </w:t>
      </w:r>
      <w:r>
        <w:rPr>
          <w:rFonts w:ascii="Calibri" w:hAnsi="Calibri"/>
          <w:color w:val="231F20"/>
          <w:spacing w:val="9"/>
          <w:sz w:val="17"/>
        </w:rPr>
        <w:t> </w:t>
      </w:r>
      <w:r>
        <w:rPr>
          <w:rFonts w:ascii="Calibri" w:hAnsi="Calibri"/>
          <w:color w:val="231F20"/>
          <w:sz w:val="17"/>
        </w:rPr>
        <w:t>82–100.</w:t>
      </w:r>
    </w:p>
    <w:p>
      <w:pPr>
        <w:spacing w:line="204" w:lineRule="exact" w:before="0"/>
        <w:ind w:left="117" w:right="101" w:firstLine="0"/>
        <w:jc w:val="both"/>
        <w:rPr>
          <w:rFonts w:ascii="Calibri" w:hAnsi="Calibri"/>
          <w:sz w:val="17"/>
        </w:rPr>
      </w:pPr>
      <w:r>
        <w:rPr>
          <w:rFonts w:ascii="Calibri" w:hAnsi="Calibri"/>
          <w:color w:val="231F20"/>
          <w:w w:val="105"/>
          <w:position w:val="6"/>
          <w:sz w:val="10"/>
        </w:rPr>
        <w:t>46</w:t>
      </w:r>
      <w:r>
        <w:rPr>
          <w:rFonts w:ascii="Calibri" w:hAnsi="Calibri"/>
          <w:color w:val="231F20"/>
          <w:spacing w:val="5"/>
          <w:w w:val="105"/>
          <w:position w:val="6"/>
          <w:sz w:val="10"/>
        </w:rPr>
        <w:t> </w:t>
      </w:r>
      <w:r>
        <w:rPr>
          <w:rFonts w:ascii="Calibri" w:hAnsi="Calibri"/>
          <w:color w:val="231F20"/>
          <w:w w:val="105"/>
          <w:sz w:val="17"/>
        </w:rPr>
        <w:t>G.</w:t>
      </w:r>
      <w:r>
        <w:rPr>
          <w:rFonts w:ascii="Calibri" w:hAnsi="Calibri"/>
          <w:color w:val="231F20"/>
          <w:spacing w:val="-14"/>
          <w:w w:val="105"/>
          <w:sz w:val="17"/>
        </w:rPr>
        <w:t> </w:t>
      </w:r>
      <w:r>
        <w:rPr>
          <w:rFonts w:ascii="Calibri" w:hAnsi="Calibri"/>
          <w:color w:val="231F20"/>
          <w:spacing w:val="-3"/>
          <w:w w:val="105"/>
          <w:sz w:val="17"/>
        </w:rPr>
        <w:t>Teubner,</w:t>
      </w:r>
      <w:r>
        <w:rPr>
          <w:rFonts w:ascii="Calibri" w:hAnsi="Calibri"/>
          <w:color w:val="231F20"/>
          <w:spacing w:val="-12"/>
          <w:w w:val="105"/>
          <w:sz w:val="17"/>
        </w:rPr>
        <w:t> </w:t>
      </w:r>
      <w:r>
        <w:rPr>
          <w:rFonts w:ascii="Calibri" w:hAnsi="Calibri"/>
          <w:i/>
          <w:color w:val="231F20"/>
          <w:w w:val="105"/>
          <w:sz w:val="17"/>
        </w:rPr>
        <w:t>Costituzionalismo</w:t>
      </w:r>
      <w:r>
        <w:rPr>
          <w:rFonts w:ascii="Calibri" w:hAnsi="Calibri"/>
          <w:i/>
          <w:color w:val="231F20"/>
          <w:spacing w:val="-13"/>
          <w:w w:val="105"/>
          <w:sz w:val="17"/>
        </w:rPr>
        <w:t> </w:t>
      </w:r>
      <w:r>
        <w:rPr>
          <w:rFonts w:ascii="Calibri" w:hAnsi="Calibri"/>
          <w:i/>
          <w:color w:val="231F20"/>
          <w:w w:val="105"/>
          <w:sz w:val="17"/>
        </w:rPr>
        <w:t>societario:</w:t>
      </w:r>
      <w:r>
        <w:rPr>
          <w:rFonts w:ascii="Calibri" w:hAnsi="Calibri"/>
          <w:i/>
          <w:color w:val="231F20"/>
          <w:spacing w:val="-13"/>
          <w:w w:val="105"/>
          <w:sz w:val="17"/>
        </w:rPr>
        <w:t> </w:t>
      </w:r>
      <w:r>
        <w:rPr>
          <w:rFonts w:ascii="Calibri" w:hAnsi="Calibri"/>
          <w:i/>
          <w:color w:val="231F20"/>
          <w:w w:val="105"/>
          <w:sz w:val="17"/>
        </w:rPr>
        <w:t>alternative</w:t>
      </w:r>
      <w:r>
        <w:rPr>
          <w:rFonts w:ascii="Calibri" w:hAnsi="Calibri"/>
          <w:i/>
          <w:color w:val="231F20"/>
          <w:spacing w:val="-13"/>
          <w:w w:val="105"/>
          <w:sz w:val="17"/>
        </w:rPr>
        <w:t> </w:t>
      </w:r>
      <w:r>
        <w:rPr>
          <w:rFonts w:ascii="Calibri" w:hAnsi="Calibri"/>
          <w:i/>
          <w:color w:val="231F20"/>
          <w:w w:val="105"/>
          <w:sz w:val="17"/>
        </w:rPr>
        <w:t>alla</w:t>
      </w:r>
      <w:r>
        <w:rPr>
          <w:rFonts w:ascii="Calibri" w:hAnsi="Calibri"/>
          <w:i/>
          <w:color w:val="231F20"/>
          <w:spacing w:val="-13"/>
          <w:w w:val="105"/>
          <w:sz w:val="17"/>
        </w:rPr>
        <w:t> </w:t>
      </w:r>
      <w:r>
        <w:rPr>
          <w:rFonts w:ascii="Calibri" w:hAnsi="Calibri"/>
          <w:i/>
          <w:color w:val="231F20"/>
          <w:w w:val="105"/>
          <w:sz w:val="17"/>
        </w:rPr>
        <w:t>teoria</w:t>
      </w:r>
      <w:r>
        <w:rPr>
          <w:rFonts w:ascii="Calibri" w:hAnsi="Calibri"/>
          <w:i/>
          <w:color w:val="231F20"/>
          <w:spacing w:val="-13"/>
          <w:w w:val="105"/>
          <w:sz w:val="17"/>
        </w:rPr>
        <w:t> </w:t>
      </w:r>
      <w:r>
        <w:rPr>
          <w:rFonts w:ascii="Calibri" w:hAnsi="Calibri"/>
          <w:i/>
          <w:color w:val="231F20"/>
          <w:w w:val="105"/>
          <w:sz w:val="17"/>
        </w:rPr>
        <w:t>costituzionale</w:t>
      </w:r>
      <w:r>
        <w:rPr>
          <w:rFonts w:ascii="Calibri" w:hAnsi="Calibri"/>
          <w:i/>
          <w:color w:val="231F20"/>
          <w:spacing w:val="-13"/>
          <w:w w:val="105"/>
          <w:sz w:val="17"/>
        </w:rPr>
        <w:t> </w:t>
      </w:r>
      <w:r>
        <w:rPr>
          <w:rFonts w:ascii="Calibri" w:hAnsi="Calibri"/>
          <w:i/>
          <w:color w:val="231F20"/>
          <w:w w:val="105"/>
          <w:sz w:val="17"/>
        </w:rPr>
        <w:t>stato</w:t>
      </w:r>
      <w:r>
        <w:rPr>
          <w:rFonts w:ascii="Calibri" w:hAnsi="Calibri"/>
          <w:color w:val="231F20"/>
          <w:w w:val="105"/>
          <w:sz w:val="17"/>
        </w:rPr>
        <w:t>–</w:t>
      </w:r>
      <w:r>
        <w:rPr>
          <w:rFonts w:ascii="Calibri" w:hAnsi="Calibri"/>
          <w:i/>
          <w:color w:val="231F20"/>
          <w:w w:val="105"/>
          <w:sz w:val="17"/>
        </w:rPr>
        <w:t>centrica</w:t>
      </w:r>
      <w:r>
        <w:rPr>
          <w:rFonts w:ascii="Calibri" w:hAnsi="Calibri"/>
          <w:color w:val="231F20"/>
          <w:w w:val="105"/>
          <w:sz w:val="17"/>
        </w:rPr>
        <w:t>,</w:t>
      </w:r>
      <w:r>
        <w:rPr>
          <w:rFonts w:ascii="Calibri" w:hAnsi="Calibri"/>
          <w:color w:val="231F20"/>
          <w:spacing w:val="-12"/>
          <w:w w:val="105"/>
          <w:sz w:val="17"/>
        </w:rPr>
        <w:t> </w:t>
      </w:r>
      <w:r>
        <w:rPr>
          <w:rFonts w:ascii="Calibri" w:hAnsi="Calibri"/>
          <w:color w:val="231F20"/>
          <w:w w:val="105"/>
          <w:sz w:val="17"/>
        </w:rPr>
        <w:t>in Gunther</w:t>
      </w:r>
      <w:r>
        <w:rPr>
          <w:rFonts w:ascii="Calibri" w:hAnsi="Calibri"/>
          <w:color w:val="231F20"/>
          <w:spacing w:val="-7"/>
          <w:w w:val="105"/>
          <w:sz w:val="17"/>
        </w:rPr>
        <w:t> </w:t>
      </w:r>
      <w:r>
        <w:rPr>
          <w:rFonts w:ascii="Calibri" w:hAnsi="Calibri"/>
          <w:color w:val="231F20"/>
          <w:spacing w:val="-3"/>
          <w:w w:val="105"/>
          <w:sz w:val="17"/>
        </w:rPr>
        <w:t>Teubner,</w:t>
      </w:r>
      <w:r>
        <w:rPr>
          <w:rFonts w:ascii="Calibri" w:hAnsi="Calibri"/>
          <w:color w:val="231F20"/>
          <w:spacing w:val="-5"/>
          <w:w w:val="105"/>
          <w:sz w:val="17"/>
        </w:rPr>
        <w:t> </w:t>
      </w:r>
      <w:r>
        <w:rPr>
          <w:rFonts w:ascii="Calibri" w:hAnsi="Calibri"/>
          <w:i/>
          <w:color w:val="231F20"/>
          <w:w w:val="105"/>
          <w:sz w:val="17"/>
        </w:rPr>
        <w:t>La</w:t>
      </w:r>
      <w:r>
        <w:rPr>
          <w:rFonts w:ascii="Calibri" w:hAnsi="Calibri"/>
          <w:i/>
          <w:color w:val="231F20"/>
          <w:spacing w:val="-6"/>
          <w:w w:val="105"/>
          <w:sz w:val="17"/>
        </w:rPr>
        <w:t> </w:t>
      </w:r>
      <w:r>
        <w:rPr>
          <w:rFonts w:ascii="Calibri" w:hAnsi="Calibri"/>
          <w:i/>
          <w:color w:val="231F20"/>
          <w:w w:val="105"/>
          <w:sz w:val="17"/>
        </w:rPr>
        <w:t>cultura</w:t>
      </w:r>
      <w:r>
        <w:rPr>
          <w:rFonts w:ascii="Calibri" w:hAnsi="Calibri"/>
          <w:i/>
          <w:color w:val="231F20"/>
          <w:spacing w:val="-6"/>
          <w:w w:val="105"/>
          <w:sz w:val="17"/>
        </w:rPr>
        <w:t> </w:t>
      </w:r>
      <w:r>
        <w:rPr>
          <w:rFonts w:ascii="Calibri" w:hAnsi="Calibri"/>
          <w:i/>
          <w:color w:val="231F20"/>
          <w:w w:val="105"/>
          <w:sz w:val="17"/>
        </w:rPr>
        <w:t>del</w:t>
      </w:r>
      <w:r>
        <w:rPr>
          <w:rFonts w:ascii="Calibri" w:hAnsi="Calibri"/>
          <w:i/>
          <w:color w:val="231F20"/>
          <w:spacing w:val="-6"/>
          <w:w w:val="105"/>
          <w:sz w:val="17"/>
        </w:rPr>
        <w:t> </w:t>
      </w:r>
      <w:r>
        <w:rPr>
          <w:rFonts w:ascii="Calibri" w:hAnsi="Calibri"/>
          <w:i/>
          <w:color w:val="231F20"/>
          <w:w w:val="105"/>
          <w:sz w:val="17"/>
        </w:rPr>
        <w:t>diritto</w:t>
      </w:r>
      <w:r>
        <w:rPr>
          <w:rFonts w:ascii="Calibri" w:hAnsi="Calibri"/>
          <w:i/>
          <w:color w:val="231F20"/>
          <w:spacing w:val="-6"/>
          <w:w w:val="105"/>
          <w:sz w:val="17"/>
        </w:rPr>
        <w:t> </w:t>
      </w:r>
      <w:r>
        <w:rPr>
          <w:rFonts w:ascii="Calibri" w:hAnsi="Calibri"/>
          <w:i/>
          <w:color w:val="231F20"/>
          <w:w w:val="105"/>
          <w:sz w:val="17"/>
        </w:rPr>
        <w:t>nell’epoca</w:t>
      </w:r>
      <w:r>
        <w:rPr>
          <w:rFonts w:ascii="Calibri" w:hAnsi="Calibri"/>
          <w:i/>
          <w:color w:val="231F20"/>
          <w:spacing w:val="-6"/>
          <w:w w:val="105"/>
          <w:sz w:val="17"/>
        </w:rPr>
        <w:t> </w:t>
      </w:r>
      <w:r>
        <w:rPr>
          <w:rFonts w:ascii="Calibri" w:hAnsi="Calibri"/>
          <w:i/>
          <w:color w:val="231F20"/>
          <w:w w:val="105"/>
          <w:sz w:val="17"/>
        </w:rPr>
        <w:t>della</w:t>
      </w:r>
      <w:r>
        <w:rPr>
          <w:rFonts w:ascii="Calibri" w:hAnsi="Calibri"/>
          <w:i/>
          <w:color w:val="231F20"/>
          <w:spacing w:val="-6"/>
          <w:w w:val="105"/>
          <w:sz w:val="17"/>
        </w:rPr>
        <w:t> </w:t>
      </w:r>
      <w:r>
        <w:rPr>
          <w:rFonts w:ascii="Calibri" w:hAnsi="Calibri"/>
          <w:i/>
          <w:color w:val="231F20"/>
          <w:w w:val="105"/>
          <w:sz w:val="17"/>
        </w:rPr>
        <w:t>globalizzazione</w:t>
      </w:r>
      <w:r>
        <w:rPr>
          <w:rFonts w:ascii="Calibri" w:hAnsi="Calibri"/>
          <w:color w:val="231F20"/>
          <w:w w:val="105"/>
          <w:sz w:val="17"/>
        </w:rPr>
        <w:t>,</w:t>
      </w:r>
      <w:r>
        <w:rPr>
          <w:rFonts w:ascii="Calibri" w:hAnsi="Calibri"/>
          <w:color w:val="231F20"/>
          <w:spacing w:val="-5"/>
          <w:w w:val="105"/>
          <w:sz w:val="17"/>
        </w:rPr>
        <w:t> </w:t>
      </w:r>
      <w:r>
        <w:rPr>
          <w:rFonts w:ascii="Calibri" w:hAnsi="Calibri"/>
          <w:color w:val="231F20"/>
          <w:w w:val="105"/>
          <w:sz w:val="17"/>
        </w:rPr>
        <w:t>Roma,</w:t>
      </w:r>
      <w:r>
        <w:rPr>
          <w:rFonts w:ascii="Calibri" w:hAnsi="Calibri"/>
          <w:color w:val="231F20"/>
          <w:spacing w:val="-5"/>
          <w:w w:val="105"/>
          <w:sz w:val="17"/>
        </w:rPr>
        <w:t> </w:t>
      </w:r>
      <w:r>
        <w:rPr>
          <w:rFonts w:ascii="Calibri" w:hAnsi="Calibri"/>
          <w:color w:val="231F20"/>
          <w:w w:val="105"/>
          <w:sz w:val="17"/>
        </w:rPr>
        <w:t>Armando</w:t>
      </w:r>
      <w:r>
        <w:rPr>
          <w:rFonts w:ascii="Calibri" w:hAnsi="Calibri"/>
          <w:color w:val="231F20"/>
          <w:spacing w:val="-5"/>
          <w:w w:val="105"/>
          <w:sz w:val="17"/>
        </w:rPr>
        <w:t> </w:t>
      </w:r>
      <w:r>
        <w:rPr>
          <w:rFonts w:ascii="Calibri" w:hAnsi="Calibri"/>
          <w:color w:val="231F20"/>
          <w:w w:val="105"/>
          <w:sz w:val="17"/>
        </w:rPr>
        <w:t>editore, </w:t>
      </w:r>
      <w:r>
        <w:rPr>
          <w:rFonts w:ascii="Calibri" w:hAnsi="Calibri"/>
          <w:color w:val="231F20"/>
          <w:sz w:val="17"/>
        </w:rPr>
        <w:t>2005,</w:t>
      </w:r>
      <w:r>
        <w:rPr>
          <w:rFonts w:ascii="Calibri" w:hAnsi="Calibri"/>
          <w:color w:val="231F20"/>
          <w:spacing w:val="-18"/>
          <w:sz w:val="17"/>
        </w:rPr>
        <w:t> </w:t>
      </w:r>
      <w:r>
        <w:rPr>
          <w:rFonts w:ascii="Calibri" w:hAnsi="Calibri"/>
          <w:color w:val="231F20"/>
          <w:sz w:val="17"/>
        </w:rPr>
        <w:t>p.</w:t>
      </w:r>
      <w:r>
        <w:rPr>
          <w:rFonts w:ascii="Calibri" w:hAnsi="Calibri"/>
          <w:color w:val="231F20"/>
          <w:spacing w:val="-18"/>
          <w:sz w:val="17"/>
        </w:rPr>
        <w:t> </w:t>
      </w:r>
      <w:r>
        <w:rPr>
          <w:rFonts w:ascii="Calibri" w:hAnsi="Calibri"/>
          <w:color w:val="231F20"/>
          <w:sz w:val="17"/>
        </w:rPr>
        <w:t>110.</w:t>
      </w:r>
    </w:p>
    <w:p>
      <w:pPr>
        <w:spacing w:before="1"/>
        <w:ind w:left="117" w:right="0" w:firstLine="0"/>
        <w:jc w:val="both"/>
        <w:rPr>
          <w:rFonts w:ascii="Calibri"/>
          <w:sz w:val="17"/>
        </w:rPr>
      </w:pPr>
      <w:r>
        <w:rPr>
          <w:rFonts w:ascii="Calibri"/>
          <w:color w:val="231F20"/>
          <w:position w:val="6"/>
          <w:sz w:val="10"/>
        </w:rPr>
        <w:t>47 </w:t>
      </w:r>
      <w:r>
        <w:rPr>
          <w:rFonts w:ascii="Calibri"/>
          <w:color w:val="231F20"/>
          <w:sz w:val="17"/>
        </w:rPr>
        <w:t>R. Samaddar, </w:t>
      </w:r>
      <w:r>
        <w:rPr>
          <w:rFonts w:ascii="Calibri"/>
          <w:i/>
          <w:color w:val="231F20"/>
          <w:sz w:val="17"/>
        </w:rPr>
        <w:t>The Materiality of Politics. Subjects Positions in Politics</w:t>
      </w:r>
      <w:r>
        <w:rPr>
          <w:rFonts w:ascii="Calibri"/>
          <w:color w:val="231F20"/>
          <w:sz w:val="17"/>
        </w:rPr>
        <w:t>, p. 156.</w:t>
      </w:r>
    </w:p>
    <w:p>
      <w:pPr>
        <w:spacing w:after="0"/>
        <w:jc w:val="both"/>
        <w:rPr>
          <w:rFonts w:ascii="Calibri"/>
          <w:sz w:val="17"/>
        </w:rPr>
        <w:sectPr>
          <w:pgSz w:w="9640" w:h="13890"/>
          <w:pgMar w:top="0" w:bottom="280" w:left="1300" w:right="1200"/>
        </w:sectPr>
      </w:pPr>
    </w:p>
    <w:p>
      <w:pPr>
        <w:pStyle w:val="BodyText"/>
        <w:spacing w:line="247" w:lineRule="auto" w:before="107"/>
        <w:ind w:left="103" w:right="115"/>
        <w:jc w:val="both"/>
      </w:pPr>
      <w:r>
        <w:rPr>
          <w:color w:val="231F20"/>
        </w:rPr>
        <w:t>habla Bourdieu</w:t>
      </w:r>
      <w:r>
        <w:rPr>
          <w:color w:val="231F20"/>
          <w:position w:val="7"/>
          <w:sz w:val="12"/>
        </w:rPr>
        <w:t>48</w:t>
      </w:r>
      <w:r>
        <w:rPr>
          <w:color w:val="231F20"/>
        </w:rPr>
        <w:t>. Si efectivamente el Estado es un “lugar de circulación  de la palabra oficial, del reglamento, de la regla, del orden, del mandato, de la nominación”, dirigirse al origen resuelve el problema de lo que en el Estado debe aparecer como elemental, capaz de repetirse en el tiempo</w:t>
      </w:r>
      <w:r>
        <w:rPr>
          <w:color w:val="231F20"/>
          <w:position w:val="7"/>
          <w:sz w:val="12"/>
        </w:rPr>
        <w:t>49</w:t>
      </w:r>
      <w:r>
        <w:rPr>
          <w:color w:val="231F20"/>
        </w:rPr>
        <w:t>. El origen del Estado es al mismo tiempo un momento y un proceso que, justamente</w:t>
      </w:r>
      <w:r>
        <w:rPr>
          <w:color w:val="231F20"/>
          <w:spacing w:val="-5"/>
        </w:rPr>
        <w:t> </w:t>
      </w:r>
      <w:r>
        <w:rPr>
          <w:color w:val="231F20"/>
        </w:rPr>
        <w:t>por</w:t>
      </w:r>
      <w:r>
        <w:rPr>
          <w:color w:val="231F20"/>
          <w:spacing w:val="-5"/>
        </w:rPr>
        <w:t> </w:t>
      </w:r>
      <w:r>
        <w:rPr>
          <w:color w:val="231F20"/>
        </w:rPr>
        <w:t>esto,</w:t>
      </w:r>
      <w:r>
        <w:rPr>
          <w:color w:val="231F20"/>
          <w:spacing w:val="-5"/>
        </w:rPr>
        <w:t> </w:t>
      </w:r>
      <w:r>
        <w:rPr>
          <w:color w:val="231F20"/>
        </w:rPr>
        <w:t>es</w:t>
      </w:r>
      <w:r>
        <w:rPr>
          <w:color w:val="231F20"/>
          <w:spacing w:val="-5"/>
        </w:rPr>
        <w:t> </w:t>
      </w:r>
      <w:r>
        <w:rPr>
          <w:color w:val="231F20"/>
        </w:rPr>
        <w:t>tanto</w:t>
      </w:r>
      <w:r>
        <w:rPr>
          <w:color w:val="231F20"/>
          <w:spacing w:val="-5"/>
        </w:rPr>
        <w:t> </w:t>
      </w:r>
      <w:r>
        <w:rPr>
          <w:color w:val="231F20"/>
        </w:rPr>
        <w:t>histórico</w:t>
      </w:r>
      <w:r>
        <w:rPr>
          <w:color w:val="231F20"/>
          <w:spacing w:val="-5"/>
        </w:rPr>
        <w:t> </w:t>
      </w:r>
      <w:r>
        <w:rPr>
          <w:color w:val="231F20"/>
        </w:rPr>
        <w:t>como</w:t>
      </w:r>
      <w:r>
        <w:rPr>
          <w:color w:val="231F20"/>
          <w:spacing w:val="-5"/>
        </w:rPr>
        <w:t> </w:t>
      </w:r>
      <w:r>
        <w:rPr>
          <w:color w:val="231F20"/>
        </w:rPr>
        <w:t>simbólico.</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análisis</w:t>
      </w:r>
      <w:r>
        <w:rPr>
          <w:color w:val="231F20"/>
          <w:spacing w:val="-5"/>
        </w:rPr>
        <w:t> </w:t>
      </w:r>
      <w:r>
        <w:rPr>
          <w:color w:val="231F20"/>
        </w:rPr>
        <w:t>de</w:t>
      </w:r>
      <w:r>
        <w:rPr>
          <w:color w:val="231F20"/>
          <w:spacing w:val="-5"/>
        </w:rPr>
        <w:t> </w:t>
      </w:r>
      <w:r>
        <w:rPr>
          <w:color w:val="231F20"/>
        </w:rPr>
        <w:t>la democracia estadunidense </w:t>
      </w:r>
      <w:r>
        <w:rPr>
          <w:color w:val="231F20"/>
          <w:spacing w:val="-3"/>
        </w:rPr>
        <w:t>Tocqueville </w:t>
      </w:r>
      <w:r>
        <w:rPr>
          <w:color w:val="231F20"/>
        </w:rPr>
        <w:t>escribe al respecto que “después  de haber estudiado la historia, se queda profundamente convencido de esta verdad: que no hay opinión, hábito, </w:t>
      </w:r>
      <w:r>
        <w:rPr>
          <w:color w:val="231F20"/>
          <w:spacing w:val="-5"/>
        </w:rPr>
        <w:t>ley, </w:t>
      </w:r>
      <w:r>
        <w:rPr>
          <w:color w:val="231F20"/>
        </w:rPr>
        <w:t>diría cualquier hecho que no pueda ser fácilmente explicado desde el ‘punto de partida’”</w:t>
      </w:r>
      <w:r>
        <w:rPr>
          <w:color w:val="231F20"/>
          <w:position w:val="7"/>
          <w:sz w:val="12"/>
        </w:rPr>
        <w:t>50</w:t>
      </w:r>
      <w:r>
        <w:rPr>
          <w:color w:val="231F20"/>
        </w:rPr>
        <w:t>. En Esta-   dos Unidos el punto de partida es, para Tocqueville, la conjunción entre la democracia entendida como “Estado social”, es </w:t>
      </w:r>
      <w:r>
        <w:rPr>
          <w:color w:val="231F20"/>
          <w:spacing w:val="-4"/>
        </w:rPr>
        <w:t>decir, </w:t>
      </w:r>
      <w:r>
        <w:rPr>
          <w:color w:val="231F20"/>
        </w:rPr>
        <w:t>como conjunto de costumbres, hábitos y opiniones y la forma política, o sea la democracia entendida como sistema de gobierno. En manera ciertamente significati- va, hablando sucesivamente de Francia, </w:t>
      </w:r>
      <w:r>
        <w:rPr>
          <w:color w:val="231F20"/>
          <w:spacing w:val="-3"/>
        </w:rPr>
        <w:t>Tocqueville </w:t>
      </w:r>
      <w:r>
        <w:rPr>
          <w:color w:val="231F20"/>
        </w:rPr>
        <w:t>abandona esta distin- ción, considerando la democracia sólo como forma política, pero al mismo tiempo proponiendo una historia mucho más compleja y articulada que el origen</w:t>
      </w:r>
      <w:r>
        <w:rPr>
          <w:color w:val="231F20"/>
          <w:position w:val="7"/>
          <w:sz w:val="12"/>
        </w:rPr>
        <w:t>51</w:t>
      </w:r>
      <w:r>
        <w:rPr>
          <w:color w:val="231F20"/>
        </w:rPr>
        <w:t>. En ambos casos el “punto de partida” representa una especie de teleología</w:t>
      </w:r>
      <w:r>
        <w:rPr>
          <w:color w:val="231F20"/>
          <w:spacing w:val="-9"/>
        </w:rPr>
        <w:t> </w:t>
      </w:r>
      <w:r>
        <w:rPr>
          <w:color w:val="231F20"/>
        </w:rPr>
        <w:t>al</w:t>
      </w:r>
      <w:r>
        <w:rPr>
          <w:color w:val="231F20"/>
          <w:spacing w:val="-9"/>
        </w:rPr>
        <w:t> </w:t>
      </w:r>
      <w:r>
        <w:rPr>
          <w:color w:val="231F20"/>
        </w:rPr>
        <w:t>revés,</w:t>
      </w:r>
      <w:r>
        <w:rPr>
          <w:color w:val="231F20"/>
          <w:spacing w:val="-9"/>
        </w:rPr>
        <w:t> </w:t>
      </w:r>
      <w:r>
        <w:rPr>
          <w:color w:val="231F20"/>
        </w:rPr>
        <w:t>una</w:t>
      </w:r>
      <w:r>
        <w:rPr>
          <w:color w:val="231F20"/>
          <w:spacing w:val="-9"/>
        </w:rPr>
        <w:t> </w:t>
      </w:r>
      <w:r>
        <w:rPr>
          <w:color w:val="231F20"/>
        </w:rPr>
        <w:t>coacción</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repetición.</w:t>
      </w:r>
      <w:r>
        <w:rPr>
          <w:color w:val="231F20"/>
          <w:spacing w:val="-9"/>
        </w:rPr>
        <w:t> </w:t>
      </w:r>
      <w:r>
        <w:rPr>
          <w:color w:val="231F20"/>
        </w:rPr>
        <w:t>El</w:t>
      </w:r>
      <w:r>
        <w:rPr>
          <w:color w:val="231F20"/>
          <w:spacing w:val="-9"/>
        </w:rPr>
        <w:t> </w:t>
      </w:r>
      <w:r>
        <w:rPr>
          <w:color w:val="231F20"/>
        </w:rPr>
        <w:t>origen</w:t>
      </w:r>
      <w:r>
        <w:rPr>
          <w:color w:val="231F20"/>
          <w:spacing w:val="-9"/>
        </w:rPr>
        <w:t> </w:t>
      </w:r>
      <w:r>
        <w:rPr>
          <w:color w:val="231F20"/>
        </w:rPr>
        <w:t>introduce</w:t>
      </w:r>
      <w:r>
        <w:rPr>
          <w:color w:val="231F20"/>
          <w:spacing w:val="-9"/>
        </w:rPr>
        <w:t> </w:t>
      </w:r>
      <w:r>
        <w:rPr>
          <w:color w:val="231F20"/>
        </w:rPr>
        <w:t>una</w:t>
      </w:r>
      <w:r>
        <w:rPr>
          <w:color w:val="231F20"/>
          <w:spacing w:val="-9"/>
        </w:rPr>
        <w:t> </w:t>
      </w:r>
      <w:r>
        <w:rPr>
          <w:color w:val="231F20"/>
        </w:rPr>
        <w:t>es- tática del desarrollo político que puede apuntar a neutralizar las dinámicas sucesivas potencialmente disgregantes, y también a indicar una patología constitutiva —como en el caso de la centralización administrativa en Fran- cia— para la cual deben prepararse constantemente las formas adecuadas de profilaxis</w:t>
      </w:r>
      <w:r>
        <w:rPr>
          <w:color w:val="231F20"/>
          <w:spacing w:val="21"/>
        </w:rPr>
        <w:t> </w:t>
      </w:r>
      <w:r>
        <w:rPr>
          <w:color w:val="231F20"/>
        </w:rPr>
        <w:t>política.</w:t>
      </w:r>
    </w:p>
    <w:p>
      <w:pPr>
        <w:pStyle w:val="BodyText"/>
        <w:spacing w:line="247" w:lineRule="auto"/>
        <w:ind w:left="103" w:right="115" w:firstLine="566"/>
        <w:jc w:val="both"/>
      </w:pPr>
      <w:r>
        <w:rPr>
          <w:color w:val="231F20"/>
          <w:w w:val="105"/>
        </w:rPr>
        <w:t>Sin asumir el desarrollo paradigmático para el desarrollo social</w:t>
      </w:r>
      <w:r>
        <w:rPr>
          <w:color w:val="231F20"/>
          <w:spacing w:val="-43"/>
          <w:w w:val="105"/>
        </w:rPr>
        <w:t> </w:t>
      </w:r>
      <w:r>
        <w:rPr>
          <w:color w:val="231F20"/>
          <w:w w:val="105"/>
        </w:rPr>
        <w:t>en su</w:t>
      </w:r>
      <w:r>
        <w:rPr>
          <w:color w:val="231F20"/>
          <w:spacing w:val="-17"/>
          <w:w w:val="105"/>
        </w:rPr>
        <w:t> </w:t>
      </w:r>
      <w:r>
        <w:rPr>
          <w:color w:val="231F20"/>
          <w:w w:val="105"/>
        </w:rPr>
        <w:t>conjunto,</w:t>
      </w:r>
      <w:r>
        <w:rPr>
          <w:color w:val="231F20"/>
          <w:spacing w:val="-17"/>
          <w:w w:val="105"/>
        </w:rPr>
        <w:t> </w:t>
      </w:r>
      <w:r>
        <w:rPr>
          <w:color w:val="231F20"/>
          <w:w w:val="105"/>
        </w:rPr>
        <w:t>Niklas</w:t>
      </w:r>
      <w:r>
        <w:rPr>
          <w:color w:val="231F20"/>
          <w:spacing w:val="-17"/>
          <w:w w:val="105"/>
        </w:rPr>
        <w:t> </w:t>
      </w:r>
      <w:r>
        <w:rPr>
          <w:color w:val="231F20"/>
          <w:w w:val="105"/>
        </w:rPr>
        <w:t>Luhmann</w:t>
      </w:r>
      <w:r>
        <w:rPr>
          <w:color w:val="231F20"/>
          <w:spacing w:val="-17"/>
          <w:w w:val="105"/>
        </w:rPr>
        <w:t> </w:t>
      </w:r>
      <w:r>
        <w:rPr>
          <w:color w:val="231F20"/>
          <w:w w:val="105"/>
        </w:rPr>
        <w:t>cancela</w:t>
      </w:r>
      <w:r>
        <w:rPr>
          <w:color w:val="231F20"/>
          <w:spacing w:val="-17"/>
          <w:w w:val="105"/>
        </w:rPr>
        <w:t> </w:t>
      </w:r>
      <w:r>
        <w:rPr>
          <w:color w:val="231F20"/>
          <w:w w:val="105"/>
        </w:rPr>
        <w:t>la</w:t>
      </w:r>
      <w:r>
        <w:rPr>
          <w:color w:val="231F20"/>
          <w:spacing w:val="-17"/>
          <w:w w:val="105"/>
        </w:rPr>
        <w:t> </w:t>
      </w:r>
      <w:r>
        <w:rPr>
          <w:color w:val="231F20"/>
          <w:w w:val="105"/>
        </w:rPr>
        <w:t>relevancia</w:t>
      </w:r>
      <w:r>
        <w:rPr>
          <w:color w:val="231F20"/>
          <w:spacing w:val="-17"/>
          <w:w w:val="105"/>
        </w:rPr>
        <w:t> </w:t>
      </w:r>
      <w:r>
        <w:rPr>
          <w:color w:val="231F20"/>
          <w:w w:val="105"/>
        </w:rPr>
        <w:t>constitutiva</w:t>
      </w:r>
      <w:r>
        <w:rPr>
          <w:color w:val="231F20"/>
          <w:spacing w:val="-17"/>
          <w:w w:val="105"/>
        </w:rPr>
        <w:t> </w:t>
      </w:r>
      <w:r>
        <w:rPr>
          <w:color w:val="231F20"/>
          <w:w w:val="105"/>
        </w:rPr>
        <w:t>del</w:t>
      </w:r>
      <w:r>
        <w:rPr>
          <w:color w:val="231F20"/>
          <w:spacing w:val="-17"/>
          <w:w w:val="105"/>
        </w:rPr>
        <w:t> </w:t>
      </w:r>
      <w:r>
        <w:rPr>
          <w:color w:val="231F20"/>
          <w:w w:val="105"/>
        </w:rPr>
        <w:t>punto de</w:t>
      </w:r>
      <w:r>
        <w:rPr>
          <w:color w:val="231F20"/>
          <w:spacing w:val="-13"/>
          <w:w w:val="105"/>
        </w:rPr>
        <w:t> </w:t>
      </w:r>
      <w:r>
        <w:rPr>
          <w:color w:val="231F20"/>
          <w:w w:val="105"/>
        </w:rPr>
        <w:t>partida,</w:t>
      </w:r>
      <w:r>
        <w:rPr>
          <w:color w:val="231F20"/>
          <w:spacing w:val="-13"/>
          <w:w w:val="105"/>
        </w:rPr>
        <w:t> </w:t>
      </w:r>
      <w:r>
        <w:rPr>
          <w:color w:val="231F20"/>
          <w:w w:val="105"/>
        </w:rPr>
        <w:t>gracias</w:t>
      </w:r>
      <w:r>
        <w:rPr>
          <w:color w:val="231F20"/>
          <w:spacing w:val="-13"/>
          <w:w w:val="105"/>
        </w:rPr>
        <w:t> </w:t>
      </w:r>
      <w:r>
        <w:rPr>
          <w:color w:val="231F20"/>
          <w:w w:val="105"/>
        </w:rPr>
        <w:t>a</w:t>
      </w:r>
      <w:r>
        <w:rPr>
          <w:color w:val="231F20"/>
          <w:spacing w:val="-13"/>
          <w:w w:val="105"/>
        </w:rPr>
        <w:t> </w:t>
      </w:r>
      <w:r>
        <w:rPr>
          <w:color w:val="231F20"/>
          <w:w w:val="105"/>
        </w:rPr>
        <w:t>un</w:t>
      </w:r>
      <w:r>
        <w:rPr>
          <w:color w:val="231F20"/>
          <w:spacing w:val="-13"/>
          <w:w w:val="105"/>
        </w:rPr>
        <w:t> </w:t>
      </w:r>
      <w:r>
        <w:rPr>
          <w:color w:val="231F20"/>
          <w:w w:val="105"/>
        </w:rPr>
        <w:t>concepto</w:t>
      </w:r>
      <w:r>
        <w:rPr>
          <w:color w:val="231F20"/>
          <w:spacing w:val="-13"/>
          <w:w w:val="105"/>
        </w:rPr>
        <w:t> </w:t>
      </w:r>
      <w:r>
        <w:rPr>
          <w:color w:val="231F20"/>
          <w:w w:val="105"/>
        </w:rPr>
        <w:t>de</w:t>
      </w:r>
      <w:r>
        <w:rPr>
          <w:color w:val="231F20"/>
          <w:spacing w:val="-13"/>
          <w:w w:val="105"/>
        </w:rPr>
        <w:t> </w:t>
      </w:r>
      <w:r>
        <w:rPr>
          <w:color w:val="231F20"/>
          <w:w w:val="105"/>
        </w:rPr>
        <w:t>evolución</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cual</w:t>
      </w:r>
      <w:r>
        <w:rPr>
          <w:color w:val="231F20"/>
          <w:spacing w:val="-13"/>
          <w:w w:val="105"/>
        </w:rPr>
        <w:t> </w:t>
      </w:r>
      <w:r>
        <w:rPr>
          <w:color w:val="231F20"/>
          <w:w w:val="105"/>
        </w:rPr>
        <w:t>la</w:t>
      </w:r>
      <w:r>
        <w:rPr>
          <w:color w:val="231F20"/>
          <w:spacing w:val="-13"/>
          <w:w w:val="105"/>
        </w:rPr>
        <w:t> </w:t>
      </w:r>
      <w:r>
        <w:rPr>
          <w:color w:val="231F20"/>
          <w:w w:val="105"/>
        </w:rPr>
        <w:t>forma</w:t>
      </w:r>
      <w:r>
        <w:rPr>
          <w:color w:val="231F20"/>
          <w:spacing w:val="-13"/>
          <w:w w:val="105"/>
        </w:rPr>
        <w:t> </w:t>
      </w:r>
      <w:r>
        <w:rPr>
          <w:color w:val="231F20"/>
          <w:w w:val="105"/>
        </w:rPr>
        <w:t>actual</w:t>
      </w:r>
    </w:p>
    <w:p>
      <w:pPr>
        <w:pStyle w:val="BodyText"/>
        <w:spacing w:line="247" w:lineRule="auto"/>
        <w:ind w:left="103" w:right="115"/>
        <w:jc w:val="both"/>
      </w:pPr>
      <w:r>
        <w:rPr>
          <w:color w:val="231F20"/>
          <w:w w:val="105"/>
        </w:rPr>
        <w:t>—lo</w:t>
      </w:r>
      <w:r>
        <w:rPr>
          <w:color w:val="231F20"/>
          <w:spacing w:val="-35"/>
          <w:w w:val="105"/>
        </w:rPr>
        <w:t> </w:t>
      </w:r>
      <w:r>
        <w:rPr>
          <w:color w:val="231F20"/>
          <w:w w:val="105"/>
        </w:rPr>
        <w:t>evolucionado—</w:t>
      </w:r>
      <w:r>
        <w:rPr>
          <w:color w:val="231F20"/>
          <w:spacing w:val="-35"/>
          <w:w w:val="105"/>
        </w:rPr>
        <w:t> </w:t>
      </w:r>
      <w:r>
        <w:rPr>
          <w:color w:val="231F20"/>
          <w:w w:val="105"/>
        </w:rPr>
        <w:t>determina</w:t>
      </w:r>
      <w:r>
        <w:rPr>
          <w:color w:val="231F20"/>
          <w:spacing w:val="-35"/>
          <w:w w:val="105"/>
        </w:rPr>
        <w:t> </w:t>
      </w:r>
      <w:r>
        <w:rPr>
          <w:color w:val="231F20"/>
          <w:w w:val="105"/>
        </w:rPr>
        <w:t>también</w:t>
      </w:r>
      <w:r>
        <w:rPr>
          <w:color w:val="231F20"/>
          <w:spacing w:val="-35"/>
          <w:w w:val="105"/>
        </w:rPr>
        <w:t> </w:t>
      </w:r>
      <w:r>
        <w:rPr>
          <w:color w:val="231F20"/>
          <w:w w:val="105"/>
        </w:rPr>
        <w:t>las</w:t>
      </w:r>
      <w:r>
        <w:rPr>
          <w:color w:val="231F20"/>
          <w:spacing w:val="-35"/>
          <w:w w:val="105"/>
        </w:rPr>
        <w:t> </w:t>
      </w:r>
      <w:r>
        <w:rPr>
          <w:color w:val="231F20"/>
          <w:w w:val="105"/>
        </w:rPr>
        <w:t>características</w:t>
      </w:r>
      <w:r>
        <w:rPr>
          <w:color w:val="231F20"/>
          <w:spacing w:val="-35"/>
          <w:w w:val="105"/>
        </w:rPr>
        <w:t> </w:t>
      </w:r>
      <w:r>
        <w:rPr>
          <w:color w:val="231F20"/>
          <w:w w:val="105"/>
        </w:rPr>
        <w:t>del</w:t>
      </w:r>
      <w:r>
        <w:rPr>
          <w:color w:val="231F20"/>
          <w:spacing w:val="-35"/>
          <w:w w:val="105"/>
        </w:rPr>
        <w:t> </w:t>
      </w:r>
      <w:r>
        <w:rPr>
          <w:color w:val="231F20"/>
          <w:w w:val="105"/>
        </w:rPr>
        <w:t>proceso</w:t>
      </w:r>
      <w:r>
        <w:rPr>
          <w:color w:val="231F20"/>
          <w:spacing w:val="-35"/>
          <w:w w:val="105"/>
        </w:rPr>
        <w:t> </w:t>
      </w:r>
      <w:r>
        <w:rPr>
          <w:color w:val="231F20"/>
          <w:w w:val="105"/>
        </w:rPr>
        <w:t>his- tórico</w:t>
      </w:r>
      <w:r>
        <w:rPr>
          <w:color w:val="231F20"/>
          <w:w w:val="105"/>
          <w:position w:val="7"/>
          <w:sz w:val="12"/>
        </w:rPr>
        <w:t>52</w:t>
      </w:r>
      <w:r>
        <w:rPr>
          <w:color w:val="231F20"/>
          <w:w w:val="105"/>
        </w:rPr>
        <w:t>.</w:t>
      </w:r>
      <w:r>
        <w:rPr>
          <w:color w:val="231F20"/>
          <w:spacing w:val="-11"/>
          <w:w w:val="105"/>
        </w:rPr>
        <w:t> </w:t>
      </w:r>
      <w:r>
        <w:rPr>
          <w:color w:val="231F20"/>
          <w:w w:val="105"/>
        </w:rPr>
        <w:t>La</w:t>
      </w:r>
      <w:r>
        <w:rPr>
          <w:color w:val="231F20"/>
          <w:spacing w:val="-11"/>
          <w:w w:val="105"/>
        </w:rPr>
        <w:t> </w:t>
      </w:r>
      <w:r>
        <w:rPr>
          <w:color w:val="231F20"/>
          <w:w w:val="105"/>
        </w:rPr>
        <w:t>realidad</w:t>
      </w:r>
      <w:r>
        <w:rPr>
          <w:color w:val="231F20"/>
          <w:spacing w:val="-11"/>
          <w:w w:val="105"/>
        </w:rPr>
        <w:t> </w:t>
      </w:r>
      <w:r>
        <w:rPr>
          <w:color w:val="231F20"/>
          <w:w w:val="105"/>
        </w:rPr>
        <w:t>histórica</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Estados</w:t>
      </w:r>
      <w:r>
        <w:rPr>
          <w:color w:val="231F20"/>
          <w:spacing w:val="-11"/>
          <w:w w:val="105"/>
        </w:rPr>
        <w:t> </w:t>
      </w:r>
      <w:r>
        <w:rPr>
          <w:color w:val="231F20"/>
          <w:w w:val="105"/>
        </w:rPr>
        <w:t>contemporáneos</w:t>
      </w:r>
      <w:r>
        <w:rPr>
          <w:color w:val="231F20"/>
          <w:spacing w:val="-11"/>
          <w:w w:val="105"/>
        </w:rPr>
        <w:t> </w:t>
      </w:r>
      <w:r>
        <w:rPr>
          <w:color w:val="231F20"/>
          <w:w w:val="105"/>
        </w:rPr>
        <w:t>plantea</w:t>
      </w:r>
      <w:r>
        <w:rPr>
          <w:color w:val="231F20"/>
          <w:spacing w:val="-11"/>
          <w:w w:val="105"/>
        </w:rPr>
        <w:t> </w:t>
      </w:r>
      <w:r>
        <w:rPr>
          <w:color w:val="231F20"/>
          <w:w w:val="105"/>
        </w:rPr>
        <w:t>no pocos</w:t>
      </w:r>
      <w:r>
        <w:rPr>
          <w:color w:val="231F20"/>
          <w:spacing w:val="-39"/>
          <w:w w:val="105"/>
        </w:rPr>
        <w:t> </w:t>
      </w:r>
      <w:r>
        <w:rPr>
          <w:color w:val="231F20"/>
          <w:w w:val="105"/>
        </w:rPr>
        <w:t>problemas</w:t>
      </w:r>
      <w:r>
        <w:rPr>
          <w:color w:val="231F20"/>
          <w:spacing w:val="-39"/>
          <w:w w:val="105"/>
        </w:rPr>
        <w:t> </w:t>
      </w:r>
      <w:r>
        <w:rPr>
          <w:color w:val="231F20"/>
          <w:w w:val="105"/>
        </w:rPr>
        <w:t>a</w:t>
      </w:r>
      <w:r>
        <w:rPr>
          <w:color w:val="231F20"/>
          <w:spacing w:val="-39"/>
          <w:w w:val="105"/>
        </w:rPr>
        <w:t> </w:t>
      </w:r>
      <w:r>
        <w:rPr>
          <w:color w:val="231F20"/>
          <w:w w:val="105"/>
        </w:rPr>
        <w:t>una</w:t>
      </w:r>
      <w:r>
        <w:rPr>
          <w:color w:val="231F20"/>
          <w:spacing w:val="-39"/>
          <w:w w:val="105"/>
        </w:rPr>
        <w:t> </w:t>
      </w:r>
      <w:r>
        <w:rPr>
          <w:color w:val="231F20"/>
          <w:w w:val="105"/>
        </w:rPr>
        <w:t>sistematización</w:t>
      </w:r>
      <w:r>
        <w:rPr>
          <w:color w:val="231F20"/>
          <w:spacing w:val="-39"/>
          <w:w w:val="105"/>
        </w:rPr>
        <w:t> </w:t>
      </w:r>
      <w:r>
        <w:rPr>
          <w:color w:val="231F20"/>
          <w:w w:val="105"/>
        </w:rPr>
        <w:t>como</w:t>
      </w:r>
      <w:r>
        <w:rPr>
          <w:color w:val="231F20"/>
          <w:spacing w:val="-39"/>
          <w:w w:val="105"/>
        </w:rPr>
        <w:t> </w:t>
      </w:r>
      <w:r>
        <w:rPr>
          <w:color w:val="231F20"/>
          <w:w w:val="105"/>
        </w:rPr>
        <w:t>esta,</w:t>
      </w:r>
      <w:r>
        <w:rPr>
          <w:color w:val="231F20"/>
          <w:spacing w:val="-39"/>
          <w:w w:val="105"/>
        </w:rPr>
        <w:t> </w:t>
      </w:r>
      <w:r>
        <w:rPr>
          <w:color w:val="231F20"/>
          <w:w w:val="105"/>
        </w:rPr>
        <w:t>no</w:t>
      </w:r>
      <w:r>
        <w:rPr>
          <w:color w:val="231F20"/>
          <w:spacing w:val="-39"/>
          <w:w w:val="105"/>
        </w:rPr>
        <w:t> </w:t>
      </w:r>
      <w:r>
        <w:rPr>
          <w:color w:val="231F20"/>
          <w:w w:val="105"/>
        </w:rPr>
        <w:t>sólo</w:t>
      </w:r>
      <w:r>
        <w:rPr>
          <w:color w:val="231F20"/>
          <w:spacing w:val="-39"/>
          <w:w w:val="105"/>
        </w:rPr>
        <w:t> </w:t>
      </w:r>
      <w:r>
        <w:rPr>
          <w:color w:val="231F20"/>
          <w:w w:val="105"/>
        </w:rPr>
        <w:t>por</w:t>
      </w:r>
      <w:r>
        <w:rPr>
          <w:color w:val="231F20"/>
          <w:spacing w:val="-39"/>
          <w:w w:val="105"/>
        </w:rPr>
        <w:t> </w:t>
      </w:r>
      <w:r>
        <w:rPr>
          <w:color w:val="231F20"/>
          <w:w w:val="105"/>
        </w:rPr>
        <w:t>la</w:t>
      </w:r>
      <w:r>
        <w:rPr>
          <w:color w:val="231F20"/>
          <w:spacing w:val="-39"/>
          <w:w w:val="105"/>
        </w:rPr>
        <w:t> </w:t>
      </w:r>
      <w:r>
        <w:rPr>
          <w:color w:val="231F20"/>
          <w:w w:val="105"/>
        </w:rPr>
        <w:t>heteroge- neidad</w:t>
      </w:r>
      <w:r>
        <w:rPr>
          <w:color w:val="231F20"/>
          <w:spacing w:val="-28"/>
          <w:w w:val="105"/>
        </w:rPr>
        <w:t> </w:t>
      </w:r>
      <w:r>
        <w:rPr>
          <w:color w:val="231F20"/>
          <w:w w:val="105"/>
        </w:rPr>
        <w:t>de</w:t>
      </w:r>
      <w:r>
        <w:rPr>
          <w:color w:val="231F20"/>
          <w:spacing w:val="-28"/>
          <w:w w:val="105"/>
        </w:rPr>
        <w:t> </w:t>
      </w:r>
      <w:r>
        <w:rPr>
          <w:color w:val="231F20"/>
          <w:w w:val="105"/>
        </w:rPr>
        <w:t>las</w:t>
      </w:r>
      <w:r>
        <w:rPr>
          <w:color w:val="231F20"/>
          <w:spacing w:val="-28"/>
          <w:w w:val="105"/>
        </w:rPr>
        <w:t> </w:t>
      </w:r>
      <w:r>
        <w:rPr>
          <w:color w:val="231F20"/>
          <w:w w:val="105"/>
        </w:rPr>
        <w:t>formas</w:t>
      </w:r>
      <w:r>
        <w:rPr>
          <w:color w:val="231F20"/>
          <w:spacing w:val="-28"/>
          <w:w w:val="105"/>
        </w:rPr>
        <w:t> </w:t>
      </w:r>
      <w:r>
        <w:rPr>
          <w:color w:val="231F20"/>
          <w:w w:val="105"/>
        </w:rPr>
        <w:t>elementales,</w:t>
      </w:r>
      <w:r>
        <w:rPr>
          <w:color w:val="231F20"/>
          <w:spacing w:val="-28"/>
          <w:w w:val="105"/>
        </w:rPr>
        <w:t> </w:t>
      </w:r>
      <w:r>
        <w:rPr>
          <w:color w:val="231F20"/>
          <w:w w:val="105"/>
        </w:rPr>
        <w:t>sino</w:t>
      </w:r>
      <w:r>
        <w:rPr>
          <w:color w:val="231F20"/>
          <w:spacing w:val="-28"/>
          <w:w w:val="105"/>
        </w:rPr>
        <w:t> </w:t>
      </w:r>
      <w:r>
        <w:rPr>
          <w:color w:val="231F20"/>
          <w:w w:val="105"/>
        </w:rPr>
        <w:t>porque</w:t>
      </w:r>
      <w:r>
        <w:rPr>
          <w:color w:val="231F20"/>
          <w:spacing w:val="-28"/>
          <w:w w:val="105"/>
        </w:rPr>
        <w:t> </w:t>
      </w:r>
      <w:r>
        <w:rPr>
          <w:color w:val="231F20"/>
          <w:w w:val="105"/>
        </w:rPr>
        <w:t>éstas</w:t>
      </w:r>
      <w:r>
        <w:rPr>
          <w:color w:val="231F20"/>
          <w:spacing w:val="-28"/>
          <w:w w:val="105"/>
        </w:rPr>
        <w:t> </w:t>
      </w:r>
      <w:r>
        <w:rPr>
          <w:color w:val="231F20"/>
          <w:w w:val="105"/>
        </w:rPr>
        <w:t>en</w:t>
      </w:r>
      <w:r>
        <w:rPr>
          <w:color w:val="231F20"/>
          <w:spacing w:val="-28"/>
          <w:w w:val="105"/>
        </w:rPr>
        <w:t> </w:t>
      </w:r>
      <w:r>
        <w:rPr>
          <w:color w:val="231F20"/>
          <w:w w:val="105"/>
        </w:rPr>
        <w:t>realidad</w:t>
      </w:r>
      <w:r>
        <w:rPr>
          <w:color w:val="231F20"/>
          <w:spacing w:val="-28"/>
          <w:w w:val="105"/>
        </w:rPr>
        <w:t> </w:t>
      </w:r>
      <w:r>
        <w:rPr>
          <w:color w:val="231F20"/>
          <w:w w:val="105"/>
        </w:rPr>
        <w:t>presupo- nen</w:t>
      </w:r>
      <w:r>
        <w:rPr>
          <w:color w:val="231F20"/>
          <w:spacing w:val="-34"/>
          <w:w w:val="105"/>
        </w:rPr>
        <w:t> </w:t>
      </w:r>
      <w:r>
        <w:rPr>
          <w:color w:val="231F20"/>
          <w:w w:val="105"/>
        </w:rPr>
        <w:t>el</w:t>
      </w:r>
      <w:r>
        <w:rPr>
          <w:color w:val="231F20"/>
          <w:spacing w:val="-34"/>
          <w:w w:val="105"/>
        </w:rPr>
        <w:t> </w:t>
      </w:r>
      <w:r>
        <w:rPr>
          <w:color w:val="231F20"/>
          <w:w w:val="105"/>
        </w:rPr>
        <w:t>cuadro</w:t>
      </w:r>
      <w:r>
        <w:rPr>
          <w:color w:val="231F20"/>
          <w:spacing w:val="-34"/>
          <w:w w:val="105"/>
        </w:rPr>
        <w:t> </w:t>
      </w:r>
      <w:r>
        <w:rPr>
          <w:color w:val="231F20"/>
          <w:w w:val="105"/>
        </w:rPr>
        <w:t>unitario</w:t>
      </w:r>
      <w:r>
        <w:rPr>
          <w:color w:val="231F20"/>
          <w:spacing w:val="-34"/>
          <w:w w:val="105"/>
        </w:rPr>
        <w:t> </w:t>
      </w:r>
      <w:r>
        <w:rPr>
          <w:color w:val="231F20"/>
          <w:w w:val="105"/>
        </w:rPr>
        <w:t>en</w:t>
      </w:r>
      <w:r>
        <w:rPr>
          <w:color w:val="231F20"/>
          <w:spacing w:val="-34"/>
          <w:w w:val="105"/>
        </w:rPr>
        <w:t> </w:t>
      </w:r>
      <w:r>
        <w:rPr>
          <w:color w:val="231F20"/>
          <w:w w:val="105"/>
        </w:rPr>
        <w:t>el</w:t>
      </w:r>
      <w:r>
        <w:rPr>
          <w:color w:val="231F20"/>
          <w:spacing w:val="-34"/>
          <w:w w:val="105"/>
        </w:rPr>
        <w:t> </w:t>
      </w:r>
      <w:r>
        <w:rPr>
          <w:color w:val="231F20"/>
          <w:w w:val="105"/>
        </w:rPr>
        <w:t>cual</w:t>
      </w:r>
      <w:r>
        <w:rPr>
          <w:color w:val="231F20"/>
          <w:spacing w:val="-34"/>
          <w:w w:val="105"/>
        </w:rPr>
        <w:t> </w:t>
      </w:r>
      <w:r>
        <w:rPr>
          <w:color w:val="231F20"/>
          <w:w w:val="105"/>
        </w:rPr>
        <w:t>se</w:t>
      </w:r>
      <w:r>
        <w:rPr>
          <w:color w:val="231F20"/>
          <w:spacing w:val="-34"/>
          <w:w w:val="105"/>
        </w:rPr>
        <w:t> </w:t>
      </w:r>
      <w:r>
        <w:rPr>
          <w:color w:val="231F20"/>
          <w:w w:val="105"/>
        </w:rPr>
        <w:t>insertan</w:t>
      </w:r>
      <w:r>
        <w:rPr>
          <w:color w:val="231F20"/>
          <w:spacing w:val="-34"/>
          <w:w w:val="105"/>
        </w:rPr>
        <w:t> </w:t>
      </w:r>
      <w:r>
        <w:rPr>
          <w:color w:val="231F20"/>
          <w:w w:val="105"/>
        </w:rPr>
        <w:t>después.</w:t>
      </w:r>
      <w:r>
        <w:rPr>
          <w:color w:val="231F20"/>
          <w:spacing w:val="-34"/>
          <w:w w:val="105"/>
        </w:rPr>
        <w:t> </w:t>
      </w:r>
      <w:r>
        <w:rPr>
          <w:color w:val="231F20"/>
          <w:w w:val="105"/>
        </w:rPr>
        <w:t>La</w:t>
      </w:r>
      <w:r>
        <w:rPr>
          <w:color w:val="231F20"/>
          <w:spacing w:val="-34"/>
          <w:w w:val="105"/>
        </w:rPr>
        <w:t> </w:t>
      </w:r>
      <w:r>
        <w:rPr>
          <w:color w:val="231F20"/>
          <w:w w:val="105"/>
        </w:rPr>
        <w:t>historia</w:t>
      </w:r>
      <w:r>
        <w:rPr>
          <w:color w:val="231F20"/>
          <w:spacing w:val="-34"/>
          <w:w w:val="105"/>
        </w:rPr>
        <w:t> </w:t>
      </w:r>
      <w:r>
        <w:rPr>
          <w:color w:val="231F20"/>
          <w:w w:val="105"/>
        </w:rPr>
        <w:t>del</w:t>
      </w:r>
      <w:r>
        <w:rPr>
          <w:color w:val="231F20"/>
          <w:spacing w:val="-34"/>
          <w:w w:val="105"/>
        </w:rPr>
        <w:t> </w:t>
      </w:r>
      <w:r>
        <w:rPr>
          <w:color w:val="231F20"/>
          <w:w w:val="105"/>
        </w:rPr>
        <w:t>Estado moderno</w:t>
      </w:r>
      <w:r>
        <w:rPr>
          <w:color w:val="231F20"/>
          <w:spacing w:val="-33"/>
          <w:w w:val="105"/>
        </w:rPr>
        <w:t> </w:t>
      </w:r>
      <w:r>
        <w:rPr>
          <w:color w:val="231F20"/>
          <w:w w:val="105"/>
        </w:rPr>
        <w:t>se</w:t>
      </w:r>
      <w:r>
        <w:rPr>
          <w:color w:val="231F20"/>
          <w:spacing w:val="-33"/>
          <w:w w:val="105"/>
        </w:rPr>
        <w:t> </w:t>
      </w:r>
      <w:r>
        <w:rPr>
          <w:color w:val="231F20"/>
          <w:w w:val="105"/>
        </w:rPr>
        <w:t>ha</w:t>
      </w:r>
      <w:r>
        <w:rPr>
          <w:color w:val="231F20"/>
          <w:spacing w:val="-33"/>
          <w:w w:val="105"/>
        </w:rPr>
        <w:t> </w:t>
      </w:r>
      <w:r>
        <w:rPr>
          <w:color w:val="231F20"/>
          <w:w w:val="105"/>
        </w:rPr>
        <w:t>desentrañado</w:t>
      </w:r>
      <w:r>
        <w:rPr>
          <w:color w:val="231F20"/>
          <w:spacing w:val="-33"/>
          <w:w w:val="105"/>
        </w:rPr>
        <w:t> </w:t>
      </w:r>
      <w:r>
        <w:rPr>
          <w:color w:val="231F20"/>
          <w:w w:val="105"/>
        </w:rPr>
        <w:t>en</w:t>
      </w:r>
      <w:r>
        <w:rPr>
          <w:color w:val="231F20"/>
          <w:spacing w:val="-33"/>
          <w:w w:val="105"/>
        </w:rPr>
        <w:t> </w:t>
      </w:r>
      <w:r>
        <w:rPr>
          <w:color w:val="231F20"/>
          <w:w w:val="105"/>
        </w:rPr>
        <w:t>el</w:t>
      </w:r>
      <w:r>
        <w:rPr>
          <w:color w:val="231F20"/>
          <w:spacing w:val="-33"/>
          <w:w w:val="105"/>
        </w:rPr>
        <w:t> </w:t>
      </w:r>
      <w:r>
        <w:rPr>
          <w:color w:val="231F20"/>
          <w:w w:val="105"/>
        </w:rPr>
        <w:t>doble</w:t>
      </w:r>
      <w:r>
        <w:rPr>
          <w:color w:val="231F20"/>
          <w:spacing w:val="-33"/>
          <w:w w:val="105"/>
        </w:rPr>
        <w:t> </w:t>
      </w:r>
      <w:r>
        <w:rPr>
          <w:color w:val="231F20"/>
          <w:w w:val="105"/>
        </w:rPr>
        <w:t>escenario:</w:t>
      </w:r>
      <w:r>
        <w:rPr>
          <w:color w:val="231F20"/>
          <w:spacing w:val="-33"/>
          <w:w w:val="105"/>
        </w:rPr>
        <w:t> </w:t>
      </w:r>
      <w:r>
        <w:rPr>
          <w:color w:val="231F20"/>
          <w:w w:val="105"/>
        </w:rPr>
        <w:t>el</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teoría</w:t>
      </w:r>
      <w:r>
        <w:rPr>
          <w:color w:val="231F20"/>
          <w:spacing w:val="-33"/>
          <w:w w:val="105"/>
        </w:rPr>
        <w:t> </w:t>
      </w:r>
      <w:r>
        <w:rPr>
          <w:color w:val="231F20"/>
          <w:w w:val="105"/>
        </w:rPr>
        <w:t>que</w:t>
      </w:r>
      <w:r>
        <w:rPr>
          <w:color w:val="231F20"/>
          <w:spacing w:val="-33"/>
          <w:w w:val="105"/>
        </w:rPr>
        <w:t> </w:t>
      </w:r>
      <w:r>
        <w:rPr>
          <w:color w:val="231F20"/>
          <w:spacing w:val="-3"/>
          <w:w w:val="105"/>
        </w:rPr>
        <w:t>afir- </w:t>
      </w:r>
      <w:r>
        <w:rPr>
          <w:color w:val="231F20"/>
          <w:w w:val="105"/>
        </w:rPr>
        <w:t>ma</w:t>
      </w:r>
      <w:r>
        <w:rPr>
          <w:color w:val="231F20"/>
          <w:spacing w:val="-16"/>
          <w:w w:val="105"/>
        </w:rPr>
        <w:t> </w:t>
      </w:r>
      <w:r>
        <w:rPr>
          <w:color w:val="231F20"/>
          <w:w w:val="105"/>
        </w:rPr>
        <w:t>la</w:t>
      </w:r>
      <w:r>
        <w:rPr>
          <w:color w:val="231F20"/>
          <w:spacing w:val="-16"/>
          <w:w w:val="105"/>
        </w:rPr>
        <w:t> </w:t>
      </w:r>
      <w:r>
        <w:rPr>
          <w:color w:val="231F20"/>
          <w:w w:val="105"/>
        </w:rPr>
        <w:t>plena</w:t>
      </w:r>
      <w:r>
        <w:rPr>
          <w:color w:val="231F20"/>
          <w:spacing w:val="-16"/>
          <w:w w:val="105"/>
        </w:rPr>
        <w:t> </w:t>
      </w:r>
      <w:r>
        <w:rPr>
          <w:color w:val="231F20"/>
          <w:w w:val="105"/>
        </w:rPr>
        <w:t>y</w:t>
      </w:r>
      <w:r>
        <w:rPr>
          <w:color w:val="231F20"/>
          <w:spacing w:val="-16"/>
          <w:w w:val="105"/>
        </w:rPr>
        <w:t> </w:t>
      </w:r>
      <w:r>
        <w:rPr>
          <w:color w:val="231F20"/>
          <w:w w:val="105"/>
        </w:rPr>
        <w:t>absoluta</w:t>
      </w:r>
      <w:r>
        <w:rPr>
          <w:color w:val="231F20"/>
          <w:spacing w:val="-16"/>
          <w:w w:val="105"/>
        </w:rPr>
        <w:t> </w:t>
      </w:r>
      <w:r>
        <w:rPr>
          <w:color w:val="231F20"/>
          <w:w w:val="105"/>
        </w:rPr>
        <w:t>soberanía</w:t>
      </w:r>
      <w:r>
        <w:rPr>
          <w:color w:val="231F20"/>
          <w:spacing w:val="-16"/>
          <w:w w:val="105"/>
        </w:rPr>
        <w:t> </w:t>
      </w:r>
      <w:r>
        <w:rPr>
          <w:color w:val="231F20"/>
          <w:w w:val="105"/>
        </w:rPr>
        <w:t>de</w:t>
      </w:r>
      <w:r>
        <w:rPr>
          <w:color w:val="231F20"/>
          <w:spacing w:val="-16"/>
          <w:w w:val="105"/>
        </w:rPr>
        <w:t> </w:t>
      </w:r>
      <w:r>
        <w:rPr>
          <w:color w:val="231F20"/>
          <w:w w:val="105"/>
        </w:rPr>
        <w:t>cada</w:t>
      </w:r>
      <w:r>
        <w:rPr>
          <w:color w:val="231F20"/>
          <w:spacing w:val="-16"/>
          <w:w w:val="105"/>
        </w:rPr>
        <w:t> </w:t>
      </w:r>
      <w:r>
        <w:rPr>
          <w:color w:val="231F20"/>
          <w:w w:val="105"/>
        </w:rPr>
        <w:t>Estado</w:t>
      </w:r>
      <w:r>
        <w:rPr>
          <w:color w:val="231F20"/>
          <w:spacing w:val="-16"/>
          <w:w w:val="105"/>
        </w:rPr>
        <w:t> </w:t>
      </w:r>
      <w:r>
        <w:rPr>
          <w:color w:val="231F20"/>
          <w:w w:val="105"/>
        </w:rPr>
        <w:t>desde</w:t>
      </w:r>
      <w:r>
        <w:rPr>
          <w:color w:val="231F20"/>
          <w:spacing w:val="-16"/>
          <w:w w:val="105"/>
        </w:rPr>
        <w:t> </w:t>
      </w:r>
      <w:r>
        <w:rPr>
          <w:color w:val="231F20"/>
          <w:w w:val="105"/>
        </w:rPr>
        <w:t>su</w:t>
      </w:r>
      <w:r>
        <w:rPr>
          <w:color w:val="231F20"/>
          <w:spacing w:val="-16"/>
          <w:w w:val="105"/>
        </w:rPr>
        <w:t> </w:t>
      </w:r>
      <w:r>
        <w:rPr>
          <w:color w:val="231F20"/>
          <w:w w:val="105"/>
        </w:rPr>
        <w:t>misma</w:t>
      </w:r>
      <w:r>
        <w:rPr>
          <w:color w:val="231F20"/>
          <w:spacing w:val="-16"/>
          <w:w w:val="105"/>
        </w:rPr>
        <w:t> </w:t>
      </w:r>
      <w:r>
        <w:rPr>
          <w:color w:val="231F20"/>
          <w:w w:val="105"/>
        </w:rPr>
        <w:t>funda- ción</w:t>
      </w:r>
      <w:r>
        <w:rPr>
          <w:color w:val="231F20"/>
          <w:spacing w:val="-29"/>
          <w:w w:val="105"/>
        </w:rPr>
        <w:t> </w:t>
      </w:r>
      <w:r>
        <w:rPr>
          <w:color w:val="231F20"/>
          <w:w w:val="105"/>
        </w:rPr>
        <w:t>y</w:t>
      </w:r>
      <w:r>
        <w:rPr>
          <w:color w:val="231F20"/>
          <w:spacing w:val="-29"/>
          <w:w w:val="105"/>
        </w:rPr>
        <w:t> </w:t>
      </w:r>
      <w:r>
        <w:rPr>
          <w:color w:val="231F20"/>
          <w:w w:val="105"/>
        </w:rPr>
        <w:t>la</w:t>
      </w:r>
      <w:r>
        <w:rPr>
          <w:color w:val="231F20"/>
          <w:spacing w:val="-29"/>
          <w:w w:val="105"/>
        </w:rPr>
        <w:t> </w:t>
      </w:r>
      <w:r>
        <w:rPr>
          <w:color w:val="231F20"/>
          <w:w w:val="105"/>
        </w:rPr>
        <w:t>real,</w:t>
      </w:r>
      <w:r>
        <w:rPr>
          <w:color w:val="231F20"/>
          <w:spacing w:val="-29"/>
          <w:w w:val="105"/>
        </w:rPr>
        <w:t> </w:t>
      </w:r>
      <w:r>
        <w:rPr>
          <w:color w:val="231F20"/>
          <w:w w:val="105"/>
        </w:rPr>
        <w:t>que</w:t>
      </w:r>
      <w:r>
        <w:rPr>
          <w:color w:val="231F20"/>
          <w:spacing w:val="-29"/>
          <w:w w:val="105"/>
        </w:rPr>
        <w:t> </w:t>
      </w:r>
      <w:r>
        <w:rPr>
          <w:color w:val="231F20"/>
          <w:w w:val="105"/>
        </w:rPr>
        <w:t>alcanza</w:t>
      </w:r>
      <w:r>
        <w:rPr>
          <w:color w:val="231F20"/>
          <w:spacing w:val="-29"/>
          <w:w w:val="105"/>
        </w:rPr>
        <w:t> </w:t>
      </w:r>
      <w:r>
        <w:rPr>
          <w:color w:val="231F20"/>
          <w:w w:val="105"/>
        </w:rPr>
        <w:t>con</w:t>
      </w:r>
      <w:r>
        <w:rPr>
          <w:color w:val="231F20"/>
          <w:spacing w:val="-29"/>
          <w:w w:val="105"/>
        </w:rPr>
        <w:t> </w:t>
      </w:r>
      <w:r>
        <w:rPr>
          <w:color w:val="231F20"/>
          <w:w w:val="105"/>
        </w:rPr>
        <w:t>dificultad</w:t>
      </w:r>
      <w:r>
        <w:rPr>
          <w:color w:val="231F20"/>
          <w:spacing w:val="-29"/>
          <w:w w:val="105"/>
        </w:rPr>
        <w:t> </w:t>
      </w:r>
      <w:r>
        <w:rPr>
          <w:color w:val="231F20"/>
          <w:w w:val="105"/>
        </w:rPr>
        <w:t>y</w:t>
      </w:r>
      <w:r>
        <w:rPr>
          <w:color w:val="231F20"/>
          <w:spacing w:val="-29"/>
          <w:w w:val="105"/>
        </w:rPr>
        <w:t> </w:t>
      </w:r>
      <w:r>
        <w:rPr>
          <w:color w:val="231F20"/>
          <w:w w:val="105"/>
        </w:rPr>
        <w:t>con</w:t>
      </w:r>
      <w:r>
        <w:rPr>
          <w:color w:val="231F20"/>
          <w:spacing w:val="-29"/>
          <w:w w:val="105"/>
        </w:rPr>
        <w:t> </w:t>
      </w:r>
      <w:r>
        <w:rPr>
          <w:color w:val="231F20"/>
          <w:w w:val="105"/>
        </w:rPr>
        <w:t>frecuencia</w:t>
      </w:r>
      <w:r>
        <w:rPr>
          <w:color w:val="231F20"/>
          <w:spacing w:val="-29"/>
          <w:w w:val="105"/>
        </w:rPr>
        <w:t> </w:t>
      </w:r>
      <w:r>
        <w:rPr>
          <w:color w:val="231F20"/>
          <w:w w:val="105"/>
        </w:rPr>
        <w:t>parcialmente</w:t>
      </w:r>
      <w:r>
        <w:rPr>
          <w:color w:val="231F20"/>
          <w:spacing w:val="-29"/>
          <w:w w:val="105"/>
        </w:rPr>
        <w:t> </w:t>
      </w:r>
      <w:r>
        <w:rPr>
          <w:color w:val="231F20"/>
          <w:w w:val="105"/>
        </w:rPr>
        <w:t>esa</w:t>
      </w:r>
    </w:p>
    <w:p>
      <w:pPr>
        <w:pStyle w:val="BodyText"/>
        <w:spacing w:before="2"/>
        <w:rPr>
          <w:sz w:val="23"/>
        </w:rPr>
      </w:pPr>
      <w:r>
        <w:rPr/>
        <w:pict>
          <v:line style="position:absolute;mso-position-horizontal-relative:page;mso-position-vertical-relative:paragraph;z-index:3352;mso-wrap-distance-left:0;mso-wrap-distance-right:0" from="65.1968pt,16.106985pt" to="178.5828pt,16.106985pt" stroked="true" strokeweight=".3pt" strokecolor="#231f20">
            <w10:wrap type="topAndBottom"/>
          </v:line>
        </w:pict>
      </w:r>
    </w:p>
    <w:p>
      <w:pPr>
        <w:spacing w:line="206" w:lineRule="exact" w:before="10"/>
        <w:ind w:left="103" w:right="0" w:firstLine="0"/>
        <w:jc w:val="both"/>
        <w:rPr>
          <w:rFonts w:ascii="Calibri" w:hAnsi="Calibri"/>
          <w:sz w:val="17"/>
        </w:rPr>
      </w:pPr>
      <w:r>
        <w:rPr>
          <w:rFonts w:ascii="Calibri" w:hAnsi="Calibri"/>
          <w:color w:val="231F20"/>
          <w:position w:val="6"/>
          <w:sz w:val="10"/>
        </w:rPr>
        <w:t>48 </w:t>
      </w:r>
      <w:r>
        <w:rPr>
          <w:rFonts w:ascii="Calibri" w:hAnsi="Calibri"/>
          <w:color w:val="231F20"/>
          <w:sz w:val="17"/>
        </w:rPr>
        <w:t>T. Vu, “Studying the State through State Formation”, </w:t>
      </w:r>
      <w:r>
        <w:rPr>
          <w:rFonts w:ascii="Calibri" w:hAnsi="Calibri"/>
          <w:i/>
          <w:color w:val="231F20"/>
          <w:sz w:val="17"/>
        </w:rPr>
        <w:t>World Politics</w:t>
      </w:r>
      <w:r>
        <w:rPr>
          <w:rFonts w:ascii="Calibri" w:hAnsi="Calibri"/>
          <w:color w:val="231F20"/>
          <w:sz w:val="17"/>
        </w:rPr>
        <w:t>, 62, 1, 2010, pp. 148–175.</w:t>
      </w:r>
    </w:p>
    <w:p>
      <w:pPr>
        <w:spacing w:line="204" w:lineRule="exact" w:before="0"/>
        <w:ind w:left="103" w:right="0" w:firstLine="0"/>
        <w:jc w:val="both"/>
        <w:rPr>
          <w:rFonts w:ascii="Calibri" w:hAnsi="Calibri"/>
          <w:sz w:val="17"/>
        </w:rPr>
      </w:pPr>
      <w:r>
        <w:rPr>
          <w:rFonts w:ascii="Calibri" w:hAnsi="Calibri"/>
          <w:color w:val="231F20"/>
          <w:position w:val="6"/>
          <w:sz w:val="10"/>
        </w:rPr>
        <w:t>49 </w:t>
      </w:r>
      <w:r>
        <w:rPr>
          <w:rFonts w:ascii="Calibri" w:hAnsi="Calibri"/>
          <w:color w:val="231F20"/>
          <w:sz w:val="17"/>
        </w:rPr>
        <w:t>P. Bourdieu, </w:t>
      </w:r>
      <w:r>
        <w:rPr>
          <w:rFonts w:ascii="Calibri" w:hAnsi="Calibri"/>
          <w:i/>
          <w:color w:val="231F20"/>
          <w:sz w:val="17"/>
        </w:rPr>
        <w:t>Sur l’État</w:t>
      </w:r>
      <w:r>
        <w:rPr>
          <w:rFonts w:ascii="Calibri" w:hAnsi="Calibri"/>
          <w:color w:val="231F20"/>
          <w:sz w:val="17"/>
        </w:rPr>
        <w:t>, pp. 139–140.</w:t>
      </w:r>
    </w:p>
    <w:p>
      <w:pPr>
        <w:spacing w:line="235" w:lineRule="auto" w:before="1"/>
        <w:ind w:left="103" w:right="115" w:firstLine="0"/>
        <w:jc w:val="both"/>
        <w:rPr>
          <w:rFonts w:ascii="Calibri"/>
          <w:sz w:val="17"/>
        </w:rPr>
      </w:pPr>
      <w:r>
        <w:rPr>
          <w:rFonts w:ascii="Calibri"/>
          <w:color w:val="231F20"/>
          <w:position w:val="6"/>
          <w:sz w:val="10"/>
        </w:rPr>
        <w:t>50 </w:t>
      </w:r>
      <w:r>
        <w:rPr>
          <w:rFonts w:ascii="Calibri"/>
          <w:color w:val="231F20"/>
          <w:sz w:val="17"/>
        </w:rPr>
        <w:t>A. de Tocqueville, </w:t>
      </w:r>
      <w:r>
        <w:rPr>
          <w:rFonts w:ascii="Calibri"/>
          <w:i/>
          <w:color w:val="231F20"/>
          <w:sz w:val="17"/>
        </w:rPr>
        <w:t>La democrazia in America</w:t>
      </w:r>
      <w:r>
        <w:rPr>
          <w:rFonts w:ascii="Calibri"/>
          <w:color w:val="231F20"/>
          <w:sz w:val="17"/>
        </w:rPr>
        <w:t>, A. de Tocqueville, </w:t>
      </w:r>
      <w:r>
        <w:rPr>
          <w:rFonts w:ascii="Calibri"/>
          <w:i/>
          <w:color w:val="231F20"/>
          <w:sz w:val="17"/>
        </w:rPr>
        <w:t>Scritti politici</w:t>
      </w:r>
      <w:r>
        <w:rPr>
          <w:rFonts w:ascii="Calibri"/>
          <w:color w:val="231F20"/>
          <w:sz w:val="17"/>
        </w:rPr>
        <w:t>, Torino, Utet, 1968, vol. </w:t>
      </w:r>
      <w:r>
        <w:rPr>
          <w:rFonts w:ascii="Calibri"/>
          <w:color w:val="231F20"/>
          <w:sz w:val="15"/>
        </w:rPr>
        <w:t>II</w:t>
      </w:r>
      <w:r>
        <w:rPr>
          <w:rFonts w:ascii="Calibri"/>
          <w:color w:val="231F20"/>
          <w:sz w:val="17"/>
        </w:rPr>
        <w:t>, p. 45.</w:t>
      </w:r>
    </w:p>
    <w:p>
      <w:pPr>
        <w:spacing w:line="235" w:lineRule="auto" w:before="0"/>
        <w:ind w:left="103" w:right="115" w:firstLine="0"/>
        <w:jc w:val="both"/>
        <w:rPr>
          <w:rFonts w:ascii="Calibri" w:hAnsi="Calibri"/>
          <w:sz w:val="17"/>
        </w:rPr>
      </w:pPr>
      <w:r>
        <w:rPr>
          <w:rFonts w:ascii="Calibri" w:hAnsi="Calibri"/>
          <w:color w:val="231F20"/>
          <w:w w:val="105"/>
          <w:position w:val="6"/>
          <w:sz w:val="10"/>
        </w:rPr>
        <w:t>51</w:t>
      </w:r>
      <w:r>
        <w:rPr>
          <w:rFonts w:ascii="Calibri" w:hAnsi="Calibri"/>
          <w:color w:val="231F20"/>
          <w:spacing w:val="5"/>
          <w:w w:val="105"/>
          <w:position w:val="6"/>
          <w:sz w:val="10"/>
        </w:rPr>
        <w:t> </w:t>
      </w:r>
      <w:r>
        <w:rPr>
          <w:rFonts w:ascii="Calibri" w:hAnsi="Calibri"/>
          <w:color w:val="231F20"/>
          <w:spacing w:val="-7"/>
          <w:w w:val="105"/>
          <w:sz w:val="17"/>
        </w:rPr>
        <w:t>F.</w:t>
      </w:r>
      <w:r>
        <w:rPr>
          <w:rFonts w:ascii="Calibri" w:hAnsi="Calibri"/>
          <w:color w:val="231F20"/>
          <w:spacing w:val="-11"/>
          <w:w w:val="105"/>
          <w:sz w:val="17"/>
        </w:rPr>
        <w:t> </w:t>
      </w:r>
      <w:r>
        <w:rPr>
          <w:rFonts w:ascii="Calibri" w:hAnsi="Calibri"/>
          <w:color w:val="231F20"/>
          <w:w w:val="105"/>
          <w:sz w:val="17"/>
        </w:rPr>
        <w:t>Furet,</w:t>
      </w:r>
      <w:r>
        <w:rPr>
          <w:rFonts w:ascii="Calibri" w:hAnsi="Calibri"/>
          <w:color w:val="231F20"/>
          <w:spacing w:val="-11"/>
          <w:w w:val="105"/>
          <w:sz w:val="17"/>
        </w:rPr>
        <w:t> </w:t>
      </w:r>
      <w:r>
        <w:rPr>
          <w:rFonts w:ascii="Calibri" w:hAnsi="Calibri"/>
          <w:i/>
          <w:color w:val="231F20"/>
          <w:w w:val="105"/>
          <w:sz w:val="17"/>
        </w:rPr>
        <w:t>Tocqueville</w:t>
      </w:r>
      <w:r>
        <w:rPr>
          <w:rFonts w:ascii="Calibri" w:hAnsi="Calibri"/>
          <w:i/>
          <w:color w:val="231F20"/>
          <w:spacing w:val="-12"/>
          <w:w w:val="105"/>
          <w:sz w:val="17"/>
        </w:rPr>
        <w:t> </w:t>
      </w:r>
      <w:r>
        <w:rPr>
          <w:rFonts w:ascii="Calibri" w:hAnsi="Calibri"/>
          <w:i/>
          <w:color w:val="231F20"/>
          <w:w w:val="105"/>
          <w:sz w:val="17"/>
        </w:rPr>
        <w:t>et</w:t>
      </w:r>
      <w:r>
        <w:rPr>
          <w:rFonts w:ascii="Calibri" w:hAnsi="Calibri"/>
          <w:i/>
          <w:color w:val="231F20"/>
          <w:spacing w:val="-12"/>
          <w:w w:val="105"/>
          <w:sz w:val="17"/>
        </w:rPr>
        <w:t> </w:t>
      </w:r>
      <w:r>
        <w:rPr>
          <w:rFonts w:ascii="Calibri" w:hAnsi="Calibri"/>
          <w:i/>
          <w:color w:val="231F20"/>
          <w:w w:val="105"/>
          <w:sz w:val="17"/>
        </w:rPr>
        <w:t>le</w:t>
      </w:r>
      <w:r>
        <w:rPr>
          <w:rFonts w:ascii="Calibri" w:hAnsi="Calibri"/>
          <w:i/>
          <w:color w:val="231F20"/>
          <w:spacing w:val="-12"/>
          <w:w w:val="105"/>
          <w:sz w:val="17"/>
        </w:rPr>
        <w:t> </w:t>
      </w:r>
      <w:r>
        <w:rPr>
          <w:rFonts w:ascii="Calibri" w:hAnsi="Calibri"/>
          <w:i/>
          <w:color w:val="231F20"/>
          <w:w w:val="105"/>
          <w:sz w:val="17"/>
        </w:rPr>
        <w:t>problème</w:t>
      </w:r>
      <w:r>
        <w:rPr>
          <w:rFonts w:ascii="Calibri" w:hAnsi="Calibri"/>
          <w:i/>
          <w:color w:val="231F20"/>
          <w:spacing w:val="-12"/>
          <w:w w:val="105"/>
          <w:sz w:val="17"/>
        </w:rPr>
        <w:t> </w:t>
      </w:r>
      <w:r>
        <w:rPr>
          <w:rFonts w:ascii="Calibri" w:hAnsi="Calibri"/>
          <w:i/>
          <w:color w:val="231F20"/>
          <w:w w:val="105"/>
          <w:sz w:val="17"/>
        </w:rPr>
        <w:t>de</w:t>
      </w:r>
      <w:r>
        <w:rPr>
          <w:rFonts w:ascii="Calibri" w:hAnsi="Calibri"/>
          <w:i/>
          <w:color w:val="231F20"/>
          <w:spacing w:val="-12"/>
          <w:w w:val="105"/>
          <w:sz w:val="17"/>
        </w:rPr>
        <w:t> </w:t>
      </w:r>
      <w:r>
        <w:rPr>
          <w:rFonts w:ascii="Calibri" w:hAnsi="Calibri"/>
          <w:i/>
          <w:color w:val="231F20"/>
          <w:w w:val="105"/>
          <w:sz w:val="17"/>
        </w:rPr>
        <w:t>la</w:t>
      </w:r>
      <w:r>
        <w:rPr>
          <w:rFonts w:ascii="Calibri" w:hAnsi="Calibri"/>
          <w:i/>
          <w:color w:val="231F20"/>
          <w:spacing w:val="-12"/>
          <w:w w:val="105"/>
          <w:sz w:val="17"/>
        </w:rPr>
        <w:t> </w:t>
      </w:r>
      <w:r>
        <w:rPr>
          <w:rFonts w:ascii="Calibri" w:hAnsi="Calibri"/>
          <w:i/>
          <w:color w:val="231F20"/>
          <w:w w:val="105"/>
          <w:sz w:val="17"/>
        </w:rPr>
        <w:t>Révolution</w:t>
      </w:r>
      <w:r>
        <w:rPr>
          <w:rFonts w:ascii="Calibri" w:hAnsi="Calibri"/>
          <w:i/>
          <w:color w:val="231F20"/>
          <w:spacing w:val="-12"/>
          <w:w w:val="105"/>
          <w:sz w:val="17"/>
        </w:rPr>
        <w:t> </w:t>
      </w:r>
      <w:r>
        <w:rPr>
          <w:rFonts w:ascii="Calibri" w:hAnsi="Calibri"/>
          <w:i/>
          <w:color w:val="231F20"/>
          <w:w w:val="105"/>
          <w:sz w:val="17"/>
        </w:rPr>
        <w:t>française,</w:t>
      </w:r>
      <w:r>
        <w:rPr>
          <w:rFonts w:ascii="Calibri" w:hAnsi="Calibri"/>
          <w:i/>
          <w:color w:val="231F20"/>
          <w:spacing w:val="-12"/>
          <w:w w:val="105"/>
          <w:sz w:val="17"/>
        </w:rPr>
        <w:t> </w:t>
      </w:r>
      <w:r>
        <w:rPr>
          <w:rFonts w:ascii="Calibri" w:hAnsi="Calibri"/>
          <w:i/>
          <w:color w:val="231F20"/>
          <w:w w:val="105"/>
          <w:sz w:val="17"/>
        </w:rPr>
        <w:t>en</w:t>
      </w:r>
      <w:r>
        <w:rPr>
          <w:rFonts w:ascii="Calibri" w:hAnsi="Calibri"/>
          <w:i/>
          <w:color w:val="231F20"/>
          <w:spacing w:val="-12"/>
          <w:w w:val="105"/>
          <w:sz w:val="17"/>
        </w:rPr>
        <w:t> </w:t>
      </w:r>
      <w:r>
        <w:rPr>
          <w:rFonts w:ascii="Calibri" w:hAnsi="Calibri"/>
          <w:i/>
          <w:color w:val="231F20"/>
          <w:w w:val="105"/>
          <w:sz w:val="17"/>
        </w:rPr>
        <w:t>Penser</w:t>
      </w:r>
      <w:r>
        <w:rPr>
          <w:rFonts w:ascii="Calibri" w:hAnsi="Calibri"/>
          <w:i/>
          <w:color w:val="231F20"/>
          <w:spacing w:val="-12"/>
          <w:w w:val="105"/>
          <w:sz w:val="17"/>
        </w:rPr>
        <w:t> </w:t>
      </w:r>
      <w:r>
        <w:rPr>
          <w:rFonts w:ascii="Calibri" w:hAnsi="Calibri"/>
          <w:i/>
          <w:color w:val="231F20"/>
          <w:w w:val="105"/>
          <w:sz w:val="17"/>
        </w:rPr>
        <w:t>la</w:t>
      </w:r>
      <w:r>
        <w:rPr>
          <w:rFonts w:ascii="Calibri" w:hAnsi="Calibri"/>
          <w:i/>
          <w:color w:val="231F20"/>
          <w:spacing w:val="-12"/>
          <w:w w:val="105"/>
          <w:sz w:val="17"/>
        </w:rPr>
        <w:t> </w:t>
      </w:r>
      <w:r>
        <w:rPr>
          <w:rFonts w:ascii="Calibri" w:hAnsi="Calibri"/>
          <w:i/>
          <w:color w:val="231F20"/>
          <w:w w:val="105"/>
          <w:sz w:val="17"/>
        </w:rPr>
        <w:t>Révolution</w:t>
      </w:r>
      <w:r>
        <w:rPr>
          <w:rFonts w:ascii="Calibri" w:hAnsi="Calibri"/>
          <w:i/>
          <w:color w:val="231F20"/>
          <w:spacing w:val="-12"/>
          <w:w w:val="105"/>
          <w:sz w:val="17"/>
        </w:rPr>
        <w:t> </w:t>
      </w:r>
      <w:r>
        <w:rPr>
          <w:rFonts w:ascii="Calibri" w:hAnsi="Calibri"/>
          <w:i/>
          <w:color w:val="231F20"/>
          <w:w w:val="105"/>
          <w:sz w:val="17"/>
        </w:rPr>
        <w:t>française</w:t>
      </w:r>
      <w:r>
        <w:rPr>
          <w:rFonts w:ascii="Calibri" w:hAnsi="Calibri"/>
          <w:color w:val="231F20"/>
          <w:w w:val="105"/>
          <w:sz w:val="17"/>
        </w:rPr>
        <w:t>, Paris,</w:t>
      </w:r>
      <w:r>
        <w:rPr>
          <w:rFonts w:ascii="Calibri" w:hAnsi="Calibri"/>
          <w:color w:val="231F20"/>
          <w:spacing w:val="-10"/>
          <w:w w:val="105"/>
          <w:sz w:val="17"/>
        </w:rPr>
        <w:t> </w:t>
      </w:r>
      <w:r>
        <w:rPr>
          <w:rFonts w:ascii="Calibri" w:hAnsi="Calibri"/>
          <w:color w:val="231F20"/>
          <w:w w:val="105"/>
          <w:sz w:val="17"/>
        </w:rPr>
        <w:t>1978;</w:t>
      </w:r>
      <w:r>
        <w:rPr>
          <w:rFonts w:ascii="Calibri" w:hAnsi="Calibri"/>
          <w:color w:val="231F20"/>
          <w:spacing w:val="-10"/>
          <w:w w:val="105"/>
          <w:sz w:val="17"/>
        </w:rPr>
        <w:t> </w:t>
      </w:r>
      <w:r>
        <w:rPr>
          <w:rFonts w:ascii="Calibri" w:hAnsi="Calibri"/>
          <w:color w:val="231F20"/>
          <w:w w:val="105"/>
          <w:sz w:val="17"/>
        </w:rPr>
        <w:t>pero</w:t>
      </w:r>
      <w:r>
        <w:rPr>
          <w:rFonts w:ascii="Calibri" w:hAnsi="Calibri"/>
          <w:color w:val="231F20"/>
          <w:spacing w:val="-10"/>
          <w:w w:val="105"/>
          <w:sz w:val="17"/>
        </w:rPr>
        <w:t> </w:t>
      </w:r>
      <w:r>
        <w:rPr>
          <w:rFonts w:ascii="Calibri" w:hAnsi="Calibri"/>
          <w:color w:val="231F20"/>
          <w:w w:val="105"/>
          <w:sz w:val="17"/>
        </w:rPr>
        <w:t>consultar</w:t>
      </w:r>
      <w:r>
        <w:rPr>
          <w:rFonts w:ascii="Calibri" w:hAnsi="Calibri"/>
          <w:color w:val="231F20"/>
          <w:spacing w:val="-10"/>
          <w:w w:val="105"/>
          <w:sz w:val="17"/>
        </w:rPr>
        <w:t> </w:t>
      </w:r>
      <w:r>
        <w:rPr>
          <w:rFonts w:ascii="Calibri" w:hAnsi="Calibri"/>
          <w:color w:val="231F20"/>
          <w:w w:val="105"/>
          <w:sz w:val="17"/>
        </w:rPr>
        <w:t>también</w:t>
      </w:r>
      <w:r>
        <w:rPr>
          <w:rFonts w:ascii="Calibri" w:hAnsi="Calibri"/>
          <w:color w:val="231F20"/>
          <w:spacing w:val="-10"/>
          <w:w w:val="105"/>
          <w:sz w:val="17"/>
        </w:rPr>
        <w:t> </w:t>
      </w:r>
      <w:r>
        <w:rPr>
          <w:rFonts w:ascii="Calibri" w:hAnsi="Calibri"/>
          <w:color w:val="231F20"/>
          <w:w w:val="105"/>
          <w:sz w:val="17"/>
        </w:rPr>
        <w:t>L.</w:t>
      </w:r>
      <w:r>
        <w:rPr>
          <w:rFonts w:ascii="Calibri" w:hAnsi="Calibri"/>
          <w:color w:val="231F20"/>
          <w:spacing w:val="-10"/>
          <w:w w:val="105"/>
          <w:sz w:val="17"/>
        </w:rPr>
        <w:t> </w:t>
      </w:r>
      <w:r>
        <w:rPr>
          <w:rFonts w:ascii="Calibri" w:hAnsi="Calibri"/>
          <w:color w:val="231F20"/>
          <w:w w:val="105"/>
          <w:sz w:val="17"/>
        </w:rPr>
        <w:t>Jaume,</w:t>
      </w:r>
      <w:r>
        <w:rPr>
          <w:rFonts w:ascii="Calibri" w:hAnsi="Calibri"/>
          <w:color w:val="231F20"/>
          <w:spacing w:val="-10"/>
          <w:w w:val="105"/>
          <w:sz w:val="17"/>
        </w:rPr>
        <w:t> </w:t>
      </w:r>
      <w:r>
        <w:rPr>
          <w:rFonts w:ascii="Calibri" w:hAnsi="Calibri"/>
          <w:color w:val="231F20"/>
          <w:w w:val="105"/>
          <w:sz w:val="17"/>
        </w:rPr>
        <w:t>“Entre</w:t>
      </w:r>
      <w:r>
        <w:rPr>
          <w:rFonts w:ascii="Calibri" w:hAnsi="Calibri"/>
          <w:color w:val="231F20"/>
          <w:spacing w:val="-10"/>
          <w:w w:val="105"/>
          <w:sz w:val="17"/>
        </w:rPr>
        <w:t> </w:t>
      </w:r>
      <w:r>
        <w:rPr>
          <w:rFonts w:ascii="Calibri" w:hAnsi="Calibri"/>
          <w:color w:val="231F20"/>
          <w:w w:val="105"/>
          <w:sz w:val="17"/>
        </w:rPr>
        <w:t>droit</w:t>
      </w:r>
      <w:r>
        <w:rPr>
          <w:rFonts w:ascii="Calibri" w:hAnsi="Calibri"/>
          <w:color w:val="231F20"/>
          <w:spacing w:val="-10"/>
          <w:w w:val="105"/>
          <w:sz w:val="17"/>
        </w:rPr>
        <w:t> </w:t>
      </w:r>
      <w:r>
        <w:rPr>
          <w:rFonts w:ascii="Calibri" w:hAnsi="Calibri"/>
          <w:color w:val="231F20"/>
          <w:w w:val="105"/>
          <w:sz w:val="17"/>
        </w:rPr>
        <w:t>de</w:t>
      </w:r>
      <w:r>
        <w:rPr>
          <w:rFonts w:ascii="Calibri" w:hAnsi="Calibri"/>
          <w:color w:val="231F20"/>
          <w:spacing w:val="-10"/>
          <w:w w:val="105"/>
          <w:sz w:val="17"/>
        </w:rPr>
        <w:t> </w:t>
      </w:r>
      <w:r>
        <w:rPr>
          <w:rFonts w:ascii="Calibri" w:hAnsi="Calibri"/>
          <w:color w:val="231F20"/>
          <w:w w:val="105"/>
          <w:sz w:val="17"/>
        </w:rPr>
        <w:t>l’état</w:t>
      </w:r>
      <w:r>
        <w:rPr>
          <w:rFonts w:ascii="Calibri" w:hAnsi="Calibri"/>
          <w:color w:val="231F20"/>
          <w:spacing w:val="-10"/>
          <w:w w:val="105"/>
          <w:sz w:val="17"/>
        </w:rPr>
        <w:t> </w:t>
      </w:r>
      <w:r>
        <w:rPr>
          <w:rFonts w:ascii="Calibri" w:hAnsi="Calibri"/>
          <w:color w:val="231F20"/>
          <w:w w:val="105"/>
          <w:sz w:val="17"/>
        </w:rPr>
        <w:t>et</w:t>
      </w:r>
      <w:r>
        <w:rPr>
          <w:rFonts w:ascii="Calibri" w:hAnsi="Calibri"/>
          <w:color w:val="231F20"/>
          <w:spacing w:val="-10"/>
          <w:w w:val="105"/>
          <w:sz w:val="17"/>
        </w:rPr>
        <w:t> </w:t>
      </w:r>
      <w:r>
        <w:rPr>
          <w:rFonts w:ascii="Calibri" w:hAnsi="Calibri"/>
          <w:color w:val="231F20"/>
          <w:w w:val="105"/>
          <w:sz w:val="17"/>
        </w:rPr>
        <w:t>droits</w:t>
      </w:r>
      <w:r>
        <w:rPr>
          <w:rFonts w:ascii="Calibri" w:hAnsi="Calibri"/>
          <w:color w:val="231F20"/>
          <w:spacing w:val="-10"/>
          <w:w w:val="105"/>
          <w:sz w:val="17"/>
        </w:rPr>
        <w:t> </w:t>
      </w:r>
      <w:r>
        <w:rPr>
          <w:rFonts w:ascii="Calibri" w:hAnsi="Calibri"/>
          <w:color w:val="231F20"/>
          <w:w w:val="105"/>
          <w:sz w:val="17"/>
        </w:rPr>
        <w:t>de</w:t>
      </w:r>
      <w:r>
        <w:rPr>
          <w:rFonts w:ascii="Calibri" w:hAnsi="Calibri"/>
          <w:color w:val="231F20"/>
          <w:spacing w:val="-10"/>
          <w:w w:val="105"/>
          <w:sz w:val="17"/>
        </w:rPr>
        <w:t> </w:t>
      </w:r>
      <w:r>
        <w:rPr>
          <w:rFonts w:ascii="Calibri" w:hAnsi="Calibri"/>
          <w:color w:val="231F20"/>
          <w:w w:val="105"/>
          <w:sz w:val="17"/>
        </w:rPr>
        <w:t>la</w:t>
      </w:r>
      <w:r>
        <w:rPr>
          <w:rFonts w:ascii="Calibri" w:hAnsi="Calibri"/>
          <w:color w:val="231F20"/>
          <w:spacing w:val="-10"/>
          <w:w w:val="105"/>
          <w:sz w:val="17"/>
        </w:rPr>
        <w:t> </w:t>
      </w:r>
      <w:r>
        <w:rPr>
          <w:rFonts w:ascii="Calibri" w:hAnsi="Calibri"/>
          <w:color w:val="231F20"/>
          <w:w w:val="105"/>
          <w:sz w:val="17"/>
        </w:rPr>
        <w:t>société:</w:t>
      </w:r>
      <w:r>
        <w:rPr>
          <w:rFonts w:ascii="Calibri" w:hAnsi="Calibri"/>
          <w:color w:val="231F20"/>
          <w:spacing w:val="-10"/>
          <w:w w:val="105"/>
          <w:sz w:val="17"/>
        </w:rPr>
        <w:t> </w:t>
      </w:r>
      <w:r>
        <w:rPr>
          <w:rFonts w:ascii="Calibri" w:hAnsi="Calibri"/>
          <w:color w:val="231F20"/>
          <w:w w:val="105"/>
          <w:sz w:val="17"/>
        </w:rPr>
        <w:t>le</w:t>
      </w:r>
      <w:r>
        <w:rPr>
          <w:rFonts w:ascii="Calibri" w:hAnsi="Calibri"/>
          <w:color w:val="231F20"/>
          <w:spacing w:val="-10"/>
          <w:w w:val="105"/>
          <w:sz w:val="17"/>
        </w:rPr>
        <w:t> </w:t>
      </w:r>
      <w:r>
        <w:rPr>
          <w:rFonts w:ascii="Calibri" w:hAnsi="Calibri"/>
          <w:color w:val="231F20"/>
          <w:w w:val="105"/>
          <w:sz w:val="17"/>
        </w:rPr>
        <w:t>choix de</w:t>
      </w:r>
      <w:r>
        <w:rPr>
          <w:rFonts w:ascii="Calibri" w:hAnsi="Calibri"/>
          <w:color w:val="231F20"/>
          <w:spacing w:val="-27"/>
          <w:w w:val="105"/>
          <w:sz w:val="17"/>
        </w:rPr>
        <w:t> </w:t>
      </w:r>
      <w:r>
        <w:rPr>
          <w:rFonts w:ascii="Calibri" w:hAnsi="Calibri"/>
          <w:color w:val="231F20"/>
          <w:w w:val="105"/>
          <w:sz w:val="17"/>
        </w:rPr>
        <w:t>Tocqueville”,</w:t>
      </w:r>
      <w:r>
        <w:rPr>
          <w:rFonts w:ascii="Calibri" w:hAnsi="Calibri"/>
          <w:color w:val="231F20"/>
          <w:spacing w:val="-26"/>
          <w:w w:val="105"/>
          <w:sz w:val="17"/>
        </w:rPr>
        <w:t> </w:t>
      </w:r>
      <w:r>
        <w:rPr>
          <w:rFonts w:ascii="Calibri" w:hAnsi="Calibri"/>
          <w:i/>
          <w:color w:val="231F20"/>
          <w:w w:val="105"/>
          <w:sz w:val="17"/>
        </w:rPr>
        <w:t>Historia</w:t>
      </w:r>
      <w:r>
        <w:rPr>
          <w:rFonts w:ascii="Calibri" w:hAnsi="Calibri"/>
          <w:i/>
          <w:color w:val="231F20"/>
          <w:spacing w:val="-27"/>
          <w:w w:val="105"/>
          <w:sz w:val="17"/>
        </w:rPr>
        <w:t> </w:t>
      </w:r>
      <w:r>
        <w:rPr>
          <w:rFonts w:ascii="Calibri" w:hAnsi="Calibri"/>
          <w:i/>
          <w:color w:val="231F20"/>
          <w:w w:val="105"/>
          <w:sz w:val="17"/>
        </w:rPr>
        <w:t>Constitucional</w:t>
      </w:r>
      <w:r>
        <w:rPr>
          <w:rFonts w:ascii="Calibri" w:hAnsi="Calibri"/>
          <w:color w:val="231F20"/>
          <w:w w:val="105"/>
          <w:sz w:val="17"/>
        </w:rPr>
        <w:t>,</w:t>
      </w:r>
      <w:r>
        <w:rPr>
          <w:rFonts w:ascii="Calibri" w:hAnsi="Calibri"/>
          <w:color w:val="231F20"/>
          <w:spacing w:val="-26"/>
          <w:w w:val="105"/>
          <w:sz w:val="17"/>
        </w:rPr>
        <w:t> </w:t>
      </w:r>
      <w:r>
        <w:rPr>
          <w:rFonts w:ascii="Calibri" w:hAnsi="Calibri"/>
          <w:color w:val="231F20"/>
          <w:w w:val="105"/>
          <w:sz w:val="17"/>
        </w:rPr>
        <w:t>6,</w:t>
      </w:r>
      <w:r>
        <w:rPr>
          <w:rFonts w:ascii="Calibri" w:hAnsi="Calibri"/>
          <w:color w:val="231F20"/>
          <w:spacing w:val="-26"/>
          <w:w w:val="105"/>
          <w:sz w:val="17"/>
        </w:rPr>
        <w:t> </w:t>
      </w:r>
      <w:r>
        <w:rPr>
          <w:rFonts w:ascii="Calibri" w:hAnsi="Calibri"/>
          <w:color w:val="231F20"/>
          <w:w w:val="105"/>
          <w:sz w:val="17"/>
        </w:rPr>
        <w:t>2005,</w:t>
      </w:r>
      <w:r>
        <w:rPr>
          <w:rFonts w:ascii="Calibri" w:hAnsi="Calibri"/>
          <w:color w:val="231F20"/>
          <w:spacing w:val="-26"/>
          <w:w w:val="105"/>
          <w:sz w:val="17"/>
        </w:rPr>
        <w:t> </w:t>
      </w:r>
      <w:r>
        <w:rPr>
          <w:rFonts w:ascii="Calibri" w:hAnsi="Calibri"/>
          <w:color w:val="231F20"/>
          <w:w w:val="105"/>
          <w:sz w:val="17"/>
        </w:rPr>
        <w:t>disponible</w:t>
      </w:r>
      <w:r>
        <w:rPr>
          <w:rFonts w:ascii="Calibri" w:hAnsi="Calibri"/>
          <w:color w:val="231F20"/>
          <w:spacing w:val="-26"/>
          <w:w w:val="105"/>
          <w:sz w:val="17"/>
        </w:rPr>
        <w:t> </w:t>
      </w:r>
      <w:r>
        <w:rPr>
          <w:rFonts w:ascii="Calibri" w:hAnsi="Calibri"/>
          <w:color w:val="231F20"/>
          <w:w w:val="105"/>
          <w:sz w:val="17"/>
        </w:rPr>
        <w:t>en:</w:t>
      </w:r>
      <w:r>
        <w:rPr>
          <w:rFonts w:ascii="Calibri" w:hAnsi="Calibri"/>
          <w:color w:val="231F20"/>
          <w:spacing w:val="-26"/>
          <w:w w:val="105"/>
          <w:sz w:val="17"/>
        </w:rPr>
        <w:t> </w:t>
      </w:r>
      <w:hyperlink r:id="rId43">
        <w:r>
          <w:rPr>
            <w:rFonts w:ascii="Calibri" w:hAnsi="Calibri"/>
            <w:color w:val="231F20"/>
            <w:w w:val="105"/>
            <w:sz w:val="17"/>
          </w:rPr>
          <w:t>http://hc.rediris.es/06/index.html.</w:t>
        </w:r>
      </w:hyperlink>
      <w:r>
        <w:rPr>
          <w:rFonts w:ascii="Calibri" w:hAnsi="Calibri"/>
          <w:color w:val="231F20"/>
          <w:w w:val="105"/>
          <w:sz w:val="17"/>
        </w:rPr>
        <w:t> </w:t>
      </w:r>
      <w:r>
        <w:rPr>
          <w:rFonts w:ascii="Calibri" w:hAnsi="Calibri"/>
          <w:color w:val="231F20"/>
          <w:w w:val="105"/>
          <w:position w:val="6"/>
          <w:sz w:val="10"/>
        </w:rPr>
        <w:t>52</w:t>
      </w:r>
      <w:r>
        <w:rPr>
          <w:rFonts w:ascii="Calibri" w:hAnsi="Calibri"/>
          <w:color w:val="231F20"/>
          <w:spacing w:val="-3"/>
          <w:w w:val="105"/>
          <w:position w:val="6"/>
          <w:sz w:val="10"/>
        </w:rPr>
        <w:t> </w:t>
      </w:r>
      <w:r>
        <w:rPr>
          <w:rFonts w:ascii="Calibri" w:hAnsi="Calibri"/>
          <w:color w:val="231F20"/>
          <w:w w:val="105"/>
          <w:sz w:val="17"/>
        </w:rPr>
        <w:t>N.</w:t>
      </w:r>
      <w:r>
        <w:rPr>
          <w:rFonts w:ascii="Calibri" w:hAnsi="Calibri"/>
          <w:color w:val="231F20"/>
          <w:spacing w:val="-20"/>
          <w:w w:val="105"/>
          <w:sz w:val="17"/>
        </w:rPr>
        <w:t> </w:t>
      </w:r>
      <w:r>
        <w:rPr>
          <w:rFonts w:ascii="Calibri" w:hAnsi="Calibri"/>
          <w:color w:val="231F20"/>
          <w:w w:val="105"/>
          <w:sz w:val="17"/>
        </w:rPr>
        <w:t>Luhmann,</w:t>
      </w:r>
      <w:r>
        <w:rPr>
          <w:rFonts w:ascii="Calibri" w:hAnsi="Calibri"/>
          <w:color w:val="231F20"/>
          <w:spacing w:val="-20"/>
          <w:w w:val="105"/>
          <w:sz w:val="17"/>
        </w:rPr>
        <w:t> </w:t>
      </w:r>
      <w:r>
        <w:rPr>
          <w:rFonts w:ascii="Calibri" w:hAnsi="Calibri"/>
          <w:i/>
          <w:color w:val="231F20"/>
          <w:w w:val="105"/>
          <w:sz w:val="17"/>
        </w:rPr>
        <w:t>Die</w:t>
      </w:r>
      <w:r>
        <w:rPr>
          <w:rFonts w:ascii="Calibri" w:hAnsi="Calibri"/>
          <w:i/>
          <w:color w:val="231F20"/>
          <w:spacing w:val="-20"/>
          <w:w w:val="105"/>
          <w:sz w:val="17"/>
        </w:rPr>
        <w:t> </w:t>
      </w:r>
      <w:r>
        <w:rPr>
          <w:rFonts w:ascii="Calibri" w:hAnsi="Calibri"/>
          <w:i/>
          <w:color w:val="231F20"/>
          <w:w w:val="105"/>
          <w:sz w:val="17"/>
        </w:rPr>
        <w:t>Politik</w:t>
      </w:r>
      <w:r>
        <w:rPr>
          <w:rFonts w:ascii="Calibri" w:hAnsi="Calibri"/>
          <w:i/>
          <w:color w:val="231F20"/>
          <w:spacing w:val="-20"/>
          <w:w w:val="105"/>
          <w:sz w:val="17"/>
        </w:rPr>
        <w:t> </w:t>
      </w:r>
      <w:r>
        <w:rPr>
          <w:rFonts w:ascii="Calibri" w:hAnsi="Calibri"/>
          <w:i/>
          <w:color w:val="231F20"/>
          <w:w w:val="105"/>
          <w:sz w:val="17"/>
        </w:rPr>
        <w:t>der</w:t>
      </w:r>
      <w:r>
        <w:rPr>
          <w:rFonts w:ascii="Calibri" w:hAnsi="Calibri"/>
          <w:i/>
          <w:color w:val="231F20"/>
          <w:spacing w:val="-20"/>
          <w:w w:val="105"/>
          <w:sz w:val="17"/>
        </w:rPr>
        <w:t> </w:t>
      </w:r>
      <w:r>
        <w:rPr>
          <w:rFonts w:ascii="Calibri" w:hAnsi="Calibri"/>
          <w:i/>
          <w:color w:val="231F20"/>
          <w:w w:val="105"/>
          <w:sz w:val="17"/>
        </w:rPr>
        <w:t>Gesellschaft</w:t>
      </w:r>
      <w:r>
        <w:rPr>
          <w:rFonts w:ascii="Calibri" w:hAnsi="Calibri"/>
          <w:color w:val="231F20"/>
          <w:w w:val="105"/>
          <w:sz w:val="17"/>
        </w:rPr>
        <w:t>,</w:t>
      </w:r>
      <w:r>
        <w:rPr>
          <w:rFonts w:ascii="Calibri" w:hAnsi="Calibri"/>
          <w:color w:val="231F20"/>
          <w:spacing w:val="-20"/>
          <w:w w:val="105"/>
          <w:sz w:val="17"/>
        </w:rPr>
        <w:t> </w:t>
      </w:r>
      <w:r>
        <w:rPr>
          <w:rFonts w:ascii="Calibri" w:hAnsi="Calibri"/>
          <w:color w:val="231F20"/>
          <w:w w:val="105"/>
          <w:sz w:val="17"/>
        </w:rPr>
        <w:t>Frankfurt</w:t>
      </w:r>
      <w:r>
        <w:rPr>
          <w:rFonts w:ascii="Calibri" w:hAnsi="Calibri"/>
          <w:color w:val="231F20"/>
          <w:spacing w:val="-20"/>
          <w:w w:val="105"/>
          <w:sz w:val="17"/>
        </w:rPr>
        <w:t> </w:t>
      </w:r>
      <w:r>
        <w:rPr>
          <w:rFonts w:ascii="Calibri" w:hAnsi="Calibri"/>
          <w:color w:val="231F20"/>
          <w:w w:val="105"/>
          <w:sz w:val="17"/>
        </w:rPr>
        <w:t>am</w:t>
      </w:r>
      <w:r>
        <w:rPr>
          <w:rFonts w:ascii="Calibri" w:hAnsi="Calibri"/>
          <w:color w:val="231F20"/>
          <w:spacing w:val="-20"/>
          <w:w w:val="105"/>
          <w:sz w:val="17"/>
        </w:rPr>
        <w:t> </w:t>
      </w:r>
      <w:r>
        <w:rPr>
          <w:rFonts w:ascii="Calibri" w:hAnsi="Calibri"/>
          <w:color w:val="231F20"/>
          <w:w w:val="105"/>
          <w:sz w:val="17"/>
        </w:rPr>
        <w:t>Main,</w:t>
      </w:r>
      <w:r>
        <w:rPr>
          <w:rFonts w:ascii="Calibri" w:hAnsi="Calibri"/>
          <w:color w:val="231F20"/>
          <w:spacing w:val="-20"/>
          <w:w w:val="105"/>
          <w:sz w:val="17"/>
        </w:rPr>
        <w:t> </w:t>
      </w:r>
      <w:r>
        <w:rPr>
          <w:rFonts w:ascii="Calibri" w:hAnsi="Calibri"/>
          <w:color w:val="231F20"/>
          <w:w w:val="105"/>
          <w:sz w:val="17"/>
        </w:rPr>
        <w:t>Suhrkamp,</w:t>
      </w:r>
      <w:r>
        <w:rPr>
          <w:rFonts w:ascii="Calibri" w:hAnsi="Calibri"/>
          <w:color w:val="231F20"/>
          <w:spacing w:val="-20"/>
          <w:w w:val="105"/>
          <w:sz w:val="17"/>
        </w:rPr>
        <w:t> </w:t>
      </w:r>
      <w:r>
        <w:rPr>
          <w:rFonts w:ascii="Calibri" w:hAnsi="Calibri"/>
          <w:color w:val="231F20"/>
          <w:w w:val="105"/>
          <w:sz w:val="17"/>
        </w:rPr>
        <w:t>2002,</w:t>
      </w:r>
      <w:r>
        <w:rPr>
          <w:rFonts w:ascii="Calibri" w:hAnsi="Calibri"/>
          <w:color w:val="231F20"/>
          <w:spacing w:val="-20"/>
          <w:w w:val="105"/>
          <w:sz w:val="17"/>
        </w:rPr>
        <w:t> </w:t>
      </w:r>
      <w:r>
        <w:rPr>
          <w:rFonts w:ascii="Calibri" w:hAnsi="Calibri"/>
          <w:color w:val="231F20"/>
          <w:w w:val="105"/>
          <w:sz w:val="17"/>
        </w:rPr>
        <w:t>pp.</w:t>
      </w:r>
      <w:r>
        <w:rPr>
          <w:rFonts w:ascii="Calibri" w:hAnsi="Calibri"/>
          <w:color w:val="231F20"/>
          <w:spacing w:val="-20"/>
          <w:w w:val="105"/>
          <w:sz w:val="17"/>
        </w:rPr>
        <w:t> </w:t>
      </w:r>
      <w:r>
        <w:rPr>
          <w:rFonts w:ascii="Calibri" w:hAnsi="Calibri"/>
          <w:color w:val="231F20"/>
          <w:w w:val="105"/>
          <w:sz w:val="17"/>
        </w:rPr>
        <w:t>407–434.</w:t>
      </w:r>
    </w:p>
    <w:p>
      <w:pPr>
        <w:pStyle w:val="BodyText"/>
        <w:rPr>
          <w:rFonts w:ascii="Calibri"/>
          <w:sz w:val="20"/>
        </w:rPr>
      </w:pPr>
    </w:p>
    <w:p>
      <w:pPr>
        <w:pStyle w:val="BodyText"/>
        <w:spacing w:before="10"/>
        <w:rPr>
          <w:rFonts w:ascii="Calibri"/>
          <w:sz w:val="27"/>
        </w:rPr>
      </w:pPr>
    </w:p>
    <w:p>
      <w:pPr>
        <w:tabs>
          <w:tab w:pos="1331" w:val="left" w:leader="none"/>
        </w:tabs>
        <w:spacing w:before="68"/>
        <w:ind w:left="281" w:right="0" w:firstLine="0"/>
        <w:jc w:val="left"/>
        <w:rPr>
          <w:rFonts w:ascii="Calibri"/>
          <w:sz w:val="16"/>
        </w:rPr>
      </w:pPr>
      <w:r>
        <w:rPr/>
        <w:pict>
          <v:group style="position:absolute;margin-left:98.787804pt;margin-top:-3.358812pt;width:20.4pt;height:43pt;mso-position-horizontal-relative:page;mso-position-vertical-relative:paragraph;z-index:-172024"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52</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861" w:right="0" w:firstLine="0"/>
        <w:jc w:val="left"/>
        <w:rPr>
          <w:rFonts w:ascii="Arial" w:hAnsi="Arial"/>
          <w:sz w:val="20"/>
        </w:rPr>
      </w:pPr>
      <w:r>
        <w:rPr/>
        <w:pict>
          <v:group style="position:absolute;margin-left:383.821014pt;margin-top:-25.479271pt;width:8.65pt;height:41pt;mso-position-horizontal-relative:page;mso-position-vertical-relative:paragraph;z-index:-17200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3"/>
          <w:sz w:val="14"/>
        </w:rPr>
        <w:t> </w:t>
      </w:r>
      <w:r>
        <w:rPr>
          <w:rFonts w:ascii="Lucida Sans Unicode" w:hAnsi="Lucida Sans Unicode"/>
          <w:color w:val="6D6E71"/>
          <w:sz w:val="14"/>
        </w:rPr>
        <w:t>ESTADO</w:t>
      </w:r>
      <w:r>
        <w:rPr>
          <w:rFonts w:ascii="Lucida Sans Unicode" w:hAnsi="Lucida Sans Unicode"/>
          <w:color w:val="6D6E71"/>
          <w:spacing w:val="-23"/>
          <w:sz w:val="14"/>
        </w:rPr>
        <w:t> </w:t>
      </w:r>
      <w:r>
        <w:rPr>
          <w:rFonts w:ascii="Lucida Sans Unicode" w:hAnsi="Lucida Sans Unicode"/>
          <w:color w:val="6D6E71"/>
          <w:sz w:val="14"/>
        </w:rPr>
        <w:t>GLOBAL</w:t>
      </w:r>
      <w:r>
        <w:rPr>
          <w:rFonts w:ascii="Lucida Sans Unicode" w:hAnsi="Lucida Sans Unicode"/>
          <w:color w:val="6D6E71"/>
          <w:spacing w:val="-23"/>
          <w:sz w:val="14"/>
        </w:rPr>
        <w:t> </w:t>
      </w:r>
      <w:r>
        <w:rPr>
          <w:rFonts w:ascii="Lucida Sans Unicode" w:hAnsi="Lucida Sans Unicode"/>
          <w:color w:val="6D6E71"/>
          <w:sz w:val="14"/>
        </w:rPr>
        <w:t>Y</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EVOLUCIÓN</w:t>
      </w:r>
      <w:r>
        <w:rPr>
          <w:rFonts w:ascii="Lucida Sans Unicode" w:hAnsi="Lucida Sans Unicode"/>
          <w:color w:val="6D6E71"/>
          <w:spacing w:val="-23"/>
          <w:sz w:val="14"/>
        </w:rPr>
        <w:t> </w:t>
      </w:r>
      <w:r>
        <w:rPr>
          <w:rFonts w:ascii="Lucida Sans Unicode" w:hAnsi="Lucida Sans Unicode"/>
          <w:color w:val="6D6E71"/>
          <w:sz w:val="14"/>
        </w:rPr>
        <w:t>DE</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SOBERANÍA</w:t>
      </w:r>
      <w:r>
        <w:rPr>
          <w:rFonts w:ascii="Arial" w:hAnsi="Arial"/>
          <w:color w:val="414042"/>
          <w:position w:val="-3"/>
          <w:sz w:val="20"/>
        </w:rPr>
        <w:tab/>
        <w:t>53</w:t>
      </w:r>
    </w:p>
    <w:p>
      <w:pPr>
        <w:pStyle w:val="BodyText"/>
        <w:spacing w:line="247" w:lineRule="auto" w:before="623"/>
        <w:ind w:left="117" w:right="101"/>
        <w:jc w:val="both"/>
      </w:pPr>
      <w:r>
        <w:rPr>
          <w:color w:val="231F20"/>
        </w:rPr>
        <w:t>condición. Estas dos historias del Estado moderno no son recíprocamente indiferentes. Sin la narración de un pacto originario, de un poder consti- tutivo, de una representación, y sin la prospectiva de la salida de un Esta- do de naturaleza absolutamente hipotética, no habría siquiera procesos reales de unificación y constitucionalización del Estado. El Estado global, sin embargo, se ve obligado a renunciar a su supuesto teórico tanto des- de la realidad como desde el carácter escasamente performativo que las narraciones clásicas han hecho sobre su formación. No obstante, la actual situación</w:t>
      </w:r>
      <w:r>
        <w:rPr>
          <w:color w:val="231F20"/>
          <w:spacing w:val="-8"/>
        </w:rPr>
        <w:t> </w:t>
      </w:r>
      <w:r>
        <w:rPr>
          <w:color w:val="231F20"/>
        </w:rPr>
        <w:t>fragmentada</w:t>
      </w:r>
      <w:r>
        <w:rPr>
          <w:color w:val="231F20"/>
          <w:spacing w:val="-8"/>
        </w:rPr>
        <w:t> </w:t>
      </w:r>
      <w:r>
        <w:rPr>
          <w:color w:val="231F20"/>
        </w:rPr>
        <w:t>y</w:t>
      </w:r>
      <w:r>
        <w:rPr>
          <w:color w:val="231F20"/>
          <w:spacing w:val="-8"/>
        </w:rPr>
        <w:t> </w:t>
      </w:r>
      <w:r>
        <w:rPr>
          <w:color w:val="231F20"/>
        </w:rPr>
        <w:t>algunas</w:t>
      </w:r>
      <w:r>
        <w:rPr>
          <w:color w:val="231F20"/>
          <w:spacing w:val="-8"/>
        </w:rPr>
        <w:t> </w:t>
      </w:r>
      <w:r>
        <w:rPr>
          <w:color w:val="231F20"/>
        </w:rPr>
        <w:t>veces</w:t>
      </w:r>
      <w:r>
        <w:rPr>
          <w:color w:val="231F20"/>
          <w:spacing w:val="-8"/>
        </w:rPr>
        <w:t> </w:t>
      </w:r>
      <w:r>
        <w:rPr>
          <w:color w:val="231F20"/>
        </w:rPr>
        <w:t>indescifrable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soberanía</w:t>
      </w:r>
      <w:r>
        <w:rPr>
          <w:color w:val="231F20"/>
          <w:spacing w:val="-8"/>
        </w:rPr>
        <w:t> </w:t>
      </w:r>
      <w:r>
        <w:rPr>
          <w:color w:val="231F20"/>
        </w:rPr>
        <w:t>parece reproducir desde muchos ángulos la del origen de la estatalidad moderna, en lugar de ceder a las tentaciones del demonio de la analogía, pues es más realista reconocer que se ha hecho una pausa por la cual no se</w:t>
      </w:r>
      <w:r>
        <w:rPr>
          <w:color w:val="231F20"/>
          <w:spacing w:val="-39"/>
        </w:rPr>
        <w:t> </w:t>
      </w:r>
      <w:r>
        <w:rPr>
          <w:color w:val="231F20"/>
        </w:rPr>
        <w:t>puede asumir completamente el origen del Estado moderno como decisivo para el concepto de Estado global. Incluso cuando ocurre en manera silenciosa o sigue practicando el lenguaje de la soberanía única e indivisible, esta re- nuncia hace del Estado un “actor crítico”</w:t>
      </w:r>
      <w:r>
        <w:rPr>
          <w:color w:val="231F20"/>
          <w:position w:val="7"/>
          <w:sz w:val="12"/>
        </w:rPr>
        <w:t>53 </w:t>
      </w:r>
      <w:r>
        <w:rPr>
          <w:color w:val="231F20"/>
        </w:rPr>
        <w:t>si bien no en el mismo modo en que ciertamente lo era su fase de formación. El Estado global es un actor crítico porque contribuye en manera sustancial a aquella privatización de lo público que está en la base tanto de la cada vez mayor preponderancia de los Ejecutivos sobre los Legislativos, como de los procesos de </w:t>
      </w:r>
      <w:r>
        <w:rPr>
          <w:rFonts w:ascii="Arial" w:hAnsi="Arial"/>
          <w:i/>
          <w:color w:val="231F20"/>
        </w:rPr>
        <w:t>gover- </w:t>
      </w:r>
      <w:r>
        <w:rPr>
          <w:rFonts w:ascii="Arial" w:hAnsi="Arial"/>
          <w:i/>
          <w:color w:val="231F20"/>
        </w:rPr>
        <w:t>nance, </w:t>
      </w:r>
      <w:r>
        <w:rPr>
          <w:color w:val="231F20"/>
        </w:rPr>
        <w:t>técnica de las funciones administrativas internas e internacionales. Se trata además de un proceso largo que no se desarrolla a través de las líneas propuestas por las ideologías neoliberales, aunque éstas imaginan un centro de autoridad estatal que garantice, sobre la escala local, la vali- dez</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contratos</w:t>
      </w:r>
      <w:r>
        <w:rPr>
          <w:color w:val="231F20"/>
          <w:spacing w:val="-8"/>
        </w:rPr>
        <w:t> </w:t>
      </w:r>
      <w:r>
        <w:rPr>
          <w:color w:val="231F20"/>
        </w:rPr>
        <w:t>e</w:t>
      </w:r>
      <w:r>
        <w:rPr>
          <w:color w:val="231F20"/>
          <w:spacing w:val="-8"/>
        </w:rPr>
        <w:t> </w:t>
      </w:r>
      <w:r>
        <w:rPr>
          <w:color w:val="231F20"/>
        </w:rPr>
        <w:t>imponga</w:t>
      </w:r>
      <w:r>
        <w:rPr>
          <w:color w:val="231F20"/>
          <w:spacing w:val="-8"/>
        </w:rPr>
        <w:t> </w:t>
      </w:r>
      <w:r>
        <w:rPr>
          <w:color w:val="231F20"/>
        </w:rPr>
        <w:t>el</w:t>
      </w:r>
      <w:r>
        <w:rPr>
          <w:color w:val="231F20"/>
          <w:spacing w:val="-8"/>
        </w:rPr>
        <w:t> </w:t>
      </w:r>
      <w:r>
        <w:rPr>
          <w:rFonts w:ascii="Arial" w:hAnsi="Arial"/>
          <w:i/>
          <w:color w:val="231F20"/>
        </w:rPr>
        <w:t>rule</w:t>
      </w:r>
      <w:r>
        <w:rPr>
          <w:rFonts w:ascii="Arial" w:hAnsi="Arial"/>
          <w:i/>
          <w:color w:val="231F20"/>
          <w:spacing w:val="-1"/>
        </w:rPr>
        <w:t> </w:t>
      </w:r>
      <w:r>
        <w:rPr>
          <w:rFonts w:ascii="Arial" w:hAnsi="Arial"/>
          <w:i/>
          <w:color w:val="231F20"/>
        </w:rPr>
        <w:t>of</w:t>
      </w:r>
      <w:r>
        <w:rPr>
          <w:rFonts w:ascii="Arial" w:hAnsi="Arial"/>
          <w:i/>
          <w:color w:val="231F20"/>
          <w:spacing w:val="-1"/>
        </w:rPr>
        <w:t> </w:t>
      </w:r>
      <w:r>
        <w:rPr>
          <w:rFonts w:ascii="Arial" w:hAnsi="Arial"/>
          <w:i/>
          <w:color w:val="231F20"/>
        </w:rPr>
        <w:t>law</w:t>
      </w:r>
      <w:r>
        <w:rPr>
          <w:rFonts w:ascii="Arial" w:hAnsi="Arial"/>
          <w:i/>
          <w:color w:val="231F20"/>
          <w:spacing w:val="-1"/>
        </w:rPr>
        <w:t> </w:t>
      </w:r>
      <w:r>
        <w:rPr>
          <w:color w:val="231F20"/>
        </w:rPr>
        <w:t>en</w:t>
      </w:r>
      <w:r>
        <w:rPr>
          <w:color w:val="231F20"/>
          <w:spacing w:val="-8"/>
        </w:rPr>
        <w:t> </w:t>
      </w:r>
      <w:r>
        <w:rPr>
          <w:color w:val="231F20"/>
        </w:rPr>
        <w:t>el</w:t>
      </w:r>
      <w:r>
        <w:rPr>
          <w:color w:val="231F20"/>
          <w:spacing w:val="-8"/>
        </w:rPr>
        <w:t> </w:t>
      </w:r>
      <w:r>
        <w:rPr>
          <w:color w:val="231F20"/>
        </w:rPr>
        <w:t>respeto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jerarquías sociales, mientras al mismo tiempo esta autoridad es desafiada y constan- temente retrasada por la autoridad de leyes de mercado que no actúan en la escala local y no se limitan a criterios jurídicos </w:t>
      </w:r>
      <w:r>
        <w:rPr>
          <w:color w:val="231F20"/>
          <w:position w:val="7"/>
          <w:sz w:val="12"/>
        </w:rPr>
        <w:t>54</w:t>
      </w:r>
      <w:r>
        <w:rPr>
          <w:color w:val="231F20"/>
        </w:rPr>
        <w:t>. El concepto de Estado global toma en cuenta el hecho de que la </w:t>
      </w:r>
      <w:r>
        <w:rPr>
          <w:rFonts w:ascii="Arial" w:hAnsi="Arial"/>
          <w:i/>
          <w:color w:val="231F20"/>
        </w:rPr>
        <w:t>governance </w:t>
      </w:r>
      <w:r>
        <w:rPr>
          <w:color w:val="231F20"/>
        </w:rPr>
        <w:t>global no resuelve la cuestión de la soberanía, o sea, no la cancela como necesidad</w:t>
      </w:r>
      <w:r>
        <w:rPr>
          <w:color w:val="231F20"/>
          <w:spacing w:val="-36"/>
        </w:rPr>
        <w:t> </w:t>
      </w:r>
      <w:r>
        <w:rPr>
          <w:color w:val="231F20"/>
        </w:rPr>
        <w:t>funcional. Los sistemas de </w:t>
      </w:r>
      <w:r>
        <w:rPr>
          <w:rFonts w:ascii="Arial" w:hAnsi="Arial"/>
          <w:i/>
          <w:color w:val="231F20"/>
        </w:rPr>
        <w:t>governance</w:t>
      </w:r>
      <w:r>
        <w:rPr>
          <w:color w:val="231F20"/>
        </w:rPr>
        <w:t>, aunque cada vez más difundidos y siempre más capaces de establecer vínculos organizativos y de procedimiento, no llegan a constituir sobre su capacidad técnica el fundamento de legitimi- dad de “un monopolio de la </w:t>
      </w:r>
      <w:r>
        <w:rPr>
          <w:color w:val="231F20"/>
          <w:spacing w:val="45"/>
        </w:rPr>
        <w:t> </w:t>
      </w:r>
      <w:r>
        <w:rPr>
          <w:color w:val="231F20"/>
        </w:rPr>
        <w:t>violencia”.</w:t>
      </w:r>
    </w:p>
    <w:p>
      <w:pPr>
        <w:pStyle w:val="BodyText"/>
        <w:spacing w:line="247" w:lineRule="auto"/>
        <w:ind w:left="117" w:right="101" w:firstLine="566"/>
        <w:jc w:val="both"/>
      </w:pPr>
      <w:r>
        <w:rPr>
          <w:color w:val="231F20"/>
        </w:rPr>
        <w:t>Los procesos institucionales e ideológicos están en el origen del Es- tado moderno, por lo tanto, se encuentran en crisis en los Estados que los han asumido como reales y no se han reproducido en aquellos postco- loniales, mientras la estructuración estatal de las colonias se ha realizado  a través de una institucionalización violenta de sistemas burocráticos.  </w:t>
      </w:r>
      <w:r>
        <w:rPr>
          <w:color w:val="231F20"/>
          <w:spacing w:val="60"/>
        </w:rPr>
        <w:t> </w:t>
      </w:r>
      <w:r>
        <w:rPr>
          <w:color w:val="231F20"/>
        </w:rPr>
        <w:t>La</w:t>
      </w:r>
    </w:p>
    <w:p>
      <w:pPr>
        <w:spacing w:line="204" w:lineRule="exact" w:before="343"/>
        <w:ind w:left="117" w:right="0" w:firstLine="0"/>
        <w:jc w:val="left"/>
        <w:rPr>
          <w:rFonts w:ascii="Calibri" w:hAnsi="Calibri"/>
          <w:sz w:val="17"/>
        </w:rPr>
      </w:pPr>
      <w:r>
        <w:rPr/>
        <w:pict>
          <v:line style="position:absolute;mso-position-horizontal-relative:page;mso-position-vertical-relative:paragraph;z-index:3424" from="70.866096pt,15.109997pt" to="184.252096pt,15.109997pt" stroked="true" strokeweight=".3pt" strokecolor="#231f20">
            <w10:wrap type="none"/>
          </v:line>
        </w:pict>
      </w:r>
      <w:r>
        <w:rPr>
          <w:rFonts w:ascii="Calibri" w:hAnsi="Calibri"/>
          <w:color w:val="231F20"/>
          <w:position w:val="6"/>
          <w:sz w:val="10"/>
        </w:rPr>
        <w:t>53 </w:t>
      </w:r>
      <w:r>
        <w:rPr>
          <w:rFonts w:ascii="Calibri" w:hAnsi="Calibri"/>
          <w:color w:val="231F20"/>
          <w:sz w:val="17"/>
        </w:rPr>
        <w:t>S. Sassen, </w:t>
      </w:r>
      <w:r>
        <w:rPr>
          <w:rFonts w:ascii="Calibri" w:hAnsi="Calibri"/>
          <w:i/>
          <w:color w:val="231F20"/>
          <w:sz w:val="17"/>
        </w:rPr>
        <w:t>Territory, Authority, Rights. From Medieval to Global Assemblages</w:t>
      </w:r>
      <w:r>
        <w:rPr>
          <w:rFonts w:ascii="Calibri" w:hAnsi="Calibri"/>
          <w:color w:val="231F20"/>
          <w:sz w:val="17"/>
        </w:rPr>
        <w:t>, Princeton/Oxford, Princeton University Press, 2006, pp. 76–82.</w:t>
      </w:r>
    </w:p>
    <w:p>
      <w:pPr>
        <w:spacing w:before="1"/>
        <w:ind w:left="117" w:right="0" w:firstLine="0"/>
        <w:jc w:val="left"/>
        <w:rPr>
          <w:rFonts w:ascii="Calibri" w:hAnsi="Calibri"/>
          <w:sz w:val="17"/>
        </w:rPr>
      </w:pPr>
      <w:r>
        <w:rPr>
          <w:rFonts w:ascii="Calibri" w:hAnsi="Calibri"/>
          <w:color w:val="231F20"/>
          <w:position w:val="6"/>
          <w:sz w:val="10"/>
        </w:rPr>
        <w:t>54  </w:t>
      </w:r>
      <w:r>
        <w:rPr>
          <w:rFonts w:ascii="Calibri" w:hAnsi="Calibri"/>
          <w:color w:val="231F20"/>
          <w:sz w:val="17"/>
        </w:rPr>
        <w:t>R. Plant, </w:t>
      </w:r>
      <w:r>
        <w:rPr>
          <w:rFonts w:ascii="Calibri" w:hAnsi="Calibri"/>
          <w:i/>
          <w:color w:val="231F20"/>
          <w:sz w:val="17"/>
        </w:rPr>
        <w:t>The Neo</w:t>
      </w:r>
      <w:r>
        <w:rPr>
          <w:rFonts w:ascii="Calibri" w:hAnsi="Calibri"/>
          <w:color w:val="231F20"/>
          <w:sz w:val="17"/>
        </w:rPr>
        <w:t>–</w:t>
      </w:r>
      <w:r>
        <w:rPr>
          <w:rFonts w:ascii="Calibri" w:hAnsi="Calibri"/>
          <w:i/>
          <w:color w:val="231F20"/>
          <w:sz w:val="17"/>
        </w:rPr>
        <w:t>liberal State</w:t>
      </w:r>
      <w:r>
        <w:rPr>
          <w:rFonts w:ascii="Calibri" w:hAnsi="Calibri"/>
          <w:color w:val="231F20"/>
          <w:sz w:val="17"/>
        </w:rPr>
        <w:t>, Oxford, Oxford University Press, 2010.</w:t>
      </w:r>
    </w:p>
    <w:p>
      <w:pPr>
        <w:spacing w:after="0"/>
        <w:jc w:val="left"/>
        <w:rPr>
          <w:rFonts w:ascii="Calibri" w:hAnsi="Calibri"/>
          <w:sz w:val="17"/>
        </w:rPr>
        <w:sectPr>
          <w:pgSz w:w="9640" w:h="13890"/>
          <w:pgMar w:top="0" w:bottom="280" w:left="1300" w:right="1200"/>
        </w:sectPr>
      </w:pPr>
    </w:p>
    <w:p>
      <w:pPr>
        <w:pStyle w:val="BodyText"/>
        <w:spacing w:line="247" w:lineRule="auto" w:before="107"/>
        <w:ind w:left="103" w:right="115"/>
        <w:jc w:val="both"/>
      </w:pPr>
      <w:r>
        <w:rPr>
          <w:color w:val="231F20"/>
        </w:rPr>
        <w:t>narración del origen tal como aparece en el contractualismo clásico, desde Hobbes hasta Rousseau, pasando por Locke, ya no llega a indicar el mito fundacional de un Estado constituido sobre el consenso original de sus ciudadanos. No se trata de la contraposición del origen imaginario sobre</w:t>
      </w:r>
      <w:r>
        <w:rPr>
          <w:color w:val="231F20"/>
          <w:spacing w:val="-13"/>
        </w:rPr>
        <w:t> </w:t>
      </w:r>
      <w:r>
        <w:rPr>
          <w:color w:val="231F20"/>
        </w:rPr>
        <w:t>el empírico. Esas narraciones, en efecto, han desarrollado un papel histórico preciso que ha ido más allá de la crítica y del abandono de la hipótesis ló- gica del Estado de naturaleza y del contrato social. No es casual que éstas hayan</w:t>
      </w:r>
      <w:r>
        <w:rPr>
          <w:color w:val="231F20"/>
          <w:spacing w:val="-12"/>
        </w:rPr>
        <w:t> </w:t>
      </w:r>
      <w:r>
        <w:rPr>
          <w:color w:val="231F20"/>
        </w:rPr>
        <w:t>funcionado</w:t>
      </w:r>
      <w:r>
        <w:rPr>
          <w:color w:val="231F20"/>
          <w:spacing w:val="-12"/>
        </w:rPr>
        <w:t> </w:t>
      </w:r>
      <w:r>
        <w:rPr>
          <w:color w:val="231F20"/>
        </w:rPr>
        <w:t>mucho</w:t>
      </w:r>
      <w:r>
        <w:rPr>
          <w:color w:val="231F20"/>
          <w:spacing w:val="-12"/>
        </w:rPr>
        <w:t> </w:t>
      </w:r>
      <w:r>
        <w:rPr>
          <w:color w:val="231F20"/>
        </w:rPr>
        <w:t>más</w:t>
      </w:r>
      <w:r>
        <w:rPr>
          <w:color w:val="231F20"/>
          <w:spacing w:val="-12"/>
        </w:rPr>
        <w:t> </w:t>
      </w:r>
      <w:r>
        <w:rPr>
          <w:color w:val="231F20"/>
        </w:rPr>
        <w:t>allá</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países</w:t>
      </w:r>
      <w:r>
        <w:rPr>
          <w:color w:val="231F20"/>
          <w:spacing w:val="-12"/>
        </w:rPr>
        <w:t> </w:t>
      </w:r>
      <w:r>
        <w:rPr>
          <w:color w:val="231F20"/>
        </w:rPr>
        <w:t>y</w:t>
      </w:r>
      <w:r>
        <w:rPr>
          <w:color w:val="231F20"/>
          <w:spacing w:val="-12"/>
        </w:rPr>
        <w:t> </w:t>
      </w:r>
      <w:r>
        <w:rPr>
          <w:color w:val="231F20"/>
        </w:rPr>
        <w:t>las</w:t>
      </w:r>
      <w:r>
        <w:rPr>
          <w:color w:val="231F20"/>
          <w:spacing w:val="-12"/>
        </w:rPr>
        <w:t> </w:t>
      </w:r>
      <w:r>
        <w:rPr>
          <w:color w:val="231F20"/>
        </w:rPr>
        <w:t>tradiciones</w:t>
      </w:r>
      <w:r>
        <w:rPr>
          <w:color w:val="231F20"/>
          <w:spacing w:val="-12"/>
        </w:rPr>
        <w:t> </w:t>
      </w:r>
      <w:r>
        <w:rPr>
          <w:color w:val="231F20"/>
        </w:rPr>
        <w:t>que</w:t>
      </w:r>
      <w:r>
        <w:rPr>
          <w:color w:val="231F20"/>
          <w:spacing w:val="-12"/>
        </w:rPr>
        <w:t> </w:t>
      </w:r>
      <w:r>
        <w:rPr>
          <w:color w:val="231F20"/>
        </w:rPr>
        <w:t>las</w:t>
      </w:r>
      <w:r>
        <w:rPr>
          <w:color w:val="231F20"/>
          <w:spacing w:val="-12"/>
        </w:rPr>
        <w:t> </w:t>
      </w:r>
      <w:r>
        <w:rPr>
          <w:color w:val="231F20"/>
        </w:rPr>
        <w:t>ha- bían producido, porque establecían como supuesto del Estado moderno   la existencia de hombres naturalmente libres, haciendo de la libertad em- píricamente inexistente una presencia no eliminable en la fundación</w:t>
      </w:r>
      <w:r>
        <w:rPr>
          <w:color w:val="231F20"/>
          <w:spacing w:val="-39"/>
        </w:rPr>
        <w:t> </w:t>
      </w:r>
      <w:r>
        <w:rPr>
          <w:color w:val="231F20"/>
        </w:rPr>
        <w:t>misma del Estado. Justo esta presencia volvía a los individuos imaginariamente presentes en el momento de la fundación. Aparte de algunas excepciones o algunos olvidos significativos, la Antropología fundamental de la moder- nidad se basa en la existencia de un individuo naturalmente libre. Es la crisis de esta Antropología, aquella que imagina al sujeto del Estado y lo vuelve</w:t>
      </w:r>
      <w:r>
        <w:rPr>
          <w:color w:val="231F20"/>
          <w:spacing w:val="-5"/>
        </w:rPr>
        <w:t> </w:t>
      </w:r>
      <w:r>
        <w:rPr>
          <w:color w:val="231F20"/>
        </w:rPr>
        <w:t>real,</w:t>
      </w:r>
      <w:r>
        <w:rPr>
          <w:color w:val="231F20"/>
          <w:spacing w:val="-5"/>
        </w:rPr>
        <w:t> </w:t>
      </w:r>
      <w:r>
        <w:rPr>
          <w:color w:val="231F20"/>
        </w:rPr>
        <w:t>la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manifiesta</w:t>
      </w:r>
      <w:r>
        <w:rPr>
          <w:color w:val="231F20"/>
          <w:spacing w:val="-5"/>
        </w:rPr>
        <w:t> </w:t>
      </w:r>
      <w:r>
        <w:rPr>
          <w:color w:val="231F20"/>
        </w:rPr>
        <w:t>también</w:t>
      </w:r>
      <w:r>
        <w:rPr>
          <w:color w:val="231F20"/>
          <w:spacing w:val="-5"/>
        </w:rPr>
        <w:t> </w:t>
      </w:r>
      <w:r>
        <w:rPr>
          <w:color w:val="231F20"/>
        </w:rPr>
        <w:t>como</w:t>
      </w:r>
      <w:r>
        <w:rPr>
          <w:color w:val="231F20"/>
          <w:spacing w:val="-5"/>
        </w:rPr>
        <w:t> </w:t>
      </w:r>
      <w:r>
        <w:rPr>
          <w:color w:val="231F20"/>
        </w:rPr>
        <w:t>crisis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soberanía.</w:t>
      </w:r>
    </w:p>
    <w:p>
      <w:pPr>
        <w:pStyle w:val="BodyText"/>
        <w:spacing w:line="247" w:lineRule="auto"/>
        <w:ind w:left="103" w:right="115" w:firstLine="566"/>
        <w:jc w:val="both"/>
      </w:pPr>
      <w:r>
        <w:rPr>
          <w:color w:val="231F20"/>
          <w:w w:val="105"/>
        </w:rPr>
        <w:t>Por</w:t>
      </w:r>
      <w:r>
        <w:rPr>
          <w:color w:val="231F20"/>
          <w:spacing w:val="-45"/>
          <w:w w:val="105"/>
        </w:rPr>
        <w:t> </w:t>
      </w:r>
      <w:r>
        <w:rPr>
          <w:color w:val="231F20"/>
          <w:w w:val="105"/>
        </w:rPr>
        <w:t>lo</w:t>
      </w:r>
      <w:r>
        <w:rPr>
          <w:color w:val="231F20"/>
          <w:spacing w:val="-45"/>
          <w:w w:val="105"/>
        </w:rPr>
        <w:t> </w:t>
      </w:r>
      <w:r>
        <w:rPr>
          <w:color w:val="231F20"/>
          <w:w w:val="105"/>
        </w:rPr>
        <w:t>tanto</w:t>
      </w:r>
      <w:r>
        <w:rPr>
          <w:color w:val="231F20"/>
          <w:spacing w:val="-45"/>
          <w:w w:val="105"/>
        </w:rPr>
        <w:t> </w:t>
      </w:r>
      <w:r>
        <w:rPr>
          <w:color w:val="231F20"/>
          <w:w w:val="105"/>
        </w:rPr>
        <w:t>es</w:t>
      </w:r>
      <w:r>
        <w:rPr>
          <w:color w:val="231F20"/>
          <w:spacing w:val="-45"/>
          <w:w w:val="105"/>
        </w:rPr>
        <w:t> </w:t>
      </w:r>
      <w:r>
        <w:rPr>
          <w:color w:val="231F20"/>
          <w:w w:val="105"/>
        </w:rPr>
        <w:t>casualidad</w:t>
      </w:r>
      <w:r>
        <w:rPr>
          <w:color w:val="231F20"/>
          <w:spacing w:val="-45"/>
          <w:w w:val="105"/>
        </w:rPr>
        <w:t> </w:t>
      </w:r>
      <w:r>
        <w:rPr>
          <w:color w:val="231F20"/>
          <w:w w:val="105"/>
        </w:rPr>
        <w:t>que,</w:t>
      </w:r>
      <w:r>
        <w:rPr>
          <w:color w:val="231F20"/>
          <w:spacing w:val="-45"/>
          <w:w w:val="105"/>
        </w:rPr>
        <w:t> </w:t>
      </w:r>
      <w:r>
        <w:rPr>
          <w:color w:val="231F20"/>
          <w:spacing w:val="-3"/>
          <w:w w:val="105"/>
        </w:rPr>
        <w:t>frente</w:t>
      </w:r>
      <w:r>
        <w:rPr>
          <w:color w:val="231F20"/>
          <w:spacing w:val="-45"/>
          <w:w w:val="105"/>
        </w:rPr>
        <w:t> </w:t>
      </w:r>
      <w:r>
        <w:rPr>
          <w:color w:val="231F20"/>
          <w:w w:val="105"/>
        </w:rPr>
        <w:t>a</w:t>
      </w:r>
      <w:r>
        <w:rPr>
          <w:color w:val="231F20"/>
          <w:spacing w:val="-45"/>
          <w:w w:val="105"/>
        </w:rPr>
        <w:t> </w:t>
      </w:r>
      <w:r>
        <w:rPr>
          <w:color w:val="231F20"/>
          <w:w w:val="105"/>
        </w:rPr>
        <w:t>las</w:t>
      </w:r>
      <w:r>
        <w:rPr>
          <w:color w:val="231F20"/>
          <w:spacing w:val="-45"/>
          <w:w w:val="105"/>
        </w:rPr>
        <w:t> </w:t>
      </w:r>
      <w:r>
        <w:rPr>
          <w:color w:val="231F20"/>
          <w:w w:val="105"/>
        </w:rPr>
        <w:t>oscilaciones</w:t>
      </w:r>
      <w:r>
        <w:rPr>
          <w:color w:val="231F20"/>
          <w:spacing w:val="-45"/>
          <w:w w:val="105"/>
        </w:rPr>
        <w:t> </w:t>
      </w:r>
      <w:r>
        <w:rPr>
          <w:color w:val="231F20"/>
          <w:w w:val="105"/>
        </w:rPr>
        <w:t>y</w:t>
      </w:r>
      <w:r>
        <w:rPr>
          <w:color w:val="231F20"/>
          <w:spacing w:val="-45"/>
          <w:w w:val="105"/>
        </w:rPr>
        <w:t> </w:t>
      </w:r>
      <w:r>
        <w:rPr>
          <w:color w:val="231F20"/>
          <w:w w:val="105"/>
        </w:rPr>
        <w:t>las</w:t>
      </w:r>
      <w:r>
        <w:rPr>
          <w:color w:val="231F20"/>
          <w:spacing w:val="-45"/>
          <w:w w:val="105"/>
        </w:rPr>
        <w:t> </w:t>
      </w:r>
      <w:r>
        <w:rPr>
          <w:color w:val="231F20"/>
          <w:w w:val="105"/>
        </w:rPr>
        <w:t>tensiones del</w:t>
      </w:r>
      <w:r>
        <w:rPr>
          <w:color w:val="231F20"/>
          <w:spacing w:val="-29"/>
          <w:w w:val="105"/>
        </w:rPr>
        <w:t> </w:t>
      </w:r>
      <w:r>
        <w:rPr>
          <w:color w:val="231F20"/>
          <w:w w:val="105"/>
        </w:rPr>
        <w:t>concepto</w:t>
      </w:r>
      <w:r>
        <w:rPr>
          <w:color w:val="231F20"/>
          <w:spacing w:val="-29"/>
          <w:w w:val="105"/>
        </w:rPr>
        <w:t> </w:t>
      </w:r>
      <w:r>
        <w:rPr>
          <w:color w:val="231F20"/>
          <w:w w:val="105"/>
        </w:rPr>
        <w:t>de</w:t>
      </w:r>
      <w:r>
        <w:rPr>
          <w:color w:val="231F20"/>
          <w:spacing w:val="-29"/>
          <w:w w:val="105"/>
        </w:rPr>
        <w:t> </w:t>
      </w:r>
      <w:r>
        <w:rPr>
          <w:color w:val="231F20"/>
          <w:w w:val="105"/>
        </w:rPr>
        <w:t>Estado,</w:t>
      </w:r>
      <w:r>
        <w:rPr>
          <w:color w:val="231F20"/>
          <w:spacing w:val="-29"/>
          <w:w w:val="105"/>
        </w:rPr>
        <w:t> </w:t>
      </w:r>
      <w:r>
        <w:rPr>
          <w:color w:val="231F20"/>
          <w:w w:val="105"/>
        </w:rPr>
        <w:t>sean</w:t>
      </w:r>
      <w:r>
        <w:rPr>
          <w:color w:val="231F20"/>
          <w:spacing w:val="-29"/>
          <w:w w:val="105"/>
        </w:rPr>
        <w:t> </w:t>
      </w:r>
      <w:r>
        <w:rPr>
          <w:color w:val="231F20"/>
          <w:w w:val="105"/>
        </w:rPr>
        <w:t>los</w:t>
      </w:r>
      <w:r>
        <w:rPr>
          <w:color w:val="231F20"/>
          <w:spacing w:val="-29"/>
          <w:w w:val="105"/>
        </w:rPr>
        <w:t> </w:t>
      </w:r>
      <w:r>
        <w:rPr>
          <w:color w:val="231F20"/>
          <w:spacing w:val="-3"/>
          <w:w w:val="105"/>
        </w:rPr>
        <w:t>antropólogos,</w:t>
      </w:r>
      <w:r>
        <w:rPr>
          <w:color w:val="231F20"/>
          <w:spacing w:val="-29"/>
          <w:w w:val="105"/>
        </w:rPr>
        <w:t> </w:t>
      </w:r>
      <w:r>
        <w:rPr>
          <w:color w:val="231F20"/>
          <w:w w:val="105"/>
        </w:rPr>
        <w:t>los</w:t>
      </w:r>
      <w:r>
        <w:rPr>
          <w:color w:val="231F20"/>
          <w:spacing w:val="-29"/>
          <w:w w:val="105"/>
        </w:rPr>
        <w:t> </w:t>
      </w:r>
      <w:r>
        <w:rPr>
          <w:color w:val="231F20"/>
          <w:w w:val="105"/>
        </w:rPr>
        <w:t>científicos</w:t>
      </w:r>
      <w:r>
        <w:rPr>
          <w:color w:val="231F20"/>
          <w:spacing w:val="-29"/>
          <w:w w:val="105"/>
        </w:rPr>
        <w:t> </w:t>
      </w:r>
      <w:r>
        <w:rPr>
          <w:color w:val="231F20"/>
          <w:w w:val="105"/>
        </w:rPr>
        <w:t>sociales</w:t>
      </w:r>
      <w:r>
        <w:rPr>
          <w:color w:val="231F20"/>
          <w:spacing w:val="-29"/>
          <w:w w:val="105"/>
        </w:rPr>
        <w:t> </w:t>
      </w:r>
      <w:r>
        <w:rPr>
          <w:color w:val="231F20"/>
          <w:spacing w:val="-2"/>
          <w:w w:val="105"/>
        </w:rPr>
        <w:t>que </w:t>
      </w:r>
      <w:r>
        <w:rPr>
          <w:color w:val="231F20"/>
          <w:w w:val="105"/>
        </w:rPr>
        <w:t>están</w:t>
      </w:r>
      <w:r>
        <w:rPr>
          <w:color w:val="231F20"/>
          <w:spacing w:val="-33"/>
          <w:w w:val="105"/>
        </w:rPr>
        <w:t> </w:t>
      </w:r>
      <w:r>
        <w:rPr>
          <w:color w:val="231F20"/>
          <w:w w:val="105"/>
        </w:rPr>
        <w:t>más</w:t>
      </w:r>
      <w:r>
        <w:rPr>
          <w:color w:val="231F20"/>
          <w:spacing w:val="-33"/>
          <w:w w:val="105"/>
        </w:rPr>
        <w:t> </w:t>
      </w:r>
      <w:r>
        <w:rPr>
          <w:color w:val="231F20"/>
          <w:w w:val="105"/>
        </w:rPr>
        <w:t>en</w:t>
      </w:r>
      <w:r>
        <w:rPr>
          <w:color w:val="231F20"/>
          <w:spacing w:val="-33"/>
          <w:w w:val="105"/>
        </w:rPr>
        <w:t> </w:t>
      </w:r>
      <w:r>
        <w:rPr>
          <w:color w:val="231F20"/>
          <w:w w:val="105"/>
        </w:rPr>
        <w:t>contacto</w:t>
      </w:r>
      <w:r>
        <w:rPr>
          <w:color w:val="231F20"/>
          <w:spacing w:val="-33"/>
          <w:w w:val="105"/>
        </w:rPr>
        <w:t> </w:t>
      </w:r>
      <w:r>
        <w:rPr>
          <w:color w:val="231F20"/>
          <w:w w:val="105"/>
        </w:rPr>
        <w:t>con</w:t>
      </w:r>
      <w:r>
        <w:rPr>
          <w:color w:val="231F20"/>
          <w:spacing w:val="-33"/>
          <w:w w:val="105"/>
        </w:rPr>
        <w:t> </w:t>
      </w:r>
      <w:r>
        <w:rPr>
          <w:color w:val="231F20"/>
          <w:w w:val="105"/>
        </w:rPr>
        <w:t>la</w:t>
      </w:r>
      <w:r>
        <w:rPr>
          <w:color w:val="231F20"/>
          <w:spacing w:val="-33"/>
          <w:w w:val="105"/>
        </w:rPr>
        <w:t> </w:t>
      </w:r>
      <w:r>
        <w:rPr>
          <w:color w:val="231F20"/>
          <w:w w:val="105"/>
        </w:rPr>
        <w:t>experiencia</w:t>
      </w:r>
      <w:r>
        <w:rPr>
          <w:color w:val="231F20"/>
          <w:spacing w:val="-33"/>
          <w:w w:val="105"/>
        </w:rPr>
        <w:t> </w:t>
      </w:r>
      <w:r>
        <w:rPr>
          <w:color w:val="231F20"/>
          <w:w w:val="105"/>
        </w:rPr>
        <w:t>postcolonial,</w:t>
      </w:r>
      <w:r>
        <w:rPr>
          <w:color w:val="231F20"/>
          <w:spacing w:val="-33"/>
          <w:w w:val="105"/>
        </w:rPr>
        <w:t> </w:t>
      </w:r>
      <w:r>
        <w:rPr>
          <w:color w:val="231F20"/>
          <w:w w:val="105"/>
        </w:rPr>
        <w:t>quienes</w:t>
      </w:r>
      <w:r>
        <w:rPr>
          <w:color w:val="231F20"/>
          <w:spacing w:val="-33"/>
          <w:w w:val="105"/>
        </w:rPr>
        <w:t> </w:t>
      </w:r>
      <w:r>
        <w:rPr>
          <w:color w:val="231F20"/>
          <w:w w:val="105"/>
        </w:rPr>
        <w:t>se</w:t>
      </w:r>
      <w:r>
        <w:rPr>
          <w:color w:val="231F20"/>
          <w:spacing w:val="-33"/>
          <w:w w:val="105"/>
        </w:rPr>
        <w:t> </w:t>
      </w:r>
      <w:r>
        <w:rPr>
          <w:color w:val="231F20"/>
          <w:spacing w:val="-3"/>
          <w:w w:val="105"/>
        </w:rPr>
        <w:t>pregun- </w:t>
      </w:r>
      <w:r>
        <w:rPr>
          <w:color w:val="231F20"/>
          <w:w w:val="105"/>
        </w:rPr>
        <w:t>ten</w:t>
      </w:r>
      <w:r>
        <w:rPr>
          <w:color w:val="231F20"/>
          <w:spacing w:val="-12"/>
          <w:w w:val="105"/>
        </w:rPr>
        <w:t> </w:t>
      </w:r>
      <w:r>
        <w:rPr>
          <w:color w:val="231F20"/>
          <w:w w:val="105"/>
        </w:rPr>
        <w:t>“¿qué</w:t>
      </w:r>
      <w:r>
        <w:rPr>
          <w:color w:val="231F20"/>
          <w:spacing w:val="-12"/>
          <w:w w:val="105"/>
        </w:rPr>
        <w:t> </w:t>
      </w:r>
      <w:r>
        <w:rPr>
          <w:color w:val="231F20"/>
          <w:w w:val="105"/>
        </w:rPr>
        <w:t>cosa</w:t>
      </w:r>
      <w:r>
        <w:rPr>
          <w:color w:val="231F20"/>
          <w:spacing w:val="-12"/>
          <w:w w:val="105"/>
        </w:rPr>
        <w:t> </w:t>
      </w:r>
      <w:r>
        <w:rPr>
          <w:color w:val="231F20"/>
          <w:w w:val="105"/>
        </w:rPr>
        <w:t>es</w:t>
      </w:r>
      <w:r>
        <w:rPr>
          <w:color w:val="231F20"/>
          <w:spacing w:val="-12"/>
          <w:w w:val="105"/>
        </w:rPr>
        <w:t> </w:t>
      </w:r>
      <w:r>
        <w:rPr>
          <w:color w:val="231F20"/>
          <w:w w:val="105"/>
        </w:rPr>
        <w:t>un</w:t>
      </w:r>
      <w:r>
        <w:rPr>
          <w:color w:val="231F20"/>
          <w:spacing w:val="-12"/>
          <w:w w:val="105"/>
        </w:rPr>
        <w:t> </w:t>
      </w:r>
      <w:r>
        <w:rPr>
          <w:color w:val="231F20"/>
          <w:w w:val="105"/>
        </w:rPr>
        <w:t>Estado</w:t>
      </w:r>
      <w:r>
        <w:rPr>
          <w:color w:val="231F20"/>
          <w:spacing w:val="-12"/>
          <w:w w:val="105"/>
        </w:rPr>
        <w:t> </w:t>
      </w:r>
      <w:r>
        <w:rPr>
          <w:color w:val="231F20"/>
          <w:w w:val="105"/>
        </w:rPr>
        <w:t>si</w:t>
      </w:r>
      <w:r>
        <w:rPr>
          <w:color w:val="231F20"/>
          <w:spacing w:val="-12"/>
          <w:w w:val="105"/>
        </w:rPr>
        <w:t> </w:t>
      </w:r>
      <w:r>
        <w:rPr>
          <w:color w:val="231F20"/>
          <w:w w:val="105"/>
        </w:rPr>
        <w:t>no</w:t>
      </w:r>
      <w:r>
        <w:rPr>
          <w:color w:val="231F20"/>
          <w:spacing w:val="-12"/>
          <w:w w:val="105"/>
        </w:rPr>
        <w:t> </w:t>
      </w:r>
      <w:r>
        <w:rPr>
          <w:color w:val="231F20"/>
          <w:w w:val="105"/>
        </w:rPr>
        <w:t>es</w:t>
      </w:r>
      <w:r>
        <w:rPr>
          <w:color w:val="231F20"/>
          <w:spacing w:val="-12"/>
          <w:w w:val="105"/>
        </w:rPr>
        <w:t> </w:t>
      </w:r>
      <w:r>
        <w:rPr>
          <w:color w:val="231F20"/>
          <w:w w:val="105"/>
        </w:rPr>
        <w:t>soberano?”</w:t>
      </w:r>
      <w:r>
        <w:rPr>
          <w:color w:val="231F20"/>
          <w:spacing w:val="-12"/>
          <w:w w:val="105"/>
        </w:rPr>
        <w:t> </w:t>
      </w:r>
      <w:r>
        <w:rPr>
          <w:color w:val="231F20"/>
          <w:w w:val="105"/>
        </w:rPr>
        <w:t>La</w:t>
      </w:r>
      <w:r>
        <w:rPr>
          <w:color w:val="231F20"/>
          <w:spacing w:val="-12"/>
          <w:w w:val="105"/>
        </w:rPr>
        <w:t> </w:t>
      </w:r>
      <w:r>
        <w:rPr>
          <w:color w:val="231F20"/>
          <w:spacing w:val="-3"/>
          <w:w w:val="105"/>
        </w:rPr>
        <w:t>pregunta</w:t>
      </w:r>
      <w:r>
        <w:rPr>
          <w:color w:val="231F20"/>
          <w:spacing w:val="-12"/>
          <w:w w:val="105"/>
        </w:rPr>
        <w:t> </w:t>
      </w:r>
      <w:r>
        <w:rPr>
          <w:color w:val="231F20"/>
          <w:w w:val="105"/>
        </w:rPr>
        <w:t>es</w:t>
      </w:r>
      <w:r>
        <w:rPr>
          <w:color w:val="231F20"/>
          <w:spacing w:val="-12"/>
          <w:w w:val="105"/>
        </w:rPr>
        <w:t> </w:t>
      </w:r>
      <w:r>
        <w:rPr>
          <w:color w:val="231F20"/>
          <w:spacing w:val="-3"/>
          <w:w w:val="105"/>
        </w:rPr>
        <w:t>urgente </w:t>
      </w:r>
      <w:r>
        <w:rPr>
          <w:color w:val="231F20"/>
          <w:w w:val="105"/>
        </w:rPr>
        <w:t>justo</w:t>
      </w:r>
      <w:r>
        <w:rPr>
          <w:color w:val="231F20"/>
          <w:spacing w:val="-31"/>
          <w:w w:val="105"/>
        </w:rPr>
        <w:t> </w:t>
      </w:r>
      <w:r>
        <w:rPr>
          <w:color w:val="231F20"/>
          <w:w w:val="105"/>
        </w:rPr>
        <w:t>en</w:t>
      </w:r>
      <w:r>
        <w:rPr>
          <w:color w:val="231F20"/>
          <w:spacing w:val="-31"/>
          <w:w w:val="105"/>
        </w:rPr>
        <w:t> </w:t>
      </w:r>
      <w:r>
        <w:rPr>
          <w:color w:val="231F20"/>
          <w:w w:val="105"/>
        </w:rPr>
        <w:t>aquellos</w:t>
      </w:r>
      <w:r>
        <w:rPr>
          <w:color w:val="231F20"/>
          <w:spacing w:val="-31"/>
          <w:w w:val="105"/>
        </w:rPr>
        <w:t> </w:t>
      </w:r>
      <w:r>
        <w:rPr>
          <w:color w:val="231F20"/>
          <w:w w:val="105"/>
        </w:rPr>
        <w:t>Estados</w:t>
      </w:r>
      <w:r>
        <w:rPr>
          <w:color w:val="231F20"/>
          <w:spacing w:val="-31"/>
          <w:w w:val="105"/>
        </w:rPr>
        <w:t> </w:t>
      </w:r>
      <w:r>
        <w:rPr>
          <w:color w:val="231F20"/>
          <w:w w:val="105"/>
        </w:rPr>
        <w:t>a</w:t>
      </w:r>
      <w:r>
        <w:rPr>
          <w:color w:val="231F20"/>
          <w:spacing w:val="-31"/>
          <w:w w:val="105"/>
        </w:rPr>
        <w:t> </w:t>
      </w:r>
      <w:r>
        <w:rPr>
          <w:color w:val="231F20"/>
          <w:w w:val="105"/>
        </w:rPr>
        <w:t>los</w:t>
      </w:r>
      <w:r>
        <w:rPr>
          <w:color w:val="231F20"/>
          <w:spacing w:val="-31"/>
          <w:w w:val="105"/>
        </w:rPr>
        <w:t> </w:t>
      </w:r>
      <w:r>
        <w:rPr>
          <w:color w:val="231F20"/>
          <w:w w:val="105"/>
        </w:rPr>
        <w:t>cuales</w:t>
      </w:r>
      <w:r>
        <w:rPr>
          <w:color w:val="231F20"/>
          <w:spacing w:val="-31"/>
          <w:w w:val="105"/>
        </w:rPr>
        <w:t> </w:t>
      </w:r>
      <w:r>
        <w:rPr>
          <w:color w:val="231F20"/>
          <w:spacing w:val="-3"/>
          <w:w w:val="105"/>
        </w:rPr>
        <w:t>siempre</w:t>
      </w:r>
      <w:r>
        <w:rPr>
          <w:color w:val="231F20"/>
          <w:spacing w:val="-31"/>
          <w:w w:val="105"/>
        </w:rPr>
        <w:t> </w:t>
      </w:r>
      <w:r>
        <w:rPr>
          <w:color w:val="231F20"/>
          <w:w w:val="105"/>
        </w:rPr>
        <w:t>se</w:t>
      </w:r>
      <w:r>
        <w:rPr>
          <w:color w:val="231F20"/>
          <w:spacing w:val="-31"/>
          <w:w w:val="105"/>
        </w:rPr>
        <w:t> </w:t>
      </w:r>
      <w:r>
        <w:rPr>
          <w:color w:val="231F20"/>
          <w:w w:val="105"/>
        </w:rPr>
        <w:t>les</w:t>
      </w:r>
      <w:r>
        <w:rPr>
          <w:color w:val="231F20"/>
          <w:spacing w:val="-31"/>
          <w:w w:val="105"/>
        </w:rPr>
        <w:t> </w:t>
      </w:r>
      <w:r>
        <w:rPr>
          <w:color w:val="231F20"/>
          <w:spacing w:val="-3"/>
          <w:w w:val="105"/>
        </w:rPr>
        <w:t>reprocha</w:t>
      </w:r>
      <w:r>
        <w:rPr>
          <w:color w:val="231F20"/>
          <w:spacing w:val="-31"/>
          <w:w w:val="105"/>
        </w:rPr>
        <w:t> </w:t>
      </w:r>
      <w:r>
        <w:rPr>
          <w:color w:val="231F20"/>
          <w:w w:val="105"/>
        </w:rPr>
        <w:t>un</w:t>
      </w:r>
      <w:r>
        <w:rPr>
          <w:color w:val="231F20"/>
          <w:spacing w:val="-31"/>
          <w:w w:val="105"/>
        </w:rPr>
        <w:t> </w:t>
      </w:r>
      <w:r>
        <w:rPr>
          <w:color w:val="231F20"/>
          <w:w w:val="105"/>
        </w:rPr>
        <w:t>déficit</w:t>
      </w:r>
      <w:r>
        <w:rPr>
          <w:color w:val="231F20"/>
          <w:spacing w:val="-31"/>
          <w:w w:val="105"/>
        </w:rPr>
        <w:t> </w:t>
      </w:r>
      <w:r>
        <w:rPr>
          <w:color w:val="231F20"/>
          <w:w w:val="105"/>
        </w:rPr>
        <w:t>de estatalidad</w:t>
      </w:r>
      <w:r>
        <w:rPr>
          <w:color w:val="231F20"/>
          <w:spacing w:val="-39"/>
          <w:w w:val="105"/>
        </w:rPr>
        <w:t> </w:t>
      </w:r>
      <w:r>
        <w:rPr>
          <w:color w:val="231F20"/>
          <w:w w:val="105"/>
        </w:rPr>
        <w:t>ya</w:t>
      </w:r>
      <w:r>
        <w:rPr>
          <w:color w:val="231F20"/>
          <w:spacing w:val="-39"/>
          <w:w w:val="105"/>
        </w:rPr>
        <w:t> </w:t>
      </w:r>
      <w:r>
        <w:rPr>
          <w:color w:val="231F20"/>
          <w:w w:val="105"/>
        </w:rPr>
        <w:t>sea</w:t>
      </w:r>
      <w:r>
        <w:rPr>
          <w:color w:val="231F20"/>
          <w:spacing w:val="-39"/>
          <w:w w:val="105"/>
        </w:rPr>
        <w:t> </w:t>
      </w:r>
      <w:r>
        <w:rPr>
          <w:color w:val="231F20"/>
          <w:w w:val="105"/>
        </w:rPr>
        <w:t>desde</w:t>
      </w:r>
      <w:r>
        <w:rPr>
          <w:color w:val="231F20"/>
          <w:spacing w:val="-39"/>
          <w:w w:val="105"/>
        </w:rPr>
        <w:t> </w:t>
      </w:r>
      <w:r>
        <w:rPr>
          <w:color w:val="231F20"/>
          <w:w w:val="105"/>
        </w:rPr>
        <w:t>el</w:t>
      </w:r>
      <w:r>
        <w:rPr>
          <w:color w:val="231F20"/>
          <w:spacing w:val="-39"/>
          <w:w w:val="105"/>
        </w:rPr>
        <w:t> </w:t>
      </w:r>
      <w:r>
        <w:rPr>
          <w:color w:val="231F20"/>
          <w:w w:val="105"/>
        </w:rPr>
        <w:t>punto</w:t>
      </w:r>
      <w:r>
        <w:rPr>
          <w:color w:val="231F20"/>
          <w:spacing w:val="-39"/>
          <w:w w:val="105"/>
        </w:rPr>
        <w:t> </w:t>
      </w:r>
      <w:r>
        <w:rPr>
          <w:color w:val="231F20"/>
          <w:w w:val="105"/>
        </w:rPr>
        <w:t>de</w:t>
      </w:r>
      <w:r>
        <w:rPr>
          <w:color w:val="231F20"/>
          <w:spacing w:val="-39"/>
          <w:w w:val="105"/>
        </w:rPr>
        <w:t> </w:t>
      </w:r>
      <w:r>
        <w:rPr>
          <w:color w:val="231F20"/>
          <w:w w:val="105"/>
        </w:rPr>
        <w:t>vista</w:t>
      </w:r>
      <w:r>
        <w:rPr>
          <w:color w:val="231F20"/>
          <w:spacing w:val="-39"/>
          <w:w w:val="105"/>
        </w:rPr>
        <w:t> </w:t>
      </w:r>
      <w:r>
        <w:rPr>
          <w:color w:val="231F20"/>
          <w:w w:val="105"/>
        </w:rPr>
        <w:t>de</w:t>
      </w:r>
      <w:r>
        <w:rPr>
          <w:color w:val="231F20"/>
          <w:spacing w:val="-39"/>
          <w:w w:val="105"/>
        </w:rPr>
        <w:t> </w:t>
      </w:r>
      <w:r>
        <w:rPr>
          <w:color w:val="231F20"/>
          <w:w w:val="105"/>
        </w:rPr>
        <w:t>la</w:t>
      </w:r>
      <w:r>
        <w:rPr>
          <w:color w:val="231F20"/>
          <w:spacing w:val="-39"/>
          <w:w w:val="105"/>
        </w:rPr>
        <w:t> </w:t>
      </w:r>
      <w:r>
        <w:rPr>
          <w:color w:val="231F20"/>
          <w:spacing w:val="-3"/>
          <w:w w:val="105"/>
        </w:rPr>
        <w:t>organización</w:t>
      </w:r>
      <w:r>
        <w:rPr>
          <w:color w:val="231F20"/>
          <w:spacing w:val="-39"/>
          <w:w w:val="105"/>
        </w:rPr>
        <w:t> </w:t>
      </w:r>
      <w:r>
        <w:rPr>
          <w:color w:val="231F20"/>
          <w:w w:val="105"/>
        </w:rPr>
        <w:t>administrativa e</w:t>
      </w:r>
      <w:r>
        <w:rPr>
          <w:color w:val="231F20"/>
          <w:spacing w:val="-34"/>
          <w:w w:val="105"/>
        </w:rPr>
        <w:t> </w:t>
      </w:r>
      <w:r>
        <w:rPr>
          <w:color w:val="231F20"/>
          <w:w w:val="105"/>
        </w:rPr>
        <w:t>institucional</w:t>
      </w:r>
      <w:r>
        <w:rPr>
          <w:color w:val="231F20"/>
          <w:spacing w:val="-34"/>
          <w:w w:val="105"/>
        </w:rPr>
        <w:t> </w:t>
      </w:r>
      <w:r>
        <w:rPr>
          <w:color w:val="231F20"/>
          <w:w w:val="105"/>
        </w:rPr>
        <w:t>que</w:t>
      </w:r>
      <w:r>
        <w:rPr>
          <w:color w:val="231F20"/>
          <w:spacing w:val="-34"/>
          <w:w w:val="105"/>
        </w:rPr>
        <w:t> </w:t>
      </w:r>
      <w:r>
        <w:rPr>
          <w:color w:val="231F20"/>
          <w:w w:val="105"/>
        </w:rPr>
        <w:t>desde</w:t>
      </w:r>
      <w:r>
        <w:rPr>
          <w:color w:val="231F20"/>
          <w:spacing w:val="-34"/>
          <w:w w:val="105"/>
        </w:rPr>
        <w:t> </w:t>
      </w:r>
      <w:r>
        <w:rPr>
          <w:color w:val="231F20"/>
          <w:w w:val="105"/>
        </w:rPr>
        <w:t>el</w:t>
      </w:r>
      <w:r>
        <w:rPr>
          <w:color w:val="231F20"/>
          <w:spacing w:val="-34"/>
          <w:w w:val="105"/>
        </w:rPr>
        <w:t> </w:t>
      </w:r>
      <w:r>
        <w:rPr>
          <w:color w:val="231F20"/>
          <w:w w:val="105"/>
        </w:rPr>
        <w:t>económico.</w:t>
      </w:r>
      <w:r>
        <w:rPr>
          <w:color w:val="231F20"/>
          <w:spacing w:val="-34"/>
          <w:w w:val="105"/>
        </w:rPr>
        <w:t> </w:t>
      </w:r>
      <w:r>
        <w:rPr>
          <w:color w:val="231F20"/>
          <w:w w:val="105"/>
        </w:rPr>
        <w:t>La</w:t>
      </w:r>
      <w:r>
        <w:rPr>
          <w:color w:val="231F20"/>
          <w:spacing w:val="-34"/>
          <w:w w:val="105"/>
        </w:rPr>
        <w:t> </w:t>
      </w:r>
      <w:r>
        <w:rPr>
          <w:color w:val="231F20"/>
          <w:spacing w:val="-3"/>
          <w:w w:val="105"/>
        </w:rPr>
        <w:t>pregunta</w:t>
      </w:r>
      <w:r>
        <w:rPr>
          <w:color w:val="231F20"/>
          <w:spacing w:val="-34"/>
          <w:w w:val="105"/>
        </w:rPr>
        <w:t> </w:t>
      </w:r>
      <w:r>
        <w:rPr>
          <w:color w:val="231F20"/>
          <w:w w:val="105"/>
        </w:rPr>
        <w:t>formulada</w:t>
      </w:r>
      <w:r>
        <w:rPr>
          <w:color w:val="231F20"/>
          <w:spacing w:val="-34"/>
          <w:w w:val="105"/>
        </w:rPr>
        <w:t> </w:t>
      </w:r>
      <w:r>
        <w:rPr>
          <w:color w:val="231F20"/>
          <w:w w:val="105"/>
        </w:rPr>
        <w:t>por</w:t>
      </w:r>
      <w:r>
        <w:rPr>
          <w:color w:val="231F20"/>
          <w:spacing w:val="-34"/>
          <w:w w:val="105"/>
        </w:rPr>
        <w:t> </w:t>
      </w:r>
      <w:r>
        <w:rPr>
          <w:color w:val="231F20"/>
          <w:spacing w:val="-3"/>
          <w:w w:val="105"/>
        </w:rPr>
        <w:t>Clifford </w:t>
      </w:r>
      <w:r>
        <w:rPr>
          <w:color w:val="231F20"/>
          <w:w w:val="105"/>
        </w:rPr>
        <w:t>Geertz</w:t>
      </w:r>
      <w:r>
        <w:rPr>
          <w:color w:val="231F20"/>
          <w:spacing w:val="-12"/>
          <w:w w:val="105"/>
        </w:rPr>
        <w:t> </w:t>
      </w:r>
      <w:r>
        <w:rPr>
          <w:color w:val="231F20"/>
          <w:w w:val="105"/>
        </w:rPr>
        <w:t>no</w:t>
      </w:r>
      <w:r>
        <w:rPr>
          <w:color w:val="231F20"/>
          <w:spacing w:val="-12"/>
          <w:w w:val="105"/>
        </w:rPr>
        <w:t> </w:t>
      </w:r>
      <w:r>
        <w:rPr>
          <w:color w:val="231F20"/>
          <w:w w:val="105"/>
        </w:rPr>
        <w:t>vale</w:t>
      </w:r>
      <w:r>
        <w:rPr>
          <w:color w:val="231F20"/>
          <w:spacing w:val="-12"/>
          <w:w w:val="105"/>
        </w:rPr>
        <w:t> </w:t>
      </w:r>
      <w:r>
        <w:rPr>
          <w:color w:val="231F20"/>
          <w:w w:val="105"/>
        </w:rPr>
        <w:t>sólo</w:t>
      </w:r>
      <w:r>
        <w:rPr>
          <w:color w:val="231F20"/>
          <w:spacing w:val="-12"/>
          <w:w w:val="105"/>
        </w:rPr>
        <w:t> </w:t>
      </w:r>
      <w:r>
        <w:rPr>
          <w:color w:val="231F20"/>
          <w:w w:val="105"/>
        </w:rPr>
        <w:t>para</w:t>
      </w:r>
      <w:r>
        <w:rPr>
          <w:color w:val="231F20"/>
          <w:spacing w:val="-12"/>
          <w:w w:val="105"/>
        </w:rPr>
        <w:t> </w:t>
      </w:r>
      <w:r>
        <w:rPr>
          <w:color w:val="231F20"/>
          <w:w w:val="105"/>
        </w:rPr>
        <w:t>aquellos</w:t>
      </w:r>
      <w:r>
        <w:rPr>
          <w:color w:val="231F20"/>
          <w:spacing w:val="-12"/>
          <w:w w:val="105"/>
        </w:rPr>
        <w:t> </w:t>
      </w:r>
      <w:r>
        <w:rPr>
          <w:color w:val="231F20"/>
          <w:w w:val="105"/>
        </w:rPr>
        <w:t>que</w:t>
      </w:r>
      <w:r>
        <w:rPr>
          <w:color w:val="231F20"/>
          <w:spacing w:val="-12"/>
          <w:w w:val="105"/>
        </w:rPr>
        <w:t> </w:t>
      </w:r>
      <w:r>
        <w:rPr>
          <w:color w:val="231F20"/>
          <w:w w:val="105"/>
        </w:rPr>
        <w:t>él</w:t>
      </w:r>
      <w:r>
        <w:rPr>
          <w:color w:val="231F20"/>
          <w:spacing w:val="-12"/>
          <w:w w:val="105"/>
        </w:rPr>
        <w:t> </w:t>
      </w:r>
      <w:r>
        <w:rPr>
          <w:color w:val="231F20"/>
          <w:w w:val="105"/>
        </w:rPr>
        <w:t>llama</w:t>
      </w:r>
      <w:r>
        <w:rPr>
          <w:color w:val="231F20"/>
          <w:spacing w:val="-12"/>
          <w:w w:val="105"/>
        </w:rPr>
        <w:t> </w:t>
      </w:r>
      <w:r>
        <w:rPr>
          <w:color w:val="231F20"/>
          <w:spacing w:val="-3"/>
          <w:w w:val="105"/>
        </w:rPr>
        <w:t>“lugares</w:t>
      </w:r>
      <w:r>
        <w:rPr>
          <w:color w:val="231F20"/>
          <w:spacing w:val="-12"/>
          <w:w w:val="105"/>
        </w:rPr>
        <w:t> </w:t>
      </w:r>
      <w:r>
        <w:rPr>
          <w:color w:val="231F20"/>
          <w:w w:val="105"/>
        </w:rPr>
        <w:t>complicados”,</w:t>
      </w:r>
      <w:r>
        <w:rPr>
          <w:color w:val="231F20"/>
          <w:spacing w:val="-12"/>
          <w:w w:val="105"/>
        </w:rPr>
        <w:t> </w:t>
      </w:r>
      <w:r>
        <w:rPr>
          <w:color w:val="231F20"/>
          <w:w w:val="105"/>
        </w:rPr>
        <w:t>es </w:t>
      </w:r>
      <w:r>
        <w:rPr>
          <w:color w:val="231F20"/>
          <w:spacing w:val="-5"/>
          <w:w w:val="105"/>
        </w:rPr>
        <w:t>decir,</w:t>
      </w:r>
      <w:r>
        <w:rPr>
          <w:color w:val="231F20"/>
          <w:spacing w:val="-28"/>
          <w:w w:val="105"/>
        </w:rPr>
        <w:t> </w:t>
      </w:r>
      <w:r>
        <w:rPr>
          <w:color w:val="231F20"/>
          <w:w w:val="105"/>
        </w:rPr>
        <w:t>no</w:t>
      </w:r>
      <w:r>
        <w:rPr>
          <w:color w:val="231F20"/>
          <w:spacing w:val="-28"/>
          <w:w w:val="105"/>
        </w:rPr>
        <w:t> </w:t>
      </w:r>
      <w:r>
        <w:rPr>
          <w:color w:val="231F20"/>
          <w:w w:val="105"/>
        </w:rPr>
        <w:t>sólo</w:t>
      </w:r>
      <w:r>
        <w:rPr>
          <w:color w:val="231F20"/>
          <w:spacing w:val="-28"/>
          <w:w w:val="105"/>
        </w:rPr>
        <w:t> </w:t>
      </w:r>
      <w:r>
        <w:rPr>
          <w:color w:val="231F20"/>
          <w:w w:val="105"/>
        </w:rPr>
        <w:t>para</w:t>
      </w:r>
      <w:r>
        <w:rPr>
          <w:color w:val="231F20"/>
          <w:spacing w:val="-28"/>
          <w:w w:val="105"/>
        </w:rPr>
        <w:t> </w:t>
      </w:r>
      <w:r>
        <w:rPr>
          <w:color w:val="231F20"/>
          <w:w w:val="105"/>
        </w:rPr>
        <w:t>los</w:t>
      </w:r>
      <w:r>
        <w:rPr>
          <w:color w:val="231F20"/>
          <w:spacing w:val="-28"/>
          <w:w w:val="105"/>
        </w:rPr>
        <w:t> </w:t>
      </w:r>
      <w:r>
        <w:rPr>
          <w:color w:val="231F20"/>
          <w:w w:val="105"/>
        </w:rPr>
        <w:t>Estados</w:t>
      </w:r>
      <w:r>
        <w:rPr>
          <w:color w:val="231F20"/>
          <w:spacing w:val="-28"/>
          <w:w w:val="105"/>
        </w:rPr>
        <w:t> </w:t>
      </w:r>
      <w:r>
        <w:rPr>
          <w:color w:val="231F20"/>
          <w:w w:val="105"/>
        </w:rPr>
        <w:t>de</w:t>
      </w:r>
      <w:r>
        <w:rPr>
          <w:color w:val="231F20"/>
          <w:spacing w:val="-28"/>
          <w:w w:val="105"/>
        </w:rPr>
        <w:t> </w:t>
      </w:r>
      <w:r>
        <w:rPr>
          <w:color w:val="231F20"/>
          <w:w w:val="105"/>
        </w:rPr>
        <w:t>Asia</w:t>
      </w:r>
      <w:r>
        <w:rPr>
          <w:color w:val="231F20"/>
          <w:spacing w:val="-28"/>
          <w:w w:val="105"/>
        </w:rPr>
        <w:t> </w:t>
      </w:r>
      <w:r>
        <w:rPr>
          <w:color w:val="231F20"/>
          <w:w w:val="105"/>
        </w:rPr>
        <w:t>y</w:t>
      </w:r>
      <w:r>
        <w:rPr>
          <w:color w:val="231F20"/>
          <w:spacing w:val="-28"/>
          <w:w w:val="105"/>
        </w:rPr>
        <w:t> </w:t>
      </w:r>
      <w:r>
        <w:rPr>
          <w:color w:val="231F20"/>
          <w:w w:val="105"/>
        </w:rPr>
        <w:t>África</w:t>
      </w:r>
      <w:r>
        <w:rPr>
          <w:color w:val="231F20"/>
          <w:spacing w:val="-28"/>
          <w:w w:val="105"/>
        </w:rPr>
        <w:t> </w:t>
      </w:r>
      <w:r>
        <w:rPr>
          <w:color w:val="231F20"/>
          <w:w w:val="105"/>
        </w:rPr>
        <w:t>que</w:t>
      </w:r>
      <w:r>
        <w:rPr>
          <w:color w:val="231F20"/>
          <w:spacing w:val="-28"/>
          <w:w w:val="105"/>
        </w:rPr>
        <w:t> </w:t>
      </w:r>
      <w:r>
        <w:rPr>
          <w:color w:val="231F20"/>
          <w:w w:val="105"/>
        </w:rPr>
        <w:t>en</w:t>
      </w:r>
      <w:r>
        <w:rPr>
          <w:color w:val="231F20"/>
          <w:spacing w:val="-28"/>
          <w:w w:val="105"/>
        </w:rPr>
        <w:t> </w:t>
      </w:r>
      <w:r>
        <w:rPr>
          <w:color w:val="231F20"/>
          <w:w w:val="105"/>
        </w:rPr>
        <w:t>los</w:t>
      </w:r>
      <w:r>
        <w:rPr>
          <w:color w:val="231F20"/>
          <w:spacing w:val="-28"/>
          <w:w w:val="105"/>
        </w:rPr>
        <w:t> </w:t>
      </w:r>
      <w:r>
        <w:rPr>
          <w:color w:val="231F20"/>
          <w:w w:val="105"/>
        </w:rPr>
        <w:t>años</w:t>
      </w:r>
      <w:r>
        <w:rPr>
          <w:color w:val="231F20"/>
          <w:spacing w:val="-28"/>
          <w:w w:val="105"/>
        </w:rPr>
        <w:t> </w:t>
      </w:r>
      <w:r>
        <w:rPr>
          <w:color w:val="231F20"/>
          <w:w w:val="105"/>
        </w:rPr>
        <w:t>cincuenta</w:t>
      </w:r>
      <w:r>
        <w:rPr>
          <w:color w:val="231F20"/>
          <w:spacing w:val="-28"/>
          <w:w w:val="105"/>
        </w:rPr>
        <w:t> </w:t>
      </w:r>
      <w:r>
        <w:rPr>
          <w:color w:val="231F20"/>
          <w:w w:val="105"/>
        </w:rPr>
        <w:t>y sesenta</w:t>
      </w:r>
      <w:r>
        <w:rPr>
          <w:color w:val="231F20"/>
          <w:spacing w:val="-26"/>
          <w:w w:val="105"/>
        </w:rPr>
        <w:t> </w:t>
      </w:r>
      <w:r>
        <w:rPr>
          <w:color w:val="231F20"/>
          <w:spacing w:val="-3"/>
          <w:w w:val="105"/>
        </w:rPr>
        <w:t>atravesaron</w:t>
      </w:r>
      <w:r>
        <w:rPr>
          <w:color w:val="231F20"/>
          <w:spacing w:val="-26"/>
          <w:w w:val="105"/>
        </w:rPr>
        <w:t> </w:t>
      </w:r>
      <w:r>
        <w:rPr>
          <w:color w:val="231F20"/>
          <w:w w:val="105"/>
        </w:rPr>
        <w:t>por</w:t>
      </w:r>
      <w:r>
        <w:rPr>
          <w:color w:val="231F20"/>
          <w:spacing w:val="-26"/>
          <w:w w:val="105"/>
        </w:rPr>
        <w:t> </w:t>
      </w:r>
      <w:r>
        <w:rPr>
          <w:color w:val="231F20"/>
          <w:w w:val="105"/>
        </w:rPr>
        <w:t>los</w:t>
      </w:r>
      <w:r>
        <w:rPr>
          <w:color w:val="231F20"/>
          <w:spacing w:val="-26"/>
          <w:w w:val="105"/>
        </w:rPr>
        <w:t> </w:t>
      </w:r>
      <w:r>
        <w:rPr>
          <w:color w:val="231F20"/>
          <w:spacing w:val="-3"/>
          <w:w w:val="105"/>
        </w:rPr>
        <w:t>procesos</w:t>
      </w:r>
      <w:r>
        <w:rPr>
          <w:color w:val="231F20"/>
          <w:spacing w:val="-26"/>
          <w:w w:val="105"/>
        </w:rPr>
        <w:t> </w:t>
      </w:r>
      <w:r>
        <w:rPr>
          <w:color w:val="231F20"/>
          <w:w w:val="105"/>
        </w:rPr>
        <w:t>de</w:t>
      </w:r>
      <w:r>
        <w:rPr>
          <w:color w:val="231F20"/>
          <w:spacing w:val="-26"/>
          <w:w w:val="105"/>
        </w:rPr>
        <w:t> </w:t>
      </w:r>
      <w:r>
        <w:rPr>
          <w:color w:val="231F20"/>
          <w:w w:val="105"/>
        </w:rPr>
        <w:t>descolonización,</w:t>
      </w:r>
      <w:r>
        <w:rPr>
          <w:color w:val="231F20"/>
          <w:spacing w:val="-26"/>
          <w:w w:val="105"/>
        </w:rPr>
        <w:t> </w:t>
      </w:r>
      <w:r>
        <w:rPr>
          <w:color w:val="231F20"/>
          <w:w w:val="105"/>
        </w:rPr>
        <w:t>con</w:t>
      </w:r>
      <w:r>
        <w:rPr>
          <w:color w:val="231F20"/>
          <w:spacing w:val="-26"/>
          <w:w w:val="105"/>
        </w:rPr>
        <w:t> </w:t>
      </w:r>
      <w:r>
        <w:rPr>
          <w:color w:val="231F20"/>
          <w:w w:val="105"/>
        </w:rPr>
        <w:t>el</w:t>
      </w:r>
      <w:r>
        <w:rPr>
          <w:color w:val="231F20"/>
          <w:spacing w:val="-26"/>
          <w:w w:val="105"/>
        </w:rPr>
        <w:t> </w:t>
      </w:r>
      <w:r>
        <w:rPr>
          <w:color w:val="231F20"/>
          <w:spacing w:val="-3"/>
          <w:w w:val="105"/>
        </w:rPr>
        <w:t>problema </w:t>
      </w:r>
      <w:r>
        <w:rPr>
          <w:color w:val="231F20"/>
        </w:rPr>
        <w:t>de</w:t>
      </w:r>
      <w:r>
        <w:rPr>
          <w:color w:val="231F20"/>
          <w:spacing w:val="-11"/>
        </w:rPr>
        <w:t> </w:t>
      </w:r>
      <w:r>
        <w:rPr>
          <w:color w:val="231F20"/>
        </w:rPr>
        <w:t>gobernar</w:t>
      </w:r>
      <w:r>
        <w:rPr>
          <w:color w:val="231F20"/>
          <w:spacing w:val="-11"/>
        </w:rPr>
        <w:t> </w:t>
      </w:r>
      <w:r>
        <w:rPr>
          <w:color w:val="231F20"/>
        </w:rPr>
        <w:t>una</w:t>
      </w:r>
      <w:r>
        <w:rPr>
          <w:color w:val="231F20"/>
          <w:spacing w:val="-11"/>
        </w:rPr>
        <w:t> </w:t>
      </w:r>
      <w:r>
        <w:rPr>
          <w:color w:val="231F20"/>
        </w:rPr>
        <w:t>estructura</w:t>
      </w:r>
      <w:r>
        <w:rPr>
          <w:color w:val="231F20"/>
          <w:spacing w:val="-11"/>
        </w:rPr>
        <w:t> </w:t>
      </w:r>
      <w:r>
        <w:rPr>
          <w:color w:val="231F20"/>
        </w:rPr>
        <w:t>social</w:t>
      </w:r>
      <w:r>
        <w:rPr>
          <w:color w:val="231F20"/>
          <w:spacing w:val="-11"/>
        </w:rPr>
        <w:t> </w:t>
      </w:r>
      <w:r>
        <w:rPr>
          <w:color w:val="231F20"/>
          <w:spacing w:val="-3"/>
        </w:rPr>
        <w:t>frecuentemente</w:t>
      </w:r>
      <w:r>
        <w:rPr>
          <w:color w:val="231F20"/>
          <w:spacing w:val="-11"/>
        </w:rPr>
        <w:t> </w:t>
      </w:r>
      <w:r>
        <w:rPr>
          <w:color w:val="231F20"/>
        </w:rPr>
        <w:t>multiétnica,</w:t>
      </w:r>
      <w:r>
        <w:rPr>
          <w:color w:val="231F20"/>
          <w:spacing w:val="-11"/>
        </w:rPr>
        <w:t> </w:t>
      </w:r>
      <w:r>
        <w:rPr>
          <w:color w:val="231F20"/>
        </w:rPr>
        <w:t>multilingüís- </w:t>
      </w:r>
      <w:r>
        <w:rPr>
          <w:color w:val="231F20"/>
          <w:w w:val="105"/>
        </w:rPr>
        <w:t>tica</w:t>
      </w:r>
      <w:r>
        <w:rPr>
          <w:color w:val="231F20"/>
          <w:spacing w:val="-13"/>
          <w:w w:val="105"/>
        </w:rPr>
        <w:t> </w:t>
      </w:r>
      <w:r>
        <w:rPr>
          <w:color w:val="231F20"/>
          <w:w w:val="105"/>
        </w:rPr>
        <w:t>y</w:t>
      </w:r>
      <w:r>
        <w:rPr>
          <w:color w:val="231F20"/>
          <w:spacing w:val="-13"/>
          <w:w w:val="105"/>
        </w:rPr>
        <w:t> </w:t>
      </w:r>
      <w:r>
        <w:rPr>
          <w:color w:val="231F20"/>
          <w:w w:val="105"/>
        </w:rPr>
        <w:t>multireligiosa.</w:t>
      </w:r>
      <w:r>
        <w:rPr>
          <w:color w:val="231F20"/>
          <w:spacing w:val="-13"/>
          <w:w w:val="105"/>
        </w:rPr>
        <w:t> </w:t>
      </w:r>
      <w:r>
        <w:rPr>
          <w:color w:val="231F20"/>
          <w:w w:val="105"/>
        </w:rPr>
        <w:t>El</w:t>
      </w:r>
      <w:r>
        <w:rPr>
          <w:color w:val="231F20"/>
          <w:spacing w:val="-13"/>
          <w:w w:val="105"/>
        </w:rPr>
        <w:t> </w:t>
      </w:r>
      <w:r>
        <w:rPr>
          <w:color w:val="231F20"/>
          <w:spacing w:val="-3"/>
          <w:w w:val="105"/>
        </w:rPr>
        <w:t>proyecto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spacing w:val="-3"/>
          <w:w w:val="105"/>
        </w:rPr>
        <w:t>Antropología</w:t>
      </w:r>
      <w:r>
        <w:rPr>
          <w:color w:val="231F20"/>
          <w:spacing w:val="-13"/>
          <w:w w:val="105"/>
        </w:rPr>
        <w:t> </w:t>
      </w:r>
      <w:r>
        <w:rPr>
          <w:color w:val="231F20"/>
          <w:w w:val="105"/>
        </w:rPr>
        <w:t>del</w:t>
      </w:r>
      <w:r>
        <w:rPr>
          <w:color w:val="231F20"/>
          <w:spacing w:val="-13"/>
          <w:w w:val="105"/>
        </w:rPr>
        <w:t> </w:t>
      </w:r>
      <w:r>
        <w:rPr>
          <w:color w:val="231F20"/>
          <w:w w:val="105"/>
        </w:rPr>
        <w:t>Estado</w:t>
      </w:r>
      <w:r>
        <w:rPr>
          <w:color w:val="231F20"/>
          <w:spacing w:val="-13"/>
          <w:w w:val="105"/>
        </w:rPr>
        <w:t> </w:t>
      </w:r>
      <w:r>
        <w:rPr>
          <w:color w:val="231F20"/>
          <w:w w:val="105"/>
        </w:rPr>
        <w:t>indica</w:t>
      </w:r>
      <w:r>
        <w:rPr>
          <w:color w:val="231F20"/>
          <w:spacing w:val="-13"/>
          <w:w w:val="105"/>
        </w:rPr>
        <w:t> </w:t>
      </w:r>
      <w:r>
        <w:rPr>
          <w:color w:val="231F20"/>
          <w:spacing w:val="-2"/>
          <w:w w:val="105"/>
        </w:rPr>
        <w:t>una </w:t>
      </w:r>
      <w:r>
        <w:rPr>
          <w:color w:val="231F20"/>
          <w:spacing w:val="-3"/>
          <w:w w:val="105"/>
        </w:rPr>
        <w:t>aproximación</w:t>
      </w:r>
      <w:r>
        <w:rPr>
          <w:color w:val="231F20"/>
          <w:spacing w:val="-28"/>
          <w:w w:val="105"/>
        </w:rPr>
        <w:t> </w:t>
      </w:r>
      <w:r>
        <w:rPr>
          <w:color w:val="231F20"/>
          <w:w w:val="105"/>
        </w:rPr>
        <w:t>que</w:t>
      </w:r>
      <w:r>
        <w:rPr>
          <w:color w:val="231F20"/>
          <w:spacing w:val="-28"/>
          <w:w w:val="105"/>
        </w:rPr>
        <w:t> </w:t>
      </w:r>
      <w:r>
        <w:rPr>
          <w:color w:val="231F20"/>
          <w:w w:val="105"/>
        </w:rPr>
        <w:t>vuelve</w:t>
      </w:r>
      <w:r>
        <w:rPr>
          <w:color w:val="231F20"/>
          <w:spacing w:val="-28"/>
          <w:w w:val="105"/>
        </w:rPr>
        <w:t> </w:t>
      </w:r>
      <w:r>
        <w:rPr>
          <w:color w:val="231F20"/>
          <w:w w:val="105"/>
        </w:rPr>
        <w:t>a</w:t>
      </w:r>
      <w:r>
        <w:rPr>
          <w:color w:val="231F20"/>
          <w:spacing w:val="-28"/>
          <w:w w:val="105"/>
        </w:rPr>
        <w:t> </w:t>
      </w:r>
      <w:r>
        <w:rPr>
          <w:color w:val="231F20"/>
          <w:w w:val="105"/>
        </w:rPr>
        <w:t>problematizar</w:t>
      </w:r>
      <w:r>
        <w:rPr>
          <w:color w:val="231F20"/>
          <w:spacing w:val="-28"/>
          <w:w w:val="105"/>
        </w:rPr>
        <w:t> </w:t>
      </w:r>
      <w:r>
        <w:rPr>
          <w:color w:val="231F20"/>
          <w:spacing w:val="-3"/>
          <w:w w:val="105"/>
        </w:rPr>
        <w:t>entre</w:t>
      </w:r>
      <w:r>
        <w:rPr>
          <w:color w:val="231F20"/>
          <w:spacing w:val="-28"/>
          <w:w w:val="105"/>
        </w:rPr>
        <w:t> </w:t>
      </w:r>
      <w:r>
        <w:rPr>
          <w:color w:val="231F20"/>
          <w:w w:val="105"/>
        </w:rPr>
        <w:t>el</w:t>
      </w:r>
      <w:r>
        <w:rPr>
          <w:color w:val="231F20"/>
          <w:spacing w:val="-28"/>
          <w:w w:val="105"/>
        </w:rPr>
        <w:t> </w:t>
      </w:r>
      <w:r>
        <w:rPr>
          <w:color w:val="231F20"/>
          <w:w w:val="105"/>
        </w:rPr>
        <w:t>Estado</w:t>
      </w:r>
      <w:r>
        <w:rPr>
          <w:color w:val="231F20"/>
          <w:spacing w:val="-28"/>
          <w:w w:val="105"/>
        </w:rPr>
        <w:t> </w:t>
      </w:r>
      <w:r>
        <w:rPr>
          <w:color w:val="231F20"/>
          <w:w w:val="105"/>
        </w:rPr>
        <w:t>como</w:t>
      </w:r>
      <w:r>
        <w:rPr>
          <w:color w:val="231F20"/>
          <w:spacing w:val="-28"/>
          <w:w w:val="105"/>
        </w:rPr>
        <w:t> </w:t>
      </w:r>
      <w:r>
        <w:rPr>
          <w:color w:val="231F20"/>
          <w:w w:val="105"/>
        </w:rPr>
        <w:t>institución y</w:t>
      </w:r>
      <w:r>
        <w:rPr>
          <w:color w:val="231F20"/>
          <w:spacing w:val="-21"/>
          <w:w w:val="105"/>
        </w:rPr>
        <w:t> </w:t>
      </w:r>
      <w:r>
        <w:rPr>
          <w:color w:val="231F20"/>
          <w:w w:val="105"/>
        </w:rPr>
        <w:t>la</w:t>
      </w:r>
      <w:r>
        <w:rPr>
          <w:color w:val="231F20"/>
          <w:spacing w:val="-21"/>
          <w:w w:val="105"/>
        </w:rPr>
        <w:t> </w:t>
      </w:r>
      <w:r>
        <w:rPr>
          <w:color w:val="231F20"/>
          <w:w w:val="105"/>
        </w:rPr>
        <w:t>unidad</w:t>
      </w:r>
      <w:r>
        <w:rPr>
          <w:color w:val="231F20"/>
          <w:spacing w:val="-21"/>
          <w:w w:val="105"/>
        </w:rPr>
        <w:t> </w:t>
      </w:r>
      <w:r>
        <w:rPr>
          <w:color w:val="231F20"/>
          <w:w w:val="105"/>
        </w:rPr>
        <w:t>política</w:t>
      </w:r>
      <w:r>
        <w:rPr>
          <w:color w:val="231F20"/>
          <w:spacing w:val="-21"/>
          <w:w w:val="105"/>
        </w:rPr>
        <w:t> </w:t>
      </w:r>
      <w:r>
        <w:rPr>
          <w:color w:val="231F20"/>
          <w:w w:val="105"/>
        </w:rPr>
        <w:t>que</w:t>
      </w:r>
      <w:r>
        <w:rPr>
          <w:color w:val="231F20"/>
          <w:spacing w:val="-21"/>
          <w:w w:val="105"/>
        </w:rPr>
        <w:t> </w:t>
      </w:r>
      <w:r>
        <w:rPr>
          <w:color w:val="231F20"/>
          <w:w w:val="105"/>
        </w:rPr>
        <w:t>éste</w:t>
      </w:r>
      <w:r>
        <w:rPr>
          <w:color w:val="231F20"/>
          <w:spacing w:val="-21"/>
          <w:w w:val="105"/>
        </w:rPr>
        <w:t> </w:t>
      </w:r>
      <w:r>
        <w:rPr>
          <w:color w:val="231F20"/>
          <w:w w:val="105"/>
        </w:rPr>
        <w:t>históricamente</w:t>
      </w:r>
      <w:r>
        <w:rPr>
          <w:color w:val="231F20"/>
          <w:spacing w:val="-21"/>
          <w:w w:val="105"/>
        </w:rPr>
        <w:t> </w:t>
      </w:r>
      <w:r>
        <w:rPr>
          <w:color w:val="231F20"/>
          <w:w w:val="105"/>
        </w:rPr>
        <w:t>es</w:t>
      </w:r>
      <w:r>
        <w:rPr>
          <w:color w:val="231F20"/>
          <w:spacing w:val="-21"/>
          <w:w w:val="105"/>
        </w:rPr>
        <w:t> </w:t>
      </w:r>
      <w:r>
        <w:rPr>
          <w:color w:val="231F20"/>
          <w:w w:val="105"/>
        </w:rPr>
        <w:t>llamado</w:t>
      </w:r>
      <w:r>
        <w:rPr>
          <w:color w:val="231F20"/>
          <w:spacing w:val="-21"/>
          <w:w w:val="105"/>
        </w:rPr>
        <w:t> </w:t>
      </w:r>
      <w:r>
        <w:rPr>
          <w:color w:val="231F20"/>
          <w:w w:val="105"/>
        </w:rPr>
        <w:t>a</w:t>
      </w:r>
      <w:r>
        <w:rPr>
          <w:color w:val="231F20"/>
          <w:spacing w:val="-21"/>
          <w:w w:val="105"/>
        </w:rPr>
        <w:t> </w:t>
      </w:r>
      <w:r>
        <w:rPr>
          <w:color w:val="231F20"/>
          <w:spacing w:val="-4"/>
          <w:w w:val="105"/>
        </w:rPr>
        <w:t>representar.</w:t>
      </w:r>
      <w:r>
        <w:rPr>
          <w:color w:val="231F20"/>
          <w:spacing w:val="-21"/>
          <w:w w:val="105"/>
        </w:rPr>
        <w:t> </w:t>
      </w:r>
      <w:r>
        <w:rPr>
          <w:color w:val="231F20"/>
          <w:spacing w:val="-2"/>
          <w:w w:val="105"/>
        </w:rPr>
        <w:t>Las </w:t>
      </w:r>
      <w:r>
        <w:rPr>
          <w:color w:val="231F20"/>
          <w:spacing w:val="-3"/>
          <w:w w:val="105"/>
        </w:rPr>
        <w:t>preguntas</w:t>
      </w:r>
      <w:r>
        <w:rPr>
          <w:color w:val="231F20"/>
          <w:spacing w:val="-36"/>
          <w:w w:val="105"/>
        </w:rPr>
        <w:t> </w:t>
      </w:r>
      <w:r>
        <w:rPr>
          <w:color w:val="231F20"/>
          <w:spacing w:val="-3"/>
          <w:w w:val="105"/>
        </w:rPr>
        <w:t>sobre</w:t>
      </w:r>
      <w:r>
        <w:rPr>
          <w:color w:val="231F20"/>
          <w:spacing w:val="-36"/>
          <w:w w:val="105"/>
        </w:rPr>
        <w:t> </w:t>
      </w:r>
      <w:r>
        <w:rPr>
          <w:color w:val="231F20"/>
          <w:w w:val="105"/>
        </w:rPr>
        <w:t>el</w:t>
      </w:r>
      <w:r>
        <w:rPr>
          <w:color w:val="231F20"/>
          <w:spacing w:val="-36"/>
          <w:w w:val="105"/>
        </w:rPr>
        <w:t> </w:t>
      </w:r>
      <w:r>
        <w:rPr>
          <w:color w:val="231F20"/>
          <w:w w:val="105"/>
        </w:rPr>
        <w:t>déficit</w:t>
      </w:r>
      <w:r>
        <w:rPr>
          <w:color w:val="231F20"/>
          <w:spacing w:val="-36"/>
          <w:w w:val="105"/>
        </w:rPr>
        <w:t> </w:t>
      </w:r>
      <w:r>
        <w:rPr>
          <w:color w:val="231F20"/>
          <w:w w:val="105"/>
        </w:rPr>
        <w:t>de</w:t>
      </w:r>
      <w:r>
        <w:rPr>
          <w:color w:val="231F20"/>
          <w:spacing w:val="-36"/>
          <w:w w:val="105"/>
        </w:rPr>
        <w:t> </w:t>
      </w:r>
      <w:r>
        <w:rPr>
          <w:color w:val="231F20"/>
          <w:w w:val="105"/>
        </w:rPr>
        <w:t>estatalidad</w:t>
      </w:r>
      <w:r>
        <w:rPr>
          <w:color w:val="231F20"/>
          <w:spacing w:val="-36"/>
          <w:w w:val="105"/>
        </w:rPr>
        <w:t> </w:t>
      </w:r>
      <w:r>
        <w:rPr>
          <w:color w:val="231F20"/>
          <w:w w:val="105"/>
        </w:rPr>
        <w:t>que</w:t>
      </w:r>
      <w:r>
        <w:rPr>
          <w:color w:val="231F20"/>
          <w:spacing w:val="-36"/>
          <w:w w:val="105"/>
        </w:rPr>
        <w:t> </w:t>
      </w:r>
      <w:r>
        <w:rPr>
          <w:color w:val="231F20"/>
          <w:w w:val="105"/>
        </w:rPr>
        <w:t>hoy</w:t>
      </w:r>
      <w:r>
        <w:rPr>
          <w:color w:val="231F20"/>
          <w:spacing w:val="-36"/>
          <w:w w:val="105"/>
        </w:rPr>
        <w:t> </w:t>
      </w:r>
      <w:r>
        <w:rPr>
          <w:color w:val="231F20"/>
          <w:w w:val="105"/>
        </w:rPr>
        <w:t>se</w:t>
      </w:r>
      <w:r>
        <w:rPr>
          <w:color w:val="231F20"/>
          <w:spacing w:val="-36"/>
          <w:w w:val="105"/>
        </w:rPr>
        <w:t> </w:t>
      </w:r>
      <w:r>
        <w:rPr>
          <w:color w:val="231F20"/>
          <w:w w:val="105"/>
        </w:rPr>
        <w:t>formulan</w:t>
      </w:r>
      <w:r>
        <w:rPr>
          <w:color w:val="231F20"/>
          <w:spacing w:val="-36"/>
          <w:w w:val="105"/>
        </w:rPr>
        <w:t> </w:t>
      </w:r>
      <w:r>
        <w:rPr>
          <w:color w:val="231F20"/>
          <w:spacing w:val="-3"/>
          <w:w w:val="105"/>
        </w:rPr>
        <w:t>respecto</w:t>
      </w:r>
      <w:r>
        <w:rPr>
          <w:color w:val="231F20"/>
          <w:spacing w:val="-36"/>
          <w:w w:val="105"/>
        </w:rPr>
        <w:t> </w:t>
      </w:r>
      <w:r>
        <w:rPr>
          <w:color w:val="231F20"/>
          <w:w w:val="105"/>
        </w:rPr>
        <w:t>a</w:t>
      </w:r>
      <w:r>
        <w:rPr>
          <w:color w:val="231F20"/>
          <w:spacing w:val="-36"/>
          <w:w w:val="105"/>
        </w:rPr>
        <w:t> </w:t>
      </w:r>
      <w:r>
        <w:rPr>
          <w:color w:val="231F20"/>
          <w:spacing w:val="-2"/>
          <w:w w:val="105"/>
        </w:rPr>
        <w:t>los </w:t>
      </w:r>
      <w:r>
        <w:rPr>
          <w:color w:val="231F20"/>
          <w:w w:val="105"/>
        </w:rPr>
        <w:t>países</w:t>
      </w:r>
      <w:r>
        <w:rPr>
          <w:color w:val="231F20"/>
          <w:spacing w:val="-41"/>
          <w:w w:val="105"/>
        </w:rPr>
        <w:t> </w:t>
      </w:r>
      <w:r>
        <w:rPr>
          <w:color w:val="231F20"/>
          <w:w w:val="105"/>
        </w:rPr>
        <w:t>del</w:t>
      </w:r>
      <w:r>
        <w:rPr>
          <w:color w:val="231F20"/>
          <w:spacing w:val="-41"/>
          <w:w w:val="105"/>
        </w:rPr>
        <w:t> </w:t>
      </w:r>
      <w:r>
        <w:rPr>
          <w:color w:val="231F20"/>
          <w:w w:val="105"/>
        </w:rPr>
        <w:t>núcleo</w:t>
      </w:r>
      <w:r>
        <w:rPr>
          <w:color w:val="231F20"/>
          <w:spacing w:val="-41"/>
          <w:w w:val="105"/>
        </w:rPr>
        <w:t> </w:t>
      </w:r>
      <w:r>
        <w:rPr>
          <w:color w:val="231F20"/>
          <w:w w:val="105"/>
        </w:rPr>
        <w:t>original</w:t>
      </w:r>
      <w:r>
        <w:rPr>
          <w:color w:val="231F20"/>
          <w:spacing w:val="-41"/>
          <w:w w:val="105"/>
        </w:rPr>
        <w:t> </w:t>
      </w:r>
      <w:r>
        <w:rPr>
          <w:color w:val="231F20"/>
          <w:w w:val="105"/>
        </w:rPr>
        <w:t>de</w:t>
      </w:r>
      <w:r>
        <w:rPr>
          <w:color w:val="231F20"/>
          <w:spacing w:val="-41"/>
          <w:w w:val="105"/>
        </w:rPr>
        <w:t> </w:t>
      </w:r>
      <w:r>
        <w:rPr>
          <w:color w:val="231F20"/>
          <w:w w:val="105"/>
        </w:rPr>
        <w:t>la</w:t>
      </w:r>
      <w:r>
        <w:rPr>
          <w:color w:val="231F20"/>
          <w:spacing w:val="-41"/>
          <w:w w:val="105"/>
        </w:rPr>
        <w:t> </w:t>
      </w:r>
      <w:r>
        <w:rPr>
          <w:color w:val="231F20"/>
          <w:w w:val="105"/>
        </w:rPr>
        <w:t>historia</w:t>
      </w:r>
      <w:r>
        <w:rPr>
          <w:color w:val="231F20"/>
          <w:spacing w:val="-41"/>
          <w:w w:val="105"/>
        </w:rPr>
        <w:t> </w:t>
      </w:r>
      <w:r>
        <w:rPr>
          <w:color w:val="231F20"/>
          <w:w w:val="105"/>
        </w:rPr>
        <w:t>estatal</w:t>
      </w:r>
      <w:r>
        <w:rPr>
          <w:color w:val="231F20"/>
          <w:spacing w:val="-41"/>
          <w:w w:val="105"/>
        </w:rPr>
        <w:t> </w:t>
      </w:r>
      <w:r>
        <w:rPr>
          <w:color w:val="231F20"/>
          <w:w w:val="105"/>
        </w:rPr>
        <w:t>moderna</w:t>
      </w:r>
      <w:r>
        <w:rPr>
          <w:color w:val="231F20"/>
          <w:spacing w:val="-41"/>
          <w:w w:val="105"/>
        </w:rPr>
        <w:t> </w:t>
      </w:r>
      <w:r>
        <w:rPr>
          <w:color w:val="231F20"/>
          <w:w w:val="105"/>
        </w:rPr>
        <w:t>son</w:t>
      </w:r>
      <w:r>
        <w:rPr>
          <w:color w:val="231F20"/>
          <w:spacing w:val="-41"/>
          <w:w w:val="105"/>
        </w:rPr>
        <w:t> </w:t>
      </w:r>
      <w:r>
        <w:rPr>
          <w:color w:val="231F20"/>
          <w:w w:val="105"/>
        </w:rPr>
        <w:t>las</w:t>
      </w:r>
      <w:r>
        <w:rPr>
          <w:color w:val="231F20"/>
          <w:spacing w:val="-41"/>
          <w:w w:val="105"/>
        </w:rPr>
        <w:t> </w:t>
      </w:r>
      <w:r>
        <w:rPr>
          <w:color w:val="231F20"/>
          <w:w w:val="105"/>
        </w:rPr>
        <w:t>mismas</w:t>
      </w:r>
      <w:r>
        <w:rPr>
          <w:color w:val="231F20"/>
          <w:spacing w:val="-41"/>
          <w:w w:val="105"/>
        </w:rPr>
        <w:t> </w:t>
      </w:r>
      <w:r>
        <w:rPr>
          <w:color w:val="231F20"/>
          <w:spacing w:val="-2"/>
          <w:w w:val="105"/>
        </w:rPr>
        <w:t>que </w:t>
      </w:r>
      <w:r>
        <w:rPr>
          <w:color w:val="231F20"/>
          <w:w w:val="105"/>
        </w:rPr>
        <w:t>en</w:t>
      </w:r>
      <w:r>
        <w:rPr>
          <w:color w:val="231F20"/>
          <w:spacing w:val="-25"/>
          <w:w w:val="105"/>
        </w:rPr>
        <w:t> </w:t>
      </w:r>
      <w:r>
        <w:rPr>
          <w:color w:val="231F20"/>
          <w:w w:val="105"/>
        </w:rPr>
        <w:t>los</w:t>
      </w:r>
      <w:r>
        <w:rPr>
          <w:color w:val="231F20"/>
          <w:spacing w:val="-25"/>
          <w:w w:val="105"/>
        </w:rPr>
        <w:t> </w:t>
      </w:r>
      <w:r>
        <w:rPr>
          <w:color w:val="231F20"/>
          <w:w w:val="105"/>
        </w:rPr>
        <w:t>últimos</w:t>
      </w:r>
      <w:r>
        <w:rPr>
          <w:color w:val="231F20"/>
          <w:spacing w:val="-25"/>
          <w:w w:val="105"/>
        </w:rPr>
        <w:t> </w:t>
      </w:r>
      <w:r>
        <w:rPr>
          <w:color w:val="231F20"/>
          <w:w w:val="105"/>
        </w:rPr>
        <w:t>50</w:t>
      </w:r>
      <w:r>
        <w:rPr>
          <w:color w:val="231F20"/>
          <w:spacing w:val="-25"/>
          <w:w w:val="105"/>
        </w:rPr>
        <w:t> </w:t>
      </w:r>
      <w:r>
        <w:rPr>
          <w:color w:val="231F20"/>
          <w:w w:val="105"/>
        </w:rPr>
        <w:t>años</w:t>
      </w:r>
      <w:r>
        <w:rPr>
          <w:color w:val="231F20"/>
          <w:spacing w:val="-25"/>
          <w:w w:val="105"/>
        </w:rPr>
        <w:t> </w:t>
      </w:r>
      <w:r>
        <w:rPr>
          <w:color w:val="231F20"/>
          <w:w w:val="105"/>
        </w:rPr>
        <w:t>se</w:t>
      </w:r>
      <w:r>
        <w:rPr>
          <w:color w:val="231F20"/>
          <w:spacing w:val="-25"/>
          <w:w w:val="105"/>
        </w:rPr>
        <w:t> </w:t>
      </w:r>
      <w:r>
        <w:rPr>
          <w:color w:val="231F20"/>
          <w:w w:val="105"/>
        </w:rPr>
        <w:t>han</w:t>
      </w:r>
      <w:r>
        <w:rPr>
          <w:color w:val="231F20"/>
          <w:spacing w:val="-25"/>
          <w:w w:val="105"/>
        </w:rPr>
        <w:t> </w:t>
      </w:r>
      <w:r>
        <w:rPr>
          <w:color w:val="231F20"/>
          <w:w w:val="105"/>
        </w:rPr>
        <w:t>hecho</w:t>
      </w:r>
      <w:r>
        <w:rPr>
          <w:color w:val="231F20"/>
          <w:spacing w:val="-25"/>
          <w:w w:val="105"/>
        </w:rPr>
        <w:t> </w:t>
      </w:r>
      <w:r>
        <w:rPr>
          <w:color w:val="231F20"/>
          <w:w w:val="105"/>
        </w:rPr>
        <w:t>a</w:t>
      </w:r>
      <w:r>
        <w:rPr>
          <w:color w:val="231F20"/>
          <w:spacing w:val="-25"/>
          <w:w w:val="105"/>
        </w:rPr>
        <w:t> </w:t>
      </w:r>
      <w:r>
        <w:rPr>
          <w:color w:val="231F20"/>
          <w:spacing w:val="-3"/>
          <w:w w:val="105"/>
        </w:rPr>
        <w:t>propósito</w:t>
      </w:r>
      <w:r>
        <w:rPr>
          <w:color w:val="231F20"/>
          <w:spacing w:val="-25"/>
          <w:w w:val="105"/>
        </w:rPr>
        <w:t> </w:t>
      </w:r>
      <w:r>
        <w:rPr>
          <w:color w:val="231F20"/>
          <w:w w:val="105"/>
        </w:rPr>
        <w:t>del</w:t>
      </w:r>
      <w:r>
        <w:rPr>
          <w:color w:val="231F20"/>
          <w:spacing w:val="-25"/>
          <w:w w:val="105"/>
        </w:rPr>
        <w:t> </w:t>
      </w:r>
      <w:r>
        <w:rPr>
          <w:color w:val="231F20"/>
          <w:spacing w:val="-3"/>
          <w:w w:val="105"/>
        </w:rPr>
        <w:t>retraso</w:t>
      </w:r>
      <w:r>
        <w:rPr>
          <w:color w:val="231F20"/>
          <w:spacing w:val="-25"/>
          <w:w w:val="105"/>
        </w:rPr>
        <w:t> </w:t>
      </w:r>
      <w:r>
        <w:rPr>
          <w:color w:val="231F20"/>
          <w:w w:val="105"/>
        </w:rPr>
        <w:t>de</w:t>
      </w:r>
      <w:r>
        <w:rPr>
          <w:color w:val="231F20"/>
          <w:spacing w:val="-25"/>
          <w:w w:val="105"/>
        </w:rPr>
        <w:t> </w:t>
      </w:r>
      <w:r>
        <w:rPr>
          <w:color w:val="231F20"/>
          <w:w w:val="105"/>
        </w:rPr>
        <w:t>estatalidad de</w:t>
      </w:r>
      <w:r>
        <w:rPr>
          <w:color w:val="231F20"/>
          <w:spacing w:val="-11"/>
          <w:w w:val="105"/>
        </w:rPr>
        <w:t> </w:t>
      </w:r>
      <w:r>
        <w:rPr>
          <w:color w:val="231F20"/>
          <w:w w:val="105"/>
        </w:rPr>
        <w:t>los</w:t>
      </w:r>
      <w:r>
        <w:rPr>
          <w:color w:val="231F20"/>
          <w:spacing w:val="-11"/>
          <w:w w:val="105"/>
        </w:rPr>
        <w:t> </w:t>
      </w:r>
      <w:r>
        <w:rPr>
          <w:color w:val="231F20"/>
          <w:w w:val="105"/>
        </w:rPr>
        <w:t>Estados</w:t>
      </w:r>
      <w:r>
        <w:rPr>
          <w:color w:val="231F20"/>
          <w:spacing w:val="-11"/>
          <w:w w:val="105"/>
        </w:rPr>
        <w:t> </w:t>
      </w:r>
      <w:r>
        <w:rPr>
          <w:color w:val="231F20"/>
          <w:w w:val="105"/>
        </w:rPr>
        <w:t>postcoloniales.</w:t>
      </w:r>
      <w:r>
        <w:rPr>
          <w:color w:val="231F20"/>
          <w:spacing w:val="-11"/>
          <w:w w:val="105"/>
        </w:rPr>
        <w:t> </w:t>
      </w:r>
      <w:r>
        <w:rPr>
          <w:color w:val="231F20"/>
          <w:w w:val="105"/>
        </w:rPr>
        <w:t>Es</w:t>
      </w:r>
      <w:r>
        <w:rPr>
          <w:color w:val="231F20"/>
          <w:spacing w:val="-11"/>
          <w:w w:val="105"/>
        </w:rPr>
        <w:t> </w:t>
      </w:r>
      <w:r>
        <w:rPr>
          <w:color w:val="231F20"/>
          <w:w w:val="105"/>
        </w:rPr>
        <w:t>indicativa</w:t>
      </w:r>
      <w:r>
        <w:rPr>
          <w:color w:val="231F20"/>
          <w:spacing w:val="-11"/>
          <w:w w:val="105"/>
        </w:rPr>
        <w:t> </w:t>
      </w:r>
      <w:r>
        <w:rPr>
          <w:color w:val="231F20"/>
          <w:w w:val="105"/>
        </w:rPr>
        <w:t>la</w:t>
      </w:r>
      <w:r>
        <w:rPr>
          <w:color w:val="231F20"/>
          <w:spacing w:val="-11"/>
          <w:w w:val="105"/>
        </w:rPr>
        <w:t> </w:t>
      </w:r>
      <w:r>
        <w:rPr>
          <w:color w:val="231F20"/>
          <w:spacing w:val="-3"/>
          <w:w w:val="105"/>
        </w:rPr>
        <w:t>larga</w:t>
      </w:r>
      <w:r>
        <w:rPr>
          <w:color w:val="231F20"/>
          <w:spacing w:val="-11"/>
          <w:w w:val="105"/>
        </w:rPr>
        <w:t> </w:t>
      </w:r>
      <w:r>
        <w:rPr>
          <w:color w:val="231F20"/>
          <w:w w:val="105"/>
        </w:rPr>
        <w:t>lista</w:t>
      </w:r>
      <w:r>
        <w:rPr>
          <w:color w:val="231F20"/>
          <w:spacing w:val="-11"/>
          <w:w w:val="105"/>
        </w:rPr>
        <w:t> </w:t>
      </w:r>
      <w:r>
        <w:rPr>
          <w:color w:val="231F20"/>
          <w:w w:val="105"/>
        </w:rPr>
        <w:t>de</w:t>
      </w:r>
      <w:r>
        <w:rPr>
          <w:color w:val="231F20"/>
          <w:spacing w:val="-11"/>
          <w:w w:val="105"/>
        </w:rPr>
        <w:t> </w:t>
      </w:r>
      <w:r>
        <w:rPr>
          <w:color w:val="231F20"/>
          <w:spacing w:val="-3"/>
          <w:w w:val="105"/>
        </w:rPr>
        <w:t>aproximacio- </w:t>
      </w:r>
      <w:r>
        <w:rPr>
          <w:color w:val="231F20"/>
          <w:w w:val="105"/>
        </w:rPr>
        <w:t>nes</w:t>
      </w:r>
      <w:r>
        <w:rPr>
          <w:color w:val="231F20"/>
          <w:spacing w:val="-23"/>
          <w:w w:val="105"/>
        </w:rPr>
        <w:t> </w:t>
      </w:r>
      <w:r>
        <w:rPr>
          <w:color w:val="231F20"/>
          <w:w w:val="105"/>
        </w:rPr>
        <w:t>con</w:t>
      </w:r>
      <w:r>
        <w:rPr>
          <w:color w:val="231F20"/>
          <w:spacing w:val="-23"/>
          <w:w w:val="105"/>
        </w:rPr>
        <w:t> </w:t>
      </w:r>
      <w:r>
        <w:rPr>
          <w:color w:val="231F20"/>
          <w:w w:val="105"/>
        </w:rPr>
        <w:t>la</w:t>
      </w:r>
      <w:r>
        <w:rPr>
          <w:color w:val="231F20"/>
          <w:spacing w:val="-23"/>
          <w:w w:val="105"/>
        </w:rPr>
        <w:t> </w:t>
      </w:r>
      <w:r>
        <w:rPr>
          <w:color w:val="231F20"/>
          <w:w w:val="105"/>
        </w:rPr>
        <w:t>que</w:t>
      </w:r>
      <w:r>
        <w:rPr>
          <w:color w:val="231F20"/>
          <w:spacing w:val="-23"/>
          <w:w w:val="105"/>
        </w:rPr>
        <w:t> </w:t>
      </w:r>
      <w:r>
        <w:rPr>
          <w:color w:val="231F20"/>
          <w:w w:val="105"/>
        </w:rPr>
        <w:t>éstos</w:t>
      </w:r>
      <w:r>
        <w:rPr>
          <w:color w:val="231F20"/>
          <w:spacing w:val="-23"/>
          <w:w w:val="105"/>
        </w:rPr>
        <w:t> </w:t>
      </w:r>
      <w:r>
        <w:rPr>
          <w:color w:val="231F20"/>
          <w:w w:val="105"/>
        </w:rPr>
        <w:t>han</w:t>
      </w:r>
      <w:r>
        <w:rPr>
          <w:color w:val="231F20"/>
          <w:spacing w:val="-23"/>
          <w:w w:val="105"/>
        </w:rPr>
        <w:t> </w:t>
      </w:r>
      <w:r>
        <w:rPr>
          <w:color w:val="231F20"/>
          <w:w w:val="105"/>
        </w:rPr>
        <w:t>sido</w:t>
      </w:r>
      <w:r>
        <w:rPr>
          <w:color w:val="231F20"/>
          <w:spacing w:val="-23"/>
          <w:w w:val="105"/>
        </w:rPr>
        <w:t> </w:t>
      </w:r>
      <w:r>
        <w:rPr>
          <w:color w:val="231F20"/>
          <w:w w:val="105"/>
        </w:rPr>
        <w:t>descritos,</w:t>
      </w:r>
      <w:r>
        <w:rPr>
          <w:color w:val="231F20"/>
          <w:spacing w:val="-23"/>
          <w:w w:val="105"/>
        </w:rPr>
        <w:t> </w:t>
      </w:r>
      <w:r>
        <w:rPr>
          <w:color w:val="231F20"/>
          <w:w w:val="105"/>
        </w:rPr>
        <w:t>queriendo</w:t>
      </w:r>
      <w:r>
        <w:rPr>
          <w:color w:val="231F20"/>
          <w:spacing w:val="-23"/>
          <w:w w:val="105"/>
        </w:rPr>
        <w:t> </w:t>
      </w:r>
      <w:r>
        <w:rPr>
          <w:color w:val="231F20"/>
          <w:w w:val="105"/>
        </w:rPr>
        <w:t>indicar</w:t>
      </w:r>
      <w:r>
        <w:rPr>
          <w:color w:val="231F20"/>
          <w:spacing w:val="-23"/>
          <w:w w:val="105"/>
        </w:rPr>
        <w:t> </w:t>
      </w:r>
      <w:r>
        <w:rPr>
          <w:color w:val="231F20"/>
          <w:w w:val="105"/>
        </w:rPr>
        <w:t>mostrar</w:t>
      </w:r>
      <w:r>
        <w:rPr>
          <w:color w:val="231F20"/>
          <w:spacing w:val="-23"/>
          <w:w w:val="105"/>
        </w:rPr>
        <w:t> </w:t>
      </w:r>
      <w:r>
        <w:rPr>
          <w:color w:val="231F20"/>
          <w:w w:val="105"/>
        </w:rPr>
        <w:t>el</w:t>
      </w:r>
      <w:r>
        <w:rPr>
          <w:color w:val="231F20"/>
          <w:spacing w:val="-23"/>
          <w:w w:val="105"/>
        </w:rPr>
        <w:t> </w:t>
      </w:r>
      <w:r>
        <w:rPr>
          <w:color w:val="231F20"/>
          <w:w w:val="105"/>
        </w:rPr>
        <w:t>gra- do</w:t>
      </w:r>
      <w:r>
        <w:rPr>
          <w:color w:val="231F20"/>
          <w:spacing w:val="-21"/>
          <w:w w:val="105"/>
        </w:rPr>
        <w:t> </w:t>
      </w:r>
      <w:r>
        <w:rPr>
          <w:color w:val="231F20"/>
          <w:w w:val="105"/>
        </w:rPr>
        <w:t>de</w:t>
      </w:r>
      <w:r>
        <w:rPr>
          <w:color w:val="231F20"/>
          <w:spacing w:val="-21"/>
          <w:w w:val="105"/>
        </w:rPr>
        <w:t> </w:t>
      </w:r>
      <w:r>
        <w:rPr>
          <w:color w:val="231F20"/>
          <w:w w:val="105"/>
        </w:rPr>
        <w:t>separación</w:t>
      </w:r>
      <w:r>
        <w:rPr>
          <w:color w:val="231F20"/>
          <w:spacing w:val="-21"/>
          <w:w w:val="105"/>
        </w:rPr>
        <w:t> </w:t>
      </w:r>
      <w:r>
        <w:rPr>
          <w:color w:val="231F20"/>
          <w:spacing w:val="-3"/>
          <w:w w:val="105"/>
        </w:rPr>
        <w:t>respecto</w:t>
      </w:r>
      <w:r>
        <w:rPr>
          <w:color w:val="231F20"/>
          <w:spacing w:val="-21"/>
          <w:w w:val="105"/>
        </w:rPr>
        <w:t> </w:t>
      </w:r>
      <w:r>
        <w:rPr>
          <w:color w:val="231F20"/>
          <w:w w:val="105"/>
        </w:rPr>
        <w:t>a</w:t>
      </w:r>
      <w:r>
        <w:rPr>
          <w:color w:val="231F20"/>
          <w:spacing w:val="-21"/>
          <w:w w:val="105"/>
        </w:rPr>
        <w:t> </w:t>
      </w:r>
      <w:r>
        <w:rPr>
          <w:color w:val="231F20"/>
          <w:w w:val="105"/>
        </w:rPr>
        <w:t>un</w:t>
      </w:r>
      <w:r>
        <w:rPr>
          <w:color w:val="231F20"/>
          <w:spacing w:val="-21"/>
          <w:w w:val="105"/>
        </w:rPr>
        <w:t> </w:t>
      </w:r>
      <w:r>
        <w:rPr>
          <w:color w:val="231F20"/>
          <w:w w:val="105"/>
        </w:rPr>
        <w:t>concepto</w:t>
      </w:r>
      <w:r>
        <w:rPr>
          <w:color w:val="231F20"/>
          <w:spacing w:val="-21"/>
          <w:w w:val="105"/>
        </w:rPr>
        <w:t> </w:t>
      </w:r>
      <w:r>
        <w:rPr>
          <w:color w:val="231F20"/>
          <w:w w:val="105"/>
        </w:rPr>
        <w:t>de</w:t>
      </w:r>
      <w:r>
        <w:rPr>
          <w:color w:val="231F20"/>
          <w:spacing w:val="-21"/>
          <w:w w:val="105"/>
        </w:rPr>
        <w:t> </w:t>
      </w:r>
      <w:r>
        <w:rPr>
          <w:color w:val="231F20"/>
          <w:w w:val="105"/>
        </w:rPr>
        <w:t>Estado</w:t>
      </w:r>
      <w:r>
        <w:rPr>
          <w:color w:val="231F20"/>
          <w:spacing w:val="-21"/>
          <w:w w:val="105"/>
        </w:rPr>
        <w:t> </w:t>
      </w:r>
      <w:r>
        <w:rPr>
          <w:color w:val="231F20"/>
          <w:w w:val="105"/>
        </w:rPr>
        <w:t>tal</w:t>
      </w:r>
      <w:r>
        <w:rPr>
          <w:color w:val="231F20"/>
          <w:spacing w:val="-21"/>
          <w:w w:val="105"/>
        </w:rPr>
        <w:t> </w:t>
      </w:r>
      <w:r>
        <w:rPr>
          <w:color w:val="231F20"/>
          <w:w w:val="105"/>
        </w:rPr>
        <w:t>vez</w:t>
      </w:r>
      <w:r>
        <w:rPr>
          <w:color w:val="231F20"/>
          <w:spacing w:val="-21"/>
          <w:w w:val="105"/>
        </w:rPr>
        <w:t> </w:t>
      </w:r>
      <w:r>
        <w:rPr>
          <w:color w:val="231F20"/>
          <w:spacing w:val="-3"/>
          <w:w w:val="105"/>
        </w:rPr>
        <w:t>rechazado:</w:t>
      </w:r>
      <w:r>
        <w:rPr>
          <w:color w:val="231F20"/>
          <w:spacing w:val="-21"/>
          <w:w w:val="105"/>
        </w:rPr>
        <w:t> </w:t>
      </w:r>
      <w:r>
        <w:rPr>
          <w:color w:val="231F20"/>
          <w:w w:val="105"/>
        </w:rPr>
        <w:t>de las</w:t>
      </w:r>
      <w:r>
        <w:rPr>
          <w:color w:val="231F20"/>
          <w:spacing w:val="-27"/>
          <w:w w:val="105"/>
        </w:rPr>
        <w:t> </w:t>
      </w:r>
      <w:r>
        <w:rPr>
          <w:color w:val="231F20"/>
          <w:w w:val="105"/>
        </w:rPr>
        <w:t>“tribus</w:t>
      </w:r>
      <w:r>
        <w:rPr>
          <w:color w:val="231F20"/>
          <w:spacing w:val="-27"/>
          <w:w w:val="105"/>
        </w:rPr>
        <w:t> </w:t>
      </w:r>
      <w:r>
        <w:rPr>
          <w:color w:val="231F20"/>
          <w:w w:val="105"/>
        </w:rPr>
        <w:t>con</w:t>
      </w:r>
      <w:r>
        <w:rPr>
          <w:color w:val="231F20"/>
          <w:spacing w:val="-27"/>
          <w:w w:val="105"/>
        </w:rPr>
        <w:t> </w:t>
      </w:r>
      <w:r>
        <w:rPr>
          <w:color w:val="231F20"/>
          <w:w w:val="105"/>
        </w:rPr>
        <w:t>una</w:t>
      </w:r>
      <w:r>
        <w:rPr>
          <w:color w:val="231F20"/>
          <w:spacing w:val="-27"/>
          <w:w w:val="105"/>
        </w:rPr>
        <w:t> </w:t>
      </w:r>
      <w:r>
        <w:rPr>
          <w:color w:val="231F20"/>
          <w:w w:val="105"/>
        </w:rPr>
        <w:t>bandera”,</w:t>
      </w:r>
      <w:r>
        <w:rPr>
          <w:color w:val="231F20"/>
          <w:spacing w:val="-27"/>
          <w:w w:val="105"/>
        </w:rPr>
        <w:t> </w:t>
      </w:r>
      <w:r>
        <w:rPr>
          <w:color w:val="231F20"/>
          <w:w w:val="105"/>
        </w:rPr>
        <w:t>a</w:t>
      </w:r>
      <w:r>
        <w:rPr>
          <w:color w:val="231F20"/>
          <w:spacing w:val="-27"/>
          <w:w w:val="105"/>
        </w:rPr>
        <w:t> </w:t>
      </w:r>
      <w:r>
        <w:rPr>
          <w:color w:val="231F20"/>
          <w:w w:val="105"/>
        </w:rPr>
        <w:t>los</w:t>
      </w:r>
      <w:r>
        <w:rPr>
          <w:color w:val="231F20"/>
          <w:spacing w:val="-27"/>
          <w:w w:val="105"/>
        </w:rPr>
        <w:t> </w:t>
      </w:r>
      <w:r>
        <w:rPr>
          <w:color w:val="231F20"/>
          <w:spacing w:val="-3"/>
          <w:w w:val="105"/>
        </w:rPr>
        <w:t>microestados,</w:t>
      </w:r>
      <w:r>
        <w:rPr>
          <w:color w:val="231F20"/>
          <w:spacing w:val="-27"/>
          <w:w w:val="105"/>
        </w:rPr>
        <w:t> </w:t>
      </w:r>
      <w:r>
        <w:rPr>
          <w:color w:val="231F20"/>
          <w:w w:val="105"/>
        </w:rPr>
        <w:t>a</w:t>
      </w:r>
      <w:r>
        <w:rPr>
          <w:color w:val="231F20"/>
          <w:spacing w:val="-27"/>
          <w:w w:val="105"/>
        </w:rPr>
        <w:t> </w:t>
      </w:r>
      <w:r>
        <w:rPr>
          <w:color w:val="231F20"/>
          <w:w w:val="105"/>
        </w:rPr>
        <w:t>los</w:t>
      </w:r>
      <w:r>
        <w:rPr>
          <w:color w:val="231F20"/>
          <w:spacing w:val="-27"/>
          <w:w w:val="105"/>
        </w:rPr>
        <w:t> </w:t>
      </w:r>
      <w:r>
        <w:rPr>
          <w:color w:val="231F20"/>
          <w:w w:val="105"/>
        </w:rPr>
        <w:t>Estados</w:t>
      </w:r>
      <w:r>
        <w:rPr>
          <w:color w:val="231F20"/>
          <w:spacing w:val="-27"/>
          <w:w w:val="105"/>
        </w:rPr>
        <w:t> </w:t>
      </w:r>
      <w:r>
        <w:rPr>
          <w:color w:val="231F20"/>
          <w:w w:val="105"/>
        </w:rPr>
        <w:t>fallidos.</w:t>
      </w:r>
      <w:r>
        <w:rPr>
          <w:color w:val="231F20"/>
          <w:spacing w:val="-27"/>
          <w:w w:val="105"/>
        </w:rPr>
        <w:t> </w:t>
      </w:r>
      <w:r>
        <w:rPr>
          <w:color w:val="231F20"/>
          <w:w w:val="105"/>
        </w:rPr>
        <w:t>En todo</w:t>
      </w:r>
      <w:r>
        <w:rPr>
          <w:color w:val="231F20"/>
          <w:spacing w:val="-32"/>
          <w:w w:val="105"/>
        </w:rPr>
        <w:t> </w:t>
      </w:r>
      <w:r>
        <w:rPr>
          <w:color w:val="231F20"/>
          <w:w w:val="105"/>
        </w:rPr>
        <w:t>caso,</w:t>
      </w:r>
      <w:r>
        <w:rPr>
          <w:color w:val="231F20"/>
          <w:spacing w:val="-32"/>
          <w:w w:val="105"/>
        </w:rPr>
        <w:t> </w:t>
      </w:r>
      <w:r>
        <w:rPr>
          <w:color w:val="231F20"/>
          <w:w w:val="105"/>
        </w:rPr>
        <w:t>como</w:t>
      </w:r>
      <w:r>
        <w:rPr>
          <w:color w:val="231F20"/>
          <w:spacing w:val="-32"/>
          <w:w w:val="105"/>
        </w:rPr>
        <w:t> </w:t>
      </w:r>
      <w:r>
        <w:rPr>
          <w:color w:val="231F20"/>
          <w:w w:val="105"/>
        </w:rPr>
        <w:t>escribe</w:t>
      </w:r>
      <w:r>
        <w:rPr>
          <w:color w:val="231F20"/>
          <w:spacing w:val="-32"/>
          <w:w w:val="105"/>
        </w:rPr>
        <w:t> </w:t>
      </w:r>
      <w:r>
        <w:rPr>
          <w:color w:val="231F20"/>
          <w:w w:val="105"/>
        </w:rPr>
        <w:t>Geertz:</w:t>
      </w:r>
      <w:r>
        <w:rPr>
          <w:color w:val="231F20"/>
          <w:spacing w:val="-32"/>
          <w:w w:val="105"/>
        </w:rPr>
        <w:t> </w:t>
      </w:r>
      <w:r>
        <w:rPr>
          <w:color w:val="231F20"/>
          <w:w w:val="105"/>
        </w:rPr>
        <w:t>“Si</w:t>
      </w:r>
      <w:r>
        <w:rPr>
          <w:color w:val="231F20"/>
          <w:spacing w:val="-32"/>
          <w:w w:val="105"/>
        </w:rPr>
        <w:t> </w:t>
      </w:r>
      <w:r>
        <w:rPr>
          <w:color w:val="231F20"/>
          <w:w w:val="105"/>
        </w:rPr>
        <w:t>China</w:t>
      </w:r>
      <w:r>
        <w:rPr>
          <w:color w:val="231F20"/>
          <w:spacing w:val="-32"/>
          <w:w w:val="105"/>
        </w:rPr>
        <w:t> </w:t>
      </w:r>
      <w:r>
        <w:rPr>
          <w:color w:val="231F20"/>
          <w:w w:val="105"/>
        </w:rPr>
        <w:t>es</w:t>
      </w:r>
      <w:r>
        <w:rPr>
          <w:color w:val="231F20"/>
          <w:spacing w:val="-32"/>
          <w:w w:val="105"/>
        </w:rPr>
        <w:t> </w:t>
      </w:r>
      <w:r>
        <w:rPr>
          <w:color w:val="231F20"/>
          <w:w w:val="105"/>
        </w:rPr>
        <w:t>una</w:t>
      </w:r>
      <w:r>
        <w:rPr>
          <w:color w:val="231F20"/>
          <w:spacing w:val="-32"/>
          <w:w w:val="105"/>
        </w:rPr>
        <w:t> </w:t>
      </w:r>
      <w:r>
        <w:rPr>
          <w:color w:val="231F20"/>
          <w:w w:val="105"/>
        </w:rPr>
        <w:t>civilización</w:t>
      </w:r>
      <w:r>
        <w:rPr>
          <w:color w:val="231F20"/>
          <w:spacing w:val="-32"/>
          <w:w w:val="105"/>
        </w:rPr>
        <w:t> </w:t>
      </w:r>
      <w:r>
        <w:rPr>
          <w:color w:val="231F20"/>
          <w:w w:val="105"/>
        </w:rPr>
        <w:t>que</w:t>
      </w:r>
      <w:r>
        <w:rPr>
          <w:color w:val="231F20"/>
          <w:spacing w:val="-32"/>
          <w:w w:val="105"/>
        </w:rPr>
        <w:t> </w:t>
      </w:r>
      <w:r>
        <w:rPr>
          <w:color w:val="231F20"/>
          <w:w w:val="105"/>
        </w:rPr>
        <w:t>busca</w:t>
      </w:r>
      <w:r>
        <w:rPr>
          <w:color w:val="231F20"/>
          <w:spacing w:val="-32"/>
          <w:w w:val="105"/>
        </w:rPr>
        <w:t> </w:t>
      </w:r>
      <w:r>
        <w:rPr>
          <w:color w:val="231F20"/>
          <w:w w:val="105"/>
        </w:rPr>
        <w:t>un Estado,</w:t>
      </w:r>
      <w:r>
        <w:rPr>
          <w:color w:val="231F20"/>
          <w:spacing w:val="-32"/>
          <w:w w:val="105"/>
        </w:rPr>
        <w:t> </w:t>
      </w:r>
      <w:r>
        <w:rPr>
          <w:color w:val="231F20"/>
          <w:w w:val="105"/>
        </w:rPr>
        <w:t>Arabia</w:t>
      </w:r>
      <w:r>
        <w:rPr>
          <w:color w:val="231F20"/>
          <w:spacing w:val="-32"/>
          <w:w w:val="105"/>
        </w:rPr>
        <w:t> </w:t>
      </w:r>
      <w:r>
        <w:rPr>
          <w:color w:val="231F20"/>
          <w:w w:val="105"/>
        </w:rPr>
        <w:t>Saudita</w:t>
      </w:r>
      <w:r>
        <w:rPr>
          <w:color w:val="231F20"/>
          <w:spacing w:val="-32"/>
          <w:w w:val="105"/>
        </w:rPr>
        <w:t> </w:t>
      </w:r>
      <w:r>
        <w:rPr>
          <w:color w:val="231F20"/>
          <w:w w:val="105"/>
        </w:rPr>
        <w:t>es</w:t>
      </w:r>
      <w:r>
        <w:rPr>
          <w:color w:val="231F20"/>
          <w:spacing w:val="-32"/>
          <w:w w:val="105"/>
        </w:rPr>
        <w:t> </w:t>
      </w:r>
      <w:r>
        <w:rPr>
          <w:color w:val="231F20"/>
          <w:w w:val="105"/>
        </w:rPr>
        <w:t>un</w:t>
      </w:r>
      <w:r>
        <w:rPr>
          <w:color w:val="231F20"/>
          <w:spacing w:val="-32"/>
          <w:w w:val="105"/>
        </w:rPr>
        <w:t> </w:t>
      </w:r>
      <w:r>
        <w:rPr>
          <w:color w:val="231F20"/>
          <w:w w:val="105"/>
        </w:rPr>
        <w:t>negocio</w:t>
      </w:r>
      <w:r>
        <w:rPr>
          <w:color w:val="231F20"/>
          <w:spacing w:val="-32"/>
          <w:w w:val="105"/>
        </w:rPr>
        <w:t> </w:t>
      </w:r>
      <w:r>
        <w:rPr>
          <w:color w:val="231F20"/>
          <w:w w:val="105"/>
        </w:rPr>
        <w:t>familiar</w:t>
      </w:r>
      <w:r>
        <w:rPr>
          <w:color w:val="231F20"/>
          <w:spacing w:val="-32"/>
          <w:w w:val="105"/>
        </w:rPr>
        <w:t> </w:t>
      </w:r>
      <w:r>
        <w:rPr>
          <w:color w:val="231F20"/>
          <w:w w:val="105"/>
        </w:rPr>
        <w:t>en</w:t>
      </w:r>
      <w:r>
        <w:rPr>
          <w:color w:val="231F20"/>
          <w:spacing w:val="-32"/>
          <w:w w:val="105"/>
        </w:rPr>
        <w:t> </w:t>
      </w:r>
      <w:r>
        <w:rPr>
          <w:color w:val="231F20"/>
          <w:w w:val="105"/>
        </w:rPr>
        <w:t>forma</w:t>
      </w:r>
      <w:r>
        <w:rPr>
          <w:color w:val="231F20"/>
          <w:spacing w:val="-32"/>
          <w:w w:val="105"/>
        </w:rPr>
        <w:t> </w:t>
      </w:r>
      <w:r>
        <w:rPr>
          <w:color w:val="231F20"/>
          <w:w w:val="105"/>
        </w:rPr>
        <w:t>de</w:t>
      </w:r>
      <w:r>
        <w:rPr>
          <w:color w:val="231F20"/>
          <w:spacing w:val="-32"/>
          <w:w w:val="105"/>
        </w:rPr>
        <w:t> </w:t>
      </w:r>
      <w:r>
        <w:rPr>
          <w:color w:val="231F20"/>
          <w:w w:val="105"/>
        </w:rPr>
        <w:t>Estado,</w:t>
      </w:r>
      <w:r>
        <w:rPr>
          <w:color w:val="231F20"/>
          <w:spacing w:val="-32"/>
          <w:w w:val="105"/>
        </w:rPr>
        <w:t> </w:t>
      </w:r>
      <w:r>
        <w:rPr>
          <w:color w:val="231F20"/>
          <w:w w:val="105"/>
        </w:rPr>
        <w:t>si</w:t>
      </w:r>
      <w:r>
        <w:rPr>
          <w:color w:val="231F20"/>
          <w:spacing w:val="-32"/>
          <w:w w:val="105"/>
        </w:rPr>
        <w:t> </w:t>
      </w:r>
      <w:r>
        <w:rPr>
          <w:color w:val="231F20"/>
          <w:spacing w:val="-2"/>
          <w:w w:val="105"/>
        </w:rPr>
        <w:t>Israel </w:t>
      </w:r>
      <w:r>
        <w:rPr>
          <w:color w:val="231F20"/>
          <w:w w:val="105"/>
        </w:rPr>
        <w:t>es</w:t>
      </w:r>
      <w:r>
        <w:rPr>
          <w:color w:val="231F20"/>
          <w:spacing w:val="-29"/>
          <w:w w:val="105"/>
        </w:rPr>
        <w:t> </w:t>
      </w:r>
      <w:r>
        <w:rPr>
          <w:color w:val="231F20"/>
          <w:w w:val="105"/>
        </w:rPr>
        <w:t>una</w:t>
      </w:r>
      <w:r>
        <w:rPr>
          <w:color w:val="231F20"/>
          <w:spacing w:val="-29"/>
          <w:w w:val="105"/>
        </w:rPr>
        <w:t> </w:t>
      </w:r>
      <w:r>
        <w:rPr>
          <w:color w:val="231F20"/>
          <w:w w:val="105"/>
        </w:rPr>
        <w:t>fe</w:t>
      </w:r>
      <w:r>
        <w:rPr>
          <w:color w:val="231F20"/>
          <w:spacing w:val="-29"/>
          <w:w w:val="105"/>
        </w:rPr>
        <w:t> </w:t>
      </w:r>
      <w:r>
        <w:rPr>
          <w:color w:val="231F20"/>
          <w:w w:val="105"/>
        </w:rPr>
        <w:t>inscrita</w:t>
      </w:r>
      <w:r>
        <w:rPr>
          <w:color w:val="231F20"/>
          <w:spacing w:val="-29"/>
          <w:w w:val="105"/>
        </w:rPr>
        <w:t> </w:t>
      </w:r>
      <w:r>
        <w:rPr>
          <w:color w:val="231F20"/>
          <w:w w:val="105"/>
        </w:rPr>
        <w:t>en</w:t>
      </w:r>
      <w:r>
        <w:rPr>
          <w:color w:val="231F20"/>
          <w:spacing w:val="-29"/>
          <w:w w:val="105"/>
        </w:rPr>
        <w:t> </w:t>
      </w:r>
      <w:r>
        <w:rPr>
          <w:color w:val="231F20"/>
          <w:w w:val="105"/>
        </w:rPr>
        <w:t>un</w:t>
      </w:r>
      <w:r>
        <w:rPr>
          <w:color w:val="231F20"/>
          <w:spacing w:val="-29"/>
          <w:w w:val="105"/>
        </w:rPr>
        <w:t> </w:t>
      </w:r>
      <w:r>
        <w:rPr>
          <w:color w:val="231F20"/>
          <w:w w:val="105"/>
        </w:rPr>
        <w:t>Estado,</w:t>
      </w:r>
      <w:r>
        <w:rPr>
          <w:color w:val="231F20"/>
          <w:spacing w:val="-29"/>
          <w:w w:val="105"/>
        </w:rPr>
        <w:t> </w:t>
      </w:r>
      <w:r>
        <w:rPr>
          <w:color w:val="231F20"/>
          <w:w w:val="105"/>
        </w:rPr>
        <w:t>quién</w:t>
      </w:r>
      <w:r>
        <w:rPr>
          <w:color w:val="231F20"/>
          <w:spacing w:val="-29"/>
          <w:w w:val="105"/>
        </w:rPr>
        <w:t> </w:t>
      </w:r>
      <w:r>
        <w:rPr>
          <w:color w:val="231F20"/>
          <w:w w:val="105"/>
        </w:rPr>
        <w:t>sabe</w:t>
      </w:r>
      <w:r>
        <w:rPr>
          <w:color w:val="231F20"/>
          <w:spacing w:val="-29"/>
          <w:w w:val="105"/>
        </w:rPr>
        <w:t> </w:t>
      </w:r>
      <w:r>
        <w:rPr>
          <w:color w:val="231F20"/>
          <w:w w:val="105"/>
        </w:rPr>
        <w:t>qué</w:t>
      </w:r>
      <w:r>
        <w:rPr>
          <w:color w:val="231F20"/>
          <w:spacing w:val="-29"/>
          <w:w w:val="105"/>
        </w:rPr>
        <w:t> </w:t>
      </w:r>
      <w:r>
        <w:rPr>
          <w:color w:val="231F20"/>
          <w:w w:val="105"/>
        </w:rPr>
        <w:t>cosa</w:t>
      </w:r>
      <w:r>
        <w:rPr>
          <w:color w:val="231F20"/>
          <w:spacing w:val="-29"/>
          <w:w w:val="105"/>
        </w:rPr>
        <w:t> </w:t>
      </w:r>
      <w:r>
        <w:rPr>
          <w:color w:val="231F20"/>
          <w:w w:val="105"/>
        </w:rPr>
        <w:t>es</w:t>
      </w:r>
      <w:r>
        <w:rPr>
          <w:color w:val="231F20"/>
          <w:spacing w:val="-29"/>
          <w:w w:val="105"/>
        </w:rPr>
        <w:t> </w:t>
      </w:r>
      <w:r>
        <w:rPr>
          <w:color w:val="231F20"/>
          <w:w w:val="105"/>
        </w:rPr>
        <w:t>Moldavia?”</w:t>
      </w:r>
      <w:r>
        <w:rPr>
          <w:color w:val="231F20"/>
          <w:spacing w:val="-29"/>
          <w:w w:val="105"/>
        </w:rPr>
        <w:t> </w:t>
      </w:r>
      <w:r>
        <w:rPr>
          <w:color w:val="231F20"/>
          <w:w w:val="105"/>
        </w:rPr>
        <w:t>Obvia-</w:t>
      </w:r>
    </w:p>
    <w:p>
      <w:pPr>
        <w:pStyle w:val="BodyText"/>
        <w:rPr>
          <w:sz w:val="22"/>
        </w:rPr>
      </w:pPr>
    </w:p>
    <w:p>
      <w:pPr>
        <w:pStyle w:val="BodyText"/>
        <w:rPr>
          <w:sz w:val="22"/>
        </w:rPr>
      </w:pPr>
    </w:p>
    <w:p>
      <w:pPr>
        <w:pStyle w:val="BodyText"/>
        <w:rPr>
          <w:sz w:val="22"/>
        </w:rPr>
      </w:pPr>
    </w:p>
    <w:p>
      <w:pPr>
        <w:pStyle w:val="BodyText"/>
        <w:spacing w:before="4"/>
        <w:rPr>
          <w:sz w:val="24"/>
        </w:rPr>
      </w:pPr>
    </w:p>
    <w:p>
      <w:pPr>
        <w:tabs>
          <w:tab w:pos="1331" w:val="left" w:leader="none"/>
        </w:tabs>
        <w:spacing w:before="0"/>
        <w:ind w:left="281" w:right="0" w:firstLine="0"/>
        <w:jc w:val="left"/>
        <w:rPr>
          <w:rFonts w:ascii="Calibri"/>
          <w:sz w:val="16"/>
        </w:rPr>
      </w:pPr>
      <w:r>
        <w:rPr/>
        <w:pict>
          <v:group style="position:absolute;margin-left:98.787804pt;margin-top:-6.758812pt;width:20.4pt;height:43pt;mso-position-horizontal-relative:page;mso-position-vertical-relative:paragraph;z-index:-171952" coordorigin="1976,-135" coordsize="408,860">
            <v:line style="position:absolute" from="2225,4" to="2225,720" stroked="true" strokeweight=".35pt" strokecolor="#231f20"/>
            <v:shape style="position:absolute;left:2193;top:-82;width:190;height:445" type="#_x0000_t75" stroked="false">
              <v:imagedata r:id="rId40" o:title=""/>
            </v:shape>
            <v:shape style="position:absolute;left:1976;top:-135;width:250;height:502" type="#_x0000_t75" stroked="false">
              <v:imagedata r:id="rId41" o:title=""/>
            </v:shape>
            <w10:wrap type="none"/>
          </v:group>
        </w:pict>
      </w:r>
      <w:r>
        <w:rPr>
          <w:rFonts w:ascii="Arial"/>
          <w:color w:val="414042"/>
          <w:position w:val="-4"/>
          <w:sz w:val="20"/>
        </w:rPr>
        <w:t>54</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861" w:right="0" w:firstLine="0"/>
        <w:jc w:val="left"/>
        <w:rPr>
          <w:rFonts w:ascii="Arial" w:hAnsi="Arial"/>
          <w:sz w:val="20"/>
        </w:rPr>
      </w:pPr>
      <w:r>
        <w:rPr/>
        <w:pict>
          <v:group style="position:absolute;margin-left:383.821014pt;margin-top:-25.479271pt;width:8.65pt;height:41pt;mso-position-horizontal-relative:page;mso-position-vertical-relative:paragraph;z-index:-17190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3"/>
          <w:sz w:val="14"/>
        </w:rPr>
        <w:t> </w:t>
      </w:r>
      <w:r>
        <w:rPr>
          <w:rFonts w:ascii="Lucida Sans Unicode" w:hAnsi="Lucida Sans Unicode"/>
          <w:color w:val="6D6E71"/>
          <w:sz w:val="14"/>
        </w:rPr>
        <w:t>ESTADO</w:t>
      </w:r>
      <w:r>
        <w:rPr>
          <w:rFonts w:ascii="Lucida Sans Unicode" w:hAnsi="Lucida Sans Unicode"/>
          <w:color w:val="6D6E71"/>
          <w:spacing w:val="-23"/>
          <w:sz w:val="14"/>
        </w:rPr>
        <w:t> </w:t>
      </w:r>
      <w:r>
        <w:rPr>
          <w:rFonts w:ascii="Lucida Sans Unicode" w:hAnsi="Lucida Sans Unicode"/>
          <w:color w:val="6D6E71"/>
          <w:sz w:val="14"/>
        </w:rPr>
        <w:t>GLOBAL</w:t>
      </w:r>
      <w:r>
        <w:rPr>
          <w:rFonts w:ascii="Lucida Sans Unicode" w:hAnsi="Lucida Sans Unicode"/>
          <w:color w:val="6D6E71"/>
          <w:spacing w:val="-23"/>
          <w:sz w:val="14"/>
        </w:rPr>
        <w:t> </w:t>
      </w:r>
      <w:r>
        <w:rPr>
          <w:rFonts w:ascii="Lucida Sans Unicode" w:hAnsi="Lucida Sans Unicode"/>
          <w:color w:val="6D6E71"/>
          <w:sz w:val="14"/>
        </w:rPr>
        <w:t>Y</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EVOLUCIÓN</w:t>
      </w:r>
      <w:r>
        <w:rPr>
          <w:rFonts w:ascii="Lucida Sans Unicode" w:hAnsi="Lucida Sans Unicode"/>
          <w:color w:val="6D6E71"/>
          <w:spacing w:val="-23"/>
          <w:sz w:val="14"/>
        </w:rPr>
        <w:t> </w:t>
      </w:r>
      <w:r>
        <w:rPr>
          <w:rFonts w:ascii="Lucida Sans Unicode" w:hAnsi="Lucida Sans Unicode"/>
          <w:color w:val="6D6E71"/>
          <w:sz w:val="14"/>
        </w:rPr>
        <w:t>DE</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SOBERANÍA</w:t>
      </w:r>
      <w:r>
        <w:rPr>
          <w:rFonts w:ascii="Arial" w:hAnsi="Arial"/>
          <w:color w:val="414042"/>
          <w:position w:val="-3"/>
          <w:sz w:val="20"/>
        </w:rPr>
        <w:tab/>
        <w:t>55</w:t>
      </w:r>
    </w:p>
    <w:p>
      <w:pPr>
        <w:pStyle w:val="BodyText"/>
        <w:rPr>
          <w:rFonts w:ascii="Arial"/>
          <w:sz w:val="20"/>
        </w:rPr>
      </w:pPr>
    </w:p>
    <w:p>
      <w:pPr>
        <w:pStyle w:val="BodyText"/>
        <w:rPr>
          <w:rFonts w:ascii="Arial"/>
          <w:sz w:val="20"/>
        </w:rPr>
      </w:pPr>
    </w:p>
    <w:p>
      <w:pPr>
        <w:pStyle w:val="BodyText"/>
        <w:spacing w:line="247" w:lineRule="auto" w:before="163"/>
        <w:ind w:left="117" w:right="101"/>
        <w:jc w:val="both"/>
      </w:pPr>
      <w:r>
        <w:rPr>
          <w:color w:val="231F20"/>
        </w:rPr>
        <w:t>mente hay respuestas</w:t>
      </w:r>
      <w:r>
        <w:rPr>
          <w:color w:val="231F20"/>
          <w:position w:val="7"/>
          <w:sz w:val="12"/>
        </w:rPr>
        <w:t>55</w:t>
      </w:r>
      <w:r>
        <w:rPr>
          <w:color w:val="231F20"/>
        </w:rPr>
        <w:t>. Lo que a </w:t>
      </w:r>
      <w:r>
        <w:rPr>
          <w:color w:val="231F20"/>
          <w:spacing w:val="-3"/>
        </w:rPr>
        <w:t>nosotros </w:t>
      </w:r>
      <w:r>
        <w:rPr>
          <w:color w:val="231F20"/>
        </w:rPr>
        <w:t>nos </w:t>
      </w:r>
      <w:r>
        <w:rPr>
          <w:color w:val="231F20"/>
          <w:spacing w:val="-3"/>
        </w:rPr>
        <w:t>interesa </w:t>
      </w:r>
      <w:r>
        <w:rPr>
          <w:color w:val="231F20"/>
        </w:rPr>
        <w:t>es el plano de la </w:t>
      </w:r>
      <w:r>
        <w:rPr>
          <w:color w:val="231F20"/>
          <w:spacing w:val="-3"/>
        </w:rPr>
        <w:t>pregunta </w:t>
      </w:r>
      <w:r>
        <w:rPr>
          <w:color w:val="231F20"/>
        </w:rPr>
        <w:t>que no afecta solamente a la </w:t>
      </w:r>
      <w:r>
        <w:rPr>
          <w:color w:val="231F20"/>
          <w:spacing w:val="-3"/>
        </w:rPr>
        <w:t>organización </w:t>
      </w:r>
      <w:r>
        <w:rPr>
          <w:color w:val="231F20"/>
        </w:rPr>
        <w:t>institucional, sino a su legitimación.</w:t>
      </w:r>
      <w:r>
        <w:rPr>
          <w:color w:val="231F20"/>
          <w:spacing w:val="-8"/>
        </w:rPr>
        <w:t> </w:t>
      </w:r>
      <w:r>
        <w:rPr>
          <w:color w:val="231F20"/>
        </w:rPr>
        <w:t>En</w:t>
      </w:r>
      <w:r>
        <w:rPr>
          <w:color w:val="231F20"/>
          <w:spacing w:val="-8"/>
        </w:rPr>
        <w:t> </w:t>
      </w:r>
      <w:r>
        <w:rPr>
          <w:color w:val="231F20"/>
          <w:spacing w:val="-3"/>
        </w:rPr>
        <w:t>otros</w:t>
      </w:r>
      <w:r>
        <w:rPr>
          <w:color w:val="231F20"/>
          <w:spacing w:val="-8"/>
        </w:rPr>
        <w:t> </w:t>
      </w:r>
      <w:r>
        <w:rPr>
          <w:color w:val="231F20"/>
        </w:rPr>
        <w:t>dos</w:t>
      </w:r>
      <w:r>
        <w:rPr>
          <w:color w:val="231F20"/>
          <w:spacing w:val="-7"/>
        </w:rPr>
        <w:t> </w:t>
      </w:r>
      <w:r>
        <w:rPr>
          <w:color w:val="231F20"/>
        </w:rPr>
        <w:t>ensayos</w:t>
      </w:r>
      <w:r>
        <w:rPr>
          <w:color w:val="231F20"/>
          <w:spacing w:val="-8"/>
        </w:rPr>
        <w:t> </w:t>
      </w:r>
      <w:r>
        <w:rPr>
          <w:color w:val="231F20"/>
        </w:rPr>
        <w:t>Geertz</w:t>
      </w:r>
      <w:r>
        <w:rPr>
          <w:color w:val="231F20"/>
          <w:spacing w:val="-7"/>
        </w:rPr>
        <w:t> </w:t>
      </w:r>
      <w:r>
        <w:rPr>
          <w:color w:val="231F20"/>
        </w:rPr>
        <w:t>se</w:t>
      </w:r>
      <w:r>
        <w:rPr>
          <w:color w:val="231F20"/>
          <w:spacing w:val="-8"/>
        </w:rPr>
        <w:t> </w:t>
      </w:r>
      <w:r>
        <w:rPr>
          <w:color w:val="231F20"/>
          <w:spacing w:val="-3"/>
        </w:rPr>
        <w:t>preguntaba:</w:t>
      </w:r>
      <w:r>
        <w:rPr>
          <w:color w:val="231F20"/>
          <w:spacing w:val="-8"/>
        </w:rPr>
        <w:t> </w:t>
      </w:r>
      <w:r>
        <w:rPr>
          <w:color w:val="231F20"/>
        </w:rPr>
        <w:t>“¿qué</w:t>
      </w:r>
      <w:r>
        <w:rPr>
          <w:color w:val="231F20"/>
          <w:spacing w:val="-7"/>
        </w:rPr>
        <w:t> </w:t>
      </w:r>
      <w:r>
        <w:rPr>
          <w:color w:val="231F20"/>
        </w:rPr>
        <w:t>cosa</w:t>
      </w:r>
      <w:r>
        <w:rPr>
          <w:color w:val="231F20"/>
          <w:spacing w:val="-8"/>
        </w:rPr>
        <w:t> </w:t>
      </w:r>
      <w:r>
        <w:rPr>
          <w:color w:val="231F20"/>
        </w:rPr>
        <w:t>es</w:t>
      </w:r>
      <w:r>
        <w:rPr>
          <w:color w:val="231F20"/>
          <w:spacing w:val="-8"/>
        </w:rPr>
        <w:t> </w:t>
      </w:r>
      <w:r>
        <w:rPr>
          <w:color w:val="231F20"/>
        </w:rPr>
        <w:t>un país</w:t>
      </w:r>
      <w:r>
        <w:rPr>
          <w:color w:val="231F20"/>
          <w:spacing w:val="-20"/>
        </w:rPr>
        <w:t> </w:t>
      </w:r>
      <w:r>
        <w:rPr>
          <w:color w:val="231F20"/>
        </w:rPr>
        <w:t>si</w:t>
      </w:r>
      <w:r>
        <w:rPr>
          <w:color w:val="231F20"/>
          <w:spacing w:val="-20"/>
        </w:rPr>
        <w:t> </w:t>
      </w:r>
      <w:r>
        <w:rPr>
          <w:color w:val="231F20"/>
        </w:rPr>
        <w:t>no</w:t>
      </w:r>
      <w:r>
        <w:rPr>
          <w:color w:val="231F20"/>
          <w:spacing w:val="-20"/>
        </w:rPr>
        <w:t> </w:t>
      </w:r>
      <w:r>
        <w:rPr>
          <w:color w:val="231F20"/>
        </w:rPr>
        <w:t>es</w:t>
      </w:r>
      <w:r>
        <w:rPr>
          <w:color w:val="231F20"/>
          <w:spacing w:val="-20"/>
        </w:rPr>
        <w:t> </w:t>
      </w:r>
      <w:r>
        <w:rPr>
          <w:color w:val="231F20"/>
        </w:rPr>
        <w:t>una</w:t>
      </w:r>
      <w:r>
        <w:rPr>
          <w:color w:val="231F20"/>
          <w:spacing w:val="-20"/>
        </w:rPr>
        <w:t> </w:t>
      </w:r>
      <w:r>
        <w:rPr>
          <w:color w:val="231F20"/>
        </w:rPr>
        <w:t>nación?</w:t>
      </w:r>
      <w:r>
        <w:rPr>
          <w:color w:val="231F20"/>
          <w:spacing w:val="-20"/>
        </w:rPr>
        <w:t> </w:t>
      </w:r>
      <w:r>
        <w:rPr>
          <w:color w:val="231F20"/>
        </w:rPr>
        <w:t>y</w:t>
      </w:r>
      <w:r>
        <w:rPr>
          <w:color w:val="231F20"/>
          <w:spacing w:val="-20"/>
        </w:rPr>
        <w:t> </w:t>
      </w:r>
      <w:r>
        <w:rPr>
          <w:color w:val="231F20"/>
        </w:rPr>
        <w:t>¿qué</w:t>
      </w:r>
      <w:r>
        <w:rPr>
          <w:color w:val="231F20"/>
          <w:spacing w:val="-20"/>
        </w:rPr>
        <w:t> </w:t>
      </w:r>
      <w:r>
        <w:rPr>
          <w:color w:val="231F20"/>
        </w:rPr>
        <w:t>cosa</w:t>
      </w:r>
      <w:r>
        <w:rPr>
          <w:color w:val="231F20"/>
          <w:spacing w:val="-20"/>
        </w:rPr>
        <w:t> </w:t>
      </w:r>
      <w:r>
        <w:rPr>
          <w:color w:val="231F20"/>
        </w:rPr>
        <w:t>es</w:t>
      </w:r>
      <w:r>
        <w:rPr>
          <w:color w:val="231F20"/>
          <w:spacing w:val="-20"/>
        </w:rPr>
        <w:t> </w:t>
      </w:r>
      <w:r>
        <w:rPr>
          <w:color w:val="231F20"/>
        </w:rPr>
        <w:t>una</w:t>
      </w:r>
      <w:r>
        <w:rPr>
          <w:color w:val="231F20"/>
          <w:spacing w:val="-20"/>
        </w:rPr>
        <w:t> </w:t>
      </w:r>
      <w:r>
        <w:rPr>
          <w:color w:val="231F20"/>
        </w:rPr>
        <w:t>cultura</w:t>
      </w:r>
      <w:r>
        <w:rPr>
          <w:color w:val="231F20"/>
          <w:spacing w:val="-20"/>
        </w:rPr>
        <w:t> </w:t>
      </w:r>
      <w:r>
        <w:rPr>
          <w:color w:val="231F20"/>
        </w:rPr>
        <w:t>si</w:t>
      </w:r>
      <w:r>
        <w:rPr>
          <w:color w:val="231F20"/>
          <w:spacing w:val="-20"/>
        </w:rPr>
        <w:t> </w:t>
      </w:r>
      <w:r>
        <w:rPr>
          <w:color w:val="231F20"/>
        </w:rPr>
        <w:t>no</w:t>
      </w:r>
      <w:r>
        <w:rPr>
          <w:color w:val="231F20"/>
          <w:spacing w:val="-20"/>
        </w:rPr>
        <w:t> </w:t>
      </w:r>
      <w:r>
        <w:rPr>
          <w:color w:val="231F20"/>
        </w:rPr>
        <w:t>es</w:t>
      </w:r>
      <w:r>
        <w:rPr>
          <w:color w:val="231F20"/>
          <w:spacing w:val="-20"/>
        </w:rPr>
        <w:t> </w:t>
      </w:r>
      <w:r>
        <w:rPr>
          <w:color w:val="231F20"/>
        </w:rPr>
        <w:t>un</w:t>
      </w:r>
      <w:r>
        <w:rPr>
          <w:color w:val="231F20"/>
          <w:spacing w:val="-20"/>
        </w:rPr>
        <w:t> </w:t>
      </w:r>
      <w:r>
        <w:rPr>
          <w:color w:val="231F20"/>
        </w:rPr>
        <w:t>consenso?”</w:t>
      </w:r>
      <w:r>
        <w:rPr>
          <w:color w:val="231F20"/>
          <w:position w:val="7"/>
          <w:sz w:val="12"/>
        </w:rPr>
        <w:t>56 </w:t>
      </w:r>
      <w:r>
        <w:rPr>
          <w:color w:val="231F20"/>
        </w:rPr>
        <w:t>Estas</w:t>
      </w:r>
      <w:r>
        <w:rPr>
          <w:color w:val="231F20"/>
          <w:spacing w:val="-12"/>
        </w:rPr>
        <w:t> </w:t>
      </w:r>
      <w:r>
        <w:rPr>
          <w:color w:val="231F20"/>
        </w:rPr>
        <w:t>dos</w:t>
      </w:r>
      <w:r>
        <w:rPr>
          <w:color w:val="231F20"/>
          <w:spacing w:val="-12"/>
        </w:rPr>
        <w:t> </w:t>
      </w:r>
      <w:r>
        <w:rPr>
          <w:color w:val="231F20"/>
          <w:spacing w:val="-3"/>
        </w:rPr>
        <w:t>preguntas</w:t>
      </w:r>
      <w:r>
        <w:rPr>
          <w:color w:val="231F20"/>
          <w:spacing w:val="-12"/>
        </w:rPr>
        <w:t> </w:t>
      </w:r>
      <w:r>
        <w:rPr>
          <w:color w:val="231F20"/>
        </w:rPr>
        <w:t>imponen</w:t>
      </w:r>
      <w:r>
        <w:rPr>
          <w:color w:val="231F20"/>
          <w:spacing w:val="-12"/>
        </w:rPr>
        <w:t> </w:t>
      </w:r>
      <w:r>
        <w:rPr>
          <w:color w:val="231F20"/>
        </w:rPr>
        <w:t>un</w:t>
      </w:r>
      <w:r>
        <w:rPr>
          <w:color w:val="231F20"/>
          <w:spacing w:val="-12"/>
        </w:rPr>
        <w:t> </w:t>
      </w:r>
      <w:r>
        <w:rPr>
          <w:color w:val="231F20"/>
        </w:rPr>
        <w:t>plan</w:t>
      </w:r>
      <w:r>
        <w:rPr>
          <w:color w:val="231F20"/>
          <w:spacing w:val="-12"/>
        </w:rPr>
        <w:t> </w:t>
      </w:r>
      <w:r>
        <w:rPr>
          <w:color w:val="231F20"/>
        </w:rPr>
        <w:t>de</w:t>
      </w:r>
      <w:r>
        <w:rPr>
          <w:color w:val="231F20"/>
          <w:spacing w:val="-12"/>
        </w:rPr>
        <w:t> </w:t>
      </w:r>
      <w:r>
        <w:rPr>
          <w:color w:val="231F20"/>
        </w:rPr>
        <w:t>análisis</w:t>
      </w:r>
      <w:r>
        <w:rPr>
          <w:color w:val="231F20"/>
          <w:spacing w:val="-12"/>
        </w:rPr>
        <w:t> </w:t>
      </w:r>
      <w:r>
        <w:rPr>
          <w:color w:val="231F20"/>
        </w:rPr>
        <w:t>que</w:t>
      </w:r>
      <w:r>
        <w:rPr>
          <w:color w:val="231F20"/>
          <w:spacing w:val="-12"/>
        </w:rPr>
        <w:t> </w:t>
      </w:r>
      <w:r>
        <w:rPr>
          <w:color w:val="231F20"/>
        </w:rPr>
        <w:t>alcanza</w:t>
      </w:r>
      <w:r>
        <w:rPr>
          <w:color w:val="231F20"/>
          <w:spacing w:val="-12"/>
        </w:rPr>
        <w:t> </w:t>
      </w:r>
      <w:r>
        <w:rPr>
          <w:color w:val="231F20"/>
        </w:rPr>
        <w:t>el</w:t>
      </w:r>
      <w:r>
        <w:rPr>
          <w:color w:val="231F20"/>
          <w:spacing w:val="-12"/>
        </w:rPr>
        <w:t> </w:t>
      </w:r>
      <w:r>
        <w:rPr>
          <w:color w:val="231F20"/>
        </w:rPr>
        <w:t>mismo</w:t>
      </w:r>
      <w:r>
        <w:rPr>
          <w:color w:val="231F20"/>
          <w:spacing w:val="-12"/>
        </w:rPr>
        <w:t> </w:t>
      </w:r>
      <w:r>
        <w:rPr>
          <w:color w:val="231F20"/>
        </w:rPr>
        <w:t>fun- damento de posibilidad del Estado moderno poniéndolo de </w:t>
      </w:r>
      <w:r>
        <w:rPr>
          <w:color w:val="231F20"/>
          <w:spacing w:val="-3"/>
        </w:rPr>
        <w:t>frente </w:t>
      </w:r>
      <w:r>
        <w:rPr>
          <w:color w:val="231F20"/>
        </w:rPr>
        <w:t>a aque- llas que históricamente </w:t>
      </w:r>
      <w:r>
        <w:rPr>
          <w:color w:val="231F20"/>
          <w:spacing w:val="-3"/>
        </w:rPr>
        <w:t>parecían </w:t>
      </w:r>
      <w:r>
        <w:rPr>
          <w:color w:val="231F20"/>
        </w:rPr>
        <w:t>adquisiciones estables. Las </w:t>
      </w:r>
      <w:r>
        <w:rPr>
          <w:color w:val="231F20"/>
          <w:spacing w:val="-3"/>
        </w:rPr>
        <w:t>respuestas </w:t>
      </w:r>
      <w:r>
        <w:rPr>
          <w:color w:val="231F20"/>
        </w:rPr>
        <w:t>de los </w:t>
      </w:r>
      <w:r>
        <w:rPr>
          <w:color w:val="231F20"/>
          <w:spacing w:val="-3"/>
        </w:rPr>
        <w:t>antropólogos </w:t>
      </w:r>
      <w:r>
        <w:rPr>
          <w:color w:val="231F20"/>
        </w:rPr>
        <w:t>se </w:t>
      </w:r>
      <w:r>
        <w:rPr>
          <w:color w:val="231F20"/>
          <w:spacing w:val="-3"/>
        </w:rPr>
        <w:t>organizan </w:t>
      </w:r>
      <w:r>
        <w:rPr>
          <w:color w:val="231F20"/>
        </w:rPr>
        <w:t>con </w:t>
      </w:r>
      <w:r>
        <w:rPr>
          <w:color w:val="231F20"/>
          <w:spacing w:val="-3"/>
        </w:rPr>
        <w:t>frecuencia </w:t>
      </w:r>
      <w:r>
        <w:rPr>
          <w:color w:val="231F20"/>
        </w:rPr>
        <w:t>en torno a una noción </w:t>
      </w:r>
      <w:r>
        <w:rPr>
          <w:color w:val="231F20"/>
          <w:spacing w:val="-3"/>
        </w:rPr>
        <w:t>resba- </w:t>
      </w:r>
      <w:r>
        <w:rPr>
          <w:color w:val="231F20"/>
        </w:rPr>
        <w:t>ladiza</w:t>
      </w:r>
      <w:r>
        <w:rPr>
          <w:color w:val="231F20"/>
          <w:spacing w:val="-6"/>
        </w:rPr>
        <w:t> </w:t>
      </w:r>
      <w:r>
        <w:rPr>
          <w:color w:val="231F20"/>
        </w:rPr>
        <w:t>y</w:t>
      </w:r>
      <w:r>
        <w:rPr>
          <w:color w:val="231F20"/>
          <w:spacing w:val="-6"/>
        </w:rPr>
        <w:t> </w:t>
      </w:r>
      <w:r>
        <w:rPr>
          <w:color w:val="231F20"/>
        </w:rPr>
        <w:t>compleja</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de</w:t>
      </w:r>
      <w:r>
        <w:rPr>
          <w:color w:val="231F20"/>
          <w:spacing w:val="-6"/>
        </w:rPr>
        <w:t> </w:t>
      </w:r>
      <w:r>
        <w:rPr>
          <w:color w:val="231F20"/>
        </w:rPr>
        <w:t>identidad:</w:t>
      </w:r>
      <w:r>
        <w:rPr>
          <w:color w:val="231F20"/>
          <w:spacing w:val="-6"/>
        </w:rPr>
        <w:t> </w:t>
      </w:r>
      <w:r>
        <w:rPr>
          <w:color w:val="231F20"/>
        </w:rPr>
        <w:t>subiendo</w:t>
      </w:r>
      <w:r>
        <w:rPr>
          <w:color w:val="231F20"/>
          <w:spacing w:val="-6"/>
        </w:rPr>
        <w:t> </w:t>
      </w:r>
      <w:r>
        <w:rPr>
          <w:color w:val="231F20"/>
        </w:rPr>
        <w:t>de</w:t>
      </w:r>
      <w:r>
        <w:rPr>
          <w:color w:val="231F20"/>
          <w:spacing w:val="-6"/>
        </w:rPr>
        <w:t> </w:t>
      </w:r>
      <w:r>
        <w:rPr>
          <w:color w:val="231F20"/>
        </w:rPr>
        <w:t>alguna</w:t>
      </w:r>
      <w:r>
        <w:rPr>
          <w:color w:val="231F20"/>
          <w:spacing w:val="-6"/>
        </w:rPr>
        <w:t> </w:t>
      </w:r>
      <w:r>
        <w:rPr>
          <w:color w:val="231F20"/>
        </w:rPr>
        <w:t>manera</w:t>
      </w:r>
      <w:r>
        <w:rPr>
          <w:color w:val="231F20"/>
          <w:spacing w:val="-6"/>
        </w:rPr>
        <w:t> </w:t>
      </w:r>
      <w:r>
        <w:rPr>
          <w:color w:val="231F20"/>
        </w:rPr>
        <w:t>desde las identidades individuales o de grupo, éstas llegan a constituir la posible identidad política que debería legitimar la acción del</w:t>
      </w:r>
      <w:r>
        <w:rPr>
          <w:color w:val="231F20"/>
          <w:spacing w:val="7"/>
        </w:rPr>
        <w:t> </w:t>
      </w:r>
      <w:r>
        <w:rPr>
          <w:color w:val="231F20"/>
        </w:rPr>
        <w:t>Estado.</w:t>
      </w:r>
    </w:p>
    <w:p>
      <w:pPr>
        <w:pStyle w:val="BodyText"/>
        <w:spacing w:before="5"/>
        <w:rPr>
          <w:sz w:val="24"/>
        </w:rPr>
      </w:pPr>
    </w:p>
    <w:p>
      <w:pPr>
        <w:spacing w:before="1"/>
        <w:ind w:left="117" w:right="0" w:firstLine="0"/>
        <w:jc w:val="both"/>
        <w:rPr>
          <w:rFonts w:ascii="Arial"/>
          <w:i/>
          <w:sz w:val="21"/>
        </w:rPr>
      </w:pPr>
      <w:r>
        <w:rPr>
          <w:rFonts w:ascii="Arial"/>
          <w:i/>
          <w:color w:val="231F20"/>
          <w:w w:val="105"/>
          <w:sz w:val="21"/>
        </w:rPr>
        <w:t>Problemas del Estado global</w:t>
      </w:r>
    </w:p>
    <w:p>
      <w:pPr>
        <w:pStyle w:val="BodyText"/>
        <w:rPr>
          <w:rFonts w:ascii="Arial"/>
          <w:i/>
          <w:sz w:val="20"/>
        </w:rPr>
      </w:pPr>
    </w:p>
    <w:p>
      <w:pPr>
        <w:pStyle w:val="BodyText"/>
        <w:spacing w:line="247" w:lineRule="auto" w:before="172"/>
        <w:ind w:left="117" w:right="101"/>
        <w:jc w:val="both"/>
      </w:pPr>
      <w:r>
        <w:rPr>
          <w:color w:val="231F20"/>
          <w:w w:val="105"/>
        </w:rPr>
        <w:t>En</w:t>
      </w:r>
      <w:r>
        <w:rPr>
          <w:color w:val="231F20"/>
          <w:spacing w:val="-21"/>
          <w:w w:val="105"/>
        </w:rPr>
        <w:t> </w:t>
      </w:r>
      <w:r>
        <w:rPr>
          <w:color w:val="231F20"/>
          <w:w w:val="105"/>
        </w:rPr>
        <w:t>realidad</w:t>
      </w:r>
      <w:r>
        <w:rPr>
          <w:color w:val="231F20"/>
          <w:spacing w:val="-21"/>
          <w:w w:val="105"/>
        </w:rPr>
        <w:t> </w:t>
      </w:r>
      <w:r>
        <w:rPr>
          <w:color w:val="231F20"/>
          <w:w w:val="105"/>
        </w:rPr>
        <w:t>se</w:t>
      </w:r>
      <w:r>
        <w:rPr>
          <w:color w:val="231F20"/>
          <w:spacing w:val="-21"/>
          <w:w w:val="105"/>
        </w:rPr>
        <w:t> </w:t>
      </w:r>
      <w:r>
        <w:rPr>
          <w:color w:val="231F20"/>
          <w:w w:val="105"/>
        </w:rPr>
        <w:t>trata</w:t>
      </w:r>
      <w:r>
        <w:rPr>
          <w:color w:val="231F20"/>
          <w:spacing w:val="-21"/>
          <w:w w:val="105"/>
        </w:rPr>
        <w:t> </w:t>
      </w:r>
      <w:r>
        <w:rPr>
          <w:color w:val="231F20"/>
          <w:w w:val="105"/>
        </w:rPr>
        <w:t>de</w:t>
      </w:r>
      <w:r>
        <w:rPr>
          <w:color w:val="231F20"/>
          <w:spacing w:val="-21"/>
          <w:w w:val="105"/>
        </w:rPr>
        <w:t> </w:t>
      </w:r>
      <w:r>
        <w:rPr>
          <w:color w:val="231F20"/>
          <w:w w:val="105"/>
        </w:rPr>
        <w:t>una</w:t>
      </w:r>
      <w:r>
        <w:rPr>
          <w:color w:val="231F20"/>
          <w:spacing w:val="-21"/>
          <w:w w:val="105"/>
        </w:rPr>
        <w:t> </w:t>
      </w:r>
      <w:r>
        <w:rPr>
          <w:color w:val="231F20"/>
          <w:w w:val="105"/>
        </w:rPr>
        <w:t>postura</w:t>
      </w:r>
      <w:r>
        <w:rPr>
          <w:color w:val="231F20"/>
          <w:spacing w:val="-21"/>
          <w:w w:val="105"/>
        </w:rPr>
        <w:t> </w:t>
      </w:r>
      <w:r>
        <w:rPr>
          <w:color w:val="231F20"/>
          <w:w w:val="105"/>
        </w:rPr>
        <w:t>que</w:t>
      </w:r>
      <w:r>
        <w:rPr>
          <w:color w:val="231F20"/>
          <w:spacing w:val="-21"/>
          <w:w w:val="105"/>
        </w:rPr>
        <w:t> </w:t>
      </w:r>
      <w:r>
        <w:rPr>
          <w:color w:val="231F20"/>
          <w:w w:val="105"/>
        </w:rPr>
        <w:t>puede</w:t>
      </w:r>
      <w:r>
        <w:rPr>
          <w:color w:val="231F20"/>
          <w:spacing w:val="-21"/>
          <w:w w:val="105"/>
        </w:rPr>
        <w:t> </w:t>
      </w:r>
      <w:r>
        <w:rPr>
          <w:color w:val="231F20"/>
          <w:w w:val="105"/>
        </w:rPr>
        <w:t>resultar</w:t>
      </w:r>
      <w:r>
        <w:rPr>
          <w:color w:val="231F20"/>
          <w:spacing w:val="-21"/>
          <w:w w:val="105"/>
        </w:rPr>
        <w:t> </w:t>
      </w:r>
      <w:r>
        <w:rPr>
          <w:color w:val="231F20"/>
          <w:w w:val="105"/>
        </w:rPr>
        <w:t>complementaria</w:t>
      </w:r>
      <w:r>
        <w:rPr>
          <w:color w:val="231F20"/>
          <w:spacing w:val="-21"/>
          <w:w w:val="105"/>
        </w:rPr>
        <w:t> </w:t>
      </w:r>
      <w:r>
        <w:rPr>
          <w:color w:val="231F20"/>
          <w:w w:val="105"/>
        </w:rPr>
        <w:t>a aquella</w:t>
      </w:r>
      <w:r>
        <w:rPr>
          <w:color w:val="231F20"/>
          <w:spacing w:val="-23"/>
          <w:w w:val="105"/>
        </w:rPr>
        <w:t> </w:t>
      </w:r>
      <w:r>
        <w:rPr>
          <w:color w:val="231F20"/>
          <w:w w:val="105"/>
        </w:rPr>
        <w:t>clásicamente</w:t>
      </w:r>
      <w:r>
        <w:rPr>
          <w:color w:val="231F20"/>
          <w:spacing w:val="-23"/>
          <w:w w:val="105"/>
        </w:rPr>
        <w:t> </w:t>
      </w:r>
      <w:r>
        <w:rPr>
          <w:color w:val="231F20"/>
          <w:w w:val="105"/>
        </w:rPr>
        <w:t>política</w:t>
      </w:r>
      <w:r>
        <w:rPr>
          <w:color w:val="231F20"/>
          <w:spacing w:val="-23"/>
          <w:w w:val="105"/>
        </w:rPr>
        <w:t> </w:t>
      </w:r>
      <w:r>
        <w:rPr>
          <w:color w:val="231F20"/>
          <w:w w:val="105"/>
        </w:rPr>
        <w:t>que</w:t>
      </w:r>
      <w:r>
        <w:rPr>
          <w:color w:val="231F20"/>
          <w:spacing w:val="-23"/>
          <w:w w:val="105"/>
        </w:rPr>
        <w:t> </w:t>
      </w:r>
      <w:r>
        <w:rPr>
          <w:color w:val="231F20"/>
          <w:w w:val="105"/>
        </w:rPr>
        <w:t>asigna</w:t>
      </w:r>
      <w:r>
        <w:rPr>
          <w:color w:val="231F20"/>
          <w:spacing w:val="-23"/>
          <w:w w:val="105"/>
        </w:rPr>
        <w:t> </w:t>
      </w:r>
      <w:r>
        <w:rPr>
          <w:color w:val="231F20"/>
          <w:w w:val="105"/>
        </w:rPr>
        <w:t>al</w:t>
      </w:r>
      <w:r>
        <w:rPr>
          <w:color w:val="231F20"/>
          <w:spacing w:val="-23"/>
          <w:w w:val="105"/>
        </w:rPr>
        <w:t> </w:t>
      </w:r>
      <w:r>
        <w:rPr>
          <w:color w:val="231F20"/>
          <w:w w:val="105"/>
        </w:rPr>
        <w:t>Estado</w:t>
      </w:r>
      <w:r>
        <w:rPr>
          <w:color w:val="231F20"/>
          <w:spacing w:val="-23"/>
          <w:w w:val="105"/>
        </w:rPr>
        <w:t> </w:t>
      </w:r>
      <w:r>
        <w:rPr>
          <w:color w:val="231F20"/>
          <w:w w:val="105"/>
        </w:rPr>
        <w:t>la</w:t>
      </w:r>
      <w:r>
        <w:rPr>
          <w:color w:val="231F20"/>
          <w:spacing w:val="-23"/>
          <w:w w:val="105"/>
        </w:rPr>
        <w:t> </w:t>
      </w:r>
      <w:r>
        <w:rPr>
          <w:color w:val="231F20"/>
          <w:w w:val="105"/>
        </w:rPr>
        <w:t>tarea</w:t>
      </w:r>
      <w:r>
        <w:rPr>
          <w:color w:val="231F20"/>
          <w:spacing w:val="-23"/>
          <w:w w:val="105"/>
        </w:rPr>
        <w:t> </w:t>
      </w:r>
      <w:r>
        <w:rPr>
          <w:color w:val="231F20"/>
          <w:w w:val="105"/>
        </w:rPr>
        <w:t>de</w:t>
      </w:r>
      <w:r>
        <w:rPr>
          <w:color w:val="231F20"/>
          <w:spacing w:val="-23"/>
          <w:w w:val="105"/>
        </w:rPr>
        <w:t> </w:t>
      </w:r>
      <w:r>
        <w:rPr>
          <w:color w:val="231F20"/>
          <w:w w:val="105"/>
        </w:rPr>
        <w:t>representar la</w:t>
      </w:r>
      <w:r>
        <w:rPr>
          <w:color w:val="231F20"/>
          <w:spacing w:val="-15"/>
          <w:w w:val="105"/>
        </w:rPr>
        <w:t> </w:t>
      </w:r>
      <w:r>
        <w:rPr>
          <w:color w:val="231F20"/>
          <w:w w:val="105"/>
        </w:rPr>
        <w:t>unidad</w:t>
      </w:r>
      <w:r>
        <w:rPr>
          <w:color w:val="231F20"/>
          <w:spacing w:val="-15"/>
          <w:w w:val="105"/>
        </w:rPr>
        <w:t> </w:t>
      </w:r>
      <w:r>
        <w:rPr>
          <w:color w:val="231F20"/>
          <w:w w:val="105"/>
        </w:rPr>
        <w:t>política.</w:t>
      </w:r>
      <w:r>
        <w:rPr>
          <w:color w:val="231F20"/>
          <w:spacing w:val="-15"/>
          <w:w w:val="105"/>
        </w:rPr>
        <w:t> </w:t>
      </w:r>
      <w:r>
        <w:rPr>
          <w:color w:val="231F20"/>
          <w:w w:val="105"/>
        </w:rPr>
        <w:t>“Los</w:t>
      </w:r>
      <w:r>
        <w:rPr>
          <w:color w:val="231F20"/>
          <w:spacing w:val="-15"/>
          <w:w w:val="105"/>
        </w:rPr>
        <w:t> </w:t>
      </w:r>
      <w:r>
        <w:rPr>
          <w:color w:val="231F20"/>
          <w:w w:val="105"/>
        </w:rPr>
        <w:t>análisis</w:t>
      </w:r>
      <w:r>
        <w:rPr>
          <w:color w:val="231F20"/>
          <w:spacing w:val="-15"/>
          <w:w w:val="105"/>
        </w:rPr>
        <w:t> </w:t>
      </w:r>
      <w:r>
        <w:rPr>
          <w:color w:val="231F20"/>
          <w:w w:val="105"/>
        </w:rPr>
        <w:t>antropológicos</w:t>
      </w:r>
      <w:r>
        <w:rPr>
          <w:color w:val="231F20"/>
          <w:spacing w:val="-15"/>
          <w:w w:val="105"/>
        </w:rPr>
        <w:t> </w:t>
      </w:r>
      <w:r>
        <w:rPr>
          <w:color w:val="231F20"/>
          <w:w w:val="105"/>
        </w:rPr>
        <w:t>del</w:t>
      </w:r>
      <w:r>
        <w:rPr>
          <w:color w:val="231F20"/>
          <w:spacing w:val="-15"/>
          <w:w w:val="105"/>
        </w:rPr>
        <w:t> </w:t>
      </w:r>
      <w:r>
        <w:rPr>
          <w:color w:val="231F20"/>
          <w:w w:val="105"/>
        </w:rPr>
        <w:t>Estado</w:t>
      </w:r>
      <w:r>
        <w:rPr>
          <w:color w:val="231F20"/>
          <w:spacing w:val="-15"/>
          <w:w w:val="105"/>
        </w:rPr>
        <w:t> </w:t>
      </w:r>
      <w:r>
        <w:rPr>
          <w:color w:val="231F20"/>
          <w:w w:val="105"/>
        </w:rPr>
        <w:t>comienzan</w:t>
      </w:r>
      <w:r>
        <w:rPr>
          <w:color w:val="231F20"/>
          <w:spacing w:val="-15"/>
          <w:w w:val="105"/>
        </w:rPr>
        <w:t> </w:t>
      </w:r>
      <w:r>
        <w:rPr>
          <w:color w:val="231F20"/>
          <w:w w:val="105"/>
        </w:rPr>
        <w:t>con la</w:t>
      </w:r>
      <w:r>
        <w:rPr>
          <w:color w:val="231F20"/>
          <w:spacing w:val="-17"/>
          <w:w w:val="105"/>
        </w:rPr>
        <w:t> </w:t>
      </w:r>
      <w:r>
        <w:rPr>
          <w:color w:val="231F20"/>
          <w:w w:val="105"/>
        </w:rPr>
        <w:t>noción</w:t>
      </w:r>
      <w:r>
        <w:rPr>
          <w:color w:val="231F20"/>
          <w:spacing w:val="-17"/>
          <w:w w:val="105"/>
        </w:rPr>
        <w:t> </w:t>
      </w:r>
      <w:r>
        <w:rPr>
          <w:color w:val="231F20"/>
          <w:w w:val="105"/>
        </w:rPr>
        <w:t>contraintuitiva</w:t>
      </w:r>
      <w:r>
        <w:rPr>
          <w:color w:val="231F20"/>
          <w:spacing w:val="-17"/>
          <w:w w:val="105"/>
        </w:rPr>
        <w:t> </w:t>
      </w:r>
      <w:r>
        <w:rPr>
          <w:color w:val="231F20"/>
          <w:w w:val="105"/>
        </w:rPr>
        <w:t>de</w:t>
      </w:r>
      <w:r>
        <w:rPr>
          <w:color w:val="231F20"/>
          <w:spacing w:val="-17"/>
          <w:w w:val="105"/>
        </w:rPr>
        <w:t> </w:t>
      </w:r>
      <w:r>
        <w:rPr>
          <w:color w:val="231F20"/>
          <w:w w:val="105"/>
        </w:rPr>
        <w:t>que</w:t>
      </w:r>
      <w:r>
        <w:rPr>
          <w:color w:val="231F20"/>
          <w:spacing w:val="-17"/>
          <w:w w:val="105"/>
        </w:rPr>
        <w:t> </w:t>
      </w:r>
      <w:r>
        <w:rPr>
          <w:color w:val="231F20"/>
          <w:w w:val="105"/>
        </w:rPr>
        <w:t>los</w:t>
      </w:r>
      <w:r>
        <w:rPr>
          <w:color w:val="231F20"/>
          <w:spacing w:val="-17"/>
          <w:w w:val="105"/>
        </w:rPr>
        <w:t> </w:t>
      </w:r>
      <w:r>
        <w:rPr>
          <w:color w:val="231F20"/>
          <w:w w:val="105"/>
        </w:rPr>
        <w:t>Estados</w:t>
      </w:r>
      <w:r>
        <w:rPr>
          <w:color w:val="231F20"/>
          <w:spacing w:val="-17"/>
          <w:w w:val="105"/>
        </w:rPr>
        <w:t> </w:t>
      </w:r>
      <w:r>
        <w:rPr>
          <w:color w:val="231F20"/>
          <w:w w:val="105"/>
        </w:rPr>
        <w:t>que</w:t>
      </w:r>
      <w:r>
        <w:rPr>
          <w:color w:val="231F20"/>
          <w:spacing w:val="-17"/>
          <w:w w:val="105"/>
        </w:rPr>
        <w:t> </w:t>
      </w:r>
      <w:r>
        <w:rPr>
          <w:color w:val="231F20"/>
          <w:w w:val="105"/>
        </w:rPr>
        <w:t>son</w:t>
      </w:r>
      <w:r>
        <w:rPr>
          <w:color w:val="231F20"/>
          <w:spacing w:val="-17"/>
          <w:w w:val="105"/>
        </w:rPr>
        <w:t> </w:t>
      </w:r>
      <w:r>
        <w:rPr>
          <w:color w:val="231F20"/>
          <w:w w:val="105"/>
        </w:rPr>
        <w:t>estructuralmente</w:t>
      </w:r>
      <w:r>
        <w:rPr>
          <w:color w:val="231F20"/>
          <w:spacing w:val="-17"/>
          <w:w w:val="105"/>
        </w:rPr>
        <w:t> </w:t>
      </w:r>
      <w:r>
        <w:rPr>
          <w:color w:val="231F20"/>
          <w:w w:val="105"/>
        </w:rPr>
        <w:t>si- milares</w:t>
      </w:r>
      <w:r>
        <w:rPr>
          <w:color w:val="231F20"/>
          <w:spacing w:val="-22"/>
          <w:w w:val="105"/>
        </w:rPr>
        <w:t> </w:t>
      </w:r>
      <w:r>
        <w:rPr>
          <w:color w:val="231F20"/>
          <w:w w:val="105"/>
        </w:rPr>
        <w:t>pueden</w:t>
      </w:r>
      <w:r>
        <w:rPr>
          <w:color w:val="231F20"/>
          <w:spacing w:val="-22"/>
          <w:w w:val="105"/>
        </w:rPr>
        <w:t> </w:t>
      </w:r>
      <w:r>
        <w:rPr>
          <w:color w:val="231F20"/>
          <w:w w:val="105"/>
        </w:rPr>
        <w:t>sin</w:t>
      </w:r>
      <w:r>
        <w:rPr>
          <w:color w:val="231F20"/>
          <w:spacing w:val="-22"/>
          <w:w w:val="105"/>
        </w:rPr>
        <w:t> </w:t>
      </w:r>
      <w:r>
        <w:rPr>
          <w:color w:val="231F20"/>
          <w:w w:val="105"/>
        </w:rPr>
        <w:t>embargo</w:t>
      </w:r>
      <w:r>
        <w:rPr>
          <w:color w:val="231F20"/>
          <w:spacing w:val="-22"/>
          <w:w w:val="105"/>
        </w:rPr>
        <w:t> </w:t>
      </w:r>
      <w:r>
        <w:rPr>
          <w:color w:val="231F20"/>
          <w:w w:val="105"/>
        </w:rPr>
        <w:t>ser</w:t>
      </w:r>
      <w:r>
        <w:rPr>
          <w:color w:val="231F20"/>
          <w:spacing w:val="-22"/>
          <w:w w:val="105"/>
        </w:rPr>
        <w:t> </w:t>
      </w:r>
      <w:r>
        <w:rPr>
          <w:color w:val="231F20"/>
          <w:w w:val="105"/>
        </w:rPr>
        <w:t>profundamente</w:t>
      </w:r>
      <w:r>
        <w:rPr>
          <w:color w:val="231F20"/>
          <w:spacing w:val="-22"/>
          <w:w w:val="105"/>
        </w:rPr>
        <w:t> </w:t>
      </w:r>
      <w:r>
        <w:rPr>
          <w:color w:val="231F20"/>
          <w:w w:val="105"/>
        </w:rPr>
        <w:t>diferentes</w:t>
      </w:r>
      <w:r>
        <w:rPr>
          <w:color w:val="231F20"/>
          <w:spacing w:val="-22"/>
          <w:w w:val="105"/>
        </w:rPr>
        <w:t> </w:t>
      </w:r>
      <w:r>
        <w:rPr>
          <w:color w:val="231F20"/>
          <w:w w:val="105"/>
        </w:rPr>
        <w:t>unos</w:t>
      </w:r>
      <w:r>
        <w:rPr>
          <w:color w:val="231F20"/>
          <w:spacing w:val="-22"/>
          <w:w w:val="105"/>
        </w:rPr>
        <w:t> </w:t>
      </w:r>
      <w:r>
        <w:rPr>
          <w:color w:val="231F20"/>
          <w:w w:val="105"/>
        </w:rPr>
        <w:t>de</w:t>
      </w:r>
      <w:r>
        <w:rPr>
          <w:color w:val="231F20"/>
          <w:spacing w:val="-22"/>
          <w:w w:val="105"/>
        </w:rPr>
        <w:t> </w:t>
      </w:r>
      <w:r>
        <w:rPr>
          <w:color w:val="231F20"/>
          <w:w w:val="105"/>
        </w:rPr>
        <w:t>otros por</w:t>
      </w:r>
      <w:r>
        <w:rPr>
          <w:color w:val="231F20"/>
          <w:spacing w:val="-27"/>
          <w:w w:val="105"/>
        </w:rPr>
        <w:t> </w:t>
      </w:r>
      <w:r>
        <w:rPr>
          <w:color w:val="231F20"/>
          <w:w w:val="105"/>
        </w:rPr>
        <w:t>los</w:t>
      </w:r>
      <w:r>
        <w:rPr>
          <w:color w:val="231F20"/>
          <w:spacing w:val="-27"/>
          <w:w w:val="105"/>
        </w:rPr>
        <w:t> </w:t>
      </w:r>
      <w:r>
        <w:rPr>
          <w:color w:val="231F20"/>
          <w:w w:val="105"/>
        </w:rPr>
        <w:t>significados</w:t>
      </w:r>
      <w:r>
        <w:rPr>
          <w:color w:val="231F20"/>
          <w:spacing w:val="-27"/>
          <w:w w:val="105"/>
        </w:rPr>
        <w:t> </w:t>
      </w:r>
      <w:r>
        <w:rPr>
          <w:color w:val="231F20"/>
          <w:w w:val="105"/>
        </w:rPr>
        <w:t>que</w:t>
      </w:r>
      <w:r>
        <w:rPr>
          <w:color w:val="231F20"/>
          <w:spacing w:val="-27"/>
          <w:w w:val="105"/>
        </w:rPr>
        <w:t> </w:t>
      </w:r>
      <w:r>
        <w:rPr>
          <w:color w:val="231F20"/>
          <w:w w:val="105"/>
        </w:rPr>
        <w:t>éstos</w:t>
      </w:r>
      <w:r>
        <w:rPr>
          <w:color w:val="231F20"/>
          <w:spacing w:val="-27"/>
          <w:w w:val="105"/>
        </w:rPr>
        <w:t> </w:t>
      </w:r>
      <w:r>
        <w:rPr>
          <w:color w:val="231F20"/>
          <w:w w:val="105"/>
        </w:rPr>
        <w:t>tienen</w:t>
      </w:r>
      <w:r>
        <w:rPr>
          <w:color w:val="231F20"/>
          <w:spacing w:val="-27"/>
          <w:w w:val="105"/>
        </w:rPr>
        <w:t> </w:t>
      </w:r>
      <w:r>
        <w:rPr>
          <w:color w:val="231F20"/>
          <w:w w:val="105"/>
        </w:rPr>
        <w:t>para</w:t>
      </w:r>
      <w:r>
        <w:rPr>
          <w:color w:val="231F20"/>
          <w:spacing w:val="-27"/>
          <w:w w:val="105"/>
        </w:rPr>
        <w:t> </w:t>
      </w:r>
      <w:r>
        <w:rPr>
          <w:color w:val="231F20"/>
          <w:w w:val="105"/>
        </w:rPr>
        <w:t>sus</w:t>
      </w:r>
      <w:r>
        <w:rPr>
          <w:color w:val="231F20"/>
          <w:spacing w:val="-27"/>
          <w:w w:val="105"/>
        </w:rPr>
        <w:t> </w:t>
      </w:r>
      <w:r>
        <w:rPr>
          <w:color w:val="231F20"/>
          <w:w w:val="105"/>
        </w:rPr>
        <w:t>poblaciones”</w:t>
      </w:r>
      <w:r>
        <w:rPr>
          <w:color w:val="231F20"/>
          <w:w w:val="105"/>
          <w:position w:val="7"/>
          <w:sz w:val="12"/>
        </w:rPr>
        <w:t>57</w:t>
      </w:r>
      <w:r>
        <w:rPr>
          <w:color w:val="231F20"/>
          <w:w w:val="105"/>
        </w:rPr>
        <w:t>.</w:t>
      </w:r>
      <w:r>
        <w:rPr>
          <w:color w:val="231F20"/>
          <w:spacing w:val="-27"/>
          <w:w w:val="105"/>
        </w:rPr>
        <w:t> </w:t>
      </w:r>
      <w:r>
        <w:rPr>
          <w:color w:val="231F20"/>
          <w:w w:val="105"/>
        </w:rPr>
        <w:t>No</w:t>
      </w:r>
      <w:r>
        <w:rPr>
          <w:color w:val="231F20"/>
          <w:spacing w:val="-27"/>
          <w:w w:val="105"/>
        </w:rPr>
        <w:t> </w:t>
      </w:r>
      <w:r>
        <w:rPr>
          <w:color w:val="231F20"/>
          <w:w w:val="105"/>
        </w:rPr>
        <w:t>se</w:t>
      </w:r>
      <w:r>
        <w:rPr>
          <w:color w:val="231F20"/>
          <w:spacing w:val="-27"/>
          <w:w w:val="105"/>
        </w:rPr>
        <w:t> </w:t>
      </w:r>
      <w:r>
        <w:rPr>
          <w:color w:val="231F20"/>
          <w:w w:val="105"/>
        </w:rPr>
        <w:t>puede evitar</w:t>
      </w:r>
      <w:r>
        <w:rPr>
          <w:color w:val="231F20"/>
          <w:spacing w:val="-30"/>
          <w:w w:val="105"/>
        </w:rPr>
        <w:t> </w:t>
      </w:r>
      <w:r>
        <w:rPr>
          <w:color w:val="231F20"/>
          <w:w w:val="105"/>
        </w:rPr>
        <w:t>notar</w:t>
      </w:r>
      <w:r>
        <w:rPr>
          <w:color w:val="231F20"/>
          <w:spacing w:val="-30"/>
          <w:w w:val="105"/>
        </w:rPr>
        <w:t> </w:t>
      </w:r>
      <w:r>
        <w:rPr>
          <w:color w:val="231F20"/>
          <w:w w:val="105"/>
        </w:rPr>
        <w:t>que</w:t>
      </w:r>
      <w:r>
        <w:rPr>
          <w:color w:val="231F20"/>
          <w:spacing w:val="-30"/>
          <w:w w:val="105"/>
        </w:rPr>
        <w:t> </w:t>
      </w:r>
      <w:r>
        <w:rPr>
          <w:color w:val="231F20"/>
          <w:w w:val="105"/>
        </w:rPr>
        <w:t>en</w:t>
      </w:r>
      <w:r>
        <w:rPr>
          <w:color w:val="231F20"/>
          <w:spacing w:val="-30"/>
          <w:w w:val="105"/>
        </w:rPr>
        <w:t> </w:t>
      </w:r>
      <w:r>
        <w:rPr>
          <w:color w:val="231F20"/>
          <w:w w:val="105"/>
        </w:rPr>
        <w:t>la</w:t>
      </w:r>
      <w:r>
        <w:rPr>
          <w:color w:val="231F20"/>
          <w:spacing w:val="-30"/>
          <w:w w:val="105"/>
        </w:rPr>
        <w:t> </w:t>
      </w:r>
      <w:r>
        <w:rPr>
          <w:color w:val="231F20"/>
          <w:w w:val="105"/>
        </w:rPr>
        <w:t>definición</w:t>
      </w:r>
      <w:r>
        <w:rPr>
          <w:color w:val="231F20"/>
          <w:spacing w:val="-30"/>
          <w:w w:val="105"/>
        </w:rPr>
        <w:t> </w:t>
      </w:r>
      <w:r>
        <w:rPr>
          <w:color w:val="231F20"/>
          <w:w w:val="105"/>
        </w:rPr>
        <w:t>clásica</w:t>
      </w:r>
      <w:r>
        <w:rPr>
          <w:color w:val="231F20"/>
          <w:spacing w:val="-30"/>
          <w:w w:val="105"/>
        </w:rPr>
        <w:t> </w:t>
      </w:r>
      <w:r>
        <w:rPr>
          <w:color w:val="231F20"/>
          <w:w w:val="105"/>
        </w:rPr>
        <w:t>weberiana</w:t>
      </w:r>
      <w:r>
        <w:rPr>
          <w:color w:val="231F20"/>
          <w:spacing w:val="-30"/>
          <w:w w:val="105"/>
        </w:rPr>
        <w:t> </w:t>
      </w:r>
      <w:r>
        <w:rPr>
          <w:color w:val="231F20"/>
          <w:w w:val="105"/>
        </w:rPr>
        <w:t>de</w:t>
      </w:r>
      <w:r>
        <w:rPr>
          <w:color w:val="231F20"/>
          <w:spacing w:val="-30"/>
          <w:w w:val="105"/>
        </w:rPr>
        <w:t> </w:t>
      </w:r>
      <w:r>
        <w:rPr>
          <w:color w:val="231F20"/>
          <w:w w:val="105"/>
        </w:rPr>
        <w:t>Estado</w:t>
      </w:r>
      <w:r>
        <w:rPr>
          <w:color w:val="231F20"/>
          <w:w w:val="105"/>
          <w:position w:val="7"/>
          <w:sz w:val="12"/>
        </w:rPr>
        <w:t>58 </w:t>
      </w:r>
      <w:r>
        <w:rPr>
          <w:color w:val="231F20"/>
          <w:w w:val="105"/>
        </w:rPr>
        <w:t>el</w:t>
      </w:r>
      <w:r>
        <w:rPr>
          <w:color w:val="231F20"/>
          <w:spacing w:val="-30"/>
          <w:w w:val="105"/>
        </w:rPr>
        <w:t> </w:t>
      </w:r>
      <w:r>
        <w:rPr>
          <w:color w:val="231F20"/>
          <w:w w:val="105"/>
        </w:rPr>
        <w:t>elemento que</w:t>
      </w:r>
      <w:r>
        <w:rPr>
          <w:color w:val="231F20"/>
          <w:spacing w:val="-25"/>
          <w:w w:val="105"/>
        </w:rPr>
        <w:t> </w:t>
      </w:r>
      <w:r>
        <w:rPr>
          <w:color w:val="231F20"/>
          <w:w w:val="105"/>
        </w:rPr>
        <w:t>falta</w:t>
      </w:r>
      <w:r>
        <w:rPr>
          <w:color w:val="231F20"/>
          <w:spacing w:val="-25"/>
          <w:w w:val="105"/>
        </w:rPr>
        <w:t> </w:t>
      </w:r>
      <w:r>
        <w:rPr>
          <w:color w:val="231F20"/>
          <w:w w:val="105"/>
        </w:rPr>
        <w:t>es</w:t>
      </w:r>
      <w:r>
        <w:rPr>
          <w:color w:val="231F20"/>
          <w:spacing w:val="-25"/>
          <w:w w:val="105"/>
        </w:rPr>
        <w:t> </w:t>
      </w:r>
      <w:r>
        <w:rPr>
          <w:color w:val="231F20"/>
          <w:w w:val="105"/>
        </w:rPr>
        <w:t>precisamente</w:t>
      </w:r>
      <w:r>
        <w:rPr>
          <w:color w:val="231F20"/>
          <w:spacing w:val="-25"/>
          <w:w w:val="105"/>
        </w:rPr>
        <w:t> </w:t>
      </w:r>
      <w:r>
        <w:rPr>
          <w:color w:val="231F20"/>
          <w:w w:val="105"/>
        </w:rPr>
        <w:t>la</w:t>
      </w:r>
      <w:r>
        <w:rPr>
          <w:color w:val="231F20"/>
          <w:spacing w:val="-25"/>
          <w:w w:val="105"/>
        </w:rPr>
        <w:t> </w:t>
      </w:r>
      <w:r>
        <w:rPr>
          <w:color w:val="231F20"/>
          <w:w w:val="105"/>
        </w:rPr>
        <w:t>población,</w:t>
      </w:r>
      <w:r>
        <w:rPr>
          <w:color w:val="231F20"/>
          <w:spacing w:val="-25"/>
          <w:w w:val="105"/>
        </w:rPr>
        <w:t> </w:t>
      </w:r>
      <w:r>
        <w:rPr>
          <w:color w:val="231F20"/>
          <w:w w:val="105"/>
        </w:rPr>
        <w:t>no</w:t>
      </w:r>
      <w:r>
        <w:rPr>
          <w:color w:val="231F20"/>
          <w:spacing w:val="-25"/>
          <w:w w:val="105"/>
        </w:rPr>
        <w:t> </w:t>
      </w:r>
      <w:r>
        <w:rPr>
          <w:color w:val="231F20"/>
          <w:w w:val="105"/>
        </w:rPr>
        <w:t>obstante</w:t>
      </w:r>
      <w:r>
        <w:rPr>
          <w:color w:val="231F20"/>
          <w:spacing w:val="-25"/>
          <w:w w:val="105"/>
        </w:rPr>
        <w:t> </w:t>
      </w:r>
      <w:r>
        <w:rPr>
          <w:color w:val="231F20"/>
          <w:w w:val="105"/>
        </w:rPr>
        <w:t>sea</w:t>
      </w:r>
      <w:r>
        <w:rPr>
          <w:color w:val="231F20"/>
          <w:spacing w:val="-25"/>
          <w:w w:val="105"/>
        </w:rPr>
        <w:t> </w:t>
      </w:r>
      <w:r>
        <w:rPr>
          <w:color w:val="231F20"/>
          <w:w w:val="105"/>
        </w:rPr>
        <w:t>luego</w:t>
      </w:r>
      <w:r>
        <w:rPr>
          <w:color w:val="231F20"/>
          <w:spacing w:val="-25"/>
          <w:w w:val="105"/>
        </w:rPr>
        <w:t> </w:t>
      </w:r>
      <w:r>
        <w:rPr>
          <w:color w:val="231F20"/>
          <w:w w:val="105"/>
        </w:rPr>
        <w:t>la</w:t>
      </w:r>
      <w:r>
        <w:rPr>
          <w:color w:val="231F20"/>
          <w:spacing w:val="-25"/>
          <w:w w:val="105"/>
        </w:rPr>
        <w:t> </w:t>
      </w:r>
      <w:r>
        <w:rPr>
          <w:color w:val="231F20"/>
          <w:w w:val="105"/>
        </w:rPr>
        <w:t>obedien- cia</w:t>
      </w:r>
      <w:r>
        <w:rPr>
          <w:color w:val="231F20"/>
          <w:spacing w:val="-35"/>
          <w:w w:val="105"/>
        </w:rPr>
        <w:t> </w:t>
      </w:r>
      <w:r>
        <w:rPr>
          <w:color w:val="231F20"/>
          <w:w w:val="105"/>
        </w:rPr>
        <w:t>existente</w:t>
      </w:r>
      <w:r>
        <w:rPr>
          <w:color w:val="231F20"/>
          <w:spacing w:val="-35"/>
          <w:w w:val="105"/>
        </w:rPr>
        <w:t> </w:t>
      </w:r>
      <w:r>
        <w:rPr>
          <w:color w:val="231F20"/>
          <w:w w:val="105"/>
        </w:rPr>
        <w:t>la</w:t>
      </w:r>
      <w:r>
        <w:rPr>
          <w:color w:val="231F20"/>
          <w:spacing w:val="-35"/>
          <w:w w:val="105"/>
        </w:rPr>
        <w:t> </w:t>
      </w:r>
      <w:r>
        <w:rPr>
          <w:color w:val="231F20"/>
          <w:w w:val="105"/>
        </w:rPr>
        <w:t>que</w:t>
      </w:r>
      <w:r>
        <w:rPr>
          <w:color w:val="231F20"/>
          <w:spacing w:val="-35"/>
          <w:w w:val="105"/>
        </w:rPr>
        <w:t> </w:t>
      </w:r>
      <w:r>
        <w:rPr>
          <w:color w:val="231F20"/>
          <w:w w:val="105"/>
        </w:rPr>
        <w:t>legitima</w:t>
      </w:r>
      <w:r>
        <w:rPr>
          <w:color w:val="231F20"/>
          <w:spacing w:val="-35"/>
          <w:w w:val="105"/>
        </w:rPr>
        <w:t> </w:t>
      </w:r>
      <w:r>
        <w:rPr>
          <w:color w:val="231F20"/>
          <w:w w:val="105"/>
        </w:rPr>
        <w:t>al</w:t>
      </w:r>
      <w:r>
        <w:rPr>
          <w:color w:val="231F20"/>
          <w:spacing w:val="-35"/>
          <w:w w:val="105"/>
        </w:rPr>
        <w:t> </w:t>
      </w:r>
      <w:r>
        <w:rPr>
          <w:color w:val="231F20"/>
          <w:w w:val="105"/>
        </w:rPr>
        <w:t>Estado</w:t>
      </w:r>
      <w:r>
        <w:rPr>
          <w:color w:val="231F20"/>
          <w:spacing w:val="-35"/>
          <w:w w:val="105"/>
        </w:rPr>
        <w:t> </w:t>
      </w:r>
      <w:r>
        <w:rPr>
          <w:color w:val="231F20"/>
          <w:w w:val="105"/>
        </w:rPr>
        <w:t>en</w:t>
      </w:r>
      <w:r>
        <w:rPr>
          <w:color w:val="231F20"/>
          <w:spacing w:val="-35"/>
          <w:w w:val="105"/>
        </w:rPr>
        <w:t> </w:t>
      </w:r>
      <w:r>
        <w:rPr>
          <w:color w:val="231F20"/>
          <w:w w:val="105"/>
        </w:rPr>
        <w:t>cuanto</w:t>
      </w:r>
      <w:r>
        <w:rPr>
          <w:color w:val="231F20"/>
          <w:spacing w:val="-35"/>
          <w:w w:val="105"/>
        </w:rPr>
        <w:t> </w:t>
      </w:r>
      <w:r>
        <w:rPr>
          <w:color w:val="231F20"/>
          <w:w w:val="105"/>
        </w:rPr>
        <w:t>forma</w:t>
      </w:r>
      <w:r>
        <w:rPr>
          <w:color w:val="231F20"/>
          <w:spacing w:val="-35"/>
          <w:w w:val="105"/>
        </w:rPr>
        <w:t> </w:t>
      </w:r>
      <w:r>
        <w:rPr>
          <w:color w:val="231F20"/>
          <w:w w:val="105"/>
        </w:rPr>
        <w:t>específica</w:t>
      </w:r>
      <w:r>
        <w:rPr>
          <w:color w:val="231F20"/>
          <w:spacing w:val="-35"/>
          <w:w w:val="105"/>
        </w:rPr>
        <w:t> </w:t>
      </w:r>
      <w:r>
        <w:rPr>
          <w:color w:val="231F20"/>
          <w:w w:val="105"/>
        </w:rPr>
        <w:t>de</w:t>
      </w:r>
      <w:r>
        <w:rPr>
          <w:color w:val="231F20"/>
          <w:spacing w:val="-35"/>
          <w:w w:val="105"/>
        </w:rPr>
        <w:t> </w:t>
      </w:r>
      <w:r>
        <w:rPr>
          <w:color w:val="231F20"/>
          <w:spacing w:val="-4"/>
          <w:w w:val="105"/>
        </w:rPr>
        <w:t>poder. </w:t>
      </w:r>
      <w:r>
        <w:rPr>
          <w:color w:val="231F20"/>
          <w:w w:val="105"/>
        </w:rPr>
        <w:t>El</w:t>
      </w:r>
      <w:r>
        <w:rPr>
          <w:color w:val="231F20"/>
          <w:spacing w:val="-21"/>
          <w:w w:val="105"/>
        </w:rPr>
        <w:t> </w:t>
      </w:r>
      <w:r>
        <w:rPr>
          <w:color w:val="231F20"/>
          <w:w w:val="105"/>
        </w:rPr>
        <w:t>pueblo</w:t>
      </w:r>
      <w:r>
        <w:rPr>
          <w:color w:val="231F20"/>
          <w:spacing w:val="-21"/>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w w:val="105"/>
        </w:rPr>
        <w:t>territorio,</w:t>
      </w:r>
      <w:r>
        <w:rPr>
          <w:color w:val="231F20"/>
          <w:spacing w:val="-21"/>
          <w:w w:val="105"/>
        </w:rPr>
        <w:t> </w:t>
      </w:r>
      <w:r>
        <w:rPr>
          <w:color w:val="231F20"/>
          <w:w w:val="105"/>
        </w:rPr>
        <w:t>si</w:t>
      </w:r>
      <w:r>
        <w:rPr>
          <w:color w:val="231F20"/>
          <w:spacing w:val="-21"/>
          <w:w w:val="105"/>
        </w:rPr>
        <w:t> </w:t>
      </w:r>
      <w:r>
        <w:rPr>
          <w:color w:val="231F20"/>
          <w:w w:val="105"/>
        </w:rPr>
        <w:t>bien</w:t>
      </w:r>
      <w:r>
        <w:rPr>
          <w:color w:val="231F20"/>
          <w:spacing w:val="-21"/>
          <w:w w:val="105"/>
        </w:rPr>
        <w:t> </w:t>
      </w:r>
      <w:r>
        <w:rPr>
          <w:color w:val="231F20"/>
          <w:w w:val="105"/>
        </w:rPr>
        <w:t>no</w:t>
      </w:r>
      <w:r>
        <w:rPr>
          <w:color w:val="231F20"/>
          <w:spacing w:val="-21"/>
          <w:w w:val="105"/>
        </w:rPr>
        <w:t> </w:t>
      </w:r>
      <w:r>
        <w:rPr>
          <w:color w:val="231F20"/>
          <w:w w:val="105"/>
        </w:rPr>
        <w:t>son</w:t>
      </w:r>
      <w:r>
        <w:rPr>
          <w:color w:val="231F20"/>
          <w:spacing w:val="-21"/>
          <w:w w:val="105"/>
        </w:rPr>
        <w:t> </w:t>
      </w:r>
      <w:r>
        <w:rPr>
          <w:color w:val="231F20"/>
          <w:w w:val="105"/>
        </w:rPr>
        <w:t>exactamente</w:t>
      </w:r>
      <w:r>
        <w:rPr>
          <w:color w:val="231F20"/>
          <w:spacing w:val="-21"/>
          <w:w w:val="105"/>
        </w:rPr>
        <w:t> </w:t>
      </w:r>
      <w:r>
        <w:rPr>
          <w:color w:val="231F20"/>
          <w:w w:val="105"/>
        </w:rPr>
        <w:t>identificados</w:t>
      </w:r>
      <w:r>
        <w:rPr>
          <w:color w:val="231F20"/>
          <w:spacing w:val="-21"/>
          <w:w w:val="105"/>
        </w:rPr>
        <w:t> </w:t>
      </w:r>
      <w:r>
        <w:rPr>
          <w:color w:val="231F20"/>
          <w:w w:val="105"/>
        </w:rPr>
        <w:t>por</w:t>
      </w:r>
      <w:r>
        <w:rPr>
          <w:color w:val="231F20"/>
          <w:spacing w:val="-21"/>
          <w:w w:val="105"/>
        </w:rPr>
        <w:t> </w:t>
      </w:r>
      <w:r>
        <w:rPr>
          <w:color w:val="231F20"/>
          <w:w w:val="105"/>
        </w:rPr>
        <w:t>We- </w:t>
      </w:r>
      <w:r>
        <w:rPr>
          <w:color w:val="231F20"/>
          <w:spacing w:val="-5"/>
          <w:w w:val="105"/>
        </w:rPr>
        <w:t>ber,</w:t>
      </w:r>
      <w:r>
        <w:rPr>
          <w:color w:val="231F20"/>
          <w:spacing w:val="-22"/>
          <w:w w:val="105"/>
        </w:rPr>
        <w:t> </w:t>
      </w:r>
      <w:r>
        <w:rPr>
          <w:color w:val="231F20"/>
          <w:w w:val="105"/>
        </w:rPr>
        <w:t>están</w:t>
      </w:r>
      <w:r>
        <w:rPr>
          <w:color w:val="231F20"/>
          <w:spacing w:val="-22"/>
          <w:w w:val="105"/>
        </w:rPr>
        <w:t> </w:t>
      </w:r>
      <w:r>
        <w:rPr>
          <w:color w:val="231F20"/>
          <w:w w:val="105"/>
        </w:rPr>
        <w:t>de</w:t>
      </w:r>
      <w:r>
        <w:rPr>
          <w:color w:val="231F20"/>
          <w:spacing w:val="-22"/>
          <w:w w:val="105"/>
        </w:rPr>
        <w:t> </w:t>
      </w:r>
      <w:r>
        <w:rPr>
          <w:color w:val="231F20"/>
          <w:w w:val="105"/>
        </w:rPr>
        <w:t>cualquier</w:t>
      </w:r>
      <w:r>
        <w:rPr>
          <w:color w:val="231F20"/>
          <w:spacing w:val="-22"/>
          <w:w w:val="105"/>
        </w:rPr>
        <w:t> </w:t>
      </w:r>
      <w:r>
        <w:rPr>
          <w:color w:val="231F20"/>
          <w:w w:val="105"/>
        </w:rPr>
        <w:t>manera</w:t>
      </w:r>
      <w:r>
        <w:rPr>
          <w:color w:val="231F20"/>
          <w:spacing w:val="-22"/>
          <w:w w:val="105"/>
        </w:rPr>
        <w:t> </w:t>
      </w:r>
      <w:r>
        <w:rPr>
          <w:color w:val="231F20"/>
          <w:w w:val="105"/>
        </w:rPr>
        <w:t>estrechamente</w:t>
      </w:r>
      <w:r>
        <w:rPr>
          <w:color w:val="231F20"/>
          <w:spacing w:val="-22"/>
          <w:w w:val="105"/>
        </w:rPr>
        <w:t> </w:t>
      </w:r>
      <w:r>
        <w:rPr>
          <w:color w:val="231F20"/>
          <w:w w:val="105"/>
        </w:rPr>
        <w:t>conectados</w:t>
      </w:r>
      <w:r>
        <w:rPr>
          <w:color w:val="231F20"/>
          <w:spacing w:val="-22"/>
          <w:w w:val="105"/>
        </w:rPr>
        <w:t> </w:t>
      </w:r>
      <w:r>
        <w:rPr>
          <w:color w:val="231F20"/>
          <w:w w:val="105"/>
        </w:rPr>
        <w:t>en</w:t>
      </w:r>
      <w:r>
        <w:rPr>
          <w:color w:val="231F20"/>
          <w:spacing w:val="-22"/>
          <w:w w:val="105"/>
        </w:rPr>
        <w:t> </w:t>
      </w:r>
      <w:r>
        <w:rPr>
          <w:color w:val="231F20"/>
          <w:w w:val="105"/>
        </w:rPr>
        <w:t>un</w:t>
      </w:r>
      <w:r>
        <w:rPr>
          <w:color w:val="231F20"/>
          <w:spacing w:val="-22"/>
          <w:w w:val="105"/>
        </w:rPr>
        <w:t> </w:t>
      </w:r>
      <w:r>
        <w:rPr>
          <w:color w:val="231F20"/>
          <w:w w:val="105"/>
        </w:rPr>
        <w:t>espacio de</w:t>
      </w:r>
      <w:r>
        <w:rPr>
          <w:color w:val="231F20"/>
          <w:spacing w:val="-29"/>
          <w:w w:val="105"/>
        </w:rPr>
        <w:t> </w:t>
      </w:r>
      <w:r>
        <w:rPr>
          <w:color w:val="231F20"/>
          <w:w w:val="105"/>
        </w:rPr>
        <w:t>obediencia</w:t>
      </w:r>
      <w:r>
        <w:rPr>
          <w:color w:val="231F20"/>
          <w:spacing w:val="-29"/>
          <w:w w:val="105"/>
        </w:rPr>
        <w:t> </w:t>
      </w:r>
      <w:r>
        <w:rPr>
          <w:color w:val="231F20"/>
          <w:w w:val="105"/>
        </w:rPr>
        <w:t>al</w:t>
      </w:r>
      <w:r>
        <w:rPr>
          <w:color w:val="231F20"/>
          <w:spacing w:val="-29"/>
          <w:w w:val="105"/>
        </w:rPr>
        <w:t> </w:t>
      </w:r>
      <w:r>
        <w:rPr>
          <w:color w:val="231F20"/>
          <w:w w:val="105"/>
        </w:rPr>
        <w:t>mismo</w:t>
      </w:r>
      <w:r>
        <w:rPr>
          <w:color w:val="231F20"/>
          <w:spacing w:val="-29"/>
          <w:w w:val="105"/>
        </w:rPr>
        <w:t> </w:t>
      </w:r>
      <w:r>
        <w:rPr>
          <w:color w:val="231F20"/>
          <w:w w:val="105"/>
        </w:rPr>
        <w:t>tiempo</w:t>
      </w:r>
      <w:r>
        <w:rPr>
          <w:color w:val="231F20"/>
          <w:spacing w:val="-29"/>
          <w:w w:val="105"/>
        </w:rPr>
        <w:t> </w:t>
      </w:r>
      <w:r>
        <w:rPr>
          <w:color w:val="231F20"/>
          <w:w w:val="105"/>
        </w:rPr>
        <w:t>personal</w:t>
      </w:r>
      <w:r>
        <w:rPr>
          <w:color w:val="231F20"/>
          <w:spacing w:val="-29"/>
          <w:w w:val="105"/>
        </w:rPr>
        <w:t> </w:t>
      </w:r>
      <w:r>
        <w:rPr>
          <w:color w:val="231F20"/>
          <w:w w:val="105"/>
        </w:rPr>
        <w:t>y</w:t>
      </w:r>
      <w:r>
        <w:rPr>
          <w:color w:val="231F20"/>
          <w:spacing w:val="-29"/>
          <w:w w:val="105"/>
        </w:rPr>
        <w:t> </w:t>
      </w:r>
      <w:r>
        <w:rPr>
          <w:color w:val="231F20"/>
          <w:w w:val="105"/>
        </w:rPr>
        <w:t>físico.</w:t>
      </w:r>
      <w:r>
        <w:rPr>
          <w:color w:val="231F20"/>
          <w:spacing w:val="-29"/>
          <w:w w:val="105"/>
        </w:rPr>
        <w:t> </w:t>
      </w:r>
      <w:r>
        <w:rPr>
          <w:color w:val="231F20"/>
          <w:w w:val="105"/>
        </w:rPr>
        <w:t>El</w:t>
      </w:r>
      <w:r>
        <w:rPr>
          <w:color w:val="231F20"/>
          <w:spacing w:val="-29"/>
          <w:w w:val="105"/>
        </w:rPr>
        <w:t> </w:t>
      </w:r>
      <w:r>
        <w:rPr>
          <w:color w:val="231F20"/>
          <w:w w:val="105"/>
        </w:rPr>
        <w:t>pueblo</w:t>
      </w:r>
      <w:r>
        <w:rPr>
          <w:color w:val="231F20"/>
          <w:spacing w:val="-29"/>
          <w:w w:val="105"/>
        </w:rPr>
        <w:t> </w:t>
      </w:r>
      <w:r>
        <w:rPr>
          <w:color w:val="231F20"/>
          <w:w w:val="105"/>
        </w:rPr>
        <w:t>weberiano</w:t>
      </w:r>
      <w:r>
        <w:rPr>
          <w:color w:val="231F20"/>
          <w:spacing w:val="-29"/>
          <w:w w:val="105"/>
        </w:rPr>
        <w:t> </w:t>
      </w:r>
      <w:r>
        <w:rPr>
          <w:color w:val="231F20"/>
          <w:w w:val="105"/>
        </w:rPr>
        <w:t>está completamente</w:t>
      </w:r>
      <w:r>
        <w:rPr>
          <w:color w:val="231F20"/>
          <w:spacing w:val="-15"/>
          <w:w w:val="105"/>
        </w:rPr>
        <w:t> </w:t>
      </w:r>
      <w:r>
        <w:rPr>
          <w:color w:val="231F20"/>
          <w:w w:val="105"/>
        </w:rPr>
        <w:t>dentro</w:t>
      </w:r>
      <w:r>
        <w:rPr>
          <w:color w:val="231F20"/>
          <w:spacing w:val="-15"/>
          <w:w w:val="105"/>
        </w:rPr>
        <w:t> </w:t>
      </w:r>
      <w:r>
        <w:rPr>
          <w:color w:val="231F20"/>
          <w:w w:val="105"/>
        </w:rPr>
        <w:t>del</w:t>
      </w:r>
      <w:r>
        <w:rPr>
          <w:color w:val="231F20"/>
          <w:spacing w:val="-15"/>
          <w:w w:val="105"/>
        </w:rPr>
        <w:t> </w:t>
      </w:r>
      <w:r>
        <w:rPr>
          <w:color w:val="231F20"/>
          <w:w w:val="105"/>
        </w:rPr>
        <w:t>tipo</w:t>
      </w:r>
      <w:r>
        <w:rPr>
          <w:color w:val="231F20"/>
          <w:spacing w:val="-15"/>
          <w:w w:val="105"/>
        </w:rPr>
        <w:t> </w:t>
      </w:r>
      <w:r>
        <w:rPr>
          <w:color w:val="231F20"/>
          <w:w w:val="105"/>
        </w:rPr>
        <w:t>burocrático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rFonts w:ascii="Arial" w:hAnsi="Arial"/>
          <w:i/>
          <w:color w:val="231F20"/>
          <w:w w:val="105"/>
        </w:rPr>
        <w:t>Herrschaft</w:t>
      </w:r>
      <w:r>
        <w:rPr>
          <w:color w:val="231F20"/>
          <w:w w:val="105"/>
        </w:rPr>
        <w:t>,</w:t>
      </w:r>
      <w:r>
        <w:rPr>
          <w:color w:val="231F20"/>
          <w:spacing w:val="-15"/>
          <w:w w:val="105"/>
        </w:rPr>
        <w:t> </w:t>
      </w:r>
      <w:r>
        <w:rPr>
          <w:color w:val="231F20"/>
          <w:w w:val="105"/>
        </w:rPr>
        <w:t>dado</w:t>
      </w:r>
      <w:r>
        <w:rPr>
          <w:color w:val="231F20"/>
          <w:spacing w:val="-15"/>
          <w:w w:val="105"/>
        </w:rPr>
        <w:t> </w:t>
      </w:r>
      <w:r>
        <w:rPr>
          <w:color w:val="231F20"/>
          <w:w w:val="105"/>
        </w:rPr>
        <w:t>que</w:t>
      </w:r>
      <w:r>
        <w:rPr>
          <w:color w:val="231F20"/>
          <w:spacing w:val="-15"/>
          <w:w w:val="105"/>
        </w:rPr>
        <w:t> </w:t>
      </w:r>
      <w:r>
        <w:rPr>
          <w:color w:val="231F20"/>
          <w:w w:val="105"/>
        </w:rPr>
        <w:t>la rutina</w:t>
      </w:r>
      <w:r>
        <w:rPr>
          <w:color w:val="231F20"/>
          <w:spacing w:val="-24"/>
          <w:w w:val="105"/>
        </w:rPr>
        <w:t> </w:t>
      </w:r>
      <w:r>
        <w:rPr>
          <w:color w:val="231F20"/>
          <w:w w:val="105"/>
        </w:rPr>
        <w:t>como</w:t>
      </w:r>
      <w:r>
        <w:rPr>
          <w:color w:val="231F20"/>
          <w:spacing w:val="-24"/>
          <w:w w:val="105"/>
        </w:rPr>
        <w:t> </w:t>
      </w:r>
      <w:r>
        <w:rPr>
          <w:color w:val="231F20"/>
          <w:w w:val="105"/>
        </w:rPr>
        <w:t>característica</w:t>
      </w:r>
      <w:r>
        <w:rPr>
          <w:color w:val="231F20"/>
          <w:spacing w:val="-24"/>
          <w:w w:val="105"/>
        </w:rPr>
        <w:t> </w:t>
      </w:r>
      <w:r>
        <w:rPr>
          <w:color w:val="231F20"/>
          <w:w w:val="105"/>
        </w:rPr>
        <w:t>específica</w:t>
      </w:r>
      <w:r>
        <w:rPr>
          <w:color w:val="231F20"/>
          <w:spacing w:val="-24"/>
          <w:w w:val="105"/>
        </w:rPr>
        <w:t> </w:t>
      </w:r>
      <w:r>
        <w:rPr>
          <w:color w:val="231F20"/>
          <w:w w:val="105"/>
        </w:rPr>
        <w:t>del</w:t>
      </w:r>
      <w:r>
        <w:rPr>
          <w:color w:val="231F20"/>
          <w:spacing w:val="-24"/>
          <w:w w:val="105"/>
        </w:rPr>
        <w:t> </w:t>
      </w:r>
      <w:r>
        <w:rPr>
          <w:color w:val="231F20"/>
          <w:w w:val="105"/>
        </w:rPr>
        <w:t>actuar</w:t>
      </w:r>
      <w:r>
        <w:rPr>
          <w:color w:val="231F20"/>
          <w:spacing w:val="-24"/>
          <w:w w:val="105"/>
        </w:rPr>
        <w:t> </w:t>
      </w:r>
      <w:r>
        <w:rPr>
          <w:color w:val="231F20"/>
          <w:w w:val="105"/>
        </w:rPr>
        <w:t>burocrático</w:t>
      </w:r>
      <w:r>
        <w:rPr>
          <w:color w:val="231F20"/>
          <w:spacing w:val="-24"/>
          <w:w w:val="105"/>
        </w:rPr>
        <w:t> </w:t>
      </w:r>
      <w:r>
        <w:rPr>
          <w:color w:val="231F20"/>
          <w:w w:val="105"/>
        </w:rPr>
        <w:t>tiene</w:t>
      </w:r>
      <w:r>
        <w:rPr>
          <w:color w:val="231F20"/>
          <w:spacing w:val="-24"/>
          <w:w w:val="105"/>
        </w:rPr>
        <w:t> </w:t>
      </w:r>
      <w:r>
        <w:rPr>
          <w:color w:val="231F20"/>
          <w:w w:val="105"/>
        </w:rPr>
        <w:t>también el</w:t>
      </w:r>
      <w:r>
        <w:rPr>
          <w:color w:val="231F20"/>
          <w:spacing w:val="-23"/>
          <w:w w:val="105"/>
        </w:rPr>
        <w:t> </w:t>
      </w:r>
      <w:r>
        <w:rPr>
          <w:color w:val="231F20"/>
          <w:w w:val="105"/>
        </w:rPr>
        <w:t>sentido</w:t>
      </w:r>
      <w:r>
        <w:rPr>
          <w:color w:val="231F20"/>
          <w:spacing w:val="-23"/>
          <w:w w:val="105"/>
        </w:rPr>
        <w:t> </w:t>
      </w:r>
      <w:r>
        <w:rPr>
          <w:color w:val="231F20"/>
          <w:w w:val="105"/>
        </w:rPr>
        <w:t>de</w:t>
      </w:r>
      <w:r>
        <w:rPr>
          <w:color w:val="231F20"/>
          <w:spacing w:val="-23"/>
          <w:w w:val="105"/>
        </w:rPr>
        <w:t> </w:t>
      </w:r>
      <w:r>
        <w:rPr>
          <w:color w:val="231F20"/>
          <w:w w:val="105"/>
        </w:rPr>
        <w:t>evidenciar</w:t>
      </w:r>
      <w:r>
        <w:rPr>
          <w:color w:val="231F20"/>
          <w:spacing w:val="-23"/>
          <w:w w:val="105"/>
        </w:rPr>
        <w:t> </w:t>
      </w:r>
      <w:r>
        <w:rPr>
          <w:color w:val="231F20"/>
          <w:w w:val="105"/>
        </w:rPr>
        <w:t>la</w:t>
      </w:r>
      <w:r>
        <w:rPr>
          <w:color w:val="231F20"/>
          <w:spacing w:val="-23"/>
          <w:w w:val="105"/>
        </w:rPr>
        <w:t> </w:t>
      </w:r>
      <w:r>
        <w:rPr>
          <w:color w:val="231F20"/>
          <w:w w:val="105"/>
        </w:rPr>
        <w:t>continuidad</w:t>
      </w:r>
      <w:r>
        <w:rPr>
          <w:color w:val="231F20"/>
          <w:spacing w:val="-23"/>
          <w:w w:val="105"/>
        </w:rPr>
        <w:t> </w:t>
      </w:r>
      <w:r>
        <w:rPr>
          <w:color w:val="231F20"/>
          <w:w w:val="105"/>
        </w:rPr>
        <w:t>del</w:t>
      </w:r>
      <w:r>
        <w:rPr>
          <w:color w:val="231F20"/>
          <w:spacing w:val="-23"/>
          <w:w w:val="105"/>
        </w:rPr>
        <w:t> </w:t>
      </w:r>
      <w:r>
        <w:rPr>
          <w:color w:val="231F20"/>
          <w:w w:val="105"/>
        </w:rPr>
        <w:t>Estado,</w:t>
      </w:r>
      <w:r>
        <w:rPr>
          <w:color w:val="231F20"/>
          <w:spacing w:val="-23"/>
          <w:w w:val="105"/>
        </w:rPr>
        <w:t> </w:t>
      </w:r>
      <w:r>
        <w:rPr>
          <w:color w:val="231F20"/>
          <w:w w:val="105"/>
        </w:rPr>
        <w:t>no</w:t>
      </w:r>
      <w:r>
        <w:rPr>
          <w:color w:val="231F20"/>
          <w:spacing w:val="-23"/>
          <w:w w:val="105"/>
        </w:rPr>
        <w:t> </w:t>
      </w:r>
      <w:r>
        <w:rPr>
          <w:color w:val="231F20"/>
          <w:w w:val="105"/>
        </w:rPr>
        <w:t>obstante</w:t>
      </w:r>
      <w:r>
        <w:rPr>
          <w:color w:val="231F20"/>
          <w:spacing w:val="-23"/>
          <w:w w:val="105"/>
        </w:rPr>
        <w:t> </w:t>
      </w:r>
      <w:r>
        <w:rPr>
          <w:color w:val="231F20"/>
          <w:w w:val="105"/>
        </w:rPr>
        <w:t>las</w:t>
      </w:r>
      <w:r>
        <w:rPr>
          <w:color w:val="231F20"/>
          <w:spacing w:val="-23"/>
          <w:w w:val="105"/>
        </w:rPr>
        <w:t> </w:t>
      </w:r>
      <w:r>
        <w:rPr>
          <w:color w:val="231F20"/>
          <w:w w:val="105"/>
        </w:rPr>
        <w:t>distan- cias</w:t>
      </w:r>
      <w:r>
        <w:rPr>
          <w:color w:val="231F20"/>
          <w:spacing w:val="-39"/>
          <w:w w:val="105"/>
        </w:rPr>
        <w:t> </w:t>
      </w:r>
      <w:r>
        <w:rPr>
          <w:color w:val="231F20"/>
          <w:w w:val="105"/>
        </w:rPr>
        <w:t>y</w:t>
      </w:r>
      <w:r>
        <w:rPr>
          <w:color w:val="231F20"/>
          <w:spacing w:val="-39"/>
          <w:w w:val="105"/>
        </w:rPr>
        <w:t> </w:t>
      </w:r>
      <w:r>
        <w:rPr>
          <w:color w:val="231F20"/>
          <w:w w:val="105"/>
        </w:rPr>
        <w:t>las</w:t>
      </w:r>
      <w:r>
        <w:rPr>
          <w:color w:val="231F20"/>
          <w:spacing w:val="-39"/>
          <w:w w:val="105"/>
        </w:rPr>
        <w:t> </w:t>
      </w:r>
      <w:r>
        <w:rPr>
          <w:color w:val="231F20"/>
          <w:w w:val="105"/>
        </w:rPr>
        <w:t>diferencias</w:t>
      </w:r>
      <w:r>
        <w:rPr>
          <w:color w:val="231F20"/>
          <w:w w:val="105"/>
          <w:position w:val="7"/>
          <w:sz w:val="12"/>
        </w:rPr>
        <w:t>59</w:t>
      </w:r>
      <w:r>
        <w:rPr>
          <w:color w:val="231F20"/>
          <w:w w:val="105"/>
        </w:rPr>
        <w:t>.</w:t>
      </w:r>
      <w:r>
        <w:rPr>
          <w:color w:val="231F20"/>
          <w:spacing w:val="-39"/>
          <w:w w:val="105"/>
        </w:rPr>
        <w:t> </w:t>
      </w:r>
      <w:r>
        <w:rPr>
          <w:color w:val="231F20"/>
          <w:w w:val="105"/>
        </w:rPr>
        <w:t>La</w:t>
      </w:r>
      <w:r>
        <w:rPr>
          <w:color w:val="231F20"/>
          <w:spacing w:val="-39"/>
          <w:w w:val="105"/>
        </w:rPr>
        <w:t> </w:t>
      </w:r>
      <w:r>
        <w:rPr>
          <w:color w:val="231F20"/>
          <w:w w:val="105"/>
        </w:rPr>
        <w:t>repetición</w:t>
      </w:r>
      <w:r>
        <w:rPr>
          <w:color w:val="231F20"/>
          <w:spacing w:val="-39"/>
          <w:w w:val="105"/>
        </w:rPr>
        <w:t> </w:t>
      </w:r>
      <w:r>
        <w:rPr>
          <w:color w:val="231F20"/>
          <w:w w:val="105"/>
        </w:rPr>
        <w:t>burocrática</w:t>
      </w:r>
      <w:r>
        <w:rPr>
          <w:color w:val="231F20"/>
          <w:spacing w:val="-39"/>
          <w:w w:val="105"/>
        </w:rPr>
        <w:t> </w:t>
      </w:r>
      <w:r>
        <w:rPr>
          <w:color w:val="231F20"/>
          <w:w w:val="105"/>
        </w:rPr>
        <w:t>es</w:t>
      </w:r>
      <w:r>
        <w:rPr>
          <w:color w:val="231F20"/>
          <w:spacing w:val="-39"/>
          <w:w w:val="105"/>
        </w:rPr>
        <w:t> </w:t>
      </w:r>
      <w:r>
        <w:rPr>
          <w:color w:val="231F20"/>
          <w:w w:val="105"/>
        </w:rPr>
        <w:t>la</w:t>
      </w:r>
      <w:r>
        <w:rPr>
          <w:color w:val="231F20"/>
          <w:spacing w:val="-39"/>
          <w:w w:val="105"/>
        </w:rPr>
        <w:t> </w:t>
      </w:r>
      <w:r>
        <w:rPr>
          <w:color w:val="231F20"/>
          <w:w w:val="105"/>
        </w:rPr>
        <w:t>señal</w:t>
      </w:r>
      <w:r>
        <w:rPr>
          <w:color w:val="231F20"/>
          <w:spacing w:val="-39"/>
          <w:w w:val="105"/>
        </w:rPr>
        <w:t> </w:t>
      </w:r>
      <w:r>
        <w:rPr>
          <w:color w:val="231F20"/>
          <w:w w:val="105"/>
        </w:rPr>
        <w:t>de</w:t>
      </w:r>
      <w:r>
        <w:rPr>
          <w:color w:val="231F20"/>
          <w:spacing w:val="-39"/>
          <w:w w:val="105"/>
        </w:rPr>
        <w:t> </w:t>
      </w:r>
      <w:r>
        <w:rPr>
          <w:color w:val="231F20"/>
          <w:w w:val="105"/>
        </w:rPr>
        <w:t>una</w:t>
      </w:r>
      <w:r>
        <w:rPr>
          <w:color w:val="231F20"/>
          <w:spacing w:val="-39"/>
          <w:w w:val="105"/>
        </w:rPr>
        <w:t> </w:t>
      </w:r>
      <w:r>
        <w:rPr>
          <w:color w:val="231F20"/>
          <w:w w:val="105"/>
        </w:rPr>
        <w:t>igualdad</w:t>
      </w:r>
    </w:p>
    <w:p>
      <w:pPr>
        <w:pStyle w:val="BodyText"/>
        <w:spacing w:before="2"/>
        <w:rPr>
          <w:sz w:val="16"/>
        </w:rPr>
      </w:pPr>
      <w:r>
        <w:rPr/>
        <w:pict>
          <v:line style="position:absolute;mso-position-horizontal-relative:page;mso-position-vertical-relative:paragraph;z-index:3472;mso-wrap-distance-left:0;mso-wrap-distance-right:0" from="70.866096pt,11.891177pt" to="184.252096pt,11.891177pt" stroked="true" strokeweight=".3pt" strokecolor="#231f20">
            <w10:wrap type="topAndBottom"/>
          </v:line>
        </w:pict>
      </w:r>
    </w:p>
    <w:p>
      <w:pPr>
        <w:spacing w:line="204" w:lineRule="exact" w:before="8"/>
        <w:ind w:left="117" w:right="101" w:firstLine="0"/>
        <w:jc w:val="both"/>
        <w:rPr>
          <w:rFonts w:ascii="Calibri" w:hAnsi="Calibri"/>
          <w:sz w:val="17"/>
        </w:rPr>
      </w:pPr>
      <w:r>
        <w:rPr>
          <w:rFonts w:ascii="Calibri" w:hAnsi="Calibri"/>
          <w:color w:val="231F20"/>
          <w:position w:val="6"/>
          <w:sz w:val="10"/>
        </w:rPr>
        <w:t>55 </w:t>
      </w:r>
      <w:r>
        <w:rPr>
          <w:rFonts w:ascii="Calibri" w:hAnsi="Calibri"/>
          <w:color w:val="231F20"/>
          <w:sz w:val="17"/>
        </w:rPr>
        <w:t>D. Sacchetto (Ed.), </w:t>
      </w:r>
      <w:r>
        <w:rPr>
          <w:rFonts w:ascii="Calibri" w:hAnsi="Calibri"/>
          <w:i/>
          <w:color w:val="231F20"/>
          <w:sz w:val="17"/>
        </w:rPr>
        <w:t>Ai margini dell’Unione Europea</w:t>
      </w:r>
      <w:r>
        <w:rPr>
          <w:rFonts w:ascii="Calibri" w:hAnsi="Calibri"/>
          <w:color w:val="231F20"/>
          <w:sz w:val="17"/>
        </w:rPr>
        <w:t>, Roma, Carrocci, 2011; R. H. Jackson, </w:t>
      </w:r>
      <w:r>
        <w:rPr>
          <w:rFonts w:ascii="Calibri" w:hAnsi="Calibri"/>
          <w:i/>
          <w:color w:val="231F20"/>
          <w:sz w:val="17"/>
        </w:rPr>
        <w:t>Quasi</w:t>
      </w:r>
      <w:r>
        <w:rPr>
          <w:rFonts w:ascii="Calibri" w:hAnsi="Calibri"/>
          <w:color w:val="231F20"/>
          <w:sz w:val="17"/>
        </w:rPr>
        <w:t>– </w:t>
      </w:r>
      <w:r>
        <w:rPr>
          <w:rFonts w:ascii="Calibri" w:hAnsi="Calibri"/>
          <w:i/>
          <w:color w:val="231F20"/>
          <w:sz w:val="17"/>
        </w:rPr>
        <w:t>States: Sovereignty, International Relations, And The Third World</w:t>
      </w:r>
      <w:r>
        <w:rPr>
          <w:rFonts w:ascii="Calibri" w:hAnsi="Calibri"/>
          <w:color w:val="231F20"/>
          <w:sz w:val="17"/>
        </w:rPr>
        <w:t>, Cambridge, Cambridge University Press, 1996.</w:t>
      </w:r>
    </w:p>
    <w:p>
      <w:pPr>
        <w:spacing w:line="204" w:lineRule="exact" w:before="0"/>
        <w:ind w:left="117" w:right="101" w:firstLine="0"/>
        <w:jc w:val="both"/>
        <w:rPr>
          <w:rFonts w:ascii="Calibri"/>
          <w:sz w:val="17"/>
        </w:rPr>
      </w:pPr>
      <w:r>
        <w:rPr>
          <w:rFonts w:ascii="Calibri"/>
          <w:color w:val="231F20"/>
          <w:position w:val="6"/>
          <w:sz w:val="10"/>
        </w:rPr>
        <w:t>56 </w:t>
      </w:r>
      <w:r>
        <w:rPr>
          <w:rFonts w:ascii="Calibri"/>
          <w:color w:val="231F20"/>
          <w:sz w:val="17"/>
        </w:rPr>
        <w:t>Ambos se encuentran en C. Geertz, </w:t>
      </w:r>
      <w:r>
        <w:rPr>
          <w:rFonts w:ascii="Calibri"/>
          <w:i/>
          <w:color w:val="231F20"/>
          <w:sz w:val="17"/>
        </w:rPr>
        <w:t>Mondo globale, mondi locali. Cultura e politica alla fine del </w:t>
      </w:r>
      <w:r>
        <w:rPr>
          <w:rFonts w:ascii="Calibri"/>
          <w:i/>
          <w:color w:val="231F20"/>
          <w:sz w:val="17"/>
        </w:rPr>
        <w:t>ventesimo secolo</w:t>
      </w:r>
      <w:r>
        <w:rPr>
          <w:rFonts w:ascii="Calibri"/>
          <w:color w:val="231F20"/>
          <w:sz w:val="17"/>
        </w:rPr>
        <w:t>, Bologna, il Mulino, 1995.</w:t>
      </w:r>
    </w:p>
    <w:p>
      <w:pPr>
        <w:spacing w:line="206" w:lineRule="exact" w:before="1"/>
        <w:ind w:left="117" w:right="0" w:firstLine="0"/>
        <w:jc w:val="both"/>
        <w:rPr>
          <w:rFonts w:ascii="Calibri" w:hAnsi="Calibri"/>
          <w:sz w:val="17"/>
        </w:rPr>
      </w:pPr>
      <w:r>
        <w:rPr>
          <w:rFonts w:ascii="Calibri" w:hAnsi="Calibri"/>
          <w:color w:val="231F20"/>
          <w:w w:val="105"/>
          <w:position w:val="6"/>
          <w:sz w:val="10"/>
        </w:rPr>
        <w:t>57 </w:t>
      </w:r>
      <w:r>
        <w:rPr>
          <w:rFonts w:ascii="Calibri" w:hAnsi="Calibri"/>
          <w:color w:val="231F20"/>
          <w:w w:val="105"/>
          <w:sz w:val="17"/>
        </w:rPr>
        <w:t>A.</w:t>
      </w:r>
      <w:r>
        <w:rPr>
          <w:rFonts w:ascii="Calibri" w:hAnsi="Calibri"/>
          <w:color w:val="231F20"/>
          <w:spacing w:val="-18"/>
          <w:w w:val="105"/>
          <w:sz w:val="17"/>
        </w:rPr>
        <w:t> </w:t>
      </w:r>
      <w:r>
        <w:rPr>
          <w:rFonts w:ascii="Calibri" w:hAnsi="Calibri"/>
          <w:color w:val="231F20"/>
          <w:w w:val="105"/>
          <w:sz w:val="17"/>
        </w:rPr>
        <w:t>Sharma</w:t>
      </w:r>
      <w:r>
        <w:rPr>
          <w:rFonts w:ascii="Calibri" w:hAnsi="Calibri"/>
          <w:color w:val="231F20"/>
          <w:spacing w:val="-19"/>
          <w:w w:val="105"/>
          <w:sz w:val="17"/>
        </w:rPr>
        <w:t> </w:t>
      </w:r>
      <w:r>
        <w:rPr>
          <w:rFonts w:ascii="Calibri" w:hAnsi="Calibri"/>
          <w:color w:val="231F20"/>
          <w:w w:val="105"/>
          <w:sz w:val="17"/>
        </w:rPr>
        <w:t>y</w:t>
      </w:r>
      <w:r>
        <w:rPr>
          <w:rFonts w:ascii="Calibri" w:hAnsi="Calibri"/>
          <w:color w:val="231F20"/>
          <w:spacing w:val="-18"/>
          <w:w w:val="105"/>
          <w:sz w:val="17"/>
        </w:rPr>
        <w:t> </w:t>
      </w:r>
      <w:r>
        <w:rPr>
          <w:rFonts w:ascii="Calibri" w:hAnsi="Calibri"/>
          <w:color w:val="231F20"/>
          <w:w w:val="105"/>
          <w:sz w:val="17"/>
        </w:rPr>
        <w:t>A.</w:t>
      </w:r>
      <w:r>
        <w:rPr>
          <w:rFonts w:ascii="Calibri" w:hAnsi="Calibri"/>
          <w:color w:val="231F20"/>
          <w:spacing w:val="-18"/>
          <w:w w:val="105"/>
          <w:sz w:val="17"/>
        </w:rPr>
        <w:t> </w:t>
      </w:r>
      <w:r>
        <w:rPr>
          <w:rFonts w:ascii="Calibri" w:hAnsi="Calibri"/>
          <w:color w:val="231F20"/>
          <w:w w:val="105"/>
          <w:sz w:val="17"/>
        </w:rPr>
        <w:t>Gupta,</w:t>
      </w:r>
      <w:r>
        <w:rPr>
          <w:rFonts w:ascii="Calibri" w:hAnsi="Calibri"/>
          <w:color w:val="231F20"/>
          <w:spacing w:val="-18"/>
          <w:w w:val="105"/>
          <w:sz w:val="17"/>
        </w:rPr>
        <w:t> </w:t>
      </w:r>
      <w:r>
        <w:rPr>
          <w:rFonts w:ascii="Calibri" w:hAnsi="Calibri"/>
          <w:color w:val="231F20"/>
          <w:w w:val="105"/>
          <w:sz w:val="17"/>
        </w:rPr>
        <w:t>“Introduction:</w:t>
      </w:r>
      <w:r>
        <w:rPr>
          <w:rFonts w:ascii="Calibri" w:hAnsi="Calibri"/>
          <w:color w:val="231F20"/>
          <w:spacing w:val="-18"/>
          <w:w w:val="105"/>
          <w:sz w:val="17"/>
        </w:rPr>
        <w:t> </w:t>
      </w:r>
      <w:r>
        <w:rPr>
          <w:rFonts w:ascii="Calibri" w:hAnsi="Calibri"/>
          <w:color w:val="231F20"/>
          <w:w w:val="105"/>
          <w:sz w:val="17"/>
        </w:rPr>
        <w:t>Rethinking</w:t>
      </w:r>
      <w:r>
        <w:rPr>
          <w:rFonts w:ascii="Calibri" w:hAnsi="Calibri"/>
          <w:color w:val="231F20"/>
          <w:spacing w:val="-20"/>
          <w:w w:val="105"/>
          <w:sz w:val="17"/>
        </w:rPr>
        <w:t> </w:t>
      </w:r>
      <w:r>
        <w:rPr>
          <w:rFonts w:ascii="Calibri" w:hAnsi="Calibri"/>
          <w:color w:val="231F20"/>
          <w:w w:val="105"/>
          <w:sz w:val="17"/>
        </w:rPr>
        <w:t>Theories</w:t>
      </w:r>
      <w:r>
        <w:rPr>
          <w:rFonts w:ascii="Calibri" w:hAnsi="Calibri"/>
          <w:color w:val="231F20"/>
          <w:spacing w:val="-18"/>
          <w:w w:val="105"/>
          <w:sz w:val="17"/>
        </w:rPr>
        <w:t> </w:t>
      </w:r>
      <w:r>
        <w:rPr>
          <w:rFonts w:ascii="Calibri" w:hAnsi="Calibri"/>
          <w:color w:val="231F20"/>
          <w:w w:val="105"/>
          <w:sz w:val="17"/>
        </w:rPr>
        <w:t>of</w:t>
      </w:r>
      <w:r>
        <w:rPr>
          <w:rFonts w:ascii="Calibri" w:hAnsi="Calibri"/>
          <w:color w:val="231F20"/>
          <w:spacing w:val="-18"/>
          <w:w w:val="105"/>
          <w:sz w:val="17"/>
        </w:rPr>
        <w:t> </w:t>
      </w:r>
      <w:r>
        <w:rPr>
          <w:rFonts w:ascii="Calibri" w:hAnsi="Calibri"/>
          <w:color w:val="231F20"/>
          <w:w w:val="105"/>
          <w:sz w:val="17"/>
        </w:rPr>
        <w:t>the</w:t>
      </w:r>
      <w:r>
        <w:rPr>
          <w:rFonts w:ascii="Calibri" w:hAnsi="Calibri"/>
          <w:color w:val="231F20"/>
          <w:spacing w:val="-18"/>
          <w:w w:val="105"/>
          <w:sz w:val="17"/>
        </w:rPr>
        <w:t> </w:t>
      </w:r>
      <w:r>
        <w:rPr>
          <w:rFonts w:ascii="Calibri" w:hAnsi="Calibri"/>
          <w:color w:val="231F20"/>
          <w:w w:val="105"/>
          <w:sz w:val="17"/>
        </w:rPr>
        <w:t>State</w:t>
      </w:r>
      <w:r>
        <w:rPr>
          <w:rFonts w:ascii="Calibri" w:hAnsi="Calibri"/>
          <w:color w:val="231F20"/>
          <w:spacing w:val="-18"/>
          <w:w w:val="105"/>
          <w:sz w:val="17"/>
        </w:rPr>
        <w:t> </w:t>
      </w:r>
      <w:r>
        <w:rPr>
          <w:rFonts w:ascii="Calibri" w:hAnsi="Calibri"/>
          <w:color w:val="231F20"/>
          <w:w w:val="105"/>
          <w:sz w:val="17"/>
        </w:rPr>
        <w:t>in</w:t>
      </w:r>
      <w:r>
        <w:rPr>
          <w:rFonts w:ascii="Calibri" w:hAnsi="Calibri"/>
          <w:color w:val="231F20"/>
          <w:spacing w:val="-18"/>
          <w:w w:val="105"/>
          <w:sz w:val="17"/>
        </w:rPr>
        <w:t> </w:t>
      </w:r>
      <w:r>
        <w:rPr>
          <w:rFonts w:ascii="Calibri" w:hAnsi="Calibri"/>
          <w:color w:val="231F20"/>
          <w:w w:val="105"/>
          <w:sz w:val="17"/>
        </w:rPr>
        <w:t>an</w:t>
      </w:r>
      <w:r>
        <w:rPr>
          <w:rFonts w:ascii="Calibri" w:hAnsi="Calibri"/>
          <w:color w:val="231F20"/>
          <w:spacing w:val="-18"/>
          <w:w w:val="105"/>
          <w:sz w:val="17"/>
        </w:rPr>
        <w:t> </w:t>
      </w:r>
      <w:r>
        <w:rPr>
          <w:rFonts w:ascii="Calibri" w:hAnsi="Calibri"/>
          <w:color w:val="231F20"/>
          <w:w w:val="105"/>
          <w:sz w:val="17"/>
        </w:rPr>
        <w:t>Age</w:t>
      </w:r>
      <w:r>
        <w:rPr>
          <w:rFonts w:ascii="Calibri" w:hAnsi="Calibri"/>
          <w:color w:val="231F20"/>
          <w:spacing w:val="-18"/>
          <w:w w:val="105"/>
          <w:sz w:val="17"/>
        </w:rPr>
        <w:t> </w:t>
      </w:r>
      <w:r>
        <w:rPr>
          <w:rFonts w:ascii="Calibri" w:hAnsi="Calibri"/>
          <w:color w:val="231F20"/>
          <w:w w:val="105"/>
          <w:sz w:val="17"/>
        </w:rPr>
        <w:t>of</w:t>
      </w:r>
      <w:r>
        <w:rPr>
          <w:rFonts w:ascii="Calibri" w:hAnsi="Calibri"/>
          <w:color w:val="231F20"/>
          <w:spacing w:val="-18"/>
          <w:w w:val="105"/>
          <w:sz w:val="17"/>
        </w:rPr>
        <w:t> </w:t>
      </w:r>
      <w:r>
        <w:rPr>
          <w:rFonts w:ascii="Calibri" w:hAnsi="Calibri"/>
          <w:color w:val="231F20"/>
          <w:w w:val="105"/>
          <w:sz w:val="17"/>
        </w:rPr>
        <w:t>Globalization”,</w:t>
      </w:r>
    </w:p>
    <w:p>
      <w:pPr>
        <w:spacing w:line="235" w:lineRule="auto" w:before="1"/>
        <w:ind w:left="117" w:right="101" w:firstLine="0"/>
        <w:jc w:val="both"/>
        <w:rPr>
          <w:rFonts w:ascii="Calibri" w:hAnsi="Calibri"/>
          <w:sz w:val="17"/>
        </w:rPr>
      </w:pPr>
      <w:r>
        <w:rPr>
          <w:rFonts w:ascii="Calibri" w:hAnsi="Calibri"/>
          <w:color w:val="231F20"/>
          <w:sz w:val="17"/>
        </w:rPr>
        <w:t>A.</w:t>
      </w:r>
      <w:r>
        <w:rPr>
          <w:rFonts w:ascii="Calibri" w:hAnsi="Calibri"/>
          <w:color w:val="231F20"/>
          <w:spacing w:val="-4"/>
          <w:sz w:val="17"/>
        </w:rPr>
        <w:t> </w:t>
      </w:r>
      <w:r>
        <w:rPr>
          <w:rFonts w:ascii="Calibri" w:hAnsi="Calibri"/>
          <w:color w:val="231F20"/>
          <w:sz w:val="17"/>
        </w:rPr>
        <w:t>Sharma</w:t>
      </w:r>
      <w:r>
        <w:rPr>
          <w:rFonts w:ascii="Calibri" w:hAnsi="Calibri"/>
          <w:color w:val="231F20"/>
          <w:spacing w:val="-6"/>
          <w:sz w:val="17"/>
        </w:rPr>
        <w:t> </w:t>
      </w:r>
      <w:r>
        <w:rPr>
          <w:rFonts w:ascii="Calibri" w:hAnsi="Calibri"/>
          <w:color w:val="231F20"/>
          <w:sz w:val="17"/>
        </w:rPr>
        <w:t>y</w:t>
      </w:r>
      <w:r>
        <w:rPr>
          <w:rFonts w:ascii="Calibri" w:hAnsi="Calibri"/>
          <w:color w:val="231F20"/>
          <w:spacing w:val="-4"/>
          <w:sz w:val="17"/>
        </w:rPr>
        <w:t> </w:t>
      </w:r>
      <w:r>
        <w:rPr>
          <w:rFonts w:ascii="Calibri" w:hAnsi="Calibri"/>
          <w:color w:val="231F20"/>
          <w:sz w:val="17"/>
        </w:rPr>
        <w:t>A.</w:t>
      </w:r>
      <w:r>
        <w:rPr>
          <w:rFonts w:ascii="Calibri" w:hAnsi="Calibri"/>
          <w:color w:val="231F20"/>
          <w:spacing w:val="-4"/>
          <w:sz w:val="17"/>
        </w:rPr>
        <w:t> </w:t>
      </w:r>
      <w:r>
        <w:rPr>
          <w:rFonts w:ascii="Calibri" w:hAnsi="Calibri"/>
          <w:color w:val="231F20"/>
          <w:sz w:val="17"/>
        </w:rPr>
        <w:t>Gupta</w:t>
      </w:r>
      <w:r>
        <w:rPr>
          <w:rFonts w:ascii="Calibri" w:hAnsi="Calibri"/>
          <w:color w:val="231F20"/>
          <w:spacing w:val="-4"/>
          <w:sz w:val="17"/>
        </w:rPr>
        <w:t> </w:t>
      </w:r>
      <w:r>
        <w:rPr>
          <w:rFonts w:ascii="Calibri" w:hAnsi="Calibri"/>
          <w:color w:val="231F20"/>
          <w:sz w:val="17"/>
        </w:rPr>
        <w:t>(Eds.),</w:t>
      </w:r>
      <w:r>
        <w:rPr>
          <w:rFonts w:ascii="Calibri" w:hAnsi="Calibri"/>
          <w:color w:val="231F20"/>
          <w:spacing w:val="-4"/>
          <w:sz w:val="17"/>
        </w:rPr>
        <w:t> </w:t>
      </w:r>
      <w:r>
        <w:rPr>
          <w:rFonts w:ascii="Calibri" w:hAnsi="Calibri"/>
          <w:i/>
          <w:color w:val="231F20"/>
          <w:sz w:val="17"/>
        </w:rPr>
        <w:t>The</w:t>
      </w:r>
      <w:r>
        <w:rPr>
          <w:rFonts w:ascii="Calibri" w:hAnsi="Calibri"/>
          <w:i/>
          <w:color w:val="231F20"/>
          <w:spacing w:val="-5"/>
          <w:sz w:val="17"/>
        </w:rPr>
        <w:t> </w:t>
      </w:r>
      <w:r>
        <w:rPr>
          <w:rFonts w:ascii="Calibri" w:hAnsi="Calibri"/>
          <w:i/>
          <w:color w:val="231F20"/>
          <w:sz w:val="17"/>
        </w:rPr>
        <w:t>Anthropology</w:t>
      </w:r>
      <w:r>
        <w:rPr>
          <w:rFonts w:ascii="Calibri" w:hAnsi="Calibri"/>
          <w:i/>
          <w:color w:val="231F20"/>
          <w:spacing w:val="-5"/>
          <w:sz w:val="17"/>
        </w:rPr>
        <w:t> </w:t>
      </w:r>
      <w:r>
        <w:rPr>
          <w:rFonts w:ascii="Calibri" w:hAnsi="Calibri"/>
          <w:i/>
          <w:color w:val="231F20"/>
          <w:sz w:val="17"/>
        </w:rPr>
        <w:t>of</w:t>
      </w:r>
      <w:r>
        <w:rPr>
          <w:rFonts w:ascii="Calibri" w:hAnsi="Calibri"/>
          <w:i/>
          <w:color w:val="231F20"/>
          <w:spacing w:val="-5"/>
          <w:sz w:val="17"/>
        </w:rPr>
        <w:t> </w:t>
      </w:r>
      <w:r>
        <w:rPr>
          <w:rFonts w:ascii="Calibri" w:hAnsi="Calibri"/>
          <w:i/>
          <w:color w:val="231F20"/>
          <w:sz w:val="17"/>
        </w:rPr>
        <w:t>the</w:t>
      </w:r>
      <w:r>
        <w:rPr>
          <w:rFonts w:ascii="Calibri" w:hAnsi="Calibri"/>
          <w:i/>
          <w:color w:val="231F20"/>
          <w:spacing w:val="-5"/>
          <w:sz w:val="17"/>
        </w:rPr>
        <w:t> </w:t>
      </w:r>
      <w:r>
        <w:rPr>
          <w:rFonts w:ascii="Calibri" w:hAnsi="Calibri"/>
          <w:i/>
          <w:color w:val="231F20"/>
          <w:sz w:val="17"/>
        </w:rPr>
        <w:t>State.</w:t>
      </w:r>
      <w:r>
        <w:rPr>
          <w:rFonts w:ascii="Calibri" w:hAnsi="Calibri"/>
          <w:i/>
          <w:color w:val="231F20"/>
          <w:spacing w:val="-5"/>
          <w:sz w:val="17"/>
        </w:rPr>
        <w:t> </w:t>
      </w:r>
      <w:r>
        <w:rPr>
          <w:rFonts w:ascii="Calibri" w:hAnsi="Calibri"/>
          <w:i/>
          <w:color w:val="231F20"/>
          <w:sz w:val="17"/>
        </w:rPr>
        <w:t>A</w:t>
      </w:r>
      <w:r>
        <w:rPr>
          <w:rFonts w:ascii="Calibri" w:hAnsi="Calibri"/>
          <w:i/>
          <w:color w:val="231F20"/>
          <w:spacing w:val="-5"/>
          <w:sz w:val="17"/>
        </w:rPr>
        <w:t> </w:t>
      </w:r>
      <w:r>
        <w:rPr>
          <w:rFonts w:ascii="Calibri" w:hAnsi="Calibri"/>
          <w:i/>
          <w:color w:val="231F20"/>
          <w:sz w:val="17"/>
        </w:rPr>
        <w:t>Reader</w:t>
      </w:r>
      <w:r>
        <w:rPr>
          <w:rFonts w:ascii="Calibri" w:hAnsi="Calibri"/>
          <w:color w:val="231F20"/>
          <w:sz w:val="17"/>
        </w:rPr>
        <w:t>,</w:t>
      </w:r>
      <w:r>
        <w:rPr>
          <w:rFonts w:ascii="Calibri" w:hAnsi="Calibri"/>
          <w:color w:val="231F20"/>
          <w:spacing w:val="-4"/>
          <w:sz w:val="17"/>
        </w:rPr>
        <w:t> </w:t>
      </w:r>
      <w:r>
        <w:rPr>
          <w:rFonts w:ascii="Calibri" w:hAnsi="Calibri"/>
          <w:color w:val="231F20"/>
          <w:sz w:val="17"/>
        </w:rPr>
        <w:t>London,</w:t>
      </w:r>
      <w:r>
        <w:rPr>
          <w:rFonts w:ascii="Calibri" w:hAnsi="Calibri"/>
          <w:color w:val="231F20"/>
          <w:spacing w:val="-4"/>
          <w:sz w:val="17"/>
        </w:rPr>
        <w:t> </w:t>
      </w:r>
      <w:r>
        <w:rPr>
          <w:rFonts w:ascii="Calibri" w:hAnsi="Calibri"/>
          <w:color w:val="231F20"/>
          <w:sz w:val="17"/>
        </w:rPr>
        <w:t>Blackwell,</w:t>
      </w:r>
      <w:r>
        <w:rPr>
          <w:rFonts w:ascii="Calibri" w:hAnsi="Calibri"/>
          <w:color w:val="231F20"/>
          <w:spacing w:val="-4"/>
          <w:sz w:val="17"/>
        </w:rPr>
        <w:t> </w:t>
      </w:r>
      <w:r>
        <w:rPr>
          <w:rFonts w:ascii="Calibri" w:hAnsi="Calibri"/>
          <w:color w:val="231F20"/>
          <w:sz w:val="17"/>
        </w:rPr>
        <w:t>2006,</w:t>
      </w:r>
      <w:r>
        <w:rPr>
          <w:rFonts w:ascii="Calibri" w:hAnsi="Calibri"/>
          <w:color w:val="231F20"/>
          <w:spacing w:val="-4"/>
          <w:sz w:val="17"/>
        </w:rPr>
        <w:t> </w:t>
      </w:r>
      <w:r>
        <w:rPr>
          <w:rFonts w:ascii="Calibri" w:hAnsi="Calibri"/>
          <w:color w:val="231F20"/>
          <w:sz w:val="17"/>
        </w:rPr>
        <w:t>p.</w:t>
      </w:r>
      <w:r>
        <w:rPr>
          <w:rFonts w:ascii="Calibri" w:hAnsi="Calibri"/>
          <w:color w:val="231F20"/>
          <w:spacing w:val="-4"/>
          <w:sz w:val="17"/>
        </w:rPr>
        <w:t> </w:t>
      </w:r>
      <w:r>
        <w:rPr>
          <w:rFonts w:ascii="Calibri" w:hAnsi="Calibri"/>
          <w:color w:val="231F20"/>
          <w:sz w:val="17"/>
        </w:rPr>
        <w:t>31. </w:t>
      </w:r>
      <w:r>
        <w:rPr>
          <w:rFonts w:ascii="Calibri" w:hAnsi="Calibri"/>
          <w:color w:val="231F20"/>
          <w:position w:val="6"/>
          <w:sz w:val="10"/>
        </w:rPr>
        <w:t>58 </w:t>
      </w:r>
      <w:r>
        <w:rPr>
          <w:rFonts w:ascii="Calibri" w:hAnsi="Calibri"/>
          <w:color w:val="231F20"/>
          <w:sz w:val="17"/>
        </w:rPr>
        <w:t>“Por </w:t>
      </w:r>
      <w:r>
        <w:rPr>
          <w:rFonts w:ascii="Calibri" w:hAnsi="Calibri"/>
          <w:i/>
          <w:color w:val="231F20"/>
          <w:sz w:val="17"/>
        </w:rPr>
        <w:t>Estado </w:t>
      </w:r>
      <w:r>
        <w:rPr>
          <w:rFonts w:ascii="Calibri" w:hAnsi="Calibri"/>
          <w:color w:val="231F20"/>
          <w:sz w:val="17"/>
        </w:rPr>
        <w:t>se debe entender una empresa institucional de caracter político en la cual —y en la medida que— el aparato administrativo hace avanzar con éxito una pretensión de monopolio de     la coerción física </w:t>
      </w:r>
      <w:r>
        <w:rPr>
          <w:rFonts w:ascii="Calibri" w:hAnsi="Calibri"/>
          <w:i/>
          <w:color w:val="231F20"/>
          <w:sz w:val="17"/>
        </w:rPr>
        <w:t>legítima</w:t>
      </w:r>
      <w:r>
        <w:rPr>
          <w:rFonts w:ascii="Calibri" w:hAnsi="Calibri"/>
          <w:color w:val="231F20"/>
          <w:sz w:val="17"/>
        </w:rPr>
        <w:t>, en vista de la actuación de los ordenamientos al interior de un determi- nado</w:t>
      </w:r>
      <w:r>
        <w:rPr>
          <w:rFonts w:ascii="Calibri" w:hAnsi="Calibri"/>
          <w:color w:val="231F20"/>
          <w:spacing w:val="-3"/>
          <w:sz w:val="17"/>
        </w:rPr>
        <w:t> </w:t>
      </w:r>
      <w:r>
        <w:rPr>
          <w:rFonts w:ascii="Calibri" w:hAnsi="Calibri"/>
          <w:color w:val="231F20"/>
          <w:sz w:val="17"/>
        </w:rPr>
        <w:t>territorio”,</w:t>
      </w:r>
      <w:r>
        <w:rPr>
          <w:rFonts w:ascii="Calibri" w:hAnsi="Calibri"/>
          <w:color w:val="231F20"/>
          <w:spacing w:val="-3"/>
          <w:sz w:val="17"/>
        </w:rPr>
        <w:t> </w:t>
      </w:r>
      <w:r>
        <w:rPr>
          <w:rFonts w:ascii="Calibri" w:hAnsi="Calibri"/>
          <w:color w:val="231F20"/>
          <w:sz w:val="17"/>
        </w:rPr>
        <w:t>M.</w:t>
      </w:r>
      <w:r>
        <w:rPr>
          <w:rFonts w:ascii="Calibri" w:hAnsi="Calibri"/>
          <w:color w:val="231F20"/>
          <w:spacing w:val="-7"/>
          <w:sz w:val="17"/>
        </w:rPr>
        <w:t> </w:t>
      </w:r>
      <w:r>
        <w:rPr>
          <w:rFonts w:ascii="Calibri" w:hAnsi="Calibri"/>
          <w:color w:val="231F20"/>
          <w:spacing w:val="-3"/>
          <w:sz w:val="17"/>
        </w:rPr>
        <w:t>Weber, </w:t>
      </w:r>
      <w:r>
        <w:rPr>
          <w:rFonts w:ascii="Calibri" w:hAnsi="Calibri"/>
          <w:i/>
          <w:color w:val="231F20"/>
          <w:sz w:val="17"/>
        </w:rPr>
        <w:t>Economia</w:t>
      </w:r>
      <w:r>
        <w:rPr>
          <w:rFonts w:ascii="Calibri" w:hAnsi="Calibri"/>
          <w:i/>
          <w:color w:val="231F20"/>
          <w:spacing w:val="-4"/>
          <w:sz w:val="17"/>
        </w:rPr>
        <w:t> </w:t>
      </w:r>
      <w:r>
        <w:rPr>
          <w:rFonts w:ascii="Calibri" w:hAnsi="Calibri"/>
          <w:i/>
          <w:color w:val="231F20"/>
          <w:sz w:val="17"/>
        </w:rPr>
        <w:t>e</w:t>
      </w:r>
      <w:r>
        <w:rPr>
          <w:rFonts w:ascii="Calibri" w:hAnsi="Calibri"/>
          <w:i/>
          <w:color w:val="231F20"/>
          <w:spacing w:val="-4"/>
          <w:sz w:val="17"/>
        </w:rPr>
        <w:t> </w:t>
      </w:r>
      <w:r>
        <w:rPr>
          <w:rFonts w:ascii="Calibri" w:hAnsi="Calibri"/>
          <w:i/>
          <w:color w:val="231F20"/>
          <w:sz w:val="17"/>
        </w:rPr>
        <w:t>società</w:t>
      </w:r>
      <w:r>
        <w:rPr>
          <w:rFonts w:ascii="Calibri" w:hAnsi="Calibri"/>
          <w:color w:val="231F20"/>
          <w:sz w:val="17"/>
        </w:rPr>
        <w:t>.</w:t>
      </w:r>
      <w:r>
        <w:rPr>
          <w:rFonts w:ascii="Calibri" w:hAnsi="Calibri"/>
          <w:color w:val="231F20"/>
          <w:spacing w:val="-3"/>
          <w:sz w:val="17"/>
        </w:rPr>
        <w:t> </w:t>
      </w:r>
      <w:r>
        <w:rPr>
          <w:rFonts w:ascii="Calibri" w:hAnsi="Calibri"/>
          <w:color w:val="231F20"/>
          <w:sz w:val="17"/>
        </w:rPr>
        <w:t>1.</w:t>
      </w:r>
      <w:r>
        <w:rPr>
          <w:rFonts w:ascii="Calibri" w:hAnsi="Calibri"/>
          <w:color w:val="231F20"/>
          <w:spacing w:val="-3"/>
          <w:sz w:val="17"/>
        </w:rPr>
        <w:t> </w:t>
      </w:r>
      <w:r>
        <w:rPr>
          <w:rFonts w:ascii="Calibri" w:hAnsi="Calibri"/>
          <w:i/>
          <w:color w:val="231F20"/>
          <w:spacing w:val="-3"/>
          <w:sz w:val="17"/>
        </w:rPr>
        <w:t>Teoria</w:t>
      </w:r>
      <w:r>
        <w:rPr>
          <w:rFonts w:ascii="Calibri" w:hAnsi="Calibri"/>
          <w:i/>
          <w:color w:val="231F20"/>
          <w:spacing w:val="-4"/>
          <w:sz w:val="17"/>
        </w:rPr>
        <w:t> </w:t>
      </w:r>
      <w:r>
        <w:rPr>
          <w:rFonts w:ascii="Calibri" w:hAnsi="Calibri"/>
          <w:i/>
          <w:color w:val="231F20"/>
          <w:sz w:val="17"/>
        </w:rPr>
        <w:t>delle</w:t>
      </w:r>
      <w:r>
        <w:rPr>
          <w:rFonts w:ascii="Calibri" w:hAnsi="Calibri"/>
          <w:i/>
          <w:color w:val="231F20"/>
          <w:spacing w:val="-4"/>
          <w:sz w:val="17"/>
        </w:rPr>
        <w:t> </w:t>
      </w:r>
      <w:r>
        <w:rPr>
          <w:rFonts w:ascii="Calibri" w:hAnsi="Calibri"/>
          <w:i/>
          <w:color w:val="231F20"/>
          <w:sz w:val="17"/>
        </w:rPr>
        <w:t>categorie</w:t>
      </w:r>
      <w:r>
        <w:rPr>
          <w:rFonts w:ascii="Calibri" w:hAnsi="Calibri"/>
          <w:i/>
          <w:color w:val="231F20"/>
          <w:spacing w:val="-4"/>
          <w:sz w:val="17"/>
        </w:rPr>
        <w:t> </w:t>
      </w:r>
      <w:r>
        <w:rPr>
          <w:rFonts w:ascii="Calibri" w:hAnsi="Calibri"/>
          <w:i/>
          <w:color w:val="231F20"/>
          <w:sz w:val="17"/>
        </w:rPr>
        <w:t>sociologiche</w:t>
      </w:r>
      <w:r>
        <w:rPr>
          <w:rFonts w:ascii="Calibri" w:hAnsi="Calibri"/>
          <w:i/>
          <w:color w:val="231F20"/>
          <w:spacing w:val="-3"/>
          <w:sz w:val="17"/>
        </w:rPr>
        <w:t> </w:t>
      </w:r>
      <w:r>
        <w:rPr>
          <w:rFonts w:ascii="Calibri" w:hAnsi="Calibri"/>
          <w:color w:val="231F20"/>
          <w:sz w:val="17"/>
        </w:rPr>
        <w:t>(1922),</w:t>
      </w:r>
      <w:r>
        <w:rPr>
          <w:rFonts w:ascii="Calibri" w:hAnsi="Calibri"/>
          <w:color w:val="231F20"/>
          <w:spacing w:val="-3"/>
          <w:sz w:val="17"/>
        </w:rPr>
        <w:t> </w:t>
      </w:r>
      <w:r>
        <w:rPr>
          <w:rFonts w:ascii="Calibri" w:hAnsi="Calibri"/>
          <w:color w:val="231F20"/>
          <w:sz w:val="17"/>
        </w:rPr>
        <w:t>Milano, Comunità, 1980, p.</w:t>
      </w:r>
      <w:r>
        <w:rPr>
          <w:rFonts w:ascii="Calibri" w:hAnsi="Calibri"/>
          <w:color w:val="231F20"/>
          <w:spacing w:val="9"/>
          <w:sz w:val="17"/>
        </w:rPr>
        <w:t> </w:t>
      </w:r>
      <w:r>
        <w:rPr>
          <w:rFonts w:ascii="Calibri" w:hAnsi="Calibri"/>
          <w:color w:val="231F20"/>
          <w:sz w:val="17"/>
        </w:rPr>
        <w:t>53.</w:t>
      </w:r>
    </w:p>
    <w:p>
      <w:pPr>
        <w:spacing w:line="235" w:lineRule="auto" w:before="0"/>
        <w:ind w:left="117" w:right="102" w:firstLine="0"/>
        <w:jc w:val="both"/>
        <w:rPr>
          <w:rFonts w:ascii="Calibri" w:hAnsi="Calibri"/>
          <w:i/>
          <w:sz w:val="17"/>
        </w:rPr>
      </w:pPr>
      <w:r>
        <w:rPr>
          <w:rFonts w:ascii="Calibri" w:hAnsi="Calibri"/>
          <w:color w:val="231F20"/>
          <w:position w:val="6"/>
          <w:sz w:val="10"/>
        </w:rPr>
        <w:t>59 </w:t>
      </w:r>
      <w:r>
        <w:rPr>
          <w:rFonts w:ascii="Calibri" w:hAnsi="Calibri"/>
          <w:color w:val="231F20"/>
          <w:sz w:val="17"/>
        </w:rPr>
        <w:t>D. Rueschemeyer, “Building States —Inherently a </w:t>
      </w:r>
      <w:r>
        <w:rPr>
          <w:rFonts w:ascii="Calibri" w:hAnsi="Calibri"/>
          <w:color w:val="231F20"/>
          <w:spacing w:val="-3"/>
          <w:sz w:val="17"/>
        </w:rPr>
        <w:t>Long–Term </w:t>
      </w:r>
      <w:r>
        <w:rPr>
          <w:rFonts w:ascii="Calibri" w:hAnsi="Calibri"/>
          <w:color w:val="231F20"/>
          <w:sz w:val="17"/>
        </w:rPr>
        <w:t>Process? An Argument from  Theory”,  M.  Lange y  D.  Rueschemeyer  (Eds.),  </w:t>
      </w:r>
      <w:r>
        <w:rPr>
          <w:rFonts w:ascii="Calibri" w:hAnsi="Calibri"/>
          <w:i/>
          <w:color w:val="231F20"/>
          <w:sz w:val="17"/>
        </w:rPr>
        <w:t>States and Development. Historical Antecedents </w:t>
      </w:r>
      <w:r>
        <w:rPr>
          <w:rFonts w:ascii="Calibri" w:hAnsi="Calibri"/>
          <w:i/>
          <w:color w:val="231F20"/>
          <w:spacing w:val="15"/>
          <w:sz w:val="17"/>
        </w:rPr>
        <w:t> </w:t>
      </w:r>
      <w:r>
        <w:rPr>
          <w:rFonts w:ascii="Calibri" w:hAnsi="Calibri"/>
          <w:i/>
          <w:color w:val="231F20"/>
          <w:sz w:val="17"/>
        </w:rPr>
        <w:t>of</w:t>
      </w:r>
    </w:p>
    <w:p>
      <w:pPr>
        <w:spacing w:after="0" w:line="235" w:lineRule="auto"/>
        <w:jc w:val="both"/>
        <w:rPr>
          <w:rFonts w:ascii="Calibri" w:hAnsi="Calibri"/>
          <w:sz w:val="17"/>
        </w:rPr>
        <w:sectPr>
          <w:pgSz w:w="9640" w:h="13890"/>
          <w:pgMar w:top="0" w:bottom="280" w:left="1300" w:right="1200"/>
        </w:sectPr>
      </w:pPr>
    </w:p>
    <w:p>
      <w:pPr>
        <w:pStyle w:val="BodyText"/>
        <w:spacing w:line="244" w:lineRule="auto" w:before="107"/>
        <w:ind w:left="103" w:right="115"/>
        <w:jc w:val="both"/>
      </w:pPr>
      <w:r>
        <w:rPr>
          <w:color w:val="231F20"/>
        </w:rPr>
        <w:t>de tratamiento que está también en la base de la legitimación. La</w:t>
      </w:r>
      <w:r>
        <w:rPr>
          <w:color w:val="231F20"/>
          <w:spacing w:val="-46"/>
        </w:rPr>
        <w:t> </w:t>
      </w:r>
      <w:r>
        <w:rPr>
          <w:color w:val="231F20"/>
        </w:rPr>
        <w:t>irrupción de las prácticas de </w:t>
      </w:r>
      <w:r>
        <w:rPr>
          <w:rFonts w:ascii="Arial" w:hAnsi="Arial"/>
          <w:i/>
          <w:color w:val="231F20"/>
        </w:rPr>
        <w:t>governance </w:t>
      </w:r>
      <w:r>
        <w:rPr>
          <w:color w:val="231F20"/>
        </w:rPr>
        <w:t>y gubernamentales han puesto repetida- mente en peligro, cuando no ha interrumpido, estos efectos políticos del dominio burocrático, en correspondencia con la transformación de los mo- delos administrativos públicos y</w:t>
      </w:r>
      <w:r>
        <w:rPr>
          <w:color w:val="231F20"/>
          <w:spacing w:val="29"/>
        </w:rPr>
        <w:t> </w:t>
      </w:r>
      <w:r>
        <w:rPr>
          <w:color w:val="231F20"/>
        </w:rPr>
        <w:t>privados.</w:t>
      </w:r>
    </w:p>
    <w:p>
      <w:pPr>
        <w:pStyle w:val="BodyText"/>
        <w:spacing w:line="247" w:lineRule="auto" w:before="1"/>
        <w:ind w:left="103" w:right="114" w:firstLine="566"/>
        <w:jc w:val="both"/>
      </w:pPr>
      <w:r>
        <w:rPr>
          <w:color w:val="231F20"/>
        </w:rPr>
        <w:t>En las últimas décadas, al interior de la historia del pensamiento po- lítico se ha asistido a un lento pero inexorable pasaje de acento y de signi- ficado dentro de la fórmula: gobierno del pueblo</w:t>
      </w:r>
      <w:r>
        <w:rPr>
          <w:color w:val="231F20"/>
          <w:position w:val="7"/>
          <w:sz w:val="12"/>
        </w:rPr>
        <w:t>60</w:t>
      </w:r>
      <w:r>
        <w:rPr>
          <w:color w:val="231F20"/>
        </w:rPr>
        <w:t>. Hasta hace no mucho tiempo, esto significaba la indiscutible soberanía del pueblo dentro del Estado democrático. De ese Estado y de ese pueblo se reconstruía la his- toria común para legitimar la afirmación que cada uno de los dos era im- posible sin el otro. El pueblo era la solución siempre dada del enigma del Estado democrático. Desde los años sesenta, sin embargo, se afirma una variación que hace del pueblo no el sujeto, sino el objeto de las políticas de un gobierno que no coincide necesariamente con la idea que se tiene</w:t>
      </w:r>
      <w:r>
        <w:rPr>
          <w:color w:val="231F20"/>
          <w:spacing w:val="-39"/>
        </w:rPr>
        <w:t> </w:t>
      </w:r>
      <w:r>
        <w:rPr>
          <w:color w:val="231F20"/>
        </w:rPr>
        <w:t>al interior del Estado democrático. Como es evidente en las investigaciones de</w:t>
      </w:r>
      <w:r>
        <w:rPr>
          <w:color w:val="231F20"/>
          <w:spacing w:val="-5"/>
        </w:rPr>
        <w:t> </w:t>
      </w:r>
      <w:r>
        <w:rPr>
          <w:color w:val="231F20"/>
        </w:rPr>
        <w:t>Michel</w:t>
      </w:r>
      <w:r>
        <w:rPr>
          <w:color w:val="231F20"/>
          <w:spacing w:val="-5"/>
        </w:rPr>
        <w:t> </w:t>
      </w:r>
      <w:r>
        <w:rPr>
          <w:color w:val="231F20"/>
        </w:rPr>
        <w:t>Foucault,</w:t>
      </w:r>
      <w:r>
        <w:rPr>
          <w:color w:val="231F20"/>
          <w:spacing w:val="-5"/>
        </w:rPr>
        <w:t> </w:t>
      </w:r>
      <w:r>
        <w:rPr>
          <w:color w:val="231F20"/>
        </w:rPr>
        <w:t>la</w:t>
      </w:r>
      <w:r>
        <w:rPr>
          <w:color w:val="231F20"/>
          <w:spacing w:val="-5"/>
        </w:rPr>
        <w:t> </w:t>
      </w:r>
      <w:r>
        <w:rPr>
          <w:color w:val="231F20"/>
        </w:rPr>
        <w:t>transformación</w:t>
      </w:r>
      <w:r>
        <w:rPr>
          <w:color w:val="231F20"/>
          <w:spacing w:val="-5"/>
        </w:rPr>
        <w:t> </w:t>
      </w:r>
      <w:r>
        <w:rPr>
          <w:color w:val="231F20"/>
        </w:rPr>
        <w:t>es</w:t>
      </w:r>
      <w:r>
        <w:rPr>
          <w:color w:val="231F20"/>
          <w:spacing w:val="-5"/>
        </w:rPr>
        <w:t> </w:t>
      </w:r>
      <w:r>
        <w:rPr>
          <w:color w:val="231F20"/>
        </w:rPr>
        <w:t>tan</w:t>
      </w:r>
      <w:r>
        <w:rPr>
          <w:color w:val="231F20"/>
          <w:spacing w:val="-5"/>
        </w:rPr>
        <w:t> </w:t>
      </w:r>
      <w:r>
        <w:rPr>
          <w:color w:val="231F20"/>
        </w:rPr>
        <w:t>imponente</w:t>
      </w:r>
      <w:r>
        <w:rPr>
          <w:color w:val="231F20"/>
          <w:spacing w:val="-5"/>
        </w:rPr>
        <w:t> </w:t>
      </w:r>
      <w:r>
        <w:rPr>
          <w:color w:val="231F20"/>
        </w:rPr>
        <w:t>que</w:t>
      </w:r>
      <w:r>
        <w:rPr>
          <w:color w:val="231F20"/>
          <w:spacing w:val="-5"/>
        </w:rPr>
        <w:t> </w:t>
      </w:r>
      <w:r>
        <w:rPr>
          <w:color w:val="231F20"/>
        </w:rPr>
        <w:t>al</w:t>
      </w:r>
      <w:r>
        <w:rPr>
          <w:color w:val="231F20"/>
          <w:spacing w:val="-5"/>
        </w:rPr>
        <w:t> </w:t>
      </w:r>
      <w:r>
        <w:rPr>
          <w:color w:val="231F20"/>
        </w:rPr>
        <w:t>final</w:t>
      </w:r>
      <w:r>
        <w:rPr>
          <w:color w:val="231F20"/>
          <w:spacing w:val="-5"/>
        </w:rPr>
        <w:t> </w:t>
      </w:r>
      <w:r>
        <w:rPr>
          <w:color w:val="231F20"/>
        </w:rPr>
        <w:t>de</w:t>
      </w:r>
      <w:r>
        <w:rPr>
          <w:color w:val="231F20"/>
          <w:spacing w:val="-5"/>
        </w:rPr>
        <w:t> </w:t>
      </w:r>
      <w:r>
        <w:rPr>
          <w:color w:val="231F20"/>
        </w:rPr>
        <w:t>este proceso el pueblo se convierte en población y el gobierno se convierte en gubernamentalidad</w:t>
      </w:r>
      <w:r>
        <w:rPr>
          <w:color w:val="231F20"/>
          <w:position w:val="7"/>
          <w:sz w:val="12"/>
        </w:rPr>
        <w:t>61</w:t>
      </w:r>
      <w:r>
        <w:rPr>
          <w:color w:val="231F20"/>
        </w:rPr>
        <w:t>. Respecto al pueblo, no se trata simplemente de la sobreposición</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nuevo</w:t>
      </w:r>
      <w:r>
        <w:rPr>
          <w:color w:val="231F20"/>
          <w:spacing w:val="-8"/>
        </w:rPr>
        <w:t> </w:t>
      </w:r>
      <w:r>
        <w:rPr>
          <w:color w:val="231F20"/>
        </w:rPr>
        <w:t>léxico</w:t>
      </w:r>
      <w:r>
        <w:rPr>
          <w:color w:val="231F20"/>
          <w:spacing w:val="-8"/>
        </w:rPr>
        <w:t> </w:t>
      </w:r>
      <w:r>
        <w:rPr>
          <w:color w:val="231F20"/>
        </w:rPr>
        <w:t>al</w:t>
      </w:r>
      <w:r>
        <w:rPr>
          <w:color w:val="231F20"/>
          <w:spacing w:val="-8"/>
        </w:rPr>
        <w:t> </w:t>
      </w:r>
      <w:r>
        <w:rPr>
          <w:color w:val="231F20"/>
        </w:rPr>
        <w:t>precedente.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Europa</w:t>
      </w:r>
      <w:r>
        <w:rPr>
          <w:color w:val="231F20"/>
          <w:spacing w:val="-8"/>
        </w:rPr>
        <w:t> </w:t>
      </w:r>
      <w:r>
        <w:rPr>
          <w:color w:val="231F20"/>
        </w:rPr>
        <w:t>del</w:t>
      </w:r>
      <w:r>
        <w:rPr>
          <w:color w:val="231F20"/>
          <w:spacing w:val="-8"/>
        </w:rPr>
        <w:t> </w:t>
      </w:r>
      <w:r>
        <w:rPr>
          <w:color w:val="231F20"/>
        </w:rPr>
        <w:t>siglo</w:t>
      </w:r>
      <w:r>
        <w:rPr>
          <w:color w:val="231F20"/>
          <w:spacing w:val="-8"/>
        </w:rPr>
        <w:t> </w:t>
      </w:r>
      <w:r>
        <w:rPr>
          <w:color w:val="231F20"/>
          <w:sz w:val="18"/>
        </w:rPr>
        <w:t>XVIII </w:t>
      </w:r>
      <w:r>
        <w:rPr>
          <w:color w:val="231F20"/>
        </w:rPr>
        <w:t>la población tiene una existencia conceptualmente relevante que se desa- rrolla junto a la del pueblo. Pueblo y población establecen un campo de tensión irrenunciable para el discurso político de la democracia. El pueblo es constantemente evocado como fundamento necesario de la legitimidad del gobierno democrático, pero materialmente puede existir sólo para ser gobernado en cuanto población o si se quiere, en cuanto sociedad del pueblo. La tensión llega al punto que el pueblo incluso soberano puede correr</w:t>
      </w:r>
      <w:r>
        <w:rPr>
          <w:color w:val="231F20"/>
          <w:spacing w:val="-5"/>
        </w:rPr>
        <w:t> </w:t>
      </w:r>
      <w:r>
        <w:rPr>
          <w:color w:val="231F20"/>
        </w:rPr>
        <w:t>el</w:t>
      </w:r>
      <w:r>
        <w:rPr>
          <w:color w:val="231F20"/>
          <w:spacing w:val="-5"/>
        </w:rPr>
        <w:t> </w:t>
      </w:r>
      <w:r>
        <w:rPr>
          <w:color w:val="231F20"/>
        </w:rPr>
        <w:t>riesgo</w:t>
      </w:r>
      <w:r>
        <w:rPr>
          <w:color w:val="231F20"/>
          <w:spacing w:val="-5"/>
        </w:rPr>
        <w:t> </w:t>
      </w:r>
      <w:r>
        <w:rPr>
          <w:color w:val="231F20"/>
        </w:rPr>
        <w:t>de</w:t>
      </w:r>
      <w:r>
        <w:rPr>
          <w:color w:val="231F20"/>
          <w:spacing w:val="-5"/>
        </w:rPr>
        <w:t> </w:t>
      </w:r>
      <w:r>
        <w:rPr>
          <w:color w:val="231F20"/>
        </w:rPr>
        <w:t>aparecer</w:t>
      </w:r>
      <w:r>
        <w:rPr>
          <w:color w:val="231F20"/>
          <w:spacing w:val="-5"/>
        </w:rPr>
        <w:t> </w:t>
      </w:r>
      <w:r>
        <w:rPr>
          <w:color w:val="231F20"/>
        </w:rPr>
        <w:t>como</w:t>
      </w:r>
      <w:r>
        <w:rPr>
          <w:color w:val="231F20"/>
          <w:spacing w:val="-5"/>
        </w:rPr>
        <w:t> </w:t>
      </w:r>
      <w:r>
        <w:rPr>
          <w:color w:val="231F20"/>
        </w:rPr>
        <w:t>una</w:t>
      </w:r>
      <w:r>
        <w:rPr>
          <w:color w:val="231F20"/>
          <w:spacing w:val="-5"/>
        </w:rPr>
        <w:t> </w:t>
      </w:r>
      <w:r>
        <w:rPr>
          <w:color w:val="231F20"/>
        </w:rPr>
        <w:t>especie</w:t>
      </w:r>
      <w:r>
        <w:rPr>
          <w:color w:val="231F20"/>
          <w:spacing w:val="-5"/>
        </w:rPr>
        <w:t> </w:t>
      </w:r>
      <w:r>
        <w:rPr>
          <w:color w:val="231F20"/>
        </w:rPr>
        <w:t>de</w:t>
      </w:r>
      <w:r>
        <w:rPr>
          <w:color w:val="231F20"/>
          <w:spacing w:val="-5"/>
        </w:rPr>
        <w:t> </w:t>
      </w:r>
      <w:r>
        <w:rPr>
          <w:color w:val="231F20"/>
        </w:rPr>
        <w:t>impedimento</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rPr>
        <w:t>cui- dado de la población. El pueblo, como fundamento del orden soberano,  en efecto, es titular de derechos que teóricamente ningún gobierno puede infringir. Como ha escrito justamente Partha Chatterjee: “A diferencia del concepto de ciudadano, el de población es enteramente descriptivo y em- pírico y carece absolutamente de valor normativo”</w:t>
      </w:r>
      <w:r>
        <w:rPr>
          <w:color w:val="231F20"/>
          <w:position w:val="7"/>
          <w:sz w:val="12"/>
        </w:rPr>
        <w:t>62</w:t>
      </w:r>
      <w:r>
        <w:rPr>
          <w:color w:val="231F20"/>
        </w:rPr>
        <w:t>. </w:t>
      </w:r>
      <w:r>
        <w:rPr>
          <w:color w:val="231F20"/>
          <w:spacing w:val="-4"/>
        </w:rPr>
        <w:t>También </w:t>
      </w:r>
      <w:r>
        <w:rPr>
          <w:color w:val="231F20"/>
        </w:rPr>
        <w:t>a este res- pecto, el Estado colonial antes y el postcolonial después funcionan como anticipación significativa del Estado global en cuanto Estados con una po- blación</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que</w:t>
      </w:r>
      <w:r>
        <w:rPr>
          <w:color w:val="231F20"/>
          <w:spacing w:val="-8"/>
        </w:rPr>
        <w:t> </w:t>
      </w:r>
      <w:r>
        <w:rPr>
          <w:color w:val="231F20"/>
        </w:rPr>
        <w:t>le</w:t>
      </w:r>
      <w:r>
        <w:rPr>
          <w:color w:val="231F20"/>
          <w:spacing w:val="-8"/>
        </w:rPr>
        <w:t> </w:t>
      </w:r>
      <w:r>
        <w:rPr>
          <w:color w:val="231F20"/>
        </w:rPr>
        <w:t>ha</w:t>
      </w:r>
      <w:r>
        <w:rPr>
          <w:color w:val="231F20"/>
          <w:spacing w:val="-8"/>
        </w:rPr>
        <w:t> </w:t>
      </w:r>
      <w:r>
        <w:rPr>
          <w:color w:val="231F20"/>
        </w:rPr>
        <w:t>costado</w:t>
      </w:r>
      <w:r>
        <w:rPr>
          <w:color w:val="231F20"/>
          <w:spacing w:val="-8"/>
        </w:rPr>
        <w:t> </w:t>
      </w:r>
      <w:r>
        <w:rPr>
          <w:color w:val="231F20"/>
        </w:rPr>
        <w:t>y</w:t>
      </w:r>
      <w:r>
        <w:rPr>
          <w:color w:val="231F20"/>
          <w:spacing w:val="-8"/>
        </w:rPr>
        <w:t> </w:t>
      </w:r>
      <w:r>
        <w:rPr>
          <w:color w:val="231F20"/>
        </w:rPr>
        <w:t>le</w:t>
      </w:r>
      <w:r>
        <w:rPr>
          <w:color w:val="231F20"/>
          <w:spacing w:val="-8"/>
        </w:rPr>
        <w:t> </w:t>
      </w:r>
      <w:r>
        <w:rPr>
          <w:color w:val="231F20"/>
        </w:rPr>
        <w:t>cuesta</w:t>
      </w:r>
      <w:r>
        <w:rPr>
          <w:color w:val="231F20"/>
          <w:spacing w:val="-8"/>
        </w:rPr>
        <w:t> </w:t>
      </w:r>
      <w:r>
        <w:rPr>
          <w:color w:val="231F20"/>
        </w:rPr>
        <w:t>trabajo</w:t>
      </w:r>
      <w:r>
        <w:rPr>
          <w:color w:val="231F20"/>
          <w:spacing w:val="-8"/>
        </w:rPr>
        <w:t> </w:t>
      </w:r>
      <w:r>
        <w:rPr>
          <w:color w:val="231F20"/>
        </w:rPr>
        <w:t>presentarse</w:t>
      </w:r>
      <w:r>
        <w:rPr>
          <w:color w:val="231F20"/>
          <w:spacing w:val="-8"/>
        </w:rPr>
        <w:t> </w:t>
      </w:r>
      <w:r>
        <w:rPr>
          <w:color w:val="231F20"/>
        </w:rPr>
        <w:t>como</w:t>
      </w:r>
      <w:r>
        <w:rPr>
          <w:color w:val="231F20"/>
          <w:spacing w:val="-8"/>
        </w:rPr>
        <w:t> </w:t>
      </w:r>
      <w:r>
        <w:rPr>
          <w:color w:val="231F20"/>
        </w:rPr>
        <w:t>pueblo.</w:t>
      </w:r>
    </w:p>
    <w:p>
      <w:pPr>
        <w:pStyle w:val="BodyText"/>
        <w:spacing w:before="6"/>
        <w:rPr>
          <w:sz w:val="18"/>
        </w:rPr>
      </w:pPr>
      <w:r>
        <w:rPr/>
        <w:pict>
          <v:line style="position:absolute;mso-position-horizontal-relative:page;mso-position-vertical-relative:paragraph;z-index:3520;mso-wrap-distance-left:0;mso-wrap-distance-right:0" from="65.1968pt,13.306985pt" to="178.5828pt,13.306985pt" stroked="true" strokeweight=".3pt" strokecolor="#231f20">
            <w10:wrap type="topAndBottom"/>
          </v:line>
        </w:pict>
      </w:r>
    </w:p>
    <w:p>
      <w:pPr>
        <w:spacing w:line="206" w:lineRule="exact" w:before="10"/>
        <w:ind w:left="103" w:right="0" w:firstLine="0"/>
        <w:jc w:val="both"/>
        <w:rPr>
          <w:rFonts w:ascii="Calibri" w:hAnsi="Calibri"/>
          <w:sz w:val="17"/>
        </w:rPr>
      </w:pPr>
      <w:r>
        <w:rPr>
          <w:rFonts w:ascii="Calibri" w:hAnsi="Calibri"/>
          <w:i/>
          <w:color w:val="231F20"/>
          <w:sz w:val="17"/>
        </w:rPr>
        <w:t>Stagnation and Advance</w:t>
      </w:r>
      <w:r>
        <w:rPr>
          <w:rFonts w:ascii="Calibri" w:hAnsi="Calibri"/>
          <w:color w:val="231F20"/>
          <w:sz w:val="17"/>
        </w:rPr>
        <w:t>, Basingstoke 2005, pp. 165–182.</w:t>
      </w:r>
    </w:p>
    <w:p>
      <w:pPr>
        <w:spacing w:line="235" w:lineRule="auto" w:before="1"/>
        <w:ind w:left="103" w:right="115" w:firstLine="0"/>
        <w:jc w:val="both"/>
        <w:rPr>
          <w:rFonts w:ascii="Calibri" w:hAnsi="Calibri"/>
          <w:sz w:val="17"/>
        </w:rPr>
      </w:pPr>
      <w:r>
        <w:rPr>
          <w:rFonts w:ascii="Calibri" w:hAnsi="Calibri"/>
          <w:color w:val="231F20"/>
          <w:position w:val="6"/>
          <w:sz w:val="10"/>
        </w:rPr>
        <w:t>60 </w:t>
      </w:r>
      <w:r>
        <w:rPr>
          <w:rFonts w:ascii="Calibri" w:hAnsi="Calibri"/>
          <w:i/>
          <w:color w:val="231F20"/>
          <w:spacing w:val="-4"/>
          <w:sz w:val="17"/>
        </w:rPr>
        <w:t>Cfr. </w:t>
      </w:r>
      <w:r>
        <w:rPr>
          <w:rFonts w:ascii="Calibri" w:hAnsi="Calibri"/>
          <w:color w:val="231F20"/>
          <w:sz w:val="17"/>
        </w:rPr>
        <w:t>a este propósito G. Ruocco y L. Scuccimarra (Eds.), </w:t>
      </w:r>
      <w:r>
        <w:rPr>
          <w:rFonts w:ascii="Calibri" w:hAnsi="Calibri"/>
          <w:i/>
          <w:color w:val="231F20"/>
          <w:sz w:val="17"/>
        </w:rPr>
        <w:t>Il governo del popolo. Rappresentanza, </w:t>
      </w:r>
      <w:r>
        <w:rPr>
          <w:rFonts w:ascii="Calibri" w:hAnsi="Calibri"/>
          <w:i/>
          <w:color w:val="231F20"/>
          <w:sz w:val="17"/>
        </w:rPr>
        <w:t>partecipazione,</w:t>
      </w:r>
      <w:r>
        <w:rPr>
          <w:rFonts w:ascii="Calibri" w:hAnsi="Calibri"/>
          <w:i/>
          <w:color w:val="231F20"/>
          <w:spacing w:val="-15"/>
          <w:sz w:val="17"/>
        </w:rPr>
        <w:t> </w:t>
      </w:r>
      <w:r>
        <w:rPr>
          <w:rFonts w:ascii="Calibri" w:hAnsi="Calibri"/>
          <w:i/>
          <w:color w:val="231F20"/>
          <w:sz w:val="17"/>
        </w:rPr>
        <w:t>esclusione</w:t>
      </w:r>
      <w:r>
        <w:rPr>
          <w:rFonts w:ascii="Calibri" w:hAnsi="Calibri"/>
          <w:i/>
          <w:color w:val="231F20"/>
          <w:spacing w:val="-15"/>
          <w:sz w:val="17"/>
        </w:rPr>
        <w:t> </w:t>
      </w:r>
      <w:r>
        <w:rPr>
          <w:rFonts w:ascii="Calibri" w:hAnsi="Calibri"/>
          <w:i/>
          <w:color w:val="231F20"/>
          <w:sz w:val="17"/>
        </w:rPr>
        <w:t>alle</w:t>
      </w:r>
      <w:r>
        <w:rPr>
          <w:rFonts w:ascii="Calibri" w:hAnsi="Calibri"/>
          <w:i/>
          <w:color w:val="231F20"/>
          <w:spacing w:val="-15"/>
          <w:sz w:val="17"/>
        </w:rPr>
        <w:t> </w:t>
      </w:r>
      <w:r>
        <w:rPr>
          <w:rFonts w:ascii="Calibri" w:hAnsi="Calibri"/>
          <w:i/>
          <w:color w:val="231F20"/>
          <w:sz w:val="17"/>
        </w:rPr>
        <w:t>origini</w:t>
      </w:r>
      <w:r>
        <w:rPr>
          <w:rFonts w:ascii="Calibri" w:hAnsi="Calibri"/>
          <w:i/>
          <w:color w:val="231F20"/>
          <w:spacing w:val="-15"/>
          <w:sz w:val="17"/>
        </w:rPr>
        <w:t> </w:t>
      </w:r>
      <w:r>
        <w:rPr>
          <w:rFonts w:ascii="Calibri" w:hAnsi="Calibri"/>
          <w:i/>
          <w:color w:val="231F20"/>
          <w:sz w:val="17"/>
        </w:rPr>
        <w:t>della</w:t>
      </w:r>
      <w:r>
        <w:rPr>
          <w:rFonts w:ascii="Calibri" w:hAnsi="Calibri"/>
          <w:i/>
          <w:color w:val="231F20"/>
          <w:spacing w:val="-15"/>
          <w:sz w:val="17"/>
        </w:rPr>
        <w:t> </w:t>
      </w:r>
      <w:r>
        <w:rPr>
          <w:rFonts w:ascii="Calibri" w:hAnsi="Calibri"/>
          <w:i/>
          <w:color w:val="231F20"/>
          <w:sz w:val="17"/>
        </w:rPr>
        <w:t>democrazia</w:t>
      </w:r>
      <w:r>
        <w:rPr>
          <w:rFonts w:ascii="Calibri" w:hAnsi="Calibri"/>
          <w:i/>
          <w:color w:val="231F20"/>
          <w:spacing w:val="-15"/>
          <w:sz w:val="17"/>
        </w:rPr>
        <w:t> </w:t>
      </w:r>
      <w:r>
        <w:rPr>
          <w:rFonts w:ascii="Calibri" w:hAnsi="Calibri"/>
          <w:i/>
          <w:color w:val="231F20"/>
          <w:sz w:val="17"/>
        </w:rPr>
        <w:t>moderna,</w:t>
      </w:r>
      <w:r>
        <w:rPr>
          <w:rFonts w:ascii="Calibri" w:hAnsi="Calibri"/>
          <w:i/>
          <w:color w:val="231F20"/>
          <w:spacing w:val="-15"/>
          <w:sz w:val="17"/>
        </w:rPr>
        <w:t> </w:t>
      </w:r>
      <w:r>
        <w:rPr>
          <w:rFonts w:ascii="Calibri" w:hAnsi="Calibri"/>
          <w:color w:val="231F20"/>
          <w:sz w:val="17"/>
        </w:rPr>
        <w:t>1.</w:t>
      </w:r>
      <w:r>
        <w:rPr>
          <w:rFonts w:ascii="Calibri" w:hAnsi="Calibri"/>
          <w:color w:val="231F20"/>
          <w:spacing w:val="-15"/>
          <w:sz w:val="17"/>
        </w:rPr>
        <w:t> </w:t>
      </w:r>
      <w:r>
        <w:rPr>
          <w:rFonts w:ascii="Calibri" w:hAnsi="Calibri"/>
          <w:i/>
          <w:color w:val="231F20"/>
          <w:sz w:val="17"/>
        </w:rPr>
        <w:t>Dall’antico</w:t>
      </w:r>
      <w:r>
        <w:rPr>
          <w:rFonts w:ascii="Calibri" w:hAnsi="Calibri"/>
          <w:i/>
          <w:color w:val="231F20"/>
          <w:spacing w:val="-15"/>
          <w:sz w:val="17"/>
        </w:rPr>
        <w:t> </w:t>
      </w:r>
      <w:r>
        <w:rPr>
          <w:rFonts w:ascii="Calibri" w:hAnsi="Calibri"/>
          <w:i/>
          <w:color w:val="231F20"/>
          <w:sz w:val="17"/>
        </w:rPr>
        <w:t>regime</w:t>
      </w:r>
      <w:r>
        <w:rPr>
          <w:rFonts w:ascii="Calibri" w:hAnsi="Calibri"/>
          <w:i/>
          <w:color w:val="231F20"/>
          <w:spacing w:val="-15"/>
          <w:sz w:val="17"/>
        </w:rPr>
        <w:t> </w:t>
      </w:r>
      <w:r>
        <w:rPr>
          <w:rFonts w:ascii="Calibri" w:hAnsi="Calibri"/>
          <w:i/>
          <w:color w:val="231F20"/>
          <w:sz w:val="17"/>
        </w:rPr>
        <w:t>alla</w:t>
      </w:r>
      <w:r>
        <w:rPr>
          <w:rFonts w:ascii="Calibri" w:hAnsi="Calibri"/>
          <w:i/>
          <w:color w:val="231F20"/>
          <w:spacing w:val="-15"/>
          <w:sz w:val="17"/>
        </w:rPr>
        <w:t> </w:t>
      </w:r>
      <w:r>
        <w:rPr>
          <w:rFonts w:ascii="Calibri" w:hAnsi="Calibri"/>
          <w:i/>
          <w:color w:val="231F20"/>
          <w:sz w:val="17"/>
        </w:rPr>
        <w:t>rivoluzione</w:t>
      </w:r>
      <w:r>
        <w:rPr>
          <w:rFonts w:ascii="Calibri" w:hAnsi="Calibri"/>
          <w:color w:val="231F20"/>
          <w:sz w:val="17"/>
        </w:rPr>
        <w:t>, Roma,</w:t>
      </w:r>
      <w:r>
        <w:rPr>
          <w:rFonts w:ascii="Calibri" w:hAnsi="Calibri"/>
          <w:color w:val="231F20"/>
          <w:spacing w:val="-9"/>
          <w:sz w:val="17"/>
        </w:rPr>
        <w:t> </w:t>
      </w:r>
      <w:r>
        <w:rPr>
          <w:rFonts w:ascii="Calibri" w:hAnsi="Calibri"/>
          <w:color w:val="231F20"/>
          <w:sz w:val="17"/>
        </w:rPr>
        <w:t>2011,</w:t>
      </w:r>
      <w:r>
        <w:rPr>
          <w:rFonts w:ascii="Calibri" w:hAnsi="Calibri"/>
          <w:color w:val="231F20"/>
          <w:spacing w:val="-9"/>
          <w:sz w:val="17"/>
        </w:rPr>
        <w:t> </w:t>
      </w:r>
      <w:r>
        <w:rPr>
          <w:rFonts w:ascii="Calibri" w:hAnsi="Calibri"/>
          <w:color w:val="231F20"/>
          <w:sz w:val="17"/>
        </w:rPr>
        <w:t>e</w:t>
      </w:r>
      <w:r>
        <w:rPr>
          <w:rFonts w:ascii="Calibri" w:hAnsi="Calibri"/>
          <w:color w:val="231F20"/>
          <w:spacing w:val="-9"/>
          <w:sz w:val="17"/>
        </w:rPr>
        <w:t> </w:t>
      </w:r>
      <w:r>
        <w:rPr>
          <w:rFonts w:ascii="Calibri" w:hAnsi="Calibri"/>
          <w:color w:val="231F20"/>
          <w:sz w:val="17"/>
        </w:rPr>
        <w:t>2.</w:t>
      </w:r>
      <w:r>
        <w:rPr>
          <w:rFonts w:ascii="Calibri" w:hAnsi="Calibri"/>
          <w:color w:val="231F20"/>
          <w:spacing w:val="-9"/>
          <w:sz w:val="17"/>
        </w:rPr>
        <w:t> </w:t>
      </w:r>
      <w:r>
        <w:rPr>
          <w:rFonts w:ascii="Calibri" w:hAnsi="Calibri"/>
          <w:i/>
          <w:color w:val="231F20"/>
          <w:sz w:val="17"/>
        </w:rPr>
        <w:t>Dalla</w:t>
      </w:r>
      <w:r>
        <w:rPr>
          <w:rFonts w:ascii="Calibri" w:hAnsi="Calibri"/>
          <w:i/>
          <w:color w:val="231F20"/>
          <w:spacing w:val="-10"/>
          <w:sz w:val="17"/>
        </w:rPr>
        <w:t> </w:t>
      </w:r>
      <w:r>
        <w:rPr>
          <w:rFonts w:ascii="Calibri" w:hAnsi="Calibri"/>
          <w:i/>
          <w:color w:val="231F20"/>
          <w:sz w:val="17"/>
        </w:rPr>
        <w:t>Restaurazione</w:t>
      </w:r>
      <w:r>
        <w:rPr>
          <w:rFonts w:ascii="Calibri" w:hAnsi="Calibri"/>
          <w:i/>
          <w:color w:val="231F20"/>
          <w:spacing w:val="-10"/>
          <w:sz w:val="17"/>
        </w:rPr>
        <w:t> </w:t>
      </w:r>
      <w:r>
        <w:rPr>
          <w:rFonts w:ascii="Calibri" w:hAnsi="Calibri"/>
          <w:i/>
          <w:color w:val="231F20"/>
          <w:sz w:val="17"/>
        </w:rPr>
        <w:t>alla</w:t>
      </w:r>
      <w:r>
        <w:rPr>
          <w:rFonts w:ascii="Calibri" w:hAnsi="Calibri"/>
          <w:i/>
          <w:color w:val="231F20"/>
          <w:spacing w:val="-10"/>
          <w:sz w:val="17"/>
        </w:rPr>
        <w:t> </w:t>
      </w:r>
      <w:r>
        <w:rPr>
          <w:rFonts w:ascii="Calibri" w:hAnsi="Calibri"/>
          <w:i/>
          <w:color w:val="231F20"/>
          <w:sz w:val="17"/>
        </w:rPr>
        <w:t>guerra</w:t>
      </w:r>
      <w:r>
        <w:rPr>
          <w:rFonts w:ascii="Calibri" w:hAnsi="Calibri"/>
          <w:i/>
          <w:color w:val="231F20"/>
          <w:spacing w:val="-10"/>
          <w:sz w:val="17"/>
        </w:rPr>
        <w:t> </w:t>
      </w:r>
      <w:r>
        <w:rPr>
          <w:rFonts w:ascii="Calibri" w:hAnsi="Calibri"/>
          <w:i/>
          <w:color w:val="231F20"/>
          <w:sz w:val="17"/>
        </w:rPr>
        <w:t>franco</w:t>
      </w:r>
      <w:r>
        <w:rPr>
          <w:rFonts w:ascii="Calibri" w:hAnsi="Calibri"/>
          <w:color w:val="231F20"/>
          <w:sz w:val="17"/>
        </w:rPr>
        <w:t>–</w:t>
      </w:r>
      <w:r>
        <w:rPr>
          <w:rFonts w:ascii="Calibri" w:hAnsi="Calibri"/>
          <w:i/>
          <w:color w:val="231F20"/>
          <w:sz w:val="17"/>
        </w:rPr>
        <w:t>prussiana</w:t>
      </w:r>
      <w:r>
        <w:rPr>
          <w:rFonts w:ascii="Calibri" w:hAnsi="Calibri"/>
          <w:color w:val="231F20"/>
          <w:sz w:val="17"/>
        </w:rPr>
        <w:t>,</w:t>
      </w:r>
      <w:r>
        <w:rPr>
          <w:rFonts w:ascii="Calibri" w:hAnsi="Calibri"/>
          <w:color w:val="231F20"/>
          <w:spacing w:val="-9"/>
          <w:sz w:val="17"/>
        </w:rPr>
        <w:t> </w:t>
      </w:r>
      <w:r>
        <w:rPr>
          <w:rFonts w:ascii="Calibri" w:hAnsi="Calibri"/>
          <w:color w:val="231F20"/>
          <w:sz w:val="17"/>
        </w:rPr>
        <w:t>Roma,</w:t>
      </w:r>
      <w:r>
        <w:rPr>
          <w:rFonts w:ascii="Calibri" w:hAnsi="Calibri"/>
          <w:color w:val="231F20"/>
          <w:spacing w:val="-13"/>
          <w:sz w:val="17"/>
        </w:rPr>
        <w:t> </w:t>
      </w:r>
      <w:r>
        <w:rPr>
          <w:rFonts w:ascii="Calibri" w:hAnsi="Calibri"/>
          <w:color w:val="231F20"/>
          <w:sz w:val="17"/>
        </w:rPr>
        <w:t>Viella,</w:t>
      </w:r>
      <w:r>
        <w:rPr>
          <w:rFonts w:ascii="Calibri" w:hAnsi="Calibri"/>
          <w:color w:val="231F20"/>
          <w:spacing w:val="-9"/>
          <w:sz w:val="17"/>
        </w:rPr>
        <w:t> </w:t>
      </w:r>
      <w:r>
        <w:rPr>
          <w:rFonts w:ascii="Calibri" w:hAnsi="Calibri"/>
          <w:color w:val="231F20"/>
          <w:sz w:val="17"/>
        </w:rPr>
        <w:t>2012.</w:t>
      </w:r>
    </w:p>
    <w:p>
      <w:pPr>
        <w:spacing w:line="203" w:lineRule="exact" w:before="0"/>
        <w:ind w:left="103" w:right="0" w:firstLine="0"/>
        <w:jc w:val="both"/>
        <w:rPr>
          <w:rFonts w:ascii="Calibri" w:hAnsi="Calibri"/>
          <w:sz w:val="17"/>
        </w:rPr>
      </w:pPr>
      <w:r>
        <w:rPr>
          <w:rFonts w:ascii="Calibri" w:hAnsi="Calibri"/>
          <w:color w:val="231F20"/>
          <w:position w:val="6"/>
          <w:sz w:val="10"/>
        </w:rPr>
        <w:t>61</w:t>
      </w:r>
      <w:r>
        <w:rPr>
          <w:rFonts w:ascii="Calibri" w:hAnsi="Calibri"/>
          <w:color w:val="231F20"/>
          <w:spacing w:val="4"/>
          <w:position w:val="6"/>
          <w:sz w:val="10"/>
        </w:rPr>
        <w:t> </w:t>
      </w:r>
      <w:r>
        <w:rPr>
          <w:rFonts w:ascii="Calibri" w:hAnsi="Calibri"/>
          <w:color w:val="231F20"/>
          <w:sz w:val="17"/>
        </w:rPr>
        <w:t>M.</w:t>
      </w:r>
      <w:r>
        <w:rPr>
          <w:rFonts w:ascii="Calibri" w:hAnsi="Calibri"/>
          <w:color w:val="231F20"/>
          <w:spacing w:val="-11"/>
          <w:sz w:val="17"/>
        </w:rPr>
        <w:t> </w:t>
      </w:r>
      <w:r>
        <w:rPr>
          <w:rFonts w:ascii="Calibri" w:hAnsi="Calibri"/>
          <w:color w:val="231F20"/>
          <w:sz w:val="17"/>
        </w:rPr>
        <w:t>Foucault,</w:t>
      </w:r>
      <w:r>
        <w:rPr>
          <w:rFonts w:ascii="Calibri" w:hAnsi="Calibri"/>
          <w:color w:val="231F20"/>
          <w:spacing w:val="-12"/>
          <w:sz w:val="17"/>
        </w:rPr>
        <w:t> </w:t>
      </w:r>
      <w:r>
        <w:rPr>
          <w:rFonts w:ascii="Calibri" w:hAnsi="Calibri"/>
          <w:i/>
          <w:color w:val="231F20"/>
          <w:sz w:val="17"/>
        </w:rPr>
        <w:t>Sécurité,</w:t>
      </w:r>
      <w:r>
        <w:rPr>
          <w:rFonts w:ascii="Calibri" w:hAnsi="Calibri"/>
          <w:i/>
          <w:color w:val="231F20"/>
          <w:spacing w:val="-15"/>
          <w:sz w:val="17"/>
        </w:rPr>
        <w:t> </w:t>
      </w:r>
      <w:r>
        <w:rPr>
          <w:rFonts w:ascii="Calibri" w:hAnsi="Calibri"/>
          <w:i/>
          <w:color w:val="231F20"/>
          <w:sz w:val="17"/>
        </w:rPr>
        <w:t>Territoire,</w:t>
      </w:r>
      <w:r>
        <w:rPr>
          <w:rFonts w:ascii="Calibri" w:hAnsi="Calibri"/>
          <w:i/>
          <w:color w:val="231F20"/>
          <w:spacing w:val="-12"/>
          <w:sz w:val="17"/>
        </w:rPr>
        <w:t> </w:t>
      </w:r>
      <w:r>
        <w:rPr>
          <w:rFonts w:ascii="Calibri" w:hAnsi="Calibri"/>
          <w:i/>
          <w:color w:val="231F20"/>
          <w:sz w:val="17"/>
        </w:rPr>
        <w:t>population.</w:t>
      </w:r>
      <w:r>
        <w:rPr>
          <w:rFonts w:ascii="Calibri" w:hAnsi="Calibri"/>
          <w:i/>
          <w:color w:val="231F20"/>
          <w:spacing w:val="-12"/>
          <w:sz w:val="17"/>
        </w:rPr>
        <w:t> </w:t>
      </w:r>
      <w:r>
        <w:rPr>
          <w:rFonts w:ascii="Calibri" w:hAnsi="Calibri"/>
          <w:i/>
          <w:color w:val="231F20"/>
          <w:sz w:val="17"/>
        </w:rPr>
        <w:t>Cours</w:t>
      </w:r>
      <w:r>
        <w:rPr>
          <w:rFonts w:ascii="Calibri" w:hAnsi="Calibri"/>
          <w:i/>
          <w:color w:val="231F20"/>
          <w:spacing w:val="-12"/>
          <w:sz w:val="17"/>
        </w:rPr>
        <w:t> </w:t>
      </w:r>
      <w:r>
        <w:rPr>
          <w:rFonts w:ascii="Calibri" w:hAnsi="Calibri"/>
          <w:i/>
          <w:color w:val="231F20"/>
          <w:sz w:val="17"/>
        </w:rPr>
        <w:t>au</w:t>
      </w:r>
      <w:r>
        <w:rPr>
          <w:rFonts w:ascii="Calibri" w:hAnsi="Calibri"/>
          <w:i/>
          <w:color w:val="231F20"/>
          <w:spacing w:val="-12"/>
          <w:sz w:val="17"/>
        </w:rPr>
        <w:t> </w:t>
      </w:r>
      <w:r>
        <w:rPr>
          <w:rFonts w:ascii="Calibri" w:hAnsi="Calibri"/>
          <w:i/>
          <w:color w:val="231F20"/>
          <w:sz w:val="17"/>
        </w:rPr>
        <w:t>Collège</w:t>
      </w:r>
      <w:r>
        <w:rPr>
          <w:rFonts w:ascii="Calibri" w:hAnsi="Calibri"/>
          <w:i/>
          <w:color w:val="231F20"/>
          <w:spacing w:val="-12"/>
          <w:sz w:val="17"/>
        </w:rPr>
        <w:t> </w:t>
      </w:r>
      <w:r>
        <w:rPr>
          <w:rFonts w:ascii="Calibri" w:hAnsi="Calibri"/>
          <w:i/>
          <w:color w:val="231F20"/>
          <w:sz w:val="17"/>
        </w:rPr>
        <w:t>de</w:t>
      </w:r>
      <w:r>
        <w:rPr>
          <w:rFonts w:ascii="Calibri" w:hAnsi="Calibri"/>
          <w:i/>
          <w:color w:val="231F20"/>
          <w:spacing w:val="-12"/>
          <w:sz w:val="17"/>
        </w:rPr>
        <w:t> </w:t>
      </w:r>
      <w:r>
        <w:rPr>
          <w:rFonts w:ascii="Calibri" w:hAnsi="Calibri"/>
          <w:i/>
          <w:color w:val="231F20"/>
          <w:sz w:val="17"/>
        </w:rPr>
        <w:t>France</w:t>
      </w:r>
      <w:r>
        <w:rPr>
          <w:rFonts w:ascii="Calibri" w:hAnsi="Calibri"/>
          <w:i/>
          <w:color w:val="231F20"/>
          <w:spacing w:val="-12"/>
          <w:sz w:val="17"/>
        </w:rPr>
        <w:t> </w:t>
      </w:r>
      <w:r>
        <w:rPr>
          <w:rFonts w:ascii="Calibri" w:hAnsi="Calibri"/>
          <w:i/>
          <w:color w:val="231F20"/>
          <w:sz w:val="17"/>
        </w:rPr>
        <w:t>1997</w:t>
      </w:r>
      <w:r>
        <w:rPr>
          <w:rFonts w:ascii="Calibri" w:hAnsi="Calibri"/>
          <w:color w:val="231F20"/>
          <w:sz w:val="17"/>
        </w:rPr>
        <w:t>–</w:t>
      </w:r>
      <w:r>
        <w:rPr>
          <w:rFonts w:ascii="Calibri" w:hAnsi="Calibri"/>
          <w:i/>
          <w:color w:val="231F20"/>
          <w:sz w:val="17"/>
        </w:rPr>
        <w:t>1978</w:t>
      </w:r>
      <w:r>
        <w:rPr>
          <w:rFonts w:ascii="Calibri" w:hAnsi="Calibri"/>
          <w:color w:val="231F20"/>
          <w:sz w:val="17"/>
        </w:rPr>
        <w:t>,</w:t>
      </w:r>
      <w:r>
        <w:rPr>
          <w:rFonts w:ascii="Calibri" w:hAnsi="Calibri"/>
          <w:color w:val="231F20"/>
          <w:spacing w:val="-11"/>
          <w:sz w:val="17"/>
        </w:rPr>
        <w:t> </w:t>
      </w:r>
      <w:r>
        <w:rPr>
          <w:rFonts w:ascii="Calibri" w:hAnsi="Calibri"/>
          <w:color w:val="231F20"/>
          <w:sz w:val="17"/>
        </w:rPr>
        <w:t>Paris,</w:t>
      </w:r>
      <w:r>
        <w:rPr>
          <w:rFonts w:ascii="Calibri" w:hAnsi="Calibri"/>
          <w:color w:val="231F20"/>
          <w:spacing w:val="-11"/>
          <w:sz w:val="17"/>
        </w:rPr>
        <w:t> </w:t>
      </w:r>
      <w:r>
        <w:rPr>
          <w:rFonts w:ascii="Calibri" w:hAnsi="Calibri"/>
          <w:color w:val="231F20"/>
          <w:sz w:val="17"/>
        </w:rPr>
        <w:t>Gallimard</w:t>
      </w:r>
    </w:p>
    <w:p>
      <w:pPr>
        <w:spacing w:line="204" w:lineRule="exact" w:before="0"/>
        <w:ind w:left="103" w:right="0" w:firstLine="0"/>
        <w:jc w:val="both"/>
        <w:rPr>
          <w:rFonts w:ascii="Calibri"/>
          <w:sz w:val="17"/>
        </w:rPr>
      </w:pPr>
      <w:r>
        <w:rPr>
          <w:rFonts w:ascii="Calibri"/>
          <w:color w:val="231F20"/>
          <w:w w:val="105"/>
          <w:sz w:val="17"/>
        </w:rPr>
        <w:t>/ Seuil, 2004.</w:t>
      </w:r>
    </w:p>
    <w:p>
      <w:pPr>
        <w:spacing w:line="206" w:lineRule="exact" w:before="0"/>
        <w:ind w:left="103" w:right="0" w:firstLine="0"/>
        <w:jc w:val="both"/>
        <w:rPr>
          <w:rFonts w:ascii="Calibri"/>
          <w:sz w:val="17"/>
        </w:rPr>
      </w:pPr>
      <w:r>
        <w:rPr>
          <w:rFonts w:ascii="Calibri"/>
          <w:color w:val="231F20"/>
          <w:position w:val="6"/>
          <w:sz w:val="10"/>
        </w:rPr>
        <w:t>62  </w:t>
      </w:r>
      <w:r>
        <w:rPr>
          <w:rFonts w:ascii="Calibri"/>
          <w:color w:val="231F20"/>
          <w:sz w:val="17"/>
        </w:rPr>
        <w:t>P.  Chatterjee, </w:t>
      </w:r>
      <w:r>
        <w:rPr>
          <w:rFonts w:ascii="Calibri"/>
          <w:i/>
          <w:color w:val="231F20"/>
          <w:sz w:val="17"/>
        </w:rPr>
        <w:t>Oltre la cittadinanza. La politica dei governati </w:t>
      </w:r>
      <w:r>
        <w:rPr>
          <w:rFonts w:ascii="Calibri"/>
          <w:color w:val="231F20"/>
          <w:sz w:val="17"/>
        </w:rPr>
        <w:t>(2004), Roma, Meltemi, 2006, p.  50.</w:t>
      </w:r>
    </w:p>
    <w:p>
      <w:pPr>
        <w:pStyle w:val="BodyText"/>
        <w:rPr>
          <w:rFonts w:ascii="Calibri"/>
          <w:sz w:val="20"/>
        </w:rPr>
      </w:pPr>
    </w:p>
    <w:p>
      <w:pPr>
        <w:pStyle w:val="BodyText"/>
        <w:spacing w:before="9"/>
        <w:rPr>
          <w:rFonts w:ascii="Calibri"/>
          <w:sz w:val="27"/>
        </w:rPr>
      </w:pPr>
    </w:p>
    <w:p>
      <w:pPr>
        <w:tabs>
          <w:tab w:pos="1331" w:val="left" w:leader="none"/>
        </w:tabs>
        <w:spacing w:before="68"/>
        <w:ind w:left="281" w:right="0" w:firstLine="0"/>
        <w:jc w:val="left"/>
        <w:rPr>
          <w:rFonts w:ascii="Calibri"/>
          <w:sz w:val="16"/>
        </w:rPr>
      </w:pPr>
      <w:r>
        <w:rPr/>
        <w:pict>
          <v:group style="position:absolute;margin-left:98.787804pt;margin-top:-3.358812pt;width:20.4pt;height:43pt;mso-position-horizontal-relative:page;mso-position-vertical-relative:paragraph;z-index:-171856"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56</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861" w:right="0" w:firstLine="0"/>
        <w:jc w:val="left"/>
        <w:rPr>
          <w:rFonts w:ascii="Arial" w:hAnsi="Arial"/>
          <w:sz w:val="20"/>
        </w:rPr>
      </w:pPr>
      <w:r>
        <w:rPr/>
        <w:pict>
          <v:group style="position:absolute;margin-left:383.821014pt;margin-top:-25.479271pt;width:8.65pt;height:41pt;mso-position-horizontal-relative:page;mso-position-vertical-relative:paragraph;z-index:-17183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3"/>
          <w:sz w:val="14"/>
        </w:rPr>
        <w:t> </w:t>
      </w:r>
      <w:r>
        <w:rPr>
          <w:rFonts w:ascii="Lucida Sans Unicode" w:hAnsi="Lucida Sans Unicode"/>
          <w:color w:val="6D6E71"/>
          <w:sz w:val="14"/>
        </w:rPr>
        <w:t>ESTADO</w:t>
      </w:r>
      <w:r>
        <w:rPr>
          <w:rFonts w:ascii="Lucida Sans Unicode" w:hAnsi="Lucida Sans Unicode"/>
          <w:color w:val="6D6E71"/>
          <w:spacing w:val="-23"/>
          <w:sz w:val="14"/>
        </w:rPr>
        <w:t> </w:t>
      </w:r>
      <w:r>
        <w:rPr>
          <w:rFonts w:ascii="Lucida Sans Unicode" w:hAnsi="Lucida Sans Unicode"/>
          <w:color w:val="6D6E71"/>
          <w:sz w:val="14"/>
        </w:rPr>
        <w:t>GLOBAL</w:t>
      </w:r>
      <w:r>
        <w:rPr>
          <w:rFonts w:ascii="Lucida Sans Unicode" w:hAnsi="Lucida Sans Unicode"/>
          <w:color w:val="6D6E71"/>
          <w:spacing w:val="-23"/>
          <w:sz w:val="14"/>
        </w:rPr>
        <w:t> </w:t>
      </w:r>
      <w:r>
        <w:rPr>
          <w:rFonts w:ascii="Lucida Sans Unicode" w:hAnsi="Lucida Sans Unicode"/>
          <w:color w:val="6D6E71"/>
          <w:sz w:val="14"/>
        </w:rPr>
        <w:t>Y</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EVOLUCIÓN</w:t>
      </w:r>
      <w:r>
        <w:rPr>
          <w:rFonts w:ascii="Lucida Sans Unicode" w:hAnsi="Lucida Sans Unicode"/>
          <w:color w:val="6D6E71"/>
          <w:spacing w:val="-23"/>
          <w:sz w:val="14"/>
        </w:rPr>
        <w:t> </w:t>
      </w:r>
      <w:r>
        <w:rPr>
          <w:rFonts w:ascii="Lucida Sans Unicode" w:hAnsi="Lucida Sans Unicode"/>
          <w:color w:val="6D6E71"/>
          <w:sz w:val="14"/>
        </w:rPr>
        <w:t>DE</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SOBERANÍA</w:t>
      </w:r>
      <w:r>
        <w:rPr>
          <w:rFonts w:ascii="Arial" w:hAnsi="Arial"/>
          <w:color w:val="414042"/>
          <w:position w:val="-3"/>
          <w:sz w:val="20"/>
        </w:rPr>
        <w:tab/>
        <w:t>57</w:t>
      </w:r>
    </w:p>
    <w:p>
      <w:pPr>
        <w:pStyle w:val="BodyText"/>
        <w:spacing w:line="247" w:lineRule="auto" w:before="623"/>
        <w:ind w:left="117" w:right="101"/>
        <w:jc w:val="both"/>
      </w:pPr>
      <w:r>
        <w:rPr>
          <w:color w:val="231F20"/>
          <w:w w:val="105"/>
        </w:rPr>
        <w:t>Conocer</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población</w:t>
      </w:r>
      <w:r>
        <w:rPr>
          <w:color w:val="231F20"/>
          <w:spacing w:val="-17"/>
          <w:w w:val="105"/>
        </w:rPr>
        <w:t> </w:t>
      </w:r>
      <w:r>
        <w:rPr>
          <w:color w:val="231F20"/>
          <w:w w:val="105"/>
        </w:rPr>
        <w:t>significa,</w:t>
      </w:r>
      <w:r>
        <w:rPr>
          <w:color w:val="231F20"/>
          <w:spacing w:val="-17"/>
          <w:w w:val="105"/>
        </w:rPr>
        <w:t> </w:t>
      </w:r>
      <w:r>
        <w:rPr>
          <w:color w:val="231F20"/>
          <w:w w:val="105"/>
        </w:rPr>
        <w:t>como</w:t>
      </w:r>
      <w:r>
        <w:rPr>
          <w:color w:val="231F20"/>
          <w:spacing w:val="-17"/>
          <w:w w:val="105"/>
        </w:rPr>
        <w:t> </w:t>
      </w:r>
      <w:r>
        <w:rPr>
          <w:color w:val="231F20"/>
          <w:w w:val="105"/>
        </w:rPr>
        <w:t>veremos,</w:t>
      </w:r>
      <w:r>
        <w:rPr>
          <w:color w:val="231F20"/>
          <w:spacing w:val="-17"/>
          <w:w w:val="105"/>
        </w:rPr>
        <w:t> </w:t>
      </w:r>
      <w:r>
        <w:rPr>
          <w:color w:val="231F20"/>
          <w:w w:val="105"/>
        </w:rPr>
        <w:t>ocuparse</w:t>
      </w:r>
      <w:r>
        <w:rPr>
          <w:color w:val="231F20"/>
          <w:spacing w:val="-17"/>
          <w:w w:val="105"/>
        </w:rPr>
        <w:t> </w:t>
      </w:r>
      <w:r>
        <w:rPr>
          <w:color w:val="231F20"/>
          <w:w w:val="105"/>
        </w:rPr>
        <w:t>positivamente de</w:t>
      </w:r>
      <w:r>
        <w:rPr>
          <w:color w:val="231F20"/>
          <w:spacing w:val="-27"/>
          <w:w w:val="105"/>
        </w:rPr>
        <w:t> </w:t>
      </w:r>
      <w:r>
        <w:rPr>
          <w:color w:val="231F20"/>
          <w:w w:val="105"/>
        </w:rPr>
        <w:t>las</w:t>
      </w:r>
      <w:r>
        <w:rPr>
          <w:color w:val="231F20"/>
          <w:spacing w:val="-27"/>
          <w:w w:val="105"/>
        </w:rPr>
        <w:t> </w:t>
      </w:r>
      <w:r>
        <w:rPr>
          <w:color w:val="231F20"/>
          <w:w w:val="105"/>
        </w:rPr>
        <w:t>culturas</w:t>
      </w:r>
      <w:r>
        <w:rPr>
          <w:color w:val="231F20"/>
          <w:spacing w:val="-27"/>
          <w:w w:val="105"/>
        </w:rPr>
        <w:t> </w:t>
      </w:r>
      <w:r>
        <w:rPr>
          <w:color w:val="231F20"/>
          <w:w w:val="105"/>
        </w:rPr>
        <w:t>del</w:t>
      </w:r>
      <w:r>
        <w:rPr>
          <w:color w:val="231F20"/>
          <w:spacing w:val="-27"/>
          <w:w w:val="105"/>
        </w:rPr>
        <w:t> </w:t>
      </w:r>
      <w:r>
        <w:rPr>
          <w:color w:val="231F20"/>
          <w:w w:val="105"/>
        </w:rPr>
        <w:t>pueblo.</w:t>
      </w:r>
      <w:r>
        <w:rPr>
          <w:color w:val="231F20"/>
          <w:spacing w:val="-27"/>
          <w:w w:val="105"/>
        </w:rPr>
        <w:t> </w:t>
      </w:r>
      <w:r>
        <w:rPr>
          <w:color w:val="231F20"/>
          <w:w w:val="105"/>
        </w:rPr>
        <w:t>La</w:t>
      </w:r>
      <w:r>
        <w:rPr>
          <w:color w:val="231F20"/>
          <w:spacing w:val="-27"/>
          <w:w w:val="105"/>
        </w:rPr>
        <w:t> </w:t>
      </w:r>
      <w:r>
        <w:rPr>
          <w:color w:val="231F20"/>
          <w:w w:val="105"/>
        </w:rPr>
        <w:t>tensión</w:t>
      </w:r>
      <w:r>
        <w:rPr>
          <w:color w:val="231F20"/>
          <w:spacing w:val="-27"/>
          <w:w w:val="105"/>
        </w:rPr>
        <w:t> </w:t>
      </w:r>
      <w:r>
        <w:rPr>
          <w:color w:val="231F20"/>
          <w:w w:val="105"/>
        </w:rPr>
        <w:t>entre</w:t>
      </w:r>
      <w:r>
        <w:rPr>
          <w:color w:val="231F20"/>
          <w:spacing w:val="-27"/>
          <w:w w:val="105"/>
        </w:rPr>
        <w:t> </w:t>
      </w:r>
      <w:r>
        <w:rPr>
          <w:color w:val="231F20"/>
          <w:w w:val="105"/>
        </w:rPr>
        <w:t>pueblo</w:t>
      </w:r>
      <w:r>
        <w:rPr>
          <w:color w:val="231F20"/>
          <w:spacing w:val="-27"/>
          <w:w w:val="105"/>
        </w:rPr>
        <w:t> </w:t>
      </w:r>
      <w:r>
        <w:rPr>
          <w:color w:val="231F20"/>
          <w:w w:val="105"/>
        </w:rPr>
        <w:t>y</w:t>
      </w:r>
      <w:r>
        <w:rPr>
          <w:color w:val="231F20"/>
          <w:spacing w:val="-27"/>
          <w:w w:val="105"/>
        </w:rPr>
        <w:t> </w:t>
      </w:r>
      <w:r>
        <w:rPr>
          <w:color w:val="231F20"/>
          <w:w w:val="105"/>
        </w:rPr>
        <w:t>población</w:t>
      </w:r>
      <w:r>
        <w:rPr>
          <w:color w:val="231F20"/>
          <w:spacing w:val="-27"/>
          <w:w w:val="105"/>
        </w:rPr>
        <w:t> </w:t>
      </w:r>
      <w:r>
        <w:rPr>
          <w:color w:val="231F20"/>
          <w:w w:val="105"/>
        </w:rPr>
        <w:t>se</w:t>
      </w:r>
      <w:r>
        <w:rPr>
          <w:color w:val="231F20"/>
          <w:spacing w:val="-27"/>
          <w:w w:val="105"/>
        </w:rPr>
        <w:t> </w:t>
      </w:r>
      <w:r>
        <w:rPr>
          <w:color w:val="231F20"/>
          <w:w w:val="105"/>
        </w:rPr>
        <w:t>ha</w:t>
      </w:r>
      <w:r>
        <w:rPr>
          <w:color w:val="231F20"/>
          <w:spacing w:val="-27"/>
          <w:w w:val="105"/>
        </w:rPr>
        <w:t> </w:t>
      </w:r>
      <w:r>
        <w:rPr>
          <w:color w:val="231F20"/>
          <w:w w:val="105"/>
        </w:rPr>
        <w:t>refle- jado</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dialéctica</w:t>
      </w:r>
      <w:r>
        <w:rPr>
          <w:color w:val="231F20"/>
          <w:spacing w:val="-17"/>
          <w:w w:val="105"/>
        </w:rPr>
        <w:t> </w:t>
      </w:r>
      <w:r>
        <w:rPr>
          <w:color w:val="231F20"/>
          <w:w w:val="105"/>
        </w:rPr>
        <w:t>entre</w:t>
      </w:r>
      <w:r>
        <w:rPr>
          <w:color w:val="231F20"/>
          <w:spacing w:val="-17"/>
          <w:w w:val="105"/>
        </w:rPr>
        <w:t> </w:t>
      </w:r>
      <w:r>
        <w:rPr>
          <w:color w:val="231F20"/>
          <w:w w:val="105"/>
        </w:rPr>
        <w:t>Constitución</w:t>
      </w:r>
      <w:r>
        <w:rPr>
          <w:color w:val="231F20"/>
          <w:spacing w:val="-17"/>
          <w:w w:val="105"/>
        </w:rPr>
        <w:t> </w:t>
      </w:r>
      <w:r>
        <w:rPr>
          <w:color w:val="231F20"/>
          <w:w w:val="105"/>
        </w:rPr>
        <w:t>y</w:t>
      </w:r>
      <w:r>
        <w:rPr>
          <w:color w:val="231F20"/>
          <w:spacing w:val="-17"/>
          <w:w w:val="105"/>
        </w:rPr>
        <w:t> </w:t>
      </w:r>
      <w:r>
        <w:rPr>
          <w:color w:val="231F20"/>
          <w:w w:val="105"/>
        </w:rPr>
        <w:t>gubernamentalidad,</w:t>
      </w:r>
      <w:r>
        <w:rPr>
          <w:color w:val="231F20"/>
          <w:spacing w:val="-17"/>
          <w:w w:val="105"/>
        </w:rPr>
        <w:t> </w:t>
      </w:r>
      <w:r>
        <w:rPr>
          <w:color w:val="231F20"/>
          <w:w w:val="105"/>
        </w:rPr>
        <w:t>a</w:t>
      </w:r>
      <w:r>
        <w:rPr>
          <w:color w:val="231F20"/>
          <w:spacing w:val="-17"/>
          <w:w w:val="105"/>
        </w:rPr>
        <w:t> </w:t>
      </w:r>
      <w:r>
        <w:rPr>
          <w:color w:val="231F20"/>
          <w:w w:val="105"/>
        </w:rPr>
        <w:t>tal</w:t>
      </w:r>
      <w:r>
        <w:rPr>
          <w:color w:val="231F20"/>
          <w:spacing w:val="-17"/>
          <w:w w:val="105"/>
        </w:rPr>
        <w:t> </w:t>
      </w:r>
      <w:r>
        <w:rPr>
          <w:color w:val="231F20"/>
          <w:w w:val="105"/>
        </w:rPr>
        <w:t>punto que</w:t>
      </w:r>
      <w:r>
        <w:rPr>
          <w:color w:val="231F20"/>
          <w:spacing w:val="-21"/>
          <w:w w:val="105"/>
        </w:rPr>
        <w:t> </w:t>
      </w:r>
      <w:r>
        <w:rPr>
          <w:color w:val="231F20"/>
          <w:w w:val="105"/>
        </w:rPr>
        <w:t>pone</w:t>
      </w:r>
      <w:r>
        <w:rPr>
          <w:color w:val="231F20"/>
          <w:spacing w:val="-21"/>
          <w:w w:val="105"/>
        </w:rPr>
        <w:t> </w:t>
      </w:r>
      <w:r>
        <w:rPr>
          <w:color w:val="231F20"/>
          <w:w w:val="105"/>
        </w:rPr>
        <w:t>en</w:t>
      </w:r>
      <w:r>
        <w:rPr>
          <w:color w:val="231F20"/>
          <w:spacing w:val="-21"/>
          <w:w w:val="105"/>
        </w:rPr>
        <w:t> </w:t>
      </w:r>
      <w:r>
        <w:rPr>
          <w:color w:val="231F20"/>
          <w:w w:val="105"/>
        </w:rPr>
        <w:t>discusión</w:t>
      </w:r>
      <w:r>
        <w:rPr>
          <w:color w:val="231F20"/>
          <w:spacing w:val="-21"/>
          <w:w w:val="105"/>
        </w:rPr>
        <w:t> </w:t>
      </w:r>
      <w:r>
        <w:rPr>
          <w:color w:val="231F20"/>
          <w:w w:val="105"/>
        </w:rPr>
        <w:t>la</w:t>
      </w:r>
      <w:r>
        <w:rPr>
          <w:color w:val="231F20"/>
          <w:spacing w:val="-21"/>
          <w:w w:val="105"/>
        </w:rPr>
        <w:t> </w:t>
      </w:r>
      <w:r>
        <w:rPr>
          <w:color w:val="231F20"/>
          <w:w w:val="105"/>
        </w:rPr>
        <w:t>confianza</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juristas</w:t>
      </w:r>
      <w:r>
        <w:rPr>
          <w:color w:val="231F20"/>
          <w:spacing w:val="-21"/>
          <w:w w:val="105"/>
        </w:rPr>
        <w:t> </w:t>
      </w:r>
      <w:r>
        <w:rPr>
          <w:color w:val="231F20"/>
          <w:w w:val="105"/>
        </w:rPr>
        <w:t>acerca</w:t>
      </w:r>
      <w:r>
        <w:rPr>
          <w:color w:val="231F20"/>
          <w:spacing w:val="-21"/>
          <w:w w:val="105"/>
        </w:rPr>
        <w:t> </w:t>
      </w:r>
      <w:r>
        <w:rPr>
          <w:color w:val="231F20"/>
          <w:w w:val="105"/>
        </w:rPr>
        <w:t>del</w:t>
      </w:r>
      <w:r>
        <w:rPr>
          <w:color w:val="231F20"/>
          <w:spacing w:val="-21"/>
          <w:w w:val="105"/>
        </w:rPr>
        <w:t> </w:t>
      </w:r>
      <w:r>
        <w:rPr>
          <w:color w:val="231F20"/>
          <w:w w:val="105"/>
        </w:rPr>
        <w:t>hecho</w:t>
      </w:r>
      <w:r>
        <w:rPr>
          <w:color w:val="231F20"/>
          <w:spacing w:val="-21"/>
          <w:w w:val="105"/>
        </w:rPr>
        <w:t> </w:t>
      </w:r>
      <w:r>
        <w:rPr>
          <w:color w:val="231F20"/>
          <w:w w:val="105"/>
        </w:rPr>
        <w:t>que</w:t>
      </w:r>
      <w:r>
        <w:rPr>
          <w:color w:val="231F20"/>
          <w:spacing w:val="-21"/>
          <w:w w:val="105"/>
        </w:rPr>
        <w:t> </w:t>
      </w:r>
      <w:r>
        <w:rPr>
          <w:color w:val="231F20"/>
          <w:w w:val="105"/>
        </w:rPr>
        <w:t>la Constitución</w:t>
      </w:r>
      <w:r>
        <w:rPr>
          <w:color w:val="231F20"/>
          <w:spacing w:val="-29"/>
          <w:w w:val="105"/>
        </w:rPr>
        <w:t> </w:t>
      </w:r>
      <w:r>
        <w:rPr>
          <w:color w:val="231F20"/>
          <w:w w:val="105"/>
        </w:rPr>
        <w:t>pueda</w:t>
      </w:r>
      <w:r>
        <w:rPr>
          <w:color w:val="231F20"/>
          <w:spacing w:val="-29"/>
          <w:w w:val="105"/>
        </w:rPr>
        <w:t> </w:t>
      </w:r>
      <w:r>
        <w:rPr>
          <w:color w:val="231F20"/>
          <w:w w:val="105"/>
        </w:rPr>
        <w:t>ser</w:t>
      </w:r>
      <w:r>
        <w:rPr>
          <w:color w:val="231F20"/>
          <w:spacing w:val="-29"/>
          <w:w w:val="105"/>
        </w:rPr>
        <w:t> </w:t>
      </w:r>
      <w:r>
        <w:rPr>
          <w:color w:val="231F20"/>
          <w:w w:val="105"/>
        </w:rPr>
        <w:t>la</w:t>
      </w:r>
      <w:r>
        <w:rPr>
          <w:color w:val="231F20"/>
          <w:spacing w:val="-29"/>
          <w:w w:val="105"/>
        </w:rPr>
        <w:t> </w:t>
      </w:r>
      <w:r>
        <w:rPr>
          <w:color w:val="231F20"/>
          <w:w w:val="105"/>
        </w:rPr>
        <w:t>respuesta</w:t>
      </w:r>
      <w:r>
        <w:rPr>
          <w:color w:val="231F20"/>
          <w:spacing w:val="-29"/>
          <w:w w:val="105"/>
        </w:rPr>
        <w:t> </w:t>
      </w:r>
      <w:r>
        <w:rPr>
          <w:color w:val="231F20"/>
          <w:w w:val="105"/>
        </w:rPr>
        <w:t>a</w:t>
      </w:r>
      <w:r>
        <w:rPr>
          <w:color w:val="231F20"/>
          <w:spacing w:val="-29"/>
          <w:w w:val="105"/>
        </w:rPr>
        <w:t> </w:t>
      </w:r>
      <w:r>
        <w:rPr>
          <w:color w:val="231F20"/>
          <w:w w:val="105"/>
        </w:rPr>
        <w:t>los</w:t>
      </w:r>
      <w:r>
        <w:rPr>
          <w:color w:val="231F20"/>
          <w:spacing w:val="-29"/>
          <w:w w:val="105"/>
        </w:rPr>
        <w:t> </w:t>
      </w:r>
      <w:r>
        <w:rPr>
          <w:color w:val="231F20"/>
          <w:w w:val="105"/>
        </w:rPr>
        <w:t>problemas</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estatalidad</w:t>
      </w:r>
      <w:r>
        <w:rPr>
          <w:color w:val="231F20"/>
          <w:spacing w:val="-29"/>
          <w:w w:val="105"/>
        </w:rPr>
        <w:t> </w:t>
      </w:r>
      <w:r>
        <w:rPr>
          <w:color w:val="231F20"/>
          <w:w w:val="105"/>
        </w:rPr>
        <w:t>con- temporánea</w:t>
      </w:r>
      <w:r>
        <w:rPr>
          <w:color w:val="231F20"/>
          <w:spacing w:val="-24"/>
          <w:w w:val="105"/>
        </w:rPr>
        <w:t> </w:t>
      </w:r>
      <w:r>
        <w:rPr>
          <w:color w:val="231F20"/>
          <w:w w:val="105"/>
        </w:rPr>
        <w:t>y</w:t>
      </w:r>
      <w:r>
        <w:rPr>
          <w:color w:val="231F20"/>
          <w:spacing w:val="-24"/>
          <w:w w:val="105"/>
        </w:rPr>
        <w:t> </w:t>
      </w:r>
      <w:r>
        <w:rPr>
          <w:color w:val="231F20"/>
          <w:w w:val="105"/>
        </w:rPr>
        <w:t>deba</w:t>
      </w:r>
      <w:r>
        <w:rPr>
          <w:color w:val="231F20"/>
          <w:spacing w:val="-24"/>
          <w:w w:val="105"/>
        </w:rPr>
        <w:t> </w:t>
      </w:r>
      <w:r>
        <w:rPr>
          <w:color w:val="231F20"/>
          <w:w w:val="105"/>
        </w:rPr>
        <w:t>a</w:t>
      </w:r>
      <w:r>
        <w:rPr>
          <w:color w:val="231F20"/>
          <w:spacing w:val="-24"/>
          <w:w w:val="105"/>
        </w:rPr>
        <w:t> </w:t>
      </w:r>
      <w:r>
        <w:rPr>
          <w:color w:val="231F20"/>
          <w:w w:val="105"/>
        </w:rPr>
        <w:t>su</w:t>
      </w:r>
      <w:r>
        <w:rPr>
          <w:color w:val="231F20"/>
          <w:spacing w:val="-24"/>
          <w:w w:val="105"/>
        </w:rPr>
        <w:t> </w:t>
      </w:r>
      <w:r>
        <w:rPr>
          <w:color w:val="231F20"/>
          <w:w w:val="105"/>
        </w:rPr>
        <w:t>vez</w:t>
      </w:r>
      <w:r>
        <w:rPr>
          <w:color w:val="231F20"/>
          <w:spacing w:val="-24"/>
          <w:w w:val="105"/>
        </w:rPr>
        <w:t> </w:t>
      </w:r>
      <w:r>
        <w:rPr>
          <w:color w:val="231F20"/>
          <w:w w:val="105"/>
        </w:rPr>
        <w:t>ser</w:t>
      </w:r>
      <w:r>
        <w:rPr>
          <w:color w:val="231F20"/>
          <w:spacing w:val="-24"/>
          <w:w w:val="105"/>
        </w:rPr>
        <w:t> </w:t>
      </w:r>
      <w:r>
        <w:rPr>
          <w:color w:val="231F20"/>
          <w:w w:val="105"/>
        </w:rPr>
        <w:t>transpuesta</w:t>
      </w:r>
      <w:r>
        <w:rPr>
          <w:color w:val="231F20"/>
          <w:spacing w:val="-24"/>
          <w:w w:val="105"/>
        </w:rPr>
        <w:t> </w:t>
      </w:r>
      <w:r>
        <w:rPr>
          <w:color w:val="231F20"/>
          <w:w w:val="105"/>
        </w:rPr>
        <w:t>sobre</w:t>
      </w:r>
      <w:r>
        <w:rPr>
          <w:color w:val="231F20"/>
          <w:spacing w:val="-24"/>
          <w:w w:val="105"/>
        </w:rPr>
        <w:t> </w:t>
      </w:r>
      <w:r>
        <w:rPr>
          <w:color w:val="231F20"/>
          <w:w w:val="105"/>
        </w:rPr>
        <w:t>el</w:t>
      </w:r>
      <w:r>
        <w:rPr>
          <w:color w:val="231F20"/>
          <w:spacing w:val="-24"/>
          <w:w w:val="105"/>
        </w:rPr>
        <w:t> </w:t>
      </w:r>
      <w:r>
        <w:rPr>
          <w:color w:val="231F20"/>
          <w:w w:val="105"/>
        </w:rPr>
        <w:t>plano</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sociedad mundial</w:t>
      </w:r>
      <w:r>
        <w:rPr>
          <w:color w:val="231F20"/>
          <w:w w:val="105"/>
          <w:position w:val="7"/>
          <w:sz w:val="12"/>
        </w:rPr>
        <w:t>63</w:t>
      </w:r>
      <w:r>
        <w:rPr>
          <w:color w:val="231F20"/>
          <w:w w:val="105"/>
        </w:rPr>
        <w:t>. En el Estado postcolonial —así como en el Estado global—</w:t>
      </w:r>
      <w:r>
        <w:rPr>
          <w:color w:val="231F20"/>
          <w:spacing w:val="-29"/>
          <w:w w:val="105"/>
        </w:rPr>
        <w:t> </w:t>
      </w:r>
      <w:r>
        <w:rPr>
          <w:color w:val="231F20"/>
          <w:w w:val="105"/>
        </w:rPr>
        <w:t>la Constitución es en efecto la forma en la cual “cada cosa es designada, cada</w:t>
      </w:r>
      <w:r>
        <w:rPr>
          <w:color w:val="231F20"/>
          <w:spacing w:val="-28"/>
          <w:w w:val="105"/>
        </w:rPr>
        <w:t> </w:t>
      </w:r>
      <w:r>
        <w:rPr>
          <w:color w:val="231F20"/>
          <w:w w:val="105"/>
        </w:rPr>
        <w:t>cosa</w:t>
      </w:r>
      <w:r>
        <w:rPr>
          <w:color w:val="231F20"/>
          <w:spacing w:val="-28"/>
          <w:w w:val="105"/>
        </w:rPr>
        <w:t> </w:t>
      </w:r>
      <w:r>
        <w:rPr>
          <w:color w:val="231F20"/>
          <w:w w:val="105"/>
        </w:rPr>
        <w:t>es</w:t>
      </w:r>
      <w:r>
        <w:rPr>
          <w:color w:val="231F20"/>
          <w:spacing w:val="-28"/>
          <w:w w:val="105"/>
        </w:rPr>
        <w:t> </w:t>
      </w:r>
      <w:r>
        <w:rPr>
          <w:color w:val="231F20"/>
          <w:w w:val="105"/>
        </w:rPr>
        <w:t>construida</w:t>
      </w:r>
      <w:r>
        <w:rPr>
          <w:color w:val="231F20"/>
          <w:spacing w:val="-28"/>
          <w:w w:val="105"/>
        </w:rPr>
        <w:t> </w:t>
      </w:r>
      <w:r>
        <w:rPr>
          <w:color w:val="231F20"/>
          <w:w w:val="105"/>
        </w:rPr>
        <w:t>sin</w:t>
      </w:r>
      <w:r>
        <w:rPr>
          <w:color w:val="231F20"/>
          <w:spacing w:val="-28"/>
          <w:w w:val="105"/>
        </w:rPr>
        <w:t> </w:t>
      </w:r>
      <w:r>
        <w:rPr>
          <w:color w:val="231F20"/>
          <w:w w:val="105"/>
        </w:rPr>
        <w:t>dejar</w:t>
      </w:r>
      <w:r>
        <w:rPr>
          <w:color w:val="231F20"/>
          <w:spacing w:val="-28"/>
          <w:w w:val="105"/>
        </w:rPr>
        <w:t> </w:t>
      </w:r>
      <w:r>
        <w:rPr>
          <w:color w:val="231F20"/>
          <w:w w:val="105"/>
        </w:rPr>
        <w:t>nada</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casualidad:</w:t>
      </w:r>
      <w:r>
        <w:rPr>
          <w:color w:val="231F20"/>
          <w:spacing w:val="-28"/>
          <w:w w:val="105"/>
        </w:rPr>
        <w:t> </w:t>
      </w:r>
      <w:r>
        <w:rPr>
          <w:color w:val="231F20"/>
          <w:w w:val="105"/>
        </w:rPr>
        <w:t>desde</w:t>
      </w:r>
      <w:r>
        <w:rPr>
          <w:color w:val="231F20"/>
          <w:spacing w:val="-28"/>
          <w:w w:val="105"/>
        </w:rPr>
        <w:t> </w:t>
      </w:r>
      <w:r>
        <w:rPr>
          <w:color w:val="231F20"/>
          <w:w w:val="105"/>
        </w:rPr>
        <w:t>los</w:t>
      </w:r>
      <w:r>
        <w:rPr>
          <w:color w:val="231F20"/>
          <w:spacing w:val="-28"/>
          <w:w w:val="105"/>
        </w:rPr>
        <w:t> </w:t>
      </w:r>
      <w:r>
        <w:rPr>
          <w:color w:val="231F20"/>
          <w:w w:val="105"/>
        </w:rPr>
        <w:t>aspectos ordinarios</w:t>
      </w:r>
      <w:r>
        <w:rPr>
          <w:color w:val="231F20"/>
          <w:spacing w:val="-15"/>
          <w:w w:val="105"/>
        </w:rPr>
        <w:t> </w:t>
      </w:r>
      <w:r>
        <w:rPr>
          <w:color w:val="231F20"/>
          <w:w w:val="105"/>
        </w:rPr>
        <w:t>del</w:t>
      </w:r>
      <w:r>
        <w:rPr>
          <w:color w:val="231F20"/>
          <w:spacing w:val="-15"/>
          <w:w w:val="105"/>
        </w:rPr>
        <w:t> </w:t>
      </w:r>
      <w:r>
        <w:rPr>
          <w:color w:val="231F20"/>
          <w:w w:val="105"/>
        </w:rPr>
        <w:t>gobierno</w:t>
      </w:r>
      <w:r>
        <w:rPr>
          <w:color w:val="231F20"/>
          <w:spacing w:val="-15"/>
          <w:w w:val="105"/>
        </w:rPr>
        <w:t> </w:t>
      </w:r>
      <w:r>
        <w:rPr>
          <w:color w:val="231F20"/>
          <w:w w:val="105"/>
        </w:rPr>
        <w:t>cotidiano</w:t>
      </w:r>
      <w:r>
        <w:rPr>
          <w:color w:val="231F20"/>
          <w:spacing w:val="-15"/>
          <w:w w:val="105"/>
        </w:rPr>
        <w:t> </w:t>
      </w:r>
      <w:r>
        <w:rPr>
          <w:color w:val="231F20"/>
          <w:w w:val="105"/>
        </w:rPr>
        <w:t>[</w:t>
      </w:r>
      <w:r>
        <w:rPr>
          <w:rFonts w:ascii="Arial" w:hAnsi="Arial"/>
          <w:i/>
          <w:color w:val="231F20"/>
          <w:w w:val="105"/>
        </w:rPr>
        <w:t>daily</w:t>
      </w:r>
      <w:r>
        <w:rPr>
          <w:rFonts w:ascii="Arial" w:hAnsi="Arial"/>
          <w:i/>
          <w:color w:val="231F20"/>
          <w:spacing w:val="-7"/>
          <w:w w:val="105"/>
        </w:rPr>
        <w:t> </w:t>
      </w:r>
      <w:r>
        <w:rPr>
          <w:rFonts w:ascii="Arial" w:hAnsi="Arial"/>
          <w:i/>
          <w:color w:val="231F20"/>
          <w:w w:val="105"/>
        </w:rPr>
        <w:t>rule</w:t>
      </w:r>
      <w:r>
        <w:rPr>
          <w:color w:val="231F20"/>
          <w:w w:val="105"/>
        </w:rPr>
        <w:t>]</w:t>
      </w:r>
      <w:r>
        <w:rPr>
          <w:color w:val="231F20"/>
          <w:spacing w:val="-15"/>
          <w:w w:val="105"/>
        </w:rPr>
        <w:t> </w:t>
      </w:r>
      <w:r>
        <w:rPr>
          <w:color w:val="231F20"/>
          <w:w w:val="105"/>
        </w:rPr>
        <w:t>hasta</w:t>
      </w:r>
      <w:r>
        <w:rPr>
          <w:color w:val="231F20"/>
          <w:spacing w:val="-15"/>
          <w:w w:val="105"/>
        </w:rPr>
        <w:t> </w:t>
      </w:r>
      <w:r>
        <w:rPr>
          <w:color w:val="231F20"/>
          <w:w w:val="105"/>
        </w:rPr>
        <w:t>regular</w:t>
      </w:r>
      <w:r>
        <w:rPr>
          <w:color w:val="231F20"/>
          <w:spacing w:val="-15"/>
          <w:w w:val="105"/>
        </w:rPr>
        <w:t> </w:t>
      </w:r>
      <w:r>
        <w:rPr>
          <w:color w:val="231F20"/>
          <w:w w:val="105"/>
        </w:rPr>
        <w:t>la</w:t>
      </w:r>
      <w:r>
        <w:rPr>
          <w:color w:val="231F20"/>
          <w:spacing w:val="-15"/>
          <w:w w:val="105"/>
        </w:rPr>
        <w:t> </w:t>
      </w:r>
      <w:r>
        <w:rPr>
          <w:color w:val="231F20"/>
          <w:w w:val="105"/>
        </w:rPr>
        <w:t>vida</w:t>
      </w:r>
      <w:r>
        <w:rPr>
          <w:color w:val="231F20"/>
          <w:spacing w:val="-15"/>
          <w:w w:val="105"/>
        </w:rPr>
        <w:t> </w:t>
      </w:r>
      <w:r>
        <w:rPr>
          <w:color w:val="231F20"/>
          <w:w w:val="105"/>
        </w:rPr>
        <w:t>entera del</w:t>
      </w:r>
      <w:r>
        <w:rPr>
          <w:color w:val="231F20"/>
          <w:spacing w:val="-20"/>
          <w:w w:val="105"/>
        </w:rPr>
        <w:t> </w:t>
      </w:r>
      <w:r>
        <w:rPr>
          <w:color w:val="231F20"/>
          <w:w w:val="105"/>
        </w:rPr>
        <w:t>sujeto</w:t>
      </w:r>
      <w:r>
        <w:rPr>
          <w:color w:val="231F20"/>
          <w:spacing w:val="-20"/>
          <w:w w:val="105"/>
        </w:rPr>
        <w:t> </w:t>
      </w:r>
      <w:r>
        <w:rPr>
          <w:color w:val="231F20"/>
          <w:w w:val="105"/>
        </w:rPr>
        <w:t>político“</w:t>
      </w:r>
      <w:r>
        <w:rPr>
          <w:color w:val="231F20"/>
          <w:w w:val="105"/>
          <w:position w:val="7"/>
          <w:sz w:val="12"/>
        </w:rPr>
        <w:t>64</w:t>
      </w:r>
      <w:r>
        <w:rPr>
          <w:color w:val="231F20"/>
          <w:w w:val="105"/>
        </w:rPr>
        <w:t>.</w:t>
      </w:r>
      <w:r>
        <w:rPr>
          <w:color w:val="231F20"/>
          <w:spacing w:val="-20"/>
          <w:w w:val="105"/>
        </w:rPr>
        <w:t> </w:t>
      </w:r>
      <w:r>
        <w:rPr>
          <w:color w:val="231F20"/>
          <w:w w:val="105"/>
        </w:rPr>
        <w:t>La</w:t>
      </w:r>
      <w:r>
        <w:rPr>
          <w:color w:val="231F20"/>
          <w:spacing w:val="-20"/>
          <w:w w:val="105"/>
        </w:rPr>
        <w:t> </w:t>
      </w:r>
      <w:r>
        <w:rPr>
          <w:color w:val="231F20"/>
          <w:w w:val="105"/>
        </w:rPr>
        <w:t>Constitución</w:t>
      </w:r>
      <w:r>
        <w:rPr>
          <w:color w:val="231F20"/>
          <w:spacing w:val="-20"/>
          <w:w w:val="105"/>
        </w:rPr>
        <w:t> </w:t>
      </w:r>
      <w:r>
        <w:rPr>
          <w:color w:val="231F20"/>
          <w:w w:val="105"/>
        </w:rPr>
        <w:t>es</w:t>
      </w:r>
      <w:r>
        <w:rPr>
          <w:color w:val="231F20"/>
          <w:spacing w:val="-20"/>
          <w:w w:val="105"/>
        </w:rPr>
        <w:t> </w:t>
      </w:r>
      <w:r>
        <w:rPr>
          <w:color w:val="231F20"/>
          <w:w w:val="105"/>
        </w:rPr>
        <w:t>la</w:t>
      </w:r>
      <w:r>
        <w:rPr>
          <w:color w:val="231F20"/>
          <w:spacing w:val="-20"/>
          <w:w w:val="105"/>
        </w:rPr>
        <w:t> </w:t>
      </w:r>
      <w:r>
        <w:rPr>
          <w:color w:val="231F20"/>
          <w:w w:val="105"/>
        </w:rPr>
        <w:t>forma</w:t>
      </w:r>
      <w:r>
        <w:rPr>
          <w:color w:val="231F20"/>
          <w:spacing w:val="-20"/>
          <w:w w:val="105"/>
        </w:rPr>
        <w:t> </w:t>
      </w:r>
      <w:r>
        <w:rPr>
          <w:color w:val="231F20"/>
          <w:w w:val="105"/>
        </w:rPr>
        <w:t>del</w:t>
      </w:r>
      <w:r>
        <w:rPr>
          <w:color w:val="231F20"/>
          <w:spacing w:val="-20"/>
          <w:w w:val="105"/>
        </w:rPr>
        <w:t> </w:t>
      </w:r>
      <w:r>
        <w:rPr>
          <w:color w:val="231F20"/>
          <w:w w:val="105"/>
        </w:rPr>
        <w:t>orden</w:t>
      </w:r>
      <w:r>
        <w:rPr>
          <w:color w:val="231F20"/>
          <w:spacing w:val="-20"/>
          <w:w w:val="105"/>
        </w:rPr>
        <w:t> </w:t>
      </w:r>
      <w:r>
        <w:rPr>
          <w:color w:val="231F20"/>
          <w:w w:val="105"/>
        </w:rPr>
        <w:t>y</w:t>
      </w:r>
      <w:r>
        <w:rPr>
          <w:color w:val="231F20"/>
          <w:spacing w:val="-20"/>
          <w:w w:val="105"/>
        </w:rPr>
        <w:t> </w:t>
      </w:r>
      <w:r>
        <w:rPr>
          <w:color w:val="231F20"/>
          <w:w w:val="105"/>
        </w:rPr>
        <w:t>del</w:t>
      </w:r>
      <w:r>
        <w:rPr>
          <w:color w:val="231F20"/>
          <w:spacing w:val="-20"/>
          <w:w w:val="105"/>
        </w:rPr>
        <w:t> </w:t>
      </w:r>
      <w:r>
        <w:rPr>
          <w:color w:val="231F20"/>
          <w:w w:val="105"/>
        </w:rPr>
        <w:t>constitu- cionalismo</w:t>
      </w:r>
      <w:r>
        <w:rPr>
          <w:color w:val="231F20"/>
          <w:spacing w:val="-20"/>
          <w:w w:val="105"/>
        </w:rPr>
        <w:t> </w:t>
      </w:r>
      <w:r>
        <w:rPr>
          <w:color w:val="231F20"/>
          <w:w w:val="105"/>
        </w:rPr>
        <w:t>colonial,</w:t>
      </w:r>
      <w:r>
        <w:rPr>
          <w:color w:val="231F20"/>
          <w:spacing w:val="-20"/>
          <w:w w:val="105"/>
        </w:rPr>
        <w:t> </w:t>
      </w:r>
      <w:r>
        <w:rPr>
          <w:color w:val="231F20"/>
          <w:w w:val="105"/>
        </w:rPr>
        <w:t>ya</w:t>
      </w:r>
      <w:r>
        <w:rPr>
          <w:color w:val="231F20"/>
          <w:spacing w:val="-20"/>
          <w:w w:val="105"/>
        </w:rPr>
        <w:t> </w:t>
      </w:r>
      <w:r>
        <w:rPr>
          <w:color w:val="231F20"/>
          <w:w w:val="105"/>
        </w:rPr>
        <w:t>sea</w:t>
      </w:r>
      <w:r>
        <w:rPr>
          <w:color w:val="231F20"/>
          <w:spacing w:val="-20"/>
          <w:w w:val="105"/>
        </w:rPr>
        <w:t> </w:t>
      </w:r>
      <w:r>
        <w:rPr>
          <w:color w:val="231F20"/>
          <w:w w:val="105"/>
        </w:rPr>
        <w:t>como</w:t>
      </w:r>
      <w:r>
        <w:rPr>
          <w:color w:val="231F20"/>
          <w:spacing w:val="-20"/>
          <w:w w:val="105"/>
        </w:rPr>
        <w:t> </w:t>
      </w:r>
      <w:r>
        <w:rPr>
          <w:color w:val="231F20"/>
          <w:w w:val="105"/>
        </w:rPr>
        <w:t>sistema</w:t>
      </w:r>
      <w:r>
        <w:rPr>
          <w:color w:val="231F20"/>
          <w:spacing w:val="-20"/>
          <w:w w:val="105"/>
        </w:rPr>
        <w:t> </w:t>
      </w:r>
      <w:r>
        <w:rPr>
          <w:color w:val="231F20"/>
          <w:w w:val="105"/>
        </w:rPr>
        <w:t>institucional</w:t>
      </w:r>
      <w:r>
        <w:rPr>
          <w:color w:val="231F20"/>
          <w:spacing w:val="-20"/>
          <w:w w:val="105"/>
        </w:rPr>
        <w:t> </w:t>
      </w:r>
      <w:r>
        <w:rPr>
          <w:color w:val="231F20"/>
          <w:w w:val="105"/>
        </w:rPr>
        <w:t>que</w:t>
      </w:r>
      <w:r>
        <w:rPr>
          <w:color w:val="231F20"/>
          <w:spacing w:val="-20"/>
          <w:w w:val="105"/>
        </w:rPr>
        <w:t> </w:t>
      </w:r>
      <w:r>
        <w:rPr>
          <w:color w:val="231F20"/>
          <w:w w:val="105"/>
        </w:rPr>
        <w:t>como</w:t>
      </w:r>
      <w:r>
        <w:rPr>
          <w:color w:val="231F20"/>
          <w:spacing w:val="-20"/>
          <w:w w:val="105"/>
        </w:rPr>
        <w:t> </w:t>
      </w:r>
      <w:r>
        <w:rPr>
          <w:color w:val="231F20"/>
          <w:w w:val="105"/>
        </w:rPr>
        <w:t>discurso sobre</w:t>
      </w:r>
      <w:r>
        <w:rPr>
          <w:color w:val="231F20"/>
          <w:spacing w:val="-13"/>
          <w:w w:val="105"/>
        </w:rPr>
        <w:t> </w:t>
      </w:r>
      <w:r>
        <w:rPr>
          <w:color w:val="231F20"/>
          <w:w w:val="105"/>
        </w:rPr>
        <w:t>la</w:t>
      </w:r>
      <w:r>
        <w:rPr>
          <w:color w:val="231F20"/>
          <w:spacing w:val="-13"/>
          <w:w w:val="105"/>
        </w:rPr>
        <w:t> </w:t>
      </w:r>
      <w:r>
        <w:rPr>
          <w:color w:val="231F20"/>
          <w:w w:val="105"/>
        </w:rPr>
        <w:t>Constitución,</w:t>
      </w:r>
      <w:r>
        <w:rPr>
          <w:color w:val="231F20"/>
          <w:spacing w:val="-13"/>
          <w:w w:val="105"/>
        </w:rPr>
        <w:t> </w:t>
      </w:r>
      <w:r>
        <w:rPr>
          <w:color w:val="231F20"/>
          <w:w w:val="105"/>
        </w:rPr>
        <w:t>es</w:t>
      </w:r>
      <w:r>
        <w:rPr>
          <w:color w:val="231F20"/>
          <w:spacing w:val="-13"/>
          <w:w w:val="105"/>
        </w:rPr>
        <w:t> </w:t>
      </w:r>
      <w:r>
        <w:rPr>
          <w:color w:val="231F20"/>
          <w:w w:val="105"/>
        </w:rPr>
        <w:t>la</w:t>
      </w:r>
      <w:r>
        <w:rPr>
          <w:color w:val="231F20"/>
          <w:spacing w:val="-13"/>
          <w:w w:val="105"/>
        </w:rPr>
        <w:t> </w:t>
      </w:r>
      <w:r>
        <w:rPr>
          <w:color w:val="231F20"/>
          <w:w w:val="105"/>
        </w:rPr>
        <w:t>verdad</w:t>
      </w:r>
      <w:r>
        <w:rPr>
          <w:color w:val="231F20"/>
          <w:spacing w:val="-13"/>
          <w:w w:val="105"/>
        </w:rPr>
        <w:t> </w:t>
      </w:r>
      <w:r>
        <w:rPr>
          <w:color w:val="231F20"/>
          <w:w w:val="105"/>
        </w:rPr>
        <w:t>del</w:t>
      </w:r>
      <w:r>
        <w:rPr>
          <w:color w:val="231F20"/>
          <w:spacing w:val="-13"/>
          <w:w w:val="105"/>
        </w:rPr>
        <w:t> </w:t>
      </w:r>
      <w:r>
        <w:rPr>
          <w:color w:val="231F20"/>
          <w:w w:val="105"/>
        </w:rPr>
        <w:t>propio</w:t>
      </w:r>
      <w:r>
        <w:rPr>
          <w:color w:val="231F20"/>
          <w:spacing w:val="-13"/>
          <w:w w:val="105"/>
        </w:rPr>
        <w:t> </w:t>
      </w:r>
      <w:r>
        <w:rPr>
          <w:color w:val="231F20"/>
          <w:w w:val="105"/>
        </w:rPr>
        <w:t>constitucionalismo,</w:t>
      </w:r>
      <w:r>
        <w:rPr>
          <w:color w:val="231F20"/>
          <w:spacing w:val="-13"/>
          <w:w w:val="105"/>
        </w:rPr>
        <w:t> </w:t>
      </w:r>
      <w:r>
        <w:rPr>
          <w:color w:val="231F20"/>
          <w:w w:val="105"/>
        </w:rPr>
        <w:t>puesto que obliga al orden teniendo siempre en consideración la posibilidad</w:t>
      </w:r>
      <w:r>
        <w:rPr>
          <w:color w:val="231F20"/>
          <w:spacing w:val="-41"/>
          <w:w w:val="105"/>
        </w:rPr>
        <w:t> </w:t>
      </w:r>
      <w:r>
        <w:rPr>
          <w:color w:val="231F20"/>
          <w:w w:val="105"/>
        </w:rPr>
        <w:t>de una</w:t>
      </w:r>
      <w:r>
        <w:rPr>
          <w:color w:val="231F20"/>
          <w:spacing w:val="-11"/>
          <w:w w:val="105"/>
        </w:rPr>
        <w:t> </w:t>
      </w:r>
      <w:r>
        <w:rPr>
          <w:color w:val="231F20"/>
          <w:w w:val="105"/>
        </w:rPr>
        <w:t>guerra</w:t>
      </w:r>
      <w:r>
        <w:rPr>
          <w:color w:val="231F20"/>
          <w:spacing w:val="-11"/>
          <w:w w:val="105"/>
        </w:rPr>
        <w:t> </w:t>
      </w:r>
      <w:r>
        <w:rPr>
          <w:color w:val="231F20"/>
          <w:w w:val="105"/>
        </w:rPr>
        <w:t>que</w:t>
      </w:r>
      <w:r>
        <w:rPr>
          <w:color w:val="231F20"/>
          <w:spacing w:val="-11"/>
          <w:w w:val="105"/>
        </w:rPr>
        <w:t> </w:t>
      </w:r>
      <w:r>
        <w:rPr>
          <w:color w:val="231F20"/>
          <w:w w:val="105"/>
        </w:rPr>
        <w:t>debe</w:t>
      </w:r>
      <w:r>
        <w:rPr>
          <w:color w:val="231F20"/>
          <w:spacing w:val="-11"/>
          <w:w w:val="105"/>
        </w:rPr>
        <w:t> </w:t>
      </w:r>
      <w:r>
        <w:rPr>
          <w:color w:val="231F20"/>
          <w:w w:val="105"/>
        </w:rPr>
        <w:t>ser</w:t>
      </w:r>
      <w:r>
        <w:rPr>
          <w:color w:val="231F20"/>
          <w:spacing w:val="-11"/>
          <w:w w:val="105"/>
        </w:rPr>
        <w:t> </w:t>
      </w:r>
      <w:r>
        <w:rPr>
          <w:color w:val="231F20"/>
          <w:w w:val="105"/>
        </w:rPr>
        <w:t>localizada</w:t>
      </w:r>
      <w:r>
        <w:rPr>
          <w:color w:val="231F20"/>
          <w:spacing w:val="-11"/>
          <w:w w:val="105"/>
        </w:rPr>
        <w:t> </w:t>
      </w:r>
      <w:r>
        <w:rPr>
          <w:color w:val="231F20"/>
          <w:w w:val="105"/>
        </w:rPr>
        <w:t>y</w:t>
      </w:r>
      <w:r>
        <w:rPr>
          <w:color w:val="231F20"/>
          <w:spacing w:val="-11"/>
          <w:w w:val="105"/>
        </w:rPr>
        <w:t> </w:t>
      </w:r>
      <w:r>
        <w:rPr>
          <w:color w:val="231F20"/>
          <w:w w:val="105"/>
        </w:rPr>
        <w:t>no</w:t>
      </w:r>
      <w:r>
        <w:rPr>
          <w:color w:val="231F20"/>
          <w:spacing w:val="-11"/>
          <w:w w:val="105"/>
        </w:rPr>
        <w:t> </w:t>
      </w:r>
      <w:r>
        <w:rPr>
          <w:color w:val="231F20"/>
          <w:w w:val="105"/>
        </w:rPr>
        <w:t>puede</w:t>
      </w:r>
      <w:r>
        <w:rPr>
          <w:color w:val="231F20"/>
          <w:spacing w:val="-11"/>
          <w:w w:val="105"/>
        </w:rPr>
        <w:t> </w:t>
      </w:r>
      <w:r>
        <w:rPr>
          <w:color w:val="231F20"/>
          <w:w w:val="105"/>
        </w:rPr>
        <w:t>en</w:t>
      </w:r>
      <w:r>
        <w:rPr>
          <w:color w:val="231F20"/>
          <w:spacing w:val="-11"/>
          <w:w w:val="105"/>
        </w:rPr>
        <w:t> </w:t>
      </w:r>
      <w:r>
        <w:rPr>
          <w:color w:val="231F20"/>
          <w:w w:val="105"/>
        </w:rPr>
        <w:t>ningún</w:t>
      </w:r>
      <w:r>
        <w:rPr>
          <w:color w:val="231F20"/>
          <w:spacing w:val="-11"/>
          <w:w w:val="105"/>
        </w:rPr>
        <w:t> </w:t>
      </w:r>
      <w:r>
        <w:rPr>
          <w:color w:val="231F20"/>
          <w:w w:val="105"/>
        </w:rPr>
        <w:t>caso</w:t>
      </w:r>
      <w:r>
        <w:rPr>
          <w:color w:val="231F20"/>
          <w:spacing w:val="-11"/>
          <w:w w:val="105"/>
        </w:rPr>
        <w:t> </w:t>
      </w:r>
      <w:r>
        <w:rPr>
          <w:color w:val="231F20"/>
          <w:w w:val="105"/>
        </w:rPr>
        <w:t>invertir</w:t>
      </w:r>
      <w:r>
        <w:rPr>
          <w:color w:val="231F20"/>
          <w:spacing w:val="-11"/>
          <w:w w:val="105"/>
        </w:rPr>
        <w:t> </w:t>
      </w:r>
      <w:r>
        <w:rPr>
          <w:color w:val="231F20"/>
          <w:w w:val="105"/>
        </w:rPr>
        <w:t>a la metrópoli. Al mismo tiempo es la garantía de que existe un orden</w:t>
      </w:r>
      <w:r>
        <w:rPr>
          <w:color w:val="231F20"/>
          <w:spacing w:val="-8"/>
          <w:w w:val="105"/>
        </w:rPr>
        <w:t> </w:t>
      </w:r>
      <w:r>
        <w:rPr>
          <w:color w:val="231F20"/>
          <w:w w:val="105"/>
        </w:rPr>
        <w:t>no fundado</w:t>
      </w:r>
      <w:r>
        <w:rPr>
          <w:color w:val="231F20"/>
          <w:spacing w:val="-43"/>
          <w:w w:val="105"/>
        </w:rPr>
        <w:t> </w:t>
      </w:r>
      <w:r>
        <w:rPr>
          <w:color w:val="231F20"/>
          <w:w w:val="105"/>
        </w:rPr>
        <w:t>sobre</w:t>
      </w:r>
      <w:r>
        <w:rPr>
          <w:color w:val="231F20"/>
          <w:spacing w:val="-43"/>
          <w:w w:val="105"/>
        </w:rPr>
        <w:t> </w:t>
      </w:r>
      <w:r>
        <w:rPr>
          <w:color w:val="231F20"/>
          <w:w w:val="105"/>
        </w:rPr>
        <w:t>relaciones</w:t>
      </w:r>
      <w:r>
        <w:rPr>
          <w:color w:val="231F20"/>
          <w:spacing w:val="-43"/>
          <w:w w:val="105"/>
        </w:rPr>
        <w:t> </w:t>
      </w:r>
      <w:r>
        <w:rPr>
          <w:color w:val="231F20"/>
          <w:w w:val="105"/>
        </w:rPr>
        <w:t>inmediatas</w:t>
      </w:r>
      <w:r>
        <w:rPr>
          <w:color w:val="231F20"/>
          <w:spacing w:val="-43"/>
          <w:w w:val="105"/>
        </w:rPr>
        <w:t> </w:t>
      </w:r>
      <w:r>
        <w:rPr>
          <w:color w:val="231F20"/>
          <w:w w:val="105"/>
        </w:rPr>
        <w:t>y</w:t>
      </w:r>
      <w:r>
        <w:rPr>
          <w:color w:val="231F20"/>
          <w:spacing w:val="-43"/>
          <w:w w:val="105"/>
        </w:rPr>
        <w:t> </w:t>
      </w:r>
      <w:r>
        <w:rPr>
          <w:color w:val="231F20"/>
          <w:w w:val="105"/>
        </w:rPr>
        <w:t>cotidianas</w:t>
      </w:r>
      <w:r>
        <w:rPr>
          <w:color w:val="231F20"/>
          <w:spacing w:val="-43"/>
          <w:w w:val="105"/>
        </w:rPr>
        <w:t> </w:t>
      </w:r>
      <w:r>
        <w:rPr>
          <w:color w:val="231F20"/>
          <w:w w:val="105"/>
        </w:rPr>
        <w:t>y</w:t>
      </w:r>
      <w:r>
        <w:rPr>
          <w:color w:val="231F20"/>
          <w:spacing w:val="-43"/>
          <w:w w:val="105"/>
        </w:rPr>
        <w:t> </w:t>
      </w:r>
      <w:r>
        <w:rPr>
          <w:color w:val="231F20"/>
          <w:w w:val="105"/>
        </w:rPr>
        <w:t>que</w:t>
      </w:r>
      <w:r>
        <w:rPr>
          <w:color w:val="231F20"/>
          <w:spacing w:val="-43"/>
          <w:w w:val="105"/>
        </w:rPr>
        <w:t> </w:t>
      </w:r>
      <w:r>
        <w:rPr>
          <w:color w:val="231F20"/>
          <w:w w:val="105"/>
        </w:rPr>
        <w:t>es</w:t>
      </w:r>
      <w:r>
        <w:rPr>
          <w:color w:val="231F20"/>
          <w:spacing w:val="-43"/>
          <w:w w:val="105"/>
        </w:rPr>
        <w:t> </w:t>
      </w:r>
      <w:r>
        <w:rPr>
          <w:color w:val="231F20"/>
          <w:w w:val="105"/>
        </w:rPr>
        <w:t>suficiente</w:t>
      </w:r>
      <w:r>
        <w:rPr>
          <w:color w:val="231F20"/>
          <w:spacing w:val="-43"/>
          <w:w w:val="105"/>
        </w:rPr>
        <w:t> </w:t>
      </w:r>
      <w:r>
        <w:rPr>
          <w:color w:val="231F20"/>
          <w:w w:val="105"/>
        </w:rPr>
        <w:t>respe- tarlo.</w:t>
      </w:r>
      <w:r>
        <w:rPr>
          <w:color w:val="231F20"/>
          <w:spacing w:val="-35"/>
          <w:w w:val="105"/>
        </w:rPr>
        <w:t> </w:t>
      </w:r>
      <w:r>
        <w:rPr>
          <w:color w:val="231F20"/>
          <w:w w:val="105"/>
        </w:rPr>
        <w:t>Precisamente</w:t>
      </w:r>
      <w:r>
        <w:rPr>
          <w:color w:val="231F20"/>
          <w:spacing w:val="-35"/>
          <w:w w:val="105"/>
        </w:rPr>
        <w:t> </w:t>
      </w:r>
      <w:r>
        <w:rPr>
          <w:color w:val="231F20"/>
          <w:w w:val="105"/>
        </w:rPr>
        <w:t>por</w:t>
      </w:r>
      <w:r>
        <w:rPr>
          <w:color w:val="231F20"/>
          <w:spacing w:val="-35"/>
          <w:w w:val="105"/>
        </w:rPr>
        <w:t> </w:t>
      </w:r>
      <w:r>
        <w:rPr>
          <w:color w:val="231F20"/>
          <w:w w:val="105"/>
        </w:rPr>
        <w:t>esto</w:t>
      </w:r>
      <w:r>
        <w:rPr>
          <w:color w:val="231F20"/>
          <w:spacing w:val="-35"/>
          <w:w w:val="105"/>
        </w:rPr>
        <w:t> </w:t>
      </w:r>
      <w:r>
        <w:rPr>
          <w:color w:val="231F20"/>
          <w:w w:val="105"/>
        </w:rPr>
        <w:t>necesita</w:t>
      </w:r>
      <w:r>
        <w:rPr>
          <w:color w:val="231F20"/>
          <w:spacing w:val="-35"/>
          <w:w w:val="105"/>
        </w:rPr>
        <w:t> </w:t>
      </w:r>
      <w:r>
        <w:rPr>
          <w:color w:val="231F20"/>
          <w:w w:val="105"/>
        </w:rPr>
        <w:t>un</w:t>
      </w:r>
      <w:r>
        <w:rPr>
          <w:color w:val="231F20"/>
          <w:spacing w:val="-35"/>
          <w:w w:val="105"/>
        </w:rPr>
        <w:t> </w:t>
      </w:r>
      <w:r>
        <w:rPr>
          <w:color w:val="231F20"/>
          <w:w w:val="105"/>
        </w:rPr>
        <w:t>suplemento</w:t>
      </w:r>
      <w:r>
        <w:rPr>
          <w:color w:val="231F20"/>
          <w:spacing w:val="-35"/>
          <w:w w:val="105"/>
        </w:rPr>
        <w:t> </w:t>
      </w:r>
      <w:r>
        <w:rPr>
          <w:color w:val="231F20"/>
          <w:w w:val="105"/>
        </w:rPr>
        <w:t>en</w:t>
      </w:r>
      <w:r>
        <w:rPr>
          <w:color w:val="231F20"/>
          <w:spacing w:val="-35"/>
          <w:w w:val="105"/>
        </w:rPr>
        <w:t> </w:t>
      </w:r>
      <w:r>
        <w:rPr>
          <w:color w:val="231F20"/>
          <w:w w:val="105"/>
        </w:rPr>
        <w:t>el</w:t>
      </w:r>
      <w:r>
        <w:rPr>
          <w:color w:val="231F20"/>
          <w:spacing w:val="-35"/>
          <w:w w:val="105"/>
        </w:rPr>
        <w:t> </w:t>
      </w:r>
      <w:r>
        <w:rPr>
          <w:color w:val="231F20"/>
          <w:w w:val="105"/>
        </w:rPr>
        <w:t>interior</w:t>
      </w:r>
      <w:r>
        <w:rPr>
          <w:color w:val="231F20"/>
          <w:spacing w:val="-35"/>
          <w:w w:val="105"/>
        </w:rPr>
        <w:t> </w:t>
      </w:r>
      <w:r>
        <w:rPr>
          <w:color w:val="231F20"/>
          <w:w w:val="105"/>
        </w:rPr>
        <w:t>de</w:t>
      </w:r>
      <w:r>
        <w:rPr>
          <w:color w:val="231F20"/>
          <w:spacing w:val="-35"/>
          <w:w w:val="105"/>
        </w:rPr>
        <w:t> </w:t>
      </w:r>
      <w:r>
        <w:rPr>
          <w:color w:val="231F20"/>
          <w:w w:val="105"/>
        </w:rPr>
        <w:t>estas relaciones,</w:t>
      </w:r>
      <w:r>
        <w:rPr>
          <w:color w:val="231F20"/>
          <w:spacing w:val="-13"/>
          <w:w w:val="105"/>
        </w:rPr>
        <w:t> </w:t>
      </w:r>
      <w:r>
        <w:rPr>
          <w:color w:val="231F20"/>
          <w:w w:val="105"/>
        </w:rPr>
        <w:t>capaz</w:t>
      </w:r>
      <w:r>
        <w:rPr>
          <w:color w:val="231F20"/>
          <w:spacing w:val="-13"/>
          <w:w w:val="105"/>
        </w:rPr>
        <w:t> </w:t>
      </w:r>
      <w:r>
        <w:rPr>
          <w:color w:val="231F20"/>
          <w:w w:val="105"/>
        </w:rPr>
        <w:t>de</w:t>
      </w:r>
      <w:r>
        <w:rPr>
          <w:color w:val="231F20"/>
          <w:spacing w:val="-13"/>
          <w:w w:val="105"/>
        </w:rPr>
        <w:t> </w:t>
      </w:r>
      <w:r>
        <w:rPr>
          <w:color w:val="231F20"/>
          <w:w w:val="105"/>
        </w:rPr>
        <w:t>determinar</w:t>
      </w:r>
      <w:r>
        <w:rPr>
          <w:color w:val="231F20"/>
          <w:spacing w:val="-13"/>
          <w:w w:val="105"/>
        </w:rPr>
        <w:t> </w:t>
      </w:r>
      <w:r>
        <w:rPr>
          <w:color w:val="231F20"/>
          <w:w w:val="105"/>
        </w:rPr>
        <w:t>sus</w:t>
      </w:r>
      <w:r>
        <w:rPr>
          <w:color w:val="231F20"/>
          <w:spacing w:val="-13"/>
          <w:w w:val="105"/>
        </w:rPr>
        <w:t> </w:t>
      </w:r>
      <w:r>
        <w:rPr>
          <w:color w:val="231F20"/>
          <w:w w:val="105"/>
        </w:rPr>
        <w:t>prácticas</w:t>
      </w:r>
      <w:r>
        <w:rPr>
          <w:color w:val="231F20"/>
          <w:spacing w:val="-13"/>
          <w:w w:val="105"/>
        </w:rPr>
        <w:t> </w:t>
      </w:r>
      <w:r>
        <w:rPr>
          <w:color w:val="231F20"/>
          <w:w w:val="105"/>
        </w:rPr>
        <w:t>cotidianas.</w:t>
      </w:r>
      <w:r>
        <w:rPr>
          <w:color w:val="231F20"/>
          <w:spacing w:val="-13"/>
          <w:w w:val="105"/>
        </w:rPr>
        <w:t> </w:t>
      </w:r>
      <w:r>
        <w:rPr>
          <w:color w:val="231F20"/>
          <w:w w:val="105"/>
        </w:rPr>
        <w:t>Este</w:t>
      </w:r>
      <w:r>
        <w:rPr>
          <w:color w:val="231F20"/>
          <w:spacing w:val="-13"/>
          <w:w w:val="105"/>
        </w:rPr>
        <w:t> </w:t>
      </w:r>
      <w:r>
        <w:rPr>
          <w:color w:val="231F20"/>
          <w:w w:val="105"/>
        </w:rPr>
        <w:t>constante proceso</w:t>
      </w:r>
      <w:r>
        <w:rPr>
          <w:color w:val="231F20"/>
          <w:spacing w:val="-23"/>
          <w:w w:val="105"/>
        </w:rPr>
        <w:t> </w:t>
      </w:r>
      <w:r>
        <w:rPr>
          <w:color w:val="231F20"/>
          <w:w w:val="105"/>
        </w:rPr>
        <w:t>disciplinario,</w:t>
      </w:r>
      <w:r>
        <w:rPr>
          <w:color w:val="231F20"/>
          <w:spacing w:val="-23"/>
          <w:w w:val="105"/>
        </w:rPr>
        <w:t> </w:t>
      </w:r>
      <w:r>
        <w:rPr>
          <w:color w:val="231F20"/>
          <w:w w:val="105"/>
        </w:rPr>
        <w:t>para</w:t>
      </w:r>
      <w:r>
        <w:rPr>
          <w:color w:val="231F20"/>
          <w:spacing w:val="-23"/>
          <w:w w:val="105"/>
        </w:rPr>
        <w:t> </w:t>
      </w:r>
      <w:r>
        <w:rPr>
          <w:color w:val="231F20"/>
          <w:w w:val="105"/>
        </w:rPr>
        <w:t>decirlo</w:t>
      </w:r>
      <w:r>
        <w:rPr>
          <w:color w:val="231F20"/>
          <w:spacing w:val="-23"/>
          <w:w w:val="105"/>
        </w:rPr>
        <w:t> </w:t>
      </w:r>
      <w:r>
        <w:rPr>
          <w:color w:val="231F20"/>
          <w:w w:val="105"/>
        </w:rPr>
        <w:t>como</w:t>
      </w:r>
      <w:r>
        <w:rPr>
          <w:color w:val="231F20"/>
          <w:spacing w:val="-23"/>
          <w:w w:val="105"/>
        </w:rPr>
        <w:t> </w:t>
      </w:r>
      <w:r>
        <w:rPr>
          <w:color w:val="231F20"/>
          <w:w w:val="105"/>
        </w:rPr>
        <w:t>Weber</w:t>
      </w:r>
      <w:r>
        <w:rPr>
          <w:color w:val="231F20"/>
          <w:spacing w:val="-23"/>
          <w:w w:val="105"/>
        </w:rPr>
        <w:t> </w:t>
      </w:r>
      <w:r>
        <w:rPr>
          <w:color w:val="231F20"/>
          <w:w w:val="105"/>
        </w:rPr>
        <w:t>o</w:t>
      </w:r>
      <w:r>
        <w:rPr>
          <w:color w:val="231F20"/>
          <w:spacing w:val="-23"/>
          <w:w w:val="105"/>
        </w:rPr>
        <w:t> </w:t>
      </w:r>
      <w:r>
        <w:rPr>
          <w:color w:val="231F20"/>
          <w:w w:val="105"/>
        </w:rPr>
        <w:t>de</w:t>
      </w:r>
      <w:r>
        <w:rPr>
          <w:color w:val="231F20"/>
          <w:spacing w:val="25"/>
          <w:w w:val="105"/>
        </w:rPr>
        <w:t> </w:t>
      </w:r>
      <w:r>
        <w:rPr>
          <w:color w:val="231F20"/>
          <w:w w:val="105"/>
        </w:rPr>
        <w:t>gubernamentalidad, como</w:t>
      </w:r>
      <w:r>
        <w:rPr>
          <w:color w:val="231F20"/>
          <w:spacing w:val="-36"/>
          <w:w w:val="105"/>
        </w:rPr>
        <w:t> </w:t>
      </w:r>
      <w:r>
        <w:rPr>
          <w:color w:val="231F20"/>
          <w:w w:val="105"/>
        </w:rPr>
        <w:t>diría</w:t>
      </w:r>
      <w:r>
        <w:rPr>
          <w:color w:val="231F20"/>
          <w:spacing w:val="-36"/>
          <w:w w:val="105"/>
        </w:rPr>
        <w:t> </w:t>
      </w:r>
      <w:r>
        <w:rPr>
          <w:color w:val="231F20"/>
          <w:w w:val="105"/>
        </w:rPr>
        <w:t>Foucault,</w:t>
      </w:r>
      <w:r>
        <w:rPr>
          <w:color w:val="231F20"/>
          <w:spacing w:val="-36"/>
          <w:w w:val="105"/>
        </w:rPr>
        <w:t> </w:t>
      </w:r>
      <w:r>
        <w:rPr>
          <w:color w:val="231F20"/>
          <w:w w:val="105"/>
        </w:rPr>
        <w:t>instituye</w:t>
      </w:r>
      <w:r>
        <w:rPr>
          <w:color w:val="231F20"/>
          <w:spacing w:val="-36"/>
          <w:w w:val="105"/>
        </w:rPr>
        <w:t> </w:t>
      </w:r>
      <w:r>
        <w:rPr>
          <w:color w:val="231F20"/>
          <w:w w:val="105"/>
        </w:rPr>
        <w:t>al</w:t>
      </w:r>
      <w:r>
        <w:rPr>
          <w:color w:val="231F20"/>
          <w:spacing w:val="-36"/>
          <w:w w:val="105"/>
        </w:rPr>
        <w:t> </w:t>
      </w:r>
      <w:r>
        <w:rPr>
          <w:color w:val="231F20"/>
          <w:w w:val="105"/>
        </w:rPr>
        <w:t>individuo</w:t>
      </w:r>
      <w:r>
        <w:rPr>
          <w:color w:val="231F20"/>
          <w:spacing w:val="-36"/>
          <w:w w:val="105"/>
        </w:rPr>
        <w:t> </w:t>
      </w:r>
      <w:r>
        <w:rPr>
          <w:color w:val="231F20"/>
          <w:w w:val="105"/>
        </w:rPr>
        <w:t>no</w:t>
      </w:r>
      <w:r>
        <w:rPr>
          <w:color w:val="231F20"/>
          <w:spacing w:val="-36"/>
          <w:w w:val="105"/>
        </w:rPr>
        <w:t> </w:t>
      </w:r>
      <w:r>
        <w:rPr>
          <w:color w:val="231F20"/>
          <w:w w:val="105"/>
        </w:rPr>
        <w:t>como</w:t>
      </w:r>
      <w:r>
        <w:rPr>
          <w:color w:val="231F20"/>
          <w:spacing w:val="-36"/>
          <w:w w:val="105"/>
        </w:rPr>
        <w:t> </w:t>
      </w:r>
      <w:r>
        <w:rPr>
          <w:color w:val="231F20"/>
          <w:w w:val="105"/>
        </w:rPr>
        <w:t>sujeto</w:t>
      </w:r>
      <w:r>
        <w:rPr>
          <w:color w:val="231F20"/>
          <w:spacing w:val="-36"/>
          <w:w w:val="105"/>
        </w:rPr>
        <w:t> </w:t>
      </w:r>
      <w:r>
        <w:rPr>
          <w:color w:val="231F20"/>
          <w:w w:val="105"/>
        </w:rPr>
        <w:t>abstracto,</w:t>
      </w:r>
      <w:r>
        <w:rPr>
          <w:color w:val="231F20"/>
          <w:spacing w:val="-36"/>
          <w:w w:val="105"/>
        </w:rPr>
        <w:t> </w:t>
      </w:r>
      <w:r>
        <w:rPr>
          <w:color w:val="231F20"/>
          <w:w w:val="105"/>
        </w:rPr>
        <w:t>titular de derechos, sino como singular o perteneciente a un grupo que debe practicar</w:t>
      </w:r>
      <w:r>
        <w:rPr>
          <w:color w:val="231F20"/>
          <w:spacing w:val="-40"/>
          <w:w w:val="105"/>
        </w:rPr>
        <w:t> </w:t>
      </w:r>
      <w:r>
        <w:rPr>
          <w:color w:val="231F20"/>
          <w:w w:val="105"/>
        </w:rPr>
        <w:t>más</w:t>
      </w:r>
      <w:r>
        <w:rPr>
          <w:color w:val="231F20"/>
          <w:spacing w:val="-40"/>
          <w:w w:val="105"/>
        </w:rPr>
        <w:t> </w:t>
      </w:r>
      <w:r>
        <w:rPr>
          <w:color w:val="231F20"/>
          <w:w w:val="105"/>
        </w:rPr>
        <w:t>facultades</w:t>
      </w:r>
      <w:r>
        <w:rPr>
          <w:color w:val="231F20"/>
          <w:spacing w:val="-40"/>
          <w:w w:val="105"/>
        </w:rPr>
        <w:t> </w:t>
      </w:r>
      <w:r>
        <w:rPr>
          <w:color w:val="231F20"/>
          <w:w w:val="105"/>
        </w:rPr>
        <w:t>que</w:t>
      </w:r>
      <w:r>
        <w:rPr>
          <w:color w:val="231F20"/>
          <w:spacing w:val="-40"/>
          <w:w w:val="105"/>
        </w:rPr>
        <w:t> </w:t>
      </w:r>
      <w:r>
        <w:rPr>
          <w:color w:val="231F20"/>
          <w:w w:val="105"/>
        </w:rPr>
        <w:t>derechos.</w:t>
      </w:r>
      <w:r>
        <w:rPr>
          <w:color w:val="231F20"/>
          <w:spacing w:val="-40"/>
          <w:w w:val="105"/>
        </w:rPr>
        <w:t> </w:t>
      </w:r>
      <w:r>
        <w:rPr>
          <w:color w:val="231F20"/>
          <w:w w:val="105"/>
        </w:rPr>
        <w:t>La</w:t>
      </w:r>
      <w:r>
        <w:rPr>
          <w:color w:val="231F20"/>
          <w:spacing w:val="-40"/>
          <w:w w:val="105"/>
        </w:rPr>
        <w:t> </w:t>
      </w:r>
      <w:r>
        <w:rPr>
          <w:color w:val="231F20"/>
          <w:w w:val="105"/>
        </w:rPr>
        <w:t>gubernamentalidad</w:t>
      </w:r>
      <w:r>
        <w:rPr>
          <w:color w:val="231F20"/>
          <w:spacing w:val="-40"/>
          <w:w w:val="105"/>
        </w:rPr>
        <w:t> </w:t>
      </w:r>
      <w:r>
        <w:rPr>
          <w:color w:val="231F20"/>
          <w:w w:val="105"/>
        </w:rPr>
        <w:t>es</w:t>
      </w:r>
      <w:r>
        <w:rPr>
          <w:color w:val="231F20"/>
          <w:spacing w:val="-40"/>
          <w:w w:val="105"/>
        </w:rPr>
        <w:t> </w:t>
      </w:r>
      <w:r>
        <w:rPr>
          <w:color w:val="231F20"/>
          <w:w w:val="105"/>
        </w:rPr>
        <w:t>un</w:t>
      </w:r>
      <w:r>
        <w:rPr>
          <w:color w:val="231F20"/>
          <w:spacing w:val="-40"/>
          <w:w w:val="105"/>
        </w:rPr>
        <w:t> </w:t>
      </w:r>
      <w:r>
        <w:rPr>
          <w:color w:val="231F20"/>
          <w:w w:val="105"/>
        </w:rPr>
        <w:t>orden que</w:t>
      </w:r>
      <w:r>
        <w:rPr>
          <w:color w:val="231F20"/>
          <w:spacing w:val="-34"/>
          <w:w w:val="105"/>
        </w:rPr>
        <w:t> </w:t>
      </w:r>
      <w:r>
        <w:rPr>
          <w:color w:val="231F20"/>
          <w:w w:val="105"/>
        </w:rPr>
        <w:t>pretende</w:t>
      </w:r>
      <w:r>
        <w:rPr>
          <w:color w:val="231F20"/>
          <w:spacing w:val="-34"/>
          <w:w w:val="105"/>
        </w:rPr>
        <w:t> </w:t>
      </w:r>
      <w:r>
        <w:rPr>
          <w:color w:val="231F20"/>
          <w:w w:val="105"/>
        </w:rPr>
        <w:t>constituirse</w:t>
      </w:r>
      <w:r>
        <w:rPr>
          <w:color w:val="231F20"/>
          <w:spacing w:val="-34"/>
          <w:w w:val="105"/>
        </w:rPr>
        <w:t> </w:t>
      </w:r>
      <w:r>
        <w:rPr>
          <w:color w:val="231F20"/>
          <w:w w:val="105"/>
        </w:rPr>
        <w:t>al</w:t>
      </w:r>
      <w:r>
        <w:rPr>
          <w:color w:val="231F20"/>
          <w:spacing w:val="-34"/>
          <w:w w:val="105"/>
        </w:rPr>
        <w:t> </w:t>
      </w:r>
      <w:r>
        <w:rPr>
          <w:color w:val="231F20"/>
          <w:w w:val="105"/>
        </w:rPr>
        <w:t>interior</w:t>
      </w:r>
      <w:r>
        <w:rPr>
          <w:color w:val="231F20"/>
          <w:spacing w:val="-34"/>
          <w:w w:val="105"/>
        </w:rPr>
        <w:t> </w:t>
      </w:r>
      <w:r>
        <w:rPr>
          <w:color w:val="231F20"/>
          <w:w w:val="105"/>
        </w:rPr>
        <w:t>de</w:t>
      </w:r>
      <w:r>
        <w:rPr>
          <w:color w:val="231F20"/>
          <w:spacing w:val="-34"/>
          <w:w w:val="105"/>
        </w:rPr>
        <w:t> </w:t>
      </w:r>
      <w:r>
        <w:rPr>
          <w:color w:val="231F20"/>
          <w:w w:val="105"/>
        </w:rPr>
        <w:t>las</w:t>
      </w:r>
      <w:r>
        <w:rPr>
          <w:color w:val="231F20"/>
          <w:spacing w:val="-34"/>
          <w:w w:val="105"/>
        </w:rPr>
        <w:t> </w:t>
      </w:r>
      <w:r>
        <w:rPr>
          <w:color w:val="231F20"/>
          <w:w w:val="105"/>
        </w:rPr>
        <w:t>relaciones.</w:t>
      </w:r>
    </w:p>
    <w:p>
      <w:pPr>
        <w:pStyle w:val="BodyText"/>
        <w:spacing w:line="247" w:lineRule="auto"/>
        <w:ind w:left="117" w:right="101" w:firstLine="566"/>
        <w:jc w:val="both"/>
      </w:pPr>
      <w:r>
        <w:rPr>
          <w:color w:val="231F20"/>
          <w:w w:val="105"/>
        </w:rPr>
        <w:t>El</w:t>
      </w:r>
      <w:r>
        <w:rPr>
          <w:color w:val="231F20"/>
          <w:spacing w:val="-7"/>
          <w:w w:val="105"/>
        </w:rPr>
        <w:t> </w:t>
      </w:r>
      <w:r>
        <w:rPr>
          <w:color w:val="231F20"/>
          <w:w w:val="105"/>
        </w:rPr>
        <w:t>giro</w:t>
      </w:r>
      <w:r>
        <w:rPr>
          <w:color w:val="231F20"/>
          <w:spacing w:val="-7"/>
          <w:w w:val="105"/>
        </w:rPr>
        <w:t> </w:t>
      </w:r>
      <w:r>
        <w:rPr>
          <w:color w:val="231F20"/>
          <w:w w:val="105"/>
        </w:rPr>
        <w:t>cultural</w:t>
      </w:r>
      <w:r>
        <w:rPr>
          <w:color w:val="231F20"/>
          <w:spacing w:val="-7"/>
          <w:w w:val="105"/>
        </w:rPr>
        <w:t> </w:t>
      </w:r>
      <w:r>
        <w:rPr>
          <w:color w:val="231F20"/>
          <w:w w:val="105"/>
        </w:rPr>
        <w:t>que</w:t>
      </w:r>
      <w:r>
        <w:rPr>
          <w:color w:val="231F20"/>
          <w:spacing w:val="-7"/>
          <w:w w:val="105"/>
        </w:rPr>
        <w:t> </w:t>
      </w:r>
      <w:r>
        <w:rPr>
          <w:color w:val="231F20"/>
          <w:w w:val="105"/>
        </w:rPr>
        <w:t>ha</w:t>
      </w:r>
      <w:r>
        <w:rPr>
          <w:color w:val="231F20"/>
          <w:spacing w:val="-7"/>
          <w:w w:val="105"/>
        </w:rPr>
        <w:t> </w:t>
      </w:r>
      <w:r>
        <w:rPr>
          <w:color w:val="231F20"/>
          <w:w w:val="105"/>
        </w:rPr>
        <w:t>invertido</w:t>
      </w:r>
      <w:r>
        <w:rPr>
          <w:color w:val="231F20"/>
          <w:spacing w:val="-7"/>
          <w:w w:val="105"/>
        </w:rPr>
        <w:t> </w:t>
      </w:r>
      <w:r>
        <w:rPr>
          <w:color w:val="231F20"/>
          <w:w w:val="105"/>
        </w:rPr>
        <w:t>también</w:t>
      </w:r>
      <w:r>
        <w:rPr>
          <w:color w:val="231F20"/>
          <w:spacing w:val="-7"/>
          <w:w w:val="105"/>
        </w:rPr>
        <w:t> </w:t>
      </w:r>
      <w:r>
        <w:rPr>
          <w:color w:val="231F20"/>
          <w:w w:val="105"/>
        </w:rPr>
        <w:t>la</w:t>
      </w:r>
      <w:r>
        <w:rPr>
          <w:color w:val="231F20"/>
          <w:spacing w:val="-7"/>
          <w:w w:val="105"/>
        </w:rPr>
        <w:t> </w:t>
      </w:r>
      <w:r>
        <w:rPr>
          <w:color w:val="231F20"/>
          <w:w w:val="105"/>
        </w:rPr>
        <w:t>conceptualización</w:t>
      </w:r>
      <w:r>
        <w:rPr>
          <w:color w:val="231F20"/>
          <w:spacing w:val="-7"/>
          <w:w w:val="105"/>
        </w:rPr>
        <w:t> </w:t>
      </w:r>
      <w:r>
        <w:rPr>
          <w:color w:val="231F20"/>
          <w:w w:val="105"/>
        </w:rPr>
        <w:t>con- temporánea</w:t>
      </w:r>
      <w:r>
        <w:rPr>
          <w:color w:val="231F20"/>
          <w:spacing w:val="-40"/>
          <w:w w:val="105"/>
        </w:rPr>
        <w:t> </w:t>
      </w:r>
      <w:r>
        <w:rPr>
          <w:color w:val="231F20"/>
          <w:w w:val="105"/>
        </w:rPr>
        <w:t>del</w:t>
      </w:r>
      <w:r>
        <w:rPr>
          <w:color w:val="231F20"/>
          <w:spacing w:val="-40"/>
          <w:w w:val="105"/>
        </w:rPr>
        <w:t> </w:t>
      </w:r>
      <w:r>
        <w:rPr>
          <w:color w:val="231F20"/>
          <w:w w:val="105"/>
        </w:rPr>
        <w:t>Estado</w:t>
      </w:r>
      <w:r>
        <w:rPr>
          <w:color w:val="231F20"/>
          <w:spacing w:val="-40"/>
          <w:w w:val="105"/>
        </w:rPr>
        <w:t> </w:t>
      </w:r>
      <w:r>
        <w:rPr>
          <w:color w:val="231F20"/>
          <w:w w:val="105"/>
        </w:rPr>
        <w:t>apunta</w:t>
      </w:r>
      <w:r>
        <w:rPr>
          <w:color w:val="231F20"/>
          <w:spacing w:val="-40"/>
          <w:w w:val="105"/>
        </w:rPr>
        <w:t> </w:t>
      </w:r>
      <w:r>
        <w:rPr>
          <w:color w:val="231F20"/>
          <w:w w:val="105"/>
        </w:rPr>
        <w:t>exactamente</w:t>
      </w:r>
      <w:r>
        <w:rPr>
          <w:color w:val="231F20"/>
          <w:spacing w:val="-40"/>
          <w:w w:val="105"/>
        </w:rPr>
        <w:t> </w:t>
      </w:r>
      <w:r>
        <w:rPr>
          <w:color w:val="231F20"/>
          <w:w w:val="105"/>
        </w:rPr>
        <w:t>a</w:t>
      </w:r>
      <w:r>
        <w:rPr>
          <w:color w:val="231F20"/>
          <w:spacing w:val="-40"/>
          <w:w w:val="105"/>
        </w:rPr>
        <w:t> </w:t>
      </w:r>
      <w:r>
        <w:rPr>
          <w:color w:val="231F20"/>
          <w:w w:val="105"/>
        </w:rPr>
        <w:t>descubrir</w:t>
      </w:r>
      <w:r>
        <w:rPr>
          <w:color w:val="231F20"/>
          <w:spacing w:val="-40"/>
          <w:w w:val="105"/>
        </w:rPr>
        <w:t> </w:t>
      </w:r>
      <w:r>
        <w:rPr>
          <w:color w:val="231F20"/>
          <w:w w:val="105"/>
        </w:rPr>
        <w:t>las</w:t>
      </w:r>
      <w:r>
        <w:rPr>
          <w:color w:val="231F20"/>
          <w:spacing w:val="-40"/>
          <w:w w:val="105"/>
        </w:rPr>
        <w:t> </w:t>
      </w:r>
      <w:r>
        <w:rPr>
          <w:color w:val="231F20"/>
          <w:w w:val="105"/>
        </w:rPr>
        <w:t>diferentes</w:t>
      </w:r>
      <w:r>
        <w:rPr>
          <w:color w:val="231F20"/>
          <w:spacing w:val="-40"/>
          <w:w w:val="105"/>
        </w:rPr>
        <w:t> </w:t>
      </w:r>
      <w:r>
        <w:rPr>
          <w:color w:val="231F20"/>
          <w:w w:val="105"/>
        </w:rPr>
        <w:t>mo- dalidades</w:t>
      </w:r>
      <w:r>
        <w:rPr>
          <w:color w:val="231F20"/>
          <w:spacing w:val="-22"/>
          <w:w w:val="105"/>
        </w:rPr>
        <w:t> </w:t>
      </w:r>
      <w:r>
        <w:rPr>
          <w:color w:val="231F20"/>
          <w:w w:val="105"/>
        </w:rPr>
        <w:t>con</w:t>
      </w:r>
      <w:r>
        <w:rPr>
          <w:color w:val="231F20"/>
          <w:spacing w:val="-22"/>
          <w:w w:val="105"/>
        </w:rPr>
        <w:t> </w:t>
      </w:r>
      <w:r>
        <w:rPr>
          <w:color w:val="231F20"/>
          <w:w w:val="105"/>
        </w:rPr>
        <w:t>las</w:t>
      </w:r>
      <w:r>
        <w:rPr>
          <w:color w:val="231F20"/>
          <w:spacing w:val="-22"/>
          <w:w w:val="105"/>
        </w:rPr>
        <w:t> </w:t>
      </w:r>
      <w:r>
        <w:rPr>
          <w:color w:val="231F20"/>
          <w:w w:val="105"/>
        </w:rPr>
        <w:t>cuales</w:t>
      </w:r>
      <w:r>
        <w:rPr>
          <w:color w:val="231F20"/>
          <w:spacing w:val="-22"/>
          <w:w w:val="105"/>
        </w:rPr>
        <w:t> </w:t>
      </w:r>
      <w:r>
        <w:rPr>
          <w:color w:val="231F20"/>
          <w:w w:val="105"/>
        </w:rPr>
        <w:t>es</w:t>
      </w:r>
      <w:r>
        <w:rPr>
          <w:color w:val="231F20"/>
          <w:spacing w:val="-22"/>
          <w:w w:val="105"/>
        </w:rPr>
        <w:t> </w:t>
      </w:r>
      <w:r>
        <w:rPr>
          <w:color w:val="231F20"/>
          <w:w w:val="105"/>
        </w:rPr>
        <w:t>percibida</w:t>
      </w:r>
      <w:r>
        <w:rPr>
          <w:color w:val="231F20"/>
          <w:spacing w:val="-22"/>
          <w:w w:val="105"/>
        </w:rPr>
        <w:t> </w:t>
      </w:r>
      <w:r>
        <w:rPr>
          <w:color w:val="231F20"/>
          <w:w w:val="105"/>
        </w:rPr>
        <w:t>la</w:t>
      </w:r>
      <w:r>
        <w:rPr>
          <w:color w:val="231F20"/>
          <w:spacing w:val="-22"/>
          <w:w w:val="105"/>
        </w:rPr>
        <w:t> </w:t>
      </w:r>
      <w:r>
        <w:rPr>
          <w:color w:val="231F20"/>
          <w:w w:val="105"/>
        </w:rPr>
        <w:t>acción</w:t>
      </w:r>
      <w:r>
        <w:rPr>
          <w:color w:val="231F20"/>
          <w:spacing w:val="-22"/>
          <w:w w:val="105"/>
        </w:rPr>
        <w:t> </w:t>
      </w:r>
      <w:r>
        <w:rPr>
          <w:color w:val="231F20"/>
          <w:w w:val="105"/>
        </w:rPr>
        <w:t>del</w:t>
      </w:r>
      <w:r>
        <w:rPr>
          <w:color w:val="231F20"/>
          <w:spacing w:val="-22"/>
          <w:w w:val="105"/>
        </w:rPr>
        <w:t> </w:t>
      </w:r>
      <w:r>
        <w:rPr>
          <w:color w:val="231F20"/>
          <w:w w:val="105"/>
        </w:rPr>
        <w:t>Estado,</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momento en</w:t>
      </w:r>
      <w:r>
        <w:rPr>
          <w:color w:val="231F20"/>
          <w:spacing w:val="-17"/>
          <w:w w:val="105"/>
        </w:rPr>
        <w:t> </w:t>
      </w:r>
      <w:r>
        <w:rPr>
          <w:color w:val="231F20"/>
          <w:w w:val="105"/>
        </w:rPr>
        <w:t>que</w:t>
      </w:r>
      <w:r>
        <w:rPr>
          <w:color w:val="231F20"/>
          <w:spacing w:val="-17"/>
          <w:w w:val="105"/>
        </w:rPr>
        <w:t> </w:t>
      </w:r>
      <w:r>
        <w:rPr>
          <w:color w:val="231F20"/>
          <w:w w:val="105"/>
        </w:rPr>
        <w:t>la</w:t>
      </w:r>
      <w:r>
        <w:rPr>
          <w:color w:val="231F20"/>
          <w:spacing w:val="-17"/>
          <w:w w:val="105"/>
        </w:rPr>
        <w:t> </w:t>
      </w:r>
      <w:r>
        <w:rPr>
          <w:color w:val="231F20"/>
          <w:w w:val="105"/>
        </w:rPr>
        <w:t>fragmentación</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tipos</w:t>
      </w:r>
      <w:r>
        <w:rPr>
          <w:color w:val="231F20"/>
          <w:spacing w:val="-17"/>
          <w:w w:val="105"/>
        </w:rPr>
        <w:t> </w:t>
      </w:r>
      <w:r>
        <w:rPr>
          <w:color w:val="231F20"/>
          <w:w w:val="105"/>
        </w:rPr>
        <w:t>de</w:t>
      </w:r>
      <w:r>
        <w:rPr>
          <w:color w:val="231F20"/>
          <w:spacing w:val="-17"/>
          <w:w w:val="105"/>
        </w:rPr>
        <w:t> </w:t>
      </w:r>
      <w:r>
        <w:rPr>
          <w:color w:val="231F20"/>
          <w:w w:val="105"/>
        </w:rPr>
        <w:t>acción</w:t>
      </w:r>
      <w:r>
        <w:rPr>
          <w:color w:val="231F20"/>
          <w:spacing w:val="-17"/>
          <w:w w:val="105"/>
        </w:rPr>
        <w:t> </w:t>
      </w:r>
      <w:r>
        <w:rPr>
          <w:color w:val="231F20"/>
          <w:w w:val="105"/>
        </w:rPr>
        <w:t>constitucional</w:t>
      </w:r>
      <w:r>
        <w:rPr>
          <w:color w:val="231F20"/>
          <w:spacing w:val="-17"/>
          <w:w w:val="105"/>
        </w:rPr>
        <w:t> </w:t>
      </w:r>
      <w:r>
        <w:rPr>
          <w:color w:val="231F20"/>
          <w:w w:val="105"/>
        </w:rPr>
        <w:t>burocrática terminan</w:t>
      </w:r>
      <w:r>
        <w:rPr>
          <w:color w:val="231F20"/>
          <w:spacing w:val="-9"/>
          <w:w w:val="105"/>
        </w:rPr>
        <w:t> </w:t>
      </w:r>
      <w:r>
        <w:rPr>
          <w:color w:val="231F20"/>
          <w:w w:val="105"/>
        </w:rPr>
        <w:t>por</w:t>
      </w:r>
      <w:r>
        <w:rPr>
          <w:color w:val="231F20"/>
          <w:spacing w:val="-8"/>
          <w:w w:val="105"/>
        </w:rPr>
        <w:t> </w:t>
      </w:r>
      <w:r>
        <w:rPr>
          <w:color w:val="231F20"/>
          <w:w w:val="105"/>
        </w:rPr>
        <w:t>corresponder</w:t>
      </w:r>
      <w:r>
        <w:rPr>
          <w:color w:val="231F20"/>
          <w:spacing w:val="-8"/>
          <w:w w:val="105"/>
        </w:rPr>
        <w:t> </w:t>
      </w:r>
      <w:r>
        <w:rPr>
          <w:color w:val="231F20"/>
          <w:w w:val="105"/>
        </w:rPr>
        <w:t>a</w:t>
      </w:r>
      <w:r>
        <w:rPr>
          <w:color w:val="231F20"/>
          <w:spacing w:val="-8"/>
          <w:w w:val="105"/>
        </w:rPr>
        <w:t> </w:t>
      </w:r>
      <w:r>
        <w:rPr>
          <w:color w:val="231F20"/>
          <w:w w:val="105"/>
        </w:rPr>
        <w:t>una</w:t>
      </w:r>
      <w:r>
        <w:rPr>
          <w:color w:val="231F20"/>
          <w:spacing w:val="-8"/>
          <w:w w:val="105"/>
        </w:rPr>
        <w:t> </w:t>
      </w:r>
      <w:r>
        <w:rPr>
          <w:color w:val="231F20"/>
          <w:w w:val="105"/>
        </w:rPr>
        <w:t>pluralidad</w:t>
      </w:r>
      <w:r>
        <w:rPr>
          <w:color w:val="231F20"/>
          <w:spacing w:val="-8"/>
          <w:w w:val="105"/>
        </w:rPr>
        <w:t> </w:t>
      </w:r>
      <w:r>
        <w:rPr>
          <w:color w:val="231F20"/>
          <w:w w:val="105"/>
        </w:rPr>
        <w:t>de</w:t>
      </w:r>
      <w:r>
        <w:rPr>
          <w:color w:val="231F20"/>
          <w:spacing w:val="-8"/>
          <w:w w:val="105"/>
        </w:rPr>
        <w:t> </w:t>
      </w:r>
      <w:r>
        <w:rPr>
          <w:color w:val="231F20"/>
          <w:w w:val="105"/>
        </w:rPr>
        <w:t>posiciones</w:t>
      </w:r>
      <w:r>
        <w:rPr>
          <w:color w:val="231F20"/>
          <w:spacing w:val="-8"/>
          <w:w w:val="105"/>
        </w:rPr>
        <w:t> </w:t>
      </w:r>
      <w:r>
        <w:rPr>
          <w:color w:val="231F20"/>
          <w:w w:val="105"/>
        </w:rPr>
        <w:t>ocupadas</w:t>
      </w:r>
      <w:r>
        <w:rPr>
          <w:color w:val="231F20"/>
          <w:spacing w:val="-8"/>
          <w:w w:val="105"/>
        </w:rPr>
        <w:t> </w:t>
      </w:r>
      <w:r>
        <w:rPr>
          <w:color w:val="231F20"/>
          <w:w w:val="105"/>
        </w:rPr>
        <w:t>por los</w:t>
      </w:r>
      <w:r>
        <w:rPr>
          <w:color w:val="231F20"/>
          <w:spacing w:val="-5"/>
          <w:w w:val="105"/>
        </w:rPr>
        <w:t> </w:t>
      </w:r>
      <w:r>
        <w:rPr>
          <w:color w:val="231F20"/>
          <w:w w:val="105"/>
        </w:rPr>
        <w:t>sujetos</w:t>
      </w:r>
      <w:r>
        <w:rPr>
          <w:color w:val="231F20"/>
          <w:spacing w:val="-5"/>
          <w:w w:val="105"/>
        </w:rPr>
        <w:t> </w:t>
      </w:r>
      <w:r>
        <w:rPr>
          <w:color w:val="231F20"/>
          <w:w w:val="105"/>
        </w:rPr>
        <w:t>al</w:t>
      </w:r>
      <w:r>
        <w:rPr>
          <w:color w:val="231F20"/>
          <w:spacing w:val="-5"/>
          <w:w w:val="105"/>
        </w:rPr>
        <w:t> </w:t>
      </w:r>
      <w:r>
        <w:rPr>
          <w:color w:val="231F20"/>
          <w:w w:val="105"/>
        </w:rPr>
        <w:t>Estado.</w:t>
      </w:r>
      <w:r>
        <w:rPr>
          <w:color w:val="231F20"/>
          <w:spacing w:val="-5"/>
          <w:w w:val="105"/>
        </w:rPr>
        <w:t> </w:t>
      </w:r>
      <w:r>
        <w:rPr>
          <w:color w:val="231F20"/>
          <w:w w:val="105"/>
        </w:rPr>
        <w:t>Esto</w:t>
      </w:r>
      <w:r>
        <w:rPr>
          <w:color w:val="231F20"/>
          <w:spacing w:val="-5"/>
          <w:w w:val="105"/>
        </w:rPr>
        <w:t> </w:t>
      </w:r>
      <w:r>
        <w:rPr>
          <w:color w:val="231F20"/>
          <w:w w:val="105"/>
        </w:rPr>
        <w:t>evidentemente</w:t>
      </w:r>
      <w:r>
        <w:rPr>
          <w:color w:val="231F20"/>
          <w:spacing w:val="-5"/>
          <w:w w:val="105"/>
        </w:rPr>
        <w:t> </w:t>
      </w:r>
      <w:r>
        <w:rPr>
          <w:color w:val="231F20"/>
          <w:w w:val="105"/>
        </w:rPr>
        <w:t>no</w:t>
      </w:r>
      <w:r>
        <w:rPr>
          <w:color w:val="231F20"/>
          <w:spacing w:val="-5"/>
          <w:w w:val="105"/>
        </w:rPr>
        <w:t> </w:t>
      </w:r>
      <w:r>
        <w:rPr>
          <w:color w:val="231F20"/>
          <w:w w:val="105"/>
        </w:rPr>
        <w:t>significa</w:t>
      </w:r>
      <w:r>
        <w:rPr>
          <w:color w:val="231F20"/>
          <w:spacing w:val="-5"/>
          <w:w w:val="105"/>
        </w:rPr>
        <w:t> </w:t>
      </w:r>
      <w:r>
        <w:rPr>
          <w:color w:val="231F20"/>
          <w:w w:val="105"/>
        </w:rPr>
        <w:t>que</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historia del</w:t>
      </w:r>
      <w:r>
        <w:rPr>
          <w:color w:val="231F20"/>
          <w:spacing w:val="-24"/>
          <w:w w:val="105"/>
        </w:rPr>
        <w:t> </w:t>
      </w:r>
      <w:r>
        <w:rPr>
          <w:color w:val="231F20"/>
          <w:spacing w:val="-4"/>
          <w:w w:val="105"/>
        </w:rPr>
        <w:t>Estado</w:t>
      </w:r>
      <w:r>
        <w:rPr>
          <w:color w:val="231F20"/>
          <w:spacing w:val="-33"/>
          <w:w w:val="105"/>
        </w:rPr>
        <w:t> </w:t>
      </w:r>
      <w:r>
        <w:rPr>
          <w:color w:val="231F20"/>
          <w:spacing w:val="-3"/>
          <w:w w:val="105"/>
        </w:rPr>
        <w:t>en</w:t>
      </w:r>
      <w:r>
        <w:rPr>
          <w:color w:val="231F20"/>
          <w:spacing w:val="-33"/>
          <w:w w:val="105"/>
        </w:rPr>
        <w:t> </w:t>
      </w:r>
      <w:r>
        <w:rPr>
          <w:color w:val="231F20"/>
          <w:spacing w:val="-6"/>
          <w:w w:val="105"/>
        </w:rPr>
        <w:t>Occidente</w:t>
      </w:r>
      <w:r>
        <w:rPr>
          <w:color w:val="231F20"/>
          <w:spacing w:val="-33"/>
          <w:w w:val="105"/>
        </w:rPr>
        <w:t> </w:t>
      </w:r>
      <w:r>
        <w:rPr>
          <w:color w:val="231F20"/>
          <w:spacing w:val="-5"/>
          <w:w w:val="105"/>
        </w:rPr>
        <w:t>esta</w:t>
      </w:r>
      <w:r>
        <w:rPr>
          <w:color w:val="231F20"/>
          <w:spacing w:val="-33"/>
          <w:w w:val="105"/>
        </w:rPr>
        <w:t> </w:t>
      </w:r>
      <w:r>
        <w:rPr>
          <w:color w:val="231F20"/>
          <w:spacing w:val="-6"/>
          <w:w w:val="105"/>
        </w:rPr>
        <w:t>dimensión</w:t>
      </w:r>
      <w:r>
        <w:rPr>
          <w:color w:val="231F20"/>
          <w:spacing w:val="-33"/>
          <w:w w:val="105"/>
        </w:rPr>
        <w:t> </w:t>
      </w:r>
      <w:r>
        <w:rPr>
          <w:color w:val="231F20"/>
          <w:spacing w:val="-3"/>
          <w:w w:val="105"/>
        </w:rPr>
        <w:t>no</w:t>
      </w:r>
      <w:r>
        <w:rPr>
          <w:color w:val="231F20"/>
          <w:spacing w:val="-33"/>
          <w:w w:val="105"/>
        </w:rPr>
        <w:t> </w:t>
      </w:r>
      <w:r>
        <w:rPr>
          <w:color w:val="231F20"/>
          <w:spacing w:val="-5"/>
          <w:w w:val="105"/>
        </w:rPr>
        <w:t>haya</w:t>
      </w:r>
      <w:r>
        <w:rPr>
          <w:color w:val="231F20"/>
          <w:spacing w:val="-33"/>
          <w:w w:val="105"/>
        </w:rPr>
        <w:t> </w:t>
      </w:r>
      <w:r>
        <w:rPr>
          <w:color w:val="231F20"/>
          <w:spacing w:val="-6"/>
          <w:w w:val="105"/>
        </w:rPr>
        <w:t>existido.</w:t>
      </w:r>
      <w:r>
        <w:rPr>
          <w:color w:val="231F20"/>
          <w:spacing w:val="-33"/>
          <w:w w:val="105"/>
        </w:rPr>
        <w:t> </w:t>
      </w:r>
      <w:r>
        <w:rPr>
          <w:color w:val="231F20"/>
          <w:spacing w:val="-9"/>
          <w:w w:val="105"/>
        </w:rPr>
        <w:t>También</w:t>
      </w:r>
      <w:r>
        <w:rPr>
          <w:color w:val="231F20"/>
          <w:spacing w:val="-33"/>
          <w:w w:val="105"/>
        </w:rPr>
        <w:t> </w:t>
      </w:r>
      <w:r>
        <w:rPr>
          <w:color w:val="231F20"/>
          <w:spacing w:val="-3"/>
          <w:w w:val="105"/>
        </w:rPr>
        <w:t>el</w:t>
      </w:r>
      <w:r>
        <w:rPr>
          <w:color w:val="231F20"/>
          <w:spacing w:val="-33"/>
          <w:w w:val="105"/>
        </w:rPr>
        <w:t> </w:t>
      </w:r>
      <w:r>
        <w:rPr>
          <w:color w:val="231F20"/>
          <w:spacing w:val="-5"/>
          <w:w w:val="105"/>
        </w:rPr>
        <w:t>caso</w:t>
      </w:r>
      <w:r>
        <w:rPr>
          <w:color w:val="231F20"/>
          <w:spacing w:val="-33"/>
          <w:w w:val="105"/>
        </w:rPr>
        <w:t> </w:t>
      </w:r>
      <w:r>
        <w:rPr>
          <w:color w:val="231F20"/>
          <w:spacing w:val="-6"/>
          <w:w w:val="105"/>
        </w:rPr>
        <w:t>del </w:t>
      </w:r>
      <w:r>
        <w:rPr>
          <w:color w:val="231F20"/>
          <w:w w:val="105"/>
        </w:rPr>
        <w:t>Estado</w:t>
      </w:r>
      <w:r>
        <w:rPr>
          <w:color w:val="231F20"/>
          <w:spacing w:val="-40"/>
          <w:w w:val="105"/>
        </w:rPr>
        <w:t> </w:t>
      </w:r>
      <w:r>
        <w:rPr>
          <w:color w:val="231F20"/>
          <w:w w:val="105"/>
        </w:rPr>
        <w:t>británico</w:t>
      </w:r>
      <w:r>
        <w:rPr>
          <w:color w:val="231F20"/>
          <w:spacing w:val="-40"/>
          <w:w w:val="105"/>
        </w:rPr>
        <w:t> </w:t>
      </w:r>
      <w:r>
        <w:rPr>
          <w:color w:val="231F20"/>
          <w:w w:val="105"/>
        </w:rPr>
        <w:t>ha</w:t>
      </w:r>
      <w:r>
        <w:rPr>
          <w:color w:val="231F20"/>
          <w:spacing w:val="-40"/>
          <w:w w:val="105"/>
        </w:rPr>
        <w:t> </w:t>
      </w:r>
      <w:r>
        <w:rPr>
          <w:color w:val="231F20"/>
          <w:w w:val="105"/>
        </w:rPr>
        <w:t>sido</w:t>
      </w:r>
      <w:r>
        <w:rPr>
          <w:color w:val="231F20"/>
          <w:spacing w:val="-40"/>
          <w:w w:val="105"/>
        </w:rPr>
        <w:t> </w:t>
      </w:r>
      <w:r>
        <w:rPr>
          <w:color w:val="231F20"/>
          <w:w w:val="105"/>
        </w:rPr>
        <w:t>reconstruido</w:t>
      </w:r>
      <w:r>
        <w:rPr>
          <w:color w:val="231F20"/>
          <w:spacing w:val="-40"/>
          <w:w w:val="105"/>
        </w:rPr>
        <w:t> </w:t>
      </w:r>
      <w:r>
        <w:rPr>
          <w:color w:val="231F20"/>
          <w:w w:val="105"/>
        </w:rPr>
        <w:t>como</w:t>
      </w:r>
      <w:r>
        <w:rPr>
          <w:color w:val="231F20"/>
          <w:spacing w:val="-40"/>
          <w:w w:val="105"/>
        </w:rPr>
        <w:t> </w:t>
      </w:r>
      <w:r>
        <w:rPr>
          <w:color w:val="231F20"/>
          <w:w w:val="105"/>
        </w:rPr>
        <w:t>triunfo</w:t>
      </w:r>
      <w:r>
        <w:rPr>
          <w:color w:val="231F20"/>
          <w:spacing w:val="-40"/>
          <w:w w:val="105"/>
        </w:rPr>
        <w:t> </w:t>
      </w:r>
      <w:r>
        <w:rPr>
          <w:color w:val="231F20"/>
          <w:w w:val="105"/>
        </w:rPr>
        <w:t>de</w:t>
      </w:r>
      <w:r>
        <w:rPr>
          <w:color w:val="231F20"/>
          <w:spacing w:val="-40"/>
          <w:w w:val="105"/>
        </w:rPr>
        <w:t> </w:t>
      </w:r>
      <w:r>
        <w:rPr>
          <w:color w:val="231F20"/>
          <w:w w:val="105"/>
        </w:rPr>
        <w:t>un</w:t>
      </w:r>
      <w:r>
        <w:rPr>
          <w:color w:val="231F20"/>
          <w:spacing w:val="-40"/>
          <w:w w:val="105"/>
        </w:rPr>
        <w:t> </w:t>
      </w:r>
      <w:r>
        <w:rPr>
          <w:color w:val="231F20"/>
          <w:w w:val="105"/>
        </w:rPr>
        <w:t>producto</w:t>
      </w:r>
      <w:r>
        <w:rPr>
          <w:color w:val="231F20"/>
          <w:spacing w:val="-40"/>
          <w:w w:val="105"/>
        </w:rPr>
        <w:t> </w:t>
      </w:r>
      <w:r>
        <w:rPr>
          <w:color w:val="231F20"/>
          <w:w w:val="105"/>
        </w:rPr>
        <w:t>cultural, más que como avance irresistible a la monopolización de la fuerza o</w:t>
      </w:r>
      <w:r>
        <w:rPr>
          <w:color w:val="231F20"/>
          <w:spacing w:val="-17"/>
          <w:w w:val="105"/>
        </w:rPr>
        <w:t> </w:t>
      </w:r>
      <w:r>
        <w:rPr>
          <w:color w:val="231F20"/>
          <w:w w:val="105"/>
        </w:rPr>
        <w:t>de la</w:t>
      </w:r>
      <w:r>
        <w:rPr>
          <w:color w:val="231F20"/>
          <w:spacing w:val="-19"/>
          <w:w w:val="105"/>
        </w:rPr>
        <w:t> </w:t>
      </w:r>
      <w:r>
        <w:rPr>
          <w:color w:val="231F20"/>
          <w:w w:val="105"/>
        </w:rPr>
        <w:t>fiscalidad.</w:t>
      </w:r>
      <w:r>
        <w:rPr>
          <w:color w:val="231F20"/>
          <w:spacing w:val="-19"/>
          <w:w w:val="105"/>
        </w:rPr>
        <w:t> </w:t>
      </w:r>
      <w:r>
        <w:rPr>
          <w:color w:val="231F20"/>
          <w:w w:val="105"/>
        </w:rPr>
        <w:t>En</w:t>
      </w:r>
      <w:r>
        <w:rPr>
          <w:color w:val="231F20"/>
          <w:spacing w:val="-19"/>
          <w:w w:val="105"/>
        </w:rPr>
        <w:t> </w:t>
      </w:r>
      <w:r>
        <w:rPr>
          <w:color w:val="231F20"/>
          <w:w w:val="105"/>
        </w:rPr>
        <w:t>otros</w:t>
      </w:r>
      <w:r>
        <w:rPr>
          <w:color w:val="231F20"/>
          <w:spacing w:val="-19"/>
          <w:w w:val="105"/>
        </w:rPr>
        <w:t> </w:t>
      </w:r>
      <w:r>
        <w:rPr>
          <w:color w:val="231F20"/>
          <w:w w:val="105"/>
        </w:rPr>
        <w:t>términos,</w:t>
      </w:r>
      <w:r>
        <w:rPr>
          <w:color w:val="231F20"/>
          <w:spacing w:val="-19"/>
          <w:w w:val="105"/>
        </w:rPr>
        <w:t> </w:t>
      </w:r>
      <w:r>
        <w:rPr>
          <w:color w:val="231F20"/>
          <w:w w:val="105"/>
        </w:rPr>
        <w:t>la</w:t>
      </w:r>
      <w:r>
        <w:rPr>
          <w:color w:val="231F20"/>
          <w:spacing w:val="-19"/>
          <w:w w:val="105"/>
        </w:rPr>
        <w:t> </w:t>
      </w:r>
      <w:r>
        <w:rPr>
          <w:color w:val="231F20"/>
          <w:w w:val="105"/>
        </w:rPr>
        <w:t>Gran</w:t>
      </w:r>
      <w:r>
        <w:rPr>
          <w:color w:val="231F20"/>
          <w:spacing w:val="-19"/>
          <w:w w:val="105"/>
        </w:rPr>
        <w:t> </w:t>
      </w:r>
      <w:r>
        <w:rPr>
          <w:color w:val="231F20"/>
          <w:w w:val="105"/>
        </w:rPr>
        <w:t>Bretaña</w:t>
      </w:r>
      <w:r>
        <w:rPr>
          <w:color w:val="231F20"/>
          <w:spacing w:val="-19"/>
          <w:w w:val="105"/>
        </w:rPr>
        <w:t> </w:t>
      </w:r>
      <w:r>
        <w:rPr>
          <w:color w:val="231F20"/>
          <w:w w:val="105"/>
        </w:rPr>
        <w:t>aparece</w:t>
      </w:r>
      <w:r>
        <w:rPr>
          <w:color w:val="231F20"/>
          <w:spacing w:val="-19"/>
          <w:w w:val="105"/>
        </w:rPr>
        <w:t> </w:t>
      </w:r>
      <w:r>
        <w:rPr>
          <w:color w:val="231F20"/>
          <w:w w:val="105"/>
        </w:rPr>
        <w:t>como</w:t>
      </w:r>
      <w:r>
        <w:rPr>
          <w:color w:val="231F20"/>
          <w:spacing w:val="-19"/>
          <w:w w:val="105"/>
        </w:rPr>
        <w:t> </w:t>
      </w:r>
      <w:r>
        <w:rPr>
          <w:color w:val="231F20"/>
          <w:w w:val="105"/>
        </w:rPr>
        <w:t>un</w:t>
      </w:r>
      <w:r>
        <w:rPr>
          <w:color w:val="231F20"/>
          <w:spacing w:val="-19"/>
          <w:w w:val="105"/>
        </w:rPr>
        <w:t> </w:t>
      </w:r>
      <w:r>
        <w:rPr>
          <w:color w:val="231F20"/>
          <w:w w:val="105"/>
        </w:rPr>
        <w:t>Estado basado</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arcaísmo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constitución</w:t>
      </w:r>
      <w:r>
        <w:rPr>
          <w:color w:val="231F20"/>
          <w:spacing w:val="-18"/>
          <w:w w:val="105"/>
        </w:rPr>
        <w:t> </w:t>
      </w:r>
      <w:r>
        <w:rPr>
          <w:color w:val="231F20"/>
          <w:w w:val="105"/>
        </w:rPr>
        <w:t>social</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anacronismo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spacing w:val="-4"/>
          <w:w w:val="105"/>
        </w:rPr>
        <w:t>or-</w:t>
      </w:r>
    </w:p>
    <w:p>
      <w:pPr>
        <w:spacing w:line="204" w:lineRule="exact" w:before="363"/>
        <w:ind w:left="117" w:right="101" w:firstLine="0"/>
        <w:jc w:val="both"/>
        <w:rPr>
          <w:rFonts w:ascii="Calibri" w:hAnsi="Calibri"/>
          <w:sz w:val="17"/>
        </w:rPr>
      </w:pPr>
      <w:r>
        <w:rPr/>
        <w:pict>
          <v:line style="position:absolute;mso-position-horizontal-relative:page;mso-position-vertical-relative:paragraph;z-index:3592" from="70.866096pt,16.110004pt" to="184.252096pt,16.110004pt" stroked="true" strokeweight=".3pt" strokecolor="#231f20">
            <w10:wrap type="none"/>
          </v:line>
        </w:pict>
      </w:r>
      <w:r>
        <w:rPr>
          <w:rFonts w:ascii="Calibri" w:hAnsi="Calibri"/>
          <w:color w:val="231F20"/>
          <w:position w:val="6"/>
          <w:sz w:val="10"/>
        </w:rPr>
        <w:t>63 </w:t>
      </w:r>
      <w:r>
        <w:rPr>
          <w:rFonts w:ascii="Calibri" w:hAnsi="Calibri"/>
          <w:color w:val="231F20"/>
          <w:sz w:val="17"/>
        </w:rPr>
        <w:t>G. Teubner, </w:t>
      </w:r>
      <w:r>
        <w:rPr>
          <w:rFonts w:ascii="Calibri" w:hAnsi="Calibri"/>
          <w:i/>
          <w:color w:val="231F20"/>
          <w:sz w:val="17"/>
        </w:rPr>
        <w:t>Verfassungsfragmente. Gesellschaftlicher Konstitutionalismus in der Globalisierung</w:t>
      </w:r>
      <w:r>
        <w:rPr>
          <w:rFonts w:ascii="Calibri" w:hAnsi="Calibri"/>
          <w:color w:val="231F20"/>
          <w:sz w:val="17"/>
        </w:rPr>
        <w:t>, Frankfurt am Main, Suhrkamp, 2012; D. Grimm, </w:t>
      </w:r>
      <w:r>
        <w:rPr>
          <w:rFonts w:ascii="Calibri" w:hAnsi="Calibri"/>
          <w:i/>
          <w:color w:val="231F20"/>
          <w:sz w:val="17"/>
        </w:rPr>
        <w:t>Die Zukunft der Verfassung </w:t>
      </w:r>
      <w:r>
        <w:rPr>
          <w:rFonts w:ascii="Calibri" w:hAnsi="Calibri"/>
          <w:i/>
          <w:color w:val="231F20"/>
          <w:sz w:val="15"/>
        </w:rPr>
        <w:t>II</w:t>
      </w:r>
      <w:r>
        <w:rPr>
          <w:rFonts w:ascii="Calibri" w:hAnsi="Calibri"/>
          <w:i/>
          <w:color w:val="231F20"/>
          <w:sz w:val="17"/>
        </w:rPr>
        <w:t>. Auswirkungen von </w:t>
      </w:r>
      <w:r>
        <w:rPr>
          <w:rFonts w:ascii="Calibri" w:hAnsi="Calibri"/>
          <w:i/>
          <w:color w:val="231F20"/>
          <w:sz w:val="17"/>
        </w:rPr>
        <w:t>Europäisierung und Globalisierung</w:t>
      </w:r>
      <w:r>
        <w:rPr>
          <w:rFonts w:ascii="Calibri" w:hAnsi="Calibri"/>
          <w:color w:val="231F20"/>
          <w:sz w:val="17"/>
        </w:rPr>
        <w:t>, Frankfurt am Main 2012, in particolare pp. 203–204.; A. Peters, “The Merits of Global Constitutionalism”, </w:t>
      </w:r>
      <w:r>
        <w:rPr>
          <w:rFonts w:ascii="Calibri" w:hAnsi="Calibri"/>
          <w:i/>
          <w:color w:val="231F20"/>
          <w:sz w:val="17"/>
        </w:rPr>
        <w:t>Indiana Journal of Global Legal Studies</w:t>
      </w:r>
      <w:r>
        <w:rPr>
          <w:rFonts w:ascii="Calibri" w:hAnsi="Calibri"/>
          <w:color w:val="231F20"/>
          <w:sz w:val="17"/>
        </w:rPr>
        <w:t>, 16 ,2, 2009, pp. 397–411.</w:t>
      </w:r>
    </w:p>
    <w:p>
      <w:pPr>
        <w:spacing w:line="204" w:lineRule="exact" w:before="0"/>
        <w:ind w:left="117" w:right="101" w:firstLine="0"/>
        <w:jc w:val="both"/>
        <w:rPr>
          <w:rFonts w:ascii="Calibri" w:hAnsi="Calibri"/>
          <w:sz w:val="17"/>
        </w:rPr>
      </w:pPr>
      <w:r>
        <w:rPr>
          <w:rFonts w:ascii="Calibri" w:hAnsi="Calibri"/>
          <w:color w:val="231F20"/>
          <w:w w:val="105"/>
          <w:position w:val="6"/>
          <w:sz w:val="10"/>
        </w:rPr>
        <w:t>64</w:t>
      </w:r>
      <w:r>
        <w:rPr>
          <w:rFonts w:ascii="Calibri" w:hAnsi="Calibri"/>
          <w:color w:val="231F20"/>
          <w:spacing w:val="4"/>
          <w:w w:val="105"/>
          <w:position w:val="6"/>
          <w:sz w:val="10"/>
        </w:rPr>
        <w:t> </w:t>
      </w:r>
      <w:r>
        <w:rPr>
          <w:rFonts w:ascii="Calibri" w:hAnsi="Calibri"/>
          <w:color w:val="231F20"/>
          <w:w w:val="105"/>
          <w:sz w:val="17"/>
        </w:rPr>
        <w:t>Samaddar,</w:t>
      </w:r>
      <w:r>
        <w:rPr>
          <w:rFonts w:ascii="Calibri" w:hAnsi="Calibri"/>
          <w:color w:val="231F20"/>
          <w:spacing w:val="-15"/>
          <w:w w:val="105"/>
          <w:sz w:val="17"/>
        </w:rPr>
        <w:t> </w:t>
      </w:r>
      <w:r>
        <w:rPr>
          <w:rFonts w:ascii="Calibri" w:hAnsi="Calibri"/>
          <w:color w:val="231F20"/>
          <w:w w:val="105"/>
          <w:sz w:val="17"/>
        </w:rPr>
        <w:t>The</w:t>
      </w:r>
      <w:r>
        <w:rPr>
          <w:rFonts w:ascii="Calibri" w:hAnsi="Calibri"/>
          <w:color w:val="231F20"/>
          <w:spacing w:val="-13"/>
          <w:w w:val="105"/>
          <w:sz w:val="17"/>
        </w:rPr>
        <w:t> </w:t>
      </w:r>
      <w:r>
        <w:rPr>
          <w:rFonts w:ascii="Calibri" w:hAnsi="Calibri"/>
          <w:color w:val="231F20"/>
          <w:w w:val="105"/>
          <w:sz w:val="17"/>
        </w:rPr>
        <w:t>Materiality</w:t>
      </w:r>
      <w:r>
        <w:rPr>
          <w:rFonts w:ascii="Calibri" w:hAnsi="Calibri"/>
          <w:color w:val="231F20"/>
          <w:spacing w:val="-13"/>
          <w:w w:val="105"/>
          <w:sz w:val="17"/>
        </w:rPr>
        <w:t> </w:t>
      </w:r>
      <w:r>
        <w:rPr>
          <w:rFonts w:ascii="Calibri" w:hAnsi="Calibri"/>
          <w:color w:val="231F20"/>
          <w:w w:val="105"/>
          <w:sz w:val="17"/>
        </w:rPr>
        <w:t>of</w:t>
      </w:r>
      <w:r>
        <w:rPr>
          <w:rFonts w:ascii="Calibri" w:hAnsi="Calibri"/>
          <w:color w:val="231F20"/>
          <w:spacing w:val="-13"/>
          <w:w w:val="105"/>
          <w:sz w:val="17"/>
        </w:rPr>
        <w:t> </w:t>
      </w:r>
      <w:r>
        <w:rPr>
          <w:rFonts w:ascii="Calibri" w:hAnsi="Calibri"/>
          <w:color w:val="231F20"/>
          <w:w w:val="105"/>
          <w:sz w:val="17"/>
        </w:rPr>
        <w:t>Politics.</w:t>
      </w:r>
      <w:r>
        <w:rPr>
          <w:rFonts w:ascii="Calibri" w:hAnsi="Calibri"/>
          <w:color w:val="231F20"/>
          <w:spacing w:val="-15"/>
          <w:w w:val="105"/>
          <w:sz w:val="17"/>
        </w:rPr>
        <w:t> </w:t>
      </w:r>
      <w:r>
        <w:rPr>
          <w:rFonts w:ascii="Calibri" w:hAnsi="Calibri"/>
          <w:color w:val="231F20"/>
          <w:w w:val="105"/>
          <w:sz w:val="17"/>
        </w:rPr>
        <w:t>The</w:t>
      </w:r>
      <w:r>
        <w:rPr>
          <w:rFonts w:ascii="Calibri" w:hAnsi="Calibri"/>
          <w:color w:val="231F20"/>
          <w:spacing w:val="-15"/>
          <w:w w:val="105"/>
          <w:sz w:val="17"/>
        </w:rPr>
        <w:t> </w:t>
      </w:r>
      <w:r>
        <w:rPr>
          <w:rFonts w:ascii="Calibri" w:hAnsi="Calibri"/>
          <w:color w:val="231F20"/>
          <w:w w:val="105"/>
          <w:sz w:val="17"/>
        </w:rPr>
        <w:t>Technologies</w:t>
      </w:r>
      <w:r>
        <w:rPr>
          <w:rFonts w:ascii="Calibri" w:hAnsi="Calibri"/>
          <w:color w:val="231F20"/>
          <w:spacing w:val="-13"/>
          <w:w w:val="105"/>
          <w:sz w:val="17"/>
        </w:rPr>
        <w:t> </w:t>
      </w:r>
      <w:r>
        <w:rPr>
          <w:rFonts w:ascii="Calibri" w:hAnsi="Calibri"/>
          <w:color w:val="231F20"/>
          <w:w w:val="105"/>
          <w:sz w:val="17"/>
        </w:rPr>
        <w:t>of</w:t>
      </w:r>
      <w:r>
        <w:rPr>
          <w:rFonts w:ascii="Calibri" w:hAnsi="Calibri"/>
          <w:color w:val="231F20"/>
          <w:spacing w:val="-13"/>
          <w:w w:val="105"/>
          <w:sz w:val="17"/>
        </w:rPr>
        <w:t> </w:t>
      </w:r>
      <w:r>
        <w:rPr>
          <w:rFonts w:ascii="Calibri" w:hAnsi="Calibri"/>
          <w:color w:val="231F20"/>
          <w:w w:val="105"/>
          <w:sz w:val="17"/>
        </w:rPr>
        <w:t>Rule,</w:t>
      </w:r>
      <w:r>
        <w:rPr>
          <w:rFonts w:ascii="Calibri" w:hAnsi="Calibri"/>
          <w:color w:val="231F20"/>
          <w:spacing w:val="-13"/>
          <w:w w:val="105"/>
          <w:sz w:val="17"/>
        </w:rPr>
        <w:t> </w:t>
      </w:r>
      <w:r>
        <w:rPr>
          <w:rFonts w:ascii="Calibri" w:hAnsi="Calibri"/>
          <w:color w:val="231F20"/>
          <w:w w:val="105"/>
          <w:sz w:val="17"/>
        </w:rPr>
        <w:t>p.</w:t>
      </w:r>
      <w:r>
        <w:rPr>
          <w:rFonts w:ascii="Calibri" w:hAnsi="Calibri"/>
          <w:color w:val="231F20"/>
          <w:spacing w:val="-13"/>
          <w:w w:val="105"/>
          <w:sz w:val="17"/>
        </w:rPr>
        <w:t> </w:t>
      </w:r>
      <w:r>
        <w:rPr>
          <w:rFonts w:ascii="Calibri" w:hAnsi="Calibri"/>
          <w:color w:val="231F20"/>
          <w:w w:val="105"/>
          <w:sz w:val="17"/>
        </w:rPr>
        <w:t>25.</w:t>
      </w:r>
      <w:r>
        <w:rPr>
          <w:rFonts w:ascii="Calibri" w:hAnsi="Calibri"/>
          <w:color w:val="231F20"/>
          <w:spacing w:val="-13"/>
          <w:w w:val="105"/>
          <w:sz w:val="17"/>
        </w:rPr>
        <w:t> </w:t>
      </w:r>
      <w:r>
        <w:rPr>
          <w:rFonts w:ascii="Calibri" w:hAnsi="Calibri"/>
          <w:color w:val="231F20"/>
          <w:w w:val="105"/>
          <w:sz w:val="17"/>
        </w:rPr>
        <w:t>Pero</w:t>
      </w:r>
      <w:r>
        <w:rPr>
          <w:rFonts w:ascii="Calibri" w:hAnsi="Calibri"/>
          <w:color w:val="231F20"/>
          <w:spacing w:val="-13"/>
          <w:w w:val="105"/>
          <w:sz w:val="17"/>
        </w:rPr>
        <w:t> </w:t>
      </w:r>
      <w:r>
        <w:rPr>
          <w:rFonts w:ascii="Calibri" w:hAnsi="Calibri"/>
          <w:color w:val="231F20"/>
          <w:w w:val="105"/>
          <w:sz w:val="17"/>
        </w:rPr>
        <w:t>consultar</w:t>
      </w:r>
      <w:r>
        <w:rPr>
          <w:rFonts w:ascii="Calibri" w:hAnsi="Calibri"/>
          <w:color w:val="231F20"/>
          <w:spacing w:val="-13"/>
          <w:w w:val="105"/>
          <w:sz w:val="17"/>
        </w:rPr>
        <w:t> </w:t>
      </w:r>
      <w:r>
        <w:rPr>
          <w:rFonts w:ascii="Calibri" w:hAnsi="Calibri"/>
          <w:color w:val="231F20"/>
          <w:w w:val="105"/>
          <w:sz w:val="17"/>
        </w:rPr>
        <w:t>también</w:t>
      </w:r>
      <w:r>
        <w:rPr>
          <w:rFonts w:ascii="Calibri" w:hAnsi="Calibri"/>
          <w:color w:val="231F20"/>
          <w:spacing w:val="-13"/>
          <w:w w:val="105"/>
          <w:sz w:val="17"/>
        </w:rPr>
        <w:t> </w:t>
      </w:r>
      <w:r>
        <w:rPr>
          <w:rFonts w:ascii="Calibri" w:hAnsi="Calibri"/>
          <w:color w:val="231F20"/>
          <w:spacing w:val="-10"/>
          <w:w w:val="105"/>
          <w:sz w:val="17"/>
        </w:rPr>
        <w:t>P. </w:t>
      </w:r>
      <w:r>
        <w:rPr>
          <w:rFonts w:ascii="Calibri" w:hAnsi="Calibri"/>
          <w:color w:val="231F20"/>
          <w:w w:val="105"/>
          <w:sz w:val="17"/>
        </w:rPr>
        <w:t>Rudan,</w:t>
      </w:r>
      <w:r>
        <w:rPr>
          <w:rFonts w:ascii="Calibri" w:hAnsi="Calibri"/>
          <w:color w:val="231F20"/>
          <w:spacing w:val="-9"/>
          <w:w w:val="105"/>
          <w:sz w:val="17"/>
        </w:rPr>
        <w:t> </w:t>
      </w:r>
      <w:r>
        <w:rPr>
          <w:rFonts w:ascii="Calibri" w:hAnsi="Calibri"/>
          <w:color w:val="231F20"/>
          <w:w w:val="105"/>
          <w:sz w:val="17"/>
        </w:rPr>
        <w:t>“Constitution”</w:t>
      </w:r>
      <w:r>
        <w:rPr>
          <w:rFonts w:ascii="Calibri" w:hAnsi="Calibri"/>
          <w:color w:val="231F20"/>
          <w:spacing w:val="-9"/>
          <w:w w:val="105"/>
          <w:sz w:val="17"/>
        </w:rPr>
        <w:t> </w:t>
      </w:r>
      <w:r>
        <w:rPr>
          <w:rFonts w:ascii="Calibri" w:hAnsi="Calibri"/>
          <w:color w:val="231F20"/>
          <w:w w:val="105"/>
          <w:sz w:val="17"/>
        </w:rPr>
        <w:t>in</w:t>
      </w:r>
      <w:r>
        <w:rPr>
          <w:rFonts w:ascii="Calibri" w:hAnsi="Calibri"/>
          <w:color w:val="231F20"/>
          <w:spacing w:val="-12"/>
          <w:w w:val="105"/>
          <w:sz w:val="17"/>
        </w:rPr>
        <w:t> </w:t>
      </w:r>
      <w:r>
        <w:rPr>
          <w:rFonts w:ascii="Calibri" w:hAnsi="Calibri"/>
          <w:color w:val="231F20"/>
          <w:w w:val="105"/>
          <w:sz w:val="17"/>
        </w:rPr>
        <w:t>The</w:t>
      </w:r>
      <w:r>
        <w:rPr>
          <w:rFonts w:ascii="Calibri" w:hAnsi="Calibri"/>
          <w:color w:val="231F20"/>
          <w:spacing w:val="-9"/>
          <w:w w:val="105"/>
          <w:sz w:val="17"/>
        </w:rPr>
        <w:t> </w:t>
      </w:r>
      <w:r>
        <w:rPr>
          <w:rFonts w:ascii="Calibri" w:hAnsi="Calibri"/>
          <w:color w:val="231F20"/>
          <w:w w:val="105"/>
          <w:sz w:val="17"/>
        </w:rPr>
        <w:t>Encyclopedia</w:t>
      </w:r>
      <w:r>
        <w:rPr>
          <w:rFonts w:ascii="Calibri" w:hAnsi="Calibri"/>
          <w:color w:val="231F20"/>
          <w:spacing w:val="-9"/>
          <w:w w:val="105"/>
          <w:sz w:val="17"/>
        </w:rPr>
        <w:t> </w:t>
      </w:r>
      <w:r>
        <w:rPr>
          <w:rFonts w:ascii="Calibri" w:hAnsi="Calibri"/>
          <w:color w:val="231F20"/>
          <w:w w:val="105"/>
          <w:sz w:val="17"/>
        </w:rPr>
        <w:t>of</w:t>
      </w:r>
      <w:r>
        <w:rPr>
          <w:rFonts w:ascii="Calibri" w:hAnsi="Calibri"/>
          <w:color w:val="231F20"/>
          <w:spacing w:val="-9"/>
          <w:w w:val="105"/>
          <w:sz w:val="17"/>
        </w:rPr>
        <w:t> </w:t>
      </w:r>
      <w:r>
        <w:rPr>
          <w:rFonts w:ascii="Calibri" w:hAnsi="Calibri"/>
          <w:color w:val="231F20"/>
          <w:w w:val="105"/>
          <w:sz w:val="17"/>
        </w:rPr>
        <w:t>Postcolonial</w:t>
      </w:r>
      <w:r>
        <w:rPr>
          <w:rFonts w:ascii="Calibri" w:hAnsi="Calibri"/>
          <w:color w:val="231F20"/>
          <w:spacing w:val="-9"/>
          <w:w w:val="105"/>
          <w:sz w:val="17"/>
        </w:rPr>
        <w:t> </w:t>
      </w:r>
      <w:r>
        <w:rPr>
          <w:rFonts w:ascii="Calibri" w:hAnsi="Calibri"/>
          <w:color w:val="231F20"/>
          <w:w w:val="105"/>
          <w:sz w:val="17"/>
        </w:rPr>
        <w:t>Studies,</w:t>
      </w:r>
      <w:r>
        <w:rPr>
          <w:rFonts w:ascii="Calibri" w:hAnsi="Calibri"/>
          <w:color w:val="231F20"/>
          <w:spacing w:val="-9"/>
          <w:w w:val="105"/>
          <w:sz w:val="17"/>
        </w:rPr>
        <w:t> </w:t>
      </w:r>
      <w:r>
        <w:rPr>
          <w:rFonts w:ascii="Calibri" w:hAnsi="Calibri"/>
          <w:color w:val="231F20"/>
          <w:w w:val="105"/>
          <w:sz w:val="17"/>
        </w:rPr>
        <w:t>de</w:t>
      </w:r>
      <w:r>
        <w:rPr>
          <w:rFonts w:ascii="Calibri" w:hAnsi="Calibri"/>
          <w:color w:val="231F20"/>
          <w:spacing w:val="-9"/>
          <w:w w:val="105"/>
          <w:sz w:val="17"/>
        </w:rPr>
        <w:t> </w:t>
      </w:r>
      <w:r>
        <w:rPr>
          <w:rFonts w:ascii="Calibri" w:hAnsi="Calibri"/>
          <w:color w:val="231F20"/>
          <w:w w:val="105"/>
          <w:sz w:val="17"/>
        </w:rPr>
        <w:t>próxima</w:t>
      </w:r>
      <w:r>
        <w:rPr>
          <w:rFonts w:ascii="Calibri" w:hAnsi="Calibri"/>
          <w:color w:val="231F20"/>
          <w:spacing w:val="-9"/>
          <w:w w:val="105"/>
          <w:sz w:val="17"/>
        </w:rPr>
        <w:t> </w:t>
      </w:r>
      <w:r>
        <w:rPr>
          <w:rFonts w:ascii="Calibri" w:hAnsi="Calibri"/>
          <w:color w:val="231F20"/>
          <w:w w:val="105"/>
          <w:sz w:val="17"/>
        </w:rPr>
        <w:t>publicación</w:t>
      </w:r>
      <w:r>
        <w:rPr>
          <w:rFonts w:ascii="Calibri" w:hAnsi="Calibri"/>
          <w:color w:val="231F20"/>
          <w:spacing w:val="-9"/>
          <w:w w:val="105"/>
          <w:sz w:val="17"/>
        </w:rPr>
        <w:t> </w:t>
      </w:r>
      <w:r>
        <w:rPr>
          <w:rFonts w:ascii="Calibri" w:hAnsi="Calibri"/>
          <w:color w:val="231F20"/>
          <w:w w:val="105"/>
          <w:sz w:val="17"/>
        </w:rPr>
        <w:t>(inicio </w:t>
      </w:r>
      <w:r>
        <w:rPr>
          <w:rFonts w:ascii="Calibri" w:hAnsi="Calibri"/>
          <w:color w:val="231F20"/>
          <w:sz w:val="17"/>
        </w:rPr>
        <w:t>2016) per</w:t>
      </w:r>
      <w:r>
        <w:rPr>
          <w:rFonts w:ascii="Calibri" w:hAnsi="Calibri"/>
          <w:color w:val="231F20"/>
          <w:spacing w:val="12"/>
          <w:sz w:val="17"/>
        </w:rPr>
        <w:t> </w:t>
      </w:r>
      <w:r>
        <w:rPr>
          <w:rFonts w:ascii="Calibri" w:hAnsi="Calibri"/>
          <w:color w:val="231F20"/>
          <w:sz w:val="17"/>
        </w:rPr>
        <w:t>Blackwell.</w:t>
      </w:r>
    </w:p>
    <w:p>
      <w:pPr>
        <w:spacing w:after="0" w:line="204" w:lineRule="exact"/>
        <w:jc w:val="both"/>
        <w:rPr>
          <w:rFonts w:ascii="Calibri" w:hAnsi="Calibri"/>
          <w:sz w:val="17"/>
        </w:rPr>
        <w:sectPr>
          <w:pgSz w:w="9640" w:h="13890"/>
          <w:pgMar w:top="0" w:bottom="280" w:left="1300" w:right="1200"/>
        </w:sectPr>
      </w:pPr>
    </w:p>
    <w:p>
      <w:pPr>
        <w:pStyle w:val="BodyText"/>
        <w:spacing w:line="247" w:lineRule="auto" w:before="107"/>
        <w:ind w:left="103" w:right="115"/>
        <w:jc w:val="both"/>
      </w:pPr>
      <w:r>
        <w:rPr>
          <w:color w:val="231F20"/>
          <w:w w:val="105"/>
        </w:rPr>
        <w:t>ganización política, que contradice la tesis clásica que hace del</w:t>
      </w:r>
      <w:r>
        <w:rPr>
          <w:color w:val="231F20"/>
          <w:spacing w:val="-14"/>
          <w:w w:val="105"/>
        </w:rPr>
        <w:t> </w:t>
      </w:r>
      <w:r>
        <w:rPr>
          <w:color w:val="231F20"/>
          <w:w w:val="105"/>
        </w:rPr>
        <w:t>proceso revolucionario</w:t>
      </w:r>
      <w:r>
        <w:rPr>
          <w:color w:val="231F20"/>
          <w:spacing w:val="-36"/>
          <w:w w:val="105"/>
        </w:rPr>
        <w:t> </w:t>
      </w:r>
      <w:r>
        <w:rPr>
          <w:color w:val="231F20"/>
          <w:w w:val="105"/>
        </w:rPr>
        <w:t>—con</w:t>
      </w:r>
      <w:r>
        <w:rPr>
          <w:color w:val="231F20"/>
          <w:spacing w:val="-36"/>
          <w:w w:val="105"/>
        </w:rPr>
        <w:t> </w:t>
      </w:r>
      <w:r>
        <w:rPr>
          <w:color w:val="231F20"/>
          <w:w w:val="105"/>
        </w:rPr>
        <w:t>frecuencia</w:t>
      </w:r>
      <w:r>
        <w:rPr>
          <w:color w:val="231F20"/>
          <w:spacing w:val="-36"/>
          <w:w w:val="105"/>
        </w:rPr>
        <w:t> </w:t>
      </w:r>
      <w:r>
        <w:rPr>
          <w:color w:val="231F20"/>
          <w:w w:val="105"/>
        </w:rPr>
        <w:t>recortado</w:t>
      </w:r>
      <w:r>
        <w:rPr>
          <w:color w:val="231F20"/>
          <w:spacing w:val="-36"/>
          <w:w w:val="105"/>
        </w:rPr>
        <w:t> </w:t>
      </w:r>
      <w:r>
        <w:rPr>
          <w:color w:val="231F20"/>
          <w:w w:val="105"/>
        </w:rPr>
        <w:t>sobre</w:t>
      </w:r>
      <w:r>
        <w:rPr>
          <w:color w:val="231F20"/>
          <w:spacing w:val="-36"/>
          <w:w w:val="105"/>
        </w:rPr>
        <w:t> </w:t>
      </w:r>
      <w:r>
        <w:rPr>
          <w:color w:val="231F20"/>
          <w:w w:val="105"/>
        </w:rPr>
        <w:t>el</w:t>
      </w:r>
      <w:r>
        <w:rPr>
          <w:color w:val="231F20"/>
          <w:spacing w:val="-36"/>
          <w:w w:val="105"/>
        </w:rPr>
        <w:t> </w:t>
      </w:r>
      <w:r>
        <w:rPr>
          <w:color w:val="231F20"/>
          <w:w w:val="105"/>
        </w:rPr>
        <w:t>modelo</w:t>
      </w:r>
      <w:r>
        <w:rPr>
          <w:color w:val="231F20"/>
          <w:spacing w:val="-36"/>
          <w:w w:val="105"/>
        </w:rPr>
        <w:t> </w:t>
      </w:r>
      <w:r>
        <w:rPr>
          <w:color w:val="231F20"/>
          <w:w w:val="105"/>
        </w:rPr>
        <w:t>francés—</w:t>
      </w:r>
      <w:r>
        <w:rPr>
          <w:color w:val="231F20"/>
          <w:spacing w:val="-36"/>
          <w:w w:val="105"/>
        </w:rPr>
        <w:t> </w:t>
      </w:r>
      <w:r>
        <w:rPr>
          <w:color w:val="231F20"/>
          <w:w w:val="105"/>
        </w:rPr>
        <w:t>el</w:t>
      </w:r>
      <w:r>
        <w:rPr>
          <w:color w:val="231F20"/>
          <w:spacing w:val="-36"/>
          <w:w w:val="105"/>
        </w:rPr>
        <w:t> </w:t>
      </w:r>
      <w:r>
        <w:rPr>
          <w:color w:val="231F20"/>
          <w:w w:val="105"/>
        </w:rPr>
        <w:t>su- puesto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modernización</w:t>
      </w:r>
      <w:r>
        <w:rPr>
          <w:color w:val="231F20"/>
          <w:spacing w:val="-14"/>
          <w:w w:val="105"/>
        </w:rPr>
        <w:t> </w:t>
      </w:r>
      <w:r>
        <w:rPr>
          <w:color w:val="231F20"/>
          <w:w w:val="105"/>
        </w:rPr>
        <w:t>capitalista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sociedad</w:t>
      </w:r>
      <w:r>
        <w:rPr>
          <w:color w:val="231F20"/>
          <w:spacing w:val="-14"/>
          <w:w w:val="105"/>
        </w:rPr>
        <w:t> </w:t>
      </w:r>
      <w:r>
        <w:rPr>
          <w:color w:val="231F20"/>
          <w:w w:val="105"/>
        </w:rPr>
        <w:t>y</w:t>
      </w:r>
      <w:r>
        <w:rPr>
          <w:color w:val="231F20"/>
          <w:spacing w:val="-14"/>
          <w:w w:val="105"/>
        </w:rPr>
        <w:t> </w:t>
      </w:r>
      <w:r>
        <w:rPr>
          <w:color w:val="231F20"/>
          <w:w w:val="105"/>
        </w:rPr>
        <w:t>por</w:t>
      </w:r>
      <w:r>
        <w:rPr>
          <w:color w:val="231F20"/>
          <w:spacing w:val="-14"/>
          <w:w w:val="105"/>
        </w:rPr>
        <w:t> </w:t>
      </w:r>
      <w:r>
        <w:rPr>
          <w:color w:val="231F20"/>
          <w:w w:val="105"/>
        </w:rPr>
        <w:t>lo</w:t>
      </w:r>
      <w:r>
        <w:rPr>
          <w:color w:val="231F20"/>
          <w:spacing w:val="-14"/>
          <w:w w:val="105"/>
        </w:rPr>
        <w:t> </w:t>
      </w:r>
      <w:r>
        <w:rPr>
          <w:color w:val="231F20"/>
          <w:w w:val="105"/>
        </w:rPr>
        <w:t>tanto</w:t>
      </w:r>
      <w:r>
        <w:rPr>
          <w:color w:val="231F20"/>
          <w:spacing w:val="-14"/>
          <w:w w:val="105"/>
        </w:rPr>
        <w:t> </w:t>
      </w:r>
      <w:r>
        <w:rPr>
          <w:color w:val="231F20"/>
          <w:w w:val="105"/>
        </w:rPr>
        <w:t>de</w:t>
      </w:r>
      <w:r>
        <w:rPr>
          <w:color w:val="231F20"/>
          <w:spacing w:val="-14"/>
          <w:w w:val="105"/>
        </w:rPr>
        <w:t> </w:t>
      </w:r>
      <w:r>
        <w:rPr>
          <w:color w:val="231F20"/>
          <w:w w:val="105"/>
        </w:rPr>
        <w:t>la transformación</w:t>
      </w:r>
      <w:r>
        <w:rPr>
          <w:color w:val="231F20"/>
          <w:spacing w:val="-38"/>
          <w:w w:val="105"/>
        </w:rPr>
        <w:t> </w:t>
      </w:r>
      <w:r>
        <w:rPr>
          <w:color w:val="231F20"/>
          <w:w w:val="105"/>
        </w:rPr>
        <w:t>del</w:t>
      </w:r>
      <w:r>
        <w:rPr>
          <w:color w:val="231F20"/>
          <w:spacing w:val="-38"/>
          <w:w w:val="105"/>
        </w:rPr>
        <w:t> </w:t>
      </w:r>
      <w:r>
        <w:rPr>
          <w:color w:val="231F20"/>
          <w:w w:val="105"/>
        </w:rPr>
        <w:t>Estado</w:t>
      </w:r>
      <w:r>
        <w:rPr>
          <w:color w:val="231F20"/>
          <w:w w:val="105"/>
          <w:position w:val="7"/>
          <w:sz w:val="12"/>
        </w:rPr>
        <w:t>65</w:t>
      </w:r>
      <w:r>
        <w:rPr>
          <w:color w:val="231F20"/>
          <w:w w:val="105"/>
        </w:rPr>
        <w:t>.</w:t>
      </w:r>
      <w:r>
        <w:rPr>
          <w:color w:val="231F20"/>
          <w:spacing w:val="-38"/>
          <w:w w:val="105"/>
        </w:rPr>
        <w:t> </w:t>
      </w:r>
      <w:r>
        <w:rPr>
          <w:color w:val="231F20"/>
          <w:w w:val="105"/>
        </w:rPr>
        <w:t>Si</w:t>
      </w:r>
      <w:r>
        <w:rPr>
          <w:color w:val="231F20"/>
          <w:spacing w:val="-38"/>
          <w:w w:val="105"/>
        </w:rPr>
        <w:t> </w:t>
      </w:r>
      <w:r>
        <w:rPr>
          <w:color w:val="231F20"/>
          <w:w w:val="105"/>
        </w:rPr>
        <w:t>el</w:t>
      </w:r>
      <w:r>
        <w:rPr>
          <w:color w:val="231F20"/>
          <w:spacing w:val="-38"/>
          <w:w w:val="105"/>
        </w:rPr>
        <w:t> </w:t>
      </w:r>
      <w:r>
        <w:rPr>
          <w:color w:val="231F20"/>
          <w:w w:val="105"/>
        </w:rPr>
        <w:t>capitalismo</w:t>
      </w:r>
      <w:r>
        <w:rPr>
          <w:color w:val="231F20"/>
          <w:spacing w:val="-38"/>
          <w:w w:val="105"/>
        </w:rPr>
        <w:t> </w:t>
      </w:r>
      <w:r>
        <w:rPr>
          <w:color w:val="231F20"/>
          <w:w w:val="105"/>
        </w:rPr>
        <w:t>puede</w:t>
      </w:r>
      <w:r>
        <w:rPr>
          <w:color w:val="231F20"/>
          <w:spacing w:val="-38"/>
          <w:w w:val="105"/>
        </w:rPr>
        <w:t> </w:t>
      </w:r>
      <w:r>
        <w:rPr>
          <w:color w:val="231F20"/>
          <w:w w:val="105"/>
        </w:rPr>
        <w:t>presentarse,</w:t>
      </w:r>
      <w:r>
        <w:rPr>
          <w:color w:val="231F20"/>
          <w:spacing w:val="-38"/>
          <w:w w:val="105"/>
        </w:rPr>
        <w:t> </w:t>
      </w:r>
      <w:r>
        <w:rPr>
          <w:color w:val="231F20"/>
          <w:w w:val="105"/>
        </w:rPr>
        <w:t>en</w:t>
      </w:r>
      <w:r>
        <w:rPr>
          <w:color w:val="231F20"/>
          <w:spacing w:val="-38"/>
          <w:w w:val="105"/>
        </w:rPr>
        <w:t> </w:t>
      </w:r>
      <w:r>
        <w:rPr>
          <w:color w:val="231F20"/>
          <w:w w:val="105"/>
        </w:rPr>
        <w:t>forma muy</w:t>
      </w:r>
      <w:r>
        <w:rPr>
          <w:color w:val="231F20"/>
          <w:spacing w:val="-41"/>
          <w:w w:val="105"/>
        </w:rPr>
        <w:t> </w:t>
      </w:r>
      <w:r>
        <w:rPr>
          <w:color w:val="231F20"/>
          <w:w w:val="105"/>
        </w:rPr>
        <w:t>poco</w:t>
      </w:r>
      <w:r>
        <w:rPr>
          <w:color w:val="231F20"/>
          <w:spacing w:val="-41"/>
          <w:w w:val="105"/>
        </w:rPr>
        <w:t> </w:t>
      </w:r>
      <w:r>
        <w:rPr>
          <w:color w:val="231F20"/>
          <w:w w:val="105"/>
        </w:rPr>
        <w:t>weberiana,</w:t>
      </w:r>
      <w:r>
        <w:rPr>
          <w:color w:val="231F20"/>
          <w:spacing w:val="-41"/>
          <w:w w:val="105"/>
        </w:rPr>
        <w:t> </w:t>
      </w:r>
      <w:r>
        <w:rPr>
          <w:color w:val="231F20"/>
          <w:w w:val="105"/>
        </w:rPr>
        <w:t>como</w:t>
      </w:r>
      <w:r>
        <w:rPr>
          <w:color w:val="231F20"/>
          <w:spacing w:val="-41"/>
          <w:w w:val="105"/>
        </w:rPr>
        <w:t> </w:t>
      </w:r>
      <w:r>
        <w:rPr>
          <w:color w:val="231F20"/>
          <w:w w:val="105"/>
        </w:rPr>
        <w:t>una</w:t>
      </w:r>
      <w:r>
        <w:rPr>
          <w:color w:val="231F20"/>
          <w:spacing w:val="-41"/>
          <w:w w:val="105"/>
        </w:rPr>
        <w:t> </w:t>
      </w:r>
      <w:r>
        <w:rPr>
          <w:color w:val="231F20"/>
          <w:w w:val="105"/>
        </w:rPr>
        <w:t>“contra–modernización”</w:t>
      </w:r>
      <w:r>
        <w:rPr>
          <w:color w:val="231F20"/>
          <w:spacing w:val="-41"/>
          <w:w w:val="105"/>
        </w:rPr>
        <w:t> </w:t>
      </w:r>
      <w:r>
        <w:rPr>
          <w:color w:val="231F20"/>
          <w:w w:val="105"/>
        </w:rPr>
        <w:t>—indiferente</w:t>
      </w:r>
      <w:r>
        <w:rPr>
          <w:color w:val="231F20"/>
          <w:spacing w:val="-41"/>
          <w:w w:val="105"/>
        </w:rPr>
        <w:t> </w:t>
      </w:r>
      <w:r>
        <w:rPr>
          <w:color w:val="231F20"/>
          <w:w w:val="105"/>
        </w:rPr>
        <w:t>por lo</w:t>
      </w:r>
      <w:r>
        <w:rPr>
          <w:color w:val="231F20"/>
          <w:spacing w:val="-13"/>
          <w:w w:val="105"/>
        </w:rPr>
        <w:t> </w:t>
      </w:r>
      <w:r>
        <w:rPr>
          <w:color w:val="231F20"/>
          <w:w w:val="105"/>
        </w:rPr>
        <w:t>tanto</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constitución</w:t>
      </w:r>
      <w:r>
        <w:rPr>
          <w:color w:val="231F20"/>
          <w:spacing w:val="-13"/>
          <w:w w:val="105"/>
        </w:rPr>
        <w:t> </w:t>
      </w:r>
      <w:r>
        <w:rPr>
          <w:color w:val="231F20"/>
          <w:w w:val="105"/>
        </w:rPr>
        <w:t>social</w:t>
      </w:r>
      <w:r>
        <w:rPr>
          <w:color w:val="231F20"/>
          <w:spacing w:val="-13"/>
          <w:w w:val="105"/>
        </w:rPr>
        <w:t> </w:t>
      </w:r>
      <w:r>
        <w:rPr>
          <w:color w:val="231F20"/>
          <w:w w:val="105"/>
        </w:rPr>
        <w:t>y</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forma</w:t>
      </w:r>
      <w:r>
        <w:rPr>
          <w:color w:val="231F20"/>
          <w:spacing w:val="-13"/>
          <w:w w:val="105"/>
        </w:rPr>
        <w:t> </w:t>
      </w:r>
      <w:r>
        <w:rPr>
          <w:color w:val="231F20"/>
          <w:w w:val="105"/>
        </w:rPr>
        <w:t>política—</w:t>
      </w:r>
      <w:r>
        <w:rPr>
          <w:color w:val="231F20"/>
          <w:spacing w:val="-13"/>
          <w:w w:val="105"/>
        </w:rPr>
        <w:t> </w:t>
      </w:r>
      <w:r>
        <w:rPr>
          <w:color w:val="231F20"/>
          <w:w w:val="105"/>
        </w:rPr>
        <w:t>entonces</w:t>
      </w:r>
      <w:r>
        <w:rPr>
          <w:color w:val="231F20"/>
          <w:spacing w:val="-13"/>
          <w:w w:val="105"/>
        </w:rPr>
        <w:t> </w:t>
      </w:r>
      <w:r>
        <w:rPr>
          <w:color w:val="231F20"/>
          <w:w w:val="105"/>
        </w:rPr>
        <w:t>se</w:t>
      </w:r>
      <w:r>
        <w:rPr>
          <w:color w:val="231F20"/>
          <w:spacing w:val="-13"/>
          <w:w w:val="105"/>
        </w:rPr>
        <w:t> </w:t>
      </w:r>
      <w:r>
        <w:rPr>
          <w:color w:val="231F20"/>
          <w:w w:val="105"/>
        </w:rPr>
        <w:t>puede explicar</w:t>
      </w:r>
      <w:r>
        <w:rPr>
          <w:color w:val="231F20"/>
          <w:spacing w:val="-27"/>
          <w:w w:val="105"/>
        </w:rPr>
        <w:t> </w:t>
      </w:r>
      <w:r>
        <w:rPr>
          <w:color w:val="231F20"/>
          <w:w w:val="105"/>
        </w:rPr>
        <w:t>su</w:t>
      </w:r>
      <w:r>
        <w:rPr>
          <w:color w:val="231F20"/>
          <w:spacing w:val="-27"/>
          <w:w w:val="105"/>
        </w:rPr>
        <w:t> </w:t>
      </w:r>
      <w:r>
        <w:rPr>
          <w:color w:val="231F20"/>
          <w:w w:val="105"/>
        </w:rPr>
        <w:t>fortuna</w:t>
      </w:r>
      <w:r>
        <w:rPr>
          <w:color w:val="231F20"/>
          <w:spacing w:val="-27"/>
          <w:w w:val="105"/>
        </w:rPr>
        <w:t> </w:t>
      </w:r>
      <w:r>
        <w:rPr>
          <w:color w:val="231F20"/>
          <w:w w:val="105"/>
        </w:rPr>
        <w:t>cultural</w:t>
      </w:r>
      <w:r>
        <w:rPr>
          <w:color w:val="231F20"/>
          <w:spacing w:val="-27"/>
          <w:w w:val="105"/>
        </w:rPr>
        <w:t> </w:t>
      </w:r>
      <w:r>
        <w:rPr>
          <w:color w:val="231F20"/>
          <w:w w:val="105"/>
        </w:rPr>
        <w:t>en</w:t>
      </w:r>
      <w:r>
        <w:rPr>
          <w:color w:val="231F20"/>
          <w:spacing w:val="-27"/>
          <w:w w:val="105"/>
        </w:rPr>
        <w:t> </w:t>
      </w:r>
      <w:r>
        <w:rPr>
          <w:color w:val="231F20"/>
          <w:w w:val="105"/>
        </w:rPr>
        <w:t>muchos</w:t>
      </w:r>
      <w:r>
        <w:rPr>
          <w:color w:val="231F20"/>
          <w:spacing w:val="-27"/>
          <w:w w:val="105"/>
        </w:rPr>
        <w:t> </w:t>
      </w:r>
      <w:r>
        <w:rPr>
          <w:color w:val="231F20"/>
          <w:w w:val="105"/>
        </w:rPr>
        <w:t>Estados</w:t>
      </w:r>
      <w:r>
        <w:rPr>
          <w:color w:val="231F20"/>
          <w:spacing w:val="-27"/>
          <w:w w:val="105"/>
        </w:rPr>
        <w:t> </w:t>
      </w:r>
      <w:r>
        <w:rPr>
          <w:color w:val="231F20"/>
          <w:w w:val="105"/>
        </w:rPr>
        <w:t>postcoloniales,</w:t>
      </w:r>
      <w:r>
        <w:rPr>
          <w:color w:val="231F20"/>
          <w:spacing w:val="-27"/>
          <w:w w:val="105"/>
        </w:rPr>
        <w:t> </w:t>
      </w:r>
      <w:r>
        <w:rPr>
          <w:color w:val="231F20"/>
          <w:w w:val="105"/>
        </w:rPr>
        <w:t>no</w:t>
      </w:r>
      <w:r>
        <w:rPr>
          <w:color w:val="231F20"/>
          <w:spacing w:val="-27"/>
          <w:w w:val="105"/>
        </w:rPr>
        <w:t> </w:t>
      </w:r>
      <w:r>
        <w:rPr>
          <w:color w:val="231F20"/>
          <w:w w:val="105"/>
        </w:rPr>
        <w:t>obstan- te éstos no hayan replicado ni la racionalización de la administración ni aquella</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sociedad</w:t>
      </w:r>
      <w:r>
        <w:rPr>
          <w:color w:val="231F20"/>
          <w:w w:val="105"/>
          <w:position w:val="7"/>
          <w:sz w:val="12"/>
        </w:rPr>
        <w:t>66</w:t>
      </w:r>
      <w:r>
        <w:rPr>
          <w:color w:val="231F20"/>
          <w:w w:val="105"/>
        </w:rPr>
        <w:t>.</w:t>
      </w:r>
      <w:r>
        <w:rPr>
          <w:color w:val="231F20"/>
          <w:spacing w:val="-28"/>
          <w:w w:val="105"/>
        </w:rPr>
        <w:t> </w:t>
      </w:r>
      <w:r>
        <w:rPr>
          <w:color w:val="231F20"/>
          <w:w w:val="105"/>
        </w:rPr>
        <w:t>La</w:t>
      </w:r>
      <w:r>
        <w:rPr>
          <w:color w:val="231F20"/>
          <w:spacing w:val="-28"/>
          <w:w w:val="105"/>
        </w:rPr>
        <w:t> </w:t>
      </w:r>
      <w:r>
        <w:rPr>
          <w:color w:val="231F20"/>
          <w:w w:val="105"/>
        </w:rPr>
        <w:t>reproducción</w:t>
      </w:r>
      <w:r>
        <w:rPr>
          <w:color w:val="231F20"/>
          <w:spacing w:val="-28"/>
          <w:w w:val="105"/>
        </w:rPr>
        <w:t> </w:t>
      </w:r>
      <w:r>
        <w:rPr>
          <w:color w:val="231F20"/>
          <w:w w:val="105"/>
        </w:rPr>
        <w:t>del</w:t>
      </w:r>
      <w:r>
        <w:rPr>
          <w:color w:val="231F20"/>
          <w:spacing w:val="-28"/>
          <w:w w:val="105"/>
        </w:rPr>
        <w:t> </w:t>
      </w:r>
      <w:r>
        <w:rPr>
          <w:color w:val="231F20"/>
          <w:w w:val="105"/>
        </w:rPr>
        <w:t>Estado</w:t>
      </w:r>
      <w:r>
        <w:rPr>
          <w:color w:val="231F20"/>
          <w:spacing w:val="-28"/>
          <w:w w:val="105"/>
        </w:rPr>
        <w:t> </w:t>
      </w:r>
      <w:r>
        <w:rPr>
          <w:color w:val="231F20"/>
          <w:w w:val="105"/>
        </w:rPr>
        <w:t>y</w:t>
      </w:r>
      <w:r>
        <w:rPr>
          <w:color w:val="231F20"/>
          <w:spacing w:val="-28"/>
          <w:w w:val="105"/>
        </w:rPr>
        <w:t> </w:t>
      </w:r>
      <w:r>
        <w:rPr>
          <w:color w:val="231F20"/>
          <w:w w:val="105"/>
        </w:rPr>
        <w:t>de</w:t>
      </w:r>
      <w:r>
        <w:rPr>
          <w:color w:val="231F20"/>
          <w:spacing w:val="-28"/>
          <w:w w:val="105"/>
        </w:rPr>
        <w:t> </w:t>
      </w:r>
      <w:r>
        <w:rPr>
          <w:color w:val="231F20"/>
          <w:w w:val="105"/>
        </w:rPr>
        <w:t>su</w:t>
      </w:r>
      <w:r>
        <w:rPr>
          <w:color w:val="231F20"/>
          <w:spacing w:val="-28"/>
          <w:w w:val="105"/>
        </w:rPr>
        <w:t> </w:t>
      </w:r>
      <w:r>
        <w:rPr>
          <w:color w:val="231F20"/>
          <w:w w:val="105"/>
        </w:rPr>
        <w:t>legitimidad</w:t>
      </w:r>
      <w:r>
        <w:rPr>
          <w:color w:val="231F20"/>
          <w:spacing w:val="-28"/>
          <w:w w:val="105"/>
        </w:rPr>
        <w:t> </w:t>
      </w:r>
      <w:r>
        <w:rPr>
          <w:color w:val="231F20"/>
          <w:w w:val="105"/>
        </w:rPr>
        <w:t>se pone</w:t>
      </w:r>
      <w:r>
        <w:rPr>
          <w:color w:val="231F20"/>
          <w:spacing w:val="-47"/>
          <w:w w:val="105"/>
        </w:rPr>
        <w:t> </w:t>
      </w:r>
      <w:r>
        <w:rPr>
          <w:color w:val="231F20"/>
          <w:w w:val="105"/>
        </w:rPr>
        <w:t>significativamente</w:t>
      </w:r>
      <w:r>
        <w:rPr>
          <w:color w:val="231F20"/>
          <w:spacing w:val="-47"/>
          <w:w w:val="105"/>
        </w:rPr>
        <w:t> </w:t>
      </w:r>
      <w:r>
        <w:rPr>
          <w:color w:val="231F20"/>
          <w:w w:val="105"/>
        </w:rPr>
        <w:t>en</w:t>
      </w:r>
      <w:r>
        <w:rPr>
          <w:color w:val="231F20"/>
          <w:spacing w:val="-47"/>
          <w:w w:val="105"/>
        </w:rPr>
        <w:t> </w:t>
      </w:r>
      <w:r>
        <w:rPr>
          <w:color w:val="231F20"/>
          <w:w w:val="105"/>
        </w:rPr>
        <w:t>discusión</w:t>
      </w:r>
      <w:r>
        <w:rPr>
          <w:color w:val="231F20"/>
          <w:spacing w:val="-47"/>
          <w:w w:val="105"/>
        </w:rPr>
        <w:t> </w:t>
      </w:r>
      <w:r>
        <w:rPr>
          <w:color w:val="231F20"/>
          <w:w w:val="105"/>
        </w:rPr>
        <w:t>si</w:t>
      </w:r>
      <w:r>
        <w:rPr>
          <w:color w:val="231F20"/>
          <w:spacing w:val="-47"/>
          <w:w w:val="105"/>
        </w:rPr>
        <w:t> </w:t>
      </w:r>
      <w:r>
        <w:rPr>
          <w:color w:val="231F20"/>
          <w:w w:val="105"/>
        </w:rPr>
        <w:t>los</w:t>
      </w:r>
      <w:r>
        <w:rPr>
          <w:color w:val="231F20"/>
          <w:spacing w:val="-47"/>
          <w:w w:val="105"/>
        </w:rPr>
        <w:t> </w:t>
      </w:r>
      <w:r>
        <w:rPr>
          <w:color w:val="231F20"/>
          <w:w w:val="105"/>
        </w:rPr>
        <w:t>ciudadanos–sujetos</w:t>
      </w:r>
      <w:r>
        <w:rPr>
          <w:color w:val="231F20"/>
          <w:spacing w:val="-47"/>
          <w:w w:val="105"/>
        </w:rPr>
        <w:t> </w:t>
      </w:r>
      <w:r>
        <w:rPr>
          <w:color w:val="231F20"/>
          <w:w w:val="105"/>
        </w:rPr>
        <w:t>perciben</w:t>
      </w:r>
      <w:r>
        <w:rPr>
          <w:color w:val="231F20"/>
          <w:spacing w:val="-47"/>
          <w:w w:val="105"/>
        </w:rPr>
        <w:t> </w:t>
      </w:r>
      <w:r>
        <w:rPr>
          <w:color w:val="231F20"/>
          <w:w w:val="105"/>
        </w:rPr>
        <w:t>en forma</w:t>
      </w:r>
      <w:r>
        <w:rPr>
          <w:color w:val="231F20"/>
          <w:spacing w:val="-20"/>
          <w:w w:val="105"/>
        </w:rPr>
        <w:t> </w:t>
      </w:r>
      <w:r>
        <w:rPr>
          <w:color w:val="231F20"/>
          <w:w w:val="105"/>
        </w:rPr>
        <w:t>altamente</w:t>
      </w:r>
      <w:r>
        <w:rPr>
          <w:color w:val="231F20"/>
          <w:spacing w:val="-20"/>
          <w:w w:val="105"/>
        </w:rPr>
        <w:t> </w:t>
      </w:r>
      <w:r>
        <w:rPr>
          <w:color w:val="231F20"/>
          <w:w w:val="105"/>
        </w:rPr>
        <w:t>diferencial</w:t>
      </w:r>
      <w:r>
        <w:rPr>
          <w:color w:val="231F20"/>
          <w:spacing w:val="-20"/>
          <w:w w:val="105"/>
        </w:rPr>
        <w:t> </w:t>
      </w:r>
      <w:r>
        <w:rPr>
          <w:color w:val="231F20"/>
          <w:w w:val="105"/>
        </w:rPr>
        <w:t>el</w:t>
      </w:r>
      <w:r>
        <w:rPr>
          <w:color w:val="231F20"/>
          <w:spacing w:val="-20"/>
          <w:w w:val="105"/>
        </w:rPr>
        <w:t> </w:t>
      </w:r>
      <w:r>
        <w:rPr>
          <w:color w:val="231F20"/>
          <w:w w:val="105"/>
        </w:rPr>
        <w:t>actuar</w:t>
      </w:r>
      <w:r>
        <w:rPr>
          <w:color w:val="231F20"/>
          <w:spacing w:val="-20"/>
          <w:w w:val="105"/>
        </w:rPr>
        <w:t> </w:t>
      </w:r>
      <w:r>
        <w:rPr>
          <w:color w:val="231F20"/>
          <w:w w:val="105"/>
        </w:rPr>
        <w:t>burocrático.</w:t>
      </w:r>
      <w:r>
        <w:rPr>
          <w:color w:val="231F20"/>
          <w:spacing w:val="-20"/>
          <w:w w:val="105"/>
        </w:rPr>
        <w:t> </w:t>
      </w:r>
      <w:r>
        <w:rPr>
          <w:color w:val="231F20"/>
          <w:w w:val="105"/>
        </w:rPr>
        <w:t>La</w:t>
      </w:r>
      <w:r>
        <w:rPr>
          <w:color w:val="231F20"/>
          <w:spacing w:val="-20"/>
          <w:w w:val="105"/>
        </w:rPr>
        <w:t> </w:t>
      </w:r>
      <w:r>
        <w:rPr>
          <w:color w:val="231F20"/>
          <w:w w:val="105"/>
        </w:rPr>
        <w:t>renuncia</w:t>
      </w:r>
      <w:r>
        <w:rPr>
          <w:color w:val="231F20"/>
          <w:spacing w:val="-20"/>
          <w:w w:val="105"/>
        </w:rPr>
        <w:t> </w:t>
      </w:r>
      <w:r>
        <w:rPr>
          <w:color w:val="231F20"/>
          <w:w w:val="105"/>
        </w:rPr>
        <w:t>o</w:t>
      </w:r>
      <w:r>
        <w:rPr>
          <w:color w:val="231F20"/>
          <w:spacing w:val="-20"/>
          <w:w w:val="105"/>
        </w:rPr>
        <w:t> </w:t>
      </w:r>
      <w:r>
        <w:rPr>
          <w:color w:val="231F20"/>
          <w:w w:val="105"/>
        </w:rPr>
        <w:t>tal</w:t>
      </w:r>
      <w:r>
        <w:rPr>
          <w:color w:val="231F20"/>
          <w:spacing w:val="-20"/>
          <w:w w:val="105"/>
        </w:rPr>
        <w:t> </w:t>
      </w:r>
      <w:r>
        <w:rPr>
          <w:color w:val="231F20"/>
          <w:w w:val="105"/>
        </w:rPr>
        <w:t>vez</w:t>
      </w:r>
      <w:r>
        <w:rPr>
          <w:color w:val="231F20"/>
          <w:spacing w:val="-20"/>
          <w:w w:val="105"/>
        </w:rPr>
        <w:t> </w:t>
      </w:r>
      <w:r>
        <w:rPr>
          <w:color w:val="231F20"/>
          <w:w w:val="105"/>
        </w:rPr>
        <w:t>la imposibilidad</w:t>
      </w:r>
      <w:r>
        <w:rPr>
          <w:color w:val="231F20"/>
          <w:spacing w:val="-14"/>
          <w:w w:val="105"/>
        </w:rPr>
        <w:t> </w:t>
      </w:r>
      <w:r>
        <w:rPr>
          <w:color w:val="231F20"/>
          <w:w w:val="105"/>
        </w:rPr>
        <w:t>del</w:t>
      </w:r>
      <w:r>
        <w:rPr>
          <w:color w:val="231F20"/>
          <w:spacing w:val="-14"/>
          <w:w w:val="105"/>
        </w:rPr>
        <w:t> </w:t>
      </w:r>
      <w:r>
        <w:rPr>
          <w:color w:val="231F20"/>
          <w:w w:val="105"/>
        </w:rPr>
        <w:t>universalismo</w:t>
      </w:r>
      <w:r>
        <w:rPr>
          <w:color w:val="231F20"/>
          <w:spacing w:val="-14"/>
          <w:w w:val="105"/>
        </w:rPr>
        <w:t> </w:t>
      </w:r>
      <w:r>
        <w:rPr>
          <w:color w:val="231F20"/>
          <w:w w:val="105"/>
        </w:rPr>
        <w:t>abre</w:t>
      </w:r>
      <w:r>
        <w:rPr>
          <w:color w:val="231F20"/>
          <w:spacing w:val="-14"/>
          <w:w w:val="105"/>
        </w:rPr>
        <w:t> </w:t>
      </w:r>
      <w:r>
        <w:rPr>
          <w:color w:val="231F20"/>
          <w:w w:val="105"/>
        </w:rPr>
        <w:t>o</w:t>
      </w:r>
      <w:r>
        <w:rPr>
          <w:color w:val="231F20"/>
          <w:spacing w:val="-14"/>
          <w:w w:val="105"/>
        </w:rPr>
        <w:t> </w:t>
      </w:r>
      <w:r>
        <w:rPr>
          <w:color w:val="231F20"/>
          <w:w w:val="105"/>
        </w:rPr>
        <w:t>quizá</w:t>
      </w:r>
      <w:r>
        <w:rPr>
          <w:color w:val="231F20"/>
          <w:spacing w:val="-14"/>
          <w:w w:val="105"/>
        </w:rPr>
        <w:t> </w:t>
      </w:r>
      <w:r>
        <w:rPr>
          <w:color w:val="231F20"/>
          <w:w w:val="105"/>
        </w:rPr>
        <w:t>obliga</w:t>
      </w:r>
      <w:r>
        <w:rPr>
          <w:color w:val="231F20"/>
          <w:spacing w:val="-14"/>
          <w:w w:val="105"/>
        </w:rPr>
        <w:t> </w:t>
      </w:r>
      <w:r>
        <w:rPr>
          <w:color w:val="231F20"/>
          <w:w w:val="105"/>
        </w:rPr>
        <w:t>a</w:t>
      </w:r>
      <w:r>
        <w:rPr>
          <w:color w:val="231F20"/>
          <w:spacing w:val="-14"/>
          <w:w w:val="105"/>
        </w:rPr>
        <w:t> </w:t>
      </w:r>
      <w:r>
        <w:rPr>
          <w:color w:val="231F20"/>
          <w:w w:val="105"/>
        </w:rPr>
        <w:t>tomar</w:t>
      </w:r>
      <w:r>
        <w:rPr>
          <w:color w:val="231F20"/>
          <w:spacing w:val="-14"/>
          <w:w w:val="105"/>
        </w:rPr>
        <w:t> </w:t>
      </w:r>
      <w:r>
        <w:rPr>
          <w:color w:val="231F20"/>
          <w:w w:val="105"/>
        </w:rPr>
        <w:t>el</w:t>
      </w:r>
      <w:r>
        <w:rPr>
          <w:color w:val="231F20"/>
          <w:spacing w:val="-14"/>
          <w:w w:val="105"/>
        </w:rPr>
        <w:t> </w:t>
      </w:r>
      <w:r>
        <w:rPr>
          <w:color w:val="231F20"/>
          <w:w w:val="105"/>
        </w:rPr>
        <w:t>camino</w:t>
      </w:r>
      <w:r>
        <w:rPr>
          <w:color w:val="231F20"/>
          <w:spacing w:val="-14"/>
          <w:w w:val="105"/>
        </w:rPr>
        <w:t> </w:t>
      </w:r>
      <w:r>
        <w:rPr>
          <w:color w:val="231F20"/>
          <w:w w:val="105"/>
        </w:rPr>
        <w:t>de una</w:t>
      </w:r>
      <w:r>
        <w:rPr>
          <w:color w:val="231F20"/>
          <w:spacing w:val="-18"/>
          <w:w w:val="105"/>
        </w:rPr>
        <w:t> </w:t>
      </w:r>
      <w:r>
        <w:rPr>
          <w:color w:val="231F20"/>
          <w:w w:val="105"/>
        </w:rPr>
        <w:t>gestión</w:t>
      </w:r>
      <w:r>
        <w:rPr>
          <w:color w:val="231F20"/>
          <w:spacing w:val="-17"/>
          <w:w w:val="105"/>
        </w:rPr>
        <w:t> </w:t>
      </w:r>
      <w:r>
        <w:rPr>
          <w:color w:val="231F20"/>
          <w:w w:val="105"/>
        </w:rPr>
        <w:t>administrativa</w:t>
      </w:r>
      <w:r>
        <w:rPr>
          <w:color w:val="231F20"/>
          <w:spacing w:val="-18"/>
          <w:w w:val="105"/>
        </w:rPr>
        <w:t> </w:t>
      </w:r>
      <w:r>
        <w:rPr>
          <w:color w:val="231F20"/>
          <w:w w:val="105"/>
        </w:rPr>
        <w:t>de</w:t>
      </w:r>
      <w:r>
        <w:rPr>
          <w:color w:val="231F20"/>
          <w:spacing w:val="-17"/>
          <w:w w:val="105"/>
        </w:rPr>
        <w:t> </w:t>
      </w:r>
      <w:r>
        <w:rPr>
          <w:color w:val="231F20"/>
          <w:w w:val="105"/>
        </w:rPr>
        <w:t>los</w:t>
      </w:r>
      <w:r>
        <w:rPr>
          <w:color w:val="231F20"/>
          <w:spacing w:val="-18"/>
          <w:w w:val="105"/>
        </w:rPr>
        <w:t> </w:t>
      </w:r>
      <w:r>
        <w:rPr>
          <w:color w:val="231F20"/>
          <w:w w:val="105"/>
        </w:rPr>
        <w:t>conflictos,</w:t>
      </w:r>
      <w:r>
        <w:rPr>
          <w:color w:val="231F20"/>
          <w:spacing w:val="-17"/>
          <w:w w:val="105"/>
        </w:rPr>
        <w:t> </w:t>
      </w:r>
      <w:r>
        <w:rPr>
          <w:color w:val="231F20"/>
          <w:w w:val="105"/>
        </w:rPr>
        <w:t>pero</w:t>
      </w:r>
      <w:r>
        <w:rPr>
          <w:color w:val="231F20"/>
          <w:spacing w:val="-18"/>
          <w:w w:val="105"/>
        </w:rPr>
        <w:t> </w:t>
      </w:r>
      <w:r>
        <w:rPr>
          <w:color w:val="231F20"/>
          <w:w w:val="105"/>
        </w:rPr>
        <w:t>sobre</w:t>
      </w:r>
      <w:r>
        <w:rPr>
          <w:color w:val="231F20"/>
          <w:spacing w:val="-17"/>
          <w:w w:val="105"/>
        </w:rPr>
        <w:t> </w:t>
      </w:r>
      <w:r>
        <w:rPr>
          <w:color w:val="231F20"/>
          <w:w w:val="105"/>
        </w:rPr>
        <w:t>todo</w:t>
      </w:r>
      <w:r>
        <w:rPr>
          <w:color w:val="231F20"/>
          <w:spacing w:val="-18"/>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dere- chos.</w:t>
      </w:r>
      <w:r>
        <w:rPr>
          <w:color w:val="231F20"/>
          <w:spacing w:val="-38"/>
          <w:w w:val="105"/>
        </w:rPr>
        <w:t> </w:t>
      </w:r>
      <w:r>
        <w:rPr>
          <w:color w:val="231F20"/>
          <w:w w:val="105"/>
        </w:rPr>
        <w:t>Estos</w:t>
      </w:r>
      <w:r>
        <w:rPr>
          <w:color w:val="231F20"/>
          <w:spacing w:val="-38"/>
          <w:w w:val="105"/>
        </w:rPr>
        <w:t> </w:t>
      </w:r>
      <w:r>
        <w:rPr>
          <w:color w:val="231F20"/>
          <w:w w:val="105"/>
        </w:rPr>
        <w:t>últimos</w:t>
      </w:r>
      <w:r>
        <w:rPr>
          <w:color w:val="231F20"/>
          <w:spacing w:val="-38"/>
          <w:w w:val="105"/>
        </w:rPr>
        <w:t> </w:t>
      </w:r>
      <w:r>
        <w:rPr>
          <w:color w:val="231F20"/>
          <w:w w:val="105"/>
        </w:rPr>
        <w:t>se</w:t>
      </w:r>
      <w:r>
        <w:rPr>
          <w:color w:val="231F20"/>
          <w:spacing w:val="-38"/>
          <w:w w:val="105"/>
        </w:rPr>
        <w:t> </w:t>
      </w:r>
      <w:r>
        <w:rPr>
          <w:color w:val="231F20"/>
          <w:w w:val="105"/>
        </w:rPr>
        <w:t>reducen</w:t>
      </w:r>
      <w:r>
        <w:rPr>
          <w:color w:val="231F20"/>
          <w:spacing w:val="-38"/>
          <w:w w:val="105"/>
        </w:rPr>
        <w:t> </w:t>
      </w:r>
      <w:r>
        <w:rPr>
          <w:color w:val="231F20"/>
          <w:w w:val="105"/>
        </w:rPr>
        <w:t>progresivamente</w:t>
      </w:r>
      <w:r>
        <w:rPr>
          <w:color w:val="231F20"/>
          <w:spacing w:val="-38"/>
          <w:w w:val="105"/>
        </w:rPr>
        <w:t> </w:t>
      </w:r>
      <w:r>
        <w:rPr>
          <w:color w:val="231F20"/>
          <w:w w:val="105"/>
        </w:rPr>
        <w:t>a</w:t>
      </w:r>
      <w:r>
        <w:rPr>
          <w:color w:val="231F20"/>
          <w:spacing w:val="-38"/>
          <w:w w:val="105"/>
        </w:rPr>
        <w:t> </w:t>
      </w:r>
      <w:r>
        <w:rPr>
          <w:color w:val="231F20"/>
          <w:w w:val="105"/>
        </w:rPr>
        <w:t>su</w:t>
      </w:r>
      <w:r>
        <w:rPr>
          <w:color w:val="231F20"/>
          <w:spacing w:val="-38"/>
          <w:w w:val="105"/>
        </w:rPr>
        <w:t> </w:t>
      </w:r>
      <w:r>
        <w:rPr>
          <w:color w:val="231F20"/>
          <w:w w:val="105"/>
        </w:rPr>
        <w:t>dimensión</w:t>
      </w:r>
      <w:r>
        <w:rPr>
          <w:color w:val="231F20"/>
          <w:spacing w:val="-38"/>
          <w:w w:val="105"/>
        </w:rPr>
        <w:t> </w:t>
      </w:r>
      <w:r>
        <w:rPr>
          <w:color w:val="231F20"/>
          <w:w w:val="105"/>
        </w:rPr>
        <w:t>civil</w:t>
      </w:r>
      <w:r>
        <w:rPr>
          <w:color w:val="231F20"/>
          <w:spacing w:val="-38"/>
          <w:w w:val="105"/>
        </w:rPr>
        <w:t> </w:t>
      </w:r>
      <w:r>
        <w:rPr>
          <w:color w:val="231F20"/>
          <w:w w:val="105"/>
        </w:rPr>
        <w:t>y</w:t>
      </w:r>
      <w:r>
        <w:rPr>
          <w:color w:val="231F20"/>
          <w:spacing w:val="-38"/>
          <w:w w:val="105"/>
        </w:rPr>
        <w:t> </w:t>
      </w:r>
      <w:r>
        <w:rPr>
          <w:color w:val="231F20"/>
          <w:w w:val="105"/>
        </w:rPr>
        <w:t>polí- tica,</w:t>
      </w:r>
      <w:r>
        <w:rPr>
          <w:color w:val="231F20"/>
          <w:spacing w:val="-38"/>
          <w:w w:val="105"/>
        </w:rPr>
        <w:t> </w:t>
      </w:r>
      <w:r>
        <w:rPr>
          <w:color w:val="231F20"/>
          <w:w w:val="105"/>
        </w:rPr>
        <w:t>para</w:t>
      </w:r>
      <w:r>
        <w:rPr>
          <w:color w:val="231F20"/>
          <w:spacing w:val="-38"/>
          <w:w w:val="105"/>
        </w:rPr>
        <w:t> </w:t>
      </w:r>
      <w:r>
        <w:rPr>
          <w:color w:val="231F20"/>
          <w:w w:val="105"/>
        </w:rPr>
        <w:t>decirlo</w:t>
      </w:r>
      <w:r>
        <w:rPr>
          <w:color w:val="231F20"/>
          <w:spacing w:val="-38"/>
          <w:w w:val="105"/>
        </w:rPr>
        <w:t> </w:t>
      </w:r>
      <w:r>
        <w:rPr>
          <w:color w:val="231F20"/>
          <w:w w:val="105"/>
        </w:rPr>
        <w:t>como</w:t>
      </w:r>
      <w:r>
        <w:rPr>
          <w:color w:val="231F20"/>
          <w:spacing w:val="-38"/>
          <w:w w:val="105"/>
        </w:rPr>
        <w:t> </w:t>
      </w:r>
      <w:r>
        <w:rPr>
          <w:color w:val="231F20"/>
          <w:w w:val="105"/>
        </w:rPr>
        <w:t>Thomas</w:t>
      </w:r>
      <w:r>
        <w:rPr>
          <w:color w:val="231F20"/>
          <w:spacing w:val="-38"/>
          <w:w w:val="105"/>
        </w:rPr>
        <w:t> </w:t>
      </w:r>
      <w:r>
        <w:rPr>
          <w:color w:val="231F20"/>
          <w:w w:val="105"/>
        </w:rPr>
        <w:t>H.</w:t>
      </w:r>
      <w:r>
        <w:rPr>
          <w:color w:val="231F20"/>
          <w:spacing w:val="-38"/>
          <w:w w:val="105"/>
        </w:rPr>
        <w:t> </w:t>
      </w:r>
      <w:r>
        <w:rPr>
          <w:color w:val="231F20"/>
          <w:w w:val="105"/>
        </w:rPr>
        <w:t>Marshall,</w:t>
      </w:r>
      <w:r>
        <w:rPr>
          <w:color w:val="231F20"/>
          <w:spacing w:val="-38"/>
          <w:w w:val="105"/>
        </w:rPr>
        <w:t> </w:t>
      </w:r>
      <w:r>
        <w:rPr>
          <w:color w:val="231F20"/>
          <w:w w:val="105"/>
        </w:rPr>
        <w:t>mientras</w:t>
      </w:r>
      <w:r>
        <w:rPr>
          <w:color w:val="231F20"/>
          <w:spacing w:val="-38"/>
          <w:w w:val="105"/>
        </w:rPr>
        <w:t> </w:t>
      </w:r>
      <w:r>
        <w:rPr>
          <w:color w:val="231F20"/>
          <w:w w:val="105"/>
        </w:rPr>
        <w:t>los</w:t>
      </w:r>
      <w:r>
        <w:rPr>
          <w:color w:val="231F20"/>
          <w:spacing w:val="-38"/>
          <w:w w:val="105"/>
        </w:rPr>
        <w:t> </w:t>
      </w:r>
      <w:r>
        <w:rPr>
          <w:color w:val="231F20"/>
          <w:w w:val="105"/>
        </w:rPr>
        <w:t>derechos</w:t>
      </w:r>
      <w:r>
        <w:rPr>
          <w:color w:val="231F20"/>
          <w:spacing w:val="-38"/>
          <w:w w:val="105"/>
        </w:rPr>
        <w:t> </w:t>
      </w:r>
      <w:r>
        <w:rPr>
          <w:color w:val="231F20"/>
          <w:w w:val="105"/>
        </w:rPr>
        <w:t>sociales no</w:t>
      </w:r>
      <w:r>
        <w:rPr>
          <w:color w:val="231F20"/>
          <w:spacing w:val="-18"/>
          <w:w w:val="105"/>
        </w:rPr>
        <w:t> </w:t>
      </w:r>
      <w:r>
        <w:rPr>
          <w:color w:val="231F20"/>
          <w:w w:val="105"/>
        </w:rPr>
        <w:t>se</w:t>
      </w:r>
      <w:r>
        <w:rPr>
          <w:color w:val="231F20"/>
          <w:spacing w:val="-18"/>
          <w:w w:val="105"/>
        </w:rPr>
        <w:t> </w:t>
      </w:r>
      <w:r>
        <w:rPr>
          <w:color w:val="231F20"/>
          <w:w w:val="105"/>
        </w:rPr>
        <w:t>niegan,</w:t>
      </w:r>
      <w:r>
        <w:rPr>
          <w:color w:val="231F20"/>
          <w:spacing w:val="-18"/>
          <w:w w:val="105"/>
        </w:rPr>
        <w:t> </w:t>
      </w:r>
      <w:r>
        <w:rPr>
          <w:color w:val="231F20"/>
          <w:w w:val="105"/>
        </w:rPr>
        <w:t>pero</w:t>
      </w:r>
      <w:r>
        <w:rPr>
          <w:color w:val="231F20"/>
          <w:spacing w:val="-18"/>
          <w:w w:val="105"/>
        </w:rPr>
        <w:t> </w:t>
      </w:r>
      <w:r>
        <w:rPr>
          <w:color w:val="231F20"/>
          <w:w w:val="105"/>
        </w:rPr>
        <w:t>son</w:t>
      </w:r>
      <w:r>
        <w:rPr>
          <w:color w:val="231F20"/>
          <w:spacing w:val="-18"/>
          <w:w w:val="105"/>
        </w:rPr>
        <w:t> </w:t>
      </w:r>
      <w:r>
        <w:rPr>
          <w:color w:val="231F20"/>
          <w:w w:val="105"/>
        </w:rPr>
        <w:t>negociados</w:t>
      </w:r>
      <w:r>
        <w:rPr>
          <w:color w:val="231F20"/>
          <w:spacing w:val="-18"/>
          <w:w w:val="105"/>
        </w:rPr>
        <w:t> </w:t>
      </w:r>
      <w:r>
        <w:rPr>
          <w:color w:val="231F20"/>
          <w:w w:val="105"/>
        </w:rPr>
        <w:t>continuamente</w:t>
      </w:r>
      <w:r>
        <w:rPr>
          <w:color w:val="231F20"/>
          <w:spacing w:val="-18"/>
          <w:w w:val="105"/>
        </w:rPr>
        <w:t> </w:t>
      </w:r>
      <w:r>
        <w:rPr>
          <w:color w:val="231F20"/>
          <w:w w:val="105"/>
        </w:rPr>
        <w:t>con</w:t>
      </w:r>
      <w:r>
        <w:rPr>
          <w:color w:val="231F20"/>
          <w:spacing w:val="-18"/>
          <w:w w:val="105"/>
        </w:rPr>
        <w:t> </w:t>
      </w:r>
      <w:r>
        <w:rPr>
          <w:color w:val="231F20"/>
          <w:w w:val="105"/>
        </w:rPr>
        <w:t>diferentes</w:t>
      </w:r>
      <w:r>
        <w:rPr>
          <w:color w:val="231F20"/>
          <w:spacing w:val="-18"/>
          <w:w w:val="105"/>
        </w:rPr>
        <w:t> </w:t>
      </w:r>
      <w:r>
        <w:rPr>
          <w:color w:val="231F20"/>
          <w:w w:val="105"/>
        </w:rPr>
        <w:t>grupos de la población. Aquí tenemos una nueva contradicción, porque</w:t>
      </w:r>
      <w:r>
        <w:rPr>
          <w:color w:val="231F20"/>
          <w:spacing w:val="-40"/>
          <w:w w:val="105"/>
        </w:rPr>
        <w:t> </w:t>
      </w:r>
      <w:r>
        <w:rPr>
          <w:color w:val="231F20"/>
          <w:w w:val="105"/>
        </w:rPr>
        <w:t>aquello que en los Estados europeos se presenta como un proceso de disposi- ción</w:t>
      </w:r>
      <w:r>
        <w:rPr>
          <w:color w:val="231F20"/>
          <w:spacing w:val="-28"/>
          <w:w w:val="105"/>
        </w:rPr>
        <w:t> </w:t>
      </w:r>
      <w:r>
        <w:rPr>
          <w:color w:val="231F20"/>
          <w:w w:val="105"/>
        </w:rPr>
        <w:t>controlada</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derechos,</w:t>
      </w:r>
      <w:r>
        <w:rPr>
          <w:color w:val="231F20"/>
          <w:spacing w:val="-28"/>
          <w:w w:val="105"/>
        </w:rPr>
        <w:t> </w:t>
      </w:r>
      <w:r>
        <w:rPr>
          <w:color w:val="231F20"/>
          <w:w w:val="105"/>
        </w:rPr>
        <w:t>en</w:t>
      </w:r>
      <w:r>
        <w:rPr>
          <w:color w:val="231F20"/>
          <w:spacing w:val="-28"/>
          <w:w w:val="105"/>
        </w:rPr>
        <w:t> </w:t>
      </w:r>
      <w:r>
        <w:rPr>
          <w:color w:val="231F20"/>
          <w:w w:val="105"/>
        </w:rPr>
        <w:t>los</w:t>
      </w:r>
      <w:r>
        <w:rPr>
          <w:color w:val="231F20"/>
          <w:spacing w:val="-28"/>
          <w:w w:val="105"/>
        </w:rPr>
        <w:t> </w:t>
      </w:r>
      <w:r>
        <w:rPr>
          <w:color w:val="231F20"/>
          <w:w w:val="105"/>
        </w:rPr>
        <w:t>Estados</w:t>
      </w:r>
      <w:r>
        <w:rPr>
          <w:color w:val="231F20"/>
          <w:spacing w:val="-28"/>
          <w:w w:val="105"/>
        </w:rPr>
        <w:t> </w:t>
      </w:r>
      <w:r>
        <w:rPr>
          <w:color w:val="231F20"/>
          <w:w w:val="105"/>
        </w:rPr>
        <w:t>postcoloniales</w:t>
      </w:r>
      <w:r>
        <w:rPr>
          <w:color w:val="231F20"/>
          <w:spacing w:val="-28"/>
          <w:w w:val="105"/>
        </w:rPr>
        <w:t> </w:t>
      </w:r>
      <w:r>
        <w:rPr>
          <w:color w:val="231F20"/>
          <w:w w:val="105"/>
        </w:rPr>
        <w:t>se</w:t>
      </w:r>
      <w:r>
        <w:rPr>
          <w:color w:val="231F20"/>
          <w:spacing w:val="-28"/>
          <w:w w:val="105"/>
        </w:rPr>
        <w:t> </w:t>
      </w:r>
      <w:r>
        <w:rPr>
          <w:color w:val="231F20"/>
          <w:w w:val="105"/>
        </w:rPr>
        <w:t>propone como</w:t>
      </w:r>
      <w:r>
        <w:rPr>
          <w:color w:val="231F20"/>
          <w:spacing w:val="-25"/>
          <w:w w:val="105"/>
        </w:rPr>
        <w:t> </w:t>
      </w:r>
      <w:r>
        <w:rPr>
          <w:color w:val="231F20"/>
          <w:w w:val="105"/>
        </w:rPr>
        <w:t>un</w:t>
      </w:r>
      <w:r>
        <w:rPr>
          <w:color w:val="231F20"/>
          <w:spacing w:val="-25"/>
          <w:w w:val="105"/>
        </w:rPr>
        <w:t> </w:t>
      </w:r>
      <w:r>
        <w:rPr>
          <w:color w:val="231F20"/>
          <w:w w:val="105"/>
        </w:rPr>
        <w:t>reconocimiento</w:t>
      </w:r>
      <w:r>
        <w:rPr>
          <w:color w:val="231F20"/>
          <w:spacing w:val="-25"/>
          <w:w w:val="105"/>
        </w:rPr>
        <w:t> </w:t>
      </w:r>
      <w:r>
        <w:rPr>
          <w:color w:val="231F20"/>
          <w:w w:val="105"/>
        </w:rPr>
        <w:t>gobernado</w:t>
      </w:r>
      <w:r>
        <w:rPr>
          <w:color w:val="231F20"/>
          <w:spacing w:val="-25"/>
          <w:w w:val="105"/>
        </w:rPr>
        <w:t> </w:t>
      </w:r>
      <w:r>
        <w:rPr>
          <w:color w:val="231F20"/>
          <w:w w:val="105"/>
        </w:rPr>
        <w:t>y</w:t>
      </w:r>
      <w:r>
        <w:rPr>
          <w:color w:val="231F20"/>
          <w:spacing w:val="-25"/>
          <w:w w:val="105"/>
        </w:rPr>
        <w:t> </w:t>
      </w:r>
      <w:r>
        <w:rPr>
          <w:color w:val="231F20"/>
          <w:w w:val="105"/>
        </w:rPr>
        <w:t>revocable</w:t>
      </w:r>
      <w:r>
        <w:rPr>
          <w:color w:val="231F20"/>
          <w:spacing w:val="-25"/>
          <w:w w:val="105"/>
        </w:rPr>
        <w:t> </w:t>
      </w:r>
      <w:r>
        <w:rPr>
          <w:color w:val="231F20"/>
          <w:w w:val="105"/>
        </w:rPr>
        <w:t>de</w:t>
      </w:r>
      <w:r>
        <w:rPr>
          <w:color w:val="231F20"/>
          <w:spacing w:val="-25"/>
          <w:w w:val="105"/>
        </w:rPr>
        <w:t> </w:t>
      </w:r>
      <w:r>
        <w:rPr>
          <w:color w:val="231F20"/>
          <w:w w:val="105"/>
        </w:rPr>
        <w:t>derechos</w:t>
      </w:r>
      <w:r>
        <w:rPr>
          <w:color w:val="231F20"/>
          <w:spacing w:val="-25"/>
          <w:w w:val="105"/>
        </w:rPr>
        <w:t> </w:t>
      </w:r>
      <w:r>
        <w:rPr>
          <w:color w:val="231F20"/>
          <w:w w:val="105"/>
        </w:rPr>
        <w:t>a</w:t>
      </w:r>
      <w:r>
        <w:rPr>
          <w:color w:val="231F20"/>
          <w:spacing w:val="-25"/>
          <w:w w:val="105"/>
        </w:rPr>
        <w:t> </w:t>
      </w:r>
      <w:r>
        <w:rPr>
          <w:color w:val="231F20"/>
          <w:w w:val="105"/>
        </w:rPr>
        <w:t>grupos</w:t>
      </w:r>
      <w:r>
        <w:rPr>
          <w:color w:val="231F20"/>
          <w:spacing w:val="-25"/>
          <w:w w:val="105"/>
        </w:rPr>
        <w:t> </w:t>
      </w:r>
      <w:r>
        <w:rPr>
          <w:color w:val="231F20"/>
          <w:w w:val="105"/>
        </w:rPr>
        <w:t>de la</w:t>
      </w:r>
      <w:r>
        <w:rPr>
          <w:color w:val="231F20"/>
          <w:spacing w:val="-7"/>
          <w:w w:val="105"/>
        </w:rPr>
        <w:t> </w:t>
      </w:r>
      <w:r>
        <w:rPr>
          <w:color w:val="231F20"/>
          <w:w w:val="105"/>
        </w:rPr>
        <w:t>población.</w:t>
      </w:r>
      <w:r>
        <w:rPr>
          <w:color w:val="231F20"/>
          <w:spacing w:val="-7"/>
          <w:w w:val="105"/>
        </w:rPr>
        <w:t> </w:t>
      </w:r>
      <w:r>
        <w:rPr>
          <w:color w:val="231F20"/>
          <w:w w:val="105"/>
        </w:rPr>
        <w:t>El</w:t>
      </w:r>
      <w:r>
        <w:rPr>
          <w:color w:val="231F20"/>
          <w:spacing w:val="-7"/>
          <w:w w:val="105"/>
        </w:rPr>
        <w:t> </w:t>
      </w:r>
      <w:r>
        <w:rPr>
          <w:color w:val="231F20"/>
          <w:w w:val="105"/>
        </w:rPr>
        <w:t>rasgo</w:t>
      </w:r>
      <w:r>
        <w:rPr>
          <w:color w:val="231F20"/>
          <w:spacing w:val="-7"/>
          <w:w w:val="105"/>
        </w:rPr>
        <w:t> </w:t>
      </w:r>
      <w:r>
        <w:rPr>
          <w:color w:val="231F20"/>
          <w:w w:val="105"/>
        </w:rPr>
        <w:t>común</w:t>
      </w:r>
      <w:r>
        <w:rPr>
          <w:color w:val="231F20"/>
          <w:spacing w:val="-7"/>
          <w:w w:val="105"/>
        </w:rPr>
        <w:t> </w:t>
      </w:r>
      <w:r>
        <w:rPr>
          <w:color w:val="231F20"/>
          <w:w w:val="105"/>
        </w:rPr>
        <w:t>—es</w:t>
      </w:r>
      <w:r>
        <w:rPr>
          <w:color w:val="231F20"/>
          <w:spacing w:val="-7"/>
          <w:w w:val="105"/>
        </w:rPr>
        <w:t> </w:t>
      </w:r>
      <w:r>
        <w:rPr>
          <w:color w:val="231F20"/>
          <w:spacing w:val="-4"/>
          <w:w w:val="105"/>
        </w:rPr>
        <w:t>decir,</w:t>
      </w:r>
      <w:r>
        <w:rPr>
          <w:color w:val="231F20"/>
          <w:spacing w:val="-7"/>
          <w:w w:val="105"/>
        </w:rPr>
        <w:t> </w:t>
      </w:r>
      <w:r>
        <w:rPr>
          <w:color w:val="231F20"/>
          <w:w w:val="105"/>
        </w:rPr>
        <w:t>lo</w:t>
      </w:r>
      <w:r>
        <w:rPr>
          <w:color w:val="231F20"/>
          <w:spacing w:val="-7"/>
          <w:w w:val="105"/>
        </w:rPr>
        <w:t> </w:t>
      </w:r>
      <w:r>
        <w:rPr>
          <w:color w:val="231F20"/>
          <w:w w:val="105"/>
        </w:rPr>
        <w:t>propio</w:t>
      </w:r>
      <w:r>
        <w:rPr>
          <w:color w:val="231F20"/>
          <w:spacing w:val="-7"/>
          <w:w w:val="105"/>
        </w:rPr>
        <w:t> </w:t>
      </w:r>
      <w:r>
        <w:rPr>
          <w:color w:val="231F20"/>
          <w:w w:val="105"/>
        </w:rPr>
        <w:t>del</w:t>
      </w:r>
      <w:r>
        <w:rPr>
          <w:color w:val="231F20"/>
          <w:spacing w:val="-7"/>
          <w:w w:val="105"/>
        </w:rPr>
        <w:t> </w:t>
      </w:r>
      <w:r>
        <w:rPr>
          <w:color w:val="231F20"/>
          <w:w w:val="105"/>
        </w:rPr>
        <w:t>Estado</w:t>
      </w:r>
      <w:r>
        <w:rPr>
          <w:color w:val="231F20"/>
          <w:spacing w:val="-7"/>
          <w:w w:val="105"/>
        </w:rPr>
        <w:t> </w:t>
      </w:r>
      <w:r>
        <w:rPr>
          <w:color w:val="231F20"/>
          <w:w w:val="105"/>
        </w:rPr>
        <w:t>global—</w:t>
      </w:r>
      <w:r>
        <w:rPr>
          <w:color w:val="231F20"/>
          <w:spacing w:val="-7"/>
          <w:w w:val="105"/>
        </w:rPr>
        <w:t> </w:t>
      </w:r>
      <w:r>
        <w:rPr>
          <w:color w:val="231F20"/>
          <w:w w:val="105"/>
        </w:rPr>
        <w:t>es de</w:t>
      </w:r>
      <w:r>
        <w:rPr>
          <w:color w:val="231F20"/>
          <w:spacing w:val="-13"/>
          <w:w w:val="105"/>
        </w:rPr>
        <w:t> </w:t>
      </w:r>
      <w:r>
        <w:rPr>
          <w:color w:val="231F20"/>
          <w:w w:val="105"/>
        </w:rPr>
        <w:t>cualquier</w:t>
      </w:r>
      <w:r>
        <w:rPr>
          <w:color w:val="231F20"/>
          <w:spacing w:val="-13"/>
          <w:w w:val="105"/>
        </w:rPr>
        <w:t> </w:t>
      </w:r>
      <w:r>
        <w:rPr>
          <w:color w:val="231F20"/>
          <w:w w:val="105"/>
        </w:rPr>
        <w:t>manera</w:t>
      </w:r>
      <w:r>
        <w:rPr>
          <w:color w:val="231F20"/>
          <w:spacing w:val="-13"/>
          <w:w w:val="105"/>
        </w:rPr>
        <w:t> </w:t>
      </w:r>
      <w:r>
        <w:rPr>
          <w:color w:val="231F20"/>
          <w:w w:val="105"/>
        </w:rPr>
        <w:t>representado</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administración</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derechos, pues</w:t>
      </w:r>
      <w:r>
        <w:rPr>
          <w:color w:val="231F20"/>
          <w:spacing w:val="-6"/>
          <w:w w:val="105"/>
        </w:rPr>
        <w:t> </w:t>
      </w:r>
      <w:r>
        <w:rPr>
          <w:color w:val="231F20"/>
          <w:w w:val="105"/>
        </w:rPr>
        <w:t>ésta</w:t>
      </w:r>
      <w:r>
        <w:rPr>
          <w:color w:val="231F20"/>
          <w:spacing w:val="-6"/>
          <w:w w:val="105"/>
        </w:rPr>
        <w:t> </w:t>
      </w:r>
      <w:r>
        <w:rPr>
          <w:color w:val="231F20"/>
          <w:w w:val="105"/>
        </w:rPr>
        <w:t>se</w:t>
      </w:r>
      <w:r>
        <w:rPr>
          <w:color w:val="231F20"/>
          <w:spacing w:val="-6"/>
          <w:w w:val="105"/>
        </w:rPr>
        <w:t> </w:t>
      </w:r>
      <w:r>
        <w:rPr>
          <w:color w:val="231F20"/>
          <w:w w:val="105"/>
        </w:rPr>
        <w:t>basa</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reconocimiento</w:t>
      </w:r>
      <w:r>
        <w:rPr>
          <w:color w:val="231F20"/>
          <w:spacing w:val="-6"/>
          <w:w w:val="105"/>
        </w:rPr>
        <w:t> </w:t>
      </w:r>
      <w:r>
        <w:rPr>
          <w:color w:val="231F20"/>
          <w:w w:val="105"/>
        </w:rPr>
        <w:t>de</w:t>
      </w:r>
      <w:r>
        <w:rPr>
          <w:color w:val="231F20"/>
          <w:spacing w:val="-6"/>
          <w:w w:val="105"/>
        </w:rPr>
        <w:t> </w:t>
      </w:r>
      <w:r>
        <w:rPr>
          <w:color w:val="231F20"/>
          <w:w w:val="105"/>
        </w:rPr>
        <w:t>que</w:t>
      </w:r>
      <w:r>
        <w:rPr>
          <w:color w:val="231F20"/>
          <w:spacing w:val="-6"/>
          <w:w w:val="105"/>
        </w:rPr>
        <w:t> </w:t>
      </w:r>
      <w:r>
        <w:rPr>
          <w:color w:val="231F20"/>
          <w:w w:val="105"/>
        </w:rPr>
        <w:t>no</w:t>
      </w:r>
      <w:r>
        <w:rPr>
          <w:color w:val="231F20"/>
          <w:spacing w:val="-6"/>
          <w:w w:val="105"/>
        </w:rPr>
        <w:t> </w:t>
      </w:r>
      <w:r>
        <w:rPr>
          <w:color w:val="231F20"/>
          <w:w w:val="105"/>
        </w:rPr>
        <w:t>todos</w:t>
      </w:r>
      <w:r>
        <w:rPr>
          <w:color w:val="231F20"/>
          <w:spacing w:val="-6"/>
          <w:w w:val="105"/>
        </w:rPr>
        <w:t> </w:t>
      </w:r>
      <w:r>
        <w:rPr>
          <w:color w:val="231F20"/>
          <w:w w:val="105"/>
        </w:rPr>
        <w:t>los</w:t>
      </w:r>
      <w:r>
        <w:rPr>
          <w:color w:val="231F20"/>
          <w:spacing w:val="-6"/>
          <w:w w:val="105"/>
        </w:rPr>
        <w:t> </w:t>
      </w:r>
      <w:r>
        <w:rPr>
          <w:color w:val="231F20"/>
          <w:w w:val="105"/>
        </w:rPr>
        <w:t>ciudadanos </w:t>
      </w:r>
      <w:r>
        <w:rPr>
          <w:color w:val="231F20"/>
        </w:rPr>
        <w:t>son</w:t>
      </w:r>
      <w:r>
        <w:rPr>
          <w:color w:val="231F20"/>
          <w:spacing w:val="2"/>
        </w:rPr>
        <w:t> </w:t>
      </w:r>
      <w:r>
        <w:rPr>
          <w:color w:val="231F20"/>
        </w:rPr>
        <w:t>iguales.</w:t>
      </w:r>
    </w:p>
    <w:p>
      <w:pPr>
        <w:pStyle w:val="BodyText"/>
        <w:spacing w:line="247" w:lineRule="auto"/>
        <w:ind w:left="103" w:right="115" w:firstLine="566"/>
        <w:jc w:val="both"/>
      </w:pPr>
      <w:r>
        <w:rPr>
          <w:color w:val="231F20"/>
        </w:rPr>
        <w:t>La </w:t>
      </w:r>
      <w:r>
        <w:rPr>
          <w:color w:val="231F20"/>
          <w:spacing w:val="-3"/>
        </w:rPr>
        <w:t>pregunta </w:t>
      </w:r>
      <w:r>
        <w:rPr>
          <w:color w:val="231F20"/>
        </w:rPr>
        <w:t>por </w:t>
      </w:r>
      <w:r>
        <w:rPr>
          <w:color w:val="231F20"/>
          <w:spacing w:val="-3"/>
        </w:rPr>
        <w:t>hacer </w:t>
      </w:r>
      <w:r>
        <w:rPr>
          <w:color w:val="231F20"/>
        </w:rPr>
        <w:t>es si el </w:t>
      </w:r>
      <w:r>
        <w:rPr>
          <w:color w:val="231F20"/>
          <w:spacing w:val="-3"/>
        </w:rPr>
        <w:t>Estado global puede prescindir </w:t>
      </w:r>
      <w:r>
        <w:rPr>
          <w:color w:val="231F20"/>
        </w:rPr>
        <w:t>de </w:t>
      </w:r>
      <w:r>
        <w:rPr>
          <w:color w:val="231F20"/>
          <w:spacing w:val="-3"/>
        </w:rPr>
        <w:t>re- presentar </w:t>
      </w:r>
      <w:r>
        <w:rPr>
          <w:color w:val="231F20"/>
        </w:rPr>
        <w:t>la </w:t>
      </w:r>
      <w:r>
        <w:rPr>
          <w:color w:val="231F20"/>
          <w:spacing w:val="-3"/>
        </w:rPr>
        <w:t>unidad política </w:t>
      </w:r>
      <w:r>
        <w:rPr>
          <w:color w:val="231F20"/>
        </w:rPr>
        <w:t>del </w:t>
      </w:r>
      <w:r>
        <w:rPr>
          <w:color w:val="231F20"/>
          <w:spacing w:val="-3"/>
        </w:rPr>
        <w:t>pueblo, estableciendo consecuentemente </w:t>
      </w:r>
      <w:r>
        <w:rPr>
          <w:color w:val="231F20"/>
        </w:rPr>
        <w:t>una </w:t>
      </w:r>
      <w:r>
        <w:rPr>
          <w:color w:val="231F20"/>
          <w:spacing w:val="-3"/>
        </w:rPr>
        <w:t>relación diferente </w:t>
      </w:r>
      <w:r>
        <w:rPr>
          <w:color w:val="231F20"/>
        </w:rPr>
        <w:t>con su </w:t>
      </w:r>
      <w:r>
        <w:rPr>
          <w:color w:val="231F20"/>
          <w:spacing w:val="-3"/>
        </w:rPr>
        <w:t>población. </w:t>
      </w:r>
      <w:r>
        <w:rPr>
          <w:color w:val="231F20"/>
        </w:rPr>
        <w:t>De </w:t>
      </w:r>
      <w:r>
        <w:rPr>
          <w:color w:val="231F20"/>
          <w:spacing w:val="-3"/>
        </w:rPr>
        <w:t>esta manera, </w:t>
      </w:r>
      <w:r>
        <w:rPr>
          <w:color w:val="231F20"/>
        </w:rPr>
        <w:t>lo que se </w:t>
      </w:r>
      <w:r>
        <w:rPr>
          <w:color w:val="231F20"/>
          <w:spacing w:val="-3"/>
        </w:rPr>
        <w:t>somete </w:t>
      </w:r>
      <w:r>
        <w:rPr>
          <w:color w:val="231F20"/>
        </w:rPr>
        <w:t>a una </w:t>
      </w:r>
      <w:r>
        <w:rPr>
          <w:color w:val="231F20"/>
          <w:spacing w:val="-3"/>
        </w:rPr>
        <w:t>evidente tensión </w:t>
      </w:r>
      <w:r>
        <w:rPr>
          <w:color w:val="231F20"/>
        </w:rPr>
        <w:t>es la </w:t>
      </w:r>
      <w:r>
        <w:rPr>
          <w:color w:val="231F20"/>
          <w:spacing w:val="-4"/>
        </w:rPr>
        <w:t>representación </w:t>
      </w:r>
      <w:r>
        <w:rPr>
          <w:color w:val="231F20"/>
          <w:spacing w:val="-3"/>
        </w:rPr>
        <w:t>política como pilar </w:t>
      </w:r>
      <w:r>
        <w:rPr>
          <w:color w:val="231F20"/>
          <w:spacing w:val="-4"/>
        </w:rPr>
        <w:t>organizativo </w:t>
      </w:r>
      <w:r>
        <w:rPr>
          <w:color w:val="231F20"/>
        </w:rPr>
        <w:t>del</w:t>
      </w:r>
      <w:r>
        <w:rPr>
          <w:color w:val="231F20"/>
          <w:spacing w:val="-14"/>
        </w:rPr>
        <w:t> </w:t>
      </w:r>
      <w:r>
        <w:rPr>
          <w:color w:val="231F20"/>
          <w:spacing w:val="-3"/>
        </w:rPr>
        <w:t>Estado.</w:t>
      </w:r>
      <w:r>
        <w:rPr>
          <w:color w:val="231F20"/>
          <w:spacing w:val="-14"/>
        </w:rPr>
        <w:t> </w:t>
      </w:r>
      <w:r>
        <w:rPr>
          <w:color w:val="231F20"/>
          <w:spacing w:val="-3"/>
        </w:rPr>
        <w:t>Esta</w:t>
      </w:r>
      <w:r>
        <w:rPr>
          <w:color w:val="231F20"/>
          <w:spacing w:val="-14"/>
        </w:rPr>
        <w:t> </w:t>
      </w:r>
      <w:r>
        <w:rPr>
          <w:color w:val="231F20"/>
          <w:spacing w:val="-3"/>
        </w:rPr>
        <w:t>tensión</w:t>
      </w:r>
      <w:r>
        <w:rPr>
          <w:color w:val="231F20"/>
          <w:spacing w:val="-14"/>
        </w:rPr>
        <w:t> </w:t>
      </w:r>
      <w:r>
        <w:rPr>
          <w:color w:val="231F20"/>
        </w:rPr>
        <w:t>no</w:t>
      </w:r>
      <w:r>
        <w:rPr>
          <w:color w:val="231F20"/>
          <w:spacing w:val="-14"/>
        </w:rPr>
        <w:t> </w:t>
      </w:r>
      <w:r>
        <w:rPr>
          <w:color w:val="231F20"/>
        </w:rPr>
        <w:t>es</w:t>
      </w:r>
      <w:r>
        <w:rPr>
          <w:color w:val="231F20"/>
          <w:spacing w:val="-14"/>
        </w:rPr>
        <w:t> </w:t>
      </w:r>
      <w:r>
        <w:rPr>
          <w:color w:val="231F20"/>
        </w:rPr>
        <w:t>una</w:t>
      </w:r>
      <w:r>
        <w:rPr>
          <w:color w:val="231F20"/>
          <w:spacing w:val="-14"/>
        </w:rPr>
        <w:t> </w:t>
      </w:r>
      <w:r>
        <w:rPr>
          <w:color w:val="231F20"/>
          <w:spacing w:val="-3"/>
        </w:rPr>
        <w:t>crisis</w:t>
      </w:r>
      <w:r>
        <w:rPr>
          <w:color w:val="231F20"/>
          <w:spacing w:val="-14"/>
        </w:rPr>
        <w:t> </w:t>
      </w:r>
      <w:r>
        <w:rPr>
          <w:color w:val="231F20"/>
          <w:spacing w:val="-3"/>
        </w:rPr>
        <w:t>genérica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4"/>
        </w:rPr>
        <w:t>representación</w:t>
      </w:r>
      <w:r>
        <w:rPr>
          <w:color w:val="231F20"/>
          <w:spacing w:val="-14"/>
        </w:rPr>
        <w:t> </w:t>
      </w:r>
      <w:r>
        <w:rPr>
          <w:color w:val="231F20"/>
          <w:spacing w:val="-3"/>
        </w:rPr>
        <w:t>causa- </w:t>
      </w:r>
      <w:r>
        <w:rPr>
          <w:color w:val="231F20"/>
        </w:rPr>
        <w:t>da por el </w:t>
      </w:r>
      <w:r>
        <w:rPr>
          <w:color w:val="231F20"/>
          <w:spacing w:val="-3"/>
        </w:rPr>
        <w:t>decaimiento </w:t>
      </w:r>
      <w:r>
        <w:rPr>
          <w:color w:val="231F20"/>
        </w:rPr>
        <w:t>más o </w:t>
      </w:r>
      <w:r>
        <w:rPr>
          <w:color w:val="231F20"/>
          <w:spacing w:val="-3"/>
        </w:rPr>
        <w:t>menos eventual </w:t>
      </w:r>
      <w:r>
        <w:rPr>
          <w:color w:val="231F20"/>
        </w:rPr>
        <w:t>de la </w:t>
      </w:r>
      <w:r>
        <w:rPr>
          <w:color w:val="231F20"/>
          <w:spacing w:val="-3"/>
        </w:rPr>
        <w:t>calidad </w:t>
      </w:r>
      <w:r>
        <w:rPr>
          <w:color w:val="231F20"/>
        </w:rPr>
        <w:t>de los </w:t>
      </w:r>
      <w:r>
        <w:rPr>
          <w:color w:val="231F20"/>
          <w:spacing w:val="-4"/>
        </w:rPr>
        <w:t>represen- </w:t>
      </w:r>
      <w:r>
        <w:rPr>
          <w:color w:val="231F20"/>
          <w:spacing w:val="-3"/>
        </w:rPr>
        <w:t>tantes, sino </w:t>
      </w:r>
      <w:r>
        <w:rPr>
          <w:color w:val="231F20"/>
        </w:rPr>
        <w:t>la </w:t>
      </w:r>
      <w:r>
        <w:rPr>
          <w:color w:val="231F20"/>
          <w:spacing w:val="-3"/>
        </w:rPr>
        <w:t>disminución </w:t>
      </w:r>
      <w:r>
        <w:rPr>
          <w:color w:val="231F20"/>
        </w:rPr>
        <w:t>de la </w:t>
      </w:r>
      <w:r>
        <w:rPr>
          <w:color w:val="231F20"/>
          <w:spacing w:val="-3"/>
        </w:rPr>
        <w:t>capacitad </w:t>
      </w:r>
      <w:r>
        <w:rPr>
          <w:color w:val="231F20"/>
        </w:rPr>
        <w:t>de </w:t>
      </w:r>
      <w:r>
        <w:rPr>
          <w:color w:val="231F20"/>
          <w:spacing w:val="-4"/>
        </w:rPr>
        <w:t>representar </w:t>
      </w:r>
      <w:r>
        <w:rPr>
          <w:color w:val="231F20"/>
          <w:spacing w:val="-3"/>
        </w:rPr>
        <w:t>continuativamente </w:t>
      </w:r>
      <w:r>
        <w:rPr>
          <w:color w:val="231F20"/>
        </w:rPr>
        <w:t>la </w:t>
      </w:r>
      <w:r>
        <w:rPr>
          <w:color w:val="231F20"/>
          <w:spacing w:val="-3"/>
        </w:rPr>
        <w:t>unidad política </w:t>
      </w:r>
      <w:r>
        <w:rPr>
          <w:color w:val="231F20"/>
        </w:rPr>
        <w:t>del </w:t>
      </w:r>
      <w:r>
        <w:rPr>
          <w:color w:val="231F20"/>
          <w:spacing w:val="-3"/>
        </w:rPr>
        <w:t>pueblo como </w:t>
      </w:r>
      <w:r>
        <w:rPr>
          <w:color w:val="231F20"/>
        </w:rPr>
        <w:t>en </w:t>
      </w:r>
      <w:r>
        <w:rPr>
          <w:color w:val="231F20"/>
          <w:spacing w:val="-3"/>
        </w:rPr>
        <w:t>cambio está previsto </w:t>
      </w:r>
      <w:r>
        <w:rPr>
          <w:color w:val="231F20"/>
        </w:rPr>
        <w:t>por la </w:t>
      </w:r>
      <w:r>
        <w:rPr>
          <w:color w:val="231F20"/>
          <w:spacing w:val="-3"/>
        </w:rPr>
        <w:t>doctrina política moderna desde Hobbes hasta Schmitt. Esta indecisión respecto </w:t>
      </w:r>
      <w:r>
        <w:rPr>
          <w:color w:val="231F20"/>
        </w:rPr>
        <w:t>a </w:t>
      </w:r>
      <w:r>
        <w:rPr>
          <w:color w:val="231F20"/>
          <w:spacing w:val="-3"/>
        </w:rPr>
        <w:t>la unidad tiene </w:t>
      </w:r>
      <w:r>
        <w:rPr>
          <w:color w:val="231F20"/>
        </w:rPr>
        <w:t>el </w:t>
      </w:r>
      <w:r>
        <w:rPr>
          <w:color w:val="231F20"/>
          <w:spacing w:val="-3"/>
        </w:rPr>
        <w:t>efecto </w:t>
      </w:r>
      <w:r>
        <w:rPr>
          <w:color w:val="231F20"/>
        </w:rPr>
        <w:t>de </w:t>
      </w:r>
      <w:r>
        <w:rPr>
          <w:color w:val="231F20"/>
          <w:spacing w:val="-3"/>
        </w:rPr>
        <w:t>hacer evidente </w:t>
      </w:r>
      <w:r>
        <w:rPr>
          <w:color w:val="231F20"/>
        </w:rPr>
        <w:t>el </w:t>
      </w:r>
      <w:r>
        <w:rPr>
          <w:color w:val="231F20"/>
          <w:spacing w:val="-3"/>
        </w:rPr>
        <w:t>déficit </w:t>
      </w:r>
      <w:r>
        <w:rPr>
          <w:color w:val="231F20"/>
        </w:rPr>
        <w:t>de </w:t>
      </w:r>
      <w:r>
        <w:rPr>
          <w:color w:val="231F20"/>
          <w:spacing w:val="-3"/>
        </w:rPr>
        <w:t>institucionalización que parece caracterizar </w:t>
      </w:r>
      <w:r>
        <w:rPr>
          <w:color w:val="231F20"/>
        </w:rPr>
        <w:t>al </w:t>
      </w:r>
      <w:r>
        <w:rPr>
          <w:color w:val="231F20"/>
          <w:spacing w:val="-3"/>
        </w:rPr>
        <w:t>Estado global. Este déficit </w:t>
      </w:r>
      <w:r>
        <w:rPr>
          <w:color w:val="231F20"/>
        </w:rPr>
        <w:t>no es </w:t>
      </w:r>
      <w:r>
        <w:rPr>
          <w:color w:val="231F20"/>
          <w:spacing w:val="-3"/>
        </w:rPr>
        <w:t>solamente </w:t>
      </w:r>
      <w:r>
        <w:rPr>
          <w:color w:val="231F20"/>
          <w:spacing w:val="-4"/>
        </w:rPr>
        <w:t>procesal,</w:t>
      </w:r>
      <w:r>
        <w:rPr>
          <w:color w:val="231F20"/>
          <w:spacing w:val="57"/>
        </w:rPr>
        <w:t> </w:t>
      </w:r>
      <w:r>
        <w:rPr>
          <w:color w:val="231F20"/>
          <w:spacing w:val="-3"/>
        </w:rPr>
        <w:t>sino</w:t>
      </w:r>
      <w:r>
        <w:rPr>
          <w:color w:val="231F20"/>
          <w:spacing w:val="-7"/>
        </w:rPr>
        <w:t> </w:t>
      </w:r>
      <w:r>
        <w:rPr>
          <w:color w:val="231F20"/>
        </w:rPr>
        <w:t>que</w:t>
      </w:r>
      <w:r>
        <w:rPr>
          <w:color w:val="231F20"/>
          <w:spacing w:val="-7"/>
        </w:rPr>
        <w:t> </w:t>
      </w:r>
      <w:r>
        <w:rPr>
          <w:color w:val="231F20"/>
          <w:spacing w:val="-3"/>
        </w:rPr>
        <w:t>tiene</w:t>
      </w:r>
      <w:r>
        <w:rPr>
          <w:color w:val="231F20"/>
          <w:spacing w:val="-7"/>
        </w:rPr>
        <w:t> </w:t>
      </w:r>
      <w:r>
        <w:rPr>
          <w:color w:val="231F20"/>
        </w:rPr>
        <w:t>que</w:t>
      </w:r>
      <w:r>
        <w:rPr>
          <w:color w:val="231F20"/>
          <w:spacing w:val="-7"/>
        </w:rPr>
        <w:t> </w:t>
      </w:r>
      <w:r>
        <w:rPr>
          <w:color w:val="231F20"/>
        </w:rPr>
        <w:t>ver</w:t>
      </w:r>
      <w:r>
        <w:rPr>
          <w:color w:val="231F20"/>
          <w:spacing w:val="-7"/>
        </w:rPr>
        <w:t> </w:t>
      </w:r>
      <w:r>
        <w:rPr>
          <w:color w:val="231F20"/>
          <w:spacing w:val="-3"/>
        </w:rPr>
        <w:t>directamente</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spacing w:val="-3"/>
        </w:rPr>
        <w:t>modalidades</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spacing w:val="-3"/>
        </w:rPr>
        <w:t>Esta- </w:t>
      </w:r>
      <w:r>
        <w:rPr>
          <w:color w:val="231F20"/>
        </w:rPr>
        <w:t>do </w:t>
      </w:r>
      <w:r>
        <w:rPr>
          <w:color w:val="231F20"/>
          <w:spacing w:val="-3"/>
        </w:rPr>
        <w:t>viene reconocido </w:t>
      </w:r>
      <w:r>
        <w:rPr>
          <w:color w:val="231F20"/>
        </w:rPr>
        <w:t>y por lo </w:t>
      </w:r>
      <w:r>
        <w:rPr>
          <w:color w:val="231F20"/>
          <w:spacing w:val="-3"/>
        </w:rPr>
        <w:t>tanto obedecido. </w:t>
      </w:r>
      <w:r>
        <w:rPr>
          <w:color w:val="231F20"/>
        </w:rPr>
        <w:t>De </w:t>
      </w:r>
      <w:r>
        <w:rPr>
          <w:color w:val="231F20"/>
          <w:spacing w:val="-3"/>
        </w:rPr>
        <w:t>esta manera </w:t>
      </w:r>
      <w:r>
        <w:rPr>
          <w:color w:val="231F20"/>
        </w:rPr>
        <w:t>se</w:t>
      </w:r>
      <w:r>
        <w:rPr>
          <w:color w:val="231F20"/>
          <w:spacing w:val="-19"/>
        </w:rPr>
        <w:t> </w:t>
      </w:r>
      <w:r>
        <w:rPr>
          <w:color w:val="231F20"/>
          <w:spacing w:val="-4"/>
        </w:rPr>
        <w:t>repropone</w:t>
      </w:r>
    </w:p>
    <w:p>
      <w:pPr>
        <w:spacing w:line="204" w:lineRule="exact" w:before="659"/>
        <w:ind w:left="103" w:right="104" w:firstLine="0"/>
        <w:jc w:val="left"/>
        <w:rPr>
          <w:rFonts w:ascii="Calibri"/>
          <w:sz w:val="17"/>
        </w:rPr>
      </w:pPr>
      <w:r>
        <w:rPr/>
        <w:pict>
          <v:line style="position:absolute;mso-position-horizontal-relative:page;mso-position-vertical-relative:paragraph;z-index:3640" from="65.196899pt,30.910002pt" to="178.582899pt,30.910002pt" stroked="true" strokeweight=".3pt" strokecolor="#231f20">
            <w10:wrap type="none"/>
          </v:line>
        </w:pict>
      </w:r>
      <w:r>
        <w:rPr>
          <w:rFonts w:ascii="Calibri"/>
          <w:color w:val="231F20"/>
          <w:position w:val="6"/>
          <w:sz w:val="10"/>
        </w:rPr>
        <w:t>65 </w:t>
      </w:r>
      <w:r>
        <w:rPr>
          <w:rFonts w:ascii="Calibri"/>
          <w:color w:val="231F20"/>
          <w:sz w:val="17"/>
        </w:rPr>
        <w:t>Ph. R.D. Corrigan y D. Sayer, </w:t>
      </w:r>
      <w:r>
        <w:rPr>
          <w:rFonts w:ascii="Calibri"/>
          <w:i/>
          <w:color w:val="231F20"/>
          <w:sz w:val="17"/>
        </w:rPr>
        <w:t>The Great Arch. English State Formation as Cultural Revolution</w:t>
      </w:r>
      <w:r>
        <w:rPr>
          <w:rFonts w:ascii="Calibri"/>
          <w:color w:val="231F20"/>
          <w:sz w:val="17"/>
        </w:rPr>
        <w:t>, Oxford, Blackwell, 1985.</w:t>
      </w:r>
    </w:p>
    <w:p>
      <w:pPr>
        <w:spacing w:line="204" w:lineRule="exact" w:before="0"/>
        <w:ind w:left="103" w:right="0" w:firstLine="0"/>
        <w:jc w:val="left"/>
        <w:rPr>
          <w:rFonts w:ascii="Calibri"/>
          <w:sz w:val="17"/>
        </w:rPr>
      </w:pPr>
      <w:r>
        <w:rPr>
          <w:rFonts w:ascii="Calibri"/>
          <w:color w:val="231F20"/>
          <w:w w:val="105"/>
          <w:position w:val="6"/>
          <w:sz w:val="10"/>
        </w:rPr>
        <w:t>66</w:t>
      </w:r>
      <w:r>
        <w:rPr>
          <w:rFonts w:ascii="Calibri"/>
          <w:color w:val="231F20"/>
          <w:spacing w:val="-2"/>
          <w:w w:val="105"/>
          <w:position w:val="6"/>
          <w:sz w:val="10"/>
        </w:rPr>
        <w:t> </w:t>
      </w:r>
      <w:r>
        <w:rPr>
          <w:rFonts w:ascii="Calibri"/>
          <w:color w:val="231F20"/>
          <w:w w:val="105"/>
          <w:sz w:val="17"/>
        </w:rPr>
        <w:t>J.</w:t>
      </w:r>
      <w:r>
        <w:rPr>
          <w:rFonts w:ascii="Calibri"/>
          <w:color w:val="231F20"/>
          <w:spacing w:val="-18"/>
          <w:w w:val="105"/>
          <w:sz w:val="17"/>
        </w:rPr>
        <w:t> </w:t>
      </w:r>
      <w:r>
        <w:rPr>
          <w:rFonts w:ascii="Calibri"/>
          <w:color w:val="231F20"/>
          <w:w w:val="105"/>
          <w:sz w:val="17"/>
        </w:rPr>
        <w:t>C.</w:t>
      </w:r>
      <w:r>
        <w:rPr>
          <w:rFonts w:ascii="Calibri"/>
          <w:color w:val="231F20"/>
          <w:spacing w:val="-18"/>
          <w:w w:val="105"/>
          <w:sz w:val="17"/>
        </w:rPr>
        <w:t> </w:t>
      </w:r>
      <w:r>
        <w:rPr>
          <w:rFonts w:ascii="Calibri"/>
          <w:color w:val="231F20"/>
          <w:w w:val="105"/>
          <w:sz w:val="17"/>
        </w:rPr>
        <w:t>Scott,</w:t>
      </w:r>
      <w:r>
        <w:rPr>
          <w:rFonts w:ascii="Calibri"/>
          <w:color w:val="231F20"/>
          <w:spacing w:val="-18"/>
          <w:w w:val="105"/>
          <w:sz w:val="17"/>
        </w:rPr>
        <w:t> </w:t>
      </w:r>
      <w:r>
        <w:rPr>
          <w:rFonts w:ascii="Calibri"/>
          <w:i/>
          <w:color w:val="231F20"/>
          <w:w w:val="105"/>
          <w:sz w:val="17"/>
        </w:rPr>
        <w:t>Seeing</w:t>
      </w:r>
      <w:r>
        <w:rPr>
          <w:rFonts w:ascii="Calibri"/>
          <w:i/>
          <w:color w:val="231F20"/>
          <w:spacing w:val="-19"/>
          <w:w w:val="105"/>
          <w:sz w:val="17"/>
        </w:rPr>
        <w:t> </w:t>
      </w:r>
      <w:r>
        <w:rPr>
          <w:rFonts w:ascii="Calibri"/>
          <w:i/>
          <w:color w:val="231F20"/>
          <w:w w:val="105"/>
          <w:sz w:val="17"/>
        </w:rPr>
        <w:t>like</w:t>
      </w:r>
      <w:r>
        <w:rPr>
          <w:rFonts w:ascii="Calibri"/>
          <w:i/>
          <w:color w:val="231F20"/>
          <w:spacing w:val="-19"/>
          <w:w w:val="105"/>
          <w:sz w:val="17"/>
        </w:rPr>
        <w:t> </w:t>
      </w:r>
      <w:r>
        <w:rPr>
          <w:rFonts w:ascii="Calibri"/>
          <w:i/>
          <w:color w:val="231F20"/>
          <w:w w:val="105"/>
          <w:sz w:val="17"/>
        </w:rPr>
        <w:t>a</w:t>
      </w:r>
      <w:r>
        <w:rPr>
          <w:rFonts w:ascii="Calibri"/>
          <w:i/>
          <w:color w:val="231F20"/>
          <w:spacing w:val="-19"/>
          <w:w w:val="105"/>
          <w:sz w:val="17"/>
        </w:rPr>
        <w:t> </w:t>
      </w:r>
      <w:r>
        <w:rPr>
          <w:rFonts w:ascii="Calibri"/>
          <w:i/>
          <w:color w:val="231F20"/>
          <w:w w:val="105"/>
          <w:sz w:val="17"/>
        </w:rPr>
        <w:t>State.</w:t>
      </w:r>
      <w:r>
        <w:rPr>
          <w:rFonts w:ascii="Calibri"/>
          <w:i/>
          <w:color w:val="231F20"/>
          <w:spacing w:val="-19"/>
          <w:w w:val="105"/>
          <w:sz w:val="17"/>
        </w:rPr>
        <w:t> </w:t>
      </w:r>
      <w:r>
        <w:rPr>
          <w:rFonts w:ascii="Calibri"/>
          <w:i/>
          <w:color w:val="231F20"/>
          <w:w w:val="105"/>
          <w:sz w:val="17"/>
        </w:rPr>
        <w:t>How</w:t>
      </w:r>
      <w:r>
        <w:rPr>
          <w:rFonts w:ascii="Calibri"/>
          <w:i/>
          <w:color w:val="231F20"/>
          <w:spacing w:val="-19"/>
          <w:w w:val="105"/>
          <w:sz w:val="17"/>
        </w:rPr>
        <w:t> </w:t>
      </w:r>
      <w:r>
        <w:rPr>
          <w:rFonts w:ascii="Calibri"/>
          <w:i/>
          <w:color w:val="231F20"/>
          <w:w w:val="105"/>
          <w:sz w:val="17"/>
        </w:rPr>
        <w:t>Certain</w:t>
      </w:r>
      <w:r>
        <w:rPr>
          <w:rFonts w:ascii="Calibri"/>
          <w:i/>
          <w:color w:val="231F20"/>
          <w:spacing w:val="-19"/>
          <w:w w:val="105"/>
          <w:sz w:val="17"/>
        </w:rPr>
        <w:t> </w:t>
      </w:r>
      <w:r>
        <w:rPr>
          <w:rFonts w:ascii="Calibri"/>
          <w:i/>
          <w:color w:val="231F20"/>
          <w:w w:val="105"/>
          <w:sz w:val="17"/>
        </w:rPr>
        <w:t>Schemes</w:t>
      </w:r>
      <w:r>
        <w:rPr>
          <w:rFonts w:ascii="Calibri"/>
          <w:i/>
          <w:color w:val="231F20"/>
          <w:spacing w:val="-19"/>
          <w:w w:val="105"/>
          <w:sz w:val="17"/>
        </w:rPr>
        <w:t> </w:t>
      </w:r>
      <w:r>
        <w:rPr>
          <w:rFonts w:ascii="Calibri"/>
          <w:i/>
          <w:color w:val="231F20"/>
          <w:w w:val="105"/>
          <w:sz w:val="17"/>
        </w:rPr>
        <w:t>to</w:t>
      </w:r>
      <w:r>
        <w:rPr>
          <w:rFonts w:ascii="Calibri"/>
          <w:i/>
          <w:color w:val="231F20"/>
          <w:spacing w:val="-19"/>
          <w:w w:val="105"/>
          <w:sz w:val="17"/>
        </w:rPr>
        <w:t> </w:t>
      </w:r>
      <w:r>
        <w:rPr>
          <w:rFonts w:ascii="Calibri"/>
          <w:i/>
          <w:color w:val="231F20"/>
          <w:w w:val="105"/>
          <w:sz w:val="17"/>
        </w:rPr>
        <w:t>Improve</w:t>
      </w:r>
      <w:r>
        <w:rPr>
          <w:rFonts w:ascii="Calibri"/>
          <w:i/>
          <w:color w:val="231F20"/>
          <w:spacing w:val="-19"/>
          <w:w w:val="105"/>
          <w:sz w:val="17"/>
        </w:rPr>
        <w:t> </w:t>
      </w:r>
      <w:r>
        <w:rPr>
          <w:rFonts w:ascii="Calibri"/>
          <w:i/>
          <w:color w:val="231F20"/>
          <w:w w:val="105"/>
          <w:sz w:val="17"/>
        </w:rPr>
        <w:t>the</w:t>
      </w:r>
      <w:r>
        <w:rPr>
          <w:rFonts w:ascii="Calibri"/>
          <w:i/>
          <w:color w:val="231F20"/>
          <w:spacing w:val="-19"/>
          <w:w w:val="105"/>
          <w:sz w:val="17"/>
        </w:rPr>
        <w:t> </w:t>
      </w:r>
      <w:r>
        <w:rPr>
          <w:rFonts w:ascii="Calibri"/>
          <w:i/>
          <w:color w:val="231F20"/>
          <w:w w:val="105"/>
          <w:sz w:val="17"/>
        </w:rPr>
        <w:t>Human</w:t>
      </w:r>
      <w:r>
        <w:rPr>
          <w:rFonts w:ascii="Calibri"/>
          <w:i/>
          <w:color w:val="231F20"/>
          <w:spacing w:val="-19"/>
          <w:w w:val="105"/>
          <w:sz w:val="17"/>
        </w:rPr>
        <w:t> </w:t>
      </w:r>
      <w:r>
        <w:rPr>
          <w:rFonts w:ascii="Calibri"/>
          <w:i/>
          <w:color w:val="231F20"/>
          <w:w w:val="105"/>
          <w:sz w:val="17"/>
        </w:rPr>
        <w:t>Condition</w:t>
      </w:r>
      <w:r>
        <w:rPr>
          <w:rFonts w:ascii="Calibri"/>
          <w:i/>
          <w:color w:val="231F20"/>
          <w:spacing w:val="-19"/>
          <w:w w:val="105"/>
          <w:sz w:val="17"/>
        </w:rPr>
        <w:t> </w:t>
      </w:r>
      <w:r>
        <w:rPr>
          <w:rFonts w:ascii="Calibri"/>
          <w:i/>
          <w:color w:val="231F20"/>
          <w:w w:val="105"/>
          <w:sz w:val="17"/>
        </w:rPr>
        <w:t>Have</w:t>
      </w:r>
      <w:r>
        <w:rPr>
          <w:rFonts w:ascii="Calibri"/>
          <w:i/>
          <w:color w:val="231F20"/>
          <w:spacing w:val="-19"/>
          <w:w w:val="105"/>
          <w:sz w:val="17"/>
        </w:rPr>
        <w:t> </w:t>
      </w:r>
      <w:r>
        <w:rPr>
          <w:rFonts w:ascii="Calibri"/>
          <w:i/>
          <w:color w:val="231F20"/>
          <w:w w:val="105"/>
          <w:sz w:val="17"/>
        </w:rPr>
        <w:t>Failed</w:t>
      </w:r>
      <w:r>
        <w:rPr>
          <w:rFonts w:ascii="Calibri"/>
          <w:color w:val="231F20"/>
          <w:w w:val="105"/>
          <w:sz w:val="17"/>
        </w:rPr>
        <w:t>, New</w:t>
      </w:r>
      <w:r>
        <w:rPr>
          <w:rFonts w:ascii="Calibri"/>
          <w:color w:val="231F20"/>
          <w:spacing w:val="-25"/>
          <w:w w:val="105"/>
          <w:sz w:val="17"/>
        </w:rPr>
        <w:t> </w:t>
      </w:r>
      <w:r>
        <w:rPr>
          <w:rFonts w:ascii="Calibri"/>
          <w:color w:val="231F20"/>
          <w:w w:val="105"/>
          <w:sz w:val="17"/>
        </w:rPr>
        <w:t>Haven/London,</w:t>
      </w:r>
      <w:r>
        <w:rPr>
          <w:rFonts w:ascii="Calibri"/>
          <w:color w:val="231F20"/>
          <w:spacing w:val="-28"/>
          <w:w w:val="105"/>
          <w:sz w:val="17"/>
        </w:rPr>
        <w:t> </w:t>
      </w:r>
      <w:r>
        <w:rPr>
          <w:rFonts w:ascii="Calibri"/>
          <w:color w:val="231F20"/>
          <w:spacing w:val="-3"/>
          <w:w w:val="105"/>
          <w:sz w:val="17"/>
        </w:rPr>
        <w:t>Yale</w:t>
      </w:r>
      <w:r>
        <w:rPr>
          <w:rFonts w:ascii="Calibri"/>
          <w:color w:val="231F20"/>
          <w:spacing w:val="-25"/>
          <w:w w:val="105"/>
          <w:sz w:val="17"/>
        </w:rPr>
        <w:t> </w:t>
      </w:r>
      <w:r>
        <w:rPr>
          <w:rFonts w:ascii="Calibri"/>
          <w:color w:val="231F20"/>
          <w:w w:val="105"/>
          <w:sz w:val="17"/>
        </w:rPr>
        <w:t>University</w:t>
      </w:r>
      <w:r>
        <w:rPr>
          <w:rFonts w:ascii="Calibri"/>
          <w:color w:val="231F20"/>
          <w:spacing w:val="-25"/>
          <w:w w:val="105"/>
          <w:sz w:val="17"/>
        </w:rPr>
        <w:t> </w:t>
      </w:r>
      <w:r>
        <w:rPr>
          <w:rFonts w:ascii="Calibri"/>
          <w:color w:val="231F20"/>
          <w:w w:val="105"/>
          <w:sz w:val="17"/>
        </w:rPr>
        <w:t>Press,</w:t>
      </w:r>
      <w:r>
        <w:rPr>
          <w:rFonts w:ascii="Calibri"/>
          <w:color w:val="231F20"/>
          <w:spacing w:val="-25"/>
          <w:w w:val="105"/>
          <w:sz w:val="17"/>
        </w:rPr>
        <w:t> </w:t>
      </w:r>
      <w:r>
        <w:rPr>
          <w:rFonts w:ascii="Calibri"/>
          <w:color w:val="231F20"/>
          <w:w w:val="105"/>
          <w:sz w:val="17"/>
        </w:rPr>
        <w:t>1998.</w:t>
      </w:r>
    </w:p>
    <w:p>
      <w:pPr>
        <w:tabs>
          <w:tab w:pos="1331" w:val="left" w:leader="none"/>
        </w:tabs>
        <w:spacing w:before="656"/>
        <w:ind w:left="281" w:right="0" w:firstLine="0"/>
        <w:jc w:val="left"/>
        <w:rPr>
          <w:rFonts w:ascii="Calibri"/>
          <w:sz w:val="16"/>
        </w:rPr>
      </w:pPr>
      <w:r>
        <w:rPr/>
        <w:pict>
          <v:group style="position:absolute;margin-left:98.787804pt;margin-top:26.041187pt;width:20.4pt;height:43pt;mso-position-horizontal-relative:page;mso-position-vertical-relative:paragraph;z-index:-171784" coordorigin="1976,521" coordsize="408,860">
            <v:line style="position:absolute" from="2225,660" to="2225,1376" stroked="true" strokeweight=".35pt" strokecolor="#231f20"/>
            <v:shape style="position:absolute;left:2193;top:574;width:190;height:445" type="#_x0000_t75" stroked="false">
              <v:imagedata r:id="rId40" o:title=""/>
            </v:shape>
            <v:shape style="position:absolute;left:1976;top:521;width:250;height:502" type="#_x0000_t75" stroked="false">
              <v:imagedata r:id="rId41" o:title=""/>
            </v:shape>
            <w10:wrap type="none"/>
          </v:group>
        </w:pict>
      </w:r>
      <w:r>
        <w:rPr>
          <w:rFonts w:ascii="Arial"/>
          <w:color w:val="414042"/>
          <w:position w:val="-4"/>
          <w:sz w:val="20"/>
        </w:rPr>
        <w:t>58</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tabs>
          <w:tab w:pos="6916" w:val="right" w:leader="none"/>
        </w:tabs>
        <w:spacing w:before="548"/>
        <w:ind w:left="2861" w:right="0" w:firstLine="0"/>
        <w:jc w:val="left"/>
        <w:rPr>
          <w:rFonts w:ascii="Arial" w:hAnsi="Arial"/>
          <w:sz w:val="20"/>
        </w:rPr>
      </w:pPr>
      <w:r>
        <w:rPr/>
        <w:pict>
          <v:group style="position:absolute;margin-left:383.821014pt;margin-top:-.67927pt;width:8.65pt;height:41pt;mso-position-horizontal-relative:page;mso-position-vertical-relative:paragraph;z-index:-171712" coordorigin="7676,-14" coordsize="173,820">
            <v:line style="position:absolute" from="7681,-10" to="7681,687" stroked="true" strokeweight=".35pt" strokecolor="#231f20"/>
            <v:shape style="position:absolute;left:7676;top:414;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3"/>
          <w:sz w:val="14"/>
        </w:rPr>
        <w:t> </w:t>
      </w:r>
      <w:r>
        <w:rPr>
          <w:rFonts w:ascii="Lucida Sans Unicode" w:hAnsi="Lucida Sans Unicode"/>
          <w:color w:val="6D6E71"/>
          <w:sz w:val="14"/>
        </w:rPr>
        <w:t>ESTADO</w:t>
      </w:r>
      <w:r>
        <w:rPr>
          <w:rFonts w:ascii="Lucida Sans Unicode" w:hAnsi="Lucida Sans Unicode"/>
          <w:color w:val="6D6E71"/>
          <w:spacing w:val="-23"/>
          <w:sz w:val="14"/>
        </w:rPr>
        <w:t> </w:t>
      </w:r>
      <w:r>
        <w:rPr>
          <w:rFonts w:ascii="Lucida Sans Unicode" w:hAnsi="Lucida Sans Unicode"/>
          <w:color w:val="6D6E71"/>
          <w:sz w:val="14"/>
        </w:rPr>
        <w:t>GLOBAL</w:t>
      </w:r>
      <w:r>
        <w:rPr>
          <w:rFonts w:ascii="Lucida Sans Unicode" w:hAnsi="Lucida Sans Unicode"/>
          <w:color w:val="6D6E71"/>
          <w:spacing w:val="-23"/>
          <w:sz w:val="14"/>
        </w:rPr>
        <w:t> </w:t>
      </w:r>
      <w:r>
        <w:rPr>
          <w:rFonts w:ascii="Lucida Sans Unicode" w:hAnsi="Lucida Sans Unicode"/>
          <w:color w:val="6D6E71"/>
          <w:sz w:val="14"/>
        </w:rPr>
        <w:t>Y</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EVOLUCIÓN</w:t>
      </w:r>
      <w:r>
        <w:rPr>
          <w:rFonts w:ascii="Lucida Sans Unicode" w:hAnsi="Lucida Sans Unicode"/>
          <w:color w:val="6D6E71"/>
          <w:spacing w:val="-23"/>
          <w:sz w:val="14"/>
        </w:rPr>
        <w:t> </w:t>
      </w:r>
      <w:r>
        <w:rPr>
          <w:rFonts w:ascii="Lucida Sans Unicode" w:hAnsi="Lucida Sans Unicode"/>
          <w:color w:val="6D6E71"/>
          <w:sz w:val="14"/>
        </w:rPr>
        <w:t>DE</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SOBERANÍA</w:t>
      </w:r>
      <w:r>
        <w:rPr>
          <w:rFonts w:ascii="Arial" w:hAnsi="Arial"/>
          <w:color w:val="414042"/>
          <w:position w:val="-3"/>
          <w:sz w:val="20"/>
        </w:rPr>
        <w:tab/>
        <w:t>59</w:t>
      </w:r>
    </w:p>
    <w:p>
      <w:pPr>
        <w:pStyle w:val="BodyText"/>
        <w:rPr>
          <w:rFonts w:ascii="Arial"/>
          <w:sz w:val="20"/>
        </w:rPr>
      </w:pPr>
    </w:p>
    <w:p>
      <w:pPr>
        <w:pStyle w:val="BodyText"/>
        <w:rPr>
          <w:rFonts w:ascii="Arial"/>
          <w:sz w:val="20"/>
        </w:rPr>
      </w:pPr>
    </w:p>
    <w:p>
      <w:pPr>
        <w:pStyle w:val="BodyText"/>
        <w:spacing w:line="247" w:lineRule="auto" w:before="163"/>
        <w:ind w:left="117" w:right="11"/>
      </w:pPr>
      <w:r>
        <w:rPr>
          <w:color w:val="231F20"/>
        </w:rPr>
        <w:t>el </w:t>
      </w:r>
      <w:r>
        <w:rPr>
          <w:color w:val="231F20"/>
          <w:spacing w:val="-3"/>
        </w:rPr>
        <w:t>problema </w:t>
      </w:r>
      <w:r>
        <w:rPr>
          <w:color w:val="231F20"/>
        </w:rPr>
        <w:t>de la </w:t>
      </w:r>
      <w:r>
        <w:rPr>
          <w:color w:val="231F20"/>
          <w:spacing w:val="-3"/>
        </w:rPr>
        <w:t>legitimación </w:t>
      </w:r>
      <w:r>
        <w:rPr>
          <w:color w:val="231F20"/>
        </w:rPr>
        <w:t>del </w:t>
      </w:r>
      <w:r>
        <w:rPr>
          <w:color w:val="231F20"/>
          <w:spacing w:val="-3"/>
        </w:rPr>
        <w:t>Estado, esta </w:t>
      </w:r>
      <w:r>
        <w:rPr>
          <w:color w:val="231F20"/>
        </w:rPr>
        <w:t>vez no </w:t>
      </w:r>
      <w:r>
        <w:rPr>
          <w:color w:val="231F20"/>
          <w:spacing w:val="-3"/>
        </w:rPr>
        <w:t>referida </w:t>
      </w:r>
      <w:r>
        <w:rPr>
          <w:color w:val="231F20"/>
        </w:rPr>
        <w:t>a su </w:t>
      </w:r>
      <w:r>
        <w:rPr>
          <w:color w:val="231F20"/>
          <w:spacing w:val="-3"/>
        </w:rPr>
        <w:t>funciona- miento, sino directamente </w:t>
      </w:r>
      <w:r>
        <w:rPr>
          <w:color w:val="231F20"/>
        </w:rPr>
        <w:t>de </w:t>
      </w:r>
      <w:r>
        <w:rPr>
          <w:color w:val="231F20"/>
          <w:spacing w:val="-3"/>
        </w:rPr>
        <w:t>frente </w:t>
      </w:r>
      <w:r>
        <w:rPr>
          <w:color w:val="231F20"/>
        </w:rPr>
        <w:t>al </w:t>
      </w:r>
      <w:r>
        <w:rPr>
          <w:color w:val="231F20"/>
          <w:spacing w:val="-3"/>
        </w:rPr>
        <w:t>sujeto </w:t>
      </w:r>
      <w:r>
        <w:rPr>
          <w:color w:val="231F20"/>
        </w:rPr>
        <w:t>de su </w:t>
      </w:r>
      <w:r>
        <w:rPr>
          <w:color w:val="231F20"/>
          <w:spacing w:val="-3"/>
        </w:rPr>
        <w:t>legitimidad.</w:t>
      </w:r>
    </w:p>
    <w:p>
      <w:pPr>
        <w:pStyle w:val="BodyText"/>
        <w:spacing w:line="247" w:lineRule="auto"/>
        <w:ind w:left="117" w:right="101" w:firstLine="566"/>
        <w:jc w:val="both"/>
      </w:pPr>
      <w:r>
        <w:rPr>
          <w:color w:val="231F20"/>
        </w:rPr>
        <w:t>Por lo tanto, no es una casualidad que también los científicos políti- cos hayan comenzado a investigar el nexo entre Estado y cultura. El</w:t>
      </w:r>
      <w:r>
        <w:rPr>
          <w:color w:val="231F20"/>
          <w:spacing w:val="-40"/>
        </w:rPr>
        <w:t> </w:t>
      </w:r>
      <w:r>
        <w:rPr>
          <w:color w:val="231F20"/>
        </w:rPr>
        <w:t>llama- do “cambio cultural” corresponde a un cambio de prospectiva que es al mismo tiempo político y disciplinario</w:t>
      </w:r>
      <w:r>
        <w:rPr>
          <w:color w:val="231F20"/>
          <w:position w:val="7"/>
          <w:sz w:val="12"/>
        </w:rPr>
        <w:t>67</w:t>
      </w:r>
      <w:r>
        <w:rPr>
          <w:color w:val="231F20"/>
        </w:rPr>
        <w:t>. Lo que esto detona, desde nuestro punto de vista, es que la referencia a la cultura acompaña y sostiene y en ciertos</w:t>
      </w:r>
      <w:r>
        <w:rPr>
          <w:color w:val="231F20"/>
          <w:spacing w:val="-5"/>
        </w:rPr>
        <w:t> </w:t>
      </w:r>
      <w:r>
        <w:rPr>
          <w:color w:val="231F20"/>
        </w:rPr>
        <w:t>aspectos</w:t>
      </w:r>
      <w:r>
        <w:rPr>
          <w:color w:val="231F20"/>
          <w:spacing w:val="-5"/>
        </w:rPr>
        <w:t> </w:t>
      </w:r>
      <w:r>
        <w:rPr>
          <w:color w:val="231F20"/>
        </w:rPr>
        <w:t>sustituye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opinión.</w:t>
      </w:r>
      <w:r>
        <w:rPr>
          <w:color w:val="231F20"/>
          <w:spacing w:val="-5"/>
        </w:rPr>
        <w:t> </w:t>
      </w:r>
      <w:r>
        <w:rPr>
          <w:color w:val="231F20"/>
        </w:rPr>
        <w:t>Más</w:t>
      </w:r>
      <w:r>
        <w:rPr>
          <w:color w:val="231F20"/>
          <w:spacing w:val="-5"/>
        </w:rPr>
        <w:t> </w:t>
      </w:r>
      <w:r>
        <w:rPr>
          <w:color w:val="231F20"/>
        </w:rPr>
        <w:t>allá</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referencia</w:t>
      </w:r>
      <w:r>
        <w:rPr>
          <w:color w:val="231F20"/>
          <w:spacing w:val="-5"/>
        </w:rPr>
        <w:t> </w:t>
      </w:r>
      <w:r>
        <w:rPr>
          <w:color w:val="231F20"/>
        </w:rPr>
        <w:t>clásica</w:t>
      </w:r>
      <w:r>
        <w:rPr>
          <w:color w:val="231F20"/>
          <w:spacing w:val="-5"/>
        </w:rPr>
        <w:t> </w:t>
      </w:r>
      <w:r>
        <w:rPr>
          <w:color w:val="231F20"/>
        </w:rPr>
        <w:t>a</w:t>
      </w:r>
      <w:r>
        <w:rPr>
          <w:color w:val="231F20"/>
          <w:spacing w:val="-5"/>
        </w:rPr>
        <w:t> </w:t>
      </w:r>
      <w:r>
        <w:rPr>
          <w:color w:val="231F20"/>
        </w:rPr>
        <w:t>la cultura</w:t>
      </w:r>
      <w:r>
        <w:rPr>
          <w:color w:val="231F20"/>
          <w:spacing w:val="-12"/>
        </w:rPr>
        <w:t> </w:t>
      </w:r>
      <w:r>
        <w:rPr>
          <w:color w:val="231F20"/>
        </w:rPr>
        <w:t>cívica</w:t>
      </w:r>
      <w:r>
        <w:rPr>
          <w:color w:val="231F20"/>
          <w:spacing w:val="-12"/>
        </w:rPr>
        <w:t> </w:t>
      </w:r>
      <w:r>
        <w:rPr>
          <w:color w:val="231F20"/>
        </w:rPr>
        <w:t>y</w:t>
      </w:r>
      <w:r>
        <w:rPr>
          <w:color w:val="231F20"/>
          <w:spacing w:val="-12"/>
        </w:rPr>
        <w:t> </w:t>
      </w:r>
      <w:r>
        <w:rPr>
          <w:color w:val="231F20"/>
        </w:rPr>
        <w:t>política,</w:t>
      </w:r>
      <w:r>
        <w:rPr>
          <w:color w:val="231F20"/>
          <w:spacing w:val="-12"/>
        </w:rPr>
        <w:t> </w:t>
      </w:r>
      <w:r>
        <w:rPr>
          <w:color w:val="231F20"/>
        </w:rPr>
        <w:t>relacionar</w:t>
      </w:r>
      <w:r>
        <w:rPr>
          <w:color w:val="231F20"/>
          <w:spacing w:val="-12"/>
        </w:rPr>
        <w:t> </w:t>
      </w:r>
      <w:r>
        <w:rPr>
          <w:color w:val="231F20"/>
        </w:rPr>
        <w:t>cultura</w:t>
      </w:r>
      <w:r>
        <w:rPr>
          <w:color w:val="231F20"/>
          <w:spacing w:val="-12"/>
        </w:rPr>
        <w:t> </w:t>
      </w:r>
      <w:r>
        <w:rPr>
          <w:color w:val="231F20"/>
        </w:rPr>
        <w:t>y</w:t>
      </w:r>
      <w:r>
        <w:rPr>
          <w:color w:val="231F20"/>
          <w:spacing w:val="-12"/>
        </w:rPr>
        <w:t> </w:t>
      </w:r>
      <w:r>
        <w:rPr>
          <w:color w:val="231F20"/>
        </w:rPr>
        <w:t>Estado</w:t>
      </w:r>
      <w:r>
        <w:rPr>
          <w:color w:val="231F20"/>
          <w:spacing w:val="-12"/>
        </w:rPr>
        <w:t> </w:t>
      </w:r>
      <w:r>
        <w:rPr>
          <w:color w:val="231F20"/>
        </w:rPr>
        <w:t>significa</w:t>
      </w:r>
      <w:r>
        <w:rPr>
          <w:color w:val="231F20"/>
          <w:spacing w:val="-12"/>
        </w:rPr>
        <w:t> </w:t>
      </w:r>
      <w:r>
        <w:rPr>
          <w:color w:val="231F20"/>
        </w:rPr>
        <w:t>contextualizar</w:t>
      </w:r>
      <w:r>
        <w:rPr>
          <w:color w:val="231F20"/>
          <w:spacing w:val="-12"/>
        </w:rPr>
        <w:t> </w:t>
      </w:r>
      <w:r>
        <w:rPr>
          <w:color w:val="231F20"/>
        </w:rPr>
        <w:t>a este</w:t>
      </w:r>
      <w:r>
        <w:rPr>
          <w:color w:val="231F20"/>
          <w:spacing w:val="-7"/>
        </w:rPr>
        <w:t> </w:t>
      </w:r>
      <w:r>
        <w:rPr>
          <w:color w:val="231F20"/>
        </w:rPr>
        <w:t>último</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ámbito</w:t>
      </w:r>
      <w:r>
        <w:rPr>
          <w:color w:val="231F20"/>
          <w:spacing w:val="-7"/>
        </w:rPr>
        <w:t> </w:t>
      </w:r>
      <w:r>
        <w:rPr>
          <w:color w:val="231F20"/>
        </w:rPr>
        <w:t>prepolítico</w:t>
      </w:r>
      <w:r>
        <w:rPr>
          <w:color w:val="231F20"/>
          <w:spacing w:val="-7"/>
        </w:rPr>
        <w:t> </w:t>
      </w:r>
      <w:r>
        <w:rPr>
          <w:color w:val="231F20"/>
        </w:rPr>
        <w:t>e</w:t>
      </w:r>
      <w:r>
        <w:rPr>
          <w:color w:val="231F20"/>
          <w:spacing w:val="-7"/>
        </w:rPr>
        <w:t> </w:t>
      </w:r>
      <w:r>
        <w:rPr>
          <w:color w:val="231F20"/>
        </w:rPr>
        <w:t>incluso</w:t>
      </w:r>
      <w:r>
        <w:rPr>
          <w:color w:val="231F20"/>
          <w:spacing w:val="-7"/>
        </w:rPr>
        <w:t> </w:t>
      </w:r>
      <w:r>
        <w:rPr>
          <w:color w:val="231F20"/>
        </w:rPr>
        <w:t>apolítico.</w:t>
      </w:r>
      <w:r>
        <w:rPr>
          <w:color w:val="231F20"/>
          <w:spacing w:val="-7"/>
        </w:rPr>
        <w:t> </w:t>
      </w:r>
      <w:r>
        <w:rPr>
          <w:color w:val="231F20"/>
        </w:rPr>
        <w:t>Frente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multipli- cidad</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culturas</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trata</w:t>
      </w:r>
      <w:r>
        <w:rPr>
          <w:color w:val="231F20"/>
          <w:spacing w:val="-5"/>
        </w:rPr>
        <w:t> </w:t>
      </w:r>
      <w:r>
        <w:rPr>
          <w:color w:val="231F20"/>
        </w:rPr>
        <w:t>tanto</w:t>
      </w:r>
      <w:r>
        <w:rPr>
          <w:color w:val="231F20"/>
          <w:spacing w:val="-5"/>
        </w:rPr>
        <w:t> </w:t>
      </w:r>
      <w:r>
        <w:rPr>
          <w:color w:val="231F20"/>
        </w:rPr>
        <w:t>de</w:t>
      </w:r>
      <w:r>
        <w:rPr>
          <w:color w:val="231F20"/>
          <w:spacing w:val="-5"/>
        </w:rPr>
        <w:t> </w:t>
      </w:r>
      <w:r>
        <w:rPr>
          <w:color w:val="231F20"/>
        </w:rPr>
        <w:t>captar</w:t>
      </w:r>
      <w:r>
        <w:rPr>
          <w:color w:val="231F20"/>
          <w:spacing w:val="-5"/>
        </w:rPr>
        <w:t> </w:t>
      </w:r>
      <w:r>
        <w:rPr>
          <w:color w:val="231F20"/>
        </w:rPr>
        <w:t>o</w:t>
      </w:r>
      <w:r>
        <w:rPr>
          <w:color w:val="231F20"/>
          <w:spacing w:val="-5"/>
        </w:rPr>
        <w:t> </w:t>
      </w:r>
      <w:r>
        <w:rPr>
          <w:color w:val="231F20"/>
        </w:rPr>
        <w:t>subrayar</w:t>
      </w:r>
      <w:r>
        <w:rPr>
          <w:color w:val="231F20"/>
          <w:spacing w:val="-5"/>
        </w:rPr>
        <w:t> </w:t>
      </w:r>
      <w:r>
        <w:rPr>
          <w:color w:val="231F20"/>
        </w:rPr>
        <w:t>cómo</w:t>
      </w:r>
      <w:r>
        <w:rPr>
          <w:color w:val="231F20"/>
          <w:spacing w:val="-5"/>
        </w:rPr>
        <w:t> </w:t>
      </w:r>
      <w:r>
        <w:rPr>
          <w:color w:val="231F20"/>
        </w:rPr>
        <w:t>el</w:t>
      </w:r>
      <w:r>
        <w:rPr>
          <w:color w:val="231F20"/>
          <w:spacing w:val="-5"/>
        </w:rPr>
        <w:t> </w:t>
      </w:r>
      <w:r>
        <w:rPr>
          <w:color w:val="231F20"/>
        </w:rPr>
        <w:t>Estado influencia, relativiza y finalmente modifica las culturas que encuentra, sino de registrar su ser capturado desde las relaciones particulares y</w:t>
      </w:r>
      <w:r>
        <w:rPr>
          <w:color w:val="231F20"/>
          <w:spacing w:val="-45"/>
        </w:rPr>
        <w:t> </w:t>
      </w:r>
      <w:r>
        <w:rPr>
          <w:color w:val="231F20"/>
        </w:rPr>
        <w:t>descentra- lizadas que no consienten ni las certezas de la elección racional ni la inclu- sión diferencial de la ciudadanía multicultural. La centralidad reconocida a la cultura es un momento fundamental de aquella que podemos reconocer en la evanescencia de lo individual</w:t>
      </w:r>
      <w:r>
        <w:rPr>
          <w:color w:val="231F20"/>
          <w:position w:val="7"/>
          <w:sz w:val="12"/>
        </w:rPr>
        <w:t>68</w:t>
      </w:r>
      <w:r>
        <w:rPr>
          <w:color w:val="231F20"/>
        </w:rPr>
        <w:t>. Con el cambio cultural, en efecto, el individuo es definitivamente desposeído de su posición de supuesto del orden político moderno. Como consecuencia, se modifica la idea de una esfera pública unitaria tal como se ha dado históricamente al interior del Estado nacional, es </w:t>
      </w:r>
      <w:r>
        <w:rPr>
          <w:color w:val="231F20"/>
          <w:spacing w:val="-4"/>
        </w:rPr>
        <w:t>decir, </w:t>
      </w:r>
      <w:r>
        <w:rPr>
          <w:color w:val="231F20"/>
        </w:rPr>
        <w:t>como correlato, y fundamento de su legitimi- dad. Las opiniones, las posiciones respecto a los valores no se forman en el debate entre individuos, sino que son asignadas y reconocidas a partir de los ámbitos culturales, que son por definición plurales y no limitados al interior del Estado. Un segundo efecto es el de mostrar la globalización  no sólo como una ingenua e universal conexión de particularidades y de diferencias irreconciliables dentro de la forma histórica del Estado nacional moderno. Si la globalización evidentemente no ha borrado la presencia o la relevancia absoluta de los Estados nacionales, ha ciertamente interrum- pido el proceso de su afirmación como actores soberanos exclusivos de cuya uniformidad y conformidad a un modelo único vale la pena</w:t>
      </w:r>
      <w:r>
        <w:rPr>
          <w:color w:val="231F20"/>
          <w:spacing w:val="10"/>
        </w:rPr>
        <w:t> </w:t>
      </w:r>
      <w:r>
        <w:rPr>
          <w:color w:val="231F20"/>
        </w:rPr>
        <w:t>dudar</w:t>
      </w:r>
      <w:r>
        <w:rPr>
          <w:color w:val="231F20"/>
          <w:position w:val="7"/>
          <w:sz w:val="12"/>
        </w:rPr>
        <w:t>69</w:t>
      </w:r>
      <w:r>
        <w:rPr>
          <w:color w:val="231F20"/>
        </w:rPr>
        <w:t>.</w:t>
      </w:r>
    </w:p>
    <w:p>
      <w:pPr>
        <w:pStyle w:val="BodyText"/>
        <w:spacing w:line="247" w:lineRule="auto"/>
        <w:ind w:left="117" w:right="101" w:firstLine="566"/>
        <w:jc w:val="both"/>
      </w:pPr>
      <w:r>
        <w:rPr>
          <w:color w:val="231F20"/>
        </w:rPr>
        <w:t>A propósito de esta oscilación de la soberanía, Robert Latham es- cribe atinadamente que “la soberanía puede asociarse a una gama más amplia de aquella identificada sólo como Estado o del Estado; lo que está en juego en la soberanía no es el estatus de un agente (como puede ser el Estado) sino de un cuerpo de relaciones que dan forma a esferas de vida</w:t>
      </w:r>
      <w:r>
        <w:rPr>
          <w:color w:val="231F20"/>
          <w:spacing w:val="-5"/>
        </w:rPr>
        <w:t> </w:t>
      </w:r>
      <w:r>
        <w:rPr>
          <w:color w:val="231F20"/>
        </w:rPr>
        <w:t>operantes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spacing w:val="-3"/>
        </w:rPr>
        <w:t>interior,</w:t>
      </w:r>
      <w:r>
        <w:rPr>
          <w:color w:val="231F20"/>
          <w:spacing w:val="-5"/>
        </w:rPr>
        <w:t> </w:t>
      </w:r>
      <w:r>
        <w:rPr>
          <w:color w:val="231F20"/>
        </w:rPr>
        <w:t>pero</w:t>
      </w:r>
      <w:r>
        <w:rPr>
          <w:color w:val="231F20"/>
          <w:spacing w:val="-5"/>
        </w:rPr>
        <w:t> </w:t>
      </w:r>
      <w:r>
        <w:rPr>
          <w:color w:val="231F20"/>
        </w:rPr>
        <w:t>también</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fronteras</w:t>
      </w:r>
      <w:r>
        <w:rPr>
          <w:color w:val="231F20"/>
          <w:spacing w:val="-5"/>
        </w:rPr>
        <w:t> </w:t>
      </w:r>
      <w:r>
        <w:rPr>
          <w:color w:val="231F20"/>
        </w:rPr>
        <w:t>estata-</w:t>
      </w:r>
    </w:p>
    <w:p>
      <w:pPr>
        <w:pStyle w:val="BodyText"/>
        <w:rPr>
          <w:sz w:val="20"/>
        </w:rPr>
      </w:pPr>
    </w:p>
    <w:p>
      <w:pPr>
        <w:pStyle w:val="BodyText"/>
        <w:spacing w:before="10"/>
        <w:rPr>
          <w:sz w:val="10"/>
        </w:rPr>
      </w:pPr>
      <w:r>
        <w:rPr/>
        <w:pict>
          <v:line style="position:absolute;mso-position-horizontal-relative:page;mso-position-vertical-relative:paragraph;z-index:3664;mso-wrap-distance-left:0;mso-wrap-distance-right:0" from="70.866096pt,8.636672pt" to="184.252096pt,8.636672pt" stroked="true" strokeweight=".3pt" strokecolor="#231f20">
            <w10:wrap type="topAndBottom"/>
          </v:line>
        </w:pict>
      </w:r>
    </w:p>
    <w:p>
      <w:pPr>
        <w:spacing w:line="204" w:lineRule="exact" w:before="9"/>
        <w:ind w:left="117" w:right="0" w:firstLine="0"/>
        <w:jc w:val="left"/>
        <w:rPr>
          <w:rFonts w:ascii="Calibri" w:hAnsi="Calibri"/>
          <w:sz w:val="17"/>
        </w:rPr>
      </w:pPr>
      <w:r>
        <w:rPr>
          <w:rFonts w:ascii="Calibri" w:hAnsi="Calibri"/>
          <w:color w:val="231F20"/>
          <w:w w:val="105"/>
          <w:position w:val="6"/>
          <w:sz w:val="10"/>
        </w:rPr>
        <w:t>67</w:t>
      </w:r>
      <w:r>
        <w:rPr>
          <w:rFonts w:ascii="Calibri" w:hAnsi="Calibri"/>
          <w:color w:val="231F20"/>
          <w:spacing w:val="3"/>
          <w:w w:val="105"/>
          <w:position w:val="6"/>
          <w:sz w:val="10"/>
        </w:rPr>
        <w:t> </w:t>
      </w:r>
      <w:r>
        <w:rPr>
          <w:rFonts w:ascii="Calibri" w:hAnsi="Calibri"/>
          <w:color w:val="231F20"/>
          <w:w w:val="105"/>
          <w:sz w:val="17"/>
        </w:rPr>
        <w:t>G.</w:t>
      </w:r>
      <w:r>
        <w:rPr>
          <w:rFonts w:ascii="Calibri" w:hAnsi="Calibri"/>
          <w:color w:val="231F20"/>
          <w:spacing w:val="-14"/>
          <w:w w:val="105"/>
          <w:sz w:val="17"/>
        </w:rPr>
        <w:t> </w:t>
      </w:r>
      <w:r>
        <w:rPr>
          <w:rFonts w:ascii="Calibri" w:hAnsi="Calibri"/>
          <w:color w:val="231F20"/>
          <w:w w:val="105"/>
          <w:sz w:val="17"/>
        </w:rPr>
        <w:t>Steinmetz,</w:t>
      </w:r>
      <w:r>
        <w:rPr>
          <w:rFonts w:ascii="Calibri" w:hAnsi="Calibri"/>
          <w:color w:val="231F20"/>
          <w:spacing w:val="-14"/>
          <w:w w:val="105"/>
          <w:sz w:val="17"/>
        </w:rPr>
        <w:t> </w:t>
      </w:r>
      <w:r>
        <w:rPr>
          <w:rFonts w:ascii="Calibri" w:hAnsi="Calibri"/>
          <w:color w:val="231F20"/>
          <w:w w:val="105"/>
          <w:sz w:val="17"/>
        </w:rPr>
        <w:t>“Introduction:</w:t>
      </w:r>
      <w:r>
        <w:rPr>
          <w:rFonts w:ascii="Calibri" w:hAnsi="Calibri"/>
          <w:color w:val="231F20"/>
          <w:spacing w:val="-14"/>
          <w:w w:val="105"/>
          <w:sz w:val="17"/>
        </w:rPr>
        <w:t> </w:t>
      </w:r>
      <w:r>
        <w:rPr>
          <w:rFonts w:ascii="Calibri" w:hAnsi="Calibri"/>
          <w:color w:val="231F20"/>
          <w:w w:val="105"/>
          <w:sz w:val="17"/>
        </w:rPr>
        <w:t>Culture</w:t>
      </w:r>
      <w:r>
        <w:rPr>
          <w:rFonts w:ascii="Calibri" w:hAnsi="Calibri"/>
          <w:color w:val="231F20"/>
          <w:spacing w:val="-14"/>
          <w:w w:val="105"/>
          <w:sz w:val="17"/>
        </w:rPr>
        <w:t> </w:t>
      </w:r>
      <w:r>
        <w:rPr>
          <w:rFonts w:ascii="Calibri" w:hAnsi="Calibri"/>
          <w:color w:val="231F20"/>
          <w:w w:val="105"/>
          <w:sz w:val="17"/>
        </w:rPr>
        <w:t>and</w:t>
      </w:r>
      <w:r>
        <w:rPr>
          <w:rFonts w:ascii="Calibri" w:hAnsi="Calibri"/>
          <w:color w:val="231F20"/>
          <w:spacing w:val="-14"/>
          <w:w w:val="105"/>
          <w:sz w:val="17"/>
        </w:rPr>
        <w:t> </w:t>
      </w:r>
      <w:r>
        <w:rPr>
          <w:rFonts w:ascii="Calibri" w:hAnsi="Calibri"/>
          <w:color w:val="231F20"/>
          <w:w w:val="105"/>
          <w:sz w:val="17"/>
        </w:rPr>
        <w:t>the</w:t>
      </w:r>
      <w:r>
        <w:rPr>
          <w:rFonts w:ascii="Calibri" w:hAnsi="Calibri"/>
          <w:color w:val="231F20"/>
          <w:spacing w:val="-14"/>
          <w:w w:val="105"/>
          <w:sz w:val="17"/>
        </w:rPr>
        <w:t> </w:t>
      </w:r>
      <w:r>
        <w:rPr>
          <w:rFonts w:ascii="Calibri" w:hAnsi="Calibri"/>
          <w:color w:val="231F20"/>
          <w:w w:val="105"/>
          <w:sz w:val="17"/>
        </w:rPr>
        <w:t>State”,</w:t>
      </w:r>
      <w:r>
        <w:rPr>
          <w:rFonts w:ascii="Calibri" w:hAnsi="Calibri"/>
          <w:color w:val="231F20"/>
          <w:spacing w:val="-14"/>
          <w:w w:val="105"/>
          <w:sz w:val="17"/>
        </w:rPr>
        <w:t> </w:t>
      </w:r>
      <w:r>
        <w:rPr>
          <w:rFonts w:ascii="Calibri" w:hAnsi="Calibri"/>
          <w:color w:val="231F20"/>
          <w:w w:val="105"/>
          <w:sz w:val="17"/>
        </w:rPr>
        <w:t>G.</w:t>
      </w:r>
      <w:r>
        <w:rPr>
          <w:rFonts w:ascii="Calibri" w:hAnsi="Calibri"/>
          <w:color w:val="231F20"/>
          <w:spacing w:val="-14"/>
          <w:w w:val="105"/>
          <w:sz w:val="17"/>
        </w:rPr>
        <w:t> </w:t>
      </w:r>
      <w:r>
        <w:rPr>
          <w:rFonts w:ascii="Calibri" w:hAnsi="Calibri"/>
          <w:color w:val="231F20"/>
          <w:w w:val="105"/>
          <w:sz w:val="17"/>
        </w:rPr>
        <w:t>Steinmetz</w:t>
      </w:r>
      <w:r>
        <w:rPr>
          <w:rFonts w:ascii="Calibri" w:hAnsi="Calibri"/>
          <w:color w:val="231F20"/>
          <w:spacing w:val="-14"/>
          <w:w w:val="105"/>
          <w:sz w:val="17"/>
        </w:rPr>
        <w:t> </w:t>
      </w:r>
      <w:r>
        <w:rPr>
          <w:rFonts w:ascii="Calibri" w:hAnsi="Calibri"/>
          <w:color w:val="231F20"/>
          <w:w w:val="105"/>
          <w:sz w:val="17"/>
        </w:rPr>
        <w:t>(Ed.),</w:t>
      </w:r>
      <w:r>
        <w:rPr>
          <w:rFonts w:ascii="Calibri" w:hAnsi="Calibri"/>
          <w:color w:val="231F20"/>
          <w:spacing w:val="-13"/>
          <w:w w:val="105"/>
          <w:sz w:val="17"/>
        </w:rPr>
        <w:t> </w:t>
      </w:r>
      <w:r>
        <w:rPr>
          <w:rFonts w:ascii="Calibri" w:hAnsi="Calibri"/>
          <w:i/>
          <w:color w:val="231F20"/>
          <w:w w:val="105"/>
          <w:sz w:val="17"/>
        </w:rPr>
        <w:t>State/Culture:</w:t>
      </w:r>
      <w:r>
        <w:rPr>
          <w:rFonts w:ascii="Calibri" w:hAnsi="Calibri"/>
          <w:i/>
          <w:color w:val="231F20"/>
          <w:spacing w:val="-15"/>
          <w:w w:val="105"/>
          <w:sz w:val="17"/>
        </w:rPr>
        <w:t> </w:t>
      </w:r>
      <w:r>
        <w:rPr>
          <w:rFonts w:ascii="Calibri" w:hAnsi="Calibri"/>
          <w:i/>
          <w:color w:val="231F20"/>
          <w:w w:val="105"/>
          <w:sz w:val="17"/>
        </w:rPr>
        <w:t>State</w:t>
      </w:r>
      <w:r>
        <w:rPr>
          <w:rFonts w:ascii="Calibri" w:hAnsi="Calibri"/>
          <w:i/>
          <w:color w:val="231F20"/>
          <w:spacing w:val="-15"/>
          <w:w w:val="105"/>
          <w:sz w:val="17"/>
        </w:rPr>
        <w:t> </w:t>
      </w:r>
      <w:r>
        <w:rPr>
          <w:rFonts w:ascii="Calibri" w:hAnsi="Calibri"/>
          <w:i/>
          <w:color w:val="231F20"/>
          <w:w w:val="105"/>
          <w:sz w:val="17"/>
        </w:rPr>
        <w:t>For- </w:t>
      </w:r>
      <w:r>
        <w:rPr>
          <w:rFonts w:ascii="Calibri" w:hAnsi="Calibri"/>
          <w:i/>
          <w:color w:val="231F20"/>
          <w:w w:val="105"/>
          <w:sz w:val="17"/>
        </w:rPr>
        <w:t>mation</w:t>
      </w:r>
      <w:r>
        <w:rPr>
          <w:rFonts w:ascii="Calibri" w:hAnsi="Calibri"/>
          <w:i/>
          <w:color w:val="231F20"/>
          <w:spacing w:val="-20"/>
          <w:w w:val="105"/>
          <w:sz w:val="17"/>
        </w:rPr>
        <w:t> </w:t>
      </w:r>
      <w:r>
        <w:rPr>
          <w:rFonts w:ascii="Calibri" w:hAnsi="Calibri"/>
          <w:i/>
          <w:color w:val="231F20"/>
          <w:w w:val="105"/>
          <w:sz w:val="17"/>
        </w:rPr>
        <w:t>after</w:t>
      </w:r>
      <w:r>
        <w:rPr>
          <w:rFonts w:ascii="Calibri" w:hAnsi="Calibri"/>
          <w:i/>
          <w:color w:val="231F20"/>
          <w:spacing w:val="-20"/>
          <w:w w:val="105"/>
          <w:sz w:val="17"/>
        </w:rPr>
        <w:t> </w:t>
      </w:r>
      <w:r>
        <w:rPr>
          <w:rFonts w:ascii="Calibri" w:hAnsi="Calibri"/>
          <w:i/>
          <w:color w:val="231F20"/>
          <w:w w:val="105"/>
          <w:sz w:val="17"/>
        </w:rPr>
        <w:t>the</w:t>
      </w:r>
      <w:r>
        <w:rPr>
          <w:rFonts w:ascii="Calibri" w:hAnsi="Calibri"/>
          <w:i/>
          <w:color w:val="231F20"/>
          <w:spacing w:val="-20"/>
          <w:w w:val="105"/>
          <w:sz w:val="17"/>
        </w:rPr>
        <w:t> </w:t>
      </w:r>
      <w:r>
        <w:rPr>
          <w:rFonts w:ascii="Calibri" w:hAnsi="Calibri"/>
          <w:i/>
          <w:color w:val="231F20"/>
          <w:w w:val="105"/>
          <w:sz w:val="17"/>
        </w:rPr>
        <w:t>Cultural</w:t>
      </w:r>
      <w:r>
        <w:rPr>
          <w:rFonts w:ascii="Calibri" w:hAnsi="Calibri"/>
          <w:i/>
          <w:color w:val="231F20"/>
          <w:spacing w:val="-22"/>
          <w:w w:val="105"/>
          <w:sz w:val="17"/>
        </w:rPr>
        <w:t> </w:t>
      </w:r>
      <w:r>
        <w:rPr>
          <w:rFonts w:ascii="Calibri" w:hAnsi="Calibri"/>
          <w:i/>
          <w:color w:val="231F20"/>
          <w:spacing w:val="-3"/>
          <w:w w:val="105"/>
          <w:sz w:val="17"/>
        </w:rPr>
        <w:t>Turn</w:t>
      </w:r>
      <w:r>
        <w:rPr>
          <w:rFonts w:ascii="Calibri" w:hAnsi="Calibri"/>
          <w:color w:val="231F20"/>
          <w:spacing w:val="-3"/>
          <w:w w:val="105"/>
          <w:sz w:val="17"/>
        </w:rPr>
        <w:t>,</w:t>
      </w:r>
      <w:r>
        <w:rPr>
          <w:rFonts w:ascii="Calibri" w:hAnsi="Calibri"/>
          <w:color w:val="231F20"/>
          <w:spacing w:val="-19"/>
          <w:w w:val="105"/>
          <w:sz w:val="17"/>
        </w:rPr>
        <w:t> </w:t>
      </w:r>
      <w:r>
        <w:rPr>
          <w:rFonts w:ascii="Calibri" w:hAnsi="Calibri"/>
          <w:color w:val="231F20"/>
          <w:w w:val="105"/>
          <w:sz w:val="17"/>
        </w:rPr>
        <w:t>Ithaca,</w:t>
      </w:r>
      <w:r>
        <w:rPr>
          <w:rFonts w:ascii="Calibri" w:hAnsi="Calibri"/>
          <w:color w:val="231F20"/>
          <w:spacing w:val="-19"/>
          <w:w w:val="105"/>
          <w:sz w:val="17"/>
        </w:rPr>
        <w:t> </w:t>
      </w:r>
      <w:r>
        <w:rPr>
          <w:rFonts w:ascii="Calibri" w:hAnsi="Calibri"/>
          <w:color w:val="231F20"/>
          <w:spacing w:val="-9"/>
          <w:w w:val="105"/>
          <w:sz w:val="17"/>
        </w:rPr>
        <w:t>N.Y,</w:t>
      </w:r>
      <w:r>
        <w:rPr>
          <w:rFonts w:ascii="Calibri" w:hAnsi="Calibri"/>
          <w:color w:val="231F20"/>
          <w:spacing w:val="-19"/>
          <w:w w:val="105"/>
          <w:sz w:val="17"/>
        </w:rPr>
        <w:t> </w:t>
      </w:r>
      <w:r>
        <w:rPr>
          <w:rFonts w:ascii="Calibri" w:hAnsi="Calibri"/>
          <w:color w:val="231F20"/>
          <w:w w:val="105"/>
          <w:sz w:val="17"/>
        </w:rPr>
        <w:t>Cornell</w:t>
      </w:r>
      <w:r>
        <w:rPr>
          <w:rFonts w:ascii="Calibri" w:hAnsi="Calibri"/>
          <w:color w:val="231F20"/>
          <w:spacing w:val="-19"/>
          <w:w w:val="105"/>
          <w:sz w:val="17"/>
        </w:rPr>
        <w:t> </w:t>
      </w:r>
      <w:r>
        <w:rPr>
          <w:rFonts w:ascii="Calibri" w:hAnsi="Calibri"/>
          <w:color w:val="231F20"/>
          <w:w w:val="105"/>
          <w:sz w:val="17"/>
        </w:rPr>
        <w:t>University</w:t>
      </w:r>
      <w:r>
        <w:rPr>
          <w:rFonts w:ascii="Calibri" w:hAnsi="Calibri"/>
          <w:color w:val="231F20"/>
          <w:spacing w:val="-19"/>
          <w:w w:val="105"/>
          <w:sz w:val="17"/>
        </w:rPr>
        <w:t> </w:t>
      </w:r>
      <w:r>
        <w:rPr>
          <w:rFonts w:ascii="Calibri" w:hAnsi="Calibri"/>
          <w:color w:val="231F20"/>
          <w:w w:val="105"/>
          <w:sz w:val="17"/>
        </w:rPr>
        <w:t>Press,</w:t>
      </w:r>
      <w:r>
        <w:rPr>
          <w:rFonts w:ascii="Calibri" w:hAnsi="Calibri"/>
          <w:color w:val="231F20"/>
          <w:spacing w:val="-19"/>
          <w:w w:val="105"/>
          <w:sz w:val="17"/>
        </w:rPr>
        <w:t> </w:t>
      </w:r>
      <w:r>
        <w:rPr>
          <w:rFonts w:ascii="Calibri" w:hAnsi="Calibri"/>
          <w:color w:val="231F20"/>
          <w:w w:val="105"/>
          <w:sz w:val="17"/>
        </w:rPr>
        <w:t>1999.</w:t>
      </w:r>
    </w:p>
    <w:p>
      <w:pPr>
        <w:spacing w:line="206" w:lineRule="exact" w:before="1"/>
        <w:ind w:left="117" w:right="0" w:firstLine="0"/>
        <w:jc w:val="left"/>
        <w:rPr>
          <w:rFonts w:ascii="Calibri" w:hAnsi="Calibri"/>
          <w:sz w:val="17"/>
        </w:rPr>
      </w:pPr>
      <w:r>
        <w:rPr>
          <w:rFonts w:ascii="Calibri" w:hAnsi="Calibri"/>
          <w:color w:val="231F20"/>
          <w:position w:val="6"/>
          <w:sz w:val="10"/>
        </w:rPr>
        <w:t>68 </w:t>
      </w:r>
      <w:r>
        <w:rPr>
          <w:rFonts w:ascii="Calibri" w:hAnsi="Calibri"/>
          <w:color w:val="231F20"/>
          <w:sz w:val="17"/>
        </w:rPr>
        <w:t>Ricciardi, </w:t>
      </w:r>
      <w:r>
        <w:rPr>
          <w:rFonts w:ascii="Calibri" w:hAnsi="Calibri"/>
          <w:i/>
          <w:color w:val="231F20"/>
          <w:sz w:val="17"/>
        </w:rPr>
        <w:t>La società come ordine</w:t>
      </w:r>
      <w:r>
        <w:rPr>
          <w:rFonts w:ascii="Calibri" w:hAnsi="Calibri"/>
          <w:color w:val="231F20"/>
          <w:sz w:val="17"/>
        </w:rPr>
        <w:t>, pp. 223–224.</w:t>
      </w:r>
    </w:p>
    <w:p>
      <w:pPr>
        <w:spacing w:line="235" w:lineRule="auto" w:before="1"/>
        <w:ind w:left="117" w:right="99" w:firstLine="0"/>
        <w:jc w:val="left"/>
        <w:rPr>
          <w:rFonts w:ascii="Calibri" w:hAnsi="Calibri"/>
          <w:sz w:val="17"/>
        </w:rPr>
      </w:pPr>
      <w:r>
        <w:rPr>
          <w:rFonts w:ascii="Calibri" w:hAnsi="Calibri"/>
          <w:color w:val="231F20"/>
          <w:w w:val="105"/>
          <w:position w:val="6"/>
          <w:sz w:val="10"/>
        </w:rPr>
        <w:t>69</w:t>
      </w:r>
      <w:r>
        <w:rPr>
          <w:rFonts w:ascii="Calibri" w:hAnsi="Calibri"/>
          <w:color w:val="231F20"/>
          <w:spacing w:val="-5"/>
          <w:w w:val="105"/>
          <w:position w:val="6"/>
          <w:sz w:val="10"/>
        </w:rPr>
        <w:t> </w:t>
      </w:r>
      <w:r>
        <w:rPr>
          <w:rFonts w:ascii="Calibri" w:hAnsi="Calibri"/>
          <w:color w:val="231F20"/>
          <w:w w:val="105"/>
          <w:sz w:val="17"/>
        </w:rPr>
        <w:t>M.</w:t>
      </w:r>
      <w:r>
        <w:rPr>
          <w:rFonts w:ascii="Calibri" w:hAnsi="Calibri"/>
          <w:color w:val="231F20"/>
          <w:spacing w:val="-21"/>
          <w:w w:val="105"/>
          <w:sz w:val="17"/>
        </w:rPr>
        <w:t> </w:t>
      </w:r>
      <w:r>
        <w:rPr>
          <w:rFonts w:ascii="Calibri" w:hAnsi="Calibri"/>
          <w:color w:val="231F20"/>
          <w:w w:val="105"/>
          <w:sz w:val="17"/>
        </w:rPr>
        <w:t>Mann,</w:t>
      </w:r>
      <w:r>
        <w:rPr>
          <w:rFonts w:ascii="Calibri" w:hAnsi="Calibri"/>
          <w:color w:val="231F20"/>
          <w:spacing w:val="-21"/>
          <w:w w:val="105"/>
          <w:sz w:val="17"/>
        </w:rPr>
        <w:t> </w:t>
      </w:r>
      <w:r>
        <w:rPr>
          <w:rFonts w:ascii="Calibri" w:hAnsi="Calibri"/>
          <w:color w:val="231F20"/>
          <w:w w:val="105"/>
          <w:sz w:val="17"/>
        </w:rPr>
        <w:t>“Has</w:t>
      </w:r>
      <w:r>
        <w:rPr>
          <w:rFonts w:ascii="Calibri" w:hAnsi="Calibri"/>
          <w:color w:val="231F20"/>
          <w:spacing w:val="-21"/>
          <w:w w:val="105"/>
          <w:sz w:val="17"/>
        </w:rPr>
        <w:t> </w:t>
      </w:r>
      <w:r>
        <w:rPr>
          <w:rFonts w:ascii="Calibri" w:hAnsi="Calibri"/>
          <w:color w:val="231F20"/>
          <w:w w:val="105"/>
          <w:sz w:val="17"/>
        </w:rPr>
        <w:t>Globalization</w:t>
      </w:r>
      <w:r>
        <w:rPr>
          <w:rFonts w:ascii="Calibri" w:hAnsi="Calibri"/>
          <w:color w:val="231F20"/>
          <w:spacing w:val="-21"/>
          <w:w w:val="105"/>
          <w:sz w:val="17"/>
        </w:rPr>
        <w:t> </w:t>
      </w:r>
      <w:r>
        <w:rPr>
          <w:rFonts w:ascii="Calibri" w:hAnsi="Calibri"/>
          <w:color w:val="231F20"/>
          <w:w w:val="105"/>
          <w:sz w:val="17"/>
        </w:rPr>
        <w:t>Ended</w:t>
      </w:r>
      <w:r>
        <w:rPr>
          <w:rFonts w:ascii="Calibri" w:hAnsi="Calibri"/>
          <w:color w:val="231F20"/>
          <w:spacing w:val="-21"/>
          <w:w w:val="105"/>
          <w:sz w:val="17"/>
        </w:rPr>
        <w:t> </w:t>
      </w:r>
      <w:r>
        <w:rPr>
          <w:rFonts w:ascii="Calibri" w:hAnsi="Calibri"/>
          <w:color w:val="231F20"/>
          <w:w w:val="105"/>
          <w:sz w:val="17"/>
        </w:rPr>
        <w:t>the</w:t>
      </w:r>
      <w:r>
        <w:rPr>
          <w:rFonts w:ascii="Calibri" w:hAnsi="Calibri"/>
          <w:color w:val="231F20"/>
          <w:spacing w:val="-21"/>
          <w:w w:val="105"/>
          <w:sz w:val="17"/>
        </w:rPr>
        <w:t> </w:t>
      </w:r>
      <w:r>
        <w:rPr>
          <w:rFonts w:ascii="Calibri" w:hAnsi="Calibri"/>
          <w:color w:val="231F20"/>
          <w:w w:val="105"/>
          <w:sz w:val="17"/>
        </w:rPr>
        <w:t>Rise</w:t>
      </w:r>
      <w:r>
        <w:rPr>
          <w:rFonts w:ascii="Calibri" w:hAnsi="Calibri"/>
          <w:color w:val="231F20"/>
          <w:spacing w:val="-21"/>
          <w:w w:val="105"/>
          <w:sz w:val="17"/>
        </w:rPr>
        <w:t> </w:t>
      </w:r>
      <w:r>
        <w:rPr>
          <w:rFonts w:ascii="Calibri" w:hAnsi="Calibri"/>
          <w:color w:val="231F20"/>
          <w:w w:val="105"/>
          <w:sz w:val="17"/>
        </w:rPr>
        <w:t>and</w:t>
      </w:r>
      <w:r>
        <w:rPr>
          <w:rFonts w:ascii="Calibri" w:hAnsi="Calibri"/>
          <w:color w:val="231F20"/>
          <w:spacing w:val="-21"/>
          <w:w w:val="105"/>
          <w:sz w:val="17"/>
        </w:rPr>
        <w:t> </w:t>
      </w:r>
      <w:r>
        <w:rPr>
          <w:rFonts w:ascii="Calibri" w:hAnsi="Calibri"/>
          <w:color w:val="231F20"/>
          <w:w w:val="105"/>
          <w:sz w:val="17"/>
        </w:rPr>
        <w:t>Rise</w:t>
      </w:r>
      <w:r>
        <w:rPr>
          <w:rFonts w:ascii="Calibri" w:hAnsi="Calibri"/>
          <w:color w:val="231F20"/>
          <w:spacing w:val="-21"/>
          <w:w w:val="105"/>
          <w:sz w:val="17"/>
        </w:rPr>
        <w:t> </w:t>
      </w:r>
      <w:r>
        <w:rPr>
          <w:rFonts w:ascii="Calibri" w:hAnsi="Calibri"/>
          <w:color w:val="231F20"/>
          <w:w w:val="105"/>
          <w:sz w:val="17"/>
        </w:rPr>
        <w:t>of</w:t>
      </w:r>
      <w:r>
        <w:rPr>
          <w:rFonts w:ascii="Calibri" w:hAnsi="Calibri"/>
          <w:color w:val="231F20"/>
          <w:spacing w:val="-21"/>
          <w:w w:val="105"/>
          <w:sz w:val="17"/>
        </w:rPr>
        <w:t> </w:t>
      </w:r>
      <w:r>
        <w:rPr>
          <w:rFonts w:ascii="Calibri" w:hAnsi="Calibri"/>
          <w:color w:val="231F20"/>
          <w:w w:val="105"/>
          <w:sz w:val="17"/>
        </w:rPr>
        <w:t>the</w:t>
      </w:r>
      <w:r>
        <w:rPr>
          <w:rFonts w:ascii="Calibri" w:hAnsi="Calibri"/>
          <w:color w:val="231F20"/>
          <w:spacing w:val="-21"/>
          <w:w w:val="105"/>
          <w:sz w:val="17"/>
        </w:rPr>
        <w:t> </w:t>
      </w:r>
      <w:r>
        <w:rPr>
          <w:rFonts w:ascii="Calibri" w:hAnsi="Calibri"/>
          <w:color w:val="231F20"/>
          <w:w w:val="105"/>
          <w:sz w:val="17"/>
        </w:rPr>
        <w:t>Nation–State?”,</w:t>
      </w:r>
      <w:r>
        <w:rPr>
          <w:rFonts w:ascii="Calibri" w:hAnsi="Calibri"/>
          <w:color w:val="231F20"/>
          <w:spacing w:val="-22"/>
          <w:w w:val="105"/>
          <w:sz w:val="17"/>
        </w:rPr>
        <w:t> </w:t>
      </w:r>
      <w:r>
        <w:rPr>
          <w:rFonts w:ascii="Calibri" w:hAnsi="Calibri"/>
          <w:i/>
          <w:color w:val="231F20"/>
          <w:w w:val="105"/>
          <w:sz w:val="17"/>
        </w:rPr>
        <w:t>Review</w:t>
      </w:r>
      <w:r>
        <w:rPr>
          <w:rFonts w:ascii="Calibri" w:hAnsi="Calibri"/>
          <w:i/>
          <w:color w:val="231F20"/>
          <w:spacing w:val="-22"/>
          <w:w w:val="105"/>
          <w:sz w:val="17"/>
        </w:rPr>
        <w:t> </w:t>
      </w:r>
      <w:r>
        <w:rPr>
          <w:rFonts w:ascii="Calibri" w:hAnsi="Calibri"/>
          <w:i/>
          <w:color w:val="231F20"/>
          <w:w w:val="105"/>
          <w:sz w:val="17"/>
        </w:rPr>
        <w:t>of</w:t>
      </w:r>
      <w:r>
        <w:rPr>
          <w:rFonts w:ascii="Calibri" w:hAnsi="Calibri"/>
          <w:i/>
          <w:color w:val="231F20"/>
          <w:spacing w:val="-22"/>
          <w:w w:val="105"/>
          <w:sz w:val="17"/>
        </w:rPr>
        <w:t> </w:t>
      </w:r>
      <w:r>
        <w:rPr>
          <w:rFonts w:ascii="Calibri" w:hAnsi="Calibri"/>
          <w:i/>
          <w:color w:val="231F20"/>
          <w:w w:val="105"/>
          <w:sz w:val="17"/>
        </w:rPr>
        <w:t>Internatio- </w:t>
      </w:r>
      <w:r>
        <w:rPr>
          <w:rFonts w:ascii="Calibri" w:hAnsi="Calibri"/>
          <w:i/>
          <w:color w:val="231F20"/>
          <w:sz w:val="17"/>
        </w:rPr>
        <w:t>nal</w:t>
      </w:r>
      <w:r>
        <w:rPr>
          <w:rFonts w:ascii="Calibri" w:hAnsi="Calibri"/>
          <w:i/>
          <w:color w:val="231F20"/>
          <w:spacing w:val="-7"/>
          <w:sz w:val="17"/>
        </w:rPr>
        <w:t> </w:t>
      </w:r>
      <w:r>
        <w:rPr>
          <w:rFonts w:ascii="Calibri" w:hAnsi="Calibri"/>
          <w:i/>
          <w:color w:val="231F20"/>
          <w:sz w:val="17"/>
        </w:rPr>
        <w:t>Political</w:t>
      </w:r>
      <w:r>
        <w:rPr>
          <w:rFonts w:ascii="Calibri" w:hAnsi="Calibri"/>
          <w:i/>
          <w:color w:val="231F20"/>
          <w:spacing w:val="-7"/>
          <w:sz w:val="17"/>
        </w:rPr>
        <w:t> </w:t>
      </w:r>
      <w:r>
        <w:rPr>
          <w:rFonts w:ascii="Calibri" w:hAnsi="Calibri"/>
          <w:i/>
          <w:color w:val="231F20"/>
          <w:sz w:val="17"/>
        </w:rPr>
        <w:t>Economy</w:t>
      </w:r>
      <w:r>
        <w:rPr>
          <w:rFonts w:ascii="Calibri" w:hAnsi="Calibri"/>
          <w:color w:val="231F20"/>
          <w:sz w:val="17"/>
        </w:rPr>
        <w:t>,</w:t>
      </w:r>
      <w:r>
        <w:rPr>
          <w:rFonts w:ascii="Calibri" w:hAnsi="Calibri"/>
          <w:color w:val="231F20"/>
          <w:spacing w:val="-7"/>
          <w:sz w:val="17"/>
        </w:rPr>
        <w:t> </w:t>
      </w:r>
      <w:r>
        <w:rPr>
          <w:rFonts w:ascii="Calibri" w:hAnsi="Calibri"/>
          <w:color w:val="231F20"/>
          <w:sz w:val="17"/>
        </w:rPr>
        <w:t>4,</w:t>
      </w:r>
      <w:r>
        <w:rPr>
          <w:rFonts w:ascii="Calibri" w:hAnsi="Calibri"/>
          <w:color w:val="231F20"/>
          <w:spacing w:val="-7"/>
          <w:sz w:val="17"/>
        </w:rPr>
        <w:t> </w:t>
      </w:r>
      <w:r>
        <w:rPr>
          <w:rFonts w:ascii="Calibri" w:hAnsi="Calibri"/>
          <w:color w:val="231F20"/>
          <w:sz w:val="17"/>
        </w:rPr>
        <w:t>3,</w:t>
      </w:r>
      <w:r>
        <w:rPr>
          <w:rFonts w:ascii="Calibri" w:hAnsi="Calibri"/>
          <w:color w:val="231F20"/>
          <w:spacing w:val="-7"/>
          <w:sz w:val="17"/>
        </w:rPr>
        <w:t> </w:t>
      </w:r>
      <w:r>
        <w:rPr>
          <w:rFonts w:ascii="Calibri" w:hAnsi="Calibri"/>
          <w:color w:val="231F20"/>
          <w:sz w:val="17"/>
        </w:rPr>
        <w:t>1998,</w:t>
      </w:r>
      <w:r>
        <w:rPr>
          <w:rFonts w:ascii="Calibri" w:hAnsi="Calibri"/>
          <w:color w:val="231F20"/>
          <w:spacing w:val="-7"/>
          <w:sz w:val="17"/>
        </w:rPr>
        <w:t> </w:t>
      </w:r>
      <w:r>
        <w:rPr>
          <w:rFonts w:ascii="Calibri" w:hAnsi="Calibri"/>
          <w:color w:val="231F20"/>
          <w:sz w:val="17"/>
        </w:rPr>
        <w:t>pp.</w:t>
      </w:r>
      <w:r>
        <w:rPr>
          <w:rFonts w:ascii="Calibri" w:hAnsi="Calibri"/>
          <w:color w:val="231F20"/>
          <w:spacing w:val="-7"/>
          <w:sz w:val="17"/>
        </w:rPr>
        <w:t> </w:t>
      </w:r>
      <w:r>
        <w:rPr>
          <w:rFonts w:ascii="Calibri" w:hAnsi="Calibri"/>
          <w:color w:val="231F20"/>
          <w:sz w:val="17"/>
        </w:rPr>
        <w:t>472–496.</w:t>
      </w:r>
    </w:p>
    <w:p>
      <w:pPr>
        <w:spacing w:after="0" w:line="235" w:lineRule="auto"/>
        <w:jc w:val="left"/>
        <w:rPr>
          <w:rFonts w:ascii="Calibri" w:hAnsi="Calibri"/>
          <w:sz w:val="17"/>
        </w:rPr>
        <w:sectPr>
          <w:pgSz w:w="9640" w:h="13890"/>
          <w:pgMar w:top="0" w:bottom="280" w:left="1300" w:right="1200"/>
        </w:sectPr>
      </w:pPr>
    </w:p>
    <w:p>
      <w:pPr>
        <w:pStyle w:val="BodyText"/>
        <w:spacing w:line="247" w:lineRule="auto" w:before="107"/>
        <w:ind w:left="103" w:right="114"/>
        <w:jc w:val="both"/>
      </w:pPr>
      <w:r>
        <w:rPr>
          <w:color w:val="231F20"/>
        </w:rPr>
        <w:t>les”</w:t>
      </w:r>
      <w:r>
        <w:rPr>
          <w:color w:val="231F20"/>
          <w:position w:val="7"/>
          <w:sz w:val="12"/>
        </w:rPr>
        <w:t>70</w:t>
      </w:r>
      <w:r>
        <w:rPr>
          <w:color w:val="231F20"/>
        </w:rPr>
        <w:t>. Sin embargo, aún si se entiende como un conjunto de relaciones, la soberanía implica necesariamente la posibilidad concreta de que uno de los sujetos de la relación pueda interrumpirla, imponiendo coercitivamente determinados comportamientos. La disociación de la unión clásica con el Estado</w:t>
      </w:r>
      <w:r>
        <w:rPr>
          <w:color w:val="231F20"/>
          <w:position w:val="7"/>
          <w:sz w:val="12"/>
        </w:rPr>
        <w:t>71 </w:t>
      </w:r>
      <w:r>
        <w:rPr>
          <w:color w:val="231F20"/>
        </w:rPr>
        <w:t>produce una multiplicación de manifestaciones de una soberanía social que refuerza la necesidad de un nexo constitutivo del Estado mo- derno, es decir entre legitimidad y disciplina. </w:t>
      </w:r>
      <w:r>
        <w:rPr>
          <w:color w:val="231F20"/>
          <w:spacing w:val="-4"/>
        </w:rPr>
        <w:t>Transmitir, </w:t>
      </w:r>
      <w:r>
        <w:rPr>
          <w:color w:val="231F20"/>
          <w:spacing w:val="-3"/>
        </w:rPr>
        <w:t>favorecer,</w:t>
      </w:r>
      <w:r>
        <w:rPr>
          <w:color w:val="231F20"/>
          <w:spacing w:val="-45"/>
        </w:rPr>
        <w:t> </w:t>
      </w:r>
      <w:r>
        <w:rPr>
          <w:color w:val="231F20"/>
        </w:rPr>
        <w:t>imponer involucrar y disciplinar es en efecto la única posibilidad para no tener que recurrir</w:t>
      </w:r>
      <w:r>
        <w:rPr>
          <w:color w:val="231F20"/>
          <w:spacing w:val="-18"/>
        </w:rPr>
        <w:t> </w:t>
      </w:r>
      <w:r>
        <w:rPr>
          <w:color w:val="231F20"/>
        </w:rPr>
        <w:t>al</w:t>
      </w:r>
      <w:r>
        <w:rPr>
          <w:color w:val="231F20"/>
          <w:spacing w:val="-18"/>
        </w:rPr>
        <w:t> </w:t>
      </w:r>
      <w:r>
        <w:rPr>
          <w:color w:val="231F20"/>
        </w:rPr>
        <w:t>uso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fuerza</w:t>
      </w:r>
      <w:r>
        <w:rPr>
          <w:color w:val="231F20"/>
          <w:spacing w:val="-18"/>
        </w:rPr>
        <w:t> </w:t>
      </w:r>
      <w:r>
        <w:rPr>
          <w:color w:val="231F20"/>
        </w:rPr>
        <w:t>en</w:t>
      </w:r>
      <w:r>
        <w:rPr>
          <w:color w:val="231F20"/>
          <w:spacing w:val="-18"/>
        </w:rPr>
        <w:t> </w:t>
      </w:r>
      <w:r>
        <w:rPr>
          <w:color w:val="231F20"/>
        </w:rPr>
        <w:t>última</w:t>
      </w:r>
      <w:r>
        <w:rPr>
          <w:color w:val="231F20"/>
          <w:spacing w:val="-18"/>
        </w:rPr>
        <w:t> </w:t>
      </w:r>
      <w:r>
        <w:rPr>
          <w:color w:val="231F20"/>
        </w:rPr>
        <w:t>instancia,</w:t>
      </w:r>
      <w:r>
        <w:rPr>
          <w:color w:val="231F20"/>
          <w:spacing w:val="-18"/>
        </w:rPr>
        <w:t> </w:t>
      </w:r>
      <w:r>
        <w:rPr>
          <w:color w:val="231F20"/>
        </w:rPr>
        <w:t>que</w:t>
      </w:r>
      <w:r>
        <w:rPr>
          <w:color w:val="231F20"/>
          <w:spacing w:val="-18"/>
        </w:rPr>
        <w:t> </w:t>
      </w:r>
      <w:r>
        <w:rPr>
          <w:color w:val="231F20"/>
        </w:rPr>
        <w:t>de</w:t>
      </w:r>
      <w:r>
        <w:rPr>
          <w:color w:val="231F20"/>
          <w:spacing w:val="-18"/>
        </w:rPr>
        <w:t> </w:t>
      </w:r>
      <w:r>
        <w:rPr>
          <w:color w:val="231F20"/>
        </w:rPr>
        <w:t>cualquier</w:t>
      </w:r>
      <w:r>
        <w:rPr>
          <w:color w:val="231F20"/>
          <w:spacing w:val="-18"/>
        </w:rPr>
        <w:t> </w:t>
      </w:r>
      <w:r>
        <w:rPr>
          <w:color w:val="231F20"/>
        </w:rPr>
        <w:t>manera</w:t>
      </w:r>
      <w:r>
        <w:rPr>
          <w:color w:val="231F20"/>
          <w:spacing w:val="-18"/>
        </w:rPr>
        <w:t> </w:t>
      </w:r>
      <w:r>
        <w:rPr>
          <w:color w:val="231F20"/>
        </w:rPr>
        <w:t>está presente</w:t>
      </w:r>
      <w:r>
        <w:rPr>
          <w:color w:val="231F20"/>
          <w:spacing w:val="-10"/>
        </w:rPr>
        <w:t> </w:t>
      </w:r>
      <w:r>
        <w:rPr>
          <w:color w:val="231F20"/>
        </w:rPr>
        <w:t>en</w:t>
      </w:r>
      <w:r>
        <w:rPr>
          <w:color w:val="231F20"/>
          <w:spacing w:val="-10"/>
        </w:rPr>
        <w:t> </w:t>
      </w:r>
      <w:r>
        <w:rPr>
          <w:color w:val="231F20"/>
        </w:rPr>
        <w:t>cada</w:t>
      </w:r>
      <w:r>
        <w:rPr>
          <w:color w:val="231F20"/>
          <w:spacing w:val="-10"/>
        </w:rPr>
        <w:t> </w:t>
      </w:r>
      <w:r>
        <w:rPr>
          <w:color w:val="231F20"/>
        </w:rPr>
        <w:t>referencia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soberanía.</w:t>
      </w:r>
      <w:r>
        <w:rPr>
          <w:color w:val="231F20"/>
          <w:spacing w:val="-10"/>
        </w:rPr>
        <w:t> </w:t>
      </w:r>
      <w:r>
        <w:rPr>
          <w:color w:val="231F20"/>
        </w:rPr>
        <w:t>En</w:t>
      </w:r>
      <w:r>
        <w:rPr>
          <w:color w:val="231F20"/>
          <w:spacing w:val="-10"/>
        </w:rPr>
        <w:t> </w:t>
      </w:r>
      <w:r>
        <w:rPr>
          <w:color w:val="231F20"/>
        </w:rPr>
        <w:t>este</w:t>
      </w:r>
      <w:r>
        <w:rPr>
          <w:color w:val="231F20"/>
          <w:spacing w:val="-10"/>
        </w:rPr>
        <w:t> </w:t>
      </w:r>
      <w:r>
        <w:rPr>
          <w:color w:val="231F20"/>
        </w:rPr>
        <w:t>orden,</w:t>
      </w:r>
      <w:r>
        <w:rPr>
          <w:color w:val="231F20"/>
          <w:spacing w:val="-10"/>
        </w:rPr>
        <w:t> </w:t>
      </w:r>
      <w:r>
        <w:rPr>
          <w:color w:val="231F20"/>
        </w:rPr>
        <w:t>debe</w:t>
      </w:r>
      <w:r>
        <w:rPr>
          <w:color w:val="231F20"/>
          <w:spacing w:val="-10"/>
        </w:rPr>
        <w:t> </w:t>
      </w:r>
      <w:r>
        <w:rPr>
          <w:color w:val="231F20"/>
        </w:rPr>
        <w:t>subrayarse que pese a ser evidentemente verdadero que la disciplina actúa modu- lando los comportamientos individuales, o sea en ausencia de normas ge- nerales abstractamente reconocidas, ésta contiene de cualquier forma un discurso público funcional a la constante reproposición de las relaciones soberanas</w:t>
      </w:r>
      <w:r>
        <w:rPr>
          <w:color w:val="231F20"/>
          <w:position w:val="7"/>
          <w:sz w:val="12"/>
        </w:rPr>
        <w:t>72</w:t>
      </w:r>
      <w:r>
        <w:rPr>
          <w:color w:val="231F20"/>
        </w:rPr>
        <w:t>. Se trata evidentemente de relaciones asimétricas, en las cua- les no se debe suponer un reconocimiento igual entre la estructura y los individuos que inician más o menos libremente una relación. Precisamente la necesidad de mantener conectadas estas relaciones, que atraviesan los confines históricos de los Estados nacionales, hace que el proceso del Es- tado moderno al Estado global no implique exclusivamente un “desvane- cimiento del Estado”</w:t>
      </w:r>
      <w:r>
        <w:rPr>
          <w:color w:val="231F20"/>
          <w:position w:val="7"/>
          <w:sz w:val="12"/>
        </w:rPr>
        <w:t>73</w:t>
      </w:r>
      <w:r>
        <w:rPr>
          <w:color w:val="231F20"/>
        </w:rPr>
        <w:t>. El Estado global representa más bien un momento histórico específico de la degeneración del Estado, es </w:t>
      </w:r>
      <w:r>
        <w:rPr>
          <w:color w:val="231F20"/>
          <w:spacing w:val="-4"/>
        </w:rPr>
        <w:t>decir, </w:t>
      </w:r>
      <w:r>
        <w:rPr>
          <w:color w:val="231F20"/>
        </w:rPr>
        <w:t>literalmente  de su paso a otro género de dominio y coordinación</w:t>
      </w:r>
      <w:r>
        <w:rPr>
          <w:color w:val="231F20"/>
          <w:position w:val="7"/>
          <w:sz w:val="12"/>
        </w:rPr>
        <w:t>74</w:t>
      </w:r>
      <w:r>
        <w:rPr>
          <w:color w:val="231F20"/>
        </w:rPr>
        <w:t>. No obstante las transformaciones de la soberanía la lleven al interior de relaciones sociales siempre más complejas, esto no significa que el concepto de Estado glo- bal prevea una inclusión universal, como por otra parte esta última no</w:t>
      </w:r>
      <w:r>
        <w:rPr>
          <w:color w:val="231F20"/>
          <w:spacing w:val="-42"/>
        </w:rPr>
        <w:t> </w:t>
      </w:r>
      <w:r>
        <w:rPr>
          <w:color w:val="231F20"/>
        </w:rPr>
        <w:t>está incluida en la </w:t>
      </w:r>
      <w:r>
        <w:rPr>
          <w:rFonts w:ascii="Arial" w:hAnsi="Arial"/>
          <w:i/>
          <w:color w:val="231F20"/>
        </w:rPr>
        <w:t>Weltgesellschaft </w:t>
      </w:r>
      <w:r>
        <w:rPr>
          <w:color w:val="231F20"/>
        </w:rPr>
        <w:t>luhmaniana</w:t>
      </w:r>
      <w:r>
        <w:rPr>
          <w:color w:val="231F20"/>
          <w:position w:val="7"/>
          <w:sz w:val="12"/>
        </w:rPr>
        <w:t>75</w:t>
      </w:r>
      <w:r>
        <w:rPr>
          <w:color w:val="231F20"/>
        </w:rPr>
        <w:t>. En el Estado global parece</w:t>
      </w:r>
      <w:r>
        <w:rPr>
          <w:color w:val="231F20"/>
          <w:spacing w:val="-44"/>
        </w:rPr>
        <w:t> </w:t>
      </w:r>
      <w:r>
        <w:rPr>
          <w:color w:val="231F20"/>
        </w:rPr>
        <w:t>en cambio marcarse prácticamente la contradicción entre reconocimiento y exclusión.</w:t>
      </w:r>
      <w:r>
        <w:rPr>
          <w:color w:val="231F20"/>
          <w:spacing w:val="-11"/>
        </w:rPr>
        <w:t> </w:t>
      </w:r>
      <w:r>
        <w:rPr>
          <w:color w:val="231F20"/>
        </w:rPr>
        <w:t>Existen</w:t>
      </w:r>
      <w:r>
        <w:rPr>
          <w:color w:val="231F20"/>
          <w:spacing w:val="-11"/>
        </w:rPr>
        <w:t> </w:t>
      </w:r>
      <w:r>
        <w:rPr>
          <w:color w:val="231F20"/>
        </w:rPr>
        <w:t>en</w:t>
      </w:r>
      <w:r>
        <w:rPr>
          <w:color w:val="231F20"/>
          <w:spacing w:val="-11"/>
        </w:rPr>
        <w:t> </w:t>
      </w:r>
      <w:r>
        <w:rPr>
          <w:color w:val="231F20"/>
        </w:rPr>
        <w:t>efecto</w:t>
      </w:r>
      <w:r>
        <w:rPr>
          <w:color w:val="231F20"/>
          <w:spacing w:val="-11"/>
        </w:rPr>
        <w:t> </w:t>
      </w:r>
      <w:r>
        <w:rPr>
          <w:color w:val="231F20"/>
        </w:rPr>
        <w:t>aquellos</w:t>
      </w:r>
      <w:r>
        <w:rPr>
          <w:color w:val="231F20"/>
          <w:spacing w:val="-11"/>
        </w:rPr>
        <w:t> </w:t>
      </w:r>
      <w:r>
        <w:rPr>
          <w:color w:val="231F20"/>
        </w:rPr>
        <w:t>que,</w:t>
      </w:r>
      <w:r>
        <w:rPr>
          <w:color w:val="231F20"/>
          <w:spacing w:val="-11"/>
        </w:rPr>
        <w:t> </w:t>
      </w:r>
      <w:r>
        <w:rPr>
          <w:color w:val="231F20"/>
        </w:rPr>
        <w:t>como</w:t>
      </w:r>
      <w:r>
        <w:rPr>
          <w:color w:val="231F20"/>
          <w:spacing w:val="-11"/>
        </w:rPr>
        <w:t> </w:t>
      </w:r>
      <w:r>
        <w:rPr>
          <w:color w:val="231F20"/>
        </w:rPr>
        <w:t>los</w:t>
      </w:r>
      <w:r>
        <w:rPr>
          <w:color w:val="231F20"/>
          <w:spacing w:val="-11"/>
        </w:rPr>
        <w:t> </w:t>
      </w:r>
      <w:r>
        <w:rPr>
          <w:color w:val="231F20"/>
        </w:rPr>
        <w:t>migrantes</w:t>
      </w:r>
      <w:r>
        <w:rPr>
          <w:color w:val="231F20"/>
          <w:spacing w:val="-11"/>
        </w:rPr>
        <w:t> </w:t>
      </w:r>
      <w:r>
        <w:rPr>
          <w:color w:val="231F20"/>
        </w:rPr>
        <w:t>regulares,</w:t>
      </w:r>
      <w:r>
        <w:rPr>
          <w:color w:val="231F20"/>
          <w:spacing w:val="-11"/>
        </w:rPr>
        <w:t> </w:t>
      </w:r>
      <w:r>
        <w:rPr>
          <w:color w:val="231F20"/>
        </w:rPr>
        <w:t>no son ciudadanos pero cuya presencia es, para decirlo como Saskia Sassen, “no autorizada, pero reconocida” </w:t>
      </w:r>
      <w:r>
        <w:rPr>
          <w:color w:val="231F20"/>
          <w:position w:val="7"/>
          <w:sz w:val="12"/>
        </w:rPr>
        <w:t>76</w:t>
      </w:r>
      <w:r>
        <w:rPr>
          <w:color w:val="231F20"/>
        </w:rPr>
        <w:t>. Y existen también aquellos que son ciudadanos, pero que no alcanzan con este título tutelas, garantías o</w:t>
      </w:r>
      <w:r>
        <w:rPr>
          <w:color w:val="231F20"/>
          <w:spacing w:val="-33"/>
        </w:rPr>
        <w:t> </w:t>
      </w:r>
      <w:r>
        <w:rPr>
          <w:color w:val="231F20"/>
        </w:rPr>
        <w:t>dere-</w:t>
      </w:r>
    </w:p>
    <w:p>
      <w:pPr>
        <w:pStyle w:val="BodyText"/>
        <w:spacing w:before="2"/>
        <w:rPr>
          <w:sz w:val="20"/>
        </w:rPr>
      </w:pPr>
      <w:r>
        <w:rPr/>
        <w:pict>
          <v:line style="position:absolute;mso-position-horizontal-relative:page;mso-position-vertical-relative:paragraph;z-index:3712;mso-wrap-distance-left:0;mso-wrap-distance-right:0" from="65.1968pt,14.306985pt" to="178.5828pt,14.306985pt" stroked="true" strokeweight=".3pt" strokecolor="#231f20">
            <w10:wrap type="topAndBottom"/>
          </v:line>
        </w:pict>
      </w:r>
    </w:p>
    <w:p>
      <w:pPr>
        <w:spacing w:line="206" w:lineRule="exact" w:before="10"/>
        <w:ind w:left="103" w:right="0" w:firstLine="0"/>
        <w:jc w:val="both"/>
        <w:rPr>
          <w:rFonts w:ascii="Calibri" w:hAnsi="Calibri"/>
          <w:sz w:val="17"/>
        </w:rPr>
      </w:pPr>
      <w:r>
        <w:rPr>
          <w:rFonts w:ascii="Calibri" w:hAnsi="Calibri"/>
          <w:color w:val="231F20"/>
          <w:position w:val="6"/>
          <w:sz w:val="10"/>
        </w:rPr>
        <w:t>70  </w:t>
      </w:r>
      <w:r>
        <w:rPr>
          <w:rFonts w:ascii="Calibri" w:hAnsi="Calibri"/>
          <w:color w:val="231F20"/>
          <w:sz w:val="17"/>
        </w:rPr>
        <w:t>R. Latham, “Social Sovereignty”, </w:t>
      </w:r>
      <w:r>
        <w:rPr>
          <w:rFonts w:ascii="Calibri" w:hAnsi="Calibri"/>
          <w:i/>
          <w:color w:val="231F20"/>
          <w:sz w:val="17"/>
        </w:rPr>
        <w:t>Theory Culture Society</w:t>
      </w:r>
      <w:r>
        <w:rPr>
          <w:rFonts w:ascii="Calibri" w:hAnsi="Calibri"/>
          <w:color w:val="231F20"/>
          <w:sz w:val="17"/>
        </w:rPr>
        <w:t>, 17, 1, 2000, p. 3.</w:t>
      </w:r>
    </w:p>
    <w:p>
      <w:pPr>
        <w:spacing w:line="235" w:lineRule="auto" w:before="1"/>
        <w:ind w:left="103" w:right="116" w:firstLine="0"/>
        <w:jc w:val="both"/>
        <w:rPr>
          <w:rFonts w:ascii="Calibri" w:hAnsi="Calibri"/>
          <w:sz w:val="17"/>
        </w:rPr>
      </w:pPr>
      <w:r>
        <w:rPr>
          <w:rFonts w:ascii="Calibri" w:hAnsi="Calibri"/>
          <w:color w:val="231F20"/>
          <w:position w:val="6"/>
          <w:sz w:val="10"/>
        </w:rPr>
        <w:t>71 </w:t>
      </w:r>
      <w:r>
        <w:rPr>
          <w:rFonts w:ascii="Calibri" w:hAnsi="Calibri"/>
          <w:color w:val="231F20"/>
          <w:sz w:val="17"/>
        </w:rPr>
        <w:t>H. Quaritsch, </w:t>
      </w:r>
      <w:r>
        <w:rPr>
          <w:rFonts w:ascii="Calibri" w:hAnsi="Calibri"/>
          <w:i/>
          <w:color w:val="231F20"/>
          <w:sz w:val="17"/>
        </w:rPr>
        <w:t>Staat und Souveränität. Die Grundlagen</w:t>
      </w:r>
      <w:r>
        <w:rPr>
          <w:rFonts w:ascii="Calibri" w:hAnsi="Calibri"/>
          <w:color w:val="231F20"/>
          <w:sz w:val="17"/>
        </w:rPr>
        <w:t>, Frankfurt am Main, Athenaum, </w:t>
      </w:r>
      <w:r>
        <w:rPr>
          <w:rFonts w:ascii="Calibri" w:hAnsi="Calibri"/>
          <w:color w:val="231F20"/>
          <w:spacing w:val="-3"/>
          <w:sz w:val="17"/>
        </w:rPr>
        <w:t>1970; </w:t>
      </w:r>
      <w:r>
        <w:rPr>
          <w:rFonts w:ascii="Calibri" w:hAnsi="Calibri"/>
          <w:color w:val="231F20"/>
          <w:sz w:val="17"/>
        </w:rPr>
        <w:t>R. Prokhovnik, </w:t>
      </w:r>
      <w:r>
        <w:rPr>
          <w:rFonts w:ascii="Calibri" w:hAnsi="Calibri"/>
          <w:i/>
          <w:color w:val="231F20"/>
          <w:sz w:val="17"/>
        </w:rPr>
        <w:t>Sovereignties. Contemporary Theory and Practice</w:t>
      </w:r>
      <w:r>
        <w:rPr>
          <w:rFonts w:ascii="Calibri" w:hAnsi="Calibri"/>
          <w:color w:val="231F20"/>
          <w:sz w:val="17"/>
        </w:rPr>
        <w:t>, Basingstoke, Palgrave Macmillan, 2007;</w:t>
      </w:r>
      <w:r>
        <w:rPr>
          <w:rFonts w:ascii="Calibri" w:hAnsi="Calibri"/>
          <w:color w:val="231F20"/>
          <w:spacing w:val="-13"/>
          <w:sz w:val="17"/>
        </w:rPr>
        <w:t> </w:t>
      </w:r>
      <w:r>
        <w:rPr>
          <w:rFonts w:ascii="Calibri" w:hAnsi="Calibri"/>
          <w:color w:val="231F20"/>
          <w:sz w:val="17"/>
        </w:rPr>
        <w:t>N.</w:t>
      </w:r>
      <w:r>
        <w:rPr>
          <w:rFonts w:ascii="Calibri" w:hAnsi="Calibri"/>
          <w:color w:val="231F20"/>
          <w:spacing w:val="-13"/>
          <w:sz w:val="17"/>
        </w:rPr>
        <w:t> </w:t>
      </w:r>
      <w:r>
        <w:rPr>
          <w:rFonts w:ascii="Calibri" w:hAnsi="Calibri"/>
          <w:color w:val="231F20"/>
          <w:sz w:val="17"/>
        </w:rPr>
        <w:t>MacCormick,</w:t>
      </w:r>
      <w:r>
        <w:rPr>
          <w:rFonts w:ascii="Calibri" w:hAnsi="Calibri"/>
          <w:color w:val="231F20"/>
          <w:spacing w:val="-13"/>
          <w:sz w:val="17"/>
        </w:rPr>
        <w:t> </w:t>
      </w:r>
      <w:r>
        <w:rPr>
          <w:rFonts w:ascii="Calibri" w:hAnsi="Calibri"/>
          <w:color w:val="231F20"/>
          <w:sz w:val="17"/>
        </w:rPr>
        <w:t>“Questioning</w:t>
      </w:r>
      <w:r>
        <w:rPr>
          <w:rFonts w:ascii="Calibri" w:hAnsi="Calibri"/>
          <w:color w:val="231F20"/>
          <w:spacing w:val="-13"/>
          <w:sz w:val="17"/>
        </w:rPr>
        <w:t> </w:t>
      </w:r>
      <w:r>
        <w:rPr>
          <w:rFonts w:ascii="Calibri" w:hAnsi="Calibri"/>
          <w:color w:val="231F20"/>
          <w:sz w:val="17"/>
        </w:rPr>
        <w:t>Post–Sovereignty”,</w:t>
      </w:r>
      <w:r>
        <w:rPr>
          <w:rFonts w:ascii="Calibri" w:hAnsi="Calibri"/>
          <w:color w:val="231F20"/>
          <w:spacing w:val="-13"/>
          <w:sz w:val="17"/>
        </w:rPr>
        <w:t> </w:t>
      </w:r>
      <w:r>
        <w:rPr>
          <w:rFonts w:ascii="Calibri" w:hAnsi="Calibri"/>
          <w:i/>
          <w:color w:val="231F20"/>
          <w:sz w:val="17"/>
        </w:rPr>
        <w:t>European</w:t>
      </w:r>
      <w:r>
        <w:rPr>
          <w:rFonts w:ascii="Calibri" w:hAnsi="Calibri"/>
          <w:i/>
          <w:color w:val="231F20"/>
          <w:spacing w:val="-13"/>
          <w:sz w:val="17"/>
        </w:rPr>
        <w:t> </w:t>
      </w:r>
      <w:r>
        <w:rPr>
          <w:rFonts w:ascii="Calibri" w:hAnsi="Calibri"/>
          <w:i/>
          <w:color w:val="231F20"/>
          <w:sz w:val="17"/>
        </w:rPr>
        <w:t>Law</w:t>
      </w:r>
      <w:r>
        <w:rPr>
          <w:rFonts w:ascii="Calibri" w:hAnsi="Calibri"/>
          <w:i/>
          <w:color w:val="231F20"/>
          <w:spacing w:val="-13"/>
          <w:sz w:val="17"/>
        </w:rPr>
        <w:t> </w:t>
      </w:r>
      <w:r>
        <w:rPr>
          <w:rFonts w:ascii="Calibri" w:hAnsi="Calibri"/>
          <w:i/>
          <w:color w:val="231F20"/>
          <w:sz w:val="17"/>
        </w:rPr>
        <w:t>Review</w:t>
      </w:r>
      <w:r>
        <w:rPr>
          <w:rFonts w:ascii="Calibri" w:hAnsi="Calibri"/>
          <w:color w:val="231F20"/>
          <w:sz w:val="17"/>
        </w:rPr>
        <w:t>,</w:t>
      </w:r>
      <w:r>
        <w:rPr>
          <w:rFonts w:ascii="Calibri" w:hAnsi="Calibri"/>
          <w:color w:val="231F20"/>
          <w:spacing w:val="-13"/>
          <w:sz w:val="17"/>
        </w:rPr>
        <w:t> </w:t>
      </w:r>
      <w:r>
        <w:rPr>
          <w:rFonts w:ascii="Calibri" w:hAnsi="Calibri"/>
          <w:color w:val="231F20"/>
          <w:spacing w:val="-3"/>
          <w:sz w:val="17"/>
        </w:rPr>
        <w:t>29,</w:t>
      </w:r>
      <w:r>
        <w:rPr>
          <w:rFonts w:ascii="Calibri" w:hAnsi="Calibri"/>
          <w:color w:val="231F20"/>
          <w:spacing w:val="-13"/>
          <w:sz w:val="17"/>
        </w:rPr>
        <w:t> </w:t>
      </w:r>
      <w:r>
        <w:rPr>
          <w:rFonts w:ascii="Calibri" w:hAnsi="Calibri"/>
          <w:color w:val="231F20"/>
          <w:sz w:val="17"/>
        </w:rPr>
        <w:t>2004,</w:t>
      </w:r>
      <w:r>
        <w:rPr>
          <w:rFonts w:ascii="Calibri" w:hAnsi="Calibri"/>
          <w:color w:val="231F20"/>
          <w:spacing w:val="-13"/>
          <w:sz w:val="17"/>
        </w:rPr>
        <w:t> </w:t>
      </w:r>
      <w:r>
        <w:rPr>
          <w:rFonts w:ascii="Calibri" w:hAnsi="Calibri"/>
          <w:color w:val="231F20"/>
          <w:sz w:val="17"/>
        </w:rPr>
        <w:t>pp.</w:t>
      </w:r>
      <w:r>
        <w:rPr>
          <w:rFonts w:ascii="Calibri" w:hAnsi="Calibri"/>
          <w:color w:val="231F20"/>
          <w:spacing w:val="-13"/>
          <w:sz w:val="17"/>
        </w:rPr>
        <w:t> </w:t>
      </w:r>
      <w:r>
        <w:rPr>
          <w:rFonts w:ascii="Calibri" w:hAnsi="Calibri"/>
          <w:color w:val="231F20"/>
          <w:sz w:val="17"/>
        </w:rPr>
        <w:t>852–863. </w:t>
      </w:r>
      <w:r>
        <w:rPr>
          <w:rFonts w:ascii="Calibri" w:hAnsi="Calibri"/>
          <w:color w:val="231F20"/>
          <w:position w:val="6"/>
          <w:sz w:val="10"/>
        </w:rPr>
        <w:t>72  </w:t>
      </w:r>
      <w:r>
        <w:rPr>
          <w:rFonts w:ascii="Calibri" w:hAnsi="Calibri"/>
          <w:color w:val="231F20"/>
          <w:spacing w:val="-9"/>
          <w:sz w:val="17"/>
        </w:rPr>
        <w:t>T.  </w:t>
      </w:r>
      <w:r>
        <w:rPr>
          <w:rFonts w:ascii="Calibri" w:hAnsi="Calibri"/>
          <w:color w:val="231F20"/>
          <w:spacing w:val="-10"/>
          <w:sz w:val="17"/>
        </w:rPr>
        <w:t>P.  </w:t>
      </w:r>
      <w:r>
        <w:rPr>
          <w:rFonts w:ascii="Calibri" w:hAnsi="Calibri"/>
          <w:color w:val="231F20"/>
          <w:sz w:val="17"/>
        </w:rPr>
        <w:t>Mitchell, “Society, Economy and the State Effect”, State/Culture, pp. </w:t>
      </w:r>
      <w:r>
        <w:rPr>
          <w:rFonts w:ascii="Calibri" w:hAnsi="Calibri"/>
          <w:color w:val="231F20"/>
          <w:spacing w:val="7"/>
          <w:sz w:val="17"/>
        </w:rPr>
        <w:t> </w:t>
      </w:r>
      <w:r>
        <w:rPr>
          <w:rFonts w:ascii="Calibri" w:hAnsi="Calibri"/>
          <w:color w:val="231F20"/>
          <w:spacing w:val="-4"/>
          <w:sz w:val="17"/>
        </w:rPr>
        <w:t>76–97.</w:t>
      </w:r>
    </w:p>
    <w:p>
      <w:pPr>
        <w:spacing w:line="235" w:lineRule="auto" w:before="0"/>
        <w:ind w:left="103" w:right="115" w:firstLine="0"/>
        <w:jc w:val="both"/>
        <w:rPr>
          <w:rFonts w:ascii="Calibri" w:hAnsi="Calibri"/>
          <w:sz w:val="17"/>
        </w:rPr>
      </w:pPr>
      <w:r>
        <w:rPr>
          <w:rFonts w:ascii="Calibri" w:hAnsi="Calibri"/>
          <w:color w:val="231F20"/>
          <w:w w:val="105"/>
          <w:position w:val="6"/>
          <w:sz w:val="10"/>
        </w:rPr>
        <w:t>73</w:t>
      </w:r>
      <w:r>
        <w:rPr>
          <w:rFonts w:ascii="Calibri" w:hAnsi="Calibri"/>
          <w:color w:val="231F20"/>
          <w:spacing w:val="-2"/>
          <w:w w:val="105"/>
          <w:position w:val="6"/>
          <w:sz w:val="10"/>
        </w:rPr>
        <w:t> </w:t>
      </w:r>
      <w:r>
        <w:rPr>
          <w:rFonts w:ascii="Calibri" w:hAnsi="Calibri"/>
          <w:color w:val="231F20"/>
          <w:w w:val="105"/>
          <w:sz w:val="17"/>
        </w:rPr>
        <w:t>H.</w:t>
      </w:r>
      <w:r>
        <w:rPr>
          <w:rFonts w:ascii="Calibri" w:hAnsi="Calibri"/>
          <w:color w:val="231F20"/>
          <w:spacing w:val="-19"/>
          <w:w w:val="105"/>
          <w:sz w:val="17"/>
        </w:rPr>
        <w:t> </w:t>
      </w:r>
      <w:r>
        <w:rPr>
          <w:rFonts w:ascii="Calibri" w:hAnsi="Calibri"/>
          <w:color w:val="231F20"/>
          <w:w w:val="105"/>
          <w:sz w:val="17"/>
        </w:rPr>
        <w:t>Spruyt,</w:t>
      </w:r>
      <w:r>
        <w:rPr>
          <w:rFonts w:ascii="Calibri" w:hAnsi="Calibri"/>
          <w:color w:val="231F20"/>
          <w:spacing w:val="-19"/>
          <w:w w:val="105"/>
          <w:sz w:val="17"/>
        </w:rPr>
        <w:t> </w:t>
      </w:r>
      <w:r>
        <w:rPr>
          <w:rFonts w:ascii="Calibri" w:hAnsi="Calibri"/>
          <w:color w:val="231F20"/>
          <w:w w:val="105"/>
          <w:sz w:val="17"/>
        </w:rPr>
        <w:t>“The</w:t>
      </w:r>
      <w:r>
        <w:rPr>
          <w:rFonts w:ascii="Calibri" w:hAnsi="Calibri"/>
          <w:color w:val="231F20"/>
          <w:spacing w:val="-19"/>
          <w:w w:val="105"/>
          <w:sz w:val="17"/>
        </w:rPr>
        <w:t> </w:t>
      </w:r>
      <w:r>
        <w:rPr>
          <w:rFonts w:ascii="Calibri" w:hAnsi="Calibri"/>
          <w:color w:val="231F20"/>
          <w:w w:val="105"/>
          <w:sz w:val="17"/>
        </w:rPr>
        <w:t>Origins,</w:t>
      </w:r>
      <w:r>
        <w:rPr>
          <w:rFonts w:ascii="Calibri" w:hAnsi="Calibri"/>
          <w:color w:val="231F20"/>
          <w:spacing w:val="-19"/>
          <w:w w:val="105"/>
          <w:sz w:val="17"/>
        </w:rPr>
        <w:t> </w:t>
      </w:r>
      <w:r>
        <w:rPr>
          <w:rFonts w:ascii="Calibri" w:hAnsi="Calibri"/>
          <w:color w:val="231F20"/>
          <w:w w:val="105"/>
          <w:sz w:val="17"/>
        </w:rPr>
        <w:t>Development,</w:t>
      </w:r>
      <w:r>
        <w:rPr>
          <w:rFonts w:ascii="Calibri" w:hAnsi="Calibri"/>
          <w:color w:val="231F20"/>
          <w:spacing w:val="-19"/>
          <w:w w:val="105"/>
          <w:sz w:val="17"/>
        </w:rPr>
        <w:t> </w:t>
      </w:r>
      <w:r>
        <w:rPr>
          <w:rFonts w:ascii="Calibri" w:hAnsi="Calibri"/>
          <w:color w:val="231F20"/>
          <w:w w:val="105"/>
          <w:sz w:val="17"/>
        </w:rPr>
        <w:t>and</w:t>
      </w:r>
      <w:r>
        <w:rPr>
          <w:rFonts w:ascii="Calibri" w:hAnsi="Calibri"/>
          <w:color w:val="231F20"/>
          <w:spacing w:val="-19"/>
          <w:w w:val="105"/>
          <w:sz w:val="17"/>
        </w:rPr>
        <w:t> </w:t>
      </w:r>
      <w:r>
        <w:rPr>
          <w:rFonts w:ascii="Calibri" w:hAnsi="Calibri"/>
          <w:color w:val="231F20"/>
          <w:w w:val="105"/>
          <w:sz w:val="17"/>
        </w:rPr>
        <w:t>Possible</w:t>
      </w:r>
      <w:r>
        <w:rPr>
          <w:rFonts w:ascii="Calibri" w:hAnsi="Calibri"/>
          <w:color w:val="231F20"/>
          <w:spacing w:val="-19"/>
          <w:w w:val="105"/>
          <w:sz w:val="17"/>
        </w:rPr>
        <w:t> </w:t>
      </w:r>
      <w:r>
        <w:rPr>
          <w:rFonts w:ascii="Calibri" w:hAnsi="Calibri"/>
          <w:color w:val="231F20"/>
          <w:w w:val="105"/>
          <w:sz w:val="17"/>
        </w:rPr>
        <w:t>Decline</w:t>
      </w:r>
      <w:r>
        <w:rPr>
          <w:rFonts w:ascii="Calibri" w:hAnsi="Calibri"/>
          <w:color w:val="231F20"/>
          <w:spacing w:val="-19"/>
          <w:w w:val="105"/>
          <w:sz w:val="17"/>
        </w:rPr>
        <w:t> </w:t>
      </w:r>
      <w:r>
        <w:rPr>
          <w:rFonts w:ascii="Calibri" w:hAnsi="Calibri"/>
          <w:color w:val="231F20"/>
          <w:w w:val="105"/>
          <w:sz w:val="17"/>
        </w:rPr>
        <w:t>of</w:t>
      </w:r>
      <w:r>
        <w:rPr>
          <w:rFonts w:ascii="Calibri" w:hAnsi="Calibri"/>
          <w:color w:val="231F20"/>
          <w:spacing w:val="-19"/>
          <w:w w:val="105"/>
          <w:sz w:val="17"/>
        </w:rPr>
        <w:t> </w:t>
      </w:r>
      <w:r>
        <w:rPr>
          <w:rFonts w:ascii="Calibri" w:hAnsi="Calibri"/>
          <w:color w:val="231F20"/>
          <w:w w:val="105"/>
          <w:sz w:val="17"/>
        </w:rPr>
        <w:t>the</w:t>
      </w:r>
      <w:r>
        <w:rPr>
          <w:rFonts w:ascii="Calibri" w:hAnsi="Calibri"/>
          <w:color w:val="231F20"/>
          <w:spacing w:val="-19"/>
          <w:w w:val="105"/>
          <w:sz w:val="17"/>
        </w:rPr>
        <w:t> </w:t>
      </w:r>
      <w:r>
        <w:rPr>
          <w:rFonts w:ascii="Calibri" w:hAnsi="Calibri"/>
          <w:color w:val="231F20"/>
          <w:w w:val="105"/>
          <w:sz w:val="17"/>
        </w:rPr>
        <w:t>Modern</w:t>
      </w:r>
      <w:r>
        <w:rPr>
          <w:rFonts w:ascii="Calibri" w:hAnsi="Calibri"/>
          <w:color w:val="231F20"/>
          <w:spacing w:val="-19"/>
          <w:w w:val="105"/>
          <w:sz w:val="17"/>
        </w:rPr>
        <w:t> </w:t>
      </w:r>
      <w:r>
        <w:rPr>
          <w:rFonts w:ascii="Calibri" w:hAnsi="Calibri"/>
          <w:color w:val="231F20"/>
          <w:w w:val="105"/>
          <w:sz w:val="17"/>
        </w:rPr>
        <w:t>State”,</w:t>
      </w:r>
      <w:r>
        <w:rPr>
          <w:rFonts w:ascii="Calibri" w:hAnsi="Calibri"/>
          <w:color w:val="231F20"/>
          <w:spacing w:val="-19"/>
          <w:w w:val="105"/>
          <w:sz w:val="17"/>
        </w:rPr>
        <w:t> </w:t>
      </w:r>
      <w:r>
        <w:rPr>
          <w:rFonts w:ascii="Calibri" w:hAnsi="Calibri"/>
          <w:i/>
          <w:color w:val="231F20"/>
          <w:w w:val="105"/>
          <w:sz w:val="17"/>
        </w:rPr>
        <w:t>Annual</w:t>
      </w:r>
      <w:r>
        <w:rPr>
          <w:rFonts w:ascii="Calibri" w:hAnsi="Calibri"/>
          <w:i/>
          <w:color w:val="231F20"/>
          <w:spacing w:val="-20"/>
          <w:w w:val="105"/>
          <w:sz w:val="17"/>
        </w:rPr>
        <w:t> </w:t>
      </w:r>
      <w:r>
        <w:rPr>
          <w:rFonts w:ascii="Calibri" w:hAnsi="Calibri"/>
          <w:i/>
          <w:color w:val="231F20"/>
          <w:w w:val="105"/>
          <w:sz w:val="17"/>
        </w:rPr>
        <w:t>Review </w:t>
      </w:r>
      <w:r>
        <w:rPr>
          <w:rFonts w:ascii="Calibri" w:hAnsi="Calibri"/>
          <w:i/>
          <w:color w:val="231F20"/>
          <w:sz w:val="17"/>
        </w:rPr>
        <w:t>of</w:t>
      </w:r>
      <w:r>
        <w:rPr>
          <w:rFonts w:ascii="Calibri" w:hAnsi="Calibri"/>
          <w:i/>
          <w:color w:val="231F20"/>
          <w:spacing w:val="-16"/>
          <w:sz w:val="17"/>
        </w:rPr>
        <w:t> </w:t>
      </w:r>
      <w:r>
        <w:rPr>
          <w:rFonts w:ascii="Calibri" w:hAnsi="Calibri"/>
          <w:i/>
          <w:color w:val="231F20"/>
          <w:sz w:val="17"/>
        </w:rPr>
        <w:t>Political</w:t>
      </w:r>
      <w:r>
        <w:rPr>
          <w:rFonts w:ascii="Calibri" w:hAnsi="Calibri"/>
          <w:i/>
          <w:color w:val="231F20"/>
          <w:spacing w:val="-16"/>
          <w:sz w:val="17"/>
        </w:rPr>
        <w:t> </w:t>
      </w:r>
      <w:r>
        <w:rPr>
          <w:rFonts w:ascii="Calibri" w:hAnsi="Calibri"/>
          <w:i/>
          <w:color w:val="231F20"/>
          <w:sz w:val="17"/>
        </w:rPr>
        <w:t>Science</w:t>
      </w:r>
      <w:r>
        <w:rPr>
          <w:rFonts w:ascii="Calibri" w:hAnsi="Calibri"/>
          <w:color w:val="231F20"/>
          <w:sz w:val="17"/>
        </w:rPr>
        <w:t>,</w:t>
      </w:r>
      <w:r>
        <w:rPr>
          <w:rFonts w:ascii="Calibri" w:hAnsi="Calibri"/>
          <w:color w:val="231F20"/>
          <w:spacing w:val="-15"/>
          <w:sz w:val="17"/>
        </w:rPr>
        <w:t> </w:t>
      </w:r>
      <w:r>
        <w:rPr>
          <w:rFonts w:ascii="Calibri" w:hAnsi="Calibri"/>
          <w:color w:val="231F20"/>
          <w:sz w:val="17"/>
        </w:rPr>
        <w:t>5,</w:t>
      </w:r>
      <w:r>
        <w:rPr>
          <w:rFonts w:ascii="Calibri" w:hAnsi="Calibri"/>
          <w:color w:val="231F20"/>
          <w:spacing w:val="-15"/>
          <w:sz w:val="17"/>
        </w:rPr>
        <w:t> </w:t>
      </w:r>
      <w:r>
        <w:rPr>
          <w:rFonts w:ascii="Calibri" w:hAnsi="Calibri"/>
          <w:color w:val="231F20"/>
          <w:sz w:val="17"/>
        </w:rPr>
        <w:t>1,</w:t>
      </w:r>
      <w:r>
        <w:rPr>
          <w:rFonts w:ascii="Calibri" w:hAnsi="Calibri"/>
          <w:color w:val="231F20"/>
          <w:spacing w:val="-15"/>
          <w:sz w:val="17"/>
        </w:rPr>
        <w:t> </w:t>
      </w:r>
      <w:r>
        <w:rPr>
          <w:rFonts w:ascii="Calibri" w:hAnsi="Calibri"/>
          <w:color w:val="231F20"/>
          <w:sz w:val="17"/>
        </w:rPr>
        <w:t>2002,</w:t>
      </w:r>
      <w:r>
        <w:rPr>
          <w:rFonts w:ascii="Calibri" w:hAnsi="Calibri"/>
          <w:color w:val="231F20"/>
          <w:spacing w:val="-15"/>
          <w:sz w:val="17"/>
        </w:rPr>
        <w:t> </w:t>
      </w:r>
      <w:r>
        <w:rPr>
          <w:rFonts w:ascii="Calibri" w:hAnsi="Calibri"/>
          <w:color w:val="231F20"/>
          <w:sz w:val="17"/>
        </w:rPr>
        <w:t>pp.</w:t>
      </w:r>
      <w:r>
        <w:rPr>
          <w:rFonts w:ascii="Calibri" w:hAnsi="Calibri"/>
          <w:color w:val="231F20"/>
          <w:spacing w:val="-15"/>
          <w:sz w:val="17"/>
        </w:rPr>
        <w:t> </w:t>
      </w:r>
      <w:r>
        <w:rPr>
          <w:rFonts w:ascii="Calibri" w:hAnsi="Calibri"/>
          <w:color w:val="231F20"/>
          <w:spacing w:val="-3"/>
          <w:sz w:val="17"/>
        </w:rPr>
        <w:t>127–149.</w:t>
      </w:r>
    </w:p>
    <w:p>
      <w:pPr>
        <w:spacing w:line="203" w:lineRule="exact" w:before="0"/>
        <w:ind w:left="103" w:right="0" w:firstLine="0"/>
        <w:jc w:val="both"/>
        <w:rPr>
          <w:rFonts w:ascii="Calibri"/>
          <w:sz w:val="17"/>
        </w:rPr>
      </w:pPr>
      <w:r>
        <w:rPr>
          <w:rFonts w:ascii="Calibri"/>
          <w:color w:val="231F20"/>
          <w:position w:val="6"/>
          <w:sz w:val="10"/>
        </w:rPr>
        <w:t>74  </w:t>
      </w:r>
      <w:r>
        <w:rPr>
          <w:rFonts w:ascii="Calibri"/>
          <w:color w:val="231F20"/>
          <w:sz w:val="17"/>
        </w:rPr>
        <w:t>P. Schiera, </w:t>
      </w:r>
      <w:r>
        <w:rPr>
          <w:rFonts w:ascii="Calibri"/>
          <w:i/>
          <w:color w:val="231F20"/>
          <w:sz w:val="17"/>
        </w:rPr>
        <w:t>Lo Stato moderno. Origini e degenerazioni</w:t>
      </w:r>
      <w:r>
        <w:rPr>
          <w:rFonts w:ascii="Calibri"/>
          <w:color w:val="231F20"/>
          <w:sz w:val="17"/>
        </w:rPr>
        <w:t>, Bologna, Clueb,  2004.</w:t>
      </w:r>
    </w:p>
    <w:p>
      <w:pPr>
        <w:spacing w:line="235" w:lineRule="auto" w:before="1"/>
        <w:ind w:left="103" w:right="115" w:firstLine="0"/>
        <w:jc w:val="both"/>
        <w:rPr>
          <w:rFonts w:ascii="Calibri" w:hAnsi="Calibri"/>
          <w:sz w:val="17"/>
        </w:rPr>
      </w:pPr>
      <w:r>
        <w:rPr>
          <w:rFonts w:ascii="Calibri" w:hAnsi="Calibri"/>
          <w:color w:val="231F20"/>
          <w:position w:val="6"/>
          <w:sz w:val="10"/>
        </w:rPr>
        <w:t>75 </w:t>
      </w:r>
      <w:r>
        <w:rPr>
          <w:rFonts w:ascii="Calibri" w:hAnsi="Calibri"/>
          <w:color w:val="231F20"/>
          <w:sz w:val="17"/>
        </w:rPr>
        <w:t>N. Luhmann, </w:t>
      </w:r>
      <w:r>
        <w:rPr>
          <w:rFonts w:ascii="Calibri" w:hAnsi="Calibri"/>
          <w:i/>
          <w:color w:val="231F20"/>
          <w:sz w:val="17"/>
        </w:rPr>
        <w:t>Jenseits der Barbarei</w:t>
      </w:r>
      <w:r>
        <w:rPr>
          <w:rFonts w:ascii="Calibri" w:hAnsi="Calibri"/>
          <w:color w:val="231F20"/>
          <w:sz w:val="17"/>
        </w:rPr>
        <w:t>, N. Luhmann, </w:t>
      </w:r>
      <w:r>
        <w:rPr>
          <w:rFonts w:ascii="Calibri" w:hAnsi="Calibri"/>
          <w:i/>
          <w:color w:val="231F20"/>
          <w:sz w:val="17"/>
        </w:rPr>
        <w:t>Gesellschaftsstruktur und Semantik, </w:t>
      </w:r>
      <w:r>
        <w:rPr>
          <w:rFonts w:ascii="Calibri" w:hAnsi="Calibri"/>
          <w:color w:val="231F20"/>
          <w:sz w:val="17"/>
        </w:rPr>
        <w:t>Frankfurt am Main, Suhrkamp, 1999, pp. 138–150.</w:t>
      </w:r>
    </w:p>
    <w:p>
      <w:pPr>
        <w:spacing w:line="235" w:lineRule="auto" w:before="0"/>
        <w:ind w:left="103" w:right="115" w:firstLine="0"/>
        <w:jc w:val="both"/>
        <w:rPr>
          <w:rFonts w:ascii="Calibri" w:hAnsi="Calibri"/>
          <w:sz w:val="17"/>
        </w:rPr>
      </w:pPr>
      <w:r>
        <w:rPr>
          <w:rFonts w:ascii="Calibri" w:hAnsi="Calibri"/>
          <w:color w:val="231F20"/>
          <w:position w:val="6"/>
          <w:sz w:val="10"/>
        </w:rPr>
        <w:t>76 </w:t>
      </w:r>
      <w:r>
        <w:rPr>
          <w:rFonts w:ascii="Calibri" w:hAnsi="Calibri"/>
          <w:color w:val="231F20"/>
          <w:sz w:val="17"/>
        </w:rPr>
        <w:t>S. Mezzadra y M. Ricciardi, “Introduzione”, S. Mezzadra y M. Ricciardi, </w:t>
      </w:r>
      <w:r>
        <w:rPr>
          <w:rFonts w:ascii="Calibri" w:hAnsi="Calibri"/>
          <w:i/>
          <w:color w:val="231F20"/>
          <w:sz w:val="17"/>
        </w:rPr>
        <w:t>Movimenti indisciplinati. </w:t>
      </w:r>
      <w:r>
        <w:rPr>
          <w:rFonts w:ascii="Calibri" w:hAnsi="Calibri"/>
          <w:i/>
          <w:color w:val="231F20"/>
          <w:sz w:val="17"/>
        </w:rPr>
        <w:t>Migrazioni, migranti e discipline scientifiche</w:t>
      </w:r>
      <w:r>
        <w:rPr>
          <w:rFonts w:ascii="Calibri" w:hAnsi="Calibri"/>
          <w:color w:val="231F20"/>
          <w:sz w:val="17"/>
        </w:rPr>
        <w:t>, Verona, ombre corte, 2013, pp. 7–28.</w:t>
      </w:r>
    </w:p>
    <w:p>
      <w:pPr>
        <w:pStyle w:val="BodyText"/>
        <w:rPr>
          <w:rFonts w:ascii="Calibri"/>
          <w:sz w:val="20"/>
        </w:rPr>
      </w:pPr>
    </w:p>
    <w:p>
      <w:pPr>
        <w:pStyle w:val="BodyText"/>
        <w:spacing w:before="10"/>
        <w:rPr>
          <w:rFonts w:ascii="Calibri"/>
          <w:sz w:val="27"/>
        </w:rPr>
      </w:pPr>
    </w:p>
    <w:p>
      <w:pPr>
        <w:tabs>
          <w:tab w:pos="1331" w:val="left" w:leader="none"/>
        </w:tabs>
        <w:spacing w:before="68"/>
        <w:ind w:left="281" w:right="0" w:firstLine="0"/>
        <w:jc w:val="left"/>
        <w:rPr>
          <w:rFonts w:ascii="Calibri"/>
          <w:sz w:val="16"/>
        </w:rPr>
      </w:pPr>
      <w:r>
        <w:rPr/>
        <w:pict>
          <v:group style="position:absolute;margin-left:98.787804pt;margin-top:-3.358812pt;width:20.4pt;height:43pt;mso-position-horizontal-relative:page;mso-position-vertical-relative:paragraph;z-index:-171664"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60</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861" w:right="0" w:firstLine="0"/>
        <w:jc w:val="left"/>
        <w:rPr>
          <w:rFonts w:ascii="Arial" w:hAnsi="Arial"/>
          <w:sz w:val="20"/>
        </w:rPr>
      </w:pPr>
      <w:r>
        <w:rPr/>
        <w:pict>
          <v:group style="position:absolute;margin-left:383.821014pt;margin-top:-25.479271pt;width:8.65pt;height:41pt;mso-position-horizontal-relative:page;mso-position-vertical-relative:paragraph;z-index:-17161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3"/>
          <w:sz w:val="14"/>
        </w:rPr>
        <w:t> </w:t>
      </w:r>
      <w:r>
        <w:rPr>
          <w:rFonts w:ascii="Lucida Sans Unicode" w:hAnsi="Lucida Sans Unicode"/>
          <w:color w:val="6D6E71"/>
          <w:sz w:val="14"/>
        </w:rPr>
        <w:t>ESTADO</w:t>
      </w:r>
      <w:r>
        <w:rPr>
          <w:rFonts w:ascii="Lucida Sans Unicode" w:hAnsi="Lucida Sans Unicode"/>
          <w:color w:val="6D6E71"/>
          <w:spacing w:val="-23"/>
          <w:sz w:val="14"/>
        </w:rPr>
        <w:t> </w:t>
      </w:r>
      <w:r>
        <w:rPr>
          <w:rFonts w:ascii="Lucida Sans Unicode" w:hAnsi="Lucida Sans Unicode"/>
          <w:color w:val="6D6E71"/>
          <w:sz w:val="14"/>
        </w:rPr>
        <w:t>GLOBAL</w:t>
      </w:r>
      <w:r>
        <w:rPr>
          <w:rFonts w:ascii="Lucida Sans Unicode" w:hAnsi="Lucida Sans Unicode"/>
          <w:color w:val="6D6E71"/>
          <w:spacing w:val="-23"/>
          <w:sz w:val="14"/>
        </w:rPr>
        <w:t> </w:t>
      </w:r>
      <w:r>
        <w:rPr>
          <w:rFonts w:ascii="Lucida Sans Unicode" w:hAnsi="Lucida Sans Unicode"/>
          <w:color w:val="6D6E71"/>
          <w:sz w:val="14"/>
        </w:rPr>
        <w:t>Y</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EVOLUCIÓN</w:t>
      </w:r>
      <w:r>
        <w:rPr>
          <w:rFonts w:ascii="Lucida Sans Unicode" w:hAnsi="Lucida Sans Unicode"/>
          <w:color w:val="6D6E71"/>
          <w:spacing w:val="-23"/>
          <w:sz w:val="14"/>
        </w:rPr>
        <w:t> </w:t>
      </w:r>
      <w:r>
        <w:rPr>
          <w:rFonts w:ascii="Lucida Sans Unicode" w:hAnsi="Lucida Sans Unicode"/>
          <w:color w:val="6D6E71"/>
          <w:sz w:val="14"/>
        </w:rPr>
        <w:t>DE</w:t>
      </w:r>
      <w:r>
        <w:rPr>
          <w:rFonts w:ascii="Lucida Sans Unicode" w:hAnsi="Lucida Sans Unicode"/>
          <w:color w:val="6D6E71"/>
          <w:spacing w:val="-23"/>
          <w:sz w:val="14"/>
        </w:rPr>
        <w:t> </w:t>
      </w:r>
      <w:r>
        <w:rPr>
          <w:rFonts w:ascii="Lucida Sans Unicode" w:hAnsi="Lucida Sans Unicode"/>
          <w:color w:val="6D6E71"/>
          <w:sz w:val="14"/>
        </w:rPr>
        <w:t>LA</w:t>
      </w:r>
      <w:r>
        <w:rPr>
          <w:rFonts w:ascii="Lucida Sans Unicode" w:hAnsi="Lucida Sans Unicode"/>
          <w:color w:val="6D6E71"/>
          <w:spacing w:val="-23"/>
          <w:sz w:val="14"/>
        </w:rPr>
        <w:t> </w:t>
      </w:r>
      <w:r>
        <w:rPr>
          <w:rFonts w:ascii="Lucida Sans Unicode" w:hAnsi="Lucida Sans Unicode"/>
          <w:color w:val="6D6E71"/>
          <w:sz w:val="14"/>
        </w:rPr>
        <w:t>SOBERANÍA</w:t>
      </w:r>
      <w:r>
        <w:rPr>
          <w:rFonts w:ascii="Arial" w:hAnsi="Arial"/>
          <w:color w:val="414042"/>
          <w:position w:val="-3"/>
          <w:sz w:val="20"/>
        </w:rPr>
        <w:tab/>
        <w:t>61</w:t>
      </w:r>
    </w:p>
    <w:p>
      <w:pPr>
        <w:pStyle w:val="BodyText"/>
        <w:spacing w:line="247" w:lineRule="auto" w:before="623"/>
        <w:ind w:left="117" w:right="101"/>
        <w:jc w:val="both"/>
      </w:pPr>
      <w:r>
        <w:rPr>
          <w:color w:val="231F20"/>
        </w:rPr>
        <w:t>chos. El Estado global debe de esta forma confrontarse continuamente</w:t>
      </w:r>
      <w:r>
        <w:rPr>
          <w:color w:val="231F20"/>
          <w:spacing w:val="-45"/>
        </w:rPr>
        <w:t> </w:t>
      </w:r>
      <w:r>
        <w:rPr>
          <w:color w:val="231F20"/>
        </w:rPr>
        <w:t>con el problema político que el Estado moderno presumía haber resuelto en modo definitivo</w:t>
      </w:r>
      <w:r>
        <w:rPr>
          <w:color w:val="231F20"/>
          <w:position w:val="7"/>
          <w:sz w:val="12"/>
        </w:rPr>
        <w:t>77</w:t>
      </w:r>
      <w:r>
        <w:rPr>
          <w:color w:val="231F20"/>
        </w:rPr>
        <w:t>. En cuanto forma de dominio, éste debe constantemente ajustar cuentas con una soberanía que escapa sin ser de verdad evanes- cente. En su evolución esa es también la modalidad de ejercicio del poder tanto del Estado como de otras formaciones no estatales, pues mientras descubre la posesión de otras estructuras de </w:t>
      </w:r>
      <w:r>
        <w:rPr>
          <w:color w:val="231F20"/>
          <w:spacing w:val="-4"/>
        </w:rPr>
        <w:t>poder, </w:t>
      </w:r>
      <w:r>
        <w:rPr>
          <w:color w:val="231F20"/>
        </w:rPr>
        <w:t>es incapaz de lograr una relación establemente legítima entre el gobierno y los individuos que se definen mejor como sociedad global segmentada y diferenciada que como pueblo o</w:t>
      </w:r>
      <w:r>
        <w:rPr>
          <w:color w:val="231F20"/>
          <w:spacing w:val="52"/>
        </w:rPr>
        <w:t> </w:t>
      </w:r>
      <w:r>
        <w:rPr>
          <w:color w:val="231F20"/>
        </w:rPr>
        <w:t>nación.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r>
        <w:rPr/>
        <w:pict>
          <v:line style="position:absolute;mso-position-horizontal-relative:page;mso-position-vertical-relative:paragraph;z-index:3760;mso-wrap-distance-left:0;mso-wrap-distance-right:0" from="70.866096pt,14.186672pt" to="184.252096pt,14.186672pt" stroked="true" strokeweight=".3pt" strokecolor="#231f20">
            <w10:wrap type="topAndBottom"/>
          </v:line>
        </w:pict>
      </w:r>
    </w:p>
    <w:p>
      <w:pPr>
        <w:spacing w:before="10"/>
        <w:ind w:left="117" w:right="0" w:firstLine="0"/>
        <w:jc w:val="left"/>
        <w:rPr>
          <w:rFonts w:ascii="Calibri" w:hAnsi="Calibri"/>
          <w:sz w:val="17"/>
        </w:rPr>
      </w:pPr>
      <w:r>
        <w:rPr>
          <w:rFonts w:ascii="Calibri" w:hAnsi="Calibri"/>
          <w:color w:val="231F20"/>
          <w:position w:val="6"/>
          <w:sz w:val="10"/>
        </w:rPr>
        <w:t>77  </w:t>
      </w:r>
      <w:r>
        <w:rPr>
          <w:rFonts w:ascii="Calibri" w:hAnsi="Calibri"/>
          <w:color w:val="231F20"/>
          <w:sz w:val="17"/>
        </w:rPr>
        <w:t>M. Ricciardi, “Il problema politico dello Stato globale”, </w:t>
      </w:r>
      <w:r>
        <w:rPr>
          <w:rFonts w:ascii="Calibri" w:hAnsi="Calibri"/>
          <w:i/>
          <w:color w:val="231F20"/>
          <w:sz w:val="17"/>
        </w:rPr>
        <w:t>Equilibri</w:t>
      </w:r>
      <w:r>
        <w:rPr>
          <w:rFonts w:ascii="Calibri" w:hAnsi="Calibri"/>
          <w:color w:val="231F20"/>
          <w:sz w:val="17"/>
        </w:rPr>
        <w:t>, 2, 2014, pp. 293–300.</w:t>
      </w:r>
    </w:p>
    <w:p>
      <w:pPr>
        <w:spacing w:after="0"/>
        <w:jc w:val="left"/>
        <w:rPr>
          <w:rFonts w:ascii="Calibri" w:hAnsi="Calibri"/>
          <w:sz w:val="17"/>
        </w:rPr>
        <w:sectPr>
          <w:pgSz w:w="9640" w:h="13890"/>
          <w:pgMar w:top="0" w:bottom="280" w:left="1300" w:right="1200"/>
        </w:sectPr>
      </w:pPr>
    </w:p>
    <w:p>
      <w:pPr>
        <w:pStyle w:val="BodyText"/>
        <w:spacing w:before="4"/>
        <w:rPr>
          <w:rFonts w:ascii="Times New Roman"/>
          <w:sz w:val="17"/>
        </w:rPr>
      </w:pPr>
      <w:r>
        <w:rPr/>
        <w:pict>
          <v:line style="position:absolute;mso-position-horizontal-relative:page;mso-position-vertical-relative:page;z-index:3808" from="481.822998pt,0pt" to="481.822998pt,694.487976pt" stroked="true" strokeweight=".134pt" strokecolor="#6d6e71">
            <w10:wrap type="none"/>
          </v:line>
        </w:pict>
      </w:r>
    </w:p>
    <w:p>
      <w:pPr>
        <w:spacing w:after="0"/>
        <w:rPr>
          <w:rFonts w:ascii="Times New Roman"/>
          <w:sz w:val="17"/>
        </w:rPr>
        <w:sectPr>
          <w:pgSz w:w="9640" w:h="13890"/>
          <w:pgMar w:top="0" w:bottom="0" w:left="1340" w:right="0"/>
        </w:sectPr>
      </w:pPr>
    </w:p>
    <w:p>
      <w:pPr>
        <w:pStyle w:val="BodyText"/>
        <w:ind w:left="901"/>
        <w:rPr>
          <w:rFonts w:ascii="Times New Roman"/>
          <w:sz w:val="20"/>
        </w:rPr>
      </w:pPr>
      <w:r>
        <w:rPr/>
        <w:pict>
          <v:rect style="position:absolute;margin-left:0pt;margin-top:0pt;width:481.89pt;height:694.487976pt;mso-position-horizontal-relative:page;mso-position-vertical-relative:page;z-index:-171544" filled="true" fillcolor="#6d6e71" stroked="false">
            <v:fill type="solid"/>
            <w10:wrap type="none"/>
          </v:rect>
        </w:pict>
      </w:r>
      <w:r>
        <w:rPr>
          <w:rFonts w:ascii="Times New Roman"/>
          <w:sz w:val="20"/>
        </w:rPr>
        <w:pict>
          <v:group style="width:259.5pt;height:425.1pt;mso-position-horizontal-relative:char;mso-position-vertical-relative:line" coordorigin="0,0" coordsize="5190,8502">
            <v:shape style="position:absolute;left:2843;top:633;width:2346;height:7869" type="#_x0000_t75" stroked="false">
              <v:imagedata r:id="rId37" o:title=""/>
            </v:shape>
            <v:shape style="position:absolute;left:2864;top:1653;width:1729;height:3773" coordorigin="2864,1653" coordsize="1729,3773" path="m2953,1653l2941,1678,2914,1749,2885,1854,2864,1984,3158,3145,3436,3890,3860,4543,4593,5425,4587,5306,4571,5018,4552,4668,4535,4361,4023,4075,3687,3697,3380,2974,2953,1653xe" filled="true" fillcolor="#7e8083" stroked="false">
              <v:path arrowok="t"/>
              <v:fill type="solid"/>
            </v:shape>
            <v:shape style="position:absolute;left:0;top:0;width:4665;height:6117" type="#_x0000_t75" stroked="false">
              <v:imagedata r:id="rId38" o:title=""/>
            </v:shape>
            <v:shape style="position:absolute;left:2253;top:9;width:721;height:3805" coordorigin="2253,9" coordsize="721,3805" path="m2757,9l2525,58,2286,1239,2253,2024,2468,2765,2973,3814,2757,9xe" filled="true" fillcolor="#a9abae" stroked="false">
              <v:path arrowok="t"/>
              <v:fill type="solid"/>
            </v:shape>
            <v:shape style="position:absolute;left:2385;top:7;width:602;height:3856" coordorigin="2385,7" coordsize="602,3856" path="m2759,7l2524,51,2520,52,2519,56,2493,174,2487,203,2481,233,2475,262,2470,292,2449,411,2444,441,2440,470,2436,500,2432,530,2424,590,2417,650,2411,710,2405,770,2402,800,2400,833,2398,863,2396,891,2392,952,2391,981,2390,1012,2386,1132,2385,1162,2385,1222,2385,1313,2386,1374,2389,1437,2391,1495,2394,1555,2398,1615,2402,1675,2413,1796,2419,1856,2426,1916,2433,1976,2441,2036,2449,2096,2458,2155,2468,2215,2473,2245,2478,2274,2484,2304,2495,2363,2501,2393,2506,2422,2513,2452,2538,2570,2566,2687,2581,2746,2596,2804,2612,2863,2628,2920,2645,2978,2662,3035,2680,3093,2698,3150,2718,3207,2737,3264,2757,3321,2778,3377,2799,3433,2821,3489,2843,3545,2866,3600,2889,3656,2913,3710,2939,3765,2965,3819,2986,3862,2983,3815,2964,3815,2961,3765,2957,3756,2933,3701,2910,3646,2888,3591,2866,3535,2845,3479,2824,3423,2804,3367,2785,3310,2766,3253,2747,3196,2729,3139,2712,3082,2695,3025,2679,2967,2663,2909,2647,2852,2632,2794,2618,2735,2603,2677,2577,2561,2552,2443,2546,2414,2541,2384,2535,2355,2530,2325,2525,2296,2519,2266,2515,2237,2510,2207,2500,2148,2491,2089,2483,2029,2474,1970,2460,1851,2454,1791,2449,1732,2443,1672,2439,1612,2431,1492,2427,1372,2425,1342,2424,1313,2424,1282,2424,1252,2423,1222,2423,1192,2422,1162,2423,1132,2425,1011,2425,982,2426,951,2428,923,2431,860,2432,830,2434,803,2436,773,2441,713,2446,653,2451,593,2458,534,2461,504,2465,474,2468,444,2472,414,2490,296,2494,266,2499,236,2504,207,2530,64,2526,64,2531,59,2548,59,2755,12,2759,12,2759,7xm2961,3765l2964,3815,2982,3810,2961,3765xm2759,12l2755,12,2758,91,2767,328,2771,414,2774,485,2796,961,2821,1437,2825,1516,2829,1596,2834,1675,2839,1754,2843,1834,2853,1992,2858,2071,2864,2150,2875,2309,2880,2388,2885,2467,2896,2626,2902,2705,2907,2784,2912,2863,2926,3101,2930,3161,2933,3220,2936,3280,2944,3418,2948,3498,2952,3577,2956,3656,2960,3736,2961,3765,2982,3810,2964,3815,2983,3815,2978,3735,2972,3655,2967,3576,2962,3497,2958,3418,2949,3279,2946,3219,2942,3160,2927,2862,2923,2783,2919,2704,2915,2625,2908,2466,2904,2384,2901,2304,2894,2148,2890,2069,2886,1990,2878,1831,2874,1752,2869,1672,2865,1594,2860,1514,2855,1434,2826,959,2794,484,2789,405,2783,326,2777,247,2765,88,2759,12xm2531,59l2526,64,2530,63,2531,59xm2530,63l2526,64,2530,64,2530,63xm2548,59l2531,59,2530,63,2548,59xe" filled="true" fillcolor="#ffffff" stroked="false">
              <v:path arrowok="t"/>
              <v:fill type="solid"/>
            </v:shape>
            <v:shape style="position:absolute;left:765;top:4108;width:1689;height:2056" coordorigin="765,4108" coordsize="1689,2056" path="m2396,4108l2330,4111,2257,4118,2175,4134,2085,4160,1988,4198,1882,4250,1826,4282,1769,4318,1709,4358,1648,4404,1584,4454,1519,4510,1452,4571,1383,4638,1312,4711,1239,4790,1165,4876,1088,4969,1010,5069,930,5176,848,5291,765,5413,874,6164,1348,5141,1671,4586,1990,4307,2453,4110,2425,4109,2396,4108xe" filled="true" fillcolor="#bec0c2" stroked="false">
              <v:path arrowok="t"/>
              <v:fill type="solid"/>
            </v:shape>
            <v:shape style="position:absolute;left:763;top:4090;width:1709;height:2094" coordorigin="763,4090" coordsize="1709,2094" path="m2385,4090l2350,4090,2315,4092,2280,4096,2246,4100,2211,4106,2177,4113,2109,4130,2027,4159,2010,4165,1994,4172,1978,4179,1946,4193,1931,4200,1915,4208,1838,4250,1823,4259,1808,4268,1705,4335,1622,4398,1608,4409,1594,4419,1580,4430,1461,4534,1337,4658,1313,4684,1290,4710,1266,4736,1243,4762,1219,4788,1196,4815,1174,4842,1086,4951,1064,4979,1043,5007,918,5177,899,5206,763,5412,763,5413,763,5414,785,5602,791,5649,796,5696,802,5743,818,5866,828,5941,838,6016,848,6092,858,6167,859,6172,862,6177,874,6183,884,6180,888,6171,888,6171,892,6162,889,6162,859,6157,881,6110,878,6087,866,6012,854,5937,842,5862,823,5740,815,5694,807,5647,799,5600,767,5414,912,5216,933,5188,1062,5023,1084,4996,1220,4837,1244,4812,1268,4786,1291,4761,1315,4736,1339,4710,1363,4685,1488,4565,1606,4464,1619,4453,1633,4443,1729,4371,1829,4306,1844,4297,1859,4289,1933,4248,1949,4241,2026,4206,2041,4199,2121,4171,2186,4153,2218,4146,2251,4140,2285,4135,2318,4132,2351,4129,2366,4129,2371,4126,2447,4093,2465,4093,2464,4092,2419,4090,2385,4090xm881,6110l859,6157,889,6162,881,6110xm2385,4128l2366,4129,2299,4166,2231,4212,2214,4224,2197,4236,2165,4261,2133,4287,2102,4314,2071,4342,2026,4384,2011,4398,1997,4413,1983,4428,1968,4443,1954,4457,1940,4472,1871,4549,1817,4612,1791,4644,1765,4676,1739,4708,1689,4773,1664,4806,1615,4872,1566,4939,1542,4973,1495,5041,1449,5110,1426,5144,1380,5213,1358,5247,1335,5282,1291,5352,1248,5423,1205,5494,1163,5566,1142,5602,1122,5638,1102,5674,1062,5747,1043,5784,1023,5821,1004,5858,967,5932,930,6006,894,6081,881,6110,889,6162,892,6162,924,6097,960,6022,998,5949,1036,5875,1074,5802,1113,5729,1152,5656,1192,5583,1272,5439,1287,5412,1313,5367,1334,5331,1355,5295,1397,5225,1441,5154,1485,5084,1531,5016,1554,4982,1577,4948,1625,4880,1649,4847,1674,4814,1699,4782,1750,4717,1776,4685,1802,4654,1829,4622,1883,4561,1954,4487,1968,4473,1983,4459,1999,4443,2012,4430,2027,4416,2042,4402,2088,4362,2119,4336,2150,4311,2182,4286,2199,4274,2231,4250,2248,4239,2316,4196,2386,4159,2456,4129,2452,4129,2418,4128,2385,4128xm2452,4128l2385,4128,2418,4128,2452,4129,2452,4128xm2465,4093l2447,4093,2452,4129,2456,4129,2459,4128,2460,4128,2466,4125,2471,4119,2472,4101,2465,4093xm2447,4093l2371,4126,2366,4129,2385,4128,2452,4128,2447,4093xe" filled="true" fillcolor="#ffffff" stroked="false">
              <v:path arrowok="t"/>
              <v:fill type="solid"/>
            </v:shape>
            <v:shape style="position:absolute;left:874;top:4111;width:2141;height:2054" coordorigin="874,4111" coordsize="2141,2054" path="m2486,4111l2096,4164,1797,4395,1440,4998,874,6164,985,6035,1092,5914,1196,5800,1296,5693,1392,5593,1485,5501,1575,5414,1660,5334,1743,5261,1822,5193,1898,5131,1971,5074,2042,5022,2109,4976,2173,4934,2235,4896,2294,4863,2350,4834,2404,4809,2455,4787,2504,4769,2551,4754,2596,4742,2638,4732,2679,4725,2717,4720,2754,4718,2789,4716,2975,4716,2959,4706,2904,4657,2850,4599,2797,4535,2746,4467,2696,4397,2604,4263,2561,4203,2522,4152,2486,4111xm2975,4716l2789,4716,2822,4717,2854,4719,2884,4721,2913,4725,2940,4729,2966,4734,3015,4743,2975,4716xe" filled="true" fillcolor="#828486" stroked="false">
              <v:path arrowok="t"/>
              <v:fill type="solid"/>
            </v:shape>
            <v:shape style="position:absolute;left:871;top:4104;width:2162;height:2063" coordorigin="871,4104" coordsize="2162,2063" path="m872,6166l873,6167,873,6166,872,6166xm875,6165l874,6166,873,6166,874,6167,875,6166,875,6165xm885,6147l872,6163,872,6163,872,6165,872,6166,872,6166,873,6166,874,6166,875,6165,885,6147xm872,6165l872,6166,872,6166,872,6165xm2810,4698l2768,4698,2725,4701,2683,4705,2642,4712,2600,4721,2559,4731,2519,4743,2479,4757,2439,4772,2400,4788,2362,4805,2324,4824,2286,4843,2249,4863,2213,4884,2141,4928,2071,4975,2036,5000,2002,5025,1968,5050,1934,5076,1901,5101,1868,5128,1803,5182,1739,5237,1708,5265,1645,5322,1614,5351,1553,5409,1523,5439,1493,5469,1433,5529,1345,5620,1316,5651,1230,5744,1117,5871,1090,5903,1035,5967,980,6032,885,6147,875,6165,988,6040,1132,5885,1248,5763,1337,5673,1456,5553,1547,5466,1578,5437,1639,5380,1671,5352,1733,5297,1765,5269,1797,5242,1829,5215,1894,5162,1926,5136,1993,5085,2026,5060,2060,5036,2094,5012,2163,4966,2234,4923,2269,4902,2306,4882,2342,4862,2379,4844,2416,4827,2454,4811,2492,4796,2530,4782,2569,4770,2609,4760,2648,4751,2688,4744,2728,4739,2769,4736,2809,4735,2974,4735,2963,4728,2944,4712,2936,4711,2894,4705,2852,4700,2810,4698xm872,6163l871,6164,871,6164,872,6163xm2488,4104l2486,4104,2444,4109,2404,4119,2365,4132,2327,4148,2289,4166,2253,4187,2218,4209,2184,4233,2119,4285,2056,4339,1995,4397,1937,4457,1880,4518,1825,4581,1772,4646,1719,4712,1668,4778,1619,4846,1571,4915,1523,4985,1477,5055,1432,5126,1387,5197,1343,5269,1300,5341,1258,5414,1216,5487,1175,5561,1135,5635,1095,5709,1056,5784,1018,5859,980,5934,943,6010,907,6087,872,6163,885,6147,915,6091,954,6016,994,5942,1075,5795,1116,5722,1158,5649,1200,5576,1242,5504,1285,5431,1328,5359,1372,5288,1416,5217,1461,5146,1507,5076,1553,5006,1599,4936,1647,4867,1695,4799,1744,4732,1794,4665,1845,4599,1898,4535,1952,4472,2008,4411,2067,4352,2128,4297,2193,4245,2226,4221,2260,4199,2295,4178,2332,4159,2369,4144,2407,4131,2447,4123,2483,4118,2481,4116,2500,4116,2491,4106,2489,4104,2488,4104xm2974,4735l2809,4735,2850,4737,2890,4740,2930,4745,2971,4752,3012,4760,3012,4760,3018,4761,3025,4758,3007,4758,2974,4735xm2944,4712l2963,4728,3007,4758,3018,4727,2977,4718,2944,4712xm2500,4116l2481,4116,2486,4118,2483,4118,2499,4135,2515,4154,2531,4175,2546,4195,2562,4216,2577,4237,2591,4259,2606,4280,2664,4367,2693,4410,2723,4453,2753,4495,2784,4537,2816,4578,2849,4619,2885,4657,2922,4694,2944,4712,2977,4718,3018,4727,3007,4758,3025,4758,3025,4758,3029,4751,3033,4743,3030,4733,3022,4728,3001,4716,2981,4702,2961,4687,2942,4671,2923,4654,2905,4636,2887,4618,2869,4599,2835,4561,2802,4521,2771,4481,2740,4439,2709,4398,2679,4355,2589,4228,2573,4207,2558,4186,2542,4165,2526,4145,2509,4125,2500,4116xm2481,4116l2483,4118,2486,4118,2481,4116xe" filled="true" fillcolor="#ffffff" stroked="false">
              <v:path arrowok="t"/>
              <v:fill type="solid"/>
            </v:shape>
            <v:shape style="position:absolute;left:1244;top:138;width:1771;height:4609" coordorigin="1244,138" coordsize="1771,4609" path="m2174,138l1618,256,1244,1778,1264,2753,1811,3602,3015,4747,3001,4483,2984,4202,2969,3979,2963,3887,2240,3071,1917,2408,1920,1547,2174,138xe" filled="true" fillcolor="#959799" stroked="false">
              <v:path arrowok="t"/>
              <v:fill type="solid"/>
            </v:shape>
            <v:shape style="position:absolute;left:1491;top:130;width:1535;height:4640" coordorigin="1491,130" coordsize="1535,4640" path="m2186,130l2172,130,1616,270,1597,350,1581,410,1566,490,1552,570,1540,650,1529,730,1520,790,1512,870,1506,950,1500,1030,1496,1110,1493,1190,1491,1270,1491,1350,1491,1430,1493,1490,1497,1570,1501,1650,1507,1730,1514,1810,1522,1890,1531,1970,1541,2050,1553,2110,1566,2190,1581,2270,1596,2350,1613,2430,1632,2490,1651,2570,1672,2650,1695,2730,1718,2790,1743,2870,1769,2950,1797,3010,1825,3090,1855,3150,1887,3230,1919,3290,1953,3370,1987,3430,2024,3510,2061,3570,2099,3630,2138,3710,2179,3770,2220,3830,2262,3890,2306,3970,2350,4030,2396,4090,2419,4110,2442,4150,2466,4170,2489,4210,2513,4230,2537,4270,2562,4290,2586,4330,2611,4350,2636,4390,2661,4410,2687,4430,2713,4470,2739,4490,2765,4530,2791,4550,2844,4610,2898,4650,2953,4710,3008,4770,3025,4770,3024,4750,3005,4750,3004,4732,2965,4690,2910,4650,2855,4590,2802,4550,2775,4510,2749,4490,2723,4450,2671,4410,2646,4370,2621,4350,2596,4310,2571,4290,2547,4250,2523,4230,2499,4190,2452,4130,2428,4110,2406,4070,2361,4010,2317,3950,2274,3890,2232,3830,2192,3770,2152,3690,2114,3630,2077,3570,2042,3490,2007,3430,1974,3350,1942,3290,1910,3210,1881,3150,1852,3070,1825,3010,1799,2930,1774,2850,1750,2790,1727,2710,1706,2630,1685,2570,1666,2490,1648,2410,1632,2330,1616,2270,1601,2190,1588,2110,1575,2030,1564,1950,1555,1890,1546,1810,1539,1730,1533,1650,1528,1570,1524,1490,1521,1410,1519,1350,1518,1270,1519,1190,1521,1110,1523,1030,1528,950,1533,870,1539,810,1547,730,1555,650,1565,570,1576,490,1589,410,1603,350,1620,270,2164,152,2165,150,2183,150,2186,130xm3004,4732l3005,4750,3021,4750,3004,4732xm2949,3906l2954,3990,2960,4070,2967,4150,2973,4250,2978,4330,3004,4732,3021,4750,3024,4750,2999,4250,2994,4150,2989,4070,2984,3990,2980,3910,2952,3910,2949,3906xm2947,3890l2949,3906,2952,3910,2947,3890xm2979,3890l2947,3890,2952,3910,2980,3910,2979,3890xm2183,150l2176,150,2164,152,2153,210,2141,270,2130,330,2120,390,2110,450,2102,510,2093,570,2086,630,2079,690,2073,770,2068,830,2063,890,2059,950,2056,1010,2053,1070,2052,1130,2051,1190,2051,1270,2051,1330,2052,1390,2055,1450,2057,1510,2061,1570,2066,1630,2074,1710,2083,1790,2093,1870,2105,1970,2119,2050,2134,2130,2151,2210,2169,2290,2188,2370,2209,2450,2232,2530,2256,2610,2281,2690,2308,2770,2337,2850,2367,2930,2399,2990,2432,3070,2467,3150,2503,3230,2540,3290,2579,3370,2620,3430,2662,3510,2695,3570,2728,3610,2763,3670,2798,3710,2835,3770,2872,3810,2911,3870,2949,3906,2947,3890,2974,3890,2935,3850,2898,3790,2861,3750,2826,3690,2791,3650,2758,3590,2725,3550,2693,3490,2652,3410,2613,3350,2574,3270,2538,3210,2502,3130,2469,3050,2436,2970,2405,2910,2376,2830,2348,2750,2322,2670,2296,2590,2272,2510,2250,2430,2229,2350,2209,2270,2191,2190,2175,2110,2160,2030,2146,1950,2134,1870,2123,1790,2114,1710,2106,1630,2100,1570,2096,1510,2092,1450,2089,1390,2085,1250,2085,1190,2085,1130,2085,1070,2087,1010,2089,950,2092,890,2096,830,2101,770,2106,710,2112,630,2118,570,2126,510,2134,450,2142,390,2152,330,2162,270,2172,210,2183,150xm2176,150l2165,150,2164,152,2176,150xe" filled="true" fillcolor="#ffffff" stroked="false">
              <v:path arrowok="t"/>
              <v:fill type="solid"/>
            </v:shape>
          </v:group>
        </w:pict>
      </w:r>
      <w:r>
        <w:rPr>
          <w:rFonts w:ascii="Times New Roman"/>
          <w:sz w:val="20"/>
        </w:rPr>
      </w:r>
    </w:p>
    <w:p>
      <w:pPr>
        <w:spacing w:line="338" w:lineRule="exact" w:before="0"/>
        <w:ind w:left="0" w:right="3264" w:firstLine="0"/>
        <w:jc w:val="right"/>
        <w:rPr>
          <w:rFonts w:ascii="Lucida Sans Unicode"/>
          <w:sz w:val="28"/>
        </w:rPr>
      </w:pPr>
      <w:r>
        <w:rPr>
          <w:rFonts w:ascii="Lucida Sans Unicode"/>
          <w:color w:val="FFFFFF"/>
          <w:w w:val="90"/>
          <w:sz w:val="28"/>
        </w:rPr>
        <w:t>NATURALIZAR LAS</w:t>
      </w:r>
      <w:r>
        <w:rPr>
          <w:rFonts w:ascii="Lucida Sans Unicode"/>
          <w:color w:val="FFFFFF"/>
          <w:spacing w:val="72"/>
          <w:w w:val="90"/>
          <w:sz w:val="28"/>
        </w:rPr>
        <w:t> </w:t>
      </w:r>
      <w:r>
        <w:rPr>
          <w:rFonts w:ascii="Lucida Sans Unicode"/>
          <w:color w:val="FFFFFF"/>
          <w:spacing w:val="-3"/>
          <w:w w:val="90"/>
          <w:sz w:val="28"/>
        </w:rPr>
        <w:t>PARADOJAS:</w:t>
      </w:r>
    </w:p>
    <w:p>
      <w:pPr>
        <w:spacing w:line="187" w:lineRule="auto" w:before="20"/>
        <w:ind w:left="989" w:right="3264" w:firstLine="534"/>
        <w:jc w:val="right"/>
        <w:rPr>
          <w:rFonts w:ascii="Lucida Sans Unicode" w:hAnsi="Lucida Sans Unicode"/>
          <w:sz w:val="28"/>
        </w:rPr>
      </w:pPr>
      <w:r>
        <w:rPr>
          <w:rFonts w:ascii="Lucida Sans Unicode" w:hAnsi="Lucida Sans Unicode"/>
          <w:color w:val="FFFFFF"/>
          <w:w w:val="90"/>
          <w:sz w:val="28"/>
        </w:rPr>
        <w:t>UN ACERCAMIENTO</w:t>
      </w:r>
      <w:r>
        <w:rPr>
          <w:rFonts w:ascii="Lucida Sans Unicode" w:hAnsi="Lucida Sans Unicode"/>
          <w:color w:val="FFFFFF"/>
          <w:w w:val="89"/>
          <w:sz w:val="28"/>
        </w:rPr>
        <w:t> </w:t>
      </w:r>
      <w:r>
        <w:rPr>
          <w:rFonts w:ascii="Lucida Sans Unicode" w:hAnsi="Lucida Sans Unicode"/>
          <w:color w:val="FFFFFF"/>
          <w:w w:val="90"/>
          <w:sz w:val="28"/>
        </w:rPr>
        <w:t>A LA ftLOBALIZACIÓN</w:t>
      </w:r>
      <w:r>
        <w:rPr>
          <w:rFonts w:ascii="Lucida Sans Unicode" w:hAnsi="Lucida Sans Unicode"/>
          <w:color w:val="FFFFFF"/>
          <w:w w:val="87"/>
          <w:sz w:val="28"/>
        </w:rPr>
        <w:t> </w:t>
      </w:r>
      <w:r>
        <w:rPr>
          <w:rFonts w:ascii="Lucida Sans Unicode" w:hAnsi="Lucida Sans Unicode"/>
          <w:color w:val="FFFFFF"/>
          <w:w w:val="95"/>
          <w:sz w:val="28"/>
        </w:rPr>
        <w:t>DESDE ftILLES DELEUZE</w:t>
      </w:r>
    </w:p>
    <w:p>
      <w:pPr>
        <w:pStyle w:val="BodyText"/>
        <w:rPr>
          <w:rFonts w:ascii="Lucida Sans Unicode"/>
          <w:sz w:val="28"/>
        </w:rPr>
      </w:pPr>
    </w:p>
    <w:p>
      <w:pPr>
        <w:pStyle w:val="BodyText"/>
        <w:spacing w:before="3"/>
        <w:rPr>
          <w:rFonts w:ascii="Lucida Sans Unicode"/>
          <w:sz w:val="19"/>
        </w:rPr>
      </w:pPr>
    </w:p>
    <w:p>
      <w:pPr>
        <w:spacing w:before="1"/>
        <w:ind w:left="3971" w:right="0" w:firstLine="0"/>
        <w:jc w:val="left"/>
        <w:rPr>
          <w:rFonts w:ascii="Calibri" w:hAnsi="Calibri"/>
          <w:sz w:val="28"/>
        </w:rPr>
      </w:pPr>
      <w:r>
        <w:rPr>
          <w:rFonts w:ascii="Calibri" w:hAnsi="Calibri"/>
          <w:color w:val="FFFFFF"/>
          <w:sz w:val="28"/>
        </w:rPr>
        <w:t>María Luisa Bacarlett</w:t>
      </w:r>
      <w:r>
        <w:rPr>
          <w:rFonts w:ascii="Calibri" w:hAnsi="Calibri"/>
          <w:color w:val="FFFFFF"/>
          <w:spacing w:val="57"/>
          <w:sz w:val="28"/>
        </w:rPr>
        <w:t> </w:t>
      </w:r>
      <w:r>
        <w:rPr>
          <w:rFonts w:ascii="Calibri" w:hAnsi="Calibri"/>
          <w:color w:val="FFFFFF"/>
          <w:sz w:val="28"/>
        </w:rPr>
        <w:t>Pérez</w:t>
      </w:r>
    </w:p>
    <w:p>
      <w:pPr>
        <w:spacing w:after="0"/>
        <w:jc w:val="left"/>
        <w:rPr>
          <w:rFonts w:ascii="Calibri" w:hAnsi="Calibri"/>
          <w:sz w:val="28"/>
        </w:rPr>
        <w:sectPr>
          <w:pgSz w:w="9640" w:h="13890"/>
          <w:pgMar w:top="1160" w:bottom="280" w:left="1300" w:right="110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7"/>
        </w:rPr>
      </w:pPr>
    </w:p>
    <w:p>
      <w:pPr>
        <w:spacing w:before="57"/>
        <w:ind w:left="117" w:right="0" w:firstLine="0"/>
        <w:jc w:val="left"/>
        <w:rPr>
          <w:rFonts w:ascii="Arial" w:hAnsi="Arial"/>
          <w:i/>
          <w:sz w:val="21"/>
        </w:rPr>
      </w:pPr>
      <w:r>
        <w:rPr>
          <w:rFonts w:ascii="Arial" w:hAnsi="Arial"/>
          <w:i/>
          <w:color w:val="231F20"/>
          <w:sz w:val="21"/>
        </w:rPr>
        <w:t>Introducción.  Definir  la globalización</w:t>
      </w:r>
    </w:p>
    <w:p>
      <w:pPr>
        <w:pStyle w:val="BodyText"/>
        <w:rPr>
          <w:rFonts w:ascii="Arial"/>
          <w:i/>
          <w:sz w:val="20"/>
        </w:rPr>
      </w:pPr>
    </w:p>
    <w:p>
      <w:pPr>
        <w:pStyle w:val="BodyText"/>
        <w:spacing w:line="247" w:lineRule="auto" w:before="172"/>
        <w:ind w:left="1180" w:right="101"/>
        <w:jc w:val="both"/>
      </w:pPr>
      <w:r>
        <w:rPr/>
        <w:pict>
          <v:shape style="position:absolute;margin-left:79.379997pt;margin-top:17.753040pt;width:36.85pt;height:51pt;mso-position-horizontal-relative:page;mso-position-vertical-relative:paragraph;z-index:3904"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sz w:val="102"/>
                    </w:rPr>
                    <w:t>C</w:t>
                  </w:r>
                </w:p>
              </w:txbxContent>
            </v:textbox>
            <w10:wrap type="none"/>
          </v:shape>
        </w:pict>
      </w:r>
      <w:r>
        <w:rPr>
          <w:color w:val="231F20"/>
          <w:w w:val="105"/>
        </w:rPr>
        <w:t>uando</w:t>
      </w:r>
      <w:r>
        <w:rPr>
          <w:color w:val="231F20"/>
          <w:spacing w:val="-30"/>
          <w:w w:val="105"/>
        </w:rPr>
        <w:t> </w:t>
      </w:r>
      <w:r>
        <w:rPr>
          <w:color w:val="231F20"/>
          <w:w w:val="105"/>
        </w:rPr>
        <w:t>una</w:t>
      </w:r>
      <w:r>
        <w:rPr>
          <w:color w:val="231F20"/>
          <w:spacing w:val="-30"/>
          <w:w w:val="105"/>
        </w:rPr>
        <w:t> </w:t>
      </w:r>
      <w:r>
        <w:rPr>
          <w:color w:val="231F20"/>
          <w:w w:val="105"/>
        </w:rPr>
        <w:t>palabra</w:t>
      </w:r>
      <w:r>
        <w:rPr>
          <w:color w:val="231F20"/>
          <w:spacing w:val="-30"/>
          <w:w w:val="105"/>
        </w:rPr>
        <w:t> </w:t>
      </w:r>
      <w:r>
        <w:rPr>
          <w:color w:val="231F20"/>
          <w:w w:val="105"/>
        </w:rPr>
        <w:t>es</w:t>
      </w:r>
      <w:r>
        <w:rPr>
          <w:color w:val="231F20"/>
          <w:spacing w:val="-30"/>
          <w:w w:val="105"/>
        </w:rPr>
        <w:t> </w:t>
      </w:r>
      <w:r>
        <w:rPr>
          <w:color w:val="231F20"/>
          <w:w w:val="105"/>
        </w:rPr>
        <w:t>de</w:t>
      </w:r>
      <w:r>
        <w:rPr>
          <w:color w:val="231F20"/>
          <w:spacing w:val="-30"/>
          <w:w w:val="105"/>
        </w:rPr>
        <w:t> </w:t>
      </w:r>
      <w:r>
        <w:rPr>
          <w:color w:val="231F20"/>
          <w:w w:val="105"/>
        </w:rPr>
        <w:t>uso</w:t>
      </w:r>
      <w:r>
        <w:rPr>
          <w:color w:val="231F20"/>
          <w:spacing w:val="-30"/>
          <w:w w:val="105"/>
        </w:rPr>
        <w:t> </w:t>
      </w:r>
      <w:r>
        <w:rPr>
          <w:color w:val="231F20"/>
          <w:w w:val="105"/>
        </w:rPr>
        <w:t>reciente,</w:t>
      </w:r>
      <w:r>
        <w:rPr>
          <w:color w:val="231F20"/>
          <w:spacing w:val="-30"/>
          <w:w w:val="105"/>
        </w:rPr>
        <w:t> </w:t>
      </w:r>
      <w:r>
        <w:rPr>
          <w:color w:val="231F20"/>
          <w:w w:val="105"/>
        </w:rPr>
        <w:t>es</w:t>
      </w:r>
      <w:r>
        <w:rPr>
          <w:color w:val="231F20"/>
          <w:spacing w:val="-30"/>
          <w:w w:val="105"/>
        </w:rPr>
        <w:t> </w:t>
      </w:r>
      <w:r>
        <w:rPr>
          <w:color w:val="231F20"/>
          <w:w w:val="105"/>
        </w:rPr>
        <w:t>posible</w:t>
      </w:r>
      <w:r>
        <w:rPr>
          <w:color w:val="231F20"/>
          <w:spacing w:val="-30"/>
          <w:w w:val="105"/>
        </w:rPr>
        <w:t> </w:t>
      </w:r>
      <w:r>
        <w:rPr>
          <w:color w:val="231F20"/>
          <w:w w:val="105"/>
        </w:rPr>
        <w:t>que</w:t>
      </w:r>
      <w:r>
        <w:rPr>
          <w:color w:val="231F20"/>
          <w:spacing w:val="-30"/>
          <w:w w:val="105"/>
        </w:rPr>
        <w:t> </w:t>
      </w:r>
      <w:r>
        <w:rPr>
          <w:color w:val="231F20"/>
          <w:w w:val="105"/>
        </w:rPr>
        <w:t>la</w:t>
      </w:r>
      <w:r>
        <w:rPr>
          <w:color w:val="231F20"/>
          <w:spacing w:val="-30"/>
          <w:w w:val="105"/>
        </w:rPr>
        <w:t> </w:t>
      </w:r>
      <w:r>
        <w:rPr>
          <w:color w:val="231F20"/>
          <w:w w:val="105"/>
        </w:rPr>
        <w:t>plurali- dad</w:t>
      </w:r>
      <w:r>
        <w:rPr>
          <w:color w:val="231F20"/>
          <w:spacing w:val="-32"/>
          <w:w w:val="105"/>
        </w:rPr>
        <w:t> </w:t>
      </w:r>
      <w:r>
        <w:rPr>
          <w:color w:val="231F20"/>
          <w:w w:val="105"/>
        </w:rPr>
        <w:t>de</w:t>
      </w:r>
      <w:r>
        <w:rPr>
          <w:color w:val="231F20"/>
          <w:spacing w:val="-32"/>
          <w:w w:val="105"/>
        </w:rPr>
        <w:t> </w:t>
      </w:r>
      <w:r>
        <w:rPr>
          <w:color w:val="231F20"/>
          <w:w w:val="105"/>
        </w:rPr>
        <w:t>sus</w:t>
      </w:r>
      <w:r>
        <w:rPr>
          <w:color w:val="231F20"/>
          <w:spacing w:val="-32"/>
          <w:w w:val="105"/>
        </w:rPr>
        <w:t> </w:t>
      </w:r>
      <w:r>
        <w:rPr>
          <w:color w:val="231F20"/>
          <w:w w:val="105"/>
        </w:rPr>
        <w:t>sentidos</w:t>
      </w:r>
      <w:r>
        <w:rPr>
          <w:color w:val="231F20"/>
          <w:spacing w:val="-32"/>
          <w:w w:val="105"/>
        </w:rPr>
        <w:t> </w:t>
      </w:r>
      <w:r>
        <w:rPr>
          <w:color w:val="231F20"/>
          <w:w w:val="105"/>
        </w:rPr>
        <w:t>se</w:t>
      </w:r>
      <w:r>
        <w:rPr>
          <w:color w:val="231F20"/>
          <w:spacing w:val="-32"/>
          <w:w w:val="105"/>
        </w:rPr>
        <w:t> </w:t>
      </w:r>
      <w:r>
        <w:rPr>
          <w:color w:val="231F20"/>
          <w:w w:val="105"/>
        </w:rPr>
        <w:t>vaya</w:t>
      </w:r>
      <w:r>
        <w:rPr>
          <w:color w:val="231F20"/>
          <w:spacing w:val="-32"/>
          <w:w w:val="105"/>
        </w:rPr>
        <w:t> </w:t>
      </w:r>
      <w:r>
        <w:rPr>
          <w:color w:val="231F20"/>
          <w:w w:val="105"/>
        </w:rPr>
        <w:t>estabilizando</w:t>
      </w:r>
      <w:r>
        <w:rPr>
          <w:color w:val="231F20"/>
          <w:spacing w:val="-32"/>
          <w:w w:val="105"/>
        </w:rPr>
        <w:t> </w:t>
      </w:r>
      <w:r>
        <w:rPr>
          <w:color w:val="231F20"/>
          <w:w w:val="105"/>
        </w:rPr>
        <w:t>a</w:t>
      </w:r>
      <w:r>
        <w:rPr>
          <w:color w:val="231F20"/>
          <w:spacing w:val="-32"/>
          <w:w w:val="105"/>
        </w:rPr>
        <w:t> </w:t>
      </w:r>
      <w:r>
        <w:rPr>
          <w:color w:val="231F20"/>
          <w:w w:val="105"/>
        </w:rPr>
        <w:t>lo</w:t>
      </w:r>
      <w:r>
        <w:rPr>
          <w:color w:val="231F20"/>
          <w:spacing w:val="-32"/>
          <w:w w:val="105"/>
        </w:rPr>
        <w:t> </w:t>
      </w:r>
      <w:r>
        <w:rPr>
          <w:color w:val="231F20"/>
          <w:w w:val="105"/>
        </w:rPr>
        <w:t>largo</w:t>
      </w:r>
      <w:r>
        <w:rPr>
          <w:color w:val="231F20"/>
          <w:spacing w:val="-32"/>
          <w:w w:val="105"/>
        </w:rPr>
        <w:t> </w:t>
      </w:r>
      <w:r>
        <w:rPr>
          <w:color w:val="231F20"/>
          <w:w w:val="105"/>
        </w:rPr>
        <w:t>del</w:t>
      </w:r>
      <w:r>
        <w:rPr>
          <w:color w:val="231F20"/>
          <w:spacing w:val="-32"/>
          <w:w w:val="105"/>
        </w:rPr>
        <w:t> </w:t>
      </w:r>
      <w:r>
        <w:rPr>
          <w:color w:val="231F20"/>
          <w:w w:val="105"/>
        </w:rPr>
        <w:t>tiempo, pero</w:t>
      </w:r>
      <w:r>
        <w:rPr>
          <w:color w:val="231F20"/>
          <w:spacing w:val="-37"/>
          <w:w w:val="105"/>
        </w:rPr>
        <w:t> </w:t>
      </w:r>
      <w:r>
        <w:rPr>
          <w:color w:val="231F20"/>
          <w:w w:val="105"/>
        </w:rPr>
        <w:t>a</w:t>
      </w:r>
      <w:r>
        <w:rPr>
          <w:color w:val="231F20"/>
          <w:spacing w:val="-37"/>
          <w:w w:val="105"/>
        </w:rPr>
        <w:t> </w:t>
      </w:r>
      <w:r>
        <w:rPr>
          <w:color w:val="231F20"/>
          <w:w w:val="105"/>
        </w:rPr>
        <w:t>veces</w:t>
      </w:r>
      <w:r>
        <w:rPr>
          <w:color w:val="231F20"/>
          <w:spacing w:val="-37"/>
          <w:w w:val="105"/>
        </w:rPr>
        <w:t> </w:t>
      </w:r>
      <w:r>
        <w:rPr>
          <w:color w:val="231F20"/>
          <w:w w:val="105"/>
        </w:rPr>
        <w:t>ocurre</w:t>
      </w:r>
      <w:r>
        <w:rPr>
          <w:color w:val="231F20"/>
          <w:spacing w:val="-37"/>
          <w:w w:val="105"/>
        </w:rPr>
        <w:t> </w:t>
      </w:r>
      <w:r>
        <w:rPr>
          <w:color w:val="231F20"/>
          <w:w w:val="105"/>
        </w:rPr>
        <w:t>lo</w:t>
      </w:r>
      <w:r>
        <w:rPr>
          <w:color w:val="231F20"/>
          <w:spacing w:val="-37"/>
          <w:w w:val="105"/>
        </w:rPr>
        <w:t> </w:t>
      </w:r>
      <w:r>
        <w:rPr>
          <w:color w:val="231F20"/>
          <w:w w:val="105"/>
        </w:rPr>
        <w:t>contrario.</w:t>
      </w:r>
      <w:r>
        <w:rPr>
          <w:color w:val="231F20"/>
          <w:spacing w:val="-37"/>
          <w:w w:val="105"/>
        </w:rPr>
        <w:t> </w:t>
      </w:r>
      <w:r>
        <w:rPr>
          <w:color w:val="231F20"/>
          <w:w w:val="105"/>
        </w:rPr>
        <w:t>Hay</w:t>
      </w:r>
      <w:r>
        <w:rPr>
          <w:color w:val="231F20"/>
          <w:spacing w:val="-37"/>
          <w:w w:val="105"/>
        </w:rPr>
        <w:t> </w:t>
      </w:r>
      <w:r>
        <w:rPr>
          <w:color w:val="231F20"/>
          <w:w w:val="105"/>
        </w:rPr>
        <w:t>términos</w:t>
      </w:r>
      <w:r>
        <w:rPr>
          <w:color w:val="231F20"/>
          <w:spacing w:val="-37"/>
          <w:w w:val="105"/>
        </w:rPr>
        <w:t> </w:t>
      </w:r>
      <w:r>
        <w:rPr>
          <w:color w:val="231F20"/>
          <w:w w:val="105"/>
        </w:rPr>
        <w:t>que</w:t>
      </w:r>
      <w:r>
        <w:rPr>
          <w:color w:val="231F20"/>
          <w:spacing w:val="-37"/>
          <w:w w:val="105"/>
        </w:rPr>
        <w:t> </w:t>
      </w:r>
      <w:r>
        <w:rPr>
          <w:color w:val="231F20"/>
          <w:w w:val="105"/>
        </w:rPr>
        <w:t>aparecen</w:t>
      </w:r>
      <w:r>
        <w:rPr>
          <w:color w:val="231F20"/>
          <w:spacing w:val="-37"/>
          <w:w w:val="105"/>
        </w:rPr>
        <w:t> </w:t>
      </w:r>
      <w:r>
        <w:rPr>
          <w:color w:val="231F20"/>
          <w:w w:val="105"/>
        </w:rPr>
        <w:t>en nuestro</w:t>
      </w:r>
      <w:r>
        <w:rPr>
          <w:color w:val="231F20"/>
          <w:spacing w:val="-16"/>
          <w:w w:val="105"/>
        </w:rPr>
        <w:t> </w:t>
      </w:r>
      <w:r>
        <w:rPr>
          <w:color w:val="231F20"/>
          <w:w w:val="105"/>
        </w:rPr>
        <w:t>vocabulario</w:t>
      </w:r>
      <w:r>
        <w:rPr>
          <w:color w:val="231F20"/>
          <w:spacing w:val="-16"/>
          <w:w w:val="105"/>
        </w:rPr>
        <w:t> </w:t>
      </w:r>
      <w:r>
        <w:rPr>
          <w:color w:val="231F20"/>
          <w:w w:val="105"/>
        </w:rPr>
        <w:t>con</w:t>
      </w:r>
      <w:r>
        <w:rPr>
          <w:color w:val="231F20"/>
          <w:spacing w:val="-16"/>
          <w:w w:val="105"/>
        </w:rPr>
        <w:t> </w:t>
      </w:r>
      <w:r>
        <w:rPr>
          <w:color w:val="231F20"/>
          <w:w w:val="105"/>
        </w:rPr>
        <w:t>un</w:t>
      </w:r>
      <w:r>
        <w:rPr>
          <w:color w:val="231F20"/>
          <w:spacing w:val="-16"/>
          <w:w w:val="105"/>
        </w:rPr>
        <w:t> </w:t>
      </w:r>
      <w:r>
        <w:rPr>
          <w:color w:val="231F20"/>
          <w:w w:val="105"/>
        </w:rPr>
        <w:t>significado</w:t>
      </w:r>
      <w:r>
        <w:rPr>
          <w:color w:val="231F20"/>
          <w:spacing w:val="-16"/>
          <w:w w:val="105"/>
        </w:rPr>
        <w:t> </w:t>
      </w:r>
      <w:r>
        <w:rPr>
          <w:color w:val="231F20"/>
          <w:w w:val="105"/>
        </w:rPr>
        <w:t>más</w:t>
      </w:r>
      <w:r>
        <w:rPr>
          <w:color w:val="231F20"/>
          <w:spacing w:val="-16"/>
          <w:w w:val="105"/>
        </w:rPr>
        <w:t> </w:t>
      </w:r>
      <w:r>
        <w:rPr>
          <w:color w:val="231F20"/>
          <w:w w:val="105"/>
        </w:rPr>
        <w:t>puntual,</w:t>
      </w:r>
      <w:r>
        <w:rPr>
          <w:color w:val="231F20"/>
          <w:spacing w:val="-16"/>
          <w:w w:val="105"/>
        </w:rPr>
        <w:t> </w:t>
      </w:r>
      <w:r>
        <w:rPr>
          <w:color w:val="231F20"/>
          <w:w w:val="105"/>
        </w:rPr>
        <w:t>pero</w:t>
      </w:r>
      <w:r>
        <w:rPr>
          <w:color w:val="231F20"/>
          <w:spacing w:val="-16"/>
          <w:w w:val="105"/>
        </w:rPr>
        <w:t> </w:t>
      </w:r>
      <w:r>
        <w:rPr>
          <w:color w:val="231F20"/>
          <w:w w:val="105"/>
        </w:rPr>
        <w:t>a</w:t>
      </w:r>
      <w:r>
        <w:rPr>
          <w:color w:val="231F20"/>
          <w:spacing w:val="-16"/>
          <w:w w:val="105"/>
        </w:rPr>
        <w:t> </w:t>
      </w:r>
      <w:r>
        <w:rPr>
          <w:color w:val="231F20"/>
          <w:w w:val="105"/>
        </w:rPr>
        <w:t>lo largo</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años</w:t>
      </w:r>
      <w:r>
        <w:rPr>
          <w:color w:val="231F20"/>
          <w:spacing w:val="-23"/>
          <w:w w:val="105"/>
        </w:rPr>
        <w:t> </w:t>
      </w:r>
      <w:r>
        <w:rPr>
          <w:color w:val="231F20"/>
          <w:w w:val="105"/>
        </w:rPr>
        <w:t>éste</w:t>
      </w:r>
      <w:r>
        <w:rPr>
          <w:color w:val="231F20"/>
          <w:spacing w:val="-23"/>
          <w:w w:val="105"/>
        </w:rPr>
        <w:t> </w:t>
      </w:r>
      <w:r>
        <w:rPr>
          <w:color w:val="231F20"/>
          <w:w w:val="105"/>
        </w:rPr>
        <w:t>se</w:t>
      </w:r>
      <w:r>
        <w:rPr>
          <w:color w:val="231F20"/>
          <w:spacing w:val="-23"/>
          <w:w w:val="105"/>
        </w:rPr>
        <w:t> </w:t>
      </w:r>
      <w:r>
        <w:rPr>
          <w:color w:val="231F20"/>
          <w:w w:val="105"/>
        </w:rPr>
        <w:t>hace</w:t>
      </w:r>
      <w:r>
        <w:rPr>
          <w:color w:val="231F20"/>
          <w:spacing w:val="-23"/>
          <w:w w:val="105"/>
        </w:rPr>
        <w:t> </w:t>
      </w:r>
      <w:r>
        <w:rPr>
          <w:color w:val="231F20"/>
          <w:w w:val="105"/>
        </w:rPr>
        <w:t>difuso,</w:t>
      </w:r>
      <w:r>
        <w:rPr>
          <w:color w:val="231F20"/>
          <w:spacing w:val="-23"/>
          <w:w w:val="105"/>
        </w:rPr>
        <w:t> </w:t>
      </w:r>
      <w:r>
        <w:rPr>
          <w:color w:val="231F20"/>
          <w:w w:val="105"/>
        </w:rPr>
        <w:t>al</w:t>
      </w:r>
      <w:r>
        <w:rPr>
          <w:color w:val="231F20"/>
          <w:spacing w:val="-23"/>
          <w:w w:val="105"/>
        </w:rPr>
        <w:t> </w:t>
      </w:r>
      <w:r>
        <w:rPr>
          <w:color w:val="231F20"/>
          <w:w w:val="105"/>
        </w:rPr>
        <w:t>punto</w:t>
      </w:r>
      <w:r>
        <w:rPr>
          <w:color w:val="231F20"/>
          <w:spacing w:val="-23"/>
          <w:w w:val="105"/>
        </w:rPr>
        <w:t> </w:t>
      </w:r>
      <w:r>
        <w:rPr>
          <w:color w:val="231F20"/>
          <w:w w:val="105"/>
        </w:rPr>
        <w:t>que</w:t>
      </w:r>
      <w:r>
        <w:rPr>
          <w:color w:val="231F20"/>
          <w:spacing w:val="-23"/>
          <w:w w:val="105"/>
        </w:rPr>
        <w:t> </w:t>
      </w:r>
      <w:r>
        <w:rPr>
          <w:color w:val="231F20"/>
          <w:w w:val="105"/>
        </w:rPr>
        <w:t>es</w:t>
      </w:r>
      <w:r>
        <w:rPr>
          <w:color w:val="231F20"/>
          <w:spacing w:val="-23"/>
          <w:w w:val="105"/>
        </w:rPr>
        <w:t> </w:t>
      </w:r>
      <w:r>
        <w:rPr>
          <w:color w:val="231F20"/>
          <w:w w:val="105"/>
        </w:rPr>
        <w:t>difícil</w:t>
      </w:r>
      <w:r>
        <w:rPr>
          <w:color w:val="231F20"/>
          <w:spacing w:val="-23"/>
          <w:w w:val="105"/>
        </w:rPr>
        <w:t> </w:t>
      </w:r>
      <w:r>
        <w:rPr>
          <w:color w:val="231F20"/>
          <w:w w:val="105"/>
        </w:rPr>
        <w:t>re-</w:t>
      </w:r>
    </w:p>
    <w:p>
      <w:pPr>
        <w:pStyle w:val="BodyText"/>
        <w:spacing w:line="247" w:lineRule="auto"/>
        <w:ind w:left="117" w:right="101"/>
        <w:jc w:val="both"/>
      </w:pPr>
      <w:r>
        <w:rPr>
          <w:color w:val="231F20"/>
          <w:w w:val="105"/>
        </w:rPr>
        <w:t>conocer</w:t>
      </w:r>
      <w:r>
        <w:rPr>
          <w:color w:val="231F20"/>
          <w:spacing w:val="-7"/>
          <w:w w:val="105"/>
        </w:rPr>
        <w:t> </w:t>
      </w:r>
      <w:r>
        <w:rPr>
          <w:color w:val="231F20"/>
          <w:w w:val="105"/>
        </w:rPr>
        <w:t>su</w:t>
      </w:r>
      <w:r>
        <w:rPr>
          <w:color w:val="231F20"/>
          <w:spacing w:val="-7"/>
          <w:w w:val="105"/>
        </w:rPr>
        <w:t> </w:t>
      </w:r>
      <w:r>
        <w:rPr>
          <w:color w:val="231F20"/>
          <w:w w:val="105"/>
        </w:rPr>
        <w:t>faz</w:t>
      </w:r>
      <w:r>
        <w:rPr>
          <w:color w:val="231F20"/>
          <w:spacing w:val="-7"/>
          <w:w w:val="105"/>
        </w:rPr>
        <w:t> </w:t>
      </w:r>
      <w:r>
        <w:rPr>
          <w:color w:val="231F20"/>
          <w:w w:val="105"/>
        </w:rPr>
        <w:t>originaria.</w:t>
      </w:r>
      <w:r>
        <w:rPr>
          <w:color w:val="231F20"/>
          <w:spacing w:val="-7"/>
          <w:w w:val="105"/>
        </w:rPr>
        <w:t> </w:t>
      </w:r>
      <w:r>
        <w:rPr>
          <w:color w:val="231F20"/>
          <w:w w:val="105"/>
        </w:rPr>
        <w:t>Quizá</w:t>
      </w:r>
      <w:r>
        <w:rPr>
          <w:color w:val="231F20"/>
          <w:spacing w:val="-7"/>
          <w:w w:val="105"/>
        </w:rPr>
        <w:t> </w:t>
      </w:r>
      <w:r>
        <w:rPr>
          <w:color w:val="231F20"/>
          <w:w w:val="105"/>
        </w:rPr>
        <w:t>el</w:t>
      </w:r>
      <w:r>
        <w:rPr>
          <w:color w:val="231F20"/>
          <w:spacing w:val="-7"/>
          <w:w w:val="105"/>
        </w:rPr>
        <w:t> </w:t>
      </w:r>
      <w:r>
        <w:rPr>
          <w:color w:val="231F20"/>
          <w:w w:val="105"/>
        </w:rPr>
        <w:t>término</w:t>
      </w:r>
      <w:r>
        <w:rPr>
          <w:color w:val="231F20"/>
          <w:spacing w:val="-7"/>
          <w:w w:val="105"/>
        </w:rPr>
        <w:t> </w:t>
      </w:r>
      <w:r>
        <w:rPr>
          <w:rFonts w:ascii="Arial" w:hAnsi="Arial"/>
          <w:i/>
          <w:color w:val="231F20"/>
          <w:w w:val="105"/>
        </w:rPr>
        <w:t>globalización</w:t>
      </w:r>
      <w:r>
        <w:rPr>
          <w:rFonts w:ascii="Arial" w:hAnsi="Arial"/>
          <w:i/>
          <w:color w:val="231F20"/>
          <w:spacing w:val="1"/>
          <w:w w:val="105"/>
        </w:rPr>
        <w:t> </w:t>
      </w:r>
      <w:r>
        <w:rPr>
          <w:color w:val="231F20"/>
          <w:w w:val="105"/>
        </w:rPr>
        <w:t>ha</w:t>
      </w:r>
      <w:r>
        <w:rPr>
          <w:color w:val="231F20"/>
          <w:spacing w:val="-7"/>
          <w:w w:val="105"/>
        </w:rPr>
        <w:t> </w:t>
      </w:r>
      <w:r>
        <w:rPr>
          <w:color w:val="231F20"/>
          <w:w w:val="105"/>
        </w:rPr>
        <w:t>corrido</w:t>
      </w:r>
      <w:r>
        <w:rPr>
          <w:color w:val="231F20"/>
          <w:spacing w:val="-7"/>
          <w:w w:val="105"/>
        </w:rPr>
        <w:t> </w:t>
      </w:r>
      <w:r>
        <w:rPr>
          <w:color w:val="231F20"/>
          <w:w w:val="105"/>
        </w:rPr>
        <w:t>esta segunda</w:t>
      </w:r>
      <w:r>
        <w:rPr>
          <w:color w:val="231F20"/>
          <w:spacing w:val="-14"/>
          <w:w w:val="105"/>
        </w:rPr>
        <w:t> </w:t>
      </w:r>
      <w:r>
        <w:rPr>
          <w:color w:val="231F20"/>
          <w:w w:val="105"/>
        </w:rPr>
        <w:t>suerte,</w:t>
      </w:r>
      <w:r>
        <w:rPr>
          <w:color w:val="231F20"/>
          <w:spacing w:val="-14"/>
          <w:w w:val="105"/>
        </w:rPr>
        <w:t> </w:t>
      </w:r>
      <w:r>
        <w:rPr>
          <w:color w:val="231F20"/>
          <w:w w:val="105"/>
        </w:rPr>
        <w:t>sobre</w:t>
      </w:r>
      <w:r>
        <w:rPr>
          <w:color w:val="231F20"/>
          <w:spacing w:val="-14"/>
          <w:w w:val="105"/>
        </w:rPr>
        <w:t> </w:t>
      </w:r>
      <w:r>
        <w:rPr>
          <w:color w:val="231F20"/>
          <w:w w:val="105"/>
        </w:rPr>
        <w:t>todo</w:t>
      </w:r>
      <w:r>
        <w:rPr>
          <w:color w:val="231F20"/>
          <w:spacing w:val="-14"/>
          <w:w w:val="105"/>
        </w:rPr>
        <w:t> </w:t>
      </w:r>
      <w:r>
        <w:rPr>
          <w:color w:val="231F20"/>
          <w:w w:val="105"/>
        </w:rPr>
        <w:t>porque</w:t>
      </w:r>
      <w:r>
        <w:rPr>
          <w:color w:val="231F20"/>
          <w:spacing w:val="-14"/>
          <w:w w:val="105"/>
        </w:rPr>
        <w:t> </w:t>
      </w:r>
      <w:r>
        <w:rPr>
          <w:color w:val="231F20"/>
          <w:w w:val="105"/>
        </w:rPr>
        <w:t>es</w:t>
      </w:r>
      <w:r>
        <w:rPr>
          <w:color w:val="231F20"/>
          <w:spacing w:val="-14"/>
          <w:w w:val="105"/>
        </w:rPr>
        <w:t> </w:t>
      </w:r>
      <w:r>
        <w:rPr>
          <w:color w:val="231F20"/>
          <w:w w:val="105"/>
        </w:rPr>
        <w:t>un</w:t>
      </w:r>
      <w:r>
        <w:rPr>
          <w:color w:val="231F20"/>
          <w:spacing w:val="-14"/>
          <w:w w:val="105"/>
        </w:rPr>
        <w:t> </w:t>
      </w:r>
      <w:r>
        <w:rPr>
          <w:color w:val="231F20"/>
          <w:w w:val="105"/>
        </w:rPr>
        <w:t>concepto</w:t>
      </w:r>
      <w:r>
        <w:rPr>
          <w:color w:val="231F20"/>
          <w:spacing w:val="-14"/>
          <w:w w:val="105"/>
        </w:rPr>
        <w:t> </w:t>
      </w:r>
      <w:r>
        <w:rPr>
          <w:color w:val="231F20"/>
          <w:w w:val="105"/>
        </w:rPr>
        <w:t>que</w:t>
      </w:r>
      <w:r>
        <w:rPr>
          <w:color w:val="231F20"/>
          <w:spacing w:val="-14"/>
          <w:w w:val="105"/>
        </w:rPr>
        <w:t> </w:t>
      </w:r>
      <w:r>
        <w:rPr>
          <w:color w:val="231F20"/>
          <w:w w:val="105"/>
        </w:rPr>
        <w:t>al</w:t>
      </w:r>
      <w:r>
        <w:rPr>
          <w:color w:val="231F20"/>
          <w:spacing w:val="-14"/>
          <w:w w:val="105"/>
        </w:rPr>
        <w:t> </w:t>
      </w:r>
      <w:r>
        <w:rPr>
          <w:color w:val="231F20"/>
          <w:w w:val="105"/>
        </w:rPr>
        <w:t>tiempo</w:t>
      </w:r>
      <w:r>
        <w:rPr>
          <w:color w:val="231F20"/>
          <w:spacing w:val="-14"/>
          <w:w w:val="105"/>
        </w:rPr>
        <w:t> </w:t>
      </w:r>
      <w:r>
        <w:rPr>
          <w:color w:val="231F20"/>
          <w:w w:val="105"/>
        </w:rPr>
        <w:t>que</w:t>
      </w:r>
      <w:r>
        <w:rPr>
          <w:color w:val="231F20"/>
          <w:spacing w:val="-14"/>
          <w:w w:val="105"/>
        </w:rPr>
        <w:t> </w:t>
      </w:r>
      <w:r>
        <w:rPr>
          <w:color w:val="231F20"/>
          <w:w w:val="105"/>
        </w:rPr>
        <w:t>se presentaba</w:t>
      </w:r>
      <w:r>
        <w:rPr>
          <w:color w:val="231F20"/>
          <w:spacing w:val="-42"/>
          <w:w w:val="105"/>
        </w:rPr>
        <w:t> </w:t>
      </w:r>
      <w:r>
        <w:rPr>
          <w:color w:val="231F20"/>
          <w:w w:val="105"/>
        </w:rPr>
        <w:t>como</w:t>
      </w:r>
      <w:r>
        <w:rPr>
          <w:color w:val="231F20"/>
          <w:spacing w:val="-42"/>
          <w:w w:val="105"/>
        </w:rPr>
        <w:t> </w:t>
      </w:r>
      <w:r>
        <w:rPr>
          <w:color w:val="231F20"/>
          <w:w w:val="105"/>
        </w:rPr>
        <w:t>auténtica</w:t>
      </w:r>
      <w:r>
        <w:rPr>
          <w:color w:val="231F20"/>
          <w:spacing w:val="-42"/>
          <w:w w:val="105"/>
        </w:rPr>
        <w:t> </w:t>
      </w:r>
      <w:r>
        <w:rPr>
          <w:color w:val="231F20"/>
          <w:w w:val="105"/>
        </w:rPr>
        <w:t>novedad,</w:t>
      </w:r>
      <w:r>
        <w:rPr>
          <w:color w:val="231F20"/>
          <w:spacing w:val="-42"/>
          <w:w w:val="105"/>
        </w:rPr>
        <w:t> </w:t>
      </w:r>
      <w:r>
        <w:rPr>
          <w:color w:val="231F20"/>
          <w:w w:val="105"/>
        </w:rPr>
        <w:t>hablaba</w:t>
      </w:r>
      <w:r>
        <w:rPr>
          <w:color w:val="231F20"/>
          <w:spacing w:val="-42"/>
          <w:w w:val="105"/>
        </w:rPr>
        <w:t> </w:t>
      </w:r>
      <w:r>
        <w:rPr>
          <w:color w:val="231F20"/>
          <w:w w:val="105"/>
        </w:rPr>
        <w:t>de</w:t>
      </w:r>
      <w:r>
        <w:rPr>
          <w:color w:val="231F20"/>
          <w:spacing w:val="-42"/>
          <w:w w:val="105"/>
        </w:rPr>
        <w:t> </w:t>
      </w:r>
      <w:r>
        <w:rPr>
          <w:color w:val="231F20"/>
          <w:w w:val="105"/>
        </w:rPr>
        <w:t>un</w:t>
      </w:r>
      <w:r>
        <w:rPr>
          <w:color w:val="231F20"/>
          <w:spacing w:val="-42"/>
          <w:w w:val="105"/>
        </w:rPr>
        <w:t> </w:t>
      </w:r>
      <w:r>
        <w:rPr>
          <w:color w:val="231F20"/>
          <w:w w:val="105"/>
        </w:rPr>
        <w:t>proceso</w:t>
      </w:r>
      <w:r>
        <w:rPr>
          <w:color w:val="231F20"/>
          <w:spacing w:val="-42"/>
          <w:w w:val="105"/>
        </w:rPr>
        <w:t> </w:t>
      </w:r>
      <w:r>
        <w:rPr>
          <w:color w:val="231F20"/>
          <w:w w:val="105"/>
        </w:rPr>
        <w:t>que</w:t>
      </w:r>
      <w:r>
        <w:rPr>
          <w:color w:val="231F20"/>
          <w:spacing w:val="-42"/>
          <w:w w:val="105"/>
        </w:rPr>
        <w:t> </w:t>
      </w:r>
      <w:r>
        <w:rPr>
          <w:color w:val="231F20"/>
          <w:w w:val="105"/>
        </w:rPr>
        <w:t>ya</w:t>
      </w:r>
      <w:r>
        <w:rPr>
          <w:color w:val="231F20"/>
          <w:spacing w:val="-42"/>
          <w:w w:val="105"/>
        </w:rPr>
        <w:t> </w:t>
      </w:r>
      <w:r>
        <w:rPr>
          <w:color w:val="231F20"/>
          <w:w w:val="105"/>
        </w:rPr>
        <w:t>forma- ba</w:t>
      </w:r>
      <w:r>
        <w:rPr>
          <w:color w:val="231F20"/>
          <w:spacing w:val="-19"/>
          <w:w w:val="105"/>
        </w:rPr>
        <w:t> </w:t>
      </w:r>
      <w:r>
        <w:rPr>
          <w:color w:val="231F20"/>
          <w:w w:val="105"/>
        </w:rPr>
        <w:t>parte,</w:t>
      </w:r>
      <w:r>
        <w:rPr>
          <w:color w:val="231F20"/>
          <w:spacing w:val="-19"/>
          <w:w w:val="105"/>
        </w:rPr>
        <w:t> </w:t>
      </w:r>
      <w:r>
        <w:rPr>
          <w:color w:val="231F20"/>
          <w:w w:val="105"/>
        </w:rPr>
        <w:t>de</w:t>
      </w:r>
      <w:r>
        <w:rPr>
          <w:color w:val="231F20"/>
          <w:spacing w:val="-19"/>
          <w:w w:val="105"/>
        </w:rPr>
        <w:t> </w:t>
      </w:r>
      <w:r>
        <w:rPr>
          <w:color w:val="231F20"/>
          <w:w w:val="105"/>
        </w:rPr>
        <w:t>alguna</w:t>
      </w:r>
      <w:r>
        <w:rPr>
          <w:color w:val="231F20"/>
          <w:spacing w:val="-19"/>
          <w:w w:val="105"/>
        </w:rPr>
        <w:t> </w:t>
      </w:r>
      <w:r>
        <w:rPr>
          <w:color w:val="231F20"/>
          <w:w w:val="105"/>
        </w:rPr>
        <w:t>manera,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historia</w:t>
      </w:r>
      <w:r>
        <w:rPr>
          <w:color w:val="231F20"/>
          <w:spacing w:val="-19"/>
          <w:w w:val="105"/>
        </w:rPr>
        <w:t> </w:t>
      </w:r>
      <w:r>
        <w:rPr>
          <w:color w:val="231F20"/>
          <w:w w:val="105"/>
        </w:rPr>
        <w:t>de</w:t>
      </w:r>
      <w:r>
        <w:rPr>
          <w:color w:val="231F20"/>
          <w:spacing w:val="-19"/>
          <w:w w:val="105"/>
        </w:rPr>
        <w:t> </w:t>
      </w:r>
      <w:r>
        <w:rPr>
          <w:color w:val="231F20"/>
          <w:w w:val="105"/>
        </w:rPr>
        <w:t>Occidente.</w:t>
      </w:r>
      <w:r>
        <w:rPr>
          <w:color w:val="231F20"/>
          <w:spacing w:val="-19"/>
          <w:w w:val="105"/>
        </w:rPr>
        <w:t> </w:t>
      </w:r>
      <w:r>
        <w:rPr>
          <w:color w:val="231F20"/>
          <w:w w:val="105"/>
        </w:rPr>
        <w:t>Como</w:t>
      </w:r>
      <w:r>
        <w:rPr>
          <w:color w:val="231F20"/>
          <w:spacing w:val="-19"/>
          <w:w w:val="105"/>
        </w:rPr>
        <w:t> </w:t>
      </w:r>
      <w:r>
        <w:rPr>
          <w:color w:val="231F20"/>
          <w:w w:val="105"/>
        </w:rPr>
        <w:t>lo</w:t>
      </w:r>
      <w:r>
        <w:rPr>
          <w:color w:val="231F20"/>
          <w:spacing w:val="-19"/>
          <w:w w:val="105"/>
        </w:rPr>
        <w:t> </w:t>
      </w:r>
      <w:r>
        <w:rPr>
          <w:color w:val="231F20"/>
          <w:w w:val="105"/>
        </w:rPr>
        <w:t>expone Michael</w:t>
      </w:r>
      <w:r>
        <w:rPr>
          <w:color w:val="231F20"/>
          <w:spacing w:val="-12"/>
          <w:w w:val="105"/>
        </w:rPr>
        <w:t> </w:t>
      </w:r>
      <w:r>
        <w:rPr>
          <w:color w:val="231F20"/>
          <w:spacing w:val="-4"/>
          <w:w w:val="105"/>
        </w:rPr>
        <w:t>Reder,</w:t>
      </w:r>
      <w:r>
        <w:rPr>
          <w:color w:val="231F20"/>
          <w:spacing w:val="-12"/>
          <w:w w:val="105"/>
        </w:rPr>
        <w:t> </w:t>
      </w:r>
      <w:r>
        <w:rPr>
          <w:color w:val="231F20"/>
          <w:w w:val="105"/>
        </w:rPr>
        <w:t>la</w:t>
      </w:r>
      <w:r>
        <w:rPr>
          <w:color w:val="231F20"/>
          <w:spacing w:val="-12"/>
          <w:w w:val="105"/>
        </w:rPr>
        <w:t> </w:t>
      </w:r>
      <w:r>
        <w:rPr>
          <w:color w:val="231F20"/>
          <w:w w:val="105"/>
        </w:rPr>
        <w:t>globalización</w:t>
      </w:r>
      <w:r>
        <w:rPr>
          <w:color w:val="231F20"/>
          <w:spacing w:val="-12"/>
          <w:w w:val="105"/>
        </w:rPr>
        <w:t> </w:t>
      </w:r>
      <w:r>
        <w:rPr>
          <w:color w:val="231F20"/>
          <w:w w:val="105"/>
        </w:rPr>
        <w:t>es</w:t>
      </w:r>
      <w:r>
        <w:rPr>
          <w:color w:val="231F20"/>
          <w:spacing w:val="-12"/>
          <w:w w:val="105"/>
        </w:rPr>
        <w:t> </w:t>
      </w:r>
      <w:r>
        <w:rPr>
          <w:color w:val="231F20"/>
          <w:w w:val="105"/>
        </w:rPr>
        <w:t>un</w:t>
      </w:r>
      <w:r>
        <w:rPr>
          <w:color w:val="231F20"/>
          <w:spacing w:val="-12"/>
          <w:w w:val="105"/>
        </w:rPr>
        <w:t> </w:t>
      </w:r>
      <w:r>
        <w:rPr>
          <w:color w:val="231F20"/>
          <w:w w:val="105"/>
        </w:rPr>
        <w:t>proceso</w:t>
      </w:r>
      <w:r>
        <w:rPr>
          <w:color w:val="231F20"/>
          <w:spacing w:val="-12"/>
          <w:w w:val="105"/>
        </w:rPr>
        <w:t> </w:t>
      </w:r>
      <w:r>
        <w:rPr>
          <w:color w:val="231F20"/>
          <w:w w:val="105"/>
        </w:rPr>
        <w:t>que</w:t>
      </w:r>
      <w:r>
        <w:rPr>
          <w:color w:val="231F20"/>
          <w:spacing w:val="-12"/>
          <w:w w:val="105"/>
        </w:rPr>
        <w:t> </w:t>
      </w:r>
      <w:r>
        <w:rPr>
          <w:color w:val="231F20"/>
          <w:w w:val="105"/>
        </w:rPr>
        <w:t>va</w:t>
      </w:r>
      <w:r>
        <w:rPr>
          <w:color w:val="231F20"/>
          <w:spacing w:val="-12"/>
          <w:w w:val="105"/>
        </w:rPr>
        <w:t> </w:t>
      </w:r>
      <w:r>
        <w:rPr>
          <w:color w:val="231F20"/>
          <w:w w:val="105"/>
        </w:rPr>
        <w:t>mucho</w:t>
      </w:r>
      <w:r>
        <w:rPr>
          <w:color w:val="231F20"/>
          <w:spacing w:val="-12"/>
          <w:w w:val="105"/>
        </w:rPr>
        <w:t> </w:t>
      </w:r>
      <w:r>
        <w:rPr>
          <w:color w:val="231F20"/>
          <w:w w:val="105"/>
        </w:rPr>
        <w:t>más</w:t>
      </w:r>
      <w:r>
        <w:rPr>
          <w:color w:val="231F20"/>
          <w:spacing w:val="-12"/>
          <w:w w:val="105"/>
        </w:rPr>
        <w:t> </w:t>
      </w:r>
      <w:r>
        <w:rPr>
          <w:color w:val="231F20"/>
          <w:w w:val="105"/>
        </w:rPr>
        <w:t>allá</w:t>
      </w:r>
      <w:r>
        <w:rPr>
          <w:color w:val="231F20"/>
          <w:spacing w:val="-12"/>
          <w:w w:val="105"/>
        </w:rPr>
        <w:t> </w:t>
      </w:r>
      <w:r>
        <w:rPr>
          <w:color w:val="231F20"/>
          <w:w w:val="105"/>
        </w:rPr>
        <w:t>del siglo</w:t>
      </w:r>
      <w:r>
        <w:rPr>
          <w:color w:val="231F20"/>
          <w:spacing w:val="-25"/>
          <w:w w:val="105"/>
        </w:rPr>
        <w:t> </w:t>
      </w:r>
      <w:r>
        <w:rPr>
          <w:color w:val="231F20"/>
          <w:w w:val="105"/>
          <w:sz w:val="18"/>
        </w:rPr>
        <w:t>XX</w:t>
      </w:r>
      <w:r>
        <w:rPr>
          <w:color w:val="231F20"/>
          <w:w w:val="105"/>
        </w:rPr>
        <w:t>:</w:t>
      </w:r>
      <w:r>
        <w:rPr>
          <w:color w:val="231F20"/>
          <w:spacing w:val="-25"/>
          <w:w w:val="105"/>
        </w:rPr>
        <w:t> </w:t>
      </w:r>
      <w:r>
        <w:rPr>
          <w:color w:val="231F20"/>
          <w:w w:val="105"/>
        </w:rPr>
        <w:t>“[…]</w:t>
      </w:r>
      <w:r>
        <w:rPr>
          <w:color w:val="231F20"/>
          <w:spacing w:val="-25"/>
          <w:w w:val="105"/>
        </w:rPr>
        <w:t> </w:t>
      </w:r>
      <w:r>
        <w:rPr>
          <w:color w:val="231F20"/>
          <w:w w:val="105"/>
        </w:rPr>
        <w:t>no</w:t>
      </w:r>
      <w:r>
        <w:rPr>
          <w:color w:val="231F20"/>
          <w:spacing w:val="-25"/>
          <w:w w:val="105"/>
        </w:rPr>
        <w:t> </w:t>
      </w:r>
      <w:r>
        <w:rPr>
          <w:color w:val="231F20"/>
          <w:w w:val="105"/>
        </w:rPr>
        <w:t>es</w:t>
      </w:r>
      <w:r>
        <w:rPr>
          <w:color w:val="231F20"/>
          <w:spacing w:val="-25"/>
          <w:w w:val="105"/>
        </w:rPr>
        <w:t> </w:t>
      </w:r>
      <w:r>
        <w:rPr>
          <w:color w:val="231F20"/>
          <w:w w:val="105"/>
        </w:rPr>
        <w:t>un</w:t>
      </w:r>
      <w:r>
        <w:rPr>
          <w:color w:val="231F20"/>
          <w:spacing w:val="-25"/>
          <w:w w:val="105"/>
        </w:rPr>
        <w:t> </w:t>
      </w:r>
      <w:r>
        <w:rPr>
          <w:color w:val="231F20"/>
          <w:w w:val="105"/>
        </w:rPr>
        <w:t>fenómeno</w:t>
      </w:r>
      <w:r>
        <w:rPr>
          <w:color w:val="231F20"/>
          <w:spacing w:val="-25"/>
          <w:w w:val="105"/>
        </w:rPr>
        <w:t> </w:t>
      </w:r>
      <w:r>
        <w:rPr>
          <w:color w:val="231F20"/>
          <w:w w:val="105"/>
        </w:rPr>
        <w:t>nuevo.</w:t>
      </w:r>
      <w:r>
        <w:rPr>
          <w:color w:val="231F20"/>
          <w:spacing w:val="-25"/>
          <w:w w:val="105"/>
        </w:rPr>
        <w:t> </w:t>
      </w:r>
      <w:r>
        <w:rPr>
          <w:color w:val="231F20"/>
          <w:w w:val="105"/>
        </w:rPr>
        <w:t>Algunos</w:t>
      </w:r>
      <w:r>
        <w:rPr>
          <w:color w:val="231F20"/>
          <w:spacing w:val="-25"/>
          <w:w w:val="105"/>
        </w:rPr>
        <w:t> </w:t>
      </w:r>
      <w:r>
        <w:rPr>
          <w:color w:val="231F20"/>
          <w:w w:val="105"/>
        </w:rPr>
        <w:t>estudiosos</w:t>
      </w:r>
      <w:r>
        <w:rPr>
          <w:color w:val="231F20"/>
          <w:spacing w:val="-25"/>
          <w:w w:val="105"/>
        </w:rPr>
        <w:t> </w:t>
      </w:r>
      <w:r>
        <w:rPr>
          <w:color w:val="231F20"/>
          <w:w w:val="105"/>
        </w:rPr>
        <w:t>señalan,</w:t>
      </w:r>
      <w:r>
        <w:rPr>
          <w:color w:val="231F20"/>
          <w:spacing w:val="-25"/>
          <w:w w:val="105"/>
        </w:rPr>
        <w:t> </w:t>
      </w:r>
      <w:r>
        <w:rPr>
          <w:color w:val="231F20"/>
          <w:w w:val="105"/>
        </w:rPr>
        <w:t>an- tes</w:t>
      </w:r>
      <w:r>
        <w:rPr>
          <w:color w:val="231F20"/>
          <w:spacing w:val="-34"/>
          <w:w w:val="105"/>
        </w:rPr>
        <w:t> </w:t>
      </w:r>
      <w:r>
        <w:rPr>
          <w:color w:val="231F20"/>
          <w:w w:val="105"/>
        </w:rPr>
        <w:t>bien,</w:t>
      </w:r>
      <w:r>
        <w:rPr>
          <w:color w:val="231F20"/>
          <w:spacing w:val="-34"/>
          <w:w w:val="105"/>
        </w:rPr>
        <w:t> </w:t>
      </w:r>
      <w:r>
        <w:rPr>
          <w:color w:val="231F20"/>
          <w:w w:val="105"/>
        </w:rPr>
        <w:t>que</w:t>
      </w:r>
      <w:r>
        <w:rPr>
          <w:color w:val="231F20"/>
          <w:spacing w:val="-34"/>
          <w:w w:val="105"/>
        </w:rPr>
        <w:t> </w:t>
      </w:r>
      <w:r>
        <w:rPr>
          <w:color w:val="231F20"/>
          <w:w w:val="105"/>
        </w:rPr>
        <w:t>la</w:t>
      </w:r>
      <w:r>
        <w:rPr>
          <w:color w:val="231F20"/>
          <w:spacing w:val="-34"/>
          <w:w w:val="105"/>
        </w:rPr>
        <w:t> </w:t>
      </w:r>
      <w:r>
        <w:rPr>
          <w:color w:val="231F20"/>
          <w:w w:val="105"/>
        </w:rPr>
        <w:t>historia</w:t>
      </w:r>
      <w:r>
        <w:rPr>
          <w:color w:val="231F20"/>
          <w:spacing w:val="-34"/>
          <w:w w:val="105"/>
        </w:rPr>
        <w:t> </w:t>
      </w:r>
      <w:r>
        <w:rPr>
          <w:color w:val="231F20"/>
          <w:w w:val="105"/>
        </w:rPr>
        <w:t>de</w:t>
      </w:r>
      <w:r>
        <w:rPr>
          <w:color w:val="231F20"/>
          <w:spacing w:val="-34"/>
          <w:w w:val="105"/>
        </w:rPr>
        <w:t> </w:t>
      </w:r>
      <w:r>
        <w:rPr>
          <w:color w:val="231F20"/>
          <w:w w:val="105"/>
        </w:rPr>
        <w:t>los</w:t>
      </w:r>
      <w:r>
        <w:rPr>
          <w:color w:val="231F20"/>
          <w:spacing w:val="-34"/>
          <w:w w:val="105"/>
        </w:rPr>
        <w:t> </w:t>
      </w:r>
      <w:r>
        <w:rPr>
          <w:color w:val="231F20"/>
          <w:w w:val="105"/>
        </w:rPr>
        <w:t>últimos</w:t>
      </w:r>
      <w:r>
        <w:rPr>
          <w:color w:val="231F20"/>
          <w:spacing w:val="-34"/>
          <w:w w:val="105"/>
        </w:rPr>
        <w:t> </w:t>
      </w:r>
      <w:r>
        <w:rPr>
          <w:color w:val="231F20"/>
          <w:w w:val="105"/>
        </w:rPr>
        <w:t>500</w:t>
      </w:r>
      <w:r>
        <w:rPr>
          <w:color w:val="231F20"/>
          <w:spacing w:val="-34"/>
          <w:w w:val="105"/>
        </w:rPr>
        <w:t> </w:t>
      </w:r>
      <w:r>
        <w:rPr>
          <w:color w:val="231F20"/>
          <w:w w:val="105"/>
        </w:rPr>
        <w:t>años</w:t>
      </w:r>
      <w:r>
        <w:rPr>
          <w:color w:val="231F20"/>
          <w:spacing w:val="-34"/>
          <w:w w:val="105"/>
        </w:rPr>
        <w:t> </w:t>
      </w:r>
      <w:r>
        <w:rPr>
          <w:color w:val="231F20"/>
          <w:w w:val="105"/>
        </w:rPr>
        <w:t>ya</w:t>
      </w:r>
      <w:r>
        <w:rPr>
          <w:color w:val="231F20"/>
          <w:spacing w:val="-34"/>
          <w:w w:val="105"/>
        </w:rPr>
        <w:t> </w:t>
      </w:r>
      <w:r>
        <w:rPr>
          <w:color w:val="231F20"/>
          <w:w w:val="105"/>
        </w:rPr>
        <w:t>ha</w:t>
      </w:r>
      <w:r>
        <w:rPr>
          <w:color w:val="231F20"/>
          <w:spacing w:val="-34"/>
          <w:w w:val="105"/>
        </w:rPr>
        <w:t> </w:t>
      </w:r>
      <w:r>
        <w:rPr>
          <w:color w:val="231F20"/>
          <w:w w:val="105"/>
        </w:rPr>
        <w:t>conocido</w:t>
      </w:r>
      <w:r>
        <w:rPr>
          <w:color w:val="231F20"/>
          <w:spacing w:val="-34"/>
          <w:w w:val="105"/>
        </w:rPr>
        <w:t> </w:t>
      </w:r>
      <w:r>
        <w:rPr>
          <w:color w:val="231F20"/>
          <w:w w:val="105"/>
        </w:rPr>
        <w:t>varias</w:t>
      </w:r>
      <w:r>
        <w:rPr>
          <w:color w:val="231F20"/>
          <w:spacing w:val="-34"/>
          <w:w w:val="105"/>
        </w:rPr>
        <w:t> </w:t>
      </w:r>
      <w:r>
        <w:rPr>
          <w:color w:val="231F20"/>
          <w:w w:val="105"/>
        </w:rPr>
        <w:t>fases de</w:t>
      </w:r>
      <w:r>
        <w:rPr>
          <w:color w:val="231F20"/>
          <w:spacing w:val="-22"/>
          <w:w w:val="105"/>
        </w:rPr>
        <w:t> </w:t>
      </w:r>
      <w:r>
        <w:rPr>
          <w:color w:val="231F20"/>
          <w:w w:val="105"/>
        </w:rPr>
        <w:t>globalización”</w:t>
      </w:r>
      <w:r>
        <w:rPr>
          <w:color w:val="231F20"/>
          <w:w w:val="105"/>
          <w:position w:val="7"/>
          <w:sz w:val="12"/>
        </w:rPr>
        <w:t>1</w:t>
      </w:r>
      <w:r>
        <w:rPr>
          <w:color w:val="231F20"/>
          <w:w w:val="105"/>
        </w:rPr>
        <w:t>.</w:t>
      </w:r>
      <w:r>
        <w:rPr>
          <w:color w:val="231F20"/>
          <w:spacing w:val="-22"/>
          <w:w w:val="105"/>
        </w:rPr>
        <w:t> </w:t>
      </w:r>
      <w:r>
        <w:rPr>
          <w:color w:val="231F20"/>
          <w:w w:val="105"/>
        </w:rPr>
        <w:t>Hablar</w:t>
      </w:r>
      <w:r>
        <w:rPr>
          <w:color w:val="231F20"/>
          <w:spacing w:val="-22"/>
          <w:w w:val="105"/>
        </w:rPr>
        <w:t> </w:t>
      </w:r>
      <w:r>
        <w:rPr>
          <w:color w:val="231F20"/>
          <w:w w:val="105"/>
        </w:rPr>
        <w:t>de</w:t>
      </w:r>
      <w:r>
        <w:rPr>
          <w:color w:val="231F20"/>
          <w:spacing w:val="-22"/>
          <w:w w:val="105"/>
        </w:rPr>
        <w:t> </w:t>
      </w:r>
      <w:r>
        <w:rPr>
          <w:color w:val="231F20"/>
          <w:w w:val="105"/>
        </w:rPr>
        <w:t>globalización</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mundo</w:t>
      </w:r>
      <w:r>
        <w:rPr>
          <w:color w:val="231F20"/>
          <w:spacing w:val="-22"/>
          <w:w w:val="105"/>
        </w:rPr>
        <w:t> </w:t>
      </w:r>
      <w:r>
        <w:rPr>
          <w:color w:val="231F20"/>
          <w:w w:val="105"/>
        </w:rPr>
        <w:t>actual</w:t>
      </w:r>
      <w:r>
        <w:rPr>
          <w:color w:val="231F20"/>
          <w:spacing w:val="-22"/>
          <w:w w:val="105"/>
        </w:rPr>
        <w:t> </w:t>
      </w:r>
      <w:r>
        <w:rPr>
          <w:color w:val="231F20"/>
          <w:w w:val="105"/>
        </w:rPr>
        <w:t>nos</w:t>
      </w:r>
      <w:r>
        <w:rPr>
          <w:color w:val="231F20"/>
          <w:spacing w:val="-22"/>
          <w:w w:val="105"/>
        </w:rPr>
        <w:t> </w:t>
      </w:r>
      <w:r>
        <w:rPr>
          <w:color w:val="231F20"/>
          <w:w w:val="105"/>
        </w:rPr>
        <w:t>refiere a</w:t>
      </w:r>
      <w:r>
        <w:rPr>
          <w:color w:val="231F20"/>
          <w:spacing w:val="-21"/>
          <w:w w:val="105"/>
        </w:rPr>
        <w:t> </w:t>
      </w:r>
      <w:r>
        <w:rPr>
          <w:color w:val="231F20"/>
          <w:w w:val="105"/>
        </w:rPr>
        <w:t>un</w:t>
      </w:r>
      <w:r>
        <w:rPr>
          <w:color w:val="231F20"/>
          <w:spacing w:val="-21"/>
          <w:w w:val="105"/>
        </w:rPr>
        <w:t> </w:t>
      </w:r>
      <w:r>
        <w:rPr>
          <w:color w:val="231F20"/>
          <w:w w:val="105"/>
        </w:rPr>
        <w:t>proceso</w:t>
      </w:r>
      <w:r>
        <w:rPr>
          <w:color w:val="231F20"/>
          <w:spacing w:val="-21"/>
          <w:w w:val="105"/>
        </w:rPr>
        <w:t> </w:t>
      </w:r>
      <w:r>
        <w:rPr>
          <w:color w:val="231F20"/>
          <w:w w:val="105"/>
        </w:rPr>
        <w:t>ligado</w:t>
      </w:r>
      <w:r>
        <w:rPr>
          <w:color w:val="231F20"/>
          <w:spacing w:val="-21"/>
          <w:w w:val="105"/>
        </w:rPr>
        <w:t> </w:t>
      </w:r>
      <w:r>
        <w:rPr>
          <w:color w:val="231F20"/>
          <w:w w:val="105"/>
        </w:rPr>
        <w:t>de</w:t>
      </w:r>
      <w:r>
        <w:rPr>
          <w:color w:val="231F20"/>
          <w:spacing w:val="-21"/>
          <w:w w:val="105"/>
        </w:rPr>
        <w:t> </w:t>
      </w:r>
      <w:r>
        <w:rPr>
          <w:color w:val="231F20"/>
          <w:w w:val="105"/>
        </w:rPr>
        <w:t>manera</w:t>
      </w:r>
      <w:r>
        <w:rPr>
          <w:color w:val="231F20"/>
          <w:spacing w:val="-21"/>
          <w:w w:val="105"/>
        </w:rPr>
        <w:t> </w:t>
      </w:r>
      <w:r>
        <w:rPr>
          <w:color w:val="231F20"/>
          <w:w w:val="105"/>
        </w:rPr>
        <w:t>profunda</w:t>
      </w:r>
      <w:r>
        <w:rPr>
          <w:color w:val="231F20"/>
          <w:spacing w:val="-21"/>
          <w:w w:val="105"/>
        </w:rPr>
        <w:t> </w:t>
      </w:r>
      <w:r>
        <w:rPr>
          <w:color w:val="231F20"/>
          <w:w w:val="105"/>
        </w:rPr>
        <w:t>con</w:t>
      </w:r>
      <w:r>
        <w:rPr>
          <w:color w:val="231F20"/>
          <w:spacing w:val="-21"/>
          <w:w w:val="105"/>
        </w:rPr>
        <w:t> </w:t>
      </w:r>
      <w:r>
        <w:rPr>
          <w:color w:val="231F20"/>
          <w:w w:val="105"/>
        </w:rPr>
        <w:t>el</w:t>
      </w:r>
      <w:r>
        <w:rPr>
          <w:color w:val="231F20"/>
          <w:spacing w:val="-21"/>
          <w:w w:val="105"/>
        </w:rPr>
        <w:t> </w:t>
      </w:r>
      <w:r>
        <w:rPr>
          <w:color w:val="231F20"/>
          <w:w w:val="105"/>
        </w:rPr>
        <w:t>capitalismo</w:t>
      </w:r>
      <w:r>
        <w:rPr>
          <w:color w:val="231F20"/>
          <w:spacing w:val="-21"/>
          <w:w w:val="105"/>
        </w:rPr>
        <w:t> </w:t>
      </w:r>
      <w:r>
        <w:rPr>
          <w:color w:val="231F20"/>
          <w:w w:val="105"/>
        </w:rPr>
        <w:t>y</w:t>
      </w:r>
      <w:r>
        <w:rPr>
          <w:color w:val="231F20"/>
          <w:spacing w:val="-21"/>
          <w:w w:val="105"/>
        </w:rPr>
        <w:t> </w:t>
      </w:r>
      <w:r>
        <w:rPr>
          <w:color w:val="231F20"/>
          <w:w w:val="105"/>
        </w:rPr>
        <w:t>la</w:t>
      </w:r>
      <w:r>
        <w:rPr>
          <w:color w:val="231F20"/>
          <w:spacing w:val="-21"/>
          <w:w w:val="105"/>
        </w:rPr>
        <w:t> </w:t>
      </w:r>
      <w:r>
        <w:rPr>
          <w:color w:val="231F20"/>
          <w:w w:val="105"/>
        </w:rPr>
        <w:t>política</w:t>
      </w:r>
      <w:r>
        <w:rPr>
          <w:color w:val="231F20"/>
          <w:spacing w:val="-21"/>
          <w:w w:val="105"/>
        </w:rPr>
        <w:t> </w:t>
      </w:r>
      <w:r>
        <w:rPr>
          <w:color w:val="231F20"/>
          <w:w w:val="105"/>
        </w:rPr>
        <w:t>li- beral;</w:t>
      </w:r>
      <w:r>
        <w:rPr>
          <w:color w:val="231F20"/>
          <w:spacing w:val="-36"/>
          <w:w w:val="105"/>
        </w:rPr>
        <w:t> </w:t>
      </w:r>
      <w:r>
        <w:rPr>
          <w:color w:val="231F20"/>
          <w:w w:val="105"/>
        </w:rPr>
        <w:t>sin</w:t>
      </w:r>
      <w:r>
        <w:rPr>
          <w:color w:val="231F20"/>
          <w:spacing w:val="-36"/>
          <w:w w:val="105"/>
        </w:rPr>
        <w:t> </w:t>
      </w:r>
      <w:r>
        <w:rPr>
          <w:color w:val="231F20"/>
          <w:w w:val="105"/>
        </w:rPr>
        <w:t>embargo,</w:t>
      </w:r>
      <w:r>
        <w:rPr>
          <w:color w:val="231F20"/>
          <w:spacing w:val="-36"/>
          <w:w w:val="105"/>
        </w:rPr>
        <w:t> </w:t>
      </w:r>
      <w:r>
        <w:rPr>
          <w:color w:val="231F20"/>
          <w:w w:val="105"/>
        </w:rPr>
        <w:t>si</w:t>
      </w:r>
      <w:r>
        <w:rPr>
          <w:color w:val="231F20"/>
          <w:spacing w:val="-36"/>
          <w:w w:val="105"/>
        </w:rPr>
        <w:t> </w:t>
      </w:r>
      <w:r>
        <w:rPr>
          <w:color w:val="231F20"/>
          <w:w w:val="105"/>
        </w:rPr>
        <w:t>pensamos</w:t>
      </w:r>
      <w:r>
        <w:rPr>
          <w:color w:val="231F20"/>
          <w:spacing w:val="-36"/>
          <w:w w:val="105"/>
        </w:rPr>
        <w:t> </w:t>
      </w:r>
      <w:r>
        <w:rPr>
          <w:color w:val="231F20"/>
          <w:w w:val="105"/>
        </w:rPr>
        <w:t>que</w:t>
      </w:r>
      <w:r>
        <w:rPr>
          <w:color w:val="231F20"/>
          <w:spacing w:val="-36"/>
          <w:w w:val="105"/>
        </w:rPr>
        <w:t> </w:t>
      </w:r>
      <w:r>
        <w:rPr>
          <w:color w:val="231F20"/>
          <w:w w:val="105"/>
        </w:rPr>
        <w:t>los</w:t>
      </w:r>
      <w:r>
        <w:rPr>
          <w:color w:val="231F20"/>
          <w:spacing w:val="-36"/>
          <w:w w:val="105"/>
        </w:rPr>
        <w:t> </w:t>
      </w:r>
      <w:r>
        <w:rPr>
          <w:color w:val="231F20"/>
          <w:w w:val="105"/>
        </w:rPr>
        <w:t>flujos</w:t>
      </w:r>
      <w:r>
        <w:rPr>
          <w:color w:val="231F20"/>
          <w:spacing w:val="-36"/>
          <w:w w:val="105"/>
        </w:rPr>
        <w:t> </w:t>
      </w:r>
      <w:r>
        <w:rPr>
          <w:color w:val="231F20"/>
          <w:w w:val="105"/>
        </w:rPr>
        <w:t>de</w:t>
      </w:r>
      <w:r>
        <w:rPr>
          <w:color w:val="231F20"/>
          <w:spacing w:val="-36"/>
          <w:w w:val="105"/>
        </w:rPr>
        <w:t> </w:t>
      </w:r>
      <w:r>
        <w:rPr>
          <w:color w:val="231F20"/>
          <w:w w:val="105"/>
        </w:rPr>
        <w:t>gente,</w:t>
      </w:r>
      <w:r>
        <w:rPr>
          <w:color w:val="231F20"/>
          <w:spacing w:val="-36"/>
          <w:w w:val="105"/>
        </w:rPr>
        <w:t> </w:t>
      </w:r>
      <w:r>
        <w:rPr>
          <w:color w:val="231F20"/>
          <w:w w:val="105"/>
        </w:rPr>
        <w:t>alimentos,</w:t>
      </w:r>
      <w:r>
        <w:rPr>
          <w:color w:val="231F20"/>
          <w:spacing w:val="-36"/>
          <w:w w:val="105"/>
        </w:rPr>
        <w:t> </w:t>
      </w:r>
      <w:r>
        <w:rPr>
          <w:color w:val="231F20"/>
          <w:w w:val="105"/>
        </w:rPr>
        <w:t>símbo- los,</w:t>
      </w:r>
      <w:r>
        <w:rPr>
          <w:color w:val="231F20"/>
          <w:spacing w:val="-20"/>
          <w:w w:val="105"/>
        </w:rPr>
        <w:t> </w:t>
      </w:r>
      <w:r>
        <w:rPr>
          <w:color w:val="231F20"/>
          <w:w w:val="105"/>
        </w:rPr>
        <w:t>cultura,</w:t>
      </w:r>
      <w:r>
        <w:rPr>
          <w:color w:val="231F20"/>
          <w:spacing w:val="-20"/>
          <w:w w:val="105"/>
        </w:rPr>
        <w:t> </w:t>
      </w:r>
      <w:r>
        <w:rPr>
          <w:color w:val="231F20"/>
          <w:w w:val="105"/>
        </w:rPr>
        <w:t>etc.,</w:t>
      </w:r>
      <w:r>
        <w:rPr>
          <w:color w:val="231F20"/>
          <w:spacing w:val="-20"/>
          <w:w w:val="105"/>
        </w:rPr>
        <w:t> </w:t>
      </w:r>
      <w:r>
        <w:rPr>
          <w:color w:val="231F20"/>
          <w:w w:val="105"/>
        </w:rPr>
        <w:t>marcan</w:t>
      </w:r>
      <w:r>
        <w:rPr>
          <w:color w:val="231F20"/>
          <w:spacing w:val="-20"/>
          <w:w w:val="105"/>
        </w:rPr>
        <w:t> </w:t>
      </w:r>
      <w:r>
        <w:rPr>
          <w:color w:val="231F20"/>
          <w:w w:val="105"/>
        </w:rPr>
        <w:t>la</w:t>
      </w:r>
      <w:r>
        <w:rPr>
          <w:color w:val="231F20"/>
          <w:spacing w:val="-20"/>
          <w:w w:val="105"/>
        </w:rPr>
        <w:t> </w:t>
      </w:r>
      <w:r>
        <w:rPr>
          <w:color w:val="231F20"/>
          <w:w w:val="105"/>
        </w:rPr>
        <w:t>historia</w:t>
      </w:r>
      <w:r>
        <w:rPr>
          <w:color w:val="231F20"/>
          <w:spacing w:val="-20"/>
          <w:w w:val="105"/>
        </w:rPr>
        <w:t> </w:t>
      </w:r>
      <w:r>
        <w:rPr>
          <w:color w:val="231F20"/>
          <w:w w:val="105"/>
        </w:rPr>
        <w:t>misma</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humanidad,</w:t>
      </w:r>
      <w:r>
        <w:rPr>
          <w:color w:val="231F20"/>
          <w:spacing w:val="-20"/>
          <w:w w:val="105"/>
        </w:rPr>
        <w:t> </w:t>
      </w:r>
      <w:r>
        <w:rPr>
          <w:color w:val="231F20"/>
          <w:w w:val="105"/>
        </w:rPr>
        <w:t>bien</w:t>
      </w:r>
      <w:r>
        <w:rPr>
          <w:color w:val="231F20"/>
          <w:spacing w:val="-20"/>
          <w:w w:val="105"/>
        </w:rPr>
        <w:t> </w:t>
      </w:r>
      <w:r>
        <w:rPr>
          <w:color w:val="231F20"/>
          <w:w w:val="105"/>
        </w:rPr>
        <w:t>podría- mos</w:t>
      </w:r>
      <w:r>
        <w:rPr>
          <w:color w:val="231F20"/>
          <w:spacing w:val="-8"/>
          <w:w w:val="105"/>
        </w:rPr>
        <w:t> </w:t>
      </w:r>
      <w:r>
        <w:rPr>
          <w:color w:val="231F20"/>
          <w:w w:val="105"/>
        </w:rPr>
        <w:t>apuntar</w:t>
      </w:r>
      <w:r>
        <w:rPr>
          <w:color w:val="231F20"/>
          <w:spacing w:val="-8"/>
          <w:w w:val="105"/>
        </w:rPr>
        <w:t> </w:t>
      </w:r>
      <w:r>
        <w:rPr>
          <w:color w:val="231F20"/>
          <w:w w:val="105"/>
        </w:rPr>
        <w:t>que</w:t>
      </w:r>
      <w:r>
        <w:rPr>
          <w:color w:val="231F20"/>
          <w:spacing w:val="-8"/>
          <w:w w:val="105"/>
        </w:rPr>
        <w:t> </w:t>
      </w:r>
      <w:r>
        <w:rPr>
          <w:color w:val="231F20"/>
          <w:w w:val="105"/>
        </w:rPr>
        <w:t>la</w:t>
      </w:r>
      <w:r>
        <w:rPr>
          <w:color w:val="231F20"/>
          <w:spacing w:val="-8"/>
          <w:w w:val="105"/>
        </w:rPr>
        <w:t> </w:t>
      </w:r>
      <w:r>
        <w:rPr>
          <w:color w:val="231F20"/>
          <w:w w:val="105"/>
        </w:rPr>
        <w:t>globalización</w:t>
      </w:r>
      <w:r>
        <w:rPr>
          <w:color w:val="231F20"/>
          <w:spacing w:val="-8"/>
          <w:w w:val="105"/>
        </w:rPr>
        <w:t> </w:t>
      </w:r>
      <w:r>
        <w:rPr>
          <w:color w:val="231F20"/>
          <w:w w:val="105"/>
        </w:rPr>
        <w:t>de</w:t>
      </w:r>
      <w:r>
        <w:rPr>
          <w:color w:val="231F20"/>
          <w:spacing w:val="-8"/>
          <w:w w:val="105"/>
        </w:rPr>
        <w:t> </w:t>
      </w:r>
      <w:r>
        <w:rPr>
          <w:color w:val="231F20"/>
          <w:w w:val="105"/>
        </w:rPr>
        <w:t>hoy</w:t>
      </w:r>
      <w:r>
        <w:rPr>
          <w:color w:val="231F20"/>
          <w:spacing w:val="-8"/>
          <w:w w:val="105"/>
        </w:rPr>
        <w:t> </w:t>
      </w:r>
      <w:r>
        <w:rPr>
          <w:color w:val="231F20"/>
          <w:w w:val="105"/>
        </w:rPr>
        <w:t>tiene</w:t>
      </w:r>
      <w:r>
        <w:rPr>
          <w:color w:val="231F20"/>
          <w:spacing w:val="-8"/>
          <w:w w:val="105"/>
        </w:rPr>
        <w:t> </w:t>
      </w:r>
      <w:r>
        <w:rPr>
          <w:color w:val="231F20"/>
          <w:w w:val="105"/>
        </w:rPr>
        <w:t>cierta</w:t>
      </w:r>
      <w:r>
        <w:rPr>
          <w:color w:val="231F20"/>
          <w:spacing w:val="-8"/>
          <w:w w:val="105"/>
        </w:rPr>
        <w:t> </w:t>
      </w:r>
      <w:r>
        <w:rPr>
          <w:color w:val="231F20"/>
          <w:w w:val="105"/>
        </w:rPr>
        <w:t>continuidad</w:t>
      </w:r>
      <w:r>
        <w:rPr>
          <w:color w:val="231F20"/>
          <w:spacing w:val="-8"/>
          <w:w w:val="105"/>
        </w:rPr>
        <w:t> </w:t>
      </w:r>
      <w:r>
        <w:rPr>
          <w:color w:val="231F20"/>
          <w:w w:val="105"/>
        </w:rPr>
        <w:t>con</w:t>
      </w:r>
      <w:r>
        <w:rPr>
          <w:color w:val="231F20"/>
          <w:spacing w:val="-8"/>
          <w:w w:val="105"/>
        </w:rPr>
        <w:t> </w:t>
      </w:r>
      <w:r>
        <w:rPr>
          <w:color w:val="231F20"/>
          <w:w w:val="105"/>
        </w:rPr>
        <w:t>un proceso que ha acompañado y forjado la historia de los seres</w:t>
      </w:r>
      <w:r>
        <w:rPr>
          <w:color w:val="231F20"/>
          <w:spacing w:val="-19"/>
          <w:w w:val="105"/>
        </w:rPr>
        <w:t> </w:t>
      </w:r>
      <w:r>
        <w:rPr>
          <w:color w:val="231F20"/>
          <w:w w:val="105"/>
        </w:rPr>
        <w:t>humanos desde</w:t>
      </w:r>
      <w:r>
        <w:rPr>
          <w:color w:val="231F20"/>
          <w:spacing w:val="-18"/>
          <w:w w:val="105"/>
        </w:rPr>
        <w:t> </w:t>
      </w:r>
      <w:r>
        <w:rPr>
          <w:color w:val="231F20"/>
          <w:w w:val="105"/>
        </w:rPr>
        <w:t>siglos</w:t>
      </w:r>
      <w:r>
        <w:rPr>
          <w:color w:val="231F20"/>
          <w:spacing w:val="-18"/>
          <w:w w:val="105"/>
        </w:rPr>
        <w:t> </w:t>
      </w:r>
      <w:r>
        <w:rPr>
          <w:color w:val="231F20"/>
          <w:w w:val="105"/>
        </w:rPr>
        <w:t>atrás.</w:t>
      </w:r>
      <w:r>
        <w:rPr>
          <w:color w:val="231F20"/>
          <w:spacing w:val="-18"/>
          <w:w w:val="105"/>
        </w:rPr>
        <w:t> </w:t>
      </w:r>
      <w:r>
        <w:rPr>
          <w:color w:val="231F20"/>
          <w:w w:val="105"/>
        </w:rPr>
        <w:t>Este</w:t>
      </w:r>
      <w:r>
        <w:rPr>
          <w:color w:val="231F20"/>
          <w:spacing w:val="-18"/>
          <w:w w:val="105"/>
        </w:rPr>
        <w:t> </w:t>
      </w:r>
      <w:r>
        <w:rPr>
          <w:color w:val="231F20"/>
          <w:w w:val="105"/>
        </w:rPr>
        <w:t>argumento,</w:t>
      </w:r>
      <w:r>
        <w:rPr>
          <w:color w:val="231F20"/>
          <w:spacing w:val="-18"/>
          <w:w w:val="105"/>
        </w:rPr>
        <w:t> </w:t>
      </w:r>
      <w:r>
        <w:rPr>
          <w:color w:val="231F20"/>
          <w:w w:val="105"/>
        </w:rPr>
        <w:t>sin</w:t>
      </w:r>
      <w:r>
        <w:rPr>
          <w:color w:val="231F20"/>
          <w:spacing w:val="-18"/>
          <w:w w:val="105"/>
        </w:rPr>
        <w:t> </w:t>
      </w:r>
      <w:r>
        <w:rPr>
          <w:color w:val="231F20"/>
          <w:w w:val="105"/>
        </w:rPr>
        <w:t>embargo,</w:t>
      </w:r>
      <w:r>
        <w:rPr>
          <w:color w:val="231F20"/>
          <w:spacing w:val="-18"/>
          <w:w w:val="105"/>
        </w:rPr>
        <w:t> </w:t>
      </w:r>
      <w:r>
        <w:rPr>
          <w:color w:val="231F20"/>
          <w:w w:val="105"/>
        </w:rPr>
        <w:t>tiene</w:t>
      </w:r>
      <w:r>
        <w:rPr>
          <w:color w:val="231F20"/>
          <w:spacing w:val="-18"/>
          <w:w w:val="105"/>
        </w:rPr>
        <w:t> </w:t>
      </w:r>
      <w:r>
        <w:rPr>
          <w:color w:val="231F20"/>
          <w:w w:val="105"/>
        </w:rPr>
        <w:t>un</w:t>
      </w:r>
      <w:r>
        <w:rPr>
          <w:color w:val="231F20"/>
          <w:spacing w:val="-18"/>
          <w:w w:val="105"/>
        </w:rPr>
        <w:t> </w:t>
      </w:r>
      <w:r>
        <w:rPr>
          <w:color w:val="231F20"/>
          <w:w w:val="105"/>
        </w:rPr>
        <w:t>lado</w:t>
      </w:r>
      <w:r>
        <w:rPr>
          <w:color w:val="231F20"/>
          <w:spacing w:val="-18"/>
          <w:w w:val="105"/>
        </w:rPr>
        <w:t> </w:t>
      </w:r>
      <w:r>
        <w:rPr>
          <w:color w:val="231F20"/>
          <w:w w:val="105"/>
        </w:rPr>
        <w:t>riesgoso, puede</w:t>
      </w:r>
      <w:r>
        <w:rPr>
          <w:color w:val="231F20"/>
          <w:spacing w:val="-24"/>
          <w:w w:val="105"/>
        </w:rPr>
        <w:t> </w:t>
      </w:r>
      <w:r>
        <w:rPr>
          <w:color w:val="231F20"/>
          <w:w w:val="105"/>
        </w:rPr>
        <w:t>llevarnos</w:t>
      </w:r>
      <w:r>
        <w:rPr>
          <w:color w:val="231F20"/>
          <w:spacing w:val="-24"/>
          <w:w w:val="105"/>
        </w:rPr>
        <w:t> </w:t>
      </w:r>
      <w:r>
        <w:rPr>
          <w:color w:val="231F20"/>
          <w:w w:val="105"/>
        </w:rPr>
        <w:t>a</w:t>
      </w:r>
      <w:r>
        <w:rPr>
          <w:color w:val="231F20"/>
          <w:spacing w:val="-24"/>
          <w:w w:val="105"/>
        </w:rPr>
        <w:t> </w:t>
      </w:r>
      <w:r>
        <w:rPr>
          <w:color w:val="231F20"/>
          <w:w w:val="105"/>
        </w:rPr>
        <w:t>suponer</w:t>
      </w:r>
      <w:r>
        <w:rPr>
          <w:color w:val="231F20"/>
          <w:spacing w:val="-24"/>
          <w:w w:val="105"/>
        </w:rPr>
        <w:t> </w:t>
      </w:r>
      <w:r>
        <w:rPr>
          <w:color w:val="231F20"/>
          <w:w w:val="105"/>
        </w:rPr>
        <w:t>que</w:t>
      </w:r>
      <w:r>
        <w:rPr>
          <w:color w:val="231F20"/>
          <w:spacing w:val="-24"/>
          <w:w w:val="105"/>
        </w:rPr>
        <w:t> </w:t>
      </w:r>
      <w:r>
        <w:rPr>
          <w:color w:val="231F20"/>
          <w:w w:val="105"/>
        </w:rPr>
        <w:t>hay</w:t>
      </w:r>
      <w:r>
        <w:rPr>
          <w:color w:val="231F20"/>
          <w:spacing w:val="-24"/>
          <w:w w:val="105"/>
        </w:rPr>
        <w:t> </w:t>
      </w:r>
      <w:r>
        <w:rPr>
          <w:color w:val="231F20"/>
          <w:w w:val="105"/>
        </w:rPr>
        <w:t>una</w:t>
      </w:r>
      <w:r>
        <w:rPr>
          <w:color w:val="231F20"/>
          <w:spacing w:val="-24"/>
          <w:w w:val="105"/>
        </w:rPr>
        <w:t> </w:t>
      </w:r>
      <w:r>
        <w:rPr>
          <w:color w:val="231F20"/>
          <w:w w:val="105"/>
        </w:rPr>
        <w:t>naturalidad</w:t>
      </w:r>
      <w:r>
        <w:rPr>
          <w:color w:val="231F20"/>
          <w:spacing w:val="-24"/>
          <w:w w:val="105"/>
        </w:rPr>
        <w:t> </w:t>
      </w:r>
      <w:r>
        <w:rPr>
          <w:color w:val="231F20"/>
          <w:w w:val="105"/>
        </w:rPr>
        <w:t>en</w:t>
      </w:r>
      <w:r>
        <w:rPr>
          <w:color w:val="231F20"/>
          <w:spacing w:val="-24"/>
          <w:w w:val="105"/>
        </w:rPr>
        <w:t> </w:t>
      </w:r>
      <w:r>
        <w:rPr>
          <w:color w:val="231F20"/>
          <w:w w:val="105"/>
        </w:rPr>
        <w:t>todos</w:t>
      </w:r>
      <w:r>
        <w:rPr>
          <w:color w:val="231F20"/>
          <w:spacing w:val="-24"/>
          <w:w w:val="105"/>
        </w:rPr>
        <w:t> </w:t>
      </w:r>
      <w:r>
        <w:rPr>
          <w:color w:val="231F20"/>
          <w:w w:val="105"/>
        </w:rPr>
        <w:t>los</w:t>
      </w:r>
      <w:r>
        <w:rPr>
          <w:color w:val="231F20"/>
          <w:spacing w:val="-24"/>
          <w:w w:val="105"/>
        </w:rPr>
        <w:t> </w:t>
      </w:r>
      <w:r>
        <w:rPr>
          <w:color w:val="231F20"/>
          <w:w w:val="105"/>
        </w:rPr>
        <w:t>procesos y</w:t>
      </w:r>
      <w:r>
        <w:rPr>
          <w:color w:val="231F20"/>
          <w:spacing w:val="-18"/>
          <w:w w:val="105"/>
        </w:rPr>
        <w:t> </w:t>
      </w:r>
      <w:r>
        <w:rPr>
          <w:color w:val="231F20"/>
          <w:w w:val="105"/>
        </w:rPr>
        <w:t>fenómenos</w:t>
      </w:r>
      <w:r>
        <w:rPr>
          <w:color w:val="231F20"/>
          <w:spacing w:val="-18"/>
          <w:w w:val="105"/>
        </w:rPr>
        <w:t> </w:t>
      </w:r>
      <w:r>
        <w:rPr>
          <w:color w:val="231F20"/>
          <w:w w:val="105"/>
        </w:rPr>
        <w:t>actuales</w:t>
      </w:r>
      <w:r>
        <w:rPr>
          <w:color w:val="231F20"/>
          <w:spacing w:val="-18"/>
          <w:w w:val="105"/>
        </w:rPr>
        <w:t> </w:t>
      </w:r>
      <w:r>
        <w:rPr>
          <w:color w:val="231F20"/>
          <w:spacing w:val="-10"/>
          <w:w w:val="105"/>
        </w:rPr>
        <w:t>y,</w:t>
      </w:r>
      <w:r>
        <w:rPr>
          <w:color w:val="231F20"/>
          <w:spacing w:val="-18"/>
          <w:w w:val="105"/>
        </w:rPr>
        <w:t> </w:t>
      </w:r>
      <w:r>
        <w:rPr>
          <w:color w:val="231F20"/>
          <w:w w:val="105"/>
        </w:rPr>
        <w:t>por</w:t>
      </w:r>
      <w:r>
        <w:rPr>
          <w:color w:val="231F20"/>
          <w:spacing w:val="-18"/>
          <w:w w:val="105"/>
        </w:rPr>
        <w:t> </w:t>
      </w:r>
      <w:r>
        <w:rPr>
          <w:color w:val="231F20"/>
          <w:w w:val="105"/>
        </w:rPr>
        <w:t>ende,</w:t>
      </w:r>
      <w:r>
        <w:rPr>
          <w:color w:val="231F20"/>
          <w:spacing w:val="-18"/>
          <w:w w:val="105"/>
        </w:rPr>
        <w:t> </w:t>
      </w:r>
      <w:r>
        <w:rPr>
          <w:color w:val="231F20"/>
          <w:w w:val="105"/>
        </w:rPr>
        <w:t>que</w:t>
      </w:r>
      <w:r>
        <w:rPr>
          <w:color w:val="231F20"/>
          <w:spacing w:val="-18"/>
          <w:w w:val="105"/>
        </w:rPr>
        <w:t> </w:t>
      </w:r>
      <w:r>
        <w:rPr>
          <w:color w:val="231F20"/>
          <w:w w:val="105"/>
        </w:rPr>
        <w:t>no</w:t>
      </w:r>
      <w:r>
        <w:rPr>
          <w:color w:val="231F20"/>
          <w:spacing w:val="-18"/>
          <w:w w:val="105"/>
        </w:rPr>
        <w:t> </w:t>
      </w:r>
      <w:r>
        <w:rPr>
          <w:color w:val="231F20"/>
          <w:w w:val="105"/>
        </w:rPr>
        <w:t>sólo</w:t>
      </w:r>
      <w:r>
        <w:rPr>
          <w:color w:val="231F20"/>
          <w:spacing w:val="-18"/>
          <w:w w:val="105"/>
        </w:rPr>
        <w:t> </w:t>
      </w:r>
      <w:r>
        <w:rPr>
          <w:color w:val="231F20"/>
          <w:w w:val="105"/>
        </w:rPr>
        <w:t>sería</w:t>
      </w:r>
      <w:r>
        <w:rPr>
          <w:color w:val="231F20"/>
          <w:spacing w:val="-18"/>
          <w:w w:val="105"/>
        </w:rPr>
        <w:t> </w:t>
      </w:r>
      <w:r>
        <w:rPr>
          <w:color w:val="231F20"/>
          <w:w w:val="105"/>
        </w:rPr>
        <w:t>superfluo</w:t>
      </w:r>
      <w:r>
        <w:rPr>
          <w:color w:val="231F20"/>
          <w:spacing w:val="-18"/>
          <w:w w:val="105"/>
        </w:rPr>
        <w:t> </w:t>
      </w:r>
      <w:r>
        <w:rPr>
          <w:color w:val="231F20"/>
          <w:w w:val="105"/>
        </w:rPr>
        <w:t>el</w:t>
      </w:r>
      <w:r>
        <w:rPr>
          <w:color w:val="231F20"/>
          <w:spacing w:val="-18"/>
          <w:w w:val="105"/>
        </w:rPr>
        <w:t> </w:t>
      </w:r>
      <w:r>
        <w:rPr>
          <w:color w:val="231F20"/>
          <w:w w:val="105"/>
        </w:rPr>
        <w:t>análisis, sino también la crítica, con lo cual dejaríamos de reparar en los</w:t>
      </w:r>
      <w:r>
        <w:rPr>
          <w:color w:val="231F20"/>
          <w:spacing w:val="-17"/>
          <w:w w:val="105"/>
        </w:rPr>
        <w:t> </w:t>
      </w:r>
      <w:r>
        <w:rPr>
          <w:color w:val="231F20"/>
          <w:w w:val="105"/>
        </w:rPr>
        <w:t>efectos negativos</w:t>
      </w:r>
      <w:r>
        <w:rPr>
          <w:color w:val="231F20"/>
          <w:spacing w:val="-44"/>
          <w:w w:val="105"/>
        </w:rPr>
        <w:t> </w:t>
      </w:r>
      <w:r>
        <w:rPr>
          <w:color w:val="231F20"/>
          <w:w w:val="105"/>
        </w:rPr>
        <w:t>y</w:t>
      </w:r>
      <w:r>
        <w:rPr>
          <w:color w:val="231F20"/>
          <w:spacing w:val="-44"/>
          <w:w w:val="105"/>
        </w:rPr>
        <w:t> </w:t>
      </w:r>
      <w:r>
        <w:rPr>
          <w:color w:val="231F20"/>
          <w:w w:val="105"/>
        </w:rPr>
        <w:t>nos</w:t>
      </w:r>
      <w:r>
        <w:rPr>
          <w:color w:val="231F20"/>
          <w:spacing w:val="-44"/>
          <w:w w:val="105"/>
        </w:rPr>
        <w:t> </w:t>
      </w:r>
      <w:r>
        <w:rPr>
          <w:color w:val="231F20"/>
          <w:w w:val="105"/>
        </w:rPr>
        <w:t>resignaríamos</w:t>
      </w:r>
      <w:r>
        <w:rPr>
          <w:color w:val="231F20"/>
          <w:spacing w:val="-44"/>
          <w:w w:val="105"/>
        </w:rPr>
        <w:t> </w:t>
      </w:r>
      <w:r>
        <w:rPr>
          <w:color w:val="231F20"/>
          <w:w w:val="105"/>
        </w:rPr>
        <w:t>a</w:t>
      </w:r>
      <w:r>
        <w:rPr>
          <w:color w:val="231F20"/>
          <w:spacing w:val="-44"/>
          <w:w w:val="105"/>
        </w:rPr>
        <w:t> </w:t>
      </w:r>
      <w:r>
        <w:rPr>
          <w:color w:val="231F20"/>
          <w:w w:val="105"/>
        </w:rPr>
        <w:t>dejar</w:t>
      </w:r>
      <w:r>
        <w:rPr>
          <w:color w:val="231F20"/>
          <w:spacing w:val="-44"/>
          <w:w w:val="105"/>
        </w:rPr>
        <w:t> </w:t>
      </w:r>
      <w:r>
        <w:rPr>
          <w:color w:val="231F20"/>
          <w:w w:val="105"/>
        </w:rPr>
        <w:t>de</w:t>
      </w:r>
      <w:r>
        <w:rPr>
          <w:color w:val="231F20"/>
          <w:spacing w:val="-44"/>
          <w:w w:val="105"/>
        </w:rPr>
        <w:t> </w:t>
      </w:r>
      <w:r>
        <w:rPr>
          <w:color w:val="231F20"/>
          <w:w w:val="105"/>
        </w:rPr>
        <w:t>buscar</w:t>
      </w:r>
      <w:r>
        <w:rPr>
          <w:color w:val="231F20"/>
          <w:spacing w:val="-44"/>
          <w:w w:val="105"/>
        </w:rPr>
        <w:t> </w:t>
      </w:r>
      <w:r>
        <w:rPr>
          <w:color w:val="231F20"/>
          <w:w w:val="105"/>
        </w:rPr>
        <w:t>alternativas.</w:t>
      </w:r>
    </w:p>
    <w:p>
      <w:pPr>
        <w:pStyle w:val="BodyText"/>
        <w:spacing w:line="247" w:lineRule="auto"/>
        <w:ind w:left="117" w:right="101" w:firstLine="566"/>
        <w:jc w:val="both"/>
      </w:pPr>
      <w:r>
        <w:rPr>
          <w:color w:val="231F20"/>
        </w:rPr>
        <w:t>Con todo, es innegable que la expansión, la exploración, la migra- ción, la conquista, el intercambio, el dominio y la influencia, entre muchas otras cosas, forman parte intrínseca de la historia de la humanidad, de la manera</w:t>
      </w:r>
      <w:r>
        <w:rPr>
          <w:color w:val="231F20"/>
          <w:spacing w:val="-13"/>
        </w:rPr>
        <w:t> </w:t>
      </w:r>
      <w:r>
        <w:rPr>
          <w:color w:val="231F20"/>
        </w:rPr>
        <w:t>en</w:t>
      </w:r>
      <w:r>
        <w:rPr>
          <w:color w:val="231F20"/>
          <w:spacing w:val="-13"/>
        </w:rPr>
        <w:t> </w:t>
      </w:r>
      <w:r>
        <w:rPr>
          <w:color w:val="231F20"/>
        </w:rPr>
        <w:t>que</w:t>
      </w:r>
      <w:r>
        <w:rPr>
          <w:color w:val="231F20"/>
          <w:spacing w:val="-13"/>
        </w:rPr>
        <w:t> </w:t>
      </w:r>
      <w:r>
        <w:rPr>
          <w:color w:val="231F20"/>
        </w:rPr>
        <w:t>los</w:t>
      </w:r>
      <w:r>
        <w:rPr>
          <w:color w:val="231F20"/>
          <w:spacing w:val="-13"/>
        </w:rPr>
        <w:t> </w:t>
      </w:r>
      <w:r>
        <w:rPr>
          <w:color w:val="231F20"/>
        </w:rPr>
        <w:t>grupos</w:t>
      </w:r>
      <w:r>
        <w:rPr>
          <w:color w:val="231F20"/>
          <w:spacing w:val="-13"/>
        </w:rPr>
        <w:t> </w:t>
      </w:r>
      <w:r>
        <w:rPr>
          <w:color w:val="231F20"/>
        </w:rPr>
        <w:t>humanos</w:t>
      </w:r>
      <w:r>
        <w:rPr>
          <w:color w:val="231F20"/>
          <w:spacing w:val="-13"/>
        </w:rPr>
        <w:t> </w:t>
      </w:r>
      <w:r>
        <w:rPr>
          <w:color w:val="231F20"/>
        </w:rPr>
        <w:t>se</w:t>
      </w:r>
      <w:r>
        <w:rPr>
          <w:color w:val="231F20"/>
          <w:spacing w:val="-13"/>
        </w:rPr>
        <w:t> </w:t>
      </w:r>
      <w:r>
        <w:rPr>
          <w:color w:val="231F20"/>
        </w:rPr>
        <w:t>relacionan</w:t>
      </w:r>
      <w:r>
        <w:rPr>
          <w:color w:val="231F20"/>
          <w:spacing w:val="-13"/>
        </w:rPr>
        <w:t> </w:t>
      </w:r>
      <w:r>
        <w:rPr>
          <w:color w:val="231F20"/>
        </w:rPr>
        <w:t>entre</w:t>
      </w:r>
      <w:r>
        <w:rPr>
          <w:color w:val="231F20"/>
          <w:spacing w:val="-13"/>
        </w:rPr>
        <w:t> </w:t>
      </w:r>
      <w:r>
        <w:rPr>
          <w:color w:val="231F20"/>
        </w:rPr>
        <w:t>sí</w:t>
      </w:r>
      <w:r>
        <w:rPr>
          <w:color w:val="231F20"/>
          <w:spacing w:val="-13"/>
        </w:rPr>
        <w:t> </w:t>
      </w:r>
      <w:r>
        <w:rPr>
          <w:color w:val="231F20"/>
        </w:rPr>
        <w:t>y</w:t>
      </w:r>
      <w:r>
        <w:rPr>
          <w:color w:val="231F20"/>
          <w:spacing w:val="-13"/>
        </w:rPr>
        <w:t> </w:t>
      </w:r>
      <w:r>
        <w:rPr>
          <w:color w:val="231F20"/>
        </w:rPr>
        <w:t>cómo</w:t>
      </w:r>
      <w:r>
        <w:rPr>
          <w:color w:val="231F20"/>
          <w:spacing w:val="-13"/>
        </w:rPr>
        <w:t> </w:t>
      </w:r>
      <w:r>
        <w:rPr>
          <w:color w:val="231F20"/>
        </w:rPr>
        <w:t>se</w:t>
      </w:r>
      <w:r>
        <w:rPr>
          <w:color w:val="231F20"/>
          <w:spacing w:val="-13"/>
        </w:rPr>
        <w:t> </w:t>
      </w:r>
      <w:r>
        <w:rPr>
          <w:color w:val="231F20"/>
        </w:rPr>
        <w:t>conec- tan</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tierra.</w:t>
      </w:r>
      <w:r>
        <w:rPr>
          <w:color w:val="231F20"/>
          <w:spacing w:val="-7"/>
        </w:rPr>
        <w:t> </w:t>
      </w:r>
      <w:r>
        <w:rPr>
          <w:color w:val="231F20"/>
        </w:rPr>
        <w:t>Esta</w:t>
      </w:r>
      <w:r>
        <w:rPr>
          <w:color w:val="231F20"/>
          <w:spacing w:val="-7"/>
        </w:rPr>
        <w:t> </w:t>
      </w:r>
      <w:r>
        <w:rPr>
          <w:color w:val="231F20"/>
        </w:rPr>
        <w:t>dinámica</w:t>
      </w:r>
      <w:r>
        <w:rPr>
          <w:color w:val="231F20"/>
          <w:spacing w:val="-7"/>
        </w:rPr>
        <w:t> </w:t>
      </w:r>
      <w:r>
        <w:rPr>
          <w:color w:val="231F20"/>
        </w:rPr>
        <w:t>humana</w:t>
      </w:r>
      <w:r>
        <w:rPr>
          <w:color w:val="231F20"/>
          <w:spacing w:val="-7"/>
        </w:rPr>
        <w:t> </w:t>
      </w:r>
      <w:r>
        <w:rPr>
          <w:color w:val="231F20"/>
        </w:rPr>
        <w:t>ligada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expansión,</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creación</w:t>
      </w:r>
    </w:p>
    <w:p>
      <w:pPr>
        <w:pStyle w:val="BodyText"/>
        <w:spacing w:before="6"/>
        <w:rPr>
          <w:sz w:val="26"/>
        </w:rPr>
      </w:pPr>
      <w:r>
        <w:rPr/>
        <w:pict>
          <v:line style="position:absolute;mso-position-horizontal-relative:page;mso-position-vertical-relative:paragraph;z-index:3880;mso-wrap-distance-left:0;mso-wrap-distance-right:0" from="70.866203pt,18.105381pt" to="184.252203pt,18.105381pt" stroked="true" strokeweight=".3pt" strokecolor="#231f20">
            <w10:wrap type="topAndBottom"/>
          </v:line>
        </w:pict>
      </w:r>
    </w:p>
    <w:p>
      <w:pPr>
        <w:spacing w:before="10"/>
        <w:ind w:left="117" w:right="0" w:firstLine="0"/>
        <w:jc w:val="left"/>
        <w:rPr>
          <w:rFonts w:ascii="Calibri" w:hAnsi="Calibri"/>
          <w:sz w:val="17"/>
        </w:rPr>
      </w:pPr>
      <w:r>
        <w:rPr>
          <w:rFonts w:ascii="Calibri" w:hAnsi="Calibri"/>
          <w:color w:val="231F20"/>
          <w:position w:val="6"/>
          <w:sz w:val="10"/>
        </w:rPr>
        <w:t>1 </w:t>
      </w:r>
      <w:r>
        <w:rPr>
          <w:rFonts w:ascii="Calibri" w:hAnsi="Calibri"/>
          <w:color w:val="231F20"/>
          <w:sz w:val="17"/>
        </w:rPr>
        <w:t>M. Reder, </w:t>
      </w:r>
      <w:r>
        <w:rPr>
          <w:rFonts w:ascii="Calibri" w:hAnsi="Calibri"/>
          <w:i/>
          <w:color w:val="231F20"/>
          <w:sz w:val="17"/>
        </w:rPr>
        <w:t>Globalización y filosofía</w:t>
      </w:r>
      <w:r>
        <w:rPr>
          <w:rFonts w:ascii="Calibri" w:hAnsi="Calibri"/>
          <w:color w:val="231F20"/>
          <w:sz w:val="17"/>
        </w:rPr>
        <w:t>, Madrid, Herder, 2012, p. 11.</w:t>
      </w:r>
    </w:p>
    <w:p>
      <w:pPr>
        <w:spacing w:after="0"/>
        <w:jc w:val="left"/>
        <w:rPr>
          <w:rFonts w:ascii="Calibri" w:hAnsi="Calibri"/>
          <w:sz w:val="17"/>
        </w:rPr>
        <w:sectPr>
          <w:pgSz w:w="9640" w:h="13890"/>
          <w:pgMar w:top="1300" w:bottom="280" w:left="1300" w:right="1200"/>
        </w:sectPr>
      </w:pPr>
    </w:p>
    <w:p>
      <w:pPr>
        <w:pStyle w:val="BodyText"/>
        <w:spacing w:line="247" w:lineRule="auto" w:before="107"/>
        <w:ind w:left="103" w:right="115"/>
        <w:jc w:val="both"/>
      </w:pPr>
      <w:r>
        <w:rPr>
          <w:color w:val="231F20"/>
        </w:rPr>
        <w:t>de trayectos y a la colonización de nuevos territorios no ha sido una pauta que</w:t>
      </w:r>
      <w:r>
        <w:rPr>
          <w:color w:val="231F20"/>
          <w:spacing w:val="-6"/>
        </w:rPr>
        <w:t> </w:t>
      </w:r>
      <w:r>
        <w:rPr>
          <w:color w:val="231F20"/>
        </w:rPr>
        <w:t>tenga</w:t>
      </w:r>
      <w:r>
        <w:rPr>
          <w:color w:val="231F20"/>
          <w:spacing w:val="-6"/>
        </w:rPr>
        <w:t> </w:t>
      </w:r>
      <w:r>
        <w:rPr>
          <w:color w:val="231F20"/>
        </w:rPr>
        <w:t>un</w:t>
      </w:r>
      <w:r>
        <w:rPr>
          <w:color w:val="231F20"/>
          <w:spacing w:val="-6"/>
        </w:rPr>
        <w:t> </w:t>
      </w:r>
      <w:r>
        <w:rPr>
          <w:color w:val="231F20"/>
        </w:rPr>
        <w:t>signo</w:t>
      </w:r>
      <w:r>
        <w:rPr>
          <w:color w:val="231F20"/>
          <w:spacing w:val="-6"/>
        </w:rPr>
        <w:t> </w:t>
      </w:r>
      <w:r>
        <w:rPr>
          <w:color w:val="231F20"/>
        </w:rPr>
        <w:t>meramente</w:t>
      </w:r>
      <w:r>
        <w:rPr>
          <w:color w:val="231F20"/>
          <w:spacing w:val="-6"/>
        </w:rPr>
        <w:t> </w:t>
      </w:r>
      <w:r>
        <w:rPr>
          <w:color w:val="231F20"/>
        </w:rPr>
        <w:t>positivo,</w:t>
      </w:r>
      <w:r>
        <w:rPr>
          <w:color w:val="231F20"/>
          <w:spacing w:val="-6"/>
        </w:rPr>
        <w:t> </w:t>
      </w:r>
      <w:r>
        <w:rPr>
          <w:color w:val="231F20"/>
        </w:rPr>
        <w:t>pues</w:t>
      </w:r>
      <w:r>
        <w:rPr>
          <w:color w:val="231F20"/>
          <w:spacing w:val="-6"/>
        </w:rPr>
        <w:t> </w:t>
      </w:r>
      <w:r>
        <w:rPr>
          <w:color w:val="231F20"/>
        </w:rPr>
        <w:t>a</w:t>
      </w:r>
      <w:r>
        <w:rPr>
          <w:color w:val="231F20"/>
          <w:spacing w:val="-6"/>
        </w:rPr>
        <w:t> </w:t>
      </w:r>
      <w:r>
        <w:rPr>
          <w:color w:val="231F20"/>
        </w:rPr>
        <w:t>toda</w:t>
      </w:r>
      <w:r>
        <w:rPr>
          <w:color w:val="231F20"/>
          <w:spacing w:val="-6"/>
        </w:rPr>
        <w:t> </w:t>
      </w:r>
      <w:r>
        <w:rPr>
          <w:color w:val="231F20"/>
        </w:rPr>
        <w:t>expansión</w:t>
      </w:r>
      <w:r>
        <w:rPr>
          <w:color w:val="231F20"/>
          <w:spacing w:val="-6"/>
        </w:rPr>
        <w:t> </w:t>
      </w:r>
      <w:r>
        <w:rPr>
          <w:color w:val="231F20"/>
        </w:rPr>
        <w:t>ha</w:t>
      </w:r>
      <w:r>
        <w:rPr>
          <w:color w:val="231F20"/>
          <w:spacing w:val="-6"/>
        </w:rPr>
        <w:t> </w:t>
      </w:r>
      <w:r>
        <w:rPr>
          <w:color w:val="231F20"/>
        </w:rPr>
        <w:t>seguido tarde</w:t>
      </w:r>
      <w:r>
        <w:rPr>
          <w:color w:val="231F20"/>
          <w:spacing w:val="-9"/>
        </w:rPr>
        <w:t> </w:t>
      </w:r>
      <w:r>
        <w:rPr>
          <w:color w:val="231F20"/>
        </w:rPr>
        <w:t>o</w:t>
      </w:r>
      <w:r>
        <w:rPr>
          <w:color w:val="231F20"/>
          <w:spacing w:val="-9"/>
        </w:rPr>
        <w:t> </w:t>
      </w:r>
      <w:r>
        <w:rPr>
          <w:color w:val="231F20"/>
        </w:rPr>
        <w:t>temprano</w:t>
      </w:r>
      <w:r>
        <w:rPr>
          <w:color w:val="231F20"/>
          <w:spacing w:val="-9"/>
        </w:rPr>
        <w:t> </w:t>
      </w:r>
      <w:r>
        <w:rPr>
          <w:color w:val="231F20"/>
        </w:rPr>
        <w:t>un</w:t>
      </w:r>
      <w:r>
        <w:rPr>
          <w:color w:val="231F20"/>
          <w:spacing w:val="-9"/>
        </w:rPr>
        <w:t> </w:t>
      </w:r>
      <w:r>
        <w:rPr>
          <w:color w:val="231F20"/>
        </w:rPr>
        <w:t>retraimiento;</w:t>
      </w:r>
      <w:r>
        <w:rPr>
          <w:color w:val="231F20"/>
          <w:spacing w:val="-9"/>
        </w:rPr>
        <w:t> </w:t>
      </w:r>
      <w:r>
        <w:rPr>
          <w:color w:val="231F20"/>
        </w:rPr>
        <w:t>a</w:t>
      </w:r>
      <w:r>
        <w:rPr>
          <w:color w:val="231F20"/>
          <w:spacing w:val="-9"/>
        </w:rPr>
        <w:t> </w:t>
      </w:r>
      <w:r>
        <w:rPr>
          <w:color w:val="231F20"/>
        </w:rPr>
        <w:t>toda</w:t>
      </w:r>
      <w:r>
        <w:rPr>
          <w:color w:val="231F20"/>
          <w:spacing w:val="-9"/>
        </w:rPr>
        <w:t> </w:t>
      </w:r>
      <w:r>
        <w:rPr>
          <w:color w:val="231F20"/>
        </w:rPr>
        <w:t>territorialización</w:t>
      </w:r>
      <w:r>
        <w:rPr>
          <w:color w:val="231F20"/>
          <w:spacing w:val="-9"/>
        </w:rPr>
        <w:t> </w:t>
      </w:r>
      <w:r>
        <w:rPr>
          <w:color w:val="231F20"/>
        </w:rPr>
        <w:t>le</w:t>
      </w:r>
      <w:r>
        <w:rPr>
          <w:color w:val="231F20"/>
          <w:spacing w:val="-9"/>
        </w:rPr>
        <w:t> </w:t>
      </w:r>
      <w:r>
        <w:rPr>
          <w:color w:val="231F20"/>
        </w:rPr>
        <w:t>ha</w:t>
      </w:r>
      <w:r>
        <w:rPr>
          <w:color w:val="231F20"/>
          <w:spacing w:val="-9"/>
        </w:rPr>
        <w:t> </w:t>
      </w:r>
      <w:r>
        <w:rPr>
          <w:color w:val="231F20"/>
        </w:rPr>
        <w:t>acompaña- do una desterritorialización; a todo cruce de fronteras, el levantamiento</w:t>
      </w:r>
      <w:r>
        <w:rPr>
          <w:color w:val="231F20"/>
          <w:spacing w:val="-32"/>
        </w:rPr>
        <w:t> </w:t>
      </w:r>
      <w:r>
        <w:rPr>
          <w:color w:val="231F20"/>
        </w:rPr>
        <w:t>de nuevos</w:t>
      </w:r>
      <w:r>
        <w:rPr>
          <w:color w:val="231F20"/>
          <w:spacing w:val="-10"/>
        </w:rPr>
        <w:t> </w:t>
      </w:r>
      <w:r>
        <w:rPr>
          <w:color w:val="231F20"/>
        </w:rPr>
        <w:t>límites;</w:t>
      </w:r>
      <w:r>
        <w:rPr>
          <w:color w:val="231F20"/>
          <w:spacing w:val="-10"/>
        </w:rPr>
        <w:t> </w:t>
      </w:r>
      <w:r>
        <w:rPr>
          <w:color w:val="231F20"/>
        </w:rPr>
        <w:t>a</w:t>
      </w:r>
      <w:r>
        <w:rPr>
          <w:color w:val="231F20"/>
          <w:spacing w:val="-10"/>
        </w:rPr>
        <w:t> </w:t>
      </w:r>
      <w:r>
        <w:rPr>
          <w:color w:val="231F20"/>
        </w:rPr>
        <w:t>todo</w:t>
      </w:r>
      <w:r>
        <w:rPr>
          <w:color w:val="231F20"/>
          <w:spacing w:val="-10"/>
        </w:rPr>
        <w:t> </w:t>
      </w:r>
      <w:r>
        <w:rPr>
          <w:color w:val="231F20"/>
        </w:rPr>
        <w:t>gesto</w:t>
      </w:r>
      <w:r>
        <w:rPr>
          <w:color w:val="231F20"/>
          <w:spacing w:val="-10"/>
        </w:rPr>
        <w:t> </w:t>
      </w:r>
      <w:r>
        <w:rPr>
          <w:color w:val="231F20"/>
        </w:rPr>
        <w:t>de</w:t>
      </w:r>
      <w:r>
        <w:rPr>
          <w:color w:val="231F20"/>
          <w:spacing w:val="-10"/>
        </w:rPr>
        <w:t> </w:t>
      </w:r>
      <w:r>
        <w:rPr>
          <w:color w:val="231F20"/>
        </w:rPr>
        <w:t>avanzada,</w:t>
      </w:r>
      <w:r>
        <w:rPr>
          <w:color w:val="231F20"/>
          <w:spacing w:val="-10"/>
        </w:rPr>
        <w:t> </w:t>
      </w:r>
      <w:r>
        <w:rPr>
          <w:color w:val="231F20"/>
        </w:rPr>
        <w:t>un</w:t>
      </w:r>
      <w:r>
        <w:rPr>
          <w:color w:val="231F20"/>
          <w:spacing w:val="-10"/>
        </w:rPr>
        <w:t> </w:t>
      </w:r>
      <w:r>
        <w:rPr>
          <w:color w:val="231F20"/>
        </w:rPr>
        <w:t>gesto</w:t>
      </w:r>
      <w:r>
        <w:rPr>
          <w:color w:val="231F20"/>
          <w:spacing w:val="-10"/>
        </w:rPr>
        <w:t> </w:t>
      </w:r>
      <w:r>
        <w:rPr>
          <w:color w:val="231F20"/>
        </w:rPr>
        <w:t>de</w:t>
      </w:r>
      <w:r>
        <w:rPr>
          <w:color w:val="231F20"/>
          <w:spacing w:val="-10"/>
        </w:rPr>
        <w:t> </w:t>
      </w:r>
      <w:r>
        <w:rPr>
          <w:color w:val="231F20"/>
        </w:rPr>
        <w:t>retiro;</w:t>
      </w:r>
      <w:r>
        <w:rPr>
          <w:color w:val="231F20"/>
          <w:spacing w:val="-10"/>
        </w:rPr>
        <w:t> </w:t>
      </w:r>
      <w:r>
        <w:rPr>
          <w:color w:val="231F20"/>
        </w:rPr>
        <w:t>a</w:t>
      </w:r>
      <w:r>
        <w:rPr>
          <w:color w:val="231F20"/>
          <w:spacing w:val="-10"/>
        </w:rPr>
        <w:t> </w:t>
      </w:r>
      <w:r>
        <w:rPr>
          <w:color w:val="231F20"/>
        </w:rPr>
        <w:t>todo</w:t>
      </w:r>
      <w:r>
        <w:rPr>
          <w:color w:val="231F20"/>
          <w:spacing w:val="-10"/>
        </w:rPr>
        <w:t> </w:t>
      </w:r>
      <w:r>
        <w:rPr>
          <w:color w:val="231F20"/>
        </w:rPr>
        <w:t>noma- dismo, un momento de sedentarismo, etc. </w:t>
      </w:r>
      <w:r>
        <w:rPr>
          <w:color w:val="231F20"/>
          <w:spacing w:val="-10"/>
        </w:rPr>
        <w:t>Ya </w:t>
      </w:r>
      <w:r>
        <w:rPr>
          <w:color w:val="231F20"/>
        </w:rPr>
        <w:t>Paul Virilio</w:t>
      </w:r>
      <w:r>
        <w:rPr>
          <w:color w:val="231F20"/>
          <w:position w:val="7"/>
          <w:sz w:val="12"/>
        </w:rPr>
        <w:t>2 </w:t>
      </w:r>
      <w:r>
        <w:rPr>
          <w:color w:val="231F20"/>
        </w:rPr>
        <w:t>anotaba que la humanidad se construyó en el trayecto, en el proceso de demora a través del cual los hombres, yendo de un lugar a otro —muchas veces sin saber dónde</w:t>
      </w:r>
      <w:r>
        <w:rPr>
          <w:color w:val="231F20"/>
          <w:spacing w:val="-8"/>
        </w:rPr>
        <w:t> </w:t>
      </w:r>
      <w:r>
        <w:rPr>
          <w:color w:val="231F20"/>
        </w:rPr>
        <w:t>terminarían—,</w:t>
      </w:r>
      <w:r>
        <w:rPr>
          <w:color w:val="231F20"/>
          <w:spacing w:val="-8"/>
        </w:rPr>
        <w:t> </w:t>
      </w:r>
      <w:r>
        <w:rPr>
          <w:color w:val="231F20"/>
        </w:rPr>
        <w:t>se</w:t>
      </w:r>
      <w:r>
        <w:rPr>
          <w:color w:val="231F20"/>
          <w:spacing w:val="-8"/>
        </w:rPr>
        <w:t> </w:t>
      </w:r>
      <w:r>
        <w:rPr>
          <w:color w:val="231F20"/>
        </w:rPr>
        <w:t>conectaron</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tierra</w:t>
      </w:r>
      <w:r>
        <w:rPr>
          <w:color w:val="231F20"/>
          <w:spacing w:val="-8"/>
        </w:rPr>
        <w:t> </w:t>
      </w:r>
      <w:r>
        <w:rPr>
          <w:color w:val="231F20"/>
        </w:rPr>
        <w:t>y</w:t>
      </w:r>
      <w:r>
        <w:rPr>
          <w:color w:val="231F20"/>
          <w:spacing w:val="-8"/>
        </w:rPr>
        <w:t> </w:t>
      </w:r>
      <w:r>
        <w:rPr>
          <w:color w:val="231F20"/>
        </w:rPr>
        <w:t>sus</w:t>
      </w:r>
      <w:r>
        <w:rPr>
          <w:color w:val="231F20"/>
          <w:spacing w:val="-8"/>
        </w:rPr>
        <w:t> </w:t>
      </w:r>
      <w:r>
        <w:rPr>
          <w:color w:val="231F20"/>
        </w:rPr>
        <w:t>diversos</w:t>
      </w:r>
      <w:r>
        <w:rPr>
          <w:color w:val="231F20"/>
          <w:spacing w:val="-8"/>
        </w:rPr>
        <w:t> </w:t>
      </w:r>
      <w:r>
        <w:rPr>
          <w:color w:val="231F20"/>
        </w:rPr>
        <w:t>climas,</w:t>
      </w:r>
      <w:r>
        <w:rPr>
          <w:color w:val="231F20"/>
          <w:spacing w:val="-8"/>
        </w:rPr>
        <w:t> </w:t>
      </w:r>
      <w:r>
        <w:rPr>
          <w:color w:val="231F20"/>
        </w:rPr>
        <w:t>fau- na,</w:t>
      </w:r>
      <w:r>
        <w:rPr>
          <w:color w:val="231F20"/>
          <w:spacing w:val="20"/>
        </w:rPr>
        <w:t> </w:t>
      </w:r>
      <w:r>
        <w:rPr>
          <w:color w:val="231F20"/>
        </w:rPr>
        <w:t>costumbres,</w:t>
      </w:r>
      <w:r>
        <w:rPr>
          <w:color w:val="231F20"/>
          <w:spacing w:val="20"/>
        </w:rPr>
        <w:t> </w:t>
      </w:r>
      <w:r>
        <w:rPr>
          <w:color w:val="231F20"/>
        </w:rPr>
        <w:t>etc.</w:t>
      </w:r>
      <w:r>
        <w:rPr>
          <w:color w:val="231F20"/>
          <w:spacing w:val="20"/>
        </w:rPr>
        <w:t> </w:t>
      </w:r>
      <w:r>
        <w:rPr>
          <w:color w:val="231F20"/>
        </w:rPr>
        <w:t>En</w:t>
      </w:r>
      <w:r>
        <w:rPr>
          <w:color w:val="231F20"/>
          <w:spacing w:val="20"/>
        </w:rPr>
        <w:t> </w:t>
      </w:r>
      <w:r>
        <w:rPr>
          <w:color w:val="231F20"/>
        </w:rPr>
        <w:t>este</w:t>
      </w:r>
      <w:r>
        <w:rPr>
          <w:color w:val="231F20"/>
          <w:spacing w:val="20"/>
        </w:rPr>
        <w:t> </w:t>
      </w:r>
      <w:r>
        <w:rPr>
          <w:color w:val="231F20"/>
        </w:rPr>
        <w:t>proceso</w:t>
      </w:r>
      <w:r>
        <w:rPr>
          <w:color w:val="231F20"/>
          <w:spacing w:val="20"/>
        </w:rPr>
        <w:t> </w:t>
      </w:r>
      <w:r>
        <w:rPr>
          <w:color w:val="231F20"/>
        </w:rPr>
        <w:t>de</w:t>
      </w:r>
      <w:r>
        <w:rPr>
          <w:color w:val="231F20"/>
          <w:spacing w:val="20"/>
        </w:rPr>
        <w:t> </w:t>
      </w:r>
      <w:r>
        <w:rPr>
          <w:color w:val="231F20"/>
        </w:rPr>
        <w:t>dilación</w:t>
      </w:r>
      <w:r>
        <w:rPr>
          <w:color w:val="231F20"/>
          <w:spacing w:val="20"/>
        </w:rPr>
        <w:t> </w:t>
      </w:r>
      <w:r>
        <w:rPr>
          <w:color w:val="231F20"/>
        </w:rPr>
        <w:t>se</w:t>
      </w:r>
      <w:r>
        <w:rPr>
          <w:color w:val="231F20"/>
          <w:spacing w:val="20"/>
        </w:rPr>
        <w:t> </w:t>
      </w:r>
      <w:r>
        <w:rPr>
          <w:color w:val="231F20"/>
        </w:rPr>
        <w:t>formó</w:t>
      </w:r>
      <w:r>
        <w:rPr>
          <w:color w:val="231F20"/>
          <w:spacing w:val="20"/>
        </w:rPr>
        <w:t> </w:t>
      </w:r>
      <w:r>
        <w:rPr>
          <w:color w:val="231F20"/>
        </w:rPr>
        <w:t>la</w:t>
      </w:r>
      <w:r>
        <w:rPr>
          <w:color w:val="231F20"/>
          <w:spacing w:val="20"/>
        </w:rPr>
        <w:t> </w:t>
      </w:r>
      <w:r>
        <w:rPr>
          <w:color w:val="231F20"/>
        </w:rPr>
        <w:t>humanidad</w:t>
      </w:r>
    </w:p>
    <w:p>
      <w:pPr>
        <w:pStyle w:val="BodyText"/>
        <w:spacing w:line="247" w:lineRule="auto"/>
        <w:ind w:left="103" w:right="115"/>
        <w:jc w:val="both"/>
      </w:pPr>
      <w:r>
        <w:rPr>
          <w:color w:val="231F20"/>
        </w:rPr>
        <w:t>—al tiempo que se expandía y diferenciaba— y con ello también los seres humanos territorializaron una tierra que, con todo, jamás puede</w:t>
      </w:r>
      <w:r>
        <w:rPr>
          <w:color w:val="231F20"/>
          <w:spacing w:val="-40"/>
        </w:rPr>
        <w:t> </w:t>
      </w:r>
      <w:r>
        <w:rPr>
          <w:color w:val="231F20"/>
        </w:rPr>
        <w:t>totalizarse bajo</w:t>
      </w:r>
      <w:r>
        <w:rPr>
          <w:color w:val="231F20"/>
          <w:spacing w:val="-15"/>
        </w:rPr>
        <w:t> </w:t>
      </w:r>
      <w:r>
        <w:rPr>
          <w:color w:val="231F20"/>
        </w:rPr>
        <w:t>ningún</w:t>
      </w:r>
      <w:r>
        <w:rPr>
          <w:color w:val="231F20"/>
          <w:spacing w:val="-15"/>
        </w:rPr>
        <w:t> </w:t>
      </w:r>
      <w:r>
        <w:rPr>
          <w:color w:val="231F20"/>
        </w:rPr>
        <w:t>trayecto</w:t>
      </w:r>
      <w:r>
        <w:rPr>
          <w:color w:val="231F20"/>
          <w:spacing w:val="-15"/>
        </w:rPr>
        <w:t> </w:t>
      </w:r>
      <w:r>
        <w:rPr>
          <w:color w:val="231F20"/>
        </w:rPr>
        <w:t>humano.</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sentido,</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humanidad</w:t>
      </w:r>
      <w:r>
        <w:rPr>
          <w:color w:val="231F20"/>
          <w:spacing w:val="-15"/>
        </w:rPr>
        <w:t> </w:t>
      </w:r>
      <w:r>
        <w:rPr>
          <w:color w:val="231F20"/>
        </w:rPr>
        <w:t>le</w:t>
      </w:r>
      <w:r>
        <w:rPr>
          <w:color w:val="231F20"/>
          <w:spacing w:val="-15"/>
        </w:rPr>
        <w:t> </w:t>
      </w:r>
      <w:r>
        <w:rPr>
          <w:color w:val="231F20"/>
        </w:rPr>
        <w:t>son</w:t>
      </w:r>
      <w:r>
        <w:rPr>
          <w:color w:val="231F20"/>
          <w:spacing w:val="-15"/>
        </w:rPr>
        <w:t> </w:t>
      </w:r>
      <w:r>
        <w:rPr>
          <w:color w:val="231F20"/>
        </w:rPr>
        <w:t>intrín- secos</w:t>
      </w:r>
      <w:r>
        <w:rPr>
          <w:color w:val="231F20"/>
          <w:spacing w:val="-11"/>
        </w:rPr>
        <w:t> </w:t>
      </w:r>
      <w:r>
        <w:rPr>
          <w:color w:val="231F20"/>
        </w:rPr>
        <w:t>sus</w:t>
      </w:r>
      <w:r>
        <w:rPr>
          <w:color w:val="231F20"/>
          <w:spacing w:val="-11"/>
        </w:rPr>
        <w:t> </w:t>
      </w:r>
      <w:r>
        <w:rPr>
          <w:color w:val="231F20"/>
        </w:rPr>
        <w:t>trayectos</w:t>
      </w:r>
      <w:r>
        <w:rPr>
          <w:color w:val="231F20"/>
          <w:spacing w:val="-11"/>
        </w:rPr>
        <w:t> </w:t>
      </w:r>
      <w:r>
        <w:rPr>
          <w:color w:val="231F20"/>
          <w:spacing w:val="-10"/>
        </w:rPr>
        <w:t>y,</w:t>
      </w:r>
      <w:r>
        <w:rPr>
          <w:color w:val="231F20"/>
          <w:spacing w:val="-11"/>
        </w:rPr>
        <w:t> </w:t>
      </w:r>
      <w:r>
        <w:rPr>
          <w:color w:val="231F20"/>
        </w:rPr>
        <w:t>con</w:t>
      </w:r>
      <w:r>
        <w:rPr>
          <w:color w:val="231F20"/>
          <w:spacing w:val="-11"/>
        </w:rPr>
        <w:t> </w:t>
      </w:r>
      <w:r>
        <w:rPr>
          <w:color w:val="231F20"/>
        </w:rPr>
        <w:t>ellos,</w:t>
      </w:r>
      <w:r>
        <w:rPr>
          <w:color w:val="231F20"/>
          <w:spacing w:val="-11"/>
        </w:rPr>
        <w:t> </w:t>
      </w:r>
      <w:r>
        <w:rPr>
          <w:color w:val="231F20"/>
        </w:rPr>
        <w:t>los</w:t>
      </w:r>
      <w:r>
        <w:rPr>
          <w:color w:val="231F20"/>
          <w:spacing w:val="-11"/>
        </w:rPr>
        <w:t> </w:t>
      </w:r>
      <w:r>
        <w:rPr>
          <w:color w:val="231F20"/>
        </w:rPr>
        <w:t>flujos</w:t>
      </w:r>
      <w:r>
        <w:rPr>
          <w:color w:val="231F20"/>
          <w:spacing w:val="-11"/>
        </w:rPr>
        <w:t> </w:t>
      </w:r>
      <w:r>
        <w:rPr>
          <w:color w:val="231F20"/>
        </w:rPr>
        <w:t>abiertos:</w:t>
      </w:r>
      <w:r>
        <w:rPr>
          <w:color w:val="231F20"/>
          <w:spacing w:val="-11"/>
        </w:rPr>
        <w:t> </w:t>
      </w:r>
      <w:r>
        <w:rPr>
          <w:color w:val="231F20"/>
        </w:rPr>
        <w:t>de</w:t>
      </w:r>
      <w:r>
        <w:rPr>
          <w:color w:val="231F20"/>
          <w:spacing w:val="-11"/>
        </w:rPr>
        <w:t> </w:t>
      </w:r>
      <w:r>
        <w:rPr>
          <w:color w:val="231F20"/>
        </w:rPr>
        <w:t>personas,</w:t>
      </w:r>
      <w:r>
        <w:rPr>
          <w:color w:val="231F20"/>
          <w:spacing w:val="-11"/>
        </w:rPr>
        <w:t> </w:t>
      </w:r>
      <w:r>
        <w:rPr>
          <w:color w:val="231F20"/>
        </w:rPr>
        <w:t>de</w:t>
      </w:r>
      <w:r>
        <w:rPr>
          <w:color w:val="231F20"/>
          <w:spacing w:val="-11"/>
        </w:rPr>
        <w:t> </w:t>
      </w:r>
      <w:r>
        <w:rPr>
          <w:color w:val="231F20"/>
        </w:rPr>
        <w:t>comida, de</w:t>
      </w:r>
      <w:r>
        <w:rPr>
          <w:color w:val="231F20"/>
          <w:spacing w:val="-8"/>
        </w:rPr>
        <w:t> </w:t>
      </w:r>
      <w:r>
        <w:rPr>
          <w:color w:val="231F20"/>
        </w:rPr>
        <w:t>animales,</w:t>
      </w:r>
      <w:r>
        <w:rPr>
          <w:color w:val="231F20"/>
          <w:spacing w:val="-8"/>
        </w:rPr>
        <w:t> </w:t>
      </w:r>
      <w:r>
        <w:rPr>
          <w:color w:val="231F20"/>
        </w:rPr>
        <w:t>de</w:t>
      </w:r>
      <w:r>
        <w:rPr>
          <w:color w:val="231F20"/>
          <w:spacing w:val="-8"/>
        </w:rPr>
        <w:t> </w:t>
      </w:r>
      <w:r>
        <w:rPr>
          <w:color w:val="231F20"/>
        </w:rPr>
        <w:t>símbolos,</w:t>
      </w:r>
      <w:r>
        <w:rPr>
          <w:color w:val="231F20"/>
          <w:spacing w:val="-8"/>
        </w:rPr>
        <w:t> </w:t>
      </w:r>
      <w:r>
        <w:rPr>
          <w:color w:val="231F20"/>
        </w:rPr>
        <w:t>de</w:t>
      </w:r>
      <w:r>
        <w:rPr>
          <w:color w:val="231F20"/>
          <w:spacing w:val="-8"/>
        </w:rPr>
        <w:t> </w:t>
      </w:r>
      <w:r>
        <w:rPr>
          <w:color w:val="231F20"/>
        </w:rPr>
        <w:t>cultura,</w:t>
      </w:r>
      <w:r>
        <w:rPr>
          <w:color w:val="231F20"/>
          <w:spacing w:val="-8"/>
        </w:rPr>
        <w:t> </w:t>
      </w:r>
      <w:r>
        <w:rPr>
          <w:color w:val="231F20"/>
        </w:rPr>
        <w:t>de</w:t>
      </w:r>
      <w:r>
        <w:rPr>
          <w:color w:val="231F20"/>
          <w:spacing w:val="-8"/>
        </w:rPr>
        <w:t> </w:t>
      </w:r>
      <w:r>
        <w:rPr>
          <w:color w:val="231F20"/>
        </w:rPr>
        <w:t>dinero,</w:t>
      </w:r>
      <w:r>
        <w:rPr>
          <w:color w:val="231F20"/>
          <w:spacing w:val="-8"/>
        </w:rPr>
        <w:t> </w:t>
      </w:r>
      <w:r>
        <w:rPr>
          <w:color w:val="231F20"/>
        </w:rPr>
        <w:t>etc.</w:t>
      </w:r>
      <w:r>
        <w:rPr>
          <w:color w:val="231F20"/>
          <w:spacing w:val="-8"/>
        </w:rPr>
        <w:t> </w:t>
      </w:r>
      <w:r>
        <w:rPr>
          <w:color w:val="231F20"/>
        </w:rPr>
        <w:t>La</w:t>
      </w:r>
      <w:r>
        <w:rPr>
          <w:color w:val="231F20"/>
          <w:spacing w:val="-8"/>
        </w:rPr>
        <w:t> </w:t>
      </w:r>
      <w:r>
        <w:rPr>
          <w:color w:val="231F20"/>
        </w:rPr>
        <w:t>historia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homi- nización no puede desvincularse de la migración. Hace aproximadamente dos millones de años el </w:t>
      </w:r>
      <w:r>
        <w:rPr>
          <w:rFonts w:ascii="Arial" w:hAnsi="Arial"/>
          <w:i/>
          <w:color w:val="231F20"/>
        </w:rPr>
        <w:t>Homo ergaster </w:t>
      </w:r>
      <w:r>
        <w:rPr>
          <w:color w:val="231F20"/>
        </w:rPr>
        <w:t>salió de África para avanzar sobre el Próximo Oriente y de ahí en adelante continuaron sin parar migraciones a Europa y Asia</w:t>
      </w:r>
      <w:r>
        <w:rPr>
          <w:color w:val="231F20"/>
          <w:position w:val="7"/>
          <w:sz w:val="12"/>
        </w:rPr>
        <w:t>3</w:t>
      </w:r>
      <w:r>
        <w:rPr>
          <w:color w:val="231F20"/>
        </w:rPr>
        <w:t>. Pero estos trayectos siempre respondieron a una doble lógica,</w:t>
      </w:r>
      <w:r>
        <w:rPr>
          <w:color w:val="231F20"/>
          <w:spacing w:val="-9"/>
        </w:rPr>
        <w:t> </w:t>
      </w:r>
      <w:r>
        <w:rPr>
          <w:color w:val="231F20"/>
        </w:rPr>
        <w:t>no</w:t>
      </w:r>
      <w:r>
        <w:rPr>
          <w:color w:val="231F20"/>
          <w:spacing w:val="-9"/>
        </w:rPr>
        <w:t> </w:t>
      </w:r>
      <w:r>
        <w:rPr>
          <w:color w:val="231F20"/>
        </w:rPr>
        <w:t>abrieron</w:t>
      </w:r>
      <w:r>
        <w:rPr>
          <w:color w:val="231F20"/>
          <w:spacing w:val="-9"/>
        </w:rPr>
        <w:t> </w:t>
      </w:r>
      <w:r>
        <w:rPr>
          <w:color w:val="231F20"/>
        </w:rPr>
        <w:t>una</w:t>
      </w:r>
      <w:r>
        <w:rPr>
          <w:color w:val="231F20"/>
          <w:spacing w:val="-9"/>
        </w:rPr>
        <w:t> </w:t>
      </w:r>
      <w:r>
        <w:rPr>
          <w:color w:val="231F20"/>
        </w:rPr>
        <w:t>trayectoria</w:t>
      </w:r>
      <w:r>
        <w:rPr>
          <w:color w:val="231F20"/>
          <w:spacing w:val="-9"/>
        </w:rPr>
        <w:t> </w:t>
      </w:r>
      <w:r>
        <w:rPr>
          <w:color w:val="231F20"/>
        </w:rPr>
        <w:t>sin</w:t>
      </w:r>
      <w:r>
        <w:rPr>
          <w:color w:val="231F20"/>
          <w:spacing w:val="-9"/>
        </w:rPr>
        <w:t> </w:t>
      </w:r>
      <w:r>
        <w:rPr>
          <w:color w:val="231F20"/>
        </w:rPr>
        <w:t>cerrar</w:t>
      </w:r>
      <w:r>
        <w:rPr>
          <w:color w:val="231F20"/>
          <w:spacing w:val="-9"/>
        </w:rPr>
        <w:t> </w:t>
      </w:r>
      <w:r>
        <w:rPr>
          <w:color w:val="231F20"/>
        </w:rPr>
        <w:t>otra,</w:t>
      </w:r>
      <w:r>
        <w:rPr>
          <w:color w:val="231F20"/>
          <w:spacing w:val="-9"/>
        </w:rPr>
        <w:t> </w:t>
      </w:r>
      <w:r>
        <w:rPr>
          <w:color w:val="231F20"/>
        </w:rPr>
        <w:t>no</w:t>
      </w:r>
      <w:r>
        <w:rPr>
          <w:color w:val="231F20"/>
          <w:spacing w:val="-9"/>
        </w:rPr>
        <w:t> </w:t>
      </w:r>
      <w:r>
        <w:rPr>
          <w:color w:val="231F20"/>
        </w:rPr>
        <w:t>forjaron</w:t>
      </w:r>
      <w:r>
        <w:rPr>
          <w:color w:val="231F20"/>
          <w:spacing w:val="-9"/>
        </w:rPr>
        <w:t> </w:t>
      </w:r>
      <w:r>
        <w:rPr>
          <w:color w:val="231F20"/>
        </w:rPr>
        <w:t>territorios</w:t>
      </w:r>
      <w:r>
        <w:rPr>
          <w:color w:val="231F20"/>
          <w:spacing w:val="-9"/>
        </w:rPr>
        <w:t> </w:t>
      </w:r>
      <w:r>
        <w:rPr>
          <w:color w:val="231F20"/>
        </w:rPr>
        <w:t>sin desterritorializar otros, no conquistaron sin abrir al mismo tiempo un um- bral de mutua influencia con lo conquistado. En este talante, si el trayecto es</w:t>
      </w:r>
      <w:r>
        <w:rPr>
          <w:color w:val="231F20"/>
          <w:spacing w:val="-4"/>
        </w:rPr>
        <w:t> </w:t>
      </w:r>
      <w:r>
        <w:rPr>
          <w:color w:val="231F20"/>
        </w:rPr>
        <w:t>intrínseco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historia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humanidad,</w:t>
      </w:r>
      <w:r>
        <w:rPr>
          <w:color w:val="231F20"/>
          <w:spacing w:val="-4"/>
        </w:rPr>
        <w:t> </w:t>
      </w:r>
      <w:r>
        <w:rPr>
          <w:color w:val="231F20"/>
        </w:rPr>
        <w:t>los</w:t>
      </w:r>
      <w:r>
        <w:rPr>
          <w:color w:val="231F20"/>
          <w:spacing w:val="-4"/>
        </w:rPr>
        <w:t> </w:t>
      </w:r>
      <w:r>
        <w:rPr>
          <w:color w:val="231F20"/>
        </w:rPr>
        <w:t>flujos</w:t>
      </w:r>
      <w:r>
        <w:rPr>
          <w:color w:val="231F20"/>
          <w:spacing w:val="-4"/>
        </w:rPr>
        <w:t> </w:t>
      </w:r>
      <w:r>
        <w:rPr>
          <w:color w:val="231F20"/>
        </w:rPr>
        <w:t>son</w:t>
      </w:r>
      <w:r>
        <w:rPr>
          <w:color w:val="231F20"/>
          <w:spacing w:val="-4"/>
        </w:rPr>
        <w:t> </w:t>
      </w:r>
      <w:r>
        <w:rPr>
          <w:color w:val="231F20"/>
        </w:rPr>
        <w:t>intrínsecos</w:t>
      </w:r>
      <w:r>
        <w:rPr>
          <w:color w:val="231F20"/>
          <w:spacing w:val="-4"/>
        </w:rPr>
        <w:t> </w:t>
      </w:r>
      <w:r>
        <w:rPr>
          <w:color w:val="231F20"/>
        </w:rPr>
        <w:t>a</w:t>
      </w:r>
      <w:r>
        <w:rPr>
          <w:color w:val="231F20"/>
          <w:spacing w:val="-4"/>
        </w:rPr>
        <w:t> </w:t>
      </w:r>
      <w:r>
        <w:rPr>
          <w:color w:val="231F20"/>
        </w:rPr>
        <w:t>todo trayecto, flujos que no van en un solo sentido, que son al menos bidirec- cionales. Desde esta perspectiva, la globalización no significaría un mero proceso expansivo, integrador u homogeneizador, sino tomaría una forma compleja que incluye signos de muy distinto cuño, a veces contradictorio. Sin embargo, muchas de las definiciones de la globalización han hecho énfasis en la perspectiva contraria, es </w:t>
      </w:r>
      <w:r>
        <w:rPr>
          <w:color w:val="231F20"/>
          <w:spacing w:val="-4"/>
        </w:rPr>
        <w:t>decir, </w:t>
      </w:r>
      <w:r>
        <w:rPr>
          <w:color w:val="231F20"/>
        </w:rPr>
        <w:t>como fenómeno homogenei- zador que corre en una sola dirección. Como expone William Scheuerman, tradicionalmente la globalización ha sido vista como un fenómeno bastan- te homogéneo y unidireccional, en donde se han privilegiado las figuras</w:t>
      </w:r>
      <w:r>
        <w:rPr>
          <w:color w:val="231F20"/>
          <w:spacing w:val="-22"/>
        </w:rPr>
        <w:t> </w:t>
      </w:r>
      <w:r>
        <w:rPr>
          <w:color w:val="231F20"/>
        </w:rPr>
        <w:t>de la expansión, el crecimiento, la integración y la</w:t>
      </w:r>
      <w:r>
        <w:rPr>
          <w:color w:val="231F20"/>
          <w:spacing w:val="-22"/>
        </w:rPr>
        <w:t> </w:t>
      </w:r>
      <w:r>
        <w:rPr>
          <w:color w:val="231F20"/>
        </w:rPr>
        <w:t>unificación.</w:t>
      </w:r>
    </w:p>
    <w:p>
      <w:pPr>
        <w:pStyle w:val="BodyText"/>
        <w:spacing w:before="10"/>
        <w:rPr>
          <w:sz w:val="22"/>
        </w:rPr>
      </w:pPr>
    </w:p>
    <w:p>
      <w:pPr>
        <w:spacing w:line="220" w:lineRule="exact" w:before="1"/>
        <w:ind w:left="1521" w:right="115" w:firstLine="0"/>
        <w:jc w:val="both"/>
        <w:rPr>
          <w:sz w:val="19"/>
        </w:rPr>
      </w:pPr>
      <w:r>
        <w:rPr>
          <w:color w:val="231F20"/>
          <w:sz w:val="19"/>
        </w:rPr>
        <w:t>En el discurso </w:t>
      </w:r>
      <w:r>
        <w:rPr>
          <w:color w:val="231F20"/>
          <w:spacing w:val="-3"/>
          <w:sz w:val="19"/>
        </w:rPr>
        <w:t>popular, </w:t>
      </w:r>
      <w:r>
        <w:rPr>
          <w:color w:val="231F20"/>
          <w:sz w:val="19"/>
        </w:rPr>
        <w:t>la globalización funciona como sinónimo de</w:t>
      </w:r>
      <w:r>
        <w:rPr>
          <w:color w:val="231F20"/>
          <w:spacing w:val="-4"/>
          <w:sz w:val="19"/>
        </w:rPr>
        <w:t> </w:t>
      </w:r>
      <w:r>
        <w:rPr>
          <w:color w:val="231F20"/>
          <w:sz w:val="19"/>
        </w:rPr>
        <w:t>uno</w:t>
      </w:r>
      <w:r>
        <w:rPr>
          <w:color w:val="231F20"/>
          <w:spacing w:val="-4"/>
          <w:sz w:val="19"/>
        </w:rPr>
        <w:t> </w:t>
      </w:r>
      <w:r>
        <w:rPr>
          <w:color w:val="231F20"/>
          <w:sz w:val="19"/>
        </w:rPr>
        <w:t>o</w:t>
      </w:r>
      <w:r>
        <w:rPr>
          <w:color w:val="231F20"/>
          <w:spacing w:val="-4"/>
          <w:sz w:val="19"/>
        </w:rPr>
        <w:t> </w:t>
      </w:r>
      <w:r>
        <w:rPr>
          <w:color w:val="231F20"/>
          <w:sz w:val="19"/>
        </w:rPr>
        <w:t>más</w:t>
      </w:r>
      <w:r>
        <w:rPr>
          <w:color w:val="231F20"/>
          <w:spacing w:val="-4"/>
          <w:sz w:val="19"/>
        </w:rPr>
        <w:t> </w:t>
      </w:r>
      <w:r>
        <w:rPr>
          <w:color w:val="231F20"/>
          <w:sz w:val="19"/>
        </w:rPr>
        <w:t>de</w:t>
      </w:r>
      <w:r>
        <w:rPr>
          <w:color w:val="231F20"/>
          <w:spacing w:val="-4"/>
          <w:sz w:val="19"/>
        </w:rPr>
        <w:t> </w:t>
      </w:r>
      <w:r>
        <w:rPr>
          <w:color w:val="231F20"/>
          <w:sz w:val="19"/>
        </w:rPr>
        <w:t>los</w:t>
      </w:r>
      <w:r>
        <w:rPr>
          <w:color w:val="231F20"/>
          <w:spacing w:val="-4"/>
          <w:sz w:val="19"/>
        </w:rPr>
        <w:t> </w:t>
      </w:r>
      <w:r>
        <w:rPr>
          <w:color w:val="231F20"/>
          <w:sz w:val="19"/>
        </w:rPr>
        <w:t>siguientes</w:t>
      </w:r>
      <w:r>
        <w:rPr>
          <w:color w:val="231F20"/>
          <w:spacing w:val="-4"/>
          <w:sz w:val="19"/>
        </w:rPr>
        <w:t> </w:t>
      </w:r>
      <w:r>
        <w:rPr>
          <w:color w:val="231F20"/>
          <w:sz w:val="19"/>
        </w:rPr>
        <w:t>fenómenos:</w:t>
      </w:r>
      <w:r>
        <w:rPr>
          <w:color w:val="231F20"/>
          <w:spacing w:val="-4"/>
          <w:sz w:val="19"/>
        </w:rPr>
        <w:t> </w:t>
      </w:r>
      <w:r>
        <w:rPr>
          <w:color w:val="231F20"/>
          <w:sz w:val="19"/>
        </w:rPr>
        <w:t>la</w:t>
      </w:r>
      <w:r>
        <w:rPr>
          <w:color w:val="231F20"/>
          <w:spacing w:val="-4"/>
          <w:sz w:val="19"/>
        </w:rPr>
        <w:t> </w:t>
      </w:r>
      <w:r>
        <w:rPr>
          <w:color w:val="231F20"/>
          <w:sz w:val="19"/>
        </w:rPr>
        <w:t>irrupción</w:t>
      </w:r>
      <w:r>
        <w:rPr>
          <w:color w:val="231F20"/>
          <w:spacing w:val="-4"/>
          <w:sz w:val="19"/>
        </w:rPr>
        <w:t> </w:t>
      </w:r>
      <w:r>
        <w:rPr>
          <w:color w:val="231F20"/>
          <w:sz w:val="19"/>
        </w:rPr>
        <w:t>de</w:t>
      </w:r>
      <w:r>
        <w:rPr>
          <w:color w:val="231F20"/>
          <w:spacing w:val="-4"/>
          <w:sz w:val="19"/>
        </w:rPr>
        <w:t> </w:t>
      </w:r>
      <w:r>
        <w:rPr>
          <w:color w:val="231F20"/>
          <w:sz w:val="19"/>
        </w:rPr>
        <w:t>las</w:t>
      </w:r>
      <w:r>
        <w:rPr>
          <w:color w:val="231F20"/>
          <w:spacing w:val="-4"/>
          <w:sz w:val="19"/>
        </w:rPr>
        <w:t> </w:t>
      </w:r>
      <w:r>
        <w:rPr>
          <w:color w:val="231F20"/>
          <w:sz w:val="19"/>
        </w:rPr>
        <w:t>po- líticas liberales clásicas (“libre mercado”) en la economía mundial (“liberalización económica”), el creciente dominio de las formas occidentales de la vida política, económica y cultural (“occidenta- lización” o “americanización”), la proliferación de nuevas tecno- logías de la información (la “revolución de internet”), así como</w:t>
      </w:r>
      <w:r>
        <w:rPr>
          <w:color w:val="231F20"/>
          <w:spacing w:val="52"/>
          <w:sz w:val="19"/>
        </w:rPr>
        <w:t> </w:t>
      </w:r>
      <w:r>
        <w:rPr>
          <w:color w:val="231F20"/>
          <w:sz w:val="19"/>
        </w:rPr>
        <w:t>la</w:t>
      </w:r>
    </w:p>
    <w:p>
      <w:pPr>
        <w:pStyle w:val="BodyText"/>
        <w:spacing w:before="2"/>
        <w:rPr>
          <w:sz w:val="17"/>
        </w:rPr>
      </w:pPr>
      <w:r>
        <w:rPr/>
        <w:pict>
          <v:line style="position:absolute;mso-position-horizontal-relative:page;mso-position-vertical-relative:paragraph;z-index:3928;mso-wrap-distance-left:0;mso-wrap-distance-right:0" from="65.1968pt,12.482698pt" to="178.5828pt,12.482698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position w:val="6"/>
          <w:sz w:val="10"/>
        </w:rPr>
        <w:t>2 </w:t>
      </w:r>
      <w:r>
        <w:rPr>
          <w:rFonts w:ascii="Calibri" w:hAnsi="Calibri"/>
          <w:color w:val="231F20"/>
          <w:sz w:val="17"/>
        </w:rPr>
        <w:t>P. Virilio, </w:t>
      </w:r>
      <w:r>
        <w:rPr>
          <w:rFonts w:ascii="Calibri" w:hAnsi="Calibri"/>
          <w:i/>
          <w:color w:val="231F20"/>
          <w:sz w:val="17"/>
        </w:rPr>
        <w:t>La velocidad de liberación</w:t>
      </w:r>
      <w:r>
        <w:rPr>
          <w:rFonts w:ascii="Calibri" w:hAnsi="Calibri"/>
          <w:color w:val="231F20"/>
          <w:sz w:val="17"/>
        </w:rPr>
        <w:t>, Argentina, Manantial, 1997.</w:t>
      </w:r>
    </w:p>
    <w:p>
      <w:pPr>
        <w:spacing w:line="206" w:lineRule="exact" w:before="0"/>
        <w:ind w:left="103" w:right="0" w:firstLine="0"/>
        <w:jc w:val="left"/>
        <w:rPr>
          <w:rFonts w:ascii="Calibri" w:hAnsi="Calibri"/>
          <w:sz w:val="17"/>
        </w:rPr>
      </w:pPr>
      <w:r>
        <w:rPr>
          <w:rFonts w:ascii="Calibri" w:hAnsi="Calibri"/>
          <w:color w:val="231F20"/>
          <w:position w:val="6"/>
          <w:sz w:val="10"/>
        </w:rPr>
        <w:t>3 </w:t>
      </w:r>
      <w:r>
        <w:rPr>
          <w:rFonts w:ascii="Calibri" w:hAnsi="Calibri"/>
          <w:color w:val="231F20"/>
          <w:sz w:val="17"/>
        </w:rPr>
        <w:t>G. Gallien, </w:t>
      </w:r>
      <w:r>
        <w:rPr>
          <w:rFonts w:ascii="Calibri" w:hAnsi="Calibri"/>
          <w:i/>
          <w:color w:val="231F20"/>
          <w:sz w:val="17"/>
        </w:rPr>
        <w:t>Homo. Histoire plurielle d’un genre très singulier</w:t>
      </w:r>
      <w:r>
        <w:rPr>
          <w:rFonts w:ascii="Calibri" w:hAnsi="Calibri"/>
          <w:color w:val="231F20"/>
          <w:sz w:val="17"/>
        </w:rPr>
        <w:t>, Paris, </w:t>
      </w:r>
      <w:r>
        <w:rPr>
          <w:rFonts w:ascii="Calibri" w:hAnsi="Calibri"/>
          <w:color w:val="231F20"/>
          <w:sz w:val="15"/>
        </w:rPr>
        <w:t>PUF</w:t>
      </w:r>
      <w:r>
        <w:rPr>
          <w:rFonts w:ascii="Calibri" w:hAnsi="Calibri"/>
          <w:color w:val="231F20"/>
          <w:sz w:val="17"/>
        </w:rPr>
        <w:t>, 2002.</w:t>
      </w:r>
    </w:p>
    <w:p>
      <w:pPr>
        <w:pStyle w:val="BodyText"/>
        <w:rPr>
          <w:rFonts w:ascii="Calibri"/>
          <w:sz w:val="20"/>
        </w:rPr>
      </w:pPr>
    </w:p>
    <w:p>
      <w:pPr>
        <w:pStyle w:val="BodyText"/>
        <w:spacing w:before="9"/>
        <w:rPr>
          <w:rFonts w:ascii="Calibri"/>
          <w:sz w:val="27"/>
        </w:rPr>
      </w:pPr>
    </w:p>
    <w:p>
      <w:pPr>
        <w:tabs>
          <w:tab w:pos="1331" w:val="left" w:leader="none"/>
        </w:tabs>
        <w:spacing w:before="68"/>
        <w:ind w:left="281" w:right="0" w:firstLine="0"/>
        <w:jc w:val="left"/>
        <w:rPr>
          <w:rFonts w:ascii="Calibri" w:hAnsi="Calibri"/>
          <w:sz w:val="16"/>
        </w:rPr>
      </w:pPr>
      <w:r>
        <w:rPr/>
        <w:pict>
          <v:group style="position:absolute;margin-left:98.787804pt;margin-top:-3.358812pt;width:20.4pt;height:43pt;mso-position-horizontal-relative:page;mso-position-vertical-relative:paragraph;z-index:-171448"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hAnsi="Arial"/>
          <w:color w:val="414042"/>
          <w:position w:val="-4"/>
          <w:sz w:val="20"/>
        </w:rPr>
        <w:t>66</w:t>
        <w:tab/>
      </w:r>
      <w:r>
        <w:rPr>
          <w:rFonts w:ascii="Calibri" w:hAnsi="Calibri"/>
          <w:color w:val="6D6E71"/>
          <w:sz w:val="16"/>
        </w:rPr>
        <w:t>María Luisa Bacarlett</w:t>
      </w:r>
      <w:r>
        <w:rPr>
          <w:rFonts w:ascii="Calibri" w:hAnsi="Calibri"/>
          <w:color w:val="6D6E71"/>
          <w:spacing w:val="33"/>
          <w:sz w:val="16"/>
        </w:rPr>
        <w:t> </w:t>
      </w:r>
      <w:r>
        <w:rPr>
          <w:rFonts w:ascii="Calibri" w:hAnsi="Calibri"/>
          <w:color w:val="6D6E71"/>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335" w:right="0" w:firstLine="0"/>
        <w:jc w:val="left"/>
        <w:rPr>
          <w:rFonts w:ascii="Arial" w:hAnsi="Arial"/>
          <w:sz w:val="20"/>
        </w:rPr>
      </w:pPr>
      <w:r>
        <w:rPr/>
        <w:pict>
          <v:group style="position:absolute;margin-left:383.821014pt;margin-top:-25.479271pt;width:8.65pt;height:41pt;mso-position-horizontal-relative:page;mso-position-vertical-relative:paragraph;z-index:-17140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NATURALIZAR</w:t>
      </w:r>
      <w:r>
        <w:rPr>
          <w:rFonts w:ascii="Lucida Sans Unicode" w:hAnsi="Lucida Sans Unicode"/>
          <w:color w:val="6D6E71"/>
          <w:spacing w:val="-19"/>
          <w:w w:val="95"/>
          <w:sz w:val="14"/>
        </w:rPr>
        <w:t> </w:t>
      </w:r>
      <w:r>
        <w:rPr>
          <w:rFonts w:ascii="Lucida Sans Unicode" w:hAnsi="Lucida Sans Unicode"/>
          <w:color w:val="6D6E71"/>
          <w:w w:val="95"/>
          <w:sz w:val="14"/>
        </w:rPr>
        <w:t>LAS</w:t>
      </w:r>
      <w:r>
        <w:rPr>
          <w:rFonts w:ascii="Lucida Sans Unicode" w:hAnsi="Lucida Sans Unicode"/>
          <w:color w:val="6D6E71"/>
          <w:spacing w:val="-19"/>
          <w:w w:val="95"/>
          <w:sz w:val="14"/>
        </w:rPr>
        <w:t> </w:t>
      </w:r>
      <w:r>
        <w:rPr>
          <w:rFonts w:ascii="Lucida Sans Unicode" w:hAnsi="Lucida Sans Unicode"/>
          <w:color w:val="6D6E71"/>
          <w:w w:val="95"/>
          <w:sz w:val="14"/>
        </w:rPr>
        <w:t>PARADOJAS:</w:t>
      </w:r>
      <w:r>
        <w:rPr>
          <w:rFonts w:ascii="Lucida Sans Unicode" w:hAnsi="Lucida Sans Unicode"/>
          <w:color w:val="6D6E71"/>
          <w:spacing w:val="-19"/>
          <w:w w:val="95"/>
          <w:sz w:val="14"/>
        </w:rPr>
        <w:t> </w:t>
      </w:r>
      <w:r>
        <w:rPr>
          <w:rFonts w:ascii="Lucida Sans Unicode" w:hAnsi="Lucida Sans Unicode"/>
          <w:color w:val="6D6E71"/>
          <w:w w:val="95"/>
          <w:sz w:val="14"/>
        </w:rPr>
        <w:t>UN</w:t>
      </w:r>
      <w:r>
        <w:rPr>
          <w:rFonts w:ascii="Lucida Sans Unicode" w:hAnsi="Lucida Sans Unicode"/>
          <w:color w:val="6D6E71"/>
          <w:spacing w:val="-19"/>
          <w:w w:val="95"/>
          <w:sz w:val="14"/>
        </w:rPr>
        <w:t> </w:t>
      </w:r>
      <w:r>
        <w:rPr>
          <w:rFonts w:ascii="Lucida Sans Unicode" w:hAnsi="Lucida Sans Unicode"/>
          <w:color w:val="6D6E71"/>
          <w:w w:val="95"/>
          <w:sz w:val="14"/>
        </w:rPr>
        <w:t>ACERCAMIENTO</w:t>
      </w:r>
      <w:r>
        <w:rPr>
          <w:rFonts w:ascii="Lucida Sans Unicode" w:hAnsi="Lucida Sans Unicode"/>
          <w:color w:val="6D6E71"/>
          <w:spacing w:val="-19"/>
          <w:w w:val="95"/>
          <w:sz w:val="14"/>
        </w:rPr>
        <w:t> </w:t>
      </w:r>
      <w:r>
        <w:rPr>
          <w:rFonts w:ascii="Lucida Sans Unicode" w:hAnsi="Lucida Sans Unicode"/>
          <w:color w:val="6D6E71"/>
          <w:w w:val="95"/>
          <w:sz w:val="14"/>
        </w:rPr>
        <w:t>A</w:t>
      </w:r>
      <w:r>
        <w:rPr>
          <w:rFonts w:ascii="Lucida Sans Unicode" w:hAnsi="Lucida Sans Unicode"/>
          <w:color w:val="6D6E71"/>
          <w:spacing w:val="-19"/>
          <w:w w:val="95"/>
          <w:sz w:val="14"/>
        </w:rPr>
        <w:t> </w:t>
      </w:r>
      <w:r>
        <w:rPr>
          <w:rFonts w:ascii="Lucida Sans Unicode" w:hAnsi="Lucida Sans Unicode"/>
          <w:color w:val="6D6E71"/>
          <w:w w:val="95"/>
          <w:sz w:val="14"/>
        </w:rPr>
        <w:t>LA</w:t>
      </w:r>
      <w:r>
        <w:rPr>
          <w:rFonts w:ascii="Lucida Sans Unicode" w:hAnsi="Lucida Sans Unicode"/>
          <w:color w:val="6D6E71"/>
          <w:spacing w:val="-19"/>
          <w:w w:val="95"/>
          <w:sz w:val="14"/>
        </w:rPr>
        <w:t> </w:t>
      </w:r>
      <w:r>
        <w:rPr>
          <w:rFonts w:ascii="Lucida Sans Unicode" w:hAnsi="Lucida Sans Unicode"/>
          <w:color w:val="6D6E71"/>
          <w:w w:val="95"/>
          <w:sz w:val="14"/>
        </w:rPr>
        <w:t>GLOBALIZACIÓN</w:t>
      </w:r>
      <w:r>
        <w:rPr>
          <w:rFonts w:ascii="Lucida Sans Unicode" w:hAnsi="Lucida Sans Unicode"/>
          <w:color w:val="6D6E71"/>
          <w:spacing w:val="-19"/>
          <w:w w:val="95"/>
          <w:sz w:val="14"/>
        </w:rPr>
        <w:t> </w:t>
      </w:r>
      <w:r>
        <w:rPr>
          <w:rFonts w:ascii="Lucida Sans Unicode" w:hAnsi="Lucida Sans Unicode"/>
          <w:color w:val="6D6E71"/>
          <w:w w:val="95"/>
          <w:sz w:val="14"/>
        </w:rPr>
        <w:t>DESDE</w:t>
      </w:r>
      <w:r>
        <w:rPr>
          <w:rFonts w:ascii="Lucida Sans Unicode" w:hAnsi="Lucida Sans Unicode"/>
          <w:color w:val="6D6E71"/>
          <w:spacing w:val="-19"/>
          <w:w w:val="95"/>
          <w:sz w:val="14"/>
        </w:rPr>
        <w:t> </w:t>
      </w:r>
      <w:r>
        <w:rPr>
          <w:rFonts w:ascii="Lucida Sans Unicode" w:hAnsi="Lucida Sans Unicode"/>
          <w:color w:val="6D6E71"/>
          <w:w w:val="95"/>
          <w:sz w:val="14"/>
        </w:rPr>
        <w:t>GILLES</w:t>
      </w:r>
      <w:r>
        <w:rPr>
          <w:rFonts w:ascii="Lucida Sans Unicode" w:hAnsi="Lucida Sans Unicode"/>
          <w:color w:val="6D6E71"/>
          <w:spacing w:val="-19"/>
          <w:w w:val="95"/>
          <w:sz w:val="14"/>
        </w:rPr>
        <w:t> </w:t>
      </w:r>
      <w:r>
        <w:rPr>
          <w:rFonts w:ascii="Lucida Sans Unicode" w:hAnsi="Lucida Sans Unicode"/>
          <w:color w:val="6D6E71"/>
          <w:w w:val="95"/>
          <w:sz w:val="14"/>
        </w:rPr>
        <w:t>DELEUZE</w:t>
      </w:r>
      <w:r>
        <w:rPr>
          <w:rFonts w:ascii="Arial" w:hAnsi="Arial"/>
          <w:color w:val="414042"/>
          <w:w w:val="95"/>
          <w:position w:val="-3"/>
          <w:sz w:val="20"/>
        </w:rPr>
        <w:tab/>
        <w:t>67</w:t>
      </w:r>
    </w:p>
    <w:p>
      <w:pPr>
        <w:spacing w:line="220" w:lineRule="exact" w:before="637"/>
        <w:ind w:left="1534" w:right="101" w:firstLine="0"/>
        <w:jc w:val="both"/>
        <w:rPr>
          <w:sz w:val="19"/>
        </w:rPr>
      </w:pPr>
      <w:r>
        <w:rPr>
          <w:color w:val="231F20"/>
          <w:w w:val="105"/>
          <w:sz w:val="19"/>
        </w:rPr>
        <w:t>noción</w:t>
      </w:r>
      <w:r>
        <w:rPr>
          <w:color w:val="231F20"/>
          <w:spacing w:val="-32"/>
          <w:w w:val="105"/>
          <w:sz w:val="19"/>
        </w:rPr>
        <w:t> </w:t>
      </w:r>
      <w:r>
        <w:rPr>
          <w:color w:val="231F20"/>
          <w:w w:val="105"/>
          <w:sz w:val="19"/>
        </w:rPr>
        <w:t>de</w:t>
      </w:r>
      <w:r>
        <w:rPr>
          <w:color w:val="231F20"/>
          <w:spacing w:val="-32"/>
          <w:w w:val="105"/>
          <w:sz w:val="19"/>
        </w:rPr>
        <w:t> </w:t>
      </w:r>
      <w:r>
        <w:rPr>
          <w:color w:val="231F20"/>
          <w:w w:val="105"/>
          <w:sz w:val="19"/>
        </w:rPr>
        <w:t>que</w:t>
      </w:r>
      <w:r>
        <w:rPr>
          <w:color w:val="231F20"/>
          <w:spacing w:val="-32"/>
          <w:w w:val="105"/>
          <w:sz w:val="19"/>
        </w:rPr>
        <w:t> </w:t>
      </w:r>
      <w:r>
        <w:rPr>
          <w:color w:val="231F20"/>
          <w:w w:val="105"/>
          <w:sz w:val="19"/>
        </w:rPr>
        <w:t>la</w:t>
      </w:r>
      <w:r>
        <w:rPr>
          <w:color w:val="231F20"/>
          <w:spacing w:val="-32"/>
          <w:w w:val="105"/>
          <w:sz w:val="19"/>
        </w:rPr>
        <w:t> </w:t>
      </w:r>
      <w:r>
        <w:rPr>
          <w:color w:val="231F20"/>
          <w:w w:val="105"/>
          <w:sz w:val="19"/>
        </w:rPr>
        <w:t>humanidad</w:t>
      </w:r>
      <w:r>
        <w:rPr>
          <w:color w:val="231F20"/>
          <w:spacing w:val="-32"/>
          <w:w w:val="105"/>
          <w:sz w:val="19"/>
        </w:rPr>
        <w:t> </w:t>
      </w:r>
      <w:r>
        <w:rPr>
          <w:color w:val="231F20"/>
          <w:w w:val="105"/>
          <w:sz w:val="19"/>
        </w:rPr>
        <w:t>se</w:t>
      </w:r>
      <w:r>
        <w:rPr>
          <w:color w:val="231F20"/>
          <w:spacing w:val="-32"/>
          <w:w w:val="105"/>
          <w:sz w:val="19"/>
        </w:rPr>
        <w:t> </w:t>
      </w:r>
      <w:r>
        <w:rPr>
          <w:color w:val="231F20"/>
          <w:w w:val="105"/>
          <w:sz w:val="19"/>
        </w:rPr>
        <w:t>sitúa</w:t>
      </w:r>
      <w:r>
        <w:rPr>
          <w:color w:val="231F20"/>
          <w:spacing w:val="-32"/>
          <w:w w:val="105"/>
          <w:sz w:val="19"/>
        </w:rPr>
        <w:t> </w:t>
      </w:r>
      <w:r>
        <w:rPr>
          <w:color w:val="231F20"/>
          <w:w w:val="105"/>
          <w:sz w:val="19"/>
        </w:rPr>
        <w:t>en</w:t>
      </w:r>
      <w:r>
        <w:rPr>
          <w:color w:val="231F20"/>
          <w:spacing w:val="-32"/>
          <w:w w:val="105"/>
          <w:sz w:val="19"/>
        </w:rPr>
        <w:t> </w:t>
      </w:r>
      <w:r>
        <w:rPr>
          <w:color w:val="231F20"/>
          <w:w w:val="105"/>
          <w:sz w:val="19"/>
        </w:rPr>
        <w:t>el</w:t>
      </w:r>
      <w:r>
        <w:rPr>
          <w:color w:val="231F20"/>
          <w:spacing w:val="-32"/>
          <w:w w:val="105"/>
          <w:sz w:val="19"/>
        </w:rPr>
        <w:t> </w:t>
      </w:r>
      <w:r>
        <w:rPr>
          <w:color w:val="231F20"/>
          <w:w w:val="105"/>
          <w:sz w:val="19"/>
        </w:rPr>
        <w:t>umbral</w:t>
      </w:r>
      <w:r>
        <w:rPr>
          <w:color w:val="231F20"/>
          <w:spacing w:val="-32"/>
          <w:w w:val="105"/>
          <w:sz w:val="19"/>
        </w:rPr>
        <w:t> </w:t>
      </w:r>
      <w:r>
        <w:rPr>
          <w:color w:val="231F20"/>
          <w:w w:val="105"/>
          <w:sz w:val="19"/>
        </w:rPr>
        <w:t>de</w:t>
      </w:r>
      <w:r>
        <w:rPr>
          <w:color w:val="231F20"/>
          <w:spacing w:val="-32"/>
          <w:w w:val="105"/>
          <w:sz w:val="19"/>
        </w:rPr>
        <w:t> </w:t>
      </w:r>
      <w:r>
        <w:rPr>
          <w:color w:val="231F20"/>
          <w:w w:val="105"/>
          <w:sz w:val="19"/>
        </w:rPr>
        <w:t>la</w:t>
      </w:r>
      <w:r>
        <w:rPr>
          <w:color w:val="231F20"/>
          <w:spacing w:val="-32"/>
          <w:w w:val="105"/>
          <w:sz w:val="19"/>
        </w:rPr>
        <w:t> </w:t>
      </w:r>
      <w:r>
        <w:rPr>
          <w:color w:val="231F20"/>
          <w:w w:val="105"/>
          <w:sz w:val="19"/>
        </w:rPr>
        <w:t>realización de</w:t>
      </w:r>
      <w:r>
        <w:rPr>
          <w:color w:val="231F20"/>
          <w:spacing w:val="-37"/>
          <w:w w:val="105"/>
          <w:sz w:val="19"/>
        </w:rPr>
        <w:t> </w:t>
      </w:r>
      <w:r>
        <w:rPr>
          <w:color w:val="231F20"/>
          <w:w w:val="105"/>
          <w:sz w:val="19"/>
        </w:rPr>
        <w:t>una</w:t>
      </w:r>
      <w:r>
        <w:rPr>
          <w:color w:val="231F20"/>
          <w:spacing w:val="-37"/>
          <w:w w:val="105"/>
          <w:sz w:val="19"/>
        </w:rPr>
        <w:t> </w:t>
      </w:r>
      <w:r>
        <w:rPr>
          <w:color w:val="231F20"/>
          <w:w w:val="105"/>
          <w:sz w:val="19"/>
        </w:rPr>
        <w:t>sola</w:t>
      </w:r>
      <w:r>
        <w:rPr>
          <w:color w:val="231F20"/>
          <w:spacing w:val="-37"/>
          <w:w w:val="105"/>
          <w:sz w:val="19"/>
        </w:rPr>
        <w:t> </w:t>
      </w:r>
      <w:r>
        <w:rPr>
          <w:color w:val="231F20"/>
          <w:w w:val="105"/>
          <w:sz w:val="19"/>
        </w:rPr>
        <w:t>comunidad</w:t>
      </w:r>
      <w:r>
        <w:rPr>
          <w:color w:val="231F20"/>
          <w:spacing w:val="-37"/>
          <w:w w:val="105"/>
          <w:sz w:val="19"/>
        </w:rPr>
        <w:t> </w:t>
      </w:r>
      <w:r>
        <w:rPr>
          <w:color w:val="231F20"/>
          <w:w w:val="105"/>
          <w:sz w:val="19"/>
        </w:rPr>
        <w:t>unificada</w:t>
      </w:r>
      <w:r>
        <w:rPr>
          <w:color w:val="231F20"/>
          <w:spacing w:val="-37"/>
          <w:w w:val="105"/>
          <w:sz w:val="19"/>
        </w:rPr>
        <w:t> </w:t>
      </w:r>
      <w:r>
        <w:rPr>
          <w:color w:val="231F20"/>
          <w:w w:val="105"/>
          <w:sz w:val="19"/>
        </w:rPr>
        <w:t>en</w:t>
      </w:r>
      <w:r>
        <w:rPr>
          <w:color w:val="231F20"/>
          <w:spacing w:val="-37"/>
          <w:w w:val="105"/>
          <w:sz w:val="19"/>
        </w:rPr>
        <w:t> </w:t>
      </w:r>
      <w:r>
        <w:rPr>
          <w:color w:val="231F20"/>
          <w:w w:val="105"/>
          <w:sz w:val="19"/>
        </w:rPr>
        <w:t>la</w:t>
      </w:r>
      <w:r>
        <w:rPr>
          <w:color w:val="231F20"/>
          <w:spacing w:val="-37"/>
          <w:w w:val="105"/>
          <w:sz w:val="19"/>
        </w:rPr>
        <w:t> </w:t>
      </w:r>
      <w:r>
        <w:rPr>
          <w:color w:val="231F20"/>
          <w:w w:val="105"/>
          <w:sz w:val="19"/>
        </w:rPr>
        <w:t>cual</w:t>
      </w:r>
      <w:r>
        <w:rPr>
          <w:color w:val="231F20"/>
          <w:spacing w:val="-37"/>
          <w:w w:val="105"/>
          <w:sz w:val="19"/>
        </w:rPr>
        <w:t> </w:t>
      </w:r>
      <w:r>
        <w:rPr>
          <w:color w:val="231F20"/>
          <w:w w:val="105"/>
          <w:sz w:val="19"/>
        </w:rPr>
        <w:t>las</w:t>
      </w:r>
      <w:r>
        <w:rPr>
          <w:color w:val="231F20"/>
          <w:spacing w:val="-37"/>
          <w:w w:val="105"/>
          <w:sz w:val="19"/>
        </w:rPr>
        <w:t> </w:t>
      </w:r>
      <w:r>
        <w:rPr>
          <w:color w:val="231F20"/>
          <w:w w:val="105"/>
          <w:sz w:val="19"/>
        </w:rPr>
        <w:t>mayores</w:t>
      </w:r>
      <w:r>
        <w:rPr>
          <w:color w:val="231F20"/>
          <w:spacing w:val="-37"/>
          <w:w w:val="105"/>
          <w:sz w:val="19"/>
        </w:rPr>
        <w:t> </w:t>
      </w:r>
      <w:r>
        <w:rPr>
          <w:color w:val="231F20"/>
          <w:w w:val="105"/>
          <w:sz w:val="19"/>
        </w:rPr>
        <w:t>fuentes</w:t>
      </w:r>
      <w:r>
        <w:rPr>
          <w:color w:val="231F20"/>
          <w:spacing w:val="-37"/>
          <w:w w:val="105"/>
          <w:sz w:val="19"/>
        </w:rPr>
        <w:t> </w:t>
      </w:r>
      <w:r>
        <w:rPr>
          <w:color w:val="231F20"/>
          <w:w w:val="105"/>
          <w:sz w:val="19"/>
        </w:rPr>
        <w:t>de conflicto</w:t>
      </w:r>
      <w:r>
        <w:rPr>
          <w:color w:val="231F20"/>
          <w:spacing w:val="-36"/>
          <w:w w:val="105"/>
          <w:sz w:val="19"/>
        </w:rPr>
        <w:t> </w:t>
      </w:r>
      <w:r>
        <w:rPr>
          <w:color w:val="231F20"/>
          <w:w w:val="105"/>
          <w:sz w:val="19"/>
        </w:rPr>
        <w:t>social</w:t>
      </w:r>
      <w:r>
        <w:rPr>
          <w:color w:val="231F20"/>
          <w:spacing w:val="-36"/>
          <w:w w:val="105"/>
          <w:sz w:val="19"/>
        </w:rPr>
        <w:t> </w:t>
      </w:r>
      <w:r>
        <w:rPr>
          <w:color w:val="231F20"/>
          <w:w w:val="105"/>
          <w:sz w:val="19"/>
        </w:rPr>
        <w:t>serán</w:t>
      </w:r>
      <w:r>
        <w:rPr>
          <w:color w:val="231F20"/>
          <w:spacing w:val="-36"/>
          <w:w w:val="105"/>
          <w:sz w:val="19"/>
        </w:rPr>
        <w:t> </w:t>
      </w:r>
      <w:r>
        <w:rPr>
          <w:color w:val="231F20"/>
          <w:w w:val="105"/>
          <w:sz w:val="19"/>
        </w:rPr>
        <w:t>borradas</w:t>
      </w:r>
      <w:r>
        <w:rPr>
          <w:color w:val="231F20"/>
          <w:spacing w:val="-36"/>
          <w:w w:val="105"/>
          <w:sz w:val="19"/>
        </w:rPr>
        <w:t> </w:t>
      </w:r>
      <w:r>
        <w:rPr>
          <w:color w:val="231F20"/>
          <w:w w:val="105"/>
          <w:sz w:val="19"/>
        </w:rPr>
        <w:t>(“integración</w:t>
      </w:r>
      <w:r>
        <w:rPr>
          <w:color w:val="231F20"/>
          <w:spacing w:val="-36"/>
          <w:w w:val="105"/>
          <w:sz w:val="19"/>
        </w:rPr>
        <w:t> </w:t>
      </w:r>
      <w:r>
        <w:rPr>
          <w:color w:val="231F20"/>
          <w:w w:val="105"/>
          <w:sz w:val="19"/>
        </w:rPr>
        <w:t>global”)</w:t>
      </w:r>
      <w:r>
        <w:rPr>
          <w:color w:val="231F20"/>
          <w:w w:val="105"/>
          <w:position w:val="6"/>
          <w:sz w:val="11"/>
        </w:rPr>
        <w:t>4</w:t>
      </w:r>
      <w:r>
        <w:rPr>
          <w:color w:val="231F20"/>
          <w:w w:val="105"/>
          <w:sz w:val="19"/>
        </w:rPr>
        <w:t>.</w:t>
      </w:r>
    </w:p>
    <w:p>
      <w:pPr>
        <w:pStyle w:val="BodyText"/>
        <w:spacing w:line="247" w:lineRule="auto" w:before="289"/>
        <w:ind w:left="117" w:right="101"/>
        <w:jc w:val="both"/>
      </w:pPr>
      <w:r>
        <w:rPr>
          <w:color w:val="231F20"/>
          <w:w w:val="105"/>
        </w:rPr>
        <w:t>Cuando</w:t>
      </w:r>
      <w:r>
        <w:rPr>
          <w:color w:val="231F20"/>
          <w:spacing w:val="-11"/>
          <w:w w:val="105"/>
        </w:rPr>
        <w:t> </w:t>
      </w:r>
      <w:r>
        <w:rPr>
          <w:color w:val="231F20"/>
          <w:w w:val="105"/>
        </w:rPr>
        <w:t>el</w:t>
      </w:r>
      <w:r>
        <w:rPr>
          <w:color w:val="231F20"/>
          <w:spacing w:val="-11"/>
          <w:w w:val="105"/>
        </w:rPr>
        <w:t> </w:t>
      </w:r>
      <w:r>
        <w:rPr>
          <w:color w:val="231F20"/>
          <w:w w:val="105"/>
        </w:rPr>
        <w:t>término</w:t>
      </w:r>
      <w:r>
        <w:rPr>
          <w:color w:val="231F20"/>
          <w:spacing w:val="-11"/>
          <w:w w:val="105"/>
        </w:rPr>
        <w:t> </w:t>
      </w:r>
      <w:r>
        <w:rPr>
          <w:color w:val="231F20"/>
          <w:w w:val="105"/>
        </w:rPr>
        <w:t>comenzó</w:t>
      </w:r>
      <w:r>
        <w:rPr>
          <w:color w:val="231F20"/>
          <w:spacing w:val="-11"/>
          <w:w w:val="105"/>
        </w:rPr>
        <w:t> </w:t>
      </w:r>
      <w:r>
        <w:rPr>
          <w:color w:val="231F20"/>
          <w:w w:val="105"/>
        </w:rPr>
        <w:t>a</w:t>
      </w:r>
      <w:r>
        <w:rPr>
          <w:color w:val="231F20"/>
          <w:spacing w:val="-11"/>
          <w:w w:val="105"/>
        </w:rPr>
        <w:t> </w:t>
      </w:r>
      <w:r>
        <w:rPr>
          <w:color w:val="231F20"/>
          <w:w w:val="105"/>
        </w:rPr>
        <w:t>usarse</w:t>
      </w:r>
      <w:r>
        <w:rPr>
          <w:color w:val="231F20"/>
          <w:w w:val="105"/>
          <w:position w:val="7"/>
          <w:sz w:val="12"/>
        </w:rPr>
        <w:t>5</w:t>
      </w:r>
      <w:r>
        <w:rPr>
          <w:color w:val="231F20"/>
          <w:w w:val="105"/>
        </w:rPr>
        <w:t>,</w:t>
      </w:r>
      <w:r>
        <w:rPr>
          <w:color w:val="231F20"/>
          <w:spacing w:val="-11"/>
          <w:w w:val="105"/>
        </w:rPr>
        <w:t> </w:t>
      </w:r>
      <w:r>
        <w:rPr>
          <w:color w:val="231F20"/>
          <w:w w:val="105"/>
        </w:rPr>
        <w:t>la</w:t>
      </w:r>
      <w:r>
        <w:rPr>
          <w:color w:val="231F20"/>
          <w:spacing w:val="-11"/>
          <w:w w:val="105"/>
        </w:rPr>
        <w:t> </w:t>
      </w:r>
      <w:r>
        <w:rPr>
          <w:color w:val="231F20"/>
          <w:w w:val="105"/>
        </w:rPr>
        <w:t>manera</w:t>
      </w:r>
      <w:r>
        <w:rPr>
          <w:color w:val="231F20"/>
          <w:spacing w:val="-11"/>
          <w:w w:val="105"/>
        </w:rPr>
        <w:t> </w:t>
      </w:r>
      <w:r>
        <w:rPr>
          <w:color w:val="231F20"/>
          <w:w w:val="105"/>
        </w:rPr>
        <w:t>como</w:t>
      </w:r>
      <w:r>
        <w:rPr>
          <w:color w:val="231F20"/>
          <w:spacing w:val="-11"/>
          <w:w w:val="105"/>
        </w:rPr>
        <w:t> </w:t>
      </w:r>
      <w:r>
        <w:rPr>
          <w:color w:val="231F20"/>
          <w:w w:val="105"/>
        </w:rPr>
        <w:t>fue</w:t>
      </w:r>
      <w:r>
        <w:rPr>
          <w:color w:val="231F20"/>
          <w:spacing w:val="-11"/>
          <w:w w:val="105"/>
        </w:rPr>
        <w:t> </w:t>
      </w:r>
      <w:r>
        <w:rPr>
          <w:color w:val="231F20"/>
          <w:w w:val="105"/>
        </w:rPr>
        <w:t>concebida</w:t>
      </w:r>
      <w:r>
        <w:rPr>
          <w:color w:val="231F20"/>
          <w:spacing w:val="-11"/>
          <w:w w:val="105"/>
        </w:rPr>
        <w:t> </w:t>
      </w:r>
      <w:r>
        <w:rPr>
          <w:color w:val="231F20"/>
          <w:w w:val="105"/>
        </w:rPr>
        <w:t>la globalización privilegiaba su carácter unificador, integrador y homoge- </w:t>
      </w:r>
      <w:r>
        <w:rPr>
          <w:color w:val="231F20"/>
          <w:spacing w:val="-3"/>
          <w:w w:val="105"/>
        </w:rPr>
        <w:t>neizador,</w:t>
      </w:r>
      <w:r>
        <w:rPr>
          <w:color w:val="231F20"/>
          <w:spacing w:val="-9"/>
          <w:w w:val="105"/>
        </w:rPr>
        <w:t> </w:t>
      </w:r>
      <w:r>
        <w:rPr>
          <w:color w:val="231F20"/>
          <w:w w:val="105"/>
        </w:rPr>
        <w:t>características</w:t>
      </w:r>
      <w:r>
        <w:rPr>
          <w:color w:val="231F20"/>
          <w:spacing w:val="-9"/>
          <w:w w:val="105"/>
        </w:rPr>
        <w:t> </w:t>
      </w:r>
      <w:r>
        <w:rPr>
          <w:color w:val="231F20"/>
          <w:w w:val="105"/>
        </w:rPr>
        <w:t>que</w:t>
      </w:r>
      <w:r>
        <w:rPr>
          <w:color w:val="231F20"/>
          <w:spacing w:val="-9"/>
          <w:w w:val="105"/>
        </w:rPr>
        <w:t> </w:t>
      </w:r>
      <w:r>
        <w:rPr>
          <w:color w:val="231F20"/>
          <w:w w:val="105"/>
        </w:rPr>
        <w:t>desplegaban</w:t>
      </w:r>
      <w:r>
        <w:rPr>
          <w:color w:val="231F20"/>
          <w:spacing w:val="-9"/>
          <w:w w:val="105"/>
        </w:rPr>
        <w:t> </w:t>
      </w:r>
      <w:r>
        <w:rPr>
          <w:color w:val="231F20"/>
          <w:w w:val="105"/>
        </w:rPr>
        <w:t>consecuencias</w:t>
      </w:r>
      <w:r>
        <w:rPr>
          <w:color w:val="231F20"/>
          <w:spacing w:val="-9"/>
          <w:w w:val="105"/>
        </w:rPr>
        <w:t> </w:t>
      </w:r>
      <w:r>
        <w:rPr>
          <w:color w:val="231F20"/>
          <w:w w:val="105"/>
        </w:rPr>
        <w:t>tanto</w:t>
      </w:r>
      <w:r>
        <w:rPr>
          <w:color w:val="231F20"/>
          <w:spacing w:val="-9"/>
          <w:w w:val="105"/>
        </w:rPr>
        <w:t> </w:t>
      </w:r>
      <w:r>
        <w:rPr>
          <w:color w:val="231F20"/>
          <w:w w:val="105"/>
        </w:rPr>
        <w:t>positivas como</w:t>
      </w:r>
      <w:r>
        <w:rPr>
          <w:color w:val="231F20"/>
          <w:spacing w:val="-29"/>
          <w:w w:val="105"/>
        </w:rPr>
        <w:t> </w:t>
      </w:r>
      <w:r>
        <w:rPr>
          <w:color w:val="231F20"/>
          <w:w w:val="105"/>
        </w:rPr>
        <w:t>negativas.</w:t>
      </w:r>
      <w:r>
        <w:rPr>
          <w:color w:val="231F20"/>
          <w:spacing w:val="-29"/>
          <w:w w:val="105"/>
        </w:rPr>
        <w:t> </w:t>
      </w:r>
      <w:r>
        <w:rPr>
          <w:color w:val="231F20"/>
          <w:w w:val="105"/>
        </w:rPr>
        <w:t>Es</w:t>
      </w:r>
      <w:r>
        <w:rPr>
          <w:color w:val="231F20"/>
          <w:spacing w:val="-29"/>
          <w:w w:val="105"/>
        </w:rPr>
        <w:t> </w:t>
      </w:r>
      <w:r>
        <w:rPr>
          <w:color w:val="231F20"/>
          <w:w w:val="105"/>
        </w:rPr>
        <w:t>cierto</w:t>
      </w:r>
      <w:r>
        <w:rPr>
          <w:color w:val="231F20"/>
          <w:spacing w:val="-29"/>
          <w:w w:val="105"/>
        </w:rPr>
        <w:t> </w:t>
      </w:r>
      <w:r>
        <w:rPr>
          <w:color w:val="231F20"/>
          <w:w w:val="105"/>
        </w:rPr>
        <w:t>que</w:t>
      </w:r>
      <w:r>
        <w:rPr>
          <w:color w:val="231F20"/>
          <w:spacing w:val="-29"/>
          <w:w w:val="105"/>
        </w:rPr>
        <w:t> </w:t>
      </w:r>
      <w:r>
        <w:rPr>
          <w:color w:val="231F20"/>
          <w:w w:val="105"/>
        </w:rPr>
        <w:t>las</w:t>
      </w:r>
      <w:r>
        <w:rPr>
          <w:color w:val="231F20"/>
          <w:spacing w:val="-29"/>
          <w:w w:val="105"/>
        </w:rPr>
        <w:t> </w:t>
      </w:r>
      <w:r>
        <w:rPr>
          <w:color w:val="231F20"/>
          <w:w w:val="105"/>
        </w:rPr>
        <w:t>posturas</w:t>
      </w:r>
      <w:r>
        <w:rPr>
          <w:color w:val="231F20"/>
          <w:spacing w:val="-29"/>
          <w:w w:val="105"/>
        </w:rPr>
        <w:t> </w:t>
      </w:r>
      <w:r>
        <w:rPr>
          <w:color w:val="231F20"/>
          <w:w w:val="105"/>
        </w:rPr>
        <w:t>críticas</w:t>
      </w:r>
      <w:r>
        <w:rPr>
          <w:color w:val="231F20"/>
          <w:spacing w:val="-29"/>
          <w:w w:val="105"/>
        </w:rPr>
        <w:t> </w:t>
      </w:r>
      <w:r>
        <w:rPr>
          <w:color w:val="231F20"/>
          <w:w w:val="105"/>
        </w:rPr>
        <w:t>destacaron</w:t>
      </w:r>
      <w:r>
        <w:rPr>
          <w:color w:val="231F20"/>
          <w:spacing w:val="-29"/>
          <w:w w:val="105"/>
        </w:rPr>
        <w:t> </w:t>
      </w:r>
      <w:r>
        <w:rPr>
          <w:color w:val="231F20"/>
          <w:w w:val="105"/>
        </w:rPr>
        <w:t>como</w:t>
      </w:r>
      <w:r>
        <w:rPr>
          <w:color w:val="231F20"/>
          <w:spacing w:val="-29"/>
          <w:w w:val="105"/>
        </w:rPr>
        <w:t> </w:t>
      </w:r>
      <w:r>
        <w:rPr>
          <w:color w:val="231F20"/>
          <w:w w:val="105"/>
        </w:rPr>
        <w:t>signo negativo</w:t>
      </w:r>
      <w:r>
        <w:rPr>
          <w:color w:val="231F20"/>
          <w:spacing w:val="-15"/>
          <w:w w:val="105"/>
        </w:rPr>
        <w:t> </w:t>
      </w:r>
      <w:r>
        <w:rPr>
          <w:color w:val="231F20"/>
          <w:w w:val="105"/>
        </w:rPr>
        <w:t>la</w:t>
      </w:r>
      <w:r>
        <w:rPr>
          <w:color w:val="231F20"/>
          <w:spacing w:val="-15"/>
          <w:w w:val="105"/>
        </w:rPr>
        <w:t> </w:t>
      </w:r>
      <w:r>
        <w:rPr>
          <w:color w:val="231F20"/>
          <w:w w:val="105"/>
        </w:rPr>
        <w:t>igualación</w:t>
      </w:r>
      <w:r>
        <w:rPr>
          <w:color w:val="231F20"/>
          <w:spacing w:val="-15"/>
          <w:w w:val="105"/>
        </w:rPr>
        <w:t> </w:t>
      </w:r>
      <w:r>
        <w:rPr>
          <w:color w:val="231F20"/>
          <w:w w:val="105"/>
        </w:rPr>
        <w:t>del</w:t>
      </w:r>
      <w:r>
        <w:rPr>
          <w:color w:val="231F20"/>
          <w:spacing w:val="-15"/>
          <w:w w:val="105"/>
        </w:rPr>
        <w:t> </w:t>
      </w:r>
      <w:r>
        <w:rPr>
          <w:color w:val="231F20"/>
          <w:w w:val="105"/>
        </w:rPr>
        <w:t>mundo,</w:t>
      </w:r>
      <w:r>
        <w:rPr>
          <w:color w:val="231F20"/>
          <w:spacing w:val="-15"/>
          <w:w w:val="105"/>
        </w:rPr>
        <w:t> </w:t>
      </w:r>
      <w:r>
        <w:rPr>
          <w:color w:val="231F20"/>
          <w:w w:val="105"/>
        </w:rPr>
        <w:t>pero</w:t>
      </w:r>
      <w:r>
        <w:rPr>
          <w:color w:val="231F20"/>
          <w:spacing w:val="-15"/>
          <w:w w:val="105"/>
        </w:rPr>
        <w:t> </w:t>
      </w:r>
      <w:r>
        <w:rPr>
          <w:color w:val="231F20"/>
          <w:w w:val="105"/>
        </w:rPr>
        <w:t>esta</w:t>
      </w:r>
      <w:r>
        <w:rPr>
          <w:color w:val="231F20"/>
          <w:spacing w:val="-15"/>
          <w:w w:val="105"/>
        </w:rPr>
        <w:t> </w:t>
      </w:r>
      <w:r>
        <w:rPr>
          <w:color w:val="231F20"/>
          <w:w w:val="105"/>
        </w:rPr>
        <w:t>crítica</w:t>
      </w:r>
      <w:r>
        <w:rPr>
          <w:color w:val="231F20"/>
          <w:spacing w:val="-15"/>
          <w:w w:val="105"/>
        </w:rPr>
        <w:t> </w:t>
      </w:r>
      <w:r>
        <w:rPr>
          <w:color w:val="231F20"/>
          <w:w w:val="105"/>
        </w:rPr>
        <w:t>siguió</w:t>
      </w:r>
      <w:r>
        <w:rPr>
          <w:color w:val="231F20"/>
          <w:spacing w:val="-15"/>
          <w:w w:val="105"/>
        </w:rPr>
        <w:t> </w:t>
      </w:r>
      <w:r>
        <w:rPr>
          <w:color w:val="231F20"/>
          <w:w w:val="105"/>
        </w:rPr>
        <w:t>anclada</w:t>
      </w:r>
      <w:r>
        <w:rPr>
          <w:color w:val="231F20"/>
          <w:spacing w:val="-15"/>
          <w:w w:val="105"/>
        </w:rPr>
        <w:t> </w:t>
      </w:r>
      <w:r>
        <w:rPr>
          <w:color w:val="231F20"/>
          <w:w w:val="105"/>
        </w:rPr>
        <w:t>en</w:t>
      </w:r>
      <w:r>
        <w:rPr>
          <w:color w:val="231F20"/>
          <w:spacing w:val="-15"/>
          <w:w w:val="105"/>
        </w:rPr>
        <w:t> </w:t>
      </w:r>
      <w:r>
        <w:rPr>
          <w:color w:val="231F20"/>
          <w:w w:val="105"/>
        </w:rPr>
        <w:t>una lógica</w:t>
      </w:r>
      <w:r>
        <w:rPr>
          <w:color w:val="231F20"/>
          <w:spacing w:val="-25"/>
          <w:w w:val="105"/>
        </w:rPr>
        <w:t> </w:t>
      </w:r>
      <w:r>
        <w:rPr>
          <w:color w:val="231F20"/>
          <w:w w:val="105"/>
        </w:rPr>
        <w:t>dicotómica</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cual</w:t>
      </w:r>
      <w:r>
        <w:rPr>
          <w:color w:val="231F20"/>
          <w:spacing w:val="-25"/>
          <w:w w:val="105"/>
        </w:rPr>
        <w:t> </w:t>
      </w:r>
      <w:r>
        <w:rPr>
          <w:color w:val="231F20"/>
          <w:w w:val="105"/>
        </w:rPr>
        <w:t>la</w:t>
      </w:r>
      <w:r>
        <w:rPr>
          <w:color w:val="231F20"/>
          <w:spacing w:val="-25"/>
          <w:w w:val="105"/>
        </w:rPr>
        <w:t> </w:t>
      </w:r>
      <w:r>
        <w:rPr>
          <w:color w:val="231F20"/>
          <w:w w:val="105"/>
        </w:rPr>
        <w:t>expansión</w:t>
      </w:r>
      <w:r>
        <w:rPr>
          <w:color w:val="231F20"/>
          <w:spacing w:val="-25"/>
          <w:w w:val="105"/>
        </w:rPr>
        <w:t> </w:t>
      </w:r>
      <w:r>
        <w:rPr>
          <w:color w:val="231F20"/>
          <w:w w:val="105"/>
        </w:rPr>
        <w:t>se</w:t>
      </w:r>
      <w:r>
        <w:rPr>
          <w:color w:val="231F20"/>
          <w:spacing w:val="-25"/>
          <w:w w:val="105"/>
        </w:rPr>
        <w:t> </w:t>
      </w:r>
      <w:r>
        <w:rPr>
          <w:color w:val="231F20"/>
          <w:w w:val="105"/>
        </w:rPr>
        <w:t>contraponía</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w w:val="105"/>
        </w:rPr>
        <w:t>retracción,</w:t>
      </w:r>
      <w:r>
        <w:rPr>
          <w:color w:val="231F20"/>
          <w:spacing w:val="-25"/>
          <w:w w:val="105"/>
        </w:rPr>
        <w:t> </w:t>
      </w:r>
      <w:r>
        <w:rPr>
          <w:color w:val="231F20"/>
          <w:w w:val="105"/>
        </w:rPr>
        <w:t>lo homogéneo</w:t>
      </w:r>
      <w:r>
        <w:rPr>
          <w:color w:val="231F20"/>
          <w:spacing w:val="-14"/>
          <w:w w:val="105"/>
        </w:rPr>
        <w:t> </w:t>
      </w:r>
      <w:r>
        <w:rPr>
          <w:color w:val="231F20"/>
          <w:w w:val="105"/>
        </w:rPr>
        <w:t>a</w:t>
      </w:r>
      <w:r>
        <w:rPr>
          <w:color w:val="231F20"/>
          <w:spacing w:val="-14"/>
          <w:w w:val="105"/>
        </w:rPr>
        <w:t> </w:t>
      </w:r>
      <w:r>
        <w:rPr>
          <w:color w:val="231F20"/>
          <w:w w:val="105"/>
        </w:rPr>
        <w:t>lo</w:t>
      </w:r>
      <w:r>
        <w:rPr>
          <w:color w:val="231F20"/>
          <w:spacing w:val="-14"/>
          <w:w w:val="105"/>
        </w:rPr>
        <w:t> </w:t>
      </w:r>
      <w:r>
        <w:rPr>
          <w:color w:val="231F20"/>
          <w:w w:val="105"/>
        </w:rPr>
        <w:t>heterogéneo,</w:t>
      </w:r>
      <w:r>
        <w:rPr>
          <w:color w:val="231F20"/>
          <w:spacing w:val="-14"/>
          <w:w w:val="105"/>
        </w:rPr>
        <w:t> </w:t>
      </w:r>
      <w:r>
        <w:rPr>
          <w:color w:val="231F20"/>
          <w:w w:val="105"/>
        </w:rPr>
        <w:t>el</w:t>
      </w:r>
      <w:r>
        <w:rPr>
          <w:color w:val="231F20"/>
          <w:spacing w:val="-14"/>
          <w:w w:val="105"/>
        </w:rPr>
        <w:t> </w:t>
      </w:r>
      <w:r>
        <w:rPr>
          <w:color w:val="231F20"/>
          <w:w w:val="105"/>
        </w:rPr>
        <w:t>centro</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periferia,</w:t>
      </w:r>
      <w:r>
        <w:rPr>
          <w:color w:val="231F20"/>
          <w:spacing w:val="-14"/>
          <w:w w:val="105"/>
        </w:rPr>
        <w:t> </w:t>
      </w:r>
      <w:r>
        <w:rPr>
          <w:color w:val="231F20"/>
          <w:w w:val="105"/>
        </w:rPr>
        <w:t>lo</w:t>
      </w:r>
      <w:r>
        <w:rPr>
          <w:color w:val="231F20"/>
          <w:spacing w:val="-14"/>
          <w:w w:val="105"/>
        </w:rPr>
        <w:t> </w:t>
      </w:r>
      <w:r>
        <w:rPr>
          <w:color w:val="231F20"/>
          <w:w w:val="105"/>
        </w:rPr>
        <w:t>global</w:t>
      </w:r>
      <w:r>
        <w:rPr>
          <w:color w:val="231F20"/>
          <w:spacing w:val="-14"/>
          <w:w w:val="105"/>
        </w:rPr>
        <w:t> </w:t>
      </w:r>
      <w:r>
        <w:rPr>
          <w:color w:val="231F20"/>
          <w:w w:val="105"/>
        </w:rPr>
        <w:t>a</w:t>
      </w:r>
      <w:r>
        <w:rPr>
          <w:color w:val="231F20"/>
          <w:spacing w:val="-14"/>
          <w:w w:val="105"/>
        </w:rPr>
        <w:t> </w:t>
      </w:r>
      <w:r>
        <w:rPr>
          <w:color w:val="231F20"/>
          <w:w w:val="105"/>
        </w:rPr>
        <w:t>lo</w:t>
      </w:r>
      <w:r>
        <w:rPr>
          <w:color w:val="231F20"/>
          <w:spacing w:val="-14"/>
          <w:w w:val="105"/>
        </w:rPr>
        <w:t> </w:t>
      </w:r>
      <w:r>
        <w:rPr>
          <w:color w:val="231F20"/>
          <w:w w:val="105"/>
        </w:rPr>
        <w:t>local, etc.</w:t>
      </w:r>
      <w:r>
        <w:rPr>
          <w:color w:val="231F20"/>
          <w:spacing w:val="-12"/>
          <w:w w:val="105"/>
        </w:rPr>
        <w:t> </w:t>
      </w:r>
      <w:r>
        <w:rPr>
          <w:color w:val="231F20"/>
          <w:w w:val="105"/>
        </w:rPr>
        <w:t>Frente</w:t>
      </w:r>
      <w:r>
        <w:rPr>
          <w:color w:val="231F20"/>
          <w:spacing w:val="-12"/>
          <w:w w:val="105"/>
        </w:rPr>
        <w:t> </w:t>
      </w:r>
      <w:r>
        <w:rPr>
          <w:color w:val="231F20"/>
          <w:w w:val="105"/>
        </w:rPr>
        <w:t>a</w:t>
      </w:r>
      <w:r>
        <w:rPr>
          <w:color w:val="231F20"/>
          <w:spacing w:val="-12"/>
          <w:w w:val="105"/>
        </w:rPr>
        <w:t> </w:t>
      </w:r>
      <w:r>
        <w:rPr>
          <w:color w:val="231F20"/>
          <w:w w:val="105"/>
        </w:rPr>
        <w:t>esta</w:t>
      </w:r>
      <w:r>
        <w:rPr>
          <w:color w:val="231F20"/>
          <w:spacing w:val="-12"/>
          <w:w w:val="105"/>
        </w:rPr>
        <w:t> </w:t>
      </w:r>
      <w:r>
        <w:rPr>
          <w:color w:val="231F20"/>
          <w:w w:val="105"/>
        </w:rPr>
        <w:t>perspectiva,</w:t>
      </w:r>
      <w:r>
        <w:rPr>
          <w:color w:val="231F20"/>
          <w:spacing w:val="-12"/>
          <w:w w:val="105"/>
        </w:rPr>
        <w:t> </w:t>
      </w:r>
      <w:r>
        <w:rPr>
          <w:color w:val="231F20"/>
          <w:w w:val="105"/>
        </w:rPr>
        <w:t>algunos</w:t>
      </w:r>
      <w:r>
        <w:rPr>
          <w:color w:val="231F20"/>
          <w:spacing w:val="-12"/>
          <w:w w:val="105"/>
        </w:rPr>
        <w:t> </w:t>
      </w:r>
      <w:r>
        <w:rPr>
          <w:color w:val="231F20"/>
          <w:w w:val="105"/>
        </w:rPr>
        <w:t>analistas</w:t>
      </w:r>
      <w:r>
        <w:rPr>
          <w:color w:val="231F20"/>
          <w:spacing w:val="-12"/>
          <w:w w:val="105"/>
        </w:rPr>
        <w:t> </w:t>
      </w:r>
      <w:r>
        <w:rPr>
          <w:color w:val="231F20"/>
          <w:w w:val="105"/>
        </w:rPr>
        <w:t>repararon</w:t>
      </w:r>
      <w:r>
        <w:rPr>
          <w:color w:val="231F20"/>
          <w:spacing w:val="-12"/>
          <w:w w:val="105"/>
        </w:rPr>
        <w:t> </w:t>
      </w:r>
      <w:r>
        <w:rPr>
          <w:color w:val="231F20"/>
          <w:w w:val="105"/>
        </w:rPr>
        <w:t>en</w:t>
      </w:r>
      <w:r>
        <w:rPr>
          <w:color w:val="231F20"/>
          <w:spacing w:val="-12"/>
          <w:w w:val="105"/>
        </w:rPr>
        <w:t> </w:t>
      </w:r>
      <w:r>
        <w:rPr>
          <w:color w:val="231F20"/>
          <w:w w:val="105"/>
        </w:rPr>
        <w:t>que</w:t>
      </w:r>
      <w:r>
        <w:rPr>
          <w:color w:val="231F20"/>
          <w:spacing w:val="-12"/>
          <w:w w:val="105"/>
        </w:rPr>
        <w:t> </w:t>
      </w:r>
      <w:r>
        <w:rPr>
          <w:color w:val="231F20"/>
          <w:w w:val="105"/>
        </w:rPr>
        <w:t>había muchos</w:t>
      </w:r>
      <w:r>
        <w:rPr>
          <w:color w:val="231F20"/>
          <w:spacing w:val="-22"/>
          <w:w w:val="105"/>
        </w:rPr>
        <w:t> </w:t>
      </w:r>
      <w:r>
        <w:rPr>
          <w:color w:val="231F20"/>
          <w:w w:val="105"/>
        </w:rPr>
        <w:t>elementos</w:t>
      </w:r>
      <w:r>
        <w:rPr>
          <w:color w:val="231F20"/>
          <w:spacing w:val="-22"/>
          <w:w w:val="105"/>
        </w:rPr>
        <w:t> </w:t>
      </w:r>
      <w:r>
        <w:rPr>
          <w:color w:val="231F20"/>
          <w:w w:val="105"/>
        </w:rPr>
        <w:t>no</w:t>
      </w:r>
      <w:r>
        <w:rPr>
          <w:color w:val="231F20"/>
          <w:spacing w:val="-22"/>
          <w:w w:val="105"/>
        </w:rPr>
        <w:t> </w:t>
      </w:r>
      <w:r>
        <w:rPr>
          <w:color w:val="231F20"/>
          <w:w w:val="105"/>
        </w:rPr>
        <w:t>lineales</w:t>
      </w:r>
      <w:r>
        <w:rPr>
          <w:color w:val="231F20"/>
          <w:spacing w:val="-22"/>
          <w:w w:val="105"/>
        </w:rPr>
        <w:t> </w:t>
      </w:r>
      <w:r>
        <w:rPr>
          <w:color w:val="231F20"/>
          <w:w w:val="105"/>
        </w:rPr>
        <w:t>en</w:t>
      </w:r>
      <w:r>
        <w:rPr>
          <w:color w:val="231F20"/>
          <w:spacing w:val="-22"/>
          <w:w w:val="105"/>
        </w:rPr>
        <w:t> </w:t>
      </w:r>
      <w:r>
        <w:rPr>
          <w:color w:val="231F20"/>
          <w:w w:val="105"/>
        </w:rPr>
        <w:t>muchos</w:t>
      </w:r>
      <w:r>
        <w:rPr>
          <w:color w:val="231F20"/>
          <w:spacing w:val="-22"/>
          <w:w w:val="105"/>
        </w:rPr>
        <w:t> </w:t>
      </w:r>
      <w:r>
        <w:rPr>
          <w:color w:val="231F20"/>
          <w:w w:val="105"/>
        </w:rPr>
        <w:t>fenómenos</w:t>
      </w:r>
      <w:r>
        <w:rPr>
          <w:color w:val="231F20"/>
          <w:spacing w:val="-22"/>
          <w:w w:val="105"/>
        </w:rPr>
        <w:t> </w:t>
      </w:r>
      <w:r>
        <w:rPr>
          <w:color w:val="231F20"/>
          <w:w w:val="105"/>
        </w:rPr>
        <w:t>ligados</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globali- zación,</w:t>
      </w:r>
      <w:r>
        <w:rPr>
          <w:color w:val="231F20"/>
          <w:spacing w:val="-27"/>
          <w:w w:val="105"/>
        </w:rPr>
        <w:t> </w:t>
      </w:r>
      <w:r>
        <w:rPr>
          <w:color w:val="231F20"/>
          <w:w w:val="105"/>
        </w:rPr>
        <w:t>es</w:t>
      </w:r>
      <w:r>
        <w:rPr>
          <w:color w:val="231F20"/>
          <w:spacing w:val="-27"/>
          <w:w w:val="105"/>
        </w:rPr>
        <w:t> </w:t>
      </w:r>
      <w:r>
        <w:rPr>
          <w:color w:val="231F20"/>
          <w:spacing w:val="-4"/>
          <w:w w:val="105"/>
        </w:rPr>
        <w:t>decir,</w:t>
      </w:r>
      <w:r>
        <w:rPr>
          <w:color w:val="231F20"/>
          <w:spacing w:val="-27"/>
          <w:w w:val="105"/>
        </w:rPr>
        <w:t> </w:t>
      </w:r>
      <w:r>
        <w:rPr>
          <w:color w:val="231F20"/>
          <w:w w:val="105"/>
        </w:rPr>
        <w:t>encontraron</w:t>
      </w:r>
      <w:r>
        <w:rPr>
          <w:color w:val="231F20"/>
          <w:spacing w:val="-27"/>
          <w:w w:val="105"/>
        </w:rPr>
        <w:t> </w:t>
      </w:r>
      <w:r>
        <w:rPr>
          <w:color w:val="231F20"/>
          <w:w w:val="105"/>
        </w:rPr>
        <w:t>algunas</w:t>
      </w:r>
      <w:r>
        <w:rPr>
          <w:color w:val="231F20"/>
          <w:spacing w:val="-27"/>
          <w:w w:val="105"/>
        </w:rPr>
        <w:t> </w:t>
      </w:r>
      <w:r>
        <w:rPr>
          <w:color w:val="231F20"/>
          <w:w w:val="105"/>
        </w:rPr>
        <w:t>paradojas</w:t>
      </w:r>
      <w:r>
        <w:rPr>
          <w:color w:val="231F20"/>
          <w:spacing w:val="-27"/>
          <w:w w:val="105"/>
        </w:rPr>
        <w:t> </w:t>
      </w:r>
      <w:r>
        <w:rPr>
          <w:color w:val="231F20"/>
          <w:w w:val="105"/>
        </w:rPr>
        <w:t>que</w:t>
      </w:r>
      <w:r>
        <w:rPr>
          <w:color w:val="231F20"/>
          <w:spacing w:val="-27"/>
          <w:w w:val="105"/>
        </w:rPr>
        <w:t> </w:t>
      </w:r>
      <w:r>
        <w:rPr>
          <w:color w:val="231F20"/>
          <w:w w:val="105"/>
        </w:rPr>
        <w:t>hacían</w:t>
      </w:r>
      <w:r>
        <w:rPr>
          <w:color w:val="231F20"/>
          <w:spacing w:val="-27"/>
          <w:w w:val="105"/>
        </w:rPr>
        <w:t> </w:t>
      </w:r>
      <w:r>
        <w:rPr>
          <w:color w:val="231F20"/>
          <w:w w:val="105"/>
        </w:rPr>
        <w:t>difícil</w:t>
      </w:r>
      <w:r>
        <w:rPr>
          <w:color w:val="231F20"/>
          <w:spacing w:val="-27"/>
          <w:w w:val="105"/>
        </w:rPr>
        <w:t> </w:t>
      </w:r>
      <w:r>
        <w:rPr>
          <w:color w:val="231F20"/>
          <w:w w:val="105"/>
        </w:rPr>
        <w:t>definirla como</w:t>
      </w:r>
      <w:r>
        <w:rPr>
          <w:color w:val="231F20"/>
          <w:spacing w:val="-18"/>
          <w:w w:val="105"/>
        </w:rPr>
        <w:t> </w:t>
      </w:r>
      <w:r>
        <w:rPr>
          <w:color w:val="231F20"/>
          <w:w w:val="105"/>
        </w:rPr>
        <w:t>un</w:t>
      </w:r>
      <w:r>
        <w:rPr>
          <w:color w:val="231F20"/>
          <w:spacing w:val="-18"/>
          <w:w w:val="105"/>
        </w:rPr>
        <w:t> </w:t>
      </w:r>
      <w:r>
        <w:rPr>
          <w:color w:val="231F20"/>
          <w:w w:val="105"/>
        </w:rPr>
        <w:t>simple</w:t>
      </w:r>
      <w:r>
        <w:rPr>
          <w:color w:val="231F20"/>
          <w:spacing w:val="-18"/>
          <w:w w:val="105"/>
        </w:rPr>
        <w:t> </w:t>
      </w:r>
      <w:r>
        <w:rPr>
          <w:color w:val="231F20"/>
          <w:w w:val="105"/>
        </w:rPr>
        <w:t>proceso</w:t>
      </w:r>
      <w:r>
        <w:rPr>
          <w:color w:val="231F20"/>
          <w:spacing w:val="-18"/>
          <w:w w:val="105"/>
        </w:rPr>
        <w:t> </w:t>
      </w:r>
      <w:r>
        <w:rPr>
          <w:color w:val="231F20"/>
          <w:w w:val="105"/>
        </w:rPr>
        <w:t>de</w:t>
      </w:r>
      <w:r>
        <w:rPr>
          <w:color w:val="231F20"/>
          <w:spacing w:val="-18"/>
          <w:w w:val="105"/>
        </w:rPr>
        <w:t> </w:t>
      </w:r>
      <w:r>
        <w:rPr>
          <w:color w:val="231F20"/>
          <w:w w:val="105"/>
        </w:rPr>
        <w:t>homogeneización.</w:t>
      </w:r>
      <w:r>
        <w:rPr>
          <w:color w:val="231F20"/>
          <w:spacing w:val="-18"/>
          <w:w w:val="105"/>
        </w:rPr>
        <w:t> </w:t>
      </w:r>
      <w:r>
        <w:rPr>
          <w:color w:val="231F20"/>
          <w:w w:val="105"/>
        </w:rPr>
        <w:t>Sin</w:t>
      </w:r>
      <w:r>
        <w:rPr>
          <w:color w:val="231F20"/>
          <w:spacing w:val="-18"/>
          <w:w w:val="105"/>
        </w:rPr>
        <w:t> </w:t>
      </w:r>
      <w:r>
        <w:rPr>
          <w:color w:val="231F20"/>
          <w:w w:val="105"/>
        </w:rPr>
        <w:t>duda,</w:t>
      </w:r>
      <w:r>
        <w:rPr>
          <w:color w:val="231F20"/>
          <w:spacing w:val="-18"/>
          <w:w w:val="105"/>
        </w:rPr>
        <w:t> </w:t>
      </w:r>
      <w:r>
        <w:rPr>
          <w:color w:val="231F20"/>
          <w:w w:val="105"/>
        </w:rPr>
        <w:t>la</w:t>
      </w:r>
      <w:r>
        <w:rPr>
          <w:color w:val="231F20"/>
          <w:spacing w:val="-18"/>
          <w:w w:val="105"/>
        </w:rPr>
        <w:t> </w:t>
      </w:r>
      <w:r>
        <w:rPr>
          <w:color w:val="231F20"/>
          <w:w w:val="105"/>
        </w:rPr>
        <w:t>paradoja</w:t>
      </w:r>
      <w:r>
        <w:rPr>
          <w:color w:val="231F20"/>
          <w:spacing w:val="-18"/>
          <w:w w:val="105"/>
        </w:rPr>
        <w:t> </w:t>
      </w:r>
      <w:r>
        <w:rPr>
          <w:color w:val="231F20"/>
          <w:w w:val="105"/>
        </w:rPr>
        <w:t>más evidente</w:t>
      </w:r>
      <w:r>
        <w:rPr>
          <w:color w:val="231F20"/>
          <w:spacing w:val="-28"/>
          <w:w w:val="105"/>
        </w:rPr>
        <w:t> </w:t>
      </w:r>
      <w:r>
        <w:rPr>
          <w:color w:val="231F20"/>
          <w:w w:val="105"/>
        </w:rPr>
        <w:t>es</w:t>
      </w:r>
      <w:r>
        <w:rPr>
          <w:color w:val="231F20"/>
          <w:spacing w:val="-28"/>
          <w:w w:val="105"/>
        </w:rPr>
        <w:t> </w:t>
      </w:r>
      <w:r>
        <w:rPr>
          <w:color w:val="231F20"/>
          <w:w w:val="105"/>
        </w:rPr>
        <w:t>la</w:t>
      </w:r>
      <w:r>
        <w:rPr>
          <w:color w:val="231F20"/>
          <w:spacing w:val="-28"/>
          <w:w w:val="105"/>
        </w:rPr>
        <w:t> </w:t>
      </w:r>
      <w:r>
        <w:rPr>
          <w:color w:val="231F20"/>
          <w:w w:val="105"/>
        </w:rPr>
        <w:t>extraña</w:t>
      </w:r>
      <w:r>
        <w:rPr>
          <w:color w:val="231F20"/>
          <w:spacing w:val="-28"/>
          <w:w w:val="105"/>
        </w:rPr>
        <w:t> </w:t>
      </w:r>
      <w:r>
        <w:rPr>
          <w:color w:val="231F20"/>
          <w:w w:val="105"/>
        </w:rPr>
        <w:t>imbricación</w:t>
      </w:r>
      <w:r>
        <w:rPr>
          <w:color w:val="231F20"/>
          <w:spacing w:val="-28"/>
          <w:w w:val="105"/>
        </w:rPr>
        <w:t> </w:t>
      </w:r>
      <w:r>
        <w:rPr>
          <w:color w:val="231F20"/>
          <w:w w:val="105"/>
        </w:rPr>
        <w:t>entre</w:t>
      </w:r>
      <w:r>
        <w:rPr>
          <w:color w:val="231F20"/>
          <w:spacing w:val="-28"/>
          <w:w w:val="105"/>
        </w:rPr>
        <w:t> </w:t>
      </w:r>
      <w:r>
        <w:rPr>
          <w:color w:val="231F20"/>
          <w:w w:val="105"/>
        </w:rPr>
        <w:t>lo</w:t>
      </w:r>
      <w:r>
        <w:rPr>
          <w:color w:val="231F20"/>
          <w:spacing w:val="-28"/>
          <w:w w:val="105"/>
        </w:rPr>
        <w:t> </w:t>
      </w:r>
      <w:r>
        <w:rPr>
          <w:color w:val="231F20"/>
          <w:w w:val="105"/>
        </w:rPr>
        <w:t>local</w:t>
      </w:r>
      <w:r>
        <w:rPr>
          <w:color w:val="231F20"/>
          <w:spacing w:val="-28"/>
          <w:w w:val="105"/>
        </w:rPr>
        <w:t> </w:t>
      </w:r>
      <w:r>
        <w:rPr>
          <w:color w:val="231F20"/>
          <w:w w:val="105"/>
        </w:rPr>
        <w:t>y</w:t>
      </w:r>
      <w:r>
        <w:rPr>
          <w:color w:val="231F20"/>
          <w:spacing w:val="-28"/>
          <w:w w:val="105"/>
        </w:rPr>
        <w:t> </w:t>
      </w:r>
      <w:r>
        <w:rPr>
          <w:color w:val="231F20"/>
          <w:w w:val="105"/>
        </w:rPr>
        <w:t>lo</w:t>
      </w:r>
      <w:r>
        <w:rPr>
          <w:color w:val="231F20"/>
          <w:spacing w:val="-28"/>
          <w:w w:val="105"/>
        </w:rPr>
        <w:t> </w:t>
      </w:r>
      <w:r>
        <w:rPr>
          <w:color w:val="231F20"/>
          <w:w w:val="105"/>
        </w:rPr>
        <w:t>global.</w:t>
      </w:r>
      <w:r>
        <w:rPr>
          <w:color w:val="231F20"/>
          <w:spacing w:val="-28"/>
          <w:w w:val="105"/>
        </w:rPr>
        <w:t> </w:t>
      </w:r>
      <w:r>
        <w:rPr>
          <w:color w:val="231F20"/>
          <w:w w:val="105"/>
        </w:rPr>
        <w:t>Con</w:t>
      </w:r>
      <w:r>
        <w:rPr>
          <w:color w:val="231F20"/>
          <w:spacing w:val="-28"/>
          <w:w w:val="105"/>
        </w:rPr>
        <w:t> </w:t>
      </w:r>
      <w:r>
        <w:rPr>
          <w:color w:val="231F20"/>
          <w:w w:val="105"/>
        </w:rPr>
        <w:t>el</w:t>
      </w:r>
      <w:r>
        <w:rPr>
          <w:color w:val="231F20"/>
          <w:spacing w:val="-28"/>
          <w:w w:val="105"/>
        </w:rPr>
        <w:t> </w:t>
      </w:r>
      <w:r>
        <w:rPr>
          <w:color w:val="231F20"/>
          <w:w w:val="105"/>
        </w:rPr>
        <w:t>término </w:t>
      </w:r>
      <w:r>
        <w:rPr>
          <w:rFonts w:ascii="Arial" w:hAnsi="Arial"/>
          <w:i/>
          <w:color w:val="231F20"/>
          <w:w w:val="105"/>
        </w:rPr>
        <w:t>glocal</w:t>
      </w:r>
      <w:r>
        <w:rPr>
          <w:rFonts w:ascii="Arial" w:hAnsi="Arial"/>
          <w:i/>
          <w:color w:val="231F20"/>
          <w:spacing w:val="-14"/>
          <w:w w:val="105"/>
        </w:rPr>
        <w:t> </w:t>
      </w:r>
      <w:r>
        <w:rPr>
          <w:color w:val="231F20"/>
          <w:w w:val="105"/>
        </w:rPr>
        <w:t>se</w:t>
      </w:r>
      <w:r>
        <w:rPr>
          <w:color w:val="231F20"/>
          <w:spacing w:val="-21"/>
          <w:w w:val="105"/>
        </w:rPr>
        <w:t> </w:t>
      </w:r>
      <w:r>
        <w:rPr>
          <w:color w:val="231F20"/>
          <w:w w:val="105"/>
        </w:rPr>
        <w:t>trató</w:t>
      </w:r>
      <w:r>
        <w:rPr>
          <w:color w:val="231F20"/>
          <w:spacing w:val="-21"/>
          <w:w w:val="105"/>
        </w:rPr>
        <w:t> </w:t>
      </w:r>
      <w:r>
        <w:rPr>
          <w:color w:val="231F20"/>
          <w:w w:val="105"/>
        </w:rPr>
        <w:t>de</w:t>
      </w:r>
      <w:r>
        <w:rPr>
          <w:color w:val="231F20"/>
          <w:spacing w:val="-21"/>
          <w:w w:val="105"/>
        </w:rPr>
        <w:t> </w:t>
      </w:r>
      <w:r>
        <w:rPr>
          <w:color w:val="231F20"/>
          <w:w w:val="105"/>
        </w:rPr>
        <w:t>dar</w:t>
      </w:r>
      <w:r>
        <w:rPr>
          <w:color w:val="231F20"/>
          <w:spacing w:val="-21"/>
          <w:w w:val="105"/>
        </w:rPr>
        <w:t> </w:t>
      </w:r>
      <w:r>
        <w:rPr>
          <w:color w:val="231F20"/>
          <w:w w:val="105"/>
        </w:rPr>
        <w:t>cuenta</w:t>
      </w:r>
      <w:r>
        <w:rPr>
          <w:color w:val="231F20"/>
          <w:spacing w:val="-21"/>
          <w:w w:val="105"/>
        </w:rPr>
        <w:t> </w:t>
      </w:r>
      <w:r>
        <w:rPr>
          <w:color w:val="231F20"/>
          <w:w w:val="105"/>
        </w:rPr>
        <w:t>de</w:t>
      </w:r>
      <w:r>
        <w:rPr>
          <w:color w:val="231F20"/>
          <w:spacing w:val="-21"/>
          <w:w w:val="105"/>
        </w:rPr>
        <w:t> </w:t>
      </w:r>
      <w:r>
        <w:rPr>
          <w:color w:val="231F20"/>
          <w:w w:val="105"/>
        </w:rPr>
        <w:t>ciertas</w:t>
      </w:r>
      <w:r>
        <w:rPr>
          <w:color w:val="231F20"/>
          <w:spacing w:val="-21"/>
          <w:w w:val="105"/>
        </w:rPr>
        <w:t> </w:t>
      </w:r>
      <w:r>
        <w:rPr>
          <w:color w:val="231F20"/>
          <w:w w:val="105"/>
        </w:rPr>
        <w:t>prácticas</w:t>
      </w:r>
      <w:r>
        <w:rPr>
          <w:color w:val="231F20"/>
          <w:spacing w:val="-21"/>
          <w:w w:val="105"/>
        </w:rPr>
        <w:t> </w:t>
      </w:r>
      <w:r>
        <w:rPr>
          <w:color w:val="231F20"/>
          <w:w w:val="105"/>
        </w:rPr>
        <w:t>y</w:t>
      </w:r>
      <w:r>
        <w:rPr>
          <w:color w:val="231F20"/>
          <w:spacing w:val="-21"/>
          <w:w w:val="105"/>
        </w:rPr>
        <w:t> </w:t>
      </w:r>
      <w:r>
        <w:rPr>
          <w:color w:val="231F20"/>
          <w:w w:val="105"/>
        </w:rPr>
        <w:t>procesos</w:t>
      </w:r>
      <w:r>
        <w:rPr>
          <w:color w:val="231F20"/>
          <w:spacing w:val="-21"/>
          <w:w w:val="105"/>
        </w:rPr>
        <w:t> </w:t>
      </w:r>
      <w:r>
        <w:rPr>
          <w:color w:val="231F20"/>
          <w:w w:val="105"/>
        </w:rPr>
        <w:t>que</w:t>
      </w:r>
      <w:r>
        <w:rPr>
          <w:color w:val="231F20"/>
          <w:spacing w:val="-21"/>
          <w:w w:val="105"/>
        </w:rPr>
        <w:t> </w:t>
      </w:r>
      <w:r>
        <w:rPr>
          <w:color w:val="231F20"/>
          <w:w w:val="105"/>
        </w:rPr>
        <w:t>tienen</w:t>
      </w:r>
      <w:r>
        <w:rPr>
          <w:color w:val="231F20"/>
          <w:spacing w:val="-21"/>
          <w:w w:val="105"/>
        </w:rPr>
        <w:t> </w:t>
      </w:r>
      <w:r>
        <w:rPr>
          <w:color w:val="231F20"/>
          <w:w w:val="105"/>
        </w:rPr>
        <w:t>al mismo</w:t>
      </w:r>
      <w:r>
        <w:rPr>
          <w:color w:val="231F20"/>
          <w:spacing w:val="-21"/>
          <w:w w:val="105"/>
        </w:rPr>
        <w:t> </w:t>
      </w:r>
      <w:r>
        <w:rPr>
          <w:color w:val="231F20"/>
          <w:w w:val="105"/>
        </w:rPr>
        <w:t>tiempo</w:t>
      </w:r>
      <w:r>
        <w:rPr>
          <w:color w:val="231F20"/>
          <w:spacing w:val="-21"/>
          <w:w w:val="105"/>
        </w:rPr>
        <w:t> </w:t>
      </w:r>
      <w:r>
        <w:rPr>
          <w:color w:val="231F20"/>
          <w:w w:val="105"/>
        </w:rPr>
        <w:t>un</w:t>
      </w:r>
      <w:r>
        <w:rPr>
          <w:color w:val="231F20"/>
          <w:spacing w:val="-21"/>
          <w:w w:val="105"/>
        </w:rPr>
        <w:t> </w:t>
      </w:r>
      <w:r>
        <w:rPr>
          <w:color w:val="231F20"/>
          <w:w w:val="105"/>
        </w:rPr>
        <w:t>carácter</w:t>
      </w:r>
      <w:r>
        <w:rPr>
          <w:color w:val="231F20"/>
          <w:spacing w:val="-21"/>
          <w:w w:val="105"/>
        </w:rPr>
        <w:t> </w:t>
      </w:r>
      <w:r>
        <w:rPr>
          <w:color w:val="231F20"/>
          <w:w w:val="105"/>
        </w:rPr>
        <w:t>global</w:t>
      </w:r>
      <w:r>
        <w:rPr>
          <w:color w:val="231F20"/>
          <w:spacing w:val="-21"/>
          <w:w w:val="105"/>
        </w:rPr>
        <w:t> </w:t>
      </w:r>
      <w:r>
        <w:rPr>
          <w:color w:val="231F20"/>
          <w:w w:val="105"/>
        </w:rPr>
        <w:t>y</w:t>
      </w:r>
      <w:r>
        <w:rPr>
          <w:color w:val="231F20"/>
          <w:spacing w:val="-21"/>
          <w:w w:val="105"/>
        </w:rPr>
        <w:t> </w:t>
      </w:r>
      <w:r>
        <w:rPr>
          <w:color w:val="231F20"/>
          <w:w w:val="105"/>
        </w:rPr>
        <w:t>local.</w:t>
      </w:r>
      <w:r>
        <w:rPr>
          <w:color w:val="231F20"/>
          <w:spacing w:val="-21"/>
          <w:w w:val="105"/>
        </w:rPr>
        <w:t> </w:t>
      </w:r>
      <w:r>
        <w:rPr>
          <w:color w:val="231F20"/>
          <w:w w:val="105"/>
        </w:rPr>
        <w:t>El</w:t>
      </w:r>
      <w:r>
        <w:rPr>
          <w:color w:val="231F20"/>
          <w:spacing w:val="-21"/>
          <w:w w:val="105"/>
        </w:rPr>
        <w:t> </w:t>
      </w:r>
      <w:r>
        <w:rPr>
          <w:color w:val="231F20"/>
          <w:w w:val="105"/>
        </w:rPr>
        <w:t>término</w:t>
      </w:r>
      <w:r>
        <w:rPr>
          <w:color w:val="231F20"/>
          <w:spacing w:val="-21"/>
          <w:w w:val="105"/>
        </w:rPr>
        <w:t> </w:t>
      </w:r>
      <w:r>
        <w:rPr>
          <w:color w:val="231F20"/>
          <w:w w:val="105"/>
        </w:rPr>
        <w:t>viene</w:t>
      </w:r>
      <w:r>
        <w:rPr>
          <w:color w:val="231F20"/>
          <w:spacing w:val="-21"/>
          <w:w w:val="105"/>
        </w:rPr>
        <w:t> </w:t>
      </w:r>
      <w:r>
        <w:rPr>
          <w:color w:val="231F20"/>
          <w:w w:val="105"/>
        </w:rPr>
        <w:t>del</w:t>
      </w:r>
      <w:r>
        <w:rPr>
          <w:color w:val="231F20"/>
          <w:spacing w:val="-21"/>
          <w:w w:val="105"/>
        </w:rPr>
        <w:t> </w:t>
      </w:r>
      <w:r>
        <w:rPr>
          <w:color w:val="231F20"/>
          <w:w w:val="105"/>
        </w:rPr>
        <w:t>japonés</w:t>
      </w:r>
      <w:r>
        <w:rPr>
          <w:color w:val="231F20"/>
          <w:spacing w:val="-21"/>
          <w:w w:val="105"/>
        </w:rPr>
        <w:t> </w:t>
      </w:r>
      <w:r>
        <w:rPr>
          <w:rFonts w:ascii="Arial" w:hAnsi="Arial"/>
          <w:i/>
          <w:color w:val="231F20"/>
          <w:w w:val="105"/>
        </w:rPr>
        <w:t>do- </w:t>
      </w:r>
      <w:r>
        <w:rPr>
          <w:rFonts w:ascii="Arial" w:hAnsi="Arial"/>
          <w:i/>
          <w:color w:val="231F20"/>
          <w:w w:val="105"/>
        </w:rPr>
        <w:t>chakuka</w:t>
      </w:r>
      <w:r>
        <w:rPr>
          <w:color w:val="231F20"/>
          <w:w w:val="105"/>
        </w:rPr>
        <w:t>,</w:t>
      </w:r>
      <w:r>
        <w:rPr>
          <w:color w:val="231F20"/>
          <w:spacing w:val="-40"/>
          <w:w w:val="105"/>
        </w:rPr>
        <w:t> </w:t>
      </w:r>
      <w:r>
        <w:rPr>
          <w:color w:val="231F20"/>
          <w:w w:val="105"/>
        </w:rPr>
        <w:t>palabra</w:t>
      </w:r>
      <w:r>
        <w:rPr>
          <w:color w:val="231F20"/>
          <w:spacing w:val="-40"/>
          <w:w w:val="105"/>
        </w:rPr>
        <w:t> </w:t>
      </w:r>
      <w:r>
        <w:rPr>
          <w:color w:val="231F20"/>
          <w:w w:val="105"/>
        </w:rPr>
        <w:t>derivada</w:t>
      </w:r>
      <w:r>
        <w:rPr>
          <w:color w:val="231F20"/>
          <w:spacing w:val="-40"/>
          <w:w w:val="105"/>
        </w:rPr>
        <w:t> </w:t>
      </w:r>
      <w:r>
        <w:rPr>
          <w:color w:val="231F20"/>
          <w:w w:val="105"/>
        </w:rPr>
        <w:t>de</w:t>
      </w:r>
      <w:r>
        <w:rPr>
          <w:color w:val="231F20"/>
          <w:spacing w:val="-40"/>
          <w:w w:val="105"/>
        </w:rPr>
        <w:t> </w:t>
      </w:r>
      <w:r>
        <w:rPr>
          <w:rFonts w:ascii="Arial" w:hAnsi="Arial"/>
          <w:i/>
          <w:color w:val="231F20"/>
          <w:w w:val="105"/>
        </w:rPr>
        <w:t>dochaku</w:t>
      </w:r>
      <w:r>
        <w:rPr>
          <w:color w:val="231F20"/>
          <w:w w:val="105"/>
        </w:rPr>
        <w:t>,</w:t>
      </w:r>
      <w:r>
        <w:rPr>
          <w:color w:val="231F20"/>
          <w:spacing w:val="-40"/>
          <w:w w:val="105"/>
        </w:rPr>
        <w:t> </w:t>
      </w:r>
      <w:r>
        <w:rPr>
          <w:color w:val="231F20"/>
          <w:w w:val="105"/>
        </w:rPr>
        <w:t>que</w:t>
      </w:r>
      <w:r>
        <w:rPr>
          <w:color w:val="231F20"/>
          <w:spacing w:val="-40"/>
          <w:w w:val="105"/>
        </w:rPr>
        <w:t> </w:t>
      </w:r>
      <w:r>
        <w:rPr>
          <w:color w:val="231F20"/>
          <w:w w:val="105"/>
        </w:rPr>
        <w:t>significa</w:t>
      </w:r>
      <w:r>
        <w:rPr>
          <w:color w:val="231F20"/>
          <w:spacing w:val="-40"/>
          <w:w w:val="105"/>
        </w:rPr>
        <w:t> </w:t>
      </w:r>
      <w:r>
        <w:rPr>
          <w:color w:val="231F20"/>
          <w:w w:val="105"/>
        </w:rPr>
        <w:t>“viviendo</w:t>
      </w:r>
      <w:r>
        <w:rPr>
          <w:color w:val="231F20"/>
          <w:spacing w:val="-40"/>
          <w:w w:val="105"/>
        </w:rPr>
        <w:t> </w:t>
      </w:r>
      <w:r>
        <w:rPr>
          <w:color w:val="231F20"/>
          <w:w w:val="105"/>
        </w:rPr>
        <w:t>en</w:t>
      </w:r>
      <w:r>
        <w:rPr>
          <w:color w:val="231F20"/>
          <w:spacing w:val="-40"/>
          <w:w w:val="105"/>
        </w:rPr>
        <w:t> </w:t>
      </w:r>
      <w:r>
        <w:rPr>
          <w:color w:val="231F20"/>
          <w:w w:val="105"/>
        </w:rPr>
        <w:t>la</w:t>
      </w:r>
      <w:r>
        <w:rPr>
          <w:color w:val="231F20"/>
          <w:spacing w:val="-40"/>
          <w:w w:val="105"/>
        </w:rPr>
        <w:t> </w:t>
      </w:r>
      <w:r>
        <w:rPr>
          <w:color w:val="231F20"/>
          <w:w w:val="105"/>
        </w:rPr>
        <w:t>propia tierra</w:t>
      </w:r>
      <w:r>
        <w:rPr>
          <w:color w:val="231F20"/>
          <w:spacing w:val="-33"/>
          <w:w w:val="105"/>
        </w:rPr>
        <w:t> </w:t>
      </w:r>
      <w:r>
        <w:rPr>
          <w:color w:val="231F20"/>
          <w:w w:val="105"/>
        </w:rPr>
        <w:t>de</w:t>
      </w:r>
      <w:r>
        <w:rPr>
          <w:color w:val="231F20"/>
          <w:spacing w:val="-33"/>
          <w:w w:val="105"/>
        </w:rPr>
        <w:t> </w:t>
      </w:r>
      <w:r>
        <w:rPr>
          <w:color w:val="231F20"/>
          <w:w w:val="105"/>
        </w:rPr>
        <w:t>uno”</w:t>
      </w:r>
      <w:r>
        <w:rPr>
          <w:color w:val="231F20"/>
          <w:spacing w:val="-33"/>
          <w:w w:val="105"/>
        </w:rPr>
        <w:t> </w:t>
      </w:r>
      <w:r>
        <w:rPr>
          <w:color w:val="231F20"/>
          <w:w w:val="105"/>
        </w:rPr>
        <w:t>y</w:t>
      </w:r>
      <w:r>
        <w:rPr>
          <w:color w:val="231F20"/>
          <w:spacing w:val="-33"/>
          <w:w w:val="105"/>
        </w:rPr>
        <w:t> </w:t>
      </w:r>
      <w:r>
        <w:rPr>
          <w:color w:val="231F20"/>
          <w:w w:val="105"/>
        </w:rPr>
        <w:t>que</w:t>
      </w:r>
      <w:r>
        <w:rPr>
          <w:color w:val="231F20"/>
          <w:spacing w:val="-33"/>
          <w:w w:val="105"/>
        </w:rPr>
        <w:t> </w:t>
      </w:r>
      <w:r>
        <w:rPr>
          <w:color w:val="231F20"/>
          <w:w w:val="105"/>
        </w:rPr>
        <w:t>se</w:t>
      </w:r>
      <w:r>
        <w:rPr>
          <w:color w:val="231F20"/>
          <w:spacing w:val="-33"/>
          <w:w w:val="105"/>
        </w:rPr>
        <w:t> </w:t>
      </w:r>
      <w:r>
        <w:rPr>
          <w:color w:val="231F20"/>
          <w:w w:val="105"/>
        </w:rPr>
        <w:t>refiere</w:t>
      </w:r>
      <w:r>
        <w:rPr>
          <w:color w:val="231F20"/>
          <w:spacing w:val="-33"/>
          <w:w w:val="105"/>
        </w:rPr>
        <w:t> </w:t>
      </w:r>
      <w:r>
        <w:rPr>
          <w:color w:val="231F20"/>
          <w:w w:val="105"/>
        </w:rPr>
        <w:t>a</w:t>
      </w:r>
      <w:r>
        <w:rPr>
          <w:color w:val="231F20"/>
          <w:spacing w:val="-33"/>
          <w:w w:val="105"/>
        </w:rPr>
        <w:t> </w:t>
      </w:r>
      <w:r>
        <w:rPr>
          <w:color w:val="231F20"/>
          <w:w w:val="105"/>
        </w:rPr>
        <w:t>la</w:t>
      </w:r>
      <w:r>
        <w:rPr>
          <w:color w:val="231F20"/>
          <w:spacing w:val="-33"/>
          <w:w w:val="105"/>
        </w:rPr>
        <w:t> </w:t>
      </w:r>
      <w:r>
        <w:rPr>
          <w:color w:val="231F20"/>
          <w:w w:val="105"/>
        </w:rPr>
        <w:t>adaptación</w:t>
      </w:r>
      <w:r>
        <w:rPr>
          <w:color w:val="231F20"/>
          <w:spacing w:val="-33"/>
          <w:w w:val="105"/>
        </w:rPr>
        <w:t> </w:t>
      </w:r>
      <w:r>
        <w:rPr>
          <w:color w:val="231F20"/>
          <w:w w:val="105"/>
        </w:rPr>
        <w:t>de</w:t>
      </w:r>
      <w:r>
        <w:rPr>
          <w:color w:val="231F20"/>
          <w:spacing w:val="-33"/>
          <w:w w:val="105"/>
        </w:rPr>
        <w:t> </w:t>
      </w:r>
      <w:r>
        <w:rPr>
          <w:color w:val="231F20"/>
          <w:w w:val="105"/>
        </w:rPr>
        <w:t>técnicas</w:t>
      </w:r>
      <w:r>
        <w:rPr>
          <w:color w:val="231F20"/>
          <w:spacing w:val="-33"/>
          <w:w w:val="105"/>
        </w:rPr>
        <w:t> </w:t>
      </w:r>
      <w:r>
        <w:rPr>
          <w:color w:val="231F20"/>
          <w:w w:val="105"/>
        </w:rPr>
        <w:t>agrícolas</w:t>
      </w:r>
      <w:r>
        <w:rPr>
          <w:color w:val="231F20"/>
          <w:spacing w:val="-33"/>
          <w:w w:val="105"/>
        </w:rPr>
        <w:t> </w:t>
      </w:r>
      <w:r>
        <w:rPr>
          <w:color w:val="231F20"/>
          <w:w w:val="105"/>
        </w:rPr>
        <w:t>moder- nas</w:t>
      </w:r>
      <w:r>
        <w:rPr>
          <w:color w:val="231F20"/>
          <w:spacing w:val="-11"/>
          <w:w w:val="105"/>
        </w:rPr>
        <w:t> </w:t>
      </w:r>
      <w:r>
        <w:rPr>
          <w:color w:val="231F20"/>
          <w:w w:val="105"/>
        </w:rPr>
        <w:t>a</w:t>
      </w:r>
      <w:r>
        <w:rPr>
          <w:color w:val="231F20"/>
          <w:spacing w:val="-11"/>
          <w:w w:val="105"/>
        </w:rPr>
        <w:t> </w:t>
      </w:r>
      <w:r>
        <w:rPr>
          <w:color w:val="231F20"/>
          <w:w w:val="105"/>
        </w:rPr>
        <w:t>las</w:t>
      </w:r>
      <w:r>
        <w:rPr>
          <w:color w:val="231F20"/>
          <w:spacing w:val="-11"/>
          <w:w w:val="105"/>
        </w:rPr>
        <w:t> </w:t>
      </w:r>
      <w:r>
        <w:rPr>
          <w:color w:val="231F20"/>
          <w:w w:val="105"/>
        </w:rPr>
        <w:t>condiciones</w:t>
      </w:r>
      <w:r>
        <w:rPr>
          <w:color w:val="231F20"/>
          <w:spacing w:val="-11"/>
          <w:w w:val="105"/>
        </w:rPr>
        <w:t> </w:t>
      </w:r>
      <w:r>
        <w:rPr>
          <w:color w:val="231F20"/>
          <w:w w:val="105"/>
        </w:rPr>
        <w:t>locales</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poblados</w:t>
      </w:r>
      <w:r>
        <w:rPr>
          <w:color w:val="231F20"/>
          <w:w w:val="105"/>
          <w:position w:val="7"/>
          <w:sz w:val="12"/>
        </w:rPr>
        <w:t>6</w:t>
      </w:r>
      <w:r>
        <w:rPr>
          <w:color w:val="231F20"/>
          <w:w w:val="105"/>
        </w:rPr>
        <w:t>.</w:t>
      </w:r>
      <w:r>
        <w:rPr>
          <w:color w:val="231F20"/>
          <w:spacing w:val="-11"/>
          <w:w w:val="105"/>
        </w:rPr>
        <w:t> </w:t>
      </w:r>
      <w:r>
        <w:rPr>
          <w:color w:val="231F20"/>
          <w:w w:val="105"/>
        </w:rPr>
        <w:t>Para</w:t>
      </w:r>
      <w:r>
        <w:rPr>
          <w:color w:val="231F20"/>
          <w:spacing w:val="-11"/>
          <w:w w:val="105"/>
        </w:rPr>
        <w:t> </w:t>
      </w:r>
      <w:r>
        <w:rPr>
          <w:color w:val="231F20"/>
          <w:w w:val="105"/>
        </w:rPr>
        <w:t>Giacomo</w:t>
      </w:r>
      <w:r>
        <w:rPr>
          <w:color w:val="231F20"/>
          <w:spacing w:val="-11"/>
          <w:w w:val="105"/>
        </w:rPr>
        <w:t> </w:t>
      </w:r>
      <w:r>
        <w:rPr>
          <w:color w:val="231F20"/>
          <w:w w:val="105"/>
        </w:rPr>
        <w:t>Marramao, el</w:t>
      </w:r>
      <w:r>
        <w:rPr>
          <w:color w:val="231F20"/>
          <w:spacing w:val="-30"/>
          <w:w w:val="105"/>
        </w:rPr>
        <w:t> </w:t>
      </w:r>
      <w:r>
        <w:rPr>
          <w:color w:val="231F20"/>
          <w:w w:val="105"/>
        </w:rPr>
        <w:t>neologismo</w:t>
      </w:r>
      <w:r>
        <w:rPr>
          <w:color w:val="231F20"/>
          <w:spacing w:val="-30"/>
          <w:w w:val="105"/>
        </w:rPr>
        <w:t> </w:t>
      </w:r>
      <w:r>
        <w:rPr>
          <w:rFonts w:ascii="Arial" w:hAnsi="Arial"/>
          <w:i/>
          <w:color w:val="231F20"/>
          <w:w w:val="105"/>
        </w:rPr>
        <w:t>glocal</w:t>
      </w:r>
      <w:r>
        <w:rPr>
          <w:rFonts w:ascii="Arial" w:hAnsi="Arial"/>
          <w:i/>
          <w:color w:val="231F20"/>
          <w:spacing w:val="-23"/>
          <w:w w:val="105"/>
        </w:rPr>
        <w:t> </w:t>
      </w:r>
      <w:r>
        <w:rPr>
          <w:color w:val="231F20"/>
          <w:w w:val="105"/>
        </w:rPr>
        <w:t>retrata</w:t>
      </w:r>
      <w:r>
        <w:rPr>
          <w:color w:val="231F20"/>
          <w:spacing w:val="-30"/>
          <w:w w:val="105"/>
        </w:rPr>
        <w:t> </w:t>
      </w:r>
      <w:r>
        <w:rPr>
          <w:color w:val="231F20"/>
          <w:w w:val="105"/>
        </w:rPr>
        <w:t>bastante</w:t>
      </w:r>
      <w:r>
        <w:rPr>
          <w:color w:val="231F20"/>
          <w:spacing w:val="-30"/>
          <w:w w:val="105"/>
        </w:rPr>
        <w:t> </w:t>
      </w:r>
      <w:r>
        <w:rPr>
          <w:color w:val="231F20"/>
          <w:w w:val="105"/>
        </w:rPr>
        <w:t>bien</w:t>
      </w:r>
      <w:r>
        <w:rPr>
          <w:color w:val="231F20"/>
          <w:spacing w:val="-30"/>
          <w:w w:val="105"/>
        </w:rPr>
        <w:t> </w:t>
      </w:r>
      <w:r>
        <w:rPr>
          <w:color w:val="231F20"/>
          <w:w w:val="105"/>
        </w:rPr>
        <w:t>el</w:t>
      </w:r>
      <w:r>
        <w:rPr>
          <w:color w:val="231F20"/>
          <w:spacing w:val="-30"/>
          <w:w w:val="105"/>
        </w:rPr>
        <w:t> </w:t>
      </w:r>
      <w:r>
        <w:rPr>
          <w:color w:val="231F20"/>
          <w:w w:val="105"/>
        </w:rPr>
        <w:t>carácter</w:t>
      </w:r>
      <w:r>
        <w:rPr>
          <w:color w:val="231F20"/>
          <w:spacing w:val="-30"/>
          <w:w w:val="105"/>
        </w:rPr>
        <w:t> </w:t>
      </w:r>
      <w:r>
        <w:rPr>
          <w:color w:val="231F20"/>
          <w:w w:val="105"/>
        </w:rPr>
        <w:t>paradójico</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glo- balización,</w:t>
      </w:r>
      <w:r>
        <w:rPr>
          <w:color w:val="231F20"/>
          <w:spacing w:val="-12"/>
          <w:w w:val="105"/>
        </w:rPr>
        <w:t> </w:t>
      </w:r>
      <w:r>
        <w:rPr>
          <w:color w:val="231F20"/>
          <w:w w:val="105"/>
        </w:rPr>
        <w:t>pues</w:t>
      </w:r>
      <w:r>
        <w:rPr>
          <w:color w:val="231F20"/>
          <w:spacing w:val="-12"/>
          <w:w w:val="105"/>
        </w:rPr>
        <w:t> </w:t>
      </w:r>
      <w:r>
        <w:rPr>
          <w:color w:val="231F20"/>
          <w:w w:val="105"/>
        </w:rPr>
        <w:t>nos</w:t>
      </w:r>
      <w:r>
        <w:rPr>
          <w:color w:val="231F20"/>
          <w:spacing w:val="-12"/>
          <w:w w:val="105"/>
        </w:rPr>
        <w:t> </w:t>
      </w:r>
      <w:r>
        <w:rPr>
          <w:color w:val="231F20"/>
          <w:w w:val="105"/>
        </w:rPr>
        <w:t>habla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imbricación</w:t>
      </w:r>
      <w:r>
        <w:rPr>
          <w:color w:val="231F20"/>
          <w:spacing w:val="-12"/>
          <w:w w:val="105"/>
        </w:rPr>
        <w:t> </w:t>
      </w:r>
      <w:r>
        <w:rPr>
          <w:color w:val="231F20"/>
          <w:w w:val="105"/>
        </w:rPr>
        <w:t>compleja</w:t>
      </w:r>
      <w:r>
        <w:rPr>
          <w:color w:val="231F20"/>
          <w:spacing w:val="-12"/>
          <w:w w:val="105"/>
        </w:rPr>
        <w:t> </w:t>
      </w:r>
      <w:r>
        <w:rPr>
          <w:color w:val="231F20"/>
          <w:w w:val="105"/>
        </w:rPr>
        <w:t>—ni</w:t>
      </w:r>
      <w:r>
        <w:rPr>
          <w:color w:val="231F20"/>
          <w:spacing w:val="-12"/>
          <w:w w:val="105"/>
        </w:rPr>
        <w:t> </w:t>
      </w:r>
      <w:r>
        <w:rPr>
          <w:color w:val="231F20"/>
          <w:w w:val="105"/>
        </w:rPr>
        <w:t>mera</w:t>
      </w:r>
      <w:r>
        <w:rPr>
          <w:color w:val="231F20"/>
          <w:spacing w:val="-12"/>
          <w:w w:val="105"/>
        </w:rPr>
        <w:t> </w:t>
      </w:r>
      <w:r>
        <w:rPr>
          <w:color w:val="231F20"/>
          <w:w w:val="105"/>
        </w:rPr>
        <w:t>adición, pero</w:t>
      </w:r>
      <w:r>
        <w:rPr>
          <w:color w:val="231F20"/>
          <w:spacing w:val="-27"/>
          <w:w w:val="105"/>
        </w:rPr>
        <w:t> </w:t>
      </w:r>
      <w:r>
        <w:rPr>
          <w:color w:val="231F20"/>
          <w:w w:val="105"/>
        </w:rPr>
        <w:t>tampoco</w:t>
      </w:r>
      <w:r>
        <w:rPr>
          <w:color w:val="231F20"/>
          <w:spacing w:val="-27"/>
          <w:w w:val="105"/>
        </w:rPr>
        <w:t> </w:t>
      </w:r>
      <w:r>
        <w:rPr>
          <w:color w:val="231F20"/>
          <w:w w:val="105"/>
        </w:rPr>
        <w:t>sustracción;</w:t>
      </w:r>
      <w:r>
        <w:rPr>
          <w:color w:val="231F20"/>
          <w:spacing w:val="-27"/>
          <w:w w:val="105"/>
        </w:rPr>
        <w:t> </w:t>
      </w:r>
      <w:r>
        <w:rPr>
          <w:color w:val="231F20"/>
          <w:w w:val="105"/>
        </w:rPr>
        <w:t>ni</w:t>
      </w:r>
      <w:r>
        <w:rPr>
          <w:color w:val="231F20"/>
          <w:spacing w:val="-27"/>
          <w:w w:val="105"/>
        </w:rPr>
        <w:t> </w:t>
      </w:r>
      <w:r>
        <w:rPr>
          <w:color w:val="231F20"/>
          <w:w w:val="105"/>
        </w:rPr>
        <w:t>mera</w:t>
      </w:r>
      <w:r>
        <w:rPr>
          <w:color w:val="231F20"/>
          <w:spacing w:val="-27"/>
          <w:w w:val="105"/>
        </w:rPr>
        <w:t> </w:t>
      </w:r>
      <w:r>
        <w:rPr>
          <w:color w:val="231F20"/>
          <w:w w:val="105"/>
        </w:rPr>
        <w:t>homogeneización,</w:t>
      </w:r>
      <w:r>
        <w:rPr>
          <w:color w:val="231F20"/>
          <w:spacing w:val="-27"/>
          <w:w w:val="105"/>
        </w:rPr>
        <w:t> </w:t>
      </w:r>
      <w:r>
        <w:rPr>
          <w:color w:val="231F20"/>
          <w:w w:val="105"/>
        </w:rPr>
        <w:t>pero</w:t>
      </w:r>
      <w:r>
        <w:rPr>
          <w:color w:val="231F20"/>
          <w:spacing w:val="-27"/>
          <w:w w:val="105"/>
        </w:rPr>
        <w:t> </w:t>
      </w:r>
      <w:r>
        <w:rPr>
          <w:color w:val="231F20"/>
          <w:w w:val="105"/>
        </w:rPr>
        <w:t>tampoco</w:t>
      </w:r>
      <w:r>
        <w:rPr>
          <w:color w:val="231F20"/>
          <w:spacing w:val="-27"/>
          <w:w w:val="105"/>
        </w:rPr>
        <w:t> </w:t>
      </w:r>
      <w:r>
        <w:rPr>
          <w:color w:val="231F20"/>
          <w:w w:val="105"/>
        </w:rPr>
        <w:t>pura diferenciación—</w:t>
      </w:r>
      <w:r>
        <w:rPr>
          <w:color w:val="231F20"/>
          <w:spacing w:val="-10"/>
          <w:w w:val="105"/>
        </w:rPr>
        <w:t> </w:t>
      </w:r>
      <w:r>
        <w:rPr>
          <w:color w:val="231F20"/>
          <w:w w:val="105"/>
        </w:rPr>
        <w:t>entre</w:t>
      </w:r>
      <w:r>
        <w:rPr>
          <w:color w:val="231F20"/>
          <w:spacing w:val="-10"/>
          <w:w w:val="105"/>
        </w:rPr>
        <w:t> </w:t>
      </w:r>
      <w:r>
        <w:rPr>
          <w:color w:val="231F20"/>
          <w:w w:val="105"/>
        </w:rPr>
        <w:t>lo</w:t>
      </w:r>
      <w:r>
        <w:rPr>
          <w:color w:val="231F20"/>
          <w:spacing w:val="-10"/>
          <w:w w:val="105"/>
        </w:rPr>
        <w:t> </w:t>
      </w:r>
      <w:r>
        <w:rPr>
          <w:color w:val="231F20"/>
          <w:w w:val="105"/>
        </w:rPr>
        <w:t>local</w:t>
      </w:r>
      <w:r>
        <w:rPr>
          <w:color w:val="231F20"/>
          <w:spacing w:val="-10"/>
          <w:w w:val="105"/>
        </w:rPr>
        <w:t> </w:t>
      </w:r>
      <w:r>
        <w:rPr>
          <w:color w:val="231F20"/>
          <w:w w:val="105"/>
        </w:rPr>
        <w:t>y</w:t>
      </w:r>
      <w:r>
        <w:rPr>
          <w:color w:val="231F20"/>
          <w:spacing w:val="-10"/>
          <w:w w:val="105"/>
        </w:rPr>
        <w:t> </w:t>
      </w:r>
      <w:r>
        <w:rPr>
          <w:color w:val="231F20"/>
          <w:w w:val="105"/>
        </w:rPr>
        <w:t>lo</w:t>
      </w:r>
      <w:r>
        <w:rPr>
          <w:color w:val="231F20"/>
          <w:spacing w:val="-10"/>
          <w:w w:val="105"/>
        </w:rPr>
        <w:t> </w:t>
      </w:r>
      <w:r>
        <w:rPr>
          <w:color w:val="231F20"/>
          <w:w w:val="105"/>
        </w:rPr>
        <w:t>global:</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óptica</w:t>
      </w:r>
      <w:r>
        <w:rPr>
          <w:color w:val="231F20"/>
          <w:spacing w:val="-10"/>
          <w:w w:val="105"/>
        </w:rPr>
        <w:t> </w:t>
      </w:r>
      <w:r>
        <w:rPr>
          <w:color w:val="231F20"/>
          <w:w w:val="105"/>
        </w:rPr>
        <w:t>dicotómica</w:t>
      </w:r>
      <w:r>
        <w:rPr>
          <w:color w:val="231F20"/>
          <w:spacing w:val="-10"/>
          <w:w w:val="105"/>
        </w:rPr>
        <w:t> </w:t>
      </w:r>
      <w:r>
        <w:rPr>
          <w:color w:val="231F20"/>
          <w:w w:val="105"/>
        </w:rPr>
        <w:t>parece escapársele</w:t>
      </w:r>
      <w:r>
        <w:rPr>
          <w:color w:val="231F20"/>
          <w:spacing w:val="-37"/>
          <w:w w:val="105"/>
        </w:rPr>
        <w:t> </w:t>
      </w:r>
      <w:r>
        <w:rPr>
          <w:color w:val="231F20"/>
          <w:w w:val="105"/>
        </w:rPr>
        <w:t>un</w:t>
      </w:r>
      <w:r>
        <w:rPr>
          <w:color w:val="231F20"/>
          <w:spacing w:val="-37"/>
          <w:w w:val="105"/>
        </w:rPr>
        <w:t> </w:t>
      </w:r>
      <w:r>
        <w:rPr>
          <w:color w:val="231F20"/>
          <w:w w:val="105"/>
        </w:rPr>
        <w:t>elemento</w:t>
      </w:r>
      <w:r>
        <w:rPr>
          <w:color w:val="231F20"/>
          <w:spacing w:val="-37"/>
          <w:w w:val="105"/>
        </w:rPr>
        <w:t> </w:t>
      </w:r>
      <w:r>
        <w:rPr>
          <w:color w:val="231F20"/>
          <w:w w:val="105"/>
        </w:rPr>
        <w:t>decisivo:</w:t>
      </w:r>
      <w:r>
        <w:rPr>
          <w:color w:val="231F20"/>
          <w:spacing w:val="-37"/>
          <w:w w:val="105"/>
        </w:rPr>
        <w:t> </w:t>
      </w:r>
      <w:r>
        <w:rPr>
          <w:color w:val="231F20"/>
          <w:w w:val="105"/>
        </w:rPr>
        <w:t>para</w:t>
      </w:r>
      <w:r>
        <w:rPr>
          <w:color w:val="231F20"/>
          <w:spacing w:val="-37"/>
          <w:w w:val="105"/>
        </w:rPr>
        <w:t> </w:t>
      </w:r>
      <w:r>
        <w:rPr>
          <w:color w:val="231F20"/>
          <w:w w:val="105"/>
        </w:rPr>
        <w:t>superar</w:t>
      </w:r>
      <w:r>
        <w:rPr>
          <w:color w:val="231F20"/>
          <w:spacing w:val="-37"/>
          <w:w w:val="105"/>
        </w:rPr>
        <w:t> </w:t>
      </w:r>
      <w:r>
        <w:rPr>
          <w:color w:val="231F20"/>
          <w:w w:val="105"/>
        </w:rPr>
        <w:t>la</w:t>
      </w:r>
      <w:r>
        <w:rPr>
          <w:color w:val="231F20"/>
          <w:spacing w:val="-37"/>
          <w:w w:val="105"/>
        </w:rPr>
        <w:t> </w:t>
      </w:r>
      <w:r>
        <w:rPr>
          <w:color w:val="231F20"/>
          <w:w w:val="105"/>
        </w:rPr>
        <w:t>visión</w:t>
      </w:r>
      <w:r>
        <w:rPr>
          <w:color w:val="231F20"/>
          <w:spacing w:val="-37"/>
          <w:w w:val="105"/>
        </w:rPr>
        <w:t> </w:t>
      </w:r>
      <w:r>
        <w:rPr>
          <w:color w:val="231F20"/>
          <w:w w:val="105"/>
        </w:rPr>
        <w:t>unilateral</w:t>
      </w:r>
      <w:r>
        <w:rPr>
          <w:color w:val="231F20"/>
          <w:spacing w:val="-37"/>
          <w:w w:val="105"/>
        </w:rPr>
        <w:t> </w:t>
      </w:r>
      <w:r>
        <w:rPr>
          <w:color w:val="231F20"/>
          <w:w w:val="105"/>
        </w:rPr>
        <w:t>del</w:t>
      </w:r>
      <w:r>
        <w:rPr>
          <w:color w:val="231F20"/>
          <w:spacing w:val="-37"/>
          <w:w w:val="105"/>
        </w:rPr>
        <w:t> </w:t>
      </w:r>
      <w:r>
        <w:rPr>
          <w:color w:val="231F20"/>
          <w:w w:val="105"/>
        </w:rPr>
        <w:t>pro- ceso</w:t>
      </w:r>
      <w:r>
        <w:rPr>
          <w:color w:val="231F20"/>
          <w:spacing w:val="-20"/>
          <w:w w:val="105"/>
        </w:rPr>
        <w:t> </w:t>
      </w:r>
      <w:r>
        <w:rPr>
          <w:color w:val="231F20"/>
          <w:w w:val="105"/>
        </w:rPr>
        <w:t>de</w:t>
      </w:r>
      <w:r>
        <w:rPr>
          <w:color w:val="231F20"/>
          <w:spacing w:val="-20"/>
          <w:w w:val="105"/>
        </w:rPr>
        <w:t> </w:t>
      </w:r>
      <w:r>
        <w:rPr>
          <w:color w:val="231F20"/>
          <w:w w:val="105"/>
        </w:rPr>
        <w:t>globalización</w:t>
      </w:r>
      <w:r>
        <w:rPr>
          <w:color w:val="231F20"/>
          <w:spacing w:val="-20"/>
          <w:w w:val="105"/>
        </w:rPr>
        <w:t> </w:t>
      </w:r>
      <w:r>
        <w:rPr>
          <w:color w:val="231F20"/>
          <w:w w:val="105"/>
        </w:rPr>
        <w:t>no</w:t>
      </w:r>
      <w:r>
        <w:rPr>
          <w:color w:val="231F20"/>
          <w:spacing w:val="-20"/>
          <w:w w:val="105"/>
        </w:rPr>
        <w:t> </w:t>
      </w:r>
      <w:r>
        <w:rPr>
          <w:color w:val="231F20"/>
          <w:w w:val="105"/>
        </w:rPr>
        <w:t>basta</w:t>
      </w:r>
      <w:r>
        <w:rPr>
          <w:color w:val="231F20"/>
          <w:spacing w:val="-20"/>
          <w:w w:val="105"/>
        </w:rPr>
        <w:t> </w:t>
      </w:r>
      <w:r>
        <w:rPr>
          <w:color w:val="231F20"/>
          <w:w w:val="105"/>
        </w:rPr>
        <w:t>con</w:t>
      </w:r>
      <w:r>
        <w:rPr>
          <w:color w:val="231F20"/>
          <w:spacing w:val="-20"/>
          <w:w w:val="105"/>
        </w:rPr>
        <w:t> </w:t>
      </w:r>
      <w:r>
        <w:rPr>
          <w:color w:val="231F20"/>
          <w:w w:val="105"/>
        </w:rPr>
        <w:t>producir</w:t>
      </w:r>
      <w:r>
        <w:rPr>
          <w:color w:val="231F20"/>
          <w:spacing w:val="-20"/>
          <w:w w:val="105"/>
        </w:rPr>
        <w:t> </w:t>
      </w:r>
      <w:r>
        <w:rPr>
          <w:color w:val="231F20"/>
          <w:w w:val="105"/>
        </w:rPr>
        <w:t>un</w:t>
      </w:r>
      <w:r>
        <w:rPr>
          <w:color w:val="231F20"/>
          <w:spacing w:val="-20"/>
          <w:w w:val="105"/>
        </w:rPr>
        <w:t> </w:t>
      </w:r>
      <w:r>
        <w:rPr>
          <w:color w:val="231F20"/>
          <w:w w:val="105"/>
        </w:rPr>
        <w:t>desdoblamiento,</w:t>
      </w:r>
      <w:r>
        <w:rPr>
          <w:color w:val="231F20"/>
          <w:spacing w:val="-20"/>
          <w:w w:val="105"/>
        </w:rPr>
        <w:t> </w:t>
      </w:r>
      <w:r>
        <w:rPr>
          <w:color w:val="231F20"/>
          <w:w w:val="105"/>
        </w:rPr>
        <w:t>sino</w:t>
      </w:r>
      <w:r>
        <w:rPr>
          <w:color w:val="231F20"/>
          <w:spacing w:val="-20"/>
          <w:w w:val="105"/>
        </w:rPr>
        <w:t> </w:t>
      </w:r>
      <w:r>
        <w:rPr>
          <w:color w:val="231F20"/>
          <w:w w:val="105"/>
        </w:rPr>
        <w:t>que cabe</w:t>
      </w:r>
      <w:r>
        <w:rPr>
          <w:color w:val="231F20"/>
          <w:spacing w:val="-16"/>
          <w:w w:val="105"/>
        </w:rPr>
        <w:t> </w:t>
      </w:r>
      <w:r>
        <w:rPr>
          <w:color w:val="231F20"/>
          <w:w w:val="105"/>
        </w:rPr>
        <w:t>más</w:t>
      </w:r>
      <w:r>
        <w:rPr>
          <w:color w:val="231F20"/>
          <w:spacing w:val="-16"/>
          <w:w w:val="105"/>
        </w:rPr>
        <w:t> </w:t>
      </w:r>
      <w:r>
        <w:rPr>
          <w:color w:val="231F20"/>
          <w:w w:val="105"/>
        </w:rPr>
        <w:t>bien</w:t>
      </w:r>
      <w:r>
        <w:rPr>
          <w:color w:val="231F20"/>
          <w:spacing w:val="-16"/>
          <w:w w:val="105"/>
        </w:rPr>
        <w:t> </w:t>
      </w:r>
      <w:r>
        <w:rPr>
          <w:color w:val="231F20"/>
          <w:w w:val="105"/>
        </w:rPr>
        <w:t>abordar</w:t>
      </w:r>
      <w:r>
        <w:rPr>
          <w:color w:val="231F20"/>
          <w:spacing w:val="-16"/>
          <w:w w:val="105"/>
        </w:rPr>
        <w:t> </w:t>
      </w:r>
      <w:r>
        <w:rPr>
          <w:color w:val="231F20"/>
          <w:w w:val="105"/>
        </w:rPr>
        <w:t>el</w:t>
      </w:r>
      <w:r>
        <w:rPr>
          <w:color w:val="231F20"/>
          <w:spacing w:val="-16"/>
          <w:w w:val="105"/>
        </w:rPr>
        <w:t> </w:t>
      </w:r>
      <w:r>
        <w:rPr>
          <w:color w:val="231F20"/>
          <w:w w:val="105"/>
        </w:rPr>
        <w:t>núcleo</w:t>
      </w:r>
      <w:r>
        <w:rPr>
          <w:color w:val="231F20"/>
          <w:spacing w:val="-16"/>
          <w:w w:val="105"/>
        </w:rPr>
        <w:t> </w:t>
      </w:r>
      <w:r>
        <w:rPr>
          <w:color w:val="231F20"/>
          <w:w w:val="105"/>
        </w:rPr>
        <w:t>paradójico,</w:t>
      </w:r>
      <w:r>
        <w:rPr>
          <w:color w:val="231F20"/>
          <w:spacing w:val="-16"/>
          <w:w w:val="105"/>
        </w:rPr>
        <w:t> </w:t>
      </w:r>
      <w:r>
        <w:rPr>
          <w:color w:val="231F20"/>
          <w:w w:val="105"/>
        </w:rPr>
        <w:t>que</w:t>
      </w:r>
      <w:r>
        <w:rPr>
          <w:color w:val="231F20"/>
          <w:spacing w:val="-16"/>
          <w:w w:val="105"/>
        </w:rPr>
        <w:t> </w:t>
      </w:r>
      <w:r>
        <w:rPr>
          <w:color w:val="231F20"/>
          <w:w w:val="105"/>
        </w:rPr>
        <w:t>puede</w:t>
      </w:r>
      <w:r>
        <w:rPr>
          <w:color w:val="231F20"/>
          <w:spacing w:val="-16"/>
          <w:w w:val="105"/>
        </w:rPr>
        <w:t> </w:t>
      </w:r>
      <w:r>
        <w:rPr>
          <w:color w:val="231F20"/>
          <w:w w:val="105"/>
        </w:rPr>
        <w:t>rastrearse</w:t>
      </w:r>
      <w:r>
        <w:rPr>
          <w:color w:val="231F20"/>
          <w:spacing w:val="-16"/>
          <w:w w:val="105"/>
        </w:rPr>
        <w:t> </w:t>
      </w:r>
      <w:r>
        <w:rPr>
          <w:color w:val="231F20"/>
          <w:w w:val="105"/>
        </w:rPr>
        <w:t>justa- mente</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íntima</w:t>
      </w:r>
      <w:r>
        <w:rPr>
          <w:color w:val="231F20"/>
          <w:spacing w:val="-24"/>
          <w:w w:val="105"/>
        </w:rPr>
        <w:t> </w:t>
      </w:r>
      <w:r>
        <w:rPr>
          <w:color w:val="231F20"/>
          <w:w w:val="105"/>
        </w:rPr>
        <w:t>copertenencia</w:t>
      </w:r>
      <w:r>
        <w:rPr>
          <w:color w:val="231F20"/>
          <w:spacing w:val="-24"/>
          <w:w w:val="105"/>
        </w:rPr>
        <w:t> </w:t>
      </w:r>
      <w:r>
        <w:rPr>
          <w:color w:val="231F20"/>
          <w:w w:val="105"/>
        </w:rPr>
        <w:t>e</w:t>
      </w:r>
      <w:r>
        <w:rPr>
          <w:color w:val="231F20"/>
          <w:spacing w:val="-24"/>
          <w:w w:val="105"/>
        </w:rPr>
        <w:t> </w:t>
      </w:r>
      <w:r>
        <w:rPr>
          <w:color w:val="231F20"/>
          <w:w w:val="105"/>
        </w:rPr>
        <w:t>interacción</w:t>
      </w:r>
      <w:r>
        <w:rPr>
          <w:color w:val="231F20"/>
          <w:spacing w:val="-24"/>
          <w:w w:val="105"/>
        </w:rPr>
        <w:t> </w:t>
      </w:r>
      <w:r>
        <w:rPr>
          <w:color w:val="231F20"/>
          <w:w w:val="105"/>
        </w:rPr>
        <w:t>entre</w:t>
      </w:r>
      <w:r>
        <w:rPr>
          <w:color w:val="231F20"/>
          <w:spacing w:val="-24"/>
          <w:w w:val="105"/>
        </w:rPr>
        <w:t> </w:t>
      </w:r>
      <w:r>
        <w:rPr>
          <w:color w:val="231F20"/>
          <w:w w:val="105"/>
        </w:rPr>
        <w:t>las</w:t>
      </w:r>
      <w:r>
        <w:rPr>
          <w:color w:val="231F20"/>
          <w:spacing w:val="-24"/>
          <w:w w:val="105"/>
        </w:rPr>
        <w:t> </w:t>
      </w:r>
      <w:r>
        <w:rPr>
          <w:color w:val="231F20"/>
          <w:w w:val="105"/>
        </w:rPr>
        <w:t>dos</w:t>
      </w:r>
      <w:r>
        <w:rPr>
          <w:color w:val="231F20"/>
          <w:spacing w:val="-24"/>
          <w:w w:val="105"/>
        </w:rPr>
        <w:t> </w:t>
      </w:r>
      <w:r>
        <w:rPr>
          <w:color w:val="231F20"/>
          <w:w w:val="105"/>
        </w:rPr>
        <w:t>dimensiones de</w:t>
      </w:r>
      <w:r>
        <w:rPr>
          <w:color w:val="231F20"/>
          <w:spacing w:val="-15"/>
          <w:w w:val="105"/>
        </w:rPr>
        <w:t> </w:t>
      </w:r>
      <w:r>
        <w:rPr>
          <w:color w:val="231F20"/>
          <w:w w:val="105"/>
        </w:rPr>
        <w:t>lo</w:t>
      </w:r>
      <w:r>
        <w:rPr>
          <w:color w:val="231F20"/>
          <w:spacing w:val="-15"/>
          <w:w w:val="105"/>
        </w:rPr>
        <w:t> </w:t>
      </w:r>
      <w:r>
        <w:rPr>
          <w:color w:val="231F20"/>
          <w:w w:val="105"/>
        </w:rPr>
        <w:t>global</w:t>
      </w:r>
      <w:r>
        <w:rPr>
          <w:color w:val="231F20"/>
          <w:spacing w:val="-15"/>
          <w:w w:val="105"/>
        </w:rPr>
        <w:t> </w:t>
      </w:r>
      <w:r>
        <w:rPr>
          <w:color w:val="231F20"/>
          <w:w w:val="105"/>
        </w:rPr>
        <w:t>y</w:t>
      </w:r>
      <w:r>
        <w:rPr>
          <w:color w:val="231F20"/>
          <w:spacing w:val="-15"/>
          <w:w w:val="105"/>
        </w:rPr>
        <w:t> </w:t>
      </w:r>
      <w:r>
        <w:rPr>
          <w:color w:val="231F20"/>
          <w:w w:val="105"/>
        </w:rPr>
        <w:t>lo</w:t>
      </w:r>
      <w:r>
        <w:rPr>
          <w:color w:val="231F20"/>
          <w:spacing w:val="-15"/>
          <w:w w:val="105"/>
        </w:rPr>
        <w:t> </w:t>
      </w:r>
      <w:r>
        <w:rPr>
          <w:color w:val="231F20"/>
          <w:w w:val="105"/>
        </w:rPr>
        <w:t>local”</w:t>
      </w:r>
      <w:r>
        <w:rPr>
          <w:color w:val="231F20"/>
          <w:w w:val="105"/>
          <w:position w:val="7"/>
          <w:sz w:val="12"/>
        </w:rPr>
        <w:t>7</w:t>
      </w:r>
      <w:r>
        <w:rPr>
          <w:color w:val="231F20"/>
          <w:w w:val="105"/>
        </w:rPr>
        <w:t>.</w:t>
      </w:r>
      <w:r>
        <w:rPr>
          <w:color w:val="231F20"/>
          <w:spacing w:val="-15"/>
          <w:w w:val="105"/>
        </w:rPr>
        <w:t> </w:t>
      </w:r>
      <w:r>
        <w:rPr>
          <w:color w:val="231F20"/>
          <w:w w:val="105"/>
        </w:rPr>
        <w:t>Superar</w:t>
      </w:r>
      <w:r>
        <w:rPr>
          <w:color w:val="231F20"/>
          <w:spacing w:val="-15"/>
          <w:w w:val="105"/>
        </w:rPr>
        <w:t> </w:t>
      </w:r>
      <w:r>
        <w:rPr>
          <w:color w:val="231F20"/>
          <w:w w:val="105"/>
        </w:rPr>
        <w:t>esta</w:t>
      </w:r>
      <w:r>
        <w:rPr>
          <w:color w:val="231F20"/>
          <w:spacing w:val="-15"/>
          <w:w w:val="105"/>
        </w:rPr>
        <w:t> </w:t>
      </w:r>
      <w:r>
        <w:rPr>
          <w:color w:val="231F20"/>
          <w:w w:val="105"/>
        </w:rPr>
        <w:t>lógica</w:t>
      </w:r>
      <w:r>
        <w:rPr>
          <w:color w:val="231F20"/>
          <w:spacing w:val="-15"/>
          <w:w w:val="105"/>
        </w:rPr>
        <w:t> </w:t>
      </w:r>
      <w:r>
        <w:rPr>
          <w:color w:val="231F20"/>
          <w:w w:val="105"/>
        </w:rPr>
        <w:t>dicotómica</w:t>
      </w:r>
      <w:r>
        <w:rPr>
          <w:color w:val="231F20"/>
          <w:spacing w:val="-15"/>
          <w:w w:val="105"/>
        </w:rPr>
        <w:t> </w:t>
      </w:r>
      <w:r>
        <w:rPr>
          <w:color w:val="231F20"/>
          <w:w w:val="105"/>
        </w:rPr>
        <w:t>supone</w:t>
      </w:r>
      <w:r>
        <w:rPr>
          <w:color w:val="231F20"/>
          <w:spacing w:val="-15"/>
          <w:w w:val="105"/>
        </w:rPr>
        <w:t> </w:t>
      </w:r>
      <w:r>
        <w:rPr>
          <w:color w:val="231F20"/>
          <w:w w:val="105"/>
        </w:rPr>
        <w:t>varias</w:t>
      </w:r>
      <w:r>
        <w:rPr>
          <w:color w:val="231F20"/>
          <w:spacing w:val="-15"/>
          <w:w w:val="105"/>
        </w:rPr>
        <w:t> </w:t>
      </w:r>
      <w:r>
        <w:rPr>
          <w:color w:val="231F20"/>
          <w:w w:val="105"/>
        </w:rPr>
        <w:t>co- sas;</w:t>
      </w:r>
      <w:r>
        <w:rPr>
          <w:color w:val="231F20"/>
          <w:spacing w:val="-34"/>
          <w:w w:val="105"/>
        </w:rPr>
        <w:t> </w:t>
      </w:r>
      <w:r>
        <w:rPr>
          <w:color w:val="231F20"/>
          <w:w w:val="105"/>
        </w:rPr>
        <w:t>en</w:t>
      </w:r>
      <w:r>
        <w:rPr>
          <w:color w:val="231F20"/>
          <w:spacing w:val="-34"/>
          <w:w w:val="105"/>
        </w:rPr>
        <w:t> </w:t>
      </w:r>
      <w:r>
        <w:rPr>
          <w:color w:val="231F20"/>
          <w:w w:val="105"/>
        </w:rPr>
        <w:t>primer</w:t>
      </w:r>
      <w:r>
        <w:rPr>
          <w:color w:val="231F20"/>
          <w:spacing w:val="-34"/>
          <w:w w:val="105"/>
        </w:rPr>
        <w:t> </w:t>
      </w:r>
      <w:r>
        <w:rPr>
          <w:color w:val="231F20"/>
          <w:spacing w:val="-4"/>
          <w:w w:val="105"/>
        </w:rPr>
        <w:t>lugar,</w:t>
      </w:r>
      <w:r>
        <w:rPr>
          <w:color w:val="231F20"/>
          <w:spacing w:val="-34"/>
          <w:w w:val="105"/>
        </w:rPr>
        <w:t> </w:t>
      </w:r>
      <w:r>
        <w:rPr>
          <w:color w:val="231F20"/>
          <w:w w:val="105"/>
        </w:rPr>
        <w:t>que</w:t>
      </w:r>
      <w:r>
        <w:rPr>
          <w:color w:val="231F20"/>
          <w:spacing w:val="-33"/>
          <w:w w:val="105"/>
        </w:rPr>
        <w:t> </w:t>
      </w:r>
      <w:r>
        <w:rPr>
          <w:color w:val="231F20"/>
          <w:w w:val="105"/>
        </w:rPr>
        <w:t>no</w:t>
      </w:r>
      <w:r>
        <w:rPr>
          <w:color w:val="231F20"/>
          <w:spacing w:val="-34"/>
          <w:w w:val="105"/>
        </w:rPr>
        <w:t> </w:t>
      </w:r>
      <w:r>
        <w:rPr>
          <w:color w:val="231F20"/>
          <w:w w:val="105"/>
        </w:rPr>
        <w:t>puede</w:t>
      </w:r>
      <w:r>
        <w:rPr>
          <w:color w:val="231F20"/>
          <w:spacing w:val="-34"/>
          <w:w w:val="105"/>
        </w:rPr>
        <w:t> </w:t>
      </w:r>
      <w:r>
        <w:rPr>
          <w:color w:val="231F20"/>
          <w:w w:val="105"/>
        </w:rPr>
        <w:t>hablarse</w:t>
      </w:r>
      <w:r>
        <w:rPr>
          <w:color w:val="231F20"/>
          <w:spacing w:val="-34"/>
          <w:w w:val="105"/>
        </w:rPr>
        <w:t> </w:t>
      </w:r>
      <w:r>
        <w:rPr>
          <w:color w:val="231F20"/>
          <w:w w:val="105"/>
        </w:rPr>
        <w:t>de</w:t>
      </w:r>
      <w:r>
        <w:rPr>
          <w:color w:val="231F20"/>
          <w:spacing w:val="-34"/>
          <w:w w:val="105"/>
        </w:rPr>
        <w:t> </w:t>
      </w:r>
      <w:r>
        <w:rPr>
          <w:color w:val="231F20"/>
          <w:w w:val="105"/>
        </w:rPr>
        <w:t>ningún</w:t>
      </w:r>
      <w:r>
        <w:rPr>
          <w:color w:val="231F20"/>
          <w:spacing w:val="-34"/>
          <w:w w:val="105"/>
        </w:rPr>
        <w:t> </w:t>
      </w:r>
      <w:r>
        <w:rPr>
          <w:color w:val="231F20"/>
          <w:w w:val="105"/>
        </w:rPr>
        <w:t>gesto</w:t>
      </w:r>
      <w:r>
        <w:rPr>
          <w:color w:val="231F20"/>
          <w:spacing w:val="-34"/>
          <w:w w:val="105"/>
        </w:rPr>
        <w:t> </w:t>
      </w:r>
      <w:r>
        <w:rPr>
          <w:color w:val="231F20"/>
          <w:w w:val="105"/>
        </w:rPr>
        <w:t>originario:</w:t>
      </w:r>
      <w:r>
        <w:rPr>
          <w:color w:val="231F20"/>
          <w:spacing w:val="-34"/>
          <w:w w:val="105"/>
        </w:rPr>
        <w:t> </w:t>
      </w:r>
      <w:r>
        <w:rPr>
          <w:color w:val="231F20"/>
          <w:w w:val="105"/>
        </w:rPr>
        <w:t>no existe</w:t>
      </w:r>
      <w:r>
        <w:rPr>
          <w:color w:val="231F20"/>
          <w:spacing w:val="-18"/>
          <w:w w:val="105"/>
        </w:rPr>
        <w:t> </w:t>
      </w:r>
      <w:r>
        <w:rPr>
          <w:color w:val="231F20"/>
          <w:w w:val="105"/>
        </w:rPr>
        <w:t>la</w:t>
      </w:r>
      <w:r>
        <w:rPr>
          <w:color w:val="231F20"/>
          <w:spacing w:val="-18"/>
          <w:w w:val="105"/>
        </w:rPr>
        <w:t> </w:t>
      </w:r>
      <w:r>
        <w:rPr>
          <w:color w:val="231F20"/>
          <w:w w:val="105"/>
        </w:rPr>
        <w:t>globalización</w:t>
      </w:r>
      <w:r>
        <w:rPr>
          <w:color w:val="231F20"/>
          <w:spacing w:val="-18"/>
          <w:w w:val="105"/>
        </w:rPr>
        <w:t> </w:t>
      </w:r>
      <w:r>
        <w:rPr>
          <w:color w:val="231F20"/>
          <w:w w:val="105"/>
        </w:rPr>
        <w:t>pura,</w:t>
      </w:r>
      <w:r>
        <w:rPr>
          <w:color w:val="231F20"/>
          <w:spacing w:val="-18"/>
          <w:w w:val="105"/>
        </w:rPr>
        <w:t> </w:t>
      </w:r>
      <w:r>
        <w:rPr>
          <w:color w:val="231F20"/>
          <w:w w:val="105"/>
        </w:rPr>
        <w:t>pues</w:t>
      </w:r>
      <w:r>
        <w:rPr>
          <w:color w:val="231F20"/>
          <w:spacing w:val="-18"/>
          <w:w w:val="105"/>
        </w:rPr>
        <w:t> </w:t>
      </w:r>
      <w:r>
        <w:rPr>
          <w:color w:val="231F20"/>
          <w:w w:val="105"/>
        </w:rPr>
        <w:t>ésta</w:t>
      </w:r>
      <w:r>
        <w:rPr>
          <w:color w:val="231F20"/>
          <w:spacing w:val="-18"/>
          <w:w w:val="105"/>
        </w:rPr>
        <w:t> </w:t>
      </w:r>
      <w:r>
        <w:rPr>
          <w:color w:val="231F20"/>
          <w:w w:val="105"/>
        </w:rPr>
        <w:t>no</w:t>
      </w:r>
      <w:r>
        <w:rPr>
          <w:color w:val="231F20"/>
          <w:spacing w:val="-18"/>
          <w:w w:val="105"/>
        </w:rPr>
        <w:t> </w:t>
      </w:r>
      <w:r>
        <w:rPr>
          <w:color w:val="231F20"/>
          <w:w w:val="105"/>
        </w:rPr>
        <w:t>puede</w:t>
      </w:r>
      <w:r>
        <w:rPr>
          <w:color w:val="231F20"/>
          <w:spacing w:val="-18"/>
          <w:w w:val="105"/>
        </w:rPr>
        <w:t> </w:t>
      </w:r>
      <w:r>
        <w:rPr>
          <w:color w:val="231F20"/>
          <w:w w:val="105"/>
        </w:rPr>
        <w:t>concebirse</w:t>
      </w:r>
      <w:r>
        <w:rPr>
          <w:color w:val="231F20"/>
          <w:spacing w:val="-18"/>
          <w:w w:val="105"/>
        </w:rPr>
        <w:t> </w:t>
      </w:r>
      <w:r>
        <w:rPr>
          <w:color w:val="231F20"/>
          <w:w w:val="105"/>
        </w:rPr>
        <w:t>sin</w:t>
      </w:r>
      <w:r>
        <w:rPr>
          <w:color w:val="231F20"/>
          <w:spacing w:val="-18"/>
          <w:w w:val="105"/>
        </w:rPr>
        <w:t> </w:t>
      </w:r>
      <w:r>
        <w:rPr>
          <w:color w:val="231F20"/>
          <w:w w:val="105"/>
        </w:rPr>
        <w:t>conjuntar expresiones</w:t>
      </w:r>
      <w:r>
        <w:rPr>
          <w:color w:val="231F20"/>
          <w:spacing w:val="-16"/>
          <w:w w:val="105"/>
        </w:rPr>
        <w:t> </w:t>
      </w:r>
      <w:r>
        <w:rPr>
          <w:color w:val="231F20"/>
          <w:w w:val="105"/>
        </w:rPr>
        <w:t>locales;</w:t>
      </w:r>
      <w:r>
        <w:rPr>
          <w:color w:val="231F20"/>
          <w:spacing w:val="-16"/>
          <w:w w:val="105"/>
        </w:rPr>
        <w:t> </w:t>
      </w:r>
      <w:r>
        <w:rPr>
          <w:color w:val="231F20"/>
          <w:w w:val="105"/>
        </w:rPr>
        <w:t>pero</w:t>
      </w:r>
      <w:r>
        <w:rPr>
          <w:color w:val="231F20"/>
          <w:spacing w:val="-16"/>
          <w:w w:val="105"/>
        </w:rPr>
        <w:t> </w:t>
      </w:r>
      <w:r>
        <w:rPr>
          <w:color w:val="231F20"/>
          <w:w w:val="105"/>
        </w:rPr>
        <w:t>en</w:t>
      </w:r>
      <w:r>
        <w:rPr>
          <w:color w:val="231F20"/>
          <w:spacing w:val="-16"/>
          <w:w w:val="105"/>
        </w:rPr>
        <w:t> </w:t>
      </w:r>
      <w:r>
        <w:rPr>
          <w:color w:val="231F20"/>
          <w:w w:val="105"/>
        </w:rPr>
        <w:t>sentido</w:t>
      </w:r>
      <w:r>
        <w:rPr>
          <w:color w:val="231F20"/>
          <w:spacing w:val="-16"/>
          <w:w w:val="105"/>
        </w:rPr>
        <w:t> </w:t>
      </w:r>
      <w:r>
        <w:rPr>
          <w:color w:val="231F20"/>
          <w:w w:val="105"/>
        </w:rPr>
        <w:t>inverso,</w:t>
      </w:r>
      <w:r>
        <w:rPr>
          <w:color w:val="231F20"/>
          <w:spacing w:val="-16"/>
          <w:w w:val="105"/>
        </w:rPr>
        <w:t> </w:t>
      </w:r>
      <w:r>
        <w:rPr>
          <w:color w:val="231F20"/>
          <w:w w:val="105"/>
        </w:rPr>
        <w:t>no</w:t>
      </w:r>
      <w:r>
        <w:rPr>
          <w:color w:val="231F20"/>
          <w:spacing w:val="-16"/>
          <w:w w:val="105"/>
        </w:rPr>
        <w:t> </w:t>
      </w:r>
      <w:r>
        <w:rPr>
          <w:color w:val="231F20"/>
          <w:w w:val="105"/>
        </w:rPr>
        <w:t>existe</w:t>
      </w:r>
      <w:r>
        <w:rPr>
          <w:color w:val="231F20"/>
          <w:spacing w:val="-16"/>
          <w:w w:val="105"/>
        </w:rPr>
        <w:t> </w:t>
      </w:r>
      <w:r>
        <w:rPr>
          <w:color w:val="231F20"/>
          <w:w w:val="105"/>
        </w:rPr>
        <w:t>lo</w:t>
      </w:r>
      <w:r>
        <w:rPr>
          <w:color w:val="231F20"/>
          <w:spacing w:val="-16"/>
          <w:w w:val="105"/>
        </w:rPr>
        <w:t> </w:t>
      </w:r>
      <w:r>
        <w:rPr>
          <w:color w:val="231F20"/>
          <w:w w:val="105"/>
        </w:rPr>
        <w:t>local</w:t>
      </w:r>
      <w:r>
        <w:rPr>
          <w:color w:val="231F20"/>
          <w:spacing w:val="-16"/>
          <w:w w:val="105"/>
        </w:rPr>
        <w:t> </w:t>
      </w:r>
      <w:r>
        <w:rPr>
          <w:color w:val="231F20"/>
          <w:w w:val="105"/>
        </w:rPr>
        <w:t>en</w:t>
      </w:r>
      <w:r>
        <w:rPr>
          <w:color w:val="231F20"/>
          <w:spacing w:val="-16"/>
          <w:w w:val="105"/>
        </w:rPr>
        <w:t> </w:t>
      </w:r>
      <w:r>
        <w:rPr>
          <w:color w:val="231F20"/>
          <w:w w:val="105"/>
        </w:rPr>
        <w:t>estado puro,</w:t>
      </w:r>
      <w:r>
        <w:rPr>
          <w:color w:val="231F20"/>
          <w:spacing w:val="-24"/>
          <w:w w:val="105"/>
        </w:rPr>
        <w:t> </w:t>
      </w:r>
      <w:r>
        <w:rPr>
          <w:color w:val="231F20"/>
          <w:w w:val="105"/>
        </w:rPr>
        <w:t>pues</w:t>
      </w:r>
      <w:r>
        <w:rPr>
          <w:color w:val="231F20"/>
          <w:spacing w:val="-24"/>
          <w:w w:val="105"/>
        </w:rPr>
        <w:t> </w:t>
      </w:r>
      <w:r>
        <w:rPr>
          <w:color w:val="231F20"/>
          <w:w w:val="105"/>
        </w:rPr>
        <w:t>todo</w:t>
      </w:r>
      <w:r>
        <w:rPr>
          <w:color w:val="231F20"/>
          <w:spacing w:val="-24"/>
          <w:w w:val="105"/>
        </w:rPr>
        <w:t> </w:t>
      </w:r>
      <w:r>
        <w:rPr>
          <w:color w:val="231F20"/>
          <w:w w:val="105"/>
        </w:rPr>
        <w:t>gesto</w:t>
      </w:r>
      <w:r>
        <w:rPr>
          <w:color w:val="231F20"/>
          <w:spacing w:val="-24"/>
          <w:w w:val="105"/>
        </w:rPr>
        <w:t> </w:t>
      </w:r>
      <w:r>
        <w:rPr>
          <w:color w:val="231F20"/>
          <w:w w:val="105"/>
        </w:rPr>
        <w:t>particular</w:t>
      </w:r>
      <w:r>
        <w:rPr>
          <w:color w:val="231F20"/>
          <w:spacing w:val="-24"/>
          <w:w w:val="105"/>
        </w:rPr>
        <w:t> </w:t>
      </w:r>
      <w:r>
        <w:rPr>
          <w:color w:val="231F20"/>
          <w:w w:val="105"/>
        </w:rPr>
        <w:t>es</w:t>
      </w:r>
      <w:r>
        <w:rPr>
          <w:color w:val="231F20"/>
          <w:spacing w:val="-24"/>
          <w:w w:val="105"/>
        </w:rPr>
        <w:t> </w:t>
      </w:r>
      <w:r>
        <w:rPr>
          <w:color w:val="231F20"/>
          <w:w w:val="105"/>
        </w:rPr>
        <w:t>ya</w:t>
      </w:r>
      <w:r>
        <w:rPr>
          <w:color w:val="231F20"/>
          <w:spacing w:val="-24"/>
          <w:w w:val="105"/>
        </w:rPr>
        <w:t> </w:t>
      </w:r>
      <w:r>
        <w:rPr>
          <w:color w:val="231F20"/>
          <w:w w:val="105"/>
        </w:rPr>
        <w:t>una</w:t>
      </w:r>
      <w:r>
        <w:rPr>
          <w:color w:val="231F20"/>
          <w:spacing w:val="-24"/>
          <w:w w:val="105"/>
        </w:rPr>
        <w:t> </w:t>
      </w:r>
      <w:r>
        <w:rPr>
          <w:color w:val="231F20"/>
          <w:w w:val="105"/>
        </w:rPr>
        <w:t>expresión</w:t>
      </w:r>
      <w:r>
        <w:rPr>
          <w:color w:val="231F20"/>
          <w:spacing w:val="-24"/>
          <w:w w:val="105"/>
        </w:rPr>
        <w:t> </w:t>
      </w:r>
      <w:r>
        <w:rPr>
          <w:color w:val="231F20"/>
          <w:w w:val="105"/>
        </w:rPr>
        <w:t>que</w:t>
      </w:r>
      <w:r>
        <w:rPr>
          <w:color w:val="231F20"/>
          <w:spacing w:val="-24"/>
          <w:w w:val="105"/>
        </w:rPr>
        <w:t> </w:t>
      </w:r>
      <w:r>
        <w:rPr>
          <w:color w:val="231F20"/>
          <w:w w:val="105"/>
        </w:rPr>
        <w:t>conjunta</w:t>
      </w:r>
      <w:r>
        <w:rPr>
          <w:color w:val="231F20"/>
          <w:spacing w:val="-24"/>
          <w:w w:val="105"/>
        </w:rPr>
        <w:t> </w:t>
      </w:r>
      <w:r>
        <w:rPr>
          <w:color w:val="231F20"/>
          <w:w w:val="105"/>
        </w:rPr>
        <w:t>rasgos</w:t>
      </w:r>
    </w:p>
    <w:p>
      <w:pPr>
        <w:pStyle w:val="BodyText"/>
        <w:rPr>
          <w:sz w:val="20"/>
        </w:rPr>
      </w:pPr>
    </w:p>
    <w:p>
      <w:pPr>
        <w:pStyle w:val="BodyText"/>
        <w:spacing w:before="2"/>
        <w:rPr>
          <w:sz w:val="14"/>
        </w:rPr>
      </w:pPr>
      <w:r>
        <w:rPr/>
        <w:pict>
          <v:line style="position:absolute;mso-position-horizontal-relative:page;mso-position-vertical-relative:paragraph;z-index:3976;mso-wrap-distance-left:0;mso-wrap-distance-right:0" from="70.866096pt,10.66347pt" to="184.252096pt,10.66347pt" stroked="true" strokeweight=".3pt" strokecolor="#231f20">
            <w10:wrap type="topAndBottom"/>
          </v:line>
        </w:pict>
      </w:r>
    </w:p>
    <w:p>
      <w:pPr>
        <w:spacing w:line="204" w:lineRule="exact" w:before="8"/>
        <w:ind w:left="117" w:right="101" w:firstLine="0"/>
        <w:jc w:val="both"/>
        <w:rPr>
          <w:rFonts w:ascii="Calibri" w:hAnsi="Calibri"/>
          <w:sz w:val="17"/>
        </w:rPr>
      </w:pPr>
      <w:r>
        <w:rPr>
          <w:rFonts w:ascii="Calibri" w:hAnsi="Calibri"/>
          <w:color w:val="231F20"/>
          <w:w w:val="105"/>
          <w:position w:val="6"/>
          <w:sz w:val="10"/>
        </w:rPr>
        <w:t>4</w:t>
      </w:r>
      <w:r>
        <w:rPr>
          <w:rFonts w:ascii="Calibri" w:hAnsi="Calibri"/>
          <w:color w:val="231F20"/>
          <w:spacing w:val="-11"/>
          <w:w w:val="105"/>
          <w:position w:val="6"/>
          <w:sz w:val="10"/>
        </w:rPr>
        <w:t> </w:t>
      </w:r>
      <w:r>
        <w:rPr>
          <w:rFonts w:ascii="Calibri" w:hAnsi="Calibri"/>
          <w:color w:val="231F20"/>
          <w:spacing w:val="-6"/>
          <w:w w:val="105"/>
          <w:sz w:val="17"/>
        </w:rPr>
        <w:t>W.</w:t>
      </w:r>
      <w:r>
        <w:rPr>
          <w:rFonts w:ascii="Calibri" w:hAnsi="Calibri"/>
          <w:color w:val="231F20"/>
          <w:spacing w:val="-25"/>
          <w:w w:val="105"/>
          <w:sz w:val="17"/>
        </w:rPr>
        <w:t> </w:t>
      </w:r>
      <w:r>
        <w:rPr>
          <w:rFonts w:ascii="Calibri" w:hAnsi="Calibri"/>
          <w:color w:val="231F20"/>
          <w:w w:val="105"/>
          <w:sz w:val="17"/>
        </w:rPr>
        <w:t>Scheuerman,</w:t>
      </w:r>
      <w:r>
        <w:rPr>
          <w:rFonts w:ascii="Calibri" w:hAnsi="Calibri"/>
          <w:color w:val="231F20"/>
          <w:spacing w:val="-25"/>
          <w:w w:val="105"/>
          <w:sz w:val="17"/>
        </w:rPr>
        <w:t> </w:t>
      </w:r>
      <w:r>
        <w:rPr>
          <w:rFonts w:ascii="Calibri" w:hAnsi="Calibri"/>
          <w:color w:val="231F20"/>
          <w:w w:val="105"/>
          <w:sz w:val="17"/>
        </w:rPr>
        <w:t>“Globalization”,</w:t>
      </w:r>
      <w:r>
        <w:rPr>
          <w:rFonts w:ascii="Calibri" w:hAnsi="Calibri"/>
          <w:color w:val="231F20"/>
          <w:spacing w:val="-26"/>
          <w:w w:val="105"/>
          <w:sz w:val="17"/>
        </w:rPr>
        <w:t> </w:t>
      </w:r>
      <w:r>
        <w:rPr>
          <w:rFonts w:ascii="Calibri" w:hAnsi="Calibri"/>
          <w:i/>
          <w:color w:val="231F20"/>
          <w:w w:val="105"/>
          <w:sz w:val="17"/>
        </w:rPr>
        <w:t>The</w:t>
      </w:r>
      <w:r>
        <w:rPr>
          <w:rFonts w:ascii="Calibri" w:hAnsi="Calibri"/>
          <w:i/>
          <w:color w:val="231F20"/>
          <w:spacing w:val="-26"/>
          <w:w w:val="105"/>
          <w:sz w:val="17"/>
        </w:rPr>
        <w:t> </w:t>
      </w:r>
      <w:r>
        <w:rPr>
          <w:rFonts w:ascii="Calibri" w:hAnsi="Calibri"/>
          <w:i/>
          <w:color w:val="231F20"/>
          <w:w w:val="105"/>
          <w:sz w:val="17"/>
        </w:rPr>
        <w:t>Stanford</w:t>
      </w:r>
      <w:r>
        <w:rPr>
          <w:rFonts w:ascii="Calibri" w:hAnsi="Calibri"/>
          <w:i/>
          <w:color w:val="231F20"/>
          <w:spacing w:val="-26"/>
          <w:w w:val="105"/>
          <w:sz w:val="17"/>
        </w:rPr>
        <w:t> </w:t>
      </w:r>
      <w:r>
        <w:rPr>
          <w:rFonts w:ascii="Calibri" w:hAnsi="Calibri"/>
          <w:i/>
          <w:color w:val="231F20"/>
          <w:w w:val="105"/>
          <w:sz w:val="17"/>
        </w:rPr>
        <w:t>Encyclopedia</w:t>
      </w:r>
      <w:r>
        <w:rPr>
          <w:rFonts w:ascii="Calibri" w:hAnsi="Calibri"/>
          <w:i/>
          <w:color w:val="231F20"/>
          <w:spacing w:val="-26"/>
          <w:w w:val="105"/>
          <w:sz w:val="17"/>
        </w:rPr>
        <w:t> </w:t>
      </w:r>
      <w:r>
        <w:rPr>
          <w:rFonts w:ascii="Calibri" w:hAnsi="Calibri"/>
          <w:i/>
          <w:color w:val="231F20"/>
          <w:w w:val="105"/>
          <w:sz w:val="17"/>
        </w:rPr>
        <w:t>of</w:t>
      </w:r>
      <w:r>
        <w:rPr>
          <w:rFonts w:ascii="Calibri" w:hAnsi="Calibri"/>
          <w:i/>
          <w:color w:val="231F20"/>
          <w:spacing w:val="-26"/>
          <w:w w:val="105"/>
          <w:sz w:val="17"/>
        </w:rPr>
        <w:t> </w:t>
      </w:r>
      <w:r>
        <w:rPr>
          <w:rFonts w:ascii="Calibri" w:hAnsi="Calibri"/>
          <w:i/>
          <w:color w:val="231F20"/>
          <w:w w:val="105"/>
          <w:sz w:val="17"/>
        </w:rPr>
        <w:t>Philosophy</w:t>
      </w:r>
      <w:r>
        <w:rPr>
          <w:rFonts w:ascii="Calibri" w:hAnsi="Calibri"/>
          <w:color w:val="231F20"/>
          <w:w w:val="105"/>
          <w:sz w:val="17"/>
        </w:rPr>
        <w:t>,</w:t>
      </w:r>
      <w:r>
        <w:rPr>
          <w:rFonts w:ascii="Calibri" w:hAnsi="Calibri"/>
          <w:color w:val="231F20"/>
          <w:spacing w:val="-25"/>
          <w:w w:val="105"/>
          <w:sz w:val="17"/>
        </w:rPr>
        <w:t> </w:t>
      </w:r>
      <w:r>
        <w:rPr>
          <w:rFonts w:ascii="Calibri" w:hAnsi="Calibri"/>
          <w:color w:val="231F20"/>
          <w:w w:val="105"/>
          <w:sz w:val="17"/>
        </w:rPr>
        <w:t>Stanford,</w:t>
      </w:r>
      <w:r>
        <w:rPr>
          <w:rFonts w:ascii="Calibri" w:hAnsi="Calibri"/>
          <w:color w:val="231F20"/>
          <w:spacing w:val="-25"/>
          <w:w w:val="105"/>
          <w:sz w:val="17"/>
        </w:rPr>
        <w:t> </w:t>
      </w:r>
      <w:r>
        <w:rPr>
          <w:rFonts w:ascii="Calibri" w:hAnsi="Calibri"/>
          <w:color w:val="231F20"/>
          <w:w w:val="105"/>
          <w:sz w:val="17"/>
        </w:rPr>
        <w:t>Stanford</w:t>
      </w:r>
      <w:r>
        <w:rPr>
          <w:rFonts w:ascii="Calibri" w:hAnsi="Calibri"/>
          <w:color w:val="231F20"/>
          <w:spacing w:val="-25"/>
          <w:w w:val="105"/>
          <w:sz w:val="17"/>
        </w:rPr>
        <w:t> </w:t>
      </w:r>
      <w:r>
        <w:rPr>
          <w:rFonts w:ascii="Calibri" w:hAnsi="Calibri"/>
          <w:color w:val="231F20"/>
          <w:w w:val="105"/>
          <w:sz w:val="17"/>
        </w:rPr>
        <w:t>Uni- </w:t>
      </w:r>
      <w:r>
        <w:rPr>
          <w:rFonts w:ascii="Calibri" w:hAnsi="Calibri"/>
          <w:color w:val="231F20"/>
          <w:w w:val="95"/>
          <w:sz w:val="17"/>
        </w:rPr>
        <w:t>versity,</w:t>
      </w:r>
      <w:r>
        <w:rPr>
          <w:rFonts w:ascii="Calibri" w:hAnsi="Calibri"/>
          <w:color w:val="231F20"/>
          <w:spacing w:val="17"/>
          <w:w w:val="95"/>
          <w:sz w:val="17"/>
        </w:rPr>
        <w:t> </w:t>
      </w:r>
      <w:r>
        <w:rPr>
          <w:rFonts w:ascii="Calibri" w:hAnsi="Calibri"/>
          <w:color w:val="231F20"/>
          <w:w w:val="95"/>
          <w:sz w:val="17"/>
        </w:rPr>
        <w:t>2014.</w:t>
      </w:r>
    </w:p>
    <w:p>
      <w:pPr>
        <w:spacing w:line="204" w:lineRule="exact" w:before="0"/>
        <w:ind w:left="117" w:right="101" w:firstLine="0"/>
        <w:jc w:val="both"/>
        <w:rPr>
          <w:rFonts w:ascii="Calibri" w:hAnsi="Calibri"/>
          <w:sz w:val="17"/>
        </w:rPr>
      </w:pPr>
      <w:r>
        <w:rPr>
          <w:rFonts w:ascii="Calibri" w:hAnsi="Calibri"/>
          <w:color w:val="231F20"/>
          <w:position w:val="6"/>
          <w:sz w:val="10"/>
        </w:rPr>
        <w:t>5 </w:t>
      </w:r>
      <w:r>
        <w:rPr>
          <w:rFonts w:ascii="Calibri" w:hAnsi="Calibri"/>
          <w:color w:val="231F20"/>
          <w:sz w:val="17"/>
        </w:rPr>
        <w:t>Scheuerman apunta que el término comenzó a utilizarse en los años setenta, fue acuñado por Ronald Robertson y con él subrayaba sobre el carácter no unívoco sino paradójico de la globaliza- ción; intentaba así superar el mito de verla como un mero proceso de unificación. </w:t>
      </w:r>
      <w:r>
        <w:rPr>
          <w:rFonts w:ascii="Calibri" w:hAnsi="Calibri"/>
          <w:i/>
          <w:color w:val="231F20"/>
          <w:sz w:val="17"/>
        </w:rPr>
        <w:t>Cfr. </w:t>
      </w:r>
      <w:r>
        <w:rPr>
          <w:rFonts w:ascii="Calibri" w:hAnsi="Calibri"/>
          <w:color w:val="231F20"/>
          <w:sz w:val="17"/>
        </w:rPr>
        <w:t>R. Robertson, “Glocalization: Time–Space and Homogeneity–Heterogeneity”, M. Featherstone (Ed.), </w:t>
      </w:r>
      <w:r>
        <w:rPr>
          <w:rFonts w:ascii="Calibri" w:hAnsi="Calibri"/>
          <w:i/>
          <w:color w:val="231F20"/>
          <w:sz w:val="17"/>
        </w:rPr>
        <w:t>Global Mo- </w:t>
      </w:r>
      <w:r>
        <w:rPr>
          <w:rFonts w:ascii="Calibri" w:hAnsi="Calibri"/>
          <w:i/>
          <w:color w:val="231F20"/>
          <w:sz w:val="17"/>
        </w:rPr>
        <w:t>dernities</w:t>
      </w:r>
      <w:r>
        <w:rPr>
          <w:rFonts w:ascii="Calibri" w:hAnsi="Calibri"/>
          <w:color w:val="231F20"/>
          <w:sz w:val="17"/>
        </w:rPr>
        <w:t>, London, London Sage, 1995.</w:t>
      </w:r>
    </w:p>
    <w:p>
      <w:pPr>
        <w:spacing w:line="206" w:lineRule="exact" w:before="1"/>
        <w:ind w:left="117" w:right="0" w:firstLine="0"/>
        <w:jc w:val="both"/>
        <w:rPr>
          <w:rFonts w:ascii="Calibri"/>
          <w:sz w:val="17"/>
        </w:rPr>
      </w:pPr>
      <w:r>
        <w:rPr>
          <w:rFonts w:ascii="Calibri"/>
          <w:color w:val="231F20"/>
          <w:position w:val="6"/>
          <w:sz w:val="10"/>
        </w:rPr>
        <w:t>6  </w:t>
      </w:r>
      <w:r>
        <w:rPr>
          <w:rFonts w:ascii="Calibri"/>
          <w:i/>
          <w:color w:val="231F20"/>
          <w:sz w:val="17"/>
        </w:rPr>
        <w:t>Cfr. Oxford Dictionary of New Words</w:t>
      </w:r>
      <w:r>
        <w:rPr>
          <w:rFonts w:ascii="Calibri"/>
          <w:color w:val="231F20"/>
          <w:sz w:val="17"/>
        </w:rPr>
        <w:t>, Oxford, Oxford University Press,  1999.</w:t>
      </w:r>
    </w:p>
    <w:p>
      <w:pPr>
        <w:spacing w:line="206" w:lineRule="exact" w:before="0"/>
        <w:ind w:left="117" w:right="0" w:firstLine="0"/>
        <w:jc w:val="both"/>
        <w:rPr>
          <w:rFonts w:ascii="Calibri" w:hAnsi="Calibri"/>
          <w:sz w:val="17"/>
        </w:rPr>
      </w:pPr>
      <w:r>
        <w:rPr>
          <w:rFonts w:ascii="Calibri" w:hAnsi="Calibri"/>
          <w:color w:val="231F20"/>
          <w:position w:val="6"/>
          <w:sz w:val="10"/>
        </w:rPr>
        <w:t>7  </w:t>
      </w:r>
      <w:r>
        <w:rPr>
          <w:rFonts w:ascii="Calibri" w:hAnsi="Calibri"/>
          <w:color w:val="231F20"/>
          <w:sz w:val="17"/>
        </w:rPr>
        <w:t>G. Marramao, </w:t>
      </w:r>
      <w:r>
        <w:rPr>
          <w:rFonts w:ascii="Calibri" w:hAnsi="Calibri"/>
          <w:i/>
          <w:color w:val="231F20"/>
          <w:sz w:val="17"/>
        </w:rPr>
        <w:t>Pasaje a Occidente. Filosofía y globalización</w:t>
      </w:r>
      <w:r>
        <w:rPr>
          <w:rFonts w:ascii="Calibri" w:hAnsi="Calibri"/>
          <w:color w:val="231F20"/>
          <w:sz w:val="17"/>
        </w:rPr>
        <w:t>, Buenos Aires, Katz, 2006, p.  40.</w:t>
      </w:r>
    </w:p>
    <w:p>
      <w:pPr>
        <w:spacing w:after="0" w:line="206" w:lineRule="exact"/>
        <w:jc w:val="both"/>
        <w:rPr>
          <w:rFonts w:ascii="Calibri" w:hAnsi="Calibri"/>
          <w:sz w:val="17"/>
        </w:rPr>
        <w:sectPr>
          <w:pgSz w:w="9640" w:h="13890"/>
          <w:pgMar w:top="0" w:bottom="280" w:left="1300" w:right="1200"/>
        </w:sectPr>
      </w:pPr>
    </w:p>
    <w:p>
      <w:pPr>
        <w:pStyle w:val="BodyText"/>
        <w:spacing w:line="247" w:lineRule="auto" w:before="107"/>
        <w:ind w:left="103" w:right="115"/>
        <w:jc w:val="both"/>
      </w:pPr>
      <w:r>
        <w:rPr>
          <w:color w:val="231F20"/>
        </w:rPr>
        <w:t>y relaciones con otros pueblos y con lo global. Pero de igual forma, este último</w:t>
      </w:r>
      <w:r>
        <w:rPr>
          <w:color w:val="231F20"/>
          <w:spacing w:val="-10"/>
        </w:rPr>
        <w:t> </w:t>
      </w:r>
      <w:r>
        <w:rPr>
          <w:color w:val="231F20"/>
        </w:rPr>
        <w:t>no</w:t>
      </w:r>
      <w:r>
        <w:rPr>
          <w:color w:val="231F20"/>
          <w:spacing w:val="-10"/>
        </w:rPr>
        <w:t> </w:t>
      </w:r>
      <w:r>
        <w:rPr>
          <w:color w:val="231F20"/>
        </w:rPr>
        <w:t>se</w:t>
      </w:r>
      <w:r>
        <w:rPr>
          <w:color w:val="231F20"/>
          <w:spacing w:val="-10"/>
        </w:rPr>
        <w:t> </w:t>
      </w:r>
      <w:r>
        <w:rPr>
          <w:color w:val="231F20"/>
        </w:rPr>
        <w:t>resume</w:t>
      </w:r>
      <w:r>
        <w:rPr>
          <w:color w:val="231F20"/>
          <w:spacing w:val="-10"/>
        </w:rPr>
        <w:t> </w:t>
      </w:r>
      <w:r>
        <w:rPr>
          <w:color w:val="231F20"/>
        </w:rPr>
        <w:t>en</w:t>
      </w:r>
      <w:r>
        <w:rPr>
          <w:color w:val="231F20"/>
          <w:spacing w:val="-10"/>
        </w:rPr>
        <w:t> </w:t>
      </w:r>
      <w:r>
        <w:rPr>
          <w:color w:val="231F20"/>
        </w:rPr>
        <w:t>ser</w:t>
      </w:r>
      <w:r>
        <w:rPr>
          <w:color w:val="231F20"/>
          <w:spacing w:val="-10"/>
        </w:rPr>
        <w:t> </w:t>
      </w:r>
      <w:r>
        <w:rPr>
          <w:color w:val="231F20"/>
        </w:rPr>
        <w:t>la</w:t>
      </w:r>
      <w:r>
        <w:rPr>
          <w:color w:val="231F20"/>
          <w:spacing w:val="-10"/>
        </w:rPr>
        <w:t> </w:t>
      </w:r>
      <w:r>
        <w:rPr>
          <w:color w:val="231F20"/>
        </w:rPr>
        <w:t>síntesis</w:t>
      </w:r>
      <w:r>
        <w:rPr>
          <w:color w:val="231F20"/>
          <w:spacing w:val="-10"/>
        </w:rPr>
        <w:t> </w:t>
      </w:r>
      <w:r>
        <w:rPr>
          <w:color w:val="231F20"/>
        </w:rPr>
        <w:t>o</w:t>
      </w:r>
      <w:r>
        <w:rPr>
          <w:color w:val="231F20"/>
          <w:spacing w:val="-10"/>
        </w:rPr>
        <w:t> </w:t>
      </w:r>
      <w:r>
        <w:rPr>
          <w:color w:val="231F20"/>
        </w:rPr>
        <w:t>la</w:t>
      </w:r>
      <w:r>
        <w:rPr>
          <w:color w:val="231F20"/>
          <w:spacing w:val="-10"/>
        </w:rPr>
        <w:t> </w:t>
      </w:r>
      <w:r>
        <w:rPr>
          <w:color w:val="231F20"/>
        </w:rPr>
        <w:t>suma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diversas</w:t>
      </w:r>
      <w:r>
        <w:rPr>
          <w:color w:val="231F20"/>
          <w:spacing w:val="-10"/>
        </w:rPr>
        <w:t> </w:t>
      </w:r>
      <w:r>
        <w:rPr>
          <w:color w:val="231F20"/>
        </w:rPr>
        <w:t>expresiones locales; mientras que lo local no es aquello que se pierde e integra sin  más en la generalidad. Desde esta perspectiva, el término glocalización daría cabida al carácter complejo de un proceso que no homogeniza sin, al mismo tiempo, producir diferencias; que no integra en una totalidad</w:t>
      </w:r>
      <w:r>
        <w:rPr>
          <w:color w:val="231F20"/>
          <w:spacing w:val="-26"/>
        </w:rPr>
        <w:t> </w:t>
      </w:r>
      <w:r>
        <w:rPr>
          <w:color w:val="231F20"/>
        </w:rPr>
        <w:t>sin, a la vez, multiplicar lo parcial; que no universaliza sin particularizar. En un panorama tal, la globalización, si bien presenta una tendencia a la homo- genización y a la totalidad, en realidad nunca puede alcanzar tal cierre, fundamentalmente porque no es un bloque homogéneo, está hecha de expresiones locales y gestos particulares que, a su vez, se producen en relación a lo</w:t>
      </w:r>
      <w:r>
        <w:rPr>
          <w:color w:val="231F20"/>
          <w:spacing w:val="20"/>
        </w:rPr>
        <w:t> </w:t>
      </w:r>
      <w:r>
        <w:rPr>
          <w:color w:val="231F20"/>
        </w:rPr>
        <w:t>global.</w:t>
      </w:r>
    </w:p>
    <w:p>
      <w:pPr>
        <w:pStyle w:val="BodyText"/>
        <w:spacing w:before="10"/>
        <w:rPr>
          <w:sz w:val="22"/>
        </w:rPr>
      </w:pPr>
    </w:p>
    <w:p>
      <w:pPr>
        <w:spacing w:line="220" w:lineRule="exact" w:before="1"/>
        <w:ind w:left="1521" w:right="115" w:firstLine="0"/>
        <w:jc w:val="both"/>
        <w:rPr>
          <w:sz w:val="19"/>
        </w:rPr>
      </w:pPr>
      <w:r>
        <w:rPr>
          <w:color w:val="231F20"/>
          <w:w w:val="105"/>
          <w:sz w:val="19"/>
        </w:rPr>
        <w:t>El</w:t>
      </w:r>
      <w:r>
        <w:rPr>
          <w:color w:val="231F20"/>
          <w:spacing w:val="-8"/>
          <w:w w:val="105"/>
          <w:sz w:val="19"/>
        </w:rPr>
        <w:t> </w:t>
      </w:r>
      <w:r>
        <w:rPr>
          <w:color w:val="231F20"/>
          <w:w w:val="105"/>
          <w:sz w:val="19"/>
        </w:rPr>
        <w:t>argumento</w:t>
      </w:r>
      <w:r>
        <w:rPr>
          <w:color w:val="231F20"/>
          <w:spacing w:val="-8"/>
          <w:w w:val="105"/>
          <w:sz w:val="19"/>
        </w:rPr>
        <w:t> </w:t>
      </w:r>
      <w:r>
        <w:rPr>
          <w:color w:val="231F20"/>
          <w:w w:val="105"/>
          <w:sz w:val="19"/>
        </w:rPr>
        <w:t>subyacente</w:t>
      </w:r>
      <w:r>
        <w:rPr>
          <w:color w:val="231F20"/>
          <w:spacing w:val="-8"/>
          <w:w w:val="105"/>
          <w:sz w:val="19"/>
        </w:rPr>
        <w:t> </w:t>
      </w:r>
      <w:r>
        <w:rPr>
          <w:color w:val="231F20"/>
          <w:w w:val="105"/>
          <w:sz w:val="19"/>
        </w:rPr>
        <w:t>en</w:t>
      </w:r>
      <w:r>
        <w:rPr>
          <w:color w:val="231F20"/>
          <w:spacing w:val="-8"/>
          <w:w w:val="105"/>
          <w:sz w:val="19"/>
        </w:rPr>
        <w:t> </w:t>
      </w:r>
      <w:r>
        <w:rPr>
          <w:color w:val="231F20"/>
          <w:w w:val="105"/>
          <w:sz w:val="19"/>
        </w:rPr>
        <w:t>esta</w:t>
      </w:r>
      <w:r>
        <w:rPr>
          <w:color w:val="231F20"/>
          <w:spacing w:val="-8"/>
          <w:w w:val="105"/>
          <w:sz w:val="19"/>
        </w:rPr>
        <w:t> </w:t>
      </w:r>
      <w:r>
        <w:rPr>
          <w:color w:val="231F20"/>
          <w:w w:val="105"/>
          <w:sz w:val="19"/>
        </w:rPr>
        <w:t>discusión</w:t>
      </w:r>
      <w:r>
        <w:rPr>
          <w:color w:val="231F20"/>
          <w:spacing w:val="-8"/>
          <w:w w:val="105"/>
          <w:sz w:val="19"/>
        </w:rPr>
        <w:t> </w:t>
      </w:r>
      <w:r>
        <w:rPr>
          <w:color w:val="231F20"/>
          <w:w w:val="105"/>
          <w:sz w:val="19"/>
        </w:rPr>
        <w:t>está</w:t>
      </w:r>
      <w:r>
        <w:rPr>
          <w:color w:val="231F20"/>
          <w:spacing w:val="-8"/>
          <w:w w:val="105"/>
          <w:sz w:val="19"/>
        </w:rPr>
        <w:t> </w:t>
      </w:r>
      <w:r>
        <w:rPr>
          <w:color w:val="231F20"/>
          <w:w w:val="105"/>
          <w:sz w:val="19"/>
        </w:rPr>
        <w:t>centrado</w:t>
      </w:r>
      <w:r>
        <w:rPr>
          <w:color w:val="231F20"/>
          <w:spacing w:val="-8"/>
          <w:w w:val="105"/>
          <w:sz w:val="19"/>
        </w:rPr>
        <w:t> </w:t>
      </w:r>
      <w:r>
        <w:rPr>
          <w:color w:val="231F20"/>
          <w:w w:val="105"/>
          <w:sz w:val="19"/>
        </w:rPr>
        <w:t>en</w:t>
      </w:r>
      <w:r>
        <w:rPr>
          <w:color w:val="231F20"/>
          <w:spacing w:val="-8"/>
          <w:w w:val="105"/>
          <w:sz w:val="19"/>
        </w:rPr>
        <w:t> </w:t>
      </w:r>
      <w:r>
        <w:rPr>
          <w:color w:val="231F20"/>
          <w:w w:val="105"/>
          <w:sz w:val="19"/>
        </w:rPr>
        <w:t>la afirmación</w:t>
      </w:r>
      <w:r>
        <w:rPr>
          <w:color w:val="231F20"/>
          <w:spacing w:val="-13"/>
          <w:w w:val="105"/>
          <w:sz w:val="19"/>
        </w:rPr>
        <w:t> </w:t>
      </w:r>
      <w:r>
        <w:rPr>
          <w:color w:val="231F20"/>
          <w:w w:val="105"/>
          <w:sz w:val="19"/>
        </w:rPr>
        <w:t>de</w:t>
      </w:r>
      <w:r>
        <w:rPr>
          <w:color w:val="231F20"/>
          <w:spacing w:val="-13"/>
          <w:w w:val="105"/>
          <w:sz w:val="19"/>
        </w:rPr>
        <w:t> </w:t>
      </w:r>
      <w:r>
        <w:rPr>
          <w:color w:val="231F20"/>
          <w:w w:val="105"/>
          <w:sz w:val="19"/>
        </w:rPr>
        <w:t>que</w:t>
      </w:r>
      <w:r>
        <w:rPr>
          <w:color w:val="231F20"/>
          <w:spacing w:val="-13"/>
          <w:w w:val="105"/>
          <w:sz w:val="19"/>
        </w:rPr>
        <w:t> </w:t>
      </w:r>
      <w:r>
        <w:rPr>
          <w:color w:val="231F20"/>
          <w:w w:val="105"/>
          <w:sz w:val="19"/>
        </w:rPr>
        <w:t>el</w:t>
      </w:r>
      <w:r>
        <w:rPr>
          <w:color w:val="231F20"/>
          <w:spacing w:val="-13"/>
          <w:w w:val="105"/>
          <w:sz w:val="19"/>
        </w:rPr>
        <w:t> </w:t>
      </w:r>
      <w:r>
        <w:rPr>
          <w:color w:val="231F20"/>
          <w:w w:val="105"/>
          <w:sz w:val="19"/>
        </w:rPr>
        <w:t>debate</w:t>
      </w:r>
      <w:r>
        <w:rPr>
          <w:color w:val="231F20"/>
          <w:spacing w:val="-13"/>
          <w:w w:val="105"/>
          <w:sz w:val="19"/>
        </w:rPr>
        <w:t> </w:t>
      </w:r>
      <w:r>
        <w:rPr>
          <w:color w:val="231F20"/>
          <w:w w:val="105"/>
          <w:sz w:val="19"/>
        </w:rPr>
        <w:t>en</w:t>
      </w:r>
      <w:r>
        <w:rPr>
          <w:color w:val="231F20"/>
          <w:spacing w:val="-13"/>
          <w:w w:val="105"/>
          <w:sz w:val="19"/>
        </w:rPr>
        <w:t> </w:t>
      </w:r>
      <w:r>
        <w:rPr>
          <w:color w:val="231F20"/>
          <w:w w:val="105"/>
          <w:sz w:val="19"/>
        </w:rPr>
        <w:t>torno</w:t>
      </w:r>
      <w:r>
        <w:rPr>
          <w:color w:val="231F20"/>
          <w:spacing w:val="-13"/>
          <w:w w:val="105"/>
          <w:sz w:val="19"/>
        </w:rPr>
        <w:t> </w:t>
      </w:r>
      <w:r>
        <w:rPr>
          <w:color w:val="231F20"/>
          <w:w w:val="105"/>
          <w:sz w:val="19"/>
        </w:rPr>
        <w:t>a</w:t>
      </w:r>
      <w:r>
        <w:rPr>
          <w:color w:val="231F20"/>
          <w:spacing w:val="-13"/>
          <w:w w:val="105"/>
          <w:sz w:val="19"/>
        </w:rPr>
        <w:t> </w:t>
      </w:r>
      <w:r>
        <w:rPr>
          <w:color w:val="231F20"/>
          <w:w w:val="105"/>
          <w:sz w:val="19"/>
        </w:rPr>
        <w:t>homogeneización</w:t>
      </w:r>
      <w:r>
        <w:rPr>
          <w:color w:val="231F20"/>
          <w:spacing w:val="-13"/>
          <w:w w:val="105"/>
          <w:sz w:val="19"/>
        </w:rPr>
        <w:t> </w:t>
      </w:r>
      <w:r>
        <w:rPr>
          <w:color w:val="231F20"/>
          <w:w w:val="105"/>
          <w:sz w:val="19"/>
        </w:rPr>
        <w:t>global </w:t>
      </w:r>
      <w:r>
        <w:rPr>
          <w:rFonts w:ascii="Arial" w:hAnsi="Arial"/>
          <w:i/>
          <w:color w:val="231F20"/>
          <w:w w:val="105"/>
          <w:sz w:val="19"/>
        </w:rPr>
        <w:t>versus</w:t>
      </w:r>
      <w:r>
        <w:rPr>
          <w:rFonts w:ascii="Arial" w:hAnsi="Arial"/>
          <w:i/>
          <w:color w:val="231F20"/>
          <w:spacing w:val="-26"/>
          <w:w w:val="105"/>
          <w:sz w:val="19"/>
        </w:rPr>
        <w:t> </w:t>
      </w:r>
      <w:r>
        <w:rPr>
          <w:color w:val="231F20"/>
          <w:w w:val="105"/>
          <w:sz w:val="19"/>
        </w:rPr>
        <w:t>heterogeneización</w:t>
      </w:r>
      <w:r>
        <w:rPr>
          <w:color w:val="231F20"/>
          <w:spacing w:val="-33"/>
          <w:w w:val="105"/>
          <w:sz w:val="19"/>
        </w:rPr>
        <w:t> </w:t>
      </w:r>
      <w:r>
        <w:rPr>
          <w:color w:val="231F20"/>
          <w:w w:val="105"/>
          <w:sz w:val="19"/>
        </w:rPr>
        <w:t>debe</w:t>
      </w:r>
      <w:r>
        <w:rPr>
          <w:color w:val="231F20"/>
          <w:spacing w:val="-33"/>
          <w:w w:val="105"/>
          <w:sz w:val="19"/>
        </w:rPr>
        <w:t> </w:t>
      </w:r>
      <w:r>
        <w:rPr>
          <w:color w:val="231F20"/>
          <w:w w:val="105"/>
          <w:sz w:val="19"/>
        </w:rPr>
        <w:t>trascenderse.</w:t>
      </w:r>
      <w:r>
        <w:rPr>
          <w:color w:val="231F20"/>
          <w:spacing w:val="-33"/>
          <w:w w:val="105"/>
          <w:sz w:val="19"/>
        </w:rPr>
        <w:t> </w:t>
      </w:r>
      <w:r>
        <w:rPr>
          <w:color w:val="231F20"/>
          <w:w w:val="105"/>
          <w:sz w:val="19"/>
        </w:rPr>
        <w:t>No</w:t>
      </w:r>
      <w:r>
        <w:rPr>
          <w:color w:val="231F20"/>
          <w:spacing w:val="-33"/>
          <w:w w:val="105"/>
          <w:sz w:val="19"/>
        </w:rPr>
        <w:t> </w:t>
      </w:r>
      <w:r>
        <w:rPr>
          <w:color w:val="231F20"/>
          <w:w w:val="105"/>
          <w:sz w:val="19"/>
        </w:rPr>
        <w:t>es</w:t>
      </w:r>
      <w:r>
        <w:rPr>
          <w:color w:val="231F20"/>
          <w:spacing w:val="-33"/>
          <w:w w:val="105"/>
          <w:sz w:val="19"/>
        </w:rPr>
        <w:t> </w:t>
      </w:r>
      <w:r>
        <w:rPr>
          <w:color w:val="231F20"/>
          <w:w w:val="105"/>
          <w:sz w:val="19"/>
        </w:rPr>
        <w:t>una</w:t>
      </w:r>
      <w:r>
        <w:rPr>
          <w:color w:val="231F20"/>
          <w:spacing w:val="-33"/>
          <w:w w:val="105"/>
          <w:sz w:val="19"/>
        </w:rPr>
        <w:t> </w:t>
      </w:r>
      <w:r>
        <w:rPr>
          <w:color w:val="231F20"/>
          <w:w w:val="105"/>
          <w:sz w:val="19"/>
        </w:rPr>
        <w:t>cuestión ni</w:t>
      </w:r>
      <w:r>
        <w:rPr>
          <w:color w:val="231F20"/>
          <w:spacing w:val="-32"/>
          <w:w w:val="105"/>
          <w:sz w:val="19"/>
        </w:rPr>
        <w:t> </w:t>
      </w:r>
      <w:r>
        <w:rPr>
          <w:color w:val="231F20"/>
          <w:w w:val="105"/>
          <w:sz w:val="19"/>
        </w:rPr>
        <w:t>de</w:t>
      </w:r>
      <w:r>
        <w:rPr>
          <w:color w:val="231F20"/>
          <w:spacing w:val="-32"/>
          <w:w w:val="105"/>
          <w:sz w:val="19"/>
        </w:rPr>
        <w:t> </w:t>
      </w:r>
      <w:r>
        <w:rPr>
          <w:color w:val="231F20"/>
          <w:w w:val="105"/>
          <w:sz w:val="19"/>
        </w:rPr>
        <w:t>homogeneización</w:t>
      </w:r>
      <w:r>
        <w:rPr>
          <w:color w:val="231F20"/>
          <w:spacing w:val="-32"/>
          <w:w w:val="105"/>
          <w:sz w:val="19"/>
        </w:rPr>
        <w:t> </w:t>
      </w:r>
      <w:r>
        <w:rPr>
          <w:color w:val="231F20"/>
          <w:w w:val="105"/>
          <w:sz w:val="19"/>
        </w:rPr>
        <w:t>ni</w:t>
      </w:r>
      <w:r>
        <w:rPr>
          <w:color w:val="231F20"/>
          <w:spacing w:val="-32"/>
          <w:w w:val="105"/>
          <w:sz w:val="19"/>
        </w:rPr>
        <w:t> </w:t>
      </w:r>
      <w:r>
        <w:rPr>
          <w:color w:val="231F20"/>
          <w:w w:val="105"/>
          <w:sz w:val="19"/>
        </w:rPr>
        <w:t>de</w:t>
      </w:r>
      <w:r>
        <w:rPr>
          <w:color w:val="231F20"/>
          <w:spacing w:val="-32"/>
          <w:w w:val="105"/>
          <w:sz w:val="19"/>
        </w:rPr>
        <w:t> </w:t>
      </w:r>
      <w:r>
        <w:rPr>
          <w:color w:val="231F20"/>
          <w:w w:val="105"/>
          <w:sz w:val="19"/>
        </w:rPr>
        <w:t>heterogeneización,</w:t>
      </w:r>
      <w:r>
        <w:rPr>
          <w:color w:val="231F20"/>
          <w:spacing w:val="-32"/>
          <w:w w:val="105"/>
          <w:sz w:val="19"/>
        </w:rPr>
        <w:t> </w:t>
      </w:r>
      <w:r>
        <w:rPr>
          <w:color w:val="231F20"/>
          <w:w w:val="105"/>
          <w:sz w:val="19"/>
        </w:rPr>
        <w:t>sino</w:t>
      </w:r>
      <w:r>
        <w:rPr>
          <w:color w:val="231F20"/>
          <w:spacing w:val="-32"/>
          <w:w w:val="105"/>
          <w:sz w:val="19"/>
        </w:rPr>
        <w:t> </w:t>
      </w:r>
      <w:r>
        <w:rPr>
          <w:color w:val="231F20"/>
          <w:w w:val="105"/>
          <w:sz w:val="19"/>
        </w:rPr>
        <w:t>de</w:t>
      </w:r>
      <w:r>
        <w:rPr>
          <w:color w:val="231F20"/>
          <w:spacing w:val="-32"/>
          <w:w w:val="105"/>
          <w:sz w:val="19"/>
        </w:rPr>
        <w:t> </w:t>
      </w:r>
      <w:r>
        <w:rPr>
          <w:color w:val="231F20"/>
          <w:w w:val="105"/>
          <w:sz w:val="19"/>
        </w:rPr>
        <w:t>los</w:t>
      </w:r>
      <w:r>
        <w:rPr>
          <w:color w:val="231F20"/>
          <w:spacing w:val="-32"/>
          <w:w w:val="105"/>
          <w:sz w:val="19"/>
        </w:rPr>
        <w:t> </w:t>
      </w:r>
      <w:r>
        <w:rPr>
          <w:color w:val="231F20"/>
          <w:w w:val="105"/>
          <w:sz w:val="19"/>
        </w:rPr>
        <w:t>cami- nos</w:t>
      </w:r>
      <w:r>
        <w:rPr>
          <w:color w:val="231F20"/>
          <w:spacing w:val="-43"/>
          <w:w w:val="105"/>
          <w:sz w:val="19"/>
        </w:rPr>
        <w:t> </w:t>
      </w:r>
      <w:r>
        <w:rPr>
          <w:color w:val="231F20"/>
          <w:w w:val="105"/>
          <w:sz w:val="19"/>
        </w:rPr>
        <w:t>en</w:t>
      </w:r>
      <w:r>
        <w:rPr>
          <w:color w:val="231F20"/>
          <w:spacing w:val="-43"/>
          <w:w w:val="105"/>
          <w:sz w:val="19"/>
        </w:rPr>
        <w:t> </w:t>
      </w:r>
      <w:r>
        <w:rPr>
          <w:color w:val="231F20"/>
          <w:w w:val="105"/>
          <w:sz w:val="19"/>
        </w:rPr>
        <w:t>los</w:t>
      </w:r>
      <w:r>
        <w:rPr>
          <w:color w:val="231F20"/>
          <w:spacing w:val="-43"/>
          <w:w w:val="105"/>
          <w:sz w:val="19"/>
        </w:rPr>
        <w:t> </w:t>
      </w:r>
      <w:r>
        <w:rPr>
          <w:color w:val="231F20"/>
          <w:w w:val="105"/>
          <w:sz w:val="19"/>
        </w:rPr>
        <w:t>cuales</w:t>
      </w:r>
      <w:r>
        <w:rPr>
          <w:color w:val="231F20"/>
          <w:spacing w:val="-43"/>
          <w:w w:val="105"/>
          <w:sz w:val="19"/>
        </w:rPr>
        <w:t> </w:t>
      </w:r>
      <w:r>
        <w:rPr>
          <w:color w:val="231F20"/>
          <w:w w:val="105"/>
          <w:sz w:val="19"/>
        </w:rPr>
        <w:t>estas</w:t>
      </w:r>
      <w:r>
        <w:rPr>
          <w:color w:val="231F20"/>
          <w:spacing w:val="-43"/>
          <w:w w:val="105"/>
          <w:sz w:val="19"/>
        </w:rPr>
        <w:t> </w:t>
      </w:r>
      <w:r>
        <w:rPr>
          <w:color w:val="231F20"/>
          <w:w w:val="105"/>
          <w:sz w:val="19"/>
        </w:rPr>
        <w:t>dos</w:t>
      </w:r>
      <w:r>
        <w:rPr>
          <w:color w:val="231F20"/>
          <w:spacing w:val="-43"/>
          <w:w w:val="105"/>
          <w:sz w:val="19"/>
        </w:rPr>
        <w:t> </w:t>
      </w:r>
      <w:r>
        <w:rPr>
          <w:color w:val="231F20"/>
          <w:w w:val="105"/>
          <w:sz w:val="19"/>
        </w:rPr>
        <w:t>tendencias</w:t>
      </w:r>
      <w:r>
        <w:rPr>
          <w:color w:val="231F20"/>
          <w:spacing w:val="-43"/>
          <w:w w:val="105"/>
          <w:sz w:val="19"/>
        </w:rPr>
        <w:t> </w:t>
      </w:r>
      <w:r>
        <w:rPr>
          <w:color w:val="231F20"/>
          <w:w w:val="105"/>
          <w:sz w:val="19"/>
        </w:rPr>
        <w:t>se</w:t>
      </w:r>
      <w:r>
        <w:rPr>
          <w:color w:val="231F20"/>
          <w:spacing w:val="-43"/>
          <w:w w:val="105"/>
          <w:sz w:val="19"/>
        </w:rPr>
        <w:t> </w:t>
      </w:r>
      <w:r>
        <w:rPr>
          <w:color w:val="231F20"/>
          <w:w w:val="105"/>
          <w:sz w:val="19"/>
        </w:rPr>
        <w:t>han</w:t>
      </w:r>
      <w:r>
        <w:rPr>
          <w:color w:val="231F20"/>
          <w:spacing w:val="-43"/>
          <w:w w:val="105"/>
          <w:sz w:val="19"/>
        </w:rPr>
        <w:t> </w:t>
      </w:r>
      <w:r>
        <w:rPr>
          <w:color w:val="231F20"/>
          <w:w w:val="105"/>
          <w:sz w:val="19"/>
        </w:rPr>
        <w:t>convertido</w:t>
      </w:r>
      <w:r>
        <w:rPr>
          <w:color w:val="231F20"/>
          <w:spacing w:val="-43"/>
          <w:w w:val="105"/>
          <w:sz w:val="19"/>
        </w:rPr>
        <w:t> </w:t>
      </w:r>
      <w:r>
        <w:rPr>
          <w:color w:val="231F20"/>
          <w:w w:val="105"/>
          <w:sz w:val="19"/>
        </w:rPr>
        <w:t>en</w:t>
      </w:r>
      <w:r>
        <w:rPr>
          <w:color w:val="231F20"/>
          <w:spacing w:val="-43"/>
          <w:w w:val="105"/>
          <w:sz w:val="19"/>
        </w:rPr>
        <w:t> </w:t>
      </w:r>
      <w:r>
        <w:rPr>
          <w:color w:val="231F20"/>
          <w:w w:val="105"/>
          <w:sz w:val="19"/>
        </w:rPr>
        <w:t>formas de</w:t>
      </w:r>
      <w:r>
        <w:rPr>
          <w:color w:val="231F20"/>
          <w:spacing w:val="-23"/>
          <w:w w:val="105"/>
          <w:sz w:val="19"/>
        </w:rPr>
        <w:t> </w:t>
      </w:r>
      <w:r>
        <w:rPr>
          <w:color w:val="231F20"/>
          <w:w w:val="105"/>
          <w:sz w:val="19"/>
        </w:rPr>
        <w:t>vida</w:t>
      </w:r>
      <w:r>
        <w:rPr>
          <w:color w:val="231F20"/>
          <w:spacing w:val="-23"/>
          <w:w w:val="105"/>
          <w:sz w:val="19"/>
        </w:rPr>
        <w:t> </w:t>
      </w:r>
      <w:r>
        <w:rPr>
          <w:color w:val="231F20"/>
          <w:w w:val="105"/>
          <w:sz w:val="19"/>
        </w:rPr>
        <w:t>a</w:t>
      </w:r>
      <w:r>
        <w:rPr>
          <w:color w:val="231F20"/>
          <w:spacing w:val="-23"/>
          <w:w w:val="105"/>
          <w:sz w:val="19"/>
        </w:rPr>
        <w:t> </w:t>
      </w:r>
      <w:r>
        <w:rPr>
          <w:color w:val="231F20"/>
          <w:w w:val="105"/>
          <w:sz w:val="19"/>
        </w:rPr>
        <w:t>lo</w:t>
      </w:r>
      <w:r>
        <w:rPr>
          <w:color w:val="231F20"/>
          <w:spacing w:val="-23"/>
          <w:w w:val="105"/>
          <w:sz w:val="19"/>
        </w:rPr>
        <w:t> </w:t>
      </w:r>
      <w:r>
        <w:rPr>
          <w:color w:val="231F20"/>
          <w:w w:val="105"/>
          <w:sz w:val="19"/>
        </w:rPr>
        <w:t>largo</w:t>
      </w:r>
      <w:r>
        <w:rPr>
          <w:color w:val="231F20"/>
          <w:spacing w:val="-23"/>
          <w:w w:val="105"/>
          <w:sz w:val="19"/>
        </w:rPr>
        <w:t> </w:t>
      </w:r>
      <w:r>
        <w:rPr>
          <w:color w:val="231F20"/>
          <w:w w:val="105"/>
          <w:sz w:val="19"/>
        </w:rPr>
        <w:t>de</w:t>
      </w:r>
      <w:r>
        <w:rPr>
          <w:color w:val="231F20"/>
          <w:spacing w:val="-23"/>
          <w:w w:val="105"/>
          <w:sz w:val="19"/>
        </w:rPr>
        <w:t> </w:t>
      </w:r>
      <w:r>
        <w:rPr>
          <w:color w:val="231F20"/>
          <w:w w:val="105"/>
          <w:sz w:val="19"/>
        </w:rPr>
        <w:t>la</w:t>
      </w:r>
      <w:r>
        <w:rPr>
          <w:color w:val="231F20"/>
          <w:spacing w:val="-23"/>
          <w:w w:val="105"/>
          <w:sz w:val="19"/>
        </w:rPr>
        <w:t> </w:t>
      </w:r>
      <w:r>
        <w:rPr>
          <w:color w:val="231F20"/>
          <w:w w:val="105"/>
          <w:sz w:val="19"/>
        </w:rPr>
        <w:t>última</w:t>
      </w:r>
      <w:r>
        <w:rPr>
          <w:color w:val="231F20"/>
          <w:spacing w:val="-23"/>
          <w:w w:val="105"/>
          <w:sz w:val="19"/>
        </w:rPr>
        <w:t> </w:t>
      </w:r>
      <w:r>
        <w:rPr>
          <w:color w:val="231F20"/>
          <w:w w:val="105"/>
          <w:sz w:val="19"/>
        </w:rPr>
        <w:t>parte</w:t>
      </w:r>
      <w:r>
        <w:rPr>
          <w:color w:val="231F20"/>
          <w:spacing w:val="-23"/>
          <w:w w:val="105"/>
          <w:sz w:val="19"/>
        </w:rPr>
        <w:t> </w:t>
      </w:r>
      <w:r>
        <w:rPr>
          <w:color w:val="231F20"/>
          <w:w w:val="105"/>
          <w:sz w:val="19"/>
        </w:rPr>
        <w:t>del</w:t>
      </w:r>
      <w:r>
        <w:rPr>
          <w:color w:val="231F20"/>
          <w:spacing w:val="-23"/>
          <w:w w:val="105"/>
          <w:sz w:val="19"/>
        </w:rPr>
        <w:t> </w:t>
      </w:r>
      <w:r>
        <w:rPr>
          <w:color w:val="231F20"/>
          <w:w w:val="105"/>
          <w:sz w:val="19"/>
        </w:rPr>
        <w:t>siglo</w:t>
      </w:r>
      <w:r>
        <w:rPr>
          <w:color w:val="231F20"/>
          <w:spacing w:val="-23"/>
          <w:w w:val="105"/>
          <w:sz w:val="19"/>
        </w:rPr>
        <w:t> </w:t>
      </w:r>
      <w:r>
        <w:rPr>
          <w:color w:val="231F20"/>
          <w:w w:val="105"/>
          <w:sz w:val="16"/>
        </w:rPr>
        <w:t>XX</w:t>
      </w:r>
      <w:r>
        <w:rPr>
          <w:color w:val="231F20"/>
          <w:spacing w:val="-13"/>
          <w:w w:val="105"/>
          <w:sz w:val="16"/>
        </w:rPr>
        <w:t> </w:t>
      </w:r>
      <w:r>
        <w:rPr>
          <w:color w:val="231F20"/>
          <w:w w:val="105"/>
          <w:sz w:val="19"/>
        </w:rPr>
        <w:t>en</w:t>
      </w:r>
      <w:r>
        <w:rPr>
          <w:color w:val="231F20"/>
          <w:spacing w:val="-23"/>
          <w:w w:val="105"/>
          <w:sz w:val="19"/>
        </w:rPr>
        <w:t> </w:t>
      </w:r>
      <w:r>
        <w:rPr>
          <w:color w:val="231F20"/>
          <w:w w:val="105"/>
          <w:sz w:val="19"/>
        </w:rPr>
        <w:t>el</w:t>
      </w:r>
      <w:r>
        <w:rPr>
          <w:color w:val="231F20"/>
          <w:spacing w:val="-23"/>
          <w:w w:val="105"/>
          <w:sz w:val="19"/>
        </w:rPr>
        <w:t> </w:t>
      </w:r>
      <w:r>
        <w:rPr>
          <w:color w:val="231F20"/>
          <w:w w:val="105"/>
          <w:sz w:val="19"/>
        </w:rPr>
        <w:t>mundo</w:t>
      </w:r>
      <w:r>
        <w:rPr>
          <w:color w:val="231F20"/>
          <w:w w:val="105"/>
          <w:position w:val="6"/>
          <w:sz w:val="11"/>
        </w:rPr>
        <w:t>8</w:t>
      </w:r>
      <w:r>
        <w:rPr>
          <w:color w:val="231F20"/>
          <w:w w:val="105"/>
          <w:sz w:val="19"/>
        </w:rPr>
        <w:t>.</w:t>
      </w:r>
    </w:p>
    <w:p>
      <w:pPr>
        <w:pStyle w:val="BodyText"/>
        <w:spacing w:before="11"/>
        <w:rPr>
          <w:sz w:val="23"/>
        </w:rPr>
      </w:pPr>
    </w:p>
    <w:p>
      <w:pPr>
        <w:pStyle w:val="BodyText"/>
        <w:spacing w:line="247" w:lineRule="auto"/>
        <w:ind w:left="103" w:right="115"/>
        <w:jc w:val="both"/>
      </w:pPr>
      <w:r>
        <w:rPr>
          <w:color w:val="231F20"/>
        </w:rPr>
        <w:t>Las</w:t>
      </w:r>
      <w:r>
        <w:rPr>
          <w:color w:val="231F20"/>
          <w:spacing w:val="-5"/>
        </w:rPr>
        <w:t> </w:t>
      </w:r>
      <w:r>
        <w:rPr>
          <w:color w:val="231F20"/>
        </w:rPr>
        <w:t>posturas</w:t>
      </w:r>
      <w:r>
        <w:rPr>
          <w:color w:val="231F20"/>
          <w:spacing w:val="-5"/>
        </w:rPr>
        <w:t> </w:t>
      </w:r>
      <w:r>
        <w:rPr>
          <w:color w:val="231F20"/>
        </w:rPr>
        <w:t>que</w:t>
      </w:r>
      <w:r>
        <w:rPr>
          <w:color w:val="231F20"/>
          <w:spacing w:val="-5"/>
        </w:rPr>
        <w:t> </w:t>
      </w:r>
      <w:r>
        <w:rPr>
          <w:color w:val="231F20"/>
        </w:rPr>
        <w:t>ya</w:t>
      </w:r>
      <w:r>
        <w:rPr>
          <w:color w:val="231F20"/>
          <w:spacing w:val="-5"/>
        </w:rPr>
        <w:t> </w:t>
      </w:r>
      <w:r>
        <w:rPr>
          <w:color w:val="231F20"/>
        </w:rPr>
        <w:t>no</w:t>
      </w:r>
      <w:r>
        <w:rPr>
          <w:color w:val="231F20"/>
          <w:spacing w:val="-5"/>
        </w:rPr>
        <w:t> </w:t>
      </w:r>
      <w:r>
        <w:rPr>
          <w:color w:val="231F20"/>
        </w:rPr>
        <w:t>ven</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globalización</w:t>
      </w:r>
      <w:r>
        <w:rPr>
          <w:color w:val="231F20"/>
          <w:spacing w:val="-5"/>
        </w:rPr>
        <w:t> </w:t>
      </w:r>
      <w:r>
        <w:rPr>
          <w:color w:val="231F20"/>
        </w:rPr>
        <w:t>solamente</w:t>
      </w:r>
      <w:r>
        <w:rPr>
          <w:color w:val="231F20"/>
          <w:spacing w:val="-5"/>
        </w:rPr>
        <w:t> </w:t>
      </w:r>
      <w:r>
        <w:rPr>
          <w:color w:val="231F20"/>
        </w:rPr>
        <w:t>un</w:t>
      </w:r>
      <w:r>
        <w:rPr>
          <w:color w:val="231F20"/>
          <w:spacing w:val="-5"/>
        </w:rPr>
        <w:t> </w:t>
      </w:r>
      <w:r>
        <w:rPr>
          <w:color w:val="231F20"/>
        </w:rPr>
        <w:t>proceso</w:t>
      </w:r>
      <w:r>
        <w:rPr>
          <w:color w:val="231F20"/>
          <w:spacing w:val="-5"/>
        </w:rPr>
        <w:t> </w:t>
      </w:r>
      <w:r>
        <w:rPr>
          <w:color w:val="231F20"/>
        </w:rPr>
        <w:t>unifi- cado y homogeneizador, han problematizado y han vuelto más compleja</w:t>
      </w:r>
      <w:r>
        <w:rPr>
          <w:color w:val="231F20"/>
          <w:spacing w:val="-28"/>
        </w:rPr>
        <w:t> </w:t>
      </w:r>
      <w:r>
        <w:rPr>
          <w:color w:val="231F20"/>
        </w:rPr>
        <w:t>la manera</w:t>
      </w:r>
      <w:r>
        <w:rPr>
          <w:color w:val="231F20"/>
          <w:spacing w:val="-12"/>
        </w:rPr>
        <w:t> </w:t>
      </w:r>
      <w:r>
        <w:rPr>
          <w:color w:val="231F20"/>
        </w:rPr>
        <w:t>de</w:t>
      </w:r>
      <w:r>
        <w:rPr>
          <w:color w:val="231F20"/>
          <w:spacing w:val="-12"/>
        </w:rPr>
        <w:t> </w:t>
      </w:r>
      <w:r>
        <w:rPr>
          <w:color w:val="231F20"/>
        </w:rPr>
        <w:t>ver</w:t>
      </w:r>
      <w:r>
        <w:rPr>
          <w:color w:val="231F20"/>
          <w:spacing w:val="-12"/>
        </w:rPr>
        <w:t> </w:t>
      </w:r>
      <w:r>
        <w:rPr>
          <w:color w:val="231F20"/>
        </w:rPr>
        <w:t>un</w:t>
      </w:r>
      <w:r>
        <w:rPr>
          <w:color w:val="231F20"/>
          <w:spacing w:val="-12"/>
        </w:rPr>
        <w:t> </w:t>
      </w:r>
      <w:r>
        <w:rPr>
          <w:color w:val="231F20"/>
        </w:rPr>
        <w:t>fenómeno</w:t>
      </w:r>
      <w:r>
        <w:rPr>
          <w:color w:val="231F20"/>
          <w:spacing w:val="-12"/>
        </w:rPr>
        <w:t> </w:t>
      </w:r>
      <w:r>
        <w:rPr>
          <w:color w:val="231F20"/>
        </w:rPr>
        <w:t>que</w:t>
      </w:r>
      <w:r>
        <w:rPr>
          <w:color w:val="231F20"/>
          <w:spacing w:val="-12"/>
        </w:rPr>
        <w:t> </w:t>
      </w:r>
      <w:r>
        <w:rPr>
          <w:color w:val="231F20"/>
        </w:rPr>
        <w:t>nos</w:t>
      </w:r>
      <w:r>
        <w:rPr>
          <w:color w:val="231F20"/>
          <w:spacing w:val="-12"/>
        </w:rPr>
        <w:t> </w:t>
      </w:r>
      <w:r>
        <w:rPr>
          <w:color w:val="231F20"/>
        </w:rPr>
        <w:t>atañe</w:t>
      </w:r>
      <w:r>
        <w:rPr>
          <w:color w:val="231F20"/>
          <w:spacing w:val="-12"/>
        </w:rPr>
        <w:t> </w:t>
      </w:r>
      <w:r>
        <w:rPr>
          <w:color w:val="231F20"/>
        </w:rPr>
        <w:t>a</w:t>
      </w:r>
      <w:r>
        <w:rPr>
          <w:color w:val="231F20"/>
          <w:spacing w:val="-12"/>
        </w:rPr>
        <w:t> </w:t>
      </w:r>
      <w:r>
        <w:rPr>
          <w:color w:val="231F20"/>
        </w:rPr>
        <w:t>todos,</w:t>
      </w:r>
      <w:r>
        <w:rPr>
          <w:color w:val="231F20"/>
          <w:spacing w:val="-12"/>
        </w:rPr>
        <w:t> </w:t>
      </w:r>
      <w:r>
        <w:rPr>
          <w:color w:val="231F20"/>
        </w:rPr>
        <w:t>que</w:t>
      </w:r>
      <w:r>
        <w:rPr>
          <w:color w:val="231F20"/>
          <w:spacing w:val="-12"/>
        </w:rPr>
        <w:t> </w:t>
      </w:r>
      <w:r>
        <w:rPr>
          <w:color w:val="231F20"/>
        </w:rPr>
        <w:t>vivimos</w:t>
      </w:r>
      <w:r>
        <w:rPr>
          <w:color w:val="231F20"/>
          <w:spacing w:val="-12"/>
        </w:rPr>
        <w:t> </w:t>
      </w:r>
      <w:r>
        <w:rPr>
          <w:color w:val="231F20"/>
        </w:rPr>
        <w:t>de</w:t>
      </w:r>
      <w:r>
        <w:rPr>
          <w:color w:val="231F20"/>
          <w:spacing w:val="-12"/>
        </w:rPr>
        <w:t> </w:t>
      </w:r>
      <w:r>
        <w:rPr>
          <w:color w:val="231F20"/>
        </w:rPr>
        <w:t>manera directa en diferentes rubros de nuestra vida, y precisamente por ello no puede reducirse a un esquema de causa–efecto o a un modelo unificador en</w:t>
      </w:r>
      <w:r>
        <w:rPr>
          <w:color w:val="231F20"/>
          <w:spacing w:val="-6"/>
        </w:rPr>
        <w:t> </w:t>
      </w:r>
      <w:r>
        <w:rPr>
          <w:color w:val="231F20"/>
        </w:rPr>
        <w:t>el</w:t>
      </w:r>
      <w:r>
        <w:rPr>
          <w:color w:val="231F20"/>
          <w:spacing w:val="-6"/>
        </w:rPr>
        <w:t> </w:t>
      </w:r>
      <w:r>
        <w:rPr>
          <w:color w:val="231F20"/>
        </w:rPr>
        <w:t>cual</w:t>
      </w:r>
      <w:r>
        <w:rPr>
          <w:color w:val="231F20"/>
          <w:spacing w:val="-6"/>
        </w:rPr>
        <w:t> </w:t>
      </w:r>
      <w:r>
        <w:rPr>
          <w:color w:val="231F20"/>
        </w:rPr>
        <w:t>todo</w:t>
      </w:r>
      <w:r>
        <w:rPr>
          <w:color w:val="231F20"/>
          <w:spacing w:val="-6"/>
        </w:rPr>
        <w:t> </w:t>
      </w:r>
      <w:r>
        <w:rPr>
          <w:color w:val="231F20"/>
        </w:rPr>
        <w:t>se</w:t>
      </w:r>
      <w:r>
        <w:rPr>
          <w:color w:val="231F20"/>
          <w:spacing w:val="-6"/>
        </w:rPr>
        <w:t> </w:t>
      </w:r>
      <w:r>
        <w:rPr>
          <w:color w:val="231F20"/>
        </w:rPr>
        <w:t>volvería</w:t>
      </w:r>
      <w:r>
        <w:rPr>
          <w:color w:val="231F20"/>
          <w:spacing w:val="-6"/>
        </w:rPr>
        <w:t> </w:t>
      </w:r>
      <w:r>
        <w:rPr>
          <w:color w:val="231F20"/>
        </w:rPr>
        <w:t>homogéneo</w:t>
      </w:r>
      <w:r>
        <w:rPr>
          <w:color w:val="231F20"/>
          <w:spacing w:val="-6"/>
        </w:rPr>
        <w:t> </w:t>
      </w:r>
      <w:r>
        <w:rPr>
          <w:color w:val="231F20"/>
        </w:rPr>
        <w:t>y</w:t>
      </w:r>
      <w:r>
        <w:rPr>
          <w:color w:val="231F20"/>
          <w:spacing w:val="-6"/>
        </w:rPr>
        <w:t> </w:t>
      </w:r>
      <w:r>
        <w:rPr>
          <w:color w:val="231F20"/>
        </w:rPr>
        <w:t>unitario.</w:t>
      </w:r>
      <w:r>
        <w:rPr>
          <w:color w:val="231F20"/>
          <w:spacing w:val="-6"/>
        </w:rPr>
        <w:t> </w:t>
      </w:r>
      <w:r>
        <w:rPr>
          <w:color w:val="231F20"/>
        </w:rPr>
        <w:t>“Para</w:t>
      </w:r>
      <w:r>
        <w:rPr>
          <w:color w:val="231F20"/>
          <w:spacing w:val="-6"/>
        </w:rPr>
        <w:t> </w:t>
      </w:r>
      <w:r>
        <w:rPr>
          <w:color w:val="231F20"/>
        </w:rPr>
        <w:t>describir</w:t>
      </w:r>
      <w:r>
        <w:rPr>
          <w:color w:val="231F20"/>
          <w:spacing w:val="-6"/>
        </w:rPr>
        <w:t> </w:t>
      </w:r>
      <w:r>
        <w:rPr>
          <w:color w:val="231F20"/>
        </w:rPr>
        <w:t>estas</w:t>
      </w:r>
      <w:r>
        <w:rPr>
          <w:color w:val="231F20"/>
          <w:spacing w:val="-6"/>
        </w:rPr>
        <w:t> </w:t>
      </w:r>
      <w:r>
        <w:rPr>
          <w:color w:val="231F20"/>
        </w:rPr>
        <w:t>ten- dencias contrarias de la sociedad […], las formulaciones paradójicas pare- cen especialmente adecuadas. […] muestran que la globalización no es un proceso lineal, sino que consiste más bien en tendencias contradictorias”</w:t>
      </w:r>
      <w:r>
        <w:rPr>
          <w:color w:val="231F20"/>
          <w:position w:val="7"/>
          <w:sz w:val="12"/>
        </w:rPr>
        <w:t>9</w:t>
      </w:r>
      <w:r>
        <w:rPr>
          <w:color w:val="231F20"/>
        </w:rPr>
        <w:t>. Sin</w:t>
      </w:r>
      <w:r>
        <w:rPr>
          <w:color w:val="231F20"/>
          <w:spacing w:val="-11"/>
        </w:rPr>
        <w:t> </w:t>
      </w:r>
      <w:r>
        <w:rPr>
          <w:color w:val="231F20"/>
        </w:rPr>
        <w:t>duda,</w:t>
      </w:r>
      <w:r>
        <w:rPr>
          <w:color w:val="231F20"/>
          <w:spacing w:val="-11"/>
        </w:rPr>
        <w:t> </w:t>
      </w:r>
      <w:r>
        <w:rPr>
          <w:color w:val="231F20"/>
        </w:rPr>
        <w:t>son</w:t>
      </w:r>
      <w:r>
        <w:rPr>
          <w:color w:val="231F20"/>
          <w:spacing w:val="-11"/>
        </w:rPr>
        <w:t> </w:t>
      </w:r>
      <w:r>
        <w:rPr>
          <w:color w:val="231F20"/>
        </w:rPr>
        <w:t>muchas</w:t>
      </w:r>
      <w:r>
        <w:rPr>
          <w:color w:val="231F20"/>
          <w:spacing w:val="-11"/>
        </w:rPr>
        <w:t> </w:t>
      </w:r>
      <w:r>
        <w:rPr>
          <w:color w:val="231F20"/>
        </w:rPr>
        <w:t>las</w:t>
      </w:r>
      <w:r>
        <w:rPr>
          <w:color w:val="231F20"/>
          <w:spacing w:val="-11"/>
        </w:rPr>
        <w:t> </w:t>
      </w:r>
      <w:r>
        <w:rPr>
          <w:color w:val="231F20"/>
        </w:rPr>
        <w:t>paradojas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han</w:t>
      </w:r>
      <w:r>
        <w:rPr>
          <w:color w:val="231F20"/>
          <w:spacing w:val="-11"/>
        </w:rPr>
        <w:t> </w:t>
      </w:r>
      <w:r>
        <w:rPr>
          <w:color w:val="231F20"/>
        </w:rPr>
        <w:t>destacado</w:t>
      </w:r>
      <w:r>
        <w:rPr>
          <w:color w:val="231F20"/>
          <w:spacing w:val="-11"/>
        </w:rPr>
        <w:t> </w:t>
      </w:r>
      <w:r>
        <w:rPr>
          <w:color w:val="231F20"/>
        </w:rPr>
        <w:t>en</w:t>
      </w:r>
      <w:r>
        <w:rPr>
          <w:color w:val="231F20"/>
          <w:spacing w:val="-11"/>
        </w:rPr>
        <w:t> </w:t>
      </w:r>
      <w:r>
        <w:rPr>
          <w:color w:val="231F20"/>
        </w:rPr>
        <w:t>variados</w:t>
      </w:r>
      <w:r>
        <w:rPr>
          <w:color w:val="231F20"/>
          <w:spacing w:val="-11"/>
        </w:rPr>
        <w:t> </w:t>
      </w:r>
      <w:r>
        <w:rPr>
          <w:color w:val="231F20"/>
        </w:rPr>
        <w:t>aná- lisis —como los de Reder</w:t>
      </w:r>
      <w:r>
        <w:rPr>
          <w:color w:val="231F20"/>
          <w:position w:val="7"/>
          <w:sz w:val="12"/>
        </w:rPr>
        <w:t>10</w:t>
      </w:r>
      <w:r>
        <w:rPr>
          <w:color w:val="231F20"/>
        </w:rPr>
        <w:t>, Marramao</w:t>
      </w:r>
      <w:r>
        <w:rPr>
          <w:color w:val="231F20"/>
          <w:position w:val="7"/>
          <w:sz w:val="12"/>
        </w:rPr>
        <w:t>11</w:t>
      </w:r>
      <w:r>
        <w:rPr>
          <w:color w:val="231F20"/>
        </w:rPr>
        <w:t>, Robertson</w:t>
      </w:r>
      <w:r>
        <w:rPr>
          <w:color w:val="231F20"/>
          <w:position w:val="7"/>
          <w:sz w:val="12"/>
        </w:rPr>
        <w:t>12</w:t>
      </w:r>
      <w:r>
        <w:rPr>
          <w:color w:val="231F20"/>
        </w:rPr>
        <w:t>, Ritzer</w:t>
      </w:r>
      <w:r>
        <w:rPr>
          <w:color w:val="231F20"/>
          <w:position w:val="7"/>
          <w:sz w:val="12"/>
        </w:rPr>
        <w:t>13 </w:t>
      </w:r>
      <w:r>
        <w:rPr>
          <w:color w:val="231F20"/>
        </w:rPr>
        <w:t>y Bauman</w:t>
      </w:r>
      <w:r>
        <w:rPr>
          <w:color w:val="231F20"/>
          <w:position w:val="7"/>
          <w:sz w:val="12"/>
        </w:rPr>
        <w:t>14</w:t>
      </w:r>
      <w:r>
        <w:rPr>
          <w:color w:val="231F20"/>
        </w:rPr>
        <w:t>, entre otros—; sin embargo, la finalidad del presente trabajo es preguntar- nos hasta qué punto dichas paradojas no terminarían produciendo la ho- mogeneidad que intentan esquivar a toda costa. Es innegable que se ne- cesita</w:t>
      </w:r>
      <w:r>
        <w:rPr>
          <w:color w:val="231F20"/>
          <w:spacing w:val="-7"/>
        </w:rPr>
        <w:t> </w:t>
      </w:r>
      <w:r>
        <w:rPr>
          <w:color w:val="231F20"/>
        </w:rPr>
        <w:t>un</w:t>
      </w:r>
      <w:r>
        <w:rPr>
          <w:color w:val="231F20"/>
          <w:spacing w:val="-7"/>
        </w:rPr>
        <w:t> </w:t>
      </w:r>
      <w:r>
        <w:rPr>
          <w:color w:val="231F20"/>
        </w:rPr>
        <w:t>esquema</w:t>
      </w:r>
      <w:r>
        <w:rPr>
          <w:color w:val="231F20"/>
          <w:spacing w:val="-7"/>
        </w:rPr>
        <w:t> </w:t>
      </w:r>
      <w:r>
        <w:rPr>
          <w:color w:val="231F20"/>
        </w:rPr>
        <w:t>más</w:t>
      </w:r>
      <w:r>
        <w:rPr>
          <w:color w:val="231F20"/>
          <w:spacing w:val="-7"/>
        </w:rPr>
        <w:t> </w:t>
      </w:r>
      <w:r>
        <w:rPr>
          <w:color w:val="231F20"/>
        </w:rPr>
        <w:t>complejo</w:t>
      </w:r>
      <w:r>
        <w:rPr>
          <w:color w:val="231F20"/>
          <w:spacing w:val="-7"/>
        </w:rPr>
        <w:t> </w:t>
      </w:r>
      <w:r>
        <w:rPr>
          <w:color w:val="231F20"/>
        </w:rPr>
        <w:t>para</w:t>
      </w:r>
      <w:r>
        <w:rPr>
          <w:color w:val="231F20"/>
          <w:spacing w:val="-7"/>
        </w:rPr>
        <w:t> </w:t>
      </w:r>
      <w:r>
        <w:rPr>
          <w:color w:val="231F20"/>
        </w:rPr>
        <w:t>dar</w:t>
      </w:r>
      <w:r>
        <w:rPr>
          <w:color w:val="231F20"/>
          <w:spacing w:val="-7"/>
        </w:rPr>
        <w:t> </w:t>
      </w:r>
      <w:r>
        <w:rPr>
          <w:color w:val="231F20"/>
        </w:rPr>
        <w:t>cuenta</w:t>
      </w:r>
      <w:r>
        <w:rPr>
          <w:color w:val="231F20"/>
          <w:spacing w:val="-7"/>
        </w:rPr>
        <w:t> </w:t>
      </w:r>
      <w:r>
        <w:rPr>
          <w:color w:val="231F20"/>
        </w:rPr>
        <w:t>de</w:t>
      </w:r>
      <w:r>
        <w:rPr>
          <w:color w:val="231F20"/>
          <w:spacing w:val="-7"/>
        </w:rPr>
        <w:t> </w:t>
      </w:r>
      <w:r>
        <w:rPr>
          <w:color w:val="231F20"/>
        </w:rPr>
        <w:t>todos</w:t>
      </w:r>
      <w:r>
        <w:rPr>
          <w:color w:val="231F20"/>
          <w:spacing w:val="-7"/>
        </w:rPr>
        <w:t> </w:t>
      </w:r>
      <w:r>
        <w:rPr>
          <w:color w:val="231F20"/>
        </w:rPr>
        <w:t>los</w:t>
      </w:r>
      <w:r>
        <w:rPr>
          <w:color w:val="231F20"/>
          <w:spacing w:val="-7"/>
        </w:rPr>
        <w:t> </w:t>
      </w:r>
      <w:r>
        <w:rPr>
          <w:color w:val="231F20"/>
        </w:rPr>
        <w:t>problemas</w:t>
      </w:r>
      <w:r>
        <w:rPr>
          <w:color w:val="231F20"/>
          <w:spacing w:val="-7"/>
        </w:rPr>
        <w:t> </w:t>
      </w:r>
      <w:r>
        <w:rPr>
          <w:color w:val="231F20"/>
        </w:rPr>
        <w:t>y consecuencias que ha traído el proceso globalizador, para ello es</w:t>
      </w:r>
      <w:r>
        <w:rPr>
          <w:color w:val="231F20"/>
          <w:spacing w:val="-40"/>
        </w:rPr>
        <w:t> </w:t>
      </w:r>
      <w:r>
        <w:rPr>
          <w:color w:val="231F20"/>
        </w:rPr>
        <w:t>necesario</w:t>
      </w:r>
    </w:p>
    <w:p>
      <w:pPr>
        <w:pStyle w:val="BodyText"/>
        <w:rPr>
          <w:sz w:val="20"/>
        </w:rPr>
      </w:pPr>
    </w:p>
    <w:p>
      <w:pPr>
        <w:pStyle w:val="BodyText"/>
        <w:spacing w:before="6"/>
        <w:rPr>
          <w:sz w:val="14"/>
        </w:rPr>
      </w:pPr>
      <w:r>
        <w:rPr/>
        <w:pict>
          <v:line style="position:absolute;mso-position-horizontal-relative:page;mso-position-vertical-relative:paragraph;z-index:4024;mso-wrap-distance-left:0;mso-wrap-distance-right:0" from="65.1968pt,10.890176pt" to="178.5828pt,10.890176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position w:val="6"/>
          <w:sz w:val="10"/>
        </w:rPr>
        <w:t>8  </w:t>
      </w:r>
      <w:r>
        <w:rPr>
          <w:rFonts w:ascii="Calibri" w:hAnsi="Calibri"/>
          <w:color w:val="231F20"/>
          <w:sz w:val="17"/>
        </w:rPr>
        <w:t>Robertson, “Glocalization: Time–Space and Homogeneity–Heterogeneity”, p.   27.</w:t>
      </w:r>
    </w:p>
    <w:p>
      <w:pPr>
        <w:spacing w:line="235" w:lineRule="auto" w:before="1"/>
        <w:ind w:left="103" w:right="4297" w:firstLine="0"/>
        <w:jc w:val="left"/>
        <w:rPr>
          <w:rFonts w:ascii="Calibri" w:hAnsi="Calibri"/>
          <w:sz w:val="17"/>
        </w:rPr>
      </w:pPr>
      <w:r>
        <w:rPr>
          <w:rFonts w:ascii="Calibri" w:hAnsi="Calibri"/>
          <w:color w:val="231F20"/>
          <w:position w:val="6"/>
          <w:sz w:val="10"/>
        </w:rPr>
        <w:t>9 </w:t>
      </w:r>
      <w:r>
        <w:rPr>
          <w:rFonts w:ascii="Calibri" w:hAnsi="Calibri"/>
          <w:color w:val="231F20"/>
          <w:sz w:val="17"/>
        </w:rPr>
        <w:t>Reder, </w:t>
      </w:r>
      <w:r>
        <w:rPr>
          <w:rFonts w:ascii="Calibri" w:hAnsi="Calibri"/>
          <w:i/>
          <w:color w:val="231F20"/>
          <w:sz w:val="17"/>
        </w:rPr>
        <w:t>Globalización y filosofía</w:t>
      </w:r>
      <w:r>
        <w:rPr>
          <w:rFonts w:ascii="Calibri" w:hAnsi="Calibri"/>
          <w:color w:val="231F20"/>
          <w:sz w:val="17"/>
        </w:rPr>
        <w:t>, p. 56. </w:t>
      </w:r>
      <w:r>
        <w:rPr>
          <w:rFonts w:ascii="Calibri" w:hAnsi="Calibri"/>
          <w:color w:val="231F20"/>
          <w:position w:val="6"/>
          <w:sz w:val="10"/>
        </w:rPr>
        <w:t>10 </w:t>
      </w:r>
      <w:r>
        <w:rPr>
          <w:rFonts w:ascii="Calibri" w:hAnsi="Calibri"/>
          <w:i/>
          <w:color w:val="231F20"/>
          <w:sz w:val="17"/>
        </w:rPr>
        <w:t>Cfr. </w:t>
      </w:r>
      <w:r>
        <w:rPr>
          <w:rFonts w:ascii="Calibri" w:hAnsi="Calibri"/>
          <w:color w:val="231F20"/>
          <w:sz w:val="17"/>
        </w:rPr>
        <w:t>Reder, </w:t>
      </w:r>
      <w:r>
        <w:rPr>
          <w:rFonts w:ascii="Calibri" w:hAnsi="Calibri"/>
          <w:i/>
          <w:color w:val="231F20"/>
          <w:sz w:val="17"/>
        </w:rPr>
        <w:t>Globalización y filosofía</w:t>
      </w:r>
      <w:r>
        <w:rPr>
          <w:rFonts w:ascii="Calibri" w:hAnsi="Calibri"/>
          <w:color w:val="231F20"/>
          <w:sz w:val="17"/>
        </w:rPr>
        <w:t>. </w:t>
      </w:r>
      <w:r>
        <w:rPr>
          <w:rFonts w:ascii="Calibri" w:hAnsi="Calibri"/>
          <w:color w:val="231F20"/>
          <w:position w:val="6"/>
          <w:sz w:val="10"/>
        </w:rPr>
        <w:t>11  </w:t>
      </w:r>
      <w:r>
        <w:rPr>
          <w:rFonts w:ascii="Calibri" w:hAnsi="Calibri"/>
          <w:i/>
          <w:color w:val="231F20"/>
          <w:sz w:val="17"/>
        </w:rPr>
        <w:t>Cfr. </w:t>
      </w:r>
      <w:r>
        <w:rPr>
          <w:rFonts w:ascii="Calibri" w:hAnsi="Calibri"/>
          <w:color w:val="231F20"/>
          <w:sz w:val="17"/>
        </w:rPr>
        <w:t>Marramao, </w:t>
      </w:r>
      <w:r>
        <w:rPr>
          <w:rFonts w:ascii="Calibri" w:hAnsi="Calibri"/>
          <w:i/>
          <w:color w:val="231F20"/>
          <w:sz w:val="17"/>
        </w:rPr>
        <w:t>Pasaje a Occidente</w:t>
      </w:r>
      <w:r>
        <w:rPr>
          <w:rFonts w:ascii="Calibri" w:hAnsi="Calibri"/>
          <w:color w:val="231F20"/>
          <w:sz w:val="17"/>
        </w:rPr>
        <w:t>.</w:t>
      </w:r>
    </w:p>
    <w:p>
      <w:pPr>
        <w:spacing w:line="203" w:lineRule="exact" w:before="0"/>
        <w:ind w:left="103" w:right="0" w:firstLine="0"/>
        <w:jc w:val="left"/>
        <w:rPr>
          <w:rFonts w:ascii="Calibri" w:hAnsi="Calibri"/>
          <w:sz w:val="17"/>
        </w:rPr>
      </w:pPr>
      <w:r>
        <w:rPr>
          <w:rFonts w:ascii="Calibri" w:hAnsi="Calibri"/>
          <w:color w:val="231F20"/>
          <w:position w:val="6"/>
          <w:sz w:val="10"/>
        </w:rPr>
        <w:t>12  </w:t>
      </w:r>
      <w:r>
        <w:rPr>
          <w:rFonts w:ascii="Calibri" w:hAnsi="Calibri"/>
          <w:i/>
          <w:color w:val="231F20"/>
          <w:sz w:val="17"/>
        </w:rPr>
        <w:t>Cfr.  </w:t>
      </w:r>
      <w:r>
        <w:rPr>
          <w:rFonts w:ascii="Calibri" w:hAnsi="Calibri"/>
          <w:color w:val="231F20"/>
          <w:sz w:val="17"/>
        </w:rPr>
        <w:t>Robertson, “Glocalization: Time–Space and   Homogeneity–Heterogeneity”.</w:t>
      </w:r>
    </w:p>
    <w:p>
      <w:pPr>
        <w:spacing w:line="204" w:lineRule="exact" w:before="0"/>
        <w:ind w:left="103" w:right="0" w:firstLine="0"/>
        <w:jc w:val="left"/>
        <w:rPr>
          <w:rFonts w:ascii="Calibri" w:hAnsi="Calibri"/>
          <w:sz w:val="17"/>
        </w:rPr>
      </w:pPr>
      <w:r>
        <w:rPr>
          <w:rFonts w:ascii="Calibri" w:hAnsi="Calibri"/>
          <w:color w:val="231F20"/>
          <w:position w:val="6"/>
          <w:sz w:val="10"/>
        </w:rPr>
        <w:t>13  </w:t>
      </w:r>
      <w:r>
        <w:rPr>
          <w:rFonts w:ascii="Calibri" w:hAnsi="Calibri"/>
          <w:i/>
          <w:color w:val="231F20"/>
          <w:sz w:val="17"/>
        </w:rPr>
        <w:t>Cfr. </w:t>
      </w:r>
      <w:r>
        <w:rPr>
          <w:rFonts w:ascii="Calibri" w:hAnsi="Calibri"/>
          <w:color w:val="231F20"/>
          <w:sz w:val="17"/>
        </w:rPr>
        <w:t>G. Ritzer, </w:t>
      </w:r>
      <w:r>
        <w:rPr>
          <w:rFonts w:ascii="Calibri" w:hAnsi="Calibri"/>
          <w:i/>
          <w:color w:val="231F20"/>
          <w:sz w:val="17"/>
        </w:rPr>
        <w:t>Globalization</w:t>
      </w:r>
      <w:r>
        <w:rPr>
          <w:rFonts w:ascii="Calibri" w:hAnsi="Calibri"/>
          <w:color w:val="231F20"/>
          <w:sz w:val="17"/>
        </w:rPr>
        <w:t>, West Sussex, Wiley–Blackwell, 2011.</w:t>
      </w:r>
    </w:p>
    <w:p>
      <w:pPr>
        <w:spacing w:line="206" w:lineRule="exact" w:before="0"/>
        <w:ind w:left="103" w:right="0" w:firstLine="0"/>
        <w:jc w:val="left"/>
        <w:rPr>
          <w:rFonts w:ascii="Calibri" w:hAnsi="Calibri"/>
          <w:sz w:val="17"/>
        </w:rPr>
      </w:pPr>
      <w:r>
        <w:rPr>
          <w:rFonts w:ascii="Calibri" w:hAnsi="Calibri"/>
          <w:color w:val="231F20"/>
          <w:position w:val="6"/>
          <w:sz w:val="10"/>
        </w:rPr>
        <w:t>14  </w:t>
      </w:r>
      <w:r>
        <w:rPr>
          <w:rFonts w:ascii="Calibri" w:hAnsi="Calibri"/>
          <w:i/>
          <w:color w:val="231F20"/>
          <w:sz w:val="17"/>
        </w:rPr>
        <w:t>Cfr. </w:t>
      </w:r>
      <w:r>
        <w:rPr>
          <w:rFonts w:ascii="Calibri" w:hAnsi="Calibri"/>
          <w:color w:val="231F20"/>
          <w:sz w:val="17"/>
        </w:rPr>
        <w:t>Z. Bauman, </w:t>
      </w:r>
      <w:r>
        <w:rPr>
          <w:rFonts w:ascii="Calibri" w:hAnsi="Calibri"/>
          <w:i/>
          <w:color w:val="231F20"/>
          <w:sz w:val="17"/>
        </w:rPr>
        <w:t>Modernidad líquida</w:t>
      </w:r>
      <w:r>
        <w:rPr>
          <w:rFonts w:ascii="Calibri" w:hAnsi="Calibri"/>
          <w:color w:val="231F20"/>
          <w:sz w:val="17"/>
        </w:rPr>
        <w:t>, México, </w:t>
      </w:r>
      <w:r>
        <w:rPr>
          <w:rFonts w:ascii="Calibri" w:hAnsi="Calibri"/>
          <w:color w:val="231F20"/>
          <w:sz w:val="15"/>
        </w:rPr>
        <w:t>FCE</w:t>
      </w:r>
      <w:r>
        <w:rPr>
          <w:rFonts w:ascii="Calibri" w:hAnsi="Calibri"/>
          <w:color w:val="231F20"/>
          <w:sz w:val="17"/>
        </w:rPr>
        <w:t>, 2003.</w:t>
      </w:r>
    </w:p>
    <w:p>
      <w:pPr>
        <w:pStyle w:val="BodyText"/>
        <w:rPr>
          <w:rFonts w:ascii="Calibri"/>
          <w:sz w:val="20"/>
        </w:rPr>
      </w:pPr>
    </w:p>
    <w:p>
      <w:pPr>
        <w:pStyle w:val="BodyText"/>
        <w:spacing w:before="9"/>
        <w:rPr>
          <w:rFonts w:ascii="Calibri"/>
          <w:sz w:val="27"/>
        </w:rPr>
      </w:pPr>
    </w:p>
    <w:p>
      <w:pPr>
        <w:tabs>
          <w:tab w:pos="1331" w:val="left" w:leader="none"/>
        </w:tabs>
        <w:spacing w:before="68"/>
        <w:ind w:left="281" w:right="0" w:firstLine="0"/>
        <w:jc w:val="left"/>
        <w:rPr>
          <w:rFonts w:ascii="Calibri" w:hAnsi="Calibri"/>
          <w:sz w:val="16"/>
        </w:rPr>
      </w:pPr>
      <w:r>
        <w:rPr/>
        <w:pict>
          <v:group style="position:absolute;margin-left:98.787804pt;margin-top:-3.358812pt;width:20.4pt;height:43pt;mso-position-horizontal-relative:page;mso-position-vertical-relative:paragraph;z-index:-171352"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hAnsi="Arial"/>
          <w:color w:val="414042"/>
          <w:position w:val="-4"/>
          <w:sz w:val="20"/>
        </w:rPr>
        <w:t>68</w:t>
        <w:tab/>
      </w:r>
      <w:r>
        <w:rPr>
          <w:rFonts w:ascii="Calibri" w:hAnsi="Calibri"/>
          <w:color w:val="6D6E71"/>
          <w:sz w:val="16"/>
        </w:rPr>
        <w:t>María Luisa Bacarlett</w:t>
      </w:r>
      <w:r>
        <w:rPr>
          <w:rFonts w:ascii="Calibri" w:hAnsi="Calibri"/>
          <w:color w:val="6D6E71"/>
          <w:spacing w:val="33"/>
          <w:sz w:val="16"/>
        </w:rPr>
        <w:t> </w:t>
      </w:r>
      <w:r>
        <w:rPr>
          <w:rFonts w:ascii="Calibri" w:hAnsi="Calibri"/>
          <w:color w:val="6D6E71"/>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335" w:right="0" w:firstLine="0"/>
        <w:jc w:val="left"/>
        <w:rPr>
          <w:rFonts w:ascii="Arial" w:hAnsi="Arial"/>
          <w:sz w:val="20"/>
        </w:rPr>
      </w:pPr>
      <w:r>
        <w:rPr/>
        <w:pict>
          <v:group style="position:absolute;margin-left:383.821014pt;margin-top:-25.479271pt;width:8.65pt;height:41pt;mso-position-horizontal-relative:page;mso-position-vertical-relative:paragraph;z-index:-17130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NATURALIZAR</w:t>
      </w:r>
      <w:r>
        <w:rPr>
          <w:rFonts w:ascii="Lucida Sans Unicode" w:hAnsi="Lucida Sans Unicode"/>
          <w:color w:val="6D6E71"/>
          <w:spacing w:val="-19"/>
          <w:w w:val="95"/>
          <w:sz w:val="14"/>
        </w:rPr>
        <w:t> </w:t>
      </w:r>
      <w:r>
        <w:rPr>
          <w:rFonts w:ascii="Lucida Sans Unicode" w:hAnsi="Lucida Sans Unicode"/>
          <w:color w:val="6D6E71"/>
          <w:w w:val="95"/>
          <w:sz w:val="14"/>
        </w:rPr>
        <w:t>LAS</w:t>
      </w:r>
      <w:r>
        <w:rPr>
          <w:rFonts w:ascii="Lucida Sans Unicode" w:hAnsi="Lucida Sans Unicode"/>
          <w:color w:val="6D6E71"/>
          <w:spacing w:val="-19"/>
          <w:w w:val="95"/>
          <w:sz w:val="14"/>
        </w:rPr>
        <w:t> </w:t>
      </w:r>
      <w:r>
        <w:rPr>
          <w:rFonts w:ascii="Lucida Sans Unicode" w:hAnsi="Lucida Sans Unicode"/>
          <w:color w:val="6D6E71"/>
          <w:w w:val="95"/>
          <w:sz w:val="14"/>
        </w:rPr>
        <w:t>PARADOJAS:</w:t>
      </w:r>
      <w:r>
        <w:rPr>
          <w:rFonts w:ascii="Lucida Sans Unicode" w:hAnsi="Lucida Sans Unicode"/>
          <w:color w:val="6D6E71"/>
          <w:spacing w:val="-19"/>
          <w:w w:val="95"/>
          <w:sz w:val="14"/>
        </w:rPr>
        <w:t> </w:t>
      </w:r>
      <w:r>
        <w:rPr>
          <w:rFonts w:ascii="Lucida Sans Unicode" w:hAnsi="Lucida Sans Unicode"/>
          <w:color w:val="6D6E71"/>
          <w:w w:val="95"/>
          <w:sz w:val="14"/>
        </w:rPr>
        <w:t>UN</w:t>
      </w:r>
      <w:r>
        <w:rPr>
          <w:rFonts w:ascii="Lucida Sans Unicode" w:hAnsi="Lucida Sans Unicode"/>
          <w:color w:val="6D6E71"/>
          <w:spacing w:val="-19"/>
          <w:w w:val="95"/>
          <w:sz w:val="14"/>
        </w:rPr>
        <w:t> </w:t>
      </w:r>
      <w:r>
        <w:rPr>
          <w:rFonts w:ascii="Lucida Sans Unicode" w:hAnsi="Lucida Sans Unicode"/>
          <w:color w:val="6D6E71"/>
          <w:w w:val="95"/>
          <w:sz w:val="14"/>
        </w:rPr>
        <w:t>ACERCAMIENTO</w:t>
      </w:r>
      <w:r>
        <w:rPr>
          <w:rFonts w:ascii="Lucida Sans Unicode" w:hAnsi="Lucida Sans Unicode"/>
          <w:color w:val="6D6E71"/>
          <w:spacing w:val="-19"/>
          <w:w w:val="95"/>
          <w:sz w:val="14"/>
        </w:rPr>
        <w:t> </w:t>
      </w:r>
      <w:r>
        <w:rPr>
          <w:rFonts w:ascii="Lucida Sans Unicode" w:hAnsi="Lucida Sans Unicode"/>
          <w:color w:val="6D6E71"/>
          <w:w w:val="95"/>
          <w:sz w:val="14"/>
        </w:rPr>
        <w:t>A</w:t>
      </w:r>
      <w:r>
        <w:rPr>
          <w:rFonts w:ascii="Lucida Sans Unicode" w:hAnsi="Lucida Sans Unicode"/>
          <w:color w:val="6D6E71"/>
          <w:spacing w:val="-19"/>
          <w:w w:val="95"/>
          <w:sz w:val="14"/>
        </w:rPr>
        <w:t> </w:t>
      </w:r>
      <w:r>
        <w:rPr>
          <w:rFonts w:ascii="Lucida Sans Unicode" w:hAnsi="Lucida Sans Unicode"/>
          <w:color w:val="6D6E71"/>
          <w:w w:val="95"/>
          <w:sz w:val="14"/>
        </w:rPr>
        <w:t>LA</w:t>
      </w:r>
      <w:r>
        <w:rPr>
          <w:rFonts w:ascii="Lucida Sans Unicode" w:hAnsi="Lucida Sans Unicode"/>
          <w:color w:val="6D6E71"/>
          <w:spacing w:val="-19"/>
          <w:w w:val="95"/>
          <w:sz w:val="14"/>
        </w:rPr>
        <w:t> </w:t>
      </w:r>
      <w:r>
        <w:rPr>
          <w:rFonts w:ascii="Lucida Sans Unicode" w:hAnsi="Lucida Sans Unicode"/>
          <w:color w:val="6D6E71"/>
          <w:w w:val="95"/>
          <w:sz w:val="14"/>
        </w:rPr>
        <w:t>GLOBALIZACIÓN</w:t>
      </w:r>
      <w:r>
        <w:rPr>
          <w:rFonts w:ascii="Lucida Sans Unicode" w:hAnsi="Lucida Sans Unicode"/>
          <w:color w:val="6D6E71"/>
          <w:spacing w:val="-19"/>
          <w:w w:val="95"/>
          <w:sz w:val="14"/>
        </w:rPr>
        <w:t> </w:t>
      </w:r>
      <w:r>
        <w:rPr>
          <w:rFonts w:ascii="Lucida Sans Unicode" w:hAnsi="Lucida Sans Unicode"/>
          <w:color w:val="6D6E71"/>
          <w:w w:val="95"/>
          <w:sz w:val="14"/>
        </w:rPr>
        <w:t>DESDE</w:t>
      </w:r>
      <w:r>
        <w:rPr>
          <w:rFonts w:ascii="Lucida Sans Unicode" w:hAnsi="Lucida Sans Unicode"/>
          <w:color w:val="6D6E71"/>
          <w:spacing w:val="-19"/>
          <w:w w:val="95"/>
          <w:sz w:val="14"/>
        </w:rPr>
        <w:t> </w:t>
      </w:r>
      <w:r>
        <w:rPr>
          <w:rFonts w:ascii="Lucida Sans Unicode" w:hAnsi="Lucida Sans Unicode"/>
          <w:color w:val="6D6E71"/>
          <w:w w:val="95"/>
          <w:sz w:val="14"/>
        </w:rPr>
        <w:t>GILLES</w:t>
      </w:r>
      <w:r>
        <w:rPr>
          <w:rFonts w:ascii="Lucida Sans Unicode" w:hAnsi="Lucida Sans Unicode"/>
          <w:color w:val="6D6E71"/>
          <w:spacing w:val="-19"/>
          <w:w w:val="95"/>
          <w:sz w:val="14"/>
        </w:rPr>
        <w:t> </w:t>
      </w:r>
      <w:r>
        <w:rPr>
          <w:rFonts w:ascii="Lucida Sans Unicode" w:hAnsi="Lucida Sans Unicode"/>
          <w:color w:val="6D6E71"/>
          <w:w w:val="95"/>
          <w:sz w:val="14"/>
        </w:rPr>
        <w:t>DELEUZE</w:t>
      </w:r>
      <w:r>
        <w:rPr>
          <w:rFonts w:ascii="Arial" w:hAnsi="Arial"/>
          <w:color w:val="414042"/>
          <w:w w:val="95"/>
          <w:position w:val="-3"/>
          <w:sz w:val="20"/>
        </w:rPr>
        <w:tab/>
        <w:t>69</w:t>
      </w:r>
    </w:p>
    <w:p>
      <w:pPr>
        <w:pStyle w:val="BodyText"/>
        <w:rPr>
          <w:rFonts w:ascii="Arial"/>
          <w:sz w:val="20"/>
        </w:rPr>
      </w:pPr>
    </w:p>
    <w:p>
      <w:pPr>
        <w:pStyle w:val="BodyText"/>
        <w:rPr>
          <w:rFonts w:ascii="Arial"/>
          <w:sz w:val="20"/>
        </w:rPr>
      </w:pPr>
    </w:p>
    <w:p>
      <w:pPr>
        <w:pStyle w:val="BodyText"/>
        <w:spacing w:line="247" w:lineRule="auto" w:before="163"/>
        <w:ind w:left="117" w:right="101"/>
        <w:jc w:val="both"/>
      </w:pPr>
      <w:r>
        <w:rPr>
          <w:color w:val="231F20"/>
        </w:rPr>
        <w:t>considerar que en él no todo es lineal ni homogéneo, es necesario reparar en su carácter paradójico; sin embargo, la pregunta que guía este trabajo es</w:t>
      </w:r>
      <w:r>
        <w:rPr>
          <w:color w:val="231F20"/>
          <w:spacing w:val="-13"/>
        </w:rPr>
        <w:t> </w:t>
      </w:r>
      <w:r>
        <w:rPr>
          <w:color w:val="231F20"/>
        </w:rPr>
        <w:t>saber</w:t>
      </w:r>
      <w:r>
        <w:rPr>
          <w:color w:val="231F20"/>
          <w:spacing w:val="-13"/>
        </w:rPr>
        <w:t> </w:t>
      </w:r>
      <w:r>
        <w:rPr>
          <w:color w:val="231F20"/>
        </w:rPr>
        <w:t>si,</w:t>
      </w:r>
      <w:r>
        <w:rPr>
          <w:color w:val="231F20"/>
          <w:spacing w:val="-13"/>
        </w:rPr>
        <w:t> </w:t>
      </w:r>
      <w:r>
        <w:rPr>
          <w:color w:val="231F20"/>
        </w:rPr>
        <w:t>al</w:t>
      </w:r>
      <w:r>
        <w:rPr>
          <w:color w:val="231F20"/>
          <w:spacing w:val="-13"/>
        </w:rPr>
        <w:t> </w:t>
      </w:r>
      <w:r>
        <w:rPr>
          <w:color w:val="231F20"/>
        </w:rPr>
        <w:t>final,</w:t>
      </w:r>
      <w:r>
        <w:rPr>
          <w:color w:val="231F20"/>
          <w:spacing w:val="-13"/>
        </w:rPr>
        <w:t> </w:t>
      </w:r>
      <w:r>
        <w:rPr>
          <w:color w:val="231F20"/>
        </w:rPr>
        <w:t>estas</w:t>
      </w:r>
      <w:r>
        <w:rPr>
          <w:color w:val="231F20"/>
          <w:spacing w:val="-13"/>
        </w:rPr>
        <w:t> </w:t>
      </w:r>
      <w:r>
        <w:rPr>
          <w:color w:val="231F20"/>
        </w:rPr>
        <w:t>paradojas</w:t>
      </w:r>
      <w:r>
        <w:rPr>
          <w:color w:val="231F20"/>
          <w:spacing w:val="-13"/>
        </w:rPr>
        <w:t> </w:t>
      </w:r>
      <w:r>
        <w:rPr>
          <w:color w:val="231F20"/>
        </w:rPr>
        <w:t>no</w:t>
      </w:r>
      <w:r>
        <w:rPr>
          <w:color w:val="231F20"/>
          <w:spacing w:val="-13"/>
        </w:rPr>
        <w:t> </w:t>
      </w:r>
      <w:r>
        <w:rPr>
          <w:color w:val="231F20"/>
        </w:rPr>
        <w:t>contribuirían</w:t>
      </w:r>
      <w:r>
        <w:rPr>
          <w:color w:val="231F20"/>
          <w:spacing w:val="-13"/>
        </w:rPr>
        <w:t> </w:t>
      </w:r>
      <w:r>
        <w:rPr>
          <w:color w:val="231F20"/>
        </w:rPr>
        <w:t>en</w:t>
      </w:r>
      <w:r>
        <w:rPr>
          <w:color w:val="231F20"/>
          <w:spacing w:val="-13"/>
        </w:rPr>
        <w:t> </w:t>
      </w:r>
      <w:r>
        <w:rPr>
          <w:color w:val="231F20"/>
        </w:rPr>
        <w:t>dar</w:t>
      </w:r>
      <w:r>
        <w:rPr>
          <w:color w:val="231F20"/>
          <w:spacing w:val="-13"/>
        </w:rPr>
        <w:t> </w:t>
      </w:r>
      <w:r>
        <w:rPr>
          <w:color w:val="231F20"/>
        </w:rPr>
        <w:t>una</w:t>
      </w:r>
      <w:r>
        <w:rPr>
          <w:color w:val="231F20"/>
          <w:spacing w:val="-13"/>
        </w:rPr>
        <w:t> </w:t>
      </w:r>
      <w:r>
        <w:rPr>
          <w:color w:val="231F20"/>
        </w:rPr>
        <w:t>imagen</w:t>
      </w:r>
      <w:r>
        <w:rPr>
          <w:color w:val="231F20"/>
          <w:spacing w:val="-13"/>
        </w:rPr>
        <w:t> </w:t>
      </w:r>
      <w:r>
        <w:rPr>
          <w:color w:val="231F20"/>
        </w:rPr>
        <w:t>más homogénea y amigable de la globalización. En el último apartado nos val- dremos de los análisis realizados por Gilles Deleuze</w:t>
      </w:r>
      <w:r>
        <w:rPr>
          <w:color w:val="231F20"/>
          <w:position w:val="7"/>
          <w:sz w:val="12"/>
        </w:rPr>
        <w:t>15 </w:t>
      </w:r>
      <w:r>
        <w:rPr>
          <w:color w:val="231F20"/>
        </w:rPr>
        <w:t>y también por Felix Guattari,</w:t>
      </w:r>
      <w:r>
        <w:rPr>
          <w:color w:val="231F20"/>
          <w:spacing w:val="-13"/>
        </w:rPr>
        <w:t> </w:t>
      </w:r>
      <w:r>
        <w:rPr>
          <w:color w:val="231F20"/>
        </w:rPr>
        <w:t>para</w:t>
      </w:r>
      <w:r>
        <w:rPr>
          <w:color w:val="231F20"/>
          <w:spacing w:val="-13"/>
        </w:rPr>
        <w:t> </w:t>
      </w:r>
      <w:r>
        <w:rPr>
          <w:color w:val="231F20"/>
        </w:rPr>
        <w:t>tratar</w:t>
      </w:r>
      <w:r>
        <w:rPr>
          <w:color w:val="231F20"/>
          <w:spacing w:val="-13"/>
        </w:rPr>
        <w:t> </w:t>
      </w:r>
      <w:r>
        <w:rPr>
          <w:color w:val="231F20"/>
        </w:rPr>
        <w:t>de</w:t>
      </w:r>
      <w:r>
        <w:rPr>
          <w:color w:val="231F20"/>
          <w:spacing w:val="-13"/>
        </w:rPr>
        <w:t> </w:t>
      </w:r>
      <w:r>
        <w:rPr>
          <w:color w:val="231F20"/>
        </w:rPr>
        <w:t>responder</w:t>
      </w:r>
      <w:r>
        <w:rPr>
          <w:color w:val="231F20"/>
          <w:spacing w:val="-13"/>
        </w:rPr>
        <w:t> </w:t>
      </w:r>
      <w:r>
        <w:rPr>
          <w:color w:val="231F20"/>
        </w:rPr>
        <w:t>a</w:t>
      </w:r>
      <w:r>
        <w:rPr>
          <w:color w:val="231F20"/>
          <w:spacing w:val="-13"/>
        </w:rPr>
        <w:t> </w:t>
      </w:r>
      <w:r>
        <w:rPr>
          <w:color w:val="231F20"/>
        </w:rPr>
        <w:t>tal</w:t>
      </w:r>
      <w:r>
        <w:rPr>
          <w:color w:val="231F20"/>
          <w:spacing w:val="-13"/>
        </w:rPr>
        <w:t> </w:t>
      </w:r>
      <w:r>
        <w:rPr>
          <w:color w:val="231F20"/>
        </w:rPr>
        <w:t>cuestión,</w:t>
      </w:r>
      <w:r>
        <w:rPr>
          <w:color w:val="231F20"/>
          <w:spacing w:val="-13"/>
        </w:rPr>
        <w:t> </w:t>
      </w:r>
      <w:r>
        <w:rPr>
          <w:color w:val="231F20"/>
        </w:rPr>
        <w:t>para</w:t>
      </w:r>
      <w:r>
        <w:rPr>
          <w:color w:val="231F20"/>
          <w:spacing w:val="-13"/>
        </w:rPr>
        <w:t> </w:t>
      </w:r>
      <w:r>
        <w:rPr>
          <w:color w:val="231F20"/>
        </w:rPr>
        <w:t>saber</w:t>
      </w:r>
      <w:r>
        <w:rPr>
          <w:color w:val="231F20"/>
          <w:spacing w:val="-13"/>
        </w:rPr>
        <w:t> </w:t>
      </w:r>
      <w:r>
        <w:rPr>
          <w:color w:val="231F20"/>
        </w:rPr>
        <w:t>si</w:t>
      </w:r>
      <w:r>
        <w:rPr>
          <w:color w:val="231F20"/>
          <w:spacing w:val="-13"/>
        </w:rPr>
        <w:t> </w:t>
      </w:r>
      <w:r>
        <w:rPr>
          <w:color w:val="231F20"/>
        </w:rPr>
        <w:t>una</w:t>
      </w:r>
      <w:r>
        <w:rPr>
          <w:color w:val="231F20"/>
          <w:spacing w:val="-13"/>
        </w:rPr>
        <w:t> </w:t>
      </w:r>
      <w:r>
        <w:rPr>
          <w:color w:val="231F20"/>
        </w:rPr>
        <w:t>paradoja puede</w:t>
      </w:r>
      <w:r>
        <w:rPr>
          <w:color w:val="231F20"/>
          <w:spacing w:val="-17"/>
        </w:rPr>
        <w:t> </w:t>
      </w:r>
      <w:r>
        <w:rPr>
          <w:color w:val="231F20"/>
        </w:rPr>
        <w:t>naturalizarse</w:t>
      </w:r>
      <w:r>
        <w:rPr>
          <w:color w:val="231F20"/>
          <w:spacing w:val="-17"/>
        </w:rPr>
        <w:t> </w:t>
      </w:r>
      <w:r>
        <w:rPr>
          <w:color w:val="231F20"/>
          <w:spacing w:val="-10"/>
        </w:rPr>
        <w:t>y,</w:t>
      </w:r>
      <w:r>
        <w:rPr>
          <w:color w:val="231F20"/>
          <w:spacing w:val="-17"/>
        </w:rPr>
        <w:t> </w:t>
      </w:r>
      <w:r>
        <w:rPr>
          <w:color w:val="231F20"/>
        </w:rPr>
        <w:t>así,</w:t>
      </w:r>
      <w:r>
        <w:rPr>
          <w:color w:val="231F20"/>
          <w:spacing w:val="-17"/>
        </w:rPr>
        <w:t> </w:t>
      </w:r>
      <w:r>
        <w:rPr>
          <w:color w:val="231F20"/>
        </w:rPr>
        <w:t>desactivar</w:t>
      </w:r>
      <w:r>
        <w:rPr>
          <w:color w:val="231F20"/>
          <w:spacing w:val="-17"/>
        </w:rPr>
        <w:t> </w:t>
      </w:r>
      <w:r>
        <w:rPr>
          <w:color w:val="231F20"/>
        </w:rPr>
        <w:t>su</w:t>
      </w:r>
      <w:r>
        <w:rPr>
          <w:color w:val="231F20"/>
          <w:spacing w:val="-17"/>
        </w:rPr>
        <w:t> </w:t>
      </w:r>
      <w:r>
        <w:rPr>
          <w:color w:val="231F20"/>
        </w:rPr>
        <w:t>carga</w:t>
      </w:r>
      <w:r>
        <w:rPr>
          <w:color w:val="231F20"/>
          <w:spacing w:val="-17"/>
        </w:rPr>
        <w:t> </w:t>
      </w:r>
      <w:r>
        <w:rPr>
          <w:color w:val="231F20"/>
        </w:rPr>
        <w:t>crítica.</w:t>
      </w:r>
      <w:r>
        <w:rPr>
          <w:color w:val="231F20"/>
          <w:spacing w:val="-17"/>
        </w:rPr>
        <w:t> </w:t>
      </w:r>
      <w:r>
        <w:rPr>
          <w:color w:val="231F20"/>
        </w:rPr>
        <w:t>Sin</w:t>
      </w:r>
      <w:r>
        <w:rPr>
          <w:color w:val="231F20"/>
          <w:spacing w:val="-17"/>
        </w:rPr>
        <w:t> </w:t>
      </w:r>
      <w:r>
        <w:rPr>
          <w:color w:val="231F20"/>
        </w:rPr>
        <w:t>embargo,</w:t>
      </w:r>
      <w:r>
        <w:rPr>
          <w:color w:val="231F20"/>
          <w:spacing w:val="-17"/>
        </w:rPr>
        <w:t> </w:t>
      </w:r>
      <w:r>
        <w:rPr>
          <w:color w:val="231F20"/>
        </w:rPr>
        <w:t>antes</w:t>
      </w:r>
      <w:r>
        <w:rPr>
          <w:color w:val="231F20"/>
          <w:spacing w:val="-17"/>
        </w:rPr>
        <w:t> </w:t>
      </w:r>
      <w:r>
        <w:rPr>
          <w:color w:val="231F20"/>
        </w:rPr>
        <w:t>de abordar este asunto, trataremos de </w:t>
      </w:r>
      <w:r>
        <w:rPr>
          <w:color w:val="231F20"/>
          <w:spacing w:val="-3"/>
        </w:rPr>
        <w:t>exponer, </w:t>
      </w:r>
      <w:r>
        <w:rPr>
          <w:color w:val="231F20"/>
        </w:rPr>
        <w:t>de manera general, en qué consisten las  llamadas </w:t>
      </w:r>
      <w:r>
        <w:rPr>
          <w:rFonts w:ascii="Arial" w:hAnsi="Arial"/>
          <w:i/>
          <w:color w:val="231F20"/>
        </w:rPr>
        <w:t>paradojas de la</w:t>
      </w:r>
      <w:r>
        <w:rPr>
          <w:rFonts w:ascii="Arial" w:hAnsi="Arial"/>
          <w:i/>
          <w:color w:val="231F20"/>
          <w:spacing w:val="-25"/>
        </w:rPr>
        <w:t> </w:t>
      </w:r>
      <w:r>
        <w:rPr>
          <w:rFonts w:ascii="Arial" w:hAnsi="Arial"/>
          <w:i/>
          <w:color w:val="231F20"/>
        </w:rPr>
        <w:t>globalización</w:t>
      </w:r>
      <w:r>
        <w:rPr>
          <w:color w:val="231F20"/>
        </w:rPr>
        <w:t>.</w:t>
      </w:r>
    </w:p>
    <w:p>
      <w:pPr>
        <w:pStyle w:val="BodyText"/>
        <w:spacing w:before="4"/>
        <w:rPr>
          <w:sz w:val="24"/>
        </w:rPr>
      </w:pPr>
    </w:p>
    <w:p>
      <w:pPr>
        <w:spacing w:before="0"/>
        <w:ind w:left="117" w:right="0" w:firstLine="0"/>
        <w:jc w:val="both"/>
        <w:rPr>
          <w:rFonts w:ascii="Arial" w:hAnsi="Arial"/>
          <w:i/>
          <w:sz w:val="21"/>
        </w:rPr>
      </w:pPr>
      <w:r>
        <w:rPr>
          <w:rFonts w:ascii="Arial" w:hAnsi="Arial"/>
          <w:i/>
          <w:color w:val="231F20"/>
          <w:sz w:val="21"/>
        </w:rPr>
        <w:t>Algunas paradojas de la globalización</w:t>
      </w:r>
    </w:p>
    <w:p>
      <w:pPr>
        <w:pStyle w:val="BodyText"/>
        <w:rPr>
          <w:rFonts w:ascii="Arial"/>
          <w:i/>
          <w:sz w:val="20"/>
        </w:rPr>
      </w:pPr>
    </w:p>
    <w:p>
      <w:pPr>
        <w:pStyle w:val="BodyText"/>
        <w:spacing w:line="247" w:lineRule="auto" w:before="172"/>
        <w:ind w:left="117" w:right="101"/>
        <w:jc w:val="both"/>
      </w:pPr>
      <w:r>
        <w:rPr>
          <w:color w:val="231F20"/>
          <w:w w:val="105"/>
        </w:rPr>
        <w:t>La</w:t>
      </w:r>
      <w:r>
        <w:rPr>
          <w:color w:val="231F20"/>
          <w:spacing w:val="-30"/>
          <w:w w:val="105"/>
        </w:rPr>
        <w:t> </w:t>
      </w:r>
      <w:r>
        <w:rPr>
          <w:color w:val="231F20"/>
          <w:w w:val="105"/>
        </w:rPr>
        <w:t>paradoja</w:t>
      </w:r>
      <w:r>
        <w:rPr>
          <w:color w:val="231F20"/>
          <w:spacing w:val="-30"/>
          <w:w w:val="105"/>
        </w:rPr>
        <w:t> </w:t>
      </w:r>
      <w:r>
        <w:rPr>
          <w:color w:val="231F20"/>
          <w:w w:val="105"/>
        </w:rPr>
        <w:t>que</w:t>
      </w:r>
      <w:r>
        <w:rPr>
          <w:color w:val="231F20"/>
          <w:spacing w:val="-30"/>
          <w:w w:val="105"/>
        </w:rPr>
        <w:t> </w:t>
      </w:r>
      <w:r>
        <w:rPr>
          <w:color w:val="231F20"/>
          <w:w w:val="105"/>
        </w:rPr>
        <w:t>ha</w:t>
      </w:r>
      <w:r>
        <w:rPr>
          <w:color w:val="231F20"/>
          <w:spacing w:val="-30"/>
          <w:w w:val="105"/>
        </w:rPr>
        <w:t> </w:t>
      </w:r>
      <w:r>
        <w:rPr>
          <w:color w:val="231F20"/>
          <w:w w:val="105"/>
        </w:rPr>
        <w:t>servido</w:t>
      </w:r>
      <w:r>
        <w:rPr>
          <w:color w:val="231F20"/>
          <w:spacing w:val="-30"/>
          <w:w w:val="105"/>
        </w:rPr>
        <w:t> </w:t>
      </w:r>
      <w:r>
        <w:rPr>
          <w:color w:val="231F20"/>
          <w:w w:val="105"/>
        </w:rPr>
        <w:t>como</w:t>
      </w:r>
      <w:r>
        <w:rPr>
          <w:color w:val="231F20"/>
          <w:spacing w:val="-30"/>
          <w:w w:val="105"/>
        </w:rPr>
        <w:t> </w:t>
      </w:r>
      <w:r>
        <w:rPr>
          <w:color w:val="231F20"/>
          <w:w w:val="105"/>
        </w:rPr>
        <w:t>punto</w:t>
      </w:r>
      <w:r>
        <w:rPr>
          <w:color w:val="231F20"/>
          <w:spacing w:val="-30"/>
          <w:w w:val="105"/>
        </w:rPr>
        <w:t> </w:t>
      </w:r>
      <w:r>
        <w:rPr>
          <w:color w:val="231F20"/>
          <w:w w:val="105"/>
        </w:rPr>
        <w:t>de</w:t>
      </w:r>
      <w:r>
        <w:rPr>
          <w:color w:val="231F20"/>
          <w:spacing w:val="-30"/>
          <w:w w:val="105"/>
        </w:rPr>
        <w:t> </w:t>
      </w:r>
      <w:r>
        <w:rPr>
          <w:color w:val="231F20"/>
          <w:w w:val="105"/>
        </w:rPr>
        <w:t>partida</w:t>
      </w:r>
      <w:r>
        <w:rPr>
          <w:color w:val="231F20"/>
          <w:spacing w:val="-30"/>
          <w:w w:val="105"/>
        </w:rPr>
        <w:t> </w:t>
      </w:r>
      <w:r>
        <w:rPr>
          <w:color w:val="231F20"/>
          <w:w w:val="105"/>
        </w:rPr>
        <w:t>para</w:t>
      </w:r>
      <w:r>
        <w:rPr>
          <w:color w:val="231F20"/>
          <w:spacing w:val="-30"/>
          <w:w w:val="105"/>
        </w:rPr>
        <w:t> </w:t>
      </w:r>
      <w:r>
        <w:rPr>
          <w:color w:val="231F20"/>
          <w:w w:val="105"/>
        </w:rPr>
        <w:t>entender</w:t>
      </w:r>
      <w:r>
        <w:rPr>
          <w:color w:val="231F20"/>
          <w:spacing w:val="-30"/>
          <w:w w:val="105"/>
        </w:rPr>
        <w:t> </w:t>
      </w:r>
      <w:r>
        <w:rPr>
          <w:color w:val="231F20"/>
          <w:w w:val="105"/>
        </w:rPr>
        <w:t>el</w:t>
      </w:r>
      <w:r>
        <w:rPr>
          <w:color w:val="231F20"/>
          <w:spacing w:val="-30"/>
          <w:w w:val="105"/>
        </w:rPr>
        <w:t> </w:t>
      </w:r>
      <w:r>
        <w:rPr>
          <w:color w:val="231F20"/>
          <w:w w:val="105"/>
        </w:rPr>
        <w:t>carác- ter</w:t>
      </w:r>
      <w:r>
        <w:rPr>
          <w:color w:val="231F20"/>
          <w:spacing w:val="-26"/>
          <w:w w:val="105"/>
        </w:rPr>
        <w:t> </w:t>
      </w:r>
      <w:r>
        <w:rPr>
          <w:color w:val="231F20"/>
          <w:w w:val="105"/>
        </w:rPr>
        <w:t>complejo</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globalización</w:t>
      </w:r>
      <w:r>
        <w:rPr>
          <w:color w:val="231F20"/>
          <w:spacing w:val="-26"/>
          <w:w w:val="105"/>
        </w:rPr>
        <w:t> </w:t>
      </w:r>
      <w:r>
        <w:rPr>
          <w:color w:val="231F20"/>
          <w:w w:val="105"/>
        </w:rPr>
        <w:t>es</w:t>
      </w:r>
      <w:r>
        <w:rPr>
          <w:color w:val="231F20"/>
          <w:spacing w:val="-26"/>
          <w:w w:val="105"/>
        </w:rPr>
        <w:t> </w:t>
      </w:r>
      <w:r>
        <w:rPr>
          <w:color w:val="231F20"/>
          <w:w w:val="105"/>
        </w:rPr>
        <w:t>aquella</w:t>
      </w:r>
      <w:r>
        <w:rPr>
          <w:color w:val="231F20"/>
          <w:spacing w:val="-26"/>
          <w:w w:val="105"/>
        </w:rPr>
        <w:t> </w:t>
      </w:r>
      <w:r>
        <w:rPr>
          <w:color w:val="231F20"/>
          <w:w w:val="105"/>
        </w:rPr>
        <w:t>que</w:t>
      </w:r>
      <w:r>
        <w:rPr>
          <w:color w:val="231F20"/>
          <w:spacing w:val="-26"/>
          <w:w w:val="105"/>
        </w:rPr>
        <w:t> </w:t>
      </w:r>
      <w:r>
        <w:rPr>
          <w:color w:val="231F20"/>
          <w:w w:val="105"/>
        </w:rPr>
        <w:t>se</w:t>
      </w:r>
      <w:r>
        <w:rPr>
          <w:color w:val="231F20"/>
          <w:spacing w:val="-26"/>
          <w:w w:val="105"/>
        </w:rPr>
        <w:t> </w:t>
      </w:r>
      <w:r>
        <w:rPr>
          <w:color w:val="231F20"/>
          <w:w w:val="105"/>
        </w:rPr>
        <w:t>expresa</w:t>
      </w:r>
      <w:r>
        <w:rPr>
          <w:color w:val="231F20"/>
          <w:spacing w:val="-26"/>
          <w:w w:val="105"/>
        </w:rPr>
        <w:t> </w:t>
      </w:r>
      <w:r>
        <w:rPr>
          <w:color w:val="231F20"/>
          <w:w w:val="105"/>
        </w:rPr>
        <w:t>bajo</w:t>
      </w:r>
      <w:r>
        <w:rPr>
          <w:color w:val="231F20"/>
          <w:spacing w:val="-26"/>
          <w:w w:val="105"/>
        </w:rPr>
        <w:t> </w:t>
      </w:r>
      <w:r>
        <w:rPr>
          <w:color w:val="231F20"/>
          <w:w w:val="105"/>
        </w:rPr>
        <w:t>el</w:t>
      </w:r>
      <w:r>
        <w:rPr>
          <w:color w:val="231F20"/>
          <w:spacing w:val="-26"/>
          <w:w w:val="105"/>
        </w:rPr>
        <w:t> </w:t>
      </w:r>
      <w:r>
        <w:rPr>
          <w:color w:val="231F20"/>
          <w:w w:val="105"/>
        </w:rPr>
        <w:t>mote</w:t>
      </w:r>
      <w:r>
        <w:rPr>
          <w:color w:val="231F20"/>
          <w:spacing w:val="-26"/>
          <w:w w:val="105"/>
        </w:rPr>
        <w:t> </w:t>
      </w:r>
      <w:r>
        <w:rPr>
          <w:color w:val="231F20"/>
          <w:w w:val="105"/>
        </w:rPr>
        <w:t>de lo</w:t>
      </w:r>
      <w:r>
        <w:rPr>
          <w:color w:val="231F20"/>
          <w:spacing w:val="-21"/>
          <w:w w:val="105"/>
        </w:rPr>
        <w:t> </w:t>
      </w:r>
      <w:r>
        <w:rPr>
          <w:rFonts w:ascii="Arial" w:hAnsi="Arial"/>
          <w:i/>
          <w:color w:val="231F20"/>
          <w:w w:val="105"/>
        </w:rPr>
        <w:t>glocal</w:t>
      </w:r>
      <w:r>
        <w:rPr>
          <w:color w:val="231F20"/>
          <w:w w:val="105"/>
        </w:rPr>
        <w:t>.</w:t>
      </w:r>
      <w:r>
        <w:rPr>
          <w:color w:val="231F20"/>
          <w:spacing w:val="-21"/>
          <w:w w:val="105"/>
        </w:rPr>
        <w:t> </w:t>
      </w:r>
      <w:r>
        <w:rPr>
          <w:color w:val="231F20"/>
          <w:w w:val="105"/>
        </w:rPr>
        <w:t>Hemos</w:t>
      </w:r>
      <w:r>
        <w:rPr>
          <w:color w:val="231F20"/>
          <w:spacing w:val="-21"/>
          <w:w w:val="105"/>
        </w:rPr>
        <w:t> </w:t>
      </w:r>
      <w:r>
        <w:rPr>
          <w:color w:val="231F20"/>
          <w:w w:val="105"/>
        </w:rPr>
        <w:t>adelantado</w:t>
      </w:r>
      <w:r>
        <w:rPr>
          <w:color w:val="231F20"/>
          <w:spacing w:val="-21"/>
          <w:w w:val="105"/>
        </w:rPr>
        <w:t> </w:t>
      </w:r>
      <w:r>
        <w:rPr>
          <w:color w:val="231F20"/>
          <w:w w:val="105"/>
        </w:rPr>
        <w:t>ya</w:t>
      </w:r>
      <w:r>
        <w:rPr>
          <w:color w:val="231F20"/>
          <w:spacing w:val="-21"/>
          <w:w w:val="105"/>
        </w:rPr>
        <w:t> </w:t>
      </w:r>
      <w:r>
        <w:rPr>
          <w:color w:val="231F20"/>
          <w:w w:val="105"/>
        </w:rPr>
        <w:t>que</w:t>
      </w:r>
      <w:r>
        <w:rPr>
          <w:color w:val="231F20"/>
          <w:spacing w:val="-21"/>
          <w:w w:val="105"/>
        </w:rPr>
        <w:t> </w:t>
      </w:r>
      <w:r>
        <w:rPr>
          <w:color w:val="231F20"/>
          <w:w w:val="105"/>
        </w:rPr>
        <w:t>a</w:t>
      </w:r>
      <w:r>
        <w:rPr>
          <w:color w:val="231F20"/>
          <w:spacing w:val="-21"/>
          <w:w w:val="105"/>
        </w:rPr>
        <w:t> </w:t>
      </w:r>
      <w:r>
        <w:rPr>
          <w:color w:val="231F20"/>
          <w:w w:val="105"/>
        </w:rPr>
        <w:t>través</w:t>
      </w:r>
      <w:r>
        <w:rPr>
          <w:color w:val="231F20"/>
          <w:spacing w:val="-21"/>
          <w:w w:val="105"/>
        </w:rPr>
        <w:t> </w:t>
      </w:r>
      <w:r>
        <w:rPr>
          <w:color w:val="231F20"/>
          <w:w w:val="105"/>
        </w:rPr>
        <w:t>de</w:t>
      </w:r>
      <w:r>
        <w:rPr>
          <w:color w:val="231F20"/>
          <w:spacing w:val="-21"/>
          <w:w w:val="105"/>
        </w:rPr>
        <w:t> </w:t>
      </w:r>
      <w:r>
        <w:rPr>
          <w:color w:val="231F20"/>
          <w:w w:val="105"/>
        </w:rPr>
        <w:t>este</w:t>
      </w:r>
      <w:r>
        <w:rPr>
          <w:color w:val="231F20"/>
          <w:spacing w:val="-21"/>
          <w:w w:val="105"/>
        </w:rPr>
        <w:t> </w:t>
      </w:r>
      <w:r>
        <w:rPr>
          <w:color w:val="231F20"/>
          <w:w w:val="105"/>
        </w:rPr>
        <w:t>término</w:t>
      </w:r>
      <w:r>
        <w:rPr>
          <w:color w:val="231F20"/>
          <w:spacing w:val="-21"/>
          <w:w w:val="105"/>
        </w:rPr>
        <w:t> </w:t>
      </w:r>
      <w:r>
        <w:rPr>
          <w:color w:val="231F20"/>
          <w:w w:val="105"/>
        </w:rPr>
        <w:t>la</w:t>
      </w:r>
      <w:r>
        <w:rPr>
          <w:color w:val="231F20"/>
          <w:spacing w:val="-21"/>
          <w:w w:val="105"/>
        </w:rPr>
        <w:t> </w:t>
      </w:r>
      <w:r>
        <w:rPr>
          <w:color w:val="231F20"/>
          <w:w w:val="105"/>
        </w:rPr>
        <w:t>globaliza- ción</w:t>
      </w:r>
      <w:r>
        <w:rPr>
          <w:color w:val="231F20"/>
          <w:spacing w:val="-14"/>
          <w:w w:val="105"/>
        </w:rPr>
        <w:t> </w:t>
      </w:r>
      <w:r>
        <w:rPr>
          <w:color w:val="231F20"/>
          <w:w w:val="105"/>
        </w:rPr>
        <w:t>se</w:t>
      </w:r>
      <w:r>
        <w:rPr>
          <w:color w:val="231F20"/>
          <w:spacing w:val="-14"/>
          <w:w w:val="105"/>
        </w:rPr>
        <w:t> </w:t>
      </w:r>
      <w:r>
        <w:rPr>
          <w:color w:val="231F20"/>
          <w:w w:val="105"/>
        </w:rPr>
        <w:t>concibe</w:t>
      </w:r>
      <w:r>
        <w:rPr>
          <w:color w:val="231F20"/>
          <w:spacing w:val="-14"/>
          <w:w w:val="105"/>
        </w:rPr>
        <w:t> </w:t>
      </w:r>
      <w:r>
        <w:rPr>
          <w:color w:val="231F20"/>
          <w:w w:val="105"/>
        </w:rPr>
        <w:t>no</w:t>
      </w:r>
      <w:r>
        <w:rPr>
          <w:color w:val="231F20"/>
          <w:spacing w:val="-14"/>
          <w:w w:val="105"/>
        </w:rPr>
        <w:t> </w:t>
      </w:r>
      <w:r>
        <w:rPr>
          <w:color w:val="231F20"/>
          <w:w w:val="105"/>
        </w:rPr>
        <w:t>como</w:t>
      </w:r>
      <w:r>
        <w:rPr>
          <w:color w:val="231F20"/>
          <w:spacing w:val="-14"/>
          <w:w w:val="105"/>
        </w:rPr>
        <w:t> </w:t>
      </w:r>
      <w:r>
        <w:rPr>
          <w:color w:val="231F20"/>
          <w:w w:val="105"/>
        </w:rPr>
        <w:t>un</w:t>
      </w:r>
      <w:r>
        <w:rPr>
          <w:color w:val="231F20"/>
          <w:spacing w:val="-14"/>
          <w:w w:val="105"/>
        </w:rPr>
        <w:t> </w:t>
      </w:r>
      <w:r>
        <w:rPr>
          <w:color w:val="231F20"/>
          <w:w w:val="105"/>
        </w:rPr>
        <w:t>fenómeno</w:t>
      </w:r>
      <w:r>
        <w:rPr>
          <w:color w:val="231F20"/>
          <w:spacing w:val="-14"/>
          <w:w w:val="105"/>
        </w:rPr>
        <w:t> </w:t>
      </w:r>
      <w:r>
        <w:rPr>
          <w:color w:val="231F20"/>
          <w:w w:val="105"/>
        </w:rPr>
        <w:t>exclusivamente</w:t>
      </w:r>
      <w:r>
        <w:rPr>
          <w:color w:val="231F20"/>
          <w:spacing w:val="-14"/>
          <w:w w:val="105"/>
        </w:rPr>
        <w:t> </w:t>
      </w:r>
      <w:r>
        <w:rPr>
          <w:color w:val="231F20"/>
          <w:w w:val="105"/>
        </w:rPr>
        <w:t>unitario</w:t>
      </w:r>
      <w:r>
        <w:rPr>
          <w:color w:val="231F20"/>
          <w:spacing w:val="-14"/>
          <w:w w:val="105"/>
        </w:rPr>
        <w:t> </w:t>
      </w:r>
      <w:r>
        <w:rPr>
          <w:color w:val="231F20"/>
          <w:w w:val="105"/>
        </w:rPr>
        <w:t>ni</w:t>
      </w:r>
      <w:r>
        <w:rPr>
          <w:color w:val="231F20"/>
          <w:spacing w:val="-14"/>
          <w:w w:val="105"/>
        </w:rPr>
        <w:t> </w:t>
      </w:r>
      <w:r>
        <w:rPr>
          <w:color w:val="231F20"/>
          <w:w w:val="105"/>
        </w:rPr>
        <w:t>homo- geneizante,</w:t>
      </w:r>
      <w:r>
        <w:rPr>
          <w:color w:val="231F20"/>
          <w:spacing w:val="-12"/>
          <w:w w:val="105"/>
        </w:rPr>
        <w:t> </w:t>
      </w:r>
      <w:r>
        <w:rPr>
          <w:color w:val="231F20"/>
          <w:w w:val="105"/>
        </w:rPr>
        <w:t>sino</w:t>
      </w:r>
      <w:r>
        <w:rPr>
          <w:color w:val="231F20"/>
          <w:spacing w:val="-12"/>
          <w:w w:val="105"/>
        </w:rPr>
        <w:t> </w:t>
      </w:r>
      <w:r>
        <w:rPr>
          <w:color w:val="231F20"/>
          <w:w w:val="105"/>
        </w:rPr>
        <w:t>como</w:t>
      </w:r>
      <w:r>
        <w:rPr>
          <w:color w:val="231F20"/>
          <w:spacing w:val="-12"/>
          <w:w w:val="105"/>
        </w:rPr>
        <w:t> </w:t>
      </w:r>
      <w:r>
        <w:rPr>
          <w:color w:val="231F20"/>
          <w:w w:val="105"/>
        </w:rPr>
        <w:t>algo</w:t>
      </w:r>
      <w:r>
        <w:rPr>
          <w:color w:val="231F20"/>
          <w:spacing w:val="-12"/>
          <w:w w:val="105"/>
        </w:rPr>
        <w:t> </w:t>
      </w:r>
      <w:r>
        <w:rPr>
          <w:color w:val="231F20"/>
          <w:w w:val="105"/>
        </w:rPr>
        <w:t>contradictorio.</w:t>
      </w:r>
      <w:r>
        <w:rPr>
          <w:color w:val="231F20"/>
          <w:spacing w:val="-12"/>
          <w:w w:val="105"/>
        </w:rPr>
        <w:t> </w:t>
      </w:r>
      <w:r>
        <w:rPr>
          <w:color w:val="231F20"/>
          <w:w w:val="105"/>
        </w:rPr>
        <w:t>Es</w:t>
      </w:r>
      <w:r>
        <w:rPr>
          <w:color w:val="231F20"/>
          <w:spacing w:val="-12"/>
          <w:w w:val="105"/>
        </w:rPr>
        <w:t> </w:t>
      </w:r>
      <w:r>
        <w:rPr>
          <w:color w:val="231F20"/>
          <w:spacing w:val="-4"/>
          <w:w w:val="105"/>
        </w:rPr>
        <w:t>decir,</w:t>
      </w:r>
      <w:r>
        <w:rPr>
          <w:color w:val="231F20"/>
          <w:spacing w:val="-12"/>
          <w:w w:val="105"/>
        </w:rPr>
        <w:t> </w:t>
      </w:r>
      <w:r>
        <w:rPr>
          <w:color w:val="231F20"/>
          <w:w w:val="105"/>
        </w:rPr>
        <w:t>que</w:t>
      </w:r>
      <w:r>
        <w:rPr>
          <w:color w:val="231F20"/>
          <w:spacing w:val="-12"/>
          <w:w w:val="105"/>
        </w:rPr>
        <w:t> </w:t>
      </w:r>
      <w:r>
        <w:rPr>
          <w:color w:val="231F20"/>
          <w:w w:val="105"/>
        </w:rPr>
        <w:t>en</w:t>
      </w:r>
      <w:r>
        <w:rPr>
          <w:color w:val="231F20"/>
          <w:spacing w:val="-12"/>
          <w:w w:val="105"/>
        </w:rPr>
        <w:t> </w:t>
      </w:r>
      <w:r>
        <w:rPr>
          <w:color w:val="231F20"/>
          <w:w w:val="105"/>
        </w:rPr>
        <w:t>su</w:t>
      </w:r>
      <w:r>
        <w:rPr>
          <w:color w:val="231F20"/>
          <w:spacing w:val="-12"/>
          <w:w w:val="105"/>
        </w:rPr>
        <w:t> </w:t>
      </w:r>
      <w:r>
        <w:rPr>
          <w:color w:val="231F20"/>
          <w:w w:val="105"/>
        </w:rPr>
        <w:t>tendencia a la uniformidad se vale de lo local, de lo diferente y lo particular, y no sólo</w:t>
      </w:r>
      <w:r>
        <w:rPr>
          <w:color w:val="231F20"/>
          <w:spacing w:val="-30"/>
          <w:w w:val="105"/>
        </w:rPr>
        <w:t> </w:t>
      </w:r>
      <w:r>
        <w:rPr>
          <w:color w:val="231F20"/>
          <w:w w:val="105"/>
        </w:rPr>
        <w:t>eso,</w:t>
      </w:r>
      <w:r>
        <w:rPr>
          <w:color w:val="231F20"/>
          <w:spacing w:val="-30"/>
          <w:w w:val="105"/>
        </w:rPr>
        <w:t> </w:t>
      </w:r>
      <w:r>
        <w:rPr>
          <w:color w:val="231F20"/>
          <w:w w:val="105"/>
        </w:rPr>
        <w:t>también</w:t>
      </w:r>
      <w:r>
        <w:rPr>
          <w:color w:val="231F20"/>
          <w:spacing w:val="-30"/>
          <w:w w:val="105"/>
        </w:rPr>
        <w:t> </w:t>
      </w:r>
      <w:r>
        <w:rPr>
          <w:color w:val="231F20"/>
          <w:w w:val="105"/>
        </w:rPr>
        <w:t>los</w:t>
      </w:r>
      <w:r>
        <w:rPr>
          <w:color w:val="231F20"/>
          <w:spacing w:val="-30"/>
          <w:w w:val="105"/>
        </w:rPr>
        <w:t> </w:t>
      </w:r>
      <w:r>
        <w:rPr>
          <w:color w:val="231F20"/>
          <w:w w:val="105"/>
        </w:rPr>
        <w:t>produce.</w:t>
      </w:r>
      <w:r>
        <w:rPr>
          <w:color w:val="231F20"/>
          <w:spacing w:val="-30"/>
          <w:w w:val="105"/>
        </w:rPr>
        <w:t> </w:t>
      </w:r>
      <w:r>
        <w:rPr>
          <w:color w:val="231F20"/>
          <w:w w:val="105"/>
        </w:rPr>
        <w:t>Lo</w:t>
      </w:r>
      <w:r>
        <w:rPr>
          <w:color w:val="231F20"/>
          <w:spacing w:val="-30"/>
          <w:w w:val="105"/>
        </w:rPr>
        <w:t> </w:t>
      </w:r>
      <w:r>
        <w:rPr>
          <w:color w:val="231F20"/>
          <w:w w:val="105"/>
        </w:rPr>
        <w:t>global</w:t>
      </w:r>
      <w:r>
        <w:rPr>
          <w:color w:val="231F20"/>
          <w:spacing w:val="-30"/>
          <w:w w:val="105"/>
        </w:rPr>
        <w:t> </w:t>
      </w:r>
      <w:r>
        <w:rPr>
          <w:color w:val="231F20"/>
          <w:w w:val="105"/>
        </w:rPr>
        <w:t>es</w:t>
      </w:r>
      <w:r>
        <w:rPr>
          <w:color w:val="231F20"/>
          <w:spacing w:val="-30"/>
          <w:w w:val="105"/>
        </w:rPr>
        <w:t> </w:t>
      </w:r>
      <w:r>
        <w:rPr>
          <w:color w:val="231F20"/>
          <w:w w:val="105"/>
        </w:rPr>
        <w:t>local</w:t>
      </w:r>
      <w:r>
        <w:rPr>
          <w:color w:val="231F20"/>
          <w:spacing w:val="-30"/>
          <w:w w:val="105"/>
        </w:rPr>
        <w:t> </w:t>
      </w:r>
      <w:r>
        <w:rPr>
          <w:color w:val="231F20"/>
          <w:w w:val="105"/>
        </w:rPr>
        <w:t>y</w:t>
      </w:r>
      <w:r>
        <w:rPr>
          <w:color w:val="231F20"/>
          <w:spacing w:val="-30"/>
          <w:w w:val="105"/>
        </w:rPr>
        <w:t> </w:t>
      </w:r>
      <w:r>
        <w:rPr>
          <w:color w:val="231F20"/>
          <w:w w:val="105"/>
        </w:rPr>
        <w:t>viceversa.</w:t>
      </w:r>
      <w:r>
        <w:rPr>
          <w:color w:val="231F20"/>
          <w:spacing w:val="-30"/>
          <w:w w:val="105"/>
        </w:rPr>
        <w:t> </w:t>
      </w:r>
      <w:r>
        <w:rPr>
          <w:color w:val="231F20"/>
          <w:w w:val="105"/>
        </w:rPr>
        <w:t>Pensemos</w:t>
      </w:r>
      <w:r>
        <w:rPr>
          <w:color w:val="231F20"/>
          <w:spacing w:val="-30"/>
          <w:w w:val="105"/>
        </w:rPr>
        <w:t> </w:t>
      </w:r>
      <w:r>
        <w:rPr>
          <w:color w:val="231F20"/>
          <w:w w:val="105"/>
        </w:rPr>
        <w:t>en los</w:t>
      </w:r>
      <w:r>
        <w:rPr>
          <w:color w:val="231F20"/>
          <w:spacing w:val="-42"/>
          <w:w w:val="105"/>
        </w:rPr>
        <w:t> </w:t>
      </w:r>
      <w:r>
        <w:rPr>
          <w:color w:val="231F20"/>
          <w:w w:val="105"/>
        </w:rPr>
        <w:t>husos</w:t>
      </w:r>
      <w:r>
        <w:rPr>
          <w:color w:val="231F20"/>
          <w:spacing w:val="-42"/>
          <w:w w:val="105"/>
        </w:rPr>
        <w:t> </w:t>
      </w:r>
      <w:r>
        <w:rPr>
          <w:color w:val="231F20"/>
          <w:w w:val="105"/>
        </w:rPr>
        <w:t>horarios.</w:t>
      </w:r>
      <w:r>
        <w:rPr>
          <w:color w:val="231F20"/>
          <w:spacing w:val="-42"/>
          <w:w w:val="105"/>
        </w:rPr>
        <w:t> </w:t>
      </w:r>
      <w:r>
        <w:rPr>
          <w:color w:val="231F20"/>
          <w:w w:val="105"/>
        </w:rPr>
        <w:t>Implementados</w:t>
      </w:r>
      <w:r>
        <w:rPr>
          <w:color w:val="231F20"/>
          <w:spacing w:val="-42"/>
          <w:w w:val="105"/>
        </w:rPr>
        <w:t> </w:t>
      </w:r>
      <w:r>
        <w:rPr>
          <w:color w:val="231F20"/>
          <w:w w:val="105"/>
        </w:rPr>
        <w:t>mundialmente</w:t>
      </w:r>
      <w:r>
        <w:rPr>
          <w:color w:val="231F20"/>
          <w:spacing w:val="-42"/>
          <w:w w:val="105"/>
        </w:rPr>
        <w:t> </w:t>
      </w:r>
      <w:r>
        <w:rPr>
          <w:color w:val="231F20"/>
          <w:w w:val="105"/>
        </w:rPr>
        <w:t>en</w:t>
      </w:r>
      <w:r>
        <w:rPr>
          <w:color w:val="231F20"/>
          <w:spacing w:val="-42"/>
          <w:w w:val="105"/>
        </w:rPr>
        <w:t> </w:t>
      </w:r>
      <w:r>
        <w:rPr>
          <w:color w:val="231F20"/>
          <w:w w:val="105"/>
        </w:rPr>
        <w:t>1929,</w:t>
      </w:r>
      <w:r>
        <w:rPr>
          <w:color w:val="231F20"/>
          <w:spacing w:val="-42"/>
          <w:w w:val="105"/>
        </w:rPr>
        <w:t> </w:t>
      </w:r>
      <w:r>
        <w:rPr>
          <w:color w:val="231F20"/>
          <w:w w:val="105"/>
        </w:rPr>
        <w:t>representaron en</w:t>
      </w:r>
      <w:r>
        <w:rPr>
          <w:color w:val="231F20"/>
          <w:spacing w:val="-21"/>
          <w:w w:val="105"/>
        </w:rPr>
        <w:t> </w:t>
      </w:r>
      <w:r>
        <w:rPr>
          <w:color w:val="231F20"/>
          <w:w w:val="105"/>
        </w:rPr>
        <w:t>su</w:t>
      </w:r>
      <w:r>
        <w:rPr>
          <w:color w:val="231F20"/>
          <w:spacing w:val="-21"/>
          <w:w w:val="105"/>
        </w:rPr>
        <w:t> </w:t>
      </w:r>
      <w:r>
        <w:rPr>
          <w:color w:val="231F20"/>
          <w:w w:val="105"/>
        </w:rPr>
        <w:t>momento</w:t>
      </w:r>
      <w:r>
        <w:rPr>
          <w:color w:val="231F20"/>
          <w:spacing w:val="-21"/>
          <w:w w:val="105"/>
        </w:rPr>
        <w:t> </w:t>
      </w:r>
      <w:r>
        <w:rPr>
          <w:color w:val="231F20"/>
          <w:w w:val="105"/>
        </w:rPr>
        <w:t>un</w:t>
      </w:r>
      <w:r>
        <w:rPr>
          <w:color w:val="231F20"/>
          <w:spacing w:val="-21"/>
          <w:w w:val="105"/>
        </w:rPr>
        <w:t> </w:t>
      </w:r>
      <w:r>
        <w:rPr>
          <w:color w:val="231F20"/>
          <w:w w:val="105"/>
        </w:rPr>
        <w:t>claro</w:t>
      </w:r>
      <w:r>
        <w:rPr>
          <w:color w:val="231F20"/>
          <w:spacing w:val="-21"/>
          <w:w w:val="105"/>
        </w:rPr>
        <w:t> </w:t>
      </w:r>
      <w:r>
        <w:rPr>
          <w:color w:val="231F20"/>
          <w:w w:val="105"/>
        </w:rPr>
        <w:t>movimiento</w:t>
      </w:r>
      <w:r>
        <w:rPr>
          <w:color w:val="231F20"/>
          <w:spacing w:val="-21"/>
          <w:w w:val="105"/>
        </w:rPr>
        <w:t> </w:t>
      </w:r>
      <w:r>
        <w:rPr>
          <w:color w:val="231F20"/>
          <w:w w:val="105"/>
        </w:rPr>
        <w:t>hacia</w:t>
      </w:r>
      <w:r>
        <w:rPr>
          <w:color w:val="231F20"/>
          <w:spacing w:val="-21"/>
          <w:w w:val="105"/>
        </w:rPr>
        <w:t> </w:t>
      </w:r>
      <w:r>
        <w:rPr>
          <w:color w:val="231F20"/>
          <w:w w:val="105"/>
        </w:rPr>
        <w:t>la</w:t>
      </w:r>
      <w:r>
        <w:rPr>
          <w:color w:val="231F20"/>
          <w:spacing w:val="-21"/>
          <w:w w:val="105"/>
        </w:rPr>
        <w:t> </w:t>
      </w:r>
      <w:r>
        <w:rPr>
          <w:color w:val="231F20"/>
          <w:w w:val="105"/>
        </w:rPr>
        <w:t>unificación,</w:t>
      </w:r>
      <w:r>
        <w:rPr>
          <w:color w:val="231F20"/>
          <w:spacing w:val="-21"/>
          <w:w w:val="105"/>
        </w:rPr>
        <w:t> </w:t>
      </w:r>
      <w:r>
        <w:rPr>
          <w:color w:val="231F20"/>
          <w:w w:val="105"/>
        </w:rPr>
        <w:t>los</w:t>
      </w:r>
      <w:r>
        <w:rPr>
          <w:color w:val="231F20"/>
          <w:spacing w:val="-21"/>
          <w:w w:val="105"/>
        </w:rPr>
        <w:t> </w:t>
      </w:r>
      <w:r>
        <w:rPr>
          <w:color w:val="231F20"/>
          <w:w w:val="105"/>
        </w:rPr>
        <w:t>países</w:t>
      </w:r>
      <w:r>
        <w:rPr>
          <w:color w:val="231F20"/>
          <w:spacing w:val="-21"/>
          <w:w w:val="105"/>
        </w:rPr>
        <w:t> </w:t>
      </w:r>
      <w:r>
        <w:rPr>
          <w:color w:val="231F20"/>
          <w:w w:val="105"/>
        </w:rPr>
        <w:t>ya</w:t>
      </w:r>
      <w:r>
        <w:rPr>
          <w:color w:val="231F20"/>
          <w:spacing w:val="-21"/>
          <w:w w:val="105"/>
        </w:rPr>
        <w:t> </w:t>
      </w:r>
      <w:r>
        <w:rPr>
          <w:color w:val="231F20"/>
          <w:w w:val="105"/>
        </w:rPr>
        <w:t>no pudieron</w:t>
      </w:r>
      <w:r>
        <w:rPr>
          <w:color w:val="231F20"/>
          <w:spacing w:val="-9"/>
          <w:w w:val="105"/>
        </w:rPr>
        <w:t> </w:t>
      </w:r>
      <w:r>
        <w:rPr>
          <w:color w:val="231F20"/>
          <w:w w:val="105"/>
        </w:rPr>
        <w:t>decidir</w:t>
      </w:r>
      <w:r>
        <w:rPr>
          <w:color w:val="231F20"/>
          <w:spacing w:val="-9"/>
          <w:w w:val="105"/>
        </w:rPr>
        <w:t> </w:t>
      </w:r>
      <w:r>
        <w:rPr>
          <w:color w:val="231F20"/>
          <w:w w:val="105"/>
        </w:rPr>
        <w:t>por</w:t>
      </w:r>
      <w:r>
        <w:rPr>
          <w:color w:val="231F20"/>
          <w:spacing w:val="-9"/>
          <w:w w:val="105"/>
        </w:rPr>
        <w:t> </w:t>
      </w:r>
      <w:r>
        <w:rPr>
          <w:color w:val="231F20"/>
          <w:w w:val="105"/>
        </w:rPr>
        <w:t>sí</w:t>
      </w:r>
      <w:r>
        <w:rPr>
          <w:color w:val="231F20"/>
          <w:spacing w:val="-9"/>
          <w:w w:val="105"/>
        </w:rPr>
        <w:t> </w:t>
      </w:r>
      <w:r>
        <w:rPr>
          <w:color w:val="231F20"/>
          <w:w w:val="105"/>
        </w:rPr>
        <w:t>solos</w:t>
      </w:r>
      <w:r>
        <w:rPr>
          <w:color w:val="231F20"/>
          <w:spacing w:val="-9"/>
          <w:w w:val="105"/>
        </w:rPr>
        <w:t> </w:t>
      </w:r>
      <w:r>
        <w:rPr>
          <w:color w:val="231F20"/>
          <w:w w:val="105"/>
        </w:rPr>
        <w:t>qué</w:t>
      </w:r>
      <w:r>
        <w:rPr>
          <w:color w:val="231F20"/>
          <w:spacing w:val="-9"/>
          <w:w w:val="105"/>
        </w:rPr>
        <w:t> </w:t>
      </w:r>
      <w:r>
        <w:rPr>
          <w:color w:val="231F20"/>
          <w:w w:val="105"/>
        </w:rPr>
        <w:t>horario</w:t>
      </w:r>
      <w:r>
        <w:rPr>
          <w:color w:val="231F20"/>
          <w:spacing w:val="-9"/>
          <w:w w:val="105"/>
        </w:rPr>
        <w:t> </w:t>
      </w:r>
      <w:r>
        <w:rPr>
          <w:color w:val="231F20"/>
          <w:spacing w:val="-4"/>
          <w:w w:val="105"/>
        </w:rPr>
        <w:t>usar,</w:t>
      </w:r>
      <w:r>
        <w:rPr>
          <w:color w:val="231F20"/>
          <w:spacing w:val="-9"/>
          <w:w w:val="105"/>
        </w:rPr>
        <w:t> </w:t>
      </w:r>
      <w:r>
        <w:rPr>
          <w:color w:val="231F20"/>
          <w:w w:val="105"/>
        </w:rPr>
        <w:t>antes</w:t>
      </w:r>
      <w:r>
        <w:rPr>
          <w:color w:val="231F20"/>
          <w:spacing w:val="-9"/>
          <w:w w:val="105"/>
        </w:rPr>
        <w:t> </w:t>
      </w:r>
      <w:r>
        <w:rPr>
          <w:color w:val="231F20"/>
          <w:w w:val="105"/>
        </w:rPr>
        <w:t>bien,</w:t>
      </w:r>
      <w:r>
        <w:rPr>
          <w:color w:val="231F20"/>
          <w:spacing w:val="-9"/>
          <w:w w:val="105"/>
        </w:rPr>
        <w:t> </w:t>
      </w:r>
      <w:r>
        <w:rPr>
          <w:color w:val="231F20"/>
          <w:w w:val="105"/>
        </w:rPr>
        <w:t>tenían</w:t>
      </w:r>
      <w:r>
        <w:rPr>
          <w:color w:val="231F20"/>
          <w:spacing w:val="-9"/>
          <w:w w:val="105"/>
        </w:rPr>
        <w:t> </w:t>
      </w:r>
      <w:r>
        <w:rPr>
          <w:color w:val="231F20"/>
          <w:w w:val="105"/>
        </w:rPr>
        <w:t>que</w:t>
      </w:r>
      <w:r>
        <w:rPr>
          <w:color w:val="231F20"/>
          <w:spacing w:val="-9"/>
          <w:w w:val="105"/>
        </w:rPr>
        <w:t> </w:t>
      </w:r>
      <w:r>
        <w:rPr>
          <w:color w:val="231F20"/>
          <w:w w:val="105"/>
        </w:rPr>
        <w:t>in- cluirse</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gama</w:t>
      </w:r>
      <w:r>
        <w:rPr>
          <w:color w:val="231F20"/>
          <w:spacing w:val="-20"/>
          <w:w w:val="105"/>
        </w:rPr>
        <w:t> </w:t>
      </w:r>
      <w:r>
        <w:rPr>
          <w:color w:val="231F20"/>
          <w:w w:val="105"/>
        </w:rPr>
        <w:t>unificadora</w:t>
      </w:r>
      <w:r>
        <w:rPr>
          <w:color w:val="231F20"/>
          <w:spacing w:val="-20"/>
          <w:w w:val="105"/>
        </w:rPr>
        <w:t> </w:t>
      </w:r>
      <w:r>
        <w:rPr>
          <w:color w:val="231F20"/>
          <w:w w:val="105"/>
        </w:rPr>
        <w:t>de</w:t>
      </w:r>
      <w:r>
        <w:rPr>
          <w:color w:val="231F20"/>
          <w:spacing w:val="-20"/>
          <w:w w:val="105"/>
        </w:rPr>
        <w:t> </w:t>
      </w:r>
      <w:r>
        <w:rPr>
          <w:color w:val="231F20"/>
          <w:w w:val="105"/>
        </w:rPr>
        <w:t>husos</w:t>
      </w:r>
      <w:r>
        <w:rPr>
          <w:color w:val="231F20"/>
          <w:spacing w:val="-20"/>
          <w:w w:val="105"/>
        </w:rPr>
        <w:t> </w:t>
      </w:r>
      <w:r>
        <w:rPr>
          <w:color w:val="231F20"/>
          <w:w w:val="105"/>
        </w:rPr>
        <w:t>que</w:t>
      </w:r>
      <w:r>
        <w:rPr>
          <w:color w:val="231F20"/>
          <w:spacing w:val="-20"/>
          <w:w w:val="105"/>
        </w:rPr>
        <w:t> </w:t>
      </w:r>
      <w:r>
        <w:rPr>
          <w:color w:val="231F20"/>
          <w:w w:val="105"/>
        </w:rPr>
        <w:t>daba</w:t>
      </w:r>
      <w:r>
        <w:rPr>
          <w:color w:val="231F20"/>
          <w:spacing w:val="-20"/>
          <w:w w:val="105"/>
        </w:rPr>
        <w:t> </w:t>
      </w:r>
      <w:r>
        <w:rPr>
          <w:color w:val="231F20"/>
          <w:w w:val="105"/>
        </w:rPr>
        <w:t>a</w:t>
      </w:r>
      <w:r>
        <w:rPr>
          <w:color w:val="231F20"/>
          <w:spacing w:val="-20"/>
          <w:w w:val="105"/>
        </w:rPr>
        <w:t> </w:t>
      </w:r>
      <w:r>
        <w:rPr>
          <w:color w:val="231F20"/>
          <w:w w:val="105"/>
        </w:rPr>
        <w:t>cada</w:t>
      </w:r>
      <w:r>
        <w:rPr>
          <w:color w:val="231F20"/>
          <w:spacing w:val="-20"/>
          <w:w w:val="105"/>
        </w:rPr>
        <w:t> </w:t>
      </w:r>
      <w:r>
        <w:rPr>
          <w:color w:val="231F20"/>
          <w:w w:val="105"/>
        </w:rPr>
        <w:t>país</w:t>
      </w:r>
      <w:r>
        <w:rPr>
          <w:color w:val="231F20"/>
          <w:spacing w:val="-20"/>
          <w:w w:val="105"/>
        </w:rPr>
        <w:t> </w:t>
      </w:r>
      <w:r>
        <w:rPr>
          <w:color w:val="231F20"/>
          <w:w w:val="105"/>
        </w:rPr>
        <w:t>y</w:t>
      </w:r>
      <w:r>
        <w:rPr>
          <w:color w:val="231F20"/>
          <w:spacing w:val="-20"/>
          <w:w w:val="105"/>
        </w:rPr>
        <w:t> </w:t>
      </w:r>
      <w:r>
        <w:rPr>
          <w:color w:val="231F20"/>
          <w:w w:val="105"/>
        </w:rPr>
        <w:t>ciudad</w:t>
      </w:r>
      <w:r>
        <w:rPr>
          <w:color w:val="231F20"/>
          <w:spacing w:val="-20"/>
          <w:w w:val="105"/>
        </w:rPr>
        <w:t> </w:t>
      </w:r>
      <w:r>
        <w:rPr>
          <w:color w:val="231F20"/>
          <w:w w:val="105"/>
        </w:rPr>
        <w:t>un horario</w:t>
      </w:r>
      <w:r>
        <w:rPr>
          <w:color w:val="231F20"/>
          <w:spacing w:val="-34"/>
          <w:w w:val="105"/>
        </w:rPr>
        <w:t> </w:t>
      </w:r>
      <w:r>
        <w:rPr>
          <w:color w:val="231F20"/>
          <w:w w:val="105"/>
        </w:rPr>
        <w:t>particular.</w:t>
      </w:r>
      <w:r>
        <w:rPr>
          <w:color w:val="231F20"/>
          <w:spacing w:val="-34"/>
          <w:w w:val="105"/>
        </w:rPr>
        <w:t> </w:t>
      </w:r>
      <w:r>
        <w:rPr>
          <w:color w:val="231F20"/>
          <w:spacing w:val="-6"/>
          <w:w w:val="105"/>
        </w:rPr>
        <w:t>¿Tal</w:t>
      </w:r>
      <w:r>
        <w:rPr>
          <w:color w:val="231F20"/>
          <w:spacing w:val="-34"/>
          <w:w w:val="105"/>
        </w:rPr>
        <w:t> </w:t>
      </w:r>
      <w:r>
        <w:rPr>
          <w:color w:val="231F20"/>
          <w:w w:val="105"/>
        </w:rPr>
        <w:t>movimiento</w:t>
      </w:r>
      <w:r>
        <w:rPr>
          <w:color w:val="231F20"/>
          <w:spacing w:val="-34"/>
          <w:w w:val="105"/>
        </w:rPr>
        <w:t> </w:t>
      </w:r>
      <w:r>
        <w:rPr>
          <w:color w:val="231F20"/>
          <w:w w:val="105"/>
        </w:rPr>
        <w:t>fue</w:t>
      </w:r>
      <w:r>
        <w:rPr>
          <w:color w:val="231F20"/>
          <w:spacing w:val="-34"/>
          <w:w w:val="105"/>
        </w:rPr>
        <w:t> </w:t>
      </w:r>
      <w:r>
        <w:rPr>
          <w:color w:val="231F20"/>
          <w:w w:val="105"/>
        </w:rPr>
        <w:t>exclusivamente</w:t>
      </w:r>
      <w:r>
        <w:rPr>
          <w:color w:val="231F20"/>
          <w:spacing w:val="-34"/>
          <w:w w:val="105"/>
        </w:rPr>
        <w:t> </w:t>
      </w:r>
      <w:r>
        <w:rPr>
          <w:color w:val="231F20"/>
          <w:w w:val="105"/>
        </w:rPr>
        <w:t>unificador?</w:t>
      </w:r>
      <w:r>
        <w:rPr>
          <w:color w:val="231F20"/>
          <w:spacing w:val="-34"/>
          <w:w w:val="105"/>
        </w:rPr>
        <w:t> </w:t>
      </w:r>
      <w:r>
        <w:rPr>
          <w:color w:val="231F20"/>
          <w:w w:val="105"/>
        </w:rPr>
        <w:t>La</w:t>
      </w:r>
      <w:r>
        <w:rPr>
          <w:color w:val="231F20"/>
          <w:spacing w:val="-34"/>
          <w:w w:val="105"/>
        </w:rPr>
        <w:t> </w:t>
      </w:r>
      <w:r>
        <w:rPr>
          <w:color w:val="231F20"/>
          <w:w w:val="105"/>
        </w:rPr>
        <w:t>res- puesta</w:t>
      </w:r>
      <w:r>
        <w:rPr>
          <w:color w:val="231F20"/>
          <w:spacing w:val="-36"/>
          <w:w w:val="105"/>
        </w:rPr>
        <w:t> </w:t>
      </w:r>
      <w:r>
        <w:rPr>
          <w:color w:val="231F20"/>
          <w:w w:val="105"/>
        </w:rPr>
        <w:t>es</w:t>
      </w:r>
      <w:r>
        <w:rPr>
          <w:color w:val="231F20"/>
          <w:spacing w:val="-36"/>
          <w:w w:val="105"/>
        </w:rPr>
        <w:t> </w:t>
      </w:r>
      <w:r>
        <w:rPr>
          <w:color w:val="231F20"/>
          <w:w w:val="105"/>
        </w:rPr>
        <w:t>claramente</w:t>
      </w:r>
      <w:r>
        <w:rPr>
          <w:color w:val="231F20"/>
          <w:spacing w:val="-36"/>
          <w:w w:val="105"/>
        </w:rPr>
        <w:t> </w:t>
      </w:r>
      <w:r>
        <w:rPr>
          <w:color w:val="231F20"/>
          <w:w w:val="105"/>
        </w:rPr>
        <w:t>negativa:</w:t>
      </w:r>
      <w:r>
        <w:rPr>
          <w:color w:val="231F20"/>
          <w:spacing w:val="-36"/>
          <w:w w:val="105"/>
        </w:rPr>
        <w:t> </w:t>
      </w:r>
      <w:r>
        <w:rPr>
          <w:color w:val="231F20"/>
          <w:w w:val="105"/>
        </w:rPr>
        <w:t>unificó,</w:t>
      </w:r>
      <w:r>
        <w:rPr>
          <w:color w:val="231F20"/>
          <w:spacing w:val="-36"/>
          <w:w w:val="105"/>
        </w:rPr>
        <w:t> </w:t>
      </w:r>
      <w:r>
        <w:rPr>
          <w:color w:val="231F20"/>
          <w:w w:val="105"/>
        </w:rPr>
        <w:t>pero</w:t>
      </w:r>
      <w:r>
        <w:rPr>
          <w:color w:val="231F20"/>
          <w:spacing w:val="-36"/>
          <w:w w:val="105"/>
        </w:rPr>
        <w:t> </w:t>
      </w:r>
      <w:r>
        <w:rPr>
          <w:color w:val="231F20"/>
          <w:w w:val="105"/>
        </w:rPr>
        <w:t>dando</w:t>
      </w:r>
      <w:r>
        <w:rPr>
          <w:color w:val="231F20"/>
          <w:spacing w:val="-36"/>
          <w:w w:val="105"/>
        </w:rPr>
        <w:t> </w:t>
      </w:r>
      <w:r>
        <w:rPr>
          <w:color w:val="231F20"/>
          <w:w w:val="105"/>
        </w:rPr>
        <w:t>lugar</w:t>
      </w:r>
      <w:r>
        <w:rPr>
          <w:color w:val="231F20"/>
          <w:spacing w:val="-36"/>
          <w:w w:val="105"/>
        </w:rPr>
        <w:t> </w:t>
      </w:r>
      <w:r>
        <w:rPr>
          <w:color w:val="231F20"/>
          <w:w w:val="105"/>
        </w:rPr>
        <w:t>a</w:t>
      </w:r>
      <w:r>
        <w:rPr>
          <w:color w:val="231F20"/>
          <w:spacing w:val="-36"/>
          <w:w w:val="105"/>
        </w:rPr>
        <w:t> </w:t>
      </w:r>
      <w:r>
        <w:rPr>
          <w:color w:val="231F20"/>
          <w:w w:val="105"/>
        </w:rPr>
        <w:t>las</w:t>
      </w:r>
      <w:r>
        <w:rPr>
          <w:color w:val="231F20"/>
          <w:spacing w:val="-36"/>
          <w:w w:val="105"/>
        </w:rPr>
        <w:t> </w:t>
      </w:r>
      <w:r>
        <w:rPr>
          <w:color w:val="231F20"/>
          <w:w w:val="105"/>
        </w:rPr>
        <w:t>diferencias; homogeneizó,</w:t>
      </w:r>
      <w:r>
        <w:rPr>
          <w:color w:val="231F20"/>
          <w:spacing w:val="-38"/>
          <w:w w:val="105"/>
        </w:rPr>
        <w:t> </w:t>
      </w:r>
      <w:r>
        <w:rPr>
          <w:color w:val="231F20"/>
          <w:w w:val="105"/>
        </w:rPr>
        <w:t>pero</w:t>
      </w:r>
      <w:r>
        <w:rPr>
          <w:color w:val="231F20"/>
          <w:spacing w:val="-38"/>
          <w:w w:val="105"/>
        </w:rPr>
        <w:t> </w:t>
      </w:r>
      <w:r>
        <w:rPr>
          <w:color w:val="231F20"/>
          <w:w w:val="105"/>
        </w:rPr>
        <w:t>a</w:t>
      </w:r>
      <w:r>
        <w:rPr>
          <w:color w:val="231F20"/>
          <w:spacing w:val="-38"/>
          <w:w w:val="105"/>
        </w:rPr>
        <w:t> </w:t>
      </w:r>
      <w:r>
        <w:rPr>
          <w:color w:val="231F20"/>
          <w:w w:val="105"/>
        </w:rPr>
        <w:t>partir</w:t>
      </w:r>
      <w:r>
        <w:rPr>
          <w:color w:val="231F20"/>
          <w:spacing w:val="-38"/>
          <w:w w:val="105"/>
        </w:rPr>
        <w:t> </w:t>
      </w:r>
      <w:r>
        <w:rPr>
          <w:color w:val="231F20"/>
          <w:w w:val="105"/>
        </w:rPr>
        <w:t>de</w:t>
      </w:r>
      <w:r>
        <w:rPr>
          <w:color w:val="231F20"/>
          <w:spacing w:val="-38"/>
          <w:w w:val="105"/>
        </w:rPr>
        <w:t> </w:t>
      </w:r>
      <w:r>
        <w:rPr>
          <w:color w:val="231F20"/>
          <w:w w:val="105"/>
        </w:rPr>
        <w:t>ciertas</w:t>
      </w:r>
      <w:r>
        <w:rPr>
          <w:color w:val="231F20"/>
          <w:spacing w:val="-38"/>
          <w:w w:val="105"/>
        </w:rPr>
        <w:t> </w:t>
      </w:r>
      <w:r>
        <w:rPr>
          <w:color w:val="231F20"/>
          <w:w w:val="105"/>
        </w:rPr>
        <w:t>particularidades</w:t>
      </w:r>
      <w:r>
        <w:rPr>
          <w:color w:val="231F20"/>
          <w:spacing w:val="-38"/>
          <w:w w:val="105"/>
        </w:rPr>
        <w:t> </w:t>
      </w:r>
      <w:r>
        <w:rPr>
          <w:color w:val="231F20"/>
          <w:w w:val="105"/>
        </w:rPr>
        <w:t>que</w:t>
      </w:r>
      <w:r>
        <w:rPr>
          <w:color w:val="231F20"/>
          <w:spacing w:val="-38"/>
          <w:w w:val="105"/>
        </w:rPr>
        <w:t> </w:t>
      </w:r>
      <w:r>
        <w:rPr>
          <w:color w:val="231F20"/>
          <w:w w:val="105"/>
        </w:rPr>
        <w:t>se</w:t>
      </w:r>
      <w:r>
        <w:rPr>
          <w:color w:val="231F20"/>
          <w:spacing w:val="-38"/>
          <w:w w:val="105"/>
        </w:rPr>
        <w:t> </w:t>
      </w:r>
      <w:r>
        <w:rPr>
          <w:color w:val="231F20"/>
          <w:w w:val="105"/>
        </w:rPr>
        <w:t>ajustaron</w:t>
      </w:r>
      <w:r>
        <w:rPr>
          <w:color w:val="231F20"/>
          <w:spacing w:val="-38"/>
          <w:w w:val="105"/>
        </w:rPr>
        <w:t> </w:t>
      </w:r>
      <w:r>
        <w:rPr>
          <w:color w:val="231F20"/>
          <w:w w:val="105"/>
        </w:rPr>
        <w:t>sin borrarse.</w:t>
      </w:r>
      <w:r>
        <w:rPr>
          <w:color w:val="231F20"/>
          <w:spacing w:val="-30"/>
          <w:w w:val="105"/>
        </w:rPr>
        <w:t> </w:t>
      </w:r>
      <w:r>
        <w:rPr>
          <w:color w:val="231F20"/>
          <w:w w:val="105"/>
        </w:rPr>
        <w:t>“En</w:t>
      </w:r>
      <w:r>
        <w:rPr>
          <w:color w:val="231F20"/>
          <w:spacing w:val="-30"/>
          <w:w w:val="105"/>
        </w:rPr>
        <w:t> </w:t>
      </w:r>
      <w:r>
        <w:rPr>
          <w:color w:val="231F20"/>
          <w:w w:val="105"/>
        </w:rPr>
        <w:t>otras</w:t>
      </w:r>
      <w:r>
        <w:rPr>
          <w:color w:val="231F20"/>
          <w:spacing w:val="-30"/>
          <w:w w:val="105"/>
        </w:rPr>
        <w:t> </w:t>
      </w:r>
      <w:r>
        <w:rPr>
          <w:color w:val="231F20"/>
          <w:w w:val="105"/>
        </w:rPr>
        <w:t>palabras,</w:t>
      </w:r>
      <w:r>
        <w:rPr>
          <w:color w:val="231F20"/>
          <w:spacing w:val="-30"/>
          <w:w w:val="105"/>
        </w:rPr>
        <w:t> </w:t>
      </w:r>
      <w:r>
        <w:rPr>
          <w:color w:val="231F20"/>
          <w:w w:val="105"/>
        </w:rPr>
        <w:t>la</w:t>
      </w:r>
      <w:r>
        <w:rPr>
          <w:color w:val="231F20"/>
          <w:spacing w:val="-30"/>
          <w:w w:val="105"/>
        </w:rPr>
        <w:t> </w:t>
      </w:r>
      <w:r>
        <w:rPr>
          <w:color w:val="231F20"/>
          <w:w w:val="105"/>
        </w:rPr>
        <w:t>homogeneización</w:t>
      </w:r>
      <w:r>
        <w:rPr>
          <w:color w:val="231F20"/>
          <w:spacing w:val="-30"/>
          <w:w w:val="105"/>
        </w:rPr>
        <w:t> </w:t>
      </w:r>
      <w:r>
        <w:rPr>
          <w:color w:val="231F20"/>
          <w:w w:val="105"/>
        </w:rPr>
        <w:t>va</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mano</w:t>
      </w:r>
      <w:r>
        <w:rPr>
          <w:color w:val="231F20"/>
          <w:spacing w:val="-30"/>
          <w:w w:val="105"/>
        </w:rPr>
        <w:t> </w:t>
      </w:r>
      <w:r>
        <w:rPr>
          <w:color w:val="231F20"/>
          <w:w w:val="105"/>
        </w:rPr>
        <w:t>con</w:t>
      </w:r>
      <w:r>
        <w:rPr>
          <w:color w:val="231F20"/>
          <w:spacing w:val="-30"/>
          <w:w w:val="105"/>
        </w:rPr>
        <w:t> </w:t>
      </w:r>
      <w:r>
        <w:rPr>
          <w:color w:val="231F20"/>
          <w:w w:val="105"/>
        </w:rPr>
        <w:t>la</w:t>
      </w:r>
      <w:r>
        <w:rPr>
          <w:color w:val="231F20"/>
          <w:spacing w:val="-30"/>
          <w:w w:val="105"/>
        </w:rPr>
        <w:t> </w:t>
      </w:r>
      <w:r>
        <w:rPr>
          <w:color w:val="231F20"/>
          <w:w w:val="105"/>
        </w:rPr>
        <w:t>he- terogeneización”</w:t>
      </w:r>
      <w:r>
        <w:rPr>
          <w:color w:val="231F20"/>
          <w:w w:val="105"/>
          <w:position w:val="7"/>
          <w:sz w:val="12"/>
        </w:rPr>
        <w:t>16</w:t>
      </w:r>
      <w:r>
        <w:rPr>
          <w:color w:val="231F20"/>
          <w:w w:val="105"/>
        </w:rPr>
        <w:t>.</w:t>
      </w:r>
      <w:r>
        <w:rPr>
          <w:color w:val="231F20"/>
          <w:spacing w:val="-43"/>
          <w:w w:val="105"/>
        </w:rPr>
        <w:t> </w:t>
      </w:r>
      <w:r>
        <w:rPr>
          <w:color w:val="231F20"/>
          <w:w w:val="105"/>
        </w:rPr>
        <w:t>Sin</w:t>
      </w:r>
      <w:r>
        <w:rPr>
          <w:color w:val="231F20"/>
          <w:spacing w:val="-43"/>
          <w:w w:val="105"/>
        </w:rPr>
        <w:t> </w:t>
      </w:r>
      <w:r>
        <w:rPr>
          <w:color w:val="231F20"/>
          <w:w w:val="105"/>
        </w:rPr>
        <w:t>embargo,</w:t>
      </w:r>
      <w:r>
        <w:rPr>
          <w:color w:val="231F20"/>
          <w:spacing w:val="-43"/>
          <w:w w:val="105"/>
        </w:rPr>
        <w:t> </w:t>
      </w:r>
      <w:r>
        <w:rPr>
          <w:color w:val="231F20"/>
          <w:w w:val="105"/>
        </w:rPr>
        <w:t>esta</w:t>
      </w:r>
      <w:r>
        <w:rPr>
          <w:color w:val="231F20"/>
          <w:spacing w:val="-43"/>
          <w:w w:val="105"/>
        </w:rPr>
        <w:t> </w:t>
      </w:r>
      <w:r>
        <w:rPr>
          <w:color w:val="231F20"/>
          <w:w w:val="105"/>
        </w:rPr>
        <w:t>paradoja</w:t>
      </w:r>
      <w:r>
        <w:rPr>
          <w:color w:val="231F20"/>
          <w:spacing w:val="-43"/>
          <w:w w:val="105"/>
        </w:rPr>
        <w:t> </w:t>
      </w:r>
      <w:r>
        <w:rPr>
          <w:color w:val="231F20"/>
          <w:w w:val="105"/>
        </w:rPr>
        <w:t>está</w:t>
      </w:r>
      <w:r>
        <w:rPr>
          <w:color w:val="231F20"/>
          <w:spacing w:val="-43"/>
          <w:w w:val="105"/>
        </w:rPr>
        <w:t> </w:t>
      </w:r>
      <w:r>
        <w:rPr>
          <w:color w:val="231F20"/>
          <w:w w:val="105"/>
        </w:rPr>
        <w:t>lejos</w:t>
      </w:r>
      <w:r>
        <w:rPr>
          <w:color w:val="231F20"/>
          <w:spacing w:val="-43"/>
          <w:w w:val="105"/>
        </w:rPr>
        <w:t> </w:t>
      </w:r>
      <w:r>
        <w:rPr>
          <w:color w:val="231F20"/>
          <w:w w:val="105"/>
        </w:rPr>
        <w:t>también</w:t>
      </w:r>
      <w:r>
        <w:rPr>
          <w:color w:val="231F20"/>
          <w:spacing w:val="-43"/>
          <w:w w:val="105"/>
        </w:rPr>
        <w:t> </w:t>
      </w:r>
      <w:r>
        <w:rPr>
          <w:color w:val="231F20"/>
          <w:w w:val="105"/>
        </w:rPr>
        <w:t>de</w:t>
      </w:r>
      <w:r>
        <w:rPr>
          <w:color w:val="231F20"/>
          <w:spacing w:val="-43"/>
          <w:w w:val="105"/>
        </w:rPr>
        <w:t> </w:t>
      </w:r>
      <w:r>
        <w:rPr>
          <w:color w:val="231F20"/>
          <w:w w:val="105"/>
        </w:rPr>
        <w:t>tener un</w:t>
      </w:r>
      <w:r>
        <w:rPr>
          <w:color w:val="231F20"/>
          <w:spacing w:val="-6"/>
          <w:w w:val="105"/>
        </w:rPr>
        <w:t> </w:t>
      </w:r>
      <w:r>
        <w:rPr>
          <w:color w:val="231F20"/>
          <w:w w:val="105"/>
        </w:rPr>
        <w:t>sentido</w:t>
      </w:r>
      <w:r>
        <w:rPr>
          <w:color w:val="231F20"/>
          <w:spacing w:val="-6"/>
          <w:w w:val="105"/>
        </w:rPr>
        <w:t> </w:t>
      </w:r>
      <w:r>
        <w:rPr>
          <w:color w:val="231F20"/>
          <w:w w:val="105"/>
        </w:rPr>
        <w:t>unívoco,</w:t>
      </w:r>
      <w:r>
        <w:rPr>
          <w:color w:val="231F20"/>
          <w:spacing w:val="-6"/>
          <w:w w:val="105"/>
        </w:rPr>
        <w:t> </w:t>
      </w:r>
      <w:r>
        <w:rPr>
          <w:color w:val="231F20"/>
          <w:w w:val="105"/>
        </w:rPr>
        <w:t>antes</w:t>
      </w:r>
      <w:r>
        <w:rPr>
          <w:color w:val="231F20"/>
          <w:spacing w:val="-6"/>
          <w:w w:val="105"/>
        </w:rPr>
        <w:t> </w:t>
      </w:r>
      <w:r>
        <w:rPr>
          <w:color w:val="231F20"/>
          <w:w w:val="105"/>
        </w:rPr>
        <w:t>bien,</w:t>
      </w:r>
      <w:r>
        <w:rPr>
          <w:color w:val="231F20"/>
          <w:spacing w:val="-6"/>
          <w:w w:val="105"/>
        </w:rPr>
        <w:t> </w:t>
      </w:r>
      <w:r>
        <w:rPr>
          <w:color w:val="231F20"/>
          <w:w w:val="105"/>
        </w:rPr>
        <w:t>se</w:t>
      </w:r>
      <w:r>
        <w:rPr>
          <w:color w:val="231F20"/>
          <w:spacing w:val="-6"/>
          <w:w w:val="105"/>
        </w:rPr>
        <w:t> </w:t>
      </w:r>
      <w:r>
        <w:rPr>
          <w:color w:val="231F20"/>
          <w:w w:val="105"/>
        </w:rPr>
        <w:t>desdobla</w:t>
      </w:r>
      <w:r>
        <w:rPr>
          <w:color w:val="231F20"/>
          <w:spacing w:val="-6"/>
          <w:w w:val="105"/>
        </w:rPr>
        <w:t> </w:t>
      </w:r>
      <w:r>
        <w:rPr>
          <w:color w:val="231F20"/>
          <w:w w:val="105"/>
        </w:rPr>
        <w:t>en</w:t>
      </w:r>
      <w:r>
        <w:rPr>
          <w:color w:val="231F20"/>
          <w:spacing w:val="-6"/>
          <w:w w:val="105"/>
        </w:rPr>
        <w:t> </w:t>
      </w:r>
      <w:r>
        <w:rPr>
          <w:color w:val="231F20"/>
          <w:w w:val="105"/>
        </w:rPr>
        <w:t>una</w:t>
      </w:r>
      <w:r>
        <w:rPr>
          <w:color w:val="231F20"/>
          <w:spacing w:val="-6"/>
          <w:w w:val="105"/>
        </w:rPr>
        <w:t> </w:t>
      </w:r>
      <w:r>
        <w:rPr>
          <w:color w:val="231F20"/>
          <w:w w:val="105"/>
        </w:rPr>
        <w:t>infinidad</w:t>
      </w:r>
      <w:r>
        <w:rPr>
          <w:color w:val="231F20"/>
          <w:spacing w:val="-6"/>
          <w:w w:val="105"/>
        </w:rPr>
        <w:t> </w:t>
      </w:r>
      <w:r>
        <w:rPr>
          <w:color w:val="231F20"/>
          <w:w w:val="105"/>
        </w:rPr>
        <w:t>de</w:t>
      </w:r>
      <w:r>
        <w:rPr>
          <w:color w:val="231F20"/>
          <w:spacing w:val="-6"/>
          <w:w w:val="105"/>
        </w:rPr>
        <w:t> </w:t>
      </w:r>
      <w:r>
        <w:rPr>
          <w:color w:val="231F20"/>
          <w:w w:val="105"/>
        </w:rPr>
        <w:t>aporías que</w:t>
      </w:r>
      <w:r>
        <w:rPr>
          <w:color w:val="231F20"/>
          <w:spacing w:val="-29"/>
          <w:w w:val="105"/>
        </w:rPr>
        <w:t> </w:t>
      </w:r>
      <w:r>
        <w:rPr>
          <w:color w:val="231F20"/>
          <w:w w:val="105"/>
        </w:rPr>
        <w:t>afectan</w:t>
      </w:r>
      <w:r>
        <w:rPr>
          <w:color w:val="231F20"/>
          <w:spacing w:val="-29"/>
          <w:w w:val="105"/>
        </w:rPr>
        <w:t> </w:t>
      </w:r>
      <w:r>
        <w:rPr>
          <w:color w:val="231F20"/>
          <w:w w:val="105"/>
        </w:rPr>
        <w:t>los</w:t>
      </w:r>
      <w:r>
        <w:rPr>
          <w:color w:val="231F20"/>
          <w:spacing w:val="-29"/>
          <w:w w:val="105"/>
        </w:rPr>
        <w:t> </w:t>
      </w:r>
      <w:r>
        <w:rPr>
          <w:color w:val="231F20"/>
          <w:w w:val="105"/>
        </w:rPr>
        <w:t>ámbitos</w:t>
      </w:r>
      <w:r>
        <w:rPr>
          <w:color w:val="231F20"/>
          <w:spacing w:val="-29"/>
          <w:w w:val="105"/>
        </w:rPr>
        <w:t> </w:t>
      </w:r>
      <w:r>
        <w:rPr>
          <w:color w:val="231F20"/>
          <w:w w:val="105"/>
        </w:rPr>
        <w:t>más</w:t>
      </w:r>
      <w:r>
        <w:rPr>
          <w:color w:val="231F20"/>
          <w:spacing w:val="-29"/>
          <w:w w:val="105"/>
        </w:rPr>
        <w:t> </w:t>
      </w:r>
      <w:r>
        <w:rPr>
          <w:color w:val="231F20"/>
          <w:w w:val="105"/>
        </w:rPr>
        <w:t>cotidianos</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vida.</w:t>
      </w:r>
      <w:r>
        <w:rPr>
          <w:color w:val="231F20"/>
          <w:spacing w:val="-29"/>
          <w:w w:val="105"/>
        </w:rPr>
        <w:t> </w:t>
      </w:r>
      <w:r>
        <w:rPr>
          <w:color w:val="231F20"/>
          <w:w w:val="105"/>
        </w:rPr>
        <w:t>A</w:t>
      </w:r>
      <w:r>
        <w:rPr>
          <w:color w:val="231F20"/>
          <w:spacing w:val="-29"/>
          <w:w w:val="105"/>
        </w:rPr>
        <w:t> </w:t>
      </w:r>
      <w:r>
        <w:rPr>
          <w:color w:val="231F20"/>
          <w:w w:val="105"/>
        </w:rPr>
        <w:t>pesar</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múltiples formas</w:t>
      </w:r>
      <w:r>
        <w:rPr>
          <w:color w:val="231F20"/>
          <w:spacing w:val="-11"/>
          <w:w w:val="105"/>
        </w:rPr>
        <w:t> </w:t>
      </w:r>
      <w:r>
        <w:rPr>
          <w:color w:val="231F20"/>
          <w:w w:val="105"/>
        </w:rPr>
        <w:t>que</w:t>
      </w:r>
      <w:r>
        <w:rPr>
          <w:color w:val="231F20"/>
          <w:spacing w:val="-11"/>
          <w:w w:val="105"/>
        </w:rPr>
        <w:t> </w:t>
      </w:r>
      <w:r>
        <w:rPr>
          <w:color w:val="231F20"/>
          <w:w w:val="105"/>
        </w:rPr>
        <w:t>toman,</w:t>
      </w:r>
      <w:r>
        <w:rPr>
          <w:color w:val="231F20"/>
          <w:spacing w:val="-11"/>
          <w:w w:val="105"/>
        </w:rPr>
        <w:t> </w:t>
      </w:r>
      <w:r>
        <w:rPr>
          <w:color w:val="231F20"/>
          <w:w w:val="105"/>
        </w:rPr>
        <w:t>creemos</w:t>
      </w:r>
      <w:r>
        <w:rPr>
          <w:color w:val="231F20"/>
          <w:spacing w:val="-11"/>
          <w:w w:val="105"/>
        </w:rPr>
        <w:t> </w:t>
      </w:r>
      <w:r>
        <w:rPr>
          <w:color w:val="231F20"/>
          <w:w w:val="105"/>
        </w:rPr>
        <w:t>que</w:t>
      </w:r>
      <w:r>
        <w:rPr>
          <w:color w:val="231F20"/>
          <w:spacing w:val="-11"/>
          <w:w w:val="105"/>
        </w:rPr>
        <w:t> </w:t>
      </w:r>
      <w:r>
        <w:rPr>
          <w:color w:val="231F20"/>
          <w:w w:val="105"/>
        </w:rPr>
        <w:t>éstas</w:t>
      </w:r>
      <w:r>
        <w:rPr>
          <w:color w:val="231F20"/>
          <w:spacing w:val="-11"/>
          <w:w w:val="105"/>
        </w:rPr>
        <w:t> </w:t>
      </w:r>
      <w:r>
        <w:rPr>
          <w:color w:val="231F20"/>
          <w:w w:val="105"/>
        </w:rPr>
        <w:t>pueden</w:t>
      </w:r>
      <w:r>
        <w:rPr>
          <w:color w:val="231F20"/>
          <w:spacing w:val="-11"/>
          <w:w w:val="105"/>
        </w:rPr>
        <w:t> </w:t>
      </w:r>
      <w:r>
        <w:rPr>
          <w:color w:val="231F20"/>
          <w:w w:val="105"/>
        </w:rPr>
        <w:t>ubicarse</w:t>
      </w:r>
      <w:r>
        <w:rPr>
          <w:color w:val="231F20"/>
          <w:spacing w:val="-11"/>
          <w:w w:val="105"/>
        </w:rPr>
        <w:t> </w:t>
      </w:r>
      <w:r>
        <w:rPr>
          <w:color w:val="231F20"/>
          <w:w w:val="105"/>
        </w:rPr>
        <w:t>en</w:t>
      </w:r>
      <w:r>
        <w:rPr>
          <w:color w:val="231F20"/>
          <w:spacing w:val="-11"/>
          <w:w w:val="105"/>
        </w:rPr>
        <w:t> </w:t>
      </w:r>
      <w:r>
        <w:rPr>
          <w:color w:val="231F20"/>
          <w:w w:val="105"/>
        </w:rPr>
        <w:t>cinco</w:t>
      </w:r>
      <w:r>
        <w:rPr>
          <w:color w:val="231F20"/>
          <w:spacing w:val="-11"/>
          <w:w w:val="105"/>
        </w:rPr>
        <w:t> </w:t>
      </w:r>
      <w:r>
        <w:rPr>
          <w:color w:val="231F20"/>
          <w:w w:val="105"/>
        </w:rPr>
        <w:t>formas distintas que intentan dar cuenta de la complejidad de la paradoja de base.</w:t>
      </w:r>
      <w:r>
        <w:rPr>
          <w:color w:val="231F20"/>
          <w:spacing w:val="-24"/>
          <w:w w:val="105"/>
        </w:rPr>
        <w:t> </w:t>
      </w:r>
      <w:r>
        <w:rPr>
          <w:color w:val="231F20"/>
          <w:w w:val="105"/>
        </w:rPr>
        <w:t>Hemos</w:t>
      </w:r>
      <w:r>
        <w:rPr>
          <w:color w:val="231F20"/>
          <w:spacing w:val="-24"/>
          <w:w w:val="105"/>
        </w:rPr>
        <w:t> </w:t>
      </w:r>
      <w:r>
        <w:rPr>
          <w:color w:val="231F20"/>
          <w:w w:val="105"/>
        </w:rPr>
        <w:t>decidido</w:t>
      </w:r>
      <w:r>
        <w:rPr>
          <w:color w:val="231F20"/>
          <w:spacing w:val="-24"/>
          <w:w w:val="105"/>
        </w:rPr>
        <w:t> </w:t>
      </w:r>
      <w:r>
        <w:rPr>
          <w:color w:val="231F20"/>
          <w:w w:val="105"/>
        </w:rPr>
        <w:t>exponer</w:t>
      </w:r>
      <w:r>
        <w:rPr>
          <w:color w:val="231F20"/>
          <w:spacing w:val="-24"/>
          <w:w w:val="105"/>
        </w:rPr>
        <w:t> </w:t>
      </w:r>
      <w:r>
        <w:rPr>
          <w:color w:val="231F20"/>
          <w:w w:val="105"/>
        </w:rPr>
        <w:t>tales</w:t>
      </w:r>
      <w:r>
        <w:rPr>
          <w:color w:val="231F20"/>
          <w:spacing w:val="-24"/>
          <w:w w:val="105"/>
        </w:rPr>
        <w:t> </w:t>
      </w:r>
      <w:r>
        <w:rPr>
          <w:color w:val="231F20"/>
          <w:w w:val="105"/>
        </w:rPr>
        <w:t>paradojas</w:t>
      </w:r>
      <w:r>
        <w:rPr>
          <w:color w:val="231F20"/>
          <w:spacing w:val="-24"/>
          <w:w w:val="105"/>
        </w:rPr>
        <w:t> </w:t>
      </w:r>
      <w:r>
        <w:rPr>
          <w:color w:val="231F20"/>
          <w:w w:val="105"/>
        </w:rPr>
        <w:t>en</w:t>
      </w:r>
      <w:r>
        <w:rPr>
          <w:color w:val="231F20"/>
          <w:spacing w:val="-24"/>
          <w:w w:val="105"/>
        </w:rPr>
        <w:t> </w:t>
      </w:r>
      <w:r>
        <w:rPr>
          <w:color w:val="231F20"/>
          <w:w w:val="105"/>
        </w:rPr>
        <w:t>términos</w:t>
      </w:r>
      <w:r>
        <w:rPr>
          <w:color w:val="231F20"/>
          <w:spacing w:val="-24"/>
          <w:w w:val="105"/>
        </w:rPr>
        <w:t> </w:t>
      </w:r>
      <w:r>
        <w:rPr>
          <w:color w:val="231F20"/>
          <w:w w:val="105"/>
        </w:rPr>
        <w:t>de</w:t>
      </w:r>
      <w:r>
        <w:rPr>
          <w:color w:val="231F20"/>
          <w:spacing w:val="-24"/>
          <w:w w:val="105"/>
        </w:rPr>
        <w:t> </w:t>
      </w:r>
      <w:r>
        <w:rPr>
          <w:color w:val="231F20"/>
          <w:w w:val="105"/>
        </w:rPr>
        <w:t>elementos </w:t>
      </w:r>
      <w:r>
        <w:rPr>
          <w:color w:val="231F20"/>
        </w:rPr>
        <w:t>contrarios, para resaltar su carácter</w:t>
      </w:r>
      <w:r>
        <w:rPr>
          <w:color w:val="231F20"/>
          <w:spacing w:val="-39"/>
        </w:rPr>
        <w:t> </w:t>
      </w:r>
      <w:r>
        <w:rPr>
          <w:color w:val="231F20"/>
        </w:rPr>
        <w:t>contradictorio.</w:t>
      </w:r>
    </w:p>
    <w:p>
      <w:pPr>
        <w:pStyle w:val="BodyText"/>
        <w:rPr>
          <w:sz w:val="20"/>
        </w:rPr>
      </w:pPr>
    </w:p>
    <w:p>
      <w:pPr>
        <w:pStyle w:val="BodyText"/>
        <w:rPr>
          <w:sz w:val="20"/>
        </w:rPr>
      </w:pPr>
    </w:p>
    <w:p>
      <w:pPr>
        <w:pStyle w:val="BodyText"/>
        <w:rPr>
          <w:sz w:val="20"/>
        </w:rPr>
      </w:pPr>
    </w:p>
    <w:p>
      <w:pPr>
        <w:pStyle w:val="BodyText"/>
        <w:spacing w:before="2"/>
        <w:rPr>
          <w:sz w:val="22"/>
        </w:rPr>
      </w:pPr>
      <w:r>
        <w:rPr/>
        <w:pict>
          <v:line style="position:absolute;mso-position-horizontal-relative:page;mso-position-vertical-relative:paragraph;z-index:4072;mso-wrap-distance-left:0;mso-wrap-distance-right:0" from="70.866096pt,15.480239pt" to="184.252096pt,15.480239pt" stroked="true" strokeweight=".3pt" strokecolor="#231f20">
            <w10:wrap type="topAndBottom"/>
          </v:line>
        </w:pict>
      </w:r>
    </w:p>
    <w:p>
      <w:pPr>
        <w:spacing w:line="204" w:lineRule="exact" w:before="9"/>
        <w:ind w:left="117" w:right="101" w:firstLine="0"/>
        <w:jc w:val="both"/>
        <w:rPr>
          <w:rFonts w:ascii="Calibri" w:hAnsi="Calibri"/>
          <w:sz w:val="17"/>
        </w:rPr>
      </w:pPr>
      <w:r>
        <w:rPr>
          <w:rFonts w:ascii="Calibri" w:hAnsi="Calibri"/>
          <w:color w:val="231F20"/>
          <w:position w:val="6"/>
          <w:sz w:val="10"/>
        </w:rPr>
        <w:t>15</w:t>
      </w:r>
      <w:r>
        <w:rPr>
          <w:rFonts w:ascii="Calibri" w:hAnsi="Calibri"/>
          <w:color w:val="231F20"/>
          <w:spacing w:val="11"/>
          <w:position w:val="6"/>
          <w:sz w:val="10"/>
        </w:rPr>
        <w:t> </w:t>
      </w:r>
      <w:r>
        <w:rPr>
          <w:rFonts w:ascii="Calibri" w:hAnsi="Calibri"/>
          <w:color w:val="231F20"/>
          <w:sz w:val="17"/>
        </w:rPr>
        <w:t>En</w:t>
      </w:r>
      <w:r>
        <w:rPr>
          <w:rFonts w:ascii="Calibri" w:hAnsi="Calibri"/>
          <w:color w:val="231F20"/>
          <w:spacing w:val="-4"/>
          <w:sz w:val="17"/>
        </w:rPr>
        <w:t> </w:t>
      </w:r>
      <w:r>
        <w:rPr>
          <w:rFonts w:ascii="Calibri" w:hAnsi="Calibri"/>
          <w:color w:val="231F20"/>
          <w:sz w:val="17"/>
        </w:rPr>
        <w:t>particular</w:t>
      </w:r>
      <w:r>
        <w:rPr>
          <w:rFonts w:ascii="Calibri" w:hAnsi="Calibri"/>
          <w:color w:val="231F20"/>
          <w:spacing w:val="-4"/>
          <w:sz w:val="17"/>
        </w:rPr>
        <w:t> </w:t>
      </w:r>
      <w:r>
        <w:rPr>
          <w:rFonts w:ascii="Calibri" w:hAnsi="Calibri"/>
          <w:color w:val="231F20"/>
          <w:sz w:val="17"/>
        </w:rPr>
        <w:t>nos</w:t>
      </w:r>
      <w:r>
        <w:rPr>
          <w:rFonts w:ascii="Calibri" w:hAnsi="Calibri"/>
          <w:color w:val="231F20"/>
          <w:spacing w:val="-4"/>
          <w:sz w:val="17"/>
        </w:rPr>
        <w:t> </w:t>
      </w:r>
      <w:r>
        <w:rPr>
          <w:rFonts w:ascii="Calibri" w:hAnsi="Calibri"/>
          <w:color w:val="231F20"/>
          <w:sz w:val="17"/>
        </w:rPr>
        <w:t>hemos</w:t>
      </w:r>
      <w:r>
        <w:rPr>
          <w:rFonts w:ascii="Calibri" w:hAnsi="Calibri"/>
          <w:color w:val="231F20"/>
          <w:spacing w:val="-4"/>
          <w:sz w:val="17"/>
        </w:rPr>
        <w:t> </w:t>
      </w:r>
      <w:r>
        <w:rPr>
          <w:rFonts w:ascii="Calibri" w:hAnsi="Calibri"/>
          <w:color w:val="231F20"/>
          <w:sz w:val="17"/>
        </w:rPr>
        <w:t>centrados</w:t>
      </w:r>
      <w:r>
        <w:rPr>
          <w:rFonts w:ascii="Calibri" w:hAnsi="Calibri"/>
          <w:color w:val="231F20"/>
          <w:spacing w:val="-4"/>
          <w:sz w:val="17"/>
        </w:rPr>
        <w:t> </w:t>
      </w:r>
      <w:r>
        <w:rPr>
          <w:rFonts w:ascii="Calibri" w:hAnsi="Calibri"/>
          <w:color w:val="231F20"/>
          <w:sz w:val="17"/>
        </w:rPr>
        <w:t>en</w:t>
      </w:r>
      <w:r>
        <w:rPr>
          <w:rFonts w:ascii="Calibri" w:hAnsi="Calibri"/>
          <w:color w:val="231F20"/>
          <w:spacing w:val="-4"/>
          <w:sz w:val="17"/>
        </w:rPr>
        <w:t> </w:t>
      </w:r>
      <w:r>
        <w:rPr>
          <w:rFonts w:ascii="Calibri" w:hAnsi="Calibri"/>
          <w:color w:val="231F20"/>
          <w:sz w:val="17"/>
        </w:rPr>
        <w:t>libros</w:t>
      </w:r>
      <w:r>
        <w:rPr>
          <w:rFonts w:ascii="Calibri" w:hAnsi="Calibri"/>
          <w:color w:val="231F20"/>
          <w:spacing w:val="-4"/>
          <w:sz w:val="17"/>
        </w:rPr>
        <w:t> </w:t>
      </w:r>
      <w:r>
        <w:rPr>
          <w:rFonts w:ascii="Calibri" w:hAnsi="Calibri"/>
          <w:color w:val="231F20"/>
          <w:sz w:val="17"/>
        </w:rPr>
        <w:t>como:</w:t>
      </w:r>
      <w:r>
        <w:rPr>
          <w:rFonts w:ascii="Calibri" w:hAnsi="Calibri"/>
          <w:color w:val="231F20"/>
          <w:spacing w:val="-5"/>
          <w:sz w:val="17"/>
        </w:rPr>
        <w:t> </w:t>
      </w:r>
      <w:r>
        <w:rPr>
          <w:rFonts w:ascii="Calibri" w:hAnsi="Calibri"/>
          <w:i/>
          <w:color w:val="231F20"/>
          <w:sz w:val="17"/>
        </w:rPr>
        <w:t>Différence</w:t>
      </w:r>
      <w:r>
        <w:rPr>
          <w:rFonts w:ascii="Calibri" w:hAnsi="Calibri"/>
          <w:i/>
          <w:color w:val="231F20"/>
          <w:spacing w:val="-5"/>
          <w:sz w:val="17"/>
        </w:rPr>
        <w:t> </w:t>
      </w:r>
      <w:r>
        <w:rPr>
          <w:rFonts w:ascii="Calibri" w:hAnsi="Calibri"/>
          <w:i/>
          <w:color w:val="231F20"/>
          <w:sz w:val="17"/>
        </w:rPr>
        <w:t>et</w:t>
      </w:r>
      <w:r>
        <w:rPr>
          <w:rFonts w:ascii="Calibri" w:hAnsi="Calibri"/>
          <w:i/>
          <w:color w:val="231F20"/>
          <w:spacing w:val="-5"/>
          <w:sz w:val="17"/>
        </w:rPr>
        <w:t> </w:t>
      </w:r>
      <w:r>
        <w:rPr>
          <w:rFonts w:ascii="Calibri" w:hAnsi="Calibri"/>
          <w:i/>
          <w:color w:val="231F20"/>
          <w:sz w:val="17"/>
        </w:rPr>
        <w:t>répétition</w:t>
      </w:r>
      <w:r>
        <w:rPr>
          <w:rFonts w:ascii="Calibri" w:hAnsi="Calibri"/>
          <w:color w:val="231F20"/>
          <w:sz w:val="17"/>
        </w:rPr>
        <w:t>,</w:t>
      </w:r>
      <w:r>
        <w:rPr>
          <w:rFonts w:ascii="Calibri" w:hAnsi="Calibri"/>
          <w:color w:val="231F20"/>
          <w:spacing w:val="-4"/>
          <w:sz w:val="17"/>
        </w:rPr>
        <w:t> </w:t>
      </w:r>
      <w:r>
        <w:rPr>
          <w:rFonts w:ascii="Calibri" w:hAnsi="Calibri"/>
          <w:color w:val="231F20"/>
          <w:sz w:val="17"/>
        </w:rPr>
        <w:t>Paris,</w:t>
      </w:r>
      <w:r>
        <w:rPr>
          <w:rFonts w:ascii="Calibri" w:hAnsi="Calibri"/>
          <w:color w:val="231F20"/>
          <w:spacing w:val="-5"/>
          <w:sz w:val="17"/>
        </w:rPr>
        <w:t> </w:t>
      </w:r>
      <w:r>
        <w:rPr>
          <w:rFonts w:ascii="Calibri" w:hAnsi="Calibri"/>
          <w:color w:val="231F20"/>
          <w:sz w:val="15"/>
        </w:rPr>
        <w:t>PUF</w:t>
      </w:r>
      <w:r>
        <w:rPr>
          <w:rFonts w:ascii="Calibri" w:hAnsi="Calibri"/>
          <w:color w:val="231F20"/>
          <w:sz w:val="17"/>
        </w:rPr>
        <w:t>,</w:t>
      </w:r>
      <w:r>
        <w:rPr>
          <w:rFonts w:ascii="Calibri" w:hAnsi="Calibri"/>
          <w:color w:val="231F20"/>
          <w:spacing w:val="-4"/>
          <w:sz w:val="17"/>
        </w:rPr>
        <w:t> </w:t>
      </w:r>
      <w:r>
        <w:rPr>
          <w:rFonts w:ascii="Calibri" w:hAnsi="Calibri"/>
          <w:color w:val="231F20"/>
          <w:sz w:val="17"/>
        </w:rPr>
        <w:t>1968;</w:t>
      </w:r>
      <w:r>
        <w:rPr>
          <w:rFonts w:ascii="Calibri" w:hAnsi="Calibri"/>
          <w:color w:val="231F20"/>
          <w:spacing w:val="-5"/>
          <w:sz w:val="17"/>
        </w:rPr>
        <w:t> </w:t>
      </w:r>
      <w:r>
        <w:rPr>
          <w:rFonts w:ascii="Calibri" w:hAnsi="Calibri"/>
          <w:i/>
          <w:color w:val="231F20"/>
          <w:sz w:val="17"/>
        </w:rPr>
        <w:t>Lógica </w:t>
      </w:r>
      <w:r>
        <w:rPr>
          <w:rFonts w:ascii="Calibri" w:hAnsi="Calibri"/>
          <w:i/>
          <w:color w:val="231F20"/>
          <w:sz w:val="17"/>
        </w:rPr>
        <w:t>del sentido</w:t>
      </w:r>
      <w:r>
        <w:rPr>
          <w:rFonts w:ascii="Calibri" w:hAnsi="Calibri"/>
          <w:color w:val="231F20"/>
          <w:sz w:val="17"/>
        </w:rPr>
        <w:t>, Buenos Aires, Paidós, 1989; </w:t>
      </w:r>
      <w:r>
        <w:rPr>
          <w:rFonts w:ascii="Calibri" w:hAnsi="Calibri"/>
          <w:i/>
          <w:color w:val="231F20"/>
          <w:sz w:val="17"/>
        </w:rPr>
        <w:t>Pourparlers</w:t>
      </w:r>
      <w:r>
        <w:rPr>
          <w:rFonts w:ascii="Calibri" w:hAnsi="Calibri"/>
          <w:color w:val="231F20"/>
          <w:sz w:val="17"/>
        </w:rPr>
        <w:t>, Paris, Minuit, 1990. (Con Claire Parnet) </w:t>
      </w:r>
      <w:r>
        <w:rPr>
          <w:rFonts w:ascii="Calibri" w:hAnsi="Calibri"/>
          <w:i/>
          <w:color w:val="231F20"/>
          <w:sz w:val="17"/>
        </w:rPr>
        <w:t>Dialo- </w:t>
      </w:r>
      <w:r>
        <w:rPr>
          <w:rFonts w:ascii="Calibri" w:hAnsi="Calibri"/>
          <w:i/>
          <w:color w:val="231F20"/>
          <w:sz w:val="17"/>
        </w:rPr>
        <w:t>gues</w:t>
      </w:r>
      <w:r>
        <w:rPr>
          <w:rFonts w:ascii="Calibri" w:hAnsi="Calibri"/>
          <w:color w:val="231F20"/>
          <w:sz w:val="17"/>
        </w:rPr>
        <w:t>, Paris, Flammarion, 1977; (con Felix Guattari) </w:t>
      </w:r>
      <w:r>
        <w:rPr>
          <w:rFonts w:ascii="Calibri" w:hAnsi="Calibri"/>
          <w:i/>
          <w:color w:val="231F20"/>
          <w:sz w:val="17"/>
        </w:rPr>
        <w:t>Le Anti</w:t>
      </w:r>
      <w:r>
        <w:rPr>
          <w:rFonts w:ascii="Calibri" w:hAnsi="Calibri"/>
          <w:color w:val="231F20"/>
          <w:sz w:val="17"/>
        </w:rPr>
        <w:t>–</w:t>
      </w:r>
      <w:r>
        <w:rPr>
          <w:rFonts w:ascii="Calibri" w:hAnsi="Calibri"/>
          <w:i/>
          <w:color w:val="231F20"/>
          <w:sz w:val="17"/>
        </w:rPr>
        <w:t>Œdipe. Capitalisme et schizophrénie 1</w:t>
      </w:r>
      <w:r>
        <w:rPr>
          <w:rFonts w:ascii="Calibri" w:hAnsi="Calibri"/>
          <w:color w:val="231F20"/>
          <w:sz w:val="17"/>
        </w:rPr>
        <w:t>, Paris,</w:t>
      </w:r>
      <w:r>
        <w:rPr>
          <w:rFonts w:ascii="Calibri" w:hAnsi="Calibri"/>
          <w:color w:val="231F20"/>
          <w:spacing w:val="-7"/>
          <w:sz w:val="17"/>
        </w:rPr>
        <w:t> </w:t>
      </w:r>
      <w:r>
        <w:rPr>
          <w:rFonts w:ascii="Calibri" w:hAnsi="Calibri"/>
          <w:color w:val="231F20"/>
          <w:sz w:val="17"/>
        </w:rPr>
        <w:t>Minuit,</w:t>
      </w:r>
      <w:r>
        <w:rPr>
          <w:rFonts w:ascii="Calibri" w:hAnsi="Calibri"/>
          <w:color w:val="231F20"/>
          <w:spacing w:val="-7"/>
          <w:sz w:val="17"/>
        </w:rPr>
        <w:t> </w:t>
      </w:r>
      <w:r>
        <w:rPr>
          <w:rFonts w:ascii="Calibri" w:hAnsi="Calibri"/>
          <w:color w:val="231F20"/>
          <w:sz w:val="17"/>
        </w:rPr>
        <w:t>1972</w:t>
      </w:r>
      <w:r>
        <w:rPr>
          <w:rFonts w:ascii="Calibri" w:hAnsi="Calibri"/>
          <w:color w:val="231F20"/>
          <w:spacing w:val="-10"/>
          <w:sz w:val="17"/>
        </w:rPr>
        <w:t> </w:t>
      </w:r>
      <w:r>
        <w:rPr>
          <w:rFonts w:ascii="Calibri" w:hAnsi="Calibri"/>
          <w:color w:val="231F20"/>
          <w:sz w:val="17"/>
        </w:rPr>
        <w:t>;</w:t>
      </w:r>
      <w:r>
        <w:rPr>
          <w:rFonts w:ascii="Calibri" w:hAnsi="Calibri"/>
          <w:color w:val="231F20"/>
          <w:spacing w:val="-9"/>
          <w:sz w:val="17"/>
        </w:rPr>
        <w:t> </w:t>
      </w:r>
      <w:r>
        <w:rPr>
          <w:rFonts w:ascii="Calibri" w:hAnsi="Calibri"/>
          <w:color w:val="231F20"/>
          <w:sz w:val="17"/>
        </w:rPr>
        <w:t>y</w:t>
      </w:r>
      <w:r>
        <w:rPr>
          <w:rFonts w:ascii="Calibri" w:hAnsi="Calibri"/>
          <w:color w:val="231F20"/>
          <w:spacing w:val="-7"/>
          <w:sz w:val="17"/>
        </w:rPr>
        <w:t> </w:t>
      </w:r>
      <w:r>
        <w:rPr>
          <w:rFonts w:ascii="Calibri" w:hAnsi="Calibri"/>
          <w:i/>
          <w:color w:val="231F20"/>
          <w:sz w:val="17"/>
        </w:rPr>
        <w:t>Mille</w:t>
      </w:r>
      <w:r>
        <w:rPr>
          <w:rFonts w:ascii="Calibri" w:hAnsi="Calibri"/>
          <w:i/>
          <w:color w:val="231F20"/>
          <w:spacing w:val="-8"/>
          <w:sz w:val="17"/>
        </w:rPr>
        <w:t> </w:t>
      </w:r>
      <w:r>
        <w:rPr>
          <w:rFonts w:ascii="Calibri" w:hAnsi="Calibri"/>
          <w:i/>
          <w:color w:val="231F20"/>
          <w:sz w:val="17"/>
        </w:rPr>
        <w:t>plateaux.</w:t>
      </w:r>
      <w:r>
        <w:rPr>
          <w:rFonts w:ascii="Calibri" w:hAnsi="Calibri"/>
          <w:i/>
          <w:color w:val="231F20"/>
          <w:spacing w:val="-8"/>
          <w:sz w:val="17"/>
        </w:rPr>
        <w:t> </w:t>
      </w:r>
      <w:r>
        <w:rPr>
          <w:rFonts w:ascii="Calibri" w:hAnsi="Calibri"/>
          <w:i/>
          <w:color w:val="231F20"/>
          <w:sz w:val="17"/>
        </w:rPr>
        <w:t>Capitalisme</w:t>
      </w:r>
      <w:r>
        <w:rPr>
          <w:rFonts w:ascii="Calibri" w:hAnsi="Calibri"/>
          <w:i/>
          <w:color w:val="231F20"/>
          <w:spacing w:val="-8"/>
          <w:sz w:val="17"/>
        </w:rPr>
        <w:t> </w:t>
      </w:r>
      <w:r>
        <w:rPr>
          <w:rFonts w:ascii="Calibri" w:hAnsi="Calibri"/>
          <w:i/>
          <w:color w:val="231F20"/>
          <w:sz w:val="17"/>
        </w:rPr>
        <w:t>et</w:t>
      </w:r>
      <w:r>
        <w:rPr>
          <w:rFonts w:ascii="Calibri" w:hAnsi="Calibri"/>
          <w:i/>
          <w:color w:val="231F20"/>
          <w:spacing w:val="-8"/>
          <w:sz w:val="17"/>
        </w:rPr>
        <w:t> </w:t>
      </w:r>
      <w:r>
        <w:rPr>
          <w:rFonts w:ascii="Calibri" w:hAnsi="Calibri"/>
          <w:i/>
          <w:color w:val="231F20"/>
          <w:sz w:val="17"/>
        </w:rPr>
        <w:t>schizophrénie</w:t>
      </w:r>
      <w:r>
        <w:rPr>
          <w:rFonts w:ascii="Calibri" w:hAnsi="Calibri"/>
          <w:i/>
          <w:color w:val="231F20"/>
          <w:spacing w:val="-8"/>
          <w:sz w:val="17"/>
        </w:rPr>
        <w:t> </w:t>
      </w:r>
      <w:r>
        <w:rPr>
          <w:rFonts w:ascii="Calibri" w:hAnsi="Calibri"/>
          <w:i/>
          <w:color w:val="231F20"/>
          <w:sz w:val="17"/>
        </w:rPr>
        <w:t>2</w:t>
      </w:r>
      <w:r>
        <w:rPr>
          <w:rFonts w:ascii="Calibri" w:hAnsi="Calibri"/>
          <w:color w:val="231F20"/>
          <w:sz w:val="17"/>
        </w:rPr>
        <w:t>,</w:t>
      </w:r>
      <w:r>
        <w:rPr>
          <w:rFonts w:ascii="Calibri" w:hAnsi="Calibri"/>
          <w:color w:val="231F20"/>
          <w:spacing w:val="-7"/>
          <w:sz w:val="17"/>
        </w:rPr>
        <w:t> </w:t>
      </w:r>
      <w:r>
        <w:rPr>
          <w:rFonts w:ascii="Calibri" w:hAnsi="Calibri"/>
          <w:color w:val="231F20"/>
          <w:sz w:val="17"/>
        </w:rPr>
        <w:t>Paris,</w:t>
      </w:r>
      <w:r>
        <w:rPr>
          <w:rFonts w:ascii="Calibri" w:hAnsi="Calibri"/>
          <w:color w:val="231F20"/>
          <w:spacing w:val="-7"/>
          <w:sz w:val="17"/>
        </w:rPr>
        <w:t> </w:t>
      </w:r>
      <w:r>
        <w:rPr>
          <w:rFonts w:ascii="Calibri" w:hAnsi="Calibri"/>
          <w:color w:val="231F20"/>
          <w:sz w:val="17"/>
        </w:rPr>
        <w:t>Minuit,</w:t>
      </w:r>
      <w:r>
        <w:rPr>
          <w:rFonts w:ascii="Calibri" w:hAnsi="Calibri"/>
          <w:color w:val="231F20"/>
          <w:spacing w:val="-7"/>
          <w:sz w:val="17"/>
        </w:rPr>
        <w:t> </w:t>
      </w:r>
      <w:r>
        <w:rPr>
          <w:rFonts w:ascii="Calibri" w:hAnsi="Calibri"/>
          <w:color w:val="231F20"/>
          <w:sz w:val="17"/>
        </w:rPr>
        <w:t>1980.</w:t>
      </w:r>
    </w:p>
    <w:p>
      <w:pPr>
        <w:spacing w:before="1"/>
        <w:ind w:left="117" w:right="0" w:firstLine="0"/>
        <w:jc w:val="both"/>
        <w:rPr>
          <w:rFonts w:ascii="Calibri" w:hAnsi="Calibri"/>
          <w:sz w:val="17"/>
        </w:rPr>
      </w:pPr>
      <w:r>
        <w:rPr>
          <w:rFonts w:ascii="Calibri" w:hAnsi="Calibri"/>
          <w:color w:val="231F20"/>
          <w:position w:val="6"/>
          <w:sz w:val="10"/>
        </w:rPr>
        <w:t>16  </w:t>
      </w:r>
      <w:r>
        <w:rPr>
          <w:rFonts w:ascii="Calibri" w:hAnsi="Calibri"/>
          <w:i/>
          <w:color w:val="231F20"/>
          <w:sz w:val="17"/>
        </w:rPr>
        <w:t>Cfr.  </w:t>
      </w:r>
      <w:r>
        <w:rPr>
          <w:rFonts w:ascii="Calibri" w:hAnsi="Calibri"/>
          <w:color w:val="231F20"/>
          <w:sz w:val="17"/>
        </w:rPr>
        <w:t>Robertson, “Glocalization: Time–Space and Homogeneity–Heterogeneity”, p.   36.</w:t>
      </w:r>
    </w:p>
    <w:p>
      <w:pPr>
        <w:spacing w:after="0"/>
        <w:jc w:val="both"/>
        <w:rPr>
          <w:rFonts w:ascii="Calibri" w:hAnsi="Calibri"/>
          <w:sz w:val="17"/>
        </w:rPr>
        <w:sectPr>
          <w:pgSz w:w="9640" w:h="13890"/>
          <w:pgMar w:top="0" w:bottom="280" w:left="1300" w:right="1200"/>
        </w:sectPr>
      </w:pPr>
    </w:p>
    <w:p>
      <w:pPr>
        <w:pStyle w:val="ListParagraph"/>
        <w:numPr>
          <w:ilvl w:val="0"/>
          <w:numId w:val="5"/>
        </w:numPr>
        <w:tabs>
          <w:tab w:pos="890" w:val="left" w:leader="none"/>
        </w:tabs>
        <w:spacing w:line="240" w:lineRule="auto" w:before="107" w:after="0"/>
        <w:ind w:left="889" w:right="0" w:hanging="219"/>
        <w:jc w:val="left"/>
        <w:rPr>
          <w:sz w:val="21"/>
        </w:rPr>
      </w:pPr>
      <w:r>
        <w:rPr>
          <w:color w:val="231F20"/>
          <w:w w:val="105"/>
          <w:sz w:val="21"/>
        </w:rPr>
        <w:t>Homogeneización–heterogeneización</w:t>
      </w:r>
    </w:p>
    <w:p>
      <w:pPr>
        <w:pStyle w:val="BodyText"/>
        <w:rPr>
          <w:sz w:val="22"/>
        </w:rPr>
      </w:pPr>
    </w:p>
    <w:p>
      <w:pPr>
        <w:pStyle w:val="BodyText"/>
        <w:spacing w:line="244" w:lineRule="auto" w:before="1"/>
        <w:ind w:left="103" w:right="115"/>
        <w:jc w:val="both"/>
      </w:pPr>
      <w:r>
        <w:rPr>
          <w:color w:val="231F20"/>
          <w:w w:val="105"/>
        </w:rPr>
        <w:t>La globalización tiene una clara </w:t>
      </w:r>
      <w:r>
        <w:rPr>
          <w:rFonts w:ascii="Arial" w:hAnsi="Arial"/>
          <w:i/>
          <w:color w:val="231F20"/>
          <w:w w:val="105"/>
        </w:rPr>
        <w:t>tendencia </w:t>
      </w:r>
      <w:r>
        <w:rPr>
          <w:color w:val="231F20"/>
          <w:w w:val="105"/>
        </w:rPr>
        <w:t>hacia la homogeneización</w:t>
      </w:r>
      <w:r>
        <w:rPr>
          <w:color w:val="231F20"/>
          <w:spacing w:val="-16"/>
          <w:w w:val="105"/>
        </w:rPr>
        <w:t> </w:t>
      </w:r>
      <w:r>
        <w:rPr>
          <w:color w:val="231F20"/>
          <w:w w:val="105"/>
        </w:rPr>
        <w:t>de muy</w:t>
      </w:r>
      <w:r>
        <w:rPr>
          <w:color w:val="231F20"/>
          <w:spacing w:val="-36"/>
          <w:w w:val="105"/>
        </w:rPr>
        <w:t> </w:t>
      </w:r>
      <w:r>
        <w:rPr>
          <w:color w:val="231F20"/>
          <w:w w:val="105"/>
        </w:rPr>
        <w:t>diversos</w:t>
      </w:r>
      <w:r>
        <w:rPr>
          <w:color w:val="231F20"/>
          <w:spacing w:val="-36"/>
          <w:w w:val="105"/>
        </w:rPr>
        <w:t> </w:t>
      </w:r>
      <w:r>
        <w:rPr>
          <w:color w:val="231F20"/>
          <w:w w:val="105"/>
        </w:rPr>
        <w:t>elementos:</w:t>
      </w:r>
      <w:r>
        <w:rPr>
          <w:color w:val="231F20"/>
          <w:spacing w:val="-36"/>
          <w:w w:val="105"/>
        </w:rPr>
        <w:t> </w:t>
      </w:r>
      <w:r>
        <w:rPr>
          <w:color w:val="231F20"/>
          <w:w w:val="105"/>
        </w:rPr>
        <w:t>información,</w:t>
      </w:r>
      <w:r>
        <w:rPr>
          <w:color w:val="231F20"/>
          <w:spacing w:val="-36"/>
          <w:w w:val="105"/>
        </w:rPr>
        <w:t> </w:t>
      </w:r>
      <w:r>
        <w:rPr>
          <w:color w:val="231F20"/>
          <w:w w:val="105"/>
        </w:rPr>
        <w:t>hábitos,</w:t>
      </w:r>
      <w:r>
        <w:rPr>
          <w:color w:val="231F20"/>
          <w:spacing w:val="-36"/>
          <w:w w:val="105"/>
        </w:rPr>
        <w:t> </w:t>
      </w:r>
      <w:r>
        <w:rPr>
          <w:color w:val="231F20"/>
          <w:w w:val="105"/>
        </w:rPr>
        <w:t>costumbres,</w:t>
      </w:r>
      <w:r>
        <w:rPr>
          <w:color w:val="231F20"/>
          <w:spacing w:val="-36"/>
          <w:w w:val="105"/>
        </w:rPr>
        <w:t> </w:t>
      </w:r>
      <w:r>
        <w:rPr>
          <w:color w:val="231F20"/>
          <w:w w:val="105"/>
        </w:rPr>
        <w:t>perspectivas, modos</w:t>
      </w:r>
      <w:r>
        <w:rPr>
          <w:color w:val="231F20"/>
          <w:spacing w:val="-9"/>
          <w:w w:val="105"/>
        </w:rPr>
        <w:t> </w:t>
      </w:r>
      <w:r>
        <w:rPr>
          <w:color w:val="231F20"/>
          <w:w w:val="105"/>
        </w:rPr>
        <w:t>de</w:t>
      </w:r>
      <w:r>
        <w:rPr>
          <w:color w:val="231F20"/>
          <w:spacing w:val="-9"/>
          <w:w w:val="105"/>
        </w:rPr>
        <w:t> </w:t>
      </w:r>
      <w:r>
        <w:rPr>
          <w:color w:val="231F20"/>
          <w:w w:val="105"/>
        </w:rPr>
        <w:t>vida,</w:t>
      </w:r>
      <w:r>
        <w:rPr>
          <w:color w:val="231F20"/>
          <w:spacing w:val="-9"/>
          <w:w w:val="105"/>
        </w:rPr>
        <w:t> </w:t>
      </w:r>
      <w:r>
        <w:rPr>
          <w:color w:val="231F20"/>
          <w:w w:val="105"/>
        </w:rPr>
        <w:t>etc.</w:t>
      </w:r>
      <w:r>
        <w:rPr>
          <w:color w:val="231F20"/>
          <w:spacing w:val="-9"/>
          <w:w w:val="105"/>
        </w:rPr>
        <w:t> </w:t>
      </w:r>
      <w:r>
        <w:rPr>
          <w:color w:val="231F20"/>
          <w:w w:val="105"/>
        </w:rPr>
        <w:t>Esta</w:t>
      </w:r>
      <w:r>
        <w:rPr>
          <w:color w:val="231F20"/>
          <w:spacing w:val="-9"/>
          <w:w w:val="105"/>
        </w:rPr>
        <w:t> </w:t>
      </w:r>
      <w:r>
        <w:rPr>
          <w:color w:val="231F20"/>
          <w:w w:val="105"/>
        </w:rPr>
        <w:t>tendencia</w:t>
      </w:r>
      <w:r>
        <w:rPr>
          <w:color w:val="231F20"/>
          <w:spacing w:val="-9"/>
          <w:w w:val="105"/>
        </w:rPr>
        <w:t> </w:t>
      </w:r>
      <w:r>
        <w:rPr>
          <w:color w:val="231F20"/>
          <w:w w:val="105"/>
        </w:rPr>
        <w:t>es</w:t>
      </w:r>
      <w:r>
        <w:rPr>
          <w:color w:val="231F20"/>
          <w:spacing w:val="-9"/>
          <w:w w:val="105"/>
        </w:rPr>
        <w:t> </w:t>
      </w:r>
      <w:r>
        <w:rPr>
          <w:color w:val="231F20"/>
          <w:w w:val="105"/>
        </w:rPr>
        <w:t>una</w:t>
      </w:r>
      <w:r>
        <w:rPr>
          <w:color w:val="231F20"/>
          <w:spacing w:val="-9"/>
          <w:w w:val="105"/>
        </w:rPr>
        <w:t> </w:t>
      </w:r>
      <w:r>
        <w:rPr>
          <w:color w:val="231F20"/>
          <w:w w:val="105"/>
        </w:rPr>
        <w:t>consecuencia</w:t>
      </w:r>
      <w:r>
        <w:rPr>
          <w:color w:val="231F20"/>
          <w:spacing w:val="-9"/>
          <w:w w:val="105"/>
        </w:rPr>
        <w:t> </w:t>
      </w:r>
      <w:r>
        <w:rPr>
          <w:color w:val="231F20"/>
          <w:w w:val="105"/>
        </w:rPr>
        <w:t>lógica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ex- tensión</w:t>
      </w:r>
      <w:r>
        <w:rPr>
          <w:color w:val="231F20"/>
          <w:spacing w:val="-26"/>
          <w:w w:val="105"/>
        </w:rPr>
        <w:t> </w:t>
      </w:r>
      <w:r>
        <w:rPr>
          <w:color w:val="231F20"/>
          <w:w w:val="105"/>
        </w:rPr>
        <w:t>y</w:t>
      </w:r>
      <w:r>
        <w:rPr>
          <w:color w:val="231F20"/>
          <w:spacing w:val="-26"/>
          <w:w w:val="105"/>
        </w:rPr>
        <w:t> </w:t>
      </w:r>
      <w:r>
        <w:rPr>
          <w:color w:val="231F20"/>
          <w:w w:val="105"/>
        </w:rPr>
        <w:t>sofisticación</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medios</w:t>
      </w:r>
      <w:r>
        <w:rPr>
          <w:color w:val="231F20"/>
          <w:spacing w:val="-26"/>
          <w:w w:val="105"/>
        </w:rPr>
        <w:t> </w:t>
      </w:r>
      <w:r>
        <w:rPr>
          <w:color w:val="231F20"/>
          <w:w w:val="105"/>
        </w:rPr>
        <w:t>de</w:t>
      </w:r>
      <w:r>
        <w:rPr>
          <w:color w:val="231F20"/>
          <w:spacing w:val="-26"/>
          <w:w w:val="105"/>
        </w:rPr>
        <w:t> </w:t>
      </w:r>
      <w:r>
        <w:rPr>
          <w:color w:val="231F20"/>
          <w:w w:val="105"/>
        </w:rPr>
        <w:t>comunicación</w:t>
      </w:r>
      <w:r>
        <w:rPr>
          <w:color w:val="231F20"/>
          <w:spacing w:val="-26"/>
          <w:w w:val="105"/>
        </w:rPr>
        <w:t> </w:t>
      </w:r>
      <w:r>
        <w:rPr>
          <w:color w:val="231F20"/>
          <w:w w:val="105"/>
        </w:rPr>
        <w:t>y</w:t>
      </w:r>
      <w:r>
        <w:rPr>
          <w:color w:val="231F20"/>
          <w:spacing w:val="-26"/>
          <w:w w:val="105"/>
        </w:rPr>
        <w:t> </w:t>
      </w:r>
      <w:r>
        <w:rPr>
          <w:color w:val="231F20"/>
          <w:w w:val="105"/>
        </w:rPr>
        <w:t>de</w:t>
      </w:r>
      <w:r>
        <w:rPr>
          <w:color w:val="231F20"/>
          <w:spacing w:val="-26"/>
          <w:w w:val="105"/>
        </w:rPr>
        <w:t> </w:t>
      </w:r>
      <w:r>
        <w:rPr>
          <w:color w:val="231F20"/>
          <w:w w:val="105"/>
        </w:rPr>
        <w:t>las</w:t>
      </w:r>
      <w:r>
        <w:rPr>
          <w:color w:val="231F20"/>
          <w:spacing w:val="-26"/>
          <w:w w:val="105"/>
        </w:rPr>
        <w:t> </w:t>
      </w:r>
      <w:r>
        <w:rPr>
          <w:color w:val="231F20"/>
          <w:w w:val="105"/>
        </w:rPr>
        <w:t>tecnologías de la información. En el momento en que ocurre un evento</w:t>
      </w:r>
      <w:r>
        <w:rPr>
          <w:color w:val="231F20"/>
          <w:spacing w:val="29"/>
          <w:w w:val="105"/>
        </w:rPr>
        <w:t> </w:t>
      </w:r>
      <w:r>
        <w:rPr>
          <w:color w:val="231F20"/>
          <w:w w:val="105"/>
        </w:rPr>
        <w:t>importante</w:t>
      </w:r>
    </w:p>
    <w:p>
      <w:pPr>
        <w:pStyle w:val="BodyText"/>
        <w:spacing w:line="247" w:lineRule="auto" w:before="1"/>
        <w:ind w:left="103" w:right="115"/>
        <w:jc w:val="both"/>
      </w:pPr>
      <w:r>
        <w:rPr>
          <w:color w:val="231F20"/>
        </w:rPr>
        <w:t>—una catástrofe natural, un golpe de Estado, por ejemplo— es cuestión de minutos que la noticia se filtre por internet, por las redes sociales, por mensajes telefónicos, por televisión, etc. Muchas veces la noticia llega a todas partes con las mismas palabras y expresiones, con las mismas imá- genes y comentarios. En el globo entero se tiene el mismo formato del acontecimiento,</w:t>
      </w:r>
      <w:r>
        <w:rPr>
          <w:color w:val="231F20"/>
          <w:spacing w:val="-7"/>
        </w:rPr>
        <w:t> </w:t>
      </w:r>
      <w:r>
        <w:rPr>
          <w:color w:val="231F20"/>
        </w:rPr>
        <w:t>pero</w:t>
      </w:r>
      <w:r>
        <w:rPr>
          <w:color w:val="231F20"/>
          <w:spacing w:val="-7"/>
        </w:rPr>
        <w:t> </w:t>
      </w:r>
      <w:r>
        <w:rPr>
          <w:color w:val="231F20"/>
        </w:rPr>
        <w:t>en</w:t>
      </w:r>
      <w:r>
        <w:rPr>
          <w:color w:val="231F20"/>
          <w:spacing w:val="-7"/>
        </w:rPr>
        <w:t> </w:t>
      </w:r>
      <w:r>
        <w:rPr>
          <w:color w:val="231F20"/>
        </w:rPr>
        <w:t>definitiva</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recibe</w:t>
      </w:r>
      <w:r>
        <w:rPr>
          <w:color w:val="231F20"/>
          <w:spacing w:val="-7"/>
        </w:rPr>
        <w:t> </w:t>
      </w:r>
      <w:r>
        <w:rPr>
          <w:color w:val="231F20"/>
        </w:rPr>
        <w:t>ni</w:t>
      </w:r>
      <w:r>
        <w:rPr>
          <w:color w:val="231F20"/>
          <w:spacing w:val="-7"/>
        </w:rPr>
        <w:t> </w:t>
      </w:r>
      <w:r>
        <w:rPr>
          <w:color w:val="231F20"/>
        </w:rPr>
        <w:t>se</w:t>
      </w:r>
      <w:r>
        <w:rPr>
          <w:color w:val="231F20"/>
          <w:spacing w:val="-7"/>
        </w:rPr>
        <w:t> </w:t>
      </w:r>
      <w:r>
        <w:rPr>
          <w:color w:val="231F20"/>
        </w:rPr>
        <w:t>interpreta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misma forma y no significa lo mismo; es </w:t>
      </w:r>
      <w:r>
        <w:rPr>
          <w:color w:val="231F20"/>
          <w:spacing w:val="-4"/>
        </w:rPr>
        <w:t>decir, </w:t>
      </w:r>
      <w:r>
        <w:rPr>
          <w:color w:val="231F20"/>
        </w:rPr>
        <w:t>lo homogéneo termina apropián- dose de manera heterogénea, quizá porque lo local es también complejo, no se existe de manera pura y aislado de todo contacto con otras particu- laridades y con lo global; para Marramao, por ejemplo, puede hablarse aquí de una “producción global de la localidad”</w:t>
      </w:r>
      <w:r>
        <w:rPr>
          <w:color w:val="231F20"/>
          <w:position w:val="7"/>
          <w:sz w:val="12"/>
        </w:rPr>
        <w:t>17</w:t>
      </w:r>
      <w:r>
        <w:rPr>
          <w:color w:val="231F20"/>
        </w:rPr>
        <w:t>, lo cual no implica que lo local no exista, solamente subraya que no existe como forma pura y aisla- da.</w:t>
      </w:r>
      <w:r>
        <w:rPr>
          <w:color w:val="231F20"/>
          <w:spacing w:val="-15"/>
        </w:rPr>
        <w:t> </w:t>
      </w:r>
      <w:r>
        <w:rPr>
          <w:color w:val="231F20"/>
        </w:rPr>
        <w:t>Para</w:t>
      </w:r>
      <w:r>
        <w:rPr>
          <w:color w:val="231F20"/>
          <w:spacing w:val="-15"/>
        </w:rPr>
        <w:t> </w:t>
      </w:r>
      <w:r>
        <w:rPr>
          <w:color w:val="231F20"/>
        </w:rPr>
        <w:t>Robertson,</w:t>
      </w:r>
      <w:r>
        <w:rPr>
          <w:color w:val="231F20"/>
          <w:spacing w:val="-15"/>
        </w:rPr>
        <w:t> </w:t>
      </w:r>
      <w:r>
        <w:rPr>
          <w:rFonts w:ascii="Arial" w:hAnsi="Arial"/>
          <w:i/>
          <w:color w:val="231F20"/>
        </w:rPr>
        <w:t>no</w:t>
      </w:r>
      <w:r>
        <w:rPr>
          <w:rFonts w:ascii="Arial" w:hAnsi="Arial"/>
          <w:i/>
          <w:color w:val="231F20"/>
          <w:spacing w:val="-8"/>
        </w:rPr>
        <w:t> </w:t>
      </w:r>
      <w:r>
        <w:rPr>
          <w:rFonts w:ascii="Arial" w:hAnsi="Arial"/>
          <w:i/>
          <w:color w:val="231F20"/>
        </w:rPr>
        <w:t>hay</w:t>
      </w:r>
      <w:r>
        <w:rPr>
          <w:rFonts w:ascii="Arial" w:hAnsi="Arial"/>
          <w:i/>
          <w:color w:val="231F20"/>
          <w:spacing w:val="-8"/>
        </w:rPr>
        <w:t> </w:t>
      </w:r>
      <w:r>
        <w:rPr>
          <w:rFonts w:ascii="Arial" w:hAnsi="Arial"/>
          <w:i/>
          <w:color w:val="231F20"/>
        </w:rPr>
        <w:t>cosmopolitanismo</w:t>
      </w:r>
      <w:r>
        <w:rPr>
          <w:rFonts w:ascii="Arial" w:hAnsi="Arial"/>
          <w:i/>
          <w:color w:val="231F20"/>
          <w:spacing w:val="-8"/>
        </w:rPr>
        <w:t> </w:t>
      </w:r>
      <w:r>
        <w:rPr>
          <w:rFonts w:ascii="Arial" w:hAnsi="Arial"/>
          <w:i/>
          <w:color w:val="231F20"/>
        </w:rPr>
        <w:t>sin</w:t>
      </w:r>
      <w:r>
        <w:rPr>
          <w:rFonts w:ascii="Arial" w:hAnsi="Arial"/>
          <w:i/>
          <w:color w:val="231F20"/>
          <w:spacing w:val="-8"/>
        </w:rPr>
        <w:t> </w:t>
      </w:r>
      <w:r>
        <w:rPr>
          <w:rFonts w:ascii="Arial" w:hAnsi="Arial"/>
          <w:i/>
          <w:color w:val="231F20"/>
        </w:rPr>
        <w:t>localismo</w:t>
      </w:r>
      <w:r>
        <w:rPr>
          <w:color w:val="231F20"/>
        </w:rPr>
        <w:t>.</w:t>
      </w:r>
      <w:r>
        <w:rPr>
          <w:color w:val="231F20"/>
          <w:spacing w:val="-15"/>
        </w:rPr>
        <w:t> </w:t>
      </w:r>
      <w:r>
        <w:rPr>
          <w:color w:val="231F20"/>
        </w:rPr>
        <w:t>Ritzer</w:t>
      </w:r>
      <w:r>
        <w:rPr>
          <w:color w:val="231F20"/>
          <w:position w:val="7"/>
          <w:sz w:val="12"/>
        </w:rPr>
        <w:t>18</w:t>
      </w:r>
      <w:r>
        <w:rPr>
          <w:color w:val="231F20"/>
        </w:rPr>
        <w:t>,</w:t>
      </w:r>
      <w:r>
        <w:rPr>
          <w:color w:val="231F20"/>
          <w:spacing w:val="-15"/>
        </w:rPr>
        <w:t> </w:t>
      </w:r>
      <w:r>
        <w:rPr>
          <w:color w:val="231F20"/>
        </w:rPr>
        <w:t>por</w:t>
      </w:r>
      <w:r>
        <w:rPr>
          <w:color w:val="231F20"/>
          <w:spacing w:val="-15"/>
        </w:rPr>
        <w:t> </w:t>
      </w:r>
      <w:r>
        <w:rPr>
          <w:color w:val="231F20"/>
        </w:rPr>
        <w:t>su parte, aduce el riesgo de seguir concibiendo a la globalización como una cuestión meramente unificadora, pues supondría pensar que la gente, las comunidades y pueblos son entidades pasivas sobre quienes se imponen, sin mayor resistencia o modificación, patrones</w:t>
      </w:r>
      <w:r>
        <w:rPr>
          <w:color w:val="231F20"/>
          <w:spacing w:val="14"/>
        </w:rPr>
        <w:t> </w:t>
      </w:r>
      <w:r>
        <w:rPr>
          <w:color w:val="231F20"/>
        </w:rPr>
        <w:t>globales.</w:t>
      </w:r>
    </w:p>
    <w:p>
      <w:pPr>
        <w:pStyle w:val="BodyText"/>
        <w:spacing w:line="247" w:lineRule="auto"/>
        <w:ind w:left="103" w:right="114" w:firstLine="566"/>
        <w:jc w:val="both"/>
      </w:pPr>
      <w:r>
        <w:rPr>
          <w:color w:val="231F20"/>
          <w:w w:val="105"/>
        </w:rPr>
        <w:t>Estrechamente</w:t>
      </w:r>
      <w:r>
        <w:rPr>
          <w:color w:val="231F20"/>
          <w:spacing w:val="-29"/>
          <w:w w:val="105"/>
        </w:rPr>
        <w:t> </w:t>
      </w:r>
      <w:r>
        <w:rPr>
          <w:color w:val="231F20"/>
          <w:w w:val="105"/>
        </w:rPr>
        <w:t>ligada</w:t>
      </w:r>
      <w:r>
        <w:rPr>
          <w:color w:val="231F20"/>
          <w:spacing w:val="-29"/>
          <w:w w:val="105"/>
        </w:rPr>
        <w:t> </w:t>
      </w:r>
      <w:r>
        <w:rPr>
          <w:color w:val="231F20"/>
          <w:w w:val="105"/>
        </w:rPr>
        <w:t>con</w:t>
      </w:r>
      <w:r>
        <w:rPr>
          <w:color w:val="231F20"/>
          <w:spacing w:val="-29"/>
          <w:w w:val="105"/>
        </w:rPr>
        <w:t> </w:t>
      </w:r>
      <w:r>
        <w:rPr>
          <w:color w:val="231F20"/>
          <w:w w:val="105"/>
        </w:rPr>
        <w:t>la</w:t>
      </w:r>
      <w:r>
        <w:rPr>
          <w:color w:val="231F20"/>
          <w:spacing w:val="-29"/>
          <w:w w:val="105"/>
        </w:rPr>
        <w:t> </w:t>
      </w:r>
      <w:r>
        <w:rPr>
          <w:color w:val="231F20"/>
          <w:w w:val="105"/>
        </w:rPr>
        <w:t>anterior</w:t>
      </w:r>
      <w:r>
        <w:rPr>
          <w:color w:val="231F20"/>
          <w:spacing w:val="-29"/>
          <w:w w:val="105"/>
        </w:rPr>
        <w:t> </w:t>
      </w:r>
      <w:r>
        <w:rPr>
          <w:color w:val="231F20"/>
          <w:w w:val="105"/>
        </w:rPr>
        <w:t>paradoja</w:t>
      </w:r>
      <w:r>
        <w:rPr>
          <w:color w:val="231F20"/>
          <w:spacing w:val="-29"/>
          <w:w w:val="105"/>
        </w:rPr>
        <w:t> </w:t>
      </w:r>
      <w:r>
        <w:rPr>
          <w:color w:val="231F20"/>
          <w:w w:val="105"/>
        </w:rPr>
        <w:t>se</w:t>
      </w:r>
      <w:r>
        <w:rPr>
          <w:color w:val="231F20"/>
          <w:spacing w:val="-29"/>
          <w:w w:val="105"/>
        </w:rPr>
        <w:t> </w:t>
      </w:r>
      <w:r>
        <w:rPr>
          <w:color w:val="231F20"/>
          <w:w w:val="105"/>
        </w:rPr>
        <w:t>encuentra</w:t>
      </w:r>
      <w:r>
        <w:rPr>
          <w:color w:val="231F20"/>
          <w:spacing w:val="-29"/>
          <w:w w:val="105"/>
        </w:rPr>
        <w:t> </w:t>
      </w:r>
      <w:r>
        <w:rPr>
          <w:color w:val="231F20"/>
          <w:w w:val="105"/>
        </w:rPr>
        <w:t>la</w:t>
      </w:r>
      <w:r>
        <w:rPr>
          <w:color w:val="231F20"/>
          <w:spacing w:val="-29"/>
          <w:w w:val="105"/>
        </w:rPr>
        <w:t> </w:t>
      </w:r>
      <w:r>
        <w:rPr>
          <w:color w:val="231F20"/>
          <w:w w:val="105"/>
        </w:rPr>
        <w:t>com- pleja</w:t>
      </w:r>
      <w:r>
        <w:rPr>
          <w:color w:val="231F20"/>
          <w:spacing w:val="-47"/>
          <w:w w:val="105"/>
        </w:rPr>
        <w:t> </w:t>
      </w:r>
      <w:r>
        <w:rPr>
          <w:color w:val="231F20"/>
          <w:w w:val="105"/>
        </w:rPr>
        <w:t>relación</w:t>
      </w:r>
      <w:r>
        <w:rPr>
          <w:color w:val="231F20"/>
          <w:spacing w:val="-47"/>
          <w:w w:val="105"/>
        </w:rPr>
        <w:t> </w:t>
      </w:r>
      <w:r>
        <w:rPr>
          <w:color w:val="231F20"/>
          <w:w w:val="105"/>
        </w:rPr>
        <w:t>entre</w:t>
      </w:r>
      <w:r>
        <w:rPr>
          <w:color w:val="231F20"/>
          <w:spacing w:val="-47"/>
          <w:w w:val="105"/>
        </w:rPr>
        <w:t> </w:t>
      </w:r>
      <w:r>
        <w:rPr>
          <w:color w:val="231F20"/>
          <w:w w:val="105"/>
        </w:rPr>
        <w:t>lo</w:t>
      </w:r>
      <w:r>
        <w:rPr>
          <w:color w:val="231F20"/>
          <w:spacing w:val="-47"/>
          <w:w w:val="105"/>
        </w:rPr>
        <w:t> </w:t>
      </w:r>
      <w:r>
        <w:rPr>
          <w:color w:val="231F20"/>
          <w:w w:val="105"/>
        </w:rPr>
        <w:t>particular</w:t>
      </w:r>
      <w:r>
        <w:rPr>
          <w:color w:val="231F20"/>
          <w:spacing w:val="-47"/>
          <w:w w:val="105"/>
        </w:rPr>
        <w:t> </w:t>
      </w:r>
      <w:r>
        <w:rPr>
          <w:color w:val="231F20"/>
          <w:w w:val="105"/>
        </w:rPr>
        <w:t>y</w:t>
      </w:r>
      <w:r>
        <w:rPr>
          <w:color w:val="231F20"/>
          <w:spacing w:val="-47"/>
          <w:w w:val="105"/>
        </w:rPr>
        <w:t> </w:t>
      </w:r>
      <w:r>
        <w:rPr>
          <w:color w:val="231F20"/>
          <w:w w:val="105"/>
        </w:rPr>
        <w:t>lo</w:t>
      </w:r>
      <w:r>
        <w:rPr>
          <w:color w:val="231F20"/>
          <w:spacing w:val="-47"/>
          <w:w w:val="105"/>
        </w:rPr>
        <w:t> </w:t>
      </w:r>
      <w:r>
        <w:rPr>
          <w:color w:val="231F20"/>
          <w:w w:val="105"/>
        </w:rPr>
        <w:t>universal.</w:t>
      </w:r>
      <w:r>
        <w:rPr>
          <w:color w:val="231F20"/>
          <w:spacing w:val="-47"/>
          <w:w w:val="105"/>
        </w:rPr>
        <w:t> </w:t>
      </w:r>
      <w:r>
        <w:rPr>
          <w:color w:val="231F20"/>
          <w:w w:val="105"/>
        </w:rPr>
        <w:t>La</w:t>
      </w:r>
      <w:r>
        <w:rPr>
          <w:color w:val="231F20"/>
          <w:spacing w:val="-47"/>
          <w:w w:val="105"/>
        </w:rPr>
        <w:t> </w:t>
      </w:r>
      <w:r>
        <w:rPr>
          <w:color w:val="231F20"/>
          <w:w w:val="105"/>
        </w:rPr>
        <w:t>perspectiva</w:t>
      </w:r>
      <w:r>
        <w:rPr>
          <w:color w:val="231F20"/>
          <w:spacing w:val="-47"/>
          <w:w w:val="105"/>
        </w:rPr>
        <w:t> </w:t>
      </w:r>
      <w:r>
        <w:rPr>
          <w:color w:val="231F20"/>
          <w:w w:val="105"/>
        </w:rPr>
        <w:t>unificadora</w:t>
      </w:r>
      <w:r>
        <w:rPr>
          <w:color w:val="231F20"/>
          <w:spacing w:val="-47"/>
          <w:w w:val="105"/>
        </w:rPr>
        <w:t> </w:t>
      </w:r>
      <w:r>
        <w:rPr>
          <w:color w:val="231F20"/>
          <w:w w:val="105"/>
        </w:rPr>
        <w:t>de la</w:t>
      </w:r>
      <w:r>
        <w:rPr>
          <w:color w:val="231F20"/>
          <w:spacing w:val="-21"/>
          <w:w w:val="105"/>
        </w:rPr>
        <w:t> </w:t>
      </w:r>
      <w:r>
        <w:rPr>
          <w:color w:val="231F20"/>
          <w:w w:val="105"/>
        </w:rPr>
        <w:t>globalización</w:t>
      </w:r>
      <w:r>
        <w:rPr>
          <w:color w:val="231F20"/>
          <w:spacing w:val="-21"/>
          <w:w w:val="105"/>
        </w:rPr>
        <w:t> </w:t>
      </w:r>
      <w:r>
        <w:rPr>
          <w:color w:val="231F20"/>
          <w:w w:val="105"/>
        </w:rPr>
        <w:t>supone</w:t>
      </w:r>
      <w:r>
        <w:rPr>
          <w:color w:val="231F20"/>
          <w:spacing w:val="-21"/>
          <w:w w:val="105"/>
        </w:rPr>
        <w:t> </w:t>
      </w:r>
      <w:r>
        <w:rPr>
          <w:color w:val="231F20"/>
          <w:w w:val="105"/>
        </w:rPr>
        <w:t>que</w:t>
      </w:r>
      <w:r>
        <w:rPr>
          <w:color w:val="231F20"/>
          <w:spacing w:val="-21"/>
          <w:w w:val="105"/>
        </w:rPr>
        <w:t> </w:t>
      </w:r>
      <w:r>
        <w:rPr>
          <w:color w:val="231F20"/>
          <w:w w:val="105"/>
        </w:rPr>
        <w:t>estamos</w:t>
      </w:r>
      <w:r>
        <w:rPr>
          <w:color w:val="231F20"/>
          <w:spacing w:val="-21"/>
          <w:w w:val="105"/>
        </w:rPr>
        <w:t> </w:t>
      </w:r>
      <w:r>
        <w:rPr>
          <w:color w:val="231F20"/>
          <w:w w:val="105"/>
        </w:rPr>
        <w:t>entrando</w:t>
      </w:r>
      <w:r>
        <w:rPr>
          <w:color w:val="231F20"/>
          <w:spacing w:val="-21"/>
          <w:w w:val="105"/>
        </w:rPr>
        <w:t> </w:t>
      </w:r>
      <w:r>
        <w:rPr>
          <w:color w:val="231F20"/>
          <w:w w:val="105"/>
        </w:rPr>
        <w:t>a</w:t>
      </w:r>
      <w:r>
        <w:rPr>
          <w:color w:val="231F20"/>
          <w:spacing w:val="-21"/>
          <w:w w:val="105"/>
        </w:rPr>
        <w:t> </w:t>
      </w:r>
      <w:r>
        <w:rPr>
          <w:color w:val="231F20"/>
          <w:w w:val="105"/>
        </w:rPr>
        <w:t>un</w:t>
      </w:r>
      <w:r>
        <w:rPr>
          <w:color w:val="231F20"/>
          <w:spacing w:val="-21"/>
          <w:w w:val="105"/>
        </w:rPr>
        <w:t> </w:t>
      </w:r>
      <w:r>
        <w:rPr>
          <w:color w:val="231F20"/>
          <w:w w:val="105"/>
        </w:rPr>
        <w:t>mundo</w:t>
      </w:r>
      <w:r>
        <w:rPr>
          <w:color w:val="231F20"/>
          <w:spacing w:val="-21"/>
          <w:w w:val="105"/>
        </w:rPr>
        <w:t> </w:t>
      </w:r>
      <w:r>
        <w:rPr>
          <w:color w:val="231F20"/>
          <w:w w:val="105"/>
        </w:rPr>
        <w:t>donde</w:t>
      </w:r>
      <w:r>
        <w:rPr>
          <w:color w:val="231F20"/>
          <w:spacing w:val="-21"/>
          <w:w w:val="105"/>
        </w:rPr>
        <w:t> </w:t>
      </w:r>
      <w:r>
        <w:rPr>
          <w:color w:val="231F20"/>
          <w:w w:val="105"/>
        </w:rPr>
        <w:t>ciertos valores,</w:t>
      </w:r>
      <w:r>
        <w:rPr>
          <w:color w:val="231F20"/>
          <w:spacing w:val="-39"/>
          <w:w w:val="105"/>
        </w:rPr>
        <w:t> </w:t>
      </w:r>
      <w:r>
        <w:rPr>
          <w:color w:val="231F20"/>
          <w:w w:val="105"/>
        </w:rPr>
        <w:t>modelos,</w:t>
      </w:r>
      <w:r>
        <w:rPr>
          <w:color w:val="231F20"/>
          <w:spacing w:val="-39"/>
          <w:w w:val="105"/>
        </w:rPr>
        <w:t> </w:t>
      </w:r>
      <w:r>
        <w:rPr>
          <w:color w:val="231F20"/>
          <w:w w:val="105"/>
        </w:rPr>
        <w:t>principios</w:t>
      </w:r>
      <w:r>
        <w:rPr>
          <w:color w:val="231F20"/>
          <w:spacing w:val="-39"/>
          <w:w w:val="105"/>
        </w:rPr>
        <w:t> </w:t>
      </w:r>
      <w:r>
        <w:rPr>
          <w:color w:val="231F20"/>
          <w:w w:val="105"/>
        </w:rPr>
        <w:t>e</w:t>
      </w:r>
      <w:r>
        <w:rPr>
          <w:color w:val="231F20"/>
          <w:spacing w:val="-39"/>
          <w:w w:val="105"/>
        </w:rPr>
        <w:t> </w:t>
      </w:r>
      <w:r>
        <w:rPr>
          <w:color w:val="231F20"/>
          <w:w w:val="105"/>
        </w:rPr>
        <w:t>ideas</w:t>
      </w:r>
      <w:r>
        <w:rPr>
          <w:color w:val="231F20"/>
          <w:spacing w:val="-39"/>
          <w:w w:val="105"/>
        </w:rPr>
        <w:t> </w:t>
      </w:r>
      <w:r>
        <w:rPr>
          <w:color w:val="231F20"/>
          <w:w w:val="105"/>
        </w:rPr>
        <w:t>tienen</w:t>
      </w:r>
      <w:r>
        <w:rPr>
          <w:color w:val="231F20"/>
          <w:spacing w:val="-39"/>
          <w:w w:val="105"/>
        </w:rPr>
        <w:t> </w:t>
      </w:r>
      <w:r>
        <w:rPr>
          <w:color w:val="231F20"/>
          <w:w w:val="105"/>
        </w:rPr>
        <w:t>un</w:t>
      </w:r>
      <w:r>
        <w:rPr>
          <w:color w:val="231F20"/>
          <w:spacing w:val="-39"/>
          <w:w w:val="105"/>
        </w:rPr>
        <w:t> </w:t>
      </w:r>
      <w:r>
        <w:rPr>
          <w:color w:val="231F20"/>
          <w:w w:val="105"/>
        </w:rPr>
        <w:t>carácter</w:t>
      </w:r>
      <w:r>
        <w:rPr>
          <w:color w:val="231F20"/>
          <w:spacing w:val="-39"/>
          <w:w w:val="105"/>
        </w:rPr>
        <w:t> </w:t>
      </w:r>
      <w:r>
        <w:rPr>
          <w:color w:val="231F20"/>
          <w:w w:val="105"/>
        </w:rPr>
        <w:t>universal</w:t>
      </w:r>
      <w:r>
        <w:rPr>
          <w:color w:val="231F20"/>
          <w:spacing w:val="-39"/>
          <w:w w:val="105"/>
        </w:rPr>
        <w:t> </w:t>
      </w:r>
      <w:r>
        <w:rPr>
          <w:color w:val="231F20"/>
          <w:w w:val="105"/>
        </w:rPr>
        <w:t>que</w:t>
      </w:r>
      <w:r>
        <w:rPr>
          <w:color w:val="231F20"/>
          <w:spacing w:val="-39"/>
          <w:w w:val="105"/>
        </w:rPr>
        <w:t> </w:t>
      </w:r>
      <w:r>
        <w:rPr>
          <w:color w:val="231F20"/>
          <w:w w:val="105"/>
        </w:rPr>
        <w:t>termi- nará</w:t>
      </w:r>
      <w:r>
        <w:rPr>
          <w:color w:val="231F20"/>
          <w:spacing w:val="-23"/>
          <w:w w:val="105"/>
        </w:rPr>
        <w:t> </w:t>
      </w:r>
      <w:r>
        <w:rPr>
          <w:color w:val="231F20"/>
          <w:w w:val="105"/>
        </w:rPr>
        <w:t>eclipsando</w:t>
      </w:r>
      <w:r>
        <w:rPr>
          <w:color w:val="231F20"/>
          <w:spacing w:val="-23"/>
          <w:w w:val="105"/>
        </w:rPr>
        <w:t> </w:t>
      </w:r>
      <w:r>
        <w:rPr>
          <w:color w:val="231F20"/>
          <w:w w:val="105"/>
        </w:rPr>
        <w:t>y</w:t>
      </w:r>
      <w:r>
        <w:rPr>
          <w:color w:val="231F20"/>
          <w:spacing w:val="-23"/>
          <w:w w:val="105"/>
        </w:rPr>
        <w:t> </w:t>
      </w:r>
      <w:r>
        <w:rPr>
          <w:color w:val="231F20"/>
          <w:w w:val="105"/>
        </w:rPr>
        <w:t>diluyendo</w:t>
      </w:r>
      <w:r>
        <w:rPr>
          <w:color w:val="231F20"/>
          <w:spacing w:val="-23"/>
          <w:w w:val="105"/>
        </w:rPr>
        <w:t> </w:t>
      </w:r>
      <w:r>
        <w:rPr>
          <w:color w:val="231F20"/>
          <w:w w:val="105"/>
        </w:rPr>
        <w:t>cualquier</w:t>
      </w:r>
      <w:r>
        <w:rPr>
          <w:color w:val="231F20"/>
          <w:spacing w:val="-23"/>
          <w:w w:val="105"/>
        </w:rPr>
        <w:t> </w:t>
      </w:r>
      <w:r>
        <w:rPr>
          <w:color w:val="231F20"/>
          <w:w w:val="105"/>
        </w:rPr>
        <w:t>perspectiva</w:t>
      </w:r>
      <w:r>
        <w:rPr>
          <w:color w:val="231F20"/>
          <w:spacing w:val="-23"/>
          <w:w w:val="105"/>
        </w:rPr>
        <w:t> </w:t>
      </w:r>
      <w:r>
        <w:rPr>
          <w:color w:val="231F20"/>
          <w:w w:val="105"/>
        </w:rPr>
        <w:t>particular.</w:t>
      </w:r>
      <w:r>
        <w:rPr>
          <w:color w:val="231F20"/>
          <w:spacing w:val="-23"/>
          <w:w w:val="105"/>
        </w:rPr>
        <w:t> </w:t>
      </w:r>
      <w:r>
        <w:rPr>
          <w:color w:val="231F20"/>
          <w:w w:val="105"/>
        </w:rPr>
        <w:t>El</w:t>
      </w:r>
      <w:r>
        <w:rPr>
          <w:color w:val="231F20"/>
          <w:spacing w:val="-23"/>
          <w:w w:val="105"/>
        </w:rPr>
        <w:t> </w:t>
      </w:r>
      <w:r>
        <w:rPr>
          <w:color w:val="231F20"/>
          <w:w w:val="105"/>
        </w:rPr>
        <w:t>elemento problemático de esta situación estriba en que esta plataforma</w:t>
      </w:r>
      <w:r>
        <w:rPr>
          <w:color w:val="231F20"/>
          <w:spacing w:val="-34"/>
          <w:w w:val="105"/>
        </w:rPr>
        <w:t> </w:t>
      </w:r>
      <w:r>
        <w:rPr>
          <w:color w:val="231F20"/>
          <w:w w:val="105"/>
        </w:rPr>
        <w:t>universal es</w:t>
      </w:r>
      <w:r>
        <w:rPr>
          <w:color w:val="231F20"/>
          <w:spacing w:val="-20"/>
          <w:w w:val="105"/>
        </w:rPr>
        <w:t> </w:t>
      </w:r>
      <w:r>
        <w:rPr>
          <w:color w:val="231F20"/>
          <w:w w:val="105"/>
        </w:rPr>
        <w:t>también</w:t>
      </w:r>
      <w:r>
        <w:rPr>
          <w:color w:val="231F20"/>
          <w:spacing w:val="-20"/>
          <w:w w:val="105"/>
        </w:rPr>
        <w:t> </w:t>
      </w:r>
      <w:r>
        <w:rPr>
          <w:color w:val="231F20"/>
          <w:w w:val="105"/>
        </w:rPr>
        <w:t>un</w:t>
      </w:r>
      <w:r>
        <w:rPr>
          <w:color w:val="231F20"/>
          <w:spacing w:val="-20"/>
          <w:w w:val="105"/>
        </w:rPr>
        <w:t> </w:t>
      </w:r>
      <w:r>
        <w:rPr>
          <w:color w:val="231F20"/>
          <w:w w:val="105"/>
        </w:rPr>
        <w:t>modelo</w:t>
      </w:r>
      <w:r>
        <w:rPr>
          <w:color w:val="231F20"/>
          <w:spacing w:val="-20"/>
          <w:w w:val="105"/>
        </w:rPr>
        <w:t> </w:t>
      </w:r>
      <w:r>
        <w:rPr>
          <w:color w:val="231F20"/>
          <w:w w:val="105"/>
        </w:rPr>
        <w:t>particular</w:t>
      </w:r>
      <w:r>
        <w:rPr>
          <w:color w:val="231F20"/>
          <w:spacing w:val="-20"/>
          <w:w w:val="105"/>
        </w:rPr>
        <w:t> </w:t>
      </w:r>
      <w:r>
        <w:rPr>
          <w:color w:val="231F20"/>
          <w:w w:val="105"/>
        </w:rPr>
        <w:t>—europeo–norteamericano—</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ha hecho</w:t>
      </w:r>
      <w:r>
        <w:rPr>
          <w:color w:val="231F20"/>
          <w:spacing w:val="-14"/>
          <w:w w:val="105"/>
        </w:rPr>
        <w:t> </w:t>
      </w:r>
      <w:r>
        <w:rPr>
          <w:color w:val="231F20"/>
          <w:w w:val="105"/>
        </w:rPr>
        <w:t>hegemónico</w:t>
      </w:r>
      <w:r>
        <w:rPr>
          <w:color w:val="231F20"/>
          <w:spacing w:val="-14"/>
          <w:w w:val="105"/>
        </w:rPr>
        <w:t> </w:t>
      </w:r>
      <w:r>
        <w:rPr>
          <w:color w:val="231F20"/>
          <w:w w:val="105"/>
        </w:rPr>
        <w:t>por</w:t>
      </w:r>
      <w:r>
        <w:rPr>
          <w:color w:val="231F20"/>
          <w:spacing w:val="-14"/>
          <w:w w:val="105"/>
        </w:rPr>
        <w:t> </w:t>
      </w:r>
      <w:r>
        <w:rPr>
          <w:color w:val="231F20"/>
          <w:w w:val="105"/>
        </w:rPr>
        <w:t>cuestiones</w:t>
      </w:r>
      <w:r>
        <w:rPr>
          <w:color w:val="231F20"/>
          <w:spacing w:val="-14"/>
          <w:w w:val="105"/>
        </w:rPr>
        <w:t> </w:t>
      </w:r>
      <w:r>
        <w:rPr>
          <w:color w:val="231F20"/>
          <w:w w:val="105"/>
        </w:rPr>
        <w:t>políticas,</w:t>
      </w:r>
      <w:r>
        <w:rPr>
          <w:color w:val="231F20"/>
          <w:spacing w:val="-14"/>
          <w:w w:val="105"/>
        </w:rPr>
        <w:t> </w:t>
      </w:r>
      <w:r>
        <w:rPr>
          <w:color w:val="231F20"/>
          <w:w w:val="105"/>
        </w:rPr>
        <w:t>económicas</w:t>
      </w:r>
      <w:r>
        <w:rPr>
          <w:color w:val="231F20"/>
          <w:spacing w:val="-14"/>
          <w:w w:val="105"/>
        </w:rPr>
        <w:t> </w:t>
      </w:r>
      <w:r>
        <w:rPr>
          <w:color w:val="231F20"/>
          <w:w w:val="105"/>
        </w:rPr>
        <w:t>y</w:t>
      </w:r>
      <w:r>
        <w:rPr>
          <w:color w:val="231F20"/>
          <w:spacing w:val="-14"/>
          <w:w w:val="105"/>
        </w:rPr>
        <w:t> </w:t>
      </w:r>
      <w:r>
        <w:rPr>
          <w:color w:val="231F20"/>
          <w:w w:val="105"/>
        </w:rPr>
        <w:t>culturales.</w:t>
      </w:r>
      <w:r>
        <w:rPr>
          <w:color w:val="231F20"/>
          <w:spacing w:val="-14"/>
          <w:w w:val="105"/>
        </w:rPr>
        <w:t> </w:t>
      </w:r>
      <w:r>
        <w:rPr>
          <w:color w:val="231F20"/>
          <w:w w:val="105"/>
        </w:rPr>
        <w:t>Así vistas</w:t>
      </w:r>
      <w:r>
        <w:rPr>
          <w:color w:val="231F20"/>
          <w:spacing w:val="-33"/>
          <w:w w:val="105"/>
        </w:rPr>
        <w:t> </w:t>
      </w:r>
      <w:r>
        <w:rPr>
          <w:color w:val="231F20"/>
          <w:w w:val="105"/>
        </w:rPr>
        <w:t>las</w:t>
      </w:r>
      <w:r>
        <w:rPr>
          <w:color w:val="231F20"/>
          <w:spacing w:val="-33"/>
          <w:w w:val="105"/>
        </w:rPr>
        <w:t> </w:t>
      </w:r>
      <w:r>
        <w:rPr>
          <w:color w:val="231F20"/>
          <w:w w:val="105"/>
        </w:rPr>
        <w:t>cosas,</w:t>
      </w:r>
      <w:r>
        <w:rPr>
          <w:color w:val="231F20"/>
          <w:spacing w:val="-33"/>
          <w:w w:val="105"/>
        </w:rPr>
        <w:t> </w:t>
      </w:r>
      <w:r>
        <w:rPr>
          <w:color w:val="231F20"/>
          <w:w w:val="105"/>
        </w:rPr>
        <w:t>lo</w:t>
      </w:r>
      <w:r>
        <w:rPr>
          <w:color w:val="231F20"/>
          <w:spacing w:val="-33"/>
          <w:w w:val="105"/>
        </w:rPr>
        <w:t> </w:t>
      </w:r>
      <w:r>
        <w:rPr>
          <w:color w:val="231F20"/>
          <w:w w:val="105"/>
        </w:rPr>
        <w:t>universal</w:t>
      </w:r>
      <w:r>
        <w:rPr>
          <w:color w:val="231F20"/>
          <w:spacing w:val="-33"/>
          <w:w w:val="105"/>
        </w:rPr>
        <w:t> </w:t>
      </w:r>
      <w:r>
        <w:rPr>
          <w:color w:val="231F20"/>
          <w:w w:val="105"/>
        </w:rPr>
        <w:t>se</w:t>
      </w:r>
      <w:r>
        <w:rPr>
          <w:color w:val="231F20"/>
          <w:spacing w:val="-33"/>
          <w:w w:val="105"/>
        </w:rPr>
        <w:t> </w:t>
      </w:r>
      <w:r>
        <w:rPr>
          <w:color w:val="231F20"/>
          <w:w w:val="105"/>
        </w:rPr>
        <w:t>desprende</w:t>
      </w:r>
      <w:r>
        <w:rPr>
          <w:color w:val="231F20"/>
          <w:spacing w:val="-33"/>
          <w:w w:val="105"/>
        </w:rPr>
        <w:t> </w:t>
      </w:r>
      <w:r>
        <w:rPr>
          <w:color w:val="231F20"/>
          <w:w w:val="105"/>
        </w:rPr>
        <w:t>de</w:t>
      </w:r>
      <w:r>
        <w:rPr>
          <w:color w:val="231F20"/>
          <w:spacing w:val="-33"/>
          <w:w w:val="105"/>
        </w:rPr>
        <w:t> </w:t>
      </w:r>
      <w:r>
        <w:rPr>
          <w:color w:val="231F20"/>
          <w:w w:val="105"/>
        </w:rPr>
        <w:t>una</w:t>
      </w:r>
      <w:r>
        <w:rPr>
          <w:color w:val="231F20"/>
          <w:spacing w:val="-33"/>
          <w:w w:val="105"/>
        </w:rPr>
        <w:t> </w:t>
      </w:r>
      <w:r>
        <w:rPr>
          <w:color w:val="231F20"/>
          <w:w w:val="105"/>
        </w:rPr>
        <w:t>pluralidad</w:t>
      </w:r>
      <w:r>
        <w:rPr>
          <w:color w:val="231F20"/>
          <w:spacing w:val="-33"/>
          <w:w w:val="105"/>
        </w:rPr>
        <w:t> </w:t>
      </w:r>
      <w:r>
        <w:rPr>
          <w:color w:val="231F20"/>
          <w:w w:val="105"/>
        </w:rPr>
        <w:t>de</w:t>
      </w:r>
      <w:r>
        <w:rPr>
          <w:color w:val="231F20"/>
          <w:spacing w:val="-33"/>
          <w:w w:val="105"/>
        </w:rPr>
        <w:t> </w:t>
      </w:r>
      <w:r>
        <w:rPr>
          <w:color w:val="231F20"/>
          <w:w w:val="105"/>
        </w:rPr>
        <w:t>particulari- dades</w:t>
      </w:r>
      <w:r>
        <w:rPr>
          <w:color w:val="231F20"/>
          <w:spacing w:val="-34"/>
          <w:w w:val="105"/>
        </w:rPr>
        <w:t> </w:t>
      </w:r>
      <w:r>
        <w:rPr>
          <w:color w:val="231F20"/>
          <w:w w:val="105"/>
        </w:rPr>
        <w:t>—no</w:t>
      </w:r>
      <w:r>
        <w:rPr>
          <w:color w:val="231F20"/>
          <w:spacing w:val="-34"/>
          <w:w w:val="105"/>
        </w:rPr>
        <w:t> </w:t>
      </w:r>
      <w:r>
        <w:rPr>
          <w:color w:val="231F20"/>
          <w:w w:val="105"/>
        </w:rPr>
        <w:t>homogéneas,</w:t>
      </w:r>
      <w:r>
        <w:rPr>
          <w:color w:val="231F20"/>
          <w:spacing w:val="-34"/>
          <w:w w:val="105"/>
        </w:rPr>
        <w:t> </w:t>
      </w:r>
      <w:r>
        <w:rPr>
          <w:color w:val="231F20"/>
          <w:w w:val="105"/>
        </w:rPr>
        <w:t>sino</w:t>
      </w:r>
      <w:r>
        <w:rPr>
          <w:color w:val="231F20"/>
          <w:spacing w:val="-34"/>
          <w:w w:val="105"/>
        </w:rPr>
        <w:t> </w:t>
      </w:r>
      <w:r>
        <w:rPr>
          <w:color w:val="231F20"/>
          <w:w w:val="105"/>
        </w:rPr>
        <w:t>ellas</w:t>
      </w:r>
      <w:r>
        <w:rPr>
          <w:color w:val="231F20"/>
          <w:spacing w:val="-34"/>
          <w:w w:val="105"/>
        </w:rPr>
        <w:t> </w:t>
      </w:r>
      <w:r>
        <w:rPr>
          <w:color w:val="231F20"/>
          <w:w w:val="105"/>
        </w:rPr>
        <w:t>mismas</w:t>
      </w:r>
      <w:r>
        <w:rPr>
          <w:color w:val="231F20"/>
          <w:spacing w:val="-34"/>
          <w:w w:val="105"/>
        </w:rPr>
        <w:t> </w:t>
      </w:r>
      <w:r>
        <w:rPr>
          <w:color w:val="231F20"/>
          <w:w w:val="105"/>
        </w:rPr>
        <w:t>plurales—</w:t>
      </w:r>
      <w:r>
        <w:rPr>
          <w:color w:val="231F20"/>
          <w:spacing w:val="-34"/>
          <w:w w:val="105"/>
        </w:rPr>
        <w:t> </w:t>
      </w:r>
      <w:r>
        <w:rPr>
          <w:color w:val="231F20"/>
          <w:w w:val="105"/>
        </w:rPr>
        <w:t>que</w:t>
      </w:r>
      <w:r>
        <w:rPr>
          <w:color w:val="231F20"/>
          <w:spacing w:val="-34"/>
          <w:w w:val="105"/>
        </w:rPr>
        <w:t> </w:t>
      </w:r>
      <w:r>
        <w:rPr>
          <w:color w:val="231F20"/>
          <w:w w:val="105"/>
        </w:rPr>
        <w:t>se</w:t>
      </w:r>
      <w:r>
        <w:rPr>
          <w:color w:val="231F20"/>
          <w:spacing w:val="-34"/>
          <w:w w:val="105"/>
        </w:rPr>
        <w:t> </w:t>
      </w:r>
      <w:r>
        <w:rPr>
          <w:color w:val="231F20"/>
          <w:w w:val="105"/>
        </w:rPr>
        <w:t>han</w:t>
      </w:r>
      <w:r>
        <w:rPr>
          <w:color w:val="231F20"/>
          <w:spacing w:val="-34"/>
          <w:w w:val="105"/>
        </w:rPr>
        <w:t> </w:t>
      </w:r>
      <w:r>
        <w:rPr>
          <w:color w:val="231F20"/>
          <w:w w:val="105"/>
        </w:rPr>
        <w:t>extendi- do</w:t>
      </w:r>
      <w:r>
        <w:rPr>
          <w:color w:val="231F20"/>
          <w:spacing w:val="-26"/>
          <w:w w:val="105"/>
        </w:rPr>
        <w:t> </w:t>
      </w:r>
      <w:r>
        <w:rPr>
          <w:color w:val="231F20"/>
          <w:w w:val="105"/>
        </w:rPr>
        <w:t>y</w:t>
      </w:r>
      <w:r>
        <w:rPr>
          <w:color w:val="231F20"/>
          <w:spacing w:val="-26"/>
          <w:w w:val="105"/>
        </w:rPr>
        <w:t> </w:t>
      </w:r>
      <w:r>
        <w:rPr>
          <w:color w:val="231F20"/>
          <w:w w:val="105"/>
        </w:rPr>
        <w:t>se</w:t>
      </w:r>
      <w:r>
        <w:rPr>
          <w:color w:val="231F20"/>
          <w:spacing w:val="-26"/>
          <w:w w:val="105"/>
        </w:rPr>
        <w:t> </w:t>
      </w:r>
      <w:r>
        <w:rPr>
          <w:color w:val="231F20"/>
          <w:w w:val="105"/>
        </w:rPr>
        <w:t>han</w:t>
      </w:r>
      <w:r>
        <w:rPr>
          <w:color w:val="231F20"/>
          <w:spacing w:val="-26"/>
          <w:w w:val="105"/>
        </w:rPr>
        <w:t> </w:t>
      </w:r>
      <w:r>
        <w:rPr>
          <w:color w:val="231F20"/>
          <w:w w:val="105"/>
        </w:rPr>
        <w:t>vuelto</w:t>
      </w:r>
      <w:r>
        <w:rPr>
          <w:color w:val="231F20"/>
          <w:spacing w:val="-26"/>
          <w:w w:val="105"/>
        </w:rPr>
        <w:t> </w:t>
      </w:r>
      <w:r>
        <w:rPr>
          <w:color w:val="231F20"/>
          <w:w w:val="105"/>
        </w:rPr>
        <w:t>hegemónicas.</w:t>
      </w:r>
      <w:r>
        <w:rPr>
          <w:color w:val="231F20"/>
          <w:spacing w:val="-26"/>
          <w:w w:val="105"/>
        </w:rPr>
        <w:t> </w:t>
      </w:r>
      <w:r>
        <w:rPr>
          <w:color w:val="231F20"/>
          <w:w w:val="105"/>
        </w:rPr>
        <w:t>Por</w:t>
      </w:r>
      <w:r>
        <w:rPr>
          <w:color w:val="231F20"/>
          <w:spacing w:val="-26"/>
          <w:w w:val="105"/>
        </w:rPr>
        <w:t> </w:t>
      </w:r>
      <w:r>
        <w:rPr>
          <w:color w:val="231F20"/>
          <w:w w:val="105"/>
        </w:rPr>
        <w:t>otra</w:t>
      </w:r>
      <w:r>
        <w:rPr>
          <w:color w:val="231F20"/>
          <w:spacing w:val="-26"/>
          <w:w w:val="105"/>
        </w:rPr>
        <w:t> </w:t>
      </w:r>
      <w:r>
        <w:rPr>
          <w:color w:val="231F20"/>
          <w:w w:val="105"/>
        </w:rPr>
        <w:t>parte,</w:t>
      </w:r>
      <w:r>
        <w:rPr>
          <w:color w:val="231F20"/>
          <w:spacing w:val="-26"/>
          <w:w w:val="105"/>
        </w:rPr>
        <w:t> </w:t>
      </w:r>
      <w:r>
        <w:rPr>
          <w:color w:val="231F20"/>
          <w:w w:val="105"/>
        </w:rPr>
        <w:t>lo</w:t>
      </w:r>
      <w:r>
        <w:rPr>
          <w:color w:val="231F20"/>
          <w:spacing w:val="-26"/>
          <w:w w:val="105"/>
        </w:rPr>
        <w:t> </w:t>
      </w:r>
      <w:r>
        <w:rPr>
          <w:color w:val="231F20"/>
          <w:w w:val="105"/>
        </w:rPr>
        <w:t>universal</w:t>
      </w:r>
      <w:r>
        <w:rPr>
          <w:color w:val="231F20"/>
          <w:spacing w:val="-26"/>
          <w:w w:val="105"/>
        </w:rPr>
        <w:t> </w:t>
      </w:r>
      <w:r>
        <w:rPr>
          <w:color w:val="231F20"/>
          <w:w w:val="105"/>
        </w:rPr>
        <w:t>no</w:t>
      </w:r>
      <w:r>
        <w:rPr>
          <w:color w:val="231F20"/>
          <w:spacing w:val="-26"/>
          <w:w w:val="105"/>
        </w:rPr>
        <w:t> </w:t>
      </w:r>
      <w:r>
        <w:rPr>
          <w:color w:val="231F20"/>
          <w:w w:val="105"/>
        </w:rPr>
        <w:t>aniquila</w:t>
      </w:r>
      <w:r>
        <w:rPr>
          <w:color w:val="231F20"/>
          <w:spacing w:val="-26"/>
          <w:w w:val="105"/>
        </w:rPr>
        <w:t> </w:t>
      </w:r>
      <w:r>
        <w:rPr>
          <w:color w:val="231F20"/>
          <w:w w:val="105"/>
        </w:rPr>
        <w:t>lo particular,</w:t>
      </w:r>
      <w:r>
        <w:rPr>
          <w:color w:val="231F20"/>
          <w:spacing w:val="-31"/>
          <w:w w:val="105"/>
        </w:rPr>
        <w:t> </w:t>
      </w:r>
      <w:r>
        <w:rPr>
          <w:color w:val="231F20"/>
          <w:w w:val="105"/>
        </w:rPr>
        <w:t>antes</w:t>
      </w:r>
      <w:r>
        <w:rPr>
          <w:color w:val="231F20"/>
          <w:spacing w:val="-31"/>
          <w:w w:val="105"/>
        </w:rPr>
        <w:t> </w:t>
      </w:r>
      <w:r>
        <w:rPr>
          <w:color w:val="231F20"/>
          <w:w w:val="105"/>
        </w:rPr>
        <w:t>bien,</w:t>
      </w:r>
      <w:r>
        <w:rPr>
          <w:color w:val="231F20"/>
          <w:spacing w:val="-31"/>
          <w:w w:val="105"/>
        </w:rPr>
        <w:t> </w:t>
      </w:r>
      <w:r>
        <w:rPr>
          <w:color w:val="231F20"/>
          <w:w w:val="105"/>
        </w:rPr>
        <w:t>lo</w:t>
      </w:r>
      <w:r>
        <w:rPr>
          <w:color w:val="231F20"/>
          <w:spacing w:val="-31"/>
          <w:w w:val="105"/>
        </w:rPr>
        <w:t> </w:t>
      </w:r>
      <w:r>
        <w:rPr>
          <w:color w:val="231F20"/>
          <w:w w:val="105"/>
        </w:rPr>
        <w:t>integra</w:t>
      </w:r>
      <w:r>
        <w:rPr>
          <w:color w:val="231F20"/>
          <w:spacing w:val="-31"/>
          <w:w w:val="105"/>
        </w:rPr>
        <w:t> </w:t>
      </w:r>
      <w:r>
        <w:rPr>
          <w:color w:val="231F20"/>
          <w:w w:val="105"/>
        </w:rPr>
        <w:t>y</w:t>
      </w:r>
      <w:r>
        <w:rPr>
          <w:color w:val="231F20"/>
          <w:spacing w:val="-31"/>
          <w:w w:val="105"/>
        </w:rPr>
        <w:t> </w:t>
      </w:r>
      <w:r>
        <w:rPr>
          <w:color w:val="231F20"/>
          <w:w w:val="105"/>
        </w:rPr>
        <w:t>también</w:t>
      </w:r>
      <w:r>
        <w:rPr>
          <w:color w:val="231F20"/>
          <w:spacing w:val="-31"/>
          <w:w w:val="105"/>
        </w:rPr>
        <w:t> </w:t>
      </w:r>
      <w:r>
        <w:rPr>
          <w:color w:val="231F20"/>
          <w:w w:val="105"/>
        </w:rPr>
        <w:t>lo</w:t>
      </w:r>
      <w:r>
        <w:rPr>
          <w:color w:val="231F20"/>
          <w:spacing w:val="-31"/>
          <w:w w:val="105"/>
        </w:rPr>
        <w:t> </w:t>
      </w:r>
      <w:r>
        <w:rPr>
          <w:color w:val="231F20"/>
          <w:w w:val="105"/>
        </w:rPr>
        <w:t>produce,</w:t>
      </w:r>
      <w:r>
        <w:rPr>
          <w:color w:val="231F20"/>
          <w:spacing w:val="-31"/>
          <w:w w:val="105"/>
        </w:rPr>
        <w:t> </w:t>
      </w:r>
      <w:r>
        <w:rPr>
          <w:color w:val="231F20"/>
          <w:w w:val="105"/>
        </w:rPr>
        <w:t>lo</w:t>
      </w:r>
      <w:r>
        <w:rPr>
          <w:color w:val="231F20"/>
          <w:spacing w:val="-31"/>
          <w:w w:val="105"/>
        </w:rPr>
        <w:t> </w:t>
      </w:r>
      <w:r>
        <w:rPr>
          <w:color w:val="231F20"/>
          <w:w w:val="105"/>
        </w:rPr>
        <w:t>produce</w:t>
      </w:r>
      <w:r>
        <w:rPr>
          <w:color w:val="231F20"/>
          <w:spacing w:val="-31"/>
          <w:w w:val="105"/>
        </w:rPr>
        <w:t> </w:t>
      </w:r>
      <w:r>
        <w:rPr>
          <w:color w:val="231F20"/>
          <w:w w:val="105"/>
        </w:rPr>
        <w:t>tanto</w:t>
      </w:r>
      <w:r>
        <w:rPr>
          <w:color w:val="231F20"/>
          <w:spacing w:val="-31"/>
          <w:w w:val="105"/>
        </w:rPr>
        <w:t> </w:t>
      </w:r>
      <w:r>
        <w:rPr>
          <w:color w:val="231F20"/>
          <w:w w:val="105"/>
        </w:rPr>
        <w:t>en forma</w:t>
      </w:r>
      <w:r>
        <w:rPr>
          <w:color w:val="231F20"/>
          <w:spacing w:val="-33"/>
          <w:w w:val="105"/>
        </w:rPr>
        <w:t> </w:t>
      </w:r>
      <w:r>
        <w:rPr>
          <w:color w:val="231F20"/>
          <w:w w:val="105"/>
        </w:rPr>
        <w:t>de</w:t>
      </w:r>
      <w:r>
        <w:rPr>
          <w:color w:val="231F20"/>
          <w:spacing w:val="-33"/>
          <w:w w:val="105"/>
        </w:rPr>
        <w:t> </w:t>
      </w:r>
      <w:r>
        <w:rPr>
          <w:color w:val="231F20"/>
          <w:w w:val="105"/>
        </w:rPr>
        <w:t>resistencia</w:t>
      </w:r>
      <w:r>
        <w:rPr>
          <w:color w:val="231F20"/>
          <w:spacing w:val="-33"/>
          <w:w w:val="105"/>
        </w:rPr>
        <w:t> </w:t>
      </w:r>
      <w:r>
        <w:rPr>
          <w:color w:val="231F20"/>
          <w:w w:val="105"/>
        </w:rPr>
        <w:t>como</w:t>
      </w:r>
      <w:r>
        <w:rPr>
          <w:color w:val="231F20"/>
          <w:spacing w:val="-33"/>
          <w:w w:val="105"/>
        </w:rPr>
        <w:t> </w:t>
      </w:r>
      <w:r>
        <w:rPr>
          <w:color w:val="231F20"/>
          <w:w w:val="105"/>
        </w:rPr>
        <w:t>en</w:t>
      </w:r>
      <w:r>
        <w:rPr>
          <w:color w:val="231F20"/>
          <w:spacing w:val="-33"/>
          <w:w w:val="105"/>
        </w:rPr>
        <w:t> </w:t>
      </w:r>
      <w:r>
        <w:rPr>
          <w:color w:val="231F20"/>
          <w:w w:val="105"/>
        </w:rPr>
        <w:t>forma</w:t>
      </w:r>
      <w:r>
        <w:rPr>
          <w:color w:val="231F20"/>
          <w:spacing w:val="-33"/>
          <w:w w:val="105"/>
        </w:rPr>
        <w:t> </w:t>
      </w:r>
      <w:r>
        <w:rPr>
          <w:color w:val="231F20"/>
          <w:w w:val="105"/>
        </w:rPr>
        <w:t>de</w:t>
      </w:r>
      <w:r>
        <w:rPr>
          <w:color w:val="231F20"/>
          <w:spacing w:val="-33"/>
          <w:w w:val="105"/>
        </w:rPr>
        <w:t> </w:t>
      </w:r>
      <w:r>
        <w:rPr>
          <w:color w:val="231F20"/>
          <w:w w:val="105"/>
        </w:rPr>
        <w:t>apropiación</w:t>
      </w:r>
      <w:r>
        <w:rPr>
          <w:color w:val="231F20"/>
          <w:spacing w:val="-33"/>
          <w:w w:val="105"/>
        </w:rPr>
        <w:t> </w:t>
      </w:r>
      <w:r>
        <w:rPr>
          <w:color w:val="231F20"/>
          <w:spacing w:val="-3"/>
          <w:w w:val="105"/>
        </w:rPr>
        <w:t>singular.</w:t>
      </w:r>
    </w:p>
    <w:p>
      <w:pPr>
        <w:pStyle w:val="BodyText"/>
        <w:rPr>
          <w:sz w:val="20"/>
        </w:rPr>
      </w:pPr>
    </w:p>
    <w:p>
      <w:pPr>
        <w:pStyle w:val="BodyText"/>
        <w:rPr>
          <w:sz w:val="20"/>
        </w:rPr>
      </w:pPr>
    </w:p>
    <w:p>
      <w:pPr>
        <w:pStyle w:val="BodyText"/>
        <w:rPr>
          <w:sz w:val="20"/>
        </w:rPr>
      </w:pPr>
    </w:p>
    <w:p>
      <w:pPr>
        <w:pStyle w:val="BodyText"/>
        <w:spacing w:before="6"/>
      </w:pPr>
      <w:r>
        <w:rPr/>
        <w:pict>
          <v:line style="position:absolute;mso-position-horizontal-relative:page;mso-position-vertical-relative:paragraph;z-index:4120;mso-wrap-distance-left:0;mso-wrap-distance-right:0" from="65.1968pt,15.096047pt" to="178.5828pt,15.096047pt" stroked="true" strokeweight=".3pt" strokecolor="#231f20">
            <w10:wrap type="topAndBottom"/>
          </v:line>
        </w:pict>
      </w:r>
    </w:p>
    <w:p>
      <w:pPr>
        <w:spacing w:line="206" w:lineRule="exact" w:before="10"/>
        <w:ind w:left="103" w:right="0" w:firstLine="0"/>
        <w:jc w:val="left"/>
        <w:rPr>
          <w:rFonts w:ascii="Calibri"/>
          <w:sz w:val="17"/>
        </w:rPr>
      </w:pPr>
      <w:r>
        <w:rPr>
          <w:rFonts w:ascii="Calibri"/>
          <w:color w:val="231F20"/>
          <w:position w:val="6"/>
          <w:sz w:val="10"/>
        </w:rPr>
        <w:t>17 </w:t>
      </w:r>
      <w:r>
        <w:rPr>
          <w:rFonts w:ascii="Calibri"/>
          <w:color w:val="231F20"/>
          <w:sz w:val="17"/>
        </w:rPr>
        <w:t>Marramao, </w:t>
      </w:r>
      <w:r>
        <w:rPr>
          <w:rFonts w:ascii="Calibri"/>
          <w:i/>
          <w:color w:val="231F20"/>
          <w:sz w:val="17"/>
        </w:rPr>
        <w:t>Pasaje a Occidente</w:t>
      </w:r>
      <w:r>
        <w:rPr>
          <w:rFonts w:ascii="Calibri"/>
          <w:color w:val="231F20"/>
          <w:sz w:val="17"/>
        </w:rPr>
        <w:t>, p. 42.</w:t>
      </w:r>
    </w:p>
    <w:p>
      <w:pPr>
        <w:spacing w:line="206" w:lineRule="exact" w:before="0"/>
        <w:ind w:left="103" w:right="0" w:firstLine="0"/>
        <w:jc w:val="left"/>
        <w:rPr>
          <w:rFonts w:ascii="Calibri"/>
          <w:sz w:val="17"/>
        </w:rPr>
      </w:pPr>
      <w:r>
        <w:rPr>
          <w:rFonts w:ascii="Calibri"/>
          <w:color w:val="231F20"/>
          <w:position w:val="6"/>
          <w:sz w:val="10"/>
        </w:rPr>
        <w:t>18  </w:t>
      </w:r>
      <w:r>
        <w:rPr>
          <w:rFonts w:ascii="Calibri"/>
          <w:color w:val="231F20"/>
          <w:sz w:val="17"/>
        </w:rPr>
        <w:t>Ritzer, </w:t>
      </w:r>
      <w:r>
        <w:rPr>
          <w:rFonts w:ascii="Calibri"/>
          <w:i/>
          <w:color w:val="231F20"/>
          <w:sz w:val="17"/>
        </w:rPr>
        <w:t>Globalization</w:t>
      </w:r>
      <w:r>
        <w:rPr>
          <w:rFonts w:ascii="Calibri"/>
          <w:color w:val="231F20"/>
          <w:sz w:val="17"/>
        </w:rPr>
        <w:t>.</w:t>
      </w:r>
    </w:p>
    <w:p>
      <w:pPr>
        <w:pStyle w:val="BodyText"/>
        <w:rPr>
          <w:rFonts w:ascii="Calibri"/>
          <w:sz w:val="20"/>
        </w:rPr>
      </w:pPr>
    </w:p>
    <w:p>
      <w:pPr>
        <w:pStyle w:val="BodyText"/>
        <w:spacing w:before="9"/>
        <w:rPr>
          <w:rFonts w:ascii="Calibri"/>
          <w:sz w:val="27"/>
        </w:rPr>
      </w:pPr>
    </w:p>
    <w:p>
      <w:pPr>
        <w:tabs>
          <w:tab w:pos="1331" w:val="left" w:leader="none"/>
        </w:tabs>
        <w:spacing w:before="68"/>
        <w:ind w:left="281" w:right="0" w:firstLine="0"/>
        <w:jc w:val="left"/>
        <w:rPr>
          <w:rFonts w:ascii="Calibri" w:hAnsi="Calibri"/>
          <w:sz w:val="16"/>
        </w:rPr>
      </w:pPr>
      <w:r>
        <w:rPr/>
        <w:pict>
          <v:group style="position:absolute;margin-left:98.787804pt;margin-top:-3.358812pt;width:20.4pt;height:43pt;mso-position-horizontal-relative:page;mso-position-vertical-relative:paragraph;z-index:-171256"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hAnsi="Arial"/>
          <w:color w:val="414042"/>
          <w:position w:val="-4"/>
          <w:sz w:val="20"/>
        </w:rPr>
        <w:t>70</w:t>
        <w:tab/>
      </w:r>
      <w:r>
        <w:rPr>
          <w:rFonts w:ascii="Calibri" w:hAnsi="Calibri"/>
          <w:color w:val="6D6E71"/>
          <w:sz w:val="16"/>
        </w:rPr>
        <w:t>María Luisa Bacarlett</w:t>
      </w:r>
      <w:r>
        <w:rPr>
          <w:rFonts w:ascii="Calibri" w:hAnsi="Calibri"/>
          <w:color w:val="6D6E71"/>
          <w:spacing w:val="33"/>
          <w:sz w:val="16"/>
        </w:rPr>
        <w:t> </w:t>
      </w:r>
      <w:r>
        <w:rPr>
          <w:rFonts w:ascii="Calibri" w:hAnsi="Calibri"/>
          <w:color w:val="6D6E71"/>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335" w:right="0" w:firstLine="0"/>
        <w:jc w:val="left"/>
        <w:rPr>
          <w:rFonts w:ascii="Arial" w:hAnsi="Arial"/>
          <w:sz w:val="20"/>
        </w:rPr>
      </w:pPr>
      <w:r>
        <w:rPr/>
        <w:pict>
          <v:group style="position:absolute;margin-left:383.821014pt;margin-top:-25.479271pt;width:8.65pt;height:41pt;mso-position-horizontal-relative:page;mso-position-vertical-relative:paragraph;z-index:-17120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NATURALIZAR</w:t>
      </w:r>
      <w:r>
        <w:rPr>
          <w:rFonts w:ascii="Lucida Sans Unicode" w:hAnsi="Lucida Sans Unicode"/>
          <w:color w:val="6D6E71"/>
          <w:spacing w:val="-19"/>
          <w:w w:val="95"/>
          <w:sz w:val="14"/>
        </w:rPr>
        <w:t> </w:t>
      </w:r>
      <w:r>
        <w:rPr>
          <w:rFonts w:ascii="Lucida Sans Unicode" w:hAnsi="Lucida Sans Unicode"/>
          <w:color w:val="6D6E71"/>
          <w:w w:val="95"/>
          <w:sz w:val="14"/>
        </w:rPr>
        <w:t>LAS</w:t>
      </w:r>
      <w:r>
        <w:rPr>
          <w:rFonts w:ascii="Lucida Sans Unicode" w:hAnsi="Lucida Sans Unicode"/>
          <w:color w:val="6D6E71"/>
          <w:spacing w:val="-19"/>
          <w:w w:val="95"/>
          <w:sz w:val="14"/>
        </w:rPr>
        <w:t> </w:t>
      </w:r>
      <w:r>
        <w:rPr>
          <w:rFonts w:ascii="Lucida Sans Unicode" w:hAnsi="Lucida Sans Unicode"/>
          <w:color w:val="6D6E71"/>
          <w:w w:val="95"/>
          <w:sz w:val="14"/>
        </w:rPr>
        <w:t>PARADOJAS:</w:t>
      </w:r>
      <w:r>
        <w:rPr>
          <w:rFonts w:ascii="Lucida Sans Unicode" w:hAnsi="Lucida Sans Unicode"/>
          <w:color w:val="6D6E71"/>
          <w:spacing w:val="-19"/>
          <w:w w:val="95"/>
          <w:sz w:val="14"/>
        </w:rPr>
        <w:t> </w:t>
      </w:r>
      <w:r>
        <w:rPr>
          <w:rFonts w:ascii="Lucida Sans Unicode" w:hAnsi="Lucida Sans Unicode"/>
          <w:color w:val="6D6E71"/>
          <w:w w:val="95"/>
          <w:sz w:val="14"/>
        </w:rPr>
        <w:t>UN</w:t>
      </w:r>
      <w:r>
        <w:rPr>
          <w:rFonts w:ascii="Lucida Sans Unicode" w:hAnsi="Lucida Sans Unicode"/>
          <w:color w:val="6D6E71"/>
          <w:spacing w:val="-19"/>
          <w:w w:val="95"/>
          <w:sz w:val="14"/>
        </w:rPr>
        <w:t> </w:t>
      </w:r>
      <w:r>
        <w:rPr>
          <w:rFonts w:ascii="Lucida Sans Unicode" w:hAnsi="Lucida Sans Unicode"/>
          <w:color w:val="6D6E71"/>
          <w:w w:val="95"/>
          <w:sz w:val="14"/>
        </w:rPr>
        <w:t>ACERCAMIENTO</w:t>
      </w:r>
      <w:r>
        <w:rPr>
          <w:rFonts w:ascii="Lucida Sans Unicode" w:hAnsi="Lucida Sans Unicode"/>
          <w:color w:val="6D6E71"/>
          <w:spacing w:val="-19"/>
          <w:w w:val="95"/>
          <w:sz w:val="14"/>
        </w:rPr>
        <w:t> </w:t>
      </w:r>
      <w:r>
        <w:rPr>
          <w:rFonts w:ascii="Lucida Sans Unicode" w:hAnsi="Lucida Sans Unicode"/>
          <w:color w:val="6D6E71"/>
          <w:w w:val="95"/>
          <w:sz w:val="14"/>
        </w:rPr>
        <w:t>A</w:t>
      </w:r>
      <w:r>
        <w:rPr>
          <w:rFonts w:ascii="Lucida Sans Unicode" w:hAnsi="Lucida Sans Unicode"/>
          <w:color w:val="6D6E71"/>
          <w:spacing w:val="-19"/>
          <w:w w:val="95"/>
          <w:sz w:val="14"/>
        </w:rPr>
        <w:t> </w:t>
      </w:r>
      <w:r>
        <w:rPr>
          <w:rFonts w:ascii="Lucida Sans Unicode" w:hAnsi="Lucida Sans Unicode"/>
          <w:color w:val="6D6E71"/>
          <w:w w:val="95"/>
          <w:sz w:val="14"/>
        </w:rPr>
        <w:t>LA</w:t>
      </w:r>
      <w:r>
        <w:rPr>
          <w:rFonts w:ascii="Lucida Sans Unicode" w:hAnsi="Lucida Sans Unicode"/>
          <w:color w:val="6D6E71"/>
          <w:spacing w:val="-19"/>
          <w:w w:val="95"/>
          <w:sz w:val="14"/>
        </w:rPr>
        <w:t> </w:t>
      </w:r>
      <w:r>
        <w:rPr>
          <w:rFonts w:ascii="Lucida Sans Unicode" w:hAnsi="Lucida Sans Unicode"/>
          <w:color w:val="6D6E71"/>
          <w:w w:val="95"/>
          <w:sz w:val="14"/>
        </w:rPr>
        <w:t>GLOBALIZACIÓN</w:t>
      </w:r>
      <w:r>
        <w:rPr>
          <w:rFonts w:ascii="Lucida Sans Unicode" w:hAnsi="Lucida Sans Unicode"/>
          <w:color w:val="6D6E71"/>
          <w:spacing w:val="-19"/>
          <w:w w:val="95"/>
          <w:sz w:val="14"/>
        </w:rPr>
        <w:t> </w:t>
      </w:r>
      <w:r>
        <w:rPr>
          <w:rFonts w:ascii="Lucida Sans Unicode" w:hAnsi="Lucida Sans Unicode"/>
          <w:color w:val="6D6E71"/>
          <w:w w:val="95"/>
          <w:sz w:val="14"/>
        </w:rPr>
        <w:t>DESDE</w:t>
      </w:r>
      <w:r>
        <w:rPr>
          <w:rFonts w:ascii="Lucida Sans Unicode" w:hAnsi="Lucida Sans Unicode"/>
          <w:color w:val="6D6E71"/>
          <w:spacing w:val="-19"/>
          <w:w w:val="95"/>
          <w:sz w:val="14"/>
        </w:rPr>
        <w:t> </w:t>
      </w:r>
      <w:r>
        <w:rPr>
          <w:rFonts w:ascii="Lucida Sans Unicode" w:hAnsi="Lucida Sans Unicode"/>
          <w:color w:val="6D6E71"/>
          <w:w w:val="95"/>
          <w:sz w:val="14"/>
        </w:rPr>
        <w:t>GILLES</w:t>
      </w:r>
      <w:r>
        <w:rPr>
          <w:rFonts w:ascii="Lucida Sans Unicode" w:hAnsi="Lucida Sans Unicode"/>
          <w:color w:val="6D6E71"/>
          <w:spacing w:val="-19"/>
          <w:w w:val="95"/>
          <w:sz w:val="14"/>
        </w:rPr>
        <w:t> </w:t>
      </w:r>
      <w:r>
        <w:rPr>
          <w:rFonts w:ascii="Lucida Sans Unicode" w:hAnsi="Lucida Sans Unicode"/>
          <w:color w:val="6D6E71"/>
          <w:w w:val="95"/>
          <w:sz w:val="14"/>
        </w:rPr>
        <w:t>DELEUZE</w:t>
      </w:r>
      <w:r>
        <w:rPr>
          <w:rFonts w:ascii="Arial" w:hAnsi="Arial"/>
          <w:color w:val="414042"/>
          <w:w w:val="95"/>
          <w:position w:val="-3"/>
          <w:sz w:val="20"/>
        </w:rPr>
        <w:tab/>
        <w:t>71</w:t>
      </w:r>
    </w:p>
    <w:p>
      <w:pPr>
        <w:pStyle w:val="BodyText"/>
        <w:rPr>
          <w:rFonts w:ascii="Arial"/>
          <w:sz w:val="20"/>
        </w:rPr>
      </w:pPr>
    </w:p>
    <w:p>
      <w:pPr>
        <w:pStyle w:val="BodyText"/>
        <w:rPr>
          <w:rFonts w:ascii="Arial"/>
          <w:sz w:val="20"/>
        </w:rPr>
      </w:pPr>
    </w:p>
    <w:p>
      <w:pPr>
        <w:pStyle w:val="ListParagraph"/>
        <w:numPr>
          <w:ilvl w:val="0"/>
          <w:numId w:val="5"/>
        </w:numPr>
        <w:tabs>
          <w:tab w:pos="922" w:val="left" w:leader="none"/>
        </w:tabs>
        <w:spacing w:line="240" w:lineRule="auto" w:before="163" w:after="0"/>
        <w:ind w:left="921" w:right="0" w:hanging="237"/>
        <w:jc w:val="left"/>
        <w:rPr>
          <w:sz w:val="21"/>
        </w:rPr>
      </w:pPr>
      <w:r>
        <w:rPr>
          <w:color w:val="231F20"/>
          <w:w w:val="105"/>
          <w:sz w:val="21"/>
        </w:rPr>
        <w:t>Totalidad–parcialidad</w:t>
      </w:r>
    </w:p>
    <w:p>
      <w:pPr>
        <w:pStyle w:val="BodyText"/>
        <w:rPr>
          <w:sz w:val="22"/>
        </w:rPr>
      </w:pPr>
    </w:p>
    <w:p>
      <w:pPr>
        <w:pStyle w:val="BodyText"/>
        <w:spacing w:line="247" w:lineRule="auto" w:before="1"/>
        <w:ind w:left="117" w:right="101"/>
        <w:jc w:val="both"/>
      </w:pPr>
      <w:r>
        <w:rPr>
          <w:color w:val="231F20"/>
        </w:rPr>
        <w:t>Otro prejuicio frecuentemente ligado al carácter homogéneo y unificador de la globalización consiste en verla como una totalidad continua y com- pleta, como si se tratara de un bloque de medidas, procesos, principios, prácticas, imágenes y valores que respondieran a una misma lógica y que, por ello mismo, formaran un sistema bien delimitado y coherente, sin con- tradicciones ni vacíos. Del otro lado, lo parcial se ve siempre como lo no completo, necesitado de coherencia e integración en un todo más vasto. La unificación que implica la lógica global se expresaría como integración de un conjunto de expresiones parciales que por sí mismas carecen de consistencia y completud. Sin embargo, ambos elementos en realidad no se excluyen, sino se complementan: ninguno de los dos es ni completo ni carente de manera absoluta. Ni lo global es una totalidad coherente y uni- forme,</w:t>
      </w:r>
      <w:r>
        <w:rPr>
          <w:color w:val="231F20"/>
          <w:spacing w:val="-7"/>
        </w:rPr>
        <w:t> </w:t>
      </w:r>
      <w:r>
        <w:rPr>
          <w:color w:val="231F20"/>
        </w:rPr>
        <w:t>ni</w:t>
      </w:r>
      <w:r>
        <w:rPr>
          <w:color w:val="231F20"/>
          <w:spacing w:val="-7"/>
        </w:rPr>
        <w:t> </w:t>
      </w:r>
      <w:r>
        <w:rPr>
          <w:color w:val="231F20"/>
        </w:rPr>
        <w:t>lo</w:t>
      </w:r>
      <w:r>
        <w:rPr>
          <w:color w:val="231F20"/>
          <w:spacing w:val="-7"/>
        </w:rPr>
        <w:t> </w:t>
      </w:r>
      <w:r>
        <w:rPr>
          <w:color w:val="231F20"/>
        </w:rPr>
        <w:t>local</w:t>
      </w:r>
      <w:r>
        <w:rPr>
          <w:color w:val="231F20"/>
          <w:spacing w:val="-7"/>
        </w:rPr>
        <w:t> </w:t>
      </w:r>
      <w:r>
        <w:rPr>
          <w:color w:val="231F20"/>
        </w:rPr>
        <w:t>es</w:t>
      </w:r>
      <w:r>
        <w:rPr>
          <w:color w:val="231F20"/>
          <w:spacing w:val="-7"/>
        </w:rPr>
        <w:t> </w:t>
      </w:r>
      <w:r>
        <w:rPr>
          <w:color w:val="231F20"/>
        </w:rPr>
        <w:t>parcial</w:t>
      </w:r>
      <w:r>
        <w:rPr>
          <w:color w:val="231F20"/>
          <w:spacing w:val="-7"/>
        </w:rPr>
        <w:t> </w:t>
      </w:r>
      <w:r>
        <w:rPr>
          <w:color w:val="231F20"/>
        </w:rPr>
        <w:t>e</w:t>
      </w:r>
      <w:r>
        <w:rPr>
          <w:color w:val="231F20"/>
          <w:spacing w:val="-7"/>
        </w:rPr>
        <w:t> </w:t>
      </w:r>
      <w:r>
        <w:rPr>
          <w:color w:val="231F20"/>
        </w:rPr>
        <w:t>incoherente;</w:t>
      </w:r>
      <w:r>
        <w:rPr>
          <w:color w:val="231F20"/>
          <w:spacing w:val="-7"/>
        </w:rPr>
        <w:t> </w:t>
      </w:r>
      <w:r>
        <w:rPr>
          <w:color w:val="231F20"/>
        </w:rPr>
        <w:t>pero</w:t>
      </w:r>
      <w:r>
        <w:rPr>
          <w:color w:val="231F20"/>
          <w:spacing w:val="-7"/>
        </w:rPr>
        <w:t> </w:t>
      </w:r>
      <w:r>
        <w:rPr>
          <w:color w:val="231F20"/>
        </w:rPr>
        <w:t>tampoco</w:t>
      </w:r>
      <w:r>
        <w:rPr>
          <w:color w:val="231F20"/>
          <w:spacing w:val="-7"/>
        </w:rPr>
        <w:t> </w:t>
      </w:r>
      <w:r>
        <w:rPr>
          <w:color w:val="231F20"/>
        </w:rPr>
        <w:t>lo</w:t>
      </w:r>
      <w:r>
        <w:rPr>
          <w:color w:val="231F20"/>
          <w:spacing w:val="-7"/>
        </w:rPr>
        <w:t> </w:t>
      </w:r>
      <w:r>
        <w:rPr>
          <w:color w:val="231F20"/>
        </w:rPr>
        <w:t>local</w:t>
      </w:r>
      <w:r>
        <w:rPr>
          <w:color w:val="231F20"/>
          <w:spacing w:val="-7"/>
        </w:rPr>
        <w:t> </w:t>
      </w:r>
      <w:r>
        <w:rPr>
          <w:color w:val="231F20"/>
        </w:rPr>
        <w:t>es</w:t>
      </w:r>
      <w:r>
        <w:rPr>
          <w:color w:val="231F20"/>
          <w:spacing w:val="-7"/>
        </w:rPr>
        <w:t> </w:t>
      </w:r>
      <w:r>
        <w:rPr>
          <w:color w:val="231F20"/>
        </w:rPr>
        <w:t>unitario y completo en sí mismo, perspectiva que suele encontrarse en ciertas</w:t>
      </w:r>
      <w:r>
        <w:rPr>
          <w:color w:val="231F20"/>
          <w:spacing w:val="-23"/>
        </w:rPr>
        <w:t> </w:t>
      </w:r>
      <w:r>
        <w:rPr>
          <w:color w:val="231F20"/>
        </w:rPr>
        <w:t>apo- logías que abogan por la autenticidad y pureza de lo local, atributos que, en</w:t>
      </w:r>
      <w:r>
        <w:rPr>
          <w:color w:val="231F20"/>
          <w:spacing w:val="-9"/>
        </w:rPr>
        <w:t> </w:t>
      </w:r>
      <w:r>
        <w:rPr>
          <w:color w:val="231F20"/>
        </w:rPr>
        <w:t>contraste,</w:t>
      </w:r>
      <w:r>
        <w:rPr>
          <w:color w:val="231F20"/>
          <w:spacing w:val="-9"/>
        </w:rPr>
        <w:t> </w:t>
      </w:r>
      <w:r>
        <w:rPr>
          <w:color w:val="231F20"/>
        </w:rPr>
        <w:t>faltarían</w:t>
      </w:r>
      <w:r>
        <w:rPr>
          <w:color w:val="231F20"/>
          <w:spacing w:val="-9"/>
        </w:rPr>
        <w:t> </w:t>
      </w:r>
      <w:r>
        <w:rPr>
          <w:color w:val="231F20"/>
        </w:rPr>
        <w:t>a</w:t>
      </w:r>
      <w:r>
        <w:rPr>
          <w:color w:val="231F20"/>
          <w:spacing w:val="-9"/>
        </w:rPr>
        <w:t> </w:t>
      </w:r>
      <w:r>
        <w:rPr>
          <w:color w:val="231F20"/>
        </w:rPr>
        <w:t>lo</w:t>
      </w:r>
      <w:r>
        <w:rPr>
          <w:color w:val="231F20"/>
          <w:spacing w:val="-9"/>
        </w:rPr>
        <w:t> </w:t>
      </w:r>
      <w:r>
        <w:rPr>
          <w:color w:val="231F20"/>
        </w:rPr>
        <w:t>global.</w:t>
      </w:r>
      <w:r>
        <w:rPr>
          <w:color w:val="231F20"/>
          <w:spacing w:val="-9"/>
        </w:rPr>
        <w:t> </w:t>
      </w:r>
      <w:r>
        <w:rPr>
          <w:color w:val="231F20"/>
        </w:rPr>
        <w:t>Los</w:t>
      </w:r>
      <w:r>
        <w:rPr>
          <w:color w:val="231F20"/>
          <w:spacing w:val="-9"/>
        </w:rPr>
        <w:t> </w:t>
      </w:r>
      <w:r>
        <w:rPr>
          <w:color w:val="231F20"/>
        </w:rPr>
        <w:t>que</w:t>
      </w:r>
      <w:r>
        <w:rPr>
          <w:color w:val="231F20"/>
          <w:spacing w:val="-9"/>
        </w:rPr>
        <w:t> </w:t>
      </w:r>
      <w:r>
        <w:rPr>
          <w:color w:val="231F20"/>
        </w:rPr>
        <w:t>subrayan</w:t>
      </w:r>
      <w:r>
        <w:rPr>
          <w:color w:val="231F20"/>
          <w:spacing w:val="-9"/>
        </w:rPr>
        <w:t> </w:t>
      </w:r>
      <w:r>
        <w:rPr>
          <w:color w:val="231F20"/>
        </w:rPr>
        <w:t>esta</w:t>
      </w:r>
      <w:r>
        <w:rPr>
          <w:color w:val="231F20"/>
          <w:spacing w:val="-9"/>
        </w:rPr>
        <w:t> </w:t>
      </w:r>
      <w:r>
        <w:rPr>
          <w:color w:val="231F20"/>
        </w:rPr>
        <w:t>paradoja</w:t>
      </w:r>
      <w:r>
        <w:rPr>
          <w:color w:val="231F20"/>
          <w:spacing w:val="-9"/>
        </w:rPr>
        <w:t> </w:t>
      </w:r>
      <w:r>
        <w:rPr>
          <w:color w:val="231F20"/>
        </w:rPr>
        <w:t>asumen, por ende, que lo total siempre tiene algo de parcial y viceversa. Así, la re- lación entre lo total y lo parcial no es siempre de choque y confrontación, sino más bien de una imbricación compleja: los dos se producen mutua- mente. No existen ni lo global ni lo local en sí mismos. No todo el mundo es </w:t>
      </w:r>
      <w:r>
        <w:rPr>
          <w:rFonts w:ascii="Arial" w:hAnsi="Arial"/>
          <w:i/>
          <w:color w:val="231F20"/>
        </w:rPr>
        <w:t>McDonalds</w:t>
      </w:r>
      <w:r>
        <w:rPr>
          <w:color w:val="231F20"/>
        </w:rPr>
        <w:t>, pero tampoco todo el mundo es </w:t>
      </w:r>
      <w:r>
        <w:rPr>
          <w:rFonts w:ascii="Arial" w:hAnsi="Arial"/>
          <w:i/>
          <w:color w:val="231F20"/>
        </w:rPr>
        <w:t>Jihad</w:t>
      </w:r>
      <w:r>
        <w:rPr>
          <w:color w:val="231F20"/>
        </w:rPr>
        <w:t>. </w:t>
      </w:r>
      <w:r>
        <w:rPr>
          <w:color w:val="231F20"/>
          <w:spacing w:val="-3"/>
        </w:rPr>
        <w:t>Totalizar </w:t>
      </w:r>
      <w:r>
        <w:rPr>
          <w:color w:val="231F20"/>
        </w:rPr>
        <w:t>tanto lo global como lo local puede tener fatales consecuencias para la </w:t>
      </w:r>
      <w:r>
        <w:rPr>
          <w:color w:val="231F20"/>
          <w:spacing w:val="8"/>
        </w:rPr>
        <w:t> </w:t>
      </w:r>
      <w:r>
        <w:rPr>
          <w:color w:val="231F20"/>
        </w:rPr>
        <w:t>política.</w:t>
      </w:r>
    </w:p>
    <w:p>
      <w:pPr>
        <w:pStyle w:val="BodyText"/>
        <w:spacing w:before="10"/>
        <w:rPr>
          <w:sz w:val="22"/>
        </w:rPr>
      </w:pPr>
    </w:p>
    <w:p>
      <w:pPr>
        <w:spacing w:line="220" w:lineRule="exact" w:before="1"/>
        <w:ind w:left="1534" w:right="101" w:firstLine="0"/>
        <w:jc w:val="both"/>
        <w:rPr>
          <w:sz w:val="19"/>
        </w:rPr>
      </w:pPr>
      <w:r>
        <w:rPr>
          <w:color w:val="231F20"/>
          <w:spacing w:val="-5"/>
          <w:sz w:val="19"/>
        </w:rPr>
        <w:t>Tomar </w:t>
      </w:r>
      <w:r>
        <w:rPr>
          <w:color w:val="231F20"/>
          <w:sz w:val="19"/>
        </w:rPr>
        <w:t>a ambos, </w:t>
      </w:r>
      <w:r>
        <w:rPr>
          <w:rFonts w:ascii="Arial" w:hAnsi="Arial"/>
          <w:i/>
          <w:color w:val="231F20"/>
          <w:sz w:val="19"/>
        </w:rPr>
        <w:t>McMundo </w:t>
      </w:r>
      <w:r>
        <w:rPr>
          <w:color w:val="231F20"/>
          <w:sz w:val="19"/>
        </w:rPr>
        <w:t>o </w:t>
      </w:r>
      <w:r>
        <w:rPr>
          <w:rFonts w:ascii="Arial" w:hAnsi="Arial"/>
          <w:i/>
          <w:color w:val="231F20"/>
          <w:sz w:val="19"/>
        </w:rPr>
        <w:t>Jihad</w:t>
      </w:r>
      <w:r>
        <w:rPr>
          <w:color w:val="231F20"/>
          <w:sz w:val="19"/>
        </w:rPr>
        <w:t>, como una política natural, re- sulta más bien una antipolítica. En el caso del </w:t>
      </w:r>
      <w:r>
        <w:rPr>
          <w:rFonts w:ascii="Arial" w:hAnsi="Arial"/>
          <w:i/>
          <w:color w:val="231F20"/>
          <w:sz w:val="19"/>
        </w:rPr>
        <w:t>McMundo</w:t>
      </w:r>
      <w:r>
        <w:rPr>
          <w:color w:val="231F20"/>
          <w:sz w:val="19"/>
        </w:rPr>
        <w:t>, sería la antipolítica del globalismo: burocrático, tecnocrático y meritocrá- tico, basado […] en la administración de las cosas —con la gente entre las cosas a ser administradas. […]</w:t>
      </w:r>
    </w:p>
    <w:p>
      <w:pPr>
        <w:spacing w:line="220" w:lineRule="exact" w:before="113"/>
        <w:ind w:left="1534" w:right="101" w:firstLine="0"/>
        <w:jc w:val="both"/>
        <w:rPr>
          <w:sz w:val="19"/>
        </w:rPr>
      </w:pPr>
      <w:r>
        <w:rPr>
          <w:color w:val="231F20"/>
          <w:sz w:val="19"/>
        </w:rPr>
        <w:t>En el caso de la </w:t>
      </w:r>
      <w:r>
        <w:rPr>
          <w:rFonts w:ascii="Arial" w:hAnsi="Arial"/>
          <w:i/>
          <w:color w:val="231F20"/>
          <w:sz w:val="19"/>
        </w:rPr>
        <w:t>Jihad</w:t>
      </w:r>
      <w:r>
        <w:rPr>
          <w:color w:val="231F20"/>
          <w:sz w:val="19"/>
        </w:rPr>
        <w:t>, la antipolítica o la tribalización es</w:t>
      </w:r>
      <w:r>
        <w:rPr>
          <w:color w:val="231F20"/>
          <w:spacing w:val="-29"/>
          <w:sz w:val="19"/>
        </w:rPr>
        <w:t> </w:t>
      </w:r>
      <w:r>
        <w:rPr>
          <w:color w:val="231F20"/>
          <w:sz w:val="19"/>
        </w:rPr>
        <w:t>explícita- mente antidemocrática: dictadura de un partido único, gobierno por una junta </w:t>
      </w:r>
      <w:r>
        <w:rPr>
          <w:color w:val="231F20"/>
          <w:spacing w:val="-3"/>
          <w:sz w:val="19"/>
        </w:rPr>
        <w:t>militar, </w:t>
      </w:r>
      <w:r>
        <w:rPr>
          <w:color w:val="231F20"/>
          <w:sz w:val="19"/>
        </w:rPr>
        <w:t>fundamentalismo teocrático —frecuente- mente asociado con una versión del </w:t>
      </w:r>
      <w:r>
        <w:rPr>
          <w:rFonts w:ascii="Arial" w:hAnsi="Arial"/>
          <w:i/>
          <w:color w:val="231F20"/>
          <w:sz w:val="19"/>
        </w:rPr>
        <w:t>Führerprinzip </w:t>
      </w:r>
      <w:r>
        <w:rPr>
          <w:color w:val="231F20"/>
          <w:sz w:val="19"/>
        </w:rPr>
        <w:t>que empodera a un individuo para dirigir un</w:t>
      </w:r>
      <w:r>
        <w:rPr>
          <w:color w:val="231F20"/>
          <w:spacing w:val="16"/>
          <w:sz w:val="19"/>
        </w:rPr>
        <w:t> </w:t>
      </w:r>
      <w:r>
        <w:rPr>
          <w:color w:val="231F20"/>
          <w:sz w:val="19"/>
        </w:rPr>
        <w:t>pueblo</w:t>
      </w:r>
      <w:r>
        <w:rPr>
          <w:color w:val="231F20"/>
          <w:position w:val="6"/>
          <w:sz w:val="11"/>
        </w:rPr>
        <w:t>19</w:t>
      </w:r>
      <w:r>
        <w:rPr>
          <w:color w:val="231F20"/>
          <w:sz w:val="19"/>
        </w:rPr>
        <w:t>.</w:t>
      </w:r>
    </w:p>
    <w:p>
      <w:pPr>
        <w:pStyle w:val="BodyText"/>
        <w:spacing w:before="11"/>
        <w:rPr>
          <w:sz w:val="23"/>
        </w:rPr>
      </w:pPr>
    </w:p>
    <w:p>
      <w:pPr>
        <w:pStyle w:val="BodyText"/>
        <w:spacing w:line="247" w:lineRule="auto"/>
        <w:ind w:left="117" w:right="101"/>
        <w:jc w:val="both"/>
      </w:pPr>
      <w:r>
        <w:rPr>
          <w:color w:val="231F20"/>
          <w:w w:val="105"/>
        </w:rPr>
        <w:t>Finalmente,</w:t>
      </w:r>
      <w:r>
        <w:rPr>
          <w:color w:val="231F20"/>
          <w:spacing w:val="-11"/>
          <w:w w:val="105"/>
        </w:rPr>
        <w:t> </w:t>
      </w:r>
      <w:r>
        <w:rPr>
          <w:color w:val="231F20"/>
          <w:w w:val="105"/>
        </w:rPr>
        <w:t>aunque</w:t>
      </w:r>
      <w:r>
        <w:rPr>
          <w:color w:val="231F20"/>
          <w:spacing w:val="-11"/>
          <w:w w:val="105"/>
        </w:rPr>
        <w:t> </w:t>
      </w:r>
      <w:r>
        <w:rPr>
          <w:color w:val="231F20"/>
          <w:w w:val="105"/>
        </w:rPr>
        <w:t>pensáramos</w:t>
      </w:r>
      <w:r>
        <w:rPr>
          <w:color w:val="231F20"/>
          <w:spacing w:val="-11"/>
          <w:w w:val="105"/>
        </w:rPr>
        <w:t> </w:t>
      </w:r>
      <w:r>
        <w:rPr>
          <w:color w:val="231F20"/>
          <w:w w:val="105"/>
        </w:rPr>
        <w:t>tanto</w:t>
      </w:r>
      <w:r>
        <w:rPr>
          <w:color w:val="231F20"/>
          <w:spacing w:val="-11"/>
          <w:w w:val="105"/>
        </w:rPr>
        <w:t> </w:t>
      </w:r>
      <w:r>
        <w:rPr>
          <w:color w:val="231F20"/>
          <w:w w:val="105"/>
        </w:rPr>
        <w:t>lo</w:t>
      </w:r>
      <w:r>
        <w:rPr>
          <w:color w:val="231F20"/>
          <w:spacing w:val="-11"/>
          <w:w w:val="105"/>
        </w:rPr>
        <w:t> </w:t>
      </w:r>
      <w:r>
        <w:rPr>
          <w:color w:val="231F20"/>
          <w:w w:val="105"/>
        </w:rPr>
        <w:t>local</w:t>
      </w:r>
      <w:r>
        <w:rPr>
          <w:color w:val="231F20"/>
          <w:spacing w:val="-11"/>
          <w:w w:val="105"/>
        </w:rPr>
        <w:t> </w:t>
      </w:r>
      <w:r>
        <w:rPr>
          <w:color w:val="231F20"/>
          <w:w w:val="105"/>
        </w:rPr>
        <w:t>como</w:t>
      </w:r>
      <w:r>
        <w:rPr>
          <w:color w:val="231F20"/>
          <w:spacing w:val="-11"/>
          <w:w w:val="105"/>
        </w:rPr>
        <w:t> </w:t>
      </w:r>
      <w:r>
        <w:rPr>
          <w:color w:val="231F20"/>
          <w:w w:val="105"/>
        </w:rPr>
        <w:t>lo</w:t>
      </w:r>
      <w:r>
        <w:rPr>
          <w:color w:val="231F20"/>
          <w:spacing w:val="-11"/>
          <w:w w:val="105"/>
        </w:rPr>
        <w:t> </w:t>
      </w:r>
      <w:r>
        <w:rPr>
          <w:color w:val="231F20"/>
          <w:w w:val="105"/>
        </w:rPr>
        <w:t>global</w:t>
      </w:r>
      <w:r>
        <w:rPr>
          <w:color w:val="231F20"/>
          <w:spacing w:val="-11"/>
          <w:w w:val="105"/>
        </w:rPr>
        <w:t> </w:t>
      </w:r>
      <w:r>
        <w:rPr>
          <w:color w:val="231F20"/>
          <w:w w:val="105"/>
        </w:rPr>
        <w:t>como</w:t>
      </w:r>
      <w:r>
        <w:rPr>
          <w:color w:val="231F20"/>
          <w:spacing w:val="-11"/>
          <w:w w:val="105"/>
        </w:rPr>
        <w:t> </w:t>
      </w:r>
      <w:r>
        <w:rPr>
          <w:color w:val="231F20"/>
          <w:w w:val="105"/>
        </w:rPr>
        <w:t>uni- dades,</w:t>
      </w:r>
      <w:r>
        <w:rPr>
          <w:color w:val="231F20"/>
          <w:spacing w:val="-21"/>
          <w:w w:val="105"/>
        </w:rPr>
        <w:t> </w:t>
      </w:r>
      <w:r>
        <w:rPr>
          <w:color w:val="231F20"/>
          <w:w w:val="105"/>
        </w:rPr>
        <w:t>éstas</w:t>
      </w:r>
      <w:r>
        <w:rPr>
          <w:color w:val="231F20"/>
          <w:spacing w:val="-21"/>
          <w:w w:val="105"/>
        </w:rPr>
        <w:t> </w:t>
      </w:r>
      <w:r>
        <w:rPr>
          <w:color w:val="231F20"/>
          <w:w w:val="105"/>
        </w:rPr>
        <w:t>no</w:t>
      </w:r>
      <w:r>
        <w:rPr>
          <w:color w:val="231F20"/>
          <w:spacing w:val="-21"/>
          <w:w w:val="105"/>
        </w:rPr>
        <w:t> </w:t>
      </w:r>
      <w:r>
        <w:rPr>
          <w:color w:val="231F20"/>
          <w:w w:val="105"/>
        </w:rPr>
        <w:t>sólo</w:t>
      </w:r>
      <w:r>
        <w:rPr>
          <w:color w:val="231F20"/>
          <w:spacing w:val="-21"/>
          <w:w w:val="105"/>
        </w:rPr>
        <w:t> </w:t>
      </w:r>
      <w:r>
        <w:rPr>
          <w:color w:val="231F20"/>
          <w:w w:val="105"/>
        </w:rPr>
        <w:t>son</w:t>
      </w:r>
      <w:r>
        <w:rPr>
          <w:color w:val="231F20"/>
          <w:spacing w:val="-21"/>
          <w:w w:val="105"/>
        </w:rPr>
        <w:t> </w:t>
      </w:r>
      <w:r>
        <w:rPr>
          <w:color w:val="231F20"/>
          <w:w w:val="105"/>
        </w:rPr>
        <w:t>parciales</w:t>
      </w:r>
      <w:r>
        <w:rPr>
          <w:color w:val="231F20"/>
          <w:spacing w:val="-21"/>
          <w:w w:val="105"/>
        </w:rPr>
        <w:t> </w:t>
      </w:r>
      <w:r>
        <w:rPr>
          <w:color w:val="231F20"/>
          <w:w w:val="105"/>
        </w:rPr>
        <w:t>y</w:t>
      </w:r>
      <w:r>
        <w:rPr>
          <w:color w:val="231F20"/>
          <w:spacing w:val="-21"/>
          <w:w w:val="105"/>
        </w:rPr>
        <w:t> </w:t>
      </w:r>
      <w:r>
        <w:rPr>
          <w:color w:val="231F20"/>
          <w:w w:val="105"/>
        </w:rPr>
        <w:t>momentáneas,</w:t>
      </w:r>
      <w:r>
        <w:rPr>
          <w:color w:val="231F20"/>
          <w:spacing w:val="-21"/>
          <w:w w:val="105"/>
        </w:rPr>
        <w:t> </w:t>
      </w:r>
      <w:r>
        <w:rPr>
          <w:color w:val="231F20"/>
          <w:w w:val="105"/>
        </w:rPr>
        <w:t>sino</w:t>
      </w:r>
      <w:r>
        <w:rPr>
          <w:color w:val="231F20"/>
          <w:spacing w:val="-21"/>
          <w:w w:val="105"/>
        </w:rPr>
        <w:t> </w:t>
      </w:r>
      <w:r>
        <w:rPr>
          <w:color w:val="231F20"/>
          <w:w w:val="105"/>
        </w:rPr>
        <w:t>además</w:t>
      </w:r>
      <w:r>
        <w:rPr>
          <w:color w:val="231F20"/>
          <w:spacing w:val="-21"/>
          <w:w w:val="105"/>
        </w:rPr>
        <w:t> </w:t>
      </w:r>
      <w:r>
        <w:rPr>
          <w:color w:val="231F20"/>
          <w:w w:val="105"/>
        </w:rPr>
        <w:t>siempre están</w:t>
      </w:r>
      <w:r>
        <w:rPr>
          <w:color w:val="231F20"/>
          <w:spacing w:val="-41"/>
          <w:w w:val="105"/>
        </w:rPr>
        <w:t> </w:t>
      </w:r>
      <w:r>
        <w:rPr>
          <w:color w:val="231F20"/>
          <w:w w:val="105"/>
        </w:rPr>
        <w:t>hechas</w:t>
      </w:r>
      <w:r>
        <w:rPr>
          <w:color w:val="231F20"/>
          <w:spacing w:val="-41"/>
          <w:w w:val="105"/>
        </w:rPr>
        <w:t> </w:t>
      </w:r>
      <w:r>
        <w:rPr>
          <w:color w:val="231F20"/>
          <w:w w:val="105"/>
        </w:rPr>
        <w:t>de</w:t>
      </w:r>
      <w:r>
        <w:rPr>
          <w:color w:val="231F20"/>
          <w:spacing w:val="-41"/>
          <w:w w:val="105"/>
        </w:rPr>
        <w:t> </w:t>
      </w:r>
      <w:r>
        <w:rPr>
          <w:color w:val="231F20"/>
          <w:w w:val="105"/>
        </w:rPr>
        <w:t>relaciones</w:t>
      </w:r>
      <w:r>
        <w:rPr>
          <w:color w:val="231F20"/>
          <w:spacing w:val="-41"/>
          <w:w w:val="105"/>
        </w:rPr>
        <w:t> </w:t>
      </w:r>
      <w:r>
        <w:rPr>
          <w:color w:val="231F20"/>
          <w:w w:val="105"/>
        </w:rPr>
        <w:t>y</w:t>
      </w:r>
      <w:r>
        <w:rPr>
          <w:color w:val="231F20"/>
          <w:spacing w:val="-41"/>
          <w:w w:val="105"/>
        </w:rPr>
        <w:t> </w:t>
      </w:r>
      <w:r>
        <w:rPr>
          <w:color w:val="231F20"/>
          <w:w w:val="105"/>
        </w:rPr>
        <w:t>conexiones</w:t>
      </w:r>
      <w:r>
        <w:rPr>
          <w:color w:val="231F20"/>
          <w:spacing w:val="-41"/>
          <w:w w:val="105"/>
        </w:rPr>
        <w:t> </w:t>
      </w:r>
      <w:r>
        <w:rPr>
          <w:color w:val="231F20"/>
          <w:w w:val="105"/>
        </w:rPr>
        <w:t>dinámicas,</w:t>
      </w:r>
      <w:r>
        <w:rPr>
          <w:color w:val="231F20"/>
          <w:spacing w:val="-41"/>
          <w:w w:val="105"/>
        </w:rPr>
        <w:t> </w:t>
      </w:r>
      <w:r>
        <w:rPr>
          <w:color w:val="231F20"/>
          <w:w w:val="105"/>
        </w:rPr>
        <w:t>en</w:t>
      </w:r>
      <w:r>
        <w:rPr>
          <w:color w:val="231F20"/>
          <w:spacing w:val="-41"/>
          <w:w w:val="105"/>
        </w:rPr>
        <w:t> </w:t>
      </w:r>
      <w:r>
        <w:rPr>
          <w:color w:val="231F20"/>
          <w:w w:val="105"/>
        </w:rPr>
        <w:t>constante</w:t>
      </w:r>
      <w:r>
        <w:rPr>
          <w:color w:val="231F20"/>
          <w:spacing w:val="-41"/>
          <w:w w:val="105"/>
        </w:rPr>
        <w:t> </w:t>
      </w:r>
      <w:r>
        <w:rPr>
          <w:color w:val="231F20"/>
          <w:w w:val="105"/>
        </w:rPr>
        <w:t>rotación. “[…] en la descripción de la globalización lo importante no son las des- cripciones</w:t>
      </w:r>
      <w:r>
        <w:rPr>
          <w:color w:val="231F20"/>
          <w:spacing w:val="-37"/>
          <w:w w:val="105"/>
        </w:rPr>
        <w:t> </w:t>
      </w:r>
      <w:r>
        <w:rPr>
          <w:color w:val="231F20"/>
          <w:w w:val="105"/>
        </w:rPr>
        <w:t>sustanciales</w:t>
      </w:r>
      <w:r>
        <w:rPr>
          <w:color w:val="231F20"/>
          <w:spacing w:val="-37"/>
          <w:w w:val="105"/>
        </w:rPr>
        <w:t> </w:t>
      </w:r>
      <w:r>
        <w:rPr>
          <w:color w:val="231F20"/>
          <w:w w:val="105"/>
        </w:rPr>
        <w:t>de</w:t>
      </w:r>
      <w:r>
        <w:rPr>
          <w:color w:val="231F20"/>
          <w:spacing w:val="-37"/>
          <w:w w:val="105"/>
        </w:rPr>
        <w:t> </w:t>
      </w:r>
      <w:r>
        <w:rPr>
          <w:color w:val="231F20"/>
          <w:w w:val="105"/>
        </w:rPr>
        <w:t>los</w:t>
      </w:r>
      <w:r>
        <w:rPr>
          <w:color w:val="231F20"/>
          <w:spacing w:val="-37"/>
          <w:w w:val="105"/>
        </w:rPr>
        <w:t> </w:t>
      </w:r>
      <w:r>
        <w:rPr>
          <w:color w:val="231F20"/>
          <w:w w:val="105"/>
        </w:rPr>
        <w:t>distintos</w:t>
      </w:r>
      <w:r>
        <w:rPr>
          <w:color w:val="231F20"/>
          <w:spacing w:val="-37"/>
          <w:w w:val="105"/>
        </w:rPr>
        <w:t> </w:t>
      </w:r>
      <w:r>
        <w:rPr>
          <w:color w:val="231F20"/>
          <w:w w:val="105"/>
        </w:rPr>
        <w:t>actores</w:t>
      </w:r>
      <w:r>
        <w:rPr>
          <w:color w:val="231F20"/>
          <w:spacing w:val="-37"/>
          <w:w w:val="105"/>
        </w:rPr>
        <w:t> </w:t>
      </w:r>
      <w:r>
        <w:rPr>
          <w:color w:val="231F20"/>
          <w:w w:val="105"/>
        </w:rPr>
        <w:t>o</w:t>
      </w:r>
      <w:r>
        <w:rPr>
          <w:color w:val="231F20"/>
          <w:spacing w:val="-37"/>
          <w:w w:val="105"/>
        </w:rPr>
        <w:t> </w:t>
      </w:r>
      <w:r>
        <w:rPr>
          <w:color w:val="231F20"/>
          <w:w w:val="105"/>
        </w:rPr>
        <w:t>sistemas,</w:t>
      </w:r>
      <w:r>
        <w:rPr>
          <w:color w:val="231F20"/>
          <w:spacing w:val="-37"/>
          <w:w w:val="105"/>
        </w:rPr>
        <w:t> </w:t>
      </w:r>
      <w:r>
        <w:rPr>
          <w:color w:val="231F20"/>
          <w:w w:val="105"/>
        </w:rPr>
        <w:t>sino</w:t>
      </w:r>
      <w:r>
        <w:rPr>
          <w:color w:val="231F20"/>
          <w:spacing w:val="-37"/>
          <w:w w:val="105"/>
        </w:rPr>
        <w:t> </w:t>
      </w:r>
      <w:r>
        <w:rPr>
          <w:color w:val="231F20"/>
          <w:w w:val="105"/>
        </w:rPr>
        <w:t>la</w:t>
      </w:r>
      <w:r>
        <w:rPr>
          <w:color w:val="231F20"/>
          <w:spacing w:val="-37"/>
          <w:w w:val="105"/>
        </w:rPr>
        <w:t> </w:t>
      </w:r>
      <w:r>
        <w:rPr>
          <w:color w:val="231F20"/>
          <w:w w:val="105"/>
        </w:rPr>
        <w:t>conexión</w:t>
      </w:r>
    </w:p>
    <w:p>
      <w:pPr>
        <w:pStyle w:val="BodyText"/>
        <w:rPr>
          <w:sz w:val="20"/>
        </w:rPr>
      </w:pPr>
    </w:p>
    <w:p>
      <w:pPr>
        <w:pStyle w:val="BodyText"/>
        <w:spacing w:before="1"/>
        <w:rPr>
          <w:sz w:val="12"/>
        </w:rPr>
      </w:pPr>
      <w:r>
        <w:rPr/>
        <w:pict>
          <v:line style="position:absolute;mso-position-horizontal-relative:page;mso-position-vertical-relative:paragraph;z-index:4168;mso-wrap-distance-left:0;mso-wrap-distance-right:0" from="70.866096pt,9.420872pt" to="184.252096pt,9.420872pt" stroked="true" strokeweight=".3pt" strokecolor="#231f20">
            <w10:wrap type="topAndBottom"/>
          </v:line>
        </w:pict>
      </w:r>
    </w:p>
    <w:p>
      <w:pPr>
        <w:spacing w:before="10"/>
        <w:ind w:left="117" w:right="0" w:firstLine="0"/>
        <w:jc w:val="left"/>
        <w:rPr>
          <w:rFonts w:ascii="Calibri" w:hAnsi="Calibri"/>
          <w:sz w:val="17"/>
        </w:rPr>
      </w:pPr>
      <w:r>
        <w:rPr>
          <w:rFonts w:ascii="Calibri" w:hAnsi="Calibri"/>
          <w:color w:val="231F20"/>
          <w:position w:val="6"/>
          <w:sz w:val="10"/>
        </w:rPr>
        <w:t>19 </w:t>
      </w:r>
      <w:r>
        <w:rPr>
          <w:rFonts w:ascii="Calibri" w:hAnsi="Calibri"/>
          <w:color w:val="231F20"/>
          <w:sz w:val="17"/>
        </w:rPr>
        <w:t>B. Barber, “Jihad Vs. McWorld”, </w:t>
      </w:r>
      <w:r>
        <w:rPr>
          <w:rFonts w:ascii="Calibri" w:hAnsi="Calibri"/>
          <w:i/>
          <w:color w:val="231F20"/>
          <w:sz w:val="17"/>
        </w:rPr>
        <w:t>The Atlantic</w:t>
      </w:r>
      <w:r>
        <w:rPr>
          <w:rFonts w:ascii="Calibri" w:hAnsi="Calibri"/>
          <w:color w:val="231F20"/>
          <w:sz w:val="17"/>
        </w:rPr>
        <w:t>, vol. 3, no. 269, 1992, p. 64.</w:t>
      </w:r>
    </w:p>
    <w:p>
      <w:pPr>
        <w:spacing w:after="0"/>
        <w:jc w:val="left"/>
        <w:rPr>
          <w:rFonts w:ascii="Calibri" w:hAnsi="Calibri"/>
          <w:sz w:val="17"/>
        </w:rPr>
        <w:sectPr>
          <w:pgSz w:w="9640" w:h="13890"/>
          <w:pgMar w:top="0" w:bottom="280" w:left="1300" w:right="1200"/>
        </w:sectPr>
      </w:pPr>
    </w:p>
    <w:p>
      <w:pPr>
        <w:pStyle w:val="BodyText"/>
        <w:spacing w:line="247" w:lineRule="auto" w:before="107"/>
        <w:ind w:left="103" w:right="115"/>
        <w:jc w:val="both"/>
      </w:pPr>
      <w:r>
        <w:rPr>
          <w:color w:val="231F20"/>
        </w:rPr>
        <w:t>entre ellos. Aquello que constituye la globalización son las conexiones […], la relación se convierte en la categoría fundamental de una teoría de la globalización  convincente”</w:t>
      </w:r>
      <w:r>
        <w:rPr>
          <w:color w:val="231F20"/>
          <w:position w:val="7"/>
          <w:sz w:val="12"/>
        </w:rPr>
        <w:t>20</w:t>
      </w:r>
      <w:r>
        <w:rPr>
          <w:color w:val="231F20"/>
        </w:rPr>
        <w:t>.</w:t>
      </w:r>
    </w:p>
    <w:p>
      <w:pPr>
        <w:pStyle w:val="BodyText"/>
        <w:spacing w:before="5"/>
      </w:pPr>
    </w:p>
    <w:p>
      <w:pPr>
        <w:pStyle w:val="ListParagraph"/>
        <w:numPr>
          <w:ilvl w:val="0"/>
          <w:numId w:val="5"/>
        </w:numPr>
        <w:tabs>
          <w:tab w:pos="882" w:val="left" w:leader="none"/>
        </w:tabs>
        <w:spacing w:line="240" w:lineRule="auto" w:before="0" w:after="0"/>
        <w:ind w:left="881" w:right="0" w:hanging="211"/>
        <w:jc w:val="left"/>
        <w:rPr>
          <w:sz w:val="21"/>
        </w:rPr>
      </w:pPr>
      <w:r>
        <w:rPr>
          <w:color w:val="231F20"/>
          <w:w w:val="105"/>
          <w:sz w:val="21"/>
        </w:rPr>
        <w:t>Finitud–pluralidad</w:t>
      </w:r>
    </w:p>
    <w:p>
      <w:pPr>
        <w:pStyle w:val="BodyText"/>
        <w:rPr>
          <w:sz w:val="22"/>
        </w:rPr>
      </w:pPr>
    </w:p>
    <w:p>
      <w:pPr>
        <w:pStyle w:val="BodyText"/>
        <w:spacing w:line="247" w:lineRule="auto" w:before="1"/>
        <w:ind w:left="103" w:right="115"/>
        <w:jc w:val="both"/>
      </w:pPr>
      <w:r>
        <w:rPr>
          <w:color w:val="231F20"/>
        </w:rPr>
        <w:t>Junto con la idea de homogeneización también apareció la figura de un mundo más compacto, más finito, que implosionaba hacia la uniformidad de un solo modelo. Con la aparición de </w:t>
      </w:r>
      <w:r>
        <w:rPr>
          <w:rFonts w:ascii="Arial" w:hAnsi="Arial"/>
          <w:i/>
          <w:color w:val="231F20"/>
        </w:rPr>
        <w:t>The End of History and the Last </w:t>
      </w:r>
      <w:r>
        <w:rPr>
          <w:rFonts w:ascii="Arial" w:hAnsi="Arial"/>
          <w:i/>
          <w:color w:val="231F20"/>
        </w:rPr>
        <w:t>Man</w:t>
      </w:r>
      <w:r>
        <w:rPr>
          <w:color w:val="231F20"/>
        </w:rPr>
        <w:t>, en 1992, Francis Fukuyama pareció alentar tal postura al retomar un antiguo debate: el fin de la historia, cuestión que ya habían adelantado Hegel y Marx. En el contexto actual, suponía el advenimiento de una</w:t>
      </w:r>
      <w:r>
        <w:rPr>
          <w:color w:val="231F20"/>
          <w:spacing w:val="-42"/>
        </w:rPr>
        <w:t> </w:t>
      </w:r>
      <w:r>
        <w:rPr>
          <w:color w:val="231F20"/>
        </w:rPr>
        <w:t>etapa posthistórica en la cual —una vez caído el Muro de Berlín y terminada la gran confrontación entre capitalismo y socialismo— el mundo se instalaría en</w:t>
      </w:r>
      <w:r>
        <w:rPr>
          <w:color w:val="231F20"/>
          <w:spacing w:val="-4"/>
        </w:rPr>
        <w:t> </w:t>
      </w:r>
      <w:r>
        <w:rPr>
          <w:color w:val="231F20"/>
        </w:rPr>
        <w:t>la</w:t>
      </w:r>
      <w:r>
        <w:rPr>
          <w:color w:val="231F20"/>
          <w:spacing w:val="-4"/>
        </w:rPr>
        <w:t> </w:t>
      </w:r>
      <w:r>
        <w:rPr>
          <w:color w:val="231F20"/>
        </w:rPr>
        <w:t>planicie</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sola</w:t>
      </w:r>
      <w:r>
        <w:rPr>
          <w:color w:val="231F20"/>
          <w:spacing w:val="-4"/>
        </w:rPr>
        <w:t> </w:t>
      </w:r>
      <w:r>
        <w:rPr>
          <w:color w:val="231F20"/>
        </w:rPr>
        <w:t>y</w:t>
      </w:r>
      <w:r>
        <w:rPr>
          <w:color w:val="231F20"/>
          <w:spacing w:val="-4"/>
        </w:rPr>
        <w:t> </w:t>
      </w:r>
      <w:r>
        <w:rPr>
          <w:color w:val="231F20"/>
        </w:rPr>
        <w:t>única</w:t>
      </w:r>
      <w:r>
        <w:rPr>
          <w:color w:val="231F20"/>
          <w:spacing w:val="-4"/>
        </w:rPr>
        <w:t> </w:t>
      </w:r>
      <w:r>
        <w:rPr>
          <w:color w:val="231F20"/>
        </w:rPr>
        <w:t>visión</w:t>
      </w:r>
      <w:r>
        <w:rPr>
          <w:color w:val="231F20"/>
          <w:spacing w:val="-4"/>
        </w:rPr>
        <w:t> </w:t>
      </w:r>
      <w:r>
        <w:rPr>
          <w:color w:val="231F20"/>
        </w:rPr>
        <w:t>triunfante,</w:t>
      </w:r>
      <w:r>
        <w:rPr>
          <w:color w:val="231F20"/>
          <w:spacing w:val="-4"/>
        </w:rPr>
        <w:t> </w:t>
      </w:r>
      <w:r>
        <w:rPr>
          <w:color w:val="231F20"/>
        </w:rPr>
        <w:t>la</w:t>
      </w:r>
      <w:r>
        <w:rPr>
          <w:color w:val="231F20"/>
          <w:spacing w:val="-4"/>
        </w:rPr>
        <w:t> </w:t>
      </w:r>
      <w:r>
        <w:rPr>
          <w:color w:val="231F20"/>
        </w:rPr>
        <w:t>lógica</w:t>
      </w:r>
      <w:r>
        <w:rPr>
          <w:color w:val="231F20"/>
          <w:spacing w:val="-4"/>
        </w:rPr>
        <w:t> </w:t>
      </w:r>
      <w:r>
        <w:rPr>
          <w:color w:val="231F20"/>
        </w:rPr>
        <w:t>capitalista.</w:t>
      </w:r>
      <w:r>
        <w:rPr>
          <w:color w:val="231F20"/>
          <w:spacing w:val="-4"/>
        </w:rPr>
        <w:t> </w:t>
      </w:r>
      <w:r>
        <w:rPr>
          <w:color w:val="231F20"/>
        </w:rPr>
        <w:t>Ello significaba el fin de la Guerra Fría, de la amenaza bélica y de los grandes conflictos de la humanidad, y con ello una especie de reducción del glo- bo a un solo modelo económico y cultural, así como una unificación de    la pluralidad de posturas, idiosincrasias y particularidades que pueblan el mundo. Sin embargo, tal reducción está lejos de ser total, la globalización ha representado sin duda una tendencia a la finitud, pero al mismo</w:t>
      </w:r>
      <w:r>
        <w:rPr>
          <w:color w:val="231F20"/>
          <w:spacing w:val="-17"/>
        </w:rPr>
        <w:t> </w:t>
      </w:r>
      <w:r>
        <w:rPr>
          <w:color w:val="231F20"/>
        </w:rPr>
        <w:t>tiempo ha multiplicado gestos y reacciones particulares, a veces extremos o vio- lentos, así como una diversidad de visiones del mundo. Es </w:t>
      </w:r>
      <w:r>
        <w:rPr>
          <w:color w:val="231F20"/>
          <w:spacing w:val="-4"/>
        </w:rPr>
        <w:t>decir, </w:t>
      </w:r>
      <w:r>
        <w:rPr>
          <w:color w:val="231F20"/>
        </w:rPr>
        <w:t>si la</w:t>
      </w:r>
      <w:r>
        <w:rPr>
          <w:color w:val="231F20"/>
          <w:spacing w:val="-34"/>
        </w:rPr>
        <w:t> </w:t>
      </w:r>
      <w:r>
        <w:rPr>
          <w:color w:val="231F20"/>
        </w:rPr>
        <w:t>dupla finitud–pluralidad ha sido vista mayormente en términos lineales y exclu- yentes,</w:t>
      </w:r>
      <w:r>
        <w:rPr>
          <w:color w:val="231F20"/>
          <w:spacing w:val="-16"/>
        </w:rPr>
        <w:t> </w:t>
      </w:r>
      <w:r>
        <w:rPr>
          <w:color w:val="231F20"/>
        </w:rPr>
        <w:t>más</w:t>
      </w:r>
      <w:r>
        <w:rPr>
          <w:color w:val="231F20"/>
          <w:spacing w:val="-16"/>
        </w:rPr>
        <w:t> </w:t>
      </w:r>
      <w:r>
        <w:rPr>
          <w:color w:val="231F20"/>
        </w:rPr>
        <w:t>bien</w:t>
      </w:r>
      <w:r>
        <w:rPr>
          <w:color w:val="231F20"/>
          <w:spacing w:val="-16"/>
        </w:rPr>
        <w:t> </w:t>
      </w:r>
      <w:r>
        <w:rPr>
          <w:color w:val="231F20"/>
        </w:rPr>
        <w:t>entre</w:t>
      </w:r>
      <w:r>
        <w:rPr>
          <w:color w:val="231F20"/>
          <w:spacing w:val="-16"/>
        </w:rPr>
        <w:t> </w:t>
      </w:r>
      <w:r>
        <w:rPr>
          <w:color w:val="231F20"/>
        </w:rPr>
        <w:t>ambos</w:t>
      </w:r>
      <w:r>
        <w:rPr>
          <w:color w:val="231F20"/>
          <w:spacing w:val="-16"/>
        </w:rPr>
        <w:t> </w:t>
      </w:r>
      <w:r>
        <w:rPr>
          <w:color w:val="231F20"/>
        </w:rPr>
        <w:t>se</w:t>
      </w:r>
      <w:r>
        <w:rPr>
          <w:color w:val="231F20"/>
          <w:spacing w:val="-16"/>
        </w:rPr>
        <w:t> </w:t>
      </w:r>
      <w:r>
        <w:rPr>
          <w:color w:val="231F20"/>
        </w:rPr>
        <w:t>abre</w:t>
      </w:r>
      <w:r>
        <w:rPr>
          <w:color w:val="231F20"/>
          <w:spacing w:val="-16"/>
        </w:rPr>
        <w:t> </w:t>
      </w:r>
      <w:r>
        <w:rPr>
          <w:color w:val="231F20"/>
        </w:rPr>
        <w:t>una</w:t>
      </w:r>
      <w:r>
        <w:rPr>
          <w:color w:val="231F20"/>
          <w:spacing w:val="-16"/>
        </w:rPr>
        <w:t> </w:t>
      </w:r>
      <w:r>
        <w:rPr>
          <w:color w:val="231F20"/>
        </w:rPr>
        <w:t>paradoja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cual</w:t>
      </w:r>
      <w:r>
        <w:rPr>
          <w:color w:val="231F20"/>
          <w:spacing w:val="-16"/>
        </w:rPr>
        <w:t> </w:t>
      </w:r>
      <w:r>
        <w:rPr>
          <w:color w:val="231F20"/>
        </w:rPr>
        <w:t>no</w:t>
      </w:r>
      <w:r>
        <w:rPr>
          <w:color w:val="231F20"/>
          <w:spacing w:val="-16"/>
        </w:rPr>
        <w:t> </w:t>
      </w:r>
      <w:r>
        <w:rPr>
          <w:color w:val="231F20"/>
        </w:rPr>
        <w:t>hay</w:t>
      </w:r>
      <w:r>
        <w:rPr>
          <w:color w:val="231F20"/>
          <w:spacing w:val="-16"/>
        </w:rPr>
        <w:t> </w:t>
      </w:r>
      <w:r>
        <w:rPr>
          <w:color w:val="231F20"/>
        </w:rPr>
        <w:t>finitud sin creación de pluralidad, a la vez que lo plural se integra y se produce</w:t>
      </w:r>
      <w:r>
        <w:rPr>
          <w:color w:val="231F20"/>
          <w:spacing w:val="-37"/>
        </w:rPr>
        <w:t> </w:t>
      </w:r>
      <w:r>
        <w:rPr>
          <w:color w:val="231F20"/>
        </w:rPr>
        <w:t>en parte dentro de esta tendencia a la finitud. El propio Fukuyama mostraba sus reparos ante una concepción totalmente finita del mundo </w:t>
      </w:r>
      <w:r>
        <w:rPr>
          <w:color w:val="231F20"/>
          <w:spacing w:val="-10"/>
        </w:rPr>
        <w:t>y, </w:t>
      </w:r>
      <w:r>
        <w:rPr>
          <w:color w:val="231F20"/>
        </w:rPr>
        <w:t>por ende, al</w:t>
      </w:r>
      <w:r>
        <w:rPr>
          <w:color w:val="231F20"/>
          <w:spacing w:val="-14"/>
        </w:rPr>
        <w:t> </w:t>
      </w:r>
      <w:r>
        <w:rPr>
          <w:color w:val="231F20"/>
        </w:rPr>
        <w:t>fin</w:t>
      </w:r>
      <w:r>
        <w:rPr>
          <w:color w:val="231F20"/>
          <w:spacing w:val="-14"/>
        </w:rPr>
        <w:t> </w:t>
      </w:r>
      <w:r>
        <w:rPr>
          <w:color w:val="231F20"/>
        </w:rPr>
        <w:t>radical</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historia,</w:t>
      </w:r>
      <w:r>
        <w:rPr>
          <w:color w:val="231F20"/>
          <w:spacing w:val="-14"/>
        </w:rPr>
        <w:t> </w:t>
      </w:r>
      <w:r>
        <w:rPr>
          <w:color w:val="231F20"/>
        </w:rPr>
        <w:t>dejaba</w:t>
      </w:r>
      <w:r>
        <w:rPr>
          <w:color w:val="231F20"/>
          <w:spacing w:val="-14"/>
        </w:rPr>
        <w:t> </w:t>
      </w:r>
      <w:r>
        <w:rPr>
          <w:color w:val="231F20"/>
        </w:rPr>
        <w:t>así</w:t>
      </w:r>
      <w:r>
        <w:rPr>
          <w:color w:val="231F20"/>
          <w:spacing w:val="-14"/>
        </w:rPr>
        <w:t> </w:t>
      </w:r>
      <w:r>
        <w:rPr>
          <w:color w:val="231F20"/>
        </w:rPr>
        <w:t>abierta</w:t>
      </w:r>
      <w:r>
        <w:rPr>
          <w:color w:val="231F20"/>
          <w:spacing w:val="-14"/>
        </w:rPr>
        <w:t> </w:t>
      </w:r>
      <w:r>
        <w:rPr>
          <w:color w:val="231F20"/>
        </w:rPr>
        <w:t>la</w:t>
      </w:r>
      <w:r>
        <w:rPr>
          <w:color w:val="231F20"/>
          <w:spacing w:val="-14"/>
        </w:rPr>
        <w:t> </w:t>
      </w:r>
      <w:r>
        <w:rPr>
          <w:color w:val="231F20"/>
        </w:rPr>
        <w:t>puerta</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aparición</w:t>
      </w:r>
      <w:r>
        <w:rPr>
          <w:color w:val="231F20"/>
          <w:spacing w:val="-14"/>
        </w:rPr>
        <w:t> </w:t>
      </w:r>
      <w:r>
        <w:rPr>
          <w:color w:val="231F20"/>
        </w:rPr>
        <w:t>de</w:t>
      </w:r>
      <w:r>
        <w:rPr>
          <w:color w:val="231F20"/>
          <w:spacing w:val="-14"/>
        </w:rPr>
        <w:t> </w:t>
      </w:r>
      <w:r>
        <w:rPr>
          <w:color w:val="231F20"/>
        </w:rPr>
        <w:t>con- tradicciones que terminarían relanzando la historia: “El problema con el fin de la historia puede ser expuesto de la siguiente manera: ¿existen ‘contra- dicciones’, en nuestro orden social contemporáneo, liberal y democrático que nos permitirían esperar que el proceso histórico continúe y produzca un nuevo y más alto orden?”</w:t>
      </w:r>
      <w:r>
        <w:rPr>
          <w:color w:val="231F20"/>
          <w:position w:val="7"/>
          <w:sz w:val="12"/>
        </w:rPr>
        <w:t>21</w:t>
      </w:r>
      <w:r>
        <w:rPr>
          <w:color w:val="231F20"/>
        </w:rPr>
        <w:t>. En suma, la finitud a la que nos acerca la globalización es una que se sostiene en y no deja de producir gestos y perspectivas plurales, con lo cual, no hay algo propiamente global ni algo propiamente local, o en dado caso, se trataría de una propiedad bastan-  te peculiar: salpicada de elementos extraños y ajenos, de elementos que no son propios, pero que terminan asumiéndose como tales; una propie- dad que se sostiene en lo impropio. Con ello; estaríamos lejos de</w:t>
      </w:r>
      <w:r>
        <w:rPr>
          <w:color w:val="231F20"/>
          <w:spacing w:val="1"/>
        </w:rPr>
        <w:t> </w:t>
      </w:r>
      <w:r>
        <w:rPr>
          <w:color w:val="231F20"/>
        </w:rPr>
        <w:t>observar</w:t>
      </w:r>
    </w:p>
    <w:p>
      <w:pPr>
        <w:pStyle w:val="BodyText"/>
        <w:spacing w:before="11"/>
        <w:rPr>
          <w:sz w:val="16"/>
        </w:rPr>
      </w:pPr>
      <w:r>
        <w:rPr/>
        <w:pict>
          <v:line style="position:absolute;mso-position-horizontal-relative:page;mso-position-vertical-relative:paragraph;z-index:4216;mso-wrap-distance-left:0;mso-wrap-distance-right:0" from="65.196899pt,12.306985pt" to="178.582899pt,12.306985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position w:val="6"/>
          <w:sz w:val="10"/>
        </w:rPr>
        <w:t>20  </w:t>
      </w:r>
      <w:r>
        <w:rPr>
          <w:rFonts w:ascii="Calibri" w:hAnsi="Calibri"/>
          <w:color w:val="231F20"/>
          <w:sz w:val="17"/>
        </w:rPr>
        <w:t>Reder, </w:t>
      </w:r>
      <w:r>
        <w:rPr>
          <w:rFonts w:ascii="Calibri" w:hAnsi="Calibri"/>
          <w:i/>
          <w:color w:val="231F20"/>
          <w:sz w:val="17"/>
        </w:rPr>
        <w:t>Globalización y filosofía</w:t>
      </w:r>
      <w:r>
        <w:rPr>
          <w:rFonts w:ascii="Calibri" w:hAnsi="Calibri"/>
          <w:color w:val="231F20"/>
          <w:sz w:val="17"/>
        </w:rPr>
        <w:t>, pp. 54–55.</w:t>
      </w:r>
    </w:p>
    <w:p>
      <w:pPr>
        <w:spacing w:line="206" w:lineRule="exact" w:before="0"/>
        <w:ind w:left="103" w:right="0" w:firstLine="0"/>
        <w:jc w:val="left"/>
        <w:rPr>
          <w:rFonts w:ascii="Calibri"/>
          <w:sz w:val="17"/>
        </w:rPr>
      </w:pPr>
      <w:r>
        <w:rPr>
          <w:rFonts w:ascii="Calibri"/>
          <w:color w:val="231F20"/>
          <w:position w:val="6"/>
          <w:sz w:val="10"/>
        </w:rPr>
        <w:t>21 </w:t>
      </w:r>
      <w:r>
        <w:rPr>
          <w:rFonts w:ascii="Calibri"/>
          <w:color w:val="231F20"/>
          <w:sz w:val="17"/>
        </w:rPr>
        <w:t>F. Fukuyama, </w:t>
      </w:r>
      <w:r>
        <w:rPr>
          <w:rFonts w:ascii="Calibri"/>
          <w:i/>
          <w:color w:val="231F20"/>
          <w:sz w:val="17"/>
        </w:rPr>
        <w:t>The End of History and the Last Man</w:t>
      </w:r>
      <w:r>
        <w:rPr>
          <w:rFonts w:ascii="Calibri"/>
          <w:color w:val="231F20"/>
          <w:sz w:val="17"/>
        </w:rPr>
        <w:t>, New York, The Free Press, 1992, p. 136.</w:t>
      </w:r>
    </w:p>
    <w:p>
      <w:pPr>
        <w:pStyle w:val="BodyText"/>
        <w:rPr>
          <w:rFonts w:ascii="Calibri"/>
          <w:sz w:val="20"/>
        </w:rPr>
      </w:pPr>
    </w:p>
    <w:p>
      <w:pPr>
        <w:pStyle w:val="BodyText"/>
        <w:spacing w:before="9"/>
        <w:rPr>
          <w:rFonts w:ascii="Calibri"/>
          <w:sz w:val="27"/>
        </w:rPr>
      </w:pPr>
    </w:p>
    <w:p>
      <w:pPr>
        <w:tabs>
          <w:tab w:pos="1331" w:val="left" w:leader="none"/>
        </w:tabs>
        <w:spacing w:before="68"/>
        <w:ind w:left="281" w:right="0" w:firstLine="0"/>
        <w:jc w:val="left"/>
        <w:rPr>
          <w:rFonts w:ascii="Calibri" w:hAnsi="Calibri"/>
          <w:sz w:val="16"/>
        </w:rPr>
      </w:pPr>
      <w:r>
        <w:rPr/>
        <w:pict>
          <v:group style="position:absolute;margin-left:98.787804pt;margin-top:-3.358812pt;width:20.4pt;height:43pt;mso-position-horizontal-relative:page;mso-position-vertical-relative:paragraph;z-index:-171160"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hAnsi="Arial"/>
          <w:color w:val="414042"/>
          <w:position w:val="-4"/>
          <w:sz w:val="20"/>
        </w:rPr>
        <w:t>72</w:t>
        <w:tab/>
      </w:r>
      <w:r>
        <w:rPr>
          <w:rFonts w:ascii="Calibri" w:hAnsi="Calibri"/>
          <w:color w:val="6D6E71"/>
          <w:sz w:val="16"/>
        </w:rPr>
        <w:t>María Luisa Bacarlett</w:t>
      </w:r>
      <w:r>
        <w:rPr>
          <w:rFonts w:ascii="Calibri" w:hAnsi="Calibri"/>
          <w:color w:val="6D6E71"/>
          <w:spacing w:val="33"/>
          <w:sz w:val="16"/>
        </w:rPr>
        <w:t> </w:t>
      </w:r>
      <w:r>
        <w:rPr>
          <w:rFonts w:ascii="Calibri" w:hAnsi="Calibri"/>
          <w:color w:val="6D6E71"/>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335" w:right="0" w:firstLine="0"/>
        <w:jc w:val="left"/>
        <w:rPr>
          <w:rFonts w:ascii="Arial" w:hAnsi="Arial"/>
          <w:sz w:val="20"/>
        </w:rPr>
      </w:pPr>
      <w:r>
        <w:rPr/>
        <w:pict>
          <v:group style="position:absolute;margin-left:383.821014pt;margin-top:-25.479271pt;width:8.65pt;height:41pt;mso-position-horizontal-relative:page;mso-position-vertical-relative:paragraph;z-index:-17111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NATURALIZAR</w:t>
      </w:r>
      <w:r>
        <w:rPr>
          <w:rFonts w:ascii="Lucida Sans Unicode" w:hAnsi="Lucida Sans Unicode"/>
          <w:color w:val="6D6E71"/>
          <w:spacing w:val="-19"/>
          <w:w w:val="95"/>
          <w:sz w:val="14"/>
        </w:rPr>
        <w:t> </w:t>
      </w:r>
      <w:r>
        <w:rPr>
          <w:rFonts w:ascii="Lucida Sans Unicode" w:hAnsi="Lucida Sans Unicode"/>
          <w:color w:val="6D6E71"/>
          <w:w w:val="95"/>
          <w:sz w:val="14"/>
        </w:rPr>
        <w:t>LAS</w:t>
      </w:r>
      <w:r>
        <w:rPr>
          <w:rFonts w:ascii="Lucida Sans Unicode" w:hAnsi="Lucida Sans Unicode"/>
          <w:color w:val="6D6E71"/>
          <w:spacing w:val="-19"/>
          <w:w w:val="95"/>
          <w:sz w:val="14"/>
        </w:rPr>
        <w:t> </w:t>
      </w:r>
      <w:r>
        <w:rPr>
          <w:rFonts w:ascii="Lucida Sans Unicode" w:hAnsi="Lucida Sans Unicode"/>
          <w:color w:val="6D6E71"/>
          <w:w w:val="95"/>
          <w:sz w:val="14"/>
        </w:rPr>
        <w:t>PARADOJAS:</w:t>
      </w:r>
      <w:r>
        <w:rPr>
          <w:rFonts w:ascii="Lucida Sans Unicode" w:hAnsi="Lucida Sans Unicode"/>
          <w:color w:val="6D6E71"/>
          <w:spacing w:val="-19"/>
          <w:w w:val="95"/>
          <w:sz w:val="14"/>
        </w:rPr>
        <w:t> </w:t>
      </w:r>
      <w:r>
        <w:rPr>
          <w:rFonts w:ascii="Lucida Sans Unicode" w:hAnsi="Lucida Sans Unicode"/>
          <w:color w:val="6D6E71"/>
          <w:w w:val="95"/>
          <w:sz w:val="14"/>
        </w:rPr>
        <w:t>UN</w:t>
      </w:r>
      <w:r>
        <w:rPr>
          <w:rFonts w:ascii="Lucida Sans Unicode" w:hAnsi="Lucida Sans Unicode"/>
          <w:color w:val="6D6E71"/>
          <w:spacing w:val="-19"/>
          <w:w w:val="95"/>
          <w:sz w:val="14"/>
        </w:rPr>
        <w:t> </w:t>
      </w:r>
      <w:r>
        <w:rPr>
          <w:rFonts w:ascii="Lucida Sans Unicode" w:hAnsi="Lucida Sans Unicode"/>
          <w:color w:val="6D6E71"/>
          <w:w w:val="95"/>
          <w:sz w:val="14"/>
        </w:rPr>
        <w:t>ACERCAMIENTO</w:t>
      </w:r>
      <w:r>
        <w:rPr>
          <w:rFonts w:ascii="Lucida Sans Unicode" w:hAnsi="Lucida Sans Unicode"/>
          <w:color w:val="6D6E71"/>
          <w:spacing w:val="-19"/>
          <w:w w:val="95"/>
          <w:sz w:val="14"/>
        </w:rPr>
        <w:t> </w:t>
      </w:r>
      <w:r>
        <w:rPr>
          <w:rFonts w:ascii="Lucida Sans Unicode" w:hAnsi="Lucida Sans Unicode"/>
          <w:color w:val="6D6E71"/>
          <w:w w:val="95"/>
          <w:sz w:val="14"/>
        </w:rPr>
        <w:t>A</w:t>
      </w:r>
      <w:r>
        <w:rPr>
          <w:rFonts w:ascii="Lucida Sans Unicode" w:hAnsi="Lucida Sans Unicode"/>
          <w:color w:val="6D6E71"/>
          <w:spacing w:val="-19"/>
          <w:w w:val="95"/>
          <w:sz w:val="14"/>
        </w:rPr>
        <w:t> </w:t>
      </w:r>
      <w:r>
        <w:rPr>
          <w:rFonts w:ascii="Lucida Sans Unicode" w:hAnsi="Lucida Sans Unicode"/>
          <w:color w:val="6D6E71"/>
          <w:w w:val="95"/>
          <w:sz w:val="14"/>
        </w:rPr>
        <w:t>LA</w:t>
      </w:r>
      <w:r>
        <w:rPr>
          <w:rFonts w:ascii="Lucida Sans Unicode" w:hAnsi="Lucida Sans Unicode"/>
          <w:color w:val="6D6E71"/>
          <w:spacing w:val="-19"/>
          <w:w w:val="95"/>
          <w:sz w:val="14"/>
        </w:rPr>
        <w:t> </w:t>
      </w:r>
      <w:r>
        <w:rPr>
          <w:rFonts w:ascii="Lucida Sans Unicode" w:hAnsi="Lucida Sans Unicode"/>
          <w:color w:val="6D6E71"/>
          <w:w w:val="95"/>
          <w:sz w:val="14"/>
        </w:rPr>
        <w:t>GLOBALIZACIÓN</w:t>
      </w:r>
      <w:r>
        <w:rPr>
          <w:rFonts w:ascii="Lucida Sans Unicode" w:hAnsi="Lucida Sans Unicode"/>
          <w:color w:val="6D6E71"/>
          <w:spacing w:val="-19"/>
          <w:w w:val="95"/>
          <w:sz w:val="14"/>
        </w:rPr>
        <w:t> </w:t>
      </w:r>
      <w:r>
        <w:rPr>
          <w:rFonts w:ascii="Lucida Sans Unicode" w:hAnsi="Lucida Sans Unicode"/>
          <w:color w:val="6D6E71"/>
          <w:w w:val="95"/>
          <w:sz w:val="14"/>
        </w:rPr>
        <w:t>DESDE</w:t>
      </w:r>
      <w:r>
        <w:rPr>
          <w:rFonts w:ascii="Lucida Sans Unicode" w:hAnsi="Lucida Sans Unicode"/>
          <w:color w:val="6D6E71"/>
          <w:spacing w:val="-19"/>
          <w:w w:val="95"/>
          <w:sz w:val="14"/>
        </w:rPr>
        <w:t> </w:t>
      </w:r>
      <w:r>
        <w:rPr>
          <w:rFonts w:ascii="Lucida Sans Unicode" w:hAnsi="Lucida Sans Unicode"/>
          <w:color w:val="6D6E71"/>
          <w:w w:val="95"/>
          <w:sz w:val="14"/>
        </w:rPr>
        <w:t>GILLES</w:t>
      </w:r>
      <w:r>
        <w:rPr>
          <w:rFonts w:ascii="Lucida Sans Unicode" w:hAnsi="Lucida Sans Unicode"/>
          <w:color w:val="6D6E71"/>
          <w:spacing w:val="-19"/>
          <w:w w:val="95"/>
          <w:sz w:val="14"/>
        </w:rPr>
        <w:t> </w:t>
      </w:r>
      <w:r>
        <w:rPr>
          <w:rFonts w:ascii="Lucida Sans Unicode" w:hAnsi="Lucida Sans Unicode"/>
          <w:color w:val="6D6E71"/>
          <w:w w:val="95"/>
          <w:sz w:val="14"/>
        </w:rPr>
        <w:t>DELEUZE</w:t>
      </w:r>
      <w:r>
        <w:rPr>
          <w:rFonts w:ascii="Arial" w:hAnsi="Arial"/>
          <w:color w:val="414042"/>
          <w:w w:val="95"/>
          <w:position w:val="-3"/>
          <w:sz w:val="20"/>
        </w:rPr>
        <w:tab/>
        <w:t>73</w:t>
      </w:r>
    </w:p>
    <w:p>
      <w:pPr>
        <w:pStyle w:val="BodyText"/>
        <w:rPr>
          <w:rFonts w:ascii="Arial"/>
          <w:sz w:val="20"/>
        </w:rPr>
      </w:pPr>
    </w:p>
    <w:p>
      <w:pPr>
        <w:pStyle w:val="BodyText"/>
        <w:rPr>
          <w:rFonts w:ascii="Arial"/>
          <w:sz w:val="20"/>
        </w:rPr>
      </w:pPr>
    </w:p>
    <w:p>
      <w:pPr>
        <w:pStyle w:val="BodyText"/>
        <w:spacing w:line="247" w:lineRule="auto" w:before="163"/>
        <w:ind w:left="117" w:right="101"/>
        <w:jc w:val="both"/>
      </w:pPr>
      <w:r>
        <w:rPr>
          <w:color w:val="231F20"/>
        </w:rPr>
        <w:t>identidades y diferencias blindadas, es decir, totalmente propias: no hay nada propio que de alguna manera no sea o haya sido de otros.</w:t>
      </w:r>
    </w:p>
    <w:p>
      <w:pPr>
        <w:pStyle w:val="BodyText"/>
        <w:spacing w:before="5"/>
      </w:pPr>
    </w:p>
    <w:p>
      <w:pPr>
        <w:pStyle w:val="ListParagraph"/>
        <w:numPr>
          <w:ilvl w:val="0"/>
          <w:numId w:val="5"/>
        </w:numPr>
        <w:tabs>
          <w:tab w:pos="922" w:val="left" w:leader="none"/>
        </w:tabs>
        <w:spacing w:line="240" w:lineRule="auto" w:before="0" w:after="0"/>
        <w:ind w:left="921" w:right="0" w:hanging="237"/>
        <w:jc w:val="left"/>
        <w:rPr>
          <w:sz w:val="21"/>
        </w:rPr>
      </w:pPr>
      <w:r>
        <w:rPr>
          <w:color w:val="231F20"/>
          <w:w w:val="105"/>
          <w:sz w:val="21"/>
        </w:rPr>
        <w:t>Origen–fin</w:t>
      </w:r>
    </w:p>
    <w:p>
      <w:pPr>
        <w:pStyle w:val="BodyText"/>
        <w:rPr>
          <w:sz w:val="22"/>
        </w:rPr>
      </w:pPr>
    </w:p>
    <w:p>
      <w:pPr>
        <w:pStyle w:val="BodyText"/>
        <w:spacing w:line="247" w:lineRule="auto" w:before="1"/>
        <w:ind w:left="117" w:right="101"/>
        <w:jc w:val="both"/>
      </w:pPr>
      <w:r>
        <w:rPr>
          <w:color w:val="231F20"/>
          <w:w w:val="105"/>
        </w:rPr>
        <w:t>Ligado con el tema de la propiedad está el problema del origen y la</w:t>
      </w:r>
      <w:r>
        <w:rPr>
          <w:color w:val="231F20"/>
          <w:spacing w:val="-41"/>
          <w:w w:val="105"/>
        </w:rPr>
        <w:t> </w:t>
      </w:r>
      <w:r>
        <w:rPr>
          <w:color w:val="231F20"/>
          <w:w w:val="105"/>
        </w:rPr>
        <w:t>au- tenticidad.</w:t>
      </w:r>
      <w:r>
        <w:rPr>
          <w:color w:val="231F20"/>
          <w:spacing w:val="-14"/>
          <w:w w:val="105"/>
        </w:rPr>
        <w:t> </w:t>
      </w:r>
      <w:r>
        <w:rPr>
          <w:color w:val="231F20"/>
          <w:w w:val="105"/>
        </w:rPr>
        <w:t>Es</w:t>
      </w:r>
      <w:r>
        <w:rPr>
          <w:color w:val="231F20"/>
          <w:spacing w:val="-14"/>
          <w:w w:val="105"/>
        </w:rPr>
        <w:t> </w:t>
      </w:r>
      <w:r>
        <w:rPr>
          <w:color w:val="231F20"/>
          <w:w w:val="105"/>
        </w:rPr>
        <w:t>indiscutible</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defensa</w:t>
      </w:r>
      <w:r>
        <w:rPr>
          <w:color w:val="231F20"/>
          <w:spacing w:val="-14"/>
          <w:w w:val="105"/>
        </w:rPr>
        <w:t> </w:t>
      </w:r>
      <w:r>
        <w:rPr>
          <w:color w:val="231F20"/>
          <w:w w:val="105"/>
        </w:rPr>
        <w:t>de</w:t>
      </w:r>
      <w:r>
        <w:rPr>
          <w:color w:val="231F20"/>
          <w:spacing w:val="-14"/>
          <w:w w:val="105"/>
        </w:rPr>
        <w:t> </w:t>
      </w:r>
      <w:r>
        <w:rPr>
          <w:color w:val="231F20"/>
          <w:w w:val="105"/>
        </w:rPr>
        <w:t>lo</w:t>
      </w:r>
      <w:r>
        <w:rPr>
          <w:color w:val="231F20"/>
          <w:spacing w:val="-14"/>
          <w:w w:val="105"/>
        </w:rPr>
        <w:t> </w:t>
      </w:r>
      <w:r>
        <w:rPr>
          <w:color w:val="231F20"/>
          <w:w w:val="105"/>
        </w:rPr>
        <w:t>propio,</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identidades nacionales,</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particularidades</w:t>
      </w:r>
      <w:r>
        <w:rPr>
          <w:color w:val="231F20"/>
          <w:spacing w:val="-20"/>
          <w:w w:val="105"/>
        </w:rPr>
        <w:t> </w:t>
      </w:r>
      <w:r>
        <w:rPr>
          <w:color w:val="231F20"/>
          <w:w w:val="105"/>
        </w:rPr>
        <w:t>étnicas</w:t>
      </w:r>
      <w:r>
        <w:rPr>
          <w:color w:val="231F20"/>
          <w:spacing w:val="-20"/>
          <w:w w:val="105"/>
        </w:rPr>
        <w:t> </w:t>
      </w:r>
      <w:r>
        <w:rPr>
          <w:color w:val="231F20"/>
          <w:w w:val="105"/>
        </w:rPr>
        <w:t>y</w:t>
      </w:r>
      <w:r>
        <w:rPr>
          <w:color w:val="231F20"/>
          <w:spacing w:val="-20"/>
          <w:w w:val="105"/>
        </w:rPr>
        <w:t> </w:t>
      </w:r>
      <w:r>
        <w:rPr>
          <w:color w:val="231F20"/>
          <w:w w:val="105"/>
        </w:rPr>
        <w:t>culturales,</w:t>
      </w:r>
      <w:r>
        <w:rPr>
          <w:color w:val="231F20"/>
          <w:spacing w:val="-20"/>
          <w:w w:val="105"/>
        </w:rPr>
        <w:t> </w:t>
      </w:r>
      <w:r>
        <w:rPr>
          <w:color w:val="231F20"/>
          <w:w w:val="105"/>
        </w:rPr>
        <w:t>se</w:t>
      </w:r>
      <w:r>
        <w:rPr>
          <w:color w:val="231F20"/>
          <w:spacing w:val="-20"/>
          <w:w w:val="105"/>
        </w:rPr>
        <w:t> </w:t>
      </w:r>
      <w:r>
        <w:rPr>
          <w:color w:val="231F20"/>
          <w:w w:val="105"/>
        </w:rPr>
        <w:t>ha</w:t>
      </w:r>
      <w:r>
        <w:rPr>
          <w:color w:val="231F20"/>
          <w:spacing w:val="-20"/>
          <w:w w:val="105"/>
        </w:rPr>
        <w:t> </w:t>
      </w:r>
      <w:r>
        <w:rPr>
          <w:color w:val="231F20"/>
          <w:w w:val="105"/>
        </w:rPr>
        <w:t>exacerbado con</w:t>
      </w:r>
      <w:r>
        <w:rPr>
          <w:color w:val="231F20"/>
          <w:spacing w:val="-18"/>
          <w:w w:val="105"/>
        </w:rPr>
        <w:t> </w:t>
      </w:r>
      <w:r>
        <w:rPr>
          <w:color w:val="231F20"/>
          <w:w w:val="105"/>
        </w:rPr>
        <w:t>la</w:t>
      </w:r>
      <w:r>
        <w:rPr>
          <w:color w:val="231F20"/>
          <w:spacing w:val="-18"/>
          <w:w w:val="105"/>
        </w:rPr>
        <w:t> </w:t>
      </w:r>
      <w:r>
        <w:rPr>
          <w:color w:val="231F20"/>
          <w:w w:val="105"/>
        </w:rPr>
        <w:t>aceleración</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globalización.</w:t>
      </w:r>
      <w:r>
        <w:rPr>
          <w:color w:val="231F20"/>
          <w:spacing w:val="-18"/>
          <w:w w:val="105"/>
        </w:rPr>
        <w:t> </w:t>
      </w:r>
      <w:r>
        <w:rPr>
          <w:color w:val="231F20"/>
          <w:w w:val="105"/>
        </w:rPr>
        <w:t>La</w:t>
      </w:r>
      <w:r>
        <w:rPr>
          <w:color w:val="231F20"/>
          <w:spacing w:val="-18"/>
          <w:w w:val="105"/>
        </w:rPr>
        <w:t> </w:t>
      </w:r>
      <w:r>
        <w:rPr>
          <w:color w:val="231F20"/>
          <w:w w:val="105"/>
        </w:rPr>
        <w:t>explosión</w:t>
      </w:r>
      <w:r>
        <w:rPr>
          <w:color w:val="231F20"/>
          <w:spacing w:val="-18"/>
          <w:w w:val="105"/>
        </w:rPr>
        <w:t> </w:t>
      </w:r>
      <w:r>
        <w:rPr>
          <w:color w:val="231F20"/>
          <w:w w:val="105"/>
        </w:rPr>
        <w:t>de</w:t>
      </w:r>
      <w:r>
        <w:rPr>
          <w:color w:val="231F20"/>
          <w:spacing w:val="-18"/>
          <w:w w:val="105"/>
        </w:rPr>
        <w:t> </w:t>
      </w:r>
      <w:r>
        <w:rPr>
          <w:color w:val="231F20"/>
          <w:w w:val="105"/>
        </w:rPr>
        <w:t>gestos</w:t>
      </w:r>
      <w:r>
        <w:rPr>
          <w:color w:val="231F20"/>
          <w:spacing w:val="-18"/>
          <w:w w:val="105"/>
        </w:rPr>
        <w:t> </w:t>
      </w:r>
      <w:r>
        <w:rPr>
          <w:color w:val="231F20"/>
          <w:w w:val="105"/>
        </w:rPr>
        <w:t>que</w:t>
      </w:r>
      <w:r>
        <w:rPr>
          <w:color w:val="231F20"/>
          <w:spacing w:val="-18"/>
          <w:w w:val="105"/>
        </w:rPr>
        <w:t> </w:t>
      </w:r>
      <w:r>
        <w:rPr>
          <w:color w:val="231F20"/>
          <w:w w:val="105"/>
        </w:rPr>
        <w:t>defien- den</w:t>
      </w:r>
      <w:r>
        <w:rPr>
          <w:color w:val="231F20"/>
          <w:spacing w:val="-7"/>
          <w:w w:val="105"/>
        </w:rPr>
        <w:t> </w:t>
      </w:r>
      <w:r>
        <w:rPr>
          <w:color w:val="231F20"/>
          <w:w w:val="105"/>
        </w:rPr>
        <w:t>lo</w:t>
      </w:r>
      <w:r>
        <w:rPr>
          <w:color w:val="231F20"/>
          <w:spacing w:val="-7"/>
          <w:w w:val="105"/>
        </w:rPr>
        <w:t> </w:t>
      </w:r>
      <w:r>
        <w:rPr>
          <w:color w:val="231F20"/>
          <w:w w:val="105"/>
        </w:rPr>
        <w:t>particular,</w:t>
      </w:r>
      <w:r>
        <w:rPr>
          <w:color w:val="231F20"/>
          <w:spacing w:val="-7"/>
          <w:w w:val="105"/>
        </w:rPr>
        <w:t> </w:t>
      </w:r>
      <w:r>
        <w:rPr>
          <w:color w:val="231F20"/>
          <w:w w:val="105"/>
        </w:rPr>
        <w:t>la</w:t>
      </w:r>
      <w:r>
        <w:rPr>
          <w:color w:val="231F20"/>
          <w:spacing w:val="-7"/>
          <w:w w:val="105"/>
        </w:rPr>
        <w:t> </w:t>
      </w:r>
      <w:r>
        <w:rPr>
          <w:color w:val="231F20"/>
          <w:w w:val="105"/>
        </w:rPr>
        <w:t>diferencia</w:t>
      </w:r>
      <w:r>
        <w:rPr>
          <w:color w:val="231F20"/>
          <w:spacing w:val="-7"/>
          <w:w w:val="105"/>
        </w:rPr>
        <w:t> </w:t>
      </w:r>
      <w:r>
        <w:rPr>
          <w:color w:val="231F20"/>
          <w:w w:val="105"/>
        </w:rPr>
        <w:t>o</w:t>
      </w:r>
      <w:r>
        <w:rPr>
          <w:color w:val="231F20"/>
          <w:spacing w:val="-7"/>
          <w:w w:val="105"/>
        </w:rPr>
        <w:t> </w:t>
      </w:r>
      <w:r>
        <w:rPr>
          <w:color w:val="231F20"/>
          <w:w w:val="105"/>
        </w:rPr>
        <w:t>lo</w:t>
      </w:r>
      <w:r>
        <w:rPr>
          <w:color w:val="231F20"/>
          <w:spacing w:val="-7"/>
          <w:w w:val="105"/>
        </w:rPr>
        <w:t> </w:t>
      </w:r>
      <w:r>
        <w:rPr>
          <w:color w:val="231F20"/>
          <w:w w:val="105"/>
        </w:rPr>
        <w:t>distintivo</w:t>
      </w:r>
      <w:r>
        <w:rPr>
          <w:color w:val="231F20"/>
          <w:spacing w:val="-7"/>
          <w:w w:val="105"/>
        </w:rPr>
        <w:t> </w:t>
      </w:r>
      <w:r>
        <w:rPr>
          <w:color w:val="231F20"/>
          <w:w w:val="105"/>
        </w:rPr>
        <w:t>de</w:t>
      </w:r>
      <w:r>
        <w:rPr>
          <w:color w:val="231F20"/>
          <w:spacing w:val="-7"/>
          <w:w w:val="105"/>
        </w:rPr>
        <w:t> </w:t>
      </w:r>
      <w:r>
        <w:rPr>
          <w:color w:val="231F20"/>
          <w:w w:val="105"/>
        </w:rPr>
        <w:t>comunidades</w:t>
      </w:r>
      <w:r>
        <w:rPr>
          <w:color w:val="231F20"/>
          <w:spacing w:val="-7"/>
          <w:w w:val="105"/>
        </w:rPr>
        <w:t> </w:t>
      </w:r>
      <w:r>
        <w:rPr>
          <w:color w:val="231F20"/>
          <w:w w:val="105"/>
        </w:rPr>
        <w:t>concretas, frente</w:t>
      </w:r>
      <w:r>
        <w:rPr>
          <w:color w:val="231F20"/>
          <w:spacing w:val="-26"/>
          <w:w w:val="105"/>
        </w:rPr>
        <w:t> </w:t>
      </w:r>
      <w:r>
        <w:rPr>
          <w:color w:val="231F20"/>
          <w:w w:val="105"/>
        </w:rPr>
        <w:t>al</w:t>
      </w:r>
      <w:r>
        <w:rPr>
          <w:color w:val="231F20"/>
          <w:spacing w:val="-26"/>
          <w:w w:val="105"/>
        </w:rPr>
        <w:t> </w:t>
      </w:r>
      <w:r>
        <w:rPr>
          <w:color w:val="231F20"/>
          <w:w w:val="105"/>
        </w:rPr>
        <w:t>afán</w:t>
      </w:r>
      <w:r>
        <w:rPr>
          <w:color w:val="231F20"/>
          <w:spacing w:val="-26"/>
          <w:w w:val="105"/>
        </w:rPr>
        <w:t> </w:t>
      </w:r>
      <w:r>
        <w:rPr>
          <w:color w:val="231F20"/>
          <w:w w:val="105"/>
        </w:rPr>
        <w:t>unificador</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procesos</w:t>
      </w:r>
      <w:r>
        <w:rPr>
          <w:color w:val="231F20"/>
          <w:spacing w:val="-26"/>
          <w:w w:val="105"/>
        </w:rPr>
        <w:t> </w:t>
      </w:r>
      <w:r>
        <w:rPr>
          <w:color w:val="231F20"/>
          <w:w w:val="105"/>
        </w:rPr>
        <w:t>globales,</w:t>
      </w:r>
      <w:r>
        <w:rPr>
          <w:color w:val="231F20"/>
          <w:spacing w:val="-26"/>
          <w:w w:val="105"/>
        </w:rPr>
        <w:t> </w:t>
      </w:r>
      <w:r>
        <w:rPr>
          <w:color w:val="231F20"/>
          <w:w w:val="105"/>
        </w:rPr>
        <w:t>es</w:t>
      </w:r>
      <w:r>
        <w:rPr>
          <w:color w:val="231F20"/>
          <w:spacing w:val="-26"/>
          <w:w w:val="105"/>
        </w:rPr>
        <w:t> </w:t>
      </w:r>
      <w:r>
        <w:rPr>
          <w:color w:val="231F20"/>
          <w:w w:val="105"/>
        </w:rPr>
        <w:t>una</w:t>
      </w:r>
      <w:r>
        <w:rPr>
          <w:color w:val="231F20"/>
          <w:spacing w:val="-26"/>
          <w:w w:val="105"/>
        </w:rPr>
        <w:t> </w:t>
      </w:r>
      <w:r>
        <w:rPr>
          <w:color w:val="231F20"/>
          <w:w w:val="105"/>
        </w:rPr>
        <w:t>característica</w:t>
      </w:r>
      <w:r>
        <w:rPr>
          <w:color w:val="231F20"/>
          <w:spacing w:val="-26"/>
          <w:w w:val="105"/>
        </w:rPr>
        <w:t> </w:t>
      </w:r>
      <w:r>
        <w:rPr>
          <w:color w:val="231F20"/>
          <w:w w:val="105"/>
        </w:rPr>
        <w:t>de nuestros</w:t>
      </w:r>
      <w:r>
        <w:rPr>
          <w:color w:val="231F20"/>
          <w:spacing w:val="-26"/>
          <w:w w:val="105"/>
        </w:rPr>
        <w:t> </w:t>
      </w:r>
      <w:r>
        <w:rPr>
          <w:color w:val="231F20"/>
          <w:w w:val="105"/>
        </w:rPr>
        <w:t>tiempos;</w:t>
      </w:r>
      <w:r>
        <w:rPr>
          <w:color w:val="231F20"/>
          <w:spacing w:val="-26"/>
          <w:w w:val="105"/>
        </w:rPr>
        <w:t> </w:t>
      </w:r>
      <w:r>
        <w:rPr>
          <w:color w:val="231F20"/>
          <w:w w:val="105"/>
        </w:rPr>
        <w:t>sin</w:t>
      </w:r>
      <w:r>
        <w:rPr>
          <w:color w:val="231F20"/>
          <w:spacing w:val="-26"/>
          <w:w w:val="105"/>
        </w:rPr>
        <w:t> </w:t>
      </w:r>
      <w:r>
        <w:rPr>
          <w:color w:val="231F20"/>
          <w:w w:val="105"/>
        </w:rPr>
        <w:t>embargo,</w:t>
      </w:r>
      <w:r>
        <w:rPr>
          <w:color w:val="231F20"/>
          <w:spacing w:val="-26"/>
          <w:w w:val="105"/>
        </w:rPr>
        <w:t> </w:t>
      </w:r>
      <w:r>
        <w:rPr>
          <w:color w:val="231F20"/>
          <w:w w:val="105"/>
        </w:rPr>
        <w:t>como</w:t>
      </w:r>
      <w:r>
        <w:rPr>
          <w:color w:val="231F20"/>
          <w:spacing w:val="-26"/>
          <w:w w:val="105"/>
        </w:rPr>
        <w:t> </w:t>
      </w:r>
      <w:r>
        <w:rPr>
          <w:color w:val="231F20"/>
          <w:w w:val="105"/>
        </w:rPr>
        <w:t>ya</w:t>
      </w:r>
      <w:r>
        <w:rPr>
          <w:color w:val="231F20"/>
          <w:spacing w:val="-26"/>
          <w:w w:val="105"/>
        </w:rPr>
        <w:t> </w:t>
      </w:r>
      <w:r>
        <w:rPr>
          <w:color w:val="231F20"/>
          <w:w w:val="105"/>
        </w:rPr>
        <w:t>lo</w:t>
      </w:r>
      <w:r>
        <w:rPr>
          <w:color w:val="231F20"/>
          <w:spacing w:val="-26"/>
          <w:w w:val="105"/>
        </w:rPr>
        <w:t> </w:t>
      </w:r>
      <w:r>
        <w:rPr>
          <w:color w:val="231F20"/>
          <w:w w:val="105"/>
        </w:rPr>
        <w:t>había</w:t>
      </w:r>
      <w:r>
        <w:rPr>
          <w:color w:val="231F20"/>
          <w:spacing w:val="-26"/>
          <w:w w:val="105"/>
        </w:rPr>
        <w:t> </w:t>
      </w:r>
      <w:r>
        <w:rPr>
          <w:color w:val="231F20"/>
          <w:w w:val="105"/>
        </w:rPr>
        <w:t>anunciado</w:t>
      </w:r>
      <w:r>
        <w:rPr>
          <w:color w:val="231F20"/>
          <w:spacing w:val="-26"/>
          <w:w w:val="105"/>
        </w:rPr>
        <w:t> </w:t>
      </w:r>
      <w:r>
        <w:rPr>
          <w:color w:val="231F20"/>
          <w:w w:val="105"/>
        </w:rPr>
        <w:t>Benedict</w:t>
      </w:r>
      <w:r>
        <w:rPr>
          <w:color w:val="231F20"/>
          <w:spacing w:val="-26"/>
          <w:w w:val="105"/>
        </w:rPr>
        <w:t> </w:t>
      </w:r>
      <w:r>
        <w:rPr>
          <w:color w:val="231F20"/>
          <w:w w:val="105"/>
        </w:rPr>
        <w:t>An- derson,</w:t>
      </w:r>
      <w:r>
        <w:rPr>
          <w:color w:val="231F20"/>
          <w:spacing w:val="-21"/>
          <w:w w:val="105"/>
        </w:rPr>
        <w:t> </w:t>
      </w:r>
      <w:r>
        <w:rPr>
          <w:color w:val="231F20"/>
          <w:w w:val="105"/>
        </w:rPr>
        <w:t>buena</w:t>
      </w:r>
      <w:r>
        <w:rPr>
          <w:color w:val="231F20"/>
          <w:spacing w:val="-21"/>
          <w:w w:val="105"/>
        </w:rPr>
        <w:t> </w:t>
      </w:r>
      <w:r>
        <w:rPr>
          <w:color w:val="231F20"/>
          <w:w w:val="105"/>
        </w:rPr>
        <w:t>parte</w:t>
      </w:r>
      <w:r>
        <w:rPr>
          <w:color w:val="231F20"/>
          <w:spacing w:val="-21"/>
          <w:w w:val="105"/>
        </w:rPr>
        <w:t> </w:t>
      </w:r>
      <w:r>
        <w:rPr>
          <w:color w:val="231F20"/>
          <w:w w:val="105"/>
        </w:rPr>
        <w:t>de</w:t>
      </w:r>
      <w:r>
        <w:rPr>
          <w:color w:val="231F20"/>
          <w:spacing w:val="-21"/>
          <w:w w:val="105"/>
        </w:rPr>
        <w:t> </w:t>
      </w:r>
      <w:r>
        <w:rPr>
          <w:color w:val="231F20"/>
          <w:w w:val="105"/>
        </w:rPr>
        <w:t>esta</w:t>
      </w:r>
      <w:r>
        <w:rPr>
          <w:color w:val="231F20"/>
          <w:spacing w:val="-21"/>
          <w:w w:val="105"/>
        </w:rPr>
        <w:t> </w:t>
      </w:r>
      <w:r>
        <w:rPr>
          <w:rFonts w:ascii="Arial" w:hAnsi="Arial"/>
          <w:i/>
          <w:color w:val="231F20"/>
          <w:w w:val="105"/>
        </w:rPr>
        <w:t>nostalgia</w:t>
      </w:r>
      <w:r>
        <w:rPr>
          <w:rFonts w:ascii="Arial" w:hAnsi="Arial"/>
          <w:i/>
          <w:color w:val="231F20"/>
          <w:spacing w:val="-14"/>
          <w:w w:val="105"/>
        </w:rPr>
        <w:t> </w:t>
      </w:r>
      <w:r>
        <w:rPr>
          <w:rFonts w:ascii="Arial" w:hAnsi="Arial"/>
          <w:i/>
          <w:color w:val="231F20"/>
          <w:w w:val="105"/>
        </w:rPr>
        <w:t>del</w:t>
      </w:r>
      <w:r>
        <w:rPr>
          <w:rFonts w:ascii="Arial" w:hAnsi="Arial"/>
          <w:i/>
          <w:color w:val="231F20"/>
          <w:spacing w:val="-13"/>
          <w:w w:val="105"/>
        </w:rPr>
        <w:t> </w:t>
      </w:r>
      <w:r>
        <w:rPr>
          <w:rFonts w:ascii="Arial" w:hAnsi="Arial"/>
          <w:i/>
          <w:color w:val="231F20"/>
          <w:w w:val="105"/>
        </w:rPr>
        <w:t>origen</w:t>
      </w:r>
      <w:r>
        <w:rPr>
          <w:rFonts w:ascii="Arial" w:hAnsi="Arial"/>
          <w:i/>
          <w:color w:val="231F20"/>
          <w:spacing w:val="-13"/>
          <w:w w:val="105"/>
        </w:rPr>
        <w:t> </w:t>
      </w:r>
      <w:r>
        <w:rPr>
          <w:color w:val="231F20"/>
          <w:w w:val="105"/>
        </w:rPr>
        <w:t>ha</w:t>
      </w:r>
      <w:r>
        <w:rPr>
          <w:color w:val="231F20"/>
          <w:spacing w:val="-21"/>
          <w:w w:val="105"/>
        </w:rPr>
        <w:t> </w:t>
      </w:r>
      <w:r>
        <w:rPr>
          <w:color w:val="231F20"/>
          <w:w w:val="105"/>
        </w:rPr>
        <w:t>sido</w:t>
      </w:r>
      <w:r>
        <w:rPr>
          <w:color w:val="231F20"/>
          <w:spacing w:val="-21"/>
          <w:w w:val="105"/>
        </w:rPr>
        <w:t> </w:t>
      </w:r>
      <w:r>
        <w:rPr>
          <w:color w:val="231F20"/>
          <w:w w:val="105"/>
        </w:rPr>
        <w:t>producida</w:t>
      </w:r>
      <w:r>
        <w:rPr>
          <w:color w:val="231F20"/>
          <w:spacing w:val="-21"/>
          <w:w w:val="105"/>
        </w:rPr>
        <w:t> </w:t>
      </w:r>
      <w:r>
        <w:rPr>
          <w:color w:val="231F20"/>
          <w:w w:val="105"/>
        </w:rPr>
        <w:t>por</w:t>
      </w:r>
      <w:r>
        <w:rPr>
          <w:color w:val="231F20"/>
          <w:spacing w:val="-21"/>
          <w:w w:val="105"/>
        </w:rPr>
        <w:t> </w:t>
      </w:r>
      <w:r>
        <w:rPr>
          <w:color w:val="231F20"/>
          <w:w w:val="105"/>
        </w:rPr>
        <w:t>la propia</w:t>
      </w:r>
      <w:r>
        <w:rPr>
          <w:color w:val="231F20"/>
          <w:spacing w:val="-37"/>
          <w:w w:val="105"/>
        </w:rPr>
        <w:t> </w:t>
      </w:r>
      <w:r>
        <w:rPr>
          <w:color w:val="231F20"/>
          <w:w w:val="105"/>
        </w:rPr>
        <w:t>dinámica</w:t>
      </w:r>
      <w:r>
        <w:rPr>
          <w:color w:val="231F20"/>
          <w:spacing w:val="-37"/>
          <w:w w:val="105"/>
        </w:rPr>
        <w:t> </w:t>
      </w:r>
      <w:r>
        <w:rPr>
          <w:color w:val="231F20"/>
          <w:w w:val="105"/>
        </w:rPr>
        <w:t>global.</w:t>
      </w:r>
      <w:r>
        <w:rPr>
          <w:color w:val="231F20"/>
          <w:spacing w:val="-37"/>
          <w:w w:val="105"/>
        </w:rPr>
        <w:t> </w:t>
      </w:r>
      <w:r>
        <w:rPr>
          <w:color w:val="231F20"/>
          <w:w w:val="105"/>
        </w:rPr>
        <w:t>Esos</w:t>
      </w:r>
      <w:r>
        <w:rPr>
          <w:color w:val="231F20"/>
          <w:spacing w:val="-37"/>
          <w:w w:val="105"/>
        </w:rPr>
        <w:t> </w:t>
      </w:r>
      <w:r>
        <w:rPr>
          <w:color w:val="231F20"/>
          <w:w w:val="105"/>
        </w:rPr>
        <w:t>paraísos</w:t>
      </w:r>
      <w:r>
        <w:rPr>
          <w:color w:val="231F20"/>
          <w:spacing w:val="-37"/>
          <w:w w:val="105"/>
        </w:rPr>
        <w:t> </w:t>
      </w:r>
      <w:r>
        <w:rPr>
          <w:color w:val="231F20"/>
          <w:w w:val="105"/>
        </w:rPr>
        <w:t>perdidos,</w:t>
      </w:r>
      <w:r>
        <w:rPr>
          <w:color w:val="231F20"/>
          <w:spacing w:val="-37"/>
          <w:w w:val="105"/>
        </w:rPr>
        <w:t> </w:t>
      </w:r>
      <w:r>
        <w:rPr>
          <w:color w:val="231F20"/>
          <w:w w:val="105"/>
        </w:rPr>
        <w:t>ese</w:t>
      </w:r>
      <w:r>
        <w:rPr>
          <w:color w:val="231F20"/>
          <w:spacing w:val="-37"/>
          <w:w w:val="105"/>
        </w:rPr>
        <w:t> </w:t>
      </w:r>
      <w:r>
        <w:rPr>
          <w:color w:val="231F20"/>
          <w:w w:val="105"/>
        </w:rPr>
        <w:t>pasado</w:t>
      </w:r>
      <w:r>
        <w:rPr>
          <w:color w:val="231F20"/>
          <w:spacing w:val="-37"/>
          <w:w w:val="105"/>
        </w:rPr>
        <w:t> </w:t>
      </w:r>
      <w:r>
        <w:rPr>
          <w:color w:val="231F20"/>
          <w:w w:val="105"/>
        </w:rPr>
        <w:t>que</w:t>
      </w:r>
      <w:r>
        <w:rPr>
          <w:color w:val="231F20"/>
          <w:spacing w:val="-37"/>
          <w:w w:val="105"/>
        </w:rPr>
        <w:t> </w:t>
      </w:r>
      <w:r>
        <w:rPr>
          <w:color w:val="231F20"/>
          <w:w w:val="105"/>
        </w:rPr>
        <w:t>nunca</w:t>
      </w:r>
      <w:r>
        <w:rPr>
          <w:color w:val="231F20"/>
          <w:spacing w:val="-37"/>
          <w:w w:val="105"/>
        </w:rPr>
        <w:t> </w:t>
      </w:r>
      <w:r>
        <w:rPr>
          <w:color w:val="231F20"/>
          <w:w w:val="105"/>
        </w:rPr>
        <w:t>vol- verá,</w:t>
      </w:r>
      <w:r>
        <w:rPr>
          <w:color w:val="231F20"/>
          <w:spacing w:val="-20"/>
          <w:w w:val="105"/>
        </w:rPr>
        <w:t> </w:t>
      </w:r>
      <w:r>
        <w:rPr>
          <w:color w:val="231F20"/>
          <w:w w:val="105"/>
        </w:rPr>
        <w:t>en</w:t>
      </w:r>
      <w:r>
        <w:rPr>
          <w:color w:val="231F20"/>
          <w:spacing w:val="-20"/>
          <w:w w:val="105"/>
        </w:rPr>
        <w:t> </w:t>
      </w:r>
      <w:r>
        <w:rPr>
          <w:color w:val="231F20"/>
          <w:w w:val="105"/>
        </w:rPr>
        <w:t>realidad</w:t>
      </w:r>
      <w:r>
        <w:rPr>
          <w:color w:val="231F20"/>
          <w:spacing w:val="-20"/>
          <w:w w:val="105"/>
        </w:rPr>
        <w:t> </w:t>
      </w:r>
      <w:r>
        <w:rPr>
          <w:color w:val="231F20"/>
          <w:w w:val="105"/>
        </w:rPr>
        <w:t>nunca</w:t>
      </w:r>
      <w:r>
        <w:rPr>
          <w:color w:val="231F20"/>
          <w:spacing w:val="-20"/>
          <w:w w:val="105"/>
        </w:rPr>
        <w:t> </w:t>
      </w:r>
      <w:r>
        <w:rPr>
          <w:color w:val="231F20"/>
          <w:w w:val="105"/>
        </w:rPr>
        <w:t>existió</w:t>
      </w:r>
      <w:r>
        <w:rPr>
          <w:color w:val="231F20"/>
          <w:spacing w:val="-20"/>
          <w:w w:val="105"/>
        </w:rPr>
        <w:t> </w:t>
      </w:r>
      <w:r>
        <w:rPr>
          <w:color w:val="231F20"/>
          <w:w w:val="105"/>
        </w:rPr>
        <w:t>tal</w:t>
      </w:r>
      <w:r>
        <w:rPr>
          <w:color w:val="231F20"/>
          <w:spacing w:val="-20"/>
          <w:w w:val="105"/>
        </w:rPr>
        <w:t> </w:t>
      </w:r>
      <w:r>
        <w:rPr>
          <w:color w:val="231F20"/>
          <w:w w:val="105"/>
        </w:rPr>
        <w:t>cual,</w:t>
      </w:r>
      <w:r>
        <w:rPr>
          <w:color w:val="231F20"/>
          <w:spacing w:val="-20"/>
          <w:w w:val="105"/>
        </w:rPr>
        <w:t> </w:t>
      </w:r>
      <w:r>
        <w:rPr>
          <w:color w:val="231F20"/>
          <w:w w:val="105"/>
        </w:rPr>
        <w:t>sino</w:t>
      </w:r>
      <w:r>
        <w:rPr>
          <w:color w:val="231F20"/>
          <w:spacing w:val="-20"/>
          <w:w w:val="105"/>
        </w:rPr>
        <w:t> </w:t>
      </w:r>
      <w:r>
        <w:rPr>
          <w:color w:val="231F20"/>
          <w:w w:val="105"/>
        </w:rPr>
        <w:t>es</w:t>
      </w:r>
      <w:r>
        <w:rPr>
          <w:color w:val="231F20"/>
          <w:spacing w:val="-20"/>
          <w:w w:val="105"/>
        </w:rPr>
        <w:t> </w:t>
      </w:r>
      <w:r>
        <w:rPr>
          <w:color w:val="231F20"/>
          <w:w w:val="105"/>
        </w:rPr>
        <w:t>más</w:t>
      </w:r>
      <w:r>
        <w:rPr>
          <w:color w:val="231F20"/>
          <w:spacing w:val="-20"/>
          <w:w w:val="105"/>
        </w:rPr>
        <w:t> </w:t>
      </w:r>
      <w:r>
        <w:rPr>
          <w:color w:val="231F20"/>
          <w:w w:val="105"/>
        </w:rPr>
        <w:t>bien</w:t>
      </w:r>
      <w:r>
        <w:rPr>
          <w:color w:val="231F20"/>
          <w:spacing w:val="-20"/>
          <w:w w:val="105"/>
        </w:rPr>
        <w:t> </w:t>
      </w:r>
      <w:r>
        <w:rPr>
          <w:color w:val="231F20"/>
          <w:w w:val="105"/>
        </w:rPr>
        <w:t>producto</w:t>
      </w:r>
      <w:r>
        <w:rPr>
          <w:color w:val="231F20"/>
          <w:spacing w:val="-20"/>
          <w:w w:val="105"/>
        </w:rPr>
        <w:t> </w:t>
      </w:r>
      <w:r>
        <w:rPr>
          <w:color w:val="231F20"/>
          <w:w w:val="105"/>
        </w:rPr>
        <w:t>de</w:t>
      </w:r>
      <w:r>
        <w:rPr>
          <w:color w:val="231F20"/>
          <w:spacing w:val="-20"/>
          <w:w w:val="105"/>
        </w:rPr>
        <w:t> </w:t>
      </w:r>
      <w:r>
        <w:rPr>
          <w:color w:val="231F20"/>
          <w:w w:val="105"/>
        </w:rPr>
        <w:t>una idealización que se ha exacerbado con la aceleración de la lógica</w:t>
      </w:r>
      <w:r>
        <w:rPr>
          <w:color w:val="231F20"/>
          <w:spacing w:val="-37"/>
          <w:w w:val="105"/>
        </w:rPr>
        <w:t> </w:t>
      </w:r>
      <w:r>
        <w:rPr>
          <w:color w:val="231F20"/>
          <w:w w:val="105"/>
        </w:rPr>
        <w:t>global y</w:t>
      </w:r>
      <w:r>
        <w:rPr>
          <w:color w:val="231F20"/>
          <w:spacing w:val="-28"/>
          <w:w w:val="105"/>
        </w:rPr>
        <w:t> </w:t>
      </w:r>
      <w:r>
        <w:rPr>
          <w:color w:val="231F20"/>
          <w:w w:val="105"/>
        </w:rPr>
        <w:t>su</w:t>
      </w:r>
      <w:r>
        <w:rPr>
          <w:color w:val="231F20"/>
          <w:spacing w:val="-28"/>
          <w:w w:val="105"/>
        </w:rPr>
        <w:t> </w:t>
      </w:r>
      <w:r>
        <w:rPr>
          <w:color w:val="231F20"/>
          <w:w w:val="105"/>
        </w:rPr>
        <w:t>tendencia</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homogeneización.</w:t>
      </w:r>
      <w:r>
        <w:rPr>
          <w:color w:val="231F20"/>
          <w:spacing w:val="-28"/>
          <w:w w:val="105"/>
        </w:rPr>
        <w:t> </w:t>
      </w:r>
      <w:r>
        <w:rPr>
          <w:color w:val="231F20"/>
          <w:w w:val="105"/>
        </w:rPr>
        <w:t>Esas</w:t>
      </w:r>
      <w:r>
        <w:rPr>
          <w:color w:val="231F20"/>
          <w:spacing w:val="-28"/>
          <w:w w:val="105"/>
        </w:rPr>
        <w:t> </w:t>
      </w:r>
      <w:r>
        <w:rPr>
          <w:color w:val="231F20"/>
          <w:w w:val="105"/>
        </w:rPr>
        <w:t>formas</w:t>
      </w:r>
      <w:r>
        <w:rPr>
          <w:color w:val="231F20"/>
          <w:spacing w:val="-28"/>
          <w:w w:val="105"/>
        </w:rPr>
        <w:t> </w:t>
      </w:r>
      <w:r>
        <w:rPr>
          <w:color w:val="231F20"/>
          <w:w w:val="105"/>
        </w:rPr>
        <w:t>de</w:t>
      </w:r>
      <w:r>
        <w:rPr>
          <w:color w:val="231F20"/>
          <w:spacing w:val="-28"/>
          <w:w w:val="105"/>
        </w:rPr>
        <w:t> </w:t>
      </w:r>
      <w:r>
        <w:rPr>
          <w:color w:val="231F20"/>
          <w:w w:val="105"/>
        </w:rPr>
        <w:t>vida</w:t>
      </w:r>
      <w:r>
        <w:rPr>
          <w:color w:val="231F20"/>
          <w:spacing w:val="-28"/>
          <w:w w:val="105"/>
        </w:rPr>
        <w:t> </w:t>
      </w:r>
      <w:r>
        <w:rPr>
          <w:color w:val="231F20"/>
          <w:w w:val="105"/>
        </w:rPr>
        <w:t>perdidas</w:t>
      </w:r>
      <w:r>
        <w:rPr>
          <w:color w:val="231F20"/>
          <w:spacing w:val="-28"/>
          <w:w w:val="105"/>
        </w:rPr>
        <w:t> </w:t>
      </w:r>
      <w:r>
        <w:rPr>
          <w:color w:val="231F20"/>
          <w:w w:val="105"/>
        </w:rPr>
        <w:t>serían entonces,</w:t>
      </w:r>
      <w:r>
        <w:rPr>
          <w:color w:val="231F20"/>
          <w:spacing w:val="-14"/>
          <w:w w:val="105"/>
        </w:rPr>
        <w:t> </w:t>
      </w:r>
      <w:r>
        <w:rPr>
          <w:color w:val="231F20"/>
          <w:w w:val="105"/>
        </w:rPr>
        <w:t>en</w:t>
      </w:r>
      <w:r>
        <w:rPr>
          <w:color w:val="231F20"/>
          <w:spacing w:val="-14"/>
          <w:w w:val="105"/>
        </w:rPr>
        <w:t> </w:t>
      </w:r>
      <w:r>
        <w:rPr>
          <w:color w:val="231F20"/>
          <w:w w:val="105"/>
        </w:rPr>
        <w:t>gran</w:t>
      </w:r>
      <w:r>
        <w:rPr>
          <w:color w:val="231F20"/>
          <w:spacing w:val="-14"/>
          <w:w w:val="105"/>
        </w:rPr>
        <w:t> </w:t>
      </w:r>
      <w:r>
        <w:rPr>
          <w:color w:val="231F20"/>
          <w:w w:val="105"/>
        </w:rPr>
        <w:t>parte,</w:t>
      </w:r>
      <w:r>
        <w:rPr>
          <w:color w:val="231F20"/>
          <w:spacing w:val="-14"/>
          <w:w w:val="105"/>
        </w:rPr>
        <w:t> </w:t>
      </w:r>
      <w:r>
        <w:rPr>
          <w:color w:val="231F20"/>
          <w:w w:val="105"/>
        </w:rPr>
        <w:t>creación</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globalización,</w:t>
      </w:r>
      <w:r>
        <w:rPr>
          <w:color w:val="231F20"/>
          <w:spacing w:val="-14"/>
          <w:w w:val="105"/>
        </w:rPr>
        <w:t> </w:t>
      </w:r>
      <w:r>
        <w:rPr>
          <w:color w:val="231F20"/>
          <w:w w:val="105"/>
        </w:rPr>
        <w:t>por</w:t>
      </w:r>
      <w:r>
        <w:rPr>
          <w:color w:val="231F20"/>
          <w:spacing w:val="-14"/>
          <w:w w:val="105"/>
        </w:rPr>
        <w:t> </w:t>
      </w:r>
      <w:r>
        <w:rPr>
          <w:color w:val="231F20"/>
          <w:w w:val="105"/>
        </w:rPr>
        <w:t>ende,</w:t>
      </w:r>
      <w:r>
        <w:rPr>
          <w:color w:val="231F20"/>
          <w:spacing w:val="-14"/>
          <w:w w:val="105"/>
        </w:rPr>
        <w:t> </w:t>
      </w:r>
      <w:r>
        <w:rPr>
          <w:color w:val="231F20"/>
          <w:w w:val="105"/>
        </w:rPr>
        <w:t>esas</w:t>
      </w:r>
      <w:r>
        <w:rPr>
          <w:color w:val="231F20"/>
          <w:spacing w:val="-14"/>
          <w:w w:val="105"/>
        </w:rPr>
        <w:t> </w:t>
      </w:r>
      <w:r>
        <w:rPr>
          <w:color w:val="231F20"/>
          <w:w w:val="105"/>
        </w:rPr>
        <w:t>co- munidades</w:t>
      </w:r>
      <w:r>
        <w:rPr>
          <w:color w:val="231F20"/>
          <w:spacing w:val="-21"/>
          <w:w w:val="105"/>
        </w:rPr>
        <w:t> </w:t>
      </w:r>
      <w:r>
        <w:rPr>
          <w:color w:val="231F20"/>
          <w:w w:val="105"/>
        </w:rPr>
        <w:t>paradisíacas</w:t>
      </w:r>
      <w:r>
        <w:rPr>
          <w:color w:val="231F20"/>
          <w:spacing w:val="-21"/>
          <w:w w:val="105"/>
        </w:rPr>
        <w:t> </w:t>
      </w:r>
      <w:r>
        <w:rPr>
          <w:color w:val="231F20"/>
          <w:w w:val="105"/>
        </w:rPr>
        <w:t>no</w:t>
      </w:r>
      <w:r>
        <w:rPr>
          <w:color w:val="231F20"/>
          <w:spacing w:val="-21"/>
          <w:w w:val="105"/>
        </w:rPr>
        <w:t> </w:t>
      </w:r>
      <w:r>
        <w:rPr>
          <w:color w:val="231F20"/>
          <w:w w:val="105"/>
        </w:rPr>
        <w:t>estarían</w:t>
      </w:r>
      <w:r>
        <w:rPr>
          <w:color w:val="231F20"/>
          <w:spacing w:val="-21"/>
          <w:w w:val="105"/>
        </w:rPr>
        <w:t> </w:t>
      </w:r>
      <w:r>
        <w:rPr>
          <w:color w:val="231F20"/>
          <w:w w:val="105"/>
        </w:rPr>
        <w:t>en</w:t>
      </w:r>
      <w:r>
        <w:rPr>
          <w:color w:val="231F20"/>
          <w:spacing w:val="-21"/>
          <w:w w:val="105"/>
        </w:rPr>
        <w:t> </w:t>
      </w:r>
      <w:r>
        <w:rPr>
          <w:color w:val="231F20"/>
          <w:w w:val="105"/>
        </w:rPr>
        <w:t>realidad</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origen,</w:t>
      </w:r>
      <w:r>
        <w:rPr>
          <w:color w:val="231F20"/>
          <w:spacing w:val="-21"/>
          <w:w w:val="105"/>
        </w:rPr>
        <w:t> </w:t>
      </w:r>
      <w:r>
        <w:rPr>
          <w:color w:val="231F20"/>
          <w:w w:val="105"/>
        </w:rPr>
        <w:t>sino</w:t>
      </w:r>
      <w:r>
        <w:rPr>
          <w:color w:val="231F20"/>
          <w:spacing w:val="-21"/>
          <w:w w:val="105"/>
        </w:rPr>
        <w:t> </w:t>
      </w:r>
      <w:r>
        <w:rPr>
          <w:color w:val="231F20"/>
          <w:w w:val="105"/>
        </w:rPr>
        <w:t>al</w:t>
      </w:r>
      <w:r>
        <w:rPr>
          <w:color w:val="231F20"/>
          <w:spacing w:val="-21"/>
          <w:w w:val="105"/>
        </w:rPr>
        <w:t> </w:t>
      </w:r>
      <w:r>
        <w:rPr>
          <w:color w:val="231F20"/>
          <w:w w:val="105"/>
        </w:rPr>
        <w:t>final, en</w:t>
      </w:r>
      <w:r>
        <w:rPr>
          <w:color w:val="231F20"/>
          <w:spacing w:val="-25"/>
          <w:w w:val="105"/>
        </w:rPr>
        <w:t> </w:t>
      </w:r>
      <w:r>
        <w:rPr>
          <w:color w:val="231F20"/>
          <w:w w:val="105"/>
        </w:rPr>
        <w:t>el</w:t>
      </w:r>
      <w:r>
        <w:rPr>
          <w:color w:val="231F20"/>
          <w:spacing w:val="-25"/>
          <w:w w:val="105"/>
        </w:rPr>
        <w:t> </w:t>
      </w:r>
      <w:r>
        <w:rPr>
          <w:color w:val="231F20"/>
          <w:w w:val="105"/>
        </w:rPr>
        <w:t>intento</w:t>
      </w:r>
      <w:r>
        <w:rPr>
          <w:color w:val="231F20"/>
          <w:spacing w:val="-25"/>
          <w:w w:val="105"/>
        </w:rPr>
        <w:t> </w:t>
      </w:r>
      <w:r>
        <w:rPr>
          <w:color w:val="231F20"/>
          <w:w w:val="105"/>
        </w:rPr>
        <w:t>de</w:t>
      </w:r>
      <w:r>
        <w:rPr>
          <w:color w:val="231F20"/>
          <w:spacing w:val="-25"/>
          <w:w w:val="105"/>
        </w:rPr>
        <w:t> </w:t>
      </w:r>
      <w:r>
        <w:rPr>
          <w:color w:val="231F20"/>
          <w:w w:val="105"/>
        </w:rPr>
        <w:t>narrar</w:t>
      </w:r>
      <w:r>
        <w:rPr>
          <w:color w:val="231F20"/>
          <w:spacing w:val="-25"/>
          <w:w w:val="105"/>
        </w:rPr>
        <w:t> </w:t>
      </w:r>
      <w:r>
        <w:rPr>
          <w:color w:val="231F20"/>
          <w:w w:val="105"/>
        </w:rPr>
        <w:t>y</w:t>
      </w:r>
      <w:r>
        <w:rPr>
          <w:color w:val="231F20"/>
          <w:spacing w:val="-25"/>
          <w:w w:val="105"/>
        </w:rPr>
        <w:t> </w:t>
      </w:r>
      <w:r>
        <w:rPr>
          <w:color w:val="231F20"/>
          <w:w w:val="105"/>
        </w:rPr>
        <w:t>de</w:t>
      </w:r>
      <w:r>
        <w:rPr>
          <w:color w:val="231F20"/>
          <w:spacing w:val="-25"/>
          <w:w w:val="105"/>
        </w:rPr>
        <w:t> </w:t>
      </w:r>
      <w:r>
        <w:rPr>
          <w:color w:val="231F20"/>
          <w:w w:val="105"/>
        </w:rPr>
        <w:t>dar</w:t>
      </w:r>
      <w:r>
        <w:rPr>
          <w:color w:val="231F20"/>
          <w:spacing w:val="-25"/>
          <w:w w:val="105"/>
        </w:rPr>
        <w:t> </w:t>
      </w:r>
      <w:r>
        <w:rPr>
          <w:color w:val="231F20"/>
          <w:w w:val="105"/>
        </w:rPr>
        <w:t>sentido</w:t>
      </w:r>
      <w:r>
        <w:rPr>
          <w:color w:val="231F20"/>
          <w:spacing w:val="-25"/>
          <w:w w:val="105"/>
        </w:rPr>
        <w:t> </w:t>
      </w:r>
      <w:r>
        <w:rPr>
          <w:color w:val="231F20"/>
          <w:w w:val="105"/>
        </w:rPr>
        <w:t>a</w:t>
      </w:r>
      <w:r>
        <w:rPr>
          <w:color w:val="231F20"/>
          <w:spacing w:val="-25"/>
          <w:w w:val="105"/>
        </w:rPr>
        <w:t> </w:t>
      </w:r>
      <w:r>
        <w:rPr>
          <w:color w:val="231F20"/>
          <w:w w:val="105"/>
        </w:rPr>
        <w:t>lo</w:t>
      </w:r>
      <w:r>
        <w:rPr>
          <w:color w:val="231F20"/>
          <w:spacing w:val="-25"/>
          <w:w w:val="105"/>
        </w:rPr>
        <w:t> </w:t>
      </w:r>
      <w:r>
        <w:rPr>
          <w:color w:val="231F20"/>
          <w:w w:val="105"/>
        </w:rPr>
        <w:t>local</w:t>
      </w:r>
      <w:r>
        <w:rPr>
          <w:color w:val="231F20"/>
          <w:spacing w:val="-25"/>
          <w:w w:val="105"/>
        </w:rPr>
        <w:t> </w:t>
      </w:r>
      <w:r>
        <w:rPr>
          <w:color w:val="231F20"/>
          <w:w w:val="105"/>
        </w:rPr>
        <w:t>frente</w:t>
      </w:r>
      <w:r>
        <w:rPr>
          <w:color w:val="231F20"/>
          <w:spacing w:val="-25"/>
          <w:w w:val="105"/>
        </w:rPr>
        <w:t> </w:t>
      </w:r>
      <w:r>
        <w:rPr>
          <w:color w:val="231F20"/>
          <w:w w:val="105"/>
        </w:rPr>
        <w:t>a</w:t>
      </w:r>
      <w:r>
        <w:rPr>
          <w:color w:val="231F20"/>
          <w:spacing w:val="-25"/>
          <w:w w:val="105"/>
        </w:rPr>
        <w:t> </w:t>
      </w:r>
      <w:r>
        <w:rPr>
          <w:color w:val="231F20"/>
          <w:w w:val="105"/>
        </w:rPr>
        <w:t>una</w:t>
      </w:r>
      <w:r>
        <w:rPr>
          <w:color w:val="231F20"/>
          <w:spacing w:val="-25"/>
          <w:w w:val="105"/>
        </w:rPr>
        <w:t> </w:t>
      </w:r>
      <w:r>
        <w:rPr>
          <w:color w:val="231F20"/>
          <w:w w:val="105"/>
        </w:rPr>
        <w:t>realidad</w:t>
      </w:r>
      <w:r>
        <w:rPr>
          <w:color w:val="231F20"/>
          <w:spacing w:val="-25"/>
          <w:w w:val="105"/>
        </w:rPr>
        <w:t> </w:t>
      </w:r>
      <w:r>
        <w:rPr>
          <w:color w:val="231F20"/>
          <w:w w:val="105"/>
        </w:rPr>
        <w:t>que tiende a ser homogénea. Así como una persona no puede recordar de cabo</w:t>
      </w:r>
      <w:r>
        <w:rPr>
          <w:color w:val="231F20"/>
          <w:spacing w:val="-19"/>
          <w:w w:val="105"/>
        </w:rPr>
        <w:t> </w:t>
      </w:r>
      <w:r>
        <w:rPr>
          <w:color w:val="231F20"/>
          <w:w w:val="105"/>
        </w:rPr>
        <w:t>a</w:t>
      </w:r>
      <w:r>
        <w:rPr>
          <w:color w:val="231F20"/>
          <w:spacing w:val="-19"/>
          <w:w w:val="105"/>
        </w:rPr>
        <w:t> </w:t>
      </w:r>
      <w:r>
        <w:rPr>
          <w:color w:val="231F20"/>
          <w:w w:val="105"/>
        </w:rPr>
        <w:t>rabo</w:t>
      </w:r>
      <w:r>
        <w:rPr>
          <w:color w:val="231F20"/>
          <w:spacing w:val="-19"/>
          <w:w w:val="105"/>
        </w:rPr>
        <w:t> </w:t>
      </w:r>
      <w:r>
        <w:rPr>
          <w:color w:val="231F20"/>
          <w:w w:val="105"/>
        </w:rPr>
        <w:t>todos</w:t>
      </w:r>
      <w:r>
        <w:rPr>
          <w:color w:val="231F20"/>
          <w:spacing w:val="-19"/>
          <w:w w:val="105"/>
        </w:rPr>
        <w:t> </w:t>
      </w:r>
      <w:r>
        <w:rPr>
          <w:color w:val="231F20"/>
          <w:w w:val="105"/>
        </w:rPr>
        <w:t>los</w:t>
      </w:r>
      <w:r>
        <w:rPr>
          <w:color w:val="231F20"/>
          <w:spacing w:val="-19"/>
          <w:w w:val="105"/>
        </w:rPr>
        <w:t> </w:t>
      </w:r>
      <w:r>
        <w:rPr>
          <w:color w:val="231F20"/>
          <w:w w:val="105"/>
        </w:rPr>
        <w:t>eventos</w:t>
      </w:r>
      <w:r>
        <w:rPr>
          <w:color w:val="231F20"/>
          <w:spacing w:val="-19"/>
          <w:w w:val="105"/>
        </w:rPr>
        <w:t> </w:t>
      </w:r>
      <w:r>
        <w:rPr>
          <w:color w:val="231F20"/>
          <w:w w:val="105"/>
        </w:rPr>
        <w:t>de</w:t>
      </w:r>
      <w:r>
        <w:rPr>
          <w:color w:val="231F20"/>
          <w:spacing w:val="-19"/>
          <w:w w:val="105"/>
        </w:rPr>
        <w:t> </w:t>
      </w:r>
      <w:r>
        <w:rPr>
          <w:color w:val="231F20"/>
          <w:w w:val="105"/>
        </w:rPr>
        <w:t>su</w:t>
      </w:r>
      <w:r>
        <w:rPr>
          <w:color w:val="231F20"/>
          <w:spacing w:val="-19"/>
          <w:w w:val="105"/>
        </w:rPr>
        <w:t> </w:t>
      </w:r>
      <w:r>
        <w:rPr>
          <w:color w:val="231F20"/>
          <w:w w:val="105"/>
        </w:rPr>
        <w:t>vida</w:t>
      </w:r>
      <w:r>
        <w:rPr>
          <w:color w:val="231F20"/>
          <w:spacing w:val="-19"/>
          <w:w w:val="105"/>
        </w:rPr>
        <w:t> </w:t>
      </w:r>
      <w:r>
        <w:rPr>
          <w:color w:val="231F20"/>
          <w:w w:val="105"/>
        </w:rPr>
        <w:t>y</w:t>
      </w:r>
      <w:r>
        <w:rPr>
          <w:color w:val="231F20"/>
          <w:spacing w:val="-19"/>
          <w:w w:val="105"/>
        </w:rPr>
        <w:t> </w:t>
      </w:r>
      <w:r>
        <w:rPr>
          <w:color w:val="231F20"/>
          <w:w w:val="105"/>
        </w:rPr>
        <w:t>por</w:t>
      </w:r>
      <w:r>
        <w:rPr>
          <w:color w:val="231F20"/>
          <w:spacing w:val="-19"/>
          <w:w w:val="105"/>
        </w:rPr>
        <w:t> </w:t>
      </w:r>
      <w:r>
        <w:rPr>
          <w:color w:val="231F20"/>
          <w:w w:val="105"/>
        </w:rPr>
        <w:t>eso</w:t>
      </w:r>
      <w:r>
        <w:rPr>
          <w:color w:val="231F20"/>
          <w:spacing w:val="-19"/>
          <w:w w:val="105"/>
        </w:rPr>
        <w:t> </w:t>
      </w:r>
      <w:r>
        <w:rPr>
          <w:color w:val="231F20"/>
          <w:w w:val="105"/>
        </w:rPr>
        <w:t>la</w:t>
      </w:r>
      <w:r>
        <w:rPr>
          <w:color w:val="231F20"/>
          <w:spacing w:val="-19"/>
          <w:w w:val="105"/>
        </w:rPr>
        <w:t> </w:t>
      </w:r>
      <w:r>
        <w:rPr>
          <w:color w:val="231F20"/>
          <w:w w:val="105"/>
        </w:rPr>
        <w:t>narra,</w:t>
      </w:r>
      <w:r>
        <w:rPr>
          <w:color w:val="231F20"/>
          <w:spacing w:val="-19"/>
          <w:w w:val="105"/>
        </w:rPr>
        <w:t> </w:t>
      </w:r>
      <w:r>
        <w:rPr>
          <w:color w:val="231F20"/>
          <w:w w:val="105"/>
        </w:rPr>
        <w:t>para</w:t>
      </w:r>
      <w:r>
        <w:rPr>
          <w:color w:val="231F20"/>
          <w:spacing w:val="-19"/>
          <w:w w:val="105"/>
        </w:rPr>
        <w:t> </w:t>
      </w:r>
      <w:r>
        <w:rPr>
          <w:color w:val="231F20"/>
          <w:w w:val="105"/>
        </w:rPr>
        <w:t>dar</w:t>
      </w:r>
      <w:r>
        <w:rPr>
          <w:color w:val="231F20"/>
          <w:spacing w:val="-19"/>
          <w:w w:val="105"/>
        </w:rPr>
        <w:t> </w:t>
      </w:r>
      <w:r>
        <w:rPr>
          <w:color w:val="231F20"/>
          <w:w w:val="105"/>
        </w:rPr>
        <w:t>sen- tido</w:t>
      </w:r>
      <w:r>
        <w:rPr>
          <w:color w:val="231F20"/>
          <w:spacing w:val="-16"/>
          <w:w w:val="105"/>
        </w:rPr>
        <w:t> </w:t>
      </w:r>
      <w:r>
        <w:rPr>
          <w:color w:val="231F20"/>
          <w:w w:val="105"/>
        </w:rPr>
        <w:t>y</w:t>
      </w:r>
      <w:r>
        <w:rPr>
          <w:color w:val="231F20"/>
          <w:spacing w:val="-16"/>
          <w:w w:val="105"/>
        </w:rPr>
        <w:t> </w:t>
      </w:r>
      <w:r>
        <w:rPr>
          <w:color w:val="231F20"/>
          <w:w w:val="105"/>
        </w:rPr>
        <w:t>construir</w:t>
      </w:r>
      <w:r>
        <w:rPr>
          <w:color w:val="231F20"/>
          <w:spacing w:val="-16"/>
          <w:w w:val="105"/>
        </w:rPr>
        <w:t> </w:t>
      </w:r>
      <w:r>
        <w:rPr>
          <w:color w:val="231F20"/>
          <w:w w:val="105"/>
        </w:rPr>
        <w:t>un</w:t>
      </w:r>
      <w:r>
        <w:rPr>
          <w:color w:val="231F20"/>
          <w:spacing w:val="-16"/>
          <w:w w:val="105"/>
        </w:rPr>
        <w:t> </w:t>
      </w:r>
      <w:r>
        <w:rPr>
          <w:color w:val="231F20"/>
          <w:w w:val="105"/>
        </w:rPr>
        <w:t>pasado</w:t>
      </w:r>
      <w:r>
        <w:rPr>
          <w:color w:val="231F20"/>
          <w:spacing w:val="-16"/>
          <w:w w:val="105"/>
        </w:rPr>
        <w:t> </w:t>
      </w:r>
      <w:r>
        <w:rPr>
          <w:color w:val="231F20"/>
          <w:w w:val="105"/>
        </w:rPr>
        <w:t>que</w:t>
      </w:r>
      <w:r>
        <w:rPr>
          <w:color w:val="231F20"/>
          <w:spacing w:val="-16"/>
          <w:w w:val="105"/>
        </w:rPr>
        <w:t> </w:t>
      </w:r>
      <w:r>
        <w:rPr>
          <w:color w:val="231F20"/>
          <w:w w:val="105"/>
        </w:rPr>
        <w:t>no</w:t>
      </w:r>
      <w:r>
        <w:rPr>
          <w:color w:val="231F20"/>
          <w:spacing w:val="-16"/>
          <w:w w:val="105"/>
        </w:rPr>
        <w:t> </w:t>
      </w:r>
      <w:r>
        <w:rPr>
          <w:color w:val="231F20"/>
          <w:w w:val="105"/>
        </w:rPr>
        <w:t>posee</w:t>
      </w:r>
      <w:r>
        <w:rPr>
          <w:color w:val="231F20"/>
          <w:spacing w:val="-16"/>
          <w:w w:val="105"/>
        </w:rPr>
        <w:t> </w:t>
      </w:r>
      <w:r>
        <w:rPr>
          <w:color w:val="231F20"/>
          <w:w w:val="105"/>
        </w:rPr>
        <w:t>de</w:t>
      </w:r>
      <w:r>
        <w:rPr>
          <w:color w:val="231F20"/>
          <w:spacing w:val="-16"/>
          <w:w w:val="105"/>
        </w:rPr>
        <w:t> </w:t>
      </w:r>
      <w:r>
        <w:rPr>
          <w:color w:val="231F20"/>
          <w:w w:val="105"/>
        </w:rPr>
        <w:t>manera</w:t>
      </w:r>
      <w:r>
        <w:rPr>
          <w:color w:val="231F20"/>
          <w:spacing w:val="-16"/>
          <w:w w:val="105"/>
        </w:rPr>
        <w:t> </w:t>
      </w:r>
      <w:r>
        <w:rPr>
          <w:color w:val="231F20"/>
          <w:w w:val="105"/>
        </w:rPr>
        <w:t>íntegra;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misma manera</w:t>
      </w:r>
      <w:r>
        <w:rPr>
          <w:color w:val="231F20"/>
          <w:spacing w:val="-12"/>
          <w:w w:val="105"/>
        </w:rPr>
        <w:t> </w:t>
      </w:r>
      <w:r>
        <w:rPr>
          <w:color w:val="231F20"/>
          <w:w w:val="105"/>
        </w:rPr>
        <w:t>los</w:t>
      </w:r>
      <w:r>
        <w:rPr>
          <w:color w:val="231F20"/>
          <w:spacing w:val="-12"/>
          <w:w w:val="105"/>
        </w:rPr>
        <w:t> </w:t>
      </w:r>
      <w:r>
        <w:rPr>
          <w:color w:val="231F20"/>
          <w:w w:val="105"/>
        </w:rPr>
        <w:t>pueblos,</w:t>
      </w:r>
      <w:r>
        <w:rPr>
          <w:color w:val="231F20"/>
          <w:spacing w:val="-12"/>
          <w:w w:val="105"/>
        </w:rPr>
        <w:t> </w:t>
      </w:r>
      <w:r>
        <w:rPr>
          <w:color w:val="231F20"/>
          <w:w w:val="105"/>
        </w:rPr>
        <w:t>las</w:t>
      </w:r>
      <w:r>
        <w:rPr>
          <w:color w:val="231F20"/>
          <w:spacing w:val="-12"/>
          <w:w w:val="105"/>
        </w:rPr>
        <w:t> </w:t>
      </w:r>
      <w:r>
        <w:rPr>
          <w:color w:val="231F20"/>
          <w:w w:val="105"/>
        </w:rPr>
        <w:t>comunidades</w:t>
      </w:r>
      <w:r>
        <w:rPr>
          <w:color w:val="231F20"/>
          <w:spacing w:val="-12"/>
          <w:w w:val="105"/>
        </w:rPr>
        <w:t> </w:t>
      </w:r>
      <w:r>
        <w:rPr>
          <w:color w:val="231F20"/>
          <w:w w:val="105"/>
        </w:rPr>
        <w:t>y</w:t>
      </w:r>
      <w:r>
        <w:rPr>
          <w:color w:val="231F20"/>
          <w:spacing w:val="-12"/>
          <w:w w:val="105"/>
        </w:rPr>
        <w:t> </w:t>
      </w:r>
      <w:r>
        <w:rPr>
          <w:color w:val="231F20"/>
          <w:w w:val="105"/>
        </w:rPr>
        <w:t>las</w:t>
      </w:r>
      <w:r>
        <w:rPr>
          <w:color w:val="231F20"/>
          <w:spacing w:val="-12"/>
          <w:w w:val="105"/>
        </w:rPr>
        <w:t> </w:t>
      </w:r>
      <w:r>
        <w:rPr>
          <w:color w:val="231F20"/>
          <w:w w:val="105"/>
        </w:rPr>
        <w:t>naciones</w:t>
      </w:r>
      <w:r>
        <w:rPr>
          <w:color w:val="231F20"/>
          <w:spacing w:val="-12"/>
          <w:w w:val="105"/>
        </w:rPr>
        <w:t> </w:t>
      </w:r>
      <w:r>
        <w:rPr>
          <w:color w:val="231F20"/>
          <w:w w:val="105"/>
        </w:rPr>
        <w:t>recurren</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narra- ción</w:t>
      </w:r>
      <w:r>
        <w:rPr>
          <w:color w:val="231F20"/>
          <w:spacing w:val="-26"/>
          <w:w w:val="105"/>
        </w:rPr>
        <w:t> </w:t>
      </w:r>
      <w:r>
        <w:rPr>
          <w:color w:val="231F20"/>
          <w:w w:val="105"/>
        </w:rPr>
        <w:t>y</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reconstrucción</w:t>
      </w:r>
      <w:r>
        <w:rPr>
          <w:color w:val="231F20"/>
          <w:spacing w:val="-26"/>
          <w:w w:val="105"/>
        </w:rPr>
        <w:t> </w:t>
      </w:r>
      <w:r>
        <w:rPr>
          <w:color w:val="231F20"/>
          <w:w w:val="105"/>
        </w:rPr>
        <w:t>de</w:t>
      </w:r>
      <w:r>
        <w:rPr>
          <w:color w:val="231F20"/>
          <w:spacing w:val="-26"/>
          <w:w w:val="105"/>
        </w:rPr>
        <w:t> </w:t>
      </w:r>
      <w:r>
        <w:rPr>
          <w:color w:val="231F20"/>
          <w:w w:val="105"/>
        </w:rPr>
        <w:t>sus</w:t>
      </w:r>
      <w:r>
        <w:rPr>
          <w:color w:val="231F20"/>
          <w:spacing w:val="-26"/>
          <w:w w:val="105"/>
        </w:rPr>
        <w:t> </w:t>
      </w:r>
      <w:r>
        <w:rPr>
          <w:color w:val="231F20"/>
          <w:w w:val="105"/>
        </w:rPr>
        <w:t>orígenes,</w:t>
      </w:r>
      <w:r>
        <w:rPr>
          <w:color w:val="231F20"/>
          <w:spacing w:val="-26"/>
          <w:w w:val="105"/>
        </w:rPr>
        <w:t> </w:t>
      </w:r>
      <w:r>
        <w:rPr>
          <w:color w:val="231F20"/>
          <w:w w:val="105"/>
        </w:rPr>
        <w:t>para</w:t>
      </w:r>
      <w:r>
        <w:rPr>
          <w:color w:val="231F20"/>
          <w:spacing w:val="-26"/>
          <w:w w:val="105"/>
        </w:rPr>
        <w:t> </w:t>
      </w:r>
      <w:r>
        <w:rPr>
          <w:color w:val="231F20"/>
          <w:w w:val="105"/>
        </w:rPr>
        <w:t>darse</w:t>
      </w:r>
      <w:r>
        <w:rPr>
          <w:color w:val="231F20"/>
          <w:spacing w:val="-26"/>
          <w:w w:val="105"/>
        </w:rPr>
        <w:t> </w:t>
      </w:r>
      <w:r>
        <w:rPr>
          <w:color w:val="231F20"/>
          <w:w w:val="105"/>
        </w:rPr>
        <w:t>una</w:t>
      </w:r>
      <w:r>
        <w:rPr>
          <w:color w:val="231F20"/>
          <w:spacing w:val="-26"/>
          <w:w w:val="105"/>
        </w:rPr>
        <w:t> </w:t>
      </w:r>
      <w:r>
        <w:rPr>
          <w:color w:val="231F20"/>
          <w:w w:val="105"/>
        </w:rPr>
        <w:t>identidad</w:t>
      </w:r>
      <w:r>
        <w:rPr>
          <w:color w:val="231F20"/>
          <w:spacing w:val="-26"/>
          <w:w w:val="105"/>
        </w:rPr>
        <w:t> </w:t>
      </w:r>
      <w:r>
        <w:rPr>
          <w:color w:val="231F20"/>
          <w:w w:val="105"/>
        </w:rPr>
        <w:t>y</w:t>
      </w:r>
      <w:r>
        <w:rPr>
          <w:color w:val="231F20"/>
          <w:spacing w:val="-26"/>
          <w:w w:val="105"/>
        </w:rPr>
        <w:t> </w:t>
      </w:r>
      <w:r>
        <w:rPr>
          <w:color w:val="231F20"/>
          <w:w w:val="105"/>
        </w:rPr>
        <w:t>una propiedad: lo que no puede ser recordado o fundamentado de manera fehaciente,</w:t>
      </w:r>
      <w:r>
        <w:rPr>
          <w:color w:val="231F20"/>
          <w:spacing w:val="-37"/>
          <w:w w:val="105"/>
        </w:rPr>
        <w:t> </w:t>
      </w:r>
      <w:r>
        <w:rPr>
          <w:color w:val="231F20"/>
          <w:w w:val="105"/>
        </w:rPr>
        <w:t>tiene</w:t>
      </w:r>
      <w:r>
        <w:rPr>
          <w:color w:val="231F20"/>
          <w:spacing w:val="-37"/>
          <w:w w:val="105"/>
        </w:rPr>
        <w:t> </w:t>
      </w:r>
      <w:r>
        <w:rPr>
          <w:color w:val="231F20"/>
          <w:w w:val="105"/>
        </w:rPr>
        <w:t>entonces</w:t>
      </w:r>
      <w:r>
        <w:rPr>
          <w:color w:val="231F20"/>
          <w:spacing w:val="-37"/>
          <w:w w:val="105"/>
        </w:rPr>
        <w:t> </w:t>
      </w:r>
      <w:r>
        <w:rPr>
          <w:color w:val="231F20"/>
          <w:w w:val="105"/>
        </w:rPr>
        <w:t>que</w:t>
      </w:r>
      <w:r>
        <w:rPr>
          <w:color w:val="231F20"/>
          <w:spacing w:val="-37"/>
          <w:w w:val="105"/>
        </w:rPr>
        <w:t> </w:t>
      </w:r>
      <w:r>
        <w:rPr>
          <w:color w:val="231F20"/>
          <w:w w:val="105"/>
        </w:rPr>
        <w:t>ser</w:t>
      </w:r>
      <w:r>
        <w:rPr>
          <w:color w:val="231F20"/>
          <w:spacing w:val="-37"/>
          <w:w w:val="105"/>
        </w:rPr>
        <w:t> </w:t>
      </w:r>
      <w:r>
        <w:rPr>
          <w:color w:val="231F20"/>
          <w:w w:val="105"/>
        </w:rPr>
        <w:t>narrado,</w:t>
      </w:r>
      <w:r>
        <w:rPr>
          <w:color w:val="231F20"/>
          <w:spacing w:val="-37"/>
          <w:w w:val="105"/>
        </w:rPr>
        <w:t> </w:t>
      </w:r>
      <w:r>
        <w:rPr>
          <w:color w:val="231F20"/>
          <w:w w:val="105"/>
        </w:rPr>
        <w:t>es</w:t>
      </w:r>
      <w:r>
        <w:rPr>
          <w:color w:val="231F20"/>
          <w:spacing w:val="-37"/>
          <w:w w:val="105"/>
        </w:rPr>
        <w:t> </w:t>
      </w:r>
      <w:r>
        <w:rPr>
          <w:color w:val="231F20"/>
          <w:spacing w:val="-4"/>
          <w:w w:val="105"/>
        </w:rPr>
        <w:t>decir,</w:t>
      </w:r>
      <w:r>
        <w:rPr>
          <w:color w:val="231F20"/>
          <w:spacing w:val="-37"/>
          <w:w w:val="105"/>
        </w:rPr>
        <w:t> </w:t>
      </w:r>
      <w:r>
        <w:rPr>
          <w:color w:val="231F20"/>
          <w:w w:val="105"/>
        </w:rPr>
        <w:t>creado</w:t>
      </w:r>
      <w:r>
        <w:rPr>
          <w:color w:val="231F20"/>
          <w:spacing w:val="-37"/>
          <w:w w:val="105"/>
        </w:rPr>
        <w:t> </w:t>
      </w:r>
      <w:r>
        <w:rPr>
          <w:color w:val="231F20"/>
          <w:w w:val="105"/>
        </w:rPr>
        <w:t>a</w:t>
      </w:r>
      <w:r>
        <w:rPr>
          <w:color w:val="231F20"/>
          <w:spacing w:val="-37"/>
          <w:w w:val="105"/>
        </w:rPr>
        <w:t> </w:t>
      </w:r>
      <w:r>
        <w:rPr>
          <w:color w:val="231F20"/>
          <w:w w:val="105"/>
        </w:rPr>
        <w:t>partir</w:t>
      </w:r>
      <w:r>
        <w:rPr>
          <w:color w:val="231F20"/>
          <w:spacing w:val="-37"/>
          <w:w w:val="105"/>
        </w:rPr>
        <w:t> </w:t>
      </w:r>
      <w:r>
        <w:rPr>
          <w:color w:val="231F20"/>
          <w:w w:val="105"/>
        </w:rPr>
        <w:t>de</w:t>
      </w:r>
      <w:r>
        <w:rPr>
          <w:color w:val="231F20"/>
          <w:spacing w:val="-37"/>
          <w:w w:val="105"/>
        </w:rPr>
        <w:t> </w:t>
      </w:r>
      <w:r>
        <w:rPr>
          <w:color w:val="231F20"/>
          <w:w w:val="105"/>
        </w:rPr>
        <w:t>una narrativa.</w:t>
      </w:r>
      <w:r>
        <w:rPr>
          <w:color w:val="231F20"/>
          <w:spacing w:val="-19"/>
          <w:w w:val="105"/>
        </w:rPr>
        <w:t> </w:t>
      </w:r>
      <w:r>
        <w:rPr>
          <w:color w:val="231F20"/>
          <w:w w:val="105"/>
        </w:rPr>
        <w:t>Incrustadas</w:t>
      </w:r>
      <w:r>
        <w:rPr>
          <w:color w:val="231F20"/>
          <w:spacing w:val="-19"/>
          <w:w w:val="105"/>
        </w:rPr>
        <w:t> </w:t>
      </w:r>
      <w:r>
        <w:rPr>
          <w:color w:val="231F20"/>
          <w:w w:val="105"/>
        </w:rPr>
        <w:t>en</w:t>
      </w:r>
      <w:r>
        <w:rPr>
          <w:color w:val="231F20"/>
          <w:spacing w:val="-19"/>
          <w:w w:val="105"/>
        </w:rPr>
        <w:t> </w:t>
      </w:r>
      <w:r>
        <w:rPr>
          <w:color w:val="231F20"/>
          <w:w w:val="105"/>
        </w:rPr>
        <w:t>una</w:t>
      </w:r>
      <w:r>
        <w:rPr>
          <w:color w:val="231F20"/>
          <w:spacing w:val="-19"/>
          <w:w w:val="105"/>
        </w:rPr>
        <w:t> </w:t>
      </w:r>
      <w:r>
        <w:rPr>
          <w:color w:val="231F20"/>
          <w:w w:val="105"/>
        </w:rPr>
        <w:t>historia</w:t>
      </w:r>
      <w:r>
        <w:rPr>
          <w:color w:val="231F20"/>
          <w:spacing w:val="-19"/>
          <w:w w:val="105"/>
        </w:rPr>
        <w:t> </w:t>
      </w:r>
      <w:r>
        <w:rPr>
          <w:color w:val="231F20"/>
          <w:w w:val="105"/>
        </w:rPr>
        <w:t>que</w:t>
      </w:r>
      <w:r>
        <w:rPr>
          <w:color w:val="231F20"/>
          <w:spacing w:val="-19"/>
          <w:w w:val="105"/>
        </w:rPr>
        <w:t> </w:t>
      </w:r>
      <w:r>
        <w:rPr>
          <w:color w:val="231F20"/>
          <w:w w:val="105"/>
        </w:rPr>
        <w:t>no</w:t>
      </w:r>
      <w:r>
        <w:rPr>
          <w:color w:val="231F20"/>
          <w:spacing w:val="-19"/>
          <w:w w:val="105"/>
        </w:rPr>
        <w:t> </w:t>
      </w:r>
      <w:r>
        <w:rPr>
          <w:color w:val="231F20"/>
          <w:w w:val="105"/>
        </w:rPr>
        <w:t>tiene</w:t>
      </w:r>
      <w:r>
        <w:rPr>
          <w:color w:val="231F20"/>
          <w:spacing w:val="-19"/>
          <w:w w:val="105"/>
        </w:rPr>
        <w:t> </w:t>
      </w:r>
      <w:r>
        <w:rPr>
          <w:color w:val="231F20"/>
          <w:w w:val="105"/>
        </w:rPr>
        <w:t>finalidad</w:t>
      </w:r>
      <w:r>
        <w:rPr>
          <w:color w:val="231F20"/>
          <w:spacing w:val="-19"/>
          <w:w w:val="105"/>
        </w:rPr>
        <w:t> </w:t>
      </w:r>
      <w:r>
        <w:rPr>
          <w:color w:val="231F20"/>
          <w:w w:val="105"/>
        </w:rPr>
        <w:t>ni</w:t>
      </w:r>
      <w:r>
        <w:rPr>
          <w:color w:val="231F20"/>
          <w:spacing w:val="-19"/>
          <w:w w:val="105"/>
        </w:rPr>
        <w:t> </w:t>
      </w:r>
      <w:r>
        <w:rPr>
          <w:color w:val="231F20"/>
          <w:w w:val="105"/>
        </w:rPr>
        <w:t>desenlace preestablecido</w:t>
      </w:r>
      <w:r>
        <w:rPr>
          <w:color w:val="231F20"/>
          <w:spacing w:val="-14"/>
          <w:w w:val="105"/>
        </w:rPr>
        <w:t> </w:t>
      </w:r>
      <w:r>
        <w:rPr>
          <w:color w:val="231F20"/>
          <w:w w:val="105"/>
        </w:rPr>
        <w:t>—que</w:t>
      </w:r>
      <w:r>
        <w:rPr>
          <w:color w:val="231F20"/>
          <w:spacing w:val="-14"/>
          <w:w w:val="105"/>
        </w:rPr>
        <w:t> </w:t>
      </w:r>
      <w:r>
        <w:rPr>
          <w:color w:val="231F20"/>
          <w:w w:val="105"/>
        </w:rPr>
        <w:t>es</w:t>
      </w:r>
      <w:r>
        <w:rPr>
          <w:color w:val="231F20"/>
          <w:spacing w:val="-14"/>
          <w:w w:val="105"/>
        </w:rPr>
        <w:t> </w:t>
      </w:r>
      <w:r>
        <w:rPr>
          <w:color w:val="231F20"/>
          <w:w w:val="105"/>
        </w:rPr>
        <w:t>lo</w:t>
      </w:r>
      <w:r>
        <w:rPr>
          <w:color w:val="231F20"/>
          <w:spacing w:val="-14"/>
          <w:w w:val="105"/>
        </w:rPr>
        <w:t> </w:t>
      </w:r>
      <w:r>
        <w:rPr>
          <w:color w:val="231F20"/>
          <w:w w:val="105"/>
        </w:rPr>
        <w:t>propio</w:t>
      </w:r>
      <w:r>
        <w:rPr>
          <w:color w:val="231F20"/>
          <w:spacing w:val="-14"/>
          <w:w w:val="105"/>
        </w:rPr>
        <w:t> </w:t>
      </w:r>
      <w:r>
        <w:rPr>
          <w:color w:val="231F20"/>
          <w:w w:val="105"/>
        </w:rPr>
        <w:t>del</w:t>
      </w:r>
      <w:r>
        <w:rPr>
          <w:color w:val="231F20"/>
          <w:spacing w:val="-14"/>
          <w:w w:val="105"/>
        </w:rPr>
        <w:t> </w:t>
      </w:r>
      <w:r>
        <w:rPr>
          <w:color w:val="231F20"/>
          <w:w w:val="105"/>
        </w:rPr>
        <w:t>tiempo</w:t>
      </w:r>
      <w:r>
        <w:rPr>
          <w:color w:val="231F20"/>
          <w:spacing w:val="-14"/>
          <w:w w:val="105"/>
        </w:rPr>
        <w:t> </w:t>
      </w:r>
      <w:r>
        <w:rPr>
          <w:color w:val="231F20"/>
          <w:w w:val="105"/>
        </w:rPr>
        <w:t>secular—,</w:t>
      </w:r>
      <w:r>
        <w:rPr>
          <w:color w:val="231F20"/>
          <w:spacing w:val="-14"/>
          <w:w w:val="105"/>
        </w:rPr>
        <w:t> </w:t>
      </w:r>
      <w:r>
        <w:rPr>
          <w:color w:val="231F20"/>
          <w:w w:val="105"/>
        </w:rPr>
        <w:t>las</w:t>
      </w:r>
      <w:r>
        <w:rPr>
          <w:color w:val="231F20"/>
          <w:spacing w:val="-14"/>
          <w:w w:val="105"/>
        </w:rPr>
        <w:t> </w:t>
      </w:r>
      <w:r>
        <w:rPr>
          <w:color w:val="231F20"/>
          <w:w w:val="105"/>
        </w:rPr>
        <w:t>comunidades y</w:t>
      </w:r>
      <w:r>
        <w:rPr>
          <w:color w:val="231F20"/>
          <w:spacing w:val="-32"/>
          <w:w w:val="105"/>
        </w:rPr>
        <w:t> </w:t>
      </w:r>
      <w:r>
        <w:rPr>
          <w:color w:val="231F20"/>
          <w:w w:val="105"/>
        </w:rPr>
        <w:t>las</w:t>
      </w:r>
      <w:r>
        <w:rPr>
          <w:color w:val="231F20"/>
          <w:spacing w:val="-32"/>
          <w:w w:val="105"/>
        </w:rPr>
        <w:t> </w:t>
      </w:r>
      <w:r>
        <w:rPr>
          <w:color w:val="231F20"/>
          <w:w w:val="105"/>
        </w:rPr>
        <w:t>naciones</w:t>
      </w:r>
      <w:r>
        <w:rPr>
          <w:color w:val="231F20"/>
          <w:spacing w:val="-32"/>
          <w:w w:val="105"/>
        </w:rPr>
        <w:t> </w:t>
      </w:r>
      <w:r>
        <w:rPr>
          <w:color w:val="231F20"/>
          <w:w w:val="105"/>
        </w:rPr>
        <w:t>se</w:t>
      </w:r>
      <w:r>
        <w:rPr>
          <w:color w:val="231F20"/>
          <w:spacing w:val="-32"/>
          <w:w w:val="105"/>
        </w:rPr>
        <w:t> </w:t>
      </w:r>
      <w:r>
        <w:rPr>
          <w:color w:val="231F20"/>
          <w:w w:val="105"/>
        </w:rPr>
        <w:t>ven</w:t>
      </w:r>
      <w:r>
        <w:rPr>
          <w:color w:val="231F20"/>
          <w:spacing w:val="-32"/>
          <w:w w:val="105"/>
        </w:rPr>
        <w:t> </w:t>
      </w:r>
      <w:r>
        <w:rPr>
          <w:color w:val="231F20"/>
          <w:w w:val="105"/>
        </w:rPr>
        <w:t>en</w:t>
      </w:r>
      <w:r>
        <w:rPr>
          <w:color w:val="231F20"/>
          <w:spacing w:val="-32"/>
          <w:w w:val="105"/>
        </w:rPr>
        <w:t> </w:t>
      </w:r>
      <w:r>
        <w:rPr>
          <w:color w:val="231F20"/>
          <w:w w:val="105"/>
        </w:rPr>
        <w:t>la</w:t>
      </w:r>
      <w:r>
        <w:rPr>
          <w:color w:val="231F20"/>
          <w:spacing w:val="-32"/>
          <w:w w:val="105"/>
        </w:rPr>
        <w:t> </w:t>
      </w:r>
      <w:r>
        <w:rPr>
          <w:color w:val="231F20"/>
          <w:w w:val="105"/>
        </w:rPr>
        <w:t>necesidad</w:t>
      </w:r>
      <w:r>
        <w:rPr>
          <w:color w:val="231F20"/>
          <w:spacing w:val="-32"/>
          <w:w w:val="105"/>
        </w:rPr>
        <w:t> </w:t>
      </w:r>
      <w:r>
        <w:rPr>
          <w:color w:val="231F20"/>
          <w:w w:val="105"/>
        </w:rPr>
        <w:t>de</w:t>
      </w:r>
      <w:r>
        <w:rPr>
          <w:color w:val="231F20"/>
          <w:spacing w:val="-32"/>
          <w:w w:val="105"/>
        </w:rPr>
        <w:t> </w:t>
      </w:r>
      <w:r>
        <w:rPr>
          <w:color w:val="231F20"/>
          <w:w w:val="105"/>
        </w:rPr>
        <w:t>recrear</w:t>
      </w:r>
      <w:r>
        <w:rPr>
          <w:color w:val="231F20"/>
          <w:spacing w:val="-32"/>
          <w:w w:val="105"/>
        </w:rPr>
        <w:t> </w:t>
      </w:r>
      <w:r>
        <w:rPr>
          <w:color w:val="231F20"/>
          <w:w w:val="105"/>
        </w:rPr>
        <w:t>sus</w:t>
      </w:r>
      <w:r>
        <w:rPr>
          <w:color w:val="231F20"/>
          <w:spacing w:val="-32"/>
          <w:w w:val="105"/>
        </w:rPr>
        <w:t> </w:t>
      </w:r>
      <w:r>
        <w:rPr>
          <w:color w:val="231F20"/>
          <w:w w:val="105"/>
        </w:rPr>
        <w:t>orígenes</w:t>
      </w:r>
      <w:r>
        <w:rPr>
          <w:color w:val="231F20"/>
          <w:spacing w:val="-32"/>
          <w:w w:val="105"/>
        </w:rPr>
        <w:t> </w:t>
      </w:r>
      <w:r>
        <w:rPr>
          <w:color w:val="231F20"/>
          <w:spacing w:val="-10"/>
          <w:w w:val="105"/>
        </w:rPr>
        <w:t>y,</w:t>
      </w:r>
      <w:r>
        <w:rPr>
          <w:color w:val="231F20"/>
          <w:spacing w:val="-32"/>
          <w:w w:val="105"/>
        </w:rPr>
        <w:t> </w:t>
      </w:r>
      <w:r>
        <w:rPr>
          <w:color w:val="231F20"/>
          <w:w w:val="105"/>
        </w:rPr>
        <w:t>con</w:t>
      </w:r>
      <w:r>
        <w:rPr>
          <w:color w:val="231F20"/>
          <w:spacing w:val="-32"/>
          <w:w w:val="105"/>
        </w:rPr>
        <w:t> </w:t>
      </w:r>
      <w:r>
        <w:rPr>
          <w:color w:val="231F20"/>
          <w:w w:val="105"/>
        </w:rPr>
        <w:t>ello,</w:t>
      </w:r>
      <w:r>
        <w:rPr>
          <w:color w:val="231F20"/>
          <w:spacing w:val="-32"/>
          <w:w w:val="105"/>
        </w:rPr>
        <w:t> </w:t>
      </w:r>
      <w:r>
        <w:rPr>
          <w:color w:val="231F20"/>
          <w:w w:val="105"/>
        </w:rPr>
        <w:t>su identidad:</w:t>
      </w:r>
      <w:r>
        <w:rPr>
          <w:color w:val="231F20"/>
          <w:spacing w:val="-11"/>
          <w:w w:val="105"/>
        </w:rPr>
        <w:t> </w:t>
      </w:r>
      <w:r>
        <w:rPr>
          <w:color w:val="231F20"/>
          <w:w w:val="105"/>
        </w:rPr>
        <w:t>“La</w:t>
      </w:r>
      <w:r>
        <w:rPr>
          <w:color w:val="231F20"/>
          <w:spacing w:val="-11"/>
          <w:w w:val="105"/>
        </w:rPr>
        <w:t> </w:t>
      </w:r>
      <w:r>
        <w:rPr>
          <w:color w:val="231F20"/>
          <w:w w:val="105"/>
        </w:rPr>
        <w:t>conciencia</w:t>
      </w:r>
      <w:r>
        <w:rPr>
          <w:color w:val="231F20"/>
          <w:spacing w:val="-11"/>
          <w:w w:val="105"/>
        </w:rPr>
        <w:t> </w:t>
      </w:r>
      <w:r>
        <w:rPr>
          <w:color w:val="231F20"/>
          <w:w w:val="105"/>
        </w:rPr>
        <w:t>de</w:t>
      </w:r>
      <w:r>
        <w:rPr>
          <w:color w:val="231F20"/>
          <w:spacing w:val="-11"/>
          <w:w w:val="105"/>
        </w:rPr>
        <w:t> </w:t>
      </w:r>
      <w:r>
        <w:rPr>
          <w:color w:val="231F20"/>
          <w:w w:val="105"/>
        </w:rPr>
        <w:t>estar</w:t>
      </w:r>
      <w:r>
        <w:rPr>
          <w:color w:val="231F20"/>
          <w:spacing w:val="-11"/>
          <w:w w:val="105"/>
        </w:rPr>
        <w:t> </w:t>
      </w:r>
      <w:r>
        <w:rPr>
          <w:color w:val="231F20"/>
          <w:w w:val="105"/>
        </w:rPr>
        <w:t>formando</w:t>
      </w:r>
      <w:r>
        <w:rPr>
          <w:color w:val="231F20"/>
          <w:spacing w:val="-11"/>
          <w:w w:val="105"/>
        </w:rPr>
        <w:t> </w:t>
      </w:r>
      <w:r>
        <w:rPr>
          <w:color w:val="231F20"/>
          <w:w w:val="105"/>
        </w:rPr>
        <w:t>parte</w:t>
      </w:r>
      <w:r>
        <w:rPr>
          <w:color w:val="231F20"/>
          <w:spacing w:val="-11"/>
          <w:w w:val="105"/>
        </w:rPr>
        <w:t> </w:t>
      </w:r>
      <w:r>
        <w:rPr>
          <w:color w:val="231F20"/>
          <w:w w:val="105"/>
        </w:rPr>
        <w:t>de</w:t>
      </w:r>
      <w:r>
        <w:rPr>
          <w:color w:val="231F20"/>
          <w:spacing w:val="-11"/>
          <w:w w:val="105"/>
        </w:rPr>
        <w:t> </w:t>
      </w:r>
      <w:r>
        <w:rPr>
          <w:color w:val="231F20"/>
          <w:w w:val="105"/>
        </w:rPr>
        <w:t>un</w:t>
      </w:r>
      <w:r>
        <w:rPr>
          <w:color w:val="231F20"/>
          <w:spacing w:val="-11"/>
          <w:w w:val="105"/>
        </w:rPr>
        <w:t> </w:t>
      </w:r>
      <w:r>
        <w:rPr>
          <w:color w:val="231F20"/>
          <w:w w:val="105"/>
        </w:rPr>
        <w:t>tiempo</w:t>
      </w:r>
      <w:r>
        <w:rPr>
          <w:color w:val="231F20"/>
          <w:spacing w:val="-11"/>
          <w:w w:val="105"/>
        </w:rPr>
        <w:t> </w:t>
      </w:r>
      <w:r>
        <w:rPr>
          <w:color w:val="231F20"/>
          <w:spacing w:val="-3"/>
          <w:w w:val="105"/>
        </w:rPr>
        <w:t>secular, </w:t>
      </w:r>
      <w:r>
        <w:rPr>
          <w:color w:val="231F20"/>
          <w:w w:val="105"/>
        </w:rPr>
        <w:t>serial</w:t>
      </w:r>
      <w:r>
        <w:rPr>
          <w:color w:val="231F20"/>
          <w:spacing w:val="-34"/>
          <w:w w:val="105"/>
        </w:rPr>
        <w:t> </w:t>
      </w:r>
      <w:r>
        <w:rPr>
          <w:color w:val="231F20"/>
          <w:w w:val="105"/>
        </w:rPr>
        <w:t>con</w:t>
      </w:r>
      <w:r>
        <w:rPr>
          <w:color w:val="231F20"/>
          <w:spacing w:val="-34"/>
          <w:w w:val="105"/>
        </w:rPr>
        <w:t> </w:t>
      </w:r>
      <w:r>
        <w:rPr>
          <w:color w:val="231F20"/>
          <w:w w:val="105"/>
        </w:rPr>
        <w:t>todo</w:t>
      </w:r>
      <w:r>
        <w:rPr>
          <w:color w:val="231F20"/>
          <w:spacing w:val="-34"/>
          <w:w w:val="105"/>
        </w:rPr>
        <w:t> </w:t>
      </w:r>
      <w:r>
        <w:rPr>
          <w:color w:val="231F20"/>
          <w:w w:val="105"/>
        </w:rPr>
        <w:t>lo</w:t>
      </w:r>
      <w:r>
        <w:rPr>
          <w:color w:val="231F20"/>
          <w:spacing w:val="-34"/>
          <w:w w:val="105"/>
        </w:rPr>
        <w:t> </w:t>
      </w:r>
      <w:r>
        <w:rPr>
          <w:color w:val="231F20"/>
          <w:w w:val="105"/>
        </w:rPr>
        <w:t>que</w:t>
      </w:r>
      <w:r>
        <w:rPr>
          <w:color w:val="231F20"/>
          <w:spacing w:val="-34"/>
          <w:w w:val="105"/>
        </w:rPr>
        <w:t> </w:t>
      </w:r>
      <w:r>
        <w:rPr>
          <w:color w:val="231F20"/>
          <w:w w:val="105"/>
        </w:rPr>
        <w:t>esto</w:t>
      </w:r>
      <w:r>
        <w:rPr>
          <w:color w:val="231F20"/>
          <w:spacing w:val="-34"/>
          <w:w w:val="105"/>
        </w:rPr>
        <w:t> </w:t>
      </w:r>
      <w:r>
        <w:rPr>
          <w:color w:val="231F20"/>
          <w:w w:val="105"/>
        </w:rPr>
        <w:t>implica</w:t>
      </w:r>
      <w:r>
        <w:rPr>
          <w:color w:val="231F20"/>
          <w:spacing w:val="-34"/>
          <w:w w:val="105"/>
        </w:rPr>
        <w:t> </w:t>
      </w:r>
      <w:r>
        <w:rPr>
          <w:color w:val="231F20"/>
          <w:w w:val="105"/>
        </w:rPr>
        <w:t>de</w:t>
      </w:r>
      <w:r>
        <w:rPr>
          <w:color w:val="231F20"/>
          <w:spacing w:val="-34"/>
          <w:w w:val="105"/>
        </w:rPr>
        <w:t> </w:t>
      </w:r>
      <w:r>
        <w:rPr>
          <w:color w:val="231F20"/>
          <w:w w:val="105"/>
        </w:rPr>
        <w:t>continuidad</w:t>
      </w:r>
      <w:r>
        <w:rPr>
          <w:color w:val="231F20"/>
          <w:spacing w:val="-34"/>
          <w:w w:val="105"/>
        </w:rPr>
        <w:t> </w:t>
      </w:r>
      <w:r>
        <w:rPr>
          <w:color w:val="231F20"/>
          <w:w w:val="105"/>
        </w:rPr>
        <w:t>[…]</w:t>
      </w:r>
      <w:r>
        <w:rPr>
          <w:color w:val="231F20"/>
          <w:spacing w:val="-34"/>
          <w:w w:val="105"/>
        </w:rPr>
        <w:t> </w:t>
      </w:r>
      <w:r>
        <w:rPr>
          <w:color w:val="231F20"/>
          <w:w w:val="105"/>
        </w:rPr>
        <w:t>da</w:t>
      </w:r>
      <w:r>
        <w:rPr>
          <w:color w:val="231F20"/>
          <w:spacing w:val="-34"/>
          <w:w w:val="105"/>
        </w:rPr>
        <w:t> </w:t>
      </w:r>
      <w:r>
        <w:rPr>
          <w:color w:val="231F20"/>
          <w:w w:val="105"/>
        </w:rPr>
        <w:t>lugar</w:t>
      </w:r>
      <w:r>
        <w:rPr>
          <w:color w:val="231F20"/>
          <w:spacing w:val="-34"/>
          <w:w w:val="105"/>
        </w:rPr>
        <w:t> </w:t>
      </w:r>
      <w:r>
        <w:rPr>
          <w:color w:val="231F20"/>
          <w:w w:val="105"/>
        </w:rPr>
        <w:t>a</w:t>
      </w:r>
      <w:r>
        <w:rPr>
          <w:color w:val="231F20"/>
          <w:spacing w:val="-34"/>
          <w:w w:val="105"/>
        </w:rPr>
        <w:t> </w:t>
      </w:r>
      <w:r>
        <w:rPr>
          <w:color w:val="231F20"/>
          <w:w w:val="105"/>
        </w:rPr>
        <w:t>una</w:t>
      </w:r>
      <w:r>
        <w:rPr>
          <w:color w:val="231F20"/>
          <w:spacing w:val="-34"/>
          <w:w w:val="105"/>
        </w:rPr>
        <w:t> </w:t>
      </w:r>
      <w:r>
        <w:rPr>
          <w:color w:val="231F20"/>
          <w:w w:val="105"/>
        </w:rPr>
        <w:t>narra- ción</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identidad”</w:t>
      </w:r>
      <w:r>
        <w:rPr>
          <w:color w:val="231F20"/>
          <w:w w:val="105"/>
          <w:position w:val="7"/>
          <w:sz w:val="12"/>
        </w:rPr>
        <w:t>22</w:t>
      </w:r>
      <w:r>
        <w:rPr>
          <w:color w:val="231F20"/>
          <w:w w:val="105"/>
        </w:rPr>
        <w:t>.</w:t>
      </w:r>
      <w:r>
        <w:rPr>
          <w:color w:val="231F20"/>
          <w:spacing w:val="-31"/>
          <w:w w:val="105"/>
        </w:rPr>
        <w:t> </w:t>
      </w:r>
      <w:r>
        <w:rPr>
          <w:color w:val="231F20"/>
          <w:w w:val="105"/>
        </w:rPr>
        <w:t>La</w:t>
      </w:r>
      <w:r>
        <w:rPr>
          <w:color w:val="231F20"/>
          <w:spacing w:val="-31"/>
          <w:w w:val="105"/>
        </w:rPr>
        <w:t> </w:t>
      </w:r>
      <w:r>
        <w:rPr>
          <w:color w:val="231F20"/>
          <w:w w:val="105"/>
        </w:rPr>
        <w:t>paradoja</w:t>
      </w:r>
      <w:r>
        <w:rPr>
          <w:color w:val="231F20"/>
          <w:spacing w:val="-31"/>
          <w:w w:val="105"/>
        </w:rPr>
        <w:t> </w:t>
      </w:r>
      <w:r>
        <w:rPr>
          <w:color w:val="231F20"/>
          <w:w w:val="105"/>
        </w:rPr>
        <w:t>implica,</w:t>
      </w:r>
      <w:r>
        <w:rPr>
          <w:color w:val="231F20"/>
          <w:spacing w:val="-31"/>
          <w:w w:val="105"/>
        </w:rPr>
        <w:t> </w:t>
      </w:r>
      <w:r>
        <w:rPr>
          <w:color w:val="231F20"/>
          <w:w w:val="105"/>
        </w:rPr>
        <w:t>así,</w:t>
      </w:r>
      <w:r>
        <w:rPr>
          <w:color w:val="231F20"/>
          <w:spacing w:val="-31"/>
          <w:w w:val="105"/>
        </w:rPr>
        <w:t> </w:t>
      </w:r>
      <w:r>
        <w:rPr>
          <w:color w:val="231F20"/>
          <w:w w:val="105"/>
        </w:rPr>
        <w:t>que</w:t>
      </w:r>
      <w:r>
        <w:rPr>
          <w:color w:val="231F20"/>
          <w:spacing w:val="-31"/>
          <w:w w:val="105"/>
        </w:rPr>
        <w:t> </w:t>
      </w:r>
      <w:r>
        <w:rPr>
          <w:color w:val="231F20"/>
          <w:w w:val="105"/>
        </w:rPr>
        <w:t>ese</w:t>
      </w:r>
      <w:r>
        <w:rPr>
          <w:color w:val="231F20"/>
          <w:spacing w:val="-31"/>
          <w:w w:val="105"/>
        </w:rPr>
        <w:t> </w:t>
      </w:r>
      <w:r>
        <w:rPr>
          <w:color w:val="231F20"/>
          <w:w w:val="105"/>
        </w:rPr>
        <w:t>pretendido</w:t>
      </w:r>
      <w:r>
        <w:rPr>
          <w:color w:val="231F20"/>
          <w:spacing w:val="-31"/>
          <w:w w:val="105"/>
        </w:rPr>
        <w:t> </w:t>
      </w:r>
      <w:r>
        <w:rPr>
          <w:color w:val="231F20"/>
          <w:w w:val="105"/>
        </w:rPr>
        <w:t>origen perdido</w:t>
      </w:r>
      <w:r>
        <w:rPr>
          <w:color w:val="231F20"/>
          <w:spacing w:val="-35"/>
          <w:w w:val="105"/>
        </w:rPr>
        <w:t> </w:t>
      </w:r>
      <w:r>
        <w:rPr>
          <w:color w:val="231F20"/>
          <w:w w:val="105"/>
        </w:rPr>
        <w:t>está</w:t>
      </w:r>
      <w:r>
        <w:rPr>
          <w:color w:val="231F20"/>
          <w:spacing w:val="-35"/>
          <w:w w:val="105"/>
        </w:rPr>
        <w:t> </w:t>
      </w:r>
      <w:r>
        <w:rPr>
          <w:color w:val="231F20"/>
          <w:w w:val="105"/>
        </w:rPr>
        <w:t>al</w:t>
      </w:r>
      <w:r>
        <w:rPr>
          <w:color w:val="231F20"/>
          <w:spacing w:val="-35"/>
          <w:w w:val="105"/>
        </w:rPr>
        <w:t> </w:t>
      </w:r>
      <w:r>
        <w:rPr>
          <w:color w:val="231F20"/>
          <w:w w:val="105"/>
        </w:rPr>
        <w:t>final,</w:t>
      </w:r>
      <w:r>
        <w:rPr>
          <w:color w:val="231F20"/>
          <w:spacing w:val="-35"/>
          <w:w w:val="105"/>
        </w:rPr>
        <w:t> </w:t>
      </w:r>
      <w:r>
        <w:rPr>
          <w:color w:val="231F20"/>
          <w:w w:val="105"/>
        </w:rPr>
        <w:t>en</w:t>
      </w:r>
      <w:r>
        <w:rPr>
          <w:color w:val="231F20"/>
          <w:spacing w:val="-35"/>
          <w:w w:val="105"/>
        </w:rPr>
        <w:t> </w:t>
      </w:r>
      <w:r>
        <w:rPr>
          <w:color w:val="231F20"/>
          <w:w w:val="105"/>
        </w:rPr>
        <w:t>las</w:t>
      </w:r>
      <w:r>
        <w:rPr>
          <w:color w:val="231F20"/>
          <w:spacing w:val="-35"/>
          <w:w w:val="105"/>
        </w:rPr>
        <w:t> </w:t>
      </w:r>
      <w:r>
        <w:rPr>
          <w:color w:val="231F20"/>
          <w:w w:val="105"/>
        </w:rPr>
        <w:t>narraciones</w:t>
      </w:r>
      <w:r>
        <w:rPr>
          <w:color w:val="231F20"/>
          <w:spacing w:val="-35"/>
          <w:w w:val="105"/>
        </w:rPr>
        <w:t> </w:t>
      </w:r>
      <w:r>
        <w:rPr>
          <w:color w:val="231F20"/>
          <w:w w:val="105"/>
        </w:rPr>
        <w:t>locales</w:t>
      </w:r>
      <w:r>
        <w:rPr>
          <w:color w:val="231F20"/>
          <w:spacing w:val="-35"/>
          <w:w w:val="105"/>
        </w:rPr>
        <w:t> </w:t>
      </w:r>
      <w:r>
        <w:rPr>
          <w:color w:val="231F20"/>
          <w:w w:val="105"/>
        </w:rPr>
        <w:t>que</w:t>
      </w:r>
      <w:r>
        <w:rPr>
          <w:color w:val="231F20"/>
          <w:spacing w:val="-35"/>
          <w:w w:val="105"/>
        </w:rPr>
        <w:t> </w:t>
      </w:r>
      <w:r>
        <w:rPr>
          <w:color w:val="231F20"/>
          <w:w w:val="105"/>
        </w:rPr>
        <w:t>tratan</w:t>
      </w:r>
      <w:r>
        <w:rPr>
          <w:color w:val="231F20"/>
          <w:spacing w:val="-35"/>
          <w:w w:val="105"/>
        </w:rPr>
        <w:t> </w:t>
      </w:r>
      <w:r>
        <w:rPr>
          <w:color w:val="231F20"/>
          <w:w w:val="105"/>
        </w:rPr>
        <w:t>de</w:t>
      </w:r>
      <w:r>
        <w:rPr>
          <w:color w:val="231F20"/>
          <w:spacing w:val="-35"/>
          <w:w w:val="105"/>
        </w:rPr>
        <w:t> </w:t>
      </w:r>
      <w:r>
        <w:rPr>
          <w:color w:val="231F20"/>
          <w:w w:val="105"/>
        </w:rPr>
        <w:t>hacer</w:t>
      </w:r>
      <w:r>
        <w:rPr>
          <w:color w:val="231F20"/>
          <w:spacing w:val="-35"/>
          <w:w w:val="105"/>
        </w:rPr>
        <w:t> </w:t>
      </w:r>
      <w:r>
        <w:rPr>
          <w:color w:val="231F20"/>
          <w:w w:val="105"/>
        </w:rPr>
        <w:t>frente</w:t>
      </w:r>
      <w:r>
        <w:rPr>
          <w:color w:val="231F20"/>
          <w:spacing w:val="-35"/>
          <w:w w:val="105"/>
        </w:rPr>
        <w:t> </w:t>
      </w:r>
      <w:r>
        <w:rPr>
          <w:color w:val="231F20"/>
          <w:w w:val="105"/>
        </w:rPr>
        <w:t>a la</w:t>
      </w:r>
      <w:r>
        <w:rPr>
          <w:color w:val="231F20"/>
          <w:spacing w:val="-25"/>
          <w:w w:val="105"/>
        </w:rPr>
        <w:t> </w:t>
      </w:r>
      <w:r>
        <w:rPr>
          <w:color w:val="231F20"/>
          <w:w w:val="105"/>
        </w:rPr>
        <w:t>tendencia</w:t>
      </w:r>
      <w:r>
        <w:rPr>
          <w:color w:val="231F20"/>
          <w:spacing w:val="-25"/>
          <w:w w:val="105"/>
        </w:rPr>
        <w:t> </w:t>
      </w:r>
      <w:r>
        <w:rPr>
          <w:color w:val="231F20"/>
          <w:w w:val="105"/>
        </w:rPr>
        <w:t>unificadora</w:t>
      </w:r>
      <w:r>
        <w:rPr>
          <w:color w:val="231F20"/>
          <w:spacing w:val="-25"/>
          <w:w w:val="105"/>
        </w:rPr>
        <w:t> </w:t>
      </w:r>
      <w:r>
        <w:rPr>
          <w:color w:val="231F20"/>
          <w:w w:val="105"/>
        </w:rPr>
        <w:t>de</w:t>
      </w:r>
      <w:r>
        <w:rPr>
          <w:color w:val="231F20"/>
          <w:spacing w:val="-25"/>
          <w:w w:val="105"/>
        </w:rPr>
        <w:t> </w:t>
      </w:r>
      <w:r>
        <w:rPr>
          <w:color w:val="231F20"/>
          <w:w w:val="105"/>
        </w:rPr>
        <w:t>lo</w:t>
      </w:r>
      <w:r>
        <w:rPr>
          <w:color w:val="231F20"/>
          <w:spacing w:val="-25"/>
          <w:w w:val="105"/>
        </w:rPr>
        <w:t> </w:t>
      </w:r>
      <w:r>
        <w:rPr>
          <w:color w:val="231F20"/>
          <w:w w:val="105"/>
        </w:rPr>
        <w:t>global.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r>
        <w:rPr/>
        <w:pict>
          <v:line style="position:absolute;mso-position-horizontal-relative:page;mso-position-vertical-relative:paragraph;z-index:4264;mso-wrap-distance-left:0;mso-wrap-distance-right:0" from="70.866096pt,15.08511pt" to="184.252096pt,15.08511pt" stroked="true" strokeweight=".3pt" strokecolor="#231f20">
            <w10:wrap type="topAndBottom"/>
          </v:line>
        </w:pict>
      </w:r>
    </w:p>
    <w:p>
      <w:pPr>
        <w:spacing w:before="10"/>
        <w:ind w:left="117" w:right="0" w:firstLine="0"/>
        <w:jc w:val="left"/>
        <w:rPr>
          <w:rFonts w:ascii="Calibri" w:hAnsi="Calibri"/>
          <w:sz w:val="17"/>
        </w:rPr>
      </w:pPr>
      <w:r>
        <w:rPr>
          <w:rFonts w:ascii="Calibri" w:hAnsi="Calibri"/>
          <w:color w:val="231F20"/>
          <w:position w:val="6"/>
          <w:sz w:val="10"/>
        </w:rPr>
        <w:t>22  </w:t>
      </w:r>
      <w:r>
        <w:rPr>
          <w:rFonts w:ascii="Calibri" w:hAnsi="Calibri"/>
          <w:color w:val="231F20"/>
          <w:sz w:val="17"/>
        </w:rPr>
        <w:t>B.  Anderson, </w:t>
      </w:r>
      <w:r>
        <w:rPr>
          <w:rFonts w:ascii="Calibri" w:hAnsi="Calibri"/>
          <w:i/>
          <w:color w:val="231F20"/>
          <w:sz w:val="17"/>
        </w:rPr>
        <w:t>Comunidades imaginadas</w:t>
      </w:r>
      <w:r>
        <w:rPr>
          <w:rFonts w:ascii="Calibri" w:hAnsi="Calibri"/>
          <w:color w:val="231F20"/>
          <w:sz w:val="17"/>
        </w:rPr>
        <w:t>, México: </w:t>
      </w:r>
      <w:r>
        <w:rPr>
          <w:rFonts w:ascii="Calibri" w:hAnsi="Calibri"/>
          <w:color w:val="231F20"/>
          <w:sz w:val="15"/>
        </w:rPr>
        <w:t>FCE</w:t>
      </w:r>
      <w:r>
        <w:rPr>
          <w:rFonts w:ascii="Calibri" w:hAnsi="Calibri"/>
          <w:color w:val="231F20"/>
          <w:sz w:val="17"/>
        </w:rPr>
        <w:t>, 1993, p. 285.</w:t>
      </w:r>
    </w:p>
    <w:p>
      <w:pPr>
        <w:spacing w:after="0"/>
        <w:jc w:val="left"/>
        <w:rPr>
          <w:rFonts w:ascii="Calibri" w:hAnsi="Calibri"/>
          <w:sz w:val="17"/>
        </w:rPr>
        <w:sectPr>
          <w:pgSz w:w="9640" w:h="13890"/>
          <w:pgMar w:top="0" w:bottom="280" w:left="1300" w:right="1200"/>
        </w:sectPr>
      </w:pPr>
    </w:p>
    <w:p>
      <w:pPr>
        <w:pStyle w:val="ListParagraph"/>
        <w:numPr>
          <w:ilvl w:val="0"/>
          <w:numId w:val="5"/>
        </w:numPr>
        <w:tabs>
          <w:tab w:pos="897" w:val="left" w:leader="none"/>
        </w:tabs>
        <w:spacing w:line="240" w:lineRule="auto" w:before="107" w:after="0"/>
        <w:ind w:left="896" w:right="0" w:hanging="226"/>
        <w:jc w:val="left"/>
        <w:rPr>
          <w:sz w:val="21"/>
        </w:rPr>
      </w:pPr>
      <w:r>
        <w:rPr>
          <w:color w:val="231F20"/>
          <w:sz w:val="21"/>
        </w:rPr>
        <w:t>Centro–márgenes</w:t>
      </w:r>
    </w:p>
    <w:p>
      <w:pPr>
        <w:pStyle w:val="BodyText"/>
        <w:rPr>
          <w:sz w:val="22"/>
        </w:rPr>
      </w:pPr>
    </w:p>
    <w:p>
      <w:pPr>
        <w:pStyle w:val="BodyText"/>
        <w:spacing w:line="247" w:lineRule="auto" w:before="1"/>
        <w:ind w:left="103" w:right="114"/>
        <w:jc w:val="both"/>
      </w:pPr>
      <w:r>
        <w:rPr>
          <w:color w:val="231F20"/>
        </w:rPr>
        <w:t>Esta última aporía rechaza que la globalización tienda a centralizar los</w:t>
      </w:r>
      <w:r>
        <w:rPr>
          <w:color w:val="231F20"/>
          <w:spacing w:val="-27"/>
        </w:rPr>
        <w:t> </w:t>
      </w:r>
      <w:r>
        <w:rPr>
          <w:color w:val="231F20"/>
        </w:rPr>
        <w:t>pro- cesos y la vida misma bajo un solo modelo directivo, todo lo contrario, lo que</w:t>
      </w:r>
      <w:r>
        <w:rPr>
          <w:color w:val="231F20"/>
          <w:spacing w:val="-10"/>
        </w:rPr>
        <w:t> </w:t>
      </w:r>
      <w:r>
        <w:rPr>
          <w:color w:val="231F20"/>
        </w:rPr>
        <w:t>se</w:t>
      </w:r>
      <w:r>
        <w:rPr>
          <w:color w:val="231F20"/>
          <w:spacing w:val="-10"/>
        </w:rPr>
        <w:t> </w:t>
      </w:r>
      <w:r>
        <w:rPr>
          <w:color w:val="231F20"/>
        </w:rPr>
        <w:t>produce</w:t>
      </w:r>
      <w:r>
        <w:rPr>
          <w:color w:val="231F20"/>
          <w:spacing w:val="-10"/>
        </w:rPr>
        <w:t> </w:t>
      </w:r>
      <w:r>
        <w:rPr>
          <w:color w:val="231F20"/>
        </w:rPr>
        <w:t>es</w:t>
      </w:r>
      <w:r>
        <w:rPr>
          <w:color w:val="231F20"/>
          <w:spacing w:val="-10"/>
        </w:rPr>
        <w:t> </w:t>
      </w:r>
      <w:r>
        <w:rPr>
          <w:color w:val="231F20"/>
        </w:rPr>
        <w:t>un</w:t>
      </w:r>
      <w:r>
        <w:rPr>
          <w:color w:val="231F20"/>
          <w:spacing w:val="-10"/>
        </w:rPr>
        <w:t> </w:t>
      </w:r>
      <w:r>
        <w:rPr>
          <w:color w:val="231F20"/>
        </w:rPr>
        <w:t>movimiento</w:t>
      </w:r>
      <w:r>
        <w:rPr>
          <w:color w:val="231F20"/>
          <w:spacing w:val="-10"/>
        </w:rPr>
        <w:t> </w:t>
      </w:r>
      <w:r>
        <w:rPr>
          <w:color w:val="231F20"/>
        </w:rPr>
        <w:t>inverso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cual</w:t>
      </w:r>
      <w:r>
        <w:rPr>
          <w:color w:val="231F20"/>
          <w:spacing w:val="-10"/>
        </w:rPr>
        <w:t> </w:t>
      </w:r>
      <w:r>
        <w:rPr>
          <w:color w:val="231F20"/>
        </w:rPr>
        <w:t>el</w:t>
      </w:r>
      <w:r>
        <w:rPr>
          <w:color w:val="231F20"/>
          <w:spacing w:val="-10"/>
        </w:rPr>
        <w:t> </w:t>
      </w:r>
      <w:r>
        <w:rPr>
          <w:color w:val="231F20"/>
        </w:rPr>
        <w:t>centro</w:t>
      </w:r>
      <w:r>
        <w:rPr>
          <w:color w:val="231F20"/>
          <w:spacing w:val="-10"/>
        </w:rPr>
        <w:t> </w:t>
      </w:r>
      <w:r>
        <w:rPr>
          <w:color w:val="231F20"/>
        </w:rPr>
        <w:t>está</w:t>
      </w:r>
      <w:r>
        <w:rPr>
          <w:color w:val="231F20"/>
          <w:spacing w:val="-10"/>
        </w:rPr>
        <w:t> </w:t>
      </w:r>
      <w:r>
        <w:rPr>
          <w:color w:val="231F20"/>
        </w:rPr>
        <w:t>ahora</w:t>
      </w:r>
      <w:r>
        <w:rPr>
          <w:color w:val="231F20"/>
          <w:spacing w:val="-10"/>
        </w:rPr>
        <w:t> </w:t>
      </w:r>
      <w:r>
        <w:rPr>
          <w:color w:val="231F20"/>
        </w:rPr>
        <w:t>en todas partes. </w:t>
      </w:r>
      <w:r>
        <w:rPr>
          <w:color w:val="231F20"/>
          <w:spacing w:val="-10"/>
        </w:rPr>
        <w:t>Ya </w:t>
      </w:r>
      <w:r>
        <w:rPr>
          <w:color w:val="231F20"/>
        </w:rPr>
        <w:t>no hay un solo centro desde donde se irradien de manera unívoca</w:t>
      </w:r>
      <w:r>
        <w:rPr>
          <w:color w:val="231F20"/>
          <w:spacing w:val="-5"/>
        </w:rPr>
        <w:t> </w:t>
      </w:r>
      <w:r>
        <w:rPr>
          <w:color w:val="231F20"/>
        </w:rPr>
        <w:t>las</w:t>
      </w:r>
      <w:r>
        <w:rPr>
          <w:color w:val="231F20"/>
          <w:spacing w:val="-5"/>
        </w:rPr>
        <w:t> </w:t>
      </w:r>
      <w:r>
        <w:rPr>
          <w:color w:val="231F20"/>
        </w:rPr>
        <w:t>políticas,</w:t>
      </w:r>
      <w:r>
        <w:rPr>
          <w:color w:val="231F20"/>
          <w:spacing w:val="-5"/>
        </w:rPr>
        <w:t> </w:t>
      </w:r>
      <w:r>
        <w:rPr>
          <w:color w:val="231F20"/>
        </w:rPr>
        <w:t>la</w:t>
      </w:r>
      <w:r>
        <w:rPr>
          <w:color w:val="231F20"/>
          <w:spacing w:val="-5"/>
        </w:rPr>
        <w:t> </w:t>
      </w:r>
      <w:r>
        <w:rPr>
          <w:color w:val="231F20"/>
        </w:rPr>
        <w:t>producción,</w:t>
      </w:r>
      <w:r>
        <w:rPr>
          <w:color w:val="231F20"/>
          <w:spacing w:val="-5"/>
        </w:rPr>
        <w:t> </w:t>
      </w:r>
      <w:r>
        <w:rPr>
          <w:color w:val="231F20"/>
        </w:rPr>
        <w:t>las</w:t>
      </w:r>
      <w:r>
        <w:rPr>
          <w:color w:val="231F20"/>
          <w:spacing w:val="-5"/>
        </w:rPr>
        <w:t> </w:t>
      </w:r>
      <w:r>
        <w:rPr>
          <w:color w:val="231F20"/>
        </w:rPr>
        <w:t>formas</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las</w:t>
      </w:r>
      <w:r>
        <w:rPr>
          <w:color w:val="231F20"/>
          <w:spacing w:val="-5"/>
        </w:rPr>
        <w:t> </w:t>
      </w:r>
      <w:r>
        <w:rPr>
          <w:color w:val="231F20"/>
        </w:rPr>
        <w:t>modas,</w:t>
      </w:r>
      <w:r>
        <w:rPr>
          <w:color w:val="231F20"/>
          <w:spacing w:val="-5"/>
        </w:rPr>
        <w:t> </w:t>
      </w:r>
      <w:r>
        <w:rPr>
          <w:color w:val="231F20"/>
        </w:rPr>
        <w:t>normas, etc.: “el mundo globalizado se presenta como un mundo sumamente po- licéntrico, es </w:t>
      </w:r>
      <w:r>
        <w:rPr>
          <w:color w:val="231F20"/>
          <w:spacing w:val="-4"/>
        </w:rPr>
        <w:t>decir, </w:t>
      </w:r>
      <w:r>
        <w:rPr>
          <w:color w:val="231F20"/>
        </w:rPr>
        <w:t>en él coexisten numerosos estados, culturas,</w:t>
      </w:r>
      <w:r>
        <w:rPr>
          <w:color w:val="231F20"/>
          <w:spacing w:val="-29"/>
        </w:rPr>
        <w:t> </w:t>
      </w:r>
      <w:r>
        <w:rPr>
          <w:color w:val="231F20"/>
        </w:rPr>
        <w:t>religiones, etcétera, no habiendo ya un centro único de la sociedad mundial”</w:t>
      </w:r>
      <w:r>
        <w:rPr>
          <w:color w:val="231F20"/>
          <w:position w:val="7"/>
          <w:sz w:val="12"/>
        </w:rPr>
        <w:t>23</w:t>
      </w:r>
      <w:r>
        <w:rPr>
          <w:color w:val="231F20"/>
        </w:rPr>
        <w:t>. La ex- presión, </w:t>
      </w:r>
      <w:r>
        <w:rPr>
          <w:rFonts w:ascii="Arial" w:hAnsi="Arial"/>
          <w:i/>
          <w:color w:val="231F20"/>
        </w:rPr>
        <w:t>el centro está en todos los lados </w:t>
      </w:r>
      <w:r>
        <w:rPr>
          <w:color w:val="231F20"/>
        </w:rPr>
        <w:t>ha hecho fortuna para indicar su atomización en una pluralidad de puntos difícilmente identificables. Fueron sobre todo Michael Hardt y Antonio Negri quienes impulsaron esta pers- pectiva con la idea del </w:t>
      </w:r>
      <w:r>
        <w:rPr>
          <w:rFonts w:ascii="Arial" w:hAnsi="Arial"/>
          <w:i/>
          <w:color w:val="231F20"/>
        </w:rPr>
        <w:t>imperio</w:t>
      </w:r>
      <w:r>
        <w:rPr>
          <w:color w:val="231F20"/>
        </w:rPr>
        <w:t>: no vivimos ya en un mundo dominado por una sola nación, o un Estado claramente localizado —lo que ellos identifi- carían como </w:t>
      </w:r>
      <w:r>
        <w:rPr>
          <w:rFonts w:ascii="Arial" w:hAnsi="Arial"/>
          <w:i/>
          <w:color w:val="231F20"/>
        </w:rPr>
        <w:t>imperalismo</w:t>
      </w:r>
      <w:r>
        <w:rPr>
          <w:color w:val="231F20"/>
        </w:rPr>
        <w:t>—, sino por un dominio global descentrado, que por</w:t>
      </w:r>
      <w:r>
        <w:rPr>
          <w:color w:val="231F20"/>
          <w:spacing w:val="-5"/>
        </w:rPr>
        <w:t> </w:t>
      </w:r>
      <w:r>
        <w:rPr>
          <w:color w:val="231F20"/>
        </w:rPr>
        <w:t>ello</w:t>
      </w:r>
      <w:r>
        <w:rPr>
          <w:color w:val="231F20"/>
          <w:spacing w:val="-5"/>
        </w:rPr>
        <w:t> </w:t>
      </w:r>
      <w:r>
        <w:rPr>
          <w:color w:val="231F20"/>
        </w:rPr>
        <w:t>mismo</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vuelto</w:t>
      </w:r>
      <w:r>
        <w:rPr>
          <w:color w:val="231F20"/>
          <w:spacing w:val="-5"/>
        </w:rPr>
        <w:t> </w:t>
      </w:r>
      <w:r>
        <w:rPr>
          <w:color w:val="231F20"/>
        </w:rPr>
        <w:t>mucho</w:t>
      </w:r>
      <w:r>
        <w:rPr>
          <w:color w:val="231F20"/>
          <w:spacing w:val="-5"/>
        </w:rPr>
        <w:t> </w:t>
      </w:r>
      <w:r>
        <w:rPr>
          <w:color w:val="231F20"/>
        </w:rPr>
        <w:t>más</w:t>
      </w:r>
      <w:r>
        <w:rPr>
          <w:color w:val="231F20"/>
          <w:spacing w:val="-5"/>
        </w:rPr>
        <w:t> </w:t>
      </w:r>
      <w:r>
        <w:rPr>
          <w:color w:val="231F20"/>
        </w:rPr>
        <w:t>eficiente</w:t>
      </w:r>
      <w:r>
        <w:rPr>
          <w:color w:val="231F20"/>
          <w:spacing w:val="-5"/>
        </w:rPr>
        <w:t> </w:t>
      </w:r>
      <w:r>
        <w:rPr>
          <w:color w:val="231F20"/>
        </w:rPr>
        <w:t>al</w:t>
      </w:r>
      <w:r>
        <w:rPr>
          <w:color w:val="231F20"/>
          <w:spacing w:val="-5"/>
        </w:rPr>
        <w:t> </w:t>
      </w:r>
      <w:r>
        <w:rPr>
          <w:color w:val="231F20"/>
        </w:rPr>
        <w:t>ejercer</w:t>
      </w:r>
      <w:r>
        <w:rPr>
          <w:color w:val="231F20"/>
          <w:spacing w:val="-5"/>
        </w:rPr>
        <w:t> </w:t>
      </w:r>
      <w:r>
        <w:rPr>
          <w:color w:val="231F20"/>
        </w:rPr>
        <w:t>una</w:t>
      </w:r>
      <w:r>
        <w:rPr>
          <w:color w:val="231F20"/>
          <w:spacing w:val="-5"/>
        </w:rPr>
        <w:t> </w:t>
      </w:r>
      <w:r>
        <w:rPr>
          <w:color w:val="231F20"/>
        </w:rPr>
        <w:t>hegemonía planetaria, dinámica y polimorfa. El centro se ha atomizado en una plura- lidad de puntos no localizables —por ende, omnipresentes—, así, irradian de manera más efectiva los patrones y formas de vida del capitalismo glo- bal. Han sido principalmente dos los procesos que han impulsado esta</w:t>
      </w:r>
      <w:r>
        <w:rPr>
          <w:color w:val="231F20"/>
          <w:spacing w:val="-31"/>
        </w:rPr>
        <w:t> </w:t>
      </w:r>
      <w:r>
        <w:rPr>
          <w:color w:val="231F20"/>
        </w:rPr>
        <w:t>ten- dencia a la descentralización: la aparición de empresas trasnacionales que instalaron plantas y oficinas en países periféricos </w:t>
      </w:r>
      <w:r>
        <w:rPr>
          <w:color w:val="231F20"/>
          <w:spacing w:val="-10"/>
        </w:rPr>
        <w:t>y, </w:t>
      </w:r>
      <w:r>
        <w:rPr>
          <w:color w:val="231F20"/>
        </w:rPr>
        <w:t>con ello, transfirieron tecnología y un cierto estilo de vida a las poblaciones en donde se asenta- ron; en segundo lugar están las nuevas tecnologías de la información, que terminaron impulsando más este proceso, pues millones de transacciones, de volúmenes de información, de ventas y compras, de decisiones y nego- cios, son realizadas hoy a través de internet, entre agentes que no sólo no se conocen y pueden estar a miles de kilómetros de distancia, sino de los cuáles es difícil, si no imposible, determinar su ubicación</w:t>
      </w:r>
      <w:r>
        <w:rPr>
          <w:color w:val="231F20"/>
          <w:spacing w:val="-6"/>
        </w:rPr>
        <w:t> </w:t>
      </w:r>
      <w:r>
        <w:rPr>
          <w:color w:val="231F20"/>
        </w:rPr>
        <w:t>real.</w:t>
      </w:r>
    </w:p>
    <w:p>
      <w:pPr>
        <w:pStyle w:val="BodyText"/>
        <w:spacing w:line="244" w:lineRule="auto"/>
        <w:ind w:left="103" w:right="114" w:firstLine="566"/>
        <w:jc w:val="both"/>
      </w:pPr>
      <w:r>
        <w:rPr>
          <w:color w:val="231F20"/>
        </w:rPr>
        <w:t>La imagen de un centro que está en todos lados, diseminado en   los márgenes, ha contribuido en ocasiones a ver en la globalización un proceso positivo, perspectiva que tendría que matizarse, pues si bien se ha traducido en transferencia de tecnología e información a comunidades que con ello pudieron mejorar su nivel de vida, también ha significado, paradójicamente, un fortalecimiento de ese centro que ahora no está en ningún lado. Es </w:t>
      </w:r>
      <w:r>
        <w:rPr>
          <w:color w:val="231F20"/>
          <w:spacing w:val="-4"/>
        </w:rPr>
        <w:t>decir, </w:t>
      </w:r>
      <w:r>
        <w:rPr>
          <w:color w:val="231F20"/>
        </w:rPr>
        <w:t>aunque no haya un centro geográfica y estrictamen- te identificable, la </w:t>
      </w:r>
      <w:r>
        <w:rPr>
          <w:rFonts w:ascii="Arial" w:hAnsi="Arial"/>
          <w:i/>
          <w:color w:val="231F20"/>
        </w:rPr>
        <w:t>función centro </w:t>
      </w:r>
      <w:r>
        <w:rPr>
          <w:color w:val="231F20"/>
        </w:rPr>
        <w:t>no ha desaparecido, sólo que ahora se presenta como una </w:t>
      </w:r>
      <w:r>
        <w:rPr>
          <w:rFonts w:ascii="Arial" w:hAnsi="Arial"/>
          <w:i/>
          <w:color w:val="231F20"/>
        </w:rPr>
        <w:t>nube de influencias </w:t>
      </w:r>
      <w:r>
        <w:rPr>
          <w:color w:val="231F20"/>
        </w:rPr>
        <w:t>que puede estar en todos lados, pero que no por ello pierde cierta consistencia y fuerza. Como lo </w:t>
      </w:r>
      <w:r>
        <w:rPr>
          <w:color w:val="231F20"/>
          <w:spacing w:val="8"/>
        </w:rPr>
        <w:t> </w:t>
      </w:r>
      <w:r>
        <w:rPr>
          <w:color w:val="231F20"/>
        </w:rPr>
        <w:t>exponen</w:t>
      </w:r>
    </w:p>
    <w:p>
      <w:pPr>
        <w:pStyle w:val="BodyText"/>
        <w:rPr>
          <w:sz w:val="20"/>
        </w:rPr>
      </w:pPr>
    </w:p>
    <w:p>
      <w:pPr>
        <w:pStyle w:val="BodyText"/>
        <w:rPr>
          <w:sz w:val="14"/>
        </w:rPr>
      </w:pPr>
      <w:r>
        <w:rPr/>
        <w:pict>
          <v:line style="position:absolute;mso-position-horizontal-relative:page;mso-position-vertical-relative:paragraph;z-index:4312;mso-wrap-distance-left:0;mso-wrap-distance-right:0" from="65.196899pt,10.563411pt" to="178.582899pt,10.563411pt" stroked="true" strokeweight=".3pt" strokecolor="#231f20">
            <w10:wrap type="topAndBottom"/>
          </v:line>
        </w:pict>
      </w:r>
    </w:p>
    <w:p>
      <w:pPr>
        <w:spacing w:before="10"/>
        <w:ind w:left="103" w:right="0" w:firstLine="0"/>
        <w:jc w:val="left"/>
        <w:rPr>
          <w:rFonts w:ascii="Calibri" w:hAnsi="Calibri"/>
          <w:sz w:val="17"/>
        </w:rPr>
      </w:pPr>
      <w:r>
        <w:rPr>
          <w:rFonts w:ascii="Calibri" w:hAnsi="Calibri"/>
          <w:color w:val="231F20"/>
          <w:position w:val="6"/>
          <w:sz w:val="10"/>
        </w:rPr>
        <w:t>23 </w:t>
      </w:r>
      <w:r>
        <w:rPr>
          <w:rFonts w:ascii="Calibri" w:hAnsi="Calibri"/>
          <w:color w:val="231F20"/>
          <w:sz w:val="17"/>
        </w:rPr>
        <w:t>Reder, </w:t>
      </w:r>
      <w:r>
        <w:rPr>
          <w:rFonts w:ascii="Calibri" w:hAnsi="Calibri"/>
          <w:i/>
          <w:color w:val="231F20"/>
          <w:sz w:val="17"/>
        </w:rPr>
        <w:t>Globalización y filosofía</w:t>
      </w:r>
      <w:r>
        <w:rPr>
          <w:rFonts w:ascii="Calibri" w:hAnsi="Calibri"/>
          <w:color w:val="231F20"/>
          <w:sz w:val="17"/>
        </w:rPr>
        <w:t>, p. 55.</w:t>
      </w:r>
    </w:p>
    <w:p>
      <w:pPr>
        <w:pStyle w:val="BodyText"/>
        <w:rPr>
          <w:rFonts w:ascii="Calibri"/>
          <w:sz w:val="20"/>
        </w:rPr>
      </w:pPr>
    </w:p>
    <w:p>
      <w:pPr>
        <w:pStyle w:val="BodyText"/>
        <w:spacing w:before="9"/>
        <w:rPr>
          <w:rFonts w:ascii="Calibri"/>
          <w:sz w:val="27"/>
        </w:rPr>
      </w:pPr>
    </w:p>
    <w:p>
      <w:pPr>
        <w:tabs>
          <w:tab w:pos="1331" w:val="left" w:leader="none"/>
        </w:tabs>
        <w:spacing w:before="68"/>
        <w:ind w:left="281" w:right="0" w:firstLine="0"/>
        <w:jc w:val="left"/>
        <w:rPr>
          <w:rFonts w:ascii="Calibri" w:hAnsi="Calibri"/>
          <w:sz w:val="16"/>
        </w:rPr>
      </w:pPr>
      <w:r>
        <w:rPr/>
        <w:pict>
          <v:group style="position:absolute;margin-left:98.787804pt;margin-top:-3.358812pt;width:20.4pt;height:43pt;mso-position-horizontal-relative:page;mso-position-vertical-relative:paragraph;z-index:-171064"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hAnsi="Arial"/>
          <w:color w:val="414042"/>
          <w:position w:val="-4"/>
          <w:sz w:val="20"/>
        </w:rPr>
        <w:t>74</w:t>
        <w:tab/>
      </w:r>
      <w:r>
        <w:rPr>
          <w:rFonts w:ascii="Calibri" w:hAnsi="Calibri"/>
          <w:color w:val="6D6E71"/>
          <w:sz w:val="16"/>
        </w:rPr>
        <w:t>María Luisa Bacarlett</w:t>
      </w:r>
      <w:r>
        <w:rPr>
          <w:rFonts w:ascii="Calibri" w:hAnsi="Calibri"/>
          <w:color w:val="6D6E71"/>
          <w:spacing w:val="33"/>
          <w:sz w:val="16"/>
        </w:rPr>
        <w:t> </w:t>
      </w:r>
      <w:r>
        <w:rPr>
          <w:rFonts w:ascii="Calibri" w:hAnsi="Calibri"/>
          <w:color w:val="6D6E71"/>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335" w:right="0" w:firstLine="0"/>
        <w:jc w:val="left"/>
        <w:rPr>
          <w:rFonts w:ascii="Arial" w:hAnsi="Arial"/>
          <w:sz w:val="20"/>
        </w:rPr>
      </w:pPr>
      <w:r>
        <w:rPr/>
        <w:pict>
          <v:group style="position:absolute;margin-left:383.821014pt;margin-top:-25.479271pt;width:8.65pt;height:41pt;mso-position-horizontal-relative:page;mso-position-vertical-relative:paragraph;z-index:-17101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NATURALIZAR</w:t>
      </w:r>
      <w:r>
        <w:rPr>
          <w:rFonts w:ascii="Lucida Sans Unicode" w:hAnsi="Lucida Sans Unicode"/>
          <w:color w:val="6D6E71"/>
          <w:spacing w:val="-19"/>
          <w:w w:val="95"/>
          <w:sz w:val="14"/>
        </w:rPr>
        <w:t> </w:t>
      </w:r>
      <w:r>
        <w:rPr>
          <w:rFonts w:ascii="Lucida Sans Unicode" w:hAnsi="Lucida Sans Unicode"/>
          <w:color w:val="6D6E71"/>
          <w:w w:val="95"/>
          <w:sz w:val="14"/>
        </w:rPr>
        <w:t>LAS</w:t>
      </w:r>
      <w:r>
        <w:rPr>
          <w:rFonts w:ascii="Lucida Sans Unicode" w:hAnsi="Lucida Sans Unicode"/>
          <w:color w:val="6D6E71"/>
          <w:spacing w:val="-19"/>
          <w:w w:val="95"/>
          <w:sz w:val="14"/>
        </w:rPr>
        <w:t> </w:t>
      </w:r>
      <w:r>
        <w:rPr>
          <w:rFonts w:ascii="Lucida Sans Unicode" w:hAnsi="Lucida Sans Unicode"/>
          <w:color w:val="6D6E71"/>
          <w:w w:val="95"/>
          <w:sz w:val="14"/>
        </w:rPr>
        <w:t>PARADOJAS:</w:t>
      </w:r>
      <w:r>
        <w:rPr>
          <w:rFonts w:ascii="Lucida Sans Unicode" w:hAnsi="Lucida Sans Unicode"/>
          <w:color w:val="6D6E71"/>
          <w:spacing w:val="-19"/>
          <w:w w:val="95"/>
          <w:sz w:val="14"/>
        </w:rPr>
        <w:t> </w:t>
      </w:r>
      <w:r>
        <w:rPr>
          <w:rFonts w:ascii="Lucida Sans Unicode" w:hAnsi="Lucida Sans Unicode"/>
          <w:color w:val="6D6E71"/>
          <w:w w:val="95"/>
          <w:sz w:val="14"/>
        </w:rPr>
        <w:t>UN</w:t>
      </w:r>
      <w:r>
        <w:rPr>
          <w:rFonts w:ascii="Lucida Sans Unicode" w:hAnsi="Lucida Sans Unicode"/>
          <w:color w:val="6D6E71"/>
          <w:spacing w:val="-19"/>
          <w:w w:val="95"/>
          <w:sz w:val="14"/>
        </w:rPr>
        <w:t> </w:t>
      </w:r>
      <w:r>
        <w:rPr>
          <w:rFonts w:ascii="Lucida Sans Unicode" w:hAnsi="Lucida Sans Unicode"/>
          <w:color w:val="6D6E71"/>
          <w:w w:val="95"/>
          <w:sz w:val="14"/>
        </w:rPr>
        <w:t>ACERCAMIENTO</w:t>
      </w:r>
      <w:r>
        <w:rPr>
          <w:rFonts w:ascii="Lucida Sans Unicode" w:hAnsi="Lucida Sans Unicode"/>
          <w:color w:val="6D6E71"/>
          <w:spacing w:val="-19"/>
          <w:w w:val="95"/>
          <w:sz w:val="14"/>
        </w:rPr>
        <w:t> </w:t>
      </w:r>
      <w:r>
        <w:rPr>
          <w:rFonts w:ascii="Lucida Sans Unicode" w:hAnsi="Lucida Sans Unicode"/>
          <w:color w:val="6D6E71"/>
          <w:w w:val="95"/>
          <w:sz w:val="14"/>
        </w:rPr>
        <w:t>A</w:t>
      </w:r>
      <w:r>
        <w:rPr>
          <w:rFonts w:ascii="Lucida Sans Unicode" w:hAnsi="Lucida Sans Unicode"/>
          <w:color w:val="6D6E71"/>
          <w:spacing w:val="-19"/>
          <w:w w:val="95"/>
          <w:sz w:val="14"/>
        </w:rPr>
        <w:t> </w:t>
      </w:r>
      <w:r>
        <w:rPr>
          <w:rFonts w:ascii="Lucida Sans Unicode" w:hAnsi="Lucida Sans Unicode"/>
          <w:color w:val="6D6E71"/>
          <w:w w:val="95"/>
          <w:sz w:val="14"/>
        </w:rPr>
        <w:t>LA</w:t>
      </w:r>
      <w:r>
        <w:rPr>
          <w:rFonts w:ascii="Lucida Sans Unicode" w:hAnsi="Lucida Sans Unicode"/>
          <w:color w:val="6D6E71"/>
          <w:spacing w:val="-19"/>
          <w:w w:val="95"/>
          <w:sz w:val="14"/>
        </w:rPr>
        <w:t> </w:t>
      </w:r>
      <w:r>
        <w:rPr>
          <w:rFonts w:ascii="Lucida Sans Unicode" w:hAnsi="Lucida Sans Unicode"/>
          <w:color w:val="6D6E71"/>
          <w:w w:val="95"/>
          <w:sz w:val="14"/>
        </w:rPr>
        <w:t>GLOBALIZACIÓN</w:t>
      </w:r>
      <w:r>
        <w:rPr>
          <w:rFonts w:ascii="Lucida Sans Unicode" w:hAnsi="Lucida Sans Unicode"/>
          <w:color w:val="6D6E71"/>
          <w:spacing w:val="-19"/>
          <w:w w:val="95"/>
          <w:sz w:val="14"/>
        </w:rPr>
        <w:t> </w:t>
      </w:r>
      <w:r>
        <w:rPr>
          <w:rFonts w:ascii="Lucida Sans Unicode" w:hAnsi="Lucida Sans Unicode"/>
          <w:color w:val="6D6E71"/>
          <w:w w:val="95"/>
          <w:sz w:val="14"/>
        </w:rPr>
        <w:t>DESDE</w:t>
      </w:r>
      <w:r>
        <w:rPr>
          <w:rFonts w:ascii="Lucida Sans Unicode" w:hAnsi="Lucida Sans Unicode"/>
          <w:color w:val="6D6E71"/>
          <w:spacing w:val="-19"/>
          <w:w w:val="95"/>
          <w:sz w:val="14"/>
        </w:rPr>
        <w:t> </w:t>
      </w:r>
      <w:r>
        <w:rPr>
          <w:rFonts w:ascii="Lucida Sans Unicode" w:hAnsi="Lucida Sans Unicode"/>
          <w:color w:val="6D6E71"/>
          <w:w w:val="95"/>
          <w:sz w:val="14"/>
        </w:rPr>
        <w:t>GILLES</w:t>
      </w:r>
      <w:r>
        <w:rPr>
          <w:rFonts w:ascii="Lucida Sans Unicode" w:hAnsi="Lucida Sans Unicode"/>
          <w:color w:val="6D6E71"/>
          <w:spacing w:val="-19"/>
          <w:w w:val="95"/>
          <w:sz w:val="14"/>
        </w:rPr>
        <w:t> </w:t>
      </w:r>
      <w:r>
        <w:rPr>
          <w:rFonts w:ascii="Lucida Sans Unicode" w:hAnsi="Lucida Sans Unicode"/>
          <w:color w:val="6D6E71"/>
          <w:w w:val="95"/>
          <w:sz w:val="14"/>
        </w:rPr>
        <w:t>DELEUZE</w:t>
      </w:r>
      <w:r>
        <w:rPr>
          <w:rFonts w:ascii="Arial" w:hAnsi="Arial"/>
          <w:color w:val="414042"/>
          <w:w w:val="95"/>
          <w:position w:val="-3"/>
          <w:sz w:val="20"/>
        </w:rPr>
        <w:tab/>
        <w:t>75</w:t>
      </w:r>
    </w:p>
    <w:p>
      <w:pPr>
        <w:pStyle w:val="BodyText"/>
        <w:rPr>
          <w:rFonts w:ascii="Arial"/>
          <w:sz w:val="20"/>
        </w:rPr>
      </w:pPr>
    </w:p>
    <w:p>
      <w:pPr>
        <w:pStyle w:val="BodyText"/>
        <w:rPr>
          <w:rFonts w:ascii="Arial"/>
          <w:sz w:val="20"/>
        </w:rPr>
      </w:pPr>
    </w:p>
    <w:p>
      <w:pPr>
        <w:pStyle w:val="BodyText"/>
        <w:spacing w:line="244" w:lineRule="auto" w:before="163"/>
        <w:ind w:left="117" w:right="101"/>
        <w:jc w:val="both"/>
      </w:pPr>
      <w:r>
        <w:rPr>
          <w:color w:val="231F20"/>
        </w:rPr>
        <w:t>Hardt y Negri, es precisamente ese descentramiento lo que ha hecho a   las</w:t>
      </w:r>
      <w:r>
        <w:rPr>
          <w:color w:val="231F20"/>
          <w:spacing w:val="-10"/>
        </w:rPr>
        <w:t> </w:t>
      </w:r>
      <w:r>
        <w:rPr>
          <w:color w:val="231F20"/>
        </w:rPr>
        <w:t>trasnacionales</w:t>
      </w:r>
      <w:r>
        <w:rPr>
          <w:color w:val="231F20"/>
          <w:spacing w:val="-10"/>
        </w:rPr>
        <w:t> </w:t>
      </w:r>
      <w:r>
        <w:rPr>
          <w:color w:val="231F20"/>
        </w:rPr>
        <w:t>más</w:t>
      </w:r>
      <w:r>
        <w:rPr>
          <w:color w:val="231F20"/>
          <w:spacing w:val="-10"/>
        </w:rPr>
        <w:t> </w:t>
      </w:r>
      <w:r>
        <w:rPr>
          <w:color w:val="231F20"/>
        </w:rPr>
        <w:t>fuertes:</w:t>
      </w:r>
      <w:r>
        <w:rPr>
          <w:color w:val="231F20"/>
          <w:spacing w:val="-10"/>
        </w:rPr>
        <w:t> </w:t>
      </w:r>
      <w:r>
        <w:rPr>
          <w:color w:val="231F20"/>
        </w:rPr>
        <w:t>pueden</w:t>
      </w:r>
      <w:r>
        <w:rPr>
          <w:color w:val="231F20"/>
          <w:spacing w:val="-10"/>
        </w:rPr>
        <w:t> </w:t>
      </w:r>
      <w:r>
        <w:rPr>
          <w:color w:val="231F20"/>
        </w:rPr>
        <w:t>retirarse</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país</w:t>
      </w:r>
      <w:r>
        <w:rPr>
          <w:color w:val="231F20"/>
          <w:spacing w:val="-10"/>
        </w:rPr>
        <w:t> </w:t>
      </w:r>
      <w:r>
        <w:rPr>
          <w:color w:val="231F20"/>
        </w:rPr>
        <w:t>y</w:t>
      </w:r>
      <w:r>
        <w:rPr>
          <w:color w:val="231F20"/>
          <w:spacing w:val="-10"/>
        </w:rPr>
        <w:t> </w:t>
      </w:r>
      <w:r>
        <w:rPr>
          <w:color w:val="231F20"/>
        </w:rPr>
        <w:t>arruinar</w:t>
      </w:r>
      <w:r>
        <w:rPr>
          <w:color w:val="231F20"/>
          <w:spacing w:val="-10"/>
        </w:rPr>
        <w:t> </w:t>
      </w:r>
      <w:r>
        <w:rPr>
          <w:color w:val="231F20"/>
        </w:rPr>
        <w:t>a</w:t>
      </w:r>
      <w:r>
        <w:rPr>
          <w:color w:val="231F20"/>
          <w:spacing w:val="-10"/>
        </w:rPr>
        <w:t> </w:t>
      </w:r>
      <w:r>
        <w:rPr>
          <w:color w:val="231F20"/>
        </w:rPr>
        <w:t>una población, sin que exista la amenaza de sanciones legales efectivas. De igual forma, los mandos de una empresa, aunque estén a kilómetros de distancia, es </w:t>
      </w:r>
      <w:r>
        <w:rPr>
          <w:color w:val="231F20"/>
          <w:spacing w:val="-4"/>
        </w:rPr>
        <w:t>decir, </w:t>
      </w:r>
      <w:r>
        <w:rPr>
          <w:rFonts w:ascii="Arial" w:hAnsi="Arial"/>
          <w:i/>
          <w:color w:val="231F20"/>
        </w:rPr>
        <w:t>ausentes</w:t>
      </w:r>
      <w:r>
        <w:rPr>
          <w:color w:val="231F20"/>
        </w:rPr>
        <w:t>, pueden estar bastante </w:t>
      </w:r>
      <w:r>
        <w:rPr>
          <w:rFonts w:ascii="Arial" w:hAnsi="Arial"/>
          <w:i/>
          <w:color w:val="231F20"/>
        </w:rPr>
        <w:t>presentes </w:t>
      </w:r>
      <w:r>
        <w:rPr>
          <w:color w:val="231F20"/>
        </w:rPr>
        <w:t>al controlar de manera remota, pero altamente efectiva, la producción en sus fábricas, gracias a las nuevas tecnologías de la</w:t>
      </w:r>
      <w:r>
        <w:rPr>
          <w:color w:val="231F20"/>
          <w:spacing w:val="-16"/>
        </w:rPr>
        <w:t> </w:t>
      </w:r>
      <w:r>
        <w:rPr>
          <w:color w:val="231F20"/>
        </w:rPr>
        <w:t>información.</w:t>
      </w:r>
    </w:p>
    <w:p>
      <w:pPr>
        <w:pStyle w:val="BodyText"/>
        <w:spacing w:before="1"/>
        <w:rPr>
          <w:sz w:val="23"/>
        </w:rPr>
      </w:pPr>
    </w:p>
    <w:p>
      <w:pPr>
        <w:spacing w:line="220" w:lineRule="exact" w:before="0"/>
        <w:ind w:left="1534" w:right="101" w:firstLine="0"/>
        <w:jc w:val="both"/>
        <w:rPr>
          <w:sz w:val="19"/>
        </w:rPr>
      </w:pPr>
      <w:r>
        <w:rPr>
          <w:color w:val="231F20"/>
          <w:w w:val="105"/>
          <w:sz w:val="19"/>
        </w:rPr>
        <w:t>La</w:t>
      </w:r>
      <w:r>
        <w:rPr>
          <w:color w:val="231F20"/>
          <w:spacing w:val="-7"/>
          <w:w w:val="105"/>
          <w:sz w:val="19"/>
        </w:rPr>
        <w:t> </w:t>
      </w:r>
      <w:r>
        <w:rPr>
          <w:color w:val="231F20"/>
          <w:w w:val="105"/>
          <w:sz w:val="19"/>
        </w:rPr>
        <w:t>descentralización</w:t>
      </w:r>
      <w:r>
        <w:rPr>
          <w:color w:val="231F20"/>
          <w:spacing w:val="-7"/>
          <w:w w:val="105"/>
          <w:sz w:val="19"/>
        </w:rPr>
        <w:t> </w:t>
      </w:r>
      <w:r>
        <w:rPr>
          <w:color w:val="231F20"/>
          <w:w w:val="105"/>
          <w:sz w:val="19"/>
        </w:rPr>
        <w:t>y</w:t>
      </w:r>
      <w:r>
        <w:rPr>
          <w:color w:val="231F20"/>
          <w:spacing w:val="-7"/>
          <w:w w:val="105"/>
          <w:sz w:val="19"/>
        </w:rPr>
        <w:t> </w:t>
      </w:r>
      <w:r>
        <w:rPr>
          <w:color w:val="231F20"/>
          <w:w w:val="105"/>
          <w:sz w:val="19"/>
        </w:rPr>
        <w:t>la</w:t>
      </w:r>
      <w:r>
        <w:rPr>
          <w:color w:val="231F20"/>
          <w:spacing w:val="-7"/>
          <w:w w:val="105"/>
          <w:sz w:val="19"/>
        </w:rPr>
        <w:t> </w:t>
      </w:r>
      <w:r>
        <w:rPr>
          <w:color w:val="231F20"/>
          <w:w w:val="105"/>
          <w:sz w:val="19"/>
        </w:rPr>
        <w:t>dispersión</w:t>
      </w:r>
      <w:r>
        <w:rPr>
          <w:color w:val="231F20"/>
          <w:spacing w:val="-7"/>
          <w:w w:val="105"/>
          <w:sz w:val="19"/>
        </w:rPr>
        <w:t> </w:t>
      </w:r>
      <w:r>
        <w:rPr>
          <w:color w:val="231F20"/>
          <w:w w:val="105"/>
          <w:sz w:val="19"/>
        </w:rPr>
        <w:t>global</w:t>
      </w:r>
      <w:r>
        <w:rPr>
          <w:color w:val="231F20"/>
          <w:spacing w:val="-7"/>
          <w:w w:val="105"/>
          <w:sz w:val="19"/>
        </w:rPr>
        <w:t> </w:t>
      </w:r>
      <w:r>
        <w:rPr>
          <w:color w:val="231F20"/>
          <w:w w:val="105"/>
          <w:sz w:val="19"/>
        </w:rPr>
        <w:t>de</w:t>
      </w:r>
      <w:r>
        <w:rPr>
          <w:color w:val="231F20"/>
          <w:spacing w:val="-7"/>
          <w:w w:val="105"/>
          <w:sz w:val="19"/>
        </w:rPr>
        <w:t> </w:t>
      </w:r>
      <w:r>
        <w:rPr>
          <w:color w:val="231F20"/>
          <w:w w:val="105"/>
          <w:sz w:val="19"/>
        </w:rPr>
        <w:t>los</w:t>
      </w:r>
      <w:r>
        <w:rPr>
          <w:color w:val="231F20"/>
          <w:spacing w:val="-7"/>
          <w:w w:val="105"/>
          <w:sz w:val="19"/>
        </w:rPr>
        <w:t> </w:t>
      </w:r>
      <w:r>
        <w:rPr>
          <w:color w:val="231F20"/>
          <w:w w:val="105"/>
          <w:sz w:val="19"/>
        </w:rPr>
        <w:t>procesos</w:t>
      </w:r>
      <w:r>
        <w:rPr>
          <w:color w:val="231F20"/>
          <w:spacing w:val="-7"/>
          <w:w w:val="105"/>
          <w:sz w:val="19"/>
        </w:rPr>
        <w:t> </w:t>
      </w:r>
      <w:r>
        <w:rPr>
          <w:color w:val="231F20"/>
          <w:w w:val="105"/>
          <w:sz w:val="19"/>
        </w:rPr>
        <w:t>y</w:t>
      </w:r>
      <w:r>
        <w:rPr>
          <w:color w:val="231F20"/>
          <w:spacing w:val="-7"/>
          <w:w w:val="105"/>
          <w:sz w:val="19"/>
        </w:rPr>
        <w:t> </w:t>
      </w:r>
      <w:r>
        <w:rPr>
          <w:color w:val="231F20"/>
          <w:w w:val="105"/>
          <w:sz w:val="19"/>
        </w:rPr>
        <w:t>las áreas</w:t>
      </w:r>
      <w:r>
        <w:rPr>
          <w:color w:val="231F20"/>
          <w:spacing w:val="-29"/>
          <w:w w:val="105"/>
          <w:sz w:val="19"/>
        </w:rPr>
        <w:t> </w:t>
      </w:r>
      <w:r>
        <w:rPr>
          <w:color w:val="231F20"/>
          <w:w w:val="105"/>
          <w:sz w:val="19"/>
        </w:rPr>
        <w:t>de</w:t>
      </w:r>
      <w:r>
        <w:rPr>
          <w:color w:val="231F20"/>
          <w:spacing w:val="-29"/>
          <w:w w:val="105"/>
          <w:sz w:val="19"/>
        </w:rPr>
        <w:t> </w:t>
      </w:r>
      <w:r>
        <w:rPr>
          <w:color w:val="231F20"/>
          <w:w w:val="105"/>
          <w:sz w:val="19"/>
        </w:rPr>
        <w:t>producción,</w:t>
      </w:r>
      <w:r>
        <w:rPr>
          <w:color w:val="231F20"/>
          <w:spacing w:val="-29"/>
          <w:w w:val="105"/>
          <w:sz w:val="19"/>
        </w:rPr>
        <w:t> </w:t>
      </w:r>
      <w:r>
        <w:rPr>
          <w:color w:val="231F20"/>
          <w:w w:val="105"/>
          <w:sz w:val="19"/>
        </w:rPr>
        <w:t>características</w:t>
      </w:r>
      <w:r>
        <w:rPr>
          <w:color w:val="231F20"/>
          <w:spacing w:val="-29"/>
          <w:w w:val="105"/>
          <w:sz w:val="19"/>
        </w:rPr>
        <w:t> </w:t>
      </w:r>
      <w:r>
        <w:rPr>
          <w:color w:val="231F20"/>
          <w:w w:val="105"/>
          <w:sz w:val="19"/>
        </w:rPr>
        <w:t>de</w:t>
      </w:r>
      <w:r>
        <w:rPr>
          <w:color w:val="231F20"/>
          <w:spacing w:val="-29"/>
          <w:w w:val="105"/>
          <w:sz w:val="19"/>
        </w:rPr>
        <w:t> </w:t>
      </w:r>
      <w:r>
        <w:rPr>
          <w:color w:val="231F20"/>
          <w:w w:val="105"/>
          <w:sz w:val="19"/>
        </w:rPr>
        <w:t>la</w:t>
      </w:r>
      <w:r>
        <w:rPr>
          <w:color w:val="231F20"/>
          <w:spacing w:val="-29"/>
          <w:w w:val="105"/>
          <w:sz w:val="19"/>
        </w:rPr>
        <w:t> </w:t>
      </w:r>
      <w:r>
        <w:rPr>
          <w:color w:val="231F20"/>
          <w:w w:val="105"/>
          <w:sz w:val="19"/>
        </w:rPr>
        <w:t>posmodernización</w:t>
      </w:r>
      <w:r>
        <w:rPr>
          <w:color w:val="231F20"/>
          <w:spacing w:val="-29"/>
          <w:w w:val="105"/>
          <w:sz w:val="19"/>
        </w:rPr>
        <w:t> </w:t>
      </w:r>
      <w:r>
        <w:rPr>
          <w:color w:val="231F20"/>
          <w:w w:val="105"/>
          <w:sz w:val="19"/>
        </w:rPr>
        <w:t>o</w:t>
      </w:r>
      <w:r>
        <w:rPr>
          <w:color w:val="231F20"/>
          <w:spacing w:val="-29"/>
          <w:w w:val="105"/>
          <w:sz w:val="19"/>
        </w:rPr>
        <w:t> </w:t>
      </w:r>
      <w:r>
        <w:rPr>
          <w:color w:val="231F20"/>
          <w:w w:val="105"/>
          <w:sz w:val="19"/>
        </w:rPr>
        <w:t>de la</w:t>
      </w:r>
      <w:r>
        <w:rPr>
          <w:color w:val="231F20"/>
          <w:spacing w:val="-35"/>
          <w:w w:val="105"/>
          <w:sz w:val="19"/>
        </w:rPr>
        <w:t> </w:t>
      </w:r>
      <w:r>
        <w:rPr>
          <w:color w:val="231F20"/>
          <w:w w:val="105"/>
          <w:sz w:val="19"/>
        </w:rPr>
        <w:t>informatización</w:t>
      </w:r>
      <w:r>
        <w:rPr>
          <w:color w:val="231F20"/>
          <w:spacing w:val="-35"/>
          <w:w w:val="105"/>
          <w:sz w:val="19"/>
        </w:rPr>
        <w:t> </w:t>
      </w:r>
      <w:r>
        <w:rPr>
          <w:color w:val="231F20"/>
          <w:w w:val="105"/>
          <w:sz w:val="19"/>
        </w:rPr>
        <w:t>de</w:t>
      </w:r>
      <w:r>
        <w:rPr>
          <w:color w:val="231F20"/>
          <w:spacing w:val="-35"/>
          <w:w w:val="105"/>
          <w:sz w:val="19"/>
        </w:rPr>
        <w:t> </w:t>
      </w:r>
      <w:r>
        <w:rPr>
          <w:color w:val="231F20"/>
          <w:w w:val="105"/>
          <w:sz w:val="19"/>
        </w:rPr>
        <w:t>la</w:t>
      </w:r>
      <w:r>
        <w:rPr>
          <w:color w:val="231F20"/>
          <w:spacing w:val="-35"/>
          <w:w w:val="105"/>
          <w:sz w:val="19"/>
        </w:rPr>
        <w:t> </w:t>
      </w:r>
      <w:r>
        <w:rPr>
          <w:color w:val="231F20"/>
          <w:w w:val="105"/>
          <w:sz w:val="19"/>
        </w:rPr>
        <w:t>economía,</w:t>
      </w:r>
      <w:r>
        <w:rPr>
          <w:color w:val="231F20"/>
          <w:spacing w:val="-35"/>
          <w:w w:val="105"/>
          <w:sz w:val="19"/>
        </w:rPr>
        <w:t> </w:t>
      </w:r>
      <w:r>
        <w:rPr>
          <w:color w:val="231F20"/>
          <w:w w:val="105"/>
          <w:sz w:val="19"/>
        </w:rPr>
        <w:t>provocan</w:t>
      </w:r>
      <w:r>
        <w:rPr>
          <w:color w:val="231F20"/>
          <w:spacing w:val="-35"/>
          <w:w w:val="105"/>
          <w:sz w:val="19"/>
        </w:rPr>
        <w:t> </w:t>
      </w:r>
      <w:r>
        <w:rPr>
          <w:color w:val="231F20"/>
          <w:w w:val="105"/>
          <w:sz w:val="19"/>
        </w:rPr>
        <w:t>una</w:t>
      </w:r>
      <w:r>
        <w:rPr>
          <w:color w:val="231F20"/>
          <w:spacing w:val="-35"/>
          <w:w w:val="105"/>
          <w:sz w:val="19"/>
        </w:rPr>
        <w:t> </w:t>
      </w:r>
      <w:r>
        <w:rPr>
          <w:color w:val="231F20"/>
          <w:w w:val="105"/>
          <w:sz w:val="19"/>
        </w:rPr>
        <w:t>correspondiente centralización</w:t>
      </w:r>
      <w:r>
        <w:rPr>
          <w:color w:val="231F20"/>
          <w:spacing w:val="-25"/>
          <w:w w:val="105"/>
          <w:sz w:val="19"/>
        </w:rPr>
        <w:t> </w:t>
      </w:r>
      <w:r>
        <w:rPr>
          <w:color w:val="231F20"/>
          <w:w w:val="105"/>
          <w:sz w:val="19"/>
        </w:rPr>
        <w:t>del</w:t>
      </w:r>
      <w:r>
        <w:rPr>
          <w:color w:val="231F20"/>
          <w:spacing w:val="-25"/>
          <w:w w:val="105"/>
          <w:sz w:val="19"/>
        </w:rPr>
        <w:t> </w:t>
      </w:r>
      <w:r>
        <w:rPr>
          <w:color w:val="231F20"/>
          <w:w w:val="105"/>
          <w:sz w:val="19"/>
        </w:rPr>
        <w:t>control</w:t>
      </w:r>
      <w:r>
        <w:rPr>
          <w:color w:val="231F20"/>
          <w:spacing w:val="-25"/>
          <w:w w:val="105"/>
          <w:sz w:val="19"/>
        </w:rPr>
        <w:t> </w:t>
      </w:r>
      <w:r>
        <w:rPr>
          <w:color w:val="231F20"/>
          <w:w w:val="105"/>
          <w:sz w:val="19"/>
        </w:rPr>
        <w:t>de</w:t>
      </w:r>
      <w:r>
        <w:rPr>
          <w:color w:val="231F20"/>
          <w:spacing w:val="-25"/>
          <w:w w:val="105"/>
          <w:sz w:val="19"/>
        </w:rPr>
        <w:t> </w:t>
      </w:r>
      <w:r>
        <w:rPr>
          <w:color w:val="231F20"/>
          <w:w w:val="105"/>
          <w:sz w:val="19"/>
        </w:rPr>
        <w:t>la</w:t>
      </w:r>
      <w:r>
        <w:rPr>
          <w:color w:val="231F20"/>
          <w:spacing w:val="-25"/>
          <w:w w:val="105"/>
          <w:sz w:val="19"/>
        </w:rPr>
        <w:t> </w:t>
      </w:r>
      <w:r>
        <w:rPr>
          <w:color w:val="231F20"/>
          <w:w w:val="105"/>
          <w:sz w:val="19"/>
        </w:rPr>
        <w:t>producción.</w:t>
      </w:r>
      <w:r>
        <w:rPr>
          <w:color w:val="231F20"/>
          <w:spacing w:val="-25"/>
          <w:w w:val="105"/>
          <w:sz w:val="19"/>
        </w:rPr>
        <w:t> </w:t>
      </w:r>
      <w:r>
        <w:rPr>
          <w:color w:val="231F20"/>
          <w:w w:val="105"/>
          <w:sz w:val="19"/>
        </w:rPr>
        <w:t>El</w:t>
      </w:r>
      <w:r>
        <w:rPr>
          <w:color w:val="231F20"/>
          <w:spacing w:val="-25"/>
          <w:w w:val="105"/>
          <w:sz w:val="19"/>
        </w:rPr>
        <w:t> </w:t>
      </w:r>
      <w:r>
        <w:rPr>
          <w:color w:val="231F20"/>
          <w:w w:val="105"/>
          <w:sz w:val="19"/>
        </w:rPr>
        <w:t>movimiento</w:t>
      </w:r>
      <w:r>
        <w:rPr>
          <w:color w:val="231F20"/>
          <w:spacing w:val="-25"/>
          <w:w w:val="105"/>
          <w:sz w:val="19"/>
        </w:rPr>
        <w:t> </w:t>
      </w:r>
      <w:r>
        <w:rPr>
          <w:color w:val="231F20"/>
          <w:w w:val="105"/>
          <w:sz w:val="19"/>
        </w:rPr>
        <w:t>centrí- fugo</w:t>
      </w:r>
      <w:r>
        <w:rPr>
          <w:color w:val="231F20"/>
          <w:spacing w:val="-37"/>
          <w:w w:val="105"/>
          <w:sz w:val="19"/>
        </w:rPr>
        <w:t> </w:t>
      </w:r>
      <w:r>
        <w:rPr>
          <w:color w:val="231F20"/>
          <w:w w:val="105"/>
          <w:sz w:val="19"/>
        </w:rPr>
        <w:t>de</w:t>
      </w:r>
      <w:r>
        <w:rPr>
          <w:color w:val="231F20"/>
          <w:spacing w:val="-37"/>
          <w:w w:val="105"/>
          <w:sz w:val="19"/>
        </w:rPr>
        <w:t> </w:t>
      </w:r>
      <w:r>
        <w:rPr>
          <w:color w:val="231F20"/>
          <w:w w:val="105"/>
          <w:sz w:val="19"/>
        </w:rPr>
        <w:t>la</w:t>
      </w:r>
      <w:r>
        <w:rPr>
          <w:color w:val="231F20"/>
          <w:spacing w:val="-37"/>
          <w:w w:val="105"/>
          <w:sz w:val="19"/>
        </w:rPr>
        <w:t> </w:t>
      </w:r>
      <w:r>
        <w:rPr>
          <w:color w:val="231F20"/>
          <w:w w:val="105"/>
          <w:sz w:val="19"/>
        </w:rPr>
        <w:t>producción</w:t>
      </w:r>
      <w:r>
        <w:rPr>
          <w:color w:val="231F20"/>
          <w:spacing w:val="-37"/>
          <w:w w:val="105"/>
          <w:sz w:val="19"/>
        </w:rPr>
        <w:t> </w:t>
      </w:r>
      <w:r>
        <w:rPr>
          <w:color w:val="231F20"/>
          <w:w w:val="105"/>
          <w:sz w:val="19"/>
        </w:rPr>
        <w:t>se</w:t>
      </w:r>
      <w:r>
        <w:rPr>
          <w:color w:val="231F20"/>
          <w:spacing w:val="-37"/>
          <w:w w:val="105"/>
          <w:sz w:val="19"/>
        </w:rPr>
        <w:t> </w:t>
      </w:r>
      <w:r>
        <w:rPr>
          <w:color w:val="231F20"/>
          <w:w w:val="105"/>
          <w:sz w:val="19"/>
        </w:rPr>
        <w:t>equilibra</w:t>
      </w:r>
      <w:r>
        <w:rPr>
          <w:color w:val="231F20"/>
          <w:spacing w:val="-37"/>
          <w:w w:val="105"/>
          <w:sz w:val="19"/>
        </w:rPr>
        <w:t> </w:t>
      </w:r>
      <w:r>
        <w:rPr>
          <w:color w:val="231F20"/>
          <w:w w:val="105"/>
          <w:sz w:val="19"/>
        </w:rPr>
        <w:t>mediante</w:t>
      </w:r>
      <w:r>
        <w:rPr>
          <w:color w:val="231F20"/>
          <w:spacing w:val="-37"/>
          <w:w w:val="105"/>
          <w:sz w:val="19"/>
        </w:rPr>
        <w:t> </w:t>
      </w:r>
      <w:r>
        <w:rPr>
          <w:color w:val="231F20"/>
          <w:w w:val="105"/>
          <w:sz w:val="19"/>
        </w:rPr>
        <w:t>la</w:t>
      </w:r>
      <w:r>
        <w:rPr>
          <w:color w:val="231F20"/>
          <w:spacing w:val="-37"/>
          <w:w w:val="105"/>
          <w:sz w:val="19"/>
        </w:rPr>
        <w:t> </w:t>
      </w:r>
      <w:r>
        <w:rPr>
          <w:color w:val="231F20"/>
          <w:w w:val="105"/>
          <w:sz w:val="19"/>
        </w:rPr>
        <w:t>tendencia</w:t>
      </w:r>
      <w:r>
        <w:rPr>
          <w:color w:val="231F20"/>
          <w:spacing w:val="-37"/>
          <w:w w:val="105"/>
          <w:sz w:val="19"/>
        </w:rPr>
        <w:t> </w:t>
      </w:r>
      <w:r>
        <w:rPr>
          <w:color w:val="231F20"/>
          <w:w w:val="105"/>
          <w:sz w:val="19"/>
        </w:rPr>
        <w:t>centrípe- ta</w:t>
      </w:r>
      <w:r>
        <w:rPr>
          <w:color w:val="231F20"/>
          <w:spacing w:val="-35"/>
          <w:w w:val="105"/>
          <w:sz w:val="19"/>
        </w:rPr>
        <w:t> </w:t>
      </w:r>
      <w:r>
        <w:rPr>
          <w:color w:val="231F20"/>
          <w:w w:val="105"/>
          <w:sz w:val="19"/>
        </w:rPr>
        <w:t>del</w:t>
      </w:r>
      <w:r>
        <w:rPr>
          <w:color w:val="231F20"/>
          <w:spacing w:val="-35"/>
          <w:w w:val="105"/>
          <w:sz w:val="19"/>
        </w:rPr>
        <w:t> </w:t>
      </w:r>
      <w:r>
        <w:rPr>
          <w:color w:val="231F20"/>
          <w:w w:val="105"/>
          <w:sz w:val="19"/>
        </w:rPr>
        <w:t>mando.</w:t>
      </w:r>
      <w:r>
        <w:rPr>
          <w:color w:val="231F20"/>
          <w:spacing w:val="-35"/>
          <w:w w:val="105"/>
          <w:sz w:val="19"/>
        </w:rPr>
        <w:t> </w:t>
      </w:r>
      <w:r>
        <w:rPr>
          <w:color w:val="231F20"/>
          <w:w w:val="105"/>
          <w:sz w:val="19"/>
        </w:rPr>
        <w:t>Desde</w:t>
      </w:r>
      <w:r>
        <w:rPr>
          <w:color w:val="231F20"/>
          <w:spacing w:val="-35"/>
          <w:w w:val="105"/>
          <w:sz w:val="19"/>
        </w:rPr>
        <w:t> </w:t>
      </w:r>
      <w:r>
        <w:rPr>
          <w:color w:val="231F20"/>
          <w:w w:val="105"/>
          <w:sz w:val="19"/>
        </w:rPr>
        <w:t>la</w:t>
      </w:r>
      <w:r>
        <w:rPr>
          <w:color w:val="231F20"/>
          <w:spacing w:val="-35"/>
          <w:w w:val="105"/>
          <w:sz w:val="19"/>
        </w:rPr>
        <w:t> </w:t>
      </w:r>
      <w:r>
        <w:rPr>
          <w:color w:val="231F20"/>
          <w:w w:val="105"/>
          <w:sz w:val="19"/>
        </w:rPr>
        <w:t>perspectiva</w:t>
      </w:r>
      <w:r>
        <w:rPr>
          <w:color w:val="231F20"/>
          <w:spacing w:val="-35"/>
          <w:w w:val="105"/>
          <w:sz w:val="19"/>
        </w:rPr>
        <w:t> </w:t>
      </w:r>
      <w:r>
        <w:rPr>
          <w:color w:val="231F20"/>
          <w:w w:val="105"/>
          <w:sz w:val="19"/>
        </w:rPr>
        <w:t>local,</w:t>
      </w:r>
      <w:r>
        <w:rPr>
          <w:color w:val="231F20"/>
          <w:spacing w:val="-35"/>
          <w:w w:val="105"/>
          <w:sz w:val="19"/>
        </w:rPr>
        <w:t> </w:t>
      </w:r>
      <w:r>
        <w:rPr>
          <w:color w:val="231F20"/>
          <w:w w:val="105"/>
          <w:sz w:val="19"/>
        </w:rPr>
        <w:t>las</w:t>
      </w:r>
      <w:r>
        <w:rPr>
          <w:color w:val="231F20"/>
          <w:spacing w:val="-35"/>
          <w:w w:val="105"/>
          <w:sz w:val="19"/>
        </w:rPr>
        <w:t> </w:t>
      </w:r>
      <w:r>
        <w:rPr>
          <w:color w:val="231F20"/>
          <w:w w:val="105"/>
          <w:sz w:val="19"/>
        </w:rPr>
        <w:t>redes</w:t>
      </w:r>
      <w:r>
        <w:rPr>
          <w:color w:val="231F20"/>
          <w:spacing w:val="-35"/>
          <w:w w:val="105"/>
          <w:sz w:val="19"/>
        </w:rPr>
        <w:t> </w:t>
      </w:r>
      <w:r>
        <w:rPr>
          <w:color w:val="231F20"/>
          <w:w w:val="105"/>
          <w:sz w:val="19"/>
        </w:rPr>
        <w:t>informatizadas y</w:t>
      </w:r>
      <w:r>
        <w:rPr>
          <w:color w:val="231F20"/>
          <w:spacing w:val="-10"/>
          <w:w w:val="105"/>
          <w:sz w:val="19"/>
        </w:rPr>
        <w:t> </w:t>
      </w:r>
      <w:r>
        <w:rPr>
          <w:color w:val="231F20"/>
          <w:w w:val="105"/>
          <w:sz w:val="19"/>
        </w:rPr>
        <w:t>las</w:t>
      </w:r>
      <w:r>
        <w:rPr>
          <w:color w:val="231F20"/>
          <w:spacing w:val="-10"/>
          <w:w w:val="105"/>
          <w:sz w:val="19"/>
        </w:rPr>
        <w:t> </w:t>
      </w:r>
      <w:r>
        <w:rPr>
          <w:color w:val="231F20"/>
          <w:w w:val="105"/>
          <w:sz w:val="19"/>
        </w:rPr>
        <w:t>tecnologías</w:t>
      </w:r>
      <w:r>
        <w:rPr>
          <w:color w:val="231F20"/>
          <w:spacing w:val="-10"/>
          <w:w w:val="105"/>
          <w:sz w:val="19"/>
        </w:rPr>
        <w:t> </w:t>
      </w:r>
      <w:r>
        <w:rPr>
          <w:color w:val="231F20"/>
          <w:w w:val="105"/>
          <w:sz w:val="19"/>
        </w:rPr>
        <w:t>de</w:t>
      </w:r>
      <w:r>
        <w:rPr>
          <w:color w:val="231F20"/>
          <w:spacing w:val="-10"/>
          <w:w w:val="105"/>
          <w:sz w:val="19"/>
        </w:rPr>
        <w:t> </w:t>
      </w:r>
      <w:r>
        <w:rPr>
          <w:color w:val="231F20"/>
          <w:w w:val="105"/>
          <w:sz w:val="19"/>
        </w:rPr>
        <w:t>las</w:t>
      </w:r>
      <w:r>
        <w:rPr>
          <w:color w:val="231F20"/>
          <w:spacing w:val="-10"/>
          <w:w w:val="105"/>
          <w:sz w:val="19"/>
        </w:rPr>
        <w:t> </w:t>
      </w:r>
      <w:r>
        <w:rPr>
          <w:color w:val="231F20"/>
          <w:w w:val="105"/>
          <w:sz w:val="19"/>
        </w:rPr>
        <w:t>comunicaciones</w:t>
      </w:r>
      <w:r>
        <w:rPr>
          <w:color w:val="231F20"/>
          <w:spacing w:val="-10"/>
          <w:w w:val="105"/>
          <w:sz w:val="19"/>
        </w:rPr>
        <w:t> </w:t>
      </w:r>
      <w:r>
        <w:rPr>
          <w:color w:val="231F20"/>
          <w:w w:val="105"/>
          <w:sz w:val="19"/>
        </w:rPr>
        <w:t>propias</w:t>
      </w:r>
      <w:r>
        <w:rPr>
          <w:color w:val="231F20"/>
          <w:spacing w:val="-10"/>
          <w:w w:val="105"/>
          <w:sz w:val="19"/>
        </w:rPr>
        <w:t> </w:t>
      </w:r>
      <w:r>
        <w:rPr>
          <w:color w:val="231F20"/>
          <w:w w:val="105"/>
          <w:sz w:val="19"/>
        </w:rPr>
        <w:t>de</w:t>
      </w:r>
      <w:r>
        <w:rPr>
          <w:color w:val="231F20"/>
          <w:spacing w:val="-10"/>
          <w:w w:val="105"/>
          <w:sz w:val="19"/>
        </w:rPr>
        <w:t> </w:t>
      </w:r>
      <w:r>
        <w:rPr>
          <w:color w:val="231F20"/>
          <w:w w:val="105"/>
          <w:sz w:val="19"/>
        </w:rPr>
        <w:t>los</w:t>
      </w:r>
      <w:r>
        <w:rPr>
          <w:color w:val="231F20"/>
          <w:spacing w:val="-10"/>
          <w:w w:val="105"/>
          <w:sz w:val="19"/>
        </w:rPr>
        <w:t> </w:t>
      </w:r>
      <w:r>
        <w:rPr>
          <w:color w:val="231F20"/>
          <w:w w:val="105"/>
          <w:sz w:val="19"/>
        </w:rPr>
        <w:t>sistemas de</w:t>
      </w:r>
      <w:r>
        <w:rPr>
          <w:color w:val="231F20"/>
          <w:spacing w:val="-22"/>
          <w:w w:val="105"/>
          <w:sz w:val="19"/>
        </w:rPr>
        <w:t> </w:t>
      </w:r>
      <w:r>
        <w:rPr>
          <w:color w:val="231F20"/>
          <w:w w:val="105"/>
          <w:sz w:val="19"/>
        </w:rPr>
        <w:t>producción</w:t>
      </w:r>
      <w:r>
        <w:rPr>
          <w:color w:val="231F20"/>
          <w:spacing w:val="-22"/>
          <w:w w:val="105"/>
          <w:sz w:val="19"/>
        </w:rPr>
        <w:t> </w:t>
      </w:r>
      <w:r>
        <w:rPr>
          <w:color w:val="231F20"/>
          <w:w w:val="105"/>
          <w:sz w:val="19"/>
        </w:rPr>
        <w:t>actuales</w:t>
      </w:r>
      <w:r>
        <w:rPr>
          <w:color w:val="231F20"/>
          <w:spacing w:val="-22"/>
          <w:w w:val="105"/>
          <w:sz w:val="19"/>
        </w:rPr>
        <w:t> </w:t>
      </w:r>
      <w:r>
        <w:rPr>
          <w:color w:val="231F20"/>
          <w:w w:val="105"/>
          <w:sz w:val="19"/>
        </w:rPr>
        <w:t>permiten</w:t>
      </w:r>
      <w:r>
        <w:rPr>
          <w:color w:val="231F20"/>
          <w:spacing w:val="-22"/>
          <w:w w:val="105"/>
          <w:sz w:val="19"/>
        </w:rPr>
        <w:t> </w:t>
      </w:r>
      <w:r>
        <w:rPr>
          <w:color w:val="231F20"/>
          <w:w w:val="105"/>
          <w:sz w:val="19"/>
        </w:rPr>
        <w:t>controlar</w:t>
      </w:r>
      <w:r>
        <w:rPr>
          <w:color w:val="231F20"/>
          <w:spacing w:val="-22"/>
          <w:w w:val="105"/>
          <w:sz w:val="19"/>
        </w:rPr>
        <w:t> </w:t>
      </w:r>
      <w:r>
        <w:rPr>
          <w:color w:val="231F20"/>
          <w:w w:val="105"/>
          <w:sz w:val="19"/>
        </w:rPr>
        <w:t>más</w:t>
      </w:r>
      <w:r>
        <w:rPr>
          <w:color w:val="231F20"/>
          <w:spacing w:val="-22"/>
          <w:w w:val="105"/>
          <w:sz w:val="19"/>
        </w:rPr>
        <w:t> </w:t>
      </w:r>
      <w:r>
        <w:rPr>
          <w:color w:val="231F20"/>
          <w:w w:val="105"/>
          <w:sz w:val="19"/>
        </w:rPr>
        <w:t>extensamente</w:t>
      </w:r>
      <w:r>
        <w:rPr>
          <w:color w:val="231F20"/>
          <w:spacing w:val="-22"/>
          <w:w w:val="105"/>
          <w:sz w:val="19"/>
        </w:rPr>
        <w:t> </w:t>
      </w:r>
      <w:r>
        <w:rPr>
          <w:color w:val="231F20"/>
          <w:w w:val="105"/>
          <w:sz w:val="19"/>
        </w:rPr>
        <w:t>el desempeño</w:t>
      </w:r>
      <w:r>
        <w:rPr>
          <w:color w:val="231F20"/>
          <w:spacing w:val="-38"/>
          <w:w w:val="105"/>
          <w:sz w:val="19"/>
        </w:rPr>
        <w:t> </w:t>
      </w:r>
      <w:r>
        <w:rPr>
          <w:color w:val="231F20"/>
          <w:w w:val="105"/>
          <w:sz w:val="19"/>
        </w:rPr>
        <w:t>de</w:t>
      </w:r>
      <w:r>
        <w:rPr>
          <w:color w:val="231F20"/>
          <w:spacing w:val="-38"/>
          <w:w w:val="105"/>
          <w:sz w:val="19"/>
        </w:rPr>
        <w:t> </w:t>
      </w:r>
      <w:r>
        <w:rPr>
          <w:color w:val="231F20"/>
          <w:w w:val="105"/>
          <w:sz w:val="19"/>
        </w:rPr>
        <w:t>los</w:t>
      </w:r>
      <w:r>
        <w:rPr>
          <w:color w:val="231F20"/>
          <w:spacing w:val="-38"/>
          <w:w w:val="105"/>
          <w:sz w:val="19"/>
        </w:rPr>
        <w:t> </w:t>
      </w:r>
      <w:r>
        <w:rPr>
          <w:color w:val="231F20"/>
          <w:w w:val="105"/>
          <w:sz w:val="19"/>
        </w:rPr>
        <w:t>trabajadores,</w:t>
      </w:r>
      <w:r>
        <w:rPr>
          <w:color w:val="231F20"/>
          <w:spacing w:val="-38"/>
          <w:w w:val="105"/>
          <w:sz w:val="19"/>
        </w:rPr>
        <w:t> </w:t>
      </w:r>
      <w:r>
        <w:rPr>
          <w:color w:val="231F20"/>
          <w:w w:val="105"/>
          <w:sz w:val="19"/>
        </w:rPr>
        <w:t>desde</w:t>
      </w:r>
      <w:r>
        <w:rPr>
          <w:color w:val="231F20"/>
          <w:spacing w:val="-38"/>
          <w:w w:val="105"/>
          <w:sz w:val="19"/>
        </w:rPr>
        <w:t> </w:t>
      </w:r>
      <w:r>
        <w:rPr>
          <w:color w:val="231F20"/>
          <w:w w:val="105"/>
          <w:sz w:val="19"/>
        </w:rPr>
        <w:t>un</w:t>
      </w:r>
      <w:r>
        <w:rPr>
          <w:color w:val="231F20"/>
          <w:spacing w:val="-38"/>
          <w:w w:val="105"/>
          <w:sz w:val="19"/>
        </w:rPr>
        <w:t> </w:t>
      </w:r>
      <w:r>
        <w:rPr>
          <w:color w:val="231F20"/>
          <w:w w:val="105"/>
          <w:sz w:val="19"/>
        </w:rPr>
        <w:t>lugar</w:t>
      </w:r>
      <w:r>
        <w:rPr>
          <w:color w:val="231F20"/>
          <w:spacing w:val="-38"/>
          <w:w w:val="105"/>
          <w:sz w:val="19"/>
        </w:rPr>
        <w:t> </w:t>
      </w:r>
      <w:r>
        <w:rPr>
          <w:color w:val="231F20"/>
          <w:w w:val="105"/>
          <w:sz w:val="19"/>
        </w:rPr>
        <w:t>central</w:t>
      </w:r>
      <w:r>
        <w:rPr>
          <w:color w:val="231F20"/>
          <w:spacing w:val="-38"/>
          <w:w w:val="105"/>
          <w:sz w:val="19"/>
        </w:rPr>
        <w:t> </w:t>
      </w:r>
      <w:r>
        <w:rPr>
          <w:color w:val="231F20"/>
          <w:w w:val="105"/>
          <w:sz w:val="19"/>
        </w:rPr>
        <w:t>remoto</w:t>
      </w:r>
      <w:r>
        <w:rPr>
          <w:color w:val="231F20"/>
          <w:w w:val="105"/>
          <w:position w:val="6"/>
          <w:sz w:val="11"/>
        </w:rPr>
        <w:t>24</w:t>
      </w:r>
      <w:r>
        <w:rPr>
          <w:color w:val="231F20"/>
          <w:w w:val="105"/>
          <w:sz w:val="19"/>
        </w:rPr>
        <w:t>.</w:t>
      </w:r>
    </w:p>
    <w:p>
      <w:pPr>
        <w:pStyle w:val="BodyText"/>
        <w:spacing w:before="11"/>
        <w:rPr>
          <w:sz w:val="23"/>
        </w:rPr>
      </w:pPr>
    </w:p>
    <w:p>
      <w:pPr>
        <w:pStyle w:val="BodyText"/>
        <w:spacing w:line="247" w:lineRule="auto"/>
        <w:ind w:left="117" w:right="101"/>
        <w:jc w:val="both"/>
      </w:pPr>
      <w:r>
        <w:rPr>
          <w:color w:val="231F20"/>
        </w:rPr>
        <w:t>La paradoja centro–márgenes ha servido desde muy temprano para</w:t>
      </w:r>
      <w:r>
        <w:rPr>
          <w:color w:val="231F20"/>
          <w:spacing w:val="-19"/>
        </w:rPr>
        <w:t> </w:t>
      </w:r>
      <w:r>
        <w:rPr>
          <w:color w:val="231F20"/>
        </w:rPr>
        <w:t>carac- terizar el proceso de globalización; sin embargo, es también una paradoja engañosa</w:t>
      </w:r>
      <w:r>
        <w:rPr>
          <w:color w:val="231F20"/>
          <w:spacing w:val="-13"/>
        </w:rPr>
        <w:t> </w:t>
      </w:r>
      <w:r>
        <w:rPr>
          <w:color w:val="231F20"/>
        </w:rPr>
        <w:t>o,</w:t>
      </w:r>
      <w:r>
        <w:rPr>
          <w:color w:val="231F20"/>
          <w:spacing w:val="-13"/>
        </w:rPr>
        <w:t> </w:t>
      </w:r>
      <w:r>
        <w:rPr>
          <w:color w:val="231F20"/>
        </w:rPr>
        <w:t>si</w:t>
      </w:r>
      <w:r>
        <w:rPr>
          <w:color w:val="231F20"/>
          <w:spacing w:val="-13"/>
        </w:rPr>
        <w:t> </w:t>
      </w:r>
      <w:r>
        <w:rPr>
          <w:color w:val="231F20"/>
        </w:rPr>
        <w:t>se</w:t>
      </w:r>
      <w:r>
        <w:rPr>
          <w:color w:val="231F20"/>
          <w:spacing w:val="-13"/>
        </w:rPr>
        <w:t> </w:t>
      </w:r>
      <w:r>
        <w:rPr>
          <w:color w:val="231F20"/>
        </w:rPr>
        <w:t>quiere,</w:t>
      </w:r>
      <w:r>
        <w:rPr>
          <w:color w:val="231F20"/>
          <w:spacing w:val="-13"/>
        </w:rPr>
        <w:t> </w:t>
      </w:r>
      <w:r>
        <w:rPr>
          <w:color w:val="231F20"/>
        </w:rPr>
        <w:t>una</w:t>
      </w:r>
      <w:r>
        <w:rPr>
          <w:color w:val="231F20"/>
          <w:spacing w:val="-13"/>
        </w:rPr>
        <w:t> </w:t>
      </w:r>
      <w:r>
        <w:rPr>
          <w:color w:val="231F20"/>
        </w:rPr>
        <w:t>paradoja</w:t>
      </w:r>
      <w:r>
        <w:rPr>
          <w:color w:val="231F20"/>
          <w:spacing w:val="-13"/>
        </w:rPr>
        <w:t> </w:t>
      </w:r>
      <w:r>
        <w:rPr>
          <w:color w:val="231F20"/>
        </w:rPr>
        <w:t>que</w:t>
      </w:r>
      <w:r>
        <w:rPr>
          <w:color w:val="231F20"/>
          <w:spacing w:val="-13"/>
        </w:rPr>
        <w:t> </w:t>
      </w:r>
      <w:r>
        <w:rPr>
          <w:color w:val="231F20"/>
        </w:rPr>
        <w:t>encierra</w:t>
      </w:r>
      <w:r>
        <w:rPr>
          <w:color w:val="231F20"/>
          <w:spacing w:val="-13"/>
        </w:rPr>
        <w:t> </w:t>
      </w:r>
      <w:r>
        <w:rPr>
          <w:color w:val="231F20"/>
        </w:rPr>
        <w:t>en</w:t>
      </w:r>
      <w:r>
        <w:rPr>
          <w:color w:val="231F20"/>
          <w:spacing w:val="-13"/>
        </w:rPr>
        <w:t> </w:t>
      </w:r>
      <w:r>
        <w:rPr>
          <w:color w:val="231F20"/>
        </w:rPr>
        <w:t>sí</w:t>
      </w:r>
      <w:r>
        <w:rPr>
          <w:color w:val="231F20"/>
          <w:spacing w:val="-13"/>
        </w:rPr>
        <w:t> </w:t>
      </w:r>
      <w:r>
        <w:rPr>
          <w:color w:val="231F20"/>
        </w:rPr>
        <w:t>misma</w:t>
      </w:r>
      <w:r>
        <w:rPr>
          <w:color w:val="231F20"/>
          <w:spacing w:val="-13"/>
        </w:rPr>
        <w:t> </w:t>
      </w:r>
      <w:r>
        <w:rPr>
          <w:color w:val="231F20"/>
        </w:rPr>
        <w:t>otra</w:t>
      </w:r>
      <w:r>
        <w:rPr>
          <w:color w:val="231F20"/>
          <w:spacing w:val="-13"/>
        </w:rPr>
        <w:t> </w:t>
      </w:r>
      <w:r>
        <w:rPr>
          <w:color w:val="231F20"/>
        </w:rPr>
        <w:t>aporía que invalida la primera: si bien el centro ya no pertenece a un lugar geo- gráfico determinado, ya no se circunscribe a la lógica del Estado–nación, no por eso desaparece, al contrario, toma la forma de una función y de una nube de influencia, que sin ser homogénea ni completa, actúa por</w:t>
      </w:r>
      <w:r>
        <w:rPr>
          <w:color w:val="231F20"/>
          <w:spacing w:val="-22"/>
        </w:rPr>
        <w:t> </w:t>
      </w:r>
      <w:r>
        <w:rPr>
          <w:color w:val="231F20"/>
        </w:rPr>
        <w:t>ello mismo de manera más</w:t>
      </w:r>
      <w:r>
        <w:rPr>
          <w:color w:val="231F20"/>
          <w:spacing w:val="-9"/>
        </w:rPr>
        <w:t> </w:t>
      </w:r>
      <w:r>
        <w:rPr>
          <w:color w:val="231F20"/>
        </w:rPr>
        <w:t>eficiente.</w:t>
      </w:r>
    </w:p>
    <w:p>
      <w:pPr>
        <w:pStyle w:val="BodyText"/>
        <w:spacing w:line="247" w:lineRule="auto"/>
        <w:ind w:left="117" w:right="101" w:firstLine="566"/>
        <w:jc w:val="both"/>
      </w:pPr>
      <w:r>
        <w:rPr>
          <w:color w:val="231F20"/>
        </w:rPr>
        <w:t>Hasta ahora hemos expuesto algunas de las principales paradojas de la globalización, tratando de destacar su carácter no exclusivamente unificador y homogéneo. En este acercamiento paradójico, lo global no se contrapone</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local,</w:t>
      </w:r>
      <w:r>
        <w:rPr>
          <w:color w:val="231F20"/>
          <w:spacing w:val="-8"/>
        </w:rPr>
        <w:t> </w:t>
      </w:r>
      <w:r>
        <w:rPr>
          <w:color w:val="231F20"/>
        </w:rPr>
        <w:t>sino,</w:t>
      </w:r>
      <w:r>
        <w:rPr>
          <w:color w:val="231F20"/>
          <w:spacing w:val="-8"/>
        </w:rPr>
        <w:t> </w:t>
      </w:r>
      <w:r>
        <w:rPr>
          <w:color w:val="231F20"/>
        </w:rPr>
        <w:t>muy</w:t>
      </w:r>
      <w:r>
        <w:rPr>
          <w:color w:val="231F20"/>
          <w:spacing w:val="-8"/>
        </w:rPr>
        <w:t> </w:t>
      </w:r>
      <w:r>
        <w:rPr>
          <w:color w:val="231F20"/>
        </w:rPr>
        <w:t>al</w:t>
      </w:r>
      <w:r>
        <w:rPr>
          <w:color w:val="231F20"/>
          <w:spacing w:val="-8"/>
        </w:rPr>
        <w:t> </w:t>
      </w:r>
      <w:r>
        <w:rPr>
          <w:color w:val="231F20"/>
        </w:rPr>
        <w:t>contrario,</w:t>
      </w:r>
      <w:r>
        <w:rPr>
          <w:color w:val="231F20"/>
          <w:spacing w:val="-8"/>
        </w:rPr>
        <w:t> </w:t>
      </w:r>
      <w:r>
        <w:rPr>
          <w:color w:val="231F20"/>
        </w:rPr>
        <w:t>lo</w:t>
      </w:r>
      <w:r>
        <w:rPr>
          <w:color w:val="231F20"/>
          <w:spacing w:val="-8"/>
        </w:rPr>
        <w:t> </w:t>
      </w:r>
      <w:r>
        <w:rPr>
          <w:color w:val="231F20"/>
        </w:rPr>
        <w:t>integra,</w:t>
      </w:r>
      <w:r>
        <w:rPr>
          <w:color w:val="231F20"/>
          <w:spacing w:val="-8"/>
        </w:rPr>
        <w:t> </w:t>
      </w:r>
      <w:r>
        <w:rPr>
          <w:color w:val="231F20"/>
        </w:rPr>
        <w:t>lo</w:t>
      </w:r>
      <w:r>
        <w:rPr>
          <w:color w:val="231F20"/>
          <w:spacing w:val="-8"/>
        </w:rPr>
        <w:t> </w:t>
      </w:r>
      <w:r>
        <w:rPr>
          <w:color w:val="231F20"/>
        </w:rPr>
        <w:t>usa</w:t>
      </w:r>
      <w:r>
        <w:rPr>
          <w:color w:val="231F20"/>
          <w:spacing w:val="-8"/>
        </w:rPr>
        <w:t> </w:t>
      </w:r>
      <w:r>
        <w:rPr>
          <w:color w:val="231F20"/>
        </w:rPr>
        <w:t>y</w:t>
      </w:r>
      <w:r>
        <w:rPr>
          <w:color w:val="231F20"/>
          <w:spacing w:val="-8"/>
        </w:rPr>
        <w:t> </w:t>
      </w:r>
      <w:r>
        <w:rPr>
          <w:color w:val="231F20"/>
        </w:rPr>
        <w:t>lo</w:t>
      </w:r>
      <w:r>
        <w:rPr>
          <w:color w:val="231F20"/>
          <w:spacing w:val="-8"/>
        </w:rPr>
        <w:t> </w:t>
      </w:r>
      <w:r>
        <w:rPr>
          <w:color w:val="231F20"/>
        </w:rPr>
        <w:t>produce, al tiempo que lo local emerge en consonancia con lo global y también lo genera y utiliza: glocalización. Hemos apuntado, de igual forma, que el acelerado proceso de globalización que vivimos hoy es la radicalización   de una tendencia que ha acompañado a buena parte de la humanidad desde sus comienzos: expansión, exploración, conquista, dominio, etc. Sin embargo, dar por sentado estos dos elementos contiene un cierto riesgo, que es lo que ahora nos disponemos a </w:t>
      </w:r>
      <w:r>
        <w:rPr>
          <w:color w:val="231F20"/>
          <w:spacing w:val="-3"/>
        </w:rPr>
        <w:t>explorar. </w:t>
      </w:r>
      <w:r>
        <w:rPr>
          <w:color w:val="231F20"/>
        </w:rPr>
        <w:t>Ambos elementos —ver en la globalización la aceleración de un proceso tan antiguo como la hu- manidad y concebirla como algo no completo y no homogéneo, es </w:t>
      </w:r>
      <w:r>
        <w:rPr>
          <w:color w:val="231F20"/>
          <w:spacing w:val="-4"/>
        </w:rPr>
        <w:t>decir, </w:t>
      </w:r>
      <w:r>
        <w:rPr>
          <w:color w:val="231F20"/>
        </w:rPr>
        <w:t>lleno de paradojas— ¿no nos pondrían en riesgo de ver en ella un proceso natural y casi inevitable que, además, tendría un cierto talante inclusivo y democrático, en tanto no sólo incluye sino también produce   </w:t>
      </w:r>
      <w:r>
        <w:rPr>
          <w:color w:val="231F20"/>
          <w:spacing w:val="21"/>
        </w:rPr>
        <w:t> </w:t>
      </w:r>
      <w:r>
        <w:rPr>
          <w:color w:val="231F20"/>
        </w:rPr>
        <w:t>diferencias?</w:t>
      </w:r>
    </w:p>
    <w:p>
      <w:pPr>
        <w:pStyle w:val="BodyText"/>
        <w:spacing w:before="8"/>
        <w:rPr>
          <w:sz w:val="16"/>
        </w:rPr>
      </w:pPr>
      <w:r>
        <w:rPr/>
        <w:pict>
          <v:line style="position:absolute;mso-position-horizontal-relative:page;mso-position-vertical-relative:paragraph;z-index:4360;mso-wrap-distance-left:0;mso-wrap-distance-right:0" from="70.866096pt,12.16048pt" to="184.252096pt,12.16048pt" stroked="true" strokeweight=".3pt" strokecolor="#231f20">
            <w10:wrap type="topAndBottom"/>
          </v:line>
        </w:pict>
      </w:r>
    </w:p>
    <w:p>
      <w:pPr>
        <w:spacing w:before="10"/>
        <w:ind w:left="117" w:right="0" w:firstLine="0"/>
        <w:jc w:val="left"/>
        <w:rPr>
          <w:rFonts w:ascii="Calibri" w:hAnsi="Calibri"/>
          <w:sz w:val="17"/>
        </w:rPr>
      </w:pPr>
      <w:r>
        <w:rPr>
          <w:rFonts w:ascii="Calibri" w:hAnsi="Calibri"/>
          <w:color w:val="231F20"/>
          <w:position w:val="6"/>
          <w:sz w:val="10"/>
        </w:rPr>
        <w:t>24  </w:t>
      </w:r>
      <w:r>
        <w:rPr>
          <w:rFonts w:ascii="Calibri" w:hAnsi="Calibri"/>
          <w:color w:val="231F20"/>
          <w:sz w:val="17"/>
        </w:rPr>
        <w:t>M. Hardt y A. Negri, </w:t>
      </w:r>
      <w:r>
        <w:rPr>
          <w:rFonts w:ascii="Calibri" w:hAnsi="Calibri"/>
          <w:i/>
          <w:color w:val="231F20"/>
          <w:sz w:val="17"/>
        </w:rPr>
        <w:t>Imperio</w:t>
      </w:r>
      <w:r>
        <w:rPr>
          <w:rFonts w:ascii="Calibri" w:hAnsi="Calibri"/>
          <w:color w:val="231F20"/>
          <w:sz w:val="17"/>
        </w:rPr>
        <w:t>, Barcelona, Paidós, 2005, p. 320.</w:t>
      </w:r>
    </w:p>
    <w:p>
      <w:pPr>
        <w:spacing w:after="0"/>
        <w:jc w:val="left"/>
        <w:rPr>
          <w:rFonts w:ascii="Calibri" w:hAnsi="Calibri"/>
          <w:sz w:val="17"/>
        </w:rPr>
        <w:sectPr>
          <w:pgSz w:w="9640" w:h="13890"/>
          <w:pgMar w:top="0" w:bottom="280" w:left="1300" w:right="1200"/>
        </w:sectPr>
      </w:pPr>
    </w:p>
    <w:p>
      <w:pPr>
        <w:pStyle w:val="BodyText"/>
        <w:spacing w:line="247" w:lineRule="auto" w:before="107"/>
        <w:ind w:left="103" w:right="114"/>
        <w:jc w:val="both"/>
      </w:pPr>
      <w:r>
        <w:rPr>
          <w:color w:val="231F20"/>
          <w:w w:val="105"/>
        </w:rPr>
        <w:t>¿Acaso</w:t>
      </w:r>
      <w:r>
        <w:rPr>
          <w:color w:val="231F20"/>
          <w:spacing w:val="-17"/>
          <w:w w:val="105"/>
        </w:rPr>
        <w:t> </w:t>
      </w:r>
      <w:r>
        <w:rPr>
          <w:color w:val="231F20"/>
          <w:w w:val="105"/>
        </w:rPr>
        <w:t>no</w:t>
      </w:r>
      <w:r>
        <w:rPr>
          <w:color w:val="231F20"/>
          <w:spacing w:val="-17"/>
          <w:w w:val="105"/>
        </w:rPr>
        <w:t> </w:t>
      </w:r>
      <w:r>
        <w:rPr>
          <w:color w:val="231F20"/>
          <w:w w:val="105"/>
        </w:rPr>
        <w:t>el</w:t>
      </w:r>
      <w:r>
        <w:rPr>
          <w:color w:val="231F20"/>
          <w:spacing w:val="-17"/>
          <w:w w:val="105"/>
        </w:rPr>
        <w:t> </w:t>
      </w:r>
      <w:r>
        <w:rPr>
          <w:color w:val="231F20"/>
          <w:w w:val="105"/>
        </w:rPr>
        <w:t>capitalismo</w:t>
      </w:r>
      <w:r>
        <w:rPr>
          <w:color w:val="231F20"/>
          <w:spacing w:val="-17"/>
          <w:w w:val="105"/>
        </w:rPr>
        <w:t> </w:t>
      </w:r>
      <w:r>
        <w:rPr>
          <w:color w:val="231F20"/>
          <w:w w:val="105"/>
        </w:rPr>
        <w:t>se</w:t>
      </w:r>
      <w:r>
        <w:rPr>
          <w:color w:val="231F20"/>
          <w:spacing w:val="-17"/>
          <w:w w:val="105"/>
        </w:rPr>
        <w:t> </w:t>
      </w:r>
      <w:r>
        <w:rPr>
          <w:color w:val="231F20"/>
          <w:w w:val="105"/>
        </w:rPr>
        <w:t>ha</w:t>
      </w:r>
      <w:r>
        <w:rPr>
          <w:color w:val="231F20"/>
          <w:spacing w:val="-17"/>
          <w:w w:val="105"/>
        </w:rPr>
        <w:t> </w:t>
      </w:r>
      <w:r>
        <w:rPr>
          <w:color w:val="231F20"/>
          <w:w w:val="105"/>
        </w:rPr>
        <w:t>mostrado</w:t>
      </w:r>
      <w:r>
        <w:rPr>
          <w:color w:val="231F20"/>
          <w:spacing w:val="-17"/>
          <w:w w:val="105"/>
        </w:rPr>
        <w:t> </w:t>
      </w:r>
      <w:r>
        <w:rPr>
          <w:color w:val="231F20"/>
          <w:w w:val="105"/>
        </w:rPr>
        <w:t>sumamente</w:t>
      </w:r>
      <w:r>
        <w:rPr>
          <w:color w:val="231F20"/>
          <w:spacing w:val="-17"/>
          <w:w w:val="105"/>
        </w:rPr>
        <w:t> </w:t>
      </w:r>
      <w:r>
        <w:rPr>
          <w:color w:val="231F20"/>
          <w:w w:val="105"/>
        </w:rPr>
        <w:t>diestro</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hora</w:t>
      </w:r>
      <w:r>
        <w:rPr>
          <w:color w:val="231F20"/>
          <w:spacing w:val="-17"/>
          <w:w w:val="105"/>
        </w:rPr>
        <w:t> </w:t>
      </w:r>
      <w:r>
        <w:rPr>
          <w:color w:val="231F20"/>
          <w:w w:val="105"/>
        </w:rPr>
        <w:t>de absorber</w:t>
      </w:r>
      <w:r>
        <w:rPr>
          <w:color w:val="231F20"/>
          <w:spacing w:val="-11"/>
          <w:w w:val="105"/>
        </w:rPr>
        <w:t> </w:t>
      </w:r>
      <w:r>
        <w:rPr>
          <w:color w:val="231F20"/>
          <w:w w:val="105"/>
        </w:rPr>
        <w:t>y</w:t>
      </w:r>
      <w:r>
        <w:rPr>
          <w:color w:val="231F20"/>
          <w:spacing w:val="-11"/>
          <w:w w:val="105"/>
        </w:rPr>
        <w:t> </w:t>
      </w:r>
      <w:r>
        <w:rPr>
          <w:color w:val="231F20"/>
          <w:w w:val="105"/>
        </w:rPr>
        <w:t>naturalizar</w:t>
      </w:r>
      <w:r>
        <w:rPr>
          <w:color w:val="231F20"/>
          <w:spacing w:val="-11"/>
          <w:w w:val="105"/>
        </w:rPr>
        <w:t> </w:t>
      </w:r>
      <w:r>
        <w:rPr>
          <w:color w:val="231F20"/>
          <w:w w:val="105"/>
        </w:rPr>
        <w:t>sus</w:t>
      </w:r>
      <w:r>
        <w:rPr>
          <w:color w:val="231F20"/>
          <w:spacing w:val="-11"/>
          <w:w w:val="105"/>
        </w:rPr>
        <w:t> </w:t>
      </w:r>
      <w:r>
        <w:rPr>
          <w:color w:val="231F20"/>
          <w:w w:val="105"/>
        </w:rPr>
        <w:t>contradicciones?</w:t>
      </w:r>
      <w:r>
        <w:rPr>
          <w:color w:val="231F20"/>
          <w:spacing w:val="-11"/>
          <w:w w:val="105"/>
        </w:rPr>
        <w:t> </w:t>
      </w:r>
      <w:r>
        <w:rPr>
          <w:color w:val="231F20"/>
          <w:w w:val="105"/>
        </w:rPr>
        <w:t>¿Hasta</w:t>
      </w:r>
      <w:r>
        <w:rPr>
          <w:color w:val="231F20"/>
          <w:spacing w:val="-11"/>
          <w:w w:val="105"/>
        </w:rPr>
        <w:t> </w:t>
      </w:r>
      <w:r>
        <w:rPr>
          <w:color w:val="231F20"/>
          <w:w w:val="105"/>
        </w:rPr>
        <w:t>qué</w:t>
      </w:r>
      <w:r>
        <w:rPr>
          <w:color w:val="231F20"/>
          <w:spacing w:val="-11"/>
          <w:w w:val="105"/>
        </w:rPr>
        <w:t> </w:t>
      </w:r>
      <w:r>
        <w:rPr>
          <w:color w:val="231F20"/>
          <w:w w:val="105"/>
        </w:rPr>
        <w:t>punto</w:t>
      </w:r>
      <w:r>
        <w:rPr>
          <w:color w:val="231F20"/>
          <w:spacing w:val="-11"/>
          <w:w w:val="105"/>
        </w:rPr>
        <w:t> </w:t>
      </w:r>
      <w:r>
        <w:rPr>
          <w:color w:val="231F20"/>
          <w:w w:val="105"/>
        </w:rPr>
        <w:t>el</w:t>
      </w:r>
      <w:r>
        <w:rPr>
          <w:color w:val="231F20"/>
          <w:spacing w:val="-11"/>
          <w:w w:val="105"/>
        </w:rPr>
        <w:t> </w:t>
      </w:r>
      <w:r>
        <w:rPr>
          <w:color w:val="231F20"/>
          <w:w w:val="105"/>
        </w:rPr>
        <w:t>recono- cerlas</w:t>
      </w:r>
      <w:r>
        <w:rPr>
          <w:color w:val="231F20"/>
          <w:spacing w:val="-27"/>
          <w:w w:val="105"/>
        </w:rPr>
        <w:t> </w:t>
      </w:r>
      <w:r>
        <w:rPr>
          <w:color w:val="231F20"/>
          <w:w w:val="105"/>
        </w:rPr>
        <w:t>y</w:t>
      </w:r>
      <w:r>
        <w:rPr>
          <w:color w:val="231F20"/>
          <w:spacing w:val="-27"/>
          <w:w w:val="105"/>
        </w:rPr>
        <w:t> </w:t>
      </w:r>
      <w:r>
        <w:rPr>
          <w:color w:val="231F20"/>
          <w:w w:val="105"/>
        </w:rPr>
        <w:t>verlas</w:t>
      </w:r>
      <w:r>
        <w:rPr>
          <w:color w:val="231F20"/>
          <w:spacing w:val="-27"/>
          <w:w w:val="105"/>
        </w:rPr>
        <w:t> </w:t>
      </w:r>
      <w:r>
        <w:rPr>
          <w:color w:val="231F20"/>
          <w:w w:val="105"/>
        </w:rPr>
        <w:t>como</w:t>
      </w:r>
      <w:r>
        <w:rPr>
          <w:color w:val="231F20"/>
          <w:spacing w:val="-27"/>
          <w:w w:val="105"/>
        </w:rPr>
        <w:t> </w:t>
      </w:r>
      <w:r>
        <w:rPr>
          <w:color w:val="231F20"/>
          <w:w w:val="105"/>
        </w:rPr>
        <w:t>naturales</w:t>
      </w:r>
      <w:r>
        <w:rPr>
          <w:color w:val="231F20"/>
          <w:spacing w:val="-27"/>
          <w:w w:val="105"/>
        </w:rPr>
        <w:t> </w:t>
      </w:r>
      <w:r>
        <w:rPr>
          <w:color w:val="231F20"/>
          <w:w w:val="105"/>
        </w:rPr>
        <w:t>puede</w:t>
      </w:r>
      <w:r>
        <w:rPr>
          <w:color w:val="231F20"/>
          <w:spacing w:val="-27"/>
          <w:w w:val="105"/>
        </w:rPr>
        <w:t> </w:t>
      </w:r>
      <w:r>
        <w:rPr>
          <w:color w:val="231F20"/>
          <w:w w:val="105"/>
        </w:rPr>
        <w:t>hacernos</w:t>
      </w:r>
      <w:r>
        <w:rPr>
          <w:color w:val="231F20"/>
          <w:spacing w:val="-27"/>
          <w:w w:val="105"/>
        </w:rPr>
        <w:t> </w:t>
      </w:r>
      <w:r>
        <w:rPr>
          <w:color w:val="231F20"/>
          <w:w w:val="105"/>
        </w:rPr>
        <w:t>caer</w:t>
      </w:r>
      <w:r>
        <w:rPr>
          <w:color w:val="231F20"/>
          <w:spacing w:val="-27"/>
          <w:w w:val="105"/>
        </w:rPr>
        <w:t> </w:t>
      </w:r>
      <w:r>
        <w:rPr>
          <w:color w:val="231F20"/>
          <w:w w:val="105"/>
        </w:rPr>
        <w:t>en</w:t>
      </w:r>
      <w:r>
        <w:rPr>
          <w:color w:val="231F20"/>
          <w:spacing w:val="-27"/>
          <w:w w:val="105"/>
        </w:rPr>
        <w:t> </w:t>
      </w:r>
      <w:r>
        <w:rPr>
          <w:color w:val="231F20"/>
          <w:w w:val="105"/>
        </w:rPr>
        <w:t>un</w:t>
      </w:r>
      <w:r>
        <w:rPr>
          <w:color w:val="231F20"/>
          <w:spacing w:val="-27"/>
          <w:w w:val="105"/>
        </w:rPr>
        <w:t> </w:t>
      </w:r>
      <w:r>
        <w:rPr>
          <w:color w:val="231F20"/>
          <w:w w:val="105"/>
        </w:rPr>
        <w:t>abandono</w:t>
      </w:r>
      <w:r>
        <w:rPr>
          <w:color w:val="231F20"/>
          <w:spacing w:val="-27"/>
          <w:w w:val="105"/>
        </w:rPr>
        <w:t> </w:t>
      </w:r>
      <w:r>
        <w:rPr>
          <w:color w:val="231F20"/>
          <w:w w:val="105"/>
        </w:rPr>
        <w:t>de</w:t>
      </w:r>
      <w:r>
        <w:rPr>
          <w:color w:val="231F20"/>
          <w:spacing w:val="-27"/>
          <w:w w:val="105"/>
        </w:rPr>
        <w:t> </w:t>
      </w:r>
      <w:r>
        <w:rPr>
          <w:color w:val="231F20"/>
          <w:w w:val="105"/>
        </w:rPr>
        <w:t>la crítica</w:t>
      </w:r>
      <w:r>
        <w:rPr>
          <w:color w:val="231F20"/>
          <w:spacing w:val="-23"/>
          <w:w w:val="105"/>
        </w:rPr>
        <w:t> </w:t>
      </w:r>
      <w:r>
        <w:rPr>
          <w:color w:val="231F20"/>
          <w:w w:val="105"/>
        </w:rPr>
        <w:t>y</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urgencia</w:t>
      </w:r>
      <w:r>
        <w:rPr>
          <w:color w:val="231F20"/>
          <w:spacing w:val="-23"/>
          <w:w w:val="105"/>
        </w:rPr>
        <w:t> </w:t>
      </w:r>
      <w:r>
        <w:rPr>
          <w:color w:val="231F20"/>
          <w:w w:val="105"/>
        </w:rPr>
        <w:t>de</w:t>
      </w:r>
      <w:r>
        <w:rPr>
          <w:color w:val="231F20"/>
          <w:spacing w:val="-23"/>
          <w:w w:val="105"/>
        </w:rPr>
        <w:t> </w:t>
      </w:r>
      <w:r>
        <w:rPr>
          <w:color w:val="231F20"/>
          <w:w w:val="105"/>
        </w:rPr>
        <w:t>pensar</w:t>
      </w:r>
      <w:r>
        <w:rPr>
          <w:color w:val="231F20"/>
          <w:spacing w:val="-23"/>
          <w:w w:val="105"/>
        </w:rPr>
        <w:t> </w:t>
      </w:r>
      <w:r>
        <w:rPr>
          <w:color w:val="231F20"/>
          <w:w w:val="105"/>
        </w:rPr>
        <w:t>otras</w:t>
      </w:r>
      <w:r>
        <w:rPr>
          <w:color w:val="231F20"/>
          <w:spacing w:val="-23"/>
          <w:w w:val="105"/>
        </w:rPr>
        <w:t> </w:t>
      </w:r>
      <w:r>
        <w:rPr>
          <w:color w:val="231F20"/>
          <w:w w:val="105"/>
        </w:rPr>
        <w:t>formas</w:t>
      </w:r>
      <w:r>
        <w:rPr>
          <w:color w:val="231F20"/>
          <w:spacing w:val="-23"/>
          <w:w w:val="105"/>
        </w:rPr>
        <w:t> </w:t>
      </w:r>
      <w:r>
        <w:rPr>
          <w:color w:val="231F20"/>
          <w:w w:val="105"/>
        </w:rPr>
        <w:t>de</w:t>
      </w:r>
      <w:r>
        <w:rPr>
          <w:color w:val="231F20"/>
          <w:spacing w:val="-23"/>
          <w:w w:val="105"/>
        </w:rPr>
        <w:t> </w:t>
      </w:r>
      <w:r>
        <w:rPr>
          <w:color w:val="231F20"/>
          <w:w w:val="105"/>
        </w:rPr>
        <w:t>vida,</w:t>
      </w:r>
      <w:r>
        <w:rPr>
          <w:color w:val="231F20"/>
          <w:spacing w:val="-23"/>
          <w:w w:val="105"/>
        </w:rPr>
        <w:t> </w:t>
      </w:r>
      <w:r>
        <w:rPr>
          <w:color w:val="231F20"/>
          <w:w w:val="105"/>
        </w:rPr>
        <w:t>precisamente</w:t>
      </w:r>
      <w:r>
        <w:rPr>
          <w:color w:val="231F20"/>
          <w:spacing w:val="-23"/>
          <w:w w:val="105"/>
        </w:rPr>
        <w:t> </w:t>
      </w:r>
      <w:r>
        <w:rPr>
          <w:color w:val="231F20"/>
          <w:spacing w:val="-3"/>
          <w:w w:val="105"/>
        </w:rPr>
        <w:t>por- </w:t>
      </w:r>
      <w:r>
        <w:rPr>
          <w:color w:val="231F20"/>
          <w:w w:val="105"/>
        </w:rPr>
        <w:t>que</w:t>
      </w:r>
      <w:r>
        <w:rPr>
          <w:color w:val="231F20"/>
          <w:spacing w:val="-16"/>
          <w:w w:val="105"/>
        </w:rPr>
        <w:t> </w:t>
      </w:r>
      <w:r>
        <w:rPr>
          <w:color w:val="231F20"/>
          <w:w w:val="105"/>
        </w:rPr>
        <w:t>terminaríamos</w:t>
      </w:r>
      <w:r>
        <w:rPr>
          <w:color w:val="231F20"/>
          <w:spacing w:val="-16"/>
          <w:w w:val="105"/>
        </w:rPr>
        <w:t> </w:t>
      </w:r>
      <w:r>
        <w:rPr>
          <w:color w:val="231F20"/>
          <w:w w:val="105"/>
        </w:rPr>
        <w:t>viendo</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globalización</w:t>
      </w:r>
      <w:r>
        <w:rPr>
          <w:color w:val="231F20"/>
          <w:spacing w:val="-16"/>
          <w:w w:val="105"/>
        </w:rPr>
        <w:t> </w:t>
      </w:r>
      <w:r>
        <w:rPr>
          <w:color w:val="231F20"/>
          <w:w w:val="105"/>
        </w:rPr>
        <w:t>un</w:t>
      </w:r>
      <w:r>
        <w:rPr>
          <w:color w:val="231F20"/>
          <w:spacing w:val="-16"/>
          <w:w w:val="105"/>
        </w:rPr>
        <w:t> </w:t>
      </w:r>
      <w:r>
        <w:rPr>
          <w:color w:val="231F20"/>
          <w:w w:val="105"/>
        </w:rPr>
        <w:t>monstruo</w:t>
      </w:r>
      <w:r>
        <w:rPr>
          <w:color w:val="231F20"/>
          <w:spacing w:val="-16"/>
          <w:w w:val="105"/>
        </w:rPr>
        <w:t> </w:t>
      </w:r>
      <w:r>
        <w:rPr>
          <w:color w:val="231F20"/>
          <w:w w:val="105"/>
        </w:rPr>
        <w:t>amable</w:t>
      </w:r>
      <w:r>
        <w:rPr>
          <w:color w:val="231F20"/>
          <w:spacing w:val="-16"/>
          <w:w w:val="105"/>
        </w:rPr>
        <w:t> </w:t>
      </w:r>
      <w:r>
        <w:rPr>
          <w:color w:val="231F20"/>
          <w:w w:val="105"/>
        </w:rPr>
        <w:t>—por utilizar</w:t>
      </w:r>
      <w:r>
        <w:rPr>
          <w:color w:val="231F20"/>
          <w:spacing w:val="-14"/>
          <w:w w:val="105"/>
        </w:rPr>
        <w:t> </w:t>
      </w:r>
      <w:r>
        <w:rPr>
          <w:color w:val="231F20"/>
          <w:w w:val="105"/>
        </w:rPr>
        <w:t>el</w:t>
      </w:r>
      <w:r>
        <w:rPr>
          <w:color w:val="231F20"/>
          <w:spacing w:val="-14"/>
          <w:w w:val="105"/>
        </w:rPr>
        <w:t> </w:t>
      </w:r>
      <w:r>
        <w:rPr>
          <w:color w:val="231F20"/>
          <w:w w:val="105"/>
        </w:rPr>
        <w:t>término</w:t>
      </w:r>
      <w:r>
        <w:rPr>
          <w:color w:val="231F20"/>
          <w:spacing w:val="-14"/>
          <w:w w:val="105"/>
        </w:rPr>
        <w:t> </w:t>
      </w:r>
      <w:r>
        <w:rPr>
          <w:color w:val="231F20"/>
          <w:w w:val="105"/>
        </w:rPr>
        <w:t>de</w:t>
      </w:r>
      <w:r>
        <w:rPr>
          <w:color w:val="231F20"/>
          <w:spacing w:val="-14"/>
          <w:w w:val="105"/>
        </w:rPr>
        <w:t> </w:t>
      </w:r>
      <w:r>
        <w:rPr>
          <w:color w:val="231F20"/>
          <w:w w:val="105"/>
        </w:rPr>
        <w:t>Raffaele</w:t>
      </w:r>
      <w:r>
        <w:rPr>
          <w:color w:val="231F20"/>
          <w:spacing w:val="-14"/>
          <w:w w:val="105"/>
        </w:rPr>
        <w:t> </w:t>
      </w:r>
      <w:r>
        <w:rPr>
          <w:color w:val="231F20"/>
          <w:w w:val="105"/>
        </w:rPr>
        <w:t>Simone</w:t>
      </w:r>
      <w:r>
        <w:rPr>
          <w:color w:val="231F20"/>
          <w:w w:val="105"/>
          <w:position w:val="7"/>
          <w:sz w:val="12"/>
        </w:rPr>
        <w:t>25</w:t>
      </w:r>
      <w:r>
        <w:rPr>
          <w:color w:val="231F20"/>
          <w:w w:val="105"/>
        </w:rPr>
        <w:t>—</w:t>
      </w:r>
      <w:r>
        <w:rPr>
          <w:color w:val="231F20"/>
          <w:spacing w:val="-14"/>
          <w:w w:val="105"/>
        </w:rPr>
        <w:t> </w:t>
      </w:r>
      <w:r>
        <w:rPr>
          <w:color w:val="231F20"/>
          <w:w w:val="105"/>
        </w:rPr>
        <w:t>que</w:t>
      </w:r>
      <w:r>
        <w:rPr>
          <w:color w:val="231F20"/>
          <w:spacing w:val="-14"/>
          <w:w w:val="105"/>
        </w:rPr>
        <w:t> </w:t>
      </w:r>
      <w:r>
        <w:rPr>
          <w:color w:val="231F20"/>
          <w:w w:val="105"/>
        </w:rPr>
        <w:t>está</w:t>
      </w:r>
      <w:r>
        <w:rPr>
          <w:color w:val="231F20"/>
          <w:spacing w:val="-14"/>
          <w:w w:val="105"/>
        </w:rPr>
        <w:t> </w:t>
      </w:r>
      <w:r>
        <w:rPr>
          <w:color w:val="231F20"/>
          <w:w w:val="105"/>
        </w:rPr>
        <w:t>condenado</w:t>
      </w:r>
      <w:r>
        <w:rPr>
          <w:color w:val="231F20"/>
          <w:spacing w:val="-14"/>
          <w:w w:val="105"/>
        </w:rPr>
        <w:t> </w:t>
      </w:r>
      <w:r>
        <w:rPr>
          <w:color w:val="231F20"/>
          <w:w w:val="105"/>
        </w:rPr>
        <w:t>a</w:t>
      </w:r>
      <w:r>
        <w:rPr>
          <w:color w:val="231F20"/>
          <w:spacing w:val="-14"/>
          <w:w w:val="105"/>
        </w:rPr>
        <w:t> </w:t>
      </w:r>
      <w:r>
        <w:rPr>
          <w:color w:val="231F20"/>
          <w:w w:val="105"/>
        </w:rPr>
        <w:t>sus</w:t>
      </w:r>
      <w:r>
        <w:rPr>
          <w:color w:val="231F20"/>
          <w:spacing w:val="-14"/>
          <w:w w:val="105"/>
        </w:rPr>
        <w:t> </w:t>
      </w:r>
      <w:r>
        <w:rPr>
          <w:color w:val="231F20"/>
          <w:w w:val="105"/>
        </w:rPr>
        <w:t>pro- pias</w:t>
      </w:r>
      <w:r>
        <w:rPr>
          <w:color w:val="231F20"/>
          <w:spacing w:val="-39"/>
          <w:w w:val="105"/>
        </w:rPr>
        <w:t> </w:t>
      </w:r>
      <w:r>
        <w:rPr>
          <w:color w:val="231F20"/>
          <w:w w:val="105"/>
        </w:rPr>
        <w:t>aporías?</w:t>
      </w:r>
      <w:r>
        <w:rPr>
          <w:color w:val="231F20"/>
          <w:spacing w:val="-39"/>
          <w:w w:val="105"/>
        </w:rPr>
        <w:t> </w:t>
      </w:r>
      <w:r>
        <w:rPr>
          <w:color w:val="231F20"/>
          <w:w w:val="105"/>
        </w:rPr>
        <w:t>Naturalismo</w:t>
      </w:r>
      <w:r>
        <w:rPr>
          <w:color w:val="231F20"/>
          <w:spacing w:val="-39"/>
          <w:w w:val="105"/>
        </w:rPr>
        <w:t> </w:t>
      </w:r>
      <w:r>
        <w:rPr>
          <w:color w:val="231F20"/>
          <w:w w:val="105"/>
        </w:rPr>
        <w:t>y</w:t>
      </w:r>
      <w:r>
        <w:rPr>
          <w:color w:val="231F20"/>
          <w:spacing w:val="-39"/>
          <w:w w:val="105"/>
        </w:rPr>
        <w:t> </w:t>
      </w:r>
      <w:r>
        <w:rPr>
          <w:color w:val="231F20"/>
          <w:w w:val="105"/>
        </w:rPr>
        <w:t>acriticismo</w:t>
      </w:r>
      <w:r>
        <w:rPr>
          <w:color w:val="231F20"/>
          <w:spacing w:val="-39"/>
          <w:w w:val="105"/>
        </w:rPr>
        <w:t> </w:t>
      </w:r>
      <w:r>
        <w:rPr>
          <w:color w:val="231F20"/>
          <w:w w:val="105"/>
        </w:rPr>
        <w:t>sería</w:t>
      </w:r>
      <w:r>
        <w:rPr>
          <w:color w:val="231F20"/>
          <w:spacing w:val="-39"/>
          <w:w w:val="105"/>
        </w:rPr>
        <w:t> </w:t>
      </w:r>
      <w:r>
        <w:rPr>
          <w:color w:val="231F20"/>
          <w:w w:val="105"/>
        </w:rPr>
        <w:t>quizá</w:t>
      </w:r>
      <w:r>
        <w:rPr>
          <w:color w:val="231F20"/>
          <w:spacing w:val="-39"/>
          <w:w w:val="105"/>
        </w:rPr>
        <w:t> </w:t>
      </w:r>
      <w:r>
        <w:rPr>
          <w:color w:val="231F20"/>
          <w:w w:val="105"/>
        </w:rPr>
        <w:t>el</w:t>
      </w:r>
      <w:r>
        <w:rPr>
          <w:color w:val="231F20"/>
          <w:spacing w:val="-39"/>
          <w:w w:val="105"/>
        </w:rPr>
        <w:t> </w:t>
      </w:r>
      <w:r>
        <w:rPr>
          <w:color w:val="231F20"/>
          <w:w w:val="105"/>
        </w:rPr>
        <w:t>costo</w:t>
      </w:r>
      <w:r>
        <w:rPr>
          <w:color w:val="231F20"/>
          <w:spacing w:val="-39"/>
          <w:w w:val="105"/>
        </w:rPr>
        <w:t> </w:t>
      </w:r>
      <w:r>
        <w:rPr>
          <w:color w:val="231F20"/>
          <w:w w:val="105"/>
        </w:rPr>
        <w:t>de</w:t>
      </w:r>
      <w:r>
        <w:rPr>
          <w:color w:val="231F20"/>
          <w:spacing w:val="-39"/>
          <w:w w:val="105"/>
        </w:rPr>
        <w:t> </w:t>
      </w:r>
      <w:r>
        <w:rPr>
          <w:color w:val="231F20"/>
          <w:w w:val="105"/>
        </w:rPr>
        <w:t>asumir</w:t>
      </w:r>
      <w:r>
        <w:rPr>
          <w:color w:val="231F20"/>
          <w:spacing w:val="-39"/>
          <w:w w:val="105"/>
        </w:rPr>
        <w:t> </w:t>
      </w:r>
      <w:r>
        <w:rPr>
          <w:color w:val="231F20"/>
          <w:w w:val="105"/>
        </w:rPr>
        <w:t>que</w:t>
      </w:r>
      <w:r>
        <w:rPr>
          <w:color w:val="231F20"/>
          <w:spacing w:val="-39"/>
          <w:w w:val="105"/>
        </w:rPr>
        <w:t> </w:t>
      </w:r>
      <w:r>
        <w:rPr>
          <w:color w:val="231F20"/>
          <w:w w:val="105"/>
        </w:rPr>
        <w:t>la globalización</w:t>
      </w:r>
      <w:r>
        <w:rPr>
          <w:color w:val="231F20"/>
          <w:spacing w:val="-28"/>
          <w:w w:val="105"/>
        </w:rPr>
        <w:t> </w:t>
      </w:r>
      <w:r>
        <w:rPr>
          <w:color w:val="231F20"/>
          <w:w w:val="105"/>
        </w:rPr>
        <w:t>y</w:t>
      </w:r>
      <w:r>
        <w:rPr>
          <w:color w:val="231F20"/>
          <w:spacing w:val="-28"/>
          <w:w w:val="105"/>
        </w:rPr>
        <w:t> </w:t>
      </w:r>
      <w:r>
        <w:rPr>
          <w:color w:val="231F20"/>
          <w:w w:val="105"/>
        </w:rPr>
        <w:t>sus</w:t>
      </w:r>
      <w:r>
        <w:rPr>
          <w:color w:val="231F20"/>
          <w:spacing w:val="-28"/>
          <w:w w:val="105"/>
        </w:rPr>
        <w:t> </w:t>
      </w:r>
      <w:r>
        <w:rPr>
          <w:color w:val="231F20"/>
          <w:w w:val="105"/>
        </w:rPr>
        <w:t>efectos</w:t>
      </w:r>
      <w:r>
        <w:rPr>
          <w:color w:val="231F20"/>
          <w:spacing w:val="-28"/>
          <w:w w:val="105"/>
        </w:rPr>
        <w:t> </w:t>
      </w:r>
      <w:r>
        <w:rPr>
          <w:color w:val="231F20"/>
          <w:w w:val="105"/>
        </w:rPr>
        <w:t>son</w:t>
      </w:r>
      <w:r>
        <w:rPr>
          <w:color w:val="231F20"/>
          <w:spacing w:val="-28"/>
          <w:w w:val="105"/>
        </w:rPr>
        <w:t> </w:t>
      </w:r>
      <w:r>
        <w:rPr>
          <w:color w:val="231F20"/>
          <w:w w:val="105"/>
        </w:rPr>
        <w:t>algo</w:t>
      </w:r>
      <w:r>
        <w:rPr>
          <w:color w:val="231F20"/>
          <w:spacing w:val="-28"/>
          <w:w w:val="105"/>
        </w:rPr>
        <w:t> </w:t>
      </w:r>
      <w:r>
        <w:rPr>
          <w:color w:val="231F20"/>
          <w:w w:val="105"/>
        </w:rPr>
        <w:t>natural,</w:t>
      </w:r>
      <w:r>
        <w:rPr>
          <w:color w:val="231F20"/>
          <w:spacing w:val="-28"/>
          <w:w w:val="105"/>
        </w:rPr>
        <w:t> </w:t>
      </w:r>
      <w:r>
        <w:rPr>
          <w:color w:val="231F20"/>
          <w:w w:val="105"/>
        </w:rPr>
        <w:t>algo</w:t>
      </w:r>
      <w:r>
        <w:rPr>
          <w:color w:val="231F20"/>
          <w:spacing w:val="-28"/>
          <w:w w:val="105"/>
        </w:rPr>
        <w:t> </w:t>
      </w:r>
      <w:r>
        <w:rPr>
          <w:color w:val="231F20"/>
          <w:w w:val="105"/>
        </w:rPr>
        <w:t>que</w:t>
      </w:r>
      <w:r>
        <w:rPr>
          <w:color w:val="231F20"/>
          <w:spacing w:val="-28"/>
          <w:w w:val="105"/>
        </w:rPr>
        <w:t> </w:t>
      </w:r>
      <w:r>
        <w:rPr>
          <w:color w:val="231F20"/>
          <w:w w:val="105"/>
        </w:rPr>
        <w:t>se</w:t>
      </w:r>
      <w:r>
        <w:rPr>
          <w:color w:val="231F20"/>
          <w:spacing w:val="-28"/>
          <w:w w:val="105"/>
        </w:rPr>
        <w:t> </w:t>
      </w:r>
      <w:r>
        <w:rPr>
          <w:color w:val="231F20"/>
          <w:w w:val="105"/>
        </w:rPr>
        <w:t>autolimita</w:t>
      </w:r>
      <w:r>
        <w:rPr>
          <w:color w:val="231F20"/>
          <w:spacing w:val="-28"/>
          <w:w w:val="105"/>
        </w:rPr>
        <w:t> </w:t>
      </w:r>
      <w:r>
        <w:rPr>
          <w:color w:val="231F20"/>
          <w:w w:val="105"/>
        </w:rPr>
        <w:t>debido a</w:t>
      </w:r>
      <w:r>
        <w:rPr>
          <w:color w:val="231F20"/>
          <w:spacing w:val="-31"/>
          <w:w w:val="105"/>
        </w:rPr>
        <w:t> </w:t>
      </w:r>
      <w:r>
        <w:rPr>
          <w:color w:val="231F20"/>
          <w:w w:val="105"/>
        </w:rPr>
        <w:t>sus</w:t>
      </w:r>
      <w:r>
        <w:rPr>
          <w:color w:val="231F20"/>
          <w:spacing w:val="-31"/>
          <w:w w:val="105"/>
        </w:rPr>
        <w:t> </w:t>
      </w:r>
      <w:r>
        <w:rPr>
          <w:color w:val="231F20"/>
          <w:w w:val="105"/>
        </w:rPr>
        <w:t>propias</w:t>
      </w:r>
      <w:r>
        <w:rPr>
          <w:color w:val="231F20"/>
          <w:spacing w:val="-31"/>
          <w:w w:val="105"/>
        </w:rPr>
        <w:t> </w:t>
      </w:r>
      <w:r>
        <w:rPr>
          <w:color w:val="231F20"/>
          <w:w w:val="105"/>
        </w:rPr>
        <w:t>paradojas.</w:t>
      </w:r>
      <w:r>
        <w:rPr>
          <w:color w:val="231F20"/>
          <w:spacing w:val="-31"/>
          <w:w w:val="105"/>
        </w:rPr>
        <w:t> </w:t>
      </w:r>
      <w:r>
        <w:rPr>
          <w:color w:val="231F20"/>
          <w:w w:val="105"/>
        </w:rPr>
        <w:t>Por</w:t>
      </w:r>
      <w:r>
        <w:rPr>
          <w:color w:val="231F20"/>
          <w:spacing w:val="-31"/>
          <w:w w:val="105"/>
        </w:rPr>
        <w:t> </w:t>
      </w:r>
      <w:r>
        <w:rPr>
          <w:color w:val="231F20"/>
          <w:w w:val="105"/>
        </w:rPr>
        <w:t>ende,</w:t>
      </w:r>
      <w:r>
        <w:rPr>
          <w:color w:val="231F20"/>
          <w:spacing w:val="-31"/>
          <w:w w:val="105"/>
        </w:rPr>
        <w:t> </w:t>
      </w:r>
      <w:r>
        <w:rPr>
          <w:color w:val="231F20"/>
          <w:w w:val="105"/>
        </w:rPr>
        <w:t>no</w:t>
      </w:r>
      <w:r>
        <w:rPr>
          <w:color w:val="231F20"/>
          <w:spacing w:val="-31"/>
          <w:w w:val="105"/>
        </w:rPr>
        <w:t> </w:t>
      </w:r>
      <w:r>
        <w:rPr>
          <w:color w:val="231F20"/>
          <w:w w:val="105"/>
        </w:rPr>
        <w:t>habría</w:t>
      </w:r>
      <w:r>
        <w:rPr>
          <w:color w:val="231F20"/>
          <w:spacing w:val="-31"/>
          <w:w w:val="105"/>
        </w:rPr>
        <w:t> </w:t>
      </w:r>
      <w:r>
        <w:rPr>
          <w:color w:val="231F20"/>
          <w:w w:val="105"/>
        </w:rPr>
        <w:t>que</w:t>
      </w:r>
      <w:r>
        <w:rPr>
          <w:color w:val="231F20"/>
          <w:spacing w:val="-31"/>
          <w:w w:val="105"/>
        </w:rPr>
        <w:t> </w:t>
      </w:r>
      <w:r>
        <w:rPr>
          <w:color w:val="231F20"/>
          <w:w w:val="105"/>
        </w:rPr>
        <w:t>sobresaltarnos</w:t>
      </w:r>
      <w:r>
        <w:rPr>
          <w:color w:val="231F20"/>
          <w:spacing w:val="-31"/>
          <w:w w:val="105"/>
        </w:rPr>
        <w:t> </w:t>
      </w:r>
      <w:r>
        <w:rPr>
          <w:color w:val="231F20"/>
          <w:w w:val="105"/>
        </w:rPr>
        <w:t>demasia- do,</w:t>
      </w:r>
      <w:r>
        <w:rPr>
          <w:color w:val="231F20"/>
          <w:spacing w:val="-32"/>
          <w:w w:val="105"/>
        </w:rPr>
        <w:t> </w:t>
      </w:r>
      <w:r>
        <w:rPr>
          <w:color w:val="231F20"/>
          <w:w w:val="105"/>
        </w:rPr>
        <w:t>la</w:t>
      </w:r>
      <w:r>
        <w:rPr>
          <w:color w:val="231F20"/>
          <w:spacing w:val="-32"/>
          <w:w w:val="105"/>
        </w:rPr>
        <w:t> </w:t>
      </w:r>
      <w:r>
        <w:rPr>
          <w:color w:val="231F20"/>
          <w:w w:val="105"/>
        </w:rPr>
        <w:t>posibilidad</w:t>
      </w:r>
      <w:r>
        <w:rPr>
          <w:color w:val="231F20"/>
          <w:spacing w:val="-32"/>
          <w:w w:val="105"/>
        </w:rPr>
        <w:t> </w:t>
      </w:r>
      <w:r>
        <w:rPr>
          <w:color w:val="231F20"/>
          <w:w w:val="105"/>
        </w:rPr>
        <w:t>de</w:t>
      </w:r>
      <w:r>
        <w:rPr>
          <w:color w:val="231F20"/>
          <w:spacing w:val="-32"/>
          <w:w w:val="105"/>
        </w:rPr>
        <w:t> </w:t>
      </w:r>
      <w:r>
        <w:rPr>
          <w:color w:val="231F20"/>
          <w:w w:val="105"/>
        </w:rPr>
        <w:t>acceder</w:t>
      </w:r>
      <w:r>
        <w:rPr>
          <w:color w:val="231F20"/>
          <w:spacing w:val="-32"/>
          <w:w w:val="105"/>
        </w:rPr>
        <w:t> </w:t>
      </w:r>
      <w:r>
        <w:rPr>
          <w:color w:val="231F20"/>
          <w:w w:val="105"/>
        </w:rPr>
        <w:t>al</w:t>
      </w:r>
      <w:r>
        <w:rPr>
          <w:color w:val="231F20"/>
          <w:spacing w:val="-32"/>
          <w:w w:val="105"/>
        </w:rPr>
        <w:t> </w:t>
      </w:r>
      <w:r>
        <w:rPr>
          <w:color w:val="231F20"/>
          <w:w w:val="105"/>
        </w:rPr>
        <w:t>consumo</w:t>
      </w:r>
      <w:r>
        <w:rPr>
          <w:color w:val="231F20"/>
          <w:spacing w:val="-32"/>
          <w:w w:val="105"/>
        </w:rPr>
        <w:t> </w:t>
      </w:r>
      <w:r>
        <w:rPr>
          <w:color w:val="231F20"/>
          <w:w w:val="105"/>
        </w:rPr>
        <w:t>de</w:t>
      </w:r>
      <w:r>
        <w:rPr>
          <w:color w:val="231F20"/>
          <w:spacing w:val="-32"/>
          <w:w w:val="105"/>
        </w:rPr>
        <w:t> </w:t>
      </w:r>
      <w:r>
        <w:rPr>
          <w:color w:val="231F20"/>
          <w:w w:val="105"/>
        </w:rPr>
        <w:t>mercancías</w:t>
      </w:r>
      <w:r>
        <w:rPr>
          <w:color w:val="231F20"/>
          <w:spacing w:val="-32"/>
          <w:w w:val="105"/>
        </w:rPr>
        <w:t> </w:t>
      </w:r>
      <w:r>
        <w:rPr>
          <w:color w:val="231F20"/>
          <w:w w:val="105"/>
        </w:rPr>
        <w:t>que</w:t>
      </w:r>
      <w:r>
        <w:rPr>
          <w:color w:val="231F20"/>
          <w:spacing w:val="-32"/>
          <w:w w:val="105"/>
        </w:rPr>
        <w:t> </w:t>
      </w:r>
      <w:r>
        <w:rPr>
          <w:color w:val="231F20"/>
          <w:w w:val="105"/>
        </w:rPr>
        <w:t>antes</w:t>
      </w:r>
      <w:r>
        <w:rPr>
          <w:color w:val="231F20"/>
          <w:spacing w:val="-32"/>
          <w:w w:val="105"/>
        </w:rPr>
        <w:t> </w:t>
      </w:r>
      <w:r>
        <w:rPr>
          <w:color w:val="231F20"/>
          <w:w w:val="105"/>
        </w:rPr>
        <w:t>estaban fuera</w:t>
      </w:r>
      <w:r>
        <w:rPr>
          <w:color w:val="231F20"/>
          <w:spacing w:val="-10"/>
          <w:w w:val="105"/>
        </w:rPr>
        <w:t> </w:t>
      </w:r>
      <w:r>
        <w:rPr>
          <w:color w:val="231F20"/>
          <w:w w:val="105"/>
        </w:rPr>
        <w:t>de</w:t>
      </w:r>
      <w:r>
        <w:rPr>
          <w:color w:val="231F20"/>
          <w:spacing w:val="-10"/>
          <w:w w:val="105"/>
        </w:rPr>
        <w:t> </w:t>
      </w:r>
      <w:r>
        <w:rPr>
          <w:color w:val="231F20"/>
          <w:w w:val="105"/>
        </w:rPr>
        <w:t>nuestro</w:t>
      </w:r>
      <w:r>
        <w:rPr>
          <w:color w:val="231F20"/>
          <w:spacing w:val="-10"/>
          <w:w w:val="105"/>
        </w:rPr>
        <w:t> </w:t>
      </w:r>
      <w:r>
        <w:rPr>
          <w:color w:val="231F20"/>
          <w:w w:val="105"/>
        </w:rPr>
        <w:t>alcance,</w:t>
      </w:r>
      <w:r>
        <w:rPr>
          <w:color w:val="231F20"/>
          <w:spacing w:val="-10"/>
          <w:w w:val="105"/>
        </w:rPr>
        <w:t> </w:t>
      </w:r>
      <w:r>
        <w:rPr>
          <w:color w:val="231F20"/>
          <w:w w:val="105"/>
        </w:rPr>
        <w:t>la</w:t>
      </w:r>
      <w:r>
        <w:rPr>
          <w:color w:val="231F20"/>
          <w:spacing w:val="-10"/>
          <w:w w:val="105"/>
        </w:rPr>
        <w:t> </w:t>
      </w:r>
      <w:r>
        <w:rPr>
          <w:color w:val="231F20"/>
          <w:w w:val="105"/>
        </w:rPr>
        <w:t>comodidad</w:t>
      </w:r>
      <w:r>
        <w:rPr>
          <w:color w:val="231F20"/>
          <w:spacing w:val="-10"/>
          <w:w w:val="105"/>
        </w:rPr>
        <w:t> </w:t>
      </w:r>
      <w:r>
        <w:rPr>
          <w:color w:val="231F20"/>
          <w:w w:val="105"/>
        </w:rPr>
        <w:t>de</w:t>
      </w:r>
      <w:r>
        <w:rPr>
          <w:color w:val="231F20"/>
          <w:spacing w:val="-10"/>
          <w:w w:val="105"/>
        </w:rPr>
        <w:t> </w:t>
      </w:r>
      <w:r>
        <w:rPr>
          <w:color w:val="231F20"/>
          <w:w w:val="105"/>
        </w:rPr>
        <w:t>vivir</w:t>
      </w:r>
      <w:r>
        <w:rPr>
          <w:color w:val="231F20"/>
          <w:spacing w:val="-10"/>
          <w:w w:val="105"/>
        </w:rPr>
        <w:t> </w:t>
      </w:r>
      <w:r>
        <w:rPr>
          <w:color w:val="231F20"/>
          <w:w w:val="105"/>
        </w:rPr>
        <w:t>en</w:t>
      </w:r>
      <w:r>
        <w:rPr>
          <w:color w:val="231F20"/>
          <w:spacing w:val="-10"/>
          <w:w w:val="105"/>
        </w:rPr>
        <w:t> </w:t>
      </w:r>
      <w:r>
        <w:rPr>
          <w:color w:val="231F20"/>
          <w:w w:val="105"/>
        </w:rPr>
        <w:t>un</w:t>
      </w:r>
      <w:r>
        <w:rPr>
          <w:color w:val="231F20"/>
          <w:spacing w:val="-10"/>
          <w:w w:val="105"/>
        </w:rPr>
        <w:t> </w:t>
      </w:r>
      <w:r>
        <w:rPr>
          <w:color w:val="231F20"/>
          <w:w w:val="105"/>
        </w:rPr>
        <w:t>mundo</w:t>
      </w:r>
      <w:r>
        <w:rPr>
          <w:color w:val="231F20"/>
          <w:spacing w:val="-10"/>
          <w:w w:val="105"/>
        </w:rPr>
        <w:t> </w:t>
      </w:r>
      <w:r>
        <w:rPr>
          <w:color w:val="231F20"/>
          <w:w w:val="105"/>
        </w:rPr>
        <w:t>lejos</w:t>
      </w:r>
      <w:r>
        <w:rPr>
          <w:color w:val="231F20"/>
          <w:spacing w:val="-10"/>
          <w:w w:val="105"/>
        </w:rPr>
        <w:t> </w:t>
      </w:r>
      <w:r>
        <w:rPr>
          <w:color w:val="231F20"/>
          <w:w w:val="105"/>
        </w:rPr>
        <w:t>de</w:t>
      </w:r>
      <w:r>
        <w:rPr>
          <w:color w:val="231F20"/>
          <w:spacing w:val="-10"/>
          <w:w w:val="105"/>
        </w:rPr>
        <w:t> </w:t>
      </w:r>
      <w:r>
        <w:rPr>
          <w:color w:val="231F20"/>
          <w:w w:val="105"/>
        </w:rPr>
        <w:t>la perfección,</w:t>
      </w:r>
      <w:r>
        <w:rPr>
          <w:color w:val="231F20"/>
          <w:spacing w:val="-17"/>
          <w:w w:val="105"/>
        </w:rPr>
        <w:t> </w:t>
      </w:r>
      <w:r>
        <w:rPr>
          <w:color w:val="231F20"/>
          <w:w w:val="105"/>
        </w:rPr>
        <w:t>pero</w:t>
      </w:r>
      <w:r>
        <w:rPr>
          <w:color w:val="231F20"/>
          <w:spacing w:val="-17"/>
          <w:w w:val="105"/>
        </w:rPr>
        <w:t> </w:t>
      </w:r>
      <w:r>
        <w:rPr>
          <w:color w:val="231F20"/>
          <w:w w:val="105"/>
        </w:rPr>
        <w:t>que</w:t>
      </w:r>
      <w:r>
        <w:rPr>
          <w:color w:val="231F20"/>
          <w:spacing w:val="-17"/>
          <w:w w:val="105"/>
        </w:rPr>
        <w:t> </w:t>
      </w:r>
      <w:r>
        <w:rPr>
          <w:color w:val="231F20"/>
          <w:w w:val="105"/>
        </w:rPr>
        <w:t>nos</w:t>
      </w:r>
      <w:r>
        <w:rPr>
          <w:color w:val="231F20"/>
          <w:spacing w:val="-17"/>
          <w:w w:val="105"/>
        </w:rPr>
        <w:t> </w:t>
      </w:r>
      <w:r>
        <w:rPr>
          <w:color w:val="231F20"/>
          <w:w w:val="105"/>
        </w:rPr>
        <w:t>brinda</w:t>
      </w:r>
      <w:r>
        <w:rPr>
          <w:color w:val="231F20"/>
          <w:spacing w:val="-17"/>
          <w:w w:val="105"/>
        </w:rPr>
        <w:t> </w:t>
      </w:r>
      <w:r>
        <w:rPr>
          <w:color w:val="231F20"/>
          <w:w w:val="105"/>
        </w:rPr>
        <w:t>satisfactores</w:t>
      </w:r>
      <w:r>
        <w:rPr>
          <w:color w:val="231F20"/>
          <w:spacing w:val="-17"/>
          <w:w w:val="105"/>
        </w:rPr>
        <w:t> </w:t>
      </w:r>
      <w:r>
        <w:rPr>
          <w:color w:val="231F20"/>
          <w:w w:val="105"/>
        </w:rPr>
        <w:t>necesarios,</w:t>
      </w:r>
      <w:r>
        <w:rPr>
          <w:color w:val="231F20"/>
          <w:spacing w:val="-17"/>
          <w:w w:val="105"/>
        </w:rPr>
        <w:t> </w:t>
      </w:r>
      <w:r>
        <w:rPr>
          <w:color w:val="231F20"/>
          <w:w w:val="105"/>
        </w:rPr>
        <w:t>todo</w:t>
      </w:r>
      <w:r>
        <w:rPr>
          <w:color w:val="231F20"/>
          <w:spacing w:val="-17"/>
          <w:w w:val="105"/>
        </w:rPr>
        <w:t> </w:t>
      </w:r>
      <w:r>
        <w:rPr>
          <w:color w:val="231F20"/>
          <w:w w:val="105"/>
        </w:rPr>
        <w:t>esto</w:t>
      </w:r>
      <w:r>
        <w:rPr>
          <w:color w:val="231F20"/>
          <w:spacing w:val="-17"/>
          <w:w w:val="105"/>
        </w:rPr>
        <w:t> </w:t>
      </w:r>
      <w:r>
        <w:rPr>
          <w:color w:val="231F20"/>
          <w:w w:val="105"/>
        </w:rPr>
        <w:t>haría soportables</w:t>
      </w:r>
      <w:r>
        <w:rPr>
          <w:color w:val="231F20"/>
          <w:spacing w:val="-20"/>
          <w:w w:val="105"/>
        </w:rPr>
        <w:t> </w:t>
      </w:r>
      <w:r>
        <w:rPr>
          <w:color w:val="231F20"/>
          <w:w w:val="105"/>
        </w:rPr>
        <w:t>los</w:t>
      </w:r>
      <w:r>
        <w:rPr>
          <w:color w:val="231F20"/>
          <w:spacing w:val="-20"/>
          <w:w w:val="105"/>
        </w:rPr>
        <w:t> </w:t>
      </w:r>
      <w:r>
        <w:rPr>
          <w:color w:val="231F20"/>
          <w:w w:val="105"/>
        </w:rPr>
        <w:t>costos</w:t>
      </w:r>
      <w:r>
        <w:rPr>
          <w:color w:val="231F20"/>
          <w:spacing w:val="-20"/>
          <w:w w:val="105"/>
        </w:rPr>
        <w:t> </w:t>
      </w:r>
      <w:r>
        <w:rPr>
          <w:color w:val="231F20"/>
          <w:w w:val="105"/>
        </w:rPr>
        <w:t>de</w:t>
      </w:r>
      <w:r>
        <w:rPr>
          <w:color w:val="231F20"/>
          <w:spacing w:val="-20"/>
          <w:w w:val="105"/>
        </w:rPr>
        <w:t> </w:t>
      </w:r>
      <w:r>
        <w:rPr>
          <w:color w:val="231F20"/>
          <w:w w:val="105"/>
        </w:rPr>
        <w:t>una</w:t>
      </w:r>
      <w:r>
        <w:rPr>
          <w:color w:val="231F20"/>
          <w:spacing w:val="-20"/>
          <w:w w:val="105"/>
        </w:rPr>
        <w:t> </w:t>
      </w:r>
      <w:r>
        <w:rPr>
          <w:color w:val="231F20"/>
          <w:w w:val="105"/>
        </w:rPr>
        <w:t>realidad</w:t>
      </w:r>
      <w:r>
        <w:rPr>
          <w:color w:val="231F20"/>
          <w:spacing w:val="-20"/>
          <w:w w:val="105"/>
        </w:rPr>
        <w:t> </w:t>
      </w:r>
      <w:r>
        <w:rPr>
          <w:color w:val="231F20"/>
          <w:w w:val="105"/>
        </w:rPr>
        <w:t>que</w:t>
      </w:r>
      <w:r>
        <w:rPr>
          <w:color w:val="231F20"/>
          <w:spacing w:val="-20"/>
          <w:w w:val="105"/>
        </w:rPr>
        <w:t> </w:t>
      </w:r>
      <w:r>
        <w:rPr>
          <w:color w:val="231F20"/>
          <w:w w:val="105"/>
        </w:rPr>
        <w:t>podría</w:t>
      </w:r>
      <w:r>
        <w:rPr>
          <w:color w:val="231F20"/>
          <w:spacing w:val="-20"/>
          <w:w w:val="105"/>
        </w:rPr>
        <w:t> </w:t>
      </w:r>
      <w:r>
        <w:rPr>
          <w:color w:val="231F20"/>
          <w:w w:val="105"/>
        </w:rPr>
        <w:t>ser</w:t>
      </w:r>
      <w:r>
        <w:rPr>
          <w:color w:val="231F20"/>
          <w:spacing w:val="-20"/>
          <w:w w:val="105"/>
        </w:rPr>
        <w:t> </w:t>
      </w:r>
      <w:r>
        <w:rPr>
          <w:color w:val="231F20"/>
          <w:w w:val="105"/>
        </w:rPr>
        <w:t>mucho</w:t>
      </w:r>
      <w:r>
        <w:rPr>
          <w:color w:val="231F20"/>
          <w:spacing w:val="-20"/>
          <w:w w:val="105"/>
        </w:rPr>
        <w:t> </w:t>
      </w:r>
      <w:r>
        <w:rPr>
          <w:color w:val="231F20"/>
          <w:spacing w:val="-4"/>
          <w:w w:val="105"/>
        </w:rPr>
        <w:t>peor,</w:t>
      </w:r>
      <w:r>
        <w:rPr>
          <w:color w:val="231F20"/>
          <w:spacing w:val="-20"/>
          <w:w w:val="105"/>
        </w:rPr>
        <w:t> </w:t>
      </w:r>
      <w:r>
        <w:rPr>
          <w:color w:val="231F20"/>
          <w:w w:val="105"/>
        </w:rPr>
        <w:t>o</w:t>
      </w:r>
      <w:r>
        <w:rPr>
          <w:color w:val="231F20"/>
          <w:spacing w:val="-20"/>
          <w:w w:val="105"/>
        </w:rPr>
        <w:t> </w:t>
      </w:r>
      <w:r>
        <w:rPr>
          <w:color w:val="231F20"/>
          <w:w w:val="105"/>
        </w:rPr>
        <w:t>que, a</w:t>
      </w:r>
      <w:r>
        <w:rPr>
          <w:color w:val="231F20"/>
          <w:spacing w:val="-19"/>
          <w:w w:val="105"/>
        </w:rPr>
        <w:t> </w:t>
      </w:r>
      <w:r>
        <w:rPr>
          <w:color w:val="231F20"/>
          <w:w w:val="105"/>
        </w:rPr>
        <w:t>la</w:t>
      </w:r>
      <w:r>
        <w:rPr>
          <w:color w:val="231F20"/>
          <w:spacing w:val="-19"/>
          <w:w w:val="105"/>
        </w:rPr>
        <w:t> </w:t>
      </w:r>
      <w:r>
        <w:rPr>
          <w:color w:val="231F20"/>
          <w:w w:val="105"/>
        </w:rPr>
        <w:t>manera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spacing w:val="-3"/>
          <w:w w:val="105"/>
        </w:rPr>
        <w:t>Teodicea</w:t>
      </w:r>
      <w:r>
        <w:rPr>
          <w:color w:val="231F20"/>
          <w:spacing w:val="-19"/>
          <w:w w:val="105"/>
        </w:rPr>
        <w:t> </w:t>
      </w:r>
      <w:r>
        <w:rPr>
          <w:color w:val="231F20"/>
          <w:w w:val="105"/>
        </w:rPr>
        <w:t>de</w:t>
      </w:r>
      <w:r>
        <w:rPr>
          <w:color w:val="231F20"/>
          <w:spacing w:val="-19"/>
          <w:w w:val="105"/>
        </w:rPr>
        <w:t> </w:t>
      </w:r>
      <w:r>
        <w:rPr>
          <w:color w:val="231F20"/>
          <w:w w:val="105"/>
        </w:rPr>
        <w:t>Leibniz,</w:t>
      </w:r>
      <w:r>
        <w:rPr>
          <w:color w:val="231F20"/>
          <w:spacing w:val="-19"/>
          <w:w w:val="105"/>
        </w:rPr>
        <w:t> </w:t>
      </w:r>
      <w:r>
        <w:rPr>
          <w:color w:val="231F20"/>
          <w:w w:val="105"/>
        </w:rPr>
        <w:t>resulta</w:t>
      </w:r>
      <w:r>
        <w:rPr>
          <w:color w:val="231F20"/>
          <w:spacing w:val="-19"/>
          <w:w w:val="105"/>
        </w:rPr>
        <w:t> </w:t>
      </w:r>
      <w:r>
        <w:rPr>
          <w:color w:val="231F20"/>
          <w:w w:val="105"/>
        </w:rPr>
        <w:t>ser</w:t>
      </w:r>
      <w:r>
        <w:rPr>
          <w:color w:val="231F20"/>
          <w:spacing w:val="-19"/>
          <w:w w:val="105"/>
        </w:rPr>
        <w:t> </w:t>
      </w:r>
      <w:r>
        <w:rPr>
          <w:color w:val="231F20"/>
          <w:w w:val="105"/>
        </w:rPr>
        <w:t>el</w:t>
      </w:r>
      <w:r>
        <w:rPr>
          <w:color w:val="231F20"/>
          <w:spacing w:val="-19"/>
          <w:w w:val="105"/>
        </w:rPr>
        <w:t> </w:t>
      </w:r>
      <w:r>
        <w:rPr>
          <w:color w:val="231F20"/>
          <w:w w:val="105"/>
        </w:rPr>
        <w:t>mejor</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mundos posibles,</w:t>
      </w:r>
      <w:r>
        <w:rPr>
          <w:color w:val="231F20"/>
          <w:spacing w:val="-19"/>
          <w:w w:val="105"/>
        </w:rPr>
        <w:t> </w:t>
      </w:r>
      <w:r>
        <w:rPr>
          <w:color w:val="231F20"/>
          <w:w w:val="105"/>
        </w:rPr>
        <w:t>pues</w:t>
      </w:r>
      <w:r>
        <w:rPr>
          <w:color w:val="231F20"/>
          <w:spacing w:val="-19"/>
          <w:w w:val="105"/>
        </w:rPr>
        <w:t> </w:t>
      </w:r>
      <w:r>
        <w:rPr>
          <w:color w:val="231F20"/>
          <w:w w:val="105"/>
        </w:rPr>
        <w:t>todo</w:t>
      </w:r>
      <w:r>
        <w:rPr>
          <w:color w:val="231F20"/>
          <w:spacing w:val="-19"/>
          <w:w w:val="105"/>
        </w:rPr>
        <w:t> </w:t>
      </w:r>
      <w:r>
        <w:rPr>
          <w:color w:val="231F20"/>
          <w:w w:val="105"/>
        </w:rPr>
        <w:t>el</w:t>
      </w:r>
      <w:r>
        <w:rPr>
          <w:color w:val="231F20"/>
          <w:spacing w:val="-19"/>
          <w:w w:val="105"/>
        </w:rPr>
        <w:t> </w:t>
      </w:r>
      <w:r>
        <w:rPr>
          <w:color w:val="231F20"/>
          <w:w w:val="105"/>
        </w:rPr>
        <w:t>mal</w:t>
      </w:r>
      <w:r>
        <w:rPr>
          <w:color w:val="231F20"/>
          <w:spacing w:val="-19"/>
          <w:w w:val="105"/>
        </w:rPr>
        <w:t> </w:t>
      </w:r>
      <w:r>
        <w:rPr>
          <w:color w:val="231F20"/>
          <w:w w:val="105"/>
        </w:rPr>
        <w:t>que</w:t>
      </w:r>
      <w:r>
        <w:rPr>
          <w:color w:val="231F20"/>
          <w:spacing w:val="-19"/>
          <w:w w:val="105"/>
        </w:rPr>
        <w:t> </w:t>
      </w:r>
      <w:r>
        <w:rPr>
          <w:color w:val="231F20"/>
          <w:w w:val="105"/>
        </w:rPr>
        <w:t>encontramos</w:t>
      </w:r>
      <w:r>
        <w:rPr>
          <w:color w:val="231F20"/>
          <w:spacing w:val="-19"/>
          <w:w w:val="105"/>
        </w:rPr>
        <w:t> </w:t>
      </w:r>
      <w:r>
        <w:rPr>
          <w:color w:val="231F20"/>
          <w:w w:val="105"/>
        </w:rPr>
        <w:t>en</w:t>
      </w:r>
      <w:r>
        <w:rPr>
          <w:color w:val="231F20"/>
          <w:spacing w:val="-19"/>
          <w:w w:val="105"/>
        </w:rPr>
        <w:t> </w:t>
      </w:r>
      <w:r>
        <w:rPr>
          <w:color w:val="231F20"/>
          <w:w w:val="105"/>
        </w:rPr>
        <w:t>él</w:t>
      </w:r>
      <w:r>
        <w:rPr>
          <w:color w:val="231F20"/>
          <w:spacing w:val="-19"/>
          <w:w w:val="105"/>
        </w:rPr>
        <w:t> </w:t>
      </w:r>
      <w:r>
        <w:rPr>
          <w:color w:val="231F20"/>
          <w:w w:val="105"/>
        </w:rPr>
        <w:t>estaría</w:t>
      </w:r>
      <w:r>
        <w:rPr>
          <w:color w:val="231F20"/>
          <w:spacing w:val="-19"/>
          <w:w w:val="105"/>
        </w:rPr>
        <w:t> </w:t>
      </w:r>
      <w:r>
        <w:rPr>
          <w:color w:val="231F20"/>
          <w:w w:val="105"/>
        </w:rPr>
        <w:t>dispuesto</w:t>
      </w:r>
      <w:r>
        <w:rPr>
          <w:color w:val="231F20"/>
          <w:spacing w:val="-19"/>
          <w:w w:val="105"/>
        </w:rPr>
        <w:t> </w:t>
      </w:r>
      <w:r>
        <w:rPr>
          <w:color w:val="231F20"/>
          <w:w w:val="105"/>
        </w:rPr>
        <w:t>hacia un</w:t>
      </w:r>
      <w:r>
        <w:rPr>
          <w:color w:val="231F20"/>
          <w:spacing w:val="-31"/>
          <w:w w:val="105"/>
        </w:rPr>
        <w:t> </w:t>
      </w:r>
      <w:r>
        <w:rPr>
          <w:color w:val="231F20"/>
          <w:w w:val="105"/>
        </w:rPr>
        <w:t>mayor</w:t>
      </w:r>
      <w:r>
        <w:rPr>
          <w:color w:val="231F20"/>
          <w:spacing w:val="-31"/>
          <w:w w:val="105"/>
        </w:rPr>
        <w:t> </w:t>
      </w:r>
      <w:r>
        <w:rPr>
          <w:color w:val="231F20"/>
          <w:w w:val="105"/>
        </w:rPr>
        <w:t>bien,</w:t>
      </w:r>
      <w:r>
        <w:rPr>
          <w:color w:val="231F20"/>
          <w:spacing w:val="-31"/>
          <w:w w:val="105"/>
        </w:rPr>
        <w:t> </w:t>
      </w:r>
      <w:r>
        <w:rPr>
          <w:color w:val="231F20"/>
          <w:w w:val="105"/>
        </w:rPr>
        <w:t>un</w:t>
      </w:r>
      <w:r>
        <w:rPr>
          <w:color w:val="231F20"/>
          <w:spacing w:val="-31"/>
          <w:w w:val="105"/>
        </w:rPr>
        <w:t> </w:t>
      </w:r>
      <w:r>
        <w:rPr>
          <w:color w:val="231F20"/>
          <w:w w:val="105"/>
        </w:rPr>
        <w:t>bien</w:t>
      </w:r>
      <w:r>
        <w:rPr>
          <w:color w:val="231F20"/>
          <w:spacing w:val="-31"/>
          <w:w w:val="105"/>
        </w:rPr>
        <w:t> </w:t>
      </w:r>
      <w:r>
        <w:rPr>
          <w:color w:val="231F20"/>
          <w:w w:val="105"/>
        </w:rPr>
        <w:t>que</w:t>
      </w:r>
      <w:r>
        <w:rPr>
          <w:color w:val="231F20"/>
          <w:spacing w:val="-31"/>
          <w:w w:val="105"/>
        </w:rPr>
        <w:t> </w:t>
      </w:r>
      <w:r>
        <w:rPr>
          <w:color w:val="231F20"/>
          <w:w w:val="105"/>
        </w:rPr>
        <w:t>nuestros</w:t>
      </w:r>
      <w:r>
        <w:rPr>
          <w:color w:val="231F20"/>
          <w:spacing w:val="-31"/>
          <w:w w:val="105"/>
        </w:rPr>
        <w:t> </w:t>
      </w:r>
      <w:r>
        <w:rPr>
          <w:color w:val="231F20"/>
          <w:w w:val="105"/>
        </w:rPr>
        <w:t>limitados</w:t>
      </w:r>
      <w:r>
        <w:rPr>
          <w:color w:val="231F20"/>
          <w:spacing w:val="-31"/>
          <w:w w:val="105"/>
        </w:rPr>
        <w:t> </w:t>
      </w:r>
      <w:r>
        <w:rPr>
          <w:color w:val="231F20"/>
          <w:w w:val="105"/>
        </w:rPr>
        <w:t>ojos</w:t>
      </w:r>
      <w:r>
        <w:rPr>
          <w:color w:val="231F20"/>
          <w:spacing w:val="-31"/>
          <w:w w:val="105"/>
        </w:rPr>
        <w:t> </w:t>
      </w:r>
      <w:r>
        <w:rPr>
          <w:color w:val="231F20"/>
          <w:w w:val="105"/>
        </w:rPr>
        <w:t>no</w:t>
      </w:r>
      <w:r>
        <w:rPr>
          <w:color w:val="231F20"/>
          <w:spacing w:val="-31"/>
          <w:w w:val="105"/>
        </w:rPr>
        <w:t> </w:t>
      </w:r>
      <w:r>
        <w:rPr>
          <w:color w:val="231F20"/>
          <w:w w:val="105"/>
        </w:rPr>
        <w:t>pueden</w:t>
      </w:r>
      <w:r>
        <w:rPr>
          <w:color w:val="231F20"/>
          <w:spacing w:val="-31"/>
          <w:w w:val="105"/>
        </w:rPr>
        <w:t> </w:t>
      </w:r>
      <w:r>
        <w:rPr>
          <w:color w:val="231F20"/>
          <w:spacing w:val="-5"/>
          <w:w w:val="105"/>
        </w:rPr>
        <w:t>ver.</w:t>
      </w:r>
    </w:p>
    <w:p>
      <w:pPr>
        <w:pStyle w:val="BodyText"/>
        <w:spacing w:line="247" w:lineRule="auto"/>
        <w:ind w:left="103" w:right="114" w:firstLine="566"/>
        <w:jc w:val="both"/>
      </w:pPr>
      <w:r>
        <w:rPr>
          <w:color w:val="231F20"/>
        </w:rPr>
        <w:t>La pregunta central ya no es ¿qué </w:t>
      </w:r>
      <w:r>
        <w:rPr>
          <w:color w:val="231F20"/>
          <w:spacing w:val="-4"/>
        </w:rPr>
        <w:t>hacer, </w:t>
      </w:r>
      <w:r>
        <w:rPr>
          <w:color w:val="231F20"/>
        </w:rPr>
        <w:t>optar por la homogeniza- ción o la heterogeneización?, ¿por la interpretación unificadora o por la que hace énfasis en el estallamiento de una infinidad de diferencias? Al- gunas de las respuestas a tal cuestión, —por ejemplo, la de Marramao</w:t>
      </w:r>
      <w:r>
        <w:rPr>
          <w:color w:val="231F20"/>
          <w:position w:val="7"/>
          <w:sz w:val="12"/>
        </w:rPr>
        <w:t>26</w:t>
      </w:r>
      <w:r>
        <w:rPr>
          <w:color w:val="231F20"/>
        </w:rPr>
        <w:t>—, han</w:t>
      </w:r>
      <w:r>
        <w:rPr>
          <w:color w:val="231F20"/>
          <w:spacing w:val="-7"/>
        </w:rPr>
        <w:t> </w:t>
      </w:r>
      <w:r>
        <w:rPr>
          <w:color w:val="231F20"/>
        </w:rPr>
        <w:t>optado</w:t>
      </w:r>
      <w:r>
        <w:rPr>
          <w:color w:val="231F20"/>
          <w:spacing w:val="-7"/>
        </w:rPr>
        <w:t> </w:t>
      </w:r>
      <w:r>
        <w:rPr>
          <w:color w:val="231F20"/>
        </w:rPr>
        <w:t>por</w:t>
      </w:r>
      <w:r>
        <w:rPr>
          <w:color w:val="231F20"/>
          <w:spacing w:val="-7"/>
        </w:rPr>
        <w:t> </w:t>
      </w:r>
      <w:r>
        <w:rPr>
          <w:color w:val="231F20"/>
        </w:rPr>
        <w:t>no</w:t>
      </w:r>
      <w:r>
        <w:rPr>
          <w:color w:val="231F20"/>
          <w:spacing w:val="-7"/>
        </w:rPr>
        <w:t> </w:t>
      </w:r>
      <w:r>
        <w:rPr>
          <w:color w:val="231F20"/>
        </w:rPr>
        <w:t>elegir</w:t>
      </w:r>
      <w:r>
        <w:rPr>
          <w:color w:val="231F20"/>
          <w:spacing w:val="-7"/>
        </w:rPr>
        <w:t> </w:t>
      </w:r>
      <w:r>
        <w:rPr>
          <w:color w:val="231F20"/>
        </w:rPr>
        <w:t>ni</w:t>
      </w:r>
      <w:r>
        <w:rPr>
          <w:color w:val="231F20"/>
          <w:spacing w:val="-7"/>
        </w:rPr>
        <w:t> </w:t>
      </w:r>
      <w:r>
        <w:rPr>
          <w:color w:val="231F20"/>
        </w:rPr>
        <w:t>una</w:t>
      </w:r>
      <w:r>
        <w:rPr>
          <w:color w:val="231F20"/>
          <w:spacing w:val="-7"/>
        </w:rPr>
        <w:t> </w:t>
      </w:r>
      <w:r>
        <w:rPr>
          <w:color w:val="231F20"/>
        </w:rPr>
        <w:t>ni</w:t>
      </w:r>
      <w:r>
        <w:rPr>
          <w:color w:val="231F20"/>
          <w:spacing w:val="-7"/>
        </w:rPr>
        <w:t> </w:t>
      </w:r>
      <w:r>
        <w:rPr>
          <w:color w:val="231F20"/>
        </w:rPr>
        <w:t>otra,</w:t>
      </w:r>
      <w:r>
        <w:rPr>
          <w:color w:val="231F20"/>
          <w:spacing w:val="-7"/>
        </w:rPr>
        <w:t> </w:t>
      </w:r>
      <w:r>
        <w:rPr>
          <w:color w:val="231F20"/>
        </w:rPr>
        <w:t>sino</w:t>
      </w:r>
      <w:r>
        <w:rPr>
          <w:color w:val="231F20"/>
          <w:spacing w:val="-7"/>
        </w:rPr>
        <w:t> </w:t>
      </w:r>
      <w:r>
        <w:rPr>
          <w:color w:val="231F20"/>
        </w:rPr>
        <w:t>las</w:t>
      </w:r>
      <w:r>
        <w:rPr>
          <w:color w:val="231F20"/>
          <w:spacing w:val="-7"/>
        </w:rPr>
        <w:t> </w:t>
      </w:r>
      <w:r>
        <w:rPr>
          <w:color w:val="231F20"/>
        </w:rPr>
        <w:t>dos,</w:t>
      </w:r>
      <w:r>
        <w:rPr>
          <w:color w:val="231F20"/>
          <w:spacing w:val="-7"/>
        </w:rPr>
        <w:t> </w:t>
      </w:r>
      <w:r>
        <w:rPr>
          <w:color w:val="231F20"/>
        </w:rPr>
        <w:t>por</w:t>
      </w:r>
      <w:r>
        <w:rPr>
          <w:color w:val="231F20"/>
          <w:spacing w:val="-7"/>
        </w:rPr>
        <w:t> </w:t>
      </w:r>
      <w:r>
        <w:rPr>
          <w:color w:val="231F20"/>
        </w:rPr>
        <w:t>afirmar</w:t>
      </w:r>
      <w:r>
        <w:rPr>
          <w:color w:val="231F20"/>
          <w:spacing w:val="-7"/>
        </w:rPr>
        <w:t> </w:t>
      </w:r>
      <w:r>
        <w:rPr>
          <w:color w:val="231F20"/>
        </w:rPr>
        <w:t>el</w:t>
      </w:r>
      <w:r>
        <w:rPr>
          <w:color w:val="231F20"/>
          <w:spacing w:val="-7"/>
        </w:rPr>
        <w:t> </w:t>
      </w:r>
      <w:r>
        <w:rPr>
          <w:color w:val="231F20"/>
        </w:rPr>
        <w:t>carácter paradójico de la respuesta: las dos a la vez, homogeneización y heteroge- neización simultáneamente. Nosotros también optamos por esta respues- ta, sin embargo, creemos que sobre ella se alza una pregunta más impor- tante: si habremos de aceptarlas ¿qué hacemos con estas paradojas?,</w:t>
      </w:r>
      <w:r>
        <w:rPr>
          <w:color w:val="231F20"/>
          <w:spacing w:val="-13"/>
        </w:rPr>
        <w:t> </w:t>
      </w:r>
      <w:r>
        <w:rPr>
          <w:color w:val="231F20"/>
        </w:rPr>
        <w:t>¿las naturalizamos, y por ende, las volvemos incluyentes, o las</w:t>
      </w:r>
      <w:r>
        <w:rPr>
          <w:color w:val="231F20"/>
          <w:spacing w:val="59"/>
        </w:rPr>
        <w:t> </w:t>
      </w:r>
      <w:r>
        <w:rPr>
          <w:color w:val="231F20"/>
        </w:rPr>
        <w:t>radicalizamos?,</w:t>
      </w:r>
    </w:p>
    <w:p>
      <w:pPr>
        <w:pStyle w:val="BodyText"/>
        <w:spacing w:line="247" w:lineRule="auto"/>
        <w:ind w:left="103" w:right="115"/>
        <w:jc w:val="both"/>
      </w:pPr>
      <w:r>
        <w:rPr>
          <w:color w:val="231F20"/>
        </w:rPr>
        <w:t>¿las volvemos amables, o afirmamos su carácter irresoluble e indecidible? La respuesta que queremos esbozar a continuación toma como motivo el pensamiento de Gilles Deleuze —y también de Félix Guattari—; en su pro- puesta, la única manera de permanecer críticos y alerta frente a la globa- lización y el capitalismo, y evitar efectivamente una homogeneización del mundo, es rechazar la naturalización de sus paradojas, es decir, evitar ver en ellas contradicciones incluyentes que terminarían haciendo de lo global y lo local opuestos complementarios; lo que ellos proponen, antes bien, es afirmar su carácter irresoluble: que uno no se resuelve ni se disuelve en el otro. Sin duda, los términos de la contradicción permanecen relacionados, pero no son reducibles entre sí; permanecen afirmando su diferencia, una que no es ni sustancial ni permanente, sino siempre relacional.</w:t>
      </w:r>
    </w:p>
    <w:p>
      <w:pPr>
        <w:pStyle w:val="BodyText"/>
        <w:rPr>
          <w:sz w:val="20"/>
        </w:rPr>
      </w:pPr>
    </w:p>
    <w:p>
      <w:pPr>
        <w:pStyle w:val="BodyText"/>
        <w:rPr>
          <w:sz w:val="20"/>
        </w:rPr>
      </w:pPr>
    </w:p>
    <w:p>
      <w:pPr>
        <w:pStyle w:val="BodyText"/>
        <w:spacing w:before="12"/>
        <w:rPr>
          <w:sz w:val="19"/>
        </w:rPr>
      </w:pPr>
      <w:r>
        <w:rPr/>
        <w:pict>
          <v:line style="position:absolute;mso-position-horizontal-relative:page;mso-position-vertical-relative:paragraph;z-index:4408;mso-wrap-distance-left:0;mso-wrap-distance-right:0" from="65.1968pt,14.16636pt" to="178.5828pt,14.16636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position w:val="6"/>
          <w:sz w:val="10"/>
        </w:rPr>
        <w:t>25 </w:t>
      </w:r>
      <w:r>
        <w:rPr>
          <w:rFonts w:ascii="Calibri" w:hAnsi="Calibri"/>
          <w:color w:val="231F20"/>
          <w:sz w:val="17"/>
        </w:rPr>
        <w:t>R. Simone, </w:t>
      </w:r>
      <w:r>
        <w:rPr>
          <w:rFonts w:ascii="Calibri" w:hAnsi="Calibri"/>
          <w:i/>
          <w:color w:val="231F20"/>
          <w:sz w:val="17"/>
        </w:rPr>
        <w:t>El monstruo amable</w:t>
      </w:r>
      <w:r>
        <w:rPr>
          <w:rFonts w:ascii="Calibri" w:hAnsi="Calibri"/>
          <w:color w:val="231F20"/>
          <w:sz w:val="17"/>
        </w:rPr>
        <w:t>, México, Taurus, 2011.</w:t>
      </w:r>
    </w:p>
    <w:p>
      <w:pPr>
        <w:spacing w:line="206" w:lineRule="exact" w:before="0"/>
        <w:ind w:left="103" w:right="0" w:firstLine="0"/>
        <w:jc w:val="left"/>
        <w:rPr>
          <w:rFonts w:ascii="Calibri"/>
          <w:sz w:val="17"/>
        </w:rPr>
      </w:pPr>
      <w:r>
        <w:rPr>
          <w:rFonts w:ascii="Calibri"/>
          <w:color w:val="231F20"/>
          <w:position w:val="6"/>
          <w:sz w:val="10"/>
        </w:rPr>
        <w:t>26  </w:t>
      </w:r>
      <w:r>
        <w:rPr>
          <w:rFonts w:ascii="Calibri"/>
          <w:i/>
          <w:color w:val="231F20"/>
          <w:sz w:val="17"/>
        </w:rPr>
        <w:t>Cfr. </w:t>
      </w:r>
      <w:r>
        <w:rPr>
          <w:rFonts w:ascii="Calibri"/>
          <w:color w:val="231F20"/>
          <w:sz w:val="17"/>
        </w:rPr>
        <w:t>Marramao, </w:t>
      </w:r>
      <w:r>
        <w:rPr>
          <w:rFonts w:ascii="Calibri"/>
          <w:i/>
          <w:color w:val="231F20"/>
          <w:sz w:val="17"/>
        </w:rPr>
        <w:t>Pasaje a Occidente</w:t>
      </w:r>
      <w:r>
        <w:rPr>
          <w:rFonts w:ascii="Calibri"/>
          <w:color w:val="231F20"/>
          <w:sz w:val="17"/>
        </w:rPr>
        <w:t>.</w:t>
      </w:r>
    </w:p>
    <w:p>
      <w:pPr>
        <w:pStyle w:val="BodyText"/>
        <w:rPr>
          <w:rFonts w:ascii="Calibri"/>
          <w:sz w:val="20"/>
        </w:rPr>
      </w:pPr>
    </w:p>
    <w:p>
      <w:pPr>
        <w:pStyle w:val="BodyText"/>
        <w:spacing w:before="9"/>
        <w:rPr>
          <w:rFonts w:ascii="Calibri"/>
          <w:sz w:val="27"/>
        </w:rPr>
      </w:pPr>
    </w:p>
    <w:p>
      <w:pPr>
        <w:tabs>
          <w:tab w:pos="1331" w:val="left" w:leader="none"/>
        </w:tabs>
        <w:spacing w:before="68"/>
        <w:ind w:left="281" w:right="0" w:firstLine="0"/>
        <w:jc w:val="left"/>
        <w:rPr>
          <w:rFonts w:ascii="Calibri" w:hAnsi="Calibri"/>
          <w:sz w:val="16"/>
        </w:rPr>
      </w:pPr>
      <w:r>
        <w:rPr/>
        <w:pict>
          <v:group style="position:absolute;margin-left:98.787804pt;margin-top:-3.358812pt;width:20.4pt;height:43pt;mso-position-horizontal-relative:page;mso-position-vertical-relative:paragraph;z-index:-170968"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hAnsi="Arial"/>
          <w:color w:val="414042"/>
          <w:position w:val="-4"/>
          <w:sz w:val="20"/>
        </w:rPr>
        <w:t>76</w:t>
        <w:tab/>
      </w:r>
      <w:r>
        <w:rPr>
          <w:rFonts w:ascii="Calibri" w:hAnsi="Calibri"/>
          <w:color w:val="6D6E71"/>
          <w:sz w:val="16"/>
        </w:rPr>
        <w:t>María Luisa Bacarlett</w:t>
      </w:r>
      <w:r>
        <w:rPr>
          <w:rFonts w:ascii="Calibri" w:hAnsi="Calibri"/>
          <w:color w:val="6D6E71"/>
          <w:spacing w:val="33"/>
          <w:sz w:val="16"/>
        </w:rPr>
        <w:t> </w:t>
      </w:r>
      <w:r>
        <w:rPr>
          <w:rFonts w:ascii="Calibri" w:hAnsi="Calibri"/>
          <w:color w:val="6D6E71"/>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335" w:right="0" w:firstLine="0"/>
        <w:jc w:val="left"/>
        <w:rPr>
          <w:rFonts w:ascii="Arial" w:hAnsi="Arial"/>
          <w:sz w:val="20"/>
        </w:rPr>
      </w:pPr>
      <w:r>
        <w:rPr/>
        <w:pict>
          <v:group style="position:absolute;margin-left:383.821014pt;margin-top:-25.479271pt;width:8.65pt;height:41pt;mso-position-horizontal-relative:page;mso-position-vertical-relative:paragraph;z-index:-17092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NATURALIZAR</w:t>
      </w:r>
      <w:r>
        <w:rPr>
          <w:rFonts w:ascii="Lucida Sans Unicode" w:hAnsi="Lucida Sans Unicode"/>
          <w:color w:val="6D6E71"/>
          <w:spacing w:val="-19"/>
          <w:w w:val="95"/>
          <w:sz w:val="14"/>
        </w:rPr>
        <w:t> </w:t>
      </w:r>
      <w:r>
        <w:rPr>
          <w:rFonts w:ascii="Lucida Sans Unicode" w:hAnsi="Lucida Sans Unicode"/>
          <w:color w:val="6D6E71"/>
          <w:w w:val="95"/>
          <w:sz w:val="14"/>
        </w:rPr>
        <w:t>LAS</w:t>
      </w:r>
      <w:r>
        <w:rPr>
          <w:rFonts w:ascii="Lucida Sans Unicode" w:hAnsi="Lucida Sans Unicode"/>
          <w:color w:val="6D6E71"/>
          <w:spacing w:val="-19"/>
          <w:w w:val="95"/>
          <w:sz w:val="14"/>
        </w:rPr>
        <w:t> </w:t>
      </w:r>
      <w:r>
        <w:rPr>
          <w:rFonts w:ascii="Lucida Sans Unicode" w:hAnsi="Lucida Sans Unicode"/>
          <w:color w:val="6D6E71"/>
          <w:w w:val="95"/>
          <w:sz w:val="14"/>
        </w:rPr>
        <w:t>PARADOJAS:</w:t>
      </w:r>
      <w:r>
        <w:rPr>
          <w:rFonts w:ascii="Lucida Sans Unicode" w:hAnsi="Lucida Sans Unicode"/>
          <w:color w:val="6D6E71"/>
          <w:spacing w:val="-19"/>
          <w:w w:val="95"/>
          <w:sz w:val="14"/>
        </w:rPr>
        <w:t> </w:t>
      </w:r>
      <w:r>
        <w:rPr>
          <w:rFonts w:ascii="Lucida Sans Unicode" w:hAnsi="Lucida Sans Unicode"/>
          <w:color w:val="6D6E71"/>
          <w:w w:val="95"/>
          <w:sz w:val="14"/>
        </w:rPr>
        <w:t>UN</w:t>
      </w:r>
      <w:r>
        <w:rPr>
          <w:rFonts w:ascii="Lucida Sans Unicode" w:hAnsi="Lucida Sans Unicode"/>
          <w:color w:val="6D6E71"/>
          <w:spacing w:val="-19"/>
          <w:w w:val="95"/>
          <w:sz w:val="14"/>
        </w:rPr>
        <w:t> </w:t>
      </w:r>
      <w:r>
        <w:rPr>
          <w:rFonts w:ascii="Lucida Sans Unicode" w:hAnsi="Lucida Sans Unicode"/>
          <w:color w:val="6D6E71"/>
          <w:w w:val="95"/>
          <w:sz w:val="14"/>
        </w:rPr>
        <w:t>ACERCAMIENTO</w:t>
      </w:r>
      <w:r>
        <w:rPr>
          <w:rFonts w:ascii="Lucida Sans Unicode" w:hAnsi="Lucida Sans Unicode"/>
          <w:color w:val="6D6E71"/>
          <w:spacing w:val="-19"/>
          <w:w w:val="95"/>
          <w:sz w:val="14"/>
        </w:rPr>
        <w:t> </w:t>
      </w:r>
      <w:r>
        <w:rPr>
          <w:rFonts w:ascii="Lucida Sans Unicode" w:hAnsi="Lucida Sans Unicode"/>
          <w:color w:val="6D6E71"/>
          <w:w w:val="95"/>
          <w:sz w:val="14"/>
        </w:rPr>
        <w:t>A</w:t>
      </w:r>
      <w:r>
        <w:rPr>
          <w:rFonts w:ascii="Lucida Sans Unicode" w:hAnsi="Lucida Sans Unicode"/>
          <w:color w:val="6D6E71"/>
          <w:spacing w:val="-19"/>
          <w:w w:val="95"/>
          <w:sz w:val="14"/>
        </w:rPr>
        <w:t> </w:t>
      </w:r>
      <w:r>
        <w:rPr>
          <w:rFonts w:ascii="Lucida Sans Unicode" w:hAnsi="Lucida Sans Unicode"/>
          <w:color w:val="6D6E71"/>
          <w:w w:val="95"/>
          <w:sz w:val="14"/>
        </w:rPr>
        <w:t>LA</w:t>
      </w:r>
      <w:r>
        <w:rPr>
          <w:rFonts w:ascii="Lucida Sans Unicode" w:hAnsi="Lucida Sans Unicode"/>
          <w:color w:val="6D6E71"/>
          <w:spacing w:val="-19"/>
          <w:w w:val="95"/>
          <w:sz w:val="14"/>
        </w:rPr>
        <w:t> </w:t>
      </w:r>
      <w:r>
        <w:rPr>
          <w:rFonts w:ascii="Lucida Sans Unicode" w:hAnsi="Lucida Sans Unicode"/>
          <w:color w:val="6D6E71"/>
          <w:w w:val="95"/>
          <w:sz w:val="14"/>
        </w:rPr>
        <w:t>GLOBALIZACIÓN</w:t>
      </w:r>
      <w:r>
        <w:rPr>
          <w:rFonts w:ascii="Lucida Sans Unicode" w:hAnsi="Lucida Sans Unicode"/>
          <w:color w:val="6D6E71"/>
          <w:spacing w:val="-19"/>
          <w:w w:val="95"/>
          <w:sz w:val="14"/>
        </w:rPr>
        <w:t> </w:t>
      </w:r>
      <w:r>
        <w:rPr>
          <w:rFonts w:ascii="Lucida Sans Unicode" w:hAnsi="Lucida Sans Unicode"/>
          <w:color w:val="6D6E71"/>
          <w:w w:val="95"/>
          <w:sz w:val="14"/>
        </w:rPr>
        <w:t>DESDE</w:t>
      </w:r>
      <w:r>
        <w:rPr>
          <w:rFonts w:ascii="Lucida Sans Unicode" w:hAnsi="Lucida Sans Unicode"/>
          <w:color w:val="6D6E71"/>
          <w:spacing w:val="-19"/>
          <w:w w:val="95"/>
          <w:sz w:val="14"/>
        </w:rPr>
        <w:t> </w:t>
      </w:r>
      <w:r>
        <w:rPr>
          <w:rFonts w:ascii="Lucida Sans Unicode" w:hAnsi="Lucida Sans Unicode"/>
          <w:color w:val="6D6E71"/>
          <w:w w:val="95"/>
          <w:sz w:val="14"/>
        </w:rPr>
        <w:t>GILLES</w:t>
      </w:r>
      <w:r>
        <w:rPr>
          <w:rFonts w:ascii="Lucida Sans Unicode" w:hAnsi="Lucida Sans Unicode"/>
          <w:color w:val="6D6E71"/>
          <w:spacing w:val="-19"/>
          <w:w w:val="95"/>
          <w:sz w:val="14"/>
        </w:rPr>
        <w:t> </w:t>
      </w:r>
      <w:r>
        <w:rPr>
          <w:rFonts w:ascii="Lucida Sans Unicode" w:hAnsi="Lucida Sans Unicode"/>
          <w:color w:val="6D6E71"/>
          <w:w w:val="95"/>
          <w:sz w:val="14"/>
        </w:rPr>
        <w:t>DELEUZE</w:t>
      </w:r>
      <w:r>
        <w:rPr>
          <w:rFonts w:ascii="Arial" w:hAnsi="Arial"/>
          <w:color w:val="414042"/>
          <w:w w:val="95"/>
          <w:position w:val="-3"/>
          <w:sz w:val="20"/>
        </w:rPr>
        <w:tab/>
        <w:t>77</w:t>
      </w:r>
    </w:p>
    <w:p>
      <w:pPr>
        <w:pStyle w:val="BodyText"/>
        <w:rPr>
          <w:rFonts w:ascii="Arial"/>
          <w:sz w:val="20"/>
        </w:rPr>
      </w:pPr>
    </w:p>
    <w:p>
      <w:pPr>
        <w:pStyle w:val="BodyText"/>
        <w:rPr>
          <w:rFonts w:ascii="Arial"/>
          <w:sz w:val="20"/>
        </w:rPr>
      </w:pPr>
    </w:p>
    <w:p>
      <w:pPr>
        <w:spacing w:before="176"/>
        <w:ind w:left="117" w:right="0" w:firstLine="0"/>
        <w:jc w:val="both"/>
        <w:rPr>
          <w:rFonts w:ascii="Arial"/>
          <w:i/>
          <w:sz w:val="21"/>
        </w:rPr>
      </w:pPr>
      <w:r>
        <w:rPr>
          <w:rFonts w:ascii="Arial"/>
          <w:i/>
          <w:color w:val="231F20"/>
          <w:sz w:val="21"/>
        </w:rPr>
        <w:t>Un monstruo amable e</w:t>
      </w:r>
      <w:r>
        <w:rPr>
          <w:rFonts w:ascii="Arial"/>
          <w:i/>
          <w:color w:val="231F20"/>
          <w:spacing w:val="57"/>
          <w:sz w:val="21"/>
        </w:rPr>
        <w:t> </w:t>
      </w:r>
      <w:r>
        <w:rPr>
          <w:rFonts w:ascii="Arial"/>
          <w:i/>
          <w:color w:val="231F20"/>
          <w:sz w:val="21"/>
        </w:rPr>
        <w:t>incluyente</w:t>
      </w:r>
    </w:p>
    <w:p>
      <w:pPr>
        <w:pStyle w:val="BodyText"/>
        <w:rPr>
          <w:rFonts w:ascii="Arial"/>
          <w:i/>
          <w:sz w:val="20"/>
        </w:rPr>
      </w:pPr>
    </w:p>
    <w:p>
      <w:pPr>
        <w:pStyle w:val="BodyText"/>
        <w:spacing w:line="247" w:lineRule="auto" w:before="172"/>
        <w:ind w:left="117" w:right="101"/>
        <w:jc w:val="both"/>
      </w:pPr>
      <w:r>
        <w:rPr>
          <w:color w:val="231F20"/>
        </w:rPr>
        <w:t>El carácter </w:t>
      </w:r>
      <w:r>
        <w:rPr>
          <w:color w:val="231F20"/>
          <w:spacing w:val="-3"/>
        </w:rPr>
        <w:t>autorregenerador </w:t>
      </w:r>
      <w:r>
        <w:rPr>
          <w:color w:val="231F20"/>
        </w:rPr>
        <w:t>del capitalismo no es un tema nuevo, ya </w:t>
      </w:r>
      <w:r>
        <w:rPr>
          <w:color w:val="231F20"/>
          <w:spacing w:val="-5"/>
        </w:rPr>
        <w:t>Car- </w:t>
      </w:r>
      <w:r>
        <w:rPr>
          <w:color w:val="231F20"/>
        </w:rPr>
        <w:t>los Marx hacía énfasis en la enorme capacidad que tiene éste no sólo de </w:t>
      </w:r>
      <w:r>
        <w:rPr>
          <w:color w:val="231F20"/>
          <w:spacing w:val="-3"/>
        </w:rPr>
        <w:t>regenerarse, </w:t>
      </w:r>
      <w:r>
        <w:rPr>
          <w:color w:val="231F20"/>
        </w:rPr>
        <w:t>sino de tomar nuevos impulsos de sus crisis. Esta </w:t>
      </w:r>
      <w:r>
        <w:rPr>
          <w:color w:val="231F20"/>
          <w:spacing w:val="-3"/>
        </w:rPr>
        <w:t>sombrosa </w:t>
      </w:r>
      <w:r>
        <w:rPr>
          <w:color w:val="231F20"/>
        </w:rPr>
        <w:t>capacidad de </w:t>
      </w:r>
      <w:r>
        <w:rPr>
          <w:color w:val="231F20"/>
          <w:spacing w:val="-3"/>
        </w:rPr>
        <w:t>restablecimiento, </w:t>
      </w:r>
      <w:r>
        <w:rPr>
          <w:color w:val="231F20"/>
        </w:rPr>
        <w:t>así como de </w:t>
      </w:r>
      <w:r>
        <w:rPr>
          <w:color w:val="231F20"/>
          <w:spacing w:val="-3"/>
        </w:rPr>
        <w:t>parecer </w:t>
      </w:r>
      <w:r>
        <w:rPr>
          <w:color w:val="231F20"/>
        </w:rPr>
        <w:t>amigable e incluyente, fue también un tópico central en algunos trabajos de Herbert </w:t>
      </w:r>
      <w:r>
        <w:rPr>
          <w:color w:val="231F20"/>
          <w:spacing w:val="-3"/>
        </w:rPr>
        <w:t>Marcuse </w:t>
      </w:r>
      <w:r>
        <w:rPr>
          <w:color w:val="231F20"/>
        </w:rPr>
        <w:t>y  de</w:t>
      </w:r>
      <w:r>
        <w:rPr>
          <w:color w:val="231F20"/>
          <w:spacing w:val="-12"/>
        </w:rPr>
        <w:t> </w:t>
      </w:r>
      <w:r>
        <w:rPr>
          <w:color w:val="231F20"/>
        </w:rPr>
        <w:t>Pier</w:t>
      </w:r>
      <w:r>
        <w:rPr>
          <w:color w:val="231F20"/>
          <w:spacing w:val="-12"/>
        </w:rPr>
        <w:t> </w:t>
      </w:r>
      <w:r>
        <w:rPr>
          <w:color w:val="231F20"/>
        </w:rPr>
        <w:t>Paolo</w:t>
      </w:r>
      <w:r>
        <w:rPr>
          <w:color w:val="231F20"/>
          <w:spacing w:val="-12"/>
        </w:rPr>
        <w:t> </w:t>
      </w:r>
      <w:r>
        <w:rPr>
          <w:color w:val="231F20"/>
        </w:rPr>
        <w:t>Pasolini,</w:t>
      </w:r>
      <w:r>
        <w:rPr>
          <w:color w:val="231F20"/>
          <w:spacing w:val="-12"/>
        </w:rPr>
        <w:t> </w:t>
      </w:r>
      <w:r>
        <w:rPr>
          <w:color w:val="231F20"/>
        </w:rPr>
        <w:t>en</w:t>
      </w:r>
      <w:r>
        <w:rPr>
          <w:color w:val="231F20"/>
          <w:spacing w:val="-12"/>
        </w:rPr>
        <w:t> </w:t>
      </w:r>
      <w:r>
        <w:rPr>
          <w:color w:val="231F20"/>
        </w:rPr>
        <w:t>textos</w:t>
      </w:r>
      <w:r>
        <w:rPr>
          <w:color w:val="231F20"/>
          <w:spacing w:val="-12"/>
        </w:rPr>
        <w:t> </w:t>
      </w:r>
      <w:r>
        <w:rPr>
          <w:color w:val="231F20"/>
        </w:rPr>
        <w:t>como</w:t>
      </w:r>
      <w:r>
        <w:rPr>
          <w:color w:val="231F20"/>
          <w:spacing w:val="-12"/>
        </w:rPr>
        <w:t> </w:t>
      </w:r>
      <w:r>
        <w:rPr>
          <w:rFonts w:ascii="Arial" w:hAnsi="Arial"/>
          <w:i/>
          <w:color w:val="231F20"/>
        </w:rPr>
        <w:t>El</w:t>
      </w:r>
      <w:r>
        <w:rPr>
          <w:rFonts w:ascii="Arial" w:hAnsi="Arial"/>
          <w:i/>
          <w:color w:val="231F20"/>
          <w:spacing w:val="-4"/>
        </w:rPr>
        <w:t> </w:t>
      </w:r>
      <w:r>
        <w:rPr>
          <w:rFonts w:ascii="Arial" w:hAnsi="Arial"/>
          <w:i/>
          <w:color w:val="231F20"/>
          <w:spacing w:val="-3"/>
        </w:rPr>
        <w:t>hombre</w:t>
      </w:r>
      <w:r>
        <w:rPr>
          <w:rFonts w:ascii="Arial" w:hAnsi="Arial"/>
          <w:i/>
          <w:color w:val="231F20"/>
          <w:spacing w:val="-5"/>
        </w:rPr>
        <w:t> </w:t>
      </w:r>
      <w:r>
        <w:rPr>
          <w:rFonts w:ascii="Arial" w:hAnsi="Arial"/>
          <w:i/>
          <w:color w:val="231F20"/>
        </w:rPr>
        <w:t>unidimensional</w:t>
      </w:r>
      <w:r>
        <w:rPr>
          <w:rFonts w:ascii="Arial" w:hAnsi="Arial"/>
          <w:i/>
          <w:color w:val="231F20"/>
          <w:spacing w:val="-4"/>
        </w:rPr>
        <w:t> </w:t>
      </w:r>
      <w:r>
        <w:rPr>
          <w:rFonts w:ascii="Arial" w:hAnsi="Arial"/>
          <w:i/>
          <w:color w:val="231F20"/>
        </w:rPr>
        <w:t>y</w:t>
      </w:r>
      <w:r>
        <w:rPr>
          <w:rFonts w:ascii="Arial" w:hAnsi="Arial"/>
          <w:i/>
          <w:color w:val="231F20"/>
          <w:spacing w:val="-5"/>
        </w:rPr>
        <w:t> </w:t>
      </w:r>
      <w:r>
        <w:rPr>
          <w:rFonts w:ascii="Arial" w:hAnsi="Arial"/>
          <w:i/>
          <w:color w:val="231F20"/>
        </w:rPr>
        <w:t>Escritos </w:t>
      </w:r>
      <w:r>
        <w:rPr>
          <w:rFonts w:ascii="Arial" w:hAnsi="Arial"/>
          <w:i/>
          <w:color w:val="231F20"/>
        </w:rPr>
        <w:t>corsarios</w:t>
      </w:r>
      <w:r>
        <w:rPr>
          <w:rFonts w:ascii="Calibri" w:hAnsi="Calibri"/>
          <w:i/>
          <w:color w:val="231F20"/>
          <w:position w:val="7"/>
          <w:sz w:val="12"/>
        </w:rPr>
        <w:t>27</w:t>
      </w:r>
      <w:r>
        <w:rPr>
          <w:color w:val="231F20"/>
        </w:rPr>
        <w:t>, respectivamente. Para el </w:t>
      </w:r>
      <w:r>
        <w:rPr>
          <w:color w:val="231F20"/>
          <w:spacing w:val="-3"/>
        </w:rPr>
        <w:t>primero, </w:t>
      </w:r>
      <w:r>
        <w:rPr>
          <w:color w:val="231F20"/>
        </w:rPr>
        <w:t>por ejemplo, quedaba </w:t>
      </w:r>
      <w:r>
        <w:rPr>
          <w:color w:val="231F20"/>
          <w:spacing w:val="-3"/>
        </w:rPr>
        <w:t>claro </w:t>
      </w:r>
      <w:r>
        <w:rPr>
          <w:color w:val="231F20"/>
        </w:rPr>
        <w:t>que “La conquista tecnológica y política de los </w:t>
      </w:r>
      <w:r>
        <w:rPr>
          <w:color w:val="231F20"/>
          <w:spacing w:val="-3"/>
        </w:rPr>
        <w:t>factores </w:t>
      </w:r>
      <w:r>
        <w:rPr>
          <w:color w:val="231F20"/>
        </w:rPr>
        <w:t>trascendentes en  la</w:t>
      </w:r>
      <w:r>
        <w:rPr>
          <w:color w:val="231F20"/>
          <w:spacing w:val="-29"/>
        </w:rPr>
        <w:t> </w:t>
      </w:r>
      <w:r>
        <w:rPr>
          <w:color w:val="231F20"/>
        </w:rPr>
        <w:t>existencia</w:t>
      </w:r>
      <w:r>
        <w:rPr>
          <w:color w:val="231F20"/>
          <w:spacing w:val="-29"/>
        </w:rPr>
        <w:t> </w:t>
      </w:r>
      <w:r>
        <w:rPr>
          <w:color w:val="231F20"/>
        </w:rPr>
        <w:t>humana,</w:t>
      </w:r>
      <w:r>
        <w:rPr>
          <w:color w:val="231F20"/>
          <w:spacing w:val="-29"/>
        </w:rPr>
        <w:t> </w:t>
      </w:r>
      <w:r>
        <w:rPr>
          <w:color w:val="231F20"/>
        </w:rPr>
        <w:t>tan</w:t>
      </w:r>
      <w:r>
        <w:rPr>
          <w:color w:val="231F20"/>
          <w:spacing w:val="-29"/>
        </w:rPr>
        <w:t> </w:t>
      </w:r>
      <w:r>
        <w:rPr>
          <w:color w:val="231F20"/>
        </w:rPr>
        <w:t>característica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civilización</w:t>
      </w:r>
      <w:r>
        <w:rPr>
          <w:color w:val="231F20"/>
          <w:spacing w:val="-29"/>
        </w:rPr>
        <w:t> </w:t>
      </w:r>
      <w:r>
        <w:rPr>
          <w:color w:val="231F20"/>
        </w:rPr>
        <w:t>industrial</w:t>
      </w:r>
      <w:r>
        <w:rPr>
          <w:color w:val="231F20"/>
          <w:spacing w:val="-29"/>
        </w:rPr>
        <w:t> </w:t>
      </w:r>
      <w:r>
        <w:rPr>
          <w:color w:val="231F20"/>
        </w:rPr>
        <w:t>avanzada, se</w:t>
      </w:r>
      <w:r>
        <w:rPr>
          <w:color w:val="231F20"/>
          <w:spacing w:val="-12"/>
        </w:rPr>
        <w:t> </w:t>
      </w:r>
      <w:r>
        <w:rPr>
          <w:color w:val="231F20"/>
        </w:rPr>
        <w:t>afirma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esfera</w:t>
      </w:r>
      <w:r>
        <w:rPr>
          <w:color w:val="231F20"/>
          <w:spacing w:val="-12"/>
        </w:rPr>
        <w:t> </w:t>
      </w:r>
      <w:r>
        <w:rPr>
          <w:color w:val="231F20"/>
        </w:rPr>
        <w:t>instintiva,</w:t>
      </w:r>
      <w:r>
        <w:rPr>
          <w:color w:val="231F20"/>
          <w:spacing w:val="-12"/>
        </w:rPr>
        <w:t> </w:t>
      </w:r>
      <w:r>
        <w:rPr>
          <w:color w:val="231F20"/>
        </w:rPr>
        <w:t>como</w:t>
      </w:r>
      <w:r>
        <w:rPr>
          <w:color w:val="231F20"/>
          <w:spacing w:val="-12"/>
        </w:rPr>
        <w:t> </w:t>
      </w:r>
      <w:r>
        <w:rPr>
          <w:color w:val="231F20"/>
        </w:rPr>
        <w:t>satisfacción</w:t>
      </w:r>
      <w:r>
        <w:rPr>
          <w:color w:val="231F20"/>
          <w:spacing w:val="-12"/>
        </w:rPr>
        <w:t> </w:t>
      </w:r>
      <w:r>
        <w:rPr>
          <w:color w:val="231F20"/>
        </w:rPr>
        <w:t>lograda</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modo</w:t>
      </w:r>
      <w:r>
        <w:rPr>
          <w:color w:val="231F20"/>
          <w:spacing w:val="-12"/>
        </w:rPr>
        <w:t> </w:t>
      </w:r>
      <w:r>
        <w:rPr>
          <w:color w:val="231F20"/>
          <w:spacing w:val="-2"/>
        </w:rPr>
        <w:t>que </w:t>
      </w:r>
      <w:r>
        <w:rPr>
          <w:color w:val="231F20"/>
        </w:rPr>
        <w:t>genera</w:t>
      </w:r>
      <w:r>
        <w:rPr>
          <w:color w:val="231F20"/>
          <w:spacing w:val="-19"/>
        </w:rPr>
        <w:t> </w:t>
      </w:r>
      <w:r>
        <w:rPr>
          <w:color w:val="231F20"/>
        </w:rPr>
        <w:t>sumisión</w:t>
      </w:r>
      <w:r>
        <w:rPr>
          <w:color w:val="231F20"/>
          <w:spacing w:val="-19"/>
        </w:rPr>
        <w:t> </w:t>
      </w:r>
      <w:r>
        <w:rPr>
          <w:color w:val="231F20"/>
        </w:rPr>
        <w:t>y</w:t>
      </w:r>
      <w:r>
        <w:rPr>
          <w:color w:val="231F20"/>
          <w:spacing w:val="-19"/>
        </w:rPr>
        <w:t> </w:t>
      </w:r>
      <w:r>
        <w:rPr>
          <w:color w:val="231F20"/>
        </w:rPr>
        <w:t>debilita</w:t>
      </w:r>
      <w:r>
        <w:rPr>
          <w:color w:val="231F20"/>
          <w:spacing w:val="-19"/>
        </w:rPr>
        <w:t> </w:t>
      </w:r>
      <w:r>
        <w:rPr>
          <w:color w:val="231F20"/>
        </w:rPr>
        <w:t>la</w:t>
      </w:r>
      <w:r>
        <w:rPr>
          <w:color w:val="231F20"/>
          <w:spacing w:val="-19"/>
        </w:rPr>
        <w:t> </w:t>
      </w:r>
      <w:r>
        <w:rPr>
          <w:color w:val="231F20"/>
        </w:rPr>
        <w:t>racionalidad</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protesta.</w:t>
      </w:r>
      <w:r>
        <w:rPr>
          <w:color w:val="231F20"/>
          <w:spacing w:val="-19"/>
        </w:rPr>
        <w:t> </w:t>
      </w:r>
      <w:r>
        <w:rPr>
          <w:color w:val="231F20"/>
        </w:rPr>
        <w:t>[…]</w:t>
      </w:r>
      <w:r>
        <w:rPr>
          <w:color w:val="231F20"/>
          <w:spacing w:val="-19"/>
        </w:rPr>
        <w:t> </w:t>
      </w:r>
      <w:r>
        <w:rPr>
          <w:color w:val="231F20"/>
        </w:rPr>
        <w:t>El</w:t>
      </w:r>
      <w:r>
        <w:rPr>
          <w:color w:val="231F20"/>
          <w:spacing w:val="-19"/>
        </w:rPr>
        <w:t> </w:t>
      </w:r>
      <w:r>
        <w:rPr>
          <w:color w:val="231F20"/>
          <w:spacing w:val="-5"/>
        </w:rPr>
        <w:t>placer,</w:t>
      </w:r>
      <w:r>
        <w:rPr>
          <w:color w:val="231F20"/>
          <w:spacing w:val="-19"/>
        </w:rPr>
        <w:t> </w:t>
      </w:r>
      <w:r>
        <w:rPr>
          <w:color w:val="231F20"/>
        </w:rPr>
        <w:t>adap- tado</w:t>
      </w:r>
      <w:r>
        <w:rPr>
          <w:color w:val="231F20"/>
          <w:spacing w:val="-8"/>
        </w:rPr>
        <w:t> </w:t>
      </w:r>
      <w:r>
        <w:rPr>
          <w:color w:val="231F20"/>
        </w:rPr>
        <w:t>de</w:t>
      </w:r>
      <w:r>
        <w:rPr>
          <w:color w:val="231F20"/>
          <w:spacing w:val="-8"/>
        </w:rPr>
        <w:t> </w:t>
      </w:r>
      <w:r>
        <w:rPr>
          <w:color w:val="231F20"/>
        </w:rPr>
        <w:t>este</w:t>
      </w:r>
      <w:r>
        <w:rPr>
          <w:color w:val="231F20"/>
          <w:spacing w:val="-8"/>
        </w:rPr>
        <w:t> </w:t>
      </w:r>
      <w:r>
        <w:rPr>
          <w:color w:val="231F20"/>
        </w:rPr>
        <w:t>modo,</w:t>
      </w:r>
      <w:r>
        <w:rPr>
          <w:color w:val="231F20"/>
          <w:spacing w:val="-8"/>
        </w:rPr>
        <w:t> </w:t>
      </w:r>
      <w:r>
        <w:rPr>
          <w:color w:val="231F20"/>
        </w:rPr>
        <w:t>genera</w:t>
      </w:r>
      <w:r>
        <w:rPr>
          <w:color w:val="231F20"/>
          <w:spacing w:val="-8"/>
        </w:rPr>
        <w:t> </w:t>
      </w:r>
      <w:r>
        <w:rPr>
          <w:color w:val="231F20"/>
        </w:rPr>
        <w:t>sumisión”</w:t>
      </w:r>
      <w:r>
        <w:rPr>
          <w:color w:val="231F20"/>
          <w:position w:val="7"/>
          <w:sz w:val="12"/>
        </w:rPr>
        <w:t>28</w:t>
      </w:r>
      <w:r>
        <w:rPr>
          <w:color w:val="231F20"/>
        </w:rPr>
        <w:t>.</w:t>
      </w:r>
      <w:r>
        <w:rPr>
          <w:color w:val="231F20"/>
          <w:spacing w:val="-8"/>
        </w:rPr>
        <w:t> </w:t>
      </w:r>
      <w:r>
        <w:rPr>
          <w:color w:val="231F20"/>
        </w:rPr>
        <w:t>La</w:t>
      </w:r>
      <w:r>
        <w:rPr>
          <w:color w:val="231F20"/>
          <w:spacing w:val="-8"/>
        </w:rPr>
        <w:t> </w:t>
      </w:r>
      <w:r>
        <w:rPr>
          <w:color w:val="231F20"/>
        </w:rPr>
        <w:t>gran</w:t>
      </w:r>
      <w:r>
        <w:rPr>
          <w:color w:val="231F20"/>
          <w:spacing w:val="-8"/>
        </w:rPr>
        <w:t> </w:t>
      </w:r>
      <w:r>
        <w:rPr>
          <w:color w:val="231F20"/>
        </w:rPr>
        <w:t>paradoja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felicidad</w:t>
      </w:r>
      <w:r>
        <w:rPr>
          <w:color w:val="231F20"/>
          <w:spacing w:val="-8"/>
        </w:rPr>
        <w:t> </w:t>
      </w:r>
      <w:r>
        <w:rPr>
          <w:color w:val="231F20"/>
        </w:rPr>
        <w:t>en </w:t>
      </w:r>
      <w:r>
        <w:rPr>
          <w:color w:val="231F20"/>
          <w:spacing w:val="-3"/>
        </w:rPr>
        <w:t>nuestros</w:t>
      </w:r>
      <w:r>
        <w:rPr>
          <w:color w:val="231F20"/>
          <w:spacing w:val="-13"/>
        </w:rPr>
        <w:t> </w:t>
      </w:r>
      <w:r>
        <w:rPr>
          <w:color w:val="231F20"/>
        </w:rPr>
        <w:t>tiempos</w:t>
      </w:r>
      <w:r>
        <w:rPr>
          <w:color w:val="231F20"/>
          <w:spacing w:val="-13"/>
        </w:rPr>
        <w:t> </w:t>
      </w:r>
      <w:r>
        <w:rPr>
          <w:color w:val="231F20"/>
        </w:rPr>
        <w:t>es,</w:t>
      </w:r>
      <w:r>
        <w:rPr>
          <w:color w:val="231F20"/>
          <w:spacing w:val="-13"/>
        </w:rPr>
        <w:t> </w:t>
      </w:r>
      <w:r>
        <w:rPr>
          <w:color w:val="231F20"/>
        </w:rPr>
        <w:t>como</w:t>
      </w:r>
      <w:r>
        <w:rPr>
          <w:color w:val="231F20"/>
          <w:spacing w:val="-13"/>
        </w:rPr>
        <w:t> </w:t>
      </w:r>
      <w:r>
        <w:rPr>
          <w:color w:val="231F20"/>
        </w:rPr>
        <w:t>lo</w:t>
      </w:r>
      <w:r>
        <w:rPr>
          <w:color w:val="231F20"/>
          <w:spacing w:val="-13"/>
        </w:rPr>
        <w:t> </w:t>
      </w:r>
      <w:r>
        <w:rPr>
          <w:color w:val="231F20"/>
        </w:rPr>
        <w:t>afirma</w:t>
      </w:r>
      <w:r>
        <w:rPr>
          <w:color w:val="231F20"/>
          <w:spacing w:val="-13"/>
        </w:rPr>
        <w:t> </w:t>
      </w:r>
      <w:r>
        <w:rPr>
          <w:color w:val="231F20"/>
        </w:rPr>
        <w:t>Alain</w:t>
      </w:r>
      <w:r>
        <w:rPr>
          <w:color w:val="231F20"/>
          <w:spacing w:val="-13"/>
        </w:rPr>
        <w:t> </w:t>
      </w:r>
      <w:r>
        <w:rPr>
          <w:color w:val="231F20"/>
        </w:rPr>
        <w:t>Badiou</w:t>
      </w:r>
      <w:r>
        <w:rPr>
          <w:color w:val="231F20"/>
          <w:position w:val="7"/>
          <w:sz w:val="12"/>
        </w:rPr>
        <w:t>29</w:t>
      </w:r>
      <w:r>
        <w:rPr>
          <w:color w:val="231F20"/>
        </w:rPr>
        <w:t>,</w:t>
      </w:r>
      <w:r>
        <w:rPr>
          <w:color w:val="231F20"/>
          <w:spacing w:val="-13"/>
        </w:rPr>
        <w:t> </w:t>
      </w:r>
      <w:r>
        <w:rPr>
          <w:color w:val="231F20"/>
        </w:rPr>
        <w:t>que</w:t>
      </w:r>
      <w:r>
        <w:rPr>
          <w:color w:val="231F20"/>
          <w:spacing w:val="-13"/>
        </w:rPr>
        <w:t> </w:t>
      </w:r>
      <w:r>
        <w:rPr>
          <w:color w:val="231F20"/>
        </w:rPr>
        <w:t>ésta</w:t>
      </w:r>
      <w:r>
        <w:rPr>
          <w:color w:val="231F20"/>
          <w:spacing w:val="-13"/>
        </w:rPr>
        <w:t> </w:t>
      </w:r>
      <w:r>
        <w:rPr>
          <w:color w:val="231F20"/>
        </w:rPr>
        <w:t>se</w:t>
      </w:r>
      <w:r>
        <w:rPr>
          <w:color w:val="231F20"/>
          <w:spacing w:val="-13"/>
        </w:rPr>
        <w:t> </w:t>
      </w:r>
      <w:r>
        <w:rPr>
          <w:color w:val="231F20"/>
        </w:rPr>
        <w:t>ha</w:t>
      </w:r>
      <w:r>
        <w:rPr>
          <w:color w:val="231F20"/>
          <w:spacing w:val="-13"/>
        </w:rPr>
        <w:t> </w:t>
      </w:r>
      <w:r>
        <w:rPr>
          <w:color w:val="231F20"/>
          <w:spacing w:val="-3"/>
        </w:rPr>
        <w:t>reducido </w:t>
      </w:r>
      <w:r>
        <w:rPr>
          <w:color w:val="231F20"/>
        </w:rPr>
        <w:t>a la satisfacción, ser feliz es satisfacer todas aquellas necesidades que la lógica de consumo ha </w:t>
      </w:r>
      <w:r>
        <w:rPr>
          <w:color w:val="231F20"/>
          <w:spacing w:val="-3"/>
        </w:rPr>
        <w:t>creado </w:t>
      </w:r>
      <w:r>
        <w:rPr>
          <w:color w:val="231F20"/>
        </w:rPr>
        <w:t>y que son, por ello mismo, interminables. El capitalismo global ha sabido vender una forma de sumisión que se </w:t>
      </w:r>
      <w:r>
        <w:rPr>
          <w:color w:val="231F20"/>
          <w:spacing w:val="-2"/>
        </w:rPr>
        <w:t>acepta </w:t>
      </w:r>
      <w:r>
        <w:rPr>
          <w:color w:val="231F20"/>
        </w:rPr>
        <w:t>de manera no sólo dócil, sino además </w:t>
      </w:r>
      <w:r>
        <w:rPr>
          <w:color w:val="231F20"/>
          <w:spacing w:val="-3"/>
        </w:rPr>
        <w:t>alegre. Raffaele </w:t>
      </w:r>
      <w:r>
        <w:rPr>
          <w:color w:val="231F20"/>
        </w:rPr>
        <w:t>Simone encuentra también en Alexis de </w:t>
      </w:r>
      <w:r>
        <w:rPr>
          <w:color w:val="231F20"/>
          <w:spacing w:val="-4"/>
        </w:rPr>
        <w:t>Tocqueville, </w:t>
      </w:r>
      <w:r>
        <w:rPr>
          <w:color w:val="231F20"/>
        </w:rPr>
        <w:t>contemporáneo de Marx, </w:t>
      </w:r>
      <w:r>
        <w:rPr>
          <w:color w:val="231F20"/>
          <w:spacing w:val="-3"/>
        </w:rPr>
        <w:t>otro </w:t>
      </w:r>
      <w:r>
        <w:rPr>
          <w:color w:val="231F20"/>
        </w:rPr>
        <w:t>ejemplo  de</w:t>
      </w:r>
      <w:r>
        <w:rPr>
          <w:color w:val="231F20"/>
          <w:spacing w:val="-10"/>
        </w:rPr>
        <w:t> </w:t>
      </w:r>
      <w:r>
        <w:rPr>
          <w:color w:val="231F20"/>
        </w:rPr>
        <w:t>pensador</w:t>
      </w:r>
      <w:r>
        <w:rPr>
          <w:color w:val="231F20"/>
          <w:spacing w:val="-10"/>
        </w:rPr>
        <w:t> </w:t>
      </w:r>
      <w:r>
        <w:rPr>
          <w:color w:val="231F20"/>
        </w:rPr>
        <w:t>casi</w:t>
      </w:r>
      <w:r>
        <w:rPr>
          <w:color w:val="231F20"/>
          <w:spacing w:val="-10"/>
        </w:rPr>
        <w:t> </w:t>
      </w:r>
      <w:r>
        <w:rPr>
          <w:color w:val="231F20"/>
        </w:rPr>
        <w:t>visionario</w:t>
      </w:r>
      <w:r>
        <w:rPr>
          <w:color w:val="231F20"/>
          <w:spacing w:val="-10"/>
        </w:rPr>
        <w:t> </w:t>
      </w:r>
      <w:r>
        <w:rPr>
          <w:color w:val="231F20"/>
        </w:rPr>
        <w:t>que</w:t>
      </w:r>
      <w:r>
        <w:rPr>
          <w:color w:val="231F20"/>
          <w:spacing w:val="-10"/>
        </w:rPr>
        <w:t> </w:t>
      </w:r>
      <w:r>
        <w:rPr>
          <w:color w:val="231F20"/>
        </w:rPr>
        <w:t>supo</w:t>
      </w:r>
      <w:r>
        <w:rPr>
          <w:color w:val="231F20"/>
          <w:spacing w:val="-10"/>
        </w:rPr>
        <w:t> </w:t>
      </w:r>
      <w:r>
        <w:rPr>
          <w:color w:val="231F20"/>
          <w:spacing w:val="-3"/>
        </w:rPr>
        <w:t>entrever</w:t>
      </w:r>
      <w:r>
        <w:rPr>
          <w:color w:val="231F20"/>
          <w:spacing w:val="-10"/>
        </w:rPr>
        <w:t> </w:t>
      </w:r>
      <w:r>
        <w:rPr>
          <w:color w:val="231F20"/>
        </w:rPr>
        <w:t>la</w:t>
      </w:r>
      <w:r>
        <w:rPr>
          <w:color w:val="231F20"/>
          <w:spacing w:val="-10"/>
        </w:rPr>
        <w:t> </w:t>
      </w:r>
      <w:r>
        <w:rPr>
          <w:color w:val="231F20"/>
        </w:rPr>
        <w:t>llegada</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nuevo</w:t>
      </w:r>
      <w:r>
        <w:rPr>
          <w:color w:val="231F20"/>
          <w:spacing w:val="-10"/>
        </w:rPr>
        <w:t> </w:t>
      </w:r>
      <w:r>
        <w:rPr>
          <w:color w:val="231F20"/>
        </w:rPr>
        <w:t>sobe- rano que </w:t>
      </w:r>
      <w:r>
        <w:rPr>
          <w:color w:val="231F20"/>
          <w:spacing w:val="-3"/>
        </w:rPr>
        <w:t>ejercería </w:t>
      </w:r>
      <w:r>
        <w:rPr>
          <w:color w:val="231F20"/>
        </w:rPr>
        <w:t>el poder de manera despótica y total, </w:t>
      </w:r>
      <w:r>
        <w:rPr>
          <w:color w:val="231F20"/>
          <w:spacing w:val="-3"/>
        </w:rPr>
        <w:t>pero </w:t>
      </w:r>
      <w:r>
        <w:rPr>
          <w:color w:val="231F20"/>
        </w:rPr>
        <w:t>que en lugar de causar </w:t>
      </w:r>
      <w:r>
        <w:rPr>
          <w:color w:val="231F20"/>
          <w:spacing w:val="-2"/>
        </w:rPr>
        <w:t>revueltas </w:t>
      </w:r>
      <w:r>
        <w:rPr>
          <w:color w:val="231F20"/>
        </w:rPr>
        <w:t>y </w:t>
      </w:r>
      <w:r>
        <w:rPr>
          <w:color w:val="231F20"/>
          <w:spacing w:val="-3"/>
        </w:rPr>
        <w:t>protestas, </w:t>
      </w:r>
      <w:r>
        <w:rPr>
          <w:color w:val="231F20"/>
        </w:rPr>
        <w:t>sería </w:t>
      </w:r>
      <w:r>
        <w:rPr>
          <w:color w:val="231F20"/>
          <w:spacing w:val="-3"/>
        </w:rPr>
        <w:t>recibido </w:t>
      </w:r>
      <w:r>
        <w:rPr>
          <w:color w:val="231F20"/>
        </w:rPr>
        <w:t>con beneplácito, se trataría, pues,</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poder</w:t>
      </w:r>
      <w:r>
        <w:rPr>
          <w:color w:val="231F20"/>
          <w:spacing w:val="-8"/>
        </w:rPr>
        <w:t> </w:t>
      </w:r>
      <w:r>
        <w:rPr>
          <w:color w:val="231F20"/>
        </w:rPr>
        <w:t>que</w:t>
      </w:r>
      <w:r>
        <w:rPr>
          <w:color w:val="231F20"/>
          <w:spacing w:val="-8"/>
        </w:rPr>
        <w:t> </w:t>
      </w:r>
      <w:r>
        <w:rPr>
          <w:color w:val="231F20"/>
        </w:rPr>
        <w:t>degradaría</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spacing w:val="-3"/>
        </w:rPr>
        <w:t>hombres</w:t>
      </w:r>
      <w:r>
        <w:rPr>
          <w:color w:val="231F20"/>
          <w:spacing w:val="-8"/>
        </w:rPr>
        <w:t> </w:t>
      </w:r>
      <w:r>
        <w:rPr>
          <w:color w:val="231F20"/>
        </w:rPr>
        <w:t>sin</w:t>
      </w:r>
      <w:r>
        <w:rPr>
          <w:color w:val="231F20"/>
          <w:spacing w:val="-8"/>
        </w:rPr>
        <w:t> </w:t>
      </w:r>
      <w:r>
        <w:rPr>
          <w:color w:val="231F20"/>
        </w:rPr>
        <w:t>atormentarlos.</w:t>
      </w:r>
    </w:p>
    <w:p>
      <w:pPr>
        <w:pStyle w:val="BodyText"/>
        <w:spacing w:before="10"/>
        <w:rPr>
          <w:sz w:val="22"/>
        </w:rPr>
      </w:pPr>
    </w:p>
    <w:p>
      <w:pPr>
        <w:spacing w:line="220" w:lineRule="exact" w:before="1"/>
        <w:ind w:left="1534" w:right="101" w:firstLine="0"/>
        <w:jc w:val="both"/>
        <w:rPr>
          <w:sz w:val="19"/>
        </w:rPr>
      </w:pPr>
      <w:r>
        <w:rPr>
          <w:color w:val="231F20"/>
          <w:w w:val="105"/>
          <w:sz w:val="19"/>
        </w:rPr>
        <w:t>[…]</w:t>
      </w:r>
      <w:r>
        <w:rPr>
          <w:color w:val="231F20"/>
          <w:spacing w:val="-26"/>
          <w:w w:val="105"/>
          <w:sz w:val="19"/>
        </w:rPr>
        <w:t> </w:t>
      </w:r>
      <w:r>
        <w:rPr>
          <w:color w:val="231F20"/>
          <w:w w:val="105"/>
          <w:sz w:val="19"/>
        </w:rPr>
        <w:t>el</w:t>
      </w:r>
      <w:r>
        <w:rPr>
          <w:color w:val="231F20"/>
          <w:spacing w:val="-26"/>
          <w:w w:val="105"/>
          <w:sz w:val="19"/>
        </w:rPr>
        <w:t> </w:t>
      </w:r>
      <w:r>
        <w:rPr>
          <w:color w:val="231F20"/>
          <w:w w:val="105"/>
          <w:sz w:val="19"/>
        </w:rPr>
        <w:t>régimen</w:t>
      </w:r>
      <w:r>
        <w:rPr>
          <w:color w:val="231F20"/>
          <w:spacing w:val="-26"/>
          <w:w w:val="105"/>
          <w:sz w:val="19"/>
        </w:rPr>
        <w:t> </w:t>
      </w:r>
      <w:r>
        <w:rPr>
          <w:color w:val="231F20"/>
          <w:w w:val="105"/>
          <w:sz w:val="19"/>
        </w:rPr>
        <w:t>esbozado</w:t>
      </w:r>
      <w:r>
        <w:rPr>
          <w:color w:val="231F20"/>
          <w:spacing w:val="-26"/>
          <w:w w:val="105"/>
          <w:sz w:val="19"/>
        </w:rPr>
        <w:t> </w:t>
      </w:r>
      <w:r>
        <w:rPr>
          <w:color w:val="231F20"/>
          <w:w w:val="105"/>
          <w:sz w:val="19"/>
        </w:rPr>
        <w:t>con</w:t>
      </w:r>
      <w:r>
        <w:rPr>
          <w:color w:val="231F20"/>
          <w:spacing w:val="-26"/>
          <w:w w:val="105"/>
          <w:sz w:val="19"/>
        </w:rPr>
        <w:t> </w:t>
      </w:r>
      <w:r>
        <w:rPr>
          <w:color w:val="231F20"/>
          <w:w w:val="105"/>
          <w:sz w:val="19"/>
        </w:rPr>
        <w:t>alarma</w:t>
      </w:r>
      <w:r>
        <w:rPr>
          <w:color w:val="231F20"/>
          <w:spacing w:val="-26"/>
          <w:w w:val="105"/>
          <w:sz w:val="19"/>
        </w:rPr>
        <w:t> </w:t>
      </w:r>
      <w:r>
        <w:rPr>
          <w:color w:val="231F20"/>
          <w:w w:val="105"/>
          <w:sz w:val="19"/>
        </w:rPr>
        <w:t>por</w:t>
      </w:r>
      <w:r>
        <w:rPr>
          <w:color w:val="231F20"/>
          <w:spacing w:val="-26"/>
          <w:w w:val="105"/>
          <w:sz w:val="19"/>
        </w:rPr>
        <w:t> </w:t>
      </w:r>
      <w:r>
        <w:rPr>
          <w:color w:val="231F20"/>
          <w:w w:val="105"/>
          <w:sz w:val="19"/>
        </w:rPr>
        <w:t>Tocqueville</w:t>
      </w:r>
      <w:r>
        <w:rPr>
          <w:color w:val="231F20"/>
          <w:spacing w:val="-26"/>
          <w:w w:val="105"/>
          <w:sz w:val="19"/>
        </w:rPr>
        <w:t> </w:t>
      </w:r>
      <w:r>
        <w:rPr>
          <w:color w:val="231F20"/>
          <w:w w:val="105"/>
          <w:sz w:val="19"/>
        </w:rPr>
        <w:t>se</w:t>
      </w:r>
      <w:r>
        <w:rPr>
          <w:color w:val="231F20"/>
          <w:spacing w:val="-26"/>
          <w:w w:val="105"/>
          <w:sz w:val="19"/>
        </w:rPr>
        <w:t> </w:t>
      </w:r>
      <w:r>
        <w:rPr>
          <w:color w:val="231F20"/>
          <w:w w:val="105"/>
          <w:sz w:val="19"/>
        </w:rPr>
        <w:t>ha</w:t>
      </w:r>
      <w:r>
        <w:rPr>
          <w:color w:val="231F20"/>
          <w:spacing w:val="-26"/>
          <w:w w:val="105"/>
          <w:sz w:val="19"/>
        </w:rPr>
        <w:t> </w:t>
      </w:r>
      <w:r>
        <w:rPr>
          <w:color w:val="231F20"/>
          <w:w w:val="105"/>
          <w:sz w:val="19"/>
        </w:rPr>
        <w:t>mate- rializado</w:t>
      </w:r>
      <w:r>
        <w:rPr>
          <w:color w:val="231F20"/>
          <w:spacing w:val="-36"/>
          <w:w w:val="105"/>
          <w:sz w:val="19"/>
        </w:rPr>
        <w:t> </w:t>
      </w:r>
      <w:r>
        <w:rPr>
          <w:color w:val="231F20"/>
          <w:w w:val="105"/>
          <w:sz w:val="19"/>
        </w:rPr>
        <w:t>plenamente</w:t>
      </w:r>
      <w:r>
        <w:rPr>
          <w:color w:val="231F20"/>
          <w:spacing w:val="-36"/>
          <w:w w:val="105"/>
          <w:sz w:val="19"/>
        </w:rPr>
        <w:t> </w:t>
      </w:r>
      <w:r>
        <w:rPr>
          <w:color w:val="231F20"/>
          <w:w w:val="105"/>
          <w:sz w:val="19"/>
        </w:rPr>
        <w:t>hoy</w:t>
      </w:r>
      <w:r>
        <w:rPr>
          <w:color w:val="231F20"/>
          <w:spacing w:val="-36"/>
          <w:w w:val="105"/>
          <w:sz w:val="19"/>
        </w:rPr>
        <w:t> </w:t>
      </w:r>
      <w:r>
        <w:rPr>
          <w:color w:val="231F20"/>
          <w:w w:val="105"/>
          <w:sz w:val="19"/>
        </w:rPr>
        <w:t>en</w:t>
      </w:r>
      <w:r>
        <w:rPr>
          <w:color w:val="231F20"/>
          <w:spacing w:val="-36"/>
          <w:w w:val="105"/>
          <w:sz w:val="19"/>
        </w:rPr>
        <w:t> </w:t>
      </w:r>
      <w:r>
        <w:rPr>
          <w:color w:val="231F20"/>
          <w:w w:val="105"/>
          <w:sz w:val="19"/>
        </w:rPr>
        <w:t>día,</w:t>
      </w:r>
      <w:r>
        <w:rPr>
          <w:color w:val="231F20"/>
          <w:spacing w:val="-36"/>
          <w:w w:val="105"/>
          <w:sz w:val="19"/>
        </w:rPr>
        <w:t> </w:t>
      </w:r>
      <w:r>
        <w:rPr>
          <w:color w:val="231F20"/>
          <w:w w:val="105"/>
          <w:sz w:val="19"/>
        </w:rPr>
        <w:t>pero</w:t>
      </w:r>
      <w:r>
        <w:rPr>
          <w:color w:val="231F20"/>
          <w:spacing w:val="-36"/>
          <w:w w:val="105"/>
          <w:sz w:val="19"/>
        </w:rPr>
        <w:t> </w:t>
      </w:r>
      <w:r>
        <w:rPr>
          <w:color w:val="231F20"/>
          <w:w w:val="105"/>
          <w:sz w:val="19"/>
        </w:rPr>
        <w:t>con</w:t>
      </w:r>
      <w:r>
        <w:rPr>
          <w:color w:val="231F20"/>
          <w:spacing w:val="-36"/>
          <w:w w:val="105"/>
          <w:sz w:val="19"/>
        </w:rPr>
        <w:t> </w:t>
      </w:r>
      <w:r>
        <w:rPr>
          <w:color w:val="231F20"/>
          <w:w w:val="105"/>
          <w:sz w:val="19"/>
        </w:rPr>
        <w:t>una</w:t>
      </w:r>
      <w:r>
        <w:rPr>
          <w:color w:val="231F20"/>
          <w:spacing w:val="-36"/>
          <w:w w:val="105"/>
          <w:sz w:val="19"/>
        </w:rPr>
        <w:t> </w:t>
      </w:r>
      <w:r>
        <w:rPr>
          <w:color w:val="231F20"/>
          <w:w w:val="105"/>
          <w:sz w:val="19"/>
        </w:rPr>
        <w:t>diferencia</w:t>
      </w:r>
      <w:r>
        <w:rPr>
          <w:color w:val="231F20"/>
          <w:spacing w:val="-36"/>
          <w:w w:val="105"/>
          <w:sz w:val="19"/>
        </w:rPr>
        <w:t> </w:t>
      </w:r>
      <w:r>
        <w:rPr>
          <w:color w:val="231F20"/>
          <w:w w:val="105"/>
          <w:sz w:val="19"/>
        </w:rPr>
        <w:t>respecto a</w:t>
      </w:r>
      <w:r>
        <w:rPr>
          <w:color w:val="231F20"/>
          <w:spacing w:val="-7"/>
          <w:w w:val="105"/>
          <w:sz w:val="19"/>
        </w:rPr>
        <w:t> </w:t>
      </w:r>
      <w:r>
        <w:rPr>
          <w:color w:val="231F20"/>
          <w:w w:val="105"/>
          <w:sz w:val="19"/>
        </w:rPr>
        <w:t>la</w:t>
      </w:r>
      <w:r>
        <w:rPr>
          <w:color w:val="231F20"/>
          <w:spacing w:val="-7"/>
          <w:w w:val="105"/>
          <w:sz w:val="19"/>
        </w:rPr>
        <w:t> </w:t>
      </w:r>
      <w:r>
        <w:rPr>
          <w:color w:val="231F20"/>
          <w:w w:val="105"/>
          <w:sz w:val="19"/>
        </w:rPr>
        <w:t>previsión:</w:t>
      </w:r>
      <w:r>
        <w:rPr>
          <w:color w:val="231F20"/>
          <w:spacing w:val="-7"/>
          <w:w w:val="105"/>
          <w:sz w:val="19"/>
        </w:rPr>
        <w:t> </w:t>
      </w:r>
      <w:r>
        <w:rPr>
          <w:color w:val="231F20"/>
          <w:w w:val="105"/>
          <w:sz w:val="19"/>
        </w:rPr>
        <w:t>el</w:t>
      </w:r>
      <w:r>
        <w:rPr>
          <w:color w:val="231F20"/>
          <w:spacing w:val="-7"/>
          <w:w w:val="105"/>
          <w:sz w:val="19"/>
        </w:rPr>
        <w:t> </w:t>
      </w:r>
      <w:r>
        <w:rPr>
          <w:color w:val="231F20"/>
          <w:w w:val="105"/>
          <w:sz w:val="19"/>
        </w:rPr>
        <w:t>puesto</w:t>
      </w:r>
      <w:r>
        <w:rPr>
          <w:color w:val="231F20"/>
          <w:spacing w:val="-7"/>
          <w:w w:val="105"/>
          <w:sz w:val="19"/>
        </w:rPr>
        <w:t> </w:t>
      </w:r>
      <w:r>
        <w:rPr>
          <w:color w:val="231F20"/>
          <w:w w:val="105"/>
          <w:sz w:val="19"/>
        </w:rPr>
        <w:t>del</w:t>
      </w:r>
      <w:r>
        <w:rPr>
          <w:color w:val="231F20"/>
          <w:spacing w:val="-7"/>
          <w:w w:val="105"/>
          <w:sz w:val="19"/>
        </w:rPr>
        <w:t> </w:t>
      </w:r>
      <w:r>
        <w:rPr>
          <w:color w:val="231F20"/>
          <w:w w:val="105"/>
          <w:sz w:val="19"/>
        </w:rPr>
        <w:t>“soberano</w:t>
      </w:r>
      <w:r>
        <w:rPr>
          <w:color w:val="231F20"/>
          <w:spacing w:val="-7"/>
          <w:w w:val="105"/>
          <w:sz w:val="19"/>
        </w:rPr>
        <w:t> </w:t>
      </w:r>
      <w:r>
        <w:rPr>
          <w:color w:val="231F20"/>
          <w:w w:val="105"/>
          <w:sz w:val="19"/>
        </w:rPr>
        <w:t>absoluto”</w:t>
      </w:r>
      <w:r>
        <w:rPr>
          <w:color w:val="231F20"/>
          <w:spacing w:val="-7"/>
          <w:w w:val="105"/>
          <w:sz w:val="19"/>
        </w:rPr>
        <w:t> </w:t>
      </w:r>
      <w:r>
        <w:rPr>
          <w:color w:val="231F20"/>
          <w:w w:val="105"/>
          <w:sz w:val="19"/>
        </w:rPr>
        <w:t>no</w:t>
      </w:r>
      <w:r>
        <w:rPr>
          <w:color w:val="231F20"/>
          <w:spacing w:val="-7"/>
          <w:w w:val="105"/>
          <w:sz w:val="19"/>
        </w:rPr>
        <w:t> </w:t>
      </w:r>
      <w:r>
        <w:rPr>
          <w:color w:val="231F20"/>
          <w:w w:val="105"/>
          <w:sz w:val="19"/>
        </w:rPr>
        <w:t>lo</w:t>
      </w:r>
      <w:r>
        <w:rPr>
          <w:color w:val="231F20"/>
          <w:spacing w:val="-7"/>
          <w:w w:val="105"/>
          <w:sz w:val="19"/>
        </w:rPr>
        <w:t> </w:t>
      </w:r>
      <w:r>
        <w:rPr>
          <w:color w:val="231F20"/>
          <w:w w:val="105"/>
          <w:sz w:val="19"/>
        </w:rPr>
        <w:t>ocupa</w:t>
      </w:r>
      <w:r>
        <w:rPr>
          <w:color w:val="231F20"/>
          <w:spacing w:val="-7"/>
          <w:w w:val="105"/>
          <w:sz w:val="19"/>
        </w:rPr>
        <w:t> </w:t>
      </w:r>
      <w:r>
        <w:rPr>
          <w:color w:val="231F20"/>
          <w:w w:val="105"/>
          <w:sz w:val="19"/>
        </w:rPr>
        <w:t>el rey</w:t>
      </w:r>
      <w:r>
        <w:rPr>
          <w:color w:val="231F20"/>
          <w:spacing w:val="-31"/>
          <w:w w:val="105"/>
          <w:sz w:val="19"/>
        </w:rPr>
        <w:t> </w:t>
      </w:r>
      <w:r>
        <w:rPr>
          <w:color w:val="231F20"/>
          <w:w w:val="105"/>
          <w:sz w:val="19"/>
        </w:rPr>
        <w:t>(como</w:t>
      </w:r>
      <w:r>
        <w:rPr>
          <w:color w:val="231F20"/>
          <w:spacing w:val="-31"/>
          <w:w w:val="105"/>
          <w:sz w:val="19"/>
        </w:rPr>
        <w:t> </w:t>
      </w:r>
      <w:r>
        <w:rPr>
          <w:color w:val="231F20"/>
          <w:w w:val="105"/>
          <w:sz w:val="19"/>
        </w:rPr>
        <w:t>el</w:t>
      </w:r>
      <w:r>
        <w:rPr>
          <w:color w:val="231F20"/>
          <w:spacing w:val="-31"/>
          <w:w w:val="105"/>
          <w:sz w:val="19"/>
        </w:rPr>
        <w:t> </w:t>
      </w:r>
      <w:r>
        <w:rPr>
          <w:color w:val="231F20"/>
          <w:w w:val="105"/>
          <w:sz w:val="19"/>
        </w:rPr>
        <w:t>temía),</w:t>
      </w:r>
      <w:r>
        <w:rPr>
          <w:color w:val="231F20"/>
          <w:spacing w:val="-31"/>
          <w:w w:val="105"/>
          <w:sz w:val="19"/>
        </w:rPr>
        <w:t> </w:t>
      </w:r>
      <w:r>
        <w:rPr>
          <w:color w:val="231F20"/>
          <w:w w:val="105"/>
          <w:sz w:val="19"/>
        </w:rPr>
        <w:t>sino</w:t>
      </w:r>
      <w:r>
        <w:rPr>
          <w:color w:val="231F20"/>
          <w:spacing w:val="-31"/>
          <w:w w:val="105"/>
          <w:sz w:val="19"/>
        </w:rPr>
        <w:t> </w:t>
      </w:r>
      <w:r>
        <w:rPr>
          <w:color w:val="231F20"/>
          <w:w w:val="105"/>
          <w:sz w:val="19"/>
        </w:rPr>
        <w:t>un</w:t>
      </w:r>
      <w:r>
        <w:rPr>
          <w:color w:val="231F20"/>
          <w:spacing w:val="-31"/>
          <w:w w:val="105"/>
          <w:sz w:val="19"/>
        </w:rPr>
        <w:t> </w:t>
      </w:r>
      <w:r>
        <w:rPr>
          <w:color w:val="231F20"/>
          <w:w w:val="105"/>
          <w:sz w:val="19"/>
        </w:rPr>
        <w:t>ente</w:t>
      </w:r>
      <w:r>
        <w:rPr>
          <w:color w:val="231F20"/>
          <w:spacing w:val="-31"/>
          <w:w w:val="105"/>
          <w:sz w:val="19"/>
        </w:rPr>
        <w:t> </w:t>
      </w:r>
      <w:r>
        <w:rPr>
          <w:color w:val="231F20"/>
          <w:w w:val="105"/>
          <w:sz w:val="19"/>
        </w:rPr>
        <w:t>inmaterial</w:t>
      </w:r>
      <w:r>
        <w:rPr>
          <w:color w:val="231F20"/>
          <w:spacing w:val="-31"/>
          <w:w w:val="105"/>
          <w:sz w:val="19"/>
        </w:rPr>
        <w:t> </w:t>
      </w:r>
      <w:r>
        <w:rPr>
          <w:color w:val="231F20"/>
          <w:w w:val="105"/>
          <w:sz w:val="19"/>
        </w:rPr>
        <w:t>e</w:t>
      </w:r>
      <w:r>
        <w:rPr>
          <w:color w:val="231F20"/>
          <w:spacing w:val="-31"/>
          <w:w w:val="105"/>
          <w:sz w:val="19"/>
        </w:rPr>
        <w:t> </w:t>
      </w:r>
      <w:r>
        <w:rPr>
          <w:color w:val="231F20"/>
          <w:w w:val="105"/>
          <w:sz w:val="19"/>
        </w:rPr>
        <w:t>invisible.</w:t>
      </w:r>
      <w:r>
        <w:rPr>
          <w:color w:val="231F20"/>
          <w:spacing w:val="-31"/>
          <w:w w:val="105"/>
          <w:sz w:val="19"/>
        </w:rPr>
        <w:t> </w:t>
      </w:r>
      <w:r>
        <w:rPr>
          <w:color w:val="231F20"/>
          <w:w w:val="105"/>
          <w:sz w:val="19"/>
        </w:rPr>
        <w:t>Es</w:t>
      </w:r>
      <w:r>
        <w:rPr>
          <w:color w:val="231F20"/>
          <w:spacing w:val="-31"/>
          <w:w w:val="105"/>
          <w:sz w:val="19"/>
        </w:rPr>
        <w:t> </w:t>
      </w:r>
      <w:r>
        <w:rPr>
          <w:color w:val="231F20"/>
          <w:w w:val="105"/>
          <w:sz w:val="19"/>
        </w:rPr>
        <w:t>una</w:t>
      </w:r>
      <w:r>
        <w:rPr>
          <w:color w:val="231F20"/>
          <w:spacing w:val="-31"/>
          <w:w w:val="105"/>
          <w:sz w:val="19"/>
        </w:rPr>
        <w:t> </w:t>
      </w:r>
      <w:r>
        <w:rPr>
          <w:color w:val="231F20"/>
          <w:w w:val="105"/>
          <w:sz w:val="19"/>
        </w:rPr>
        <w:t>en- tidad</w:t>
      </w:r>
      <w:r>
        <w:rPr>
          <w:color w:val="231F20"/>
          <w:spacing w:val="-19"/>
          <w:w w:val="105"/>
          <w:sz w:val="19"/>
        </w:rPr>
        <w:t> </w:t>
      </w:r>
      <w:r>
        <w:rPr>
          <w:color w:val="231F20"/>
          <w:w w:val="105"/>
          <w:sz w:val="19"/>
        </w:rPr>
        <w:t>que</w:t>
      </w:r>
      <w:r>
        <w:rPr>
          <w:color w:val="231F20"/>
          <w:spacing w:val="-19"/>
          <w:w w:val="105"/>
          <w:sz w:val="19"/>
        </w:rPr>
        <w:t> </w:t>
      </w:r>
      <w:r>
        <w:rPr>
          <w:color w:val="231F20"/>
          <w:w w:val="105"/>
          <w:sz w:val="19"/>
        </w:rPr>
        <w:t>no</w:t>
      </w:r>
      <w:r>
        <w:rPr>
          <w:color w:val="231F20"/>
          <w:spacing w:val="-19"/>
          <w:w w:val="105"/>
          <w:sz w:val="19"/>
        </w:rPr>
        <w:t> </w:t>
      </w:r>
      <w:r>
        <w:rPr>
          <w:color w:val="231F20"/>
          <w:w w:val="105"/>
          <w:sz w:val="19"/>
        </w:rPr>
        <w:t>tiene</w:t>
      </w:r>
      <w:r>
        <w:rPr>
          <w:color w:val="231F20"/>
          <w:spacing w:val="-19"/>
          <w:w w:val="105"/>
          <w:sz w:val="19"/>
        </w:rPr>
        <w:t> </w:t>
      </w:r>
      <w:r>
        <w:rPr>
          <w:color w:val="231F20"/>
          <w:w w:val="105"/>
          <w:sz w:val="19"/>
        </w:rPr>
        <w:t>ni</w:t>
      </w:r>
      <w:r>
        <w:rPr>
          <w:color w:val="231F20"/>
          <w:spacing w:val="-19"/>
          <w:w w:val="105"/>
          <w:sz w:val="19"/>
        </w:rPr>
        <w:t> </w:t>
      </w:r>
      <w:r>
        <w:rPr>
          <w:color w:val="231F20"/>
          <w:w w:val="105"/>
          <w:sz w:val="19"/>
        </w:rPr>
        <w:t>cuerpo</w:t>
      </w:r>
      <w:r>
        <w:rPr>
          <w:color w:val="231F20"/>
          <w:spacing w:val="-19"/>
          <w:w w:val="105"/>
          <w:sz w:val="19"/>
        </w:rPr>
        <w:t> </w:t>
      </w:r>
      <w:r>
        <w:rPr>
          <w:color w:val="231F20"/>
          <w:w w:val="105"/>
          <w:sz w:val="19"/>
        </w:rPr>
        <w:t>ni</w:t>
      </w:r>
      <w:r>
        <w:rPr>
          <w:color w:val="231F20"/>
          <w:spacing w:val="-19"/>
          <w:w w:val="105"/>
          <w:sz w:val="19"/>
        </w:rPr>
        <w:t> </w:t>
      </w:r>
      <w:r>
        <w:rPr>
          <w:color w:val="231F20"/>
          <w:w w:val="105"/>
          <w:sz w:val="19"/>
        </w:rPr>
        <w:t>domicilio</w:t>
      </w:r>
      <w:r>
        <w:rPr>
          <w:color w:val="231F20"/>
          <w:spacing w:val="-19"/>
          <w:w w:val="105"/>
          <w:sz w:val="19"/>
        </w:rPr>
        <w:t> </w:t>
      </w:r>
      <w:r>
        <w:rPr>
          <w:color w:val="231F20"/>
          <w:w w:val="105"/>
          <w:sz w:val="19"/>
        </w:rPr>
        <w:t>postal,</w:t>
      </w:r>
      <w:r>
        <w:rPr>
          <w:color w:val="231F20"/>
          <w:spacing w:val="-19"/>
          <w:w w:val="105"/>
          <w:sz w:val="19"/>
        </w:rPr>
        <w:t> </w:t>
      </w:r>
      <w:r>
        <w:rPr>
          <w:color w:val="231F20"/>
          <w:w w:val="105"/>
          <w:sz w:val="19"/>
        </w:rPr>
        <w:t>que</w:t>
      </w:r>
      <w:r>
        <w:rPr>
          <w:color w:val="231F20"/>
          <w:spacing w:val="-19"/>
          <w:w w:val="105"/>
          <w:sz w:val="19"/>
        </w:rPr>
        <w:t> </w:t>
      </w:r>
      <w:r>
        <w:rPr>
          <w:color w:val="231F20"/>
          <w:w w:val="105"/>
          <w:sz w:val="19"/>
        </w:rPr>
        <w:t>no</w:t>
      </w:r>
      <w:r>
        <w:rPr>
          <w:color w:val="231F20"/>
          <w:spacing w:val="-19"/>
          <w:w w:val="105"/>
          <w:sz w:val="19"/>
        </w:rPr>
        <w:t> </w:t>
      </w:r>
      <w:r>
        <w:rPr>
          <w:color w:val="231F20"/>
          <w:w w:val="105"/>
          <w:sz w:val="19"/>
        </w:rPr>
        <w:t>reside</w:t>
      </w:r>
      <w:r>
        <w:rPr>
          <w:color w:val="231F20"/>
          <w:spacing w:val="-19"/>
          <w:w w:val="105"/>
          <w:sz w:val="19"/>
        </w:rPr>
        <w:t> </w:t>
      </w:r>
      <w:r>
        <w:rPr>
          <w:color w:val="231F20"/>
          <w:w w:val="105"/>
          <w:sz w:val="19"/>
        </w:rPr>
        <w:t>en ningún</w:t>
      </w:r>
      <w:r>
        <w:rPr>
          <w:color w:val="231F20"/>
          <w:spacing w:val="-32"/>
          <w:w w:val="105"/>
          <w:sz w:val="19"/>
        </w:rPr>
        <w:t> </w:t>
      </w:r>
      <w:r>
        <w:rPr>
          <w:color w:val="231F20"/>
          <w:w w:val="105"/>
          <w:sz w:val="19"/>
        </w:rPr>
        <w:t>lugar</w:t>
      </w:r>
      <w:r>
        <w:rPr>
          <w:color w:val="231F20"/>
          <w:spacing w:val="-32"/>
          <w:w w:val="105"/>
          <w:sz w:val="19"/>
        </w:rPr>
        <w:t> </w:t>
      </w:r>
      <w:r>
        <w:rPr>
          <w:color w:val="231F20"/>
          <w:w w:val="105"/>
          <w:sz w:val="19"/>
        </w:rPr>
        <w:t>sino</w:t>
      </w:r>
      <w:r>
        <w:rPr>
          <w:color w:val="231F20"/>
          <w:spacing w:val="-32"/>
          <w:w w:val="105"/>
          <w:sz w:val="19"/>
        </w:rPr>
        <w:t> </w:t>
      </w:r>
      <w:r>
        <w:rPr>
          <w:color w:val="231F20"/>
          <w:w w:val="105"/>
          <w:sz w:val="19"/>
        </w:rPr>
        <w:t>que</w:t>
      </w:r>
      <w:r>
        <w:rPr>
          <w:color w:val="231F20"/>
          <w:spacing w:val="-32"/>
          <w:w w:val="105"/>
          <w:sz w:val="19"/>
        </w:rPr>
        <w:t> </w:t>
      </w:r>
      <w:r>
        <w:rPr>
          <w:color w:val="231F20"/>
          <w:w w:val="105"/>
          <w:sz w:val="19"/>
        </w:rPr>
        <w:t>tiene</w:t>
      </w:r>
      <w:r>
        <w:rPr>
          <w:color w:val="231F20"/>
          <w:spacing w:val="-32"/>
          <w:w w:val="105"/>
          <w:sz w:val="19"/>
        </w:rPr>
        <w:t> </w:t>
      </w:r>
      <w:r>
        <w:rPr>
          <w:color w:val="231F20"/>
          <w:w w:val="105"/>
          <w:sz w:val="19"/>
        </w:rPr>
        <w:t>una</w:t>
      </w:r>
      <w:r>
        <w:rPr>
          <w:color w:val="231F20"/>
          <w:spacing w:val="-32"/>
          <w:w w:val="105"/>
          <w:sz w:val="19"/>
        </w:rPr>
        <w:t> </w:t>
      </w:r>
      <w:r>
        <w:rPr>
          <w:color w:val="231F20"/>
          <w:w w:val="105"/>
          <w:sz w:val="19"/>
        </w:rPr>
        <w:t>sede</w:t>
      </w:r>
      <w:r>
        <w:rPr>
          <w:color w:val="231F20"/>
          <w:spacing w:val="-32"/>
          <w:w w:val="105"/>
          <w:sz w:val="19"/>
        </w:rPr>
        <w:t> </w:t>
      </w:r>
      <w:r>
        <w:rPr>
          <w:color w:val="231F20"/>
          <w:w w:val="105"/>
          <w:sz w:val="19"/>
        </w:rPr>
        <w:t>difusa,</w:t>
      </w:r>
      <w:r>
        <w:rPr>
          <w:color w:val="231F20"/>
          <w:spacing w:val="-32"/>
          <w:w w:val="105"/>
          <w:sz w:val="19"/>
        </w:rPr>
        <w:t> </w:t>
      </w:r>
      <w:r>
        <w:rPr>
          <w:color w:val="231F20"/>
          <w:w w:val="105"/>
          <w:sz w:val="19"/>
        </w:rPr>
        <w:t>porque</w:t>
      </w:r>
      <w:r>
        <w:rPr>
          <w:color w:val="231F20"/>
          <w:spacing w:val="-32"/>
          <w:w w:val="105"/>
          <w:sz w:val="19"/>
        </w:rPr>
        <w:t> </w:t>
      </w:r>
      <w:r>
        <w:rPr>
          <w:color w:val="231F20"/>
          <w:w w:val="105"/>
          <w:sz w:val="19"/>
        </w:rPr>
        <w:t>está</w:t>
      </w:r>
      <w:r>
        <w:rPr>
          <w:color w:val="231F20"/>
          <w:spacing w:val="-32"/>
          <w:w w:val="105"/>
          <w:sz w:val="19"/>
        </w:rPr>
        <w:t> </w:t>
      </w:r>
      <w:r>
        <w:rPr>
          <w:color w:val="231F20"/>
          <w:w w:val="105"/>
          <w:sz w:val="19"/>
        </w:rPr>
        <w:t>formada por</w:t>
      </w:r>
      <w:r>
        <w:rPr>
          <w:color w:val="231F20"/>
          <w:spacing w:val="-34"/>
          <w:w w:val="105"/>
          <w:sz w:val="19"/>
        </w:rPr>
        <w:t> </w:t>
      </w:r>
      <w:r>
        <w:rPr>
          <w:color w:val="231F20"/>
          <w:w w:val="105"/>
          <w:sz w:val="19"/>
        </w:rPr>
        <w:t>todos</w:t>
      </w:r>
      <w:r>
        <w:rPr>
          <w:color w:val="231F20"/>
          <w:spacing w:val="-34"/>
          <w:w w:val="105"/>
          <w:sz w:val="19"/>
        </w:rPr>
        <w:t> </w:t>
      </w:r>
      <w:r>
        <w:rPr>
          <w:color w:val="231F20"/>
          <w:w w:val="105"/>
          <w:sz w:val="19"/>
        </w:rPr>
        <w:t>aquellos</w:t>
      </w:r>
      <w:r>
        <w:rPr>
          <w:color w:val="231F20"/>
          <w:spacing w:val="-34"/>
          <w:w w:val="105"/>
          <w:sz w:val="19"/>
        </w:rPr>
        <w:t> </w:t>
      </w:r>
      <w:r>
        <w:rPr>
          <w:color w:val="231F20"/>
          <w:w w:val="105"/>
          <w:sz w:val="19"/>
        </w:rPr>
        <w:t>que</w:t>
      </w:r>
      <w:r>
        <w:rPr>
          <w:color w:val="231F20"/>
          <w:spacing w:val="-34"/>
          <w:w w:val="105"/>
          <w:sz w:val="19"/>
        </w:rPr>
        <w:t> </w:t>
      </w:r>
      <w:r>
        <w:rPr>
          <w:color w:val="231F20"/>
          <w:w w:val="105"/>
          <w:sz w:val="19"/>
        </w:rPr>
        <w:t>gobiernan</w:t>
      </w:r>
      <w:r>
        <w:rPr>
          <w:color w:val="231F20"/>
          <w:spacing w:val="-34"/>
          <w:w w:val="105"/>
          <w:sz w:val="19"/>
        </w:rPr>
        <w:t> </w:t>
      </w:r>
      <w:r>
        <w:rPr>
          <w:color w:val="231F20"/>
          <w:w w:val="105"/>
          <w:sz w:val="19"/>
        </w:rPr>
        <w:t>la</w:t>
      </w:r>
      <w:r>
        <w:rPr>
          <w:color w:val="231F20"/>
          <w:spacing w:val="-34"/>
          <w:w w:val="105"/>
          <w:sz w:val="19"/>
        </w:rPr>
        <w:t> </w:t>
      </w:r>
      <w:r>
        <w:rPr>
          <w:color w:val="231F20"/>
          <w:w w:val="105"/>
          <w:sz w:val="19"/>
        </w:rPr>
        <w:t>cultura</w:t>
      </w:r>
      <w:r>
        <w:rPr>
          <w:color w:val="231F20"/>
          <w:spacing w:val="-34"/>
          <w:w w:val="105"/>
          <w:sz w:val="19"/>
        </w:rPr>
        <w:t> </w:t>
      </w:r>
      <w:r>
        <w:rPr>
          <w:color w:val="231F20"/>
          <w:w w:val="105"/>
          <w:sz w:val="19"/>
        </w:rPr>
        <w:t>de</w:t>
      </w:r>
      <w:r>
        <w:rPr>
          <w:color w:val="231F20"/>
          <w:spacing w:val="-34"/>
          <w:w w:val="105"/>
          <w:sz w:val="19"/>
        </w:rPr>
        <w:t> </w:t>
      </w:r>
      <w:r>
        <w:rPr>
          <w:color w:val="231F20"/>
          <w:w w:val="105"/>
          <w:sz w:val="19"/>
        </w:rPr>
        <w:t>masas</w:t>
      </w:r>
      <w:r>
        <w:rPr>
          <w:color w:val="231F20"/>
          <w:spacing w:val="-34"/>
          <w:w w:val="105"/>
          <w:sz w:val="19"/>
        </w:rPr>
        <w:t> </w:t>
      </w:r>
      <w:r>
        <w:rPr>
          <w:color w:val="231F20"/>
          <w:w w:val="105"/>
          <w:sz w:val="19"/>
        </w:rPr>
        <w:t>del</w:t>
      </w:r>
      <w:r>
        <w:rPr>
          <w:color w:val="231F20"/>
          <w:spacing w:val="-34"/>
          <w:w w:val="105"/>
          <w:sz w:val="19"/>
        </w:rPr>
        <w:t> </w:t>
      </w:r>
      <w:r>
        <w:rPr>
          <w:color w:val="231F20"/>
          <w:w w:val="105"/>
          <w:sz w:val="19"/>
        </w:rPr>
        <w:t>planeta: en</w:t>
      </w:r>
      <w:r>
        <w:rPr>
          <w:color w:val="231F20"/>
          <w:spacing w:val="-24"/>
          <w:w w:val="105"/>
          <w:sz w:val="19"/>
        </w:rPr>
        <w:t> </w:t>
      </w:r>
      <w:r>
        <w:rPr>
          <w:color w:val="231F20"/>
          <w:w w:val="105"/>
          <w:sz w:val="19"/>
        </w:rPr>
        <w:t>suma,</w:t>
      </w:r>
      <w:r>
        <w:rPr>
          <w:color w:val="231F20"/>
          <w:spacing w:val="-24"/>
          <w:w w:val="105"/>
          <w:sz w:val="19"/>
        </w:rPr>
        <w:t> </w:t>
      </w:r>
      <w:r>
        <w:rPr>
          <w:color w:val="231F20"/>
          <w:w w:val="105"/>
          <w:sz w:val="19"/>
        </w:rPr>
        <w:t>por</w:t>
      </w:r>
      <w:r>
        <w:rPr>
          <w:color w:val="231F20"/>
          <w:spacing w:val="-24"/>
          <w:w w:val="105"/>
          <w:sz w:val="19"/>
        </w:rPr>
        <w:t> </w:t>
      </w:r>
      <w:r>
        <w:rPr>
          <w:color w:val="231F20"/>
          <w:w w:val="105"/>
          <w:sz w:val="19"/>
        </w:rPr>
        <w:t>lo</w:t>
      </w:r>
      <w:r>
        <w:rPr>
          <w:color w:val="231F20"/>
          <w:spacing w:val="-24"/>
          <w:w w:val="105"/>
          <w:sz w:val="19"/>
        </w:rPr>
        <w:t> </w:t>
      </w:r>
      <w:r>
        <w:rPr>
          <w:color w:val="231F20"/>
          <w:w w:val="105"/>
          <w:sz w:val="19"/>
        </w:rPr>
        <w:t>que</w:t>
      </w:r>
      <w:r>
        <w:rPr>
          <w:color w:val="231F20"/>
          <w:spacing w:val="-24"/>
          <w:w w:val="105"/>
          <w:sz w:val="19"/>
        </w:rPr>
        <w:t> </w:t>
      </w:r>
      <w:r>
        <w:rPr>
          <w:color w:val="231F20"/>
          <w:w w:val="105"/>
          <w:sz w:val="19"/>
        </w:rPr>
        <w:t>denominaré</w:t>
      </w:r>
      <w:r>
        <w:rPr>
          <w:color w:val="231F20"/>
          <w:spacing w:val="-24"/>
          <w:w w:val="105"/>
          <w:sz w:val="19"/>
        </w:rPr>
        <w:t> </w:t>
      </w:r>
      <w:r>
        <w:rPr>
          <w:color w:val="231F20"/>
          <w:w w:val="105"/>
          <w:sz w:val="19"/>
        </w:rPr>
        <w:t>“el</w:t>
      </w:r>
      <w:r>
        <w:rPr>
          <w:color w:val="231F20"/>
          <w:spacing w:val="-24"/>
          <w:w w:val="105"/>
          <w:sz w:val="19"/>
        </w:rPr>
        <w:t> </w:t>
      </w:r>
      <w:r>
        <w:rPr>
          <w:color w:val="231F20"/>
          <w:w w:val="105"/>
          <w:sz w:val="19"/>
        </w:rPr>
        <w:t>monstruo</w:t>
      </w:r>
      <w:r>
        <w:rPr>
          <w:color w:val="231F20"/>
          <w:spacing w:val="-24"/>
          <w:w w:val="105"/>
          <w:sz w:val="19"/>
        </w:rPr>
        <w:t> </w:t>
      </w:r>
      <w:r>
        <w:rPr>
          <w:color w:val="231F20"/>
          <w:w w:val="105"/>
          <w:sz w:val="19"/>
        </w:rPr>
        <w:t>amable”</w:t>
      </w:r>
      <w:r>
        <w:rPr>
          <w:color w:val="231F20"/>
          <w:w w:val="105"/>
          <w:position w:val="6"/>
          <w:sz w:val="11"/>
        </w:rPr>
        <w:t>30</w:t>
      </w:r>
      <w:r>
        <w:rPr>
          <w:color w:val="231F20"/>
          <w:w w:val="105"/>
          <w:sz w:val="19"/>
        </w:rPr>
        <w:t>.</w:t>
      </w:r>
    </w:p>
    <w:p>
      <w:pPr>
        <w:pStyle w:val="BodyText"/>
        <w:spacing w:before="11"/>
        <w:rPr>
          <w:sz w:val="23"/>
        </w:rPr>
      </w:pPr>
    </w:p>
    <w:p>
      <w:pPr>
        <w:pStyle w:val="BodyText"/>
        <w:spacing w:line="244" w:lineRule="auto"/>
        <w:ind w:left="117" w:right="101"/>
        <w:jc w:val="both"/>
      </w:pPr>
      <w:r>
        <w:rPr>
          <w:color w:val="231F20"/>
          <w:w w:val="105"/>
        </w:rPr>
        <w:t>Resulta casi contradictorio pensar que un régimen lleno de paradojas, como</w:t>
      </w:r>
      <w:r>
        <w:rPr>
          <w:color w:val="231F20"/>
          <w:spacing w:val="-14"/>
          <w:w w:val="105"/>
        </w:rPr>
        <w:t> </w:t>
      </w:r>
      <w:r>
        <w:rPr>
          <w:color w:val="231F20"/>
          <w:w w:val="105"/>
        </w:rPr>
        <w:t>las</w:t>
      </w:r>
      <w:r>
        <w:rPr>
          <w:color w:val="231F20"/>
          <w:spacing w:val="-14"/>
          <w:w w:val="105"/>
        </w:rPr>
        <w:t> </w:t>
      </w:r>
      <w:r>
        <w:rPr>
          <w:color w:val="231F20"/>
          <w:w w:val="105"/>
        </w:rPr>
        <w:t>expuestas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apartado</w:t>
      </w:r>
      <w:r>
        <w:rPr>
          <w:color w:val="231F20"/>
          <w:spacing w:val="-14"/>
          <w:w w:val="105"/>
        </w:rPr>
        <w:t> </w:t>
      </w:r>
      <w:r>
        <w:rPr>
          <w:color w:val="231F20"/>
          <w:spacing w:val="-3"/>
          <w:w w:val="105"/>
        </w:rPr>
        <w:t>anterior,</w:t>
      </w:r>
      <w:r>
        <w:rPr>
          <w:color w:val="231F20"/>
          <w:spacing w:val="-14"/>
          <w:w w:val="105"/>
        </w:rPr>
        <w:t> </w:t>
      </w:r>
      <w:r>
        <w:rPr>
          <w:color w:val="231F20"/>
          <w:w w:val="105"/>
        </w:rPr>
        <w:t>pueda</w:t>
      </w:r>
      <w:r>
        <w:rPr>
          <w:color w:val="231F20"/>
          <w:spacing w:val="-14"/>
          <w:w w:val="105"/>
        </w:rPr>
        <w:t> </w:t>
      </w:r>
      <w:r>
        <w:rPr>
          <w:color w:val="231F20"/>
          <w:w w:val="105"/>
        </w:rPr>
        <w:t>al</w:t>
      </w:r>
      <w:r>
        <w:rPr>
          <w:color w:val="231F20"/>
          <w:spacing w:val="-14"/>
          <w:w w:val="105"/>
        </w:rPr>
        <w:t> </w:t>
      </w:r>
      <w:r>
        <w:rPr>
          <w:color w:val="231F20"/>
          <w:w w:val="105"/>
        </w:rPr>
        <w:t>final</w:t>
      </w:r>
      <w:r>
        <w:rPr>
          <w:color w:val="231F20"/>
          <w:spacing w:val="-14"/>
          <w:w w:val="105"/>
        </w:rPr>
        <w:t> </w:t>
      </w:r>
      <w:r>
        <w:rPr>
          <w:color w:val="231F20"/>
          <w:w w:val="105"/>
        </w:rPr>
        <w:t>convertirse</w:t>
      </w:r>
      <w:r>
        <w:rPr>
          <w:color w:val="231F20"/>
          <w:spacing w:val="-14"/>
          <w:w w:val="105"/>
        </w:rPr>
        <w:t> </w:t>
      </w:r>
      <w:r>
        <w:rPr>
          <w:color w:val="231F20"/>
          <w:w w:val="105"/>
        </w:rPr>
        <w:t>en un</w:t>
      </w:r>
      <w:r>
        <w:rPr>
          <w:color w:val="231F20"/>
          <w:spacing w:val="-35"/>
          <w:w w:val="105"/>
        </w:rPr>
        <w:t> </w:t>
      </w:r>
      <w:r>
        <w:rPr>
          <w:rFonts w:ascii="Arial" w:hAnsi="Arial"/>
          <w:i/>
          <w:color w:val="231F20"/>
          <w:w w:val="105"/>
        </w:rPr>
        <w:t>monstruo</w:t>
      </w:r>
      <w:r>
        <w:rPr>
          <w:rFonts w:ascii="Arial" w:hAnsi="Arial"/>
          <w:i/>
          <w:color w:val="231F20"/>
          <w:spacing w:val="-28"/>
          <w:w w:val="105"/>
        </w:rPr>
        <w:t> </w:t>
      </w:r>
      <w:r>
        <w:rPr>
          <w:rFonts w:ascii="Arial" w:hAnsi="Arial"/>
          <w:i/>
          <w:color w:val="231F20"/>
          <w:w w:val="105"/>
        </w:rPr>
        <w:t>amable</w:t>
      </w:r>
      <w:r>
        <w:rPr>
          <w:color w:val="231F20"/>
          <w:w w:val="105"/>
        </w:rPr>
        <w:t>:</w:t>
      </w:r>
      <w:r>
        <w:rPr>
          <w:color w:val="231F20"/>
          <w:spacing w:val="-35"/>
          <w:w w:val="105"/>
        </w:rPr>
        <w:t> </w:t>
      </w:r>
      <w:r>
        <w:rPr>
          <w:color w:val="231F20"/>
          <w:w w:val="105"/>
        </w:rPr>
        <w:t>¿cómo</w:t>
      </w:r>
      <w:r>
        <w:rPr>
          <w:color w:val="231F20"/>
          <w:spacing w:val="-35"/>
          <w:w w:val="105"/>
        </w:rPr>
        <w:t> </w:t>
      </w:r>
      <w:r>
        <w:rPr>
          <w:color w:val="231F20"/>
          <w:w w:val="105"/>
        </w:rPr>
        <w:t>podría</w:t>
      </w:r>
      <w:r>
        <w:rPr>
          <w:color w:val="231F20"/>
          <w:spacing w:val="-35"/>
          <w:w w:val="105"/>
        </w:rPr>
        <w:t> </w:t>
      </w:r>
      <w:r>
        <w:rPr>
          <w:color w:val="231F20"/>
          <w:w w:val="105"/>
        </w:rPr>
        <w:t>amarse</w:t>
      </w:r>
      <w:r>
        <w:rPr>
          <w:color w:val="231F20"/>
          <w:spacing w:val="-35"/>
          <w:w w:val="105"/>
        </w:rPr>
        <w:t> </w:t>
      </w:r>
      <w:r>
        <w:rPr>
          <w:color w:val="231F20"/>
          <w:w w:val="105"/>
        </w:rPr>
        <w:t>una</w:t>
      </w:r>
      <w:r>
        <w:rPr>
          <w:color w:val="231F20"/>
          <w:spacing w:val="-35"/>
          <w:w w:val="105"/>
        </w:rPr>
        <w:t> </w:t>
      </w:r>
      <w:r>
        <w:rPr>
          <w:color w:val="231F20"/>
          <w:w w:val="105"/>
        </w:rPr>
        <w:t>paradoja</w:t>
      </w:r>
      <w:r>
        <w:rPr>
          <w:color w:val="231F20"/>
          <w:spacing w:val="-35"/>
          <w:w w:val="105"/>
        </w:rPr>
        <w:t> </w:t>
      </w:r>
      <w:r>
        <w:rPr>
          <w:color w:val="231F20"/>
          <w:w w:val="105"/>
        </w:rPr>
        <w:t>que</w:t>
      </w:r>
      <w:r>
        <w:rPr>
          <w:color w:val="231F20"/>
          <w:spacing w:val="-35"/>
          <w:w w:val="105"/>
        </w:rPr>
        <w:t> </w:t>
      </w:r>
      <w:r>
        <w:rPr>
          <w:color w:val="231F20"/>
          <w:w w:val="105"/>
        </w:rPr>
        <w:t>nos</w:t>
      </w:r>
      <w:r>
        <w:rPr>
          <w:color w:val="231F20"/>
          <w:spacing w:val="-35"/>
          <w:w w:val="105"/>
        </w:rPr>
        <w:t> </w:t>
      </w:r>
      <w:r>
        <w:rPr>
          <w:color w:val="231F20"/>
          <w:w w:val="105"/>
        </w:rPr>
        <w:t>termina sometiendo</w:t>
      </w:r>
      <w:r>
        <w:rPr>
          <w:color w:val="231F20"/>
          <w:spacing w:val="-41"/>
          <w:w w:val="105"/>
        </w:rPr>
        <w:t> </w:t>
      </w:r>
      <w:r>
        <w:rPr>
          <w:color w:val="231F20"/>
          <w:w w:val="105"/>
        </w:rPr>
        <w:t>y</w:t>
      </w:r>
      <w:r>
        <w:rPr>
          <w:color w:val="231F20"/>
          <w:spacing w:val="-41"/>
          <w:w w:val="105"/>
        </w:rPr>
        <w:t> </w:t>
      </w:r>
      <w:r>
        <w:rPr>
          <w:color w:val="231F20"/>
          <w:w w:val="105"/>
        </w:rPr>
        <w:t>humillando?</w:t>
      </w:r>
      <w:r>
        <w:rPr>
          <w:color w:val="231F20"/>
          <w:spacing w:val="-41"/>
          <w:w w:val="105"/>
        </w:rPr>
        <w:t> </w:t>
      </w:r>
      <w:r>
        <w:rPr>
          <w:color w:val="231F20"/>
          <w:w w:val="105"/>
        </w:rPr>
        <w:t>La</w:t>
      </w:r>
      <w:r>
        <w:rPr>
          <w:color w:val="231F20"/>
          <w:spacing w:val="-41"/>
          <w:w w:val="105"/>
        </w:rPr>
        <w:t> </w:t>
      </w:r>
      <w:r>
        <w:rPr>
          <w:color w:val="231F20"/>
          <w:w w:val="105"/>
        </w:rPr>
        <w:t>respuesta</w:t>
      </w:r>
      <w:r>
        <w:rPr>
          <w:color w:val="231F20"/>
          <w:spacing w:val="-41"/>
          <w:w w:val="105"/>
        </w:rPr>
        <w:t> </w:t>
      </w:r>
      <w:r>
        <w:rPr>
          <w:color w:val="231F20"/>
          <w:w w:val="105"/>
        </w:rPr>
        <w:t>es</w:t>
      </w:r>
      <w:r>
        <w:rPr>
          <w:color w:val="231F20"/>
          <w:spacing w:val="-41"/>
          <w:w w:val="105"/>
        </w:rPr>
        <w:t> </w:t>
      </w:r>
      <w:r>
        <w:rPr>
          <w:color w:val="231F20"/>
          <w:w w:val="105"/>
        </w:rPr>
        <w:t>en</w:t>
      </w:r>
      <w:r>
        <w:rPr>
          <w:color w:val="231F20"/>
          <w:spacing w:val="-41"/>
          <w:w w:val="105"/>
        </w:rPr>
        <w:t> </w:t>
      </w:r>
      <w:r>
        <w:rPr>
          <w:color w:val="231F20"/>
          <w:w w:val="105"/>
        </w:rPr>
        <w:t>sí</w:t>
      </w:r>
      <w:r>
        <w:rPr>
          <w:color w:val="231F20"/>
          <w:spacing w:val="-41"/>
          <w:w w:val="105"/>
        </w:rPr>
        <w:t> </w:t>
      </w:r>
      <w:r>
        <w:rPr>
          <w:color w:val="231F20"/>
          <w:w w:val="105"/>
        </w:rPr>
        <w:t>misma</w:t>
      </w:r>
      <w:r>
        <w:rPr>
          <w:color w:val="231F20"/>
          <w:spacing w:val="-41"/>
          <w:w w:val="105"/>
        </w:rPr>
        <w:t> </w:t>
      </w:r>
      <w:r>
        <w:rPr>
          <w:color w:val="231F20"/>
          <w:w w:val="105"/>
        </w:rPr>
        <w:t>aporética.</w:t>
      </w:r>
      <w:r>
        <w:rPr>
          <w:color w:val="231F20"/>
          <w:spacing w:val="-41"/>
          <w:w w:val="105"/>
        </w:rPr>
        <w:t> </w:t>
      </w:r>
      <w:r>
        <w:rPr>
          <w:color w:val="231F20"/>
          <w:w w:val="105"/>
        </w:rPr>
        <w:t>Las</w:t>
      </w:r>
      <w:r>
        <w:rPr>
          <w:color w:val="231F20"/>
          <w:spacing w:val="-41"/>
          <w:w w:val="105"/>
        </w:rPr>
        <w:t> </w:t>
      </w:r>
      <w:r>
        <w:rPr>
          <w:color w:val="231F20"/>
          <w:w w:val="105"/>
        </w:rPr>
        <w:t>para- dojas</w:t>
      </w:r>
      <w:r>
        <w:rPr>
          <w:color w:val="231F20"/>
          <w:spacing w:val="-43"/>
          <w:w w:val="105"/>
        </w:rPr>
        <w:t> </w:t>
      </w:r>
      <w:r>
        <w:rPr>
          <w:color w:val="231F20"/>
          <w:w w:val="105"/>
        </w:rPr>
        <w:t>se</w:t>
      </w:r>
      <w:r>
        <w:rPr>
          <w:color w:val="231F20"/>
          <w:spacing w:val="-43"/>
          <w:w w:val="105"/>
        </w:rPr>
        <w:t> </w:t>
      </w:r>
      <w:r>
        <w:rPr>
          <w:color w:val="231F20"/>
          <w:w w:val="105"/>
        </w:rPr>
        <w:t>han</w:t>
      </w:r>
      <w:r>
        <w:rPr>
          <w:color w:val="231F20"/>
          <w:spacing w:val="-43"/>
          <w:w w:val="105"/>
        </w:rPr>
        <w:t> </w:t>
      </w:r>
      <w:r>
        <w:rPr>
          <w:color w:val="231F20"/>
          <w:w w:val="105"/>
        </w:rPr>
        <w:t>vuelto</w:t>
      </w:r>
      <w:r>
        <w:rPr>
          <w:color w:val="231F20"/>
          <w:spacing w:val="-43"/>
          <w:w w:val="105"/>
        </w:rPr>
        <w:t> </w:t>
      </w:r>
      <w:r>
        <w:rPr>
          <w:color w:val="231F20"/>
          <w:w w:val="105"/>
        </w:rPr>
        <w:t>soportables</w:t>
      </w:r>
      <w:r>
        <w:rPr>
          <w:color w:val="231F20"/>
          <w:spacing w:val="-43"/>
          <w:w w:val="105"/>
        </w:rPr>
        <w:t> </w:t>
      </w:r>
      <w:r>
        <w:rPr>
          <w:color w:val="231F20"/>
          <w:w w:val="105"/>
        </w:rPr>
        <w:t>y</w:t>
      </w:r>
      <w:r>
        <w:rPr>
          <w:color w:val="231F20"/>
          <w:spacing w:val="-43"/>
          <w:w w:val="105"/>
        </w:rPr>
        <w:t> </w:t>
      </w:r>
      <w:r>
        <w:rPr>
          <w:color w:val="231F20"/>
          <w:w w:val="105"/>
        </w:rPr>
        <w:t>amables</w:t>
      </w:r>
      <w:r>
        <w:rPr>
          <w:color w:val="231F20"/>
          <w:spacing w:val="-43"/>
          <w:w w:val="105"/>
        </w:rPr>
        <w:t> </w:t>
      </w:r>
      <w:r>
        <w:rPr>
          <w:color w:val="231F20"/>
          <w:w w:val="105"/>
        </w:rPr>
        <w:t>porque</w:t>
      </w:r>
      <w:r>
        <w:rPr>
          <w:color w:val="231F20"/>
          <w:spacing w:val="-43"/>
          <w:w w:val="105"/>
        </w:rPr>
        <w:t> </w:t>
      </w:r>
      <w:r>
        <w:rPr>
          <w:color w:val="231F20"/>
          <w:w w:val="105"/>
        </w:rPr>
        <w:t>se</w:t>
      </w:r>
      <w:r>
        <w:rPr>
          <w:color w:val="231F20"/>
          <w:spacing w:val="-43"/>
          <w:w w:val="105"/>
        </w:rPr>
        <w:t> </w:t>
      </w:r>
      <w:r>
        <w:rPr>
          <w:color w:val="231F20"/>
          <w:w w:val="105"/>
        </w:rPr>
        <w:t>han</w:t>
      </w:r>
      <w:r>
        <w:rPr>
          <w:color w:val="231F20"/>
          <w:spacing w:val="-43"/>
          <w:w w:val="105"/>
        </w:rPr>
        <w:t> </w:t>
      </w:r>
      <w:r>
        <w:rPr>
          <w:color w:val="231F20"/>
          <w:w w:val="105"/>
        </w:rPr>
        <w:t>naturalizado,</w:t>
      </w:r>
      <w:r>
        <w:rPr>
          <w:color w:val="231F20"/>
          <w:spacing w:val="-43"/>
          <w:w w:val="105"/>
        </w:rPr>
        <w:t> </w:t>
      </w:r>
      <w:r>
        <w:rPr>
          <w:color w:val="231F20"/>
          <w:spacing w:val="-3"/>
          <w:w w:val="105"/>
        </w:rPr>
        <w:t>por-</w:t>
      </w:r>
    </w:p>
    <w:p>
      <w:pPr>
        <w:pStyle w:val="BodyText"/>
        <w:spacing w:before="1"/>
        <w:rPr>
          <w:sz w:val="16"/>
        </w:rPr>
      </w:pPr>
      <w:r>
        <w:rPr/>
        <w:pict>
          <v:line style="position:absolute;mso-position-horizontal-relative:page;mso-position-vertical-relative:paragraph;z-index:4456;mso-wrap-distance-left:0;mso-wrap-distance-right:0" from="70.866096pt,11.84472pt" to="184.252096pt,11.84472pt" stroked="true" strokeweight=".3pt" strokecolor="#231f20">
            <w10:wrap type="topAndBottom"/>
          </v:line>
        </w:pict>
      </w:r>
    </w:p>
    <w:p>
      <w:pPr>
        <w:spacing w:line="206" w:lineRule="exact" w:before="10"/>
        <w:ind w:left="117" w:right="0" w:firstLine="0"/>
        <w:jc w:val="left"/>
        <w:rPr>
          <w:rFonts w:ascii="Calibri" w:hAnsi="Calibri"/>
          <w:sz w:val="17"/>
        </w:rPr>
      </w:pPr>
      <w:r>
        <w:rPr>
          <w:rFonts w:ascii="Calibri" w:hAnsi="Calibri"/>
          <w:color w:val="231F20"/>
          <w:position w:val="6"/>
          <w:sz w:val="10"/>
        </w:rPr>
        <w:t>27  </w:t>
      </w:r>
      <w:r>
        <w:rPr>
          <w:rFonts w:ascii="Calibri" w:hAnsi="Calibri"/>
          <w:color w:val="231F20"/>
          <w:sz w:val="17"/>
        </w:rPr>
        <w:t>P. P. Pasolini, </w:t>
      </w:r>
      <w:r>
        <w:rPr>
          <w:rFonts w:ascii="Calibri" w:hAnsi="Calibri"/>
          <w:i/>
          <w:color w:val="231F20"/>
          <w:sz w:val="17"/>
        </w:rPr>
        <w:t>Escritos corsarios</w:t>
      </w:r>
      <w:r>
        <w:rPr>
          <w:rFonts w:ascii="Calibri" w:hAnsi="Calibri"/>
          <w:color w:val="231F20"/>
          <w:sz w:val="17"/>
        </w:rPr>
        <w:t>, Madrid, Ediciones del Oriente y del Mediterráneo, 2009.</w:t>
      </w:r>
    </w:p>
    <w:p>
      <w:pPr>
        <w:spacing w:line="204" w:lineRule="exact" w:before="0"/>
        <w:ind w:left="117" w:right="0" w:firstLine="0"/>
        <w:jc w:val="left"/>
        <w:rPr>
          <w:rFonts w:ascii="Calibri" w:hAnsi="Calibri"/>
          <w:sz w:val="17"/>
        </w:rPr>
      </w:pPr>
      <w:r>
        <w:rPr>
          <w:rFonts w:ascii="Calibri" w:hAnsi="Calibri"/>
          <w:color w:val="231F20"/>
          <w:position w:val="6"/>
          <w:sz w:val="10"/>
        </w:rPr>
        <w:t>28 </w:t>
      </w:r>
      <w:r>
        <w:rPr>
          <w:rFonts w:ascii="Calibri" w:hAnsi="Calibri"/>
          <w:color w:val="231F20"/>
          <w:sz w:val="17"/>
        </w:rPr>
        <w:t>H. Marcuse, </w:t>
      </w:r>
      <w:r>
        <w:rPr>
          <w:rFonts w:ascii="Calibri" w:hAnsi="Calibri"/>
          <w:i/>
          <w:color w:val="231F20"/>
          <w:sz w:val="17"/>
        </w:rPr>
        <w:t>El hombre unidimensional</w:t>
      </w:r>
      <w:r>
        <w:rPr>
          <w:rFonts w:ascii="Calibri" w:hAnsi="Calibri"/>
          <w:color w:val="231F20"/>
          <w:sz w:val="17"/>
        </w:rPr>
        <w:t>, México, Planeta, 1993, p. 105.</w:t>
      </w:r>
    </w:p>
    <w:p>
      <w:pPr>
        <w:spacing w:line="204" w:lineRule="exact" w:before="0"/>
        <w:ind w:left="117" w:right="0" w:firstLine="0"/>
        <w:jc w:val="left"/>
        <w:rPr>
          <w:rFonts w:ascii="Calibri" w:hAnsi="Calibri"/>
          <w:sz w:val="17"/>
        </w:rPr>
      </w:pPr>
      <w:r>
        <w:rPr>
          <w:rFonts w:ascii="Calibri" w:hAnsi="Calibri"/>
          <w:color w:val="231F20"/>
          <w:position w:val="6"/>
          <w:sz w:val="10"/>
        </w:rPr>
        <w:t>29 </w:t>
      </w:r>
      <w:r>
        <w:rPr>
          <w:rFonts w:ascii="Calibri" w:hAnsi="Calibri"/>
          <w:color w:val="231F20"/>
          <w:sz w:val="17"/>
        </w:rPr>
        <w:t>A. Badiou, </w:t>
      </w:r>
      <w:r>
        <w:rPr>
          <w:rFonts w:ascii="Calibri" w:hAnsi="Calibri"/>
          <w:i/>
          <w:color w:val="231F20"/>
          <w:sz w:val="17"/>
        </w:rPr>
        <w:t>Métaphysique du bonheur réel</w:t>
      </w:r>
      <w:r>
        <w:rPr>
          <w:rFonts w:ascii="Calibri" w:hAnsi="Calibri"/>
          <w:color w:val="231F20"/>
          <w:sz w:val="17"/>
        </w:rPr>
        <w:t>, Paris, </w:t>
      </w:r>
      <w:r>
        <w:rPr>
          <w:rFonts w:ascii="Calibri" w:hAnsi="Calibri"/>
          <w:color w:val="231F20"/>
          <w:sz w:val="15"/>
        </w:rPr>
        <w:t>PUF</w:t>
      </w:r>
      <w:r>
        <w:rPr>
          <w:rFonts w:ascii="Calibri" w:hAnsi="Calibri"/>
          <w:color w:val="231F20"/>
          <w:sz w:val="17"/>
        </w:rPr>
        <w:t>, 2015.</w:t>
      </w:r>
    </w:p>
    <w:p>
      <w:pPr>
        <w:spacing w:line="206" w:lineRule="exact" w:before="0"/>
        <w:ind w:left="117" w:right="0" w:firstLine="0"/>
        <w:jc w:val="left"/>
        <w:rPr>
          <w:rFonts w:ascii="Calibri"/>
          <w:sz w:val="17"/>
        </w:rPr>
      </w:pPr>
      <w:r>
        <w:rPr>
          <w:rFonts w:ascii="Calibri"/>
          <w:color w:val="231F20"/>
          <w:position w:val="6"/>
          <w:sz w:val="10"/>
        </w:rPr>
        <w:t>30 </w:t>
      </w:r>
      <w:r>
        <w:rPr>
          <w:rFonts w:ascii="Calibri"/>
          <w:color w:val="231F20"/>
          <w:sz w:val="17"/>
        </w:rPr>
        <w:t>Simone, </w:t>
      </w:r>
      <w:r>
        <w:rPr>
          <w:rFonts w:ascii="Calibri"/>
          <w:i/>
          <w:color w:val="231F20"/>
          <w:sz w:val="17"/>
        </w:rPr>
        <w:t>El monstruo amable</w:t>
      </w:r>
      <w:r>
        <w:rPr>
          <w:rFonts w:ascii="Calibri"/>
          <w:color w:val="231F20"/>
          <w:sz w:val="17"/>
        </w:rPr>
        <w:t>, p. 121.</w:t>
      </w:r>
    </w:p>
    <w:p>
      <w:pPr>
        <w:spacing w:after="0" w:line="206" w:lineRule="exact"/>
        <w:jc w:val="left"/>
        <w:rPr>
          <w:rFonts w:ascii="Calibri"/>
          <w:sz w:val="17"/>
        </w:rPr>
        <w:sectPr>
          <w:pgSz w:w="9640" w:h="13890"/>
          <w:pgMar w:top="0" w:bottom="280" w:left="1300" w:right="1200"/>
        </w:sectPr>
      </w:pPr>
    </w:p>
    <w:p>
      <w:pPr>
        <w:pStyle w:val="BodyText"/>
        <w:spacing w:line="247" w:lineRule="auto" w:before="107"/>
        <w:ind w:left="103" w:right="115"/>
        <w:jc w:val="both"/>
      </w:pPr>
      <w:r>
        <w:rPr>
          <w:color w:val="231F20"/>
          <w:w w:val="105"/>
        </w:rPr>
        <w:t>que</w:t>
      </w:r>
      <w:r>
        <w:rPr>
          <w:color w:val="231F20"/>
          <w:spacing w:val="-31"/>
          <w:w w:val="105"/>
        </w:rPr>
        <w:t> </w:t>
      </w:r>
      <w:r>
        <w:rPr>
          <w:color w:val="231F20"/>
          <w:w w:val="105"/>
        </w:rPr>
        <w:t>a</w:t>
      </w:r>
      <w:r>
        <w:rPr>
          <w:color w:val="231F20"/>
          <w:spacing w:val="-31"/>
          <w:w w:val="105"/>
        </w:rPr>
        <w:t> </w:t>
      </w:r>
      <w:r>
        <w:rPr>
          <w:color w:val="231F20"/>
          <w:w w:val="105"/>
        </w:rPr>
        <w:t>través</w:t>
      </w:r>
      <w:r>
        <w:rPr>
          <w:color w:val="231F20"/>
          <w:spacing w:val="-31"/>
          <w:w w:val="105"/>
        </w:rPr>
        <w:t> </w:t>
      </w:r>
      <w:r>
        <w:rPr>
          <w:color w:val="231F20"/>
          <w:w w:val="105"/>
        </w:rPr>
        <w:t>de</w:t>
      </w:r>
      <w:r>
        <w:rPr>
          <w:color w:val="231F20"/>
          <w:spacing w:val="-31"/>
          <w:w w:val="105"/>
        </w:rPr>
        <w:t> </w:t>
      </w:r>
      <w:r>
        <w:rPr>
          <w:color w:val="231F20"/>
          <w:w w:val="105"/>
        </w:rPr>
        <w:t>ellas</w:t>
      </w:r>
      <w:r>
        <w:rPr>
          <w:color w:val="231F20"/>
          <w:spacing w:val="-31"/>
          <w:w w:val="105"/>
        </w:rPr>
        <w:t> </w:t>
      </w:r>
      <w:r>
        <w:rPr>
          <w:color w:val="231F20"/>
          <w:w w:val="105"/>
        </w:rPr>
        <w:t>se</w:t>
      </w:r>
      <w:r>
        <w:rPr>
          <w:color w:val="231F20"/>
          <w:spacing w:val="-31"/>
          <w:w w:val="105"/>
        </w:rPr>
        <w:t> </w:t>
      </w:r>
      <w:r>
        <w:rPr>
          <w:color w:val="231F20"/>
          <w:w w:val="105"/>
        </w:rPr>
        <w:t>ha</w:t>
      </w:r>
      <w:r>
        <w:rPr>
          <w:color w:val="231F20"/>
          <w:spacing w:val="-31"/>
          <w:w w:val="105"/>
        </w:rPr>
        <w:t> </w:t>
      </w:r>
      <w:r>
        <w:rPr>
          <w:color w:val="231F20"/>
          <w:w w:val="105"/>
        </w:rPr>
        <w:t>suavizado</w:t>
      </w:r>
      <w:r>
        <w:rPr>
          <w:color w:val="231F20"/>
          <w:spacing w:val="-31"/>
          <w:w w:val="105"/>
        </w:rPr>
        <w:t> </w:t>
      </w:r>
      <w:r>
        <w:rPr>
          <w:color w:val="231F20"/>
          <w:w w:val="105"/>
        </w:rPr>
        <w:t>el</w:t>
      </w:r>
      <w:r>
        <w:rPr>
          <w:color w:val="231F20"/>
          <w:spacing w:val="-31"/>
          <w:w w:val="105"/>
        </w:rPr>
        <w:t> </w:t>
      </w:r>
      <w:r>
        <w:rPr>
          <w:color w:val="231F20"/>
          <w:w w:val="105"/>
        </w:rPr>
        <w:t>golpe</w:t>
      </w:r>
      <w:r>
        <w:rPr>
          <w:color w:val="231F20"/>
          <w:spacing w:val="-31"/>
          <w:w w:val="105"/>
        </w:rPr>
        <w:t> </w:t>
      </w:r>
      <w:r>
        <w:rPr>
          <w:color w:val="231F20"/>
          <w:w w:val="105"/>
        </w:rPr>
        <w:t>y</w:t>
      </w:r>
      <w:r>
        <w:rPr>
          <w:color w:val="231F20"/>
          <w:spacing w:val="-31"/>
          <w:w w:val="105"/>
        </w:rPr>
        <w:t> </w:t>
      </w:r>
      <w:r>
        <w:rPr>
          <w:color w:val="231F20"/>
          <w:w w:val="105"/>
        </w:rPr>
        <w:t>la</w:t>
      </w:r>
      <w:r>
        <w:rPr>
          <w:color w:val="231F20"/>
          <w:spacing w:val="-31"/>
          <w:w w:val="105"/>
        </w:rPr>
        <w:t> </w:t>
      </w:r>
      <w:r>
        <w:rPr>
          <w:color w:val="231F20"/>
          <w:w w:val="105"/>
        </w:rPr>
        <w:t>fuerza</w:t>
      </w:r>
      <w:r>
        <w:rPr>
          <w:color w:val="231F20"/>
          <w:spacing w:val="-31"/>
          <w:w w:val="105"/>
        </w:rPr>
        <w:t> </w:t>
      </w:r>
      <w:r>
        <w:rPr>
          <w:color w:val="231F20"/>
          <w:w w:val="105"/>
        </w:rPr>
        <w:t>de</w:t>
      </w:r>
      <w:r>
        <w:rPr>
          <w:color w:val="231F20"/>
          <w:spacing w:val="-31"/>
          <w:w w:val="105"/>
        </w:rPr>
        <w:t> </w:t>
      </w:r>
      <w:r>
        <w:rPr>
          <w:color w:val="231F20"/>
          <w:w w:val="105"/>
        </w:rPr>
        <w:t>un</w:t>
      </w:r>
      <w:r>
        <w:rPr>
          <w:color w:val="231F20"/>
          <w:spacing w:val="-31"/>
          <w:w w:val="105"/>
        </w:rPr>
        <w:t> </w:t>
      </w:r>
      <w:r>
        <w:rPr>
          <w:color w:val="231F20"/>
          <w:w w:val="105"/>
        </w:rPr>
        <w:t>sistema</w:t>
      </w:r>
      <w:r>
        <w:rPr>
          <w:color w:val="231F20"/>
          <w:spacing w:val="-31"/>
          <w:w w:val="105"/>
        </w:rPr>
        <w:t> </w:t>
      </w:r>
      <w:r>
        <w:rPr>
          <w:color w:val="231F20"/>
          <w:w w:val="105"/>
        </w:rPr>
        <w:t>que somete</w:t>
      </w:r>
      <w:r>
        <w:rPr>
          <w:color w:val="231F20"/>
          <w:spacing w:val="-38"/>
          <w:w w:val="105"/>
        </w:rPr>
        <w:t> </w:t>
      </w:r>
      <w:r>
        <w:rPr>
          <w:color w:val="231F20"/>
          <w:w w:val="105"/>
        </w:rPr>
        <w:t>y</w:t>
      </w:r>
      <w:r>
        <w:rPr>
          <w:color w:val="231F20"/>
          <w:spacing w:val="-38"/>
          <w:w w:val="105"/>
        </w:rPr>
        <w:t> </w:t>
      </w:r>
      <w:r>
        <w:rPr>
          <w:color w:val="231F20"/>
          <w:w w:val="105"/>
        </w:rPr>
        <w:t>humilla,</w:t>
      </w:r>
      <w:r>
        <w:rPr>
          <w:color w:val="231F20"/>
          <w:spacing w:val="-38"/>
          <w:w w:val="105"/>
        </w:rPr>
        <w:t> </w:t>
      </w:r>
      <w:r>
        <w:rPr>
          <w:color w:val="231F20"/>
          <w:w w:val="105"/>
        </w:rPr>
        <w:t>pero</w:t>
      </w:r>
      <w:r>
        <w:rPr>
          <w:color w:val="231F20"/>
          <w:spacing w:val="-38"/>
          <w:w w:val="105"/>
        </w:rPr>
        <w:t> </w:t>
      </w:r>
      <w:r>
        <w:rPr>
          <w:color w:val="231F20"/>
          <w:w w:val="105"/>
        </w:rPr>
        <w:t>que</w:t>
      </w:r>
      <w:r>
        <w:rPr>
          <w:color w:val="231F20"/>
          <w:spacing w:val="-38"/>
          <w:w w:val="105"/>
        </w:rPr>
        <w:t> </w:t>
      </w:r>
      <w:r>
        <w:rPr>
          <w:color w:val="231F20"/>
          <w:w w:val="105"/>
        </w:rPr>
        <w:t>se</w:t>
      </w:r>
      <w:r>
        <w:rPr>
          <w:color w:val="231F20"/>
          <w:spacing w:val="-38"/>
          <w:w w:val="105"/>
        </w:rPr>
        <w:t> </w:t>
      </w:r>
      <w:r>
        <w:rPr>
          <w:color w:val="231F20"/>
          <w:w w:val="105"/>
        </w:rPr>
        <w:t>presenta</w:t>
      </w:r>
      <w:r>
        <w:rPr>
          <w:color w:val="231F20"/>
          <w:spacing w:val="-38"/>
          <w:w w:val="105"/>
        </w:rPr>
        <w:t> </w:t>
      </w:r>
      <w:r>
        <w:rPr>
          <w:color w:val="231F20"/>
          <w:w w:val="105"/>
        </w:rPr>
        <w:t>como</w:t>
      </w:r>
      <w:r>
        <w:rPr>
          <w:color w:val="231F20"/>
          <w:spacing w:val="-38"/>
          <w:w w:val="105"/>
        </w:rPr>
        <w:t> </w:t>
      </w:r>
      <w:r>
        <w:rPr>
          <w:color w:val="231F20"/>
          <w:w w:val="105"/>
        </w:rPr>
        <w:t>amable</w:t>
      </w:r>
      <w:r>
        <w:rPr>
          <w:color w:val="231F20"/>
          <w:spacing w:val="-38"/>
          <w:w w:val="105"/>
        </w:rPr>
        <w:t> </w:t>
      </w:r>
      <w:r>
        <w:rPr>
          <w:color w:val="231F20"/>
          <w:w w:val="105"/>
        </w:rPr>
        <w:t>e</w:t>
      </w:r>
      <w:r>
        <w:rPr>
          <w:color w:val="231F20"/>
          <w:spacing w:val="-38"/>
          <w:w w:val="105"/>
        </w:rPr>
        <w:t> </w:t>
      </w:r>
      <w:r>
        <w:rPr>
          <w:color w:val="231F20"/>
          <w:w w:val="105"/>
        </w:rPr>
        <w:t>incluyente,</w:t>
      </w:r>
      <w:r>
        <w:rPr>
          <w:color w:val="231F20"/>
          <w:spacing w:val="-38"/>
          <w:w w:val="105"/>
        </w:rPr>
        <w:t> </w:t>
      </w:r>
      <w:r>
        <w:rPr>
          <w:color w:val="231F20"/>
          <w:w w:val="105"/>
        </w:rPr>
        <w:t>lleno</w:t>
      </w:r>
      <w:r>
        <w:rPr>
          <w:color w:val="231F20"/>
          <w:spacing w:val="-38"/>
          <w:w w:val="105"/>
        </w:rPr>
        <w:t> </w:t>
      </w:r>
      <w:r>
        <w:rPr>
          <w:color w:val="231F20"/>
          <w:w w:val="105"/>
        </w:rPr>
        <w:t>de contradicciones</w:t>
      </w:r>
      <w:r>
        <w:rPr>
          <w:color w:val="231F20"/>
          <w:spacing w:val="-28"/>
          <w:w w:val="105"/>
        </w:rPr>
        <w:t> </w:t>
      </w:r>
      <w:r>
        <w:rPr>
          <w:color w:val="231F20"/>
          <w:w w:val="105"/>
        </w:rPr>
        <w:t>y</w:t>
      </w:r>
      <w:r>
        <w:rPr>
          <w:color w:val="231F20"/>
          <w:spacing w:val="-28"/>
          <w:w w:val="105"/>
        </w:rPr>
        <w:t> </w:t>
      </w:r>
      <w:r>
        <w:rPr>
          <w:color w:val="231F20"/>
          <w:w w:val="105"/>
        </w:rPr>
        <w:t>de</w:t>
      </w:r>
      <w:r>
        <w:rPr>
          <w:color w:val="231F20"/>
          <w:spacing w:val="-28"/>
          <w:w w:val="105"/>
        </w:rPr>
        <w:t> </w:t>
      </w:r>
      <w:r>
        <w:rPr>
          <w:color w:val="231F20"/>
          <w:w w:val="105"/>
        </w:rPr>
        <w:t>debilidades</w:t>
      </w:r>
      <w:r>
        <w:rPr>
          <w:color w:val="231F20"/>
          <w:spacing w:val="-28"/>
          <w:w w:val="105"/>
        </w:rPr>
        <w:t> </w:t>
      </w:r>
      <w:r>
        <w:rPr>
          <w:color w:val="231F20"/>
          <w:w w:val="105"/>
        </w:rPr>
        <w:t>que</w:t>
      </w:r>
      <w:r>
        <w:rPr>
          <w:color w:val="231F20"/>
          <w:spacing w:val="-28"/>
          <w:w w:val="105"/>
        </w:rPr>
        <w:t> </w:t>
      </w:r>
      <w:r>
        <w:rPr>
          <w:color w:val="231F20"/>
          <w:w w:val="105"/>
        </w:rPr>
        <w:t>terminan</w:t>
      </w:r>
      <w:r>
        <w:rPr>
          <w:color w:val="231F20"/>
          <w:spacing w:val="-28"/>
          <w:w w:val="105"/>
        </w:rPr>
        <w:t> </w:t>
      </w:r>
      <w:r>
        <w:rPr>
          <w:color w:val="231F20"/>
          <w:w w:val="105"/>
        </w:rPr>
        <w:t>abrazando</w:t>
      </w:r>
      <w:r>
        <w:rPr>
          <w:color w:val="231F20"/>
          <w:spacing w:val="-28"/>
          <w:w w:val="105"/>
        </w:rPr>
        <w:t> </w:t>
      </w:r>
      <w:r>
        <w:rPr>
          <w:color w:val="231F20"/>
          <w:w w:val="105"/>
        </w:rPr>
        <w:t>aquello</w:t>
      </w:r>
      <w:r>
        <w:rPr>
          <w:color w:val="231F20"/>
          <w:spacing w:val="-28"/>
          <w:w w:val="105"/>
        </w:rPr>
        <w:t> </w:t>
      </w:r>
      <w:r>
        <w:rPr>
          <w:color w:val="231F20"/>
          <w:w w:val="105"/>
        </w:rPr>
        <w:t>que</w:t>
      </w:r>
      <w:r>
        <w:rPr>
          <w:color w:val="231F20"/>
          <w:spacing w:val="-28"/>
          <w:w w:val="105"/>
        </w:rPr>
        <w:t> </w:t>
      </w:r>
      <w:r>
        <w:rPr>
          <w:color w:val="231F20"/>
          <w:w w:val="105"/>
        </w:rPr>
        <w:t>pa- rece</w:t>
      </w:r>
      <w:r>
        <w:rPr>
          <w:color w:val="231F20"/>
          <w:spacing w:val="-32"/>
          <w:w w:val="105"/>
        </w:rPr>
        <w:t> </w:t>
      </w:r>
      <w:r>
        <w:rPr>
          <w:color w:val="231F20"/>
          <w:w w:val="105"/>
        </w:rPr>
        <w:t>su</w:t>
      </w:r>
      <w:r>
        <w:rPr>
          <w:color w:val="231F20"/>
          <w:spacing w:val="-32"/>
          <w:w w:val="105"/>
        </w:rPr>
        <w:t> </w:t>
      </w:r>
      <w:r>
        <w:rPr>
          <w:color w:val="231F20"/>
          <w:w w:val="105"/>
        </w:rPr>
        <w:t>contrario,</w:t>
      </w:r>
      <w:r>
        <w:rPr>
          <w:color w:val="231F20"/>
          <w:spacing w:val="-32"/>
          <w:w w:val="105"/>
        </w:rPr>
        <w:t> </w:t>
      </w:r>
      <w:r>
        <w:rPr>
          <w:color w:val="231F20"/>
          <w:w w:val="105"/>
        </w:rPr>
        <w:t>por</w:t>
      </w:r>
      <w:r>
        <w:rPr>
          <w:color w:val="231F20"/>
          <w:spacing w:val="-32"/>
          <w:w w:val="105"/>
        </w:rPr>
        <w:t> </w:t>
      </w:r>
      <w:r>
        <w:rPr>
          <w:color w:val="231F20"/>
          <w:w w:val="105"/>
        </w:rPr>
        <w:t>ende,</w:t>
      </w:r>
      <w:r>
        <w:rPr>
          <w:color w:val="231F20"/>
          <w:spacing w:val="-32"/>
          <w:w w:val="105"/>
        </w:rPr>
        <w:t> </w:t>
      </w:r>
      <w:r>
        <w:rPr>
          <w:color w:val="231F20"/>
          <w:w w:val="105"/>
        </w:rPr>
        <w:t>monstruo</w:t>
      </w:r>
      <w:r>
        <w:rPr>
          <w:color w:val="231F20"/>
          <w:spacing w:val="-32"/>
          <w:w w:val="105"/>
        </w:rPr>
        <w:t> </w:t>
      </w:r>
      <w:r>
        <w:rPr>
          <w:color w:val="231F20"/>
          <w:w w:val="105"/>
        </w:rPr>
        <w:t>con</w:t>
      </w:r>
      <w:r>
        <w:rPr>
          <w:color w:val="231F20"/>
          <w:spacing w:val="-32"/>
          <w:w w:val="105"/>
        </w:rPr>
        <w:t> </w:t>
      </w:r>
      <w:r>
        <w:rPr>
          <w:color w:val="231F20"/>
          <w:w w:val="105"/>
        </w:rPr>
        <w:t>apariencia</w:t>
      </w:r>
      <w:r>
        <w:rPr>
          <w:color w:val="231F20"/>
          <w:spacing w:val="-32"/>
          <w:w w:val="105"/>
        </w:rPr>
        <w:t> </w:t>
      </w:r>
      <w:r>
        <w:rPr>
          <w:color w:val="231F20"/>
          <w:w w:val="105"/>
        </w:rPr>
        <w:t>débil</w:t>
      </w:r>
      <w:r>
        <w:rPr>
          <w:color w:val="231F20"/>
          <w:spacing w:val="-32"/>
          <w:w w:val="105"/>
        </w:rPr>
        <w:t> </w:t>
      </w:r>
      <w:r>
        <w:rPr>
          <w:color w:val="231F20"/>
          <w:w w:val="105"/>
        </w:rPr>
        <w:t>y</w:t>
      </w:r>
      <w:r>
        <w:rPr>
          <w:color w:val="231F20"/>
          <w:spacing w:val="-32"/>
          <w:w w:val="105"/>
        </w:rPr>
        <w:t> </w:t>
      </w:r>
      <w:r>
        <w:rPr>
          <w:color w:val="231F20"/>
          <w:w w:val="105"/>
        </w:rPr>
        <w:t>comprensiva, limitado</w:t>
      </w:r>
      <w:r>
        <w:rPr>
          <w:color w:val="231F20"/>
          <w:spacing w:val="-10"/>
          <w:w w:val="105"/>
        </w:rPr>
        <w:t> </w:t>
      </w:r>
      <w:r>
        <w:rPr>
          <w:color w:val="231F20"/>
          <w:w w:val="105"/>
        </w:rPr>
        <w:t>por</w:t>
      </w:r>
      <w:r>
        <w:rPr>
          <w:color w:val="231F20"/>
          <w:spacing w:val="-10"/>
          <w:w w:val="105"/>
        </w:rPr>
        <w:t> </w:t>
      </w:r>
      <w:r>
        <w:rPr>
          <w:color w:val="231F20"/>
          <w:w w:val="105"/>
        </w:rPr>
        <w:t>sus</w:t>
      </w:r>
      <w:r>
        <w:rPr>
          <w:color w:val="231F20"/>
          <w:spacing w:val="-10"/>
          <w:w w:val="105"/>
        </w:rPr>
        <w:t> </w:t>
      </w:r>
      <w:r>
        <w:rPr>
          <w:color w:val="231F20"/>
          <w:w w:val="105"/>
        </w:rPr>
        <w:t>propias</w:t>
      </w:r>
      <w:r>
        <w:rPr>
          <w:color w:val="231F20"/>
          <w:spacing w:val="-10"/>
          <w:w w:val="105"/>
        </w:rPr>
        <w:t> </w:t>
      </w:r>
      <w:r>
        <w:rPr>
          <w:color w:val="231F20"/>
          <w:w w:val="105"/>
        </w:rPr>
        <w:t>languideces.</w:t>
      </w:r>
      <w:r>
        <w:rPr>
          <w:color w:val="231F20"/>
          <w:spacing w:val="-10"/>
          <w:w w:val="105"/>
        </w:rPr>
        <w:t> </w:t>
      </w:r>
      <w:r>
        <w:rPr>
          <w:color w:val="231F20"/>
          <w:w w:val="105"/>
        </w:rPr>
        <w:t>Monstruo</w:t>
      </w:r>
      <w:r>
        <w:rPr>
          <w:color w:val="231F20"/>
          <w:spacing w:val="-10"/>
          <w:w w:val="105"/>
        </w:rPr>
        <w:t> </w:t>
      </w:r>
      <w:r>
        <w:rPr>
          <w:color w:val="231F20"/>
          <w:w w:val="105"/>
        </w:rPr>
        <w:t>aceptable</w:t>
      </w:r>
      <w:r>
        <w:rPr>
          <w:color w:val="231F20"/>
          <w:spacing w:val="-10"/>
          <w:w w:val="105"/>
        </w:rPr>
        <w:t> </w:t>
      </w:r>
      <w:r>
        <w:rPr>
          <w:color w:val="231F20"/>
          <w:w w:val="105"/>
        </w:rPr>
        <w:t>que</w:t>
      </w:r>
      <w:r>
        <w:rPr>
          <w:color w:val="231F20"/>
          <w:spacing w:val="-10"/>
          <w:w w:val="105"/>
        </w:rPr>
        <w:t> </w:t>
      </w:r>
      <w:r>
        <w:rPr>
          <w:color w:val="231F20"/>
          <w:w w:val="105"/>
        </w:rPr>
        <w:t>nos</w:t>
      </w:r>
      <w:r>
        <w:rPr>
          <w:color w:val="231F20"/>
          <w:spacing w:val="-10"/>
          <w:w w:val="105"/>
        </w:rPr>
        <w:t> </w:t>
      </w:r>
      <w:r>
        <w:rPr>
          <w:color w:val="231F20"/>
          <w:w w:val="105"/>
        </w:rPr>
        <w:t>invita a</w:t>
      </w:r>
      <w:r>
        <w:rPr>
          <w:color w:val="231F20"/>
          <w:spacing w:val="-21"/>
          <w:w w:val="105"/>
        </w:rPr>
        <w:t> </w:t>
      </w:r>
      <w:r>
        <w:rPr>
          <w:color w:val="231F20"/>
          <w:w w:val="105"/>
        </w:rPr>
        <w:t>tolerarlo</w:t>
      </w:r>
      <w:r>
        <w:rPr>
          <w:color w:val="231F20"/>
          <w:spacing w:val="-21"/>
          <w:w w:val="105"/>
        </w:rPr>
        <w:t> </w:t>
      </w:r>
      <w:r>
        <w:rPr>
          <w:color w:val="231F20"/>
          <w:w w:val="105"/>
        </w:rPr>
        <w:t>y</w:t>
      </w:r>
      <w:r>
        <w:rPr>
          <w:color w:val="231F20"/>
          <w:spacing w:val="-21"/>
          <w:w w:val="105"/>
        </w:rPr>
        <w:t> </w:t>
      </w:r>
      <w:r>
        <w:rPr>
          <w:color w:val="231F20"/>
          <w:w w:val="105"/>
        </w:rPr>
        <w:t>a</w:t>
      </w:r>
      <w:r>
        <w:rPr>
          <w:color w:val="231F20"/>
          <w:spacing w:val="-21"/>
          <w:w w:val="105"/>
        </w:rPr>
        <w:t> </w:t>
      </w:r>
      <w:r>
        <w:rPr>
          <w:color w:val="231F20"/>
          <w:w w:val="105"/>
        </w:rPr>
        <w:t>volvernos</w:t>
      </w:r>
      <w:r>
        <w:rPr>
          <w:color w:val="231F20"/>
          <w:spacing w:val="-21"/>
          <w:w w:val="105"/>
        </w:rPr>
        <w:t> </w:t>
      </w:r>
      <w:r>
        <w:rPr>
          <w:color w:val="231F20"/>
          <w:w w:val="105"/>
        </w:rPr>
        <w:t>complacientes.</w:t>
      </w:r>
      <w:r>
        <w:rPr>
          <w:color w:val="231F20"/>
          <w:spacing w:val="-21"/>
          <w:w w:val="105"/>
        </w:rPr>
        <w:t> </w:t>
      </w:r>
      <w:r>
        <w:rPr>
          <w:color w:val="231F20"/>
          <w:w w:val="105"/>
        </w:rPr>
        <w:t>Las</w:t>
      </w:r>
      <w:r>
        <w:rPr>
          <w:color w:val="231F20"/>
          <w:spacing w:val="-21"/>
          <w:w w:val="105"/>
        </w:rPr>
        <w:t> </w:t>
      </w:r>
      <w:r>
        <w:rPr>
          <w:color w:val="231F20"/>
          <w:w w:val="105"/>
        </w:rPr>
        <w:t>paradojas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globalización no</w:t>
      </w:r>
      <w:r>
        <w:rPr>
          <w:color w:val="231F20"/>
          <w:spacing w:val="-36"/>
          <w:w w:val="105"/>
        </w:rPr>
        <w:t> </w:t>
      </w:r>
      <w:r>
        <w:rPr>
          <w:color w:val="231F20"/>
          <w:w w:val="105"/>
        </w:rPr>
        <w:t>desaparecen,</w:t>
      </w:r>
      <w:r>
        <w:rPr>
          <w:color w:val="231F20"/>
          <w:spacing w:val="-36"/>
          <w:w w:val="105"/>
        </w:rPr>
        <w:t> </w:t>
      </w:r>
      <w:r>
        <w:rPr>
          <w:color w:val="231F20"/>
          <w:w w:val="105"/>
        </w:rPr>
        <w:t>pero</w:t>
      </w:r>
      <w:r>
        <w:rPr>
          <w:color w:val="231F20"/>
          <w:spacing w:val="-36"/>
          <w:w w:val="105"/>
        </w:rPr>
        <w:t> </w:t>
      </w:r>
      <w:r>
        <w:rPr>
          <w:color w:val="231F20"/>
          <w:w w:val="105"/>
        </w:rPr>
        <w:t>se</w:t>
      </w:r>
      <w:r>
        <w:rPr>
          <w:color w:val="231F20"/>
          <w:spacing w:val="-36"/>
          <w:w w:val="105"/>
        </w:rPr>
        <w:t> </w:t>
      </w:r>
      <w:r>
        <w:rPr>
          <w:color w:val="231F20"/>
          <w:w w:val="105"/>
        </w:rPr>
        <w:t>han</w:t>
      </w:r>
      <w:r>
        <w:rPr>
          <w:color w:val="231F20"/>
          <w:spacing w:val="-36"/>
          <w:w w:val="105"/>
        </w:rPr>
        <w:t> </w:t>
      </w:r>
      <w:r>
        <w:rPr>
          <w:color w:val="231F20"/>
          <w:w w:val="105"/>
        </w:rPr>
        <w:t>desactivado</w:t>
      </w:r>
      <w:r>
        <w:rPr>
          <w:color w:val="231F20"/>
          <w:spacing w:val="-36"/>
          <w:w w:val="105"/>
        </w:rPr>
        <w:t> </w:t>
      </w:r>
      <w:r>
        <w:rPr>
          <w:color w:val="231F20"/>
          <w:w w:val="105"/>
        </w:rPr>
        <w:t>porque</w:t>
      </w:r>
      <w:r>
        <w:rPr>
          <w:color w:val="231F20"/>
          <w:spacing w:val="-36"/>
          <w:w w:val="105"/>
        </w:rPr>
        <w:t> </w:t>
      </w:r>
      <w:r>
        <w:rPr>
          <w:color w:val="231F20"/>
          <w:w w:val="105"/>
        </w:rPr>
        <w:t>se</w:t>
      </w:r>
      <w:r>
        <w:rPr>
          <w:color w:val="231F20"/>
          <w:spacing w:val="-36"/>
          <w:w w:val="105"/>
        </w:rPr>
        <w:t> </w:t>
      </w:r>
      <w:r>
        <w:rPr>
          <w:color w:val="231F20"/>
          <w:w w:val="105"/>
        </w:rPr>
        <w:t>han</w:t>
      </w:r>
      <w:r>
        <w:rPr>
          <w:color w:val="231F20"/>
          <w:spacing w:val="-36"/>
          <w:w w:val="105"/>
        </w:rPr>
        <w:t> </w:t>
      </w:r>
      <w:r>
        <w:rPr>
          <w:color w:val="231F20"/>
          <w:w w:val="105"/>
        </w:rPr>
        <w:t>suavizado,</w:t>
      </w:r>
      <w:r>
        <w:rPr>
          <w:color w:val="231F20"/>
          <w:spacing w:val="-36"/>
          <w:w w:val="105"/>
        </w:rPr>
        <w:t> </w:t>
      </w:r>
      <w:r>
        <w:rPr>
          <w:color w:val="231F20"/>
          <w:w w:val="105"/>
        </w:rPr>
        <w:t>se</w:t>
      </w:r>
      <w:r>
        <w:rPr>
          <w:color w:val="231F20"/>
          <w:spacing w:val="-36"/>
          <w:w w:val="105"/>
        </w:rPr>
        <w:t> </w:t>
      </w:r>
      <w:r>
        <w:rPr>
          <w:color w:val="231F20"/>
          <w:w w:val="105"/>
        </w:rPr>
        <w:t>han naturalizado</w:t>
      </w:r>
      <w:r>
        <w:rPr>
          <w:color w:val="231F20"/>
          <w:spacing w:val="-9"/>
          <w:w w:val="105"/>
        </w:rPr>
        <w:t> </w:t>
      </w:r>
      <w:r>
        <w:rPr>
          <w:color w:val="231F20"/>
          <w:w w:val="105"/>
        </w:rPr>
        <w:t>o</w:t>
      </w:r>
      <w:r>
        <w:rPr>
          <w:color w:val="231F20"/>
          <w:spacing w:val="-9"/>
          <w:w w:val="105"/>
        </w:rPr>
        <w:t> </w:t>
      </w:r>
      <w:r>
        <w:rPr>
          <w:color w:val="231F20"/>
          <w:w w:val="105"/>
        </w:rPr>
        <w:t>se</w:t>
      </w:r>
      <w:r>
        <w:rPr>
          <w:color w:val="231F20"/>
          <w:spacing w:val="-9"/>
          <w:w w:val="105"/>
        </w:rPr>
        <w:t> </w:t>
      </w:r>
      <w:r>
        <w:rPr>
          <w:color w:val="231F20"/>
          <w:w w:val="105"/>
        </w:rPr>
        <w:t>ven</w:t>
      </w:r>
      <w:r>
        <w:rPr>
          <w:color w:val="231F20"/>
          <w:spacing w:val="-9"/>
          <w:w w:val="105"/>
        </w:rPr>
        <w:t> </w:t>
      </w:r>
      <w:r>
        <w:rPr>
          <w:color w:val="231F20"/>
          <w:w w:val="105"/>
        </w:rPr>
        <w:t>como</w:t>
      </w:r>
      <w:r>
        <w:rPr>
          <w:color w:val="231F20"/>
          <w:spacing w:val="-9"/>
          <w:w w:val="105"/>
        </w:rPr>
        <w:t> </w:t>
      </w:r>
      <w:r>
        <w:rPr>
          <w:color w:val="231F20"/>
          <w:w w:val="105"/>
        </w:rPr>
        <w:t>inevitables,</w:t>
      </w:r>
      <w:r>
        <w:rPr>
          <w:color w:val="231F20"/>
          <w:spacing w:val="-9"/>
          <w:w w:val="105"/>
        </w:rPr>
        <w:t> </w:t>
      </w:r>
      <w:r>
        <w:rPr>
          <w:color w:val="231F20"/>
          <w:w w:val="105"/>
        </w:rPr>
        <w:t>entonces</w:t>
      </w:r>
      <w:r>
        <w:rPr>
          <w:color w:val="231F20"/>
          <w:spacing w:val="-9"/>
          <w:w w:val="105"/>
        </w:rPr>
        <w:t> </w:t>
      </w:r>
      <w:r>
        <w:rPr>
          <w:color w:val="231F20"/>
          <w:w w:val="105"/>
        </w:rPr>
        <w:t>hay</w:t>
      </w:r>
      <w:r>
        <w:rPr>
          <w:color w:val="231F20"/>
          <w:spacing w:val="-9"/>
          <w:w w:val="105"/>
        </w:rPr>
        <w:t> </w:t>
      </w:r>
      <w:r>
        <w:rPr>
          <w:color w:val="231F20"/>
          <w:w w:val="105"/>
        </w:rPr>
        <w:t>que</w:t>
      </w:r>
      <w:r>
        <w:rPr>
          <w:color w:val="231F20"/>
          <w:spacing w:val="-10"/>
          <w:w w:val="105"/>
        </w:rPr>
        <w:t> </w:t>
      </w:r>
      <w:r>
        <w:rPr>
          <w:rFonts w:ascii="Arial" w:hAnsi="Arial"/>
          <w:i/>
          <w:color w:val="231F20"/>
          <w:w w:val="105"/>
        </w:rPr>
        <w:t>dejarlas</w:t>
      </w:r>
      <w:r>
        <w:rPr>
          <w:rFonts w:ascii="Arial" w:hAnsi="Arial"/>
          <w:i/>
          <w:color w:val="231F20"/>
          <w:spacing w:val="-2"/>
          <w:w w:val="105"/>
        </w:rPr>
        <w:t> </w:t>
      </w:r>
      <w:r>
        <w:rPr>
          <w:rFonts w:ascii="Arial" w:hAnsi="Arial"/>
          <w:i/>
          <w:color w:val="231F20"/>
          <w:w w:val="105"/>
        </w:rPr>
        <w:t>ser</w:t>
      </w:r>
      <w:r>
        <w:rPr>
          <w:rFonts w:ascii="Arial" w:hAnsi="Arial"/>
          <w:i/>
          <w:color w:val="231F20"/>
          <w:spacing w:val="-2"/>
          <w:w w:val="105"/>
        </w:rPr>
        <w:t> </w:t>
      </w:r>
      <w:r>
        <w:rPr>
          <w:rFonts w:ascii="Arial" w:hAnsi="Arial"/>
          <w:i/>
          <w:color w:val="231F20"/>
          <w:w w:val="105"/>
        </w:rPr>
        <w:t>y </w:t>
      </w:r>
      <w:r>
        <w:rPr>
          <w:rFonts w:ascii="Arial" w:hAnsi="Arial"/>
          <w:i/>
          <w:color w:val="231F20"/>
          <w:w w:val="105"/>
        </w:rPr>
        <w:t>dejarlas</w:t>
      </w:r>
      <w:r>
        <w:rPr>
          <w:rFonts w:ascii="Arial" w:hAnsi="Arial"/>
          <w:i/>
          <w:color w:val="231F20"/>
          <w:spacing w:val="-42"/>
          <w:w w:val="105"/>
        </w:rPr>
        <w:t> </w:t>
      </w:r>
      <w:r>
        <w:rPr>
          <w:rFonts w:ascii="Arial" w:hAnsi="Arial"/>
          <w:i/>
          <w:color w:val="231F20"/>
          <w:w w:val="105"/>
        </w:rPr>
        <w:t>pasar</w:t>
      </w:r>
      <w:r>
        <w:rPr>
          <w:color w:val="231F20"/>
          <w:w w:val="105"/>
        </w:rPr>
        <w:t>.</w:t>
      </w:r>
      <w:r>
        <w:rPr>
          <w:color w:val="231F20"/>
          <w:spacing w:val="-49"/>
          <w:w w:val="105"/>
        </w:rPr>
        <w:t> </w:t>
      </w:r>
      <w:r>
        <w:rPr>
          <w:color w:val="231F20"/>
          <w:w w:val="105"/>
        </w:rPr>
        <w:t>De</w:t>
      </w:r>
      <w:r>
        <w:rPr>
          <w:color w:val="231F20"/>
          <w:spacing w:val="-49"/>
          <w:w w:val="105"/>
        </w:rPr>
        <w:t> </w:t>
      </w:r>
      <w:r>
        <w:rPr>
          <w:color w:val="231F20"/>
          <w:w w:val="105"/>
        </w:rPr>
        <w:t>acuerdo</w:t>
      </w:r>
      <w:r>
        <w:rPr>
          <w:color w:val="231F20"/>
          <w:spacing w:val="-49"/>
          <w:w w:val="105"/>
        </w:rPr>
        <w:t> </w:t>
      </w:r>
      <w:r>
        <w:rPr>
          <w:color w:val="231F20"/>
          <w:w w:val="105"/>
        </w:rPr>
        <w:t>a</w:t>
      </w:r>
      <w:r>
        <w:rPr>
          <w:color w:val="231F20"/>
          <w:spacing w:val="-49"/>
          <w:w w:val="105"/>
        </w:rPr>
        <w:t> </w:t>
      </w:r>
      <w:r>
        <w:rPr>
          <w:color w:val="231F20"/>
          <w:w w:val="105"/>
        </w:rPr>
        <w:t>Foucault,</w:t>
      </w:r>
      <w:r>
        <w:rPr>
          <w:color w:val="231F20"/>
          <w:spacing w:val="-49"/>
          <w:w w:val="105"/>
        </w:rPr>
        <w:t> </w:t>
      </w:r>
      <w:r>
        <w:rPr>
          <w:color w:val="231F20"/>
          <w:w w:val="105"/>
        </w:rPr>
        <w:t>estas</w:t>
      </w:r>
      <w:r>
        <w:rPr>
          <w:color w:val="231F20"/>
          <w:spacing w:val="-49"/>
          <w:w w:val="105"/>
        </w:rPr>
        <w:t> </w:t>
      </w:r>
      <w:r>
        <w:rPr>
          <w:color w:val="231F20"/>
          <w:w w:val="105"/>
        </w:rPr>
        <w:t>aporías</w:t>
      </w:r>
      <w:r>
        <w:rPr>
          <w:color w:val="231F20"/>
          <w:spacing w:val="-49"/>
          <w:w w:val="105"/>
        </w:rPr>
        <w:t> </w:t>
      </w:r>
      <w:r>
        <w:rPr>
          <w:color w:val="231F20"/>
          <w:w w:val="105"/>
        </w:rPr>
        <w:t>han</w:t>
      </w:r>
      <w:r>
        <w:rPr>
          <w:color w:val="231F20"/>
          <w:spacing w:val="-49"/>
          <w:w w:val="105"/>
        </w:rPr>
        <w:t> </w:t>
      </w:r>
      <w:r>
        <w:rPr>
          <w:color w:val="231F20"/>
          <w:w w:val="105"/>
        </w:rPr>
        <w:t>asumido</w:t>
      </w:r>
      <w:r>
        <w:rPr>
          <w:color w:val="231F20"/>
          <w:spacing w:val="-49"/>
          <w:w w:val="105"/>
        </w:rPr>
        <w:t> </w:t>
      </w:r>
      <w:r>
        <w:rPr>
          <w:color w:val="231F20"/>
          <w:w w:val="105"/>
        </w:rPr>
        <w:t>el</w:t>
      </w:r>
      <w:r>
        <w:rPr>
          <w:color w:val="231F20"/>
          <w:spacing w:val="-49"/>
          <w:w w:val="105"/>
        </w:rPr>
        <w:t> </w:t>
      </w:r>
      <w:r>
        <w:rPr>
          <w:color w:val="231F20"/>
          <w:w w:val="105"/>
        </w:rPr>
        <w:t>natura- lismo</w:t>
      </w:r>
      <w:r>
        <w:rPr>
          <w:color w:val="231F20"/>
          <w:spacing w:val="-39"/>
          <w:w w:val="105"/>
        </w:rPr>
        <w:t> </w:t>
      </w:r>
      <w:r>
        <w:rPr>
          <w:color w:val="231F20"/>
          <w:w w:val="105"/>
        </w:rPr>
        <w:t>propio</w:t>
      </w:r>
      <w:r>
        <w:rPr>
          <w:color w:val="231F20"/>
          <w:spacing w:val="-39"/>
          <w:w w:val="105"/>
        </w:rPr>
        <w:t> </w:t>
      </w:r>
      <w:r>
        <w:rPr>
          <w:color w:val="231F20"/>
          <w:w w:val="105"/>
        </w:rPr>
        <w:t>del</w:t>
      </w:r>
      <w:r>
        <w:rPr>
          <w:color w:val="231F20"/>
          <w:spacing w:val="-39"/>
          <w:w w:val="105"/>
        </w:rPr>
        <w:t> </w:t>
      </w:r>
      <w:r>
        <w:rPr>
          <w:color w:val="231F20"/>
          <w:w w:val="105"/>
        </w:rPr>
        <w:t>liberalismo,</w:t>
      </w:r>
      <w:r>
        <w:rPr>
          <w:color w:val="231F20"/>
          <w:spacing w:val="-39"/>
          <w:w w:val="105"/>
        </w:rPr>
        <w:t> </w:t>
      </w:r>
      <w:r>
        <w:rPr>
          <w:color w:val="231F20"/>
          <w:w w:val="105"/>
        </w:rPr>
        <w:t>se</w:t>
      </w:r>
      <w:r>
        <w:rPr>
          <w:color w:val="231F20"/>
          <w:spacing w:val="-39"/>
          <w:w w:val="105"/>
        </w:rPr>
        <w:t> </w:t>
      </w:r>
      <w:r>
        <w:rPr>
          <w:color w:val="231F20"/>
          <w:w w:val="105"/>
        </w:rPr>
        <w:t>han</w:t>
      </w:r>
      <w:r>
        <w:rPr>
          <w:color w:val="231F20"/>
          <w:spacing w:val="-39"/>
          <w:w w:val="105"/>
        </w:rPr>
        <w:t> </w:t>
      </w:r>
      <w:r>
        <w:rPr>
          <w:color w:val="231F20"/>
          <w:w w:val="105"/>
        </w:rPr>
        <w:t>naturalizado</w:t>
      </w:r>
      <w:r>
        <w:rPr>
          <w:color w:val="231F20"/>
          <w:spacing w:val="-39"/>
          <w:w w:val="105"/>
        </w:rPr>
        <w:t> </w:t>
      </w:r>
      <w:r>
        <w:rPr>
          <w:color w:val="231F20"/>
          <w:w w:val="105"/>
        </w:rPr>
        <w:t>porque</w:t>
      </w:r>
      <w:r>
        <w:rPr>
          <w:color w:val="231F20"/>
          <w:spacing w:val="-39"/>
          <w:w w:val="105"/>
        </w:rPr>
        <w:t> </w:t>
      </w:r>
      <w:r>
        <w:rPr>
          <w:color w:val="231F20"/>
          <w:w w:val="105"/>
        </w:rPr>
        <w:t>se</w:t>
      </w:r>
      <w:r>
        <w:rPr>
          <w:color w:val="231F20"/>
          <w:spacing w:val="-39"/>
          <w:w w:val="105"/>
        </w:rPr>
        <w:t> </w:t>
      </w:r>
      <w:r>
        <w:rPr>
          <w:color w:val="231F20"/>
          <w:w w:val="105"/>
        </w:rPr>
        <w:t>muestran</w:t>
      </w:r>
      <w:r>
        <w:rPr>
          <w:color w:val="231F20"/>
          <w:spacing w:val="-39"/>
          <w:w w:val="105"/>
        </w:rPr>
        <w:t> </w:t>
      </w:r>
      <w:r>
        <w:rPr>
          <w:color w:val="231F20"/>
          <w:w w:val="105"/>
        </w:rPr>
        <w:t>como la</w:t>
      </w:r>
      <w:r>
        <w:rPr>
          <w:color w:val="231F20"/>
          <w:spacing w:val="-12"/>
          <w:w w:val="105"/>
        </w:rPr>
        <w:t> </w:t>
      </w:r>
      <w:r>
        <w:rPr>
          <w:color w:val="231F20"/>
          <w:w w:val="105"/>
        </w:rPr>
        <w:t>forma</w:t>
      </w:r>
      <w:r>
        <w:rPr>
          <w:color w:val="231F20"/>
          <w:spacing w:val="-12"/>
          <w:w w:val="105"/>
        </w:rPr>
        <w:t> </w:t>
      </w:r>
      <w:r>
        <w:rPr>
          <w:color w:val="231F20"/>
          <w:w w:val="105"/>
        </w:rPr>
        <w:t>de</w:t>
      </w:r>
      <w:r>
        <w:rPr>
          <w:color w:val="231F20"/>
          <w:spacing w:val="-12"/>
          <w:w w:val="105"/>
        </w:rPr>
        <w:t> </w:t>
      </w:r>
      <w:r>
        <w:rPr>
          <w:color w:val="231F20"/>
          <w:w w:val="105"/>
        </w:rPr>
        <w:t>vivir</w:t>
      </w:r>
      <w:r>
        <w:rPr>
          <w:color w:val="231F20"/>
          <w:spacing w:val="-12"/>
          <w:w w:val="105"/>
        </w:rPr>
        <w:t> </w:t>
      </w:r>
      <w:r>
        <w:rPr>
          <w:color w:val="231F20"/>
          <w:w w:val="105"/>
        </w:rPr>
        <w:t>de</w:t>
      </w:r>
      <w:r>
        <w:rPr>
          <w:color w:val="231F20"/>
          <w:spacing w:val="-12"/>
          <w:w w:val="105"/>
        </w:rPr>
        <w:t> </w:t>
      </w:r>
      <w:r>
        <w:rPr>
          <w:color w:val="231F20"/>
          <w:w w:val="105"/>
        </w:rPr>
        <w:t>estos</w:t>
      </w:r>
      <w:r>
        <w:rPr>
          <w:color w:val="231F20"/>
          <w:spacing w:val="-12"/>
          <w:w w:val="105"/>
        </w:rPr>
        <w:t> </w:t>
      </w:r>
      <w:r>
        <w:rPr>
          <w:color w:val="231F20"/>
          <w:w w:val="105"/>
        </w:rPr>
        <w:t>tiempos,</w:t>
      </w:r>
      <w:r>
        <w:rPr>
          <w:color w:val="231F20"/>
          <w:spacing w:val="-12"/>
          <w:w w:val="105"/>
        </w:rPr>
        <w:t> </w:t>
      </w:r>
      <w:r>
        <w:rPr>
          <w:color w:val="231F20"/>
          <w:w w:val="105"/>
        </w:rPr>
        <w:t>contra</w:t>
      </w:r>
      <w:r>
        <w:rPr>
          <w:color w:val="231F20"/>
          <w:spacing w:val="-12"/>
          <w:w w:val="105"/>
        </w:rPr>
        <w:t> </w:t>
      </w:r>
      <w:r>
        <w:rPr>
          <w:color w:val="231F20"/>
          <w:w w:val="105"/>
        </w:rPr>
        <w:t>las</w:t>
      </w:r>
      <w:r>
        <w:rPr>
          <w:color w:val="231F20"/>
          <w:spacing w:val="-12"/>
          <w:w w:val="105"/>
        </w:rPr>
        <w:t> </w:t>
      </w:r>
      <w:r>
        <w:rPr>
          <w:color w:val="231F20"/>
          <w:w w:val="105"/>
        </w:rPr>
        <w:t>que</w:t>
      </w:r>
      <w:r>
        <w:rPr>
          <w:color w:val="231F20"/>
          <w:spacing w:val="-12"/>
          <w:w w:val="105"/>
        </w:rPr>
        <w:t> </w:t>
      </w:r>
      <w:r>
        <w:rPr>
          <w:color w:val="231F20"/>
          <w:w w:val="105"/>
        </w:rPr>
        <w:t>poco</w:t>
      </w:r>
      <w:r>
        <w:rPr>
          <w:color w:val="231F20"/>
          <w:spacing w:val="-12"/>
          <w:w w:val="105"/>
        </w:rPr>
        <w:t> </w:t>
      </w:r>
      <w:r>
        <w:rPr>
          <w:color w:val="231F20"/>
          <w:w w:val="105"/>
        </w:rPr>
        <w:t>se</w:t>
      </w:r>
      <w:r>
        <w:rPr>
          <w:color w:val="231F20"/>
          <w:spacing w:val="-12"/>
          <w:w w:val="105"/>
        </w:rPr>
        <w:t> </w:t>
      </w:r>
      <w:r>
        <w:rPr>
          <w:color w:val="231F20"/>
          <w:w w:val="105"/>
        </w:rPr>
        <w:t>puede</w:t>
      </w:r>
      <w:r>
        <w:rPr>
          <w:color w:val="231F20"/>
          <w:spacing w:val="-12"/>
          <w:w w:val="105"/>
        </w:rPr>
        <w:t> </w:t>
      </w:r>
      <w:r>
        <w:rPr>
          <w:color w:val="231F20"/>
          <w:w w:val="105"/>
        </w:rPr>
        <w:t>hacer</w:t>
      </w:r>
      <w:r>
        <w:rPr>
          <w:color w:val="231F20"/>
          <w:spacing w:val="-12"/>
          <w:w w:val="105"/>
        </w:rPr>
        <w:t> </w:t>
      </w:r>
      <w:r>
        <w:rPr>
          <w:color w:val="231F20"/>
          <w:w w:val="105"/>
        </w:rPr>
        <w:t>y que</w:t>
      </w:r>
      <w:r>
        <w:rPr>
          <w:color w:val="231F20"/>
          <w:spacing w:val="-34"/>
          <w:w w:val="105"/>
        </w:rPr>
        <w:t> </w:t>
      </w:r>
      <w:r>
        <w:rPr>
          <w:color w:val="231F20"/>
          <w:w w:val="105"/>
        </w:rPr>
        <w:t>además</w:t>
      </w:r>
      <w:r>
        <w:rPr>
          <w:color w:val="231F20"/>
          <w:spacing w:val="-34"/>
          <w:w w:val="105"/>
        </w:rPr>
        <w:t> </w:t>
      </w:r>
      <w:r>
        <w:rPr>
          <w:color w:val="231F20"/>
          <w:w w:val="105"/>
        </w:rPr>
        <w:t>no</w:t>
      </w:r>
      <w:r>
        <w:rPr>
          <w:color w:val="231F20"/>
          <w:spacing w:val="-34"/>
          <w:w w:val="105"/>
        </w:rPr>
        <w:t> </w:t>
      </w:r>
      <w:r>
        <w:rPr>
          <w:color w:val="231F20"/>
          <w:w w:val="105"/>
        </w:rPr>
        <w:t>son</w:t>
      </w:r>
      <w:r>
        <w:rPr>
          <w:color w:val="231F20"/>
          <w:spacing w:val="-34"/>
          <w:w w:val="105"/>
        </w:rPr>
        <w:t> </w:t>
      </w:r>
      <w:r>
        <w:rPr>
          <w:color w:val="231F20"/>
          <w:w w:val="105"/>
        </w:rPr>
        <w:t>tan</w:t>
      </w:r>
      <w:r>
        <w:rPr>
          <w:color w:val="231F20"/>
          <w:spacing w:val="-34"/>
          <w:w w:val="105"/>
        </w:rPr>
        <w:t> </w:t>
      </w:r>
      <w:r>
        <w:rPr>
          <w:color w:val="231F20"/>
          <w:w w:val="105"/>
        </w:rPr>
        <w:t>malas,</w:t>
      </w:r>
      <w:r>
        <w:rPr>
          <w:color w:val="231F20"/>
          <w:spacing w:val="-34"/>
          <w:w w:val="105"/>
        </w:rPr>
        <w:t> </w:t>
      </w:r>
      <w:r>
        <w:rPr>
          <w:color w:val="231F20"/>
          <w:w w:val="105"/>
        </w:rPr>
        <w:t>nos</w:t>
      </w:r>
      <w:r>
        <w:rPr>
          <w:color w:val="231F20"/>
          <w:spacing w:val="-34"/>
          <w:w w:val="105"/>
        </w:rPr>
        <w:t> </w:t>
      </w:r>
      <w:r>
        <w:rPr>
          <w:color w:val="231F20"/>
          <w:w w:val="105"/>
        </w:rPr>
        <w:t>permiten</w:t>
      </w:r>
      <w:r>
        <w:rPr>
          <w:color w:val="231F20"/>
          <w:spacing w:val="-34"/>
          <w:w w:val="105"/>
        </w:rPr>
        <w:t> </w:t>
      </w:r>
      <w:r>
        <w:rPr>
          <w:color w:val="231F20"/>
          <w:w w:val="105"/>
        </w:rPr>
        <w:t>integrarnos,</w:t>
      </w:r>
      <w:r>
        <w:rPr>
          <w:color w:val="231F20"/>
          <w:spacing w:val="-34"/>
          <w:w w:val="105"/>
        </w:rPr>
        <w:t> </w:t>
      </w:r>
      <w:r>
        <w:rPr>
          <w:color w:val="231F20"/>
          <w:w w:val="105"/>
        </w:rPr>
        <w:t>consumir</w:t>
      </w:r>
      <w:r>
        <w:rPr>
          <w:color w:val="231F20"/>
          <w:spacing w:val="-34"/>
          <w:w w:val="105"/>
        </w:rPr>
        <w:t> </w:t>
      </w:r>
      <w:r>
        <w:rPr>
          <w:color w:val="231F20"/>
          <w:w w:val="105"/>
        </w:rPr>
        <w:t>y</w:t>
      </w:r>
      <w:r>
        <w:rPr>
          <w:color w:val="231F20"/>
          <w:spacing w:val="-34"/>
          <w:w w:val="105"/>
        </w:rPr>
        <w:t> </w:t>
      </w:r>
      <w:r>
        <w:rPr>
          <w:color w:val="231F20"/>
          <w:w w:val="105"/>
        </w:rPr>
        <w:t>satis- facernos.</w:t>
      </w:r>
      <w:r>
        <w:rPr>
          <w:color w:val="231F20"/>
          <w:spacing w:val="-23"/>
          <w:w w:val="105"/>
        </w:rPr>
        <w:t> </w:t>
      </w:r>
      <w:r>
        <w:rPr>
          <w:color w:val="231F20"/>
          <w:w w:val="105"/>
        </w:rPr>
        <w:t>Para</w:t>
      </w:r>
      <w:r>
        <w:rPr>
          <w:color w:val="231F20"/>
          <w:spacing w:val="-23"/>
          <w:w w:val="105"/>
        </w:rPr>
        <w:t> </w:t>
      </w:r>
      <w:r>
        <w:rPr>
          <w:color w:val="231F20"/>
          <w:w w:val="105"/>
        </w:rPr>
        <w:t>Foucault,</w:t>
      </w:r>
      <w:r>
        <w:rPr>
          <w:color w:val="231F20"/>
          <w:spacing w:val="-23"/>
          <w:w w:val="105"/>
        </w:rPr>
        <w:t> </w:t>
      </w:r>
      <w:r>
        <w:rPr>
          <w:color w:val="231F20"/>
          <w:w w:val="105"/>
        </w:rPr>
        <w:t>el</w:t>
      </w:r>
      <w:r>
        <w:rPr>
          <w:color w:val="231F20"/>
          <w:spacing w:val="-23"/>
          <w:w w:val="105"/>
        </w:rPr>
        <w:t> </w:t>
      </w:r>
      <w:r>
        <w:rPr>
          <w:color w:val="231F20"/>
          <w:w w:val="105"/>
        </w:rPr>
        <w:t>liberalismo</w:t>
      </w:r>
      <w:r>
        <w:rPr>
          <w:color w:val="231F20"/>
          <w:spacing w:val="-23"/>
          <w:w w:val="105"/>
        </w:rPr>
        <w:t> </w:t>
      </w:r>
      <w:r>
        <w:rPr>
          <w:color w:val="231F20"/>
          <w:w w:val="105"/>
        </w:rPr>
        <w:t>es</w:t>
      </w:r>
      <w:r>
        <w:rPr>
          <w:color w:val="231F20"/>
          <w:spacing w:val="-23"/>
          <w:w w:val="105"/>
        </w:rPr>
        <w:t> </w:t>
      </w:r>
      <w:r>
        <w:rPr>
          <w:color w:val="231F20"/>
          <w:w w:val="105"/>
        </w:rPr>
        <w:t>un</w:t>
      </w:r>
      <w:r>
        <w:rPr>
          <w:color w:val="231F20"/>
          <w:spacing w:val="-23"/>
          <w:w w:val="105"/>
        </w:rPr>
        <w:t> </w:t>
      </w:r>
      <w:r>
        <w:rPr>
          <w:color w:val="231F20"/>
          <w:w w:val="105"/>
        </w:rPr>
        <w:t>sistema</w:t>
      </w:r>
      <w:r>
        <w:rPr>
          <w:color w:val="231F20"/>
          <w:spacing w:val="-23"/>
          <w:w w:val="105"/>
        </w:rPr>
        <w:t> </w:t>
      </w:r>
      <w:r>
        <w:rPr>
          <w:color w:val="231F20"/>
          <w:w w:val="105"/>
        </w:rPr>
        <w:t>político</w:t>
      </w:r>
      <w:r>
        <w:rPr>
          <w:color w:val="231F20"/>
          <w:spacing w:val="-23"/>
          <w:w w:val="105"/>
        </w:rPr>
        <w:t> </w:t>
      </w:r>
      <w:r>
        <w:rPr>
          <w:color w:val="231F20"/>
          <w:w w:val="105"/>
        </w:rPr>
        <w:t>y</w:t>
      </w:r>
      <w:r>
        <w:rPr>
          <w:color w:val="231F20"/>
          <w:spacing w:val="-23"/>
          <w:w w:val="105"/>
        </w:rPr>
        <w:t> </w:t>
      </w:r>
      <w:r>
        <w:rPr>
          <w:color w:val="231F20"/>
          <w:w w:val="105"/>
        </w:rPr>
        <w:t>económico que</w:t>
      </w:r>
      <w:r>
        <w:rPr>
          <w:color w:val="231F20"/>
          <w:spacing w:val="-29"/>
          <w:w w:val="105"/>
        </w:rPr>
        <w:t> </w:t>
      </w:r>
      <w:r>
        <w:rPr>
          <w:color w:val="231F20"/>
          <w:w w:val="105"/>
        </w:rPr>
        <w:t>debe</w:t>
      </w:r>
      <w:r>
        <w:rPr>
          <w:color w:val="231F20"/>
          <w:spacing w:val="-29"/>
          <w:w w:val="105"/>
        </w:rPr>
        <w:t> </w:t>
      </w:r>
      <w:r>
        <w:rPr>
          <w:color w:val="231F20"/>
          <w:w w:val="105"/>
        </w:rPr>
        <w:t>su</w:t>
      </w:r>
      <w:r>
        <w:rPr>
          <w:color w:val="231F20"/>
          <w:spacing w:val="-29"/>
          <w:w w:val="105"/>
        </w:rPr>
        <w:t> </w:t>
      </w:r>
      <w:r>
        <w:rPr>
          <w:color w:val="231F20"/>
          <w:w w:val="105"/>
        </w:rPr>
        <w:t>éxito</w:t>
      </w:r>
      <w:r>
        <w:rPr>
          <w:color w:val="231F20"/>
          <w:spacing w:val="-29"/>
          <w:w w:val="105"/>
        </w:rPr>
        <w:t> </w:t>
      </w:r>
      <w:r>
        <w:rPr>
          <w:color w:val="231F20"/>
          <w:w w:val="105"/>
        </w:rPr>
        <w:t>a</w:t>
      </w:r>
      <w:r>
        <w:rPr>
          <w:color w:val="231F20"/>
          <w:spacing w:val="-29"/>
          <w:w w:val="105"/>
        </w:rPr>
        <w:t> </w:t>
      </w:r>
      <w:r>
        <w:rPr>
          <w:color w:val="231F20"/>
          <w:w w:val="105"/>
        </w:rPr>
        <w:t>que</w:t>
      </w:r>
      <w:r>
        <w:rPr>
          <w:color w:val="231F20"/>
          <w:spacing w:val="-29"/>
          <w:w w:val="105"/>
        </w:rPr>
        <w:t> </w:t>
      </w:r>
      <w:r>
        <w:rPr>
          <w:color w:val="231F20"/>
          <w:w w:val="105"/>
        </w:rPr>
        <w:t>ha</w:t>
      </w:r>
      <w:r>
        <w:rPr>
          <w:color w:val="231F20"/>
          <w:spacing w:val="-29"/>
          <w:w w:val="105"/>
        </w:rPr>
        <w:t> </w:t>
      </w:r>
      <w:r>
        <w:rPr>
          <w:color w:val="231F20"/>
          <w:w w:val="105"/>
        </w:rPr>
        <w:t>dejado</w:t>
      </w:r>
      <w:r>
        <w:rPr>
          <w:color w:val="231F20"/>
          <w:spacing w:val="-29"/>
          <w:w w:val="105"/>
        </w:rPr>
        <w:t> </w:t>
      </w:r>
      <w:r>
        <w:rPr>
          <w:color w:val="231F20"/>
          <w:w w:val="105"/>
        </w:rPr>
        <w:t>de</w:t>
      </w:r>
      <w:r>
        <w:rPr>
          <w:color w:val="231F20"/>
          <w:spacing w:val="-29"/>
          <w:w w:val="105"/>
        </w:rPr>
        <w:t> </w:t>
      </w:r>
      <w:r>
        <w:rPr>
          <w:color w:val="231F20"/>
          <w:w w:val="105"/>
        </w:rPr>
        <w:t>reprimir</w:t>
      </w:r>
      <w:r>
        <w:rPr>
          <w:color w:val="231F20"/>
          <w:spacing w:val="-29"/>
          <w:w w:val="105"/>
        </w:rPr>
        <w:t> </w:t>
      </w:r>
      <w:r>
        <w:rPr>
          <w:color w:val="231F20"/>
          <w:w w:val="105"/>
        </w:rPr>
        <w:t>y</w:t>
      </w:r>
      <w:r>
        <w:rPr>
          <w:color w:val="231F20"/>
          <w:spacing w:val="-29"/>
          <w:w w:val="105"/>
        </w:rPr>
        <w:t> </w:t>
      </w:r>
      <w:r>
        <w:rPr>
          <w:color w:val="231F20"/>
          <w:w w:val="105"/>
        </w:rPr>
        <w:t>coaccionar</w:t>
      </w:r>
      <w:r>
        <w:rPr>
          <w:color w:val="231F20"/>
          <w:spacing w:val="-29"/>
          <w:w w:val="105"/>
        </w:rPr>
        <w:t> </w:t>
      </w:r>
      <w:r>
        <w:rPr>
          <w:color w:val="231F20"/>
          <w:w w:val="105"/>
        </w:rPr>
        <w:t>para</w:t>
      </w:r>
      <w:r>
        <w:rPr>
          <w:color w:val="231F20"/>
          <w:spacing w:val="-29"/>
          <w:w w:val="105"/>
        </w:rPr>
        <w:t> </w:t>
      </w:r>
      <w:r>
        <w:rPr>
          <w:color w:val="231F20"/>
          <w:spacing w:val="-3"/>
          <w:w w:val="105"/>
        </w:rPr>
        <w:t>gobernar, </w:t>
      </w:r>
      <w:r>
        <w:rPr>
          <w:color w:val="231F20"/>
          <w:w w:val="105"/>
        </w:rPr>
        <w:t>ahora</w:t>
      </w:r>
      <w:r>
        <w:rPr>
          <w:color w:val="231F20"/>
          <w:spacing w:val="-25"/>
          <w:w w:val="105"/>
        </w:rPr>
        <w:t> </w:t>
      </w:r>
      <w:r>
        <w:rPr>
          <w:color w:val="231F20"/>
          <w:w w:val="105"/>
        </w:rPr>
        <w:t>más</w:t>
      </w:r>
      <w:r>
        <w:rPr>
          <w:color w:val="231F20"/>
          <w:spacing w:val="-25"/>
          <w:w w:val="105"/>
        </w:rPr>
        <w:t> </w:t>
      </w:r>
      <w:r>
        <w:rPr>
          <w:color w:val="231F20"/>
          <w:w w:val="105"/>
        </w:rPr>
        <w:t>bien</w:t>
      </w:r>
      <w:r>
        <w:rPr>
          <w:color w:val="231F20"/>
          <w:spacing w:val="-25"/>
          <w:w w:val="105"/>
        </w:rPr>
        <w:t> </w:t>
      </w:r>
      <w:r>
        <w:rPr>
          <w:color w:val="231F20"/>
          <w:w w:val="105"/>
        </w:rPr>
        <w:t>produce</w:t>
      </w:r>
      <w:r>
        <w:rPr>
          <w:color w:val="231F20"/>
          <w:spacing w:val="-25"/>
          <w:w w:val="105"/>
        </w:rPr>
        <w:t> </w:t>
      </w:r>
      <w:r>
        <w:rPr>
          <w:color w:val="231F20"/>
          <w:w w:val="105"/>
        </w:rPr>
        <w:t>libertades,</w:t>
      </w:r>
      <w:r>
        <w:rPr>
          <w:color w:val="231F20"/>
          <w:spacing w:val="-25"/>
          <w:w w:val="105"/>
        </w:rPr>
        <w:t> </w:t>
      </w:r>
      <w:r>
        <w:rPr>
          <w:color w:val="231F20"/>
          <w:w w:val="105"/>
        </w:rPr>
        <w:t>pero</w:t>
      </w:r>
      <w:r>
        <w:rPr>
          <w:color w:val="231F20"/>
          <w:spacing w:val="-25"/>
          <w:w w:val="105"/>
        </w:rPr>
        <w:t> </w:t>
      </w:r>
      <w:r>
        <w:rPr>
          <w:color w:val="231F20"/>
          <w:w w:val="105"/>
        </w:rPr>
        <w:t>libertades</w:t>
      </w:r>
      <w:r>
        <w:rPr>
          <w:color w:val="231F20"/>
          <w:spacing w:val="-25"/>
          <w:w w:val="105"/>
        </w:rPr>
        <w:t> </w:t>
      </w:r>
      <w:r>
        <w:rPr>
          <w:color w:val="231F20"/>
          <w:w w:val="105"/>
        </w:rPr>
        <w:t>funcionales</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w w:val="105"/>
        </w:rPr>
        <w:t>lógica liberal.</w:t>
      </w:r>
      <w:r>
        <w:rPr>
          <w:color w:val="231F20"/>
          <w:spacing w:val="-25"/>
          <w:w w:val="105"/>
        </w:rPr>
        <w:t> </w:t>
      </w:r>
      <w:r>
        <w:rPr>
          <w:color w:val="231F20"/>
          <w:w w:val="105"/>
        </w:rPr>
        <w:t>En</w:t>
      </w:r>
      <w:r>
        <w:rPr>
          <w:color w:val="231F20"/>
          <w:spacing w:val="-25"/>
          <w:w w:val="105"/>
        </w:rPr>
        <w:t> </w:t>
      </w:r>
      <w:r>
        <w:rPr>
          <w:color w:val="231F20"/>
          <w:w w:val="105"/>
        </w:rPr>
        <w:t>esta</w:t>
      </w:r>
      <w:r>
        <w:rPr>
          <w:color w:val="231F20"/>
          <w:spacing w:val="-25"/>
          <w:w w:val="105"/>
        </w:rPr>
        <w:t> </w:t>
      </w:r>
      <w:r>
        <w:rPr>
          <w:color w:val="231F20"/>
          <w:w w:val="105"/>
        </w:rPr>
        <w:t>lógica,</w:t>
      </w:r>
      <w:r>
        <w:rPr>
          <w:color w:val="231F20"/>
          <w:spacing w:val="-25"/>
          <w:w w:val="105"/>
        </w:rPr>
        <w:t> </w:t>
      </w:r>
      <w:r>
        <w:rPr>
          <w:color w:val="231F20"/>
          <w:w w:val="105"/>
        </w:rPr>
        <w:t>las</w:t>
      </w:r>
      <w:r>
        <w:rPr>
          <w:color w:val="231F20"/>
          <w:spacing w:val="-25"/>
          <w:w w:val="105"/>
        </w:rPr>
        <w:t> </w:t>
      </w:r>
      <w:r>
        <w:rPr>
          <w:color w:val="231F20"/>
          <w:w w:val="105"/>
        </w:rPr>
        <w:t>paradojas</w:t>
      </w:r>
      <w:r>
        <w:rPr>
          <w:color w:val="231F20"/>
          <w:spacing w:val="-25"/>
          <w:w w:val="105"/>
        </w:rPr>
        <w:t> </w:t>
      </w:r>
      <w:r>
        <w:rPr>
          <w:color w:val="231F20"/>
          <w:w w:val="105"/>
        </w:rPr>
        <w:t>se</w:t>
      </w:r>
      <w:r>
        <w:rPr>
          <w:color w:val="231F20"/>
          <w:spacing w:val="-25"/>
          <w:w w:val="105"/>
        </w:rPr>
        <w:t> </w:t>
      </w:r>
      <w:r>
        <w:rPr>
          <w:color w:val="231F20"/>
          <w:w w:val="105"/>
        </w:rPr>
        <w:t>ven</w:t>
      </w:r>
      <w:r>
        <w:rPr>
          <w:color w:val="231F20"/>
          <w:spacing w:val="-25"/>
          <w:w w:val="105"/>
        </w:rPr>
        <w:t> </w:t>
      </w:r>
      <w:r>
        <w:rPr>
          <w:color w:val="231F20"/>
          <w:w w:val="105"/>
        </w:rPr>
        <w:t>como</w:t>
      </w:r>
      <w:r>
        <w:rPr>
          <w:color w:val="231F20"/>
          <w:spacing w:val="-25"/>
          <w:w w:val="105"/>
        </w:rPr>
        <w:t> </w:t>
      </w:r>
      <w:r>
        <w:rPr>
          <w:color w:val="231F20"/>
          <w:w w:val="105"/>
        </w:rPr>
        <w:t>un</w:t>
      </w:r>
      <w:r>
        <w:rPr>
          <w:color w:val="231F20"/>
          <w:spacing w:val="-25"/>
          <w:w w:val="105"/>
        </w:rPr>
        <w:t> </w:t>
      </w:r>
      <w:r>
        <w:rPr>
          <w:color w:val="231F20"/>
          <w:w w:val="105"/>
        </w:rPr>
        <w:t>mal</w:t>
      </w:r>
      <w:r>
        <w:rPr>
          <w:color w:val="231F20"/>
          <w:spacing w:val="-25"/>
          <w:w w:val="105"/>
        </w:rPr>
        <w:t> </w:t>
      </w:r>
      <w:r>
        <w:rPr>
          <w:color w:val="231F20"/>
          <w:w w:val="105"/>
        </w:rPr>
        <w:t>necesario</w:t>
      </w:r>
      <w:r>
        <w:rPr>
          <w:color w:val="231F20"/>
          <w:spacing w:val="-25"/>
          <w:w w:val="105"/>
        </w:rPr>
        <w:t> </w:t>
      </w:r>
      <w:r>
        <w:rPr>
          <w:color w:val="231F20"/>
          <w:w w:val="105"/>
        </w:rPr>
        <w:t>que</w:t>
      </w:r>
      <w:r>
        <w:rPr>
          <w:color w:val="231F20"/>
          <w:spacing w:val="-25"/>
          <w:w w:val="105"/>
        </w:rPr>
        <w:t> </w:t>
      </w:r>
      <w:r>
        <w:rPr>
          <w:color w:val="231F20"/>
          <w:w w:val="105"/>
        </w:rPr>
        <w:t>se incluye</w:t>
      </w:r>
      <w:r>
        <w:rPr>
          <w:color w:val="231F20"/>
          <w:spacing w:val="-32"/>
          <w:w w:val="105"/>
        </w:rPr>
        <w:t> </w:t>
      </w:r>
      <w:r>
        <w:rPr>
          <w:color w:val="231F20"/>
          <w:w w:val="105"/>
        </w:rPr>
        <w:t>en</w:t>
      </w:r>
      <w:r>
        <w:rPr>
          <w:color w:val="231F20"/>
          <w:spacing w:val="-32"/>
          <w:w w:val="105"/>
        </w:rPr>
        <w:t> </w:t>
      </w:r>
      <w:r>
        <w:rPr>
          <w:color w:val="231F20"/>
          <w:w w:val="105"/>
        </w:rPr>
        <w:t>el</w:t>
      </w:r>
      <w:r>
        <w:rPr>
          <w:color w:val="231F20"/>
          <w:spacing w:val="-32"/>
          <w:w w:val="105"/>
        </w:rPr>
        <w:t> </w:t>
      </w:r>
      <w:r>
        <w:rPr>
          <w:color w:val="231F20"/>
          <w:w w:val="105"/>
        </w:rPr>
        <w:t>ámbito</w:t>
      </w:r>
      <w:r>
        <w:rPr>
          <w:color w:val="231F20"/>
          <w:spacing w:val="-32"/>
          <w:w w:val="105"/>
        </w:rPr>
        <w:t> </w:t>
      </w:r>
      <w:r>
        <w:rPr>
          <w:color w:val="231F20"/>
          <w:w w:val="105"/>
        </w:rPr>
        <w:t>de</w:t>
      </w:r>
      <w:r>
        <w:rPr>
          <w:color w:val="231F20"/>
          <w:spacing w:val="-32"/>
          <w:w w:val="105"/>
        </w:rPr>
        <w:t> </w:t>
      </w:r>
      <w:r>
        <w:rPr>
          <w:color w:val="231F20"/>
          <w:w w:val="105"/>
        </w:rPr>
        <w:t>los</w:t>
      </w:r>
      <w:r>
        <w:rPr>
          <w:color w:val="231F20"/>
          <w:spacing w:val="-32"/>
          <w:w w:val="105"/>
        </w:rPr>
        <w:t> </w:t>
      </w:r>
      <w:r>
        <w:rPr>
          <w:color w:val="231F20"/>
          <w:w w:val="105"/>
        </w:rPr>
        <w:t>riesgos,</w:t>
      </w:r>
      <w:r>
        <w:rPr>
          <w:color w:val="231F20"/>
          <w:spacing w:val="-32"/>
          <w:w w:val="105"/>
        </w:rPr>
        <w:t> </w:t>
      </w:r>
      <w:r>
        <w:rPr>
          <w:color w:val="231F20"/>
          <w:w w:val="105"/>
        </w:rPr>
        <w:t>pero</w:t>
      </w:r>
      <w:r>
        <w:rPr>
          <w:color w:val="231F20"/>
          <w:spacing w:val="-32"/>
          <w:w w:val="105"/>
        </w:rPr>
        <w:t> </w:t>
      </w:r>
      <w:r>
        <w:rPr>
          <w:color w:val="231F20"/>
          <w:w w:val="105"/>
        </w:rPr>
        <w:t>que</w:t>
      </w:r>
      <w:r>
        <w:rPr>
          <w:color w:val="231F20"/>
          <w:spacing w:val="-32"/>
          <w:w w:val="105"/>
        </w:rPr>
        <w:t> </w:t>
      </w:r>
      <w:r>
        <w:rPr>
          <w:color w:val="231F20"/>
          <w:w w:val="105"/>
        </w:rPr>
        <w:t>siempre</w:t>
      </w:r>
      <w:r>
        <w:rPr>
          <w:color w:val="231F20"/>
          <w:spacing w:val="-32"/>
          <w:w w:val="105"/>
        </w:rPr>
        <w:t> </w:t>
      </w:r>
      <w:r>
        <w:rPr>
          <w:color w:val="231F20"/>
          <w:w w:val="105"/>
        </w:rPr>
        <w:t>se</w:t>
      </w:r>
      <w:r>
        <w:rPr>
          <w:color w:val="231F20"/>
          <w:spacing w:val="-32"/>
          <w:w w:val="105"/>
        </w:rPr>
        <w:t> </w:t>
      </w:r>
      <w:r>
        <w:rPr>
          <w:color w:val="231F20"/>
          <w:w w:val="105"/>
        </w:rPr>
        <w:t>pueden</w:t>
      </w:r>
      <w:r>
        <w:rPr>
          <w:color w:val="231F20"/>
          <w:spacing w:val="-32"/>
          <w:w w:val="105"/>
        </w:rPr>
        <w:t> </w:t>
      </w:r>
      <w:r>
        <w:rPr>
          <w:color w:val="231F20"/>
          <w:w w:val="105"/>
        </w:rPr>
        <w:t>gestionar, tolerar</w:t>
      </w:r>
      <w:r>
        <w:rPr>
          <w:color w:val="231F20"/>
          <w:spacing w:val="-24"/>
          <w:w w:val="105"/>
        </w:rPr>
        <w:t> </w:t>
      </w:r>
      <w:r>
        <w:rPr>
          <w:color w:val="231F20"/>
          <w:w w:val="105"/>
        </w:rPr>
        <w:t>e</w:t>
      </w:r>
      <w:r>
        <w:rPr>
          <w:color w:val="231F20"/>
          <w:spacing w:val="-24"/>
          <w:w w:val="105"/>
        </w:rPr>
        <w:t> </w:t>
      </w:r>
      <w:r>
        <w:rPr>
          <w:color w:val="231F20"/>
          <w:spacing w:val="-3"/>
          <w:w w:val="105"/>
        </w:rPr>
        <w:t>incluir.</w:t>
      </w:r>
      <w:r>
        <w:rPr>
          <w:color w:val="231F20"/>
          <w:spacing w:val="-24"/>
          <w:w w:val="105"/>
        </w:rPr>
        <w:t> </w:t>
      </w:r>
      <w:r>
        <w:rPr>
          <w:color w:val="231F20"/>
          <w:w w:val="105"/>
        </w:rPr>
        <w:t>Así,</w:t>
      </w:r>
      <w:r>
        <w:rPr>
          <w:color w:val="231F20"/>
          <w:spacing w:val="-24"/>
          <w:w w:val="105"/>
        </w:rPr>
        <w:t> </w:t>
      </w:r>
      <w:r>
        <w:rPr>
          <w:color w:val="231F20"/>
          <w:w w:val="105"/>
        </w:rPr>
        <w:t>lo</w:t>
      </w:r>
      <w:r>
        <w:rPr>
          <w:color w:val="231F20"/>
          <w:spacing w:val="-24"/>
          <w:w w:val="105"/>
        </w:rPr>
        <w:t> </w:t>
      </w:r>
      <w:r>
        <w:rPr>
          <w:color w:val="231F20"/>
          <w:w w:val="105"/>
        </w:rPr>
        <w:t>propio</w:t>
      </w:r>
      <w:r>
        <w:rPr>
          <w:color w:val="231F20"/>
          <w:spacing w:val="-24"/>
          <w:w w:val="105"/>
        </w:rPr>
        <w:t> </w:t>
      </w:r>
      <w:r>
        <w:rPr>
          <w:color w:val="231F20"/>
          <w:w w:val="105"/>
        </w:rPr>
        <w:t>de</w:t>
      </w:r>
      <w:r>
        <w:rPr>
          <w:color w:val="231F20"/>
          <w:spacing w:val="-24"/>
          <w:w w:val="105"/>
        </w:rPr>
        <w:t> </w:t>
      </w:r>
      <w:r>
        <w:rPr>
          <w:color w:val="231F20"/>
          <w:w w:val="105"/>
        </w:rPr>
        <w:t>esta</w:t>
      </w:r>
      <w:r>
        <w:rPr>
          <w:color w:val="231F20"/>
          <w:spacing w:val="-24"/>
          <w:w w:val="105"/>
        </w:rPr>
        <w:t> </w:t>
      </w:r>
      <w:r>
        <w:rPr>
          <w:color w:val="231F20"/>
          <w:w w:val="105"/>
        </w:rPr>
        <w:t>etapa</w:t>
      </w:r>
      <w:r>
        <w:rPr>
          <w:color w:val="231F20"/>
          <w:spacing w:val="-24"/>
          <w:w w:val="105"/>
        </w:rPr>
        <w:t> </w:t>
      </w:r>
      <w:r>
        <w:rPr>
          <w:color w:val="231F20"/>
          <w:w w:val="105"/>
        </w:rPr>
        <w:t>del</w:t>
      </w:r>
      <w:r>
        <w:rPr>
          <w:color w:val="231F20"/>
          <w:spacing w:val="-24"/>
          <w:w w:val="105"/>
        </w:rPr>
        <w:t> </w:t>
      </w:r>
      <w:r>
        <w:rPr>
          <w:color w:val="231F20"/>
          <w:w w:val="105"/>
        </w:rPr>
        <w:t>capitalismo</w:t>
      </w:r>
      <w:r>
        <w:rPr>
          <w:color w:val="231F20"/>
          <w:spacing w:val="-24"/>
          <w:w w:val="105"/>
        </w:rPr>
        <w:t> </w:t>
      </w:r>
      <w:r>
        <w:rPr>
          <w:color w:val="231F20"/>
          <w:w w:val="105"/>
        </w:rPr>
        <w:t>no</w:t>
      </w:r>
      <w:r>
        <w:rPr>
          <w:color w:val="231F20"/>
          <w:spacing w:val="-24"/>
          <w:w w:val="105"/>
        </w:rPr>
        <w:t> </w:t>
      </w:r>
      <w:r>
        <w:rPr>
          <w:color w:val="231F20"/>
          <w:w w:val="105"/>
        </w:rPr>
        <w:t>es</w:t>
      </w:r>
      <w:r>
        <w:rPr>
          <w:color w:val="231F20"/>
          <w:spacing w:val="-24"/>
          <w:w w:val="105"/>
        </w:rPr>
        <w:t> </w:t>
      </w:r>
      <w:r>
        <w:rPr>
          <w:color w:val="231F20"/>
          <w:w w:val="105"/>
        </w:rPr>
        <w:t>la</w:t>
      </w:r>
      <w:r>
        <w:rPr>
          <w:color w:val="231F20"/>
          <w:spacing w:val="-24"/>
          <w:w w:val="105"/>
        </w:rPr>
        <w:t> </w:t>
      </w:r>
      <w:r>
        <w:rPr>
          <w:color w:val="231F20"/>
          <w:w w:val="105"/>
        </w:rPr>
        <w:t>repre- sión,</w:t>
      </w:r>
      <w:r>
        <w:rPr>
          <w:color w:val="231F20"/>
          <w:spacing w:val="-35"/>
          <w:w w:val="105"/>
        </w:rPr>
        <w:t> </w:t>
      </w:r>
      <w:r>
        <w:rPr>
          <w:color w:val="231F20"/>
          <w:w w:val="105"/>
        </w:rPr>
        <w:t>sino</w:t>
      </w:r>
      <w:r>
        <w:rPr>
          <w:color w:val="231F20"/>
          <w:spacing w:val="-35"/>
          <w:w w:val="105"/>
        </w:rPr>
        <w:t> </w:t>
      </w:r>
      <w:r>
        <w:rPr>
          <w:color w:val="231F20"/>
          <w:w w:val="105"/>
        </w:rPr>
        <w:t>producir</w:t>
      </w:r>
      <w:r>
        <w:rPr>
          <w:color w:val="231F20"/>
          <w:spacing w:val="-35"/>
          <w:w w:val="105"/>
        </w:rPr>
        <w:t> </w:t>
      </w:r>
      <w:r>
        <w:rPr>
          <w:color w:val="231F20"/>
          <w:w w:val="105"/>
        </w:rPr>
        <w:t>y</w:t>
      </w:r>
      <w:r>
        <w:rPr>
          <w:color w:val="231F20"/>
          <w:spacing w:val="-35"/>
          <w:w w:val="105"/>
        </w:rPr>
        <w:t> </w:t>
      </w:r>
      <w:r>
        <w:rPr>
          <w:color w:val="231F20"/>
          <w:w w:val="105"/>
        </w:rPr>
        <w:t>consumir</w:t>
      </w:r>
      <w:r>
        <w:rPr>
          <w:color w:val="231F20"/>
          <w:spacing w:val="-35"/>
          <w:w w:val="105"/>
        </w:rPr>
        <w:t> </w:t>
      </w:r>
      <w:r>
        <w:rPr>
          <w:color w:val="231F20"/>
          <w:w w:val="105"/>
        </w:rPr>
        <w:t>libertades.</w:t>
      </w:r>
      <w:r>
        <w:rPr>
          <w:color w:val="231F20"/>
          <w:spacing w:val="-35"/>
          <w:w w:val="105"/>
        </w:rPr>
        <w:t> </w:t>
      </w:r>
      <w:r>
        <w:rPr>
          <w:color w:val="231F20"/>
          <w:w w:val="105"/>
        </w:rPr>
        <w:t>Este</w:t>
      </w:r>
      <w:r>
        <w:rPr>
          <w:color w:val="231F20"/>
          <w:spacing w:val="-35"/>
          <w:w w:val="105"/>
        </w:rPr>
        <w:t> </w:t>
      </w:r>
      <w:r>
        <w:rPr>
          <w:color w:val="231F20"/>
          <w:w w:val="105"/>
        </w:rPr>
        <w:t>nuevo</w:t>
      </w:r>
      <w:r>
        <w:rPr>
          <w:color w:val="231F20"/>
          <w:spacing w:val="-35"/>
          <w:w w:val="105"/>
        </w:rPr>
        <w:t> </w:t>
      </w:r>
      <w:r>
        <w:rPr>
          <w:color w:val="231F20"/>
          <w:w w:val="105"/>
        </w:rPr>
        <w:t>arte</w:t>
      </w:r>
      <w:r>
        <w:rPr>
          <w:color w:val="231F20"/>
          <w:spacing w:val="-35"/>
          <w:w w:val="105"/>
        </w:rPr>
        <w:t> </w:t>
      </w:r>
      <w:r>
        <w:rPr>
          <w:color w:val="231F20"/>
          <w:w w:val="105"/>
        </w:rPr>
        <w:t>de</w:t>
      </w:r>
      <w:r>
        <w:rPr>
          <w:color w:val="231F20"/>
          <w:spacing w:val="-35"/>
          <w:w w:val="105"/>
        </w:rPr>
        <w:t> </w:t>
      </w:r>
      <w:r>
        <w:rPr>
          <w:color w:val="231F20"/>
          <w:w w:val="105"/>
        </w:rPr>
        <w:t>gobernar:</w:t>
      </w:r>
    </w:p>
    <w:p>
      <w:pPr>
        <w:pStyle w:val="BodyText"/>
        <w:spacing w:before="10"/>
        <w:rPr>
          <w:sz w:val="22"/>
        </w:rPr>
      </w:pPr>
    </w:p>
    <w:p>
      <w:pPr>
        <w:spacing w:line="220" w:lineRule="exact" w:before="1"/>
        <w:ind w:left="1521" w:right="115" w:firstLine="0"/>
        <w:jc w:val="both"/>
        <w:rPr>
          <w:sz w:val="19"/>
        </w:rPr>
      </w:pPr>
      <w:r>
        <w:rPr>
          <w:color w:val="231F20"/>
          <w:sz w:val="19"/>
        </w:rPr>
        <w:t>[…] no se contenta con respetar tal o tal libertad, de garantizar tal o tal libertad. Más profundamente, consume libertad. […] no puede funcionar sino en la medida en que hay efectivamente un cierto número de libertades: libertad de mercado, libertad del vendedor y del comprador, libre ejercicio del derecho de propie- dad, libertad de discusión y eventualmente libertad de expresión, etc.</w:t>
      </w:r>
      <w:r>
        <w:rPr>
          <w:color w:val="231F20"/>
          <w:spacing w:val="-7"/>
          <w:sz w:val="19"/>
        </w:rPr>
        <w:t> </w:t>
      </w:r>
      <w:r>
        <w:rPr>
          <w:color w:val="231F20"/>
          <w:sz w:val="19"/>
        </w:rPr>
        <w:t>La</w:t>
      </w:r>
      <w:r>
        <w:rPr>
          <w:color w:val="231F20"/>
          <w:spacing w:val="-7"/>
          <w:sz w:val="19"/>
        </w:rPr>
        <w:t> </w:t>
      </w:r>
      <w:r>
        <w:rPr>
          <w:color w:val="231F20"/>
          <w:sz w:val="19"/>
        </w:rPr>
        <w:t>nueva</w:t>
      </w:r>
      <w:r>
        <w:rPr>
          <w:color w:val="231F20"/>
          <w:spacing w:val="-7"/>
          <w:sz w:val="19"/>
        </w:rPr>
        <w:t> </w:t>
      </w:r>
      <w:r>
        <w:rPr>
          <w:color w:val="231F20"/>
          <w:sz w:val="19"/>
        </w:rPr>
        <w:t>razón</w:t>
      </w:r>
      <w:r>
        <w:rPr>
          <w:color w:val="231F20"/>
          <w:spacing w:val="-7"/>
          <w:sz w:val="19"/>
        </w:rPr>
        <w:t> </w:t>
      </w:r>
      <w:r>
        <w:rPr>
          <w:color w:val="231F20"/>
          <w:sz w:val="19"/>
        </w:rPr>
        <w:t>gubernamental</w:t>
      </w:r>
      <w:r>
        <w:rPr>
          <w:color w:val="231F20"/>
          <w:spacing w:val="-7"/>
          <w:sz w:val="19"/>
        </w:rPr>
        <w:t> </w:t>
      </w:r>
      <w:r>
        <w:rPr>
          <w:color w:val="231F20"/>
          <w:sz w:val="19"/>
        </w:rPr>
        <w:t>tiene</w:t>
      </w:r>
      <w:r>
        <w:rPr>
          <w:color w:val="231F20"/>
          <w:spacing w:val="-7"/>
          <w:sz w:val="19"/>
        </w:rPr>
        <w:t> </w:t>
      </w:r>
      <w:r>
        <w:rPr>
          <w:color w:val="231F20"/>
          <w:sz w:val="19"/>
        </w:rPr>
        <w:t>necesidad</w:t>
      </w:r>
      <w:r>
        <w:rPr>
          <w:color w:val="231F20"/>
          <w:spacing w:val="-7"/>
          <w:sz w:val="19"/>
        </w:rPr>
        <w:t> </w:t>
      </w:r>
      <w:r>
        <w:rPr>
          <w:color w:val="231F20"/>
          <w:sz w:val="19"/>
        </w:rPr>
        <w:t>de</w:t>
      </w:r>
      <w:r>
        <w:rPr>
          <w:color w:val="231F20"/>
          <w:spacing w:val="-7"/>
          <w:sz w:val="19"/>
        </w:rPr>
        <w:t> </w:t>
      </w:r>
      <w:r>
        <w:rPr>
          <w:color w:val="231F20"/>
          <w:sz w:val="19"/>
        </w:rPr>
        <w:t>libertad,</w:t>
      </w:r>
      <w:r>
        <w:rPr>
          <w:color w:val="231F20"/>
          <w:spacing w:val="-7"/>
          <w:sz w:val="19"/>
        </w:rPr>
        <w:t> </w:t>
      </w:r>
      <w:r>
        <w:rPr>
          <w:color w:val="231F20"/>
          <w:sz w:val="19"/>
        </w:rPr>
        <w:t>el nuevo arte gubernamental consume libertad. […] está obligado a producirla, está obligado a</w:t>
      </w:r>
      <w:r>
        <w:rPr>
          <w:color w:val="231F20"/>
          <w:spacing w:val="20"/>
          <w:sz w:val="19"/>
        </w:rPr>
        <w:t> </w:t>
      </w:r>
      <w:r>
        <w:rPr>
          <w:color w:val="231F20"/>
          <w:sz w:val="19"/>
        </w:rPr>
        <w:t>organizarla</w:t>
      </w:r>
      <w:r>
        <w:rPr>
          <w:color w:val="231F20"/>
          <w:position w:val="6"/>
          <w:sz w:val="11"/>
        </w:rPr>
        <w:t>31</w:t>
      </w:r>
      <w:r>
        <w:rPr>
          <w:color w:val="231F20"/>
          <w:sz w:val="19"/>
        </w:rPr>
        <w:t>.</w:t>
      </w:r>
    </w:p>
    <w:p>
      <w:pPr>
        <w:pStyle w:val="BodyText"/>
        <w:spacing w:before="11"/>
        <w:rPr>
          <w:sz w:val="23"/>
        </w:rPr>
      </w:pPr>
    </w:p>
    <w:p>
      <w:pPr>
        <w:pStyle w:val="BodyText"/>
        <w:spacing w:line="244" w:lineRule="auto"/>
        <w:ind w:left="103" w:right="115"/>
        <w:jc w:val="both"/>
      </w:pPr>
      <w:r>
        <w:rPr>
          <w:color w:val="231F20"/>
        </w:rPr>
        <w:t>En “</w:t>
      </w:r>
      <w:r>
        <w:rPr>
          <w:rFonts w:ascii="Arial" w:hAnsi="Arial"/>
          <w:i/>
          <w:color w:val="231F20"/>
        </w:rPr>
        <w:t>Post</w:t>
      </w:r>
      <w:r>
        <w:rPr>
          <w:color w:val="231F20"/>
        </w:rPr>
        <w:t>–</w:t>
      </w:r>
      <w:r>
        <w:rPr>
          <w:rFonts w:ascii="Arial" w:hAnsi="Arial"/>
          <w:i/>
          <w:color w:val="231F20"/>
        </w:rPr>
        <w:t>scriptum </w:t>
      </w:r>
      <w:r>
        <w:rPr>
          <w:color w:val="231F20"/>
        </w:rPr>
        <w:t>sobre las sociedades de control”, Gilles Deleuze vuelve sobre el mismo tópico y para ello retoma también un motivo foucaultea- no: el paso de las sociedades disciplinarias a las sociedades de control.  Los</w:t>
      </w:r>
      <w:r>
        <w:rPr>
          <w:color w:val="231F20"/>
          <w:spacing w:val="-7"/>
        </w:rPr>
        <w:t> </w:t>
      </w:r>
      <w:r>
        <w:rPr>
          <w:color w:val="231F20"/>
        </w:rPr>
        <w:t>emplazamientos</w:t>
      </w:r>
      <w:r>
        <w:rPr>
          <w:color w:val="231F20"/>
          <w:spacing w:val="-7"/>
        </w:rPr>
        <w:t> </w:t>
      </w:r>
      <w:r>
        <w:rPr>
          <w:color w:val="231F20"/>
        </w:rPr>
        <w:t>cerrados</w:t>
      </w:r>
      <w:r>
        <w:rPr>
          <w:color w:val="231F20"/>
          <w:spacing w:val="-7"/>
        </w:rPr>
        <w:t> </w:t>
      </w:r>
      <w:r>
        <w:rPr>
          <w:color w:val="231F20"/>
        </w:rPr>
        <w:t>—la</w:t>
      </w:r>
      <w:r>
        <w:rPr>
          <w:color w:val="231F20"/>
          <w:spacing w:val="-7"/>
        </w:rPr>
        <w:t> </w:t>
      </w:r>
      <w:r>
        <w:rPr>
          <w:color w:val="231F20"/>
        </w:rPr>
        <w:t>fábrica,</w:t>
      </w:r>
      <w:r>
        <w:rPr>
          <w:color w:val="231F20"/>
          <w:spacing w:val="-7"/>
        </w:rPr>
        <w:t> </w:t>
      </w:r>
      <w:r>
        <w:rPr>
          <w:color w:val="231F20"/>
        </w:rPr>
        <w:t>la</w:t>
      </w:r>
      <w:r>
        <w:rPr>
          <w:color w:val="231F20"/>
          <w:spacing w:val="-7"/>
        </w:rPr>
        <w:t> </w:t>
      </w:r>
      <w:r>
        <w:rPr>
          <w:color w:val="231F20"/>
        </w:rPr>
        <w:t>escuela,</w:t>
      </w:r>
      <w:r>
        <w:rPr>
          <w:color w:val="231F20"/>
          <w:spacing w:val="-7"/>
        </w:rPr>
        <w:t> </w:t>
      </w:r>
      <w:r>
        <w:rPr>
          <w:color w:val="231F20"/>
        </w:rPr>
        <w:t>la</w:t>
      </w:r>
      <w:r>
        <w:rPr>
          <w:color w:val="231F20"/>
          <w:spacing w:val="-7"/>
        </w:rPr>
        <w:t> </w:t>
      </w:r>
      <w:r>
        <w:rPr>
          <w:color w:val="231F20"/>
        </w:rPr>
        <w:t>prisión,</w:t>
      </w:r>
      <w:r>
        <w:rPr>
          <w:color w:val="231F20"/>
          <w:spacing w:val="-7"/>
        </w:rPr>
        <w:t> </w:t>
      </w:r>
      <w:r>
        <w:rPr>
          <w:color w:val="231F20"/>
        </w:rPr>
        <w:t>el</w:t>
      </w:r>
      <w:r>
        <w:rPr>
          <w:color w:val="231F20"/>
          <w:spacing w:val="-7"/>
        </w:rPr>
        <w:t> </w:t>
      </w:r>
      <w:r>
        <w:rPr>
          <w:color w:val="231F20"/>
        </w:rPr>
        <w:t>hospital, etc.—, el enclaustramiento en planos bien cuadriculados, una administra- ción puntual del tiempo y de las actividades, es lo que dio a las disciplinas su principal fuerza y efectividad: producir sujetos obedientes y aptos para el trabajo. Sin embargo, las cosas han cambiado, vemos aparecer nuevas formas de poder que ya no se basan en la clausura, sino en una forma de control más sutil, al </w:t>
      </w:r>
      <w:r>
        <w:rPr>
          <w:rFonts w:ascii="Arial" w:hAnsi="Arial"/>
          <w:i/>
          <w:color w:val="231F20"/>
        </w:rPr>
        <w:t>aire libre</w:t>
      </w:r>
      <w:r>
        <w:rPr>
          <w:color w:val="231F20"/>
        </w:rPr>
        <w:t>, los flujos no se detienen ni se obstaculizan, sino todo lo contrario, se animan, se redirigen, se impulsan. La videovigi- lancia, las nuevas tecnologías de información, la deslocalización que </w:t>
      </w:r>
      <w:r>
        <w:rPr>
          <w:color w:val="231F20"/>
          <w:spacing w:val="2"/>
        </w:rPr>
        <w:t> </w:t>
      </w:r>
      <w:r>
        <w:rPr>
          <w:color w:val="231F20"/>
        </w:rPr>
        <w:t>éstas</w:t>
      </w:r>
    </w:p>
    <w:p>
      <w:pPr>
        <w:pStyle w:val="BodyText"/>
        <w:spacing w:before="10"/>
        <w:rPr>
          <w:sz w:val="16"/>
        </w:rPr>
      </w:pPr>
      <w:r>
        <w:rPr/>
        <w:pict>
          <v:line style="position:absolute;mso-position-horizontal-relative:page;mso-position-vertical-relative:paragraph;z-index:4504;mso-wrap-distance-left:0;mso-wrap-distance-right:0" from="65.196899pt,12.287219pt" to="178.582899pt,12.287219pt" stroked="true" strokeweight=".3pt" strokecolor="#231f20">
            <w10:wrap type="topAndBottom"/>
          </v:line>
        </w:pict>
      </w:r>
    </w:p>
    <w:p>
      <w:pPr>
        <w:spacing w:before="10"/>
        <w:ind w:left="103" w:right="0" w:firstLine="0"/>
        <w:jc w:val="left"/>
        <w:rPr>
          <w:rFonts w:ascii="Calibri" w:hAnsi="Calibri"/>
          <w:sz w:val="17"/>
        </w:rPr>
      </w:pPr>
      <w:r>
        <w:rPr>
          <w:rFonts w:ascii="Calibri" w:hAnsi="Calibri"/>
          <w:color w:val="231F20"/>
          <w:w w:val="105"/>
          <w:position w:val="6"/>
          <w:sz w:val="10"/>
        </w:rPr>
        <w:t>31 </w:t>
      </w:r>
      <w:r>
        <w:rPr>
          <w:rFonts w:ascii="Calibri" w:hAnsi="Calibri"/>
          <w:color w:val="231F20"/>
          <w:w w:val="105"/>
          <w:sz w:val="17"/>
        </w:rPr>
        <w:t>M. Foucault, </w:t>
      </w:r>
      <w:r>
        <w:rPr>
          <w:rFonts w:ascii="Calibri" w:hAnsi="Calibri"/>
          <w:i/>
          <w:color w:val="231F20"/>
          <w:w w:val="105"/>
          <w:sz w:val="17"/>
        </w:rPr>
        <w:t>Naissance de la biopolitique</w:t>
      </w:r>
      <w:r>
        <w:rPr>
          <w:rFonts w:ascii="Calibri" w:hAnsi="Calibri"/>
          <w:color w:val="231F20"/>
          <w:w w:val="105"/>
          <w:sz w:val="17"/>
        </w:rPr>
        <w:t>, Paris, Gallimard–Seuil, 2004, p. 65.</w:t>
      </w:r>
    </w:p>
    <w:p>
      <w:pPr>
        <w:pStyle w:val="BodyText"/>
        <w:rPr>
          <w:rFonts w:ascii="Calibri"/>
          <w:sz w:val="20"/>
        </w:rPr>
      </w:pPr>
    </w:p>
    <w:p>
      <w:pPr>
        <w:pStyle w:val="BodyText"/>
        <w:spacing w:before="9"/>
        <w:rPr>
          <w:rFonts w:ascii="Calibri"/>
          <w:sz w:val="27"/>
        </w:rPr>
      </w:pPr>
    </w:p>
    <w:p>
      <w:pPr>
        <w:tabs>
          <w:tab w:pos="1331" w:val="left" w:leader="none"/>
        </w:tabs>
        <w:spacing w:before="68"/>
        <w:ind w:left="281" w:right="0" w:firstLine="0"/>
        <w:jc w:val="left"/>
        <w:rPr>
          <w:rFonts w:ascii="Calibri" w:hAnsi="Calibri"/>
          <w:sz w:val="16"/>
        </w:rPr>
      </w:pPr>
      <w:r>
        <w:rPr/>
        <w:pict>
          <v:group style="position:absolute;margin-left:98.787804pt;margin-top:-3.358812pt;width:20.4pt;height:43pt;mso-position-horizontal-relative:page;mso-position-vertical-relative:paragraph;z-index:-170872"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hAnsi="Arial"/>
          <w:color w:val="414042"/>
          <w:position w:val="-4"/>
          <w:sz w:val="20"/>
        </w:rPr>
        <w:t>78</w:t>
        <w:tab/>
      </w:r>
      <w:r>
        <w:rPr>
          <w:rFonts w:ascii="Calibri" w:hAnsi="Calibri"/>
          <w:color w:val="6D6E71"/>
          <w:sz w:val="16"/>
        </w:rPr>
        <w:t>María Luisa Bacarlett</w:t>
      </w:r>
      <w:r>
        <w:rPr>
          <w:rFonts w:ascii="Calibri" w:hAnsi="Calibri"/>
          <w:color w:val="6D6E71"/>
          <w:spacing w:val="33"/>
          <w:sz w:val="16"/>
        </w:rPr>
        <w:t> </w:t>
      </w:r>
      <w:r>
        <w:rPr>
          <w:rFonts w:ascii="Calibri" w:hAnsi="Calibri"/>
          <w:color w:val="6D6E71"/>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335" w:right="0" w:firstLine="0"/>
        <w:jc w:val="left"/>
        <w:rPr>
          <w:rFonts w:ascii="Arial" w:hAnsi="Arial"/>
          <w:sz w:val="20"/>
        </w:rPr>
      </w:pPr>
      <w:r>
        <w:rPr/>
        <w:pict>
          <v:group style="position:absolute;margin-left:383.821014pt;margin-top:-25.479271pt;width:8.65pt;height:41pt;mso-position-horizontal-relative:page;mso-position-vertical-relative:paragraph;z-index:-17082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NATURALIZAR</w:t>
      </w:r>
      <w:r>
        <w:rPr>
          <w:rFonts w:ascii="Lucida Sans Unicode" w:hAnsi="Lucida Sans Unicode"/>
          <w:color w:val="6D6E71"/>
          <w:spacing w:val="-19"/>
          <w:w w:val="95"/>
          <w:sz w:val="14"/>
        </w:rPr>
        <w:t> </w:t>
      </w:r>
      <w:r>
        <w:rPr>
          <w:rFonts w:ascii="Lucida Sans Unicode" w:hAnsi="Lucida Sans Unicode"/>
          <w:color w:val="6D6E71"/>
          <w:w w:val="95"/>
          <w:sz w:val="14"/>
        </w:rPr>
        <w:t>LAS</w:t>
      </w:r>
      <w:r>
        <w:rPr>
          <w:rFonts w:ascii="Lucida Sans Unicode" w:hAnsi="Lucida Sans Unicode"/>
          <w:color w:val="6D6E71"/>
          <w:spacing w:val="-19"/>
          <w:w w:val="95"/>
          <w:sz w:val="14"/>
        </w:rPr>
        <w:t> </w:t>
      </w:r>
      <w:r>
        <w:rPr>
          <w:rFonts w:ascii="Lucida Sans Unicode" w:hAnsi="Lucida Sans Unicode"/>
          <w:color w:val="6D6E71"/>
          <w:w w:val="95"/>
          <w:sz w:val="14"/>
        </w:rPr>
        <w:t>PARADOJAS:</w:t>
      </w:r>
      <w:r>
        <w:rPr>
          <w:rFonts w:ascii="Lucida Sans Unicode" w:hAnsi="Lucida Sans Unicode"/>
          <w:color w:val="6D6E71"/>
          <w:spacing w:val="-19"/>
          <w:w w:val="95"/>
          <w:sz w:val="14"/>
        </w:rPr>
        <w:t> </w:t>
      </w:r>
      <w:r>
        <w:rPr>
          <w:rFonts w:ascii="Lucida Sans Unicode" w:hAnsi="Lucida Sans Unicode"/>
          <w:color w:val="6D6E71"/>
          <w:w w:val="95"/>
          <w:sz w:val="14"/>
        </w:rPr>
        <w:t>UN</w:t>
      </w:r>
      <w:r>
        <w:rPr>
          <w:rFonts w:ascii="Lucida Sans Unicode" w:hAnsi="Lucida Sans Unicode"/>
          <w:color w:val="6D6E71"/>
          <w:spacing w:val="-19"/>
          <w:w w:val="95"/>
          <w:sz w:val="14"/>
        </w:rPr>
        <w:t> </w:t>
      </w:r>
      <w:r>
        <w:rPr>
          <w:rFonts w:ascii="Lucida Sans Unicode" w:hAnsi="Lucida Sans Unicode"/>
          <w:color w:val="6D6E71"/>
          <w:w w:val="95"/>
          <w:sz w:val="14"/>
        </w:rPr>
        <w:t>ACERCAMIENTO</w:t>
      </w:r>
      <w:r>
        <w:rPr>
          <w:rFonts w:ascii="Lucida Sans Unicode" w:hAnsi="Lucida Sans Unicode"/>
          <w:color w:val="6D6E71"/>
          <w:spacing w:val="-19"/>
          <w:w w:val="95"/>
          <w:sz w:val="14"/>
        </w:rPr>
        <w:t> </w:t>
      </w:r>
      <w:r>
        <w:rPr>
          <w:rFonts w:ascii="Lucida Sans Unicode" w:hAnsi="Lucida Sans Unicode"/>
          <w:color w:val="6D6E71"/>
          <w:w w:val="95"/>
          <w:sz w:val="14"/>
        </w:rPr>
        <w:t>A</w:t>
      </w:r>
      <w:r>
        <w:rPr>
          <w:rFonts w:ascii="Lucida Sans Unicode" w:hAnsi="Lucida Sans Unicode"/>
          <w:color w:val="6D6E71"/>
          <w:spacing w:val="-19"/>
          <w:w w:val="95"/>
          <w:sz w:val="14"/>
        </w:rPr>
        <w:t> </w:t>
      </w:r>
      <w:r>
        <w:rPr>
          <w:rFonts w:ascii="Lucida Sans Unicode" w:hAnsi="Lucida Sans Unicode"/>
          <w:color w:val="6D6E71"/>
          <w:w w:val="95"/>
          <w:sz w:val="14"/>
        </w:rPr>
        <w:t>LA</w:t>
      </w:r>
      <w:r>
        <w:rPr>
          <w:rFonts w:ascii="Lucida Sans Unicode" w:hAnsi="Lucida Sans Unicode"/>
          <w:color w:val="6D6E71"/>
          <w:spacing w:val="-19"/>
          <w:w w:val="95"/>
          <w:sz w:val="14"/>
        </w:rPr>
        <w:t> </w:t>
      </w:r>
      <w:r>
        <w:rPr>
          <w:rFonts w:ascii="Lucida Sans Unicode" w:hAnsi="Lucida Sans Unicode"/>
          <w:color w:val="6D6E71"/>
          <w:w w:val="95"/>
          <w:sz w:val="14"/>
        </w:rPr>
        <w:t>GLOBALIZACIÓN</w:t>
      </w:r>
      <w:r>
        <w:rPr>
          <w:rFonts w:ascii="Lucida Sans Unicode" w:hAnsi="Lucida Sans Unicode"/>
          <w:color w:val="6D6E71"/>
          <w:spacing w:val="-19"/>
          <w:w w:val="95"/>
          <w:sz w:val="14"/>
        </w:rPr>
        <w:t> </w:t>
      </w:r>
      <w:r>
        <w:rPr>
          <w:rFonts w:ascii="Lucida Sans Unicode" w:hAnsi="Lucida Sans Unicode"/>
          <w:color w:val="6D6E71"/>
          <w:w w:val="95"/>
          <w:sz w:val="14"/>
        </w:rPr>
        <w:t>DESDE</w:t>
      </w:r>
      <w:r>
        <w:rPr>
          <w:rFonts w:ascii="Lucida Sans Unicode" w:hAnsi="Lucida Sans Unicode"/>
          <w:color w:val="6D6E71"/>
          <w:spacing w:val="-19"/>
          <w:w w:val="95"/>
          <w:sz w:val="14"/>
        </w:rPr>
        <w:t> </w:t>
      </w:r>
      <w:r>
        <w:rPr>
          <w:rFonts w:ascii="Lucida Sans Unicode" w:hAnsi="Lucida Sans Unicode"/>
          <w:color w:val="6D6E71"/>
          <w:w w:val="95"/>
          <w:sz w:val="14"/>
        </w:rPr>
        <w:t>GILLES</w:t>
      </w:r>
      <w:r>
        <w:rPr>
          <w:rFonts w:ascii="Lucida Sans Unicode" w:hAnsi="Lucida Sans Unicode"/>
          <w:color w:val="6D6E71"/>
          <w:spacing w:val="-19"/>
          <w:w w:val="95"/>
          <w:sz w:val="14"/>
        </w:rPr>
        <w:t> </w:t>
      </w:r>
      <w:r>
        <w:rPr>
          <w:rFonts w:ascii="Lucida Sans Unicode" w:hAnsi="Lucida Sans Unicode"/>
          <w:color w:val="6D6E71"/>
          <w:w w:val="95"/>
          <w:sz w:val="14"/>
        </w:rPr>
        <w:t>DELEUZE</w:t>
      </w:r>
      <w:r>
        <w:rPr>
          <w:rFonts w:ascii="Arial" w:hAnsi="Arial"/>
          <w:color w:val="414042"/>
          <w:w w:val="95"/>
          <w:position w:val="-3"/>
          <w:sz w:val="20"/>
        </w:rPr>
        <w:tab/>
        <w:t>79</w:t>
      </w:r>
    </w:p>
    <w:p>
      <w:pPr>
        <w:pStyle w:val="BodyText"/>
        <w:rPr>
          <w:rFonts w:ascii="Arial"/>
          <w:sz w:val="20"/>
        </w:rPr>
      </w:pPr>
    </w:p>
    <w:p>
      <w:pPr>
        <w:pStyle w:val="BodyText"/>
        <w:rPr>
          <w:rFonts w:ascii="Arial"/>
          <w:sz w:val="20"/>
        </w:rPr>
      </w:pPr>
    </w:p>
    <w:p>
      <w:pPr>
        <w:pStyle w:val="BodyText"/>
        <w:spacing w:line="247" w:lineRule="auto" w:before="163"/>
        <w:ind w:left="117" w:right="101"/>
        <w:jc w:val="both"/>
      </w:pPr>
      <w:r>
        <w:rPr>
          <w:color w:val="231F20"/>
        </w:rPr>
        <w:t>permiten, la transnacionalización, la porosidad y desdibujamiento de los Estados nacionales y las fronteras, así como el flujo continuo de personas, mercancías, datos, dinero, imágenes, etc., han hecho necesaria toda una nueva lógica de gobierno no más basada en los grandes encierros.</w:t>
      </w:r>
    </w:p>
    <w:p>
      <w:pPr>
        <w:pStyle w:val="BodyText"/>
        <w:spacing w:before="10"/>
        <w:rPr>
          <w:sz w:val="22"/>
        </w:rPr>
      </w:pPr>
    </w:p>
    <w:p>
      <w:pPr>
        <w:spacing w:line="220" w:lineRule="exact" w:before="1"/>
        <w:ind w:left="1534" w:right="101" w:firstLine="0"/>
        <w:jc w:val="both"/>
        <w:rPr>
          <w:sz w:val="19"/>
        </w:rPr>
      </w:pPr>
      <w:r>
        <w:rPr>
          <w:color w:val="231F20"/>
          <w:sz w:val="19"/>
        </w:rPr>
        <w:t>Son las sociedades de control las que están en proceso de re- emplazar a las sociedades disciplinarias. “Control” es el nombre que Burroughs propone para designar al nuevo monstruo y que Foucault reconoce como nuestro porvenir. Paul Virilio también no cesa de analizar las formas ultrarrápidas de control al aire libre, que remplazan las viejas disciplinas que operan en la duración de un sistema cerrado</w:t>
      </w:r>
      <w:r>
        <w:rPr>
          <w:color w:val="231F20"/>
          <w:position w:val="6"/>
          <w:sz w:val="11"/>
        </w:rPr>
        <w:t>32</w:t>
      </w:r>
      <w:r>
        <w:rPr>
          <w:color w:val="231F20"/>
          <w:sz w:val="19"/>
        </w:rPr>
        <w:t>.</w:t>
      </w:r>
    </w:p>
    <w:p>
      <w:pPr>
        <w:pStyle w:val="BodyText"/>
        <w:spacing w:before="11"/>
        <w:rPr>
          <w:sz w:val="23"/>
        </w:rPr>
      </w:pPr>
    </w:p>
    <w:p>
      <w:pPr>
        <w:pStyle w:val="BodyText"/>
        <w:spacing w:line="247" w:lineRule="auto"/>
        <w:ind w:left="117" w:right="101"/>
        <w:jc w:val="both"/>
      </w:pPr>
      <w:r>
        <w:rPr>
          <w:color w:val="231F20"/>
        </w:rPr>
        <w:t>Deleuze</w:t>
      </w:r>
      <w:r>
        <w:rPr>
          <w:color w:val="231F20"/>
          <w:spacing w:val="-4"/>
        </w:rPr>
        <w:t> </w:t>
      </w:r>
      <w:r>
        <w:rPr>
          <w:color w:val="231F20"/>
        </w:rPr>
        <w:t>apunta</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trata</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modo</w:t>
      </w:r>
      <w:r>
        <w:rPr>
          <w:color w:val="231F20"/>
          <w:spacing w:val="-4"/>
        </w:rPr>
        <w:t> </w:t>
      </w:r>
      <w:r>
        <w:rPr>
          <w:color w:val="231F20"/>
        </w:rPr>
        <w:t>más</w:t>
      </w:r>
      <w:r>
        <w:rPr>
          <w:color w:val="231F20"/>
          <w:spacing w:val="-4"/>
        </w:rPr>
        <w:t> </w:t>
      </w:r>
      <w:r>
        <w:rPr>
          <w:color w:val="231F20"/>
        </w:rPr>
        <w:t>dulce</w:t>
      </w:r>
      <w:r>
        <w:rPr>
          <w:color w:val="231F20"/>
          <w:spacing w:val="-4"/>
        </w:rPr>
        <w:t> </w:t>
      </w:r>
      <w:r>
        <w:rPr>
          <w:color w:val="231F20"/>
        </w:rPr>
        <w:t>o</w:t>
      </w:r>
      <w:r>
        <w:rPr>
          <w:color w:val="231F20"/>
          <w:spacing w:val="-4"/>
        </w:rPr>
        <w:t> </w:t>
      </w:r>
      <w:r>
        <w:rPr>
          <w:color w:val="231F20"/>
        </w:rPr>
        <w:t>más</w:t>
      </w:r>
      <w:r>
        <w:rPr>
          <w:color w:val="231F20"/>
          <w:spacing w:val="-4"/>
        </w:rPr>
        <w:t> </w:t>
      </w:r>
      <w:r>
        <w:rPr>
          <w:color w:val="231F20"/>
        </w:rPr>
        <w:t>duro</w:t>
      </w:r>
      <w:r>
        <w:rPr>
          <w:color w:val="231F20"/>
          <w:spacing w:val="-4"/>
        </w:rPr>
        <w:t> </w:t>
      </w:r>
      <w:r>
        <w:rPr>
          <w:color w:val="231F20"/>
        </w:rPr>
        <w:t>de</w:t>
      </w:r>
      <w:r>
        <w:rPr>
          <w:color w:val="231F20"/>
          <w:spacing w:val="-4"/>
        </w:rPr>
        <w:t> </w:t>
      </w:r>
      <w:r>
        <w:rPr>
          <w:color w:val="231F20"/>
        </w:rPr>
        <w:t>vigi- lancia —en comparación con las sociedades disciplinarias—, simplemente se</w:t>
      </w:r>
      <w:r>
        <w:rPr>
          <w:color w:val="231F20"/>
          <w:spacing w:val="-22"/>
        </w:rPr>
        <w:t> </w:t>
      </w:r>
      <w:r>
        <w:rPr>
          <w:color w:val="231F20"/>
        </w:rPr>
        <w:t>trata</w:t>
      </w:r>
      <w:r>
        <w:rPr>
          <w:color w:val="231F20"/>
          <w:spacing w:val="-22"/>
        </w:rPr>
        <w:t> </w:t>
      </w:r>
      <w:r>
        <w:rPr>
          <w:color w:val="231F20"/>
        </w:rPr>
        <w:t>de</w:t>
      </w:r>
      <w:r>
        <w:rPr>
          <w:color w:val="231F20"/>
          <w:spacing w:val="-22"/>
        </w:rPr>
        <w:t> </w:t>
      </w:r>
      <w:r>
        <w:rPr>
          <w:color w:val="231F20"/>
        </w:rPr>
        <w:t>otra</w:t>
      </w:r>
      <w:r>
        <w:rPr>
          <w:color w:val="231F20"/>
          <w:spacing w:val="-22"/>
        </w:rPr>
        <w:t> </w:t>
      </w:r>
      <w:r>
        <w:rPr>
          <w:color w:val="231F20"/>
        </w:rPr>
        <w:t>forma</w:t>
      </w:r>
      <w:r>
        <w:rPr>
          <w:color w:val="231F20"/>
          <w:spacing w:val="-22"/>
        </w:rPr>
        <w:t> </w:t>
      </w:r>
      <w:r>
        <w:rPr>
          <w:color w:val="231F20"/>
        </w:rPr>
        <w:t>de</w:t>
      </w:r>
      <w:r>
        <w:rPr>
          <w:color w:val="231F20"/>
          <w:spacing w:val="-22"/>
        </w:rPr>
        <w:t> </w:t>
      </w:r>
      <w:r>
        <w:rPr>
          <w:color w:val="231F20"/>
        </w:rPr>
        <w:t>control,</w:t>
      </w:r>
      <w:r>
        <w:rPr>
          <w:color w:val="231F20"/>
          <w:spacing w:val="-22"/>
        </w:rPr>
        <w:t> </w:t>
      </w:r>
      <w:r>
        <w:rPr>
          <w:rFonts w:ascii="Arial" w:hAnsi="Arial"/>
          <w:i/>
          <w:color w:val="231F20"/>
        </w:rPr>
        <w:t>con</w:t>
      </w:r>
      <w:r>
        <w:rPr>
          <w:rFonts w:ascii="Arial" w:hAnsi="Arial"/>
          <w:i/>
          <w:color w:val="231F20"/>
          <w:spacing w:val="-15"/>
        </w:rPr>
        <w:t> </w:t>
      </w:r>
      <w:r>
        <w:rPr>
          <w:rFonts w:ascii="Arial" w:hAnsi="Arial"/>
          <w:i/>
          <w:color w:val="231F20"/>
        </w:rPr>
        <w:t>sus</w:t>
      </w:r>
      <w:r>
        <w:rPr>
          <w:rFonts w:ascii="Arial" w:hAnsi="Arial"/>
          <w:i/>
          <w:color w:val="231F20"/>
          <w:spacing w:val="-15"/>
        </w:rPr>
        <w:t> </w:t>
      </w:r>
      <w:r>
        <w:rPr>
          <w:rFonts w:ascii="Arial" w:hAnsi="Arial"/>
          <w:i/>
          <w:color w:val="231F20"/>
        </w:rPr>
        <w:t>propias</w:t>
      </w:r>
      <w:r>
        <w:rPr>
          <w:rFonts w:ascii="Arial" w:hAnsi="Arial"/>
          <w:i/>
          <w:color w:val="231F20"/>
          <w:spacing w:val="-15"/>
        </w:rPr>
        <w:t> </w:t>
      </w:r>
      <w:r>
        <w:rPr>
          <w:rFonts w:ascii="Arial" w:hAnsi="Arial"/>
          <w:i/>
          <w:color w:val="231F20"/>
        </w:rPr>
        <w:t>liberaciones</w:t>
      </w:r>
      <w:r>
        <w:rPr>
          <w:rFonts w:ascii="Arial" w:hAnsi="Arial"/>
          <w:i/>
          <w:color w:val="231F20"/>
          <w:spacing w:val="-15"/>
        </w:rPr>
        <w:t> </w:t>
      </w:r>
      <w:r>
        <w:rPr>
          <w:rFonts w:ascii="Arial" w:hAnsi="Arial"/>
          <w:i/>
          <w:color w:val="231F20"/>
        </w:rPr>
        <w:t>y</w:t>
      </w:r>
      <w:r>
        <w:rPr>
          <w:rFonts w:ascii="Arial" w:hAnsi="Arial"/>
          <w:i/>
          <w:color w:val="231F20"/>
          <w:spacing w:val="-15"/>
        </w:rPr>
        <w:t> </w:t>
      </w:r>
      <w:r>
        <w:rPr>
          <w:rFonts w:ascii="Arial" w:hAnsi="Arial"/>
          <w:i/>
          <w:color w:val="231F20"/>
        </w:rPr>
        <w:t>servilismos</w:t>
      </w:r>
      <w:r>
        <w:rPr>
          <w:color w:val="231F20"/>
        </w:rPr>
        <w:t>. Sin embargo, se trata de un esquema mucho más efectivo que el ante- </w:t>
      </w:r>
      <w:r>
        <w:rPr>
          <w:color w:val="231F20"/>
          <w:spacing w:val="-4"/>
        </w:rPr>
        <w:t>rior, </w:t>
      </w:r>
      <w:r>
        <w:rPr>
          <w:color w:val="231F20"/>
        </w:rPr>
        <w:t>en tanto hace frente a un mundo distinto, es </w:t>
      </w:r>
      <w:r>
        <w:rPr>
          <w:color w:val="231F20"/>
          <w:spacing w:val="-4"/>
        </w:rPr>
        <w:t>decir, </w:t>
      </w:r>
      <w:r>
        <w:rPr>
          <w:color w:val="231F20"/>
        </w:rPr>
        <w:t>fluido y líquido. Si algo distingue a la lógica capitalista es esta capacidad de aprender de los obstáculos y volverlos funcionales a sus requerimientos; si la realidad es fluida y líquida, el capitalismo no sólo ha abandonado el bloqueo y el en- claustramiento de los flujos, ahora los propicia y se monta en sus oleadas. Esta flexibilidad, esta gran capacidad de oportunismo, de sacar ventaja de sus propias crisis, responde a que el capitalismo es sobre todo un arte de </w:t>
      </w:r>
      <w:r>
        <w:rPr>
          <w:color w:val="231F20"/>
          <w:spacing w:val="-3"/>
        </w:rPr>
        <w:t>gobernar, </w:t>
      </w:r>
      <w:r>
        <w:rPr>
          <w:color w:val="231F20"/>
        </w:rPr>
        <w:t>una gubernamentalidad</w:t>
      </w:r>
      <w:r>
        <w:rPr>
          <w:color w:val="231F20"/>
          <w:position w:val="7"/>
          <w:sz w:val="12"/>
        </w:rPr>
        <w:t>33</w:t>
      </w:r>
      <w:r>
        <w:rPr>
          <w:color w:val="231F20"/>
        </w:rPr>
        <w:t>, antes que una doctrina rígida cuya efectuación pueda calificarse como verdadera o falsa respecto a un texto. Por ejemplo, cuando se toma una medida liberal de gobierno, uno no se pregunta</w:t>
      </w:r>
      <w:r>
        <w:rPr>
          <w:color w:val="231F20"/>
          <w:spacing w:val="-10"/>
        </w:rPr>
        <w:t> </w:t>
      </w:r>
      <w:r>
        <w:rPr>
          <w:color w:val="231F20"/>
        </w:rPr>
        <w:t>si</w:t>
      </w:r>
      <w:r>
        <w:rPr>
          <w:color w:val="231F20"/>
          <w:spacing w:val="-10"/>
        </w:rPr>
        <w:t> </w:t>
      </w:r>
      <w:r>
        <w:rPr>
          <w:color w:val="231F20"/>
        </w:rPr>
        <w:t>es</w:t>
      </w:r>
      <w:r>
        <w:rPr>
          <w:color w:val="231F20"/>
          <w:spacing w:val="-10"/>
        </w:rPr>
        <w:t> </w:t>
      </w:r>
      <w:r>
        <w:rPr>
          <w:color w:val="231F20"/>
        </w:rPr>
        <w:t>fiel</w:t>
      </w:r>
      <w:r>
        <w:rPr>
          <w:color w:val="231F20"/>
          <w:spacing w:val="-10"/>
        </w:rPr>
        <w:t> </w:t>
      </w:r>
      <w:r>
        <w:rPr>
          <w:color w:val="231F20"/>
        </w:rPr>
        <w:t>a</w:t>
      </w:r>
      <w:r>
        <w:rPr>
          <w:color w:val="231F20"/>
          <w:spacing w:val="-10"/>
        </w:rPr>
        <w:t> </w:t>
      </w:r>
      <w:r>
        <w:rPr>
          <w:color w:val="231F20"/>
        </w:rPr>
        <w:t>tal</w:t>
      </w:r>
      <w:r>
        <w:rPr>
          <w:color w:val="231F20"/>
          <w:spacing w:val="-10"/>
        </w:rPr>
        <w:t> </w:t>
      </w:r>
      <w:r>
        <w:rPr>
          <w:color w:val="231F20"/>
        </w:rPr>
        <w:t>texto</w:t>
      </w:r>
      <w:r>
        <w:rPr>
          <w:color w:val="231F20"/>
          <w:spacing w:val="-10"/>
        </w:rPr>
        <w:t> </w:t>
      </w:r>
      <w:r>
        <w:rPr>
          <w:color w:val="231F20"/>
        </w:rPr>
        <w:t>o</w:t>
      </w:r>
      <w:r>
        <w:rPr>
          <w:color w:val="231F20"/>
          <w:spacing w:val="-10"/>
        </w:rPr>
        <w:t> </w:t>
      </w:r>
      <w:r>
        <w:rPr>
          <w:color w:val="231F20"/>
        </w:rPr>
        <w:t>tal</w:t>
      </w:r>
      <w:r>
        <w:rPr>
          <w:color w:val="231F20"/>
          <w:spacing w:val="-10"/>
        </w:rPr>
        <w:t> </w:t>
      </w:r>
      <w:r>
        <w:rPr>
          <w:color w:val="231F20"/>
        </w:rPr>
        <w:t>conjunto</w:t>
      </w:r>
      <w:r>
        <w:rPr>
          <w:color w:val="231F20"/>
          <w:spacing w:val="-10"/>
        </w:rPr>
        <w:t> </w:t>
      </w:r>
      <w:r>
        <w:rPr>
          <w:color w:val="231F20"/>
        </w:rPr>
        <w:t>de</w:t>
      </w:r>
      <w:r>
        <w:rPr>
          <w:color w:val="231F20"/>
          <w:spacing w:val="-10"/>
        </w:rPr>
        <w:t> </w:t>
      </w:r>
      <w:r>
        <w:rPr>
          <w:color w:val="231F20"/>
        </w:rPr>
        <w:t>principios,</w:t>
      </w:r>
      <w:r>
        <w:rPr>
          <w:color w:val="231F20"/>
          <w:spacing w:val="-10"/>
        </w:rPr>
        <w:t> </w:t>
      </w:r>
      <w:r>
        <w:rPr>
          <w:color w:val="231F20"/>
        </w:rPr>
        <w:t>sino</w:t>
      </w:r>
      <w:r>
        <w:rPr>
          <w:color w:val="231F20"/>
          <w:spacing w:val="-10"/>
        </w:rPr>
        <w:t> </w:t>
      </w:r>
      <w:r>
        <w:rPr>
          <w:color w:val="231F20"/>
        </w:rPr>
        <w:t>si</w:t>
      </w:r>
      <w:r>
        <w:rPr>
          <w:color w:val="231F20"/>
          <w:spacing w:val="-10"/>
        </w:rPr>
        <w:t> </w:t>
      </w:r>
      <w:r>
        <w:rPr>
          <w:color w:val="231F20"/>
        </w:rPr>
        <w:t>es</w:t>
      </w:r>
      <w:r>
        <w:rPr>
          <w:color w:val="231F20"/>
          <w:spacing w:val="-10"/>
        </w:rPr>
        <w:t> </w:t>
      </w:r>
      <w:r>
        <w:rPr>
          <w:color w:val="231F20"/>
        </w:rPr>
        <w:t>efectiva, si produce los resultados esperados, si es radical o tímida. En cambio, el socialismo siempre tuvo necesidad de justificarse como verdadero o como falso frente a los textos que fundaron la</w:t>
      </w:r>
      <w:r>
        <w:rPr>
          <w:color w:val="231F20"/>
          <w:spacing w:val="-41"/>
        </w:rPr>
        <w:t> </w:t>
      </w:r>
      <w:r>
        <w:rPr>
          <w:color w:val="231F20"/>
        </w:rPr>
        <w:t>doctrina.</w:t>
      </w:r>
    </w:p>
    <w:p>
      <w:pPr>
        <w:pStyle w:val="BodyText"/>
        <w:spacing w:before="10"/>
        <w:rPr>
          <w:sz w:val="22"/>
        </w:rPr>
      </w:pPr>
    </w:p>
    <w:p>
      <w:pPr>
        <w:spacing w:line="220" w:lineRule="exact" w:before="1"/>
        <w:ind w:left="1534" w:right="101" w:firstLine="0"/>
        <w:jc w:val="both"/>
        <w:rPr>
          <w:sz w:val="19"/>
        </w:rPr>
      </w:pPr>
      <w:r>
        <w:rPr>
          <w:color w:val="231F20"/>
          <w:sz w:val="19"/>
        </w:rPr>
        <w:t>¿Pero es que al liberalismo se le hace la misma pregunta que</w:t>
      </w:r>
      <w:r>
        <w:rPr>
          <w:color w:val="231F20"/>
          <w:spacing w:val="-18"/>
          <w:sz w:val="19"/>
        </w:rPr>
        <w:t> </w:t>
      </w:r>
      <w:r>
        <w:rPr>
          <w:color w:val="231F20"/>
          <w:sz w:val="19"/>
        </w:rPr>
        <w:t>uno expone</w:t>
      </w:r>
      <w:r>
        <w:rPr>
          <w:color w:val="231F20"/>
          <w:spacing w:val="-6"/>
          <w:sz w:val="19"/>
        </w:rPr>
        <w:t> </w:t>
      </w:r>
      <w:r>
        <w:rPr>
          <w:color w:val="231F20"/>
          <w:sz w:val="19"/>
        </w:rPr>
        <w:t>al</w:t>
      </w:r>
      <w:r>
        <w:rPr>
          <w:color w:val="231F20"/>
          <w:spacing w:val="-6"/>
          <w:sz w:val="19"/>
        </w:rPr>
        <w:t> </w:t>
      </w:r>
      <w:r>
        <w:rPr>
          <w:color w:val="231F20"/>
          <w:sz w:val="19"/>
        </w:rPr>
        <w:t>interior</w:t>
      </w:r>
      <w:r>
        <w:rPr>
          <w:color w:val="231F20"/>
          <w:spacing w:val="-6"/>
          <w:sz w:val="19"/>
        </w:rPr>
        <w:t> </w:t>
      </w:r>
      <w:r>
        <w:rPr>
          <w:color w:val="231F20"/>
          <w:sz w:val="19"/>
        </w:rPr>
        <w:t>y</w:t>
      </w:r>
      <w:r>
        <w:rPr>
          <w:color w:val="231F20"/>
          <w:spacing w:val="-6"/>
          <w:sz w:val="19"/>
        </w:rPr>
        <w:t> </w:t>
      </w:r>
      <w:r>
        <w:rPr>
          <w:color w:val="231F20"/>
          <w:sz w:val="19"/>
        </w:rPr>
        <w:t>a</w:t>
      </w:r>
      <w:r>
        <w:rPr>
          <w:color w:val="231F20"/>
          <w:spacing w:val="-6"/>
          <w:sz w:val="19"/>
        </w:rPr>
        <w:t> </w:t>
      </w:r>
      <w:r>
        <w:rPr>
          <w:color w:val="231F20"/>
          <w:sz w:val="19"/>
        </w:rPr>
        <w:t>propósito</w:t>
      </w:r>
      <w:r>
        <w:rPr>
          <w:color w:val="231F20"/>
          <w:spacing w:val="-6"/>
          <w:sz w:val="19"/>
        </w:rPr>
        <w:t> </w:t>
      </w:r>
      <w:r>
        <w:rPr>
          <w:color w:val="231F20"/>
          <w:sz w:val="19"/>
        </w:rPr>
        <w:t>del</w:t>
      </w:r>
      <w:r>
        <w:rPr>
          <w:color w:val="231F20"/>
          <w:spacing w:val="-6"/>
          <w:sz w:val="19"/>
        </w:rPr>
        <w:t> </w:t>
      </w:r>
      <w:r>
        <w:rPr>
          <w:color w:val="231F20"/>
          <w:sz w:val="19"/>
        </w:rPr>
        <w:t>socialismo,</w:t>
      </w:r>
      <w:r>
        <w:rPr>
          <w:color w:val="231F20"/>
          <w:spacing w:val="-6"/>
          <w:sz w:val="19"/>
        </w:rPr>
        <w:t> </w:t>
      </w:r>
      <w:r>
        <w:rPr>
          <w:color w:val="231F20"/>
          <w:sz w:val="19"/>
        </w:rPr>
        <w:t>a</w:t>
      </w:r>
      <w:r>
        <w:rPr>
          <w:color w:val="231F20"/>
          <w:spacing w:val="-6"/>
          <w:sz w:val="19"/>
        </w:rPr>
        <w:t> </w:t>
      </w:r>
      <w:r>
        <w:rPr>
          <w:color w:val="231F20"/>
          <w:sz w:val="19"/>
        </w:rPr>
        <w:t>saber:</w:t>
      </w:r>
      <w:r>
        <w:rPr>
          <w:color w:val="231F20"/>
          <w:spacing w:val="-6"/>
          <w:sz w:val="19"/>
        </w:rPr>
        <w:t> </w:t>
      </w:r>
      <w:r>
        <w:rPr>
          <w:color w:val="231F20"/>
          <w:sz w:val="19"/>
        </w:rPr>
        <w:t>verdadero o</w:t>
      </w:r>
      <w:r>
        <w:rPr>
          <w:color w:val="231F20"/>
          <w:spacing w:val="-6"/>
          <w:sz w:val="19"/>
        </w:rPr>
        <w:t> </w:t>
      </w:r>
      <w:r>
        <w:rPr>
          <w:color w:val="231F20"/>
          <w:sz w:val="19"/>
        </w:rPr>
        <w:t>falso?</w:t>
      </w:r>
      <w:r>
        <w:rPr>
          <w:color w:val="231F20"/>
          <w:spacing w:val="-6"/>
          <w:sz w:val="19"/>
        </w:rPr>
        <w:t> </w:t>
      </w:r>
      <w:r>
        <w:rPr>
          <w:color w:val="231F20"/>
          <w:sz w:val="19"/>
        </w:rPr>
        <w:t>Al</w:t>
      </w:r>
      <w:r>
        <w:rPr>
          <w:color w:val="231F20"/>
          <w:spacing w:val="-6"/>
          <w:sz w:val="19"/>
        </w:rPr>
        <w:t> </w:t>
      </w:r>
      <w:r>
        <w:rPr>
          <w:color w:val="231F20"/>
          <w:sz w:val="19"/>
        </w:rPr>
        <w:t>liberalismo</w:t>
      </w:r>
      <w:r>
        <w:rPr>
          <w:color w:val="231F20"/>
          <w:spacing w:val="-6"/>
          <w:sz w:val="19"/>
        </w:rPr>
        <w:t> </w:t>
      </w:r>
      <w:r>
        <w:rPr>
          <w:color w:val="231F20"/>
          <w:sz w:val="19"/>
        </w:rPr>
        <w:t>se</w:t>
      </w:r>
      <w:r>
        <w:rPr>
          <w:color w:val="231F20"/>
          <w:spacing w:val="-6"/>
          <w:sz w:val="19"/>
        </w:rPr>
        <w:t> </w:t>
      </w:r>
      <w:r>
        <w:rPr>
          <w:color w:val="231F20"/>
          <w:sz w:val="19"/>
        </w:rPr>
        <w:t>le</w:t>
      </w:r>
      <w:r>
        <w:rPr>
          <w:color w:val="231F20"/>
          <w:spacing w:val="-6"/>
          <w:sz w:val="19"/>
        </w:rPr>
        <w:t> </w:t>
      </w:r>
      <w:r>
        <w:rPr>
          <w:color w:val="231F20"/>
          <w:sz w:val="19"/>
        </w:rPr>
        <w:t>demanda</w:t>
      </w:r>
      <w:r>
        <w:rPr>
          <w:color w:val="231F20"/>
          <w:spacing w:val="-6"/>
          <w:sz w:val="19"/>
        </w:rPr>
        <w:t> </w:t>
      </w:r>
      <w:r>
        <w:rPr>
          <w:color w:val="231F20"/>
          <w:sz w:val="19"/>
        </w:rPr>
        <w:t>si</w:t>
      </w:r>
      <w:r>
        <w:rPr>
          <w:color w:val="231F20"/>
          <w:spacing w:val="-6"/>
          <w:sz w:val="19"/>
        </w:rPr>
        <w:t> </w:t>
      </w:r>
      <w:r>
        <w:rPr>
          <w:color w:val="231F20"/>
          <w:sz w:val="19"/>
        </w:rPr>
        <w:t>es</w:t>
      </w:r>
      <w:r>
        <w:rPr>
          <w:color w:val="231F20"/>
          <w:spacing w:val="-6"/>
          <w:sz w:val="19"/>
        </w:rPr>
        <w:t> </w:t>
      </w:r>
      <w:r>
        <w:rPr>
          <w:color w:val="231F20"/>
          <w:sz w:val="19"/>
        </w:rPr>
        <w:t>puro,</w:t>
      </w:r>
      <w:r>
        <w:rPr>
          <w:color w:val="231F20"/>
          <w:spacing w:val="-6"/>
          <w:sz w:val="19"/>
        </w:rPr>
        <w:t> </w:t>
      </w:r>
      <w:r>
        <w:rPr>
          <w:color w:val="231F20"/>
          <w:sz w:val="19"/>
        </w:rPr>
        <w:t>si</w:t>
      </w:r>
      <w:r>
        <w:rPr>
          <w:color w:val="231F20"/>
          <w:spacing w:val="-6"/>
          <w:sz w:val="19"/>
        </w:rPr>
        <w:t> </w:t>
      </w:r>
      <w:r>
        <w:rPr>
          <w:color w:val="231F20"/>
          <w:sz w:val="19"/>
        </w:rPr>
        <w:t>es</w:t>
      </w:r>
      <w:r>
        <w:rPr>
          <w:color w:val="231F20"/>
          <w:spacing w:val="-6"/>
          <w:sz w:val="19"/>
        </w:rPr>
        <w:t> </w:t>
      </w:r>
      <w:r>
        <w:rPr>
          <w:color w:val="231F20"/>
          <w:sz w:val="19"/>
        </w:rPr>
        <w:t>radical,</w:t>
      </w:r>
      <w:r>
        <w:rPr>
          <w:color w:val="231F20"/>
          <w:spacing w:val="-6"/>
          <w:sz w:val="19"/>
        </w:rPr>
        <w:t> </w:t>
      </w:r>
      <w:r>
        <w:rPr>
          <w:color w:val="231F20"/>
          <w:sz w:val="19"/>
        </w:rPr>
        <w:t>si</w:t>
      </w:r>
      <w:r>
        <w:rPr>
          <w:color w:val="231F20"/>
          <w:spacing w:val="-6"/>
          <w:sz w:val="19"/>
        </w:rPr>
        <w:t> </w:t>
      </w:r>
      <w:r>
        <w:rPr>
          <w:color w:val="231F20"/>
          <w:sz w:val="19"/>
        </w:rPr>
        <w:t>es consecuente, si es mitigado, etc. Es </w:t>
      </w:r>
      <w:r>
        <w:rPr>
          <w:color w:val="231F20"/>
          <w:spacing w:val="-3"/>
          <w:sz w:val="19"/>
        </w:rPr>
        <w:t>decir, </w:t>
      </w:r>
      <w:r>
        <w:rPr>
          <w:color w:val="231F20"/>
          <w:sz w:val="19"/>
        </w:rPr>
        <w:t>uno le demanda qué reglas se pone a sí mismo y cómo compensa los mecanismos </w:t>
      </w:r>
      <w:r>
        <w:rPr>
          <w:color w:val="231F20"/>
          <w:spacing w:val="45"/>
          <w:sz w:val="19"/>
        </w:rPr>
        <w:t> </w:t>
      </w:r>
      <w:r>
        <w:rPr>
          <w:color w:val="231F20"/>
          <w:sz w:val="19"/>
        </w:rPr>
        <w:t>de</w:t>
      </w:r>
    </w:p>
    <w:p>
      <w:pPr>
        <w:pStyle w:val="BodyText"/>
        <w:rPr>
          <w:sz w:val="20"/>
        </w:rPr>
      </w:pPr>
    </w:p>
    <w:p>
      <w:pPr>
        <w:pStyle w:val="BodyText"/>
        <w:spacing w:before="5"/>
        <w:rPr>
          <w:sz w:val="28"/>
        </w:rPr>
      </w:pPr>
      <w:r>
        <w:rPr/>
        <w:pict>
          <v:line style="position:absolute;mso-position-horizontal-relative:page;mso-position-vertical-relative:paragraph;z-index:4552;mso-wrap-distance-left:0;mso-wrap-distance-right:0" from="70.866203pt,19.265989pt" to="184.252203pt,19.265989pt" stroked="true" strokeweight=".3pt" strokecolor="#231f20">
            <w10:wrap type="topAndBottom"/>
          </v:line>
        </w:pict>
      </w:r>
    </w:p>
    <w:p>
      <w:pPr>
        <w:spacing w:line="206" w:lineRule="exact" w:before="10"/>
        <w:ind w:left="117" w:right="0" w:firstLine="0"/>
        <w:jc w:val="both"/>
        <w:rPr>
          <w:rFonts w:ascii="Calibri"/>
          <w:sz w:val="17"/>
        </w:rPr>
      </w:pPr>
      <w:r>
        <w:rPr>
          <w:rFonts w:ascii="Calibri"/>
          <w:color w:val="231F20"/>
          <w:position w:val="6"/>
          <w:sz w:val="10"/>
        </w:rPr>
        <w:t>32 </w:t>
      </w:r>
      <w:r>
        <w:rPr>
          <w:rFonts w:ascii="Calibri"/>
          <w:color w:val="231F20"/>
          <w:sz w:val="17"/>
        </w:rPr>
        <w:t>Deleuze, </w:t>
      </w:r>
      <w:r>
        <w:rPr>
          <w:rFonts w:ascii="Calibri"/>
          <w:i/>
          <w:color w:val="231F20"/>
          <w:sz w:val="17"/>
        </w:rPr>
        <w:t>Pourparlers</w:t>
      </w:r>
      <w:r>
        <w:rPr>
          <w:rFonts w:ascii="Calibri"/>
          <w:color w:val="231F20"/>
          <w:sz w:val="17"/>
        </w:rPr>
        <w:t>, p. 241.</w:t>
      </w:r>
    </w:p>
    <w:p>
      <w:pPr>
        <w:spacing w:line="235" w:lineRule="auto" w:before="1"/>
        <w:ind w:left="117" w:right="101" w:firstLine="0"/>
        <w:jc w:val="both"/>
        <w:rPr>
          <w:rFonts w:ascii="Calibri" w:hAnsi="Calibri"/>
          <w:sz w:val="17"/>
        </w:rPr>
      </w:pPr>
      <w:r>
        <w:rPr>
          <w:rFonts w:ascii="Calibri" w:hAnsi="Calibri"/>
          <w:color w:val="231F20"/>
          <w:w w:val="105"/>
          <w:position w:val="6"/>
          <w:sz w:val="10"/>
        </w:rPr>
        <w:t>33</w:t>
      </w:r>
      <w:r>
        <w:rPr>
          <w:rFonts w:ascii="Calibri" w:hAnsi="Calibri"/>
          <w:color w:val="231F20"/>
          <w:spacing w:val="-5"/>
          <w:w w:val="105"/>
          <w:position w:val="6"/>
          <w:sz w:val="10"/>
        </w:rPr>
        <w:t> </w:t>
      </w:r>
      <w:r>
        <w:rPr>
          <w:rFonts w:ascii="Calibri" w:hAnsi="Calibri"/>
          <w:color w:val="231F20"/>
          <w:w w:val="105"/>
          <w:sz w:val="17"/>
        </w:rPr>
        <w:t>Por</w:t>
      </w:r>
      <w:r>
        <w:rPr>
          <w:rFonts w:ascii="Calibri" w:hAnsi="Calibri"/>
          <w:color w:val="231F20"/>
          <w:spacing w:val="-21"/>
          <w:w w:val="105"/>
          <w:sz w:val="17"/>
        </w:rPr>
        <w:t> </w:t>
      </w:r>
      <w:r>
        <w:rPr>
          <w:rFonts w:ascii="Calibri" w:hAnsi="Calibri"/>
          <w:color w:val="231F20"/>
          <w:w w:val="105"/>
          <w:sz w:val="17"/>
        </w:rPr>
        <w:t>gubernamentalidad</w:t>
      </w:r>
      <w:r>
        <w:rPr>
          <w:rFonts w:ascii="Calibri" w:hAnsi="Calibri"/>
          <w:color w:val="231F20"/>
          <w:spacing w:val="-21"/>
          <w:w w:val="105"/>
          <w:sz w:val="17"/>
        </w:rPr>
        <w:t> </w:t>
      </w:r>
      <w:r>
        <w:rPr>
          <w:rFonts w:ascii="Calibri" w:hAnsi="Calibri"/>
          <w:color w:val="231F20"/>
          <w:w w:val="105"/>
          <w:sz w:val="17"/>
        </w:rPr>
        <w:t>hay</w:t>
      </w:r>
      <w:r>
        <w:rPr>
          <w:rFonts w:ascii="Calibri" w:hAnsi="Calibri"/>
          <w:color w:val="231F20"/>
          <w:spacing w:val="-21"/>
          <w:w w:val="105"/>
          <w:sz w:val="17"/>
        </w:rPr>
        <w:t> </w:t>
      </w:r>
      <w:r>
        <w:rPr>
          <w:rFonts w:ascii="Calibri" w:hAnsi="Calibri"/>
          <w:color w:val="231F20"/>
          <w:w w:val="105"/>
          <w:sz w:val="17"/>
        </w:rPr>
        <w:t>que</w:t>
      </w:r>
      <w:r>
        <w:rPr>
          <w:rFonts w:ascii="Calibri" w:hAnsi="Calibri"/>
          <w:color w:val="231F20"/>
          <w:spacing w:val="-21"/>
          <w:w w:val="105"/>
          <w:sz w:val="17"/>
        </w:rPr>
        <w:t> </w:t>
      </w:r>
      <w:r>
        <w:rPr>
          <w:rFonts w:ascii="Calibri" w:hAnsi="Calibri"/>
          <w:color w:val="231F20"/>
          <w:w w:val="105"/>
          <w:sz w:val="17"/>
        </w:rPr>
        <w:t>entender</w:t>
      </w:r>
      <w:r>
        <w:rPr>
          <w:rFonts w:ascii="Calibri" w:hAnsi="Calibri"/>
          <w:color w:val="231F20"/>
          <w:spacing w:val="-21"/>
          <w:w w:val="105"/>
          <w:sz w:val="17"/>
        </w:rPr>
        <w:t> </w:t>
      </w:r>
      <w:r>
        <w:rPr>
          <w:rFonts w:ascii="Calibri" w:hAnsi="Calibri"/>
          <w:color w:val="231F20"/>
          <w:w w:val="105"/>
          <w:sz w:val="17"/>
        </w:rPr>
        <w:t>las</w:t>
      </w:r>
      <w:r>
        <w:rPr>
          <w:rFonts w:ascii="Calibri" w:hAnsi="Calibri"/>
          <w:color w:val="231F20"/>
          <w:spacing w:val="-21"/>
          <w:w w:val="105"/>
          <w:sz w:val="17"/>
        </w:rPr>
        <w:t> </w:t>
      </w:r>
      <w:r>
        <w:rPr>
          <w:rFonts w:ascii="Calibri" w:hAnsi="Calibri"/>
          <w:color w:val="231F20"/>
          <w:w w:val="105"/>
          <w:sz w:val="17"/>
        </w:rPr>
        <w:t>acciones</w:t>
      </w:r>
      <w:r>
        <w:rPr>
          <w:rFonts w:ascii="Calibri" w:hAnsi="Calibri"/>
          <w:color w:val="231F20"/>
          <w:spacing w:val="-21"/>
          <w:w w:val="105"/>
          <w:sz w:val="17"/>
        </w:rPr>
        <w:t> </w:t>
      </w:r>
      <w:r>
        <w:rPr>
          <w:rFonts w:ascii="Calibri" w:hAnsi="Calibri"/>
          <w:color w:val="231F20"/>
          <w:w w:val="105"/>
          <w:sz w:val="17"/>
        </w:rPr>
        <w:t>efectivas</w:t>
      </w:r>
      <w:r>
        <w:rPr>
          <w:rFonts w:ascii="Calibri" w:hAnsi="Calibri"/>
          <w:color w:val="231F20"/>
          <w:spacing w:val="-23"/>
          <w:w w:val="105"/>
          <w:sz w:val="17"/>
        </w:rPr>
        <w:t> </w:t>
      </w:r>
      <w:r>
        <w:rPr>
          <w:rFonts w:ascii="Calibri" w:hAnsi="Calibri"/>
          <w:color w:val="231F20"/>
          <w:w w:val="105"/>
          <w:sz w:val="17"/>
        </w:rPr>
        <w:t>y</w:t>
      </w:r>
      <w:r>
        <w:rPr>
          <w:rFonts w:ascii="Calibri" w:hAnsi="Calibri"/>
          <w:color w:val="231F20"/>
          <w:spacing w:val="-21"/>
          <w:w w:val="105"/>
          <w:sz w:val="17"/>
        </w:rPr>
        <w:t> </w:t>
      </w:r>
      <w:r>
        <w:rPr>
          <w:rFonts w:ascii="Calibri" w:hAnsi="Calibri"/>
          <w:color w:val="231F20"/>
          <w:w w:val="105"/>
          <w:sz w:val="17"/>
        </w:rPr>
        <w:t>las</w:t>
      </w:r>
      <w:r>
        <w:rPr>
          <w:rFonts w:ascii="Calibri" w:hAnsi="Calibri"/>
          <w:color w:val="231F20"/>
          <w:spacing w:val="-21"/>
          <w:w w:val="105"/>
          <w:sz w:val="17"/>
        </w:rPr>
        <w:t> </w:t>
      </w:r>
      <w:r>
        <w:rPr>
          <w:rFonts w:ascii="Calibri" w:hAnsi="Calibri"/>
          <w:color w:val="231F20"/>
          <w:w w:val="105"/>
          <w:sz w:val="17"/>
        </w:rPr>
        <w:t>tecnologías</w:t>
      </w:r>
      <w:r>
        <w:rPr>
          <w:rFonts w:ascii="Calibri" w:hAnsi="Calibri"/>
          <w:color w:val="231F20"/>
          <w:spacing w:val="-21"/>
          <w:w w:val="105"/>
          <w:sz w:val="17"/>
        </w:rPr>
        <w:t> </w:t>
      </w:r>
      <w:r>
        <w:rPr>
          <w:rFonts w:ascii="Calibri" w:hAnsi="Calibri"/>
          <w:color w:val="231F20"/>
          <w:w w:val="105"/>
          <w:sz w:val="17"/>
        </w:rPr>
        <w:t>implicadas</w:t>
      </w:r>
      <w:r>
        <w:rPr>
          <w:rFonts w:ascii="Calibri" w:hAnsi="Calibri"/>
          <w:color w:val="231F20"/>
          <w:spacing w:val="-21"/>
          <w:w w:val="105"/>
          <w:sz w:val="17"/>
        </w:rPr>
        <w:t> </w:t>
      </w:r>
      <w:r>
        <w:rPr>
          <w:rFonts w:ascii="Calibri" w:hAnsi="Calibri"/>
          <w:color w:val="231F20"/>
          <w:w w:val="105"/>
          <w:sz w:val="17"/>
        </w:rPr>
        <w:t>en</w:t>
      </w:r>
      <w:r>
        <w:rPr>
          <w:rFonts w:ascii="Calibri" w:hAnsi="Calibri"/>
          <w:color w:val="231F20"/>
          <w:spacing w:val="-21"/>
          <w:w w:val="105"/>
          <w:sz w:val="17"/>
        </w:rPr>
        <w:t> </w:t>
      </w:r>
      <w:r>
        <w:rPr>
          <w:rFonts w:ascii="Calibri" w:hAnsi="Calibri"/>
          <w:color w:val="231F20"/>
          <w:w w:val="105"/>
          <w:sz w:val="17"/>
        </w:rPr>
        <w:t>el ejercicio</w:t>
      </w:r>
      <w:r>
        <w:rPr>
          <w:rFonts w:ascii="Calibri" w:hAnsi="Calibri"/>
          <w:color w:val="231F20"/>
          <w:spacing w:val="-20"/>
          <w:w w:val="105"/>
          <w:sz w:val="17"/>
        </w:rPr>
        <w:t> </w:t>
      </w:r>
      <w:r>
        <w:rPr>
          <w:rFonts w:ascii="Calibri" w:hAnsi="Calibri"/>
          <w:color w:val="231F20"/>
          <w:w w:val="105"/>
          <w:sz w:val="17"/>
        </w:rPr>
        <w:t>del</w:t>
      </w:r>
      <w:r>
        <w:rPr>
          <w:rFonts w:ascii="Calibri" w:hAnsi="Calibri"/>
          <w:color w:val="231F20"/>
          <w:spacing w:val="-20"/>
          <w:w w:val="105"/>
          <w:sz w:val="17"/>
        </w:rPr>
        <w:t> </w:t>
      </w:r>
      <w:r>
        <w:rPr>
          <w:rFonts w:ascii="Calibri" w:hAnsi="Calibri"/>
          <w:color w:val="231F20"/>
          <w:w w:val="105"/>
          <w:sz w:val="17"/>
        </w:rPr>
        <w:t>gobierno,</w:t>
      </w:r>
      <w:r>
        <w:rPr>
          <w:rFonts w:ascii="Calibri" w:hAnsi="Calibri"/>
          <w:color w:val="231F20"/>
          <w:spacing w:val="-20"/>
          <w:w w:val="105"/>
          <w:sz w:val="17"/>
        </w:rPr>
        <w:t> </w:t>
      </w:r>
      <w:r>
        <w:rPr>
          <w:rFonts w:ascii="Calibri" w:hAnsi="Calibri"/>
          <w:color w:val="231F20"/>
          <w:w w:val="105"/>
          <w:sz w:val="17"/>
        </w:rPr>
        <w:t>es</w:t>
      </w:r>
      <w:r>
        <w:rPr>
          <w:rFonts w:ascii="Calibri" w:hAnsi="Calibri"/>
          <w:color w:val="231F20"/>
          <w:spacing w:val="-20"/>
          <w:w w:val="105"/>
          <w:sz w:val="17"/>
        </w:rPr>
        <w:t> </w:t>
      </w:r>
      <w:r>
        <w:rPr>
          <w:rFonts w:ascii="Calibri" w:hAnsi="Calibri"/>
          <w:color w:val="231F20"/>
          <w:w w:val="105"/>
          <w:sz w:val="17"/>
        </w:rPr>
        <w:t>decir,</w:t>
      </w:r>
      <w:r>
        <w:rPr>
          <w:rFonts w:ascii="Calibri" w:hAnsi="Calibri"/>
          <w:color w:val="231F20"/>
          <w:spacing w:val="-20"/>
          <w:w w:val="105"/>
          <w:sz w:val="17"/>
        </w:rPr>
        <w:t> </w:t>
      </w:r>
      <w:r>
        <w:rPr>
          <w:rFonts w:ascii="Calibri" w:hAnsi="Calibri"/>
          <w:color w:val="231F20"/>
          <w:w w:val="105"/>
          <w:sz w:val="17"/>
        </w:rPr>
        <w:t>todas</w:t>
      </w:r>
      <w:r>
        <w:rPr>
          <w:rFonts w:ascii="Calibri" w:hAnsi="Calibri"/>
          <w:color w:val="231F20"/>
          <w:spacing w:val="-20"/>
          <w:w w:val="105"/>
          <w:sz w:val="17"/>
        </w:rPr>
        <w:t> </w:t>
      </w:r>
      <w:r>
        <w:rPr>
          <w:rFonts w:ascii="Calibri" w:hAnsi="Calibri"/>
          <w:color w:val="231F20"/>
          <w:w w:val="105"/>
          <w:sz w:val="17"/>
        </w:rPr>
        <w:t>aquellas</w:t>
      </w:r>
      <w:r>
        <w:rPr>
          <w:rFonts w:ascii="Calibri" w:hAnsi="Calibri"/>
          <w:color w:val="231F20"/>
          <w:spacing w:val="-20"/>
          <w:w w:val="105"/>
          <w:sz w:val="17"/>
        </w:rPr>
        <w:t> </w:t>
      </w:r>
      <w:r>
        <w:rPr>
          <w:rFonts w:ascii="Calibri" w:hAnsi="Calibri"/>
          <w:color w:val="231F20"/>
          <w:w w:val="105"/>
          <w:sz w:val="17"/>
        </w:rPr>
        <w:t>decisiones</w:t>
      </w:r>
      <w:r>
        <w:rPr>
          <w:rFonts w:ascii="Calibri" w:hAnsi="Calibri"/>
          <w:color w:val="231F20"/>
          <w:spacing w:val="-22"/>
          <w:w w:val="105"/>
          <w:sz w:val="17"/>
        </w:rPr>
        <w:t> </w:t>
      </w:r>
      <w:r>
        <w:rPr>
          <w:rFonts w:ascii="Calibri" w:hAnsi="Calibri"/>
          <w:color w:val="231F20"/>
          <w:w w:val="105"/>
          <w:sz w:val="17"/>
        </w:rPr>
        <w:t>y</w:t>
      </w:r>
      <w:r>
        <w:rPr>
          <w:rFonts w:ascii="Calibri" w:hAnsi="Calibri"/>
          <w:color w:val="231F20"/>
          <w:spacing w:val="-20"/>
          <w:w w:val="105"/>
          <w:sz w:val="17"/>
        </w:rPr>
        <w:t> </w:t>
      </w:r>
      <w:r>
        <w:rPr>
          <w:rFonts w:ascii="Calibri" w:hAnsi="Calibri"/>
          <w:color w:val="231F20"/>
          <w:w w:val="105"/>
          <w:sz w:val="17"/>
        </w:rPr>
        <w:t>medidas</w:t>
      </w:r>
      <w:r>
        <w:rPr>
          <w:rFonts w:ascii="Calibri" w:hAnsi="Calibri"/>
          <w:color w:val="231F20"/>
          <w:spacing w:val="-20"/>
          <w:w w:val="105"/>
          <w:sz w:val="17"/>
        </w:rPr>
        <w:t> </w:t>
      </w:r>
      <w:r>
        <w:rPr>
          <w:rFonts w:ascii="Calibri" w:hAnsi="Calibri"/>
          <w:color w:val="231F20"/>
          <w:w w:val="105"/>
          <w:sz w:val="17"/>
        </w:rPr>
        <w:t>que</w:t>
      </w:r>
      <w:r>
        <w:rPr>
          <w:rFonts w:ascii="Calibri" w:hAnsi="Calibri"/>
          <w:color w:val="231F20"/>
          <w:spacing w:val="-20"/>
          <w:w w:val="105"/>
          <w:sz w:val="17"/>
        </w:rPr>
        <w:t> </w:t>
      </w:r>
      <w:r>
        <w:rPr>
          <w:rFonts w:ascii="Calibri" w:hAnsi="Calibri"/>
          <w:color w:val="231F20"/>
          <w:w w:val="105"/>
          <w:sz w:val="17"/>
        </w:rPr>
        <w:t>justifican</w:t>
      </w:r>
      <w:r>
        <w:rPr>
          <w:rFonts w:ascii="Calibri" w:hAnsi="Calibri"/>
          <w:color w:val="231F20"/>
          <w:spacing w:val="-22"/>
          <w:w w:val="105"/>
          <w:sz w:val="17"/>
        </w:rPr>
        <w:t> </w:t>
      </w:r>
      <w:r>
        <w:rPr>
          <w:rFonts w:ascii="Calibri" w:hAnsi="Calibri"/>
          <w:color w:val="231F20"/>
          <w:w w:val="105"/>
          <w:sz w:val="17"/>
        </w:rPr>
        <w:t>y</w:t>
      </w:r>
      <w:r>
        <w:rPr>
          <w:rFonts w:ascii="Calibri" w:hAnsi="Calibri"/>
          <w:color w:val="231F20"/>
          <w:spacing w:val="-20"/>
          <w:w w:val="105"/>
          <w:sz w:val="17"/>
        </w:rPr>
        <w:t> </w:t>
      </w:r>
      <w:r>
        <w:rPr>
          <w:rFonts w:ascii="Calibri" w:hAnsi="Calibri"/>
          <w:color w:val="231F20"/>
          <w:w w:val="105"/>
          <w:sz w:val="17"/>
        </w:rPr>
        <w:t>dan</w:t>
      </w:r>
      <w:r>
        <w:rPr>
          <w:rFonts w:ascii="Calibri" w:hAnsi="Calibri"/>
          <w:color w:val="231F20"/>
          <w:spacing w:val="-20"/>
          <w:w w:val="105"/>
          <w:sz w:val="17"/>
        </w:rPr>
        <w:t> </w:t>
      </w:r>
      <w:r>
        <w:rPr>
          <w:rFonts w:ascii="Calibri" w:hAnsi="Calibri"/>
          <w:color w:val="231F20"/>
          <w:w w:val="105"/>
          <w:sz w:val="17"/>
        </w:rPr>
        <w:t>concreción al</w:t>
      </w:r>
      <w:r>
        <w:rPr>
          <w:rFonts w:ascii="Calibri" w:hAnsi="Calibri"/>
          <w:color w:val="231F20"/>
          <w:spacing w:val="-13"/>
          <w:w w:val="105"/>
          <w:sz w:val="17"/>
        </w:rPr>
        <w:t> </w:t>
      </w:r>
      <w:r>
        <w:rPr>
          <w:rFonts w:ascii="Calibri" w:hAnsi="Calibri"/>
          <w:color w:val="231F20"/>
          <w:w w:val="105"/>
          <w:sz w:val="17"/>
        </w:rPr>
        <w:t>acto</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gobernar.</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manera</w:t>
      </w:r>
      <w:r>
        <w:rPr>
          <w:rFonts w:ascii="Calibri" w:hAnsi="Calibri"/>
          <w:color w:val="231F20"/>
          <w:spacing w:val="-13"/>
          <w:w w:val="105"/>
          <w:sz w:val="17"/>
        </w:rPr>
        <w:t> </w:t>
      </w:r>
      <w:r>
        <w:rPr>
          <w:rFonts w:ascii="Calibri" w:hAnsi="Calibri"/>
          <w:color w:val="231F20"/>
          <w:w w:val="105"/>
          <w:sz w:val="17"/>
        </w:rPr>
        <w:t>más</w:t>
      </w:r>
      <w:r>
        <w:rPr>
          <w:rFonts w:ascii="Calibri" w:hAnsi="Calibri"/>
          <w:color w:val="231F20"/>
          <w:spacing w:val="-13"/>
          <w:w w:val="105"/>
          <w:sz w:val="17"/>
        </w:rPr>
        <w:t> </w:t>
      </w:r>
      <w:r>
        <w:rPr>
          <w:rFonts w:ascii="Calibri" w:hAnsi="Calibri"/>
          <w:color w:val="231F20"/>
          <w:w w:val="105"/>
          <w:sz w:val="17"/>
        </w:rPr>
        <w:t>específica,</w:t>
      </w:r>
      <w:r>
        <w:rPr>
          <w:rFonts w:ascii="Calibri" w:hAnsi="Calibri"/>
          <w:color w:val="231F20"/>
          <w:spacing w:val="-13"/>
          <w:w w:val="105"/>
          <w:sz w:val="17"/>
        </w:rPr>
        <w:t> </w:t>
      </w:r>
      <w:r>
        <w:rPr>
          <w:rFonts w:ascii="Calibri" w:hAnsi="Calibri"/>
          <w:color w:val="231F20"/>
          <w:w w:val="105"/>
          <w:sz w:val="17"/>
        </w:rPr>
        <w:t>con</w:t>
      </w:r>
      <w:r>
        <w:rPr>
          <w:rFonts w:ascii="Calibri" w:hAnsi="Calibri"/>
          <w:color w:val="231F20"/>
          <w:spacing w:val="-13"/>
          <w:w w:val="105"/>
          <w:sz w:val="17"/>
        </w:rPr>
        <w:t> </w:t>
      </w:r>
      <w:r>
        <w:rPr>
          <w:rFonts w:ascii="Calibri" w:hAnsi="Calibri"/>
          <w:color w:val="231F20"/>
          <w:w w:val="105"/>
          <w:sz w:val="17"/>
        </w:rPr>
        <w:t>este</w:t>
      </w:r>
      <w:r>
        <w:rPr>
          <w:rFonts w:ascii="Calibri" w:hAnsi="Calibri"/>
          <w:color w:val="231F20"/>
          <w:spacing w:val="-13"/>
          <w:w w:val="105"/>
          <w:sz w:val="17"/>
        </w:rPr>
        <w:t> </w:t>
      </w:r>
      <w:r>
        <w:rPr>
          <w:rFonts w:ascii="Calibri" w:hAnsi="Calibri"/>
          <w:color w:val="231F20"/>
          <w:w w:val="105"/>
          <w:sz w:val="17"/>
        </w:rPr>
        <w:t>concepto</w:t>
      </w:r>
      <w:r>
        <w:rPr>
          <w:rFonts w:ascii="Calibri" w:hAnsi="Calibri"/>
          <w:color w:val="231F20"/>
          <w:spacing w:val="-13"/>
          <w:w w:val="105"/>
          <w:sz w:val="17"/>
        </w:rPr>
        <w:t> </w:t>
      </w:r>
      <w:r>
        <w:rPr>
          <w:rFonts w:ascii="Calibri" w:hAnsi="Calibri"/>
          <w:color w:val="231F20"/>
          <w:w w:val="105"/>
          <w:sz w:val="17"/>
        </w:rPr>
        <w:t>Foucault</w:t>
      </w:r>
      <w:r>
        <w:rPr>
          <w:rFonts w:ascii="Calibri" w:hAnsi="Calibri"/>
          <w:color w:val="231F20"/>
          <w:spacing w:val="-13"/>
          <w:w w:val="105"/>
          <w:sz w:val="17"/>
        </w:rPr>
        <w:t> </w:t>
      </w:r>
      <w:r>
        <w:rPr>
          <w:rFonts w:ascii="Calibri" w:hAnsi="Calibri"/>
          <w:color w:val="231F20"/>
          <w:w w:val="105"/>
          <w:sz w:val="17"/>
        </w:rPr>
        <w:t>se</w:t>
      </w:r>
      <w:r>
        <w:rPr>
          <w:rFonts w:ascii="Calibri" w:hAnsi="Calibri"/>
          <w:color w:val="231F20"/>
          <w:spacing w:val="-13"/>
          <w:w w:val="105"/>
          <w:sz w:val="17"/>
        </w:rPr>
        <w:t> </w:t>
      </w:r>
      <w:r>
        <w:rPr>
          <w:rFonts w:ascii="Calibri" w:hAnsi="Calibri"/>
          <w:color w:val="231F20"/>
          <w:w w:val="105"/>
          <w:sz w:val="17"/>
        </w:rPr>
        <w:t>refiere</w:t>
      </w:r>
      <w:r>
        <w:rPr>
          <w:rFonts w:ascii="Calibri" w:hAnsi="Calibri"/>
          <w:color w:val="231F20"/>
          <w:spacing w:val="-13"/>
          <w:w w:val="105"/>
          <w:sz w:val="17"/>
        </w:rPr>
        <w:t> </w:t>
      </w:r>
      <w:r>
        <w:rPr>
          <w:rFonts w:ascii="Calibri" w:hAnsi="Calibri"/>
          <w:color w:val="231F20"/>
          <w:w w:val="105"/>
          <w:sz w:val="17"/>
        </w:rPr>
        <w:t>a</w:t>
      </w:r>
      <w:r>
        <w:rPr>
          <w:rFonts w:ascii="Calibri" w:hAnsi="Calibri"/>
          <w:color w:val="231F20"/>
          <w:spacing w:val="-13"/>
          <w:w w:val="105"/>
          <w:sz w:val="17"/>
        </w:rPr>
        <w:t> </w:t>
      </w:r>
      <w:r>
        <w:rPr>
          <w:rFonts w:ascii="Calibri" w:hAnsi="Calibri"/>
          <w:color w:val="231F20"/>
          <w:w w:val="105"/>
          <w:sz w:val="17"/>
        </w:rPr>
        <w:t>una</w:t>
      </w:r>
      <w:r>
        <w:rPr>
          <w:rFonts w:ascii="Calibri" w:hAnsi="Calibri"/>
          <w:color w:val="231F20"/>
          <w:spacing w:val="-13"/>
          <w:w w:val="105"/>
          <w:sz w:val="17"/>
        </w:rPr>
        <w:t> </w:t>
      </w:r>
      <w:r>
        <w:rPr>
          <w:rFonts w:ascii="Calibri" w:hAnsi="Calibri"/>
          <w:color w:val="231F20"/>
          <w:w w:val="105"/>
          <w:sz w:val="17"/>
        </w:rPr>
        <w:t>forma de</w:t>
      </w:r>
      <w:r>
        <w:rPr>
          <w:rFonts w:ascii="Calibri" w:hAnsi="Calibri"/>
          <w:color w:val="231F20"/>
          <w:spacing w:val="-12"/>
          <w:w w:val="105"/>
          <w:sz w:val="17"/>
        </w:rPr>
        <w:t> </w:t>
      </w:r>
      <w:r>
        <w:rPr>
          <w:rFonts w:ascii="Calibri" w:hAnsi="Calibri"/>
          <w:color w:val="231F20"/>
          <w:w w:val="105"/>
          <w:sz w:val="17"/>
        </w:rPr>
        <w:t>ejercicio</w:t>
      </w:r>
      <w:r>
        <w:rPr>
          <w:rFonts w:ascii="Calibri" w:hAnsi="Calibri"/>
          <w:color w:val="231F20"/>
          <w:spacing w:val="-12"/>
          <w:w w:val="105"/>
          <w:sz w:val="17"/>
        </w:rPr>
        <w:t> </w:t>
      </w:r>
      <w:r>
        <w:rPr>
          <w:rFonts w:ascii="Calibri" w:hAnsi="Calibri"/>
          <w:color w:val="231F20"/>
          <w:w w:val="105"/>
          <w:sz w:val="17"/>
        </w:rPr>
        <w:t>del</w:t>
      </w:r>
      <w:r>
        <w:rPr>
          <w:rFonts w:ascii="Calibri" w:hAnsi="Calibri"/>
          <w:color w:val="231F20"/>
          <w:spacing w:val="-12"/>
          <w:w w:val="105"/>
          <w:sz w:val="17"/>
        </w:rPr>
        <w:t> </w:t>
      </w:r>
      <w:r>
        <w:rPr>
          <w:rFonts w:ascii="Calibri" w:hAnsi="Calibri"/>
          <w:color w:val="231F20"/>
          <w:w w:val="105"/>
          <w:sz w:val="17"/>
        </w:rPr>
        <w:t>poder</w:t>
      </w:r>
      <w:r>
        <w:rPr>
          <w:rFonts w:ascii="Calibri" w:hAnsi="Calibri"/>
          <w:color w:val="231F20"/>
          <w:spacing w:val="-12"/>
          <w:w w:val="105"/>
          <w:sz w:val="17"/>
        </w:rPr>
        <w:t> </w:t>
      </w:r>
      <w:r>
        <w:rPr>
          <w:rFonts w:ascii="Calibri" w:hAnsi="Calibri"/>
          <w:color w:val="231F20"/>
          <w:w w:val="105"/>
          <w:sz w:val="17"/>
        </w:rPr>
        <w:t>aparecida</w:t>
      </w:r>
      <w:r>
        <w:rPr>
          <w:rFonts w:ascii="Calibri" w:hAnsi="Calibri"/>
          <w:color w:val="231F20"/>
          <w:spacing w:val="-12"/>
          <w:w w:val="105"/>
          <w:sz w:val="17"/>
        </w:rPr>
        <w:t> </w:t>
      </w:r>
      <w:r>
        <w:rPr>
          <w:rFonts w:ascii="Calibri" w:hAnsi="Calibri"/>
          <w:color w:val="231F20"/>
          <w:w w:val="105"/>
          <w:sz w:val="17"/>
        </w:rPr>
        <w:t>en</w:t>
      </w:r>
      <w:r>
        <w:rPr>
          <w:rFonts w:ascii="Calibri" w:hAnsi="Calibri"/>
          <w:color w:val="231F20"/>
          <w:spacing w:val="-12"/>
          <w:w w:val="105"/>
          <w:sz w:val="17"/>
        </w:rPr>
        <w:t> </w:t>
      </w:r>
      <w:r>
        <w:rPr>
          <w:rFonts w:ascii="Calibri" w:hAnsi="Calibri"/>
          <w:color w:val="231F20"/>
          <w:w w:val="105"/>
          <w:sz w:val="17"/>
        </w:rPr>
        <w:t>el</w:t>
      </w:r>
      <w:r>
        <w:rPr>
          <w:rFonts w:ascii="Calibri" w:hAnsi="Calibri"/>
          <w:color w:val="231F20"/>
          <w:spacing w:val="-12"/>
          <w:w w:val="105"/>
          <w:sz w:val="17"/>
        </w:rPr>
        <w:t> </w:t>
      </w:r>
      <w:r>
        <w:rPr>
          <w:rFonts w:ascii="Calibri" w:hAnsi="Calibri"/>
          <w:color w:val="231F20"/>
          <w:w w:val="105"/>
          <w:sz w:val="17"/>
        </w:rPr>
        <w:t>siglo</w:t>
      </w:r>
      <w:r>
        <w:rPr>
          <w:rFonts w:ascii="Calibri" w:hAnsi="Calibri"/>
          <w:color w:val="231F20"/>
          <w:spacing w:val="-12"/>
          <w:w w:val="105"/>
          <w:sz w:val="17"/>
        </w:rPr>
        <w:t> </w:t>
      </w:r>
      <w:r>
        <w:rPr>
          <w:rFonts w:ascii="Calibri" w:hAnsi="Calibri"/>
          <w:color w:val="231F20"/>
          <w:w w:val="105"/>
          <w:sz w:val="15"/>
        </w:rPr>
        <w:t>XVIII</w:t>
      </w:r>
      <w:r>
        <w:rPr>
          <w:rFonts w:ascii="Calibri" w:hAnsi="Calibri"/>
          <w:color w:val="231F20"/>
          <w:spacing w:val="-8"/>
          <w:w w:val="105"/>
          <w:sz w:val="15"/>
        </w:rPr>
        <w:t> </w:t>
      </w:r>
      <w:r>
        <w:rPr>
          <w:rFonts w:ascii="Calibri" w:hAnsi="Calibri"/>
          <w:color w:val="231F20"/>
          <w:w w:val="105"/>
          <w:sz w:val="17"/>
        </w:rPr>
        <w:t>y</w:t>
      </w:r>
      <w:r>
        <w:rPr>
          <w:rFonts w:ascii="Calibri" w:hAnsi="Calibri"/>
          <w:color w:val="231F20"/>
          <w:spacing w:val="-12"/>
          <w:w w:val="105"/>
          <w:sz w:val="17"/>
        </w:rPr>
        <w:t> </w:t>
      </w:r>
      <w:r>
        <w:rPr>
          <w:rFonts w:ascii="Calibri" w:hAnsi="Calibri"/>
          <w:color w:val="231F20"/>
          <w:w w:val="105"/>
          <w:sz w:val="17"/>
        </w:rPr>
        <w:t>que</w:t>
      </w:r>
      <w:r>
        <w:rPr>
          <w:rFonts w:ascii="Calibri" w:hAnsi="Calibri"/>
          <w:color w:val="231F20"/>
          <w:spacing w:val="-12"/>
          <w:w w:val="105"/>
          <w:sz w:val="17"/>
        </w:rPr>
        <w:t> </w:t>
      </w:r>
      <w:r>
        <w:rPr>
          <w:rFonts w:ascii="Calibri" w:hAnsi="Calibri"/>
          <w:color w:val="231F20"/>
          <w:w w:val="105"/>
          <w:sz w:val="17"/>
        </w:rPr>
        <w:t>tiene</w:t>
      </w:r>
      <w:r>
        <w:rPr>
          <w:rFonts w:ascii="Calibri" w:hAnsi="Calibri"/>
          <w:color w:val="231F20"/>
          <w:spacing w:val="-12"/>
          <w:w w:val="105"/>
          <w:sz w:val="17"/>
        </w:rPr>
        <w:t> </w:t>
      </w:r>
      <w:r>
        <w:rPr>
          <w:rFonts w:ascii="Calibri" w:hAnsi="Calibri"/>
          <w:color w:val="231F20"/>
          <w:w w:val="105"/>
          <w:sz w:val="17"/>
        </w:rPr>
        <w:t>como</w:t>
      </w:r>
      <w:r>
        <w:rPr>
          <w:rFonts w:ascii="Calibri" w:hAnsi="Calibri"/>
          <w:color w:val="231F20"/>
          <w:spacing w:val="-12"/>
          <w:w w:val="105"/>
          <w:sz w:val="17"/>
        </w:rPr>
        <w:t> </w:t>
      </w:r>
      <w:r>
        <w:rPr>
          <w:rFonts w:ascii="Calibri" w:hAnsi="Calibri"/>
          <w:color w:val="231F20"/>
          <w:w w:val="105"/>
          <w:sz w:val="17"/>
        </w:rPr>
        <w:t>su</w:t>
      </w:r>
      <w:r>
        <w:rPr>
          <w:rFonts w:ascii="Calibri" w:hAnsi="Calibri"/>
          <w:color w:val="231F20"/>
          <w:spacing w:val="-12"/>
          <w:w w:val="105"/>
          <w:sz w:val="17"/>
        </w:rPr>
        <w:t> </w:t>
      </w:r>
      <w:r>
        <w:rPr>
          <w:rFonts w:ascii="Calibri" w:hAnsi="Calibri"/>
          <w:color w:val="231F20"/>
          <w:w w:val="105"/>
          <w:sz w:val="17"/>
        </w:rPr>
        <w:t>principal</w:t>
      </w:r>
      <w:r>
        <w:rPr>
          <w:rFonts w:ascii="Calibri" w:hAnsi="Calibri"/>
          <w:color w:val="231F20"/>
          <w:spacing w:val="-12"/>
          <w:w w:val="105"/>
          <w:sz w:val="17"/>
        </w:rPr>
        <w:t> </w:t>
      </w:r>
      <w:r>
        <w:rPr>
          <w:rFonts w:ascii="Calibri" w:hAnsi="Calibri"/>
          <w:color w:val="231F20"/>
          <w:w w:val="105"/>
          <w:sz w:val="17"/>
        </w:rPr>
        <w:t>foco</w:t>
      </w:r>
      <w:r>
        <w:rPr>
          <w:rFonts w:ascii="Calibri" w:hAnsi="Calibri"/>
          <w:color w:val="231F20"/>
          <w:spacing w:val="-12"/>
          <w:w w:val="105"/>
          <w:sz w:val="17"/>
        </w:rPr>
        <w:t> </w:t>
      </w:r>
      <w:r>
        <w:rPr>
          <w:rFonts w:ascii="Calibri" w:hAnsi="Calibri"/>
          <w:color w:val="231F20"/>
          <w:w w:val="105"/>
          <w:sz w:val="17"/>
        </w:rPr>
        <w:t>la</w:t>
      </w:r>
      <w:r>
        <w:rPr>
          <w:rFonts w:ascii="Calibri" w:hAnsi="Calibri"/>
          <w:color w:val="231F20"/>
          <w:spacing w:val="-12"/>
          <w:w w:val="105"/>
          <w:sz w:val="17"/>
        </w:rPr>
        <w:t> </w:t>
      </w:r>
      <w:r>
        <w:rPr>
          <w:rFonts w:ascii="Calibri" w:hAnsi="Calibri"/>
          <w:color w:val="231F20"/>
          <w:w w:val="105"/>
          <w:sz w:val="17"/>
        </w:rPr>
        <w:t>población,</w:t>
      </w:r>
      <w:r>
        <w:rPr>
          <w:rFonts w:ascii="Calibri" w:hAnsi="Calibri"/>
          <w:color w:val="231F20"/>
          <w:spacing w:val="-12"/>
          <w:w w:val="105"/>
          <w:sz w:val="17"/>
        </w:rPr>
        <w:t> </w:t>
      </w:r>
      <w:r>
        <w:rPr>
          <w:rFonts w:ascii="Calibri" w:hAnsi="Calibri"/>
          <w:color w:val="231F20"/>
          <w:w w:val="105"/>
          <w:sz w:val="17"/>
        </w:rPr>
        <w:t>su principal</w:t>
      </w:r>
      <w:r>
        <w:rPr>
          <w:rFonts w:ascii="Calibri" w:hAnsi="Calibri"/>
          <w:color w:val="231F20"/>
          <w:spacing w:val="-14"/>
          <w:w w:val="105"/>
          <w:sz w:val="17"/>
        </w:rPr>
        <w:t> </w:t>
      </w:r>
      <w:r>
        <w:rPr>
          <w:rFonts w:ascii="Calibri" w:hAnsi="Calibri"/>
          <w:color w:val="231F20"/>
          <w:w w:val="105"/>
          <w:sz w:val="17"/>
        </w:rPr>
        <w:t>estrategia</w:t>
      </w:r>
      <w:r>
        <w:rPr>
          <w:rFonts w:ascii="Calibri" w:hAnsi="Calibri"/>
          <w:color w:val="231F20"/>
          <w:spacing w:val="-14"/>
          <w:w w:val="105"/>
          <w:sz w:val="17"/>
        </w:rPr>
        <w:t> </w:t>
      </w:r>
      <w:r>
        <w:rPr>
          <w:rFonts w:ascii="Calibri" w:hAnsi="Calibri"/>
          <w:color w:val="231F20"/>
          <w:w w:val="105"/>
          <w:sz w:val="17"/>
        </w:rPr>
        <w:t>la</w:t>
      </w:r>
      <w:r>
        <w:rPr>
          <w:rFonts w:ascii="Calibri" w:hAnsi="Calibri"/>
          <w:color w:val="231F20"/>
          <w:spacing w:val="-14"/>
          <w:w w:val="105"/>
          <w:sz w:val="17"/>
        </w:rPr>
        <w:t> </w:t>
      </w:r>
      <w:r>
        <w:rPr>
          <w:rFonts w:ascii="Calibri" w:hAnsi="Calibri"/>
          <w:color w:val="231F20"/>
          <w:w w:val="105"/>
          <w:sz w:val="17"/>
        </w:rPr>
        <w:t>economía</w:t>
      </w:r>
      <w:r>
        <w:rPr>
          <w:rFonts w:ascii="Calibri" w:hAnsi="Calibri"/>
          <w:color w:val="231F20"/>
          <w:spacing w:val="-14"/>
          <w:w w:val="105"/>
          <w:sz w:val="17"/>
        </w:rPr>
        <w:t> </w:t>
      </w:r>
      <w:r>
        <w:rPr>
          <w:rFonts w:ascii="Calibri" w:hAnsi="Calibri"/>
          <w:color w:val="231F20"/>
          <w:w w:val="105"/>
          <w:sz w:val="17"/>
        </w:rPr>
        <w:t>política</w:t>
      </w:r>
      <w:r>
        <w:rPr>
          <w:rFonts w:ascii="Calibri" w:hAnsi="Calibri"/>
          <w:color w:val="231F20"/>
          <w:spacing w:val="-15"/>
          <w:w w:val="105"/>
          <w:sz w:val="17"/>
        </w:rPr>
        <w:t> </w:t>
      </w:r>
      <w:r>
        <w:rPr>
          <w:rFonts w:ascii="Calibri" w:hAnsi="Calibri"/>
          <w:color w:val="231F20"/>
          <w:w w:val="105"/>
          <w:sz w:val="17"/>
        </w:rPr>
        <w:t>y</w:t>
      </w:r>
      <w:r>
        <w:rPr>
          <w:rFonts w:ascii="Calibri" w:hAnsi="Calibri"/>
          <w:color w:val="231F20"/>
          <w:spacing w:val="-14"/>
          <w:w w:val="105"/>
          <w:sz w:val="17"/>
        </w:rPr>
        <w:t> </w:t>
      </w:r>
      <w:r>
        <w:rPr>
          <w:rFonts w:ascii="Calibri" w:hAnsi="Calibri"/>
          <w:color w:val="231F20"/>
          <w:w w:val="105"/>
          <w:sz w:val="17"/>
        </w:rPr>
        <w:t>su</w:t>
      </w:r>
      <w:r>
        <w:rPr>
          <w:rFonts w:ascii="Calibri" w:hAnsi="Calibri"/>
          <w:color w:val="231F20"/>
          <w:spacing w:val="-14"/>
          <w:w w:val="105"/>
          <w:sz w:val="17"/>
        </w:rPr>
        <w:t> </w:t>
      </w:r>
      <w:r>
        <w:rPr>
          <w:rFonts w:ascii="Calibri" w:hAnsi="Calibri"/>
          <w:color w:val="231F20"/>
          <w:w w:val="105"/>
          <w:sz w:val="17"/>
        </w:rPr>
        <w:t>principal</w:t>
      </w:r>
      <w:r>
        <w:rPr>
          <w:rFonts w:ascii="Calibri" w:hAnsi="Calibri"/>
          <w:color w:val="231F20"/>
          <w:spacing w:val="-14"/>
          <w:w w:val="105"/>
          <w:sz w:val="17"/>
        </w:rPr>
        <w:t> </w:t>
      </w:r>
      <w:r>
        <w:rPr>
          <w:rFonts w:ascii="Calibri" w:hAnsi="Calibri"/>
          <w:color w:val="231F20"/>
          <w:w w:val="105"/>
          <w:sz w:val="17"/>
        </w:rPr>
        <w:t>cometido</w:t>
      </w:r>
      <w:r>
        <w:rPr>
          <w:rFonts w:ascii="Calibri" w:hAnsi="Calibri"/>
          <w:color w:val="231F20"/>
          <w:spacing w:val="-14"/>
          <w:w w:val="105"/>
          <w:sz w:val="17"/>
        </w:rPr>
        <w:t> </w:t>
      </w:r>
      <w:r>
        <w:rPr>
          <w:rFonts w:ascii="Calibri" w:hAnsi="Calibri"/>
          <w:color w:val="231F20"/>
          <w:w w:val="105"/>
          <w:sz w:val="17"/>
        </w:rPr>
        <w:t>técnico,</w:t>
      </w:r>
      <w:r>
        <w:rPr>
          <w:rFonts w:ascii="Calibri" w:hAnsi="Calibri"/>
          <w:color w:val="231F20"/>
          <w:spacing w:val="-14"/>
          <w:w w:val="105"/>
          <w:sz w:val="17"/>
        </w:rPr>
        <w:t> </w:t>
      </w:r>
      <w:r>
        <w:rPr>
          <w:rFonts w:ascii="Calibri" w:hAnsi="Calibri"/>
          <w:color w:val="231F20"/>
          <w:w w:val="105"/>
          <w:sz w:val="17"/>
        </w:rPr>
        <w:t>la</w:t>
      </w:r>
      <w:r>
        <w:rPr>
          <w:rFonts w:ascii="Calibri" w:hAnsi="Calibri"/>
          <w:color w:val="231F20"/>
          <w:spacing w:val="-14"/>
          <w:w w:val="105"/>
          <w:sz w:val="17"/>
        </w:rPr>
        <w:t> </w:t>
      </w:r>
      <w:r>
        <w:rPr>
          <w:rFonts w:ascii="Calibri" w:hAnsi="Calibri"/>
          <w:color w:val="231F20"/>
          <w:w w:val="105"/>
          <w:sz w:val="17"/>
        </w:rPr>
        <w:t>seguridad.</w:t>
      </w:r>
    </w:p>
    <w:p>
      <w:pPr>
        <w:spacing w:after="0" w:line="235" w:lineRule="auto"/>
        <w:jc w:val="both"/>
        <w:rPr>
          <w:rFonts w:ascii="Calibri" w:hAnsi="Calibri"/>
          <w:sz w:val="17"/>
        </w:rPr>
        <w:sectPr>
          <w:pgSz w:w="9640" w:h="13890"/>
          <w:pgMar w:top="0" w:bottom="280" w:left="1300" w:right="1200"/>
        </w:sectPr>
      </w:pPr>
    </w:p>
    <w:p>
      <w:pPr>
        <w:spacing w:line="220" w:lineRule="exact" w:before="121"/>
        <w:ind w:left="1521" w:right="115" w:firstLine="0"/>
        <w:jc w:val="both"/>
        <w:rPr>
          <w:sz w:val="19"/>
        </w:rPr>
      </w:pPr>
      <w:r>
        <w:rPr>
          <w:color w:val="231F20"/>
          <w:w w:val="105"/>
          <w:sz w:val="19"/>
        </w:rPr>
        <w:t>compensación, cómo mide los mecanismos de medida que ha instaurado al interior de su gubernamentalidad</w:t>
      </w:r>
      <w:r>
        <w:rPr>
          <w:color w:val="231F20"/>
          <w:w w:val="105"/>
          <w:position w:val="6"/>
          <w:sz w:val="11"/>
        </w:rPr>
        <w:t>34</w:t>
      </w:r>
      <w:r>
        <w:rPr>
          <w:color w:val="231F20"/>
          <w:w w:val="105"/>
          <w:sz w:val="19"/>
        </w:rPr>
        <w:t>.</w:t>
      </w:r>
    </w:p>
    <w:p>
      <w:pPr>
        <w:pStyle w:val="BodyText"/>
        <w:spacing w:before="11"/>
        <w:rPr>
          <w:sz w:val="23"/>
        </w:rPr>
      </w:pPr>
    </w:p>
    <w:p>
      <w:pPr>
        <w:pStyle w:val="BodyText"/>
        <w:spacing w:line="247" w:lineRule="auto"/>
        <w:ind w:left="103" w:right="114"/>
        <w:jc w:val="both"/>
      </w:pPr>
      <w:r>
        <w:rPr>
          <w:color w:val="231F20"/>
        </w:rPr>
        <w:t>El capitalismo liberal no es algo que deba justificarse frente a un texto, no es algo que pueda fundarse en un conjunto de principios canónicos, todo lo contrario, si algo lo distingue, si algo le da fuerza y lo hace maleable, es su</w:t>
      </w:r>
      <w:r>
        <w:rPr>
          <w:color w:val="231F20"/>
          <w:spacing w:val="-8"/>
        </w:rPr>
        <w:t> </w:t>
      </w:r>
      <w:r>
        <w:rPr>
          <w:color w:val="231F20"/>
        </w:rPr>
        <w:t>capacidad</w:t>
      </w:r>
      <w:r>
        <w:rPr>
          <w:color w:val="231F20"/>
          <w:spacing w:val="-8"/>
        </w:rPr>
        <w:t> </w:t>
      </w:r>
      <w:r>
        <w:rPr>
          <w:color w:val="231F20"/>
        </w:rPr>
        <w:t>de</w:t>
      </w:r>
      <w:r>
        <w:rPr>
          <w:color w:val="231F20"/>
          <w:spacing w:val="-8"/>
        </w:rPr>
        <w:t> </w:t>
      </w:r>
      <w:r>
        <w:rPr>
          <w:color w:val="231F20"/>
        </w:rPr>
        <w:t>rotar</w:t>
      </w:r>
      <w:r>
        <w:rPr>
          <w:color w:val="231F20"/>
          <w:spacing w:val="-8"/>
        </w:rPr>
        <w:t> </w:t>
      </w:r>
      <w:r>
        <w:rPr>
          <w:color w:val="231F20"/>
        </w:rPr>
        <w:t>y</w:t>
      </w:r>
      <w:r>
        <w:rPr>
          <w:color w:val="231F20"/>
          <w:spacing w:val="-8"/>
        </w:rPr>
        <w:t> </w:t>
      </w:r>
      <w:r>
        <w:rPr>
          <w:color w:val="231F20"/>
        </w:rPr>
        <w:t>adaptar</w:t>
      </w:r>
      <w:r>
        <w:rPr>
          <w:color w:val="231F20"/>
          <w:spacing w:val="-8"/>
        </w:rPr>
        <w:t> </w:t>
      </w:r>
      <w:r>
        <w:rPr>
          <w:color w:val="231F20"/>
        </w:rPr>
        <w:t>sus</w:t>
      </w:r>
      <w:r>
        <w:rPr>
          <w:color w:val="231F20"/>
          <w:spacing w:val="-8"/>
        </w:rPr>
        <w:t> </w:t>
      </w:r>
      <w:r>
        <w:rPr>
          <w:color w:val="231F20"/>
        </w:rPr>
        <w:t>“fundamentos”</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sea</w:t>
      </w:r>
      <w:r>
        <w:rPr>
          <w:color w:val="231F20"/>
          <w:spacing w:val="-8"/>
        </w:rPr>
        <w:t> </w:t>
      </w:r>
      <w:r>
        <w:rPr>
          <w:color w:val="231F20"/>
        </w:rPr>
        <w:t>la</w:t>
      </w:r>
      <w:r>
        <w:rPr>
          <w:color w:val="231F20"/>
          <w:spacing w:val="-8"/>
        </w:rPr>
        <w:t> </w:t>
      </w:r>
      <w:r>
        <w:rPr>
          <w:color w:val="231F20"/>
        </w:rPr>
        <w:t>ocasión. De hecho, sería aquí arriesgado hablar de fundamentos, lo que hay en el fondo de la lógica capitalista es un conjunto de </w:t>
      </w:r>
      <w:r>
        <w:rPr>
          <w:rFonts w:ascii="Arial" w:hAnsi="Arial"/>
          <w:i/>
          <w:color w:val="231F20"/>
        </w:rPr>
        <w:t>axiomas </w:t>
      </w:r>
      <w:r>
        <w:rPr>
          <w:color w:val="231F20"/>
        </w:rPr>
        <w:t>que se rehacen cada vez que es necesario. Desde la perspectiva de Deleuze, el</w:t>
      </w:r>
      <w:r>
        <w:rPr>
          <w:color w:val="231F20"/>
          <w:spacing w:val="-36"/>
        </w:rPr>
        <w:t> </w:t>
      </w:r>
      <w:r>
        <w:rPr>
          <w:color w:val="231F20"/>
        </w:rPr>
        <w:t>capitalismo debe</w:t>
      </w:r>
      <w:r>
        <w:rPr>
          <w:color w:val="231F20"/>
          <w:spacing w:val="-6"/>
        </w:rPr>
        <w:t> </w:t>
      </w:r>
      <w:r>
        <w:rPr>
          <w:color w:val="231F20"/>
        </w:rPr>
        <w:t>su</w:t>
      </w:r>
      <w:r>
        <w:rPr>
          <w:color w:val="231F20"/>
          <w:spacing w:val="-6"/>
        </w:rPr>
        <w:t> </w:t>
      </w:r>
      <w:r>
        <w:rPr>
          <w:color w:val="231F20"/>
        </w:rPr>
        <w:t>gran</w:t>
      </w:r>
      <w:r>
        <w:rPr>
          <w:color w:val="231F20"/>
          <w:spacing w:val="-6"/>
        </w:rPr>
        <w:t> </w:t>
      </w:r>
      <w:r>
        <w:rPr>
          <w:color w:val="231F20"/>
        </w:rPr>
        <w:t>poder</w:t>
      </w:r>
      <w:r>
        <w:rPr>
          <w:color w:val="231F20"/>
          <w:spacing w:val="-6"/>
        </w:rPr>
        <w:t> </w:t>
      </w:r>
      <w:r>
        <w:rPr>
          <w:color w:val="231F20"/>
        </w:rPr>
        <w:t>de</w:t>
      </w:r>
      <w:r>
        <w:rPr>
          <w:color w:val="231F20"/>
          <w:spacing w:val="-6"/>
        </w:rPr>
        <w:t> </w:t>
      </w:r>
      <w:r>
        <w:rPr>
          <w:color w:val="231F20"/>
        </w:rPr>
        <w:t>reactivación</w:t>
      </w:r>
      <w:r>
        <w:rPr>
          <w:color w:val="231F20"/>
          <w:spacing w:val="-6"/>
        </w:rPr>
        <w:t> </w:t>
      </w:r>
      <w:r>
        <w:rPr>
          <w:color w:val="231F20"/>
        </w:rPr>
        <w:t>y</w:t>
      </w:r>
      <w:r>
        <w:rPr>
          <w:color w:val="231F20"/>
          <w:spacing w:val="-6"/>
        </w:rPr>
        <w:t> </w:t>
      </w:r>
      <w:r>
        <w:rPr>
          <w:color w:val="231F20"/>
        </w:rPr>
        <w:t>rehabilitación,</w:t>
      </w:r>
      <w:r>
        <w:rPr>
          <w:color w:val="231F20"/>
          <w:spacing w:val="-6"/>
        </w:rPr>
        <w:t> </w:t>
      </w:r>
      <w:r>
        <w:rPr>
          <w:color w:val="231F20"/>
        </w:rPr>
        <w:t>a</w:t>
      </w:r>
      <w:r>
        <w:rPr>
          <w:color w:val="231F20"/>
          <w:spacing w:val="-6"/>
        </w:rPr>
        <w:t> </w:t>
      </w:r>
      <w:r>
        <w:rPr>
          <w:color w:val="231F20"/>
        </w:rPr>
        <w:t>pesar</w:t>
      </w:r>
      <w:r>
        <w:rPr>
          <w:color w:val="231F20"/>
          <w:spacing w:val="-6"/>
        </w:rPr>
        <w:t> </w:t>
      </w:r>
      <w:r>
        <w:rPr>
          <w:color w:val="231F20"/>
        </w:rPr>
        <w:t>de</w:t>
      </w:r>
      <w:r>
        <w:rPr>
          <w:color w:val="231F20"/>
          <w:spacing w:val="-6"/>
        </w:rPr>
        <w:t> </w:t>
      </w:r>
      <w:r>
        <w:rPr>
          <w:color w:val="231F20"/>
        </w:rPr>
        <w:t>sus</w:t>
      </w:r>
      <w:r>
        <w:rPr>
          <w:color w:val="231F20"/>
          <w:spacing w:val="-6"/>
        </w:rPr>
        <w:t> </w:t>
      </w:r>
      <w:r>
        <w:rPr>
          <w:color w:val="231F20"/>
        </w:rPr>
        <w:t>crisis,</w:t>
      </w:r>
      <w:r>
        <w:rPr>
          <w:color w:val="231F20"/>
          <w:spacing w:val="-6"/>
        </w:rPr>
        <w:t> </w:t>
      </w:r>
      <w:r>
        <w:rPr>
          <w:color w:val="231F20"/>
        </w:rPr>
        <w:t>a su gran capacidad axiomatizadora. Lo propio de la lógica capitalista no es dar lugar a un fundamento o a un código base a partir del cual todos los demás</w:t>
      </w:r>
      <w:r>
        <w:rPr>
          <w:color w:val="231F20"/>
          <w:spacing w:val="-10"/>
        </w:rPr>
        <w:t> </w:t>
      </w:r>
      <w:r>
        <w:rPr>
          <w:color w:val="231F20"/>
        </w:rPr>
        <w:t>códigos</w:t>
      </w:r>
      <w:r>
        <w:rPr>
          <w:color w:val="231F20"/>
          <w:spacing w:val="-10"/>
        </w:rPr>
        <w:t> </w:t>
      </w:r>
      <w:r>
        <w:rPr>
          <w:color w:val="231F20"/>
        </w:rPr>
        <w:t>se</w:t>
      </w:r>
      <w:r>
        <w:rPr>
          <w:color w:val="231F20"/>
          <w:spacing w:val="-10"/>
        </w:rPr>
        <w:t> </w:t>
      </w:r>
      <w:r>
        <w:rPr>
          <w:color w:val="231F20"/>
        </w:rPr>
        <w:t>deberían</w:t>
      </w:r>
      <w:r>
        <w:rPr>
          <w:color w:val="231F20"/>
          <w:spacing w:val="-10"/>
        </w:rPr>
        <w:t> </w:t>
      </w:r>
      <w:r>
        <w:rPr>
          <w:color w:val="231F20"/>
        </w:rPr>
        <w:t>ajustar;</w:t>
      </w:r>
      <w:r>
        <w:rPr>
          <w:color w:val="231F20"/>
          <w:spacing w:val="-10"/>
        </w:rPr>
        <w:t> </w:t>
      </w:r>
      <w:r>
        <w:rPr>
          <w:color w:val="231F20"/>
        </w:rPr>
        <w:t>todo</w:t>
      </w:r>
      <w:r>
        <w:rPr>
          <w:color w:val="231F20"/>
          <w:spacing w:val="-10"/>
        </w:rPr>
        <w:t> </w:t>
      </w:r>
      <w:r>
        <w:rPr>
          <w:color w:val="231F20"/>
        </w:rPr>
        <w:t>lo</w:t>
      </w:r>
      <w:r>
        <w:rPr>
          <w:color w:val="231F20"/>
          <w:spacing w:val="-10"/>
        </w:rPr>
        <w:t> </w:t>
      </w:r>
      <w:r>
        <w:rPr>
          <w:color w:val="231F20"/>
        </w:rPr>
        <w:t>contrario,</w:t>
      </w:r>
      <w:r>
        <w:rPr>
          <w:color w:val="231F20"/>
          <w:spacing w:val="-10"/>
        </w:rPr>
        <w:t> </w:t>
      </w:r>
      <w:r>
        <w:rPr>
          <w:color w:val="231F20"/>
        </w:rPr>
        <w:t>lo</w:t>
      </w:r>
      <w:r>
        <w:rPr>
          <w:color w:val="231F20"/>
          <w:spacing w:val="-10"/>
        </w:rPr>
        <w:t> </w:t>
      </w:r>
      <w:r>
        <w:rPr>
          <w:color w:val="231F20"/>
        </w:rPr>
        <w:t>que</w:t>
      </w:r>
      <w:r>
        <w:rPr>
          <w:color w:val="231F20"/>
          <w:spacing w:val="49"/>
        </w:rPr>
        <w:t> </w:t>
      </w:r>
      <w:r>
        <w:rPr>
          <w:color w:val="231F20"/>
        </w:rPr>
        <w:t>crea</w:t>
      </w:r>
      <w:r>
        <w:rPr>
          <w:color w:val="231F20"/>
          <w:spacing w:val="-10"/>
        </w:rPr>
        <w:t> </w:t>
      </w:r>
      <w:r>
        <w:rPr>
          <w:color w:val="231F20"/>
        </w:rPr>
        <w:t>son</w:t>
      </w:r>
      <w:r>
        <w:rPr>
          <w:color w:val="231F20"/>
          <w:spacing w:val="-10"/>
        </w:rPr>
        <w:t> </w:t>
      </w:r>
      <w:r>
        <w:rPr>
          <w:color w:val="231F20"/>
        </w:rPr>
        <w:t>axio- mas que, en tanto enunciados autoevidentes y que no necesitan demos- trarse</w:t>
      </w:r>
      <w:r>
        <w:rPr>
          <w:color w:val="231F20"/>
          <w:spacing w:val="-8"/>
        </w:rPr>
        <w:t> </w:t>
      </w:r>
      <w:r>
        <w:rPr>
          <w:color w:val="231F20"/>
        </w:rPr>
        <w:t>ni</w:t>
      </w:r>
      <w:r>
        <w:rPr>
          <w:color w:val="231F20"/>
          <w:spacing w:val="-8"/>
        </w:rPr>
        <w:t> </w:t>
      </w:r>
      <w:r>
        <w:rPr>
          <w:color w:val="231F20"/>
        </w:rPr>
        <w:t>derivarse</w:t>
      </w:r>
      <w:r>
        <w:rPr>
          <w:color w:val="231F20"/>
          <w:spacing w:val="-8"/>
        </w:rPr>
        <w:t> </w:t>
      </w:r>
      <w:r>
        <w:rPr>
          <w:color w:val="231F20"/>
        </w:rPr>
        <w:t>de</w:t>
      </w:r>
      <w:r>
        <w:rPr>
          <w:color w:val="231F20"/>
          <w:spacing w:val="-8"/>
        </w:rPr>
        <w:t> </w:t>
      </w:r>
      <w:r>
        <w:rPr>
          <w:color w:val="231F20"/>
        </w:rPr>
        <w:t>nada</w:t>
      </w:r>
      <w:r>
        <w:rPr>
          <w:color w:val="231F20"/>
          <w:spacing w:val="-8"/>
        </w:rPr>
        <w:t> </w:t>
      </w:r>
      <w:r>
        <w:rPr>
          <w:color w:val="231F20"/>
        </w:rPr>
        <w:t>anterior</w:t>
      </w:r>
      <w:r>
        <w:rPr>
          <w:color w:val="231F20"/>
          <w:spacing w:val="-8"/>
        </w:rPr>
        <w:t> </w:t>
      </w:r>
      <w:r>
        <w:rPr>
          <w:color w:val="231F20"/>
        </w:rPr>
        <w:t>a</w:t>
      </w:r>
      <w:r>
        <w:rPr>
          <w:color w:val="231F20"/>
          <w:spacing w:val="-8"/>
        </w:rPr>
        <w:t> </w:t>
      </w:r>
      <w:r>
        <w:rPr>
          <w:color w:val="231F20"/>
        </w:rPr>
        <w:t>ellos,</w:t>
      </w:r>
      <w:r>
        <w:rPr>
          <w:color w:val="231F20"/>
          <w:spacing w:val="-8"/>
        </w:rPr>
        <w:t> </w:t>
      </w:r>
      <w:r>
        <w:rPr>
          <w:color w:val="231F20"/>
        </w:rPr>
        <w:t>resultan</w:t>
      </w:r>
      <w:r>
        <w:rPr>
          <w:color w:val="231F20"/>
          <w:spacing w:val="-8"/>
        </w:rPr>
        <w:t> </w:t>
      </w:r>
      <w:r>
        <w:rPr>
          <w:color w:val="231F20"/>
        </w:rPr>
        <w:t>sumamente</w:t>
      </w:r>
      <w:r>
        <w:rPr>
          <w:color w:val="231F20"/>
          <w:spacing w:val="-8"/>
        </w:rPr>
        <w:t> </w:t>
      </w:r>
      <w:r>
        <w:rPr>
          <w:color w:val="231F20"/>
        </w:rPr>
        <w:t>aptos</w:t>
      </w:r>
      <w:r>
        <w:rPr>
          <w:color w:val="231F20"/>
          <w:spacing w:val="-8"/>
        </w:rPr>
        <w:t> </w:t>
      </w:r>
      <w:r>
        <w:rPr>
          <w:color w:val="231F20"/>
        </w:rPr>
        <w:t>para acomodarse</w:t>
      </w:r>
      <w:r>
        <w:rPr>
          <w:color w:val="231F20"/>
          <w:spacing w:val="-5"/>
        </w:rPr>
        <w:t> </w:t>
      </w:r>
      <w:r>
        <w:rPr>
          <w:color w:val="231F20"/>
        </w:rPr>
        <w:t>y</w:t>
      </w:r>
      <w:r>
        <w:rPr>
          <w:color w:val="231F20"/>
          <w:spacing w:val="-5"/>
        </w:rPr>
        <w:t> </w:t>
      </w:r>
      <w:r>
        <w:rPr>
          <w:color w:val="231F20"/>
        </w:rPr>
        <w:t>reformarse</w:t>
      </w:r>
      <w:r>
        <w:rPr>
          <w:color w:val="231F20"/>
          <w:spacing w:val="-5"/>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necesidades</w:t>
      </w:r>
      <w:r>
        <w:rPr>
          <w:color w:val="231F20"/>
          <w:spacing w:val="-5"/>
        </w:rPr>
        <w:t> </w:t>
      </w:r>
      <w:r>
        <w:rPr>
          <w:color w:val="231F20"/>
        </w:rPr>
        <w:t>de</w:t>
      </w:r>
      <w:r>
        <w:rPr>
          <w:color w:val="231F20"/>
          <w:spacing w:val="-5"/>
        </w:rPr>
        <w:t> </w:t>
      </w:r>
      <w:r>
        <w:rPr>
          <w:color w:val="231F20"/>
        </w:rPr>
        <w:t>cada</w:t>
      </w:r>
      <w:r>
        <w:rPr>
          <w:color w:val="231F20"/>
          <w:spacing w:val="-5"/>
        </w:rPr>
        <w:t> </w:t>
      </w:r>
      <w:r>
        <w:rPr>
          <w:color w:val="231F20"/>
        </w:rPr>
        <w:t>situación.</w:t>
      </w:r>
      <w:r>
        <w:rPr>
          <w:color w:val="231F20"/>
          <w:spacing w:val="-5"/>
        </w:rPr>
        <w:t> </w:t>
      </w:r>
      <w:r>
        <w:rPr>
          <w:color w:val="231F20"/>
        </w:rPr>
        <w:t>Un axioma no sólo imprime orden, sino puede modificarse para establecer uno</w:t>
      </w:r>
      <w:r>
        <w:rPr>
          <w:color w:val="231F20"/>
          <w:spacing w:val="-11"/>
        </w:rPr>
        <w:t> </w:t>
      </w:r>
      <w:r>
        <w:rPr>
          <w:color w:val="231F20"/>
        </w:rPr>
        <w:t>nuevo.</w:t>
      </w:r>
      <w:r>
        <w:rPr>
          <w:color w:val="231F20"/>
          <w:spacing w:val="-11"/>
        </w:rPr>
        <w:t> </w:t>
      </w:r>
      <w:r>
        <w:rPr>
          <w:color w:val="231F20"/>
          <w:spacing w:val="-6"/>
        </w:rPr>
        <w:t>Toda</w:t>
      </w:r>
      <w:r>
        <w:rPr>
          <w:color w:val="231F20"/>
          <w:spacing w:val="-11"/>
        </w:rPr>
        <w:t> </w:t>
      </w:r>
      <w:r>
        <w:rPr>
          <w:color w:val="231F20"/>
        </w:rPr>
        <w:t>cosa</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salga</w:t>
      </w:r>
      <w:r>
        <w:rPr>
          <w:color w:val="231F20"/>
          <w:spacing w:val="-11"/>
        </w:rPr>
        <w:t> </w:t>
      </w:r>
      <w:r>
        <w:rPr>
          <w:color w:val="231F20"/>
        </w:rPr>
        <w:t>de</w:t>
      </w:r>
      <w:r>
        <w:rPr>
          <w:color w:val="231F20"/>
          <w:spacing w:val="-11"/>
        </w:rPr>
        <w:t> </w:t>
      </w:r>
      <w:r>
        <w:rPr>
          <w:color w:val="231F20"/>
        </w:rPr>
        <w:t>este</w:t>
      </w:r>
      <w:r>
        <w:rPr>
          <w:color w:val="231F20"/>
          <w:spacing w:val="-11"/>
        </w:rPr>
        <w:t> </w:t>
      </w:r>
      <w:r>
        <w:rPr>
          <w:color w:val="231F20"/>
        </w:rPr>
        <w:t>orden</w:t>
      </w:r>
      <w:r>
        <w:rPr>
          <w:color w:val="231F20"/>
          <w:spacing w:val="-11"/>
        </w:rPr>
        <w:t> </w:t>
      </w:r>
      <w:r>
        <w:rPr>
          <w:color w:val="231F20"/>
        </w:rPr>
        <w:t>—una</w:t>
      </w:r>
      <w:r>
        <w:rPr>
          <w:color w:val="231F20"/>
          <w:spacing w:val="-11"/>
        </w:rPr>
        <w:t> </w:t>
      </w:r>
      <w:r>
        <w:rPr>
          <w:rFonts w:ascii="Arial" w:hAnsi="Arial"/>
          <w:i/>
          <w:color w:val="231F20"/>
        </w:rPr>
        <w:t>línea</w:t>
      </w:r>
      <w:r>
        <w:rPr>
          <w:rFonts w:ascii="Arial" w:hAnsi="Arial"/>
          <w:i/>
          <w:color w:val="231F20"/>
          <w:spacing w:val="-4"/>
        </w:rPr>
        <w:t> </w:t>
      </w:r>
      <w:r>
        <w:rPr>
          <w:rFonts w:ascii="Arial" w:hAnsi="Arial"/>
          <w:i/>
          <w:color w:val="231F20"/>
        </w:rPr>
        <w:t>de</w:t>
      </w:r>
      <w:r>
        <w:rPr>
          <w:rFonts w:ascii="Arial" w:hAnsi="Arial"/>
          <w:i/>
          <w:color w:val="231F20"/>
          <w:spacing w:val="-4"/>
        </w:rPr>
        <w:t> </w:t>
      </w:r>
      <w:r>
        <w:rPr>
          <w:rFonts w:ascii="Arial" w:hAnsi="Arial"/>
          <w:i/>
          <w:color w:val="231F20"/>
        </w:rPr>
        <w:t>fuga</w:t>
      </w:r>
      <w:r>
        <w:rPr>
          <w:color w:val="231F20"/>
          <w:position w:val="7"/>
          <w:sz w:val="12"/>
        </w:rPr>
        <w:t>35</w:t>
      </w:r>
      <w:r>
        <w:rPr>
          <w:color w:val="231F20"/>
        </w:rPr>
        <w:t>,</w:t>
      </w:r>
      <w:r>
        <w:rPr>
          <w:color w:val="231F20"/>
          <w:spacing w:val="-11"/>
        </w:rPr>
        <w:t> </w:t>
      </w:r>
      <w:r>
        <w:rPr>
          <w:color w:val="231F20"/>
        </w:rPr>
        <w:t>por ejemplo— puede ser integrada y reinterpretada a la luz de un cambio en los</w:t>
      </w:r>
      <w:r>
        <w:rPr>
          <w:color w:val="231F20"/>
          <w:spacing w:val="-15"/>
        </w:rPr>
        <w:t> </w:t>
      </w:r>
      <w:r>
        <w:rPr>
          <w:color w:val="231F20"/>
        </w:rPr>
        <w:t>axiomas,</w:t>
      </w:r>
      <w:r>
        <w:rPr>
          <w:color w:val="231F20"/>
          <w:spacing w:val="-15"/>
        </w:rPr>
        <w:t> </w:t>
      </w:r>
      <w:r>
        <w:rPr>
          <w:color w:val="231F20"/>
        </w:rPr>
        <w:t>estos</w:t>
      </w:r>
      <w:r>
        <w:rPr>
          <w:color w:val="231F20"/>
          <w:spacing w:val="-15"/>
        </w:rPr>
        <w:t> </w:t>
      </w:r>
      <w:r>
        <w:rPr>
          <w:color w:val="231F20"/>
        </w:rPr>
        <w:t>siempre</w:t>
      </w:r>
      <w:r>
        <w:rPr>
          <w:color w:val="231F20"/>
          <w:spacing w:val="-15"/>
        </w:rPr>
        <w:t> </w:t>
      </w:r>
      <w:r>
        <w:rPr>
          <w:color w:val="231F20"/>
        </w:rPr>
        <w:t>pueden</w:t>
      </w:r>
      <w:r>
        <w:rPr>
          <w:color w:val="231F20"/>
          <w:spacing w:val="-15"/>
        </w:rPr>
        <w:t> </w:t>
      </w:r>
      <w:r>
        <w:rPr>
          <w:color w:val="231F20"/>
        </w:rPr>
        <w:t>resemiotizarse,</w:t>
      </w:r>
      <w:r>
        <w:rPr>
          <w:color w:val="231F20"/>
          <w:spacing w:val="-15"/>
        </w:rPr>
        <w:t> </w:t>
      </w:r>
      <w:r>
        <w:rPr>
          <w:color w:val="231F20"/>
        </w:rPr>
        <w:t>reestructurarse</w:t>
      </w:r>
      <w:r>
        <w:rPr>
          <w:color w:val="231F20"/>
          <w:spacing w:val="-15"/>
        </w:rPr>
        <w:t> </w:t>
      </w:r>
      <w:r>
        <w:rPr>
          <w:color w:val="231F20"/>
        </w:rPr>
        <w:t>y</w:t>
      </w:r>
      <w:r>
        <w:rPr>
          <w:color w:val="231F20"/>
          <w:spacing w:val="-15"/>
        </w:rPr>
        <w:t> </w:t>
      </w:r>
      <w:r>
        <w:rPr>
          <w:color w:val="231F20"/>
        </w:rPr>
        <w:t>flexibi- lizarse para incluir aquello que se les escapa, siempre pueden</w:t>
      </w:r>
      <w:r>
        <w:rPr>
          <w:color w:val="231F20"/>
          <w:spacing w:val="-46"/>
        </w:rPr>
        <w:t> </w:t>
      </w:r>
      <w:r>
        <w:rPr>
          <w:color w:val="231F20"/>
        </w:rPr>
        <w:t>territorializar aquello que se había</w:t>
      </w:r>
      <w:r>
        <w:rPr>
          <w:color w:val="231F20"/>
          <w:spacing w:val="42"/>
        </w:rPr>
        <w:t> </w:t>
      </w:r>
      <w:r>
        <w:rPr>
          <w:color w:val="231F20"/>
        </w:rPr>
        <w:t>desterritorializado</w:t>
      </w:r>
      <w:r>
        <w:rPr>
          <w:color w:val="231F20"/>
          <w:position w:val="7"/>
          <w:sz w:val="12"/>
        </w:rPr>
        <w:t>36</w:t>
      </w:r>
      <w:r>
        <w:rPr>
          <w:color w:val="231F20"/>
        </w:rPr>
        <w:t>.</w:t>
      </w:r>
    </w:p>
    <w:p>
      <w:pPr>
        <w:pStyle w:val="BodyText"/>
        <w:spacing w:before="10"/>
        <w:rPr>
          <w:sz w:val="22"/>
        </w:rPr>
      </w:pPr>
    </w:p>
    <w:p>
      <w:pPr>
        <w:spacing w:line="220" w:lineRule="exact" w:before="1"/>
        <w:ind w:left="1521" w:right="115" w:firstLine="0"/>
        <w:jc w:val="both"/>
        <w:rPr>
          <w:sz w:val="19"/>
        </w:rPr>
      </w:pPr>
      <w:r>
        <w:rPr>
          <w:color w:val="231F20"/>
          <w:sz w:val="19"/>
        </w:rPr>
        <w:t>Lejos de líneas de fuga creadoras y de conjugar trazos de des- territorialización positiva, la axiomática barre todas las líneas, las somete a un sistema puntual, y detiene las escrituras algebraicas</w:t>
      </w:r>
    </w:p>
    <w:p>
      <w:pPr>
        <w:pStyle w:val="BodyText"/>
        <w:spacing w:before="2"/>
      </w:pPr>
      <w:r>
        <w:rPr/>
        <w:pict>
          <v:line style="position:absolute;mso-position-horizontal-relative:page;mso-position-vertical-relative:paragraph;z-index:4600;mso-wrap-distance-left:0;mso-wrap-distance-right:0" from="65.1968pt,14.909404pt" to="178.5828pt,14.909404pt" stroked="true" strokeweight=".3pt" strokecolor="#231f20">
            <w10:wrap type="topAndBottom"/>
          </v:line>
        </w:pict>
      </w:r>
    </w:p>
    <w:p>
      <w:pPr>
        <w:spacing w:line="206" w:lineRule="exact" w:before="10"/>
        <w:ind w:left="103" w:right="0" w:firstLine="0"/>
        <w:jc w:val="both"/>
        <w:rPr>
          <w:rFonts w:ascii="Calibri"/>
          <w:sz w:val="17"/>
        </w:rPr>
      </w:pPr>
      <w:r>
        <w:rPr>
          <w:rFonts w:ascii="Calibri"/>
          <w:color w:val="231F20"/>
          <w:position w:val="6"/>
          <w:sz w:val="10"/>
        </w:rPr>
        <w:t>34  </w:t>
      </w:r>
      <w:r>
        <w:rPr>
          <w:rFonts w:ascii="Calibri"/>
          <w:color w:val="231F20"/>
          <w:sz w:val="17"/>
        </w:rPr>
        <w:t>Foucault, </w:t>
      </w:r>
      <w:r>
        <w:rPr>
          <w:rFonts w:ascii="Calibri"/>
          <w:i/>
          <w:color w:val="231F20"/>
          <w:sz w:val="17"/>
        </w:rPr>
        <w:t>Naissance de la biopolitique</w:t>
      </w:r>
      <w:r>
        <w:rPr>
          <w:rFonts w:ascii="Calibri"/>
          <w:color w:val="231F20"/>
          <w:sz w:val="17"/>
        </w:rPr>
        <w:t>, p. 94.</w:t>
      </w:r>
    </w:p>
    <w:p>
      <w:pPr>
        <w:spacing w:line="235" w:lineRule="auto" w:before="1"/>
        <w:ind w:left="103" w:right="114" w:firstLine="0"/>
        <w:jc w:val="both"/>
        <w:rPr>
          <w:rFonts w:ascii="Calibri" w:hAnsi="Calibri"/>
          <w:sz w:val="17"/>
        </w:rPr>
      </w:pPr>
      <w:r>
        <w:rPr>
          <w:rFonts w:ascii="Calibri" w:hAnsi="Calibri"/>
          <w:color w:val="231F20"/>
          <w:w w:val="105"/>
          <w:position w:val="6"/>
          <w:sz w:val="10"/>
        </w:rPr>
        <w:t>35</w:t>
      </w:r>
      <w:r>
        <w:rPr>
          <w:rFonts w:ascii="Calibri" w:hAnsi="Calibri"/>
          <w:color w:val="231F20"/>
          <w:spacing w:val="10"/>
          <w:w w:val="105"/>
          <w:position w:val="6"/>
          <w:sz w:val="10"/>
        </w:rPr>
        <w:t> </w:t>
      </w:r>
      <w:r>
        <w:rPr>
          <w:rFonts w:ascii="Calibri" w:hAnsi="Calibri"/>
          <w:color w:val="231F20"/>
          <w:w w:val="105"/>
          <w:sz w:val="17"/>
        </w:rPr>
        <w:t>Las</w:t>
      </w:r>
      <w:r>
        <w:rPr>
          <w:rFonts w:ascii="Calibri" w:hAnsi="Calibri"/>
          <w:color w:val="231F20"/>
          <w:spacing w:val="-7"/>
          <w:w w:val="105"/>
          <w:sz w:val="17"/>
        </w:rPr>
        <w:t> </w:t>
      </w:r>
      <w:r>
        <w:rPr>
          <w:rFonts w:ascii="Calibri" w:hAnsi="Calibri"/>
          <w:i/>
          <w:color w:val="231F20"/>
          <w:w w:val="105"/>
          <w:sz w:val="17"/>
        </w:rPr>
        <w:t>líneas</w:t>
      </w:r>
      <w:r>
        <w:rPr>
          <w:rFonts w:ascii="Calibri" w:hAnsi="Calibri"/>
          <w:i/>
          <w:color w:val="231F20"/>
          <w:spacing w:val="-8"/>
          <w:w w:val="105"/>
          <w:sz w:val="17"/>
        </w:rPr>
        <w:t> </w:t>
      </w:r>
      <w:r>
        <w:rPr>
          <w:rFonts w:ascii="Calibri" w:hAnsi="Calibri"/>
          <w:i/>
          <w:color w:val="231F20"/>
          <w:w w:val="105"/>
          <w:sz w:val="17"/>
        </w:rPr>
        <w:t>de</w:t>
      </w:r>
      <w:r>
        <w:rPr>
          <w:rFonts w:ascii="Calibri" w:hAnsi="Calibri"/>
          <w:i/>
          <w:color w:val="231F20"/>
          <w:spacing w:val="-8"/>
          <w:w w:val="105"/>
          <w:sz w:val="17"/>
        </w:rPr>
        <w:t> </w:t>
      </w:r>
      <w:r>
        <w:rPr>
          <w:rFonts w:ascii="Calibri" w:hAnsi="Calibri"/>
          <w:i/>
          <w:color w:val="231F20"/>
          <w:w w:val="105"/>
          <w:sz w:val="17"/>
        </w:rPr>
        <w:t>fuga</w:t>
      </w:r>
      <w:r>
        <w:rPr>
          <w:rFonts w:ascii="Calibri" w:hAnsi="Calibri"/>
          <w:i/>
          <w:color w:val="231F20"/>
          <w:spacing w:val="-7"/>
          <w:w w:val="105"/>
          <w:sz w:val="17"/>
        </w:rPr>
        <w:t> </w:t>
      </w:r>
      <w:r>
        <w:rPr>
          <w:rFonts w:ascii="Calibri" w:hAnsi="Calibri"/>
          <w:color w:val="231F20"/>
          <w:w w:val="105"/>
          <w:sz w:val="17"/>
        </w:rPr>
        <w:t>son</w:t>
      </w:r>
      <w:r>
        <w:rPr>
          <w:rFonts w:ascii="Calibri" w:hAnsi="Calibri"/>
          <w:color w:val="231F20"/>
          <w:spacing w:val="-7"/>
          <w:w w:val="105"/>
          <w:sz w:val="17"/>
        </w:rPr>
        <w:t> </w:t>
      </w:r>
      <w:r>
        <w:rPr>
          <w:rFonts w:ascii="Calibri" w:hAnsi="Calibri"/>
          <w:color w:val="231F20"/>
          <w:w w:val="105"/>
          <w:sz w:val="17"/>
        </w:rPr>
        <w:t>todos</w:t>
      </w:r>
      <w:r>
        <w:rPr>
          <w:rFonts w:ascii="Calibri" w:hAnsi="Calibri"/>
          <w:color w:val="231F20"/>
          <w:spacing w:val="-7"/>
          <w:w w:val="105"/>
          <w:sz w:val="17"/>
        </w:rPr>
        <w:t> </w:t>
      </w:r>
      <w:r>
        <w:rPr>
          <w:rFonts w:ascii="Calibri" w:hAnsi="Calibri"/>
          <w:color w:val="231F20"/>
          <w:w w:val="105"/>
          <w:sz w:val="17"/>
        </w:rPr>
        <w:t>aquellos</w:t>
      </w:r>
      <w:r>
        <w:rPr>
          <w:rFonts w:ascii="Calibri" w:hAnsi="Calibri"/>
          <w:color w:val="231F20"/>
          <w:spacing w:val="-7"/>
          <w:w w:val="105"/>
          <w:sz w:val="17"/>
        </w:rPr>
        <w:t> </w:t>
      </w:r>
      <w:r>
        <w:rPr>
          <w:rFonts w:ascii="Calibri" w:hAnsi="Calibri"/>
          <w:color w:val="231F20"/>
          <w:w w:val="105"/>
          <w:sz w:val="17"/>
        </w:rPr>
        <w:t>gestos</w:t>
      </w:r>
      <w:r>
        <w:rPr>
          <w:rFonts w:ascii="Calibri" w:hAnsi="Calibri"/>
          <w:color w:val="231F20"/>
          <w:spacing w:val="-8"/>
          <w:w w:val="105"/>
          <w:sz w:val="17"/>
        </w:rPr>
        <w:t> </w:t>
      </w:r>
      <w:r>
        <w:rPr>
          <w:rFonts w:ascii="Calibri" w:hAnsi="Calibri"/>
          <w:color w:val="231F20"/>
          <w:w w:val="105"/>
          <w:sz w:val="17"/>
        </w:rPr>
        <w:t>y</w:t>
      </w:r>
      <w:r>
        <w:rPr>
          <w:rFonts w:ascii="Calibri" w:hAnsi="Calibri"/>
          <w:color w:val="231F20"/>
          <w:spacing w:val="-7"/>
          <w:w w:val="105"/>
          <w:sz w:val="17"/>
        </w:rPr>
        <w:t> </w:t>
      </w:r>
      <w:r>
        <w:rPr>
          <w:rFonts w:ascii="Calibri" w:hAnsi="Calibri"/>
          <w:color w:val="231F20"/>
          <w:w w:val="105"/>
          <w:sz w:val="17"/>
        </w:rPr>
        <w:t>actos</w:t>
      </w:r>
      <w:r>
        <w:rPr>
          <w:rFonts w:ascii="Calibri" w:hAnsi="Calibri"/>
          <w:color w:val="231F20"/>
          <w:spacing w:val="-7"/>
          <w:w w:val="105"/>
          <w:sz w:val="17"/>
        </w:rPr>
        <w:t> </w:t>
      </w:r>
      <w:r>
        <w:rPr>
          <w:rFonts w:ascii="Calibri" w:hAnsi="Calibri"/>
          <w:color w:val="231F20"/>
          <w:w w:val="105"/>
          <w:sz w:val="17"/>
        </w:rPr>
        <w:t>que</w:t>
      </w:r>
      <w:r>
        <w:rPr>
          <w:rFonts w:ascii="Calibri" w:hAnsi="Calibri"/>
          <w:color w:val="231F20"/>
          <w:spacing w:val="-7"/>
          <w:w w:val="105"/>
          <w:sz w:val="17"/>
        </w:rPr>
        <w:t> </w:t>
      </w:r>
      <w:r>
        <w:rPr>
          <w:rFonts w:ascii="Calibri" w:hAnsi="Calibri"/>
          <w:color w:val="231F20"/>
          <w:w w:val="105"/>
          <w:sz w:val="17"/>
        </w:rPr>
        <w:t>se</w:t>
      </w:r>
      <w:r>
        <w:rPr>
          <w:rFonts w:ascii="Calibri" w:hAnsi="Calibri"/>
          <w:color w:val="231F20"/>
          <w:spacing w:val="-7"/>
          <w:w w:val="105"/>
          <w:sz w:val="17"/>
        </w:rPr>
        <w:t> </w:t>
      </w:r>
      <w:r>
        <w:rPr>
          <w:rFonts w:ascii="Calibri" w:hAnsi="Calibri"/>
          <w:color w:val="231F20"/>
          <w:w w:val="105"/>
          <w:sz w:val="17"/>
        </w:rPr>
        <w:t>escapan</w:t>
      </w:r>
      <w:r>
        <w:rPr>
          <w:rFonts w:ascii="Calibri" w:hAnsi="Calibri"/>
          <w:color w:val="231F20"/>
          <w:spacing w:val="-7"/>
          <w:w w:val="105"/>
          <w:sz w:val="17"/>
        </w:rPr>
        <w:t> </w:t>
      </w:r>
      <w:r>
        <w:rPr>
          <w:rFonts w:ascii="Calibri" w:hAnsi="Calibri"/>
          <w:color w:val="231F20"/>
          <w:w w:val="105"/>
          <w:sz w:val="17"/>
        </w:rPr>
        <w:t>de</w:t>
      </w:r>
      <w:r>
        <w:rPr>
          <w:rFonts w:ascii="Calibri" w:hAnsi="Calibri"/>
          <w:color w:val="231F20"/>
          <w:spacing w:val="-7"/>
          <w:w w:val="105"/>
          <w:sz w:val="17"/>
        </w:rPr>
        <w:t> </w:t>
      </w:r>
      <w:r>
        <w:rPr>
          <w:rFonts w:ascii="Calibri" w:hAnsi="Calibri"/>
          <w:color w:val="231F20"/>
          <w:w w:val="105"/>
          <w:sz w:val="17"/>
        </w:rPr>
        <w:t>los</w:t>
      </w:r>
      <w:r>
        <w:rPr>
          <w:rFonts w:ascii="Calibri" w:hAnsi="Calibri"/>
          <w:color w:val="231F20"/>
          <w:spacing w:val="-7"/>
          <w:w w:val="105"/>
          <w:sz w:val="17"/>
        </w:rPr>
        <w:t> </w:t>
      </w:r>
      <w:r>
        <w:rPr>
          <w:rFonts w:ascii="Calibri" w:hAnsi="Calibri"/>
          <w:color w:val="231F20"/>
          <w:w w:val="105"/>
          <w:sz w:val="17"/>
        </w:rPr>
        <w:t>estratos</w:t>
      </w:r>
      <w:r>
        <w:rPr>
          <w:rFonts w:ascii="Calibri" w:hAnsi="Calibri"/>
          <w:color w:val="231F20"/>
          <w:spacing w:val="-7"/>
          <w:w w:val="105"/>
          <w:sz w:val="17"/>
        </w:rPr>
        <w:t> </w:t>
      </w:r>
      <w:r>
        <w:rPr>
          <w:rFonts w:ascii="Calibri" w:hAnsi="Calibri"/>
          <w:color w:val="231F20"/>
          <w:w w:val="105"/>
          <w:sz w:val="17"/>
        </w:rPr>
        <w:t>duros</w:t>
      </w:r>
      <w:r>
        <w:rPr>
          <w:rFonts w:ascii="Calibri" w:hAnsi="Calibri"/>
          <w:color w:val="231F20"/>
          <w:spacing w:val="-7"/>
          <w:w w:val="105"/>
          <w:sz w:val="17"/>
        </w:rPr>
        <w:t> </w:t>
      </w:r>
      <w:r>
        <w:rPr>
          <w:rFonts w:ascii="Calibri" w:hAnsi="Calibri"/>
          <w:color w:val="231F20"/>
          <w:w w:val="105"/>
          <w:sz w:val="17"/>
        </w:rPr>
        <w:t>intro- ducidos por las instituciones, por la lógica capitalista y el Estado, mismos que tratan siempre de traducir</w:t>
      </w:r>
      <w:r>
        <w:rPr>
          <w:rFonts w:ascii="Calibri" w:hAnsi="Calibri"/>
          <w:color w:val="231F20"/>
          <w:spacing w:val="-12"/>
          <w:w w:val="105"/>
          <w:sz w:val="17"/>
        </w:rPr>
        <w:t> </w:t>
      </w:r>
      <w:r>
        <w:rPr>
          <w:rFonts w:ascii="Calibri" w:hAnsi="Calibri"/>
          <w:color w:val="231F20"/>
          <w:w w:val="105"/>
          <w:sz w:val="17"/>
        </w:rPr>
        <w:t>e</w:t>
      </w:r>
      <w:r>
        <w:rPr>
          <w:rFonts w:ascii="Calibri" w:hAnsi="Calibri"/>
          <w:color w:val="231F20"/>
          <w:spacing w:val="-12"/>
          <w:w w:val="105"/>
          <w:sz w:val="17"/>
        </w:rPr>
        <w:t> </w:t>
      </w:r>
      <w:r>
        <w:rPr>
          <w:rFonts w:ascii="Calibri" w:hAnsi="Calibri"/>
          <w:color w:val="231F20"/>
          <w:w w:val="105"/>
          <w:sz w:val="17"/>
        </w:rPr>
        <w:t>introducir</w:t>
      </w:r>
      <w:r>
        <w:rPr>
          <w:rFonts w:ascii="Calibri" w:hAnsi="Calibri"/>
          <w:color w:val="231F20"/>
          <w:spacing w:val="-12"/>
          <w:w w:val="105"/>
          <w:sz w:val="17"/>
        </w:rPr>
        <w:t> </w:t>
      </w:r>
      <w:r>
        <w:rPr>
          <w:rFonts w:ascii="Calibri" w:hAnsi="Calibri"/>
          <w:color w:val="231F20"/>
          <w:w w:val="105"/>
          <w:sz w:val="17"/>
        </w:rPr>
        <w:t>a</w:t>
      </w:r>
      <w:r>
        <w:rPr>
          <w:rFonts w:ascii="Calibri" w:hAnsi="Calibri"/>
          <w:color w:val="231F20"/>
          <w:spacing w:val="-12"/>
          <w:w w:val="105"/>
          <w:sz w:val="17"/>
        </w:rPr>
        <w:t> </w:t>
      </w:r>
      <w:r>
        <w:rPr>
          <w:rFonts w:ascii="Calibri" w:hAnsi="Calibri"/>
          <w:color w:val="231F20"/>
          <w:w w:val="105"/>
          <w:sz w:val="17"/>
        </w:rPr>
        <w:t>toda</w:t>
      </w:r>
      <w:r>
        <w:rPr>
          <w:rFonts w:ascii="Calibri" w:hAnsi="Calibri"/>
          <w:color w:val="231F20"/>
          <w:spacing w:val="-12"/>
          <w:w w:val="105"/>
          <w:sz w:val="17"/>
        </w:rPr>
        <w:t> </w:t>
      </w:r>
      <w:r>
        <w:rPr>
          <w:rFonts w:ascii="Calibri" w:hAnsi="Calibri"/>
          <w:color w:val="231F20"/>
          <w:w w:val="105"/>
          <w:sz w:val="17"/>
        </w:rPr>
        <w:t>conducta</w:t>
      </w:r>
      <w:r>
        <w:rPr>
          <w:rFonts w:ascii="Calibri" w:hAnsi="Calibri"/>
          <w:color w:val="231F20"/>
          <w:spacing w:val="-14"/>
          <w:w w:val="105"/>
          <w:sz w:val="17"/>
        </w:rPr>
        <w:t> </w:t>
      </w:r>
      <w:r>
        <w:rPr>
          <w:rFonts w:ascii="Calibri" w:hAnsi="Calibri"/>
          <w:color w:val="231F20"/>
          <w:w w:val="105"/>
          <w:sz w:val="17"/>
        </w:rPr>
        <w:t>y</w:t>
      </w:r>
      <w:r>
        <w:rPr>
          <w:rFonts w:ascii="Calibri" w:hAnsi="Calibri"/>
          <w:color w:val="231F20"/>
          <w:spacing w:val="-12"/>
          <w:w w:val="105"/>
          <w:sz w:val="17"/>
        </w:rPr>
        <w:t> </w:t>
      </w:r>
      <w:r>
        <w:rPr>
          <w:rFonts w:ascii="Calibri" w:hAnsi="Calibri"/>
          <w:color w:val="231F20"/>
          <w:w w:val="105"/>
          <w:sz w:val="17"/>
        </w:rPr>
        <w:t>acción</w:t>
      </w:r>
      <w:r>
        <w:rPr>
          <w:rFonts w:ascii="Calibri" w:hAnsi="Calibri"/>
          <w:color w:val="231F20"/>
          <w:spacing w:val="-12"/>
          <w:w w:val="105"/>
          <w:sz w:val="17"/>
        </w:rPr>
        <w:t> </w:t>
      </w:r>
      <w:r>
        <w:rPr>
          <w:rFonts w:ascii="Calibri" w:hAnsi="Calibri"/>
          <w:color w:val="231F20"/>
          <w:w w:val="105"/>
          <w:sz w:val="17"/>
        </w:rPr>
        <w:t>humana</w:t>
      </w:r>
      <w:r>
        <w:rPr>
          <w:rFonts w:ascii="Calibri" w:hAnsi="Calibri"/>
          <w:color w:val="231F20"/>
          <w:spacing w:val="-12"/>
          <w:w w:val="105"/>
          <w:sz w:val="17"/>
        </w:rPr>
        <w:t> </w:t>
      </w:r>
      <w:r>
        <w:rPr>
          <w:rFonts w:ascii="Calibri" w:hAnsi="Calibri"/>
          <w:color w:val="231F20"/>
          <w:w w:val="105"/>
          <w:sz w:val="17"/>
        </w:rPr>
        <w:t>dentro</w:t>
      </w:r>
      <w:r>
        <w:rPr>
          <w:rFonts w:ascii="Calibri" w:hAnsi="Calibri"/>
          <w:color w:val="231F20"/>
          <w:spacing w:val="-12"/>
          <w:w w:val="105"/>
          <w:sz w:val="17"/>
        </w:rPr>
        <w:t> </w:t>
      </w:r>
      <w:r>
        <w:rPr>
          <w:rFonts w:ascii="Calibri" w:hAnsi="Calibri"/>
          <w:color w:val="231F20"/>
          <w:w w:val="105"/>
          <w:sz w:val="17"/>
        </w:rPr>
        <w:t>de</w:t>
      </w:r>
      <w:r>
        <w:rPr>
          <w:rFonts w:ascii="Calibri" w:hAnsi="Calibri"/>
          <w:color w:val="231F20"/>
          <w:spacing w:val="-12"/>
          <w:w w:val="105"/>
          <w:sz w:val="17"/>
        </w:rPr>
        <w:t> </w:t>
      </w:r>
      <w:r>
        <w:rPr>
          <w:rFonts w:ascii="Calibri" w:hAnsi="Calibri"/>
          <w:color w:val="231F20"/>
          <w:w w:val="105"/>
          <w:sz w:val="17"/>
        </w:rPr>
        <w:t>una</w:t>
      </w:r>
      <w:r>
        <w:rPr>
          <w:rFonts w:ascii="Calibri" w:hAnsi="Calibri"/>
          <w:color w:val="231F20"/>
          <w:spacing w:val="-12"/>
          <w:w w:val="105"/>
          <w:sz w:val="17"/>
        </w:rPr>
        <w:t> </w:t>
      </w:r>
      <w:r>
        <w:rPr>
          <w:rFonts w:ascii="Calibri" w:hAnsi="Calibri"/>
          <w:color w:val="231F20"/>
          <w:w w:val="105"/>
          <w:sz w:val="17"/>
        </w:rPr>
        <w:t>etiqueta,</w:t>
      </w:r>
      <w:r>
        <w:rPr>
          <w:rFonts w:ascii="Calibri" w:hAnsi="Calibri"/>
          <w:color w:val="231F20"/>
          <w:spacing w:val="-12"/>
          <w:w w:val="105"/>
          <w:sz w:val="17"/>
        </w:rPr>
        <w:t> </w:t>
      </w:r>
      <w:r>
        <w:rPr>
          <w:rFonts w:ascii="Calibri" w:hAnsi="Calibri"/>
          <w:color w:val="231F20"/>
          <w:w w:val="105"/>
          <w:sz w:val="17"/>
        </w:rPr>
        <w:t>identidad</w:t>
      </w:r>
      <w:r>
        <w:rPr>
          <w:rFonts w:ascii="Calibri" w:hAnsi="Calibri"/>
          <w:color w:val="231F20"/>
          <w:spacing w:val="-12"/>
          <w:w w:val="105"/>
          <w:sz w:val="17"/>
        </w:rPr>
        <w:t> </w:t>
      </w:r>
      <w:r>
        <w:rPr>
          <w:rFonts w:ascii="Calibri" w:hAnsi="Calibri"/>
          <w:color w:val="231F20"/>
          <w:w w:val="105"/>
          <w:sz w:val="17"/>
        </w:rPr>
        <w:t>o</w:t>
      </w:r>
      <w:r>
        <w:rPr>
          <w:rFonts w:ascii="Calibri" w:hAnsi="Calibri"/>
          <w:color w:val="231F20"/>
          <w:spacing w:val="-12"/>
          <w:w w:val="105"/>
          <w:sz w:val="17"/>
        </w:rPr>
        <w:t> </w:t>
      </w:r>
      <w:r>
        <w:rPr>
          <w:rFonts w:ascii="Calibri" w:hAnsi="Calibri"/>
          <w:color w:val="231F20"/>
          <w:w w:val="105"/>
          <w:sz w:val="17"/>
        </w:rPr>
        <w:t>casilla. Es</w:t>
      </w:r>
      <w:r>
        <w:rPr>
          <w:rFonts w:ascii="Calibri" w:hAnsi="Calibri"/>
          <w:color w:val="231F20"/>
          <w:spacing w:val="-11"/>
          <w:w w:val="105"/>
          <w:sz w:val="17"/>
        </w:rPr>
        <w:t> </w:t>
      </w:r>
      <w:r>
        <w:rPr>
          <w:rFonts w:ascii="Calibri" w:hAnsi="Calibri"/>
          <w:color w:val="231F20"/>
          <w:w w:val="105"/>
          <w:sz w:val="17"/>
        </w:rPr>
        <w:t>una</w:t>
      </w:r>
      <w:r>
        <w:rPr>
          <w:rFonts w:ascii="Calibri" w:hAnsi="Calibri"/>
          <w:color w:val="231F20"/>
          <w:spacing w:val="-11"/>
          <w:w w:val="105"/>
          <w:sz w:val="17"/>
        </w:rPr>
        <w:t> </w:t>
      </w:r>
      <w:r>
        <w:rPr>
          <w:rFonts w:ascii="Calibri" w:hAnsi="Calibri"/>
          <w:color w:val="231F20"/>
          <w:w w:val="105"/>
          <w:sz w:val="17"/>
        </w:rPr>
        <w:t>línea</w:t>
      </w:r>
      <w:r>
        <w:rPr>
          <w:rFonts w:ascii="Calibri" w:hAnsi="Calibri"/>
          <w:color w:val="231F20"/>
          <w:spacing w:val="-11"/>
          <w:w w:val="105"/>
          <w:sz w:val="17"/>
        </w:rPr>
        <w:t> </w:t>
      </w:r>
      <w:r>
        <w:rPr>
          <w:rFonts w:ascii="Calibri" w:hAnsi="Calibri"/>
          <w:color w:val="231F20"/>
          <w:w w:val="105"/>
          <w:sz w:val="17"/>
        </w:rPr>
        <w:t>que</w:t>
      </w:r>
      <w:r>
        <w:rPr>
          <w:rFonts w:ascii="Calibri" w:hAnsi="Calibri"/>
          <w:color w:val="231F20"/>
          <w:spacing w:val="-11"/>
          <w:w w:val="105"/>
          <w:sz w:val="17"/>
        </w:rPr>
        <w:t> </w:t>
      </w:r>
      <w:r>
        <w:rPr>
          <w:rFonts w:ascii="Calibri" w:hAnsi="Calibri"/>
          <w:color w:val="231F20"/>
          <w:w w:val="105"/>
          <w:sz w:val="17"/>
        </w:rPr>
        <w:t>huye</w:t>
      </w:r>
      <w:r>
        <w:rPr>
          <w:rFonts w:ascii="Calibri" w:hAnsi="Calibri"/>
          <w:color w:val="231F20"/>
          <w:spacing w:val="-11"/>
          <w:w w:val="105"/>
          <w:sz w:val="17"/>
        </w:rPr>
        <w:t> </w:t>
      </w:r>
      <w:r>
        <w:rPr>
          <w:rFonts w:ascii="Calibri" w:hAnsi="Calibri"/>
          <w:color w:val="231F20"/>
          <w:w w:val="105"/>
          <w:sz w:val="17"/>
        </w:rPr>
        <w:t>de</w:t>
      </w:r>
      <w:r>
        <w:rPr>
          <w:rFonts w:ascii="Calibri" w:hAnsi="Calibri"/>
          <w:color w:val="231F20"/>
          <w:spacing w:val="-11"/>
          <w:w w:val="105"/>
          <w:sz w:val="17"/>
        </w:rPr>
        <w:t> </w:t>
      </w:r>
      <w:r>
        <w:rPr>
          <w:rFonts w:ascii="Calibri" w:hAnsi="Calibri"/>
          <w:color w:val="231F20"/>
          <w:w w:val="105"/>
          <w:sz w:val="17"/>
        </w:rPr>
        <w:t>un</w:t>
      </w:r>
      <w:r>
        <w:rPr>
          <w:rFonts w:ascii="Calibri" w:hAnsi="Calibri"/>
          <w:color w:val="231F20"/>
          <w:spacing w:val="-11"/>
          <w:w w:val="105"/>
          <w:sz w:val="17"/>
        </w:rPr>
        <w:t> </w:t>
      </w:r>
      <w:r>
        <w:rPr>
          <w:rFonts w:ascii="Calibri" w:hAnsi="Calibri"/>
          <w:color w:val="231F20"/>
          <w:w w:val="105"/>
          <w:sz w:val="17"/>
        </w:rPr>
        <w:t>territorio</w:t>
      </w:r>
      <w:r>
        <w:rPr>
          <w:rFonts w:ascii="Calibri" w:hAnsi="Calibri"/>
          <w:color w:val="231F20"/>
          <w:spacing w:val="-12"/>
          <w:w w:val="105"/>
          <w:sz w:val="17"/>
        </w:rPr>
        <w:t> </w:t>
      </w:r>
      <w:r>
        <w:rPr>
          <w:rFonts w:ascii="Calibri" w:hAnsi="Calibri"/>
          <w:color w:val="231F20"/>
          <w:w w:val="105"/>
          <w:sz w:val="17"/>
        </w:rPr>
        <w:t>y</w:t>
      </w:r>
      <w:r>
        <w:rPr>
          <w:rFonts w:ascii="Calibri" w:hAnsi="Calibri"/>
          <w:color w:val="231F20"/>
          <w:spacing w:val="-11"/>
          <w:w w:val="105"/>
          <w:sz w:val="17"/>
        </w:rPr>
        <w:t> </w:t>
      </w:r>
      <w:r>
        <w:rPr>
          <w:rFonts w:ascii="Calibri" w:hAnsi="Calibri"/>
          <w:color w:val="231F20"/>
          <w:w w:val="105"/>
          <w:sz w:val="17"/>
        </w:rPr>
        <w:t>de</w:t>
      </w:r>
      <w:r>
        <w:rPr>
          <w:rFonts w:ascii="Calibri" w:hAnsi="Calibri"/>
          <w:color w:val="231F20"/>
          <w:spacing w:val="-11"/>
          <w:w w:val="105"/>
          <w:sz w:val="17"/>
        </w:rPr>
        <w:t> </w:t>
      </w:r>
      <w:r>
        <w:rPr>
          <w:rFonts w:ascii="Calibri" w:hAnsi="Calibri"/>
          <w:color w:val="231F20"/>
          <w:w w:val="105"/>
          <w:sz w:val="17"/>
        </w:rPr>
        <w:t>identidades</w:t>
      </w:r>
      <w:r>
        <w:rPr>
          <w:rFonts w:ascii="Calibri" w:hAnsi="Calibri"/>
          <w:color w:val="231F20"/>
          <w:spacing w:val="-11"/>
          <w:w w:val="105"/>
          <w:sz w:val="17"/>
        </w:rPr>
        <w:t> </w:t>
      </w:r>
      <w:r>
        <w:rPr>
          <w:rFonts w:ascii="Calibri" w:hAnsi="Calibri"/>
          <w:color w:val="231F20"/>
          <w:w w:val="105"/>
          <w:sz w:val="17"/>
        </w:rPr>
        <w:t>fijas,</w:t>
      </w:r>
      <w:r>
        <w:rPr>
          <w:rFonts w:ascii="Calibri" w:hAnsi="Calibri"/>
          <w:color w:val="231F20"/>
          <w:spacing w:val="-11"/>
          <w:w w:val="105"/>
          <w:sz w:val="17"/>
        </w:rPr>
        <w:t> </w:t>
      </w:r>
      <w:r>
        <w:rPr>
          <w:rFonts w:ascii="Calibri" w:hAnsi="Calibri"/>
          <w:color w:val="231F20"/>
          <w:w w:val="105"/>
          <w:sz w:val="17"/>
        </w:rPr>
        <w:t>implica,</w:t>
      </w:r>
      <w:r>
        <w:rPr>
          <w:rFonts w:ascii="Calibri" w:hAnsi="Calibri"/>
          <w:color w:val="231F20"/>
          <w:spacing w:val="-11"/>
          <w:w w:val="105"/>
          <w:sz w:val="17"/>
        </w:rPr>
        <w:t> </w:t>
      </w:r>
      <w:r>
        <w:rPr>
          <w:rFonts w:ascii="Calibri" w:hAnsi="Calibri"/>
          <w:color w:val="231F20"/>
          <w:w w:val="105"/>
          <w:sz w:val="17"/>
        </w:rPr>
        <w:t>por</w:t>
      </w:r>
      <w:r>
        <w:rPr>
          <w:rFonts w:ascii="Calibri" w:hAnsi="Calibri"/>
          <w:color w:val="231F20"/>
          <w:spacing w:val="-11"/>
          <w:w w:val="105"/>
          <w:sz w:val="17"/>
        </w:rPr>
        <w:t> </w:t>
      </w:r>
      <w:r>
        <w:rPr>
          <w:rFonts w:ascii="Calibri" w:hAnsi="Calibri"/>
          <w:color w:val="231F20"/>
          <w:w w:val="105"/>
          <w:sz w:val="17"/>
        </w:rPr>
        <w:t>ende,</w:t>
      </w:r>
      <w:r>
        <w:rPr>
          <w:rFonts w:ascii="Calibri" w:hAnsi="Calibri"/>
          <w:color w:val="231F20"/>
          <w:spacing w:val="-11"/>
          <w:w w:val="105"/>
          <w:sz w:val="17"/>
        </w:rPr>
        <w:t> </w:t>
      </w:r>
      <w:r>
        <w:rPr>
          <w:rFonts w:ascii="Calibri" w:hAnsi="Calibri"/>
          <w:color w:val="231F20"/>
          <w:w w:val="105"/>
          <w:sz w:val="17"/>
        </w:rPr>
        <w:t>la</w:t>
      </w:r>
      <w:r>
        <w:rPr>
          <w:rFonts w:ascii="Calibri" w:hAnsi="Calibri"/>
          <w:color w:val="231F20"/>
          <w:spacing w:val="-11"/>
          <w:w w:val="105"/>
          <w:sz w:val="17"/>
        </w:rPr>
        <w:t> </w:t>
      </w:r>
      <w:r>
        <w:rPr>
          <w:rFonts w:ascii="Calibri" w:hAnsi="Calibri"/>
          <w:color w:val="231F20"/>
          <w:w w:val="105"/>
          <w:sz w:val="17"/>
        </w:rPr>
        <w:t>imposibilidad</w:t>
      </w:r>
      <w:r>
        <w:rPr>
          <w:rFonts w:ascii="Calibri" w:hAnsi="Calibri"/>
          <w:color w:val="231F20"/>
          <w:spacing w:val="-11"/>
          <w:w w:val="105"/>
          <w:sz w:val="17"/>
        </w:rPr>
        <w:t> </w:t>
      </w:r>
      <w:r>
        <w:rPr>
          <w:rFonts w:ascii="Calibri" w:hAnsi="Calibri"/>
          <w:color w:val="231F20"/>
          <w:w w:val="105"/>
          <w:sz w:val="17"/>
        </w:rPr>
        <w:t>de darle</w:t>
      </w:r>
      <w:r>
        <w:rPr>
          <w:rFonts w:ascii="Calibri" w:hAnsi="Calibri"/>
          <w:color w:val="231F20"/>
          <w:spacing w:val="-22"/>
          <w:w w:val="105"/>
          <w:sz w:val="17"/>
        </w:rPr>
        <w:t> </w:t>
      </w:r>
      <w:r>
        <w:rPr>
          <w:rFonts w:ascii="Calibri" w:hAnsi="Calibri"/>
          <w:color w:val="231F20"/>
          <w:w w:val="105"/>
          <w:sz w:val="17"/>
        </w:rPr>
        <w:t>una</w:t>
      </w:r>
      <w:r>
        <w:rPr>
          <w:rFonts w:ascii="Calibri" w:hAnsi="Calibri"/>
          <w:color w:val="231F20"/>
          <w:spacing w:val="-22"/>
          <w:w w:val="105"/>
          <w:sz w:val="17"/>
        </w:rPr>
        <w:t> </w:t>
      </w:r>
      <w:r>
        <w:rPr>
          <w:rFonts w:ascii="Calibri" w:hAnsi="Calibri"/>
          <w:color w:val="231F20"/>
          <w:w w:val="105"/>
          <w:sz w:val="17"/>
        </w:rPr>
        <w:t>ubicación</w:t>
      </w:r>
      <w:r>
        <w:rPr>
          <w:rFonts w:ascii="Calibri" w:hAnsi="Calibri"/>
          <w:color w:val="231F20"/>
          <w:spacing w:val="-22"/>
          <w:w w:val="105"/>
          <w:sz w:val="17"/>
        </w:rPr>
        <w:t> </w:t>
      </w:r>
      <w:r>
        <w:rPr>
          <w:rFonts w:ascii="Calibri" w:hAnsi="Calibri"/>
          <w:color w:val="231F20"/>
          <w:w w:val="105"/>
          <w:sz w:val="17"/>
        </w:rPr>
        <w:t>exacta;</w:t>
      </w:r>
      <w:r>
        <w:rPr>
          <w:rFonts w:ascii="Calibri" w:hAnsi="Calibri"/>
          <w:color w:val="231F20"/>
          <w:spacing w:val="-22"/>
          <w:w w:val="105"/>
          <w:sz w:val="17"/>
        </w:rPr>
        <w:t> </w:t>
      </w:r>
      <w:r>
        <w:rPr>
          <w:rFonts w:ascii="Calibri" w:hAnsi="Calibri"/>
          <w:color w:val="231F20"/>
          <w:w w:val="105"/>
          <w:sz w:val="17"/>
        </w:rPr>
        <w:t>en</w:t>
      </w:r>
      <w:r>
        <w:rPr>
          <w:rFonts w:ascii="Calibri" w:hAnsi="Calibri"/>
          <w:color w:val="231F20"/>
          <w:spacing w:val="-22"/>
          <w:w w:val="105"/>
          <w:sz w:val="17"/>
        </w:rPr>
        <w:t> </w:t>
      </w:r>
      <w:r>
        <w:rPr>
          <w:rFonts w:ascii="Calibri" w:hAnsi="Calibri"/>
          <w:color w:val="231F20"/>
          <w:w w:val="105"/>
          <w:sz w:val="17"/>
        </w:rPr>
        <w:t>este</w:t>
      </w:r>
      <w:r>
        <w:rPr>
          <w:rFonts w:ascii="Calibri" w:hAnsi="Calibri"/>
          <w:color w:val="231F20"/>
          <w:spacing w:val="-22"/>
          <w:w w:val="105"/>
          <w:sz w:val="17"/>
        </w:rPr>
        <w:t> </w:t>
      </w:r>
      <w:r>
        <w:rPr>
          <w:rFonts w:ascii="Calibri" w:hAnsi="Calibri"/>
          <w:color w:val="231F20"/>
          <w:w w:val="105"/>
          <w:sz w:val="17"/>
        </w:rPr>
        <w:t>sentido</w:t>
      </w:r>
      <w:r>
        <w:rPr>
          <w:rFonts w:ascii="Calibri" w:hAnsi="Calibri"/>
          <w:color w:val="231F20"/>
          <w:spacing w:val="-22"/>
          <w:w w:val="105"/>
          <w:sz w:val="17"/>
        </w:rPr>
        <w:t> </w:t>
      </w:r>
      <w:r>
        <w:rPr>
          <w:rFonts w:ascii="Calibri" w:hAnsi="Calibri"/>
          <w:color w:val="231F20"/>
          <w:w w:val="105"/>
          <w:sz w:val="17"/>
        </w:rPr>
        <w:t>siempre</w:t>
      </w:r>
      <w:r>
        <w:rPr>
          <w:rFonts w:ascii="Calibri" w:hAnsi="Calibri"/>
          <w:color w:val="231F20"/>
          <w:spacing w:val="-22"/>
          <w:w w:val="105"/>
          <w:sz w:val="17"/>
        </w:rPr>
        <w:t> </w:t>
      </w:r>
      <w:r>
        <w:rPr>
          <w:rFonts w:ascii="Calibri" w:hAnsi="Calibri"/>
          <w:color w:val="231F20"/>
          <w:w w:val="105"/>
          <w:sz w:val="17"/>
        </w:rPr>
        <w:t>se</w:t>
      </w:r>
      <w:r>
        <w:rPr>
          <w:rFonts w:ascii="Calibri" w:hAnsi="Calibri"/>
          <w:color w:val="231F20"/>
          <w:spacing w:val="-22"/>
          <w:w w:val="105"/>
          <w:sz w:val="17"/>
        </w:rPr>
        <w:t> </w:t>
      </w:r>
      <w:r>
        <w:rPr>
          <w:rFonts w:ascii="Calibri" w:hAnsi="Calibri"/>
          <w:color w:val="231F20"/>
          <w:w w:val="105"/>
          <w:sz w:val="17"/>
        </w:rPr>
        <w:t>encuentra</w:t>
      </w:r>
      <w:r>
        <w:rPr>
          <w:rFonts w:ascii="Calibri" w:hAnsi="Calibri"/>
          <w:color w:val="231F20"/>
          <w:spacing w:val="-22"/>
          <w:w w:val="105"/>
          <w:sz w:val="17"/>
        </w:rPr>
        <w:t> </w:t>
      </w:r>
      <w:r>
        <w:rPr>
          <w:rFonts w:ascii="Calibri" w:hAnsi="Calibri"/>
          <w:color w:val="231F20"/>
          <w:w w:val="105"/>
          <w:sz w:val="17"/>
        </w:rPr>
        <w:t>en</w:t>
      </w:r>
      <w:r>
        <w:rPr>
          <w:rFonts w:ascii="Calibri" w:hAnsi="Calibri"/>
          <w:color w:val="231F20"/>
          <w:spacing w:val="-22"/>
          <w:w w:val="105"/>
          <w:sz w:val="17"/>
        </w:rPr>
        <w:t> </w:t>
      </w:r>
      <w:r>
        <w:rPr>
          <w:rFonts w:ascii="Calibri" w:hAnsi="Calibri"/>
          <w:color w:val="231F20"/>
          <w:w w:val="105"/>
          <w:sz w:val="17"/>
        </w:rPr>
        <w:t>el</w:t>
      </w:r>
      <w:r>
        <w:rPr>
          <w:rFonts w:ascii="Calibri" w:hAnsi="Calibri"/>
          <w:color w:val="231F20"/>
          <w:spacing w:val="-22"/>
          <w:w w:val="105"/>
          <w:sz w:val="17"/>
        </w:rPr>
        <w:t> </w:t>
      </w:r>
      <w:r>
        <w:rPr>
          <w:rFonts w:ascii="Calibri" w:hAnsi="Calibri"/>
          <w:color w:val="231F20"/>
          <w:w w:val="105"/>
          <w:sz w:val="17"/>
        </w:rPr>
        <w:t>entre,</w:t>
      </w:r>
      <w:r>
        <w:rPr>
          <w:rFonts w:ascii="Calibri" w:hAnsi="Calibri"/>
          <w:color w:val="231F20"/>
          <w:spacing w:val="-22"/>
          <w:w w:val="105"/>
          <w:sz w:val="17"/>
        </w:rPr>
        <w:t> </w:t>
      </w:r>
      <w:r>
        <w:rPr>
          <w:rFonts w:ascii="Calibri" w:hAnsi="Calibri"/>
          <w:color w:val="231F20"/>
          <w:w w:val="105"/>
          <w:sz w:val="17"/>
        </w:rPr>
        <w:t>pasa</w:t>
      </w:r>
      <w:r>
        <w:rPr>
          <w:rFonts w:ascii="Calibri" w:hAnsi="Calibri"/>
          <w:color w:val="231F20"/>
          <w:spacing w:val="-22"/>
          <w:w w:val="105"/>
          <w:sz w:val="17"/>
        </w:rPr>
        <w:t> </w:t>
      </w:r>
      <w:r>
        <w:rPr>
          <w:rFonts w:ascii="Calibri" w:hAnsi="Calibri"/>
          <w:color w:val="231F20"/>
          <w:w w:val="105"/>
          <w:sz w:val="17"/>
        </w:rPr>
        <w:t>entre</w:t>
      </w:r>
      <w:r>
        <w:rPr>
          <w:rFonts w:ascii="Calibri" w:hAnsi="Calibri"/>
          <w:color w:val="231F20"/>
          <w:spacing w:val="-22"/>
          <w:w w:val="105"/>
          <w:sz w:val="17"/>
        </w:rPr>
        <w:t> </w:t>
      </w:r>
      <w:r>
        <w:rPr>
          <w:rFonts w:ascii="Calibri" w:hAnsi="Calibri"/>
          <w:color w:val="231F20"/>
          <w:w w:val="105"/>
          <w:sz w:val="17"/>
        </w:rPr>
        <w:t>los</w:t>
      </w:r>
      <w:r>
        <w:rPr>
          <w:rFonts w:ascii="Calibri" w:hAnsi="Calibri"/>
          <w:color w:val="231F20"/>
          <w:spacing w:val="-22"/>
          <w:w w:val="105"/>
          <w:sz w:val="17"/>
        </w:rPr>
        <w:t> </w:t>
      </w:r>
      <w:r>
        <w:rPr>
          <w:rFonts w:ascii="Calibri" w:hAnsi="Calibri"/>
          <w:color w:val="231F20"/>
          <w:w w:val="105"/>
          <w:sz w:val="17"/>
        </w:rPr>
        <w:t>puntos, sin</w:t>
      </w:r>
      <w:r>
        <w:rPr>
          <w:rFonts w:ascii="Calibri" w:hAnsi="Calibri"/>
          <w:color w:val="231F20"/>
          <w:spacing w:val="-10"/>
          <w:w w:val="105"/>
          <w:sz w:val="17"/>
        </w:rPr>
        <w:t> </w:t>
      </w:r>
      <w:r>
        <w:rPr>
          <w:rFonts w:ascii="Calibri" w:hAnsi="Calibri"/>
          <w:color w:val="231F20"/>
          <w:w w:val="105"/>
          <w:sz w:val="17"/>
        </w:rPr>
        <w:t>jamás</w:t>
      </w:r>
      <w:r>
        <w:rPr>
          <w:rFonts w:ascii="Calibri" w:hAnsi="Calibri"/>
          <w:color w:val="231F20"/>
          <w:spacing w:val="-10"/>
          <w:w w:val="105"/>
          <w:sz w:val="17"/>
        </w:rPr>
        <w:t> </w:t>
      </w:r>
      <w:r>
        <w:rPr>
          <w:rFonts w:ascii="Calibri" w:hAnsi="Calibri"/>
          <w:color w:val="231F20"/>
          <w:w w:val="105"/>
          <w:sz w:val="17"/>
        </w:rPr>
        <w:t>instalarse</w:t>
      </w:r>
      <w:r>
        <w:rPr>
          <w:rFonts w:ascii="Calibri" w:hAnsi="Calibri"/>
          <w:color w:val="231F20"/>
          <w:spacing w:val="-10"/>
          <w:w w:val="105"/>
          <w:sz w:val="17"/>
        </w:rPr>
        <w:t> </w:t>
      </w:r>
      <w:r>
        <w:rPr>
          <w:rFonts w:ascii="Calibri" w:hAnsi="Calibri"/>
          <w:color w:val="231F20"/>
          <w:w w:val="105"/>
          <w:sz w:val="17"/>
        </w:rPr>
        <w:t>en</w:t>
      </w:r>
      <w:r>
        <w:rPr>
          <w:rFonts w:ascii="Calibri" w:hAnsi="Calibri"/>
          <w:color w:val="231F20"/>
          <w:spacing w:val="-10"/>
          <w:w w:val="105"/>
          <w:sz w:val="17"/>
        </w:rPr>
        <w:t> </w:t>
      </w:r>
      <w:r>
        <w:rPr>
          <w:rFonts w:ascii="Calibri" w:hAnsi="Calibri"/>
          <w:color w:val="231F20"/>
          <w:w w:val="105"/>
          <w:sz w:val="17"/>
        </w:rPr>
        <w:t>uno</w:t>
      </w:r>
      <w:r>
        <w:rPr>
          <w:rFonts w:ascii="Calibri" w:hAnsi="Calibri"/>
          <w:color w:val="231F20"/>
          <w:spacing w:val="-10"/>
          <w:w w:val="105"/>
          <w:sz w:val="17"/>
        </w:rPr>
        <w:t> </w:t>
      </w:r>
      <w:r>
        <w:rPr>
          <w:rFonts w:ascii="Calibri" w:hAnsi="Calibri"/>
          <w:color w:val="231F20"/>
          <w:w w:val="105"/>
          <w:sz w:val="17"/>
        </w:rPr>
        <w:t>de</w:t>
      </w:r>
      <w:r>
        <w:rPr>
          <w:rFonts w:ascii="Calibri" w:hAnsi="Calibri"/>
          <w:color w:val="231F20"/>
          <w:spacing w:val="-10"/>
          <w:w w:val="105"/>
          <w:sz w:val="17"/>
        </w:rPr>
        <w:t> </w:t>
      </w:r>
      <w:r>
        <w:rPr>
          <w:rFonts w:ascii="Calibri" w:hAnsi="Calibri"/>
          <w:color w:val="231F20"/>
          <w:w w:val="105"/>
          <w:sz w:val="17"/>
        </w:rPr>
        <w:t>ellos</w:t>
      </w:r>
    </w:p>
    <w:p>
      <w:pPr>
        <w:spacing w:line="235" w:lineRule="auto" w:before="0"/>
        <w:ind w:left="103" w:right="114" w:firstLine="0"/>
        <w:jc w:val="both"/>
        <w:rPr>
          <w:rFonts w:ascii="Calibri" w:hAnsi="Calibri"/>
          <w:sz w:val="17"/>
        </w:rPr>
      </w:pPr>
      <w:r>
        <w:rPr>
          <w:rFonts w:ascii="Calibri" w:hAnsi="Calibri"/>
          <w:color w:val="231F20"/>
          <w:w w:val="105"/>
          <w:position w:val="6"/>
          <w:sz w:val="10"/>
        </w:rPr>
        <w:t>36 </w:t>
      </w:r>
      <w:r>
        <w:rPr>
          <w:rFonts w:ascii="Calibri" w:hAnsi="Calibri"/>
          <w:color w:val="231F20"/>
          <w:w w:val="105"/>
          <w:sz w:val="17"/>
        </w:rPr>
        <w:t>En la ontología deleuziana la pareja territorialización–desterritorialización resulta central. De inicio,</w:t>
      </w:r>
      <w:r>
        <w:rPr>
          <w:rFonts w:ascii="Calibri" w:hAnsi="Calibri"/>
          <w:color w:val="231F20"/>
          <w:spacing w:val="-4"/>
          <w:w w:val="105"/>
          <w:sz w:val="17"/>
        </w:rPr>
        <w:t> </w:t>
      </w:r>
      <w:r>
        <w:rPr>
          <w:rFonts w:ascii="Calibri" w:hAnsi="Calibri"/>
          <w:color w:val="231F20"/>
          <w:w w:val="105"/>
          <w:sz w:val="17"/>
        </w:rPr>
        <w:t>siguiendo</w:t>
      </w:r>
      <w:r>
        <w:rPr>
          <w:rFonts w:ascii="Calibri" w:hAnsi="Calibri"/>
          <w:color w:val="231F20"/>
          <w:spacing w:val="-4"/>
          <w:w w:val="105"/>
          <w:sz w:val="17"/>
        </w:rPr>
        <w:t> </w:t>
      </w:r>
      <w:r>
        <w:rPr>
          <w:rFonts w:ascii="Calibri" w:hAnsi="Calibri"/>
          <w:color w:val="231F20"/>
          <w:w w:val="105"/>
          <w:sz w:val="17"/>
        </w:rPr>
        <w:t>las</w:t>
      </w:r>
      <w:r>
        <w:rPr>
          <w:rFonts w:ascii="Calibri" w:hAnsi="Calibri"/>
          <w:color w:val="231F20"/>
          <w:spacing w:val="-4"/>
          <w:w w:val="105"/>
          <w:sz w:val="17"/>
        </w:rPr>
        <w:t> </w:t>
      </w:r>
      <w:r>
        <w:rPr>
          <w:rFonts w:ascii="Calibri" w:hAnsi="Calibri"/>
          <w:color w:val="231F20"/>
          <w:w w:val="105"/>
          <w:sz w:val="17"/>
        </w:rPr>
        <w:t>huellas</w:t>
      </w:r>
      <w:r>
        <w:rPr>
          <w:rFonts w:ascii="Calibri" w:hAnsi="Calibri"/>
          <w:color w:val="231F20"/>
          <w:spacing w:val="-4"/>
          <w:w w:val="105"/>
          <w:sz w:val="17"/>
        </w:rPr>
        <w:t> </w:t>
      </w:r>
      <w:r>
        <w:rPr>
          <w:rFonts w:ascii="Calibri" w:hAnsi="Calibri"/>
          <w:color w:val="231F20"/>
          <w:w w:val="105"/>
          <w:sz w:val="17"/>
        </w:rPr>
        <w:t>de</w:t>
      </w:r>
      <w:r>
        <w:rPr>
          <w:rFonts w:ascii="Calibri" w:hAnsi="Calibri"/>
          <w:color w:val="231F20"/>
          <w:spacing w:val="-4"/>
          <w:w w:val="105"/>
          <w:sz w:val="17"/>
        </w:rPr>
        <w:t> </w:t>
      </w:r>
      <w:r>
        <w:rPr>
          <w:rFonts w:ascii="Calibri" w:hAnsi="Calibri"/>
          <w:color w:val="231F20"/>
          <w:w w:val="105"/>
          <w:sz w:val="17"/>
        </w:rPr>
        <w:t>Jacob</w:t>
      </w:r>
      <w:r>
        <w:rPr>
          <w:rFonts w:ascii="Calibri" w:hAnsi="Calibri"/>
          <w:color w:val="231F20"/>
          <w:spacing w:val="-6"/>
          <w:w w:val="105"/>
          <w:sz w:val="17"/>
        </w:rPr>
        <w:t> </w:t>
      </w:r>
      <w:r>
        <w:rPr>
          <w:rFonts w:ascii="Calibri" w:hAnsi="Calibri"/>
          <w:color w:val="231F20"/>
          <w:w w:val="105"/>
          <w:sz w:val="17"/>
        </w:rPr>
        <w:t>von</w:t>
      </w:r>
      <w:r>
        <w:rPr>
          <w:rFonts w:ascii="Calibri" w:hAnsi="Calibri"/>
          <w:color w:val="231F20"/>
          <w:spacing w:val="-4"/>
          <w:w w:val="105"/>
          <w:sz w:val="17"/>
        </w:rPr>
        <w:t> </w:t>
      </w:r>
      <w:r>
        <w:rPr>
          <w:rFonts w:ascii="Calibri" w:hAnsi="Calibri"/>
          <w:color w:val="231F20"/>
          <w:w w:val="105"/>
          <w:sz w:val="17"/>
        </w:rPr>
        <w:t>Uexküll</w:t>
      </w:r>
      <w:r>
        <w:rPr>
          <w:rFonts w:ascii="Calibri" w:hAnsi="Calibri"/>
          <w:color w:val="231F20"/>
          <w:spacing w:val="-4"/>
          <w:w w:val="105"/>
          <w:sz w:val="17"/>
        </w:rPr>
        <w:t> </w:t>
      </w:r>
      <w:r>
        <w:rPr>
          <w:rFonts w:ascii="Calibri" w:hAnsi="Calibri"/>
          <w:color w:val="231F20"/>
          <w:w w:val="105"/>
          <w:sz w:val="17"/>
        </w:rPr>
        <w:t>(etólogo</w:t>
      </w:r>
      <w:r>
        <w:rPr>
          <w:rFonts w:ascii="Calibri" w:hAnsi="Calibri"/>
          <w:color w:val="231F20"/>
          <w:spacing w:val="-4"/>
          <w:w w:val="105"/>
          <w:sz w:val="17"/>
        </w:rPr>
        <w:t> </w:t>
      </w:r>
      <w:r>
        <w:rPr>
          <w:rFonts w:ascii="Calibri" w:hAnsi="Calibri"/>
          <w:color w:val="231F20"/>
          <w:w w:val="105"/>
          <w:sz w:val="17"/>
        </w:rPr>
        <w:t>estonio,</w:t>
      </w:r>
      <w:r>
        <w:rPr>
          <w:rFonts w:ascii="Calibri" w:hAnsi="Calibri"/>
          <w:color w:val="231F20"/>
          <w:spacing w:val="-4"/>
          <w:w w:val="105"/>
          <w:sz w:val="17"/>
        </w:rPr>
        <w:t> </w:t>
      </w:r>
      <w:r>
        <w:rPr>
          <w:rFonts w:ascii="Calibri" w:hAnsi="Calibri"/>
          <w:color w:val="231F20"/>
          <w:w w:val="105"/>
          <w:sz w:val="17"/>
        </w:rPr>
        <w:t>fundador</w:t>
      </w:r>
      <w:r>
        <w:rPr>
          <w:rFonts w:ascii="Calibri" w:hAnsi="Calibri"/>
          <w:color w:val="231F20"/>
          <w:spacing w:val="-4"/>
          <w:w w:val="105"/>
          <w:sz w:val="17"/>
        </w:rPr>
        <w:t> </w:t>
      </w:r>
      <w:r>
        <w:rPr>
          <w:rFonts w:ascii="Calibri" w:hAnsi="Calibri"/>
          <w:color w:val="231F20"/>
          <w:w w:val="105"/>
          <w:sz w:val="17"/>
        </w:rPr>
        <w:t>de</w:t>
      </w:r>
      <w:r>
        <w:rPr>
          <w:rFonts w:ascii="Calibri" w:hAnsi="Calibri"/>
          <w:color w:val="231F20"/>
          <w:spacing w:val="-4"/>
          <w:w w:val="105"/>
          <w:sz w:val="17"/>
        </w:rPr>
        <w:t> </w:t>
      </w:r>
      <w:r>
        <w:rPr>
          <w:rFonts w:ascii="Calibri" w:hAnsi="Calibri"/>
          <w:color w:val="231F20"/>
          <w:w w:val="105"/>
          <w:sz w:val="17"/>
        </w:rPr>
        <w:t>la</w:t>
      </w:r>
      <w:r>
        <w:rPr>
          <w:rFonts w:ascii="Calibri" w:hAnsi="Calibri"/>
          <w:color w:val="231F20"/>
          <w:spacing w:val="-4"/>
          <w:w w:val="105"/>
          <w:sz w:val="17"/>
        </w:rPr>
        <w:t> </w:t>
      </w:r>
      <w:r>
        <w:rPr>
          <w:rFonts w:ascii="Calibri" w:hAnsi="Calibri"/>
          <w:color w:val="231F20"/>
          <w:w w:val="105"/>
          <w:sz w:val="17"/>
        </w:rPr>
        <w:t>etología</w:t>
      </w:r>
      <w:r>
        <w:rPr>
          <w:rFonts w:ascii="Calibri" w:hAnsi="Calibri"/>
          <w:color w:val="231F20"/>
          <w:spacing w:val="-5"/>
          <w:w w:val="105"/>
          <w:sz w:val="17"/>
        </w:rPr>
        <w:t> </w:t>
      </w:r>
      <w:r>
        <w:rPr>
          <w:rFonts w:ascii="Calibri" w:hAnsi="Calibri"/>
          <w:color w:val="231F20"/>
          <w:w w:val="105"/>
          <w:sz w:val="17"/>
        </w:rPr>
        <w:t>y</w:t>
      </w:r>
      <w:r>
        <w:rPr>
          <w:rFonts w:ascii="Calibri" w:hAnsi="Calibri"/>
          <w:color w:val="231F20"/>
          <w:spacing w:val="-4"/>
          <w:w w:val="105"/>
          <w:sz w:val="17"/>
        </w:rPr>
        <w:t> </w:t>
      </w:r>
      <w:r>
        <w:rPr>
          <w:rFonts w:ascii="Calibri" w:hAnsi="Calibri"/>
          <w:color w:val="231F20"/>
          <w:w w:val="105"/>
          <w:sz w:val="17"/>
        </w:rPr>
        <w:t>que vivió</w:t>
      </w:r>
      <w:r>
        <w:rPr>
          <w:rFonts w:ascii="Calibri" w:hAnsi="Calibri"/>
          <w:color w:val="231F20"/>
          <w:spacing w:val="-20"/>
          <w:w w:val="105"/>
          <w:sz w:val="17"/>
        </w:rPr>
        <w:t> </w:t>
      </w:r>
      <w:r>
        <w:rPr>
          <w:rFonts w:ascii="Calibri" w:hAnsi="Calibri"/>
          <w:color w:val="231F20"/>
          <w:w w:val="105"/>
          <w:sz w:val="17"/>
        </w:rPr>
        <w:t>de</w:t>
      </w:r>
      <w:r>
        <w:rPr>
          <w:rFonts w:ascii="Calibri" w:hAnsi="Calibri"/>
          <w:color w:val="231F20"/>
          <w:spacing w:val="-20"/>
          <w:w w:val="105"/>
          <w:sz w:val="17"/>
        </w:rPr>
        <w:t> </w:t>
      </w:r>
      <w:r>
        <w:rPr>
          <w:rFonts w:ascii="Calibri" w:hAnsi="Calibri"/>
          <w:color w:val="231F20"/>
          <w:w w:val="105"/>
          <w:sz w:val="17"/>
        </w:rPr>
        <w:t>1864</w:t>
      </w:r>
      <w:r>
        <w:rPr>
          <w:rFonts w:ascii="Calibri" w:hAnsi="Calibri"/>
          <w:color w:val="231F20"/>
          <w:spacing w:val="-20"/>
          <w:w w:val="105"/>
          <w:sz w:val="17"/>
        </w:rPr>
        <w:t> </w:t>
      </w:r>
      <w:r>
        <w:rPr>
          <w:rFonts w:ascii="Calibri" w:hAnsi="Calibri"/>
          <w:color w:val="231F20"/>
          <w:w w:val="105"/>
          <w:sz w:val="17"/>
        </w:rPr>
        <w:t>a</w:t>
      </w:r>
      <w:r>
        <w:rPr>
          <w:rFonts w:ascii="Calibri" w:hAnsi="Calibri"/>
          <w:color w:val="231F20"/>
          <w:spacing w:val="-20"/>
          <w:w w:val="105"/>
          <w:sz w:val="17"/>
        </w:rPr>
        <w:t> </w:t>
      </w:r>
      <w:r>
        <w:rPr>
          <w:rFonts w:ascii="Calibri" w:hAnsi="Calibri"/>
          <w:color w:val="231F20"/>
          <w:w w:val="105"/>
          <w:sz w:val="17"/>
        </w:rPr>
        <w:t>1944),</w:t>
      </w:r>
      <w:r>
        <w:rPr>
          <w:rFonts w:ascii="Calibri" w:hAnsi="Calibri"/>
          <w:color w:val="231F20"/>
          <w:spacing w:val="-20"/>
          <w:w w:val="105"/>
          <w:sz w:val="17"/>
        </w:rPr>
        <w:t> </w:t>
      </w:r>
      <w:r>
        <w:rPr>
          <w:rFonts w:ascii="Calibri" w:hAnsi="Calibri"/>
          <w:color w:val="231F20"/>
          <w:w w:val="105"/>
          <w:sz w:val="17"/>
        </w:rPr>
        <w:t>no</w:t>
      </w:r>
      <w:r>
        <w:rPr>
          <w:rFonts w:ascii="Calibri" w:hAnsi="Calibri"/>
          <w:color w:val="231F20"/>
          <w:spacing w:val="-20"/>
          <w:w w:val="105"/>
          <w:sz w:val="17"/>
        </w:rPr>
        <w:t> </w:t>
      </w:r>
      <w:r>
        <w:rPr>
          <w:rFonts w:ascii="Calibri" w:hAnsi="Calibri"/>
          <w:color w:val="231F20"/>
          <w:w w:val="105"/>
          <w:sz w:val="17"/>
        </w:rPr>
        <w:t>hay</w:t>
      </w:r>
      <w:r>
        <w:rPr>
          <w:rFonts w:ascii="Calibri" w:hAnsi="Calibri"/>
          <w:color w:val="231F20"/>
          <w:spacing w:val="-20"/>
          <w:w w:val="105"/>
          <w:sz w:val="17"/>
        </w:rPr>
        <w:t> </w:t>
      </w:r>
      <w:r>
        <w:rPr>
          <w:rFonts w:ascii="Calibri" w:hAnsi="Calibri"/>
          <w:color w:val="231F20"/>
          <w:w w:val="105"/>
          <w:sz w:val="17"/>
        </w:rPr>
        <w:t>un</w:t>
      </w:r>
      <w:r>
        <w:rPr>
          <w:rFonts w:ascii="Calibri" w:hAnsi="Calibri"/>
          <w:color w:val="231F20"/>
          <w:spacing w:val="-20"/>
          <w:w w:val="105"/>
          <w:sz w:val="17"/>
        </w:rPr>
        <w:t> </w:t>
      </w:r>
      <w:r>
        <w:rPr>
          <w:rFonts w:ascii="Calibri" w:hAnsi="Calibri"/>
          <w:color w:val="231F20"/>
          <w:w w:val="105"/>
          <w:sz w:val="17"/>
        </w:rPr>
        <w:t>territorio</w:t>
      </w:r>
      <w:r>
        <w:rPr>
          <w:rFonts w:ascii="Calibri" w:hAnsi="Calibri"/>
          <w:color w:val="231F20"/>
          <w:spacing w:val="-20"/>
          <w:w w:val="105"/>
          <w:sz w:val="17"/>
        </w:rPr>
        <w:t> </w:t>
      </w:r>
      <w:r>
        <w:rPr>
          <w:rFonts w:ascii="Calibri" w:hAnsi="Calibri"/>
          <w:color w:val="231F20"/>
          <w:w w:val="105"/>
          <w:sz w:val="17"/>
        </w:rPr>
        <w:t>en</w:t>
      </w:r>
      <w:r>
        <w:rPr>
          <w:rFonts w:ascii="Calibri" w:hAnsi="Calibri"/>
          <w:color w:val="231F20"/>
          <w:spacing w:val="-20"/>
          <w:w w:val="105"/>
          <w:sz w:val="17"/>
        </w:rPr>
        <w:t> </w:t>
      </w:r>
      <w:r>
        <w:rPr>
          <w:rFonts w:ascii="Calibri" w:hAnsi="Calibri"/>
          <w:color w:val="231F20"/>
          <w:w w:val="105"/>
          <w:sz w:val="17"/>
        </w:rPr>
        <w:t>sí</w:t>
      </w:r>
      <w:r>
        <w:rPr>
          <w:rFonts w:ascii="Calibri" w:hAnsi="Calibri"/>
          <w:color w:val="231F20"/>
          <w:spacing w:val="-20"/>
          <w:w w:val="105"/>
          <w:sz w:val="17"/>
        </w:rPr>
        <w:t> </w:t>
      </w:r>
      <w:r>
        <w:rPr>
          <w:rFonts w:ascii="Calibri" w:hAnsi="Calibri"/>
          <w:color w:val="231F20"/>
          <w:w w:val="105"/>
          <w:sz w:val="17"/>
        </w:rPr>
        <w:t>para</w:t>
      </w:r>
      <w:r>
        <w:rPr>
          <w:rFonts w:ascii="Calibri" w:hAnsi="Calibri"/>
          <w:color w:val="231F20"/>
          <w:spacing w:val="-20"/>
          <w:w w:val="105"/>
          <w:sz w:val="17"/>
        </w:rPr>
        <w:t> </w:t>
      </w:r>
      <w:r>
        <w:rPr>
          <w:rFonts w:ascii="Calibri" w:hAnsi="Calibri"/>
          <w:color w:val="231F20"/>
          <w:w w:val="105"/>
          <w:sz w:val="17"/>
        </w:rPr>
        <w:t>ningún</w:t>
      </w:r>
      <w:r>
        <w:rPr>
          <w:rFonts w:ascii="Calibri" w:hAnsi="Calibri"/>
          <w:color w:val="231F20"/>
          <w:spacing w:val="-20"/>
          <w:w w:val="105"/>
          <w:sz w:val="17"/>
        </w:rPr>
        <w:t> </w:t>
      </w:r>
      <w:r>
        <w:rPr>
          <w:rFonts w:ascii="Calibri" w:hAnsi="Calibri"/>
          <w:color w:val="231F20"/>
          <w:w w:val="105"/>
          <w:sz w:val="17"/>
        </w:rPr>
        <w:t>ser</w:t>
      </w:r>
      <w:r>
        <w:rPr>
          <w:rFonts w:ascii="Calibri" w:hAnsi="Calibri"/>
          <w:color w:val="231F20"/>
          <w:spacing w:val="-21"/>
          <w:w w:val="105"/>
          <w:sz w:val="17"/>
        </w:rPr>
        <w:t> </w:t>
      </w:r>
      <w:r>
        <w:rPr>
          <w:rFonts w:ascii="Calibri" w:hAnsi="Calibri"/>
          <w:color w:val="231F20"/>
          <w:w w:val="105"/>
          <w:sz w:val="17"/>
        </w:rPr>
        <w:t>vivo,</w:t>
      </w:r>
      <w:r>
        <w:rPr>
          <w:rFonts w:ascii="Calibri" w:hAnsi="Calibri"/>
          <w:color w:val="231F20"/>
          <w:spacing w:val="-20"/>
          <w:w w:val="105"/>
          <w:sz w:val="17"/>
        </w:rPr>
        <w:t> </w:t>
      </w:r>
      <w:r>
        <w:rPr>
          <w:rFonts w:ascii="Calibri" w:hAnsi="Calibri"/>
          <w:color w:val="231F20"/>
          <w:w w:val="105"/>
          <w:sz w:val="17"/>
        </w:rPr>
        <w:t>antes</w:t>
      </w:r>
      <w:r>
        <w:rPr>
          <w:rFonts w:ascii="Calibri" w:hAnsi="Calibri"/>
          <w:color w:val="231F20"/>
          <w:spacing w:val="-20"/>
          <w:w w:val="105"/>
          <w:sz w:val="17"/>
        </w:rPr>
        <w:t> </w:t>
      </w:r>
      <w:r>
        <w:rPr>
          <w:rFonts w:ascii="Calibri" w:hAnsi="Calibri"/>
          <w:color w:val="231F20"/>
          <w:w w:val="105"/>
          <w:sz w:val="17"/>
        </w:rPr>
        <w:t>bien,</w:t>
      </w:r>
      <w:r>
        <w:rPr>
          <w:rFonts w:ascii="Calibri" w:hAnsi="Calibri"/>
          <w:color w:val="231F20"/>
          <w:spacing w:val="-20"/>
          <w:w w:val="105"/>
          <w:sz w:val="17"/>
        </w:rPr>
        <w:t> </w:t>
      </w:r>
      <w:r>
        <w:rPr>
          <w:rFonts w:ascii="Calibri" w:hAnsi="Calibri"/>
          <w:color w:val="231F20"/>
          <w:w w:val="105"/>
          <w:sz w:val="17"/>
        </w:rPr>
        <w:t>éste</w:t>
      </w:r>
      <w:r>
        <w:rPr>
          <w:rFonts w:ascii="Calibri" w:hAnsi="Calibri"/>
          <w:color w:val="231F20"/>
          <w:spacing w:val="-20"/>
          <w:w w:val="105"/>
          <w:sz w:val="17"/>
        </w:rPr>
        <w:t> </w:t>
      </w:r>
      <w:r>
        <w:rPr>
          <w:rFonts w:ascii="Calibri" w:hAnsi="Calibri"/>
          <w:color w:val="231F20"/>
          <w:w w:val="105"/>
          <w:sz w:val="17"/>
        </w:rPr>
        <w:t>es</w:t>
      </w:r>
      <w:r>
        <w:rPr>
          <w:rFonts w:ascii="Calibri" w:hAnsi="Calibri"/>
          <w:color w:val="231F20"/>
          <w:spacing w:val="-20"/>
          <w:w w:val="105"/>
          <w:sz w:val="17"/>
        </w:rPr>
        <w:t> </w:t>
      </w:r>
      <w:r>
        <w:rPr>
          <w:rFonts w:ascii="Calibri" w:hAnsi="Calibri"/>
          <w:color w:val="231F20"/>
          <w:w w:val="105"/>
          <w:sz w:val="17"/>
        </w:rPr>
        <w:t>producto</w:t>
      </w:r>
      <w:r>
        <w:rPr>
          <w:rFonts w:ascii="Calibri" w:hAnsi="Calibri"/>
          <w:color w:val="231F20"/>
          <w:spacing w:val="-20"/>
          <w:w w:val="105"/>
          <w:sz w:val="17"/>
        </w:rPr>
        <w:t> </w:t>
      </w:r>
      <w:r>
        <w:rPr>
          <w:rFonts w:ascii="Calibri" w:hAnsi="Calibri"/>
          <w:color w:val="231F20"/>
          <w:w w:val="105"/>
          <w:sz w:val="17"/>
        </w:rPr>
        <w:t>de una</w:t>
      </w:r>
      <w:r>
        <w:rPr>
          <w:rFonts w:ascii="Calibri" w:hAnsi="Calibri"/>
          <w:color w:val="231F20"/>
          <w:spacing w:val="-21"/>
          <w:w w:val="105"/>
          <w:sz w:val="17"/>
        </w:rPr>
        <w:t> </w:t>
      </w:r>
      <w:r>
        <w:rPr>
          <w:rFonts w:ascii="Calibri" w:hAnsi="Calibri"/>
          <w:color w:val="231F20"/>
          <w:w w:val="105"/>
          <w:sz w:val="17"/>
        </w:rPr>
        <w:t>dinámica</w:t>
      </w:r>
      <w:r>
        <w:rPr>
          <w:rFonts w:ascii="Calibri" w:hAnsi="Calibri"/>
          <w:color w:val="231F20"/>
          <w:spacing w:val="-21"/>
          <w:w w:val="105"/>
          <w:sz w:val="17"/>
        </w:rPr>
        <w:t> </w:t>
      </w:r>
      <w:r>
        <w:rPr>
          <w:rFonts w:ascii="Calibri" w:hAnsi="Calibri"/>
          <w:color w:val="231F20"/>
          <w:w w:val="105"/>
          <w:sz w:val="17"/>
        </w:rPr>
        <w:t>de</w:t>
      </w:r>
      <w:r>
        <w:rPr>
          <w:rFonts w:ascii="Calibri" w:hAnsi="Calibri"/>
          <w:color w:val="231F20"/>
          <w:spacing w:val="-21"/>
          <w:w w:val="105"/>
          <w:sz w:val="17"/>
        </w:rPr>
        <w:t> </w:t>
      </w:r>
      <w:r>
        <w:rPr>
          <w:rFonts w:ascii="Calibri" w:hAnsi="Calibri"/>
          <w:color w:val="231F20"/>
          <w:w w:val="105"/>
          <w:sz w:val="17"/>
        </w:rPr>
        <w:t>territorializaciones</w:t>
      </w:r>
      <w:r>
        <w:rPr>
          <w:rFonts w:ascii="Calibri" w:hAnsi="Calibri"/>
          <w:color w:val="231F20"/>
          <w:spacing w:val="-21"/>
          <w:w w:val="105"/>
          <w:sz w:val="17"/>
        </w:rPr>
        <w:t> </w:t>
      </w:r>
      <w:r>
        <w:rPr>
          <w:rFonts w:ascii="Calibri" w:hAnsi="Calibri"/>
          <w:color w:val="231F20"/>
          <w:w w:val="105"/>
          <w:sz w:val="17"/>
        </w:rPr>
        <w:t>que</w:t>
      </w:r>
      <w:r>
        <w:rPr>
          <w:rFonts w:ascii="Calibri" w:hAnsi="Calibri"/>
          <w:color w:val="231F20"/>
          <w:spacing w:val="-23"/>
          <w:w w:val="105"/>
          <w:sz w:val="17"/>
        </w:rPr>
        <w:t> </w:t>
      </w:r>
      <w:r>
        <w:rPr>
          <w:rFonts w:ascii="Calibri" w:hAnsi="Calibri"/>
          <w:color w:val="231F20"/>
          <w:w w:val="105"/>
          <w:sz w:val="17"/>
        </w:rPr>
        <w:t>vuelve</w:t>
      </w:r>
      <w:r>
        <w:rPr>
          <w:rFonts w:ascii="Calibri" w:hAnsi="Calibri"/>
          <w:color w:val="231F20"/>
          <w:spacing w:val="-21"/>
          <w:w w:val="105"/>
          <w:sz w:val="17"/>
        </w:rPr>
        <w:t> </w:t>
      </w:r>
      <w:r>
        <w:rPr>
          <w:rFonts w:ascii="Calibri" w:hAnsi="Calibri"/>
          <w:color w:val="231F20"/>
          <w:w w:val="105"/>
          <w:sz w:val="17"/>
        </w:rPr>
        <w:t>familiar</w:t>
      </w:r>
      <w:r>
        <w:rPr>
          <w:rFonts w:ascii="Calibri" w:hAnsi="Calibri"/>
          <w:color w:val="231F20"/>
          <w:spacing w:val="-21"/>
          <w:w w:val="105"/>
          <w:sz w:val="17"/>
        </w:rPr>
        <w:t> </w:t>
      </w:r>
      <w:r>
        <w:rPr>
          <w:rFonts w:ascii="Calibri" w:hAnsi="Calibri"/>
          <w:color w:val="231F20"/>
          <w:w w:val="105"/>
          <w:sz w:val="17"/>
        </w:rPr>
        <w:t>el</w:t>
      </w:r>
      <w:r>
        <w:rPr>
          <w:rFonts w:ascii="Calibri" w:hAnsi="Calibri"/>
          <w:color w:val="231F20"/>
          <w:spacing w:val="-21"/>
          <w:w w:val="105"/>
          <w:sz w:val="17"/>
        </w:rPr>
        <w:t> </w:t>
      </w:r>
      <w:r>
        <w:rPr>
          <w:rFonts w:ascii="Calibri" w:hAnsi="Calibri"/>
          <w:color w:val="231F20"/>
          <w:w w:val="105"/>
          <w:sz w:val="17"/>
        </w:rPr>
        <w:t>entorno</w:t>
      </w:r>
      <w:r>
        <w:rPr>
          <w:rFonts w:ascii="Calibri" w:hAnsi="Calibri"/>
          <w:color w:val="231F20"/>
          <w:spacing w:val="-21"/>
          <w:w w:val="105"/>
          <w:sz w:val="17"/>
        </w:rPr>
        <w:t> </w:t>
      </w:r>
      <w:r>
        <w:rPr>
          <w:rFonts w:ascii="Calibri" w:hAnsi="Calibri"/>
          <w:color w:val="231F20"/>
          <w:w w:val="105"/>
          <w:sz w:val="17"/>
        </w:rPr>
        <w:t>a</w:t>
      </w:r>
      <w:r>
        <w:rPr>
          <w:rFonts w:ascii="Calibri" w:hAnsi="Calibri"/>
          <w:color w:val="231F20"/>
          <w:spacing w:val="-21"/>
          <w:w w:val="105"/>
          <w:sz w:val="17"/>
        </w:rPr>
        <w:t> </w:t>
      </w:r>
      <w:r>
        <w:rPr>
          <w:rFonts w:ascii="Calibri" w:hAnsi="Calibri"/>
          <w:color w:val="231F20"/>
          <w:w w:val="105"/>
          <w:sz w:val="17"/>
        </w:rPr>
        <w:t>través</w:t>
      </w:r>
      <w:r>
        <w:rPr>
          <w:rFonts w:ascii="Calibri" w:hAnsi="Calibri"/>
          <w:color w:val="231F20"/>
          <w:spacing w:val="-21"/>
          <w:w w:val="105"/>
          <w:sz w:val="17"/>
        </w:rPr>
        <w:t> </w:t>
      </w:r>
      <w:r>
        <w:rPr>
          <w:rFonts w:ascii="Calibri" w:hAnsi="Calibri"/>
          <w:color w:val="231F20"/>
          <w:w w:val="105"/>
          <w:sz w:val="17"/>
        </w:rPr>
        <w:t>de</w:t>
      </w:r>
      <w:r>
        <w:rPr>
          <w:rFonts w:ascii="Calibri" w:hAnsi="Calibri"/>
          <w:color w:val="231F20"/>
          <w:spacing w:val="-21"/>
          <w:w w:val="105"/>
          <w:sz w:val="17"/>
        </w:rPr>
        <w:t> </w:t>
      </w:r>
      <w:r>
        <w:rPr>
          <w:rFonts w:ascii="Calibri" w:hAnsi="Calibri"/>
          <w:color w:val="231F20"/>
          <w:w w:val="105"/>
          <w:sz w:val="17"/>
        </w:rPr>
        <w:t>marcas,</w:t>
      </w:r>
      <w:r>
        <w:rPr>
          <w:rFonts w:ascii="Calibri" w:hAnsi="Calibri"/>
          <w:color w:val="231F20"/>
          <w:spacing w:val="-21"/>
          <w:w w:val="105"/>
          <w:sz w:val="17"/>
        </w:rPr>
        <w:t> </w:t>
      </w:r>
      <w:r>
        <w:rPr>
          <w:rFonts w:ascii="Calibri" w:hAnsi="Calibri"/>
          <w:color w:val="231F20"/>
          <w:w w:val="105"/>
          <w:sz w:val="17"/>
        </w:rPr>
        <w:t>olores,</w:t>
      </w:r>
      <w:r>
        <w:rPr>
          <w:rFonts w:ascii="Calibri" w:hAnsi="Calibri"/>
          <w:color w:val="231F20"/>
          <w:spacing w:val="-21"/>
          <w:w w:val="105"/>
          <w:sz w:val="17"/>
        </w:rPr>
        <w:t> </w:t>
      </w:r>
      <w:r>
        <w:rPr>
          <w:rFonts w:ascii="Calibri" w:hAnsi="Calibri"/>
          <w:color w:val="231F20"/>
          <w:w w:val="105"/>
          <w:sz w:val="17"/>
        </w:rPr>
        <w:t>hábi- tos,</w:t>
      </w:r>
      <w:r>
        <w:rPr>
          <w:rFonts w:ascii="Calibri" w:hAnsi="Calibri"/>
          <w:color w:val="231F20"/>
          <w:spacing w:val="-20"/>
          <w:w w:val="105"/>
          <w:sz w:val="17"/>
        </w:rPr>
        <w:t> </w:t>
      </w:r>
      <w:r>
        <w:rPr>
          <w:rFonts w:ascii="Calibri" w:hAnsi="Calibri"/>
          <w:color w:val="231F20"/>
          <w:w w:val="105"/>
          <w:sz w:val="17"/>
        </w:rPr>
        <w:t>huellas,</w:t>
      </w:r>
      <w:r>
        <w:rPr>
          <w:rFonts w:ascii="Calibri" w:hAnsi="Calibri"/>
          <w:color w:val="231F20"/>
          <w:spacing w:val="-20"/>
          <w:w w:val="105"/>
          <w:sz w:val="17"/>
        </w:rPr>
        <w:t> </w:t>
      </w:r>
      <w:r>
        <w:rPr>
          <w:rFonts w:ascii="Calibri" w:hAnsi="Calibri"/>
          <w:color w:val="231F20"/>
          <w:w w:val="105"/>
          <w:sz w:val="17"/>
        </w:rPr>
        <w:t>madrigueras,</w:t>
      </w:r>
      <w:r>
        <w:rPr>
          <w:rFonts w:ascii="Calibri" w:hAnsi="Calibri"/>
          <w:color w:val="231F20"/>
          <w:spacing w:val="-20"/>
          <w:w w:val="105"/>
          <w:sz w:val="17"/>
        </w:rPr>
        <w:t> </w:t>
      </w:r>
      <w:r>
        <w:rPr>
          <w:rFonts w:ascii="Calibri" w:hAnsi="Calibri"/>
          <w:color w:val="231F20"/>
          <w:w w:val="105"/>
          <w:sz w:val="17"/>
        </w:rPr>
        <w:t>cantos,</w:t>
      </w:r>
      <w:r>
        <w:rPr>
          <w:rFonts w:ascii="Calibri" w:hAnsi="Calibri"/>
          <w:color w:val="231F20"/>
          <w:spacing w:val="-20"/>
          <w:w w:val="105"/>
          <w:sz w:val="17"/>
        </w:rPr>
        <w:t> </w:t>
      </w:r>
      <w:r>
        <w:rPr>
          <w:rFonts w:ascii="Calibri" w:hAnsi="Calibri"/>
          <w:color w:val="231F20"/>
          <w:w w:val="105"/>
          <w:sz w:val="17"/>
        </w:rPr>
        <w:t>en</w:t>
      </w:r>
      <w:r>
        <w:rPr>
          <w:rFonts w:ascii="Calibri" w:hAnsi="Calibri"/>
          <w:color w:val="231F20"/>
          <w:spacing w:val="-20"/>
          <w:w w:val="105"/>
          <w:sz w:val="17"/>
        </w:rPr>
        <w:t> </w:t>
      </w:r>
      <w:r>
        <w:rPr>
          <w:rFonts w:ascii="Calibri" w:hAnsi="Calibri"/>
          <w:color w:val="231F20"/>
          <w:w w:val="105"/>
          <w:sz w:val="17"/>
        </w:rPr>
        <w:t>suma,</w:t>
      </w:r>
      <w:r>
        <w:rPr>
          <w:rFonts w:ascii="Calibri" w:hAnsi="Calibri"/>
          <w:color w:val="231F20"/>
          <w:spacing w:val="-20"/>
          <w:w w:val="105"/>
          <w:sz w:val="17"/>
        </w:rPr>
        <w:t> </w:t>
      </w:r>
      <w:r>
        <w:rPr>
          <w:rFonts w:ascii="Calibri" w:hAnsi="Calibri"/>
          <w:color w:val="231F20"/>
          <w:w w:val="105"/>
          <w:sz w:val="17"/>
        </w:rPr>
        <w:t>una</w:t>
      </w:r>
      <w:r>
        <w:rPr>
          <w:rFonts w:ascii="Calibri" w:hAnsi="Calibri"/>
          <w:color w:val="231F20"/>
          <w:spacing w:val="-20"/>
          <w:w w:val="105"/>
          <w:sz w:val="17"/>
        </w:rPr>
        <w:t> </w:t>
      </w:r>
      <w:r>
        <w:rPr>
          <w:rFonts w:ascii="Calibri" w:hAnsi="Calibri"/>
          <w:color w:val="231F20"/>
          <w:w w:val="105"/>
          <w:sz w:val="17"/>
        </w:rPr>
        <w:t>pluralidad</w:t>
      </w:r>
      <w:r>
        <w:rPr>
          <w:rFonts w:ascii="Calibri" w:hAnsi="Calibri"/>
          <w:color w:val="231F20"/>
          <w:spacing w:val="-20"/>
          <w:w w:val="105"/>
          <w:sz w:val="17"/>
        </w:rPr>
        <w:t> </w:t>
      </w:r>
      <w:r>
        <w:rPr>
          <w:rFonts w:ascii="Calibri" w:hAnsi="Calibri"/>
          <w:color w:val="231F20"/>
          <w:w w:val="105"/>
          <w:sz w:val="17"/>
        </w:rPr>
        <w:t>de</w:t>
      </w:r>
      <w:r>
        <w:rPr>
          <w:rFonts w:ascii="Calibri" w:hAnsi="Calibri"/>
          <w:color w:val="231F20"/>
          <w:spacing w:val="-20"/>
          <w:w w:val="105"/>
          <w:sz w:val="17"/>
        </w:rPr>
        <w:t> </w:t>
      </w:r>
      <w:r>
        <w:rPr>
          <w:rFonts w:ascii="Calibri" w:hAnsi="Calibri"/>
          <w:color w:val="231F20"/>
          <w:w w:val="105"/>
          <w:sz w:val="17"/>
        </w:rPr>
        <w:t>materias</w:t>
      </w:r>
      <w:r>
        <w:rPr>
          <w:rFonts w:ascii="Calibri" w:hAnsi="Calibri"/>
          <w:color w:val="231F20"/>
          <w:spacing w:val="-20"/>
          <w:w w:val="105"/>
          <w:sz w:val="17"/>
        </w:rPr>
        <w:t> </w:t>
      </w:r>
      <w:r>
        <w:rPr>
          <w:rFonts w:ascii="Calibri" w:hAnsi="Calibri"/>
          <w:color w:val="231F20"/>
          <w:w w:val="105"/>
          <w:sz w:val="17"/>
        </w:rPr>
        <w:t>de</w:t>
      </w:r>
      <w:r>
        <w:rPr>
          <w:rFonts w:ascii="Calibri" w:hAnsi="Calibri"/>
          <w:color w:val="231F20"/>
          <w:spacing w:val="-20"/>
          <w:w w:val="105"/>
          <w:sz w:val="17"/>
        </w:rPr>
        <w:t> </w:t>
      </w:r>
      <w:r>
        <w:rPr>
          <w:rFonts w:ascii="Calibri" w:hAnsi="Calibri"/>
          <w:color w:val="231F20"/>
          <w:w w:val="105"/>
          <w:sz w:val="17"/>
        </w:rPr>
        <w:t>expresión.</w:t>
      </w:r>
      <w:r>
        <w:rPr>
          <w:rFonts w:ascii="Calibri" w:hAnsi="Calibri"/>
          <w:color w:val="231F20"/>
          <w:spacing w:val="-22"/>
          <w:w w:val="105"/>
          <w:sz w:val="17"/>
        </w:rPr>
        <w:t> </w:t>
      </w:r>
      <w:r>
        <w:rPr>
          <w:rFonts w:ascii="Calibri" w:hAnsi="Calibri"/>
          <w:color w:val="231F20"/>
          <w:w w:val="105"/>
          <w:sz w:val="17"/>
        </w:rPr>
        <w:t>Territorializar significa</w:t>
      </w:r>
      <w:r>
        <w:rPr>
          <w:rFonts w:ascii="Calibri" w:hAnsi="Calibri"/>
          <w:color w:val="231F20"/>
          <w:spacing w:val="-6"/>
          <w:w w:val="105"/>
          <w:sz w:val="17"/>
        </w:rPr>
        <w:t> </w:t>
      </w:r>
      <w:r>
        <w:rPr>
          <w:rFonts w:ascii="Calibri" w:hAnsi="Calibri"/>
          <w:color w:val="231F20"/>
          <w:w w:val="105"/>
          <w:sz w:val="17"/>
        </w:rPr>
        <w:t>construirse</w:t>
      </w:r>
      <w:r>
        <w:rPr>
          <w:rFonts w:ascii="Calibri" w:hAnsi="Calibri"/>
          <w:color w:val="231F20"/>
          <w:spacing w:val="-6"/>
          <w:w w:val="105"/>
          <w:sz w:val="17"/>
        </w:rPr>
        <w:t> </w:t>
      </w:r>
      <w:r>
        <w:rPr>
          <w:rFonts w:ascii="Calibri" w:hAnsi="Calibri"/>
          <w:color w:val="231F20"/>
          <w:w w:val="105"/>
          <w:sz w:val="17"/>
        </w:rPr>
        <w:t>un</w:t>
      </w:r>
      <w:r>
        <w:rPr>
          <w:rFonts w:ascii="Calibri" w:hAnsi="Calibri"/>
          <w:color w:val="231F20"/>
          <w:spacing w:val="-6"/>
          <w:w w:val="105"/>
          <w:sz w:val="17"/>
        </w:rPr>
        <w:t> </w:t>
      </w:r>
      <w:r>
        <w:rPr>
          <w:rFonts w:ascii="Calibri" w:hAnsi="Calibri"/>
          <w:color w:val="231F20"/>
          <w:w w:val="105"/>
          <w:sz w:val="17"/>
        </w:rPr>
        <w:t>territorio</w:t>
      </w:r>
      <w:r>
        <w:rPr>
          <w:rFonts w:ascii="Calibri" w:hAnsi="Calibri"/>
          <w:color w:val="231F20"/>
          <w:spacing w:val="-6"/>
          <w:w w:val="105"/>
          <w:sz w:val="17"/>
        </w:rPr>
        <w:t> </w:t>
      </w:r>
      <w:r>
        <w:rPr>
          <w:rFonts w:ascii="Calibri" w:hAnsi="Calibri"/>
          <w:color w:val="231F20"/>
          <w:w w:val="105"/>
          <w:sz w:val="17"/>
        </w:rPr>
        <w:t>que</w:t>
      </w:r>
      <w:r>
        <w:rPr>
          <w:rFonts w:ascii="Calibri" w:hAnsi="Calibri"/>
          <w:color w:val="231F20"/>
          <w:spacing w:val="-6"/>
          <w:w w:val="105"/>
          <w:sz w:val="17"/>
        </w:rPr>
        <w:t> </w:t>
      </w:r>
      <w:r>
        <w:rPr>
          <w:rFonts w:ascii="Calibri" w:hAnsi="Calibri"/>
          <w:color w:val="231F20"/>
          <w:w w:val="105"/>
          <w:sz w:val="17"/>
        </w:rPr>
        <w:t>sea</w:t>
      </w:r>
      <w:r>
        <w:rPr>
          <w:rFonts w:ascii="Calibri" w:hAnsi="Calibri"/>
          <w:color w:val="231F20"/>
          <w:spacing w:val="-6"/>
          <w:w w:val="105"/>
          <w:sz w:val="17"/>
        </w:rPr>
        <w:t> </w:t>
      </w:r>
      <w:r>
        <w:rPr>
          <w:rFonts w:ascii="Calibri" w:hAnsi="Calibri"/>
          <w:color w:val="231F20"/>
          <w:w w:val="105"/>
          <w:sz w:val="17"/>
        </w:rPr>
        <w:t>familiar</w:t>
      </w:r>
      <w:r>
        <w:rPr>
          <w:rFonts w:ascii="Calibri" w:hAnsi="Calibri"/>
          <w:color w:val="231F20"/>
          <w:spacing w:val="-6"/>
          <w:w w:val="105"/>
          <w:sz w:val="17"/>
        </w:rPr>
        <w:t> </w:t>
      </w:r>
      <w:r>
        <w:rPr>
          <w:rFonts w:ascii="Calibri" w:hAnsi="Calibri"/>
          <w:color w:val="231F20"/>
          <w:w w:val="105"/>
          <w:sz w:val="17"/>
        </w:rPr>
        <w:t>a</w:t>
      </w:r>
      <w:r>
        <w:rPr>
          <w:rFonts w:ascii="Calibri" w:hAnsi="Calibri"/>
          <w:color w:val="231F20"/>
          <w:spacing w:val="-6"/>
          <w:w w:val="105"/>
          <w:sz w:val="17"/>
        </w:rPr>
        <w:t> </w:t>
      </w:r>
      <w:r>
        <w:rPr>
          <w:rFonts w:ascii="Calibri" w:hAnsi="Calibri"/>
          <w:color w:val="231F20"/>
          <w:w w:val="105"/>
          <w:sz w:val="17"/>
        </w:rPr>
        <w:t>través</w:t>
      </w:r>
      <w:r>
        <w:rPr>
          <w:rFonts w:ascii="Calibri" w:hAnsi="Calibri"/>
          <w:color w:val="231F20"/>
          <w:spacing w:val="-6"/>
          <w:w w:val="105"/>
          <w:sz w:val="17"/>
        </w:rPr>
        <w:t> </w:t>
      </w:r>
      <w:r>
        <w:rPr>
          <w:rFonts w:ascii="Calibri" w:hAnsi="Calibri"/>
          <w:color w:val="231F20"/>
          <w:w w:val="105"/>
          <w:sz w:val="17"/>
        </w:rPr>
        <w:t>de</w:t>
      </w:r>
      <w:r>
        <w:rPr>
          <w:rFonts w:ascii="Calibri" w:hAnsi="Calibri"/>
          <w:color w:val="231F20"/>
          <w:spacing w:val="-6"/>
          <w:w w:val="105"/>
          <w:sz w:val="17"/>
        </w:rPr>
        <w:t> </w:t>
      </w:r>
      <w:r>
        <w:rPr>
          <w:rFonts w:ascii="Calibri" w:hAnsi="Calibri"/>
          <w:color w:val="231F20"/>
          <w:w w:val="105"/>
          <w:sz w:val="17"/>
        </w:rPr>
        <w:t>diversas</w:t>
      </w:r>
      <w:r>
        <w:rPr>
          <w:rFonts w:ascii="Calibri" w:hAnsi="Calibri"/>
          <w:color w:val="231F20"/>
          <w:spacing w:val="-6"/>
          <w:w w:val="105"/>
          <w:sz w:val="17"/>
        </w:rPr>
        <w:t> </w:t>
      </w:r>
      <w:r>
        <w:rPr>
          <w:rFonts w:ascii="Calibri" w:hAnsi="Calibri"/>
          <w:color w:val="231F20"/>
          <w:w w:val="105"/>
          <w:sz w:val="17"/>
        </w:rPr>
        <w:t>marcas</w:t>
      </w:r>
      <w:r>
        <w:rPr>
          <w:rFonts w:ascii="Calibri" w:hAnsi="Calibri"/>
          <w:color w:val="231F20"/>
          <w:spacing w:val="-6"/>
          <w:w w:val="105"/>
          <w:sz w:val="17"/>
        </w:rPr>
        <w:t> </w:t>
      </w:r>
      <w:r>
        <w:rPr>
          <w:rFonts w:ascii="Calibri" w:hAnsi="Calibri"/>
          <w:color w:val="231F20"/>
          <w:w w:val="105"/>
          <w:sz w:val="17"/>
        </w:rPr>
        <w:t>de</w:t>
      </w:r>
      <w:r>
        <w:rPr>
          <w:rFonts w:ascii="Calibri" w:hAnsi="Calibri"/>
          <w:color w:val="231F20"/>
          <w:spacing w:val="-6"/>
          <w:w w:val="105"/>
          <w:sz w:val="17"/>
        </w:rPr>
        <w:t> </w:t>
      </w:r>
      <w:r>
        <w:rPr>
          <w:rFonts w:ascii="Calibri" w:hAnsi="Calibri"/>
          <w:color w:val="231F20"/>
          <w:w w:val="105"/>
          <w:sz w:val="17"/>
        </w:rPr>
        <w:t>expresión,</w:t>
      </w:r>
      <w:r>
        <w:rPr>
          <w:rFonts w:ascii="Calibri" w:hAnsi="Calibri"/>
          <w:color w:val="231F20"/>
          <w:spacing w:val="-6"/>
          <w:w w:val="105"/>
          <w:sz w:val="17"/>
        </w:rPr>
        <w:t> </w:t>
      </w:r>
      <w:r>
        <w:rPr>
          <w:rFonts w:ascii="Calibri" w:hAnsi="Calibri"/>
          <w:color w:val="231F20"/>
          <w:w w:val="105"/>
          <w:sz w:val="17"/>
        </w:rPr>
        <w:t>pero no</w:t>
      </w:r>
      <w:r>
        <w:rPr>
          <w:rFonts w:ascii="Calibri" w:hAnsi="Calibri"/>
          <w:color w:val="231F20"/>
          <w:spacing w:val="-18"/>
          <w:w w:val="105"/>
          <w:sz w:val="17"/>
        </w:rPr>
        <w:t> </w:t>
      </w:r>
      <w:r>
        <w:rPr>
          <w:rFonts w:ascii="Calibri" w:hAnsi="Calibri"/>
          <w:color w:val="231F20"/>
          <w:w w:val="105"/>
          <w:sz w:val="17"/>
        </w:rPr>
        <w:t>hay</w:t>
      </w:r>
      <w:r>
        <w:rPr>
          <w:rFonts w:ascii="Calibri" w:hAnsi="Calibri"/>
          <w:color w:val="231F20"/>
          <w:spacing w:val="-18"/>
          <w:w w:val="105"/>
          <w:sz w:val="17"/>
        </w:rPr>
        <w:t> </w:t>
      </w:r>
      <w:r>
        <w:rPr>
          <w:rFonts w:ascii="Calibri" w:hAnsi="Calibri"/>
          <w:color w:val="231F20"/>
          <w:w w:val="105"/>
          <w:sz w:val="17"/>
        </w:rPr>
        <w:t>territorio</w:t>
      </w:r>
      <w:r>
        <w:rPr>
          <w:rFonts w:ascii="Calibri" w:hAnsi="Calibri"/>
          <w:color w:val="231F20"/>
          <w:spacing w:val="-18"/>
          <w:w w:val="105"/>
          <w:sz w:val="17"/>
        </w:rPr>
        <w:t> </w:t>
      </w:r>
      <w:r>
        <w:rPr>
          <w:rFonts w:ascii="Calibri" w:hAnsi="Calibri"/>
          <w:color w:val="231F20"/>
          <w:w w:val="105"/>
          <w:sz w:val="17"/>
        </w:rPr>
        <w:t>fijo.</w:t>
      </w:r>
      <w:r>
        <w:rPr>
          <w:rFonts w:ascii="Calibri" w:hAnsi="Calibri"/>
          <w:color w:val="231F20"/>
          <w:spacing w:val="-19"/>
          <w:w w:val="105"/>
          <w:sz w:val="17"/>
        </w:rPr>
        <w:t> </w:t>
      </w:r>
      <w:r>
        <w:rPr>
          <w:rFonts w:ascii="Calibri" w:hAnsi="Calibri"/>
          <w:color w:val="231F20"/>
          <w:w w:val="105"/>
          <w:sz w:val="17"/>
        </w:rPr>
        <w:t>Territorializar</w:t>
      </w:r>
      <w:r>
        <w:rPr>
          <w:rFonts w:ascii="Calibri" w:hAnsi="Calibri"/>
          <w:color w:val="231F20"/>
          <w:spacing w:val="-18"/>
          <w:w w:val="105"/>
          <w:sz w:val="17"/>
        </w:rPr>
        <w:t> </w:t>
      </w:r>
      <w:r>
        <w:rPr>
          <w:rFonts w:ascii="Calibri" w:hAnsi="Calibri"/>
          <w:color w:val="231F20"/>
          <w:w w:val="105"/>
          <w:sz w:val="17"/>
        </w:rPr>
        <w:t>es</w:t>
      </w:r>
      <w:r>
        <w:rPr>
          <w:rFonts w:ascii="Calibri" w:hAnsi="Calibri"/>
          <w:color w:val="231F20"/>
          <w:spacing w:val="-18"/>
          <w:w w:val="105"/>
          <w:sz w:val="17"/>
        </w:rPr>
        <w:t> </w:t>
      </w:r>
      <w:r>
        <w:rPr>
          <w:rFonts w:ascii="Calibri" w:hAnsi="Calibri"/>
          <w:color w:val="231F20"/>
          <w:w w:val="105"/>
          <w:sz w:val="17"/>
        </w:rPr>
        <w:t>una</w:t>
      </w:r>
      <w:r>
        <w:rPr>
          <w:rFonts w:ascii="Calibri" w:hAnsi="Calibri"/>
          <w:color w:val="231F20"/>
          <w:spacing w:val="-18"/>
          <w:w w:val="105"/>
          <w:sz w:val="17"/>
        </w:rPr>
        <w:t> </w:t>
      </w:r>
      <w:r>
        <w:rPr>
          <w:rFonts w:ascii="Calibri" w:hAnsi="Calibri"/>
          <w:color w:val="231F20"/>
          <w:w w:val="105"/>
          <w:sz w:val="17"/>
        </w:rPr>
        <w:t>dinámica</w:t>
      </w:r>
      <w:r>
        <w:rPr>
          <w:rFonts w:ascii="Calibri" w:hAnsi="Calibri"/>
          <w:color w:val="231F20"/>
          <w:spacing w:val="-18"/>
          <w:w w:val="105"/>
          <w:sz w:val="17"/>
        </w:rPr>
        <w:t> </w:t>
      </w:r>
      <w:r>
        <w:rPr>
          <w:rFonts w:ascii="Calibri" w:hAnsi="Calibri"/>
          <w:color w:val="231F20"/>
          <w:w w:val="105"/>
          <w:sz w:val="17"/>
        </w:rPr>
        <w:t>continua</w:t>
      </w:r>
      <w:r>
        <w:rPr>
          <w:rFonts w:ascii="Calibri" w:hAnsi="Calibri"/>
          <w:color w:val="231F20"/>
          <w:spacing w:val="-18"/>
          <w:w w:val="105"/>
          <w:sz w:val="17"/>
        </w:rPr>
        <w:t> </w:t>
      </w:r>
      <w:r>
        <w:rPr>
          <w:rFonts w:ascii="Calibri" w:hAnsi="Calibri"/>
          <w:color w:val="231F20"/>
          <w:w w:val="105"/>
          <w:sz w:val="17"/>
        </w:rPr>
        <w:t>de</w:t>
      </w:r>
      <w:r>
        <w:rPr>
          <w:rFonts w:ascii="Calibri" w:hAnsi="Calibri"/>
          <w:color w:val="231F20"/>
          <w:spacing w:val="-18"/>
          <w:w w:val="105"/>
          <w:sz w:val="17"/>
        </w:rPr>
        <w:t> </w:t>
      </w:r>
      <w:r>
        <w:rPr>
          <w:rFonts w:ascii="Calibri" w:hAnsi="Calibri"/>
          <w:color w:val="231F20"/>
          <w:w w:val="105"/>
          <w:sz w:val="17"/>
        </w:rPr>
        <w:t>remarcar</w:t>
      </w:r>
      <w:r>
        <w:rPr>
          <w:rFonts w:ascii="Calibri" w:hAnsi="Calibri"/>
          <w:color w:val="231F20"/>
          <w:spacing w:val="-19"/>
          <w:w w:val="105"/>
          <w:sz w:val="17"/>
        </w:rPr>
        <w:t> </w:t>
      </w:r>
      <w:r>
        <w:rPr>
          <w:rFonts w:ascii="Calibri" w:hAnsi="Calibri"/>
          <w:color w:val="231F20"/>
          <w:w w:val="105"/>
          <w:sz w:val="17"/>
        </w:rPr>
        <w:t>y</w:t>
      </w:r>
      <w:r>
        <w:rPr>
          <w:rFonts w:ascii="Calibri" w:hAnsi="Calibri"/>
          <w:color w:val="231F20"/>
          <w:spacing w:val="-18"/>
          <w:w w:val="105"/>
          <w:sz w:val="17"/>
        </w:rPr>
        <w:t> </w:t>
      </w:r>
      <w:r>
        <w:rPr>
          <w:rFonts w:ascii="Calibri" w:hAnsi="Calibri"/>
          <w:color w:val="231F20"/>
          <w:w w:val="105"/>
          <w:sz w:val="17"/>
        </w:rPr>
        <w:t>retrasar,</w:t>
      </w:r>
      <w:r>
        <w:rPr>
          <w:rFonts w:ascii="Calibri" w:hAnsi="Calibri"/>
          <w:color w:val="231F20"/>
          <w:spacing w:val="-18"/>
          <w:w w:val="105"/>
          <w:sz w:val="17"/>
        </w:rPr>
        <w:t> </w:t>
      </w:r>
      <w:r>
        <w:rPr>
          <w:rFonts w:ascii="Calibri" w:hAnsi="Calibri"/>
          <w:color w:val="231F20"/>
          <w:w w:val="105"/>
          <w:sz w:val="17"/>
        </w:rPr>
        <w:t>extender</w:t>
      </w:r>
      <w:r>
        <w:rPr>
          <w:rFonts w:ascii="Calibri" w:hAnsi="Calibri"/>
          <w:color w:val="231F20"/>
          <w:spacing w:val="-19"/>
          <w:w w:val="105"/>
          <w:sz w:val="17"/>
        </w:rPr>
        <w:t> </w:t>
      </w:r>
      <w:r>
        <w:rPr>
          <w:rFonts w:ascii="Calibri" w:hAnsi="Calibri"/>
          <w:color w:val="231F20"/>
          <w:w w:val="105"/>
          <w:sz w:val="17"/>
        </w:rPr>
        <w:t>y</w:t>
      </w:r>
      <w:r>
        <w:rPr>
          <w:rFonts w:ascii="Calibri" w:hAnsi="Calibri"/>
          <w:color w:val="231F20"/>
          <w:spacing w:val="-18"/>
          <w:w w:val="105"/>
          <w:sz w:val="17"/>
        </w:rPr>
        <w:t> </w:t>
      </w:r>
      <w:r>
        <w:rPr>
          <w:rFonts w:ascii="Calibri" w:hAnsi="Calibri"/>
          <w:color w:val="231F20"/>
          <w:w w:val="105"/>
          <w:sz w:val="17"/>
        </w:rPr>
        <w:t>al- </w:t>
      </w:r>
      <w:r>
        <w:rPr>
          <w:rFonts w:ascii="Calibri" w:hAnsi="Calibri"/>
          <w:color w:val="231F20"/>
          <w:spacing w:val="-3"/>
          <w:w w:val="105"/>
          <w:sz w:val="17"/>
        </w:rPr>
        <w:t>terar,</w:t>
      </w:r>
      <w:r>
        <w:rPr>
          <w:rFonts w:ascii="Calibri" w:hAnsi="Calibri"/>
          <w:color w:val="231F20"/>
          <w:spacing w:val="-15"/>
          <w:w w:val="105"/>
          <w:sz w:val="17"/>
        </w:rPr>
        <w:t> </w:t>
      </w:r>
      <w:r>
        <w:rPr>
          <w:rFonts w:ascii="Calibri" w:hAnsi="Calibri"/>
          <w:color w:val="231F20"/>
          <w:w w:val="105"/>
          <w:sz w:val="17"/>
        </w:rPr>
        <w:t>abandonando</w:t>
      </w:r>
      <w:r>
        <w:rPr>
          <w:rFonts w:ascii="Calibri" w:hAnsi="Calibri"/>
          <w:color w:val="231F20"/>
          <w:spacing w:val="-15"/>
          <w:w w:val="105"/>
          <w:sz w:val="17"/>
        </w:rPr>
        <w:t> </w:t>
      </w:r>
      <w:r>
        <w:rPr>
          <w:rFonts w:ascii="Calibri" w:hAnsi="Calibri"/>
          <w:color w:val="231F20"/>
          <w:w w:val="105"/>
          <w:sz w:val="17"/>
        </w:rPr>
        <w:t>parajes</w:t>
      </w:r>
      <w:r>
        <w:rPr>
          <w:rFonts w:ascii="Calibri" w:hAnsi="Calibri"/>
          <w:color w:val="231F20"/>
          <w:spacing w:val="-15"/>
          <w:w w:val="105"/>
          <w:sz w:val="17"/>
        </w:rPr>
        <w:t> </w:t>
      </w:r>
      <w:r>
        <w:rPr>
          <w:rFonts w:ascii="Calibri" w:hAnsi="Calibri"/>
          <w:color w:val="231F20"/>
          <w:w w:val="105"/>
          <w:sz w:val="17"/>
        </w:rPr>
        <w:t>o</w:t>
      </w:r>
      <w:r>
        <w:rPr>
          <w:rFonts w:ascii="Calibri" w:hAnsi="Calibri"/>
          <w:color w:val="231F20"/>
          <w:spacing w:val="-15"/>
          <w:w w:val="105"/>
          <w:sz w:val="17"/>
        </w:rPr>
        <w:t> </w:t>
      </w:r>
      <w:r>
        <w:rPr>
          <w:rFonts w:ascii="Calibri" w:hAnsi="Calibri"/>
          <w:color w:val="231F20"/>
          <w:w w:val="105"/>
          <w:sz w:val="17"/>
        </w:rPr>
        <w:t>modificando</w:t>
      </w:r>
      <w:r>
        <w:rPr>
          <w:rFonts w:ascii="Calibri" w:hAnsi="Calibri"/>
          <w:color w:val="231F20"/>
          <w:spacing w:val="-15"/>
          <w:w w:val="105"/>
          <w:sz w:val="17"/>
        </w:rPr>
        <w:t> </w:t>
      </w:r>
      <w:r>
        <w:rPr>
          <w:rFonts w:ascii="Calibri" w:hAnsi="Calibri"/>
          <w:color w:val="231F20"/>
          <w:w w:val="105"/>
          <w:sz w:val="17"/>
        </w:rPr>
        <w:t>los</w:t>
      </w:r>
      <w:r>
        <w:rPr>
          <w:rFonts w:ascii="Calibri" w:hAnsi="Calibri"/>
          <w:color w:val="231F20"/>
          <w:spacing w:val="-17"/>
          <w:w w:val="105"/>
          <w:sz w:val="17"/>
        </w:rPr>
        <w:t> </w:t>
      </w:r>
      <w:r>
        <w:rPr>
          <w:rFonts w:ascii="Calibri" w:hAnsi="Calibri"/>
          <w:color w:val="231F20"/>
          <w:w w:val="105"/>
          <w:sz w:val="17"/>
        </w:rPr>
        <w:t>ya</w:t>
      </w:r>
      <w:r>
        <w:rPr>
          <w:rFonts w:ascii="Calibri" w:hAnsi="Calibri"/>
          <w:color w:val="231F20"/>
          <w:spacing w:val="-15"/>
          <w:w w:val="105"/>
          <w:sz w:val="17"/>
        </w:rPr>
        <w:t> </w:t>
      </w:r>
      <w:r>
        <w:rPr>
          <w:rFonts w:ascii="Calibri" w:hAnsi="Calibri"/>
          <w:color w:val="231F20"/>
          <w:w w:val="105"/>
          <w:sz w:val="17"/>
        </w:rPr>
        <w:t>conocidos;</w:t>
      </w:r>
      <w:r>
        <w:rPr>
          <w:rFonts w:ascii="Calibri" w:hAnsi="Calibri"/>
          <w:color w:val="231F20"/>
          <w:spacing w:val="-15"/>
          <w:w w:val="105"/>
          <w:sz w:val="17"/>
        </w:rPr>
        <w:t> </w:t>
      </w:r>
      <w:r>
        <w:rPr>
          <w:rFonts w:ascii="Calibri" w:hAnsi="Calibri"/>
          <w:color w:val="231F20"/>
          <w:w w:val="105"/>
          <w:sz w:val="17"/>
        </w:rPr>
        <w:t>por</w:t>
      </w:r>
      <w:r>
        <w:rPr>
          <w:rFonts w:ascii="Calibri" w:hAnsi="Calibri"/>
          <w:color w:val="231F20"/>
          <w:spacing w:val="-15"/>
          <w:w w:val="105"/>
          <w:sz w:val="17"/>
        </w:rPr>
        <w:t> </w:t>
      </w:r>
      <w:r>
        <w:rPr>
          <w:rFonts w:ascii="Calibri" w:hAnsi="Calibri"/>
          <w:color w:val="231F20"/>
          <w:w w:val="105"/>
          <w:sz w:val="17"/>
        </w:rPr>
        <w:t>ende,</w:t>
      </w:r>
      <w:r>
        <w:rPr>
          <w:rFonts w:ascii="Calibri" w:hAnsi="Calibri"/>
          <w:color w:val="231F20"/>
          <w:spacing w:val="-15"/>
          <w:w w:val="105"/>
          <w:sz w:val="17"/>
        </w:rPr>
        <w:t> </w:t>
      </w:r>
      <w:r>
        <w:rPr>
          <w:rFonts w:ascii="Calibri" w:hAnsi="Calibri"/>
          <w:color w:val="231F20"/>
          <w:w w:val="105"/>
          <w:sz w:val="17"/>
        </w:rPr>
        <w:t>no</w:t>
      </w:r>
      <w:r>
        <w:rPr>
          <w:rFonts w:ascii="Calibri" w:hAnsi="Calibri"/>
          <w:color w:val="231F20"/>
          <w:spacing w:val="-15"/>
          <w:w w:val="105"/>
          <w:sz w:val="17"/>
        </w:rPr>
        <w:t> </w:t>
      </w:r>
      <w:r>
        <w:rPr>
          <w:rFonts w:ascii="Calibri" w:hAnsi="Calibri"/>
          <w:color w:val="231F20"/>
          <w:w w:val="105"/>
          <w:sz w:val="17"/>
        </w:rPr>
        <w:t>hay</w:t>
      </w:r>
      <w:r>
        <w:rPr>
          <w:rFonts w:ascii="Calibri" w:hAnsi="Calibri"/>
          <w:color w:val="231F20"/>
          <w:spacing w:val="-15"/>
          <w:w w:val="105"/>
          <w:sz w:val="17"/>
        </w:rPr>
        <w:t> </w:t>
      </w:r>
      <w:r>
        <w:rPr>
          <w:rFonts w:ascii="Calibri" w:hAnsi="Calibri"/>
          <w:color w:val="231F20"/>
          <w:w w:val="105"/>
          <w:sz w:val="17"/>
        </w:rPr>
        <w:t>territorialización</w:t>
      </w:r>
      <w:r>
        <w:rPr>
          <w:rFonts w:ascii="Calibri" w:hAnsi="Calibri"/>
          <w:color w:val="231F20"/>
          <w:spacing w:val="-15"/>
          <w:w w:val="105"/>
          <w:sz w:val="17"/>
        </w:rPr>
        <w:t> </w:t>
      </w:r>
      <w:r>
        <w:rPr>
          <w:rFonts w:ascii="Calibri" w:hAnsi="Calibri"/>
          <w:color w:val="231F20"/>
          <w:w w:val="105"/>
          <w:sz w:val="17"/>
        </w:rPr>
        <w:t>sin una</w:t>
      </w:r>
      <w:r>
        <w:rPr>
          <w:rFonts w:ascii="Calibri" w:hAnsi="Calibri"/>
          <w:color w:val="231F20"/>
          <w:spacing w:val="-13"/>
          <w:w w:val="105"/>
          <w:sz w:val="17"/>
        </w:rPr>
        <w:t> </w:t>
      </w:r>
      <w:r>
        <w:rPr>
          <w:rFonts w:ascii="Calibri" w:hAnsi="Calibri"/>
          <w:color w:val="231F20"/>
          <w:w w:val="105"/>
          <w:sz w:val="17"/>
        </w:rPr>
        <w:t>paralela</w:t>
      </w:r>
      <w:r>
        <w:rPr>
          <w:rFonts w:ascii="Calibri" w:hAnsi="Calibri"/>
          <w:color w:val="231F20"/>
          <w:spacing w:val="-13"/>
          <w:w w:val="105"/>
          <w:sz w:val="17"/>
        </w:rPr>
        <w:t> </w:t>
      </w:r>
      <w:r>
        <w:rPr>
          <w:rFonts w:ascii="Calibri" w:hAnsi="Calibri"/>
          <w:color w:val="231F20"/>
          <w:w w:val="105"/>
          <w:sz w:val="17"/>
        </w:rPr>
        <w:t>desterritorialización.</w:t>
      </w:r>
      <w:r>
        <w:rPr>
          <w:rFonts w:ascii="Calibri" w:hAnsi="Calibri"/>
          <w:color w:val="231F20"/>
          <w:spacing w:val="-13"/>
          <w:w w:val="105"/>
          <w:sz w:val="17"/>
        </w:rPr>
        <w:t> </w:t>
      </w:r>
      <w:r>
        <w:rPr>
          <w:rFonts w:ascii="Calibri" w:hAnsi="Calibri"/>
          <w:color w:val="231F20"/>
          <w:w w:val="105"/>
          <w:sz w:val="17"/>
        </w:rPr>
        <w:t>En</w:t>
      </w:r>
      <w:r>
        <w:rPr>
          <w:rFonts w:ascii="Calibri" w:hAnsi="Calibri"/>
          <w:color w:val="231F20"/>
          <w:spacing w:val="-13"/>
          <w:w w:val="105"/>
          <w:sz w:val="17"/>
        </w:rPr>
        <w:t> </w:t>
      </w:r>
      <w:r>
        <w:rPr>
          <w:rFonts w:ascii="Calibri" w:hAnsi="Calibri"/>
          <w:color w:val="231F20"/>
          <w:w w:val="105"/>
          <w:sz w:val="17"/>
        </w:rPr>
        <w:t>esta</w:t>
      </w:r>
      <w:r>
        <w:rPr>
          <w:rFonts w:ascii="Calibri" w:hAnsi="Calibri"/>
          <w:color w:val="231F20"/>
          <w:spacing w:val="-13"/>
          <w:w w:val="105"/>
          <w:sz w:val="17"/>
        </w:rPr>
        <w:t> </w:t>
      </w:r>
      <w:r>
        <w:rPr>
          <w:rFonts w:ascii="Calibri" w:hAnsi="Calibri"/>
          <w:color w:val="231F20"/>
          <w:w w:val="105"/>
          <w:sz w:val="17"/>
        </w:rPr>
        <w:t>dinámica,</w:t>
      </w:r>
      <w:r>
        <w:rPr>
          <w:rFonts w:ascii="Calibri" w:hAnsi="Calibri"/>
          <w:color w:val="231F20"/>
          <w:spacing w:val="-13"/>
          <w:w w:val="105"/>
          <w:sz w:val="17"/>
        </w:rPr>
        <w:t> </w:t>
      </w:r>
      <w:r>
        <w:rPr>
          <w:rFonts w:ascii="Calibri" w:hAnsi="Calibri"/>
          <w:color w:val="231F20"/>
          <w:w w:val="105"/>
          <w:sz w:val="17"/>
        </w:rPr>
        <w:t>no</w:t>
      </w:r>
      <w:r>
        <w:rPr>
          <w:rFonts w:ascii="Calibri" w:hAnsi="Calibri"/>
          <w:color w:val="231F20"/>
          <w:spacing w:val="-13"/>
          <w:w w:val="105"/>
          <w:sz w:val="17"/>
        </w:rPr>
        <w:t> </w:t>
      </w:r>
      <w:r>
        <w:rPr>
          <w:rFonts w:ascii="Calibri" w:hAnsi="Calibri"/>
          <w:color w:val="231F20"/>
          <w:w w:val="105"/>
          <w:sz w:val="17"/>
        </w:rPr>
        <w:t>sólo</w:t>
      </w:r>
      <w:r>
        <w:rPr>
          <w:rFonts w:ascii="Calibri" w:hAnsi="Calibri"/>
          <w:color w:val="231F20"/>
          <w:spacing w:val="-13"/>
          <w:w w:val="105"/>
          <w:sz w:val="17"/>
        </w:rPr>
        <w:t> </w:t>
      </w:r>
      <w:r>
        <w:rPr>
          <w:rFonts w:ascii="Calibri" w:hAnsi="Calibri"/>
          <w:color w:val="231F20"/>
          <w:w w:val="105"/>
          <w:sz w:val="17"/>
        </w:rPr>
        <w:t>se</w:t>
      </w:r>
      <w:r>
        <w:rPr>
          <w:rFonts w:ascii="Calibri" w:hAnsi="Calibri"/>
          <w:color w:val="231F20"/>
          <w:spacing w:val="-13"/>
          <w:w w:val="105"/>
          <w:sz w:val="17"/>
        </w:rPr>
        <w:t> </w:t>
      </w:r>
      <w:r>
        <w:rPr>
          <w:rFonts w:ascii="Calibri" w:hAnsi="Calibri"/>
          <w:color w:val="231F20"/>
          <w:w w:val="105"/>
          <w:sz w:val="17"/>
        </w:rPr>
        <w:t>territorializa</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tierra,</w:t>
      </w:r>
      <w:r>
        <w:rPr>
          <w:rFonts w:ascii="Calibri" w:hAnsi="Calibri"/>
          <w:color w:val="231F20"/>
          <w:spacing w:val="-13"/>
          <w:w w:val="105"/>
          <w:sz w:val="17"/>
        </w:rPr>
        <w:t> </w:t>
      </w:r>
      <w:r>
        <w:rPr>
          <w:rFonts w:ascii="Calibri" w:hAnsi="Calibri"/>
          <w:color w:val="231F20"/>
          <w:w w:val="105"/>
          <w:sz w:val="17"/>
        </w:rPr>
        <w:t>sino</w:t>
      </w:r>
      <w:r>
        <w:rPr>
          <w:rFonts w:ascii="Calibri" w:hAnsi="Calibri"/>
          <w:color w:val="231F20"/>
          <w:spacing w:val="-13"/>
          <w:w w:val="105"/>
          <w:sz w:val="17"/>
        </w:rPr>
        <w:t> </w:t>
      </w:r>
      <w:r>
        <w:rPr>
          <w:rFonts w:ascii="Calibri" w:hAnsi="Calibri"/>
          <w:color w:val="231F20"/>
          <w:w w:val="105"/>
          <w:sz w:val="17"/>
        </w:rPr>
        <w:t>también otros</w:t>
      </w:r>
      <w:r>
        <w:rPr>
          <w:rFonts w:ascii="Calibri" w:hAnsi="Calibri"/>
          <w:color w:val="231F20"/>
          <w:spacing w:val="-11"/>
          <w:w w:val="105"/>
          <w:sz w:val="17"/>
        </w:rPr>
        <w:t> </w:t>
      </w:r>
      <w:r>
        <w:rPr>
          <w:rFonts w:ascii="Calibri" w:hAnsi="Calibri"/>
          <w:color w:val="231F20"/>
          <w:w w:val="105"/>
          <w:sz w:val="17"/>
        </w:rPr>
        <w:t>cuerpos,</w:t>
      </w:r>
      <w:r>
        <w:rPr>
          <w:rFonts w:ascii="Calibri" w:hAnsi="Calibri"/>
          <w:color w:val="231F20"/>
          <w:spacing w:val="-11"/>
          <w:w w:val="105"/>
          <w:sz w:val="17"/>
        </w:rPr>
        <w:t> </w:t>
      </w:r>
      <w:r>
        <w:rPr>
          <w:rFonts w:ascii="Calibri" w:hAnsi="Calibri"/>
          <w:color w:val="231F20"/>
          <w:w w:val="105"/>
          <w:sz w:val="17"/>
        </w:rPr>
        <w:t>otros</w:t>
      </w:r>
      <w:r>
        <w:rPr>
          <w:rFonts w:ascii="Calibri" w:hAnsi="Calibri"/>
          <w:color w:val="231F20"/>
          <w:spacing w:val="-11"/>
          <w:w w:val="105"/>
          <w:sz w:val="17"/>
        </w:rPr>
        <w:t> </w:t>
      </w:r>
      <w:r>
        <w:rPr>
          <w:rFonts w:ascii="Calibri" w:hAnsi="Calibri"/>
          <w:color w:val="231F20"/>
          <w:w w:val="105"/>
          <w:sz w:val="17"/>
        </w:rPr>
        <w:t>sujetos,</w:t>
      </w:r>
      <w:r>
        <w:rPr>
          <w:rFonts w:ascii="Calibri" w:hAnsi="Calibri"/>
          <w:color w:val="231F20"/>
          <w:spacing w:val="-11"/>
          <w:w w:val="105"/>
          <w:sz w:val="17"/>
        </w:rPr>
        <w:t> </w:t>
      </w:r>
      <w:r>
        <w:rPr>
          <w:rFonts w:ascii="Calibri" w:hAnsi="Calibri"/>
          <w:color w:val="231F20"/>
          <w:w w:val="105"/>
          <w:sz w:val="17"/>
        </w:rPr>
        <w:t>estos</w:t>
      </w:r>
      <w:r>
        <w:rPr>
          <w:rFonts w:ascii="Calibri" w:hAnsi="Calibri"/>
          <w:color w:val="231F20"/>
          <w:spacing w:val="-11"/>
          <w:w w:val="105"/>
          <w:sz w:val="17"/>
        </w:rPr>
        <w:t> </w:t>
      </w:r>
      <w:r>
        <w:rPr>
          <w:rFonts w:ascii="Calibri" w:hAnsi="Calibri"/>
          <w:color w:val="231F20"/>
          <w:w w:val="105"/>
          <w:sz w:val="17"/>
        </w:rPr>
        <w:t>también</w:t>
      </w:r>
      <w:r>
        <w:rPr>
          <w:rFonts w:ascii="Calibri" w:hAnsi="Calibri"/>
          <w:color w:val="231F20"/>
          <w:spacing w:val="-11"/>
          <w:w w:val="105"/>
          <w:sz w:val="17"/>
        </w:rPr>
        <w:t> </w:t>
      </w:r>
      <w:r>
        <w:rPr>
          <w:rFonts w:ascii="Calibri" w:hAnsi="Calibri"/>
          <w:color w:val="231F20"/>
          <w:w w:val="105"/>
          <w:sz w:val="17"/>
        </w:rPr>
        <w:t>se</w:t>
      </w:r>
      <w:r>
        <w:rPr>
          <w:rFonts w:ascii="Calibri" w:hAnsi="Calibri"/>
          <w:color w:val="231F20"/>
          <w:spacing w:val="-11"/>
          <w:w w:val="105"/>
          <w:sz w:val="17"/>
        </w:rPr>
        <w:t> </w:t>
      </w:r>
      <w:r>
        <w:rPr>
          <w:rFonts w:ascii="Calibri" w:hAnsi="Calibri"/>
          <w:color w:val="231F20"/>
          <w:w w:val="105"/>
          <w:sz w:val="17"/>
        </w:rPr>
        <w:t>marcan,</w:t>
      </w:r>
      <w:r>
        <w:rPr>
          <w:rFonts w:ascii="Calibri" w:hAnsi="Calibri"/>
          <w:color w:val="231F20"/>
          <w:spacing w:val="-11"/>
          <w:w w:val="105"/>
          <w:sz w:val="17"/>
        </w:rPr>
        <w:t> </w:t>
      </w:r>
      <w:r>
        <w:rPr>
          <w:rFonts w:ascii="Calibri" w:hAnsi="Calibri"/>
          <w:color w:val="231F20"/>
          <w:w w:val="105"/>
          <w:sz w:val="17"/>
        </w:rPr>
        <w:t>entramos</w:t>
      </w:r>
      <w:r>
        <w:rPr>
          <w:rFonts w:ascii="Calibri" w:hAnsi="Calibri"/>
          <w:color w:val="231F20"/>
          <w:spacing w:val="-11"/>
          <w:w w:val="105"/>
          <w:sz w:val="17"/>
        </w:rPr>
        <w:t> </w:t>
      </w:r>
      <w:r>
        <w:rPr>
          <w:rFonts w:ascii="Calibri" w:hAnsi="Calibri"/>
          <w:color w:val="231F20"/>
          <w:w w:val="105"/>
          <w:sz w:val="17"/>
        </w:rPr>
        <w:t>en</w:t>
      </w:r>
      <w:r>
        <w:rPr>
          <w:rFonts w:ascii="Calibri" w:hAnsi="Calibri"/>
          <w:color w:val="231F20"/>
          <w:spacing w:val="-11"/>
          <w:w w:val="105"/>
          <w:sz w:val="17"/>
        </w:rPr>
        <w:t> </w:t>
      </w:r>
      <w:r>
        <w:rPr>
          <w:rFonts w:ascii="Calibri" w:hAnsi="Calibri"/>
          <w:color w:val="231F20"/>
          <w:w w:val="105"/>
          <w:sz w:val="17"/>
        </w:rPr>
        <w:t>simbiosis</w:t>
      </w:r>
      <w:r>
        <w:rPr>
          <w:rFonts w:ascii="Calibri" w:hAnsi="Calibri"/>
          <w:color w:val="231F20"/>
          <w:spacing w:val="-11"/>
          <w:w w:val="105"/>
          <w:sz w:val="17"/>
        </w:rPr>
        <w:t> </w:t>
      </w:r>
      <w:r>
        <w:rPr>
          <w:rFonts w:ascii="Calibri" w:hAnsi="Calibri"/>
          <w:color w:val="231F20"/>
          <w:w w:val="105"/>
          <w:sz w:val="17"/>
        </w:rPr>
        <w:t>con</w:t>
      </w:r>
      <w:r>
        <w:rPr>
          <w:rFonts w:ascii="Calibri" w:hAnsi="Calibri"/>
          <w:color w:val="231F20"/>
          <w:spacing w:val="-11"/>
          <w:w w:val="105"/>
          <w:sz w:val="17"/>
        </w:rPr>
        <w:t> </w:t>
      </w:r>
      <w:r>
        <w:rPr>
          <w:rFonts w:ascii="Calibri" w:hAnsi="Calibri"/>
          <w:color w:val="231F20"/>
          <w:w w:val="105"/>
          <w:sz w:val="17"/>
        </w:rPr>
        <w:t>ellos,</w:t>
      </w:r>
      <w:r>
        <w:rPr>
          <w:rFonts w:ascii="Calibri" w:hAnsi="Calibri"/>
          <w:color w:val="231F20"/>
          <w:spacing w:val="-11"/>
          <w:w w:val="105"/>
          <w:sz w:val="17"/>
        </w:rPr>
        <w:t> </w:t>
      </w:r>
      <w:r>
        <w:rPr>
          <w:rFonts w:ascii="Calibri" w:hAnsi="Calibri"/>
          <w:color w:val="231F20"/>
          <w:w w:val="105"/>
          <w:sz w:val="17"/>
        </w:rPr>
        <w:t>hacemos marcas</w:t>
      </w:r>
      <w:r>
        <w:rPr>
          <w:rFonts w:ascii="Calibri" w:hAnsi="Calibri"/>
          <w:color w:val="231F20"/>
          <w:spacing w:val="-6"/>
          <w:w w:val="105"/>
          <w:sz w:val="17"/>
        </w:rPr>
        <w:t> </w:t>
      </w:r>
      <w:r>
        <w:rPr>
          <w:rFonts w:ascii="Calibri" w:hAnsi="Calibri"/>
          <w:color w:val="231F20"/>
          <w:w w:val="105"/>
          <w:sz w:val="17"/>
        </w:rPr>
        <w:t>y</w:t>
      </w:r>
      <w:r>
        <w:rPr>
          <w:rFonts w:ascii="Calibri" w:hAnsi="Calibri"/>
          <w:color w:val="231F20"/>
          <w:spacing w:val="-5"/>
          <w:w w:val="105"/>
          <w:sz w:val="17"/>
        </w:rPr>
        <w:t> </w:t>
      </w:r>
      <w:r>
        <w:rPr>
          <w:rFonts w:ascii="Calibri" w:hAnsi="Calibri"/>
          <w:color w:val="231F20"/>
          <w:w w:val="105"/>
          <w:sz w:val="17"/>
        </w:rPr>
        <w:t>trazos</w:t>
      </w:r>
      <w:r>
        <w:rPr>
          <w:rFonts w:ascii="Calibri" w:hAnsi="Calibri"/>
          <w:color w:val="231F20"/>
          <w:spacing w:val="-5"/>
          <w:w w:val="105"/>
          <w:sz w:val="17"/>
        </w:rPr>
        <w:t> </w:t>
      </w:r>
      <w:r>
        <w:rPr>
          <w:rFonts w:ascii="Calibri" w:hAnsi="Calibri"/>
          <w:color w:val="231F20"/>
          <w:w w:val="105"/>
          <w:sz w:val="17"/>
        </w:rPr>
        <w:t>sobre</w:t>
      </w:r>
      <w:r>
        <w:rPr>
          <w:rFonts w:ascii="Calibri" w:hAnsi="Calibri"/>
          <w:color w:val="231F20"/>
          <w:spacing w:val="-5"/>
          <w:w w:val="105"/>
          <w:sz w:val="17"/>
        </w:rPr>
        <w:t> </w:t>
      </w:r>
      <w:r>
        <w:rPr>
          <w:rFonts w:ascii="Calibri" w:hAnsi="Calibri"/>
          <w:color w:val="231F20"/>
          <w:w w:val="105"/>
          <w:sz w:val="17"/>
        </w:rPr>
        <w:t>ellos,</w:t>
      </w:r>
      <w:r>
        <w:rPr>
          <w:rFonts w:ascii="Calibri" w:hAnsi="Calibri"/>
          <w:color w:val="231F20"/>
          <w:spacing w:val="-5"/>
          <w:w w:val="105"/>
          <w:sz w:val="17"/>
        </w:rPr>
        <w:t> </w:t>
      </w:r>
      <w:r>
        <w:rPr>
          <w:rFonts w:ascii="Calibri" w:hAnsi="Calibri"/>
          <w:color w:val="231F20"/>
          <w:w w:val="105"/>
          <w:sz w:val="17"/>
        </w:rPr>
        <w:t>los</w:t>
      </w:r>
      <w:r>
        <w:rPr>
          <w:rFonts w:ascii="Calibri" w:hAnsi="Calibri"/>
          <w:color w:val="231F20"/>
          <w:spacing w:val="-5"/>
          <w:w w:val="105"/>
          <w:sz w:val="17"/>
        </w:rPr>
        <w:t> </w:t>
      </w:r>
      <w:r>
        <w:rPr>
          <w:rFonts w:ascii="Calibri" w:hAnsi="Calibri"/>
          <w:color w:val="231F20"/>
          <w:w w:val="105"/>
          <w:sz w:val="17"/>
        </w:rPr>
        <w:t>organizamos</w:t>
      </w:r>
      <w:r>
        <w:rPr>
          <w:rFonts w:ascii="Calibri" w:hAnsi="Calibri"/>
          <w:color w:val="231F20"/>
          <w:spacing w:val="-6"/>
          <w:w w:val="105"/>
          <w:sz w:val="17"/>
        </w:rPr>
        <w:t> </w:t>
      </w:r>
      <w:r>
        <w:rPr>
          <w:rFonts w:ascii="Calibri" w:hAnsi="Calibri"/>
          <w:color w:val="231F20"/>
          <w:w w:val="105"/>
          <w:sz w:val="17"/>
        </w:rPr>
        <w:t>y</w:t>
      </w:r>
      <w:r>
        <w:rPr>
          <w:rFonts w:ascii="Calibri" w:hAnsi="Calibri"/>
          <w:color w:val="231F20"/>
          <w:spacing w:val="-5"/>
          <w:w w:val="105"/>
          <w:sz w:val="17"/>
        </w:rPr>
        <w:t> </w:t>
      </w:r>
      <w:r>
        <w:rPr>
          <w:rFonts w:ascii="Calibri" w:hAnsi="Calibri"/>
          <w:color w:val="231F20"/>
          <w:w w:val="105"/>
          <w:sz w:val="17"/>
        </w:rPr>
        <w:t>desorganizamos</w:t>
      </w:r>
      <w:r>
        <w:rPr>
          <w:rFonts w:ascii="Calibri" w:hAnsi="Calibri"/>
          <w:color w:val="231F20"/>
          <w:spacing w:val="-5"/>
          <w:w w:val="105"/>
          <w:sz w:val="17"/>
        </w:rPr>
        <w:t> </w:t>
      </w:r>
      <w:r>
        <w:rPr>
          <w:rFonts w:ascii="Calibri" w:hAnsi="Calibri"/>
          <w:color w:val="231F20"/>
          <w:w w:val="105"/>
          <w:sz w:val="17"/>
        </w:rPr>
        <w:t>de</w:t>
      </w:r>
      <w:r>
        <w:rPr>
          <w:rFonts w:ascii="Calibri" w:hAnsi="Calibri"/>
          <w:color w:val="231F20"/>
          <w:spacing w:val="-5"/>
          <w:w w:val="105"/>
          <w:sz w:val="17"/>
        </w:rPr>
        <w:t> </w:t>
      </w:r>
      <w:r>
        <w:rPr>
          <w:rFonts w:ascii="Calibri" w:hAnsi="Calibri"/>
          <w:color w:val="231F20"/>
          <w:w w:val="105"/>
          <w:sz w:val="17"/>
        </w:rPr>
        <w:t>cierta</w:t>
      </w:r>
      <w:r>
        <w:rPr>
          <w:rFonts w:ascii="Calibri" w:hAnsi="Calibri"/>
          <w:color w:val="231F20"/>
          <w:spacing w:val="-5"/>
          <w:w w:val="105"/>
          <w:sz w:val="17"/>
        </w:rPr>
        <w:t> </w:t>
      </w:r>
      <w:r>
        <w:rPr>
          <w:rFonts w:ascii="Calibri" w:hAnsi="Calibri"/>
          <w:color w:val="231F20"/>
          <w:w w:val="105"/>
          <w:sz w:val="17"/>
        </w:rPr>
        <w:t>forma,</w:t>
      </w:r>
      <w:r>
        <w:rPr>
          <w:rFonts w:ascii="Calibri" w:hAnsi="Calibri"/>
          <w:color w:val="231F20"/>
          <w:spacing w:val="-5"/>
          <w:w w:val="105"/>
          <w:sz w:val="17"/>
        </w:rPr>
        <w:t> </w:t>
      </w:r>
      <w:r>
        <w:rPr>
          <w:rFonts w:ascii="Calibri" w:hAnsi="Calibri"/>
          <w:color w:val="231F20"/>
          <w:w w:val="105"/>
          <w:sz w:val="17"/>
        </w:rPr>
        <w:t>de</w:t>
      </w:r>
      <w:r>
        <w:rPr>
          <w:rFonts w:ascii="Calibri" w:hAnsi="Calibri"/>
          <w:color w:val="231F20"/>
          <w:spacing w:val="-5"/>
          <w:w w:val="105"/>
          <w:sz w:val="17"/>
        </w:rPr>
        <w:t> </w:t>
      </w:r>
      <w:r>
        <w:rPr>
          <w:rFonts w:ascii="Calibri" w:hAnsi="Calibri"/>
          <w:color w:val="231F20"/>
          <w:w w:val="105"/>
          <w:sz w:val="17"/>
        </w:rPr>
        <w:t>la</w:t>
      </w:r>
      <w:r>
        <w:rPr>
          <w:rFonts w:ascii="Calibri" w:hAnsi="Calibri"/>
          <w:color w:val="231F20"/>
          <w:spacing w:val="-5"/>
          <w:w w:val="105"/>
          <w:sz w:val="17"/>
        </w:rPr>
        <w:t> </w:t>
      </w:r>
      <w:r>
        <w:rPr>
          <w:rFonts w:ascii="Calibri" w:hAnsi="Calibri"/>
          <w:color w:val="231F20"/>
          <w:w w:val="105"/>
          <w:sz w:val="17"/>
        </w:rPr>
        <w:t>misma</w:t>
      </w:r>
      <w:r>
        <w:rPr>
          <w:rFonts w:ascii="Calibri" w:hAnsi="Calibri"/>
          <w:color w:val="231F20"/>
          <w:spacing w:val="-5"/>
          <w:w w:val="105"/>
          <w:sz w:val="17"/>
        </w:rPr>
        <w:t> </w:t>
      </w:r>
      <w:r>
        <w:rPr>
          <w:rFonts w:ascii="Calibri" w:hAnsi="Calibri"/>
          <w:color w:val="231F20"/>
          <w:w w:val="105"/>
          <w:sz w:val="17"/>
        </w:rPr>
        <w:t>ma- nera</w:t>
      </w:r>
      <w:r>
        <w:rPr>
          <w:rFonts w:ascii="Calibri" w:hAnsi="Calibri"/>
          <w:color w:val="231F20"/>
          <w:spacing w:val="-15"/>
          <w:w w:val="105"/>
          <w:sz w:val="17"/>
        </w:rPr>
        <w:t> </w:t>
      </w:r>
      <w:r>
        <w:rPr>
          <w:rFonts w:ascii="Calibri" w:hAnsi="Calibri"/>
          <w:color w:val="231F20"/>
          <w:w w:val="105"/>
          <w:sz w:val="17"/>
        </w:rPr>
        <w:t>que</w:t>
      </w:r>
      <w:r>
        <w:rPr>
          <w:rFonts w:ascii="Calibri" w:hAnsi="Calibri"/>
          <w:color w:val="231F20"/>
          <w:spacing w:val="-15"/>
          <w:w w:val="105"/>
          <w:sz w:val="17"/>
        </w:rPr>
        <w:t> </w:t>
      </w:r>
      <w:r>
        <w:rPr>
          <w:rFonts w:ascii="Calibri" w:hAnsi="Calibri"/>
          <w:color w:val="231F20"/>
          <w:w w:val="105"/>
          <w:sz w:val="17"/>
        </w:rPr>
        <w:t>tratamos</w:t>
      </w:r>
      <w:r>
        <w:rPr>
          <w:rFonts w:ascii="Calibri" w:hAnsi="Calibri"/>
          <w:color w:val="231F20"/>
          <w:spacing w:val="-15"/>
          <w:w w:val="105"/>
          <w:sz w:val="17"/>
        </w:rPr>
        <w:t> </w:t>
      </w:r>
      <w:r>
        <w:rPr>
          <w:rFonts w:ascii="Calibri" w:hAnsi="Calibri"/>
          <w:color w:val="231F20"/>
          <w:w w:val="105"/>
          <w:sz w:val="17"/>
        </w:rPr>
        <w:t>de</w:t>
      </w:r>
      <w:r>
        <w:rPr>
          <w:rFonts w:ascii="Calibri" w:hAnsi="Calibri"/>
          <w:color w:val="231F20"/>
          <w:spacing w:val="-15"/>
          <w:w w:val="105"/>
          <w:sz w:val="17"/>
        </w:rPr>
        <w:t> </w:t>
      </w:r>
      <w:r>
        <w:rPr>
          <w:rFonts w:ascii="Calibri" w:hAnsi="Calibri"/>
          <w:color w:val="231F20"/>
          <w:w w:val="105"/>
          <w:sz w:val="17"/>
        </w:rPr>
        <w:t>hacer</w:t>
      </w:r>
      <w:r>
        <w:rPr>
          <w:rFonts w:ascii="Calibri" w:hAnsi="Calibri"/>
          <w:color w:val="231F20"/>
          <w:spacing w:val="-15"/>
          <w:w w:val="105"/>
          <w:sz w:val="17"/>
        </w:rPr>
        <w:t> </w:t>
      </w:r>
      <w:r>
        <w:rPr>
          <w:rFonts w:ascii="Calibri" w:hAnsi="Calibri"/>
          <w:color w:val="231F20"/>
          <w:w w:val="105"/>
          <w:sz w:val="17"/>
        </w:rPr>
        <w:t>familiar</w:t>
      </w:r>
      <w:r>
        <w:rPr>
          <w:rFonts w:ascii="Calibri" w:hAnsi="Calibri"/>
          <w:color w:val="231F20"/>
          <w:spacing w:val="-15"/>
          <w:w w:val="105"/>
          <w:sz w:val="17"/>
        </w:rPr>
        <w:t> </w:t>
      </w:r>
      <w:r>
        <w:rPr>
          <w:rFonts w:ascii="Calibri" w:hAnsi="Calibri"/>
          <w:color w:val="231F20"/>
          <w:w w:val="105"/>
          <w:sz w:val="17"/>
        </w:rPr>
        <w:t>un</w:t>
      </w:r>
      <w:r>
        <w:rPr>
          <w:rFonts w:ascii="Calibri" w:hAnsi="Calibri"/>
          <w:color w:val="231F20"/>
          <w:spacing w:val="-15"/>
          <w:w w:val="105"/>
          <w:sz w:val="17"/>
        </w:rPr>
        <w:t> </w:t>
      </w:r>
      <w:r>
        <w:rPr>
          <w:rFonts w:ascii="Calibri" w:hAnsi="Calibri"/>
          <w:color w:val="231F20"/>
          <w:w w:val="105"/>
          <w:sz w:val="17"/>
        </w:rPr>
        <w:t>territorio.</w:t>
      </w:r>
    </w:p>
    <w:p>
      <w:pPr>
        <w:pStyle w:val="BodyText"/>
        <w:rPr>
          <w:rFonts w:ascii="Calibri"/>
          <w:sz w:val="20"/>
        </w:rPr>
      </w:pPr>
    </w:p>
    <w:p>
      <w:pPr>
        <w:pStyle w:val="BodyText"/>
        <w:spacing w:before="10"/>
        <w:rPr>
          <w:rFonts w:ascii="Calibri"/>
          <w:sz w:val="27"/>
        </w:rPr>
      </w:pPr>
    </w:p>
    <w:p>
      <w:pPr>
        <w:tabs>
          <w:tab w:pos="1331" w:val="left" w:leader="none"/>
        </w:tabs>
        <w:spacing w:before="68"/>
        <w:ind w:left="281" w:right="0" w:firstLine="0"/>
        <w:jc w:val="left"/>
        <w:rPr>
          <w:rFonts w:ascii="Calibri" w:hAnsi="Calibri"/>
          <w:sz w:val="16"/>
        </w:rPr>
      </w:pPr>
      <w:r>
        <w:rPr/>
        <w:pict>
          <v:group style="position:absolute;margin-left:98.787804pt;margin-top:-3.358812pt;width:20.4pt;height:43pt;mso-position-horizontal-relative:page;mso-position-vertical-relative:paragraph;z-index:-170776"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hAnsi="Arial"/>
          <w:color w:val="414042"/>
          <w:position w:val="-4"/>
          <w:sz w:val="20"/>
        </w:rPr>
        <w:t>80</w:t>
        <w:tab/>
      </w:r>
      <w:r>
        <w:rPr>
          <w:rFonts w:ascii="Calibri" w:hAnsi="Calibri"/>
          <w:color w:val="6D6E71"/>
          <w:sz w:val="16"/>
        </w:rPr>
        <w:t>María Luisa Bacarlett</w:t>
      </w:r>
      <w:r>
        <w:rPr>
          <w:rFonts w:ascii="Calibri" w:hAnsi="Calibri"/>
          <w:color w:val="6D6E71"/>
          <w:spacing w:val="33"/>
          <w:sz w:val="16"/>
        </w:rPr>
        <w:t> </w:t>
      </w:r>
      <w:r>
        <w:rPr>
          <w:rFonts w:ascii="Calibri" w:hAnsi="Calibri"/>
          <w:color w:val="6D6E71"/>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335" w:right="0" w:firstLine="0"/>
        <w:jc w:val="left"/>
        <w:rPr>
          <w:rFonts w:ascii="Arial" w:hAnsi="Arial"/>
          <w:sz w:val="20"/>
        </w:rPr>
      </w:pPr>
      <w:r>
        <w:rPr/>
        <w:pict>
          <v:group style="position:absolute;margin-left:383.821014pt;margin-top:-25.479271pt;width:8.65pt;height:41pt;mso-position-horizontal-relative:page;mso-position-vertical-relative:paragraph;z-index:-17072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NATURALIZAR</w:t>
      </w:r>
      <w:r>
        <w:rPr>
          <w:rFonts w:ascii="Lucida Sans Unicode" w:hAnsi="Lucida Sans Unicode"/>
          <w:color w:val="6D6E71"/>
          <w:spacing w:val="-19"/>
          <w:w w:val="95"/>
          <w:sz w:val="14"/>
        </w:rPr>
        <w:t> </w:t>
      </w:r>
      <w:r>
        <w:rPr>
          <w:rFonts w:ascii="Lucida Sans Unicode" w:hAnsi="Lucida Sans Unicode"/>
          <w:color w:val="6D6E71"/>
          <w:w w:val="95"/>
          <w:sz w:val="14"/>
        </w:rPr>
        <w:t>LAS</w:t>
      </w:r>
      <w:r>
        <w:rPr>
          <w:rFonts w:ascii="Lucida Sans Unicode" w:hAnsi="Lucida Sans Unicode"/>
          <w:color w:val="6D6E71"/>
          <w:spacing w:val="-19"/>
          <w:w w:val="95"/>
          <w:sz w:val="14"/>
        </w:rPr>
        <w:t> </w:t>
      </w:r>
      <w:r>
        <w:rPr>
          <w:rFonts w:ascii="Lucida Sans Unicode" w:hAnsi="Lucida Sans Unicode"/>
          <w:color w:val="6D6E71"/>
          <w:w w:val="95"/>
          <w:sz w:val="14"/>
        </w:rPr>
        <w:t>PARADOJAS:</w:t>
      </w:r>
      <w:r>
        <w:rPr>
          <w:rFonts w:ascii="Lucida Sans Unicode" w:hAnsi="Lucida Sans Unicode"/>
          <w:color w:val="6D6E71"/>
          <w:spacing w:val="-19"/>
          <w:w w:val="95"/>
          <w:sz w:val="14"/>
        </w:rPr>
        <w:t> </w:t>
      </w:r>
      <w:r>
        <w:rPr>
          <w:rFonts w:ascii="Lucida Sans Unicode" w:hAnsi="Lucida Sans Unicode"/>
          <w:color w:val="6D6E71"/>
          <w:w w:val="95"/>
          <w:sz w:val="14"/>
        </w:rPr>
        <w:t>UN</w:t>
      </w:r>
      <w:r>
        <w:rPr>
          <w:rFonts w:ascii="Lucida Sans Unicode" w:hAnsi="Lucida Sans Unicode"/>
          <w:color w:val="6D6E71"/>
          <w:spacing w:val="-19"/>
          <w:w w:val="95"/>
          <w:sz w:val="14"/>
        </w:rPr>
        <w:t> </w:t>
      </w:r>
      <w:r>
        <w:rPr>
          <w:rFonts w:ascii="Lucida Sans Unicode" w:hAnsi="Lucida Sans Unicode"/>
          <w:color w:val="6D6E71"/>
          <w:w w:val="95"/>
          <w:sz w:val="14"/>
        </w:rPr>
        <w:t>ACERCAMIENTO</w:t>
      </w:r>
      <w:r>
        <w:rPr>
          <w:rFonts w:ascii="Lucida Sans Unicode" w:hAnsi="Lucida Sans Unicode"/>
          <w:color w:val="6D6E71"/>
          <w:spacing w:val="-19"/>
          <w:w w:val="95"/>
          <w:sz w:val="14"/>
        </w:rPr>
        <w:t> </w:t>
      </w:r>
      <w:r>
        <w:rPr>
          <w:rFonts w:ascii="Lucida Sans Unicode" w:hAnsi="Lucida Sans Unicode"/>
          <w:color w:val="6D6E71"/>
          <w:w w:val="95"/>
          <w:sz w:val="14"/>
        </w:rPr>
        <w:t>A</w:t>
      </w:r>
      <w:r>
        <w:rPr>
          <w:rFonts w:ascii="Lucida Sans Unicode" w:hAnsi="Lucida Sans Unicode"/>
          <w:color w:val="6D6E71"/>
          <w:spacing w:val="-19"/>
          <w:w w:val="95"/>
          <w:sz w:val="14"/>
        </w:rPr>
        <w:t> </w:t>
      </w:r>
      <w:r>
        <w:rPr>
          <w:rFonts w:ascii="Lucida Sans Unicode" w:hAnsi="Lucida Sans Unicode"/>
          <w:color w:val="6D6E71"/>
          <w:w w:val="95"/>
          <w:sz w:val="14"/>
        </w:rPr>
        <w:t>LA</w:t>
      </w:r>
      <w:r>
        <w:rPr>
          <w:rFonts w:ascii="Lucida Sans Unicode" w:hAnsi="Lucida Sans Unicode"/>
          <w:color w:val="6D6E71"/>
          <w:spacing w:val="-19"/>
          <w:w w:val="95"/>
          <w:sz w:val="14"/>
        </w:rPr>
        <w:t> </w:t>
      </w:r>
      <w:r>
        <w:rPr>
          <w:rFonts w:ascii="Lucida Sans Unicode" w:hAnsi="Lucida Sans Unicode"/>
          <w:color w:val="6D6E71"/>
          <w:w w:val="95"/>
          <w:sz w:val="14"/>
        </w:rPr>
        <w:t>GLOBALIZACIÓN</w:t>
      </w:r>
      <w:r>
        <w:rPr>
          <w:rFonts w:ascii="Lucida Sans Unicode" w:hAnsi="Lucida Sans Unicode"/>
          <w:color w:val="6D6E71"/>
          <w:spacing w:val="-19"/>
          <w:w w:val="95"/>
          <w:sz w:val="14"/>
        </w:rPr>
        <w:t> </w:t>
      </w:r>
      <w:r>
        <w:rPr>
          <w:rFonts w:ascii="Lucida Sans Unicode" w:hAnsi="Lucida Sans Unicode"/>
          <w:color w:val="6D6E71"/>
          <w:w w:val="95"/>
          <w:sz w:val="14"/>
        </w:rPr>
        <w:t>DESDE</w:t>
      </w:r>
      <w:r>
        <w:rPr>
          <w:rFonts w:ascii="Lucida Sans Unicode" w:hAnsi="Lucida Sans Unicode"/>
          <w:color w:val="6D6E71"/>
          <w:spacing w:val="-19"/>
          <w:w w:val="95"/>
          <w:sz w:val="14"/>
        </w:rPr>
        <w:t> </w:t>
      </w:r>
      <w:r>
        <w:rPr>
          <w:rFonts w:ascii="Lucida Sans Unicode" w:hAnsi="Lucida Sans Unicode"/>
          <w:color w:val="6D6E71"/>
          <w:w w:val="95"/>
          <w:sz w:val="14"/>
        </w:rPr>
        <w:t>GILLES</w:t>
      </w:r>
      <w:r>
        <w:rPr>
          <w:rFonts w:ascii="Lucida Sans Unicode" w:hAnsi="Lucida Sans Unicode"/>
          <w:color w:val="6D6E71"/>
          <w:spacing w:val="-19"/>
          <w:w w:val="95"/>
          <w:sz w:val="14"/>
        </w:rPr>
        <w:t> </w:t>
      </w:r>
      <w:r>
        <w:rPr>
          <w:rFonts w:ascii="Lucida Sans Unicode" w:hAnsi="Lucida Sans Unicode"/>
          <w:color w:val="6D6E71"/>
          <w:w w:val="95"/>
          <w:sz w:val="14"/>
        </w:rPr>
        <w:t>DELEUZE</w:t>
      </w:r>
      <w:r>
        <w:rPr>
          <w:rFonts w:ascii="Arial" w:hAnsi="Arial"/>
          <w:color w:val="414042"/>
          <w:w w:val="95"/>
          <w:position w:val="-3"/>
          <w:sz w:val="20"/>
        </w:rPr>
        <w:tab/>
        <w:t>81</w:t>
      </w:r>
    </w:p>
    <w:p>
      <w:pPr>
        <w:pStyle w:val="BodyText"/>
        <w:rPr>
          <w:rFonts w:ascii="Arial"/>
          <w:sz w:val="20"/>
        </w:rPr>
      </w:pPr>
    </w:p>
    <w:p>
      <w:pPr>
        <w:pStyle w:val="BodyText"/>
        <w:rPr>
          <w:rFonts w:ascii="Arial"/>
          <w:sz w:val="20"/>
        </w:rPr>
      </w:pPr>
    </w:p>
    <w:p>
      <w:pPr>
        <w:spacing w:line="220" w:lineRule="exact" w:before="177"/>
        <w:ind w:left="1534" w:right="101" w:firstLine="0"/>
        <w:jc w:val="both"/>
        <w:rPr>
          <w:sz w:val="19"/>
        </w:rPr>
      </w:pPr>
      <w:r>
        <w:rPr>
          <w:color w:val="231F20"/>
          <w:sz w:val="19"/>
        </w:rPr>
        <w:t>y geométricas que huyen de todas partes. Es como con la cues- tión del indeterminismo en física: se realiza una “puesta en </w:t>
      </w:r>
      <w:r>
        <w:rPr>
          <w:color w:val="231F20"/>
          <w:spacing w:val="-4"/>
          <w:sz w:val="19"/>
        </w:rPr>
        <w:t>or- </w:t>
      </w:r>
      <w:r>
        <w:rPr>
          <w:color w:val="231F20"/>
          <w:sz w:val="19"/>
        </w:rPr>
        <w:t>den” para reconciliarla con el determinismo físico. Las escrituras matemáticas</w:t>
      </w:r>
      <w:r>
        <w:rPr>
          <w:color w:val="231F20"/>
          <w:spacing w:val="-8"/>
          <w:sz w:val="19"/>
        </w:rPr>
        <w:t> </w:t>
      </w:r>
      <w:r>
        <w:rPr>
          <w:color w:val="231F20"/>
          <w:sz w:val="19"/>
        </w:rPr>
        <w:t>se</w:t>
      </w:r>
      <w:r>
        <w:rPr>
          <w:color w:val="231F20"/>
          <w:spacing w:val="-8"/>
          <w:sz w:val="19"/>
        </w:rPr>
        <w:t> </w:t>
      </w:r>
      <w:r>
        <w:rPr>
          <w:color w:val="231F20"/>
          <w:sz w:val="19"/>
        </w:rPr>
        <w:t>hacen</w:t>
      </w:r>
      <w:r>
        <w:rPr>
          <w:color w:val="231F20"/>
          <w:spacing w:val="-8"/>
          <w:sz w:val="19"/>
        </w:rPr>
        <w:t> </w:t>
      </w:r>
      <w:r>
        <w:rPr>
          <w:color w:val="231F20"/>
          <w:sz w:val="19"/>
        </w:rPr>
        <w:t>axiomatizar,</w:t>
      </w:r>
      <w:r>
        <w:rPr>
          <w:color w:val="231F20"/>
          <w:spacing w:val="-8"/>
          <w:sz w:val="19"/>
        </w:rPr>
        <w:t> </w:t>
      </w:r>
      <w:r>
        <w:rPr>
          <w:color w:val="231F20"/>
          <w:sz w:val="19"/>
        </w:rPr>
        <w:t>es</w:t>
      </w:r>
      <w:r>
        <w:rPr>
          <w:color w:val="231F20"/>
          <w:spacing w:val="-8"/>
          <w:sz w:val="19"/>
        </w:rPr>
        <w:t> </w:t>
      </w:r>
      <w:r>
        <w:rPr>
          <w:color w:val="231F20"/>
          <w:spacing w:val="-3"/>
          <w:sz w:val="19"/>
        </w:rPr>
        <w:t>decir,</w:t>
      </w:r>
      <w:r>
        <w:rPr>
          <w:color w:val="231F20"/>
          <w:spacing w:val="-8"/>
          <w:sz w:val="19"/>
        </w:rPr>
        <w:t> </w:t>
      </w:r>
      <w:r>
        <w:rPr>
          <w:color w:val="231F20"/>
          <w:sz w:val="19"/>
        </w:rPr>
        <w:t>re–estratificar,</w:t>
      </w:r>
      <w:r>
        <w:rPr>
          <w:color w:val="231F20"/>
          <w:spacing w:val="-8"/>
          <w:sz w:val="19"/>
        </w:rPr>
        <w:t> </w:t>
      </w:r>
      <w:r>
        <w:rPr>
          <w:color w:val="231F20"/>
          <w:sz w:val="19"/>
        </w:rPr>
        <w:t>re–se- miotizar;</w:t>
      </w:r>
      <w:r>
        <w:rPr>
          <w:color w:val="231F20"/>
          <w:spacing w:val="-5"/>
          <w:sz w:val="19"/>
        </w:rPr>
        <w:t> </w:t>
      </w:r>
      <w:r>
        <w:rPr>
          <w:color w:val="231F20"/>
          <w:sz w:val="19"/>
        </w:rPr>
        <w:t>los</w:t>
      </w:r>
      <w:r>
        <w:rPr>
          <w:color w:val="231F20"/>
          <w:spacing w:val="-5"/>
          <w:sz w:val="19"/>
        </w:rPr>
        <w:t> </w:t>
      </w:r>
      <w:r>
        <w:rPr>
          <w:color w:val="231F20"/>
          <w:sz w:val="19"/>
        </w:rPr>
        <w:t>flujos</w:t>
      </w:r>
      <w:r>
        <w:rPr>
          <w:color w:val="231F20"/>
          <w:spacing w:val="-5"/>
          <w:sz w:val="19"/>
        </w:rPr>
        <w:t> </w:t>
      </w:r>
      <w:r>
        <w:rPr>
          <w:color w:val="231F20"/>
          <w:sz w:val="19"/>
        </w:rPr>
        <w:t>materiales</w:t>
      </w:r>
      <w:r>
        <w:rPr>
          <w:color w:val="231F20"/>
          <w:spacing w:val="-5"/>
          <w:sz w:val="19"/>
        </w:rPr>
        <w:t> </w:t>
      </w:r>
      <w:r>
        <w:rPr>
          <w:color w:val="231F20"/>
          <w:sz w:val="19"/>
        </w:rPr>
        <w:t>se</w:t>
      </w:r>
      <w:r>
        <w:rPr>
          <w:color w:val="231F20"/>
          <w:spacing w:val="-5"/>
          <w:sz w:val="19"/>
        </w:rPr>
        <w:t> </w:t>
      </w:r>
      <w:r>
        <w:rPr>
          <w:color w:val="231F20"/>
          <w:sz w:val="19"/>
        </w:rPr>
        <w:t>hacen</w:t>
      </w:r>
      <w:r>
        <w:rPr>
          <w:color w:val="231F20"/>
          <w:spacing w:val="-5"/>
          <w:sz w:val="19"/>
        </w:rPr>
        <w:t> </w:t>
      </w:r>
      <w:r>
        <w:rPr>
          <w:color w:val="231F20"/>
          <w:sz w:val="19"/>
        </w:rPr>
        <w:t>re–fisicalizar.</w:t>
      </w:r>
      <w:r>
        <w:rPr>
          <w:color w:val="231F20"/>
          <w:spacing w:val="-5"/>
          <w:sz w:val="19"/>
        </w:rPr>
        <w:t> </w:t>
      </w:r>
      <w:r>
        <w:rPr>
          <w:color w:val="231F20"/>
          <w:sz w:val="19"/>
        </w:rPr>
        <w:t>Es</w:t>
      </w:r>
      <w:r>
        <w:rPr>
          <w:color w:val="231F20"/>
          <w:spacing w:val="-5"/>
          <w:sz w:val="19"/>
        </w:rPr>
        <w:t> </w:t>
      </w:r>
      <w:r>
        <w:rPr>
          <w:color w:val="231F20"/>
          <w:sz w:val="19"/>
        </w:rPr>
        <w:t>una</w:t>
      </w:r>
      <w:r>
        <w:rPr>
          <w:color w:val="231F20"/>
          <w:spacing w:val="-5"/>
          <w:sz w:val="19"/>
        </w:rPr>
        <w:t> </w:t>
      </w:r>
      <w:r>
        <w:rPr>
          <w:color w:val="231F20"/>
          <w:sz w:val="19"/>
        </w:rPr>
        <w:t>cues- tión tanto de política como de ciencia: la ciencia no debe devenir loca… Hilbert y de Broglie fueron hombres políticos tanto como científicos: han puesto</w:t>
      </w:r>
      <w:r>
        <w:rPr>
          <w:color w:val="231F20"/>
          <w:spacing w:val="-8"/>
          <w:sz w:val="19"/>
        </w:rPr>
        <w:t> </w:t>
      </w:r>
      <w:r>
        <w:rPr>
          <w:color w:val="231F20"/>
          <w:sz w:val="19"/>
        </w:rPr>
        <w:t>orden</w:t>
      </w:r>
      <w:r>
        <w:rPr>
          <w:color w:val="231F20"/>
          <w:position w:val="6"/>
          <w:sz w:val="11"/>
        </w:rPr>
        <w:t>37</w:t>
      </w:r>
      <w:r>
        <w:rPr>
          <w:color w:val="231F20"/>
          <w:sz w:val="19"/>
        </w:rPr>
        <w:t>.</w:t>
      </w:r>
    </w:p>
    <w:p>
      <w:pPr>
        <w:pStyle w:val="BodyText"/>
        <w:spacing w:before="11"/>
        <w:rPr>
          <w:sz w:val="23"/>
        </w:rPr>
      </w:pPr>
    </w:p>
    <w:p>
      <w:pPr>
        <w:pStyle w:val="BodyText"/>
        <w:spacing w:line="247" w:lineRule="auto"/>
        <w:ind w:left="117" w:right="101"/>
        <w:jc w:val="both"/>
      </w:pPr>
      <w:r>
        <w:rPr>
          <w:color w:val="231F20"/>
        </w:rPr>
        <w:t>Los axiomas funcionan como las hipótesis </w:t>
      </w:r>
      <w:r>
        <w:rPr>
          <w:rFonts w:ascii="Arial" w:hAnsi="Arial"/>
          <w:i/>
          <w:color w:val="231F20"/>
        </w:rPr>
        <w:t>ad hoc </w:t>
      </w:r>
      <w:r>
        <w:rPr>
          <w:color w:val="231F20"/>
        </w:rPr>
        <w:t>en epistemología: si</w:t>
      </w:r>
      <w:r>
        <w:rPr>
          <w:color w:val="231F20"/>
          <w:spacing w:val="-13"/>
        </w:rPr>
        <w:t> </w:t>
      </w:r>
      <w:r>
        <w:rPr>
          <w:color w:val="231F20"/>
        </w:rPr>
        <w:t>algo no se ajusta a la teoría, se introduce una pequeña modificación en</w:t>
      </w:r>
      <w:r>
        <w:rPr>
          <w:color w:val="231F20"/>
          <w:spacing w:val="-44"/>
        </w:rPr>
        <w:t> </w:t>
      </w:r>
      <w:r>
        <w:rPr>
          <w:color w:val="231F20"/>
        </w:rPr>
        <w:t>algunos enunciados secundarios para que las cosas tengan sentido y las teorías no se caigan</w:t>
      </w:r>
      <w:r>
        <w:rPr>
          <w:color w:val="231F20"/>
          <w:position w:val="7"/>
          <w:sz w:val="12"/>
        </w:rPr>
        <w:t>38</w:t>
      </w:r>
      <w:r>
        <w:rPr>
          <w:color w:val="231F20"/>
        </w:rPr>
        <w:t>. El capitalismo actúa de manera semejante, carece de funda- mentos y de principios permanentes, se sustenta más bien en un conjunto de</w:t>
      </w:r>
      <w:r>
        <w:rPr>
          <w:color w:val="231F20"/>
          <w:spacing w:val="-7"/>
        </w:rPr>
        <w:t> </w:t>
      </w:r>
      <w:r>
        <w:rPr>
          <w:color w:val="231F20"/>
        </w:rPr>
        <w:t>axiomas</w:t>
      </w:r>
      <w:r>
        <w:rPr>
          <w:color w:val="231F20"/>
          <w:spacing w:val="-7"/>
        </w:rPr>
        <w:t> </w:t>
      </w:r>
      <w:r>
        <w:rPr>
          <w:color w:val="231F20"/>
        </w:rPr>
        <w:t>que</w:t>
      </w:r>
      <w:r>
        <w:rPr>
          <w:color w:val="231F20"/>
          <w:spacing w:val="-7"/>
        </w:rPr>
        <w:t> </w:t>
      </w:r>
      <w:r>
        <w:rPr>
          <w:color w:val="231F20"/>
        </w:rPr>
        <w:t>son</w:t>
      </w:r>
      <w:r>
        <w:rPr>
          <w:color w:val="231F20"/>
          <w:spacing w:val="-7"/>
        </w:rPr>
        <w:t> </w:t>
      </w:r>
      <w:r>
        <w:rPr>
          <w:color w:val="231F20"/>
        </w:rPr>
        <w:t>modificables</w:t>
      </w:r>
      <w:r>
        <w:rPr>
          <w:color w:val="231F20"/>
          <w:spacing w:val="-7"/>
        </w:rPr>
        <w:t> </w:t>
      </w:r>
      <w:r>
        <w:rPr>
          <w:color w:val="231F20"/>
        </w:rPr>
        <w:t>y</w:t>
      </w:r>
      <w:r>
        <w:rPr>
          <w:color w:val="231F20"/>
          <w:spacing w:val="-7"/>
        </w:rPr>
        <w:t> </w:t>
      </w:r>
      <w:r>
        <w:rPr>
          <w:color w:val="231F20"/>
        </w:rPr>
        <w:t>ajustables</w:t>
      </w:r>
      <w:r>
        <w:rPr>
          <w:color w:val="231F20"/>
          <w:spacing w:val="-7"/>
        </w:rPr>
        <w:t> </w:t>
      </w:r>
      <w:r>
        <w:rPr>
          <w:color w:val="231F20"/>
        </w:rPr>
        <w:t>según</w:t>
      </w:r>
      <w:r>
        <w:rPr>
          <w:color w:val="231F20"/>
          <w:spacing w:val="-7"/>
        </w:rPr>
        <w:t> </w:t>
      </w:r>
      <w:r>
        <w:rPr>
          <w:color w:val="231F20"/>
        </w:rPr>
        <w:t>el</w:t>
      </w:r>
      <w:r>
        <w:rPr>
          <w:color w:val="231F20"/>
          <w:spacing w:val="-7"/>
        </w:rPr>
        <w:t> </w:t>
      </w:r>
      <w:r>
        <w:rPr>
          <w:color w:val="231F20"/>
        </w:rPr>
        <w:t>escenario,</w:t>
      </w:r>
      <w:r>
        <w:rPr>
          <w:color w:val="231F20"/>
          <w:spacing w:val="-7"/>
        </w:rPr>
        <w:t> </w:t>
      </w:r>
      <w:r>
        <w:rPr>
          <w:color w:val="231F20"/>
        </w:rPr>
        <w:t>lo</w:t>
      </w:r>
      <w:r>
        <w:rPr>
          <w:color w:val="231F20"/>
          <w:spacing w:val="-7"/>
        </w:rPr>
        <w:t> </w:t>
      </w:r>
      <w:r>
        <w:rPr>
          <w:color w:val="231F20"/>
        </w:rPr>
        <w:t>impor- tante es que la situación no </w:t>
      </w:r>
      <w:r>
        <w:rPr>
          <w:rFonts w:ascii="Arial" w:hAnsi="Arial"/>
          <w:i/>
          <w:color w:val="231F20"/>
        </w:rPr>
        <w:t>devenga loca</w:t>
      </w:r>
      <w:r>
        <w:rPr>
          <w:color w:val="231F20"/>
        </w:rPr>
        <w:t>, sino que pueda ser comprendi- da tarde o temprano dentro del orden. Ahora bien, para poner orden no  es necesario crear ni principios ni códigos permanentes, no es necesario territorializar de manera rígida para que todas las demás desterritorializa- ciones se detengan en su juego loco. Lo innovador de la lógica capitalista es que no intenta detener las desterritorializaciones de lo local, de las tri- bus y gestos particulares, con una territorialización o un modelo universal, sino precisamente las ataca con un gesto igualmente diverso: produciendo una desterritorialización sin </w:t>
      </w:r>
      <w:r>
        <w:rPr>
          <w:color w:val="231F20"/>
          <w:spacing w:val="-4"/>
        </w:rPr>
        <w:t>parar, </w:t>
      </w:r>
      <w:r>
        <w:rPr>
          <w:color w:val="231F20"/>
        </w:rPr>
        <w:t>un juego igualmente</w:t>
      </w:r>
      <w:r>
        <w:rPr>
          <w:color w:val="231F20"/>
          <w:spacing w:val="10"/>
        </w:rPr>
        <w:t> </w:t>
      </w:r>
      <w:r>
        <w:rPr>
          <w:color w:val="231F20"/>
        </w:rPr>
        <w:t>loco.</w:t>
      </w:r>
    </w:p>
    <w:p>
      <w:pPr>
        <w:pStyle w:val="BodyText"/>
        <w:spacing w:line="247" w:lineRule="auto"/>
        <w:ind w:left="117" w:right="101" w:firstLine="566"/>
        <w:jc w:val="both"/>
      </w:pPr>
      <w:r>
        <w:rPr>
          <w:color w:val="231F20"/>
        </w:rPr>
        <w:t>No hay forma de vida que no se exprese como una forma de territo- rialización</w:t>
      </w:r>
      <w:r>
        <w:rPr>
          <w:color w:val="231F20"/>
          <w:spacing w:val="-11"/>
        </w:rPr>
        <w:t> </w:t>
      </w:r>
      <w:r>
        <w:rPr>
          <w:color w:val="231F20"/>
        </w:rPr>
        <w:t>sobre</w:t>
      </w:r>
      <w:r>
        <w:rPr>
          <w:color w:val="231F20"/>
          <w:spacing w:val="-11"/>
        </w:rPr>
        <w:t> </w:t>
      </w:r>
      <w:r>
        <w:rPr>
          <w:color w:val="231F20"/>
        </w:rPr>
        <w:t>la</w:t>
      </w:r>
      <w:r>
        <w:rPr>
          <w:color w:val="231F20"/>
          <w:spacing w:val="-11"/>
        </w:rPr>
        <w:t> </w:t>
      </w:r>
      <w:r>
        <w:rPr>
          <w:color w:val="231F20"/>
        </w:rPr>
        <w:t>Tierra,</w:t>
      </w:r>
      <w:r>
        <w:rPr>
          <w:color w:val="231F20"/>
          <w:spacing w:val="-11"/>
        </w:rPr>
        <w:t> </w:t>
      </w:r>
      <w:r>
        <w:rPr>
          <w:color w:val="231F20"/>
        </w:rPr>
        <w:t>la</w:t>
      </w:r>
      <w:r>
        <w:rPr>
          <w:color w:val="231F20"/>
          <w:spacing w:val="-11"/>
        </w:rPr>
        <w:t> </w:t>
      </w:r>
      <w:r>
        <w:rPr>
          <w:color w:val="231F20"/>
        </w:rPr>
        <w:t>Tierra</w:t>
      </w:r>
      <w:r>
        <w:rPr>
          <w:color w:val="231F20"/>
          <w:spacing w:val="-11"/>
        </w:rPr>
        <w:t> </w:t>
      </w:r>
      <w:r>
        <w:rPr>
          <w:color w:val="231F20"/>
        </w:rPr>
        <w:t>sería</w:t>
      </w:r>
      <w:r>
        <w:rPr>
          <w:color w:val="231F20"/>
          <w:spacing w:val="-11"/>
        </w:rPr>
        <w:t> </w:t>
      </w:r>
      <w:r>
        <w:rPr>
          <w:color w:val="231F20"/>
        </w:rPr>
        <w:t>ese</w:t>
      </w:r>
      <w:r>
        <w:rPr>
          <w:color w:val="231F20"/>
          <w:spacing w:val="-11"/>
        </w:rPr>
        <w:t> </w:t>
      </w:r>
      <w:r>
        <w:rPr>
          <w:color w:val="231F20"/>
        </w:rPr>
        <w:t>gran</w:t>
      </w:r>
      <w:r>
        <w:rPr>
          <w:color w:val="231F20"/>
          <w:spacing w:val="-11"/>
        </w:rPr>
        <w:t> </w:t>
      </w:r>
      <w:r>
        <w:rPr>
          <w:color w:val="231F20"/>
        </w:rPr>
        <w:t>espacio</w:t>
      </w:r>
      <w:r>
        <w:rPr>
          <w:color w:val="231F20"/>
          <w:spacing w:val="-11"/>
        </w:rPr>
        <w:t> </w:t>
      </w:r>
      <w:r>
        <w:rPr>
          <w:color w:val="231F20"/>
        </w:rPr>
        <w:t>sobre</w:t>
      </w:r>
      <w:r>
        <w:rPr>
          <w:color w:val="231F20"/>
          <w:spacing w:val="-11"/>
        </w:rPr>
        <w:t> </w:t>
      </w:r>
      <w:r>
        <w:rPr>
          <w:color w:val="231F20"/>
        </w:rPr>
        <w:t>el</w:t>
      </w:r>
      <w:r>
        <w:rPr>
          <w:color w:val="231F20"/>
          <w:spacing w:val="-11"/>
        </w:rPr>
        <w:t> </w:t>
      </w:r>
      <w:r>
        <w:rPr>
          <w:color w:val="231F20"/>
        </w:rPr>
        <w:t>cual</w:t>
      </w:r>
      <w:r>
        <w:rPr>
          <w:color w:val="231F20"/>
          <w:spacing w:val="-11"/>
        </w:rPr>
        <w:t> </w:t>
      </w:r>
      <w:r>
        <w:rPr>
          <w:color w:val="231F20"/>
        </w:rPr>
        <w:t>toda forma de vida se crea un territorio. Ahora bien, la Tierra no es en realidad ningún territorio, es más bien la posibilidad de todo territorio, es aquello que Deleuze llama </w:t>
      </w:r>
      <w:r>
        <w:rPr>
          <w:rFonts w:ascii="Arial" w:hAnsi="Arial"/>
          <w:i/>
          <w:color w:val="231F20"/>
        </w:rPr>
        <w:t>la desterritorializada</w:t>
      </w:r>
      <w:r>
        <w:rPr>
          <w:color w:val="231F20"/>
        </w:rPr>
        <w:t>, pues en ella no hay un territorio ni una forma de vida en sí, sino la posibilidad de que las particularidades  y singularidades existan siempre de manera plural y dinámica, interconec- tándose, territorializando y desterritorializando: “[…] la Tierra es pues la Desterritorializada, ella es inseparable de un proceso de desterritorializa- ción que es su movimiento aberrante […]: las multiplicidades la pueblan, las singularidades se conectan, los procesos o los devenires se</w:t>
      </w:r>
      <w:r>
        <w:rPr>
          <w:color w:val="231F20"/>
          <w:spacing w:val="-37"/>
        </w:rPr>
        <w:t> </w:t>
      </w:r>
      <w:r>
        <w:rPr>
          <w:color w:val="231F20"/>
        </w:rPr>
        <w:t>desarrollan, las intensidades suben o descienden”</w:t>
      </w:r>
      <w:r>
        <w:rPr>
          <w:color w:val="231F20"/>
          <w:position w:val="7"/>
          <w:sz w:val="12"/>
        </w:rPr>
        <w:t>39</w:t>
      </w:r>
      <w:r>
        <w:rPr>
          <w:color w:val="231F20"/>
        </w:rPr>
        <w:t>. Lo peculiar del capitalismo es que éste no se ha implantado en la Tierra como un proceso más de </w:t>
      </w:r>
      <w:r>
        <w:rPr>
          <w:color w:val="231F20"/>
          <w:spacing w:val="53"/>
        </w:rPr>
        <w:t> </w:t>
      </w:r>
      <w:r>
        <w:rPr>
          <w:color w:val="231F20"/>
        </w:rPr>
        <w:t>territoria-</w:t>
      </w:r>
    </w:p>
    <w:p>
      <w:pPr>
        <w:pStyle w:val="BodyText"/>
        <w:rPr>
          <w:sz w:val="20"/>
        </w:rPr>
      </w:pPr>
    </w:p>
    <w:p>
      <w:pPr>
        <w:pStyle w:val="BodyText"/>
        <w:rPr>
          <w:sz w:val="20"/>
        </w:rPr>
      </w:pPr>
    </w:p>
    <w:p>
      <w:pPr>
        <w:pStyle w:val="BodyText"/>
        <w:spacing w:before="8"/>
        <w:rPr>
          <w:sz w:val="13"/>
        </w:rPr>
      </w:pPr>
      <w:r>
        <w:rPr/>
        <w:pict>
          <v:line style="position:absolute;mso-position-horizontal-relative:page;mso-position-vertical-relative:paragraph;z-index:4648;mso-wrap-distance-left:0;mso-wrap-distance-right:0" from="70.866096pt,10.393157pt" to="184.252096pt,10.393157pt" stroked="true" strokeweight=".3pt" strokecolor="#231f20">
            <w10:wrap type="topAndBottom"/>
          </v:line>
        </w:pict>
      </w:r>
    </w:p>
    <w:p>
      <w:pPr>
        <w:spacing w:line="206" w:lineRule="exact" w:before="10"/>
        <w:ind w:left="117" w:right="0" w:firstLine="0"/>
        <w:jc w:val="left"/>
        <w:rPr>
          <w:rFonts w:ascii="Calibri"/>
          <w:sz w:val="17"/>
        </w:rPr>
      </w:pPr>
      <w:r>
        <w:rPr>
          <w:rFonts w:ascii="Calibri"/>
          <w:color w:val="231F20"/>
          <w:position w:val="6"/>
          <w:sz w:val="10"/>
        </w:rPr>
        <w:t>37 </w:t>
      </w:r>
      <w:r>
        <w:rPr>
          <w:rFonts w:ascii="Calibri"/>
          <w:color w:val="231F20"/>
          <w:sz w:val="17"/>
        </w:rPr>
        <w:t>Deleuze y Guattari, </w:t>
      </w:r>
      <w:r>
        <w:rPr>
          <w:rFonts w:ascii="Calibri"/>
          <w:i/>
          <w:color w:val="231F20"/>
          <w:sz w:val="17"/>
        </w:rPr>
        <w:t>Mille plateaux</w:t>
      </w:r>
      <w:r>
        <w:rPr>
          <w:rFonts w:ascii="Calibri"/>
          <w:color w:val="231F20"/>
          <w:sz w:val="17"/>
        </w:rPr>
        <w:t>, p. 179.</w:t>
      </w:r>
    </w:p>
    <w:p>
      <w:pPr>
        <w:spacing w:line="235" w:lineRule="auto" w:before="1"/>
        <w:ind w:left="117" w:right="1" w:firstLine="0"/>
        <w:jc w:val="left"/>
        <w:rPr>
          <w:rFonts w:ascii="Calibri" w:hAnsi="Calibri"/>
          <w:sz w:val="17"/>
        </w:rPr>
      </w:pPr>
      <w:r>
        <w:rPr>
          <w:rFonts w:ascii="Calibri" w:hAnsi="Calibri"/>
          <w:color w:val="231F20"/>
          <w:position w:val="6"/>
          <w:sz w:val="10"/>
        </w:rPr>
        <w:t>38 </w:t>
      </w:r>
      <w:r>
        <w:rPr>
          <w:rFonts w:ascii="Calibri" w:hAnsi="Calibri"/>
          <w:color w:val="231F20"/>
          <w:sz w:val="17"/>
        </w:rPr>
        <w:t>De acuerdo con Imre Lakatos, las hipótesis </w:t>
      </w:r>
      <w:r>
        <w:rPr>
          <w:rFonts w:ascii="Calibri" w:hAnsi="Calibri"/>
          <w:i/>
          <w:color w:val="231F20"/>
          <w:sz w:val="17"/>
        </w:rPr>
        <w:t>ad hoc </w:t>
      </w:r>
      <w:r>
        <w:rPr>
          <w:rFonts w:ascii="Calibri" w:hAnsi="Calibri"/>
          <w:color w:val="231F20"/>
          <w:sz w:val="17"/>
        </w:rPr>
        <w:t>son aquellas que pueden </w:t>
      </w:r>
      <w:r>
        <w:rPr>
          <w:rFonts w:ascii="Calibri" w:hAnsi="Calibri"/>
          <w:color w:val="231F20"/>
          <w:spacing w:val="-2"/>
          <w:sz w:val="17"/>
        </w:rPr>
        <w:t>introducirse </w:t>
      </w:r>
      <w:r>
        <w:rPr>
          <w:rFonts w:ascii="Calibri" w:hAnsi="Calibri"/>
          <w:color w:val="231F20"/>
          <w:sz w:val="17"/>
        </w:rPr>
        <w:t>expresa- mente para evitar que una teoría sea </w:t>
      </w:r>
      <w:r>
        <w:rPr>
          <w:rFonts w:ascii="Calibri" w:hAnsi="Calibri"/>
          <w:color w:val="231F20"/>
          <w:spacing w:val="-3"/>
          <w:sz w:val="17"/>
        </w:rPr>
        <w:t>falseada </w:t>
      </w:r>
      <w:r>
        <w:rPr>
          <w:rFonts w:ascii="Calibri" w:hAnsi="Calibri"/>
          <w:color w:val="231F20"/>
          <w:sz w:val="17"/>
        </w:rPr>
        <w:t>o para ajustar de manera más coherente a la teoría </w:t>
      </w:r>
      <w:r>
        <w:rPr>
          <w:rFonts w:ascii="Calibri" w:hAnsi="Calibri"/>
          <w:color w:val="231F20"/>
          <w:spacing w:val="-2"/>
          <w:sz w:val="17"/>
        </w:rPr>
        <w:t>con </w:t>
      </w:r>
      <w:r>
        <w:rPr>
          <w:rFonts w:ascii="Calibri" w:hAnsi="Calibri"/>
          <w:color w:val="231F20"/>
          <w:sz w:val="17"/>
        </w:rPr>
        <w:t>los hechos. </w:t>
      </w:r>
      <w:r>
        <w:rPr>
          <w:rFonts w:ascii="Calibri" w:hAnsi="Calibri"/>
          <w:i/>
          <w:color w:val="231F20"/>
          <w:sz w:val="17"/>
        </w:rPr>
        <w:t>Cfr. </w:t>
      </w:r>
      <w:r>
        <w:rPr>
          <w:rFonts w:ascii="Calibri" w:hAnsi="Calibri"/>
          <w:i/>
          <w:color w:val="231F20"/>
          <w:spacing w:val="-3"/>
          <w:sz w:val="17"/>
        </w:rPr>
        <w:t>Escritos </w:t>
      </w:r>
      <w:r>
        <w:rPr>
          <w:rFonts w:ascii="Calibri" w:hAnsi="Calibri"/>
          <w:i/>
          <w:color w:val="231F20"/>
          <w:sz w:val="17"/>
        </w:rPr>
        <w:t>filosóficos I. </w:t>
      </w:r>
      <w:r>
        <w:rPr>
          <w:rFonts w:ascii="Calibri" w:hAnsi="Calibri"/>
          <w:i/>
          <w:color w:val="231F20"/>
          <w:spacing w:val="-2"/>
          <w:sz w:val="17"/>
        </w:rPr>
        <w:t>Los </w:t>
      </w:r>
      <w:r>
        <w:rPr>
          <w:rFonts w:ascii="Calibri" w:hAnsi="Calibri"/>
          <w:i/>
          <w:color w:val="231F20"/>
          <w:spacing w:val="-3"/>
          <w:sz w:val="17"/>
        </w:rPr>
        <w:t>programas </w:t>
      </w:r>
      <w:r>
        <w:rPr>
          <w:rFonts w:ascii="Calibri" w:hAnsi="Calibri"/>
          <w:i/>
          <w:color w:val="231F20"/>
          <w:sz w:val="17"/>
        </w:rPr>
        <w:t>de </w:t>
      </w:r>
      <w:r>
        <w:rPr>
          <w:rFonts w:ascii="Calibri" w:hAnsi="Calibri"/>
          <w:i/>
          <w:color w:val="231F20"/>
          <w:spacing w:val="-3"/>
          <w:sz w:val="17"/>
        </w:rPr>
        <w:t>investigación </w:t>
      </w:r>
      <w:r>
        <w:rPr>
          <w:rFonts w:ascii="Calibri" w:hAnsi="Calibri"/>
          <w:i/>
          <w:color w:val="231F20"/>
          <w:sz w:val="17"/>
        </w:rPr>
        <w:t>científica</w:t>
      </w:r>
      <w:r>
        <w:rPr>
          <w:rFonts w:ascii="Calibri" w:hAnsi="Calibri"/>
          <w:color w:val="231F20"/>
          <w:sz w:val="17"/>
        </w:rPr>
        <w:t>, Madrid, Alianza,</w:t>
      </w:r>
      <w:r>
        <w:rPr>
          <w:rFonts w:ascii="Calibri" w:hAnsi="Calibri"/>
          <w:color w:val="231F20"/>
          <w:spacing w:val="-5"/>
          <w:sz w:val="17"/>
        </w:rPr>
        <w:t> 2007. </w:t>
      </w:r>
      <w:r>
        <w:rPr>
          <w:rFonts w:ascii="Calibri" w:hAnsi="Calibri"/>
          <w:color w:val="231F20"/>
          <w:position w:val="6"/>
          <w:sz w:val="10"/>
        </w:rPr>
        <w:t>39 </w:t>
      </w:r>
      <w:r>
        <w:rPr>
          <w:rFonts w:ascii="Calibri" w:hAnsi="Calibri"/>
          <w:color w:val="231F20"/>
          <w:spacing w:val="-9"/>
          <w:position w:val="6"/>
          <w:sz w:val="10"/>
        </w:rPr>
        <w:t> </w:t>
      </w:r>
      <w:r>
        <w:rPr>
          <w:rFonts w:ascii="Calibri" w:hAnsi="Calibri"/>
          <w:color w:val="231F20"/>
          <w:sz w:val="17"/>
        </w:rPr>
        <w:t>Deleuze, </w:t>
      </w:r>
      <w:r>
        <w:rPr>
          <w:rFonts w:ascii="Calibri" w:hAnsi="Calibri"/>
          <w:i/>
          <w:color w:val="231F20"/>
          <w:sz w:val="17"/>
        </w:rPr>
        <w:t>Pourparlers, </w:t>
      </w:r>
      <w:r>
        <w:rPr>
          <w:rFonts w:ascii="Calibri" w:hAnsi="Calibri"/>
          <w:color w:val="231F20"/>
          <w:sz w:val="17"/>
        </w:rPr>
        <w:t>p. 201.</w:t>
      </w:r>
    </w:p>
    <w:p>
      <w:pPr>
        <w:spacing w:after="0" w:line="235" w:lineRule="auto"/>
        <w:jc w:val="left"/>
        <w:rPr>
          <w:rFonts w:ascii="Calibri" w:hAnsi="Calibri"/>
          <w:sz w:val="17"/>
        </w:rPr>
        <w:sectPr>
          <w:pgSz w:w="9640" w:h="13890"/>
          <w:pgMar w:top="0" w:bottom="280" w:left="1300" w:right="1200"/>
        </w:sectPr>
      </w:pPr>
    </w:p>
    <w:p>
      <w:pPr>
        <w:pStyle w:val="BodyText"/>
        <w:spacing w:line="247" w:lineRule="auto" w:before="107"/>
        <w:ind w:left="103" w:right="114"/>
        <w:jc w:val="both"/>
      </w:pPr>
      <w:r>
        <w:rPr>
          <w:color w:val="231F20"/>
        </w:rPr>
        <w:t>lización, sino precisamente ha puesto en marcha la estrategia contraria, emulando a la Tierra, su dinámica es la desterritorialización permanente.</w:t>
      </w:r>
    </w:p>
    <w:p>
      <w:pPr>
        <w:pStyle w:val="BodyText"/>
        <w:spacing w:before="10"/>
        <w:rPr>
          <w:sz w:val="22"/>
        </w:rPr>
      </w:pPr>
    </w:p>
    <w:p>
      <w:pPr>
        <w:spacing w:line="220" w:lineRule="exact" w:before="1"/>
        <w:ind w:left="1521" w:right="114" w:firstLine="0"/>
        <w:jc w:val="both"/>
        <w:rPr>
          <w:sz w:val="19"/>
        </w:rPr>
      </w:pPr>
      <w:r>
        <w:rPr>
          <w:color w:val="231F20"/>
          <w:sz w:val="19"/>
        </w:rPr>
        <w:t>El capitalismo es más bien aquello que desterritorializa la Tierra, pero para seguir y controlar los flujos de mercancías, de trabajo</w:t>
      </w:r>
      <w:r>
        <w:rPr>
          <w:color w:val="231F20"/>
          <w:spacing w:val="-30"/>
          <w:sz w:val="19"/>
        </w:rPr>
        <w:t> </w:t>
      </w:r>
      <w:r>
        <w:rPr>
          <w:color w:val="231F20"/>
          <w:sz w:val="19"/>
        </w:rPr>
        <w:t>y de dinero que se distribuyen sobre ella en todas las direcciones; esta desterritorialización generalizada, propia del capitalismo, no se realiza sin suscitar las reterritorializaciones más ficticias (fami- liarismo,</w:t>
      </w:r>
      <w:r>
        <w:rPr>
          <w:color w:val="231F20"/>
          <w:spacing w:val="-8"/>
          <w:sz w:val="19"/>
        </w:rPr>
        <w:t> </w:t>
      </w:r>
      <w:r>
        <w:rPr>
          <w:color w:val="231F20"/>
          <w:sz w:val="19"/>
        </w:rPr>
        <w:t>regionalismo,</w:t>
      </w:r>
      <w:r>
        <w:rPr>
          <w:color w:val="231F20"/>
          <w:spacing w:val="-8"/>
          <w:sz w:val="19"/>
        </w:rPr>
        <w:t> </w:t>
      </w:r>
      <w:r>
        <w:rPr>
          <w:color w:val="231F20"/>
          <w:sz w:val="19"/>
        </w:rPr>
        <w:t>regreso</w:t>
      </w:r>
      <w:r>
        <w:rPr>
          <w:color w:val="231F20"/>
          <w:spacing w:val="-8"/>
          <w:sz w:val="19"/>
        </w:rPr>
        <w:t> </w:t>
      </w:r>
      <w:r>
        <w:rPr>
          <w:color w:val="231F20"/>
          <w:sz w:val="19"/>
        </w:rPr>
        <w:t>a</w:t>
      </w:r>
      <w:r>
        <w:rPr>
          <w:color w:val="231F20"/>
          <w:spacing w:val="-8"/>
          <w:sz w:val="19"/>
        </w:rPr>
        <w:t> </w:t>
      </w:r>
      <w:r>
        <w:rPr>
          <w:color w:val="231F20"/>
          <w:sz w:val="19"/>
        </w:rPr>
        <w:t>las</w:t>
      </w:r>
      <w:r>
        <w:rPr>
          <w:color w:val="231F20"/>
          <w:spacing w:val="-8"/>
          <w:sz w:val="19"/>
        </w:rPr>
        <w:t> </w:t>
      </w:r>
      <w:r>
        <w:rPr>
          <w:color w:val="231F20"/>
          <w:sz w:val="19"/>
        </w:rPr>
        <w:t>tradiciones,</w:t>
      </w:r>
      <w:r>
        <w:rPr>
          <w:color w:val="231F20"/>
          <w:spacing w:val="-8"/>
          <w:sz w:val="19"/>
        </w:rPr>
        <w:t> </w:t>
      </w:r>
      <w:r>
        <w:rPr>
          <w:color w:val="231F20"/>
          <w:sz w:val="19"/>
        </w:rPr>
        <w:t>a</w:t>
      </w:r>
      <w:r>
        <w:rPr>
          <w:color w:val="231F20"/>
          <w:spacing w:val="-8"/>
          <w:sz w:val="19"/>
        </w:rPr>
        <w:t> </w:t>
      </w:r>
      <w:r>
        <w:rPr>
          <w:color w:val="231F20"/>
          <w:sz w:val="19"/>
        </w:rPr>
        <w:t>los</w:t>
      </w:r>
      <w:r>
        <w:rPr>
          <w:color w:val="231F20"/>
          <w:spacing w:val="-8"/>
          <w:sz w:val="19"/>
        </w:rPr>
        <w:t> </w:t>
      </w:r>
      <w:r>
        <w:rPr>
          <w:color w:val="231F20"/>
          <w:sz w:val="19"/>
        </w:rPr>
        <w:t>folklores)</w:t>
      </w:r>
      <w:r>
        <w:rPr>
          <w:color w:val="231F20"/>
          <w:position w:val="6"/>
          <w:sz w:val="11"/>
        </w:rPr>
        <w:t>40</w:t>
      </w:r>
      <w:r>
        <w:rPr>
          <w:color w:val="231F20"/>
          <w:sz w:val="19"/>
        </w:rPr>
        <w:t>.</w:t>
      </w:r>
    </w:p>
    <w:p>
      <w:pPr>
        <w:pStyle w:val="BodyText"/>
        <w:spacing w:before="11"/>
        <w:rPr>
          <w:sz w:val="23"/>
        </w:rPr>
      </w:pPr>
    </w:p>
    <w:p>
      <w:pPr>
        <w:pStyle w:val="BodyText"/>
        <w:spacing w:line="247" w:lineRule="auto"/>
        <w:ind w:left="103" w:right="115"/>
        <w:jc w:val="both"/>
      </w:pPr>
      <w:r>
        <w:rPr>
          <w:color w:val="231F20"/>
        </w:rPr>
        <w:t>No hay desterritorialización sin reterritorialización, la efectividad del ca- pitalismo, en particular de liberalismo, radica en que ha encontrado que  se puede gobernar y gestionar siguiendo los desplazamientos naturales  de las cosas, propiciando los flujos más que bloqueándolos; sin embargo, para realizar tal descodificación y desterritorialización puede valerse inclu- so de lo contrario, de codificaciones y territorializaciones, de la posibilidad de designar y establecer</w:t>
      </w:r>
      <w:r>
        <w:rPr>
          <w:color w:val="231F20"/>
          <w:spacing w:val="49"/>
        </w:rPr>
        <w:t> </w:t>
      </w:r>
      <w:r>
        <w:rPr>
          <w:color w:val="231F20"/>
        </w:rPr>
        <w:t>identidades.</w:t>
      </w:r>
    </w:p>
    <w:p>
      <w:pPr>
        <w:pStyle w:val="BodyText"/>
        <w:spacing w:before="5"/>
        <w:rPr>
          <w:sz w:val="24"/>
        </w:rPr>
      </w:pPr>
    </w:p>
    <w:p>
      <w:pPr>
        <w:spacing w:before="1"/>
        <w:ind w:left="103" w:right="0" w:firstLine="0"/>
        <w:jc w:val="both"/>
        <w:rPr>
          <w:rFonts w:ascii="Arial"/>
          <w:i/>
          <w:sz w:val="21"/>
        </w:rPr>
      </w:pPr>
      <w:r>
        <w:rPr>
          <w:rFonts w:ascii="Arial"/>
          <w:i/>
          <w:color w:val="231F20"/>
          <w:sz w:val="21"/>
        </w:rPr>
        <w:t>Paradojas ficticias vs. Paradojas radicales</w:t>
      </w:r>
    </w:p>
    <w:p>
      <w:pPr>
        <w:pStyle w:val="BodyText"/>
        <w:rPr>
          <w:rFonts w:ascii="Arial"/>
          <w:i/>
          <w:sz w:val="20"/>
        </w:rPr>
      </w:pPr>
    </w:p>
    <w:p>
      <w:pPr>
        <w:pStyle w:val="BodyText"/>
        <w:spacing w:line="244" w:lineRule="auto" w:before="172"/>
        <w:ind w:left="103" w:right="115"/>
        <w:jc w:val="both"/>
      </w:pPr>
      <w:r>
        <w:rPr>
          <w:color w:val="231F20"/>
        </w:rPr>
        <w:t>Como hemos visto, el capitalismo no responde a un código o a un funda- mento</w:t>
      </w:r>
      <w:r>
        <w:rPr>
          <w:color w:val="231F20"/>
          <w:spacing w:val="-7"/>
        </w:rPr>
        <w:t> </w:t>
      </w:r>
      <w:r>
        <w:rPr>
          <w:color w:val="231F20"/>
        </w:rPr>
        <w:t>fijo,</w:t>
      </w:r>
      <w:r>
        <w:rPr>
          <w:color w:val="231F20"/>
          <w:spacing w:val="-7"/>
        </w:rPr>
        <w:t> </w:t>
      </w:r>
      <w:r>
        <w:rPr>
          <w:color w:val="231F20"/>
        </w:rPr>
        <w:t>su</w:t>
      </w:r>
      <w:r>
        <w:rPr>
          <w:color w:val="231F20"/>
          <w:spacing w:val="-7"/>
        </w:rPr>
        <w:t> </w:t>
      </w:r>
      <w:r>
        <w:rPr>
          <w:color w:val="231F20"/>
        </w:rPr>
        <w:t>lógica</w:t>
      </w:r>
      <w:r>
        <w:rPr>
          <w:color w:val="231F20"/>
          <w:spacing w:val="-7"/>
        </w:rPr>
        <w:t> </w:t>
      </w:r>
      <w:r>
        <w:rPr>
          <w:color w:val="231F20"/>
        </w:rPr>
        <w:t>responde</w:t>
      </w:r>
      <w:r>
        <w:rPr>
          <w:color w:val="231F20"/>
          <w:spacing w:val="-7"/>
        </w:rPr>
        <w:t> </w:t>
      </w:r>
      <w:r>
        <w:rPr>
          <w:color w:val="231F20"/>
        </w:rPr>
        <w:t>a</w:t>
      </w:r>
      <w:r>
        <w:rPr>
          <w:color w:val="231F20"/>
          <w:spacing w:val="-7"/>
        </w:rPr>
        <w:t> </w:t>
      </w:r>
      <w:r>
        <w:rPr>
          <w:color w:val="231F20"/>
        </w:rPr>
        <w:t>una</w:t>
      </w:r>
      <w:r>
        <w:rPr>
          <w:color w:val="231F20"/>
          <w:spacing w:val="-7"/>
        </w:rPr>
        <w:t> </w:t>
      </w:r>
      <w:r>
        <w:rPr>
          <w:color w:val="231F20"/>
        </w:rPr>
        <w:t>desterritorialización</w:t>
      </w:r>
      <w:r>
        <w:rPr>
          <w:color w:val="231F20"/>
          <w:spacing w:val="-7"/>
        </w:rPr>
        <w:t> </w:t>
      </w:r>
      <w:r>
        <w:rPr>
          <w:color w:val="231F20"/>
        </w:rPr>
        <w:t>permanente,</w:t>
      </w:r>
      <w:r>
        <w:rPr>
          <w:color w:val="231F20"/>
          <w:spacing w:val="-7"/>
        </w:rPr>
        <w:t> </w:t>
      </w:r>
      <w:r>
        <w:rPr>
          <w:color w:val="231F20"/>
        </w:rPr>
        <w:t>pero en esta dinámica no rechaza la creación de códigos y reterritorializaciones de todo tipo: desde la familia hasta las tribus, desde lo más tradicional hasta lo más vanguardista, desde lo más clásico hasta lo más </w:t>
      </w:r>
      <w:r>
        <w:rPr>
          <w:rFonts w:ascii="Arial" w:hAnsi="Arial"/>
          <w:i/>
          <w:color w:val="231F20"/>
        </w:rPr>
        <w:t>kistch</w:t>
      </w:r>
      <w:r>
        <w:rPr>
          <w:color w:val="231F20"/>
        </w:rPr>
        <w:t>. Se muestra,</w:t>
      </w:r>
      <w:r>
        <w:rPr>
          <w:color w:val="231F20"/>
          <w:spacing w:val="-23"/>
        </w:rPr>
        <w:t> </w:t>
      </w:r>
      <w:r>
        <w:rPr>
          <w:color w:val="231F20"/>
        </w:rPr>
        <w:t>de</w:t>
      </w:r>
      <w:r>
        <w:rPr>
          <w:color w:val="231F20"/>
          <w:spacing w:val="-23"/>
        </w:rPr>
        <w:t> </w:t>
      </w:r>
      <w:r>
        <w:rPr>
          <w:color w:val="231F20"/>
        </w:rPr>
        <w:t>manera</w:t>
      </w:r>
      <w:r>
        <w:rPr>
          <w:color w:val="231F20"/>
          <w:spacing w:val="-23"/>
        </w:rPr>
        <w:t> </w:t>
      </w:r>
      <w:r>
        <w:rPr>
          <w:color w:val="231F20"/>
        </w:rPr>
        <w:t>semejante</w:t>
      </w:r>
      <w:r>
        <w:rPr>
          <w:color w:val="231F20"/>
          <w:spacing w:val="-23"/>
        </w:rPr>
        <w:t> </w:t>
      </w:r>
      <w:r>
        <w:rPr>
          <w:color w:val="231F20"/>
        </w:rPr>
        <w:t>a</w:t>
      </w:r>
      <w:r>
        <w:rPr>
          <w:color w:val="231F20"/>
          <w:spacing w:val="-23"/>
        </w:rPr>
        <w:t> </w:t>
      </w:r>
      <w:r>
        <w:rPr>
          <w:color w:val="231F20"/>
        </w:rPr>
        <w:t>la</w:t>
      </w:r>
      <w:r>
        <w:rPr>
          <w:color w:val="231F20"/>
          <w:spacing w:val="-23"/>
        </w:rPr>
        <w:t> </w:t>
      </w:r>
      <w:r>
        <w:rPr>
          <w:rFonts w:ascii="Arial" w:hAnsi="Arial"/>
          <w:i/>
          <w:color w:val="231F20"/>
        </w:rPr>
        <w:t>gran</w:t>
      </w:r>
      <w:r>
        <w:rPr>
          <w:rFonts w:ascii="Arial" w:hAnsi="Arial"/>
          <w:i/>
          <w:color w:val="231F20"/>
          <w:spacing w:val="-16"/>
        </w:rPr>
        <w:t> </w:t>
      </w:r>
      <w:r>
        <w:rPr>
          <w:rFonts w:ascii="Arial" w:hAnsi="Arial"/>
          <w:i/>
          <w:color w:val="231F20"/>
        </w:rPr>
        <w:t>desterritorializada</w:t>
      </w:r>
      <w:r>
        <w:rPr>
          <w:rFonts w:ascii="Arial" w:hAnsi="Arial"/>
          <w:i/>
          <w:color w:val="231F20"/>
          <w:spacing w:val="-16"/>
        </w:rPr>
        <w:t> </w:t>
      </w:r>
      <w:r>
        <w:rPr>
          <w:color w:val="231F20"/>
        </w:rPr>
        <w:t>(la</w:t>
      </w:r>
      <w:r>
        <w:rPr>
          <w:color w:val="231F20"/>
          <w:spacing w:val="-23"/>
        </w:rPr>
        <w:t> </w:t>
      </w:r>
      <w:r>
        <w:rPr>
          <w:color w:val="231F20"/>
        </w:rPr>
        <w:t>Tierra),</w:t>
      </w:r>
      <w:r>
        <w:rPr>
          <w:color w:val="231F20"/>
          <w:spacing w:val="-23"/>
        </w:rPr>
        <w:t> </w:t>
      </w:r>
      <w:r>
        <w:rPr>
          <w:color w:val="231F20"/>
        </w:rPr>
        <w:t>como el suelo desde el cual es posible incluirlo y flexibilizarlo todo. Sin embargo, este gesto inclusivo termina eliminando la posibilidad de la diferencia</w:t>
      </w:r>
      <w:r>
        <w:rPr>
          <w:color w:val="231F20"/>
          <w:position w:val="7"/>
          <w:sz w:val="12"/>
        </w:rPr>
        <w:t>41</w:t>
      </w:r>
      <w:r>
        <w:rPr>
          <w:color w:val="231F20"/>
        </w:rPr>
        <w:t>,</w:t>
      </w:r>
      <w:r>
        <w:rPr>
          <w:color w:val="231F20"/>
          <w:spacing w:val="21"/>
        </w:rPr>
        <w:t> </w:t>
      </w:r>
      <w:r>
        <w:rPr>
          <w:color w:val="231F20"/>
        </w:rPr>
        <w:t>no</w:t>
      </w:r>
    </w:p>
    <w:p>
      <w:pPr>
        <w:pStyle w:val="BodyText"/>
        <w:spacing w:before="9"/>
        <w:rPr>
          <w:sz w:val="24"/>
        </w:rPr>
      </w:pPr>
      <w:r>
        <w:rPr/>
        <w:pict>
          <v:line style="position:absolute;mso-position-horizontal-relative:page;mso-position-vertical-relative:paragraph;z-index:4696;mso-wrap-distance-left:0;mso-wrap-distance-right:0" from="65.1968pt,17.07151pt" to="178.5828pt,17.07151pt" stroked="true" strokeweight=".3pt" strokecolor="#231f20">
            <w10:wrap type="topAndBottom"/>
          </v:line>
        </w:pict>
      </w:r>
    </w:p>
    <w:p>
      <w:pPr>
        <w:spacing w:line="206" w:lineRule="exact" w:before="10"/>
        <w:ind w:left="103" w:right="0" w:firstLine="0"/>
        <w:jc w:val="both"/>
        <w:rPr>
          <w:rFonts w:ascii="Calibri"/>
          <w:sz w:val="17"/>
        </w:rPr>
      </w:pPr>
      <w:r>
        <w:rPr>
          <w:rFonts w:ascii="Calibri"/>
          <w:color w:val="231F20"/>
          <w:position w:val="6"/>
          <w:sz w:val="10"/>
        </w:rPr>
        <w:t>40 </w:t>
      </w:r>
      <w:r>
        <w:rPr>
          <w:rFonts w:ascii="Calibri"/>
          <w:color w:val="231F20"/>
          <w:sz w:val="17"/>
        </w:rPr>
        <w:t>D. Lapoujade, </w:t>
      </w:r>
      <w:r>
        <w:rPr>
          <w:rFonts w:ascii="Calibri"/>
          <w:i/>
          <w:color w:val="231F20"/>
          <w:sz w:val="17"/>
        </w:rPr>
        <w:t>Deleuze, les mouvements aberrants</w:t>
      </w:r>
      <w:r>
        <w:rPr>
          <w:rFonts w:ascii="Calibri"/>
          <w:color w:val="231F20"/>
          <w:sz w:val="17"/>
        </w:rPr>
        <w:t>, Paris, Editions du Minuit, 2014, p. 41.</w:t>
      </w:r>
    </w:p>
    <w:p>
      <w:pPr>
        <w:spacing w:line="235" w:lineRule="auto" w:before="1"/>
        <w:ind w:left="103" w:right="114" w:firstLine="0"/>
        <w:jc w:val="both"/>
        <w:rPr>
          <w:rFonts w:ascii="Calibri" w:hAnsi="Calibri"/>
          <w:sz w:val="17"/>
        </w:rPr>
      </w:pPr>
      <w:r>
        <w:rPr>
          <w:rFonts w:ascii="Calibri" w:hAnsi="Calibri"/>
          <w:color w:val="231F20"/>
          <w:w w:val="105"/>
          <w:position w:val="6"/>
          <w:sz w:val="10"/>
        </w:rPr>
        <w:t>41</w:t>
      </w:r>
      <w:r>
        <w:rPr>
          <w:rFonts w:ascii="Calibri" w:hAnsi="Calibri"/>
          <w:color w:val="231F20"/>
          <w:spacing w:val="12"/>
          <w:w w:val="105"/>
          <w:position w:val="6"/>
          <w:sz w:val="10"/>
        </w:rPr>
        <w:t> </w:t>
      </w:r>
      <w:r>
        <w:rPr>
          <w:rFonts w:ascii="Calibri" w:hAnsi="Calibri"/>
          <w:color w:val="231F20"/>
          <w:w w:val="105"/>
          <w:sz w:val="17"/>
        </w:rPr>
        <w:t>La</w:t>
      </w:r>
      <w:r>
        <w:rPr>
          <w:rFonts w:ascii="Calibri" w:hAnsi="Calibri"/>
          <w:color w:val="231F20"/>
          <w:spacing w:val="-5"/>
          <w:w w:val="105"/>
          <w:sz w:val="17"/>
        </w:rPr>
        <w:t> </w:t>
      </w:r>
      <w:r>
        <w:rPr>
          <w:rFonts w:ascii="Calibri" w:hAnsi="Calibri"/>
          <w:i/>
          <w:color w:val="231F20"/>
          <w:w w:val="105"/>
          <w:sz w:val="17"/>
        </w:rPr>
        <w:t>diferencia</w:t>
      </w:r>
      <w:r>
        <w:rPr>
          <w:rFonts w:ascii="Calibri" w:hAnsi="Calibri"/>
          <w:i/>
          <w:color w:val="231F20"/>
          <w:spacing w:val="-5"/>
          <w:w w:val="105"/>
          <w:sz w:val="17"/>
        </w:rPr>
        <w:t> </w:t>
      </w:r>
      <w:r>
        <w:rPr>
          <w:rFonts w:ascii="Calibri" w:hAnsi="Calibri"/>
          <w:color w:val="231F20"/>
          <w:w w:val="105"/>
          <w:sz w:val="17"/>
        </w:rPr>
        <w:t>en</w:t>
      </w:r>
      <w:r>
        <w:rPr>
          <w:rFonts w:ascii="Calibri" w:hAnsi="Calibri"/>
          <w:color w:val="231F20"/>
          <w:spacing w:val="-5"/>
          <w:w w:val="105"/>
          <w:sz w:val="17"/>
        </w:rPr>
        <w:t> </w:t>
      </w:r>
      <w:r>
        <w:rPr>
          <w:rFonts w:ascii="Calibri" w:hAnsi="Calibri"/>
          <w:color w:val="231F20"/>
          <w:w w:val="105"/>
          <w:sz w:val="17"/>
        </w:rPr>
        <w:t>la</w:t>
      </w:r>
      <w:r>
        <w:rPr>
          <w:rFonts w:ascii="Calibri" w:hAnsi="Calibri"/>
          <w:color w:val="231F20"/>
          <w:spacing w:val="-5"/>
          <w:w w:val="105"/>
          <w:sz w:val="17"/>
        </w:rPr>
        <w:t> </w:t>
      </w:r>
      <w:r>
        <w:rPr>
          <w:rFonts w:ascii="Calibri" w:hAnsi="Calibri"/>
          <w:color w:val="231F20"/>
          <w:w w:val="105"/>
          <w:sz w:val="17"/>
        </w:rPr>
        <w:t>que</w:t>
      </w:r>
      <w:r>
        <w:rPr>
          <w:rFonts w:ascii="Calibri" w:hAnsi="Calibri"/>
          <w:color w:val="231F20"/>
          <w:spacing w:val="-5"/>
          <w:w w:val="105"/>
          <w:sz w:val="17"/>
        </w:rPr>
        <w:t> </w:t>
      </w:r>
      <w:r>
        <w:rPr>
          <w:rFonts w:ascii="Calibri" w:hAnsi="Calibri"/>
          <w:color w:val="231F20"/>
          <w:w w:val="105"/>
          <w:sz w:val="17"/>
        </w:rPr>
        <w:t>piensa</w:t>
      </w:r>
      <w:r>
        <w:rPr>
          <w:rFonts w:ascii="Calibri" w:hAnsi="Calibri"/>
          <w:color w:val="231F20"/>
          <w:spacing w:val="-5"/>
          <w:w w:val="105"/>
          <w:sz w:val="17"/>
        </w:rPr>
        <w:t> </w:t>
      </w:r>
      <w:r>
        <w:rPr>
          <w:rFonts w:ascii="Calibri" w:hAnsi="Calibri"/>
          <w:color w:val="231F20"/>
          <w:w w:val="105"/>
          <w:sz w:val="17"/>
        </w:rPr>
        <w:t>Deleuze</w:t>
      </w:r>
      <w:r>
        <w:rPr>
          <w:rFonts w:ascii="Calibri" w:hAnsi="Calibri"/>
          <w:color w:val="231F20"/>
          <w:spacing w:val="-5"/>
          <w:w w:val="105"/>
          <w:sz w:val="17"/>
        </w:rPr>
        <w:t> </w:t>
      </w:r>
      <w:r>
        <w:rPr>
          <w:rFonts w:ascii="Calibri" w:hAnsi="Calibri"/>
          <w:color w:val="231F20"/>
          <w:w w:val="105"/>
          <w:sz w:val="17"/>
        </w:rPr>
        <w:t>es</w:t>
      </w:r>
      <w:r>
        <w:rPr>
          <w:rFonts w:ascii="Calibri" w:hAnsi="Calibri"/>
          <w:color w:val="231F20"/>
          <w:spacing w:val="-5"/>
          <w:w w:val="105"/>
          <w:sz w:val="17"/>
        </w:rPr>
        <w:t> </w:t>
      </w:r>
      <w:r>
        <w:rPr>
          <w:rFonts w:ascii="Calibri" w:hAnsi="Calibri"/>
          <w:color w:val="231F20"/>
          <w:w w:val="105"/>
          <w:sz w:val="17"/>
        </w:rPr>
        <w:t>una</w:t>
      </w:r>
      <w:r>
        <w:rPr>
          <w:rFonts w:ascii="Calibri" w:hAnsi="Calibri"/>
          <w:color w:val="231F20"/>
          <w:spacing w:val="-5"/>
          <w:w w:val="105"/>
          <w:sz w:val="17"/>
        </w:rPr>
        <w:t> </w:t>
      </w:r>
      <w:r>
        <w:rPr>
          <w:rFonts w:ascii="Calibri" w:hAnsi="Calibri"/>
          <w:color w:val="231F20"/>
          <w:w w:val="105"/>
          <w:sz w:val="17"/>
        </w:rPr>
        <w:t>que</w:t>
      </w:r>
      <w:r>
        <w:rPr>
          <w:rFonts w:ascii="Calibri" w:hAnsi="Calibri"/>
          <w:color w:val="231F20"/>
          <w:spacing w:val="-5"/>
          <w:w w:val="105"/>
          <w:sz w:val="17"/>
        </w:rPr>
        <w:t> </w:t>
      </w:r>
      <w:r>
        <w:rPr>
          <w:rFonts w:ascii="Calibri" w:hAnsi="Calibri"/>
          <w:color w:val="231F20"/>
          <w:w w:val="105"/>
          <w:sz w:val="17"/>
        </w:rPr>
        <w:t>no</w:t>
      </w:r>
      <w:r>
        <w:rPr>
          <w:rFonts w:ascii="Calibri" w:hAnsi="Calibri"/>
          <w:color w:val="231F20"/>
          <w:spacing w:val="-5"/>
          <w:w w:val="105"/>
          <w:sz w:val="17"/>
        </w:rPr>
        <w:t> </w:t>
      </w:r>
      <w:r>
        <w:rPr>
          <w:rFonts w:ascii="Calibri" w:hAnsi="Calibri"/>
          <w:color w:val="231F20"/>
          <w:w w:val="105"/>
          <w:sz w:val="17"/>
        </w:rPr>
        <w:t>puede</w:t>
      </w:r>
      <w:r>
        <w:rPr>
          <w:rFonts w:ascii="Calibri" w:hAnsi="Calibri"/>
          <w:color w:val="231F20"/>
          <w:spacing w:val="-5"/>
          <w:w w:val="105"/>
          <w:sz w:val="17"/>
        </w:rPr>
        <w:t> </w:t>
      </w:r>
      <w:r>
        <w:rPr>
          <w:rFonts w:ascii="Calibri" w:hAnsi="Calibri"/>
          <w:color w:val="231F20"/>
          <w:w w:val="105"/>
          <w:sz w:val="17"/>
        </w:rPr>
        <w:t>establecerse</w:t>
      </w:r>
      <w:r>
        <w:rPr>
          <w:rFonts w:ascii="Calibri" w:hAnsi="Calibri"/>
          <w:color w:val="231F20"/>
          <w:spacing w:val="-5"/>
          <w:w w:val="105"/>
          <w:sz w:val="17"/>
        </w:rPr>
        <w:t> </w:t>
      </w:r>
      <w:r>
        <w:rPr>
          <w:rFonts w:ascii="Calibri" w:hAnsi="Calibri"/>
          <w:color w:val="231F20"/>
          <w:w w:val="105"/>
          <w:sz w:val="17"/>
        </w:rPr>
        <w:t>a</w:t>
      </w:r>
      <w:r>
        <w:rPr>
          <w:rFonts w:ascii="Calibri" w:hAnsi="Calibri"/>
          <w:color w:val="231F20"/>
          <w:spacing w:val="-5"/>
          <w:w w:val="105"/>
          <w:sz w:val="17"/>
        </w:rPr>
        <w:t> </w:t>
      </w:r>
      <w:r>
        <w:rPr>
          <w:rFonts w:ascii="Calibri" w:hAnsi="Calibri"/>
          <w:color w:val="231F20"/>
          <w:w w:val="105"/>
          <w:sz w:val="17"/>
        </w:rPr>
        <w:t>partir</w:t>
      </w:r>
      <w:r>
        <w:rPr>
          <w:rFonts w:ascii="Calibri" w:hAnsi="Calibri"/>
          <w:color w:val="231F20"/>
          <w:spacing w:val="-5"/>
          <w:w w:val="105"/>
          <w:sz w:val="17"/>
        </w:rPr>
        <w:t> </w:t>
      </w:r>
      <w:r>
        <w:rPr>
          <w:rFonts w:ascii="Calibri" w:hAnsi="Calibri"/>
          <w:color w:val="231F20"/>
          <w:w w:val="105"/>
          <w:sz w:val="17"/>
        </w:rPr>
        <w:t>de</w:t>
      </w:r>
      <w:r>
        <w:rPr>
          <w:rFonts w:ascii="Calibri" w:hAnsi="Calibri"/>
          <w:color w:val="231F20"/>
          <w:spacing w:val="-5"/>
          <w:w w:val="105"/>
          <w:sz w:val="17"/>
        </w:rPr>
        <w:t> </w:t>
      </w:r>
      <w:r>
        <w:rPr>
          <w:rFonts w:ascii="Calibri" w:hAnsi="Calibri"/>
          <w:color w:val="231F20"/>
          <w:w w:val="105"/>
          <w:sz w:val="17"/>
        </w:rPr>
        <w:t>un</w:t>
      </w:r>
      <w:r>
        <w:rPr>
          <w:rFonts w:ascii="Calibri" w:hAnsi="Calibri"/>
          <w:color w:val="231F20"/>
          <w:spacing w:val="-5"/>
          <w:w w:val="105"/>
          <w:sz w:val="17"/>
        </w:rPr>
        <w:t> </w:t>
      </w:r>
      <w:r>
        <w:rPr>
          <w:rFonts w:ascii="Calibri" w:hAnsi="Calibri"/>
          <w:color w:val="231F20"/>
          <w:w w:val="105"/>
          <w:sz w:val="17"/>
        </w:rPr>
        <w:t>origen, no es la desviación de un original que terminó desdoblándose o desvirtuándose; antes bien, la diferencia</w:t>
      </w:r>
      <w:r>
        <w:rPr>
          <w:rFonts w:ascii="Calibri" w:hAnsi="Calibri"/>
          <w:color w:val="231F20"/>
          <w:spacing w:val="-17"/>
          <w:w w:val="105"/>
          <w:sz w:val="17"/>
        </w:rPr>
        <w:t> </w:t>
      </w:r>
      <w:r>
        <w:rPr>
          <w:rFonts w:ascii="Calibri" w:hAnsi="Calibri"/>
          <w:color w:val="231F20"/>
          <w:w w:val="105"/>
          <w:sz w:val="17"/>
        </w:rPr>
        <w:t>es</w:t>
      </w:r>
      <w:r>
        <w:rPr>
          <w:rFonts w:ascii="Calibri" w:hAnsi="Calibri"/>
          <w:color w:val="231F20"/>
          <w:spacing w:val="-17"/>
          <w:w w:val="105"/>
          <w:sz w:val="17"/>
        </w:rPr>
        <w:t> </w:t>
      </w:r>
      <w:r>
        <w:rPr>
          <w:rFonts w:ascii="Calibri" w:hAnsi="Calibri"/>
          <w:color w:val="231F20"/>
          <w:w w:val="105"/>
          <w:sz w:val="17"/>
        </w:rPr>
        <w:t>lo</w:t>
      </w:r>
      <w:r>
        <w:rPr>
          <w:rFonts w:ascii="Calibri" w:hAnsi="Calibri"/>
          <w:color w:val="231F20"/>
          <w:spacing w:val="-17"/>
          <w:w w:val="105"/>
          <w:sz w:val="17"/>
        </w:rPr>
        <w:t> </w:t>
      </w:r>
      <w:r>
        <w:rPr>
          <w:rFonts w:ascii="Calibri" w:hAnsi="Calibri"/>
          <w:color w:val="231F20"/>
          <w:w w:val="105"/>
          <w:sz w:val="17"/>
        </w:rPr>
        <w:t>originario,</w:t>
      </w:r>
      <w:r>
        <w:rPr>
          <w:rFonts w:ascii="Calibri" w:hAnsi="Calibri"/>
          <w:color w:val="231F20"/>
          <w:spacing w:val="-17"/>
          <w:w w:val="105"/>
          <w:sz w:val="17"/>
        </w:rPr>
        <w:t> </w:t>
      </w:r>
      <w:r>
        <w:rPr>
          <w:rFonts w:ascii="Calibri" w:hAnsi="Calibri"/>
          <w:color w:val="231F20"/>
          <w:w w:val="105"/>
          <w:sz w:val="17"/>
        </w:rPr>
        <w:t>es</w:t>
      </w:r>
      <w:r>
        <w:rPr>
          <w:rFonts w:ascii="Calibri" w:hAnsi="Calibri"/>
          <w:color w:val="231F20"/>
          <w:spacing w:val="-17"/>
          <w:w w:val="105"/>
          <w:sz w:val="17"/>
        </w:rPr>
        <w:t> </w:t>
      </w:r>
      <w:r>
        <w:rPr>
          <w:rFonts w:ascii="Calibri" w:hAnsi="Calibri"/>
          <w:color w:val="231F20"/>
          <w:w w:val="105"/>
          <w:sz w:val="17"/>
        </w:rPr>
        <w:t>su</w:t>
      </w:r>
      <w:r>
        <w:rPr>
          <w:rFonts w:ascii="Calibri" w:hAnsi="Calibri"/>
          <w:color w:val="231F20"/>
          <w:spacing w:val="-17"/>
          <w:w w:val="105"/>
          <w:sz w:val="17"/>
        </w:rPr>
        <w:t> </w:t>
      </w:r>
      <w:r>
        <w:rPr>
          <w:rFonts w:ascii="Calibri" w:hAnsi="Calibri"/>
          <w:color w:val="231F20"/>
          <w:w w:val="105"/>
          <w:sz w:val="17"/>
        </w:rPr>
        <w:t>diferenciación</w:t>
      </w:r>
      <w:r>
        <w:rPr>
          <w:rFonts w:ascii="Calibri" w:hAnsi="Calibri"/>
          <w:color w:val="231F20"/>
          <w:spacing w:val="-17"/>
          <w:w w:val="105"/>
          <w:sz w:val="17"/>
        </w:rPr>
        <w:t> </w:t>
      </w:r>
      <w:r>
        <w:rPr>
          <w:rFonts w:ascii="Calibri" w:hAnsi="Calibri"/>
          <w:color w:val="231F20"/>
          <w:w w:val="105"/>
          <w:sz w:val="17"/>
        </w:rPr>
        <w:t>intensiva</w:t>
      </w:r>
      <w:r>
        <w:rPr>
          <w:rFonts w:ascii="Calibri" w:hAnsi="Calibri"/>
          <w:color w:val="231F20"/>
          <w:spacing w:val="-18"/>
          <w:w w:val="105"/>
          <w:sz w:val="17"/>
        </w:rPr>
        <w:t> </w:t>
      </w:r>
      <w:r>
        <w:rPr>
          <w:rFonts w:ascii="Calibri" w:hAnsi="Calibri"/>
          <w:color w:val="231F20"/>
          <w:w w:val="105"/>
          <w:sz w:val="17"/>
        </w:rPr>
        <w:t>y</w:t>
      </w:r>
      <w:r>
        <w:rPr>
          <w:rFonts w:ascii="Calibri" w:hAnsi="Calibri"/>
          <w:color w:val="231F20"/>
          <w:spacing w:val="-17"/>
          <w:w w:val="105"/>
          <w:sz w:val="17"/>
        </w:rPr>
        <w:t> </w:t>
      </w:r>
      <w:r>
        <w:rPr>
          <w:rFonts w:ascii="Calibri" w:hAnsi="Calibri"/>
          <w:color w:val="231F20"/>
          <w:w w:val="105"/>
          <w:sz w:val="17"/>
        </w:rPr>
        <w:t>no</w:t>
      </w:r>
      <w:r>
        <w:rPr>
          <w:rFonts w:ascii="Calibri" w:hAnsi="Calibri"/>
          <w:color w:val="231F20"/>
          <w:spacing w:val="-17"/>
          <w:w w:val="105"/>
          <w:sz w:val="17"/>
        </w:rPr>
        <w:t> </w:t>
      </w:r>
      <w:r>
        <w:rPr>
          <w:rFonts w:ascii="Calibri" w:hAnsi="Calibri"/>
          <w:color w:val="231F20"/>
          <w:w w:val="105"/>
          <w:sz w:val="17"/>
        </w:rPr>
        <w:t>responde</w:t>
      </w:r>
      <w:r>
        <w:rPr>
          <w:rFonts w:ascii="Calibri" w:hAnsi="Calibri"/>
          <w:color w:val="231F20"/>
          <w:spacing w:val="-17"/>
          <w:w w:val="105"/>
          <w:sz w:val="17"/>
        </w:rPr>
        <w:t> </w:t>
      </w:r>
      <w:r>
        <w:rPr>
          <w:rFonts w:ascii="Calibri" w:hAnsi="Calibri"/>
          <w:color w:val="231F20"/>
          <w:w w:val="105"/>
          <w:sz w:val="17"/>
        </w:rPr>
        <w:t>a</w:t>
      </w:r>
      <w:r>
        <w:rPr>
          <w:rFonts w:ascii="Calibri" w:hAnsi="Calibri"/>
          <w:color w:val="231F20"/>
          <w:spacing w:val="-17"/>
          <w:w w:val="105"/>
          <w:sz w:val="17"/>
        </w:rPr>
        <w:t> </w:t>
      </w:r>
      <w:r>
        <w:rPr>
          <w:rFonts w:ascii="Calibri" w:hAnsi="Calibri"/>
          <w:color w:val="231F20"/>
          <w:w w:val="105"/>
          <w:sz w:val="17"/>
        </w:rPr>
        <w:t>ningún</w:t>
      </w:r>
      <w:r>
        <w:rPr>
          <w:rFonts w:ascii="Calibri" w:hAnsi="Calibri"/>
          <w:color w:val="231F20"/>
          <w:spacing w:val="-17"/>
          <w:w w:val="105"/>
          <w:sz w:val="17"/>
        </w:rPr>
        <w:t> </w:t>
      </w:r>
      <w:r>
        <w:rPr>
          <w:rFonts w:ascii="Calibri" w:hAnsi="Calibri"/>
          <w:color w:val="231F20"/>
          <w:w w:val="105"/>
          <w:sz w:val="17"/>
        </w:rPr>
        <w:t>original,</w:t>
      </w:r>
      <w:r>
        <w:rPr>
          <w:rFonts w:ascii="Calibri" w:hAnsi="Calibri"/>
          <w:color w:val="231F20"/>
          <w:spacing w:val="-17"/>
          <w:w w:val="105"/>
          <w:sz w:val="17"/>
        </w:rPr>
        <w:t> </w:t>
      </w:r>
      <w:r>
        <w:rPr>
          <w:rFonts w:ascii="Calibri" w:hAnsi="Calibri"/>
          <w:color w:val="231F20"/>
          <w:w w:val="105"/>
          <w:sz w:val="17"/>
        </w:rPr>
        <w:t>por</w:t>
      </w:r>
      <w:r>
        <w:rPr>
          <w:rFonts w:ascii="Calibri" w:hAnsi="Calibri"/>
          <w:color w:val="231F20"/>
          <w:spacing w:val="-17"/>
          <w:w w:val="105"/>
          <w:sz w:val="17"/>
        </w:rPr>
        <w:t> </w:t>
      </w:r>
      <w:r>
        <w:rPr>
          <w:rFonts w:ascii="Calibri" w:hAnsi="Calibri"/>
          <w:color w:val="231F20"/>
          <w:w w:val="105"/>
          <w:sz w:val="17"/>
        </w:rPr>
        <w:t>ende, no</w:t>
      </w:r>
      <w:r>
        <w:rPr>
          <w:rFonts w:ascii="Calibri" w:hAnsi="Calibri"/>
          <w:color w:val="231F20"/>
          <w:spacing w:val="-5"/>
          <w:w w:val="105"/>
          <w:sz w:val="17"/>
        </w:rPr>
        <w:t> </w:t>
      </w:r>
      <w:r>
        <w:rPr>
          <w:rFonts w:ascii="Calibri" w:hAnsi="Calibri"/>
          <w:color w:val="231F20"/>
          <w:w w:val="105"/>
          <w:sz w:val="17"/>
        </w:rPr>
        <w:t>puede</w:t>
      </w:r>
      <w:r>
        <w:rPr>
          <w:rFonts w:ascii="Calibri" w:hAnsi="Calibri"/>
          <w:color w:val="231F20"/>
          <w:spacing w:val="-5"/>
          <w:w w:val="105"/>
          <w:sz w:val="17"/>
        </w:rPr>
        <w:t> </w:t>
      </w:r>
      <w:r>
        <w:rPr>
          <w:rFonts w:ascii="Calibri" w:hAnsi="Calibri"/>
          <w:color w:val="231F20"/>
          <w:w w:val="105"/>
          <w:sz w:val="17"/>
        </w:rPr>
        <w:t>determinarse</w:t>
      </w:r>
      <w:r>
        <w:rPr>
          <w:rFonts w:ascii="Calibri" w:hAnsi="Calibri"/>
          <w:color w:val="231F20"/>
          <w:spacing w:val="-5"/>
          <w:w w:val="105"/>
          <w:sz w:val="17"/>
        </w:rPr>
        <w:t> </w:t>
      </w:r>
      <w:r>
        <w:rPr>
          <w:rFonts w:ascii="Calibri" w:hAnsi="Calibri"/>
          <w:color w:val="231F20"/>
          <w:w w:val="105"/>
          <w:sz w:val="17"/>
        </w:rPr>
        <w:t>ni</w:t>
      </w:r>
      <w:r>
        <w:rPr>
          <w:rFonts w:ascii="Calibri" w:hAnsi="Calibri"/>
          <w:color w:val="231F20"/>
          <w:spacing w:val="-5"/>
          <w:w w:val="105"/>
          <w:sz w:val="17"/>
        </w:rPr>
        <w:t> </w:t>
      </w:r>
      <w:r>
        <w:rPr>
          <w:rFonts w:ascii="Calibri" w:hAnsi="Calibri"/>
          <w:color w:val="231F20"/>
          <w:w w:val="105"/>
          <w:sz w:val="17"/>
        </w:rPr>
        <w:t>compararse</w:t>
      </w:r>
      <w:r>
        <w:rPr>
          <w:rFonts w:ascii="Calibri" w:hAnsi="Calibri"/>
          <w:color w:val="231F20"/>
          <w:spacing w:val="-5"/>
          <w:w w:val="105"/>
          <w:sz w:val="17"/>
        </w:rPr>
        <w:t> </w:t>
      </w:r>
      <w:r>
        <w:rPr>
          <w:rFonts w:ascii="Calibri" w:hAnsi="Calibri"/>
          <w:color w:val="231F20"/>
          <w:w w:val="105"/>
          <w:sz w:val="17"/>
        </w:rPr>
        <w:t>con</w:t>
      </w:r>
      <w:r>
        <w:rPr>
          <w:rFonts w:ascii="Calibri" w:hAnsi="Calibri"/>
          <w:color w:val="231F20"/>
          <w:spacing w:val="-5"/>
          <w:w w:val="105"/>
          <w:sz w:val="17"/>
        </w:rPr>
        <w:t> </w:t>
      </w:r>
      <w:r>
        <w:rPr>
          <w:rFonts w:ascii="Calibri" w:hAnsi="Calibri"/>
          <w:color w:val="231F20"/>
          <w:w w:val="105"/>
          <w:sz w:val="17"/>
        </w:rPr>
        <w:t>algún</w:t>
      </w:r>
      <w:r>
        <w:rPr>
          <w:rFonts w:ascii="Calibri" w:hAnsi="Calibri"/>
          <w:color w:val="231F20"/>
          <w:spacing w:val="-5"/>
          <w:w w:val="105"/>
          <w:sz w:val="17"/>
        </w:rPr>
        <w:t> </w:t>
      </w:r>
      <w:r>
        <w:rPr>
          <w:rFonts w:ascii="Calibri" w:hAnsi="Calibri"/>
          <w:color w:val="231F20"/>
          <w:w w:val="105"/>
          <w:sz w:val="17"/>
        </w:rPr>
        <w:t>referente</w:t>
      </w:r>
      <w:r>
        <w:rPr>
          <w:rFonts w:ascii="Calibri" w:hAnsi="Calibri"/>
          <w:color w:val="231F20"/>
          <w:spacing w:val="-5"/>
          <w:w w:val="105"/>
          <w:sz w:val="17"/>
        </w:rPr>
        <w:t> </w:t>
      </w:r>
      <w:r>
        <w:rPr>
          <w:rFonts w:ascii="Calibri" w:hAnsi="Calibri"/>
          <w:color w:val="231F20"/>
          <w:w w:val="105"/>
          <w:sz w:val="17"/>
        </w:rPr>
        <w:t>externo</w:t>
      </w:r>
      <w:r>
        <w:rPr>
          <w:rFonts w:ascii="Calibri" w:hAnsi="Calibri"/>
          <w:color w:val="231F20"/>
          <w:spacing w:val="-5"/>
          <w:w w:val="105"/>
          <w:sz w:val="17"/>
        </w:rPr>
        <w:t> </w:t>
      </w:r>
      <w:r>
        <w:rPr>
          <w:rFonts w:ascii="Calibri" w:hAnsi="Calibri"/>
          <w:color w:val="231F20"/>
          <w:w w:val="105"/>
          <w:sz w:val="17"/>
        </w:rPr>
        <w:t>a</w:t>
      </w:r>
      <w:r>
        <w:rPr>
          <w:rFonts w:ascii="Calibri" w:hAnsi="Calibri"/>
          <w:color w:val="231F20"/>
          <w:spacing w:val="-5"/>
          <w:w w:val="105"/>
          <w:sz w:val="17"/>
        </w:rPr>
        <w:t> </w:t>
      </w:r>
      <w:r>
        <w:rPr>
          <w:rFonts w:ascii="Calibri" w:hAnsi="Calibri"/>
          <w:color w:val="231F20"/>
          <w:w w:val="105"/>
          <w:sz w:val="17"/>
        </w:rPr>
        <w:t>“más</w:t>
      </w:r>
      <w:r>
        <w:rPr>
          <w:rFonts w:ascii="Calibri" w:hAnsi="Calibri"/>
          <w:color w:val="231F20"/>
          <w:spacing w:val="-5"/>
          <w:w w:val="105"/>
          <w:sz w:val="17"/>
        </w:rPr>
        <w:t> </w:t>
      </w:r>
      <w:r>
        <w:rPr>
          <w:rFonts w:ascii="Calibri" w:hAnsi="Calibri"/>
          <w:color w:val="231F20"/>
          <w:w w:val="105"/>
          <w:sz w:val="17"/>
        </w:rPr>
        <w:t>auténtico”,</w:t>
      </w:r>
      <w:r>
        <w:rPr>
          <w:rFonts w:ascii="Calibri" w:hAnsi="Calibri"/>
          <w:color w:val="231F20"/>
          <w:spacing w:val="-5"/>
          <w:w w:val="105"/>
          <w:sz w:val="17"/>
        </w:rPr>
        <w:t> </w:t>
      </w:r>
      <w:r>
        <w:rPr>
          <w:rFonts w:ascii="Calibri" w:hAnsi="Calibri"/>
          <w:color w:val="231F20"/>
          <w:w w:val="105"/>
          <w:sz w:val="17"/>
        </w:rPr>
        <w:t>no</w:t>
      </w:r>
      <w:r>
        <w:rPr>
          <w:rFonts w:ascii="Calibri" w:hAnsi="Calibri"/>
          <w:color w:val="231F20"/>
          <w:spacing w:val="-5"/>
          <w:w w:val="105"/>
          <w:sz w:val="17"/>
        </w:rPr>
        <w:t> </w:t>
      </w:r>
      <w:r>
        <w:rPr>
          <w:rFonts w:ascii="Calibri" w:hAnsi="Calibri"/>
          <w:color w:val="231F20"/>
          <w:w w:val="105"/>
          <w:sz w:val="17"/>
        </w:rPr>
        <w:t>puede representar nada fuera de ella. Esta diferenciación intensiva se realiza siempre en conexión con otras</w:t>
      </w:r>
      <w:r>
        <w:rPr>
          <w:rFonts w:ascii="Calibri" w:hAnsi="Calibri"/>
          <w:color w:val="231F20"/>
          <w:spacing w:val="-12"/>
          <w:w w:val="105"/>
          <w:sz w:val="17"/>
        </w:rPr>
        <w:t> </w:t>
      </w:r>
      <w:r>
        <w:rPr>
          <w:rFonts w:ascii="Calibri" w:hAnsi="Calibri"/>
          <w:color w:val="231F20"/>
          <w:w w:val="105"/>
          <w:sz w:val="17"/>
        </w:rPr>
        <w:t>cosas,</w:t>
      </w:r>
      <w:r>
        <w:rPr>
          <w:rFonts w:ascii="Calibri" w:hAnsi="Calibri"/>
          <w:color w:val="231F20"/>
          <w:spacing w:val="-12"/>
          <w:w w:val="105"/>
          <w:sz w:val="17"/>
        </w:rPr>
        <w:t> </w:t>
      </w:r>
      <w:r>
        <w:rPr>
          <w:rFonts w:ascii="Calibri" w:hAnsi="Calibri"/>
          <w:color w:val="231F20"/>
          <w:w w:val="105"/>
          <w:sz w:val="17"/>
        </w:rPr>
        <w:t>ellas</w:t>
      </w:r>
      <w:r>
        <w:rPr>
          <w:rFonts w:ascii="Calibri" w:hAnsi="Calibri"/>
          <w:color w:val="231F20"/>
          <w:spacing w:val="-12"/>
          <w:w w:val="105"/>
          <w:sz w:val="17"/>
        </w:rPr>
        <w:t> </w:t>
      </w:r>
      <w:r>
        <w:rPr>
          <w:rFonts w:ascii="Calibri" w:hAnsi="Calibri"/>
          <w:color w:val="231F20"/>
          <w:w w:val="105"/>
          <w:sz w:val="17"/>
        </w:rPr>
        <w:t>mismas</w:t>
      </w:r>
      <w:r>
        <w:rPr>
          <w:rFonts w:ascii="Calibri" w:hAnsi="Calibri"/>
          <w:color w:val="231F20"/>
          <w:spacing w:val="-12"/>
          <w:w w:val="105"/>
          <w:sz w:val="17"/>
        </w:rPr>
        <w:t> </w:t>
      </w:r>
      <w:r>
        <w:rPr>
          <w:rFonts w:ascii="Calibri" w:hAnsi="Calibri"/>
          <w:color w:val="231F20"/>
          <w:w w:val="105"/>
          <w:sz w:val="17"/>
        </w:rPr>
        <w:t>diferenciándose,</w:t>
      </w:r>
      <w:r>
        <w:rPr>
          <w:rFonts w:ascii="Calibri" w:hAnsi="Calibri"/>
          <w:color w:val="231F20"/>
          <w:spacing w:val="-12"/>
          <w:w w:val="105"/>
          <w:sz w:val="17"/>
        </w:rPr>
        <w:t> </w:t>
      </w:r>
      <w:r>
        <w:rPr>
          <w:rFonts w:ascii="Calibri" w:hAnsi="Calibri"/>
          <w:color w:val="231F20"/>
          <w:w w:val="105"/>
          <w:sz w:val="17"/>
        </w:rPr>
        <w:t>sin</w:t>
      </w:r>
      <w:r>
        <w:rPr>
          <w:rFonts w:ascii="Calibri" w:hAnsi="Calibri"/>
          <w:color w:val="231F20"/>
          <w:spacing w:val="-12"/>
          <w:w w:val="105"/>
          <w:sz w:val="17"/>
        </w:rPr>
        <w:t> </w:t>
      </w:r>
      <w:r>
        <w:rPr>
          <w:rFonts w:ascii="Calibri" w:hAnsi="Calibri"/>
          <w:color w:val="231F20"/>
          <w:w w:val="105"/>
          <w:sz w:val="17"/>
        </w:rPr>
        <w:t>que</w:t>
      </w:r>
      <w:r>
        <w:rPr>
          <w:rFonts w:ascii="Calibri" w:hAnsi="Calibri"/>
          <w:color w:val="231F20"/>
          <w:spacing w:val="-12"/>
          <w:w w:val="105"/>
          <w:sz w:val="17"/>
        </w:rPr>
        <w:t> </w:t>
      </w:r>
      <w:r>
        <w:rPr>
          <w:rFonts w:ascii="Calibri" w:hAnsi="Calibri"/>
          <w:color w:val="231F20"/>
          <w:w w:val="105"/>
          <w:sz w:val="17"/>
        </w:rPr>
        <w:t>tengan</w:t>
      </w:r>
      <w:r>
        <w:rPr>
          <w:rFonts w:ascii="Calibri" w:hAnsi="Calibri"/>
          <w:color w:val="231F20"/>
          <w:spacing w:val="-12"/>
          <w:w w:val="105"/>
          <w:sz w:val="17"/>
        </w:rPr>
        <w:t> </w:t>
      </w:r>
      <w:r>
        <w:rPr>
          <w:rFonts w:ascii="Calibri" w:hAnsi="Calibri"/>
          <w:color w:val="231F20"/>
          <w:w w:val="105"/>
          <w:sz w:val="17"/>
        </w:rPr>
        <w:t>que</w:t>
      </w:r>
      <w:r>
        <w:rPr>
          <w:rFonts w:ascii="Calibri" w:hAnsi="Calibri"/>
          <w:color w:val="231F20"/>
          <w:spacing w:val="-12"/>
          <w:w w:val="105"/>
          <w:sz w:val="17"/>
        </w:rPr>
        <w:t> </w:t>
      </w:r>
      <w:r>
        <w:rPr>
          <w:rFonts w:ascii="Calibri" w:hAnsi="Calibri"/>
          <w:color w:val="231F20"/>
          <w:w w:val="105"/>
          <w:sz w:val="17"/>
        </w:rPr>
        <w:t>reducirse</w:t>
      </w:r>
      <w:r>
        <w:rPr>
          <w:rFonts w:ascii="Calibri" w:hAnsi="Calibri"/>
          <w:color w:val="231F20"/>
          <w:spacing w:val="-12"/>
          <w:w w:val="105"/>
          <w:sz w:val="17"/>
        </w:rPr>
        <w:t> </w:t>
      </w:r>
      <w:r>
        <w:rPr>
          <w:rFonts w:ascii="Calibri" w:hAnsi="Calibri"/>
          <w:color w:val="231F20"/>
          <w:w w:val="105"/>
          <w:sz w:val="17"/>
        </w:rPr>
        <w:t>unas</w:t>
      </w:r>
      <w:r>
        <w:rPr>
          <w:rFonts w:ascii="Calibri" w:hAnsi="Calibri"/>
          <w:color w:val="231F20"/>
          <w:spacing w:val="-12"/>
          <w:w w:val="105"/>
          <w:sz w:val="17"/>
        </w:rPr>
        <w:t> </w:t>
      </w:r>
      <w:r>
        <w:rPr>
          <w:rFonts w:ascii="Calibri" w:hAnsi="Calibri"/>
          <w:color w:val="231F20"/>
          <w:w w:val="105"/>
          <w:sz w:val="17"/>
        </w:rPr>
        <w:t>a</w:t>
      </w:r>
      <w:r>
        <w:rPr>
          <w:rFonts w:ascii="Calibri" w:hAnsi="Calibri"/>
          <w:color w:val="231F20"/>
          <w:spacing w:val="-12"/>
          <w:w w:val="105"/>
          <w:sz w:val="17"/>
        </w:rPr>
        <w:t> </w:t>
      </w:r>
      <w:r>
        <w:rPr>
          <w:rFonts w:ascii="Calibri" w:hAnsi="Calibri"/>
          <w:color w:val="231F20"/>
          <w:w w:val="105"/>
          <w:sz w:val="17"/>
        </w:rPr>
        <w:t>otras</w:t>
      </w:r>
      <w:r>
        <w:rPr>
          <w:rFonts w:ascii="Calibri" w:hAnsi="Calibri"/>
          <w:color w:val="231F20"/>
          <w:spacing w:val="-12"/>
          <w:w w:val="105"/>
          <w:sz w:val="17"/>
        </w:rPr>
        <w:t> </w:t>
      </w:r>
      <w:r>
        <w:rPr>
          <w:rFonts w:ascii="Calibri" w:hAnsi="Calibri"/>
          <w:color w:val="231F20"/>
          <w:w w:val="105"/>
          <w:sz w:val="17"/>
        </w:rPr>
        <w:t>o</w:t>
      </w:r>
      <w:r>
        <w:rPr>
          <w:rFonts w:ascii="Calibri" w:hAnsi="Calibri"/>
          <w:color w:val="231F20"/>
          <w:spacing w:val="-12"/>
          <w:w w:val="105"/>
          <w:sz w:val="17"/>
        </w:rPr>
        <w:t> </w:t>
      </w:r>
      <w:r>
        <w:rPr>
          <w:rFonts w:ascii="Calibri" w:hAnsi="Calibri"/>
          <w:color w:val="231F20"/>
          <w:w w:val="105"/>
          <w:sz w:val="17"/>
        </w:rPr>
        <w:t>hibridarse. En</w:t>
      </w:r>
      <w:r>
        <w:rPr>
          <w:rFonts w:ascii="Calibri" w:hAnsi="Calibri"/>
          <w:color w:val="231F20"/>
          <w:spacing w:val="-12"/>
          <w:w w:val="105"/>
          <w:sz w:val="17"/>
        </w:rPr>
        <w:t> </w:t>
      </w:r>
      <w:r>
        <w:rPr>
          <w:rFonts w:ascii="Calibri" w:hAnsi="Calibri"/>
          <w:color w:val="231F20"/>
          <w:w w:val="105"/>
          <w:sz w:val="17"/>
        </w:rPr>
        <w:t>este</w:t>
      </w:r>
      <w:r>
        <w:rPr>
          <w:rFonts w:ascii="Calibri" w:hAnsi="Calibri"/>
          <w:color w:val="231F20"/>
          <w:spacing w:val="-12"/>
          <w:w w:val="105"/>
          <w:sz w:val="17"/>
        </w:rPr>
        <w:t> </w:t>
      </w:r>
      <w:r>
        <w:rPr>
          <w:rFonts w:ascii="Calibri" w:hAnsi="Calibri"/>
          <w:color w:val="231F20"/>
          <w:w w:val="105"/>
          <w:sz w:val="17"/>
        </w:rPr>
        <w:t>talante,</w:t>
      </w:r>
      <w:r>
        <w:rPr>
          <w:rFonts w:ascii="Calibri" w:hAnsi="Calibri"/>
          <w:color w:val="231F20"/>
          <w:spacing w:val="-12"/>
          <w:w w:val="105"/>
          <w:sz w:val="17"/>
        </w:rPr>
        <w:t> </w:t>
      </w:r>
      <w:r>
        <w:rPr>
          <w:rFonts w:ascii="Calibri" w:hAnsi="Calibri"/>
          <w:color w:val="231F20"/>
          <w:w w:val="105"/>
          <w:sz w:val="17"/>
        </w:rPr>
        <w:t>las</w:t>
      </w:r>
      <w:r>
        <w:rPr>
          <w:rFonts w:ascii="Calibri" w:hAnsi="Calibri"/>
          <w:color w:val="231F20"/>
          <w:spacing w:val="-12"/>
          <w:w w:val="105"/>
          <w:sz w:val="17"/>
        </w:rPr>
        <w:t> </w:t>
      </w:r>
      <w:r>
        <w:rPr>
          <w:rFonts w:ascii="Calibri" w:hAnsi="Calibri"/>
          <w:color w:val="231F20"/>
          <w:w w:val="105"/>
          <w:sz w:val="17"/>
        </w:rPr>
        <w:t>particularidades</w:t>
      </w:r>
      <w:r>
        <w:rPr>
          <w:rFonts w:ascii="Calibri" w:hAnsi="Calibri"/>
          <w:color w:val="231F20"/>
          <w:spacing w:val="-13"/>
          <w:w w:val="105"/>
          <w:sz w:val="17"/>
        </w:rPr>
        <w:t> </w:t>
      </w:r>
      <w:r>
        <w:rPr>
          <w:rFonts w:ascii="Calibri" w:hAnsi="Calibri"/>
          <w:color w:val="231F20"/>
          <w:w w:val="105"/>
          <w:sz w:val="17"/>
        </w:rPr>
        <w:t>y</w:t>
      </w:r>
      <w:r>
        <w:rPr>
          <w:rFonts w:ascii="Calibri" w:hAnsi="Calibri"/>
          <w:color w:val="231F20"/>
          <w:spacing w:val="-12"/>
          <w:w w:val="105"/>
          <w:sz w:val="17"/>
        </w:rPr>
        <w:t> </w:t>
      </w:r>
      <w:r>
        <w:rPr>
          <w:rFonts w:ascii="Calibri" w:hAnsi="Calibri"/>
          <w:color w:val="231F20"/>
          <w:w w:val="105"/>
          <w:sz w:val="17"/>
        </w:rPr>
        <w:t>las</w:t>
      </w:r>
      <w:r>
        <w:rPr>
          <w:rFonts w:ascii="Calibri" w:hAnsi="Calibri"/>
          <w:color w:val="231F20"/>
          <w:spacing w:val="-12"/>
          <w:w w:val="105"/>
          <w:sz w:val="17"/>
        </w:rPr>
        <w:t> </w:t>
      </w:r>
      <w:r>
        <w:rPr>
          <w:rFonts w:ascii="Calibri" w:hAnsi="Calibri"/>
          <w:color w:val="231F20"/>
          <w:w w:val="105"/>
          <w:sz w:val="17"/>
        </w:rPr>
        <w:t>singularidades</w:t>
      </w:r>
      <w:r>
        <w:rPr>
          <w:rFonts w:ascii="Calibri" w:hAnsi="Calibri"/>
          <w:color w:val="231F20"/>
          <w:spacing w:val="-12"/>
          <w:w w:val="105"/>
          <w:sz w:val="17"/>
        </w:rPr>
        <w:t> </w:t>
      </w:r>
      <w:r>
        <w:rPr>
          <w:rFonts w:ascii="Calibri" w:hAnsi="Calibri"/>
          <w:color w:val="231F20"/>
          <w:w w:val="105"/>
          <w:sz w:val="17"/>
        </w:rPr>
        <w:t>por</w:t>
      </w:r>
      <w:r>
        <w:rPr>
          <w:rFonts w:ascii="Calibri" w:hAnsi="Calibri"/>
          <w:color w:val="231F20"/>
          <w:spacing w:val="-12"/>
          <w:w w:val="105"/>
          <w:sz w:val="17"/>
        </w:rPr>
        <w:t> </w:t>
      </w:r>
      <w:r>
        <w:rPr>
          <w:rFonts w:ascii="Calibri" w:hAnsi="Calibri"/>
          <w:color w:val="231F20"/>
          <w:w w:val="105"/>
          <w:sz w:val="17"/>
        </w:rPr>
        <w:t>las</w:t>
      </w:r>
      <w:r>
        <w:rPr>
          <w:rFonts w:ascii="Calibri" w:hAnsi="Calibri"/>
          <w:color w:val="231F20"/>
          <w:spacing w:val="-12"/>
          <w:w w:val="105"/>
          <w:sz w:val="17"/>
        </w:rPr>
        <w:t> </w:t>
      </w:r>
      <w:r>
        <w:rPr>
          <w:rFonts w:ascii="Calibri" w:hAnsi="Calibri"/>
          <w:color w:val="231F20"/>
          <w:w w:val="105"/>
          <w:sz w:val="17"/>
        </w:rPr>
        <w:t>que</w:t>
      </w:r>
      <w:r>
        <w:rPr>
          <w:rFonts w:ascii="Calibri" w:hAnsi="Calibri"/>
          <w:color w:val="231F20"/>
          <w:spacing w:val="-12"/>
          <w:w w:val="105"/>
          <w:sz w:val="17"/>
        </w:rPr>
        <w:t> </w:t>
      </w:r>
      <w:r>
        <w:rPr>
          <w:rFonts w:ascii="Calibri" w:hAnsi="Calibri"/>
          <w:color w:val="231F20"/>
          <w:w w:val="105"/>
          <w:sz w:val="17"/>
        </w:rPr>
        <w:t>apuesta</w:t>
      </w:r>
      <w:r>
        <w:rPr>
          <w:rFonts w:ascii="Calibri" w:hAnsi="Calibri"/>
          <w:color w:val="231F20"/>
          <w:spacing w:val="-12"/>
          <w:w w:val="105"/>
          <w:sz w:val="17"/>
        </w:rPr>
        <w:t> </w:t>
      </w:r>
      <w:r>
        <w:rPr>
          <w:rFonts w:ascii="Calibri" w:hAnsi="Calibri"/>
          <w:color w:val="231F20"/>
          <w:w w:val="105"/>
          <w:sz w:val="17"/>
        </w:rPr>
        <w:t>Deleuze</w:t>
      </w:r>
      <w:r>
        <w:rPr>
          <w:rFonts w:ascii="Calibri" w:hAnsi="Calibri"/>
          <w:color w:val="231F20"/>
          <w:spacing w:val="-12"/>
          <w:w w:val="105"/>
          <w:sz w:val="17"/>
        </w:rPr>
        <w:t> </w:t>
      </w:r>
      <w:r>
        <w:rPr>
          <w:rFonts w:ascii="Calibri" w:hAnsi="Calibri"/>
          <w:color w:val="231F20"/>
          <w:w w:val="105"/>
          <w:sz w:val="17"/>
        </w:rPr>
        <w:t>—culturales, políticas,</w:t>
      </w:r>
      <w:r>
        <w:rPr>
          <w:rFonts w:ascii="Calibri" w:hAnsi="Calibri"/>
          <w:color w:val="231F20"/>
          <w:spacing w:val="-6"/>
          <w:w w:val="105"/>
          <w:sz w:val="17"/>
        </w:rPr>
        <w:t> </w:t>
      </w:r>
      <w:r>
        <w:rPr>
          <w:rFonts w:ascii="Calibri" w:hAnsi="Calibri"/>
          <w:color w:val="231F20"/>
          <w:w w:val="105"/>
          <w:sz w:val="17"/>
        </w:rPr>
        <w:t>sociales,</w:t>
      </w:r>
      <w:r>
        <w:rPr>
          <w:rFonts w:ascii="Calibri" w:hAnsi="Calibri"/>
          <w:color w:val="231F20"/>
          <w:spacing w:val="-6"/>
          <w:w w:val="105"/>
          <w:sz w:val="17"/>
        </w:rPr>
        <w:t> </w:t>
      </w:r>
      <w:r>
        <w:rPr>
          <w:rFonts w:ascii="Calibri" w:hAnsi="Calibri"/>
          <w:color w:val="231F20"/>
          <w:w w:val="105"/>
          <w:sz w:val="17"/>
        </w:rPr>
        <w:t>etc.—</w:t>
      </w:r>
      <w:r>
        <w:rPr>
          <w:rFonts w:ascii="Calibri" w:hAnsi="Calibri"/>
          <w:color w:val="231F20"/>
          <w:spacing w:val="-6"/>
          <w:w w:val="105"/>
          <w:sz w:val="17"/>
        </w:rPr>
        <w:t> </w:t>
      </w:r>
      <w:r>
        <w:rPr>
          <w:rFonts w:ascii="Calibri" w:hAnsi="Calibri"/>
          <w:color w:val="231F20"/>
          <w:w w:val="105"/>
          <w:sz w:val="17"/>
        </w:rPr>
        <w:t>no</w:t>
      </w:r>
      <w:r>
        <w:rPr>
          <w:rFonts w:ascii="Calibri" w:hAnsi="Calibri"/>
          <w:color w:val="231F20"/>
          <w:spacing w:val="-6"/>
          <w:w w:val="105"/>
          <w:sz w:val="17"/>
        </w:rPr>
        <w:t> </w:t>
      </w:r>
      <w:r>
        <w:rPr>
          <w:rFonts w:ascii="Calibri" w:hAnsi="Calibri"/>
          <w:color w:val="231F20"/>
          <w:w w:val="105"/>
          <w:sz w:val="17"/>
        </w:rPr>
        <w:t>podrían</w:t>
      </w:r>
      <w:r>
        <w:rPr>
          <w:rFonts w:ascii="Calibri" w:hAnsi="Calibri"/>
          <w:color w:val="231F20"/>
          <w:spacing w:val="-6"/>
          <w:w w:val="105"/>
          <w:sz w:val="17"/>
        </w:rPr>
        <w:t> </w:t>
      </w:r>
      <w:r>
        <w:rPr>
          <w:rFonts w:ascii="Calibri" w:hAnsi="Calibri"/>
          <w:color w:val="231F20"/>
          <w:w w:val="105"/>
          <w:sz w:val="17"/>
        </w:rPr>
        <w:t>reducirse</w:t>
      </w:r>
      <w:r>
        <w:rPr>
          <w:rFonts w:ascii="Calibri" w:hAnsi="Calibri"/>
          <w:color w:val="231F20"/>
          <w:spacing w:val="-6"/>
          <w:w w:val="105"/>
          <w:sz w:val="17"/>
        </w:rPr>
        <w:t> </w:t>
      </w:r>
      <w:r>
        <w:rPr>
          <w:rFonts w:ascii="Calibri" w:hAnsi="Calibri"/>
          <w:color w:val="231F20"/>
          <w:w w:val="105"/>
          <w:sz w:val="17"/>
        </w:rPr>
        <w:t>a</w:t>
      </w:r>
      <w:r>
        <w:rPr>
          <w:rFonts w:ascii="Calibri" w:hAnsi="Calibri"/>
          <w:color w:val="231F20"/>
          <w:spacing w:val="-6"/>
          <w:w w:val="105"/>
          <w:sz w:val="17"/>
        </w:rPr>
        <w:t> </w:t>
      </w:r>
      <w:r>
        <w:rPr>
          <w:rFonts w:ascii="Calibri" w:hAnsi="Calibri"/>
          <w:color w:val="231F20"/>
          <w:w w:val="105"/>
          <w:sz w:val="17"/>
        </w:rPr>
        <w:t>ningún</w:t>
      </w:r>
      <w:r>
        <w:rPr>
          <w:rFonts w:ascii="Calibri" w:hAnsi="Calibri"/>
          <w:color w:val="231F20"/>
          <w:spacing w:val="-6"/>
          <w:w w:val="105"/>
          <w:sz w:val="17"/>
        </w:rPr>
        <w:t> </w:t>
      </w:r>
      <w:r>
        <w:rPr>
          <w:rFonts w:ascii="Calibri" w:hAnsi="Calibri"/>
          <w:color w:val="231F20"/>
          <w:w w:val="105"/>
          <w:sz w:val="17"/>
        </w:rPr>
        <w:t>modelo</w:t>
      </w:r>
      <w:r>
        <w:rPr>
          <w:rFonts w:ascii="Calibri" w:hAnsi="Calibri"/>
          <w:color w:val="231F20"/>
          <w:spacing w:val="-6"/>
          <w:w w:val="105"/>
          <w:sz w:val="17"/>
        </w:rPr>
        <w:t> </w:t>
      </w:r>
      <w:r>
        <w:rPr>
          <w:rFonts w:ascii="Calibri" w:hAnsi="Calibri"/>
          <w:color w:val="231F20"/>
          <w:w w:val="105"/>
          <w:sz w:val="17"/>
        </w:rPr>
        <w:t>general</w:t>
      </w:r>
      <w:r>
        <w:rPr>
          <w:rFonts w:ascii="Calibri" w:hAnsi="Calibri"/>
          <w:color w:val="231F20"/>
          <w:spacing w:val="-6"/>
          <w:w w:val="105"/>
          <w:sz w:val="17"/>
        </w:rPr>
        <w:t> </w:t>
      </w:r>
      <w:r>
        <w:rPr>
          <w:rFonts w:ascii="Calibri" w:hAnsi="Calibri"/>
          <w:color w:val="231F20"/>
          <w:w w:val="105"/>
          <w:sz w:val="17"/>
        </w:rPr>
        <w:t>u</w:t>
      </w:r>
      <w:r>
        <w:rPr>
          <w:rFonts w:ascii="Calibri" w:hAnsi="Calibri"/>
          <w:color w:val="231F20"/>
          <w:spacing w:val="-6"/>
          <w:w w:val="105"/>
          <w:sz w:val="17"/>
        </w:rPr>
        <w:t> </w:t>
      </w:r>
      <w:r>
        <w:rPr>
          <w:rFonts w:ascii="Calibri" w:hAnsi="Calibri"/>
          <w:color w:val="231F20"/>
          <w:w w:val="105"/>
          <w:sz w:val="17"/>
        </w:rPr>
        <w:t>original,</w:t>
      </w:r>
      <w:r>
        <w:rPr>
          <w:rFonts w:ascii="Calibri" w:hAnsi="Calibri"/>
          <w:color w:val="231F20"/>
          <w:spacing w:val="-6"/>
          <w:w w:val="105"/>
          <w:sz w:val="17"/>
        </w:rPr>
        <w:t> </w:t>
      </w:r>
      <w:r>
        <w:rPr>
          <w:rFonts w:ascii="Calibri" w:hAnsi="Calibri"/>
          <w:color w:val="231F20"/>
          <w:w w:val="105"/>
          <w:sz w:val="17"/>
        </w:rPr>
        <w:t>pero</w:t>
      </w:r>
      <w:r>
        <w:rPr>
          <w:rFonts w:ascii="Calibri" w:hAnsi="Calibri"/>
          <w:color w:val="231F20"/>
          <w:spacing w:val="-6"/>
          <w:w w:val="105"/>
          <w:sz w:val="17"/>
        </w:rPr>
        <w:t> </w:t>
      </w:r>
      <w:r>
        <w:rPr>
          <w:rFonts w:ascii="Calibri" w:hAnsi="Calibri"/>
          <w:color w:val="231F20"/>
          <w:w w:val="105"/>
          <w:sz w:val="17"/>
        </w:rPr>
        <w:t>tampoco conformarían</w:t>
      </w:r>
      <w:r>
        <w:rPr>
          <w:rFonts w:ascii="Calibri" w:hAnsi="Calibri"/>
          <w:color w:val="231F20"/>
          <w:spacing w:val="-28"/>
          <w:w w:val="105"/>
          <w:sz w:val="17"/>
        </w:rPr>
        <w:t> </w:t>
      </w:r>
      <w:r>
        <w:rPr>
          <w:rFonts w:ascii="Calibri" w:hAnsi="Calibri"/>
          <w:color w:val="231F20"/>
          <w:w w:val="105"/>
          <w:sz w:val="17"/>
        </w:rPr>
        <w:t>unidades</w:t>
      </w:r>
      <w:r>
        <w:rPr>
          <w:rFonts w:ascii="Calibri" w:hAnsi="Calibri"/>
          <w:color w:val="231F20"/>
          <w:spacing w:val="-28"/>
          <w:w w:val="105"/>
          <w:sz w:val="17"/>
        </w:rPr>
        <w:t> </w:t>
      </w:r>
      <w:r>
        <w:rPr>
          <w:rFonts w:ascii="Calibri" w:hAnsi="Calibri"/>
          <w:color w:val="231F20"/>
          <w:w w:val="105"/>
          <w:sz w:val="17"/>
        </w:rPr>
        <w:t>coherentes</w:t>
      </w:r>
      <w:r>
        <w:rPr>
          <w:rFonts w:ascii="Calibri" w:hAnsi="Calibri"/>
          <w:color w:val="231F20"/>
          <w:spacing w:val="-29"/>
          <w:w w:val="105"/>
          <w:sz w:val="17"/>
        </w:rPr>
        <w:t> </w:t>
      </w:r>
      <w:r>
        <w:rPr>
          <w:rFonts w:ascii="Calibri" w:hAnsi="Calibri"/>
          <w:color w:val="231F20"/>
          <w:w w:val="105"/>
          <w:sz w:val="17"/>
        </w:rPr>
        <w:t>y</w:t>
      </w:r>
      <w:r>
        <w:rPr>
          <w:rFonts w:ascii="Calibri" w:hAnsi="Calibri"/>
          <w:color w:val="231F20"/>
          <w:spacing w:val="-28"/>
          <w:w w:val="105"/>
          <w:sz w:val="17"/>
        </w:rPr>
        <w:t> </w:t>
      </w:r>
      <w:r>
        <w:rPr>
          <w:rFonts w:ascii="Calibri" w:hAnsi="Calibri"/>
          <w:color w:val="231F20"/>
          <w:w w:val="105"/>
          <w:sz w:val="17"/>
        </w:rPr>
        <w:t>permanentes,</w:t>
      </w:r>
      <w:r>
        <w:rPr>
          <w:rFonts w:ascii="Calibri" w:hAnsi="Calibri"/>
          <w:color w:val="231F20"/>
          <w:spacing w:val="-28"/>
          <w:w w:val="105"/>
          <w:sz w:val="17"/>
        </w:rPr>
        <w:t> </w:t>
      </w:r>
      <w:r>
        <w:rPr>
          <w:rFonts w:ascii="Calibri" w:hAnsi="Calibri"/>
          <w:color w:val="231F20"/>
          <w:w w:val="105"/>
          <w:sz w:val="17"/>
        </w:rPr>
        <w:t>precisamente</w:t>
      </w:r>
      <w:r>
        <w:rPr>
          <w:rFonts w:ascii="Calibri" w:hAnsi="Calibri"/>
          <w:color w:val="231F20"/>
          <w:spacing w:val="-28"/>
          <w:w w:val="105"/>
          <w:sz w:val="17"/>
        </w:rPr>
        <w:t> </w:t>
      </w:r>
      <w:r>
        <w:rPr>
          <w:rFonts w:ascii="Calibri" w:hAnsi="Calibri"/>
          <w:color w:val="231F20"/>
          <w:w w:val="105"/>
          <w:sz w:val="17"/>
        </w:rPr>
        <w:t>porque</w:t>
      </w:r>
      <w:r>
        <w:rPr>
          <w:rFonts w:ascii="Calibri" w:hAnsi="Calibri"/>
          <w:color w:val="231F20"/>
          <w:spacing w:val="-28"/>
          <w:w w:val="105"/>
          <w:sz w:val="17"/>
        </w:rPr>
        <w:t> </w:t>
      </w:r>
      <w:r>
        <w:rPr>
          <w:rFonts w:ascii="Calibri" w:hAnsi="Calibri"/>
          <w:color w:val="231F20"/>
          <w:w w:val="105"/>
          <w:sz w:val="17"/>
        </w:rPr>
        <w:t>no</w:t>
      </w:r>
      <w:r>
        <w:rPr>
          <w:rFonts w:ascii="Calibri" w:hAnsi="Calibri"/>
          <w:color w:val="231F20"/>
          <w:spacing w:val="-28"/>
          <w:w w:val="105"/>
          <w:sz w:val="17"/>
        </w:rPr>
        <w:t> </w:t>
      </w:r>
      <w:r>
        <w:rPr>
          <w:rFonts w:ascii="Calibri" w:hAnsi="Calibri"/>
          <w:color w:val="231F20"/>
          <w:w w:val="105"/>
          <w:sz w:val="17"/>
        </w:rPr>
        <w:t>dejan</w:t>
      </w:r>
      <w:r>
        <w:rPr>
          <w:rFonts w:ascii="Calibri" w:hAnsi="Calibri"/>
          <w:color w:val="231F20"/>
          <w:spacing w:val="-28"/>
          <w:w w:val="105"/>
          <w:sz w:val="17"/>
        </w:rPr>
        <w:t> </w:t>
      </w:r>
      <w:r>
        <w:rPr>
          <w:rFonts w:ascii="Calibri" w:hAnsi="Calibri"/>
          <w:color w:val="231F20"/>
          <w:w w:val="105"/>
          <w:sz w:val="17"/>
        </w:rPr>
        <w:t>de</w:t>
      </w:r>
      <w:r>
        <w:rPr>
          <w:rFonts w:ascii="Calibri" w:hAnsi="Calibri"/>
          <w:color w:val="231F20"/>
          <w:spacing w:val="-28"/>
          <w:w w:val="105"/>
          <w:sz w:val="17"/>
        </w:rPr>
        <w:t> </w:t>
      </w:r>
      <w:r>
        <w:rPr>
          <w:rFonts w:ascii="Calibri" w:hAnsi="Calibri"/>
          <w:color w:val="231F20"/>
          <w:w w:val="105"/>
          <w:sz w:val="17"/>
        </w:rPr>
        <w:t>diferenciarse y</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crearse</w:t>
      </w:r>
      <w:r>
        <w:rPr>
          <w:rFonts w:ascii="Calibri" w:hAnsi="Calibri"/>
          <w:color w:val="231F20"/>
          <w:spacing w:val="-13"/>
          <w:w w:val="105"/>
          <w:sz w:val="17"/>
        </w:rPr>
        <w:t> </w:t>
      </w:r>
      <w:r>
        <w:rPr>
          <w:rFonts w:ascii="Calibri" w:hAnsi="Calibri"/>
          <w:color w:val="231F20"/>
          <w:w w:val="105"/>
          <w:sz w:val="17"/>
        </w:rPr>
        <w:t>con</w:t>
      </w:r>
      <w:r>
        <w:rPr>
          <w:rFonts w:ascii="Calibri" w:hAnsi="Calibri"/>
          <w:color w:val="231F20"/>
          <w:spacing w:val="-13"/>
          <w:w w:val="105"/>
          <w:sz w:val="17"/>
        </w:rPr>
        <w:t> </w:t>
      </w:r>
      <w:r>
        <w:rPr>
          <w:rFonts w:ascii="Calibri" w:hAnsi="Calibri"/>
          <w:color w:val="231F20"/>
          <w:w w:val="105"/>
          <w:sz w:val="17"/>
        </w:rPr>
        <w:t>cada</w:t>
      </w:r>
      <w:r>
        <w:rPr>
          <w:rFonts w:ascii="Calibri" w:hAnsi="Calibri"/>
          <w:color w:val="231F20"/>
          <w:spacing w:val="-13"/>
          <w:w w:val="105"/>
          <w:sz w:val="17"/>
        </w:rPr>
        <w:t> </w:t>
      </w:r>
      <w:r>
        <w:rPr>
          <w:rFonts w:ascii="Calibri" w:hAnsi="Calibri"/>
          <w:color w:val="231F20"/>
          <w:w w:val="105"/>
          <w:sz w:val="17"/>
        </w:rPr>
        <w:t>nueva</w:t>
      </w:r>
      <w:r>
        <w:rPr>
          <w:rFonts w:ascii="Calibri" w:hAnsi="Calibri"/>
          <w:color w:val="231F20"/>
          <w:spacing w:val="-13"/>
          <w:w w:val="105"/>
          <w:sz w:val="17"/>
        </w:rPr>
        <w:t> </w:t>
      </w:r>
      <w:r>
        <w:rPr>
          <w:rFonts w:ascii="Calibri" w:hAnsi="Calibri"/>
          <w:color w:val="231F20"/>
          <w:w w:val="105"/>
          <w:sz w:val="17"/>
        </w:rPr>
        <w:t>conexión.</w:t>
      </w:r>
      <w:r>
        <w:rPr>
          <w:rFonts w:ascii="Calibri" w:hAnsi="Calibri"/>
          <w:color w:val="231F20"/>
          <w:spacing w:val="-13"/>
          <w:w w:val="105"/>
          <w:sz w:val="17"/>
        </w:rPr>
        <w:t> </w:t>
      </w:r>
      <w:r>
        <w:rPr>
          <w:rFonts w:ascii="Calibri" w:hAnsi="Calibri"/>
          <w:color w:val="231F20"/>
          <w:w w:val="105"/>
          <w:sz w:val="17"/>
        </w:rPr>
        <w:t>No</w:t>
      </w:r>
      <w:r>
        <w:rPr>
          <w:rFonts w:ascii="Calibri" w:hAnsi="Calibri"/>
          <w:color w:val="231F20"/>
          <w:spacing w:val="-13"/>
          <w:w w:val="105"/>
          <w:sz w:val="17"/>
        </w:rPr>
        <w:t> </w:t>
      </w:r>
      <w:r>
        <w:rPr>
          <w:rFonts w:ascii="Calibri" w:hAnsi="Calibri"/>
          <w:color w:val="231F20"/>
          <w:w w:val="105"/>
          <w:sz w:val="17"/>
        </w:rPr>
        <w:t>hay</w:t>
      </w:r>
      <w:r>
        <w:rPr>
          <w:rFonts w:ascii="Calibri" w:hAnsi="Calibri"/>
          <w:color w:val="231F20"/>
          <w:spacing w:val="-13"/>
          <w:w w:val="105"/>
          <w:sz w:val="17"/>
        </w:rPr>
        <w:t> </w:t>
      </w:r>
      <w:r>
        <w:rPr>
          <w:rFonts w:ascii="Calibri" w:hAnsi="Calibri"/>
          <w:color w:val="231F20"/>
          <w:w w:val="105"/>
          <w:sz w:val="17"/>
        </w:rPr>
        <w:t>origen</w:t>
      </w:r>
      <w:r>
        <w:rPr>
          <w:rFonts w:ascii="Calibri" w:hAnsi="Calibri"/>
          <w:color w:val="231F20"/>
          <w:spacing w:val="-13"/>
          <w:w w:val="105"/>
          <w:sz w:val="17"/>
        </w:rPr>
        <w:t> </w:t>
      </w:r>
      <w:r>
        <w:rPr>
          <w:rFonts w:ascii="Calibri" w:hAnsi="Calibri"/>
          <w:color w:val="231F20"/>
          <w:w w:val="105"/>
          <w:sz w:val="17"/>
        </w:rPr>
        <w:t>sino</w:t>
      </w:r>
      <w:r>
        <w:rPr>
          <w:rFonts w:ascii="Calibri" w:hAnsi="Calibri"/>
          <w:color w:val="231F20"/>
          <w:spacing w:val="-13"/>
          <w:w w:val="105"/>
          <w:sz w:val="17"/>
        </w:rPr>
        <w:t> </w:t>
      </w:r>
      <w:r>
        <w:rPr>
          <w:rFonts w:ascii="Calibri" w:hAnsi="Calibri"/>
          <w:color w:val="231F20"/>
          <w:w w:val="105"/>
          <w:sz w:val="17"/>
        </w:rPr>
        <w:t>sólo</w:t>
      </w:r>
      <w:r>
        <w:rPr>
          <w:rFonts w:ascii="Calibri" w:hAnsi="Calibri"/>
          <w:color w:val="231F20"/>
          <w:spacing w:val="-13"/>
          <w:w w:val="105"/>
          <w:sz w:val="17"/>
        </w:rPr>
        <w:t> </w:t>
      </w:r>
      <w:r>
        <w:rPr>
          <w:rFonts w:ascii="Calibri" w:hAnsi="Calibri"/>
          <w:color w:val="231F20"/>
          <w:w w:val="105"/>
          <w:sz w:val="17"/>
        </w:rPr>
        <w:t>superficie,</w:t>
      </w:r>
      <w:r>
        <w:rPr>
          <w:rFonts w:ascii="Calibri" w:hAnsi="Calibri"/>
          <w:color w:val="231F20"/>
          <w:spacing w:val="-13"/>
          <w:w w:val="105"/>
          <w:sz w:val="17"/>
        </w:rPr>
        <w:t> </w:t>
      </w:r>
      <w:r>
        <w:rPr>
          <w:rFonts w:ascii="Calibri" w:hAnsi="Calibri"/>
          <w:color w:val="231F20"/>
          <w:w w:val="105"/>
          <w:sz w:val="17"/>
        </w:rPr>
        <w:t>así,</w:t>
      </w:r>
      <w:r>
        <w:rPr>
          <w:rFonts w:ascii="Calibri" w:hAnsi="Calibri"/>
          <w:color w:val="231F20"/>
          <w:spacing w:val="-13"/>
          <w:w w:val="105"/>
          <w:sz w:val="17"/>
        </w:rPr>
        <w:t> </w:t>
      </w:r>
      <w:r>
        <w:rPr>
          <w:rFonts w:ascii="Calibri" w:hAnsi="Calibri"/>
          <w:color w:val="231F20"/>
          <w:w w:val="105"/>
          <w:sz w:val="17"/>
        </w:rPr>
        <w:t>los</w:t>
      </w:r>
      <w:r>
        <w:rPr>
          <w:rFonts w:ascii="Calibri" w:hAnsi="Calibri"/>
          <w:color w:val="231F20"/>
          <w:spacing w:val="-13"/>
          <w:w w:val="105"/>
          <w:sz w:val="17"/>
        </w:rPr>
        <w:t> </w:t>
      </w:r>
      <w:r>
        <w:rPr>
          <w:rFonts w:ascii="Calibri" w:hAnsi="Calibri"/>
          <w:color w:val="231F20"/>
          <w:w w:val="105"/>
          <w:sz w:val="17"/>
        </w:rPr>
        <w:t>simulacros</w:t>
      </w:r>
      <w:r>
        <w:rPr>
          <w:rFonts w:ascii="Calibri" w:hAnsi="Calibri"/>
          <w:color w:val="231F20"/>
          <w:spacing w:val="-13"/>
          <w:w w:val="105"/>
          <w:sz w:val="17"/>
        </w:rPr>
        <w:t> </w:t>
      </w:r>
      <w:r>
        <w:rPr>
          <w:rFonts w:ascii="Calibri" w:hAnsi="Calibri"/>
          <w:color w:val="231F20"/>
          <w:w w:val="105"/>
          <w:sz w:val="17"/>
        </w:rPr>
        <w:t>lo</w:t>
      </w:r>
      <w:r>
        <w:rPr>
          <w:rFonts w:ascii="Calibri" w:hAnsi="Calibri"/>
          <w:color w:val="231F20"/>
          <w:spacing w:val="-13"/>
          <w:w w:val="105"/>
          <w:sz w:val="17"/>
        </w:rPr>
        <w:t> </w:t>
      </w:r>
      <w:r>
        <w:rPr>
          <w:rFonts w:ascii="Calibri" w:hAnsi="Calibri"/>
          <w:color w:val="231F20"/>
          <w:w w:val="105"/>
          <w:sz w:val="17"/>
        </w:rPr>
        <w:t>son todo,</w:t>
      </w:r>
      <w:r>
        <w:rPr>
          <w:rFonts w:ascii="Calibri" w:hAnsi="Calibri"/>
          <w:color w:val="231F20"/>
          <w:spacing w:val="-19"/>
          <w:w w:val="105"/>
          <w:sz w:val="17"/>
        </w:rPr>
        <w:t> </w:t>
      </w:r>
      <w:r>
        <w:rPr>
          <w:rFonts w:ascii="Calibri" w:hAnsi="Calibri"/>
          <w:color w:val="231F20"/>
          <w:w w:val="105"/>
          <w:sz w:val="17"/>
        </w:rPr>
        <w:t>pues</w:t>
      </w:r>
      <w:r>
        <w:rPr>
          <w:rFonts w:ascii="Calibri" w:hAnsi="Calibri"/>
          <w:color w:val="231F20"/>
          <w:spacing w:val="-21"/>
          <w:w w:val="105"/>
          <w:sz w:val="17"/>
        </w:rPr>
        <w:t> </w:t>
      </w:r>
      <w:r>
        <w:rPr>
          <w:rFonts w:ascii="Calibri" w:hAnsi="Calibri"/>
          <w:color w:val="231F20"/>
          <w:w w:val="105"/>
          <w:sz w:val="17"/>
        </w:rPr>
        <w:t>ya</w:t>
      </w:r>
      <w:r>
        <w:rPr>
          <w:rFonts w:ascii="Calibri" w:hAnsi="Calibri"/>
          <w:color w:val="231F20"/>
          <w:spacing w:val="-19"/>
          <w:w w:val="105"/>
          <w:sz w:val="17"/>
        </w:rPr>
        <w:t> </w:t>
      </w:r>
      <w:r>
        <w:rPr>
          <w:rFonts w:ascii="Calibri" w:hAnsi="Calibri"/>
          <w:color w:val="231F20"/>
          <w:w w:val="105"/>
          <w:sz w:val="17"/>
        </w:rPr>
        <w:t>no</w:t>
      </w:r>
      <w:r>
        <w:rPr>
          <w:rFonts w:ascii="Calibri" w:hAnsi="Calibri"/>
          <w:color w:val="231F20"/>
          <w:spacing w:val="-19"/>
          <w:w w:val="105"/>
          <w:sz w:val="17"/>
        </w:rPr>
        <w:t> </w:t>
      </w:r>
      <w:r>
        <w:rPr>
          <w:rFonts w:ascii="Calibri" w:hAnsi="Calibri"/>
          <w:color w:val="231F20"/>
          <w:w w:val="105"/>
          <w:sz w:val="17"/>
        </w:rPr>
        <w:t>tienen</w:t>
      </w:r>
      <w:r>
        <w:rPr>
          <w:rFonts w:ascii="Calibri" w:hAnsi="Calibri"/>
          <w:color w:val="231F20"/>
          <w:spacing w:val="-19"/>
          <w:w w:val="105"/>
          <w:sz w:val="17"/>
        </w:rPr>
        <w:t> </w:t>
      </w:r>
      <w:r>
        <w:rPr>
          <w:rFonts w:ascii="Calibri" w:hAnsi="Calibri"/>
          <w:color w:val="231F20"/>
          <w:w w:val="105"/>
          <w:sz w:val="17"/>
        </w:rPr>
        <w:t>original</w:t>
      </w:r>
      <w:r>
        <w:rPr>
          <w:rFonts w:ascii="Calibri" w:hAnsi="Calibri"/>
          <w:color w:val="231F20"/>
          <w:spacing w:val="-19"/>
          <w:w w:val="105"/>
          <w:sz w:val="17"/>
        </w:rPr>
        <w:t> </w:t>
      </w:r>
      <w:r>
        <w:rPr>
          <w:rFonts w:ascii="Calibri" w:hAnsi="Calibri"/>
          <w:color w:val="231F20"/>
          <w:w w:val="105"/>
          <w:sz w:val="17"/>
        </w:rPr>
        <w:t>al</w:t>
      </w:r>
      <w:r>
        <w:rPr>
          <w:rFonts w:ascii="Calibri" w:hAnsi="Calibri"/>
          <w:color w:val="231F20"/>
          <w:spacing w:val="-19"/>
          <w:w w:val="105"/>
          <w:sz w:val="17"/>
        </w:rPr>
        <w:t> </w:t>
      </w:r>
      <w:r>
        <w:rPr>
          <w:rFonts w:ascii="Calibri" w:hAnsi="Calibri"/>
          <w:color w:val="231F20"/>
          <w:w w:val="105"/>
          <w:sz w:val="17"/>
        </w:rPr>
        <w:t>cual</w:t>
      </w:r>
      <w:r>
        <w:rPr>
          <w:rFonts w:ascii="Calibri" w:hAnsi="Calibri"/>
          <w:color w:val="231F20"/>
          <w:spacing w:val="-19"/>
          <w:w w:val="105"/>
          <w:sz w:val="17"/>
        </w:rPr>
        <w:t> </w:t>
      </w:r>
      <w:r>
        <w:rPr>
          <w:rFonts w:ascii="Calibri" w:hAnsi="Calibri"/>
          <w:color w:val="231F20"/>
          <w:w w:val="105"/>
          <w:sz w:val="17"/>
        </w:rPr>
        <w:t>responder.</w:t>
      </w:r>
      <w:r>
        <w:rPr>
          <w:rFonts w:ascii="Calibri" w:hAnsi="Calibri"/>
          <w:color w:val="231F20"/>
          <w:spacing w:val="-19"/>
          <w:w w:val="105"/>
          <w:sz w:val="17"/>
        </w:rPr>
        <w:t> </w:t>
      </w:r>
      <w:r>
        <w:rPr>
          <w:rFonts w:ascii="Calibri" w:hAnsi="Calibri"/>
          <w:color w:val="231F20"/>
          <w:w w:val="105"/>
          <w:sz w:val="17"/>
        </w:rPr>
        <w:t>El</w:t>
      </w:r>
      <w:r>
        <w:rPr>
          <w:rFonts w:ascii="Calibri" w:hAnsi="Calibri"/>
          <w:color w:val="231F20"/>
          <w:spacing w:val="-19"/>
          <w:w w:val="105"/>
          <w:sz w:val="17"/>
        </w:rPr>
        <w:t> </w:t>
      </w:r>
      <w:r>
        <w:rPr>
          <w:rFonts w:ascii="Calibri" w:hAnsi="Calibri"/>
          <w:color w:val="231F20"/>
          <w:w w:val="105"/>
          <w:sz w:val="17"/>
        </w:rPr>
        <w:t>mundo</w:t>
      </w:r>
      <w:r>
        <w:rPr>
          <w:rFonts w:ascii="Calibri" w:hAnsi="Calibri"/>
          <w:color w:val="231F20"/>
          <w:spacing w:val="-19"/>
          <w:w w:val="105"/>
          <w:sz w:val="17"/>
        </w:rPr>
        <w:t> </w:t>
      </w:r>
      <w:r>
        <w:rPr>
          <w:rFonts w:ascii="Calibri" w:hAnsi="Calibri"/>
          <w:color w:val="231F20"/>
          <w:w w:val="105"/>
          <w:sz w:val="17"/>
        </w:rPr>
        <w:t>responde</w:t>
      </w:r>
      <w:r>
        <w:rPr>
          <w:rFonts w:ascii="Calibri" w:hAnsi="Calibri"/>
          <w:color w:val="231F20"/>
          <w:spacing w:val="-19"/>
          <w:w w:val="105"/>
          <w:sz w:val="17"/>
        </w:rPr>
        <w:t> </w:t>
      </w:r>
      <w:r>
        <w:rPr>
          <w:rFonts w:ascii="Calibri" w:hAnsi="Calibri"/>
          <w:color w:val="231F20"/>
          <w:w w:val="105"/>
          <w:sz w:val="17"/>
        </w:rPr>
        <w:t>a</w:t>
      </w:r>
      <w:r>
        <w:rPr>
          <w:rFonts w:ascii="Calibri" w:hAnsi="Calibri"/>
          <w:color w:val="231F20"/>
          <w:spacing w:val="-19"/>
          <w:w w:val="105"/>
          <w:sz w:val="17"/>
        </w:rPr>
        <w:t> </w:t>
      </w:r>
      <w:r>
        <w:rPr>
          <w:rFonts w:ascii="Calibri" w:hAnsi="Calibri"/>
          <w:color w:val="231F20"/>
          <w:w w:val="105"/>
          <w:sz w:val="17"/>
        </w:rPr>
        <w:t>una</w:t>
      </w:r>
      <w:r>
        <w:rPr>
          <w:rFonts w:ascii="Calibri" w:hAnsi="Calibri"/>
          <w:color w:val="231F20"/>
          <w:spacing w:val="-19"/>
          <w:w w:val="105"/>
          <w:sz w:val="17"/>
        </w:rPr>
        <w:t> </w:t>
      </w:r>
      <w:r>
        <w:rPr>
          <w:rFonts w:ascii="Calibri" w:hAnsi="Calibri"/>
          <w:color w:val="231F20"/>
          <w:w w:val="105"/>
          <w:sz w:val="17"/>
        </w:rPr>
        <w:t>interminable</w:t>
      </w:r>
      <w:r>
        <w:rPr>
          <w:rFonts w:ascii="Calibri" w:hAnsi="Calibri"/>
          <w:color w:val="231F20"/>
          <w:spacing w:val="-19"/>
          <w:w w:val="105"/>
          <w:sz w:val="17"/>
        </w:rPr>
        <w:t> </w:t>
      </w:r>
      <w:r>
        <w:rPr>
          <w:rFonts w:ascii="Calibri" w:hAnsi="Calibri"/>
          <w:color w:val="231F20"/>
          <w:w w:val="105"/>
          <w:sz w:val="17"/>
        </w:rPr>
        <w:t>dinámica de</w:t>
      </w:r>
      <w:r>
        <w:rPr>
          <w:rFonts w:ascii="Calibri" w:hAnsi="Calibri"/>
          <w:color w:val="231F20"/>
          <w:spacing w:val="-24"/>
          <w:w w:val="105"/>
          <w:sz w:val="17"/>
        </w:rPr>
        <w:t> </w:t>
      </w:r>
      <w:r>
        <w:rPr>
          <w:rFonts w:ascii="Calibri" w:hAnsi="Calibri"/>
          <w:color w:val="231F20"/>
          <w:w w:val="105"/>
          <w:sz w:val="17"/>
        </w:rPr>
        <w:t>conexiones</w:t>
      </w:r>
      <w:r>
        <w:rPr>
          <w:rFonts w:ascii="Calibri" w:hAnsi="Calibri"/>
          <w:color w:val="231F20"/>
          <w:spacing w:val="-24"/>
          <w:w w:val="105"/>
          <w:sz w:val="17"/>
        </w:rPr>
        <w:t> </w:t>
      </w:r>
      <w:r>
        <w:rPr>
          <w:rFonts w:ascii="Calibri" w:hAnsi="Calibri"/>
          <w:color w:val="231F20"/>
          <w:w w:val="105"/>
          <w:sz w:val="17"/>
        </w:rPr>
        <w:t>y</w:t>
      </w:r>
      <w:r>
        <w:rPr>
          <w:rFonts w:ascii="Calibri" w:hAnsi="Calibri"/>
          <w:color w:val="231F20"/>
          <w:spacing w:val="-24"/>
          <w:w w:val="105"/>
          <w:sz w:val="17"/>
        </w:rPr>
        <w:t> </w:t>
      </w:r>
      <w:r>
        <w:rPr>
          <w:rFonts w:ascii="Calibri" w:hAnsi="Calibri"/>
          <w:color w:val="231F20"/>
          <w:w w:val="105"/>
          <w:sz w:val="17"/>
        </w:rPr>
        <w:t>desconexiones,</w:t>
      </w:r>
      <w:r>
        <w:rPr>
          <w:rFonts w:ascii="Calibri" w:hAnsi="Calibri"/>
          <w:color w:val="231F20"/>
          <w:spacing w:val="-24"/>
          <w:w w:val="105"/>
          <w:sz w:val="17"/>
        </w:rPr>
        <w:t> </w:t>
      </w:r>
      <w:r>
        <w:rPr>
          <w:rFonts w:ascii="Calibri" w:hAnsi="Calibri"/>
          <w:color w:val="231F20"/>
          <w:w w:val="105"/>
          <w:sz w:val="17"/>
        </w:rPr>
        <w:t>acoplamientos</w:t>
      </w:r>
      <w:r>
        <w:rPr>
          <w:rFonts w:ascii="Calibri" w:hAnsi="Calibri"/>
          <w:color w:val="231F20"/>
          <w:spacing w:val="-24"/>
          <w:w w:val="105"/>
          <w:sz w:val="17"/>
        </w:rPr>
        <w:t> </w:t>
      </w:r>
      <w:r>
        <w:rPr>
          <w:rFonts w:ascii="Calibri" w:hAnsi="Calibri"/>
          <w:color w:val="231F20"/>
          <w:w w:val="105"/>
          <w:sz w:val="17"/>
        </w:rPr>
        <w:t>y</w:t>
      </w:r>
      <w:r>
        <w:rPr>
          <w:rFonts w:ascii="Calibri" w:hAnsi="Calibri"/>
          <w:color w:val="231F20"/>
          <w:spacing w:val="-24"/>
          <w:w w:val="105"/>
          <w:sz w:val="17"/>
        </w:rPr>
        <w:t> </w:t>
      </w:r>
      <w:r>
        <w:rPr>
          <w:rFonts w:ascii="Calibri" w:hAnsi="Calibri"/>
          <w:color w:val="231F20"/>
          <w:w w:val="105"/>
          <w:sz w:val="17"/>
        </w:rPr>
        <w:t>desacoplamientos,</w:t>
      </w:r>
      <w:r>
        <w:rPr>
          <w:rFonts w:ascii="Calibri" w:hAnsi="Calibri"/>
          <w:color w:val="231F20"/>
          <w:spacing w:val="-24"/>
          <w:w w:val="105"/>
          <w:sz w:val="17"/>
        </w:rPr>
        <w:t> </w:t>
      </w:r>
      <w:r>
        <w:rPr>
          <w:rFonts w:ascii="Calibri" w:hAnsi="Calibri"/>
          <w:color w:val="231F20"/>
          <w:w w:val="105"/>
          <w:sz w:val="17"/>
        </w:rPr>
        <w:t>territorializaciones</w:t>
      </w:r>
      <w:r>
        <w:rPr>
          <w:rFonts w:ascii="Calibri" w:hAnsi="Calibri"/>
          <w:color w:val="231F20"/>
          <w:spacing w:val="-24"/>
          <w:w w:val="105"/>
          <w:sz w:val="17"/>
        </w:rPr>
        <w:t> </w:t>
      </w:r>
      <w:r>
        <w:rPr>
          <w:rFonts w:ascii="Calibri" w:hAnsi="Calibri"/>
          <w:color w:val="231F20"/>
          <w:w w:val="105"/>
          <w:sz w:val="17"/>
        </w:rPr>
        <w:t>y</w:t>
      </w:r>
      <w:r>
        <w:rPr>
          <w:rFonts w:ascii="Calibri" w:hAnsi="Calibri"/>
          <w:color w:val="231F20"/>
          <w:spacing w:val="-24"/>
          <w:w w:val="105"/>
          <w:sz w:val="17"/>
        </w:rPr>
        <w:t> </w:t>
      </w:r>
      <w:r>
        <w:rPr>
          <w:rFonts w:ascii="Calibri" w:hAnsi="Calibri"/>
          <w:color w:val="231F20"/>
          <w:w w:val="105"/>
          <w:sz w:val="17"/>
        </w:rPr>
        <w:t>desterri- torializaciones,</w:t>
      </w:r>
      <w:r>
        <w:rPr>
          <w:rFonts w:ascii="Calibri" w:hAnsi="Calibri"/>
          <w:color w:val="231F20"/>
          <w:spacing w:val="-15"/>
          <w:w w:val="105"/>
          <w:sz w:val="17"/>
        </w:rPr>
        <w:t> </w:t>
      </w:r>
      <w:r>
        <w:rPr>
          <w:rFonts w:ascii="Calibri" w:hAnsi="Calibri"/>
          <w:color w:val="231F20"/>
          <w:w w:val="105"/>
          <w:sz w:val="17"/>
        </w:rPr>
        <w:t>de</w:t>
      </w:r>
      <w:r>
        <w:rPr>
          <w:rFonts w:ascii="Calibri" w:hAnsi="Calibri"/>
          <w:color w:val="231F20"/>
          <w:spacing w:val="-15"/>
          <w:w w:val="105"/>
          <w:sz w:val="17"/>
        </w:rPr>
        <w:t> </w:t>
      </w:r>
      <w:r>
        <w:rPr>
          <w:rFonts w:ascii="Calibri" w:hAnsi="Calibri"/>
          <w:color w:val="231F20"/>
          <w:w w:val="105"/>
          <w:sz w:val="17"/>
        </w:rPr>
        <w:t>diferencias</w:t>
      </w:r>
      <w:r>
        <w:rPr>
          <w:rFonts w:ascii="Calibri" w:hAnsi="Calibri"/>
          <w:color w:val="231F20"/>
          <w:spacing w:val="-15"/>
          <w:w w:val="105"/>
          <w:sz w:val="17"/>
        </w:rPr>
        <w:t> </w:t>
      </w:r>
      <w:r>
        <w:rPr>
          <w:rFonts w:ascii="Calibri" w:hAnsi="Calibri"/>
          <w:color w:val="231F20"/>
          <w:w w:val="105"/>
          <w:sz w:val="17"/>
        </w:rPr>
        <w:t>que</w:t>
      </w:r>
      <w:r>
        <w:rPr>
          <w:rFonts w:ascii="Calibri" w:hAnsi="Calibri"/>
          <w:color w:val="231F20"/>
          <w:spacing w:val="-15"/>
          <w:w w:val="105"/>
          <w:sz w:val="17"/>
        </w:rPr>
        <w:t> </w:t>
      </w:r>
      <w:r>
        <w:rPr>
          <w:rFonts w:ascii="Calibri" w:hAnsi="Calibri"/>
          <w:color w:val="231F20"/>
          <w:w w:val="105"/>
          <w:sz w:val="17"/>
        </w:rPr>
        <w:t>se</w:t>
      </w:r>
      <w:r>
        <w:rPr>
          <w:rFonts w:ascii="Calibri" w:hAnsi="Calibri"/>
          <w:color w:val="231F20"/>
          <w:spacing w:val="-15"/>
          <w:w w:val="105"/>
          <w:sz w:val="17"/>
        </w:rPr>
        <w:t> </w:t>
      </w:r>
      <w:r>
        <w:rPr>
          <w:rFonts w:ascii="Calibri" w:hAnsi="Calibri"/>
          <w:color w:val="231F20"/>
          <w:w w:val="105"/>
          <w:sz w:val="17"/>
        </w:rPr>
        <w:t>conectan</w:t>
      </w:r>
      <w:r>
        <w:rPr>
          <w:rFonts w:ascii="Calibri" w:hAnsi="Calibri"/>
          <w:color w:val="231F20"/>
          <w:spacing w:val="-15"/>
          <w:w w:val="105"/>
          <w:sz w:val="17"/>
        </w:rPr>
        <w:t> </w:t>
      </w:r>
      <w:r>
        <w:rPr>
          <w:rFonts w:ascii="Calibri" w:hAnsi="Calibri"/>
          <w:color w:val="231F20"/>
          <w:w w:val="105"/>
          <w:sz w:val="17"/>
        </w:rPr>
        <w:t>con</w:t>
      </w:r>
      <w:r>
        <w:rPr>
          <w:rFonts w:ascii="Calibri" w:hAnsi="Calibri"/>
          <w:color w:val="231F20"/>
          <w:spacing w:val="-15"/>
          <w:w w:val="105"/>
          <w:sz w:val="17"/>
        </w:rPr>
        <w:t> </w:t>
      </w:r>
      <w:r>
        <w:rPr>
          <w:rFonts w:ascii="Calibri" w:hAnsi="Calibri"/>
          <w:color w:val="231F20"/>
          <w:w w:val="105"/>
          <w:sz w:val="17"/>
        </w:rPr>
        <w:t>otras</w:t>
      </w:r>
      <w:r>
        <w:rPr>
          <w:rFonts w:ascii="Calibri" w:hAnsi="Calibri"/>
          <w:color w:val="231F20"/>
          <w:spacing w:val="-15"/>
          <w:w w:val="105"/>
          <w:sz w:val="17"/>
        </w:rPr>
        <w:t> </w:t>
      </w:r>
      <w:r>
        <w:rPr>
          <w:rFonts w:ascii="Calibri" w:hAnsi="Calibri"/>
          <w:color w:val="231F20"/>
          <w:w w:val="105"/>
          <w:sz w:val="17"/>
        </w:rPr>
        <w:t>diferencias</w:t>
      </w:r>
      <w:r>
        <w:rPr>
          <w:rFonts w:ascii="Calibri" w:hAnsi="Calibri"/>
          <w:color w:val="231F20"/>
          <w:spacing w:val="-15"/>
          <w:w w:val="105"/>
          <w:sz w:val="17"/>
        </w:rPr>
        <w:t> </w:t>
      </w:r>
      <w:r>
        <w:rPr>
          <w:rFonts w:ascii="Calibri" w:hAnsi="Calibri"/>
          <w:color w:val="231F20"/>
          <w:w w:val="105"/>
          <w:sz w:val="17"/>
        </w:rPr>
        <w:t>a</w:t>
      </w:r>
      <w:r>
        <w:rPr>
          <w:rFonts w:ascii="Calibri" w:hAnsi="Calibri"/>
          <w:color w:val="231F20"/>
          <w:spacing w:val="-15"/>
          <w:w w:val="105"/>
          <w:sz w:val="17"/>
        </w:rPr>
        <w:t> </w:t>
      </w:r>
      <w:r>
        <w:rPr>
          <w:rFonts w:ascii="Calibri" w:hAnsi="Calibri"/>
          <w:color w:val="231F20"/>
          <w:w w:val="105"/>
          <w:sz w:val="17"/>
        </w:rPr>
        <w:t>partir</w:t>
      </w:r>
      <w:r>
        <w:rPr>
          <w:rFonts w:ascii="Calibri" w:hAnsi="Calibri"/>
          <w:color w:val="231F20"/>
          <w:spacing w:val="-15"/>
          <w:w w:val="105"/>
          <w:sz w:val="17"/>
        </w:rPr>
        <w:t> </w:t>
      </w:r>
      <w:r>
        <w:rPr>
          <w:rFonts w:ascii="Calibri" w:hAnsi="Calibri"/>
          <w:color w:val="231F20"/>
          <w:w w:val="105"/>
          <w:sz w:val="17"/>
        </w:rPr>
        <w:t>de</w:t>
      </w:r>
      <w:r>
        <w:rPr>
          <w:rFonts w:ascii="Calibri" w:hAnsi="Calibri"/>
          <w:color w:val="231F20"/>
          <w:spacing w:val="-15"/>
          <w:w w:val="105"/>
          <w:sz w:val="17"/>
        </w:rPr>
        <w:t> </w:t>
      </w:r>
      <w:r>
        <w:rPr>
          <w:rFonts w:ascii="Calibri" w:hAnsi="Calibri"/>
          <w:color w:val="231F20"/>
          <w:w w:val="105"/>
          <w:sz w:val="17"/>
        </w:rPr>
        <w:t>sus</w:t>
      </w:r>
      <w:r>
        <w:rPr>
          <w:rFonts w:ascii="Calibri" w:hAnsi="Calibri"/>
          <w:color w:val="231F20"/>
          <w:spacing w:val="-15"/>
          <w:w w:val="105"/>
          <w:sz w:val="17"/>
        </w:rPr>
        <w:t> </w:t>
      </w:r>
      <w:r>
        <w:rPr>
          <w:rFonts w:ascii="Calibri" w:hAnsi="Calibri"/>
          <w:color w:val="231F20"/>
          <w:w w:val="105"/>
          <w:sz w:val="17"/>
        </w:rPr>
        <w:t>diferencias:</w:t>
      </w:r>
      <w:r>
        <w:rPr>
          <w:rFonts w:ascii="Calibri" w:hAnsi="Calibri"/>
          <w:color w:val="231F20"/>
          <w:spacing w:val="-15"/>
          <w:w w:val="105"/>
          <w:sz w:val="17"/>
        </w:rPr>
        <w:t> </w:t>
      </w:r>
      <w:r>
        <w:rPr>
          <w:rFonts w:ascii="Calibri" w:hAnsi="Calibri"/>
          <w:color w:val="231F20"/>
          <w:w w:val="105"/>
          <w:sz w:val="17"/>
        </w:rPr>
        <w:t>“El simulacro</w:t>
      </w:r>
      <w:r>
        <w:rPr>
          <w:rFonts w:ascii="Calibri" w:hAnsi="Calibri"/>
          <w:color w:val="231F20"/>
          <w:spacing w:val="-15"/>
          <w:w w:val="105"/>
          <w:sz w:val="17"/>
        </w:rPr>
        <w:t> </w:t>
      </w:r>
      <w:r>
        <w:rPr>
          <w:rFonts w:ascii="Calibri" w:hAnsi="Calibri"/>
          <w:color w:val="231F20"/>
          <w:w w:val="105"/>
          <w:sz w:val="17"/>
        </w:rPr>
        <w:t>es</w:t>
      </w:r>
      <w:r>
        <w:rPr>
          <w:rFonts w:ascii="Calibri" w:hAnsi="Calibri"/>
          <w:color w:val="231F20"/>
          <w:spacing w:val="-15"/>
          <w:w w:val="105"/>
          <w:sz w:val="17"/>
        </w:rPr>
        <w:t> </w:t>
      </w:r>
      <w:r>
        <w:rPr>
          <w:rFonts w:ascii="Calibri" w:hAnsi="Calibri"/>
          <w:color w:val="231F20"/>
          <w:w w:val="105"/>
          <w:sz w:val="17"/>
        </w:rPr>
        <w:t>el</w:t>
      </w:r>
      <w:r>
        <w:rPr>
          <w:rFonts w:ascii="Calibri" w:hAnsi="Calibri"/>
          <w:color w:val="231F20"/>
          <w:spacing w:val="-15"/>
          <w:w w:val="105"/>
          <w:sz w:val="17"/>
        </w:rPr>
        <w:t> </w:t>
      </w:r>
      <w:r>
        <w:rPr>
          <w:rFonts w:ascii="Calibri" w:hAnsi="Calibri"/>
          <w:color w:val="231F20"/>
          <w:w w:val="105"/>
          <w:sz w:val="17"/>
        </w:rPr>
        <w:t>sistema</w:t>
      </w:r>
      <w:r>
        <w:rPr>
          <w:rFonts w:ascii="Calibri" w:hAnsi="Calibri"/>
          <w:color w:val="231F20"/>
          <w:spacing w:val="-15"/>
          <w:w w:val="105"/>
          <w:sz w:val="17"/>
        </w:rPr>
        <w:t> </w:t>
      </w:r>
      <w:r>
        <w:rPr>
          <w:rFonts w:ascii="Calibri" w:hAnsi="Calibri"/>
          <w:color w:val="231F20"/>
          <w:w w:val="105"/>
          <w:sz w:val="17"/>
        </w:rPr>
        <w:t>donde</w:t>
      </w:r>
      <w:r>
        <w:rPr>
          <w:rFonts w:ascii="Calibri" w:hAnsi="Calibri"/>
          <w:color w:val="231F20"/>
          <w:spacing w:val="-15"/>
          <w:w w:val="105"/>
          <w:sz w:val="17"/>
        </w:rPr>
        <w:t> </w:t>
      </w:r>
      <w:r>
        <w:rPr>
          <w:rFonts w:ascii="Calibri" w:hAnsi="Calibri"/>
          <w:color w:val="231F20"/>
          <w:w w:val="105"/>
          <w:sz w:val="17"/>
        </w:rPr>
        <w:t>lo</w:t>
      </w:r>
      <w:r>
        <w:rPr>
          <w:rFonts w:ascii="Calibri" w:hAnsi="Calibri"/>
          <w:color w:val="231F20"/>
          <w:spacing w:val="-15"/>
          <w:w w:val="105"/>
          <w:sz w:val="17"/>
        </w:rPr>
        <w:t> </w:t>
      </w:r>
      <w:r>
        <w:rPr>
          <w:rFonts w:ascii="Calibri" w:hAnsi="Calibri"/>
          <w:color w:val="231F20"/>
          <w:w w:val="105"/>
          <w:sz w:val="17"/>
        </w:rPr>
        <w:t>diferente</w:t>
      </w:r>
      <w:r>
        <w:rPr>
          <w:rFonts w:ascii="Calibri" w:hAnsi="Calibri"/>
          <w:color w:val="231F20"/>
          <w:spacing w:val="-15"/>
          <w:w w:val="105"/>
          <w:sz w:val="17"/>
        </w:rPr>
        <w:t> </w:t>
      </w:r>
      <w:r>
        <w:rPr>
          <w:rFonts w:ascii="Calibri" w:hAnsi="Calibri"/>
          <w:color w:val="231F20"/>
          <w:w w:val="105"/>
          <w:sz w:val="17"/>
        </w:rPr>
        <w:t>se</w:t>
      </w:r>
      <w:r>
        <w:rPr>
          <w:rFonts w:ascii="Calibri" w:hAnsi="Calibri"/>
          <w:color w:val="231F20"/>
          <w:spacing w:val="-15"/>
          <w:w w:val="105"/>
          <w:sz w:val="17"/>
        </w:rPr>
        <w:t> </w:t>
      </w:r>
      <w:r>
        <w:rPr>
          <w:rFonts w:ascii="Calibri" w:hAnsi="Calibri"/>
          <w:color w:val="231F20"/>
          <w:w w:val="105"/>
          <w:sz w:val="17"/>
        </w:rPr>
        <w:t>relaciona</w:t>
      </w:r>
      <w:r>
        <w:rPr>
          <w:rFonts w:ascii="Calibri" w:hAnsi="Calibri"/>
          <w:color w:val="231F20"/>
          <w:spacing w:val="-15"/>
          <w:w w:val="105"/>
          <w:sz w:val="17"/>
        </w:rPr>
        <w:t> </w:t>
      </w:r>
      <w:r>
        <w:rPr>
          <w:rFonts w:ascii="Calibri" w:hAnsi="Calibri"/>
          <w:color w:val="231F20"/>
          <w:w w:val="105"/>
          <w:sz w:val="17"/>
        </w:rPr>
        <w:t>con</w:t>
      </w:r>
      <w:r>
        <w:rPr>
          <w:rFonts w:ascii="Calibri" w:hAnsi="Calibri"/>
          <w:color w:val="231F20"/>
          <w:spacing w:val="-15"/>
          <w:w w:val="105"/>
          <w:sz w:val="17"/>
        </w:rPr>
        <w:t> </w:t>
      </w:r>
      <w:r>
        <w:rPr>
          <w:rFonts w:ascii="Calibri" w:hAnsi="Calibri"/>
          <w:color w:val="231F20"/>
          <w:w w:val="105"/>
          <w:sz w:val="17"/>
        </w:rPr>
        <w:t>los</w:t>
      </w:r>
      <w:r>
        <w:rPr>
          <w:rFonts w:ascii="Calibri" w:hAnsi="Calibri"/>
          <w:color w:val="231F20"/>
          <w:spacing w:val="-15"/>
          <w:w w:val="105"/>
          <w:sz w:val="17"/>
        </w:rPr>
        <w:t> </w:t>
      </w:r>
      <w:r>
        <w:rPr>
          <w:rFonts w:ascii="Calibri" w:hAnsi="Calibri"/>
          <w:color w:val="231F20"/>
          <w:w w:val="105"/>
          <w:sz w:val="17"/>
        </w:rPr>
        <w:t>diferentes</w:t>
      </w:r>
      <w:r>
        <w:rPr>
          <w:rFonts w:ascii="Calibri" w:hAnsi="Calibri"/>
          <w:color w:val="231F20"/>
          <w:spacing w:val="-15"/>
          <w:w w:val="105"/>
          <w:sz w:val="17"/>
        </w:rPr>
        <w:t> </w:t>
      </w:r>
      <w:r>
        <w:rPr>
          <w:rFonts w:ascii="Calibri" w:hAnsi="Calibri"/>
          <w:color w:val="231F20"/>
          <w:w w:val="105"/>
          <w:sz w:val="17"/>
        </w:rPr>
        <w:t>por</w:t>
      </w:r>
      <w:r>
        <w:rPr>
          <w:rFonts w:ascii="Calibri" w:hAnsi="Calibri"/>
          <w:color w:val="231F20"/>
          <w:spacing w:val="-15"/>
          <w:w w:val="105"/>
          <w:sz w:val="17"/>
        </w:rPr>
        <w:t> </w:t>
      </w:r>
      <w:r>
        <w:rPr>
          <w:rFonts w:ascii="Calibri" w:hAnsi="Calibri"/>
          <w:color w:val="231F20"/>
          <w:w w:val="105"/>
          <w:sz w:val="17"/>
        </w:rPr>
        <w:t>la</w:t>
      </w:r>
      <w:r>
        <w:rPr>
          <w:rFonts w:ascii="Calibri" w:hAnsi="Calibri"/>
          <w:color w:val="231F20"/>
          <w:spacing w:val="-15"/>
          <w:w w:val="105"/>
          <w:sz w:val="17"/>
        </w:rPr>
        <w:t> </w:t>
      </w:r>
      <w:r>
        <w:rPr>
          <w:rFonts w:ascii="Calibri" w:hAnsi="Calibri"/>
          <w:color w:val="231F20"/>
          <w:w w:val="105"/>
          <w:sz w:val="17"/>
        </w:rPr>
        <w:t>diferencia</w:t>
      </w:r>
      <w:r>
        <w:rPr>
          <w:rFonts w:ascii="Calibri" w:hAnsi="Calibri"/>
          <w:color w:val="231F20"/>
          <w:spacing w:val="-15"/>
          <w:w w:val="105"/>
          <w:sz w:val="17"/>
        </w:rPr>
        <w:t> </w:t>
      </w:r>
      <w:r>
        <w:rPr>
          <w:rFonts w:ascii="Calibri" w:hAnsi="Calibri"/>
          <w:color w:val="231F20"/>
          <w:w w:val="105"/>
          <w:sz w:val="17"/>
        </w:rPr>
        <w:t>misma” (Deleuze,</w:t>
      </w:r>
      <w:r>
        <w:rPr>
          <w:rFonts w:ascii="Calibri" w:hAnsi="Calibri"/>
          <w:color w:val="231F20"/>
          <w:spacing w:val="-7"/>
          <w:w w:val="105"/>
          <w:sz w:val="17"/>
        </w:rPr>
        <w:t> </w:t>
      </w:r>
      <w:r>
        <w:rPr>
          <w:rFonts w:ascii="Calibri" w:hAnsi="Calibri"/>
          <w:color w:val="231F20"/>
          <w:w w:val="105"/>
          <w:sz w:val="17"/>
        </w:rPr>
        <w:t>Différence</w:t>
      </w:r>
      <w:r>
        <w:rPr>
          <w:rFonts w:ascii="Calibri" w:hAnsi="Calibri"/>
          <w:color w:val="231F20"/>
          <w:spacing w:val="-7"/>
          <w:w w:val="105"/>
          <w:sz w:val="17"/>
        </w:rPr>
        <w:t> </w:t>
      </w:r>
      <w:r>
        <w:rPr>
          <w:rFonts w:ascii="Calibri" w:hAnsi="Calibri"/>
          <w:color w:val="231F20"/>
          <w:w w:val="105"/>
          <w:sz w:val="17"/>
        </w:rPr>
        <w:t>et</w:t>
      </w:r>
      <w:r>
        <w:rPr>
          <w:rFonts w:ascii="Calibri" w:hAnsi="Calibri"/>
          <w:color w:val="231F20"/>
          <w:spacing w:val="-7"/>
          <w:w w:val="105"/>
          <w:sz w:val="17"/>
        </w:rPr>
        <w:t> </w:t>
      </w:r>
      <w:r>
        <w:rPr>
          <w:rFonts w:ascii="Calibri" w:hAnsi="Calibri"/>
          <w:color w:val="231F20"/>
          <w:w w:val="105"/>
          <w:sz w:val="17"/>
        </w:rPr>
        <w:t>répétition,</w:t>
      </w:r>
      <w:r>
        <w:rPr>
          <w:rFonts w:ascii="Calibri" w:hAnsi="Calibri"/>
          <w:color w:val="231F20"/>
          <w:spacing w:val="-7"/>
          <w:w w:val="105"/>
          <w:sz w:val="17"/>
        </w:rPr>
        <w:t> </w:t>
      </w:r>
      <w:r>
        <w:rPr>
          <w:rFonts w:ascii="Calibri" w:hAnsi="Calibri"/>
          <w:color w:val="231F20"/>
          <w:w w:val="105"/>
          <w:sz w:val="17"/>
        </w:rPr>
        <w:t>p.</w:t>
      </w:r>
      <w:r>
        <w:rPr>
          <w:rFonts w:ascii="Calibri" w:hAnsi="Calibri"/>
          <w:color w:val="231F20"/>
          <w:spacing w:val="-7"/>
          <w:w w:val="105"/>
          <w:sz w:val="17"/>
        </w:rPr>
        <w:t> </w:t>
      </w:r>
      <w:r>
        <w:rPr>
          <w:rFonts w:ascii="Calibri" w:hAnsi="Calibri"/>
          <w:color w:val="231F20"/>
          <w:w w:val="105"/>
          <w:sz w:val="17"/>
        </w:rPr>
        <w:t>355).</w:t>
      </w:r>
      <w:r>
        <w:rPr>
          <w:rFonts w:ascii="Calibri" w:hAnsi="Calibri"/>
          <w:color w:val="231F20"/>
          <w:spacing w:val="-7"/>
          <w:w w:val="105"/>
          <w:sz w:val="17"/>
        </w:rPr>
        <w:t> </w:t>
      </w:r>
      <w:r>
        <w:rPr>
          <w:rFonts w:ascii="Calibri" w:hAnsi="Calibri"/>
          <w:color w:val="231F20"/>
          <w:w w:val="105"/>
          <w:sz w:val="17"/>
        </w:rPr>
        <w:t>Cabe</w:t>
      </w:r>
      <w:r>
        <w:rPr>
          <w:rFonts w:ascii="Calibri" w:hAnsi="Calibri"/>
          <w:color w:val="231F20"/>
          <w:spacing w:val="-7"/>
          <w:w w:val="105"/>
          <w:sz w:val="17"/>
        </w:rPr>
        <w:t> </w:t>
      </w:r>
      <w:r>
        <w:rPr>
          <w:rFonts w:ascii="Calibri" w:hAnsi="Calibri"/>
          <w:color w:val="231F20"/>
          <w:w w:val="105"/>
          <w:sz w:val="17"/>
        </w:rPr>
        <w:t>también</w:t>
      </w:r>
      <w:r>
        <w:rPr>
          <w:rFonts w:ascii="Calibri" w:hAnsi="Calibri"/>
          <w:color w:val="231F20"/>
          <w:spacing w:val="-7"/>
          <w:w w:val="105"/>
          <w:sz w:val="17"/>
        </w:rPr>
        <w:t> </w:t>
      </w:r>
      <w:r>
        <w:rPr>
          <w:rFonts w:ascii="Calibri" w:hAnsi="Calibri"/>
          <w:color w:val="231F20"/>
          <w:w w:val="105"/>
          <w:sz w:val="17"/>
        </w:rPr>
        <w:t>aclarar</w:t>
      </w:r>
      <w:r>
        <w:rPr>
          <w:rFonts w:ascii="Calibri" w:hAnsi="Calibri"/>
          <w:color w:val="231F20"/>
          <w:spacing w:val="-7"/>
          <w:w w:val="105"/>
          <w:sz w:val="17"/>
        </w:rPr>
        <w:t> </w:t>
      </w:r>
      <w:r>
        <w:rPr>
          <w:rFonts w:ascii="Calibri" w:hAnsi="Calibri"/>
          <w:color w:val="231F20"/>
          <w:w w:val="105"/>
          <w:sz w:val="17"/>
        </w:rPr>
        <w:t>que</w:t>
      </w:r>
      <w:r>
        <w:rPr>
          <w:rFonts w:ascii="Calibri" w:hAnsi="Calibri"/>
          <w:color w:val="231F20"/>
          <w:spacing w:val="-7"/>
          <w:w w:val="105"/>
          <w:sz w:val="17"/>
        </w:rPr>
        <w:t> </w:t>
      </w:r>
      <w:r>
        <w:rPr>
          <w:rFonts w:ascii="Calibri" w:hAnsi="Calibri"/>
          <w:color w:val="231F20"/>
          <w:w w:val="105"/>
          <w:sz w:val="17"/>
        </w:rPr>
        <w:t>por</w:t>
      </w:r>
      <w:r>
        <w:rPr>
          <w:rFonts w:ascii="Calibri" w:hAnsi="Calibri"/>
          <w:color w:val="231F20"/>
          <w:spacing w:val="-7"/>
          <w:w w:val="105"/>
          <w:sz w:val="17"/>
        </w:rPr>
        <w:t> </w:t>
      </w:r>
      <w:r>
        <w:rPr>
          <w:rFonts w:ascii="Calibri" w:hAnsi="Calibri"/>
          <w:color w:val="231F20"/>
          <w:w w:val="105"/>
          <w:sz w:val="17"/>
        </w:rPr>
        <w:t>intensivo</w:t>
      </w:r>
      <w:r>
        <w:rPr>
          <w:rFonts w:ascii="Calibri" w:hAnsi="Calibri"/>
          <w:color w:val="231F20"/>
          <w:spacing w:val="-7"/>
          <w:w w:val="105"/>
          <w:sz w:val="17"/>
        </w:rPr>
        <w:t> </w:t>
      </w:r>
      <w:r>
        <w:rPr>
          <w:rFonts w:ascii="Calibri" w:hAnsi="Calibri"/>
          <w:color w:val="231F20"/>
          <w:w w:val="105"/>
          <w:sz w:val="17"/>
        </w:rPr>
        <w:t>Deleuze</w:t>
      </w:r>
      <w:r>
        <w:rPr>
          <w:rFonts w:ascii="Calibri" w:hAnsi="Calibri"/>
          <w:color w:val="231F20"/>
          <w:spacing w:val="-7"/>
          <w:w w:val="105"/>
          <w:sz w:val="17"/>
        </w:rPr>
        <w:t> </w:t>
      </w:r>
      <w:r>
        <w:rPr>
          <w:rFonts w:ascii="Calibri" w:hAnsi="Calibri"/>
          <w:color w:val="231F20"/>
          <w:w w:val="105"/>
          <w:sz w:val="17"/>
        </w:rPr>
        <w:t>com- prende</w:t>
      </w:r>
      <w:r>
        <w:rPr>
          <w:rFonts w:ascii="Calibri" w:hAnsi="Calibri"/>
          <w:color w:val="231F20"/>
          <w:spacing w:val="-12"/>
          <w:w w:val="105"/>
          <w:sz w:val="17"/>
        </w:rPr>
        <w:t> </w:t>
      </w:r>
      <w:r>
        <w:rPr>
          <w:rFonts w:ascii="Calibri" w:hAnsi="Calibri"/>
          <w:color w:val="231F20"/>
          <w:w w:val="105"/>
          <w:sz w:val="17"/>
        </w:rPr>
        <w:t>todo</w:t>
      </w:r>
      <w:r>
        <w:rPr>
          <w:rFonts w:ascii="Calibri" w:hAnsi="Calibri"/>
          <w:color w:val="231F20"/>
          <w:spacing w:val="-12"/>
          <w:w w:val="105"/>
          <w:sz w:val="17"/>
        </w:rPr>
        <w:t> </w:t>
      </w:r>
      <w:r>
        <w:rPr>
          <w:rFonts w:ascii="Calibri" w:hAnsi="Calibri"/>
          <w:color w:val="231F20"/>
          <w:w w:val="105"/>
          <w:sz w:val="17"/>
        </w:rPr>
        <w:t>movimiento</w:t>
      </w:r>
      <w:r>
        <w:rPr>
          <w:rFonts w:ascii="Calibri" w:hAnsi="Calibri"/>
          <w:color w:val="231F20"/>
          <w:spacing w:val="-12"/>
          <w:w w:val="105"/>
          <w:sz w:val="17"/>
        </w:rPr>
        <w:t> </w:t>
      </w:r>
      <w:r>
        <w:rPr>
          <w:rFonts w:ascii="Calibri" w:hAnsi="Calibri"/>
          <w:color w:val="231F20"/>
          <w:w w:val="105"/>
          <w:sz w:val="17"/>
        </w:rPr>
        <w:t>que</w:t>
      </w:r>
      <w:r>
        <w:rPr>
          <w:rFonts w:ascii="Calibri" w:hAnsi="Calibri"/>
          <w:color w:val="231F20"/>
          <w:spacing w:val="-12"/>
          <w:w w:val="105"/>
          <w:sz w:val="17"/>
        </w:rPr>
        <w:t> </w:t>
      </w:r>
      <w:r>
        <w:rPr>
          <w:rFonts w:ascii="Calibri" w:hAnsi="Calibri"/>
          <w:color w:val="231F20"/>
          <w:w w:val="105"/>
          <w:sz w:val="17"/>
        </w:rPr>
        <w:t>acontece</w:t>
      </w:r>
      <w:r>
        <w:rPr>
          <w:rFonts w:ascii="Calibri" w:hAnsi="Calibri"/>
          <w:color w:val="231F20"/>
          <w:spacing w:val="-12"/>
          <w:w w:val="105"/>
          <w:sz w:val="17"/>
        </w:rPr>
        <w:t> </w:t>
      </w:r>
      <w:r>
        <w:rPr>
          <w:rFonts w:ascii="Calibri" w:hAnsi="Calibri"/>
          <w:color w:val="231F20"/>
          <w:w w:val="105"/>
          <w:sz w:val="17"/>
        </w:rPr>
        <w:t>en</w:t>
      </w:r>
      <w:r>
        <w:rPr>
          <w:rFonts w:ascii="Calibri" w:hAnsi="Calibri"/>
          <w:color w:val="231F20"/>
          <w:spacing w:val="-12"/>
          <w:w w:val="105"/>
          <w:sz w:val="17"/>
        </w:rPr>
        <w:t> </w:t>
      </w:r>
      <w:r>
        <w:rPr>
          <w:rFonts w:ascii="Calibri" w:hAnsi="Calibri"/>
          <w:color w:val="231F20"/>
          <w:w w:val="105"/>
          <w:sz w:val="17"/>
        </w:rPr>
        <w:t>el</w:t>
      </w:r>
      <w:r>
        <w:rPr>
          <w:rFonts w:ascii="Calibri" w:hAnsi="Calibri"/>
          <w:color w:val="231F20"/>
          <w:spacing w:val="-12"/>
          <w:w w:val="105"/>
          <w:sz w:val="17"/>
        </w:rPr>
        <w:t> </w:t>
      </w:r>
      <w:r>
        <w:rPr>
          <w:rFonts w:ascii="Calibri" w:hAnsi="Calibri"/>
          <w:color w:val="231F20"/>
          <w:w w:val="105"/>
          <w:sz w:val="17"/>
        </w:rPr>
        <w:t>mismo</w:t>
      </w:r>
      <w:r>
        <w:rPr>
          <w:rFonts w:ascii="Calibri" w:hAnsi="Calibri"/>
          <w:color w:val="231F20"/>
          <w:spacing w:val="-12"/>
          <w:w w:val="105"/>
          <w:sz w:val="17"/>
        </w:rPr>
        <w:t> </w:t>
      </w:r>
      <w:r>
        <w:rPr>
          <w:rFonts w:ascii="Calibri" w:hAnsi="Calibri"/>
          <w:color w:val="231F20"/>
          <w:w w:val="105"/>
          <w:sz w:val="17"/>
        </w:rPr>
        <w:t>lugar</w:t>
      </w:r>
      <w:r>
        <w:rPr>
          <w:rFonts w:ascii="Calibri" w:hAnsi="Calibri"/>
          <w:color w:val="231F20"/>
          <w:spacing w:val="-13"/>
          <w:w w:val="105"/>
          <w:sz w:val="17"/>
        </w:rPr>
        <w:t> </w:t>
      </w:r>
      <w:r>
        <w:rPr>
          <w:rFonts w:ascii="Calibri" w:hAnsi="Calibri"/>
          <w:color w:val="231F20"/>
          <w:w w:val="105"/>
          <w:sz w:val="17"/>
        </w:rPr>
        <w:t>y</w:t>
      </w:r>
      <w:r>
        <w:rPr>
          <w:rFonts w:ascii="Calibri" w:hAnsi="Calibri"/>
          <w:color w:val="231F20"/>
          <w:spacing w:val="-12"/>
          <w:w w:val="105"/>
          <w:sz w:val="17"/>
        </w:rPr>
        <w:t> </w:t>
      </w:r>
      <w:r>
        <w:rPr>
          <w:rFonts w:ascii="Calibri" w:hAnsi="Calibri"/>
          <w:color w:val="231F20"/>
          <w:w w:val="105"/>
          <w:sz w:val="17"/>
        </w:rPr>
        <w:t>que</w:t>
      </w:r>
      <w:r>
        <w:rPr>
          <w:rFonts w:ascii="Calibri" w:hAnsi="Calibri"/>
          <w:color w:val="231F20"/>
          <w:spacing w:val="-14"/>
          <w:w w:val="105"/>
          <w:sz w:val="17"/>
        </w:rPr>
        <w:t> </w:t>
      </w:r>
      <w:r>
        <w:rPr>
          <w:rFonts w:ascii="Calibri" w:hAnsi="Calibri"/>
          <w:color w:val="231F20"/>
          <w:w w:val="105"/>
          <w:sz w:val="17"/>
        </w:rPr>
        <w:t>varía</w:t>
      </w:r>
      <w:r>
        <w:rPr>
          <w:rFonts w:ascii="Calibri" w:hAnsi="Calibri"/>
          <w:color w:val="231F20"/>
          <w:spacing w:val="-12"/>
          <w:w w:val="105"/>
          <w:sz w:val="17"/>
        </w:rPr>
        <w:t> </w:t>
      </w:r>
      <w:r>
        <w:rPr>
          <w:rFonts w:ascii="Calibri" w:hAnsi="Calibri"/>
          <w:color w:val="231F20"/>
          <w:w w:val="105"/>
          <w:sz w:val="17"/>
        </w:rPr>
        <w:t>por</w:t>
      </w:r>
      <w:r>
        <w:rPr>
          <w:rFonts w:ascii="Calibri" w:hAnsi="Calibri"/>
          <w:color w:val="231F20"/>
          <w:spacing w:val="-12"/>
          <w:w w:val="105"/>
          <w:sz w:val="17"/>
        </w:rPr>
        <w:t> </w:t>
      </w:r>
      <w:r>
        <w:rPr>
          <w:rFonts w:ascii="Calibri" w:hAnsi="Calibri"/>
          <w:color w:val="231F20"/>
          <w:w w:val="105"/>
          <w:sz w:val="17"/>
        </w:rPr>
        <w:t>su</w:t>
      </w:r>
      <w:r>
        <w:rPr>
          <w:rFonts w:ascii="Calibri" w:hAnsi="Calibri"/>
          <w:color w:val="231F20"/>
          <w:spacing w:val="-12"/>
          <w:w w:val="105"/>
          <w:sz w:val="17"/>
        </w:rPr>
        <w:t> </w:t>
      </w:r>
      <w:r>
        <w:rPr>
          <w:rFonts w:ascii="Calibri" w:hAnsi="Calibri"/>
          <w:color w:val="231F20"/>
          <w:w w:val="105"/>
          <w:sz w:val="17"/>
        </w:rPr>
        <w:t>propia</w:t>
      </w:r>
      <w:r>
        <w:rPr>
          <w:rFonts w:ascii="Calibri" w:hAnsi="Calibri"/>
          <w:color w:val="231F20"/>
          <w:spacing w:val="-12"/>
          <w:w w:val="105"/>
          <w:sz w:val="17"/>
        </w:rPr>
        <w:t> </w:t>
      </w:r>
      <w:r>
        <w:rPr>
          <w:rFonts w:ascii="Calibri" w:hAnsi="Calibri"/>
          <w:color w:val="231F20"/>
          <w:w w:val="105"/>
          <w:sz w:val="17"/>
        </w:rPr>
        <w:t>diferenciación</w:t>
      </w:r>
    </w:p>
    <w:p>
      <w:pPr>
        <w:pStyle w:val="BodyText"/>
        <w:rPr>
          <w:rFonts w:ascii="Calibri"/>
          <w:sz w:val="20"/>
        </w:rPr>
      </w:pPr>
    </w:p>
    <w:p>
      <w:pPr>
        <w:pStyle w:val="BodyText"/>
        <w:spacing w:before="10"/>
        <w:rPr>
          <w:rFonts w:ascii="Calibri"/>
          <w:sz w:val="27"/>
        </w:rPr>
      </w:pPr>
    </w:p>
    <w:p>
      <w:pPr>
        <w:tabs>
          <w:tab w:pos="1331" w:val="left" w:leader="none"/>
        </w:tabs>
        <w:spacing w:before="68"/>
        <w:ind w:left="281" w:right="0" w:firstLine="0"/>
        <w:jc w:val="left"/>
        <w:rPr>
          <w:rFonts w:ascii="Calibri" w:hAnsi="Calibri"/>
          <w:sz w:val="16"/>
        </w:rPr>
      </w:pPr>
      <w:r>
        <w:rPr/>
        <w:pict>
          <v:group style="position:absolute;margin-left:98.787804pt;margin-top:-3.358812pt;width:20.4pt;height:43pt;mso-position-horizontal-relative:page;mso-position-vertical-relative:paragraph;z-index:-170680"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hAnsi="Arial"/>
          <w:color w:val="414042"/>
          <w:position w:val="-4"/>
          <w:sz w:val="20"/>
        </w:rPr>
        <w:t>82</w:t>
        <w:tab/>
      </w:r>
      <w:r>
        <w:rPr>
          <w:rFonts w:ascii="Calibri" w:hAnsi="Calibri"/>
          <w:color w:val="6D6E71"/>
          <w:sz w:val="16"/>
        </w:rPr>
        <w:t>María Luisa Bacarlett</w:t>
      </w:r>
      <w:r>
        <w:rPr>
          <w:rFonts w:ascii="Calibri" w:hAnsi="Calibri"/>
          <w:color w:val="6D6E71"/>
          <w:spacing w:val="33"/>
          <w:sz w:val="16"/>
        </w:rPr>
        <w:t> </w:t>
      </w:r>
      <w:r>
        <w:rPr>
          <w:rFonts w:ascii="Calibri" w:hAnsi="Calibri"/>
          <w:color w:val="6D6E71"/>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335" w:right="0" w:firstLine="0"/>
        <w:jc w:val="left"/>
        <w:rPr>
          <w:rFonts w:ascii="Arial" w:hAnsi="Arial"/>
          <w:sz w:val="20"/>
        </w:rPr>
      </w:pPr>
      <w:r>
        <w:rPr/>
        <w:pict>
          <v:group style="position:absolute;margin-left:383.821014pt;margin-top:-25.479271pt;width:8.65pt;height:41pt;mso-position-horizontal-relative:page;mso-position-vertical-relative:paragraph;z-index:-17065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NATURALIZAR</w:t>
      </w:r>
      <w:r>
        <w:rPr>
          <w:rFonts w:ascii="Lucida Sans Unicode" w:hAnsi="Lucida Sans Unicode"/>
          <w:color w:val="6D6E71"/>
          <w:spacing w:val="-19"/>
          <w:w w:val="95"/>
          <w:sz w:val="14"/>
        </w:rPr>
        <w:t> </w:t>
      </w:r>
      <w:r>
        <w:rPr>
          <w:rFonts w:ascii="Lucida Sans Unicode" w:hAnsi="Lucida Sans Unicode"/>
          <w:color w:val="6D6E71"/>
          <w:w w:val="95"/>
          <w:sz w:val="14"/>
        </w:rPr>
        <w:t>LAS</w:t>
      </w:r>
      <w:r>
        <w:rPr>
          <w:rFonts w:ascii="Lucida Sans Unicode" w:hAnsi="Lucida Sans Unicode"/>
          <w:color w:val="6D6E71"/>
          <w:spacing w:val="-19"/>
          <w:w w:val="95"/>
          <w:sz w:val="14"/>
        </w:rPr>
        <w:t> </w:t>
      </w:r>
      <w:r>
        <w:rPr>
          <w:rFonts w:ascii="Lucida Sans Unicode" w:hAnsi="Lucida Sans Unicode"/>
          <w:color w:val="6D6E71"/>
          <w:w w:val="95"/>
          <w:sz w:val="14"/>
        </w:rPr>
        <w:t>PARADOJAS:</w:t>
      </w:r>
      <w:r>
        <w:rPr>
          <w:rFonts w:ascii="Lucida Sans Unicode" w:hAnsi="Lucida Sans Unicode"/>
          <w:color w:val="6D6E71"/>
          <w:spacing w:val="-19"/>
          <w:w w:val="95"/>
          <w:sz w:val="14"/>
        </w:rPr>
        <w:t> </w:t>
      </w:r>
      <w:r>
        <w:rPr>
          <w:rFonts w:ascii="Lucida Sans Unicode" w:hAnsi="Lucida Sans Unicode"/>
          <w:color w:val="6D6E71"/>
          <w:w w:val="95"/>
          <w:sz w:val="14"/>
        </w:rPr>
        <w:t>UN</w:t>
      </w:r>
      <w:r>
        <w:rPr>
          <w:rFonts w:ascii="Lucida Sans Unicode" w:hAnsi="Lucida Sans Unicode"/>
          <w:color w:val="6D6E71"/>
          <w:spacing w:val="-19"/>
          <w:w w:val="95"/>
          <w:sz w:val="14"/>
        </w:rPr>
        <w:t> </w:t>
      </w:r>
      <w:r>
        <w:rPr>
          <w:rFonts w:ascii="Lucida Sans Unicode" w:hAnsi="Lucida Sans Unicode"/>
          <w:color w:val="6D6E71"/>
          <w:w w:val="95"/>
          <w:sz w:val="14"/>
        </w:rPr>
        <w:t>ACERCAMIENTO</w:t>
      </w:r>
      <w:r>
        <w:rPr>
          <w:rFonts w:ascii="Lucida Sans Unicode" w:hAnsi="Lucida Sans Unicode"/>
          <w:color w:val="6D6E71"/>
          <w:spacing w:val="-19"/>
          <w:w w:val="95"/>
          <w:sz w:val="14"/>
        </w:rPr>
        <w:t> </w:t>
      </w:r>
      <w:r>
        <w:rPr>
          <w:rFonts w:ascii="Lucida Sans Unicode" w:hAnsi="Lucida Sans Unicode"/>
          <w:color w:val="6D6E71"/>
          <w:w w:val="95"/>
          <w:sz w:val="14"/>
        </w:rPr>
        <w:t>A</w:t>
      </w:r>
      <w:r>
        <w:rPr>
          <w:rFonts w:ascii="Lucida Sans Unicode" w:hAnsi="Lucida Sans Unicode"/>
          <w:color w:val="6D6E71"/>
          <w:spacing w:val="-19"/>
          <w:w w:val="95"/>
          <w:sz w:val="14"/>
        </w:rPr>
        <w:t> </w:t>
      </w:r>
      <w:r>
        <w:rPr>
          <w:rFonts w:ascii="Lucida Sans Unicode" w:hAnsi="Lucida Sans Unicode"/>
          <w:color w:val="6D6E71"/>
          <w:w w:val="95"/>
          <w:sz w:val="14"/>
        </w:rPr>
        <w:t>LA</w:t>
      </w:r>
      <w:r>
        <w:rPr>
          <w:rFonts w:ascii="Lucida Sans Unicode" w:hAnsi="Lucida Sans Unicode"/>
          <w:color w:val="6D6E71"/>
          <w:spacing w:val="-19"/>
          <w:w w:val="95"/>
          <w:sz w:val="14"/>
        </w:rPr>
        <w:t> </w:t>
      </w:r>
      <w:r>
        <w:rPr>
          <w:rFonts w:ascii="Lucida Sans Unicode" w:hAnsi="Lucida Sans Unicode"/>
          <w:color w:val="6D6E71"/>
          <w:w w:val="95"/>
          <w:sz w:val="14"/>
        </w:rPr>
        <w:t>GLOBALIZACIÓN</w:t>
      </w:r>
      <w:r>
        <w:rPr>
          <w:rFonts w:ascii="Lucida Sans Unicode" w:hAnsi="Lucida Sans Unicode"/>
          <w:color w:val="6D6E71"/>
          <w:spacing w:val="-19"/>
          <w:w w:val="95"/>
          <w:sz w:val="14"/>
        </w:rPr>
        <w:t> </w:t>
      </w:r>
      <w:r>
        <w:rPr>
          <w:rFonts w:ascii="Lucida Sans Unicode" w:hAnsi="Lucida Sans Unicode"/>
          <w:color w:val="6D6E71"/>
          <w:w w:val="95"/>
          <w:sz w:val="14"/>
        </w:rPr>
        <w:t>DESDE</w:t>
      </w:r>
      <w:r>
        <w:rPr>
          <w:rFonts w:ascii="Lucida Sans Unicode" w:hAnsi="Lucida Sans Unicode"/>
          <w:color w:val="6D6E71"/>
          <w:spacing w:val="-19"/>
          <w:w w:val="95"/>
          <w:sz w:val="14"/>
        </w:rPr>
        <w:t> </w:t>
      </w:r>
      <w:r>
        <w:rPr>
          <w:rFonts w:ascii="Lucida Sans Unicode" w:hAnsi="Lucida Sans Unicode"/>
          <w:color w:val="6D6E71"/>
          <w:w w:val="95"/>
          <w:sz w:val="14"/>
        </w:rPr>
        <w:t>GILLES</w:t>
      </w:r>
      <w:r>
        <w:rPr>
          <w:rFonts w:ascii="Lucida Sans Unicode" w:hAnsi="Lucida Sans Unicode"/>
          <w:color w:val="6D6E71"/>
          <w:spacing w:val="-19"/>
          <w:w w:val="95"/>
          <w:sz w:val="14"/>
        </w:rPr>
        <w:t> </w:t>
      </w:r>
      <w:r>
        <w:rPr>
          <w:rFonts w:ascii="Lucida Sans Unicode" w:hAnsi="Lucida Sans Unicode"/>
          <w:color w:val="6D6E71"/>
          <w:w w:val="95"/>
          <w:sz w:val="14"/>
        </w:rPr>
        <w:t>DELEUZE</w:t>
      </w:r>
      <w:r>
        <w:rPr>
          <w:rFonts w:ascii="Arial" w:hAnsi="Arial"/>
          <w:color w:val="414042"/>
          <w:w w:val="95"/>
          <w:position w:val="-3"/>
          <w:sz w:val="20"/>
        </w:rPr>
        <w:tab/>
        <w:t>83</w:t>
      </w:r>
    </w:p>
    <w:p>
      <w:pPr>
        <w:pStyle w:val="BodyText"/>
        <w:spacing w:line="247" w:lineRule="auto" w:before="623"/>
        <w:ind w:left="117" w:right="101"/>
        <w:jc w:val="both"/>
      </w:pPr>
      <w:r>
        <w:rPr>
          <w:color w:val="231F20"/>
          <w:w w:val="105"/>
        </w:rPr>
        <w:t>sólo</w:t>
      </w:r>
      <w:r>
        <w:rPr>
          <w:color w:val="231F20"/>
          <w:spacing w:val="-35"/>
          <w:w w:val="105"/>
        </w:rPr>
        <w:t> </w:t>
      </w:r>
      <w:r>
        <w:rPr>
          <w:color w:val="231F20"/>
          <w:w w:val="105"/>
        </w:rPr>
        <w:t>porque</w:t>
      </w:r>
      <w:r>
        <w:rPr>
          <w:color w:val="231F20"/>
          <w:spacing w:val="-34"/>
          <w:w w:val="105"/>
        </w:rPr>
        <w:t> </w:t>
      </w:r>
      <w:r>
        <w:rPr>
          <w:color w:val="231F20"/>
          <w:w w:val="105"/>
        </w:rPr>
        <w:t>lo</w:t>
      </w:r>
      <w:r>
        <w:rPr>
          <w:color w:val="231F20"/>
          <w:spacing w:val="-34"/>
          <w:w w:val="105"/>
        </w:rPr>
        <w:t> </w:t>
      </w:r>
      <w:r>
        <w:rPr>
          <w:color w:val="231F20"/>
          <w:w w:val="105"/>
        </w:rPr>
        <w:t>singular</w:t>
      </w:r>
      <w:r>
        <w:rPr>
          <w:color w:val="231F20"/>
          <w:spacing w:val="-34"/>
          <w:w w:val="105"/>
        </w:rPr>
        <w:t> </w:t>
      </w:r>
      <w:r>
        <w:rPr>
          <w:color w:val="231F20"/>
          <w:w w:val="105"/>
        </w:rPr>
        <w:t>y</w:t>
      </w:r>
      <w:r>
        <w:rPr>
          <w:color w:val="231F20"/>
          <w:spacing w:val="-35"/>
          <w:w w:val="105"/>
        </w:rPr>
        <w:t> </w:t>
      </w:r>
      <w:r>
        <w:rPr>
          <w:color w:val="231F20"/>
          <w:w w:val="105"/>
        </w:rPr>
        <w:t>local</w:t>
      </w:r>
      <w:r>
        <w:rPr>
          <w:color w:val="231F20"/>
          <w:spacing w:val="-35"/>
          <w:w w:val="105"/>
        </w:rPr>
        <w:t> </w:t>
      </w:r>
      <w:r>
        <w:rPr>
          <w:color w:val="231F20"/>
          <w:w w:val="105"/>
        </w:rPr>
        <w:t>se</w:t>
      </w:r>
      <w:r>
        <w:rPr>
          <w:color w:val="231F20"/>
          <w:spacing w:val="-35"/>
          <w:w w:val="105"/>
        </w:rPr>
        <w:t> </w:t>
      </w:r>
      <w:r>
        <w:rPr>
          <w:color w:val="231F20"/>
          <w:w w:val="105"/>
        </w:rPr>
        <w:t>homogenizan,</w:t>
      </w:r>
      <w:r>
        <w:rPr>
          <w:color w:val="231F20"/>
          <w:spacing w:val="-34"/>
          <w:w w:val="105"/>
        </w:rPr>
        <w:t> </w:t>
      </w:r>
      <w:r>
        <w:rPr>
          <w:color w:val="231F20"/>
          <w:w w:val="105"/>
        </w:rPr>
        <w:t>sino</w:t>
      </w:r>
      <w:r>
        <w:rPr>
          <w:color w:val="231F20"/>
          <w:spacing w:val="-35"/>
          <w:w w:val="105"/>
        </w:rPr>
        <w:t> </w:t>
      </w:r>
      <w:r>
        <w:rPr>
          <w:color w:val="231F20"/>
          <w:w w:val="105"/>
        </w:rPr>
        <w:t>también</w:t>
      </w:r>
      <w:r>
        <w:rPr>
          <w:color w:val="231F20"/>
          <w:spacing w:val="-35"/>
          <w:w w:val="105"/>
        </w:rPr>
        <w:t> </w:t>
      </w:r>
      <w:r>
        <w:rPr>
          <w:color w:val="231F20"/>
          <w:w w:val="105"/>
        </w:rPr>
        <w:t>porque</w:t>
      </w:r>
      <w:r>
        <w:rPr>
          <w:color w:val="231F20"/>
          <w:spacing w:val="-35"/>
          <w:w w:val="105"/>
        </w:rPr>
        <w:t> </w:t>
      </w:r>
      <w:r>
        <w:rPr>
          <w:color w:val="231F20"/>
          <w:w w:val="105"/>
        </w:rPr>
        <w:t>no</w:t>
      </w:r>
      <w:r>
        <w:rPr>
          <w:color w:val="231F20"/>
          <w:spacing w:val="-35"/>
          <w:w w:val="105"/>
        </w:rPr>
        <w:t> </w:t>
      </w:r>
      <w:r>
        <w:rPr>
          <w:color w:val="231F20"/>
          <w:w w:val="105"/>
        </w:rPr>
        <w:t>los puede</w:t>
      </w:r>
      <w:r>
        <w:rPr>
          <w:color w:val="231F20"/>
          <w:spacing w:val="-41"/>
          <w:w w:val="105"/>
        </w:rPr>
        <w:t> </w:t>
      </w:r>
      <w:r>
        <w:rPr>
          <w:color w:val="231F20"/>
          <w:w w:val="105"/>
        </w:rPr>
        <w:t>integrar</w:t>
      </w:r>
      <w:r>
        <w:rPr>
          <w:color w:val="231F20"/>
          <w:spacing w:val="-41"/>
          <w:w w:val="105"/>
        </w:rPr>
        <w:t> </w:t>
      </w:r>
      <w:r>
        <w:rPr>
          <w:color w:val="231F20"/>
          <w:w w:val="105"/>
        </w:rPr>
        <w:t>sin</w:t>
      </w:r>
      <w:r>
        <w:rPr>
          <w:color w:val="231F20"/>
          <w:spacing w:val="-41"/>
          <w:w w:val="105"/>
        </w:rPr>
        <w:t> </w:t>
      </w:r>
      <w:r>
        <w:rPr>
          <w:color w:val="231F20"/>
          <w:w w:val="105"/>
        </w:rPr>
        <w:t>darles</w:t>
      </w:r>
      <w:r>
        <w:rPr>
          <w:color w:val="231F20"/>
          <w:spacing w:val="-41"/>
          <w:w w:val="105"/>
        </w:rPr>
        <w:t> </w:t>
      </w:r>
      <w:r>
        <w:rPr>
          <w:color w:val="231F20"/>
          <w:w w:val="105"/>
        </w:rPr>
        <w:t>un</w:t>
      </w:r>
      <w:r>
        <w:rPr>
          <w:color w:val="231F20"/>
          <w:spacing w:val="-41"/>
          <w:w w:val="105"/>
        </w:rPr>
        <w:t> </w:t>
      </w:r>
      <w:r>
        <w:rPr>
          <w:color w:val="231F20"/>
          <w:w w:val="105"/>
        </w:rPr>
        <w:t>nombre,</w:t>
      </w:r>
      <w:r>
        <w:rPr>
          <w:color w:val="231F20"/>
          <w:spacing w:val="-41"/>
          <w:w w:val="105"/>
        </w:rPr>
        <w:t> </w:t>
      </w:r>
      <w:r>
        <w:rPr>
          <w:color w:val="231F20"/>
          <w:w w:val="105"/>
        </w:rPr>
        <w:t>una</w:t>
      </w:r>
      <w:r>
        <w:rPr>
          <w:color w:val="231F20"/>
          <w:spacing w:val="-41"/>
          <w:w w:val="105"/>
        </w:rPr>
        <w:t> </w:t>
      </w:r>
      <w:r>
        <w:rPr>
          <w:color w:val="231F20"/>
          <w:w w:val="105"/>
        </w:rPr>
        <w:t>etiqueta,</w:t>
      </w:r>
      <w:r>
        <w:rPr>
          <w:color w:val="231F20"/>
          <w:spacing w:val="-41"/>
          <w:w w:val="105"/>
        </w:rPr>
        <w:t> </w:t>
      </w:r>
      <w:r>
        <w:rPr>
          <w:color w:val="231F20"/>
          <w:w w:val="105"/>
        </w:rPr>
        <w:t>una</w:t>
      </w:r>
      <w:r>
        <w:rPr>
          <w:color w:val="231F20"/>
          <w:spacing w:val="-41"/>
          <w:w w:val="105"/>
        </w:rPr>
        <w:t> </w:t>
      </w:r>
      <w:r>
        <w:rPr>
          <w:color w:val="231F20"/>
          <w:w w:val="105"/>
        </w:rPr>
        <w:t>identidad.</w:t>
      </w:r>
      <w:r>
        <w:rPr>
          <w:color w:val="231F20"/>
          <w:spacing w:val="-41"/>
          <w:w w:val="105"/>
        </w:rPr>
        <w:t> </w:t>
      </w:r>
      <w:r>
        <w:rPr>
          <w:color w:val="231F20"/>
          <w:w w:val="105"/>
        </w:rPr>
        <w:t>La</w:t>
      </w:r>
      <w:r>
        <w:rPr>
          <w:color w:val="231F20"/>
          <w:spacing w:val="-41"/>
          <w:w w:val="105"/>
        </w:rPr>
        <w:t> </w:t>
      </w:r>
      <w:r>
        <w:rPr>
          <w:color w:val="231F20"/>
          <w:w w:val="105"/>
        </w:rPr>
        <w:t>lógica capitalista</w:t>
      </w:r>
      <w:r>
        <w:rPr>
          <w:color w:val="231F20"/>
          <w:spacing w:val="-12"/>
          <w:w w:val="105"/>
        </w:rPr>
        <w:t> </w:t>
      </w:r>
      <w:r>
        <w:rPr>
          <w:color w:val="231F20"/>
          <w:w w:val="105"/>
        </w:rPr>
        <w:t>no</w:t>
      </w:r>
      <w:r>
        <w:rPr>
          <w:color w:val="231F20"/>
          <w:spacing w:val="-12"/>
          <w:w w:val="105"/>
        </w:rPr>
        <w:t> </w:t>
      </w:r>
      <w:r>
        <w:rPr>
          <w:color w:val="231F20"/>
          <w:w w:val="105"/>
        </w:rPr>
        <w:t>incluye</w:t>
      </w:r>
      <w:r>
        <w:rPr>
          <w:color w:val="231F20"/>
          <w:spacing w:val="-12"/>
          <w:w w:val="105"/>
        </w:rPr>
        <w:t> </w:t>
      </w:r>
      <w:r>
        <w:rPr>
          <w:color w:val="231F20"/>
          <w:w w:val="105"/>
        </w:rPr>
        <w:t>sin</w:t>
      </w:r>
      <w:r>
        <w:rPr>
          <w:color w:val="231F20"/>
          <w:spacing w:val="-12"/>
          <w:w w:val="105"/>
        </w:rPr>
        <w:t> </w:t>
      </w:r>
      <w:r>
        <w:rPr>
          <w:color w:val="231F20"/>
          <w:w w:val="105"/>
        </w:rPr>
        <w:t>exigir</w:t>
      </w:r>
      <w:r>
        <w:rPr>
          <w:color w:val="231F20"/>
          <w:spacing w:val="-12"/>
          <w:w w:val="105"/>
        </w:rPr>
        <w:t> </w:t>
      </w:r>
      <w:r>
        <w:rPr>
          <w:color w:val="231F20"/>
          <w:w w:val="105"/>
        </w:rPr>
        <w:t>algún</w:t>
      </w:r>
      <w:r>
        <w:rPr>
          <w:color w:val="231F20"/>
          <w:spacing w:val="-12"/>
          <w:w w:val="105"/>
        </w:rPr>
        <w:t> </w:t>
      </w:r>
      <w:r>
        <w:rPr>
          <w:color w:val="231F20"/>
          <w:w w:val="105"/>
        </w:rPr>
        <w:t>tipo</w:t>
      </w:r>
      <w:r>
        <w:rPr>
          <w:color w:val="231F20"/>
          <w:spacing w:val="-12"/>
          <w:w w:val="105"/>
        </w:rPr>
        <w:t> </w:t>
      </w:r>
      <w:r>
        <w:rPr>
          <w:color w:val="231F20"/>
          <w:w w:val="105"/>
        </w:rPr>
        <w:t>de</w:t>
      </w:r>
      <w:r>
        <w:rPr>
          <w:color w:val="231F20"/>
          <w:spacing w:val="-12"/>
          <w:w w:val="105"/>
        </w:rPr>
        <w:t> </w:t>
      </w:r>
      <w:r>
        <w:rPr>
          <w:color w:val="231F20"/>
          <w:w w:val="105"/>
        </w:rPr>
        <w:t>identidad,</w:t>
      </w:r>
      <w:r>
        <w:rPr>
          <w:color w:val="231F20"/>
          <w:spacing w:val="-12"/>
          <w:w w:val="105"/>
        </w:rPr>
        <w:t> </w:t>
      </w:r>
      <w:r>
        <w:rPr>
          <w:color w:val="231F20"/>
          <w:w w:val="105"/>
        </w:rPr>
        <w:t>de</w:t>
      </w:r>
      <w:r>
        <w:rPr>
          <w:color w:val="231F20"/>
          <w:spacing w:val="-12"/>
          <w:w w:val="105"/>
        </w:rPr>
        <w:t> </w:t>
      </w:r>
      <w:r>
        <w:rPr>
          <w:color w:val="231F20"/>
          <w:w w:val="105"/>
        </w:rPr>
        <w:t>pertenencia</w:t>
      </w:r>
      <w:r>
        <w:rPr>
          <w:color w:val="231F20"/>
          <w:spacing w:val="-12"/>
          <w:w w:val="105"/>
        </w:rPr>
        <w:t> </w:t>
      </w:r>
      <w:r>
        <w:rPr>
          <w:color w:val="231F20"/>
          <w:w w:val="105"/>
        </w:rPr>
        <w:t>o propiedad,</w:t>
      </w:r>
      <w:r>
        <w:rPr>
          <w:color w:val="231F20"/>
          <w:spacing w:val="-22"/>
          <w:w w:val="105"/>
        </w:rPr>
        <w:t> </w:t>
      </w:r>
      <w:r>
        <w:rPr>
          <w:color w:val="231F20"/>
          <w:w w:val="105"/>
        </w:rPr>
        <w:t>pero</w:t>
      </w:r>
      <w:r>
        <w:rPr>
          <w:color w:val="231F20"/>
          <w:spacing w:val="-22"/>
          <w:w w:val="105"/>
        </w:rPr>
        <w:t> </w:t>
      </w:r>
      <w:r>
        <w:rPr>
          <w:color w:val="231F20"/>
          <w:w w:val="105"/>
        </w:rPr>
        <w:t>no</w:t>
      </w:r>
      <w:r>
        <w:rPr>
          <w:color w:val="231F20"/>
          <w:spacing w:val="-22"/>
          <w:w w:val="105"/>
        </w:rPr>
        <w:t> </w:t>
      </w:r>
      <w:r>
        <w:rPr>
          <w:color w:val="231F20"/>
          <w:w w:val="105"/>
        </w:rPr>
        <w:t>sólo</w:t>
      </w:r>
      <w:r>
        <w:rPr>
          <w:color w:val="231F20"/>
          <w:spacing w:val="-22"/>
          <w:w w:val="105"/>
        </w:rPr>
        <w:t> </w:t>
      </w:r>
      <w:r>
        <w:rPr>
          <w:color w:val="231F20"/>
          <w:w w:val="105"/>
        </w:rPr>
        <w:t>las</w:t>
      </w:r>
      <w:r>
        <w:rPr>
          <w:color w:val="231F20"/>
          <w:spacing w:val="-22"/>
          <w:w w:val="105"/>
        </w:rPr>
        <w:t> </w:t>
      </w:r>
      <w:r>
        <w:rPr>
          <w:color w:val="231F20"/>
          <w:w w:val="105"/>
        </w:rPr>
        <w:t>exige,</w:t>
      </w:r>
      <w:r>
        <w:rPr>
          <w:color w:val="231F20"/>
          <w:spacing w:val="-22"/>
          <w:w w:val="105"/>
        </w:rPr>
        <w:t> </w:t>
      </w:r>
      <w:r>
        <w:rPr>
          <w:color w:val="231F20"/>
          <w:w w:val="105"/>
        </w:rPr>
        <w:t>también</w:t>
      </w:r>
      <w:r>
        <w:rPr>
          <w:color w:val="231F20"/>
          <w:spacing w:val="-22"/>
          <w:w w:val="105"/>
        </w:rPr>
        <w:t> </w:t>
      </w:r>
      <w:r>
        <w:rPr>
          <w:color w:val="231F20"/>
          <w:w w:val="105"/>
        </w:rPr>
        <w:t>las</w:t>
      </w:r>
      <w:r>
        <w:rPr>
          <w:color w:val="231F20"/>
          <w:spacing w:val="-22"/>
          <w:w w:val="105"/>
        </w:rPr>
        <w:t> </w:t>
      </w:r>
      <w:r>
        <w:rPr>
          <w:color w:val="231F20"/>
          <w:w w:val="105"/>
        </w:rPr>
        <w:t>fija,</w:t>
      </w:r>
      <w:r>
        <w:rPr>
          <w:color w:val="231F20"/>
          <w:spacing w:val="-22"/>
          <w:w w:val="105"/>
        </w:rPr>
        <w:t> </w:t>
      </w:r>
      <w:r>
        <w:rPr>
          <w:color w:val="231F20"/>
          <w:w w:val="105"/>
        </w:rPr>
        <w:t>con</w:t>
      </w:r>
      <w:r>
        <w:rPr>
          <w:color w:val="231F20"/>
          <w:spacing w:val="-22"/>
          <w:w w:val="105"/>
        </w:rPr>
        <w:t> </w:t>
      </w:r>
      <w:r>
        <w:rPr>
          <w:color w:val="231F20"/>
          <w:w w:val="105"/>
        </w:rPr>
        <w:t>lo</w:t>
      </w:r>
      <w:r>
        <w:rPr>
          <w:color w:val="231F20"/>
          <w:spacing w:val="-22"/>
          <w:w w:val="105"/>
        </w:rPr>
        <w:t> </w:t>
      </w:r>
      <w:r>
        <w:rPr>
          <w:color w:val="231F20"/>
          <w:w w:val="105"/>
        </w:rPr>
        <w:t>cual</w:t>
      </w:r>
      <w:r>
        <w:rPr>
          <w:color w:val="231F20"/>
          <w:spacing w:val="-22"/>
          <w:w w:val="105"/>
        </w:rPr>
        <w:t> </w:t>
      </w:r>
      <w:r>
        <w:rPr>
          <w:color w:val="231F20"/>
          <w:w w:val="105"/>
        </w:rPr>
        <w:t>la</w:t>
      </w:r>
      <w:r>
        <w:rPr>
          <w:color w:val="231F20"/>
          <w:spacing w:val="-22"/>
          <w:w w:val="105"/>
        </w:rPr>
        <w:t> </w:t>
      </w:r>
      <w:r>
        <w:rPr>
          <w:color w:val="231F20"/>
          <w:w w:val="105"/>
        </w:rPr>
        <w:t>paradoja se</w:t>
      </w:r>
      <w:r>
        <w:rPr>
          <w:color w:val="231F20"/>
          <w:spacing w:val="-18"/>
          <w:w w:val="105"/>
        </w:rPr>
        <w:t> </w:t>
      </w:r>
      <w:r>
        <w:rPr>
          <w:color w:val="231F20"/>
          <w:w w:val="105"/>
        </w:rPr>
        <w:t>torna</w:t>
      </w:r>
      <w:r>
        <w:rPr>
          <w:color w:val="231F20"/>
          <w:spacing w:val="-18"/>
          <w:w w:val="105"/>
        </w:rPr>
        <w:t> </w:t>
      </w:r>
      <w:r>
        <w:rPr>
          <w:color w:val="231F20"/>
          <w:w w:val="105"/>
        </w:rPr>
        <w:t>más</w:t>
      </w:r>
      <w:r>
        <w:rPr>
          <w:color w:val="231F20"/>
          <w:spacing w:val="-18"/>
          <w:w w:val="105"/>
        </w:rPr>
        <w:t> </w:t>
      </w:r>
      <w:r>
        <w:rPr>
          <w:color w:val="231F20"/>
          <w:w w:val="105"/>
        </w:rPr>
        <w:t>engañosa,</w:t>
      </w:r>
      <w:r>
        <w:rPr>
          <w:color w:val="231F20"/>
          <w:spacing w:val="-18"/>
          <w:w w:val="105"/>
        </w:rPr>
        <w:t> </w:t>
      </w:r>
      <w:r>
        <w:rPr>
          <w:color w:val="231F20"/>
          <w:w w:val="105"/>
        </w:rPr>
        <w:t>se</w:t>
      </w:r>
      <w:r>
        <w:rPr>
          <w:color w:val="231F20"/>
          <w:spacing w:val="-18"/>
          <w:w w:val="105"/>
        </w:rPr>
        <w:t> </w:t>
      </w:r>
      <w:r>
        <w:rPr>
          <w:color w:val="231F20"/>
          <w:w w:val="105"/>
        </w:rPr>
        <w:t>convierte</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mecanismo</w:t>
      </w:r>
      <w:r>
        <w:rPr>
          <w:color w:val="231F20"/>
          <w:spacing w:val="-18"/>
          <w:w w:val="105"/>
        </w:rPr>
        <w:t> </w:t>
      </w:r>
      <w:r>
        <w:rPr>
          <w:color w:val="231F20"/>
          <w:w w:val="105"/>
        </w:rPr>
        <w:t>por</w:t>
      </w:r>
      <w:r>
        <w:rPr>
          <w:color w:val="231F20"/>
          <w:spacing w:val="-18"/>
          <w:w w:val="105"/>
        </w:rPr>
        <w:t> </w:t>
      </w:r>
      <w:r>
        <w:rPr>
          <w:color w:val="231F20"/>
          <w:w w:val="105"/>
        </w:rPr>
        <w:t>el</w:t>
      </w:r>
      <w:r>
        <w:rPr>
          <w:color w:val="231F20"/>
          <w:spacing w:val="-18"/>
          <w:w w:val="105"/>
        </w:rPr>
        <w:t> </w:t>
      </w:r>
      <w:r>
        <w:rPr>
          <w:color w:val="231F20"/>
          <w:w w:val="105"/>
        </w:rPr>
        <w:t>cual</w:t>
      </w:r>
      <w:r>
        <w:rPr>
          <w:color w:val="231F20"/>
          <w:spacing w:val="-18"/>
          <w:w w:val="105"/>
        </w:rPr>
        <w:t> </w:t>
      </w:r>
      <w:r>
        <w:rPr>
          <w:color w:val="231F20"/>
          <w:w w:val="105"/>
        </w:rPr>
        <w:t>se</w:t>
      </w:r>
      <w:r>
        <w:rPr>
          <w:color w:val="231F20"/>
          <w:spacing w:val="-18"/>
          <w:w w:val="105"/>
        </w:rPr>
        <w:t> </w:t>
      </w:r>
      <w:r>
        <w:rPr>
          <w:color w:val="231F20"/>
          <w:w w:val="105"/>
        </w:rPr>
        <w:t>crea un</w:t>
      </w:r>
      <w:r>
        <w:rPr>
          <w:color w:val="231F20"/>
          <w:spacing w:val="-24"/>
          <w:w w:val="105"/>
        </w:rPr>
        <w:t> </w:t>
      </w:r>
      <w:r>
        <w:rPr>
          <w:color w:val="231F20"/>
          <w:w w:val="105"/>
        </w:rPr>
        <w:t>afuera</w:t>
      </w:r>
      <w:r>
        <w:rPr>
          <w:color w:val="231F20"/>
          <w:spacing w:val="-24"/>
          <w:w w:val="105"/>
        </w:rPr>
        <w:t> </w:t>
      </w:r>
      <w:r>
        <w:rPr>
          <w:color w:val="231F20"/>
          <w:w w:val="105"/>
        </w:rPr>
        <w:t>ficticio</w:t>
      </w:r>
      <w:r>
        <w:rPr>
          <w:color w:val="231F20"/>
          <w:spacing w:val="-24"/>
          <w:w w:val="105"/>
        </w:rPr>
        <w:t> </w:t>
      </w:r>
      <w:r>
        <w:rPr>
          <w:color w:val="231F20"/>
          <w:w w:val="105"/>
        </w:rPr>
        <w:t>para</w:t>
      </w:r>
      <w:r>
        <w:rPr>
          <w:color w:val="231F20"/>
          <w:spacing w:val="-24"/>
          <w:w w:val="105"/>
        </w:rPr>
        <w:t> </w:t>
      </w:r>
      <w:r>
        <w:rPr>
          <w:color w:val="231F20"/>
          <w:w w:val="105"/>
        </w:rPr>
        <w:t>poder</w:t>
      </w:r>
      <w:r>
        <w:rPr>
          <w:color w:val="231F20"/>
          <w:spacing w:val="-24"/>
          <w:w w:val="105"/>
        </w:rPr>
        <w:t> </w:t>
      </w:r>
      <w:r>
        <w:rPr>
          <w:color w:val="231F20"/>
          <w:w w:val="105"/>
        </w:rPr>
        <w:t>nombrarlo</w:t>
      </w:r>
      <w:r>
        <w:rPr>
          <w:color w:val="231F20"/>
          <w:spacing w:val="-24"/>
          <w:w w:val="105"/>
        </w:rPr>
        <w:t> </w:t>
      </w:r>
      <w:r>
        <w:rPr>
          <w:color w:val="231F20"/>
          <w:w w:val="105"/>
        </w:rPr>
        <w:t>y</w:t>
      </w:r>
      <w:r>
        <w:rPr>
          <w:color w:val="231F20"/>
          <w:spacing w:val="-24"/>
          <w:w w:val="105"/>
        </w:rPr>
        <w:t> </w:t>
      </w:r>
      <w:r>
        <w:rPr>
          <w:color w:val="231F20"/>
          <w:w w:val="105"/>
        </w:rPr>
        <w:t>luego</w:t>
      </w:r>
      <w:r>
        <w:rPr>
          <w:color w:val="231F20"/>
          <w:spacing w:val="-24"/>
          <w:w w:val="105"/>
        </w:rPr>
        <w:t> </w:t>
      </w:r>
      <w:r>
        <w:rPr>
          <w:color w:val="231F20"/>
          <w:w w:val="105"/>
        </w:rPr>
        <w:t>absorberlo.</w:t>
      </w:r>
      <w:r>
        <w:rPr>
          <w:color w:val="231F20"/>
          <w:spacing w:val="-24"/>
          <w:w w:val="105"/>
        </w:rPr>
        <w:t> </w:t>
      </w:r>
      <w:r>
        <w:rPr>
          <w:color w:val="231F20"/>
          <w:w w:val="105"/>
        </w:rPr>
        <w:t>Afuera</w:t>
      </w:r>
      <w:r>
        <w:rPr>
          <w:color w:val="231F20"/>
          <w:spacing w:val="-24"/>
          <w:w w:val="105"/>
        </w:rPr>
        <w:t> </w:t>
      </w:r>
      <w:r>
        <w:rPr>
          <w:color w:val="231F20"/>
          <w:w w:val="105"/>
        </w:rPr>
        <w:t>ficticio que</w:t>
      </w:r>
      <w:r>
        <w:rPr>
          <w:color w:val="231F20"/>
          <w:spacing w:val="-25"/>
          <w:w w:val="105"/>
        </w:rPr>
        <w:t> </w:t>
      </w:r>
      <w:r>
        <w:rPr>
          <w:color w:val="231F20"/>
          <w:w w:val="105"/>
        </w:rPr>
        <w:t>crea</w:t>
      </w:r>
      <w:r>
        <w:rPr>
          <w:color w:val="231F20"/>
          <w:spacing w:val="-25"/>
          <w:w w:val="105"/>
        </w:rPr>
        <w:t> </w:t>
      </w:r>
      <w:r>
        <w:rPr>
          <w:color w:val="231F20"/>
          <w:w w:val="105"/>
        </w:rPr>
        <w:t>otra</w:t>
      </w:r>
      <w:r>
        <w:rPr>
          <w:color w:val="231F20"/>
          <w:spacing w:val="-25"/>
          <w:w w:val="105"/>
        </w:rPr>
        <w:t> </w:t>
      </w:r>
      <w:r>
        <w:rPr>
          <w:color w:val="231F20"/>
          <w:w w:val="105"/>
        </w:rPr>
        <w:t>ficción:</w:t>
      </w:r>
      <w:r>
        <w:rPr>
          <w:color w:val="231F20"/>
          <w:spacing w:val="-25"/>
          <w:w w:val="105"/>
        </w:rPr>
        <w:t> </w:t>
      </w:r>
      <w:r>
        <w:rPr>
          <w:color w:val="231F20"/>
          <w:w w:val="105"/>
        </w:rPr>
        <w:t>que</w:t>
      </w:r>
      <w:r>
        <w:rPr>
          <w:color w:val="231F20"/>
          <w:spacing w:val="-25"/>
          <w:w w:val="105"/>
        </w:rPr>
        <w:t> </w:t>
      </w:r>
      <w:r>
        <w:rPr>
          <w:color w:val="231F20"/>
          <w:w w:val="105"/>
        </w:rPr>
        <w:t>el</w:t>
      </w:r>
      <w:r>
        <w:rPr>
          <w:color w:val="231F20"/>
          <w:spacing w:val="-25"/>
          <w:w w:val="105"/>
        </w:rPr>
        <w:t> </w:t>
      </w:r>
      <w:r>
        <w:rPr>
          <w:color w:val="231F20"/>
          <w:w w:val="105"/>
        </w:rPr>
        <w:t>capitalismo</w:t>
      </w:r>
      <w:r>
        <w:rPr>
          <w:color w:val="231F20"/>
          <w:spacing w:val="-25"/>
          <w:w w:val="105"/>
        </w:rPr>
        <w:t> </w:t>
      </w:r>
      <w:r>
        <w:rPr>
          <w:color w:val="231F20"/>
          <w:w w:val="105"/>
        </w:rPr>
        <w:t>carece</w:t>
      </w:r>
      <w:r>
        <w:rPr>
          <w:color w:val="231F20"/>
          <w:spacing w:val="-25"/>
          <w:w w:val="105"/>
        </w:rPr>
        <w:t> </w:t>
      </w:r>
      <w:r>
        <w:rPr>
          <w:color w:val="231F20"/>
          <w:w w:val="105"/>
        </w:rPr>
        <w:t>de</w:t>
      </w:r>
      <w:r>
        <w:rPr>
          <w:color w:val="231F20"/>
          <w:spacing w:val="-25"/>
          <w:w w:val="105"/>
        </w:rPr>
        <w:t> </w:t>
      </w:r>
      <w:r>
        <w:rPr>
          <w:color w:val="231F20"/>
          <w:w w:val="105"/>
        </w:rPr>
        <w:t>exterior</w:t>
      </w:r>
      <w:r>
        <w:rPr>
          <w:color w:val="231F20"/>
          <w:w w:val="105"/>
          <w:position w:val="7"/>
          <w:sz w:val="12"/>
        </w:rPr>
        <w:t>42</w:t>
      </w:r>
      <w:r>
        <w:rPr>
          <w:color w:val="231F20"/>
          <w:w w:val="105"/>
        </w:rPr>
        <w:t>,</w:t>
      </w:r>
      <w:r>
        <w:rPr>
          <w:color w:val="231F20"/>
          <w:spacing w:val="-25"/>
          <w:w w:val="105"/>
        </w:rPr>
        <w:t> </w:t>
      </w:r>
      <w:r>
        <w:rPr>
          <w:color w:val="231F20"/>
          <w:w w:val="105"/>
        </w:rPr>
        <w:t>pues</w:t>
      </w:r>
      <w:r>
        <w:rPr>
          <w:color w:val="231F20"/>
          <w:spacing w:val="-25"/>
          <w:w w:val="105"/>
        </w:rPr>
        <w:t> </w:t>
      </w:r>
      <w:r>
        <w:rPr>
          <w:color w:val="231F20"/>
          <w:w w:val="105"/>
        </w:rPr>
        <w:t>al</w:t>
      </w:r>
      <w:r>
        <w:rPr>
          <w:color w:val="231F20"/>
          <w:spacing w:val="-25"/>
          <w:w w:val="105"/>
        </w:rPr>
        <w:t> </w:t>
      </w:r>
      <w:r>
        <w:rPr>
          <w:color w:val="231F20"/>
          <w:w w:val="105"/>
        </w:rPr>
        <w:t>final, tarde</w:t>
      </w:r>
      <w:r>
        <w:rPr>
          <w:color w:val="231F20"/>
          <w:spacing w:val="-24"/>
          <w:w w:val="105"/>
        </w:rPr>
        <w:t> </w:t>
      </w:r>
      <w:r>
        <w:rPr>
          <w:color w:val="231F20"/>
          <w:w w:val="105"/>
        </w:rPr>
        <w:t>o</w:t>
      </w:r>
      <w:r>
        <w:rPr>
          <w:color w:val="231F20"/>
          <w:spacing w:val="-24"/>
          <w:w w:val="105"/>
        </w:rPr>
        <w:t> </w:t>
      </w:r>
      <w:r>
        <w:rPr>
          <w:color w:val="231F20"/>
          <w:w w:val="105"/>
        </w:rPr>
        <w:t>temprano</w:t>
      </w:r>
      <w:r>
        <w:rPr>
          <w:color w:val="231F20"/>
          <w:spacing w:val="-24"/>
          <w:w w:val="105"/>
        </w:rPr>
        <w:t> </w:t>
      </w:r>
      <w:r>
        <w:rPr>
          <w:color w:val="231F20"/>
          <w:w w:val="105"/>
        </w:rPr>
        <w:t>lo</w:t>
      </w:r>
      <w:r>
        <w:rPr>
          <w:color w:val="231F20"/>
          <w:spacing w:val="-24"/>
          <w:w w:val="105"/>
        </w:rPr>
        <w:t> </w:t>
      </w:r>
      <w:r>
        <w:rPr>
          <w:color w:val="231F20"/>
          <w:w w:val="105"/>
        </w:rPr>
        <w:t>que</w:t>
      </w:r>
      <w:r>
        <w:rPr>
          <w:color w:val="231F20"/>
          <w:spacing w:val="-24"/>
          <w:w w:val="105"/>
        </w:rPr>
        <w:t> </w:t>
      </w:r>
      <w:r>
        <w:rPr>
          <w:color w:val="231F20"/>
          <w:w w:val="105"/>
        </w:rPr>
        <w:t>parece</w:t>
      </w:r>
      <w:r>
        <w:rPr>
          <w:color w:val="231F20"/>
          <w:spacing w:val="-24"/>
          <w:w w:val="105"/>
        </w:rPr>
        <w:t> </w:t>
      </w:r>
      <w:r>
        <w:rPr>
          <w:color w:val="231F20"/>
          <w:w w:val="105"/>
        </w:rPr>
        <w:t>externo</w:t>
      </w:r>
      <w:r>
        <w:rPr>
          <w:color w:val="231F20"/>
          <w:spacing w:val="-24"/>
          <w:w w:val="105"/>
        </w:rPr>
        <w:t> </w:t>
      </w:r>
      <w:r>
        <w:rPr>
          <w:color w:val="231F20"/>
          <w:w w:val="105"/>
        </w:rPr>
        <w:t>ya</w:t>
      </w:r>
      <w:r>
        <w:rPr>
          <w:color w:val="231F20"/>
          <w:spacing w:val="-24"/>
          <w:w w:val="105"/>
        </w:rPr>
        <w:t> </w:t>
      </w:r>
      <w:r>
        <w:rPr>
          <w:color w:val="231F20"/>
          <w:w w:val="105"/>
        </w:rPr>
        <w:t>está</w:t>
      </w:r>
      <w:r>
        <w:rPr>
          <w:color w:val="231F20"/>
          <w:spacing w:val="-24"/>
          <w:w w:val="105"/>
        </w:rPr>
        <w:t> </w:t>
      </w:r>
      <w:r>
        <w:rPr>
          <w:color w:val="231F20"/>
          <w:w w:val="105"/>
        </w:rPr>
        <w:t>incluido</w:t>
      </w:r>
      <w:r>
        <w:rPr>
          <w:color w:val="231F20"/>
          <w:spacing w:val="-24"/>
          <w:w w:val="105"/>
        </w:rPr>
        <w:t> </w:t>
      </w:r>
      <w:r>
        <w:rPr>
          <w:color w:val="231F20"/>
          <w:w w:val="105"/>
        </w:rPr>
        <w:t>de</w:t>
      </w:r>
      <w:r>
        <w:rPr>
          <w:color w:val="231F20"/>
          <w:spacing w:val="-24"/>
          <w:w w:val="105"/>
        </w:rPr>
        <w:t> </w:t>
      </w:r>
      <w:r>
        <w:rPr>
          <w:color w:val="231F20"/>
          <w:w w:val="105"/>
        </w:rPr>
        <w:t>alguna</w:t>
      </w:r>
      <w:r>
        <w:rPr>
          <w:color w:val="231F20"/>
          <w:spacing w:val="-24"/>
          <w:w w:val="105"/>
        </w:rPr>
        <w:t> </w:t>
      </w:r>
      <w:r>
        <w:rPr>
          <w:color w:val="231F20"/>
          <w:w w:val="105"/>
        </w:rPr>
        <w:t>forma, queda</w:t>
      </w:r>
      <w:r>
        <w:rPr>
          <w:color w:val="231F20"/>
          <w:spacing w:val="-29"/>
          <w:w w:val="105"/>
        </w:rPr>
        <w:t> </w:t>
      </w:r>
      <w:r>
        <w:rPr>
          <w:color w:val="231F20"/>
          <w:w w:val="105"/>
        </w:rPr>
        <w:t>incluido</w:t>
      </w:r>
      <w:r>
        <w:rPr>
          <w:color w:val="231F20"/>
          <w:spacing w:val="-29"/>
          <w:w w:val="105"/>
        </w:rPr>
        <w:t> </w:t>
      </w:r>
      <w:r>
        <w:rPr>
          <w:color w:val="231F20"/>
          <w:w w:val="105"/>
        </w:rPr>
        <w:t>a</w:t>
      </w:r>
      <w:r>
        <w:rPr>
          <w:color w:val="231F20"/>
          <w:spacing w:val="-29"/>
          <w:w w:val="105"/>
        </w:rPr>
        <w:t> </w:t>
      </w:r>
      <w:r>
        <w:rPr>
          <w:color w:val="231F20"/>
          <w:w w:val="105"/>
        </w:rPr>
        <w:t>través</w:t>
      </w:r>
      <w:r>
        <w:rPr>
          <w:color w:val="231F20"/>
          <w:spacing w:val="-29"/>
          <w:w w:val="105"/>
        </w:rPr>
        <w:t> </w:t>
      </w:r>
      <w:r>
        <w:rPr>
          <w:color w:val="231F20"/>
          <w:w w:val="105"/>
        </w:rPr>
        <w:t>de</w:t>
      </w:r>
      <w:r>
        <w:rPr>
          <w:color w:val="231F20"/>
          <w:spacing w:val="-29"/>
          <w:w w:val="105"/>
        </w:rPr>
        <w:t> </w:t>
      </w:r>
      <w:r>
        <w:rPr>
          <w:color w:val="231F20"/>
          <w:w w:val="105"/>
        </w:rPr>
        <w:t>una</w:t>
      </w:r>
      <w:r>
        <w:rPr>
          <w:color w:val="231F20"/>
          <w:spacing w:val="-29"/>
          <w:w w:val="105"/>
        </w:rPr>
        <w:t> </w:t>
      </w:r>
      <w:r>
        <w:rPr>
          <w:color w:val="231F20"/>
          <w:w w:val="105"/>
        </w:rPr>
        <w:t>paradoja</w:t>
      </w:r>
      <w:r>
        <w:rPr>
          <w:color w:val="231F20"/>
          <w:spacing w:val="-29"/>
          <w:w w:val="105"/>
        </w:rPr>
        <w:t> </w:t>
      </w:r>
      <w:r>
        <w:rPr>
          <w:color w:val="231F20"/>
          <w:w w:val="105"/>
        </w:rPr>
        <w:t>que</w:t>
      </w:r>
      <w:r>
        <w:rPr>
          <w:color w:val="231F20"/>
          <w:spacing w:val="-29"/>
          <w:w w:val="105"/>
        </w:rPr>
        <w:t> </w:t>
      </w:r>
      <w:r>
        <w:rPr>
          <w:color w:val="231F20"/>
          <w:w w:val="105"/>
        </w:rPr>
        <w:t>lo</w:t>
      </w:r>
      <w:r>
        <w:rPr>
          <w:color w:val="231F20"/>
          <w:spacing w:val="-29"/>
          <w:w w:val="105"/>
        </w:rPr>
        <w:t> </w:t>
      </w:r>
      <w:r>
        <w:rPr>
          <w:color w:val="231F20"/>
          <w:w w:val="105"/>
        </w:rPr>
        <w:t>vuelve</w:t>
      </w:r>
      <w:r>
        <w:rPr>
          <w:color w:val="231F20"/>
          <w:spacing w:val="-29"/>
          <w:w w:val="105"/>
        </w:rPr>
        <w:t> </w:t>
      </w:r>
      <w:r>
        <w:rPr>
          <w:color w:val="231F20"/>
          <w:w w:val="105"/>
        </w:rPr>
        <w:t>complemento</w:t>
      </w:r>
      <w:r>
        <w:rPr>
          <w:color w:val="231F20"/>
          <w:spacing w:val="-29"/>
          <w:w w:val="105"/>
        </w:rPr>
        <w:t> </w:t>
      </w:r>
      <w:r>
        <w:rPr>
          <w:color w:val="231F20"/>
          <w:w w:val="105"/>
        </w:rPr>
        <w:t>de</w:t>
      </w:r>
      <w:r>
        <w:rPr>
          <w:color w:val="231F20"/>
          <w:spacing w:val="-29"/>
          <w:w w:val="105"/>
        </w:rPr>
        <w:t> </w:t>
      </w:r>
      <w:r>
        <w:rPr>
          <w:color w:val="231F20"/>
          <w:w w:val="105"/>
        </w:rPr>
        <w:t>su contrario.</w:t>
      </w:r>
      <w:r>
        <w:rPr>
          <w:color w:val="231F20"/>
          <w:spacing w:val="-28"/>
          <w:w w:val="105"/>
        </w:rPr>
        <w:t> </w:t>
      </w:r>
      <w:r>
        <w:rPr>
          <w:color w:val="231F20"/>
          <w:w w:val="105"/>
        </w:rPr>
        <w:t>Se</w:t>
      </w:r>
      <w:r>
        <w:rPr>
          <w:color w:val="231F20"/>
          <w:spacing w:val="-28"/>
          <w:w w:val="105"/>
        </w:rPr>
        <w:t> </w:t>
      </w:r>
      <w:r>
        <w:rPr>
          <w:color w:val="231F20"/>
          <w:w w:val="105"/>
        </w:rPr>
        <w:t>trata,</w:t>
      </w:r>
      <w:r>
        <w:rPr>
          <w:color w:val="231F20"/>
          <w:spacing w:val="-28"/>
          <w:w w:val="105"/>
        </w:rPr>
        <w:t> </w:t>
      </w:r>
      <w:r>
        <w:rPr>
          <w:color w:val="231F20"/>
          <w:w w:val="105"/>
        </w:rPr>
        <w:t>así,</w:t>
      </w:r>
      <w:r>
        <w:rPr>
          <w:color w:val="231F20"/>
          <w:spacing w:val="-28"/>
          <w:w w:val="105"/>
        </w:rPr>
        <w:t> </w:t>
      </w:r>
      <w:r>
        <w:rPr>
          <w:color w:val="231F20"/>
          <w:w w:val="105"/>
        </w:rPr>
        <w:t>de</w:t>
      </w:r>
      <w:r>
        <w:rPr>
          <w:color w:val="231F20"/>
          <w:spacing w:val="-28"/>
          <w:w w:val="105"/>
        </w:rPr>
        <w:t> </w:t>
      </w:r>
      <w:r>
        <w:rPr>
          <w:color w:val="231F20"/>
          <w:w w:val="105"/>
        </w:rPr>
        <w:t>aporías</w:t>
      </w:r>
      <w:r>
        <w:rPr>
          <w:color w:val="231F20"/>
          <w:spacing w:val="-28"/>
          <w:w w:val="105"/>
        </w:rPr>
        <w:t> </w:t>
      </w:r>
      <w:r>
        <w:rPr>
          <w:color w:val="231F20"/>
          <w:w w:val="105"/>
        </w:rPr>
        <w:t>que</w:t>
      </w:r>
      <w:r>
        <w:rPr>
          <w:color w:val="231F20"/>
          <w:spacing w:val="-28"/>
          <w:w w:val="105"/>
        </w:rPr>
        <w:t> </w:t>
      </w:r>
      <w:r>
        <w:rPr>
          <w:color w:val="231F20"/>
          <w:w w:val="105"/>
        </w:rPr>
        <w:t>ya</w:t>
      </w:r>
      <w:r>
        <w:rPr>
          <w:color w:val="231F20"/>
          <w:spacing w:val="-28"/>
          <w:w w:val="105"/>
        </w:rPr>
        <w:t> </w:t>
      </w:r>
      <w:r>
        <w:rPr>
          <w:color w:val="231F20"/>
          <w:w w:val="105"/>
        </w:rPr>
        <w:t>han</w:t>
      </w:r>
      <w:r>
        <w:rPr>
          <w:color w:val="231F20"/>
          <w:spacing w:val="-28"/>
          <w:w w:val="105"/>
        </w:rPr>
        <w:t> </w:t>
      </w:r>
      <w:r>
        <w:rPr>
          <w:color w:val="231F20"/>
          <w:w w:val="105"/>
        </w:rPr>
        <w:t>sido</w:t>
      </w:r>
      <w:r>
        <w:rPr>
          <w:color w:val="231F20"/>
          <w:spacing w:val="-28"/>
          <w:w w:val="105"/>
        </w:rPr>
        <w:t> </w:t>
      </w:r>
      <w:r>
        <w:rPr>
          <w:color w:val="231F20"/>
          <w:w w:val="105"/>
        </w:rPr>
        <w:t>axiomatizadas</w:t>
      </w:r>
      <w:r>
        <w:rPr>
          <w:color w:val="231F20"/>
          <w:spacing w:val="-28"/>
          <w:w w:val="105"/>
        </w:rPr>
        <w:t> </w:t>
      </w:r>
      <w:r>
        <w:rPr>
          <w:color w:val="231F20"/>
          <w:w w:val="105"/>
        </w:rPr>
        <w:t>y</w:t>
      </w:r>
      <w:r>
        <w:rPr>
          <w:color w:val="231F20"/>
          <w:spacing w:val="-28"/>
          <w:w w:val="105"/>
        </w:rPr>
        <w:t> </w:t>
      </w:r>
      <w:r>
        <w:rPr>
          <w:color w:val="231F20"/>
          <w:w w:val="105"/>
        </w:rPr>
        <w:t>que</w:t>
      </w:r>
      <w:r>
        <w:rPr>
          <w:color w:val="231F20"/>
          <w:spacing w:val="-28"/>
          <w:w w:val="105"/>
        </w:rPr>
        <w:t> </w:t>
      </w:r>
      <w:r>
        <w:rPr>
          <w:color w:val="231F20"/>
          <w:w w:val="105"/>
        </w:rPr>
        <w:t>en vez</w:t>
      </w:r>
      <w:r>
        <w:rPr>
          <w:color w:val="231F20"/>
          <w:spacing w:val="-25"/>
          <w:w w:val="105"/>
        </w:rPr>
        <w:t> </w:t>
      </w:r>
      <w:r>
        <w:rPr>
          <w:color w:val="231F20"/>
          <w:w w:val="105"/>
        </w:rPr>
        <w:t>de</w:t>
      </w:r>
      <w:r>
        <w:rPr>
          <w:color w:val="231F20"/>
          <w:spacing w:val="-25"/>
          <w:w w:val="105"/>
        </w:rPr>
        <w:t> </w:t>
      </w:r>
      <w:r>
        <w:rPr>
          <w:color w:val="231F20"/>
          <w:w w:val="105"/>
        </w:rPr>
        <w:t>dar</w:t>
      </w:r>
      <w:r>
        <w:rPr>
          <w:color w:val="231F20"/>
          <w:spacing w:val="-25"/>
          <w:w w:val="105"/>
        </w:rPr>
        <w:t> </w:t>
      </w:r>
      <w:r>
        <w:rPr>
          <w:color w:val="231F20"/>
          <w:w w:val="105"/>
        </w:rPr>
        <w:t>lugar</w:t>
      </w:r>
      <w:r>
        <w:rPr>
          <w:color w:val="231F20"/>
          <w:spacing w:val="-25"/>
          <w:w w:val="105"/>
        </w:rPr>
        <w:t> </w:t>
      </w:r>
      <w:r>
        <w:rPr>
          <w:color w:val="231F20"/>
          <w:w w:val="105"/>
        </w:rPr>
        <w:t>a</w:t>
      </w:r>
      <w:r>
        <w:rPr>
          <w:color w:val="231F20"/>
          <w:spacing w:val="-25"/>
          <w:w w:val="105"/>
        </w:rPr>
        <w:t> </w:t>
      </w:r>
      <w:r>
        <w:rPr>
          <w:color w:val="231F20"/>
          <w:w w:val="105"/>
        </w:rPr>
        <w:t>diferencias</w:t>
      </w:r>
      <w:r>
        <w:rPr>
          <w:color w:val="231F20"/>
          <w:spacing w:val="-25"/>
          <w:w w:val="105"/>
        </w:rPr>
        <w:t> </w:t>
      </w:r>
      <w:r>
        <w:rPr>
          <w:color w:val="231F20"/>
          <w:w w:val="105"/>
        </w:rPr>
        <w:t>radicales</w:t>
      </w:r>
      <w:r>
        <w:rPr>
          <w:color w:val="231F20"/>
          <w:spacing w:val="-25"/>
          <w:w w:val="105"/>
        </w:rPr>
        <w:t> </w:t>
      </w:r>
      <w:r>
        <w:rPr>
          <w:color w:val="231F20"/>
          <w:w w:val="105"/>
        </w:rPr>
        <w:t>crean</w:t>
      </w:r>
      <w:r>
        <w:rPr>
          <w:color w:val="231F20"/>
          <w:spacing w:val="-25"/>
          <w:w w:val="105"/>
        </w:rPr>
        <w:t> </w:t>
      </w:r>
      <w:r>
        <w:rPr>
          <w:color w:val="231F20"/>
          <w:w w:val="105"/>
        </w:rPr>
        <w:t>híbridos,</w:t>
      </w:r>
      <w:r>
        <w:rPr>
          <w:color w:val="231F20"/>
          <w:spacing w:val="-25"/>
          <w:w w:val="105"/>
        </w:rPr>
        <w:t> </w:t>
      </w:r>
      <w:r>
        <w:rPr>
          <w:color w:val="231F20"/>
          <w:w w:val="105"/>
        </w:rPr>
        <w:t>hacen</w:t>
      </w:r>
      <w:r>
        <w:rPr>
          <w:color w:val="231F20"/>
          <w:spacing w:val="-25"/>
          <w:w w:val="105"/>
        </w:rPr>
        <w:t> </w:t>
      </w:r>
      <w:r>
        <w:rPr>
          <w:color w:val="231F20"/>
          <w:w w:val="105"/>
        </w:rPr>
        <w:t>homogéneo lo</w:t>
      </w:r>
      <w:r>
        <w:rPr>
          <w:color w:val="231F20"/>
          <w:spacing w:val="-7"/>
          <w:w w:val="105"/>
        </w:rPr>
        <w:t> </w:t>
      </w:r>
      <w:r>
        <w:rPr>
          <w:color w:val="231F20"/>
          <w:spacing w:val="-3"/>
          <w:w w:val="105"/>
        </w:rPr>
        <w:t>dispar,</w:t>
      </w:r>
      <w:r>
        <w:rPr>
          <w:color w:val="231F20"/>
          <w:spacing w:val="-7"/>
          <w:w w:val="105"/>
        </w:rPr>
        <w:t> </w:t>
      </w:r>
      <w:r>
        <w:rPr>
          <w:color w:val="231F20"/>
          <w:w w:val="105"/>
        </w:rPr>
        <w:t>lo</w:t>
      </w:r>
      <w:r>
        <w:rPr>
          <w:color w:val="231F20"/>
          <w:spacing w:val="-7"/>
          <w:w w:val="105"/>
        </w:rPr>
        <w:t> </w:t>
      </w:r>
      <w:r>
        <w:rPr>
          <w:color w:val="231F20"/>
          <w:w w:val="105"/>
        </w:rPr>
        <w:t>hacen</w:t>
      </w:r>
      <w:r>
        <w:rPr>
          <w:color w:val="231F20"/>
          <w:spacing w:val="-7"/>
          <w:w w:val="105"/>
        </w:rPr>
        <w:t> </w:t>
      </w:r>
      <w:r>
        <w:rPr>
          <w:color w:val="231F20"/>
          <w:w w:val="105"/>
        </w:rPr>
        <w:t>digerible</w:t>
      </w:r>
      <w:r>
        <w:rPr>
          <w:color w:val="231F20"/>
          <w:spacing w:val="-7"/>
          <w:w w:val="105"/>
        </w:rPr>
        <w:t> </w:t>
      </w:r>
      <w:r>
        <w:rPr>
          <w:color w:val="231F20"/>
          <w:w w:val="105"/>
        </w:rPr>
        <w:t>a</w:t>
      </w:r>
      <w:r>
        <w:rPr>
          <w:color w:val="231F20"/>
          <w:spacing w:val="-7"/>
          <w:w w:val="105"/>
        </w:rPr>
        <w:t> </w:t>
      </w:r>
      <w:r>
        <w:rPr>
          <w:color w:val="231F20"/>
          <w:w w:val="105"/>
        </w:rPr>
        <w:t>fuerza</w:t>
      </w:r>
      <w:r>
        <w:rPr>
          <w:color w:val="231F20"/>
          <w:spacing w:val="-7"/>
          <w:w w:val="105"/>
        </w:rPr>
        <w:t> </w:t>
      </w:r>
      <w:r>
        <w:rPr>
          <w:color w:val="231F20"/>
          <w:w w:val="105"/>
        </w:rPr>
        <w:t>de</w:t>
      </w:r>
      <w:r>
        <w:rPr>
          <w:color w:val="231F20"/>
          <w:spacing w:val="-7"/>
          <w:w w:val="105"/>
        </w:rPr>
        <w:t> </w:t>
      </w:r>
      <w:r>
        <w:rPr>
          <w:color w:val="231F20"/>
          <w:w w:val="105"/>
        </w:rPr>
        <w:t>nombrarlo</w:t>
      </w:r>
      <w:r>
        <w:rPr>
          <w:color w:val="231F20"/>
          <w:spacing w:val="-7"/>
          <w:w w:val="105"/>
        </w:rPr>
        <w:t> </w:t>
      </w:r>
      <w:r>
        <w:rPr>
          <w:color w:val="231F20"/>
          <w:w w:val="105"/>
        </w:rPr>
        <w:t>y</w:t>
      </w:r>
      <w:r>
        <w:rPr>
          <w:color w:val="231F20"/>
          <w:spacing w:val="-7"/>
          <w:w w:val="105"/>
        </w:rPr>
        <w:t> </w:t>
      </w:r>
      <w:r>
        <w:rPr>
          <w:color w:val="231F20"/>
          <w:w w:val="105"/>
        </w:rPr>
        <w:t>de</w:t>
      </w:r>
      <w:r>
        <w:rPr>
          <w:color w:val="231F20"/>
          <w:spacing w:val="-7"/>
          <w:w w:val="105"/>
        </w:rPr>
        <w:t> </w:t>
      </w:r>
      <w:r>
        <w:rPr>
          <w:color w:val="231F20"/>
          <w:w w:val="105"/>
        </w:rPr>
        <w:t>hacerlo</w:t>
      </w:r>
      <w:r>
        <w:rPr>
          <w:color w:val="231F20"/>
          <w:spacing w:val="-7"/>
          <w:w w:val="105"/>
        </w:rPr>
        <w:t> </w:t>
      </w:r>
      <w:r>
        <w:rPr>
          <w:color w:val="231F20"/>
          <w:w w:val="105"/>
        </w:rPr>
        <w:t>comple- mentario.</w:t>
      </w:r>
      <w:r>
        <w:rPr>
          <w:color w:val="231F20"/>
          <w:spacing w:val="-28"/>
          <w:w w:val="105"/>
        </w:rPr>
        <w:t> </w:t>
      </w:r>
      <w:r>
        <w:rPr>
          <w:color w:val="231F20"/>
          <w:w w:val="105"/>
        </w:rPr>
        <w:t>Es</w:t>
      </w:r>
      <w:r>
        <w:rPr>
          <w:color w:val="231F20"/>
          <w:spacing w:val="-28"/>
          <w:w w:val="105"/>
        </w:rPr>
        <w:t> </w:t>
      </w:r>
      <w:r>
        <w:rPr>
          <w:color w:val="231F20"/>
          <w:w w:val="105"/>
        </w:rPr>
        <w:t>difícil</w:t>
      </w:r>
      <w:r>
        <w:rPr>
          <w:color w:val="231F20"/>
          <w:spacing w:val="-28"/>
          <w:w w:val="105"/>
        </w:rPr>
        <w:t> </w:t>
      </w:r>
      <w:r>
        <w:rPr>
          <w:color w:val="231F20"/>
          <w:w w:val="105"/>
        </w:rPr>
        <w:t>negar</w:t>
      </w:r>
      <w:r>
        <w:rPr>
          <w:color w:val="231F20"/>
          <w:spacing w:val="-28"/>
          <w:w w:val="105"/>
        </w:rPr>
        <w:t> </w:t>
      </w:r>
      <w:r>
        <w:rPr>
          <w:color w:val="231F20"/>
          <w:w w:val="105"/>
        </w:rPr>
        <w:t>el</w:t>
      </w:r>
      <w:r>
        <w:rPr>
          <w:color w:val="231F20"/>
          <w:spacing w:val="-28"/>
          <w:w w:val="105"/>
        </w:rPr>
        <w:t> </w:t>
      </w:r>
      <w:r>
        <w:rPr>
          <w:color w:val="231F20"/>
          <w:w w:val="105"/>
        </w:rPr>
        <w:t>caudal</w:t>
      </w:r>
      <w:r>
        <w:rPr>
          <w:color w:val="231F20"/>
          <w:spacing w:val="-28"/>
          <w:w w:val="105"/>
        </w:rPr>
        <w:t> </w:t>
      </w:r>
      <w:r>
        <w:rPr>
          <w:color w:val="231F20"/>
          <w:w w:val="105"/>
        </w:rPr>
        <w:t>de</w:t>
      </w:r>
      <w:r>
        <w:rPr>
          <w:color w:val="231F20"/>
          <w:spacing w:val="-28"/>
          <w:w w:val="105"/>
        </w:rPr>
        <w:t> </w:t>
      </w:r>
      <w:r>
        <w:rPr>
          <w:color w:val="231F20"/>
          <w:w w:val="105"/>
        </w:rPr>
        <w:t>paradojas</w:t>
      </w:r>
      <w:r>
        <w:rPr>
          <w:color w:val="231F20"/>
          <w:spacing w:val="-28"/>
          <w:w w:val="105"/>
        </w:rPr>
        <w:t> </w:t>
      </w:r>
      <w:r>
        <w:rPr>
          <w:color w:val="231F20"/>
          <w:w w:val="105"/>
        </w:rPr>
        <w:t>que</w:t>
      </w:r>
      <w:r>
        <w:rPr>
          <w:color w:val="231F20"/>
          <w:spacing w:val="-28"/>
          <w:w w:val="105"/>
        </w:rPr>
        <w:t> </w:t>
      </w:r>
      <w:r>
        <w:rPr>
          <w:color w:val="231F20"/>
          <w:w w:val="105"/>
        </w:rPr>
        <w:t>conforman</w:t>
      </w:r>
      <w:r>
        <w:rPr>
          <w:color w:val="231F20"/>
          <w:spacing w:val="-28"/>
          <w:w w:val="105"/>
        </w:rPr>
        <w:t> </w:t>
      </w:r>
      <w:r>
        <w:rPr>
          <w:color w:val="231F20"/>
          <w:w w:val="105"/>
        </w:rPr>
        <w:t>la</w:t>
      </w:r>
      <w:r>
        <w:rPr>
          <w:color w:val="231F20"/>
          <w:spacing w:val="-28"/>
          <w:w w:val="105"/>
        </w:rPr>
        <w:t> </w:t>
      </w:r>
      <w:r>
        <w:rPr>
          <w:color w:val="231F20"/>
          <w:w w:val="105"/>
        </w:rPr>
        <w:t>globali- zación;</w:t>
      </w:r>
      <w:r>
        <w:rPr>
          <w:color w:val="231F20"/>
          <w:spacing w:val="-43"/>
          <w:w w:val="105"/>
        </w:rPr>
        <w:t> </w:t>
      </w:r>
      <w:r>
        <w:rPr>
          <w:color w:val="231F20"/>
          <w:w w:val="105"/>
        </w:rPr>
        <w:t>sin</w:t>
      </w:r>
      <w:r>
        <w:rPr>
          <w:color w:val="231F20"/>
          <w:spacing w:val="-43"/>
          <w:w w:val="105"/>
        </w:rPr>
        <w:t> </w:t>
      </w:r>
      <w:r>
        <w:rPr>
          <w:color w:val="231F20"/>
          <w:w w:val="105"/>
        </w:rPr>
        <w:t>embargo,</w:t>
      </w:r>
      <w:r>
        <w:rPr>
          <w:color w:val="231F20"/>
          <w:spacing w:val="-43"/>
          <w:w w:val="105"/>
        </w:rPr>
        <w:t> </w:t>
      </w:r>
      <w:r>
        <w:rPr>
          <w:color w:val="231F20"/>
          <w:w w:val="105"/>
        </w:rPr>
        <w:t>lo</w:t>
      </w:r>
      <w:r>
        <w:rPr>
          <w:color w:val="231F20"/>
          <w:spacing w:val="-43"/>
          <w:w w:val="105"/>
        </w:rPr>
        <w:t> </w:t>
      </w:r>
      <w:r>
        <w:rPr>
          <w:color w:val="231F20"/>
          <w:w w:val="105"/>
        </w:rPr>
        <w:t>que</w:t>
      </w:r>
      <w:r>
        <w:rPr>
          <w:color w:val="231F20"/>
          <w:spacing w:val="-43"/>
          <w:w w:val="105"/>
        </w:rPr>
        <w:t> </w:t>
      </w:r>
      <w:r>
        <w:rPr>
          <w:color w:val="231F20"/>
          <w:w w:val="105"/>
        </w:rPr>
        <w:t>hagamos</w:t>
      </w:r>
      <w:r>
        <w:rPr>
          <w:color w:val="231F20"/>
          <w:spacing w:val="-43"/>
          <w:w w:val="105"/>
        </w:rPr>
        <w:t> </w:t>
      </w:r>
      <w:r>
        <w:rPr>
          <w:color w:val="231F20"/>
          <w:w w:val="105"/>
        </w:rPr>
        <w:t>con</w:t>
      </w:r>
      <w:r>
        <w:rPr>
          <w:color w:val="231F20"/>
          <w:spacing w:val="-43"/>
          <w:w w:val="105"/>
        </w:rPr>
        <w:t> </w:t>
      </w:r>
      <w:r>
        <w:rPr>
          <w:color w:val="231F20"/>
          <w:w w:val="105"/>
        </w:rPr>
        <w:t>ellas</w:t>
      </w:r>
      <w:r>
        <w:rPr>
          <w:color w:val="231F20"/>
          <w:spacing w:val="-43"/>
          <w:w w:val="105"/>
        </w:rPr>
        <w:t> </w:t>
      </w:r>
      <w:r>
        <w:rPr>
          <w:color w:val="231F20"/>
          <w:w w:val="105"/>
        </w:rPr>
        <w:t>no</w:t>
      </w:r>
      <w:r>
        <w:rPr>
          <w:color w:val="231F20"/>
          <w:spacing w:val="-43"/>
          <w:w w:val="105"/>
        </w:rPr>
        <w:t> </w:t>
      </w:r>
      <w:r>
        <w:rPr>
          <w:color w:val="231F20"/>
          <w:w w:val="105"/>
        </w:rPr>
        <w:t>arroja</w:t>
      </w:r>
      <w:r>
        <w:rPr>
          <w:color w:val="231F20"/>
          <w:spacing w:val="-43"/>
          <w:w w:val="105"/>
        </w:rPr>
        <w:t> </w:t>
      </w:r>
      <w:r>
        <w:rPr>
          <w:color w:val="231F20"/>
          <w:w w:val="105"/>
        </w:rPr>
        <w:t>iguales</w:t>
      </w:r>
      <w:r>
        <w:rPr>
          <w:color w:val="231F20"/>
          <w:spacing w:val="-43"/>
          <w:w w:val="105"/>
        </w:rPr>
        <w:t> </w:t>
      </w:r>
      <w:r>
        <w:rPr>
          <w:color w:val="231F20"/>
          <w:w w:val="105"/>
        </w:rPr>
        <w:t>resultados. Las</w:t>
      </w:r>
      <w:r>
        <w:rPr>
          <w:color w:val="231F20"/>
          <w:spacing w:val="-37"/>
          <w:w w:val="105"/>
        </w:rPr>
        <w:t> </w:t>
      </w:r>
      <w:r>
        <w:rPr>
          <w:color w:val="231F20"/>
          <w:w w:val="105"/>
        </w:rPr>
        <w:t>paradojas</w:t>
      </w:r>
      <w:r>
        <w:rPr>
          <w:color w:val="231F20"/>
          <w:spacing w:val="-37"/>
          <w:w w:val="105"/>
        </w:rPr>
        <w:t> </w:t>
      </w:r>
      <w:r>
        <w:rPr>
          <w:color w:val="231F20"/>
          <w:w w:val="105"/>
        </w:rPr>
        <w:t>pueden</w:t>
      </w:r>
      <w:r>
        <w:rPr>
          <w:color w:val="231F20"/>
          <w:spacing w:val="-37"/>
          <w:w w:val="105"/>
        </w:rPr>
        <w:t> </w:t>
      </w:r>
      <w:r>
        <w:rPr>
          <w:color w:val="231F20"/>
          <w:w w:val="105"/>
        </w:rPr>
        <w:t>naturalizarse,</w:t>
      </w:r>
      <w:r>
        <w:rPr>
          <w:color w:val="231F20"/>
          <w:spacing w:val="-37"/>
          <w:w w:val="105"/>
        </w:rPr>
        <w:t> </w:t>
      </w:r>
      <w:r>
        <w:rPr>
          <w:color w:val="231F20"/>
          <w:w w:val="105"/>
        </w:rPr>
        <w:t>pueden</w:t>
      </w:r>
      <w:r>
        <w:rPr>
          <w:color w:val="231F20"/>
          <w:spacing w:val="-37"/>
          <w:w w:val="105"/>
        </w:rPr>
        <w:t> </w:t>
      </w:r>
      <w:r>
        <w:rPr>
          <w:color w:val="231F20"/>
          <w:w w:val="105"/>
        </w:rPr>
        <w:t>ser</w:t>
      </w:r>
      <w:r>
        <w:rPr>
          <w:color w:val="231F20"/>
          <w:spacing w:val="-37"/>
          <w:w w:val="105"/>
        </w:rPr>
        <w:t> </w:t>
      </w:r>
      <w:r>
        <w:rPr>
          <w:color w:val="231F20"/>
          <w:w w:val="105"/>
        </w:rPr>
        <w:t>absorbidas</w:t>
      </w:r>
      <w:r>
        <w:rPr>
          <w:color w:val="231F20"/>
          <w:spacing w:val="-37"/>
          <w:w w:val="105"/>
        </w:rPr>
        <w:t> </w:t>
      </w:r>
      <w:r>
        <w:rPr>
          <w:color w:val="231F20"/>
          <w:w w:val="105"/>
        </w:rPr>
        <w:t>por</w:t>
      </w:r>
      <w:r>
        <w:rPr>
          <w:color w:val="231F20"/>
          <w:spacing w:val="-37"/>
          <w:w w:val="105"/>
        </w:rPr>
        <w:t> </w:t>
      </w:r>
      <w:r>
        <w:rPr>
          <w:color w:val="231F20"/>
          <w:w w:val="105"/>
        </w:rPr>
        <w:t>un</w:t>
      </w:r>
      <w:r>
        <w:rPr>
          <w:color w:val="231F20"/>
          <w:spacing w:val="-37"/>
          <w:w w:val="105"/>
        </w:rPr>
        <w:t> </w:t>
      </w:r>
      <w:r>
        <w:rPr>
          <w:color w:val="231F20"/>
          <w:w w:val="105"/>
        </w:rPr>
        <w:t>axioma que</w:t>
      </w:r>
      <w:r>
        <w:rPr>
          <w:color w:val="231F20"/>
          <w:spacing w:val="-11"/>
          <w:w w:val="105"/>
        </w:rPr>
        <w:t> </w:t>
      </w:r>
      <w:r>
        <w:rPr>
          <w:color w:val="231F20"/>
          <w:w w:val="105"/>
        </w:rPr>
        <w:t>les</w:t>
      </w:r>
      <w:r>
        <w:rPr>
          <w:color w:val="231F20"/>
          <w:spacing w:val="-11"/>
          <w:w w:val="105"/>
        </w:rPr>
        <w:t> </w:t>
      </w:r>
      <w:r>
        <w:rPr>
          <w:color w:val="231F20"/>
          <w:w w:val="105"/>
        </w:rPr>
        <w:t>arranca</w:t>
      </w:r>
      <w:r>
        <w:rPr>
          <w:color w:val="231F20"/>
          <w:spacing w:val="-11"/>
          <w:w w:val="105"/>
        </w:rPr>
        <w:t> </w:t>
      </w:r>
      <w:r>
        <w:rPr>
          <w:color w:val="231F20"/>
          <w:w w:val="105"/>
        </w:rPr>
        <w:t>su</w:t>
      </w:r>
      <w:r>
        <w:rPr>
          <w:color w:val="231F20"/>
          <w:spacing w:val="-11"/>
          <w:w w:val="105"/>
        </w:rPr>
        <w:t> </w:t>
      </w:r>
      <w:r>
        <w:rPr>
          <w:color w:val="231F20"/>
          <w:w w:val="105"/>
        </w:rPr>
        <w:t>carácter</w:t>
      </w:r>
      <w:r>
        <w:rPr>
          <w:color w:val="231F20"/>
          <w:spacing w:val="-11"/>
          <w:w w:val="105"/>
        </w:rPr>
        <w:t> </w:t>
      </w:r>
      <w:r>
        <w:rPr>
          <w:color w:val="231F20"/>
          <w:w w:val="105"/>
        </w:rPr>
        <w:t>indecidible</w:t>
      </w:r>
      <w:r>
        <w:rPr>
          <w:color w:val="231F20"/>
          <w:spacing w:val="-11"/>
          <w:w w:val="105"/>
        </w:rPr>
        <w:t> </w:t>
      </w:r>
      <w:r>
        <w:rPr>
          <w:color w:val="231F20"/>
          <w:w w:val="105"/>
        </w:rPr>
        <w:t>y</w:t>
      </w:r>
      <w:r>
        <w:rPr>
          <w:color w:val="231F20"/>
          <w:spacing w:val="-11"/>
          <w:w w:val="105"/>
        </w:rPr>
        <w:t> </w:t>
      </w:r>
      <w:r>
        <w:rPr>
          <w:color w:val="231F20"/>
          <w:w w:val="105"/>
        </w:rPr>
        <w:t>las</w:t>
      </w:r>
      <w:r>
        <w:rPr>
          <w:color w:val="231F20"/>
          <w:spacing w:val="-11"/>
          <w:w w:val="105"/>
        </w:rPr>
        <w:t> </w:t>
      </w:r>
      <w:r>
        <w:rPr>
          <w:color w:val="231F20"/>
          <w:w w:val="105"/>
        </w:rPr>
        <w:t>hace</w:t>
      </w:r>
      <w:r>
        <w:rPr>
          <w:color w:val="231F20"/>
          <w:spacing w:val="-11"/>
          <w:w w:val="105"/>
        </w:rPr>
        <w:t> </w:t>
      </w:r>
      <w:r>
        <w:rPr>
          <w:color w:val="231F20"/>
          <w:w w:val="105"/>
        </w:rPr>
        <w:t>aparecer</w:t>
      </w:r>
      <w:r>
        <w:rPr>
          <w:color w:val="231F20"/>
          <w:spacing w:val="-11"/>
          <w:w w:val="105"/>
        </w:rPr>
        <w:t> </w:t>
      </w:r>
      <w:r>
        <w:rPr>
          <w:color w:val="231F20"/>
          <w:w w:val="105"/>
        </w:rPr>
        <w:t>como</w:t>
      </w:r>
      <w:r>
        <w:rPr>
          <w:color w:val="231F20"/>
          <w:spacing w:val="-11"/>
          <w:w w:val="105"/>
        </w:rPr>
        <w:t> </w:t>
      </w:r>
      <w:r>
        <w:rPr>
          <w:color w:val="231F20"/>
          <w:w w:val="105"/>
        </w:rPr>
        <w:t>hechas de</w:t>
      </w:r>
      <w:r>
        <w:rPr>
          <w:color w:val="231F20"/>
          <w:spacing w:val="-7"/>
          <w:w w:val="105"/>
        </w:rPr>
        <w:t> </w:t>
      </w:r>
      <w:r>
        <w:rPr>
          <w:color w:val="231F20"/>
          <w:w w:val="105"/>
        </w:rPr>
        <w:t>opuestos</w:t>
      </w:r>
      <w:r>
        <w:rPr>
          <w:color w:val="231F20"/>
          <w:spacing w:val="-7"/>
          <w:w w:val="105"/>
        </w:rPr>
        <w:t> </w:t>
      </w:r>
      <w:r>
        <w:rPr>
          <w:color w:val="231F20"/>
          <w:w w:val="105"/>
        </w:rPr>
        <w:t>etiquetables,</w:t>
      </w:r>
      <w:r>
        <w:rPr>
          <w:color w:val="231F20"/>
          <w:spacing w:val="-7"/>
          <w:w w:val="105"/>
        </w:rPr>
        <w:t> </w:t>
      </w:r>
      <w:r>
        <w:rPr>
          <w:color w:val="231F20"/>
          <w:w w:val="105"/>
        </w:rPr>
        <w:t>por</w:t>
      </w:r>
      <w:r>
        <w:rPr>
          <w:color w:val="231F20"/>
          <w:spacing w:val="-7"/>
          <w:w w:val="105"/>
        </w:rPr>
        <w:t> </w:t>
      </w:r>
      <w:r>
        <w:rPr>
          <w:color w:val="231F20"/>
          <w:w w:val="105"/>
        </w:rPr>
        <w:t>ende,</w:t>
      </w:r>
      <w:r>
        <w:rPr>
          <w:color w:val="231F20"/>
          <w:spacing w:val="-7"/>
          <w:w w:val="105"/>
        </w:rPr>
        <w:t> </w:t>
      </w:r>
      <w:r>
        <w:rPr>
          <w:color w:val="231F20"/>
          <w:w w:val="105"/>
        </w:rPr>
        <w:t>homogeneizables;</w:t>
      </w:r>
      <w:r>
        <w:rPr>
          <w:color w:val="231F20"/>
          <w:spacing w:val="-7"/>
          <w:w w:val="105"/>
        </w:rPr>
        <w:t> </w:t>
      </w:r>
      <w:r>
        <w:rPr>
          <w:color w:val="231F20"/>
          <w:w w:val="105"/>
        </w:rPr>
        <w:t>de</w:t>
      </w:r>
      <w:r>
        <w:rPr>
          <w:color w:val="231F20"/>
          <w:spacing w:val="-7"/>
          <w:w w:val="105"/>
        </w:rPr>
        <w:t> </w:t>
      </w:r>
      <w:r>
        <w:rPr>
          <w:color w:val="231F20"/>
          <w:w w:val="105"/>
        </w:rPr>
        <w:t>esta</w:t>
      </w:r>
      <w:r>
        <w:rPr>
          <w:color w:val="231F20"/>
          <w:spacing w:val="-7"/>
          <w:w w:val="105"/>
        </w:rPr>
        <w:t> </w:t>
      </w:r>
      <w:r>
        <w:rPr>
          <w:color w:val="231F20"/>
          <w:w w:val="105"/>
        </w:rPr>
        <w:t>manera, las</w:t>
      </w:r>
      <w:r>
        <w:rPr>
          <w:color w:val="231F20"/>
          <w:spacing w:val="-25"/>
          <w:w w:val="105"/>
        </w:rPr>
        <w:t> </w:t>
      </w:r>
      <w:r>
        <w:rPr>
          <w:color w:val="231F20"/>
          <w:w w:val="105"/>
        </w:rPr>
        <w:t>aporías</w:t>
      </w:r>
      <w:r>
        <w:rPr>
          <w:color w:val="231F20"/>
          <w:spacing w:val="-25"/>
          <w:w w:val="105"/>
        </w:rPr>
        <w:t> </w:t>
      </w:r>
      <w:r>
        <w:rPr>
          <w:color w:val="231F20"/>
          <w:w w:val="105"/>
        </w:rPr>
        <w:t>se</w:t>
      </w:r>
      <w:r>
        <w:rPr>
          <w:color w:val="231F20"/>
          <w:spacing w:val="-25"/>
          <w:w w:val="105"/>
        </w:rPr>
        <w:t> </w:t>
      </w:r>
      <w:r>
        <w:rPr>
          <w:color w:val="231F20"/>
          <w:w w:val="105"/>
        </w:rPr>
        <w:t>vuelven</w:t>
      </w:r>
      <w:r>
        <w:rPr>
          <w:color w:val="231F20"/>
          <w:spacing w:val="-25"/>
          <w:w w:val="105"/>
        </w:rPr>
        <w:t> </w:t>
      </w:r>
      <w:r>
        <w:rPr>
          <w:color w:val="231F20"/>
          <w:w w:val="105"/>
        </w:rPr>
        <w:t>incluyentes</w:t>
      </w:r>
      <w:r>
        <w:rPr>
          <w:color w:val="231F20"/>
          <w:spacing w:val="-25"/>
          <w:w w:val="105"/>
        </w:rPr>
        <w:t> </w:t>
      </w:r>
      <w:r>
        <w:rPr>
          <w:color w:val="231F20"/>
          <w:w w:val="105"/>
        </w:rPr>
        <w:t>y</w:t>
      </w:r>
      <w:r>
        <w:rPr>
          <w:color w:val="231F20"/>
          <w:spacing w:val="-25"/>
          <w:w w:val="105"/>
        </w:rPr>
        <w:t> </w:t>
      </w:r>
      <w:r>
        <w:rPr>
          <w:color w:val="231F20"/>
          <w:w w:val="105"/>
        </w:rPr>
        <w:t>se</w:t>
      </w:r>
      <w:r>
        <w:rPr>
          <w:color w:val="231F20"/>
          <w:spacing w:val="-25"/>
          <w:w w:val="105"/>
        </w:rPr>
        <w:t> </w:t>
      </w:r>
      <w:r>
        <w:rPr>
          <w:color w:val="231F20"/>
          <w:w w:val="105"/>
        </w:rPr>
        <w:t>debilitan,</w:t>
      </w:r>
      <w:r>
        <w:rPr>
          <w:color w:val="231F20"/>
          <w:spacing w:val="-25"/>
          <w:w w:val="105"/>
        </w:rPr>
        <w:t> </w:t>
      </w:r>
      <w:r>
        <w:rPr>
          <w:color w:val="231F20"/>
          <w:w w:val="105"/>
        </w:rPr>
        <w:t>los</w:t>
      </w:r>
      <w:r>
        <w:rPr>
          <w:color w:val="231F20"/>
          <w:spacing w:val="-25"/>
          <w:w w:val="105"/>
        </w:rPr>
        <w:t> </w:t>
      </w:r>
      <w:r>
        <w:rPr>
          <w:color w:val="231F20"/>
          <w:w w:val="105"/>
        </w:rPr>
        <w:t>contrarios</w:t>
      </w:r>
      <w:r>
        <w:rPr>
          <w:color w:val="231F20"/>
          <w:spacing w:val="-25"/>
          <w:w w:val="105"/>
        </w:rPr>
        <w:t> </w:t>
      </w:r>
      <w:r>
        <w:rPr>
          <w:color w:val="231F20"/>
          <w:w w:val="105"/>
        </w:rPr>
        <w:t>se</w:t>
      </w:r>
      <w:r>
        <w:rPr>
          <w:color w:val="231F20"/>
          <w:spacing w:val="-25"/>
          <w:w w:val="105"/>
        </w:rPr>
        <w:t> </w:t>
      </w:r>
      <w:r>
        <w:rPr>
          <w:color w:val="231F20"/>
          <w:w w:val="105"/>
        </w:rPr>
        <w:t>vuelven visibles</w:t>
      </w:r>
      <w:r>
        <w:rPr>
          <w:color w:val="231F20"/>
          <w:spacing w:val="-18"/>
          <w:w w:val="105"/>
        </w:rPr>
        <w:t> </w:t>
      </w:r>
      <w:r>
        <w:rPr>
          <w:color w:val="231F20"/>
          <w:w w:val="105"/>
        </w:rPr>
        <w:t>y</w:t>
      </w:r>
      <w:r>
        <w:rPr>
          <w:color w:val="231F20"/>
          <w:spacing w:val="-18"/>
          <w:w w:val="105"/>
        </w:rPr>
        <w:t> </w:t>
      </w:r>
      <w:r>
        <w:rPr>
          <w:color w:val="231F20"/>
          <w:w w:val="105"/>
        </w:rPr>
        <w:t>bien</w:t>
      </w:r>
      <w:r>
        <w:rPr>
          <w:color w:val="231F20"/>
          <w:spacing w:val="-18"/>
          <w:w w:val="105"/>
        </w:rPr>
        <w:t> </w:t>
      </w:r>
      <w:r>
        <w:rPr>
          <w:color w:val="231F20"/>
          <w:w w:val="105"/>
        </w:rPr>
        <w:t>delimitados:</w:t>
      </w:r>
      <w:r>
        <w:rPr>
          <w:color w:val="231F20"/>
          <w:spacing w:val="-18"/>
          <w:w w:val="105"/>
        </w:rPr>
        <w:t> </w:t>
      </w:r>
      <w:r>
        <w:rPr>
          <w:color w:val="231F20"/>
          <w:w w:val="105"/>
        </w:rPr>
        <w:t>las</w:t>
      </w:r>
      <w:r>
        <w:rPr>
          <w:color w:val="231F20"/>
          <w:spacing w:val="-18"/>
          <w:w w:val="105"/>
        </w:rPr>
        <w:t> </w:t>
      </w:r>
      <w:r>
        <w:rPr>
          <w:color w:val="231F20"/>
          <w:w w:val="105"/>
        </w:rPr>
        <w:t>minorías</w:t>
      </w:r>
      <w:r>
        <w:rPr>
          <w:color w:val="231F20"/>
          <w:spacing w:val="-18"/>
          <w:w w:val="105"/>
        </w:rPr>
        <w:t> </w:t>
      </w:r>
      <w:r>
        <w:rPr>
          <w:color w:val="231F20"/>
          <w:w w:val="105"/>
        </w:rPr>
        <w:t>y</w:t>
      </w:r>
      <w:r>
        <w:rPr>
          <w:color w:val="231F20"/>
          <w:spacing w:val="-18"/>
          <w:w w:val="105"/>
        </w:rPr>
        <w:t> </w:t>
      </w:r>
      <w:r>
        <w:rPr>
          <w:color w:val="231F20"/>
          <w:w w:val="105"/>
        </w:rPr>
        <w:t>los</w:t>
      </w:r>
      <w:r>
        <w:rPr>
          <w:color w:val="231F20"/>
          <w:spacing w:val="-18"/>
          <w:w w:val="105"/>
        </w:rPr>
        <w:t> </w:t>
      </w:r>
      <w:r>
        <w:rPr>
          <w:color w:val="231F20"/>
          <w:w w:val="105"/>
        </w:rPr>
        <w:t>movimientos</w:t>
      </w:r>
      <w:r>
        <w:rPr>
          <w:color w:val="231F20"/>
          <w:spacing w:val="-18"/>
          <w:w w:val="105"/>
        </w:rPr>
        <w:t> </w:t>
      </w:r>
      <w:r>
        <w:rPr>
          <w:color w:val="231F20"/>
          <w:w w:val="105"/>
        </w:rPr>
        <w:t>contestatarios terminan</w:t>
      </w:r>
      <w:r>
        <w:rPr>
          <w:color w:val="231F20"/>
          <w:spacing w:val="-10"/>
          <w:w w:val="105"/>
        </w:rPr>
        <w:t> </w:t>
      </w:r>
      <w:r>
        <w:rPr>
          <w:color w:val="231F20"/>
          <w:w w:val="105"/>
        </w:rPr>
        <w:t>asumiendo</w:t>
      </w:r>
      <w:r>
        <w:rPr>
          <w:color w:val="231F20"/>
          <w:spacing w:val="-10"/>
          <w:w w:val="105"/>
        </w:rPr>
        <w:t> </w:t>
      </w:r>
      <w:r>
        <w:rPr>
          <w:color w:val="231F20"/>
          <w:w w:val="105"/>
        </w:rPr>
        <w:t>un</w:t>
      </w:r>
      <w:r>
        <w:rPr>
          <w:color w:val="231F20"/>
          <w:spacing w:val="-10"/>
          <w:w w:val="105"/>
        </w:rPr>
        <w:t> </w:t>
      </w:r>
      <w:r>
        <w:rPr>
          <w:color w:val="231F20"/>
          <w:w w:val="105"/>
        </w:rPr>
        <w:t>rostro</w:t>
      </w:r>
      <w:r>
        <w:rPr>
          <w:color w:val="231F20"/>
          <w:spacing w:val="-10"/>
          <w:w w:val="105"/>
        </w:rPr>
        <w:t> </w:t>
      </w:r>
      <w:r>
        <w:rPr>
          <w:color w:val="231F20"/>
          <w:w w:val="105"/>
        </w:rPr>
        <w:t>definido,</w:t>
      </w:r>
      <w:r>
        <w:rPr>
          <w:color w:val="231F20"/>
          <w:spacing w:val="-10"/>
          <w:w w:val="105"/>
        </w:rPr>
        <w:t> </w:t>
      </w:r>
      <w:r>
        <w:rPr>
          <w:color w:val="231F20"/>
          <w:w w:val="105"/>
        </w:rPr>
        <w:t>una</w:t>
      </w:r>
      <w:r>
        <w:rPr>
          <w:color w:val="231F20"/>
          <w:spacing w:val="-10"/>
          <w:w w:val="105"/>
        </w:rPr>
        <w:t> </w:t>
      </w:r>
      <w:r>
        <w:rPr>
          <w:color w:val="231F20"/>
          <w:w w:val="105"/>
        </w:rPr>
        <w:t>identidad</w:t>
      </w:r>
      <w:r>
        <w:rPr>
          <w:color w:val="231F20"/>
          <w:spacing w:val="-10"/>
          <w:w w:val="105"/>
        </w:rPr>
        <w:t> </w:t>
      </w:r>
      <w:r>
        <w:rPr>
          <w:color w:val="231F20"/>
          <w:w w:val="105"/>
        </w:rPr>
        <w:t>reconocible.</w:t>
      </w:r>
      <w:r>
        <w:rPr>
          <w:color w:val="231F20"/>
          <w:spacing w:val="-10"/>
          <w:w w:val="105"/>
        </w:rPr>
        <w:t> </w:t>
      </w:r>
      <w:r>
        <w:rPr>
          <w:color w:val="231F20"/>
          <w:w w:val="105"/>
        </w:rPr>
        <w:t>Pero también</w:t>
      </w:r>
      <w:r>
        <w:rPr>
          <w:color w:val="231F20"/>
          <w:spacing w:val="-35"/>
          <w:w w:val="105"/>
        </w:rPr>
        <w:t> </w:t>
      </w:r>
      <w:r>
        <w:rPr>
          <w:color w:val="231F20"/>
          <w:w w:val="105"/>
        </w:rPr>
        <w:t>se</w:t>
      </w:r>
      <w:r>
        <w:rPr>
          <w:color w:val="231F20"/>
          <w:spacing w:val="-35"/>
          <w:w w:val="105"/>
        </w:rPr>
        <w:t> </w:t>
      </w:r>
      <w:r>
        <w:rPr>
          <w:color w:val="231F20"/>
          <w:w w:val="105"/>
        </w:rPr>
        <w:t>pueden</w:t>
      </w:r>
      <w:r>
        <w:rPr>
          <w:color w:val="231F20"/>
          <w:spacing w:val="-35"/>
          <w:w w:val="105"/>
        </w:rPr>
        <w:t> </w:t>
      </w:r>
      <w:r>
        <w:rPr>
          <w:color w:val="231F20"/>
          <w:w w:val="105"/>
        </w:rPr>
        <w:t>hacer</w:t>
      </w:r>
      <w:r>
        <w:rPr>
          <w:color w:val="231F20"/>
          <w:spacing w:val="-35"/>
          <w:w w:val="105"/>
        </w:rPr>
        <w:t> </w:t>
      </w:r>
      <w:r>
        <w:rPr>
          <w:color w:val="231F20"/>
          <w:w w:val="105"/>
        </w:rPr>
        <w:t>otras</w:t>
      </w:r>
      <w:r>
        <w:rPr>
          <w:color w:val="231F20"/>
          <w:spacing w:val="-35"/>
          <w:w w:val="105"/>
        </w:rPr>
        <w:t> </w:t>
      </w:r>
      <w:r>
        <w:rPr>
          <w:color w:val="231F20"/>
          <w:w w:val="105"/>
        </w:rPr>
        <w:t>cosas</w:t>
      </w:r>
      <w:r>
        <w:rPr>
          <w:color w:val="231F20"/>
          <w:spacing w:val="-35"/>
          <w:w w:val="105"/>
        </w:rPr>
        <w:t> </w:t>
      </w:r>
      <w:r>
        <w:rPr>
          <w:color w:val="231F20"/>
          <w:w w:val="105"/>
        </w:rPr>
        <w:t>con</w:t>
      </w:r>
      <w:r>
        <w:rPr>
          <w:color w:val="231F20"/>
          <w:spacing w:val="-35"/>
          <w:w w:val="105"/>
        </w:rPr>
        <w:t> </w:t>
      </w:r>
      <w:r>
        <w:rPr>
          <w:color w:val="231F20"/>
          <w:w w:val="105"/>
        </w:rPr>
        <w:t>las</w:t>
      </w:r>
      <w:r>
        <w:rPr>
          <w:color w:val="231F20"/>
          <w:spacing w:val="-35"/>
          <w:w w:val="105"/>
        </w:rPr>
        <w:t> </w:t>
      </w:r>
      <w:r>
        <w:rPr>
          <w:color w:val="231F20"/>
          <w:w w:val="105"/>
        </w:rPr>
        <w:t>paradojas,</w:t>
      </w:r>
      <w:r>
        <w:rPr>
          <w:color w:val="231F20"/>
          <w:spacing w:val="-35"/>
          <w:w w:val="105"/>
        </w:rPr>
        <w:t> </w:t>
      </w:r>
      <w:r>
        <w:rPr>
          <w:color w:val="231F20"/>
          <w:w w:val="105"/>
        </w:rPr>
        <w:t>podemos</w:t>
      </w:r>
      <w:r>
        <w:rPr>
          <w:color w:val="231F20"/>
          <w:spacing w:val="-35"/>
          <w:w w:val="105"/>
        </w:rPr>
        <w:t> </w:t>
      </w:r>
      <w:r>
        <w:rPr>
          <w:color w:val="231F20"/>
          <w:w w:val="105"/>
        </w:rPr>
        <w:t>llevarlas al</w:t>
      </w:r>
      <w:r>
        <w:rPr>
          <w:color w:val="231F20"/>
          <w:spacing w:val="-31"/>
          <w:w w:val="105"/>
        </w:rPr>
        <w:t> </w:t>
      </w:r>
      <w:r>
        <w:rPr>
          <w:color w:val="231F20"/>
          <w:w w:val="105"/>
        </w:rPr>
        <w:t>extremo</w:t>
      </w:r>
      <w:r>
        <w:rPr>
          <w:color w:val="231F20"/>
          <w:spacing w:val="-31"/>
          <w:w w:val="105"/>
        </w:rPr>
        <w:t> </w:t>
      </w:r>
      <w:r>
        <w:rPr>
          <w:color w:val="231F20"/>
          <w:w w:val="105"/>
        </w:rPr>
        <w:t>y</w:t>
      </w:r>
      <w:r>
        <w:rPr>
          <w:color w:val="231F20"/>
          <w:spacing w:val="-31"/>
          <w:w w:val="105"/>
        </w:rPr>
        <w:t> </w:t>
      </w:r>
      <w:r>
        <w:rPr>
          <w:color w:val="231F20"/>
          <w:w w:val="105"/>
        </w:rPr>
        <w:t>afirmar</w:t>
      </w:r>
      <w:r>
        <w:rPr>
          <w:color w:val="231F20"/>
          <w:spacing w:val="-31"/>
          <w:w w:val="105"/>
        </w:rPr>
        <w:t> </w:t>
      </w:r>
      <w:r>
        <w:rPr>
          <w:color w:val="231F20"/>
          <w:w w:val="105"/>
        </w:rPr>
        <w:t>su</w:t>
      </w:r>
      <w:r>
        <w:rPr>
          <w:color w:val="231F20"/>
          <w:spacing w:val="-31"/>
          <w:w w:val="105"/>
        </w:rPr>
        <w:t> </w:t>
      </w:r>
      <w:r>
        <w:rPr>
          <w:color w:val="231F20"/>
          <w:w w:val="105"/>
        </w:rPr>
        <w:t>carácter</w:t>
      </w:r>
      <w:r>
        <w:rPr>
          <w:color w:val="231F20"/>
          <w:spacing w:val="-31"/>
          <w:w w:val="105"/>
        </w:rPr>
        <w:t> </w:t>
      </w:r>
      <w:r>
        <w:rPr>
          <w:color w:val="231F20"/>
          <w:w w:val="105"/>
        </w:rPr>
        <w:t>indecidible,</w:t>
      </w:r>
      <w:r>
        <w:rPr>
          <w:color w:val="231F20"/>
          <w:spacing w:val="-31"/>
          <w:w w:val="105"/>
        </w:rPr>
        <w:t> </w:t>
      </w:r>
      <w:r>
        <w:rPr>
          <w:color w:val="231F20"/>
          <w:w w:val="105"/>
        </w:rPr>
        <w:t>podemos</w:t>
      </w:r>
      <w:r>
        <w:rPr>
          <w:color w:val="231F20"/>
          <w:spacing w:val="-31"/>
          <w:w w:val="105"/>
        </w:rPr>
        <w:t> </w:t>
      </w:r>
      <w:r>
        <w:rPr>
          <w:color w:val="231F20"/>
          <w:w w:val="105"/>
        </w:rPr>
        <w:t>radicalizarlas</w:t>
      </w:r>
      <w:r>
        <w:rPr>
          <w:color w:val="231F20"/>
          <w:spacing w:val="-31"/>
          <w:w w:val="105"/>
        </w:rPr>
        <w:t> </w:t>
      </w:r>
      <w:r>
        <w:rPr>
          <w:color w:val="231F20"/>
          <w:w w:val="105"/>
        </w:rPr>
        <w:t>y</w:t>
      </w:r>
      <w:r>
        <w:rPr>
          <w:color w:val="231F20"/>
          <w:spacing w:val="-31"/>
          <w:w w:val="105"/>
        </w:rPr>
        <w:t> </w:t>
      </w:r>
      <w:r>
        <w:rPr>
          <w:rFonts w:ascii="Arial" w:hAnsi="Arial"/>
          <w:i/>
          <w:color w:val="231F20"/>
          <w:w w:val="105"/>
        </w:rPr>
        <w:t>ace- </w:t>
      </w:r>
      <w:r>
        <w:rPr>
          <w:rFonts w:ascii="Arial" w:hAnsi="Arial"/>
          <w:i/>
          <w:color w:val="231F20"/>
        </w:rPr>
        <w:t>lerar el</w:t>
      </w:r>
      <w:r>
        <w:rPr>
          <w:rFonts w:ascii="Arial" w:hAnsi="Arial"/>
          <w:i/>
          <w:color w:val="231F20"/>
          <w:spacing w:val="-14"/>
        </w:rPr>
        <w:t> </w:t>
      </w:r>
      <w:r>
        <w:rPr>
          <w:rFonts w:ascii="Arial" w:hAnsi="Arial"/>
          <w:i/>
          <w:color w:val="231F20"/>
        </w:rPr>
        <w:t>proceso</w:t>
      </w:r>
      <w:r>
        <w:rPr>
          <w:color w:val="231F20"/>
        </w:rPr>
        <w:t>.</w:t>
      </w:r>
    </w:p>
    <w:p>
      <w:pPr>
        <w:spacing w:line="220" w:lineRule="exact" w:before="275"/>
        <w:ind w:left="1534" w:right="101" w:firstLine="0"/>
        <w:jc w:val="both"/>
        <w:rPr>
          <w:sz w:val="19"/>
        </w:rPr>
      </w:pPr>
      <w:r>
        <w:rPr>
          <w:color w:val="231F20"/>
          <w:sz w:val="19"/>
        </w:rPr>
        <w:t>¿Pero qué vía revolucionaria si es que aún hay una? —¿Retirarse del mercado mundial, como Samir Amín aconseja a los países del tercer mundo, en una curiosa renovación de la “solución econó- mica”</w:t>
      </w:r>
      <w:r>
        <w:rPr>
          <w:color w:val="231F20"/>
          <w:spacing w:val="-8"/>
          <w:sz w:val="19"/>
        </w:rPr>
        <w:t> </w:t>
      </w:r>
      <w:r>
        <w:rPr>
          <w:color w:val="231F20"/>
          <w:sz w:val="19"/>
        </w:rPr>
        <w:t>fascista?</w:t>
      </w:r>
      <w:r>
        <w:rPr>
          <w:color w:val="231F20"/>
          <w:spacing w:val="-8"/>
          <w:sz w:val="19"/>
        </w:rPr>
        <w:t> </w:t>
      </w:r>
      <w:r>
        <w:rPr>
          <w:color w:val="231F20"/>
          <w:sz w:val="19"/>
        </w:rPr>
        <w:t>¿O</w:t>
      </w:r>
      <w:r>
        <w:rPr>
          <w:color w:val="231F20"/>
          <w:spacing w:val="-8"/>
          <w:sz w:val="19"/>
        </w:rPr>
        <w:t> </w:t>
      </w:r>
      <w:r>
        <w:rPr>
          <w:color w:val="231F20"/>
          <w:sz w:val="19"/>
        </w:rPr>
        <w:t>bien,</w:t>
      </w:r>
      <w:r>
        <w:rPr>
          <w:color w:val="231F20"/>
          <w:spacing w:val="-8"/>
          <w:sz w:val="19"/>
        </w:rPr>
        <w:t> </w:t>
      </w:r>
      <w:r>
        <w:rPr>
          <w:color w:val="231F20"/>
          <w:sz w:val="19"/>
        </w:rPr>
        <w:t>ir</w:t>
      </w:r>
      <w:r>
        <w:rPr>
          <w:color w:val="231F20"/>
          <w:spacing w:val="-8"/>
          <w:sz w:val="19"/>
        </w:rPr>
        <w:t> </w:t>
      </w:r>
      <w:r>
        <w:rPr>
          <w:color w:val="231F20"/>
          <w:sz w:val="19"/>
        </w:rPr>
        <w:t>en</w:t>
      </w:r>
      <w:r>
        <w:rPr>
          <w:color w:val="231F20"/>
          <w:spacing w:val="-8"/>
          <w:sz w:val="19"/>
        </w:rPr>
        <w:t> </w:t>
      </w:r>
      <w:r>
        <w:rPr>
          <w:color w:val="231F20"/>
          <w:sz w:val="19"/>
        </w:rPr>
        <w:t>el</w:t>
      </w:r>
      <w:r>
        <w:rPr>
          <w:color w:val="231F20"/>
          <w:spacing w:val="-8"/>
          <w:sz w:val="19"/>
        </w:rPr>
        <w:t> </w:t>
      </w:r>
      <w:r>
        <w:rPr>
          <w:color w:val="231F20"/>
          <w:sz w:val="19"/>
        </w:rPr>
        <w:t>sentido</w:t>
      </w:r>
      <w:r>
        <w:rPr>
          <w:color w:val="231F20"/>
          <w:spacing w:val="-8"/>
          <w:sz w:val="19"/>
        </w:rPr>
        <w:t> </w:t>
      </w:r>
      <w:r>
        <w:rPr>
          <w:color w:val="231F20"/>
          <w:sz w:val="19"/>
        </w:rPr>
        <w:t>contrario?</w:t>
      </w:r>
      <w:r>
        <w:rPr>
          <w:color w:val="231F20"/>
          <w:spacing w:val="-8"/>
          <w:sz w:val="19"/>
        </w:rPr>
        <w:t> </w:t>
      </w:r>
      <w:r>
        <w:rPr>
          <w:color w:val="231F20"/>
          <w:sz w:val="19"/>
        </w:rPr>
        <w:t>¿Es</w:t>
      </w:r>
      <w:r>
        <w:rPr>
          <w:color w:val="231F20"/>
          <w:spacing w:val="-8"/>
          <w:sz w:val="19"/>
        </w:rPr>
        <w:t> </w:t>
      </w:r>
      <w:r>
        <w:rPr>
          <w:color w:val="231F20"/>
          <w:spacing w:val="-3"/>
          <w:sz w:val="19"/>
        </w:rPr>
        <w:t>decir,</w:t>
      </w:r>
      <w:r>
        <w:rPr>
          <w:color w:val="231F20"/>
          <w:spacing w:val="-8"/>
          <w:sz w:val="19"/>
        </w:rPr>
        <w:t> </w:t>
      </w:r>
      <w:r>
        <w:rPr>
          <w:color w:val="231F20"/>
          <w:sz w:val="19"/>
        </w:rPr>
        <w:t>ir</w:t>
      </w:r>
      <w:r>
        <w:rPr>
          <w:color w:val="231F20"/>
          <w:spacing w:val="-8"/>
          <w:sz w:val="19"/>
        </w:rPr>
        <w:t> </w:t>
      </w:r>
      <w:r>
        <w:rPr>
          <w:color w:val="231F20"/>
          <w:sz w:val="19"/>
        </w:rPr>
        <w:t>aún más lejos que el movimiento del mercado en la descodificación y desterritorialización? Es que quizá los flujos no están tan</w:t>
      </w:r>
      <w:r>
        <w:rPr>
          <w:color w:val="231F20"/>
          <w:spacing w:val="-17"/>
          <w:sz w:val="19"/>
        </w:rPr>
        <w:t> </w:t>
      </w:r>
      <w:r>
        <w:rPr>
          <w:color w:val="231F20"/>
          <w:sz w:val="19"/>
        </w:rPr>
        <w:t>desterri- torializados, no tan decodificados, desde el punto de vista de</w:t>
      </w:r>
      <w:r>
        <w:rPr>
          <w:color w:val="231F20"/>
          <w:spacing w:val="10"/>
          <w:sz w:val="19"/>
        </w:rPr>
        <w:t> </w:t>
      </w:r>
      <w:r>
        <w:rPr>
          <w:color w:val="231F20"/>
          <w:sz w:val="19"/>
        </w:rPr>
        <w:t>una</w:t>
      </w:r>
    </w:p>
    <w:p>
      <w:pPr>
        <w:spacing w:line="204" w:lineRule="exact" w:before="442"/>
        <w:ind w:left="117" w:right="101" w:firstLine="0"/>
        <w:jc w:val="both"/>
        <w:rPr>
          <w:rFonts w:ascii="Calibri" w:hAnsi="Calibri"/>
          <w:sz w:val="17"/>
        </w:rPr>
      </w:pPr>
      <w:r>
        <w:rPr/>
        <w:pict>
          <v:line style="position:absolute;mso-position-horizontal-relative:page;mso-position-vertical-relative:paragraph;z-index:4768" from="70.866203pt,20.060001pt" to="184.252203pt,20.060001pt" stroked="true" strokeweight=".3pt" strokecolor="#231f20">
            <w10:wrap type="none"/>
          </v:line>
        </w:pict>
      </w:r>
      <w:r>
        <w:rPr>
          <w:rFonts w:ascii="Calibri" w:hAnsi="Calibri"/>
          <w:color w:val="231F20"/>
          <w:w w:val="105"/>
          <w:sz w:val="17"/>
        </w:rPr>
        <w:t>inmanente;</w:t>
      </w:r>
      <w:r>
        <w:rPr>
          <w:rFonts w:ascii="Calibri" w:hAnsi="Calibri"/>
          <w:color w:val="231F20"/>
          <w:spacing w:val="-13"/>
          <w:w w:val="105"/>
          <w:sz w:val="17"/>
        </w:rPr>
        <w:t> </w:t>
      </w:r>
      <w:r>
        <w:rPr>
          <w:rFonts w:ascii="Calibri" w:hAnsi="Calibri"/>
          <w:color w:val="231F20"/>
          <w:w w:val="105"/>
          <w:sz w:val="17"/>
        </w:rPr>
        <w:t>es</w:t>
      </w:r>
      <w:r>
        <w:rPr>
          <w:rFonts w:ascii="Calibri" w:hAnsi="Calibri"/>
          <w:color w:val="231F20"/>
          <w:spacing w:val="-13"/>
          <w:w w:val="105"/>
          <w:sz w:val="17"/>
        </w:rPr>
        <w:t> </w:t>
      </w:r>
      <w:r>
        <w:rPr>
          <w:rFonts w:ascii="Calibri" w:hAnsi="Calibri"/>
          <w:color w:val="231F20"/>
          <w:w w:val="105"/>
          <w:sz w:val="17"/>
        </w:rPr>
        <w:t>decir,</w:t>
      </w:r>
      <w:r>
        <w:rPr>
          <w:rFonts w:ascii="Calibri" w:hAnsi="Calibri"/>
          <w:color w:val="231F20"/>
          <w:spacing w:val="-13"/>
          <w:w w:val="105"/>
          <w:sz w:val="17"/>
        </w:rPr>
        <w:t> </w:t>
      </w:r>
      <w:r>
        <w:rPr>
          <w:rFonts w:ascii="Calibri" w:hAnsi="Calibri"/>
          <w:color w:val="231F20"/>
          <w:w w:val="105"/>
          <w:sz w:val="17"/>
        </w:rPr>
        <w:t>lo</w:t>
      </w:r>
      <w:r>
        <w:rPr>
          <w:rFonts w:ascii="Calibri" w:hAnsi="Calibri"/>
          <w:color w:val="231F20"/>
          <w:spacing w:val="-13"/>
          <w:w w:val="105"/>
          <w:sz w:val="17"/>
        </w:rPr>
        <w:t> </w:t>
      </w:r>
      <w:r>
        <w:rPr>
          <w:rFonts w:ascii="Calibri" w:hAnsi="Calibri"/>
          <w:color w:val="231F20"/>
          <w:w w:val="105"/>
          <w:sz w:val="17"/>
        </w:rPr>
        <w:t>intensivo</w:t>
      </w:r>
      <w:r>
        <w:rPr>
          <w:rFonts w:ascii="Calibri" w:hAnsi="Calibri"/>
          <w:color w:val="231F20"/>
          <w:spacing w:val="-13"/>
          <w:w w:val="105"/>
          <w:sz w:val="17"/>
        </w:rPr>
        <w:t> </w:t>
      </w:r>
      <w:r>
        <w:rPr>
          <w:rFonts w:ascii="Calibri" w:hAnsi="Calibri"/>
          <w:color w:val="231F20"/>
          <w:w w:val="105"/>
          <w:sz w:val="17"/>
        </w:rPr>
        <w:t>habla</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una</w:t>
      </w:r>
      <w:r>
        <w:rPr>
          <w:rFonts w:ascii="Calibri" w:hAnsi="Calibri"/>
          <w:color w:val="231F20"/>
          <w:spacing w:val="-13"/>
          <w:w w:val="105"/>
          <w:sz w:val="17"/>
        </w:rPr>
        <w:t> </w:t>
      </w:r>
      <w:r>
        <w:rPr>
          <w:rFonts w:ascii="Calibri" w:hAnsi="Calibri"/>
          <w:color w:val="231F20"/>
          <w:w w:val="105"/>
          <w:sz w:val="17"/>
        </w:rPr>
        <w:t>diferencia</w:t>
      </w:r>
      <w:r>
        <w:rPr>
          <w:rFonts w:ascii="Calibri" w:hAnsi="Calibri"/>
          <w:color w:val="231F20"/>
          <w:spacing w:val="-13"/>
          <w:w w:val="105"/>
          <w:sz w:val="17"/>
        </w:rPr>
        <w:t> </w:t>
      </w:r>
      <w:r>
        <w:rPr>
          <w:rFonts w:ascii="Calibri" w:hAnsi="Calibri"/>
          <w:color w:val="231F20"/>
          <w:w w:val="105"/>
          <w:sz w:val="17"/>
        </w:rPr>
        <w:t>no</w:t>
      </w:r>
      <w:r>
        <w:rPr>
          <w:rFonts w:ascii="Calibri" w:hAnsi="Calibri"/>
          <w:color w:val="231F20"/>
          <w:spacing w:val="-13"/>
          <w:w w:val="105"/>
          <w:sz w:val="17"/>
        </w:rPr>
        <w:t> </w:t>
      </w:r>
      <w:r>
        <w:rPr>
          <w:rFonts w:ascii="Calibri" w:hAnsi="Calibri"/>
          <w:color w:val="231F20"/>
          <w:w w:val="105"/>
          <w:sz w:val="17"/>
        </w:rPr>
        <w:t>extensiva,</w:t>
      </w:r>
      <w:r>
        <w:rPr>
          <w:rFonts w:ascii="Calibri" w:hAnsi="Calibri"/>
          <w:color w:val="231F20"/>
          <w:spacing w:val="-13"/>
          <w:w w:val="105"/>
          <w:sz w:val="17"/>
        </w:rPr>
        <w:t> </w:t>
      </w:r>
      <w:r>
        <w:rPr>
          <w:rFonts w:ascii="Calibri" w:hAnsi="Calibri"/>
          <w:color w:val="231F20"/>
          <w:w w:val="105"/>
          <w:sz w:val="17"/>
        </w:rPr>
        <w:t>como</w:t>
      </w:r>
      <w:r>
        <w:rPr>
          <w:rFonts w:ascii="Calibri" w:hAnsi="Calibri"/>
          <w:color w:val="231F20"/>
          <w:spacing w:val="-13"/>
          <w:w w:val="105"/>
          <w:sz w:val="17"/>
        </w:rPr>
        <w:t> </w:t>
      </w:r>
      <w:r>
        <w:rPr>
          <w:rFonts w:ascii="Calibri" w:hAnsi="Calibri"/>
          <w:color w:val="231F20"/>
          <w:w w:val="105"/>
          <w:sz w:val="17"/>
        </w:rPr>
        <w:t>por</w:t>
      </w:r>
      <w:r>
        <w:rPr>
          <w:rFonts w:ascii="Calibri" w:hAnsi="Calibri"/>
          <w:color w:val="231F20"/>
          <w:spacing w:val="-13"/>
          <w:w w:val="105"/>
          <w:sz w:val="17"/>
        </w:rPr>
        <w:t> </w:t>
      </w:r>
      <w:r>
        <w:rPr>
          <w:rFonts w:ascii="Calibri" w:hAnsi="Calibri"/>
          <w:color w:val="231F20"/>
          <w:w w:val="105"/>
          <w:sz w:val="17"/>
        </w:rPr>
        <w:t>ejemplo,</w:t>
      </w:r>
      <w:r>
        <w:rPr>
          <w:rFonts w:ascii="Calibri" w:hAnsi="Calibri"/>
          <w:color w:val="231F20"/>
          <w:spacing w:val="-13"/>
          <w:w w:val="105"/>
          <w:sz w:val="17"/>
        </w:rPr>
        <w:t> </w:t>
      </w:r>
      <w:r>
        <w:rPr>
          <w:rFonts w:ascii="Calibri" w:hAnsi="Calibri"/>
          <w:color w:val="231F20"/>
          <w:w w:val="105"/>
          <w:sz w:val="17"/>
        </w:rPr>
        <w:t>cuando un</w:t>
      </w:r>
      <w:r>
        <w:rPr>
          <w:rFonts w:ascii="Calibri" w:hAnsi="Calibri"/>
          <w:color w:val="231F20"/>
          <w:spacing w:val="-5"/>
          <w:w w:val="105"/>
          <w:sz w:val="17"/>
        </w:rPr>
        <w:t> </w:t>
      </w:r>
      <w:r>
        <w:rPr>
          <w:rFonts w:ascii="Calibri" w:hAnsi="Calibri"/>
          <w:color w:val="231F20"/>
          <w:w w:val="105"/>
          <w:sz w:val="17"/>
        </w:rPr>
        <w:t>objeto</w:t>
      </w:r>
      <w:r>
        <w:rPr>
          <w:rFonts w:ascii="Calibri" w:hAnsi="Calibri"/>
          <w:color w:val="231F20"/>
          <w:spacing w:val="-5"/>
          <w:w w:val="105"/>
          <w:sz w:val="17"/>
        </w:rPr>
        <w:t> </w:t>
      </w:r>
      <w:r>
        <w:rPr>
          <w:rFonts w:ascii="Calibri" w:hAnsi="Calibri"/>
          <w:color w:val="231F20"/>
          <w:w w:val="105"/>
          <w:sz w:val="17"/>
        </w:rPr>
        <w:t>cambia</w:t>
      </w:r>
      <w:r>
        <w:rPr>
          <w:rFonts w:ascii="Calibri" w:hAnsi="Calibri"/>
          <w:color w:val="231F20"/>
          <w:spacing w:val="-5"/>
          <w:w w:val="105"/>
          <w:sz w:val="17"/>
        </w:rPr>
        <w:t> </w:t>
      </w:r>
      <w:r>
        <w:rPr>
          <w:rFonts w:ascii="Calibri" w:hAnsi="Calibri"/>
          <w:color w:val="231F20"/>
          <w:w w:val="105"/>
          <w:sz w:val="17"/>
        </w:rPr>
        <w:t>de</w:t>
      </w:r>
      <w:r>
        <w:rPr>
          <w:rFonts w:ascii="Calibri" w:hAnsi="Calibri"/>
          <w:color w:val="231F20"/>
          <w:spacing w:val="-5"/>
          <w:w w:val="105"/>
          <w:sz w:val="17"/>
        </w:rPr>
        <w:t> </w:t>
      </w:r>
      <w:r>
        <w:rPr>
          <w:rFonts w:ascii="Calibri" w:hAnsi="Calibri"/>
          <w:color w:val="231F20"/>
          <w:spacing w:val="-3"/>
          <w:w w:val="105"/>
          <w:sz w:val="17"/>
        </w:rPr>
        <w:t>lugar,</w:t>
      </w:r>
      <w:r>
        <w:rPr>
          <w:rFonts w:ascii="Calibri" w:hAnsi="Calibri"/>
          <w:color w:val="231F20"/>
          <w:spacing w:val="-5"/>
          <w:w w:val="105"/>
          <w:sz w:val="17"/>
        </w:rPr>
        <w:t> </w:t>
      </w:r>
      <w:r>
        <w:rPr>
          <w:rFonts w:ascii="Calibri" w:hAnsi="Calibri"/>
          <w:color w:val="231F20"/>
          <w:w w:val="105"/>
          <w:sz w:val="17"/>
        </w:rPr>
        <w:t>sino</w:t>
      </w:r>
      <w:r>
        <w:rPr>
          <w:rFonts w:ascii="Calibri" w:hAnsi="Calibri"/>
          <w:color w:val="231F20"/>
          <w:spacing w:val="-5"/>
          <w:w w:val="105"/>
          <w:sz w:val="17"/>
        </w:rPr>
        <w:t> </w:t>
      </w:r>
      <w:r>
        <w:rPr>
          <w:rFonts w:ascii="Calibri" w:hAnsi="Calibri"/>
          <w:color w:val="231F20"/>
          <w:w w:val="105"/>
          <w:sz w:val="17"/>
        </w:rPr>
        <w:t>de</w:t>
      </w:r>
      <w:r>
        <w:rPr>
          <w:rFonts w:ascii="Calibri" w:hAnsi="Calibri"/>
          <w:color w:val="231F20"/>
          <w:spacing w:val="-5"/>
          <w:w w:val="105"/>
          <w:sz w:val="17"/>
        </w:rPr>
        <w:t> </w:t>
      </w:r>
      <w:r>
        <w:rPr>
          <w:rFonts w:ascii="Calibri" w:hAnsi="Calibri"/>
          <w:color w:val="231F20"/>
          <w:w w:val="105"/>
          <w:sz w:val="17"/>
        </w:rPr>
        <w:t>una</w:t>
      </w:r>
      <w:r>
        <w:rPr>
          <w:rFonts w:ascii="Calibri" w:hAnsi="Calibri"/>
          <w:color w:val="231F20"/>
          <w:spacing w:val="-5"/>
          <w:w w:val="105"/>
          <w:sz w:val="17"/>
        </w:rPr>
        <w:t> </w:t>
      </w:r>
      <w:r>
        <w:rPr>
          <w:rFonts w:ascii="Calibri" w:hAnsi="Calibri"/>
          <w:color w:val="231F20"/>
          <w:w w:val="105"/>
          <w:sz w:val="17"/>
        </w:rPr>
        <w:t>diferenciación</w:t>
      </w:r>
      <w:r>
        <w:rPr>
          <w:rFonts w:ascii="Calibri" w:hAnsi="Calibri"/>
          <w:color w:val="231F20"/>
          <w:spacing w:val="-5"/>
          <w:w w:val="105"/>
          <w:sz w:val="17"/>
        </w:rPr>
        <w:t> </w:t>
      </w:r>
      <w:r>
        <w:rPr>
          <w:rFonts w:ascii="Calibri" w:hAnsi="Calibri"/>
          <w:color w:val="231F20"/>
          <w:w w:val="105"/>
          <w:sz w:val="17"/>
        </w:rPr>
        <w:t>que</w:t>
      </w:r>
      <w:r>
        <w:rPr>
          <w:rFonts w:ascii="Calibri" w:hAnsi="Calibri"/>
          <w:color w:val="231F20"/>
          <w:spacing w:val="-5"/>
          <w:w w:val="105"/>
          <w:sz w:val="17"/>
        </w:rPr>
        <w:t> </w:t>
      </w:r>
      <w:r>
        <w:rPr>
          <w:rFonts w:ascii="Calibri" w:hAnsi="Calibri"/>
          <w:color w:val="231F20"/>
          <w:w w:val="105"/>
          <w:sz w:val="17"/>
        </w:rPr>
        <w:t>no</w:t>
      </w:r>
      <w:r>
        <w:rPr>
          <w:rFonts w:ascii="Calibri" w:hAnsi="Calibri"/>
          <w:color w:val="231F20"/>
          <w:spacing w:val="-5"/>
          <w:w w:val="105"/>
          <w:sz w:val="17"/>
        </w:rPr>
        <w:t> </w:t>
      </w:r>
      <w:r>
        <w:rPr>
          <w:rFonts w:ascii="Calibri" w:hAnsi="Calibri"/>
          <w:color w:val="231F20"/>
          <w:w w:val="105"/>
          <w:sz w:val="17"/>
        </w:rPr>
        <w:t>implica</w:t>
      </w:r>
      <w:r>
        <w:rPr>
          <w:rFonts w:ascii="Calibri" w:hAnsi="Calibri"/>
          <w:color w:val="231F20"/>
          <w:spacing w:val="-5"/>
          <w:w w:val="105"/>
          <w:sz w:val="17"/>
        </w:rPr>
        <w:t> </w:t>
      </w:r>
      <w:r>
        <w:rPr>
          <w:rFonts w:ascii="Calibri" w:hAnsi="Calibri"/>
          <w:color w:val="231F20"/>
          <w:w w:val="105"/>
          <w:sz w:val="17"/>
        </w:rPr>
        <w:t>que</w:t>
      </w:r>
      <w:r>
        <w:rPr>
          <w:rFonts w:ascii="Calibri" w:hAnsi="Calibri"/>
          <w:color w:val="231F20"/>
          <w:spacing w:val="-5"/>
          <w:w w:val="105"/>
          <w:sz w:val="17"/>
        </w:rPr>
        <w:t> </w:t>
      </w:r>
      <w:r>
        <w:rPr>
          <w:rFonts w:ascii="Calibri" w:hAnsi="Calibri"/>
          <w:color w:val="231F20"/>
          <w:w w:val="105"/>
          <w:sz w:val="17"/>
        </w:rPr>
        <w:t>el</w:t>
      </w:r>
      <w:r>
        <w:rPr>
          <w:rFonts w:ascii="Calibri" w:hAnsi="Calibri"/>
          <w:color w:val="231F20"/>
          <w:spacing w:val="-5"/>
          <w:w w:val="105"/>
          <w:sz w:val="17"/>
        </w:rPr>
        <w:t> </w:t>
      </w:r>
      <w:r>
        <w:rPr>
          <w:rFonts w:ascii="Calibri" w:hAnsi="Calibri"/>
          <w:color w:val="231F20"/>
          <w:w w:val="105"/>
          <w:sz w:val="17"/>
        </w:rPr>
        <w:t>objeto</w:t>
      </w:r>
      <w:r>
        <w:rPr>
          <w:rFonts w:ascii="Calibri" w:hAnsi="Calibri"/>
          <w:color w:val="231F20"/>
          <w:spacing w:val="-5"/>
          <w:w w:val="105"/>
          <w:sz w:val="17"/>
        </w:rPr>
        <w:t> </w:t>
      </w:r>
      <w:r>
        <w:rPr>
          <w:rFonts w:ascii="Calibri" w:hAnsi="Calibri"/>
          <w:color w:val="231F20"/>
          <w:w w:val="105"/>
          <w:sz w:val="17"/>
        </w:rPr>
        <w:t>simplemente se</w:t>
      </w:r>
      <w:r>
        <w:rPr>
          <w:rFonts w:ascii="Calibri" w:hAnsi="Calibri"/>
          <w:color w:val="231F20"/>
          <w:spacing w:val="-12"/>
          <w:w w:val="105"/>
          <w:sz w:val="17"/>
        </w:rPr>
        <w:t> </w:t>
      </w:r>
      <w:r>
        <w:rPr>
          <w:rFonts w:ascii="Calibri" w:hAnsi="Calibri"/>
          <w:color w:val="231F20"/>
          <w:w w:val="105"/>
          <w:sz w:val="17"/>
        </w:rPr>
        <w:t>desplace</w:t>
      </w:r>
      <w:r>
        <w:rPr>
          <w:rFonts w:ascii="Calibri" w:hAnsi="Calibri"/>
          <w:color w:val="231F20"/>
          <w:spacing w:val="-12"/>
          <w:w w:val="105"/>
          <w:sz w:val="17"/>
        </w:rPr>
        <w:t> </w:t>
      </w:r>
      <w:r>
        <w:rPr>
          <w:rFonts w:ascii="Calibri" w:hAnsi="Calibri"/>
          <w:color w:val="231F20"/>
          <w:w w:val="105"/>
          <w:sz w:val="17"/>
        </w:rPr>
        <w:t>o</w:t>
      </w:r>
      <w:r>
        <w:rPr>
          <w:rFonts w:ascii="Calibri" w:hAnsi="Calibri"/>
          <w:color w:val="231F20"/>
          <w:spacing w:val="-12"/>
          <w:w w:val="105"/>
          <w:sz w:val="17"/>
        </w:rPr>
        <w:t> </w:t>
      </w:r>
      <w:r>
        <w:rPr>
          <w:rFonts w:ascii="Calibri" w:hAnsi="Calibri"/>
          <w:color w:val="231F20"/>
          <w:w w:val="105"/>
          <w:sz w:val="17"/>
        </w:rPr>
        <w:t>se</w:t>
      </w:r>
      <w:r>
        <w:rPr>
          <w:rFonts w:ascii="Calibri" w:hAnsi="Calibri"/>
          <w:color w:val="231F20"/>
          <w:spacing w:val="-12"/>
          <w:w w:val="105"/>
          <w:sz w:val="17"/>
        </w:rPr>
        <w:t> </w:t>
      </w:r>
      <w:r>
        <w:rPr>
          <w:rFonts w:ascii="Calibri" w:hAnsi="Calibri"/>
          <w:color w:val="231F20"/>
          <w:w w:val="105"/>
          <w:sz w:val="17"/>
        </w:rPr>
        <w:t>mezcle</w:t>
      </w:r>
      <w:r>
        <w:rPr>
          <w:rFonts w:ascii="Calibri" w:hAnsi="Calibri"/>
          <w:color w:val="231F20"/>
          <w:spacing w:val="-12"/>
          <w:w w:val="105"/>
          <w:sz w:val="17"/>
        </w:rPr>
        <w:t> </w:t>
      </w:r>
      <w:r>
        <w:rPr>
          <w:rFonts w:ascii="Calibri" w:hAnsi="Calibri"/>
          <w:color w:val="231F20"/>
          <w:w w:val="105"/>
          <w:sz w:val="17"/>
        </w:rPr>
        <w:t>con</w:t>
      </w:r>
      <w:r>
        <w:rPr>
          <w:rFonts w:ascii="Calibri" w:hAnsi="Calibri"/>
          <w:color w:val="231F20"/>
          <w:spacing w:val="-12"/>
          <w:w w:val="105"/>
          <w:sz w:val="17"/>
        </w:rPr>
        <w:t> </w:t>
      </w:r>
      <w:r>
        <w:rPr>
          <w:rFonts w:ascii="Calibri" w:hAnsi="Calibri"/>
          <w:color w:val="231F20"/>
          <w:w w:val="105"/>
          <w:sz w:val="17"/>
        </w:rPr>
        <w:t>otro.</w:t>
      </w:r>
      <w:r>
        <w:rPr>
          <w:rFonts w:ascii="Calibri" w:hAnsi="Calibri"/>
          <w:color w:val="231F20"/>
          <w:spacing w:val="-12"/>
          <w:w w:val="105"/>
          <w:sz w:val="17"/>
        </w:rPr>
        <w:t> </w:t>
      </w:r>
      <w:r>
        <w:rPr>
          <w:rFonts w:ascii="Calibri" w:hAnsi="Calibri"/>
          <w:color w:val="231F20"/>
          <w:w w:val="105"/>
          <w:sz w:val="17"/>
        </w:rPr>
        <w:t>Podemos</w:t>
      </w:r>
      <w:r>
        <w:rPr>
          <w:rFonts w:ascii="Calibri" w:hAnsi="Calibri"/>
          <w:color w:val="231F20"/>
          <w:spacing w:val="-12"/>
          <w:w w:val="105"/>
          <w:sz w:val="17"/>
        </w:rPr>
        <w:t> </w:t>
      </w:r>
      <w:r>
        <w:rPr>
          <w:rFonts w:ascii="Calibri" w:hAnsi="Calibri"/>
          <w:color w:val="231F20"/>
          <w:w w:val="105"/>
          <w:sz w:val="17"/>
        </w:rPr>
        <w:t>mezclar</w:t>
      </w:r>
      <w:r>
        <w:rPr>
          <w:rFonts w:ascii="Calibri" w:hAnsi="Calibri"/>
          <w:color w:val="231F20"/>
          <w:spacing w:val="-12"/>
          <w:w w:val="105"/>
          <w:sz w:val="17"/>
        </w:rPr>
        <w:t> </w:t>
      </w:r>
      <w:r>
        <w:rPr>
          <w:rFonts w:ascii="Calibri" w:hAnsi="Calibri"/>
          <w:color w:val="231F20"/>
          <w:w w:val="105"/>
          <w:sz w:val="17"/>
        </w:rPr>
        <w:t>agua</w:t>
      </w:r>
      <w:r>
        <w:rPr>
          <w:rFonts w:ascii="Calibri" w:hAnsi="Calibri"/>
          <w:color w:val="231F20"/>
          <w:spacing w:val="-13"/>
          <w:w w:val="105"/>
          <w:sz w:val="17"/>
        </w:rPr>
        <w:t> </w:t>
      </w:r>
      <w:r>
        <w:rPr>
          <w:rFonts w:ascii="Calibri" w:hAnsi="Calibri"/>
          <w:color w:val="231F20"/>
          <w:w w:val="105"/>
          <w:sz w:val="17"/>
        </w:rPr>
        <w:t>y</w:t>
      </w:r>
      <w:r>
        <w:rPr>
          <w:rFonts w:ascii="Calibri" w:hAnsi="Calibri"/>
          <w:color w:val="231F20"/>
          <w:spacing w:val="-12"/>
          <w:w w:val="105"/>
          <w:sz w:val="17"/>
        </w:rPr>
        <w:t> </w:t>
      </w:r>
      <w:r>
        <w:rPr>
          <w:rFonts w:ascii="Calibri" w:hAnsi="Calibri"/>
          <w:color w:val="231F20"/>
          <w:w w:val="105"/>
          <w:sz w:val="17"/>
        </w:rPr>
        <w:t>sal,</w:t>
      </w:r>
      <w:r>
        <w:rPr>
          <w:rFonts w:ascii="Calibri" w:hAnsi="Calibri"/>
          <w:color w:val="231F20"/>
          <w:spacing w:val="-12"/>
          <w:w w:val="105"/>
          <w:sz w:val="17"/>
        </w:rPr>
        <w:t> </w:t>
      </w:r>
      <w:r>
        <w:rPr>
          <w:rFonts w:ascii="Calibri" w:hAnsi="Calibri"/>
          <w:color w:val="231F20"/>
          <w:w w:val="105"/>
          <w:sz w:val="17"/>
        </w:rPr>
        <w:t>extensivamente</w:t>
      </w:r>
      <w:r>
        <w:rPr>
          <w:rFonts w:ascii="Calibri" w:hAnsi="Calibri"/>
          <w:color w:val="231F20"/>
          <w:spacing w:val="-12"/>
          <w:w w:val="105"/>
          <w:sz w:val="17"/>
        </w:rPr>
        <w:t> </w:t>
      </w:r>
      <w:r>
        <w:rPr>
          <w:rFonts w:ascii="Calibri" w:hAnsi="Calibri"/>
          <w:color w:val="231F20"/>
          <w:w w:val="105"/>
          <w:sz w:val="17"/>
        </w:rPr>
        <w:t>ello</w:t>
      </w:r>
      <w:r>
        <w:rPr>
          <w:rFonts w:ascii="Calibri" w:hAnsi="Calibri"/>
          <w:color w:val="231F20"/>
          <w:spacing w:val="-12"/>
          <w:w w:val="105"/>
          <w:sz w:val="17"/>
        </w:rPr>
        <w:t> </w:t>
      </w:r>
      <w:r>
        <w:rPr>
          <w:rFonts w:ascii="Calibri" w:hAnsi="Calibri"/>
          <w:color w:val="231F20"/>
          <w:w w:val="105"/>
          <w:sz w:val="17"/>
        </w:rPr>
        <w:t>nos</w:t>
      </w:r>
      <w:r>
        <w:rPr>
          <w:rFonts w:ascii="Calibri" w:hAnsi="Calibri"/>
          <w:color w:val="231F20"/>
          <w:spacing w:val="-12"/>
          <w:w w:val="105"/>
          <w:sz w:val="17"/>
        </w:rPr>
        <w:t> </w:t>
      </w:r>
      <w:r>
        <w:rPr>
          <w:rFonts w:ascii="Calibri" w:hAnsi="Calibri"/>
          <w:color w:val="231F20"/>
          <w:w w:val="105"/>
          <w:sz w:val="17"/>
        </w:rPr>
        <w:t>dará</w:t>
      </w:r>
      <w:r>
        <w:rPr>
          <w:rFonts w:ascii="Calibri" w:hAnsi="Calibri"/>
          <w:color w:val="231F20"/>
          <w:spacing w:val="-12"/>
          <w:w w:val="105"/>
          <w:sz w:val="17"/>
        </w:rPr>
        <w:t> </w:t>
      </w:r>
      <w:r>
        <w:rPr>
          <w:rFonts w:ascii="Calibri" w:hAnsi="Calibri"/>
          <w:color w:val="231F20"/>
          <w:w w:val="105"/>
          <w:sz w:val="17"/>
        </w:rPr>
        <w:t>agua salada,</w:t>
      </w:r>
      <w:r>
        <w:rPr>
          <w:rFonts w:ascii="Calibri" w:hAnsi="Calibri"/>
          <w:color w:val="231F20"/>
          <w:spacing w:val="-8"/>
          <w:w w:val="105"/>
          <w:sz w:val="17"/>
        </w:rPr>
        <w:t> </w:t>
      </w:r>
      <w:r>
        <w:rPr>
          <w:rFonts w:ascii="Calibri" w:hAnsi="Calibri"/>
          <w:color w:val="231F20"/>
          <w:w w:val="105"/>
          <w:sz w:val="17"/>
        </w:rPr>
        <w:t>como</w:t>
      </w:r>
      <w:r>
        <w:rPr>
          <w:rFonts w:ascii="Calibri" w:hAnsi="Calibri"/>
          <w:color w:val="231F20"/>
          <w:spacing w:val="-8"/>
          <w:w w:val="105"/>
          <w:sz w:val="17"/>
        </w:rPr>
        <w:t> </w:t>
      </w:r>
      <w:r>
        <w:rPr>
          <w:rFonts w:ascii="Calibri" w:hAnsi="Calibri"/>
          <w:color w:val="231F20"/>
          <w:w w:val="105"/>
          <w:sz w:val="17"/>
        </w:rPr>
        <w:t>si</w:t>
      </w:r>
      <w:r>
        <w:rPr>
          <w:rFonts w:ascii="Calibri" w:hAnsi="Calibri"/>
          <w:color w:val="231F20"/>
          <w:spacing w:val="-8"/>
          <w:w w:val="105"/>
          <w:sz w:val="17"/>
        </w:rPr>
        <w:t> </w:t>
      </w:r>
      <w:r>
        <w:rPr>
          <w:rFonts w:ascii="Calibri" w:hAnsi="Calibri"/>
          <w:color w:val="231F20"/>
          <w:w w:val="105"/>
          <w:sz w:val="17"/>
        </w:rPr>
        <w:t>ambos</w:t>
      </w:r>
      <w:r>
        <w:rPr>
          <w:rFonts w:ascii="Calibri" w:hAnsi="Calibri"/>
          <w:color w:val="231F20"/>
          <w:spacing w:val="-8"/>
          <w:w w:val="105"/>
          <w:sz w:val="17"/>
        </w:rPr>
        <w:t> </w:t>
      </w:r>
      <w:r>
        <w:rPr>
          <w:rFonts w:ascii="Calibri" w:hAnsi="Calibri"/>
          <w:color w:val="231F20"/>
          <w:w w:val="105"/>
          <w:sz w:val="17"/>
        </w:rPr>
        <w:t>elementos</w:t>
      </w:r>
      <w:r>
        <w:rPr>
          <w:rFonts w:ascii="Calibri" w:hAnsi="Calibri"/>
          <w:color w:val="231F20"/>
          <w:spacing w:val="-8"/>
          <w:w w:val="105"/>
          <w:sz w:val="17"/>
        </w:rPr>
        <w:t> </w:t>
      </w:r>
      <w:r>
        <w:rPr>
          <w:rFonts w:ascii="Calibri" w:hAnsi="Calibri"/>
          <w:color w:val="231F20"/>
          <w:w w:val="105"/>
          <w:sz w:val="17"/>
        </w:rPr>
        <w:t>fueran</w:t>
      </w:r>
      <w:r>
        <w:rPr>
          <w:rFonts w:ascii="Calibri" w:hAnsi="Calibri"/>
          <w:color w:val="231F20"/>
          <w:spacing w:val="-8"/>
          <w:w w:val="105"/>
          <w:sz w:val="17"/>
        </w:rPr>
        <w:t> </w:t>
      </w:r>
      <w:r>
        <w:rPr>
          <w:rFonts w:ascii="Calibri" w:hAnsi="Calibri"/>
          <w:color w:val="231F20"/>
          <w:w w:val="105"/>
          <w:sz w:val="17"/>
        </w:rPr>
        <w:t>unidades</w:t>
      </w:r>
      <w:r>
        <w:rPr>
          <w:rFonts w:ascii="Calibri" w:hAnsi="Calibri"/>
          <w:color w:val="231F20"/>
          <w:spacing w:val="-8"/>
          <w:w w:val="105"/>
          <w:sz w:val="17"/>
        </w:rPr>
        <w:t> </w:t>
      </w:r>
      <w:r>
        <w:rPr>
          <w:rFonts w:ascii="Calibri" w:hAnsi="Calibri"/>
          <w:color w:val="231F20"/>
          <w:w w:val="105"/>
          <w:sz w:val="17"/>
        </w:rPr>
        <w:t>coherentes</w:t>
      </w:r>
      <w:r>
        <w:rPr>
          <w:rFonts w:ascii="Calibri" w:hAnsi="Calibri"/>
          <w:color w:val="231F20"/>
          <w:spacing w:val="-10"/>
          <w:w w:val="105"/>
          <w:sz w:val="17"/>
        </w:rPr>
        <w:t> </w:t>
      </w:r>
      <w:r>
        <w:rPr>
          <w:rFonts w:ascii="Calibri" w:hAnsi="Calibri"/>
          <w:color w:val="231F20"/>
          <w:w w:val="105"/>
          <w:sz w:val="17"/>
        </w:rPr>
        <w:t>y</w:t>
      </w:r>
      <w:r>
        <w:rPr>
          <w:rFonts w:ascii="Calibri" w:hAnsi="Calibri"/>
          <w:color w:val="231F20"/>
          <w:spacing w:val="-8"/>
          <w:w w:val="105"/>
          <w:sz w:val="17"/>
        </w:rPr>
        <w:t> </w:t>
      </w:r>
      <w:r>
        <w:rPr>
          <w:rFonts w:ascii="Calibri" w:hAnsi="Calibri"/>
          <w:color w:val="231F20"/>
          <w:w w:val="105"/>
          <w:sz w:val="17"/>
        </w:rPr>
        <w:t>unitarias</w:t>
      </w:r>
      <w:r>
        <w:rPr>
          <w:rFonts w:ascii="Calibri" w:hAnsi="Calibri"/>
          <w:color w:val="231F20"/>
          <w:spacing w:val="-8"/>
          <w:w w:val="105"/>
          <w:sz w:val="17"/>
        </w:rPr>
        <w:t> </w:t>
      </w:r>
      <w:r>
        <w:rPr>
          <w:rFonts w:ascii="Calibri" w:hAnsi="Calibri"/>
          <w:color w:val="231F20"/>
          <w:w w:val="105"/>
          <w:sz w:val="17"/>
        </w:rPr>
        <w:t>antes</w:t>
      </w:r>
      <w:r>
        <w:rPr>
          <w:rFonts w:ascii="Calibri" w:hAnsi="Calibri"/>
          <w:color w:val="231F20"/>
          <w:spacing w:val="-8"/>
          <w:w w:val="105"/>
          <w:sz w:val="17"/>
        </w:rPr>
        <w:t> </w:t>
      </w:r>
      <w:r>
        <w:rPr>
          <w:rFonts w:ascii="Calibri" w:hAnsi="Calibri"/>
          <w:color w:val="231F20"/>
          <w:w w:val="105"/>
          <w:sz w:val="17"/>
        </w:rPr>
        <w:t>de</w:t>
      </w:r>
      <w:r>
        <w:rPr>
          <w:rFonts w:ascii="Calibri" w:hAnsi="Calibri"/>
          <w:color w:val="231F20"/>
          <w:spacing w:val="-8"/>
          <w:w w:val="105"/>
          <w:sz w:val="17"/>
        </w:rPr>
        <w:t> </w:t>
      </w:r>
      <w:r>
        <w:rPr>
          <w:rFonts w:ascii="Calibri" w:hAnsi="Calibri"/>
          <w:color w:val="231F20"/>
          <w:w w:val="105"/>
          <w:sz w:val="17"/>
        </w:rPr>
        <w:t>la</w:t>
      </w:r>
      <w:r>
        <w:rPr>
          <w:rFonts w:ascii="Calibri" w:hAnsi="Calibri"/>
          <w:color w:val="231F20"/>
          <w:spacing w:val="-8"/>
          <w:w w:val="105"/>
          <w:sz w:val="17"/>
        </w:rPr>
        <w:t> </w:t>
      </w:r>
      <w:r>
        <w:rPr>
          <w:rFonts w:ascii="Calibri" w:hAnsi="Calibri"/>
          <w:color w:val="231F20"/>
          <w:w w:val="105"/>
          <w:sz w:val="17"/>
        </w:rPr>
        <w:t>unión;</w:t>
      </w:r>
      <w:r>
        <w:rPr>
          <w:rFonts w:ascii="Calibri" w:hAnsi="Calibri"/>
          <w:color w:val="231F20"/>
          <w:spacing w:val="-8"/>
          <w:w w:val="105"/>
          <w:sz w:val="17"/>
        </w:rPr>
        <w:t> </w:t>
      </w:r>
      <w:r>
        <w:rPr>
          <w:rFonts w:ascii="Calibri" w:hAnsi="Calibri"/>
          <w:color w:val="231F20"/>
          <w:w w:val="105"/>
          <w:sz w:val="17"/>
        </w:rPr>
        <w:t>pero desde</w:t>
      </w:r>
      <w:r>
        <w:rPr>
          <w:rFonts w:ascii="Calibri" w:hAnsi="Calibri"/>
          <w:color w:val="231F20"/>
          <w:spacing w:val="-15"/>
          <w:w w:val="105"/>
          <w:sz w:val="17"/>
        </w:rPr>
        <w:t> </w:t>
      </w:r>
      <w:r>
        <w:rPr>
          <w:rFonts w:ascii="Calibri" w:hAnsi="Calibri"/>
          <w:color w:val="231F20"/>
          <w:w w:val="105"/>
          <w:sz w:val="17"/>
        </w:rPr>
        <w:t>un</w:t>
      </w:r>
      <w:r>
        <w:rPr>
          <w:rFonts w:ascii="Calibri" w:hAnsi="Calibri"/>
          <w:color w:val="231F20"/>
          <w:spacing w:val="-15"/>
          <w:w w:val="105"/>
          <w:sz w:val="17"/>
        </w:rPr>
        <w:t> </w:t>
      </w:r>
      <w:r>
        <w:rPr>
          <w:rFonts w:ascii="Calibri" w:hAnsi="Calibri"/>
          <w:color w:val="231F20"/>
          <w:w w:val="105"/>
          <w:sz w:val="17"/>
        </w:rPr>
        <w:t>punto</w:t>
      </w:r>
      <w:r>
        <w:rPr>
          <w:rFonts w:ascii="Calibri" w:hAnsi="Calibri"/>
          <w:color w:val="231F20"/>
          <w:spacing w:val="-15"/>
          <w:w w:val="105"/>
          <w:sz w:val="17"/>
        </w:rPr>
        <w:t> </w:t>
      </w:r>
      <w:r>
        <w:rPr>
          <w:rFonts w:ascii="Calibri" w:hAnsi="Calibri"/>
          <w:color w:val="231F20"/>
          <w:w w:val="105"/>
          <w:sz w:val="17"/>
        </w:rPr>
        <w:t>de</w:t>
      </w:r>
      <w:r>
        <w:rPr>
          <w:rFonts w:ascii="Calibri" w:hAnsi="Calibri"/>
          <w:color w:val="231F20"/>
          <w:spacing w:val="-17"/>
          <w:w w:val="105"/>
          <w:sz w:val="17"/>
        </w:rPr>
        <w:t> </w:t>
      </w:r>
      <w:r>
        <w:rPr>
          <w:rFonts w:ascii="Calibri" w:hAnsi="Calibri"/>
          <w:color w:val="231F20"/>
          <w:w w:val="105"/>
          <w:sz w:val="17"/>
        </w:rPr>
        <w:t>vista</w:t>
      </w:r>
      <w:r>
        <w:rPr>
          <w:rFonts w:ascii="Calibri" w:hAnsi="Calibri"/>
          <w:color w:val="231F20"/>
          <w:spacing w:val="-15"/>
          <w:w w:val="105"/>
          <w:sz w:val="17"/>
        </w:rPr>
        <w:t> </w:t>
      </w:r>
      <w:r>
        <w:rPr>
          <w:rFonts w:ascii="Calibri" w:hAnsi="Calibri"/>
          <w:color w:val="231F20"/>
          <w:w w:val="105"/>
          <w:sz w:val="17"/>
        </w:rPr>
        <w:t>intensivo,</w:t>
      </w:r>
      <w:r>
        <w:rPr>
          <w:rFonts w:ascii="Calibri" w:hAnsi="Calibri"/>
          <w:color w:val="231F20"/>
          <w:spacing w:val="-15"/>
          <w:w w:val="105"/>
          <w:sz w:val="17"/>
        </w:rPr>
        <w:t> </w:t>
      </w:r>
      <w:r>
        <w:rPr>
          <w:rFonts w:ascii="Calibri" w:hAnsi="Calibri"/>
          <w:color w:val="231F20"/>
          <w:w w:val="105"/>
          <w:sz w:val="17"/>
        </w:rPr>
        <w:t>no</w:t>
      </w:r>
      <w:r>
        <w:rPr>
          <w:rFonts w:ascii="Calibri" w:hAnsi="Calibri"/>
          <w:color w:val="231F20"/>
          <w:spacing w:val="-15"/>
          <w:w w:val="105"/>
          <w:sz w:val="17"/>
        </w:rPr>
        <w:t> </w:t>
      </w:r>
      <w:r>
        <w:rPr>
          <w:rFonts w:ascii="Calibri" w:hAnsi="Calibri"/>
          <w:color w:val="231F20"/>
          <w:w w:val="105"/>
          <w:sz w:val="17"/>
        </w:rPr>
        <w:t>hay</w:t>
      </w:r>
      <w:r>
        <w:rPr>
          <w:rFonts w:ascii="Calibri" w:hAnsi="Calibri"/>
          <w:color w:val="231F20"/>
          <w:spacing w:val="-15"/>
          <w:w w:val="105"/>
          <w:sz w:val="17"/>
        </w:rPr>
        <w:t> </w:t>
      </w:r>
      <w:r>
        <w:rPr>
          <w:rFonts w:ascii="Calibri" w:hAnsi="Calibri"/>
          <w:color w:val="231F20"/>
          <w:w w:val="105"/>
          <w:sz w:val="17"/>
        </w:rPr>
        <w:t>en</w:t>
      </w:r>
      <w:r>
        <w:rPr>
          <w:rFonts w:ascii="Calibri" w:hAnsi="Calibri"/>
          <w:color w:val="231F20"/>
          <w:spacing w:val="-15"/>
          <w:w w:val="105"/>
          <w:sz w:val="17"/>
        </w:rPr>
        <w:t> </w:t>
      </w:r>
      <w:r>
        <w:rPr>
          <w:rFonts w:ascii="Calibri" w:hAnsi="Calibri"/>
          <w:color w:val="231F20"/>
          <w:w w:val="105"/>
          <w:sz w:val="17"/>
        </w:rPr>
        <w:t>realidad</w:t>
      </w:r>
      <w:r>
        <w:rPr>
          <w:rFonts w:ascii="Calibri" w:hAnsi="Calibri"/>
          <w:color w:val="231F20"/>
          <w:spacing w:val="-15"/>
          <w:w w:val="105"/>
          <w:sz w:val="17"/>
        </w:rPr>
        <w:t> </w:t>
      </w:r>
      <w:r>
        <w:rPr>
          <w:rFonts w:ascii="Calibri" w:hAnsi="Calibri"/>
          <w:color w:val="231F20"/>
          <w:w w:val="105"/>
          <w:sz w:val="17"/>
        </w:rPr>
        <w:t>una</w:t>
      </w:r>
      <w:r>
        <w:rPr>
          <w:rFonts w:ascii="Calibri" w:hAnsi="Calibri"/>
          <w:color w:val="231F20"/>
          <w:spacing w:val="-15"/>
          <w:w w:val="105"/>
          <w:sz w:val="17"/>
        </w:rPr>
        <w:t> </w:t>
      </w:r>
      <w:r>
        <w:rPr>
          <w:rFonts w:ascii="Calibri" w:hAnsi="Calibri"/>
          <w:color w:val="231F20"/>
          <w:w w:val="105"/>
          <w:sz w:val="17"/>
        </w:rPr>
        <w:t>mezcla,</w:t>
      </w:r>
      <w:r>
        <w:rPr>
          <w:rFonts w:ascii="Calibri" w:hAnsi="Calibri"/>
          <w:color w:val="231F20"/>
          <w:spacing w:val="-15"/>
          <w:w w:val="105"/>
          <w:sz w:val="17"/>
        </w:rPr>
        <w:t> </w:t>
      </w:r>
      <w:r>
        <w:rPr>
          <w:rFonts w:ascii="Calibri" w:hAnsi="Calibri"/>
          <w:color w:val="231F20"/>
          <w:w w:val="105"/>
          <w:sz w:val="17"/>
        </w:rPr>
        <w:t>sino</w:t>
      </w:r>
      <w:r>
        <w:rPr>
          <w:rFonts w:ascii="Calibri" w:hAnsi="Calibri"/>
          <w:color w:val="231F20"/>
          <w:spacing w:val="-15"/>
          <w:w w:val="105"/>
          <w:sz w:val="17"/>
        </w:rPr>
        <w:t> </w:t>
      </w:r>
      <w:r>
        <w:rPr>
          <w:rFonts w:ascii="Calibri" w:hAnsi="Calibri"/>
          <w:color w:val="231F20"/>
          <w:w w:val="105"/>
          <w:sz w:val="17"/>
        </w:rPr>
        <w:t>el</w:t>
      </w:r>
      <w:r>
        <w:rPr>
          <w:rFonts w:ascii="Calibri" w:hAnsi="Calibri"/>
          <w:color w:val="231F20"/>
          <w:spacing w:val="-15"/>
          <w:w w:val="105"/>
          <w:sz w:val="17"/>
        </w:rPr>
        <w:t> </w:t>
      </w:r>
      <w:r>
        <w:rPr>
          <w:rFonts w:ascii="Calibri" w:hAnsi="Calibri"/>
          <w:color w:val="231F20"/>
          <w:w w:val="105"/>
          <w:sz w:val="17"/>
        </w:rPr>
        <w:t>acoplamiento</w:t>
      </w:r>
      <w:r>
        <w:rPr>
          <w:rFonts w:ascii="Calibri" w:hAnsi="Calibri"/>
          <w:color w:val="231F20"/>
          <w:spacing w:val="-15"/>
          <w:w w:val="105"/>
          <w:sz w:val="17"/>
        </w:rPr>
        <w:t> </w:t>
      </w:r>
      <w:r>
        <w:rPr>
          <w:rFonts w:ascii="Calibri" w:hAnsi="Calibri"/>
          <w:color w:val="231F20"/>
          <w:w w:val="105"/>
          <w:sz w:val="17"/>
        </w:rPr>
        <w:t>de</w:t>
      </w:r>
      <w:r>
        <w:rPr>
          <w:rFonts w:ascii="Calibri" w:hAnsi="Calibri"/>
          <w:color w:val="231F20"/>
          <w:spacing w:val="-15"/>
          <w:w w:val="105"/>
          <w:sz w:val="17"/>
        </w:rPr>
        <w:t> </w:t>
      </w:r>
      <w:r>
        <w:rPr>
          <w:rFonts w:ascii="Calibri" w:hAnsi="Calibri"/>
          <w:color w:val="231F20"/>
          <w:w w:val="105"/>
          <w:sz w:val="17"/>
        </w:rPr>
        <w:t>dos</w:t>
      </w:r>
      <w:r>
        <w:rPr>
          <w:rFonts w:ascii="Calibri" w:hAnsi="Calibri"/>
          <w:color w:val="231F20"/>
          <w:spacing w:val="-15"/>
          <w:w w:val="105"/>
          <w:sz w:val="17"/>
        </w:rPr>
        <w:t> </w:t>
      </w:r>
      <w:r>
        <w:rPr>
          <w:rFonts w:ascii="Calibri" w:hAnsi="Calibri"/>
          <w:color w:val="231F20"/>
          <w:w w:val="105"/>
          <w:sz w:val="17"/>
        </w:rPr>
        <w:t>ele- mentos</w:t>
      </w:r>
      <w:r>
        <w:rPr>
          <w:rFonts w:ascii="Calibri" w:hAnsi="Calibri"/>
          <w:color w:val="231F20"/>
          <w:spacing w:val="-17"/>
          <w:w w:val="105"/>
          <w:sz w:val="17"/>
        </w:rPr>
        <w:t> </w:t>
      </w:r>
      <w:r>
        <w:rPr>
          <w:rFonts w:ascii="Calibri" w:hAnsi="Calibri"/>
          <w:color w:val="231F20"/>
          <w:w w:val="105"/>
          <w:sz w:val="17"/>
        </w:rPr>
        <w:t>que</w:t>
      </w:r>
      <w:r>
        <w:rPr>
          <w:rFonts w:ascii="Calibri" w:hAnsi="Calibri"/>
          <w:color w:val="231F20"/>
          <w:spacing w:val="-17"/>
          <w:w w:val="105"/>
          <w:sz w:val="17"/>
        </w:rPr>
        <w:t> </w:t>
      </w:r>
      <w:r>
        <w:rPr>
          <w:rFonts w:ascii="Calibri" w:hAnsi="Calibri"/>
          <w:color w:val="231F20"/>
          <w:w w:val="105"/>
          <w:sz w:val="17"/>
        </w:rPr>
        <w:t>en</w:t>
      </w:r>
      <w:r>
        <w:rPr>
          <w:rFonts w:ascii="Calibri" w:hAnsi="Calibri"/>
          <w:color w:val="231F20"/>
          <w:spacing w:val="-17"/>
          <w:w w:val="105"/>
          <w:sz w:val="17"/>
        </w:rPr>
        <w:t> </w:t>
      </w:r>
      <w:r>
        <w:rPr>
          <w:rFonts w:ascii="Calibri" w:hAnsi="Calibri"/>
          <w:color w:val="231F20"/>
          <w:w w:val="105"/>
          <w:sz w:val="17"/>
        </w:rPr>
        <w:t>sí</w:t>
      </w:r>
      <w:r>
        <w:rPr>
          <w:rFonts w:ascii="Calibri" w:hAnsi="Calibri"/>
          <w:color w:val="231F20"/>
          <w:spacing w:val="-17"/>
          <w:w w:val="105"/>
          <w:sz w:val="17"/>
        </w:rPr>
        <w:t> </w:t>
      </w:r>
      <w:r>
        <w:rPr>
          <w:rFonts w:ascii="Calibri" w:hAnsi="Calibri"/>
          <w:color w:val="231F20"/>
          <w:w w:val="105"/>
          <w:sz w:val="17"/>
        </w:rPr>
        <w:t>mismos</w:t>
      </w:r>
      <w:r>
        <w:rPr>
          <w:rFonts w:ascii="Calibri" w:hAnsi="Calibri"/>
          <w:color w:val="231F20"/>
          <w:spacing w:val="-17"/>
          <w:w w:val="105"/>
          <w:sz w:val="17"/>
        </w:rPr>
        <w:t> </w:t>
      </w:r>
      <w:r>
        <w:rPr>
          <w:rFonts w:ascii="Calibri" w:hAnsi="Calibri"/>
          <w:color w:val="231F20"/>
          <w:w w:val="105"/>
          <w:sz w:val="17"/>
        </w:rPr>
        <w:t>están</w:t>
      </w:r>
      <w:r>
        <w:rPr>
          <w:rFonts w:ascii="Calibri" w:hAnsi="Calibri"/>
          <w:color w:val="231F20"/>
          <w:spacing w:val="-17"/>
          <w:w w:val="105"/>
          <w:sz w:val="17"/>
        </w:rPr>
        <w:t> </w:t>
      </w:r>
      <w:r>
        <w:rPr>
          <w:rFonts w:ascii="Calibri" w:hAnsi="Calibri"/>
          <w:color w:val="231F20"/>
          <w:w w:val="105"/>
          <w:sz w:val="17"/>
        </w:rPr>
        <w:t>diferenciándose</w:t>
      </w:r>
      <w:r>
        <w:rPr>
          <w:rFonts w:ascii="Calibri" w:hAnsi="Calibri"/>
          <w:color w:val="231F20"/>
          <w:spacing w:val="-17"/>
          <w:w w:val="105"/>
          <w:sz w:val="17"/>
        </w:rPr>
        <w:t> </w:t>
      </w:r>
      <w:r>
        <w:rPr>
          <w:rFonts w:ascii="Calibri" w:hAnsi="Calibri"/>
          <w:color w:val="231F20"/>
          <w:w w:val="105"/>
          <w:sz w:val="17"/>
        </w:rPr>
        <w:t>permanentemente</w:t>
      </w:r>
      <w:r>
        <w:rPr>
          <w:rFonts w:ascii="Calibri" w:hAnsi="Calibri"/>
          <w:color w:val="231F20"/>
          <w:spacing w:val="-17"/>
          <w:w w:val="105"/>
          <w:sz w:val="17"/>
        </w:rPr>
        <w:t> </w:t>
      </w:r>
      <w:r>
        <w:rPr>
          <w:rFonts w:ascii="Calibri" w:hAnsi="Calibri"/>
          <w:color w:val="231F20"/>
          <w:w w:val="105"/>
          <w:sz w:val="17"/>
        </w:rPr>
        <w:t>aún</w:t>
      </w:r>
      <w:r>
        <w:rPr>
          <w:rFonts w:ascii="Calibri" w:hAnsi="Calibri"/>
          <w:color w:val="231F20"/>
          <w:spacing w:val="-17"/>
          <w:w w:val="105"/>
          <w:sz w:val="17"/>
        </w:rPr>
        <w:t> </w:t>
      </w:r>
      <w:r>
        <w:rPr>
          <w:rFonts w:ascii="Calibri" w:hAnsi="Calibri"/>
          <w:color w:val="231F20"/>
          <w:w w:val="105"/>
          <w:sz w:val="17"/>
        </w:rPr>
        <w:t>antes</w:t>
      </w:r>
      <w:r>
        <w:rPr>
          <w:rFonts w:ascii="Calibri" w:hAnsi="Calibri"/>
          <w:color w:val="231F20"/>
          <w:spacing w:val="-17"/>
          <w:w w:val="105"/>
          <w:sz w:val="17"/>
        </w:rPr>
        <w:t> </w:t>
      </w:r>
      <w:r>
        <w:rPr>
          <w:rFonts w:ascii="Calibri" w:hAnsi="Calibri"/>
          <w:color w:val="231F20"/>
          <w:w w:val="105"/>
          <w:sz w:val="17"/>
        </w:rPr>
        <w:t>de</w:t>
      </w:r>
      <w:r>
        <w:rPr>
          <w:rFonts w:ascii="Calibri" w:hAnsi="Calibri"/>
          <w:color w:val="231F20"/>
          <w:spacing w:val="-17"/>
          <w:w w:val="105"/>
          <w:sz w:val="17"/>
        </w:rPr>
        <w:t> </w:t>
      </w:r>
      <w:r>
        <w:rPr>
          <w:rFonts w:ascii="Calibri" w:hAnsi="Calibri"/>
          <w:color w:val="231F20"/>
          <w:w w:val="105"/>
          <w:sz w:val="17"/>
        </w:rPr>
        <w:t>encontrarse;</w:t>
      </w:r>
      <w:r>
        <w:rPr>
          <w:rFonts w:ascii="Calibri" w:hAnsi="Calibri"/>
          <w:color w:val="231F20"/>
          <w:spacing w:val="-17"/>
          <w:w w:val="105"/>
          <w:sz w:val="17"/>
        </w:rPr>
        <w:t> </w:t>
      </w:r>
      <w:r>
        <w:rPr>
          <w:rFonts w:ascii="Calibri" w:hAnsi="Calibri"/>
          <w:color w:val="231F20"/>
          <w:w w:val="105"/>
          <w:sz w:val="17"/>
        </w:rPr>
        <w:t>así, la</w:t>
      </w:r>
      <w:r>
        <w:rPr>
          <w:rFonts w:ascii="Calibri" w:hAnsi="Calibri"/>
          <w:color w:val="231F20"/>
          <w:spacing w:val="-14"/>
          <w:w w:val="105"/>
          <w:sz w:val="17"/>
        </w:rPr>
        <w:t> </w:t>
      </w:r>
      <w:r>
        <w:rPr>
          <w:rFonts w:ascii="Calibri" w:hAnsi="Calibri"/>
          <w:color w:val="231F20"/>
          <w:w w:val="105"/>
          <w:sz w:val="17"/>
        </w:rPr>
        <w:t>relación</w:t>
      </w:r>
      <w:r>
        <w:rPr>
          <w:rFonts w:ascii="Calibri" w:hAnsi="Calibri"/>
          <w:color w:val="231F20"/>
          <w:spacing w:val="-14"/>
          <w:w w:val="105"/>
          <w:sz w:val="17"/>
        </w:rPr>
        <w:t> </w:t>
      </w:r>
      <w:r>
        <w:rPr>
          <w:rFonts w:ascii="Calibri" w:hAnsi="Calibri"/>
          <w:color w:val="231F20"/>
          <w:w w:val="105"/>
          <w:sz w:val="17"/>
        </w:rPr>
        <w:t>se</w:t>
      </w:r>
      <w:r>
        <w:rPr>
          <w:rFonts w:ascii="Calibri" w:hAnsi="Calibri"/>
          <w:color w:val="231F20"/>
          <w:spacing w:val="-14"/>
          <w:w w:val="105"/>
          <w:sz w:val="17"/>
        </w:rPr>
        <w:t> </w:t>
      </w:r>
      <w:r>
        <w:rPr>
          <w:rFonts w:ascii="Calibri" w:hAnsi="Calibri"/>
          <w:color w:val="231F20"/>
          <w:w w:val="105"/>
          <w:sz w:val="17"/>
        </w:rPr>
        <w:t>establece</w:t>
      </w:r>
      <w:r>
        <w:rPr>
          <w:rFonts w:ascii="Calibri" w:hAnsi="Calibri"/>
          <w:color w:val="231F20"/>
          <w:spacing w:val="-14"/>
          <w:w w:val="105"/>
          <w:sz w:val="17"/>
        </w:rPr>
        <w:t> </w:t>
      </w:r>
      <w:r>
        <w:rPr>
          <w:rFonts w:ascii="Calibri" w:hAnsi="Calibri"/>
          <w:color w:val="231F20"/>
          <w:w w:val="105"/>
          <w:sz w:val="17"/>
        </w:rPr>
        <w:t>no</w:t>
      </w:r>
      <w:r>
        <w:rPr>
          <w:rFonts w:ascii="Calibri" w:hAnsi="Calibri"/>
          <w:color w:val="231F20"/>
          <w:spacing w:val="-14"/>
          <w:w w:val="105"/>
          <w:sz w:val="17"/>
        </w:rPr>
        <w:t> </w:t>
      </w:r>
      <w:r>
        <w:rPr>
          <w:rFonts w:ascii="Calibri" w:hAnsi="Calibri"/>
          <w:color w:val="231F20"/>
          <w:w w:val="105"/>
          <w:sz w:val="17"/>
        </w:rPr>
        <w:t>a</w:t>
      </w:r>
      <w:r>
        <w:rPr>
          <w:rFonts w:ascii="Calibri" w:hAnsi="Calibri"/>
          <w:color w:val="231F20"/>
          <w:spacing w:val="-14"/>
          <w:w w:val="105"/>
          <w:sz w:val="17"/>
        </w:rPr>
        <w:t> </w:t>
      </w:r>
      <w:r>
        <w:rPr>
          <w:rFonts w:ascii="Calibri" w:hAnsi="Calibri"/>
          <w:color w:val="231F20"/>
          <w:w w:val="105"/>
          <w:sz w:val="17"/>
        </w:rPr>
        <w:t>través</w:t>
      </w:r>
      <w:r>
        <w:rPr>
          <w:rFonts w:ascii="Calibri" w:hAnsi="Calibri"/>
          <w:color w:val="231F20"/>
          <w:spacing w:val="-14"/>
          <w:w w:val="105"/>
          <w:sz w:val="17"/>
        </w:rPr>
        <w:t> </w:t>
      </w:r>
      <w:r>
        <w:rPr>
          <w:rFonts w:ascii="Calibri" w:hAnsi="Calibri"/>
          <w:color w:val="231F20"/>
          <w:w w:val="105"/>
          <w:sz w:val="17"/>
        </w:rPr>
        <w:t>de</w:t>
      </w:r>
      <w:r>
        <w:rPr>
          <w:rFonts w:ascii="Calibri" w:hAnsi="Calibri"/>
          <w:color w:val="231F20"/>
          <w:spacing w:val="-14"/>
          <w:w w:val="105"/>
          <w:sz w:val="17"/>
        </w:rPr>
        <w:t> </w:t>
      </w:r>
      <w:r>
        <w:rPr>
          <w:rFonts w:ascii="Calibri" w:hAnsi="Calibri"/>
          <w:color w:val="231F20"/>
          <w:w w:val="105"/>
          <w:sz w:val="17"/>
        </w:rPr>
        <w:t>sus</w:t>
      </w:r>
      <w:r>
        <w:rPr>
          <w:rFonts w:ascii="Calibri" w:hAnsi="Calibri"/>
          <w:color w:val="231F20"/>
          <w:spacing w:val="-14"/>
          <w:w w:val="105"/>
          <w:sz w:val="17"/>
        </w:rPr>
        <w:t> </w:t>
      </w:r>
      <w:r>
        <w:rPr>
          <w:rFonts w:ascii="Calibri" w:hAnsi="Calibri"/>
          <w:color w:val="231F20"/>
          <w:w w:val="105"/>
          <w:sz w:val="17"/>
        </w:rPr>
        <w:t>consistencias,</w:t>
      </w:r>
      <w:r>
        <w:rPr>
          <w:rFonts w:ascii="Calibri" w:hAnsi="Calibri"/>
          <w:color w:val="231F20"/>
          <w:spacing w:val="-14"/>
          <w:w w:val="105"/>
          <w:sz w:val="17"/>
        </w:rPr>
        <w:t> </w:t>
      </w:r>
      <w:r>
        <w:rPr>
          <w:rFonts w:ascii="Calibri" w:hAnsi="Calibri"/>
          <w:color w:val="231F20"/>
          <w:w w:val="105"/>
          <w:sz w:val="17"/>
        </w:rPr>
        <w:t>sino</w:t>
      </w:r>
      <w:r>
        <w:rPr>
          <w:rFonts w:ascii="Calibri" w:hAnsi="Calibri"/>
          <w:color w:val="231F20"/>
          <w:spacing w:val="-14"/>
          <w:w w:val="105"/>
          <w:sz w:val="17"/>
        </w:rPr>
        <w:t> </w:t>
      </w:r>
      <w:r>
        <w:rPr>
          <w:rFonts w:ascii="Calibri" w:hAnsi="Calibri"/>
          <w:color w:val="231F20"/>
          <w:w w:val="105"/>
          <w:sz w:val="17"/>
        </w:rPr>
        <w:t>de</w:t>
      </w:r>
      <w:r>
        <w:rPr>
          <w:rFonts w:ascii="Calibri" w:hAnsi="Calibri"/>
          <w:color w:val="231F20"/>
          <w:spacing w:val="-14"/>
          <w:w w:val="105"/>
          <w:sz w:val="17"/>
        </w:rPr>
        <w:t> </w:t>
      </w:r>
      <w:r>
        <w:rPr>
          <w:rFonts w:ascii="Calibri" w:hAnsi="Calibri"/>
          <w:color w:val="231F20"/>
          <w:w w:val="105"/>
          <w:sz w:val="17"/>
        </w:rPr>
        <w:t>sus</w:t>
      </w:r>
      <w:r>
        <w:rPr>
          <w:rFonts w:ascii="Calibri" w:hAnsi="Calibri"/>
          <w:color w:val="231F20"/>
          <w:spacing w:val="-14"/>
          <w:w w:val="105"/>
          <w:sz w:val="17"/>
        </w:rPr>
        <w:t> </w:t>
      </w:r>
      <w:r>
        <w:rPr>
          <w:rFonts w:ascii="Calibri" w:hAnsi="Calibri"/>
          <w:color w:val="231F20"/>
          <w:w w:val="105"/>
          <w:sz w:val="17"/>
        </w:rPr>
        <w:t>diferenciaciones.</w:t>
      </w:r>
    </w:p>
    <w:p>
      <w:pPr>
        <w:spacing w:line="204" w:lineRule="exact" w:before="0"/>
        <w:ind w:left="117" w:right="101" w:firstLine="0"/>
        <w:jc w:val="both"/>
        <w:rPr>
          <w:rFonts w:ascii="Calibri" w:hAnsi="Calibri"/>
          <w:sz w:val="17"/>
        </w:rPr>
      </w:pPr>
      <w:r>
        <w:rPr>
          <w:rFonts w:ascii="Calibri" w:hAnsi="Calibri"/>
          <w:color w:val="231F20"/>
          <w:w w:val="105"/>
          <w:position w:val="6"/>
          <w:sz w:val="10"/>
        </w:rPr>
        <w:t>42</w:t>
      </w:r>
      <w:r>
        <w:rPr>
          <w:rFonts w:ascii="Calibri" w:hAnsi="Calibri"/>
          <w:color w:val="231F20"/>
          <w:spacing w:val="-4"/>
          <w:w w:val="105"/>
          <w:position w:val="6"/>
          <w:sz w:val="10"/>
        </w:rPr>
        <w:t> </w:t>
      </w:r>
      <w:r>
        <w:rPr>
          <w:rFonts w:ascii="Calibri" w:hAnsi="Calibri"/>
          <w:color w:val="231F20"/>
          <w:w w:val="105"/>
          <w:sz w:val="17"/>
        </w:rPr>
        <w:t>Cuando</w:t>
      </w:r>
      <w:r>
        <w:rPr>
          <w:rFonts w:ascii="Calibri" w:hAnsi="Calibri"/>
          <w:color w:val="231F20"/>
          <w:spacing w:val="-20"/>
          <w:w w:val="105"/>
          <w:sz w:val="17"/>
        </w:rPr>
        <w:t> </w:t>
      </w:r>
      <w:r>
        <w:rPr>
          <w:rFonts w:ascii="Calibri" w:hAnsi="Calibri"/>
          <w:color w:val="231F20"/>
          <w:w w:val="105"/>
          <w:sz w:val="17"/>
        </w:rPr>
        <w:t>decimos</w:t>
      </w:r>
      <w:r>
        <w:rPr>
          <w:rFonts w:ascii="Calibri" w:hAnsi="Calibri"/>
          <w:color w:val="231F20"/>
          <w:spacing w:val="-20"/>
          <w:w w:val="105"/>
          <w:sz w:val="17"/>
        </w:rPr>
        <w:t> </w:t>
      </w:r>
      <w:r>
        <w:rPr>
          <w:rFonts w:ascii="Calibri" w:hAnsi="Calibri"/>
          <w:color w:val="231F20"/>
          <w:w w:val="105"/>
          <w:sz w:val="17"/>
        </w:rPr>
        <w:t>que</w:t>
      </w:r>
      <w:r>
        <w:rPr>
          <w:rFonts w:ascii="Calibri" w:hAnsi="Calibri"/>
          <w:color w:val="231F20"/>
          <w:spacing w:val="-20"/>
          <w:w w:val="105"/>
          <w:sz w:val="17"/>
        </w:rPr>
        <w:t> </w:t>
      </w:r>
      <w:r>
        <w:rPr>
          <w:rFonts w:ascii="Calibri" w:hAnsi="Calibri"/>
          <w:i/>
          <w:color w:val="231F20"/>
          <w:w w:val="105"/>
          <w:sz w:val="17"/>
        </w:rPr>
        <w:t>el</w:t>
      </w:r>
      <w:r>
        <w:rPr>
          <w:rFonts w:ascii="Calibri" w:hAnsi="Calibri"/>
          <w:i/>
          <w:color w:val="231F20"/>
          <w:spacing w:val="-21"/>
          <w:w w:val="105"/>
          <w:sz w:val="17"/>
        </w:rPr>
        <w:t> </w:t>
      </w:r>
      <w:r>
        <w:rPr>
          <w:rFonts w:ascii="Calibri" w:hAnsi="Calibri"/>
          <w:i/>
          <w:color w:val="231F20"/>
          <w:w w:val="105"/>
          <w:sz w:val="17"/>
        </w:rPr>
        <w:t>capitalismo</w:t>
      </w:r>
      <w:r>
        <w:rPr>
          <w:rFonts w:ascii="Calibri" w:hAnsi="Calibri"/>
          <w:i/>
          <w:color w:val="231F20"/>
          <w:spacing w:val="-21"/>
          <w:w w:val="105"/>
          <w:sz w:val="17"/>
        </w:rPr>
        <w:t> </w:t>
      </w:r>
      <w:r>
        <w:rPr>
          <w:rFonts w:ascii="Calibri" w:hAnsi="Calibri"/>
          <w:i/>
          <w:color w:val="231F20"/>
          <w:w w:val="105"/>
          <w:sz w:val="17"/>
        </w:rPr>
        <w:t>no</w:t>
      </w:r>
      <w:r>
        <w:rPr>
          <w:rFonts w:ascii="Calibri" w:hAnsi="Calibri"/>
          <w:i/>
          <w:color w:val="231F20"/>
          <w:spacing w:val="-21"/>
          <w:w w:val="105"/>
          <w:sz w:val="17"/>
        </w:rPr>
        <w:t> </w:t>
      </w:r>
      <w:r>
        <w:rPr>
          <w:rFonts w:ascii="Calibri" w:hAnsi="Calibri"/>
          <w:i/>
          <w:color w:val="231F20"/>
          <w:w w:val="105"/>
          <w:sz w:val="17"/>
        </w:rPr>
        <w:t>tiene</w:t>
      </w:r>
      <w:r>
        <w:rPr>
          <w:rFonts w:ascii="Calibri" w:hAnsi="Calibri"/>
          <w:i/>
          <w:color w:val="231F20"/>
          <w:spacing w:val="-21"/>
          <w:w w:val="105"/>
          <w:sz w:val="17"/>
        </w:rPr>
        <w:t> </w:t>
      </w:r>
      <w:r>
        <w:rPr>
          <w:rFonts w:ascii="Calibri" w:hAnsi="Calibri"/>
          <w:i/>
          <w:color w:val="231F20"/>
          <w:w w:val="105"/>
          <w:sz w:val="17"/>
        </w:rPr>
        <w:t>exterior</w:t>
      </w:r>
      <w:r>
        <w:rPr>
          <w:rFonts w:ascii="Calibri" w:hAnsi="Calibri"/>
          <w:color w:val="231F20"/>
          <w:w w:val="105"/>
          <w:sz w:val="17"/>
        </w:rPr>
        <w:t>,</w:t>
      </w:r>
      <w:r>
        <w:rPr>
          <w:rFonts w:ascii="Calibri" w:hAnsi="Calibri"/>
          <w:color w:val="231F20"/>
          <w:spacing w:val="-20"/>
          <w:w w:val="105"/>
          <w:sz w:val="17"/>
        </w:rPr>
        <w:t> </w:t>
      </w:r>
      <w:r>
        <w:rPr>
          <w:rFonts w:ascii="Calibri" w:hAnsi="Calibri"/>
          <w:color w:val="231F20"/>
          <w:w w:val="105"/>
          <w:sz w:val="17"/>
        </w:rPr>
        <w:t>en</w:t>
      </w:r>
      <w:r>
        <w:rPr>
          <w:rFonts w:ascii="Calibri" w:hAnsi="Calibri"/>
          <w:color w:val="231F20"/>
          <w:spacing w:val="-20"/>
          <w:w w:val="105"/>
          <w:sz w:val="17"/>
        </w:rPr>
        <w:t> </w:t>
      </w:r>
      <w:r>
        <w:rPr>
          <w:rFonts w:ascii="Calibri" w:hAnsi="Calibri"/>
          <w:color w:val="231F20"/>
          <w:w w:val="105"/>
          <w:sz w:val="17"/>
        </w:rPr>
        <w:t>realidad</w:t>
      </w:r>
      <w:r>
        <w:rPr>
          <w:rFonts w:ascii="Calibri" w:hAnsi="Calibri"/>
          <w:color w:val="231F20"/>
          <w:spacing w:val="-20"/>
          <w:w w:val="105"/>
          <w:sz w:val="17"/>
        </w:rPr>
        <w:t> </w:t>
      </w:r>
      <w:r>
        <w:rPr>
          <w:rFonts w:ascii="Calibri" w:hAnsi="Calibri"/>
          <w:color w:val="231F20"/>
          <w:w w:val="105"/>
          <w:sz w:val="17"/>
        </w:rPr>
        <w:t>estamos</w:t>
      </w:r>
      <w:r>
        <w:rPr>
          <w:rFonts w:ascii="Calibri" w:hAnsi="Calibri"/>
          <w:color w:val="231F20"/>
          <w:spacing w:val="-20"/>
          <w:w w:val="105"/>
          <w:sz w:val="17"/>
        </w:rPr>
        <w:t> </w:t>
      </w:r>
      <w:r>
        <w:rPr>
          <w:rFonts w:ascii="Calibri" w:hAnsi="Calibri"/>
          <w:color w:val="231F20"/>
          <w:w w:val="105"/>
          <w:sz w:val="17"/>
        </w:rPr>
        <w:t>apuntando</w:t>
      </w:r>
      <w:r>
        <w:rPr>
          <w:rFonts w:ascii="Calibri" w:hAnsi="Calibri"/>
          <w:color w:val="231F20"/>
          <w:spacing w:val="-20"/>
          <w:w w:val="105"/>
          <w:sz w:val="17"/>
        </w:rPr>
        <w:t> </w:t>
      </w:r>
      <w:r>
        <w:rPr>
          <w:rFonts w:ascii="Calibri" w:hAnsi="Calibri"/>
          <w:color w:val="231F20"/>
          <w:w w:val="105"/>
          <w:sz w:val="17"/>
        </w:rPr>
        <w:t>a</w:t>
      </w:r>
      <w:r>
        <w:rPr>
          <w:rFonts w:ascii="Calibri" w:hAnsi="Calibri"/>
          <w:color w:val="231F20"/>
          <w:spacing w:val="-20"/>
          <w:w w:val="105"/>
          <w:sz w:val="17"/>
        </w:rPr>
        <w:t> </w:t>
      </w:r>
      <w:r>
        <w:rPr>
          <w:rFonts w:ascii="Calibri" w:hAnsi="Calibri"/>
          <w:color w:val="231F20"/>
          <w:w w:val="105"/>
          <w:sz w:val="17"/>
        </w:rPr>
        <w:t>la</w:t>
      </w:r>
      <w:r>
        <w:rPr>
          <w:rFonts w:ascii="Calibri" w:hAnsi="Calibri"/>
          <w:color w:val="231F20"/>
          <w:spacing w:val="-20"/>
          <w:w w:val="105"/>
          <w:sz w:val="17"/>
        </w:rPr>
        <w:t> </w:t>
      </w:r>
      <w:r>
        <w:rPr>
          <w:rFonts w:ascii="Calibri" w:hAnsi="Calibri"/>
          <w:color w:val="231F20"/>
          <w:w w:val="105"/>
          <w:sz w:val="17"/>
        </w:rPr>
        <w:t>manera como</w:t>
      </w:r>
      <w:r>
        <w:rPr>
          <w:rFonts w:ascii="Calibri" w:hAnsi="Calibri"/>
          <w:color w:val="231F20"/>
          <w:spacing w:val="-3"/>
          <w:w w:val="105"/>
          <w:sz w:val="17"/>
        </w:rPr>
        <w:t> </w:t>
      </w:r>
      <w:r>
        <w:rPr>
          <w:rFonts w:ascii="Calibri" w:hAnsi="Calibri"/>
          <w:color w:val="231F20"/>
          <w:w w:val="105"/>
          <w:sz w:val="17"/>
        </w:rPr>
        <w:t>éste</w:t>
      </w:r>
      <w:r>
        <w:rPr>
          <w:rFonts w:ascii="Calibri" w:hAnsi="Calibri"/>
          <w:color w:val="231F20"/>
          <w:spacing w:val="-3"/>
          <w:w w:val="105"/>
          <w:sz w:val="17"/>
        </w:rPr>
        <w:t> </w:t>
      </w:r>
      <w:r>
        <w:rPr>
          <w:rFonts w:ascii="Calibri" w:hAnsi="Calibri"/>
          <w:color w:val="231F20"/>
          <w:w w:val="105"/>
          <w:sz w:val="17"/>
        </w:rPr>
        <w:t>funciona,</w:t>
      </w:r>
      <w:r>
        <w:rPr>
          <w:rFonts w:ascii="Calibri" w:hAnsi="Calibri"/>
          <w:color w:val="231F20"/>
          <w:spacing w:val="-3"/>
          <w:w w:val="105"/>
          <w:sz w:val="17"/>
        </w:rPr>
        <w:t> </w:t>
      </w:r>
      <w:r>
        <w:rPr>
          <w:rFonts w:ascii="Calibri" w:hAnsi="Calibri"/>
          <w:color w:val="231F20"/>
          <w:w w:val="105"/>
          <w:sz w:val="17"/>
        </w:rPr>
        <w:t>según</w:t>
      </w:r>
      <w:r>
        <w:rPr>
          <w:rFonts w:ascii="Calibri" w:hAnsi="Calibri"/>
          <w:color w:val="231F20"/>
          <w:spacing w:val="-3"/>
          <w:w w:val="105"/>
          <w:sz w:val="17"/>
        </w:rPr>
        <w:t> </w:t>
      </w:r>
      <w:r>
        <w:rPr>
          <w:rFonts w:ascii="Calibri" w:hAnsi="Calibri"/>
          <w:color w:val="231F20"/>
          <w:w w:val="105"/>
          <w:sz w:val="17"/>
        </w:rPr>
        <w:t>Deleuze:</w:t>
      </w:r>
      <w:r>
        <w:rPr>
          <w:rFonts w:ascii="Calibri" w:hAnsi="Calibri"/>
          <w:color w:val="231F20"/>
          <w:spacing w:val="-3"/>
          <w:w w:val="105"/>
          <w:sz w:val="17"/>
        </w:rPr>
        <w:t> </w:t>
      </w:r>
      <w:r>
        <w:rPr>
          <w:rFonts w:ascii="Calibri" w:hAnsi="Calibri"/>
          <w:color w:val="231F20"/>
          <w:w w:val="105"/>
          <w:sz w:val="17"/>
        </w:rPr>
        <w:t>como</w:t>
      </w:r>
      <w:r>
        <w:rPr>
          <w:rFonts w:ascii="Calibri" w:hAnsi="Calibri"/>
          <w:color w:val="231F20"/>
          <w:spacing w:val="-3"/>
          <w:w w:val="105"/>
          <w:sz w:val="17"/>
        </w:rPr>
        <w:t> </w:t>
      </w:r>
      <w:r>
        <w:rPr>
          <w:rFonts w:ascii="Calibri" w:hAnsi="Calibri"/>
          <w:color w:val="231F20"/>
          <w:w w:val="105"/>
          <w:sz w:val="17"/>
        </w:rPr>
        <w:t>una</w:t>
      </w:r>
      <w:r>
        <w:rPr>
          <w:rFonts w:ascii="Calibri" w:hAnsi="Calibri"/>
          <w:color w:val="231F20"/>
          <w:spacing w:val="-3"/>
          <w:w w:val="105"/>
          <w:sz w:val="17"/>
        </w:rPr>
        <w:t> </w:t>
      </w:r>
      <w:r>
        <w:rPr>
          <w:rFonts w:ascii="Calibri" w:hAnsi="Calibri"/>
          <w:color w:val="231F20"/>
          <w:w w:val="105"/>
          <w:sz w:val="17"/>
        </w:rPr>
        <w:t>realidad</w:t>
      </w:r>
      <w:r>
        <w:rPr>
          <w:rFonts w:ascii="Calibri" w:hAnsi="Calibri"/>
          <w:color w:val="231F20"/>
          <w:spacing w:val="-3"/>
          <w:w w:val="105"/>
          <w:sz w:val="17"/>
        </w:rPr>
        <w:t> </w:t>
      </w:r>
      <w:r>
        <w:rPr>
          <w:rFonts w:ascii="Calibri" w:hAnsi="Calibri"/>
          <w:color w:val="231F20"/>
          <w:w w:val="105"/>
          <w:sz w:val="17"/>
        </w:rPr>
        <w:t>que</w:t>
      </w:r>
      <w:r>
        <w:rPr>
          <w:rFonts w:ascii="Calibri" w:hAnsi="Calibri"/>
          <w:color w:val="231F20"/>
          <w:spacing w:val="-3"/>
          <w:w w:val="105"/>
          <w:sz w:val="17"/>
        </w:rPr>
        <w:t> </w:t>
      </w:r>
      <w:r>
        <w:rPr>
          <w:rFonts w:ascii="Calibri" w:hAnsi="Calibri"/>
          <w:color w:val="231F20"/>
          <w:w w:val="105"/>
          <w:sz w:val="17"/>
        </w:rPr>
        <w:t>abarca</w:t>
      </w:r>
      <w:r>
        <w:rPr>
          <w:rFonts w:ascii="Calibri" w:hAnsi="Calibri"/>
          <w:color w:val="231F20"/>
          <w:spacing w:val="-3"/>
          <w:w w:val="105"/>
          <w:sz w:val="17"/>
        </w:rPr>
        <w:t> </w:t>
      </w:r>
      <w:r>
        <w:rPr>
          <w:rFonts w:ascii="Calibri" w:hAnsi="Calibri"/>
          <w:color w:val="231F20"/>
          <w:w w:val="105"/>
          <w:sz w:val="17"/>
        </w:rPr>
        <w:t>toda</w:t>
      </w:r>
      <w:r>
        <w:rPr>
          <w:rFonts w:ascii="Calibri" w:hAnsi="Calibri"/>
          <w:color w:val="231F20"/>
          <w:spacing w:val="-3"/>
          <w:w w:val="105"/>
          <w:sz w:val="17"/>
        </w:rPr>
        <w:t> </w:t>
      </w:r>
      <w:r>
        <w:rPr>
          <w:rFonts w:ascii="Calibri" w:hAnsi="Calibri"/>
          <w:color w:val="231F20"/>
          <w:w w:val="105"/>
          <w:sz w:val="17"/>
        </w:rPr>
        <w:t>la</w:t>
      </w:r>
      <w:r>
        <w:rPr>
          <w:rFonts w:ascii="Calibri" w:hAnsi="Calibri"/>
          <w:color w:val="231F20"/>
          <w:spacing w:val="-5"/>
          <w:w w:val="105"/>
          <w:sz w:val="17"/>
        </w:rPr>
        <w:t> </w:t>
      </w:r>
      <w:r>
        <w:rPr>
          <w:rFonts w:ascii="Calibri" w:hAnsi="Calibri"/>
          <w:color w:val="231F20"/>
          <w:w w:val="105"/>
          <w:sz w:val="17"/>
        </w:rPr>
        <w:t>Tierra</w:t>
      </w:r>
      <w:r>
        <w:rPr>
          <w:rFonts w:ascii="Calibri" w:hAnsi="Calibri"/>
          <w:color w:val="231F20"/>
          <w:spacing w:val="-5"/>
          <w:w w:val="105"/>
          <w:sz w:val="17"/>
        </w:rPr>
        <w:t> </w:t>
      </w:r>
      <w:r>
        <w:rPr>
          <w:rFonts w:ascii="Calibri" w:hAnsi="Calibri"/>
          <w:color w:val="231F20"/>
          <w:w w:val="105"/>
          <w:sz w:val="17"/>
        </w:rPr>
        <w:t>y</w:t>
      </w:r>
      <w:r>
        <w:rPr>
          <w:rFonts w:ascii="Calibri" w:hAnsi="Calibri"/>
          <w:color w:val="231F20"/>
          <w:spacing w:val="-3"/>
          <w:w w:val="105"/>
          <w:sz w:val="17"/>
        </w:rPr>
        <w:t> </w:t>
      </w:r>
      <w:r>
        <w:rPr>
          <w:rFonts w:ascii="Calibri" w:hAnsi="Calibri"/>
          <w:color w:val="231F20"/>
          <w:w w:val="105"/>
          <w:sz w:val="17"/>
        </w:rPr>
        <w:t>que</w:t>
      </w:r>
      <w:r>
        <w:rPr>
          <w:rFonts w:ascii="Calibri" w:hAnsi="Calibri"/>
          <w:color w:val="231F20"/>
          <w:spacing w:val="-3"/>
          <w:w w:val="105"/>
          <w:sz w:val="17"/>
        </w:rPr>
        <w:t> </w:t>
      </w:r>
      <w:r>
        <w:rPr>
          <w:rFonts w:ascii="Calibri" w:hAnsi="Calibri"/>
          <w:color w:val="231F20"/>
          <w:w w:val="105"/>
          <w:sz w:val="17"/>
        </w:rPr>
        <w:t>emula</w:t>
      </w:r>
      <w:r>
        <w:rPr>
          <w:rFonts w:ascii="Calibri" w:hAnsi="Calibri"/>
          <w:color w:val="231F20"/>
          <w:spacing w:val="-3"/>
          <w:w w:val="105"/>
          <w:sz w:val="17"/>
        </w:rPr>
        <w:t> </w:t>
      </w:r>
      <w:r>
        <w:rPr>
          <w:rFonts w:ascii="Calibri" w:hAnsi="Calibri"/>
          <w:color w:val="231F20"/>
          <w:w w:val="105"/>
          <w:sz w:val="17"/>
        </w:rPr>
        <w:t>la desterritorialización</w:t>
      </w:r>
      <w:r>
        <w:rPr>
          <w:rFonts w:ascii="Calibri" w:hAnsi="Calibri"/>
          <w:color w:val="231F20"/>
          <w:spacing w:val="-4"/>
          <w:w w:val="105"/>
          <w:sz w:val="17"/>
        </w:rPr>
        <w:t> </w:t>
      </w:r>
      <w:r>
        <w:rPr>
          <w:rFonts w:ascii="Calibri" w:hAnsi="Calibri"/>
          <w:color w:val="231F20"/>
          <w:w w:val="105"/>
          <w:sz w:val="17"/>
        </w:rPr>
        <w:t>de</w:t>
      </w:r>
      <w:r>
        <w:rPr>
          <w:rFonts w:ascii="Calibri" w:hAnsi="Calibri"/>
          <w:color w:val="231F20"/>
          <w:spacing w:val="-4"/>
          <w:w w:val="105"/>
          <w:sz w:val="17"/>
        </w:rPr>
        <w:t> </w:t>
      </w:r>
      <w:r>
        <w:rPr>
          <w:rFonts w:ascii="Calibri" w:hAnsi="Calibri"/>
          <w:color w:val="231F20"/>
          <w:w w:val="105"/>
          <w:sz w:val="17"/>
        </w:rPr>
        <w:t>la</w:t>
      </w:r>
      <w:r>
        <w:rPr>
          <w:rFonts w:ascii="Calibri" w:hAnsi="Calibri"/>
          <w:color w:val="231F20"/>
          <w:spacing w:val="-4"/>
          <w:w w:val="105"/>
          <w:sz w:val="17"/>
        </w:rPr>
        <w:t> </w:t>
      </w:r>
      <w:r>
        <w:rPr>
          <w:rFonts w:ascii="Calibri" w:hAnsi="Calibri"/>
          <w:color w:val="231F20"/>
          <w:w w:val="105"/>
          <w:sz w:val="17"/>
        </w:rPr>
        <w:t>misma;</w:t>
      </w:r>
      <w:r>
        <w:rPr>
          <w:rFonts w:ascii="Calibri" w:hAnsi="Calibri"/>
          <w:color w:val="231F20"/>
          <w:spacing w:val="-4"/>
          <w:w w:val="105"/>
          <w:sz w:val="17"/>
        </w:rPr>
        <w:t> </w:t>
      </w:r>
      <w:r>
        <w:rPr>
          <w:rFonts w:ascii="Calibri" w:hAnsi="Calibri"/>
          <w:color w:val="231F20"/>
          <w:w w:val="105"/>
          <w:sz w:val="17"/>
        </w:rPr>
        <w:t>de</w:t>
      </w:r>
      <w:r>
        <w:rPr>
          <w:rFonts w:ascii="Calibri" w:hAnsi="Calibri"/>
          <w:color w:val="231F20"/>
          <w:spacing w:val="-4"/>
          <w:w w:val="105"/>
          <w:sz w:val="17"/>
        </w:rPr>
        <w:t> </w:t>
      </w:r>
      <w:r>
        <w:rPr>
          <w:rFonts w:ascii="Calibri" w:hAnsi="Calibri"/>
          <w:color w:val="231F20"/>
          <w:w w:val="105"/>
          <w:sz w:val="17"/>
        </w:rPr>
        <w:t>esta</w:t>
      </w:r>
      <w:r>
        <w:rPr>
          <w:rFonts w:ascii="Calibri" w:hAnsi="Calibri"/>
          <w:color w:val="231F20"/>
          <w:spacing w:val="-4"/>
          <w:w w:val="105"/>
          <w:sz w:val="17"/>
        </w:rPr>
        <w:t> </w:t>
      </w:r>
      <w:r>
        <w:rPr>
          <w:rFonts w:ascii="Calibri" w:hAnsi="Calibri"/>
          <w:color w:val="231F20"/>
          <w:w w:val="105"/>
          <w:sz w:val="17"/>
        </w:rPr>
        <w:t>manera</w:t>
      </w:r>
      <w:r>
        <w:rPr>
          <w:rFonts w:ascii="Calibri" w:hAnsi="Calibri"/>
          <w:color w:val="231F20"/>
          <w:spacing w:val="-4"/>
          <w:w w:val="105"/>
          <w:sz w:val="17"/>
        </w:rPr>
        <w:t> </w:t>
      </w:r>
      <w:r>
        <w:rPr>
          <w:rFonts w:ascii="Calibri" w:hAnsi="Calibri"/>
          <w:color w:val="231F20"/>
          <w:w w:val="105"/>
          <w:sz w:val="17"/>
        </w:rPr>
        <w:t>se</w:t>
      </w:r>
      <w:r>
        <w:rPr>
          <w:rFonts w:ascii="Calibri" w:hAnsi="Calibri"/>
          <w:color w:val="231F20"/>
          <w:spacing w:val="-4"/>
          <w:w w:val="105"/>
          <w:sz w:val="17"/>
        </w:rPr>
        <w:t> </w:t>
      </w:r>
      <w:r>
        <w:rPr>
          <w:rFonts w:ascii="Calibri" w:hAnsi="Calibri"/>
          <w:color w:val="231F20"/>
          <w:w w:val="105"/>
          <w:sz w:val="17"/>
        </w:rPr>
        <w:t>presenta</w:t>
      </w:r>
      <w:r>
        <w:rPr>
          <w:rFonts w:ascii="Calibri" w:hAnsi="Calibri"/>
          <w:color w:val="231F20"/>
          <w:spacing w:val="-4"/>
          <w:w w:val="105"/>
          <w:sz w:val="17"/>
        </w:rPr>
        <w:t> </w:t>
      </w:r>
      <w:r>
        <w:rPr>
          <w:rFonts w:ascii="Calibri" w:hAnsi="Calibri"/>
          <w:color w:val="231F20"/>
          <w:w w:val="105"/>
          <w:sz w:val="17"/>
        </w:rPr>
        <w:t>como</w:t>
      </w:r>
      <w:r>
        <w:rPr>
          <w:rFonts w:ascii="Calibri" w:hAnsi="Calibri"/>
          <w:color w:val="231F20"/>
          <w:spacing w:val="-4"/>
          <w:w w:val="105"/>
          <w:sz w:val="17"/>
        </w:rPr>
        <w:t> </w:t>
      </w:r>
      <w:r>
        <w:rPr>
          <w:rFonts w:ascii="Calibri" w:hAnsi="Calibri"/>
          <w:color w:val="231F20"/>
          <w:w w:val="105"/>
          <w:sz w:val="17"/>
        </w:rPr>
        <w:t>el</w:t>
      </w:r>
      <w:r>
        <w:rPr>
          <w:rFonts w:ascii="Calibri" w:hAnsi="Calibri"/>
          <w:color w:val="231F20"/>
          <w:spacing w:val="-4"/>
          <w:w w:val="105"/>
          <w:sz w:val="17"/>
        </w:rPr>
        <w:t> </w:t>
      </w:r>
      <w:r>
        <w:rPr>
          <w:rFonts w:ascii="Calibri" w:hAnsi="Calibri"/>
          <w:color w:val="231F20"/>
          <w:w w:val="105"/>
          <w:sz w:val="17"/>
        </w:rPr>
        <w:t>suelo</w:t>
      </w:r>
      <w:r>
        <w:rPr>
          <w:rFonts w:ascii="Calibri" w:hAnsi="Calibri"/>
          <w:color w:val="231F20"/>
          <w:spacing w:val="-4"/>
          <w:w w:val="105"/>
          <w:sz w:val="17"/>
        </w:rPr>
        <w:t> </w:t>
      </w:r>
      <w:r>
        <w:rPr>
          <w:rFonts w:ascii="Calibri" w:hAnsi="Calibri"/>
          <w:color w:val="231F20"/>
          <w:w w:val="105"/>
          <w:sz w:val="17"/>
        </w:rPr>
        <w:t>natural,</w:t>
      </w:r>
      <w:r>
        <w:rPr>
          <w:rFonts w:ascii="Calibri" w:hAnsi="Calibri"/>
          <w:color w:val="231F20"/>
          <w:spacing w:val="-4"/>
          <w:w w:val="105"/>
          <w:sz w:val="17"/>
        </w:rPr>
        <w:t> </w:t>
      </w:r>
      <w:r>
        <w:rPr>
          <w:rFonts w:ascii="Calibri" w:hAnsi="Calibri"/>
          <w:color w:val="231F20"/>
          <w:w w:val="105"/>
          <w:sz w:val="17"/>
        </w:rPr>
        <w:t>originario</w:t>
      </w:r>
      <w:r>
        <w:rPr>
          <w:rFonts w:ascii="Calibri" w:hAnsi="Calibri"/>
          <w:color w:val="231F20"/>
          <w:spacing w:val="-6"/>
          <w:w w:val="105"/>
          <w:sz w:val="17"/>
        </w:rPr>
        <w:t> </w:t>
      </w:r>
      <w:r>
        <w:rPr>
          <w:rFonts w:ascii="Calibri" w:hAnsi="Calibri"/>
          <w:color w:val="231F20"/>
          <w:w w:val="105"/>
          <w:sz w:val="17"/>
        </w:rPr>
        <w:t>y total</w:t>
      </w:r>
      <w:r>
        <w:rPr>
          <w:rFonts w:ascii="Calibri" w:hAnsi="Calibri"/>
          <w:color w:val="231F20"/>
          <w:spacing w:val="-3"/>
          <w:w w:val="105"/>
          <w:sz w:val="17"/>
        </w:rPr>
        <w:t> </w:t>
      </w:r>
      <w:r>
        <w:rPr>
          <w:rFonts w:ascii="Calibri" w:hAnsi="Calibri"/>
          <w:color w:val="231F20"/>
          <w:w w:val="105"/>
          <w:sz w:val="17"/>
        </w:rPr>
        <w:t>sobre</w:t>
      </w:r>
      <w:r>
        <w:rPr>
          <w:rFonts w:ascii="Calibri" w:hAnsi="Calibri"/>
          <w:color w:val="231F20"/>
          <w:spacing w:val="-3"/>
          <w:w w:val="105"/>
          <w:sz w:val="17"/>
        </w:rPr>
        <w:t> </w:t>
      </w:r>
      <w:r>
        <w:rPr>
          <w:rFonts w:ascii="Calibri" w:hAnsi="Calibri"/>
          <w:color w:val="231F20"/>
          <w:w w:val="105"/>
          <w:sz w:val="17"/>
        </w:rPr>
        <w:t>el</w:t>
      </w:r>
      <w:r>
        <w:rPr>
          <w:rFonts w:ascii="Calibri" w:hAnsi="Calibri"/>
          <w:color w:val="231F20"/>
          <w:spacing w:val="-3"/>
          <w:w w:val="105"/>
          <w:sz w:val="17"/>
        </w:rPr>
        <w:t> </w:t>
      </w:r>
      <w:r>
        <w:rPr>
          <w:rFonts w:ascii="Calibri" w:hAnsi="Calibri"/>
          <w:color w:val="231F20"/>
          <w:w w:val="105"/>
          <w:sz w:val="17"/>
        </w:rPr>
        <w:t>cual</w:t>
      </w:r>
      <w:r>
        <w:rPr>
          <w:rFonts w:ascii="Calibri" w:hAnsi="Calibri"/>
          <w:color w:val="231F20"/>
          <w:spacing w:val="-3"/>
          <w:w w:val="105"/>
          <w:sz w:val="17"/>
        </w:rPr>
        <w:t> </w:t>
      </w:r>
      <w:r>
        <w:rPr>
          <w:rFonts w:ascii="Calibri" w:hAnsi="Calibri"/>
          <w:color w:val="231F20"/>
          <w:w w:val="105"/>
          <w:sz w:val="17"/>
        </w:rPr>
        <w:t>tienen</w:t>
      </w:r>
      <w:r>
        <w:rPr>
          <w:rFonts w:ascii="Calibri" w:hAnsi="Calibri"/>
          <w:color w:val="231F20"/>
          <w:spacing w:val="-3"/>
          <w:w w:val="105"/>
          <w:sz w:val="17"/>
        </w:rPr>
        <w:t> </w:t>
      </w:r>
      <w:r>
        <w:rPr>
          <w:rFonts w:ascii="Calibri" w:hAnsi="Calibri"/>
          <w:color w:val="231F20"/>
          <w:w w:val="105"/>
          <w:sz w:val="17"/>
        </w:rPr>
        <w:t>lugar</w:t>
      </w:r>
      <w:r>
        <w:rPr>
          <w:rFonts w:ascii="Calibri" w:hAnsi="Calibri"/>
          <w:color w:val="231F20"/>
          <w:spacing w:val="-3"/>
          <w:w w:val="105"/>
          <w:sz w:val="17"/>
        </w:rPr>
        <w:t> </w:t>
      </w:r>
      <w:r>
        <w:rPr>
          <w:rFonts w:ascii="Calibri" w:hAnsi="Calibri"/>
          <w:color w:val="231F20"/>
          <w:w w:val="105"/>
          <w:sz w:val="17"/>
        </w:rPr>
        <w:t>todas</w:t>
      </w:r>
      <w:r>
        <w:rPr>
          <w:rFonts w:ascii="Calibri" w:hAnsi="Calibri"/>
          <w:color w:val="231F20"/>
          <w:spacing w:val="-3"/>
          <w:w w:val="105"/>
          <w:sz w:val="17"/>
        </w:rPr>
        <w:t> </w:t>
      </w:r>
      <w:r>
        <w:rPr>
          <w:rFonts w:ascii="Calibri" w:hAnsi="Calibri"/>
          <w:color w:val="231F20"/>
          <w:w w:val="105"/>
          <w:sz w:val="17"/>
        </w:rPr>
        <w:t>las</w:t>
      </w:r>
      <w:r>
        <w:rPr>
          <w:rFonts w:ascii="Calibri" w:hAnsi="Calibri"/>
          <w:color w:val="231F20"/>
          <w:spacing w:val="-3"/>
          <w:w w:val="105"/>
          <w:sz w:val="17"/>
        </w:rPr>
        <w:t> </w:t>
      </w:r>
      <w:r>
        <w:rPr>
          <w:rFonts w:ascii="Calibri" w:hAnsi="Calibri"/>
          <w:color w:val="231F20"/>
          <w:w w:val="105"/>
          <w:sz w:val="17"/>
        </w:rPr>
        <w:t>territorializaciones,</w:t>
      </w:r>
      <w:r>
        <w:rPr>
          <w:rFonts w:ascii="Calibri" w:hAnsi="Calibri"/>
          <w:color w:val="231F20"/>
          <w:spacing w:val="-3"/>
          <w:w w:val="105"/>
          <w:sz w:val="17"/>
        </w:rPr>
        <w:t> </w:t>
      </w:r>
      <w:r>
        <w:rPr>
          <w:rFonts w:ascii="Calibri" w:hAnsi="Calibri"/>
          <w:color w:val="231F20"/>
          <w:w w:val="105"/>
          <w:sz w:val="17"/>
        </w:rPr>
        <w:t>trayectos</w:t>
      </w:r>
      <w:r>
        <w:rPr>
          <w:rFonts w:ascii="Calibri" w:hAnsi="Calibri"/>
          <w:color w:val="231F20"/>
          <w:spacing w:val="-5"/>
          <w:w w:val="105"/>
          <w:sz w:val="17"/>
        </w:rPr>
        <w:t> </w:t>
      </w:r>
      <w:r>
        <w:rPr>
          <w:rFonts w:ascii="Calibri" w:hAnsi="Calibri"/>
          <w:color w:val="231F20"/>
          <w:w w:val="105"/>
          <w:sz w:val="17"/>
        </w:rPr>
        <w:t>y</w:t>
      </w:r>
      <w:r>
        <w:rPr>
          <w:rFonts w:ascii="Calibri" w:hAnsi="Calibri"/>
          <w:color w:val="231F20"/>
          <w:spacing w:val="-3"/>
          <w:w w:val="105"/>
          <w:sz w:val="17"/>
        </w:rPr>
        <w:t> </w:t>
      </w:r>
      <w:r>
        <w:rPr>
          <w:rFonts w:ascii="Calibri" w:hAnsi="Calibri"/>
          <w:color w:val="231F20"/>
          <w:w w:val="105"/>
          <w:sz w:val="17"/>
        </w:rPr>
        <w:t>expresiones</w:t>
      </w:r>
      <w:r>
        <w:rPr>
          <w:rFonts w:ascii="Calibri" w:hAnsi="Calibri"/>
          <w:color w:val="231F20"/>
          <w:spacing w:val="-3"/>
          <w:w w:val="105"/>
          <w:sz w:val="17"/>
        </w:rPr>
        <w:t> </w:t>
      </w:r>
      <w:r>
        <w:rPr>
          <w:rFonts w:ascii="Calibri" w:hAnsi="Calibri"/>
          <w:color w:val="231F20"/>
          <w:w w:val="105"/>
          <w:sz w:val="17"/>
        </w:rPr>
        <w:t>—desde</w:t>
      </w:r>
      <w:r>
        <w:rPr>
          <w:rFonts w:ascii="Calibri" w:hAnsi="Calibri"/>
          <w:color w:val="231F20"/>
          <w:spacing w:val="-3"/>
          <w:w w:val="105"/>
          <w:sz w:val="17"/>
        </w:rPr>
        <w:t> </w:t>
      </w:r>
      <w:r>
        <w:rPr>
          <w:rFonts w:ascii="Calibri" w:hAnsi="Calibri"/>
          <w:color w:val="231F20"/>
          <w:w w:val="105"/>
          <w:sz w:val="17"/>
        </w:rPr>
        <w:t>las más</w:t>
      </w:r>
      <w:r>
        <w:rPr>
          <w:rFonts w:ascii="Calibri" w:hAnsi="Calibri"/>
          <w:color w:val="231F20"/>
          <w:spacing w:val="-14"/>
          <w:w w:val="105"/>
          <w:sz w:val="17"/>
        </w:rPr>
        <w:t> </w:t>
      </w:r>
      <w:r>
        <w:rPr>
          <w:rFonts w:ascii="Calibri" w:hAnsi="Calibri"/>
          <w:color w:val="231F20"/>
          <w:w w:val="105"/>
          <w:sz w:val="17"/>
        </w:rPr>
        <w:t>conservadoras</w:t>
      </w:r>
      <w:r>
        <w:rPr>
          <w:rFonts w:ascii="Calibri" w:hAnsi="Calibri"/>
          <w:color w:val="231F20"/>
          <w:spacing w:val="-14"/>
          <w:w w:val="105"/>
          <w:sz w:val="17"/>
        </w:rPr>
        <w:t> </w:t>
      </w:r>
      <w:r>
        <w:rPr>
          <w:rFonts w:ascii="Calibri" w:hAnsi="Calibri"/>
          <w:color w:val="231F20"/>
          <w:w w:val="105"/>
          <w:sz w:val="17"/>
        </w:rPr>
        <w:t>hasta</w:t>
      </w:r>
      <w:r>
        <w:rPr>
          <w:rFonts w:ascii="Calibri" w:hAnsi="Calibri"/>
          <w:color w:val="231F20"/>
          <w:spacing w:val="-14"/>
          <w:w w:val="105"/>
          <w:sz w:val="17"/>
        </w:rPr>
        <w:t> </w:t>
      </w:r>
      <w:r>
        <w:rPr>
          <w:rFonts w:ascii="Calibri" w:hAnsi="Calibri"/>
          <w:color w:val="231F20"/>
          <w:w w:val="105"/>
          <w:sz w:val="17"/>
        </w:rPr>
        <w:t>las</w:t>
      </w:r>
      <w:r>
        <w:rPr>
          <w:rFonts w:ascii="Calibri" w:hAnsi="Calibri"/>
          <w:color w:val="231F20"/>
          <w:spacing w:val="-14"/>
          <w:w w:val="105"/>
          <w:sz w:val="17"/>
        </w:rPr>
        <w:t> </w:t>
      </w:r>
      <w:r>
        <w:rPr>
          <w:rFonts w:ascii="Calibri" w:hAnsi="Calibri"/>
          <w:color w:val="231F20"/>
          <w:w w:val="105"/>
          <w:sz w:val="17"/>
        </w:rPr>
        <w:t>más</w:t>
      </w:r>
      <w:r>
        <w:rPr>
          <w:rFonts w:ascii="Calibri" w:hAnsi="Calibri"/>
          <w:color w:val="231F20"/>
          <w:spacing w:val="-14"/>
          <w:w w:val="105"/>
          <w:sz w:val="17"/>
        </w:rPr>
        <w:t> </w:t>
      </w:r>
      <w:r>
        <w:rPr>
          <w:rFonts w:ascii="Calibri" w:hAnsi="Calibri"/>
          <w:color w:val="231F20"/>
          <w:w w:val="105"/>
          <w:sz w:val="17"/>
        </w:rPr>
        <w:t>marginales—.</w:t>
      </w:r>
      <w:r>
        <w:rPr>
          <w:rFonts w:ascii="Calibri" w:hAnsi="Calibri"/>
          <w:color w:val="231F20"/>
          <w:spacing w:val="-14"/>
          <w:w w:val="105"/>
          <w:sz w:val="17"/>
        </w:rPr>
        <w:t> </w:t>
      </w:r>
      <w:r>
        <w:rPr>
          <w:rFonts w:ascii="Calibri" w:hAnsi="Calibri"/>
          <w:color w:val="231F20"/>
          <w:w w:val="105"/>
          <w:sz w:val="17"/>
        </w:rPr>
        <w:t>Sin</w:t>
      </w:r>
      <w:r>
        <w:rPr>
          <w:rFonts w:ascii="Calibri" w:hAnsi="Calibri"/>
          <w:color w:val="231F20"/>
          <w:spacing w:val="-14"/>
          <w:w w:val="105"/>
          <w:sz w:val="17"/>
        </w:rPr>
        <w:t> </w:t>
      </w:r>
      <w:r>
        <w:rPr>
          <w:rFonts w:ascii="Calibri" w:hAnsi="Calibri"/>
          <w:color w:val="231F20"/>
          <w:w w:val="105"/>
          <w:sz w:val="17"/>
        </w:rPr>
        <w:t>embargo,</w:t>
      </w:r>
      <w:r>
        <w:rPr>
          <w:rFonts w:ascii="Calibri" w:hAnsi="Calibri"/>
          <w:color w:val="231F20"/>
          <w:spacing w:val="-14"/>
          <w:w w:val="105"/>
          <w:sz w:val="17"/>
        </w:rPr>
        <w:t> </w:t>
      </w:r>
      <w:r>
        <w:rPr>
          <w:rFonts w:ascii="Calibri" w:hAnsi="Calibri"/>
          <w:color w:val="231F20"/>
          <w:w w:val="105"/>
          <w:sz w:val="17"/>
        </w:rPr>
        <w:t>para</w:t>
      </w:r>
      <w:r>
        <w:rPr>
          <w:rFonts w:ascii="Calibri" w:hAnsi="Calibri"/>
          <w:color w:val="231F20"/>
          <w:spacing w:val="-14"/>
          <w:w w:val="105"/>
          <w:sz w:val="17"/>
        </w:rPr>
        <w:t> </w:t>
      </w:r>
      <w:r>
        <w:rPr>
          <w:rFonts w:ascii="Calibri" w:hAnsi="Calibri"/>
          <w:color w:val="231F20"/>
          <w:w w:val="105"/>
          <w:sz w:val="17"/>
        </w:rPr>
        <w:t>el</w:t>
      </w:r>
      <w:r>
        <w:rPr>
          <w:rFonts w:ascii="Calibri" w:hAnsi="Calibri"/>
          <w:color w:val="231F20"/>
          <w:spacing w:val="-14"/>
          <w:w w:val="105"/>
          <w:sz w:val="17"/>
        </w:rPr>
        <w:t> </w:t>
      </w:r>
      <w:r>
        <w:rPr>
          <w:rFonts w:ascii="Calibri" w:hAnsi="Calibri"/>
          <w:color w:val="231F20"/>
          <w:w w:val="105"/>
          <w:sz w:val="17"/>
        </w:rPr>
        <w:t>filósofo</w:t>
      </w:r>
      <w:r>
        <w:rPr>
          <w:rFonts w:ascii="Calibri" w:hAnsi="Calibri"/>
          <w:color w:val="231F20"/>
          <w:spacing w:val="-14"/>
          <w:w w:val="105"/>
          <w:sz w:val="17"/>
        </w:rPr>
        <w:t> </w:t>
      </w:r>
      <w:r>
        <w:rPr>
          <w:rFonts w:ascii="Calibri" w:hAnsi="Calibri"/>
          <w:color w:val="231F20"/>
          <w:w w:val="105"/>
          <w:sz w:val="17"/>
        </w:rPr>
        <w:t>francés,</w:t>
      </w:r>
      <w:r>
        <w:rPr>
          <w:rFonts w:ascii="Calibri" w:hAnsi="Calibri"/>
          <w:color w:val="231F20"/>
          <w:spacing w:val="-14"/>
          <w:w w:val="105"/>
          <w:sz w:val="17"/>
        </w:rPr>
        <w:t> </w:t>
      </w:r>
      <w:r>
        <w:rPr>
          <w:rFonts w:ascii="Calibri" w:hAnsi="Calibri"/>
          <w:color w:val="231F20"/>
          <w:w w:val="105"/>
          <w:sz w:val="17"/>
        </w:rPr>
        <w:t>esta</w:t>
      </w:r>
      <w:r>
        <w:rPr>
          <w:rFonts w:ascii="Calibri" w:hAnsi="Calibri"/>
          <w:color w:val="231F20"/>
          <w:spacing w:val="-14"/>
          <w:w w:val="105"/>
          <w:sz w:val="17"/>
        </w:rPr>
        <w:t> </w:t>
      </w:r>
      <w:r>
        <w:rPr>
          <w:rFonts w:ascii="Calibri" w:hAnsi="Calibri"/>
          <w:color w:val="231F20"/>
          <w:w w:val="105"/>
          <w:sz w:val="17"/>
        </w:rPr>
        <w:t>imagen de</w:t>
      </w:r>
      <w:r>
        <w:rPr>
          <w:rFonts w:ascii="Calibri" w:hAnsi="Calibri"/>
          <w:color w:val="231F20"/>
          <w:spacing w:val="-12"/>
          <w:w w:val="105"/>
          <w:sz w:val="17"/>
        </w:rPr>
        <w:t> </w:t>
      </w:r>
      <w:r>
        <w:rPr>
          <w:rFonts w:ascii="Calibri" w:hAnsi="Calibri"/>
          <w:color w:val="231F20"/>
          <w:w w:val="105"/>
          <w:sz w:val="17"/>
        </w:rPr>
        <w:t>totalidad</w:t>
      </w:r>
      <w:r>
        <w:rPr>
          <w:rFonts w:ascii="Calibri" w:hAnsi="Calibri"/>
          <w:color w:val="231F20"/>
          <w:spacing w:val="-12"/>
          <w:w w:val="105"/>
          <w:sz w:val="17"/>
        </w:rPr>
        <w:t> </w:t>
      </w:r>
      <w:r>
        <w:rPr>
          <w:rFonts w:ascii="Calibri" w:hAnsi="Calibri"/>
          <w:color w:val="231F20"/>
          <w:w w:val="105"/>
          <w:sz w:val="17"/>
        </w:rPr>
        <w:t>es</w:t>
      </w:r>
      <w:r>
        <w:rPr>
          <w:rFonts w:ascii="Calibri" w:hAnsi="Calibri"/>
          <w:color w:val="231F20"/>
          <w:spacing w:val="-12"/>
          <w:w w:val="105"/>
          <w:sz w:val="17"/>
        </w:rPr>
        <w:t> </w:t>
      </w:r>
      <w:r>
        <w:rPr>
          <w:rFonts w:ascii="Calibri" w:hAnsi="Calibri"/>
          <w:color w:val="231F20"/>
          <w:w w:val="105"/>
          <w:sz w:val="17"/>
        </w:rPr>
        <w:t>ilusoria.</w:t>
      </w:r>
      <w:r>
        <w:rPr>
          <w:rFonts w:ascii="Calibri" w:hAnsi="Calibri"/>
          <w:color w:val="231F20"/>
          <w:spacing w:val="-12"/>
          <w:w w:val="105"/>
          <w:sz w:val="17"/>
        </w:rPr>
        <w:t> </w:t>
      </w:r>
      <w:r>
        <w:rPr>
          <w:rFonts w:ascii="Calibri" w:hAnsi="Calibri"/>
          <w:color w:val="231F20"/>
          <w:w w:val="105"/>
          <w:sz w:val="17"/>
        </w:rPr>
        <w:t>Hay</w:t>
      </w:r>
      <w:r>
        <w:rPr>
          <w:rFonts w:ascii="Calibri" w:hAnsi="Calibri"/>
          <w:color w:val="231F20"/>
          <w:spacing w:val="-12"/>
          <w:w w:val="105"/>
          <w:sz w:val="17"/>
        </w:rPr>
        <w:t> </w:t>
      </w:r>
      <w:r>
        <w:rPr>
          <w:rFonts w:ascii="Calibri" w:hAnsi="Calibri"/>
          <w:color w:val="231F20"/>
          <w:w w:val="105"/>
          <w:sz w:val="17"/>
        </w:rPr>
        <w:t>un</w:t>
      </w:r>
      <w:r>
        <w:rPr>
          <w:rFonts w:ascii="Calibri" w:hAnsi="Calibri"/>
          <w:color w:val="231F20"/>
          <w:spacing w:val="-12"/>
          <w:w w:val="105"/>
          <w:sz w:val="17"/>
        </w:rPr>
        <w:t> </w:t>
      </w:r>
      <w:r>
        <w:rPr>
          <w:rFonts w:ascii="Calibri" w:hAnsi="Calibri"/>
          <w:color w:val="231F20"/>
          <w:w w:val="105"/>
          <w:sz w:val="17"/>
        </w:rPr>
        <w:t>afuera</w:t>
      </w:r>
      <w:r>
        <w:rPr>
          <w:rFonts w:ascii="Calibri" w:hAnsi="Calibri"/>
          <w:color w:val="231F20"/>
          <w:spacing w:val="-12"/>
          <w:w w:val="105"/>
          <w:sz w:val="17"/>
        </w:rPr>
        <w:t> </w:t>
      </w:r>
      <w:r>
        <w:rPr>
          <w:rFonts w:ascii="Calibri" w:hAnsi="Calibri"/>
          <w:color w:val="231F20"/>
          <w:w w:val="105"/>
          <w:sz w:val="17"/>
        </w:rPr>
        <w:t>del</w:t>
      </w:r>
      <w:r>
        <w:rPr>
          <w:rFonts w:ascii="Calibri" w:hAnsi="Calibri"/>
          <w:color w:val="231F20"/>
          <w:spacing w:val="-12"/>
          <w:w w:val="105"/>
          <w:sz w:val="17"/>
        </w:rPr>
        <w:t> </w:t>
      </w:r>
      <w:r>
        <w:rPr>
          <w:rFonts w:ascii="Calibri" w:hAnsi="Calibri"/>
          <w:color w:val="231F20"/>
          <w:w w:val="105"/>
          <w:sz w:val="17"/>
        </w:rPr>
        <w:t>capitalismo</w:t>
      </w:r>
      <w:r>
        <w:rPr>
          <w:rFonts w:ascii="Calibri" w:hAnsi="Calibri"/>
          <w:color w:val="231F20"/>
          <w:spacing w:val="-12"/>
          <w:w w:val="105"/>
          <w:sz w:val="17"/>
        </w:rPr>
        <w:t> </w:t>
      </w:r>
      <w:r>
        <w:rPr>
          <w:rFonts w:ascii="Calibri" w:hAnsi="Calibri"/>
          <w:color w:val="231F20"/>
          <w:w w:val="105"/>
          <w:sz w:val="17"/>
        </w:rPr>
        <w:t>una</w:t>
      </w:r>
      <w:r>
        <w:rPr>
          <w:rFonts w:ascii="Calibri" w:hAnsi="Calibri"/>
          <w:color w:val="231F20"/>
          <w:spacing w:val="-12"/>
          <w:w w:val="105"/>
          <w:sz w:val="17"/>
        </w:rPr>
        <w:t> </w:t>
      </w:r>
      <w:r>
        <w:rPr>
          <w:rFonts w:ascii="Calibri" w:hAnsi="Calibri"/>
          <w:color w:val="231F20"/>
          <w:w w:val="105"/>
          <w:sz w:val="17"/>
        </w:rPr>
        <w:t>exterioridad</w:t>
      </w:r>
      <w:r>
        <w:rPr>
          <w:rFonts w:ascii="Calibri" w:hAnsi="Calibri"/>
          <w:color w:val="231F20"/>
          <w:spacing w:val="-12"/>
          <w:w w:val="105"/>
          <w:sz w:val="17"/>
        </w:rPr>
        <w:t> </w:t>
      </w:r>
      <w:r>
        <w:rPr>
          <w:rFonts w:ascii="Calibri" w:hAnsi="Calibri"/>
          <w:color w:val="231F20"/>
          <w:w w:val="105"/>
          <w:sz w:val="17"/>
        </w:rPr>
        <w:t>que</w:t>
      </w:r>
      <w:r>
        <w:rPr>
          <w:rFonts w:ascii="Calibri" w:hAnsi="Calibri"/>
          <w:color w:val="231F20"/>
          <w:spacing w:val="-12"/>
          <w:w w:val="105"/>
          <w:sz w:val="17"/>
        </w:rPr>
        <w:t> </w:t>
      </w:r>
      <w:r>
        <w:rPr>
          <w:rFonts w:ascii="Calibri" w:hAnsi="Calibri"/>
          <w:color w:val="231F20"/>
          <w:w w:val="105"/>
          <w:sz w:val="17"/>
        </w:rPr>
        <w:t>éste</w:t>
      </w:r>
      <w:r>
        <w:rPr>
          <w:rFonts w:ascii="Calibri" w:hAnsi="Calibri"/>
          <w:color w:val="231F20"/>
          <w:spacing w:val="-12"/>
          <w:w w:val="105"/>
          <w:sz w:val="17"/>
        </w:rPr>
        <w:t> </w:t>
      </w:r>
      <w:r>
        <w:rPr>
          <w:rFonts w:ascii="Calibri" w:hAnsi="Calibri"/>
          <w:color w:val="231F20"/>
          <w:w w:val="105"/>
          <w:sz w:val="17"/>
        </w:rPr>
        <w:t>no</w:t>
      </w:r>
      <w:r>
        <w:rPr>
          <w:rFonts w:ascii="Calibri" w:hAnsi="Calibri"/>
          <w:color w:val="231F20"/>
          <w:spacing w:val="-12"/>
          <w:w w:val="105"/>
          <w:sz w:val="17"/>
        </w:rPr>
        <w:t> </w:t>
      </w:r>
      <w:r>
        <w:rPr>
          <w:rFonts w:ascii="Calibri" w:hAnsi="Calibri"/>
          <w:color w:val="231F20"/>
          <w:w w:val="105"/>
          <w:sz w:val="17"/>
        </w:rPr>
        <w:t>podrá</w:t>
      </w:r>
      <w:r>
        <w:rPr>
          <w:rFonts w:ascii="Calibri" w:hAnsi="Calibri"/>
          <w:color w:val="231F20"/>
          <w:spacing w:val="-12"/>
          <w:w w:val="105"/>
          <w:sz w:val="17"/>
        </w:rPr>
        <w:t> </w:t>
      </w:r>
      <w:r>
        <w:rPr>
          <w:rFonts w:ascii="Calibri" w:hAnsi="Calibri"/>
          <w:color w:val="231F20"/>
          <w:w w:val="105"/>
          <w:sz w:val="17"/>
        </w:rPr>
        <w:t>abarcar ni</w:t>
      </w:r>
      <w:r>
        <w:rPr>
          <w:rFonts w:ascii="Calibri" w:hAnsi="Calibri"/>
          <w:color w:val="231F20"/>
          <w:spacing w:val="-14"/>
          <w:w w:val="105"/>
          <w:sz w:val="17"/>
        </w:rPr>
        <w:t> </w:t>
      </w:r>
      <w:r>
        <w:rPr>
          <w:rFonts w:ascii="Calibri" w:hAnsi="Calibri"/>
          <w:color w:val="231F20"/>
          <w:w w:val="105"/>
          <w:sz w:val="17"/>
        </w:rPr>
        <w:t>engullir</w:t>
      </w:r>
      <w:r>
        <w:rPr>
          <w:rFonts w:ascii="Calibri" w:hAnsi="Calibri"/>
          <w:color w:val="231F20"/>
          <w:spacing w:val="-14"/>
          <w:w w:val="105"/>
          <w:sz w:val="17"/>
        </w:rPr>
        <w:t> </w:t>
      </w:r>
      <w:r>
        <w:rPr>
          <w:rFonts w:ascii="Calibri" w:hAnsi="Calibri"/>
          <w:color w:val="231F20"/>
          <w:w w:val="105"/>
          <w:sz w:val="17"/>
        </w:rPr>
        <w:t>del</w:t>
      </w:r>
      <w:r>
        <w:rPr>
          <w:rFonts w:ascii="Calibri" w:hAnsi="Calibri"/>
          <w:color w:val="231F20"/>
          <w:spacing w:val="-14"/>
          <w:w w:val="105"/>
          <w:sz w:val="17"/>
        </w:rPr>
        <w:t> </w:t>
      </w:r>
      <w:r>
        <w:rPr>
          <w:rFonts w:ascii="Calibri" w:hAnsi="Calibri"/>
          <w:color w:val="231F20"/>
          <w:w w:val="105"/>
          <w:sz w:val="17"/>
        </w:rPr>
        <w:t>todo,</w:t>
      </w:r>
      <w:r>
        <w:rPr>
          <w:rFonts w:ascii="Calibri" w:hAnsi="Calibri"/>
          <w:color w:val="231F20"/>
          <w:spacing w:val="-14"/>
          <w:w w:val="105"/>
          <w:sz w:val="17"/>
        </w:rPr>
        <w:t> </w:t>
      </w:r>
      <w:r>
        <w:rPr>
          <w:rFonts w:ascii="Calibri" w:hAnsi="Calibri"/>
          <w:color w:val="231F20"/>
          <w:w w:val="105"/>
          <w:sz w:val="17"/>
        </w:rPr>
        <w:t>aquello</w:t>
      </w:r>
      <w:r>
        <w:rPr>
          <w:rFonts w:ascii="Calibri" w:hAnsi="Calibri"/>
          <w:color w:val="231F20"/>
          <w:spacing w:val="-14"/>
          <w:w w:val="105"/>
          <w:sz w:val="17"/>
        </w:rPr>
        <w:t> </w:t>
      </w:r>
      <w:r>
        <w:rPr>
          <w:rFonts w:ascii="Calibri" w:hAnsi="Calibri"/>
          <w:color w:val="231F20"/>
          <w:w w:val="105"/>
          <w:sz w:val="17"/>
        </w:rPr>
        <w:t>que</w:t>
      </w:r>
      <w:r>
        <w:rPr>
          <w:rFonts w:ascii="Calibri" w:hAnsi="Calibri"/>
          <w:color w:val="231F20"/>
          <w:spacing w:val="-14"/>
          <w:w w:val="105"/>
          <w:sz w:val="17"/>
        </w:rPr>
        <w:t> </w:t>
      </w:r>
      <w:r>
        <w:rPr>
          <w:rFonts w:ascii="Calibri" w:hAnsi="Calibri"/>
          <w:color w:val="231F20"/>
          <w:w w:val="105"/>
          <w:sz w:val="17"/>
        </w:rPr>
        <w:t>Deleuze</w:t>
      </w:r>
      <w:r>
        <w:rPr>
          <w:rFonts w:ascii="Calibri" w:hAnsi="Calibri"/>
          <w:color w:val="231F20"/>
          <w:spacing w:val="-14"/>
          <w:w w:val="105"/>
          <w:sz w:val="17"/>
        </w:rPr>
        <w:t> </w:t>
      </w:r>
      <w:r>
        <w:rPr>
          <w:rFonts w:ascii="Calibri" w:hAnsi="Calibri"/>
          <w:color w:val="231F20"/>
          <w:w w:val="105"/>
          <w:sz w:val="17"/>
        </w:rPr>
        <w:t>llama</w:t>
      </w:r>
      <w:r>
        <w:rPr>
          <w:rFonts w:ascii="Calibri" w:hAnsi="Calibri"/>
          <w:color w:val="231F20"/>
          <w:spacing w:val="-14"/>
          <w:w w:val="105"/>
          <w:sz w:val="17"/>
        </w:rPr>
        <w:t> </w:t>
      </w:r>
      <w:r>
        <w:rPr>
          <w:rFonts w:ascii="Calibri" w:hAnsi="Calibri"/>
          <w:i/>
          <w:color w:val="231F20"/>
          <w:w w:val="105"/>
          <w:sz w:val="17"/>
        </w:rPr>
        <w:t>el</w:t>
      </w:r>
      <w:r>
        <w:rPr>
          <w:rFonts w:ascii="Calibri" w:hAnsi="Calibri"/>
          <w:i/>
          <w:color w:val="231F20"/>
          <w:spacing w:val="-15"/>
          <w:w w:val="105"/>
          <w:sz w:val="17"/>
        </w:rPr>
        <w:t> </w:t>
      </w:r>
      <w:r>
        <w:rPr>
          <w:rFonts w:ascii="Calibri" w:hAnsi="Calibri"/>
          <w:i/>
          <w:color w:val="231F20"/>
          <w:w w:val="105"/>
          <w:sz w:val="17"/>
        </w:rPr>
        <w:t>esquizo</w:t>
      </w:r>
      <w:r>
        <w:rPr>
          <w:rFonts w:ascii="Calibri" w:hAnsi="Calibri"/>
          <w:color w:val="231F20"/>
          <w:w w:val="105"/>
          <w:sz w:val="17"/>
        </w:rPr>
        <w:t>.</w:t>
      </w:r>
    </w:p>
    <w:p>
      <w:pPr>
        <w:spacing w:after="0" w:line="204" w:lineRule="exact"/>
        <w:jc w:val="both"/>
        <w:rPr>
          <w:rFonts w:ascii="Calibri" w:hAnsi="Calibri"/>
          <w:sz w:val="17"/>
        </w:rPr>
        <w:sectPr>
          <w:pgSz w:w="9640" w:h="13890"/>
          <w:pgMar w:top="0" w:bottom="280" w:left="1300" w:right="1200"/>
        </w:sectPr>
      </w:pPr>
    </w:p>
    <w:p>
      <w:pPr>
        <w:spacing w:line="220" w:lineRule="exact" w:before="121"/>
        <w:ind w:left="1521" w:right="115" w:firstLine="0"/>
        <w:jc w:val="both"/>
        <w:rPr>
          <w:sz w:val="19"/>
        </w:rPr>
      </w:pPr>
      <w:r>
        <w:rPr>
          <w:color w:val="231F20"/>
          <w:sz w:val="19"/>
        </w:rPr>
        <w:t>teoría y una práctica de flujos de alto contenido esquizofrénico. No retirarse del proceso, sino ir más lejos, “acelerar el proceso”, como decía Nietzsche: en verdad, en esta materia aún no hemos visto nada</w:t>
      </w:r>
      <w:r>
        <w:rPr>
          <w:color w:val="231F20"/>
          <w:position w:val="6"/>
          <w:sz w:val="11"/>
        </w:rPr>
        <w:t>43</w:t>
      </w:r>
      <w:r>
        <w:rPr>
          <w:color w:val="231F20"/>
          <w:sz w:val="19"/>
        </w:rPr>
        <w:t>.</w:t>
      </w:r>
    </w:p>
    <w:p>
      <w:pPr>
        <w:pStyle w:val="BodyText"/>
        <w:spacing w:before="11"/>
        <w:rPr>
          <w:sz w:val="23"/>
        </w:rPr>
      </w:pPr>
    </w:p>
    <w:p>
      <w:pPr>
        <w:pStyle w:val="BodyText"/>
        <w:spacing w:line="244" w:lineRule="auto"/>
        <w:ind w:left="103" w:right="115"/>
        <w:jc w:val="both"/>
      </w:pPr>
      <w:r>
        <w:rPr>
          <w:color w:val="231F20"/>
          <w:spacing w:val="-3"/>
        </w:rPr>
        <w:t>¿</w:t>
      </w:r>
      <w:r>
        <w:rPr>
          <w:rFonts w:ascii="Arial" w:hAnsi="Arial"/>
          <w:i/>
          <w:color w:val="231F20"/>
          <w:spacing w:val="-3"/>
        </w:rPr>
        <w:t>Acelerar </w:t>
      </w:r>
      <w:r>
        <w:rPr>
          <w:rFonts w:ascii="Arial" w:hAnsi="Arial"/>
          <w:i/>
          <w:color w:val="231F20"/>
        </w:rPr>
        <w:t>el </w:t>
      </w:r>
      <w:r>
        <w:rPr>
          <w:rFonts w:ascii="Arial" w:hAnsi="Arial"/>
          <w:i/>
          <w:color w:val="231F20"/>
          <w:spacing w:val="-3"/>
        </w:rPr>
        <w:t>proceso </w:t>
      </w:r>
      <w:r>
        <w:rPr>
          <w:color w:val="231F20"/>
          <w:spacing w:val="-3"/>
        </w:rPr>
        <w:t>significaría hipostasiar </w:t>
      </w:r>
      <w:r>
        <w:rPr>
          <w:color w:val="231F20"/>
        </w:rPr>
        <w:t>la </w:t>
      </w:r>
      <w:r>
        <w:rPr>
          <w:color w:val="231F20"/>
          <w:spacing w:val="-3"/>
        </w:rPr>
        <w:t>oposición entre </w:t>
      </w:r>
      <w:r>
        <w:rPr>
          <w:color w:val="231F20"/>
        </w:rPr>
        <w:t>lo </w:t>
      </w:r>
      <w:r>
        <w:rPr>
          <w:color w:val="231F20"/>
          <w:spacing w:val="-3"/>
        </w:rPr>
        <w:t>global </w:t>
      </w:r>
      <w:r>
        <w:rPr>
          <w:color w:val="231F20"/>
        </w:rPr>
        <w:t>y </w:t>
      </w:r>
      <w:r>
        <w:rPr>
          <w:color w:val="231F20"/>
          <w:spacing w:val="-3"/>
        </w:rPr>
        <w:t>lo local?</w:t>
      </w:r>
      <w:r>
        <w:rPr>
          <w:color w:val="231F20"/>
          <w:spacing w:val="-15"/>
        </w:rPr>
        <w:t> </w:t>
      </w:r>
      <w:r>
        <w:rPr>
          <w:color w:val="231F20"/>
        </w:rPr>
        <w:t>La</w:t>
      </w:r>
      <w:r>
        <w:rPr>
          <w:color w:val="231F20"/>
          <w:spacing w:val="-15"/>
        </w:rPr>
        <w:t> </w:t>
      </w:r>
      <w:r>
        <w:rPr>
          <w:color w:val="231F20"/>
          <w:spacing w:val="-3"/>
        </w:rPr>
        <w:t>respuesta</w:t>
      </w:r>
      <w:r>
        <w:rPr>
          <w:color w:val="231F20"/>
          <w:spacing w:val="-15"/>
        </w:rPr>
        <w:t> </w:t>
      </w:r>
      <w:r>
        <w:rPr>
          <w:color w:val="231F20"/>
        </w:rPr>
        <w:t>es</w:t>
      </w:r>
      <w:r>
        <w:rPr>
          <w:color w:val="231F20"/>
          <w:spacing w:val="-15"/>
        </w:rPr>
        <w:t> </w:t>
      </w:r>
      <w:r>
        <w:rPr>
          <w:color w:val="231F20"/>
          <w:spacing w:val="-3"/>
        </w:rPr>
        <w:t>claramente</w:t>
      </w:r>
      <w:r>
        <w:rPr>
          <w:color w:val="231F20"/>
          <w:spacing w:val="-15"/>
        </w:rPr>
        <w:t> </w:t>
      </w:r>
      <w:r>
        <w:rPr>
          <w:color w:val="231F20"/>
          <w:spacing w:val="-3"/>
        </w:rPr>
        <w:t>negativa,</w:t>
      </w:r>
      <w:r>
        <w:rPr>
          <w:color w:val="231F20"/>
          <w:spacing w:val="-15"/>
        </w:rPr>
        <w:t> </w:t>
      </w:r>
      <w:r>
        <w:rPr>
          <w:color w:val="231F20"/>
          <w:spacing w:val="-3"/>
        </w:rPr>
        <w:t>pues</w:t>
      </w:r>
      <w:r>
        <w:rPr>
          <w:color w:val="231F20"/>
          <w:spacing w:val="-15"/>
        </w:rPr>
        <w:t> </w:t>
      </w:r>
      <w:r>
        <w:rPr>
          <w:color w:val="231F20"/>
        </w:rPr>
        <w:t>es</w:t>
      </w:r>
      <w:r>
        <w:rPr>
          <w:color w:val="231F20"/>
          <w:spacing w:val="-15"/>
        </w:rPr>
        <w:t> </w:t>
      </w:r>
      <w:r>
        <w:rPr>
          <w:color w:val="231F20"/>
          <w:spacing w:val="-3"/>
        </w:rPr>
        <w:t>gracias</w:t>
      </w:r>
      <w:r>
        <w:rPr>
          <w:color w:val="231F20"/>
          <w:spacing w:val="-15"/>
        </w:rPr>
        <w:t> </w:t>
      </w:r>
      <w:r>
        <w:rPr>
          <w:color w:val="231F20"/>
        </w:rPr>
        <w:t>a</w:t>
      </w:r>
      <w:r>
        <w:rPr>
          <w:color w:val="231F20"/>
          <w:spacing w:val="-15"/>
        </w:rPr>
        <w:t> </w:t>
      </w:r>
      <w:r>
        <w:rPr>
          <w:color w:val="231F20"/>
          <w:spacing w:val="-3"/>
        </w:rPr>
        <w:t>haber</w:t>
      </w:r>
      <w:r>
        <w:rPr>
          <w:color w:val="231F20"/>
          <w:spacing w:val="-15"/>
        </w:rPr>
        <w:t> </w:t>
      </w:r>
      <w:r>
        <w:rPr>
          <w:color w:val="231F20"/>
          <w:spacing w:val="-3"/>
        </w:rPr>
        <w:t>fijado</w:t>
      </w:r>
      <w:r>
        <w:rPr>
          <w:color w:val="231F20"/>
          <w:spacing w:val="-15"/>
        </w:rPr>
        <w:t> </w:t>
      </w:r>
      <w:r>
        <w:rPr>
          <w:color w:val="231F20"/>
          <w:spacing w:val="-3"/>
        </w:rPr>
        <w:t>los opuestos, haberles dado </w:t>
      </w:r>
      <w:r>
        <w:rPr>
          <w:color w:val="231F20"/>
        </w:rPr>
        <w:t>un </w:t>
      </w:r>
      <w:r>
        <w:rPr>
          <w:color w:val="231F20"/>
          <w:spacing w:val="-3"/>
        </w:rPr>
        <w:t>nombre </w:t>
      </w:r>
      <w:r>
        <w:rPr>
          <w:color w:val="231F20"/>
        </w:rPr>
        <w:t>y una </w:t>
      </w:r>
      <w:r>
        <w:rPr>
          <w:color w:val="231F20"/>
          <w:spacing w:val="-3"/>
        </w:rPr>
        <w:t>etiqueta, </w:t>
      </w:r>
      <w:r>
        <w:rPr>
          <w:color w:val="231F20"/>
        </w:rPr>
        <w:t>que se han </w:t>
      </w:r>
      <w:r>
        <w:rPr>
          <w:color w:val="231F20"/>
          <w:spacing w:val="-3"/>
        </w:rPr>
        <w:t>vuelto dige- ribles </w:t>
      </w:r>
      <w:r>
        <w:rPr>
          <w:color w:val="231F20"/>
        </w:rPr>
        <w:t>y </w:t>
      </w:r>
      <w:r>
        <w:rPr>
          <w:color w:val="231F20"/>
          <w:spacing w:val="-3"/>
        </w:rPr>
        <w:t>homogéneos. Como </w:t>
      </w:r>
      <w:r>
        <w:rPr>
          <w:color w:val="231F20"/>
        </w:rPr>
        <w:t>lo </w:t>
      </w:r>
      <w:r>
        <w:rPr>
          <w:color w:val="231F20"/>
          <w:spacing w:val="-3"/>
        </w:rPr>
        <w:t>expone Benjamin </w:t>
      </w:r>
      <w:r>
        <w:rPr>
          <w:color w:val="231F20"/>
          <w:spacing w:val="-6"/>
        </w:rPr>
        <w:t>Barber, </w:t>
      </w:r>
      <w:r>
        <w:rPr>
          <w:color w:val="231F20"/>
        </w:rPr>
        <w:t>es </w:t>
      </w:r>
      <w:r>
        <w:rPr>
          <w:color w:val="231F20"/>
          <w:spacing w:val="-3"/>
        </w:rPr>
        <w:t>igualmente peli- groso, </w:t>
      </w:r>
      <w:r>
        <w:rPr>
          <w:color w:val="231F20"/>
        </w:rPr>
        <w:t>y en </w:t>
      </w:r>
      <w:r>
        <w:rPr>
          <w:color w:val="231F20"/>
          <w:spacing w:val="-3"/>
        </w:rPr>
        <w:t>muchos sentidos </w:t>
      </w:r>
      <w:r>
        <w:rPr>
          <w:color w:val="231F20"/>
        </w:rPr>
        <w:t>es </w:t>
      </w:r>
      <w:r>
        <w:rPr>
          <w:color w:val="231F20"/>
          <w:spacing w:val="-3"/>
        </w:rPr>
        <w:t>equivalente, </w:t>
      </w:r>
      <w:r>
        <w:rPr>
          <w:rFonts w:ascii="Arial" w:hAnsi="Arial"/>
          <w:i/>
          <w:color w:val="231F20"/>
          <w:spacing w:val="-3"/>
        </w:rPr>
        <w:t>mcdonalizar </w:t>
      </w:r>
      <w:r>
        <w:rPr>
          <w:color w:val="231F20"/>
        </w:rPr>
        <w:t>al </w:t>
      </w:r>
      <w:r>
        <w:rPr>
          <w:color w:val="231F20"/>
          <w:spacing w:val="-3"/>
        </w:rPr>
        <w:t>mundo, volvién- dolo </w:t>
      </w:r>
      <w:r>
        <w:rPr>
          <w:color w:val="231F20"/>
        </w:rPr>
        <w:t>una </w:t>
      </w:r>
      <w:r>
        <w:rPr>
          <w:color w:val="231F20"/>
          <w:spacing w:val="-3"/>
        </w:rPr>
        <w:t>entidad uniforme </w:t>
      </w:r>
      <w:r>
        <w:rPr>
          <w:color w:val="231F20"/>
        </w:rPr>
        <w:t>y </w:t>
      </w:r>
      <w:r>
        <w:rPr>
          <w:color w:val="231F20"/>
          <w:spacing w:val="-3"/>
        </w:rPr>
        <w:t>plana, sometida </w:t>
      </w:r>
      <w:r>
        <w:rPr>
          <w:color w:val="231F20"/>
        </w:rPr>
        <w:t>a los </w:t>
      </w:r>
      <w:r>
        <w:rPr>
          <w:color w:val="231F20"/>
          <w:spacing w:val="-3"/>
        </w:rPr>
        <w:t>mismos estilos </w:t>
      </w:r>
      <w:r>
        <w:rPr>
          <w:color w:val="231F20"/>
        </w:rPr>
        <w:t>y </w:t>
      </w:r>
      <w:r>
        <w:rPr>
          <w:color w:val="231F20"/>
          <w:spacing w:val="62"/>
        </w:rPr>
        <w:t> </w:t>
      </w:r>
      <w:r>
        <w:rPr>
          <w:color w:val="231F20"/>
          <w:spacing w:val="-3"/>
        </w:rPr>
        <w:t>modos</w:t>
      </w:r>
    </w:p>
    <w:p>
      <w:pPr>
        <w:pStyle w:val="BodyText"/>
        <w:spacing w:line="244" w:lineRule="auto" w:before="1"/>
        <w:ind w:left="103" w:right="115"/>
        <w:jc w:val="both"/>
      </w:pPr>
      <w:r>
        <w:rPr>
          <w:color w:val="231F20"/>
          <w:spacing w:val="-3"/>
        </w:rPr>
        <w:t>—música, ideas, modas, alimentos, tecnología—; </w:t>
      </w:r>
      <w:r>
        <w:rPr>
          <w:color w:val="231F20"/>
        </w:rPr>
        <w:t>que </w:t>
      </w:r>
      <w:r>
        <w:rPr>
          <w:rFonts w:ascii="Arial" w:hAnsi="Arial"/>
          <w:i/>
          <w:color w:val="231F20"/>
          <w:spacing w:val="-3"/>
        </w:rPr>
        <w:t>jihadizarlo</w:t>
      </w:r>
      <w:r>
        <w:rPr>
          <w:color w:val="231F20"/>
          <w:spacing w:val="-3"/>
        </w:rPr>
        <w:t>, </w:t>
      </w:r>
      <w:r>
        <w:rPr>
          <w:color w:val="231F20"/>
          <w:spacing w:val="-4"/>
        </w:rPr>
        <w:t>parcelizar- </w:t>
      </w:r>
      <w:r>
        <w:rPr>
          <w:color w:val="231F20"/>
        </w:rPr>
        <w:t>lo en </w:t>
      </w:r>
      <w:r>
        <w:rPr>
          <w:color w:val="231F20"/>
          <w:spacing w:val="-3"/>
        </w:rPr>
        <w:t>posturas puras </w:t>
      </w:r>
      <w:r>
        <w:rPr>
          <w:color w:val="231F20"/>
        </w:rPr>
        <w:t>y </w:t>
      </w:r>
      <w:r>
        <w:rPr>
          <w:color w:val="231F20"/>
          <w:spacing w:val="-3"/>
        </w:rPr>
        <w:t>blindadas </w:t>
      </w:r>
      <w:r>
        <w:rPr>
          <w:color w:val="231F20"/>
        </w:rPr>
        <w:t>en </w:t>
      </w:r>
      <w:r>
        <w:rPr>
          <w:color w:val="231F20"/>
          <w:spacing w:val="-3"/>
        </w:rPr>
        <w:t>donde </w:t>
      </w:r>
      <w:r>
        <w:rPr>
          <w:color w:val="231F20"/>
        </w:rPr>
        <w:t>la </w:t>
      </w:r>
      <w:r>
        <w:rPr>
          <w:color w:val="231F20"/>
          <w:spacing w:val="-3"/>
        </w:rPr>
        <w:t>disidencia </w:t>
      </w:r>
      <w:r>
        <w:rPr>
          <w:color w:val="231F20"/>
        </w:rPr>
        <w:t>se </w:t>
      </w:r>
      <w:r>
        <w:rPr>
          <w:color w:val="231F20"/>
          <w:spacing w:val="-3"/>
        </w:rPr>
        <w:t>paga </w:t>
      </w:r>
      <w:r>
        <w:rPr>
          <w:color w:val="231F20"/>
        </w:rPr>
        <w:t>con </w:t>
      </w:r>
      <w:r>
        <w:rPr>
          <w:color w:val="231F20"/>
          <w:spacing w:val="-4"/>
        </w:rPr>
        <w:t>sangre. </w:t>
      </w:r>
      <w:r>
        <w:rPr>
          <w:color w:val="231F20"/>
          <w:spacing w:val="-3"/>
        </w:rPr>
        <w:t>Ambas convierten </w:t>
      </w:r>
      <w:r>
        <w:rPr>
          <w:color w:val="231F20"/>
        </w:rPr>
        <w:t>a la Tierra en un </w:t>
      </w:r>
      <w:r>
        <w:rPr>
          <w:rFonts w:ascii="Arial" w:hAnsi="Arial"/>
          <w:i/>
          <w:color w:val="231F20"/>
          <w:spacing w:val="-3"/>
        </w:rPr>
        <w:t>espacio estriado </w:t>
      </w:r>
      <w:r>
        <w:rPr>
          <w:color w:val="231F20"/>
          <w:spacing w:val="-3"/>
        </w:rPr>
        <w:t>donde </w:t>
      </w:r>
      <w:r>
        <w:rPr>
          <w:color w:val="231F20"/>
        </w:rPr>
        <w:t>de </w:t>
      </w:r>
      <w:r>
        <w:rPr>
          <w:color w:val="231F20"/>
          <w:spacing w:val="-3"/>
        </w:rPr>
        <w:t>antemano </w:t>
      </w:r>
      <w:r>
        <w:rPr>
          <w:color w:val="231F20"/>
        </w:rPr>
        <w:t>a </w:t>
      </w:r>
      <w:r>
        <w:rPr>
          <w:color w:val="231F20"/>
          <w:spacing w:val="-3"/>
        </w:rPr>
        <w:t>cada cosa </w:t>
      </w:r>
      <w:r>
        <w:rPr>
          <w:color w:val="231F20"/>
        </w:rPr>
        <w:t>le </w:t>
      </w:r>
      <w:r>
        <w:rPr>
          <w:color w:val="231F20"/>
          <w:spacing w:val="-3"/>
        </w:rPr>
        <w:t>corresponde </w:t>
      </w:r>
      <w:r>
        <w:rPr>
          <w:color w:val="231F20"/>
        </w:rPr>
        <w:t>un </w:t>
      </w:r>
      <w:r>
        <w:rPr>
          <w:color w:val="231F20"/>
          <w:spacing w:val="-6"/>
        </w:rPr>
        <w:t>lugar, </w:t>
      </w:r>
      <w:r>
        <w:rPr>
          <w:color w:val="231F20"/>
          <w:spacing w:val="-3"/>
        </w:rPr>
        <w:t>donde </w:t>
      </w:r>
      <w:r>
        <w:rPr>
          <w:color w:val="231F20"/>
        </w:rPr>
        <w:t>hay una </w:t>
      </w:r>
      <w:r>
        <w:rPr>
          <w:color w:val="231F20"/>
          <w:spacing w:val="-3"/>
        </w:rPr>
        <w:t>manera </w:t>
      </w:r>
      <w:r>
        <w:rPr>
          <w:color w:val="231F20"/>
        </w:rPr>
        <w:t>de ser y de </w:t>
      </w:r>
      <w:r>
        <w:rPr>
          <w:color w:val="231F20"/>
          <w:spacing w:val="-6"/>
        </w:rPr>
        <w:t>vivir, </w:t>
      </w:r>
      <w:r>
        <w:rPr>
          <w:color w:val="231F20"/>
          <w:spacing w:val="-3"/>
        </w:rPr>
        <w:t>fuera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cual</w:t>
      </w:r>
      <w:r>
        <w:rPr>
          <w:color w:val="231F20"/>
          <w:spacing w:val="-8"/>
        </w:rPr>
        <w:t> </w:t>
      </w:r>
      <w:r>
        <w:rPr>
          <w:color w:val="231F20"/>
          <w:spacing w:val="-3"/>
        </w:rPr>
        <w:t>está</w:t>
      </w:r>
      <w:r>
        <w:rPr>
          <w:color w:val="231F20"/>
          <w:spacing w:val="-8"/>
        </w:rPr>
        <w:t> </w:t>
      </w:r>
      <w:r>
        <w:rPr>
          <w:color w:val="231F20"/>
        </w:rPr>
        <w:t>la</w:t>
      </w:r>
      <w:r>
        <w:rPr>
          <w:color w:val="231F20"/>
          <w:spacing w:val="-8"/>
        </w:rPr>
        <w:t> </w:t>
      </w:r>
      <w:r>
        <w:rPr>
          <w:color w:val="231F20"/>
          <w:spacing w:val="-3"/>
        </w:rPr>
        <w:t>marginación</w:t>
      </w:r>
      <w:r>
        <w:rPr>
          <w:color w:val="231F20"/>
          <w:spacing w:val="-8"/>
        </w:rPr>
        <w:t> </w:t>
      </w:r>
      <w:r>
        <w:rPr>
          <w:color w:val="231F20"/>
        </w:rPr>
        <w:t>o</w:t>
      </w:r>
      <w:r>
        <w:rPr>
          <w:color w:val="231F20"/>
          <w:spacing w:val="-8"/>
        </w:rPr>
        <w:t> </w:t>
      </w:r>
      <w:r>
        <w:rPr>
          <w:color w:val="231F20"/>
        </w:rPr>
        <w:t>la</w:t>
      </w:r>
      <w:r>
        <w:rPr>
          <w:color w:val="231F20"/>
          <w:spacing w:val="-8"/>
        </w:rPr>
        <w:t> </w:t>
      </w:r>
      <w:r>
        <w:rPr>
          <w:color w:val="231F20"/>
          <w:spacing w:val="-3"/>
        </w:rPr>
        <w:t>muerte.</w:t>
      </w:r>
      <w:r>
        <w:rPr>
          <w:color w:val="231F20"/>
          <w:spacing w:val="-8"/>
        </w:rPr>
        <w:t> </w:t>
      </w:r>
      <w:r>
        <w:rPr>
          <w:color w:val="231F20"/>
          <w:spacing w:val="-3"/>
        </w:rPr>
        <w:t>Ambas</w:t>
      </w:r>
      <w:r>
        <w:rPr>
          <w:color w:val="231F20"/>
          <w:spacing w:val="-8"/>
        </w:rPr>
        <w:t> </w:t>
      </w:r>
      <w:r>
        <w:rPr>
          <w:color w:val="231F20"/>
          <w:spacing w:val="-3"/>
        </w:rPr>
        <w:t>posibilidades</w:t>
      </w:r>
      <w:r>
        <w:rPr>
          <w:color w:val="231F20"/>
          <w:spacing w:val="-8"/>
        </w:rPr>
        <w:t> </w:t>
      </w:r>
      <w:r>
        <w:rPr>
          <w:color w:val="231F20"/>
          <w:spacing w:val="-3"/>
        </w:rPr>
        <w:t>produ- </w:t>
      </w:r>
      <w:r>
        <w:rPr>
          <w:color w:val="231F20"/>
        </w:rPr>
        <w:t>cen a su </w:t>
      </w:r>
      <w:r>
        <w:rPr>
          <w:color w:val="231F20"/>
          <w:spacing w:val="-3"/>
        </w:rPr>
        <w:t>manera gestos </w:t>
      </w:r>
      <w:r>
        <w:rPr>
          <w:color w:val="231F20"/>
        </w:rPr>
        <w:t>de </w:t>
      </w:r>
      <w:r>
        <w:rPr>
          <w:color w:val="231F20"/>
          <w:spacing w:val="-3"/>
        </w:rPr>
        <w:t>violencia </w:t>
      </w:r>
      <w:r>
        <w:rPr>
          <w:color w:val="231F20"/>
        </w:rPr>
        <w:t>e </w:t>
      </w:r>
      <w:r>
        <w:rPr>
          <w:color w:val="231F20"/>
          <w:spacing w:val="-3"/>
        </w:rPr>
        <w:t>intolerancia, </w:t>
      </w:r>
      <w:r>
        <w:rPr>
          <w:color w:val="231F20"/>
        </w:rPr>
        <w:t>al </w:t>
      </w:r>
      <w:r>
        <w:rPr>
          <w:color w:val="231F20"/>
          <w:spacing w:val="-3"/>
        </w:rPr>
        <w:t>tiempo </w:t>
      </w:r>
      <w:r>
        <w:rPr>
          <w:color w:val="231F20"/>
        </w:rPr>
        <w:t>que </w:t>
      </w:r>
      <w:r>
        <w:rPr>
          <w:color w:val="231F20"/>
          <w:spacing w:val="-3"/>
        </w:rPr>
        <w:t>encasillan </w:t>
      </w:r>
      <w:r>
        <w:rPr>
          <w:color w:val="231F20"/>
        </w:rPr>
        <w:t>al </w:t>
      </w:r>
      <w:r>
        <w:rPr>
          <w:color w:val="231F20"/>
          <w:spacing w:val="-3"/>
        </w:rPr>
        <w:t>mundo dentro </w:t>
      </w:r>
      <w:r>
        <w:rPr>
          <w:color w:val="231F20"/>
        </w:rPr>
        <w:t>de </w:t>
      </w:r>
      <w:r>
        <w:rPr>
          <w:color w:val="231F20"/>
          <w:spacing w:val="-3"/>
        </w:rPr>
        <w:t>determinadas estrías, casillas </w:t>
      </w:r>
      <w:r>
        <w:rPr>
          <w:color w:val="231F20"/>
        </w:rPr>
        <w:t>y</w:t>
      </w:r>
      <w:r>
        <w:rPr>
          <w:color w:val="231F20"/>
          <w:spacing w:val="6"/>
        </w:rPr>
        <w:t> </w:t>
      </w:r>
      <w:r>
        <w:rPr>
          <w:color w:val="231F20"/>
          <w:spacing w:val="-4"/>
        </w:rPr>
        <w:t>direcciones.</w:t>
      </w:r>
    </w:p>
    <w:p>
      <w:pPr>
        <w:pStyle w:val="BodyText"/>
        <w:spacing w:before="1"/>
        <w:rPr>
          <w:sz w:val="23"/>
        </w:rPr>
      </w:pPr>
    </w:p>
    <w:p>
      <w:pPr>
        <w:spacing w:line="220" w:lineRule="exact" w:before="0"/>
        <w:ind w:left="1521" w:right="114" w:firstLine="0"/>
        <w:jc w:val="both"/>
        <w:rPr>
          <w:sz w:val="19"/>
        </w:rPr>
      </w:pPr>
      <w:r>
        <w:rPr>
          <w:color w:val="231F20"/>
          <w:sz w:val="19"/>
        </w:rPr>
        <w:t>Lo que llamo fuerzas de la </w:t>
      </w:r>
      <w:r>
        <w:rPr>
          <w:rFonts w:ascii="Arial" w:hAnsi="Arial"/>
          <w:i/>
          <w:color w:val="231F20"/>
          <w:sz w:val="19"/>
        </w:rPr>
        <w:t>Jihad </w:t>
      </w:r>
      <w:r>
        <w:rPr>
          <w:color w:val="231F20"/>
          <w:sz w:val="19"/>
        </w:rPr>
        <w:t>y fuerzas del </w:t>
      </w:r>
      <w:r>
        <w:rPr>
          <w:rFonts w:ascii="Arial" w:hAnsi="Arial"/>
          <w:i/>
          <w:color w:val="231F20"/>
          <w:sz w:val="19"/>
        </w:rPr>
        <w:t>McMundo </w:t>
      </w:r>
      <w:r>
        <w:rPr>
          <w:color w:val="231F20"/>
          <w:sz w:val="19"/>
        </w:rPr>
        <w:t>operan con igual ímpetu en direcciones opuestas, una dirigida por odios parroquiales,</w:t>
      </w:r>
      <w:r>
        <w:rPr>
          <w:color w:val="231F20"/>
          <w:spacing w:val="-12"/>
          <w:sz w:val="19"/>
        </w:rPr>
        <w:t> </w:t>
      </w:r>
      <w:r>
        <w:rPr>
          <w:color w:val="231F20"/>
          <w:sz w:val="19"/>
        </w:rPr>
        <w:t>el</w:t>
      </w:r>
      <w:r>
        <w:rPr>
          <w:color w:val="231F20"/>
          <w:spacing w:val="-12"/>
          <w:sz w:val="19"/>
        </w:rPr>
        <w:t> </w:t>
      </w:r>
      <w:r>
        <w:rPr>
          <w:color w:val="231F20"/>
          <w:sz w:val="19"/>
        </w:rPr>
        <w:t>otro</w:t>
      </w:r>
      <w:r>
        <w:rPr>
          <w:color w:val="231F20"/>
          <w:spacing w:val="-12"/>
          <w:sz w:val="19"/>
        </w:rPr>
        <w:t> </w:t>
      </w:r>
      <w:r>
        <w:rPr>
          <w:color w:val="231F20"/>
          <w:sz w:val="19"/>
        </w:rPr>
        <w:t>por</w:t>
      </w:r>
      <w:r>
        <w:rPr>
          <w:color w:val="231F20"/>
          <w:spacing w:val="-12"/>
          <w:sz w:val="19"/>
        </w:rPr>
        <w:t> </w:t>
      </w:r>
      <w:r>
        <w:rPr>
          <w:color w:val="231F20"/>
          <w:sz w:val="19"/>
        </w:rPr>
        <w:t>mercados</w:t>
      </w:r>
      <w:r>
        <w:rPr>
          <w:color w:val="231F20"/>
          <w:spacing w:val="-12"/>
          <w:sz w:val="19"/>
        </w:rPr>
        <w:t> </w:t>
      </w:r>
      <w:r>
        <w:rPr>
          <w:color w:val="231F20"/>
          <w:sz w:val="19"/>
        </w:rPr>
        <w:t>universales;</w:t>
      </w:r>
      <w:r>
        <w:rPr>
          <w:color w:val="231F20"/>
          <w:spacing w:val="-12"/>
          <w:sz w:val="19"/>
        </w:rPr>
        <w:t> </w:t>
      </w:r>
      <w:r>
        <w:rPr>
          <w:color w:val="231F20"/>
          <w:sz w:val="19"/>
        </w:rPr>
        <w:t>uno</w:t>
      </w:r>
      <w:r>
        <w:rPr>
          <w:color w:val="231F20"/>
          <w:spacing w:val="-12"/>
          <w:sz w:val="19"/>
        </w:rPr>
        <w:t> </w:t>
      </w:r>
      <w:r>
        <w:rPr>
          <w:color w:val="231F20"/>
          <w:sz w:val="19"/>
        </w:rPr>
        <w:t>recreando</w:t>
      </w:r>
      <w:r>
        <w:rPr>
          <w:color w:val="231F20"/>
          <w:spacing w:val="-12"/>
          <w:sz w:val="19"/>
        </w:rPr>
        <w:t> </w:t>
      </w:r>
      <w:r>
        <w:rPr>
          <w:color w:val="231F20"/>
          <w:sz w:val="19"/>
        </w:rPr>
        <w:t>vie- jas</w:t>
      </w:r>
      <w:r>
        <w:rPr>
          <w:color w:val="231F20"/>
          <w:spacing w:val="-11"/>
          <w:sz w:val="19"/>
        </w:rPr>
        <w:t> </w:t>
      </w:r>
      <w:r>
        <w:rPr>
          <w:color w:val="231F20"/>
          <w:sz w:val="19"/>
        </w:rPr>
        <w:t>fronteras</w:t>
      </w:r>
      <w:r>
        <w:rPr>
          <w:color w:val="231F20"/>
          <w:spacing w:val="-11"/>
          <w:sz w:val="19"/>
        </w:rPr>
        <w:t> </w:t>
      </w:r>
      <w:r>
        <w:rPr>
          <w:color w:val="231F20"/>
          <w:sz w:val="19"/>
        </w:rPr>
        <w:t>subnacionales</w:t>
      </w:r>
      <w:r>
        <w:rPr>
          <w:color w:val="231F20"/>
          <w:spacing w:val="-11"/>
          <w:sz w:val="19"/>
        </w:rPr>
        <w:t> </w:t>
      </w:r>
      <w:r>
        <w:rPr>
          <w:color w:val="231F20"/>
          <w:sz w:val="19"/>
        </w:rPr>
        <w:t>y</w:t>
      </w:r>
      <w:r>
        <w:rPr>
          <w:color w:val="231F20"/>
          <w:spacing w:val="-11"/>
          <w:sz w:val="19"/>
        </w:rPr>
        <w:t> </w:t>
      </w:r>
      <w:r>
        <w:rPr>
          <w:color w:val="231F20"/>
          <w:sz w:val="19"/>
        </w:rPr>
        <w:t>étnicas,</w:t>
      </w:r>
      <w:r>
        <w:rPr>
          <w:color w:val="231F20"/>
          <w:spacing w:val="-11"/>
          <w:sz w:val="19"/>
        </w:rPr>
        <w:t> </w:t>
      </w:r>
      <w:r>
        <w:rPr>
          <w:color w:val="231F20"/>
          <w:sz w:val="19"/>
        </w:rPr>
        <w:t>el</w:t>
      </w:r>
      <w:r>
        <w:rPr>
          <w:color w:val="231F20"/>
          <w:spacing w:val="-11"/>
          <w:sz w:val="19"/>
        </w:rPr>
        <w:t> </w:t>
      </w:r>
      <w:r>
        <w:rPr>
          <w:color w:val="231F20"/>
          <w:sz w:val="19"/>
        </w:rPr>
        <w:t>otro</w:t>
      </w:r>
      <w:r>
        <w:rPr>
          <w:color w:val="231F20"/>
          <w:spacing w:val="-11"/>
          <w:sz w:val="19"/>
        </w:rPr>
        <w:t> </w:t>
      </w:r>
      <w:r>
        <w:rPr>
          <w:color w:val="231F20"/>
          <w:sz w:val="19"/>
        </w:rPr>
        <w:t>volviendo</w:t>
      </w:r>
      <w:r>
        <w:rPr>
          <w:color w:val="231F20"/>
          <w:spacing w:val="-11"/>
          <w:sz w:val="19"/>
        </w:rPr>
        <w:t> </w:t>
      </w:r>
      <w:r>
        <w:rPr>
          <w:color w:val="231F20"/>
          <w:sz w:val="19"/>
        </w:rPr>
        <w:t>porosas</w:t>
      </w:r>
      <w:r>
        <w:rPr>
          <w:color w:val="231F20"/>
          <w:spacing w:val="-11"/>
          <w:sz w:val="19"/>
        </w:rPr>
        <w:t> </w:t>
      </w:r>
      <w:r>
        <w:rPr>
          <w:color w:val="231F20"/>
          <w:sz w:val="19"/>
        </w:rPr>
        <w:t>las fronteras nacionales. Ambos tienen una cosa en común: ninguno ofrece mucha esperanza a los ciudadanos que buscan caminos prácticos para gobernarse a sí mismos de manera</w:t>
      </w:r>
      <w:r>
        <w:rPr>
          <w:color w:val="231F20"/>
          <w:spacing w:val="10"/>
          <w:sz w:val="19"/>
        </w:rPr>
        <w:t> </w:t>
      </w:r>
      <w:r>
        <w:rPr>
          <w:color w:val="231F20"/>
          <w:sz w:val="19"/>
        </w:rPr>
        <w:t>democrática</w:t>
      </w:r>
      <w:r>
        <w:rPr>
          <w:color w:val="231F20"/>
          <w:position w:val="6"/>
          <w:sz w:val="11"/>
        </w:rPr>
        <w:t>44</w:t>
      </w:r>
      <w:r>
        <w:rPr>
          <w:color w:val="231F20"/>
          <w:sz w:val="19"/>
        </w:rPr>
        <w:t>.</w:t>
      </w:r>
    </w:p>
    <w:p>
      <w:pPr>
        <w:pStyle w:val="BodyText"/>
        <w:spacing w:before="11"/>
        <w:rPr>
          <w:sz w:val="23"/>
        </w:rPr>
      </w:pPr>
    </w:p>
    <w:p>
      <w:pPr>
        <w:pStyle w:val="BodyText"/>
        <w:spacing w:line="247" w:lineRule="auto"/>
        <w:ind w:left="103" w:right="114"/>
        <w:jc w:val="both"/>
      </w:pPr>
      <w:r>
        <w:rPr>
          <w:color w:val="231F20"/>
        </w:rPr>
        <w:t>La</w:t>
      </w:r>
      <w:r>
        <w:rPr>
          <w:color w:val="231F20"/>
          <w:spacing w:val="-7"/>
        </w:rPr>
        <w:t> </w:t>
      </w:r>
      <w:r>
        <w:rPr>
          <w:rFonts w:ascii="Arial" w:hAnsi="Arial"/>
          <w:i/>
          <w:color w:val="231F20"/>
        </w:rPr>
        <w:t>jihadización </w:t>
      </w:r>
      <w:r>
        <w:rPr>
          <w:color w:val="231F20"/>
        </w:rPr>
        <w:t>del</w:t>
      </w:r>
      <w:r>
        <w:rPr>
          <w:color w:val="231F20"/>
          <w:spacing w:val="-7"/>
        </w:rPr>
        <w:t> </w:t>
      </w:r>
      <w:r>
        <w:rPr>
          <w:color w:val="231F20"/>
        </w:rPr>
        <w:t>mundo</w:t>
      </w:r>
      <w:r>
        <w:rPr>
          <w:color w:val="231F20"/>
          <w:spacing w:val="-7"/>
        </w:rPr>
        <w:t> </w:t>
      </w:r>
      <w:r>
        <w:rPr>
          <w:color w:val="231F20"/>
        </w:rPr>
        <w:t>y</w:t>
      </w:r>
      <w:r>
        <w:rPr>
          <w:color w:val="231F20"/>
          <w:spacing w:val="-7"/>
        </w:rPr>
        <w:t> </w:t>
      </w:r>
      <w:r>
        <w:rPr>
          <w:color w:val="231F20"/>
        </w:rPr>
        <w:t>su</w:t>
      </w:r>
      <w:r>
        <w:rPr>
          <w:color w:val="231F20"/>
          <w:spacing w:val="-7"/>
        </w:rPr>
        <w:t> </w:t>
      </w:r>
      <w:r>
        <w:rPr>
          <w:rFonts w:ascii="Arial" w:hAnsi="Arial"/>
          <w:i/>
          <w:color w:val="231F20"/>
        </w:rPr>
        <w:t>macdonalización </w:t>
      </w:r>
      <w:r>
        <w:rPr>
          <w:color w:val="231F20"/>
        </w:rPr>
        <w:t>son</w:t>
      </w:r>
      <w:r>
        <w:rPr>
          <w:color w:val="231F20"/>
          <w:spacing w:val="-7"/>
        </w:rPr>
        <w:t> </w:t>
      </w:r>
      <w:r>
        <w:rPr>
          <w:color w:val="231F20"/>
        </w:rPr>
        <w:t>dos</w:t>
      </w:r>
      <w:r>
        <w:rPr>
          <w:color w:val="231F20"/>
          <w:spacing w:val="-7"/>
        </w:rPr>
        <w:t> </w:t>
      </w:r>
      <w:r>
        <w:rPr>
          <w:color w:val="231F20"/>
        </w:rPr>
        <w:t>realidades</w:t>
      </w:r>
      <w:r>
        <w:rPr>
          <w:color w:val="231F20"/>
          <w:spacing w:val="-7"/>
        </w:rPr>
        <w:t> </w:t>
      </w:r>
      <w:r>
        <w:rPr>
          <w:color w:val="231F20"/>
        </w:rPr>
        <w:t>opues- tas a la vez que muy homogéneas: una puede verse como el reverso, el efecto o la reacción de la otra, por ende, comparten en muchos sentidos la misma lógica. Estamos aquí ante una paradoja ficticia que sólo puede establecer la contradicción al precio de volver homogéneos los opuestos. En cambio, una paradoja radical afirmaría la diferencia irreductible de los opuestos, en gran medida dejarían de ser opuestos para tornarse diferen- cias radicales que estrictamente no serían asignables ni a lo local ni a lo global,</w:t>
      </w:r>
      <w:r>
        <w:rPr>
          <w:color w:val="231F20"/>
          <w:spacing w:val="-8"/>
        </w:rPr>
        <w:t> </w:t>
      </w:r>
      <w:r>
        <w:rPr>
          <w:color w:val="231F20"/>
        </w:rPr>
        <w:t>ni</w:t>
      </w:r>
      <w:r>
        <w:rPr>
          <w:color w:val="231F20"/>
          <w:spacing w:val="-8"/>
        </w:rPr>
        <w:t> </w:t>
      </w:r>
      <w:r>
        <w:rPr>
          <w:color w:val="231F20"/>
        </w:rPr>
        <w:t>al</w:t>
      </w:r>
      <w:r>
        <w:rPr>
          <w:color w:val="231F20"/>
          <w:spacing w:val="-8"/>
        </w:rPr>
        <w:t> </w:t>
      </w:r>
      <w:r>
        <w:rPr>
          <w:color w:val="231F20"/>
        </w:rPr>
        <w:t>híbrido</w:t>
      </w:r>
      <w:r>
        <w:rPr>
          <w:color w:val="231F20"/>
          <w:spacing w:val="-8"/>
        </w:rPr>
        <w:t> </w:t>
      </w:r>
      <w:r>
        <w:rPr>
          <w:color w:val="231F20"/>
        </w:rPr>
        <w:t>de</w:t>
      </w:r>
      <w:r>
        <w:rPr>
          <w:color w:val="231F20"/>
          <w:spacing w:val="-8"/>
        </w:rPr>
        <w:t> </w:t>
      </w:r>
      <w:r>
        <w:rPr>
          <w:color w:val="231F20"/>
        </w:rPr>
        <w:t>ambos,</w:t>
      </w:r>
      <w:r>
        <w:rPr>
          <w:color w:val="231F20"/>
          <w:spacing w:val="-8"/>
        </w:rPr>
        <w:t> </w:t>
      </w:r>
      <w:r>
        <w:rPr>
          <w:color w:val="231F20"/>
        </w:rPr>
        <w:t>sino</w:t>
      </w:r>
      <w:r>
        <w:rPr>
          <w:color w:val="231F20"/>
          <w:spacing w:val="-8"/>
        </w:rPr>
        <w:t> </w:t>
      </w:r>
      <w:r>
        <w:rPr>
          <w:color w:val="231F20"/>
        </w:rPr>
        <w:t>que</w:t>
      </w:r>
      <w:r>
        <w:rPr>
          <w:color w:val="231F20"/>
          <w:spacing w:val="-8"/>
        </w:rPr>
        <w:t> </w:t>
      </w:r>
      <w:r>
        <w:rPr>
          <w:color w:val="231F20"/>
        </w:rPr>
        <w:t>emergería</w:t>
      </w:r>
      <w:r>
        <w:rPr>
          <w:color w:val="231F20"/>
          <w:spacing w:val="-8"/>
        </w:rPr>
        <w:t> </w:t>
      </w:r>
      <w:r>
        <w:rPr>
          <w:rFonts w:ascii="Arial" w:hAnsi="Arial"/>
          <w:i/>
          <w:color w:val="231F20"/>
        </w:rPr>
        <w:t>entre</w:t>
      </w:r>
      <w:r>
        <w:rPr>
          <w:rFonts w:ascii="Arial" w:hAnsi="Arial"/>
          <w:i/>
          <w:color w:val="231F20"/>
          <w:spacing w:val="-1"/>
        </w:rPr>
        <w:t> </w:t>
      </w:r>
      <w:r>
        <w:rPr>
          <w:color w:val="231F20"/>
        </w:rPr>
        <w:t>ellos,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inters- ticios que no alcanzan a ser comprendidos por ningunos de los dos ni por su mezcla. Por el contrario, si pensamos que la finalidad de una paradoja es producir híbridos, estamos ante una aporía ficticia, aquí los opuestos terminan volviéndose homogéneos, sea porque uno se deriva del otro, sea porque emerge como mera reacción frente al otro, sea porque se  </w:t>
      </w:r>
      <w:r>
        <w:rPr>
          <w:color w:val="231F20"/>
          <w:spacing w:val="15"/>
        </w:rPr>
        <w:t> </w:t>
      </w:r>
      <w:r>
        <w:rPr>
          <w:color w:val="231F20"/>
        </w:rPr>
        <w:t>mezcla</w:t>
      </w:r>
    </w:p>
    <w:p>
      <w:pPr>
        <w:pStyle w:val="BodyText"/>
        <w:spacing w:before="4"/>
        <w:rPr>
          <w:sz w:val="24"/>
        </w:rPr>
      </w:pPr>
      <w:r>
        <w:rPr/>
        <w:pict>
          <v:line style="position:absolute;mso-position-horizontal-relative:page;mso-position-vertical-relative:paragraph;z-index:4792;mso-wrap-distance-left:0;mso-wrap-distance-right:0" from="65.1968pt,16.787285pt" to="178.5828pt,16.787285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position w:val="6"/>
          <w:sz w:val="10"/>
        </w:rPr>
        <w:t>43  </w:t>
      </w:r>
      <w:r>
        <w:rPr>
          <w:rFonts w:ascii="Calibri" w:hAnsi="Calibri"/>
          <w:color w:val="231F20"/>
          <w:sz w:val="17"/>
        </w:rPr>
        <w:t>Deleuze y Guattari, </w:t>
      </w:r>
      <w:r>
        <w:rPr>
          <w:rFonts w:ascii="Calibri" w:hAnsi="Calibri"/>
          <w:i/>
          <w:color w:val="231F20"/>
          <w:sz w:val="17"/>
        </w:rPr>
        <w:t>Le Anti</w:t>
      </w:r>
      <w:r>
        <w:rPr>
          <w:rFonts w:ascii="Calibri" w:hAnsi="Calibri"/>
          <w:color w:val="231F20"/>
          <w:sz w:val="17"/>
        </w:rPr>
        <w:t>–</w:t>
      </w:r>
      <w:r>
        <w:rPr>
          <w:rFonts w:ascii="Calibri" w:hAnsi="Calibri"/>
          <w:i/>
          <w:color w:val="231F20"/>
          <w:sz w:val="17"/>
        </w:rPr>
        <w:t>Œdipe</w:t>
      </w:r>
      <w:r>
        <w:rPr>
          <w:rFonts w:ascii="Calibri" w:hAnsi="Calibri"/>
          <w:color w:val="231F20"/>
          <w:sz w:val="17"/>
        </w:rPr>
        <w:t>, p. 285.</w:t>
      </w:r>
    </w:p>
    <w:p>
      <w:pPr>
        <w:spacing w:line="206" w:lineRule="exact" w:before="0"/>
        <w:ind w:left="103" w:right="0" w:firstLine="0"/>
        <w:jc w:val="left"/>
        <w:rPr>
          <w:rFonts w:ascii="Calibri" w:hAnsi="Calibri"/>
          <w:sz w:val="17"/>
        </w:rPr>
      </w:pPr>
      <w:r>
        <w:rPr>
          <w:rFonts w:ascii="Calibri" w:hAnsi="Calibri"/>
          <w:color w:val="231F20"/>
          <w:position w:val="6"/>
          <w:sz w:val="10"/>
        </w:rPr>
        <w:t>44 </w:t>
      </w:r>
      <w:r>
        <w:rPr>
          <w:rFonts w:ascii="Calibri" w:hAnsi="Calibri"/>
          <w:color w:val="231F20"/>
          <w:sz w:val="17"/>
        </w:rPr>
        <w:t>Barber, “Jihad vs. McWorld”, p. 53.</w:t>
      </w:r>
    </w:p>
    <w:p>
      <w:pPr>
        <w:pStyle w:val="BodyText"/>
        <w:rPr>
          <w:rFonts w:ascii="Calibri"/>
          <w:sz w:val="20"/>
        </w:rPr>
      </w:pPr>
    </w:p>
    <w:p>
      <w:pPr>
        <w:pStyle w:val="BodyText"/>
        <w:spacing w:before="9"/>
        <w:rPr>
          <w:rFonts w:ascii="Calibri"/>
          <w:sz w:val="27"/>
        </w:rPr>
      </w:pPr>
    </w:p>
    <w:p>
      <w:pPr>
        <w:tabs>
          <w:tab w:pos="1331" w:val="left" w:leader="none"/>
        </w:tabs>
        <w:spacing w:before="68"/>
        <w:ind w:left="281" w:right="0" w:firstLine="0"/>
        <w:jc w:val="left"/>
        <w:rPr>
          <w:rFonts w:ascii="Calibri" w:hAnsi="Calibri"/>
          <w:sz w:val="16"/>
        </w:rPr>
      </w:pPr>
      <w:r>
        <w:rPr/>
        <w:pict>
          <v:group style="position:absolute;margin-left:98.787804pt;margin-top:-3.358812pt;width:20.4pt;height:43pt;mso-position-horizontal-relative:page;mso-position-vertical-relative:paragraph;z-index:-170584"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hAnsi="Arial"/>
          <w:color w:val="414042"/>
          <w:position w:val="-4"/>
          <w:sz w:val="20"/>
        </w:rPr>
        <w:t>84</w:t>
        <w:tab/>
      </w:r>
      <w:r>
        <w:rPr>
          <w:rFonts w:ascii="Calibri" w:hAnsi="Calibri"/>
          <w:color w:val="6D6E71"/>
          <w:sz w:val="16"/>
        </w:rPr>
        <w:t>María Luisa Bacarlett</w:t>
      </w:r>
      <w:r>
        <w:rPr>
          <w:rFonts w:ascii="Calibri" w:hAnsi="Calibri"/>
          <w:color w:val="6D6E71"/>
          <w:spacing w:val="33"/>
          <w:sz w:val="16"/>
        </w:rPr>
        <w:t> </w:t>
      </w:r>
      <w:r>
        <w:rPr>
          <w:rFonts w:ascii="Calibri" w:hAnsi="Calibri"/>
          <w:color w:val="6D6E71"/>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335" w:right="0" w:firstLine="0"/>
        <w:jc w:val="left"/>
        <w:rPr>
          <w:rFonts w:ascii="Arial" w:hAnsi="Arial"/>
          <w:sz w:val="20"/>
        </w:rPr>
      </w:pPr>
      <w:r>
        <w:rPr/>
        <w:pict>
          <v:group style="position:absolute;margin-left:383.821014pt;margin-top:-25.479271pt;width:8.65pt;height:41pt;mso-position-horizontal-relative:page;mso-position-vertical-relative:paragraph;z-index:-17053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NATURALIZAR</w:t>
      </w:r>
      <w:r>
        <w:rPr>
          <w:rFonts w:ascii="Lucida Sans Unicode" w:hAnsi="Lucida Sans Unicode"/>
          <w:color w:val="6D6E71"/>
          <w:spacing w:val="-19"/>
          <w:w w:val="95"/>
          <w:sz w:val="14"/>
        </w:rPr>
        <w:t> </w:t>
      </w:r>
      <w:r>
        <w:rPr>
          <w:rFonts w:ascii="Lucida Sans Unicode" w:hAnsi="Lucida Sans Unicode"/>
          <w:color w:val="6D6E71"/>
          <w:w w:val="95"/>
          <w:sz w:val="14"/>
        </w:rPr>
        <w:t>LAS</w:t>
      </w:r>
      <w:r>
        <w:rPr>
          <w:rFonts w:ascii="Lucida Sans Unicode" w:hAnsi="Lucida Sans Unicode"/>
          <w:color w:val="6D6E71"/>
          <w:spacing w:val="-19"/>
          <w:w w:val="95"/>
          <w:sz w:val="14"/>
        </w:rPr>
        <w:t> </w:t>
      </w:r>
      <w:r>
        <w:rPr>
          <w:rFonts w:ascii="Lucida Sans Unicode" w:hAnsi="Lucida Sans Unicode"/>
          <w:color w:val="6D6E71"/>
          <w:w w:val="95"/>
          <w:sz w:val="14"/>
        </w:rPr>
        <w:t>PARADOJAS:</w:t>
      </w:r>
      <w:r>
        <w:rPr>
          <w:rFonts w:ascii="Lucida Sans Unicode" w:hAnsi="Lucida Sans Unicode"/>
          <w:color w:val="6D6E71"/>
          <w:spacing w:val="-19"/>
          <w:w w:val="95"/>
          <w:sz w:val="14"/>
        </w:rPr>
        <w:t> </w:t>
      </w:r>
      <w:r>
        <w:rPr>
          <w:rFonts w:ascii="Lucida Sans Unicode" w:hAnsi="Lucida Sans Unicode"/>
          <w:color w:val="6D6E71"/>
          <w:w w:val="95"/>
          <w:sz w:val="14"/>
        </w:rPr>
        <w:t>UN</w:t>
      </w:r>
      <w:r>
        <w:rPr>
          <w:rFonts w:ascii="Lucida Sans Unicode" w:hAnsi="Lucida Sans Unicode"/>
          <w:color w:val="6D6E71"/>
          <w:spacing w:val="-19"/>
          <w:w w:val="95"/>
          <w:sz w:val="14"/>
        </w:rPr>
        <w:t> </w:t>
      </w:r>
      <w:r>
        <w:rPr>
          <w:rFonts w:ascii="Lucida Sans Unicode" w:hAnsi="Lucida Sans Unicode"/>
          <w:color w:val="6D6E71"/>
          <w:w w:val="95"/>
          <w:sz w:val="14"/>
        </w:rPr>
        <w:t>ACERCAMIENTO</w:t>
      </w:r>
      <w:r>
        <w:rPr>
          <w:rFonts w:ascii="Lucida Sans Unicode" w:hAnsi="Lucida Sans Unicode"/>
          <w:color w:val="6D6E71"/>
          <w:spacing w:val="-19"/>
          <w:w w:val="95"/>
          <w:sz w:val="14"/>
        </w:rPr>
        <w:t> </w:t>
      </w:r>
      <w:r>
        <w:rPr>
          <w:rFonts w:ascii="Lucida Sans Unicode" w:hAnsi="Lucida Sans Unicode"/>
          <w:color w:val="6D6E71"/>
          <w:w w:val="95"/>
          <w:sz w:val="14"/>
        </w:rPr>
        <w:t>A</w:t>
      </w:r>
      <w:r>
        <w:rPr>
          <w:rFonts w:ascii="Lucida Sans Unicode" w:hAnsi="Lucida Sans Unicode"/>
          <w:color w:val="6D6E71"/>
          <w:spacing w:val="-19"/>
          <w:w w:val="95"/>
          <w:sz w:val="14"/>
        </w:rPr>
        <w:t> </w:t>
      </w:r>
      <w:r>
        <w:rPr>
          <w:rFonts w:ascii="Lucida Sans Unicode" w:hAnsi="Lucida Sans Unicode"/>
          <w:color w:val="6D6E71"/>
          <w:w w:val="95"/>
          <w:sz w:val="14"/>
        </w:rPr>
        <w:t>LA</w:t>
      </w:r>
      <w:r>
        <w:rPr>
          <w:rFonts w:ascii="Lucida Sans Unicode" w:hAnsi="Lucida Sans Unicode"/>
          <w:color w:val="6D6E71"/>
          <w:spacing w:val="-19"/>
          <w:w w:val="95"/>
          <w:sz w:val="14"/>
        </w:rPr>
        <w:t> </w:t>
      </w:r>
      <w:r>
        <w:rPr>
          <w:rFonts w:ascii="Lucida Sans Unicode" w:hAnsi="Lucida Sans Unicode"/>
          <w:color w:val="6D6E71"/>
          <w:w w:val="95"/>
          <w:sz w:val="14"/>
        </w:rPr>
        <w:t>GLOBALIZACIÓN</w:t>
      </w:r>
      <w:r>
        <w:rPr>
          <w:rFonts w:ascii="Lucida Sans Unicode" w:hAnsi="Lucida Sans Unicode"/>
          <w:color w:val="6D6E71"/>
          <w:spacing w:val="-19"/>
          <w:w w:val="95"/>
          <w:sz w:val="14"/>
        </w:rPr>
        <w:t> </w:t>
      </w:r>
      <w:r>
        <w:rPr>
          <w:rFonts w:ascii="Lucida Sans Unicode" w:hAnsi="Lucida Sans Unicode"/>
          <w:color w:val="6D6E71"/>
          <w:w w:val="95"/>
          <w:sz w:val="14"/>
        </w:rPr>
        <w:t>DESDE</w:t>
      </w:r>
      <w:r>
        <w:rPr>
          <w:rFonts w:ascii="Lucida Sans Unicode" w:hAnsi="Lucida Sans Unicode"/>
          <w:color w:val="6D6E71"/>
          <w:spacing w:val="-19"/>
          <w:w w:val="95"/>
          <w:sz w:val="14"/>
        </w:rPr>
        <w:t> </w:t>
      </w:r>
      <w:r>
        <w:rPr>
          <w:rFonts w:ascii="Lucida Sans Unicode" w:hAnsi="Lucida Sans Unicode"/>
          <w:color w:val="6D6E71"/>
          <w:w w:val="95"/>
          <w:sz w:val="14"/>
        </w:rPr>
        <w:t>GILLES</w:t>
      </w:r>
      <w:r>
        <w:rPr>
          <w:rFonts w:ascii="Lucida Sans Unicode" w:hAnsi="Lucida Sans Unicode"/>
          <w:color w:val="6D6E71"/>
          <w:spacing w:val="-19"/>
          <w:w w:val="95"/>
          <w:sz w:val="14"/>
        </w:rPr>
        <w:t> </w:t>
      </w:r>
      <w:r>
        <w:rPr>
          <w:rFonts w:ascii="Lucida Sans Unicode" w:hAnsi="Lucida Sans Unicode"/>
          <w:color w:val="6D6E71"/>
          <w:w w:val="95"/>
          <w:sz w:val="14"/>
        </w:rPr>
        <w:t>DELEUZE</w:t>
      </w:r>
      <w:r>
        <w:rPr>
          <w:rFonts w:ascii="Arial" w:hAnsi="Arial"/>
          <w:color w:val="414042"/>
          <w:w w:val="95"/>
          <w:position w:val="-3"/>
          <w:sz w:val="20"/>
        </w:rPr>
        <w:tab/>
        <w:t>85</w:t>
      </w:r>
    </w:p>
    <w:p>
      <w:pPr>
        <w:pStyle w:val="BodyText"/>
        <w:rPr>
          <w:rFonts w:ascii="Arial"/>
          <w:sz w:val="20"/>
        </w:rPr>
      </w:pPr>
    </w:p>
    <w:p>
      <w:pPr>
        <w:pStyle w:val="BodyText"/>
        <w:rPr>
          <w:rFonts w:ascii="Arial"/>
          <w:sz w:val="20"/>
        </w:rPr>
      </w:pPr>
    </w:p>
    <w:p>
      <w:pPr>
        <w:pStyle w:val="BodyText"/>
        <w:spacing w:line="247" w:lineRule="auto" w:before="163"/>
        <w:ind w:left="117" w:right="101"/>
        <w:jc w:val="both"/>
      </w:pPr>
      <w:r>
        <w:rPr>
          <w:color w:val="231F20"/>
        </w:rPr>
        <w:t>con el otro. Una paradoja ficticia termina reconciliando los opuestos una vez que los ha nombrado, en cambio, una paradoja radical afirma la dife- rencia</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rPr>
        <w:t>elementos,</w:t>
      </w:r>
      <w:r>
        <w:rPr>
          <w:color w:val="231F20"/>
          <w:spacing w:val="-10"/>
        </w:rPr>
        <w:t> </w:t>
      </w:r>
      <w:r>
        <w:rPr>
          <w:color w:val="231F20"/>
        </w:rPr>
        <w:t>sin</w:t>
      </w:r>
      <w:r>
        <w:rPr>
          <w:color w:val="231F20"/>
          <w:spacing w:val="-10"/>
        </w:rPr>
        <w:t> </w:t>
      </w:r>
      <w:r>
        <w:rPr>
          <w:color w:val="231F20"/>
        </w:rPr>
        <w:t>dejar</w:t>
      </w:r>
      <w:r>
        <w:rPr>
          <w:color w:val="231F20"/>
          <w:spacing w:val="-10"/>
        </w:rPr>
        <w:t> </w:t>
      </w:r>
      <w:r>
        <w:rPr>
          <w:color w:val="231F20"/>
        </w:rPr>
        <w:t>de</w:t>
      </w:r>
      <w:r>
        <w:rPr>
          <w:color w:val="231F20"/>
          <w:spacing w:val="-10"/>
        </w:rPr>
        <w:t> </w:t>
      </w:r>
      <w:r>
        <w:rPr>
          <w:color w:val="231F20"/>
        </w:rPr>
        <w:t>relacionarlos</w:t>
      </w:r>
      <w:r>
        <w:rPr>
          <w:color w:val="231F20"/>
          <w:spacing w:val="-10"/>
        </w:rPr>
        <w:t> </w:t>
      </w:r>
      <w:r>
        <w:rPr>
          <w:color w:val="231F20"/>
        </w:rPr>
        <w:t>entre</w:t>
      </w:r>
      <w:r>
        <w:rPr>
          <w:color w:val="231F20"/>
          <w:spacing w:val="-10"/>
        </w:rPr>
        <w:t> </w:t>
      </w:r>
      <w:r>
        <w:rPr>
          <w:color w:val="231F20"/>
        </w:rPr>
        <w:t>sí,</w:t>
      </w:r>
      <w:r>
        <w:rPr>
          <w:color w:val="231F20"/>
          <w:spacing w:val="-10"/>
        </w:rPr>
        <w:t> </w:t>
      </w:r>
      <w:r>
        <w:rPr>
          <w:color w:val="231F20"/>
        </w:rPr>
        <w:t>pero</w:t>
      </w:r>
      <w:r>
        <w:rPr>
          <w:color w:val="231F20"/>
          <w:spacing w:val="-10"/>
        </w:rPr>
        <w:t> </w:t>
      </w:r>
      <w:r>
        <w:rPr>
          <w:color w:val="231F20"/>
        </w:rPr>
        <w:t>sin</w:t>
      </w:r>
      <w:r>
        <w:rPr>
          <w:color w:val="231F20"/>
          <w:spacing w:val="-10"/>
        </w:rPr>
        <w:t> </w:t>
      </w:r>
      <w:r>
        <w:rPr>
          <w:color w:val="231F20"/>
        </w:rPr>
        <w:t>reducir uno al otro. La idea, por ejemplo, de que lo local es finalmente producido por</w:t>
      </w:r>
      <w:r>
        <w:rPr>
          <w:color w:val="231F20"/>
          <w:spacing w:val="-10"/>
        </w:rPr>
        <w:t> </w:t>
      </w:r>
      <w:r>
        <w:rPr>
          <w:color w:val="231F20"/>
        </w:rPr>
        <w:t>lo</w:t>
      </w:r>
      <w:r>
        <w:rPr>
          <w:color w:val="231F20"/>
          <w:spacing w:val="-10"/>
        </w:rPr>
        <w:t> </w:t>
      </w:r>
      <w:r>
        <w:rPr>
          <w:color w:val="231F20"/>
        </w:rPr>
        <w:t>global</w:t>
      </w:r>
      <w:r>
        <w:rPr>
          <w:color w:val="231F20"/>
          <w:spacing w:val="-10"/>
        </w:rPr>
        <w:t> </w:t>
      </w:r>
      <w:r>
        <w:rPr>
          <w:color w:val="231F20"/>
        </w:rPr>
        <w:t>comparte</w:t>
      </w:r>
      <w:r>
        <w:rPr>
          <w:color w:val="231F20"/>
          <w:spacing w:val="-10"/>
        </w:rPr>
        <w:t> </w:t>
      </w:r>
      <w:r>
        <w:rPr>
          <w:color w:val="231F20"/>
        </w:rPr>
        <w:t>este</w:t>
      </w:r>
      <w:r>
        <w:rPr>
          <w:color w:val="231F20"/>
          <w:spacing w:val="-10"/>
        </w:rPr>
        <w:t> </w:t>
      </w:r>
      <w:r>
        <w:rPr>
          <w:color w:val="231F20"/>
        </w:rPr>
        <w:t>cuño,</w:t>
      </w:r>
      <w:r>
        <w:rPr>
          <w:color w:val="231F20"/>
          <w:spacing w:val="-10"/>
        </w:rPr>
        <w:t> </w:t>
      </w:r>
      <w:r>
        <w:rPr>
          <w:color w:val="231F20"/>
        </w:rPr>
        <w:t>no</w:t>
      </w:r>
      <w:r>
        <w:rPr>
          <w:color w:val="231F20"/>
          <w:spacing w:val="-10"/>
        </w:rPr>
        <w:t> </w:t>
      </w:r>
      <w:r>
        <w:rPr>
          <w:color w:val="231F20"/>
        </w:rPr>
        <w:t>nos</w:t>
      </w:r>
      <w:r>
        <w:rPr>
          <w:color w:val="231F20"/>
          <w:spacing w:val="-10"/>
        </w:rPr>
        <w:t> </w:t>
      </w:r>
      <w:r>
        <w:rPr>
          <w:color w:val="231F20"/>
        </w:rPr>
        <w:t>deja</w:t>
      </w:r>
      <w:r>
        <w:rPr>
          <w:color w:val="231F20"/>
          <w:spacing w:val="-10"/>
        </w:rPr>
        <w:t> </w:t>
      </w:r>
      <w:r>
        <w:rPr>
          <w:color w:val="231F20"/>
        </w:rPr>
        <w:t>pensar</w:t>
      </w:r>
      <w:r>
        <w:rPr>
          <w:color w:val="231F20"/>
          <w:spacing w:val="-10"/>
        </w:rPr>
        <w:t> </w:t>
      </w:r>
      <w:r>
        <w:rPr>
          <w:color w:val="231F20"/>
        </w:rPr>
        <w:t>la</w:t>
      </w:r>
      <w:r>
        <w:rPr>
          <w:color w:val="231F20"/>
          <w:spacing w:val="-10"/>
        </w:rPr>
        <w:t> </w:t>
      </w:r>
      <w:r>
        <w:rPr>
          <w:color w:val="231F20"/>
        </w:rPr>
        <w:t>diferencia,</w:t>
      </w:r>
      <w:r>
        <w:rPr>
          <w:color w:val="231F20"/>
          <w:spacing w:val="-10"/>
        </w:rPr>
        <w:t> </w:t>
      </w:r>
      <w:r>
        <w:rPr>
          <w:color w:val="231F20"/>
        </w:rPr>
        <w:t>es</w:t>
      </w:r>
      <w:r>
        <w:rPr>
          <w:color w:val="231F20"/>
          <w:spacing w:val="-10"/>
        </w:rPr>
        <w:t> </w:t>
      </w:r>
      <w:r>
        <w:rPr>
          <w:color w:val="231F20"/>
          <w:spacing w:val="-4"/>
        </w:rPr>
        <w:t>decir,</w:t>
      </w:r>
    </w:p>
    <w:p>
      <w:pPr>
        <w:pStyle w:val="BodyText"/>
        <w:spacing w:line="247" w:lineRule="auto"/>
        <w:ind w:left="117" w:right="101"/>
        <w:jc w:val="both"/>
      </w:pPr>
      <w:r>
        <w:rPr>
          <w:color w:val="231F20"/>
          <w:w w:val="105"/>
        </w:rPr>
        <w:t>¿qué</w:t>
      </w:r>
      <w:r>
        <w:rPr>
          <w:color w:val="231F20"/>
          <w:spacing w:val="-27"/>
          <w:w w:val="105"/>
        </w:rPr>
        <w:t> </w:t>
      </w:r>
      <w:r>
        <w:rPr>
          <w:color w:val="231F20"/>
          <w:w w:val="105"/>
        </w:rPr>
        <w:t>forma</w:t>
      </w:r>
      <w:r>
        <w:rPr>
          <w:color w:val="231F20"/>
          <w:spacing w:val="-27"/>
          <w:w w:val="105"/>
        </w:rPr>
        <w:t> </w:t>
      </w:r>
      <w:r>
        <w:rPr>
          <w:color w:val="231F20"/>
          <w:w w:val="105"/>
        </w:rPr>
        <w:t>tendría</w:t>
      </w:r>
      <w:r>
        <w:rPr>
          <w:color w:val="231F20"/>
          <w:spacing w:val="-27"/>
          <w:w w:val="105"/>
        </w:rPr>
        <w:t> </w:t>
      </w:r>
      <w:r>
        <w:rPr>
          <w:color w:val="231F20"/>
          <w:w w:val="105"/>
        </w:rPr>
        <w:t>una</w:t>
      </w:r>
      <w:r>
        <w:rPr>
          <w:color w:val="231F20"/>
          <w:spacing w:val="-27"/>
          <w:w w:val="105"/>
        </w:rPr>
        <w:t> </w:t>
      </w:r>
      <w:r>
        <w:rPr>
          <w:color w:val="231F20"/>
          <w:w w:val="105"/>
        </w:rPr>
        <w:t>manifestación</w:t>
      </w:r>
      <w:r>
        <w:rPr>
          <w:color w:val="231F20"/>
          <w:spacing w:val="-27"/>
          <w:w w:val="105"/>
        </w:rPr>
        <w:t> </w:t>
      </w:r>
      <w:r>
        <w:rPr>
          <w:color w:val="231F20"/>
          <w:w w:val="105"/>
        </w:rPr>
        <w:t>singular</w:t>
      </w:r>
      <w:r>
        <w:rPr>
          <w:color w:val="231F20"/>
          <w:spacing w:val="-27"/>
          <w:w w:val="105"/>
        </w:rPr>
        <w:t> </w:t>
      </w:r>
      <w:r>
        <w:rPr>
          <w:color w:val="231F20"/>
          <w:w w:val="105"/>
        </w:rPr>
        <w:t>sin</w:t>
      </w:r>
      <w:r>
        <w:rPr>
          <w:color w:val="231F20"/>
          <w:spacing w:val="-27"/>
          <w:w w:val="105"/>
        </w:rPr>
        <w:t> </w:t>
      </w:r>
      <w:r>
        <w:rPr>
          <w:color w:val="231F20"/>
          <w:w w:val="105"/>
        </w:rPr>
        <w:t>tener</w:t>
      </w:r>
      <w:r>
        <w:rPr>
          <w:color w:val="231F20"/>
          <w:spacing w:val="-27"/>
          <w:w w:val="105"/>
        </w:rPr>
        <w:t> </w:t>
      </w:r>
      <w:r>
        <w:rPr>
          <w:color w:val="231F20"/>
          <w:w w:val="105"/>
        </w:rPr>
        <w:t>que</w:t>
      </w:r>
      <w:r>
        <w:rPr>
          <w:color w:val="231F20"/>
          <w:spacing w:val="-27"/>
          <w:w w:val="105"/>
        </w:rPr>
        <w:t> </w:t>
      </w:r>
      <w:r>
        <w:rPr>
          <w:color w:val="231F20"/>
          <w:w w:val="105"/>
        </w:rPr>
        <w:t>reducirla</w:t>
      </w:r>
      <w:r>
        <w:rPr>
          <w:color w:val="231F20"/>
          <w:spacing w:val="-27"/>
          <w:w w:val="105"/>
        </w:rPr>
        <w:t> </w:t>
      </w:r>
      <w:r>
        <w:rPr>
          <w:color w:val="231F20"/>
          <w:w w:val="105"/>
        </w:rPr>
        <w:t>a</w:t>
      </w:r>
      <w:r>
        <w:rPr>
          <w:color w:val="231F20"/>
          <w:spacing w:val="-27"/>
          <w:w w:val="105"/>
        </w:rPr>
        <w:t> </w:t>
      </w:r>
      <w:r>
        <w:rPr>
          <w:color w:val="231F20"/>
          <w:w w:val="105"/>
        </w:rPr>
        <w:t>lo global</w:t>
      </w:r>
      <w:r>
        <w:rPr>
          <w:color w:val="231F20"/>
          <w:spacing w:val="-6"/>
          <w:w w:val="105"/>
        </w:rPr>
        <w:t> </w:t>
      </w:r>
      <w:r>
        <w:rPr>
          <w:color w:val="231F20"/>
          <w:w w:val="105"/>
        </w:rPr>
        <w:t>o</w:t>
      </w:r>
      <w:r>
        <w:rPr>
          <w:color w:val="231F20"/>
          <w:spacing w:val="-6"/>
          <w:w w:val="105"/>
        </w:rPr>
        <w:t> </w:t>
      </w:r>
      <w:r>
        <w:rPr>
          <w:color w:val="231F20"/>
          <w:w w:val="105"/>
        </w:rPr>
        <w:t>a</w:t>
      </w:r>
      <w:r>
        <w:rPr>
          <w:color w:val="231F20"/>
          <w:spacing w:val="-6"/>
          <w:w w:val="105"/>
        </w:rPr>
        <w:t> </w:t>
      </w:r>
      <w:r>
        <w:rPr>
          <w:color w:val="231F20"/>
          <w:w w:val="105"/>
        </w:rPr>
        <w:t>lo</w:t>
      </w:r>
      <w:r>
        <w:rPr>
          <w:color w:val="231F20"/>
          <w:spacing w:val="-6"/>
          <w:w w:val="105"/>
        </w:rPr>
        <w:t> </w:t>
      </w:r>
      <w:r>
        <w:rPr>
          <w:color w:val="231F20"/>
          <w:w w:val="105"/>
        </w:rPr>
        <w:t>local?,</w:t>
      </w:r>
      <w:r>
        <w:rPr>
          <w:color w:val="231F20"/>
          <w:spacing w:val="-6"/>
          <w:w w:val="105"/>
        </w:rPr>
        <w:t> </w:t>
      </w:r>
      <w:r>
        <w:rPr>
          <w:color w:val="231F20"/>
          <w:w w:val="105"/>
        </w:rPr>
        <w:t>¿toda</w:t>
      </w:r>
      <w:r>
        <w:rPr>
          <w:color w:val="231F20"/>
          <w:spacing w:val="-6"/>
          <w:w w:val="105"/>
        </w:rPr>
        <w:t> </w:t>
      </w:r>
      <w:r>
        <w:rPr>
          <w:color w:val="231F20"/>
          <w:w w:val="105"/>
        </w:rPr>
        <w:t>diferencia</w:t>
      </w:r>
      <w:r>
        <w:rPr>
          <w:color w:val="231F20"/>
          <w:spacing w:val="-6"/>
          <w:w w:val="105"/>
        </w:rPr>
        <w:t> </w:t>
      </w:r>
      <w:r>
        <w:rPr>
          <w:color w:val="231F20"/>
          <w:w w:val="105"/>
        </w:rPr>
        <w:t>tiene</w:t>
      </w:r>
      <w:r>
        <w:rPr>
          <w:color w:val="231F20"/>
          <w:spacing w:val="-6"/>
          <w:w w:val="105"/>
        </w:rPr>
        <w:t> </w:t>
      </w:r>
      <w:r>
        <w:rPr>
          <w:color w:val="231F20"/>
          <w:w w:val="105"/>
        </w:rPr>
        <w:t>que</w:t>
      </w:r>
      <w:r>
        <w:rPr>
          <w:color w:val="231F20"/>
          <w:spacing w:val="-6"/>
          <w:w w:val="105"/>
        </w:rPr>
        <w:t> </w:t>
      </w:r>
      <w:r>
        <w:rPr>
          <w:color w:val="231F20"/>
          <w:w w:val="105"/>
        </w:rPr>
        <w:t>caber</w:t>
      </w:r>
      <w:r>
        <w:rPr>
          <w:color w:val="231F20"/>
          <w:spacing w:val="-6"/>
          <w:w w:val="105"/>
        </w:rPr>
        <w:t> </w:t>
      </w:r>
      <w:r>
        <w:rPr>
          <w:color w:val="231F20"/>
          <w:w w:val="105"/>
        </w:rPr>
        <w:t>en</w:t>
      </w:r>
      <w:r>
        <w:rPr>
          <w:color w:val="231F20"/>
          <w:spacing w:val="-6"/>
          <w:w w:val="105"/>
        </w:rPr>
        <w:t> </w:t>
      </w:r>
      <w:r>
        <w:rPr>
          <w:color w:val="231F20"/>
          <w:w w:val="105"/>
        </w:rPr>
        <w:t>alguna</w:t>
      </w:r>
      <w:r>
        <w:rPr>
          <w:color w:val="231F20"/>
          <w:spacing w:val="-6"/>
          <w:w w:val="105"/>
        </w:rPr>
        <w:t> </w:t>
      </w:r>
      <w:r>
        <w:rPr>
          <w:color w:val="231F20"/>
          <w:w w:val="105"/>
        </w:rPr>
        <w:t>de</w:t>
      </w:r>
      <w:r>
        <w:rPr>
          <w:color w:val="231F20"/>
          <w:spacing w:val="-6"/>
          <w:w w:val="105"/>
        </w:rPr>
        <w:t> </w:t>
      </w:r>
      <w:r>
        <w:rPr>
          <w:color w:val="231F20"/>
          <w:w w:val="105"/>
        </w:rPr>
        <w:t>estas casillas?</w:t>
      </w:r>
      <w:r>
        <w:rPr>
          <w:color w:val="231F20"/>
          <w:spacing w:val="-32"/>
          <w:w w:val="105"/>
        </w:rPr>
        <w:t> </w:t>
      </w:r>
      <w:r>
        <w:rPr>
          <w:color w:val="231F20"/>
          <w:w w:val="105"/>
        </w:rPr>
        <w:t>El</w:t>
      </w:r>
      <w:r>
        <w:rPr>
          <w:color w:val="231F20"/>
          <w:spacing w:val="-32"/>
          <w:w w:val="105"/>
        </w:rPr>
        <w:t> </w:t>
      </w:r>
      <w:r>
        <w:rPr>
          <w:color w:val="231F20"/>
          <w:w w:val="105"/>
        </w:rPr>
        <w:t>problema,</w:t>
      </w:r>
      <w:r>
        <w:rPr>
          <w:color w:val="231F20"/>
          <w:spacing w:val="-32"/>
          <w:w w:val="105"/>
        </w:rPr>
        <w:t> </w:t>
      </w:r>
      <w:r>
        <w:rPr>
          <w:color w:val="231F20"/>
          <w:w w:val="105"/>
        </w:rPr>
        <w:t>por</w:t>
      </w:r>
      <w:r>
        <w:rPr>
          <w:color w:val="231F20"/>
          <w:spacing w:val="-32"/>
          <w:w w:val="105"/>
        </w:rPr>
        <w:t> </w:t>
      </w:r>
      <w:r>
        <w:rPr>
          <w:color w:val="231F20"/>
          <w:w w:val="105"/>
        </w:rPr>
        <w:t>ejemplo,</w:t>
      </w:r>
      <w:r>
        <w:rPr>
          <w:color w:val="231F20"/>
          <w:spacing w:val="-32"/>
          <w:w w:val="105"/>
        </w:rPr>
        <w:t> </w:t>
      </w:r>
      <w:r>
        <w:rPr>
          <w:color w:val="231F20"/>
          <w:w w:val="105"/>
        </w:rPr>
        <w:t>con</w:t>
      </w:r>
      <w:r>
        <w:rPr>
          <w:color w:val="231F20"/>
          <w:spacing w:val="-32"/>
          <w:w w:val="105"/>
        </w:rPr>
        <w:t> </w:t>
      </w:r>
      <w:r>
        <w:rPr>
          <w:color w:val="231F20"/>
          <w:w w:val="105"/>
        </w:rPr>
        <w:t>la</w:t>
      </w:r>
      <w:r>
        <w:rPr>
          <w:color w:val="231F20"/>
          <w:spacing w:val="-32"/>
          <w:w w:val="105"/>
        </w:rPr>
        <w:t> </w:t>
      </w:r>
      <w:r>
        <w:rPr>
          <w:rFonts w:ascii="Arial" w:hAnsi="Arial"/>
          <w:i/>
          <w:color w:val="231F20"/>
          <w:w w:val="105"/>
        </w:rPr>
        <w:t>jihadización</w:t>
      </w:r>
      <w:r>
        <w:rPr>
          <w:rFonts w:ascii="Arial" w:hAnsi="Arial"/>
          <w:i/>
          <w:color w:val="231F20"/>
          <w:spacing w:val="-25"/>
          <w:w w:val="105"/>
        </w:rPr>
        <w:t> </w:t>
      </w:r>
      <w:r>
        <w:rPr>
          <w:color w:val="231F20"/>
          <w:w w:val="105"/>
        </w:rPr>
        <w:t>es</w:t>
      </w:r>
      <w:r>
        <w:rPr>
          <w:color w:val="231F20"/>
          <w:spacing w:val="-32"/>
          <w:w w:val="105"/>
        </w:rPr>
        <w:t> </w:t>
      </w:r>
      <w:r>
        <w:rPr>
          <w:color w:val="231F20"/>
          <w:w w:val="105"/>
        </w:rPr>
        <w:t>que</w:t>
      </w:r>
      <w:r>
        <w:rPr>
          <w:color w:val="231F20"/>
          <w:spacing w:val="-32"/>
          <w:w w:val="105"/>
        </w:rPr>
        <w:t> </w:t>
      </w:r>
      <w:r>
        <w:rPr>
          <w:color w:val="231F20"/>
          <w:w w:val="105"/>
        </w:rPr>
        <w:t>no</w:t>
      </w:r>
      <w:r>
        <w:rPr>
          <w:color w:val="231F20"/>
          <w:spacing w:val="-32"/>
          <w:w w:val="105"/>
        </w:rPr>
        <w:t> </w:t>
      </w:r>
      <w:r>
        <w:rPr>
          <w:color w:val="231F20"/>
          <w:w w:val="105"/>
        </w:rPr>
        <w:t>encontra- mos</w:t>
      </w:r>
      <w:r>
        <w:rPr>
          <w:color w:val="231F20"/>
          <w:spacing w:val="-37"/>
          <w:w w:val="105"/>
        </w:rPr>
        <w:t> </w:t>
      </w:r>
      <w:r>
        <w:rPr>
          <w:color w:val="231F20"/>
          <w:w w:val="105"/>
        </w:rPr>
        <w:t>en</w:t>
      </w:r>
      <w:r>
        <w:rPr>
          <w:color w:val="231F20"/>
          <w:spacing w:val="-37"/>
          <w:w w:val="105"/>
        </w:rPr>
        <w:t> </w:t>
      </w:r>
      <w:r>
        <w:rPr>
          <w:color w:val="231F20"/>
          <w:w w:val="105"/>
        </w:rPr>
        <w:t>ella</w:t>
      </w:r>
      <w:r>
        <w:rPr>
          <w:color w:val="231F20"/>
          <w:spacing w:val="-37"/>
          <w:w w:val="105"/>
        </w:rPr>
        <w:t> </w:t>
      </w:r>
      <w:r>
        <w:rPr>
          <w:color w:val="231F20"/>
          <w:w w:val="105"/>
        </w:rPr>
        <w:t>una</w:t>
      </w:r>
      <w:r>
        <w:rPr>
          <w:color w:val="231F20"/>
          <w:spacing w:val="-37"/>
          <w:w w:val="105"/>
        </w:rPr>
        <w:t> </w:t>
      </w:r>
      <w:r>
        <w:rPr>
          <w:color w:val="231F20"/>
          <w:w w:val="105"/>
        </w:rPr>
        <w:t>verdadera</w:t>
      </w:r>
      <w:r>
        <w:rPr>
          <w:color w:val="231F20"/>
          <w:spacing w:val="-37"/>
          <w:w w:val="105"/>
        </w:rPr>
        <w:t> </w:t>
      </w:r>
      <w:r>
        <w:rPr>
          <w:color w:val="231F20"/>
          <w:w w:val="105"/>
        </w:rPr>
        <w:t>diferencia,</w:t>
      </w:r>
      <w:r>
        <w:rPr>
          <w:color w:val="231F20"/>
          <w:spacing w:val="-37"/>
          <w:w w:val="105"/>
        </w:rPr>
        <w:t> </w:t>
      </w:r>
      <w:r>
        <w:rPr>
          <w:color w:val="231F20"/>
          <w:w w:val="105"/>
        </w:rPr>
        <w:t>pues</w:t>
      </w:r>
      <w:r>
        <w:rPr>
          <w:color w:val="231F20"/>
          <w:spacing w:val="-37"/>
          <w:w w:val="105"/>
        </w:rPr>
        <w:t> </w:t>
      </w:r>
      <w:r>
        <w:rPr>
          <w:color w:val="231F20"/>
          <w:w w:val="105"/>
        </w:rPr>
        <w:t>su</w:t>
      </w:r>
      <w:r>
        <w:rPr>
          <w:color w:val="231F20"/>
          <w:spacing w:val="-37"/>
          <w:w w:val="105"/>
        </w:rPr>
        <w:t> </w:t>
      </w:r>
      <w:r>
        <w:rPr>
          <w:color w:val="231F20"/>
          <w:w w:val="105"/>
        </w:rPr>
        <w:t>razón</w:t>
      </w:r>
      <w:r>
        <w:rPr>
          <w:color w:val="231F20"/>
          <w:spacing w:val="-37"/>
          <w:w w:val="105"/>
        </w:rPr>
        <w:t> </w:t>
      </w:r>
      <w:r>
        <w:rPr>
          <w:color w:val="231F20"/>
          <w:w w:val="105"/>
        </w:rPr>
        <w:t>de</w:t>
      </w:r>
      <w:r>
        <w:rPr>
          <w:color w:val="231F20"/>
          <w:spacing w:val="-37"/>
          <w:w w:val="105"/>
        </w:rPr>
        <w:t> </w:t>
      </w:r>
      <w:r>
        <w:rPr>
          <w:color w:val="231F20"/>
          <w:w w:val="105"/>
        </w:rPr>
        <w:t>ser</w:t>
      </w:r>
      <w:r>
        <w:rPr>
          <w:color w:val="231F20"/>
          <w:spacing w:val="-37"/>
          <w:w w:val="105"/>
        </w:rPr>
        <w:t> </w:t>
      </w:r>
      <w:r>
        <w:rPr>
          <w:color w:val="231F20"/>
          <w:w w:val="105"/>
        </w:rPr>
        <w:t>es</w:t>
      </w:r>
      <w:r>
        <w:rPr>
          <w:color w:val="231F20"/>
          <w:spacing w:val="-37"/>
          <w:w w:val="105"/>
        </w:rPr>
        <w:t> </w:t>
      </w:r>
      <w:r>
        <w:rPr>
          <w:color w:val="231F20"/>
          <w:w w:val="105"/>
        </w:rPr>
        <w:t>luchar</w:t>
      </w:r>
      <w:r>
        <w:rPr>
          <w:color w:val="231F20"/>
          <w:spacing w:val="-37"/>
          <w:w w:val="105"/>
        </w:rPr>
        <w:t> </w:t>
      </w:r>
      <w:r>
        <w:rPr>
          <w:color w:val="231F20"/>
          <w:w w:val="105"/>
        </w:rPr>
        <w:t>contra Occidente</w:t>
      </w:r>
      <w:r>
        <w:rPr>
          <w:color w:val="231F20"/>
          <w:spacing w:val="-7"/>
          <w:w w:val="105"/>
        </w:rPr>
        <w:t> </w:t>
      </w:r>
      <w:r>
        <w:rPr>
          <w:color w:val="231F20"/>
          <w:w w:val="105"/>
        </w:rPr>
        <w:t>y</w:t>
      </w:r>
      <w:r>
        <w:rPr>
          <w:color w:val="231F20"/>
          <w:spacing w:val="-7"/>
          <w:w w:val="105"/>
        </w:rPr>
        <w:t> </w:t>
      </w:r>
      <w:r>
        <w:rPr>
          <w:color w:val="231F20"/>
          <w:w w:val="105"/>
        </w:rPr>
        <w:t>el</w:t>
      </w:r>
      <w:r>
        <w:rPr>
          <w:color w:val="231F20"/>
          <w:spacing w:val="-7"/>
          <w:w w:val="105"/>
        </w:rPr>
        <w:t> </w:t>
      </w:r>
      <w:r>
        <w:rPr>
          <w:rFonts w:ascii="Arial" w:hAnsi="Arial"/>
          <w:i/>
          <w:color w:val="231F20"/>
          <w:w w:val="105"/>
        </w:rPr>
        <w:t>McMundo</w:t>
      </w:r>
      <w:r>
        <w:rPr>
          <w:color w:val="231F20"/>
          <w:w w:val="105"/>
        </w:rPr>
        <w:t>,</w:t>
      </w:r>
      <w:r>
        <w:rPr>
          <w:color w:val="231F20"/>
          <w:spacing w:val="-7"/>
          <w:w w:val="105"/>
        </w:rPr>
        <w:t> </w:t>
      </w:r>
      <w:r>
        <w:rPr>
          <w:color w:val="231F20"/>
          <w:w w:val="105"/>
        </w:rPr>
        <w:t>contra</w:t>
      </w:r>
      <w:r>
        <w:rPr>
          <w:color w:val="231F20"/>
          <w:spacing w:val="-7"/>
          <w:w w:val="105"/>
        </w:rPr>
        <w:t> </w:t>
      </w:r>
      <w:r>
        <w:rPr>
          <w:color w:val="231F20"/>
          <w:w w:val="105"/>
        </w:rPr>
        <w:t>lo</w:t>
      </w:r>
      <w:r>
        <w:rPr>
          <w:color w:val="231F20"/>
          <w:spacing w:val="-7"/>
          <w:w w:val="105"/>
        </w:rPr>
        <w:t> </w:t>
      </w:r>
      <w:r>
        <w:rPr>
          <w:color w:val="231F20"/>
          <w:w w:val="105"/>
        </w:rPr>
        <w:t>global,</w:t>
      </w:r>
      <w:r>
        <w:rPr>
          <w:color w:val="231F20"/>
          <w:spacing w:val="-7"/>
          <w:w w:val="105"/>
        </w:rPr>
        <w:t> </w:t>
      </w:r>
      <w:r>
        <w:rPr>
          <w:color w:val="231F20"/>
          <w:w w:val="105"/>
        </w:rPr>
        <w:t>pero</w:t>
      </w:r>
      <w:r>
        <w:rPr>
          <w:color w:val="231F20"/>
          <w:spacing w:val="-7"/>
          <w:w w:val="105"/>
        </w:rPr>
        <w:t> </w:t>
      </w:r>
      <w:r>
        <w:rPr>
          <w:color w:val="231F20"/>
          <w:w w:val="105"/>
        </w:rPr>
        <w:t>al</w:t>
      </w:r>
      <w:r>
        <w:rPr>
          <w:color w:val="231F20"/>
          <w:spacing w:val="-7"/>
          <w:w w:val="105"/>
        </w:rPr>
        <w:t> </w:t>
      </w:r>
      <w:r>
        <w:rPr>
          <w:color w:val="231F20"/>
          <w:w w:val="105"/>
        </w:rPr>
        <w:t>hacerlo</w:t>
      </w:r>
      <w:r>
        <w:rPr>
          <w:color w:val="231F20"/>
          <w:spacing w:val="-7"/>
          <w:w w:val="105"/>
        </w:rPr>
        <w:t> </w:t>
      </w:r>
      <w:r>
        <w:rPr>
          <w:color w:val="231F20"/>
          <w:w w:val="105"/>
        </w:rPr>
        <w:t>se</w:t>
      </w:r>
      <w:r>
        <w:rPr>
          <w:color w:val="231F20"/>
          <w:spacing w:val="-7"/>
          <w:w w:val="105"/>
        </w:rPr>
        <w:t> </w:t>
      </w:r>
      <w:r>
        <w:rPr>
          <w:color w:val="231F20"/>
          <w:w w:val="105"/>
        </w:rPr>
        <w:t>hace</w:t>
      </w:r>
      <w:r>
        <w:rPr>
          <w:color w:val="231F20"/>
          <w:spacing w:val="-7"/>
          <w:w w:val="105"/>
        </w:rPr>
        <w:t> </w:t>
      </w:r>
      <w:r>
        <w:rPr>
          <w:color w:val="231F20"/>
          <w:w w:val="105"/>
        </w:rPr>
        <w:t>com- plementaria</w:t>
      </w:r>
      <w:r>
        <w:rPr>
          <w:color w:val="231F20"/>
          <w:spacing w:val="-19"/>
          <w:w w:val="105"/>
        </w:rPr>
        <w:t> </w:t>
      </w:r>
      <w:r>
        <w:rPr>
          <w:color w:val="231F20"/>
          <w:w w:val="105"/>
        </w:rPr>
        <w:t>de</w:t>
      </w:r>
      <w:r>
        <w:rPr>
          <w:color w:val="231F20"/>
          <w:spacing w:val="-19"/>
          <w:w w:val="105"/>
        </w:rPr>
        <w:t> </w:t>
      </w:r>
      <w:r>
        <w:rPr>
          <w:color w:val="231F20"/>
          <w:w w:val="105"/>
        </w:rPr>
        <w:t>aquello</w:t>
      </w:r>
      <w:r>
        <w:rPr>
          <w:color w:val="231F20"/>
          <w:spacing w:val="-19"/>
          <w:w w:val="105"/>
        </w:rPr>
        <w:t> </w:t>
      </w:r>
      <w:r>
        <w:rPr>
          <w:color w:val="231F20"/>
          <w:w w:val="105"/>
        </w:rPr>
        <w:t>contra</w:t>
      </w:r>
      <w:r>
        <w:rPr>
          <w:color w:val="231F20"/>
          <w:spacing w:val="-19"/>
          <w:w w:val="105"/>
        </w:rPr>
        <w:t> </w:t>
      </w:r>
      <w:r>
        <w:rPr>
          <w:color w:val="231F20"/>
          <w:w w:val="105"/>
        </w:rPr>
        <w:t>lo</w:t>
      </w:r>
      <w:r>
        <w:rPr>
          <w:color w:val="231F20"/>
          <w:spacing w:val="-19"/>
          <w:w w:val="105"/>
        </w:rPr>
        <w:t> </w:t>
      </w:r>
      <w:r>
        <w:rPr>
          <w:color w:val="231F20"/>
          <w:w w:val="105"/>
        </w:rPr>
        <w:t>cual</w:t>
      </w:r>
      <w:r>
        <w:rPr>
          <w:color w:val="231F20"/>
          <w:spacing w:val="-19"/>
          <w:w w:val="105"/>
        </w:rPr>
        <w:t> </w:t>
      </w:r>
      <w:r>
        <w:rPr>
          <w:color w:val="231F20"/>
          <w:w w:val="105"/>
        </w:rPr>
        <w:t>lucha.</w:t>
      </w:r>
      <w:r>
        <w:rPr>
          <w:color w:val="231F20"/>
          <w:spacing w:val="-19"/>
          <w:w w:val="105"/>
        </w:rPr>
        <w:t> </w:t>
      </w:r>
      <w:r>
        <w:rPr>
          <w:color w:val="231F20"/>
          <w:w w:val="105"/>
        </w:rPr>
        <w:t>¿No</w:t>
      </w:r>
      <w:r>
        <w:rPr>
          <w:color w:val="231F20"/>
          <w:spacing w:val="-19"/>
          <w:w w:val="105"/>
        </w:rPr>
        <w:t> </w:t>
      </w:r>
      <w:r>
        <w:rPr>
          <w:color w:val="231F20"/>
          <w:w w:val="105"/>
        </w:rPr>
        <w:t>es</w:t>
      </w:r>
      <w:r>
        <w:rPr>
          <w:color w:val="231F20"/>
          <w:spacing w:val="-19"/>
          <w:w w:val="105"/>
        </w:rPr>
        <w:t> </w:t>
      </w:r>
      <w:r>
        <w:rPr>
          <w:color w:val="231F20"/>
          <w:w w:val="105"/>
        </w:rPr>
        <w:t>este</w:t>
      </w:r>
      <w:r>
        <w:rPr>
          <w:color w:val="231F20"/>
          <w:spacing w:val="-19"/>
          <w:w w:val="105"/>
        </w:rPr>
        <w:t> </w:t>
      </w:r>
      <w:r>
        <w:rPr>
          <w:color w:val="231F20"/>
          <w:w w:val="105"/>
        </w:rPr>
        <w:t>acaso</w:t>
      </w:r>
      <w:r>
        <w:rPr>
          <w:color w:val="231F20"/>
          <w:spacing w:val="-19"/>
          <w:w w:val="105"/>
        </w:rPr>
        <w:t> </w:t>
      </w:r>
      <w:r>
        <w:rPr>
          <w:color w:val="231F20"/>
          <w:w w:val="105"/>
        </w:rPr>
        <w:t>uno</w:t>
      </w:r>
      <w:r>
        <w:rPr>
          <w:color w:val="231F20"/>
          <w:spacing w:val="-19"/>
          <w:w w:val="105"/>
        </w:rPr>
        <w:t> </w:t>
      </w:r>
      <w:r>
        <w:rPr>
          <w:color w:val="231F20"/>
          <w:w w:val="105"/>
        </w:rPr>
        <w:t>de</w:t>
      </w:r>
      <w:r>
        <w:rPr>
          <w:color w:val="231F20"/>
          <w:spacing w:val="-19"/>
          <w:w w:val="105"/>
        </w:rPr>
        <w:t> </w:t>
      </w:r>
      <w:r>
        <w:rPr>
          <w:color w:val="231F20"/>
          <w:w w:val="105"/>
        </w:rPr>
        <w:t>los peligros</w:t>
      </w:r>
      <w:r>
        <w:rPr>
          <w:color w:val="231F20"/>
          <w:spacing w:val="-28"/>
          <w:w w:val="105"/>
        </w:rPr>
        <w:t> </w:t>
      </w:r>
      <w:r>
        <w:rPr>
          <w:color w:val="231F20"/>
          <w:w w:val="105"/>
        </w:rPr>
        <w:t>de</w:t>
      </w:r>
      <w:r>
        <w:rPr>
          <w:color w:val="231F20"/>
          <w:spacing w:val="-28"/>
          <w:w w:val="105"/>
        </w:rPr>
        <w:t> </w:t>
      </w:r>
      <w:r>
        <w:rPr>
          <w:color w:val="231F20"/>
          <w:w w:val="105"/>
        </w:rPr>
        <w:t>naturalizar</w:t>
      </w:r>
      <w:r>
        <w:rPr>
          <w:color w:val="231F20"/>
          <w:spacing w:val="-28"/>
          <w:w w:val="105"/>
        </w:rPr>
        <w:t> </w:t>
      </w:r>
      <w:r>
        <w:rPr>
          <w:color w:val="231F20"/>
          <w:w w:val="105"/>
        </w:rPr>
        <w:t>las</w:t>
      </w:r>
      <w:r>
        <w:rPr>
          <w:color w:val="231F20"/>
          <w:spacing w:val="-28"/>
          <w:w w:val="105"/>
        </w:rPr>
        <w:t> </w:t>
      </w:r>
      <w:r>
        <w:rPr>
          <w:color w:val="231F20"/>
          <w:w w:val="105"/>
        </w:rPr>
        <w:t>paradojas?</w:t>
      </w:r>
      <w:r>
        <w:rPr>
          <w:color w:val="231F20"/>
          <w:spacing w:val="-28"/>
          <w:w w:val="105"/>
        </w:rPr>
        <w:t> </w:t>
      </w:r>
      <w:r>
        <w:rPr>
          <w:color w:val="231F20"/>
          <w:w w:val="105"/>
        </w:rPr>
        <w:t>Es</w:t>
      </w:r>
      <w:r>
        <w:rPr>
          <w:color w:val="231F20"/>
          <w:spacing w:val="-28"/>
          <w:w w:val="105"/>
        </w:rPr>
        <w:t> </w:t>
      </w:r>
      <w:r>
        <w:rPr>
          <w:color w:val="231F20"/>
          <w:spacing w:val="-4"/>
          <w:w w:val="105"/>
        </w:rPr>
        <w:t>decir,</w:t>
      </w:r>
      <w:r>
        <w:rPr>
          <w:color w:val="231F20"/>
          <w:spacing w:val="-28"/>
          <w:w w:val="105"/>
        </w:rPr>
        <w:t> </w:t>
      </w:r>
      <w:r>
        <w:rPr>
          <w:color w:val="231F20"/>
          <w:w w:val="105"/>
        </w:rPr>
        <w:t>ver</w:t>
      </w:r>
      <w:r>
        <w:rPr>
          <w:color w:val="231F20"/>
          <w:spacing w:val="-28"/>
          <w:w w:val="105"/>
        </w:rPr>
        <w:t> </w:t>
      </w:r>
      <w:r>
        <w:rPr>
          <w:color w:val="231F20"/>
          <w:w w:val="105"/>
        </w:rPr>
        <w:t>que</w:t>
      </w:r>
      <w:r>
        <w:rPr>
          <w:color w:val="231F20"/>
          <w:spacing w:val="-28"/>
          <w:w w:val="105"/>
        </w:rPr>
        <w:t> </w:t>
      </w:r>
      <w:r>
        <w:rPr>
          <w:color w:val="231F20"/>
          <w:w w:val="105"/>
        </w:rPr>
        <w:t>las</w:t>
      </w:r>
      <w:r>
        <w:rPr>
          <w:color w:val="231F20"/>
          <w:spacing w:val="-28"/>
          <w:w w:val="105"/>
        </w:rPr>
        <w:t> </w:t>
      </w:r>
      <w:r>
        <w:rPr>
          <w:color w:val="231F20"/>
          <w:w w:val="105"/>
        </w:rPr>
        <w:t>contradicciones están</w:t>
      </w:r>
      <w:r>
        <w:rPr>
          <w:color w:val="231F20"/>
          <w:spacing w:val="-18"/>
          <w:w w:val="105"/>
        </w:rPr>
        <w:t> </w:t>
      </w:r>
      <w:r>
        <w:rPr>
          <w:color w:val="231F20"/>
          <w:w w:val="105"/>
        </w:rPr>
        <w:t>formadas</w:t>
      </w:r>
      <w:r>
        <w:rPr>
          <w:color w:val="231F20"/>
          <w:spacing w:val="-18"/>
          <w:w w:val="105"/>
        </w:rPr>
        <w:t> </w:t>
      </w:r>
      <w:r>
        <w:rPr>
          <w:color w:val="231F20"/>
          <w:w w:val="105"/>
        </w:rPr>
        <w:t>por</w:t>
      </w:r>
      <w:r>
        <w:rPr>
          <w:color w:val="231F20"/>
          <w:spacing w:val="-18"/>
          <w:w w:val="105"/>
        </w:rPr>
        <w:t> </w:t>
      </w:r>
      <w:r>
        <w:rPr>
          <w:color w:val="231F20"/>
          <w:w w:val="105"/>
        </w:rPr>
        <w:t>opuestos</w:t>
      </w:r>
      <w:r>
        <w:rPr>
          <w:color w:val="231F20"/>
          <w:spacing w:val="-18"/>
          <w:w w:val="105"/>
        </w:rPr>
        <w:t> </w:t>
      </w:r>
      <w:r>
        <w:rPr>
          <w:color w:val="231F20"/>
          <w:w w:val="105"/>
        </w:rPr>
        <w:t>definibles</w:t>
      </w:r>
      <w:r>
        <w:rPr>
          <w:color w:val="231F20"/>
          <w:spacing w:val="-18"/>
          <w:w w:val="105"/>
        </w:rPr>
        <w:t> </w:t>
      </w:r>
      <w:r>
        <w:rPr>
          <w:color w:val="231F20"/>
          <w:w w:val="105"/>
        </w:rPr>
        <w:t>y</w:t>
      </w:r>
      <w:r>
        <w:rPr>
          <w:color w:val="231F20"/>
          <w:spacing w:val="-18"/>
          <w:w w:val="105"/>
        </w:rPr>
        <w:t> </w:t>
      </w:r>
      <w:r>
        <w:rPr>
          <w:color w:val="231F20"/>
          <w:w w:val="105"/>
        </w:rPr>
        <w:t>delimitados,</w:t>
      </w:r>
      <w:r>
        <w:rPr>
          <w:color w:val="231F20"/>
          <w:spacing w:val="-18"/>
          <w:w w:val="105"/>
        </w:rPr>
        <w:t> </w:t>
      </w:r>
      <w:r>
        <w:rPr>
          <w:color w:val="231F20"/>
          <w:w w:val="105"/>
        </w:rPr>
        <w:t>y</w:t>
      </w:r>
      <w:r>
        <w:rPr>
          <w:color w:val="231F20"/>
          <w:spacing w:val="-18"/>
          <w:w w:val="105"/>
        </w:rPr>
        <w:t> </w:t>
      </w:r>
      <w:r>
        <w:rPr>
          <w:color w:val="231F20"/>
          <w:w w:val="105"/>
        </w:rPr>
        <w:t>que</w:t>
      </w:r>
      <w:r>
        <w:rPr>
          <w:color w:val="231F20"/>
          <w:spacing w:val="-18"/>
          <w:w w:val="105"/>
        </w:rPr>
        <w:t> </w:t>
      </w:r>
      <w:r>
        <w:rPr>
          <w:color w:val="231F20"/>
          <w:w w:val="105"/>
        </w:rPr>
        <w:t>la</w:t>
      </w:r>
      <w:r>
        <w:rPr>
          <w:color w:val="231F20"/>
          <w:spacing w:val="-18"/>
          <w:w w:val="105"/>
        </w:rPr>
        <w:t> </w:t>
      </w:r>
      <w:r>
        <w:rPr>
          <w:color w:val="231F20"/>
          <w:w w:val="105"/>
        </w:rPr>
        <w:t>diferencia sólo</w:t>
      </w:r>
      <w:r>
        <w:rPr>
          <w:color w:val="231F20"/>
          <w:spacing w:val="-24"/>
          <w:w w:val="105"/>
        </w:rPr>
        <w:t> </w:t>
      </w:r>
      <w:r>
        <w:rPr>
          <w:color w:val="231F20"/>
          <w:w w:val="105"/>
        </w:rPr>
        <w:t>puede</w:t>
      </w:r>
      <w:r>
        <w:rPr>
          <w:color w:val="231F20"/>
          <w:spacing w:val="-24"/>
          <w:w w:val="105"/>
        </w:rPr>
        <w:t> </w:t>
      </w:r>
      <w:r>
        <w:rPr>
          <w:color w:val="231F20"/>
          <w:w w:val="105"/>
        </w:rPr>
        <w:t>aparecer</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mera</w:t>
      </w:r>
      <w:r>
        <w:rPr>
          <w:color w:val="231F20"/>
          <w:spacing w:val="-24"/>
          <w:w w:val="105"/>
        </w:rPr>
        <w:t> </w:t>
      </w:r>
      <w:r>
        <w:rPr>
          <w:color w:val="231F20"/>
          <w:w w:val="105"/>
        </w:rPr>
        <w:t>oposición,</w:t>
      </w:r>
      <w:r>
        <w:rPr>
          <w:color w:val="231F20"/>
          <w:spacing w:val="-24"/>
          <w:w w:val="105"/>
        </w:rPr>
        <w:t> </w:t>
      </w:r>
      <w:r>
        <w:rPr>
          <w:color w:val="231F20"/>
          <w:w w:val="105"/>
        </w:rPr>
        <w:t>¿no</w:t>
      </w:r>
      <w:r>
        <w:rPr>
          <w:color w:val="231F20"/>
          <w:spacing w:val="-24"/>
          <w:w w:val="105"/>
        </w:rPr>
        <w:t> </w:t>
      </w:r>
      <w:r>
        <w:rPr>
          <w:color w:val="231F20"/>
          <w:w w:val="105"/>
        </w:rPr>
        <w:t>es</w:t>
      </w:r>
      <w:r>
        <w:rPr>
          <w:color w:val="231F20"/>
          <w:spacing w:val="-24"/>
          <w:w w:val="105"/>
        </w:rPr>
        <w:t> </w:t>
      </w:r>
      <w:r>
        <w:rPr>
          <w:color w:val="231F20"/>
          <w:w w:val="105"/>
        </w:rPr>
        <w:t>una</w:t>
      </w:r>
      <w:r>
        <w:rPr>
          <w:color w:val="231F20"/>
          <w:spacing w:val="-24"/>
          <w:w w:val="105"/>
        </w:rPr>
        <w:t> </w:t>
      </w:r>
      <w:r>
        <w:rPr>
          <w:color w:val="231F20"/>
          <w:w w:val="105"/>
        </w:rPr>
        <w:t>manera</w:t>
      </w:r>
      <w:r>
        <w:rPr>
          <w:color w:val="231F20"/>
          <w:spacing w:val="-24"/>
          <w:w w:val="105"/>
        </w:rPr>
        <w:t> </w:t>
      </w:r>
      <w:r>
        <w:rPr>
          <w:color w:val="231F20"/>
          <w:w w:val="105"/>
        </w:rPr>
        <w:t>de</w:t>
      </w:r>
      <w:r>
        <w:rPr>
          <w:color w:val="231F20"/>
          <w:spacing w:val="-24"/>
          <w:w w:val="105"/>
        </w:rPr>
        <w:t> </w:t>
      </w:r>
      <w:r>
        <w:rPr>
          <w:color w:val="231F20"/>
          <w:w w:val="105"/>
        </w:rPr>
        <w:t>desacti- var</w:t>
      </w:r>
      <w:r>
        <w:rPr>
          <w:color w:val="231F20"/>
          <w:spacing w:val="-31"/>
          <w:w w:val="105"/>
        </w:rPr>
        <w:t> </w:t>
      </w:r>
      <w:r>
        <w:rPr>
          <w:color w:val="231F20"/>
          <w:w w:val="105"/>
        </w:rPr>
        <w:t>dichas</w:t>
      </w:r>
      <w:r>
        <w:rPr>
          <w:color w:val="231F20"/>
          <w:spacing w:val="-31"/>
          <w:w w:val="105"/>
        </w:rPr>
        <w:t> </w:t>
      </w:r>
      <w:r>
        <w:rPr>
          <w:color w:val="231F20"/>
          <w:w w:val="105"/>
        </w:rPr>
        <w:t>aporías</w:t>
      </w:r>
      <w:r>
        <w:rPr>
          <w:color w:val="231F20"/>
          <w:spacing w:val="-31"/>
          <w:w w:val="105"/>
        </w:rPr>
        <w:t> </w:t>
      </w:r>
      <w:r>
        <w:rPr>
          <w:color w:val="231F20"/>
          <w:w w:val="105"/>
        </w:rPr>
        <w:t>y</w:t>
      </w:r>
      <w:r>
        <w:rPr>
          <w:color w:val="231F20"/>
          <w:spacing w:val="-31"/>
          <w:w w:val="105"/>
        </w:rPr>
        <w:t> </w:t>
      </w:r>
      <w:r>
        <w:rPr>
          <w:color w:val="231F20"/>
          <w:w w:val="105"/>
        </w:rPr>
        <w:t>volverlas</w:t>
      </w:r>
      <w:r>
        <w:rPr>
          <w:color w:val="231F20"/>
          <w:spacing w:val="-31"/>
          <w:w w:val="105"/>
        </w:rPr>
        <w:t> </w:t>
      </w:r>
      <w:r>
        <w:rPr>
          <w:color w:val="231F20"/>
          <w:w w:val="105"/>
        </w:rPr>
        <w:t>amables</w:t>
      </w:r>
      <w:r>
        <w:rPr>
          <w:color w:val="231F20"/>
          <w:spacing w:val="-31"/>
          <w:w w:val="105"/>
        </w:rPr>
        <w:t> </w:t>
      </w:r>
      <w:r>
        <w:rPr>
          <w:color w:val="231F20"/>
          <w:w w:val="105"/>
        </w:rPr>
        <w:t>e</w:t>
      </w:r>
      <w:r>
        <w:rPr>
          <w:color w:val="231F20"/>
          <w:spacing w:val="-31"/>
          <w:w w:val="105"/>
        </w:rPr>
        <w:t> </w:t>
      </w:r>
      <w:r>
        <w:rPr>
          <w:color w:val="231F20"/>
          <w:w w:val="105"/>
        </w:rPr>
        <w:t>incluyentes,</w:t>
      </w:r>
      <w:r>
        <w:rPr>
          <w:color w:val="231F20"/>
          <w:spacing w:val="-31"/>
          <w:w w:val="105"/>
        </w:rPr>
        <w:t> </w:t>
      </w:r>
      <w:r>
        <w:rPr>
          <w:color w:val="231F20"/>
          <w:w w:val="105"/>
        </w:rPr>
        <w:t>a</w:t>
      </w:r>
      <w:r>
        <w:rPr>
          <w:color w:val="231F20"/>
          <w:spacing w:val="-31"/>
          <w:w w:val="105"/>
        </w:rPr>
        <w:t> </w:t>
      </w:r>
      <w:r>
        <w:rPr>
          <w:color w:val="231F20"/>
          <w:w w:val="105"/>
        </w:rPr>
        <w:t>la</w:t>
      </w:r>
      <w:r>
        <w:rPr>
          <w:color w:val="231F20"/>
          <w:spacing w:val="-31"/>
          <w:w w:val="105"/>
        </w:rPr>
        <w:t> </w:t>
      </w:r>
      <w:r>
        <w:rPr>
          <w:color w:val="231F20"/>
          <w:w w:val="105"/>
        </w:rPr>
        <w:t>vez</w:t>
      </w:r>
      <w:r>
        <w:rPr>
          <w:color w:val="231F20"/>
          <w:spacing w:val="-31"/>
          <w:w w:val="105"/>
        </w:rPr>
        <w:t> </w:t>
      </w:r>
      <w:r>
        <w:rPr>
          <w:color w:val="231F20"/>
          <w:w w:val="105"/>
        </w:rPr>
        <w:t>que</w:t>
      </w:r>
      <w:r>
        <w:rPr>
          <w:color w:val="231F20"/>
          <w:spacing w:val="-31"/>
          <w:w w:val="105"/>
        </w:rPr>
        <w:t> </w:t>
      </w:r>
      <w:r>
        <w:rPr>
          <w:color w:val="231F20"/>
          <w:w w:val="105"/>
        </w:rPr>
        <w:t>unívocas y</w:t>
      </w:r>
      <w:r>
        <w:rPr>
          <w:color w:val="231F20"/>
          <w:spacing w:val="-25"/>
          <w:w w:val="105"/>
        </w:rPr>
        <w:t> </w:t>
      </w:r>
      <w:r>
        <w:rPr>
          <w:color w:val="231F20"/>
          <w:w w:val="105"/>
        </w:rPr>
        <w:t>homogeneizadoras?</w:t>
      </w:r>
      <w:r>
        <w:rPr>
          <w:color w:val="231F20"/>
          <w:spacing w:val="-24"/>
          <w:w w:val="105"/>
        </w:rPr>
        <w:t> </w:t>
      </w:r>
      <w:r>
        <w:rPr>
          <w:color w:val="231F20"/>
          <w:w w:val="105"/>
        </w:rPr>
        <w:t>¿No</w:t>
      </w:r>
      <w:r>
        <w:rPr>
          <w:color w:val="231F20"/>
          <w:spacing w:val="-25"/>
          <w:w w:val="105"/>
        </w:rPr>
        <w:t> </w:t>
      </w:r>
      <w:r>
        <w:rPr>
          <w:color w:val="231F20"/>
          <w:w w:val="105"/>
        </w:rPr>
        <w:t>es</w:t>
      </w:r>
      <w:r>
        <w:rPr>
          <w:color w:val="231F20"/>
          <w:spacing w:val="-25"/>
          <w:w w:val="105"/>
        </w:rPr>
        <w:t> </w:t>
      </w:r>
      <w:r>
        <w:rPr>
          <w:color w:val="231F20"/>
          <w:w w:val="105"/>
        </w:rPr>
        <w:t>una</w:t>
      </w:r>
      <w:r>
        <w:rPr>
          <w:color w:val="231F20"/>
          <w:spacing w:val="-25"/>
          <w:w w:val="105"/>
        </w:rPr>
        <w:t> </w:t>
      </w:r>
      <w:r>
        <w:rPr>
          <w:color w:val="231F20"/>
          <w:w w:val="105"/>
        </w:rPr>
        <w:t>manera</w:t>
      </w:r>
      <w:r>
        <w:rPr>
          <w:color w:val="231F20"/>
          <w:spacing w:val="-25"/>
          <w:w w:val="105"/>
        </w:rPr>
        <w:t> </w:t>
      </w:r>
      <w:r>
        <w:rPr>
          <w:color w:val="231F20"/>
          <w:w w:val="105"/>
        </w:rPr>
        <w:t>también</w:t>
      </w:r>
      <w:r>
        <w:rPr>
          <w:color w:val="231F20"/>
          <w:spacing w:val="-25"/>
          <w:w w:val="105"/>
        </w:rPr>
        <w:t> </w:t>
      </w:r>
      <w:r>
        <w:rPr>
          <w:color w:val="231F20"/>
          <w:w w:val="105"/>
        </w:rPr>
        <w:t>de</w:t>
      </w:r>
      <w:r>
        <w:rPr>
          <w:color w:val="231F20"/>
          <w:spacing w:val="-25"/>
          <w:w w:val="105"/>
        </w:rPr>
        <w:t> </w:t>
      </w:r>
      <w:r>
        <w:rPr>
          <w:color w:val="231F20"/>
          <w:w w:val="105"/>
        </w:rPr>
        <w:t>desactivar</w:t>
      </w:r>
      <w:r>
        <w:rPr>
          <w:color w:val="231F20"/>
          <w:spacing w:val="-25"/>
          <w:w w:val="105"/>
        </w:rPr>
        <w:t> </w:t>
      </w:r>
      <w:r>
        <w:rPr>
          <w:color w:val="231F20"/>
          <w:w w:val="105"/>
        </w:rPr>
        <w:t>la</w:t>
      </w:r>
      <w:r>
        <w:rPr>
          <w:color w:val="231F20"/>
          <w:spacing w:val="-24"/>
          <w:w w:val="105"/>
        </w:rPr>
        <w:t> </w:t>
      </w:r>
      <w:r>
        <w:rPr>
          <w:color w:val="231F20"/>
          <w:w w:val="105"/>
        </w:rPr>
        <w:t>crítica y</w:t>
      </w:r>
      <w:r>
        <w:rPr>
          <w:color w:val="231F20"/>
          <w:spacing w:val="-30"/>
          <w:w w:val="105"/>
        </w:rPr>
        <w:t> </w:t>
      </w:r>
      <w:r>
        <w:rPr>
          <w:color w:val="231F20"/>
          <w:w w:val="105"/>
        </w:rPr>
        <w:t>la</w:t>
      </w:r>
      <w:r>
        <w:rPr>
          <w:color w:val="231F20"/>
          <w:spacing w:val="-30"/>
          <w:w w:val="105"/>
        </w:rPr>
        <w:t> </w:t>
      </w:r>
      <w:r>
        <w:rPr>
          <w:color w:val="231F20"/>
          <w:w w:val="105"/>
        </w:rPr>
        <w:t>posibilidad</w:t>
      </w:r>
      <w:r>
        <w:rPr>
          <w:color w:val="231F20"/>
          <w:spacing w:val="-30"/>
          <w:w w:val="105"/>
        </w:rPr>
        <w:t> </w:t>
      </w:r>
      <w:r>
        <w:rPr>
          <w:color w:val="231F20"/>
          <w:w w:val="105"/>
        </w:rPr>
        <w:t>de</w:t>
      </w:r>
      <w:r>
        <w:rPr>
          <w:color w:val="231F20"/>
          <w:spacing w:val="-30"/>
          <w:w w:val="105"/>
        </w:rPr>
        <w:t> </w:t>
      </w:r>
      <w:r>
        <w:rPr>
          <w:color w:val="231F20"/>
          <w:w w:val="105"/>
        </w:rPr>
        <w:t>resistencia?</w:t>
      </w:r>
      <w:r>
        <w:rPr>
          <w:color w:val="231F20"/>
          <w:spacing w:val="-30"/>
          <w:w w:val="105"/>
        </w:rPr>
        <w:t> </w:t>
      </w:r>
      <w:r>
        <w:rPr>
          <w:color w:val="231F20"/>
          <w:w w:val="105"/>
        </w:rPr>
        <w:t>Desde</w:t>
      </w:r>
      <w:r>
        <w:rPr>
          <w:color w:val="231F20"/>
          <w:spacing w:val="-30"/>
          <w:w w:val="105"/>
        </w:rPr>
        <w:t> </w:t>
      </w:r>
      <w:r>
        <w:rPr>
          <w:color w:val="231F20"/>
          <w:w w:val="105"/>
        </w:rPr>
        <w:t>una</w:t>
      </w:r>
      <w:r>
        <w:rPr>
          <w:color w:val="231F20"/>
          <w:spacing w:val="-30"/>
          <w:w w:val="105"/>
        </w:rPr>
        <w:t> </w:t>
      </w:r>
      <w:r>
        <w:rPr>
          <w:color w:val="231F20"/>
          <w:w w:val="105"/>
        </w:rPr>
        <w:t>perspectiva</w:t>
      </w:r>
      <w:r>
        <w:rPr>
          <w:color w:val="231F20"/>
          <w:spacing w:val="-30"/>
          <w:w w:val="105"/>
        </w:rPr>
        <w:t> </w:t>
      </w:r>
      <w:r>
        <w:rPr>
          <w:color w:val="231F20"/>
          <w:w w:val="105"/>
        </w:rPr>
        <w:t>tal,</w:t>
      </w:r>
      <w:r>
        <w:rPr>
          <w:color w:val="231F20"/>
          <w:spacing w:val="-30"/>
          <w:w w:val="105"/>
        </w:rPr>
        <w:t> </w:t>
      </w:r>
      <w:r>
        <w:rPr>
          <w:color w:val="231F20"/>
          <w:w w:val="105"/>
        </w:rPr>
        <w:t>lo</w:t>
      </w:r>
      <w:r>
        <w:rPr>
          <w:color w:val="231F20"/>
          <w:spacing w:val="-30"/>
          <w:w w:val="105"/>
        </w:rPr>
        <w:t> </w:t>
      </w:r>
      <w:r>
        <w:rPr>
          <w:color w:val="231F20"/>
          <w:w w:val="105"/>
        </w:rPr>
        <w:t>local,</w:t>
      </w:r>
      <w:r>
        <w:rPr>
          <w:color w:val="231F20"/>
          <w:spacing w:val="-30"/>
          <w:w w:val="105"/>
        </w:rPr>
        <w:t> </w:t>
      </w:r>
      <w:r>
        <w:rPr>
          <w:color w:val="231F20"/>
          <w:w w:val="105"/>
        </w:rPr>
        <w:t>lo</w:t>
      </w:r>
      <w:r>
        <w:rPr>
          <w:color w:val="231F20"/>
          <w:spacing w:val="-30"/>
          <w:w w:val="105"/>
        </w:rPr>
        <w:t> </w:t>
      </w:r>
      <w:r>
        <w:rPr>
          <w:color w:val="231F20"/>
          <w:w w:val="105"/>
        </w:rPr>
        <w:t>tribal, lo</w:t>
      </w:r>
      <w:r>
        <w:rPr>
          <w:color w:val="231F20"/>
          <w:spacing w:val="-13"/>
          <w:w w:val="105"/>
        </w:rPr>
        <w:t> </w:t>
      </w:r>
      <w:r>
        <w:rPr>
          <w:color w:val="231F20"/>
          <w:spacing w:val="-3"/>
          <w:w w:val="105"/>
        </w:rPr>
        <w:t>singular,</w:t>
      </w:r>
      <w:r>
        <w:rPr>
          <w:color w:val="231F20"/>
          <w:spacing w:val="-13"/>
          <w:w w:val="105"/>
        </w:rPr>
        <w:t> </w:t>
      </w:r>
      <w:r>
        <w:rPr>
          <w:color w:val="231F20"/>
          <w:w w:val="105"/>
        </w:rPr>
        <w:t>verían</w:t>
      </w:r>
      <w:r>
        <w:rPr>
          <w:color w:val="231F20"/>
          <w:spacing w:val="-13"/>
          <w:w w:val="105"/>
        </w:rPr>
        <w:t> </w:t>
      </w:r>
      <w:r>
        <w:rPr>
          <w:color w:val="231F20"/>
          <w:w w:val="105"/>
        </w:rPr>
        <w:t>en</w:t>
      </w:r>
      <w:r>
        <w:rPr>
          <w:color w:val="231F20"/>
          <w:spacing w:val="-13"/>
          <w:w w:val="105"/>
        </w:rPr>
        <w:t> </w:t>
      </w:r>
      <w:r>
        <w:rPr>
          <w:color w:val="231F20"/>
          <w:w w:val="105"/>
        </w:rPr>
        <w:t>riesgo</w:t>
      </w:r>
      <w:r>
        <w:rPr>
          <w:color w:val="231F20"/>
          <w:spacing w:val="-13"/>
          <w:w w:val="105"/>
        </w:rPr>
        <w:t> </w:t>
      </w:r>
      <w:r>
        <w:rPr>
          <w:color w:val="231F20"/>
          <w:w w:val="105"/>
        </w:rPr>
        <w:t>su</w:t>
      </w:r>
      <w:r>
        <w:rPr>
          <w:color w:val="231F20"/>
          <w:spacing w:val="-13"/>
          <w:w w:val="105"/>
        </w:rPr>
        <w:t> </w:t>
      </w:r>
      <w:r>
        <w:rPr>
          <w:color w:val="231F20"/>
          <w:w w:val="105"/>
        </w:rPr>
        <w:t>diferencia</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posibilidad</w:t>
      </w:r>
      <w:r>
        <w:rPr>
          <w:color w:val="231F20"/>
          <w:spacing w:val="-13"/>
          <w:w w:val="105"/>
        </w:rPr>
        <w:t> </w:t>
      </w:r>
      <w:r>
        <w:rPr>
          <w:color w:val="231F20"/>
          <w:w w:val="105"/>
        </w:rPr>
        <w:t>de</w:t>
      </w:r>
      <w:r>
        <w:rPr>
          <w:color w:val="231F20"/>
          <w:spacing w:val="-13"/>
          <w:w w:val="105"/>
        </w:rPr>
        <w:t> </w:t>
      </w:r>
      <w:r>
        <w:rPr>
          <w:color w:val="231F20"/>
          <w:spacing w:val="-3"/>
          <w:w w:val="105"/>
        </w:rPr>
        <w:t>resistir,</w:t>
      </w:r>
      <w:r>
        <w:rPr>
          <w:color w:val="231F20"/>
          <w:spacing w:val="-13"/>
          <w:w w:val="105"/>
        </w:rPr>
        <w:t> </w:t>
      </w:r>
      <w:r>
        <w:rPr>
          <w:color w:val="231F20"/>
          <w:w w:val="105"/>
        </w:rPr>
        <w:t>pues simplemente</w:t>
      </w:r>
      <w:r>
        <w:rPr>
          <w:color w:val="231F20"/>
          <w:spacing w:val="-40"/>
          <w:w w:val="105"/>
        </w:rPr>
        <w:t> </w:t>
      </w:r>
      <w:r>
        <w:rPr>
          <w:color w:val="231F20"/>
          <w:w w:val="105"/>
        </w:rPr>
        <w:t>se</w:t>
      </w:r>
      <w:r>
        <w:rPr>
          <w:color w:val="231F20"/>
          <w:spacing w:val="-40"/>
          <w:w w:val="105"/>
        </w:rPr>
        <w:t> </w:t>
      </w:r>
      <w:r>
        <w:rPr>
          <w:color w:val="231F20"/>
          <w:w w:val="105"/>
        </w:rPr>
        <w:t>traducirían</w:t>
      </w:r>
      <w:r>
        <w:rPr>
          <w:color w:val="231F20"/>
          <w:spacing w:val="-40"/>
          <w:w w:val="105"/>
        </w:rPr>
        <w:t> </w:t>
      </w:r>
      <w:r>
        <w:rPr>
          <w:color w:val="231F20"/>
          <w:w w:val="105"/>
        </w:rPr>
        <w:t>en</w:t>
      </w:r>
      <w:r>
        <w:rPr>
          <w:color w:val="231F20"/>
          <w:spacing w:val="-40"/>
          <w:w w:val="105"/>
        </w:rPr>
        <w:t> </w:t>
      </w:r>
      <w:r>
        <w:rPr>
          <w:color w:val="231F20"/>
          <w:w w:val="105"/>
        </w:rPr>
        <w:t>el</w:t>
      </w:r>
      <w:r>
        <w:rPr>
          <w:color w:val="231F20"/>
          <w:spacing w:val="-40"/>
          <w:w w:val="105"/>
        </w:rPr>
        <w:t> </w:t>
      </w:r>
      <w:r>
        <w:rPr>
          <w:color w:val="231F20"/>
          <w:w w:val="105"/>
        </w:rPr>
        <w:t>reverso</w:t>
      </w:r>
      <w:r>
        <w:rPr>
          <w:color w:val="231F20"/>
          <w:spacing w:val="-40"/>
          <w:w w:val="105"/>
        </w:rPr>
        <w:t> </w:t>
      </w:r>
      <w:r>
        <w:rPr>
          <w:color w:val="231F20"/>
          <w:w w:val="105"/>
        </w:rPr>
        <w:t>de</w:t>
      </w:r>
      <w:r>
        <w:rPr>
          <w:color w:val="231F20"/>
          <w:spacing w:val="-40"/>
          <w:w w:val="105"/>
        </w:rPr>
        <w:t> </w:t>
      </w:r>
      <w:r>
        <w:rPr>
          <w:color w:val="231F20"/>
          <w:w w:val="105"/>
        </w:rPr>
        <w:t>aquello</w:t>
      </w:r>
      <w:r>
        <w:rPr>
          <w:color w:val="231F20"/>
          <w:spacing w:val="-40"/>
          <w:w w:val="105"/>
        </w:rPr>
        <w:t> </w:t>
      </w:r>
      <w:r>
        <w:rPr>
          <w:color w:val="231F20"/>
          <w:w w:val="105"/>
        </w:rPr>
        <w:t>que</w:t>
      </w:r>
      <w:r>
        <w:rPr>
          <w:color w:val="231F20"/>
          <w:spacing w:val="-40"/>
          <w:w w:val="105"/>
        </w:rPr>
        <w:t> </w:t>
      </w:r>
      <w:r>
        <w:rPr>
          <w:color w:val="231F20"/>
          <w:w w:val="105"/>
        </w:rPr>
        <w:t>rechazan,</w:t>
      </w:r>
      <w:r>
        <w:rPr>
          <w:color w:val="231F20"/>
          <w:spacing w:val="-40"/>
          <w:w w:val="105"/>
        </w:rPr>
        <w:t> </w:t>
      </w:r>
      <w:r>
        <w:rPr>
          <w:color w:val="231F20"/>
          <w:w w:val="105"/>
        </w:rPr>
        <w:t>en</w:t>
      </w:r>
      <w:r>
        <w:rPr>
          <w:color w:val="231F20"/>
          <w:spacing w:val="-40"/>
          <w:w w:val="105"/>
        </w:rPr>
        <w:t> </w:t>
      </w:r>
      <w:r>
        <w:rPr>
          <w:color w:val="231F20"/>
          <w:w w:val="105"/>
        </w:rPr>
        <w:t>híbri- dos</w:t>
      </w:r>
      <w:r>
        <w:rPr>
          <w:color w:val="231F20"/>
          <w:spacing w:val="-16"/>
          <w:w w:val="105"/>
        </w:rPr>
        <w:t> </w:t>
      </w:r>
      <w:r>
        <w:rPr>
          <w:color w:val="231F20"/>
          <w:w w:val="105"/>
        </w:rPr>
        <w:t>de</w:t>
      </w:r>
      <w:r>
        <w:rPr>
          <w:color w:val="231F20"/>
          <w:spacing w:val="-16"/>
          <w:w w:val="105"/>
        </w:rPr>
        <w:t> </w:t>
      </w:r>
      <w:r>
        <w:rPr>
          <w:color w:val="231F20"/>
          <w:w w:val="105"/>
        </w:rPr>
        <w:t>aquello</w:t>
      </w:r>
      <w:r>
        <w:rPr>
          <w:color w:val="231F20"/>
          <w:spacing w:val="-16"/>
          <w:w w:val="105"/>
        </w:rPr>
        <w:t> </w:t>
      </w:r>
      <w:r>
        <w:rPr>
          <w:color w:val="231F20"/>
          <w:w w:val="105"/>
        </w:rPr>
        <w:t>con</w:t>
      </w:r>
      <w:r>
        <w:rPr>
          <w:color w:val="231F20"/>
          <w:spacing w:val="-16"/>
          <w:w w:val="105"/>
        </w:rPr>
        <w:t> </w:t>
      </w:r>
      <w:r>
        <w:rPr>
          <w:color w:val="231F20"/>
          <w:w w:val="105"/>
        </w:rPr>
        <w:t>lo</w:t>
      </w:r>
      <w:r>
        <w:rPr>
          <w:color w:val="231F20"/>
          <w:spacing w:val="-16"/>
          <w:w w:val="105"/>
        </w:rPr>
        <w:t> </w:t>
      </w:r>
      <w:r>
        <w:rPr>
          <w:color w:val="231F20"/>
          <w:w w:val="105"/>
        </w:rPr>
        <w:t>cual</w:t>
      </w:r>
      <w:r>
        <w:rPr>
          <w:color w:val="231F20"/>
          <w:spacing w:val="-16"/>
          <w:w w:val="105"/>
        </w:rPr>
        <w:t> </w:t>
      </w:r>
      <w:r>
        <w:rPr>
          <w:color w:val="231F20"/>
          <w:w w:val="105"/>
        </w:rPr>
        <w:t>se</w:t>
      </w:r>
      <w:r>
        <w:rPr>
          <w:color w:val="231F20"/>
          <w:spacing w:val="-16"/>
          <w:w w:val="105"/>
        </w:rPr>
        <w:t> </w:t>
      </w:r>
      <w:r>
        <w:rPr>
          <w:color w:val="231F20"/>
          <w:w w:val="105"/>
        </w:rPr>
        <w:t>enfrentan.</w:t>
      </w:r>
      <w:r>
        <w:rPr>
          <w:color w:val="231F20"/>
          <w:spacing w:val="-16"/>
          <w:w w:val="105"/>
        </w:rPr>
        <w:t> </w:t>
      </w:r>
      <w:r>
        <w:rPr>
          <w:color w:val="231F20"/>
          <w:w w:val="105"/>
        </w:rPr>
        <w:t>Por</w:t>
      </w:r>
      <w:r>
        <w:rPr>
          <w:color w:val="231F20"/>
          <w:spacing w:val="-16"/>
          <w:w w:val="105"/>
        </w:rPr>
        <w:t> </w:t>
      </w:r>
      <w:r>
        <w:rPr>
          <w:color w:val="231F20"/>
          <w:w w:val="105"/>
        </w:rPr>
        <w:t>el</w:t>
      </w:r>
      <w:r>
        <w:rPr>
          <w:color w:val="231F20"/>
          <w:spacing w:val="-16"/>
          <w:w w:val="105"/>
        </w:rPr>
        <w:t> </w:t>
      </w:r>
      <w:r>
        <w:rPr>
          <w:color w:val="231F20"/>
          <w:w w:val="105"/>
        </w:rPr>
        <w:t>contrario,</w:t>
      </w:r>
      <w:r>
        <w:rPr>
          <w:color w:val="231F20"/>
          <w:spacing w:val="-16"/>
          <w:w w:val="105"/>
        </w:rPr>
        <w:t> </w:t>
      </w:r>
      <w:r>
        <w:rPr>
          <w:color w:val="231F20"/>
          <w:w w:val="105"/>
        </w:rPr>
        <w:t>como</w:t>
      </w:r>
      <w:r>
        <w:rPr>
          <w:color w:val="231F20"/>
          <w:spacing w:val="-16"/>
          <w:w w:val="105"/>
        </w:rPr>
        <w:t> </w:t>
      </w:r>
      <w:r>
        <w:rPr>
          <w:color w:val="231F20"/>
          <w:w w:val="105"/>
        </w:rPr>
        <w:t>lo</w:t>
      </w:r>
      <w:r>
        <w:rPr>
          <w:color w:val="231F20"/>
          <w:spacing w:val="-16"/>
          <w:w w:val="105"/>
        </w:rPr>
        <w:t> </w:t>
      </w:r>
      <w:r>
        <w:rPr>
          <w:color w:val="231F20"/>
          <w:w w:val="105"/>
        </w:rPr>
        <w:t>expone Ronald</w:t>
      </w:r>
      <w:r>
        <w:rPr>
          <w:color w:val="231F20"/>
          <w:spacing w:val="-44"/>
          <w:w w:val="105"/>
        </w:rPr>
        <w:t> </w:t>
      </w:r>
      <w:r>
        <w:rPr>
          <w:color w:val="231F20"/>
          <w:w w:val="105"/>
        </w:rPr>
        <w:t>Bogue,</w:t>
      </w:r>
      <w:r>
        <w:rPr>
          <w:color w:val="231F20"/>
          <w:spacing w:val="-44"/>
          <w:w w:val="105"/>
        </w:rPr>
        <w:t> </w:t>
      </w:r>
      <w:r>
        <w:rPr>
          <w:color w:val="231F20"/>
          <w:w w:val="105"/>
        </w:rPr>
        <w:t>la</w:t>
      </w:r>
      <w:r>
        <w:rPr>
          <w:color w:val="231F20"/>
          <w:spacing w:val="-44"/>
          <w:w w:val="105"/>
        </w:rPr>
        <w:t> </w:t>
      </w:r>
      <w:r>
        <w:rPr>
          <w:color w:val="231F20"/>
          <w:w w:val="105"/>
        </w:rPr>
        <w:t>auténtica</w:t>
      </w:r>
      <w:r>
        <w:rPr>
          <w:color w:val="231F20"/>
          <w:spacing w:val="-44"/>
          <w:w w:val="105"/>
        </w:rPr>
        <w:t> </w:t>
      </w:r>
      <w:r>
        <w:rPr>
          <w:color w:val="231F20"/>
          <w:w w:val="105"/>
        </w:rPr>
        <w:t>diferencia</w:t>
      </w:r>
      <w:r>
        <w:rPr>
          <w:color w:val="231F20"/>
          <w:spacing w:val="-44"/>
          <w:w w:val="105"/>
        </w:rPr>
        <w:t> </w:t>
      </w:r>
      <w:r>
        <w:rPr>
          <w:color w:val="231F20"/>
          <w:w w:val="105"/>
        </w:rPr>
        <w:t>y</w:t>
      </w:r>
      <w:r>
        <w:rPr>
          <w:color w:val="231F20"/>
          <w:spacing w:val="-44"/>
          <w:w w:val="105"/>
        </w:rPr>
        <w:t> </w:t>
      </w:r>
      <w:r>
        <w:rPr>
          <w:color w:val="231F20"/>
          <w:w w:val="105"/>
        </w:rPr>
        <w:t>la</w:t>
      </w:r>
      <w:r>
        <w:rPr>
          <w:color w:val="231F20"/>
          <w:spacing w:val="-44"/>
          <w:w w:val="105"/>
        </w:rPr>
        <w:t> </w:t>
      </w:r>
      <w:r>
        <w:rPr>
          <w:color w:val="231F20"/>
          <w:w w:val="105"/>
        </w:rPr>
        <w:t>auténtica</w:t>
      </w:r>
      <w:r>
        <w:rPr>
          <w:color w:val="231F20"/>
          <w:spacing w:val="-44"/>
          <w:w w:val="105"/>
        </w:rPr>
        <w:t> </w:t>
      </w:r>
      <w:r>
        <w:rPr>
          <w:color w:val="231F20"/>
          <w:w w:val="105"/>
        </w:rPr>
        <w:t>resistencia</w:t>
      </w:r>
      <w:r>
        <w:rPr>
          <w:color w:val="231F20"/>
          <w:spacing w:val="-44"/>
          <w:w w:val="105"/>
        </w:rPr>
        <w:t> </w:t>
      </w:r>
      <w:r>
        <w:rPr>
          <w:color w:val="231F20"/>
          <w:w w:val="105"/>
        </w:rPr>
        <w:t>sólo</w:t>
      </w:r>
      <w:r>
        <w:rPr>
          <w:color w:val="231F20"/>
          <w:spacing w:val="-44"/>
          <w:w w:val="105"/>
        </w:rPr>
        <w:t> </w:t>
      </w:r>
      <w:r>
        <w:rPr>
          <w:color w:val="231F20"/>
          <w:w w:val="105"/>
        </w:rPr>
        <w:t>podrían presentarse</w:t>
      </w:r>
      <w:r>
        <w:rPr>
          <w:color w:val="231F20"/>
          <w:spacing w:val="-35"/>
          <w:w w:val="105"/>
        </w:rPr>
        <w:t> </w:t>
      </w:r>
      <w:r>
        <w:rPr>
          <w:color w:val="231F20"/>
          <w:w w:val="105"/>
        </w:rPr>
        <w:t>como</w:t>
      </w:r>
      <w:r>
        <w:rPr>
          <w:color w:val="231F20"/>
          <w:spacing w:val="-35"/>
          <w:w w:val="105"/>
        </w:rPr>
        <w:t> </w:t>
      </w:r>
      <w:r>
        <w:rPr>
          <w:color w:val="231F20"/>
          <w:w w:val="105"/>
        </w:rPr>
        <w:t>línea</w:t>
      </w:r>
      <w:r>
        <w:rPr>
          <w:color w:val="231F20"/>
          <w:spacing w:val="-35"/>
          <w:w w:val="105"/>
        </w:rPr>
        <w:t> </w:t>
      </w:r>
      <w:r>
        <w:rPr>
          <w:color w:val="231F20"/>
          <w:w w:val="105"/>
        </w:rPr>
        <w:t>de</w:t>
      </w:r>
      <w:r>
        <w:rPr>
          <w:color w:val="231F20"/>
          <w:spacing w:val="-35"/>
          <w:w w:val="105"/>
        </w:rPr>
        <w:t> </w:t>
      </w:r>
      <w:r>
        <w:rPr>
          <w:color w:val="231F20"/>
          <w:w w:val="105"/>
        </w:rPr>
        <w:t>fuga.</w:t>
      </w:r>
    </w:p>
    <w:p>
      <w:pPr>
        <w:pStyle w:val="BodyText"/>
        <w:spacing w:before="10"/>
        <w:rPr>
          <w:sz w:val="22"/>
        </w:rPr>
      </w:pPr>
    </w:p>
    <w:p>
      <w:pPr>
        <w:spacing w:line="220" w:lineRule="exact" w:before="1"/>
        <w:ind w:left="1534" w:right="101" w:firstLine="0"/>
        <w:jc w:val="both"/>
        <w:rPr>
          <w:sz w:val="19"/>
        </w:rPr>
      </w:pPr>
      <w:r>
        <w:rPr>
          <w:color w:val="231F20"/>
          <w:sz w:val="19"/>
        </w:rPr>
        <w:t>Una línea de fuga es una línea que escapa de cualquier orden fijo y</w:t>
      </w:r>
      <w:r>
        <w:rPr>
          <w:color w:val="231F20"/>
          <w:spacing w:val="-11"/>
          <w:sz w:val="19"/>
        </w:rPr>
        <w:t> </w:t>
      </w:r>
      <w:r>
        <w:rPr>
          <w:color w:val="231F20"/>
          <w:sz w:val="19"/>
        </w:rPr>
        <w:t>estable.</w:t>
      </w:r>
      <w:r>
        <w:rPr>
          <w:color w:val="231F20"/>
          <w:spacing w:val="-11"/>
          <w:sz w:val="19"/>
        </w:rPr>
        <w:t> </w:t>
      </w:r>
      <w:r>
        <w:rPr>
          <w:color w:val="231F20"/>
          <w:sz w:val="19"/>
        </w:rPr>
        <w:t>Es</w:t>
      </w:r>
      <w:r>
        <w:rPr>
          <w:color w:val="231F20"/>
          <w:spacing w:val="-11"/>
          <w:sz w:val="19"/>
        </w:rPr>
        <w:t> </w:t>
      </w:r>
      <w:r>
        <w:rPr>
          <w:color w:val="231F20"/>
          <w:sz w:val="19"/>
        </w:rPr>
        <w:t>una</w:t>
      </w:r>
      <w:r>
        <w:rPr>
          <w:color w:val="231F20"/>
          <w:spacing w:val="-11"/>
          <w:sz w:val="19"/>
        </w:rPr>
        <w:t> </w:t>
      </w:r>
      <w:r>
        <w:rPr>
          <w:color w:val="231F20"/>
          <w:sz w:val="19"/>
        </w:rPr>
        <w:t>línea</w:t>
      </w:r>
      <w:r>
        <w:rPr>
          <w:color w:val="231F20"/>
          <w:spacing w:val="-8"/>
          <w:sz w:val="19"/>
        </w:rPr>
        <w:t> </w:t>
      </w:r>
      <w:r>
        <w:rPr>
          <w:rFonts w:ascii="Arial" w:hAnsi="Arial"/>
          <w:i/>
          <w:color w:val="231F20"/>
          <w:sz w:val="19"/>
        </w:rPr>
        <w:t>entre</w:t>
      </w:r>
      <w:r>
        <w:rPr>
          <w:rFonts w:ascii="Arial" w:hAnsi="Arial"/>
          <w:i/>
          <w:color w:val="231F20"/>
          <w:spacing w:val="-4"/>
          <w:sz w:val="19"/>
        </w:rPr>
        <w:t> </w:t>
      </w:r>
      <w:r>
        <w:rPr>
          <w:rFonts w:ascii="Arial" w:hAnsi="Arial"/>
          <w:i/>
          <w:color w:val="231F20"/>
          <w:sz w:val="19"/>
        </w:rPr>
        <w:t>las</w:t>
      </w:r>
      <w:r>
        <w:rPr>
          <w:rFonts w:ascii="Arial" w:hAnsi="Arial"/>
          <w:i/>
          <w:color w:val="231F20"/>
          <w:spacing w:val="-4"/>
          <w:sz w:val="19"/>
        </w:rPr>
        <w:t> </w:t>
      </w:r>
      <w:r>
        <w:rPr>
          <w:rFonts w:ascii="Arial" w:hAnsi="Arial"/>
          <w:i/>
          <w:color w:val="231F20"/>
          <w:sz w:val="19"/>
        </w:rPr>
        <w:t>cosas</w:t>
      </w:r>
      <w:r>
        <w:rPr>
          <w:color w:val="231F20"/>
          <w:sz w:val="19"/>
        </w:rPr>
        <w:t>,</w:t>
      </w:r>
      <w:r>
        <w:rPr>
          <w:color w:val="231F20"/>
          <w:spacing w:val="-11"/>
          <w:sz w:val="19"/>
        </w:rPr>
        <w:t> </w:t>
      </w:r>
      <w:r>
        <w:rPr>
          <w:color w:val="231F20"/>
          <w:sz w:val="19"/>
        </w:rPr>
        <w:t>entre</w:t>
      </w:r>
      <w:r>
        <w:rPr>
          <w:color w:val="231F20"/>
          <w:spacing w:val="-11"/>
          <w:sz w:val="19"/>
        </w:rPr>
        <w:t> </w:t>
      </w:r>
      <w:r>
        <w:rPr>
          <w:color w:val="231F20"/>
          <w:sz w:val="19"/>
        </w:rPr>
        <w:t>entidades</w:t>
      </w:r>
      <w:r>
        <w:rPr>
          <w:color w:val="231F20"/>
          <w:spacing w:val="-11"/>
          <w:sz w:val="19"/>
        </w:rPr>
        <w:t> </w:t>
      </w:r>
      <w:r>
        <w:rPr>
          <w:color w:val="231F20"/>
          <w:sz w:val="19"/>
        </w:rPr>
        <w:t>e</w:t>
      </w:r>
      <w:r>
        <w:rPr>
          <w:color w:val="231F20"/>
          <w:spacing w:val="-11"/>
          <w:sz w:val="19"/>
        </w:rPr>
        <w:t> </w:t>
      </w:r>
      <w:r>
        <w:rPr>
          <w:color w:val="231F20"/>
          <w:sz w:val="19"/>
        </w:rPr>
        <w:t>identida- des claramente demarcadas, un zigzag, curso impredecible que perturba las coordenadas de un espacio organizado. La línea de fuga</w:t>
      </w:r>
      <w:r>
        <w:rPr>
          <w:color w:val="231F20"/>
          <w:spacing w:val="-9"/>
          <w:sz w:val="19"/>
        </w:rPr>
        <w:t> </w:t>
      </w:r>
      <w:r>
        <w:rPr>
          <w:color w:val="231F20"/>
          <w:sz w:val="19"/>
        </w:rPr>
        <w:t>es,</w:t>
      </w:r>
      <w:r>
        <w:rPr>
          <w:color w:val="231F20"/>
          <w:spacing w:val="-9"/>
          <w:sz w:val="19"/>
        </w:rPr>
        <w:t> </w:t>
      </w:r>
      <w:r>
        <w:rPr>
          <w:color w:val="231F20"/>
          <w:sz w:val="19"/>
        </w:rPr>
        <w:t>en</w:t>
      </w:r>
      <w:r>
        <w:rPr>
          <w:color w:val="231F20"/>
          <w:spacing w:val="-9"/>
          <w:sz w:val="19"/>
        </w:rPr>
        <w:t> </w:t>
      </w:r>
      <w:r>
        <w:rPr>
          <w:color w:val="231F20"/>
          <w:sz w:val="19"/>
        </w:rPr>
        <w:t>pocas</w:t>
      </w:r>
      <w:r>
        <w:rPr>
          <w:color w:val="231F20"/>
          <w:spacing w:val="-9"/>
          <w:sz w:val="19"/>
        </w:rPr>
        <w:t> </w:t>
      </w:r>
      <w:r>
        <w:rPr>
          <w:color w:val="231F20"/>
          <w:sz w:val="19"/>
        </w:rPr>
        <w:t>palabras,</w:t>
      </w:r>
      <w:r>
        <w:rPr>
          <w:color w:val="231F20"/>
          <w:spacing w:val="-9"/>
          <w:sz w:val="19"/>
        </w:rPr>
        <w:t> </w:t>
      </w:r>
      <w:r>
        <w:rPr>
          <w:color w:val="231F20"/>
          <w:sz w:val="19"/>
        </w:rPr>
        <w:t>la</w:t>
      </w:r>
      <w:r>
        <w:rPr>
          <w:color w:val="231F20"/>
          <w:spacing w:val="-9"/>
          <w:sz w:val="19"/>
        </w:rPr>
        <w:t> </w:t>
      </w:r>
      <w:r>
        <w:rPr>
          <w:color w:val="231F20"/>
          <w:sz w:val="19"/>
        </w:rPr>
        <w:t>línea</w:t>
      </w:r>
      <w:r>
        <w:rPr>
          <w:color w:val="231F20"/>
          <w:spacing w:val="-9"/>
          <w:sz w:val="19"/>
        </w:rPr>
        <w:t> </w:t>
      </w:r>
      <w:r>
        <w:rPr>
          <w:color w:val="231F20"/>
          <w:sz w:val="19"/>
        </w:rPr>
        <w:t>nómada</w:t>
      </w:r>
      <w:r>
        <w:rPr>
          <w:color w:val="231F20"/>
          <w:spacing w:val="-9"/>
          <w:sz w:val="19"/>
        </w:rPr>
        <w:t> </w:t>
      </w:r>
      <w:r>
        <w:rPr>
          <w:color w:val="231F20"/>
          <w:sz w:val="19"/>
        </w:rPr>
        <w:t>de</w:t>
      </w:r>
      <w:r>
        <w:rPr>
          <w:color w:val="231F20"/>
          <w:spacing w:val="-9"/>
          <w:sz w:val="19"/>
        </w:rPr>
        <w:t> </w:t>
      </w:r>
      <w:r>
        <w:rPr>
          <w:color w:val="231F20"/>
          <w:sz w:val="19"/>
        </w:rPr>
        <w:t>un</w:t>
      </w:r>
      <w:r>
        <w:rPr>
          <w:color w:val="231F20"/>
          <w:spacing w:val="-9"/>
          <w:sz w:val="19"/>
        </w:rPr>
        <w:t> </w:t>
      </w:r>
      <w:r>
        <w:rPr>
          <w:color w:val="231F20"/>
          <w:sz w:val="19"/>
        </w:rPr>
        <w:t>espacio</w:t>
      </w:r>
      <w:r>
        <w:rPr>
          <w:color w:val="231F20"/>
          <w:spacing w:val="-9"/>
          <w:sz w:val="19"/>
        </w:rPr>
        <w:t> </w:t>
      </w:r>
      <w:r>
        <w:rPr>
          <w:color w:val="231F20"/>
          <w:sz w:val="19"/>
        </w:rPr>
        <w:t>liso</w:t>
      </w:r>
      <w:r>
        <w:rPr>
          <w:color w:val="231F20"/>
          <w:position w:val="6"/>
          <w:sz w:val="11"/>
        </w:rPr>
        <w:t>45</w:t>
      </w:r>
      <w:r>
        <w:rPr>
          <w:color w:val="231F20"/>
          <w:sz w:val="19"/>
        </w:rPr>
        <w:t>.</w:t>
      </w:r>
      <w:r>
        <w:rPr>
          <w:color w:val="231F20"/>
          <w:spacing w:val="-9"/>
          <w:sz w:val="19"/>
        </w:rPr>
        <w:t> </w:t>
      </w:r>
      <w:r>
        <w:rPr>
          <w:color w:val="231F20"/>
          <w:sz w:val="19"/>
        </w:rPr>
        <w:t>Y lo que es esencial es que una línea de fuga es una línea de deve- nir–otro, de metamorfosis, de constante</w:t>
      </w:r>
      <w:r>
        <w:rPr>
          <w:color w:val="231F20"/>
          <w:spacing w:val="-17"/>
          <w:sz w:val="19"/>
        </w:rPr>
        <w:t> </w:t>
      </w:r>
      <w:r>
        <w:rPr>
          <w:color w:val="231F20"/>
          <w:sz w:val="19"/>
        </w:rPr>
        <w:t>transformación</w:t>
      </w:r>
      <w:r>
        <w:rPr>
          <w:color w:val="231F20"/>
          <w:position w:val="6"/>
          <w:sz w:val="11"/>
        </w:rPr>
        <w:t>46</w:t>
      </w:r>
      <w:r>
        <w:rPr>
          <w:color w:val="231F20"/>
          <w:sz w:val="19"/>
        </w:rPr>
        <w:t>.</w:t>
      </w:r>
    </w:p>
    <w:p>
      <w:pPr>
        <w:pStyle w:val="BodyText"/>
        <w:spacing w:before="11"/>
        <w:rPr>
          <w:sz w:val="23"/>
        </w:rPr>
      </w:pPr>
    </w:p>
    <w:p>
      <w:pPr>
        <w:pStyle w:val="BodyText"/>
        <w:spacing w:line="247" w:lineRule="auto"/>
        <w:ind w:left="117" w:right="101"/>
        <w:jc w:val="both"/>
      </w:pPr>
      <w:r>
        <w:rPr>
          <w:color w:val="231F20"/>
          <w:w w:val="105"/>
        </w:rPr>
        <w:t>Llevar</w:t>
      </w:r>
      <w:r>
        <w:rPr>
          <w:color w:val="231F20"/>
          <w:spacing w:val="-31"/>
          <w:w w:val="105"/>
        </w:rPr>
        <w:t> </w:t>
      </w:r>
      <w:r>
        <w:rPr>
          <w:color w:val="231F20"/>
          <w:w w:val="105"/>
        </w:rPr>
        <w:t>las</w:t>
      </w:r>
      <w:r>
        <w:rPr>
          <w:color w:val="231F20"/>
          <w:spacing w:val="-31"/>
          <w:w w:val="105"/>
        </w:rPr>
        <w:t> </w:t>
      </w:r>
      <w:r>
        <w:rPr>
          <w:color w:val="231F20"/>
          <w:w w:val="105"/>
        </w:rPr>
        <w:t>paradojas</w:t>
      </w:r>
      <w:r>
        <w:rPr>
          <w:color w:val="231F20"/>
          <w:spacing w:val="-31"/>
          <w:w w:val="105"/>
        </w:rPr>
        <w:t> </w:t>
      </w:r>
      <w:r>
        <w:rPr>
          <w:color w:val="231F20"/>
          <w:w w:val="105"/>
        </w:rPr>
        <w:t>a</w:t>
      </w:r>
      <w:r>
        <w:rPr>
          <w:color w:val="231F20"/>
          <w:spacing w:val="-31"/>
          <w:w w:val="105"/>
        </w:rPr>
        <w:t> </w:t>
      </w:r>
      <w:r>
        <w:rPr>
          <w:color w:val="231F20"/>
          <w:w w:val="105"/>
        </w:rPr>
        <w:t>su</w:t>
      </w:r>
      <w:r>
        <w:rPr>
          <w:color w:val="231F20"/>
          <w:spacing w:val="-31"/>
          <w:w w:val="105"/>
        </w:rPr>
        <w:t> </w:t>
      </w:r>
      <w:r>
        <w:rPr>
          <w:color w:val="231F20"/>
          <w:w w:val="105"/>
        </w:rPr>
        <w:t>límite,</w:t>
      </w:r>
      <w:r>
        <w:rPr>
          <w:color w:val="231F20"/>
          <w:spacing w:val="-31"/>
          <w:w w:val="105"/>
        </w:rPr>
        <w:t> </w:t>
      </w:r>
      <w:r>
        <w:rPr>
          <w:color w:val="231F20"/>
          <w:w w:val="105"/>
        </w:rPr>
        <w:t>acelerar</w:t>
      </w:r>
      <w:r>
        <w:rPr>
          <w:color w:val="231F20"/>
          <w:spacing w:val="-31"/>
          <w:w w:val="105"/>
        </w:rPr>
        <w:t> </w:t>
      </w:r>
      <w:r>
        <w:rPr>
          <w:color w:val="231F20"/>
          <w:w w:val="105"/>
        </w:rPr>
        <w:t>el</w:t>
      </w:r>
      <w:r>
        <w:rPr>
          <w:color w:val="231F20"/>
          <w:spacing w:val="-31"/>
          <w:w w:val="105"/>
        </w:rPr>
        <w:t> </w:t>
      </w:r>
      <w:r>
        <w:rPr>
          <w:color w:val="231F20"/>
          <w:w w:val="105"/>
        </w:rPr>
        <w:t>proceso,</w:t>
      </w:r>
      <w:r>
        <w:rPr>
          <w:color w:val="231F20"/>
          <w:spacing w:val="-31"/>
          <w:w w:val="105"/>
        </w:rPr>
        <w:t> </w:t>
      </w:r>
      <w:r>
        <w:rPr>
          <w:color w:val="231F20"/>
          <w:w w:val="105"/>
        </w:rPr>
        <w:t>no</w:t>
      </w:r>
      <w:r>
        <w:rPr>
          <w:color w:val="231F20"/>
          <w:spacing w:val="-31"/>
          <w:w w:val="105"/>
        </w:rPr>
        <w:t> </w:t>
      </w:r>
      <w:r>
        <w:rPr>
          <w:color w:val="231F20"/>
          <w:w w:val="105"/>
        </w:rPr>
        <w:t>significaría</w:t>
      </w:r>
      <w:r>
        <w:rPr>
          <w:color w:val="231F20"/>
          <w:spacing w:val="-31"/>
          <w:w w:val="105"/>
        </w:rPr>
        <w:t> </w:t>
      </w:r>
      <w:r>
        <w:rPr>
          <w:color w:val="231F20"/>
          <w:w w:val="105"/>
        </w:rPr>
        <w:t>superar su</w:t>
      </w:r>
      <w:r>
        <w:rPr>
          <w:color w:val="231F20"/>
          <w:spacing w:val="-39"/>
          <w:w w:val="105"/>
        </w:rPr>
        <w:t> </w:t>
      </w:r>
      <w:r>
        <w:rPr>
          <w:color w:val="231F20"/>
          <w:w w:val="105"/>
        </w:rPr>
        <w:t>carácter</w:t>
      </w:r>
      <w:r>
        <w:rPr>
          <w:color w:val="231F20"/>
          <w:spacing w:val="-39"/>
          <w:w w:val="105"/>
        </w:rPr>
        <w:t> </w:t>
      </w:r>
      <w:r>
        <w:rPr>
          <w:color w:val="231F20"/>
          <w:w w:val="105"/>
        </w:rPr>
        <w:t>indecidible,</w:t>
      </w:r>
      <w:r>
        <w:rPr>
          <w:color w:val="231F20"/>
          <w:spacing w:val="-39"/>
          <w:w w:val="105"/>
        </w:rPr>
        <w:t> </w:t>
      </w:r>
      <w:r>
        <w:rPr>
          <w:color w:val="231F20"/>
          <w:w w:val="105"/>
        </w:rPr>
        <w:t>sino</w:t>
      </w:r>
      <w:r>
        <w:rPr>
          <w:color w:val="231F20"/>
          <w:spacing w:val="-39"/>
          <w:w w:val="105"/>
        </w:rPr>
        <w:t> </w:t>
      </w:r>
      <w:r>
        <w:rPr>
          <w:color w:val="231F20"/>
          <w:w w:val="105"/>
        </w:rPr>
        <w:t>afirmarlo,</w:t>
      </w:r>
      <w:r>
        <w:rPr>
          <w:color w:val="231F20"/>
          <w:spacing w:val="-39"/>
          <w:w w:val="105"/>
        </w:rPr>
        <w:t> </w:t>
      </w:r>
      <w:r>
        <w:rPr>
          <w:color w:val="231F20"/>
          <w:w w:val="105"/>
        </w:rPr>
        <w:t>implicaría</w:t>
      </w:r>
      <w:r>
        <w:rPr>
          <w:color w:val="231F20"/>
          <w:spacing w:val="-39"/>
          <w:w w:val="105"/>
        </w:rPr>
        <w:t> </w:t>
      </w:r>
      <w:r>
        <w:rPr>
          <w:color w:val="231F20"/>
          <w:w w:val="105"/>
        </w:rPr>
        <w:t>no</w:t>
      </w:r>
      <w:r>
        <w:rPr>
          <w:color w:val="231F20"/>
          <w:spacing w:val="-39"/>
          <w:w w:val="105"/>
        </w:rPr>
        <w:t> </w:t>
      </w:r>
      <w:r>
        <w:rPr>
          <w:color w:val="231F20"/>
          <w:w w:val="105"/>
        </w:rPr>
        <w:t>hibridizar</w:t>
      </w:r>
      <w:r>
        <w:rPr>
          <w:color w:val="231F20"/>
          <w:spacing w:val="-39"/>
          <w:w w:val="105"/>
        </w:rPr>
        <w:t> </w:t>
      </w:r>
      <w:r>
        <w:rPr>
          <w:color w:val="231F20"/>
          <w:w w:val="105"/>
        </w:rPr>
        <w:t>sus</w:t>
      </w:r>
      <w:r>
        <w:rPr>
          <w:color w:val="231F20"/>
          <w:spacing w:val="-39"/>
          <w:w w:val="105"/>
        </w:rPr>
        <w:t> </w:t>
      </w:r>
      <w:r>
        <w:rPr>
          <w:color w:val="231F20"/>
          <w:w w:val="105"/>
        </w:rPr>
        <w:t>términos en</w:t>
      </w:r>
      <w:r>
        <w:rPr>
          <w:color w:val="231F20"/>
          <w:spacing w:val="-8"/>
          <w:w w:val="105"/>
        </w:rPr>
        <w:t> </w:t>
      </w:r>
      <w:r>
        <w:rPr>
          <w:color w:val="231F20"/>
          <w:w w:val="105"/>
        </w:rPr>
        <w:t>un</w:t>
      </w:r>
      <w:r>
        <w:rPr>
          <w:color w:val="231F20"/>
          <w:spacing w:val="-8"/>
          <w:w w:val="105"/>
        </w:rPr>
        <w:t> </w:t>
      </w:r>
      <w:r>
        <w:rPr>
          <w:color w:val="231F20"/>
          <w:w w:val="105"/>
        </w:rPr>
        <w:t>proceso</w:t>
      </w:r>
      <w:r>
        <w:rPr>
          <w:color w:val="231F20"/>
          <w:spacing w:val="-8"/>
          <w:w w:val="105"/>
        </w:rPr>
        <w:t> </w:t>
      </w:r>
      <w:r>
        <w:rPr>
          <w:color w:val="231F20"/>
          <w:w w:val="105"/>
        </w:rPr>
        <w:t>de</w:t>
      </w:r>
      <w:r>
        <w:rPr>
          <w:color w:val="231F20"/>
          <w:spacing w:val="-8"/>
          <w:w w:val="105"/>
        </w:rPr>
        <w:t> </w:t>
      </w:r>
      <w:r>
        <w:rPr>
          <w:color w:val="231F20"/>
          <w:w w:val="105"/>
        </w:rPr>
        <w:t>complementación</w:t>
      </w:r>
      <w:r>
        <w:rPr>
          <w:color w:val="231F20"/>
          <w:spacing w:val="-8"/>
          <w:w w:val="105"/>
        </w:rPr>
        <w:t> </w:t>
      </w:r>
      <w:r>
        <w:rPr>
          <w:color w:val="231F20"/>
          <w:w w:val="105"/>
        </w:rPr>
        <w:t>e</w:t>
      </w:r>
      <w:r>
        <w:rPr>
          <w:color w:val="231F20"/>
          <w:spacing w:val="-8"/>
          <w:w w:val="105"/>
        </w:rPr>
        <w:t> </w:t>
      </w:r>
      <w:r>
        <w:rPr>
          <w:color w:val="231F20"/>
          <w:w w:val="105"/>
        </w:rPr>
        <w:t>identificación</w:t>
      </w:r>
      <w:r>
        <w:rPr>
          <w:color w:val="231F20"/>
          <w:spacing w:val="-8"/>
          <w:w w:val="105"/>
        </w:rPr>
        <w:t> </w:t>
      </w:r>
      <w:r>
        <w:rPr>
          <w:color w:val="231F20"/>
          <w:w w:val="105"/>
        </w:rPr>
        <w:t>mutua;</w:t>
      </w:r>
      <w:r>
        <w:rPr>
          <w:color w:val="231F20"/>
          <w:spacing w:val="-8"/>
          <w:w w:val="105"/>
        </w:rPr>
        <w:t> </w:t>
      </w:r>
      <w:r>
        <w:rPr>
          <w:color w:val="231F20"/>
          <w:w w:val="105"/>
        </w:rPr>
        <w:t>al</w:t>
      </w:r>
      <w:r>
        <w:rPr>
          <w:color w:val="231F20"/>
          <w:spacing w:val="-8"/>
          <w:w w:val="105"/>
        </w:rPr>
        <w:t> </w:t>
      </w:r>
      <w:r>
        <w:rPr>
          <w:color w:val="231F20"/>
          <w:w w:val="105"/>
        </w:rPr>
        <w:t>contrario, lo</w:t>
      </w:r>
      <w:r>
        <w:rPr>
          <w:color w:val="231F20"/>
          <w:spacing w:val="-39"/>
          <w:w w:val="105"/>
        </w:rPr>
        <w:t> </w:t>
      </w:r>
      <w:r>
        <w:rPr>
          <w:color w:val="231F20"/>
          <w:spacing w:val="-3"/>
          <w:w w:val="105"/>
        </w:rPr>
        <w:t>singular,</w:t>
      </w:r>
      <w:r>
        <w:rPr>
          <w:color w:val="231F20"/>
          <w:spacing w:val="-39"/>
          <w:w w:val="105"/>
        </w:rPr>
        <w:t> </w:t>
      </w:r>
      <w:r>
        <w:rPr>
          <w:color w:val="231F20"/>
          <w:w w:val="105"/>
        </w:rPr>
        <w:t>las</w:t>
      </w:r>
      <w:r>
        <w:rPr>
          <w:color w:val="231F20"/>
          <w:spacing w:val="-39"/>
          <w:w w:val="105"/>
        </w:rPr>
        <w:t> </w:t>
      </w:r>
      <w:r>
        <w:rPr>
          <w:color w:val="231F20"/>
          <w:w w:val="105"/>
        </w:rPr>
        <w:t>expresiones</w:t>
      </w:r>
      <w:r>
        <w:rPr>
          <w:color w:val="231F20"/>
          <w:spacing w:val="-39"/>
          <w:w w:val="105"/>
        </w:rPr>
        <w:t> </w:t>
      </w:r>
      <w:r>
        <w:rPr>
          <w:color w:val="231F20"/>
          <w:w w:val="105"/>
        </w:rPr>
        <w:t>particulares,</w:t>
      </w:r>
      <w:r>
        <w:rPr>
          <w:color w:val="231F20"/>
          <w:spacing w:val="-39"/>
          <w:w w:val="105"/>
        </w:rPr>
        <w:t> </w:t>
      </w:r>
      <w:r>
        <w:rPr>
          <w:color w:val="231F20"/>
          <w:w w:val="105"/>
        </w:rPr>
        <w:t>las</w:t>
      </w:r>
      <w:r>
        <w:rPr>
          <w:color w:val="231F20"/>
          <w:spacing w:val="-39"/>
          <w:w w:val="105"/>
        </w:rPr>
        <w:t> </w:t>
      </w:r>
      <w:r>
        <w:rPr>
          <w:color w:val="231F20"/>
          <w:w w:val="105"/>
        </w:rPr>
        <w:t>verdaderas</w:t>
      </w:r>
      <w:r>
        <w:rPr>
          <w:color w:val="231F20"/>
          <w:spacing w:val="-39"/>
          <w:w w:val="105"/>
        </w:rPr>
        <w:t> </w:t>
      </w:r>
      <w:r>
        <w:rPr>
          <w:color w:val="231F20"/>
          <w:w w:val="105"/>
        </w:rPr>
        <w:t>diferencias</w:t>
      </w:r>
      <w:r>
        <w:rPr>
          <w:color w:val="231F20"/>
          <w:spacing w:val="-39"/>
          <w:w w:val="105"/>
        </w:rPr>
        <w:t> </w:t>
      </w:r>
      <w:r>
        <w:rPr>
          <w:color w:val="231F20"/>
          <w:w w:val="105"/>
        </w:rPr>
        <w:t>que</w:t>
      </w:r>
      <w:r>
        <w:rPr>
          <w:color w:val="231F20"/>
          <w:spacing w:val="-39"/>
          <w:w w:val="105"/>
        </w:rPr>
        <w:t> </w:t>
      </w:r>
      <w:r>
        <w:rPr>
          <w:color w:val="231F20"/>
          <w:w w:val="105"/>
        </w:rPr>
        <w:t>po- drían</w:t>
      </w:r>
      <w:r>
        <w:rPr>
          <w:color w:val="231F20"/>
          <w:spacing w:val="-23"/>
          <w:w w:val="105"/>
        </w:rPr>
        <w:t> </w:t>
      </w:r>
      <w:r>
        <w:rPr>
          <w:color w:val="231F20"/>
          <w:w w:val="105"/>
        </w:rPr>
        <w:t>resistir</w:t>
      </w:r>
      <w:r>
        <w:rPr>
          <w:color w:val="231F20"/>
          <w:spacing w:val="-23"/>
          <w:w w:val="105"/>
        </w:rPr>
        <w:t> </w:t>
      </w:r>
      <w:r>
        <w:rPr>
          <w:color w:val="231F20"/>
          <w:w w:val="105"/>
        </w:rPr>
        <w:t>y</w:t>
      </w:r>
      <w:r>
        <w:rPr>
          <w:color w:val="231F20"/>
          <w:spacing w:val="-23"/>
          <w:w w:val="105"/>
        </w:rPr>
        <w:t> </w:t>
      </w:r>
      <w:r>
        <w:rPr>
          <w:color w:val="231F20"/>
          <w:w w:val="105"/>
        </w:rPr>
        <w:t>reactivar</w:t>
      </w:r>
      <w:r>
        <w:rPr>
          <w:color w:val="231F20"/>
          <w:spacing w:val="-23"/>
          <w:w w:val="105"/>
        </w:rPr>
        <w:t> </w:t>
      </w:r>
      <w:r>
        <w:rPr>
          <w:color w:val="231F20"/>
          <w:w w:val="105"/>
        </w:rPr>
        <w:t>la</w:t>
      </w:r>
      <w:r>
        <w:rPr>
          <w:color w:val="231F20"/>
          <w:spacing w:val="-23"/>
          <w:w w:val="105"/>
        </w:rPr>
        <w:t> </w:t>
      </w:r>
      <w:r>
        <w:rPr>
          <w:color w:val="231F20"/>
          <w:w w:val="105"/>
        </w:rPr>
        <w:t>crítica,</w:t>
      </w:r>
      <w:r>
        <w:rPr>
          <w:color w:val="231F20"/>
          <w:spacing w:val="-23"/>
          <w:w w:val="105"/>
        </w:rPr>
        <w:t> </w:t>
      </w:r>
      <w:r>
        <w:rPr>
          <w:color w:val="231F20"/>
          <w:w w:val="105"/>
        </w:rPr>
        <w:t>no</w:t>
      </w:r>
      <w:r>
        <w:rPr>
          <w:color w:val="231F20"/>
          <w:spacing w:val="-23"/>
          <w:w w:val="105"/>
        </w:rPr>
        <w:t> </w:t>
      </w:r>
      <w:r>
        <w:rPr>
          <w:color w:val="231F20"/>
          <w:w w:val="105"/>
        </w:rPr>
        <w:t>nacerían</w:t>
      </w:r>
      <w:r>
        <w:rPr>
          <w:color w:val="231F20"/>
          <w:spacing w:val="-23"/>
          <w:w w:val="105"/>
        </w:rPr>
        <w:t> </w:t>
      </w:r>
      <w:r>
        <w:rPr>
          <w:color w:val="231F20"/>
          <w:w w:val="105"/>
        </w:rPr>
        <w:t>ni</w:t>
      </w:r>
      <w:r>
        <w:rPr>
          <w:color w:val="231F20"/>
          <w:spacing w:val="-23"/>
          <w:w w:val="105"/>
        </w:rPr>
        <w:t> </w:t>
      </w:r>
      <w:r>
        <w:rPr>
          <w:color w:val="231F20"/>
          <w:w w:val="105"/>
        </w:rPr>
        <w:t>en</w:t>
      </w:r>
      <w:r>
        <w:rPr>
          <w:color w:val="231F20"/>
          <w:spacing w:val="-23"/>
          <w:w w:val="105"/>
        </w:rPr>
        <w:t> </w:t>
      </w:r>
      <w:r>
        <w:rPr>
          <w:color w:val="231F20"/>
          <w:w w:val="105"/>
        </w:rPr>
        <w:t>lo</w:t>
      </w:r>
      <w:r>
        <w:rPr>
          <w:color w:val="231F20"/>
          <w:spacing w:val="-23"/>
          <w:w w:val="105"/>
        </w:rPr>
        <w:t> </w:t>
      </w:r>
      <w:r>
        <w:rPr>
          <w:color w:val="231F20"/>
          <w:w w:val="105"/>
        </w:rPr>
        <w:t>local</w:t>
      </w:r>
      <w:r>
        <w:rPr>
          <w:color w:val="231F20"/>
          <w:spacing w:val="-23"/>
          <w:w w:val="105"/>
        </w:rPr>
        <w:t> </w:t>
      </w:r>
      <w:r>
        <w:rPr>
          <w:color w:val="231F20"/>
          <w:w w:val="105"/>
        </w:rPr>
        <w:t>ni</w:t>
      </w:r>
      <w:r>
        <w:rPr>
          <w:color w:val="231F20"/>
          <w:spacing w:val="-23"/>
          <w:w w:val="105"/>
        </w:rPr>
        <w:t> </w:t>
      </w:r>
      <w:r>
        <w:rPr>
          <w:color w:val="231F20"/>
          <w:w w:val="105"/>
        </w:rPr>
        <w:t>en</w:t>
      </w:r>
      <w:r>
        <w:rPr>
          <w:color w:val="231F20"/>
          <w:spacing w:val="-23"/>
          <w:w w:val="105"/>
        </w:rPr>
        <w:t> </w:t>
      </w:r>
      <w:r>
        <w:rPr>
          <w:color w:val="231F20"/>
          <w:w w:val="105"/>
        </w:rPr>
        <w:t>lo</w:t>
      </w:r>
      <w:r>
        <w:rPr>
          <w:color w:val="231F20"/>
          <w:spacing w:val="-23"/>
          <w:w w:val="105"/>
        </w:rPr>
        <w:t> </w:t>
      </w:r>
      <w:r>
        <w:rPr>
          <w:color w:val="231F20"/>
          <w:w w:val="105"/>
        </w:rPr>
        <w:t>global, vistos</w:t>
      </w:r>
      <w:r>
        <w:rPr>
          <w:color w:val="231F20"/>
          <w:spacing w:val="-47"/>
          <w:w w:val="105"/>
        </w:rPr>
        <w:t> </w:t>
      </w:r>
      <w:r>
        <w:rPr>
          <w:color w:val="231F20"/>
          <w:w w:val="105"/>
        </w:rPr>
        <w:t>como</w:t>
      </w:r>
      <w:r>
        <w:rPr>
          <w:color w:val="231F20"/>
          <w:spacing w:val="-47"/>
          <w:w w:val="105"/>
        </w:rPr>
        <w:t> </w:t>
      </w:r>
      <w:r>
        <w:rPr>
          <w:color w:val="231F20"/>
          <w:w w:val="105"/>
        </w:rPr>
        <w:t>opuestos</w:t>
      </w:r>
      <w:r>
        <w:rPr>
          <w:color w:val="231F20"/>
          <w:spacing w:val="-47"/>
          <w:w w:val="105"/>
        </w:rPr>
        <w:t> </w:t>
      </w:r>
      <w:r>
        <w:rPr>
          <w:color w:val="231F20"/>
          <w:w w:val="105"/>
        </w:rPr>
        <w:t>consistentes;</w:t>
      </w:r>
      <w:r>
        <w:rPr>
          <w:color w:val="231F20"/>
          <w:spacing w:val="-47"/>
          <w:w w:val="105"/>
        </w:rPr>
        <w:t> </w:t>
      </w:r>
      <w:r>
        <w:rPr>
          <w:color w:val="231F20"/>
          <w:w w:val="105"/>
        </w:rPr>
        <w:t>surgirían</w:t>
      </w:r>
      <w:r>
        <w:rPr>
          <w:color w:val="231F20"/>
          <w:spacing w:val="-47"/>
          <w:w w:val="105"/>
        </w:rPr>
        <w:t> </w:t>
      </w:r>
      <w:r>
        <w:rPr>
          <w:color w:val="231F20"/>
          <w:w w:val="105"/>
        </w:rPr>
        <w:t>más</w:t>
      </w:r>
      <w:r>
        <w:rPr>
          <w:color w:val="231F20"/>
          <w:spacing w:val="-47"/>
          <w:w w:val="105"/>
        </w:rPr>
        <w:t> </w:t>
      </w:r>
      <w:r>
        <w:rPr>
          <w:color w:val="231F20"/>
          <w:w w:val="105"/>
        </w:rPr>
        <w:t>bien</w:t>
      </w:r>
      <w:r>
        <w:rPr>
          <w:color w:val="231F20"/>
          <w:spacing w:val="-47"/>
          <w:w w:val="105"/>
        </w:rPr>
        <w:t> </w:t>
      </w:r>
      <w:r>
        <w:rPr>
          <w:rFonts w:ascii="Arial" w:hAnsi="Arial"/>
          <w:i/>
          <w:color w:val="231F20"/>
          <w:w w:val="105"/>
        </w:rPr>
        <w:t>entre</w:t>
      </w:r>
      <w:r>
        <w:rPr>
          <w:rFonts w:ascii="Arial" w:hAnsi="Arial"/>
          <w:i/>
          <w:color w:val="231F20"/>
          <w:spacing w:val="-39"/>
          <w:w w:val="105"/>
        </w:rPr>
        <w:t> </w:t>
      </w:r>
      <w:r>
        <w:rPr>
          <w:color w:val="231F20"/>
          <w:w w:val="105"/>
        </w:rPr>
        <w:t>ambos,</w:t>
      </w:r>
      <w:r>
        <w:rPr>
          <w:color w:val="231F20"/>
          <w:spacing w:val="-46"/>
          <w:w w:val="105"/>
        </w:rPr>
        <w:t> </w:t>
      </w:r>
      <w:r>
        <w:rPr>
          <w:color w:val="231F20"/>
          <w:w w:val="105"/>
        </w:rPr>
        <w:t>en</w:t>
      </w:r>
      <w:r>
        <w:rPr>
          <w:color w:val="231F20"/>
          <w:spacing w:val="-46"/>
          <w:w w:val="105"/>
        </w:rPr>
        <w:t> </w:t>
      </w:r>
      <w:r>
        <w:rPr>
          <w:color w:val="231F20"/>
          <w:w w:val="105"/>
        </w:rPr>
        <w:t>una</w:t>
      </w:r>
    </w:p>
    <w:p>
      <w:pPr>
        <w:pStyle w:val="BodyText"/>
        <w:spacing w:before="2"/>
        <w:rPr>
          <w:sz w:val="16"/>
        </w:rPr>
      </w:pPr>
      <w:r>
        <w:rPr/>
        <w:pict>
          <v:line style="position:absolute;mso-position-horizontal-relative:page;mso-position-vertical-relative:paragraph;z-index:4840;mso-wrap-distance-left:0;mso-wrap-distance-right:0" from="70.866203pt,11.9024pt" to="184.252203pt,11.9024pt" stroked="true" strokeweight=".3pt" strokecolor="#231f20">
            <w10:wrap type="topAndBottom"/>
          </v:line>
        </w:pict>
      </w:r>
    </w:p>
    <w:p>
      <w:pPr>
        <w:spacing w:line="204" w:lineRule="exact" w:before="9"/>
        <w:ind w:left="117" w:right="101" w:firstLine="0"/>
        <w:jc w:val="both"/>
        <w:rPr>
          <w:rFonts w:ascii="Calibri" w:hAnsi="Calibri"/>
          <w:sz w:val="17"/>
        </w:rPr>
      </w:pPr>
      <w:r>
        <w:rPr>
          <w:rFonts w:ascii="Calibri" w:hAnsi="Calibri"/>
          <w:color w:val="231F20"/>
          <w:position w:val="6"/>
          <w:sz w:val="10"/>
        </w:rPr>
        <w:t>45  </w:t>
      </w:r>
      <w:r>
        <w:rPr>
          <w:rFonts w:ascii="Calibri" w:hAnsi="Calibri"/>
          <w:color w:val="231F20"/>
          <w:sz w:val="17"/>
        </w:rPr>
        <w:t>Por </w:t>
      </w:r>
      <w:r>
        <w:rPr>
          <w:rFonts w:ascii="Calibri" w:hAnsi="Calibri"/>
          <w:i/>
          <w:color w:val="231F20"/>
          <w:sz w:val="17"/>
        </w:rPr>
        <w:t>espacio liso </w:t>
      </w:r>
      <w:r>
        <w:rPr>
          <w:rFonts w:ascii="Calibri" w:hAnsi="Calibri"/>
          <w:color w:val="231F20"/>
          <w:sz w:val="17"/>
        </w:rPr>
        <w:t>hay que entender un espacio libre sobre el cual todo trayecto y desplazamiento  es posible, no tiene ni caminos, ni lugares, mi marcas, ni casillas preestablecidos, sino se explaya como posibilidad de trazarlos, de definir líneas, caminos y de hacer territorio. En contraste, el </w:t>
      </w:r>
      <w:r>
        <w:rPr>
          <w:rFonts w:ascii="Calibri" w:hAnsi="Calibri"/>
          <w:i/>
          <w:color w:val="231F20"/>
          <w:sz w:val="17"/>
        </w:rPr>
        <w:t>es- </w:t>
      </w:r>
      <w:r>
        <w:rPr>
          <w:rFonts w:ascii="Calibri" w:hAnsi="Calibri"/>
          <w:i/>
          <w:color w:val="231F20"/>
          <w:sz w:val="17"/>
        </w:rPr>
        <w:t>pacio estriado </w:t>
      </w:r>
      <w:r>
        <w:rPr>
          <w:rFonts w:ascii="Calibri" w:hAnsi="Calibri"/>
          <w:color w:val="231F20"/>
          <w:sz w:val="17"/>
        </w:rPr>
        <w:t>ya tiene caminos, lugares y nichos prestablecidos, mismos que nos dicen a dónde </w:t>
      </w:r>
      <w:r>
        <w:rPr>
          <w:rFonts w:ascii="Calibri" w:hAnsi="Calibri"/>
          <w:color w:val="231F20"/>
          <w:spacing w:val="-4"/>
          <w:sz w:val="17"/>
        </w:rPr>
        <w:t>ir, </w:t>
      </w:r>
      <w:r>
        <w:rPr>
          <w:rFonts w:ascii="Calibri" w:hAnsi="Calibri"/>
          <w:color w:val="231F20"/>
          <w:sz w:val="17"/>
        </w:rPr>
        <w:t>qué trayectos tomar, cómo territorializar, en dónde </w:t>
      </w:r>
      <w:r>
        <w:rPr>
          <w:rFonts w:ascii="Calibri" w:hAnsi="Calibri"/>
          <w:color w:val="231F20"/>
          <w:spacing w:val="26"/>
          <w:sz w:val="17"/>
        </w:rPr>
        <w:t> </w:t>
      </w:r>
      <w:r>
        <w:rPr>
          <w:rFonts w:ascii="Calibri" w:hAnsi="Calibri"/>
          <w:color w:val="231F20"/>
          <w:spacing w:val="-3"/>
          <w:sz w:val="17"/>
        </w:rPr>
        <w:t>parar.</w:t>
      </w:r>
    </w:p>
    <w:p>
      <w:pPr>
        <w:spacing w:line="204" w:lineRule="exact" w:before="0"/>
        <w:ind w:left="117" w:right="101" w:firstLine="0"/>
        <w:jc w:val="both"/>
        <w:rPr>
          <w:rFonts w:ascii="Calibri" w:hAnsi="Calibri"/>
          <w:sz w:val="17"/>
        </w:rPr>
      </w:pPr>
      <w:r>
        <w:rPr>
          <w:rFonts w:ascii="Calibri" w:hAnsi="Calibri"/>
          <w:color w:val="231F20"/>
          <w:position w:val="6"/>
          <w:sz w:val="10"/>
        </w:rPr>
        <w:t>46 </w:t>
      </w:r>
      <w:r>
        <w:rPr>
          <w:rFonts w:ascii="Calibri" w:hAnsi="Calibri"/>
          <w:color w:val="231F20"/>
          <w:sz w:val="17"/>
        </w:rPr>
        <w:t>R. Bogue, “Nomadic Flows: Globalism and the Local Absolute”, </w:t>
      </w:r>
      <w:r>
        <w:rPr>
          <w:rFonts w:ascii="Calibri" w:hAnsi="Calibri"/>
          <w:i/>
          <w:color w:val="231F20"/>
          <w:sz w:val="17"/>
        </w:rPr>
        <w:t>Concentric: Literary and Cultural </w:t>
      </w:r>
      <w:r>
        <w:rPr>
          <w:rFonts w:ascii="Calibri" w:hAnsi="Calibri"/>
          <w:i/>
          <w:color w:val="231F20"/>
          <w:sz w:val="17"/>
        </w:rPr>
        <w:t>Studies</w:t>
      </w:r>
      <w:r>
        <w:rPr>
          <w:rFonts w:ascii="Calibri" w:hAnsi="Calibri"/>
          <w:color w:val="231F20"/>
          <w:sz w:val="17"/>
        </w:rPr>
        <w:t>, vol. 31, no. 1, 2005, p. 18.</w:t>
      </w:r>
    </w:p>
    <w:p>
      <w:pPr>
        <w:spacing w:after="0" w:line="204" w:lineRule="exact"/>
        <w:jc w:val="both"/>
        <w:rPr>
          <w:rFonts w:ascii="Calibri" w:hAnsi="Calibri"/>
          <w:sz w:val="17"/>
        </w:rPr>
        <w:sectPr>
          <w:pgSz w:w="9640" w:h="13890"/>
          <w:pgMar w:top="0" w:bottom="280" w:left="1300" w:right="1200"/>
        </w:sectPr>
      </w:pPr>
    </w:p>
    <w:p>
      <w:pPr>
        <w:pStyle w:val="BodyText"/>
        <w:spacing w:line="244" w:lineRule="auto" w:before="107"/>
        <w:ind w:left="103" w:right="115"/>
        <w:jc w:val="both"/>
      </w:pPr>
      <w:r>
        <w:rPr>
          <w:rFonts w:ascii="Arial"/>
          <w:i/>
          <w:color w:val="231F20"/>
          <w:w w:val="105"/>
        </w:rPr>
        <w:t>zona</w:t>
      </w:r>
      <w:r>
        <w:rPr>
          <w:rFonts w:ascii="Arial"/>
          <w:i/>
          <w:color w:val="231F20"/>
          <w:spacing w:val="-11"/>
          <w:w w:val="105"/>
        </w:rPr>
        <w:t> </w:t>
      </w:r>
      <w:r>
        <w:rPr>
          <w:rFonts w:ascii="Arial"/>
          <w:i/>
          <w:color w:val="231F20"/>
          <w:w w:val="105"/>
        </w:rPr>
        <w:t>de</w:t>
      </w:r>
      <w:r>
        <w:rPr>
          <w:rFonts w:ascii="Arial"/>
          <w:i/>
          <w:color w:val="231F20"/>
          <w:spacing w:val="-11"/>
          <w:w w:val="105"/>
        </w:rPr>
        <w:t> </w:t>
      </w:r>
      <w:r>
        <w:rPr>
          <w:rFonts w:ascii="Arial"/>
          <w:i/>
          <w:color w:val="231F20"/>
          <w:w w:val="105"/>
        </w:rPr>
        <w:t>indecidibilidad</w:t>
      </w:r>
      <w:r>
        <w:rPr>
          <w:rFonts w:ascii="Arial"/>
          <w:i/>
          <w:color w:val="231F20"/>
          <w:spacing w:val="-11"/>
          <w:w w:val="105"/>
        </w:rPr>
        <w:t> </w:t>
      </w:r>
      <w:r>
        <w:rPr>
          <w:color w:val="231F20"/>
          <w:w w:val="105"/>
        </w:rPr>
        <w:t>entre</w:t>
      </w:r>
      <w:r>
        <w:rPr>
          <w:color w:val="231F20"/>
          <w:spacing w:val="-18"/>
          <w:w w:val="105"/>
        </w:rPr>
        <w:t> </w:t>
      </w:r>
      <w:r>
        <w:rPr>
          <w:color w:val="231F20"/>
          <w:w w:val="105"/>
        </w:rPr>
        <w:t>lo</w:t>
      </w:r>
      <w:r>
        <w:rPr>
          <w:color w:val="231F20"/>
          <w:spacing w:val="-18"/>
          <w:w w:val="105"/>
        </w:rPr>
        <w:t> </w:t>
      </w:r>
      <w:r>
        <w:rPr>
          <w:color w:val="231F20"/>
          <w:w w:val="105"/>
        </w:rPr>
        <w:t>local</w:t>
      </w:r>
      <w:r>
        <w:rPr>
          <w:color w:val="231F20"/>
          <w:spacing w:val="-18"/>
          <w:w w:val="105"/>
        </w:rPr>
        <w:t> </w:t>
      </w:r>
      <w:r>
        <w:rPr>
          <w:color w:val="231F20"/>
          <w:w w:val="105"/>
        </w:rPr>
        <w:t>y</w:t>
      </w:r>
      <w:r>
        <w:rPr>
          <w:color w:val="231F20"/>
          <w:spacing w:val="-18"/>
          <w:w w:val="105"/>
        </w:rPr>
        <w:t> </w:t>
      </w:r>
      <w:r>
        <w:rPr>
          <w:color w:val="231F20"/>
          <w:w w:val="105"/>
        </w:rPr>
        <w:t>lo</w:t>
      </w:r>
      <w:r>
        <w:rPr>
          <w:color w:val="231F20"/>
          <w:spacing w:val="-18"/>
          <w:w w:val="105"/>
        </w:rPr>
        <w:t> </w:t>
      </w:r>
      <w:r>
        <w:rPr>
          <w:color w:val="231F20"/>
          <w:w w:val="105"/>
        </w:rPr>
        <w:t>global:</w:t>
      </w:r>
      <w:r>
        <w:rPr>
          <w:color w:val="231F20"/>
          <w:spacing w:val="-18"/>
          <w:w w:val="105"/>
        </w:rPr>
        <w:t> </w:t>
      </w:r>
      <w:r>
        <w:rPr>
          <w:color w:val="231F20"/>
          <w:w w:val="105"/>
        </w:rPr>
        <w:t>ni</w:t>
      </w:r>
      <w:r>
        <w:rPr>
          <w:color w:val="231F20"/>
          <w:spacing w:val="-18"/>
          <w:w w:val="105"/>
        </w:rPr>
        <w:t> </w:t>
      </w:r>
      <w:r>
        <w:rPr>
          <w:color w:val="231F20"/>
          <w:w w:val="105"/>
        </w:rPr>
        <w:t>propiamente</w:t>
      </w:r>
      <w:r>
        <w:rPr>
          <w:color w:val="231F20"/>
          <w:spacing w:val="-18"/>
          <w:w w:val="105"/>
        </w:rPr>
        <w:t> </w:t>
      </w:r>
      <w:r>
        <w:rPr>
          <w:color w:val="231F20"/>
          <w:w w:val="105"/>
        </w:rPr>
        <w:t>globales ni</w:t>
      </w:r>
      <w:r>
        <w:rPr>
          <w:color w:val="231F20"/>
          <w:spacing w:val="-11"/>
          <w:w w:val="105"/>
        </w:rPr>
        <w:t> </w:t>
      </w:r>
      <w:r>
        <w:rPr>
          <w:color w:val="231F20"/>
          <w:w w:val="105"/>
        </w:rPr>
        <w:t>propiamente</w:t>
      </w:r>
      <w:r>
        <w:rPr>
          <w:color w:val="231F20"/>
          <w:spacing w:val="-11"/>
          <w:w w:val="105"/>
        </w:rPr>
        <w:t> </w:t>
      </w:r>
      <w:r>
        <w:rPr>
          <w:color w:val="231F20"/>
          <w:w w:val="105"/>
        </w:rPr>
        <w:t>locales.</w:t>
      </w:r>
      <w:r>
        <w:rPr>
          <w:color w:val="231F20"/>
          <w:spacing w:val="-11"/>
          <w:w w:val="105"/>
        </w:rPr>
        <w:t> </w:t>
      </w:r>
      <w:r>
        <w:rPr>
          <w:color w:val="231F20"/>
          <w:w w:val="105"/>
        </w:rPr>
        <w:t>Las</w:t>
      </w:r>
      <w:r>
        <w:rPr>
          <w:color w:val="231F20"/>
          <w:spacing w:val="-11"/>
          <w:w w:val="105"/>
        </w:rPr>
        <w:t> </w:t>
      </w:r>
      <w:r>
        <w:rPr>
          <w:color w:val="231F20"/>
          <w:w w:val="105"/>
        </w:rPr>
        <w:t>paradojas</w:t>
      </w:r>
      <w:r>
        <w:rPr>
          <w:color w:val="231F20"/>
          <w:spacing w:val="-11"/>
          <w:w w:val="105"/>
        </w:rPr>
        <w:t> </w:t>
      </w:r>
      <w:r>
        <w:rPr>
          <w:color w:val="231F20"/>
          <w:w w:val="105"/>
        </w:rPr>
        <w:t>radicales</w:t>
      </w:r>
      <w:r>
        <w:rPr>
          <w:color w:val="231F20"/>
          <w:spacing w:val="-11"/>
          <w:w w:val="105"/>
        </w:rPr>
        <w:t> </w:t>
      </w:r>
      <w:r>
        <w:rPr>
          <w:color w:val="231F20"/>
          <w:w w:val="105"/>
        </w:rPr>
        <w:t>a</w:t>
      </w:r>
      <w:r>
        <w:rPr>
          <w:color w:val="231F20"/>
          <w:spacing w:val="-11"/>
          <w:w w:val="105"/>
        </w:rPr>
        <w:t> </w:t>
      </w:r>
      <w:r>
        <w:rPr>
          <w:color w:val="231F20"/>
          <w:w w:val="105"/>
        </w:rPr>
        <w:t>las</w:t>
      </w:r>
      <w:r>
        <w:rPr>
          <w:color w:val="231F20"/>
          <w:spacing w:val="-11"/>
          <w:w w:val="105"/>
        </w:rPr>
        <w:t> </w:t>
      </w:r>
      <w:r>
        <w:rPr>
          <w:color w:val="231F20"/>
          <w:w w:val="105"/>
        </w:rPr>
        <w:t>que</w:t>
      </w:r>
      <w:r>
        <w:rPr>
          <w:color w:val="231F20"/>
          <w:spacing w:val="-11"/>
          <w:w w:val="105"/>
        </w:rPr>
        <w:t> </w:t>
      </w:r>
      <w:r>
        <w:rPr>
          <w:color w:val="231F20"/>
          <w:w w:val="105"/>
        </w:rPr>
        <w:t>aspira</w:t>
      </w:r>
      <w:r>
        <w:rPr>
          <w:color w:val="231F20"/>
          <w:spacing w:val="-11"/>
          <w:w w:val="105"/>
        </w:rPr>
        <w:t> </w:t>
      </w:r>
      <w:r>
        <w:rPr>
          <w:color w:val="231F20"/>
          <w:w w:val="105"/>
        </w:rPr>
        <w:t>Deleuze nos</w:t>
      </w:r>
      <w:r>
        <w:rPr>
          <w:color w:val="231F20"/>
          <w:spacing w:val="-7"/>
          <w:w w:val="105"/>
        </w:rPr>
        <w:t> </w:t>
      </w:r>
      <w:r>
        <w:rPr>
          <w:color w:val="231F20"/>
          <w:w w:val="105"/>
        </w:rPr>
        <w:t>hablan</w:t>
      </w:r>
      <w:r>
        <w:rPr>
          <w:color w:val="231F20"/>
          <w:spacing w:val="-7"/>
          <w:w w:val="105"/>
        </w:rPr>
        <w:t> </w:t>
      </w:r>
      <w:r>
        <w:rPr>
          <w:color w:val="231F20"/>
          <w:w w:val="105"/>
        </w:rPr>
        <w:t>de</w:t>
      </w:r>
      <w:r>
        <w:rPr>
          <w:color w:val="231F20"/>
          <w:spacing w:val="-7"/>
          <w:w w:val="105"/>
        </w:rPr>
        <w:t> </w:t>
      </w:r>
      <w:r>
        <w:rPr>
          <w:color w:val="231F20"/>
          <w:w w:val="105"/>
        </w:rPr>
        <w:t>polos</w:t>
      </w:r>
      <w:r>
        <w:rPr>
          <w:color w:val="231F20"/>
          <w:spacing w:val="-7"/>
          <w:w w:val="105"/>
        </w:rPr>
        <w:t> </w:t>
      </w:r>
      <w:r>
        <w:rPr>
          <w:color w:val="231F20"/>
          <w:w w:val="105"/>
        </w:rPr>
        <w:t>no</w:t>
      </w:r>
      <w:r>
        <w:rPr>
          <w:color w:val="231F20"/>
          <w:spacing w:val="-7"/>
          <w:w w:val="105"/>
        </w:rPr>
        <w:t> </w:t>
      </w:r>
      <w:r>
        <w:rPr>
          <w:color w:val="231F20"/>
          <w:w w:val="105"/>
        </w:rPr>
        <w:t>claros,</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w w:val="105"/>
        </w:rPr>
        <w:t>conforman</w:t>
      </w:r>
      <w:r>
        <w:rPr>
          <w:color w:val="231F20"/>
          <w:spacing w:val="-7"/>
          <w:w w:val="105"/>
        </w:rPr>
        <w:t> </w:t>
      </w:r>
      <w:r>
        <w:rPr>
          <w:color w:val="231F20"/>
          <w:w w:val="105"/>
        </w:rPr>
        <w:t>y</w:t>
      </w:r>
      <w:r>
        <w:rPr>
          <w:color w:val="231F20"/>
          <w:spacing w:val="-7"/>
          <w:w w:val="105"/>
        </w:rPr>
        <w:t> </w:t>
      </w:r>
      <w:r>
        <w:rPr>
          <w:color w:val="231F20"/>
          <w:w w:val="105"/>
        </w:rPr>
        <w:t>rehacen</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medida que</w:t>
      </w:r>
      <w:r>
        <w:rPr>
          <w:color w:val="231F20"/>
          <w:spacing w:val="-45"/>
          <w:w w:val="105"/>
        </w:rPr>
        <w:t> </w:t>
      </w:r>
      <w:r>
        <w:rPr>
          <w:color w:val="231F20"/>
          <w:w w:val="105"/>
        </w:rPr>
        <w:t>se</w:t>
      </w:r>
      <w:r>
        <w:rPr>
          <w:color w:val="231F20"/>
          <w:spacing w:val="-45"/>
          <w:w w:val="105"/>
        </w:rPr>
        <w:t> </w:t>
      </w:r>
      <w:r>
        <w:rPr>
          <w:color w:val="231F20"/>
          <w:w w:val="105"/>
        </w:rPr>
        <w:t>encuentran</w:t>
      </w:r>
      <w:r>
        <w:rPr>
          <w:color w:val="231F20"/>
          <w:spacing w:val="-45"/>
          <w:w w:val="105"/>
        </w:rPr>
        <w:t> </w:t>
      </w:r>
      <w:r>
        <w:rPr>
          <w:color w:val="231F20"/>
          <w:w w:val="105"/>
        </w:rPr>
        <w:t>y</w:t>
      </w:r>
      <w:r>
        <w:rPr>
          <w:color w:val="231F20"/>
          <w:spacing w:val="-45"/>
          <w:w w:val="105"/>
        </w:rPr>
        <w:t> </w:t>
      </w:r>
      <w:r>
        <w:rPr>
          <w:color w:val="231F20"/>
          <w:w w:val="105"/>
        </w:rPr>
        <w:t>confrontan.</w:t>
      </w:r>
    </w:p>
    <w:p>
      <w:pPr>
        <w:pStyle w:val="BodyText"/>
        <w:spacing w:line="247" w:lineRule="auto" w:before="1"/>
        <w:ind w:left="103" w:right="115" w:firstLine="566"/>
        <w:jc w:val="both"/>
      </w:pPr>
      <w:r>
        <w:rPr>
          <w:color w:val="231F20"/>
          <w:w w:val="105"/>
        </w:rPr>
        <w:t>Finalmente,</w:t>
      </w:r>
      <w:r>
        <w:rPr>
          <w:color w:val="231F20"/>
          <w:spacing w:val="-14"/>
          <w:w w:val="105"/>
        </w:rPr>
        <w:t> </w:t>
      </w:r>
      <w:r>
        <w:rPr>
          <w:color w:val="231F20"/>
          <w:w w:val="105"/>
        </w:rPr>
        <w:t>el</w:t>
      </w:r>
      <w:r>
        <w:rPr>
          <w:color w:val="231F20"/>
          <w:spacing w:val="-14"/>
          <w:w w:val="105"/>
        </w:rPr>
        <w:t> </w:t>
      </w:r>
      <w:r>
        <w:rPr>
          <w:color w:val="231F20"/>
          <w:w w:val="105"/>
        </w:rPr>
        <w:t>peligro</w:t>
      </w:r>
      <w:r>
        <w:rPr>
          <w:color w:val="231F20"/>
          <w:spacing w:val="-14"/>
          <w:w w:val="105"/>
        </w:rPr>
        <w:t> </w:t>
      </w:r>
      <w:r>
        <w:rPr>
          <w:color w:val="231F20"/>
          <w:w w:val="105"/>
        </w:rPr>
        <w:t>de</w:t>
      </w:r>
      <w:r>
        <w:rPr>
          <w:color w:val="231F20"/>
          <w:spacing w:val="-14"/>
          <w:w w:val="105"/>
        </w:rPr>
        <w:t> </w:t>
      </w:r>
      <w:r>
        <w:rPr>
          <w:color w:val="231F20"/>
          <w:w w:val="105"/>
        </w:rPr>
        <w:t>naturalizar</w:t>
      </w:r>
      <w:r>
        <w:rPr>
          <w:color w:val="231F20"/>
          <w:spacing w:val="-14"/>
          <w:w w:val="105"/>
        </w:rPr>
        <w:t> </w:t>
      </w:r>
      <w:r>
        <w:rPr>
          <w:color w:val="231F20"/>
          <w:w w:val="105"/>
        </w:rPr>
        <w:t>las</w:t>
      </w:r>
      <w:r>
        <w:rPr>
          <w:color w:val="231F20"/>
          <w:spacing w:val="-14"/>
          <w:w w:val="105"/>
        </w:rPr>
        <w:t> </w:t>
      </w:r>
      <w:r>
        <w:rPr>
          <w:color w:val="231F20"/>
          <w:w w:val="105"/>
        </w:rPr>
        <w:t>paradojas</w:t>
      </w:r>
      <w:r>
        <w:rPr>
          <w:color w:val="231F20"/>
          <w:spacing w:val="-14"/>
          <w:w w:val="105"/>
        </w:rPr>
        <w:t> </w:t>
      </w:r>
      <w:r>
        <w:rPr>
          <w:color w:val="231F20"/>
          <w:w w:val="105"/>
        </w:rPr>
        <w:t>es</w:t>
      </w:r>
      <w:r>
        <w:rPr>
          <w:color w:val="231F20"/>
          <w:spacing w:val="-14"/>
          <w:w w:val="105"/>
        </w:rPr>
        <w:t> </w:t>
      </w:r>
      <w:r>
        <w:rPr>
          <w:color w:val="231F20"/>
          <w:w w:val="105"/>
        </w:rPr>
        <w:t>que</w:t>
      </w:r>
      <w:r>
        <w:rPr>
          <w:color w:val="231F20"/>
          <w:spacing w:val="-14"/>
          <w:w w:val="105"/>
        </w:rPr>
        <w:t> </w:t>
      </w:r>
      <w:r>
        <w:rPr>
          <w:color w:val="231F20"/>
          <w:w w:val="105"/>
        </w:rPr>
        <w:t>al</w:t>
      </w:r>
      <w:r>
        <w:rPr>
          <w:color w:val="231F20"/>
          <w:spacing w:val="-14"/>
          <w:w w:val="105"/>
        </w:rPr>
        <w:t> </w:t>
      </w:r>
      <w:r>
        <w:rPr>
          <w:color w:val="231F20"/>
          <w:w w:val="105"/>
        </w:rPr>
        <w:t>hacer- lo</w:t>
      </w:r>
      <w:r>
        <w:rPr>
          <w:color w:val="231F20"/>
          <w:spacing w:val="-6"/>
          <w:w w:val="105"/>
        </w:rPr>
        <w:t> </w:t>
      </w:r>
      <w:r>
        <w:rPr>
          <w:color w:val="231F20"/>
          <w:w w:val="105"/>
        </w:rPr>
        <w:t>perdemos</w:t>
      </w:r>
      <w:r>
        <w:rPr>
          <w:color w:val="231F20"/>
          <w:spacing w:val="-6"/>
          <w:w w:val="105"/>
        </w:rPr>
        <w:t> </w:t>
      </w:r>
      <w:r>
        <w:rPr>
          <w:color w:val="231F20"/>
          <w:w w:val="105"/>
        </w:rPr>
        <w:t>la</w:t>
      </w:r>
      <w:r>
        <w:rPr>
          <w:color w:val="231F20"/>
          <w:spacing w:val="-6"/>
          <w:w w:val="105"/>
        </w:rPr>
        <w:t> </w:t>
      </w:r>
      <w:r>
        <w:rPr>
          <w:color w:val="231F20"/>
          <w:w w:val="105"/>
        </w:rPr>
        <w:t>posibilidad</w:t>
      </w:r>
      <w:r>
        <w:rPr>
          <w:color w:val="231F20"/>
          <w:spacing w:val="-6"/>
          <w:w w:val="105"/>
        </w:rPr>
        <w:t> </w:t>
      </w:r>
      <w:r>
        <w:rPr>
          <w:color w:val="231F20"/>
          <w:w w:val="105"/>
        </w:rPr>
        <w:t>de</w:t>
      </w:r>
      <w:r>
        <w:rPr>
          <w:color w:val="231F20"/>
          <w:spacing w:val="-6"/>
          <w:w w:val="105"/>
        </w:rPr>
        <w:t> </w:t>
      </w:r>
      <w:r>
        <w:rPr>
          <w:color w:val="231F20"/>
          <w:w w:val="105"/>
        </w:rPr>
        <w:t>experimentar</w:t>
      </w:r>
      <w:r>
        <w:rPr>
          <w:color w:val="231F20"/>
          <w:spacing w:val="-6"/>
          <w:w w:val="105"/>
        </w:rPr>
        <w:t> </w:t>
      </w:r>
      <w:r>
        <w:rPr>
          <w:color w:val="231F20"/>
          <w:w w:val="105"/>
        </w:rPr>
        <w:t>la</w:t>
      </w:r>
      <w:r>
        <w:rPr>
          <w:color w:val="231F20"/>
          <w:spacing w:val="-6"/>
          <w:w w:val="105"/>
        </w:rPr>
        <w:t> </w:t>
      </w:r>
      <w:r>
        <w:rPr>
          <w:color w:val="231F20"/>
          <w:w w:val="105"/>
        </w:rPr>
        <w:t>diferencia</w:t>
      </w:r>
      <w:r>
        <w:rPr>
          <w:color w:val="231F20"/>
          <w:spacing w:val="-6"/>
          <w:w w:val="105"/>
        </w:rPr>
        <w:t> </w:t>
      </w:r>
      <w:r>
        <w:rPr>
          <w:color w:val="231F20"/>
          <w:w w:val="105"/>
        </w:rPr>
        <w:t>radical,</w:t>
      </w:r>
      <w:r>
        <w:rPr>
          <w:color w:val="231F20"/>
          <w:spacing w:val="-6"/>
          <w:w w:val="105"/>
        </w:rPr>
        <w:t> </w:t>
      </w:r>
      <w:r>
        <w:rPr>
          <w:color w:val="231F20"/>
          <w:w w:val="105"/>
        </w:rPr>
        <w:t>aquella irreductible</w:t>
      </w:r>
      <w:r>
        <w:rPr>
          <w:color w:val="231F20"/>
          <w:spacing w:val="-21"/>
          <w:w w:val="105"/>
        </w:rPr>
        <w:t> </w:t>
      </w:r>
      <w:r>
        <w:rPr>
          <w:color w:val="231F20"/>
          <w:w w:val="105"/>
        </w:rPr>
        <w:t>a</w:t>
      </w:r>
      <w:r>
        <w:rPr>
          <w:color w:val="231F20"/>
          <w:spacing w:val="-21"/>
          <w:w w:val="105"/>
        </w:rPr>
        <w:t> </w:t>
      </w:r>
      <w:r>
        <w:rPr>
          <w:color w:val="231F20"/>
          <w:w w:val="105"/>
        </w:rPr>
        <w:t>una</w:t>
      </w:r>
      <w:r>
        <w:rPr>
          <w:color w:val="231F20"/>
          <w:spacing w:val="-21"/>
          <w:w w:val="105"/>
        </w:rPr>
        <w:t> </w:t>
      </w:r>
      <w:r>
        <w:rPr>
          <w:color w:val="231F20"/>
          <w:w w:val="105"/>
        </w:rPr>
        <w:t>dicotomía</w:t>
      </w:r>
      <w:r>
        <w:rPr>
          <w:color w:val="231F20"/>
          <w:spacing w:val="-21"/>
          <w:w w:val="105"/>
        </w:rPr>
        <w:t> </w:t>
      </w:r>
      <w:r>
        <w:rPr>
          <w:color w:val="231F20"/>
          <w:w w:val="105"/>
        </w:rPr>
        <w:t>prestablecida,</w:t>
      </w:r>
      <w:r>
        <w:rPr>
          <w:color w:val="231F20"/>
          <w:spacing w:val="-21"/>
          <w:w w:val="105"/>
        </w:rPr>
        <w:t> </w:t>
      </w:r>
      <w:r>
        <w:rPr>
          <w:color w:val="231F20"/>
          <w:w w:val="105"/>
        </w:rPr>
        <w:t>pues</w:t>
      </w:r>
      <w:r>
        <w:rPr>
          <w:color w:val="231F20"/>
          <w:spacing w:val="-21"/>
          <w:w w:val="105"/>
        </w:rPr>
        <w:t> </w:t>
      </w:r>
      <w:r>
        <w:rPr>
          <w:color w:val="231F20"/>
          <w:w w:val="105"/>
        </w:rPr>
        <w:t>tales</w:t>
      </w:r>
      <w:r>
        <w:rPr>
          <w:color w:val="231F20"/>
          <w:spacing w:val="-21"/>
          <w:w w:val="105"/>
        </w:rPr>
        <w:t> </w:t>
      </w:r>
      <w:r>
        <w:rPr>
          <w:color w:val="231F20"/>
          <w:w w:val="105"/>
        </w:rPr>
        <w:t>coplas</w:t>
      </w:r>
      <w:r>
        <w:rPr>
          <w:color w:val="231F20"/>
          <w:spacing w:val="-21"/>
          <w:w w:val="105"/>
        </w:rPr>
        <w:t> </w:t>
      </w:r>
      <w:r>
        <w:rPr>
          <w:color w:val="231F20"/>
          <w:w w:val="105"/>
        </w:rPr>
        <w:t>suelen</w:t>
      </w:r>
      <w:r>
        <w:rPr>
          <w:color w:val="231F20"/>
          <w:spacing w:val="-21"/>
          <w:w w:val="105"/>
        </w:rPr>
        <w:t> </w:t>
      </w:r>
      <w:r>
        <w:rPr>
          <w:color w:val="231F20"/>
          <w:w w:val="105"/>
        </w:rPr>
        <w:t>estar auspiciadas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fondo—</w:t>
      </w:r>
      <w:r>
        <w:rPr>
          <w:color w:val="231F20"/>
          <w:spacing w:val="-13"/>
          <w:w w:val="105"/>
        </w:rPr>
        <w:t> </w:t>
      </w:r>
      <w:r>
        <w:rPr>
          <w:color w:val="231F20"/>
          <w:w w:val="105"/>
        </w:rPr>
        <w:t>por</w:t>
      </w:r>
      <w:r>
        <w:rPr>
          <w:color w:val="231F20"/>
          <w:spacing w:val="-13"/>
          <w:w w:val="105"/>
        </w:rPr>
        <w:t> </w:t>
      </w:r>
      <w:r>
        <w:rPr>
          <w:color w:val="231F20"/>
          <w:w w:val="105"/>
        </w:rPr>
        <w:t>la</w:t>
      </w:r>
      <w:r>
        <w:rPr>
          <w:color w:val="231F20"/>
          <w:spacing w:val="-13"/>
          <w:w w:val="105"/>
        </w:rPr>
        <w:t> </w:t>
      </w:r>
      <w:r>
        <w:rPr>
          <w:color w:val="231F20"/>
          <w:w w:val="105"/>
        </w:rPr>
        <w:t>hegemonía</w:t>
      </w:r>
      <w:r>
        <w:rPr>
          <w:color w:val="231F20"/>
          <w:spacing w:val="-13"/>
          <w:w w:val="105"/>
        </w:rPr>
        <w:t> </w:t>
      </w:r>
      <w:r>
        <w:rPr>
          <w:color w:val="231F20"/>
          <w:w w:val="105"/>
        </w:rPr>
        <w:t>de</w:t>
      </w:r>
      <w:r>
        <w:rPr>
          <w:color w:val="231F20"/>
          <w:spacing w:val="-13"/>
          <w:w w:val="105"/>
        </w:rPr>
        <w:t> </w:t>
      </w:r>
      <w:r>
        <w:rPr>
          <w:color w:val="231F20"/>
          <w:w w:val="105"/>
        </w:rPr>
        <w:t>alguno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opuestos que las constituyen. En el caso de lo </w:t>
      </w:r>
      <w:r>
        <w:rPr>
          <w:rFonts w:ascii="Arial" w:hAnsi="Arial"/>
          <w:i/>
          <w:color w:val="231F20"/>
          <w:w w:val="105"/>
        </w:rPr>
        <w:t>glocal</w:t>
      </w:r>
      <w:r>
        <w:rPr>
          <w:color w:val="231F20"/>
          <w:w w:val="105"/>
        </w:rPr>
        <w:t>, es sin duda la perspectiva global–liberal</w:t>
      </w:r>
      <w:r>
        <w:rPr>
          <w:color w:val="231F20"/>
          <w:spacing w:val="-9"/>
          <w:w w:val="105"/>
        </w:rPr>
        <w:t> </w:t>
      </w:r>
      <w:r>
        <w:rPr>
          <w:color w:val="231F20"/>
          <w:w w:val="105"/>
        </w:rPr>
        <w:t>la</w:t>
      </w:r>
      <w:r>
        <w:rPr>
          <w:color w:val="231F20"/>
          <w:spacing w:val="-9"/>
          <w:w w:val="105"/>
        </w:rPr>
        <w:t> </w:t>
      </w:r>
      <w:r>
        <w:rPr>
          <w:color w:val="231F20"/>
          <w:w w:val="105"/>
        </w:rPr>
        <w:t>que</w:t>
      </w:r>
      <w:r>
        <w:rPr>
          <w:color w:val="231F20"/>
          <w:spacing w:val="-9"/>
          <w:w w:val="105"/>
        </w:rPr>
        <w:t> </w:t>
      </w:r>
      <w:r>
        <w:rPr>
          <w:color w:val="231F20"/>
          <w:w w:val="105"/>
        </w:rPr>
        <w:t>domina</w:t>
      </w:r>
      <w:r>
        <w:rPr>
          <w:color w:val="231F20"/>
          <w:spacing w:val="-9"/>
          <w:w w:val="105"/>
        </w:rPr>
        <w:t> </w:t>
      </w:r>
      <w:r>
        <w:rPr>
          <w:color w:val="231F20"/>
          <w:w w:val="105"/>
        </w:rPr>
        <w:t>la</w:t>
      </w:r>
      <w:r>
        <w:rPr>
          <w:color w:val="231F20"/>
          <w:spacing w:val="-9"/>
          <w:w w:val="105"/>
        </w:rPr>
        <w:t> </w:t>
      </w:r>
      <w:r>
        <w:rPr>
          <w:color w:val="231F20"/>
          <w:w w:val="105"/>
        </w:rPr>
        <w:t>paradoja,</w:t>
      </w:r>
      <w:r>
        <w:rPr>
          <w:color w:val="231F20"/>
          <w:spacing w:val="-9"/>
          <w:w w:val="105"/>
        </w:rPr>
        <w:t> </w:t>
      </w:r>
      <w:r>
        <w:rPr>
          <w:color w:val="231F20"/>
          <w:w w:val="105"/>
        </w:rPr>
        <w:t>con</w:t>
      </w:r>
      <w:r>
        <w:rPr>
          <w:color w:val="231F20"/>
          <w:spacing w:val="-9"/>
          <w:w w:val="105"/>
        </w:rPr>
        <w:t> </w:t>
      </w:r>
      <w:r>
        <w:rPr>
          <w:color w:val="231F20"/>
          <w:w w:val="105"/>
        </w:rPr>
        <w:t>lo</w:t>
      </w:r>
      <w:r>
        <w:rPr>
          <w:color w:val="231F20"/>
          <w:spacing w:val="-9"/>
          <w:w w:val="105"/>
        </w:rPr>
        <w:t> </w:t>
      </w:r>
      <w:r>
        <w:rPr>
          <w:color w:val="231F20"/>
          <w:w w:val="105"/>
        </w:rPr>
        <w:t>cual</w:t>
      </w:r>
      <w:r>
        <w:rPr>
          <w:color w:val="231F20"/>
          <w:spacing w:val="-9"/>
          <w:w w:val="105"/>
        </w:rPr>
        <w:t> </w:t>
      </w:r>
      <w:r>
        <w:rPr>
          <w:color w:val="231F20"/>
          <w:w w:val="105"/>
        </w:rPr>
        <w:t>lo</w:t>
      </w:r>
      <w:r>
        <w:rPr>
          <w:color w:val="231F20"/>
          <w:spacing w:val="-9"/>
          <w:w w:val="105"/>
        </w:rPr>
        <w:t> </w:t>
      </w:r>
      <w:r>
        <w:rPr>
          <w:color w:val="231F20"/>
          <w:w w:val="105"/>
        </w:rPr>
        <w:t>local</w:t>
      </w:r>
      <w:r>
        <w:rPr>
          <w:color w:val="231F20"/>
          <w:spacing w:val="-9"/>
          <w:w w:val="105"/>
        </w:rPr>
        <w:t> </w:t>
      </w:r>
      <w:r>
        <w:rPr>
          <w:color w:val="231F20"/>
          <w:w w:val="105"/>
        </w:rPr>
        <w:t>termina</w:t>
      </w:r>
      <w:r>
        <w:rPr>
          <w:color w:val="231F20"/>
          <w:spacing w:val="-9"/>
          <w:w w:val="105"/>
        </w:rPr>
        <w:t> </w:t>
      </w:r>
      <w:r>
        <w:rPr>
          <w:color w:val="231F20"/>
          <w:w w:val="105"/>
        </w:rPr>
        <w:t>de- finiéndose</w:t>
      </w:r>
      <w:r>
        <w:rPr>
          <w:color w:val="231F20"/>
          <w:spacing w:val="-17"/>
          <w:w w:val="105"/>
        </w:rPr>
        <w:t> </w:t>
      </w:r>
      <w:r>
        <w:rPr>
          <w:color w:val="231F20"/>
          <w:w w:val="105"/>
        </w:rPr>
        <w:t>exclusivamente</w:t>
      </w:r>
      <w:r>
        <w:rPr>
          <w:color w:val="231F20"/>
          <w:spacing w:val="-17"/>
          <w:w w:val="105"/>
        </w:rPr>
        <w:t> </w:t>
      </w:r>
      <w:r>
        <w:rPr>
          <w:color w:val="231F20"/>
          <w:w w:val="105"/>
        </w:rPr>
        <w:t>en</w:t>
      </w:r>
      <w:r>
        <w:rPr>
          <w:color w:val="231F20"/>
          <w:spacing w:val="-17"/>
          <w:w w:val="105"/>
        </w:rPr>
        <w:t> </w:t>
      </w:r>
      <w:r>
        <w:rPr>
          <w:color w:val="231F20"/>
          <w:w w:val="105"/>
        </w:rPr>
        <w:t>oposición</w:t>
      </w:r>
      <w:r>
        <w:rPr>
          <w:color w:val="231F20"/>
          <w:spacing w:val="-17"/>
          <w:w w:val="105"/>
        </w:rPr>
        <w:t> </w:t>
      </w:r>
      <w:r>
        <w:rPr>
          <w:color w:val="231F20"/>
          <w:w w:val="105"/>
        </w:rPr>
        <w:t>a</w:t>
      </w:r>
      <w:r>
        <w:rPr>
          <w:color w:val="231F20"/>
          <w:spacing w:val="-17"/>
          <w:w w:val="105"/>
        </w:rPr>
        <w:t> </w:t>
      </w:r>
      <w:r>
        <w:rPr>
          <w:color w:val="231F20"/>
          <w:w w:val="105"/>
        </w:rPr>
        <w:t>una</w:t>
      </w:r>
      <w:r>
        <w:rPr>
          <w:color w:val="231F20"/>
          <w:spacing w:val="-17"/>
          <w:w w:val="105"/>
        </w:rPr>
        <w:t> </w:t>
      </w:r>
      <w:r>
        <w:rPr>
          <w:color w:val="231F20"/>
          <w:w w:val="105"/>
        </w:rPr>
        <w:t>dicotomía</w:t>
      </w:r>
      <w:r>
        <w:rPr>
          <w:color w:val="231F20"/>
          <w:spacing w:val="-17"/>
          <w:w w:val="105"/>
        </w:rPr>
        <w:t> </w:t>
      </w:r>
      <w:r>
        <w:rPr>
          <w:color w:val="231F20"/>
          <w:w w:val="105"/>
        </w:rPr>
        <w:t>impuesta</w:t>
      </w:r>
      <w:r>
        <w:rPr>
          <w:color w:val="231F20"/>
          <w:spacing w:val="-17"/>
          <w:w w:val="105"/>
        </w:rPr>
        <w:t> </w:t>
      </w:r>
      <w:r>
        <w:rPr>
          <w:color w:val="231F20"/>
          <w:w w:val="105"/>
        </w:rPr>
        <w:t>desde la</w:t>
      </w:r>
      <w:r>
        <w:rPr>
          <w:color w:val="231F20"/>
          <w:spacing w:val="-11"/>
          <w:w w:val="105"/>
        </w:rPr>
        <w:t> </w:t>
      </w:r>
      <w:r>
        <w:rPr>
          <w:color w:val="231F20"/>
          <w:w w:val="105"/>
        </w:rPr>
        <w:t>perspectiva</w:t>
      </w:r>
      <w:r>
        <w:rPr>
          <w:color w:val="231F20"/>
          <w:spacing w:val="-11"/>
          <w:w w:val="105"/>
        </w:rPr>
        <w:t> </w:t>
      </w:r>
      <w:r>
        <w:rPr>
          <w:color w:val="231F20"/>
          <w:w w:val="105"/>
        </w:rPr>
        <w:t>hegemónica,</w:t>
      </w:r>
      <w:r>
        <w:rPr>
          <w:color w:val="231F20"/>
          <w:spacing w:val="-11"/>
          <w:w w:val="105"/>
        </w:rPr>
        <w:t> </w:t>
      </w:r>
      <w:r>
        <w:rPr>
          <w:color w:val="231F20"/>
          <w:w w:val="105"/>
        </w:rPr>
        <w:t>perdiendo</w:t>
      </w:r>
      <w:r>
        <w:rPr>
          <w:color w:val="231F20"/>
          <w:spacing w:val="-11"/>
          <w:w w:val="105"/>
        </w:rPr>
        <w:t> </w:t>
      </w:r>
      <w:r>
        <w:rPr>
          <w:color w:val="231F20"/>
          <w:w w:val="105"/>
        </w:rPr>
        <w:t>la</w:t>
      </w:r>
      <w:r>
        <w:rPr>
          <w:color w:val="231F20"/>
          <w:spacing w:val="-11"/>
          <w:w w:val="105"/>
        </w:rPr>
        <w:t> </w:t>
      </w:r>
      <w:r>
        <w:rPr>
          <w:color w:val="231F20"/>
          <w:w w:val="105"/>
        </w:rPr>
        <w:t>posibilidad</w:t>
      </w:r>
      <w:r>
        <w:rPr>
          <w:color w:val="231F20"/>
          <w:spacing w:val="-11"/>
          <w:w w:val="105"/>
        </w:rPr>
        <w:t> </w:t>
      </w:r>
      <w:r>
        <w:rPr>
          <w:color w:val="231F20"/>
          <w:w w:val="105"/>
        </w:rPr>
        <w:t>de</w:t>
      </w:r>
      <w:r>
        <w:rPr>
          <w:color w:val="231F20"/>
          <w:spacing w:val="-11"/>
          <w:w w:val="105"/>
        </w:rPr>
        <w:t> </w:t>
      </w:r>
      <w:r>
        <w:rPr>
          <w:color w:val="231F20"/>
          <w:w w:val="105"/>
        </w:rPr>
        <w:t>explorarse</w:t>
      </w:r>
      <w:r>
        <w:rPr>
          <w:color w:val="231F20"/>
          <w:spacing w:val="-11"/>
          <w:w w:val="105"/>
        </w:rPr>
        <w:t> </w:t>
      </w:r>
      <w:r>
        <w:rPr>
          <w:color w:val="231F20"/>
          <w:w w:val="105"/>
        </w:rPr>
        <w:t>como diferencia</w:t>
      </w:r>
      <w:r>
        <w:rPr>
          <w:color w:val="231F20"/>
          <w:spacing w:val="-7"/>
          <w:w w:val="105"/>
        </w:rPr>
        <w:t> </w:t>
      </w:r>
      <w:r>
        <w:rPr>
          <w:color w:val="231F20"/>
          <w:w w:val="105"/>
        </w:rPr>
        <w:t>radical.</w:t>
      </w:r>
      <w:r>
        <w:rPr>
          <w:color w:val="231F20"/>
          <w:spacing w:val="-7"/>
          <w:w w:val="105"/>
        </w:rPr>
        <w:t> </w:t>
      </w:r>
      <w:r>
        <w:rPr>
          <w:color w:val="231F20"/>
          <w:w w:val="105"/>
        </w:rPr>
        <w:t>En</w:t>
      </w:r>
      <w:r>
        <w:rPr>
          <w:color w:val="231F20"/>
          <w:spacing w:val="-7"/>
          <w:w w:val="105"/>
        </w:rPr>
        <w:t> </w:t>
      </w:r>
      <w:r>
        <w:rPr>
          <w:color w:val="231F20"/>
          <w:w w:val="105"/>
        </w:rPr>
        <w:t>este</w:t>
      </w:r>
      <w:r>
        <w:rPr>
          <w:color w:val="231F20"/>
          <w:spacing w:val="-7"/>
          <w:w w:val="105"/>
        </w:rPr>
        <w:t> </w:t>
      </w:r>
      <w:r>
        <w:rPr>
          <w:color w:val="231F20"/>
          <w:w w:val="105"/>
        </w:rPr>
        <w:t>punto,</w:t>
      </w:r>
      <w:r>
        <w:rPr>
          <w:color w:val="231F20"/>
          <w:spacing w:val="-7"/>
          <w:w w:val="105"/>
        </w:rPr>
        <w:t> </w:t>
      </w:r>
      <w:r>
        <w:rPr>
          <w:color w:val="231F20"/>
          <w:w w:val="105"/>
        </w:rPr>
        <w:t>autores</w:t>
      </w:r>
      <w:r>
        <w:rPr>
          <w:color w:val="231F20"/>
          <w:spacing w:val="-7"/>
          <w:w w:val="105"/>
        </w:rPr>
        <w:t> </w:t>
      </w:r>
      <w:r>
        <w:rPr>
          <w:color w:val="231F20"/>
          <w:w w:val="105"/>
        </w:rPr>
        <w:t>como</w:t>
      </w:r>
      <w:r>
        <w:rPr>
          <w:color w:val="231F20"/>
          <w:spacing w:val="-7"/>
          <w:w w:val="105"/>
        </w:rPr>
        <w:t> </w:t>
      </w:r>
      <w:r>
        <w:rPr>
          <w:color w:val="231F20"/>
          <w:w w:val="105"/>
        </w:rPr>
        <w:t>Marramao</w:t>
      </w:r>
      <w:r>
        <w:rPr>
          <w:color w:val="231F20"/>
          <w:spacing w:val="-7"/>
          <w:w w:val="105"/>
        </w:rPr>
        <w:t> </w:t>
      </w:r>
      <w:r>
        <w:rPr>
          <w:color w:val="231F20"/>
          <w:w w:val="105"/>
        </w:rPr>
        <w:t>concordarían abiertamente</w:t>
      </w:r>
      <w:r>
        <w:rPr>
          <w:color w:val="231F20"/>
          <w:spacing w:val="-43"/>
          <w:w w:val="105"/>
        </w:rPr>
        <w:t> </w:t>
      </w:r>
      <w:r>
        <w:rPr>
          <w:color w:val="231F20"/>
          <w:w w:val="105"/>
        </w:rPr>
        <w:t>con</w:t>
      </w:r>
      <w:r>
        <w:rPr>
          <w:color w:val="231F20"/>
          <w:spacing w:val="-43"/>
          <w:w w:val="105"/>
        </w:rPr>
        <w:t> </w:t>
      </w:r>
      <w:r>
        <w:rPr>
          <w:color w:val="231F20"/>
          <w:w w:val="105"/>
        </w:rPr>
        <w:t>la</w:t>
      </w:r>
      <w:r>
        <w:rPr>
          <w:color w:val="231F20"/>
          <w:spacing w:val="-43"/>
          <w:w w:val="105"/>
        </w:rPr>
        <w:t> </w:t>
      </w:r>
      <w:r>
        <w:rPr>
          <w:color w:val="231F20"/>
          <w:w w:val="105"/>
        </w:rPr>
        <w:t>perspectiva</w:t>
      </w:r>
      <w:r>
        <w:rPr>
          <w:color w:val="231F20"/>
          <w:spacing w:val="-43"/>
          <w:w w:val="105"/>
        </w:rPr>
        <w:t> </w:t>
      </w:r>
      <w:r>
        <w:rPr>
          <w:color w:val="231F20"/>
          <w:w w:val="105"/>
        </w:rPr>
        <w:t>deleuziana.</w:t>
      </w:r>
    </w:p>
    <w:p>
      <w:pPr>
        <w:pStyle w:val="BodyText"/>
        <w:spacing w:before="10"/>
        <w:rPr>
          <w:sz w:val="22"/>
        </w:rPr>
      </w:pPr>
    </w:p>
    <w:p>
      <w:pPr>
        <w:spacing w:line="220" w:lineRule="exact" w:before="1"/>
        <w:ind w:left="1521" w:right="115" w:firstLine="0"/>
        <w:jc w:val="both"/>
        <w:rPr>
          <w:sz w:val="19"/>
        </w:rPr>
      </w:pPr>
      <w:r>
        <w:rPr>
          <w:color w:val="231F20"/>
          <w:sz w:val="19"/>
        </w:rPr>
        <w:t>En este conflicto, lo local no se constituye como alternativa a lo global</w:t>
      </w:r>
      <w:r>
        <w:rPr>
          <w:color w:val="231F20"/>
          <w:spacing w:val="-8"/>
          <w:sz w:val="19"/>
        </w:rPr>
        <w:t> </w:t>
      </w:r>
      <w:r>
        <w:rPr>
          <w:color w:val="231F20"/>
          <w:sz w:val="19"/>
        </w:rPr>
        <w:t>[…].</w:t>
      </w:r>
      <w:r>
        <w:rPr>
          <w:color w:val="231F20"/>
          <w:spacing w:val="-8"/>
          <w:sz w:val="19"/>
        </w:rPr>
        <w:t> </w:t>
      </w:r>
      <w:r>
        <w:rPr>
          <w:color w:val="231F20"/>
          <w:sz w:val="19"/>
        </w:rPr>
        <w:t>Los</w:t>
      </w:r>
      <w:r>
        <w:rPr>
          <w:color w:val="231F20"/>
          <w:spacing w:val="-8"/>
          <w:sz w:val="19"/>
        </w:rPr>
        <w:t> </w:t>
      </w:r>
      <w:r>
        <w:rPr>
          <w:color w:val="231F20"/>
          <w:sz w:val="19"/>
        </w:rPr>
        <w:t>localismos</w:t>
      </w:r>
      <w:r>
        <w:rPr>
          <w:color w:val="231F20"/>
          <w:spacing w:val="-8"/>
          <w:sz w:val="19"/>
        </w:rPr>
        <w:t> </w:t>
      </w:r>
      <w:r>
        <w:rPr>
          <w:color w:val="231F20"/>
          <w:sz w:val="19"/>
        </w:rPr>
        <w:t>pertenecen</w:t>
      </w:r>
      <w:r>
        <w:rPr>
          <w:color w:val="231F20"/>
          <w:spacing w:val="-8"/>
          <w:sz w:val="19"/>
        </w:rPr>
        <w:t> </w:t>
      </w:r>
      <w:r>
        <w:rPr>
          <w:color w:val="231F20"/>
          <w:sz w:val="19"/>
        </w:rPr>
        <w:t>en</w:t>
      </w:r>
      <w:r>
        <w:rPr>
          <w:color w:val="231F20"/>
          <w:spacing w:val="-8"/>
          <w:sz w:val="19"/>
        </w:rPr>
        <w:t> </w:t>
      </w:r>
      <w:r>
        <w:rPr>
          <w:color w:val="231F20"/>
          <w:sz w:val="19"/>
        </w:rPr>
        <w:t>todo</w:t>
      </w:r>
      <w:r>
        <w:rPr>
          <w:color w:val="231F20"/>
          <w:spacing w:val="-8"/>
          <w:sz w:val="19"/>
        </w:rPr>
        <w:t> </w:t>
      </w:r>
      <w:r>
        <w:rPr>
          <w:color w:val="231F20"/>
          <w:sz w:val="19"/>
        </w:rPr>
        <w:t>y</w:t>
      </w:r>
      <w:r>
        <w:rPr>
          <w:color w:val="231F20"/>
          <w:spacing w:val="-8"/>
          <w:sz w:val="19"/>
        </w:rPr>
        <w:t> </w:t>
      </w:r>
      <w:r>
        <w:rPr>
          <w:color w:val="231F20"/>
          <w:sz w:val="19"/>
        </w:rPr>
        <w:t>por</w:t>
      </w:r>
      <w:r>
        <w:rPr>
          <w:color w:val="231F20"/>
          <w:spacing w:val="-8"/>
          <w:sz w:val="19"/>
        </w:rPr>
        <w:t> </w:t>
      </w:r>
      <w:r>
        <w:rPr>
          <w:color w:val="231F20"/>
          <w:sz w:val="19"/>
        </w:rPr>
        <w:t>todo</w:t>
      </w:r>
      <w:r>
        <w:rPr>
          <w:color w:val="231F20"/>
          <w:spacing w:val="-8"/>
          <w:sz w:val="19"/>
        </w:rPr>
        <w:t> </w:t>
      </w:r>
      <w:r>
        <w:rPr>
          <w:color w:val="231F20"/>
          <w:sz w:val="19"/>
        </w:rPr>
        <w:t>a</w:t>
      </w:r>
      <w:r>
        <w:rPr>
          <w:color w:val="231F20"/>
          <w:spacing w:val="-8"/>
          <w:sz w:val="19"/>
        </w:rPr>
        <w:t> </w:t>
      </w:r>
      <w:r>
        <w:rPr>
          <w:color w:val="231F20"/>
          <w:sz w:val="19"/>
        </w:rPr>
        <w:t>la</w:t>
      </w:r>
      <w:r>
        <w:rPr>
          <w:color w:val="231F20"/>
          <w:spacing w:val="-8"/>
          <w:sz w:val="19"/>
        </w:rPr>
        <w:t> </w:t>
      </w:r>
      <w:r>
        <w:rPr>
          <w:color w:val="231F20"/>
          <w:sz w:val="19"/>
        </w:rPr>
        <w:t>lógi- ca de la globalización: se alimentan de ella incluso cuando osten- tan irreductible enemistad […]. Autorreferencia tecnocrática de la lógica global y deriva populista de los contextos locales de identi- ficación</w:t>
      </w:r>
      <w:r>
        <w:rPr>
          <w:color w:val="231F20"/>
          <w:spacing w:val="-11"/>
          <w:sz w:val="19"/>
        </w:rPr>
        <w:t> </w:t>
      </w:r>
      <w:r>
        <w:rPr>
          <w:color w:val="231F20"/>
          <w:sz w:val="19"/>
        </w:rPr>
        <w:t>simbólica</w:t>
      </w:r>
      <w:r>
        <w:rPr>
          <w:color w:val="231F20"/>
          <w:spacing w:val="-11"/>
          <w:sz w:val="19"/>
        </w:rPr>
        <w:t> </w:t>
      </w:r>
      <w:r>
        <w:rPr>
          <w:color w:val="231F20"/>
          <w:sz w:val="19"/>
        </w:rPr>
        <w:t>se</w:t>
      </w:r>
      <w:r>
        <w:rPr>
          <w:color w:val="231F20"/>
          <w:spacing w:val="-11"/>
          <w:sz w:val="19"/>
        </w:rPr>
        <w:t> </w:t>
      </w:r>
      <w:r>
        <w:rPr>
          <w:color w:val="231F20"/>
          <w:sz w:val="19"/>
        </w:rPr>
        <w:t>relacionan</w:t>
      </w:r>
      <w:r>
        <w:rPr>
          <w:color w:val="231F20"/>
          <w:spacing w:val="-11"/>
          <w:sz w:val="19"/>
        </w:rPr>
        <w:t> </w:t>
      </w:r>
      <w:r>
        <w:rPr>
          <w:color w:val="231F20"/>
          <w:sz w:val="19"/>
        </w:rPr>
        <w:t>entre</w:t>
      </w:r>
      <w:r>
        <w:rPr>
          <w:color w:val="231F20"/>
          <w:spacing w:val="-11"/>
          <w:sz w:val="19"/>
        </w:rPr>
        <w:t> </w:t>
      </w:r>
      <w:r>
        <w:rPr>
          <w:color w:val="231F20"/>
          <w:sz w:val="19"/>
        </w:rPr>
        <w:t>sí</w:t>
      </w:r>
      <w:r>
        <w:rPr>
          <w:color w:val="231F20"/>
          <w:spacing w:val="-11"/>
          <w:sz w:val="19"/>
        </w:rPr>
        <w:t> </w:t>
      </w:r>
      <w:r>
        <w:rPr>
          <w:color w:val="231F20"/>
          <w:sz w:val="19"/>
        </w:rPr>
        <w:t>como</w:t>
      </w:r>
      <w:r>
        <w:rPr>
          <w:color w:val="231F20"/>
          <w:spacing w:val="-11"/>
          <w:sz w:val="19"/>
        </w:rPr>
        <w:t> </w:t>
      </w:r>
      <w:r>
        <w:rPr>
          <w:color w:val="231F20"/>
          <w:sz w:val="19"/>
        </w:rPr>
        <w:t>las</w:t>
      </w:r>
      <w:r>
        <w:rPr>
          <w:color w:val="231F20"/>
          <w:spacing w:val="-11"/>
          <w:sz w:val="19"/>
        </w:rPr>
        <w:t> </w:t>
      </w:r>
      <w:r>
        <w:rPr>
          <w:color w:val="231F20"/>
          <w:sz w:val="19"/>
        </w:rPr>
        <w:t>dos</w:t>
      </w:r>
      <w:r>
        <w:rPr>
          <w:color w:val="231F20"/>
          <w:spacing w:val="-11"/>
          <w:sz w:val="19"/>
        </w:rPr>
        <w:t> </w:t>
      </w:r>
      <w:r>
        <w:rPr>
          <w:color w:val="231F20"/>
          <w:sz w:val="19"/>
        </w:rPr>
        <w:t>caras</w:t>
      </w:r>
      <w:r>
        <w:rPr>
          <w:color w:val="231F20"/>
          <w:spacing w:val="-11"/>
          <w:sz w:val="19"/>
        </w:rPr>
        <w:t> </w:t>
      </w:r>
      <w:r>
        <w:rPr>
          <w:color w:val="231F20"/>
          <w:sz w:val="19"/>
        </w:rPr>
        <w:t>de</w:t>
      </w:r>
      <w:r>
        <w:rPr>
          <w:color w:val="231F20"/>
          <w:spacing w:val="-11"/>
          <w:sz w:val="19"/>
        </w:rPr>
        <w:t> </w:t>
      </w:r>
      <w:r>
        <w:rPr>
          <w:color w:val="231F20"/>
          <w:sz w:val="19"/>
        </w:rPr>
        <w:t>una misma</w:t>
      </w:r>
      <w:r>
        <w:rPr>
          <w:color w:val="231F20"/>
          <w:spacing w:val="-13"/>
          <w:sz w:val="19"/>
        </w:rPr>
        <w:t> </w:t>
      </w:r>
      <w:r>
        <w:rPr>
          <w:color w:val="231F20"/>
          <w:sz w:val="19"/>
        </w:rPr>
        <w:t>moneda,</w:t>
      </w:r>
      <w:r>
        <w:rPr>
          <w:color w:val="231F20"/>
          <w:spacing w:val="-13"/>
          <w:sz w:val="19"/>
        </w:rPr>
        <w:t> </w:t>
      </w:r>
      <w:r>
        <w:rPr>
          <w:color w:val="231F20"/>
          <w:sz w:val="19"/>
        </w:rPr>
        <w:t>diseñando</w:t>
      </w:r>
      <w:r>
        <w:rPr>
          <w:color w:val="231F20"/>
          <w:spacing w:val="-13"/>
          <w:sz w:val="19"/>
        </w:rPr>
        <w:t> </w:t>
      </w:r>
      <w:r>
        <w:rPr>
          <w:color w:val="231F20"/>
          <w:sz w:val="19"/>
        </w:rPr>
        <w:t>en</w:t>
      </w:r>
      <w:r>
        <w:rPr>
          <w:color w:val="231F20"/>
          <w:spacing w:val="-13"/>
          <w:sz w:val="19"/>
        </w:rPr>
        <w:t> </w:t>
      </w:r>
      <w:r>
        <w:rPr>
          <w:color w:val="231F20"/>
          <w:sz w:val="19"/>
        </w:rPr>
        <w:t>forma</w:t>
      </w:r>
      <w:r>
        <w:rPr>
          <w:color w:val="231F20"/>
          <w:spacing w:val="-13"/>
          <w:sz w:val="19"/>
        </w:rPr>
        <w:t> </w:t>
      </w:r>
      <w:r>
        <w:rPr>
          <w:color w:val="231F20"/>
          <w:sz w:val="19"/>
        </w:rPr>
        <w:t>conjunta</w:t>
      </w:r>
      <w:r>
        <w:rPr>
          <w:color w:val="231F20"/>
          <w:spacing w:val="-13"/>
          <w:sz w:val="19"/>
        </w:rPr>
        <w:t> </w:t>
      </w:r>
      <w:r>
        <w:rPr>
          <w:color w:val="231F20"/>
          <w:sz w:val="19"/>
        </w:rPr>
        <w:t>un</w:t>
      </w:r>
      <w:r>
        <w:rPr>
          <w:color w:val="231F20"/>
          <w:spacing w:val="-13"/>
          <w:sz w:val="19"/>
        </w:rPr>
        <w:t> </w:t>
      </w:r>
      <w:r>
        <w:rPr>
          <w:color w:val="231F20"/>
          <w:sz w:val="19"/>
        </w:rPr>
        <w:t>eje</w:t>
      </w:r>
      <w:r>
        <w:rPr>
          <w:color w:val="231F20"/>
          <w:spacing w:val="-13"/>
          <w:sz w:val="19"/>
        </w:rPr>
        <w:t> </w:t>
      </w:r>
      <w:r>
        <w:rPr>
          <w:color w:val="231F20"/>
          <w:sz w:val="19"/>
        </w:rPr>
        <w:t>de</w:t>
      </w:r>
      <w:r>
        <w:rPr>
          <w:color w:val="231F20"/>
          <w:spacing w:val="-13"/>
          <w:sz w:val="19"/>
        </w:rPr>
        <w:t> </w:t>
      </w:r>
      <w:r>
        <w:rPr>
          <w:color w:val="231F20"/>
          <w:sz w:val="19"/>
        </w:rPr>
        <w:t>relaciones conflictivas</w:t>
      </w:r>
      <w:r>
        <w:rPr>
          <w:color w:val="231F20"/>
          <w:spacing w:val="-9"/>
          <w:sz w:val="19"/>
        </w:rPr>
        <w:t> </w:t>
      </w:r>
      <w:r>
        <w:rPr>
          <w:color w:val="231F20"/>
          <w:sz w:val="19"/>
        </w:rPr>
        <w:t>con</w:t>
      </w:r>
      <w:r>
        <w:rPr>
          <w:color w:val="231F20"/>
          <w:spacing w:val="-9"/>
          <w:sz w:val="19"/>
        </w:rPr>
        <w:t> </w:t>
      </w:r>
      <w:r>
        <w:rPr>
          <w:color w:val="231F20"/>
          <w:sz w:val="19"/>
        </w:rPr>
        <w:t>respecto</w:t>
      </w:r>
      <w:r>
        <w:rPr>
          <w:color w:val="231F20"/>
          <w:spacing w:val="-9"/>
          <w:sz w:val="19"/>
        </w:rPr>
        <w:t> </w:t>
      </w:r>
      <w:r>
        <w:rPr>
          <w:color w:val="231F20"/>
          <w:sz w:val="19"/>
        </w:rPr>
        <w:t>a</w:t>
      </w:r>
      <w:r>
        <w:rPr>
          <w:color w:val="231F20"/>
          <w:spacing w:val="-9"/>
          <w:sz w:val="19"/>
        </w:rPr>
        <w:t> </w:t>
      </w:r>
      <w:r>
        <w:rPr>
          <w:color w:val="231F20"/>
          <w:sz w:val="19"/>
        </w:rPr>
        <w:t>las</w:t>
      </w:r>
      <w:r>
        <w:rPr>
          <w:color w:val="231F20"/>
          <w:spacing w:val="-9"/>
          <w:sz w:val="19"/>
        </w:rPr>
        <w:t> </w:t>
      </w:r>
      <w:r>
        <w:rPr>
          <w:color w:val="231F20"/>
          <w:sz w:val="19"/>
        </w:rPr>
        <w:t>políticas</w:t>
      </w:r>
      <w:r>
        <w:rPr>
          <w:color w:val="231F20"/>
          <w:spacing w:val="-9"/>
          <w:sz w:val="19"/>
        </w:rPr>
        <w:t> </w:t>
      </w:r>
      <w:r>
        <w:rPr>
          <w:color w:val="231F20"/>
          <w:sz w:val="19"/>
        </w:rPr>
        <w:t>de</w:t>
      </w:r>
      <w:r>
        <w:rPr>
          <w:color w:val="231F20"/>
          <w:spacing w:val="-9"/>
          <w:sz w:val="19"/>
        </w:rPr>
        <w:t> </w:t>
      </w:r>
      <w:r>
        <w:rPr>
          <w:color w:val="231F20"/>
          <w:sz w:val="19"/>
        </w:rPr>
        <w:t>universalización</w:t>
      </w:r>
      <w:r>
        <w:rPr>
          <w:color w:val="231F20"/>
          <w:position w:val="6"/>
          <w:sz w:val="11"/>
        </w:rPr>
        <w:t>47</w:t>
      </w:r>
      <w:r>
        <w:rPr>
          <w:color w:val="231F20"/>
          <w:sz w:val="19"/>
        </w:rPr>
        <w:t>.</w:t>
      </w:r>
    </w:p>
    <w:p>
      <w:pPr>
        <w:pStyle w:val="BodyText"/>
        <w:rPr>
          <w:sz w:val="20"/>
        </w:rPr>
      </w:pPr>
    </w:p>
    <w:p>
      <w:pPr>
        <w:pStyle w:val="BodyText"/>
        <w:spacing w:before="6"/>
        <w:rPr>
          <w:sz w:val="28"/>
        </w:rPr>
      </w:pPr>
    </w:p>
    <w:p>
      <w:pPr>
        <w:spacing w:before="0"/>
        <w:ind w:left="103" w:right="0" w:firstLine="0"/>
        <w:jc w:val="both"/>
        <w:rPr>
          <w:rFonts w:ascii="Arial"/>
          <w:i/>
          <w:sz w:val="21"/>
        </w:rPr>
      </w:pPr>
      <w:r>
        <w:rPr>
          <w:rFonts w:ascii="Arial"/>
          <w:i/>
          <w:color w:val="231F20"/>
          <w:w w:val="105"/>
          <w:sz w:val="21"/>
        </w:rPr>
        <w:t>Coda. Un pueblo por venir</w:t>
      </w:r>
    </w:p>
    <w:p>
      <w:pPr>
        <w:pStyle w:val="BodyText"/>
        <w:rPr>
          <w:rFonts w:ascii="Arial"/>
          <w:i/>
          <w:sz w:val="20"/>
        </w:rPr>
      </w:pPr>
    </w:p>
    <w:p>
      <w:pPr>
        <w:pStyle w:val="BodyText"/>
        <w:spacing w:line="247" w:lineRule="auto" w:before="172"/>
        <w:ind w:left="103" w:right="115"/>
        <w:jc w:val="both"/>
      </w:pPr>
      <w:r>
        <w:rPr>
          <w:color w:val="231F20"/>
        </w:rPr>
        <w:t>Es cierto que el capitalismo, tal y como lo define Deleuze, evade todo fun- damento, toda territorialización permanente; sin </w:t>
      </w:r>
      <w:r>
        <w:rPr>
          <w:color w:val="231F20"/>
          <w:spacing w:val="-3"/>
        </w:rPr>
        <w:t>embargo, </w:t>
      </w:r>
      <w:r>
        <w:rPr>
          <w:color w:val="231F20"/>
        </w:rPr>
        <w:t>en este movi- miento desterritorializador no puede prescindir de </w:t>
      </w:r>
      <w:r>
        <w:rPr>
          <w:color w:val="231F20"/>
          <w:spacing w:val="-3"/>
        </w:rPr>
        <w:t>territorializar, </w:t>
      </w:r>
      <w:r>
        <w:rPr>
          <w:color w:val="231F20"/>
        </w:rPr>
        <w:t>de asignar identidades y límites estables; es ahí </w:t>
      </w:r>
      <w:r>
        <w:rPr>
          <w:color w:val="231F20"/>
          <w:spacing w:val="-3"/>
        </w:rPr>
        <w:t>precisamente </w:t>
      </w:r>
      <w:r>
        <w:rPr>
          <w:color w:val="231F20"/>
        </w:rPr>
        <w:t>donde las singularida- des</w:t>
      </w:r>
      <w:r>
        <w:rPr>
          <w:color w:val="231F20"/>
          <w:position w:val="7"/>
          <w:sz w:val="12"/>
        </w:rPr>
        <w:t>48 </w:t>
      </w:r>
      <w:r>
        <w:rPr>
          <w:color w:val="231F20"/>
          <w:spacing w:val="-3"/>
        </w:rPr>
        <w:t>corren </w:t>
      </w:r>
      <w:r>
        <w:rPr>
          <w:color w:val="231F20"/>
        </w:rPr>
        <w:t>el peligro de ser </w:t>
      </w:r>
      <w:r>
        <w:rPr>
          <w:color w:val="231F20"/>
          <w:spacing w:val="-3"/>
        </w:rPr>
        <w:t>reducidas </w:t>
      </w:r>
      <w:r>
        <w:rPr>
          <w:color w:val="231F20"/>
        </w:rPr>
        <w:t>a una </w:t>
      </w:r>
      <w:r>
        <w:rPr>
          <w:color w:val="231F20"/>
          <w:spacing w:val="-3"/>
        </w:rPr>
        <w:t>expresión </w:t>
      </w:r>
      <w:r>
        <w:rPr>
          <w:color w:val="231F20"/>
        </w:rPr>
        <w:t>fija. Si </w:t>
      </w:r>
      <w:r>
        <w:rPr>
          <w:color w:val="231F20"/>
          <w:spacing w:val="-3"/>
        </w:rPr>
        <w:t>queremos </w:t>
      </w:r>
      <w:r>
        <w:rPr>
          <w:color w:val="231F20"/>
        </w:rPr>
        <w:t>conservar lo local como diferencia radical, si no </w:t>
      </w:r>
      <w:r>
        <w:rPr>
          <w:color w:val="231F20"/>
          <w:spacing w:val="-3"/>
        </w:rPr>
        <w:t>queremos </w:t>
      </w:r>
      <w:r>
        <w:rPr>
          <w:color w:val="231F20"/>
        </w:rPr>
        <w:t>fijarlo en </w:t>
      </w:r>
      <w:r>
        <w:rPr>
          <w:color w:val="231F20"/>
          <w:spacing w:val="-2"/>
        </w:rPr>
        <w:t>una </w:t>
      </w:r>
      <w:r>
        <w:rPr>
          <w:color w:val="231F20"/>
        </w:rPr>
        <w:t>identidad estable, no podemos verlo en simple continuidad o como </w:t>
      </w:r>
      <w:r>
        <w:rPr>
          <w:color w:val="231F20"/>
          <w:spacing w:val="-3"/>
        </w:rPr>
        <w:t>reac- </w:t>
      </w:r>
      <w:r>
        <w:rPr>
          <w:color w:val="231F20"/>
        </w:rPr>
        <w:t>ción </w:t>
      </w:r>
      <w:r>
        <w:rPr>
          <w:color w:val="231F20"/>
          <w:spacing w:val="-3"/>
        </w:rPr>
        <w:t>frente </w:t>
      </w:r>
      <w:r>
        <w:rPr>
          <w:color w:val="231F20"/>
        </w:rPr>
        <w:t>a lo global, </w:t>
      </w:r>
      <w:r>
        <w:rPr>
          <w:color w:val="231F20"/>
          <w:spacing w:val="-3"/>
        </w:rPr>
        <w:t>sobre </w:t>
      </w:r>
      <w:r>
        <w:rPr>
          <w:color w:val="231F20"/>
        </w:rPr>
        <w:t>todo </w:t>
      </w:r>
      <w:r>
        <w:rPr>
          <w:color w:val="231F20"/>
          <w:spacing w:val="-3"/>
        </w:rPr>
        <w:t>porque </w:t>
      </w:r>
      <w:r>
        <w:rPr>
          <w:color w:val="231F20"/>
        </w:rPr>
        <w:t>éste </w:t>
      </w:r>
      <w:r>
        <w:rPr>
          <w:color w:val="231F20"/>
          <w:spacing w:val="-3"/>
        </w:rPr>
        <w:t>respondería </w:t>
      </w:r>
      <w:r>
        <w:rPr>
          <w:color w:val="231F20"/>
        </w:rPr>
        <w:t>a aquello    </w:t>
      </w:r>
      <w:r>
        <w:rPr>
          <w:color w:val="231F20"/>
          <w:spacing w:val="-2"/>
        </w:rPr>
        <w:t>que</w:t>
      </w:r>
    </w:p>
    <w:p>
      <w:pPr>
        <w:pStyle w:val="BodyText"/>
        <w:rPr>
          <w:sz w:val="20"/>
        </w:rPr>
      </w:pPr>
    </w:p>
    <w:p>
      <w:pPr>
        <w:pStyle w:val="BodyText"/>
        <w:spacing w:before="6"/>
        <w:rPr>
          <w:sz w:val="12"/>
        </w:rPr>
      </w:pPr>
      <w:r>
        <w:rPr/>
        <w:pict>
          <v:line style="position:absolute;mso-position-horizontal-relative:page;mso-position-vertical-relative:paragraph;z-index:4888;mso-wrap-distance-left:0;mso-wrap-distance-right:0" from="65.1968pt,9.674475pt" to="178.5828pt,9.674475pt" stroked="true" strokeweight=".3pt" strokecolor="#231f20">
            <w10:wrap type="topAndBottom"/>
          </v:line>
        </w:pict>
      </w:r>
    </w:p>
    <w:p>
      <w:pPr>
        <w:spacing w:line="206" w:lineRule="exact" w:before="10"/>
        <w:ind w:left="103" w:right="0" w:firstLine="0"/>
        <w:jc w:val="both"/>
        <w:rPr>
          <w:rFonts w:ascii="Calibri"/>
          <w:sz w:val="17"/>
        </w:rPr>
      </w:pPr>
      <w:r>
        <w:rPr>
          <w:rFonts w:ascii="Calibri"/>
          <w:color w:val="231F20"/>
          <w:position w:val="6"/>
          <w:sz w:val="10"/>
        </w:rPr>
        <w:t>47 </w:t>
      </w:r>
      <w:r>
        <w:rPr>
          <w:rFonts w:ascii="Calibri"/>
          <w:color w:val="231F20"/>
          <w:sz w:val="17"/>
        </w:rPr>
        <w:t>Marramao, </w:t>
      </w:r>
      <w:r>
        <w:rPr>
          <w:rFonts w:ascii="Calibri"/>
          <w:i/>
          <w:color w:val="231F20"/>
          <w:sz w:val="17"/>
        </w:rPr>
        <w:t>Pasaje a Occidente</w:t>
      </w:r>
      <w:r>
        <w:rPr>
          <w:rFonts w:ascii="Calibri"/>
          <w:color w:val="231F20"/>
          <w:sz w:val="17"/>
        </w:rPr>
        <w:t>, p. 249.</w:t>
      </w:r>
    </w:p>
    <w:p>
      <w:pPr>
        <w:spacing w:line="235" w:lineRule="auto" w:before="1"/>
        <w:ind w:left="103" w:right="115" w:firstLine="0"/>
        <w:jc w:val="both"/>
        <w:rPr>
          <w:rFonts w:ascii="Calibri" w:hAnsi="Calibri"/>
          <w:sz w:val="17"/>
        </w:rPr>
      </w:pPr>
      <w:r>
        <w:rPr>
          <w:rFonts w:ascii="Calibri" w:hAnsi="Calibri"/>
          <w:color w:val="231F20"/>
          <w:w w:val="105"/>
          <w:position w:val="6"/>
          <w:sz w:val="10"/>
        </w:rPr>
        <w:t>48</w:t>
      </w:r>
      <w:r>
        <w:rPr>
          <w:rFonts w:ascii="Calibri" w:hAnsi="Calibri"/>
          <w:color w:val="231F20"/>
          <w:spacing w:val="4"/>
          <w:w w:val="105"/>
          <w:position w:val="6"/>
          <w:sz w:val="10"/>
        </w:rPr>
        <w:t> </w:t>
      </w:r>
      <w:r>
        <w:rPr>
          <w:rFonts w:ascii="Calibri" w:hAnsi="Calibri"/>
          <w:color w:val="231F20"/>
          <w:w w:val="105"/>
          <w:sz w:val="17"/>
        </w:rPr>
        <w:t>En</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perspectiva</w:t>
      </w:r>
      <w:r>
        <w:rPr>
          <w:rFonts w:ascii="Calibri" w:hAnsi="Calibri"/>
          <w:color w:val="231F20"/>
          <w:spacing w:val="-13"/>
          <w:w w:val="105"/>
          <w:sz w:val="17"/>
        </w:rPr>
        <w:t> </w:t>
      </w:r>
      <w:r>
        <w:rPr>
          <w:rFonts w:ascii="Calibri" w:hAnsi="Calibri"/>
          <w:color w:val="231F20"/>
          <w:w w:val="105"/>
          <w:sz w:val="17"/>
        </w:rPr>
        <w:t>deleuziana,</w:t>
      </w:r>
      <w:r>
        <w:rPr>
          <w:rFonts w:ascii="Calibri" w:hAnsi="Calibri"/>
          <w:color w:val="231F20"/>
          <w:spacing w:val="-13"/>
          <w:w w:val="105"/>
          <w:sz w:val="17"/>
        </w:rPr>
        <w:t> </w:t>
      </w:r>
      <w:r>
        <w:rPr>
          <w:rFonts w:ascii="Calibri" w:hAnsi="Calibri"/>
          <w:color w:val="231F20"/>
          <w:w w:val="105"/>
          <w:sz w:val="17"/>
        </w:rPr>
        <w:t>las</w:t>
      </w:r>
      <w:r>
        <w:rPr>
          <w:rFonts w:ascii="Calibri" w:hAnsi="Calibri"/>
          <w:color w:val="231F20"/>
          <w:spacing w:val="-13"/>
          <w:w w:val="105"/>
          <w:sz w:val="17"/>
        </w:rPr>
        <w:t> </w:t>
      </w:r>
      <w:r>
        <w:rPr>
          <w:rFonts w:ascii="Calibri" w:hAnsi="Calibri"/>
          <w:color w:val="231F20"/>
          <w:w w:val="105"/>
          <w:sz w:val="17"/>
        </w:rPr>
        <w:t>singularidades</w:t>
      </w:r>
      <w:r>
        <w:rPr>
          <w:rFonts w:ascii="Calibri" w:hAnsi="Calibri"/>
          <w:color w:val="231F20"/>
          <w:spacing w:val="-13"/>
          <w:w w:val="105"/>
          <w:sz w:val="17"/>
        </w:rPr>
        <w:t> </w:t>
      </w:r>
      <w:r>
        <w:rPr>
          <w:rFonts w:ascii="Calibri" w:hAnsi="Calibri"/>
          <w:color w:val="231F20"/>
          <w:w w:val="105"/>
          <w:sz w:val="17"/>
        </w:rPr>
        <w:t>son</w:t>
      </w:r>
      <w:r>
        <w:rPr>
          <w:rFonts w:ascii="Calibri" w:hAnsi="Calibri"/>
          <w:color w:val="231F20"/>
          <w:spacing w:val="-13"/>
          <w:w w:val="105"/>
          <w:sz w:val="17"/>
        </w:rPr>
        <w:t> </w:t>
      </w:r>
      <w:r>
        <w:rPr>
          <w:rFonts w:ascii="Calibri" w:hAnsi="Calibri"/>
          <w:color w:val="231F20"/>
          <w:w w:val="105"/>
          <w:sz w:val="17"/>
        </w:rPr>
        <w:t>lo</w:t>
      </w:r>
      <w:r>
        <w:rPr>
          <w:rFonts w:ascii="Calibri" w:hAnsi="Calibri"/>
          <w:color w:val="231F20"/>
          <w:spacing w:val="-13"/>
          <w:w w:val="105"/>
          <w:sz w:val="17"/>
        </w:rPr>
        <w:t> </w:t>
      </w:r>
      <w:r>
        <w:rPr>
          <w:rFonts w:ascii="Calibri" w:hAnsi="Calibri"/>
          <w:color w:val="231F20"/>
          <w:w w:val="105"/>
          <w:sz w:val="17"/>
        </w:rPr>
        <w:t>que</w:t>
      </w:r>
      <w:r>
        <w:rPr>
          <w:rFonts w:ascii="Calibri" w:hAnsi="Calibri"/>
          <w:color w:val="231F20"/>
          <w:spacing w:val="-13"/>
          <w:w w:val="105"/>
          <w:sz w:val="17"/>
        </w:rPr>
        <w:t> </w:t>
      </w:r>
      <w:r>
        <w:rPr>
          <w:rFonts w:ascii="Calibri" w:hAnsi="Calibri"/>
          <w:color w:val="231F20"/>
          <w:w w:val="105"/>
          <w:sz w:val="17"/>
        </w:rPr>
        <w:t>existe</w:t>
      </w:r>
      <w:r>
        <w:rPr>
          <w:rFonts w:ascii="Calibri" w:hAnsi="Calibri"/>
          <w:color w:val="231F20"/>
          <w:spacing w:val="-13"/>
          <w:w w:val="105"/>
          <w:sz w:val="17"/>
        </w:rPr>
        <w:t> </w:t>
      </w:r>
      <w:r>
        <w:rPr>
          <w:rFonts w:ascii="Calibri" w:hAnsi="Calibri"/>
          <w:color w:val="231F20"/>
          <w:w w:val="105"/>
          <w:sz w:val="17"/>
        </w:rPr>
        <w:t>antes</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los</w:t>
      </w:r>
      <w:r>
        <w:rPr>
          <w:rFonts w:ascii="Calibri" w:hAnsi="Calibri"/>
          <w:color w:val="231F20"/>
          <w:spacing w:val="-13"/>
          <w:w w:val="105"/>
          <w:sz w:val="17"/>
        </w:rPr>
        <w:t> </w:t>
      </w:r>
      <w:r>
        <w:rPr>
          <w:rFonts w:ascii="Calibri" w:hAnsi="Calibri"/>
          <w:color w:val="231F20"/>
          <w:w w:val="105"/>
          <w:sz w:val="17"/>
        </w:rPr>
        <w:t>individuos</w:t>
      </w:r>
      <w:r>
        <w:rPr>
          <w:rFonts w:ascii="Calibri" w:hAnsi="Calibri"/>
          <w:color w:val="231F20"/>
          <w:spacing w:val="-14"/>
          <w:w w:val="105"/>
          <w:sz w:val="17"/>
        </w:rPr>
        <w:t> </w:t>
      </w:r>
      <w:r>
        <w:rPr>
          <w:rFonts w:ascii="Calibri" w:hAnsi="Calibri"/>
          <w:color w:val="231F20"/>
          <w:w w:val="105"/>
          <w:sz w:val="17"/>
        </w:rPr>
        <w:t>y</w:t>
      </w:r>
      <w:r>
        <w:rPr>
          <w:rFonts w:ascii="Calibri" w:hAnsi="Calibri"/>
          <w:color w:val="231F20"/>
          <w:spacing w:val="-13"/>
          <w:w w:val="105"/>
          <w:sz w:val="17"/>
        </w:rPr>
        <w:t> </w:t>
      </w:r>
      <w:r>
        <w:rPr>
          <w:rFonts w:ascii="Calibri" w:hAnsi="Calibri"/>
          <w:color w:val="231F20"/>
          <w:w w:val="105"/>
          <w:sz w:val="17"/>
        </w:rPr>
        <w:t>lo</w:t>
      </w:r>
      <w:r>
        <w:rPr>
          <w:rFonts w:ascii="Calibri" w:hAnsi="Calibri"/>
          <w:color w:val="231F20"/>
          <w:spacing w:val="-13"/>
          <w:w w:val="105"/>
          <w:sz w:val="17"/>
        </w:rPr>
        <w:t> </w:t>
      </w:r>
      <w:r>
        <w:rPr>
          <w:rFonts w:ascii="Calibri" w:hAnsi="Calibri"/>
          <w:color w:val="231F20"/>
          <w:w w:val="105"/>
          <w:sz w:val="17"/>
        </w:rPr>
        <w:t>que permite</w:t>
      </w:r>
      <w:r>
        <w:rPr>
          <w:rFonts w:ascii="Calibri" w:hAnsi="Calibri"/>
          <w:color w:val="231F20"/>
          <w:spacing w:val="-14"/>
          <w:w w:val="105"/>
          <w:sz w:val="17"/>
        </w:rPr>
        <w:t> </w:t>
      </w:r>
      <w:r>
        <w:rPr>
          <w:rFonts w:ascii="Calibri" w:hAnsi="Calibri"/>
          <w:color w:val="231F20"/>
          <w:w w:val="105"/>
          <w:sz w:val="17"/>
        </w:rPr>
        <w:t>la</w:t>
      </w:r>
      <w:r>
        <w:rPr>
          <w:rFonts w:ascii="Calibri" w:hAnsi="Calibri"/>
          <w:color w:val="231F20"/>
          <w:spacing w:val="-14"/>
          <w:w w:val="105"/>
          <w:sz w:val="17"/>
        </w:rPr>
        <w:t> </w:t>
      </w:r>
      <w:r>
        <w:rPr>
          <w:rFonts w:ascii="Calibri" w:hAnsi="Calibri"/>
          <w:color w:val="231F20"/>
          <w:w w:val="105"/>
          <w:sz w:val="17"/>
        </w:rPr>
        <w:t>individuación;</w:t>
      </w:r>
      <w:r>
        <w:rPr>
          <w:rFonts w:ascii="Calibri" w:hAnsi="Calibri"/>
          <w:color w:val="231F20"/>
          <w:spacing w:val="-14"/>
          <w:w w:val="105"/>
          <w:sz w:val="17"/>
        </w:rPr>
        <w:t> </w:t>
      </w:r>
      <w:r>
        <w:rPr>
          <w:rFonts w:ascii="Calibri" w:hAnsi="Calibri"/>
          <w:color w:val="231F20"/>
          <w:w w:val="105"/>
          <w:sz w:val="17"/>
        </w:rPr>
        <w:t>es</w:t>
      </w:r>
      <w:r>
        <w:rPr>
          <w:rFonts w:ascii="Calibri" w:hAnsi="Calibri"/>
          <w:color w:val="231F20"/>
          <w:spacing w:val="-14"/>
          <w:w w:val="105"/>
          <w:sz w:val="17"/>
        </w:rPr>
        <w:t> </w:t>
      </w:r>
      <w:r>
        <w:rPr>
          <w:rFonts w:ascii="Calibri" w:hAnsi="Calibri"/>
          <w:color w:val="231F20"/>
          <w:w w:val="105"/>
          <w:sz w:val="17"/>
        </w:rPr>
        <w:t>aquello</w:t>
      </w:r>
      <w:r>
        <w:rPr>
          <w:rFonts w:ascii="Calibri" w:hAnsi="Calibri"/>
          <w:color w:val="231F20"/>
          <w:spacing w:val="-14"/>
          <w:w w:val="105"/>
          <w:sz w:val="17"/>
        </w:rPr>
        <w:t> </w:t>
      </w:r>
      <w:r>
        <w:rPr>
          <w:rFonts w:ascii="Calibri" w:hAnsi="Calibri"/>
          <w:color w:val="231F20"/>
          <w:w w:val="105"/>
          <w:sz w:val="17"/>
        </w:rPr>
        <w:t>que</w:t>
      </w:r>
      <w:r>
        <w:rPr>
          <w:rFonts w:ascii="Calibri" w:hAnsi="Calibri"/>
          <w:color w:val="231F20"/>
          <w:spacing w:val="-14"/>
          <w:w w:val="105"/>
          <w:sz w:val="17"/>
        </w:rPr>
        <w:t> </w:t>
      </w:r>
      <w:r>
        <w:rPr>
          <w:rFonts w:ascii="Calibri" w:hAnsi="Calibri"/>
          <w:color w:val="231F20"/>
          <w:w w:val="105"/>
          <w:sz w:val="17"/>
        </w:rPr>
        <w:t>emerge</w:t>
      </w:r>
      <w:r>
        <w:rPr>
          <w:rFonts w:ascii="Calibri" w:hAnsi="Calibri"/>
          <w:color w:val="231F20"/>
          <w:spacing w:val="-14"/>
          <w:w w:val="105"/>
          <w:sz w:val="17"/>
        </w:rPr>
        <w:t> </w:t>
      </w:r>
      <w:r>
        <w:rPr>
          <w:rFonts w:ascii="Calibri" w:hAnsi="Calibri"/>
          <w:color w:val="231F20"/>
          <w:w w:val="105"/>
          <w:sz w:val="17"/>
        </w:rPr>
        <w:t>a</w:t>
      </w:r>
      <w:r>
        <w:rPr>
          <w:rFonts w:ascii="Calibri" w:hAnsi="Calibri"/>
          <w:color w:val="231F20"/>
          <w:spacing w:val="-14"/>
          <w:w w:val="105"/>
          <w:sz w:val="17"/>
        </w:rPr>
        <w:t> </w:t>
      </w:r>
      <w:r>
        <w:rPr>
          <w:rFonts w:ascii="Calibri" w:hAnsi="Calibri"/>
          <w:color w:val="231F20"/>
          <w:w w:val="105"/>
          <w:sz w:val="17"/>
        </w:rPr>
        <w:t>partir</w:t>
      </w:r>
      <w:r>
        <w:rPr>
          <w:rFonts w:ascii="Calibri" w:hAnsi="Calibri"/>
          <w:color w:val="231F20"/>
          <w:spacing w:val="-14"/>
          <w:w w:val="105"/>
          <w:sz w:val="17"/>
        </w:rPr>
        <w:t> </w:t>
      </w:r>
      <w:r>
        <w:rPr>
          <w:rFonts w:ascii="Calibri" w:hAnsi="Calibri"/>
          <w:color w:val="231F20"/>
          <w:w w:val="105"/>
          <w:sz w:val="17"/>
        </w:rPr>
        <w:t>de</w:t>
      </w:r>
      <w:r>
        <w:rPr>
          <w:rFonts w:ascii="Calibri" w:hAnsi="Calibri"/>
          <w:color w:val="231F20"/>
          <w:spacing w:val="-14"/>
          <w:w w:val="105"/>
          <w:sz w:val="17"/>
        </w:rPr>
        <w:t> </w:t>
      </w:r>
      <w:r>
        <w:rPr>
          <w:rFonts w:ascii="Calibri" w:hAnsi="Calibri"/>
          <w:color w:val="231F20"/>
          <w:w w:val="105"/>
          <w:sz w:val="17"/>
        </w:rPr>
        <w:t>una</w:t>
      </w:r>
      <w:r>
        <w:rPr>
          <w:rFonts w:ascii="Calibri" w:hAnsi="Calibri"/>
          <w:color w:val="231F20"/>
          <w:spacing w:val="-14"/>
          <w:w w:val="105"/>
          <w:sz w:val="17"/>
        </w:rPr>
        <w:t> </w:t>
      </w:r>
      <w:r>
        <w:rPr>
          <w:rFonts w:ascii="Calibri" w:hAnsi="Calibri"/>
          <w:color w:val="231F20"/>
          <w:w w:val="105"/>
          <w:sz w:val="17"/>
        </w:rPr>
        <w:t>dinámica</w:t>
      </w:r>
      <w:r>
        <w:rPr>
          <w:rFonts w:ascii="Calibri" w:hAnsi="Calibri"/>
          <w:color w:val="231F20"/>
          <w:spacing w:val="-14"/>
          <w:w w:val="105"/>
          <w:sz w:val="17"/>
        </w:rPr>
        <w:t> </w:t>
      </w:r>
      <w:r>
        <w:rPr>
          <w:rFonts w:ascii="Calibri" w:hAnsi="Calibri"/>
          <w:color w:val="231F20"/>
          <w:w w:val="105"/>
          <w:sz w:val="17"/>
        </w:rPr>
        <w:t>intensiva</w:t>
      </w:r>
      <w:r>
        <w:rPr>
          <w:rFonts w:ascii="Calibri" w:hAnsi="Calibri"/>
          <w:color w:val="231F20"/>
          <w:spacing w:val="-14"/>
          <w:w w:val="105"/>
          <w:sz w:val="17"/>
        </w:rPr>
        <w:t> </w:t>
      </w:r>
      <w:r>
        <w:rPr>
          <w:rFonts w:ascii="Calibri" w:hAnsi="Calibri"/>
          <w:color w:val="231F20"/>
          <w:w w:val="105"/>
          <w:sz w:val="17"/>
        </w:rPr>
        <w:t>de</w:t>
      </w:r>
      <w:r>
        <w:rPr>
          <w:rFonts w:ascii="Calibri" w:hAnsi="Calibri"/>
          <w:color w:val="231F20"/>
          <w:spacing w:val="-14"/>
          <w:w w:val="105"/>
          <w:sz w:val="17"/>
        </w:rPr>
        <w:t> </w:t>
      </w:r>
      <w:r>
        <w:rPr>
          <w:rFonts w:ascii="Calibri" w:hAnsi="Calibri"/>
          <w:color w:val="231F20"/>
          <w:w w:val="105"/>
          <w:sz w:val="17"/>
        </w:rPr>
        <w:t>relaciones</w:t>
      </w:r>
      <w:r>
        <w:rPr>
          <w:rFonts w:ascii="Calibri" w:hAnsi="Calibri"/>
          <w:color w:val="231F20"/>
          <w:spacing w:val="-15"/>
          <w:w w:val="105"/>
          <w:sz w:val="17"/>
        </w:rPr>
        <w:t> </w:t>
      </w:r>
      <w:r>
        <w:rPr>
          <w:rFonts w:ascii="Calibri" w:hAnsi="Calibri"/>
          <w:color w:val="231F20"/>
          <w:w w:val="105"/>
          <w:sz w:val="17"/>
        </w:rPr>
        <w:t>y acoplamientos,</w:t>
      </w:r>
      <w:r>
        <w:rPr>
          <w:rFonts w:ascii="Calibri" w:hAnsi="Calibri"/>
          <w:color w:val="231F20"/>
          <w:spacing w:val="-13"/>
          <w:w w:val="105"/>
          <w:sz w:val="17"/>
        </w:rPr>
        <w:t> </w:t>
      </w:r>
      <w:r>
        <w:rPr>
          <w:rFonts w:ascii="Calibri" w:hAnsi="Calibri"/>
          <w:color w:val="231F20"/>
          <w:w w:val="105"/>
          <w:sz w:val="17"/>
        </w:rPr>
        <w:t>por</w:t>
      </w:r>
      <w:r>
        <w:rPr>
          <w:rFonts w:ascii="Calibri" w:hAnsi="Calibri"/>
          <w:color w:val="231F20"/>
          <w:spacing w:val="-13"/>
          <w:w w:val="105"/>
          <w:sz w:val="17"/>
        </w:rPr>
        <w:t> </w:t>
      </w:r>
      <w:r>
        <w:rPr>
          <w:rFonts w:ascii="Calibri" w:hAnsi="Calibri"/>
          <w:color w:val="231F20"/>
          <w:w w:val="105"/>
          <w:sz w:val="17"/>
        </w:rPr>
        <w:t>ello,</w:t>
      </w:r>
      <w:r>
        <w:rPr>
          <w:rFonts w:ascii="Calibri" w:hAnsi="Calibri"/>
          <w:color w:val="231F20"/>
          <w:spacing w:val="-13"/>
          <w:w w:val="105"/>
          <w:sz w:val="17"/>
        </w:rPr>
        <w:t> </w:t>
      </w:r>
      <w:r>
        <w:rPr>
          <w:rFonts w:ascii="Calibri" w:hAnsi="Calibri"/>
          <w:color w:val="231F20"/>
          <w:w w:val="105"/>
          <w:sz w:val="17"/>
        </w:rPr>
        <w:t>alcanza</w:t>
      </w:r>
      <w:r>
        <w:rPr>
          <w:rFonts w:ascii="Calibri" w:hAnsi="Calibri"/>
          <w:color w:val="231F20"/>
          <w:spacing w:val="-13"/>
          <w:w w:val="105"/>
          <w:sz w:val="17"/>
        </w:rPr>
        <w:t> </w:t>
      </w:r>
      <w:r>
        <w:rPr>
          <w:rFonts w:ascii="Calibri" w:hAnsi="Calibri"/>
          <w:color w:val="231F20"/>
          <w:w w:val="105"/>
          <w:sz w:val="17"/>
        </w:rPr>
        <w:t>sólo</w:t>
      </w:r>
      <w:r>
        <w:rPr>
          <w:rFonts w:ascii="Calibri" w:hAnsi="Calibri"/>
          <w:color w:val="231F20"/>
          <w:spacing w:val="-13"/>
          <w:w w:val="105"/>
          <w:sz w:val="17"/>
        </w:rPr>
        <w:t> </w:t>
      </w:r>
      <w:r>
        <w:rPr>
          <w:rFonts w:ascii="Calibri" w:hAnsi="Calibri"/>
          <w:color w:val="231F20"/>
          <w:w w:val="105"/>
          <w:sz w:val="17"/>
        </w:rPr>
        <w:t>una</w:t>
      </w:r>
      <w:r>
        <w:rPr>
          <w:rFonts w:ascii="Calibri" w:hAnsi="Calibri"/>
          <w:color w:val="231F20"/>
          <w:spacing w:val="-13"/>
          <w:w w:val="105"/>
          <w:sz w:val="17"/>
        </w:rPr>
        <w:t> </w:t>
      </w:r>
      <w:r>
        <w:rPr>
          <w:rFonts w:ascii="Calibri" w:hAnsi="Calibri"/>
          <w:color w:val="231F20"/>
          <w:w w:val="105"/>
          <w:sz w:val="17"/>
        </w:rPr>
        <w:t>estabilidad</w:t>
      </w:r>
      <w:r>
        <w:rPr>
          <w:rFonts w:ascii="Calibri" w:hAnsi="Calibri"/>
          <w:color w:val="231F20"/>
          <w:spacing w:val="-13"/>
          <w:w w:val="105"/>
          <w:sz w:val="17"/>
        </w:rPr>
        <w:t> </w:t>
      </w:r>
      <w:r>
        <w:rPr>
          <w:rFonts w:ascii="Calibri" w:hAnsi="Calibri"/>
          <w:color w:val="231F20"/>
          <w:w w:val="105"/>
          <w:sz w:val="17"/>
        </w:rPr>
        <w:t>precaria</w:t>
      </w:r>
      <w:r>
        <w:rPr>
          <w:rFonts w:ascii="Calibri" w:hAnsi="Calibri"/>
          <w:color w:val="231F20"/>
          <w:spacing w:val="-15"/>
          <w:w w:val="105"/>
          <w:sz w:val="17"/>
        </w:rPr>
        <w:t> </w:t>
      </w:r>
      <w:r>
        <w:rPr>
          <w:rFonts w:ascii="Calibri" w:hAnsi="Calibri"/>
          <w:color w:val="231F20"/>
          <w:w w:val="105"/>
          <w:sz w:val="17"/>
        </w:rPr>
        <w:t>y</w:t>
      </w:r>
      <w:r>
        <w:rPr>
          <w:rFonts w:ascii="Calibri" w:hAnsi="Calibri"/>
          <w:color w:val="231F20"/>
          <w:spacing w:val="-13"/>
          <w:w w:val="105"/>
          <w:sz w:val="17"/>
        </w:rPr>
        <w:t> </w:t>
      </w:r>
      <w:r>
        <w:rPr>
          <w:rFonts w:ascii="Calibri" w:hAnsi="Calibri"/>
          <w:color w:val="231F20"/>
          <w:w w:val="105"/>
          <w:sz w:val="17"/>
        </w:rPr>
        <w:t>momentánea,</w:t>
      </w:r>
      <w:r>
        <w:rPr>
          <w:rFonts w:ascii="Calibri" w:hAnsi="Calibri"/>
          <w:color w:val="231F20"/>
          <w:spacing w:val="-13"/>
          <w:w w:val="105"/>
          <w:sz w:val="17"/>
        </w:rPr>
        <w:t> </w:t>
      </w:r>
      <w:r>
        <w:rPr>
          <w:rFonts w:ascii="Calibri" w:hAnsi="Calibri"/>
          <w:color w:val="231F20"/>
          <w:w w:val="105"/>
          <w:sz w:val="17"/>
        </w:rPr>
        <w:t>pues</w:t>
      </w:r>
      <w:r>
        <w:rPr>
          <w:rFonts w:ascii="Calibri" w:hAnsi="Calibri"/>
          <w:color w:val="231F20"/>
          <w:spacing w:val="-13"/>
          <w:w w:val="105"/>
          <w:sz w:val="17"/>
        </w:rPr>
        <w:t> </w:t>
      </w:r>
      <w:r>
        <w:rPr>
          <w:rFonts w:ascii="Calibri" w:hAnsi="Calibri"/>
          <w:color w:val="231F20"/>
          <w:w w:val="105"/>
          <w:sz w:val="17"/>
        </w:rPr>
        <w:t>cambia</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na- turaleza</w:t>
      </w:r>
      <w:r>
        <w:rPr>
          <w:rFonts w:ascii="Calibri" w:hAnsi="Calibri"/>
          <w:color w:val="231F20"/>
          <w:spacing w:val="-16"/>
          <w:w w:val="105"/>
          <w:sz w:val="17"/>
        </w:rPr>
        <w:t> </w:t>
      </w:r>
      <w:r>
        <w:rPr>
          <w:rFonts w:ascii="Calibri" w:hAnsi="Calibri"/>
          <w:color w:val="231F20"/>
          <w:w w:val="105"/>
          <w:sz w:val="17"/>
        </w:rPr>
        <w:t>así</w:t>
      </w:r>
      <w:r>
        <w:rPr>
          <w:rFonts w:ascii="Calibri" w:hAnsi="Calibri"/>
          <w:color w:val="231F20"/>
          <w:spacing w:val="-16"/>
          <w:w w:val="105"/>
          <w:sz w:val="17"/>
        </w:rPr>
        <w:t> </w:t>
      </w:r>
      <w:r>
        <w:rPr>
          <w:rFonts w:ascii="Calibri" w:hAnsi="Calibri"/>
          <w:color w:val="231F20"/>
          <w:w w:val="105"/>
          <w:sz w:val="17"/>
        </w:rPr>
        <w:t>como</w:t>
      </w:r>
      <w:r>
        <w:rPr>
          <w:rFonts w:ascii="Calibri" w:hAnsi="Calibri"/>
          <w:color w:val="231F20"/>
          <w:spacing w:val="-16"/>
          <w:w w:val="105"/>
          <w:sz w:val="17"/>
        </w:rPr>
        <w:t> </w:t>
      </w:r>
      <w:r>
        <w:rPr>
          <w:rFonts w:ascii="Calibri" w:hAnsi="Calibri"/>
          <w:color w:val="231F20"/>
          <w:w w:val="105"/>
          <w:sz w:val="17"/>
        </w:rPr>
        <w:t>cambian</w:t>
      </w:r>
      <w:r>
        <w:rPr>
          <w:rFonts w:ascii="Calibri" w:hAnsi="Calibri"/>
          <w:color w:val="231F20"/>
          <w:spacing w:val="-16"/>
          <w:w w:val="105"/>
          <w:sz w:val="17"/>
        </w:rPr>
        <w:t> </w:t>
      </w:r>
      <w:r>
        <w:rPr>
          <w:rFonts w:ascii="Calibri" w:hAnsi="Calibri"/>
          <w:color w:val="231F20"/>
          <w:w w:val="105"/>
          <w:sz w:val="17"/>
        </w:rPr>
        <w:t>sus</w:t>
      </w:r>
      <w:r>
        <w:rPr>
          <w:rFonts w:ascii="Calibri" w:hAnsi="Calibri"/>
          <w:color w:val="231F20"/>
          <w:spacing w:val="-16"/>
          <w:w w:val="105"/>
          <w:sz w:val="17"/>
        </w:rPr>
        <w:t> </w:t>
      </w:r>
      <w:r>
        <w:rPr>
          <w:rFonts w:ascii="Calibri" w:hAnsi="Calibri"/>
          <w:color w:val="231F20"/>
          <w:w w:val="105"/>
          <w:sz w:val="17"/>
        </w:rPr>
        <w:t>conexiones.</w:t>
      </w:r>
      <w:r>
        <w:rPr>
          <w:rFonts w:ascii="Calibri" w:hAnsi="Calibri"/>
          <w:color w:val="231F20"/>
          <w:spacing w:val="-16"/>
          <w:w w:val="105"/>
          <w:sz w:val="17"/>
        </w:rPr>
        <w:t> </w:t>
      </w:r>
      <w:r>
        <w:rPr>
          <w:rFonts w:ascii="Calibri" w:hAnsi="Calibri"/>
          <w:color w:val="231F20"/>
          <w:w w:val="105"/>
          <w:sz w:val="17"/>
        </w:rPr>
        <w:t>Las</w:t>
      </w:r>
      <w:r>
        <w:rPr>
          <w:rFonts w:ascii="Calibri" w:hAnsi="Calibri"/>
          <w:color w:val="231F20"/>
          <w:spacing w:val="-16"/>
          <w:w w:val="105"/>
          <w:sz w:val="17"/>
        </w:rPr>
        <w:t> </w:t>
      </w:r>
      <w:r>
        <w:rPr>
          <w:rFonts w:ascii="Calibri" w:hAnsi="Calibri"/>
          <w:color w:val="231F20"/>
          <w:w w:val="105"/>
          <w:sz w:val="17"/>
        </w:rPr>
        <w:t>singularidades</w:t>
      </w:r>
      <w:r>
        <w:rPr>
          <w:rFonts w:ascii="Calibri" w:hAnsi="Calibri"/>
          <w:color w:val="231F20"/>
          <w:spacing w:val="-16"/>
          <w:w w:val="105"/>
          <w:sz w:val="17"/>
        </w:rPr>
        <w:t> </w:t>
      </w:r>
      <w:r>
        <w:rPr>
          <w:rFonts w:ascii="Calibri" w:hAnsi="Calibri"/>
          <w:color w:val="231F20"/>
          <w:w w:val="105"/>
          <w:sz w:val="17"/>
        </w:rPr>
        <w:t>no</w:t>
      </w:r>
      <w:r>
        <w:rPr>
          <w:rFonts w:ascii="Calibri" w:hAnsi="Calibri"/>
          <w:color w:val="231F20"/>
          <w:spacing w:val="-16"/>
          <w:w w:val="105"/>
          <w:sz w:val="17"/>
        </w:rPr>
        <w:t> </w:t>
      </w:r>
      <w:r>
        <w:rPr>
          <w:rFonts w:ascii="Calibri" w:hAnsi="Calibri"/>
          <w:color w:val="231F20"/>
          <w:w w:val="105"/>
          <w:sz w:val="17"/>
        </w:rPr>
        <w:t>son</w:t>
      </w:r>
      <w:r>
        <w:rPr>
          <w:rFonts w:ascii="Calibri" w:hAnsi="Calibri"/>
          <w:color w:val="231F20"/>
          <w:spacing w:val="-16"/>
          <w:w w:val="105"/>
          <w:sz w:val="17"/>
        </w:rPr>
        <w:t> </w:t>
      </w:r>
      <w:r>
        <w:rPr>
          <w:rFonts w:ascii="Calibri" w:hAnsi="Calibri"/>
          <w:color w:val="231F20"/>
          <w:w w:val="105"/>
          <w:sz w:val="17"/>
        </w:rPr>
        <w:t>absolutamente</w:t>
      </w:r>
      <w:r>
        <w:rPr>
          <w:rFonts w:ascii="Calibri" w:hAnsi="Calibri"/>
          <w:color w:val="231F20"/>
          <w:spacing w:val="-16"/>
          <w:w w:val="105"/>
          <w:sz w:val="17"/>
        </w:rPr>
        <w:t> </w:t>
      </w:r>
      <w:r>
        <w:rPr>
          <w:rFonts w:ascii="Calibri" w:hAnsi="Calibri"/>
          <w:color w:val="231F20"/>
          <w:w w:val="105"/>
          <w:sz w:val="17"/>
        </w:rPr>
        <w:t>indiferencia- das,</w:t>
      </w:r>
      <w:r>
        <w:rPr>
          <w:rFonts w:ascii="Calibri" w:hAnsi="Calibri"/>
          <w:color w:val="231F20"/>
          <w:spacing w:val="-11"/>
          <w:w w:val="105"/>
          <w:sz w:val="17"/>
        </w:rPr>
        <w:t> </w:t>
      </w:r>
      <w:r>
        <w:rPr>
          <w:rFonts w:ascii="Calibri" w:hAnsi="Calibri"/>
          <w:color w:val="231F20"/>
          <w:w w:val="105"/>
          <w:sz w:val="17"/>
        </w:rPr>
        <w:t>pero</w:t>
      </w:r>
      <w:r>
        <w:rPr>
          <w:rFonts w:ascii="Calibri" w:hAnsi="Calibri"/>
          <w:color w:val="231F20"/>
          <w:spacing w:val="-11"/>
          <w:w w:val="105"/>
          <w:sz w:val="17"/>
        </w:rPr>
        <w:t> </w:t>
      </w:r>
      <w:r>
        <w:rPr>
          <w:rFonts w:ascii="Calibri" w:hAnsi="Calibri"/>
          <w:color w:val="231F20"/>
          <w:w w:val="105"/>
          <w:sz w:val="17"/>
        </w:rPr>
        <w:t>tampoco</w:t>
      </w:r>
      <w:r>
        <w:rPr>
          <w:rFonts w:ascii="Calibri" w:hAnsi="Calibri"/>
          <w:color w:val="231F20"/>
          <w:spacing w:val="-11"/>
          <w:w w:val="105"/>
          <w:sz w:val="17"/>
        </w:rPr>
        <w:t> </w:t>
      </w:r>
      <w:r>
        <w:rPr>
          <w:rFonts w:ascii="Calibri" w:hAnsi="Calibri"/>
          <w:color w:val="231F20"/>
          <w:w w:val="105"/>
          <w:sz w:val="17"/>
        </w:rPr>
        <w:t>nos</w:t>
      </w:r>
      <w:r>
        <w:rPr>
          <w:rFonts w:ascii="Calibri" w:hAnsi="Calibri"/>
          <w:color w:val="231F20"/>
          <w:spacing w:val="-11"/>
          <w:w w:val="105"/>
          <w:sz w:val="17"/>
        </w:rPr>
        <w:t> </w:t>
      </w:r>
      <w:r>
        <w:rPr>
          <w:rFonts w:ascii="Calibri" w:hAnsi="Calibri"/>
          <w:color w:val="231F20"/>
          <w:w w:val="105"/>
          <w:sz w:val="17"/>
        </w:rPr>
        <w:t>remiten</w:t>
      </w:r>
      <w:r>
        <w:rPr>
          <w:rFonts w:ascii="Calibri" w:hAnsi="Calibri"/>
          <w:color w:val="231F20"/>
          <w:spacing w:val="-11"/>
          <w:w w:val="105"/>
          <w:sz w:val="17"/>
        </w:rPr>
        <w:t> </w:t>
      </w:r>
      <w:r>
        <w:rPr>
          <w:rFonts w:ascii="Calibri" w:hAnsi="Calibri"/>
          <w:color w:val="231F20"/>
          <w:w w:val="105"/>
          <w:sz w:val="17"/>
        </w:rPr>
        <w:t>a</w:t>
      </w:r>
      <w:r>
        <w:rPr>
          <w:rFonts w:ascii="Calibri" w:hAnsi="Calibri"/>
          <w:color w:val="231F20"/>
          <w:spacing w:val="-11"/>
          <w:w w:val="105"/>
          <w:sz w:val="17"/>
        </w:rPr>
        <w:t> </w:t>
      </w:r>
      <w:r>
        <w:rPr>
          <w:rFonts w:ascii="Calibri" w:hAnsi="Calibri"/>
          <w:color w:val="231F20"/>
          <w:w w:val="105"/>
          <w:sz w:val="17"/>
        </w:rPr>
        <w:t>individuos</w:t>
      </w:r>
      <w:r>
        <w:rPr>
          <w:rFonts w:ascii="Calibri" w:hAnsi="Calibri"/>
          <w:color w:val="231F20"/>
          <w:spacing w:val="-11"/>
          <w:w w:val="105"/>
          <w:sz w:val="17"/>
        </w:rPr>
        <w:t> </w:t>
      </w:r>
      <w:r>
        <w:rPr>
          <w:rFonts w:ascii="Calibri" w:hAnsi="Calibri"/>
          <w:color w:val="231F20"/>
          <w:w w:val="105"/>
          <w:sz w:val="17"/>
        </w:rPr>
        <w:t>acabados</w:t>
      </w:r>
      <w:r>
        <w:rPr>
          <w:rFonts w:ascii="Calibri" w:hAnsi="Calibri"/>
          <w:color w:val="231F20"/>
          <w:spacing w:val="-12"/>
          <w:w w:val="105"/>
          <w:sz w:val="17"/>
        </w:rPr>
        <w:t> </w:t>
      </w:r>
      <w:r>
        <w:rPr>
          <w:rFonts w:ascii="Calibri" w:hAnsi="Calibri"/>
          <w:color w:val="231F20"/>
          <w:w w:val="105"/>
          <w:sz w:val="17"/>
        </w:rPr>
        <w:t>y</w:t>
      </w:r>
      <w:r>
        <w:rPr>
          <w:rFonts w:ascii="Calibri" w:hAnsi="Calibri"/>
          <w:color w:val="231F20"/>
          <w:spacing w:val="-11"/>
          <w:w w:val="105"/>
          <w:sz w:val="17"/>
        </w:rPr>
        <w:t> </w:t>
      </w:r>
      <w:r>
        <w:rPr>
          <w:rFonts w:ascii="Calibri" w:hAnsi="Calibri"/>
          <w:color w:val="231F20"/>
          <w:w w:val="105"/>
          <w:sz w:val="17"/>
        </w:rPr>
        <w:t>bien</w:t>
      </w:r>
      <w:r>
        <w:rPr>
          <w:rFonts w:ascii="Calibri" w:hAnsi="Calibri"/>
          <w:color w:val="231F20"/>
          <w:spacing w:val="-11"/>
          <w:w w:val="105"/>
          <w:sz w:val="17"/>
        </w:rPr>
        <w:t> </w:t>
      </w:r>
      <w:r>
        <w:rPr>
          <w:rFonts w:ascii="Calibri" w:hAnsi="Calibri"/>
          <w:color w:val="231F20"/>
          <w:w w:val="105"/>
          <w:sz w:val="17"/>
        </w:rPr>
        <w:t>definidos.</w:t>
      </w:r>
      <w:r>
        <w:rPr>
          <w:rFonts w:ascii="Calibri" w:hAnsi="Calibri"/>
          <w:color w:val="231F20"/>
          <w:spacing w:val="-11"/>
          <w:w w:val="105"/>
          <w:sz w:val="17"/>
        </w:rPr>
        <w:t> </w:t>
      </w:r>
      <w:r>
        <w:rPr>
          <w:rFonts w:ascii="Calibri" w:hAnsi="Calibri"/>
          <w:color w:val="231F20"/>
          <w:w w:val="105"/>
          <w:sz w:val="17"/>
        </w:rPr>
        <w:t>Bien</w:t>
      </w:r>
      <w:r>
        <w:rPr>
          <w:rFonts w:ascii="Calibri" w:hAnsi="Calibri"/>
          <w:color w:val="231F20"/>
          <w:spacing w:val="-11"/>
          <w:w w:val="105"/>
          <w:sz w:val="17"/>
        </w:rPr>
        <w:t> </w:t>
      </w:r>
      <w:r>
        <w:rPr>
          <w:rFonts w:ascii="Calibri" w:hAnsi="Calibri"/>
          <w:color w:val="231F20"/>
          <w:w w:val="105"/>
          <w:sz w:val="17"/>
        </w:rPr>
        <w:t>podríamos</w:t>
      </w:r>
      <w:r>
        <w:rPr>
          <w:rFonts w:ascii="Calibri" w:hAnsi="Calibri"/>
          <w:color w:val="231F20"/>
          <w:spacing w:val="-11"/>
          <w:w w:val="105"/>
          <w:sz w:val="17"/>
        </w:rPr>
        <w:t> </w:t>
      </w:r>
      <w:r>
        <w:rPr>
          <w:rFonts w:ascii="Calibri" w:hAnsi="Calibri"/>
          <w:color w:val="231F20"/>
          <w:w w:val="105"/>
          <w:sz w:val="17"/>
        </w:rPr>
        <w:t>decir,</w:t>
      </w:r>
      <w:r>
        <w:rPr>
          <w:rFonts w:ascii="Calibri" w:hAnsi="Calibri"/>
          <w:color w:val="231F20"/>
          <w:spacing w:val="-11"/>
          <w:w w:val="105"/>
          <w:sz w:val="17"/>
        </w:rPr>
        <w:t> </w:t>
      </w:r>
      <w:r>
        <w:rPr>
          <w:rFonts w:ascii="Calibri" w:hAnsi="Calibri"/>
          <w:color w:val="231F20"/>
          <w:w w:val="105"/>
          <w:sz w:val="17"/>
        </w:rPr>
        <w:t>son puntos</w:t>
      </w:r>
      <w:r>
        <w:rPr>
          <w:rFonts w:ascii="Calibri" w:hAnsi="Calibri"/>
          <w:color w:val="231F20"/>
          <w:spacing w:val="-20"/>
          <w:w w:val="105"/>
          <w:sz w:val="17"/>
        </w:rPr>
        <w:t> </w:t>
      </w:r>
      <w:r>
        <w:rPr>
          <w:rFonts w:ascii="Calibri" w:hAnsi="Calibri"/>
          <w:color w:val="231F20"/>
          <w:w w:val="105"/>
          <w:sz w:val="17"/>
        </w:rPr>
        <w:t>precarios</w:t>
      </w:r>
      <w:r>
        <w:rPr>
          <w:rFonts w:ascii="Calibri" w:hAnsi="Calibri"/>
          <w:color w:val="231F20"/>
          <w:spacing w:val="-21"/>
          <w:w w:val="105"/>
          <w:sz w:val="17"/>
        </w:rPr>
        <w:t> </w:t>
      </w:r>
      <w:r>
        <w:rPr>
          <w:rFonts w:ascii="Calibri" w:hAnsi="Calibri"/>
          <w:color w:val="231F20"/>
          <w:w w:val="105"/>
          <w:sz w:val="17"/>
        </w:rPr>
        <w:t>y</w:t>
      </w:r>
      <w:r>
        <w:rPr>
          <w:rFonts w:ascii="Calibri" w:hAnsi="Calibri"/>
          <w:color w:val="231F20"/>
          <w:spacing w:val="-20"/>
          <w:w w:val="105"/>
          <w:sz w:val="17"/>
        </w:rPr>
        <w:t> </w:t>
      </w:r>
      <w:r>
        <w:rPr>
          <w:rFonts w:ascii="Calibri" w:hAnsi="Calibri"/>
          <w:color w:val="231F20"/>
          <w:w w:val="105"/>
          <w:sz w:val="17"/>
        </w:rPr>
        <w:t>difusos</w:t>
      </w:r>
      <w:r>
        <w:rPr>
          <w:rFonts w:ascii="Calibri" w:hAnsi="Calibri"/>
          <w:color w:val="231F20"/>
          <w:spacing w:val="-20"/>
          <w:w w:val="105"/>
          <w:sz w:val="17"/>
        </w:rPr>
        <w:t> </w:t>
      </w:r>
      <w:r>
        <w:rPr>
          <w:rFonts w:ascii="Calibri" w:hAnsi="Calibri"/>
          <w:color w:val="231F20"/>
          <w:w w:val="105"/>
          <w:sz w:val="17"/>
        </w:rPr>
        <w:t>que</w:t>
      </w:r>
      <w:r>
        <w:rPr>
          <w:rFonts w:ascii="Calibri" w:hAnsi="Calibri"/>
          <w:color w:val="231F20"/>
          <w:spacing w:val="-20"/>
          <w:w w:val="105"/>
          <w:sz w:val="17"/>
        </w:rPr>
        <w:t> </w:t>
      </w:r>
      <w:r>
        <w:rPr>
          <w:rFonts w:ascii="Calibri" w:hAnsi="Calibri"/>
          <w:color w:val="231F20"/>
          <w:w w:val="105"/>
          <w:sz w:val="17"/>
        </w:rPr>
        <w:t>pierden</w:t>
      </w:r>
      <w:r>
        <w:rPr>
          <w:rFonts w:ascii="Calibri" w:hAnsi="Calibri"/>
          <w:color w:val="231F20"/>
          <w:spacing w:val="-20"/>
          <w:w w:val="105"/>
          <w:sz w:val="17"/>
        </w:rPr>
        <w:t> </w:t>
      </w:r>
      <w:r>
        <w:rPr>
          <w:rFonts w:ascii="Calibri" w:hAnsi="Calibri"/>
          <w:color w:val="231F20"/>
          <w:w w:val="105"/>
          <w:sz w:val="17"/>
        </w:rPr>
        <w:t>su</w:t>
      </w:r>
      <w:r>
        <w:rPr>
          <w:rFonts w:ascii="Calibri" w:hAnsi="Calibri"/>
          <w:color w:val="231F20"/>
          <w:spacing w:val="-20"/>
          <w:w w:val="105"/>
          <w:sz w:val="17"/>
        </w:rPr>
        <w:t> </w:t>
      </w:r>
      <w:r>
        <w:rPr>
          <w:rFonts w:ascii="Calibri" w:hAnsi="Calibri"/>
          <w:color w:val="231F20"/>
          <w:w w:val="105"/>
          <w:sz w:val="17"/>
        </w:rPr>
        <w:t>consistencia</w:t>
      </w:r>
      <w:r>
        <w:rPr>
          <w:rFonts w:ascii="Calibri" w:hAnsi="Calibri"/>
          <w:color w:val="231F20"/>
          <w:spacing w:val="-20"/>
          <w:w w:val="105"/>
          <w:sz w:val="17"/>
        </w:rPr>
        <w:t> </w:t>
      </w:r>
      <w:r>
        <w:rPr>
          <w:rFonts w:ascii="Calibri" w:hAnsi="Calibri"/>
          <w:color w:val="231F20"/>
          <w:w w:val="105"/>
          <w:sz w:val="17"/>
        </w:rPr>
        <w:t>en</w:t>
      </w:r>
      <w:r>
        <w:rPr>
          <w:rFonts w:ascii="Calibri" w:hAnsi="Calibri"/>
          <w:color w:val="231F20"/>
          <w:spacing w:val="-20"/>
          <w:w w:val="105"/>
          <w:sz w:val="17"/>
        </w:rPr>
        <w:t> </w:t>
      </w:r>
      <w:r>
        <w:rPr>
          <w:rFonts w:ascii="Calibri" w:hAnsi="Calibri"/>
          <w:color w:val="231F20"/>
          <w:w w:val="105"/>
          <w:sz w:val="17"/>
        </w:rPr>
        <w:t>cada</w:t>
      </w:r>
      <w:r>
        <w:rPr>
          <w:rFonts w:ascii="Calibri" w:hAnsi="Calibri"/>
          <w:color w:val="231F20"/>
          <w:spacing w:val="-20"/>
          <w:w w:val="105"/>
          <w:sz w:val="17"/>
        </w:rPr>
        <w:t> </w:t>
      </w:r>
      <w:r>
        <w:rPr>
          <w:rFonts w:ascii="Calibri" w:hAnsi="Calibri"/>
          <w:color w:val="231F20"/>
          <w:w w:val="105"/>
          <w:sz w:val="17"/>
        </w:rPr>
        <w:t>nuevo</w:t>
      </w:r>
      <w:r>
        <w:rPr>
          <w:rFonts w:ascii="Calibri" w:hAnsi="Calibri"/>
          <w:color w:val="231F20"/>
          <w:spacing w:val="-20"/>
          <w:w w:val="105"/>
          <w:sz w:val="17"/>
        </w:rPr>
        <w:t> </w:t>
      </w:r>
      <w:r>
        <w:rPr>
          <w:rFonts w:ascii="Calibri" w:hAnsi="Calibri"/>
          <w:color w:val="231F20"/>
          <w:w w:val="105"/>
          <w:sz w:val="17"/>
        </w:rPr>
        <w:t>acoplamiento</w:t>
      </w:r>
      <w:r>
        <w:rPr>
          <w:rFonts w:ascii="Calibri" w:hAnsi="Calibri"/>
          <w:color w:val="231F20"/>
          <w:spacing w:val="-21"/>
          <w:w w:val="105"/>
          <w:sz w:val="17"/>
        </w:rPr>
        <w:t> </w:t>
      </w:r>
      <w:r>
        <w:rPr>
          <w:rFonts w:ascii="Calibri" w:hAnsi="Calibri"/>
          <w:color w:val="231F20"/>
          <w:w w:val="105"/>
          <w:sz w:val="17"/>
        </w:rPr>
        <w:t>y</w:t>
      </w:r>
      <w:r>
        <w:rPr>
          <w:rFonts w:ascii="Calibri" w:hAnsi="Calibri"/>
          <w:color w:val="231F20"/>
          <w:spacing w:val="-20"/>
          <w:w w:val="105"/>
          <w:sz w:val="17"/>
        </w:rPr>
        <w:t> </w:t>
      </w:r>
      <w:r>
        <w:rPr>
          <w:rFonts w:ascii="Calibri" w:hAnsi="Calibri"/>
          <w:color w:val="231F20"/>
          <w:w w:val="105"/>
          <w:sz w:val="17"/>
        </w:rPr>
        <w:t>que</w:t>
      </w:r>
      <w:r>
        <w:rPr>
          <w:rFonts w:ascii="Calibri" w:hAnsi="Calibri"/>
          <w:color w:val="231F20"/>
          <w:spacing w:val="-20"/>
          <w:w w:val="105"/>
          <w:sz w:val="17"/>
        </w:rPr>
        <w:t> </w:t>
      </w:r>
      <w:r>
        <w:rPr>
          <w:rFonts w:ascii="Calibri" w:hAnsi="Calibri"/>
          <w:color w:val="231F20"/>
          <w:w w:val="105"/>
          <w:sz w:val="17"/>
        </w:rPr>
        <w:t>alcanzan una</w:t>
      </w:r>
      <w:r>
        <w:rPr>
          <w:rFonts w:ascii="Calibri" w:hAnsi="Calibri"/>
          <w:color w:val="231F20"/>
          <w:spacing w:val="-18"/>
          <w:w w:val="105"/>
          <w:sz w:val="17"/>
        </w:rPr>
        <w:t> </w:t>
      </w:r>
      <w:r>
        <w:rPr>
          <w:rFonts w:ascii="Calibri" w:hAnsi="Calibri"/>
          <w:color w:val="231F20"/>
          <w:w w:val="105"/>
          <w:sz w:val="17"/>
        </w:rPr>
        <w:t>nueva</w:t>
      </w:r>
      <w:r>
        <w:rPr>
          <w:rFonts w:ascii="Calibri" w:hAnsi="Calibri"/>
          <w:color w:val="231F20"/>
          <w:spacing w:val="-18"/>
          <w:w w:val="105"/>
          <w:sz w:val="17"/>
        </w:rPr>
        <w:t> </w:t>
      </w:r>
      <w:r>
        <w:rPr>
          <w:rFonts w:ascii="Calibri" w:hAnsi="Calibri"/>
          <w:color w:val="231F20"/>
          <w:w w:val="105"/>
          <w:sz w:val="17"/>
        </w:rPr>
        <w:t>con</w:t>
      </w:r>
      <w:r>
        <w:rPr>
          <w:rFonts w:ascii="Calibri" w:hAnsi="Calibri"/>
          <w:color w:val="231F20"/>
          <w:spacing w:val="-18"/>
          <w:w w:val="105"/>
          <w:sz w:val="17"/>
        </w:rPr>
        <w:t> </w:t>
      </w:r>
      <w:r>
        <w:rPr>
          <w:rFonts w:ascii="Calibri" w:hAnsi="Calibri"/>
          <w:color w:val="231F20"/>
          <w:w w:val="105"/>
          <w:sz w:val="17"/>
        </w:rPr>
        <w:t>cada</w:t>
      </w:r>
      <w:r>
        <w:rPr>
          <w:rFonts w:ascii="Calibri" w:hAnsi="Calibri"/>
          <w:color w:val="231F20"/>
          <w:spacing w:val="-18"/>
          <w:w w:val="105"/>
          <w:sz w:val="17"/>
        </w:rPr>
        <w:t> </w:t>
      </w:r>
      <w:r>
        <w:rPr>
          <w:rFonts w:ascii="Calibri" w:hAnsi="Calibri"/>
          <w:color w:val="231F20"/>
          <w:w w:val="105"/>
          <w:sz w:val="17"/>
        </w:rPr>
        <w:t>nueva</w:t>
      </w:r>
      <w:r>
        <w:rPr>
          <w:rFonts w:ascii="Calibri" w:hAnsi="Calibri"/>
          <w:color w:val="231F20"/>
          <w:spacing w:val="-18"/>
          <w:w w:val="105"/>
          <w:sz w:val="17"/>
        </w:rPr>
        <w:t> </w:t>
      </w:r>
      <w:r>
        <w:rPr>
          <w:rFonts w:ascii="Calibri" w:hAnsi="Calibri"/>
          <w:color w:val="231F20"/>
          <w:w w:val="105"/>
          <w:sz w:val="17"/>
        </w:rPr>
        <w:t>conexión.</w:t>
      </w:r>
    </w:p>
    <w:p>
      <w:pPr>
        <w:pStyle w:val="BodyText"/>
        <w:rPr>
          <w:rFonts w:ascii="Calibri"/>
          <w:sz w:val="20"/>
        </w:rPr>
      </w:pPr>
    </w:p>
    <w:p>
      <w:pPr>
        <w:pStyle w:val="BodyText"/>
        <w:spacing w:before="10"/>
        <w:rPr>
          <w:rFonts w:ascii="Calibri"/>
          <w:sz w:val="27"/>
        </w:rPr>
      </w:pPr>
    </w:p>
    <w:p>
      <w:pPr>
        <w:tabs>
          <w:tab w:pos="1331" w:val="left" w:leader="none"/>
        </w:tabs>
        <w:spacing w:before="68"/>
        <w:ind w:left="281" w:right="0" w:firstLine="0"/>
        <w:jc w:val="left"/>
        <w:rPr>
          <w:rFonts w:ascii="Calibri" w:hAnsi="Calibri"/>
          <w:sz w:val="16"/>
        </w:rPr>
      </w:pPr>
      <w:r>
        <w:rPr/>
        <w:pict>
          <v:group style="position:absolute;margin-left:98.787804pt;margin-top:-3.358812pt;width:20.4pt;height:43pt;mso-position-horizontal-relative:page;mso-position-vertical-relative:paragraph;z-index:-170488"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hAnsi="Arial"/>
          <w:color w:val="414042"/>
          <w:position w:val="-4"/>
          <w:sz w:val="20"/>
        </w:rPr>
        <w:t>86</w:t>
        <w:tab/>
      </w:r>
      <w:r>
        <w:rPr>
          <w:rFonts w:ascii="Calibri" w:hAnsi="Calibri"/>
          <w:color w:val="6D6E71"/>
          <w:sz w:val="16"/>
        </w:rPr>
        <w:t>María Luisa Bacarlett</w:t>
      </w:r>
      <w:r>
        <w:rPr>
          <w:rFonts w:ascii="Calibri" w:hAnsi="Calibri"/>
          <w:color w:val="6D6E71"/>
          <w:spacing w:val="33"/>
          <w:sz w:val="16"/>
        </w:rPr>
        <w:t> </w:t>
      </w:r>
      <w:r>
        <w:rPr>
          <w:rFonts w:ascii="Calibri" w:hAnsi="Calibri"/>
          <w:color w:val="6D6E71"/>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335" w:right="0" w:firstLine="0"/>
        <w:jc w:val="left"/>
        <w:rPr>
          <w:rFonts w:ascii="Arial" w:hAnsi="Arial"/>
          <w:sz w:val="20"/>
        </w:rPr>
      </w:pPr>
      <w:r>
        <w:rPr/>
        <w:pict>
          <v:group style="position:absolute;margin-left:383.821014pt;margin-top:-25.479271pt;width:8.65pt;height:41pt;mso-position-horizontal-relative:page;mso-position-vertical-relative:paragraph;z-index:-17044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NATURALIZAR</w:t>
      </w:r>
      <w:r>
        <w:rPr>
          <w:rFonts w:ascii="Lucida Sans Unicode" w:hAnsi="Lucida Sans Unicode"/>
          <w:color w:val="6D6E71"/>
          <w:spacing w:val="-19"/>
          <w:w w:val="95"/>
          <w:sz w:val="14"/>
        </w:rPr>
        <w:t> </w:t>
      </w:r>
      <w:r>
        <w:rPr>
          <w:rFonts w:ascii="Lucida Sans Unicode" w:hAnsi="Lucida Sans Unicode"/>
          <w:color w:val="6D6E71"/>
          <w:w w:val="95"/>
          <w:sz w:val="14"/>
        </w:rPr>
        <w:t>LAS</w:t>
      </w:r>
      <w:r>
        <w:rPr>
          <w:rFonts w:ascii="Lucida Sans Unicode" w:hAnsi="Lucida Sans Unicode"/>
          <w:color w:val="6D6E71"/>
          <w:spacing w:val="-19"/>
          <w:w w:val="95"/>
          <w:sz w:val="14"/>
        </w:rPr>
        <w:t> </w:t>
      </w:r>
      <w:r>
        <w:rPr>
          <w:rFonts w:ascii="Lucida Sans Unicode" w:hAnsi="Lucida Sans Unicode"/>
          <w:color w:val="6D6E71"/>
          <w:w w:val="95"/>
          <w:sz w:val="14"/>
        </w:rPr>
        <w:t>PARADOJAS:</w:t>
      </w:r>
      <w:r>
        <w:rPr>
          <w:rFonts w:ascii="Lucida Sans Unicode" w:hAnsi="Lucida Sans Unicode"/>
          <w:color w:val="6D6E71"/>
          <w:spacing w:val="-19"/>
          <w:w w:val="95"/>
          <w:sz w:val="14"/>
        </w:rPr>
        <w:t> </w:t>
      </w:r>
      <w:r>
        <w:rPr>
          <w:rFonts w:ascii="Lucida Sans Unicode" w:hAnsi="Lucida Sans Unicode"/>
          <w:color w:val="6D6E71"/>
          <w:w w:val="95"/>
          <w:sz w:val="14"/>
        </w:rPr>
        <w:t>UN</w:t>
      </w:r>
      <w:r>
        <w:rPr>
          <w:rFonts w:ascii="Lucida Sans Unicode" w:hAnsi="Lucida Sans Unicode"/>
          <w:color w:val="6D6E71"/>
          <w:spacing w:val="-19"/>
          <w:w w:val="95"/>
          <w:sz w:val="14"/>
        </w:rPr>
        <w:t> </w:t>
      </w:r>
      <w:r>
        <w:rPr>
          <w:rFonts w:ascii="Lucida Sans Unicode" w:hAnsi="Lucida Sans Unicode"/>
          <w:color w:val="6D6E71"/>
          <w:w w:val="95"/>
          <w:sz w:val="14"/>
        </w:rPr>
        <w:t>ACERCAMIENTO</w:t>
      </w:r>
      <w:r>
        <w:rPr>
          <w:rFonts w:ascii="Lucida Sans Unicode" w:hAnsi="Lucida Sans Unicode"/>
          <w:color w:val="6D6E71"/>
          <w:spacing w:val="-19"/>
          <w:w w:val="95"/>
          <w:sz w:val="14"/>
        </w:rPr>
        <w:t> </w:t>
      </w:r>
      <w:r>
        <w:rPr>
          <w:rFonts w:ascii="Lucida Sans Unicode" w:hAnsi="Lucida Sans Unicode"/>
          <w:color w:val="6D6E71"/>
          <w:w w:val="95"/>
          <w:sz w:val="14"/>
        </w:rPr>
        <w:t>A</w:t>
      </w:r>
      <w:r>
        <w:rPr>
          <w:rFonts w:ascii="Lucida Sans Unicode" w:hAnsi="Lucida Sans Unicode"/>
          <w:color w:val="6D6E71"/>
          <w:spacing w:val="-19"/>
          <w:w w:val="95"/>
          <w:sz w:val="14"/>
        </w:rPr>
        <w:t> </w:t>
      </w:r>
      <w:r>
        <w:rPr>
          <w:rFonts w:ascii="Lucida Sans Unicode" w:hAnsi="Lucida Sans Unicode"/>
          <w:color w:val="6D6E71"/>
          <w:w w:val="95"/>
          <w:sz w:val="14"/>
        </w:rPr>
        <w:t>LA</w:t>
      </w:r>
      <w:r>
        <w:rPr>
          <w:rFonts w:ascii="Lucida Sans Unicode" w:hAnsi="Lucida Sans Unicode"/>
          <w:color w:val="6D6E71"/>
          <w:spacing w:val="-19"/>
          <w:w w:val="95"/>
          <w:sz w:val="14"/>
        </w:rPr>
        <w:t> </w:t>
      </w:r>
      <w:r>
        <w:rPr>
          <w:rFonts w:ascii="Lucida Sans Unicode" w:hAnsi="Lucida Sans Unicode"/>
          <w:color w:val="6D6E71"/>
          <w:w w:val="95"/>
          <w:sz w:val="14"/>
        </w:rPr>
        <w:t>GLOBALIZACIÓN</w:t>
      </w:r>
      <w:r>
        <w:rPr>
          <w:rFonts w:ascii="Lucida Sans Unicode" w:hAnsi="Lucida Sans Unicode"/>
          <w:color w:val="6D6E71"/>
          <w:spacing w:val="-19"/>
          <w:w w:val="95"/>
          <w:sz w:val="14"/>
        </w:rPr>
        <w:t> </w:t>
      </w:r>
      <w:r>
        <w:rPr>
          <w:rFonts w:ascii="Lucida Sans Unicode" w:hAnsi="Lucida Sans Unicode"/>
          <w:color w:val="6D6E71"/>
          <w:w w:val="95"/>
          <w:sz w:val="14"/>
        </w:rPr>
        <w:t>DESDE</w:t>
      </w:r>
      <w:r>
        <w:rPr>
          <w:rFonts w:ascii="Lucida Sans Unicode" w:hAnsi="Lucida Sans Unicode"/>
          <w:color w:val="6D6E71"/>
          <w:spacing w:val="-19"/>
          <w:w w:val="95"/>
          <w:sz w:val="14"/>
        </w:rPr>
        <w:t> </w:t>
      </w:r>
      <w:r>
        <w:rPr>
          <w:rFonts w:ascii="Lucida Sans Unicode" w:hAnsi="Lucida Sans Unicode"/>
          <w:color w:val="6D6E71"/>
          <w:w w:val="95"/>
          <w:sz w:val="14"/>
        </w:rPr>
        <w:t>GILLES</w:t>
      </w:r>
      <w:r>
        <w:rPr>
          <w:rFonts w:ascii="Lucida Sans Unicode" w:hAnsi="Lucida Sans Unicode"/>
          <w:color w:val="6D6E71"/>
          <w:spacing w:val="-19"/>
          <w:w w:val="95"/>
          <w:sz w:val="14"/>
        </w:rPr>
        <w:t> </w:t>
      </w:r>
      <w:r>
        <w:rPr>
          <w:rFonts w:ascii="Lucida Sans Unicode" w:hAnsi="Lucida Sans Unicode"/>
          <w:color w:val="6D6E71"/>
          <w:w w:val="95"/>
          <w:sz w:val="14"/>
        </w:rPr>
        <w:t>DELEUZE</w:t>
      </w:r>
      <w:r>
        <w:rPr>
          <w:rFonts w:ascii="Arial" w:hAnsi="Arial"/>
          <w:color w:val="414042"/>
          <w:w w:val="95"/>
          <w:position w:val="-3"/>
          <w:sz w:val="20"/>
        </w:rPr>
        <w:tab/>
        <w:t>87</w:t>
      </w:r>
    </w:p>
    <w:p>
      <w:pPr>
        <w:pStyle w:val="BodyText"/>
        <w:spacing w:line="244" w:lineRule="auto" w:before="623"/>
        <w:ind w:left="117" w:right="101"/>
        <w:jc w:val="both"/>
      </w:pPr>
      <w:r>
        <w:rPr>
          <w:color w:val="231F20"/>
        </w:rPr>
        <w:t>Deleuze y Guattari llaman lo </w:t>
      </w:r>
      <w:r>
        <w:rPr>
          <w:rFonts w:ascii="Arial" w:hAnsi="Arial"/>
          <w:i/>
          <w:color w:val="231F20"/>
        </w:rPr>
        <w:t>relativo global</w:t>
      </w:r>
      <w:r>
        <w:rPr>
          <w:color w:val="231F20"/>
        </w:rPr>
        <w:t>, es </w:t>
      </w:r>
      <w:r>
        <w:rPr>
          <w:color w:val="231F20"/>
          <w:spacing w:val="-5"/>
        </w:rPr>
        <w:t>decir, </w:t>
      </w:r>
      <w:r>
        <w:rPr>
          <w:color w:val="231F20"/>
        </w:rPr>
        <w:t>un </w:t>
      </w:r>
      <w:r>
        <w:rPr>
          <w:rFonts w:ascii="Arial" w:hAnsi="Arial"/>
          <w:i/>
          <w:color w:val="231F20"/>
        </w:rPr>
        <w:t>espacio estriado</w:t>
      </w:r>
      <w:r>
        <w:rPr>
          <w:color w:val="231F20"/>
        </w:rPr>
        <w:t>, dividido en partes, en </w:t>
      </w:r>
      <w:r>
        <w:rPr>
          <w:color w:val="231F20"/>
          <w:spacing w:val="-3"/>
        </w:rPr>
        <w:t>lugares, </w:t>
      </w:r>
      <w:r>
        <w:rPr>
          <w:color w:val="231F20"/>
        </w:rPr>
        <w:t>que establecen direcciones fijas y </w:t>
      </w:r>
      <w:r>
        <w:rPr>
          <w:color w:val="231F20"/>
          <w:spacing w:val="-3"/>
        </w:rPr>
        <w:t>bordes, </w:t>
      </w:r>
      <w:r>
        <w:rPr>
          <w:color w:val="231F20"/>
        </w:rPr>
        <w:t>así como las maneras válidas de traspasarlos. </w:t>
      </w:r>
      <w:r>
        <w:rPr>
          <w:color w:val="231F20"/>
          <w:spacing w:val="-3"/>
        </w:rPr>
        <w:t>Frente </w:t>
      </w:r>
      <w:r>
        <w:rPr>
          <w:color w:val="231F20"/>
        </w:rPr>
        <w:t>a lo relativo global se alzaría lo </w:t>
      </w:r>
      <w:r>
        <w:rPr>
          <w:rFonts w:ascii="Arial" w:hAnsi="Arial"/>
          <w:i/>
          <w:color w:val="231F20"/>
        </w:rPr>
        <w:t>absoluto local</w:t>
      </w:r>
      <w:r>
        <w:rPr>
          <w:color w:val="231F20"/>
        </w:rPr>
        <w:t>, es </w:t>
      </w:r>
      <w:r>
        <w:rPr>
          <w:color w:val="231F20"/>
          <w:spacing w:val="-5"/>
        </w:rPr>
        <w:t>decir, </w:t>
      </w:r>
      <w:r>
        <w:rPr>
          <w:color w:val="231F20"/>
        </w:rPr>
        <w:t>un </w:t>
      </w:r>
      <w:r>
        <w:rPr>
          <w:rFonts w:ascii="Arial" w:hAnsi="Arial"/>
          <w:i/>
          <w:color w:val="231F20"/>
        </w:rPr>
        <w:t>espacio liso </w:t>
      </w:r>
      <w:r>
        <w:rPr>
          <w:color w:val="231F20"/>
        </w:rPr>
        <w:t>que no tiene ni </w:t>
      </w:r>
      <w:r>
        <w:rPr>
          <w:color w:val="231F20"/>
          <w:spacing w:val="-4"/>
        </w:rPr>
        <w:t>compar- </w:t>
      </w:r>
      <w:r>
        <w:rPr>
          <w:color w:val="231F20"/>
        </w:rPr>
        <w:t>timientos ni </w:t>
      </w:r>
      <w:r>
        <w:rPr>
          <w:color w:val="231F20"/>
          <w:spacing w:val="-3"/>
        </w:rPr>
        <w:t>surcos </w:t>
      </w:r>
      <w:r>
        <w:rPr>
          <w:color w:val="231F20"/>
        </w:rPr>
        <w:t>que indiquen de antemano qué distribución </w:t>
      </w:r>
      <w:r>
        <w:rPr>
          <w:color w:val="231F20"/>
          <w:spacing w:val="-5"/>
        </w:rPr>
        <w:t>tomar, </w:t>
      </w:r>
      <w:r>
        <w:rPr>
          <w:color w:val="231F20"/>
        </w:rPr>
        <w:t>en qué casilla instalarse o qué forma </w:t>
      </w:r>
      <w:r>
        <w:rPr>
          <w:color w:val="231F20"/>
          <w:spacing w:val="-4"/>
        </w:rPr>
        <w:t>adquirir. </w:t>
      </w:r>
      <w:r>
        <w:rPr>
          <w:color w:val="231F20"/>
        </w:rPr>
        <w:t>Lo </w:t>
      </w:r>
      <w:r>
        <w:rPr>
          <w:rFonts w:ascii="Arial" w:hAnsi="Arial"/>
          <w:i/>
          <w:color w:val="231F20"/>
        </w:rPr>
        <w:t>absoluto local </w:t>
      </w:r>
      <w:r>
        <w:rPr>
          <w:color w:val="231F20"/>
        </w:rPr>
        <w:t>se </w:t>
      </w:r>
      <w:r>
        <w:rPr>
          <w:color w:val="231F20"/>
          <w:spacing w:val="-3"/>
        </w:rPr>
        <w:t>presenta </w:t>
      </w:r>
      <w:r>
        <w:rPr>
          <w:color w:val="231F20"/>
        </w:rPr>
        <w:t>como </w:t>
      </w:r>
      <w:r>
        <w:rPr>
          <w:rFonts w:ascii="Arial" w:hAnsi="Arial"/>
          <w:i/>
          <w:color w:val="231F20"/>
        </w:rPr>
        <w:t>movimiento nómada </w:t>
      </w:r>
      <w:r>
        <w:rPr>
          <w:color w:val="231F20"/>
        </w:rPr>
        <w:t>que no es localizable ni delimitable de </w:t>
      </w:r>
      <w:r>
        <w:rPr>
          <w:color w:val="231F20"/>
          <w:spacing w:val="-2"/>
        </w:rPr>
        <w:t>manera </w:t>
      </w:r>
      <w:r>
        <w:rPr>
          <w:color w:val="231F20"/>
        </w:rPr>
        <w:t>permanente, pues se orienta y se </w:t>
      </w:r>
      <w:r>
        <w:rPr>
          <w:color w:val="231F20"/>
          <w:spacing w:val="-3"/>
        </w:rPr>
        <w:t>refiere </w:t>
      </w:r>
      <w:r>
        <w:rPr>
          <w:color w:val="231F20"/>
        </w:rPr>
        <w:t>a una pluralidad de manifestacio- nes,</w:t>
      </w:r>
      <w:r>
        <w:rPr>
          <w:color w:val="231F20"/>
          <w:spacing w:val="-17"/>
        </w:rPr>
        <w:t> </w:t>
      </w:r>
      <w:r>
        <w:rPr>
          <w:color w:val="231F20"/>
        </w:rPr>
        <w:t>ellas</w:t>
      </w:r>
      <w:r>
        <w:rPr>
          <w:color w:val="231F20"/>
          <w:spacing w:val="-17"/>
        </w:rPr>
        <w:t> </w:t>
      </w:r>
      <w:r>
        <w:rPr>
          <w:color w:val="231F20"/>
        </w:rPr>
        <w:t>mismas</w:t>
      </w:r>
      <w:r>
        <w:rPr>
          <w:color w:val="231F20"/>
          <w:spacing w:val="-17"/>
        </w:rPr>
        <w:t> </w:t>
      </w:r>
      <w:r>
        <w:rPr>
          <w:color w:val="231F20"/>
        </w:rPr>
        <w:t>en</w:t>
      </w:r>
      <w:r>
        <w:rPr>
          <w:color w:val="231F20"/>
          <w:spacing w:val="-17"/>
        </w:rPr>
        <w:t> </w:t>
      </w:r>
      <w:r>
        <w:rPr>
          <w:color w:val="231F20"/>
        </w:rPr>
        <w:t>mutación.</w:t>
      </w:r>
      <w:r>
        <w:rPr>
          <w:color w:val="231F20"/>
          <w:spacing w:val="-17"/>
        </w:rPr>
        <w:t> </w:t>
      </w:r>
      <w:r>
        <w:rPr>
          <w:color w:val="231F20"/>
        </w:rPr>
        <w:t>Lo</w:t>
      </w:r>
      <w:r>
        <w:rPr>
          <w:color w:val="231F20"/>
          <w:spacing w:val="-17"/>
        </w:rPr>
        <w:t> </w:t>
      </w:r>
      <w:r>
        <w:rPr>
          <w:color w:val="231F20"/>
        </w:rPr>
        <w:t>absoluto</w:t>
      </w:r>
      <w:r>
        <w:rPr>
          <w:color w:val="231F20"/>
          <w:spacing w:val="-17"/>
        </w:rPr>
        <w:t> </w:t>
      </w:r>
      <w:r>
        <w:rPr>
          <w:color w:val="231F20"/>
        </w:rPr>
        <w:t>local</w:t>
      </w:r>
      <w:r>
        <w:rPr>
          <w:color w:val="231F20"/>
          <w:spacing w:val="-17"/>
        </w:rPr>
        <w:t> </w:t>
      </w:r>
      <w:r>
        <w:rPr>
          <w:color w:val="231F20"/>
        </w:rPr>
        <w:t>se</w:t>
      </w:r>
      <w:r>
        <w:rPr>
          <w:color w:val="231F20"/>
          <w:spacing w:val="-17"/>
        </w:rPr>
        <w:t> </w:t>
      </w:r>
      <w:r>
        <w:rPr>
          <w:color w:val="231F20"/>
          <w:spacing w:val="-3"/>
        </w:rPr>
        <w:t>refiere</w:t>
      </w:r>
      <w:r>
        <w:rPr>
          <w:color w:val="231F20"/>
          <w:spacing w:val="-17"/>
        </w:rPr>
        <w:t> </w:t>
      </w:r>
      <w:r>
        <w:rPr>
          <w:color w:val="231F20"/>
        </w:rPr>
        <w:t>entonces</w:t>
      </w:r>
      <w:r>
        <w:rPr>
          <w:color w:val="231F20"/>
          <w:spacing w:val="-17"/>
        </w:rPr>
        <w:t> </w:t>
      </w:r>
      <w:r>
        <w:rPr>
          <w:color w:val="231F20"/>
        </w:rPr>
        <w:t>a:</w:t>
      </w:r>
      <w:r>
        <w:rPr>
          <w:color w:val="231F20"/>
          <w:spacing w:val="-17"/>
        </w:rPr>
        <w:t> </w:t>
      </w:r>
      <w:r>
        <w:rPr>
          <w:color w:val="231F20"/>
        </w:rPr>
        <w:t>“[…] un absoluto que tiene su manifestación en lo local y que se engendra en una serie de operaciones locales de orientaciones diversas: el desierto, la estepa, el hielo, el mar”</w:t>
      </w:r>
      <w:r>
        <w:rPr>
          <w:color w:val="231F20"/>
          <w:position w:val="7"/>
          <w:sz w:val="12"/>
        </w:rPr>
        <w:t>49</w:t>
      </w:r>
      <w:r>
        <w:rPr>
          <w:color w:val="231F20"/>
        </w:rPr>
        <w:t>. Significa </w:t>
      </w:r>
      <w:r>
        <w:rPr>
          <w:rFonts w:ascii="Arial" w:hAnsi="Arial"/>
          <w:i/>
          <w:color w:val="231F20"/>
        </w:rPr>
        <w:t>hacer </w:t>
      </w:r>
      <w:r>
        <w:rPr>
          <w:rFonts w:ascii="Arial" w:hAnsi="Arial"/>
          <w:i/>
          <w:color w:val="231F20"/>
          <w:spacing w:val="-3"/>
        </w:rPr>
        <w:t>aparecer </w:t>
      </w:r>
      <w:r>
        <w:rPr>
          <w:rFonts w:ascii="Arial" w:hAnsi="Arial"/>
          <w:i/>
          <w:color w:val="231F20"/>
        </w:rPr>
        <w:t>lo absoluto en el lugar</w:t>
      </w:r>
      <w:r>
        <w:rPr>
          <w:color w:val="231F20"/>
        </w:rPr>
        <w:t>, sin </w:t>
      </w:r>
      <w:r>
        <w:rPr>
          <w:color w:val="231F20"/>
          <w:spacing w:val="-3"/>
        </w:rPr>
        <w:t>pretender </w:t>
      </w:r>
      <w:r>
        <w:rPr>
          <w:color w:val="231F20"/>
        </w:rPr>
        <w:t>que ese lugar se vuelva absoluto. Hacer </w:t>
      </w:r>
      <w:r>
        <w:rPr>
          <w:color w:val="231F20"/>
          <w:spacing w:val="-3"/>
        </w:rPr>
        <w:t>aparecer </w:t>
      </w:r>
      <w:r>
        <w:rPr>
          <w:color w:val="231F20"/>
        </w:rPr>
        <w:t>el lugar en lo</w:t>
      </w:r>
      <w:r>
        <w:rPr>
          <w:color w:val="231F20"/>
          <w:spacing w:val="-10"/>
        </w:rPr>
        <w:t> </w:t>
      </w:r>
      <w:r>
        <w:rPr>
          <w:color w:val="231F20"/>
        </w:rPr>
        <w:t>absoluto</w:t>
      </w:r>
      <w:r>
        <w:rPr>
          <w:color w:val="231F20"/>
          <w:spacing w:val="-10"/>
        </w:rPr>
        <w:t> </w:t>
      </w:r>
      <w:r>
        <w:rPr>
          <w:color w:val="231F20"/>
        </w:rPr>
        <w:t>es</w:t>
      </w:r>
      <w:r>
        <w:rPr>
          <w:color w:val="231F20"/>
          <w:spacing w:val="-10"/>
        </w:rPr>
        <w:t> </w:t>
      </w:r>
      <w:r>
        <w:rPr>
          <w:color w:val="231F20"/>
          <w:spacing w:val="-3"/>
        </w:rPr>
        <w:t>precisamente</w:t>
      </w:r>
      <w:r>
        <w:rPr>
          <w:color w:val="231F20"/>
          <w:spacing w:val="-10"/>
        </w:rPr>
        <w:t> </w:t>
      </w:r>
      <w:r>
        <w:rPr>
          <w:color w:val="231F20"/>
        </w:rPr>
        <w:t>la</w:t>
      </w:r>
      <w:r>
        <w:rPr>
          <w:color w:val="231F20"/>
          <w:spacing w:val="-10"/>
        </w:rPr>
        <w:t> </w:t>
      </w:r>
      <w:r>
        <w:rPr>
          <w:color w:val="231F20"/>
        </w:rPr>
        <w:t>estrategia</w:t>
      </w:r>
      <w:r>
        <w:rPr>
          <w:color w:val="231F20"/>
          <w:spacing w:val="-10"/>
        </w:rPr>
        <w:t> </w:t>
      </w:r>
      <w:r>
        <w:rPr>
          <w:color w:val="231F20"/>
        </w:rPr>
        <w:t>capitalista</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globalización</w:t>
      </w:r>
      <w:r>
        <w:rPr>
          <w:color w:val="231F20"/>
          <w:spacing w:val="-10"/>
        </w:rPr>
        <w:t> </w:t>
      </w:r>
      <w:r>
        <w:rPr>
          <w:color w:val="231F20"/>
        </w:rPr>
        <w:t>en general:</w:t>
      </w:r>
      <w:r>
        <w:rPr>
          <w:color w:val="231F20"/>
          <w:spacing w:val="-11"/>
        </w:rPr>
        <w:t> </w:t>
      </w:r>
      <w:r>
        <w:rPr>
          <w:color w:val="231F20"/>
        </w:rPr>
        <w:t>al</w:t>
      </w:r>
      <w:r>
        <w:rPr>
          <w:color w:val="231F20"/>
          <w:spacing w:val="-11"/>
        </w:rPr>
        <w:t> </w:t>
      </w:r>
      <w:r>
        <w:rPr>
          <w:color w:val="231F20"/>
          <w:spacing w:val="-3"/>
        </w:rPr>
        <w:t>presentarse</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monstruo</w:t>
      </w:r>
      <w:r>
        <w:rPr>
          <w:color w:val="231F20"/>
          <w:spacing w:val="-11"/>
        </w:rPr>
        <w:t> </w:t>
      </w:r>
      <w:r>
        <w:rPr>
          <w:color w:val="231F20"/>
        </w:rPr>
        <w:t>sin</w:t>
      </w:r>
      <w:r>
        <w:rPr>
          <w:color w:val="231F20"/>
          <w:spacing w:val="-11"/>
        </w:rPr>
        <w:t> </w:t>
      </w:r>
      <w:r>
        <w:rPr>
          <w:color w:val="231F20"/>
        </w:rPr>
        <w:t>fundamentos</w:t>
      </w:r>
      <w:r>
        <w:rPr>
          <w:color w:val="231F20"/>
          <w:spacing w:val="-11"/>
        </w:rPr>
        <w:t> </w:t>
      </w:r>
      <w:r>
        <w:rPr>
          <w:color w:val="231F20"/>
        </w:rPr>
        <w:t>y</w:t>
      </w:r>
      <w:r>
        <w:rPr>
          <w:color w:val="231F20"/>
          <w:spacing w:val="-11"/>
        </w:rPr>
        <w:t> </w:t>
      </w:r>
      <w:r>
        <w:rPr>
          <w:color w:val="231F20"/>
        </w:rPr>
        <w:t>cuya</w:t>
      </w:r>
      <w:r>
        <w:rPr>
          <w:color w:val="231F20"/>
          <w:spacing w:val="-11"/>
        </w:rPr>
        <w:t> </w:t>
      </w:r>
      <w:r>
        <w:rPr>
          <w:color w:val="231F20"/>
          <w:spacing w:val="-3"/>
        </w:rPr>
        <w:t>tarea</w:t>
      </w:r>
      <w:r>
        <w:rPr>
          <w:color w:val="231F20"/>
          <w:spacing w:val="-11"/>
        </w:rPr>
        <w:t> </w:t>
      </w:r>
      <w:r>
        <w:rPr>
          <w:color w:val="231F20"/>
        </w:rPr>
        <w:t>es la</w:t>
      </w:r>
      <w:r>
        <w:rPr>
          <w:color w:val="231F20"/>
          <w:spacing w:val="-15"/>
        </w:rPr>
        <w:t> </w:t>
      </w:r>
      <w:r>
        <w:rPr>
          <w:color w:val="231F20"/>
        </w:rPr>
        <w:t>desterritorialización</w:t>
      </w:r>
      <w:r>
        <w:rPr>
          <w:color w:val="231F20"/>
          <w:spacing w:val="-15"/>
        </w:rPr>
        <w:t> </w:t>
      </w:r>
      <w:r>
        <w:rPr>
          <w:color w:val="231F20"/>
        </w:rPr>
        <w:t>intensiva</w:t>
      </w:r>
      <w:r>
        <w:rPr>
          <w:color w:val="231F20"/>
          <w:position w:val="7"/>
          <w:sz w:val="12"/>
        </w:rPr>
        <w:t>50</w:t>
      </w:r>
      <w:r>
        <w:rPr>
          <w:color w:val="231F20"/>
        </w:rPr>
        <w:t>,</w:t>
      </w:r>
      <w:r>
        <w:rPr>
          <w:color w:val="231F20"/>
          <w:spacing w:val="-15"/>
        </w:rPr>
        <w:t> </w:t>
      </w:r>
      <w:r>
        <w:rPr>
          <w:color w:val="231F20"/>
        </w:rPr>
        <w:t>se</w:t>
      </w:r>
      <w:r>
        <w:rPr>
          <w:color w:val="231F20"/>
          <w:spacing w:val="-15"/>
        </w:rPr>
        <w:t> </w:t>
      </w:r>
      <w:r>
        <w:rPr>
          <w:color w:val="231F20"/>
        </w:rPr>
        <w:t>manifiesta</w:t>
      </w:r>
      <w:r>
        <w:rPr>
          <w:color w:val="231F20"/>
          <w:spacing w:val="-15"/>
        </w:rPr>
        <w:t> </w:t>
      </w:r>
      <w:r>
        <w:rPr>
          <w:color w:val="231F20"/>
        </w:rPr>
        <w:t>como</w:t>
      </w:r>
      <w:r>
        <w:rPr>
          <w:color w:val="231F20"/>
          <w:spacing w:val="-15"/>
        </w:rPr>
        <w:t> </w:t>
      </w:r>
      <w:r>
        <w:rPr>
          <w:color w:val="231F20"/>
        </w:rPr>
        <w:t>un</w:t>
      </w:r>
      <w:r>
        <w:rPr>
          <w:color w:val="231F20"/>
          <w:spacing w:val="-15"/>
        </w:rPr>
        <w:t> </w:t>
      </w:r>
      <w:r>
        <w:rPr>
          <w:color w:val="231F20"/>
        </w:rPr>
        <w:t>lugar</w:t>
      </w:r>
      <w:r>
        <w:rPr>
          <w:color w:val="231F20"/>
          <w:spacing w:val="-15"/>
        </w:rPr>
        <w:t> </w:t>
      </w:r>
      <w:r>
        <w:rPr>
          <w:color w:val="231F20"/>
        </w:rPr>
        <w:t>con</w:t>
      </w:r>
      <w:r>
        <w:rPr>
          <w:color w:val="231F20"/>
          <w:spacing w:val="-15"/>
        </w:rPr>
        <w:t> </w:t>
      </w:r>
      <w:r>
        <w:rPr>
          <w:color w:val="231F20"/>
        </w:rPr>
        <w:t>carácter absoluto, como una perspectiva particular que se convierte en total y </w:t>
      </w:r>
      <w:r>
        <w:rPr>
          <w:color w:val="231F20"/>
          <w:spacing w:val="-2"/>
        </w:rPr>
        <w:t>sin </w:t>
      </w:r>
      <w:r>
        <w:rPr>
          <w:color w:val="231F20"/>
          <w:spacing w:val="-4"/>
        </w:rPr>
        <w:t>exterior.</w:t>
      </w:r>
      <w:r>
        <w:rPr>
          <w:color w:val="231F20"/>
          <w:spacing w:val="-11"/>
        </w:rPr>
        <w:t> </w:t>
      </w:r>
      <w:r>
        <w:rPr>
          <w:color w:val="231F20"/>
        </w:rPr>
        <w:t>Hacer</w:t>
      </w:r>
      <w:r>
        <w:rPr>
          <w:color w:val="231F20"/>
          <w:spacing w:val="-11"/>
        </w:rPr>
        <w:t> </w:t>
      </w:r>
      <w:r>
        <w:rPr>
          <w:color w:val="231F20"/>
        </w:rPr>
        <w:t>pasar</w:t>
      </w:r>
      <w:r>
        <w:rPr>
          <w:color w:val="231F20"/>
          <w:spacing w:val="-11"/>
        </w:rPr>
        <w:t> </w:t>
      </w:r>
      <w:r>
        <w:rPr>
          <w:color w:val="231F20"/>
        </w:rPr>
        <w:t>por</w:t>
      </w:r>
      <w:r>
        <w:rPr>
          <w:color w:val="231F20"/>
          <w:spacing w:val="-11"/>
        </w:rPr>
        <w:t> </w:t>
      </w:r>
      <w:r>
        <w:rPr>
          <w:color w:val="231F20"/>
        </w:rPr>
        <w:t>global</w:t>
      </w:r>
      <w:r>
        <w:rPr>
          <w:color w:val="231F20"/>
          <w:spacing w:val="-11"/>
        </w:rPr>
        <w:t> </w:t>
      </w:r>
      <w:r>
        <w:rPr>
          <w:color w:val="231F20"/>
        </w:rPr>
        <w:t>una</w:t>
      </w:r>
      <w:r>
        <w:rPr>
          <w:color w:val="231F20"/>
          <w:spacing w:val="-11"/>
        </w:rPr>
        <w:t> </w:t>
      </w:r>
      <w:r>
        <w:rPr>
          <w:color w:val="231F20"/>
        </w:rPr>
        <w:t>perspectiva</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rPr>
        <w:t>en</w:t>
      </w:r>
      <w:r>
        <w:rPr>
          <w:color w:val="231F20"/>
          <w:spacing w:val="-11"/>
        </w:rPr>
        <w:t> </w:t>
      </w:r>
      <w:r>
        <w:rPr>
          <w:color w:val="231F20"/>
        </w:rPr>
        <w:t>realidad</w:t>
      </w:r>
      <w:r>
        <w:rPr>
          <w:color w:val="231F20"/>
          <w:spacing w:val="-11"/>
        </w:rPr>
        <w:t> </w:t>
      </w:r>
      <w:r>
        <w:rPr>
          <w:color w:val="231F20"/>
        </w:rPr>
        <w:t>particu- </w:t>
      </w:r>
      <w:r>
        <w:rPr>
          <w:color w:val="231F20"/>
          <w:spacing w:val="-7"/>
        </w:rPr>
        <w:t>lar,</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estrategia</w:t>
      </w:r>
      <w:r>
        <w:rPr>
          <w:color w:val="231F20"/>
          <w:spacing w:val="-9"/>
        </w:rPr>
        <w:t> </w:t>
      </w:r>
      <w:r>
        <w:rPr>
          <w:color w:val="231F20"/>
        </w:rPr>
        <w:t>óptima</w:t>
      </w:r>
      <w:r>
        <w:rPr>
          <w:color w:val="231F20"/>
          <w:spacing w:val="-9"/>
        </w:rPr>
        <w:t> </w:t>
      </w:r>
      <w:r>
        <w:rPr>
          <w:color w:val="231F20"/>
        </w:rPr>
        <w:t>para</w:t>
      </w:r>
      <w:r>
        <w:rPr>
          <w:color w:val="231F20"/>
          <w:spacing w:val="-9"/>
        </w:rPr>
        <w:t> </w:t>
      </w:r>
      <w:r>
        <w:rPr>
          <w:color w:val="231F20"/>
        </w:rPr>
        <w:t>absorber</w:t>
      </w:r>
      <w:r>
        <w:rPr>
          <w:color w:val="231F20"/>
          <w:spacing w:val="-9"/>
        </w:rPr>
        <w:t> </w:t>
      </w:r>
      <w:r>
        <w:rPr>
          <w:color w:val="231F20"/>
        </w:rPr>
        <w:t>todas</w:t>
      </w:r>
      <w:r>
        <w:rPr>
          <w:color w:val="231F20"/>
          <w:spacing w:val="-9"/>
        </w:rPr>
        <w:t> </w:t>
      </w:r>
      <w:r>
        <w:rPr>
          <w:color w:val="231F20"/>
        </w:rPr>
        <w:t>las</w:t>
      </w:r>
      <w:r>
        <w:rPr>
          <w:color w:val="231F20"/>
          <w:spacing w:val="-9"/>
        </w:rPr>
        <w:t> </w:t>
      </w:r>
      <w:r>
        <w:rPr>
          <w:color w:val="231F20"/>
        </w:rPr>
        <w:t>demás</w:t>
      </w:r>
      <w:r>
        <w:rPr>
          <w:color w:val="231F20"/>
          <w:spacing w:val="-9"/>
        </w:rPr>
        <w:t> </w:t>
      </w:r>
      <w:r>
        <w:rPr>
          <w:color w:val="231F20"/>
        </w:rPr>
        <w:t>particularidades. Esta</w:t>
      </w:r>
      <w:r>
        <w:rPr>
          <w:color w:val="231F20"/>
          <w:spacing w:val="-16"/>
        </w:rPr>
        <w:t> </w:t>
      </w:r>
      <w:r>
        <w:rPr>
          <w:color w:val="231F20"/>
        </w:rPr>
        <w:t>es</w:t>
      </w:r>
      <w:r>
        <w:rPr>
          <w:color w:val="231F20"/>
          <w:spacing w:val="-16"/>
        </w:rPr>
        <w:t> </w:t>
      </w:r>
      <w:r>
        <w:rPr>
          <w:color w:val="231F20"/>
        </w:rPr>
        <w:t>la</w:t>
      </w:r>
      <w:r>
        <w:rPr>
          <w:color w:val="231F20"/>
          <w:spacing w:val="-16"/>
        </w:rPr>
        <w:t> </w:t>
      </w:r>
      <w:r>
        <w:rPr>
          <w:color w:val="231F20"/>
        </w:rPr>
        <w:t>función</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paradojas</w:t>
      </w:r>
      <w:r>
        <w:rPr>
          <w:color w:val="231F20"/>
          <w:spacing w:val="-16"/>
        </w:rPr>
        <w:t> </w:t>
      </w:r>
      <w:r>
        <w:rPr>
          <w:color w:val="231F20"/>
        </w:rPr>
        <w:t>ficticias,</w:t>
      </w:r>
      <w:r>
        <w:rPr>
          <w:color w:val="231F20"/>
          <w:spacing w:val="-16"/>
        </w:rPr>
        <w:t> </w:t>
      </w:r>
      <w:r>
        <w:rPr>
          <w:color w:val="231F20"/>
        </w:rPr>
        <w:t>naturalizar</w:t>
      </w:r>
      <w:r>
        <w:rPr>
          <w:color w:val="231F20"/>
          <w:spacing w:val="-16"/>
        </w:rPr>
        <w:t> </w:t>
      </w:r>
      <w:r>
        <w:rPr>
          <w:color w:val="231F20"/>
        </w:rPr>
        <w:t>las</w:t>
      </w:r>
      <w:r>
        <w:rPr>
          <w:color w:val="231F20"/>
          <w:spacing w:val="-16"/>
        </w:rPr>
        <w:t> </w:t>
      </w:r>
      <w:r>
        <w:rPr>
          <w:color w:val="231F20"/>
        </w:rPr>
        <w:t>contradicciones</w:t>
      </w:r>
      <w:r>
        <w:rPr>
          <w:color w:val="231F20"/>
          <w:spacing w:val="-16"/>
        </w:rPr>
        <w:t> </w:t>
      </w:r>
      <w:r>
        <w:rPr>
          <w:color w:val="231F20"/>
        </w:rPr>
        <w:t>y absorber</w:t>
      </w:r>
      <w:r>
        <w:rPr>
          <w:color w:val="231F20"/>
          <w:spacing w:val="-18"/>
        </w:rPr>
        <w:t> </w:t>
      </w:r>
      <w:r>
        <w:rPr>
          <w:color w:val="231F20"/>
        </w:rPr>
        <w:t>las</w:t>
      </w:r>
      <w:r>
        <w:rPr>
          <w:color w:val="231F20"/>
          <w:spacing w:val="-18"/>
        </w:rPr>
        <w:t> </w:t>
      </w:r>
      <w:r>
        <w:rPr>
          <w:color w:val="231F20"/>
          <w:spacing w:val="-2"/>
        </w:rPr>
        <w:t>diferencias.</w:t>
      </w:r>
      <w:r>
        <w:rPr>
          <w:color w:val="231F20"/>
          <w:spacing w:val="-18"/>
        </w:rPr>
        <w:t> </w:t>
      </w:r>
      <w:r>
        <w:rPr>
          <w:color w:val="231F20"/>
        </w:rPr>
        <w:t>En</w:t>
      </w:r>
      <w:r>
        <w:rPr>
          <w:color w:val="231F20"/>
          <w:spacing w:val="-18"/>
        </w:rPr>
        <w:t> </w:t>
      </w:r>
      <w:r>
        <w:rPr>
          <w:color w:val="231F20"/>
        </w:rPr>
        <w:t>cambio,</w:t>
      </w:r>
      <w:r>
        <w:rPr>
          <w:color w:val="231F20"/>
          <w:spacing w:val="-18"/>
        </w:rPr>
        <w:t> </w:t>
      </w:r>
      <w:r>
        <w:rPr>
          <w:color w:val="231F20"/>
        </w:rPr>
        <w:t>las</w:t>
      </w:r>
      <w:r>
        <w:rPr>
          <w:color w:val="231F20"/>
          <w:spacing w:val="-18"/>
        </w:rPr>
        <w:t> </w:t>
      </w:r>
      <w:r>
        <w:rPr>
          <w:color w:val="231F20"/>
        </w:rPr>
        <w:t>paradojas</w:t>
      </w:r>
      <w:r>
        <w:rPr>
          <w:color w:val="231F20"/>
          <w:spacing w:val="-18"/>
        </w:rPr>
        <w:t> </w:t>
      </w:r>
      <w:r>
        <w:rPr>
          <w:color w:val="231F20"/>
        </w:rPr>
        <w:t>radicales</w:t>
      </w:r>
      <w:r>
        <w:rPr>
          <w:color w:val="231F20"/>
          <w:spacing w:val="-18"/>
        </w:rPr>
        <w:t> </w:t>
      </w:r>
      <w:r>
        <w:rPr>
          <w:color w:val="231F20"/>
        </w:rPr>
        <w:t>conservan</w:t>
      </w:r>
      <w:r>
        <w:rPr>
          <w:color w:val="231F20"/>
          <w:spacing w:val="-18"/>
        </w:rPr>
        <w:t> </w:t>
      </w:r>
      <w:r>
        <w:rPr>
          <w:color w:val="231F20"/>
        </w:rPr>
        <w:t>y</w:t>
      </w:r>
      <w:r>
        <w:rPr>
          <w:color w:val="231F20"/>
          <w:spacing w:val="-18"/>
        </w:rPr>
        <w:t> </w:t>
      </w:r>
      <w:r>
        <w:rPr>
          <w:color w:val="231F20"/>
        </w:rPr>
        <w:t>po- tencian</w:t>
      </w:r>
      <w:r>
        <w:rPr>
          <w:color w:val="231F20"/>
          <w:spacing w:val="-17"/>
        </w:rPr>
        <w:t> </w:t>
      </w:r>
      <w:r>
        <w:rPr>
          <w:color w:val="231F20"/>
        </w:rPr>
        <w:t>la</w:t>
      </w:r>
      <w:r>
        <w:rPr>
          <w:color w:val="231F20"/>
          <w:spacing w:val="-17"/>
        </w:rPr>
        <w:t> </w:t>
      </w:r>
      <w:r>
        <w:rPr>
          <w:color w:val="231F20"/>
        </w:rPr>
        <w:t>diferencia,</w:t>
      </w:r>
      <w:r>
        <w:rPr>
          <w:color w:val="231F20"/>
          <w:spacing w:val="-17"/>
        </w:rPr>
        <w:t> </w:t>
      </w:r>
      <w:r>
        <w:rPr>
          <w:color w:val="231F20"/>
        </w:rPr>
        <w:t>sus</w:t>
      </w:r>
      <w:r>
        <w:rPr>
          <w:color w:val="231F20"/>
          <w:spacing w:val="-17"/>
        </w:rPr>
        <w:t> </w:t>
      </w:r>
      <w:r>
        <w:rPr>
          <w:color w:val="231F20"/>
        </w:rPr>
        <w:t>elementos</w:t>
      </w:r>
      <w:r>
        <w:rPr>
          <w:color w:val="231F20"/>
          <w:spacing w:val="-17"/>
        </w:rPr>
        <w:t> </w:t>
      </w:r>
      <w:r>
        <w:rPr>
          <w:color w:val="231F20"/>
        </w:rPr>
        <w:t>ya</w:t>
      </w:r>
      <w:r>
        <w:rPr>
          <w:color w:val="231F20"/>
          <w:spacing w:val="-17"/>
        </w:rPr>
        <w:t> </w:t>
      </w:r>
      <w:r>
        <w:rPr>
          <w:color w:val="231F20"/>
        </w:rPr>
        <w:t>no</w:t>
      </w:r>
      <w:r>
        <w:rPr>
          <w:color w:val="231F20"/>
          <w:spacing w:val="-17"/>
        </w:rPr>
        <w:t> </w:t>
      </w:r>
      <w:r>
        <w:rPr>
          <w:color w:val="231F20"/>
        </w:rPr>
        <w:t>tienen</w:t>
      </w:r>
      <w:r>
        <w:rPr>
          <w:color w:val="231F20"/>
          <w:spacing w:val="-17"/>
        </w:rPr>
        <w:t> </w:t>
      </w:r>
      <w:r>
        <w:rPr>
          <w:color w:val="231F20"/>
        </w:rPr>
        <w:t>más</w:t>
      </w:r>
      <w:r>
        <w:rPr>
          <w:color w:val="231F20"/>
          <w:spacing w:val="-17"/>
        </w:rPr>
        <w:t> </w:t>
      </w:r>
      <w:r>
        <w:rPr>
          <w:color w:val="231F20"/>
        </w:rPr>
        <w:t>la</w:t>
      </w:r>
      <w:r>
        <w:rPr>
          <w:color w:val="231F20"/>
          <w:spacing w:val="-17"/>
        </w:rPr>
        <w:t> </w:t>
      </w:r>
      <w:r>
        <w:rPr>
          <w:color w:val="231F20"/>
        </w:rPr>
        <w:t>forma</w:t>
      </w:r>
      <w:r>
        <w:rPr>
          <w:color w:val="231F20"/>
          <w:spacing w:val="-17"/>
        </w:rPr>
        <w:t> </w:t>
      </w:r>
      <w:r>
        <w:rPr>
          <w:color w:val="231F20"/>
        </w:rPr>
        <w:t>de</w:t>
      </w:r>
      <w:r>
        <w:rPr>
          <w:color w:val="231F20"/>
          <w:spacing w:val="-17"/>
        </w:rPr>
        <w:t> </w:t>
      </w:r>
      <w:r>
        <w:rPr>
          <w:color w:val="231F20"/>
        </w:rPr>
        <w:t>opuestos, sino</w:t>
      </w:r>
      <w:r>
        <w:rPr>
          <w:color w:val="231F20"/>
          <w:spacing w:val="-13"/>
        </w:rPr>
        <w:t> </w:t>
      </w:r>
      <w:r>
        <w:rPr>
          <w:color w:val="231F20"/>
        </w:rPr>
        <w:t>de</w:t>
      </w:r>
      <w:r>
        <w:rPr>
          <w:color w:val="231F20"/>
          <w:spacing w:val="-13"/>
        </w:rPr>
        <w:t> </w:t>
      </w:r>
      <w:r>
        <w:rPr>
          <w:rFonts w:ascii="Arial" w:hAnsi="Arial"/>
          <w:i/>
          <w:color w:val="231F20"/>
        </w:rPr>
        <w:t>entidades</w:t>
      </w:r>
      <w:r>
        <w:rPr>
          <w:rFonts w:ascii="Arial" w:hAnsi="Arial"/>
          <w:i/>
          <w:color w:val="231F20"/>
          <w:spacing w:val="-5"/>
        </w:rPr>
        <w:t> </w:t>
      </w:r>
      <w:r>
        <w:rPr>
          <w:rFonts w:ascii="Arial" w:hAnsi="Arial"/>
          <w:i/>
          <w:color w:val="231F20"/>
        </w:rPr>
        <w:t>nómadas</w:t>
      </w:r>
      <w:r>
        <w:rPr>
          <w:rFonts w:ascii="Arial" w:hAnsi="Arial"/>
          <w:i/>
          <w:color w:val="231F20"/>
          <w:spacing w:val="-5"/>
        </w:rPr>
        <w:t> </w:t>
      </w:r>
      <w:r>
        <w:rPr>
          <w:color w:val="231F20"/>
        </w:rPr>
        <w:t>o</w:t>
      </w:r>
      <w:r>
        <w:rPr>
          <w:color w:val="231F20"/>
          <w:spacing w:val="-13"/>
        </w:rPr>
        <w:t> </w:t>
      </w:r>
      <w:r>
        <w:rPr>
          <w:color w:val="231F20"/>
        </w:rPr>
        <w:t>multiplicidades</w:t>
      </w:r>
      <w:r>
        <w:rPr>
          <w:color w:val="231F20"/>
          <w:position w:val="7"/>
          <w:sz w:val="12"/>
        </w:rPr>
        <w:t>51</w:t>
      </w:r>
      <w:r>
        <w:rPr>
          <w:color w:val="231F20"/>
          <w:spacing w:val="16"/>
          <w:position w:val="7"/>
          <w:sz w:val="12"/>
        </w:rPr>
        <w:t> </w:t>
      </w:r>
      <w:r>
        <w:rPr>
          <w:color w:val="231F20"/>
        </w:rPr>
        <w:t>que</w:t>
      </w:r>
      <w:r>
        <w:rPr>
          <w:color w:val="231F20"/>
          <w:spacing w:val="-13"/>
        </w:rPr>
        <w:t> </w:t>
      </w:r>
      <w:r>
        <w:rPr>
          <w:color w:val="231F20"/>
        </w:rPr>
        <w:t>no</w:t>
      </w:r>
      <w:r>
        <w:rPr>
          <w:color w:val="231F20"/>
          <w:spacing w:val="-13"/>
        </w:rPr>
        <w:t> </w:t>
      </w:r>
      <w:r>
        <w:rPr>
          <w:color w:val="231F20"/>
        </w:rPr>
        <w:t>paran</w:t>
      </w:r>
      <w:r>
        <w:rPr>
          <w:color w:val="231F20"/>
          <w:spacing w:val="-13"/>
        </w:rPr>
        <w:t> </w:t>
      </w:r>
      <w:r>
        <w:rPr>
          <w:color w:val="231F20"/>
        </w:rPr>
        <w:t>de</w:t>
      </w:r>
      <w:r>
        <w:rPr>
          <w:color w:val="231F20"/>
          <w:spacing w:val="-13"/>
        </w:rPr>
        <w:t> </w:t>
      </w:r>
      <w:r>
        <w:rPr>
          <w:color w:val="231F20"/>
          <w:spacing w:val="-3"/>
        </w:rPr>
        <w:t>diferenciar- </w:t>
      </w:r>
      <w:r>
        <w:rPr>
          <w:color w:val="231F20"/>
        </w:rPr>
        <w:t>se, que tienen una pluralidad de </w:t>
      </w:r>
      <w:r>
        <w:rPr>
          <w:color w:val="231F20"/>
          <w:spacing w:val="-3"/>
        </w:rPr>
        <w:t>referentes </w:t>
      </w:r>
      <w:r>
        <w:rPr>
          <w:color w:val="231F20"/>
        </w:rPr>
        <w:t>y de </w:t>
      </w:r>
      <w:r>
        <w:rPr>
          <w:color w:val="231F20"/>
          <w:spacing w:val="-3"/>
        </w:rPr>
        <w:t>relaciones, </w:t>
      </w:r>
      <w:r>
        <w:rPr>
          <w:color w:val="231F20"/>
        </w:rPr>
        <w:t>cambiando de naturaleza con cada nueva </w:t>
      </w:r>
      <w:r>
        <w:rPr>
          <w:color w:val="231F20"/>
          <w:spacing w:val="-3"/>
        </w:rPr>
        <w:t>relación </w:t>
      </w:r>
      <w:r>
        <w:rPr>
          <w:color w:val="231F20"/>
        </w:rPr>
        <w:t>y conexión. Se trata entonces de dife- </w:t>
      </w:r>
      <w:r>
        <w:rPr>
          <w:color w:val="231F20"/>
          <w:spacing w:val="-3"/>
        </w:rPr>
        <w:t>rencias</w:t>
      </w:r>
      <w:r>
        <w:rPr>
          <w:color w:val="231F20"/>
          <w:spacing w:val="-17"/>
        </w:rPr>
        <w:t> </w:t>
      </w:r>
      <w:r>
        <w:rPr>
          <w:color w:val="231F20"/>
        </w:rPr>
        <w:t>inmanentes</w:t>
      </w:r>
      <w:r>
        <w:rPr>
          <w:color w:val="231F20"/>
          <w:spacing w:val="-17"/>
        </w:rPr>
        <w:t> </w:t>
      </w:r>
      <w:r>
        <w:rPr>
          <w:color w:val="231F20"/>
        </w:rPr>
        <w:t>que</w:t>
      </w:r>
      <w:r>
        <w:rPr>
          <w:color w:val="231F20"/>
          <w:spacing w:val="-17"/>
        </w:rPr>
        <w:t> </w:t>
      </w:r>
      <w:r>
        <w:rPr>
          <w:color w:val="231F20"/>
        </w:rPr>
        <w:t>no</w:t>
      </w:r>
      <w:r>
        <w:rPr>
          <w:color w:val="231F20"/>
          <w:spacing w:val="-17"/>
        </w:rPr>
        <w:t> </w:t>
      </w:r>
      <w:r>
        <w:rPr>
          <w:color w:val="231F20"/>
        </w:rPr>
        <w:t>pueden</w:t>
      </w:r>
      <w:r>
        <w:rPr>
          <w:color w:val="231F20"/>
          <w:spacing w:val="-18"/>
        </w:rPr>
        <w:t> </w:t>
      </w:r>
      <w:r>
        <w:rPr>
          <w:rFonts w:ascii="Arial" w:hAnsi="Arial"/>
          <w:i/>
          <w:color w:val="231F20"/>
        </w:rPr>
        <w:t>esencializarse</w:t>
      </w:r>
      <w:r>
        <w:rPr>
          <w:rFonts w:ascii="Arial" w:hAnsi="Arial"/>
          <w:i/>
          <w:color w:val="231F20"/>
          <w:spacing w:val="-10"/>
        </w:rPr>
        <w:t> </w:t>
      </w:r>
      <w:r>
        <w:rPr>
          <w:color w:val="231F20"/>
        </w:rPr>
        <w:t>ni</w:t>
      </w:r>
      <w:r>
        <w:rPr>
          <w:color w:val="231F20"/>
          <w:spacing w:val="-17"/>
        </w:rPr>
        <w:t> </w:t>
      </w:r>
      <w:r>
        <w:rPr>
          <w:color w:val="231F20"/>
          <w:spacing w:val="-3"/>
        </w:rPr>
        <w:t>reducirse</w:t>
      </w:r>
      <w:r>
        <w:rPr>
          <w:color w:val="231F20"/>
          <w:spacing w:val="-17"/>
        </w:rPr>
        <w:t> </w:t>
      </w:r>
      <w:r>
        <w:rPr>
          <w:color w:val="231F20"/>
        </w:rPr>
        <w:t>o</w:t>
      </w:r>
      <w:r>
        <w:rPr>
          <w:color w:val="231F20"/>
          <w:spacing w:val="-17"/>
        </w:rPr>
        <w:t> </w:t>
      </w:r>
      <w:r>
        <w:rPr>
          <w:color w:val="231F20"/>
        </w:rPr>
        <w:t>incluirse</w:t>
      </w:r>
      <w:r>
        <w:rPr>
          <w:color w:val="231F20"/>
          <w:spacing w:val="-17"/>
        </w:rPr>
        <w:t> </w:t>
      </w:r>
      <w:r>
        <w:rPr>
          <w:color w:val="231F20"/>
        </w:rPr>
        <w:t>en un </w:t>
      </w:r>
      <w:r>
        <w:rPr>
          <w:color w:val="231F20"/>
          <w:spacing w:val="-3"/>
        </w:rPr>
        <w:t>referente </w:t>
      </w:r>
      <w:r>
        <w:rPr>
          <w:color w:val="231F20"/>
        </w:rPr>
        <w:t>total o en una polaridad dicotómica</w:t>
      </w:r>
      <w:r>
        <w:rPr>
          <w:color w:val="231F20"/>
          <w:spacing w:val="-32"/>
        </w:rPr>
        <w:t> </w:t>
      </w:r>
      <w:r>
        <w:rPr>
          <w:color w:val="231F20"/>
        </w:rPr>
        <w:t>estable.</w:t>
      </w:r>
    </w:p>
    <w:p>
      <w:pPr>
        <w:pStyle w:val="BodyText"/>
        <w:spacing w:line="247" w:lineRule="auto" w:before="1"/>
        <w:ind w:left="117" w:right="101" w:firstLine="566"/>
        <w:jc w:val="both"/>
      </w:pPr>
      <w:r>
        <w:rPr>
          <w:color w:val="231F20"/>
          <w:w w:val="105"/>
        </w:rPr>
        <w:t>Las</w:t>
      </w:r>
      <w:r>
        <w:rPr>
          <w:color w:val="231F20"/>
          <w:spacing w:val="-31"/>
          <w:w w:val="105"/>
        </w:rPr>
        <w:t> </w:t>
      </w:r>
      <w:r>
        <w:rPr>
          <w:color w:val="231F20"/>
          <w:w w:val="105"/>
        </w:rPr>
        <w:t>paradojas</w:t>
      </w:r>
      <w:r>
        <w:rPr>
          <w:color w:val="231F20"/>
          <w:spacing w:val="-31"/>
          <w:w w:val="105"/>
        </w:rPr>
        <w:t> </w:t>
      </w:r>
      <w:r>
        <w:rPr>
          <w:color w:val="231F20"/>
          <w:w w:val="105"/>
        </w:rPr>
        <w:t>que</w:t>
      </w:r>
      <w:r>
        <w:rPr>
          <w:color w:val="231F20"/>
          <w:spacing w:val="-31"/>
          <w:w w:val="105"/>
        </w:rPr>
        <w:t> </w:t>
      </w:r>
      <w:r>
        <w:rPr>
          <w:color w:val="231F20"/>
          <w:w w:val="105"/>
        </w:rPr>
        <w:t>hemos</w:t>
      </w:r>
      <w:r>
        <w:rPr>
          <w:color w:val="231F20"/>
          <w:spacing w:val="-31"/>
          <w:w w:val="105"/>
        </w:rPr>
        <w:t> </w:t>
      </w:r>
      <w:r>
        <w:rPr>
          <w:color w:val="231F20"/>
          <w:w w:val="105"/>
        </w:rPr>
        <w:t>esbozado</w:t>
      </w:r>
      <w:r>
        <w:rPr>
          <w:color w:val="231F20"/>
          <w:spacing w:val="-31"/>
          <w:w w:val="105"/>
        </w:rPr>
        <w:t> </w:t>
      </w:r>
      <w:r>
        <w:rPr>
          <w:color w:val="231F20"/>
          <w:w w:val="105"/>
        </w:rPr>
        <w:t>corren</w:t>
      </w:r>
      <w:r>
        <w:rPr>
          <w:color w:val="231F20"/>
          <w:spacing w:val="-31"/>
          <w:w w:val="105"/>
        </w:rPr>
        <w:t> </w:t>
      </w:r>
      <w:r>
        <w:rPr>
          <w:color w:val="231F20"/>
          <w:w w:val="105"/>
        </w:rPr>
        <w:t>el</w:t>
      </w:r>
      <w:r>
        <w:rPr>
          <w:color w:val="231F20"/>
          <w:spacing w:val="-31"/>
          <w:w w:val="105"/>
        </w:rPr>
        <w:t> </w:t>
      </w:r>
      <w:r>
        <w:rPr>
          <w:color w:val="231F20"/>
          <w:w w:val="105"/>
        </w:rPr>
        <w:t>riesgo</w:t>
      </w:r>
      <w:r>
        <w:rPr>
          <w:color w:val="231F20"/>
          <w:spacing w:val="-31"/>
          <w:w w:val="105"/>
        </w:rPr>
        <w:t> </w:t>
      </w:r>
      <w:r>
        <w:rPr>
          <w:color w:val="231F20"/>
          <w:w w:val="105"/>
        </w:rPr>
        <w:t>de</w:t>
      </w:r>
      <w:r>
        <w:rPr>
          <w:color w:val="231F20"/>
          <w:spacing w:val="-31"/>
          <w:w w:val="105"/>
        </w:rPr>
        <w:t> </w:t>
      </w:r>
      <w:r>
        <w:rPr>
          <w:color w:val="231F20"/>
          <w:w w:val="105"/>
        </w:rPr>
        <w:t>hacer</w:t>
      </w:r>
      <w:r>
        <w:rPr>
          <w:color w:val="231F20"/>
          <w:spacing w:val="-31"/>
          <w:w w:val="105"/>
        </w:rPr>
        <w:t> </w:t>
      </w:r>
      <w:r>
        <w:rPr>
          <w:color w:val="231F20"/>
          <w:w w:val="105"/>
        </w:rPr>
        <w:t>apare- cer</w:t>
      </w:r>
      <w:r>
        <w:rPr>
          <w:color w:val="231F20"/>
          <w:spacing w:val="-24"/>
          <w:w w:val="105"/>
        </w:rPr>
        <w:t> </w:t>
      </w:r>
      <w:r>
        <w:rPr>
          <w:color w:val="231F20"/>
          <w:w w:val="105"/>
        </w:rPr>
        <w:t>lo</w:t>
      </w:r>
      <w:r>
        <w:rPr>
          <w:color w:val="231F20"/>
          <w:spacing w:val="-24"/>
          <w:w w:val="105"/>
        </w:rPr>
        <w:t> </w:t>
      </w:r>
      <w:r>
        <w:rPr>
          <w:color w:val="231F20"/>
          <w:w w:val="105"/>
        </w:rPr>
        <w:t>local</w:t>
      </w:r>
      <w:r>
        <w:rPr>
          <w:color w:val="231F20"/>
          <w:spacing w:val="-24"/>
          <w:w w:val="105"/>
        </w:rPr>
        <w:t> </w:t>
      </w:r>
      <w:r>
        <w:rPr>
          <w:color w:val="231F20"/>
          <w:w w:val="105"/>
        </w:rPr>
        <w:t>y</w:t>
      </w:r>
      <w:r>
        <w:rPr>
          <w:color w:val="231F20"/>
          <w:spacing w:val="-24"/>
          <w:w w:val="105"/>
        </w:rPr>
        <w:t> </w:t>
      </w:r>
      <w:r>
        <w:rPr>
          <w:color w:val="231F20"/>
          <w:w w:val="105"/>
        </w:rPr>
        <w:t>lo</w:t>
      </w:r>
      <w:r>
        <w:rPr>
          <w:color w:val="231F20"/>
          <w:spacing w:val="-24"/>
          <w:w w:val="105"/>
        </w:rPr>
        <w:t> </w:t>
      </w:r>
      <w:r>
        <w:rPr>
          <w:color w:val="231F20"/>
          <w:w w:val="105"/>
        </w:rPr>
        <w:t>global</w:t>
      </w:r>
      <w:r>
        <w:rPr>
          <w:color w:val="231F20"/>
          <w:spacing w:val="-24"/>
          <w:w w:val="105"/>
        </w:rPr>
        <w:t> </w:t>
      </w:r>
      <w:r>
        <w:rPr>
          <w:color w:val="231F20"/>
          <w:w w:val="105"/>
        </w:rPr>
        <w:t>como</w:t>
      </w:r>
      <w:r>
        <w:rPr>
          <w:color w:val="231F20"/>
          <w:spacing w:val="-24"/>
          <w:w w:val="105"/>
        </w:rPr>
        <w:t> </w:t>
      </w:r>
      <w:r>
        <w:rPr>
          <w:color w:val="231F20"/>
          <w:w w:val="105"/>
        </w:rPr>
        <w:t>dos</w:t>
      </w:r>
      <w:r>
        <w:rPr>
          <w:color w:val="231F20"/>
          <w:spacing w:val="-24"/>
          <w:w w:val="105"/>
        </w:rPr>
        <w:t> </w:t>
      </w:r>
      <w:r>
        <w:rPr>
          <w:color w:val="231F20"/>
          <w:w w:val="105"/>
        </w:rPr>
        <w:t>polos</w:t>
      </w:r>
      <w:r>
        <w:rPr>
          <w:color w:val="231F20"/>
          <w:spacing w:val="-24"/>
          <w:w w:val="105"/>
        </w:rPr>
        <w:t> </w:t>
      </w:r>
      <w:r>
        <w:rPr>
          <w:color w:val="231F20"/>
          <w:w w:val="105"/>
        </w:rPr>
        <w:t>claramente</w:t>
      </w:r>
      <w:r>
        <w:rPr>
          <w:color w:val="231F20"/>
          <w:spacing w:val="-24"/>
          <w:w w:val="105"/>
        </w:rPr>
        <w:t> </w:t>
      </w:r>
      <w:r>
        <w:rPr>
          <w:color w:val="231F20"/>
          <w:w w:val="105"/>
        </w:rPr>
        <w:t>definidos</w:t>
      </w:r>
      <w:r>
        <w:rPr>
          <w:color w:val="231F20"/>
          <w:spacing w:val="-24"/>
          <w:w w:val="105"/>
        </w:rPr>
        <w:t> </w:t>
      </w:r>
      <w:r>
        <w:rPr>
          <w:color w:val="231F20"/>
          <w:w w:val="105"/>
        </w:rPr>
        <w:t>y</w:t>
      </w:r>
      <w:r>
        <w:rPr>
          <w:color w:val="231F20"/>
          <w:spacing w:val="-24"/>
          <w:w w:val="105"/>
        </w:rPr>
        <w:t> </w:t>
      </w:r>
      <w:r>
        <w:rPr>
          <w:color w:val="231F20"/>
          <w:w w:val="105"/>
        </w:rPr>
        <w:t>delimitados, de ahí que toda diferencia o singularidad sólo pueda comprenderse a</w:t>
      </w:r>
      <w:r>
        <w:rPr>
          <w:color w:val="231F20"/>
          <w:spacing w:val="-47"/>
          <w:w w:val="105"/>
        </w:rPr>
        <w:t> </w:t>
      </w:r>
      <w:r>
        <w:rPr>
          <w:color w:val="231F20"/>
          <w:w w:val="105"/>
        </w:rPr>
        <w:t>la luz</w:t>
      </w:r>
      <w:r>
        <w:rPr>
          <w:color w:val="231F20"/>
          <w:spacing w:val="-25"/>
          <w:w w:val="105"/>
        </w:rPr>
        <w:t> </w:t>
      </w:r>
      <w:r>
        <w:rPr>
          <w:color w:val="231F20"/>
          <w:w w:val="105"/>
        </w:rPr>
        <w:t>de</w:t>
      </w:r>
      <w:r>
        <w:rPr>
          <w:color w:val="231F20"/>
          <w:spacing w:val="-25"/>
          <w:w w:val="105"/>
        </w:rPr>
        <w:t> </w:t>
      </w:r>
      <w:r>
        <w:rPr>
          <w:color w:val="231F20"/>
          <w:w w:val="105"/>
        </w:rPr>
        <w:t>ambos.</w:t>
      </w:r>
      <w:r>
        <w:rPr>
          <w:color w:val="231F20"/>
          <w:spacing w:val="-25"/>
          <w:w w:val="105"/>
        </w:rPr>
        <w:t> </w:t>
      </w:r>
      <w:r>
        <w:rPr>
          <w:color w:val="231F20"/>
          <w:w w:val="105"/>
        </w:rPr>
        <w:t>Esa</w:t>
      </w:r>
      <w:r>
        <w:rPr>
          <w:color w:val="231F20"/>
          <w:spacing w:val="-25"/>
          <w:w w:val="105"/>
        </w:rPr>
        <w:t> </w:t>
      </w:r>
      <w:r>
        <w:rPr>
          <w:color w:val="231F20"/>
          <w:w w:val="105"/>
        </w:rPr>
        <w:t>es</w:t>
      </w:r>
      <w:r>
        <w:rPr>
          <w:color w:val="231F20"/>
          <w:spacing w:val="-25"/>
          <w:w w:val="105"/>
        </w:rPr>
        <w:t> </w:t>
      </w:r>
      <w:r>
        <w:rPr>
          <w:color w:val="231F20"/>
          <w:w w:val="105"/>
        </w:rPr>
        <w:t>precisamente</w:t>
      </w:r>
      <w:r>
        <w:rPr>
          <w:color w:val="231F20"/>
          <w:spacing w:val="-25"/>
          <w:w w:val="105"/>
        </w:rPr>
        <w:t> </w:t>
      </w:r>
      <w:r>
        <w:rPr>
          <w:color w:val="231F20"/>
          <w:w w:val="105"/>
        </w:rPr>
        <w:t>la</w:t>
      </w:r>
      <w:r>
        <w:rPr>
          <w:color w:val="231F20"/>
          <w:spacing w:val="-25"/>
          <w:w w:val="105"/>
        </w:rPr>
        <w:t> </w:t>
      </w:r>
      <w:r>
        <w:rPr>
          <w:color w:val="231F20"/>
          <w:w w:val="105"/>
        </w:rPr>
        <w:t>manera</w:t>
      </w:r>
      <w:r>
        <w:rPr>
          <w:color w:val="231F20"/>
          <w:spacing w:val="-25"/>
          <w:w w:val="105"/>
        </w:rPr>
        <w:t> </w:t>
      </w:r>
      <w:r>
        <w:rPr>
          <w:color w:val="231F20"/>
          <w:w w:val="105"/>
        </w:rPr>
        <w:t>como</w:t>
      </w:r>
      <w:r>
        <w:rPr>
          <w:color w:val="231F20"/>
          <w:spacing w:val="-25"/>
          <w:w w:val="105"/>
        </w:rPr>
        <w:t> </w:t>
      </w:r>
      <w:r>
        <w:rPr>
          <w:color w:val="231F20"/>
          <w:w w:val="105"/>
        </w:rPr>
        <w:t>una</w:t>
      </w:r>
      <w:r>
        <w:rPr>
          <w:color w:val="231F20"/>
          <w:spacing w:val="-25"/>
          <w:w w:val="105"/>
        </w:rPr>
        <w:t> </w:t>
      </w:r>
      <w:r>
        <w:rPr>
          <w:color w:val="231F20"/>
          <w:w w:val="105"/>
        </w:rPr>
        <w:t>paradoja</w:t>
      </w:r>
      <w:r>
        <w:rPr>
          <w:color w:val="231F20"/>
          <w:spacing w:val="-25"/>
          <w:w w:val="105"/>
        </w:rPr>
        <w:t> </w:t>
      </w:r>
      <w:r>
        <w:rPr>
          <w:color w:val="231F20"/>
          <w:w w:val="105"/>
        </w:rPr>
        <w:t>se</w:t>
      </w:r>
      <w:r>
        <w:rPr>
          <w:color w:val="231F20"/>
          <w:spacing w:val="-25"/>
          <w:w w:val="105"/>
        </w:rPr>
        <w:t> </w:t>
      </w:r>
      <w:r>
        <w:rPr>
          <w:color w:val="231F20"/>
          <w:w w:val="105"/>
        </w:rPr>
        <w:t>hace ficticia.</w:t>
      </w:r>
      <w:r>
        <w:rPr>
          <w:color w:val="231F20"/>
          <w:spacing w:val="-38"/>
          <w:w w:val="105"/>
        </w:rPr>
        <w:t> </w:t>
      </w:r>
      <w:r>
        <w:rPr>
          <w:color w:val="231F20"/>
          <w:w w:val="105"/>
        </w:rPr>
        <w:t>Por</w:t>
      </w:r>
      <w:r>
        <w:rPr>
          <w:color w:val="231F20"/>
          <w:spacing w:val="-38"/>
          <w:w w:val="105"/>
        </w:rPr>
        <w:t> </w:t>
      </w:r>
      <w:r>
        <w:rPr>
          <w:color w:val="231F20"/>
          <w:w w:val="105"/>
        </w:rPr>
        <w:t>el</w:t>
      </w:r>
      <w:r>
        <w:rPr>
          <w:color w:val="231F20"/>
          <w:spacing w:val="-38"/>
          <w:w w:val="105"/>
        </w:rPr>
        <w:t> </w:t>
      </w:r>
      <w:r>
        <w:rPr>
          <w:color w:val="231F20"/>
          <w:w w:val="105"/>
        </w:rPr>
        <w:t>contrario,</w:t>
      </w:r>
      <w:r>
        <w:rPr>
          <w:color w:val="231F20"/>
          <w:spacing w:val="-38"/>
          <w:w w:val="105"/>
        </w:rPr>
        <w:t> </w:t>
      </w:r>
      <w:r>
        <w:rPr>
          <w:color w:val="231F20"/>
          <w:w w:val="105"/>
        </w:rPr>
        <w:t>en</w:t>
      </w:r>
      <w:r>
        <w:rPr>
          <w:color w:val="231F20"/>
          <w:spacing w:val="-38"/>
          <w:w w:val="105"/>
        </w:rPr>
        <w:t> </w:t>
      </w:r>
      <w:r>
        <w:rPr>
          <w:color w:val="231F20"/>
          <w:w w:val="105"/>
        </w:rPr>
        <w:t>una</w:t>
      </w:r>
      <w:r>
        <w:rPr>
          <w:color w:val="231F20"/>
          <w:spacing w:val="-38"/>
          <w:w w:val="105"/>
        </w:rPr>
        <w:t> </w:t>
      </w:r>
      <w:r>
        <w:rPr>
          <w:color w:val="231F20"/>
          <w:w w:val="105"/>
        </w:rPr>
        <w:t>paradoja</w:t>
      </w:r>
      <w:r>
        <w:rPr>
          <w:color w:val="231F20"/>
          <w:spacing w:val="-38"/>
          <w:w w:val="105"/>
        </w:rPr>
        <w:t> </w:t>
      </w:r>
      <w:r>
        <w:rPr>
          <w:color w:val="231F20"/>
          <w:w w:val="105"/>
        </w:rPr>
        <w:t>radical</w:t>
      </w:r>
      <w:r>
        <w:rPr>
          <w:color w:val="231F20"/>
          <w:spacing w:val="-38"/>
          <w:w w:val="105"/>
        </w:rPr>
        <w:t> </w:t>
      </w:r>
      <w:r>
        <w:rPr>
          <w:color w:val="231F20"/>
          <w:w w:val="105"/>
        </w:rPr>
        <w:t>los</w:t>
      </w:r>
      <w:r>
        <w:rPr>
          <w:color w:val="231F20"/>
          <w:spacing w:val="-38"/>
          <w:w w:val="105"/>
        </w:rPr>
        <w:t> </w:t>
      </w:r>
      <w:r>
        <w:rPr>
          <w:color w:val="231F20"/>
          <w:w w:val="105"/>
        </w:rPr>
        <w:t>opuestos</w:t>
      </w:r>
      <w:r>
        <w:rPr>
          <w:color w:val="231F20"/>
          <w:spacing w:val="-38"/>
          <w:w w:val="105"/>
        </w:rPr>
        <w:t> </w:t>
      </w:r>
      <w:r>
        <w:rPr>
          <w:color w:val="231F20"/>
          <w:w w:val="105"/>
        </w:rPr>
        <w:t>se</w:t>
      </w:r>
      <w:r>
        <w:rPr>
          <w:color w:val="231F20"/>
          <w:spacing w:val="-38"/>
          <w:w w:val="105"/>
        </w:rPr>
        <w:t> </w:t>
      </w:r>
      <w:r>
        <w:rPr>
          <w:color w:val="231F20"/>
          <w:w w:val="105"/>
        </w:rPr>
        <w:t>establecen como</w:t>
      </w:r>
      <w:r>
        <w:rPr>
          <w:color w:val="231F20"/>
          <w:spacing w:val="-18"/>
          <w:w w:val="105"/>
        </w:rPr>
        <w:t> </w:t>
      </w:r>
      <w:r>
        <w:rPr>
          <w:color w:val="231F20"/>
          <w:w w:val="105"/>
        </w:rPr>
        <w:t>diferencias</w:t>
      </w:r>
      <w:r>
        <w:rPr>
          <w:color w:val="231F20"/>
          <w:spacing w:val="-18"/>
          <w:w w:val="105"/>
        </w:rPr>
        <w:t> </w:t>
      </w:r>
      <w:r>
        <w:rPr>
          <w:color w:val="231F20"/>
          <w:w w:val="105"/>
        </w:rPr>
        <w:t>irreductibles</w:t>
      </w:r>
      <w:r>
        <w:rPr>
          <w:color w:val="231F20"/>
          <w:spacing w:val="-18"/>
          <w:w w:val="105"/>
        </w:rPr>
        <w:t> </w:t>
      </w:r>
      <w:r>
        <w:rPr>
          <w:color w:val="231F20"/>
          <w:w w:val="105"/>
        </w:rPr>
        <w:t>que,</w:t>
      </w:r>
      <w:r>
        <w:rPr>
          <w:color w:val="231F20"/>
          <w:spacing w:val="-18"/>
          <w:w w:val="105"/>
        </w:rPr>
        <w:t> </w:t>
      </w:r>
      <w:r>
        <w:rPr>
          <w:color w:val="231F20"/>
          <w:w w:val="105"/>
        </w:rPr>
        <w:t>si</w:t>
      </w:r>
      <w:r>
        <w:rPr>
          <w:color w:val="231F20"/>
          <w:spacing w:val="-18"/>
          <w:w w:val="105"/>
        </w:rPr>
        <w:t> </w:t>
      </w:r>
      <w:r>
        <w:rPr>
          <w:color w:val="231F20"/>
          <w:w w:val="105"/>
        </w:rPr>
        <w:t>bien</w:t>
      </w:r>
      <w:r>
        <w:rPr>
          <w:color w:val="231F20"/>
          <w:spacing w:val="-18"/>
          <w:w w:val="105"/>
        </w:rPr>
        <w:t> </w:t>
      </w:r>
      <w:r>
        <w:rPr>
          <w:color w:val="231F20"/>
          <w:w w:val="105"/>
        </w:rPr>
        <w:t>se</w:t>
      </w:r>
      <w:r>
        <w:rPr>
          <w:color w:val="231F20"/>
          <w:spacing w:val="-18"/>
          <w:w w:val="105"/>
        </w:rPr>
        <w:t> </w:t>
      </w:r>
      <w:r>
        <w:rPr>
          <w:color w:val="231F20"/>
          <w:w w:val="105"/>
        </w:rPr>
        <w:t>relacionan,</w:t>
      </w:r>
      <w:r>
        <w:rPr>
          <w:color w:val="231F20"/>
          <w:spacing w:val="-18"/>
          <w:w w:val="105"/>
        </w:rPr>
        <w:t> </w:t>
      </w:r>
      <w:r>
        <w:rPr>
          <w:color w:val="231F20"/>
          <w:w w:val="105"/>
        </w:rPr>
        <w:t>no</w:t>
      </w:r>
      <w:r>
        <w:rPr>
          <w:color w:val="231F20"/>
          <w:spacing w:val="-18"/>
          <w:w w:val="105"/>
        </w:rPr>
        <w:t> </w:t>
      </w:r>
      <w:r>
        <w:rPr>
          <w:color w:val="231F20"/>
          <w:w w:val="105"/>
        </w:rPr>
        <w:t>adquieren</w:t>
      </w:r>
      <w:r>
        <w:rPr>
          <w:color w:val="231F20"/>
          <w:spacing w:val="-18"/>
          <w:w w:val="105"/>
        </w:rPr>
        <w:t> </w:t>
      </w:r>
      <w:r>
        <w:rPr>
          <w:color w:val="231F20"/>
          <w:w w:val="105"/>
        </w:rPr>
        <w:t>ni</w:t>
      </w:r>
    </w:p>
    <w:p>
      <w:pPr>
        <w:pStyle w:val="BodyText"/>
        <w:rPr>
          <w:sz w:val="20"/>
        </w:rPr>
      </w:pPr>
    </w:p>
    <w:p>
      <w:pPr>
        <w:pStyle w:val="BodyText"/>
        <w:spacing w:before="5"/>
        <w:rPr>
          <w:sz w:val="12"/>
        </w:rPr>
      </w:pPr>
      <w:r>
        <w:rPr/>
        <w:pict>
          <v:line style="position:absolute;mso-position-horizontal-relative:page;mso-position-vertical-relative:paragraph;z-index:4936;mso-wrap-distance-left:0;mso-wrap-distance-right:0" from="70.866203pt,9.636672pt" to="184.252203pt,9.636672pt" stroked="true" strokeweight=".3pt" strokecolor="#231f20">
            <w10:wrap type="topAndBottom"/>
          </v:line>
        </w:pict>
      </w:r>
    </w:p>
    <w:p>
      <w:pPr>
        <w:spacing w:line="206" w:lineRule="exact" w:before="10"/>
        <w:ind w:left="117" w:right="0" w:firstLine="0"/>
        <w:jc w:val="both"/>
        <w:rPr>
          <w:rFonts w:ascii="Calibri"/>
          <w:sz w:val="17"/>
        </w:rPr>
      </w:pPr>
      <w:r>
        <w:rPr>
          <w:rFonts w:ascii="Calibri"/>
          <w:color w:val="231F20"/>
          <w:position w:val="6"/>
          <w:sz w:val="10"/>
        </w:rPr>
        <w:t>49  </w:t>
      </w:r>
      <w:r>
        <w:rPr>
          <w:rFonts w:ascii="Calibri"/>
          <w:color w:val="231F20"/>
          <w:sz w:val="17"/>
        </w:rPr>
        <w:t>Deleuze y Guattari, </w:t>
      </w:r>
      <w:r>
        <w:rPr>
          <w:rFonts w:ascii="Calibri"/>
          <w:i/>
          <w:color w:val="231F20"/>
          <w:sz w:val="17"/>
        </w:rPr>
        <w:t>Mille Plateaux</w:t>
      </w:r>
      <w:r>
        <w:rPr>
          <w:rFonts w:ascii="Calibri"/>
          <w:color w:val="231F20"/>
          <w:sz w:val="17"/>
        </w:rPr>
        <w:t>, p. 474.</w:t>
      </w:r>
    </w:p>
    <w:p>
      <w:pPr>
        <w:spacing w:line="204" w:lineRule="exact" w:before="0"/>
        <w:ind w:left="117" w:right="0" w:firstLine="0"/>
        <w:jc w:val="both"/>
        <w:rPr>
          <w:rFonts w:ascii="Calibri"/>
          <w:sz w:val="17"/>
        </w:rPr>
      </w:pPr>
      <w:r>
        <w:rPr>
          <w:rFonts w:ascii="Calibri"/>
          <w:color w:val="231F20"/>
          <w:w w:val="105"/>
          <w:position w:val="6"/>
          <w:sz w:val="10"/>
        </w:rPr>
        <w:t>50 </w:t>
      </w:r>
      <w:r>
        <w:rPr>
          <w:rFonts w:ascii="Calibri"/>
          <w:color w:val="231F20"/>
          <w:w w:val="105"/>
          <w:sz w:val="17"/>
        </w:rPr>
        <w:t>El significado de </w:t>
      </w:r>
      <w:r>
        <w:rPr>
          <w:rFonts w:ascii="Calibri"/>
          <w:i/>
          <w:color w:val="231F20"/>
          <w:w w:val="105"/>
          <w:sz w:val="17"/>
        </w:rPr>
        <w:t>intensivo </w:t>
      </w:r>
      <w:r>
        <w:rPr>
          <w:rFonts w:ascii="Calibri"/>
          <w:color w:val="231F20"/>
          <w:w w:val="105"/>
          <w:sz w:val="17"/>
        </w:rPr>
        <w:t>es aclarado en la nota 41.</w:t>
      </w:r>
    </w:p>
    <w:p>
      <w:pPr>
        <w:spacing w:line="235" w:lineRule="auto" w:before="1"/>
        <w:ind w:left="117" w:right="101" w:firstLine="0"/>
        <w:jc w:val="both"/>
        <w:rPr>
          <w:rFonts w:ascii="Calibri" w:hAnsi="Calibri"/>
          <w:sz w:val="17"/>
        </w:rPr>
      </w:pPr>
      <w:r>
        <w:rPr>
          <w:rFonts w:ascii="Calibri" w:hAnsi="Calibri"/>
          <w:color w:val="231F20"/>
          <w:w w:val="105"/>
          <w:position w:val="6"/>
          <w:sz w:val="10"/>
        </w:rPr>
        <w:t>51 </w:t>
      </w:r>
      <w:r>
        <w:rPr>
          <w:rFonts w:ascii="Calibri" w:hAnsi="Calibri"/>
          <w:color w:val="231F20"/>
          <w:w w:val="105"/>
          <w:sz w:val="17"/>
        </w:rPr>
        <w:t>Con el término </w:t>
      </w:r>
      <w:r>
        <w:rPr>
          <w:rFonts w:ascii="Calibri" w:hAnsi="Calibri"/>
          <w:i/>
          <w:color w:val="231F20"/>
          <w:w w:val="105"/>
          <w:sz w:val="17"/>
        </w:rPr>
        <w:t>multiplicidad </w:t>
      </w:r>
      <w:r>
        <w:rPr>
          <w:rFonts w:ascii="Calibri" w:hAnsi="Calibri"/>
          <w:color w:val="231F20"/>
          <w:w w:val="105"/>
          <w:sz w:val="17"/>
        </w:rPr>
        <w:t>Deleuze trata de hacer frente a una concepción de las cosas, de los</w:t>
      </w:r>
      <w:r>
        <w:rPr>
          <w:rFonts w:ascii="Calibri" w:hAnsi="Calibri"/>
          <w:color w:val="231F20"/>
          <w:spacing w:val="-6"/>
          <w:w w:val="105"/>
          <w:sz w:val="17"/>
        </w:rPr>
        <w:t> </w:t>
      </w:r>
      <w:r>
        <w:rPr>
          <w:rFonts w:ascii="Calibri" w:hAnsi="Calibri"/>
          <w:color w:val="231F20"/>
          <w:w w:val="105"/>
          <w:sz w:val="17"/>
        </w:rPr>
        <w:t>cuerpos</w:t>
      </w:r>
      <w:r>
        <w:rPr>
          <w:rFonts w:ascii="Calibri" w:hAnsi="Calibri"/>
          <w:color w:val="231F20"/>
          <w:spacing w:val="-7"/>
          <w:w w:val="105"/>
          <w:sz w:val="17"/>
        </w:rPr>
        <w:t> </w:t>
      </w:r>
      <w:r>
        <w:rPr>
          <w:rFonts w:ascii="Calibri" w:hAnsi="Calibri"/>
          <w:color w:val="231F20"/>
          <w:w w:val="105"/>
          <w:sz w:val="17"/>
        </w:rPr>
        <w:t>y</w:t>
      </w:r>
      <w:r>
        <w:rPr>
          <w:rFonts w:ascii="Calibri" w:hAnsi="Calibri"/>
          <w:color w:val="231F20"/>
          <w:spacing w:val="-6"/>
          <w:w w:val="105"/>
          <w:sz w:val="17"/>
        </w:rPr>
        <w:t> </w:t>
      </w:r>
      <w:r>
        <w:rPr>
          <w:rFonts w:ascii="Calibri" w:hAnsi="Calibri"/>
          <w:color w:val="231F20"/>
          <w:w w:val="105"/>
          <w:sz w:val="17"/>
        </w:rPr>
        <w:t>de</w:t>
      </w:r>
      <w:r>
        <w:rPr>
          <w:rFonts w:ascii="Calibri" w:hAnsi="Calibri"/>
          <w:color w:val="231F20"/>
          <w:spacing w:val="-6"/>
          <w:w w:val="105"/>
          <w:sz w:val="17"/>
        </w:rPr>
        <w:t> </w:t>
      </w:r>
      <w:r>
        <w:rPr>
          <w:rFonts w:ascii="Calibri" w:hAnsi="Calibri"/>
          <w:color w:val="231F20"/>
          <w:w w:val="105"/>
          <w:sz w:val="17"/>
        </w:rPr>
        <w:t>los</w:t>
      </w:r>
      <w:r>
        <w:rPr>
          <w:rFonts w:ascii="Calibri" w:hAnsi="Calibri"/>
          <w:color w:val="231F20"/>
          <w:spacing w:val="-6"/>
          <w:w w:val="105"/>
          <w:sz w:val="17"/>
        </w:rPr>
        <w:t> </w:t>
      </w:r>
      <w:r>
        <w:rPr>
          <w:rFonts w:ascii="Calibri" w:hAnsi="Calibri"/>
          <w:color w:val="231F20"/>
          <w:w w:val="105"/>
          <w:sz w:val="17"/>
        </w:rPr>
        <w:t>sujetos</w:t>
      </w:r>
      <w:r>
        <w:rPr>
          <w:rFonts w:ascii="Calibri" w:hAnsi="Calibri"/>
          <w:color w:val="231F20"/>
          <w:spacing w:val="-6"/>
          <w:w w:val="105"/>
          <w:sz w:val="17"/>
        </w:rPr>
        <w:t> </w:t>
      </w:r>
      <w:r>
        <w:rPr>
          <w:rFonts w:ascii="Calibri" w:hAnsi="Calibri"/>
          <w:color w:val="231F20"/>
          <w:w w:val="105"/>
          <w:sz w:val="17"/>
        </w:rPr>
        <w:t>en</w:t>
      </w:r>
      <w:r>
        <w:rPr>
          <w:rFonts w:ascii="Calibri" w:hAnsi="Calibri"/>
          <w:color w:val="231F20"/>
          <w:spacing w:val="-6"/>
          <w:w w:val="105"/>
          <w:sz w:val="17"/>
        </w:rPr>
        <w:t> </w:t>
      </w:r>
      <w:r>
        <w:rPr>
          <w:rFonts w:ascii="Calibri" w:hAnsi="Calibri"/>
          <w:color w:val="231F20"/>
          <w:w w:val="105"/>
          <w:sz w:val="17"/>
        </w:rPr>
        <w:t>términos</w:t>
      </w:r>
      <w:r>
        <w:rPr>
          <w:rFonts w:ascii="Calibri" w:hAnsi="Calibri"/>
          <w:color w:val="231F20"/>
          <w:spacing w:val="-6"/>
          <w:w w:val="105"/>
          <w:sz w:val="17"/>
        </w:rPr>
        <w:t> </w:t>
      </w:r>
      <w:r>
        <w:rPr>
          <w:rFonts w:ascii="Calibri" w:hAnsi="Calibri"/>
          <w:color w:val="231F20"/>
          <w:w w:val="105"/>
          <w:sz w:val="17"/>
        </w:rPr>
        <w:t>de</w:t>
      </w:r>
      <w:r>
        <w:rPr>
          <w:rFonts w:ascii="Calibri" w:hAnsi="Calibri"/>
          <w:color w:val="231F20"/>
          <w:spacing w:val="-6"/>
          <w:w w:val="105"/>
          <w:sz w:val="17"/>
        </w:rPr>
        <w:t> </w:t>
      </w:r>
      <w:r>
        <w:rPr>
          <w:rFonts w:ascii="Calibri" w:hAnsi="Calibri"/>
          <w:color w:val="231F20"/>
          <w:w w:val="105"/>
          <w:sz w:val="17"/>
        </w:rPr>
        <w:t>identidad</w:t>
      </w:r>
      <w:r>
        <w:rPr>
          <w:rFonts w:ascii="Calibri" w:hAnsi="Calibri"/>
          <w:color w:val="231F20"/>
          <w:spacing w:val="-7"/>
          <w:w w:val="105"/>
          <w:sz w:val="17"/>
        </w:rPr>
        <w:t> </w:t>
      </w:r>
      <w:r>
        <w:rPr>
          <w:rFonts w:ascii="Calibri" w:hAnsi="Calibri"/>
          <w:color w:val="231F20"/>
          <w:w w:val="105"/>
          <w:sz w:val="17"/>
        </w:rPr>
        <w:t>y</w:t>
      </w:r>
      <w:r>
        <w:rPr>
          <w:rFonts w:ascii="Calibri" w:hAnsi="Calibri"/>
          <w:color w:val="231F20"/>
          <w:spacing w:val="-6"/>
          <w:w w:val="105"/>
          <w:sz w:val="17"/>
        </w:rPr>
        <w:t> </w:t>
      </w:r>
      <w:r>
        <w:rPr>
          <w:rFonts w:ascii="Calibri" w:hAnsi="Calibri"/>
          <w:color w:val="231F20"/>
          <w:w w:val="105"/>
          <w:sz w:val="17"/>
        </w:rPr>
        <w:t>de</w:t>
      </w:r>
      <w:r>
        <w:rPr>
          <w:rFonts w:ascii="Calibri" w:hAnsi="Calibri"/>
          <w:color w:val="231F20"/>
          <w:spacing w:val="-6"/>
          <w:w w:val="105"/>
          <w:sz w:val="17"/>
        </w:rPr>
        <w:t> </w:t>
      </w:r>
      <w:r>
        <w:rPr>
          <w:rFonts w:ascii="Calibri" w:hAnsi="Calibri"/>
          <w:color w:val="231F20"/>
          <w:w w:val="105"/>
          <w:sz w:val="17"/>
        </w:rPr>
        <w:t>propiedad.</w:t>
      </w:r>
      <w:r>
        <w:rPr>
          <w:rFonts w:ascii="Calibri" w:hAnsi="Calibri"/>
          <w:color w:val="231F20"/>
          <w:spacing w:val="-6"/>
          <w:w w:val="105"/>
          <w:sz w:val="17"/>
        </w:rPr>
        <w:t> </w:t>
      </w:r>
      <w:r>
        <w:rPr>
          <w:rFonts w:ascii="Calibri" w:hAnsi="Calibri"/>
          <w:color w:val="231F20"/>
          <w:w w:val="105"/>
          <w:sz w:val="17"/>
        </w:rPr>
        <w:t>Para</w:t>
      </w:r>
      <w:r>
        <w:rPr>
          <w:rFonts w:ascii="Calibri" w:hAnsi="Calibri"/>
          <w:color w:val="231F20"/>
          <w:spacing w:val="-6"/>
          <w:w w:val="105"/>
          <w:sz w:val="17"/>
        </w:rPr>
        <w:t> </w:t>
      </w:r>
      <w:r>
        <w:rPr>
          <w:rFonts w:ascii="Calibri" w:hAnsi="Calibri"/>
          <w:color w:val="231F20"/>
          <w:w w:val="105"/>
          <w:sz w:val="17"/>
        </w:rPr>
        <w:t>el</w:t>
      </w:r>
      <w:r>
        <w:rPr>
          <w:rFonts w:ascii="Calibri" w:hAnsi="Calibri"/>
          <w:color w:val="231F20"/>
          <w:spacing w:val="-6"/>
          <w:w w:val="105"/>
          <w:sz w:val="17"/>
        </w:rPr>
        <w:t> </w:t>
      </w:r>
      <w:r>
        <w:rPr>
          <w:rFonts w:ascii="Calibri" w:hAnsi="Calibri"/>
          <w:color w:val="231F20"/>
          <w:w w:val="105"/>
          <w:sz w:val="17"/>
        </w:rPr>
        <w:t>filósofo</w:t>
      </w:r>
      <w:r>
        <w:rPr>
          <w:rFonts w:ascii="Calibri" w:hAnsi="Calibri"/>
          <w:color w:val="231F20"/>
          <w:spacing w:val="-6"/>
          <w:w w:val="105"/>
          <w:sz w:val="17"/>
        </w:rPr>
        <w:t> </w:t>
      </w:r>
      <w:r>
        <w:rPr>
          <w:rFonts w:ascii="Calibri" w:hAnsi="Calibri"/>
          <w:color w:val="231F20"/>
          <w:w w:val="105"/>
          <w:sz w:val="17"/>
        </w:rPr>
        <w:t>francés,</w:t>
      </w:r>
      <w:r>
        <w:rPr>
          <w:rFonts w:ascii="Calibri" w:hAnsi="Calibri"/>
          <w:color w:val="231F20"/>
          <w:spacing w:val="-6"/>
          <w:w w:val="105"/>
          <w:sz w:val="17"/>
        </w:rPr>
        <w:t> </w:t>
      </w:r>
      <w:r>
        <w:rPr>
          <w:rFonts w:ascii="Calibri" w:hAnsi="Calibri"/>
          <w:color w:val="231F20"/>
          <w:w w:val="105"/>
          <w:sz w:val="17"/>
        </w:rPr>
        <w:t>los cuerpos</w:t>
      </w:r>
      <w:r>
        <w:rPr>
          <w:rFonts w:ascii="Calibri" w:hAnsi="Calibri"/>
          <w:color w:val="231F20"/>
          <w:spacing w:val="-4"/>
          <w:w w:val="105"/>
          <w:sz w:val="17"/>
        </w:rPr>
        <w:t> </w:t>
      </w:r>
      <w:r>
        <w:rPr>
          <w:rFonts w:ascii="Calibri" w:hAnsi="Calibri"/>
          <w:color w:val="231F20"/>
          <w:w w:val="105"/>
          <w:sz w:val="17"/>
        </w:rPr>
        <w:t>nunca</w:t>
      </w:r>
      <w:r>
        <w:rPr>
          <w:rFonts w:ascii="Calibri" w:hAnsi="Calibri"/>
          <w:color w:val="231F20"/>
          <w:spacing w:val="-3"/>
          <w:w w:val="105"/>
          <w:sz w:val="17"/>
        </w:rPr>
        <w:t> </w:t>
      </w:r>
      <w:r>
        <w:rPr>
          <w:rFonts w:ascii="Calibri" w:hAnsi="Calibri"/>
          <w:color w:val="231F20"/>
          <w:w w:val="105"/>
          <w:sz w:val="17"/>
        </w:rPr>
        <w:t>permanecen</w:t>
      </w:r>
      <w:r>
        <w:rPr>
          <w:rFonts w:ascii="Calibri" w:hAnsi="Calibri"/>
          <w:color w:val="231F20"/>
          <w:spacing w:val="-3"/>
          <w:w w:val="105"/>
          <w:sz w:val="17"/>
        </w:rPr>
        <w:t> </w:t>
      </w:r>
      <w:r>
        <w:rPr>
          <w:rFonts w:ascii="Calibri" w:hAnsi="Calibri"/>
          <w:color w:val="231F20"/>
          <w:w w:val="105"/>
          <w:sz w:val="17"/>
        </w:rPr>
        <w:t>idénticos</w:t>
      </w:r>
      <w:r>
        <w:rPr>
          <w:rFonts w:ascii="Calibri" w:hAnsi="Calibri"/>
          <w:color w:val="231F20"/>
          <w:spacing w:val="-3"/>
          <w:w w:val="105"/>
          <w:sz w:val="17"/>
        </w:rPr>
        <w:t> </w:t>
      </w:r>
      <w:r>
        <w:rPr>
          <w:rFonts w:ascii="Calibri" w:hAnsi="Calibri"/>
          <w:color w:val="231F20"/>
          <w:w w:val="105"/>
          <w:sz w:val="17"/>
        </w:rPr>
        <w:t>a</w:t>
      </w:r>
      <w:r>
        <w:rPr>
          <w:rFonts w:ascii="Calibri" w:hAnsi="Calibri"/>
          <w:color w:val="231F20"/>
          <w:spacing w:val="-4"/>
          <w:w w:val="105"/>
          <w:sz w:val="17"/>
        </w:rPr>
        <w:t> </w:t>
      </w:r>
      <w:r>
        <w:rPr>
          <w:rFonts w:ascii="Calibri" w:hAnsi="Calibri"/>
          <w:color w:val="231F20"/>
          <w:w w:val="105"/>
          <w:sz w:val="17"/>
        </w:rPr>
        <w:t>sí</w:t>
      </w:r>
      <w:r>
        <w:rPr>
          <w:rFonts w:ascii="Calibri" w:hAnsi="Calibri"/>
          <w:color w:val="231F20"/>
          <w:spacing w:val="-4"/>
          <w:w w:val="105"/>
          <w:sz w:val="17"/>
        </w:rPr>
        <w:t> </w:t>
      </w:r>
      <w:r>
        <w:rPr>
          <w:rFonts w:ascii="Calibri" w:hAnsi="Calibri"/>
          <w:color w:val="231F20"/>
          <w:w w:val="105"/>
          <w:sz w:val="17"/>
        </w:rPr>
        <w:t>mismos,</w:t>
      </w:r>
      <w:r>
        <w:rPr>
          <w:rFonts w:ascii="Calibri" w:hAnsi="Calibri"/>
          <w:color w:val="231F20"/>
          <w:spacing w:val="-4"/>
          <w:w w:val="105"/>
          <w:sz w:val="17"/>
        </w:rPr>
        <w:t> </w:t>
      </w:r>
      <w:r>
        <w:rPr>
          <w:rFonts w:ascii="Calibri" w:hAnsi="Calibri"/>
          <w:color w:val="231F20"/>
          <w:w w:val="105"/>
          <w:sz w:val="17"/>
        </w:rPr>
        <w:t>difieren</w:t>
      </w:r>
      <w:r>
        <w:rPr>
          <w:rFonts w:ascii="Calibri" w:hAnsi="Calibri"/>
          <w:color w:val="231F20"/>
          <w:spacing w:val="-3"/>
          <w:w w:val="105"/>
          <w:sz w:val="17"/>
        </w:rPr>
        <w:t> </w:t>
      </w:r>
      <w:r>
        <w:rPr>
          <w:rFonts w:ascii="Calibri" w:hAnsi="Calibri"/>
          <w:color w:val="231F20"/>
          <w:w w:val="105"/>
          <w:sz w:val="17"/>
        </w:rPr>
        <w:t>de</w:t>
      </w:r>
      <w:r>
        <w:rPr>
          <w:rFonts w:ascii="Calibri" w:hAnsi="Calibri"/>
          <w:color w:val="231F20"/>
          <w:spacing w:val="-3"/>
          <w:w w:val="105"/>
          <w:sz w:val="17"/>
        </w:rPr>
        <w:t> </w:t>
      </w:r>
      <w:r>
        <w:rPr>
          <w:rFonts w:ascii="Calibri" w:hAnsi="Calibri"/>
          <w:color w:val="231F20"/>
          <w:w w:val="105"/>
          <w:sz w:val="17"/>
        </w:rPr>
        <w:t>ellos</w:t>
      </w:r>
      <w:r>
        <w:rPr>
          <w:rFonts w:ascii="Calibri" w:hAnsi="Calibri"/>
          <w:color w:val="231F20"/>
          <w:spacing w:val="-4"/>
          <w:w w:val="105"/>
          <w:sz w:val="17"/>
        </w:rPr>
        <w:t> </w:t>
      </w:r>
      <w:r>
        <w:rPr>
          <w:rFonts w:ascii="Calibri" w:hAnsi="Calibri"/>
          <w:color w:val="231F20"/>
          <w:w w:val="105"/>
          <w:sz w:val="17"/>
        </w:rPr>
        <w:t>mismos</w:t>
      </w:r>
      <w:r>
        <w:rPr>
          <w:rFonts w:ascii="Calibri" w:hAnsi="Calibri"/>
          <w:color w:val="231F20"/>
          <w:spacing w:val="-4"/>
          <w:w w:val="105"/>
          <w:sz w:val="17"/>
        </w:rPr>
        <w:t> </w:t>
      </w:r>
      <w:r>
        <w:rPr>
          <w:rFonts w:ascii="Calibri" w:hAnsi="Calibri"/>
          <w:color w:val="231F20"/>
          <w:w w:val="105"/>
          <w:sz w:val="17"/>
        </w:rPr>
        <w:t>de</w:t>
      </w:r>
      <w:r>
        <w:rPr>
          <w:rFonts w:ascii="Calibri" w:hAnsi="Calibri"/>
          <w:color w:val="231F20"/>
          <w:spacing w:val="-3"/>
          <w:w w:val="105"/>
          <w:sz w:val="17"/>
        </w:rPr>
        <w:t> </w:t>
      </w:r>
      <w:r>
        <w:rPr>
          <w:rFonts w:ascii="Calibri" w:hAnsi="Calibri"/>
          <w:color w:val="231F20"/>
          <w:w w:val="105"/>
          <w:sz w:val="17"/>
        </w:rPr>
        <w:t>manera</w:t>
      </w:r>
      <w:r>
        <w:rPr>
          <w:rFonts w:ascii="Calibri" w:hAnsi="Calibri"/>
          <w:color w:val="231F20"/>
          <w:spacing w:val="-4"/>
          <w:w w:val="105"/>
          <w:sz w:val="17"/>
        </w:rPr>
        <w:t> </w:t>
      </w:r>
      <w:r>
        <w:rPr>
          <w:rFonts w:ascii="Calibri" w:hAnsi="Calibri"/>
          <w:color w:val="231F20"/>
          <w:w w:val="105"/>
          <w:sz w:val="17"/>
        </w:rPr>
        <w:t>intensiva y</w:t>
      </w:r>
      <w:r>
        <w:rPr>
          <w:rFonts w:ascii="Calibri" w:hAnsi="Calibri"/>
          <w:color w:val="231F20"/>
          <w:spacing w:val="-9"/>
          <w:w w:val="105"/>
          <w:sz w:val="17"/>
        </w:rPr>
        <w:t> </w:t>
      </w:r>
      <w:r>
        <w:rPr>
          <w:rFonts w:ascii="Calibri" w:hAnsi="Calibri"/>
          <w:color w:val="231F20"/>
          <w:w w:val="105"/>
          <w:sz w:val="17"/>
        </w:rPr>
        <w:t>constante,</w:t>
      </w:r>
      <w:r>
        <w:rPr>
          <w:rFonts w:ascii="Calibri" w:hAnsi="Calibri"/>
          <w:color w:val="231F20"/>
          <w:spacing w:val="-9"/>
          <w:w w:val="105"/>
          <w:sz w:val="17"/>
        </w:rPr>
        <w:t> </w:t>
      </w:r>
      <w:r>
        <w:rPr>
          <w:rFonts w:ascii="Calibri" w:hAnsi="Calibri"/>
          <w:color w:val="231F20"/>
          <w:w w:val="105"/>
          <w:sz w:val="17"/>
        </w:rPr>
        <w:t>cambian</w:t>
      </w:r>
      <w:r>
        <w:rPr>
          <w:rFonts w:ascii="Calibri" w:hAnsi="Calibri"/>
          <w:color w:val="231F20"/>
          <w:spacing w:val="-9"/>
          <w:w w:val="105"/>
          <w:sz w:val="17"/>
        </w:rPr>
        <w:t> </w:t>
      </w:r>
      <w:r>
        <w:rPr>
          <w:rFonts w:ascii="Calibri" w:hAnsi="Calibri"/>
          <w:color w:val="231F20"/>
          <w:w w:val="105"/>
          <w:sz w:val="17"/>
        </w:rPr>
        <w:t>de</w:t>
      </w:r>
      <w:r>
        <w:rPr>
          <w:rFonts w:ascii="Calibri" w:hAnsi="Calibri"/>
          <w:color w:val="231F20"/>
          <w:spacing w:val="-9"/>
          <w:w w:val="105"/>
          <w:sz w:val="17"/>
        </w:rPr>
        <w:t> </w:t>
      </w:r>
      <w:r>
        <w:rPr>
          <w:rFonts w:ascii="Calibri" w:hAnsi="Calibri"/>
          <w:color w:val="231F20"/>
          <w:w w:val="105"/>
          <w:sz w:val="17"/>
        </w:rPr>
        <w:t>naturaleza</w:t>
      </w:r>
      <w:r>
        <w:rPr>
          <w:rFonts w:ascii="Calibri" w:hAnsi="Calibri"/>
          <w:color w:val="231F20"/>
          <w:spacing w:val="-9"/>
          <w:w w:val="105"/>
          <w:sz w:val="17"/>
        </w:rPr>
        <w:t> </w:t>
      </w:r>
      <w:r>
        <w:rPr>
          <w:rFonts w:ascii="Calibri" w:hAnsi="Calibri"/>
          <w:color w:val="231F20"/>
          <w:w w:val="105"/>
          <w:sz w:val="17"/>
        </w:rPr>
        <w:t>así</w:t>
      </w:r>
      <w:r>
        <w:rPr>
          <w:rFonts w:ascii="Calibri" w:hAnsi="Calibri"/>
          <w:color w:val="231F20"/>
          <w:spacing w:val="-9"/>
          <w:w w:val="105"/>
          <w:sz w:val="17"/>
        </w:rPr>
        <w:t> </w:t>
      </w:r>
      <w:r>
        <w:rPr>
          <w:rFonts w:ascii="Calibri" w:hAnsi="Calibri"/>
          <w:color w:val="231F20"/>
          <w:w w:val="105"/>
          <w:sz w:val="17"/>
        </w:rPr>
        <w:t>como</w:t>
      </w:r>
      <w:r>
        <w:rPr>
          <w:rFonts w:ascii="Calibri" w:hAnsi="Calibri"/>
          <w:color w:val="231F20"/>
          <w:spacing w:val="-9"/>
          <w:w w:val="105"/>
          <w:sz w:val="17"/>
        </w:rPr>
        <w:t> </w:t>
      </w:r>
      <w:r>
        <w:rPr>
          <w:rFonts w:ascii="Calibri" w:hAnsi="Calibri"/>
          <w:color w:val="231F20"/>
          <w:w w:val="105"/>
          <w:sz w:val="17"/>
        </w:rPr>
        <w:t>se</w:t>
      </w:r>
      <w:r>
        <w:rPr>
          <w:rFonts w:ascii="Calibri" w:hAnsi="Calibri"/>
          <w:color w:val="231F20"/>
          <w:spacing w:val="-9"/>
          <w:w w:val="105"/>
          <w:sz w:val="17"/>
        </w:rPr>
        <w:t> </w:t>
      </w:r>
      <w:r>
        <w:rPr>
          <w:rFonts w:ascii="Calibri" w:hAnsi="Calibri"/>
          <w:color w:val="231F20"/>
          <w:w w:val="105"/>
          <w:sz w:val="17"/>
        </w:rPr>
        <w:t>dividen</w:t>
      </w:r>
      <w:r>
        <w:rPr>
          <w:rFonts w:ascii="Calibri" w:hAnsi="Calibri"/>
          <w:color w:val="231F20"/>
          <w:spacing w:val="-9"/>
          <w:w w:val="105"/>
          <w:sz w:val="17"/>
        </w:rPr>
        <w:t> </w:t>
      </w:r>
      <w:r>
        <w:rPr>
          <w:rFonts w:ascii="Calibri" w:hAnsi="Calibri"/>
          <w:color w:val="231F20"/>
          <w:w w:val="105"/>
          <w:sz w:val="17"/>
        </w:rPr>
        <w:t>o</w:t>
      </w:r>
      <w:r>
        <w:rPr>
          <w:rFonts w:ascii="Calibri" w:hAnsi="Calibri"/>
          <w:color w:val="231F20"/>
          <w:spacing w:val="-9"/>
          <w:w w:val="105"/>
          <w:sz w:val="17"/>
        </w:rPr>
        <w:t> </w:t>
      </w:r>
      <w:r>
        <w:rPr>
          <w:rFonts w:ascii="Calibri" w:hAnsi="Calibri"/>
          <w:color w:val="231F20"/>
          <w:w w:val="105"/>
          <w:sz w:val="17"/>
        </w:rPr>
        <w:t>se</w:t>
      </w:r>
      <w:r>
        <w:rPr>
          <w:rFonts w:ascii="Calibri" w:hAnsi="Calibri"/>
          <w:color w:val="231F20"/>
          <w:spacing w:val="-9"/>
          <w:w w:val="105"/>
          <w:sz w:val="17"/>
        </w:rPr>
        <w:t> </w:t>
      </w:r>
      <w:r>
        <w:rPr>
          <w:rFonts w:ascii="Calibri" w:hAnsi="Calibri"/>
          <w:color w:val="231F20"/>
          <w:w w:val="105"/>
          <w:sz w:val="17"/>
        </w:rPr>
        <w:t>conectan</w:t>
      </w:r>
      <w:r>
        <w:rPr>
          <w:rFonts w:ascii="Calibri" w:hAnsi="Calibri"/>
          <w:color w:val="231F20"/>
          <w:spacing w:val="-9"/>
          <w:w w:val="105"/>
          <w:sz w:val="17"/>
        </w:rPr>
        <w:t> </w:t>
      </w:r>
      <w:r>
        <w:rPr>
          <w:rFonts w:ascii="Calibri" w:hAnsi="Calibri"/>
          <w:color w:val="231F20"/>
          <w:w w:val="105"/>
          <w:sz w:val="17"/>
        </w:rPr>
        <w:t>con</w:t>
      </w:r>
      <w:r>
        <w:rPr>
          <w:rFonts w:ascii="Calibri" w:hAnsi="Calibri"/>
          <w:color w:val="231F20"/>
          <w:spacing w:val="-9"/>
          <w:w w:val="105"/>
          <w:sz w:val="17"/>
        </w:rPr>
        <w:t> </w:t>
      </w:r>
      <w:r>
        <w:rPr>
          <w:rFonts w:ascii="Calibri" w:hAnsi="Calibri"/>
          <w:color w:val="231F20"/>
          <w:w w:val="105"/>
          <w:sz w:val="17"/>
        </w:rPr>
        <w:t>otros</w:t>
      </w:r>
      <w:r>
        <w:rPr>
          <w:rFonts w:ascii="Calibri" w:hAnsi="Calibri"/>
          <w:color w:val="231F20"/>
          <w:spacing w:val="-9"/>
          <w:w w:val="105"/>
          <w:sz w:val="17"/>
        </w:rPr>
        <w:t> </w:t>
      </w:r>
      <w:r>
        <w:rPr>
          <w:rFonts w:ascii="Calibri" w:hAnsi="Calibri"/>
          <w:color w:val="231F20"/>
          <w:w w:val="105"/>
          <w:sz w:val="17"/>
        </w:rPr>
        <w:t>cuerpos,</w:t>
      </w:r>
      <w:r>
        <w:rPr>
          <w:rFonts w:ascii="Calibri" w:hAnsi="Calibri"/>
          <w:color w:val="231F20"/>
          <w:spacing w:val="-9"/>
          <w:w w:val="105"/>
          <w:sz w:val="17"/>
        </w:rPr>
        <w:t> </w:t>
      </w:r>
      <w:r>
        <w:rPr>
          <w:rFonts w:ascii="Calibri" w:hAnsi="Calibri"/>
          <w:color w:val="231F20"/>
          <w:w w:val="105"/>
          <w:sz w:val="17"/>
        </w:rPr>
        <w:t>aun</w:t>
      </w:r>
      <w:r>
        <w:rPr>
          <w:rFonts w:ascii="Calibri" w:hAnsi="Calibri"/>
          <w:color w:val="231F20"/>
          <w:spacing w:val="-9"/>
          <w:w w:val="105"/>
          <w:sz w:val="17"/>
        </w:rPr>
        <w:t> </w:t>
      </w:r>
      <w:r>
        <w:rPr>
          <w:rFonts w:ascii="Calibri" w:hAnsi="Calibri"/>
          <w:color w:val="231F20"/>
          <w:w w:val="105"/>
          <w:sz w:val="17"/>
        </w:rPr>
        <w:t>así, los cuerpos son múltiples de manera inmanente y no por mera agregación: “cada multiplicidad está</w:t>
      </w:r>
      <w:r>
        <w:rPr>
          <w:rFonts w:ascii="Calibri" w:hAnsi="Calibri"/>
          <w:color w:val="231F20"/>
          <w:spacing w:val="-5"/>
          <w:w w:val="105"/>
          <w:sz w:val="17"/>
        </w:rPr>
        <w:t> </w:t>
      </w:r>
      <w:r>
        <w:rPr>
          <w:rFonts w:ascii="Calibri" w:hAnsi="Calibri"/>
          <w:color w:val="231F20"/>
          <w:w w:val="105"/>
          <w:sz w:val="17"/>
        </w:rPr>
        <w:t>ya</w:t>
      </w:r>
      <w:r>
        <w:rPr>
          <w:rFonts w:ascii="Calibri" w:hAnsi="Calibri"/>
          <w:color w:val="231F20"/>
          <w:spacing w:val="-5"/>
          <w:w w:val="105"/>
          <w:sz w:val="17"/>
        </w:rPr>
        <w:t> </w:t>
      </w:r>
      <w:r>
        <w:rPr>
          <w:rFonts w:ascii="Calibri" w:hAnsi="Calibri"/>
          <w:color w:val="231F20"/>
          <w:w w:val="105"/>
          <w:sz w:val="17"/>
        </w:rPr>
        <w:t>compuesta</w:t>
      </w:r>
      <w:r>
        <w:rPr>
          <w:rFonts w:ascii="Calibri" w:hAnsi="Calibri"/>
          <w:color w:val="231F20"/>
          <w:spacing w:val="-5"/>
          <w:w w:val="105"/>
          <w:sz w:val="17"/>
        </w:rPr>
        <w:t> </w:t>
      </w:r>
      <w:r>
        <w:rPr>
          <w:rFonts w:ascii="Calibri" w:hAnsi="Calibri"/>
          <w:color w:val="231F20"/>
          <w:w w:val="105"/>
          <w:sz w:val="17"/>
        </w:rPr>
        <w:t>de</w:t>
      </w:r>
      <w:r>
        <w:rPr>
          <w:rFonts w:ascii="Calibri" w:hAnsi="Calibri"/>
          <w:color w:val="231F20"/>
          <w:spacing w:val="-5"/>
          <w:w w:val="105"/>
          <w:sz w:val="17"/>
        </w:rPr>
        <w:t> </w:t>
      </w:r>
      <w:r>
        <w:rPr>
          <w:rFonts w:ascii="Calibri" w:hAnsi="Calibri"/>
          <w:color w:val="231F20"/>
          <w:w w:val="105"/>
          <w:sz w:val="17"/>
        </w:rPr>
        <w:t>términos</w:t>
      </w:r>
      <w:r>
        <w:rPr>
          <w:rFonts w:ascii="Calibri" w:hAnsi="Calibri"/>
          <w:color w:val="231F20"/>
          <w:spacing w:val="-5"/>
          <w:w w:val="105"/>
          <w:sz w:val="17"/>
        </w:rPr>
        <w:t> </w:t>
      </w:r>
      <w:r>
        <w:rPr>
          <w:rFonts w:ascii="Calibri" w:hAnsi="Calibri"/>
          <w:color w:val="231F20"/>
          <w:w w:val="105"/>
          <w:sz w:val="17"/>
        </w:rPr>
        <w:t>heterogéneos</w:t>
      </w:r>
      <w:r>
        <w:rPr>
          <w:rFonts w:ascii="Calibri" w:hAnsi="Calibri"/>
          <w:color w:val="231F20"/>
          <w:spacing w:val="-5"/>
          <w:w w:val="105"/>
          <w:sz w:val="17"/>
        </w:rPr>
        <w:t> </w:t>
      </w:r>
      <w:r>
        <w:rPr>
          <w:rFonts w:ascii="Calibri" w:hAnsi="Calibri"/>
          <w:color w:val="231F20"/>
          <w:w w:val="105"/>
          <w:sz w:val="17"/>
        </w:rPr>
        <w:t>en</w:t>
      </w:r>
      <w:r>
        <w:rPr>
          <w:rFonts w:ascii="Calibri" w:hAnsi="Calibri"/>
          <w:color w:val="231F20"/>
          <w:spacing w:val="-5"/>
          <w:w w:val="105"/>
          <w:sz w:val="17"/>
        </w:rPr>
        <w:t> </w:t>
      </w:r>
      <w:r>
        <w:rPr>
          <w:rFonts w:ascii="Calibri" w:hAnsi="Calibri"/>
          <w:color w:val="231F20"/>
          <w:w w:val="105"/>
          <w:sz w:val="17"/>
        </w:rPr>
        <w:t>simbiosis,</w:t>
      </w:r>
      <w:r>
        <w:rPr>
          <w:rFonts w:ascii="Calibri" w:hAnsi="Calibri"/>
          <w:color w:val="231F20"/>
          <w:spacing w:val="-5"/>
          <w:w w:val="105"/>
          <w:sz w:val="17"/>
        </w:rPr>
        <w:t> </w:t>
      </w:r>
      <w:r>
        <w:rPr>
          <w:rFonts w:ascii="Calibri" w:hAnsi="Calibri"/>
          <w:color w:val="231F20"/>
          <w:w w:val="105"/>
          <w:sz w:val="17"/>
        </w:rPr>
        <w:t>[…]</w:t>
      </w:r>
      <w:r>
        <w:rPr>
          <w:rFonts w:ascii="Calibri" w:hAnsi="Calibri"/>
          <w:color w:val="231F20"/>
          <w:spacing w:val="-5"/>
          <w:w w:val="105"/>
          <w:sz w:val="17"/>
        </w:rPr>
        <w:t> </w:t>
      </w:r>
      <w:r>
        <w:rPr>
          <w:rFonts w:ascii="Calibri" w:hAnsi="Calibri"/>
          <w:color w:val="231F20"/>
          <w:w w:val="105"/>
          <w:sz w:val="17"/>
        </w:rPr>
        <w:t>ella</w:t>
      </w:r>
      <w:r>
        <w:rPr>
          <w:rFonts w:ascii="Calibri" w:hAnsi="Calibri"/>
          <w:color w:val="231F20"/>
          <w:spacing w:val="-5"/>
          <w:w w:val="105"/>
          <w:sz w:val="17"/>
        </w:rPr>
        <w:t> </w:t>
      </w:r>
      <w:r>
        <w:rPr>
          <w:rFonts w:ascii="Calibri" w:hAnsi="Calibri"/>
          <w:color w:val="231F20"/>
          <w:w w:val="105"/>
          <w:sz w:val="17"/>
        </w:rPr>
        <w:t>no</w:t>
      </w:r>
      <w:r>
        <w:rPr>
          <w:rFonts w:ascii="Calibri" w:hAnsi="Calibri"/>
          <w:color w:val="231F20"/>
          <w:spacing w:val="-5"/>
          <w:w w:val="105"/>
          <w:sz w:val="17"/>
        </w:rPr>
        <w:t> </w:t>
      </w:r>
      <w:r>
        <w:rPr>
          <w:rFonts w:ascii="Calibri" w:hAnsi="Calibri"/>
          <w:color w:val="231F20"/>
          <w:w w:val="105"/>
          <w:sz w:val="17"/>
        </w:rPr>
        <w:t>cesa</w:t>
      </w:r>
      <w:r>
        <w:rPr>
          <w:rFonts w:ascii="Calibri" w:hAnsi="Calibri"/>
          <w:color w:val="231F20"/>
          <w:spacing w:val="-5"/>
          <w:w w:val="105"/>
          <w:sz w:val="17"/>
        </w:rPr>
        <w:t> </w:t>
      </w:r>
      <w:r>
        <w:rPr>
          <w:rFonts w:ascii="Calibri" w:hAnsi="Calibri"/>
          <w:color w:val="231F20"/>
          <w:w w:val="105"/>
          <w:sz w:val="17"/>
        </w:rPr>
        <w:t>de</w:t>
      </w:r>
      <w:r>
        <w:rPr>
          <w:rFonts w:ascii="Calibri" w:hAnsi="Calibri"/>
          <w:color w:val="231F20"/>
          <w:spacing w:val="-5"/>
          <w:w w:val="105"/>
          <w:sz w:val="17"/>
        </w:rPr>
        <w:t> </w:t>
      </w:r>
      <w:r>
        <w:rPr>
          <w:rFonts w:ascii="Calibri" w:hAnsi="Calibri"/>
          <w:color w:val="231F20"/>
          <w:w w:val="105"/>
          <w:sz w:val="17"/>
        </w:rPr>
        <w:t>transformarse</w:t>
      </w:r>
      <w:r>
        <w:rPr>
          <w:rFonts w:ascii="Calibri" w:hAnsi="Calibri"/>
          <w:color w:val="231F20"/>
          <w:spacing w:val="-5"/>
          <w:w w:val="105"/>
          <w:sz w:val="17"/>
        </w:rPr>
        <w:t> </w:t>
      </w:r>
      <w:r>
        <w:rPr>
          <w:rFonts w:ascii="Calibri" w:hAnsi="Calibri"/>
          <w:color w:val="231F20"/>
          <w:w w:val="105"/>
          <w:sz w:val="17"/>
        </w:rPr>
        <w:t>en otras multiplicidades en hilera, siguiendo sus umbrales y sus puertas” (Deleuze y Guattari, </w:t>
      </w:r>
      <w:r>
        <w:rPr>
          <w:rFonts w:ascii="Calibri" w:hAnsi="Calibri"/>
          <w:i/>
          <w:color w:val="231F20"/>
          <w:w w:val="105"/>
          <w:sz w:val="17"/>
        </w:rPr>
        <w:t>Mille </w:t>
      </w:r>
      <w:r>
        <w:rPr>
          <w:rFonts w:ascii="Calibri" w:hAnsi="Calibri"/>
          <w:i/>
          <w:color w:val="231F20"/>
          <w:sz w:val="17"/>
        </w:rPr>
        <w:t>plateaux</w:t>
      </w:r>
      <w:r>
        <w:rPr>
          <w:rFonts w:ascii="Calibri" w:hAnsi="Calibri"/>
          <w:color w:val="231F20"/>
          <w:sz w:val="17"/>
        </w:rPr>
        <w:t>, p.</w:t>
      </w:r>
      <w:r>
        <w:rPr>
          <w:rFonts w:ascii="Calibri" w:hAnsi="Calibri"/>
          <w:color w:val="231F20"/>
          <w:spacing w:val="2"/>
          <w:sz w:val="17"/>
        </w:rPr>
        <w:t> </w:t>
      </w:r>
      <w:r>
        <w:rPr>
          <w:rFonts w:ascii="Calibri" w:hAnsi="Calibri"/>
          <w:color w:val="231F20"/>
          <w:sz w:val="17"/>
        </w:rPr>
        <w:t>305).</w:t>
      </w:r>
    </w:p>
    <w:p>
      <w:pPr>
        <w:spacing w:after="0" w:line="235" w:lineRule="auto"/>
        <w:jc w:val="both"/>
        <w:rPr>
          <w:rFonts w:ascii="Calibri" w:hAnsi="Calibri"/>
          <w:sz w:val="17"/>
        </w:rPr>
        <w:sectPr>
          <w:pgSz w:w="9640" w:h="13890"/>
          <w:pgMar w:top="0" w:bottom="280" w:left="1300" w:right="1200"/>
        </w:sectPr>
      </w:pPr>
    </w:p>
    <w:p>
      <w:pPr>
        <w:pStyle w:val="BodyText"/>
        <w:spacing w:line="247" w:lineRule="auto" w:before="107"/>
        <w:ind w:left="103" w:right="114"/>
        <w:jc w:val="both"/>
      </w:pPr>
      <w:r>
        <w:rPr>
          <w:color w:val="231F20"/>
        </w:rPr>
        <w:t>rasgos estables ni identidades. Se trata entonces de diferencias nómadas. Lo nómada no es aquello que va de un punto a otro, su razón de ser no</w:t>
      </w:r>
      <w:r>
        <w:rPr>
          <w:color w:val="231F20"/>
          <w:spacing w:val="-39"/>
        </w:rPr>
        <w:t> </w:t>
      </w:r>
      <w:r>
        <w:rPr>
          <w:color w:val="231F20"/>
        </w:rPr>
        <w:t>es ir de A hacia B, antes bien, su razón de ser está en el trayecto mismo, sin origen ni fin determinado. En este talante, tales conceptos nos dan herra- mientas nuevas para pensar lo local como verdadera diferencia, es </w:t>
      </w:r>
      <w:r>
        <w:rPr>
          <w:color w:val="231F20"/>
          <w:spacing w:val="-4"/>
        </w:rPr>
        <w:t>decir,</w:t>
      </w:r>
      <w:r>
        <w:rPr>
          <w:color w:val="231F20"/>
          <w:spacing w:val="57"/>
        </w:rPr>
        <w:t> </w:t>
      </w:r>
      <w:r>
        <w:rPr>
          <w:color w:val="231F20"/>
        </w:rPr>
        <w:t>como pluralidad de expresiones nómadas, no fijas y con una diversidad  de referentes, no sólo lo global. La forma, expresiones y contenidos de lo local estarían entonces permeados por una constante diferenciación, por hacerse</w:t>
      </w:r>
      <w:r>
        <w:rPr>
          <w:color w:val="231F20"/>
          <w:spacing w:val="-6"/>
        </w:rPr>
        <w:t> </w:t>
      </w:r>
      <w:r>
        <w:rPr>
          <w:color w:val="231F20"/>
        </w:rPr>
        <w:t>y</w:t>
      </w:r>
      <w:r>
        <w:rPr>
          <w:color w:val="231F20"/>
          <w:spacing w:val="-6"/>
        </w:rPr>
        <w:t> </w:t>
      </w:r>
      <w:r>
        <w:rPr>
          <w:color w:val="231F20"/>
        </w:rPr>
        <w:t>rehacerse</w:t>
      </w:r>
      <w:r>
        <w:rPr>
          <w:color w:val="231F20"/>
          <w:spacing w:val="-6"/>
        </w:rPr>
        <w:t> </w:t>
      </w:r>
      <w:r>
        <w:rPr>
          <w:color w:val="231F20"/>
        </w:rPr>
        <w:t>a</w:t>
      </w:r>
      <w:r>
        <w:rPr>
          <w:color w:val="231F20"/>
          <w:spacing w:val="-6"/>
        </w:rPr>
        <w:t> </w:t>
      </w:r>
      <w:r>
        <w:rPr>
          <w:color w:val="231F20"/>
        </w:rPr>
        <w:t>medida</w:t>
      </w:r>
      <w:r>
        <w:rPr>
          <w:color w:val="231F20"/>
          <w:spacing w:val="-6"/>
        </w:rPr>
        <w:t> </w:t>
      </w:r>
      <w:r>
        <w:rPr>
          <w:color w:val="231F20"/>
        </w:rPr>
        <w:t>que</w:t>
      </w:r>
      <w:r>
        <w:rPr>
          <w:color w:val="231F20"/>
          <w:spacing w:val="-6"/>
        </w:rPr>
        <w:t> </w:t>
      </w:r>
      <w:r>
        <w:rPr>
          <w:color w:val="231F20"/>
        </w:rPr>
        <w:t>cambian</w:t>
      </w:r>
      <w:r>
        <w:rPr>
          <w:color w:val="231F20"/>
          <w:spacing w:val="-6"/>
        </w:rPr>
        <w:t> </w:t>
      </w:r>
      <w:r>
        <w:rPr>
          <w:color w:val="231F20"/>
        </w:rPr>
        <w:t>sus</w:t>
      </w:r>
      <w:r>
        <w:rPr>
          <w:color w:val="231F20"/>
          <w:spacing w:val="-6"/>
        </w:rPr>
        <w:t> </w:t>
      </w:r>
      <w:r>
        <w:rPr>
          <w:color w:val="231F20"/>
        </w:rPr>
        <w:t>relaciones.</w:t>
      </w:r>
      <w:r>
        <w:rPr>
          <w:color w:val="231F20"/>
          <w:spacing w:val="-6"/>
        </w:rPr>
        <w:t> </w:t>
      </w:r>
      <w:r>
        <w:rPr>
          <w:color w:val="231F20"/>
        </w:rPr>
        <w:t>Lo</w:t>
      </w:r>
      <w:r>
        <w:rPr>
          <w:color w:val="231F20"/>
          <w:spacing w:val="-6"/>
        </w:rPr>
        <w:t> </w:t>
      </w:r>
      <w:r>
        <w:rPr>
          <w:color w:val="231F20"/>
        </w:rPr>
        <w:t>heterogéneo no</w:t>
      </w:r>
      <w:r>
        <w:rPr>
          <w:color w:val="231F20"/>
          <w:spacing w:val="-8"/>
        </w:rPr>
        <w:t> </w:t>
      </w:r>
      <w:r>
        <w:rPr>
          <w:color w:val="231F20"/>
        </w:rPr>
        <w:t>se</w:t>
      </w:r>
      <w:r>
        <w:rPr>
          <w:color w:val="231F20"/>
          <w:spacing w:val="-8"/>
        </w:rPr>
        <w:t> </w:t>
      </w:r>
      <w:r>
        <w:rPr>
          <w:color w:val="231F20"/>
        </w:rPr>
        <w:t>podría</w:t>
      </w:r>
      <w:r>
        <w:rPr>
          <w:color w:val="231F20"/>
          <w:spacing w:val="-8"/>
        </w:rPr>
        <w:t> </w:t>
      </w:r>
      <w:r>
        <w:rPr>
          <w:color w:val="231F20"/>
        </w:rPr>
        <w:t>reducir</w:t>
      </w:r>
      <w:r>
        <w:rPr>
          <w:color w:val="231F20"/>
          <w:spacing w:val="-8"/>
        </w:rPr>
        <w:t> </w:t>
      </w:r>
      <w:r>
        <w:rPr>
          <w:color w:val="231F20"/>
        </w:rPr>
        <w:t>a</w:t>
      </w:r>
      <w:r>
        <w:rPr>
          <w:color w:val="231F20"/>
          <w:spacing w:val="-8"/>
        </w:rPr>
        <w:t> </w:t>
      </w:r>
      <w:r>
        <w:rPr>
          <w:color w:val="231F20"/>
        </w:rPr>
        <w:t>ser</w:t>
      </w:r>
      <w:r>
        <w:rPr>
          <w:color w:val="231F20"/>
          <w:spacing w:val="-8"/>
        </w:rPr>
        <w:t> </w:t>
      </w:r>
      <w:r>
        <w:rPr>
          <w:color w:val="231F20"/>
        </w:rPr>
        <w:t>un</w:t>
      </w:r>
      <w:r>
        <w:rPr>
          <w:color w:val="231F20"/>
          <w:spacing w:val="-8"/>
        </w:rPr>
        <w:t> </w:t>
      </w:r>
      <w:r>
        <w:rPr>
          <w:color w:val="231F20"/>
        </w:rPr>
        <w:t>efecto</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homogéneo,</w:t>
      </w:r>
      <w:r>
        <w:rPr>
          <w:color w:val="231F20"/>
          <w:spacing w:val="-8"/>
        </w:rPr>
        <w:t> </w:t>
      </w:r>
      <w:r>
        <w:rPr>
          <w:color w:val="231F20"/>
        </w:rPr>
        <w:t>lo</w:t>
      </w:r>
      <w:r>
        <w:rPr>
          <w:color w:val="231F20"/>
          <w:spacing w:val="-8"/>
        </w:rPr>
        <w:t> </w:t>
      </w:r>
      <w:r>
        <w:rPr>
          <w:color w:val="231F20"/>
        </w:rPr>
        <w:t>particular</w:t>
      </w:r>
      <w:r>
        <w:rPr>
          <w:color w:val="231F20"/>
          <w:spacing w:val="-8"/>
        </w:rPr>
        <w:t> </w:t>
      </w:r>
      <w:r>
        <w:rPr>
          <w:color w:val="231F20"/>
        </w:rPr>
        <w:t>no</w:t>
      </w:r>
      <w:r>
        <w:rPr>
          <w:color w:val="231F20"/>
          <w:spacing w:val="-8"/>
        </w:rPr>
        <w:t> </w:t>
      </w:r>
      <w:r>
        <w:rPr>
          <w:color w:val="231F20"/>
        </w:rPr>
        <w:t>sería una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manifestaciones</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universal,</w:t>
      </w:r>
      <w:r>
        <w:rPr>
          <w:color w:val="231F20"/>
          <w:spacing w:val="-7"/>
        </w:rPr>
        <w:t> </w:t>
      </w:r>
      <w:r>
        <w:rPr>
          <w:color w:val="231F20"/>
        </w:rPr>
        <w:t>lo</w:t>
      </w:r>
      <w:r>
        <w:rPr>
          <w:color w:val="231F20"/>
          <w:spacing w:val="-7"/>
        </w:rPr>
        <w:t> </w:t>
      </w:r>
      <w:r>
        <w:rPr>
          <w:color w:val="231F20"/>
        </w:rPr>
        <w:t>plural</w:t>
      </w:r>
      <w:r>
        <w:rPr>
          <w:color w:val="231F20"/>
          <w:spacing w:val="-7"/>
        </w:rPr>
        <w:t> </w:t>
      </w:r>
      <w:r>
        <w:rPr>
          <w:color w:val="231F20"/>
        </w:rPr>
        <w:t>no</w:t>
      </w:r>
      <w:r>
        <w:rPr>
          <w:color w:val="231F20"/>
          <w:spacing w:val="-7"/>
        </w:rPr>
        <w:t> </w:t>
      </w:r>
      <w:r>
        <w:rPr>
          <w:color w:val="231F20"/>
        </w:rPr>
        <w:t>sería</w:t>
      </w:r>
      <w:r>
        <w:rPr>
          <w:color w:val="231F20"/>
          <w:spacing w:val="-7"/>
        </w:rPr>
        <w:t> </w:t>
      </w:r>
      <w:r>
        <w:rPr>
          <w:color w:val="231F20"/>
        </w:rPr>
        <w:t>una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spacing w:val="-3"/>
        </w:rPr>
        <w:t>for- </w:t>
      </w:r>
      <w:r>
        <w:rPr>
          <w:color w:val="231F20"/>
        </w:rPr>
        <w:t>mas en que lo finito implosiona, los márgenes no estarían en continuidad con el centro. Lo local, las singularidades, las diferencias, no tendrían que demandar una carta de identidad, una asignación de nombre o el reco- nocimiento de su unidad y coherencia para </w:t>
      </w:r>
      <w:r>
        <w:rPr>
          <w:color w:val="231F20"/>
          <w:spacing w:val="-3"/>
        </w:rPr>
        <w:t>actuar, </w:t>
      </w:r>
      <w:r>
        <w:rPr>
          <w:color w:val="231F20"/>
        </w:rPr>
        <w:t>resistir y crear nuevas formas de vida. Si hay alguna forma de resistencia al proceso globalizador que vivimos, que se vale de la naturalización de sus contradicciones, ese reducto estaría en resistir a la identidad y a la delimitación permanentes,</w:t>
      </w:r>
      <w:r>
        <w:rPr>
          <w:color w:val="231F20"/>
          <w:spacing w:val="-18"/>
        </w:rPr>
        <w:t> </w:t>
      </w:r>
      <w:r>
        <w:rPr>
          <w:color w:val="231F20"/>
        </w:rPr>
        <w:t>a ser abducidos necesariamente por alguno de los polos de la contradicción. Como expone Giorgio Agamben, si hay algo que el Estado y las institu- ciones que apuntalan la lógica globalizadora no pueden tolerar “es que   las singularidades que forman una comunidad no sean reivindicadas en alguna identidad, que haya seres humanos que se copertenezcan sin una condición representable de pertenencia (ser italiano, de clase trabajadora, católico, terrorista, etc.)”</w:t>
      </w:r>
      <w:r>
        <w:rPr>
          <w:color w:val="231F20"/>
          <w:position w:val="7"/>
          <w:sz w:val="12"/>
        </w:rPr>
        <w:t>52</w:t>
      </w:r>
      <w:r>
        <w:rPr>
          <w:color w:val="231F20"/>
        </w:rPr>
        <w:t>. La </w:t>
      </w:r>
      <w:r>
        <w:rPr>
          <w:rFonts w:ascii="Arial" w:hAnsi="Arial"/>
          <w:i/>
          <w:color w:val="231F20"/>
        </w:rPr>
        <w:t>comunidad que viene </w:t>
      </w:r>
      <w:r>
        <w:rPr>
          <w:color w:val="231F20"/>
        </w:rPr>
        <w:t>agambiana sería pre- cisamente la expresión de formas de vida que no necesitan justificarse o modificarse</w:t>
      </w:r>
      <w:r>
        <w:rPr>
          <w:color w:val="231F20"/>
          <w:spacing w:val="-9"/>
        </w:rPr>
        <w:t> </w:t>
      </w:r>
      <w:r>
        <w:rPr>
          <w:color w:val="231F20"/>
        </w:rPr>
        <w:t>para</w:t>
      </w:r>
      <w:r>
        <w:rPr>
          <w:color w:val="231F20"/>
          <w:spacing w:val="-9"/>
        </w:rPr>
        <w:t> </w:t>
      </w:r>
      <w:r>
        <w:rPr>
          <w:color w:val="231F20"/>
        </w:rPr>
        <w:t>pertenecer</w:t>
      </w:r>
      <w:r>
        <w:rPr>
          <w:color w:val="231F20"/>
          <w:spacing w:val="-9"/>
        </w:rPr>
        <w:t> </w:t>
      </w:r>
      <w:r>
        <w:rPr>
          <w:color w:val="231F20"/>
        </w:rPr>
        <w:t>a</w:t>
      </w:r>
      <w:r>
        <w:rPr>
          <w:color w:val="231F20"/>
          <w:spacing w:val="-9"/>
        </w:rPr>
        <w:t> </w:t>
      </w:r>
      <w:r>
        <w:rPr>
          <w:color w:val="231F20"/>
        </w:rPr>
        <w:t>un</w:t>
      </w:r>
      <w:r>
        <w:rPr>
          <w:color w:val="231F20"/>
          <w:spacing w:val="-9"/>
        </w:rPr>
        <w:t> </w:t>
      </w:r>
      <w:r>
        <w:rPr>
          <w:color w:val="231F20"/>
        </w:rPr>
        <w:t>conjunto</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sí</w:t>
      </w:r>
      <w:r>
        <w:rPr>
          <w:color w:val="231F20"/>
          <w:spacing w:val="-9"/>
        </w:rPr>
        <w:t> </w:t>
      </w:r>
      <w:r>
        <w:rPr>
          <w:color w:val="231F20"/>
        </w:rPr>
        <w:t>mismo</w:t>
      </w:r>
      <w:r>
        <w:rPr>
          <w:color w:val="231F20"/>
          <w:spacing w:val="-9"/>
        </w:rPr>
        <w:t> </w:t>
      </w:r>
      <w:r>
        <w:rPr>
          <w:color w:val="231F20"/>
        </w:rPr>
        <w:t>no</w:t>
      </w:r>
      <w:r>
        <w:rPr>
          <w:color w:val="231F20"/>
          <w:spacing w:val="-9"/>
        </w:rPr>
        <w:t> </w:t>
      </w:r>
      <w:r>
        <w:rPr>
          <w:color w:val="231F20"/>
        </w:rPr>
        <w:t>puede</w:t>
      </w:r>
      <w:r>
        <w:rPr>
          <w:color w:val="231F20"/>
          <w:spacing w:val="-9"/>
        </w:rPr>
        <w:t> </w:t>
      </w:r>
      <w:r>
        <w:rPr>
          <w:color w:val="231F20"/>
        </w:rPr>
        <w:t>nom- brarse ni fijarse, no puede adquirir ninguna identidad. Se trataría, como también lo afirma Marramao, de </w:t>
      </w:r>
      <w:r>
        <w:rPr>
          <w:rFonts w:ascii="Arial" w:hAnsi="Arial"/>
          <w:i/>
          <w:color w:val="231F20"/>
        </w:rPr>
        <w:t>una comunidad paradójica, comunidad  </w:t>
      </w:r>
      <w:r>
        <w:rPr>
          <w:rFonts w:ascii="Arial" w:hAnsi="Arial"/>
          <w:i/>
          <w:color w:val="231F20"/>
        </w:rPr>
        <w:t>de los sin comunidad</w:t>
      </w:r>
      <w:r>
        <w:rPr>
          <w:color w:val="231F20"/>
        </w:rPr>
        <w:t>. Sólo así sería pensable la democracia, como algo siempre “[…] ‘por venir’ justamente porque nunca sacrifica a la utopía de una tradición absoluta la opacidad de la fricción y del conflicto”</w:t>
      </w:r>
      <w:r>
        <w:rPr>
          <w:color w:val="231F20"/>
          <w:position w:val="7"/>
          <w:sz w:val="12"/>
        </w:rPr>
        <w:t>53</w:t>
      </w:r>
      <w:r>
        <w:rPr>
          <w:color w:val="231F20"/>
        </w:rPr>
        <w:t>. Deleuze tomaba la misma ruta al hablar de </w:t>
      </w:r>
      <w:r>
        <w:rPr>
          <w:rFonts w:ascii="Arial" w:hAnsi="Arial"/>
          <w:i/>
          <w:color w:val="231F20"/>
        </w:rPr>
        <w:t>un pueblo por venir</w:t>
      </w:r>
      <w:r>
        <w:rPr>
          <w:color w:val="231F20"/>
        </w:rPr>
        <w:t>, expresión que no tendría un carácter mesiánico, al contrario, se trata de un pueblo por</w:t>
      </w:r>
      <w:r>
        <w:rPr>
          <w:color w:val="231F20"/>
          <w:spacing w:val="-10"/>
        </w:rPr>
        <w:t> </w:t>
      </w:r>
      <w:r>
        <w:rPr>
          <w:color w:val="231F20"/>
        </w:rPr>
        <w:t>venir porque nunca llega del todo, porque nunca se consolida en un programa, en una identidad o en una propiedad. Se trata de un pueblo que no co- munica nada, porque no se asume en continuidad con los interlocutores establecidos, un pueblo que crea en tanto escapa a la designación y a de- </w:t>
      </w:r>
      <w:r>
        <w:rPr>
          <w:color w:val="231F20"/>
          <w:spacing w:val="-3"/>
        </w:rPr>
        <w:t>signar,</w:t>
      </w:r>
      <w:r>
        <w:rPr>
          <w:color w:val="231F20"/>
          <w:spacing w:val="-12"/>
        </w:rPr>
        <w:t> </w:t>
      </w:r>
      <w:r>
        <w:rPr>
          <w:color w:val="231F20"/>
        </w:rPr>
        <w:t>que</w:t>
      </w:r>
      <w:r>
        <w:rPr>
          <w:color w:val="231F20"/>
          <w:spacing w:val="-12"/>
        </w:rPr>
        <w:t> </w:t>
      </w:r>
      <w:r>
        <w:rPr>
          <w:color w:val="231F20"/>
        </w:rPr>
        <w:t>inventa</w:t>
      </w:r>
      <w:r>
        <w:rPr>
          <w:color w:val="231F20"/>
          <w:spacing w:val="-12"/>
        </w:rPr>
        <w:t> </w:t>
      </w:r>
      <w:r>
        <w:rPr>
          <w:color w:val="231F20"/>
        </w:rPr>
        <w:t>nuevas</w:t>
      </w:r>
      <w:r>
        <w:rPr>
          <w:color w:val="231F20"/>
          <w:spacing w:val="-12"/>
        </w:rPr>
        <w:t> </w:t>
      </w:r>
      <w:r>
        <w:rPr>
          <w:color w:val="231F20"/>
        </w:rPr>
        <w:t>formas</w:t>
      </w:r>
      <w:r>
        <w:rPr>
          <w:color w:val="231F20"/>
          <w:spacing w:val="-12"/>
        </w:rPr>
        <w:t> </w:t>
      </w:r>
      <w:r>
        <w:rPr>
          <w:color w:val="231F20"/>
        </w:rPr>
        <w:t>de</w:t>
      </w:r>
      <w:r>
        <w:rPr>
          <w:color w:val="231F20"/>
          <w:spacing w:val="-12"/>
        </w:rPr>
        <w:t> </w:t>
      </w:r>
      <w:r>
        <w:rPr>
          <w:color w:val="231F20"/>
        </w:rPr>
        <w:t>decir</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spacing w:val="-4"/>
        </w:rPr>
        <w:t>vivir.</w:t>
      </w:r>
      <w:r>
        <w:rPr>
          <w:color w:val="231F20"/>
          <w:spacing w:val="-12"/>
        </w:rPr>
        <w:t> </w:t>
      </w:r>
      <w:r>
        <w:rPr>
          <w:color w:val="231F20"/>
        </w:rPr>
        <w:t>“Se</w:t>
      </w:r>
      <w:r>
        <w:rPr>
          <w:color w:val="231F20"/>
          <w:spacing w:val="-12"/>
        </w:rPr>
        <w:t> </w:t>
      </w:r>
      <w:r>
        <w:rPr>
          <w:color w:val="231F20"/>
        </w:rPr>
        <w:t>escribe</w:t>
      </w:r>
      <w:r>
        <w:rPr>
          <w:color w:val="231F20"/>
          <w:spacing w:val="-12"/>
        </w:rPr>
        <w:t> </w:t>
      </w:r>
      <w:r>
        <w:rPr>
          <w:color w:val="231F20"/>
        </w:rPr>
        <w:t>en</w:t>
      </w:r>
      <w:r>
        <w:rPr>
          <w:color w:val="231F20"/>
          <w:spacing w:val="-12"/>
        </w:rPr>
        <w:t> </w:t>
      </w:r>
      <w:r>
        <w:rPr>
          <w:color w:val="231F20"/>
        </w:rPr>
        <w:t>función</w:t>
      </w:r>
    </w:p>
    <w:p>
      <w:pPr>
        <w:pStyle w:val="BodyText"/>
        <w:spacing w:before="6"/>
      </w:pPr>
      <w:r>
        <w:rPr/>
        <w:pict>
          <v:line style="position:absolute;mso-position-horizontal-relative:page;mso-position-vertical-relative:paragraph;z-index:4984;mso-wrap-distance-left:0;mso-wrap-distance-right:0" from="65.1968pt,15.106985pt" to="178.5828pt,15.106985pt" stroked="true" strokeweight=".3pt" strokecolor="#231f20">
            <w10:wrap type="topAndBottom"/>
          </v:line>
        </w:pict>
      </w:r>
    </w:p>
    <w:p>
      <w:pPr>
        <w:spacing w:line="204" w:lineRule="exact" w:before="9"/>
        <w:ind w:left="103" w:right="0" w:firstLine="0"/>
        <w:jc w:val="left"/>
        <w:rPr>
          <w:rFonts w:ascii="Calibri"/>
          <w:sz w:val="17"/>
        </w:rPr>
      </w:pPr>
      <w:r>
        <w:rPr>
          <w:rFonts w:ascii="Calibri"/>
          <w:color w:val="231F20"/>
          <w:position w:val="6"/>
          <w:sz w:val="10"/>
        </w:rPr>
        <w:t>52 </w:t>
      </w:r>
      <w:r>
        <w:rPr>
          <w:rFonts w:ascii="Calibri"/>
          <w:color w:val="231F20"/>
          <w:sz w:val="17"/>
        </w:rPr>
        <w:t>G. Agamben, </w:t>
      </w:r>
      <w:r>
        <w:rPr>
          <w:rFonts w:ascii="Calibri"/>
          <w:i/>
          <w:color w:val="231F20"/>
          <w:sz w:val="17"/>
        </w:rPr>
        <w:t>Means without end. Notes on Politics</w:t>
      </w:r>
      <w:r>
        <w:rPr>
          <w:rFonts w:ascii="Calibri"/>
          <w:color w:val="231F20"/>
          <w:sz w:val="17"/>
        </w:rPr>
        <w:t>, Minneapolis, University of Minnesota Press, 2000, p. 87.</w:t>
      </w:r>
    </w:p>
    <w:p>
      <w:pPr>
        <w:spacing w:before="1"/>
        <w:ind w:left="103" w:right="0" w:firstLine="0"/>
        <w:jc w:val="left"/>
        <w:rPr>
          <w:rFonts w:ascii="Calibri"/>
          <w:sz w:val="17"/>
        </w:rPr>
      </w:pPr>
      <w:r>
        <w:rPr>
          <w:rFonts w:ascii="Calibri"/>
          <w:color w:val="231F20"/>
          <w:position w:val="6"/>
          <w:sz w:val="10"/>
        </w:rPr>
        <w:t>53 </w:t>
      </w:r>
      <w:r>
        <w:rPr>
          <w:rFonts w:ascii="Calibri"/>
          <w:color w:val="231F20"/>
          <w:sz w:val="17"/>
        </w:rPr>
        <w:t>Marramao, </w:t>
      </w:r>
      <w:r>
        <w:rPr>
          <w:rFonts w:ascii="Calibri"/>
          <w:i/>
          <w:color w:val="231F20"/>
          <w:sz w:val="17"/>
        </w:rPr>
        <w:t>Pasaje a Occidente</w:t>
      </w:r>
      <w:r>
        <w:rPr>
          <w:rFonts w:ascii="Calibri"/>
          <w:color w:val="231F20"/>
          <w:sz w:val="17"/>
        </w:rPr>
        <w:t>, p. 202.</w:t>
      </w:r>
    </w:p>
    <w:p>
      <w:pPr>
        <w:pStyle w:val="BodyText"/>
        <w:rPr>
          <w:rFonts w:ascii="Calibri"/>
          <w:sz w:val="20"/>
        </w:rPr>
      </w:pPr>
    </w:p>
    <w:p>
      <w:pPr>
        <w:pStyle w:val="BodyText"/>
        <w:spacing w:before="9"/>
        <w:rPr>
          <w:rFonts w:ascii="Calibri"/>
          <w:sz w:val="27"/>
        </w:rPr>
      </w:pPr>
    </w:p>
    <w:p>
      <w:pPr>
        <w:tabs>
          <w:tab w:pos="1331" w:val="left" w:leader="none"/>
        </w:tabs>
        <w:spacing w:before="68"/>
        <w:ind w:left="281" w:right="0" w:firstLine="0"/>
        <w:jc w:val="left"/>
        <w:rPr>
          <w:rFonts w:ascii="Calibri" w:hAnsi="Calibri"/>
          <w:sz w:val="16"/>
        </w:rPr>
      </w:pPr>
      <w:r>
        <w:rPr/>
        <w:pict>
          <v:group style="position:absolute;margin-left:98.787804pt;margin-top:-3.358812pt;width:20.4pt;height:43pt;mso-position-horizontal-relative:page;mso-position-vertical-relative:paragraph;z-index:-170392"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hAnsi="Arial"/>
          <w:color w:val="414042"/>
          <w:position w:val="-4"/>
          <w:sz w:val="20"/>
        </w:rPr>
        <w:t>88</w:t>
        <w:tab/>
      </w:r>
      <w:r>
        <w:rPr>
          <w:rFonts w:ascii="Calibri" w:hAnsi="Calibri"/>
          <w:color w:val="6D6E71"/>
          <w:sz w:val="16"/>
        </w:rPr>
        <w:t>María Luisa Bacarlett</w:t>
      </w:r>
      <w:r>
        <w:rPr>
          <w:rFonts w:ascii="Calibri" w:hAnsi="Calibri"/>
          <w:color w:val="6D6E71"/>
          <w:spacing w:val="33"/>
          <w:sz w:val="16"/>
        </w:rPr>
        <w:t> </w:t>
      </w:r>
      <w:r>
        <w:rPr>
          <w:rFonts w:ascii="Calibri" w:hAnsi="Calibri"/>
          <w:color w:val="6D6E71"/>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335" w:right="0" w:firstLine="0"/>
        <w:jc w:val="left"/>
        <w:rPr>
          <w:rFonts w:ascii="Arial" w:hAnsi="Arial"/>
          <w:sz w:val="20"/>
        </w:rPr>
      </w:pPr>
      <w:r>
        <w:rPr/>
        <w:pict>
          <v:group style="position:absolute;margin-left:383.821014pt;margin-top:-25.479271pt;width:8.65pt;height:41pt;mso-position-horizontal-relative:page;mso-position-vertical-relative:paragraph;z-index:-17034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NATURALIZAR</w:t>
      </w:r>
      <w:r>
        <w:rPr>
          <w:rFonts w:ascii="Lucida Sans Unicode" w:hAnsi="Lucida Sans Unicode"/>
          <w:color w:val="6D6E71"/>
          <w:spacing w:val="-19"/>
          <w:w w:val="95"/>
          <w:sz w:val="14"/>
        </w:rPr>
        <w:t> </w:t>
      </w:r>
      <w:r>
        <w:rPr>
          <w:rFonts w:ascii="Lucida Sans Unicode" w:hAnsi="Lucida Sans Unicode"/>
          <w:color w:val="6D6E71"/>
          <w:w w:val="95"/>
          <w:sz w:val="14"/>
        </w:rPr>
        <w:t>LAS</w:t>
      </w:r>
      <w:r>
        <w:rPr>
          <w:rFonts w:ascii="Lucida Sans Unicode" w:hAnsi="Lucida Sans Unicode"/>
          <w:color w:val="6D6E71"/>
          <w:spacing w:val="-19"/>
          <w:w w:val="95"/>
          <w:sz w:val="14"/>
        </w:rPr>
        <w:t> </w:t>
      </w:r>
      <w:r>
        <w:rPr>
          <w:rFonts w:ascii="Lucida Sans Unicode" w:hAnsi="Lucida Sans Unicode"/>
          <w:color w:val="6D6E71"/>
          <w:w w:val="95"/>
          <w:sz w:val="14"/>
        </w:rPr>
        <w:t>PARADOJAS:</w:t>
      </w:r>
      <w:r>
        <w:rPr>
          <w:rFonts w:ascii="Lucida Sans Unicode" w:hAnsi="Lucida Sans Unicode"/>
          <w:color w:val="6D6E71"/>
          <w:spacing w:val="-19"/>
          <w:w w:val="95"/>
          <w:sz w:val="14"/>
        </w:rPr>
        <w:t> </w:t>
      </w:r>
      <w:r>
        <w:rPr>
          <w:rFonts w:ascii="Lucida Sans Unicode" w:hAnsi="Lucida Sans Unicode"/>
          <w:color w:val="6D6E71"/>
          <w:w w:val="95"/>
          <w:sz w:val="14"/>
        </w:rPr>
        <w:t>UN</w:t>
      </w:r>
      <w:r>
        <w:rPr>
          <w:rFonts w:ascii="Lucida Sans Unicode" w:hAnsi="Lucida Sans Unicode"/>
          <w:color w:val="6D6E71"/>
          <w:spacing w:val="-19"/>
          <w:w w:val="95"/>
          <w:sz w:val="14"/>
        </w:rPr>
        <w:t> </w:t>
      </w:r>
      <w:r>
        <w:rPr>
          <w:rFonts w:ascii="Lucida Sans Unicode" w:hAnsi="Lucida Sans Unicode"/>
          <w:color w:val="6D6E71"/>
          <w:w w:val="95"/>
          <w:sz w:val="14"/>
        </w:rPr>
        <w:t>ACERCAMIENTO</w:t>
      </w:r>
      <w:r>
        <w:rPr>
          <w:rFonts w:ascii="Lucida Sans Unicode" w:hAnsi="Lucida Sans Unicode"/>
          <w:color w:val="6D6E71"/>
          <w:spacing w:val="-19"/>
          <w:w w:val="95"/>
          <w:sz w:val="14"/>
        </w:rPr>
        <w:t> </w:t>
      </w:r>
      <w:r>
        <w:rPr>
          <w:rFonts w:ascii="Lucida Sans Unicode" w:hAnsi="Lucida Sans Unicode"/>
          <w:color w:val="6D6E71"/>
          <w:w w:val="95"/>
          <w:sz w:val="14"/>
        </w:rPr>
        <w:t>A</w:t>
      </w:r>
      <w:r>
        <w:rPr>
          <w:rFonts w:ascii="Lucida Sans Unicode" w:hAnsi="Lucida Sans Unicode"/>
          <w:color w:val="6D6E71"/>
          <w:spacing w:val="-19"/>
          <w:w w:val="95"/>
          <w:sz w:val="14"/>
        </w:rPr>
        <w:t> </w:t>
      </w:r>
      <w:r>
        <w:rPr>
          <w:rFonts w:ascii="Lucida Sans Unicode" w:hAnsi="Lucida Sans Unicode"/>
          <w:color w:val="6D6E71"/>
          <w:w w:val="95"/>
          <w:sz w:val="14"/>
        </w:rPr>
        <w:t>LA</w:t>
      </w:r>
      <w:r>
        <w:rPr>
          <w:rFonts w:ascii="Lucida Sans Unicode" w:hAnsi="Lucida Sans Unicode"/>
          <w:color w:val="6D6E71"/>
          <w:spacing w:val="-19"/>
          <w:w w:val="95"/>
          <w:sz w:val="14"/>
        </w:rPr>
        <w:t> </w:t>
      </w:r>
      <w:r>
        <w:rPr>
          <w:rFonts w:ascii="Lucida Sans Unicode" w:hAnsi="Lucida Sans Unicode"/>
          <w:color w:val="6D6E71"/>
          <w:w w:val="95"/>
          <w:sz w:val="14"/>
        </w:rPr>
        <w:t>GLOBALIZACIÓN</w:t>
      </w:r>
      <w:r>
        <w:rPr>
          <w:rFonts w:ascii="Lucida Sans Unicode" w:hAnsi="Lucida Sans Unicode"/>
          <w:color w:val="6D6E71"/>
          <w:spacing w:val="-19"/>
          <w:w w:val="95"/>
          <w:sz w:val="14"/>
        </w:rPr>
        <w:t> </w:t>
      </w:r>
      <w:r>
        <w:rPr>
          <w:rFonts w:ascii="Lucida Sans Unicode" w:hAnsi="Lucida Sans Unicode"/>
          <w:color w:val="6D6E71"/>
          <w:w w:val="95"/>
          <w:sz w:val="14"/>
        </w:rPr>
        <w:t>DESDE</w:t>
      </w:r>
      <w:r>
        <w:rPr>
          <w:rFonts w:ascii="Lucida Sans Unicode" w:hAnsi="Lucida Sans Unicode"/>
          <w:color w:val="6D6E71"/>
          <w:spacing w:val="-19"/>
          <w:w w:val="95"/>
          <w:sz w:val="14"/>
        </w:rPr>
        <w:t> </w:t>
      </w:r>
      <w:r>
        <w:rPr>
          <w:rFonts w:ascii="Lucida Sans Unicode" w:hAnsi="Lucida Sans Unicode"/>
          <w:color w:val="6D6E71"/>
          <w:w w:val="95"/>
          <w:sz w:val="14"/>
        </w:rPr>
        <w:t>GILLES</w:t>
      </w:r>
      <w:r>
        <w:rPr>
          <w:rFonts w:ascii="Lucida Sans Unicode" w:hAnsi="Lucida Sans Unicode"/>
          <w:color w:val="6D6E71"/>
          <w:spacing w:val="-19"/>
          <w:w w:val="95"/>
          <w:sz w:val="14"/>
        </w:rPr>
        <w:t> </w:t>
      </w:r>
      <w:r>
        <w:rPr>
          <w:rFonts w:ascii="Lucida Sans Unicode" w:hAnsi="Lucida Sans Unicode"/>
          <w:color w:val="6D6E71"/>
          <w:w w:val="95"/>
          <w:sz w:val="14"/>
        </w:rPr>
        <w:t>DELEUZE</w:t>
      </w:r>
      <w:r>
        <w:rPr>
          <w:rFonts w:ascii="Arial" w:hAnsi="Arial"/>
          <w:color w:val="414042"/>
          <w:w w:val="95"/>
          <w:position w:val="-3"/>
          <w:sz w:val="20"/>
        </w:rPr>
        <w:tab/>
        <w:t>89</w:t>
      </w:r>
    </w:p>
    <w:p>
      <w:pPr>
        <w:pStyle w:val="BodyText"/>
        <w:spacing w:line="244" w:lineRule="auto" w:before="623"/>
        <w:ind w:left="117" w:right="101"/>
        <w:jc w:val="both"/>
      </w:pPr>
      <w:r>
        <w:rPr>
          <w:color w:val="231F20"/>
          <w:w w:val="105"/>
        </w:rPr>
        <w:t>de</w:t>
      </w:r>
      <w:r>
        <w:rPr>
          <w:color w:val="231F20"/>
          <w:spacing w:val="-35"/>
          <w:w w:val="105"/>
        </w:rPr>
        <w:t> </w:t>
      </w:r>
      <w:r>
        <w:rPr>
          <w:color w:val="231F20"/>
          <w:w w:val="105"/>
        </w:rPr>
        <w:t>un</w:t>
      </w:r>
      <w:r>
        <w:rPr>
          <w:color w:val="231F20"/>
          <w:spacing w:val="-35"/>
          <w:w w:val="105"/>
        </w:rPr>
        <w:t> </w:t>
      </w:r>
      <w:r>
        <w:rPr>
          <w:color w:val="231F20"/>
          <w:w w:val="105"/>
        </w:rPr>
        <w:t>pueblo</w:t>
      </w:r>
      <w:r>
        <w:rPr>
          <w:color w:val="231F20"/>
          <w:spacing w:val="-35"/>
          <w:w w:val="105"/>
        </w:rPr>
        <w:t> </w:t>
      </w:r>
      <w:r>
        <w:rPr>
          <w:color w:val="231F20"/>
          <w:w w:val="105"/>
        </w:rPr>
        <w:t>por</w:t>
      </w:r>
      <w:r>
        <w:rPr>
          <w:color w:val="231F20"/>
          <w:spacing w:val="-35"/>
          <w:w w:val="105"/>
        </w:rPr>
        <w:t> </w:t>
      </w:r>
      <w:r>
        <w:rPr>
          <w:color w:val="231F20"/>
          <w:w w:val="105"/>
        </w:rPr>
        <w:t>venir</w:t>
      </w:r>
      <w:r>
        <w:rPr>
          <w:color w:val="231F20"/>
          <w:spacing w:val="-35"/>
          <w:w w:val="105"/>
        </w:rPr>
        <w:t> </w:t>
      </w:r>
      <w:r>
        <w:rPr>
          <w:color w:val="231F20"/>
          <w:w w:val="105"/>
        </w:rPr>
        <w:t>y</w:t>
      </w:r>
      <w:r>
        <w:rPr>
          <w:color w:val="231F20"/>
          <w:spacing w:val="-35"/>
          <w:w w:val="105"/>
        </w:rPr>
        <w:t> </w:t>
      </w:r>
      <w:r>
        <w:rPr>
          <w:color w:val="231F20"/>
          <w:w w:val="105"/>
        </w:rPr>
        <w:t>que</w:t>
      </w:r>
      <w:r>
        <w:rPr>
          <w:color w:val="231F20"/>
          <w:spacing w:val="-35"/>
          <w:w w:val="105"/>
        </w:rPr>
        <w:t> </w:t>
      </w:r>
      <w:r>
        <w:rPr>
          <w:color w:val="231F20"/>
          <w:w w:val="105"/>
        </w:rPr>
        <w:t>no</w:t>
      </w:r>
      <w:r>
        <w:rPr>
          <w:color w:val="231F20"/>
          <w:spacing w:val="-35"/>
          <w:w w:val="105"/>
        </w:rPr>
        <w:t> </w:t>
      </w:r>
      <w:r>
        <w:rPr>
          <w:color w:val="231F20"/>
          <w:w w:val="105"/>
        </w:rPr>
        <w:t>tiene</w:t>
      </w:r>
      <w:r>
        <w:rPr>
          <w:color w:val="231F20"/>
          <w:spacing w:val="-35"/>
          <w:w w:val="105"/>
        </w:rPr>
        <w:t> </w:t>
      </w:r>
      <w:r>
        <w:rPr>
          <w:color w:val="231F20"/>
          <w:w w:val="105"/>
        </w:rPr>
        <w:t>aún</w:t>
      </w:r>
      <w:r>
        <w:rPr>
          <w:color w:val="231F20"/>
          <w:spacing w:val="-35"/>
          <w:w w:val="105"/>
        </w:rPr>
        <w:t> </w:t>
      </w:r>
      <w:r>
        <w:rPr>
          <w:color w:val="231F20"/>
          <w:w w:val="105"/>
        </w:rPr>
        <w:t>lenguaje.</w:t>
      </w:r>
      <w:r>
        <w:rPr>
          <w:color w:val="231F20"/>
          <w:spacing w:val="-35"/>
          <w:w w:val="105"/>
        </w:rPr>
        <w:t> </w:t>
      </w:r>
      <w:r>
        <w:rPr>
          <w:color w:val="231F20"/>
          <w:w w:val="105"/>
        </w:rPr>
        <w:t>Crear</w:t>
      </w:r>
      <w:r>
        <w:rPr>
          <w:color w:val="231F20"/>
          <w:spacing w:val="-35"/>
          <w:w w:val="105"/>
        </w:rPr>
        <w:t> </w:t>
      </w:r>
      <w:r>
        <w:rPr>
          <w:color w:val="231F20"/>
          <w:w w:val="105"/>
        </w:rPr>
        <w:t>no</w:t>
      </w:r>
      <w:r>
        <w:rPr>
          <w:color w:val="231F20"/>
          <w:spacing w:val="-35"/>
          <w:w w:val="105"/>
        </w:rPr>
        <w:t> </w:t>
      </w:r>
      <w:r>
        <w:rPr>
          <w:color w:val="231F20"/>
          <w:w w:val="105"/>
        </w:rPr>
        <w:t>es</w:t>
      </w:r>
      <w:r>
        <w:rPr>
          <w:color w:val="231F20"/>
          <w:spacing w:val="-35"/>
          <w:w w:val="105"/>
        </w:rPr>
        <w:t> </w:t>
      </w:r>
      <w:r>
        <w:rPr>
          <w:color w:val="231F20"/>
          <w:w w:val="105"/>
        </w:rPr>
        <w:t>comunicar, sino</w:t>
      </w:r>
      <w:r>
        <w:rPr>
          <w:color w:val="231F20"/>
          <w:spacing w:val="-19"/>
          <w:w w:val="105"/>
        </w:rPr>
        <w:t> </w:t>
      </w:r>
      <w:r>
        <w:rPr>
          <w:color w:val="231F20"/>
          <w:spacing w:val="-3"/>
          <w:w w:val="105"/>
        </w:rPr>
        <w:t>resistir.</w:t>
      </w:r>
      <w:r>
        <w:rPr>
          <w:color w:val="231F20"/>
          <w:spacing w:val="-19"/>
          <w:w w:val="105"/>
        </w:rPr>
        <w:t> </w:t>
      </w:r>
      <w:r>
        <w:rPr>
          <w:color w:val="231F20"/>
          <w:w w:val="105"/>
        </w:rPr>
        <w:t>Hay</w:t>
      </w:r>
      <w:r>
        <w:rPr>
          <w:color w:val="231F20"/>
          <w:spacing w:val="-19"/>
          <w:w w:val="105"/>
        </w:rPr>
        <w:t> </w:t>
      </w:r>
      <w:r>
        <w:rPr>
          <w:color w:val="231F20"/>
          <w:w w:val="105"/>
        </w:rPr>
        <w:t>una</w:t>
      </w:r>
      <w:r>
        <w:rPr>
          <w:color w:val="231F20"/>
          <w:spacing w:val="-19"/>
          <w:w w:val="105"/>
        </w:rPr>
        <w:t> </w:t>
      </w:r>
      <w:r>
        <w:rPr>
          <w:color w:val="231F20"/>
          <w:w w:val="105"/>
        </w:rPr>
        <w:t>liga</w:t>
      </w:r>
      <w:r>
        <w:rPr>
          <w:color w:val="231F20"/>
          <w:spacing w:val="-19"/>
          <w:w w:val="105"/>
        </w:rPr>
        <w:t> </w:t>
      </w:r>
      <w:r>
        <w:rPr>
          <w:color w:val="231F20"/>
          <w:w w:val="105"/>
        </w:rPr>
        <w:t>profunda</w:t>
      </w:r>
      <w:r>
        <w:rPr>
          <w:color w:val="231F20"/>
          <w:spacing w:val="-19"/>
          <w:w w:val="105"/>
        </w:rPr>
        <w:t> </w:t>
      </w:r>
      <w:r>
        <w:rPr>
          <w:color w:val="231F20"/>
          <w:w w:val="105"/>
        </w:rPr>
        <w:t>entre</w:t>
      </w:r>
      <w:r>
        <w:rPr>
          <w:color w:val="231F20"/>
          <w:spacing w:val="-19"/>
          <w:w w:val="105"/>
        </w:rPr>
        <w:t> </w:t>
      </w:r>
      <w:r>
        <w:rPr>
          <w:color w:val="231F20"/>
          <w:w w:val="105"/>
        </w:rPr>
        <w:t>los</w:t>
      </w:r>
      <w:r>
        <w:rPr>
          <w:color w:val="231F20"/>
          <w:spacing w:val="-19"/>
          <w:w w:val="105"/>
        </w:rPr>
        <w:t> </w:t>
      </w:r>
      <w:r>
        <w:rPr>
          <w:color w:val="231F20"/>
          <w:w w:val="105"/>
        </w:rPr>
        <w:t>signos,</w:t>
      </w:r>
      <w:r>
        <w:rPr>
          <w:color w:val="231F20"/>
          <w:spacing w:val="-19"/>
          <w:w w:val="105"/>
        </w:rPr>
        <w:t> </w:t>
      </w:r>
      <w:r>
        <w:rPr>
          <w:color w:val="231F20"/>
          <w:w w:val="105"/>
        </w:rPr>
        <w:t>el</w:t>
      </w:r>
      <w:r>
        <w:rPr>
          <w:color w:val="231F20"/>
          <w:spacing w:val="-19"/>
          <w:w w:val="105"/>
        </w:rPr>
        <w:t> </w:t>
      </w:r>
      <w:r>
        <w:rPr>
          <w:color w:val="231F20"/>
          <w:w w:val="105"/>
        </w:rPr>
        <w:t>acontecimiento,</w:t>
      </w:r>
      <w:r>
        <w:rPr>
          <w:color w:val="231F20"/>
          <w:spacing w:val="-19"/>
          <w:w w:val="105"/>
        </w:rPr>
        <w:t> </w:t>
      </w:r>
      <w:r>
        <w:rPr>
          <w:color w:val="231F20"/>
          <w:w w:val="105"/>
        </w:rPr>
        <w:t>la vida, el vitalismo”</w:t>
      </w:r>
      <w:r>
        <w:rPr>
          <w:color w:val="231F20"/>
          <w:w w:val="105"/>
          <w:position w:val="7"/>
          <w:sz w:val="12"/>
        </w:rPr>
        <w:t>54</w:t>
      </w:r>
      <w:r>
        <w:rPr>
          <w:color w:val="231F20"/>
          <w:w w:val="105"/>
        </w:rPr>
        <w:t>. Deleuze evoca, así, a un pueblo que emerge en el </w:t>
      </w:r>
      <w:r>
        <w:rPr>
          <w:rFonts w:ascii="Arial" w:hAnsi="Arial"/>
          <w:i/>
          <w:color w:val="231F20"/>
          <w:w w:val="105"/>
        </w:rPr>
        <w:t>entre</w:t>
      </w:r>
      <w:r>
        <w:rPr>
          <w:color w:val="231F20"/>
          <w:w w:val="105"/>
        </w:rPr>
        <w:t>,</w:t>
      </w:r>
      <w:r>
        <w:rPr>
          <w:color w:val="231F20"/>
          <w:spacing w:val="-21"/>
          <w:w w:val="105"/>
        </w:rPr>
        <w:t> </w:t>
      </w:r>
      <w:r>
        <w:rPr>
          <w:color w:val="231F20"/>
          <w:w w:val="105"/>
        </w:rPr>
        <w:t>que</w:t>
      </w:r>
      <w:r>
        <w:rPr>
          <w:color w:val="231F20"/>
          <w:spacing w:val="-21"/>
          <w:w w:val="105"/>
        </w:rPr>
        <w:t> </w:t>
      </w:r>
      <w:r>
        <w:rPr>
          <w:color w:val="231F20"/>
          <w:w w:val="105"/>
        </w:rPr>
        <w:t>se</w:t>
      </w:r>
      <w:r>
        <w:rPr>
          <w:color w:val="231F20"/>
          <w:spacing w:val="-21"/>
          <w:w w:val="105"/>
        </w:rPr>
        <w:t> </w:t>
      </w:r>
      <w:r>
        <w:rPr>
          <w:color w:val="231F20"/>
          <w:w w:val="105"/>
        </w:rPr>
        <w:t>conecta</w:t>
      </w:r>
      <w:r>
        <w:rPr>
          <w:color w:val="231F20"/>
          <w:spacing w:val="-21"/>
          <w:w w:val="105"/>
        </w:rPr>
        <w:t> </w:t>
      </w:r>
      <w:r>
        <w:rPr>
          <w:color w:val="231F20"/>
          <w:w w:val="105"/>
        </w:rPr>
        <w:t>con</w:t>
      </w:r>
      <w:r>
        <w:rPr>
          <w:color w:val="231F20"/>
          <w:spacing w:val="-21"/>
          <w:w w:val="105"/>
        </w:rPr>
        <w:t> </w:t>
      </w:r>
      <w:r>
        <w:rPr>
          <w:color w:val="231F20"/>
          <w:w w:val="105"/>
        </w:rPr>
        <w:t>todo</w:t>
      </w:r>
      <w:r>
        <w:rPr>
          <w:color w:val="231F20"/>
          <w:spacing w:val="-21"/>
          <w:w w:val="105"/>
        </w:rPr>
        <w:t> </w:t>
      </w:r>
      <w:r>
        <w:rPr>
          <w:color w:val="231F20"/>
          <w:w w:val="105"/>
        </w:rPr>
        <w:t>lo</w:t>
      </w:r>
      <w:r>
        <w:rPr>
          <w:color w:val="231F20"/>
          <w:spacing w:val="-21"/>
          <w:w w:val="105"/>
        </w:rPr>
        <w:t> </w:t>
      </w:r>
      <w:r>
        <w:rPr>
          <w:color w:val="231F20"/>
          <w:w w:val="105"/>
        </w:rPr>
        <w:t>que</w:t>
      </w:r>
      <w:r>
        <w:rPr>
          <w:color w:val="231F20"/>
          <w:spacing w:val="-21"/>
          <w:w w:val="105"/>
        </w:rPr>
        <w:t> </w:t>
      </w:r>
      <w:r>
        <w:rPr>
          <w:color w:val="231F20"/>
          <w:w w:val="105"/>
        </w:rPr>
        <w:t>le</w:t>
      </w:r>
      <w:r>
        <w:rPr>
          <w:color w:val="231F20"/>
          <w:spacing w:val="-21"/>
          <w:w w:val="105"/>
        </w:rPr>
        <w:t> </w:t>
      </w:r>
      <w:r>
        <w:rPr>
          <w:color w:val="231F20"/>
          <w:w w:val="105"/>
        </w:rPr>
        <w:t>rodea,</w:t>
      </w:r>
      <w:r>
        <w:rPr>
          <w:color w:val="231F20"/>
          <w:spacing w:val="-21"/>
          <w:w w:val="105"/>
        </w:rPr>
        <w:t> </w:t>
      </w:r>
      <w:r>
        <w:rPr>
          <w:color w:val="231F20"/>
          <w:w w:val="105"/>
        </w:rPr>
        <w:t>pero</w:t>
      </w:r>
      <w:r>
        <w:rPr>
          <w:color w:val="231F20"/>
          <w:spacing w:val="-21"/>
          <w:w w:val="105"/>
        </w:rPr>
        <w:t> </w:t>
      </w:r>
      <w:r>
        <w:rPr>
          <w:color w:val="231F20"/>
          <w:w w:val="105"/>
        </w:rPr>
        <w:t>que</w:t>
      </w:r>
      <w:r>
        <w:rPr>
          <w:color w:val="231F20"/>
          <w:spacing w:val="-21"/>
          <w:w w:val="105"/>
        </w:rPr>
        <w:t> </w:t>
      </w:r>
      <w:r>
        <w:rPr>
          <w:color w:val="231F20"/>
          <w:w w:val="105"/>
        </w:rPr>
        <w:t>se</w:t>
      </w:r>
      <w:r>
        <w:rPr>
          <w:color w:val="231F20"/>
          <w:spacing w:val="-21"/>
          <w:w w:val="105"/>
        </w:rPr>
        <w:t> </w:t>
      </w:r>
      <w:r>
        <w:rPr>
          <w:color w:val="231F20"/>
          <w:w w:val="105"/>
        </w:rPr>
        <w:t>niega</w:t>
      </w:r>
      <w:r>
        <w:rPr>
          <w:color w:val="231F20"/>
          <w:spacing w:val="-21"/>
          <w:w w:val="105"/>
        </w:rPr>
        <w:t> </w:t>
      </w:r>
      <w:r>
        <w:rPr>
          <w:color w:val="231F20"/>
          <w:w w:val="105"/>
        </w:rPr>
        <w:t>a</w:t>
      </w:r>
      <w:r>
        <w:rPr>
          <w:color w:val="231F20"/>
          <w:spacing w:val="-21"/>
          <w:w w:val="105"/>
        </w:rPr>
        <w:t> </w:t>
      </w:r>
      <w:r>
        <w:rPr>
          <w:color w:val="231F20"/>
          <w:w w:val="105"/>
        </w:rPr>
        <w:t>hacer de</w:t>
      </w:r>
      <w:r>
        <w:rPr>
          <w:color w:val="231F20"/>
          <w:spacing w:val="-25"/>
          <w:w w:val="105"/>
        </w:rPr>
        <w:t> </w:t>
      </w:r>
      <w:r>
        <w:rPr>
          <w:color w:val="231F20"/>
          <w:w w:val="105"/>
        </w:rPr>
        <w:t>puente</w:t>
      </w:r>
      <w:r>
        <w:rPr>
          <w:color w:val="231F20"/>
          <w:spacing w:val="-25"/>
          <w:w w:val="105"/>
        </w:rPr>
        <w:t> </w:t>
      </w:r>
      <w:r>
        <w:rPr>
          <w:color w:val="231F20"/>
          <w:w w:val="105"/>
        </w:rPr>
        <w:t>entre</w:t>
      </w:r>
      <w:r>
        <w:rPr>
          <w:color w:val="231F20"/>
          <w:spacing w:val="-25"/>
          <w:w w:val="105"/>
        </w:rPr>
        <w:t> </w:t>
      </w:r>
      <w:r>
        <w:rPr>
          <w:color w:val="231F20"/>
          <w:w w:val="105"/>
        </w:rPr>
        <w:t>las</w:t>
      </w:r>
      <w:r>
        <w:rPr>
          <w:color w:val="231F20"/>
          <w:spacing w:val="-25"/>
          <w:w w:val="105"/>
        </w:rPr>
        <w:t> </w:t>
      </w:r>
      <w:r>
        <w:rPr>
          <w:color w:val="231F20"/>
          <w:w w:val="105"/>
        </w:rPr>
        <w:t>grandes</w:t>
      </w:r>
      <w:r>
        <w:rPr>
          <w:color w:val="231F20"/>
          <w:spacing w:val="-25"/>
          <w:w w:val="105"/>
        </w:rPr>
        <w:t> </w:t>
      </w:r>
      <w:r>
        <w:rPr>
          <w:color w:val="231F20"/>
          <w:w w:val="105"/>
        </w:rPr>
        <w:t>dicotomías,</w:t>
      </w:r>
      <w:r>
        <w:rPr>
          <w:color w:val="231F20"/>
          <w:spacing w:val="-25"/>
          <w:w w:val="105"/>
        </w:rPr>
        <w:t> </w:t>
      </w:r>
      <w:r>
        <w:rPr>
          <w:color w:val="231F20"/>
          <w:w w:val="105"/>
        </w:rPr>
        <w:t>que</w:t>
      </w:r>
      <w:r>
        <w:rPr>
          <w:color w:val="231F20"/>
          <w:spacing w:val="-25"/>
          <w:w w:val="105"/>
        </w:rPr>
        <w:t> </w:t>
      </w:r>
      <w:r>
        <w:rPr>
          <w:color w:val="231F20"/>
          <w:w w:val="105"/>
        </w:rPr>
        <w:t>no</w:t>
      </w:r>
      <w:r>
        <w:rPr>
          <w:color w:val="231F20"/>
          <w:spacing w:val="-25"/>
          <w:w w:val="105"/>
        </w:rPr>
        <w:t> </w:t>
      </w:r>
      <w:r>
        <w:rPr>
          <w:color w:val="231F20"/>
          <w:w w:val="105"/>
        </w:rPr>
        <w:t>se</w:t>
      </w:r>
      <w:r>
        <w:rPr>
          <w:color w:val="231F20"/>
          <w:spacing w:val="-25"/>
          <w:w w:val="105"/>
        </w:rPr>
        <w:t> </w:t>
      </w:r>
      <w:r>
        <w:rPr>
          <w:color w:val="231F20"/>
          <w:w w:val="105"/>
        </w:rPr>
        <w:t>presenta</w:t>
      </w:r>
      <w:r>
        <w:rPr>
          <w:color w:val="231F20"/>
          <w:spacing w:val="-25"/>
          <w:w w:val="105"/>
        </w:rPr>
        <w:t> </w:t>
      </w:r>
      <w:r>
        <w:rPr>
          <w:color w:val="231F20"/>
          <w:w w:val="105"/>
        </w:rPr>
        <w:t>como</w:t>
      </w:r>
      <w:r>
        <w:rPr>
          <w:color w:val="231F20"/>
          <w:spacing w:val="-25"/>
          <w:w w:val="105"/>
        </w:rPr>
        <w:t> </w:t>
      </w:r>
      <w:r>
        <w:rPr>
          <w:color w:val="231F20"/>
          <w:w w:val="105"/>
        </w:rPr>
        <w:t>híbrido de</w:t>
      </w:r>
      <w:r>
        <w:rPr>
          <w:color w:val="231F20"/>
          <w:spacing w:val="-31"/>
          <w:w w:val="105"/>
        </w:rPr>
        <w:t> </w:t>
      </w:r>
      <w:r>
        <w:rPr>
          <w:color w:val="231F20"/>
          <w:w w:val="105"/>
        </w:rPr>
        <w:t>los</w:t>
      </w:r>
      <w:r>
        <w:rPr>
          <w:color w:val="231F20"/>
          <w:spacing w:val="-31"/>
          <w:w w:val="105"/>
        </w:rPr>
        <w:t> </w:t>
      </w:r>
      <w:r>
        <w:rPr>
          <w:color w:val="231F20"/>
          <w:w w:val="105"/>
        </w:rPr>
        <w:t>grandes</w:t>
      </w:r>
      <w:r>
        <w:rPr>
          <w:color w:val="231F20"/>
          <w:spacing w:val="-31"/>
          <w:w w:val="105"/>
        </w:rPr>
        <w:t> </w:t>
      </w:r>
      <w:r>
        <w:rPr>
          <w:color w:val="231F20"/>
          <w:w w:val="105"/>
        </w:rPr>
        <w:t>referentes</w:t>
      </w:r>
      <w:r>
        <w:rPr>
          <w:color w:val="231F20"/>
          <w:spacing w:val="-31"/>
          <w:w w:val="105"/>
        </w:rPr>
        <w:t> </w:t>
      </w:r>
      <w:r>
        <w:rPr>
          <w:color w:val="231F20"/>
          <w:w w:val="105"/>
        </w:rPr>
        <w:t>y</w:t>
      </w:r>
      <w:r>
        <w:rPr>
          <w:color w:val="231F20"/>
          <w:spacing w:val="-31"/>
          <w:w w:val="105"/>
        </w:rPr>
        <w:t> </w:t>
      </w:r>
      <w:r>
        <w:rPr>
          <w:color w:val="231F20"/>
          <w:w w:val="105"/>
        </w:rPr>
        <w:t>que</w:t>
      </w:r>
      <w:r>
        <w:rPr>
          <w:color w:val="231F20"/>
          <w:spacing w:val="-31"/>
          <w:w w:val="105"/>
        </w:rPr>
        <w:t> </w:t>
      </w:r>
      <w:r>
        <w:rPr>
          <w:color w:val="231F20"/>
          <w:w w:val="105"/>
        </w:rPr>
        <w:t>no</w:t>
      </w:r>
      <w:r>
        <w:rPr>
          <w:color w:val="231F20"/>
          <w:spacing w:val="-31"/>
          <w:w w:val="105"/>
        </w:rPr>
        <w:t> </w:t>
      </w:r>
      <w:r>
        <w:rPr>
          <w:color w:val="231F20"/>
          <w:w w:val="105"/>
        </w:rPr>
        <w:t>asume</w:t>
      </w:r>
      <w:r>
        <w:rPr>
          <w:color w:val="231F20"/>
          <w:spacing w:val="-31"/>
          <w:w w:val="105"/>
        </w:rPr>
        <w:t> </w:t>
      </w:r>
      <w:r>
        <w:rPr>
          <w:color w:val="231F20"/>
          <w:w w:val="105"/>
        </w:rPr>
        <w:t>identidad</w:t>
      </w:r>
      <w:r>
        <w:rPr>
          <w:color w:val="231F20"/>
          <w:spacing w:val="-31"/>
          <w:w w:val="105"/>
        </w:rPr>
        <w:t> </w:t>
      </w:r>
      <w:r>
        <w:rPr>
          <w:color w:val="231F20"/>
          <w:w w:val="105"/>
        </w:rPr>
        <w:t>alguna.</w:t>
      </w:r>
      <w:r>
        <w:rPr>
          <w:color w:val="231F20"/>
          <w:spacing w:val="-31"/>
          <w:w w:val="105"/>
        </w:rPr>
        <w:t> </w:t>
      </w:r>
      <w:r>
        <w:rPr>
          <w:color w:val="231F20"/>
          <w:w w:val="105"/>
        </w:rPr>
        <w:t>Se</w:t>
      </w:r>
      <w:r>
        <w:rPr>
          <w:color w:val="231F20"/>
          <w:spacing w:val="-31"/>
          <w:w w:val="105"/>
        </w:rPr>
        <w:t> </w:t>
      </w:r>
      <w:r>
        <w:rPr>
          <w:color w:val="231F20"/>
          <w:w w:val="105"/>
        </w:rPr>
        <w:t>trata</w:t>
      </w:r>
      <w:r>
        <w:rPr>
          <w:color w:val="231F20"/>
          <w:spacing w:val="-31"/>
          <w:w w:val="105"/>
        </w:rPr>
        <w:t> </w:t>
      </w:r>
      <w:r>
        <w:rPr>
          <w:color w:val="231F20"/>
          <w:w w:val="105"/>
        </w:rPr>
        <w:t>de</w:t>
      </w:r>
      <w:r>
        <w:rPr>
          <w:color w:val="231F20"/>
          <w:spacing w:val="-31"/>
          <w:w w:val="105"/>
        </w:rPr>
        <w:t> </w:t>
      </w:r>
      <w:r>
        <w:rPr>
          <w:color w:val="231F20"/>
          <w:w w:val="105"/>
        </w:rPr>
        <w:t>un </w:t>
      </w:r>
      <w:r>
        <w:rPr>
          <w:color w:val="231F20"/>
        </w:rPr>
        <w:t>pueblo</w:t>
      </w:r>
      <w:r>
        <w:rPr>
          <w:color w:val="231F20"/>
          <w:spacing w:val="30"/>
        </w:rPr>
        <w:t> </w:t>
      </w:r>
      <w:r>
        <w:rPr>
          <w:color w:val="231F20"/>
        </w:rPr>
        <w:t>intersticial.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4"/>
        </w:rPr>
      </w:pPr>
      <w:r>
        <w:rPr/>
        <w:pict>
          <v:line style="position:absolute;mso-position-horizontal-relative:page;mso-position-vertical-relative:paragraph;z-index:5032;mso-wrap-distance-left:0;mso-wrap-distance-right:0" from="70.866096pt,17.102442pt" to="184.252096pt,17.102442pt" stroked="true" strokeweight=".3pt" strokecolor="#231f20">
            <w10:wrap type="topAndBottom"/>
          </v:line>
        </w:pict>
      </w:r>
    </w:p>
    <w:p>
      <w:pPr>
        <w:spacing w:before="10"/>
        <w:ind w:left="117" w:right="0" w:firstLine="0"/>
        <w:jc w:val="left"/>
        <w:rPr>
          <w:rFonts w:ascii="Calibri"/>
          <w:sz w:val="17"/>
        </w:rPr>
      </w:pPr>
      <w:r>
        <w:rPr>
          <w:rFonts w:ascii="Calibri"/>
          <w:color w:val="231F20"/>
          <w:position w:val="6"/>
          <w:sz w:val="10"/>
        </w:rPr>
        <w:t>54 </w:t>
      </w:r>
      <w:r>
        <w:rPr>
          <w:rFonts w:ascii="Calibri"/>
          <w:color w:val="231F20"/>
          <w:sz w:val="17"/>
        </w:rPr>
        <w:t>Deleuze, </w:t>
      </w:r>
      <w:r>
        <w:rPr>
          <w:rFonts w:ascii="Calibri"/>
          <w:i/>
          <w:color w:val="231F20"/>
          <w:sz w:val="17"/>
        </w:rPr>
        <w:t>Pourparlers</w:t>
      </w:r>
      <w:r>
        <w:rPr>
          <w:rFonts w:ascii="Calibri"/>
          <w:color w:val="231F20"/>
          <w:sz w:val="17"/>
        </w:rPr>
        <w:t>, p. 196.</w:t>
      </w:r>
    </w:p>
    <w:p>
      <w:pPr>
        <w:spacing w:after="0"/>
        <w:jc w:val="left"/>
        <w:rPr>
          <w:rFonts w:ascii="Calibri"/>
          <w:sz w:val="17"/>
        </w:rPr>
        <w:sectPr>
          <w:pgSz w:w="9640" w:h="13890"/>
          <w:pgMar w:top="0" w:bottom="280" w:left="1300" w:right="1200"/>
        </w:sectPr>
      </w:pPr>
    </w:p>
    <w:p>
      <w:pPr>
        <w:pStyle w:val="BodyText"/>
        <w:spacing w:before="4"/>
        <w:rPr>
          <w:rFonts w:ascii="Times New Roman"/>
          <w:sz w:val="17"/>
        </w:rPr>
      </w:pPr>
      <w:r>
        <w:rPr/>
        <w:pict>
          <v:line style="position:absolute;mso-position-horizontal-relative:page;mso-position-vertical-relative:page;z-index:5080" from="481.822998pt,0pt" to="481.822998pt,694.487976pt" stroked="true" strokeweight=".134pt" strokecolor="#6d6e71">
            <w10:wrap type="none"/>
          </v:line>
        </w:pict>
      </w:r>
    </w:p>
    <w:p>
      <w:pPr>
        <w:spacing w:after="0"/>
        <w:rPr>
          <w:rFonts w:ascii="Times New Roman"/>
          <w:sz w:val="17"/>
        </w:rPr>
        <w:sectPr>
          <w:pgSz w:w="9640" w:h="13890"/>
          <w:pgMar w:top="0" w:bottom="0" w:left="1340" w:right="0"/>
        </w:sectPr>
      </w:pPr>
    </w:p>
    <w:p>
      <w:pPr>
        <w:pStyle w:val="BodyText"/>
        <w:ind w:left="861"/>
        <w:rPr>
          <w:rFonts w:ascii="Times New Roman"/>
          <w:sz w:val="20"/>
        </w:rPr>
      </w:pPr>
      <w:r>
        <w:rPr/>
        <w:pict>
          <v:rect style="position:absolute;margin-left:0pt;margin-top:0pt;width:481.89pt;height:694.487976pt;mso-position-horizontal-relative:page;mso-position-vertical-relative:page;z-index:-170272" filled="true" fillcolor="#6d6e71" stroked="false">
            <v:fill type="solid"/>
            <w10:wrap type="none"/>
          </v:rect>
        </w:pict>
      </w:r>
      <w:r>
        <w:rPr>
          <w:rFonts w:ascii="Times New Roman"/>
          <w:sz w:val="20"/>
        </w:rPr>
        <w:pict>
          <v:group style="width:259.5pt;height:425.1pt;mso-position-horizontal-relative:char;mso-position-vertical-relative:line" coordorigin="0,0" coordsize="5190,8502">
            <v:shape style="position:absolute;left:2843;top:633;width:2346;height:7869" type="#_x0000_t75" stroked="false">
              <v:imagedata r:id="rId37" o:title=""/>
            </v:shape>
            <v:shape style="position:absolute;left:2864;top:1653;width:1729;height:3773" coordorigin="2864,1653" coordsize="1729,3773" path="m2953,1653l2941,1678,2914,1749,2885,1854,2864,1984,3158,3145,3436,3890,3860,4543,4593,5425,4587,5306,4571,5018,4552,4668,4535,4361,4023,4075,3687,3697,3380,2974,2953,1653xe" filled="true" fillcolor="#7e8083" stroked="false">
              <v:path arrowok="t"/>
              <v:fill type="solid"/>
            </v:shape>
            <v:shape style="position:absolute;left:0;top:0;width:4665;height:6117" type="#_x0000_t75" stroked="false">
              <v:imagedata r:id="rId38" o:title=""/>
            </v:shape>
            <v:shape style="position:absolute;left:2253;top:9;width:721;height:3805" coordorigin="2253,9" coordsize="721,3805" path="m2757,9l2525,58,2286,1239,2253,2024,2468,2765,2973,3814,2757,9xe" filled="true" fillcolor="#a9abae" stroked="false">
              <v:path arrowok="t"/>
              <v:fill type="solid"/>
            </v:shape>
            <v:shape style="position:absolute;left:2385;top:7;width:602;height:3856" coordorigin="2385,7" coordsize="602,3856" path="m2759,7l2524,51,2520,52,2519,56,2493,174,2487,203,2481,233,2475,262,2470,292,2449,411,2444,441,2440,470,2436,500,2432,530,2424,590,2417,650,2411,710,2405,770,2402,800,2400,833,2398,863,2396,891,2392,952,2391,981,2390,1012,2386,1132,2385,1162,2385,1222,2385,1313,2386,1374,2389,1437,2391,1495,2394,1555,2398,1615,2402,1675,2413,1796,2419,1856,2426,1916,2433,1976,2441,2036,2449,2096,2458,2155,2468,2215,2473,2245,2478,2274,2484,2304,2495,2363,2501,2393,2506,2422,2513,2452,2538,2570,2566,2687,2581,2746,2596,2804,2612,2863,2628,2920,2645,2978,2662,3035,2680,3093,2698,3150,2718,3207,2737,3264,2757,3321,2778,3377,2799,3433,2821,3489,2843,3545,2866,3600,2889,3656,2913,3710,2939,3765,2965,3819,2986,3862,2983,3815,2964,3815,2961,3765,2957,3756,2933,3701,2910,3646,2888,3591,2866,3535,2845,3479,2824,3423,2804,3367,2785,3310,2766,3253,2747,3196,2729,3139,2712,3082,2695,3025,2679,2967,2663,2909,2647,2852,2632,2794,2618,2735,2603,2677,2577,2561,2552,2443,2546,2414,2541,2384,2535,2355,2530,2325,2525,2296,2519,2266,2515,2237,2510,2207,2500,2148,2491,2089,2483,2029,2474,1970,2460,1851,2454,1791,2449,1732,2443,1672,2439,1612,2431,1492,2427,1372,2425,1342,2424,1313,2424,1282,2424,1252,2423,1222,2423,1192,2422,1162,2423,1132,2425,1011,2425,982,2426,951,2428,923,2431,860,2432,830,2434,803,2436,773,2441,713,2446,653,2451,593,2458,534,2461,504,2465,474,2468,444,2472,414,2490,296,2494,266,2499,236,2504,207,2530,64,2526,64,2531,59,2548,59,2755,12,2759,12,2759,7xm2961,3765l2964,3815,2982,3810,2961,3765xm2759,12l2755,12,2758,91,2767,328,2771,414,2774,485,2796,961,2821,1437,2825,1516,2829,1596,2834,1675,2839,1754,2843,1834,2853,1992,2858,2071,2864,2150,2875,2309,2880,2388,2885,2467,2896,2626,2902,2705,2907,2784,2912,2863,2926,3101,2930,3161,2933,3220,2936,3280,2944,3418,2948,3498,2952,3577,2956,3656,2960,3736,2961,3765,2982,3810,2964,3815,2983,3815,2978,3735,2972,3655,2967,3576,2962,3497,2958,3418,2949,3279,2946,3219,2942,3160,2927,2862,2923,2783,2919,2704,2915,2625,2908,2466,2904,2384,2901,2304,2894,2148,2890,2069,2886,1990,2878,1831,2874,1752,2869,1672,2865,1594,2860,1514,2855,1434,2826,959,2794,484,2789,405,2783,326,2777,247,2765,88,2759,12xm2531,59l2526,64,2530,63,2531,59xm2530,63l2526,64,2530,64,2530,63xm2548,59l2531,59,2530,63,2548,59xe" filled="true" fillcolor="#ffffff" stroked="false">
              <v:path arrowok="t"/>
              <v:fill type="solid"/>
            </v:shape>
            <v:shape style="position:absolute;left:765;top:4108;width:1689;height:2056" coordorigin="765,4108" coordsize="1689,2056" path="m2396,4108l2330,4111,2257,4118,2175,4134,2085,4160,1988,4198,1882,4250,1826,4282,1769,4318,1709,4358,1648,4404,1584,4454,1519,4510,1452,4571,1383,4638,1312,4711,1239,4790,1165,4876,1088,4969,1010,5069,930,5176,848,5291,765,5413,874,6164,1348,5141,1671,4586,1990,4307,2453,4110,2425,4109,2396,4108xe" filled="true" fillcolor="#bec0c2" stroked="false">
              <v:path arrowok="t"/>
              <v:fill type="solid"/>
            </v:shape>
            <v:shape style="position:absolute;left:763;top:4090;width:1709;height:2094" coordorigin="763,4090" coordsize="1709,2094" path="m2385,4090l2350,4090,2315,4092,2280,4096,2246,4100,2211,4106,2177,4113,2109,4130,2027,4159,2010,4165,1994,4172,1978,4179,1946,4193,1931,4200,1915,4208,1838,4250,1823,4259,1808,4268,1705,4335,1622,4398,1608,4409,1594,4419,1580,4430,1461,4534,1337,4658,1313,4684,1290,4710,1266,4736,1243,4762,1219,4788,1196,4815,1174,4842,1086,4951,1064,4979,1043,5007,918,5177,899,5206,763,5412,763,5413,763,5414,785,5602,791,5649,796,5696,802,5743,818,5866,828,5941,838,6016,848,6092,858,6167,859,6172,862,6177,874,6183,884,6180,888,6171,888,6171,892,6162,889,6162,859,6157,881,6110,878,6087,866,6012,854,5937,842,5862,823,5740,815,5694,807,5647,799,5600,767,5414,912,5216,933,5188,1062,5023,1084,4996,1220,4837,1244,4812,1268,4786,1291,4761,1315,4736,1339,4710,1363,4685,1488,4565,1606,4464,1619,4453,1633,4443,1729,4371,1829,4306,1844,4297,1859,4289,1933,4248,1949,4241,2026,4206,2041,4199,2121,4171,2186,4153,2218,4146,2251,4140,2285,4135,2318,4132,2351,4129,2366,4129,2371,4126,2447,4093,2465,4093,2464,4092,2419,4090,2385,4090xm881,6110l859,6157,889,6162,881,6110xm2385,4128l2366,4129,2299,4166,2231,4212,2214,4224,2197,4236,2165,4261,2133,4287,2102,4314,2071,4342,2026,4384,2011,4398,1997,4413,1983,4428,1968,4443,1954,4457,1940,4472,1871,4549,1817,4612,1791,4644,1765,4676,1739,4708,1689,4773,1664,4806,1615,4872,1566,4939,1542,4973,1495,5041,1449,5110,1426,5144,1380,5213,1358,5247,1335,5282,1291,5352,1248,5423,1205,5494,1163,5566,1142,5602,1122,5638,1102,5674,1062,5747,1043,5784,1023,5821,1004,5858,967,5932,930,6006,894,6081,881,6110,889,6162,892,6162,924,6097,960,6022,998,5949,1036,5875,1074,5802,1113,5729,1152,5656,1192,5583,1272,5439,1287,5412,1313,5367,1334,5331,1355,5295,1397,5225,1441,5154,1485,5084,1531,5016,1554,4982,1577,4948,1625,4880,1649,4847,1674,4814,1699,4782,1750,4717,1776,4685,1802,4654,1829,4622,1883,4561,1954,4487,1968,4473,1983,4459,1999,4443,2012,4430,2027,4416,2042,4402,2088,4362,2119,4336,2150,4311,2182,4286,2199,4274,2231,4250,2248,4239,2316,4196,2386,4159,2456,4129,2452,4129,2418,4128,2385,4128xm2452,4128l2385,4128,2418,4128,2452,4129,2452,4128xm2465,4093l2447,4093,2452,4129,2456,4129,2459,4128,2460,4128,2466,4125,2471,4119,2472,4101,2465,4093xm2447,4093l2371,4126,2366,4129,2385,4128,2452,4128,2447,4093xe" filled="true" fillcolor="#ffffff" stroked="false">
              <v:path arrowok="t"/>
              <v:fill type="solid"/>
            </v:shape>
            <v:shape style="position:absolute;left:874;top:4111;width:2141;height:2054" coordorigin="874,4111" coordsize="2141,2054" path="m2486,4111l2096,4164,1797,4395,1440,4998,874,6164,985,6035,1092,5914,1196,5800,1296,5693,1392,5593,1485,5501,1575,5414,1660,5334,1743,5261,1822,5193,1898,5131,1971,5074,2042,5022,2109,4976,2173,4934,2235,4896,2294,4863,2350,4834,2404,4809,2455,4787,2504,4769,2551,4754,2596,4742,2638,4732,2679,4725,2717,4720,2754,4718,2789,4716,2975,4716,2959,4706,2904,4657,2850,4599,2797,4535,2746,4467,2696,4397,2604,4263,2561,4203,2522,4152,2486,4111xm2975,4716l2789,4716,2822,4717,2854,4719,2884,4721,2913,4725,2940,4729,2966,4734,3015,4743,2975,4716xe" filled="true" fillcolor="#828486" stroked="false">
              <v:path arrowok="t"/>
              <v:fill type="solid"/>
            </v:shape>
            <v:shape style="position:absolute;left:871;top:4104;width:2162;height:2063" coordorigin="871,4104" coordsize="2162,2063" path="m872,6166l873,6167,873,6166,872,6166xm875,6165l874,6166,873,6166,874,6167,875,6166,875,6165xm885,6147l872,6163,872,6163,872,6165,872,6166,872,6166,873,6166,874,6166,875,6165,885,6147xm872,6165l872,6166,872,6166,872,6165xm2810,4698l2768,4698,2725,4701,2683,4705,2642,4712,2600,4721,2559,4731,2519,4743,2479,4757,2439,4772,2400,4788,2362,4805,2324,4824,2286,4843,2249,4863,2213,4884,2141,4928,2071,4975,2036,5000,2002,5025,1968,5050,1934,5076,1901,5101,1868,5128,1803,5182,1739,5237,1708,5265,1645,5322,1614,5351,1553,5409,1523,5439,1493,5469,1433,5529,1345,5620,1316,5651,1230,5744,1117,5871,1090,5903,1035,5967,980,6032,885,6147,875,6165,988,6040,1132,5885,1248,5763,1337,5673,1456,5553,1547,5466,1578,5437,1639,5380,1671,5352,1733,5297,1765,5269,1797,5242,1829,5215,1894,5162,1926,5136,1993,5085,2026,5060,2060,5036,2094,5012,2163,4966,2234,4923,2269,4902,2306,4882,2342,4862,2379,4844,2416,4827,2454,4811,2492,4796,2530,4782,2569,4770,2609,4760,2648,4751,2688,4744,2728,4739,2769,4736,2809,4735,2974,4735,2963,4728,2944,4712,2936,4711,2894,4705,2852,4700,2810,4698xm872,6163l871,6164,871,6164,872,6163xm2488,4104l2486,4104,2444,4109,2404,4119,2365,4132,2327,4148,2289,4166,2253,4187,2218,4209,2184,4233,2119,4285,2056,4339,1995,4397,1937,4457,1880,4518,1825,4581,1772,4646,1719,4712,1668,4778,1619,4846,1571,4915,1523,4985,1477,5055,1432,5126,1387,5197,1343,5269,1300,5341,1258,5414,1216,5487,1175,5561,1135,5635,1095,5709,1056,5784,1018,5859,980,5934,943,6010,907,6087,872,6163,885,6147,915,6091,954,6016,994,5942,1075,5795,1116,5722,1158,5649,1200,5576,1242,5504,1285,5431,1328,5359,1372,5288,1416,5217,1461,5146,1507,5076,1553,5006,1599,4936,1647,4867,1695,4799,1744,4732,1794,4665,1845,4599,1898,4535,1952,4472,2008,4411,2067,4352,2128,4297,2193,4245,2226,4221,2260,4199,2295,4178,2332,4159,2369,4144,2407,4131,2447,4123,2483,4118,2481,4116,2500,4116,2491,4106,2489,4104,2488,4104xm2974,4735l2809,4735,2850,4737,2890,4740,2930,4745,2971,4752,3012,4760,3012,4760,3018,4761,3025,4758,3007,4758,2974,4735xm2944,4712l2963,4728,3007,4758,3018,4727,2977,4718,2944,4712xm2500,4116l2481,4116,2486,4118,2483,4118,2499,4135,2515,4154,2531,4175,2546,4195,2562,4216,2577,4237,2591,4259,2606,4280,2664,4367,2693,4410,2723,4453,2753,4495,2784,4537,2816,4578,2849,4619,2885,4657,2922,4694,2944,4712,2977,4718,3018,4727,3007,4758,3025,4758,3025,4758,3029,4751,3033,4743,3030,4733,3022,4728,3001,4716,2981,4702,2961,4687,2942,4671,2923,4654,2905,4636,2887,4618,2869,4599,2835,4561,2802,4521,2771,4481,2740,4439,2709,4398,2679,4355,2589,4228,2573,4207,2558,4186,2542,4165,2526,4145,2509,4125,2500,4116xm2481,4116l2483,4118,2486,4118,2481,4116xe" filled="true" fillcolor="#ffffff" stroked="false">
              <v:path arrowok="t"/>
              <v:fill type="solid"/>
            </v:shape>
            <v:shape style="position:absolute;left:1244;top:138;width:1771;height:4609" coordorigin="1244,138" coordsize="1771,4609" path="m2174,138l1618,256,1244,1778,1264,2753,1811,3602,3015,4747,3001,4483,2984,4202,2969,3979,2963,3887,2240,3071,1917,2408,1920,1547,2174,138xe" filled="true" fillcolor="#959799" stroked="false">
              <v:path arrowok="t"/>
              <v:fill type="solid"/>
            </v:shape>
            <v:shape style="position:absolute;left:1491;top:130;width:1535;height:4640" coordorigin="1491,130" coordsize="1535,4640" path="m2186,130l2172,130,1616,270,1597,350,1581,410,1566,490,1552,570,1540,650,1529,730,1520,790,1512,870,1506,950,1500,1030,1496,1110,1493,1190,1491,1270,1491,1350,1491,1430,1493,1490,1497,1570,1501,1650,1507,1730,1514,1810,1522,1890,1531,1970,1541,2050,1553,2110,1566,2190,1581,2270,1596,2350,1613,2430,1632,2490,1651,2570,1672,2650,1695,2730,1718,2790,1743,2870,1769,2950,1797,3010,1825,3090,1855,3150,1887,3230,1919,3290,1953,3370,1987,3430,2024,3510,2061,3570,2099,3630,2138,3710,2179,3770,2220,3830,2262,3890,2306,3970,2350,4030,2396,4090,2419,4110,2442,4150,2466,4170,2489,4210,2513,4230,2537,4270,2562,4290,2586,4330,2611,4350,2636,4390,2661,4410,2687,4430,2713,4470,2739,4490,2765,4530,2791,4550,2844,4610,2898,4650,2953,4710,3008,4770,3025,4770,3024,4750,3005,4750,3004,4732,2965,4690,2910,4650,2855,4590,2802,4550,2775,4510,2749,4490,2723,4450,2671,4410,2646,4370,2621,4350,2596,4310,2571,4290,2547,4250,2523,4230,2499,4190,2452,4130,2428,4110,2406,4070,2361,4010,2317,3950,2274,3890,2232,3830,2192,3770,2152,3690,2114,3630,2077,3570,2042,3490,2007,3430,1974,3350,1942,3290,1910,3210,1881,3150,1852,3070,1825,3010,1799,2930,1774,2850,1750,2790,1727,2710,1706,2630,1685,2570,1666,2490,1648,2410,1632,2330,1616,2270,1601,2190,1588,2110,1575,2030,1564,1950,1555,1890,1546,1810,1539,1730,1533,1650,1528,1570,1524,1490,1521,1410,1519,1350,1518,1270,1519,1190,1521,1110,1523,1030,1528,950,1533,870,1539,810,1547,730,1555,650,1565,570,1576,490,1589,410,1603,350,1620,270,2164,152,2165,150,2183,150,2186,130xm3004,4732l3005,4750,3021,4750,3004,4732xm2949,3906l2954,3990,2960,4070,2967,4150,2973,4250,2978,4330,3004,4732,3021,4750,3024,4750,2999,4250,2994,4150,2989,4070,2984,3990,2980,3910,2952,3910,2949,3906xm2947,3890l2949,3906,2952,3910,2947,3890xm2979,3890l2947,3890,2952,3910,2980,3910,2979,3890xm2183,150l2176,150,2164,152,2153,210,2141,270,2130,330,2120,390,2110,450,2102,510,2093,570,2086,630,2079,690,2073,770,2068,830,2063,890,2059,950,2056,1010,2053,1070,2052,1130,2051,1190,2051,1270,2051,1330,2052,1390,2055,1450,2057,1510,2061,1570,2066,1630,2074,1710,2083,1790,2093,1870,2105,1970,2119,2050,2134,2130,2151,2210,2169,2290,2188,2370,2209,2450,2232,2530,2256,2610,2281,2690,2308,2770,2337,2850,2367,2930,2399,2990,2432,3070,2467,3150,2503,3230,2540,3290,2579,3370,2620,3430,2662,3510,2695,3570,2728,3610,2763,3670,2798,3710,2835,3770,2872,3810,2911,3870,2949,3906,2947,3890,2974,3890,2935,3850,2898,3790,2861,3750,2826,3690,2791,3650,2758,3590,2725,3550,2693,3490,2652,3410,2613,3350,2574,3270,2538,3210,2502,3130,2469,3050,2436,2970,2405,2910,2376,2830,2348,2750,2322,2670,2296,2590,2272,2510,2250,2430,2229,2350,2209,2270,2191,2190,2175,2110,2160,2030,2146,1950,2134,1870,2123,1790,2114,1710,2106,1630,2100,1570,2096,1510,2092,1450,2089,1390,2085,1250,2085,1190,2085,1130,2085,1070,2087,1010,2089,950,2092,890,2096,830,2101,770,2106,710,2112,630,2118,570,2126,510,2134,450,2142,390,2152,330,2162,270,2172,210,2183,150xm2176,150l2165,150,2164,152,2176,150xe" filled="true" fillcolor="#ffffff" stroked="false">
              <v:path arrowok="t"/>
              <v:fill type="solid"/>
            </v:shape>
          </v:group>
        </w:pict>
      </w:r>
      <w:r>
        <w:rPr>
          <w:rFonts w:ascii="Times New Roman"/>
          <w:sz w:val="20"/>
        </w:rPr>
      </w:r>
    </w:p>
    <w:p>
      <w:pPr>
        <w:spacing w:line="187" w:lineRule="auto" w:before="22"/>
        <w:ind w:left="1980" w:right="3007" w:hanging="765"/>
        <w:jc w:val="left"/>
        <w:rPr>
          <w:rFonts w:ascii="Lucida Sans Unicode" w:hAnsi="Lucida Sans Unicode"/>
          <w:sz w:val="28"/>
        </w:rPr>
      </w:pPr>
      <w:r>
        <w:rPr>
          <w:rFonts w:ascii="Lucida Sans Unicode" w:hAnsi="Lucida Sans Unicode"/>
          <w:color w:val="FFFFFF"/>
          <w:w w:val="95"/>
          <w:sz w:val="28"/>
        </w:rPr>
        <w:t>EL</w:t>
      </w:r>
      <w:r>
        <w:rPr>
          <w:rFonts w:ascii="Lucida Sans Unicode" w:hAnsi="Lucida Sans Unicode"/>
          <w:color w:val="FFFFFF"/>
          <w:spacing w:val="-57"/>
          <w:w w:val="95"/>
          <w:sz w:val="28"/>
        </w:rPr>
        <w:t> </w:t>
      </w:r>
      <w:r>
        <w:rPr>
          <w:rFonts w:ascii="Lucida Sans Unicode" w:hAnsi="Lucida Sans Unicode"/>
          <w:color w:val="FFFFFF"/>
          <w:spacing w:val="-3"/>
          <w:w w:val="95"/>
          <w:sz w:val="28"/>
        </w:rPr>
        <w:t>ESTADO</w:t>
      </w:r>
      <w:r>
        <w:rPr>
          <w:rFonts w:ascii="Lucida Sans Unicode" w:hAnsi="Lucida Sans Unicode"/>
          <w:color w:val="FFFFFF"/>
          <w:spacing w:val="-57"/>
          <w:w w:val="95"/>
          <w:sz w:val="28"/>
        </w:rPr>
        <w:t> </w:t>
      </w:r>
      <w:r>
        <w:rPr>
          <w:rFonts w:ascii="Lucida Sans Unicode" w:hAnsi="Lucida Sans Unicode"/>
          <w:color w:val="FFFFFF"/>
          <w:w w:val="95"/>
          <w:sz w:val="28"/>
        </w:rPr>
        <w:t>MODERNO </w:t>
      </w:r>
      <w:r>
        <w:rPr>
          <w:rFonts w:ascii="Lucida Sans Unicode" w:hAnsi="Lucida Sans Unicode"/>
          <w:color w:val="FFFFFF"/>
          <w:spacing w:val="-3"/>
          <w:w w:val="95"/>
          <w:sz w:val="28"/>
        </w:rPr>
        <w:t>HOY</w:t>
      </w:r>
      <w:r>
        <w:rPr>
          <w:rFonts w:ascii="Lucida Sans Unicode" w:hAnsi="Lucida Sans Unicode"/>
          <w:color w:val="FFFFFF"/>
          <w:spacing w:val="-59"/>
          <w:w w:val="95"/>
          <w:sz w:val="28"/>
        </w:rPr>
        <w:t> </w:t>
      </w:r>
      <w:r>
        <w:rPr>
          <w:rFonts w:ascii="Lucida Sans Unicode" w:hAnsi="Lucida Sans Unicode"/>
          <w:color w:val="FFFFFF"/>
          <w:w w:val="95"/>
          <w:sz w:val="28"/>
        </w:rPr>
        <w:t>Y</w:t>
      </w:r>
      <w:r>
        <w:rPr>
          <w:rFonts w:ascii="Lucida Sans Unicode" w:hAnsi="Lucida Sans Unicode"/>
          <w:color w:val="FFFFFF"/>
          <w:spacing w:val="-59"/>
          <w:w w:val="95"/>
          <w:sz w:val="28"/>
        </w:rPr>
        <w:t> </w:t>
      </w:r>
      <w:r>
        <w:rPr>
          <w:rFonts w:ascii="Lucida Sans Unicode" w:hAnsi="Lucida Sans Unicode"/>
          <w:color w:val="FFFFFF"/>
          <w:w w:val="95"/>
          <w:sz w:val="28"/>
        </w:rPr>
        <w:t>MAÑANA</w:t>
      </w:r>
    </w:p>
    <w:p>
      <w:pPr>
        <w:pStyle w:val="BodyText"/>
        <w:rPr>
          <w:rFonts w:ascii="Lucida Sans Unicode"/>
          <w:sz w:val="28"/>
        </w:rPr>
      </w:pPr>
    </w:p>
    <w:p>
      <w:pPr>
        <w:pStyle w:val="BodyText"/>
        <w:rPr>
          <w:rFonts w:ascii="Lucida Sans Unicode"/>
          <w:sz w:val="28"/>
        </w:rPr>
      </w:pPr>
    </w:p>
    <w:p>
      <w:pPr>
        <w:pStyle w:val="BodyText"/>
        <w:spacing w:before="15"/>
        <w:rPr>
          <w:rFonts w:ascii="Lucida Sans Unicode"/>
          <w:sz w:val="34"/>
        </w:rPr>
      </w:pPr>
    </w:p>
    <w:p>
      <w:pPr>
        <w:spacing w:before="0"/>
        <w:ind w:left="3931" w:right="692" w:firstLine="0"/>
        <w:jc w:val="left"/>
        <w:rPr>
          <w:rFonts w:ascii="Calibri"/>
          <w:sz w:val="28"/>
        </w:rPr>
      </w:pPr>
      <w:r>
        <w:rPr>
          <w:rFonts w:ascii="Calibri"/>
          <w:color w:val="FFFFFF"/>
          <w:sz w:val="28"/>
        </w:rPr>
        <w:t>Pierangelo Schiera</w:t>
      </w:r>
    </w:p>
    <w:p>
      <w:pPr>
        <w:spacing w:after="0"/>
        <w:jc w:val="left"/>
        <w:rPr>
          <w:rFonts w:ascii="Calibri"/>
          <w:sz w:val="28"/>
        </w:rPr>
        <w:sectPr>
          <w:pgSz w:w="9640" w:h="13890"/>
          <w:pgMar w:top="116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6"/>
        </w:rPr>
      </w:pPr>
    </w:p>
    <w:p>
      <w:pPr>
        <w:pStyle w:val="BodyText"/>
        <w:spacing w:line="247" w:lineRule="auto" w:before="44"/>
        <w:ind w:left="1180" w:right="101"/>
        <w:jc w:val="both"/>
      </w:pPr>
      <w:r>
        <w:rPr/>
        <w:pict>
          <v:shape style="position:absolute;margin-left:82.218903pt;margin-top:5.736854pt;width:31.2pt;height:51pt;mso-position-horizontal-relative:page;mso-position-vertical-relative:paragraph;z-index:5176"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sz w:val="102"/>
                    </w:rPr>
                    <w:t>S</w:t>
                  </w:r>
                </w:p>
              </w:txbxContent>
            </v:textbox>
            <w10:wrap type="none"/>
          </v:shape>
        </w:pict>
      </w:r>
      <w:r>
        <w:rPr>
          <w:color w:val="231F20"/>
        </w:rPr>
        <w:t>i</w:t>
      </w:r>
      <w:r>
        <w:rPr>
          <w:color w:val="231F20"/>
          <w:spacing w:val="-5"/>
        </w:rPr>
        <w:t> </w:t>
      </w:r>
      <w:r>
        <w:rPr>
          <w:color w:val="231F20"/>
        </w:rPr>
        <w:t>se</w:t>
      </w:r>
      <w:r>
        <w:rPr>
          <w:color w:val="231F20"/>
          <w:spacing w:val="-5"/>
        </w:rPr>
        <w:t> </w:t>
      </w:r>
      <w:r>
        <w:rPr>
          <w:color w:val="231F20"/>
        </w:rPr>
        <w:t>quiere</w:t>
      </w:r>
      <w:r>
        <w:rPr>
          <w:color w:val="231F20"/>
          <w:spacing w:val="-5"/>
        </w:rPr>
        <w:t> </w:t>
      </w:r>
      <w:r>
        <w:rPr>
          <w:color w:val="231F20"/>
        </w:rPr>
        <w:t>hablar</w:t>
      </w:r>
      <w:r>
        <w:rPr>
          <w:color w:val="231F20"/>
          <w:spacing w:val="-5"/>
        </w:rPr>
        <w:t> </w:t>
      </w:r>
      <w:r>
        <w:rPr>
          <w:color w:val="231F20"/>
        </w:rPr>
        <w:t>del</w:t>
      </w:r>
      <w:r>
        <w:rPr>
          <w:color w:val="231F20"/>
          <w:spacing w:val="-5"/>
        </w:rPr>
        <w:t> </w:t>
      </w:r>
      <w:r>
        <w:rPr>
          <w:color w:val="231F20"/>
        </w:rPr>
        <w:t>Estado</w:t>
      </w:r>
      <w:r>
        <w:rPr>
          <w:color w:val="231F20"/>
          <w:spacing w:val="-5"/>
        </w:rPr>
        <w:t> </w:t>
      </w:r>
      <w:r>
        <w:rPr>
          <w:color w:val="231F20"/>
        </w:rPr>
        <w:t>del</w:t>
      </w:r>
      <w:r>
        <w:rPr>
          <w:color w:val="231F20"/>
          <w:spacing w:val="-5"/>
        </w:rPr>
        <w:t> </w:t>
      </w:r>
      <w:r>
        <w:rPr>
          <w:color w:val="231F20"/>
        </w:rPr>
        <w:t>futuro,</w:t>
      </w:r>
      <w:r>
        <w:rPr>
          <w:color w:val="231F20"/>
          <w:spacing w:val="-5"/>
        </w:rPr>
        <w:t> </w:t>
      </w:r>
      <w:r>
        <w:rPr>
          <w:color w:val="231F20"/>
        </w:rPr>
        <w:t>o</w:t>
      </w:r>
      <w:r>
        <w:rPr>
          <w:color w:val="231F20"/>
          <w:spacing w:val="-5"/>
        </w:rPr>
        <w:t> </w:t>
      </w:r>
      <w:r>
        <w:rPr>
          <w:color w:val="231F20"/>
        </w:rPr>
        <w:t>mejor</w:t>
      </w:r>
      <w:r>
        <w:rPr>
          <w:color w:val="231F20"/>
          <w:spacing w:val="-5"/>
        </w:rPr>
        <w:t> </w:t>
      </w:r>
      <w:r>
        <w:rPr>
          <w:color w:val="231F20"/>
        </w:rPr>
        <w:t>aún,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con- dición del Estado en el futuro, es </w:t>
      </w:r>
      <w:r>
        <w:rPr>
          <w:color w:val="231F20"/>
          <w:spacing w:val="-4"/>
        </w:rPr>
        <w:t>decir, </w:t>
      </w:r>
      <w:r>
        <w:rPr>
          <w:color w:val="231F20"/>
        </w:rPr>
        <w:t>de su crisis proclamada hace</w:t>
      </w:r>
      <w:r>
        <w:rPr>
          <w:color w:val="231F20"/>
          <w:spacing w:val="-9"/>
        </w:rPr>
        <w:t> </w:t>
      </w:r>
      <w:r>
        <w:rPr>
          <w:color w:val="231F20"/>
        </w:rPr>
        <w:t>más</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siglo,</w:t>
      </w:r>
      <w:r>
        <w:rPr>
          <w:color w:val="231F20"/>
          <w:spacing w:val="-9"/>
        </w:rPr>
        <w:t> </w:t>
      </w:r>
      <w:r>
        <w:rPr>
          <w:color w:val="231F20"/>
        </w:rPr>
        <w:t>la</w:t>
      </w:r>
      <w:r>
        <w:rPr>
          <w:color w:val="231F20"/>
          <w:spacing w:val="-9"/>
        </w:rPr>
        <w:t> </w:t>
      </w:r>
      <w:r>
        <w:rPr>
          <w:color w:val="231F20"/>
        </w:rPr>
        <w:t>mejor</w:t>
      </w:r>
      <w:r>
        <w:rPr>
          <w:color w:val="231F20"/>
          <w:spacing w:val="-9"/>
        </w:rPr>
        <w:t> </w:t>
      </w:r>
      <w:r>
        <w:rPr>
          <w:color w:val="231F20"/>
        </w:rPr>
        <w:t>perspectiva</w:t>
      </w:r>
      <w:r>
        <w:rPr>
          <w:color w:val="231F20"/>
          <w:spacing w:val="-9"/>
        </w:rPr>
        <w:t> </w:t>
      </w:r>
      <w:r>
        <w:rPr>
          <w:color w:val="231F20"/>
        </w:rPr>
        <w:t>histórica</w:t>
      </w:r>
      <w:r>
        <w:rPr>
          <w:color w:val="231F20"/>
          <w:spacing w:val="-9"/>
        </w:rPr>
        <w:t> </w:t>
      </w:r>
      <w:r>
        <w:rPr>
          <w:color w:val="231F20"/>
        </w:rPr>
        <w:t>para</w:t>
      </w:r>
      <w:r>
        <w:rPr>
          <w:color w:val="231F20"/>
          <w:spacing w:val="-9"/>
        </w:rPr>
        <w:t> </w:t>
      </w:r>
      <w:r>
        <w:rPr>
          <w:color w:val="231F20"/>
        </w:rPr>
        <w:t>hacer- lo no es la de considerar la situación en su periodo de floreci- miento (entre los siglos </w:t>
      </w:r>
      <w:r>
        <w:rPr>
          <w:color w:val="231F20"/>
          <w:sz w:val="18"/>
        </w:rPr>
        <w:t>XVII </w:t>
      </w:r>
      <w:r>
        <w:rPr>
          <w:color w:val="231F20"/>
        </w:rPr>
        <w:t>y </w:t>
      </w:r>
      <w:r>
        <w:rPr>
          <w:color w:val="231F20"/>
          <w:sz w:val="18"/>
        </w:rPr>
        <w:t>XX</w:t>
      </w:r>
      <w:r>
        <w:rPr>
          <w:color w:val="231F20"/>
        </w:rPr>
        <w:t>), sino la de intentar</w:t>
      </w:r>
      <w:r>
        <w:rPr>
          <w:color w:val="231F20"/>
          <w:spacing w:val="24"/>
        </w:rPr>
        <w:t> </w:t>
      </w:r>
      <w:r>
        <w:rPr>
          <w:color w:val="231F20"/>
        </w:rPr>
        <w:t>colocarse</w:t>
      </w:r>
    </w:p>
    <w:p>
      <w:pPr>
        <w:pStyle w:val="BodyText"/>
        <w:spacing w:line="247" w:lineRule="auto"/>
        <w:ind w:left="117" w:right="101"/>
        <w:jc w:val="both"/>
      </w:pPr>
      <w:r>
        <w:rPr>
          <w:color w:val="231F20"/>
        </w:rPr>
        <w:t>antes de éste, es decir a partir de las “estructuras pre–estatales y</w:t>
      </w:r>
      <w:r>
        <w:rPr>
          <w:color w:val="231F20"/>
          <w:spacing w:val="-30"/>
        </w:rPr>
        <w:t> </w:t>
      </w:r>
      <w:r>
        <w:rPr>
          <w:color w:val="231F20"/>
        </w:rPr>
        <w:t>pre–mo- dernas”</w:t>
      </w:r>
      <w:r>
        <w:rPr>
          <w:color w:val="231F20"/>
          <w:position w:val="7"/>
          <w:sz w:val="12"/>
        </w:rPr>
        <w:t>1</w:t>
      </w:r>
      <w:r>
        <w:rPr>
          <w:color w:val="231F20"/>
        </w:rPr>
        <w:t>. En efecto, creo que la llamada crisis del Estado es la crisis de la huella unitaria, centralizada y monolítica que el “Estado (moderno)”</w:t>
      </w:r>
      <w:r>
        <w:rPr>
          <w:color w:val="231F20"/>
          <w:position w:val="7"/>
          <w:sz w:val="12"/>
        </w:rPr>
        <w:t>2 </w:t>
      </w:r>
      <w:r>
        <w:rPr>
          <w:color w:val="231F20"/>
        </w:rPr>
        <w:t>se ha venido construyendo en su periodo histórico más alto: el del absolutismo de los siglos </w:t>
      </w:r>
      <w:r>
        <w:rPr>
          <w:color w:val="231F20"/>
          <w:sz w:val="18"/>
        </w:rPr>
        <w:t>XVII </w:t>
      </w:r>
      <w:r>
        <w:rPr>
          <w:color w:val="231F20"/>
        </w:rPr>
        <w:t>y </w:t>
      </w:r>
      <w:r>
        <w:rPr>
          <w:color w:val="231F20"/>
          <w:sz w:val="18"/>
        </w:rPr>
        <w:t>XVIII</w:t>
      </w:r>
      <w:r>
        <w:rPr>
          <w:color w:val="231F20"/>
        </w:rPr>
        <w:t>. Después, con la Revolución, vencieron </w:t>
      </w:r>
      <w:r>
        <w:rPr>
          <w:rFonts w:ascii="Arial" w:hAnsi="Arial"/>
          <w:i/>
          <w:color w:val="231F20"/>
        </w:rPr>
        <w:t>Liberté </w:t>
      </w:r>
      <w:r>
        <w:rPr>
          <w:color w:val="231F20"/>
        </w:rPr>
        <w:t>y Égalité, debidamente registradas en las Cartas constitucionales; pero con el dominio burgués el sistema estatal se ha endurecido, volviéndose ten- dencialmente monolítico, es </w:t>
      </w:r>
      <w:r>
        <w:rPr>
          <w:color w:val="231F20"/>
          <w:spacing w:val="-4"/>
        </w:rPr>
        <w:t>decir, </w:t>
      </w:r>
      <w:r>
        <w:rPr>
          <w:color w:val="231F20"/>
        </w:rPr>
        <w:t>de clase. </w:t>
      </w:r>
      <w:r>
        <w:rPr>
          <w:color w:val="231F20"/>
          <w:spacing w:val="-5"/>
        </w:rPr>
        <w:t>Tanto </w:t>
      </w:r>
      <w:r>
        <w:rPr>
          <w:color w:val="231F20"/>
        </w:rPr>
        <w:t>que, como se sabe, la tensión entre democracia liberal y prestación administrativa y burocrática (la jaula de hierro de Weber) ha conducido al producto principal del siglo </w:t>
      </w:r>
      <w:r>
        <w:rPr>
          <w:color w:val="231F20"/>
          <w:sz w:val="18"/>
        </w:rPr>
        <w:t>XX </w:t>
      </w:r>
      <w:r>
        <w:rPr>
          <w:color w:val="231F20"/>
        </w:rPr>
        <w:t>político: el</w:t>
      </w:r>
      <w:r>
        <w:rPr>
          <w:color w:val="231F20"/>
          <w:spacing w:val="27"/>
        </w:rPr>
        <w:t> </w:t>
      </w:r>
      <w:r>
        <w:rPr>
          <w:color w:val="231F20"/>
        </w:rPr>
        <w:t>totalitarismo.</w:t>
      </w:r>
    </w:p>
    <w:p>
      <w:pPr>
        <w:pStyle w:val="BodyText"/>
        <w:spacing w:line="247" w:lineRule="auto"/>
        <w:ind w:left="117" w:right="101" w:firstLine="566"/>
        <w:jc w:val="both"/>
      </w:pPr>
      <w:r>
        <w:rPr>
          <w:color w:val="231F20"/>
          <w:w w:val="105"/>
        </w:rPr>
        <w:t>El</w:t>
      </w:r>
      <w:r>
        <w:rPr>
          <w:color w:val="231F20"/>
          <w:spacing w:val="-20"/>
          <w:w w:val="105"/>
        </w:rPr>
        <w:t> </w:t>
      </w:r>
      <w:r>
        <w:rPr>
          <w:color w:val="231F20"/>
          <w:w w:val="105"/>
        </w:rPr>
        <w:t>fenómeno–Estado</w:t>
      </w:r>
      <w:r>
        <w:rPr>
          <w:color w:val="231F20"/>
          <w:spacing w:val="-20"/>
          <w:w w:val="105"/>
        </w:rPr>
        <w:t> </w:t>
      </w:r>
      <w:r>
        <w:rPr>
          <w:color w:val="231F20"/>
          <w:w w:val="105"/>
        </w:rPr>
        <w:t>al</w:t>
      </w:r>
      <w:r>
        <w:rPr>
          <w:color w:val="231F20"/>
          <w:spacing w:val="-20"/>
          <w:w w:val="105"/>
        </w:rPr>
        <w:t> </w:t>
      </w:r>
      <w:r>
        <w:rPr>
          <w:color w:val="231F20"/>
          <w:w w:val="105"/>
        </w:rPr>
        <w:t>cual</w:t>
      </w:r>
      <w:r>
        <w:rPr>
          <w:color w:val="231F20"/>
          <w:spacing w:val="-20"/>
          <w:w w:val="105"/>
        </w:rPr>
        <w:t> </w:t>
      </w:r>
      <w:r>
        <w:rPr>
          <w:color w:val="231F20"/>
          <w:w w:val="105"/>
        </w:rPr>
        <w:t>evocar</w:t>
      </w:r>
      <w:r>
        <w:rPr>
          <w:color w:val="231F20"/>
          <w:spacing w:val="-20"/>
          <w:w w:val="105"/>
        </w:rPr>
        <w:t> </w:t>
      </w:r>
      <w:r>
        <w:rPr>
          <w:color w:val="231F20"/>
          <w:w w:val="105"/>
        </w:rPr>
        <w:t>para</w:t>
      </w:r>
      <w:r>
        <w:rPr>
          <w:color w:val="231F20"/>
          <w:spacing w:val="-20"/>
          <w:w w:val="105"/>
        </w:rPr>
        <w:t> </w:t>
      </w:r>
      <w:r>
        <w:rPr>
          <w:color w:val="231F20"/>
          <w:w w:val="105"/>
        </w:rPr>
        <w:t>tener</w:t>
      </w:r>
      <w:r>
        <w:rPr>
          <w:color w:val="231F20"/>
          <w:spacing w:val="-20"/>
          <w:w w:val="105"/>
        </w:rPr>
        <w:t> </w:t>
      </w:r>
      <w:r>
        <w:rPr>
          <w:color w:val="231F20"/>
          <w:w w:val="105"/>
        </w:rPr>
        <w:t>la</w:t>
      </w:r>
      <w:r>
        <w:rPr>
          <w:color w:val="231F20"/>
          <w:spacing w:val="-20"/>
          <w:w w:val="105"/>
        </w:rPr>
        <w:t> </w:t>
      </w:r>
      <w:r>
        <w:rPr>
          <w:color w:val="231F20"/>
          <w:w w:val="105"/>
        </w:rPr>
        <w:t>mejor</w:t>
      </w:r>
      <w:r>
        <w:rPr>
          <w:color w:val="231F20"/>
          <w:spacing w:val="-20"/>
          <w:w w:val="105"/>
        </w:rPr>
        <w:t> </w:t>
      </w:r>
      <w:r>
        <w:rPr>
          <w:color w:val="231F20"/>
          <w:w w:val="105"/>
        </w:rPr>
        <w:t>prospectiva para</w:t>
      </w:r>
      <w:r>
        <w:rPr>
          <w:color w:val="231F20"/>
          <w:spacing w:val="-34"/>
          <w:w w:val="105"/>
        </w:rPr>
        <w:t> </w:t>
      </w:r>
      <w:r>
        <w:rPr>
          <w:color w:val="231F20"/>
          <w:w w:val="105"/>
        </w:rPr>
        <w:t>nuestro</w:t>
      </w:r>
      <w:r>
        <w:rPr>
          <w:color w:val="231F20"/>
          <w:spacing w:val="-34"/>
          <w:w w:val="105"/>
        </w:rPr>
        <w:t> </w:t>
      </w:r>
      <w:r>
        <w:rPr>
          <w:color w:val="231F20"/>
          <w:w w:val="105"/>
        </w:rPr>
        <w:t>futuro,</w:t>
      </w:r>
      <w:r>
        <w:rPr>
          <w:color w:val="231F20"/>
          <w:spacing w:val="-34"/>
          <w:w w:val="105"/>
        </w:rPr>
        <w:t> </w:t>
      </w:r>
      <w:r>
        <w:rPr>
          <w:color w:val="231F20"/>
          <w:w w:val="105"/>
        </w:rPr>
        <w:t>para</w:t>
      </w:r>
      <w:r>
        <w:rPr>
          <w:color w:val="231F20"/>
          <w:spacing w:val="-34"/>
          <w:w w:val="105"/>
        </w:rPr>
        <w:t> </w:t>
      </w:r>
      <w:r>
        <w:rPr>
          <w:color w:val="231F20"/>
          <w:w w:val="105"/>
        </w:rPr>
        <w:t>el</w:t>
      </w:r>
      <w:r>
        <w:rPr>
          <w:color w:val="231F20"/>
          <w:spacing w:val="-34"/>
          <w:w w:val="105"/>
        </w:rPr>
        <w:t> </w:t>
      </w:r>
      <w:r>
        <w:rPr>
          <w:color w:val="231F20"/>
          <w:w w:val="105"/>
        </w:rPr>
        <w:t>futuro</w:t>
      </w:r>
      <w:r>
        <w:rPr>
          <w:color w:val="231F20"/>
          <w:spacing w:val="-34"/>
          <w:w w:val="105"/>
        </w:rPr>
        <w:t> </w:t>
      </w:r>
      <w:r>
        <w:rPr>
          <w:color w:val="231F20"/>
          <w:w w:val="105"/>
        </w:rPr>
        <w:t>de</w:t>
      </w:r>
      <w:r>
        <w:rPr>
          <w:color w:val="231F20"/>
          <w:spacing w:val="-34"/>
          <w:w w:val="105"/>
        </w:rPr>
        <w:t> </w:t>
      </w:r>
      <w:r>
        <w:rPr>
          <w:color w:val="231F20"/>
          <w:w w:val="105"/>
        </w:rPr>
        <w:t>nuestro</w:t>
      </w:r>
      <w:r>
        <w:rPr>
          <w:color w:val="231F20"/>
          <w:spacing w:val="-34"/>
          <w:w w:val="105"/>
        </w:rPr>
        <w:t> </w:t>
      </w:r>
      <w:r>
        <w:rPr>
          <w:color w:val="231F20"/>
          <w:w w:val="105"/>
        </w:rPr>
        <w:t>Estado,</w:t>
      </w:r>
      <w:r>
        <w:rPr>
          <w:color w:val="231F20"/>
          <w:spacing w:val="-34"/>
          <w:w w:val="105"/>
        </w:rPr>
        <w:t> </w:t>
      </w:r>
      <w:r>
        <w:rPr>
          <w:color w:val="231F20"/>
          <w:w w:val="105"/>
        </w:rPr>
        <w:t>pues,</w:t>
      </w:r>
      <w:r>
        <w:rPr>
          <w:color w:val="231F20"/>
          <w:spacing w:val="-34"/>
          <w:w w:val="105"/>
        </w:rPr>
        <w:t> </w:t>
      </w:r>
      <w:r>
        <w:rPr>
          <w:color w:val="231F20"/>
          <w:w w:val="105"/>
        </w:rPr>
        <w:t>yo</w:t>
      </w:r>
      <w:r>
        <w:rPr>
          <w:color w:val="231F20"/>
          <w:spacing w:val="-34"/>
          <w:w w:val="105"/>
        </w:rPr>
        <w:t> </w:t>
      </w:r>
      <w:r>
        <w:rPr>
          <w:color w:val="231F20"/>
          <w:w w:val="105"/>
        </w:rPr>
        <w:t>lo</w:t>
      </w:r>
      <w:r>
        <w:rPr>
          <w:color w:val="231F20"/>
          <w:spacing w:val="-34"/>
          <w:w w:val="105"/>
        </w:rPr>
        <w:t> </w:t>
      </w:r>
      <w:r>
        <w:rPr>
          <w:color w:val="231F20"/>
          <w:w w:val="105"/>
        </w:rPr>
        <w:t>describía así,</w:t>
      </w:r>
      <w:r>
        <w:rPr>
          <w:color w:val="231F20"/>
          <w:spacing w:val="-30"/>
          <w:w w:val="105"/>
        </w:rPr>
        <w:t> </w:t>
      </w:r>
      <w:r>
        <w:rPr>
          <w:color w:val="231F20"/>
          <w:w w:val="105"/>
        </w:rPr>
        <w:t>en</w:t>
      </w:r>
      <w:r>
        <w:rPr>
          <w:color w:val="231F20"/>
          <w:spacing w:val="-30"/>
          <w:w w:val="105"/>
        </w:rPr>
        <w:t> </w:t>
      </w:r>
      <w:r>
        <w:rPr>
          <w:color w:val="231F20"/>
          <w:w w:val="105"/>
        </w:rPr>
        <w:t>resumen,</w:t>
      </w:r>
      <w:r>
        <w:rPr>
          <w:color w:val="231F20"/>
          <w:spacing w:val="-30"/>
          <w:w w:val="105"/>
        </w:rPr>
        <w:t> </w:t>
      </w:r>
      <w:r>
        <w:rPr>
          <w:color w:val="231F20"/>
          <w:w w:val="105"/>
        </w:rPr>
        <w:t>en</w:t>
      </w:r>
      <w:r>
        <w:rPr>
          <w:color w:val="231F20"/>
          <w:spacing w:val="-30"/>
          <w:w w:val="105"/>
        </w:rPr>
        <w:t> </w:t>
      </w:r>
      <w:r>
        <w:rPr>
          <w:color w:val="231F20"/>
          <w:w w:val="105"/>
        </w:rPr>
        <w:t>1994:</w:t>
      </w:r>
      <w:r>
        <w:rPr>
          <w:color w:val="231F20"/>
          <w:spacing w:val="-30"/>
          <w:w w:val="105"/>
        </w:rPr>
        <w:t> </w:t>
      </w:r>
      <w:r>
        <w:rPr>
          <w:color w:val="231F20"/>
          <w:w w:val="105"/>
        </w:rPr>
        <w:t>un</w:t>
      </w:r>
      <w:r>
        <w:rPr>
          <w:color w:val="231F20"/>
          <w:spacing w:val="-30"/>
          <w:w w:val="105"/>
        </w:rPr>
        <w:t> </w:t>
      </w:r>
      <w:r>
        <w:rPr>
          <w:color w:val="231F20"/>
          <w:w w:val="105"/>
        </w:rPr>
        <w:t>proceso</w:t>
      </w:r>
      <w:r>
        <w:rPr>
          <w:color w:val="231F20"/>
          <w:spacing w:val="-30"/>
          <w:w w:val="105"/>
        </w:rPr>
        <w:t> </w:t>
      </w:r>
      <w:r>
        <w:rPr>
          <w:color w:val="231F20"/>
          <w:w w:val="105"/>
        </w:rPr>
        <w:t>de</w:t>
      </w:r>
      <w:r>
        <w:rPr>
          <w:color w:val="231F20"/>
          <w:spacing w:val="-30"/>
          <w:w w:val="105"/>
        </w:rPr>
        <w:t> </w:t>
      </w:r>
      <w:r>
        <w:rPr>
          <w:color w:val="231F20"/>
          <w:w w:val="105"/>
        </w:rPr>
        <w:t>estatización</w:t>
      </w:r>
      <w:r>
        <w:rPr>
          <w:color w:val="231F20"/>
          <w:spacing w:val="-30"/>
          <w:w w:val="105"/>
        </w:rPr>
        <w:t> </w:t>
      </w:r>
      <w:r>
        <w:rPr>
          <w:color w:val="231F20"/>
          <w:w w:val="105"/>
        </w:rPr>
        <w:t>“[…]</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w w:val="105"/>
        </w:rPr>
        <w:t>cual</w:t>
      </w:r>
      <w:r>
        <w:rPr>
          <w:color w:val="231F20"/>
          <w:spacing w:val="-30"/>
          <w:w w:val="105"/>
        </w:rPr>
        <w:t> </w:t>
      </w:r>
      <w:r>
        <w:rPr>
          <w:color w:val="231F20"/>
          <w:w w:val="105"/>
        </w:rPr>
        <w:t>el</w:t>
      </w:r>
      <w:r>
        <w:rPr>
          <w:color w:val="231F20"/>
          <w:spacing w:val="-30"/>
          <w:w w:val="105"/>
        </w:rPr>
        <w:t> </w:t>
      </w:r>
      <w:r>
        <w:rPr>
          <w:color w:val="231F20"/>
          <w:w w:val="105"/>
        </w:rPr>
        <w:t>ca- rácter</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unidad</w:t>
      </w:r>
      <w:r>
        <w:rPr>
          <w:color w:val="231F20"/>
          <w:spacing w:val="-18"/>
          <w:w w:val="105"/>
        </w:rPr>
        <w:t> </w:t>
      </w:r>
      <w:r>
        <w:rPr>
          <w:color w:val="231F20"/>
          <w:w w:val="105"/>
        </w:rPr>
        <w:t>tendencial</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forma</w:t>
      </w:r>
      <w:r>
        <w:rPr>
          <w:color w:val="231F20"/>
          <w:spacing w:val="-18"/>
          <w:w w:val="105"/>
        </w:rPr>
        <w:t> </w:t>
      </w:r>
      <w:r>
        <w:rPr>
          <w:color w:val="231F20"/>
          <w:w w:val="105"/>
        </w:rPr>
        <w:t>de</w:t>
      </w:r>
      <w:r>
        <w:rPr>
          <w:color w:val="231F20"/>
          <w:spacing w:val="-18"/>
          <w:w w:val="105"/>
        </w:rPr>
        <w:t> </w:t>
      </w:r>
      <w:r>
        <w:rPr>
          <w:color w:val="231F20"/>
          <w:w w:val="105"/>
        </w:rPr>
        <w:t>gobierno</w:t>
      </w:r>
      <w:r>
        <w:rPr>
          <w:color w:val="231F20"/>
          <w:spacing w:val="-18"/>
          <w:w w:val="105"/>
        </w:rPr>
        <w:t> </w:t>
      </w:r>
      <w:r>
        <w:rPr>
          <w:color w:val="231F20"/>
          <w:w w:val="105"/>
        </w:rPr>
        <w:t>sobre</w:t>
      </w:r>
      <w:r>
        <w:rPr>
          <w:color w:val="231F20"/>
          <w:spacing w:val="-18"/>
          <w:w w:val="105"/>
        </w:rPr>
        <w:t> </w:t>
      </w:r>
      <w:r>
        <w:rPr>
          <w:color w:val="231F20"/>
          <w:w w:val="105"/>
        </w:rPr>
        <w:t>un</w:t>
      </w:r>
      <w:r>
        <w:rPr>
          <w:color w:val="231F20"/>
          <w:spacing w:val="-18"/>
          <w:w w:val="105"/>
        </w:rPr>
        <w:t> </w:t>
      </w:r>
      <w:r>
        <w:rPr>
          <w:color w:val="231F20"/>
          <w:w w:val="105"/>
        </w:rPr>
        <w:t>determi- nado</w:t>
      </w:r>
      <w:r>
        <w:rPr>
          <w:color w:val="231F20"/>
          <w:spacing w:val="-26"/>
          <w:w w:val="105"/>
        </w:rPr>
        <w:t> </w:t>
      </w:r>
      <w:r>
        <w:rPr>
          <w:color w:val="231F20"/>
          <w:w w:val="105"/>
        </w:rPr>
        <w:t>territorio,</w:t>
      </w:r>
      <w:r>
        <w:rPr>
          <w:color w:val="231F20"/>
          <w:spacing w:val="-26"/>
          <w:w w:val="105"/>
        </w:rPr>
        <w:t> </w:t>
      </w:r>
      <w:r>
        <w:rPr>
          <w:color w:val="231F20"/>
          <w:w w:val="105"/>
        </w:rPr>
        <w:t>con</w:t>
      </w:r>
      <w:r>
        <w:rPr>
          <w:color w:val="231F20"/>
          <w:spacing w:val="-26"/>
          <w:w w:val="105"/>
        </w:rPr>
        <w:t> </w:t>
      </w:r>
      <w:r>
        <w:rPr>
          <w:color w:val="231F20"/>
          <w:w w:val="105"/>
        </w:rPr>
        <w:t>los</w:t>
      </w:r>
      <w:r>
        <w:rPr>
          <w:color w:val="231F20"/>
          <w:spacing w:val="-26"/>
          <w:w w:val="105"/>
        </w:rPr>
        <w:t> </w:t>
      </w:r>
      <w:r>
        <w:rPr>
          <w:color w:val="231F20"/>
          <w:w w:val="105"/>
        </w:rPr>
        <w:t>corolarios</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uniformidad</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comportamien- tos</w:t>
      </w:r>
      <w:r>
        <w:rPr>
          <w:color w:val="231F20"/>
          <w:spacing w:val="-18"/>
          <w:w w:val="105"/>
        </w:rPr>
        <w:t> </w:t>
      </w:r>
      <w:r>
        <w:rPr>
          <w:color w:val="231F20"/>
          <w:w w:val="105"/>
        </w:rPr>
        <w:t>políticos,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racionalización</w:t>
      </w:r>
      <w:r>
        <w:rPr>
          <w:color w:val="231F20"/>
          <w:spacing w:val="-18"/>
          <w:w w:val="105"/>
        </w:rPr>
        <w:t> </w:t>
      </w:r>
      <w:r>
        <w:rPr>
          <w:color w:val="231F20"/>
          <w:w w:val="105"/>
        </w:rPr>
        <w:t>institucional</w:t>
      </w:r>
      <w:r>
        <w:rPr>
          <w:color w:val="231F20"/>
          <w:spacing w:val="-18"/>
          <w:w w:val="105"/>
        </w:rPr>
        <w:t> </w:t>
      </w:r>
      <w:r>
        <w:rPr>
          <w:color w:val="231F20"/>
          <w:w w:val="105"/>
        </w:rPr>
        <w:t>y</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burocratización</w:t>
      </w:r>
      <w:r>
        <w:rPr>
          <w:color w:val="231F20"/>
          <w:spacing w:val="-18"/>
          <w:w w:val="105"/>
        </w:rPr>
        <w:t> </w:t>
      </w:r>
      <w:r>
        <w:rPr>
          <w:color w:val="231F20"/>
          <w:w w:val="105"/>
        </w:rPr>
        <w:t>del</w:t>
      </w:r>
    </w:p>
    <w:p>
      <w:pPr>
        <w:pStyle w:val="BodyText"/>
        <w:rPr>
          <w:sz w:val="20"/>
        </w:rPr>
      </w:pPr>
    </w:p>
    <w:p>
      <w:pPr>
        <w:pStyle w:val="BodyText"/>
        <w:rPr>
          <w:sz w:val="20"/>
        </w:rPr>
      </w:pPr>
    </w:p>
    <w:p>
      <w:pPr>
        <w:pStyle w:val="BodyText"/>
        <w:rPr>
          <w:sz w:val="20"/>
        </w:rPr>
      </w:pPr>
    </w:p>
    <w:p>
      <w:pPr>
        <w:pStyle w:val="BodyText"/>
        <w:spacing w:before="2"/>
        <w:rPr>
          <w:sz w:val="11"/>
        </w:rPr>
      </w:pPr>
      <w:r>
        <w:rPr/>
        <w:pict>
          <v:line style="position:absolute;mso-position-horizontal-relative:page;mso-position-vertical-relative:paragraph;z-index:5152;mso-wrap-distance-left:0;mso-wrap-distance-right:0" from="70.866096pt,8.85985pt" to="184.252096pt,8.85985pt" stroked="true" strokeweight=".3pt" strokecolor="#231f20">
            <w10:wrap type="topAndBottom"/>
          </v:line>
        </w:pict>
      </w:r>
    </w:p>
    <w:p>
      <w:pPr>
        <w:spacing w:line="204" w:lineRule="exact" w:before="8"/>
        <w:ind w:left="117" w:right="101" w:firstLine="0"/>
        <w:jc w:val="both"/>
        <w:rPr>
          <w:rFonts w:ascii="Calibri" w:hAnsi="Calibri"/>
          <w:sz w:val="17"/>
        </w:rPr>
      </w:pPr>
      <w:r>
        <w:rPr>
          <w:rFonts w:ascii="Calibri" w:hAnsi="Calibri"/>
          <w:color w:val="231F20"/>
          <w:position w:val="6"/>
          <w:sz w:val="10"/>
        </w:rPr>
        <w:t>1  </w:t>
      </w:r>
      <w:r>
        <w:rPr>
          <w:rFonts w:ascii="Calibri" w:hAnsi="Calibri"/>
          <w:color w:val="231F20"/>
          <w:sz w:val="17"/>
        </w:rPr>
        <w:t>Como las ha llamado mi esposa Giuliana Nobili en la traducción (1983) del título de la obra de  Otto Brunner </w:t>
      </w:r>
      <w:r>
        <w:rPr>
          <w:rFonts w:ascii="Calibri" w:hAnsi="Calibri"/>
          <w:i/>
          <w:color w:val="231F20"/>
          <w:sz w:val="17"/>
        </w:rPr>
        <w:t>Land und Herrschaft. Grundfragen der territorialen Verfassungsgeschichte Österreichs </w:t>
      </w:r>
      <w:r>
        <w:rPr>
          <w:rFonts w:ascii="Calibri" w:hAnsi="Calibri"/>
          <w:i/>
          <w:color w:val="231F20"/>
          <w:sz w:val="17"/>
        </w:rPr>
        <w:t>im Mittelater </w:t>
      </w:r>
      <w:r>
        <w:rPr>
          <w:rFonts w:ascii="Calibri" w:hAnsi="Calibri"/>
          <w:color w:val="231F20"/>
          <w:sz w:val="17"/>
        </w:rPr>
        <w:t>(1939): G. Nobili Schiera, </w:t>
      </w:r>
      <w:r>
        <w:rPr>
          <w:rFonts w:ascii="Calibri" w:hAnsi="Calibri"/>
          <w:color w:val="231F20"/>
          <w:spacing w:val="-10"/>
          <w:sz w:val="17"/>
        </w:rPr>
        <w:t>“A </w:t>
      </w:r>
      <w:r>
        <w:rPr>
          <w:rFonts w:ascii="Calibri" w:hAnsi="Calibri"/>
          <w:color w:val="231F20"/>
          <w:sz w:val="17"/>
        </w:rPr>
        <w:t>proposito della traduzione recente di un’opera di Otto Brunner”, G. Nobili Schiera, </w:t>
      </w:r>
      <w:r>
        <w:rPr>
          <w:rFonts w:ascii="Calibri" w:hAnsi="Calibri"/>
          <w:i/>
          <w:color w:val="231F20"/>
          <w:spacing w:val="-5"/>
          <w:sz w:val="17"/>
        </w:rPr>
        <w:t>Tre </w:t>
      </w:r>
      <w:r>
        <w:rPr>
          <w:rFonts w:ascii="Calibri" w:hAnsi="Calibri"/>
          <w:i/>
          <w:color w:val="231F20"/>
          <w:sz w:val="17"/>
        </w:rPr>
        <w:t>scritti</w:t>
      </w:r>
      <w:r>
        <w:rPr>
          <w:rFonts w:ascii="Calibri" w:hAnsi="Calibri"/>
          <w:color w:val="231F20"/>
          <w:sz w:val="17"/>
        </w:rPr>
        <w:t>, </w:t>
      </w:r>
      <w:r>
        <w:rPr>
          <w:rFonts w:ascii="Calibri" w:hAnsi="Calibri"/>
          <w:color w:val="231F20"/>
          <w:spacing w:val="-3"/>
          <w:sz w:val="17"/>
        </w:rPr>
        <w:t>Trento, </w:t>
      </w:r>
      <w:r>
        <w:rPr>
          <w:rFonts w:ascii="Calibri" w:hAnsi="Calibri"/>
          <w:color w:val="231F20"/>
          <w:sz w:val="17"/>
        </w:rPr>
        <w:t>Fondazione Bruno Kessler Press,  </w:t>
      </w:r>
      <w:r>
        <w:rPr>
          <w:rFonts w:ascii="Calibri" w:hAnsi="Calibri"/>
          <w:color w:val="231F20"/>
          <w:spacing w:val="11"/>
          <w:sz w:val="17"/>
        </w:rPr>
        <w:t> </w:t>
      </w:r>
      <w:r>
        <w:rPr>
          <w:rFonts w:ascii="Calibri" w:hAnsi="Calibri"/>
          <w:color w:val="231F20"/>
          <w:sz w:val="17"/>
        </w:rPr>
        <w:t>2015.</w:t>
      </w:r>
    </w:p>
    <w:p>
      <w:pPr>
        <w:spacing w:line="204" w:lineRule="exact" w:before="0"/>
        <w:ind w:left="117" w:right="101" w:firstLine="0"/>
        <w:jc w:val="both"/>
        <w:rPr>
          <w:rFonts w:ascii="Calibri" w:hAnsi="Calibri"/>
          <w:sz w:val="17"/>
        </w:rPr>
      </w:pPr>
      <w:r>
        <w:rPr>
          <w:rFonts w:ascii="Calibri" w:hAnsi="Calibri"/>
          <w:color w:val="231F20"/>
          <w:position w:val="6"/>
          <w:sz w:val="10"/>
        </w:rPr>
        <w:t>2 </w:t>
      </w:r>
      <w:r>
        <w:rPr>
          <w:rFonts w:ascii="Calibri" w:hAnsi="Calibri"/>
          <w:color w:val="231F20"/>
          <w:sz w:val="17"/>
        </w:rPr>
        <w:t>Es esta la expresión gráfica usada por mi Maestro Gianfranco Miglio (</w:t>
      </w:r>
      <w:r>
        <w:rPr>
          <w:rFonts w:ascii="Calibri" w:hAnsi="Calibri"/>
          <w:i/>
          <w:color w:val="231F20"/>
          <w:sz w:val="17"/>
        </w:rPr>
        <w:t>Genesi e trasformazioni del </w:t>
      </w:r>
      <w:r>
        <w:rPr>
          <w:rFonts w:ascii="Calibri" w:hAnsi="Calibri"/>
          <w:i/>
          <w:color w:val="231F20"/>
          <w:sz w:val="17"/>
        </w:rPr>
        <w:t>termine</w:t>
      </w:r>
      <w:r>
        <w:rPr>
          <w:rFonts w:ascii="Calibri" w:hAnsi="Calibri"/>
          <w:color w:val="231F20"/>
          <w:sz w:val="17"/>
        </w:rPr>
        <w:t>–</w:t>
      </w:r>
      <w:r>
        <w:rPr>
          <w:rFonts w:ascii="Calibri" w:hAnsi="Calibri"/>
          <w:i/>
          <w:color w:val="231F20"/>
          <w:sz w:val="17"/>
        </w:rPr>
        <w:t>concetto ‘Stato’ </w:t>
      </w:r>
      <w:r>
        <w:rPr>
          <w:rFonts w:ascii="Calibri" w:hAnsi="Calibri"/>
          <w:color w:val="231F20"/>
          <w:sz w:val="17"/>
        </w:rPr>
        <w:t>[1 981], Brescia 2007) para distinguir la forma de organización del poder sobre la que estamos tratando de cualquier otra forma histórica de este último.</w:t>
      </w:r>
    </w:p>
    <w:p>
      <w:pPr>
        <w:spacing w:after="0" w:line="204" w:lineRule="exact"/>
        <w:jc w:val="both"/>
        <w:rPr>
          <w:rFonts w:ascii="Calibri" w:hAnsi="Calibri"/>
          <w:sz w:val="17"/>
        </w:rPr>
        <w:sectPr>
          <w:pgSz w:w="9640" w:h="13890"/>
          <w:pgMar w:top="1300" w:bottom="280" w:left="1300" w:right="1200"/>
        </w:sectPr>
      </w:pPr>
    </w:p>
    <w:p>
      <w:pPr>
        <w:pStyle w:val="BodyText"/>
        <w:spacing w:line="247" w:lineRule="auto" w:before="107"/>
        <w:ind w:left="103"/>
      </w:pPr>
      <w:r>
        <w:rPr>
          <w:color w:val="231F20"/>
          <w:w w:val="105"/>
        </w:rPr>
        <w:t>mando,</w:t>
      </w:r>
      <w:r>
        <w:rPr>
          <w:color w:val="231F20"/>
          <w:spacing w:val="-21"/>
          <w:w w:val="105"/>
        </w:rPr>
        <w:t> </w:t>
      </w:r>
      <w:r>
        <w:rPr>
          <w:color w:val="231F20"/>
          <w:w w:val="105"/>
        </w:rPr>
        <w:t>coexiste</w:t>
      </w:r>
      <w:r>
        <w:rPr>
          <w:color w:val="231F20"/>
          <w:spacing w:val="-21"/>
          <w:w w:val="105"/>
        </w:rPr>
        <w:t> </w:t>
      </w:r>
      <w:r>
        <w:rPr>
          <w:color w:val="231F20"/>
          <w:w w:val="105"/>
        </w:rPr>
        <w:t>y</w:t>
      </w:r>
      <w:r>
        <w:rPr>
          <w:color w:val="231F20"/>
          <w:spacing w:val="-21"/>
          <w:w w:val="105"/>
        </w:rPr>
        <w:t> </w:t>
      </w:r>
      <w:r>
        <w:rPr>
          <w:color w:val="231F20"/>
          <w:w w:val="105"/>
        </w:rPr>
        <w:t>lucha</w:t>
      </w:r>
      <w:r>
        <w:rPr>
          <w:color w:val="231F20"/>
          <w:spacing w:val="-21"/>
          <w:w w:val="105"/>
        </w:rPr>
        <w:t> </w:t>
      </w:r>
      <w:r>
        <w:rPr>
          <w:color w:val="231F20"/>
          <w:w w:val="105"/>
        </w:rPr>
        <w:t>con</w:t>
      </w:r>
      <w:r>
        <w:rPr>
          <w:color w:val="231F20"/>
          <w:spacing w:val="-21"/>
          <w:w w:val="105"/>
        </w:rPr>
        <w:t> </w:t>
      </w:r>
      <w:r>
        <w:rPr>
          <w:color w:val="231F20"/>
          <w:w w:val="105"/>
        </w:rPr>
        <w:t>el</w:t>
      </w:r>
      <w:r>
        <w:rPr>
          <w:color w:val="231F20"/>
          <w:spacing w:val="-21"/>
          <w:w w:val="105"/>
        </w:rPr>
        <w:t> </w:t>
      </w:r>
      <w:r>
        <w:rPr>
          <w:color w:val="231F20"/>
          <w:w w:val="105"/>
        </w:rPr>
        <w:t>carácter</w:t>
      </w:r>
      <w:r>
        <w:rPr>
          <w:color w:val="231F20"/>
          <w:spacing w:val="-21"/>
          <w:w w:val="105"/>
        </w:rPr>
        <w:t> </w:t>
      </w:r>
      <w:r>
        <w:rPr>
          <w:color w:val="231F20"/>
          <w:w w:val="105"/>
        </w:rPr>
        <w:t>alternativo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pluralidad</w:t>
      </w:r>
      <w:r>
        <w:rPr>
          <w:color w:val="231F20"/>
          <w:spacing w:val="-21"/>
          <w:w w:val="105"/>
        </w:rPr>
        <w:t> </w:t>
      </w:r>
      <w:r>
        <w:rPr>
          <w:color w:val="231F20"/>
          <w:w w:val="105"/>
        </w:rPr>
        <w:t>de</w:t>
      </w:r>
      <w:r>
        <w:rPr>
          <w:color w:val="231F20"/>
          <w:spacing w:val="-21"/>
          <w:w w:val="105"/>
        </w:rPr>
        <w:t> </w:t>
      </w:r>
      <w:r>
        <w:rPr>
          <w:color w:val="231F20"/>
          <w:w w:val="105"/>
        </w:rPr>
        <w:t>los ordenamientos</w:t>
      </w:r>
      <w:r>
        <w:rPr>
          <w:color w:val="231F20"/>
          <w:spacing w:val="-32"/>
          <w:w w:val="105"/>
        </w:rPr>
        <w:t> </w:t>
      </w:r>
      <w:r>
        <w:rPr>
          <w:color w:val="231F20"/>
          <w:w w:val="105"/>
        </w:rPr>
        <w:t>y</w:t>
      </w:r>
      <w:r>
        <w:rPr>
          <w:color w:val="231F20"/>
          <w:spacing w:val="-32"/>
          <w:w w:val="105"/>
        </w:rPr>
        <w:t> </w:t>
      </w:r>
      <w:r>
        <w:rPr>
          <w:color w:val="231F20"/>
          <w:w w:val="105"/>
        </w:rPr>
        <w:t>con</w:t>
      </w:r>
      <w:r>
        <w:rPr>
          <w:color w:val="231F20"/>
          <w:spacing w:val="-32"/>
          <w:w w:val="105"/>
        </w:rPr>
        <w:t> </w:t>
      </w:r>
      <w:r>
        <w:rPr>
          <w:color w:val="231F20"/>
          <w:w w:val="105"/>
        </w:rPr>
        <w:t>la</w:t>
      </w:r>
      <w:r>
        <w:rPr>
          <w:color w:val="231F20"/>
          <w:spacing w:val="-32"/>
          <w:w w:val="105"/>
        </w:rPr>
        <w:t> </w:t>
      </w:r>
      <w:r>
        <w:rPr>
          <w:color w:val="231F20"/>
          <w:w w:val="105"/>
        </w:rPr>
        <w:t>riqueza</w:t>
      </w:r>
      <w:r>
        <w:rPr>
          <w:color w:val="231F20"/>
          <w:spacing w:val="-32"/>
          <w:w w:val="105"/>
        </w:rPr>
        <w:t> </w:t>
      </w:r>
      <w:r>
        <w:rPr>
          <w:color w:val="231F20"/>
          <w:w w:val="105"/>
        </w:rPr>
        <w:t>de</w:t>
      </w:r>
      <w:r>
        <w:rPr>
          <w:color w:val="231F20"/>
          <w:spacing w:val="-32"/>
          <w:w w:val="105"/>
        </w:rPr>
        <w:t> </w:t>
      </w:r>
      <w:r>
        <w:rPr>
          <w:color w:val="231F20"/>
          <w:w w:val="105"/>
        </w:rPr>
        <w:t>las</w:t>
      </w:r>
      <w:r>
        <w:rPr>
          <w:color w:val="231F20"/>
          <w:spacing w:val="-32"/>
          <w:w w:val="105"/>
        </w:rPr>
        <w:t> </w:t>
      </w:r>
      <w:r>
        <w:rPr>
          <w:color w:val="231F20"/>
          <w:w w:val="105"/>
        </w:rPr>
        <w:t>presiones</w:t>
      </w:r>
      <w:r>
        <w:rPr>
          <w:color w:val="231F20"/>
          <w:spacing w:val="-32"/>
          <w:w w:val="105"/>
        </w:rPr>
        <w:t> </w:t>
      </w:r>
      <w:r>
        <w:rPr>
          <w:color w:val="231F20"/>
          <w:w w:val="105"/>
        </w:rPr>
        <w:t>sociales”</w:t>
      </w:r>
      <w:r>
        <w:rPr>
          <w:color w:val="231F20"/>
          <w:w w:val="105"/>
          <w:position w:val="7"/>
          <w:sz w:val="12"/>
        </w:rPr>
        <w:t>3</w:t>
      </w:r>
      <w:r>
        <w:rPr>
          <w:color w:val="231F20"/>
          <w:w w:val="105"/>
        </w:rPr>
        <w:t>.</w:t>
      </w:r>
    </w:p>
    <w:p>
      <w:pPr>
        <w:pStyle w:val="BodyText"/>
        <w:spacing w:line="247" w:lineRule="auto"/>
        <w:ind w:left="103" w:right="115" w:firstLine="566"/>
        <w:jc w:val="both"/>
      </w:pPr>
      <w:r>
        <w:rPr>
          <w:color w:val="231F20"/>
          <w:w w:val="105"/>
        </w:rPr>
        <w:t>La</w:t>
      </w:r>
      <w:r>
        <w:rPr>
          <w:color w:val="231F20"/>
          <w:spacing w:val="-20"/>
          <w:w w:val="105"/>
        </w:rPr>
        <w:t> </w:t>
      </w:r>
      <w:r>
        <w:rPr>
          <w:color w:val="231F20"/>
          <w:w w:val="105"/>
        </w:rPr>
        <w:t>situación,</w:t>
      </w:r>
      <w:r>
        <w:rPr>
          <w:color w:val="231F20"/>
          <w:spacing w:val="-20"/>
          <w:w w:val="105"/>
        </w:rPr>
        <w:t> </w:t>
      </w:r>
      <w:r>
        <w:rPr>
          <w:color w:val="231F20"/>
          <w:w w:val="105"/>
        </w:rPr>
        <w:t>en</w:t>
      </w:r>
      <w:r>
        <w:rPr>
          <w:color w:val="231F20"/>
          <w:spacing w:val="-20"/>
          <w:w w:val="105"/>
        </w:rPr>
        <w:t> </w:t>
      </w:r>
      <w:r>
        <w:rPr>
          <w:color w:val="231F20"/>
          <w:w w:val="105"/>
        </w:rPr>
        <w:t>cambio,</w:t>
      </w:r>
      <w:r>
        <w:rPr>
          <w:color w:val="231F20"/>
          <w:spacing w:val="-20"/>
          <w:w w:val="105"/>
        </w:rPr>
        <w:t> </w:t>
      </w:r>
      <w:r>
        <w:rPr>
          <w:color w:val="231F20"/>
          <w:w w:val="105"/>
        </w:rPr>
        <w:t>es</w:t>
      </w:r>
      <w:r>
        <w:rPr>
          <w:color w:val="231F20"/>
          <w:spacing w:val="-20"/>
          <w:w w:val="105"/>
        </w:rPr>
        <w:t> </w:t>
      </w:r>
      <w:r>
        <w:rPr>
          <w:color w:val="231F20"/>
          <w:w w:val="105"/>
        </w:rPr>
        <w:t>que</w:t>
      </w:r>
      <w:r>
        <w:rPr>
          <w:color w:val="231F20"/>
          <w:spacing w:val="-20"/>
          <w:w w:val="105"/>
        </w:rPr>
        <w:t> </w:t>
      </w:r>
      <w:r>
        <w:rPr>
          <w:color w:val="231F20"/>
          <w:w w:val="105"/>
        </w:rPr>
        <w:t>nuestra</w:t>
      </w:r>
      <w:r>
        <w:rPr>
          <w:color w:val="231F20"/>
          <w:spacing w:val="-20"/>
          <w:w w:val="105"/>
        </w:rPr>
        <w:t> </w:t>
      </w:r>
      <w:r>
        <w:rPr>
          <w:color w:val="231F20"/>
          <w:w w:val="105"/>
        </w:rPr>
        <w:t>visión</w:t>
      </w:r>
      <w:r>
        <w:rPr>
          <w:color w:val="231F20"/>
          <w:spacing w:val="-20"/>
          <w:w w:val="105"/>
        </w:rPr>
        <w:t> </w:t>
      </w:r>
      <w:r>
        <w:rPr>
          <w:color w:val="231F20"/>
          <w:w w:val="105"/>
        </w:rPr>
        <w:t>del</w:t>
      </w:r>
      <w:r>
        <w:rPr>
          <w:color w:val="231F20"/>
          <w:spacing w:val="-20"/>
          <w:w w:val="105"/>
        </w:rPr>
        <w:t> </w:t>
      </w:r>
      <w:r>
        <w:rPr>
          <w:color w:val="231F20"/>
          <w:w w:val="105"/>
        </w:rPr>
        <w:t>problema</w:t>
      </w:r>
      <w:r>
        <w:rPr>
          <w:color w:val="231F20"/>
          <w:spacing w:val="-20"/>
          <w:w w:val="105"/>
        </w:rPr>
        <w:t> </w:t>
      </w:r>
      <w:r>
        <w:rPr>
          <w:color w:val="231F20"/>
          <w:w w:val="105"/>
        </w:rPr>
        <w:t>Estado es</w:t>
      </w:r>
      <w:r>
        <w:rPr>
          <w:color w:val="231F20"/>
          <w:spacing w:val="-28"/>
          <w:w w:val="105"/>
        </w:rPr>
        <w:t> </w:t>
      </w:r>
      <w:r>
        <w:rPr>
          <w:color w:val="231F20"/>
          <w:w w:val="105"/>
        </w:rPr>
        <w:t>estrecha</w:t>
      </w:r>
      <w:r>
        <w:rPr>
          <w:color w:val="231F20"/>
          <w:spacing w:val="-28"/>
          <w:w w:val="105"/>
        </w:rPr>
        <w:t> </w:t>
      </w:r>
      <w:r>
        <w:rPr>
          <w:color w:val="231F20"/>
          <w:w w:val="105"/>
        </w:rPr>
        <w:t>y</w:t>
      </w:r>
      <w:r>
        <w:rPr>
          <w:color w:val="231F20"/>
          <w:spacing w:val="-28"/>
          <w:w w:val="105"/>
        </w:rPr>
        <w:t> </w:t>
      </w:r>
      <w:r>
        <w:rPr>
          <w:color w:val="231F20"/>
          <w:w w:val="105"/>
        </w:rPr>
        <w:t>plana</w:t>
      </w:r>
      <w:r>
        <w:rPr>
          <w:color w:val="231F20"/>
          <w:spacing w:val="-28"/>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w w:val="105"/>
        </w:rPr>
        <w:t>visión</w:t>
      </w:r>
      <w:r>
        <w:rPr>
          <w:color w:val="231F20"/>
          <w:spacing w:val="-28"/>
          <w:w w:val="105"/>
        </w:rPr>
        <w:t> </w:t>
      </w:r>
      <w:r>
        <w:rPr>
          <w:color w:val="231F20"/>
          <w:w w:val="105"/>
        </w:rPr>
        <w:t>liberal</w:t>
      </w:r>
      <w:r>
        <w:rPr>
          <w:color w:val="231F20"/>
          <w:spacing w:val="-28"/>
          <w:w w:val="105"/>
        </w:rPr>
        <w:t> </w:t>
      </w:r>
      <w:r>
        <w:rPr>
          <w:color w:val="231F20"/>
          <w:w w:val="105"/>
        </w:rPr>
        <w:t>del</w:t>
      </w:r>
      <w:r>
        <w:rPr>
          <w:color w:val="231F20"/>
          <w:spacing w:val="-28"/>
          <w:w w:val="105"/>
        </w:rPr>
        <w:t> </w:t>
      </w:r>
      <w:r>
        <w:rPr>
          <w:color w:val="231F20"/>
          <w:w w:val="105"/>
        </w:rPr>
        <w:t>mundo</w:t>
      </w:r>
      <w:r>
        <w:rPr>
          <w:color w:val="231F20"/>
          <w:spacing w:val="-28"/>
          <w:w w:val="105"/>
        </w:rPr>
        <w:t> </w:t>
      </w:r>
      <w:r>
        <w:rPr>
          <w:color w:val="231F20"/>
          <w:w w:val="105"/>
        </w:rPr>
        <w:t>que</w:t>
      </w:r>
      <w:r>
        <w:rPr>
          <w:color w:val="231F20"/>
          <w:spacing w:val="-28"/>
          <w:w w:val="105"/>
        </w:rPr>
        <w:t> </w:t>
      </w:r>
      <w:r>
        <w:rPr>
          <w:color w:val="231F20"/>
          <w:w w:val="105"/>
        </w:rPr>
        <w:t>conduce</w:t>
      </w:r>
      <w:r>
        <w:rPr>
          <w:color w:val="231F20"/>
          <w:spacing w:val="-28"/>
          <w:w w:val="105"/>
        </w:rPr>
        <w:t> </w:t>
      </w:r>
      <w:r>
        <w:rPr>
          <w:color w:val="231F20"/>
          <w:w w:val="105"/>
        </w:rPr>
        <w:t>todo</w:t>
      </w:r>
      <w:r>
        <w:rPr>
          <w:color w:val="231F20"/>
          <w:spacing w:val="-28"/>
          <w:w w:val="105"/>
        </w:rPr>
        <w:t> </w:t>
      </w:r>
      <w:r>
        <w:rPr>
          <w:color w:val="231F20"/>
          <w:w w:val="105"/>
        </w:rPr>
        <w:t>al</w:t>
      </w:r>
      <w:r>
        <w:rPr>
          <w:color w:val="231F20"/>
          <w:spacing w:val="-28"/>
          <w:w w:val="105"/>
        </w:rPr>
        <w:t> </w:t>
      </w:r>
      <w:r>
        <w:rPr>
          <w:color w:val="231F20"/>
          <w:w w:val="105"/>
        </w:rPr>
        <w:t>mo- delo</w:t>
      </w:r>
      <w:r>
        <w:rPr>
          <w:color w:val="231F20"/>
          <w:spacing w:val="-27"/>
          <w:w w:val="105"/>
        </w:rPr>
        <w:t> </w:t>
      </w:r>
      <w:r>
        <w:rPr>
          <w:color w:val="231F20"/>
          <w:w w:val="105"/>
        </w:rPr>
        <w:t>clásico</w:t>
      </w:r>
      <w:r>
        <w:rPr>
          <w:color w:val="231F20"/>
          <w:spacing w:val="-27"/>
          <w:w w:val="105"/>
        </w:rPr>
        <w:t> </w:t>
      </w:r>
      <w:r>
        <w:rPr>
          <w:color w:val="231F20"/>
          <w:w w:val="105"/>
        </w:rPr>
        <w:t>del</w:t>
      </w:r>
      <w:r>
        <w:rPr>
          <w:color w:val="231F20"/>
          <w:spacing w:val="-27"/>
          <w:w w:val="105"/>
        </w:rPr>
        <w:t> </w:t>
      </w:r>
      <w:r>
        <w:rPr>
          <w:color w:val="231F20"/>
          <w:w w:val="105"/>
        </w:rPr>
        <w:t>Estado</w:t>
      </w:r>
      <w:r>
        <w:rPr>
          <w:color w:val="231F20"/>
          <w:spacing w:val="-27"/>
          <w:w w:val="105"/>
        </w:rPr>
        <w:t> </w:t>
      </w:r>
      <w:r>
        <w:rPr>
          <w:color w:val="231F20"/>
          <w:w w:val="105"/>
        </w:rPr>
        <w:t>de</w:t>
      </w:r>
      <w:r>
        <w:rPr>
          <w:color w:val="231F20"/>
          <w:spacing w:val="-27"/>
          <w:w w:val="105"/>
        </w:rPr>
        <w:t> </w:t>
      </w:r>
      <w:r>
        <w:rPr>
          <w:color w:val="231F20"/>
          <w:w w:val="105"/>
        </w:rPr>
        <w:t>derecho,</w:t>
      </w:r>
      <w:r>
        <w:rPr>
          <w:color w:val="231F20"/>
          <w:spacing w:val="-27"/>
          <w:w w:val="105"/>
        </w:rPr>
        <w:t> </w:t>
      </w:r>
      <w:r>
        <w:rPr>
          <w:color w:val="231F20"/>
          <w:w w:val="105"/>
        </w:rPr>
        <w:t>de</w:t>
      </w:r>
      <w:r>
        <w:rPr>
          <w:color w:val="231F20"/>
          <w:spacing w:val="-27"/>
          <w:w w:val="105"/>
        </w:rPr>
        <w:t> </w:t>
      </w:r>
      <w:r>
        <w:rPr>
          <w:color w:val="231F20"/>
          <w:w w:val="105"/>
        </w:rPr>
        <w:t>exclusiva</w:t>
      </w:r>
      <w:r>
        <w:rPr>
          <w:color w:val="231F20"/>
          <w:spacing w:val="-27"/>
          <w:w w:val="105"/>
        </w:rPr>
        <w:t> </w:t>
      </w:r>
      <w:r>
        <w:rPr>
          <w:color w:val="231F20"/>
          <w:w w:val="105"/>
        </w:rPr>
        <w:t>connotación</w:t>
      </w:r>
      <w:r>
        <w:rPr>
          <w:color w:val="231F20"/>
          <w:spacing w:val="-27"/>
          <w:w w:val="105"/>
        </w:rPr>
        <w:t> </w:t>
      </w:r>
      <w:r>
        <w:rPr>
          <w:color w:val="231F20"/>
          <w:w w:val="105"/>
        </w:rPr>
        <w:t>parlamenta- ria,</w:t>
      </w:r>
      <w:r>
        <w:rPr>
          <w:color w:val="231F20"/>
          <w:spacing w:val="-36"/>
          <w:w w:val="105"/>
        </w:rPr>
        <w:t> </w:t>
      </w:r>
      <w:r>
        <w:rPr>
          <w:color w:val="231F20"/>
          <w:w w:val="105"/>
        </w:rPr>
        <w:t>con</w:t>
      </w:r>
      <w:r>
        <w:rPr>
          <w:color w:val="231F20"/>
          <w:spacing w:val="-36"/>
          <w:w w:val="105"/>
        </w:rPr>
        <w:t> </w:t>
      </w:r>
      <w:r>
        <w:rPr>
          <w:color w:val="231F20"/>
          <w:w w:val="105"/>
        </w:rPr>
        <w:t>una</w:t>
      </w:r>
      <w:r>
        <w:rPr>
          <w:color w:val="231F20"/>
          <w:spacing w:val="-36"/>
          <w:w w:val="105"/>
        </w:rPr>
        <w:t> </w:t>
      </w:r>
      <w:r>
        <w:rPr>
          <w:color w:val="231F20"/>
          <w:w w:val="105"/>
        </w:rPr>
        <w:t>eventual</w:t>
      </w:r>
      <w:r>
        <w:rPr>
          <w:color w:val="231F20"/>
          <w:spacing w:val="-36"/>
          <w:w w:val="105"/>
        </w:rPr>
        <w:t> </w:t>
      </w:r>
      <w:r>
        <w:rPr>
          <w:color w:val="231F20"/>
          <w:w w:val="105"/>
        </w:rPr>
        <w:t>apertura</w:t>
      </w:r>
      <w:r>
        <w:rPr>
          <w:color w:val="231F20"/>
          <w:spacing w:val="-36"/>
          <w:w w:val="105"/>
        </w:rPr>
        <w:t> </w:t>
      </w:r>
      <w:r>
        <w:rPr>
          <w:color w:val="231F20"/>
          <w:w w:val="105"/>
        </w:rPr>
        <w:t>al</w:t>
      </w:r>
      <w:r>
        <w:rPr>
          <w:color w:val="231F20"/>
          <w:spacing w:val="-36"/>
          <w:w w:val="105"/>
        </w:rPr>
        <w:t> </w:t>
      </w:r>
      <w:r>
        <w:rPr>
          <w:color w:val="231F20"/>
          <w:w w:val="105"/>
        </w:rPr>
        <w:t>carácter</w:t>
      </w:r>
      <w:r>
        <w:rPr>
          <w:color w:val="231F20"/>
          <w:spacing w:val="-36"/>
          <w:w w:val="105"/>
        </w:rPr>
        <w:t> </w:t>
      </w:r>
      <w:r>
        <w:rPr>
          <w:color w:val="231F20"/>
          <w:w w:val="105"/>
        </w:rPr>
        <w:t>democrático–social</w:t>
      </w:r>
      <w:r>
        <w:rPr>
          <w:color w:val="231F20"/>
          <w:spacing w:val="-36"/>
          <w:w w:val="105"/>
        </w:rPr>
        <w:t> </w:t>
      </w:r>
      <w:r>
        <w:rPr>
          <w:color w:val="231F20"/>
          <w:w w:val="105"/>
        </w:rPr>
        <w:t>desarrollado hacia</w:t>
      </w:r>
      <w:r>
        <w:rPr>
          <w:color w:val="231F20"/>
          <w:spacing w:val="-16"/>
          <w:w w:val="105"/>
        </w:rPr>
        <w:t> </w:t>
      </w:r>
      <w:r>
        <w:rPr>
          <w:color w:val="231F20"/>
          <w:w w:val="105"/>
        </w:rPr>
        <w:t>el</w:t>
      </w:r>
      <w:r>
        <w:rPr>
          <w:color w:val="231F20"/>
          <w:spacing w:val="-16"/>
          <w:w w:val="105"/>
        </w:rPr>
        <w:t> </w:t>
      </w:r>
      <w:r>
        <w:rPr>
          <w:color w:val="231F20"/>
          <w:w w:val="105"/>
        </w:rPr>
        <w:t>final</w:t>
      </w:r>
      <w:r>
        <w:rPr>
          <w:color w:val="231F20"/>
          <w:spacing w:val="-16"/>
          <w:w w:val="105"/>
        </w:rPr>
        <w:t> </w:t>
      </w:r>
      <w:r>
        <w:rPr>
          <w:color w:val="231F20"/>
          <w:w w:val="105"/>
        </w:rPr>
        <w:t>del</w:t>
      </w:r>
      <w:r>
        <w:rPr>
          <w:color w:val="231F20"/>
          <w:spacing w:val="-16"/>
          <w:w w:val="105"/>
        </w:rPr>
        <w:t> </w:t>
      </w:r>
      <w:r>
        <w:rPr>
          <w:color w:val="231F20"/>
          <w:w w:val="105"/>
        </w:rPr>
        <w:t>siglo</w:t>
      </w:r>
      <w:r>
        <w:rPr>
          <w:color w:val="231F20"/>
          <w:spacing w:val="-16"/>
          <w:w w:val="105"/>
        </w:rPr>
        <w:t> </w:t>
      </w:r>
      <w:r>
        <w:rPr>
          <w:color w:val="231F20"/>
          <w:w w:val="105"/>
          <w:sz w:val="18"/>
        </w:rPr>
        <w:t>XIX</w:t>
      </w:r>
      <w:r>
        <w:rPr>
          <w:color w:val="231F20"/>
          <w:w w:val="105"/>
        </w:rPr>
        <w:t>.</w:t>
      </w:r>
      <w:r>
        <w:rPr>
          <w:color w:val="231F20"/>
          <w:spacing w:val="-16"/>
          <w:w w:val="105"/>
        </w:rPr>
        <w:t> </w:t>
      </w:r>
      <w:r>
        <w:rPr>
          <w:color w:val="231F20"/>
          <w:w w:val="105"/>
        </w:rPr>
        <w:t>Esto</w:t>
      </w:r>
      <w:r>
        <w:rPr>
          <w:color w:val="231F20"/>
          <w:spacing w:val="-16"/>
          <w:w w:val="105"/>
        </w:rPr>
        <w:t> </w:t>
      </w:r>
      <w:r>
        <w:rPr>
          <w:color w:val="231F20"/>
          <w:w w:val="105"/>
        </w:rPr>
        <w:t>coincide</w:t>
      </w:r>
      <w:r>
        <w:rPr>
          <w:color w:val="231F20"/>
          <w:spacing w:val="-16"/>
          <w:w w:val="105"/>
        </w:rPr>
        <w:t> </w:t>
      </w:r>
      <w:r>
        <w:rPr>
          <w:color w:val="231F20"/>
          <w:w w:val="105"/>
        </w:rPr>
        <w:t>en</w:t>
      </w:r>
      <w:r>
        <w:rPr>
          <w:color w:val="231F20"/>
          <w:spacing w:val="-16"/>
          <w:w w:val="105"/>
        </w:rPr>
        <w:t> </w:t>
      </w:r>
      <w:r>
        <w:rPr>
          <w:color w:val="231F20"/>
          <w:w w:val="105"/>
        </w:rPr>
        <w:t>gran</w:t>
      </w:r>
      <w:r>
        <w:rPr>
          <w:color w:val="231F20"/>
          <w:spacing w:val="-16"/>
          <w:w w:val="105"/>
        </w:rPr>
        <w:t> </w:t>
      </w:r>
      <w:r>
        <w:rPr>
          <w:color w:val="231F20"/>
          <w:w w:val="105"/>
        </w:rPr>
        <w:t>medida</w:t>
      </w:r>
      <w:r>
        <w:rPr>
          <w:color w:val="231F20"/>
          <w:spacing w:val="-16"/>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w w:val="105"/>
        </w:rPr>
        <w:t>tendencia a</w:t>
      </w:r>
      <w:r>
        <w:rPr>
          <w:color w:val="231F20"/>
          <w:spacing w:val="-16"/>
          <w:w w:val="105"/>
        </w:rPr>
        <w:t> </w:t>
      </w:r>
      <w:r>
        <w:rPr>
          <w:color w:val="231F20"/>
          <w:w w:val="105"/>
        </w:rPr>
        <w:t>considerar</w:t>
      </w:r>
      <w:r>
        <w:rPr>
          <w:color w:val="231F20"/>
          <w:spacing w:val="-16"/>
          <w:w w:val="105"/>
        </w:rPr>
        <w:t> </w:t>
      </w:r>
      <w:r>
        <w:rPr>
          <w:color w:val="231F20"/>
          <w:w w:val="105"/>
        </w:rPr>
        <w:t>al</w:t>
      </w:r>
      <w:r>
        <w:rPr>
          <w:color w:val="231F20"/>
          <w:spacing w:val="-16"/>
          <w:w w:val="105"/>
        </w:rPr>
        <w:t> </w:t>
      </w:r>
      <w:r>
        <w:rPr>
          <w:color w:val="231F20"/>
          <w:w w:val="105"/>
        </w:rPr>
        <w:t>Estado</w:t>
      </w:r>
      <w:r>
        <w:rPr>
          <w:color w:val="231F20"/>
          <w:spacing w:val="-16"/>
          <w:w w:val="105"/>
        </w:rPr>
        <w:t> </w:t>
      </w:r>
      <w:r>
        <w:rPr>
          <w:color w:val="231F20"/>
          <w:w w:val="105"/>
        </w:rPr>
        <w:t>como</w:t>
      </w:r>
      <w:r>
        <w:rPr>
          <w:color w:val="231F20"/>
          <w:spacing w:val="-16"/>
          <w:w w:val="105"/>
        </w:rPr>
        <w:t> </w:t>
      </w:r>
      <w:r>
        <w:rPr>
          <w:color w:val="231F20"/>
          <w:w w:val="105"/>
        </w:rPr>
        <w:t>un</w:t>
      </w:r>
      <w:r>
        <w:rPr>
          <w:color w:val="231F20"/>
          <w:spacing w:val="-16"/>
          <w:w w:val="105"/>
        </w:rPr>
        <w:t> </w:t>
      </w:r>
      <w:r>
        <w:rPr>
          <w:color w:val="231F20"/>
          <w:w w:val="105"/>
        </w:rPr>
        <w:t>“todo”</w:t>
      </w:r>
      <w:r>
        <w:rPr>
          <w:color w:val="231F20"/>
          <w:spacing w:val="-16"/>
          <w:w w:val="105"/>
        </w:rPr>
        <w:t> </w:t>
      </w:r>
      <w:r>
        <w:rPr>
          <w:color w:val="231F20"/>
          <w:w w:val="105"/>
        </w:rPr>
        <w:t>simbólico,</w:t>
      </w:r>
      <w:r>
        <w:rPr>
          <w:color w:val="231F20"/>
          <w:spacing w:val="-16"/>
          <w:w w:val="105"/>
        </w:rPr>
        <w:t> </w:t>
      </w:r>
      <w:r>
        <w:rPr>
          <w:color w:val="231F20"/>
          <w:w w:val="105"/>
        </w:rPr>
        <w:t>además</w:t>
      </w:r>
      <w:r>
        <w:rPr>
          <w:color w:val="231F20"/>
          <w:spacing w:val="-16"/>
          <w:w w:val="105"/>
        </w:rPr>
        <w:t> </w:t>
      </w:r>
      <w:r>
        <w:rPr>
          <w:color w:val="231F20"/>
          <w:w w:val="105"/>
        </w:rPr>
        <w:t>de</w:t>
      </w:r>
      <w:r>
        <w:rPr>
          <w:color w:val="231F20"/>
          <w:spacing w:val="-16"/>
          <w:w w:val="105"/>
        </w:rPr>
        <w:t> </w:t>
      </w:r>
      <w:r>
        <w:rPr>
          <w:color w:val="231F20"/>
          <w:w w:val="105"/>
        </w:rPr>
        <w:t>y</w:t>
      </w:r>
      <w:r>
        <w:rPr>
          <w:color w:val="231F20"/>
          <w:spacing w:val="-16"/>
          <w:w w:val="105"/>
        </w:rPr>
        <w:t> </w:t>
      </w:r>
      <w:r>
        <w:rPr>
          <w:color w:val="231F20"/>
          <w:w w:val="105"/>
        </w:rPr>
        <w:t>antes</w:t>
      </w:r>
      <w:r>
        <w:rPr>
          <w:color w:val="231F20"/>
          <w:spacing w:val="-16"/>
          <w:w w:val="105"/>
        </w:rPr>
        <w:t> </w:t>
      </w:r>
      <w:r>
        <w:rPr>
          <w:color w:val="231F20"/>
          <w:w w:val="105"/>
        </w:rPr>
        <w:t>que institucional.</w:t>
      </w:r>
      <w:r>
        <w:rPr>
          <w:color w:val="231F20"/>
          <w:spacing w:val="-35"/>
          <w:w w:val="105"/>
        </w:rPr>
        <w:t> </w:t>
      </w:r>
      <w:r>
        <w:rPr>
          <w:color w:val="231F20"/>
          <w:w w:val="105"/>
        </w:rPr>
        <w:t>Pero</w:t>
      </w:r>
      <w:r>
        <w:rPr>
          <w:color w:val="231F20"/>
          <w:spacing w:val="-35"/>
          <w:w w:val="105"/>
        </w:rPr>
        <w:t> </w:t>
      </w:r>
      <w:r>
        <w:rPr>
          <w:color w:val="231F20"/>
          <w:w w:val="105"/>
        </w:rPr>
        <w:t>no</w:t>
      </w:r>
      <w:r>
        <w:rPr>
          <w:color w:val="231F20"/>
          <w:spacing w:val="-35"/>
          <w:w w:val="105"/>
        </w:rPr>
        <w:t> </w:t>
      </w:r>
      <w:r>
        <w:rPr>
          <w:color w:val="231F20"/>
          <w:w w:val="105"/>
        </w:rPr>
        <w:t>existe</w:t>
      </w:r>
      <w:r>
        <w:rPr>
          <w:color w:val="231F20"/>
          <w:spacing w:val="-35"/>
          <w:w w:val="105"/>
        </w:rPr>
        <w:t> </w:t>
      </w:r>
      <w:r>
        <w:rPr>
          <w:color w:val="231F20"/>
          <w:w w:val="105"/>
        </w:rPr>
        <w:t>un</w:t>
      </w:r>
      <w:r>
        <w:rPr>
          <w:color w:val="231F20"/>
          <w:spacing w:val="-35"/>
          <w:w w:val="105"/>
        </w:rPr>
        <w:t> </w:t>
      </w:r>
      <w:r>
        <w:rPr>
          <w:color w:val="231F20"/>
          <w:w w:val="105"/>
        </w:rPr>
        <w:t>sistema</w:t>
      </w:r>
      <w:r>
        <w:rPr>
          <w:color w:val="231F20"/>
          <w:spacing w:val="-35"/>
          <w:w w:val="105"/>
        </w:rPr>
        <w:t> </w:t>
      </w:r>
      <w:r>
        <w:rPr>
          <w:color w:val="231F20"/>
          <w:w w:val="105"/>
        </w:rPr>
        <w:t>simbólico</w:t>
      </w:r>
      <w:r>
        <w:rPr>
          <w:color w:val="231F20"/>
          <w:spacing w:val="-35"/>
          <w:w w:val="105"/>
        </w:rPr>
        <w:t> </w:t>
      </w:r>
      <w:r>
        <w:rPr>
          <w:color w:val="231F20"/>
          <w:w w:val="105"/>
        </w:rPr>
        <w:t>sin</w:t>
      </w:r>
      <w:r>
        <w:rPr>
          <w:color w:val="231F20"/>
          <w:spacing w:val="-35"/>
          <w:w w:val="105"/>
        </w:rPr>
        <w:t> </w:t>
      </w:r>
      <w:r>
        <w:rPr>
          <w:color w:val="231F20"/>
          <w:w w:val="105"/>
        </w:rPr>
        <w:t>poder</w:t>
      </w:r>
      <w:r>
        <w:rPr>
          <w:color w:val="231F20"/>
          <w:spacing w:val="-35"/>
          <w:w w:val="105"/>
        </w:rPr>
        <w:t> </w:t>
      </w:r>
      <w:r>
        <w:rPr>
          <w:color w:val="231F20"/>
          <w:w w:val="105"/>
        </w:rPr>
        <w:t>efectivo,</w:t>
      </w:r>
      <w:r>
        <w:rPr>
          <w:color w:val="231F20"/>
          <w:spacing w:val="-35"/>
          <w:w w:val="105"/>
        </w:rPr>
        <w:t> </w:t>
      </w:r>
      <w:r>
        <w:rPr>
          <w:color w:val="231F20"/>
          <w:w w:val="105"/>
        </w:rPr>
        <w:t>es</w:t>
      </w:r>
      <w:r>
        <w:rPr>
          <w:color w:val="231F20"/>
          <w:spacing w:val="-35"/>
          <w:w w:val="105"/>
        </w:rPr>
        <w:t> </w:t>
      </w:r>
      <w:r>
        <w:rPr>
          <w:color w:val="231F20"/>
          <w:w w:val="105"/>
        </w:rPr>
        <w:t>de- </w:t>
      </w:r>
      <w:r>
        <w:rPr>
          <w:color w:val="231F20"/>
          <w:spacing w:val="-5"/>
          <w:w w:val="105"/>
        </w:rPr>
        <w:t>cir,</w:t>
      </w:r>
      <w:r>
        <w:rPr>
          <w:color w:val="231F20"/>
          <w:spacing w:val="-33"/>
          <w:w w:val="105"/>
        </w:rPr>
        <w:t> </w:t>
      </w:r>
      <w:r>
        <w:rPr>
          <w:color w:val="231F20"/>
          <w:w w:val="105"/>
        </w:rPr>
        <w:t>sin</w:t>
      </w:r>
      <w:r>
        <w:rPr>
          <w:color w:val="231F20"/>
          <w:spacing w:val="-33"/>
          <w:w w:val="105"/>
        </w:rPr>
        <w:t> </w:t>
      </w:r>
      <w:r>
        <w:rPr>
          <w:color w:val="231F20"/>
          <w:w w:val="105"/>
        </w:rPr>
        <w:t>referencia</w:t>
      </w:r>
      <w:r>
        <w:rPr>
          <w:color w:val="231F20"/>
          <w:spacing w:val="-33"/>
          <w:w w:val="105"/>
        </w:rPr>
        <w:t> </w:t>
      </w:r>
      <w:r>
        <w:rPr>
          <w:color w:val="231F20"/>
          <w:w w:val="105"/>
        </w:rPr>
        <w:t>a</w:t>
      </w:r>
      <w:r>
        <w:rPr>
          <w:color w:val="231F20"/>
          <w:spacing w:val="-33"/>
          <w:w w:val="105"/>
        </w:rPr>
        <w:t> </w:t>
      </w:r>
      <w:r>
        <w:rPr>
          <w:color w:val="231F20"/>
          <w:w w:val="105"/>
        </w:rPr>
        <w:t>la</w:t>
      </w:r>
      <w:r>
        <w:rPr>
          <w:color w:val="231F20"/>
          <w:spacing w:val="-33"/>
          <w:w w:val="105"/>
        </w:rPr>
        <w:t> </w:t>
      </w:r>
      <w:r>
        <w:rPr>
          <w:color w:val="231F20"/>
          <w:w w:val="105"/>
        </w:rPr>
        <w:t>política</w:t>
      </w:r>
      <w:r>
        <w:rPr>
          <w:color w:val="231F20"/>
          <w:w w:val="105"/>
          <w:position w:val="7"/>
          <w:sz w:val="12"/>
        </w:rPr>
        <w:t>4</w:t>
      </w:r>
      <w:r>
        <w:rPr>
          <w:color w:val="231F20"/>
          <w:w w:val="105"/>
        </w:rPr>
        <w:t>.</w:t>
      </w:r>
      <w:r>
        <w:rPr>
          <w:color w:val="231F20"/>
          <w:spacing w:val="-33"/>
          <w:w w:val="105"/>
        </w:rPr>
        <w:t> </w:t>
      </w:r>
      <w:r>
        <w:rPr>
          <w:color w:val="231F20"/>
          <w:w w:val="105"/>
        </w:rPr>
        <w:t>Es</w:t>
      </w:r>
      <w:r>
        <w:rPr>
          <w:color w:val="231F20"/>
          <w:spacing w:val="-33"/>
          <w:w w:val="105"/>
        </w:rPr>
        <w:t> </w:t>
      </w:r>
      <w:r>
        <w:rPr>
          <w:color w:val="231F20"/>
          <w:w w:val="105"/>
        </w:rPr>
        <w:t>dentro</w:t>
      </w:r>
      <w:r>
        <w:rPr>
          <w:color w:val="231F20"/>
          <w:spacing w:val="-33"/>
          <w:w w:val="105"/>
        </w:rPr>
        <w:t> </w:t>
      </w:r>
      <w:r>
        <w:rPr>
          <w:color w:val="231F20"/>
          <w:w w:val="105"/>
        </w:rPr>
        <w:t>de</w:t>
      </w:r>
      <w:r>
        <w:rPr>
          <w:color w:val="231F20"/>
          <w:spacing w:val="-33"/>
          <w:w w:val="105"/>
        </w:rPr>
        <w:t> </w:t>
      </w:r>
      <w:r>
        <w:rPr>
          <w:color w:val="231F20"/>
          <w:w w:val="105"/>
        </w:rPr>
        <w:t>este</w:t>
      </w:r>
      <w:r>
        <w:rPr>
          <w:color w:val="231F20"/>
          <w:spacing w:val="-33"/>
          <w:w w:val="105"/>
        </w:rPr>
        <w:t> </w:t>
      </w:r>
      <w:r>
        <w:rPr>
          <w:color w:val="231F20"/>
          <w:w w:val="105"/>
        </w:rPr>
        <w:t>rango</w:t>
      </w:r>
      <w:r>
        <w:rPr>
          <w:color w:val="231F20"/>
          <w:spacing w:val="-33"/>
          <w:w w:val="105"/>
        </w:rPr>
        <w:t> </w:t>
      </w:r>
      <w:r>
        <w:rPr>
          <w:color w:val="231F20"/>
          <w:w w:val="105"/>
        </w:rPr>
        <w:t>que</w:t>
      </w:r>
      <w:r>
        <w:rPr>
          <w:color w:val="231F20"/>
          <w:spacing w:val="-33"/>
          <w:w w:val="105"/>
        </w:rPr>
        <w:t> </w:t>
      </w:r>
      <w:r>
        <w:rPr>
          <w:color w:val="231F20"/>
          <w:w w:val="105"/>
        </w:rPr>
        <w:t>está</w:t>
      </w:r>
      <w:r>
        <w:rPr>
          <w:color w:val="231F20"/>
          <w:spacing w:val="-33"/>
          <w:w w:val="105"/>
        </w:rPr>
        <w:t> </w:t>
      </w:r>
      <w:r>
        <w:rPr>
          <w:color w:val="231F20"/>
          <w:w w:val="105"/>
        </w:rPr>
        <w:t>también</w:t>
      </w:r>
      <w:r>
        <w:rPr>
          <w:color w:val="231F20"/>
          <w:spacing w:val="-33"/>
          <w:w w:val="105"/>
        </w:rPr>
        <w:t> </w:t>
      </w:r>
      <w:r>
        <w:rPr>
          <w:color w:val="231F20"/>
          <w:w w:val="105"/>
        </w:rPr>
        <w:t>el actual</w:t>
      </w:r>
      <w:r>
        <w:rPr>
          <w:color w:val="231F20"/>
          <w:spacing w:val="-33"/>
          <w:w w:val="105"/>
        </w:rPr>
        <w:t> </w:t>
      </w:r>
      <w:r>
        <w:rPr>
          <w:color w:val="231F20"/>
          <w:w w:val="105"/>
        </w:rPr>
        <w:t>estado</w:t>
      </w:r>
      <w:r>
        <w:rPr>
          <w:color w:val="231F20"/>
          <w:spacing w:val="-33"/>
          <w:w w:val="105"/>
        </w:rPr>
        <w:t> </w:t>
      </w:r>
      <w:r>
        <w:rPr>
          <w:color w:val="231F20"/>
          <w:w w:val="105"/>
        </w:rPr>
        <w:t>del</w:t>
      </w:r>
      <w:r>
        <w:rPr>
          <w:color w:val="231F20"/>
          <w:spacing w:val="-33"/>
          <w:w w:val="105"/>
        </w:rPr>
        <w:t> </w:t>
      </w:r>
      <w:r>
        <w:rPr>
          <w:color w:val="231F20"/>
          <w:w w:val="105"/>
        </w:rPr>
        <w:t>Estado.</w:t>
      </w:r>
      <w:r>
        <w:rPr>
          <w:color w:val="231F20"/>
          <w:spacing w:val="-33"/>
          <w:w w:val="105"/>
        </w:rPr>
        <w:t> </w:t>
      </w:r>
      <w:r>
        <w:rPr>
          <w:color w:val="231F20"/>
          <w:w w:val="105"/>
        </w:rPr>
        <w:t>El</w:t>
      </w:r>
      <w:r>
        <w:rPr>
          <w:color w:val="231F20"/>
          <w:spacing w:val="-33"/>
          <w:w w:val="105"/>
        </w:rPr>
        <w:t> </w:t>
      </w:r>
      <w:r>
        <w:rPr>
          <w:color w:val="231F20"/>
          <w:w w:val="105"/>
        </w:rPr>
        <w:t>hecho</w:t>
      </w:r>
      <w:r>
        <w:rPr>
          <w:color w:val="231F20"/>
          <w:spacing w:val="-33"/>
          <w:w w:val="105"/>
        </w:rPr>
        <w:t> </w:t>
      </w:r>
      <w:r>
        <w:rPr>
          <w:color w:val="231F20"/>
          <w:w w:val="105"/>
        </w:rPr>
        <w:t>es</w:t>
      </w:r>
      <w:r>
        <w:rPr>
          <w:color w:val="231F20"/>
          <w:spacing w:val="-33"/>
          <w:w w:val="105"/>
        </w:rPr>
        <w:t> </w:t>
      </w:r>
      <w:r>
        <w:rPr>
          <w:color w:val="231F20"/>
          <w:w w:val="105"/>
        </w:rPr>
        <w:t>que</w:t>
      </w:r>
      <w:r>
        <w:rPr>
          <w:color w:val="231F20"/>
          <w:spacing w:val="-33"/>
          <w:w w:val="105"/>
        </w:rPr>
        <w:t> </w:t>
      </w:r>
      <w:r>
        <w:rPr>
          <w:color w:val="231F20"/>
          <w:w w:val="105"/>
        </w:rPr>
        <w:t>este</w:t>
      </w:r>
      <w:r>
        <w:rPr>
          <w:color w:val="231F20"/>
          <w:spacing w:val="-33"/>
          <w:w w:val="105"/>
        </w:rPr>
        <w:t> </w:t>
      </w:r>
      <w:r>
        <w:rPr>
          <w:color w:val="231F20"/>
          <w:w w:val="105"/>
        </w:rPr>
        <w:t>rango</w:t>
      </w:r>
      <w:r>
        <w:rPr>
          <w:color w:val="231F20"/>
          <w:spacing w:val="-33"/>
          <w:w w:val="105"/>
        </w:rPr>
        <w:t> </w:t>
      </w:r>
      <w:r>
        <w:rPr>
          <w:color w:val="231F20"/>
          <w:w w:val="105"/>
        </w:rPr>
        <w:t>se</w:t>
      </w:r>
      <w:r>
        <w:rPr>
          <w:color w:val="231F20"/>
          <w:spacing w:val="-33"/>
          <w:w w:val="105"/>
        </w:rPr>
        <w:t> </w:t>
      </w:r>
      <w:r>
        <w:rPr>
          <w:color w:val="231F20"/>
          <w:w w:val="105"/>
        </w:rPr>
        <w:t>ha</w:t>
      </w:r>
      <w:r>
        <w:rPr>
          <w:color w:val="231F20"/>
          <w:spacing w:val="-33"/>
          <w:w w:val="105"/>
        </w:rPr>
        <w:t> </w:t>
      </w:r>
      <w:r>
        <w:rPr>
          <w:color w:val="231F20"/>
          <w:w w:val="105"/>
        </w:rPr>
        <w:t>ampliado</w:t>
      </w:r>
      <w:r>
        <w:rPr>
          <w:color w:val="231F20"/>
          <w:spacing w:val="-33"/>
          <w:w w:val="105"/>
        </w:rPr>
        <w:t> </w:t>
      </w:r>
      <w:r>
        <w:rPr>
          <w:color w:val="231F20"/>
          <w:w w:val="105"/>
        </w:rPr>
        <w:t>desde hace</w:t>
      </w:r>
      <w:r>
        <w:rPr>
          <w:color w:val="231F20"/>
          <w:spacing w:val="-5"/>
          <w:w w:val="105"/>
        </w:rPr>
        <w:t> </w:t>
      </w:r>
      <w:r>
        <w:rPr>
          <w:color w:val="231F20"/>
          <w:w w:val="105"/>
        </w:rPr>
        <w:t>cien</w:t>
      </w:r>
      <w:r>
        <w:rPr>
          <w:color w:val="231F20"/>
          <w:spacing w:val="-5"/>
          <w:w w:val="105"/>
        </w:rPr>
        <w:t> </w:t>
      </w:r>
      <w:r>
        <w:rPr>
          <w:color w:val="231F20"/>
          <w:w w:val="105"/>
        </w:rPr>
        <w:t>años</w:t>
      </w:r>
      <w:r>
        <w:rPr>
          <w:color w:val="231F20"/>
          <w:spacing w:val="-5"/>
          <w:w w:val="105"/>
        </w:rPr>
        <w:t> </w:t>
      </w:r>
      <w:r>
        <w:rPr>
          <w:color w:val="231F20"/>
          <w:w w:val="105"/>
        </w:rPr>
        <w:t>y</w:t>
      </w:r>
      <w:r>
        <w:rPr>
          <w:color w:val="231F20"/>
          <w:spacing w:val="-5"/>
          <w:w w:val="105"/>
        </w:rPr>
        <w:t> </w:t>
      </w:r>
      <w:r>
        <w:rPr>
          <w:color w:val="231F20"/>
          <w:w w:val="105"/>
        </w:rPr>
        <w:t>tal</w:t>
      </w:r>
      <w:r>
        <w:rPr>
          <w:color w:val="231F20"/>
          <w:spacing w:val="-5"/>
          <w:w w:val="105"/>
        </w:rPr>
        <w:t> </w:t>
      </w:r>
      <w:r>
        <w:rPr>
          <w:color w:val="231F20"/>
          <w:w w:val="105"/>
        </w:rPr>
        <w:t>vez</w:t>
      </w:r>
      <w:r>
        <w:rPr>
          <w:color w:val="231F20"/>
          <w:spacing w:val="-5"/>
          <w:w w:val="105"/>
        </w:rPr>
        <w:t> </w:t>
      </w:r>
      <w:r>
        <w:rPr>
          <w:color w:val="231F20"/>
          <w:w w:val="105"/>
        </w:rPr>
        <w:t>hayamos</w:t>
      </w:r>
      <w:r>
        <w:rPr>
          <w:color w:val="231F20"/>
          <w:spacing w:val="-5"/>
          <w:w w:val="105"/>
        </w:rPr>
        <w:t> </w:t>
      </w:r>
      <w:r>
        <w:rPr>
          <w:color w:val="231F20"/>
          <w:w w:val="105"/>
        </w:rPr>
        <w:t>ya</w:t>
      </w:r>
      <w:r>
        <w:rPr>
          <w:color w:val="231F20"/>
          <w:spacing w:val="-5"/>
          <w:w w:val="105"/>
        </w:rPr>
        <w:t> </w:t>
      </w:r>
      <w:r>
        <w:rPr>
          <w:color w:val="231F20"/>
          <w:w w:val="105"/>
        </w:rPr>
        <w:t>salido</w:t>
      </w:r>
      <w:r>
        <w:rPr>
          <w:color w:val="231F20"/>
          <w:spacing w:val="-5"/>
          <w:w w:val="105"/>
        </w:rPr>
        <w:t> </w:t>
      </w:r>
      <w:r>
        <w:rPr>
          <w:color w:val="231F20"/>
          <w:w w:val="105"/>
        </w:rPr>
        <w:t>de</w:t>
      </w:r>
      <w:r>
        <w:rPr>
          <w:color w:val="231F20"/>
          <w:spacing w:val="-5"/>
          <w:w w:val="105"/>
        </w:rPr>
        <w:t> </w:t>
      </w:r>
      <w:r>
        <w:rPr>
          <w:color w:val="231F20"/>
          <w:w w:val="105"/>
        </w:rPr>
        <w:t>él,</w:t>
      </w:r>
      <w:r>
        <w:rPr>
          <w:color w:val="231F20"/>
          <w:spacing w:val="-5"/>
          <w:w w:val="105"/>
        </w:rPr>
        <w:t> </w:t>
      </w:r>
      <w:r>
        <w:rPr>
          <w:color w:val="231F20"/>
          <w:w w:val="105"/>
        </w:rPr>
        <w:t>pero</w:t>
      </w:r>
      <w:r>
        <w:rPr>
          <w:color w:val="231F20"/>
          <w:spacing w:val="-5"/>
          <w:w w:val="105"/>
        </w:rPr>
        <w:t> </w:t>
      </w:r>
      <w:r>
        <w:rPr>
          <w:color w:val="231F20"/>
          <w:w w:val="105"/>
        </w:rPr>
        <w:t>sin</w:t>
      </w:r>
      <w:r>
        <w:rPr>
          <w:color w:val="231F20"/>
          <w:spacing w:val="-5"/>
          <w:w w:val="105"/>
        </w:rPr>
        <w:t> </w:t>
      </w:r>
      <w:r>
        <w:rPr>
          <w:color w:val="231F20"/>
          <w:w w:val="105"/>
        </w:rPr>
        <w:t>darnos</w:t>
      </w:r>
      <w:r>
        <w:rPr>
          <w:color w:val="231F20"/>
          <w:spacing w:val="-5"/>
          <w:w w:val="105"/>
        </w:rPr>
        <w:t> </w:t>
      </w:r>
      <w:r>
        <w:rPr>
          <w:color w:val="231F20"/>
          <w:w w:val="105"/>
        </w:rPr>
        <w:t>cuen- ta,</w:t>
      </w:r>
      <w:r>
        <w:rPr>
          <w:color w:val="231F20"/>
          <w:spacing w:val="-17"/>
          <w:w w:val="105"/>
        </w:rPr>
        <w:t> </w:t>
      </w:r>
      <w:r>
        <w:rPr>
          <w:color w:val="231F20"/>
          <w:w w:val="105"/>
        </w:rPr>
        <w:t>no</w:t>
      </w:r>
      <w:r>
        <w:rPr>
          <w:color w:val="231F20"/>
          <w:spacing w:val="-17"/>
          <w:w w:val="105"/>
        </w:rPr>
        <w:t> </w:t>
      </w:r>
      <w:r>
        <w:rPr>
          <w:color w:val="231F20"/>
          <w:w w:val="105"/>
        </w:rPr>
        <w:t>obstante</w:t>
      </w:r>
      <w:r>
        <w:rPr>
          <w:color w:val="231F20"/>
          <w:spacing w:val="-17"/>
          <w:w w:val="105"/>
        </w:rPr>
        <w:t> </w:t>
      </w:r>
      <w:r>
        <w:rPr>
          <w:color w:val="231F20"/>
          <w:w w:val="105"/>
        </w:rPr>
        <w:t>las</w:t>
      </w:r>
      <w:r>
        <w:rPr>
          <w:color w:val="231F20"/>
          <w:spacing w:val="-17"/>
          <w:w w:val="105"/>
        </w:rPr>
        <w:t> </w:t>
      </w:r>
      <w:r>
        <w:rPr>
          <w:color w:val="231F20"/>
          <w:w w:val="105"/>
        </w:rPr>
        <w:t>plagas</w:t>
      </w:r>
      <w:r>
        <w:rPr>
          <w:color w:val="231F20"/>
          <w:spacing w:val="-17"/>
          <w:w w:val="105"/>
        </w:rPr>
        <w:t> </w:t>
      </w:r>
      <w:r>
        <w:rPr>
          <w:color w:val="231F20"/>
          <w:w w:val="105"/>
        </w:rPr>
        <w:t>y</w:t>
      </w:r>
      <w:r>
        <w:rPr>
          <w:color w:val="231F20"/>
          <w:spacing w:val="-17"/>
          <w:w w:val="105"/>
        </w:rPr>
        <w:t> </w:t>
      </w:r>
      <w:r>
        <w:rPr>
          <w:color w:val="231F20"/>
          <w:w w:val="105"/>
        </w:rPr>
        <w:t>los</w:t>
      </w:r>
      <w:r>
        <w:rPr>
          <w:color w:val="231F20"/>
          <w:spacing w:val="-17"/>
          <w:w w:val="105"/>
        </w:rPr>
        <w:t> </w:t>
      </w:r>
      <w:r>
        <w:rPr>
          <w:color w:val="231F20"/>
          <w:w w:val="105"/>
        </w:rPr>
        <w:t>genocidios</w:t>
      </w:r>
      <w:r>
        <w:rPr>
          <w:color w:val="231F20"/>
          <w:spacing w:val="-17"/>
          <w:w w:val="105"/>
        </w:rPr>
        <w:t> </w:t>
      </w:r>
      <w:r>
        <w:rPr>
          <w:color w:val="231F20"/>
          <w:w w:val="105"/>
        </w:rPr>
        <w:t>ocurridos</w:t>
      </w:r>
      <w:r>
        <w:rPr>
          <w:color w:val="231F20"/>
          <w:spacing w:val="-17"/>
          <w:w w:val="105"/>
        </w:rPr>
        <w:t> </w:t>
      </w:r>
      <w:r>
        <w:rPr>
          <w:color w:val="231F20"/>
          <w:w w:val="105"/>
        </w:rPr>
        <w:t>mientras</w:t>
      </w:r>
      <w:r>
        <w:rPr>
          <w:color w:val="231F20"/>
          <w:spacing w:val="-17"/>
          <w:w w:val="105"/>
        </w:rPr>
        <w:t> </w:t>
      </w:r>
      <w:r>
        <w:rPr>
          <w:color w:val="231F20"/>
          <w:w w:val="105"/>
        </w:rPr>
        <w:t>tanto,</w:t>
      </w:r>
      <w:r>
        <w:rPr>
          <w:color w:val="231F20"/>
          <w:spacing w:val="-17"/>
          <w:w w:val="105"/>
        </w:rPr>
        <w:t> </w:t>
      </w:r>
      <w:r>
        <w:rPr>
          <w:color w:val="231F20"/>
          <w:w w:val="105"/>
        </w:rPr>
        <w:t>y</w:t>
      </w:r>
      <w:r>
        <w:rPr>
          <w:color w:val="231F20"/>
          <w:spacing w:val="-17"/>
          <w:w w:val="105"/>
        </w:rPr>
        <w:t> </w:t>
      </w:r>
      <w:r>
        <w:rPr>
          <w:color w:val="231F20"/>
          <w:w w:val="105"/>
        </w:rPr>
        <w:t>no obstante</w:t>
      </w:r>
      <w:r>
        <w:rPr>
          <w:color w:val="231F20"/>
          <w:spacing w:val="-30"/>
          <w:w w:val="105"/>
        </w:rPr>
        <w:t> </w:t>
      </w:r>
      <w:r>
        <w:rPr>
          <w:color w:val="231F20"/>
          <w:w w:val="105"/>
        </w:rPr>
        <w:t>los</w:t>
      </w:r>
      <w:r>
        <w:rPr>
          <w:color w:val="231F20"/>
          <w:spacing w:val="-30"/>
          <w:w w:val="105"/>
        </w:rPr>
        <w:t> </w:t>
      </w:r>
      <w:r>
        <w:rPr>
          <w:color w:val="231F20"/>
          <w:w w:val="105"/>
        </w:rPr>
        <w:t>sinceros</w:t>
      </w:r>
      <w:r>
        <w:rPr>
          <w:color w:val="231F20"/>
          <w:spacing w:val="-30"/>
          <w:w w:val="105"/>
        </w:rPr>
        <w:t> </w:t>
      </w:r>
      <w:r>
        <w:rPr>
          <w:color w:val="231F20"/>
          <w:w w:val="105"/>
        </w:rPr>
        <w:t>tentativos</w:t>
      </w:r>
      <w:r>
        <w:rPr>
          <w:color w:val="231F20"/>
          <w:spacing w:val="-30"/>
          <w:w w:val="105"/>
        </w:rPr>
        <w:t> </w:t>
      </w:r>
      <w:r>
        <w:rPr>
          <w:color w:val="231F20"/>
          <w:w w:val="105"/>
        </w:rPr>
        <w:t>postcoloniales</w:t>
      </w:r>
      <w:r>
        <w:rPr>
          <w:color w:val="231F20"/>
          <w:spacing w:val="-30"/>
          <w:w w:val="105"/>
        </w:rPr>
        <w:t> </w:t>
      </w:r>
      <w:r>
        <w:rPr>
          <w:color w:val="231F20"/>
          <w:w w:val="105"/>
        </w:rPr>
        <w:t>de</w:t>
      </w:r>
      <w:r>
        <w:rPr>
          <w:color w:val="231F20"/>
          <w:spacing w:val="-30"/>
          <w:w w:val="105"/>
        </w:rPr>
        <w:t> </w:t>
      </w:r>
      <w:r>
        <w:rPr>
          <w:color w:val="231F20"/>
          <w:w w:val="105"/>
        </w:rPr>
        <w:t>“provincializar”</w:t>
      </w:r>
      <w:r>
        <w:rPr>
          <w:color w:val="231F20"/>
          <w:spacing w:val="-30"/>
          <w:w w:val="105"/>
        </w:rPr>
        <w:t> </w:t>
      </w:r>
      <w:r>
        <w:rPr>
          <w:color w:val="231F20"/>
          <w:w w:val="105"/>
        </w:rPr>
        <w:t>Europa, ampliando</w:t>
      </w:r>
      <w:r>
        <w:rPr>
          <w:color w:val="231F20"/>
          <w:spacing w:val="-23"/>
          <w:w w:val="105"/>
        </w:rPr>
        <w:t> </w:t>
      </w:r>
      <w:r>
        <w:rPr>
          <w:color w:val="231F20"/>
          <w:w w:val="105"/>
        </w:rPr>
        <w:t>hacia</w:t>
      </w:r>
      <w:r>
        <w:rPr>
          <w:color w:val="231F20"/>
          <w:spacing w:val="-23"/>
          <w:w w:val="105"/>
        </w:rPr>
        <w:t> </w:t>
      </w:r>
      <w:r>
        <w:rPr>
          <w:color w:val="231F20"/>
          <w:w w:val="105"/>
        </w:rPr>
        <w:t>ella</w:t>
      </w:r>
      <w:r>
        <w:rPr>
          <w:color w:val="231F20"/>
          <w:spacing w:val="-23"/>
          <w:w w:val="105"/>
        </w:rPr>
        <w:t> </w:t>
      </w:r>
      <w:r>
        <w:rPr>
          <w:color w:val="231F20"/>
          <w:w w:val="105"/>
        </w:rPr>
        <w:t>la</w:t>
      </w:r>
      <w:r>
        <w:rPr>
          <w:color w:val="231F20"/>
          <w:spacing w:val="-23"/>
          <w:w w:val="105"/>
        </w:rPr>
        <w:t> </w:t>
      </w:r>
      <w:r>
        <w:rPr>
          <w:color w:val="231F20"/>
          <w:w w:val="105"/>
        </w:rPr>
        <w:t>nueva</w:t>
      </w:r>
      <w:r>
        <w:rPr>
          <w:color w:val="231F20"/>
          <w:spacing w:val="-23"/>
          <w:w w:val="105"/>
        </w:rPr>
        <w:t> </w:t>
      </w:r>
      <w:r>
        <w:rPr>
          <w:color w:val="231F20"/>
          <w:w w:val="105"/>
        </w:rPr>
        <w:t>categoría</w:t>
      </w:r>
      <w:r>
        <w:rPr>
          <w:color w:val="231F20"/>
          <w:spacing w:val="-23"/>
          <w:w w:val="105"/>
        </w:rPr>
        <w:t> </w:t>
      </w:r>
      <w:r>
        <w:rPr>
          <w:color w:val="231F20"/>
          <w:w w:val="105"/>
        </w:rPr>
        <w:t>de</w:t>
      </w:r>
      <w:r>
        <w:rPr>
          <w:color w:val="231F20"/>
          <w:spacing w:val="-23"/>
          <w:w w:val="105"/>
        </w:rPr>
        <w:t> </w:t>
      </w:r>
      <w:r>
        <w:rPr>
          <w:color w:val="231F20"/>
          <w:w w:val="105"/>
        </w:rPr>
        <w:t>“sociedad</w:t>
      </w:r>
      <w:r>
        <w:rPr>
          <w:color w:val="231F20"/>
          <w:spacing w:val="-23"/>
          <w:w w:val="105"/>
        </w:rPr>
        <w:t> </w:t>
      </w:r>
      <w:r>
        <w:rPr>
          <w:color w:val="231F20"/>
          <w:w w:val="105"/>
        </w:rPr>
        <w:t>política”</w:t>
      </w:r>
      <w:r>
        <w:rPr>
          <w:color w:val="231F20"/>
          <w:spacing w:val="-23"/>
          <w:w w:val="105"/>
        </w:rPr>
        <w:t> </w:t>
      </w:r>
      <w:r>
        <w:rPr>
          <w:color w:val="231F20"/>
          <w:w w:val="105"/>
        </w:rPr>
        <w:t>en</w:t>
      </w:r>
      <w:r>
        <w:rPr>
          <w:color w:val="231F20"/>
          <w:spacing w:val="-23"/>
          <w:w w:val="105"/>
        </w:rPr>
        <w:t> </w:t>
      </w:r>
      <w:r>
        <w:rPr>
          <w:color w:val="231F20"/>
          <w:w w:val="105"/>
        </w:rPr>
        <w:t>lugar</w:t>
      </w:r>
      <w:r>
        <w:rPr>
          <w:color w:val="231F20"/>
          <w:spacing w:val="-23"/>
          <w:w w:val="105"/>
        </w:rPr>
        <w:t> </w:t>
      </w:r>
      <w:r>
        <w:rPr>
          <w:color w:val="231F20"/>
          <w:w w:val="105"/>
        </w:rPr>
        <w:t>de aquella</w:t>
      </w:r>
      <w:r>
        <w:rPr>
          <w:color w:val="231F20"/>
          <w:spacing w:val="-27"/>
          <w:w w:val="105"/>
        </w:rPr>
        <w:t> </w:t>
      </w:r>
      <w:r>
        <w:rPr>
          <w:color w:val="231F20"/>
          <w:w w:val="105"/>
        </w:rPr>
        <w:t>putrefacta</w:t>
      </w:r>
      <w:r>
        <w:rPr>
          <w:color w:val="231F20"/>
          <w:spacing w:val="-27"/>
          <w:w w:val="105"/>
        </w:rPr>
        <w:t> </w:t>
      </w:r>
      <w:r>
        <w:rPr>
          <w:color w:val="231F20"/>
          <w:w w:val="105"/>
        </w:rPr>
        <w:t>categoría</w:t>
      </w:r>
      <w:r>
        <w:rPr>
          <w:color w:val="231F20"/>
          <w:spacing w:val="-27"/>
          <w:w w:val="105"/>
        </w:rPr>
        <w:t> </w:t>
      </w:r>
      <w:r>
        <w:rPr>
          <w:color w:val="231F20"/>
          <w:w w:val="105"/>
        </w:rPr>
        <w:t>de</w:t>
      </w:r>
      <w:r>
        <w:rPr>
          <w:color w:val="231F20"/>
          <w:spacing w:val="-27"/>
          <w:w w:val="105"/>
        </w:rPr>
        <w:t> </w:t>
      </w:r>
      <w:r>
        <w:rPr>
          <w:color w:val="231F20"/>
          <w:w w:val="105"/>
        </w:rPr>
        <w:t>“sociedad</w:t>
      </w:r>
      <w:r>
        <w:rPr>
          <w:color w:val="231F20"/>
          <w:spacing w:val="-27"/>
          <w:w w:val="105"/>
        </w:rPr>
        <w:t> </w:t>
      </w:r>
      <w:r>
        <w:rPr>
          <w:color w:val="231F20"/>
          <w:w w:val="105"/>
        </w:rPr>
        <w:t>civil”</w:t>
      </w:r>
      <w:r>
        <w:rPr>
          <w:color w:val="231F20"/>
          <w:spacing w:val="-27"/>
          <w:w w:val="105"/>
        </w:rPr>
        <w:t> </w:t>
      </w:r>
      <w:r>
        <w:rPr>
          <w:color w:val="231F20"/>
          <w:w w:val="105"/>
        </w:rPr>
        <w:t>y</w:t>
      </w:r>
      <w:r>
        <w:rPr>
          <w:color w:val="231F20"/>
          <w:spacing w:val="-27"/>
          <w:w w:val="105"/>
        </w:rPr>
        <w:t> </w:t>
      </w:r>
      <w:r>
        <w:rPr>
          <w:color w:val="231F20"/>
          <w:w w:val="105"/>
        </w:rPr>
        <w:t>teniendo</w:t>
      </w:r>
      <w:r>
        <w:rPr>
          <w:color w:val="231F20"/>
          <w:spacing w:val="-27"/>
          <w:w w:val="105"/>
        </w:rPr>
        <w:t> </w:t>
      </w:r>
      <w:r>
        <w:rPr>
          <w:color w:val="231F20"/>
          <w:w w:val="105"/>
        </w:rPr>
        <w:t>el</w:t>
      </w:r>
      <w:r>
        <w:rPr>
          <w:color w:val="231F20"/>
          <w:spacing w:val="-27"/>
          <w:w w:val="105"/>
        </w:rPr>
        <w:t> </w:t>
      </w:r>
      <w:r>
        <w:rPr>
          <w:color w:val="231F20"/>
          <w:w w:val="105"/>
        </w:rPr>
        <w:t>valor</w:t>
      </w:r>
      <w:r>
        <w:rPr>
          <w:color w:val="231F20"/>
          <w:spacing w:val="-27"/>
          <w:w w:val="105"/>
        </w:rPr>
        <w:t> </w:t>
      </w:r>
      <w:r>
        <w:rPr>
          <w:color w:val="231F20"/>
          <w:w w:val="105"/>
        </w:rPr>
        <w:t>de</w:t>
      </w:r>
      <w:r>
        <w:rPr>
          <w:color w:val="231F20"/>
          <w:spacing w:val="-27"/>
          <w:w w:val="105"/>
        </w:rPr>
        <w:t> </w:t>
      </w:r>
      <w:r>
        <w:rPr>
          <w:color w:val="231F20"/>
          <w:w w:val="105"/>
        </w:rPr>
        <w:t>pro- poner</w:t>
      </w:r>
      <w:r>
        <w:rPr>
          <w:color w:val="231F20"/>
          <w:spacing w:val="-15"/>
          <w:w w:val="105"/>
        </w:rPr>
        <w:t> </w:t>
      </w:r>
      <w:r>
        <w:rPr>
          <w:color w:val="231F20"/>
          <w:w w:val="105"/>
        </w:rPr>
        <w:t>una</w:t>
      </w:r>
      <w:r>
        <w:rPr>
          <w:color w:val="231F20"/>
          <w:spacing w:val="-15"/>
          <w:w w:val="105"/>
        </w:rPr>
        <w:t> </w:t>
      </w:r>
      <w:r>
        <w:rPr>
          <w:color w:val="231F20"/>
          <w:w w:val="105"/>
        </w:rPr>
        <w:t>“política</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gobernados”</w:t>
      </w:r>
      <w:r>
        <w:rPr>
          <w:color w:val="231F20"/>
          <w:spacing w:val="-15"/>
          <w:w w:val="105"/>
        </w:rPr>
        <w:t> </w:t>
      </w:r>
      <w:r>
        <w:rPr>
          <w:color w:val="231F20"/>
          <w:w w:val="105"/>
        </w:rPr>
        <w:t>en</w:t>
      </w:r>
      <w:r>
        <w:rPr>
          <w:color w:val="231F20"/>
          <w:spacing w:val="-15"/>
          <w:w w:val="105"/>
        </w:rPr>
        <w:t> </w:t>
      </w:r>
      <w:r>
        <w:rPr>
          <w:color w:val="231F20"/>
          <w:w w:val="105"/>
        </w:rPr>
        <w:t>lugar</w:t>
      </w:r>
      <w:r>
        <w:rPr>
          <w:color w:val="231F20"/>
          <w:spacing w:val="-15"/>
          <w:w w:val="105"/>
        </w:rPr>
        <w:t> </w:t>
      </w:r>
      <w:r>
        <w:rPr>
          <w:color w:val="231F20"/>
          <w:w w:val="105"/>
        </w:rPr>
        <w:t>de</w:t>
      </w:r>
      <w:r>
        <w:rPr>
          <w:color w:val="231F20"/>
          <w:spacing w:val="-15"/>
          <w:w w:val="105"/>
        </w:rPr>
        <w:t> </w:t>
      </w:r>
      <w:r>
        <w:rPr>
          <w:color w:val="231F20"/>
          <w:w w:val="105"/>
        </w:rPr>
        <w:t>aquella</w:t>
      </w:r>
      <w:r>
        <w:rPr>
          <w:color w:val="231F20"/>
          <w:spacing w:val="-15"/>
          <w:w w:val="105"/>
        </w:rPr>
        <w:t> </w:t>
      </w:r>
      <w:r>
        <w:rPr>
          <w:color w:val="231F20"/>
          <w:w w:val="105"/>
        </w:rPr>
        <w:t>tan</w:t>
      </w:r>
      <w:r>
        <w:rPr>
          <w:color w:val="231F20"/>
          <w:spacing w:val="-15"/>
          <w:w w:val="105"/>
        </w:rPr>
        <w:t> </w:t>
      </w:r>
      <w:r>
        <w:rPr>
          <w:color w:val="231F20"/>
          <w:w w:val="105"/>
        </w:rPr>
        <w:t>frecuente de</w:t>
      </w:r>
      <w:r>
        <w:rPr>
          <w:color w:val="231F20"/>
          <w:spacing w:val="-34"/>
          <w:w w:val="105"/>
        </w:rPr>
        <w:t> </w:t>
      </w:r>
      <w:r>
        <w:rPr>
          <w:color w:val="231F20"/>
          <w:w w:val="105"/>
        </w:rPr>
        <w:t>los</w:t>
      </w:r>
      <w:r>
        <w:rPr>
          <w:color w:val="231F20"/>
          <w:spacing w:val="-34"/>
          <w:w w:val="105"/>
        </w:rPr>
        <w:t> </w:t>
      </w:r>
      <w:r>
        <w:rPr>
          <w:color w:val="231F20"/>
          <w:w w:val="105"/>
        </w:rPr>
        <w:t>gobernantes</w:t>
      </w:r>
      <w:r>
        <w:rPr>
          <w:color w:val="231F20"/>
          <w:w w:val="105"/>
          <w:position w:val="7"/>
          <w:sz w:val="12"/>
        </w:rPr>
        <w:t>5</w:t>
      </w:r>
      <w:r>
        <w:rPr>
          <w:color w:val="231F20"/>
          <w:w w:val="105"/>
        </w:rPr>
        <w:t>.</w:t>
      </w:r>
    </w:p>
    <w:p>
      <w:pPr>
        <w:pStyle w:val="BodyText"/>
        <w:spacing w:line="244" w:lineRule="auto"/>
        <w:ind w:left="103" w:right="115" w:firstLine="566"/>
        <w:jc w:val="both"/>
      </w:pPr>
      <w:r>
        <w:rPr>
          <w:color w:val="231F20"/>
        </w:rPr>
        <w:t>Sería necesario ver si, con el ocaso del Estado de derecho, tenemos a la vista algún otro conjunto simbólico capaz de sustituir a nuestro</w:t>
      </w:r>
      <w:r>
        <w:rPr>
          <w:color w:val="231F20"/>
          <w:spacing w:val="-26"/>
        </w:rPr>
        <w:t> </w:t>
      </w:r>
      <w:r>
        <w:rPr>
          <w:color w:val="231F20"/>
        </w:rPr>
        <w:t>“atlán- tico” (o quizá lo ha ya sustituido, sin que lo sepamos), como lo cristiano había remplazado (”sin hacer ruido”) a lo clásico de la mitología griega y romana: “Por eso se procedió a la destrucción de teatros, a la destrucción de los templos o su transformación en iglesias o santuarios cristianos”. A mí</w:t>
      </w:r>
      <w:r>
        <w:rPr>
          <w:color w:val="231F20"/>
          <w:spacing w:val="-17"/>
        </w:rPr>
        <w:t> </w:t>
      </w:r>
      <w:r>
        <w:rPr>
          <w:color w:val="231F20"/>
        </w:rPr>
        <w:t>me</w:t>
      </w:r>
      <w:r>
        <w:rPr>
          <w:color w:val="231F20"/>
          <w:spacing w:val="-17"/>
        </w:rPr>
        <w:t> </w:t>
      </w:r>
      <w:r>
        <w:rPr>
          <w:color w:val="231F20"/>
        </w:rPr>
        <w:t>interesa</w:t>
      </w:r>
      <w:r>
        <w:rPr>
          <w:color w:val="231F20"/>
          <w:spacing w:val="-17"/>
        </w:rPr>
        <w:t> </w:t>
      </w:r>
      <w:r>
        <w:rPr>
          <w:color w:val="231F20"/>
        </w:rPr>
        <w:t>el</w:t>
      </w:r>
      <w:r>
        <w:rPr>
          <w:color w:val="231F20"/>
          <w:spacing w:val="-17"/>
        </w:rPr>
        <w:t> </w:t>
      </w:r>
      <w:r>
        <w:rPr>
          <w:rFonts w:ascii="Arial" w:hAnsi="Arial"/>
          <w:i/>
          <w:color w:val="231F20"/>
        </w:rPr>
        <w:t>Welt</w:t>
      </w:r>
      <w:r>
        <w:rPr>
          <w:color w:val="231F20"/>
        </w:rPr>
        <w:t>–</w:t>
      </w:r>
      <w:r>
        <w:rPr>
          <w:rFonts w:ascii="Arial" w:hAnsi="Arial"/>
          <w:i/>
          <w:color w:val="231F20"/>
        </w:rPr>
        <w:t>Bild</w:t>
      </w:r>
      <w:r>
        <w:rPr>
          <w:color w:val="231F20"/>
        </w:rPr>
        <w:t>:</w:t>
      </w:r>
      <w:r>
        <w:rPr>
          <w:color w:val="231F20"/>
          <w:spacing w:val="-17"/>
        </w:rPr>
        <w:t> </w:t>
      </w:r>
      <w:r>
        <w:rPr>
          <w:color w:val="231F20"/>
        </w:rPr>
        <w:t>más</w:t>
      </w:r>
      <w:r>
        <w:rPr>
          <w:color w:val="231F20"/>
          <w:spacing w:val="-17"/>
        </w:rPr>
        <w:t> </w:t>
      </w:r>
      <w:r>
        <w:rPr>
          <w:color w:val="231F20"/>
        </w:rPr>
        <w:t>que</w:t>
      </w:r>
      <w:r>
        <w:rPr>
          <w:color w:val="231F20"/>
          <w:spacing w:val="-17"/>
        </w:rPr>
        <w:t> </w:t>
      </w:r>
      <w:r>
        <w:rPr>
          <w:color w:val="231F20"/>
        </w:rPr>
        <w:t>la</w:t>
      </w:r>
      <w:r>
        <w:rPr>
          <w:color w:val="231F20"/>
          <w:spacing w:val="-17"/>
        </w:rPr>
        <w:t> </w:t>
      </w:r>
      <w:r>
        <w:rPr>
          <w:rFonts w:ascii="Arial" w:hAnsi="Arial"/>
          <w:i/>
          <w:color w:val="231F20"/>
        </w:rPr>
        <w:t>Welt</w:t>
      </w:r>
      <w:r>
        <w:rPr>
          <w:color w:val="231F20"/>
        </w:rPr>
        <w:t>–</w:t>
      </w:r>
      <w:r>
        <w:rPr>
          <w:rFonts w:ascii="Arial" w:hAnsi="Arial"/>
          <w:i/>
          <w:color w:val="231F20"/>
        </w:rPr>
        <w:t>Anschauung</w:t>
      </w:r>
      <w:r>
        <w:rPr>
          <w:color w:val="231F20"/>
        </w:rPr>
        <w:t>:</w:t>
      </w:r>
      <w:r>
        <w:rPr>
          <w:color w:val="231F20"/>
          <w:spacing w:val="-17"/>
        </w:rPr>
        <w:t> </w:t>
      </w:r>
      <w:r>
        <w:rPr>
          <w:color w:val="231F20"/>
        </w:rPr>
        <w:t>es</w:t>
      </w:r>
      <w:r>
        <w:rPr>
          <w:color w:val="231F20"/>
          <w:spacing w:val="-17"/>
        </w:rPr>
        <w:t> </w:t>
      </w:r>
      <w:r>
        <w:rPr>
          <w:color w:val="231F20"/>
          <w:spacing w:val="-4"/>
        </w:rPr>
        <w:t>decir,</w:t>
      </w:r>
      <w:r>
        <w:rPr>
          <w:color w:val="231F20"/>
          <w:spacing w:val="-17"/>
        </w:rPr>
        <w:t> </w:t>
      </w:r>
      <w:r>
        <w:rPr>
          <w:color w:val="231F20"/>
        </w:rPr>
        <w:t>no</w:t>
      </w:r>
      <w:r>
        <w:rPr>
          <w:color w:val="231F20"/>
          <w:spacing w:val="-17"/>
        </w:rPr>
        <w:t> </w:t>
      </w:r>
      <w:r>
        <w:rPr>
          <w:color w:val="231F20"/>
        </w:rPr>
        <w:t>tan- to la “concepción” como el “cuadro” del mundo, o al menos este último como figura, cosa representable o representada, imagen o representación en sentido más estructural que espiritual</w:t>
      </w:r>
      <w:r>
        <w:rPr>
          <w:color w:val="231F20"/>
          <w:position w:val="7"/>
          <w:sz w:val="12"/>
        </w:rPr>
        <w:t>6</w:t>
      </w:r>
      <w:r>
        <w:rPr>
          <w:color w:val="231F20"/>
        </w:rPr>
        <w:t>. El </w:t>
      </w:r>
      <w:r>
        <w:rPr>
          <w:rFonts w:ascii="Arial" w:hAnsi="Arial"/>
          <w:i/>
          <w:color w:val="231F20"/>
        </w:rPr>
        <w:t>Weltbild </w:t>
      </w:r>
      <w:r>
        <w:rPr>
          <w:color w:val="231F20"/>
        </w:rPr>
        <w:t>se acerca e incluye, me parece, al sistema (aún más incluyente) simbólico y me permite </w:t>
      </w:r>
      <w:r>
        <w:rPr>
          <w:color w:val="231F20"/>
          <w:spacing w:val="64"/>
        </w:rPr>
        <w:t> </w:t>
      </w:r>
      <w:r>
        <w:rPr>
          <w:color w:val="231F20"/>
        </w:rPr>
        <w:t>decir</w:t>
      </w:r>
    </w:p>
    <w:p>
      <w:pPr>
        <w:pStyle w:val="BodyText"/>
        <w:spacing w:before="5"/>
        <w:rPr>
          <w:sz w:val="17"/>
        </w:rPr>
      </w:pPr>
      <w:r>
        <w:rPr/>
        <w:pict>
          <v:line style="position:absolute;mso-position-horizontal-relative:page;mso-position-vertical-relative:paragraph;z-index:5200;mso-wrap-distance-left:0;mso-wrap-distance-right:0" from="65.1968pt,12.633823pt" to="178.5828pt,12.633823pt" stroked="true" strokeweight=".3pt" strokecolor="#231f20">
            <w10:wrap type="topAndBottom"/>
          </v:line>
        </w:pict>
      </w:r>
    </w:p>
    <w:p>
      <w:pPr>
        <w:spacing w:line="204" w:lineRule="exact" w:before="8"/>
        <w:ind w:left="103" w:right="115" w:firstLine="0"/>
        <w:jc w:val="both"/>
        <w:rPr>
          <w:rFonts w:ascii="Calibri" w:hAnsi="Calibri"/>
          <w:sz w:val="17"/>
        </w:rPr>
      </w:pPr>
      <w:r>
        <w:rPr>
          <w:rFonts w:ascii="Calibri" w:hAnsi="Calibri"/>
          <w:color w:val="231F20"/>
          <w:position w:val="6"/>
          <w:sz w:val="10"/>
        </w:rPr>
        <w:t>3 </w:t>
      </w:r>
      <w:r>
        <w:rPr>
          <w:rFonts w:ascii="Calibri" w:hAnsi="Calibri"/>
          <w:color w:val="231F20"/>
          <w:sz w:val="17"/>
        </w:rPr>
        <w:t>P. Schiera, Presentación del volumen </w:t>
      </w:r>
      <w:r>
        <w:rPr>
          <w:rFonts w:ascii="Calibri" w:hAnsi="Calibri"/>
          <w:i/>
          <w:color w:val="231F20"/>
          <w:sz w:val="17"/>
        </w:rPr>
        <w:t>Origini dello Stato. Processi di formazione statale in Italia fra </w:t>
      </w:r>
      <w:r>
        <w:rPr>
          <w:rFonts w:ascii="Calibri" w:hAnsi="Calibri"/>
          <w:i/>
          <w:color w:val="231F20"/>
          <w:sz w:val="17"/>
        </w:rPr>
        <w:t>medioevo ed età moderna</w:t>
      </w:r>
      <w:r>
        <w:rPr>
          <w:rFonts w:ascii="Calibri" w:hAnsi="Calibri"/>
          <w:color w:val="231F20"/>
          <w:sz w:val="17"/>
        </w:rPr>
        <w:t>, editado por Giorgio Chittolini–Anthony Molho–Pierangelo Schiera, Bo- logna, il Mulino, 1994.</w:t>
      </w:r>
    </w:p>
    <w:p>
      <w:pPr>
        <w:spacing w:line="204" w:lineRule="exact" w:before="0"/>
        <w:ind w:left="103" w:right="114" w:firstLine="0"/>
        <w:jc w:val="both"/>
        <w:rPr>
          <w:rFonts w:ascii="Calibri" w:hAnsi="Calibri"/>
          <w:sz w:val="17"/>
        </w:rPr>
      </w:pPr>
      <w:r>
        <w:rPr>
          <w:rFonts w:ascii="Calibri" w:hAnsi="Calibri"/>
          <w:color w:val="231F20"/>
          <w:w w:val="105"/>
          <w:position w:val="6"/>
          <w:sz w:val="10"/>
        </w:rPr>
        <w:t>4</w:t>
      </w:r>
      <w:r>
        <w:rPr>
          <w:rFonts w:ascii="Calibri" w:hAnsi="Calibri"/>
          <w:color w:val="231F20"/>
          <w:spacing w:val="3"/>
          <w:w w:val="105"/>
          <w:position w:val="6"/>
          <w:sz w:val="10"/>
        </w:rPr>
        <w:t> </w:t>
      </w:r>
      <w:r>
        <w:rPr>
          <w:rFonts w:ascii="Calibri" w:hAnsi="Calibri"/>
          <w:color w:val="231F20"/>
          <w:w w:val="105"/>
          <w:sz w:val="17"/>
        </w:rPr>
        <w:t>Fue</w:t>
      </w:r>
      <w:r>
        <w:rPr>
          <w:rFonts w:ascii="Calibri" w:hAnsi="Calibri"/>
          <w:color w:val="231F20"/>
          <w:spacing w:val="-13"/>
          <w:w w:val="105"/>
          <w:sz w:val="17"/>
        </w:rPr>
        <w:t> </w:t>
      </w:r>
      <w:r>
        <w:rPr>
          <w:rFonts w:ascii="Calibri" w:hAnsi="Calibri"/>
          <w:color w:val="231F20"/>
          <w:w w:val="105"/>
          <w:sz w:val="17"/>
        </w:rPr>
        <w:t>Mauro</w:t>
      </w:r>
      <w:r>
        <w:rPr>
          <w:rFonts w:ascii="Calibri" w:hAnsi="Calibri"/>
          <w:color w:val="231F20"/>
          <w:spacing w:val="-13"/>
          <w:w w:val="105"/>
          <w:sz w:val="17"/>
        </w:rPr>
        <w:t> </w:t>
      </w:r>
      <w:r>
        <w:rPr>
          <w:rFonts w:ascii="Calibri" w:hAnsi="Calibri"/>
          <w:color w:val="231F20"/>
          <w:w w:val="105"/>
          <w:sz w:val="17"/>
        </w:rPr>
        <w:t>Pesce</w:t>
      </w:r>
      <w:r>
        <w:rPr>
          <w:rFonts w:ascii="Calibri" w:hAnsi="Calibri"/>
          <w:color w:val="231F20"/>
          <w:spacing w:val="-13"/>
          <w:w w:val="105"/>
          <w:sz w:val="17"/>
        </w:rPr>
        <w:t> </w:t>
      </w:r>
      <w:r>
        <w:rPr>
          <w:rFonts w:ascii="Calibri" w:hAnsi="Calibri"/>
          <w:color w:val="231F20"/>
          <w:w w:val="105"/>
          <w:sz w:val="17"/>
        </w:rPr>
        <w:t>—que</w:t>
      </w:r>
      <w:r>
        <w:rPr>
          <w:rFonts w:ascii="Calibri" w:hAnsi="Calibri"/>
          <w:color w:val="231F20"/>
          <w:spacing w:val="-13"/>
          <w:w w:val="105"/>
          <w:sz w:val="17"/>
        </w:rPr>
        <w:t> </w:t>
      </w:r>
      <w:r>
        <w:rPr>
          <w:rFonts w:ascii="Calibri" w:hAnsi="Calibri"/>
          <w:color w:val="231F20"/>
          <w:w w:val="105"/>
          <w:sz w:val="17"/>
        </w:rPr>
        <w:t>no</w:t>
      </w:r>
      <w:r>
        <w:rPr>
          <w:rFonts w:ascii="Calibri" w:hAnsi="Calibri"/>
          <w:color w:val="231F20"/>
          <w:spacing w:val="-13"/>
          <w:w w:val="105"/>
          <w:sz w:val="17"/>
        </w:rPr>
        <w:t> </w:t>
      </w:r>
      <w:r>
        <w:rPr>
          <w:rFonts w:ascii="Calibri" w:hAnsi="Calibri"/>
          <w:color w:val="231F20"/>
          <w:w w:val="105"/>
          <w:sz w:val="17"/>
        </w:rPr>
        <w:t>es</w:t>
      </w:r>
      <w:r>
        <w:rPr>
          <w:rFonts w:ascii="Calibri" w:hAnsi="Calibri"/>
          <w:color w:val="231F20"/>
          <w:spacing w:val="-13"/>
          <w:w w:val="105"/>
          <w:sz w:val="17"/>
        </w:rPr>
        <w:t> </w:t>
      </w:r>
      <w:r>
        <w:rPr>
          <w:rFonts w:ascii="Calibri" w:hAnsi="Calibri"/>
          <w:color w:val="231F20"/>
          <w:w w:val="105"/>
          <w:sz w:val="17"/>
        </w:rPr>
        <w:t>un</w:t>
      </w:r>
      <w:r>
        <w:rPr>
          <w:rFonts w:ascii="Calibri" w:hAnsi="Calibri"/>
          <w:color w:val="231F20"/>
          <w:spacing w:val="-13"/>
          <w:w w:val="105"/>
          <w:sz w:val="17"/>
        </w:rPr>
        <w:t> </w:t>
      </w:r>
      <w:r>
        <w:rPr>
          <w:rFonts w:ascii="Calibri" w:hAnsi="Calibri"/>
          <w:color w:val="231F20"/>
          <w:w w:val="105"/>
          <w:sz w:val="17"/>
        </w:rPr>
        <w:t>estudioso</w:t>
      </w:r>
      <w:r>
        <w:rPr>
          <w:rFonts w:ascii="Calibri" w:hAnsi="Calibri"/>
          <w:color w:val="231F20"/>
          <w:spacing w:val="-13"/>
          <w:w w:val="105"/>
          <w:sz w:val="17"/>
        </w:rPr>
        <w:t> </w:t>
      </w:r>
      <w:r>
        <w:rPr>
          <w:rFonts w:ascii="Calibri" w:hAnsi="Calibri"/>
          <w:color w:val="231F20"/>
          <w:w w:val="105"/>
          <w:sz w:val="17"/>
        </w:rPr>
        <w:t>del</w:t>
      </w:r>
      <w:r>
        <w:rPr>
          <w:rFonts w:ascii="Calibri" w:hAnsi="Calibri"/>
          <w:color w:val="231F20"/>
          <w:spacing w:val="-13"/>
          <w:w w:val="105"/>
          <w:sz w:val="17"/>
        </w:rPr>
        <w:t> </w:t>
      </w:r>
      <w:r>
        <w:rPr>
          <w:rFonts w:ascii="Calibri" w:hAnsi="Calibri"/>
          <w:color w:val="231F20"/>
          <w:w w:val="105"/>
          <w:sz w:val="17"/>
        </w:rPr>
        <w:t>Estado,</w:t>
      </w:r>
      <w:r>
        <w:rPr>
          <w:rFonts w:ascii="Calibri" w:hAnsi="Calibri"/>
          <w:color w:val="231F20"/>
          <w:spacing w:val="-13"/>
          <w:w w:val="105"/>
          <w:sz w:val="17"/>
        </w:rPr>
        <w:t> </w:t>
      </w:r>
      <w:r>
        <w:rPr>
          <w:rFonts w:ascii="Calibri" w:hAnsi="Calibri"/>
          <w:color w:val="231F20"/>
          <w:w w:val="105"/>
          <w:sz w:val="17"/>
        </w:rPr>
        <w:t>sino</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religión—</w:t>
      </w:r>
      <w:r>
        <w:rPr>
          <w:rFonts w:ascii="Calibri" w:hAnsi="Calibri"/>
          <w:color w:val="231F20"/>
          <w:spacing w:val="-13"/>
          <w:w w:val="105"/>
          <w:sz w:val="17"/>
        </w:rPr>
        <w:t> </w:t>
      </w:r>
      <w:r>
        <w:rPr>
          <w:rFonts w:ascii="Calibri" w:hAnsi="Calibri"/>
          <w:color w:val="231F20"/>
          <w:w w:val="105"/>
          <w:sz w:val="17"/>
        </w:rPr>
        <w:t>quien</w:t>
      </w:r>
      <w:r>
        <w:rPr>
          <w:rFonts w:ascii="Calibri" w:hAnsi="Calibri"/>
          <w:color w:val="231F20"/>
          <w:spacing w:val="-13"/>
          <w:w w:val="105"/>
          <w:sz w:val="17"/>
        </w:rPr>
        <w:t> </w:t>
      </w:r>
      <w:r>
        <w:rPr>
          <w:rFonts w:ascii="Calibri" w:hAnsi="Calibri"/>
          <w:color w:val="231F20"/>
          <w:w w:val="105"/>
          <w:sz w:val="17"/>
        </w:rPr>
        <w:t>presentó</w:t>
      </w:r>
      <w:r>
        <w:rPr>
          <w:rFonts w:ascii="Calibri" w:hAnsi="Calibri"/>
          <w:color w:val="231F20"/>
          <w:spacing w:val="-13"/>
          <w:w w:val="105"/>
          <w:sz w:val="17"/>
        </w:rPr>
        <w:t> </w:t>
      </w:r>
      <w:r>
        <w:rPr>
          <w:rFonts w:ascii="Calibri" w:hAnsi="Calibri"/>
          <w:color w:val="231F20"/>
          <w:w w:val="105"/>
          <w:sz w:val="17"/>
        </w:rPr>
        <w:t>como indispensable al sistema simbólico de la llamada modernidad “una mutación de la organización del</w:t>
      </w:r>
      <w:r>
        <w:rPr>
          <w:rFonts w:ascii="Calibri" w:hAnsi="Calibri"/>
          <w:color w:val="231F20"/>
          <w:spacing w:val="-21"/>
          <w:w w:val="105"/>
          <w:sz w:val="17"/>
        </w:rPr>
        <w:t> </w:t>
      </w:r>
      <w:r>
        <w:rPr>
          <w:rFonts w:ascii="Calibri" w:hAnsi="Calibri"/>
          <w:color w:val="231F20"/>
          <w:w w:val="105"/>
          <w:sz w:val="17"/>
        </w:rPr>
        <w:t>vivir</w:t>
      </w:r>
      <w:r>
        <w:rPr>
          <w:rFonts w:ascii="Calibri" w:hAnsi="Calibri"/>
          <w:color w:val="231F20"/>
          <w:spacing w:val="-19"/>
          <w:w w:val="105"/>
          <w:sz w:val="17"/>
        </w:rPr>
        <w:t> </w:t>
      </w:r>
      <w:r>
        <w:rPr>
          <w:rFonts w:ascii="Calibri" w:hAnsi="Calibri"/>
          <w:color w:val="231F20"/>
          <w:w w:val="105"/>
          <w:sz w:val="17"/>
        </w:rPr>
        <w:t>asociado,</w:t>
      </w:r>
      <w:r>
        <w:rPr>
          <w:rFonts w:ascii="Calibri" w:hAnsi="Calibri"/>
          <w:color w:val="231F20"/>
          <w:spacing w:val="-19"/>
          <w:w w:val="105"/>
          <w:sz w:val="17"/>
        </w:rPr>
        <w:t> </w:t>
      </w:r>
      <w:r>
        <w:rPr>
          <w:rFonts w:ascii="Calibri" w:hAnsi="Calibri"/>
          <w:color w:val="231F20"/>
          <w:w w:val="105"/>
          <w:sz w:val="17"/>
        </w:rPr>
        <w:t>resumible</w:t>
      </w:r>
      <w:r>
        <w:rPr>
          <w:rFonts w:ascii="Calibri" w:hAnsi="Calibri"/>
          <w:color w:val="231F20"/>
          <w:spacing w:val="-19"/>
          <w:w w:val="105"/>
          <w:sz w:val="17"/>
        </w:rPr>
        <w:t> </w:t>
      </w:r>
      <w:r>
        <w:rPr>
          <w:rFonts w:ascii="Calibri" w:hAnsi="Calibri"/>
          <w:color w:val="231F20"/>
          <w:w w:val="105"/>
          <w:sz w:val="17"/>
        </w:rPr>
        <w:t>[entonces</w:t>
      </w:r>
      <w:r>
        <w:rPr>
          <w:rFonts w:ascii="Calibri" w:hAnsi="Calibri"/>
          <w:color w:val="231F20"/>
          <w:spacing w:val="-19"/>
          <w:w w:val="105"/>
          <w:sz w:val="17"/>
        </w:rPr>
        <w:t> </w:t>
      </w:r>
      <w:r>
        <w:rPr>
          <w:rFonts w:ascii="Calibri" w:hAnsi="Calibri"/>
          <w:color w:val="231F20"/>
          <w:w w:val="105"/>
          <w:sz w:val="17"/>
        </w:rPr>
        <w:t>saliendo</w:t>
      </w:r>
      <w:r>
        <w:rPr>
          <w:rFonts w:ascii="Calibri" w:hAnsi="Calibri"/>
          <w:color w:val="231F20"/>
          <w:spacing w:val="-19"/>
          <w:w w:val="105"/>
          <w:sz w:val="17"/>
        </w:rPr>
        <w:t> </w:t>
      </w:r>
      <w:r>
        <w:rPr>
          <w:rFonts w:ascii="Calibri" w:hAnsi="Calibri"/>
          <w:color w:val="231F20"/>
          <w:w w:val="105"/>
          <w:sz w:val="17"/>
        </w:rPr>
        <w:t>de</w:t>
      </w:r>
      <w:r>
        <w:rPr>
          <w:rFonts w:ascii="Calibri" w:hAnsi="Calibri"/>
          <w:color w:val="231F20"/>
          <w:spacing w:val="-19"/>
          <w:w w:val="105"/>
          <w:sz w:val="17"/>
        </w:rPr>
        <w:t> </w:t>
      </w:r>
      <w:r>
        <w:rPr>
          <w:rFonts w:ascii="Calibri" w:hAnsi="Calibri"/>
          <w:color w:val="231F20"/>
          <w:w w:val="105"/>
          <w:sz w:val="17"/>
        </w:rPr>
        <w:t>lo</w:t>
      </w:r>
      <w:r>
        <w:rPr>
          <w:rFonts w:ascii="Calibri" w:hAnsi="Calibri"/>
          <w:color w:val="231F20"/>
          <w:spacing w:val="-19"/>
          <w:w w:val="105"/>
          <w:sz w:val="17"/>
        </w:rPr>
        <w:t> </w:t>
      </w:r>
      <w:r>
        <w:rPr>
          <w:rFonts w:ascii="Calibri" w:hAnsi="Calibri"/>
          <w:color w:val="231F20"/>
          <w:w w:val="105"/>
          <w:sz w:val="17"/>
        </w:rPr>
        <w:t>cristiano]</w:t>
      </w:r>
      <w:r>
        <w:rPr>
          <w:rFonts w:ascii="Calibri" w:hAnsi="Calibri"/>
          <w:color w:val="231F20"/>
          <w:spacing w:val="-19"/>
          <w:w w:val="105"/>
          <w:sz w:val="17"/>
        </w:rPr>
        <w:t> </w:t>
      </w:r>
      <w:r>
        <w:rPr>
          <w:rFonts w:ascii="Calibri" w:hAnsi="Calibri"/>
          <w:color w:val="231F20"/>
          <w:w w:val="105"/>
          <w:sz w:val="17"/>
        </w:rPr>
        <w:t>en</w:t>
      </w:r>
      <w:r>
        <w:rPr>
          <w:rFonts w:ascii="Calibri" w:hAnsi="Calibri"/>
          <w:color w:val="231F20"/>
          <w:spacing w:val="-19"/>
          <w:w w:val="105"/>
          <w:sz w:val="17"/>
        </w:rPr>
        <w:t> </w:t>
      </w:r>
      <w:r>
        <w:rPr>
          <w:rFonts w:ascii="Calibri" w:hAnsi="Calibri"/>
          <w:color w:val="231F20"/>
          <w:w w:val="105"/>
          <w:sz w:val="17"/>
        </w:rPr>
        <w:t>la</w:t>
      </w:r>
      <w:r>
        <w:rPr>
          <w:rFonts w:ascii="Calibri" w:hAnsi="Calibri"/>
          <w:color w:val="231F20"/>
          <w:spacing w:val="-19"/>
          <w:w w:val="105"/>
          <w:sz w:val="17"/>
        </w:rPr>
        <w:t> </w:t>
      </w:r>
      <w:r>
        <w:rPr>
          <w:rFonts w:ascii="Calibri" w:hAnsi="Calibri"/>
          <w:color w:val="231F20"/>
          <w:w w:val="105"/>
          <w:sz w:val="17"/>
        </w:rPr>
        <w:t>creación</w:t>
      </w:r>
      <w:r>
        <w:rPr>
          <w:rFonts w:ascii="Calibri" w:hAnsi="Calibri"/>
          <w:color w:val="231F20"/>
          <w:spacing w:val="-19"/>
          <w:w w:val="105"/>
          <w:sz w:val="17"/>
        </w:rPr>
        <w:t> </w:t>
      </w:r>
      <w:r>
        <w:rPr>
          <w:rFonts w:ascii="Calibri" w:hAnsi="Calibri"/>
          <w:color w:val="231F20"/>
          <w:w w:val="105"/>
          <w:sz w:val="17"/>
        </w:rPr>
        <w:t>del</w:t>
      </w:r>
      <w:r>
        <w:rPr>
          <w:rFonts w:ascii="Calibri" w:hAnsi="Calibri"/>
          <w:color w:val="231F20"/>
          <w:spacing w:val="-19"/>
          <w:w w:val="105"/>
          <w:sz w:val="17"/>
        </w:rPr>
        <w:t> </w:t>
      </w:r>
      <w:r>
        <w:rPr>
          <w:rFonts w:ascii="Calibri" w:hAnsi="Calibri"/>
          <w:color w:val="231F20"/>
          <w:w w:val="105"/>
          <w:sz w:val="17"/>
        </w:rPr>
        <w:t>Estado</w:t>
      </w:r>
      <w:r>
        <w:rPr>
          <w:rFonts w:ascii="Calibri" w:hAnsi="Calibri"/>
          <w:color w:val="231F20"/>
          <w:spacing w:val="-19"/>
          <w:w w:val="105"/>
          <w:sz w:val="17"/>
        </w:rPr>
        <w:t> </w:t>
      </w:r>
      <w:r>
        <w:rPr>
          <w:rFonts w:ascii="Calibri" w:hAnsi="Calibri"/>
          <w:color w:val="231F20"/>
          <w:w w:val="105"/>
          <w:sz w:val="17"/>
        </w:rPr>
        <w:t>moderno, es</w:t>
      </w:r>
      <w:r>
        <w:rPr>
          <w:rFonts w:ascii="Calibri" w:hAnsi="Calibri"/>
          <w:color w:val="231F20"/>
          <w:spacing w:val="-15"/>
          <w:w w:val="105"/>
          <w:sz w:val="17"/>
        </w:rPr>
        <w:t> </w:t>
      </w:r>
      <w:r>
        <w:rPr>
          <w:rFonts w:ascii="Calibri" w:hAnsi="Calibri"/>
          <w:color w:val="231F20"/>
          <w:w w:val="105"/>
          <w:sz w:val="17"/>
        </w:rPr>
        <w:t>decir</w:t>
      </w:r>
      <w:r>
        <w:rPr>
          <w:rFonts w:ascii="Calibri" w:hAnsi="Calibri"/>
          <w:color w:val="231F20"/>
          <w:spacing w:val="-15"/>
          <w:w w:val="105"/>
          <w:sz w:val="17"/>
        </w:rPr>
        <w:t> </w:t>
      </w:r>
      <w:r>
        <w:rPr>
          <w:rFonts w:ascii="Calibri" w:hAnsi="Calibri"/>
          <w:color w:val="231F20"/>
          <w:w w:val="105"/>
          <w:sz w:val="17"/>
        </w:rPr>
        <w:t>en</w:t>
      </w:r>
      <w:r>
        <w:rPr>
          <w:rFonts w:ascii="Calibri" w:hAnsi="Calibri"/>
          <w:color w:val="231F20"/>
          <w:spacing w:val="-15"/>
          <w:w w:val="105"/>
          <w:sz w:val="17"/>
        </w:rPr>
        <w:t> </w:t>
      </w:r>
      <w:r>
        <w:rPr>
          <w:rFonts w:ascii="Calibri" w:hAnsi="Calibri"/>
          <w:color w:val="231F20"/>
          <w:w w:val="105"/>
          <w:sz w:val="17"/>
        </w:rPr>
        <w:t>la</w:t>
      </w:r>
      <w:r>
        <w:rPr>
          <w:rFonts w:ascii="Calibri" w:hAnsi="Calibri"/>
          <w:color w:val="231F20"/>
          <w:spacing w:val="-15"/>
          <w:w w:val="105"/>
          <w:sz w:val="17"/>
        </w:rPr>
        <w:t> </w:t>
      </w:r>
      <w:r>
        <w:rPr>
          <w:rFonts w:ascii="Calibri" w:hAnsi="Calibri"/>
          <w:color w:val="231F20"/>
          <w:w w:val="105"/>
          <w:sz w:val="17"/>
        </w:rPr>
        <w:t>práctica</w:t>
      </w:r>
      <w:r>
        <w:rPr>
          <w:rFonts w:ascii="Calibri" w:hAnsi="Calibri"/>
          <w:color w:val="231F20"/>
          <w:spacing w:val="-17"/>
          <w:w w:val="105"/>
          <w:sz w:val="17"/>
        </w:rPr>
        <w:t> </w:t>
      </w:r>
      <w:r>
        <w:rPr>
          <w:rFonts w:ascii="Calibri" w:hAnsi="Calibri"/>
          <w:color w:val="231F20"/>
          <w:w w:val="105"/>
          <w:sz w:val="17"/>
        </w:rPr>
        <w:t>y</w:t>
      </w:r>
      <w:r>
        <w:rPr>
          <w:rFonts w:ascii="Calibri" w:hAnsi="Calibri"/>
          <w:color w:val="231F20"/>
          <w:spacing w:val="-15"/>
          <w:w w:val="105"/>
          <w:sz w:val="17"/>
        </w:rPr>
        <w:t> </w:t>
      </w:r>
      <w:r>
        <w:rPr>
          <w:rFonts w:ascii="Calibri" w:hAnsi="Calibri"/>
          <w:color w:val="231F20"/>
          <w:w w:val="105"/>
          <w:sz w:val="17"/>
        </w:rPr>
        <w:t>en</w:t>
      </w:r>
      <w:r>
        <w:rPr>
          <w:rFonts w:ascii="Calibri" w:hAnsi="Calibri"/>
          <w:color w:val="231F20"/>
          <w:spacing w:val="-15"/>
          <w:w w:val="105"/>
          <w:sz w:val="17"/>
        </w:rPr>
        <w:t> </w:t>
      </w:r>
      <w:r>
        <w:rPr>
          <w:rFonts w:ascii="Calibri" w:hAnsi="Calibri"/>
          <w:color w:val="231F20"/>
          <w:w w:val="105"/>
          <w:sz w:val="17"/>
        </w:rPr>
        <w:t>la</w:t>
      </w:r>
      <w:r>
        <w:rPr>
          <w:rFonts w:ascii="Calibri" w:hAnsi="Calibri"/>
          <w:color w:val="231F20"/>
          <w:spacing w:val="-15"/>
          <w:w w:val="105"/>
          <w:sz w:val="17"/>
        </w:rPr>
        <w:t> </w:t>
      </w:r>
      <w:r>
        <w:rPr>
          <w:rFonts w:ascii="Calibri" w:hAnsi="Calibri"/>
          <w:color w:val="231F20"/>
          <w:w w:val="105"/>
          <w:sz w:val="17"/>
        </w:rPr>
        <w:t>teoría</w:t>
      </w:r>
      <w:r>
        <w:rPr>
          <w:rFonts w:ascii="Calibri" w:hAnsi="Calibri"/>
          <w:color w:val="231F20"/>
          <w:spacing w:val="-15"/>
          <w:w w:val="105"/>
          <w:sz w:val="17"/>
        </w:rPr>
        <w:t> </w:t>
      </w:r>
      <w:r>
        <w:rPr>
          <w:rFonts w:ascii="Calibri" w:hAnsi="Calibri"/>
          <w:color w:val="231F20"/>
          <w:w w:val="105"/>
          <w:sz w:val="17"/>
        </w:rPr>
        <w:t>de</w:t>
      </w:r>
      <w:r>
        <w:rPr>
          <w:rFonts w:ascii="Calibri" w:hAnsi="Calibri"/>
          <w:color w:val="231F20"/>
          <w:spacing w:val="-15"/>
          <w:w w:val="105"/>
          <w:sz w:val="17"/>
        </w:rPr>
        <w:t> </w:t>
      </w:r>
      <w:r>
        <w:rPr>
          <w:rFonts w:ascii="Calibri" w:hAnsi="Calibri"/>
          <w:color w:val="231F20"/>
          <w:w w:val="105"/>
          <w:sz w:val="17"/>
        </w:rPr>
        <w:t>la</w:t>
      </w:r>
      <w:r>
        <w:rPr>
          <w:rFonts w:ascii="Calibri" w:hAnsi="Calibri"/>
          <w:color w:val="231F20"/>
          <w:spacing w:val="-15"/>
          <w:w w:val="105"/>
          <w:sz w:val="17"/>
        </w:rPr>
        <w:t> </w:t>
      </w:r>
      <w:r>
        <w:rPr>
          <w:rFonts w:ascii="Calibri" w:hAnsi="Calibri"/>
          <w:color w:val="231F20"/>
          <w:w w:val="105"/>
          <w:sz w:val="17"/>
        </w:rPr>
        <w:t>política”:</w:t>
      </w:r>
      <w:r>
        <w:rPr>
          <w:rFonts w:ascii="Calibri" w:hAnsi="Calibri"/>
          <w:color w:val="231F20"/>
          <w:spacing w:val="-15"/>
          <w:w w:val="105"/>
          <w:sz w:val="17"/>
        </w:rPr>
        <w:t> </w:t>
      </w:r>
      <w:r>
        <w:rPr>
          <w:rFonts w:ascii="Calibri" w:hAnsi="Calibri"/>
          <w:color w:val="231F20"/>
          <w:w w:val="105"/>
          <w:sz w:val="17"/>
        </w:rPr>
        <w:t>M.</w:t>
      </w:r>
      <w:r>
        <w:rPr>
          <w:rFonts w:ascii="Calibri" w:hAnsi="Calibri"/>
          <w:color w:val="231F20"/>
          <w:spacing w:val="-15"/>
          <w:w w:val="105"/>
          <w:sz w:val="17"/>
        </w:rPr>
        <w:t> </w:t>
      </w:r>
      <w:r>
        <w:rPr>
          <w:rFonts w:ascii="Calibri" w:hAnsi="Calibri"/>
          <w:color w:val="231F20"/>
          <w:w w:val="105"/>
          <w:sz w:val="17"/>
        </w:rPr>
        <w:t>Pesce,</w:t>
      </w:r>
      <w:r>
        <w:rPr>
          <w:rFonts w:ascii="Calibri" w:hAnsi="Calibri"/>
          <w:color w:val="231F20"/>
          <w:spacing w:val="-15"/>
          <w:w w:val="105"/>
          <w:sz w:val="17"/>
        </w:rPr>
        <w:t> </w:t>
      </w:r>
      <w:r>
        <w:rPr>
          <w:rFonts w:ascii="Calibri" w:hAnsi="Calibri"/>
          <w:color w:val="231F20"/>
          <w:w w:val="105"/>
          <w:sz w:val="17"/>
        </w:rPr>
        <w:t>“La</w:t>
      </w:r>
      <w:r>
        <w:rPr>
          <w:rFonts w:ascii="Calibri" w:hAnsi="Calibri"/>
          <w:color w:val="231F20"/>
          <w:spacing w:val="-15"/>
          <w:w w:val="105"/>
          <w:sz w:val="17"/>
        </w:rPr>
        <w:t> </w:t>
      </w:r>
      <w:r>
        <w:rPr>
          <w:rFonts w:ascii="Calibri" w:hAnsi="Calibri"/>
          <w:color w:val="231F20"/>
          <w:w w:val="105"/>
          <w:sz w:val="17"/>
        </w:rPr>
        <w:t>modernità</w:t>
      </w:r>
      <w:r>
        <w:rPr>
          <w:rFonts w:ascii="Calibri" w:hAnsi="Calibri"/>
          <w:color w:val="231F20"/>
          <w:spacing w:val="-15"/>
          <w:w w:val="105"/>
          <w:sz w:val="17"/>
        </w:rPr>
        <w:t> </w:t>
      </w:r>
      <w:r>
        <w:rPr>
          <w:rFonts w:ascii="Calibri" w:hAnsi="Calibri"/>
          <w:color w:val="231F20"/>
          <w:w w:val="105"/>
          <w:sz w:val="17"/>
        </w:rPr>
        <w:t>ha</w:t>
      </w:r>
      <w:r>
        <w:rPr>
          <w:rFonts w:ascii="Calibri" w:hAnsi="Calibri"/>
          <w:color w:val="231F20"/>
          <w:spacing w:val="-15"/>
          <w:w w:val="105"/>
          <w:sz w:val="17"/>
        </w:rPr>
        <w:t> </w:t>
      </w:r>
      <w:r>
        <w:rPr>
          <w:rFonts w:ascii="Calibri" w:hAnsi="Calibri"/>
          <w:color w:val="231F20"/>
          <w:w w:val="105"/>
          <w:sz w:val="17"/>
        </w:rPr>
        <w:t>costruito</w:t>
      </w:r>
      <w:r>
        <w:rPr>
          <w:rFonts w:ascii="Calibri" w:hAnsi="Calibri"/>
          <w:color w:val="231F20"/>
          <w:spacing w:val="-15"/>
          <w:w w:val="105"/>
          <w:sz w:val="17"/>
        </w:rPr>
        <w:t> </w:t>
      </w:r>
      <w:r>
        <w:rPr>
          <w:rFonts w:ascii="Calibri" w:hAnsi="Calibri"/>
          <w:color w:val="231F20"/>
          <w:w w:val="105"/>
          <w:sz w:val="17"/>
        </w:rPr>
        <w:t>un</w:t>
      </w:r>
      <w:r>
        <w:rPr>
          <w:rFonts w:ascii="Calibri" w:hAnsi="Calibri"/>
          <w:color w:val="231F20"/>
          <w:spacing w:val="-15"/>
          <w:w w:val="105"/>
          <w:sz w:val="17"/>
        </w:rPr>
        <w:t> </w:t>
      </w:r>
      <w:r>
        <w:rPr>
          <w:rFonts w:ascii="Calibri" w:hAnsi="Calibri"/>
          <w:color w:val="231F20"/>
          <w:w w:val="105"/>
          <w:sz w:val="17"/>
        </w:rPr>
        <w:t>sistema simbolico</w:t>
      </w:r>
      <w:r>
        <w:rPr>
          <w:rFonts w:ascii="Calibri" w:hAnsi="Calibri"/>
          <w:color w:val="231F20"/>
          <w:spacing w:val="-9"/>
          <w:w w:val="105"/>
          <w:sz w:val="17"/>
        </w:rPr>
        <w:t> </w:t>
      </w:r>
      <w:r>
        <w:rPr>
          <w:rFonts w:ascii="Calibri" w:hAnsi="Calibri"/>
          <w:color w:val="231F20"/>
          <w:w w:val="105"/>
          <w:sz w:val="17"/>
        </w:rPr>
        <w:t>alternativo</w:t>
      </w:r>
      <w:r>
        <w:rPr>
          <w:rFonts w:ascii="Calibri" w:hAnsi="Calibri"/>
          <w:color w:val="231F20"/>
          <w:spacing w:val="-9"/>
          <w:w w:val="105"/>
          <w:sz w:val="17"/>
        </w:rPr>
        <w:t> </w:t>
      </w:r>
      <w:r>
        <w:rPr>
          <w:rFonts w:ascii="Calibri" w:hAnsi="Calibri"/>
          <w:color w:val="231F20"/>
          <w:w w:val="105"/>
          <w:sz w:val="17"/>
        </w:rPr>
        <w:t>a</w:t>
      </w:r>
      <w:r>
        <w:rPr>
          <w:rFonts w:ascii="Calibri" w:hAnsi="Calibri"/>
          <w:color w:val="231F20"/>
          <w:spacing w:val="-9"/>
          <w:w w:val="105"/>
          <w:sz w:val="17"/>
        </w:rPr>
        <w:t> </w:t>
      </w:r>
      <w:r>
        <w:rPr>
          <w:rFonts w:ascii="Calibri" w:hAnsi="Calibri"/>
          <w:color w:val="231F20"/>
          <w:w w:val="105"/>
          <w:sz w:val="17"/>
        </w:rPr>
        <w:t>quello</w:t>
      </w:r>
      <w:r>
        <w:rPr>
          <w:rFonts w:ascii="Calibri" w:hAnsi="Calibri"/>
          <w:color w:val="231F20"/>
          <w:spacing w:val="-9"/>
          <w:w w:val="105"/>
          <w:sz w:val="17"/>
        </w:rPr>
        <w:t> </w:t>
      </w:r>
      <w:r>
        <w:rPr>
          <w:rFonts w:ascii="Calibri" w:hAnsi="Calibri"/>
          <w:color w:val="231F20"/>
          <w:w w:val="105"/>
          <w:sz w:val="17"/>
        </w:rPr>
        <w:t>cristiano</w:t>
      </w:r>
      <w:r>
        <w:rPr>
          <w:rFonts w:ascii="Calibri" w:hAnsi="Calibri"/>
          <w:color w:val="231F20"/>
          <w:spacing w:val="-9"/>
          <w:w w:val="105"/>
          <w:sz w:val="17"/>
        </w:rPr>
        <w:t> </w:t>
      </w:r>
      <w:r>
        <w:rPr>
          <w:rFonts w:ascii="Calibri" w:hAnsi="Calibri"/>
          <w:color w:val="231F20"/>
          <w:w w:val="105"/>
          <w:sz w:val="17"/>
        </w:rPr>
        <w:t>antico?”,</w:t>
      </w:r>
      <w:r>
        <w:rPr>
          <w:rFonts w:ascii="Calibri" w:hAnsi="Calibri"/>
          <w:color w:val="231F20"/>
          <w:spacing w:val="-9"/>
          <w:w w:val="105"/>
          <w:sz w:val="17"/>
        </w:rPr>
        <w:t> </w:t>
      </w:r>
      <w:r>
        <w:rPr>
          <w:rFonts w:ascii="Calibri" w:hAnsi="Calibri"/>
          <w:color w:val="231F20"/>
          <w:w w:val="105"/>
          <w:sz w:val="17"/>
        </w:rPr>
        <w:t>Ch.</w:t>
      </w:r>
      <w:r>
        <w:rPr>
          <w:rFonts w:ascii="Calibri" w:hAnsi="Calibri"/>
          <w:color w:val="231F20"/>
          <w:spacing w:val="-9"/>
          <w:w w:val="105"/>
          <w:sz w:val="17"/>
        </w:rPr>
        <w:t> </w:t>
      </w:r>
      <w:r>
        <w:rPr>
          <w:rFonts w:ascii="Calibri" w:hAnsi="Calibri"/>
          <w:color w:val="231F20"/>
          <w:w w:val="105"/>
          <w:sz w:val="17"/>
        </w:rPr>
        <w:t>Dipper</w:t>
      </w:r>
      <w:r>
        <w:rPr>
          <w:rFonts w:ascii="Calibri" w:hAnsi="Calibri"/>
          <w:color w:val="231F20"/>
          <w:spacing w:val="-11"/>
          <w:w w:val="105"/>
          <w:sz w:val="17"/>
        </w:rPr>
        <w:t> </w:t>
      </w:r>
      <w:r>
        <w:rPr>
          <w:rFonts w:ascii="Calibri" w:hAnsi="Calibri"/>
          <w:color w:val="231F20"/>
          <w:w w:val="105"/>
          <w:sz w:val="17"/>
        </w:rPr>
        <w:t>y</w:t>
      </w:r>
      <w:r>
        <w:rPr>
          <w:rFonts w:ascii="Calibri" w:hAnsi="Calibri"/>
          <w:color w:val="231F20"/>
          <w:spacing w:val="-9"/>
          <w:w w:val="105"/>
          <w:sz w:val="17"/>
        </w:rPr>
        <w:t> </w:t>
      </w:r>
      <w:r>
        <w:rPr>
          <w:rFonts w:ascii="Calibri" w:hAnsi="Calibri"/>
          <w:color w:val="231F20"/>
          <w:spacing w:val="-10"/>
          <w:w w:val="105"/>
          <w:sz w:val="17"/>
        </w:rPr>
        <w:t>P.</w:t>
      </w:r>
      <w:r>
        <w:rPr>
          <w:rFonts w:ascii="Calibri" w:hAnsi="Calibri"/>
          <w:color w:val="231F20"/>
          <w:spacing w:val="-9"/>
          <w:w w:val="105"/>
          <w:sz w:val="17"/>
        </w:rPr>
        <w:t> </w:t>
      </w:r>
      <w:r>
        <w:rPr>
          <w:rFonts w:ascii="Calibri" w:hAnsi="Calibri"/>
          <w:color w:val="231F20"/>
          <w:w w:val="105"/>
          <w:sz w:val="17"/>
        </w:rPr>
        <w:t>Pombeni</w:t>
      </w:r>
      <w:r>
        <w:rPr>
          <w:rFonts w:ascii="Calibri" w:hAnsi="Calibri"/>
          <w:color w:val="231F20"/>
          <w:spacing w:val="-9"/>
          <w:w w:val="105"/>
          <w:sz w:val="17"/>
        </w:rPr>
        <w:t> </w:t>
      </w:r>
      <w:r>
        <w:rPr>
          <w:rFonts w:ascii="Calibri" w:hAnsi="Calibri"/>
          <w:color w:val="231F20"/>
          <w:w w:val="105"/>
          <w:sz w:val="17"/>
        </w:rPr>
        <w:t>(Eds.)</w:t>
      </w:r>
      <w:r>
        <w:rPr>
          <w:rFonts w:ascii="Calibri" w:hAnsi="Calibri"/>
          <w:color w:val="231F20"/>
          <w:spacing w:val="-10"/>
          <w:w w:val="105"/>
          <w:sz w:val="17"/>
        </w:rPr>
        <w:t> </w:t>
      </w:r>
      <w:r>
        <w:rPr>
          <w:rFonts w:ascii="Calibri" w:hAnsi="Calibri"/>
          <w:i/>
          <w:color w:val="231F20"/>
          <w:w w:val="105"/>
          <w:sz w:val="17"/>
        </w:rPr>
        <w:t>Le</w:t>
      </w:r>
      <w:r>
        <w:rPr>
          <w:rFonts w:ascii="Calibri" w:hAnsi="Calibri"/>
          <w:i/>
          <w:color w:val="231F20"/>
          <w:spacing w:val="-10"/>
          <w:w w:val="105"/>
          <w:sz w:val="17"/>
        </w:rPr>
        <w:t> </w:t>
      </w:r>
      <w:r>
        <w:rPr>
          <w:rFonts w:ascii="Calibri" w:hAnsi="Calibri"/>
          <w:i/>
          <w:color w:val="231F20"/>
          <w:w w:val="105"/>
          <w:sz w:val="17"/>
        </w:rPr>
        <w:t>ragioni</w:t>
      </w:r>
      <w:r>
        <w:rPr>
          <w:rFonts w:ascii="Calibri" w:hAnsi="Calibri"/>
          <w:i/>
          <w:color w:val="231F20"/>
          <w:spacing w:val="-10"/>
          <w:w w:val="105"/>
          <w:sz w:val="17"/>
        </w:rPr>
        <w:t> </w:t>
      </w:r>
      <w:r>
        <w:rPr>
          <w:rFonts w:ascii="Calibri" w:hAnsi="Calibri"/>
          <w:i/>
          <w:color w:val="231F20"/>
          <w:w w:val="105"/>
          <w:sz w:val="17"/>
        </w:rPr>
        <w:t>del</w:t>
      </w:r>
      <w:r>
        <w:rPr>
          <w:rFonts w:ascii="Calibri" w:hAnsi="Calibri"/>
          <w:i/>
          <w:color w:val="231F20"/>
          <w:spacing w:val="-10"/>
          <w:w w:val="105"/>
          <w:sz w:val="17"/>
        </w:rPr>
        <w:t> </w:t>
      </w:r>
      <w:r>
        <w:rPr>
          <w:rFonts w:ascii="Calibri" w:hAnsi="Calibri"/>
          <w:i/>
          <w:color w:val="231F20"/>
          <w:w w:val="105"/>
          <w:sz w:val="17"/>
        </w:rPr>
        <w:t>mo- </w:t>
      </w:r>
      <w:r>
        <w:rPr>
          <w:rFonts w:ascii="Calibri" w:hAnsi="Calibri"/>
          <w:i/>
          <w:color w:val="231F20"/>
          <w:sz w:val="17"/>
        </w:rPr>
        <w:t>derno</w:t>
      </w:r>
      <w:r>
        <w:rPr>
          <w:rFonts w:ascii="Calibri" w:hAnsi="Calibri"/>
          <w:color w:val="231F20"/>
          <w:sz w:val="17"/>
        </w:rPr>
        <w:t>,</w:t>
      </w:r>
      <w:r>
        <w:rPr>
          <w:rFonts w:ascii="Calibri" w:hAnsi="Calibri"/>
          <w:color w:val="231F20"/>
          <w:spacing w:val="-6"/>
          <w:sz w:val="17"/>
        </w:rPr>
        <w:t> </w:t>
      </w:r>
      <w:r>
        <w:rPr>
          <w:rFonts w:ascii="Calibri" w:hAnsi="Calibri"/>
          <w:color w:val="231F20"/>
          <w:sz w:val="17"/>
        </w:rPr>
        <w:t>Bologna,</w:t>
      </w:r>
      <w:r>
        <w:rPr>
          <w:rFonts w:ascii="Calibri" w:hAnsi="Calibri"/>
          <w:color w:val="231F20"/>
          <w:spacing w:val="-6"/>
          <w:sz w:val="17"/>
        </w:rPr>
        <w:t> </w:t>
      </w:r>
      <w:r>
        <w:rPr>
          <w:rFonts w:ascii="Calibri" w:hAnsi="Calibri"/>
          <w:color w:val="231F20"/>
          <w:sz w:val="17"/>
        </w:rPr>
        <w:t>il</w:t>
      </w:r>
      <w:r>
        <w:rPr>
          <w:rFonts w:ascii="Calibri" w:hAnsi="Calibri"/>
          <w:color w:val="231F20"/>
          <w:spacing w:val="-6"/>
          <w:sz w:val="17"/>
        </w:rPr>
        <w:t> </w:t>
      </w:r>
      <w:r>
        <w:rPr>
          <w:rFonts w:ascii="Calibri" w:hAnsi="Calibri"/>
          <w:color w:val="231F20"/>
          <w:sz w:val="17"/>
        </w:rPr>
        <w:t>Mulino,</w:t>
      </w:r>
      <w:r>
        <w:rPr>
          <w:rFonts w:ascii="Calibri" w:hAnsi="Calibri"/>
          <w:color w:val="231F20"/>
          <w:spacing w:val="-6"/>
          <w:sz w:val="17"/>
        </w:rPr>
        <w:t> </w:t>
      </w:r>
      <w:r>
        <w:rPr>
          <w:rFonts w:ascii="Calibri" w:hAnsi="Calibri"/>
          <w:color w:val="231F20"/>
          <w:sz w:val="17"/>
        </w:rPr>
        <w:t>2014,</w:t>
      </w:r>
      <w:r>
        <w:rPr>
          <w:rFonts w:ascii="Calibri" w:hAnsi="Calibri"/>
          <w:color w:val="231F20"/>
          <w:spacing w:val="-6"/>
          <w:sz w:val="17"/>
        </w:rPr>
        <w:t> </w:t>
      </w:r>
      <w:r>
        <w:rPr>
          <w:rFonts w:ascii="Calibri" w:hAnsi="Calibri"/>
          <w:color w:val="231F20"/>
          <w:sz w:val="17"/>
        </w:rPr>
        <w:t>pp.</w:t>
      </w:r>
      <w:r>
        <w:rPr>
          <w:rFonts w:ascii="Calibri" w:hAnsi="Calibri"/>
          <w:color w:val="231F20"/>
          <w:spacing w:val="-6"/>
          <w:sz w:val="17"/>
        </w:rPr>
        <w:t> </w:t>
      </w:r>
      <w:r>
        <w:rPr>
          <w:rFonts w:ascii="Calibri" w:hAnsi="Calibri"/>
          <w:color w:val="231F20"/>
          <w:sz w:val="17"/>
        </w:rPr>
        <w:t>387–422.</w:t>
      </w:r>
    </w:p>
    <w:p>
      <w:pPr>
        <w:spacing w:line="204" w:lineRule="exact" w:before="0"/>
        <w:ind w:left="103" w:right="115" w:firstLine="0"/>
        <w:jc w:val="both"/>
        <w:rPr>
          <w:rFonts w:ascii="Calibri" w:hAnsi="Calibri"/>
          <w:sz w:val="17"/>
        </w:rPr>
      </w:pPr>
      <w:r>
        <w:rPr>
          <w:rFonts w:ascii="Calibri" w:hAnsi="Calibri"/>
          <w:color w:val="231F20"/>
          <w:position w:val="6"/>
          <w:sz w:val="10"/>
        </w:rPr>
        <w:t>5 </w:t>
      </w:r>
      <w:r>
        <w:rPr>
          <w:rFonts w:ascii="Calibri" w:hAnsi="Calibri"/>
          <w:color w:val="231F20"/>
          <w:sz w:val="17"/>
        </w:rPr>
        <w:t>P. Chatterjee, </w:t>
      </w:r>
      <w:r>
        <w:rPr>
          <w:rFonts w:ascii="Calibri" w:hAnsi="Calibri"/>
          <w:i/>
          <w:color w:val="231F20"/>
          <w:sz w:val="17"/>
        </w:rPr>
        <w:t>The Politics of the Governed. Reflections on Political Society in the Twenty</w:t>
      </w:r>
      <w:r>
        <w:rPr>
          <w:rFonts w:ascii="Calibri" w:hAnsi="Calibri"/>
          <w:color w:val="231F20"/>
          <w:sz w:val="17"/>
        </w:rPr>
        <w:t>–</w:t>
      </w:r>
      <w:r>
        <w:rPr>
          <w:rFonts w:ascii="Calibri" w:hAnsi="Calibri"/>
          <w:i/>
          <w:color w:val="231F20"/>
          <w:sz w:val="17"/>
        </w:rPr>
        <w:t>First Cen- </w:t>
      </w:r>
      <w:r>
        <w:rPr>
          <w:rFonts w:ascii="Calibri" w:hAnsi="Calibri"/>
          <w:i/>
          <w:color w:val="231F20"/>
          <w:sz w:val="17"/>
        </w:rPr>
        <w:t>tury</w:t>
      </w:r>
      <w:r>
        <w:rPr>
          <w:rFonts w:ascii="Calibri" w:hAnsi="Calibri"/>
          <w:color w:val="231F20"/>
          <w:sz w:val="17"/>
        </w:rPr>
        <w:t>, New York, Columbia University Press,  2004.</w:t>
      </w:r>
    </w:p>
    <w:p>
      <w:pPr>
        <w:spacing w:line="204" w:lineRule="exact" w:before="0"/>
        <w:ind w:left="103" w:right="115" w:firstLine="0"/>
        <w:jc w:val="both"/>
        <w:rPr>
          <w:rFonts w:ascii="Calibri" w:hAnsi="Calibri"/>
          <w:sz w:val="17"/>
        </w:rPr>
      </w:pPr>
      <w:r>
        <w:rPr>
          <w:rFonts w:ascii="Calibri" w:hAnsi="Calibri"/>
          <w:color w:val="231F20"/>
          <w:position w:val="6"/>
          <w:sz w:val="10"/>
        </w:rPr>
        <w:t>6 </w:t>
      </w:r>
      <w:r>
        <w:rPr>
          <w:rFonts w:ascii="Calibri" w:hAnsi="Calibri"/>
          <w:color w:val="231F20"/>
          <w:sz w:val="17"/>
        </w:rPr>
        <w:t>Lo digo porque el término viene del libro de Franz Borkenau, editado y presentado en Italia por Giacomo Marramao: F. Borkenau, </w:t>
      </w:r>
      <w:r>
        <w:rPr>
          <w:rFonts w:ascii="Calibri" w:hAnsi="Calibri"/>
          <w:i/>
          <w:color w:val="231F20"/>
          <w:sz w:val="17"/>
        </w:rPr>
        <w:t>La transizione dall’immagine feudale all’immagine borghese del </w:t>
      </w:r>
      <w:r>
        <w:rPr>
          <w:rFonts w:ascii="Calibri" w:hAnsi="Calibri"/>
          <w:i/>
          <w:color w:val="231F20"/>
          <w:sz w:val="17"/>
        </w:rPr>
        <w:t>mondo: la filosofia del periodo della manifattura</w:t>
      </w:r>
      <w:r>
        <w:rPr>
          <w:rFonts w:ascii="Calibri" w:hAnsi="Calibri"/>
          <w:color w:val="231F20"/>
          <w:sz w:val="17"/>
        </w:rPr>
        <w:t>, Bologna, il Mulino, 1984 (título en alemán: </w:t>
      </w:r>
      <w:r>
        <w:rPr>
          <w:rFonts w:ascii="Calibri" w:hAnsi="Calibri"/>
          <w:i/>
          <w:color w:val="231F20"/>
          <w:sz w:val="17"/>
        </w:rPr>
        <w:t>Der </w:t>
      </w:r>
      <w:r>
        <w:rPr>
          <w:rFonts w:ascii="Calibri" w:hAnsi="Calibri"/>
          <w:i/>
          <w:color w:val="231F20"/>
          <w:sz w:val="17"/>
        </w:rPr>
        <w:t>Übergang vom feudalen zum bürgerlichen Weltbild. Studien zur Geschichte der Philosophie der Ma- nufakturperiode</w:t>
      </w:r>
      <w:r>
        <w:rPr>
          <w:rFonts w:ascii="Calibri" w:hAnsi="Calibri"/>
          <w:color w:val="231F20"/>
          <w:sz w:val="17"/>
        </w:rPr>
        <w:t>, Paris 1934).</w:t>
      </w:r>
    </w:p>
    <w:p>
      <w:pPr>
        <w:pStyle w:val="BodyText"/>
        <w:rPr>
          <w:rFonts w:ascii="Calibri"/>
          <w:sz w:val="20"/>
        </w:rPr>
      </w:pPr>
    </w:p>
    <w:p>
      <w:pPr>
        <w:pStyle w:val="BodyText"/>
        <w:spacing w:before="1"/>
        <w:rPr>
          <w:rFonts w:ascii="Calibri"/>
          <w:sz w:val="28"/>
        </w:rPr>
      </w:pPr>
    </w:p>
    <w:p>
      <w:pPr>
        <w:tabs>
          <w:tab w:pos="1331" w:val="left" w:leader="none"/>
        </w:tabs>
        <w:spacing w:before="69"/>
        <w:ind w:left="281" w:right="0" w:firstLine="0"/>
        <w:jc w:val="left"/>
        <w:rPr>
          <w:rFonts w:ascii="Calibri"/>
          <w:sz w:val="16"/>
        </w:rPr>
      </w:pPr>
      <w:r>
        <w:rPr/>
        <w:pict>
          <v:group style="position:absolute;margin-left:98.787804pt;margin-top:-3.308812pt;width:20.4pt;height:43pt;mso-position-horizontal-relative:page;mso-position-vertical-relative:paragraph;z-index:-170176" coordorigin="1976,-66" coordsize="408,860">
            <v:line style="position:absolute" from="2225,73" to="2225,789" stroked="true" strokeweight=".35pt" strokecolor="#231f20"/>
            <v:shape style="position:absolute;left:2193;top:-13;width:190;height:445" type="#_x0000_t75" stroked="false">
              <v:imagedata r:id="rId40" o:title=""/>
            </v:shape>
            <v:shape style="position:absolute;left:1976;top:-66;width:250;height:502" type="#_x0000_t75" stroked="false">
              <v:imagedata r:id="rId41" o:title=""/>
            </v:shape>
            <w10:wrap type="none"/>
          </v:group>
        </w:pict>
      </w:r>
      <w:r>
        <w:rPr>
          <w:rFonts w:ascii="Arial"/>
          <w:color w:val="414042"/>
          <w:position w:val="-4"/>
          <w:sz w:val="20"/>
        </w:rPr>
        <w:t>94</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3924" w:right="0" w:firstLine="0"/>
        <w:jc w:val="left"/>
        <w:rPr>
          <w:rFonts w:ascii="Arial" w:hAnsi="Arial"/>
          <w:sz w:val="20"/>
        </w:rPr>
      </w:pPr>
      <w:r>
        <w:rPr/>
        <w:pict>
          <v:group style="position:absolute;margin-left:383.821014pt;margin-top:-25.479271pt;width:8.65pt;height:41pt;mso-position-horizontal-relative:page;mso-position-vertical-relative:paragraph;z-index:-17012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3"/>
          <w:sz w:val="14"/>
        </w:rPr>
        <w:t> </w:t>
      </w:r>
      <w:r>
        <w:rPr>
          <w:rFonts w:ascii="Lucida Sans Unicode" w:hAnsi="Lucida Sans Unicode"/>
          <w:color w:val="6D6E71"/>
          <w:sz w:val="14"/>
        </w:rPr>
        <w:t>ESTADO</w:t>
      </w:r>
      <w:r>
        <w:rPr>
          <w:rFonts w:ascii="Lucida Sans Unicode" w:hAnsi="Lucida Sans Unicode"/>
          <w:color w:val="6D6E71"/>
          <w:spacing w:val="-23"/>
          <w:sz w:val="14"/>
        </w:rPr>
        <w:t> </w:t>
      </w:r>
      <w:r>
        <w:rPr>
          <w:rFonts w:ascii="Lucida Sans Unicode" w:hAnsi="Lucida Sans Unicode"/>
          <w:color w:val="6D6E71"/>
          <w:sz w:val="14"/>
        </w:rPr>
        <w:t>MODERNO</w:t>
      </w:r>
      <w:r>
        <w:rPr>
          <w:rFonts w:ascii="Lucida Sans Unicode" w:hAnsi="Lucida Sans Unicode"/>
          <w:color w:val="6D6E71"/>
          <w:spacing w:val="-23"/>
          <w:sz w:val="14"/>
        </w:rPr>
        <w:t> </w:t>
      </w:r>
      <w:r>
        <w:rPr>
          <w:rFonts w:ascii="Lucida Sans Unicode" w:hAnsi="Lucida Sans Unicode"/>
          <w:color w:val="6D6E71"/>
          <w:sz w:val="14"/>
        </w:rPr>
        <w:t>HOY</w:t>
      </w:r>
      <w:r>
        <w:rPr>
          <w:rFonts w:ascii="Lucida Sans Unicode" w:hAnsi="Lucida Sans Unicode"/>
          <w:color w:val="6D6E71"/>
          <w:spacing w:val="-23"/>
          <w:sz w:val="14"/>
        </w:rPr>
        <w:t> </w:t>
      </w:r>
      <w:r>
        <w:rPr>
          <w:rFonts w:ascii="Lucida Sans Unicode" w:hAnsi="Lucida Sans Unicode"/>
          <w:color w:val="6D6E71"/>
          <w:sz w:val="14"/>
        </w:rPr>
        <w:t>Y</w:t>
      </w:r>
      <w:r>
        <w:rPr>
          <w:rFonts w:ascii="Lucida Sans Unicode" w:hAnsi="Lucida Sans Unicode"/>
          <w:color w:val="6D6E71"/>
          <w:spacing w:val="-23"/>
          <w:sz w:val="14"/>
        </w:rPr>
        <w:t> </w:t>
      </w:r>
      <w:r>
        <w:rPr>
          <w:rFonts w:ascii="Lucida Sans Unicode" w:hAnsi="Lucida Sans Unicode"/>
          <w:color w:val="6D6E71"/>
          <w:sz w:val="14"/>
        </w:rPr>
        <w:t>MAÑANA</w:t>
      </w:r>
      <w:r>
        <w:rPr>
          <w:rFonts w:ascii="Arial" w:hAnsi="Arial"/>
          <w:color w:val="414042"/>
          <w:position w:val="-3"/>
          <w:sz w:val="20"/>
        </w:rPr>
        <w:tab/>
        <w:t>95</w:t>
      </w:r>
    </w:p>
    <w:p>
      <w:pPr>
        <w:pStyle w:val="BodyText"/>
        <w:rPr>
          <w:rFonts w:ascii="Arial"/>
          <w:sz w:val="22"/>
        </w:rPr>
      </w:pPr>
    </w:p>
    <w:p>
      <w:pPr>
        <w:pStyle w:val="BodyText"/>
        <w:spacing w:before="2"/>
        <w:rPr>
          <w:rFonts w:ascii="Arial"/>
          <w:sz w:val="32"/>
        </w:rPr>
      </w:pPr>
    </w:p>
    <w:p>
      <w:pPr>
        <w:pStyle w:val="BodyText"/>
        <w:spacing w:line="244" w:lineRule="auto"/>
        <w:ind w:left="117" w:right="101"/>
        <w:jc w:val="both"/>
      </w:pPr>
      <w:r>
        <w:rPr>
          <w:color w:val="231F20"/>
          <w:w w:val="105"/>
        </w:rPr>
        <w:t>algo</w:t>
      </w:r>
      <w:r>
        <w:rPr>
          <w:color w:val="231F20"/>
          <w:spacing w:val="-20"/>
          <w:w w:val="105"/>
        </w:rPr>
        <w:t> </w:t>
      </w:r>
      <w:r>
        <w:rPr>
          <w:color w:val="231F20"/>
          <w:w w:val="105"/>
        </w:rPr>
        <w:t>más</w:t>
      </w:r>
      <w:r>
        <w:rPr>
          <w:color w:val="231F20"/>
          <w:spacing w:val="-20"/>
          <w:w w:val="105"/>
        </w:rPr>
        <w:t> </w:t>
      </w:r>
      <w:r>
        <w:rPr>
          <w:color w:val="231F20"/>
          <w:w w:val="105"/>
        </w:rPr>
        <w:t>sobre</w:t>
      </w:r>
      <w:r>
        <w:rPr>
          <w:color w:val="231F20"/>
          <w:spacing w:val="-20"/>
          <w:w w:val="105"/>
        </w:rPr>
        <w:t> </w:t>
      </w:r>
      <w:r>
        <w:rPr>
          <w:color w:val="231F20"/>
          <w:w w:val="105"/>
        </w:rPr>
        <w:t>el</w:t>
      </w:r>
      <w:r>
        <w:rPr>
          <w:color w:val="231F20"/>
          <w:spacing w:val="-20"/>
          <w:w w:val="105"/>
        </w:rPr>
        <w:t> </w:t>
      </w:r>
      <w:r>
        <w:rPr>
          <w:color w:val="231F20"/>
          <w:w w:val="105"/>
        </w:rPr>
        <w:t>Estado</w:t>
      </w:r>
      <w:r>
        <w:rPr>
          <w:color w:val="231F20"/>
          <w:spacing w:val="-20"/>
          <w:w w:val="105"/>
        </w:rPr>
        <w:t> </w:t>
      </w:r>
      <w:r>
        <w:rPr>
          <w:color w:val="231F20"/>
          <w:w w:val="105"/>
        </w:rPr>
        <w:t>“histórico”</w:t>
      </w:r>
      <w:r>
        <w:rPr>
          <w:color w:val="231F20"/>
          <w:spacing w:val="-20"/>
          <w:w w:val="105"/>
        </w:rPr>
        <w:t> </w:t>
      </w:r>
      <w:r>
        <w:rPr>
          <w:color w:val="231F20"/>
          <w:w w:val="105"/>
        </w:rPr>
        <w:t>y</w:t>
      </w:r>
      <w:r>
        <w:rPr>
          <w:color w:val="231F20"/>
          <w:spacing w:val="-20"/>
          <w:w w:val="105"/>
        </w:rPr>
        <w:t> </w:t>
      </w:r>
      <w:r>
        <w:rPr>
          <w:color w:val="231F20"/>
          <w:w w:val="105"/>
        </w:rPr>
        <w:t>sobre</w:t>
      </w:r>
      <w:r>
        <w:rPr>
          <w:color w:val="231F20"/>
          <w:spacing w:val="-20"/>
          <w:w w:val="105"/>
        </w:rPr>
        <w:t> </w:t>
      </w:r>
      <w:r>
        <w:rPr>
          <w:color w:val="231F20"/>
          <w:w w:val="105"/>
        </w:rPr>
        <w:t>su</w:t>
      </w:r>
      <w:r>
        <w:rPr>
          <w:color w:val="231F20"/>
          <w:spacing w:val="-20"/>
          <w:w w:val="105"/>
        </w:rPr>
        <w:t> </w:t>
      </w:r>
      <w:r>
        <w:rPr>
          <w:color w:val="231F20"/>
          <w:w w:val="105"/>
        </w:rPr>
        <w:t>“estado”</w:t>
      </w:r>
      <w:r>
        <w:rPr>
          <w:color w:val="231F20"/>
          <w:spacing w:val="-20"/>
          <w:w w:val="105"/>
        </w:rPr>
        <w:t> </w:t>
      </w:r>
      <w:r>
        <w:rPr>
          <w:color w:val="231F20"/>
          <w:w w:val="105"/>
        </w:rPr>
        <w:t>actual.</w:t>
      </w:r>
      <w:r>
        <w:rPr>
          <w:color w:val="231F20"/>
          <w:spacing w:val="-20"/>
          <w:w w:val="105"/>
        </w:rPr>
        <w:t> </w:t>
      </w:r>
      <w:r>
        <w:rPr>
          <w:color w:val="231F20"/>
          <w:w w:val="105"/>
        </w:rPr>
        <w:t>Ese</w:t>
      </w:r>
      <w:r>
        <w:rPr>
          <w:color w:val="231F20"/>
          <w:spacing w:val="-20"/>
          <w:w w:val="105"/>
        </w:rPr>
        <w:t> </w:t>
      </w:r>
      <w:r>
        <w:rPr>
          <w:color w:val="231F20"/>
          <w:w w:val="105"/>
        </w:rPr>
        <w:t>Esta- do,</w:t>
      </w:r>
      <w:r>
        <w:rPr>
          <w:color w:val="231F20"/>
          <w:spacing w:val="-29"/>
          <w:w w:val="105"/>
        </w:rPr>
        <w:t> </w:t>
      </w:r>
      <w:r>
        <w:rPr>
          <w:color w:val="231F20"/>
          <w:w w:val="105"/>
        </w:rPr>
        <w:t>independientemente</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modalidades</w:t>
      </w:r>
      <w:r>
        <w:rPr>
          <w:color w:val="231F20"/>
          <w:spacing w:val="-29"/>
          <w:w w:val="105"/>
        </w:rPr>
        <w:t> </w:t>
      </w:r>
      <w:r>
        <w:rPr>
          <w:color w:val="231F20"/>
          <w:w w:val="105"/>
        </w:rPr>
        <w:t>no</w:t>
      </w:r>
      <w:r>
        <w:rPr>
          <w:color w:val="231F20"/>
          <w:spacing w:val="-29"/>
          <w:w w:val="105"/>
        </w:rPr>
        <w:t> </w:t>
      </w:r>
      <w:r>
        <w:rPr>
          <w:color w:val="231F20"/>
          <w:w w:val="105"/>
        </w:rPr>
        <w:t>unívocas</w:t>
      </w:r>
      <w:r>
        <w:rPr>
          <w:color w:val="231F20"/>
          <w:spacing w:val="-29"/>
          <w:w w:val="105"/>
        </w:rPr>
        <w:t> </w:t>
      </w:r>
      <w:r>
        <w:rPr>
          <w:color w:val="231F20"/>
          <w:w w:val="105"/>
        </w:rPr>
        <w:t>con</w:t>
      </w:r>
      <w:r>
        <w:rPr>
          <w:color w:val="231F20"/>
          <w:spacing w:val="-29"/>
          <w:w w:val="105"/>
        </w:rPr>
        <w:t> </w:t>
      </w:r>
      <w:r>
        <w:rPr>
          <w:color w:val="231F20"/>
          <w:w w:val="105"/>
        </w:rPr>
        <w:t>que</w:t>
      </w:r>
      <w:r>
        <w:rPr>
          <w:color w:val="231F20"/>
          <w:spacing w:val="-29"/>
          <w:w w:val="105"/>
        </w:rPr>
        <w:t> </w:t>
      </w:r>
      <w:r>
        <w:rPr>
          <w:color w:val="231F20"/>
          <w:w w:val="105"/>
        </w:rPr>
        <w:t>surgió</w:t>
      </w:r>
      <w:r>
        <w:rPr>
          <w:color w:val="231F20"/>
          <w:spacing w:val="-29"/>
          <w:w w:val="105"/>
        </w:rPr>
        <w:t> </w:t>
      </w:r>
      <w:r>
        <w:rPr>
          <w:color w:val="231F20"/>
          <w:w w:val="105"/>
        </w:rPr>
        <w:t>y posteriormente</w:t>
      </w:r>
      <w:r>
        <w:rPr>
          <w:color w:val="231F20"/>
          <w:spacing w:val="-21"/>
          <w:w w:val="105"/>
        </w:rPr>
        <w:t> </w:t>
      </w:r>
      <w:r>
        <w:rPr>
          <w:color w:val="231F20"/>
          <w:w w:val="105"/>
        </w:rPr>
        <w:t>se</w:t>
      </w:r>
      <w:r>
        <w:rPr>
          <w:color w:val="231F20"/>
          <w:spacing w:val="-21"/>
          <w:w w:val="105"/>
        </w:rPr>
        <w:t> </w:t>
      </w:r>
      <w:r>
        <w:rPr>
          <w:color w:val="231F20"/>
          <w:w w:val="105"/>
        </w:rPr>
        <w:t>desarrolló,</w:t>
      </w:r>
      <w:r>
        <w:rPr>
          <w:color w:val="231F20"/>
          <w:spacing w:val="-21"/>
          <w:w w:val="105"/>
        </w:rPr>
        <w:t> </w:t>
      </w:r>
      <w:r>
        <w:rPr>
          <w:color w:val="231F20"/>
          <w:w w:val="105"/>
        </w:rPr>
        <w:t>necesitaba</w:t>
      </w:r>
      <w:r>
        <w:rPr>
          <w:color w:val="231F20"/>
          <w:spacing w:val="-21"/>
          <w:w w:val="105"/>
        </w:rPr>
        <w:t> </w:t>
      </w:r>
      <w:r>
        <w:rPr>
          <w:color w:val="231F20"/>
          <w:w w:val="105"/>
        </w:rPr>
        <w:t>ser</w:t>
      </w:r>
      <w:r>
        <w:rPr>
          <w:color w:val="231F20"/>
          <w:spacing w:val="-21"/>
          <w:w w:val="105"/>
        </w:rPr>
        <w:t> </w:t>
      </w:r>
      <w:r>
        <w:rPr>
          <w:color w:val="231F20"/>
          <w:w w:val="105"/>
        </w:rPr>
        <w:t>percibido</w:t>
      </w:r>
      <w:r>
        <w:rPr>
          <w:color w:val="231F20"/>
          <w:spacing w:val="-21"/>
          <w:w w:val="105"/>
        </w:rPr>
        <w:t> </w:t>
      </w:r>
      <w:r>
        <w:rPr>
          <w:color w:val="231F20"/>
          <w:w w:val="105"/>
        </w:rPr>
        <w:t>como</w:t>
      </w:r>
      <w:r>
        <w:rPr>
          <w:color w:val="231F20"/>
          <w:spacing w:val="-21"/>
          <w:w w:val="105"/>
        </w:rPr>
        <w:t> </w:t>
      </w:r>
      <w:r>
        <w:rPr>
          <w:color w:val="231F20"/>
          <w:w w:val="105"/>
        </w:rPr>
        <w:t>un</w:t>
      </w:r>
      <w:r>
        <w:rPr>
          <w:color w:val="231F20"/>
          <w:spacing w:val="-21"/>
          <w:w w:val="105"/>
        </w:rPr>
        <w:t> </w:t>
      </w:r>
      <w:r>
        <w:rPr>
          <w:rFonts w:ascii="Arial" w:hAnsi="Arial"/>
          <w:i/>
          <w:color w:val="231F20"/>
          <w:w w:val="105"/>
        </w:rPr>
        <w:t>Bild</w:t>
      </w:r>
      <w:r>
        <w:rPr>
          <w:color w:val="231F20"/>
          <w:w w:val="105"/>
        </w:rPr>
        <w:t>,</w:t>
      </w:r>
      <w:r>
        <w:rPr>
          <w:color w:val="231F20"/>
          <w:spacing w:val="-21"/>
          <w:w w:val="105"/>
        </w:rPr>
        <w:t> </w:t>
      </w:r>
      <w:r>
        <w:rPr>
          <w:color w:val="231F20"/>
          <w:w w:val="105"/>
        </w:rPr>
        <w:t>una imagen,</w:t>
      </w:r>
      <w:r>
        <w:rPr>
          <w:color w:val="231F20"/>
          <w:spacing w:val="-11"/>
          <w:w w:val="105"/>
        </w:rPr>
        <w:t> </w:t>
      </w:r>
      <w:r>
        <w:rPr>
          <w:color w:val="231F20"/>
          <w:w w:val="105"/>
        </w:rPr>
        <w:t>y</w:t>
      </w:r>
      <w:r>
        <w:rPr>
          <w:color w:val="231F20"/>
          <w:spacing w:val="-11"/>
          <w:w w:val="105"/>
        </w:rPr>
        <w:t> </w:t>
      </w:r>
      <w:r>
        <w:rPr>
          <w:color w:val="231F20"/>
          <w:w w:val="105"/>
        </w:rPr>
        <w:t>ser</w:t>
      </w:r>
      <w:r>
        <w:rPr>
          <w:color w:val="231F20"/>
          <w:spacing w:val="-11"/>
          <w:w w:val="105"/>
        </w:rPr>
        <w:t> </w:t>
      </w:r>
      <w:r>
        <w:rPr>
          <w:color w:val="231F20"/>
          <w:w w:val="105"/>
        </w:rPr>
        <w:t>objeto</w:t>
      </w:r>
      <w:r>
        <w:rPr>
          <w:color w:val="231F20"/>
          <w:spacing w:val="-11"/>
          <w:w w:val="105"/>
        </w:rPr>
        <w:t> </w:t>
      </w:r>
      <w:r>
        <w:rPr>
          <w:color w:val="231F20"/>
          <w:w w:val="105"/>
        </w:rPr>
        <w:t>de</w:t>
      </w:r>
      <w:r>
        <w:rPr>
          <w:color w:val="231F20"/>
          <w:spacing w:val="-11"/>
          <w:w w:val="105"/>
        </w:rPr>
        <w:t> </w:t>
      </w:r>
      <w:r>
        <w:rPr>
          <w:color w:val="231F20"/>
          <w:w w:val="105"/>
        </w:rPr>
        <w:t>representación.</w:t>
      </w:r>
      <w:r>
        <w:rPr>
          <w:color w:val="231F20"/>
          <w:spacing w:val="-11"/>
          <w:w w:val="105"/>
        </w:rPr>
        <w:t> </w:t>
      </w:r>
      <w:r>
        <w:rPr>
          <w:color w:val="231F20"/>
          <w:w w:val="105"/>
        </w:rPr>
        <w:t>Mucho</w:t>
      </w:r>
      <w:r>
        <w:rPr>
          <w:color w:val="231F20"/>
          <w:spacing w:val="-11"/>
          <w:w w:val="105"/>
        </w:rPr>
        <w:t> </w:t>
      </w:r>
      <w:r>
        <w:rPr>
          <w:color w:val="231F20"/>
          <w:w w:val="105"/>
        </w:rPr>
        <w:t>más</w:t>
      </w:r>
      <w:r>
        <w:rPr>
          <w:color w:val="231F20"/>
          <w:spacing w:val="-11"/>
          <w:w w:val="105"/>
        </w:rPr>
        <w:t> </w:t>
      </w:r>
      <w:r>
        <w:rPr>
          <w:color w:val="231F20"/>
          <w:w w:val="105"/>
        </w:rPr>
        <w:t>de</w:t>
      </w:r>
      <w:r>
        <w:rPr>
          <w:color w:val="231F20"/>
          <w:spacing w:val="-11"/>
          <w:w w:val="105"/>
        </w:rPr>
        <w:t> </w:t>
      </w:r>
      <w:r>
        <w:rPr>
          <w:color w:val="231F20"/>
          <w:w w:val="105"/>
        </w:rPr>
        <w:t>mandato</w:t>
      </w:r>
      <w:r>
        <w:rPr>
          <w:color w:val="231F20"/>
          <w:spacing w:val="-11"/>
          <w:w w:val="105"/>
        </w:rPr>
        <w:t> </w:t>
      </w:r>
      <w:r>
        <w:rPr>
          <w:color w:val="231F20"/>
          <w:w w:val="105"/>
        </w:rPr>
        <w:t>que</w:t>
      </w:r>
      <w:r>
        <w:rPr>
          <w:color w:val="231F20"/>
          <w:spacing w:val="-11"/>
          <w:w w:val="105"/>
        </w:rPr>
        <w:t> </w:t>
      </w:r>
      <w:r>
        <w:rPr>
          <w:color w:val="231F20"/>
          <w:w w:val="105"/>
        </w:rPr>
        <w:t>de representación;</w:t>
      </w:r>
      <w:r>
        <w:rPr>
          <w:color w:val="231F20"/>
          <w:spacing w:val="-15"/>
          <w:w w:val="105"/>
        </w:rPr>
        <w:t> </w:t>
      </w:r>
      <w:r>
        <w:rPr>
          <w:color w:val="231F20"/>
          <w:w w:val="105"/>
        </w:rPr>
        <w:t>debo</w:t>
      </w:r>
      <w:r>
        <w:rPr>
          <w:color w:val="231F20"/>
          <w:spacing w:val="-15"/>
          <w:w w:val="105"/>
        </w:rPr>
        <w:t> </w:t>
      </w:r>
      <w:r>
        <w:rPr>
          <w:color w:val="231F20"/>
          <w:w w:val="105"/>
        </w:rPr>
        <w:t>agregar</w:t>
      </w:r>
      <w:r>
        <w:rPr>
          <w:color w:val="231F20"/>
          <w:spacing w:val="-15"/>
          <w:w w:val="105"/>
        </w:rPr>
        <w:t> </w:t>
      </w:r>
      <w:r>
        <w:rPr>
          <w:color w:val="231F20"/>
          <w:w w:val="105"/>
        </w:rPr>
        <w:t>que</w:t>
      </w:r>
      <w:r>
        <w:rPr>
          <w:color w:val="231F20"/>
          <w:spacing w:val="-15"/>
          <w:w w:val="105"/>
        </w:rPr>
        <w:t> </w:t>
      </w:r>
      <w:r>
        <w:rPr>
          <w:color w:val="231F20"/>
          <w:w w:val="105"/>
        </w:rPr>
        <w:t>tal</w:t>
      </w:r>
      <w:r>
        <w:rPr>
          <w:color w:val="231F20"/>
          <w:spacing w:val="-15"/>
          <w:w w:val="105"/>
        </w:rPr>
        <w:t> </w:t>
      </w:r>
      <w:r>
        <w:rPr>
          <w:color w:val="231F20"/>
          <w:w w:val="105"/>
        </w:rPr>
        <w:t>vez</w:t>
      </w:r>
      <w:r>
        <w:rPr>
          <w:color w:val="231F20"/>
          <w:spacing w:val="-15"/>
          <w:w w:val="105"/>
        </w:rPr>
        <w:t> </w:t>
      </w:r>
      <w:r>
        <w:rPr>
          <w:color w:val="231F20"/>
          <w:w w:val="105"/>
        </w:rPr>
        <w:t>justo</w:t>
      </w:r>
      <w:r>
        <w:rPr>
          <w:color w:val="231F20"/>
          <w:spacing w:val="-15"/>
          <w:w w:val="105"/>
        </w:rPr>
        <w:t> </w:t>
      </w:r>
      <w:r>
        <w:rPr>
          <w:color w:val="231F20"/>
          <w:w w:val="105"/>
        </w:rPr>
        <w:t>el</w:t>
      </w:r>
      <w:r>
        <w:rPr>
          <w:color w:val="231F20"/>
          <w:spacing w:val="-15"/>
          <w:w w:val="105"/>
        </w:rPr>
        <w:t> </w:t>
      </w:r>
      <w:r>
        <w:rPr>
          <w:color w:val="231F20"/>
          <w:w w:val="105"/>
        </w:rPr>
        <w:t>paso</w:t>
      </w:r>
      <w:r>
        <w:rPr>
          <w:color w:val="231F20"/>
          <w:spacing w:val="-15"/>
          <w:w w:val="105"/>
        </w:rPr>
        <w:t> </w:t>
      </w:r>
      <w:r>
        <w:rPr>
          <w:color w:val="231F20"/>
          <w:w w:val="105"/>
        </w:rPr>
        <w:t>del</w:t>
      </w:r>
      <w:r>
        <w:rPr>
          <w:color w:val="231F20"/>
          <w:spacing w:val="-15"/>
          <w:w w:val="105"/>
        </w:rPr>
        <w:t> </w:t>
      </w:r>
      <w:r>
        <w:rPr>
          <w:color w:val="231F20"/>
          <w:w w:val="105"/>
        </w:rPr>
        <w:t>mandato</w:t>
      </w:r>
      <w:r>
        <w:rPr>
          <w:color w:val="231F20"/>
          <w:spacing w:val="-15"/>
          <w:w w:val="105"/>
        </w:rPr>
        <w:t> </w:t>
      </w:r>
      <w:r>
        <w:rPr>
          <w:color w:val="231F20"/>
          <w:w w:val="105"/>
        </w:rPr>
        <w:t>(por clases)</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representación</w:t>
      </w:r>
      <w:r>
        <w:rPr>
          <w:color w:val="231F20"/>
          <w:spacing w:val="-20"/>
          <w:w w:val="105"/>
        </w:rPr>
        <w:t> </w:t>
      </w:r>
      <w:r>
        <w:rPr>
          <w:color w:val="231F20"/>
          <w:w w:val="105"/>
        </w:rPr>
        <w:t>(parlamentaria)</w:t>
      </w:r>
      <w:r>
        <w:rPr>
          <w:color w:val="231F20"/>
          <w:spacing w:val="-20"/>
          <w:w w:val="105"/>
        </w:rPr>
        <w:t> </w:t>
      </w:r>
      <w:r>
        <w:rPr>
          <w:color w:val="231F20"/>
          <w:w w:val="105"/>
        </w:rPr>
        <w:t>ha</w:t>
      </w:r>
      <w:r>
        <w:rPr>
          <w:color w:val="231F20"/>
          <w:spacing w:val="-20"/>
          <w:w w:val="105"/>
        </w:rPr>
        <w:t> </w:t>
      </w:r>
      <w:r>
        <w:rPr>
          <w:color w:val="231F20"/>
          <w:w w:val="105"/>
        </w:rPr>
        <w:t>sido</w:t>
      </w:r>
      <w:r>
        <w:rPr>
          <w:color w:val="231F20"/>
          <w:spacing w:val="-20"/>
          <w:w w:val="105"/>
        </w:rPr>
        <w:t> </w:t>
      </w:r>
      <w:r>
        <w:rPr>
          <w:color w:val="231F20"/>
          <w:w w:val="105"/>
        </w:rPr>
        <w:t>uno</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“rechazos” que</w:t>
      </w:r>
      <w:r>
        <w:rPr>
          <w:color w:val="231F20"/>
          <w:spacing w:val="-24"/>
          <w:w w:val="105"/>
        </w:rPr>
        <w:t> </w:t>
      </w:r>
      <w:r>
        <w:rPr>
          <w:color w:val="231F20"/>
          <w:w w:val="105"/>
        </w:rPr>
        <w:t>lo</w:t>
      </w:r>
      <w:r>
        <w:rPr>
          <w:color w:val="231F20"/>
          <w:spacing w:val="-24"/>
          <w:w w:val="105"/>
        </w:rPr>
        <w:t> </w:t>
      </w:r>
      <w:r>
        <w:rPr>
          <w:color w:val="231F20"/>
          <w:w w:val="105"/>
        </w:rPr>
        <w:t>condujeron</w:t>
      </w:r>
      <w:r>
        <w:rPr>
          <w:color w:val="231F20"/>
          <w:spacing w:val="-24"/>
          <w:w w:val="105"/>
        </w:rPr>
        <w:t> </w:t>
      </w:r>
      <w:r>
        <w:rPr>
          <w:color w:val="231F20"/>
          <w:w w:val="105"/>
        </w:rPr>
        <w:t>a</w:t>
      </w:r>
      <w:r>
        <w:rPr>
          <w:color w:val="231F20"/>
          <w:spacing w:val="-24"/>
          <w:w w:val="105"/>
        </w:rPr>
        <w:t> </w:t>
      </w:r>
      <w:r>
        <w:rPr>
          <w:color w:val="231F20"/>
          <w:w w:val="105"/>
        </w:rPr>
        <w:t>la</w:t>
      </w:r>
      <w:r>
        <w:rPr>
          <w:color w:val="231F20"/>
          <w:spacing w:val="-24"/>
          <w:w w:val="105"/>
        </w:rPr>
        <w:t> </w:t>
      </w:r>
      <w:r>
        <w:rPr>
          <w:color w:val="231F20"/>
          <w:w w:val="105"/>
        </w:rPr>
        <w:t>“de–generación”,</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siglo</w:t>
      </w:r>
      <w:r>
        <w:rPr>
          <w:color w:val="231F20"/>
          <w:spacing w:val="-24"/>
          <w:w w:val="105"/>
        </w:rPr>
        <w:t> </w:t>
      </w:r>
      <w:r>
        <w:rPr>
          <w:color w:val="231F20"/>
          <w:w w:val="105"/>
          <w:sz w:val="18"/>
        </w:rPr>
        <w:t>XIX</w:t>
      </w:r>
      <w:r>
        <w:rPr>
          <w:color w:val="231F20"/>
          <w:w w:val="105"/>
          <w:position w:val="7"/>
          <w:sz w:val="12"/>
        </w:rPr>
        <w:t>7</w:t>
      </w:r>
      <w:r>
        <w:rPr>
          <w:color w:val="231F20"/>
          <w:w w:val="105"/>
        </w:rPr>
        <w:t>.</w:t>
      </w:r>
    </w:p>
    <w:p>
      <w:pPr>
        <w:pStyle w:val="BodyText"/>
        <w:spacing w:line="247" w:lineRule="auto" w:before="1"/>
        <w:ind w:left="117" w:right="101" w:firstLine="566"/>
        <w:jc w:val="both"/>
      </w:pPr>
      <w:r>
        <w:rPr>
          <w:color w:val="231F20"/>
          <w:w w:val="105"/>
        </w:rPr>
        <w:t>¿Cuál fue entonces la “realidad” en el paso de lo feudal a lo </w:t>
      </w:r>
      <w:r>
        <w:rPr>
          <w:color w:val="231F20"/>
          <w:spacing w:val="-3"/>
          <w:w w:val="105"/>
        </w:rPr>
        <w:t>bur- </w:t>
      </w:r>
      <w:r>
        <w:rPr>
          <w:color w:val="231F20"/>
          <w:w w:val="105"/>
        </w:rPr>
        <w:t>gués,</w:t>
      </w:r>
      <w:r>
        <w:rPr>
          <w:color w:val="231F20"/>
          <w:spacing w:val="-23"/>
          <w:w w:val="105"/>
        </w:rPr>
        <w:t> </w:t>
      </w:r>
      <w:r>
        <w:rPr>
          <w:color w:val="231F20"/>
          <w:w w:val="105"/>
        </w:rPr>
        <w:t>más</w:t>
      </w:r>
      <w:r>
        <w:rPr>
          <w:color w:val="231F20"/>
          <w:spacing w:val="-23"/>
          <w:w w:val="105"/>
        </w:rPr>
        <w:t> </w:t>
      </w:r>
      <w:r>
        <w:rPr>
          <w:color w:val="231F20"/>
          <w:w w:val="105"/>
        </w:rPr>
        <w:t>allá</w:t>
      </w:r>
      <w:r>
        <w:rPr>
          <w:color w:val="231F20"/>
          <w:spacing w:val="-23"/>
          <w:w w:val="105"/>
        </w:rPr>
        <w:t> </w:t>
      </w:r>
      <w:r>
        <w:rPr>
          <w:color w:val="231F20"/>
          <w:w w:val="105"/>
        </w:rPr>
        <w:t>del</w:t>
      </w:r>
      <w:r>
        <w:rPr>
          <w:color w:val="231F20"/>
          <w:spacing w:val="-23"/>
          <w:w w:val="105"/>
        </w:rPr>
        <w:t> </w:t>
      </w:r>
      <w:r>
        <w:rPr>
          <w:color w:val="231F20"/>
          <w:w w:val="105"/>
        </w:rPr>
        <w:t>nuevo</w:t>
      </w:r>
      <w:r>
        <w:rPr>
          <w:color w:val="231F20"/>
          <w:spacing w:val="-23"/>
          <w:w w:val="105"/>
        </w:rPr>
        <w:t> </w:t>
      </w:r>
      <w:r>
        <w:rPr>
          <w:color w:val="231F20"/>
          <w:w w:val="105"/>
        </w:rPr>
        <w:t>modo</w:t>
      </w:r>
      <w:r>
        <w:rPr>
          <w:color w:val="231F20"/>
          <w:spacing w:val="-23"/>
          <w:w w:val="105"/>
        </w:rPr>
        <w:t> </w:t>
      </w:r>
      <w:r>
        <w:rPr>
          <w:color w:val="231F20"/>
          <w:w w:val="105"/>
        </w:rPr>
        <w:t>de</w:t>
      </w:r>
      <w:r>
        <w:rPr>
          <w:color w:val="231F20"/>
          <w:spacing w:val="-23"/>
          <w:w w:val="105"/>
        </w:rPr>
        <w:t> </w:t>
      </w:r>
      <w:r>
        <w:rPr>
          <w:color w:val="231F20"/>
          <w:w w:val="105"/>
        </w:rPr>
        <w:t>producción</w:t>
      </w:r>
      <w:r>
        <w:rPr>
          <w:color w:val="231F20"/>
          <w:spacing w:val="-23"/>
          <w:w w:val="105"/>
        </w:rPr>
        <w:t> </w:t>
      </w:r>
      <w:r>
        <w:rPr>
          <w:color w:val="231F20"/>
          <w:w w:val="105"/>
        </w:rPr>
        <w:t>que</w:t>
      </w:r>
      <w:r>
        <w:rPr>
          <w:color w:val="231F20"/>
          <w:spacing w:val="-23"/>
          <w:w w:val="105"/>
        </w:rPr>
        <w:t> </w:t>
      </w:r>
      <w:r>
        <w:rPr>
          <w:color w:val="231F20"/>
          <w:w w:val="105"/>
        </w:rPr>
        <w:t>Franz</w:t>
      </w:r>
      <w:r>
        <w:rPr>
          <w:color w:val="231F20"/>
          <w:spacing w:val="-23"/>
          <w:w w:val="105"/>
        </w:rPr>
        <w:t> </w:t>
      </w:r>
      <w:r>
        <w:rPr>
          <w:color w:val="231F20"/>
          <w:w w:val="105"/>
        </w:rPr>
        <w:t>Borkenau</w:t>
      </w:r>
      <w:r>
        <w:rPr>
          <w:color w:val="231F20"/>
          <w:spacing w:val="-23"/>
          <w:w w:val="105"/>
        </w:rPr>
        <w:t> </w:t>
      </w:r>
      <w:r>
        <w:rPr>
          <w:color w:val="231F20"/>
          <w:w w:val="105"/>
        </w:rPr>
        <w:t>coloca en</w:t>
      </w:r>
      <w:r>
        <w:rPr>
          <w:color w:val="231F20"/>
          <w:spacing w:val="-35"/>
          <w:w w:val="105"/>
        </w:rPr>
        <w:t> </w:t>
      </w:r>
      <w:r>
        <w:rPr>
          <w:color w:val="231F20"/>
          <w:w w:val="105"/>
        </w:rPr>
        <w:t>la</w:t>
      </w:r>
      <w:r>
        <w:rPr>
          <w:color w:val="231F20"/>
          <w:spacing w:val="-35"/>
          <w:w w:val="105"/>
        </w:rPr>
        <w:t> </w:t>
      </w:r>
      <w:r>
        <w:rPr>
          <w:rFonts w:ascii="Arial" w:hAnsi="Arial"/>
          <w:i/>
          <w:color w:val="231F20"/>
          <w:w w:val="105"/>
        </w:rPr>
        <w:t>Manufakturperiode</w:t>
      </w:r>
      <w:r>
        <w:rPr>
          <w:color w:val="231F20"/>
          <w:w w:val="105"/>
        </w:rPr>
        <w:t>?</w:t>
      </w:r>
      <w:r>
        <w:rPr>
          <w:color w:val="231F20"/>
          <w:spacing w:val="-35"/>
          <w:w w:val="105"/>
        </w:rPr>
        <w:t> </w:t>
      </w:r>
      <w:r>
        <w:rPr>
          <w:color w:val="231F20"/>
          <w:w w:val="105"/>
        </w:rPr>
        <w:t>La</w:t>
      </w:r>
      <w:r>
        <w:rPr>
          <w:color w:val="231F20"/>
          <w:spacing w:val="-35"/>
          <w:w w:val="105"/>
        </w:rPr>
        <w:t> </w:t>
      </w:r>
      <w:r>
        <w:rPr>
          <w:color w:val="231F20"/>
          <w:w w:val="105"/>
        </w:rPr>
        <w:t>respuesta</w:t>
      </w:r>
      <w:r>
        <w:rPr>
          <w:color w:val="231F20"/>
          <w:spacing w:val="-35"/>
          <w:w w:val="105"/>
        </w:rPr>
        <w:t> </w:t>
      </w:r>
      <w:r>
        <w:rPr>
          <w:color w:val="231F20"/>
          <w:w w:val="105"/>
        </w:rPr>
        <w:t>que</w:t>
      </w:r>
      <w:r>
        <w:rPr>
          <w:color w:val="231F20"/>
          <w:spacing w:val="-35"/>
          <w:w w:val="105"/>
        </w:rPr>
        <w:t> </w:t>
      </w:r>
      <w:r>
        <w:rPr>
          <w:color w:val="231F20"/>
          <w:w w:val="105"/>
        </w:rPr>
        <w:t>elijo</w:t>
      </w:r>
      <w:r>
        <w:rPr>
          <w:color w:val="231F20"/>
          <w:spacing w:val="-35"/>
          <w:w w:val="105"/>
        </w:rPr>
        <w:t> </w:t>
      </w:r>
      <w:r>
        <w:rPr>
          <w:color w:val="231F20"/>
          <w:w w:val="105"/>
        </w:rPr>
        <w:t>es:</w:t>
      </w:r>
      <w:r>
        <w:rPr>
          <w:color w:val="231F20"/>
          <w:spacing w:val="-35"/>
          <w:w w:val="105"/>
        </w:rPr>
        <w:t> </w:t>
      </w:r>
      <w:r>
        <w:rPr>
          <w:color w:val="231F20"/>
          <w:w w:val="105"/>
        </w:rPr>
        <w:t>el</w:t>
      </w:r>
      <w:r>
        <w:rPr>
          <w:color w:val="231F20"/>
          <w:spacing w:val="-35"/>
          <w:w w:val="105"/>
        </w:rPr>
        <w:t> </w:t>
      </w:r>
      <w:r>
        <w:rPr>
          <w:color w:val="231F20"/>
          <w:w w:val="105"/>
        </w:rPr>
        <w:t>Estado</w:t>
      </w:r>
      <w:r>
        <w:rPr>
          <w:color w:val="231F20"/>
          <w:spacing w:val="-35"/>
          <w:w w:val="105"/>
        </w:rPr>
        <w:t> </w:t>
      </w:r>
      <w:r>
        <w:rPr>
          <w:color w:val="231F20"/>
          <w:w w:val="105"/>
        </w:rPr>
        <w:t>y</w:t>
      </w:r>
      <w:r>
        <w:rPr>
          <w:color w:val="231F20"/>
          <w:spacing w:val="-35"/>
          <w:w w:val="105"/>
        </w:rPr>
        <w:t> </w:t>
      </w:r>
      <w:r>
        <w:rPr>
          <w:color w:val="231F20"/>
          <w:w w:val="105"/>
        </w:rPr>
        <w:t>su</w:t>
      </w:r>
      <w:r>
        <w:rPr>
          <w:color w:val="231F20"/>
          <w:spacing w:val="-35"/>
          <w:w w:val="105"/>
        </w:rPr>
        <w:t> </w:t>
      </w:r>
      <w:r>
        <w:rPr>
          <w:color w:val="231F20"/>
          <w:w w:val="105"/>
        </w:rPr>
        <w:t>“razón”. Pero</w:t>
      </w:r>
      <w:r>
        <w:rPr>
          <w:color w:val="231F20"/>
          <w:spacing w:val="-27"/>
          <w:w w:val="105"/>
        </w:rPr>
        <w:t> </w:t>
      </w:r>
      <w:r>
        <w:rPr>
          <w:color w:val="231F20"/>
          <w:w w:val="105"/>
        </w:rPr>
        <w:t>de</w:t>
      </w:r>
      <w:r>
        <w:rPr>
          <w:color w:val="231F20"/>
          <w:spacing w:val="-27"/>
          <w:w w:val="105"/>
        </w:rPr>
        <w:t> </w:t>
      </w:r>
      <w:r>
        <w:rPr>
          <w:color w:val="231F20"/>
          <w:w w:val="105"/>
        </w:rPr>
        <w:t>Borkenau</w:t>
      </w:r>
      <w:r>
        <w:rPr>
          <w:color w:val="231F20"/>
          <w:spacing w:val="-27"/>
          <w:w w:val="105"/>
        </w:rPr>
        <w:t> </w:t>
      </w:r>
      <w:r>
        <w:rPr>
          <w:color w:val="231F20"/>
          <w:w w:val="105"/>
        </w:rPr>
        <w:t>aprendí</w:t>
      </w:r>
      <w:r>
        <w:rPr>
          <w:color w:val="231F20"/>
          <w:spacing w:val="-27"/>
          <w:w w:val="105"/>
        </w:rPr>
        <w:t> </w:t>
      </w:r>
      <w:r>
        <w:rPr>
          <w:color w:val="231F20"/>
          <w:w w:val="105"/>
        </w:rPr>
        <w:t>también</w:t>
      </w:r>
      <w:r>
        <w:rPr>
          <w:color w:val="231F20"/>
          <w:spacing w:val="-27"/>
          <w:w w:val="105"/>
        </w:rPr>
        <w:t> </w:t>
      </w:r>
      <w:r>
        <w:rPr>
          <w:color w:val="231F20"/>
          <w:w w:val="105"/>
        </w:rPr>
        <w:t>el</w:t>
      </w:r>
      <w:r>
        <w:rPr>
          <w:color w:val="231F20"/>
          <w:spacing w:val="-27"/>
          <w:w w:val="105"/>
        </w:rPr>
        <w:t> </w:t>
      </w:r>
      <w:r>
        <w:rPr>
          <w:color w:val="231F20"/>
          <w:w w:val="105"/>
        </w:rPr>
        <w:t>papel</w:t>
      </w:r>
      <w:r>
        <w:rPr>
          <w:color w:val="231F20"/>
          <w:spacing w:val="-27"/>
          <w:w w:val="105"/>
        </w:rPr>
        <w:t> </w:t>
      </w:r>
      <w:r>
        <w:rPr>
          <w:color w:val="231F20"/>
          <w:w w:val="105"/>
        </w:rPr>
        <w:t>estructural</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Filosofía,</w:t>
      </w:r>
      <w:r>
        <w:rPr>
          <w:color w:val="231F20"/>
          <w:spacing w:val="-27"/>
          <w:w w:val="105"/>
        </w:rPr>
        <w:t> </w:t>
      </w:r>
      <w:r>
        <w:rPr>
          <w:color w:val="231F20"/>
          <w:w w:val="105"/>
        </w:rPr>
        <w:t>que es como decir el papel de la consciencia en la historia</w:t>
      </w:r>
      <w:r>
        <w:rPr>
          <w:color w:val="231F20"/>
          <w:w w:val="105"/>
          <w:position w:val="7"/>
          <w:sz w:val="12"/>
        </w:rPr>
        <w:t>8</w:t>
      </w:r>
      <w:r>
        <w:rPr>
          <w:color w:val="231F20"/>
          <w:w w:val="105"/>
        </w:rPr>
        <w:t>: no sólo aquella “macro–europea”</w:t>
      </w:r>
      <w:r>
        <w:rPr>
          <w:color w:val="231F20"/>
          <w:spacing w:val="-8"/>
          <w:w w:val="105"/>
        </w:rPr>
        <w:t> </w:t>
      </w:r>
      <w:r>
        <w:rPr>
          <w:color w:val="231F20"/>
          <w:w w:val="105"/>
        </w:rPr>
        <w:t>(atlántica)</w:t>
      </w:r>
      <w:r>
        <w:rPr>
          <w:color w:val="231F20"/>
          <w:spacing w:val="-8"/>
          <w:w w:val="105"/>
        </w:rPr>
        <w:t> </w:t>
      </w:r>
      <w:r>
        <w:rPr>
          <w:color w:val="231F20"/>
          <w:w w:val="105"/>
        </w:rPr>
        <w:t>o</w:t>
      </w:r>
      <w:r>
        <w:rPr>
          <w:color w:val="231F20"/>
          <w:spacing w:val="-8"/>
          <w:w w:val="105"/>
        </w:rPr>
        <w:t> </w:t>
      </w:r>
      <w:r>
        <w:rPr>
          <w:color w:val="231F20"/>
          <w:w w:val="105"/>
        </w:rPr>
        <w:t>“del</w:t>
      </w:r>
      <w:r>
        <w:rPr>
          <w:color w:val="231F20"/>
          <w:spacing w:val="-8"/>
          <w:w w:val="105"/>
        </w:rPr>
        <w:t> </w:t>
      </w:r>
      <w:r>
        <w:rPr>
          <w:color w:val="231F20"/>
          <w:w w:val="105"/>
        </w:rPr>
        <w:t>capitalismo”</w:t>
      </w:r>
      <w:r>
        <w:rPr>
          <w:color w:val="231F20"/>
          <w:spacing w:val="-8"/>
          <w:w w:val="105"/>
        </w:rPr>
        <w:t> </w:t>
      </w:r>
      <w:r>
        <w:rPr>
          <w:color w:val="231F20"/>
          <w:w w:val="105"/>
        </w:rPr>
        <w:t>o</w:t>
      </w:r>
      <w:r>
        <w:rPr>
          <w:color w:val="231F20"/>
          <w:spacing w:val="-8"/>
          <w:w w:val="105"/>
        </w:rPr>
        <w:t> </w:t>
      </w:r>
      <w:r>
        <w:rPr>
          <w:color w:val="231F20"/>
          <w:w w:val="105"/>
        </w:rPr>
        <w:t>“de</w:t>
      </w:r>
      <w:r>
        <w:rPr>
          <w:color w:val="231F20"/>
          <w:spacing w:val="-8"/>
          <w:w w:val="105"/>
        </w:rPr>
        <w:t> </w:t>
      </w:r>
      <w:r>
        <w:rPr>
          <w:color w:val="231F20"/>
          <w:w w:val="105"/>
        </w:rPr>
        <w:t>clase”,</w:t>
      </w:r>
      <w:r>
        <w:rPr>
          <w:color w:val="231F20"/>
          <w:spacing w:val="-8"/>
          <w:w w:val="105"/>
        </w:rPr>
        <w:t> </w:t>
      </w:r>
      <w:r>
        <w:rPr>
          <w:color w:val="231F20"/>
          <w:w w:val="105"/>
        </w:rPr>
        <w:t>sino</w:t>
      </w:r>
      <w:r>
        <w:rPr>
          <w:color w:val="231F20"/>
          <w:spacing w:val="-8"/>
          <w:w w:val="105"/>
        </w:rPr>
        <w:t> </w:t>
      </w:r>
      <w:r>
        <w:rPr>
          <w:color w:val="231F20"/>
          <w:w w:val="105"/>
        </w:rPr>
        <w:t>sobre todo</w:t>
      </w:r>
      <w:r>
        <w:rPr>
          <w:color w:val="231F20"/>
          <w:spacing w:val="-27"/>
          <w:w w:val="105"/>
        </w:rPr>
        <w:t> </w:t>
      </w:r>
      <w:r>
        <w:rPr>
          <w:color w:val="231F20"/>
          <w:w w:val="105"/>
        </w:rPr>
        <w:t>la</w:t>
      </w:r>
      <w:r>
        <w:rPr>
          <w:color w:val="231F20"/>
          <w:spacing w:val="-27"/>
          <w:w w:val="105"/>
        </w:rPr>
        <w:t> </w:t>
      </w:r>
      <w:r>
        <w:rPr>
          <w:color w:val="231F20"/>
          <w:w w:val="105"/>
        </w:rPr>
        <w:t>micro,</w:t>
      </w:r>
      <w:r>
        <w:rPr>
          <w:color w:val="231F20"/>
          <w:spacing w:val="-27"/>
          <w:w w:val="105"/>
        </w:rPr>
        <w:t> </w:t>
      </w:r>
      <w:r>
        <w:rPr>
          <w:color w:val="231F20"/>
          <w:w w:val="105"/>
        </w:rPr>
        <w:t>individual,</w:t>
      </w:r>
      <w:r>
        <w:rPr>
          <w:color w:val="231F20"/>
          <w:spacing w:val="-27"/>
          <w:w w:val="105"/>
        </w:rPr>
        <w:t> </w:t>
      </w:r>
      <w:r>
        <w:rPr>
          <w:color w:val="231F20"/>
          <w:w w:val="105"/>
        </w:rPr>
        <w:t>del</w:t>
      </w:r>
      <w:r>
        <w:rPr>
          <w:color w:val="231F20"/>
          <w:spacing w:val="-27"/>
          <w:w w:val="105"/>
        </w:rPr>
        <w:t> </w:t>
      </w:r>
      <w:r>
        <w:rPr>
          <w:color w:val="231F20"/>
          <w:w w:val="105"/>
        </w:rPr>
        <w:t>hombre</w:t>
      </w:r>
      <w:r>
        <w:rPr>
          <w:color w:val="231F20"/>
          <w:spacing w:val="-27"/>
          <w:w w:val="105"/>
        </w:rPr>
        <w:t> </w:t>
      </w:r>
      <w:r>
        <w:rPr>
          <w:color w:val="231F20"/>
          <w:w w:val="105"/>
        </w:rPr>
        <w:t>que</w:t>
      </w:r>
      <w:r>
        <w:rPr>
          <w:color w:val="231F20"/>
          <w:spacing w:val="-27"/>
          <w:w w:val="105"/>
        </w:rPr>
        <w:t> </w:t>
      </w:r>
      <w:r>
        <w:rPr>
          <w:color w:val="231F20"/>
          <w:w w:val="105"/>
        </w:rPr>
        <w:t>descubre</w:t>
      </w:r>
      <w:r>
        <w:rPr>
          <w:color w:val="231F20"/>
          <w:spacing w:val="-27"/>
          <w:w w:val="105"/>
        </w:rPr>
        <w:t> </w:t>
      </w:r>
      <w:r>
        <w:rPr>
          <w:color w:val="231F20"/>
          <w:w w:val="105"/>
        </w:rPr>
        <w:t>ser</w:t>
      </w:r>
      <w:r>
        <w:rPr>
          <w:color w:val="231F20"/>
          <w:spacing w:val="-27"/>
          <w:w w:val="105"/>
        </w:rPr>
        <w:t> </w:t>
      </w:r>
      <w:r>
        <w:rPr>
          <w:color w:val="231F20"/>
          <w:w w:val="105"/>
        </w:rPr>
        <w:t>productivo</w:t>
      </w:r>
      <w:r>
        <w:rPr>
          <w:color w:val="231F20"/>
          <w:spacing w:val="-27"/>
          <w:w w:val="105"/>
        </w:rPr>
        <w:t> </w:t>
      </w:r>
      <w:r>
        <w:rPr>
          <w:color w:val="231F20"/>
          <w:w w:val="105"/>
        </w:rPr>
        <w:t>y</w:t>
      </w:r>
      <w:r>
        <w:rPr>
          <w:color w:val="231F20"/>
          <w:spacing w:val="-27"/>
          <w:w w:val="105"/>
        </w:rPr>
        <w:t> </w:t>
      </w:r>
      <w:r>
        <w:rPr>
          <w:color w:val="231F20"/>
          <w:w w:val="105"/>
        </w:rPr>
        <w:t>poder serlo</w:t>
      </w:r>
      <w:r>
        <w:rPr>
          <w:color w:val="231F20"/>
          <w:spacing w:val="-15"/>
          <w:w w:val="105"/>
        </w:rPr>
        <w:t> </w:t>
      </w:r>
      <w:r>
        <w:rPr>
          <w:color w:val="231F20"/>
          <w:w w:val="105"/>
        </w:rPr>
        <w:t>conscientemente.</w:t>
      </w:r>
      <w:r>
        <w:rPr>
          <w:color w:val="231F20"/>
          <w:spacing w:val="-15"/>
          <w:w w:val="105"/>
        </w:rPr>
        <w:t> </w:t>
      </w:r>
      <w:r>
        <w:rPr>
          <w:color w:val="231F20"/>
          <w:w w:val="105"/>
        </w:rPr>
        <w:t>Esto</w:t>
      </w:r>
      <w:r>
        <w:rPr>
          <w:color w:val="231F20"/>
          <w:spacing w:val="-15"/>
          <w:w w:val="105"/>
        </w:rPr>
        <w:t> </w:t>
      </w:r>
      <w:r>
        <w:rPr>
          <w:color w:val="231F20"/>
          <w:w w:val="105"/>
        </w:rPr>
        <w:t>significa</w:t>
      </w:r>
      <w:r>
        <w:rPr>
          <w:color w:val="231F20"/>
          <w:spacing w:val="-15"/>
          <w:w w:val="105"/>
        </w:rPr>
        <w:t> </w:t>
      </w:r>
      <w:r>
        <w:rPr>
          <w:color w:val="231F20"/>
          <w:w w:val="105"/>
        </w:rPr>
        <w:t>entrar</w:t>
      </w:r>
      <w:r>
        <w:rPr>
          <w:color w:val="231F20"/>
          <w:spacing w:val="-15"/>
          <w:w w:val="105"/>
        </w:rPr>
        <w:t> </w:t>
      </w:r>
      <w:r>
        <w:rPr>
          <w:color w:val="231F20"/>
          <w:w w:val="105"/>
        </w:rPr>
        <w:t>en</w:t>
      </w:r>
      <w:r>
        <w:rPr>
          <w:color w:val="231F20"/>
          <w:spacing w:val="-15"/>
          <w:w w:val="105"/>
        </w:rPr>
        <w:t> </w:t>
      </w:r>
      <w:r>
        <w:rPr>
          <w:color w:val="231F20"/>
          <w:w w:val="105"/>
        </w:rPr>
        <w:t>lo</w:t>
      </w:r>
      <w:r>
        <w:rPr>
          <w:color w:val="231F20"/>
          <w:spacing w:val="-15"/>
          <w:w w:val="105"/>
        </w:rPr>
        <w:t> </w:t>
      </w:r>
      <w:r>
        <w:rPr>
          <w:color w:val="231F20"/>
          <w:w w:val="105"/>
        </w:rPr>
        <w:t>específico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ideolo- gía,</w:t>
      </w:r>
      <w:r>
        <w:rPr>
          <w:color w:val="231F20"/>
          <w:spacing w:val="-32"/>
          <w:w w:val="105"/>
        </w:rPr>
        <w:t> </w:t>
      </w:r>
      <w:r>
        <w:rPr>
          <w:color w:val="231F20"/>
          <w:w w:val="105"/>
        </w:rPr>
        <w:t>forma</w:t>
      </w:r>
      <w:r>
        <w:rPr>
          <w:color w:val="231F20"/>
          <w:spacing w:val="-32"/>
          <w:w w:val="105"/>
        </w:rPr>
        <w:t> </w:t>
      </w:r>
      <w:r>
        <w:rPr>
          <w:color w:val="231F20"/>
          <w:w w:val="105"/>
        </w:rPr>
        <w:t>históricamente</w:t>
      </w:r>
      <w:r>
        <w:rPr>
          <w:color w:val="231F20"/>
          <w:spacing w:val="-32"/>
          <w:w w:val="105"/>
        </w:rPr>
        <w:t> </w:t>
      </w:r>
      <w:r>
        <w:rPr>
          <w:color w:val="231F20"/>
          <w:w w:val="105"/>
        </w:rPr>
        <w:t>determinada</w:t>
      </w:r>
      <w:r>
        <w:rPr>
          <w:color w:val="231F20"/>
          <w:spacing w:val="-32"/>
          <w:w w:val="105"/>
        </w:rPr>
        <w:t> </w:t>
      </w:r>
      <w:r>
        <w:rPr>
          <w:color w:val="231F20"/>
          <w:w w:val="105"/>
        </w:rPr>
        <w:t>de</w:t>
      </w:r>
      <w:r>
        <w:rPr>
          <w:color w:val="231F20"/>
          <w:spacing w:val="-32"/>
          <w:w w:val="105"/>
        </w:rPr>
        <w:t> </w:t>
      </w:r>
      <w:r>
        <w:rPr>
          <w:color w:val="231F20"/>
          <w:w w:val="105"/>
        </w:rPr>
        <w:t>lo</w:t>
      </w:r>
      <w:r>
        <w:rPr>
          <w:color w:val="231F20"/>
          <w:spacing w:val="-32"/>
          <w:w w:val="105"/>
        </w:rPr>
        <w:t> </w:t>
      </w:r>
      <w:r>
        <w:rPr>
          <w:color w:val="231F20"/>
          <w:w w:val="105"/>
        </w:rPr>
        <w:t>político</w:t>
      </w:r>
      <w:r>
        <w:rPr>
          <w:color w:val="231F20"/>
          <w:spacing w:val="-32"/>
          <w:w w:val="105"/>
        </w:rPr>
        <w:t> </w:t>
      </w:r>
      <w:r>
        <w:rPr>
          <w:color w:val="231F20"/>
          <w:w w:val="105"/>
        </w:rPr>
        <w:t>en</w:t>
      </w:r>
      <w:r>
        <w:rPr>
          <w:color w:val="231F20"/>
          <w:spacing w:val="-32"/>
          <w:w w:val="105"/>
        </w:rPr>
        <w:t> </w:t>
      </w:r>
      <w:r>
        <w:rPr>
          <w:color w:val="231F20"/>
          <w:w w:val="105"/>
        </w:rPr>
        <w:t>la</w:t>
      </w:r>
      <w:r>
        <w:rPr>
          <w:color w:val="231F20"/>
          <w:spacing w:val="-32"/>
          <w:w w:val="105"/>
        </w:rPr>
        <w:t> </w:t>
      </w:r>
      <w:r>
        <w:rPr>
          <w:color w:val="231F20"/>
          <w:w w:val="105"/>
        </w:rPr>
        <w:t>edad</w:t>
      </w:r>
      <w:r>
        <w:rPr>
          <w:color w:val="231F20"/>
          <w:spacing w:val="-32"/>
          <w:w w:val="105"/>
        </w:rPr>
        <w:t> </w:t>
      </w:r>
      <w:r>
        <w:rPr>
          <w:color w:val="231F20"/>
          <w:w w:val="105"/>
        </w:rPr>
        <w:t>moderna</w:t>
      </w:r>
      <w:r>
        <w:rPr>
          <w:color w:val="231F20"/>
          <w:w w:val="105"/>
          <w:position w:val="7"/>
          <w:sz w:val="12"/>
        </w:rPr>
        <w:t>9</w:t>
      </w:r>
      <w:r>
        <w:rPr>
          <w:color w:val="231F20"/>
          <w:w w:val="105"/>
        </w:rPr>
        <w:t>. Queda</w:t>
      </w:r>
      <w:r>
        <w:rPr>
          <w:color w:val="231F20"/>
          <w:spacing w:val="-13"/>
          <w:w w:val="105"/>
        </w:rPr>
        <w:t> </w:t>
      </w:r>
      <w:r>
        <w:rPr>
          <w:color w:val="231F20"/>
          <w:w w:val="105"/>
        </w:rPr>
        <w:t>incluida</w:t>
      </w:r>
      <w:r>
        <w:rPr>
          <w:color w:val="231F20"/>
          <w:spacing w:val="-13"/>
          <w:w w:val="105"/>
        </w:rPr>
        <w:t> </w:t>
      </w:r>
      <w:r>
        <w:rPr>
          <w:color w:val="231F20"/>
          <w:w w:val="105"/>
        </w:rPr>
        <w:t>la</w:t>
      </w:r>
      <w:r>
        <w:rPr>
          <w:color w:val="231F20"/>
          <w:spacing w:val="-13"/>
          <w:w w:val="105"/>
        </w:rPr>
        <w:t> </w:t>
      </w:r>
      <w:r>
        <w:rPr>
          <w:color w:val="231F20"/>
          <w:w w:val="105"/>
        </w:rPr>
        <w:t>ciencia,</w:t>
      </w:r>
      <w:r>
        <w:rPr>
          <w:color w:val="231F20"/>
          <w:spacing w:val="-13"/>
          <w:w w:val="105"/>
        </w:rPr>
        <w:t> </w:t>
      </w:r>
      <w:r>
        <w:rPr>
          <w:color w:val="231F20"/>
          <w:w w:val="105"/>
        </w:rPr>
        <w:t>que</w:t>
      </w:r>
      <w:r>
        <w:rPr>
          <w:color w:val="231F20"/>
          <w:spacing w:val="-13"/>
          <w:w w:val="105"/>
        </w:rPr>
        <w:t> </w:t>
      </w:r>
      <w:r>
        <w:rPr>
          <w:color w:val="231F20"/>
          <w:w w:val="105"/>
        </w:rPr>
        <w:t>nace</w:t>
      </w:r>
      <w:r>
        <w:rPr>
          <w:color w:val="231F20"/>
          <w:spacing w:val="-13"/>
          <w:w w:val="105"/>
        </w:rPr>
        <w:t> </w:t>
      </w:r>
      <w:r>
        <w:rPr>
          <w:color w:val="231F20"/>
          <w:w w:val="105"/>
        </w:rPr>
        <w:t>como</w:t>
      </w:r>
      <w:r>
        <w:rPr>
          <w:color w:val="231F20"/>
          <w:spacing w:val="-13"/>
          <w:w w:val="105"/>
        </w:rPr>
        <w:t> </w:t>
      </w:r>
      <w:r>
        <w:rPr>
          <w:color w:val="231F20"/>
          <w:w w:val="105"/>
        </w:rPr>
        <w:t>síntesis</w:t>
      </w:r>
      <w:r>
        <w:rPr>
          <w:color w:val="231F20"/>
          <w:spacing w:val="-13"/>
          <w:w w:val="105"/>
        </w:rPr>
        <w:t> </w:t>
      </w:r>
      <w:r>
        <w:rPr>
          <w:color w:val="231F20"/>
          <w:w w:val="105"/>
        </w:rPr>
        <w:t>de</w:t>
      </w:r>
      <w:r>
        <w:rPr>
          <w:color w:val="231F20"/>
          <w:spacing w:val="-13"/>
          <w:w w:val="105"/>
        </w:rPr>
        <w:t> </w:t>
      </w:r>
      <w:r>
        <w:rPr>
          <w:color w:val="231F20"/>
          <w:w w:val="105"/>
        </w:rPr>
        <w:t>conciencia</w:t>
      </w:r>
      <w:r>
        <w:rPr>
          <w:color w:val="231F20"/>
          <w:spacing w:val="-13"/>
          <w:w w:val="105"/>
        </w:rPr>
        <w:t> </w:t>
      </w:r>
      <w:r>
        <w:rPr>
          <w:color w:val="231F20"/>
          <w:w w:val="105"/>
        </w:rPr>
        <w:t>y</w:t>
      </w:r>
      <w:r>
        <w:rPr>
          <w:color w:val="231F20"/>
          <w:spacing w:val="-13"/>
          <w:w w:val="105"/>
        </w:rPr>
        <w:t> </w:t>
      </w:r>
      <w:r>
        <w:rPr>
          <w:color w:val="231F20"/>
          <w:w w:val="105"/>
        </w:rPr>
        <w:t>manu- factura</w:t>
      </w:r>
      <w:r>
        <w:rPr>
          <w:color w:val="231F20"/>
          <w:spacing w:val="-12"/>
          <w:w w:val="105"/>
        </w:rPr>
        <w:t> </w:t>
      </w:r>
      <w:r>
        <w:rPr>
          <w:color w:val="231F20"/>
          <w:w w:val="105"/>
        </w:rPr>
        <w:t>y</w:t>
      </w:r>
      <w:r>
        <w:rPr>
          <w:color w:val="231F20"/>
          <w:spacing w:val="-12"/>
          <w:w w:val="105"/>
        </w:rPr>
        <w:t> </w:t>
      </w:r>
      <w:r>
        <w:rPr>
          <w:color w:val="231F20"/>
          <w:w w:val="105"/>
        </w:rPr>
        <w:t>da</w:t>
      </w:r>
      <w:r>
        <w:rPr>
          <w:color w:val="231F20"/>
          <w:spacing w:val="-12"/>
          <w:w w:val="105"/>
        </w:rPr>
        <w:t> </w:t>
      </w:r>
      <w:r>
        <w:rPr>
          <w:color w:val="231F20"/>
          <w:w w:val="105"/>
        </w:rPr>
        <w:t>soporte</w:t>
      </w:r>
      <w:r>
        <w:rPr>
          <w:color w:val="231F20"/>
          <w:spacing w:val="-12"/>
          <w:w w:val="105"/>
        </w:rPr>
        <w:t> </w:t>
      </w:r>
      <w:r>
        <w:rPr>
          <w:color w:val="231F20"/>
          <w:w w:val="105"/>
        </w:rPr>
        <w:t>al</w:t>
      </w:r>
      <w:r>
        <w:rPr>
          <w:color w:val="231F20"/>
          <w:spacing w:val="-12"/>
          <w:w w:val="105"/>
        </w:rPr>
        <w:t> </w:t>
      </w:r>
      <w:r>
        <w:rPr>
          <w:color w:val="231F20"/>
          <w:w w:val="105"/>
        </w:rPr>
        <w:t>Estado,</w:t>
      </w:r>
      <w:r>
        <w:rPr>
          <w:color w:val="231F20"/>
          <w:spacing w:val="-12"/>
          <w:w w:val="105"/>
        </w:rPr>
        <w:t> </w:t>
      </w:r>
      <w:r>
        <w:rPr>
          <w:color w:val="231F20"/>
          <w:w w:val="105"/>
        </w:rPr>
        <w:t>del</w:t>
      </w:r>
      <w:r>
        <w:rPr>
          <w:color w:val="231F20"/>
          <w:spacing w:val="-12"/>
          <w:w w:val="105"/>
        </w:rPr>
        <w:t> </w:t>
      </w:r>
      <w:r>
        <w:rPr>
          <w:color w:val="231F20"/>
          <w:w w:val="105"/>
        </w:rPr>
        <w:t>cual</w:t>
      </w:r>
      <w:r>
        <w:rPr>
          <w:color w:val="231F20"/>
          <w:spacing w:val="-12"/>
          <w:w w:val="105"/>
        </w:rPr>
        <w:t> </w:t>
      </w:r>
      <w:r>
        <w:rPr>
          <w:color w:val="231F20"/>
          <w:w w:val="105"/>
        </w:rPr>
        <w:t>es</w:t>
      </w:r>
      <w:r>
        <w:rPr>
          <w:color w:val="231F20"/>
          <w:spacing w:val="-12"/>
          <w:w w:val="105"/>
        </w:rPr>
        <w:t> </w:t>
      </w:r>
      <w:r>
        <w:rPr>
          <w:color w:val="231F20"/>
          <w:w w:val="105"/>
        </w:rPr>
        <w:t>al</w:t>
      </w:r>
      <w:r>
        <w:rPr>
          <w:color w:val="231F20"/>
          <w:spacing w:val="-12"/>
          <w:w w:val="105"/>
        </w:rPr>
        <w:t> </w:t>
      </w:r>
      <w:r>
        <w:rPr>
          <w:color w:val="231F20"/>
          <w:w w:val="105"/>
        </w:rPr>
        <w:t>mismo</w:t>
      </w:r>
      <w:r>
        <w:rPr>
          <w:color w:val="231F20"/>
          <w:spacing w:val="-12"/>
          <w:w w:val="105"/>
        </w:rPr>
        <w:t> </w:t>
      </w:r>
      <w:r>
        <w:rPr>
          <w:color w:val="231F20"/>
          <w:w w:val="105"/>
        </w:rPr>
        <w:t>tiempo</w:t>
      </w:r>
      <w:r>
        <w:rPr>
          <w:color w:val="231F20"/>
          <w:spacing w:val="-12"/>
          <w:w w:val="105"/>
        </w:rPr>
        <w:t> </w:t>
      </w:r>
      <w:r>
        <w:rPr>
          <w:color w:val="231F20"/>
          <w:w w:val="105"/>
        </w:rPr>
        <w:t>producto.</w:t>
      </w:r>
      <w:r>
        <w:rPr>
          <w:color w:val="231F20"/>
          <w:spacing w:val="-12"/>
          <w:w w:val="105"/>
        </w:rPr>
        <w:t> </w:t>
      </w:r>
      <w:r>
        <w:rPr>
          <w:color w:val="231F20"/>
          <w:w w:val="105"/>
        </w:rPr>
        <w:t>Es filosofía</w:t>
      </w:r>
      <w:r>
        <w:rPr>
          <w:color w:val="231F20"/>
          <w:spacing w:val="-16"/>
          <w:w w:val="105"/>
        </w:rPr>
        <w:t> </w:t>
      </w:r>
      <w:r>
        <w:rPr>
          <w:color w:val="231F20"/>
          <w:w w:val="105"/>
        </w:rPr>
        <w:t>del</w:t>
      </w:r>
      <w:r>
        <w:rPr>
          <w:color w:val="231F20"/>
          <w:spacing w:val="-16"/>
          <w:w w:val="105"/>
        </w:rPr>
        <w:t> </w:t>
      </w:r>
      <w:r>
        <w:rPr>
          <w:color w:val="231F20"/>
          <w:w w:val="105"/>
        </w:rPr>
        <w:t>mecanicismo,</w:t>
      </w:r>
      <w:r>
        <w:rPr>
          <w:color w:val="231F20"/>
          <w:spacing w:val="-16"/>
          <w:w w:val="105"/>
        </w:rPr>
        <w:t> </w:t>
      </w:r>
      <w:r>
        <w:rPr>
          <w:color w:val="231F20"/>
          <w:w w:val="105"/>
        </w:rPr>
        <w:t>pero</w:t>
      </w:r>
      <w:r>
        <w:rPr>
          <w:color w:val="231F20"/>
          <w:spacing w:val="-16"/>
          <w:w w:val="105"/>
        </w:rPr>
        <w:t> </w:t>
      </w:r>
      <w:r>
        <w:rPr>
          <w:color w:val="231F20"/>
          <w:w w:val="105"/>
        </w:rPr>
        <w:t>no</w:t>
      </w:r>
      <w:r>
        <w:rPr>
          <w:color w:val="231F20"/>
          <w:spacing w:val="-16"/>
          <w:w w:val="105"/>
        </w:rPr>
        <w:t> </w:t>
      </w:r>
      <w:r>
        <w:rPr>
          <w:color w:val="231F20"/>
          <w:w w:val="105"/>
        </w:rPr>
        <w:t>sólo,</w:t>
      </w:r>
      <w:r>
        <w:rPr>
          <w:color w:val="231F20"/>
          <w:spacing w:val="-16"/>
          <w:w w:val="105"/>
        </w:rPr>
        <w:t> </w:t>
      </w:r>
      <w:r>
        <w:rPr>
          <w:color w:val="231F20"/>
          <w:w w:val="105"/>
        </w:rPr>
        <w:t>es</w:t>
      </w:r>
      <w:r>
        <w:rPr>
          <w:color w:val="231F20"/>
          <w:spacing w:val="-16"/>
          <w:w w:val="105"/>
        </w:rPr>
        <w:t> </w:t>
      </w:r>
      <w:r>
        <w:rPr>
          <w:color w:val="231F20"/>
          <w:w w:val="105"/>
        </w:rPr>
        <w:t>también</w:t>
      </w:r>
      <w:r>
        <w:rPr>
          <w:color w:val="231F20"/>
          <w:spacing w:val="-16"/>
          <w:w w:val="105"/>
        </w:rPr>
        <w:t> </w:t>
      </w:r>
      <w:r>
        <w:rPr>
          <w:color w:val="231F20"/>
          <w:w w:val="105"/>
        </w:rPr>
        <w:t>ideología</w:t>
      </w:r>
      <w:r>
        <w:rPr>
          <w:color w:val="231F20"/>
          <w:spacing w:val="-16"/>
          <w:w w:val="105"/>
        </w:rPr>
        <w:t> </w:t>
      </w:r>
      <w:r>
        <w:rPr>
          <w:color w:val="231F20"/>
          <w:w w:val="105"/>
        </w:rPr>
        <w:t>del</w:t>
      </w:r>
      <w:r>
        <w:rPr>
          <w:color w:val="231F20"/>
          <w:spacing w:val="-16"/>
          <w:w w:val="105"/>
        </w:rPr>
        <w:t> </w:t>
      </w:r>
      <w:r>
        <w:rPr>
          <w:color w:val="231F20"/>
          <w:w w:val="105"/>
        </w:rPr>
        <w:t>produc- tivismo,</w:t>
      </w:r>
      <w:r>
        <w:rPr>
          <w:color w:val="231F20"/>
          <w:spacing w:val="-10"/>
          <w:w w:val="105"/>
        </w:rPr>
        <w:t> </w:t>
      </w:r>
      <w:r>
        <w:rPr>
          <w:color w:val="231F20"/>
          <w:w w:val="105"/>
        </w:rPr>
        <w:t>que</w:t>
      </w:r>
      <w:r>
        <w:rPr>
          <w:color w:val="231F20"/>
          <w:spacing w:val="-10"/>
          <w:w w:val="105"/>
        </w:rPr>
        <w:t> </w:t>
      </w:r>
      <w:r>
        <w:rPr>
          <w:color w:val="231F20"/>
          <w:w w:val="105"/>
        </w:rPr>
        <w:t>representa</w:t>
      </w:r>
      <w:r>
        <w:rPr>
          <w:color w:val="231F20"/>
          <w:spacing w:val="-10"/>
          <w:w w:val="105"/>
        </w:rPr>
        <w:t> </w:t>
      </w:r>
      <w:r>
        <w:rPr>
          <w:color w:val="231F20"/>
          <w:w w:val="105"/>
        </w:rPr>
        <w:t>quizá</w:t>
      </w:r>
      <w:r>
        <w:rPr>
          <w:color w:val="231F20"/>
          <w:spacing w:val="-10"/>
          <w:w w:val="105"/>
        </w:rPr>
        <w:t> </w:t>
      </w:r>
      <w:r>
        <w:rPr>
          <w:color w:val="231F20"/>
          <w:w w:val="105"/>
        </w:rPr>
        <w:t>el</w:t>
      </w:r>
      <w:r>
        <w:rPr>
          <w:color w:val="231F20"/>
          <w:spacing w:val="-10"/>
          <w:w w:val="105"/>
        </w:rPr>
        <w:t> </w:t>
      </w:r>
      <w:r>
        <w:rPr>
          <w:color w:val="231F20"/>
          <w:w w:val="105"/>
        </w:rPr>
        <w:t>núcleo</w:t>
      </w:r>
      <w:r>
        <w:rPr>
          <w:color w:val="231F20"/>
          <w:spacing w:val="-10"/>
          <w:w w:val="105"/>
        </w:rPr>
        <w:t> </w:t>
      </w:r>
      <w:r>
        <w:rPr>
          <w:color w:val="231F20"/>
          <w:w w:val="105"/>
        </w:rPr>
        <w:t>central</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doctrina</w:t>
      </w:r>
      <w:r>
        <w:rPr>
          <w:color w:val="231F20"/>
          <w:spacing w:val="-10"/>
          <w:w w:val="105"/>
        </w:rPr>
        <w:t> </w:t>
      </w:r>
      <w:r>
        <w:rPr>
          <w:color w:val="231F20"/>
          <w:w w:val="105"/>
        </w:rPr>
        <w:t>del</w:t>
      </w:r>
      <w:r>
        <w:rPr>
          <w:color w:val="231F20"/>
          <w:spacing w:val="-10"/>
          <w:w w:val="105"/>
        </w:rPr>
        <w:t> </w:t>
      </w:r>
      <w:r>
        <w:rPr>
          <w:color w:val="231F20"/>
          <w:w w:val="105"/>
        </w:rPr>
        <w:t>Estado (y</w:t>
      </w:r>
      <w:r>
        <w:rPr>
          <w:color w:val="231F20"/>
          <w:spacing w:val="-46"/>
          <w:w w:val="105"/>
        </w:rPr>
        <w:t> </w:t>
      </w:r>
      <w:r>
        <w:rPr>
          <w:color w:val="231F20"/>
          <w:w w:val="105"/>
        </w:rPr>
        <w:t>del</w:t>
      </w:r>
      <w:r>
        <w:rPr>
          <w:color w:val="231F20"/>
          <w:spacing w:val="-46"/>
          <w:w w:val="105"/>
        </w:rPr>
        <w:t> </w:t>
      </w:r>
      <w:r>
        <w:rPr>
          <w:color w:val="231F20"/>
          <w:w w:val="105"/>
        </w:rPr>
        <w:t>hombre)</w:t>
      </w:r>
      <w:r>
        <w:rPr>
          <w:color w:val="231F20"/>
          <w:spacing w:val="-46"/>
          <w:w w:val="105"/>
        </w:rPr>
        <w:t> </w:t>
      </w:r>
      <w:r>
        <w:rPr>
          <w:color w:val="231F20"/>
          <w:w w:val="105"/>
        </w:rPr>
        <w:t>burgués.</w:t>
      </w:r>
      <w:r>
        <w:rPr>
          <w:color w:val="231F20"/>
          <w:spacing w:val="-46"/>
          <w:w w:val="105"/>
        </w:rPr>
        <w:t> </w:t>
      </w:r>
      <w:r>
        <w:rPr>
          <w:color w:val="231F20"/>
          <w:w w:val="105"/>
        </w:rPr>
        <w:t>Ciencia–técnica–producción–capital,</w:t>
      </w:r>
      <w:r>
        <w:rPr>
          <w:color w:val="231F20"/>
          <w:spacing w:val="-46"/>
          <w:w w:val="105"/>
        </w:rPr>
        <w:t> </w:t>
      </w:r>
      <w:r>
        <w:rPr>
          <w:color w:val="231F20"/>
          <w:w w:val="105"/>
        </w:rPr>
        <w:t>en</w:t>
      </w:r>
      <w:r>
        <w:rPr>
          <w:color w:val="231F20"/>
          <w:spacing w:val="-46"/>
          <w:w w:val="105"/>
        </w:rPr>
        <w:t> </w:t>
      </w:r>
      <w:r>
        <w:rPr>
          <w:color w:val="231F20"/>
          <w:w w:val="105"/>
        </w:rPr>
        <w:t>la</w:t>
      </w:r>
      <w:r>
        <w:rPr>
          <w:color w:val="231F20"/>
          <w:spacing w:val="-46"/>
          <w:w w:val="105"/>
        </w:rPr>
        <w:t> </w:t>
      </w:r>
      <w:r>
        <w:rPr>
          <w:color w:val="231F20"/>
          <w:w w:val="105"/>
        </w:rPr>
        <w:t>cadena hecha</w:t>
      </w:r>
      <w:r>
        <w:rPr>
          <w:color w:val="231F20"/>
          <w:spacing w:val="-31"/>
          <w:w w:val="105"/>
        </w:rPr>
        <w:t> </w:t>
      </w:r>
      <w:r>
        <w:rPr>
          <w:color w:val="231F20"/>
          <w:w w:val="105"/>
        </w:rPr>
        <w:t>por</w:t>
      </w:r>
      <w:r>
        <w:rPr>
          <w:color w:val="231F20"/>
          <w:spacing w:val="-31"/>
          <w:w w:val="105"/>
        </w:rPr>
        <w:t> </w:t>
      </w:r>
      <w:r>
        <w:rPr>
          <w:color w:val="231F20"/>
          <w:w w:val="105"/>
        </w:rPr>
        <w:t>el</w:t>
      </w:r>
      <w:r>
        <w:rPr>
          <w:color w:val="231F20"/>
          <w:spacing w:val="-31"/>
          <w:w w:val="105"/>
        </w:rPr>
        <w:t> </w:t>
      </w:r>
      <w:r>
        <w:rPr>
          <w:color w:val="231F20"/>
          <w:w w:val="105"/>
        </w:rPr>
        <w:t>dinero,</w:t>
      </w:r>
      <w:r>
        <w:rPr>
          <w:color w:val="231F20"/>
          <w:spacing w:val="-31"/>
          <w:w w:val="105"/>
        </w:rPr>
        <w:t> </w:t>
      </w:r>
      <w:r>
        <w:rPr>
          <w:color w:val="231F20"/>
          <w:w w:val="105"/>
        </w:rPr>
        <w:t>pero</w:t>
      </w:r>
      <w:r>
        <w:rPr>
          <w:color w:val="231F20"/>
          <w:spacing w:val="-31"/>
          <w:w w:val="105"/>
        </w:rPr>
        <w:t> </w:t>
      </w:r>
      <w:r>
        <w:rPr>
          <w:color w:val="231F20"/>
          <w:w w:val="105"/>
        </w:rPr>
        <w:t>ciertamente</w:t>
      </w:r>
      <w:r>
        <w:rPr>
          <w:color w:val="231F20"/>
          <w:spacing w:val="-31"/>
          <w:w w:val="105"/>
        </w:rPr>
        <w:t> </w:t>
      </w:r>
      <w:r>
        <w:rPr>
          <w:color w:val="231F20"/>
          <w:w w:val="105"/>
        </w:rPr>
        <w:t>también</w:t>
      </w:r>
      <w:r>
        <w:rPr>
          <w:color w:val="231F20"/>
          <w:spacing w:val="-31"/>
          <w:w w:val="105"/>
        </w:rPr>
        <w:t> </w:t>
      </w:r>
      <w:r>
        <w:rPr>
          <w:color w:val="231F20"/>
          <w:w w:val="105"/>
        </w:rPr>
        <w:t>producto</w:t>
      </w:r>
      <w:r>
        <w:rPr>
          <w:color w:val="231F20"/>
          <w:spacing w:val="-31"/>
          <w:w w:val="105"/>
        </w:rPr>
        <w:t> </w:t>
      </w:r>
      <w:r>
        <w:rPr>
          <w:color w:val="231F20"/>
          <w:w w:val="105"/>
        </w:rPr>
        <w:t>del</w:t>
      </w:r>
      <w:r>
        <w:rPr>
          <w:color w:val="231F20"/>
          <w:spacing w:val="-31"/>
          <w:w w:val="105"/>
        </w:rPr>
        <w:t> </w:t>
      </w:r>
      <w:r>
        <w:rPr>
          <w:color w:val="231F20"/>
          <w:w w:val="105"/>
        </w:rPr>
        <w:t>Estado:</w:t>
      </w:r>
      <w:r>
        <w:rPr>
          <w:color w:val="231F20"/>
          <w:spacing w:val="-31"/>
          <w:w w:val="105"/>
        </w:rPr>
        <w:t> </w:t>
      </w:r>
      <w:r>
        <w:rPr>
          <w:color w:val="231F20"/>
          <w:w w:val="105"/>
        </w:rPr>
        <w:t>como intermediación,</w:t>
      </w:r>
      <w:r>
        <w:rPr>
          <w:color w:val="231F20"/>
          <w:spacing w:val="-46"/>
          <w:w w:val="105"/>
        </w:rPr>
        <w:t> </w:t>
      </w:r>
      <w:r>
        <w:rPr>
          <w:color w:val="231F20"/>
          <w:w w:val="105"/>
        </w:rPr>
        <w:t>pero</w:t>
      </w:r>
      <w:r>
        <w:rPr>
          <w:color w:val="231F20"/>
          <w:spacing w:val="-46"/>
          <w:w w:val="105"/>
        </w:rPr>
        <w:t> </w:t>
      </w:r>
      <w:r>
        <w:rPr>
          <w:color w:val="231F20"/>
          <w:w w:val="105"/>
        </w:rPr>
        <w:t>también</w:t>
      </w:r>
      <w:r>
        <w:rPr>
          <w:color w:val="231F20"/>
          <w:spacing w:val="-46"/>
          <w:w w:val="105"/>
        </w:rPr>
        <w:t> </w:t>
      </w:r>
      <w:r>
        <w:rPr>
          <w:color w:val="231F20"/>
          <w:w w:val="105"/>
        </w:rPr>
        <w:t>como</w:t>
      </w:r>
      <w:r>
        <w:rPr>
          <w:color w:val="231F20"/>
          <w:spacing w:val="-46"/>
          <w:w w:val="105"/>
        </w:rPr>
        <w:t> </w:t>
      </w:r>
      <w:r>
        <w:rPr>
          <w:color w:val="231F20"/>
          <w:w w:val="105"/>
        </w:rPr>
        <w:t>estructura.</w:t>
      </w:r>
    </w:p>
    <w:p>
      <w:pPr>
        <w:pStyle w:val="BodyText"/>
        <w:spacing w:line="247" w:lineRule="auto"/>
        <w:ind w:left="117" w:right="101" w:firstLine="566"/>
        <w:jc w:val="both"/>
      </w:pPr>
      <w:r>
        <w:rPr>
          <w:color w:val="231F20"/>
          <w:w w:val="105"/>
        </w:rPr>
        <w:t>Lo</w:t>
      </w:r>
      <w:r>
        <w:rPr>
          <w:color w:val="231F20"/>
          <w:spacing w:val="-15"/>
          <w:w w:val="105"/>
        </w:rPr>
        <w:t> </w:t>
      </w:r>
      <w:r>
        <w:rPr>
          <w:color w:val="231F20"/>
          <w:w w:val="105"/>
        </w:rPr>
        <w:t>que</w:t>
      </w:r>
      <w:r>
        <w:rPr>
          <w:color w:val="231F20"/>
          <w:spacing w:val="-15"/>
          <w:w w:val="105"/>
        </w:rPr>
        <w:t> </w:t>
      </w:r>
      <w:r>
        <w:rPr>
          <w:color w:val="231F20"/>
          <w:w w:val="105"/>
        </w:rPr>
        <w:t>yo</w:t>
      </w:r>
      <w:r>
        <w:rPr>
          <w:color w:val="231F20"/>
          <w:spacing w:val="-15"/>
          <w:w w:val="105"/>
        </w:rPr>
        <w:t> </w:t>
      </w:r>
      <w:r>
        <w:rPr>
          <w:color w:val="231F20"/>
          <w:w w:val="105"/>
        </w:rPr>
        <w:t>digo</w:t>
      </w:r>
      <w:r>
        <w:rPr>
          <w:color w:val="231F20"/>
          <w:spacing w:val="-15"/>
          <w:w w:val="105"/>
        </w:rPr>
        <w:t> </w:t>
      </w:r>
      <w:r>
        <w:rPr>
          <w:color w:val="231F20"/>
          <w:w w:val="105"/>
        </w:rPr>
        <w:t>son</w:t>
      </w:r>
      <w:r>
        <w:rPr>
          <w:color w:val="231F20"/>
          <w:spacing w:val="-15"/>
          <w:w w:val="105"/>
        </w:rPr>
        <w:t> </w:t>
      </w:r>
      <w:r>
        <w:rPr>
          <w:color w:val="231F20"/>
          <w:w w:val="105"/>
        </w:rPr>
        <w:t>cosas</w:t>
      </w:r>
      <w:r>
        <w:rPr>
          <w:color w:val="231F20"/>
          <w:spacing w:val="-15"/>
          <w:w w:val="105"/>
        </w:rPr>
        <w:t> </w:t>
      </w:r>
      <w:r>
        <w:rPr>
          <w:color w:val="231F20"/>
          <w:w w:val="105"/>
        </w:rPr>
        <w:t>simples:</w:t>
      </w:r>
      <w:r>
        <w:rPr>
          <w:color w:val="231F20"/>
          <w:spacing w:val="-15"/>
          <w:w w:val="105"/>
        </w:rPr>
        <w:t> </w:t>
      </w:r>
      <w:r>
        <w:rPr>
          <w:color w:val="231F20"/>
          <w:w w:val="105"/>
        </w:rPr>
        <w:t>es</w:t>
      </w:r>
      <w:r>
        <w:rPr>
          <w:color w:val="231F20"/>
          <w:spacing w:val="-15"/>
          <w:w w:val="105"/>
        </w:rPr>
        <w:t> </w:t>
      </w:r>
      <w:r>
        <w:rPr>
          <w:color w:val="231F20"/>
          <w:w w:val="105"/>
        </w:rPr>
        <w:t>a</w:t>
      </w:r>
      <w:r>
        <w:rPr>
          <w:color w:val="231F20"/>
          <w:spacing w:val="-15"/>
          <w:w w:val="105"/>
        </w:rPr>
        <w:t> </w:t>
      </w:r>
      <w:r>
        <w:rPr>
          <w:color w:val="231F20"/>
          <w:w w:val="105"/>
        </w:rPr>
        <w:t>partir</w:t>
      </w:r>
      <w:r>
        <w:rPr>
          <w:color w:val="231F20"/>
          <w:spacing w:val="-15"/>
          <w:w w:val="105"/>
        </w:rPr>
        <w:t> </w:t>
      </w:r>
      <w:r>
        <w:rPr>
          <w:color w:val="231F20"/>
          <w:w w:val="105"/>
        </w:rPr>
        <w:t>de</w:t>
      </w:r>
      <w:r>
        <w:rPr>
          <w:color w:val="231F20"/>
          <w:spacing w:val="-15"/>
          <w:w w:val="105"/>
        </w:rPr>
        <w:t> </w:t>
      </w:r>
      <w:r>
        <w:rPr>
          <w:color w:val="231F20"/>
          <w:w w:val="105"/>
        </w:rPr>
        <w:t>aquí</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puede medir</w:t>
      </w:r>
      <w:r>
        <w:rPr>
          <w:color w:val="231F20"/>
          <w:spacing w:val="-29"/>
          <w:w w:val="105"/>
        </w:rPr>
        <w:t> </w:t>
      </w:r>
      <w:r>
        <w:rPr>
          <w:color w:val="231F20"/>
          <w:w w:val="105"/>
        </w:rPr>
        <w:t>el</w:t>
      </w:r>
      <w:r>
        <w:rPr>
          <w:color w:val="231F20"/>
          <w:spacing w:val="-29"/>
          <w:w w:val="105"/>
        </w:rPr>
        <w:t> </w:t>
      </w:r>
      <w:r>
        <w:rPr>
          <w:color w:val="231F20"/>
          <w:w w:val="105"/>
        </w:rPr>
        <w:t>estado</w:t>
      </w:r>
      <w:r>
        <w:rPr>
          <w:color w:val="231F20"/>
          <w:spacing w:val="-29"/>
          <w:w w:val="105"/>
        </w:rPr>
        <w:t> </w:t>
      </w:r>
      <w:r>
        <w:rPr>
          <w:color w:val="231F20"/>
          <w:w w:val="105"/>
        </w:rPr>
        <w:t>del</w:t>
      </w:r>
      <w:r>
        <w:rPr>
          <w:color w:val="231F20"/>
          <w:spacing w:val="-29"/>
          <w:w w:val="105"/>
        </w:rPr>
        <w:t> </w:t>
      </w:r>
      <w:r>
        <w:rPr>
          <w:color w:val="231F20"/>
          <w:w w:val="105"/>
        </w:rPr>
        <w:t>Estado</w:t>
      </w:r>
      <w:r>
        <w:rPr>
          <w:color w:val="231F20"/>
          <w:spacing w:val="-29"/>
          <w:w w:val="105"/>
        </w:rPr>
        <w:t> </w:t>
      </w:r>
      <w:r>
        <w:rPr>
          <w:color w:val="231F20"/>
          <w:w w:val="105"/>
        </w:rPr>
        <w:t>de</w:t>
      </w:r>
      <w:r>
        <w:rPr>
          <w:color w:val="231F20"/>
          <w:spacing w:val="-29"/>
          <w:w w:val="105"/>
        </w:rPr>
        <w:t> </w:t>
      </w:r>
      <w:r>
        <w:rPr>
          <w:color w:val="231F20"/>
          <w:spacing w:val="-5"/>
          <w:w w:val="105"/>
        </w:rPr>
        <w:t>hoy,</w:t>
      </w:r>
      <w:r>
        <w:rPr>
          <w:color w:val="231F20"/>
          <w:spacing w:val="-29"/>
          <w:w w:val="105"/>
        </w:rPr>
        <w:t> </w:t>
      </w:r>
      <w:r>
        <w:rPr>
          <w:color w:val="231F20"/>
          <w:w w:val="105"/>
        </w:rPr>
        <w:t>es</w:t>
      </w:r>
      <w:r>
        <w:rPr>
          <w:color w:val="231F20"/>
          <w:spacing w:val="-29"/>
          <w:w w:val="105"/>
        </w:rPr>
        <w:t> </w:t>
      </w:r>
      <w:r>
        <w:rPr>
          <w:color w:val="231F20"/>
          <w:spacing w:val="-4"/>
          <w:w w:val="105"/>
        </w:rPr>
        <w:t>decir,</w:t>
      </w:r>
      <w:r>
        <w:rPr>
          <w:color w:val="231F20"/>
          <w:spacing w:val="-29"/>
          <w:w w:val="105"/>
        </w:rPr>
        <w:t> </w:t>
      </w:r>
      <w:r>
        <w:rPr>
          <w:color w:val="231F20"/>
          <w:w w:val="105"/>
        </w:rPr>
        <w:t>de</w:t>
      </w:r>
      <w:r>
        <w:rPr>
          <w:color w:val="231F20"/>
          <w:spacing w:val="-29"/>
          <w:w w:val="105"/>
        </w:rPr>
        <w:t> </w:t>
      </w:r>
      <w:r>
        <w:rPr>
          <w:color w:val="231F20"/>
          <w:w w:val="105"/>
        </w:rPr>
        <w:t>su</w:t>
      </w:r>
      <w:r>
        <w:rPr>
          <w:color w:val="231F20"/>
          <w:spacing w:val="-29"/>
          <w:w w:val="105"/>
        </w:rPr>
        <w:t> </w:t>
      </w:r>
      <w:r>
        <w:rPr>
          <w:color w:val="231F20"/>
          <w:w w:val="105"/>
        </w:rPr>
        <w:t>relación</w:t>
      </w:r>
      <w:r>
        <w:rPr>
          <w:color w:val="231F20"/>
          <w:spacing w:val="-29"/>
          <w:w w:val="105"/>
        </w:rPr>
        <w:t> </w:t>
      </w:r>
      <w:r>
        <w:rPr>
          <w:color w:val="231F20"/>
          <w:w w:val="105"/>
        </w:rPr>
        <w:t>con</w:t>
      </w:r>
      <w:r>
        <w:rPr>
          <w:color w:val="231F20"/>
          <w:spacing w:val="-29"/>
          <w:w w:val="105"/>
        </w:rPr>
        <w:t> </w:t>
      </w:r>
      <w:r>
        <w:rPr>
          <w:color w:val="231F20"/>
          <w:w w:val="105"/>
        </w:rPr>
        <w:t>lo</w:t>
      </w:r>
      <w:r>
        <w:rPr>
          <w:color w:val="231F20"/>
          <w:spacing w:val="-29"/>
          <w:w w:val="105"/>
        </w:rPr>
        <w:t> </w:t>
      </w:r>
      <w:r>
        <w:rPr>
          <w:color w:val="231F20"/>
          <w:w w:val="105"/>
        </w:rPr>
        <w:t>moderno: porque si se quita el atributo de “moderno” al “Estado”, ¿qué  </w:t>
      </w:r>
      <w:r>
        <w:rPr>
          <w:color w:val="231F20"/>
          <w:spacing w:val="45"/>
          <w:w w:val="105"/>
        </w:rPr>
        <w:t> </w:t>
      </w:r>
      <w:r>
        <w:rPr>
          <w:color w:val="231F20"/>
          <w:w w:val="105"/>
        </w:rPr>
        <w:t>queda?</w:t>
      </w:r>
    </w:p>
    <w:p>
      <w:pPr>
        <w:pStyle w:val="BodyText"/>
        <w:spacing w:line="247" w:lineRule="auto"/>
        <w:ind w:left="117" w:right="101"/>
        <w:jc w:val="both"/>
      </w:pPr>
      <w:r>
        <w:rPr>
          <w:color w:val="231F20"/>
          <w:w w:val="105"/>
        </w:rPr>
        <w:t>¿Será</w:t>
      </w:r>
      <w:r>
        <w:rPr>
          <w:color w:val="231F20"/>
          <w:spacing w:val="-22"/>
          <w:w w:val="105"/>
        </w:rPr>
        <w:t> </w:t>
      </w:r>
      <w:r>
        <w:rPr>
          <w:color w:val="231F20"/>
          <w:w w:val="105"/>
        </w:rPr>
        <w:t>entonces</w:t>
      </w:r>
      <w:r>
        <w:rPr>
          <w:color w:val="231F20"/>
          <w:spacing w:val="-22"/>
          <w:w w:val="105"/>
        </w:rPr>
        <w:t> </w:t>
      </w:r>
      <w:r>
        <w:rPr>
          <w:color w:val="231F20"/>
          <w:w w:val="105"/>
        </w:rPr>
        <w:t>la</w:t>
      </w:r>
      <w:r>
        <w:rPr>
          <w:color w:val="231F20"/>
          <w:spacing w:val="-22"/>
          <w:w w:val="105"/>
        </w:rPr>
        <w:t> </w:t>
      </w:r>
      <w:r>
        <w:rPr>
          <w:color w:val="231F20"/>
          <w:w w:val="105"/>
        </w:rPr>
        <w:t>modernidad</w:t>
      </w:r>
      <w:r>
        <w:rPr>
          <w:color w:val="231F20"/>
          <w:spacing w:val="-22"/>
          <w:w w:val="105"/>
        </w:rPr>
        <w:t> </w:t>
      </w:r>
      <w:r>
        <w:rPr>
          <w:color w:val="231F20"/>
          <w:w w:val="105"/>
        </w:rPr>
        <w:t>que</w:t>
      </w:r>
      <w:r>
        <w:rPr>
          <w:color w:val="231F20"/>
          <w:spacing w:val="-22"/>
          <w:w w:val="105"/>
        </w:rPr>
        <w:t> </w:t>
      </w:r>
      <w:r>
        <w:rPr>
          <w:color w:val="231F20"/>
          <w:w w:val="105"/>
        </w:rPr>
        <w:t>necesita</w:t>
      </w:r>
      <w:r>
        <w:rPr>
          <w:color w:val="231F20"/>
          <w:spacing w:val="-22"/>
          <w:w w:val="105"/>
        </w:rPr>
        <w:t> </w:t>
      </w:r>
      <w:r>
        <w:rPr>
          <w:color w:val="231F20"/>
          <w:w w:val="105"/>
        </w:rPr>
        <w:t>volver</w:t>
      </w:r>
      <w:r>
        <w:rPr>
          <w:color w:val="231F20"/>
          <w:spacing w:val="-22"/>
          <w:w w:val="105"/>
        </w:rPr>
        <w:t> </w:t>
      </w:r>
      <w:r>
        <w:rPr>
          <w:color w:val="231F20"/>
          <w:w w:val="105"/>
        </w:rPr>
        <w:t>a</w:t>
      </w:r>
      <w:r>
        <w:rPr>
          <w:color w:val="231F20"/>
          <w:spacing w:val="-22"/>
          <w:w w:val="105"/>
        </w:rPr>
        <w:t> </w:t>
      </w:r>
      <w:r>
        <w:rPr>
          <w:color w:val="231F20"/>
          <w:spacing w:val="-3"/>
          <w:w w:val="105"/>
        </w:rPr>
        <w:t>hablar,</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presun- ción</w:t>
      </w:r>
      <w:r>
        <w:rPr>
          <w:color w:val="231F20"/>
          <w:spacing w:val="-16"/>
          <w:w w:val="105"/>
        </w:rPr>
        <w:t> </w:t>
      </w:r>
      <w:r>
        <w:rPr>
          <w:color w:val="231F20"/>
          <w:w w:val="105"/>
        </w:rPr>
        <w:t>de</w:t>
      </w:r>
      <w:r>
        <w:rPr>
          <w:color w:val="231F20"/>
          <w:spacing w:val="-16"/>
          <w:w w:val="105"/>
        </w:rPr>
        <w:t> </w:t>
      </w:r>
      <w:r>
        <w:rPr>
          <w:color w:val="231F20"/>
          <w:w w:val="105"/>
        </w:rPr>
        <w:t>que</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destino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humanidad</w:t>
      </w:r>
      <w:r>
        <w:rPr>
          <w:color w:val="231F20"/>
          <w:spacing w:val="-16"/>
          <w:w w:val="105"/>
        </w:rPr>
        <w:t> </w:t>
      </w:r>
      <w:r>
        <w:rPr>
          <w:color w:val="231F20"/>
          <w:w w:val="105"/>
        </w:rPr>
        <w:t>no</w:t>
      </w:r>
      <w:r>
        <w:rPr>
          <w:color w:val="231F20"/>
          <w:spacing w:val="-16"/>
          <w:w w:val="105"/>
        </w:rPr>
        <w:t> </w:t>
      </w:r>
      <w:r>
        <w:rPr>
          <w:color w:val="231F20"/>
          <w:w w:val="105"/>
        </w:rPr>
        <w:t>puede</w:t>
      </w:r>
      <w:r>
        <w:rPr>
          <w:color w:val="231F20"/>
          <w:spacing w:val="-16"/>
          <w:w w:val="105"/>
        </w:rPr>
        <w:t> </w:t>
      </w:r>
      <w:r>
        <w:rPr>
          <w:color w:val="231F20"/>
          <w:w w:val="105"/>
        </w:rPr>
        <w:t>haber</w:t>
      </w:r>
      <w:r>
        <w:rPr>
          <w:color w:val="231F20"/>
          <w:spacing w:val="-16"/>
          <w:w w:val="105"/>
        </w:rPr>
        <w:t> </w:t>
      </w:r>
      <w:r>
        <w:rPr>
          <w:color w:val="231F20"/>
          <w:w w:val="105"/>
        </w:rPr>
        <w:t>otra</w:t>
      </w:r>
      <w:r>
        <w:rPr>
          <w:color w:val="231F20"/>
          <w:spacing w:val="-16"/>
          <w:w w:val="105"/>
        </w:rPr>
        <w:t> </w:t>
      </w:r>
      <w:r>
        <w:rPr>
          <w:color w:val="231F20"/>
          <w:w w:val="105"/>
        </w:rPr>
        <w:t>cosa</w:t>
      </w:r>
      <w:r>
        <w:rPr>
          <w:color w:val="231F20"/>
          <w:spacing w:val="-16"/>
          <w:w w:val="105"/>
        </w:rPr>
        <w:t> </w:t>
      </w:r>
      <w:r>
        <w:rPr>
          <w:color w:val="231F20"/>
          <w:w w:val="105"/>
        </w:rPr>
        <w:t>que lo</w:t>
      </w:r>
      <w:r>
        <w:rPr>
          <w:color w:val="231F20"/>
          <w:spacing w:val="-16"/>
          <w:w w:val="105"/>
        </w:rPr>
        <w:t> </w:t>
      </w:r>
      <w:r>
        <w:rPr>
          <w:color w:val="231F20"/>
          <w:w w:val="105"/>
        </w:rPr>
        <w:t>“moderno”?</w:t>
      </w:r>
      <w:r>
        <w:rPr>
          <w:color w:val="231F20"/>
          <w:spacing w:val="-16"/>
          <w:w w:val="105"/>
        </w:rPr>
        <w:t> </w:t>
      </w:r>
      <w:r>
        <w:rPr>
          <w:color w:val="231F20"/>
          <w:w w:val="105"/>
        </w:rPr>
        <w:t>Inicio</w:t>
      </w:r>
      <w:r>
        <w:rPr>
          <w:color w:val="231F20"/>
          <w:spacing w:val="-16"/>
          <w:w w:val="105"/>
        </w:rPr>
        <w:t> </w:t>
      </w:r>
      <w:r>
        <w:rPr>
          <w:color w:val="231F20"/>
          <w:w w:val="105"/>
        </w:rPr>
        <w:t>a</w:t>
      </w:r>
      <w:r>
        <w:rPr>
          <w:color w:val="231F20"/>
          <w:spacing w:val="-16"/>
          <w:w w:val="105"/>
        </w:rPr>
        <w:t> </w:t>
      </w:r>
      <w:r>
        <w:rPr>
          <w:color w:val="231F20"/>
          <w:w w:val="105"/>
        </w:rPr>
        <w:t>partir</w:t>
      </w:r>
      <w:r>
        <w:rPr>
          <w:color w:val="231F20"/>
          <w:spacing w:val="-16"/>
          <w:w w:val="105"/>
        </w:rPr>
        <w:t> </w:t>
      </w:r>
      <w:r>
        <w:rPr>
          <w:color w:val="231F20"/>
          <w:w w:val="105"/>
        </w:rPr>
        <w:t>de</w:t>
      </w:r>
      <w:r>
        <w:rPr>
          <w:color w:val="231F20"/>
          <w:spacing w:val="-16"/>
          <w:w w:val="105"/>
        </w:rPr>
        <w:t> </w:t>
      </w:r>
      <w:r>
        <w:rPr>
          <w:color w:val="231F20"/>
          <w:w w:val="105"/>
        </w:rPr>
        <w:t>un</w:t>
      </w:r>
      <w:r>
        <w:rPr>
          <w:color w:val="231F20"/>
          <w:spacing w:val="-16"/>
          <w:w w:val="105"/>
        </w:rPr>
        <w:t> </w:t>
      </w:r>
      <w:r>
        <w:rPr>
          <w:color w:val="231F20"/>
          <w:w w:val="105"/>
        </w:rPr>
        <w:t>ensayo</w:t>
      </w:r>
      <w:r>
        <w:rPr>
          <w:color w:val="231F20"/>
          <w:spacing w:val="-16"/>
          <w:w w:val="105"/>
        </w:rPr>
        <w:t> </w:t>
      </w:r>
      <w:r>
        <w:rPr>
          <w:color w:val="231F20"/>
          <w:w w:val="105"/>
        </w:rPr>
        <w:t>de</w:t>
      </w:r>
      <w:r>
        <w:rPr>
          <w:color w:val="231F20"/>
          <w:spacing w:val="-16"/>
          <w:w w:val="105"/>
        </w:rPr>
        <w:t> </w:t>
      </w:r>
      <w:r>
        <w:rPr>
          <w:color w:val="231F20"/>
          <w:w w:val="105"/>
        </w:rPr>
        <w:t>Scuccimarra</w:t>
      </w:r>
      <w:r>
        <w:rPr>
          <w:color w:val="231F20"/>
          <w:w w:val="105"/>
          <w:position w:val="7"/>
          <w:sz w:val="12"/>
        </w:rPr>
        <w:t>10</w:t>
      </w:r>
      <w:r>
        <w:rPr>
          <w:color w:val="231F20"/>
          <w:w w:val="105"/>
        </w:rPr>
        <w:t>,</w:t>
      </w:r>
      <w:r>
        <w:rPr>
          <w:color w:val="231F20"/>
          <w:spacing w:val="-16"/>
          <w:w w:val="105"/>
        </w:rPr>
        <w:t> </w:t>
      </w:r>
      <w:r>
        <w:rPr>
          <w:color w:val="231F20"/>
          <w:w w:val="105"/>
        </w:rPr>
        <w:t>por</w:t>
      </w:r>
      <w:r>
        <w:rPr>
          <w:color w:val="231F20"/>
          <w:spacing w:val="-16"/>
          <w:w w:val="105"/>
        </w:rPr>
        <w:t> </w:t>
      </w:r>
      <w:r>
        <w:rPr>
          <w:color w:val="231F20"/>
          <w:w w:val="105"/>
        </w:rPr>
        <w:t>una</w:t>
      </w:r>
      <w:r>
        <w:rPr>
          <w:color w:val="231F20"/>
          <w:spacing w:val="-16"/>
          <w:w w:val="105"/>
        </w:rPr>
        <w:t> </w:t>
      </w:r>
      <w:r>
        <w:rPr>
          <w:color w:val="231F20"/>
          <w:w w:val="105"/>
        </w:rPr>
        <w:t>pe- queñísima</w:t>
      </w:r>
      <w:r>
        <w:rPr>
          <w:color w:val="231F20"/>
          <w:spacing w:val="-32"/>
          <w:w w:val="105"/>
        </w:rPr>
        <w:t> </w:t>
      </w:r>
      <w:r>
        <w:rPr>
          <w:color w:val="231F20"/>
          <w:w w:val="105"/>
        </w:rPr>
        <w:t>consideración</w:t>
      </w:r>
      <w:r>
        <w:rPr>
          <w:color w:val="231F20"/>
          <w:spacing w:val="-32"/>
          <w:w w:val="105"/>
        </w:rPr>
        <w:t> </w:t>
      </w:r>
      <w:r>
        <w:rPr>
          <w:color w:val="231F20"/>
          <w:w w:val="105"/>
        </w:rPr>
        <w:t>sobre</w:t>
      </w:r>
      <w:r>
        <w:rPr>
          <w:color w:val="231F20"/>
          <w:spacing w:val="-32"/>
          <w:w w:val="105"/>
        </w:rPr>
        <w:t> </w:t>
      </w:r>
      <w:r>
        <w:rPr>
          <w:color w:val="231F20"/>
          <w:w w:val="105"/>
        </w:rPr>
        <w:t>la</w:t>
      </w:r>
      <w:r>
        <w:rPr>
          <w:color w:val="231F20"/>
          <w:spacing w:val="-32"/>
          <w:w w:val="105"/>
        </w:rPr>
        <w:t> </w:t>
      </w:r>
      <w:r>
        <w:rPr>
          <w:color w:val="231F20"/>
          <w:w w:val="105"/>
        </w:rPr>
        <w:t>“temporalidad”</w:t>
      </w:r>
      <w:r>
        <w:rPr>
          <w:color w:val="231F20"/>
          <w:spacing w:val="-32"/>
          <w:w w:val="105"/>
        </w:rPr>
        <w:t> </w:t>
      </w:r>
      <w:r>
        <w:rPr>
          <w:color w:val="231F20"/>
          <w:w w:val="105"/>
        </w:rPr>
        <w:t>utópica,</w:t>
      </w:r>
      <w:r>
        <w:rPr>
          <w:color w:val="231F20"/>
          <w:spacing w:val="-32"/>
          <w:w w:val="105"/>
        </w:rPr>
        <w:t> </w:t>
      </w:r>
      <w:r>
        <w:rPr>
          <w:color w:val="231F20"/>
          <w:w w:val="105"/>
        </w:rPr>
        <w:t>insistiendo</w:t>
      </w:r>
      <w:r>
        <w:rPr>
          <w:color w:val="231F20"/>
          <w:spacing w:val="-32"/>
          <w:w w:val="105"/>
        </w:rPr>
        <w:t> </w:t>
      </w:r>
      <w:r>
        <w:rPr>
          <w:color w:val="231F20"/>
          <w:w w:val="105"/>
        </w:rPr>
        <w:t>más</w:t>
      </w:r>
    </w:p>
    <w:p>
      <w:pPr>
        <w:pStyle w:val="BodyText"/>
        <w:spacing w:before="6"/>
        <w:rPr>
          <w:sz w:val="29"/>
        </w:rPr>
      </w:pPr>
      <w:r>
        <w:rPr/>
        <w:pict>
          <v:line style="position:absolute;mso-position-horizontal-relative:page;mso-position-vertical-relative:paragraph;z-index:5248;mso-wrap-distance-left:0;mso-wrap-distance-right:0" from="70.866096pt,19.906984pt" to="184.252096pt,19.906984pt" stroked="true" strokeweight=".3pt" strokecolor="#231f20">
            <w10:wrap type="topAndBottom"/>
          </v:line>
        </w:pict>
      </w:r>
    </w:p>
    <w:p>
      <w:pPr>
        <w:spacing w:line="206" w:lineRule="exact" w:before="10"/>
        <w:ind w:left="117" w:right="0" w:firstLine="0"/>
        <w:jc w:val="both"/>
        <w:rPr>
          <w:rFonts w:ascii="Calibri"/>
          <w:sz w:val="17"/>
        </w:rPr>
      </w:pPr>
      <w:r>
        <w:rPr>
          <w:rFonts w:ascii="Calibri"/>
          <w:color w:val="231F20"/>
          <w:position w:val="6"/>
          <w:sz w:val="10"/>
        </w:rPr>
        <w:t>7  </w:t>
      </w:r>
      <w:r>
        <w:rPr>
          <w:rFonts w:ascii="Calibri"/>
          <w:color w:val="231F20"/>
          <w:sz w:val="17"/>
        </w:rPr>
        <w:t>P. Schiera, </w:t>
      </w:r>
      <w:r>
        <w:rPr>
          <w:rFonts w:ascii="Calibri"/>
          <w:i/>
          <w:color w:val="231F20"/>
          <w:sz w:val="17"/>
        </w:rPr>
        <w:t>Lo Stato moderno. Origini e degenerazioni</w:t>
      </w:r>
      <w:r>
        <w:rPr>
          <w:rFonts w:ascii="Calibri"/>
          <w:color w:val="231F20"/>
          <w:sz w:val="17"/>
        </w:rPr>
        <w:t>, Bologna, il Mulino, 2004.</w:t>
      </w:r>
    </w:p>
    <w:p>
      <w:pPr>
        <w:spacing w:line="235" w:lineRule="auto" w:before="1"/>
        <w:ind w:left="117" w:right="101" w:firstLine="0"/>
        <w:jc w:val="both"/>
        <w:rPr>
          <w:rFonts w:ascii="Calibri" w:hAnsi="Calibri"/>
          <w:sz w:val="17"/>
        </w:rPr>
      </w:pPr>
      <w:r>
        <w:rPr>
          <w:rFonts w:ascii="Calibri" w:hAnsi="Calibri"/>
          <w:color w:val="231F20"/>
          <w:w w:val="105"/>
          <w:position w:val="6"/>
          <w:sz w:val="10"/>
        </w:rPr>
        <w:t>8</w:t>
      </w:r>
      <w:r>
        <w:rPr>
          <w:rFonts w:ascii="Calibri" w:hAnsi="Calibri"/>
          <w:color w:val="231F20"/>
          <w:spacing w:val="10"/>
          <w:w w:val="105"/>
          <w:position w:val="6"/>
          <w:sz w:val="10"/>
        </w:rPr>
        <w:t> </w:t>
      </w:r>
      <w:r>
        <w:rPr>
          <w:rFonts w:ascii="Calibri" w:hAnsi="Calibri"/>
          <w:color w:val="231F20"/>
          <w:w w:val="105"/>
          <w:sz w:val="17"/>
        </w:rPr>
        <w:t>Que</w:t>
      </w:r>
      <w:r>
        <w:rPr>
          <w:rFonts w:ascii="Calibri" w:hAnsi="Calibri"/>
          <w:color w:val="231F20"/>
          <w:spacing w:val="-6"/>
          <w:w w:val="105"/>
          <w:sz w:val="17"/>
        </w:rPr>
        <w:t> </w:t>
      </w:r>
      <w:r>
        <w:rPr>
          <w:rFonts w:ascii="Calibri" w:hAnsi="Calibri"/>
          <w:color w:val="231F20"/>
          <w:w w:val="105"/>
          <w:sz w:val="17"/>
        </w:rPr>
        <w:t>había</w:t>
      </w:r>
      <w:r>
        <w:rPr>
          <w:rFonts w:ascii="Calibri" w:hAnsi="Calibri"/>
          <w:color w:val="231F20"/>
          <w:spacing w:val="-6"/>
          <w:w w:val="105"/>
          <w:sz w:val="17"/>
        </w:rPr>
        <w:t> </w:t>
      </w:r>
      <w:r>
        <w:rPr>
          <w:rFonts w:ascii="Calibri" w:hAnsi="Calibri"/>
          <w:color w:val="231F20"/>
          <w:w w:val="105"/>
          <w:sz w:val="17"/>
        </w:rPr>
        <w:t>alcanzado</w:t>
      </w:r>
      <w:r>
        <w:rPr>
          <w:rFonts w:ascii="Calibri" w:hAnsi="Calibri"/>
          <w:color w:val="231F20"/>
          <w:spacing w:val="-6"/>
          <w:w w:val="105"/>
          <w:sz w:val="17"/>
        </w:rPr>
        <w:t> </w:t>
      </w:r>
      <w:r>
        <w:rPr>
          <w:rFonts w:ascii="Calibri" w:hAnsi="Calibri"/>
          <w:color w:val="231F20"/>
          <w:w w:val="105"/>
          <w:sz w:val="17"/>
        </w:rPr>
        <w:t>a</w:t>
      </w:r>
      <w:r>
        <w:rPr>
          <w:rFonts w:ascii="Calibri" w:hAnsi="Calibri"/>
          <w:color w:val="231F20"/>
          <w:spacing w:val="-6"/>
          <w:w w:val="105"/>
          <w:sz w:val="17"/>
        </w:rPr>
        <w:t> </w:t>
      </w:r>
      <w:r>
        <w:rPr>
          <w:rFonts w:ascii="Calibri" w:hAnsi="Calibri"/>
          <w:color w:val="231F20"/>
          <w:w w:val="105"/>
          <w:sz w:val="17"/>
        </w:rPr>
        <w:t>través</w:t>
      </w:r>
      <w:r>
        <w:rPr>
          <w:rFonts w:ascii="Calibri" w:hAnsi="Calibri"/>
          <w:color w:val="231F20"/>
          <w:spacing w:val="-6"/>
          <w:w w:val="105"/>
          <w:sz w:val="17"/>
        </w:rPr>
        <w:t> </w:t>
      </w:r>
      <w:r>
        <w:rPr>
          <w:rFonts w:ascii="Calibri" w:hAnsi="Calibri"/>
          <w:color w:val="231F20"/>
          <w:w w:val="105"/>
          <w:sz w:val="17"/>
        </w:rPr>
        <w:t>de</w:t>
      </w:r>
      <w:r>
        <w:rPr>
          <w:rFonts w:ascii="Calibri" w:hAnsi="Calibri"/>
          <w:color w:val="231F20"/>
          <w:spacing w:val="-6"/>
          <w:w w:val="105"/>
          <w:sz w:val="17"/>
        </w:rPr>
        <w:t> </w:t>
      </w:r>
      <w:r>
        <w:rPr>
          <w:rFonts w:ascii="Calibri" w:hAnsi="Calibri"/>
          <w:color w:val="231F20"/>
          <w:w w:val="105"/>
          <w:sz w:val="17"/>
        </w:rPr>
        <w:t>A.</w:t>
      </w:r>
      <w:r>
        <w:rPr>
          <w:rFonts w:ascii="Calibri" w:hAnsi="Calibri"/>
          <w:color w:val="231F20"/>
          <w:spacing w:val="-6"/>
          <w:w w:val="105"/>
          <w:sz w:val="17"/>
        </w:rPr>
        <w:t> </w:t>
      </w:r>
      <w:r>
        <w:rPr>
          <w:rFonts w:ascii="Calibri" w:hAnsi="Calibri"/>
          <w:color w:val="231F20"/>
          <w:w w:val="105"/>
          <w:sz w:val="17"/>
        </w:rPr>
        <w:t>Negri,</w:t>
      </w:r>
      <w:r>
        <w:rPr>
          <w:rFonts w:ascii="Calibri" w:hAnsi="Calibri"/>
          <w:color w:val="231F20"/>
          <w:spacing w:val="-7"/>
          <w:w w:val="105"/>
          <w:sz w:val="17"/>
        </w:rPr>
        <w:t> </w:t>
      </w:r>
      <w:r>
        <w:rPr>
          <w:rFonts w:ascii="Calibri" w:hAnsi="Calibri"/>
          <w:i/>
          <w:color w:val="231F20"/>
          <w:w w:val="105"/>
          <w:sz w:val="17"/>
        </w:rPr>
        <w:t>Descartes</w:t>
      </w:r>
      <w:r>
        <w:rPr>
          <w:rFonts w:ascii="Calibri" w:hAnsi="Calibri"/>
          <w:i/>
          <w:color w:val="231F20"/>
          <w:spacing w:val="-8"/>
          <w:w w:val="105"/>
          <w:sz w:val="17"/>
        </w:rPr>
        <w:t> </w:t>
      </w:r>
      <w:r>
        <w:rPr>
          <w:rFonts w:ascii="Calibri" w:hAnsi="Calibri"/>
          <w:i/>
          <w:color w:val="231F20"/>
          <w:w w:val="105"/>
          <w:sz w:val="17"/>
        </w:rPr>
        <w:t>politico</w:t>
      </w:r>
      <w:r>
        <w:rPr>
          <w:rFonts w:ascii="Calibri" w:hAnsi="Calibri"/>
          <w:i/>
          <w:color w:val="231F20"/>
          <w:spacing w:val="-8"/>
          <w:w w:val="105"/>
          <w:sz w:val="17"/>
        </w:rPr>
        <w:t> </w:t>
      </w:r>
      <w:r>
        <w:rPr>
          <w:rFonts w:ascii="Calibri" w:hAnsi="Calibri"/>
          <w:i/>
          <w:color w:val="231F20"/>
          <w:w w:val="105"/>
          <w:sz w:val="17"/>
        </w:rPr>
        <w:t>o</w:t>
      </w:r>
      <w:r>
        <w:rPr>
          <w:rFonts w:ascii="Calibri" w:hAnsi="Calibri"/>
          <w:i/>
          <w:color w:val="231F20"/>
          <w:spacing w:val="-8"/>
          <w:w w:val="105"/>
          <w:sz w:val="17"/>
        </w:rPr>
        <w:t> </w:t>
      </w:r>
      <w:r>
        <w:rPr>
          <w:rFonts w:ascii="Calibri" w:hAnsi="Calibri"/>
          <w:i/>
          <w:color w:val="231F20"/>
          <w:w w:val="105"/>
          <w:sz w:val="17"/>
        </w:rPr>
        <w:t>della</w:t>
      </w:r>
      <w:r>
        <w:rPr>
          <w:rFonts w:ascii="Calibri" w:hAnsi="Calibri"/>
          <w:i/>
          <w:color w:val="231F20"/>
          <w:spacing w:val="-8"/>
          <w:w w:val="105"/>
          <w:sz w:val="17"/>
        </w:rPr>
        <w:t> </w:t>
      </w:r>
      <w:r>
        <w:rPr>
          <w:rFonts w:ascii="Calibri" w:hAnsi="Calibri"/>
          <w:i/>
          <w:color w:val="231F20"/>
          <w:w w:val="105"/>
          <w:sz w:val="17"/>
        </w:rPr>
        <w:t>ragionevole</w:t>
      </w:r>
      <w:r>
        <w:rPr>
          <w:rFonts w:ascii="Calibri" w:hAnsi="Calibri"/>
          <w:i/>
          <w:color w:val="231F20"/>
          <w:spacing w:val="-8"/>
          <w:w w:val="105"/>
          <w:sz w:val="17"/>
        </w:rPr>
        <w:t> </w:t>
      </w:r>
      <w:r>
        <w:rPr>
          <w:rFonts w:ascii="Calibri" w:hAnsi="Calibri"/>
          <w:i/>
          <w:color w:val="231F20"/>
          <w:w w:val="105"/>
          <w:sz w:val="17"/>
        </w:rPr>
        <w:t>ideologia</w:t>
      </w:r>
      <w:r>
        <w:rPr>
          <w:rFonts w:ascii="Calibri" w:hAnsi="Calibri"/>
          <w:color w:val="231F20"/>
          <w:w w:val="105"/>
          <w:sz w:val="17"/>
        </w:rPr>
        <w:t>,</w:t>
      </w:r>
      <w:r>
        <w:rPr>
          <w:rFonts w:ascii="Calibri" w:hAnsi="Calibri"/>
          <w:color w:val="231F20"/>
          <w:spacing w:val="-6"/>
          <w:w w:val="105"/>
          <w:sz w:val="17"/>
        </w:rPr>
        <w:t> </w:t>
      </w:r>
      <w:r>
        <w:rPr>
          <w:rFonts w:ascii="Calibri" w:hAnsi="Calibri"/>
          <w:color w:val="231F20"/>
          <w:w w:val="105"/>
          <w:sz w:val="17"/>
        </w:rPr>
        <w:t>Mila- no,</w:t>
      </w:r>
      <w:r>
        <w:rPr>
          <w:rFonts w:ascii="Calibri" w:hAnsi="Calibri"/>
          <w:color w:val="231F20"/>
          <w:spacing w:val="-11"/>
          <w:w w:val="105"/>
          <w:sz w:val="17"/>
        </w:rPr>
        <w:t> </w:t>
      </w:r>
      <w:r>
        <w:rPr>
          <w:rFonts w:ascii="Calibri" w:hAnsi="Calibri"/>
          <w:color w:val="231F20"/>
          <w:w w:val="105"/>
          <w:sz w:val="17"/>
        </w:rPr>
        <w:t>Feltrinelli,</w:t>
      </w:r>
      <w:r>
        <w:rPr>
          <w:rFonts w:ascii="Calibri" w:hAnsi="Calibri"/>
          <w:color w:val="231F20"/>
          <w:spacing w:val="-11"/>
          <w:w w:val="105"/>
          <w:sz w:val="17"/>
        </w:rPr>
        <w:t> </w:t>
      </w:r>
      <w:r>
        <w:rPr>
          <w:rFonts w:ascii="Calibri" w:hAnsi="Calibri"/>
          <w:color w:val="231F20"/>
          <w:w w:val="105"/>
          <w:sz w:val="17"/>
        </w:rPr>
        <w:t>1970,</w:t>
      </w:r>
      <w:r>
        <w:rPr>
          <w:rFonts w:ascii="Calibri" w:hAnsi="Calibri"/>
          <w:color w:val="231F20"/>
          <w:spacing w:val="-11"/>
          <w:w w:val="105"/>
          <w:sz w:val="17"/>
        </w:rPr>
        <w:t> </w:t>
      </w:r>
      <w:r>
        <w:rPr>
          <w:rFonts w:ascii="Calibri" w:hAnsi="Calibri"/>
          <w:color w:val="231F20"/>
          <w:w w:val="105"/>
          <w:sz w:val="17"/>
        </w:rPr>
        <w:t>pero</w:t>
      </w:r>
      <w:r>
        <w:rPr>
          <w:rFonts w:ascii="Calibri" w:hAnsi="Calibri"/>
          <w:color w:val="231F20"/>
          <w:spacing w:val="-11"/>
          <w:w w:val="105"/>
          <w:sz w:val="17"/>
        </w:rPr>
        <w:t> </w:t>
      </w:r>
      <w:r>
        <w:rPr>
          <w:rFonts w:ascii="Calibri" w:hAnsi="Calibri"/>
          <w:color w:val="231F20"/>
          <w:w w:val="105"/>
          <w:sz w:val="17"/>
        </w:rPr>
        <w:t>consultar</w:t>
      </w:r>
      <w:r>
        <w:rPr>
          <w:rFonts w:ascii="Calibri" w:hAnsi="Calibri"/>
          <w:color w:val="231F20"/>
          <w:spacing w:val="-11"/>
          <w:w w:val="105"/>
          <w:sz w:val="17"/>
        </w:rPr>
        <w:t> </w:t>
      </w:r>
      <w:r>
        <w:rPr>
          <w:rFonts w:ascii="Calibri" w:hAnsi="Calibri"/>
          <w:color w:val="231F20"/>
          <w:w w:val="105"/>
          <w:sz w:val="17"/>
        </w:rPr>
        <w:t>el</w:t>
      </w:r>
      <w:r>
        <w:rPr>
          <w:rFonts w:ascii="Calibri" w:hAnsi="Calibri"/>
          <w:color w:val="231F20"/>
          <w:spacing w:val="-11"/>
          <w:w w:val="105"/>
          <w:sz w:val="17"/>
        </w:rPr>
        <w:t> </w:t>
      </w:r>
      <w:r>
        <w:rPr>
          <w:rFonts w:ascii="Calibri" w:hAnsi="Calibri"/>
          <w:i/>
          <w:color w:val="231F20"/>
          <w:spacing w:val="-4"/>
          <w:w w:val="105"/>
          <w:sz w:val="17"/>
        </w:rPr>
        <w:t>cfr.</w:t>
      </w:r>
      <w:r>
        <w:rPr>
          <w:rFonts w:ascii="Calibri" w:hAnsi="Calibri"/>
          <w:i/>
          <w:color w:val="231F20"/>
          <w:spacing w:val="-11"/>
          <w:w w:val="105"/>
          <w:sz w:val="17"/>
        </w:rPr>
        <w:t> </w:t>
      </w:r>
      <w:r>
        <w:rPr>
          <w:rFonts w:ascii="Calibri" w:hAnsi="Calibri"/>
          <w:color w:val="231F20"/>
          <w:w w:val="105"/>
          <w:sz w:val="17"/>
        </w:rPr>
        <w:t>El</w:t>
      </w:r>
      <w:r>
        <w:rPr>
          <w:rFonts w:ascii="Calibri" w:hAnsi="Calibri"/>
          <w:color w:val="231F20"/>
          <w:spacing w:val="-11"/>
          <w:w w:val="105"/>
          <w:sz w:val="17"/>
        </w:rPr>
        <w:t> </w:t>
      </w:r>
      <w:r>
        <w:rPr>
          <w:rFonts w:ascii="Calibri" w:hAnsi="Calibri"/>
          <w:color w:val="231F20"/>
          <w:w w:val="105"/>
          <w:sz w:val="17"/>
        </w:rPr>
        <w:t>comentario</w:t>
      </w:r>
      <w:r>
        <w:rPr>
          <w:rFonts w:ascii="Calibri" w:hAnsi="Calibri"/>
          <w:color w:val="231F20"/>
          <w:spacing w:val="-11"/>
          <w:w w:val="105"/>
          <w:sz w:val="17"/>
        </w:rPr>
        <w:t> </w:t>
      </w:r>
      <w:r>
        <w:rPr>
          <w:rFonts w:ascii="Calibri" w:hAnsi="Calibri"/>
          <w:color w:val="231F20"/>
          <w:w w:val="105"/>
          <w:sz w:val="17"/>
        </w:rPr>
        <w:t>del</w:t>
      </w:r>
      <w:r>
        <w:rPr>
          <w:rFonts w:ascii="Calibri" w:hAnsi="Calibri"/>
          <w:color w:val="231F20"/>
          <w:spacing w:val="-11"/>
          <w:w w:val="105"/>
          <w:sz w:val="17"/>
        </w:rPr>
        <w:t> </w:t>
      </w:r>
      <w:r>
        <w:rPr>
          <w:rFonts w:ascii="Calibri" w:hAnsi="Calibri"/>
          <w:color w:val="231F20"/>
          <w:w w:val="105"/>
          <w:sz w:val="17"/>
        </w:rPr>
        <w:t>mismo</w:t>
      </w:r>
      <w:r>
        <w:rPr>
          <w:rFonts w:ascii="Calibri" w:hAnsi="Calibri"/>
          <w:color w:val="231F20"/>
          <w:spacing w:val="-11"/>
          <w:w w:val="105"/>
          <w:sz w:val="17"/>
        </w:rPr>
        <w:t> </w:t>
      </w:r>
      <w:r>
        <w:rPr>
          <w:rFonts w:ascii="Calibri" w:hAnsi="Calibri"/>
          <w:color w:val="231F20"/>
          <w:w w:val="105"/>
          <w:sz w:val="17"/>
        </w:rPr>
        <w:t>Negri,</w:t>
      </w:r>
      <w:r>
        <w:rPr>
          <w:rFonts w:ascii="Calibri" w:hAnsi="Calibri"/>
          <w:color w:val="231F20"/>
          <w:spacing w:val="-11"/>
          <w:w w:val="105"/>
          <w:sz w:val="17"/>
        </w:rPr>
        <w:t> </w:t>
      </w:r>
      <w:r>
        <w:rPr>
          <w:rFonts w:ascii="Calibri" w:hAnsi="Calibri"/>
          <w:color w:val="231F20"/>
          <w:w w:val="105"/>
          <w:sz w:val="17"/>
        </w:rPr>
        <w:t>treinta</w:t>
      </w:r>
      <w:r>
        <w:rPr>
          <w:rFonts w:ascii="Calibri" w:hAnsi="Calibri"/>
          <w:color w:val="231F20"/>
          <w:spacing w:val="-11"/>
          <w:w w:val="105"/>
          <w:sz w:val="17"/>
        </w:rPr>
        <w:t> </w:t>
      </w:r>
      <w:r>
        <w:rPr>
          <w:rFonts w:ascii="Calibri" w:hAnsi="Calibri"/>
          <w:color w:val="231F20"/>
          <w:w w:val="105"/>
          <w:sz w:val="17"/>
        </w:rPr>
        <w:t>años</w:t>
      </w:r>
      <w:r>
        <w:rPr>
          <w:rFonts w:ascii="Calibri" w:hAnsi="Calibri"/>
          <w:color w:val="231F20"/>
          <w:spacing w:val="-11"/>
          <w:w w:val="105"/>
          <w:sz w:val="17"/>
        </w:rPr>
        <w:t> </w:t>
      </w:r>
      <w:r>
        <w:rPr>
          <w:rFonts w:ascii="Calibri" w:hAnsi="Calibri"/>
          <w:color w:val="231F20"/>
          <w:w w:val="105"/>
          <w:sz w:val="17"/>
        </w:rPr>
        <w:t>después</w:t>
      </w:r>
      <w:r>
        <w:rPr>
          <w:rFonts w:ascii="Calibri" w:hAnsi="Calibri"/>
          <w:color w:val="231F20"/>
          <w:spacing w:val="-11"/>
          <w:w w:val="105"/>
          <w:sz w:val="17"/>
        </w:rPr>
        <w:t> </w:t>
      </w:r>
      <w:r>
        <w:rPr>
          <w:rFonts w:ascii="Calibri" w:hAnsi="Calibri"/>
          <w:color w:val="231F20"/>
          <w:w w:val="105"/>
          <w:sz w:val="17"/>
        </w:rPr>
        <w:t>en ocasión de la republicación del libro: “Descartes politico: metafisica e biopolitica”, en </w:t>
      </w:r>
      <w:r>
        <w:rPr>
          <w:rFonts w:ascii="Calibri" w:hAnsi="Calibri"/>
          <w:i/>
          <w:color w:val="231F20"/>
          <w:w w:val="105"/>
          <w:sz w:val="17"/>
        </w:rPr>
        <w:t>Scienza &amp; </w:t>
      </w:r>
      <w:r>
        <w:rPr>
          <w:rFonts w:ascii="Calibri" w:hAnsi="Calibri"/>
          <w:i/>
          <w:color w:val="231F20"/>
          <w:sz w:val="17"/>
        </w:rPr>
        <w:t>Politica</w:t>
      </w:r>
      <w:r>
        <w:rPr>
          <w:rFonts w:ascii="Calibri" w:hAnsi="Calibri"/>
          <w:color w:val="231F20"/>
          <w:sz w:val="17"/>
        </w:rPr>
        <w:t>,</w:t>
      </w:r>
      <w:r>
        <w:rPr>
          <w:rFonts w:ascii="Calibri" w:hAnsi="Calibri"/>
          <w:color w:val="231F20"/>
          <w:spacing w:val="-21"/>
          <w:sz w:val="17"/>
        </w:rPr>
        <w:t> </w:t>
      </w:r>
      <w:r>
        <w:rPr>
          <w:rFonts w:ascii="Calibri" w:hAnsi="Calibri"/>
          <w:color w:val="231F20"/>
          <w:sz w:val="17"/>
        </w:rPr>
        <w:t>16,</w:t>
      </w:r>
      <w:r>
        <w:rPr>
          <w:rFonts w:ascii="Calibri" w:hAnsi="Calibri"/>
          <w:color w:val="231F20"/>
          <w:spacing w:val="-21"/>
          <w:sz w:val="17"/>
        </w:rPr>
        <w:t> </w:t>
      </w:r>
      <w:r>
        <w:rPr>
          <w:rFonts w:ascii="Calibri" w:hAnsi="Calibri"/>
          <w:color w:val="231F20"/>
          <w:sz w:val="17"/>
        </w:rPr>
        <w:t>31,</w:t>
      </w:r>
      <w:r>
        <w:rPr>
          <w:rFonts w:ascii="Calibri" w:hAnsi="Calibri"/>
          <w:color w:val="231F20"/>
          <w:spacing w:val="-21"/>
          <w:sz w:val="17"/>
        </w:rPr>
        <w:t> </w:t>
      </w:r>
      <w:r>
        <w:rPr>
          <w:rFonts w:ascii="Calibri" w:hAnsi="Calibri"/>
          <w:color w:val="231F20"/>
          <w:sz w:val="17"/>
        </w:rPr>
        <w:t>2004,</w:t>
      </w:r>
      <w:r>
        <w:rPr>
          <w:rFonts w:ascii="Calibri" w:hAnsi="Calibri"/>
          <w:color w:val="231F20"/>
          <w:spacing w:val="-21"/>
          <w:sz w:val="17"/>
        </w:rPr>
        <w:t> </w:t>
      </w:r>
      <w:r>
        <w:rPr>
          <w:rFonts w:ascii="Calibri" w:hAnsi="Calibri"/>
          <w:color w:val="231F20"/>
          <w:sz w:val="17"/>
        </w:rPr>
        <w:t>pp.</w:t>
      </w:r>
      <w:r>
        <w:rPr>
          <w:rFonts w:ascii="Calibri" w:hAnsi="Calibri"/>
          <w:color w:val="231F20"/>
          <w:spacing w:val="-21"/>
          <w:sz w:val="17"/>
        </w:rPr>
        <w:t> </w:t>
      </w:r>
      <w:r>
        <w:rPr>
          <w:rFonts w:ascii="Calibri" w:hAnsi="Calibri"/>
          <w:color w:val="231F20"/>
          <w:spacing w:val="-3"/>
          <w:sz w:val="17"/>
        </w:rPr>
        <w:t>21–37.</w:t>
      </w:r>
    </w:p>
    <w:p>
      <w:pPr>
        <w:spacing w:line="235" w:lineRule="auto" w:before="0"/>
        <w:ind w:left="117" w:right="101" w:firstLine="0"/>
        <w:jc w:val="both"/>
        <w:rPr>
          <w:rFonts w:ascii="Calibri" w:hAnsi="Calibri"/>
          <w:sz w:val="17"/>
        </w:rPr>
      </w:pPr>
      <w:r>
        <w:rPr>
          <w:rFonts w:ascii="Calibri" w:hAnsi="Calibri"/>
          <w:color w:val="231F20"/>
          <w:position w:val="6"/>
          <w:sz w:val="10"/>
        </w:rPr>
        <w:t>9 </w:t>
      </w:r>
      <w:r>
        <w:rPr>
          <w:rFonts w:ascii="Calibri" w:hAnsi="Calibri"/>
          <w:color w:val="231F20"/>
          <w:spacing w:val="-10"/>
          <w:sz w:val="17"/>
        </w:rPr>
        <w:t>P. </w:t>
      </w:r>
      <w:r>
        <w:rPr>
          <w:rFonts w:ascii="Calibri" w:hAnsi="Calibri"/>
          <w:color w:val="231F20"/>
          <w:sz w:val="17"/>
        </w:rPr>
        <w:t>Schiera, “L’ideologia come forma storicamente determinata del ‘politico’ nell’età moderna”, </w:t>
      </w:r>
      <w:r>
        <w:rPr>
          <w:rFonts w:ascii="Calibri" w:hAnsi="Calibri"/>
          <w:i/>
          <w:color w:val="231F20"/>
          <w:sz w:val="17"/>
        </w:rPr>
        <w:t>As- </w:t>
      </w:r>
      <w:r>
        <w:rPr>
          <w:rFonts w:ascii="Calibri" w:hAnsi="Calibri"/>
          <w:i/>
          <w:color w:val="231F20"/>
          <w:sz w:val="17"/>
        </w:rPr>
        <w:t>petti</w:t>
      </w:r>
      <w:r>
        <w:rPr>
          <w:rFonts w:ascii="Calibri" w:hAnsi="Calibri"/>
          <w:i/>
          <w:color w:val="231F20"/>
          <w:spacing w:val="-6"/>
          <w:sz w:val="17"/>
        </w:rPr>
        <w:t> </w:t>
      </w:r>
      <w:r>
        <w:rPr>
          <w:rFonts w:ascii="Calibri" w:hAnsi="Calibri"/>
          <w:i/>
          <w:color w:val="231F20"/>
          <w:sz w:val="17"/>
        </w:rPr>
        <w:t>e</w:t>
      </w:r>
      <w:r>
        <w:rPr>
          <w:rFonts w:ascii="Calibri" w:hAnsi="Calibri"/>
          <w:i/>
          <w:color w:val="231F20"/>
          <w:spacing w:val="-6"/>
          <w:sz w:val="17"/>
        </w:rPr>
        <w:t> </w:t>
      </w:r>
      <w:r>
        <w:rPr>
          <w:rFonts w:ascii="Calibri" w:hAnsi="Calibri"/>
          <w:i/>
          <w:color w:val="231F20"/>
          <w:sz w:val="17"/>
        </w:rPr>
        <w:t>tendenze</w:t>
      </w:r>
      <w:r>
        <w:rPr>
          <w:rFonts w:ascii="Calibri" w:hAnsi="Calibri"/>
          <w:i/>
          <w:color w:val="231F20"/>
          <w:spacing w:val="-6"/>
          <w:sz w:val="17"/>
        </w:rPr>
        <w:t> </w:t>
      </w:r>
      <w:r>
        <w:rPr>
          <w:rFonts w:ascii="Calibri" w:hAnsi="Calibri"/>
          <w:i/>
          <w:color w:val="231F20"/>
          <w:sz w:val="17"/>
        </w:rPr>
        <w:t>del</w:t>
      </w:r>
      <w:r>
        <w:rPr>
          <w:rFonts w:ascii="Calibri" w:hAnsi="Calibri"/>
          <w:i/>
          <w:color w:val="231F20"/>
          <w:spacing w:val="-6"/>
          <w:sz w:val="17"/>
        </w:rPr>
        <w:t> </w:t>
      </w:r>
      <w:r>
        <w:rPr>
          <w:rFonts w:ascii="Calibri" w:hAnsi="Calibri"/>
          <w:i/>
          <w:color w:val="231F20"/>
          <w:sz w:val="17"/>
        </w:rPr>
        <w:t>diritto</w:t>
      </w:r>
      <w:r>
        <w:rPr>
          <w:rFonts w:ascii="Calibri" w:hAnsi="Calibri"/>
          <w:i/>
          <w:color w:val="231F20"/>
          <w:spacing w:val="-6"/>
          <w:sz w:val="17"/>
        </w:rPr>
        <w:t> </w:t>
      </w:r>
      <w:r>
        <w:rPr>
          <w:rFonts w:ascii="Calibri" w:hAnsi="Calibri"/>
          <w:i/>
          <w:color w:val="231F20"/>
          <w:sz w:val="17"/>
        </w:rPr>
        <w:t>costituzionale.</w:t>
      </w:r>
      <w:r>
        <w:rPr>
          <w:rFonts w:ascii="Calibri" w:hAnsi="Calibri"/>
          <w:i/>
          <w:color w:val="231F20"/>
          <w:spacing w:val="-6"/>
          <w:sz w:val="17"/>
        </w:rPr>
        <w:t> </w:t>
      </w:r>
      <w:r>
        <w:rPr>
          <w:rFonts w:ascii="Calibri" w:hAnsi="Calibri"/>
          <w:i/>
          <w:color w:val="231F20"/>
          <w:sz w:val="17"/>
        </w:rPr>
        <w:t>Scritti</w:t>
      </w:r>
      <w:r>
        <w:rPr>
          <w:rFonts w:ascii="Calibri" w:hAnsi="Calibri"/>
          <w:i/>
          <w:color w:val="231F20"/>
          <w:spacing w:val="-6"/>
          <w:sz w:val="17"/>
        </w:rPr>
        <w:t> </w:t>
      </w:r>
      <w:r>
        <w:rPr>
          <w:rFonts w:ascii="Calibri" w:hAnsi="Calibri"/>
          <w:i/>
          <w:color w:val="231F20"/>
          <w:sz w:val="17"/>
        </w:rPr>
        <w:t>in</w:t>
      </w:r>
      <w:r>
        <w:rPr>
          <w:rFonts w:ascii="Calibri" w:hAnsi="Calibri"/>
          <w:i/>
          <w:color w:val="231F20"/>
          <w:spacing w:val="-6"/>
          <w:sz w:val="17"/>
        </w:rPr>
        <w:t> </w:t>
      </w:r>
      <w:r>
        <w:rPr>
          <w:rFonts w:ascii="Calibri" w:hAnsi="Calibri"/>
          <w:i/>
          <w:color w:val="231F20"/>
          <w:sz w:val="17"/>
        </w:rPr>
        <w:t>onore</w:t>
      </w:r>
      <w:r>
        <w:rPr>
          <w:rFonts w:ascii="Calibri" w:hAnsi="Calibri"/>
          <w:i/>
          <w:color w:val="231F20"/>
          <w:spacing w:val="-6"/>
          <w:sz w:val="17"/>
        </w:rPr>
        <w:t> </w:t>
      </w:r>
      <w:r>
        <w:rPr>
          <w:rFonts w:ascii="Calibri" w:hAnsi="Calibri"/>
          <w:i/>
          <w:color w:val="231F20"/>
          <w:sz w:val="17"/>
        </w:rPr>
        <w:t>di</w:t>
      </w:r>
      <w:r>
        <w:rPr>
          <w:rFonts w:ascii="Calibri" w:hAnsi="Calibri"/>
          <w:i/>
          <w:color w:val="231F20"/>
          <w:spacing w:val="-6"/>
          <w:sz w:val="17"/>
        </w:rPr>
        <w:t> </w:t>
      </w:r>
      <w:r>
        <w:rPr>
          <w:rFonts w:ascii="Calibri" w:hAnsi="Calibri"/>
          <w:i/>
          <w:color w:val="231F20"/>
          <w:sz w:val="17"/>
        </w:rPr>
        <w:t>Costantino</w:t>
      </w:r>
      <w:r>
        <w:rPr>
          <w:rFonts w:ascii="Calibri" w:hAnsi="Calibri"/>
          <w:i/>
          <w:color w:val="231F20"/>
          <w:spacing w:val="-6"/>
          <w:sz w:val="17"/>
        </w:rPr>
        <w:t> </w:t>
      </w:r>
      <w:r>
        <w:rPr>
          <w:rFonts w:ascii="Calibri" w:hAnsi="Calibri"/>
          <w:i/>
          <w:color w:val="231F20"/>
          <w:sz w:val="17"/>
        </w:rPr>
        <w:t>Mortati</w:t>
      </w:r>
      <w:r>
        <w:rPr>
          <w:rFonts w:ascii="Calibri" w:hAnsi="Calibri"/>
          <w:color w:val="231F20"/>
          <w:sz w:val="17"/>
        </w:rPr>
        <w:t>,</w:t>
      </w:r>
      <w:r>
        <w:rPr>
          <w:rFonts w:ascii="Calibri" w:hAnsi="Calibri"/>
          <w:color w:val="231F20"/>
          <w:spacing w:val="-9"/>
          <w:sz w:val="17"/>
        </w:rPr>
        <w:t> </w:t>
      </w:r>
      <w:r>
        <w:rPr>
          <w:rFonts w:ascii="Calibri" w:hAnsi="Calibri"/>
          <w:color w:val="231F20"/>
          <w:sz w:val="17"/>
        </w:rPr>
        <w:t>vol.</w:t>
      </w:r>
      <w:r>
        <w:rPr>
          <w:rFonts w:ascii="Calibri" w:hAnsi="Calibri"/>
          <w:color w:val="231F20"/>
          <w:spacing w:val="-5"/>
          <w:sz w:val="17"/>
        </w:rPr>
        <w:t> </w:t>
      </w:r>
      <w:r>
        <w:rPr>
          <w:rFonts w:ascii="Calibri" w:hAnsi="Calibri"/>
          <w:color w:val="231F20"/>
          <w:sz w:val="15"/>
        </w:rPr>
        <w:t>I</w:t>
      </w:r>
      <w:r>
        <w:rPr>
          <w:rFonts w:ascii="Calibri" w:hAnsi="Calibri"/>
          <w:color w:val="231F20"/>
          <w:sz w:val="17"/>
        </w:rPr>
        <w:t>,</w:t>
      </w:r>
      <w:r>
        <w:rPr>
          <w:rFonts w:ascii="Calibri" w:hAnsi="Calibri"/>
          <w:color w:val="231F20"/>
          <w:spacing w:val="-5"/>
          <w:sz w:val="17"/>
        </w:rPr>
        <w:t> </w:t>
      </w:r>
      <w:r>
        <w:rPr>
          <w:rFonts w:ascii="Calibri" w:hAnsi="Calibri"/>
          <w:color w:val="231F20"/>
          <w:sz w:val="17"/>
        </w:rPr>
        <w:t>Milano,</w:t>
      </w:r>
      <w:r>
        <w:rPr>
          <w:rFonts w:ascii="Calibri" w:hAnsi="Calibri"/>
          <w:color w:val="231F20"/>
          <w:spacing w:val="-5"/>
          <w:sz w:val="17"/>
        </w:rPr>
        <w:t> </w:t>
      </w:r>
      <w:r>
        <w:rPr>
          <w:rFonts w:ascii="Calibri" w:hAnsi="Calibri"/>
          <w:color w:val="231F20"/>
          <w:sz w:val="17"/>
        </w:rPr>
        <w:t>Giuffré, </w:t>
      </w:r>
      <w:r>
        <w:rPr>
          <w:rFonts w:ascii="Calibri" w:hAnsi="Calibri"/>
          <w:color w:val="231F20"/>
          <w:spacing w:val="-3"/>
          <w:sz w:val="17"/>
        </w:rPr>
        <w:t>1977, </w:t>
      </w:r>
      <w:r>
        <w:rPr>
          <w:rFonts w:ascii="Calibri" w:hAnsi="Calibri"/>
          <w:color w:val="231F20"/>
          <w:sz w:val="17"/>
        </w:rPr>
        <w:t>pp. 833–864. Consultar M. Ricciardi, “L’ideologia come scienza politica del sociale”, </w:t>
      </w:r>
      <w:r>
        <w:rPr>
          <w:rFonts w:ascii="Calibri" w:hAnsi="Calibri"/>
          <w:i/>
          <w:color w:val="231F20"/>
          <w:sz w:val="17"/>
        </w:rPr>
        <w:t>Scienza &amp; </w:t>
      </w:r>
      <w:r>
        <w:rPr>
          <w:rFonts w:ascii="Calibri" w:hAnsi="Calibri"/>
          <w:i/>
          <w:color w:val="231F20"/>
          <w:w w:val="95"/>
          <w:sz w:val="17"/>
        </w:rPr>
        <w:t>Politica</w:t>
      </w:r>
      <w:r>
        <w:rPr>
          <w:rFonts w:ascii="Calibri" w:hAnsi="Calibri"/>
          <w:color w:val="231F20"/>
          <w:w w:val="95"/>
          <w:sz w:val="17"/>
        </w:rPr>
        <w:t>, </w:t>
      </w:r>
      <w:r>
        <w:rPr>
          <w:rFonts w:ascii="Calibri" w:hAnsi="Calibri"/>
          <w:color w:val="231F20"/>
          <w:spacing w:val="-3"/>
          <w:w w:val="95"/>
          <w:sz w:val="17"/>
        </w:rPr>
        <w:t>27, </w:t>
      </w:r>
      <w:r>
        <w:rPr>
          <w:rFonts w:ascii="Calibri" w:hAnsi="Calibri"/>
          <w:color w:val="231F20"/>
          <w:w w:val="95"/>
          <w:sz w:val="17"/>
        </w:rPr>
        <w:t>2015, pp.</w:t>
      </w:r>
      <w:r>
        <w:rPr>
          <w:rFonts w:ascii="Calibri" w:hAnsi="Calibri"/>
          <w:color w:val="231F20"/>
          <w:spacing w:val="-5"/>
          <w:w w:val="95"/>
          <w:sz w:val="17"/>
        </w:rPr>
        <w:t> </w:t>
      </w:r>
      <w:r>
        <w:rPr>
          <w:rFonts w:ascii="Calibri" w:hAnsi="Calibri"/>
          <w:color w:val="231F20"/>
          <w:w w:val="95"/>
          <w:sz w:val="17"/>
        </w:rPr>
        <w:t>165–195.</w:t>
      </w:r>
    </w:p>
    <w:p>
      <w:pPr>
        <w:spacing w:line="235" w:lineRule="auto" w:before="0"/>
        <w:ind w:left="117" w:right="101" w:firstLine="0"/>
        <w:jc w:val="both"/>
        <w:rPr>
          <w:rFonts w:ascii="Calibri" w:hAnsi="Calibri"/>
          <w:sz w:val="17"/>
        </w:rPr>
      </w:pPr>
      <w:r>
        <w:rPr>
          <w:rFonts w:ascii="Calibri" w:hAnsi="Calibri"/>
          <w:color w:val="231F20"/>
          <w:position w:val="6"/>
          <w:sz w:val="10"/>
        </w:rPr>
        <w:t>10 </w:t>
      </w:r>
      <w:r>
        <w:rPr>
          <w:rFonts w:ascii="Calibri" w:hAnsi="Calibri"/>
          <w:color w:val="231F20"/>
          <w:sz w:val="17"/>
        </w:rPr>
        <w:t>El cual habla “de aquel dinámico contexto de innovación y “auto–trascendencia” política y social en la que numerosos intérpretes —a partir de Koselleck— han querido captar el auténtico elemento caracterizante de la modernidad, como específica constelación de la época”: L. Scuccimarra, “Il futuro della modernità. Sul dilemma della temporalità utopistica”, Ch. Dipper y </w:t>
      </w:r>
      <w:r>
        <w:rPr>
          <w:rFonts w:ascii="Calibri" w:hAnsi="Calibri"/>
          <w:color w:val="231F20"/>
          <w:spacing w:val="-10"/>
          <w:sz w:val="17"/>
        </w:rPr>
        <w:t>P.  </w:t>
      </w:r>
      <w:r>
        <w:rPr>
          <w:rFonts w:ascii="Calibri" w:hAnsi="Calibri"/>
          <w:color w:val="231F20"/>
          <w:sz w:val="17"/>
        </w:rPr>
        <w:t>Pombeni (Eds.)   </w:t>
      </w:r>
      <w:r>
        <w:rPr>
          <w:rFonts w:ascii="Calibri" w:hAnsi="Calibri"/>
          <w:i/>
          <w:color w:val="231F20"/>
          <w:sz w:val="17"/>
        </w:rPr>
        <w:t>Le</w:t>
      </w:r>
      <w:r>
        <w:rPr>
          <w:rFonts w:ascii="Calibri" w:hAnsi="Calibri"/>
          <w:i/>
          <w:color w:val="231F20"/>
          <w:spacing w:val="-9"/>
          <w:sz w:val="17"/>
        </w:rPr>
        <w:t> </w:t>
      </w:r>
      <w:r>
        <w:rPr>
          <w:rFonts w:ascii="Calibri" w:hAnsi="Calibri"/>
          <w:i/>
          <w:color w:val="231F20"/>
          <w:sz w:val="17"/>
        </w:rPr>
        <w:t>ragioni</w:t>
      </w:r>
      <w:r>
        <w:rPr>
          <w:rFonts w:ascii="Calibri" w:hAnsi="Calibri"/>
          <w:i/>
          <w:color w:val="231F20"/>
          <w:spacing w:val="-9"/>
          <w:sz w:val="17"/>
        </w:rPr>
        <w:t> </w:t>
      </w:r>
      <w:r>
        <w:rPr>
          <w:rFonts w:ascii="Calibri" w:hAnsi="Calibri"/>
          <w:i/>
          <w:color w:val="231F20"/>
          <w:sz w:val="17"/>
        </w:rPr>
        <w:t>del</w:t>
      </w:r>
      <w:r>
        <w:rPr>
          <w:rFonts w:ascii="Calibri" w:hAnsi="Calibri"/>
          <w:i/>
          <w:color w:val="231F20"/>
          <w:spacing w:val="-9"/>
          <w:sz w:val="17"/>
        </w:rPr>
        <w:t> </w:t>
      </w:r>
      <w:r>
        <w:rPr>
          <w:rFonts w:ascii="Calibri" w:hAnsi="Calibri"/>
          <w:i/>
          <w:color w:val="231F20"/>
          <w:sz w:val="17"/>
        </w:rPr>
        <w:t>moderno</w:t>
      </w:r>
      <w:r>
        <w:rPr>
          <w:rFonts w:ascii="Calibri" w:hAnsi="Calibri"/>
          <w:color w:val="231F20"/>
          <w:sz w:val="17"/>
        </w:rPr>
        <w:t>,</w:t>
      </w:r>
      <w:r>
        <w:rPr>
          <w:rFonts w:ascii="Calibri" w:hAnsi="Calibri"/>
          <w:color w:val="231F20"/>
          <w:spacing w:val="-8"/>
          <w:sz w:val="17"/>
        </w:rPr>
        <w:t> </w:t>
      </w:r>
      <w:r>
        <w:rPr>
          <w:rFonts w:ascii="Calibri" w:hAnsi="Calibri"/>
          <w:color w:val="231F20"/>
          <w:sz w:val="17"/>
        </w:rPr>
        <w:t>p.</w:t>
      </w:r>
      <w:r>
        <w:rPr>
          <w:rFonts w:ascii="Calibri" w:hAnsi="Calibri"/>
          <w:color w:val="231F20"/>
          <w:spacing w:val="-8"/>
          <w:sz w:val="17"/>
        </w:rPr>
        <w:t> </w:t>
      </w:r>
      <w:r>
        <w:rPr>
          <w:rFonts w:ascii="Calibri" w:hAnsi="Calibri"/>
          <w:color w:val="231F20"/>
          <w:sz w:val="17"/>
        </w:rPr>
        <w:t>423.</w:t>
      </w:r>
    </w:p>
    <w:p>
      <w:pPr>
        <w:spacing w:after="0" w:line="235" w:lineRule="auto"/>
        <w:jc w:val="both"/>
        <w:rPr>
          <w:rFonts w:ascii="Calibri" w:hAnsi="Calibri"/>
          <w:sz w:val="17"/>
        </w:rPr>
        <w:sectPr>
          <w:pgSz w:w="9640" w:h="13890"/>
          <w:pgMar w:top="0" w:bottom="280" w:left="1300" w:right="1200"/>
        </w:sectPr>
      </w:pPr>
    </w:p>
    <w:p>
      <w:pPr>
        <w:pStyle w:val="BodyText"/>
        <w:spacing w:line="247" w:lineRule="auto" w:before="107"/>
        <w:ind w:left="103" w:right="115"/>
        <w:jc w:val="both"/>
      </w:pPr>
      <w:r>
        <w:rPr>
          <w:color w:val="231F20"/>
        </w:rPr>
        <w:t>en el cambio cronológico que en el topológico. Me refiero al subgénero   de la “dis–topía” que me parece designa la descripción de una sociedad imaginaria o una comunidad futura, en la cual algunas tendencias</w:t>
      </w:r>
      <w:r>
        <w:rPr>
          <w:color w:val="231F20"/>
          <w:spacing w:val="-40"/>
        </w:rPr>
        <w:t> </w:t>
      </w:r>
      <w:r>
        <w:rPr>
          <w:color w:val="231F20"/>
        </w:rPr>
        <w:t>sociales, políticas y tecnológicas advertidas en el presente son vistas en una evolu- ción al mismo tiempo necesaria </w:t>
      </w:r>
      <w:r>
        <w:rPr>
          <w:color w:val="231F20"/>
          <w:spacing w:val="-10"/>
        </w:rPr>
        <w:t>y, </w:t>
      </w:r>
      <w:r>
        <w:rPr>
          <w:color w:val="231F20"/>
        </w:rPr>
        <w:t>a los ojos del </w:t>
      </w:r>
      <w:r>
        <w:rPr>
          <w:color w:val="231F20"/>
          <w:spacing w:val="-5"/>
        </w:rPr>
        <w:t>hoy, </w:t>
      </w:r>
      <w:r>
        <w:rPr>
          <w:color w:val="231F20"/>
        </w:rPr>
        <w:t>pesimista. Sin poder detallar uno de los géneros más “invasivos” de la producción cultural con- temporánea, quisiera preguntarme ¿cómo es que sólo a partir del siglo </w:t>
      </w:r>
      <w:r>
        <w:rPr>
          <w:color w:val="231F20"/>
          <w:sz w:val="18"/>
        </w:rPr>
        <w:t>XIX </w:t>
      </w:r>
      <w:r>
        <w:rPr>
          <w:color w:val="231F20"/>
        </w:rPr>
        <w:t>ese género se presenta con fuerza y precisamente en una Inglaterra que estaba construyendo el estándar de la </w:t>
      </w:r>
      <w:r>
        <w:rPr>
          <w:rFonts w:ascii="Arial" w:hAnsi="Arial"/>
          <w:i/>
          <w:color w:val="231F20"/>
        </w:rPr>
        <w:t>modernity</w:t>
      </w:r>
      <w:r>
        <w:rPr>
          <w:color w:val="231F20"/>
        </w:rPr>
        <w:t>? Mejor dicho, ¿cómo es que hacia la mitad del siglo </w:t>
      </w:r>
      <w:r>
        <w:rPr>
          <w:color w:val="231F20"/>
          <w:sz w:val="18"/>
        </w:rPr>
        <w:t>XIX </w:t>
      </w:r>
      <w:r>
        <w:rPr>
          <w:color w:val="231F20"/>
        </w:rPr>
        <w:t>la idea iluminista de lo “moderno” al</w:t>
      </w:r>
      <w:r>
        <w:rPr>
          <w:color w:val="231F20"/>
          <w:spacing w:val="-16"/>
        </w:rPr>
        <w:t> </w:t>
      </w:r>
      <w:r>
        <w:rPr>
          <w:color w:val="231F20"/>
        </w:rPr>
        <w:t>centro del progreso, fundado a su vez en la capacidad productiva del hombre —o tal vez de la burguesía (</w:t>
      </w:r>
      <w:r>
        <w:rPr>
          <w:rFonts w:ascii="Arial" w:hAnsi="Arial"/>
          <w:i/>
          <w:color w:val="231F20"/>
        </w:rPr>
        <w:t>vertu mesure du bonheur</w:t>
      </w:r>
      <w:r>
        <w:rPr>
          <w:color w:val="231F20"/>
        </w:rPr>
        <w:t>)— casi</w:t>
      </w:r>
      <w:r>
        <w:rPr>
          <w:color w:val="231F20"/>
          <w:spacing w:val="-37"/>
        </w:rPr>
        <w:t> </w:t>
      </w:r>
      <w:r>
        <w:rPr>
          <w:color w:val="231F20"/>
        </w:rPr>
        <w:t>inadvertidamente se</w:t>
      </w:r>
      <w:r>
        <w:rPr>
          <w:color w:val="231F20"/>
          <w:spacing w:val="-13"/>
        </w:rPr>
        <w:t> </w:t>
      </w:r>
      <w:r>
        <w:rPr>
          <w:color w:val="231F20"/>
        </w:rPr>
        <w:t>convirtió</w:t>
      </w:r>
      <w:r>
        <w:rPr>
          <w:color w:val="231F20"/>
          <w:spacing w:val="-13"/>
        </w:rPr>
        <w:t> </w:t>
      </w:r>
      <w:r>
        <w:rPr>
          <w:color w:val="231F20"/>
        </w:rPr>
        <w:t>en</w:t>
      </w:r>
      <w:r>
        <w:rPr>
          <w:color w:val="231F20"/>
          <w:spacing w:val="-13"/>
        </w:rPr>
        <w:t> </w:t>
      </w:r>
      <w:r>
        <w:rPr>
          <w:color w:val="231F20"/>
        </w:rPr>
        <w:t>una</w:t>
      </w:r>
      <w:r>
        <w:rPr>
          <w:color w:val="231F20"/>
          <w:spacing w:val="-13"/>
        </w:rPr>
        <w:t> </w:t>
      </w:r>
      <w:r>
        <w:rPr>
          <w:color w:val="231F20"/>
        </w:rPr>
        <w:t>visión</w:t>
      </w:r>
      <w:r>
        <w:rPr>
          <w:color w:val="231F20"/>
          <w:spacing w:val="-13"/>
        </w:rPr>
        <w:t> </w:t>
      </w:r>
      <w:r>
        <w:rPr>
          <w:color w:val="231F20"/>
        </w:rPr>
        <w:t>centrada</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rPr>
        <w:t>especies</w:t>
      </w:r>
      <w:r>
        <w:rPr>
          <w:color w:val="231F20"/>
          <w:spacing w:val="-13"/>
        </w:rPr>
        <w:t> </w:t>
      </w:r>
      <w:r>
        <w:rPr>
          <w:color w:val="231F20"/>
        </w:rPr>
        <w:t>(entre</w:t>
      </w:r>
      <w:r>
        <w:rPr>
          <w:color w:val="231F20"/>
          <w:spacing w:val="-13"/>
        </w:rPr>
        <w:t> </w:t>
      </w:r>
      <w:r>
        <w:rPr>
          <w:color w:val="231F20"/>
        </w:rPr>
        <w:t>ellas</w:t>
      </w:r>
      <w:r>
        <w:rPr>
          <w:color w:val="231F20"/>
          <w:spacing w:val="-13"/>
        </w:rPr>
        <w:t> </w:t>
      </w:r>
      <w:r>
        <w:rPr>
          <w:color w:val="231F20"/>
        </w:rPr>
        <w:t>la</w:t>
      </w:r>
      <w:r>
        <w:rPr>
          <w:color w:val="231F20"/>
          <w:spacing w:val="-13"/>
        </w:rPr>
        <w:t> </w:t>
      </w:r>
      <w:r>
        <w:rPr>
          <w:color w:val="231F20"/>
        </w:rPr>
        <w:t>humana)</w:t>
      </w:r>
      <w:r>
        <w:rPr>
          <w:color w:val="231F20"/>
          <w:spacing w:val="-13"/>
        </w:rPr>
        <w:t> </w:t>
      </w:r>
      <w:r>
        <w:rPr>
          <w:color w:val="231F20"/>
        </w:rPr>
        <w:t>y en la capacidad evolutiva de esta</w:t>
      </w:r>
      <w:r>
        <w:rPr>
          <w:color w:val="231F20"/>
          <w:spacing w:val="6"/>
        </w:rPr>
        <w:t> </w:t>
      </w:r>
      <w:r>
        <w:rPr>
          <w:color w:val="231F20"/>
        </w:rPr>
        <w:t>última?</w:t>
      </w:r>
    </w:p>
    <w:p>
      <w:pPr>
        <w:pStyle w:val="BodyText"/>
        <w:spacing w:line="247" w:lineRule="auto"/>
        <w:ind w:left="103" w:right="115" w:firstLine="566"/>
        <w:jc w:val="both"/>
      </w:pPr>
      <w:r>
        <w:rPr>
          <w:color w:val="231F20"/>
        </w:rPr>
        <w:t>En este pasaje se omiten el tiempo y también la fe, que eran tal vez los caracteres principales de la vieja idea de modernidad iluminista,</w:t>
      </w:r>
      <w:r>
        <w:rPr>
          <w:color w:val="231F20"/>
          <w:spacing w:val="-30"/>
        </w:rPr>
        <w:t> </w:t>
      </w:r>
      <w:r>
        <w:rPr>
          <w:color w:val="231F20"/>
        </w:rPr>
        <w:t>capita- lista</w:t>
      </w:r>
      <w:r>
        <w:rPr>
          <w:color w:val="231F20"/>
          <w:spacing w:val="-6"/>
        </w:rPr>
        <w:t> </w:t>
      </w:r>
      <w:r>
        <w:rPr>
          <w:color w:val="231F20"/>
        </w:rPr>
        <w:t>y</w:t>
      </w:r>
      <w:r>
        <w:rPr>
          <w:color w:val="231F20"/>
          <w:spacing w:val="-6"/>
        </w:rPr>
        <w:t> </w:t>
      </w:r>
      <w:r>
        <w:rPr>
          <w:color w:val="231F20"/>
        </w:rPr>
        <w:t>burguesa.</w:t>
      </w:r>
      <w:r>
        <w:rPr>
          <w:color w:val="231F20"/>
          <w:spacing w:val="-6"/>
        </w:rPr>
        <w:t> </w:t>
      </w:r>
      <w:r>
        <w:rPr>
          <w:color w:val="231F20"/>
        </w:rPr>
        <w:t>La</w:t>
      </w:r>
      <w:r>
        <w:rPr>
          <w:color w:val="231F20"/>
          <w:spacing w:val="-6"/>
        </w:rPr>
        <w:t> </w:t>
      </w:r>
      <w:r>
        <w:rPr>
          <w:color w:val="231F20"/>
        </w:rPr>
        <w:t>evolución</w:t>
      </w:r>
      <w:r>
        <w:rPr>
          <w:color w:val="231F20"/>
          <w:spacing w:val="-6"/>
        </w:rPr>
        <w:t> </w:t>
      </w:r>
      <w:r>
        <w:rPr>
          <w:color w:val="231F20"/>
        </w:rPr>
        <w:t>ya</w:t>
      </w:r>
      <w:r>
        <w:rPr>
          <w:color w:val="231F20"/>
          <w:spacing w:val="-6"/>
        </w:rPr>
        <w:t> </w:t>
      </w:r>
      <w:r>
        <w:rPr>
          <w:color w:val="231F20"/>
        </w:rPr>
        <w:t>no</w:t>
      </w:r>
      <w:r>
        <w:rPr>
          <w:color w:val="231F20"/>
          <w:spacing w:val="-6"/>
        </w:rPr>
        <w:t> </w:t>
      </w:r>
      <w:r>
        <w:rPr>
          <w:color w:val="231F20"/>
        </w:rPr>
        <w:t>necesita</w:t>
      </w:r>
      <w:r>
        <w:rPr>
          <w:color w:val="231F20"/>
          <w:spacing w:val="-6"/>
        </w:rPr>
        <w:t> </w:t>
      </w:r>
      <w:r>
        <w:rPr>
          <w:color w:val="231F20"/>
        </w:rPr>
        <w:t>—como</w:t>
      </w:r>
      <w:r>
        <w:rPr>
          <w:color w:val="231F20"/>
          <w:spacing w:val="-6"/>
        </w:rPr>
        <w:t> </w:t>
      </w:r>
      <w:r>
        <w:rPr>
          <w:color w:val="231F20"/>
        </w:rPr>
        <w:t>ocurría</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progre- so—</w:t>
      </w:r>
      <w:r>
        <w:rPr>
          <w:color w:val="231F20"/>
          <w:spacing w:val="-7"/>
        </w:rPr>
        <w:t> </w:t>
      </w:r>
      <w:r>
        <w:rPr>
          <w:color w:val="231F20"/>
        </w:rPr>
        <w:t>ni</w:t>
      </w:r>
      <w:r>
        <w:rPr>
          <w:color w:val="231F20"/>
          <w:spacing w:val="-7"/>
        </w:rPr>
        <w:t> </w:t>
      </w:r>
      <w:r>
        <w:rPr>
          <w:color w:val="231F20"/>
        </w:rPr>
        <w:t>de</w:t>
      </w:r>
      <w:r>
        <w:rPr>
          <w:color w:val="231F20"/>
          <w:spacing w:val="-7"/>
        </w:rPr>
        <w:t> </w:t>
      </w:r>
      <w:r>
        <w:rPr>
          <w:color w:val="231F20"/>
        </w:rPr>
        <w:t>tiempo</w:t>
      </w:r>
      <w:r>
        <w:rPr>
          <w:color w:val="231F20"/>
          <w:spacing w:val="-7"/>
        </w:rPr>
        <w:t> </w:t>
      </w:r>
      <w:r>
        <w:rPr>
          <w:color w:val="231F20"/>
        </w:rPr>
        <w:t>ni</w:t>
      </w:r>
      <w:r>
        <w:rPr>
          <w:color w:val="231F20"/>
          <w:spacing w:val="-7"/>
        </w:rPr>
        <w:t> </w:t>
      </w:r>
      <w:r>
        <w:rPr>
          <w:color w:val="231F20"/>
        </w:rPr>
        <w:t>de</w:t>
      </w:r>
      <w:r>
        <w:rPr>
          <w:color w:val="231F20"/>
          <w:spacing w:val="-7"/>
        </w:rPr>
        <w:t> </w:t>
      </w:r>
      <w:r>
        <w:rPr>
          <w:color w:val="231F20"/>
        </w:rPr>
        <w:t>fe</w:t>
      </w:r>
      <w:r>
        <w:rPr>
          <w:color w:val="231F20"/>
          <w:spacing w:val="-7"/>
        </w:rPr>
        <w:t> </w:t>
      </w:r>
      <w:r>
        <w:rPr>
          <w:color w:val="231F20"/>
        </w:rPr>
        <w:t>(y</w:t>
      </w:r>
      <w:r>
        <w:rPr>
          <w:color w:val="231F20"/>
          <w:spacing w:val="-7"/>
        </w:rPr>
        <w:t> </w:t>
      </w:r>
      <w:r>
        <w:rPr>
          <w:color w:val="231F20"/>
        </w:rPr>
        <w:t>quizá</w:t>
      </w:r>
      <w:r>
        <w:rPr>
          <w:color w:val="231F20"/>
          <w:spacing w:val="-7"/>
        </w:rPr>
        <w:t> </w:t>
      </w:r>
      <w:r>
        <w:rPr>
          <w:color w:val="231F20"/>
        </w:rPr>
        <w:t>tampoco</w:t>
      </w:r>
      <w:r>
        <w:rPr>
          <w:color w:val="231F20"/>
          <w:spacing w:val="-7"/>
        </w:rPr>
        <w:t> </w:t>
      </w:r>
      <w:r>
        <w:rPr>
          <w:color w:val="231F20"/>
        </w:rPr>
        <w:t>de</w:t>
      </w:r>
      <w:r>
        <w:rPr>
          <w:color w:val="231F20"/>
          <w:spacing w:val="-7"/>
        </w:rPr>
        <w:t> </w:t>
      </w:r>
      <w:r>
        <w:rPr>
          <w:color w:val="231F20"/>
        </w:rPr>
        <w:t>burguesía).</w:t>
      </w:r>
      <w:r>
        <w:rPr>
          <w:color w:val="231F20"/>
          <w:spacing w:val="-7"/>
        </w:rPr>
        <w:t> </w:t>
      </w:r>
      <w:r>
        <w:rPr>
          <w:color w:val="231F20"/>
        </w:rPr>
        <w:t>Ciertamente</w:t>
      </w:r>
      <w:r>
        <w:rPr>
          <w:color w:val="231F20"/>
          <w:spacing w:val="-7"/>
        </w:rPr>
        <w:t> </w:t>
      </w:r>
      <w:r>
        <w:rPr>
          <w:color w:val="231F20"/>
        </w:rPr>
        <w:t>es- tará</w:t>
      </w:r>
      <w:r>
        <w:rPr>
          <w:color w:val="231F20"/>
          <w:spacing w:val="-8"/>
        </w:rPr>
        <w:t> </w:t>
      </w:r>
      <w:r>
        <w:rPr>
          <w:color w:val="231F20"/>
        </w:rPr>
        <w:t>en</w:t>
      </w:r>
      <w:r>
        <w:rPr>
          <w:color w:val="231F20"/>
          <w:spacing w:val="-8"/>
        </w:rPr>
        <w:t> </w:t>
      </w:r>
      <w:r>
        <w:rPr>
          <w:color w:val="231F20"/>
        </w:rPr>
        <w:t>medio</w:t>
      </w:r>
      <w:r>
        <w:rPr>
          <w:color w:val="231F20"/>
          <w:spacing w:val="-8"/>
        </w:rPr>
        <w:t> </w:t>
      </w:r>
      <w:r>
        <w:rPr>
          <w:color w:val="231F20"/>
        </w:rPr>
        <w:t>de</w:t>
      </w:r>
      <w:r>
        <w:rPr>
          <w:color w:val="231F20"/>
          <w:spacing w:val="-8"/>
        </w:rPr>
        <w:t> </w:t>
      </w:r>
      <w:r>
        <w:rPr>
          <w:color w:val="231F20"/>
        </w:rPr>
        <w:t>esto</w:t>
      </w:r>
      <w:r>
        <w:rPr>
          <w:color w:val="231F20"/>
          <w:spacing w:val="-8"/>
        </w:rPr>
        <w:t> </w:t>
      </w:r>
      <w:r>
        <w:rPr>
          <w:color w:val="231F20"/>
        </w:rPr>
        <w:t>Darwin,</w:t>
      </w:r>
      <w:r>
        <w:rPr>
          <w:color w:val="231F20"/>
          <w:spacing w:val="-8"/>
        </w:rPr>
        <w:t> </w:t>
      </w:r>
      <w:r>
        <w:rPr>
          <w:color w:val="231F20"/>
        </w:rPr>
        <w:t>además</w:t>
      </w:r>
      <w:r>
        <w:rPr>
          <w:color w:val="231F20"/>
          <w:spacing w:val="-8"/>
        </w:rPr>
        <w:t> </w:t>
      </w:r>
      <w:r>
        <w:rPr>
          <w:color w:val="231F20"/>
        </w:rPr>
        <w:t>de</w:t>
      </w:r>
      <w:r>
        <w:rPr>
          <w:color w:val="231F20"/>
          <w:spacing w:val="-8"/>
        </w:rPr>
        <w:t> </w:t>
      </w:r>
      <w:r>
        <w:rPr>
          <w:color w:val="231F20"/>
        </w:rPr>
        <w:t>Spencer</w:t>
      </w:r>
      <w:r>
        <w:rPr>
          <w:color w:val="231F20"/>
          <w:position w:val="7"/>
          <w:sz w:val="12"/>
        </w:rPr>
        <w:t>11</w:t>
      </w:r>
      <w:r>
        <w:rPr>
          <w:color w:val="231F20"/>
        </w:rPr>
        <w:t>,</w:t>
      </w:r>
      <w:r>
        <w:rPr>
          <w:color w:val="231F20"/>
          <w:spacing w:val="-8"/>
        </w:rPr>
        <w:t> </w:t>
      </w:r>
      <w:r>
        <w:rPr>
          <w:color w:val="231F20"/>
        </w:rPr>
        <w:t>pero</w:t>
      </w:r>
      <w:r>
        <w:rPr>
          <w:color w:val="231F20"/>
          <w:spacing w:val="-8"/>
        </w:rPr>
        <w:t> </w:t>
      </w:r>
      <w:r>
        <w:rPr>
          <w:color w:val="231F20"/>
        </w:rPr>
        <w:t>sobre</w:t>
      </w:r>
      <w:r>
        <w:rPr>
          <w:color w:val="231F20"/>
          <w:spacing w:val="-8"/>
        </w:rPr>
        <w:t> </w:t>
      </w:r>
      <w:r>
        <w:rPr>
          <w:color w:val="231F20"/>
        </w:rPr>
        <w:t>todo</w:t>
      </w:r>
      <w:r>
        <w:rPr>
          <w:color w:val="231F20"/>
          <w:spacing w:val="-8"/>
        </w:rPr>
        <w:t> </w:t>
      </w:r>
      <w:r>
        <w:rPr>
          <w:color w:val="231F20"/>
        </w:rPr>
        <w:t>actúa la extraordinaria difusión de un bloque cultural (de un conjunto) evolucio- nista</w:t>
      </w:r>
      <w:r>
        <w:rPr>
          <w:color w:val="231F20"/>
          <w:spacing w:val="-9"/>
        </w:rPr>
        <w:t> </w:t>
      </w:r>
      <w:r>
        <w:rPr>
          <w:color w:val="231F20"/>
        </w:rPr>
        <w:t>llamado</w:t>
      </w:r>
      <w:r>
        <w:rPr>
          <w:color w:val="231F20"/>
          <w:spacing w:val="-9"/>
        </w:rPr>
        <w:t> </w:t>
      </w:r>
      <w:r>
        <w:rPr>
          <w:color w:val="231F20"/>
        </w:rPr>
        <w:t>a</w:t>
      </w:r>
      <w:r>
        <w:rPr>
          <w:color w:val="231F20"/>
          <w:spacing w:val="-9"/>
        </w:rPr>
        <w:t> </w:t>
      </w:r>
      <w:r>
        <w:rPr>
          <w:color w:val="231F20"/>
        </w:rPr>
        <w:t>dar</w:t>
      </w:r>
      <w:r>
        <w:rPr>
          <w:color w:val="231F20"/>
          <w:spacing w:val="-9"/>
        </w:rPr>
        <w:t> </w:t>
      </w:r>
      <w:r>
        <w:rPr>
          <w:color w:val="231F20"/>
        </w:rPr>
        <w:t>respuesta,</w:t>
      </w:r>
      <w:r>
        <w:rPr>
          <w:color w:val="231F20"/>
          <w:spacing w:val="-9"/>
        </w:rPr>
        <w:t> </w:t>
      </w:r>
      <w:r>
        <w:rPr>
          <w:color w:val="231F20"/>
        </w:rPr>
        <w:t>incluso</w:t>
      </w:r>
      <w:r>
        <w:rPr>
          <w:color w:val="231F20"/>
          <w:spacing w:val="-9"/>
        </w:rPr>
        <w:t> </w:t>
      </w:r>
      <w:r>
        <w:rPr>
          <w:color w:val="231F20"/>
        </w:rPr>
        <w:t>a</w:t>
      </w:r>
      <w:r>
        <w:rPr>
          <w:color w:val="231F20"/>
          <w:spacing w:val="-9"/>
        </w:rPr>
        <w:t> </w:t>
      </w:r>
      <w:r>
        <w:rPr>
          <w:color w:val="231F20"/>
        </w:rPr>
        <w:t>nivel</w:t>
      </w:r>
      <w:r>
        <w:rPr>
          <w:color w:val="231F20"/>
          <w:spacing w:val="-9"/>
        </w:rPr>
        <w:t> </w:t>
      </w:r>
      <w:r>
        <w:rPr>
          <w:color w:val="231F20"/>
          <w:spacing w:val="-3"/>
        </w:rPr>
        <w:t>popular,</w:t>
      </w:r>
      <w:r>
        <w:rPr>
          <w:color w:val="231F20"/>
          <w:spacing w:val="-9"/>
        </w:rPr>
        <w:t> </w:t>
      </w:r>
      <w:r>
        <w:rPr>
          <w:color w:val="231F20"/>
        </w:rPr>
        <w:t>a</w:t>
      </w:r>
      <w:r>
        <w:rPr>
          <w:color w:val="231F20"/>
          <w:spacing w:val="-9"/>
        </w:rPr>
        <w:t> </w:t>
      </w:r>
      <w:r>
        <w:rPr>
          <w:color w:val="231F20"/>
        </w:rPr>
        <w:t>una</w:t>
      </w:r>
      <w:r>
        <w:rPr>
          <w:color w:val="231F20"/>
          <w:spacing w:val="-9"/>
        </w:rPr>
        <w:t> </w:t>
      </w:r>
      <w:r>
        <w:rPr>
          <w:color w:val="231F20"/>
        </w:rPr>
        <w:t>transformación en curso —cierto, industrial y social, pero también cultural y política— que parecía imparable y que, a la larga, tendrá que ver no sólo con el hombre sino</w:t>
      </w:r>
      <w:r>
        <w:rPr>
          <w:color w:val="231F20"/>
          <w:spacing w:val="-4"/>
        </w:rPr>
        <w:t> </w:t>
      </w:r>
      <w:r>
        <w:rPr>
          <w:color w:val="231F20"/>
        </w:rPr>
        <w:t>con</w:t>
      </w:r>
      <w:r>
        <w:rPr>
          <w:color w:val="231F20"/>
          <w:spacing w:val="-4"/>
        </w:rPr>
        <w:t> </w:t>
      </w:r>
      <w:r>
        <w:rPr>
          <w:color w:val="231F20"/>
        </w:rPr>
        <w:t>las</w:t>
      </w:r>
      <w:r>
        <w:rPr>
          <w:color w:val="231F20"/>
          <w:spacing w:val="-5"/>
        </w:rPr>
        <w:t> </w:t>
      </w:r>
      <w:r>
        <w:rPr>
          <w:color w:val="231F20"/>
        </w:rPr>
        <w:t>máquinas</w:t>
      </w:r>
      <w:r>
        <w:rPr>
          <w:color w:val="231F20"/>
          <w:spacing w:val="-5"/>
        </w:rPr>
        <w:t> </w:t>
      </w:r>
      <w:r>
        <w:rPr>
          <w:color w:val="231F20"/>
        </w:rPr>
        <w:t>que</w:t>
      </w:r>
      <w:r>
        <w:rPr>
          <w:color w:val="231F20"/>
          <w:spacing w:val="-5"/>
        </w:rPr>
        <w:t> </w:t>
      </w:r>
      <w:r>
        <w:rPr>
          <w:color w:val="231F20"/>
        </w:rPr>
        <w:t>éste</w:t>
      </w:r>
      <w:r>
        <w:rPr>
          <w:color w:val="231F20"/>
          <w:spacing w:val="-5"/>
        </w:rPr>
        <w:t> </w:t>
      </w:r>
      <w:r>
        <w:rPr>
          <w:color w:val="231F20"/>
        </w:rPr>
        <w:t>ha</w:t>
      </w:r>
      <w:r>
        <w:rPr>
          <w:color w:val="231F20"/>
          <w:spacing w:val="-5"/>
        </w:rPr>
        <w:t> </w:t>
      </w:r>
      <w:r>
        <w:rPr>
          <w:color w:val="231F20"/>
        </w:rPr>
        <w:t>aprendido</w:t>
      </w:r>
      <w:r>
        <w:rPr>
          <w:color w:val="231F20"/>
          <w:spacing w:val="-5"/>
        </w:rPr>
        <w:t> </w:t>
      </w:r>
      <w:r>
        <w:rPr>
          <w:color w:val="231F20"/>
        </w:rPr>
        <w:t>a</w:t>
      </w:r>
      <w:r>
        <w:rPr>
          <w:color w:val="231F20"/>
          <w:spacing w:val="-5"/>
        </w:rPr>
        <w:t> </w:t>
      </w:r>
      <w:r>
        <w:rPr>
          <w:color w:val="231F20"/>
          <w:spacing w:val="-3"/>
        </w:rPr>
        <w:t>producir.</w:t>
      </w:r>
      <w:r>
        <w:rPr>
          <w:color w:val="231F20"/>
          <w:spacing w:val="-5"/>
        </w:rPr>
        <w:t> </w:t>
      </w:r>
      <w:r>
        <w:rPr>
          <w:color w:val="231F20"/>
        </w:rPr>
        <w:t>Es</w:t>
      </w:r>
      <w:r>
        <w:rPr>
          <w:color w:val="231F20"/>
          <w:spacing w:val="-5"/>
        </w:rPr>
        <w:t> </w:t>
      </w:r>
      <w:r>
        <w:rPr>
          <w:color w:val="231F20"/>
        </w:rPr>
        <w:t>más,</w:t>
      </w:r>
      <w:r>
        <w:rPr>
          <w:color w:val="231F20"/>
          <w:spacing w:val="-5"/>
        </w:rPr>
        <w:t> </w:t>
      </w:r>
      <w:r>
        <w:rPr>
          <w:color w:val="231F20"/>
        </w:rPr>
        <w:t>no</w:t>
      </w:r>
      <w:r>
        <w:rPr>
          <w:color w:val="231F20"/>
          <w:spacing w:val="-5"/>
        </w:rPr>
        <w:t> </w:t>
      </w:r>
      <w:r>
        <w:rPr>
          <w:color w:val="231F20"/>
        </w:rPr>
        <w:t>sólo</w:t>
      </w:r>
      <w:r>
        <w:rPr>
          <w:color w:val="231F20"/>
          <w:spacing w:val="-5"/>
        </w:rPr>
        <w:t> </w:t>
      </w:r>
      <w:r>
        <w:rPr>
          <w:color w:val="231F20"/>
        </w:rPr>
        <w:t>el hombre y la máquina, sino una “maquinaria” mucho más grande que pre- cede a ambos y que es la de la organización industrial y social: una nueva “visión mecanicista del mundo”, para retomar a Borkenau</w:t>
      </w:r>
      <w:r>
        <w:rPr>
          <w:color w:val="231F20"/>
          <w:position w:val="7"/>
          <w:sz w:val="12"/>
        </w:rPr>
        <w:t>12</w:t>
      </w:r>
      <w:r>
        <w:rPr>
          <w:color w:val="231F20"/>
        </w:rPr>
        <w:t>. Ciertamente no es casualidad que parte del recorrido inicial de este nuevo </w:t>
      </w:r>
      <w:r>
        <w:rPr>
          <w:rFonts w:ascii="Arial" w:hAnsi="Arial"/>
          <w:i/>
          <w:color w:val="231F20"/>
        </w:rPr>
        <w:t>Welt</w:t>
      </w:r>
      <w:r>
        <w:rPr>
          <w:color w:val="231F20"/>
        </w:rPr>
        <w:t>–</w:t>
      </w:r>
      <w:r>
        <w:rPr>
          <w:rFonts w:ascii="Arial" w:hAnsi="Arial"/>
          <w:i/>
          <w:color w:val="231F20"/>
        </w:rPr>
        <w:t>Bild </w:t>
      </w:r>
      <w:r>
        <w:rPr>
          <w:color w:val="231F20"/>
        </w:rPr>
        <w:t>esté entrelazada con los movimientos socialistas que acompañan, particu- larmente</w:t>
      </w:r>
      <w:r>
        <w:rPr>
          <w:color w:val="231F20"/>
          <w:spacing w:val="-7"/>
        </w:rPr>
        <w:t> </w:t>
      </w:r>
      <w:r>
        <w:rPr>
          <w:color w:val="231F20"/>
        </w:rPr>
        <w:t>en</w:t>
      </w:r>
      <w:r>
        <w:rPr>
          <w:color w:val="231F20"/>
          <w:spacing w:val="-7"/>
        </w:rPr>
        <w:t> </w:t>
      </w:r>
      <w:r>
        <w:rPr>
          <w:color w:val="231F20"/>
        </w:rPr>
        <w:t>Inglaterra,</w:t>
      </w:r>
      <w:r>
        <w:rPr>
          <w:color w:val="231F20"/>
          <w:spacing w:val="-7"/>
        </w:rPr>
        <w:t> </w:t>
      </w:r>
      <w:r>
        <w:rPr>
          <w:color w:val="231F20"/>
        </w:rPr>
        <w:t>la</w:t>
      </w:r>
      <w:r>
        <w:rPr>
          <w:color w:val="231F20"/>
          <w:spacing w:val="-7"/>
        </w:rPr>
        <w:t> </w:t>
      </w:r>
      <w:r>
        <w:rPr>
          <w:color w:val="231F20"/>
        </w:rPr>
        <w:t>última</w:t>
      </w:r>
      <w:r>
        <w:rPr>
          <w:color w:val="231F20"/>
          <w:spacing w:val="-7"/>
        </w:rPr>
        <w:t> </w:t>
      </w:r>
      <w:r>
        <w:rPr>
          <w:color w:val="231F20"/>
        </w:rPr>
        <w:t>fase</w:t>
      </w:r>
      <w:r>
        <w:rPr>
          <w:color w:val="231F20"/>
          <w:spacing w:val="-7"/>
        </w:rPr>
        <w:t> </w:t>
      </w:r>
      <w:r>
        <w:rPr>
          <w:color w:val="231F20"/>
        </w:rPr>
        <w:t>de</w:t>
      </w:r>
      <w:r>
        <w:rPr>
          <w:color w:val="231F20"/>
          <w:spacing w:val="-7"/>
        </w:rPr>
        <w:t> </w:t>
      </w:r>
      <w:r>
        <w:rPr>
          <w:color w:val="231F20"/>
        </w:rPr>
        <w:t>modernización</w:t>
      </w:r>
      <w:r>
        <w:rPr>
          <w:color w:val="231F20"/>
          <w:position w:val="7"/>
          <w:sz w:val="12"/>
        </w:rPr>
        <w:t>13</w:t>
      </w:r>
      <w:r>
        <w:rPr>
          <w:color w:val="231F20"/>
        </w:rPr>
        <w:t>.</w:t>
      </w:r>
    </w:p>
    <w:p>
      <w:pPr>
        <w:pStyle w:val="BodyText"/>
        <w:spacing w:line="244" w:lineRule="auto"/>
        <w:ind w:left="103" w:right="115" w:firstLine="566"/>
        <w:jc w:val="both"/>
      </w:pPr>
      <w:r>
        <w:rPr>
          <w:color w:val="231F20"/>
        </w:rPr>
        <w:t>Porque de hecho, en esta otra </w:t>
      </w:r>
      <w:r>
        <w:rPr>
          <w:rFonts w:ascii="Arial" w:hAnsi="Arial"/>
          <w:i/>
          <w:color w:val="231F20"/>
        </w:rPr>
        <w:t>Sattelzeit fin de siècle </w:t>
      </w:r>
      <w:r>
        <w:rPr>
          <w:color w:val="231F20"/>
        </w:rPr>
        <w:t>se cumple el paso de una </w:t>
      </w:r>
      <w:r>
        <w:rPr>
          <w:rFonts w:ascii="Arial" w:hAnsi="Arial"/>
          <w:i/>
          <w:color w:val="231F20"/>
        </w:rPr>
        <w:t>modernity </w:t>
      </w:r>
      <w:r>
        <w:rPr>
          <w:color w:val="231F20"/>
        </w:rPr>
        <w:t>gobernada por la fuerza productiva del hombre–in- dividuo, al interior de su próspera y bien organizada clase burguesa, a un </w:t>
      </w:r>
      <w:r>
        <w:rPr>
          <w:rFonts w:ascii="Arial" w:hAnsi="Arial"/>
          <w:i/>
          <w:color w:val="231F20"/>
        </w:rPr>
        <w:t>modernism </w:t>
      </w:r>
      <w:r>
        <w:rPr>
          <w:color w:val="231F20"/>
        </w:rPr>
        <w:t>en cambio empujado por la fuerza ciega, pero no tan escondi- da,</w:t>
      </w:r>
      <w:r>
        <w:rPr>
          <w:color w:val="231F20"/>
          <w:spacing w:val="-13"/>
        </w:rPr>
        <w:t> </w:t>
      </w:r>
      <w:r>
        <w:rPr>
          <w:color w:val="231F20"/>
        </w:rPr>
        <w:t>en</w:t>
      </w:r>
      <w:r>
        <w:rPr>
          <w:color w:val="231F20"/>
          <w:spacing w:val="-13"/>
        </w:rPr>
        <w:t> </w:t>
      </w:r>
      <w:r>
        <w:rPr>
          <w:color w:val="231F20"/>
        </w:rPr>
        <w:t>cuanto</w:t>
      </w:r>
      <w:r>
        <w:rPr>
          <w:color w:val="231F20"/>
          <w:spacing w:val="-13"/>
        </w:rPr>
        <w:t> </w:t>
      </w:r>
      <w:r>
        <w:rPr>
          <w:color w:val="231F20"/>
        </w:rPr>
        <w:t>está</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rPr>
        <w:t>raíces</w:t>
      </w:r>
      <w:r>
        <w:rPr>
          <w:color w:val="231F20"/>
          <w:spacing w:val="-13"/>
        </w:rPr>
        <w:t> </w:t>
      </w:r>
      <w:r>
        <w:rPr>
          <w:color w:val="231F20"/>
        </w:rPr>
        <w:t>mismas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evolución</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especies,</w:t>
      </w:r>
      <w:r>
        <w:rPr>
          <w:color w:val="231F20"/>
          <w:spacing w:val="-13"/>
        </w:rPr>
        <w:t> </w:t>
      </w:r>
      <w:r>
        <w:rPr>
          <w:color w:val="231F20"/>
        </w:rPr>
        <w:t>que la biología del tiempo espera “explicar”. Entonces no puedes hacer nada, debes</w:t>
      </w:r>
      <w:r>
        <w:rPr>
          <w:color w:val="231F20"/>
          <w:spacing w:val="-10"/>
        </w:rPr>
        <w:t> </w:t>
      </w:r>
      <w:r>
        <w:rPr>
          <w:color w:val="231F20"/>
        </w:rPr>
        <w:t>sólo</w:t>
      </w:r>
      <w:r>
        <w:rPr>
          <w:color w:val="231F20"/>
          <w:spacing w:val="-10"/>
        </w:rPr>
        <w:t> </w:t>
      </w:r>
      <w:r>
        <w:rPr>
          <w:color w:val="231F20"/>
        </w:rPr>
        <w:t>tratar</w:t>
      </w:r>
      <w:r>
        <w:rPr>
          <w:color w:val="231F20"/>
          <w:spacing w:val="-10"/>
        </w:rPr>
        <w:t> </w:t>
      </w:r>
      <w:r>
        <w:rPr>
          <w:color w:val="231F20"/>
        </w:rPr>
        <w:t>de</w:t>
      </w:r>
      <w:r>
        <w:rPr>
          <w:color w:val="231F20"/>
          <w:spacing w:val="-10"/>
        </w:rPr>
        <w:t> </w:t>
      </w:r>
      <w:r>
        <w:rPr>
          <w:color w:val="231F20"/>
        </w:rPr>
        <w:t>entender</w:t>
      </w:r>
      <w:r>
        <w:rPr>
          <w:color w:val="231F20"/>
          <w:spacing w:val="-10"/>
        </w:rPr>
        <w:t> </w:t>
      </w:r>
      <w:r>
        <w:rPr>
          <w:color w:val="231F20"/>
        </w:rPr>
        <w:t>y</w:t>
      </w:r>
      <w:r>
        <w:rPr>
          <w:color w:val="231F20"/>
          <w:spacing w:val="-10"/>
        </w:rPr>
        <w:t> </w:t>
      </w:r>
      <w:r>
        <w:rPr>
          <w:color w:val="231F20"/>
        </w:rPr>
        <w:t>adaptarte,</w:t>
      </w:r>
      <w:r>
        <w:rPr>
          <w:color w:val="231F20"/>
          <w:spacing w:val="-10"/>
        </w:rPr>
        <w:t> </w:t>
      </w:r>
      <w:r>
        <w:rPr>
          <w:color w:val="231F20"/>
        </w:rPr>
        <w:t>si</w:t>
      </w:r>
      <w:r>
        <w:rPr>
          <w:color w:val="231F20"/>
          <w:spacing w:val="-10"/>
        </w:rPr>
        <w:t> </w:t>
      </w:r>
      <w:r>
        <w:rPr>
          <w:color w:val="231F20"/>
        </w:rPr>
        <w:t>eres</w:t>
      </w:r>
      <w:r>
        <w:rPr>
          <w:color w:val="231F20"/>
          <w:spacing w:val="-10"/>
        </w:rPr>
        <w:t> </w:t>
      </w:r>
      <w:r>
        <w:rPr>
          <w:color w:val="231F20"/>
        </w:rPr>
        <w:t>capaz;</w:t>
      </w:r>
      <w:r>
        <w:rPr>
          <w:color w:val="231F20"/>
          <w:spacing w:val="-10"/>
        </w:rPr>
        <w:t> </w:t>
      </w:r>
      <w:r>
        <w:rPr>
          <w:color w:val="231F20"/>
        </w:rPr>
        <w:t>y</w:t>
      </w:r>
      <w:r>
        <w:rPr>
          <w:color w:val="231F20"/>
          <w:spacing w:val="-10"/>
        </w:rPr>
        <w:t> </w:t>
      </w:r>
      <w:r>
        <w:rPr>
          <w:color w:val="231F20"/>
        </w:rPr>
        <w:t>no</w:t>
      </w:r>
      <w:r>
        <w:rPr>
          <w:color w:val="231F20"/>
          <w:spacing w:val="-10"/>
        </w:rPr>
        <w:t> </w:t>
      </w:r>
      <w:r>
        <w:rPr>
          <w:color w:val="231F20"/>
        </w:rPr>
        <w:t>sólo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na-</w:t>
      </w:r>
    </w:p>
    <w:p>
      <w:pPr>
        <w:pStyle w:val="BodyText"/>
        <w:rPr>
          <w:sz w:val="20"/>
        </w:rPr>
      </w:pPr>
    </w:p>
    <w:p>
      <w:pPr>
        <w:pStyle w:val="BodyText"/>
        <w:rPr>
          <w:sz w:val="11"/>
        </w:rPr>
      </w:pPr>
      <w:r>
        <w:rPr/>
        <w:pict>
          <v:line style="position:absolute;mso-position-horizontal-relative:page;mso-position-vertical-relative:paragraph;z-index:5296;mso-wrap-distance-left:0;mso-wrap-distance-right:0" from="65.196899pt,8.763411pt" to="178.582899pt,8.763411pt" stroked="true" strokeweight=".3pt" strokecolor="#231f20">
            <w10:wrap type="topAndBottom"/>
          </v:line>
        </w:pict>
      </w:r>
    </w:p>
    <w:p>
      <w:pPr>
        <w:spacing w:line="204" w:lineRule="exact" w:before="9"/>
        <w:ind w:left="103" w:right="0" w:firstLine="0"/>
        <w:jc w:val="left"/>
        <w:rPr>
          <w:rFonts w:ascii="Calibri" w:hAnsi="Calibri"/>
          <w:sz w:val="17"/>
        </w:rPr>
      </w:pPr>
      <w:r>
        <w:rPr>
          <w:rFonts w:ascii="Calibri" w:hAnsi="Calibri"/>
          <w:color w:val="231F20"/>
          <w:position w:val="6"/>
          <w:sz w:val="10"/>
        </w:rPr>
        <w:t>11</w:t>
      </w:r>
      <w:r>
        <w:rPr>
          <w:rFonts w:ascii="Calibri" w:hAnsi="Calibri"/>
          <w:color w:val="231F20"/>
          <w:spacing w:val="8"/>
          <w:position w:val="6"/>
          <w:sz w:val="10"/>
        </w:rPr>
        <w:t> </w:t>
      </w:r>
      <w:r>
        <w:rPr>
          <w:rFonts w:ascii="Calibri" w:hAnsi="Calibri"/>
          <w:color w:val="231F20"/>
          <w:sz w:val="17"/>
        </w:rPr>
        <w:t>G.</w:t>
      </w:r>
      <w:r>
        <w:rPr>
          <w:rFonts w:ascii="Calibri" w:hAnsi="Calibri"/>
          <w:color w:val="231F20"/>
          <w:spacing w:val="-9"/>
          <w:sz w:val="17"/>
        </w:rPr>
        <w:t> </w:t>
      </w:r>
      <w:r>
        <w:rPr>
          <w:rFonts w:ascii="Calibri" w:hAnsi="Calibri"/>
          <w:color w:val="231F20"/>
          <w:sz w:val="17"/>
        </w:rPr>
        <w:t>Lanaro,</w:t>
      </w:r>
      <w:r>
        <w:rPr>
          <w:rFonts w:ascii="Calibri" w:hAnsi="Calibri"/>
          <w:color w:val="231F20"/>
          <w:spacing w:val="-9"/>
          <w:sz w:val="17"/>
        </w:rPr>
        <w:t> </w:t>
      </w:r>
      <w:r>
        <w:rPr>
          <w:rFonts w:ascii="Calibri" w:hAnsi="Calibri"/>
          <w:i/>
          <w:color w:val="231F20"/>
          <w:spacing w:val="-3"/>
          <w:sz w:val="17"/>
        </w:rPr>
        <w:t>L’evoluzione,</w:t>
      </w:r>
      <w:r>
        <w:rPr>
          <w:rFonts w:ascii="Calibri" w:hAnsi="Calibri"/>
          <w:i/>
          <w:color w:val="231F20"/>
          <w:spacing w:val="-9"/>
          <w:sz w:val="17"/>
        </w:rPr>
        <w:t> </w:t>
      </w:r>
      <w:r>
        <w:rPr>
          <w:rFonts w:ascii="Calibri" w:hAnsi="Calibri"/>
          <w:i/>
          <w:color w:val="231F20"/>
          <w:sz w:val="17"/>
        </w:rPr>
        <w:t>il</w:t>
      </w:r>
      <w:r>
        <w:rPr>
          <w:rFonts w:ascii="Calibri" w:hAnsi="Calibri"/>
          <w:i/>
          <w:color w:val="231F20"/>
          <w:spacing w:val="-9"/>
          <w:sz w:val="17"/>
        </w:rPr>
        <w:t> </w:t>
      </w:r>
      <w:r>
        <w:rPr>
          <w:rFonts w:ascii="Calibri" w:hAnsi="Calibri"/>
          <w:i/>
          <w:color w:val="231F20"/>
          <w:sz w:val="17"/>
        </w:rPr>
        <w:t>progresso</w:t>
      </w:r>
      <w:r>
        <w:rPr>
          <w:rFonts w:ascii="Calibri" w:hAnsi="Calibri"/>
          <w:i/>
          <w:color w:val="231F20"/>
          <w:spacing w:val="-9"/>
          <w:sz w:val="17"/>
        </w:rPr>
        <w:t> </w:t>
      </w:r>
      <w:r>
        <w:rPr>
          <w:rFonts w:ascii="Calibri" w:hAnsi="Calibri"/>
          <w:i/>
          <w:color w:val="231F20"/>
          <w:sz w:val="17"/>
        </w:rPr>
        <w:t>e</w:t>
      </w:r>
      <w:r>
        <w:rPr>
          <w:rFonts w:ascii="Calibri" w:hAnsi="Calibri"/>
          <w:i/>
          <w:color w:val="231F20"/>
          <w:spacing w:val="-9"/>
          <w:sz w:val="17"/>
        </w:rPr>
        <w:t> </w:t>
      </w:r>
      <w:r>
        <w:rPr>
          <w:rFonts w:ascii="Calibri" w:hAnsi="Calibri"/>
          <w:i/>
          <w:color w:val="231F20"/>
          <w:sz w:val="17"/>
        </w:rPr>
        <w:t>la</w:t>
      </w:r>
      <w:r>
        <w:rPr>
          <w:rFonts w:ascii="Calibri" w:hAnsi="Calibri"/>
          <w:i/>
          <w:color w:val="231F20"/>
          <w:spacing w:val="-9"/>
          <w:sz w:val="17"/>
        </w:rPr>
        <w:t> </w:t>
      </w:r>
      <w:r>
        <w:rPr>
          <w:rFonts w:ascii="Calibri" w:hAnsi="Calibri"/>
          <w:i/>
          <w:color w:val="231F20"/>
          <w:sz w:val="17"/>
        </w:rPr>
        <w:t>società</w:t>
      </w:r>
      <w:r>
        <w:rPr>
          <w:rFonts w:ascii="Calibri" w:hAnsi="Calibri"/>
          <w:i/>
          <w:color w:val="231F20"/>
          <w:spacing w:val="-9"/>
          <w:sz w:val="17"/>
        </w:rPr>
        <w:t> </w:t>
      </w:r>
      <w:r>
        <w:rPr>
          <w:rFonts w:ascii="Calibri" w:hAnsi="Calibri"/>
          <w:i/>
          <w:color w:val="231F20"/>
          <w:sz w:val="17"/>
        </w:rPr>
        <w:t>industriale.</w:t>
      </w:r>
      <w:r>
        <w:rPr>
          <w:rFonts w:ascii="Calibri" w:hAnsi="Calibri"/>
          <w:i/>
          <w:color w:val="231F20"/>
          <w:spacing w:val="-9"/>
          <w:sz w:val="17"/>
        </w:rPr>
        <w:t> </w:t>
      </w:r>
      <w:r>
        <w:rPr>
          <w:rFonts w:ascii="Calibri" w:hAnsi="Calibri"/>
          <w:i/>
          <w:color w:val="231F20"/>
          <w:sz w:val="17"/>
        </w:rPr>
        <w:t>Un</w:t>
      </w:r>
      <w:r>
        <w:rPr>
          <w:rFonts w:ascii="Calibri" w:hAnsi="Calibri"/>
          <w:i/>
          <w:color w:val="231F20"/>
          <w:spacing w:val="-9"/>
          <w:sz w:val="17"/>
        </w:rPr>
        <w:t> </w:t>
      </w:r>
      <w:r>
        <w:rPr>
          <w:rFonts w:ascii="Calibri" w:hAnsi="Calibri"/>
          <w:i/>
          <w:color w:val="231F20"/>
          <w:sz w:val="17"/>
        </w:rPr>
        <w:t>profilo</w:t>
      </w:r>
      <w:r>
        <w:rPr>
          <w:rFonts w:ascii="Calibri" w:hAnsi="Calibri"/>
          <w:i/>
          <w:color w:val="231F20"/>
          <w:spacing w:val="-9"/>
          <w:sz w:val="17"/>
        </w:rPr>
        <w:t> </w:t>
      </w:r>
      <w:r>
        <w:rPr>
          <w:rFonts w:ascii="Calibri" w:hAnsi="Calibri"/>
          <w:i/>
          <w:color w:val="231F20"/>
          <w:sz w:val="17"/>
        </w:rPr>
        <w:t>di</w:t>
      </w:r>
      <w:r>
        <w:rPr>
          <w:rFonts w:ascii="Calibri" w:hAnsi="Calibri"/>
          <w:i/>
          <w:color w:val="231F20"/>
          <w:spacing w:val="-9"/>
          <w:sz w:val="17"/>
        </w:rPr>
        <w:t> </w:t>
      </w:r>
      <w:r>
        <w:rPr>
          <w:rFonts w:ascii="Calibri" w:hAnsi="Calibri"/>
          <w:i/>
          <w:color w:val="231F20"/>
          <w:sz w:val="17"/>
        </w:rPr>
        <w:t>Herbert</w:t>
      </w:r>
      <w:r>
        <w:rPr>
          <w:rFonts w:ascii="Calibri" w:hAnsi="Calibri"/>
          <w:i/>
          <w:color w:val="231F20"/>
          <w:spacing w:val="-9"/>
          <w:sz w:val="17"/>
        </w:rPr>
        <w:t> </w:t>
      </w:r>
      <w:r>
        <w:rPr>
          <w:rFonts w:ascii="Calibri" w:hAnsi="Calibri"/>
          <w:i/>
          <w:color w:val="231F20"/>
          <w:sz w:val="17"/>
        </w:rPr>
        <w:t>Spencer</w:t>
      </w:r>
      <w:r>
        <w:rPr>
          <w:rFonts w:ascii="Calibri" w:hAnsi="Calibri"/>
          <w:color w:val="231F20"/>
          <w:sz w:val="17"/>
        </w:rPr>
        <w:t>,</w:t>
      </w:r>
      <w:r>
        <w:rPr>
          <w:rFonts w:ascii="Calibri" w:hAnsi="Calibri"/>
          <w:color w:val="231F20"/>
          <w:spacing w:val="-9"/>
          <w:sz w:val="17"/>
        </w:rPr>
        <w:t> </w:t>
      </w:r>
      <w:r>
        <w:rPr>
          <w:rFonts w:ascii="Calibri" w:hAnsi="Calibri"/>
          <w:color w:val="231F20"/>
          <w:sz w:val="17"/>
        </w:rPr>
        <w:t>Firenze,</w:t>
      </w:r>
      <w:r>
        <w:rPr>
          <w:rFonts w:ascii="Calibri" w:hAnsi="Calibri"/>
          <w:color w:val="231F20"/>
          <w:spacing w:val="-9"/>
          <w:sz w:val="17"/>
        </w:rPr>
        <w:t> </w:t>
      </w:r>
      <w:r>
        <w:rPr>
          <w:rFonts w:ascii="Calibri" w:hAnsi="Calibri"/>
          <w:color w:val="231F20"/>
          <w:sz w:val="17"/>
        </w:rPr>
        <w:t>La Nuova Italia,</w:t>
      </w:r>
      <w:r>
        <w:rPr>
          <w:rFonts w:ascii="Calibri" w:hAnsi="Calibri"/>
          <w:color w:val="231F20"/>
          <w:spacing w:val="-2"/>
          <w:sz w:val="17"/>
        </w:rPr>
        <w:t> </w:t>
      </w:r>
      <w:r>
        <w:rPr>
          <w:rFonts w:ascii="Calibri" w:hAnsi="Calibri"/>
          <w:color w:val="231F20"/>
          <w:spacing w:val="-4"/>
          <w:sz w:val="17"/>
        </w:rPr>
        <w:t>1997.</w:t>
      </w:r>
    </w:p>
    <w:p>
      <w:pPr>
        <w:spacing w:line="204" w:lineRule="exact" w:before="0"/>
        <w:ind w:left="103" w:right="0" w:firstLine="0"/>
        <w:jc w:val="left"/>
        <w:rPr>
          <w:rFonts w:ascii="Calibri" w:hAnsi="Calibri"/>
          <w:sz w:val="17"/>
        </w:rPr>
      </w:pPr>
      <w:r>
        <w:rPr>
          <w:rFonts w:ascii="Calibri" w:hAnsi="Calibri"/>
          <w:color w:val="231F20"/>
          <w:w w:val="105"/>
          <w:position w:val="6"/>
          <w:sz w:val="10"/>
        </w:rPr>
        <w:t>12</w:t>
      </w:r>
      <w:r>
        <w:rPr>
          <w:rFonts w:ascii="Calibri" w:hAnsi="Calibri"/>
          <w:color w:val="231F20"/>
          <w:spacing w:val="-3"/>
          <w:w w:val="105"/>
          <w:position w:val="6"/>
          <w:sz w:val="10"/>
        </w:rPr>
        <w:t> </w:t>
      </w:r>
      <w:r>
        <w:rPr>
          <w:rFonts w:ascii="Calibri" w:hAnsi="Calibri"/>
          <w:color w:val="231F20"/>
          <w:spacing w:val="-7"/>
          <w:w w:val="105"/>
          <w:sz w:val="17"/>
        </w:rPr>
        <w:t>F.</w:t>
      </w:r>
      <w:r>
        <w:rPr>
          <w:rFonts w:ascii="Calibri" w:hAnsi="Calibri"/>
          <w:color w:val="231F20"/>
          <w:spacing w:val="-20"/>
          <w:w w:val="105"/>
          <w:sz w:val="17"/>
        </w:rPr>
        <w:t> </w:t>
      </w:r>
      <w:r>
        <w:rPr>
          <w:rFonts w:ascii="Calibri" w:hAnsi="Calibri"/>
          <w:color w:val="231F20"/>
          <w:w w:val="105"/>
          <w:sz w:val="17"/>
        </w:rPr>
        <w:t>Borkenau,</w:t>
      </w:r>
      <w:r>
        <w:rPr>
          <w:rFonts w:ascii="Calibri" w:hAnsi="Calibri"/>
          <w:color w:val="231F20"/>
          <w:spacing w:val="-20"/>
          <w:w w:val="105"/>
          <w:sz w:val="17"/>
        </w:rPr>
        <w:t> </w:t>
      </w:r>
      <w:r>
        <w:rPr>
          <w:rFonts w:ascii="Calibri" w:hAnsi="Calibri"/>
          <w:i/>
          <w:color w:val="231F20"/>
          <w:w w:val="105"/>
          <w:sz w:val="17"/>
        </w:rPr>
        <w:t>Pareto</w:t>
      </w:r>
      <w:r>
        <w:rPr>
          <w:rFonts w:ascii="Calibri" w:hAnsi="Calibri"/>
          <w:color w:val="231F20"/>
          <w:w w:val="105"/>
          <w:sz w:val="17"/>
        </w:rPr>
        <w:t>,</w:t>
      </w:r>
      <w:r>
        <w:rPr>
          <w:rFonts w:ascii="Calibri" w:hAnsi="Calibri"/>
          <w:color w:val="231F20"/>
          <w:spacing w:val="-20"/>
          <w:w w:val="105"/>
          <w:sz w:val="17"/>
        </w:rPr>
        <w:t> </w:t>
      </w:r>
      <w:r>
        <w:rPr>
          <w:rFonts w:ascii="Calibri" w:hAnsi="Calibri"/>
          <w:color w:val="231F20"/>
          <w:w w:val="105"/>
          <w:sz w:val="17"/>
        </w:rPr>
        <w:t>New</w:t>
      </w:r>
      <w:r>
        <w:rPr>
          <w:rFonts w:ascii="Calibri" w:hAnsi="Calibri"/>
          <w:color w:val="231F20"/>
          <w:spacing w:val="-22"/>
          <w:w w:val="105"/>
          <w:sz w:val="17"/>
        </w:rPr>
        <w:t> </w:t>
      </w:r>
      <w:r>
        <w:rPr>
          <w:rFonts w:ascii="Calibri" w:hAnsi="Calibri"/>
          <w:color w:val="231F20"/>
          <w:w w:val="105"/>
          <w:sz w:val="17"/>
        </w:rPr>
        <w:t>York,</w:t>
      </w:r>
      <w:r>
        <w:rPr>
          <w:rFonts w:ascii="Calibri" w:hAnsi="Calibri"/>
          <w:color w:val="231F20"/>
          <w:spacing w:val="-20"/>
          <w:w w:val="105"/>
          <w:sz w:val="17"/>
        </w:rPr>
        <w:t> </w:t>
      </w:r>
      <w:r>
        <w:rPr>
          <w:rFonts w:ascii="Calibri" w:hAnsi="Calibri"/>
          <w:color w:val="231F20"/>
          <w:w w:val="105"/>
          <w:sz w:val="17"/>
        </w:rPr>
        <w:t>J.</w:t>
      </w:r>
      <w:r>
        <w:rPr>
          <w:rFonts w:ascii="Calibri" w:hAnsi="Calibri"/>
          <w:color w:val="231F20"/>
          <w:spacing w:val="-22"/>
          <w:w w:val="105"/>
          <w:sz w:val="17"/>
        </w:rPr>
        <w:t> </w:t>
      </w:r>
      <w:r>
        <w:rPr>
          <w:rFonts w:ascii="Calibri" w:hAnsi="Calibri"/>
          <w:color w:val="231F20"/>
          <w:w w:val="105"/>
          <w:sz w:val="17"/>
        </w:rPr>
        <w:t>Wiley</w:t>
      </w:r>
      <w:r>
        <w:rPr>
          <w:rFonts w:ascii="Calibri" w:hAnsi="Calibri"/>
          <w:color w:val="231F20"/>
          <w:spacing w:val="-20"/>
          <w:w w:val="105"/>
          <w:sz w:val="17"/>
        </w:rPr>
        <w:t> </w:t>
      </w:r>
      <w:r>
        <w:rPr>
          <w:rFonts w:ascii="Calibri" w:hAnsi="Calibri"/>
          <w:color w:val="231F20"/>
          <w:w w:val="105"/>
          <w:sz w:val="17"/>
        </w:rPr>
        <w:t>&amp;</w:t>
      </w:r>
      <w:r>
        <w:rPr>
          <w:rFonts w:ascii="Calibri" w:hAnsi="Calibri"/>
          <w:color w:val="231F20"/>
          <w:spacing w:val="-20"/>
          <w:w w:val="105"/>
          <w:sz w:val="17"/>
        </w:rPr>
        <w:t> </w:t>
      </w:r>
      <w:r>
        <w:rPr>
          <w:rFonts w:ascii="Calibri" w:hAnsi="Calibri"/>
          <w:color w:val="231F20"/>
          <w:w w:val="105"/>
          <w:sz w:val="17"/>
        </w:rPr>
        <w:t>Sons.,</w:t>
      </w:r>
      <w:r>
        <w:rPr>
          <w:rFonts w:ascii="Calibri" w:hAnsi="Calibri"/>
          <w:color w:val="231F20"/>
          <w:spacing w:val="-20"/>
          <w:w w:val="105"/>
          <w:sz w:val="17"/>
        </w:rPr>
        <w:t> </w:t>
      </w:r>
      <w:r>
        <w:rPr>
          <w:rFonts w:ascii="Calibri" w:hAnsi="Calibri"/>
          <w:color w:val="231F20"/>
          <w:w w:val="105"/>
          <w:sz w:val="17"/>
        </w:rPr>
        <w:t>1936,</w:t>
      </w:r>
      <w:r>
        <w:rPr>
          <w:rFonts w:ascii="Calibri" w:hAnsi="Calibri"/>
          <w:color w:val="231F20"/>
          <w:spacing w:val="-20"/>
          <w:w w:val="105"/>
          <w:sz w:val="17"/>
        </w:rPr>
        <w:t> </w:t>
      </w:r>
      <w:r>
        <w:rPr>
          <w:rFonts w:ascii="Calibri" w:hAnsi="Calibri"/>
          <w:color w:val="231F20"/>
          <w:w w:val="105"/>
          <w:sz w:val="17"/>
        </w:rPr>
        <w:t>en</w:t>
      </w:r>
      <w:r>
        <w:rPr>
          <w:rFonts w:ascii="Calibri" w:hAnsi="Calibri"/>
          <w:color w:val="231F20"/>
          <w:spacing w:val="-20"/>
          <w:w w:val="105"/>
          <w:sz w:val="17"/>
        </w:rPr>
        <w:t> </w:t>
      </w:r>
      <w:r>
        <w:rPr>
          <w:rFonts w:ascii="Calibri" w:hAnsi="Calibri"/>
          <w:color w:val="231F20"/>
          <w:w w:val="105"/>
          <w:sz w:val="17"/>
        </w:rPr>
        <w:t>el</w:t>
      </w:r>
      <w:r>
        <w:rPr>
          <w:rFonts w:ascii="Calibri" w:hAnsi="Calibri"/>
          <w:color w:val="231F20"/>
          <w:spacing w:val="-20"/>
          <w:w w:val="105"/>
          <w:sz w:val="17"/>
        </w:rPr>
        <w:t> </w:t>
      </w:r>
      <w:r>
        <w:rPr>
          <w:rFonts w:ascii="Calibri" w:hAnsi="Calibri"/>
          <w:color w:val="231F20"/>
          <w:w w:val="105"/>
          <w:sz w:val="17"/>
        </w:rPr>
        <w:t>cual</w:t>
      </w:r>
      <w:r>
        <w:rPr>
          <w:rFonts w:ascii="Calibri" w:hAnsi="Calibri"/>
          <w:color w:val="231F20"/>
          <w:spacing w:val="-20"/>
          <w:w w:val="105"/>
          <w:sz w:val="17"/>
        </w:rPr>
        <w:t> </w:t>
      </w:r>
      <w:r>
        <w:rPr>
          <w:rFonts w:ascii="Calibri" w:hAnsi="Calibri"/>
          <w:color w:val="231F20"/>
          <w:w w:val="105"/>
          <w:sz w:val="17"/>
        </w:rPr>
        <w:t>es</w:t>
      </w:r>
      <w:r>
        <w:rPr>
          <w:rFonts w:ascii="Calibri" w:hAnsi="Calibri"/>
          <w:color w:val="231F20"/>
          <w:spacing w:val="-20"/>
          <w:w w:val="105"/>
          <w:sz w:val="17"/>
        </w:rPr>
        <w:t> </w:t>
      </w:r>
      <w:r>
        <w:rPr>
          <w:rFonts w:ascii="Calibri" w:hAnsi="Calibri"/>
          <w:color w:val="231F20"/>
          <w:w w:val="105"/>
          <w:sz w:val="17"/>
        </w:rPr>
        <w:t>delineada</w:t>
      </w:r>
      <w:r>
        <w:rPr>
          <w:rFonts w:ascii="Calibri" w:hAnsi="Calibri"/>
          <w:color w:val="231F20"/>
          <w:spacing w:val="-20"/>
          <w:w w:val="105"/>
          <w:sz w:val="17"/>
        </w:rPr>
        <w:t> </w:t>
      </w:r>
      <w:r>
        <w:rPr>
          <w:rFonts w:ascii="Calibri" w:hAnsi="Calibri"/>
          <w:color w:val="231F20"/>
          <w:w w:val="105"/>
          <w:sz w:val="17"/>
        </w:rPr>
        <w:t>una</w:t>
      </w:r>
      <w:r>
        <w:rPr>
          <w:rFonts w:ascii="Calibri" w:hAnsi="Calibri"/>
          <w:color w:val="231F20"/>
          <w:spacing w:val="-20"/>
          <w:w w:val="105"/>
          <w:sz w:val="17"/>
        </w:rPr>
        <w:t> </w:t>
      </w:r>
      <w:r>
        <w:rPr>
          <w:rFonts w:ascii="Calibri" w:hAnsi="Calibri"/>
          <w:color w:val="231F20"/>
          <w:w w:val="105"/>
          <w:sz w:val="17"/>
        </w:rPr>
        <w:t>original</w:t>
      </w:r>
      <w:r>
        <w:rPr>
          <w:rFonts w:ascii="Calibri" w:hAnsi="Calibri"/>
          <w:color w:val="231F20"/>
          <w:spacing w:val="-21"/>
          <w:w w:val="105"/>
          <w:sz w:val="17"/>
        </w:rPr>
        <w:t> </w:t>
      </w:r>
      <w:r>
        <w:rPr>
          <w:rFonts w:ascii="Calibri" w:hAnsi="Calibri"/>
          <w:color w:val="231F20"/>
          <w:w w:val="105"/>
          <w:sz w:val="17"/>
        </w:rPr>
        <w:t>y</w:t>
      </w:r>
      <w:r>
        <w:rPr>
          <w:rFonts w:ascii="Calibri" w:hAnsi="Calibri"/>
          <w:color w:val="231F20"/>
          <w:spacing w:val="-20"/>
          <w:w w:val="105"/>
          <w:sz w:val="17"/>
        </w:rPr>
        <w:t> </w:t>
      </w:r>
      <w:r>
        <w:rPr>
          <w:rFonts w:ascii="Calibri" w:hAnsi="Calibri"/>
          <w:color w:val="231F20"/>
          <w:w w:val="105"/>
          <w:sz w:val="17"/>
        </w:rPr>
        <w:t>precoz teoría del</w:t>
      </w:r>
      <w:r>
        <w:rPr>
          <w:rFonts w:ascii="Calibri" w:hAnsi="Calibri"/>
          <w:color w:val="231F20"/>
          <w:spacing w:val="-21"/>
          <w:w w:val="105"/>
          <w:sz w:val="17"/>
        </w:rPr>
        <w:t> </w:t>
      </w:r>
      <w:r>
        <w:rPr>
          <w:rFonts w:ascii="Calibri" w:hAnsi="Calibri"/>
          <w:color w:val="231F20"/>
          <w:w w:val="105"/>
          <w:sz w:val="17"/>
        </w:rPr>
        <w:t>totalitarismo.</w:t>
      </w:r>
    </w:p>
    <w:p>
      <w:pPr>
        <w:spacing w:before="1"/>
        <w:ind w:left="103" w:right="0" w:firstLine="0"/>
        <w:jc w:val="left"/>
        <w:rPr>
          <w:rFonts w:ascii="Calibri" w:hAnsi="Calibri"/>
          <w:sz w:val="17"/>
        </w:rPr>
      </w:pPr>
      <w:r>
        <w:rPr>
          <w:rFonts w:ascii="Calibri" w:hAnsi="Calibri"/>
          <w:color w:val="231F20"/>
          <w:position w:val="6"/>
          <w:sz w:val="10"/>
        </w:rPr>
        <w:t>13 </w:t>
      </w:r>
      <w:r>
        <w:rPr>
          <w:rFonts w:ascii="Calibri" w:hAnsi="Calibri"/>
          <w:color w:val="231F20"/>
          <w:sz w:val="17"/>
        </w:rPr>
        <w:t>Todavía útil la referencia a E. Halévy, </w:t>
      </w:r>
      <w:r>
        <w:rPr>
          <w:rFonts w:ascii="Calibri" w:hAnsi="Calibri"/>
          <w:i/>
          <w:color w:val="231F20"/>
          <w:sz w:val="17"/>
        </w:rPr>
        <w:t>Histoire du socialisme européen</w:t>
      </w:r>
      <w:r>
        <w:rPr>
          <w:rFonts w:ascii="Calibri" w:hAnsi="Calibri"/>
          <w:color w:val="231F20"/>
          <w:sz w:val="17"/>
        </w:rPr>
        <w:t>, Paris, Gallimard, 1948.</w:t>
      </w:r>
    </w:p>
    <w:p>
      <w:pPr>
        <w:pStyle w:val="BodyText"/>
        <w:rPr>
          <w:rFonts w:ascii="Calibri"/>
          <w:sz w:val="20"/>
        </w:rPr>
      </w:pPr>
    </w:p>
    <w:p>
      <w:pPr>
        <w:pStyle w:val="BodyText"/>
        <w:spacing w:before="9"/>
        <w:rPr>
          <w:rFonts w:ascii="Calibri"/>
          <w:sz w:val="27"/>
        </w:rPr>
      </w:pPr>
    </w:p>
    <w:p>
      <w:pPr>
        <w:tabs>
          <w:tab w:pos="1331" w:val="left" w:leader="none"/>
        </w:tabs>
        <w:spacing w:before="68"/>
        <w:ind w:left="281" w:right="0" w:firstLine="0"/>
        <w:jc w:val="left"/>
        <w:rPr>
          <w:rFonts w:ascii="Calibri"/>
          <w:sz w:val="16"/>
        </w:rPr>
      </w:pPr>
      <w:r>
        <w:rPr/>
        <w:pict>
          <v:group style="position:absolute;margin-left:98.787804pt;margin-top:-3.358812pt;width:20.4pt;height:43pt;mso-position-horizontal-relative:page;mso-position-vertical-relative:paragraph;z-index:-170080"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96</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3924" w:right="0" w:firstLine="0"/>
        <w:jc w:val="left"/>
        <w:rPr>
          <w:rFonts w:ascii="Arial" w:hAnsi="Arial"/>
          <w:sz w:val="20"/>
        </w:rPr>
      </w:pPr>
      <w:r>
        <w:rPr/>
        <w:pict>
          <v:group style="position:absolute;margin-left:383.821014pt;margin-top:-25.479271pt;width:8.65pt;height:41pt;mso-position-horizontal-relative:page;mso-position-vertical-relative:paragraph;z-index:-17005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3"/>
          <w:sz w:val="14"/>
        </w:rPr>
        <w:t> </w:t>
      </w:r>
      <w:r>
        <w:rPr>
          <w:rFonts w:ascii="Lucida Sans Unicode" w:hAnsi="Lucida Sans Unicode"/>
          <w:color w:val="6D6E71"/>
          <w:sz w:val="14"/>
        </w:rPr>
        <w:t>ESTADO</w:t>
      </w:r>
      <w:r>
        <w:rPr>
          <w:rFonts w:ascii="Lucida Sans Unicode" w:hAnsi="Lucida Sans Unicode"/>
          <w:color w:val="6D6E71"/>
          <w:spacing w:val="-23"/>
          <w:sz w:val="14"/>
        </w:rPr>
        <w:t> </w:t>
      </w:r>
      <w:r>
        <w:rPr>
          <w:rFonts w:ascii="Lucida Sans Unicode" w:hAnsi="Lucida Sans Unicode"/>
          <w:color w:val="6D6E71"/>
          <w:sz w:val="14"/>
        </w:rPr>
        <w:t>MODERNO</w:t>
      </w:r>
      <w:r>
        <w:rPr>
          <w:rFonts w:ascii="Lucida Sans Unicode" w:hAnsi="Lucida Sans Unicode"/>
          <w:color w:val="6D6E71"/>
          <w:spacing w:val="-23"/>
          <w:sz w:val="14"/>
        </w:rPr>
        <w:t> </w:t>
      </w:r>
      <w:r>
        <w:rPr>
          <w:rFonts w:ascii="Lucida Sans Unicode" w:hAnsi="Lucida Sans Unicode"/>
          <w:color w:val="6D6E71"/>
          <w:sz w:val="14"/>
        </w:rPr>
        <w:t>HOY</w:t>
      </w:r>
      <w:r>
        <w:rPr>
          <w:rFonts w:ascii="Lucida Sans Unicode" w:hAnsi="Lucida Sans Unicode"/>
          <w:color w:val="6D6E71"/>
          <w:spacing w:val="-23"/>
          <w:sz w:val="14"/>
        </w:rPr>
        <w:t> </w:t>
      </w:r>
      <w:r>
        <w:rPr>
          <w:rFonts w:ascii="Lucida Sans Unicode" w:hAnsi="Lucida Sans Unicode"/>
          <w:color w:val="6D6E71"/>
          <w:sz w:val="14"/>
        </w:rPr>
        <w:t>Y</w:t>
      </w:r>
      <w:r>
        <w:rPr>
          <w:rFonts w:ascii="Lucida Sans Unicode" w:hAnsi="Lucida Sans Unicode"/>
          <w:color w:val="6D6E71"/>
          <w:spacing w:val="-23"/>
          <w:sz w:val="14"/>
        </w:rPr>
        <w:t> </w:t>
      </w:r>
      <w:r>
        <w:rPr>
          <w:rFonts w:ascii="Lucida Sans Unicode" w:hAnsi="Lucida Sans Unicode"/>
          <w:color w:val="6D6E71"/>
          <w:sz w:val="14"/>
        </w:rPr>
        <w:t>MAÑANA</w:t>
      </w:r>
      <w:r>
        <w:rPr>
          <w:rFonts w:ascii="Arial" w:hAnsi="Arial"/>
          <w:color w:val="414042"/>
          <w:position w:val="-3"/>
          <w:sz w:val="20"/>
        </w:rPr>
        <w:tab/>
        <w:t>97</w:t>
      </w:r>
    </w:p>
    <w:p>
      <w:pPr>
        <w:pStyle w:val="BodyText"/>
        <w:spacing w:line="244" w:lineRule="auto" w:before="623"/>
        <w:ind w:left="117" w:right="101"/>
        <w:jc w:val="right"/>
      </w:pPr>
      <w:r>
        <w:rPr>
          <w:color w:val="231F20"/>
        </w:rPr>
        <w:t>turaleza —como parece ser experimentalmente comprobado—</w:t>
      </w:r>
      <w:r>
        <w:rPr>
          <w:color w:val="231F20"/>
          <w:spacing w:val="39"/>
        </w:rPr>
        <w:t> </w:t>
      </w:r>
      <w:r>
        <w:rPr>
          <w:color w:val="231F20"/>
        </w:rPr>
        <w:t>sino</w:t>
      </w:r>
      <w:r>
        <w:rPr>
          <w:color w:val="231F20"/>
          <w:spacing w:val="28"/>
        </w:rPr>
        <w:t> </w:t>
      </w:r>
      <w:r>
        <w:rPr>
          <w:color w:val="231F20"/>
        </w:rPr>
        <w:t>tam-</w:t>
      </w:r>
      <w:r>
        <w:rPr>
          <w:color w:val="231F20"/>
          <w:w w:val="91"/>
        </w:rPr>
        <w:t> </w:t>
      </w:r>
      <w:r>
        <w:rPr>
          <w:color w:val="231F20"/>
        </w:rPr>
        <w:t>bién</w:t>
      </w:r>
      <w:r>
        <w:rPr>
          <w:color w:val="231F20"/>
          <w:spacing w:val="-6"/>
        </w:rPr>
        <w:t> </w:t>
      </w:r>
      <w:r>
        <w:rPr>
          <w:color w:val="231F20"/>
        </w:rPr>
        <w:t>en</w:t>
      </w:r>
      <w:r>
        <w:rPr>
          <w:color w:val="231F20"/>
          <w:spacing w:val="-6"/>
        </w:rPr>
        <w:t> </w:t>
      </w:r>
      <w:r>
        <w:rPr>
          <w:color w:val="231F20"/>
        </w:rPr>
        <w:t>lo</w:t>
      </w:r>
      <w:r>
        <w:rPr>
          <w:color w:val="231F20"/>
          <w:spacing w:val="-6"/>
        </w:rPr>
        <w:t> </w:t>
      </w:r>
      <w:r>
        <w:rPr>
          <w:color w:val="231F20"/>
        </w:rPr>
        <w:t>social</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lo</w:t>
      </w:r>
      <w:r>
        <w:rPr>
          <w:color w:val="231F20"/>
          <w:spacing w:val="-6"/>
        </w:rPr>
        <w:t> </w:t>
      </w:r>
      <w:r>
        <w:rPr>
          <w:color w:val="231F20"/>
        </w:rPr>
        <w:t>político,</w:t>
      </w:r>
      <w:r>
        <w:rPr>
          <w:color w:val="231F20"/>
          <w:spacing w:val="-6"/>
        </w:rPr>
        <w:t> </w:t>
      </w:r>
      <w:r>
        <w:rPr>
          <w:color w:val="231F20"/>
        </w:rPr>
        <w:t>porque</w:t>
      </w:r>
      <w:r>
        <w:rPr>
          <w:color w:val="231F20"/>
          <w:spacing w:val="-6"/>
        </w:rPr>
        <w:t> </w:t>
      </w:r>
      <w:r>
        <w:rPr>
          <w:color w:val="231F20"/>
        </w:rPr>
        <w:t>a</w:t>
      </w:r>
      <w:r>
        <w:rPr>
          <w:color w:val="231F20"/>
          <w:spacing w:val="-6"/>
        </w:rPr>
        <w:t> </w:t>
      </w:r>
      <w:r>
        <w:rPr>
          <w:color w:val="231F20"/>
        </w:rPr>
        <w:t>fin</w:t>
      </w:r>
      <w:r>
        <w:rPr>
          <w:color w:val="231F20"/>
          <w:spacing w:val="-6"/>
        </w:rPr>
        <w:t> </w:t>
      </w:r>
      <w:r>
        <w:rPr>
          <w:color w:val="231F20"/>
        </w:rPr>
        <w:t>de</w:t>
      </w:r>
      <w:r>
        <w:rPr>
          <w:color w:val="231F20"/>
          <w:spacing w:val="-6"/>
        </w:rPr>
        <w:t> </w:t>
      </w:r>
      <w:r>
        <w:rPr>
          <w:color w:val="231F20"/>
        </w:rPr>
        <w:t>cuentas,</w:t>
      </w:r>
      <w:r>
        <w:rPr>
          <w:color w:val="231F20"/>
          <w:spacing w:val="-6"/>
        </w:rPr>
        <w:t> </w:t>
      </w:r>
      <w:r>
        <w:rPr>
          <w:color w:val="231F20"/>
        </w:rPr>
        <w:t>para</w:t>
      </w:r>
      <w:r>
        <w:rPr>
          <w:color w:val="231F20"/>
          <w:spacing w:val="-6"/>
        </w:rPr>
        <w:t> </w:t>
      </w:r>
      <w:r>
        <w:rPr>
          <w:color w:val="231F20"/>
        </w:rPr>
        <w:t>usar</w:t>
      </w:r>
      <w:r>
        <w:rPr>
          <w:color w:val="231F20"/>
          <w:spacing w:val="-6"/>
        </w:rPr>
        <w:t> </w:t>
      </w:r>
      <w:r>
        <w:rPr>
          <w:color w:val="231F20"/>
        </w:rPr>
        <w:t>el</w:t>
      </w:r>
      <w:r>
        <w:rPr>
          <w:color w:val="231F20"/>
          <w:spacing w:val="-6"/>
        </w:rPr>
        <w:t> </w:t>
      </w:r>
      <w:r>
        <w:rPr>
          <w:color w:val="231F20"/>
        </w:rPr>
        <w:t>título</w:t>
      </w:r>
      <w:r>
        <w:rPr>
          <w:color w:val="231F20"/>
          <w:w w:val="103"/>
        </w:rPr>
        <w:t> </w:t>
      </w:r>
      <w:r>
        <w:rPr>
          <w:color w:val="231F20"/>
        </w:rPr>
        <w:t>del libro que hasta ahora ha afrontado mejor el tema del </w:t>
      </w:r>
      <w:r>
        <w:rPr>
          <w:rFonts w:ascii="Arial" w:hAnsi="Arial"/>
          <w:i/>
          <w:color w:val="231F20"/>
        </w:rPr>
        <w:t>modernism</w:t>
      </w:r>
      <w:r>
        <w:rPr>
          <w:rFonts w:ascii="Arial" w:hAnsi="Arial"/>
          <w:i/>
          <w:color w:val="231F20"/>
          <w:spacing w:val="24"/>
        </w:rPr>
        <w:t> </w:t>
      </w:r>
      <w:r>
        <w:rPr>
          <w:color w:val="231F20"/>
        </w:rPr>
        <w:t>y</w:t>
      </w:r>
      <w:r>
        <w:rPr>
          <w:color w:val="231F20"/>
          <w:spacing w:val="11"/>
        </w:rPr>
        <w:t> </w:t>
      </w:r>
      <w:r>
        <w:rPr>
          <w:color w:val="231F20"/>
        </w:rPr>
        <w:t>lo</w:t>
      </w:r>
      <w:r>
        <w:rPr>
          <w:color w:val="231F20"/>
          <w:w w:val="108"/>
        </w:rPr>
        <w:t> </w:t>
      </w:r>
      <w:r>
        <w:rPr>
          <w:color w:val="231F20"/>
        </w:rPr>
        <w:t>ha hecho desde un punto de vista marxista, </w:t>
      </w:r>
      <w:r>
        <w:rPr>
          <w:rFonts w:ascii="Arial" w:hAnsi="Arial"/>
          <w:i/>
          <w:color w:val="231F20"/>
        </w:rPr>
        <w:t>All that is solid melts</w:t>
      </w:r>
      <w:r>
        <w:rPr>
          <w:rFonts w:ascii="Arial" w:hAnsi="Arial"/>
          <w:i/>
          <w:color w:val="231F20"/>
          <w:spacing w:val="-23"/>
        </w:rPr>
        <w:t> </w:t>
      </w:r>
      <w:r>
        <w:rPr>
          <w:rFonts w:ascii="Arial" w:hAnsi="Arial"/>
          <w:i/>
          <w:color w:val="231F20"/>
        </w:rPr>
        <w:t>into</w:t>
      </w:r>
      <w:r>
        <w:rPr>
          <w:rFonts w:ascii="Arial" w:hAnsi="Arial"/>
          <w:i/>
          <w:color w:val="231F20"/>
          <w:spacing w:val="2"/>
        </w:rPr>
        <w:t> </w:t>
      </w:r>
      <w:r>
        <w:rPr>
          <w:rFonts w:ascii="Arial" w:hAnsi="Arial"/>
          <w:i/>
          <w:color w:val="231F20"/>
        </w:rPr>
        <w:t>air</w:t>
      </w:r>
      <w:r>
        <w:rPr>
          <w:color w:val="231F20"/>
          <w:position w:val="7"/>
          <w:sz w:val="12"/>
        </w:rPr>
        <w:t>14</w:t>
      </w:r>
      <w:r>
        <w:rPr>
          <w:color w:val="231F20"/>
        </w:rPr>
        <w:t>.</w:t>
      </w:r>
      <w:r>
        <w:rPr>
          <w:color w:val="231F20"/>
          <w:w w:val="85"/>
        </w:rPr>
        <w:t> </w:t>
      </w:r>
      <w:r>
        <w:rPr>
          <w:color w:val="231F20"/>
        </w:rPr>
        <w:t>Ciertamente esta evaporación consideró también al Estado,</w:t>
      </w:r>
      <w:r>
        <w:rPr>
          <w:color w:val="231F20"/>
          <w:spacing w:val="43"/>
        </w:rPr>
        <w:t> </w:t>
      </w:r>
      <w:r>
        <w:rPr>
          <w:color w:val="231F20"/>
        </w:rPr>
        <w:t>en</w:t>
      </w:r>
      <w:r>
        <w:rPr>
          <w:color w:val="231F20"/>
          <w:spacing w:val="34"/>
        </w:rPr>
        <w:t> </w:t>
      </w:r>
      <w:r>
        <w:rPr>
          <w:color w:val="231F20"/>
        </w:rPr>
        <w:t>su</w:t>
      </w:r>
      <w:r>
        <w:rPr>
          <w:color w:val="231F20"/>
          <w:w w:val="97"/>
        </w:rPr>
        <w:t> </w:t>
      </w:r>
      <w:r>
        <w:rPr>
          <w:color w:val="231F20"/>
        </w:rPr>
        <w:t>acepción de “moderno”. Y en efecto los más honestos</w:t>
      </w:r>
      <w:r>
        <w:rPr>
          <w:color w:val="231F20"/>
          <w:spacing w:val="38"/>
        </w:rPr>
        <w:t> </w:t>
      </w:r>
      <w:r>
        <w:rPr>
          <w:color w:val="231F20"/>
        </w:rPr>
        <w:t>comenzaron</w:t>
      </w:r>
      <w:r>
        <w:rPr>
          <w:color w:val="231F20"/>
          <w:spacing w:val="4"/>
        </w:rPr>
        <w:t> </w:t>
      </w:r>
      <w:r>
        <w:rPr>
          <w:color w:val="231F20"/>
        </w:rPr>
        <w:t>enton-</w:t>
      </w:r>
      <w:r>
        <w:rPr>
          <w:color w:val="231F20"/>
          <w:w w:val="91"/>
        </w:rPr>
        <w:t> </w:t>
      </w:r>
      <w:r>
        <w:rPr>
          <w:color w:val="231F20"/>
        </w:rPr>
        <w:t>ces a hablar de “crisis del Estado”, así como a proponer remedios:</w:t>
      </w:r>
      <w:r>
        <w:rPr>
          <w:color w:val="231F20"/>
          <w:spacing w:val="20"/>
        </w:rPr>
        <w:t> </w:t>
      </w:r>
      <w:r>
        <w:rPr>
          <w:color w:val="231F20"/>
        </w:rPr>
        <w:t>dos</w:t>
      </w:r>
      <w:r>
        <w:rPr>
          <w:color w:val="231F20"/>
          <w:spacing w:val="1"/>
        </w:rPr>
        <w:t> </w:t>
      </w:r>
      <w:r>
        <w:rPr>
          <w:color w:val="231F20"/>
        </w:rPr>
        <w:t>ca-</w:t>
      </w:r>
      <w:r>
        <w:rPr>
          <w:color w:val="231F20"/>
          <w:w w:val="91"/>
        </w:rPr>
        <w:t> </w:t>
      </w:r>
      <w:r>
        <w:rPr>
          <w:color w:val="231F20"/>
        </w:rPr>
        <w:t>sos</w:t>
      </w:r>
      <w:r>
        <w:rPr>
          <w:color w:val="231F20"/>
          <w:spacing w:val="-14"/>
        </w:rPr>
        <w:t> </w:t>
      </w:r>
      <w:r>
        <w:rPr>
          <w:color w:val="231F20"/>
        </w:rPr>
        <w:t>ejemplares</w:t>
      </w:r>
      <w:r>
        <w:rPr>
          <w:color w:val="231F20"/>
          <w:spacing w:val="-14"/>
        </w:rPr>
        <w:t> </w:t>
      </w:r>
      <w:r>
        <w:rPr>
          <w:color w:val="231F20"/>
        </w:rPr>
        <w:t>son</w:t>
      </w:r>
      <w:r>
        <w:rPr>
          <w:color w:val="231F20"/>
          <w:spacing w:val="-14"/>
        </w:rPr>
        <w:t> </w:t>
      </w:r>
      <w:r>
        <w:rPr>
          <w:color w:val="231F20"/>
        </w:rPr>
        <w:t>Santi</w:t>
      </w:r>
      <w:r>
        <w:rPr>
          <w:color w:val="231F20"/>
          <w:spacing w:val="-14"/>
        </w:rPr>
        <w:t> </w:t>
      </w:r>
      <w:r>
        <w:rPr>
          <w:color w:val="231F20"/>
        </w:rPr>
        <w:t>Romano</w:t>
      </w:r>
      <w:r>
        <w:rPr>
          <w:color w:val="231F20"/>
          <w:spacing w:val="-14"/>
        </w:rPr>
        <w:t> </w:t>
      </w:r>
      <w:r>
        <w:rPr>
          <w:color w:val="231F20"/>
        </w:rPr>
        <w:t>en</w:t>
      </w:r>
      <w:r>
        <w:rPr>
          <w:color w:val="231F20"/>
          <w:spacing w:val="-14"/>
        </w:rPr>
        <w:t> </w:t>
      </w:r>
      <w:r>
        <w:rPr>
          <w:color w:val="231F20"/>
        </w:rPr>
        <w:t>Italia</w:t>
      </w:r>
      <w:r>
        <w:rPr>
          <w:color w:val="231F20"/>
          <w:spacing w:val="-14"/>
        </w:rPr>
        <w:t> </w:t>
      </w:r>
      <w:r>
        <w:rPr>
          <w:color w:val="231F20"/>
        </w:rPr>
        <w:t>e</w:t>
      </w:r>
      <w:r>
        <w:rPr>
          <w:color w:val="231F20"/>
          <w:spacing w:val="-14"/>
        </w:rPr>
        <w:t> </w:t>
      </w:r>
      <w:r>
        <w:rPr>
          <w:color w:val="231F20"/>
        </w:rPr>
        <w:t>Carl</w:t>
      </w:r>
      <w:r>
        <w:rPr>
          <w:color w:val="231F20"/>
          <w:spacing w:val="-14"/>
        </w:rPr>
        <w:t> </w:t>
      </w:r>
      <w:r>
        <w:rPr>
          <w:color w:val="231F20"/>
        </w:rPr>
        <w:t>Schmitt</w:t>
      </w:r>
      <w:r>
        <w:rPr>
          <w:color w:val="231F20"/>
          <w:spacing w:val="-14"/>
        </w:rPr>
        <w:t> </w:t>
      </w:r>
      <w:r>
        <w:rPr>
          <w:color w:val="231F20"/>
        </w:rPr>
        <w:t>en</w:t>
      </w:r>
      <w:r>
        <w:rPr>
          <w:color w:val="231F20"/>
          <w:spacing w:val="-14"/>
        </w:rPr>
        <w:t> </w:t>
      </w:r>
      <w:r>
        <w:rPr>
          <w:color w:val="231F20"/>
        </w:rPr>
        <w:t>el</w:t>
      </w:r>
      <w:r>
        <w:rPr>
          <w:color w:val="231F20"/>
          <w:spacing w:val="-14"/>
        </w:rPr>
        <w:t> </w:t>
      </w:r>
      <w:r>
        <w:rPr>
          <w:rFonts w:ascii="Arial" w:hAnsi="Arial"/>
          <w:i/>
          <w:color w:val="231F20"/>
        </w:rPr>
        <w:t>Reich</w:t>
      </w:r>
      <w:r>
        <w:rPr>
          <w:color w:val="231F20"/>
        </w:rPr>
        <w:t>,</w:t>
      </w:r>
      <w:r>
        <w:rPr>
          <w:color w:val="231F20"/>
          <w:spacing w:val="-14"/>
        </w:rPr>
        <w:t> </w:t>
      </w:r>
      <w:r>
        <w:rPr>
          <w:color w:val="231F20"/>
        </w:rPr>
        <w:t>a</w:t>
      </w:r>
      <w:r>
        <w:rPr>
          <w:color w:val="231F20"/>
          <w:spacing w:val="-14"/>
        </w:rPr>
        <w:t> </w:t>
      </w:r>
      <w:r>
        <w:rPr>
          <w:color w:val="231F20"/>
        </w:rPr>
        <w:t>am-</w:t>
      </w:r>
      <w:r>
        <w:rPr>
          <w:color w:val="231F20"/>
          <w:w w:val="91"/>
        </w:rPr>
        <w:t> </w:t>
      </w:r>
      <w:r>
        <w:rPr>
          <w:color w:val="231F20"/>
        </w:rPr>
        <w:t>bos ciertamente no les eran indiferentes las próximas</w:t>
      </w:r>
      <w:r>
        <w:rPr>
          <w:color w:val="231F20"/>
          <w:spacing w:val="17"/>
        </w:rPr>
        <w:t> </w:t>
      </w:r>
      <w:r>
        <w:rPr>
          <w:color w:val="231F20"/>
        </w:rPr>
        <w:t>soluciones</w:t>
      </w:r>
      <w:r>
        <w:rPr>
          <w:color w:val="231F20"/>
          <w:spacing w:val="10"/>
        </w:rPr>
        <w:t> </w:t>
      </w:r>
      <w:r>
        <w:rPr>
          <w:color w:val="231F20"/>
        </w:rPr>
        <w:t>fascistas</w:t>
      </w:r>
      <w:r>
        <w:rPr>
          <w:color w:val="231F20"/>
          <w:w w:val="98"/>
        </w:rPr>
        <w:t> </w:t>
      </w:r>
      <w:r>
        <w:rPr>
          <w:color w:val="231F20"/>
        </w:rPr>
        <w:t>y totalitarias. No hablo de la Rusia soviética, pero recuerdo que uno</w:t>
      </w:r>
      <w:r>
        <w:rPr>
          <w:color w:val="231F20"/>
          <w:spacing w:val="9"/>
        </w:rPr>
        <w:t> </w:t>
      </w:r>
      <w:r>
        <w:rPr>
          <w:color w:val="231F20"/>
        </w:rPr>
        <w:t>de los</w:t>
      </w:r>
      <w:r>
        <w:rPr>
          <w:color w:val="231F20"/>
          <w:w w:val="103"/>
        </w:rPr>
        <w:t> </w:t>
      </w:r>
      <w:r>
        <w:rPr>
          <w:color w:val="231F20"/>
        </w:rPr>
        <w:t>fragmentos importantes de la literatura distópica fue la</w:t>
      </w:r>
      <w:r>
        <w:rPr>
          <w:color w:val="231F20"/>
          <w:spacing w:val="33"/>
        </w:rPr>
        <w:t> </w:t>
      </w:r>
      <w:r>
        <w:rPr>
          <w:color w:val="231F20"/>
        </w:rPr>
        <w:t>novela</w:t>
      </w:r>
      <w:r>
        <w:rPr>
          <w:color w:val="231F20"/>
          <w:spacing w:val="20"/>
        </w:rPr>
        <w:t> </w:t>
      </w:r>
      <w:r>
        <w:rPr>
          <w:rFonts w:ascii="Arial" w:hAnsi="Arial"/>
          <w:i/>
          <w:color w:val="231F20"/>
        </w:rPr>
        <w:t>Nosotros</w:t>
      </w:r>
      <w:r>
        <w:rPr>
          <w:rFonts w:ascii="Calibri" w:hAnsi="Calibri"/>
          <w:i/>
          <w:color w:val="231F20"/>
        </w:rPr>
        <w:t>,</w:t>
      </w:r>
      <w:r>
        <w:rPr>
          <w:rFonts w:ascii="Calibri" w:hAnsi="Calibri"/>
          <w:i/>
          <w:color w:val="231F20"/>
          <w:w w:val="111"/>
        </w:rPr>
        <w:t> </w:t>
      </w:r>
      <w:r>
        <w:rPr>
          <w:color w:val="231F20"/>
        </w:rPr>
        <w:t>publicada en inglés (</w:t>
      </w:r>
      <w:r>
        <w:rPr>
          <w:rFonts w:ascii="Arial" w:hAnsi="Arial"/>
          <w:i/>
          <w:color w:val="231F20"/>
        </w:rPr>
        <w:t>We</w:t>
      </w:r>
      <w:r>
        <w:rPr>
          <w:color w:val="231F20"/>
        </w:rPr>
        <w:t>) en 1921 por Evgenij Zamjatin, el</w:t>
      </w:r>
      <w:r>
        <w:rPr>
          <w:color w:val="231F20"/>
          <w:spacing w:val="46"/>
        </w:rPr>
        <w:t> </w:t>
      </w:r>
      <w:r>
        <w:rPr>
          <w:color w:val="231F20"/>
        </w:rPr>
        <w:t>ingeniero</w:t>
      </w:r>
      <w:r>
        <w:rPr>
          <w:color w:val="231F20"/>
          <w:spacing w:val="11"/>
        </w:rPr>
        <w:t> </w:t>
      </w:r>
      <w:r>
        <w:rPr>
          <w:color w:val="231F20"/>
        </w:rPr>
        <w:t>ruso</w:t>
      </w:r>
      <w:r>
        <w:rPr>
          <w:color w:val="231F20"/>
          <w:w w:val="100"/>
        </w:rPr>
        <w:t> </w:t>
      </w:r>
      <w:r>
        <w:rPr>
          <w:color w:val="231F20"/>
        </w:rPr>
        <w:t>que en los primeros años de la Revolución experimentaba</w:t>
      </w:r>
      <w:r>
        <w:rPr>
          <w:color w:val="231F20"/>
          <w:spacing w:val="55"/>
        </w:rPr>
        <w:t> </w:t>
      </w:r>
      <w:r>
        <w:rPr>
          <w:color w:val="231F20"/>
        </w:rPr>
        <w:t>en</w:t>
      </w:r>
      <w:r>
        <w:rPr>
          <w:color w:val="231F20"/>
          <w:spacing w:val="13"/>
        </w:rPr>
        <w:t> </w:t>
      </w:r>
      <w:r>
        <w:rPr>
          <w:color w:val="231F20"/>
        </w:rPr>
        <w:t>Portsmouth</w:t>
      </w:r>
      <w:r>
        <w:rPr>
          <w:color w:val="231F20"/>
          <w:w w:val="99"/>
        </w:rPr>
        <w:t> </w:t>
      </w:r>
      <w:r>
        <w:rPr>
          <w:color w:val="231F20"/>
        </w:rPr>
        <w:t>con</w:t>
      </w:r>
      <w:r>
        <w:rPr>
          <w:color w:val="231F20"/>
          <w:spacing w:val="27"/>
        </w:rPr>
        <w:t> </w:t>
      </w:r>
      <w:r>
        <w:rPr>
          <w:color w:val="231F20"/>
        </w:rPr>
        <w:t>los</w:t>
      </w:r>
      <w:r>
        <w:rPr>
          <w:color w:val="231F20"/>
          <w:spacing w:val="27"/>
        </w:rPr>
        <w:t> </w:t>
      </w:r>
      <w:r>
        <w:rPr>
          <w:color w:val="231F20"/>
        </w:rPr>
        <w:t>barcos</w:t>
      </w:r>
      <w:r>
        <w:rPr>
          <w:color w:val="231F20"/>
          <w:spacing w:val="27"/>
        </w:rPr>
        <w:t> </w:t>
      </w:r>
      <w:r>
        <w:rPr>
          <w:color w:val="231F20"/>
        </w:rPr>
        <w:t>de</w:t>
      </w:r>
      <w:r>
        <w:rPr>
          <w:color w:val="231F20"/>
          <w:spacing w:val="27"/>
        </w:rPr>
        <w:t> </w:t>
      </w:r>
      <w:r>
        <w:rPr>
          <w:color w:val="231F20"/>
        </w:rPr>
        <w:t>guerra</w:t>
      </w:r>
      <w:r>
        <w:rPr>
          <w:color w:val="231F20"/>
          <w:spacing w:val="27"/>
        </w:rPr>
        <w:t> </w:t>
      </w:r>
      <w:r>
        <w:rPr>
          <w:color w:val="231F20"/>
        </w:rPr>
        <w:t>soviéticos.</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mismo</w:t>
      </w:r>
      <w:r>
        <w:rPr>
          <w:color w:val="231F20"/>
          <w:spacing w:val="27"/>
        </w:rPr>
        <w:t> </w:t>
      </w:r>
      <w:r>
        <w:rPr>
          <w:color w:val="231F20"/>
        </w:rPr>
        <w:t>año</w:t>
      </w:r>
      <w:r>
        <w:rPr>
          <w:color w:val="231F20"/>
          <w:spacing w:val="27"/>
        </w:rPr>
        <w:t> </w:t>
      </w:r>
      <w:r>
        <w:rPr>
          <w:color w:val="231F20"/>
        </w:rPr>
        <w:t>1921,</w:t>
      </w:r>
      <w:r>
        <w:rPr>
          <w:color w:val="231F20"/>
          <w:spacing w:val="27"/>
        </w:rPr>
        <w:t> </w:t>
      </w:r>
      <w:r>
        <w:rPr>
          <w:color w:val="231F20"/>
        </w:rPr>
        <w:t>en</w:t>
      </w:r>
      <w:r>
        <w:rPr>
          <w:color w:val="231F20"/>
          <w:spacing w:val="27"/>
        </w:rPr>
        <w:t> </w:t>
      </w:r>
      <w:r>
        <w:rPr>
          <w:rFonts w:ascii="Arial" w:hAnsi="Arial"/>
          <w:i/>
          <w:color w:val="231F20"/>
          <w:spacing w:val="-4"/>
        </w:rPr>
        <w:t>L’ordine</w:t>
      </w:r>
      <w:r>
        <w:rPr>
          <w:rFonts w:ascii="Arial" w:hAnsi="Arial"/>
          <w:i/>
          <w:color w:val="231F20"/>
          <w:w w:val="101"/>
        </w:rPr>
        <w:t> </w:t>
      </w:r>
      <w:r>
        <w:rPr>
          <w:rFonts w:ascii="Arial" w:hAnsi="Arial"/>
          <w:i/>
          <w:color w:val="231F20"/>
        </w:rPr>
        <w:t>nuovo</w:t>
      </w:r>
      <w:r>
        <w:rPr>
          <w:color w:val="231F20"/>
        </w:rPr>
        <w:t>, Gramsci invitaba a los camaradas a “no tener miedo de</w:t>
      </w:r>
      <w:r>
        <w:rPr>
          <w:color w:val="231F20"/>
          <w:spacing w:val="41"/>
        </w:rPr>
        <w:t> </w:t>
      </w:r>
      <w:r>
        <w:rPr>
          <w:color w:val="231F20"/>
        </w:rPr>
        <w:t>los</w:t>
      </w:r>
      <w:r>
        <w:rPr>
          <w:color w:val="231F20"/>
          <w:spacing w:val="9"/>
        </w:rPr>
        <w:t> </w:t>
      </w:r>
      <w:r>
        <w:rPr>
          <w:color w:val="231F20"/>
        </w:rPr>
        <w:t>mons-</w:t>
      </w:r>
      <w:r>
        <w:rPr>
          <w:color w:val="231F20"/>
          <w:w w:val="91"/>
        </w:rPr>
        <w:t> </w:t>
      </w:r>
      <w:r>
        <w:rPr>
          <w:color w:val="231F20"/>
        </w:rPr>
        <w:t>truos”,</w:t>
      </w:r>
      <w:r>
        <w:rPr>
          <w:color w:val="231F20"/>
          <w:spacing w:val="-16"/>
        </w:rPr>
        <w:t> </w:t>
      </w:r>
      <w:r>
        <w:rPr>
          <w:color w:val="231F20"/>
        </w:rPr>
        <w:t>utilizando</w:t>
      </w:r>
      <w:r>
        <w:rPr>
          <w:color w:val="231F20"/>
          <w:spacing w:val="-16"/>
        </w:rPr>
        <w:t> </w:t>
      </w:r>
      <w:r>
        <w:rPr>
          <w:color w:val="231F20"/>
        </w:rPr>
        <w:t>tal</w:t>
      </w:r>
      <w:r>
        <w:rPr>
          <w:color w:val="231F20"/>
          <w:spacing w:val="-16"/>
        </w:rPr>
        <w:t> </w:t>
      </w:r>
      <w:r>
        <w:rPr>
          <w:color w:val="231F20"/>
        </w:rPr>
        <w:t>vez</w:t>
      </w:r>
      <w:r>
        <w:rPr>
          <w:color w:val="231F20"/>
          <w:spacing w:val="-16"/>
        </w:rPr>
        <w:t> </w:t>
      </w:r>
      <w:r>
        <w:rPr>
          <w:color w:val="231F20"/>
        </w:rPr>
        <w:t>también</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futuristas</w:t>
      </w:r>
      <w:r>
        <w:rPr>
          <w:color w:val="231F20"/>
          <w:spacing w:val="-16"/>
        </w:rPr>
        <w:t> </w:t>
      </w:r>
      <w:r>
        <w:rPr>
          <w:color w:val="231F20"/>
        </w:rPr>
        <w:t>(Marinetti</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cabeza)</w:t>
      </w:r>
      <w:r>
        <w:rPr>
          <w:color w:val="231F20"/>
          <w:spacing w:val="-16"/>
        </w:rPr>
        <w:t> </w:t>
      </w:r>
      <w:r>
        <w:rPr>
          <w:color w:val="231F20"/>
        </w:rPr>
        <w:t>para</w:t>
      </w:r>
      <w:r>
        <w:rPr>
          <w:color w:val="231F20"/>
          <w:w w:val="100"/>
        </w:rPr>
        <w:t> </w:t>
      </w:r>
      <w:r>
        <w:rPr>
          <w:color w:val="231F20"/>
        </w:rPr>
        <w:t>construir</w:t>
      </w:r>
      <w:r>
        <w:rPr>
          <w:color w:val="231F20"/>
          <w:spacing w:val="-7"/>
        </w:rPr>
        <w:t> </w:t>
      </w:r>
      <w:r>
        <w:rPr>
          <w:color w:val="231F20"/>
        </w:rPr>
        <w:t>una</w:t>
      </w:r>
      <w:r>
        <w:rPr>
          <w:color w:val="231F20"/>
          <w:spacing w:val="-7"/>
        </w:rPr>
        <w:t> </w:t>
      </w:r>
      <w:r>
        <w:rPr>
          <w:color w:val="231F20"/>
        </w:rPr>
        <w:t>“cultura</w:t>
      </w:r>
      <w:r>
        <w:rPr>
          <w:color w:val="231F20"/>
          <w:spacing w:val="-7"/>
        </w:rPr>
        <w:t> </w:t>
      </w:r>
      <w:r>
        <w:rPr>
          <w:color w:val="231F20"/>
        </w:rPr>
        <w:t>(una</w:t>
      </w:r>
      <w:r>
        <w:rPr>
          <w:color w:val="231F20"/>
          <w:spacing w:val="-7"/>
        </w:rPr>
        <w:t> </w:t>
      </w:r>
      <w:r>
        <w:rPr>
          <w:color w:val="231F20"/>
        </w:rPr>
        <w:t>civilización)</w:t>
      </w:r>
      <w:r>
        <w:rPr>
          <w:color w:val="231F20"/>
          <w:spacing w:val="-7"/>
        </w:rPr>
        <w:t> </w:t>
      </w:r>
      <w:r>
        <w:rPr>
          <w:color w:val="231F20"/>
        </w:rPr>
        <w:t>proletaria,</w:t>
      </w:r>
      <w:r>
        <w:rPr>
          <w:color w:val="231F20"/>
          <w:spacing w:val="-7"/>
        </w:rPr>
        <w:t> </w:t>
      </w:r>
      <w:r>
        <w:rPr>
          <w:color w:val="231F20"/>
        </w:rPr>
        <w:t>totalmente</w:t>
      </w:r>
      <w:r>
        <w:rPr>
          <w:color w:val="231F20"/>
          <w:spacing w:val="-7"/>
        </w:rPr>
        <w:t> </w:t>
      </w:r>
      <w:r>
        <w:rPr>
          <w:color w:val="231F20"/>
        </w:rPr>
        <w:t>diferente</w:t>
      </w:r>
      <w:r>
        <w:rPr>
          <w:color w:val="231F20"/>
          <w:spacing w:val="-7"/>
        </w:rPr>
        <w:t> </w:t>
      </w:r>
      <w:r>
        <w:rPr>
          <w:color w:val="231F20"/>
        </w:rPr>
        <w:t>a</w:t>
      </w:r>
      <w:r>
        <w:rPr>
          <w:color w:val="231F20"/>
          <w:spacing w:val="-7"/>
        </w:rPr>
        <w:t> </w:t>
      </w:r>
      <w:r>
        <w:rPr>
          <w:color w:val="231F20"/>
        </w:rPr>
        <w:t>la</w:t>
      </w:r>
      <w:r>
        <w:rPr>
          <w:color w:val="231F20"/>
          <w:w w:val="100"/>
        </w:rPr>
        <w:t> </w:t>
      </w:r>
      <w:r>
        <w:rPr>
          <w:color w:val="231F20"/>
        </w:rPr>
        <w:t>burguesa”.</w:t>
      </w:r>
      <w:r>
        <w:rPr>
          <w:color w:val="231F20"/>
          <w:spacing w:val="-11"/>
        </w:rPr>
        <w:t> </w:t>
      </w:r>
      <w:r>
        <w:rPr>
          <w:color w:val="231F20"/>
        </w:rPr>
        <w:t>Los</w:t>
      </w:r>
      <w:r>
        <w:rPr>
          <w:color w:val="231F20"/>
          <w:spacing w:val="-11"/>
        </w:rPr>
        <w:t> </w:t>
      </w:r>
      <w:r>
        <w:rPr>
          <w:color w:val="231F20"/>
        </w:rPr>
        <w:t>futuristas</w:t>
      </w:r>
      <w:r>
        <w:rPr>
          <w:color w:val="231F20"/>
          <w:spacing w:val="-11"/>
        </w:rPr>
        <w:t> </w:t>
      </w:r>
      <w:r>
        <w:rPr>
          <w:color w:val="231F20"/>
        </w:rPr>
        <w:t>en</w:t>
      </w:r>
      <w:r>
        <w:rPr>
          <w:color w:val="231F20"/>
          <w:spacing w:val="-11"/>
        </w:rPr>
        <w:t> </w:t>
      </w:r>
      <w:r>
        <w:rPr>
          <w:color w:val="231F20"/>
        </w:rPr>
        <w:t>efecto</w:t>
      </w:r>
      <w:r>
        <w:rPr>
          <w:color w:val="231F20"/>
          <w:spacing w:val="-11"/>
        </w:rPr>
        <w:t> </w:t>
      </w:r>
      <w:r>
        <w:rPr>
          <w:color w:val="231F20"/>
        </w:rPr>
        <w:t>habían</w:t>
      </w:r>
      <w:r>
        <w:rPr>
          <w:color w:val="231F20"/>
          <w:spacing w:val="-11"/>
        </w:rPr>
        <w:t> </w:t>
      </w:r>
      <w:r>
        <w:rPr>
          <w:color w:val="231F20"/>
        </w:rPr>
        <w:t>tenido</w:t>
      </w:r>
      <w:r>
        <w:rPr>
          <w:color w:val="231F20"/>
          <w:spacing w:val="-11"/>
        </w:rPr>
        <w:t> </w:t>
      </w:r>
      <w:r>
        <w:rPr>
          <w:color w:val="231F20"/>
        </w:rPr>
        <w:t>antes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Guerra,</w:t>
      </w:r>
      <w:r>
        <w:rPr>
          <w:color w:val="231F20"/>
          <w:spacing w:val="-11"/>
        </w:rPr>
        <w:t> </w:t>
      </w:r>
      <w:r>
        <w:rPr>
          <w:color w:val="231F20"/>
        </w:rPr>
        <w:t>según</w:t>
      </w:r>
      <w:r>
        <w:rPr>
          <w:color w:val="231F20"/>
          <w:w w:val="102"/>
        </w:rPr>
        <w:t> </w:t>
      </w:r>
      <w:r>
        <w:rPr>
          <w:color w:val="231F20"/>
        </w:rPr>
        <w:t>Gramsci, el valor de “destruir”: “han tenido la concepción neta y</w:t>
      </w:r>
      <w:r>
        <w:rPr>
          <w:color w:val="231F20"/>
          <w:spacing w:val="35"/>
        </w:rPr>
        <w:t> </w:t>
      </w:r>
      <w:r>
        <w:rPr>
          <w:color w:val="231F20"/>
        </w:rPr>
        <w:t>clara</w:t>
      </w:r>
      <w:r>
        <w:rPr>
          <w:color w:val="231F20"/>
          <w:spacing w:val="3"/>
        </w:rPr>
        <w:t> </w:t>
      </w:r>
      <w:r>
        <w:rPr>
          <w:color w:val="231F20"/>
        </w:rPr>
        <w:t>que</w:t>
      </w:r>
      <w:r>
        <w:rPr>
          <w:color w:val="231F20"/>
          <w:w w:val="105"/>
        </w:rPr>
        <w:t> </w:t>
      </w:r>
      <w:r>
        <w:rPr>
          <w:color w:val="231F20"/>
        </w:rPr>
        <w:t>en nuestra época, la época de la gran industria, de la gran</w:t>
      </w:r>
      <w:r>
        <w:rPr>
          <w:color w:val="231F20"/>
          <w:spacing w:val="10"/>
        </w:rPr>
        <w:t> </w:t>
      </w:r>
      <w:r>
        <w:rPr>
          <w:color w:val="231F20"/>
        </w:rPr>
        <w:t>ciudad</w:t>
      </w:r>
      <w:r>
        <w:rPr>
          <w:color w:val="231F20"/>
          <w:spacing w:val="6"/>
        </w:rPr>
        <w:t> </w:t>
      </w:r>
      <w:r>
        <w:rPr>
          <w:color w:val="231F20"/>
        </w:rPr>
        <w:t>obrera,</w:t>
      </w:r>
      <w:r>
        <w:rPr>
          <w:color w:val="231F20"/>
          <w:w w:val="97"/>
        </w:rPr>
        <w:t> </w:t>
      </w:r>
      <w:r>
        <w:rPr>
          <w:color w:val="231F20"/>
        </w:rPr>
        <w:t>de la vida intensa y tumultuosa, debería haber nuevas formas de</w:t>
      </w:r>
      <w:r>
        <w:rPr>
          <w:color w:val="231F20"/>
          <w:spacing w:val="29"/>
        </w:rPr>
        <w:t> </w:t>
      </w:r>
      <w:r>
        <w:rPr>
          <w:color w:val="231F20"/>
        </w:rPr>
        <w:t>arte,</w:t>
      </w:r>
      <w:r>
        <w:rPr>
          <w:color w:val="231F20"/>
          <w:spacing w:val="8"/>
        </w:rPr>
        <w:t> </w:t>
      </w:r>
      <w:r>
        <w:rPr>
          <w:color w:val="231F20"/>
        </w:rPr>
        <w:t>de</w:t>
      </w:r>
      <w:r>
        <w:rPr>
          <w:color w:val="231F20"/>
          <w:w w:val="108"/>
        </w:rPr>
        <w:t> </w:t>
      </w:r>
      <w:r>
        <w:rPr>
          <w:color w:val="231F20"/>
        </w:rPr>
        <w:t>filosofía, de costumbres, de lenguaje”. Aparte de la</w:t>
      </w:r>
      <w:r>
        <w:rPr>
          <w:color w:val="231F20"/>
          <w:spacing w:val="52"/>
        </w:rPr>
        <w:t> </w:t>
      </w:r>
      <w:r>
        <w:rPr>
          <w:color w:val="231F20"/>
        </w:rPr>
        <w:t>deslumbrante</w:t>
      </w:r>
      <w:r>
        <w:rPr>
          <w:color w:val="231F20"/>
          <w:spacing w:val="14"/>
        </w:rPr>
        <w:t> </w:t>
      </w:r>
      <w:r>
        <w:rPr>
          <w:color w:val="231F20"/>
        </w:rPr>
        <w:t>seguri-</w:t>
      </w:r>
      <w:r>
        <w:rPr>
          <w:color w:val="231F20"/>
          <w:w w:val="91"/>
        </w:rPr>
        <w:t> </w:t>
      </w:r>
      <w:r>
        <w:rPr>
          <w:color w:val="231F20"/>
        </w:rPr>
        <w:t>dad con que Gramsci reconoce que “la clase obrera revolucionaria</w:t>
      </w:r>
      <w:r>
        <w:rPr>
          <w:color w:val="231F20"/>
          <w:spacing w:val="3"/>
        </w:rPr>
        <w:t> </w:t>
      </w:r>
      <w:r>
        <w:rPr>
          <w:color w:val="231F20"/>
        </w:rPr>
        <w:t>tuvo</w:t>
      </w:r>
      <w:r>
        <w:rPr>
          <w:color w:val="231F20"/>
          <w:spacing w:val="13"/>
        </w:rPr>
        <w:t> </w:t>
      </w:r>
      <w:r>
        <w:rPr>
          <w:color w:val="231F20"/>
        </w:rPr>
        <w:t>y</w:t>
      </w:r>
      <w:r>
        <w:rPr>
          <w:color w:val="231F20"/>
          <w:w w:val="92"/>
        </w:rPr>
        <w:t> </w:t>
      </w:r>
      <w:r>
        <w:rPr>
          <w:color w:val="231F20"/>
        </w:rPr>
        <w:t>tiene</w:t>
      </w:r>
      <w:r>
        <w:rPr>
          <w:color w:val="231F20"/>
          <w:spacing w:val="24"/>
        </w:rPr>
        <w:t> </w:t>
      </w:r>
      <w:r>
        <w:rPr>
          <w:color w:val="231F20"/>
        </w:rPr>
        <w:t>la</w:t>
      </w:r>
      <w:r>
        <w:rPr>
          <w:color w:val="231F20"/>
          <w:spacing w:val="24"/>
        </w:rPr>
        <w:t> </w:t>
      </w:r>
      <w:r>
        <w:rPr>
          <w:color w:val="231F20"/>
        </w:rPr>
        <w:t>conciencia</w:t>
      </w:r>
      <w:r>
        <w:rPr>
          <w:color w:val="231F20"/>
          <w:spacing w:val="24"/>
        </w:rPr>
        <w:t> </w:t>
      </w:r>
      <w:r>
        <w:rPr>
          <w:color w:val="231F20"/>
        </w:rPr>
        <w:t>de</w:t>
      </w:r>
      <w:r>
        <w:rPr>
          <w:color w:val="231F20"/>
          <w:spacing w:val="24"/>
        </w:rPr>
        <w:t> </w:t>
      </w:r>
      <w:r>
        <w:rPr>
          <w:color w:val="231F20"/>
        </w:rPr>
        <w:t>deber</w:t>
      </w:r>
      <w:r>
        <w:rPr>
          <w:color w:val="231F20"/>
          <w:spacing w:val="24"/>
        </w:rPr>
        <w:t> </w:t>
      </w:r>
      <w:r>
        <w:rPr>
          <w:color w:val="231F20"/>
        </w:rPr>
        <w:t>fundar</w:t>
      </w:r>
      <w:r>
        <w:rPr>
          <w:color w:val="231F20"/>
          <w:spacing w:val="24"/>
        </w:rPr>
        <w:t> </w:t>
      </w:r>
      <w:r>
        <w:rPr>
          <w:color w:val="231F20"/>
        </w:rPr>
        <w:t>un</w:t>
      </w:r>
      <w:r>
        <w:rPr>
          <w:color w:val="231F20"/>
          <w:spacing w:val="24"/>
        </w:rPr>
        <w:t> </w:t>
      </w:r>
      <w:r>
        <w:rPr>
          <w:color w:val="231F20"/>
        </w:rPr>
        <w:t>nuevo</w:t>
      </w:r>
      <w:r>
        <w:rPr>
          <w:color w:val="231F20"/>
          <w:spacing w:val="24"/>
        </w:rPr>
        <w:t> </w:t>
      </w:r>
      <w:r>
        <w:rPr>
          <w:color w:val="231F20"/>
        </w:rPr>
        <w:t>Estado,</w:t>
      </w:r>
      <w:r>
        <w:rPr>
          <w:color w:val="231F20"/>
          <w:spacing w:val="24"/>
        </w:rPr>
        <w:t> </w:t>
      </w:r>
      <w:r>
        <w:rPr>
          <w:color w:val="231F20"/>
        </w:rPr>
        <w:t>de</w:t>
      </w:r>
      <w:r>
        <w:rPr>
          <w:color w:val="231F20"/>
          <w:spacing w:val="24"/>
        </w:rPr>
        <w:t> </w:t>
      </w:r>
      <w:r>
        <w:rPr>
          <w:color w:val="231F20"/>
        </w:rPr>
        <w:t>deber</w:t>
      </w:r>
      <w:r>
        <w:rPr>
          <w:color w:val="231F20"/>
          <w:spacing w:val="24"/>
        </w:rPr>
        <w:t> </w:t>
      </w:r>
      <w:r>
        <w:rPr>
          <w:color w:val="231F20"/>
        </w:rPr>
        <w:t>elaborar</w:t>
      </w:r>
      <w:r>
        <w:rPr>
          <w:color w:val="231F20"/>
          <w:w w:val="102"/>
        </w:rPr>
        <w:t> </w:t>
      </w:r>
      <w:r>
        <w:rPr>
          <w:color w:val="231F20"/>
        </w:rPr>
        <w:t>una nueva estructura económica, de deber fundar una</w:t>
      </w:r>
      <w:r>
        <w:rPr>
          <w:color w:val="231F20"/>
          <w:spacing w:val="35"/>
        </w:rPr>
        <w:t> </w:t>
      </w:r>
      <w:r>
        <w:rPr>
          <w:color w:val="231F20"/>
        </w:rPr>
        <w:t>nueva</w:t>
      </w:r>
      <w:r>
        <w:rPr>
          <w:color w:val="231F20"/>
          <w:spacing w:val="12"/>
        </w:rPr>
        <w:t> </w:t>
      </w:r>
      <w:r>
        <w:rPr>
          <w:color w:val="231F20"/>
        </w:rPr>
        <w:t>civilización”</w:t>
      </w:r>
      <w:r>
        <w:rPr>
          <w:color w:val="231F20"/>
          <w:w w:val="105"/>
        </w:rPr>
        <w:t> </w:t>
      </w:r>
      <w:r>
        <w:rPr>
          <w:color w:val="231F20"/>
        </w:rPr>
        <w:t>y</w:t>
      </w:r>
      <w:r>
        <w:rPr>
          <w:color w:val="231F20"/>
          <w:spacing w:val="28"/>
        </w:rPr>
        <w:t> </w:t>
      </w:r>
      <w:r>
        <w:rPr>
          <w:color w:val="231F20"/>
        </w:rPr>
        <w:t>aparte</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rPr>
        <w:t>lacerante</w:t>
      </w:r>
      <w:r>
        <w:rPr>
          <w:color w:val="231F20"/>
          <w:spacing w:val="28"/>
        </w:rPr>
        <w:t> </w:t>
      </w:r>
      <w:r>
        <w:rPr>
          <w:color w:val="231F20"/>
        </w:rPr>
        <w:t>llamado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“fórmula”</w:t>
      </w:r>
      <w:r>
        <w:rPr>
          <w:color w:val="231F20"/>
          <w:spacing w:val="28"/>
        </w:rPr>
        <w:t> </w:t>
      </w:r>
      <w:r>
        <w:rPr>
          <w:color w:val="231F20"/>
        </w:rPr>
        <w:t>leninista</w:t>
      </w:r>
      <w:r>
        <w:rPr>
          <w:color w:val="231F20"/>
          <w:spacing w:val="28"/>
        </w:rPr>
        <w:t> </w:t>
      </w:r>
      <w:r>
        <w:rPr>
          <w:color w:val="231F20"/>
        </w:rPr>
        <w:t>de</w:t>
      </w:r>
      <w:r>
        <w:rPr>
          <w:color w:val="231F20"/>
          <w:spacing w:val="28"/>
        </w:rPr>
        <w:t> </w:t>
      </w:r>
      <w:r>
        <w:rPr>
          <w:color w:val="231F20"/>
        </w:rPr>
        <w:t>un</w:t>
      </w:r>
      <w:r>
        <w:rPr>
          <w:color w:val="231F20"/>
          <w:spacing w:val="28"/>
        </w:rPr>
        <w:t> </w:t>
      </w:r>
      <w:r>
        <w:rPr>
          <w:color w:val="231F20"/>
        </w:rPr>
        <w:t>“Estado</w:t>
      </w:r>
      <w:r>
        <w:rPr>
          <w:color w:val="231F20"/>
          <w:w w:val="106"/>
        </w:rPr>
        <w:t> </w:t>
      </w:r>
      <w:r>
        <w:rPr>
          <w:color w:val="231F20"/>
        </w:rPr>
        <w:t>burgués sin la burguesía”, su inventiva profuturista puede servir</w:t>
      </w:r>
      <w:r>
        <w:rPr>
          <w:color w:val="231F20"/>
          <w:spacing w:val="22"/>
        </w:rPr>
        <w:t> </w:t>
      </w:r>
      <w:r>
        <w:rPr>
          <w:color w:val="231F20"/>
        </w:rPr>
        <w:t>para</w:t>
      </w:r>
      <w:r>
        <w:rPr>
          <w:color w:val="231F20"/>
          <w:spacing w:val="17"/>
        </w:rPr>
        <w:t> </w:t>
      </w:r>
      <w:r>
        <w:rPr>
          <w:color w:val="231F20"/>
        </w:rPr>
        <w:t>re-</w:t>
      </w:r>
      <w:r>
        <w:rPr>
          <w:color w:val="231F20"/>
          <w:w w:val="91"/>
        </w:rPr>
        <w:t> </w:t>
      </w:r>
      <w:r>
        <w:rPr>
          <w:color w:val="231F20"/>
        </w:rPr>
        <w:t>unir bajo un común denominador elecciones diferentes tanto en</w:t>
      </w:r>
      <w:r>
        <w:rPr>
          <w:color w:val="231F20"/>
          <w:spacing w:val="34"/>
        </w:rPr>
        <w:t> </w:t>
      </w:r>
      <w:r>
        <w:rPr>
          <w:color w:val="231F20"/>
        </w:rPr>
        <w:t>el</w:t>
      </w:r>
      <w:r>
        <w:rPr>
          <w:color w:val="231F20"/>
          <w:spacing w:val="18"/>
        </w:rPr>
        <w:t> </w:t>
      </w:r>
      <w:r>
        <w:rPr>
          <w:color w:val="231F20"/>
        </w:rPr>
        <w:t>plano</w:t>
      </w:r>
      <w:r>
        <w:rPr>
          <w:color w:val="231F20"/>
          <w:w w:val="104"/>
        </w:rPr>
        <w:t> </w:t>
      </w:r>
      <w:r>
        <w:rPr>
          <w:color w:val="231F20"/>
        </w:rPr>
        <w:t>ideológico como en el de la inteligencia histórica, de frente a</w:t>
      </w:r>
      <w:r>
        <w:rPr>
          <w:color w:val="231F20"/>
          <w:spacing w:val="62"/>
        </w:rPr>
        <w:t> </w:t>
      </w:r>
      <w:r>
        <w:rPr>
          <w:color w:val="231F20"/>
        </w:rPr>
        <w:t>la</w:t>
      </w:r>
      <w:r>
        <w:rPr>
          <w:color w:val="231F20"/>
          <w:spacing w:val="11"/>
        </w:rPr>
        <w:t> </w:t>
      </w:r>
      <w:r>
        <w:rPr>
          <w:color w:val="231F20"/>
        </w:rPr>
        <w:t>evidencia</w:t>
      </w:r>
      <w:r>
        <w:rPr>
          <w:color w:val="231F20"/>
          <w:w w:val="102"/>
        </w:rPr>
        <w:t> </w:t>
      </w:r>
      <w:r>
        <w:rPr>
          <w:color w:val="231F20"/>
        </w:rPr>
        <w:t>de</w:t>
      </w:r>
      <w:r>
        <w:rPr>
          <w:color w:val="231F20"/>
          <w:spacing w:val="26"/>
        </w:rPr>
        <w:t> </w:t>
      </w:r>
      <w:r>
        <w:rPr>
          <w:color w:val="231F20"/>
        </w:rPr>
        <w:t>la</w:t>
      </w:r>
      <w:r>
        <w:rPr>
          <w:color w:val="231F20"/>
          <w:spacing w:val="26"/>
        </w:rPr>
        <w:t> </w:t>
      </w:r>
      <w:r>
        <w:rPr>
          <w:color w:val="231F20"/>
        </w:rPr>
        <w:t>crisis</w:t>
      </w:r>
      <w:r>
        <w:rPr>
          <w:color w:val="231F20"/>
          <w:spacing w:val="26"/>
        </w:rPr>
        <w:t> </w:t>
      </w:r>
      <w:r>
        <w:rPr>
          <w:color w:val="231F20"/>
        </w:rPr>
        <w:t>del</w:t>
      </w:r>
      <w:r>
        <w:rPr>
          <w:color w:val="231F20"/>
          <w:spacing w:val="26"/>
        </w:rPr>
        <w:t> </w:t>
      </w:r>
      <w:r>
        <w:rPr>
          <w:color w:val="231F20"/>
        </w:rPr>
        <w:t>tiempo</w:t>
      </w:r>
      <w:r>
        <w:rPr>
          <w:color w:val="231F20"/>
          <w:spacing w:val="26"/>
        </w:rPr>
        <w:t> </w:t>
      </w:r>
      <w:r>
        <w:rPr>
          <w:color w:val="231F20"/>
        </w:rPr>
        <w:t>y</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exigencia</w:t>
      </w:r>
      <w:r>
        <w:rPr>
          <w:color w:val="231F20"/>
          <w:spacing w:val="26"/>
        </w:rPr>
        <w:t> </w:t>
      </w:r>
      <w:r>
        <w:rPr>
          <w:color w:val="231F20"/>
        </w:rPr>
        <w:t>de</w:t>
      </w:r>
      <w:r>
        <w:rPr>
          <w:color w:val="231F20"/>
          <w:spacing w:val="26"/>
        </w:rPr>
        <w:t> </w:t>
      </w:r>
      <w:r>
        <w:rPr>
          <w:color w:val="231F20"/>
        </w:rPr>
        <w:t>darle</w:t>
      </w:r>
      <w:r>
        <w:rPr>
          <w:color w:val="231F20"/>
          <w:spacing w:val="26"/>
        </w:rPr>
        <w:t> </w:t>
      </w:r>
      <w:r>
        <w:rPr>
          <w:color w:val="231F20"/>
        </w:rPr>
        <w:t>solución</w:t>
      </w:r>
      <w:r>
        <w:rPr>
          <w:color w:val="231F20"/>
          <w:position w:val="7"/>
          <w:sz w:val="12"/>
        </w:rPr>
        <w:t>15</w:t>
      </w:r>
      <w:r>
        <w:rPr>
          <w:color w:val="231F20"/>
        </w:rPr>
        <w:t>.</w:t>
      </w:r>
      <w:r>
        <w:rPr>
          <w:color w:val="231F20"/>
          <w:spacing w:val="26"/>
        </w:rPr>
        <w:t> </w:t>
      </w:r>
      <w:r>
        <w:rPr>
          <w:color w:val="231F20"/>
        </w:rPr>
        <w:t>Monica</w:t>
      </w:r>
      <w:r>
        <w:rPr>
          <w:color w:val="231F20"/>
          <w:spacing w:val="26"/>
        </w:rPr>
        <w:t> </w:t>
      </w:r>
      <w:r>
        <w:rPr>
          <w:color w:val="231F20"/>
        </w:rPr>
        <w:t>Cioli,</w:t>
      </w:r>
      <w:r>
        <w:rPr>
          <w:color w:val="231F20"/>
          <w:w w:val="94"/>
        </w:rPr>
        <w:t> </w:t>
      </w:r>
      <w:r>
        <w:rPr>
          <w:color w:val="231F20"/>
        </w:rPr>
        <w:t>por su parte, está buscando aplicar la etiqueta de </w:t>
      </w:r>
      <w:r>
        <w:rPr>
          <w:color w:val="231F20"/>
          <w:spacing w:val="11"/>
        </w:rPr>
        <w:t> </w:t>
      </w:r>
      <w:r>
        <w:rPr>
          <w:color w:val="231F20"/>
        </w:rPr>
        <w:t>“modernista”</w:t>
      </w:r>
      <w:r>
        <w:rPr>
          <w:color w:val="231F20"/>
          <w:spacing w:val="22"/>
        </w:rPr>
        <w:t> </w:t>
      </w:r>
      <w:r>
        <w:rPr>
          <w:color w:val="231F20"/>
        </w:rPr>
        <w:t>también</w:t>
      </w:r>
      <w:r>
        <w:rPr>
          <w:color w:val="231F20"/>
          <w:w w:val="102"/>
        </w:rPr>
        <w:t> </w:t>
      </w:r>
      <w:r>
        <w:rPr>
          <w:color w:val="231F20"/>
        </w:rPr>
        <w:t>al fascismo, recordando también que uno de los márgenes principales </w:t>
      </w:r>
      <w:r>
        <w:rPr>
          <w:color w:val="231F20"/>
          <w:spacing w:val="17"/>
        </w:rPr>
        <w:t> </w:t>
      </w:r>
      <w:r>
        <w:rPr>
          <w:color w:val="231F20"/>
        </w:rPr>
        <w:t>fue</w:t>
      </w:r>
    </w:p>
    <w:p>
      <w:pPr>
        <w:spacing w:line="206" w:lineRule="exact" w:before="331"/>
        <w:ind w:left="117" w:right="0" w:firstLine="0"/>
        <w:jc w:val="both"/>
        <w:rPr>
          <w:rFonts w:ascii="Calibri"/>
          <w:sz w:val="17"/>
        </w:rPr>
      </w:pPr>
      <w:r>
        <w:rPr/>
        <w:pict>
          <v:line style="position:absolute;mso-position-horizontal-relative:page;mso-position-vertical-relative:paragraph;z-index:5368" from="70.866203pt,14.443254pt" to="184.252203pt,14.443254pt" stroked="true" strokeweight=".3pt" strokecolor="#231f20">
            <w10:wrap type="none"/>
          </v:line>
        </w:pict>
      </w:r>
      <w:r>
        <w:rPr>
          <w:rFonts w:ascii="Calibri"/>
          <w:color w:val="231F20"/>
          <w:position w:val="6"/>
          <w:sz w:val="10"/>
        </w:rPr>
        <w:t>14 </w:t>
      </w:r>
      <w:r>
        <w:rPr>
          <w:rFonts w:ascii="Calibri"/>
          <w:color w:val="231F20"/>
          <w:sz w:val="17"/>
        </w:rPr>
        <w:t>M. Berman, </w:t>
      </w:r>
      <w:r>
        <w:rPr>
          <w:rFonts w:ascii="Calibri"/>
          <w:i/>
          <w:color w:val="231F20"/>
          <w:sz w:val="17"/>
        </w:rPr>
        <w:t>All that is solid melts into air. The Experience of Modernity</w:t>
      </w:r>
      <w:r>
        <w:rPr>
          <w:rFonts w:ascii="Calibri"/>
          <w:color w:val="231F20"/>
          <w:sz w:val="17"/>
        </w:rPr>
        <w:t>, New York, Verso, 1982.</w:t>
      </w:r>
    </w:p>
    <w:p>
      <w:pPr>
        <w:spacing w:line="235" w:lineRule="auto" w:before="1"/>
        <w:ind w:left="117" w:right="101" w:firstLine="0"/>
        <w:jc w:val="both"/>
        <w:rPr>
          <w:rFonts w:ascii="Calibri" w:hAnsi="Calibri"/>
          <w:sz w:val="17"/>
        </w:rPr>
      </w:pPr>
      <w:r>
        <w:rPr>
          <w:rFonts w:ascii="Calibri" w:hAnsi="Calibri"/>
          <w:color w:val="231F20"/>
          <w:position w:val="6"/>
          <w:sz w:val="10"/>
        </w:rPr>
        <w:t>15 </w:t>
      </w:r>
      <w:r>
        <w:rPr>
          <w:rFonts w:ascii="Calibri" w:hAnsi="Calibri"/>
          <w:color w:val="231F20"/>
          <w:sz w:val="17"/>
        </w:rPr>
        <w:t>Agradezco a Michele Filippini, quien está trabajando a un majestuoso </w:t>
      </w:r>
      <w:r>
        <w:rPr>
          <w:rFonts w:ascii="Calibri" w:hAnsi="Calibri"/>
          <w:i/>
          <w:color w:val="231F20"/>
          <w:sz w:val="17"/>
        </w:rPr>
        <w:t>Gramsci Project </w:t>
      </w:r>
      <w:r>
        <w:rPr>
          <w:rFonts w:ascii="Calibri" w:hAnsi="Calibri"/>
          <w:color w:val="231F20"/>
          <w:sz w:val="17"/>
        </w:rPr>
        <w:t>(dl.gramsci- project.org), por las indicaciones sobre el interés de Gramsci por Marinetti y el futurismo: el pasaje citado está en A. Gramsci, “Marinetti rivoluzionario”, </w:t>
      </w:r>
      <w:r>
        <w:rPr>
          <w:rFonts w:ascii="Calibri" w:hAnsi="Calibri"/>
          <w:i/>
          <w:color w:val="231F20"/>
          <w:spacing w:val="-4"/>
          <w:sz w:val="17"/>
        </w:rPr>
        <w:t>L’ordine </w:t>
      </w:r>
      <w:r>
        <w:rPr>
          <w:rFonts w:ascii="Calibri" w:hAnsi="Calibri"/>
          <w:i/>
          <w:color w:val="231F20"/>
          <w:sz w:val="17"/>
        </w:rPr>
        <w:t>nuovo </w:t>
      </w:r>
      <w:r>
        <w:rPr>
          <w:rFonts w:ascii="Calibri" w:hAnsi="Calibri"/>
          <w:color w:val="231F20"/>
          <w:sz w:val="17"/>
        </w:rPr>
        <w:t>(5 de enero de 1921). El artículo inicia así “Ha ocurrido este hecho inaudito, enorme, colosal, cuya divulgación amenaza con aniqui- lar totalmente el prestigio y el crédito de la Internacional comunista: en Moscú, durante el </w:t>
      </w:r>
      <w:r>
        <w:rPr>
          <w:rFonts w:ascii="Calibri" w:hAnsi="Calibri"/>
          <w:color w:val="231F20"/>
          <w:sz w:val="15"/>
        </w:rPr>
        <w:t>II </w:t>
      </w:r>
      <w:r>
        <w:rPr>
          <w:rFonts w:ascii="Calibri" w:hAnsi="Calibri"/>
          <w:color w:val="231F20"/>
          <w:sz w:val="17"/>
        </w:rPr>
        <w:t>Con- greso, el camarada Lunaciarsky ha dicho, en su discurso a los delegados italianos […] que en Italia existe un intelectual revolucionario que es Filippo Tommaso Marinetti”. El ensayo de Gramsci es citado, en la traducción al inglés (A. Gramsci, </w:t>
      </w:r>
      <w:r>
        <w:rPr>
          <w:rFonts w:ascii="Calibri" w:hAnsi="Calibri"/>
          <w:i/>
          <w:color w:val="231F20"/>
          <w:sz w:val="17"/>
        </w:rPr>
        <w:t>Selections from Cultural Writings</w:t>
      </w:r>
      <w:r>
        <w:rPr>
          <w:rFonts w:ascii="Calibri" w:hAnsi="Calibri"/>
          <w:color w:val="231F20"/>
          <w:sz w:val="17"/>
        </w:rPr>
        <w:t>, Cambridge, Mass., Harvard University Press, 1985, pp. 95–96) también por M. E. Versari, “Futurist Machine Art, Cons- tructivism and the Modernity of Mechanization”, G. Berghaus (Ed.), </w:t>
      </w:r>
      <w:r>
        <w:rPr>
          <w:rFonts w:ascii="Calibri" w:hAnsi="Calibri"/>
          <w:i/>
          <w:color w:val="231F20"/>
          <w:sz w:val="17"/>
        </w:rPr>
        <w:t>Futurism and the technological </w:t>
      </w:r>
      <w:r>
        <w:rPr>
          <w:rFonts w:ascii="Calibri" w:hAnsi="Calibri"/>
          <w:i/>
          <w:color w:val="231F20"/>
          <w:sz w:val="17"/>
        </w:rPr>
        <w:t>imagination</w:t>
      </w:r>
      <w:r>
        <w:rPr>
          <w:rFonts w:ascii="Calibri" w:hAnsi="Calibri"/>
          <w:color w:val="231F20"/>
          <w:sz w:val="17"/>
        </w:rPr>
        <w:t>,  Amsterdam,  Rodopi, 2009.</w:t>
      </w:r>
    </w:p>
    <w:p>
      <w:pPr>
        <w:spacing w:after="0" w:line="235" w:lineRule="auto"/>
        <w:jc w:val="both"/>
        <w:rPr>
          <w:rFonts w:ascii="Calibri" w:hAnsi="Calibri"/>
          <w:sz w:val="17"/>
        </w:rPr>
        <w:sectPr>
          <w:pgSz w:w="9640" w:h="13890"/>
          <w:pgMar w:top="0" w:bottom="280" w:left="1300" w:right="1200"/>
        </w:sectPr>
      </w:pPr>
    </w:p>
    <w:p>
      <w:pPr>
        <w:pStyle w:val="BodyText"/>
        <w:spacing w:line="244" w:lineRule="auto" w:before="107"/>
        <w:ind w:left="103" w:right="115"/>
        <w:jc w:val="both"/>
      </w:pPr>
      <w:r>
        <w:rPr>
          <w:color w:val="231F20"/>
        </w:rPr>
        <w:t>justamente para los futuristas, la referencia constante al </w:t>
      </w:r>
      <w:r>
        <w:rPr>
          <w:rFonts w:ascii="Arial" w:hAnsi="Arial"/>
          <w:i/>
          <w:color w:val="231F20"/>
        </w:rPr>
        <w:t>Bild </w:t>
      </w:r>
      <w:r>
        <w:rPr>
          <w:color w:val="231F20"/>
        </w:rPr>
        <w:t>de la</w:t>
      </w:r>
      <w:r>
        <w:rPr>
          <w:color w:val="231F20"/>
          <w:spacing w:val="-40"/>
        </w:rPr>
        <w:t> </w:t>
      </w:r>
      <w:r>
        <w:rPr>
          <w:color w:val="231F20"/>
        </w:rPr>
        <w:t>“máqui- na”, el cual por otra parte representó también un mito transversal para las vanguardias artísticas europeas de la</w:t>
      </w:r>
      <w:r>
        <w:rPr>
          <w:color w:val="231F20"/>
          <w:spacing w:val="-10"/>
        </w:rPr>
        <w:t> </w:t>
      </w:r>
      <w:r>
        <w:rPr>
          <w:color w:val="231F20"/>
        </w:rPr>
        <w:t>época</w:t>
      </w:r>
      <w:r>
        <w:rPr>
          <w:color w:val="231F20"/>
          <w:position w:val="7"/>
          <w:sz w:val="12"/>
        </w:rPr>
        <w:t>16</w:t>
      </w:r>
      <w:r>
        <w:rPr>
          <w:color w:val="231F20"/>
        </w:rPr>
        <w:t>.</w:t>
      </w:r>
    </w:p>
    <w:p>
      <w:pPr>
        <w:pStyle w:val="BodyText"/>
        <w:spacing w:line="247" w:lineRule="auto" w:before="1"/>
        <w:ind w:left="103" w:right="115" w:firstLine="566"/>
        <w:jc w:val="both"/>
      </w:pPr>
      <w:r>
        <w:rPr>
          <w:color w:val="231F20"/>
        </w:rPr>
        <w:t>¿Qué quiere decir? </w:t>
      </w:r>
      <w:r>
        <w:rPr>
          <w:color w:val="231F20"/>
          <w:spacing w:val="-8"/>
        </w:rPr>
        <w:t>Tal </w:t>
      </w:r>
      <w:r>
        <w:rPr>
          <w:color w:val="231F20"/>
        </w:rPr>
        <w:t>vez que, de un mecanicismo a otro, también el Estado–máquina de Borkenau, ya en parte degenerado en una forma</w:t>
      </w:r>
      <w:r>
        <w:rPr>
          <w:color w:val="231F20"/>
          <w:spacing w:val="-26"/>
        </w:rPr>
        <w:t> </w:t>
      </w:r>
      <w:r>
        <w:rPr>
          <w:color w:val="231F20"/>
        </w:rPr>
        <w:t>de Estado ya del todo autorreferente (el Estado de derecho burgués del</w:t>
      </w:r>
      <w:r>
        <w:rPr>
          <w:color w:val="231F20"/>
          <w:spacing w:val="55"/>
        </w:rPr>
        <w:t> </w:t>
      </w:r>
      <w:r>
        <w:rPr>
          <w:color w:val="231F20"/>
        </w:rPr>
        <w:t>siglo</w:t>
      </w:r>
    </w:p>
    <w:p>
      <w:pPr>
        <w:pStyle w:val="BodyText"/>
        <w:spacing w:line="244" w:lineRule="auto"/>
        <w:ind w:left="103" w:right="115"/>
        <w:jc w:val="both"/>
      </w:pPr>
      <w:r>
        <w:rPr>
          <w:color w:val="231F20"/>
          <w:sz w:val="18"/>
        </w:rPr>
        <w:t>XIX</w:t>
      </w:r>
      <w:r>
        <w:rPr>
          <w:color w:val="231F20"/>
        </w:rPr>
        <w:t>) y estrechamente conectado con una </w:t>
      </w:r>
      <w:r>
        <w:rPr>
          <w:rFonts w:ascii="Arial" w:hAnsi="Arial"/>
          <w:i/>
          <w:color w:val="231F20"/>
        </w:rPr>
        <w:t>modernity </w:t>
      </w:r>
      <w:r>
        <w:rPr>
          <w:color w:val="231F20"/>
        </w:rPr>
        <w:t>en crisis, pudo caer en el vórtice modernista, rindiéndose más fácilmente al giro totalitario de los distintos fascismos, en nombre de revoluciones falsas (además de barro- cas), por así decirlo, a su vez “mecanizadas”, pero en las cuales muchos creyeron, empezando por las vanguardias, no sólo artísticas y literarias.</w:t>
      </w:r>
    </w:p>
    <w:p>
      <w:pPr>
        <w:pStyle w:val="BodyText"/>
        <w:spacing w:line="247" w:lineRule="auto" w:before="1"/>
        <w:ind w:left="103" w:right="115" w:firstLine="566"/>
        <w:jc w:val="both"/>
      </w:pPr>
      <w:r>
        <w:rPr>
          <w:color w:val="231F20"/>
          <w:spacing w:val="-10"/>
          <w:w w:val="105"/>
        </w:rPr>
        <w:t>Yo</w:t>
      </w:r>
      <w:r>
        <w:rPr>
          <w:color w:val="231F20"/>
          <w:spacing w:val="-32"/>
          <w:w w:val="105"/>
        </w:rPr>
        <w:t> </w:t>
      </w:r>
      <w:r>
        <w:rPr>
          <w:color w:val="231F20"/>
          <w:w w:val="105"/>
        </w:rPr>
        <w:t>no</w:t>
      </w:r>
      <w:r>
        <w:rPr>
          <w:color w:val="231F20"/>
          <w:spacing w:val="-32"/>
          <w:w w:val="105"/>
        </w:rPr>
        <w:t> </w:t>
      </w:r>
      <w:r>
        <w:rPr>
          <w:color w:val="231F20"/>
          <w:w w:val="105"/>
        </w:rPr>
        <w:t>puedo</w:t>
      </w:r>
      <w:r>
        <w:rPr>
          <w:color w:val="231F20"/>
          <w:spacing w:val="-32"/>
          <w:w w:val="105"/>
        </w:rPr>
        <w:t> </w:t>
      </w:r>
      <w:r>
        <w:rPr>
          <w:color w:val="231F20"/>
          <w:w w:val="105"/>
        </w:rPr>
        <w:t>decir</w:t>
      </w:r>
      <w:r>
        <w:rPr>
          <w:color w:val="231F20"/>
          <w:spacing w:val="-32"/>
          <w:w w:val="105"/>
        </w:rPr>
        <w:t> </w:t>
      </w:r>
      <w:r>
        <w:rPr>
          <w:color w:val="231F20"/>
          <w:w w:val="105"/>
        </w:rPr>
        <w:t>lo</w:t>
      </w:r>
      <w:r>
        <w:rPr>
          <w:color w:val="231F20"/>
          <w:spacing w:val="-32"/>
          <w:w w:val="105"/>
        </w:rPr>
        <w:t> </w:t>
      </w:r>
      <w:r>
        <w:rPr>
          <w:color w:val="231F20"/>
          <w:w w:val="105"/>
        </w:rPr>
        <w:t>que</w:t>
      </w:r>
      <w:r>
        <w:rPr>
          <w:color w:val="231F20"/>
          <w:spacing w:val="-32"/>
          <w:w w:val="105"/>
        </w:rPr>
        <w:t> </w:t>
      </w:r>
      <w:r>
        <w:rPr>
          <w:color w:val="231F20"/>
          <w:w w:val="105"/>
        </w:rPr>
        <w:t>se</w:t>
      </w:r>
      <w:r>
        <w:rPr>
          <w:color w:val="231F20"/>
          <w:spacing w:val="-32"/>
          <w:w w:val="105"/>
        </w:rPr>
        <w:t> </w:t>
      </w:r>
      <w:r>
        <w:rPr>
          <w:color w:val="231F20"/>
          <w:w w:val="105"/>
        </w:rPr>
        <w:t>necesitaría</w:t>
      </w:r>
      <w:r>
        <w:rPr>
          <w:color w:val="231F20"/>
          <w:spacing w:val="-32"/>
          <w:w w:val="105"/>
        </w:rPr>
        <w:t> </w:t>
      </w:r>
      <w:r>
        <w:rPr>
          <w:color w:val="231F20"/>
          <w:w w:val="105"/>
        </w:rPr>
        <w:t>hacer;</w:t>
      </w:r>
      <w:r>
        <w:rPr>
          <w:color w:val="231F20"/>
          <w:spacing w:val="-32"/>
          <w:w w:val="105"/>
        </w:rPr>
        <w:t> </w:t>
      </w:r>
      <w:r>
        <w:rPr>
          <w:color w:val="231F20"/>
          <w:w w:val="105"/>
        </w:rPr>
        <w:t>trato</w:t>
      </w:r>
      <w:r>
        <w:rPr>
          <w:color w:val="231F20"/>
          <w:spacing w:val="-32"/>
          <w:w w:val="105"/>
        </w:rPr>
        <w:t> </w:t>
      </w:r>
      <w:r>
        <w:rPr>
          <w:color w:val="231F20"/>
          <w:w w:val="105"/>
        </w:rPr>
        <w:t>sólo</w:t>
      </w:r>
      <w:r>
        <w:rPr>
          <w:color w:val="231F20"/>
          <w:spacing w:val="-32"/>
          <w:w w:val="105"/>
        </w:rPr>
        <w:t> </w:t>
      </w:r>
      <w:r>
        <w:rPr>
          <w:color w:val="231F20"/>
          <w:w w:val="105"/>
        </w:rPr>
        <w:t>de</w:t>
      </w:r>
      <w:r>
        <w:rPr>
          <w:color w:val="231F20"/>
          <w:spacing w:val="-32"/>
          <w:w w:val="105"/>
        </w:rPr>
        <w:t> </w:t>
      </w:r>
      <w:r>
        <w:rPr>
          <w:color w:val="231F20"/>
          <w:w w:val="105"/>
        </w:rPr>
        <w:t>entender lo</w:t>
      </w:r>
      <w:r>
        <w:rPr>
          <w:color w:val="231F20"/>
          <w:spacing w:val="-21"/>
          <w:w w:val="105"/>
        </w:rPr>
        <w:t> </w:t>
      </w:r>
      <w:r>
        <w:rPr>
          <w:color w:val="231F20"/>
          <w:w w:val="105"/>
        </w:rPr>
        <w:t>que</w:t>
      </w:r>
      <w:r>
        <w:rPr>
          <w:color w:val="231F20"/>
          <w:spacing w:val="-21"/>
          <w:w w:val="105"/>
        </w:rPr>
        <w:t> </w:t>
      </w:r>
      <w:r>
        <w:rPr>
          <w:color w:val="231F20"/>
          <w:w w:val="105"/>
        </w:rPr>
        <w:t>es</w:t>
      </w:r>
      <w:r>
        <w:rPr>
          <w:color w:val="231F20"/>
          <w:spacing w:val="-21"/>
          <w:w w:val="105"/>
        </w:rPr>
        <w:t> </w:t>
      </w:r>
      <w:r>
        <w:rPr>
          <w:color w:val="231F20"/>
          <w:w w:val="105"/>
        </w:rPr>
        <w:t>probable</w:t>
      </w:r>
      <w:r>
        <w:rPr>
          <w:color w:val="231F20"/>
          <w:spacing w:val="-21"/>
          <w:w w:val="105"/>
        </w:rPr>
        <w:t> </w:t>
      </w:r>
      <w:r>
        <w:rPr>
          <w:color w:val="231F20"/>
          <w:w w:val="105"/>
        </w:rPr>
        <w:t>que</w:t>
      </w:r>
      <w:r>
        <w:rPr>
          <w:color w:val="231F20"/>
          <w:spacing w:val="-21"/>
          <w:w w:val="105"/>
        </w:rPr>
        <w:t> </w:t>
      </w:r>
      <w:r>
        <w:rPr>
          <w:color w:val="231F20"/>
          <w:w w:val="105"/>
        </w:rPr>
        <w:t>suceda</w:t>
      </w:r>
      <w:r>
        <w:rPr>
          <w:color w:val="231F20"/>
          <w:spacing w:val="-21"/>
          <w:w w:val="105"/>
        </w:rPr>
        <w:t> </w:t>
      </w:r>
      <w:r>
        <w:rPr>
          <w:color w:val="231F20"/>
          <w:w w:val="105"/>
        </w:rPr>
        <w:t>y</w:t>
      </w:r>
      <w:r>
        <w:rPr>
          <w:color w:val="231F20"/>
          <w:spacing w:val="-21"/>
          <w:w w:val="105"/>
        </w:rPr>
        <w:t> </w:t>
      </w:r>
      <w:r>
        <w:rPr>
          <w:color w:val="231F20"/>
          <w:w w:val="105"/>
        </w:rPr>
        <w:t>ciertamente</w:t>
      </w:r>
      <w:r>
        <w:rPr>
          <w:color w:val="231F20"/>
          <w:spacing w:val="-21"/>
          <w:w w:val="105"/>
        </w:rPr>
        <w:t> </w:t>
      </w:r>
      <w:r>
        <w:rPr>
          <w:color w:val="231F20"/>
          <w:w w:val="105"/>
        </w:rPr>
        <w:t>no</w:t>
      </w:r>
      <w:r>
        <w:rPr>
          <w:color w:val="231F20"/>
          <w:spacing w:val="-21"/>
          <w:w w:val="105"/>
        </w:rPr>
        <w:t> </w:t>
      </w:r>
      <w:r>
        <w:rPr>
          <w:color w:val="231F20"/>
          <w:w w:val="105"/>
        </w:rPr>
        <w:t>estoy</w:t>
      </w:r>
      <w:r>
        <w:rPr>
          <w:color w:val="231F20"/>
          <w:spacing w:val="-21"/>
          <w:w w:val="105"/>
        </w:rPr>
        <w:t> </w:t>
      </w:r>
      <w:r>
        <w:rPr>
          <w:color w:val="231F20"/>
          <w:w w:val="105"/>
        </w:rPr>
        <w:t>viciado</w:t>
      </w:r>
      <w:r>
        <w:rPr>
          <w:color w:val="231F20"/>
          <w:spacing w:val="-21"/>
          <w:w w:val="105"/>
        </w:rPr>
        <w:t> </w:t>
      </w:r>
      <w:r>
        <w:rPr>
          <w:color w:val="231F20"/>
          <w:w w:val="105"/>
        </w:rPr>
        <w:t>por</w:t>
      </w:r>
      <w:r>
        <w:rPr>
          <w:color w:val="231F20"/>
          <w:spacing w:val="-21"/>
          <w:w w:val="105"/>
        </w:rPr>
        <w:t> </w:t>
      </w:r>
      <w:r>
        <w:rPr>
          <w:color w:val="231F20"/>
          <w:w w:val="105"/>
        </w:rPr>
        <w:t>la</w:t>
      </w:r>
      <w:r>
        <w:rPr>
          <w:color w:val="231F20"/>
          <w:spacing w:val="-21"/>
          <w:w w:val="105"/>
        </w:rPr>
        <w:t> </w:t>
      </w:r>
      <w:r>
        <w:rPr>
          <w:color w:val="231F20"/>
          <w:w w:val="105"/>
        </w:rPr>
        <w:t>posi- ción</w:t>
      </w:r>
      <w:r>
        <w:rPr>
          <w:color w:val="231F20"/>
          <w:spacing w:val="-15"/>
          <w:w w:val="105"/>
        </w:rPr>
        <w:t> </w:t>
      </w:r>
      <w:r>
        <w:rPr>
          <w:color w:val="231F20"/>
          <w:w w:val="105"/>
        </w:rPr>
        <w:t>privilegiada</w:t>
      </w:r>
      <w:r>
        <w:rPr>
          <w:color w:val="231F20"/>
          <w:spacing w:val="-15"/>
          <w:w w:val="105"/>
        </w:rPr>
        <w:t> </w:t>
      </w:r>
      <w:r>
        <w:rPr>
          <w:color w:val="231F20"/>
          <w:w w:val="105"/>
        </w:rPr>
        <w:t>(personal,</w:t>
      </w:r>
      <w:r>
        <w:rPr>
          <w:color w:val="231F20"/>
          <w:spacing w:val="-15"/>
          <w:w w:val="105"/>
        </w:rPr>
        <w:t> </w:t>
      </w:r>
      <w:r>
        <w:rPr>
          <w:color w:val="231F20"/>
          <w:w w:val="105"/>
        </w:rPr>
        <w:t>pero</w:t>
      </w:r>
      <w:r>
        <w:rPr>
          <w:color w:val="231F20"/>
          <w:spacing w:val="-15"/>
          <w:w w:val="105"/>
        </w:rPr>
        <w:t> </w:t>
      </w:r>
      <w:r>
        <w:rPr>
          <w:color w:val="231F20"/>
          <w:w w:val="105"/>
        </w:rPr>
        <w:t>sobre</w:t>
      </w:r>
      <w:r>
        <w:rPr>
          <w:color w:val="231F20"/>
          <w:spacing w:val="-15"/>
          <w:w w:val="105"/>
        </w:rPr>
        <w:t> </w:t>
      </w:r>
      <w:r>
        <w:rPr>
          <w:color w:val="231F20"/>
          <w:w w:val="105"/>
        </w:rPr>
        <w:t>todo</w:t>
      </w:r>
      <w:r>
        <w:rPr>
          <w:color w:val="231F20"/>
          <w:spacing w:val="-15"/>
          <w:w w:val="105"/>
        </w:rPr>
        <w:t> </w:t>
      </w:r>
      <w:r>
        <w:rPr>
          <w:color w:val="231F20"/>
          <w:w w:val="105"/>
        </w:rPr>
        <w:t>occidental)</w:t>
      </w:r>
      <w:r>
        <w:rPr>
          <w:color w:val="231F20"/>
          <w:spacing w:val="-15"/>
          <w:w w:val="105"/>
        </w:rPr>
        <w:t> </w:t>
      </w:r>
      <w:r>
        <w:rPr>
          <w:color w:val="231F20"/>
          <w:w w:val="105"/>
        </w:rPr>
        <w:t>desde</w:t>
      </w:r>
      <w:r>
        <w:rPr>
          <w:color w:val="231F20"/>
          <w:spacing w:val="-15"/>
          <w:w w:val="105"/>
        </w:rPr>
        <w:t> </w:t>
      </w:r>
      <w:r>
        <w:rPr>
          <w:color w:val="231F20"/>
          <w:w w:val="105"/>
        </w:rPr>
        <w:t>la</w:t>
      </w:r>
      <w:r>
        <w:rPr>
          <w:color w:val="231F20"/>
          <w:spacing w:val="-15"/>
          <w:w w:val="105"/>
        </w:rPr>
        <w:t> </w:t>
      </w:r>
      <w:r>
        <w:rPr>
          <w:color w:val="231F20"/>
          <w:w w:val="105"/>
        </w:rPr>
        <w:t>cual</w:t>
      </w:r>
      <w:r>
        <w:rPr>
          <w:color w:val="231F20"/>
          <w:spacing w:val="-15"/>
          <w:w w:val="105"/>
        </w:rPr>
        <w:t> </w:t>
      </w:r>
      <w:r>
        <w:rPr>
          <w:color w:val="231F20"/>
          <w:w w:val="105"/>
        </w:rPr>
        <w:t>me encuentro</w:t>
      </w:r>
      <w:r>
        <w:rPr>
          <w:color w:val="231F20"/>
          <w:spacing w:val="-32"/>
          <w:w w:val="105"/>
        </w:rPr>
        <w:t> </w:t>
      </w:r>
      <w:r>
        <w:rPr>
          <w:color w:val="231F20"/>
          <w:w w:val="105"/>
        </w:rPr>
        <w:t>pensando</w:t>
      </w:r>
      <w:r>
        <w:rPr>
          <w:color w:val="231F20"/>
          <w:spacing w:val="-32"/>
          <w:w w:val="105"/>
        </w:rPr>
        <w:t> </w:t>
      </w:r>
      <w:r>
        <w:rPr>
          <w:color w:val="231F20"/>
          <w:w w:val="105"/>
        </w:rPr>
        <w:t>en</w:t>
      </w:r>
      <w:r>
        <w:rPr>
          <w:color w:val="231F20"/>
          <w:spacing w:val="-32"/>
          <w:w w:val="105"/>
        </w:rPr>
        <w:t> </w:t>
      </w:r>
      <w:r>
        <w:rPr>
          <w:color w:val="231F20"/>
          <w:w w:val="105"/>
        </w:rPr>
        <w:t>estas</w:t>
      </w:r>
      <w:r>
        <w:rPr>
          <w:color w:val="231F20"/>
          <w:spacing w:val="-32"/>
          <w:w w:val="105"/>
        </w:rPr>
        <w:t> </w:t>
      </w:r>
      <w:r>
        <w:rPr>
          <w:color w:val="231F20"/>
          <w:w w:val="105"/>
        </w:rPr>
        <w:t>cosas.</w:t>
      </w:r>
      <w:r>
        <w:rPr>
          <w:color w:val="231F20"/>
          <w:spacing w:val="-32"/>
          <w:w w:val="105"/>
        </w:rPr>
        <w:t> </w:t>
      </w:r>
      <w:r>
        <w:rPr>
          <w:color w:val="231F20"/>
          <w:w w:val="105"/>
        </w:rPr>
        <w:t>Me</w:t>
      </w:r>
      <w:r>
        <w:rPr>
          <w:color w:val="231F20"/>
          <w:spacing w:val="-32"/>
          <w:w w:val="105"/>
        </w:rPr>
        <w:t> </w:t>
      </w:r>
      <w:r>
        <w:rPr>
          <w:color w:val="231F20"/>
          <w:w w:val="105"/>
        </w:rPr>
        <w:t>parece</w:t>
      </w:r>
      <w:r>
        <w:rPr>
          <w:color w:val="231F20"/>
          <w:spacing w:val="-32"/>
          <w:w w:val="105"/>
        </w:rPr>
        <w:t> </w:t>
      </w:r>
      <w:r>
        <w:rPr>
          <w:color w:val="231F20"/>
          <w:w w:val="105"/>
        </w:rPr>
        <w:t>que</w:t>
      </w:r>
      <w:r>
        <w:rPr>
          <w:color w:val="231F20"/>
          <w:spacing w:val="-32"/>
          <w:w w:val="105"/>
        </w:rPr>
        <w:t> </w:t>
      </w:r>
      <w:r>
        <w:rPr>
          <w:color w:val="231F20"/>
          <w:w w:val="105"/>
        </w:rPr>
        <w:t>estamos</w:t>
      </w:r>
      <w:r>
        <w:rPr>
          <w:color w:val="231F20"/>
          <w:spacing w:val="-32"/>
          <w:w w:val="105"/>
        </w:rPr>
        <w:t> </w:t>
      </w:r>
      <w:r>
        <w:rPr>
          <w:color w:val="231F20"/>
          <w:w w:val="105"/>
        </w:rPr>
        <w:t>fuera</w:t>
      </w:r>
      <w:r>
        <w:rPr>
          <w:color w:val="231F20"/>
          <w:spacing w:val="-32"/>
          <w:w w:val="105"/>
        </w:rPr>
        <w:t> </w:t>
      </w:r>
      <w:r>
        <w:rPr>
          <w:color w:val="231F20"/>
          <w:w w:val="105"/>
        </w:rPr>
        <w:t>no</w:t>
      </w:r>
      <w:r>
        <w:rPr>
          <w:color w:val="231F20"/>
          <w:spacing w:val="-32"/>
          <w:w w:val="105"/>
        </w:rPr>
        <w:t> </w:t>
      </w:r>
      <w:r>
        <w:rPr>
          <w:color w:val="231F20"/>
          <w:w w:val="105"/>
        </w:rPr>
        <w:t>sólo del</w:t>
      </w:r>
      <w:r>
        <w:rPr>
          <w:color w:val="231F20"/>
          <w:spacing w:val="-13"/>
          <w:w w:val="105"/>
        </w:rPr>
        <w:t> </w:t>
      </w:r>
      <w:r>
        <w:rPr>
          <w:color w:val="231F20"/>
          <w:w w:val="105"/>
        </w:rPr>
        <w:t>“conjunto</w:t>
      </w:r>
      <w:r>
        <w:rPr>
          <w:color w:val="231F20"/>
          <w:spacing w:val="-13"/>
          <w:w w:val="105"/>
        </w:rPr>
        <w:t> </w:t>
      </w:r>
      <w:r>
        <w:rPr>
          <w:color w:val="231F20"/>
          <w:w w:val="105"/>
        </w:rPr>
        <w:t>simbólico”</w:t>
      </w:r>
      <w:r>
        <w:rPr>
          <w:color w:val="231F20"/>
          <w:spacing w:val="-13"/>
          <w:w w:val="105"/>
        </w:rPr>
        <w:t> </w:t>
      </w:r>
      <w:r>
        <w:rPr>
          <w:color w:val="231F20"/>
          <w:w w:val="105"/>
        </w:rPr>
        <w:t>que,</w:t>
      </w:r>
      <w:r>
        <w:rPr>
          <w:color w:val="231F20"/>
          <w:spacing w:val="-13"/>
          <w:w w:val="105"/>
        </w:rPr>
        <w:t> </w:t>
      </w:r>
      <w:r>
        <w:rPr>
          <w:color w:val="231F20"/>
          <w:w w:val="105"/>
        </w:rPr>
        <w:t>en</w:t>
      </w:r>
      <w:r>
        <w:rPr>
          <w:color w:val="231F20"/>
          <w:spacing w:val="-13"/>
          <w:w w:val="105"/>
        </w:rPr>
        <w:t> </w:t>
      </w:r>
      <w:r>
        <w:rPr>
          <w:color w:val="231F20"/>
          <w:w w:val="105"/>
        </w:rPr>
        <w:t>sus</w:t>
      </w:r>
      <w:r>
        <w:rPr>
          <w:color w:val="231F20"/>
          <w:spacing w:val="-13"/>
          <w:w w:val="105"/>
        </w:rPr>
        <w:t> </w:t>
      </w:r>
      <w:r>
        <w:rPr>
          <w:color w:val="231F20"/>
          <w:w w:val="105"/>
        </w:rPr>
        <w:t>contradicciones,</w:t>
      </w:r>
      <w:r>
        <w:rPr>
          <w:color w:val="231F20"/>
          <w:spacing w:val="-13"/>
          <w:w w:val="105"/>
        </w:rPr>
        <w:t> </w:t>
      </w:r>
      <w:r>
        <w:rPr>
          <w:color w:val="231F20"/>
          <w:w w:val="105"/>
        </w:rPr>
        <w:t>ha</w:t>
      </w:r>
      <w:r>
        <w:rPr>
          <w:color w:val="231F20"/>
          <w:spacing w:val="-13"/>
          <w:w w:val="105"/>
        </w:rPr>
        <w:t> </w:t>
      </w:r>
      <w:r>
        <w:rPr>
          <w:color w:val="231F20"/>
          <w:w w:val="105"/>
        </w:rPr>
        <w:t>acompañado</w:t>
      </w:r>
      <w:r>
        <w:rPr>
          <w:color w:val="231F20"/>
          <w:spacing w:val="-13"/>
          <w:w w:val="105"/>
        </w:rPr>
        <w:t> </w:t>
      </w:r>
      <w:r>
        <w:rPr>
          <w:color w:val="231F20"/>
          <w:w w:val="105"/>
        </w:rPr>
        <w:t>al Estado</w:t>
      </w:r>
      <w:r>
        <w:rPr>
          <w:color w:val="231F20"/>
          <w:spacing w:val="-35"/>
          <w:w w:val="105"/>
        </w:rPr>
        <w:t> </w:t>
      </w:r>
      <w:r>
        <w:rPr>
          <w:color w:val="231F20"/>
          <w:w w:val="105"/>
        </w:rPr>
        <w:t>durante</w:t>
      </w:r>
      <w:r>
        <w:rPr>
          <w:color w:val="231F20"/>
          <w:spacing w:val="-35"/>
          <w:w w:val="105"/>
        </w:rPr>
        <w:t> </w:t>
      </w:r>
      <w:r>
        <w:rPr>
          <w:color w:val="231F20"/>
          <w:w w:val="105"/>
        </w:rPr>
        <w:t>algunos</w:t>
      </w:r>
      <w:r>
        <w:rPr>
          <w:color w:val="231F20"/>
          <w:spacing w:val="-35"/>
          <w:w w:val="105"/>
        </w:rPr>
        <w:t> </w:t>
      </w:r>
      <w:r>
        <w:rPr>
          <w:color w:val="231F20"/>
          <w:w w:val="105"/>
        </w:rPr>
        <w:t>siglos;</w:t>
      </w:r>
      <w:r>
        <w:rPr>
          <w:color w:val="231F20"/>
          <w:spacing w:val="-35"/>
          <w:w w:val="105"/>
        </w:rPr>
        <w:t> </w:t>
      </w:r>
      <w:r>
        <w:rPr>
          <w:color w:val="231F20"/>
          <w:w w:val="105"/>
        </w:rPr>
        <w:t>estamos</w:t>
      </w:r>
      <w:r>
        <w:rPr>
          <w:color w:val="231F20"/>
          <w:spacing w:val="-35"/>
          <w:w w:val="105"/>
        </w:rPr>
        <w:t> </w:t>
      </w:r>
      <w:r>
        <w:rPr>
          <w:color w:val="231F20"/>
          <w:w w:val="105"/>
        </w:rPr>
        <w:t>fuera</w:t>
      </w:r>
      <w:r>
        <w:rPr>
          <w:color w:val="231F20"/>
          <w:spacing w:val="-35"/>
          <w:w w:val="105"/>
        </w:rPr>
        <w:t> </w:t>
      </w:r>
      <w:r>
        <w:rPr>
          <w:color w:val="231F20"/>
          <w:w w:val="105"/>
        </w:rPr>
        <w:t>también</w:t>
      </w:r>
      <w:r>
        <w:rPr>
          <w:color w:val="231F20"/>
          <w:spacing w:val="-35"/>
          <w:w w:val="105"/>
        </w:rPr>
        <w:t> </w:t>
      </w:r>
      <w:r>
        <w:rPr>
          <w:color w:val="231F20"/>
          <w:w w:val="105"/>
        </w:rPr>
        <w:t>del</w:t>
      </w:r>
      <w:r>
        <w:rPr>
          <w:color w:val="231F20"/>
          <w:spacing w:val="-35"/>
          <w:w w:val="105"/>
        </w:rPr>
        <w:t> </w:t>
      </w:r>
      <w:r>
        <w:rPr>
          <w:color w:val="231F20"/>
          <w:w w:val="105"/>
        </w:rPr>
        <w:t>campo</w:t>
      </w:r>
      <w:r>
        <w:rPr>
          <w:color w:val="231F20"/>
          <w:spacing w:val="-35"/>
          <w:w w:val="105"/>
        </w:rPr>
        <w:t> </w:t>
      </w:r>
      <w:r>
        <w:rPr>
          <w:color w:val="231F20"/>
          <w:w w:val="105"/>
        </w:rPr>
        <w:t>de</w:t>
      </w:r>
      <w:r>
        <w:rPr>
          <w:color w:val="231F20"/>
          <w:spacing w:val="-35"/>
          <w:w w:val="105"/>
        </w:rPr>
        <w:t> </w:t>
      </w:r>
      <w:r>
        <w:rPr>
          <w:color w:val="231F20"/>
          <w:w w:val="105"/>
        </w:rPr>
        <w:t>inter- mediación</w:t>
      </w:r>
      <w:r>
        <w:rPr>
          <w:color w:val="231F20"/>
          <w:spacing w:val="-25"/>
          <w:w w:val="105"/>
        </w:rPr>
        <w:t> </w:t>
      </w:r>
      <w:r>
        <w:rPr>
          <w:color w:val="231F20"/>
          <w:w w:val="105"/>
        </w:rPr>
        <w:t>estructural</w:t>
      </w:r>
      <w:r>
        <w:rPr>
          <w:color w:val="231F20"/>
          <w:spacing w:val="-25"/>
          <w:w w:val="105"/>
        </w:rPr>
        <w:t> </w:t>
      </w:r>
      <w:r>
        <w:rPr>
          <w:color w:val="231F20"/>
          <w:w w:val="105"/>
        </w:rPr>
        <w:t>que</w:t>
      </w:r>
      <w:r>
        <w:rPr>
          <w:color w:val="231F20"/>
          <w:spacing w:val="-25"/>
          <w:w w:val="105"/>
        </w:rPr>
        <w:t> </w:t>
      </w:r>
      <w:r>
        <w:rPr>
          <w:color w:val="231F20"/>
          <w:w w:val="105"/>
        </w:rPr>
        <w:t>esa</w:t>
      </w:r>
      <w:r>
        <w:rPr>
          <w:color w:val="231F20"/>
          <w:spacing w:val="-25"/>
          <w:w w:val="105"/>
        </w:rPr>
        <w:t> </w:t>
      </w:r>
      <w:r>
        <w:rPr>
          <w:color w:val="231F20"/>
          <w:w w:val="105"/>
        </w:rPr>
        <w:t>forma</w:t>
      </w:r>
      <w:r>
        <w:rPr>
          <w:color w:val="231F20"/>
          <w:spacing w:val="-25"/>
          <w:w w:val="105"/>
        </w:rPr>
        <w:t> </w:t>
      </w:r>
      <w:r>
        <w:rPr>
          <w:color w:val="231F20"/>
          <w:w w:val="105"/>
        </w:rPr>
        <w:t>ha</w:t>
      </w:r>
      <w:r>
        <w:rPr>
          <w:color w:val="231F20"/>
          <w:spacing w:val="-25"/>
          <w:w w:val="105"/>
        </w:rPr>
        <w:t> </w:t>
      </w:r>
      <w:r>
        <w:rPr>
          <w:color w:val="231F20"/>
          <w:w w:val="105"/>
        </w:rPr>
        <w:t>podido</w:t>
      </w:r>
      <w:r>
        <w:rPr>
          <w:color w:val="231F20"/>
          <w:spacing w:val="-25"/>
          <w:w w:val="105"/>
        </w:rPr>
        <w:t> </w:t>
      </w:r>
      <w:r>
        <w:rPr>
          <w:color w:val="231F20"/>
          <w:spacing w:val="-3"/>
          <w:w w:val="105"/>
        </w:rPr>
        <w:t>realizar,</w:t>
      </w:r>
      <w:r>
        <w:rPr>
          <w:color w:val="231F20"/>
          <w:spacing w:val="-25"/>
          <w:w w:val="105"/>
        </w:rPr>
        <w:t> </w:t>
      </w:r>
      <w:r>
        <w:rPr>
          <w:color w:val="231F20"/>
          <w:w w:val="105"/>
        </w:rPr>
        <w:t>por</w:t>
      </w:r>
      <w:r>
        <w:rPr>
          <w:color w:val="231F20"/>
          <w:spacing w:val="-25"/>
          <w:w w:val="105"/>
        </w:rPr>
        <w:t> </w:t>
      </w:r>
      <w:r>
        <w:rPr>
          <w:color w:val="231F20"/>
          <w:w w:val="105"/>
        </w:rPr>
        <w:t>largo</w:t>
      </w:r>
      <w:r>
        <w:rPr>
          <w:color w:val="231F20"/>
          <w:spacing w:val="-25"/>
          <w:w w:val="105"/>
        </w:rPr>
        <w:t> </w:t>
      </w:r>
      <w:r>
        <w:rPr>
          <w:color w:val="231F20"/>
          <w:w w:val="105"/>
        </w:rPr>
        <w:t>tiempo, respecto a las contradicciones de clase del capitalismo maduro. En</w:t>
      </w:r>
      <w:r>
        <w:rPr>
          <w:color w:val="231F20"/>
          <w:spacing w:val="-38"/>
          <w:w w:val="105"/>
        </w:rPr>
        <w:t> </w:t>
      </w:r>
      <w:r>
        <w:rPr>
          <w:color w:val="231F20"/>
          <w:w w:val="105"/>
        </w:rPr>
        <w:t>este punto,</w:t>
      </w:r>
      <w:r>
        <w:rPr>
          <w:color w:val="231F20"/>
          <w:spacing w:val="-16"/>
          <w:w w:val="105"/>
        </w:rPr>
        <w:t> </w:t>
      </w:r>
      <w:r>
        <w:rPr>
          <w:color w:val="231F20"/>
          <w:w w:val="105"/>
        </w:rPr>
        <w:t>parece</w:t>
      </w:r>
      <w:r>
        <w:rPr>
          <w:color w:val="231F20"/>
          <w:spacing w:val="-16"/>
          <w:w w:val="105"/>
        </w:rPr>
        <w:t> </w:t>
      </w:r>
      <w:r>
        <w:rPr>
          <w:color w:val="231F20"/>
          <w:w w:val="105"/>
        </w:rPr>
        <w:t>haberse</w:t>
      </w:r>
      <w:r>
        <w:rPr>
          <w:color w:val="231F20"/>
          <w:spacing w:val="-16"/>
          <w:w w:val="105"/>
        </w:rPr>
        <w:t> </w:t>
      </w:r>
      <w:r>
        <w:rPr>
          <w:color w:val="231F20"/>
          <w:w w:val="105"/>
        </w:rPr>
        <w:t>roto</w:t>
      </w:r>
      <w:r>
        <w:rPr>
          <w:color w:val="231F20"/>
          <w:spacing w:val="-16"/>
          <w:w w:val="105"/>
        </w:rPr>
        <w:t> </w:t>
      </w:r>
      <w:r>
        <w:rPr>
          <w:color w:val="231F20"/>
          <w:w w:val="105"/>
        </w:rPr>
        <w:t>el</w:t>
      </w:r>
      <w:r>
        <w:rPr>
          <w:color w:val="231F20"/>
          <w:spacing w:val="-16"/>
          <w:w w:val="105"/>
        </w:rPr>
        <w:t> </w:t>
      </w:r>
      <w:r>
        <w:rPr>
          <w:color w:val="231F20"/>
          <w:w w:val="105"/>
        </w:rPr>
        <w:t>elástico</w:t>
      </w:r>
      <w:r>
        <w:rPr>
          <w:color w:val="231F20"/>
          <w:spacing w:val="-16"/>
          <w:w w:val="105"/>
        </w:rPr>
        <w:t> </w:t>
      </w:r>
      <w:r>
        <w:rPr>
          <w:color w:val="231F20"/>
          <w:w w:val="105"/>
        </w:rPr>
        <w:t>que</w:t>
      </w:r>
      <w:r>
        <w:rPr>
          <w:color w:val="231F20"/>
          <w:spacing w:val="-16"/>
          <w:w w:val="105"/>
        </w:rPr>
        <w:t> </w:t>
      </w:r>
      <w:r>
        <w:rPr>
          <w:color w:val="231F20"/>
          <w:w w:val="105"/>
        </w:rPr>
        <w:t>ha</w:t>
      </w:r>
      <w:r>
        <w:rPr>
          <w:color w:val="231F20"/>
          <w:spacing w:val="-16"/>
          <w:w w:val="105"/>
        </w:rPr>
        <w:t> </w:t>
      </w:r>
      <w:r>
        <w:rPr>
          <w:color w:val="231F20"/>
          <w:w w:val="105"/>
        </w:rPr>
        <w:t>mantenido</w:t>
      </w:r>
      <w:r>
        <w:rPr>
          <w:color w:val="231F20"/>
          <w:spacing w:val="-16"/>
          <w:w w:val="105"/>
        </w:rPr>
        <w:t> </w:t>
      </w:r>
      <w:r>
        <w:rPr>
          <w:color w:val="231F20"/>
          <w:w w:val="105"/>
        </w:rPr>
        <w:t>juntos</w:t>
      </w:r>
      <w:r>
        <w:rPr>
          <w:color w:val="231F20"/>
          <w:spacing w:val="-16"/>
          <w:w w:val="105"/>
        </w:rPr>
        <w:t> </w:t>
      </w:r>
      <w:r>
        <w:rPr>
          <w:color w:val="231F20"/>
          <w:w w:val="105"/>
        </w:rPr>
        <w:t>Estado</w:t>
      </w:r>
      <w:r>
        <w:rPr>
          <w:color w:val="231F20"/>
          <w:spacing w:val="-16"/>
          <w:w w:val="105"/>
        </w:rPr>
        <w:t> </w:t>
      </w:r>
      <w:r>
        <w:rPr>
          <w:color w:val="231F20"/>
          <w:w w:val="105"/>
        </w:rPr>
        <w:t>y política</w:t>
      </w:r>
      <w:r>
        <w:rPr>
          <w:color w:val="231F20"/>
          <w:spacing w:val="-33"/>
          <w:w w:val="105"/>
        </w:rPr>
        <w:t> </w:t>
      </w:r>
      <w:r>
        <w:rPr>
          <w:color w:val="231F20"/>
          <w:w w:val="105"/>
        </w:rPr>
        <w:t>en</w:t>
      </w:r>
      <w:r>
        <w:rPr>
          <w:color w:val="231F20"/>
          <w:spacing w:val="-33"/>
          <w:w w:val="105"/>
        </w:rPr>
        <w:t> </w:t>
      </w:r>
      <w:r>
        <w:rPr>
          <w:color w:val="231F20"/>
          <w:w w:val="105"/>
        </w:rPr>
        <w:t>Occidente,</w:t>
      </w:r>
      <w:r>
        <w:rPr>
          <w:color w:val="231F20"/>
          <w:spacing w:val="-33"/>
          <w:w w:val="105"/>
        </w:rPr>
        <w:t> </w:t>
      </w:r>
      <w:r>
        <w:rPr>
          <w:color w:val="231F20"/>
          <w:w w:val="105"/>
        </w:rPr>
        <w:t>durante</w:t>
      </w:r>
      <w:r>
        <w:rPr>
          <w:color w:val="231F20"/>
          <w:spacing w:val="-33"/>
          <w:w w:val="105"/>
        </w:rPr>
        <w:t> </w:t>
      </w:r>
      <w:r>
        <w:rPr>
          <w:color w:val="231F20"/>
          <w:w w:val="105"/>
        </w:rPr>
        <w:t>más</w:t>
      </w:r>
      <w:r>
        <w:rPr>
          <w:color w:val="231F20"/>
          <w:spacing w:val="-32"/>
          <w:w w:val="105"/>
        </w:rPr>
        <w:t> </w:t>
      </w:r>
      <w:r>
        <w:rPr>
          <w:color w:val="231F20"/>
          <w:w w:val="105"/>
        </w:rPr>
        <w:t>o</w:t>
      </w:r>
      <w:r>
        <w:rPr>
          <w:color w:val="231F20"/>
          <w:spacing w:val="-33"/>
          <w:w w:val="105"/>
        </w:rPr>
        <w:t> </w:t>
      </w:r>
      <w:r>
        <w:rPr>
          <w:color w:val="231F20"/>
          <w:w w:val="105"/>
        </w:rPr>
        <w:t>menos</w:t>
      </w:r>
      <w:r>
        <w:rPr>
          <w:color w:val="231F20"/>
          <w:spacing w:val="-32"/>
          <w:w w:val="105"/>
        </w:rPr>
        <w:t> </w:t>
      </w:r>
      <w:r>
        <w:rPr>
          <w:color w:val="231F20"/>
          <w:w w:val="105"/>
        </w:rPr>
        <w:t>toda</w:t>
      </w:r>
      <w:r>
        <w:rPr>
          <w:color w:val="231F20"/>
          <w:spacing w:val="-32"/>
          <w:w w:val="105"/>
        </w:rPr>
        <w:t> </w:t>
      </w:r>
      <w:r>
        <w:rPr>
          <w:color w:val="231F20"/>
          <w:w w:val="105"/>
        </w:rPr>
        <w:t>la</w:t>
      </w:r>
      <w:r>
        <w:rPr>
          <w:color w:val="231F20"/>
          <w:spacing w:val="-33"/>
          <w:w w:val="105"/>
        </w:rPr>
        <w:t> </w:t>
      </w:r>
      <w:r>
        <w:rPr>
          <w:color w:val="231F20"/>
          <w:w w:val="105"/>
        </w:rPr>
        <w:t>edad</w:t>
      </w:r>
      <w:r>
        <w:rPr>
          <w:color w:val="231F20"/>
          <w:spacing w:val="-32"/>
          <w:w w:val="105"/>
        </w:rPr>
        <w:t> </w:t>
      </w:r>
      <w:r>
        <w:rPr>
          <w:color w:val="231F20"/>
          <w:w w:val="105"/>
        </w:rPr>
        <w:t>moderna.</w:t>
      </w:r>
      <w:r>
        <w:rPr>
          <w:color w:val="231F20"/>
          <w:spacing w:val="-32"/>
          <w:w w:val="105"/>
        </w:rPr>
        <w:t> </w:t>
      </w:r>
      <w:r>
        <w:rPr>
          <w:color w:val="231F20"/>
          <w:w w:val="105"/>
        </w:rPr>
        <w:t>Ignoro si</w:t>
      </w:r>
      <w:r>
        <w:rPr>
          <w:color w:val="231F20"/>
          <w:spacing w:val="-14"/>
          <w:w w:val="105"/>
        </w:rPr>
        <w:t> </w:t>
      </w:r>
      <w:r>
        <w:rPr>
          <w:color w:val="231F20"/>
          <w:w w:val="105"/>
        </w:rPr>
        <w:t>hay</w:t>
      </w:r>
      <w:r>
        <w:rPr>
          <w:color w:val="231F20"/>
          <w:spacing w:val="-14"/>
          <w:w w:val="105"/>
        </w:rPr>
        <w:t> </w:t>
      </w:r>
      <w:r>
        <w:rPr>
          <w:color w:val="231F20"/>
          <w:w w:val="105"/>
        </w:rPr>
        <w:t>otros</w:t>
      </w:r>
      <w:r>
        <w:rPr>
          <w:color w:val="231F20"/>
          <w:spacing w:val="-14"/>
          <w:w w:val="105"/>
        </w:rPr>
        <w:t> </w:t>
      </w:r>
      <w:r>
        <w:rPr>
          <w:color w:val="231F20"/>
          <w:w w:val="105"/>
        </w:rPr>
        <w:t>“casos”</w:t>
      </w:r>
      <w:r>
        <w:rPr>
          <w:color w:val="231F20"/>
          <w:spacing w:val="-14"/>
          <w:w w:val="105"/>
        </w:rPr>
        <w:t> </w:t>
      </w:r>
      <w:r>
        <w:rPr>
          <w:color w:val="231F20"/>
          <w:w w:val="105"/>
        </w:rPr>
        <w:t>de</w:t>
      </w:r>
      <w:r>
        <w:rPr>
          <w:color w:val="231F20"/>
          <w:spacing w:val="-14"/>
          <w:w w:val="105"/>
        </w:rPr>
        <w:t> </w:t>
      </w:r>
      <w:r>
        <w:rPr>
          <w:color w:val="231F20"/>
          <w:w w:val="105"/>
        </w:rPr>
        <w:t>modernidad</w:t>
      </w:r>
      <w:r>
        <w:rPr>
          <w:color w:val="231F20"/>
          <w:spacing w:val="-14"/>
          <w:w w:val="105"/>
        </w:rPr>
        <w:t> </w:t>
      </w:r>
      <w:r>
        <w:rPr>
          <w:color w:val="231F20"/>
          <w:w w:val="105"/>
        </w:rPr>
        <w:t>después</w:t>
      </w:r>
      <w:r>
        <w:rPr>
          <w:color w:val="231F20"/>
          <w:spacing w:val="-14"/>
          <w:w w:val="105"/>
        </w:rPr>
        <w:t> </w:t>
      </w:r>
      <w:r>
        <w:rPr>
          <w:color w:val="231F20"/>
          <w:w w:val="105"/>
        </w:rPr>
        <w:t>de</w:t>
      </w:r>
      <w:r>
        <w:rPr>
          <w:color w:val="231F20"/>
          <w:spacing w:val="-14"/>
          <w:w w:val="105"/>
        </w:rPr>
        <w:t> </w:t>
      </w:r>
      <w:r>
        <w:rPr>
          <w:color w:val="231F20"/>
          <w:w w:val="105"/>
        </w:rPr>
        <w:t>lo</w:t>
      </w:r>
      <w:r>
        <w:rPr>
          <w:color w:val="231F20"/>
          <w:spacing w:val="-14"/>
          <w:w w:val="105"/>
        </w:rPr>
        <w:t> </w:t>
      </w:r>
      <w:r>
        <w:rPr>
          <w:color w:val="231F20"/>
          <w:w w:val="105"/>
        </w:rPr>
        <w:t>postmoderno</w:t>
      </w:r>
      <w:r>
        <w:rPr>
          <w:color w:val="231F20"/>
          <w:spacing w:val="-14"/>
          <w:w w:val="105"/>
        </w:rPr>
        <w:t> </w:t>
      </w:r>
      <w:r>
        <w:rPr>
          <w:color w:val="231F20"/>
          <w:w w:val="105"/>
        </w:rPr>
        <w:t>o</w:t>
      </w:r>
      <w:r>
        <w:rPr>
          <w:color w:val="231F20"/>
          <w:spacing w:val="-14"/>
          <w:w w:val="105"/>
        </w:rPr>
        <w:t> </w:t>
      </w:r>
      <w:r>
        <w:rPr>
          <w:color w:val="231F20"/>
          <w:w w:val="105"/>
        </w:rPr>
        <w:t>dónde se</w:t>
      </w:r>
      <w:r>
        <w:rPr>
          <w:color w:val="231F20"/>
          <w:spacing w:val="-30"/>
          <w:w w:val="105"/>
        </w:rPr>
        <w:t> </w:t>
      </w:r>
      <w:r>
        <w:rPr>
          <w:color w:val="231F20"/>
          <w:w w:val="105"/>
        </w:rPr>
        <w:t>darán</w:t>
      </w:r>
      <w:r>
        <w:rPr>
          <w:color w:val="231F20"/>
          <w:spacing w:val="-30"/>
          <w:w w:val="105"/>
        </w:rPr>
        <w:t> </w:t>
      </w:r>
      <w:r>
        <w:rPr>
          <w:color w:val="231F20"/>
          <w:w w:val="105"/>
        </w:rPr>
        <w:t>otros</w:t>
      </w:r>
      <w:r>
        <w:rPr>
          <w:color w:val="231F20"/>
          <w:spacing w:val="-30"/>
          <w:w w:val="105"/>
        </w:rPr>
        <w:t> </w:t>
      </w:r>
      <w:r>
        <w:rPr>
          <w:color w:val="231F20"/>
          <w:w w:val="105"/>
        </w:rPr>
        <w:t>lugares</w:t>
      </w:r>
      <w:r>
        <w:rPr>
          <w:color w:val="231F20"/>
          <w:spacing w:val="-30"/>
          <w:w w:val="105"/>
        </w:rPr>
        <w:t> </w:t>
      </w:r>
      <w:r>
        <w:rPr>
          <w:color w:val="231F20"/>
          <w:w w:val="105"/>
        </w:rPr>
        <w:t>de</w:t>
      </w:r>
      <w:r>
        <w:rPr>
          <w:color w:val="231F20"/>
          <w:spacing w:val="-30"/>
          <w:w w:val="105"/>
        </w:rPr>
        <w:t> </w:t>
      </w:r>
      <w:r>
        <w:rPr>
          <w:color w:val="231F20"/>
          <w:w w:val="105"/>
        </w:rPr>
        <w:t>politización.</w:t>
      </w:r>
      <w:r>
        <w:rPr>
          <w:color w:val="231F20"/>
          <w:spacing w:val="-30"/>
          <w:w w:val="105"/>
        </w:rPr>
        <w:t> </w:t>
      </w:r>
      <w:r>
        <w:rPr>
          <w:color w:val="231F20"/>
          <w:w w:val="105"/>
        </w:rPr>
        <w:t>Ciertamente</w:t>
      </w:r>
      <w:r>
        <w:rPr>
          <w:color w:val="231F20"/>
          <w:spacing w:val="-30"/>
          <w:w w:val="105"/>
        </w:rPr>
        <w:t> </w:t>
      </w:r>
      <w:r>
        <w:rPr>
          <w:color w:val="231F20"/>
          <w:w w:val="105"/>
        </w:rPr>
        <w:t>ya</w:t>
      </w:r>
      <w:r>
        <w:rPr>
          <w:color w:val="231F20"/>
          <w:spacing w:val="-30"/>
          <w:w w:val="105"/>
        </w:rPr>
        <w:t> </w:t>
      </w:r>
      <w:r>
        <w:rPr>
          <w:color w:val="231F20"/>
          <w:w w:val="105"/>
        </w:rPr>
        <w:t>no</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w w:val="105"/>
        </w:rPr>
        <w:t>Estado.</w:t>
      </w:r>
    </w:p>
    <w:p>
      <w:pPr>
        <w:pStyle w:val="BodyText"/>
        <w:spacing w:line="244" w:lineRule="auto"/>
        <w:ind w:left="103" w:right="115" w:firstLine="566"/>
        <w:jc w:val="both"/>
      </w:pPr>
      <w:r>
        <w:rPr>
          <w:color w:val="231F20"/>
        </w:rPr>
        <w:t>El destino del Estado —como el de todas las figuras organizativas  de</w:t>
      </w:r>
      <w:r>
        <w:rPr>
          <w:color w:val="231F20"/>
          <w:spacing w:val="-4"/>
        </w:rPr>
        <w:t> </w:t>
      </w:r>
      <w:r>
        <w:rPr>
          <w:color w:val="231F20"/>
        </w:rPr>
        <w:t>sí</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humanidad</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dado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curso</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evolución—</w:t>
      </w:r>
      <w:r>
        <w:rPr>
          <w:color w:val="231F20"/>
          <w:spacing w:val="-4"/>
        </w:rPr>
        <w:t> </w:t>
      </w:r>
      <w:r>
        <w:rPr>
          <w:color w:val="231F20"/>
        </w:rPr>
        <w:t>será</w:t>
      </w:r>
      <w:r>
        <w:rPr>
          <w:color w:val="231F20"/>
          <w:spacing w:val="-4"/>
        </w:rPr>
        <w:t> </w:t>
      </w:r>
      <w:r>
        <w:rPr>
          <w:color w:val="231F20"/>
        </w:rPr>
        <w:t>con- fluir en el gran “depósito” de la administración que ha sido, aún antes de la política, el específico modo de ser humano en comunidad, es </w:t>
      </w:r>
      <w:r>
        <w:rPr>
          <w:color w:val="231F20"/>
          <w:spacing w:val="-4"/>
        </w:rPr>
        <w:t>decir, </w:t>
      </w:r>
      <w:r>
        <w:rPr>
          <w:color w:val="231F20"/>
        </w:rPr>
        <w:t>la primera y fundamental “comunidad”. Si es posible descubrir y hacer ren- </w:t>
      </w:r>
      <w:r>
        <w:rPr>
          <w:color w:val="231F20"/>
          <w:spacing w:val="-5"/>
        </w:rPr>
        <w:t>dir, </w:t>
      </w:r>
      <w:r>
        <w:rPr>
          <w:color w:val="231F20"/>
        </w:rPr>
        <w:t>en la administración, el respeto de los seres humanos hacia sí mismos y hacia los demás</w:t>
      </w:r>
      <w:r>
        <w:rPr>
          <w:color w:val="231F20"/>
          <w:position w:val="7"/>
          <w:sz w:val="12"/>
        </w:rPr>
        <w:t>17 </w:t>
      </w:r>
      <w:r>
        <w:rPr>
          <w:color w:val="231F20"/>
        </w:rPr>
        <w:t>no lo sé, pero lo espero. De otra forma, el futuro será de verdad distópico, como nos están advirtiendo, y no desde hace poco, los </w:t>
      </w:r>
      <w:r>
        <w:rPr>
          <w:rFonts w:ascii="Arial" w:hAnsi="Arial"/>
          <w:i/>
          <w:color w:val="231F20"/>
        </w:rPr>
        <w:t>desperates </w:t>
      </w:r>
      <w:r>
        <w:rPr>
          <w:color w:val="231F20"/>
        </w:rPr>
        <w:t>de un </w:t>
      </w:r>
      <w:r>
        <w:rPr>
          <w:rFonts w:ascii="Arial" w:hAnsi="Arial"/>
          <w:i/>
          <w:color w:val="231F20"/>
        </w:rPr>
        <w:t>New brave world</w:t>
      </w:r>
      <w:r>
        <w:rPr>
          <w:color w:val="231F20"/>
          <w:position w:val="7"/>
          <w:sz w:val="12"/>
        </w:rPr>
        <w:t>18</w:t>
      </w:r>
      <w:r>
        <w:rPr>
          <w:color w:val="231F20"/>
        </w:rPr>
        <w:t>, o nos tendremos que limitar a diagnosticar, junto con Anne–Marie Slaughter, la aparición de una especie de </w:t>
      </w:r>
      <w:r>
        <w:rPr>
          <w:rFonts w:ascii="Arial" w:hAnsi="Arial"/>
          <w:i/>
          <w:color w:val="231F20"/>
        </w:rPr>
        <w:t>disaggregate State</w:t>
      </w:r>
      <w:r>
        <w:rPr>
          <w:color w:val="231F20"/>
        </w:rPr>
        <w:t>, suspendido entre </w:t>
      </w:r>
      <w:r>
        <w:rPr>
          <w:rFonts w:ascii="Arial" w:hAnsi="Arial"/>
          <w:i/>
          <w:color w:val="231F20"/>
        </w:rPr>
        <w:t>governance y government</w:t>
      </w:r>
      <w:r>
        <w:rPr>
          <w:color w:val="231F20"/>
          <w:position w:val="7"/>
          <w:sz w:val="12"/>
        </w:rPr>
        <w:t>19</w:t>
      </w:r>
      <w:r>
        <w:rPr>
          <w:color w:val="231F20"/>
        </w:rPr>
        <w:t>. Los más optimistas llaman la atención sobre los “puntos nodales”, sugirien-  do</w:t>
      </w:r>
      <w:r>
        <w:rPr>
          <w:color w:val="231F20"/>
          <w:spacing w:val="30"/>
        </w:rPr>
        <w:t> </w:t>
      </w:r>
      <w:r>
        <w:rPr>
          <w:color w:val="231F20"/>
        </w:rPr>
        <w:t>por</w:t>
      </w:r>
      <w:r>
        <w:rPr>
          <w:color w:val="231F20"/>
          <w:spacing w:val="30"/>
        </w:rPr>
        <w:t> </w:t>
      </w:r>
      <w:r>
        <w:rPr>
          <w:color w:val="231F20"/>
        </w:rPr>
        <w:t>ejemplo</w:t>
      </w:r>
      <w:r>
        <w:rPr>
          <w:color w:val="231F20"/>
          <w:spacing w:val="30"/>
        </w:rPr>
        <w:t> </w:t>
      </w:r>
      <w:r>
        <w:rPr>
          <w:color w:val="231F20"/>
        </w:rPr>
        <w:t>que</w:t>
      </w:r>
      <w:r>
        <w:rPr>
          <w:color w:val="231F20"/>
          <w:spacing w:val="30"/>
        </w:rPr>
        <w:t> </w:t>
      </w:r>
      <w:r>
        <w:rPr>
          <w:color w:val="231F20"/>
        </w:rPr>
        <w:t>“el</w:t>
      </w:r>
      <w:r>
        <w:rPr>
          <w:color w:val="231F20"/>
          <w:spacing w:val="30"/>
        </w:rPr>
        <w:t> </w:t>
      </w:r>
      <w:r>
        <w:rPr>
          <w:color w:val="231F20"/>
        </w:rPr>
        <w:t>deshacerse</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problemática</w:t>
      </w:r>
      <w:r>
        <w:rPr>
          <w:color w:val="231F20"/>
          <w:spacing w:val="30"/>
        </w:rPr>
        <w:t> </w:t>
      </w:r>
      <w:r>
        <w:rPr>
          <w:color w:val="231F20"/>
        </w:rPr>
        <w:t>solidaridad</w:t>
      </w:r>
      <w:r>
        <w:rPr>
          <w:color w:val="231F20"/>
          <w:spacing w:val="30"/>
        </w:rPr>
        <w:t> </w:t>
      </w:r>
      <w:r>
        <w:rPr>
          <w:color w:val="231F20"/>
        </w:rPr>
        <w:t>entre</w:t>
      </w:r>
    </w:p>
    <w:p>
      <w:pPr>
        <w:pStyle w:val="BodyText"/>
        <w:rPr>
          <w:sz w:val="20"/>
        </w:rPr>
      </w:pPr>
    </w:p>
    <w:p>
      <w:pPr>
        <w:pStyle w:val="BodyText"/>
        <w:spacing w:before="8"/>
        <w:rPr>
          <w:sz w:val="15"/>
        </w:rPr>
      </w:pPr>
      <w:r>
        <w:rPr/>
        <w:pict>
          <v:line style="position:absolute;mso-position-horizontal-relative:page;mso-position-vertical-relative:paragraph;z-index:5392;mso-wrap-distance-left:0;mso-wrap-distance-right:0" from="65.1968pt,11.563511pt" to="178.5828pt,11.563511pt" stroked="true" strokeweight=".3pt" strokecolor="#231f20">
            <w10:wrap type="topAndBottom"/>
          </v:line>
        </w:pict>
      </w:r>
    </w:p>
    <w:p>
      <w:pPr>
        <w:spacing w:line="204" w:lineRule="exact" w:before="9"/>
        <w:ind w:left="103" w:right="0" w:firstLine="0"/>
        <w:jc w:val="left"/>
        <w:rPr>
          <w:rFonts w:ascii="Calibri" w:hAnsi="Calibri"/>
          <w:sz w:val="17"/>
        </w:rPr>
      </w:pPr>
      <w:r>
        <w:rPr>
          <w:rFonts w:ascii="Calibri" w:hAnsi="Calibri"/>
          <w:color w:val="231F20"/>
          <w:position w:val="6"/>
          <w:sz w:val="10"/>
        </w:rPr>
        <w:t>16 </w:t>
      </w:r>
      <w:r>
        <w:rPr>
          <w:rFonts w:ascii="Calibri" w:hAnsi="Calibri"/>
          <w:color w:val="231F20"/>
          <w:sz w:val="17"/>
        </w:rPr>
        <w:t>M. Cioli, </w:t>
      </w:r>
      <w:r>
        <w:rPr>
          <w:rFonts w:ascii="Calibri" w:hAnsi="Calibri"/>
          <w:i/>
          <w:color w:val="231F20"/>
          <w:sz w:val="17"/>
        </w:rPr>
        <w:t>Il fascismo e la “sua” arte</w:t>
      </w:r>
      <w:r>
        <w:rPr>
          <w:rFonts w:ascii="Calibri" w:hAnsi="Calibri"/>
          <w:color w:val="231F20"/>
          <w:sz w:val="17"/>
        </w:rPr>
        <w:t>, Firenze, Olski, 2005; también M. Cioli, </w:t>
      </w:r>
      <w:r>
        <w:rPr>
          <w:rFonts w:ascii="Calibri" w:hAnsi="Calibri"/>
          <w:i/>
          <w:color w:val="231F20"/>
          <w:sz w:val="17"/>
        </w:rPr>
        <w:t>Fascismo e modernismo</w:t>
      </w:r>
      <w:r>
        <w:rPr>
          <w:rFonts w:ascii="Calibri" w:hAnsi="Calibri"/>
          <w:color w:val="231F20"/>
          <w:sz w:val="17"/>
        </w:rPr>
        <w:t>, de  próxima publicación.</w:t>
      </w:r>
    </w:p>
    <w:p>
      <w:pPr>
        <w:spacing w:line="204" w:lineRule="exact" w:before="0"/>
        <w:ind w:left="103" w:right="20" w:firstLine="0"/>
        <w:jc w:val="left"/>
        <w:rPr>
          <w:rFonts w:ascii="Calibri" w:hAnsi="Calibri"/>
          <w:sz w:val="17"/>
        </w:rPr>
      </w:pPr>
      <w:r>
        <w:rPr>
          <w:rFonts w:ascii="Calibri" w:hAnsi="Calibri"/>
          <w:color w:val="231F20"/>
          <w:position w:val="6"/>
          <w:sz w:val="10"/>
        </w:rPr>
        <w:t>17 </w:t>
      </w:r>
      <w:r>
        <w:rPr>
          <w:rFonts w:ascii="Calibri" w:hAnsi="Calibri"/>
          <w:color w:val="231F20"/>
          <w:sz w:val="17"/>
        </w:rPr>
        <w:t>L. Duguit, “Jean–Jacques Rousseau, Kant e Hegel”, </w:t>
      </w:r>
      <w:r>
        <w:rPr>
          <w:rFonts w:ascii="Calibri" w:hAnsi="Calibri"/>
          <w:i/>
          <w:color w:val="231F20"/>
          <w:sz w:val="17"/>
        </w:rPr>
        <w:t>Revue de droit public et de la science politique en </w:t>
      </w:r>
      <w:r>
        <w:rPr>
          <w:rFonts w:ascii="Calibri" w:hAnsi="Calibri"/>
          <w:i/>
          <w:color w:val="231F20"/>
          <w:w w:val="95"/>
          <w:sz w:val="17"/>
        </w:rPr>
        <w:t>France et à l’étranger</w:t>
      </w:r>
      <w:r>
        <w:rPr>
          <w:rFonts w:ascii="Calibri" w:hAnsi="Calibri"/>
          <w:color w:val="231F20"/>
          <w:w w:val="95"/>
          <w:sz w:val="17"/>
        </w:rPr>
        <w:t>, 2–3, avril–septembre 1918, pp. 173–211, 325–377.</w:t>
      </w:r>
    </w:p>
    <w:p>
      <w:pPr>
        <w:spacing w:line="206" w:lineRule="exact" w:before="1"/>
        <w:ind w:left="103" w:right="0" w:firstLine="0"/>
        <w:jc w:val="left"/>
        <w:rPr>
          <w:rFonts w:ascii="Calibri"/>
          <w:sz w:val="17"/>
        </w:rPr>
      </w:pPr>
      <w:r>
        <w:rPr>
          <w:rFonts w:ascii="Calibri"/>
          <w:color w:val="231F20"/>
          <w:position w:val="6"/>
          <w:sz w:val="10"/>
        </w:rPr>
        <w:t>18 </w:t>
      </w:r>
      <w:r>
        <w:rPr>
          <w:rFonts w:ascii="Calibri"/>
          <w:color w:val="231F20"/>
          <w:sz w:val="17"/>
        </w:rPr>
        <w:t>A. Huxley, </w:t>
      </w:r>
      <w:r>
        <w:rPr>
          <w:rFonts w:ascii="Calibri"/>
          <w:i/>
          <w:color w:val="231F20"/>
          <w:sz w:val="17"/>
        </w:rPr>
        <w:t>Brave New world </w:t>
      </w:r>
      <w:r>
        <w:rPr>
          <w:rFonts w:ascii="Calibri"/>
          <w:color w:val="231F20"/>
          <w:sz w:val="17"/>
        </w:rPr>
        <w:t>(1932) y </w:t>
      </w:r>
      <w:r>
        <w:rPr>
          <w:rFonts w:ascii="Calibri"/>
          <w:i/>
          <w:color w:val="231F20"/>
          <w:sz w:val="17"/>
        </w:rPr>
        <w:t>Brave new world revisited </w:t>
      </w:r>
      <w:r>
        <w:rPr>
          <w:rFonts w:ascii="Calibri"/>
          <w:color w:val="231F20"/>
          <w:sz w:val="17"/>
        </w:rPr>
        <w:t>(1958).</w:t>
      </w:r>
    </w:p>
    <w:p>
      <w:pPr>
        <w:spacing w:line="206" w:lineRule="exact" w:before="0"/>
        <w:ind w:left="103" w:right="0" w:firstLine="0"/>
        <w:jc w:val="left"/>
        <w:rPr>
          <w:rFonts w:ascii="Calibri"/>
          <w:sz w:val="17"/>
        </w:rPr>
      </w:pPr>
      <w:r>
        <w:rPr>
          <w:rFonts w:ascii="Calibri"/>
          <w:color w:val="231F20"/>
          <w:position w:val="6"/>
          <w:sz w:val="10"/>
        </w:rPr>
        <w:t>19  </w:t>
      </w:r>
      <w:r>
        <w:rPr>
          <w:rFonts w:ascii="Calibri"/>
          <w:color w:val="231F20"/>
          <w:sz w:val="17"/>
        </w:rPr>
        <w:t>A.M. Slaughter, </w:t>
      </w:r>
      <w:r>
        <w:rPr>
          <w:rFonts w:ascii="Calibri"/>
          <w:i/>
          <w:color w:val="231F20"/>
          <w:sz w:val="17"/>
        </w:rPr>
        <w:t>A new world order</w:t>
      </w:r>
      <w:r>
        <w:rPr>
          <w:rFonts w:ascii="Calibri"/>
          <w:color w:val="231F20"/>
          <w:sz w:val="17"/>
        </w:rPr>
        <w:t>, Princeton, N.J., Princeton University Press, 2004.</w:t>
      </w:r>
    </w:p>
    <w:p>
      <w:pPr>
        <w:pStyle w:val="BodyText"/>
        <w:rPr>
          <w:rFonts w:ascii="Calibri"/>
          <w:sz w:val="20"/>
        </w:rPr>
      </w:pPr>
    </w:p>
    <w:p>
      <w:pPr>
        <w:pStyle w:val="BodyText"/>
        <w:spacing w:before="9"/>
        <w:rPr>
          <w:rFonts w:ascii="Calibri"/>
          <w:sz w:val="27"/>
        </w:rPr>
      </w:pPr>
    </w:p>
    <w:p>
      <w:pPr>
        <w:tabs>
          <w:tab w:pos="1331" w:val="left" w:leader="none"/>
        </w:tabs>
        <w:spacing w:before="68"/>
        <w:ind w:left="281" w:right="0" w:firstLine="0"/>
        <w:jc w:val="left"/>
        <w:rPr>
          <w:rFonts w:ascii="Calibri"/>
          <w:sz w:val="16"/>
        </w:rPr>
      </w:pPr>
      <w:r>
        <w:rPr/>
        <w:pict>
          <v:group style="position:absolute;margin-left:98.787804pt;margin-top:-3.358812pt;width:20.4pt;height:43pt;mso-position-horizontal-relative:page;mso-position-vertical-relative:paragraph;z-index:-169984"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98</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3924" w:right="0" w:firstLine="0"/>
        <w:jc w:val="left"/>
        <w:rPr>
          <w:rFonts w:ascii="Arial" w:hAnsi="Arial"/>
          <w:sz w:val="20"/>
        </w:rPr>
      </w:pPr>
      <w:r>
        <w:rPr/>
        <w:pict>
          <v:group style="position:absolute;margin-left:383.821014pt;margin-top:-25.479271pt;width:8.65pt;height:41pt;mso-position-horizontal-relative:page;mso-position-vertical-relative:paragraph;z-index:-16993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3"/>
          <w:sz w:val="14"/>
        </w:rPr>
        <w:t> </w:t>
      </w:r>
      <w:r>
        <w:rPr>
          <w:rFonts w:ascii="Lucida Sans Unicode" w:hAnsi="Lucida Sans Unicode"/>
          <w:color w:val="6D6E71"/>
          <w:sz w:val="14"/>
        </w:rPr>
        <w:t>ESTADO</w:t>
      </w:r>
      <w:r>
        <w:rPr>
          <w:rFonts w:ascii="Lucida Sans Unicode" w:hAnsi="Lucida Sans Unicode"/>
          <w:color w:val="6D6E71"/>
          <w:spacing w:val="-23"/>
          <w:sz w:val="14"/>
        </w:rPr>
        <w:t> </w:t>
      </w:r>
      <w:r>
        <w:rPr>
          <w:rFonts w:ascii="Lucida Sans Unicode" w:hAnsi="Lucida Sans Unicode"/>
          <w:color w:val="6D6E71"/>
          <w:sz w:val="14"/>
        </w:rPr>
        <w:t>MODERNO</w:t>
      </w:r>
      <w:r>
        <w:rPr>
          <w:rFonts w:ascii="Lucida Sans Unicode" w:hAnsi="Lucida Sans Unicode"/>
          <w:color w:val="6D6E71"/>
          <w:spacing w:val="-23"/>
          <w:sz w:val="14"/>
        </w:rPr>
        <w:t> </w:t>
      </w:r>
      <w:r>
        <w:rPr>
          <w:rFonts w:ascii="Lucida Sans Unicode" w:hAnsi="Lucida Sans Unicode"/>
          <w:color w:val="6D6E71"/>
          <w:sz w:val="14"/>
        </w:rPr>
        <w:t>HOY</w:t>
      </w:r>
      <w:r>
        <w:rPr>
          <w:rFonts w:ascii="Lucida Sans Unicode" w:hAnsi="Lucida Sans Unicode"/>
          <w:color w:val="6D6E71"/>
          <w:spacing w:val="-23"/>
          <w:sz w:val="14"/>
        </w:rPr>
        <w:t> </w:t>
      </w:r>
      <w:r>
        <w:rPr>
          <w:rFonts w:ascii="Lucida Sans Unicode" w:hAnsi="Lucida Sans Unicode"/>
          <w:color w:val="6D6E71"/>
          <w:sz w:val="14"/>
        </w:rPr>
        <w:t>Y</w:t>
      </w:r>
      <w:r>
        <w:rPr>
          <w:rFonts w:ascii="Lucida Sans Unicode" w:hAnsi="Lucida Sans Unicode"/>
          <w:color w:val="6D6E71"/>
          <w:spacing w:val="-23"/>
          <w:sz w:val="14"/>
        </w:rPr>
        <w:t> </w:t>
      </w:r>
      <w:r>
        <w:rPr>
          <w:rFonts w:ascii="Lucida Sans Unicode" w:hAnsi="Lucida Sans Unicode"/>
          <w:color w:val="6D6E71"/>
          <w:sz w:val="14"/>
        </w:rPr>
        <w:t>MAÑANA</w:t>
      </w:r>
      <w:r>
        <w:rPr>
          <w:rFonts w:ascii="Arial" w:hAnsi="Arial"/>
          <w:color w:val="414042"/>
          <w:position w:val="-3"/>
          <w:sz w:val="20"/>
        </w:rPr>
        <w:tab/>
        <w:t>99</w:t>
      </w:r>
    </w:p>
    <w:p>
      <w:pPr>
        <w:pStyle w:val="BodyText"/>
        <w:rPr>
          <w:rFonts w:ascii="Arial"/>
          <w:sz w:val="20"/>
        </w:rPr>
      </w:pPr>
    </w:p>
    <w:p>
      <w:pPr>
        <w:pStyle w:val="BodyText"/>
        <w:rPr>
          <w:rFonts w:ascii="Arial"/>
          <w:sz w:val="20"/>
        </w:rPr>
      </w:pPr>
    </w:p>
    <w:p>
      <w:pPr>
        <w:pStyle w:val="BodyText"/>
        <w:spacing w:line="247" w:lineRule="auto" w:before="163"/>
        <w:ind w:left="117" w:right="101"/>
        <w:jc w:val="both"/>
      </w:pPr>
      <w:r>
        <w:rPr>
          <w:color w:val="231F20"/>
        </w:rPr>
        <w:t>el “espíritu del capitalismo”, liberalismo económico y Estado–nación (en   su forma democrático–representativa) es el aspecto crucial de la línea no- dal que estamos atravesando</w:t>
      </w:r>
      <w:r>
        <w:rPr>
          <w:color w:val="231F20"/>
          <w:position w:val="7"/>
          <w:sz w:val="12"/>
        </w:rPr>
        <w:t>20</w:t>
      </w:r>
      <w:r>
        <w:rPr>
          <w:color w:val="231F20"/>
        </w:rPr>
        <w:t>. Pero mientas la línea se arma, se inventan siempre nuevos modos para atizar el fuego y mimetizar a los sujetos que deberían ser</w:t>
      </w:r>
      <w:r>
        <w:rPr>
          <w:color w:val="231F20"/>
          <w:spacing w:val="56"/>
        </w:rPr>
        <w:t> </w:t>
      </w:r>
      <w:r>
        <w:rPr>
          <w:color w:val="231F20"/>
        </w:rPr>
        <w:t>golpeados.</w:t>
      </w:r>
    </w:p>
    <w:p>
      <w:pPr>
        <w:pStyle w:val="BodyText"/>
        <w:spacing w:line="247" w:lineRule="auto"/>
        <w:ind w:left="117" w:right="101" w:firstLine="566"/>
        <w:jc w:val="both"/>
      </w:pPr>
      <w:r>
        <w:rPr>
          <w:color w:val="231F20"/>
        </w:rPr>
        <w:t>El Estado, como estamos acostumbrados a conocerlo </w:t>
      </w:r>
      <w:r>
        <w:rPr>
          <w:color w:val="231F20"/>
          <w:spacing w:val="-5"/>
        </w:rPr>
        <w:t>hoy, </w:t>
      </w:r>
      <w:r>
        <w:rPr>
          <w:color w:val="231F20"/>
        </w:rPr>
        <w:t>presenta otro vínculo que parece indisoluble, además de aquel con la historia: el vínculo con el Derecho. El Estado es el lugar del Derecho y el Derecho es el lugar del Estado. El único Derecho es aquel del Estado y el único Estado es</w:t>
      </w:r>
      <w:r>
        <w:rPr>
          <w:color w:val="231F20"/>
          <w:spacing w:val="-7"/>
        </w:rPr>
        <w:t> </w:t>
      </w:r>
      <w:r>
        <w:rPr>
          <w:color w:val="231F20"/>
        </w:rPr>
        <w:t>aquel</w:t>
      </w:r>
      <w:r>
        <w:rPr>
          <w:color w:val="231F20"/>
          <w:spacing w:val="-7"/>
        </w:rPr>
        <w:t> </w:t>
      </w:r>
      <w:r>
        <w:rPr>
          <w:color w:val="231F20"/>
        </w:rPr>
        <w:t>del</w:t>
      </w:r>
      <w:r>
        <w:rPr>
          <w:color w:val="231F20"/>
          <w:spacing w:val="-7"/>
        </w:rPr>
        <w:t> </w:t>
      </w:r>
      <w:r>
        <w:rPr>
          <w:color w:val="231F20"/>
        </w:rPr>
        <w:t>Derecho.</w:t>
      </w:r>
      <w:r>
        <w:rPr>
          <w:color w:val="231F20"/>
          <w:spacing w:val="-7"/>
        </w:rPr>
        <w:t> </w:t>
      </w:r>
      <w:r>
        <w:rPr>
          <w:color w:val="231F20"/>
        </w:rPr>
        <w:t>Vista</w:t>
      </w:r>
      <w:r>
        <w:rPr>
          <w:color w:val="231F20"/>
          <w:spacing w:val="-7"/>
        </w:rPr>
        <w:t> </w:t>
      </w:r>
      <w:r>
        <w:rPr>
          <w:color w:val="231F20"/>
        </w:rPr>
        <w:t>históricamente</w:t>
      </w:r>
      <w:r>
        <w:rPr>
          <w:color w:val="231F20"/>
          <w:spacing w:val="-7"/>
        </w:rPr>
        <w:t> </w:t>
      </w:r>
      <w:r>
        <w:rPr>
          <w:color w:val="231F20"/>
        </w:rPr>
        <w:t>esta</w:t>
      </w:r>
      <w:r>
        <w:rPr>
          <w:color w:val="231F20"/>
          <w:spacing w:val="-7"/>
        </w:rPr>
        <w:t> </w:t>
      </w:r>
      <w:r>
        <w:rPr>
          <w:color w:val="231F20"/>
        </w:rPr>
        <w:t>perspectiva</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sostiene: hubo épocas y todavía hay lugares en los que el Derecho pudo existir sin Estado, como ha habido estados —y todavía los hay— en los que el De- recho (al menos el nuestro) no es elemento estructural. En suma,</w:t>
      </w:r>
      <w:r>
        <w:rPr>
          <w:color w:val="231F20"/>
          <w:spacing w:val="-37"/>
        </w:rPr>
        <w:t> </w:t>
      </w:r>
      <w:r>
        <w:rPr>
          <w:color w:val="231F20"/>
        </w:rPr>
        <w:t>conectar definitivamente el Estado con el Derecho me parece sustancialmente un error de perspectiva, ya sea por lo tocante a su génesis que por lo que tiene que ver con su</w:t>
      </w:r>
      <w:r>
        <w:rPr>
          <w:color w:val="231F20"/>
          <w:spacing w:val="-39"/>
        </w:rPr>
        <w:t> </w:t>
      </w:r>
      <w:r>
        <w:rPr>
          <w:color w:val="231F20"/>
        </w:rPr>
        <w:t>futuro.</w:t>
      </w:r>
    </w:p>
    <w:p>
      <w:pPr>
        <w:pStyle w:val="BodyText"/>
        <w:spacing w:line="247" w:lineRule="auto"/>
        <w:ind w:left="117" w:right="101" w:firstLine="566"/>
        <w:jc w:val="both"/>
      </w:pPr>
      <w:r>
        <w:rPr>
          <w:color w:val="231F20"/>
        </w:rPr>
        <w:t>El mismo “Estado (moderno)” nació más allá del </w:t>
      </w:r>
      <w:r>
        <w:rPr>
          <w:color w:val="231F20"/>
          <w:spacing w:val="-3"/>
        </w:rPr>
        <w:t>Derecho. </w:t>
      </w:r>
      <w:r>
        <w:rPr>
          <w:color w:val="231F20"/>
        </w:rPr>
        <w:t>La </w:t>
      </w:r>
      <w:r>
        <w:rPr>
          <w:color w:val="231F20"/>
          <w:spacing w:val="-2"/>
        </w:rPr>
        <w:t>famosa </w:t>
      </w:r>
      <w:r>
        <w:rPr>
          <w:color w:val="231F20"/>
        </w:rPr>
        <w:t>fórmula del </w:t>
      </w:r>
      <w:r>
        <w:rPr>
          <w:rFonts w:ascii="Arial" w:hAnsi="Arial"/>
          <w:i/>
          <w:color w:val="231F20"/>
          <w:spacing w:val="-3"/>
        </w:rPr>
        <w:t>superiorem </w:t>
      </w:r>
      <w:r>
        <w:rPr>
          <w:rFonts w:ascii="Arial" w:hAnsi="Arial"/>
          <w:i/>
          <w:color w:val="231F20"/>
        </w:rPr>
        <w:t>non </w:t>
      </w:r>
      <w:r>
        <w:rPr>
          <w:rFonts w:ascii="Arial" w:hAnsi="Arial"/>
          <w:i/>
          <w:color w:val="231F20"/>
          <w:spacing w:val="-3"/>
        </w:rPr>
        <w:t>recognoscens </w:t>
      </w:r>
      <w:r>
        <w:rPr>
          <w:color w:val="231F20"/>
        </w:rPr>
        <w:t>no podía aún </w:t>
      </w:r>
      <w:r>
        <w:rPr>
          <w:color w:val="231F20"/>
          <w:spacing w:val="-3"/>
        </w:rPr>
        <w:t>preocuparse </w:t>
      </w:r>
      <w:r>
        <w:rPr>
          <w:color w:val="231F20"/>
        </w:rPr>
        <w:t>por el Estado, así como los dinámicos Estatutos de las ciudades medievales</w:t>
      </w:r>
      <w:r>
        <w:rPr>
          <w:color w:val="231F20"/>
          <w:position w:val="7"/>
          <w:sz w:val="12"/>
        </w:rPr>
        <w:t>21</w:t>
      </w:r>
      <w:r>
        <w:rPr>
          <w:color w:val="231F20"/>
        </w:rPr>
        <w:t>. El Estado</w:t>
      </w:r>
      <w:r>
        <w:rPr>
          <w:color w:val="231F20"/>
          <w:spacing w:val="-9"/>
        </w:rPr>
        <w:t> </w:t>
      </w:r>
      <w:r>
        <w:rPr>
          <w:color w:val="231F20"/>
          <w:spacing w:val="-3"/>
        </w:rPr>
        <w:t>surgió</w:t>
      </w:r>
      <w:r>
        <w:rPr>
          <w:color w:val="231F20"/>
          <w:spacing w:val="-9"/>
        </w:rPr>
        <w:t> </w:t>
      </w:r>
      <w:r>
        <w:rPr>
          <w:color w:val="231F20"/>
          <w:spacing w:val="-3"/>
        </w:rPr>
        <w:t>sobre</w:t>
      </w:r>
      <w:r>
        <w:rPr>
          <w:color w:val="231F20"/>
          <w:spacing w:val="-9"/>
        </w:rPr>
        <w:t> </w:t>
      </w:r>
      <w:r>
        <w:rPr>
          <w:color w:val="231F20"/>
        </w:rPr>
        <w:t>bases</w:t>
      </w:r>
      <w:r>
        <w:rPr>
          <w:color w:val="231F20"/>
          <w:spacing w:val="-9"/>
        </w:rPr>
        <w:t> </w:t>
      </w:r>
      <w:r>
        <w:rPr>
          <w:color w:val="231F20"/>
        </w:rPr>
        <w:t>“estructurales”</w:t>
      </w:r>
      <w:r>
        <w:rPr>
          <w:color w:val="231F20"/>
          <w:spacing w:val="-9"/>
        </w:rPr>
        <w:t> </w:t>
      </w:r>
      <w:r>
        <w:rPr>
          <w:color w:val="231F20"/>
        </w:rPr>
        <w:t>más</w:t>
      </w:r>
      <w:r>
        <w:rPr>
          <w:color w:val="231F20"/>
          <w:spacing w:val="-9"/>
        </w:rPr>
        <w:t> </w:t>
      </w:r>
      <w:r>
        <w:rPr>
          <w:color w:val="231F20"/>
        </w:rPr>
        <w:t>amplias</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spacing w:val="-3"/>
        </w:rPr>
        <w:t>Derecho,</w:t>
      </w:r>
      <w:r>
        <w:rPr>
          <w:color w:val="231F20"/>
          <w:spacing w:val="-9"/>
        </w:rPr>
        <w:t> </w:t>
      </w:r>
      <w:r>
        <w:rPr>
          <w:color w:val="231F20"/>
          <w:spacing w:val="-2"/>
        </w:rPr>
        <w:t>que </w:t>
      </w:r>
      <w:r>
        <w:rPr>
          <w:color w:val="231F20"/>
        </w:rPr>
        <w:t>incluían elementos de psicología, </w:t>
      </w:r>
      <w:r>
        <w:rPr>
          <w:color w:val="231F20"/>
          <w:spacing w:val="-3"/>
        </w:rPr>
        <w:t>antropología </w:t>
      </w:r>
      <w:r>
        <w:rPr>
          <w:color w:val="231F20"/>
        </w:rPr>
        <w:t>y ética, constitutivos de un tipo</w:t>
      </w:r>
      <w:r>
        <w:rPr>
          <w:color w:val="231F20"/>
          <w:spacing w:val="-13"/>
        </w:rPr>
        <w:t> </w:t>
      </w:r>
      <w:r>
        <w:rPr>
          <w:color w:val="231F20"/>
        </w:rPr>
        <w:t>político</w:t>
      </w:r>
      <w:r>
        <w:rPr>
          <w:color w:val="231F20"/>
          <w:spacing w:val="-13"/>
        </w:rPr>
        <w:t> </w:t>
      </w:r>
      <w:r>
        <w:rPr>
          <w:color w:val="231F20"/>
        </w:rPr>
        <w:t>(y</w:t>
      </w:r>
      <w:r>
        <w:rPr>
          <w:color w:val="231F20"/>
          <w:spacing w:val="-13"/>
        </w:rPr>
        <w:t> </w:t>
      </w:r>
      <w:r>
        <w:rPr>
          <w:color w:val="231F20"/>
        </w:rPr>
        <w:t>quizá</w:t>
      </w:r>
      <w:r>
        <w:rPr>
          <w:color w:val="231F20"/>
          <w:spacing w:val="-13"/>
        </w:rPr>
        <w:t> </w:t>
      </w:r>
      <w:r>
        <w:rPr>
          <w:color w:val="231F20"/>
        </w:rPr>
        <w:t>humano)</w:t>
      </w:r>
      <w:r>
        <w:rPr>
          <w:color w:val="231F20"/>
          <w:spacing w:val="-13"/>
        </w:rPr>
        <w:t> </w:t>
      </w:r>
      <w:r>
        <w:rPr>
          <w:color w:val="231F20"/>
        </w:rPr>
        <w:t>distinto</w:t>
      </w:r>
      <w:r>
        <w:rPr>
          <w:color w:val="231F20"/>
          <w:spacing w:val="-13"/>
        </w:rPr>
        <w:t> </w:t>
      </w:r>
      <w:r>
        <w:rPr>
          <w:color w:val="231F20"/>
        </w:rPr>
        <w:t>al</w:t>
      </w:r>
      <w:r>
        <w:rPr>
          <w:color w:val="231F20"/>
          <w:spacing w:val="-13"/>
        </w:rPr>
        <w:t> </w:t>
      </w:r>
      <w:r>
        <w:rPr>
          <w:color w:val="231F20"/>
        </w:rPr>
        <w:t>que</w:t>
      </w:r>
      <w:r>
        <w:rPr>
          <w:color w:val="231F20"/>
          <w:spacing w:val="-13"/>
        </w:rPr>
        <w:t> </w:t>
      </w:r>
      <w:r>
        <w:rPr>
          <w:color w:val="231F20"/>
        </w:rPr>
        <w:t>durante</w:t>
      </w:r>
      <w:r>
        <w:rPr>
          <w:color w:val="231F20"/>
          <w:spacing w:val="-13"/>
        </w:rPr>
        <w:t> </w:t>
      </w:r>
      <w:r>
        <w:rPr>
          <w:color w:val="231F20"/>
        </w:rPr>
        <w:t>casi</w:t>
      </w:r>
      <w:r>
        <w:rPr>
          <w:color w:val="231F20"/>
          <w:spacing w:val="-13"/>
        </w:rPr>
        <w:t> </w:t>
      </w:r>
      <w:r>
        <w:rPr>
          <w:color w:val="231F20"/>
        </w:rPr>
        <w:t>un</w:t>
      </w:r>
      <w:r>
        <w:rPr>
          <w:color w:val="231F20"/>
          <w:spacing w:val="-13"/>
        </w:rPr>
        <w:t> </w:t>
      </w:r>
      <w:r>
        <w:rPr>
          <w:color w:val="231F20"/>
        </w:rPr>
        <w:t>milenio</w:t>
      </w:r>
      <w:r>
        <w:rPr>
          <w:color w:val="231F20"/>
          <w:spacing w:val="-13"/>
        </w:rPr>
        <w:t> </w:t>
      </w:r>
      <w:r>
        <w:rPr>
          <w:color w:val="231F20"/>
          <w:spacing w:val="-3"/>
        </w:rPr>
        <w:t>sobre- </w:t>
      </w:r>
      <w:r>
        <w:rPr>
          <w:color w:val="231F20"/>
        </w:rPr>
        <w:t>vivió a la caída “silenciosa” del imperio </w:t>
      </w:r>
      <w:r>
        <w:rPr>
          <w:color w:val="231F20"/>
          <w:spacing w:val="-3"/>
        </w:rPr>
        <w:t>romano </w:t>
      </w:r>
      <w:r>
        <w:rPr>
          <w:color w:val="231F20"/>
        </w:rPr>
        <w:t>de occidente</w:t>
      </w:r>
      <w:r>
        <w:rPr>
          <w:color w:val="231F20"/>
          <w:position w:val="7"/>
          <w:sz w:val="12"/>
        </w:rPr>
        <w:t>22</w:t>
      </w:r>
      <w:r>
        <w:rPr>
          <w:color w:val="231F20"/>
        </w:rPr>
        <w:t>, formando también parte del gran paso de un cristianismo fluido a uno más sólido e institucionalizado, hacia una dimensión más laica y activa de la vida</w:t>
      </w:r>
      <w:r>
        <w:rPr>
          <w:color w:val="231F20"/>
          <w:position w:val="7"/>
          <w:sz w:val="12"/>
        </w:rPr>
        <w:t>23</w:t>
      </w:r>
      <w:r>
        <w:rPr>
          <w:color w:val="231F20"/>
        </w:rPr>
        <w:t>. </w:t>
      </w:r>
      <w:r>
        <w:rPr>
          <w:color w:val="231F20"/>
          <w:spacing w:val="-2"/>
        </w:rPr>
        <w:t>Las </w:t>
      </w:r>
      <w:r>
        <w:rPr>
          <w:color w:val="231F20"/>
        </w:rPr>
        <w:t>bases de este Estado “histórico” han sido esencialmente de tipo cultural, incluso</w:t>
      </w:r>
      <w:r>
        <w:rPr>
          <w:color w:val="231F20"/>
          <w:spacing w:val="-16"/>
        </w:rPr>
        <w:t> </w:t>
      </w:r>
      <w:r>
        <w:rPr>
          <w:color w:val="231F20"/>
          <w:spacing w:val="-3"/>
        </w:rPr>
        <w:t>reflejando</w:t>
      </w:r>
      <w:r>
        <w:rPr>
          <w:color w:val="231F20"/>
          <w:spacing w:val="-16"/>
        </w:rPr>
        <w:t> </w:t>
      </w:r>
      <w:r>
        <w:rPr>
          <w:color w:val="231F20"/>
        </w:rPr>
        <w:t>la</w:t>
      </w:r>
      <w:r>
        <w:rPr>
          <w:color w:val="231F20"/>
          <w:spacing w:val="-16"/>
        </w:rPr>
        <w:t> </w:t>
      </w:r>
      <w:r>
        <w:rPr>
          <w:color w:val="231F20"/>
        </w:rPr>
        <w:t>necesidad</w:t>
      </w:r>
      <w:r>
        <w:rPr>
          <w:color w:val="231F20"/>
          <w:spacing w:val="-16"/>
        </w:rPr>
        <w:t> </w:t>
      </w:r>
      <w:r>
        <w:rPr>
          <w:color w:val="231F20"/>
        </w:rPr>
        <w:t>fundamental</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nueva</w:t>
      </w:r>
      <w:r>
        <w:rPr>
          <w:color w:val="231F20"/>
          <w:spacing w:val="-16"/>
        </w:rPr>
        <w:t> </w:t>
      </w:r>
      <w:r>
        <w:rPr>
          <w:color w:val="231F20"/>
        </w:rPr>
        <w:t>normativa</w:t>
      </w:r>
      <w:r>
        <w:rPr>
          <w:color w:val="231F20"/>
          <w:spacing w:val="-16"/>
        </w:rPr>
        <w:t> </w:t>
      </w:r>
      <w:r>
        <w:rPr>
          <w:color w:val="231F20"/>
          <w:spacing w:val="-3"/>
        </w:rPr>
        <w:t>expre- </w:t>
      </w:r>
      <w:r>
        <w:rPr>
          <w:color w:val="231F20"/>
        </w:rPr>
        <w:t>sada</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spacing w:val="-3"/>
        </w:rPr>
        <w:t>orden</w:t>
      </w:r>
      <w:r>
        <w:rPr>
          <w:color w:val="231F20"/>
          <w:spacing w:val="-17"/>
        </w:rPr>
        <w:t> </w:t>
      </w:r>
      <w:r>
        <w:rPr>
          <w:color w:val="231F20"/>
        </w:rPr>
        <w:t>productivo,</w:t>
      </w:r>
      <w:r>
        <w:rPr>
          <w:color w:val="231F20"/>
          <w:spacing w:val="-17"/>
        </w:rPr>
        <w:t> </w:t>
      </w:r>
      <w:r>
        <w:rPr>
          <w:color w:val="231F20"/>
        </w:rPr>
        <w:t>que</w:t>
      </w:r>
      <w:r>
        <w:rPr>
          <w:color w:val="231F20"/>
          <w:spacing w:val="-17"/>
        </w:rPr>
        <w:t> </w:t>
      </w:r>
      <w:r>
        <w:rPr>
          <w:color w:val="231F20"/>
        </w:rPr>
        <w:t>mientras</w:t>
      </w:r>
      <w:r>
        <w:rPr>
          <w:color w:val="231F20"/>
          <w:spacing w:val="-17"/>
        </w:rPr>
        <w:t> </w:t>
      </w:r>
      <w:r>
        <w:rPr>
          <w:color w:val="231F20"/>
        </w:rPr>
        <w:t>se</w:t>
      </w:r>
      <w:r>
        <w:rPr>
          <w:color w:val="231F20"/>
          <w:spacing w:val="-17"/>
        </w:rPr>
        <w:t> </w:t>
      </w:r>
      <w:r>
        <w:rPr>
          <w:color w:val="231F20"/>
          <w:spacing w:val="-3"/>
        </w:rPr>
        <w:t>instauró</w:t>
      </w:r>
      <w:r>
        <w:rPr>
          <w:color w:val="231F20"/>
          <w:spacing w:val="-17"/>
        </w:rPr>
        <w:t> </w:t>
      </w:r>
      <w:r>
        <w:rPr>
          <w:color w:val="231F20"/>
        </w:rPr>
        <w:t>en</w:t>
      </w:r>
      <w:r>
        <w:rPr>
          <w:color w:val="231F20"/>
          <w:spacing w:val="-17"/>
        </w:rPr>
        <w:t> </w:t>
      </w:r>
      <w:r>
        <w:rPr>
          <w:color w:val="231F20"/>
          <w:spacing w:val="-3"/>
        </w:rPr>
        <w:t>proyección</w:t>
      </w:r>
      <w:r>
        <w:rPr>
          <w:color w:val="231F20"/>
          <w:spacing w:val="-17"/>
        </w:rPr>
        <w:t> </w:t>
      </w:r>
      <w:r>
        <w:rPr>
          <w:color w:val="231F20"/>
        </w:rPr>
        <w:t>manu- </w:t>
      </w:r>
      <w:r>
        <w:rPr>
          <w:color w:val="231F20"/>
          <w:spacing w:val="-3"/>
        </w:rPr>
        <w:t>facturera</w:t>
      </w:r>
      <w:r>
        <w:rPr>
          <w:color w:val="231F20"/>
          <w:spacing w:val="-9"/>
        </w:rPr>
        <w:t> </w:t>
      </w:r>
      <w:r>
        <w:rPr>
          <w:color w:val="231F20"/>
        </w:rPr>
        <w:t>y</w:t>
      </w:r>
      <w:r>
        <w:rPr>
          <w:color w:val="231F20"/>
          <w:spacing w:val="-9"/>
        </w:rPr>
        <w:t> </w:t>
      </w:r>
      <w:r>
        <w:rPr>
          <w:color w:val="231F20"/>
        </w:rPr>
        <w:t>capitalista.</w:t>
      </w:r>
      <w:r>
        <w:rPr>
          <w:color w:val="231F20"/>
          <w:spacing w:val="-9"/>
        </w:rPr>
        <w:t> </w:t>
      </w:r>
      <w:r>
        <w:rPr>
          <w:color w:val="231F20"/>
        </w:rPr>
        <w:t>La</w:t>
      </w:r>
      <w:r>
        <w:rPr>
          <w:color w:val="231F20"/>
          <w:spacing w:val="-9"/>
        </w:rPr>
        <w:t> </w:t>
      </w:r>
      <w:r>
        <w:rPr>
          <w:color w:val="231F20"/>
        </w:rPr>
        <w:t>estadística,</w:t>
      </w:r>
      <w:r>
        <w:rPr>
          <w:color w:val="231F20"/>
          <w:spacing w:val="-9"/>
        </w:rPr>
        <w:t> </w:t>
      </w:r>
      <w:r>
        <w:rPr>
          <w:color w:val="231F20"/>
        </w:rPr>
        <w:t>la</w:t>
      </w:r>
      <w:r>
        <w:rPr>
          <w:color w:val="231F20"/>
          <w:spacing w:val="-9"/>
        </w:rPr>
        <w:t> </w:t>
      </w:r>
      <w:r>
        <w:rPr>
          <w:color w:val="231F20"/>
        </w:rPr>
        <w:t>búsqueda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causas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gran- deza</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ciudades</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razón</w:t>
      </w:r>
      <w:r>
        <w:rPr>
          <w:color w:val="231F20"/>
          <w:spacing w:val="-12"/>
        </w:rPr>
        <w:t> </w:t>
      </w:r>
      <w:r>
        <w:rPr>
          <w:color w:val="231F20"/>
        </w:rPr>
        <w:t>de</w:t>
      </w:r>
      <w:r>
        <w:rPr>
          <w:color w:val="231F20"/>
          <w:spacing w:val="-12"/>
        </w:rPr>
        <w:t> </w:t>
      </w:r>
      <w:r>
        <w:rPr>
          <w:color w:val="231F20"/>
        </w:rPr>
        <w:t>Estado,</w:t>
      </w:r>
      <w:r>
        <w:rPr>
          <w:color w:val="231F20"/>
          <w:spacing w:val="-12"/>
        </w:rPr>
        <w:t> </w:t>
      </w:r>
      <w:r>
        <w:rPr>
          <w:color w:val="231F20"/>
          <w:spacing w:val="-3"/>
        </w:rPr>
        <w:t>fueron</w:t>
      </w:r>
      <w:r>
        <w:rPr>
          <w:color w:val="231F20"/>
          <w:spacing w:val="-12"/>
        </w:rPr>
        <w:t> </w:t>
      </w:r>
      <w:r>
        <w:rPr>
          <w:color w:val="231F20"/>
        </w:rPr>
        <w:t>formas</w:t>
      </w:r>
      <w:r>
        <w:rPr>
          <w:color w:val="231F20"/>
          <w:spacing w:val="-12"/>
        </w:rPr>
        <w:t> </w:t>
      </w:r>
      <w:r>
        <w:rPr>
          <w:color w:val="231F20"/>
        </w:rPr>
        <w:t>de</w:t>
      </w:r>
      <w:r>
        <w:rPr>
          <w:color w:val="231F20"/>
          <w:spacing w:val="-12"/>
        </w:rPr>
        <w:t> </w:t>
      </w:r>
      <w:r>
        <w:rPr>
          <w:color w:val="231F20"/>
        </w:rPr>
        <w:t>investigación</w:t>
      </w:r>
      <w:r>
        <w:rPr>
          <w:color w:val="231F20"/>
          <w:spacing w:val="-12"/>
        </w:rPr>
        <w:t> </w:t>
      </w:r>
      <w:r>
        <w:rPr>
          <w:color w:val="231F20"/>
        </w:rPr>
        <w:t>e instrumentos de </w:t>
      </w:r>
      <w:r>
        <w:rPr>
          <w:color w:val="231F20"/>
          <w:spacing w:val="-3"/>
        </w:rPr>
        <w:t>regulación </w:t>
      </w:r>
      <w:r>
        <w:rPr>
          <w:color w:val="231F20"/>
        </w:rPr>
        <w:t>de la actividad pública que de alguna </w:t>
      </w:r>
      <w:r>
        <w:rPr>
          <w:color w:val="231F20"/>
          <w:spacing w:val="-2"/>
        </w:rPr>
        <w:t>manera </w:t>
      </w:r>
      <w:r>
        <w:rPr>
          <w:color w:val="231F20"/>
          <w:spacing w:val="-3"/>
        </w:rPr>
        <w:t>precedieron </w:t>
      </w:r>
      <w:r>
        <w:rPr>
          <w:color w:val="231F20"/>
        </w:rPr>
        <w:t>al </w:t>
      </w:r>
      <w:r>
        <w:rPr>
          <w:color w:val="231F20"/>
          <w:spacing w:val="-3"/>
        </w:rPr>
        <w:t>Derecho, </w:t>
      </w:r>
      <w:r>
        <w:rPr>
          <w:color w:val="231F20"/>
        </w:rPr>
        <w:t>así como la </w:t>
      </w:r>
      <w:r>
        <w:rPr>
          <w:rFonts w:ascii="Arial" w:hAnsi="Arial"/>
          <w:i/>
          <w:color w:val="231F20"/>
        </w:rPr>
        <w:t>ratio studiorum </w:t>
      </w:r>
      <w:r>
        <w:rPr>
          <w:color w:val="231F20"/>
        </w:rPr>
        <w:t>o el nacimiento de </w:t>
      </w:r>
      <w:r>
        <w:rPr>
          <w:color w:val="231F20"/>
          <w:spacing w:val="-2"/>
        </w:rPr>
        <w:t>las </w:t>
      </w:r>
      <w:r>
        <w:rPr>
          <w:color w:val="231F20"/>
        </w:rPr>
        <w:t>academias</w:t>
      </w:r>
      <w:r>
        <w:rPr>
          <w:color w:val="231F20"/>
          <w:spacing w:val="-20"/>
        </w:rPr>
        <w:t> </w:t>
      </w:r>
      <w:r>
        <w:rPr>
          <w:color w:val="231F20"/>
        </w:rPr>
        <w:t>o</w:t>
      </w:r>
      <w:r>
        <w:rPr>
          <w:color w:val="231F20"/>
          <w:spacing w:val="-20"/>
        </w:rPr>
        <w:t> </w:t>
      </w:r>
      <w:r>
        <w:rPr>
          <w:color w:val="231F20"/>
        </w:rPr>
        <w:t>la</w:t>
      </w:r>
      <w:r>
        <w:rPr>
          <w:color w:val="231F20"/>
          <w:spacing w:val="-20"/>
        </w:rPr>
        <w:t> </w:t>
      </w:r>
      <w:r>
        <w:rPr>
          <w:color w:val="231F20"/>
        </w:rPr>
        <w:t>gran,</w:t>
      </w:r>
      <w:r>
        <w:rPr>
          <w:color w:val="231F20"/>
          <w:spacing w:val="-20"/>
        </w:rPr>
        <w:t> </w:t>
      </w:r>
      <w:r>
        <w:rPr>
          <w:color w:val="231F20"/>
        </w:rPr>
        <w:t>doble</w:t>
      </w:r>
      <w:r>
        <w:rPr>
          <w:color w:val="231F20"/>
          <w:spacing w:val="-20"/>
        </w:rPr>
        <w:t> </w:t>
      </w:r>
      <w:r>
        <w:rPr>
          <w:color w:val="231F20"/>
          <w:spacing w:val="-3"/>
        </w:rPr>
        <w:t>reforma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Iglesia.</w:t>
      </w:r>
      <w:r>
        <w:rPr>
          <w:color w:val="231F20"/>
          <w:spacing w:val="-20"/>
        </w:rPr>
        <w:t> </w:t>
      </w:r>
      <w:r>
        <w:rPr>
          <w:color w:val="231F20"/>
        </w:rPr>
        <w:t>Información,</w:t>
      </w:r>
      <w:r>
        <w:rPr>
          <w:color w:val="231F20"/>
          <w:spacing w:val="-20"/>
        </w:rPr>
        <w:t> </w:t>
      </w:r>
      <w:r>
        <w:rPr>
          <w:color w:val="231F20"/>
          <w:spacing w:val="-2"/>
        </w:rPr>
        <w:t>comunicación</w:t>
      </w:r>
    </w:p>
    <w:p>
      <w:pPr>
        <w:pStyle w:val="BodyText"/>
        <w:rPr>
          <w:sz w:val="20"/>
        </w:rPr>
      </w:pPr>
    </w:p>
    <w:p>
      <w:pPr>
        <w:pStyle w:val="BodyText"/>
        <w:spacing w:before="5"/>
        <w:rPr>
          <w:sz w:val="12"/>
        </w:rPr>
      </w:pPr>
      <w:r>
        <w:rPr/>
        <w:pict>
          <v:line style="position:absolute;mso-position-horizontal-relative:page;mso-position-vertical-relative:paragraph;z-index:5440;mso-wrap-distance-left:0;mso-wrap-distance-right:0" from="70.866096pt,9.636672pt" to="184.252096pt,9.636672pt" stroked="true" strokeweight=".3pt" strokecolor="#231f20">
            <w10:wrap type="topAndBottom"/>
          </v:line>
        </w:pict>
      </w:r>
    </w:p>
    <w:p>
      <w:pPr>
        <w:spacing w:line="206" w:lineRule="exact" w:before="10"/>
        <w:ind w:left="117" w:right="0" w:firstLine="0"/>
        <w:jc w:val="left"/>
        <w:rPr>
          <w:rFonts w:ascii="Calibri"/>
          <w:sz w:val="17"/>
        </w:rPr>
      </w:pPr>
      <w:r>
        <w:rPr>
          <w:rFonts w:ascii="Calibri"/>
          <w:color w:val="231F20"/>
          <w:position w:val="6"/>
          <w:sz w:val="10"/>
        </w:rPr>
        <w:t>20 </w:t>
      </w:r>
      <w:r>
        <w:rPr>
          <w:rFonts w:ascii="Calibri"/>
          <w:color w:val="231F20"/>
          <w:sz w:val="17"/>
        </w:rPr>
        <w:t>M. Pezzella, </w:t>
      </w:r>
      <w:r>
        <w:rPr>
          <w:rFonts w:ascii="Calibri"/>
          <w:i/>
          <w:color w:val="231F20"/>
          <w:sz w:val="17"/>
        </w:rPr>
        <w:t>Insorgenze</w:t>
      </w:r>
      <w:r>
        <w:rPr>
          <w:rFonts w:ascii="Calibri"/>
          <w:color w:val="231F20"/>
          <w:sz w:val="17"/>
        </w:rPr>
        <w:t>, Milano, Jaca book, 2014, p. 24.</w:t>
      </w:r>
    </w:p>
    <w:p>
      <w:pPr>
        <w:spacing w:line="235" w:lineRule="auto" w:before="1"/>
        <w:ind w:left="117" w:right="101" w:firstLine="0"/>
        <w:jc w:val="left"/>
        <w:rPr>
          <w:rFonts w:ascii="Calibri" w:hAnsi="Calibri"/>
          <w:sz w:val="17"/>
        </w:rPr>
      </w:pPr>
      <w:r>
        <w:rPr>
          <w:rFonts w:ascii="Calibri" w:hAnsi="Calibri"/>
          <w:color w:val="231F20"/>
          <w:position w:val="6"/>
          <w:sz w:val="10"/>
        </w:rPr>
        <w:t>21 </w:t>
      </w:r>
      <w:r>
        <w:rPr>
          <w:rFonts w:ascii="Calibri" w:hAnsi="Calibri"/>
          <w:color w:val="231F20"/>
          <w:sz w:val="17"/>
        </w:rPr>
        <w:t>Véanse los ensayos de A. </w:t>
      </w:r>
      <w:r>
        <w:rPr>
          <w:rFonts w:ascii="Calibri" w:hAnsi="Calibri"/>
          <w:color w:val="231F20"/>
          <w:spacing w:val="-10"/>
          <w:sz w:val="17"/>
        </w:rPr>
        <w:t>P. </w:t>
      </w:r>
      <w:r>
        <w:rPr>
          <w:rFonts w:ascii="Calibri" w:hAnsi="Calibri"/>
          <w:color w:val="231F20"/>
          <w:sz w:val="17"/>
        </w:rPr>
        <w:t>Schioppa, H. Keller y Ch. Zendri en S. Lepsius, R. Schulze y B. Kan- nowski (Eds.), </w:t>
      </w:r>
      <w:r>
        <w:rPr>
          <w:rFonts w:ascii="Calibri" w:hAnsi="Calibri"/>
          <w:i/>
          <w:color w:val="231F20"/>
          <w:sz w:val="17"/>
        </w:rPr>
        <w:t>Recht – Geschichte – Geschichtsschreibung. Rechts</w:t>
      </w:r>
      <w:r>
        <w:rPr>
          <w:rFonts w:ascii="Calibri" w:hAnsi="Calibri"/>
          <w:color w:val="231F20"/>
          <w:sz w:val="17"/>
        </w:rPr>
        <w:t>– </w:t>
      </w:r>
      <w:r>
        <w:rPr>
          <w:rFonts w:ascii="Calibri" w:hAnsi="Calibri"/>
          <w:i/>
          <w:color w:val="231F20"/>
          <w:sz w:val="17"/>
        </w:rPr>
        <w:t>und Verfassungsgeschichte im </w:t>
      </w:r>
      <w:r>
        <w:rPr>
          <w:rFonts w:ascii="Calibri" w:hAnsi="Calibri"/>
          <w:i/>
          <w:color w:val="231F20"/>
          <w:sz w:val="17"/>
        </w:rPr>
        <w:t>deutsch</w:t>
      </w:r>
      <w:r>
        <w:rPr>
          <w:rFonts w:ascii="Calibri" w:hAnsi="Calibri"/>
          <w:color w:val="231F20"/>
          <w:sz w:val="17"/>
        </w:rPr>
        <w:t>–</w:t>
      </w:r>
      <w:r>
        <w:rPr>
          <w:rFonts w:ascii="Calibri" w:hAnsi="Calibri"/>
          <w:i/>
          <w:color w:val="231F20"/>
          <w:sz w:val="17"/>
        </w:rPr>
        <w:t>italienischen Diskurs</w:t>
      </w:r>
      <w:r>
        <w:rPr>
          <w:rFonts w:ascii="Calibri" w:hAnsi="Calibri"/>
          <w:color w:val="231F20"/>
          <w:sz w:val="17"/>
        </w:rPr>
        <w:t>, Berlin, Erich Schmidt Verlag, 2014. Se trata de escritos en honor de Gerhard Dilcher, del cual señalo “Zum Verhältnis von Autonomie, Schriftlichkeit und Ausbildung    der Verwaltung in der mittelalterlichen Stadt”, nel </w:t>
      </w:r>
      <w:r>
        <w:rPr>
          <w:rFonts w:ascii="Calibri" w:hAnsi="Calibri"/>
          <w:i/>
          <w:color w:val="231F20"/>
          <w:sz w:val="17"/>
        </w:rPr>
        <w:t>Beiheft </w:t>
      </w:r>
      <w:r>
        <w:rPr>
          <w:rFonts w:ascii="Calibri" w:hAnsi="Calibri"/>
          <w:color w:val="231F20"/>
          <w:sz w:val="17"/>
        </w:rPr>
        <w:t>no. 19 de la revista </w:t>
      </w:r>
      <w:r>
        <w:rPr>
          <w:rFonts w:ascii="Calibri" w:hAnsi="Calibri"/>
          <w:i/>
          <w:color w:val="231F20"/>
          <w:sz w:val="17"/>
        </w:rPr>
        <w:t>Der Staat</w:t>
      </w:r>
      <w:r>
        <w:rPr>
          <w:rFonts w:ascii="Calibri" w:hAnsi="Calibri"/>
          <w:color w:val="231F20"/>
          <w:sz w:val="17"/>
        </w:rPr>
        <w:t>, pp. 9–38.   </w:t>
      </w:r>
      <w:r>
        <w:rPr>
          <w:rFonts w:ascii="Calibri" w:hAnsi="Calibri"/>
          <w:color w:val="231F20"/>
          <w:position w:val="6"/>
          <w:sz w:val="10"/>
        </w:rPr>
        <w:t>22 </w:t>
      </w:r>
      <w:r>
        <w:rPr>
          <w:rFonts w:ascii="Calibri" w:hAnsi="Calibri"/>
          <w:color w:val="231F20"/>
          <w:sz w:val="17"/>
        </w:rPr>
        <w:t>Por citar a A. Momigliano, “La caduta senza rumore di un impero”, A. Momigliano, </w:t>
      </w:r>
      <w:r>
        <w:rPr>
          <w:rFonts w:ascii="Calibri" w:hAnsi="Calibri"/>
          <w:i/>
          <w:color w:val="231F20"/>
          <w:sz w:val="17"/>
        </w:rPr>
        <w:t>Sesto contribu- </w:t>
      </w:r>
      <w:r>
        <w:rPr>
          <w:rFonts w:ascii="Calibri" w:hAnsi="Calibri"/>
          <w:i/>
          <w:color w:val="231F20"/>
          <w:sz w:val="17"/>
        </w:rPr>
        <w:t>to</w:t>
      </w:r>
      <w:r>
        <w:rPr>
          <w:rFonts w:ascii="Calibri" w:hAnsi="Calibri"/>
          <w:i/>
          <w:color w:val="231F20"/>
          <w:spacing w:val="-4"/>
          <w:sz w:val="17"/>
        </w:rPr>
        <w:t> </w:t>
      </w:r>
      <w:r>
        <w:rPr>
          <w:rFonts w:ascii="Calibri" w:hAnsi="Calibri"/>
          <w:i/>
          <w:color w:val="231F20"/>
          <w:sz w:val="17"/>
        </w:rPr>
        <w:t>alla</w:t>
      </w:r>
      <w:r>
        <w:rPr>
          <w:rFonts w:ascii="Calibri" w:hAnsi="Calibri"/>
          <w:i/>
          <w:color w:val="231F20"/>
          <w:spacing w:val="-4"/>
          <w:sz w:val="17"/>
        </w:rPr>
        <w:t> </w:t>
      </w:r>
      <w:r>
        <w:rPr>
          <w:rFonts w:ascii="Calibri" w:hAnsi="Calibri"/>
          <w:i/>
          <w:color w:val="231F20"/>
          <w:sz w:val="17"/>
        </w:rPr>
        <w:t>storia</w:t>
      </w:r>
      <w:r>
        <w:rPr>
          <w:rFonts w:ascii="Calibri" w:hAnsi="Calibri"/>
          <w:i/>
          <w:color w:val="231F20"/>
          <w:spacing w:val="-4"/>
          <w:sz w:val="17"/>
        </w:rPr>
        <w:t> </w:t>
      </w:r>
      <w:r>
        <w:rPr>
          <w:rFonts w:ascii="Calibri" w:hAnsi="Calibri"/>
          <w:i/>
          <w:color w:val="231F20"/>
          <w:sz w:val="17"/>
        </w:rPr>
        <w:t>degli</w:t>
      </w:r>
      <w:r>
        <w:rPr>
          <w:rFonts w:ascii="Calibri" w:hAnsi="Calibri"/>
          <w:i/>
          <w:color w:val="231F20"/>
          <w:spacing w:val="-4"/>
          <w:sz w:val="17"/>
        </w:rPr>
        <w:t> </w:t>
      </w:r>
      <w:r>
        <w:rPr>
          <w:rFonts w:ascii="Calibri" w:hAnsi="Calibri"/>
          <w:i/>
          <w:color w:val="231F20"/>
          <w:sz w:val="17"/>
        </w:rPr>
        <w:t>studi</w:t>
      </w:r>
      <w:r>
        <w:rPr>
          <w:rFonts w:ascii="Calibri" w:hAnsi="Calibri"/>
          <w:i/>
          <w:color w:val="231F20"/>
          <w:spacing w:val="-4"/>
          <w:sz w:val="17"/>
        </w:rPr>
        <w:t> </w:t>
      </w:r>
      <w:r>
        <w:rPr>
          <w:rFonts w:ascii="Calibri" w:hAnsi="Calibri"/>
          <w:i/>
          <w:color w:val="231F20"/>
          <w:sz w:val="17"/>
        </w:rPr>
        <w:t>classici</w:t>
      </w:r>
      <w:r>
        <w:rPr>
          <w:rFonts w:ascii="Calibri" w:hAnsi="Calibri"/>
          <w:color w:val="231F20"/>
          <w:sz w:val="17"/>
        </w:rPr>
        <w:t>,</w:t>
      </w:r>
      <w:r>
        <w:rPr>
          <w:rFonts w:ascii="Calibri" w:hAnsi="Calibri"/>
          <w:color w:val="231F20"/>
          <w:spacing w:val="-3"/>
          <w:sz w:val="17"/>
        </w:rPr>
        <w:t> </w:t>
      </w:r>
      <w:r>
        <w:rPr>
          <w:rFonts w:ascii="Calibri" w:hAnsi="Calibri"/>
          <w:color w:val="231F20"/>
          <w:sz w:val="17"/>
        </w:rPr>
        <w:t>Roma,</w:t>
      </w:r>
      <w:r>
        <w:rPr>
          <w:rFonts w:ascii="Calibri" w:hAnsi="Calibri"/>
          <w:color w:val="231F20"/>
          <w:spacing w:val="-3"/>
          <w:sz w:val="17"/>
        </w:rPr>
        <w:t> </w:t>
      </w:r>
      <w:r>
        <w:rPr>
          <w:rFonts w:ascii="Calibri" w:hAnsi="Calibri"/>
          <w:color w:val="231F20"/>
          <w:sz w:val="17"/>
        </w:rPr>
        <w:t>Edizioni</w:t>
      </w:r>
      <w:r>
        <w:rPr>
          <w:rFonts w:ascii="Calibri" w:hAnsi="Calibri"/>
          <w:color w:val="231F20"/>
          <w:spacing w:val="-3"/>
          <w:sz w:val="17"/>
        </w:rPr>
        <w:t> </w:t>
      </w:r>
      <w:r>
        <w:rPr>
          <w:rFonts w:ascii="Calibri" w:hAnsi="Calibri"/>
          <w:color w:val="231F20"/>
          <w:sz w:val="17"/>
        </w:rPr>
        <w:t>di</w:t>
      </w:r>
      <w:r>
        <w:rPr>
          <w:rFonts w:ascii="Calibri" w:hAnsi="Calibri"/>
          <w:color w:val="231F20"/>
          <w:spacing w:val="-3"/>
          <w:sz w:val="17"/>
        </w:rPr>
        <w:t> </w:t>
      </w:r>
      <w:r>
        <w:rPr>
          <w:rFonts w:ascii="Calibri" w:hAnsi="Calibri"/>
          <w:color w:val="231F20"/>
          <w:sz w:val="17"/>
        </w:rPr>
        <w:t>storia</w:t>
      </w:r>
      <w:r>
        <w:rPr>
          <w:rFonts w:ascii="Calibri" w:hAnsi="Calibri"/>
          <w:color w:val="231F20"/>
          <w:spacing w:val="-3"/>
          <w:sz w:val="17"/>
        </w:rPr>
        <w:t> </w:t>
      </w:r>
      <w:r>
        <w:rPr>
          <w:rFonts w:ascii="Calibri" w:hAnsi="Calibri"/>
          <w:color w:val="231F20"/>
          <w:sz w:val="17"/>
        </w:rPr>
        <w:t>e</w:t>
      </w:r>
      <w:r>
        <w:rPr>
          <w:rFonts w:ascii="Calibri" w:hAnsi="Calibri"/>
          <w:color w:val="231F20"/>
          <w:spacing w:val="-3"/>
          <w:sz w:val="17"/>
        </w:rPr>
        <w:t> </w:t>
      </w:r>
      <w:r>
        <w:rPr>
          <w:rFonts w:ascii="Calibri" w:hAnsi="Calibri"/>
          <w:color w:val="231F20"/>
          <w:sz w:val="17"/>
        </w:rPr>
        <w:t>letteratura,</w:t>
      </w:r>
      <w:r>
        <w:rPr>
          <w:rFonts w:ascii="Calibri" w:hAnsi="Calibri"/>
          <w:color w:val="231F20"/>
          <w:spacing w:val="-3"/>
          <w:sz w:val="17"/>
        </w:rPr>
        <w:t> </w:t>
      </w:r>
      <w:r>
        <w:rPr>
          <w:rFonts w:ascii="Calibri" w:hAnsi="Calibri"/>
          <w:color w:val="231F20"/>
          <w:sz w:val="17"/>
        </w:rPr>
        <w:t>1980,</w:t>
      </w:r>
      <w:r>
        <w:rPr>
          <w:rFonts w:ascii="Calibri" w:hAnsi="Calibri"/>
          <w:color w:val="231F20"/>
          <w:spacing w:val="-3"/>
          <w:sz w:val="17"/>
        </w:rPr>
        <w:t> </w:t>
      </w:r>
      <w:r>
        <w:rPr>
          <w:rFonts w:ascii="Calibri" w:hAnsi="Calibri"/>
          <w:color w:val="231F20"/>
          <w:sz w:val="17"/>
        </w:rPr>
        <w:t>pp.</w:t>
      </w:r>
      <w:r>
        <w:rPr>
          <w:rFonts w:ascii="Calibri" w:hAnsi="Calibri"/>
          <w:color w:val="231F20"/>
          <w:spacing w:val="-3"/>
          <w:sz w:val="17"/>
        </w:rPr>
        <w:t> </w:t>
      </w:r>
      <w:r>
        <w:rPr>
          <w:rFonts w:ascii="Calibri" w:hAnsi="Calibri"/>
          <w:color w:val="231F20"/>
          <w:sz w:val="17"/>
        </w:rPr>
        <w:t>159–165.</w:t>
      </w:r>
    </w:p>
    <w:p>
      <w:pPr>
        <w:spacing w:line="235" w:lineRule="auto" w:before="0"/>
        <w:ind w:left="117" w:right="3" w:firstLine="0"/>
        <w:jc w:val="left"/>
        <w:rPr>
          <w:rFonts w:ascii="Calibri" w:hAnsi="Calibri"/>
          <w:sz w:val="17"/>
        </w:rPr>
      </w:pPr>
      <w:r>
        <w:rPr>
          <w:rFonts w:ascii="Calibri" w:hAnsi="Calibri"/>
          <w:color w:val="231F20"/>
          <w:position w:val="6"/>
          <w:sz w:val="10"/>
        </w:rPr>
        <w:t>23 </w:t>
      </w:r>
      <w:r>
        <w:rPr>
          <w:rFonts w:ascii="Calibri" w:hAnsi="Calibri"/>
          <w:i/>
          <w:color w:val="231F20"/>
          <w:sz w:val="17"/>
        </w:rPr>
        <w:t>La conversione al cristianesimo nell’Europa dell’alto Medioevo</w:t>
      </w:r>
      <w:r>
        <w:rPr>
          <w:rFonts w:ascii="Calibri" w:hAnsi="Calibri"/>
          <w:color w:val="231F20"/>
          <w:sz w:val="17"/>
        </w:rPr>
        <w:t>, Atti della 14° Settimana di studio del Centro italiano di studi sull’alto Medioevo, 14–19 aprile 1966, Spoleto 1967.</w:t>
      </w:r>
    </w:p>
    <w:p>
      <w:pPr>
        <w:spacing w:after="0" w:line="235" w:lineRule="auto"/>
        <w:jc w:val="left"/>
        <w:rPr>
          <w:rFonts w:ascii="Calibri" w:hAnsi="Calibri"/>
          <w:sz w:val="17"/>
        </w:rPr>
        <w:sectPr>
          <w:pgSz w:w="9640" w:h="13890"/>
          <w:pgMar w:top="0" w:bottom="280" w:left="1300" w:right="1200"/>
        </w:sectPr>
      </w:pPr>
    </w:p>
    <w:p>
      <w:pPr>
        <w:pStyle w:val="BodyText"/>
        <w:spacing w:line="247" w:lineRule="auto" w:before="107"/>
        <w:ind w:left="103" w:right="115"/>
        <w:jc w:val="both"/>
      </w:pPr>
      <w:r>
        <w:rPr>
          <w:color w:val="231F20"/>
          <w:w w:val="105"/>
        </w:rPr>
        <w:t>y</w:t>
      </w:r>
      <w:r>
        <w:rPr>
          <w:color w:val="231F20"/>
          <w:spacing w:val="-27"/>
          <w:w w:val="105"/>
        </w:rPr>
        <w:t> </w:t>
      </w:r>
      <w:r>
        <w:rPr>
          <w:color w:val="231F20"/>
          <w:w w:val="105"/>
        </w:rPr>
        <w:t>administración</w:t>
      </w:r>
      <w:r>
        <w:rPr>
          <w:color w:val="231F20"/>
          <w:spacing w:val="-27"/>
          <w:w w:val="105"/>
        </w:rPr>
        <w:t> </w:t>
      </w:r>
      <w:r>
        <w:rPr>
          <w:color w:val="231F20"/>
          <w:w w:val="105"/>
        </w:rPr>
        <w:t>han</w:t>
      </w:r>
      <w:r>
        <w:rPr>
          <w:color w:val="231F20"/>
          <w:spacing w:val="-27"/>
          <w:w w:val="105"/>
        </w:rPr>
        <w:t> </w:t>
      </w:r>
      <w:r>
        <w:rPr>
          <w:color w:val="231F20"/>
          <w:w w:val="105"/>
        </w:rPr>
        <w:t>formado</w:t>
      </w:r>
      <w:r>
        <w:rPr>
          <w:color w:val="231F20"/>
          <w:spacing w:val="-27"/>
          <w:w w:val="105"/>
        </w:rPr>
        <w:t> </w:t>
      </w:r>
      <w:r>
        <w:rPr>
          <w:color w:val="231F20"/>
          <w:w w:val="105"/>
        </w:rPr>
        <w:t>la</w:t>
      </w:r>
      <w:r>
        <w:rPr>
          <w:color w:val="231F20"/>
          <w:spacing w:val="-27"/>
          <w:w w:val="105"/>
        </w:rPr>
        <w:t> </w:t>
      </w:r>
      <w:r>
        <w:rPr>
          <w:color w:val="231F20"/>
          <w:w w:val="105"/>
        </w:rPr>
        <w:t>masa</w:t>
      </w:r>
      <w:r>
        <w:rPr>
          <w:color w:val="231F20"/>
          <w:spacing w:val="-27"/>
          <w:w w:val="105"/>
        </w:rPr>
        <w:t> </w:t>
      </w:r>
      <w:r>
        <w:rPr>
          <w:color w:val="231F20"/>
          <w:w w:val="105"/>
        </w:rPr>
        <w:t>correspondiente</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w w:val="105"/>
        </w:rPr>
        <w:t>nueva</w:t>
      </w:r>
      <w:r>
        <w:rPr>
          <w:color w:val="231F20"/>
          <w:spacing w:val="-27"/>
          <w:w w:val="105"/>
        </w:rPr>
        <w:t> </w:t>
      </w:r>
      <w:r>
        <w:rPr>
          <w:color w:val="231F20"/>
          <w:w w:val="105"/>
        </w:rPr>
        <w:t>econo- mía,</w:t>
      </w:r>
      <w:r>
        <w:rPr>
          <w:color w:val="231F20"/>
          <w:spacing w:val="-12"/>
          <w:w w:val="105"/>
        </w:rPr>
        <w:t> </w:t>
      </w:r>
      <w:r>
        <w:rPr>
          <w:color w:val="231F20"/>
          <w:spacing w:val="-3"/>
          <w:w w:val="105"/>
        </w:rPr>
        <w:t>pero</w:t>
      </w:r>
      <w:r>
        <w:rPr>
          <w:color w:val="231F20"/>
          <w:spacing w:val="-12"/>
          <w:w w:val="105"/>
        </w:rPr>
        <w:t> </w:t>
      </w:r>
      <w:r>
        <w:rPr>
          <w:color w:val="231F20"/>
          <w:w w:val="105"/>
        </w:rPr>
        <w:t>imponiendo</w:t>
      </w:r>
      <w:r>
        <w:rPr>
          <w:color w:val="231F20"/>
          <w:spacing w:val="-12"/>
          <w:w w:val="105"/>
        </w:rPr>
        <w:t> </w:t>
      </w:r>
      <w:r>
        <w:rPr>
          <w:color w:val="231F20"/>
          <w:spacing w:val="-3"/>
          <w:w w:val="105"/>
        </w:rPr>
        <w:t>organización.</w:t>
      </w:r>
      <w:r>
        <w:rPr>
          <w:color w:val="231F20"/>
          <w:spacing w:val="-12"/>
          <w:w w:val="105"/>
        </w:rPr>
        <w:t> </w:t>
      </w:r>
      <w:r>
        <w:rPr>
          <w:color w:val="231F20"/>
          <w:w w:val="105"/>
        </w:rPr>
        <w:t>A</w:t>
      </w:r>
      <w:r>
        <w:rPr>
          <w:color w:val="231F20"/>
          <w:spacing w:val="-12"/>
          <w:w w:val="105"/>
        </w:rPr>
        <w:t> </w:t>
      </w:r>
      <w:r>
        <w:rPr>
          <w:color w:val="231F20"/>
          <w:w w:val="105"/>
        </w:rPr>
        <w:t>eso</w:t>
      </w:r>
      <w:r>
        <w:rPr>
          <w:color w:val="231F20"/>
          <w:spacing w:val="-12"/>
          <w:w w:val="105"/>
        </w:rPr>
        <w:t> </w:t>
      </w:r>
      <w:r>
        <w:rPr>
          <w:color w:val="231F20"/>
          <w:w w:val="105"/>
        </w:rPr>
        <w:t>respondió</w:t>
      </w:r>
      <w:r>
        <w:rPr>
          <w:color w:val="231F20"/>
          <w:spacing w:val="-12"/>
          <w:w w:val="105"/>
        </w:rPr>
        <w:t> </w:t>
      </w:r>
      <w:r>
        <w:rPr>
          <w:color w:val="231F20"/>
          <w:w w:val="105"/>
        </w:rPr>
        <w:t>el</w:t>
      </w:r>
      <w:r>
        <w:rPr>
          <w:color w:val="231F20"/>
          <w:spacing w:val="-12"/>
          <w:w w:val="105"/>
        </w:rPr>
        <w:t> </w:t>
      </w:r>
      <w:r>
        <w:rPr>
          <w:color w:val="231F20"/>
          <w:spacing w:val="-3"/>
          <w:w w:val="105"/>
        </w:rPr>
        <w:t>Derecho</w:t>
      </w:r>
      <w:r>
        <w:rPr>
          <w:color w:val="231F20"/>
          <w:spacing w:val="-12"/>
          <w:w w:val="105"/>
        </w:rPr>
        <w:t> </w:t>
      </w:r>
      <w:r>
        <w:rPr>
          <w:color w:val="231F20"/>
          <w:w w:val="105"/>
        </w:rPr>
        <w:t>cuando, a</w:t>
      </w:r>
      <w:r>
        <w:rPr>
          <w:color w:val="231F20"/>
          <w:spacing w:val="-32"/>
          <w:w w:val="105"/>
        </w:rPr>
        <w:t> </w:t>
      </w:r>
      <w:r>
        <w:rPr>
          <w:color w:val="231F20"/>
          <w:w w:val="105"/>
        </w:rPr>
        <w:t>su</w:t>
      </w:r>
      <w:r>
        <w:rPr>
          <w:color w:val="231F20"/>
          <w:spacing w:val="-32"/>
          <w:w w:val="105"/>
        </w:rPr>
        <w:t> </w:t>
      </w:r>
      <w:r>
        <w:rPr>
          <w:color w:val="231F20"/>
          <w:w w:val="105"/>
        </w:rPr>
        <w:t>vez,</w:t>
      </w:r>
      <w:r>
        <w:rPr>
          <w:color w:val="231F20"/>
          <w:spacing w:val="-32"/>
          <w:w w:val="105"/>
        </w:rPr>
        <w:t> </w:t>
      </w:r>
      <w:r>
        <w:rPr>
          <w:color w:val="231F20"/>
          <w:w w:val="105"/>
        </w:rPr>
        <w:t>fue</w:t>
      </w:r>
      <w:r>
        <w:rPr>
          <w:color w:val="231F20"/>
          <w:spacing w:val="-32"/>
          <w:w w:val="105"/>
        </w:rPr>
        <w:t> </w:t>
      </w:r>
      <w:r>
        <w:rPr>
          <w:color w:val="231F20"/>
          <w:w w:val="105"/>
        </w:rPr>
        <w:t>actualizado</w:t>
      </w:r>
      <w:r>
        <w:rPr>
          <w:color w:val="231F20"/>
          <w:spacing w:val="-32"/>
          <w:w w:val="105"/>
        </w:rPr>
        <w:t> </w:t>
      </w:r>
      <w:r>
        <w:rPr>
          <w:color w:val="231F20"/>
          <w:w w:val="105"/>
        </w:rPr>
        <w:t>y</w:t>
      </w:r>
      <w:r>
        <w:rPr>
          <w:color w:val="231F20"/>
          <w:spacing w:val="-32"/>
          <w:w w:val="105"/>
        </w:rPr>
        <w:t> </w:t>
      </w:r>
      <w:r>
        <w:rPr>
          <w:color w:val="231F20"/>
          <w:spacing w:val="-3"/>
          <w:w w:val="105"/>
        </w:rPr>
        <w:t>reformado</w:t>
      </w:r>
      <w:r>
        <w:rPr>
          <w:color w:val="231F20"/>
          <w:spacing w:val="-32"/>
          <w:w w:val="105"/>
        </w:rPr>
        <w:t> </w:t>
      </w:r>
      <w:r>
        <w:rPr>
          <w:color w:val="231F20"/>
          <w:w w:val="105"/>
        </w:rPr>
        <w:t>hasta</w:t>
      </w:r>
      <w:r>
        <w:rPr>
          <w:color w:val="231F20"/>
          <w:spacing w:val="-32"/>
          <w:w w:val="105"/>
        </w:rPr>
        <w:t> </w:t>
      </w:r>
      <w:r>
        <w:rPr>
          <w:color w:val="231F20"/>
          <w:w w:val="105"/>
        </w:rPr>
        <w:t>llegar</w:t>
      </w:r>
      <w:r>
        <w:rPr>
          <w:color w:val="231F20"/>
          <w:spacing w:val="-32"/>
          <w:w w:val="105"/>
        </w:rPr>
        <w:t> </w:t>
      </w:r>
      <w:r>
        <w:rPr>
          <w:color w:val="231F20"/>
          <w:w w:val="105"/>
        </w:rPr>
        <w:t>al</w:t>
      </w:r>
      <w:r>
        <w:rPr>
          <w:color w:val="231F20"/>
          <w:spacing w:val="-32"/>
          <w:w w:val="105"/>
        </w:rPr>
        <w:t> </w:t>
      </w:r>
      <w:r>
        <w:rPr>
          <w:color w:val="231F20"/>
          <w:w w:val="105"/>
        </w:rPr>
        <w:t>grado</w:t>
      </w:r>
      <w:r>
        <w:rPr>
          <w:color w:val="231F20"/>
          <w:spacing w:val="-32"/>
          <w:w w:val="105"/>
        </w:rPr>
        <w:t> </w:t>
      </w:r>
      <w:r>
        <w:rPr>
          <w:color w:val="231F20"/>
          <w:w w:val="105"/>
        </w:rPr>
        <w:t>de</w:t>
      </w:r>
      <w:r>
        <w:rPr>
          <w:color w:val="231F20"/>
          <w:spacing w:val="-32"/>
          <w:w w:val="105"/>
        </w:rPr>
        <w:t> </w:t>
      </w:r>
      <w:r>
        <w:rPr>
          <w:color w:val="231F20"/>
          <w:spacing w:val="-2"/>
          <w:w w:val="105"/>
        </w:rPr>
        <w:t>perfeccionar</w:t>
      </w:r>
    </w:p>
    <w:p>
      <w:pPr>
        <w:pStyle w:val="BodyText"/>
        <w:spacing w:line="247" w:lineRule="auto"/>
        <w:ind w:left="64" w:right="114"/>
        <w:jc w:val="right"/>
      </w:pPr>
      <w:r>
        <w:rPr>
          <w:color w:val="231F20"/>
          <w:w w:val="105"/>
        </w:rPr>
        <w:t>—con</w:t>
      </w:r>
      <w:r>
        <w:rPr>
          <w:color w:val="231F20"/>
          <w:spacing w:val="-27"/>
          <w:w w:val="105"/>
        </w:rPr>
        <w:t> </w:t>
      </w:r>
      <w:r>
        <w:rPr>
          <w:color w:val="231F20"/>
          <w:w w:val="105"/>
        </w:rPr>
        <w:t>la</w:t>
      </w:r>
      <w:r>
        <w:rPr>
          <w:color w:val="231F20"/>
          <w:spacing w:val="-27"/>
          <w:w w:val="105"/>
        </w:rPr>
        <w:t> </w:t>
      </w:r>
      <w:r>
        <w:rPr>
          <w:color w:val="231F20"/>
          <w:w w:val="105"/>
        </w:rPr>
        <w:t>codificación</w:t>
      </w:r>
      <w:r>
        <w:rPr>
          <w:color w:val="231F20"/>
          <w:spacing w:val="-27"/>
          <w:w w:val="105"/>
        </w:rPr>
        <w:t> </w:t>
      </w:r>
      <w:r>
        <w:rPr>
          <w:color w:val="231F20"/>
          <w:w w:val="105"/>
        </w:rPr>
        <w:t>de</w:t>
      </w:r>
      <w:r>
        <w:rPr>
          <w:color w:val="231F20"/>
          <w:spacing w:val="-27"/>
          <w:w w:val="105"/>
        </w:rPr>
        <w:t> </w:t>
      </w:r>
      <w:r>
        <w:rPr>
          <w:color w:val="231F20"/>
          <w:w w:val="105"/>
        </w:rPr>
        <w:t>lo</w:t>
      </w:r>
      <w:r>
        <w:rPr>
          <w:color w:val="231F20"/>
          <w:spacing w:val="-27"/>
          <w:w w:val="105"/>
        </w:rPr>
        <w:t> </w:t>
      </w:r>
      <w:r>
        <w:rPr>
          <w:color w:val="231F20"/>
          <w:w w:val="105"/>
        </w:rPr>
        <w:t>tradicional,</w:t>
      </w:r>
      <w:r>
        <w:rPr>
          <w:color w:val="231F20"/>
          <w:spacing w:val="-27"/>
          <w:w w:val="105"/>
        </w:rPr>
        <w:t> </w:t>
      </w:r>
      <w:r>
        <w:rPr>
          <w:color w:val="231F20"/>
          <w:w w:val="105"/>
        </w:rPr>
        <w:t>su</w:t>
      </w:r>
      <w:r>
        <w:rPr>
          <w:color w:val="231F20"/>
          <w:spacing w:val="-27"/>
          <w:w w:val="105"/>
        </w:rPr>
        <w:t> </w:t>
      </w:r>
      <w:r>
        <w:rPr>
          <w:color w:val="231F20"/>
          <w:w w:val="105"/>
        </w:rPr>
        <w:t>consecuente</w:t>
      </w:r>
      <w:r>
        <w:rPr>
          <w:color w:val="231F20"/>
          <w:spacing w:val="-27"/>
          <w:w w:val="105"/>
        </w:rPr>
        <w:t> </w:t>
      </w:r>
      <w:r>
        <w:rPr>
          <w:color w:val="231F20"/>
          <w:w w:val="105"/>
        </w:rPr>
        <w:t>racionalización</w:t>
      </w:r>
      <w:r>
        <w:rPr>
          <w:color w:val="231F20"/>
          <w:spacing w:val="-27"/>
          <w:w w:val="105"/>
        </w:rPr>
        <w:t> </w:t>
      </w:r>
      <w:r>
        <w:rPr>
          <w:color w:val="231F20"/>
          <w:w w:val="105"/>
        </w:rPr>
        <w:t>y</w:t>
      </w:r>
      <w:r>
        <w:rPr>
          <w:color w:val="231F20"/>
          <w:spacing w:val="-27"/>
          <w:w w:val="105"/>
        </w:rPr>
        <w:t> </w:t>
      </w:r>
      <w:r>
        <w:rPr>
          <w:color w:val="231F20"/>
          <w:w w:val="105"/>
        </w:rPr>
        <w:t>la</w:t>
      </w:r>
      <w:r>
        <w:rPr>
          <w:color w:val="231F20"/>
          <w:spacing w:val="-2"/>
          <w:w w:val="100"/>
        </w:rPr>
        <w:t> </w:t>
      </w:r>
      <w:r>
        <w:rPr>
          <w:color w:val="231F20"/>
          <w:spacing w:val="-3"/>
          <w:w w:val="105"/>
        </w:rPr>
        <w:t>proyección</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Constitución</w:t>
      </w:r>
      <w:r>
        <w:rPr>
          <w:color w:val="231F20"/>
          <w:spacing w:val="-8"/>
          <w:w w:val="105"/>
        </w:rPr>
        <w:t> </w:t>
      </w:r>
      <w:r>
        <w:rPr>
          <w:color w:val="231F20"/>
          <w:w w:val="105"/>
        </w:rPr>
        <w:t>y</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spacing w:val="-3"/>
          <w:w w:val="105"/>
        </w:rPr>
        <w:t>ordenamiento</w:t>
      </w:r>
      <w:r>
        <w:rPr>
          <w:color w:val="231F20"/>
          <w:spacing w:val="-8"/>
          <w:w w:val="105"/>
        </w:rPr>
        <w:t> </w:t>
      </w:r>
      <w:r>
        <w:rPr>
          <w:color w:val="231F20"/>
          <w:w w:val="105"/>
        </w:rPr>
        <w:t>jurídico—</w:t>
      </w:r>
      <w:r>
        <w:rPr>
          <w:color w:val="231F20"/>
          <w:spacing w:val="-8"/>
          <w:w w:val="105"/>
        </w:rPr>
        <w:t> </w:t>
      </w:r>
      <w:r>
        <w:rPr>
          <w:color w:val="231F20"/>
          <w:w w:val="105"/>
        </w:rPr>
        <w:t>el</w:t>
      </w:r>
      <w:r>
        <w:rPr>
          <w:color w:val="231F20"/>
          <w:spacing w:val="-8"/>
          <w:w w:val="105"/>
        </w:rPr>
        <w:t> </w:t>
      </w:r>
      <w:r>
        <w:rPr>
          <w:color w:val="231F20"/>
          <w:w w:val="105"/>
        </w:rPr>
        <w:t>nivel</w:t>
      </w:r>
      <w:r>
        <w:rPr>
          <w:color w:val="231F20"/>
          <w:spacing w:val="-8"/>
          <w:w w:val="105"/>
        </w:rPr>
        <w:t> </w:t>
      </w:r>
      <w:r>
        <w:rPr>
          <w:color w:val="231F20"/>
          <w:w w:val="105"/>
        </w:rPr>
        <w:t>de</w:t>
      </w:r>
      <w:r>
        <w:rPr>
          <w:color w:val="231F20"/>
          <w:spacing w:val="-2"/>
          <w:w w:val="108"/>
        </w:rPr>
        <w:t> </w:t>
      </w:r>
      <w:r>
        <w:rPr>
          <w:color w:val="231F20"/>
          <w:spacing w:val="-3"/>
          <w:w w:val="105"/>
        </w:rPr>
        <w:t>orden</w:t>
      </w:r>
      <w:r>
        <w:rPr>
          <w:color w:val="231F20"/>
          <w:spacing w:val="-33"/>
          <w:w w:val="105"/>
        </w:rPr>
        <w:t> </w:t>
      </w:r>
      <w:r>
        <w:rPr>
          <w:color w:val="231F20"/>
          <w:w w:val="105"/>
        </w:rPr>
        <w:t>necesario</w:t>
      </w:r>
      <w:r>
        <w:rPr>
          <w:color w:val="231F20"/>
          <w:spacing w:val="-33"/>
          <w:w w:val="105"/>
        </w:rPr>
        <w:t> </w:t>
      </w:r>
      <w:r>
        <w:rPr>
          <w:color w:val="231F20"/>
          <w:w w:val="105"/>
        </w:rPr>
        <w:t>para</w:t>
      </w:r>
      <w:r>
        <w:rPr>
          <w:color w:val="231F20"/>
          <w:spacing w:val="-33"/>
          <w:w w:val="105"/>
        </w:rPr>
        <w:t> </w:t>
      </w:r>
      <w:r>
        <w:rPr>
          <w:color w:val="231F20"/>
          <w:w w:val="105"/>
        </w:rPr>
        <w:t>el</w:t>
      </w:r>
      <w:r>
        <w:rPr>
          <w:color w:val="231F20"/>
          <w:spacing w:val="-33"/>
          <w:w w:val="105"/>
        </w:rPr>
        <w:t> </w:t>
      </w:r>
      <w:r>
        <w:rPr>
          <w:color w:val="231F20"/>
          <w:w w:val="105"/>
        </w:rPr>
        <w:t>modo</w:t>
      </w:r>
      <w:r>
        <w:rPr>
          <w:color w:val="231F20"/>
          <w:spacing w:val="-33"/>
          <w:w w:val="105"/>
        </w:rPr>
        <w:t> </w:t>
      </w:r>
      <w:r>
        <w:rPr>
          <w:color w:val="231F20"/>
          <w:w w:val="105"/>
        </w:rPr>
        <w:t>de</w:t>
      </w:r>
      <w:r>
        <w:rPr>
          <w:color w:val="231F20"/>
          <w:spacing w:val="-33"/>
          <w:w w:val="105"/>
        </w:rPr>
        <w:t> </w:t>
      </w:r>
      <w:r>
        <w:rPr>
          <w:color w:val="231F20"/>
          <w:spacing w:val="-3"/>
          <w:w w:val="105"/>
        </w:rPr>
        <w:t>producción</w:t>
      </w:r>
      <w:r>
        <w:rPr>
          <w:color w:val="231F20"/>
          <w:spacing w:val="-33"/>
          <w:w w:val="105"/>
        </w:rPr>
        <w:t> </w:t>
      </w:r>
      <w:r>
        <w:rPr>
          <w:color w:val="231F20"/>
          <w:w w:val="105"/>
        </w:rPr>
        <w:t>que</w:t>
      </w:r>
      <w:r>
        <w:rPr>
          <w:color w:val="231F20"/>
          <w:spacing w:val="-33"/>
          <w:w w:val="105"/>
        </w:rPr>
        <w:t> </w:t>
      </w:r>
      <w:r>
        <w:rPr>
          <w:color w:val="231F20"/>
          <w:w w:val="105"/>
        </w:rPr>
        <w:t>mientras</w:t>
      </w:r>
      <w:r>
        <w:rPr>
          <w:color w:val="231F20"/>
          <w:spacing w:val="-33"/>
          <w:w w:val="105"/>
        </w:rPr>
        <w:t> </w:t>
      </w:r>
      <w:r>
        <w:rPr>
          <w:color w:val="231F20"/>
          <w:w w:val="105"/>
        </w:rPr>
        <w:t>se</w:t>
      </w:r>
      <w:r>
        <w:rPr>
          <w:color w:val="231F20"/>
          <w:spacing w:val="-33"/>
          <w:w w:val="105"/>
        </w:rPr>
        <w:t> </w:t>
      </w:r>
      <w:r>
        <w:rPr>
          <w:color w:val="231F20"/>
          <w:w w:val="105"/>
        </w:rPr>
        <w:t>consolidaba.</w:t>
      </w:r>
      <w:r>
        <w:rPr>
          <w:color w:val="231F20"/>
          <w:spacing w:val="-2"/>
          <w:w w:val="102"/>
        </w:rPr>
        <w:t> </w:t>
      </w:r>
      <w:r>
        <w:rPr>
          <w:color w:val="231F20"/>
          <w:w w:val="105"/>
        </w:rPr>
        <w:t>Mirar al Estado sólo a partir del Derecho —como suelen</w:t>
      </w:r>
      <w:r>
        <w:rPr>
          <w:color w:val="231F20"/>
          <w:spacing w:val="-4"/>
          <w:w w:val="105"/>
        </w:rPr>
        <w:t> </w:t>
      </w:r>
      <w:r>
        <w:rPr>
          <w:color w:val="231F20"/>
          <w:w w:val="105"/>
        </w:rPr>
        <w:t>hacer</w:t>
      </w:r>
      <w:r>
        <w:rPr>
          <w:color w:val="231F20"/>
          <w:spacing w:val="-1"/>
          <w:w w:val="105"/>
        </w:rPr>
        <w:t> </w:t>
      </w:r>
      <w:r>
        <w:rPr>
          <w:color w:val="231F20"/>
          <w:w w:val="105"/>
        </w:rPr>
        <w:t>los</w:t>
      </w:r>
      <w:r>
        <w:rPr>
          <w:color w:val="231F20"/>
          <w:spacing w:val="1"/>
          <w:w w:val="103"/>
        </w:rPr>
        <w:t> </w:t>
      </w:r>
      <w:r>
        <w:rPr>
          <w:color w:val="231F20"/>
          <w:w w:val="105"/>
        </w:rPr>
        <w:t>“constitucionalistas”—</w:t>
      </w:r>
      <w:r>
        <w:rPr>
          <w:color w:val="231F20"/>
          <w:spacing w:val="-30"/>
          <w:w w:val="105"/>
        </w:rPr>
        <w:t> </w:t>
      </w:r>
      <w:r>
        <w:rPr>
          <w:color w:val="231F20"/>
          <w:w w:val="105"/>
        </w:rPr>
        <w:t>implica</w:t>
      </w:r>
      <w:r>
        <w:rPr>
          <w:color w:val="231F20"/>
          <w:spacing w:val="-30"/>
          <w:w w:val="105"/>
        </w:rPr>
        <w:t> </w:t>
      </w:r>
      <w:r>
        <w:rPr>
          <w:color w:val="231F20"/>
          <w:w w:val="105"/>
        </w:rPr>
        <w:t>el</w:t>
      </w:r>
      <w:r>
        <w:rPr>
          <w:color w:val="231F20"/>
          <w:spacing w:val="-30"/>
          <w:w w:val="105"/>
        </w:rPr>
        <w:t> </w:t>
      </w:r>
      <w:r>
        <w:rPr>
          <w:color w:val="231F20"/>
          <w:w w:val="105"/>
        </w:rPr>
        <w:t>riesgo</w:t>
      </w:r>
      <w:r>
        <w:rPr>
          <w:color w:val="231F20"/>
          <w:spacing w:val="-30"/>
          <w:w w:val="105"/>
        </w:rPr>
        <w:t> </w:t>
      </w:r>
      <w:r>
        <w:rPr>
          <w:color w:val="231F20"/>
          <w:w w:val="105"/>
        </w:rPr>
        <w:t>de</w:t>
      </w:r>
      <w:r>
        <w:rPr>
          <w:color w:val="231F20"/>
          <w:spacing w:val="-30"/>
          <w:w w:val="105"/>
        </w:rPr>
        <w:t> </w:t>
      </w:r>
      <w:r>
        <w:rPr>
          <w:color w:val="231F20"/>
          <w:w w:val="105"/>
        </w:rPr>
        <w:t>retroceder</w:t>
      </w:r>
      <w:r>
        <w:rPr>
          <w:color w:val="231F20"/>
          <w:spacing w:val="-30"/>
          <w:w w:val="105"/>
        </w:rPr>
        <w:t> </w:t>
      </w:r>
      <w:r>
        <w:rPr>
          <w:color w:val="231F20"/>
          <w:w w:val="105"/>
        </w:rPr>
        <w:t>hacia</w:t>
      </w:r>
      <w:r>
        <w:rPr>
          <w:color w:val="231F20"/>
          <w:spacing w:val="-30"/>
          <w:w w:val="105"/>
        </w:rPr>
        <w:t> </w:t>
      </w:r>
      <w:r>
        <w:rPr>
          <w:color w:val="231F20"/>
          <w:w w:val="105"/>
        </w:rPr>
        <w:t>una</w:t>
      </w:r>
      <w:r>
        <w:rPr>
          <w:color w:val="231F20"/>
          <w:spacing w:val="-30"/>
          <w:w w:val="105"/>
        </w:rPr>
        <w:t> </w:t>
      </w:r>
      <w:r>
        <w:rPr>
          <w:color w:val="231F20"/>
          <w:w w:val="105"/>
        </w:rPr>
        <w:t>condición</w:t>
      </w:r>
      <w:r>
        <w:rPr>
          <w:color w:val="231F20"/>
          <w:spacing w:val="1"/>
          <w:w w:val="104"/>
        </w:rPr>
        <w:t> </w:t>
      </w:r>
      <w:r>
        <w:rPr>
          <w:color w:val="231F20"/>
          <w:w w:val="105"/>
        </w:rPr>
        <w:t>histórica (un estado) “tardía” del mismo Estado, es </w:t>
      </w:r>
      <w:r>
        <w:rPr>
          <w:color w:val="231F20"/>
          <w:spacing w:val="-3"/>
          <w:w w:val="105"/>
        </w:rPr>
        <w:t>decir,</w:t>
      </w:r>
      <w:r>
        <w:rPr>
          <w:color w:val="231F20"/>
          <w:spacing w:val="23"/>
          <w:w w:val="105"/>
        </w:rPr>
        <w:t> </w:t>
      </w:r>
      <w:r>
        <w:rPr>
          <w:color w:val="231F20"/>
          <w:w w:val="105"/>
        </w:rPr>
        <w:t>aquella</w:t>
      </w:r>
      <w:r>
        <w:rPr>
          <w:color w:val="231F20"/>
          <w:spacing w:val="2"/>
          <w:w w:val="105"/>
        </w:rPr>
        <w:t> </w:t>
      </w:r>
      <w:r>
        <w:rPr>
          <w:color w:val="231F20"/>
          <w:w w:val="105"/>
        </w:rPr>
        <w:t>“con-</w:t>
      </w:r>
      <w:r>
        <w:rPr>
          <w:color w:val="231F20"/>
          <w:w w:val="91"/>
        </w:rPr>
        <w:t> </w:t>
      </w:r>
      <w:r>
        <w:rPr>
          <w:color w:val="231F20"/>
          <w:w w:val="105"/>
        </w:rPr>
        <w:t>temporánea”,</w:t>
      </w:r>
      <w:r>
        <w:rPr>
          <w:color w:val="231F20"/>
          <w:spacing w:val="-20"/>
          <w:w w:val="105"/>
        </w:rPr>
        <w:t> </w:t>
      </w:r>
      <w:r>
        <w:rPr>
          <w:color w:val="231F20"/>
          <w:w w:val="105"/>
        </w:rPr>
        <w:t>la</w:t>
      </w:r>
      <w:r>
        <w:rPr>
          <w:color w:val="231F20"/>
          <w:spacing w:val="-20"/>
          <w:w w:val="105"/>
        </w:rPr>
        <w:t> </w:t>
      </w:r>
      <w:r>
        <w:rPr>
          <w:color w:val="231F20"/>
          <w:w w:val="105"/>
        </w:rPr>
        <w:t>cual</w:t>
      </w:r>
      <w:r>
        <w:rPr>
          <w:color w:val="231F20"/>
          <w:spacing w:val="-20"/>
          <w:w w:val="105"/>
        </w:rPr>
        <w:t> </w:t>
      </w:r>
      <w:r>
        <w:rPr>
          <w:color w:val="231F20"/>
          <w:w w:val="105"/>
        </w:rPr>
        <w:t>a</w:t>
      </w:r>
      <w:r>
        <w:rPr>
          <w:color w:val="231F20"/>
          <w:spacing w:val="-20"/>
          <w:w w:val="105"/>
        </w:rPr>
        <w:t> </w:t>
      </w:r>
      <w:r>
        <w:rPr>
          <w:color w:val="231F20"/>
          <w:w w:val="105"/>
        </w:rPr>
        <w:t>su</w:t>
      </w:r>
      <w:r>
        <w:rPr>
          <w:color w:val="231F20"/>
          <w:spacing w:val="-20"/>
          <w:w w:val="105"/>
        </w:rPr>
        <w:t> </w:t>
      </w:r>
      <w:r>
        <w:rPr>
          <w:color w:val="231F20"/>
          <w:w w:val="105"/>
        </w:rPr>
        <w:t>vez</w:t>
      </w:r>
      <w:r>
        <w:rPr>
          <w:color w:val="231F20"/>
          <w:spacing w:val="-20"/>
          <w:w w:val="105"/>
        </w:rPr>
        <w:t> </w:t>
      </w:r>
      <w:r>
        <w:rPr>
          <w:color w:val="231F20"/>
          <w:w w:val="105"/>
        </w:rPr>
        <w:t>parece</w:t>
      </w:r>
      <w:r>
        <w:rPr>
          <w:color w:val="231F20"/>
          <w:spacing w:val="-20"/>
          <w:w w:val="105"/>
        </w:rPr>
        <w:t> </w:t>
      </w:r>
      <w:r>
        <w:rPr>
          <w:color w:val="231F20"/>
          <w:w w:val="105"/>
        </w:rPr>
        <w:t>ya</w:t>
      </w:r>
      <w:r>
        <w:rPr>
          <w:color w:val="231F20"/>
          <w:spacing w:val="-20"/>
          <w:w w:val="105"/>
        </w:rPr>
        <w:t> </w:t>
      </w:r>
      <w:r>
        <w:rPr>
          <w:color w:val="231F20"/>
          <w:w w:val="105"/>
        </w:rPr>
        <w:t>superada,</w:t>
      </w:r>
      <w:r>
        <w:rPr>
          <w:color w:val="231F20"/>
          <w:spacing w:val="-20"/>
          <w:w w:val="105"/>
        </w:rPr>
        <w:t> </w:t>
      </w:r>
      <w:r>
        <w:rPr>
          <w:color w:val="231F20"/>
          <w:w w:val="105"/>
        </w:rPr>
        <w:t>de</w:t>
      </w:r>
      <w:r>
        <w:rPr>
          <w:color w:val="231F20"/>
          <w:spacing w:val="-20"/>
          <w:w w:val="105"/>
        </w:rPr>
        <w:t> </w:t>
      </w:r>
      <w:r>
        <w:rPr>
          <w:color w:val="231F20"/>
          <w:w w:val="105"/>
        </w:rPr>
        <w:t>frente</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nuevos</w:t>
      </w:r>
      <w:r>
        <w:rPr>
          <w:color w:val="231F20"/>
          <w:spacing w:val="1"/>
          <w:w w:val="100"/>
        </w:rPr>
        <w:t> </w:t>
      </w:r>
      <w:r>
        <w:rPr>
          <w:color w:val="231F20"/>
          <w:w w:val="105"/>
        </w:rPr>
        <w:t>criterios</w:t>
      </w:r>
      <w:r>
        <w:rPr>
          <w:color w:val="231F20"/>
          <w:spacing w:val="-17"/>
          <w:w w:val="105"/>
        </w:rPr>
        <w:t> </w:t>
      </w:r>
      <w:r>
        <w:rPr>
          <w:color w:val="231F20"/>
          <w:w w:val="105"/>
        </w:rPr>
        <w:t>de</w:t>
      </w:r>
      <w:r>
        <w:rPr>
          <w:color w:val="231F20"/>
          <w:spacing w:val="-17"/>
          <w:w w:val="105"/>
        </w:rPr>
        <w:t> </w:t>
      </w:r>
      <w:r>
        <w:rPr>
          <w:color w:val="231F20"/>
          <w:w w:val="105"/>
        </w:rPr>
        <w:t>normatividad</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van</w:t>
      </w:r>
      <w:r>
        <w:rPr>
          <w:color w:val="231F20"/>
          <w:spacing w:val="-17"/>
          <w:w w:val="105"/>
        </w:rPr>
        <w:t> </w:t>
      </w:r>
      <w:r>
        <w:rPr>
          <w:color w:val="231F20"/>
          <w:w w:val="105"/>
        </w:rPr>
        <w:t>afirmando.</w:t>
      </w:r>
      <w:r>
        <w:rPr>
          <w:color w:val="231F20"/>
          <w:spacing w:val="-17"/>
          <w:w w:val="105"/>
        </w:rPr>
        <w:t> </w:t>
      </w:r>
      <w:r>
        <w:rPr>
          <w:color w:val="231F20"/>
          <w:w w:val="105"/>
        </w:rPr>
        <w:t>En</w:t>
      </w:r>
      <w:r>
        <w:rPr>
          <w:color w:val="231F20"/>
          <w:spacing w:val="-17"/>
          <w:w w:val="105"/>
        </w:rPr>
        <w:t> </w:t>
      </w:r>
      <w:r>
        <w:rPr>
          <w:color w:val="231F20"/>
          <w:w w:val="105"/>
        </w:rPr>
        <w:t>efecto,</w:t>
      </w:r>
      <w:r>
        <w:rPr>
          <w:color w:val="231F20"/>
          <w:spacing w:val="-17"/>
          <w:w w:val="105"/>
        </w:rPr>
        <w:t> </w:t>
      </w:r>
      <w:r>
        <w:rPr>
          <w:color w:val="231F20"/>
          <w:w w:val="105"/>
        </w:rPr>
        <w:t>se</w:t>
      </w:r>
      <w:r>
        <w:rPr>
          <w:color w:val="231F20"/>
          <w:spacing w:val="-17"/>
          <w:w w:val="105"/>
        </w:rPr>
        <w:t> </w:t>
      </w:r>
      <w:r>
        <w:rPr>
          <w:color w:val="231F20"/>
          <w:w w:val="105"/>
        </w:rPr>
        <w:t>convertiría</w:t>
      </w:r>
      <w:r>
        <w:rPr>
          <w:color w:val="231F20"/>
          <w:spacing w:val="1"/>
          <w:w w:val="99"/>
        </w:rPr>
        <w:t> </w:t>
      </w:r>
      <w:r>
        <w:rPr>
          <w:color w:val="231F20"/>
          <w:w w:val="105"/>
        </w:rPr>
        <w:t>en</w:t>
      </w:r>
      <w:r>
        <w:rPr>
          <w:color w:val="231F20"/>
          <w:spacing w:val="-10"/>
          <w:w w:val="105"/>
        </w:rPr>
        <w:t> </w:t>
      </w:r>
      <w:r>
        <w:rPr>
          <w:color w:val="231F20"/>
          <w:w w:val="105"/>
        </w:rPr>
        <w:t>normal</w:t>
      </w:r>
      <w:r>
        <w:rPr>
          <w:color w:val="231F20"/>
          <w:spacing w:val="-10"/>
          <w:w w:val="105"/>
        </w:rPr>
        <w:t> </w:t>
      </w:r>
      <w:r>
        <w:rPr>
          <w:color w:val="231F20"/>
          <w:w w:val="105"/>
        </w:rPr>
        <w:t>y</w:t>
      </w:r>
      <w:r>
        <w:rPr>
          <w:color w:val="231F20"/>
          <w:spacing w:val="-10"/>
          <w:w w:val="105"/>
        </w:rPr>
        <w:t> </w:t>
      </w:r>
      <w:r>
        <w:rPr>
          <w:color w:val="231F20"/>
          <w:w w:val="105"/>
        </w:rPr>
        <w:t>sería</w:t>
      </w:r>
      <w:r>
        <w:rPr>
          <w:color w:val="231F20"/>
          <w:spacing w:val="-10"/>
          <w:w w:val="105"/>
        </w:rPr>
        <w:t> </w:t>
      </w:r>
      <w:r>
        <w:rPr>
          <w:color w:val="231F20"/>
          <w:w w:val="105"/>
        </w:rPr>
        <w:t>correcto</w:t>
      </w:r>
      <w:r>
        <w:rPr>
          <w:color w:val="231F20"/>
          <w:spacing w:val="-10"/>
          <w:w w:val="105"/>
        </w:rPr>
        <w:t> </w:t>
      </w:r>
      <w:r>
        <w:rPr>
          <w:color w:val="231F20"/>
          <w:w w:val="105"/>
        </w:rPr>
        <w:t>decir</w:t>
      </w:r>
      <w:r>
        <w:rPr>
          <w:color w:val="231F20"/>
          <w:spacing w:val="-10"/>
          <w:w w:val="105"/>
        </w:rPr>
        <w:t> </w:t>
      </w:r>
      <w:r>
        <w:rPr>
          <w:color w:val="231F20"/>
          <w:w w:val="105"/>
        </w:rPr>
        <w:t>—como</w:t>
      </w:r>
      <w:r>
        <w:rPr>
          <w:color w:val="231F20"/>
          <w:spacing w:val="-10"/>
          <w:w w:val="105"/>
        </w:rPr>
        <w:t> </w:t>
      </w:r>
      <w:r>
        <w:rPr>
          <w:color w:val="231F20"/>
          <w:w w:val="105"/>
        </w:rPr>
        <w:t>tradicionalmente</w:t>
      </w:r>
      <w:r>
        <w:rPr>
          <w:color w:val="231F20"/>
          <w:spacing w:val="-10"/>
          <w:w w:val="105"/>
        </w:rPr>
        <w:t> </w:t>
      </w:r>
      <w:r>
        <w:rPr>
          <w:color w:val="231F20"/>
          <w:w w:val="105"/>
        </w:rPr>
        <w:t>se</w:t>
      </w:r>
      <w:r>
        <w:rPr>
          <w:color w:val="231F20"/>
          <w:spacing w:val="-10"/>
          <w:w w:val="105"/>
        </w:rPr>
        <w:t> </w:t>
      </w:r>
      <w:r>
        <w:rPr>
          <w:color w:val="231F20"/>
          <w:w w:val="105"/>
        </w:rPr>
        <w:t>hace—</w:t>
      </w:r>
      <w:r>
        <w:rPr>
          <w:color w:val="231F20"/>
          <w:spacing w:val="-10"/>
          <w:w w:val="105"/>
        </w:rPr>
        <w:t> </w:t>
      </w:r>
      <w:r>
        <w:rPr>
          <w:color w:val="231F20"/>
          <w:w w:val="105"/>
        </w:rPr>
        <w:t>que</w:t>
      </w:r>
      <w:r>
        <w:rPr>
          <w:color w:val="231F20"/>
          <w:spacing w:val="1"/>
          <w:w w:val="105"/>
        </w:rPr>
        <w:t> </w:t>
      </w:r>
      <w:r>
        <w:rPr>
          <w:color w:val="231F20"/>
          <w:w w:val="105"/>
        </w:rPr>
        <w:t>con</w:t>
      </w:r>
      <w:r>
        <w:rPr>
          <w:color w:val="231F20"/>
          <w:spacing w:val="-18"/>
          <w:w w:val="105"/>
        </w:rPr>
        <w:t> </w:t>
      </w:r>
      <w:r>
        <w:rPr>
          <w:color w:val="231F20"/>
          <w:w w:val="105"/>
        </w:rPr>
        <w:t>el</w:t>
      </w:r>
      <w:r>
        <w:rPr>
          <w:color w:val="231F20"/>
          <w:spacing w:val="-18"/>
          <w:w w:val="105"/>
        </w:rPr>
        <w:t> </w:t>
      </w:r>
      <w:r>
        <w:rPr>
          <w:color w:val="231F20"/>
          <w:w w:val="105"/>
        </w:rPr>
        <w:t>término</w:t>
      </w:r>
      <w:r>
        <w:rPr>
          <w:color w:val="231F20"/>
          <w:spacing w:val="-18"/>
          <w:w w:val="105"/>
        </w:rPr>
        <w:t> </w:t>
      </w:r>
      <w:r>
        <w:rPr>
          <w:color w:val="231F20"/>
          <w:w w:val="105"/>
        </w:rPr>
        <w:t>Estado</w:t>
      </w:r>
      <w:r>
        <w:rPr>
          <w:color w:val="231F20"/>
          <w:spacing w:val="-18"/>
          <w:w w:val="105"/>
        </w:rPr>
        <w:t> </w:t>
      </w:r>
      <w:r>
        <w:rPr>
          <w:color w:val="231F20"/>
          <w:w w:val="105"/>
        </w:rPr>
        <w:t>se</w:t>
      </w:r>
      <w:r>
        <w:rPr>
          <w:color w:val="231F20"/>
          <w:spacing w:val="-18"/>
          <w:w w:val="105"/>
        </w:rPr>
        <w:t> </w:t>
      </w:r>
      <w:r>
        <w:rPr>
          <w:color w:val="231F20"/>
          <w:w w:val="105"/>
        </w:rPr>
        <w:t>indica</w:t>
      </w:r>
      <w:r>
        <w:rPr>
          <w:color w:val="231F20"/>
          <w:spacing w:val="-18"/>
          <w:w w:val="105"/>
        </w:rPr>
        <w:t> </w:t>
      </w:r>
      <w:r>
        <w:rPr>
          <w:color w:val="231F20"/>
          <w:w w:val="105"/>
        </w:rPr>
        <w:t>un</w:t>
      </w:r>
      <w:r>
        <w:rPr>
          <w:color w:val="231F20"/>
          <w:spacing w:val="-18"/>
          <w:w w:val="105"/>
        </w:rPr>
        <w:t> </w:t>
      </w:r>
      <w:r>
        <w:rPr>
          <w:color w:val="231F20"/>
          <w:w w:val="105"/>
        </w:rPr>
        <w:t>ordenamiento</w:t>
      </w:r>
      <w:r>
        <w:rPr>
          <w:color w:val="231F20"/>
          <w:spacing w:val="-18"/>
          <w:w w:val="105"/>
        </w:rPr>
        <w:t> </w:t>
      </w:r>
      <w:r>
        <w:rPr>
          <w:color w:val="231F20"/>
          <w:w w:val="105"/>
        </w:rPr>
        <w:t>jurídico</w:t>
      </w:r>
      <w:r>
        <w:rPr>
          <w:color w:val="231F20"/>
          <w:spacing w:val="-18"/>
          <w:w w:val="105"/>
        </w:rPr>
        <w:t> </w:t>
      </w:r>
      <w:r>
        <w:rPr>
          <w:color w:val="231F20"/>
          <w:w w:val="105"/>
        </w:rPr>
        <w:t>“originario”</w:t>
      </w:r>
      <w:r>
        <w:rPr>
          <w:color w:val="231F20"/>
          <w:spacing w:val="-18"/>
          <w:w w:val="105"/>
        </w:rPr>
        <w:t> </w:t>
      </w:r>
      <w:r>
        <w:rPr>
          <w:color w:val="231F20"/>
          <w:w w:val="105"/>
        </w:rPr>
        <w:t>(en</w:t>
      </w:r>
      <w:r>
        <w:rPr>
          <w:color w:val="231F20"/>
          <w:spacing w:val="1"/>
          <w:w w:val="93"/>
        </w:rPr>
        <w:t> </w:t>
      </w:r>
      <w:r>
        <w:rPr>
          <w:color w:val="231F20"/>
          <w:w w:val="105"/>
        </w:rPr>
        <w:t>cuanto</w:t>
      </w:r>
      <w:r>
        <w:rPr>
          <w:color w:val="231F20"/>
          <w:spacing w:val="-24"/>
          <w:w w:val="105"/>
        </w:rPr>
        <w:t> </w:t>
      </w:r>
      <w:r>
        <w:rPr>
          <w:color w:val="231F20"/>
          <w:w w:val="105"/>
        </w:rPr>
        <w:t>sus</w:t>
      </w:r>
      <w:r>
        <w:rPr>
          <w:color w:val="231F20"/>
          <w:spacing w:val="-24"/>
          <w:w w:val="105"/>
        </w:rPr>
        <w:t> </w:t>
      </w:r>
      <w:r>
        <w:rPr>
          <w:color w:val="231F20"/>
          <w:w w:val="105"/>
        </w:rPr>
        <w:t>poderes</w:t>
      </w:r>
      <w:r>
        <w:rPr>
          <w:color w:val="231F20"/>
          <w:spacing w:val="-24"/>
          <w:w w:val="105"/>
        </w:rPr>
        <w:t> </w:t>
      </w:r>
      <w:r>
        <w:rPr>
          <w:color w:val="231F20"/>
          <w:w w:val="105"/>
        </w:rPr>
        <w:t>no</w:t>
      </w:r>
      <w:r>
        <w:rPr>
          <w:color w:val="231F20"/>
          <w:spacing w:val="-24"/>
          <w:w w:val="105"/>
        </w:rPr>
        <w:t> </w:t>
      </w:r>
      <w:r>
        <w:rPr>
          <w:color w:val="231F20"/>
          <w:w w:val="105"/>
        </w:rPr>
        <w:t>provienen</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voluntad</w:t>
      </w:r>
      <w:r>
        <w:rPr>
          <w:color w:val="231F20"/>
          <w:spacing w:val="-24"/>
          <w:w w:val="105"/>
        </w:rPr>
        <w:t> </w:t>
      </w:r>
      <w:r>
        <w:rPr>
          <w:color w:val="231F20"/>
          <w:w w:val="105"/>
        </w:rPr>
        <w:t>de</w:t>
      </w:r>
      <w:r>
        <w:rPr>
          <w:color w:val="231F20"/>
          <w:spacing w:val="-24"/>
          <w:w w:val="105"/>
        </w:rPr>
        <w:t> </w:t>
      </w:r>
      <w:r>
        <w:rPr>
          <w:color w:val="231F20"/>
          <w:w w:val="105"/>
        </w:rPr>
        <w:t>otros</w:t>
      </w:r>
      <w:r>
        <w:rPr>
          <w:color w:val="231F20"/>
          <w:spacing w:val="-24"/>
          <w:w w:val="105"/>
        </w:rPr>
        <w:t> </w:t>
      </w:r>
      <w:r>
        <w:rPr>
          <w:color w:val="231F20"/>
          <w:w w:val="105"/>
        </w:rPr>
        <w:t>sujetos);</w:t>
      </w:r>
      <w:r>
        <w:rPr>
          <w:color w:val="231F20"/>
          <w:spacing w:val="-24"/>
          <w:w w:val="105"/>
        </w:rPr>
        <w:t> </w:t>
      </w:r>
      <w:r>
        <w:rPr>
          <w:color w:val="231F20"/>
          <w:w w:val="105"/>
        </w:rPr>
        <w:t>“sobe-</w:t>
      </w:r>
      <w:r>
        <w:rPr>
          <w:color w:val="231F20"/>
          <w:w w:val="91"/>
        </w:rPr>
        <w:t> </w:t>
      </w:r>
      <w:r>
        <w:rPr>
          <w:color w:val="231F20"/>
          <w:w w:val="105"/>
        </w:rPr>
        <w:t>rano”</w:t>
      </w:r>
      <w:r>
        <w:rPr>
          <w:color w:val="231F20"/>
          <w:spacing w:val="-10"/>
          <w:w w:val="105"/>
        </w:rPr>
        <w:t> </w:t>
      </w:r>
      <w:r>
        <w:rPr>
          <w:color w:val="231F20"/>
          <w:w w:val="105"/>
        </w:rPr>
        <w:t>(porque</w:t>
      </w:r>
      <w:r>
        <w:rPr>
          <w:color w:val="231F20"/>
          <w:spacing w:val="-10"/>
          <w:w w:val="105"/>
        </w:rPr>
        <w:t> </w:t>
      </w:r>
      <w:r>
        <w:rPr>
          <w:color w:val="231F20"/>
          <w:w w:val="105"/>
        </w:rPr>
        <w:t>está</w:t>
      </w:r>
      <w:r>
        <w:rPr>
          <w:color w:val="231F20"/>
          <w:spacing w:val="-10"/>
          <w:w w:val="105"/>
        </w:rPr>
        <w:t> </w:t>
      </w:r>
      <w:r>
        <w:rPr>
          <w:color w:val="231F20"/>
          <w:w w:val="105"/>
        </w:rPr>
        <w:t>dotado</w:t>
      </w:r>
      <w:r>
        <w:rPr>
          <w:color w:val="231F20"/>
          <w:spacing w:val="-10"/>
          <w:w w:val="105"/>
        </w:rPr>
        <w:t> </w:t>
      </w:r>
      <w:r>
        <w:rPr>
          <w:color w:val="231F20"/>
          <w:w w:val="105"/>
        </w:rPr>
        <w:t>en</w:t>
      </w:r>
      <w:r>
        <w:rPr>
          <w:color w:val="231F20"/>
          <w:spacing w:val="-10"/>
          <w:w w:val="105"/>
        </w:rPr>
        <w:t> </w:t>
      </w:r>
      <w:r>
        <w:rPr>
          <w:color w:val="231F20"/>
          <w:w w:val="105"/>
        </w:rPr>
        <w:t>su</w:t>
      </w:r>
      <w:r>
        <w:rPr>
          <w:color w:val="231F20"/>
          <w:spacing w:val="-10"/>
          <w:w w:val="105"/>
        </w:rPr>
        <w:t> </w:t>
      </w:r>
      <w:r>
        <w:rPr>
          <w:color w:val="231F20"/>
          <w:w w:val="105"/>
        </w:rPr>
        <w:t>interior</w:t>
      </w:r>
      <w:r>
        <w:rPr>
          <w:color w:val="231F20"/>
          <w:spacing w:val="-10"/>
          <w:w w:val="105"/>
        </w:rPr>
        <w:t> </w:t>
      </w:r>
      <w:r>
        <w:rPr>
          <w:color w:val="231F20"/>
          <w:w w:val="105"/>
        </w:rPr>
        <w:t>de</w:t>
      </w:r>
      <w:r>
        <w:rPr>
          <w:color w:val="231F20"/>
          <w:spacing w:val="-10"/>
          <w:w w:val="105"/>
        </w:rPr>
        <w:t> </w:t>
      </w:r>
      <w:r>
        <w:rPr>
          <w:color w:val="231F20"/>
          <w:w w:val="105"/>
        </w:rPr>
        <w:t>un</w:t>
      </w:r>
      <w:r>
        <w:rPr>
          <w:color w:val="231F20"/>
          <w:spacing w:val="-10"/>
          <w:w w:val="105"/>
        </w:rPr>
        <w:t> </w:t>
      </w:r>
      <w:r>
        <w:rPr>
          <w:color w:val="231F20"/>
          <w:w w:val="105"/>
        </w:rPr>
        <w:t>legítimo</w:t>
      </w:r>
      <w:r>
        <w:rPr>
          <w:color w:val="231F20"/>
          <w:spacing w:val="-10"/>
          <w:w w:val="105"/>
        </w:rPr>
        <w:t> </w:t>
      </w:r>
      <w:r>
        <w:rPr>
          <w:color w:val="231F20"/>
          <w:w w:val="105"/>
        </w:rPr>
        <w:t>poder</w:t>
      </w:r>
      <w:r>
        <w:rPr>
          <w:color w:val="231F20"/>
          <w:spacing w:val="-10"/>
          <w:w w:val="105"/>
        </w:rPr>
        <w:t> </w:t>
      </w:r>
      <w:r>
        <w:rPr>
          <w:color w:val="231F20"/>
          <w:w w:val="105"/>
        </w:rPr>
        <w:t>de</w:t>
      </w:r>
      <w:r>
        <w:rPr>
          <w:color w:val="231F20"/>
          <w:spacing w:val="-10"/>
          <w:w w:val="105"/>
        </w:rPr>
        <w:t> </w:t>
      </w:r>
      <w:r>
        <w:rPr>
          <w:color w:val="231F20"/>
          <w:w w:val="105"/>
        </w:rPr>
        <w:t>supre-</w:t>
      </w:r>
      <w:r>
        <w:rPr>
          <w:color w:val="231F20"/>
          <w:w w:val="91"/>
        </w:rPr>
        <w:t> </w:t>
      </w:r>
      <w:r>
        <w:rPr>
          <w:color w:val="231F20"/>
          <w:w w:val="105"/>
        </w:rPr>
        <w:t>macía sobre una colectividad que habita en un</w:t>
      </w:r>
      <w:r>
        <w:rPr>
          <w:color w:val="231F20"/>
          <w:spacing w:val="18"/>
          <w:w w:val="105"/>
        </w:rPr>
        <w:t> </w:t>
      </w:r>
      <w:r>
        <w:rPr>
          <w:color w:val="231F20"/>
          <w:w w:val="105"/>
        </w:rPr>
        <w:t>determinado</w:t>
      </w:r>
      <w:r>
        <w:rPr>
          <w:color w:val="231F20"/>
          <w:spacing w:val="2"/>
          <w:w w:val="105"/>
        </w:rPr>
        <w:t> </w:t>
      </w:r>
      <w:r>
        <w:rPr>
          <w:color w:val="231F20"/>
          <w:w w:val="105"/>
        </w:rPr>
        <w:t>territorio);</w:t>
      </w:r>
      <w:r>
        <w:rPr>
          <w:color w:val="231F20"/>
          <w:spacing w:val="1"/>
          <w:w w:val="96"/>
        </w:rPr>
        <w:t> </w:t>
      </w:r>
      <w:r>
        <w:rPr>
          <w:color w:val="231F20"/>
          <w:w w:val="105"/>
        </w:rPr>
        <w:t>“político” (porque persigue fines generales y de pacífica</w:t>
      </w:r>
      <w:r>
        <w:rPr>
          <w:color w:val="231F20"/>
          <w:spacing w:val="31"/>
          <w:w w:val="105"/>
        </w:rPr>
        <w:t> </w:t>
      </w:r>
      <w:r>
        <w:rPr>
          <w:color w:val="231F20"/>
          <w:w w:val="105"/>
        </w:rPr>
        <w:t>convivencia)</w:t>
      </w:r>
      <w:r>
        <w:rPr>
          <w:color w:val="231F20"/>
          <w:spacing w:val="3"/>
          <w:w w:val="105"/>
        </w:rPr>
        <w:t> </w:t>
      </w:r>
      <w:r>
        <w:rPr>
          <w:color w:val="231F20"/>
          <w:w w:val="105"/>
        </w:rPr>
        <w:t>e</w:t>
      </w:r>
      <w:r>
        <w:rPr>
          <w:color w:val="231F20"/>
          <w:w w:val="105"/>
        </w:rPr>
        <w:t> </w:t>
      </w:r>
      <w:r>
        <w:rPr>
          <w:color w:val="231F20"/>
          <w:w w:val="105"/>
        </w:rPr>
        <w:t>“independiente”</w:t>
      </w:r>
      <w:r>
        <w:rPr>
          <w:color w:val="231F20"/>
          <w:spacing w:val="-25"/>
          <w:w w:val="105"/>
        </w:rPr>
        <w:t> </w:t>
      </w:r>
      <w:r>
        <w:rPr>
          <w:color w:val="231F20"/>
          <w:w w:val="105"/>
        </w:rPr>
        <w:t>de</w:t>
      </w:r>
      <w:r>
        <w:rPr>
          <w:color w:val="231F20"/>
          <w:spacing w:val="-25"/>
          <w:w w:val="105"/>
        </w:rPr>
        <w:t> </w:t>
      </w:r>
      <w:r>
        <w:rPr>
          <w:color w:val="231F20"/>
          <w:w w:val="105"/>
        </w:rPr>
        <w:t>cualquier</w:t>
      </w:r>
      <w:r>
        <w:rPr>
          <w:color w:val="231F20"/>
          <w:spacing w:val="-25"/>
          <w:w w:val="105"/>
        </w:rPr>
        <w:t> </w:t>
      </w:r>
      <w:r>
        <w:rPr>
          <w:color w:val="231F20"/>
          <w:w w:val="105"/>
        </w:rPr>
        <w:t>otro</w:t>
      </w:r>
      <w:r>
        <w:rPr>
          <w:color w:val="231F20"/>
          <w:spacing w:val="-25"/>
          <w:w w:val="105"/>
        </w:rPr>
        <w:t> </w:t>
      </w:r>
      <w:r>
        <w:rPr>
          <w:color w:val="231F20"/>
          <w:w w:val="105"/>
        </w:rPr>
        <w:t>ordenamiento</w:t>
      </w:r>
      <w:r>
        <w:rPr>
          <w:color w:val="231F20"/>
          <w:spacing w:val="-25"/>
          <w:w w:val="105"/>
        </w:rPr>
        <w:t> </w:t>
      </w:r>
      <w:r>
        <w:rPr>
          <w:color w:val="231F20"/>
          <w:w w:val="105"/>
        </w:rPr>
        <w:t>jurídico</w:t>
      </w:r>
      <w:r>
        <w:rPr>
          <w:color w:val="231F20"/>
          <w:spacing w:val="-25"/>
          <w:w w:val="105"/>
        </w:rPr>
        <w:t> </w:t>
      </w:r>
      <w:r>
        <w:rPr>
          <w:color w:val="231F20"/>
          <w:w w:val="105"/>
        </w:rPr>
        <w:t>(ya</w:t>
      </w:r>
      <w:r>
        <w:rPr>
          <w:color w:val="231F20"/>
          <w:spacing w:val="-25"/>
          <w:w w:val="105"/>
        </w:rPr>
        <w:t> </w:t>
      </w:r>
      <w:r>
        <w:rPr>
          <w:color w:val="231F20"/>
          <w:w w:val="105"/>
        </w:rPr>
        <w:t>sea</w:t>
      </w:r>
      <w:r>
        <w:rPr>
          <w:color w:val="231F20"/>
          <w:spacing w:val="-25"/>
          <w:w w:val="105"/>
        </w:rPr>
        <w:t> </w:t>
      </w:r>
      <w:r>
        <w:rPr>
          <w:color w:val="231F20"/>
          <w:w w:val="105"/>
        </w:rPr>
        <w:t>aquellos</w:t>
      </w:r>
      <w:r>
        <w:rPr>
          <w:color w:val="231F20"/>
          <w:spacing w:val="1"/>
          <w:w w:val="103"/>
        </w:rPr>
        <w:t> </w:t>
      </w:r>
      <w:r>
        <w:rPr>
          <w:color w:val="231F20"/>
          <w:w w:val="105"/>
        </w:rPr>
        <w:t>existentes</w:t>
      </w:r>
      <w:r>
        <w:rPr>
          <w:color w:val="231F20"/>
          <w:spacing w:val="-22"/>
          <w:w w:val="105"/>
        </w:rPr>
        <w:t> </w:t>
      </w:r>
      <w:r>
        <w:rPr>
          <w:color w:val="231F20"/>
          <w:w w:val="105"/>
        </w:rPr>
        <w:t>en</w:t>
      </w:r>
      <w:r>
        <w:rPr>
          <w:color w:val="231F20"/>
          <w:spacing w:val="-22"/>
          <w:w w:val="105"/>
        </w:rPr>
        <w:t> </w:t>
      </w:r>
      <w:r>
        <w:rPr>
          <w:color w:val="231F20"/>
          <w:w w:val="105"/>
        </w:rPr>
        <w:t>su</w:t>
      </w:r>
      <w:r>
        <w:rPr>
          <w:color w:val="231F20"/>
          <w:spacing w:val="-22"/>
          <w:w w:val="105"/>
        </w:rPr>
        <w:t> </w:t>
      </w:r>
      <w:r>
        <w:rPr>
          <w:color w:val="231F20"/>
          <w:w w:val="105"/>
        </w:rPr>
        <w:t>interior,</w:t>
      </w:r>
      <w:r>
        <w:rPr>
          <w:color w:val="231F20"/>
          <w:spacing w:val="-22"/>
          <w:w w:val="105"/>
        </w:rPr>
        <w:t> </w:t>
      </w:r>
      <w:r>
        <w:rPr>
          <w:color w:val="231F20"/>
          <w:w w:val="105"/>
        </w:rPr>
        <w:t>respecto</w:t>
      </w:r>
      <w:r>
        <w:rPr>
          <w:color w:val="231F20"/>
          <w:spacing w:val="-22"/>
          <w:w w:val="105"/>
        </w:rPr>
        <w:t> </w:t>
      </w:r>
      <w:r>
        <w:rPr>
          <w:color w:val="231F20"/>
          <w:w w:val="105"/>
        </w:rPr>
        <w:t>a</w:t>
      </w:r>
      <w:r>
        <w:rPr>
          <w:color w:val="231F20"/>
          <w:spacing w:val="-22"/>
          <w:w w:val="105"/>
        </w:rPr>
        <w:t> </w:t>
      </w:r>
      <w:r>
        <w:rPr>
          <w:color w:val="231F20"/>
          <w:w w:val="105"/>
        </w:rPr>
        <w:t>los</w:t>
      </w:r>
      <w:r>
        <w:rPr>
          <w:color w:val="231F20"/>
          <w:spacing w:val="-22"/>
          <w:w w:val="105"/>
        </w:rPr>
        <w:t> </w:t>
      </w:r>
      <w:r>
        <w:rPr>
          <w:color w:val="231F20"/>
          <w:w w:val="105"/>
        </w:rPr>
        <w:t>cuales</w:t>
      </w:r>
      <w:r>
        <w:rPr>
          <w:color w:val="231F20"/>
          <w:spacing w:val="-22"/>
          <w:w w:val="105"/>
        </w:rPr>
        <w:t> </w:t>
      </w:r>
      <w:r>
        <w:rPr>
          <w:color w:val="231F20"/>
          <w:w w:val="105"/>
        </w:rPr>
        <w:t>está</w:t>
      </w:r>
      <w:r>
        <w:rPr>
          <w:color w:val="231F20"/>
          <w:spacing w:val="-22"/>
          <w:w w:val="105"/>
        </w:rPr>
        <w:t> </w:t>
      </w:r>
      <w:r>
        <w:rPr>
          <w:color w:val="231F20"/>
          <w:w w:val="105"/>
        </w:rPr>
        <w:t>obviamente</w:t>
      </w:r>
      <w:r>
        <w:rPr>
          <w:color w:val="231F20"/>
          <w:spacing w:val="-22"/>
          <w:w w:val="105"/>
        </w:rPr>
        <w:t> </w:t>
      </w:r>
      <w:r>
        <w:rPr>
          <w:color w:val="231F20"/>
          <w:w w:val="105"/>
        </w:rPr>
        <w:t>en</w:t>
      </w:r>
      <w:r>
        <w:rPr>
          <w:color w:val="231F20"/>
          <w:spacing w:val="-22"/>
          <w:w w:val="105"/>
        </w:rPr>
        <w:t> </w:t>
      </w:r>
      <w:r>
        <w:rPr>
          <w:color w:val="231F20"/>
          <w:w w:val="105"/>
        </w:rPr>
        <w:t>condi-</w:t>
      </w:r>
      <w:r>
        <w:rPr>
          <w:color w:val="231F20"/>
          <w:w w:val="91"/>
        </w:rPr>
        <w:t> </w:t>
      </w:r>
      <w:r>
        <w:rPr>
          <w:color w:val="231F20"/>
          <w:w w:val="105"/>
        </w:rPr>
        <w:t>ción</w:t>
      </w:r>
      <w:r>
        <w:rPr>
          <w:color w:val="231F20"/>
          <w:spacing w:val="-17"/>
          <w:w w:val="105"/>
        </w:rPr>
        <w:t> </w:t>
      </w:r>
      <w:r>
        <w:rPr>
          <w:color w:val="231F20"/>
          <w:w w:val="105"/>
        </w:rPr>
        <w:t>de</w:t>
      </w:r>
      <w:r>
        <w:rPr>
          <w:color w:val="231F20"/>
          <w:spacing w:val="-17"/>
          <w:w w:val="105"/>
        </w:rPr>
        <w:t> </w:t>
      </w:r>
      <w:r>
        <w:rPr>
          <w:color w:val="231F20"/>
          <w:w w:val="105"/>
        </w:rPr>
        <w:t>supremacía,</w:t>
      </w:r>
      <w:r>
        <w:rPr>
          <w:color w:val="231F20"/>
          <w:spacing w:val="-17"/>
          <w:w w:val="105"/>
        </w:rPr>
        <w:t> </w:t>
      </w:r>
      <w:r>
        <w:rPr>
          <w:color w:val="231F20"/>
          <w:w w:val="105"/>
        </w:rPr>
        <w:t>o</w:t>
      </w:r>
      <w:r>
        <w:rPr>
          <w:color w:val="231F20"/>
          <w:spacing w:val="-17"/>
          <w:w w:val="105"/>
        </w:rPr>
        <w:t> </w:t>
      </w:r>
      <w:r>
        <w:rPr>
          <w:color w:val="231F20"/>
          <w:w w:val="105"/>
        </w:rPr>
        <w:t>bien</w:t>
      </w:r>
      <w:r>
        <w:rPr>
          <w:color w:val="231F20"/>
          <w:spacing w:val="-17"/>
          <w:w w:val="105"/>
        </w:rPr>
        <w:t> </w:t>
      </w:r>
      <w:r>
        <w:rPr>
          <w:color w:val="231F20"/>
          <w:w w:val="105"/>
        </w:rPr>
        <w:t>respecto</w:t>
      </w:r>
      <w:r>
        <w:rPr>
          <w:color w:val="231F20"/>
          <w:spacing w:val="-17"/>
          <w:w w:val="105"/>
        </w:rPr>
        <w:t> </w:t>
      </w:r>
      <w:r>
        <w:rPr>
          <w:color w:val="231F20"/>
          <w:w w:val="105"/>
        </w:rPr>
        <w:t>a</w:t>
      </w:r>
      <w:r>
        <w:rPr>
          <w:color w:val="231F20"/>
          <w:spacing w:val="-17"/>
          <w:w w:val="105"/>
        </w:rPr>
        <w:t> </w:t>
      </w:r>
      <w:r>
        <w:rPr>
          <w:color w:val="231F20"/>
          <w:w w:val="105"/>
        </w:rPr>
        <w:t>aquellos</w:t>
      </w:r>
      <w:r>
        <w:rPr>
          <w:color w:val="231F20"/>
          <w:spacing w:val="-17"/>
          <w:w w:val="105"/>
        </w:rPr>
        <w:t> </w:t>
      </w:r>
      <w:r>
        <w:rPr>
          <w:color w:val="231F20"/>
          <w:w w:val="105"/>
        </w:rPr>
        <w:t>externos</w:t>
      </w:r>
      <w:r>
        <w:rPr>
          <w:color w:val="231F20"/>
          <w:spacing w:val="-17"/>
          <w:w w:val="105"/>
        </w:rPr>
        <w:t> </w:t>
      </w:r>
      <w:r>
        <w:rPr>
          <w:color w:val="231F20"/>
          <w:w w:val="105"/>
        </w:rPr>
        <w:t>con</w:t>
      </w:r>
      <w:r>
        <w:rPr>
          <w:color w:val="231F20"/>
          <w:spacing w:val="-17"/>
          <w:w w:val="105"/>
        </w:rPr>
        <w:t> </w:t>
      </w:r>
      <w:r>
        <w:rPr>
          <w:color w:val="231F20"/>
          <w:w w:val="105"/>
        </w:rPr>
        <w:t>los</w:t>
      </w:r>
      <w:r>
        <w:rPr>
          <w:color w:val="231F20"/>
          <w:spacing w:val="-17"/>
          <w:w w:val="105"/>
        </w:rPr>
        <w:t> </w:t>
      </w:r>
      <w:r>
        <w:rPr>
          <w:color w:val="231F20"/>
          <w:w w:val="105"/>
        </w:rPr>
        <w:t>que</w:t>
      </w:r>
      <w:r>
        <w:rPr>
          <w:color w:val="231F20"/>
          <w:spacing w:val="-17"/>
          <w:w w:val="105"/>
        </w:rPr>
        <w:t> </w:t>
      </w:r>
      <w:r>
        <w:rPr>
          <w:color w:val="231F20"/>
          <w:w w:val="105"/>
        </w:rPr>
        <w:t>está</w:t>
      </w:r>
      <w:r>
        <w:rPr>
          <w:color w:val="231F20"/>
          <w:spacing w:val="1"/>
          <w:w w:val="100"/>
        </w:rPr>
        <w:t> </w:t>
      </w:r>
      <w:r>
        <w:rPr>
          <w:color w:val="231F20"/>
          <w:w w:val="105"/>
        </w:rPr>
        <w:t>en</w:t>
      </w:r>
      <w:r>
        <w:rPr>
          <w:color w:val="231F20"/>
          <w:spacing w:val="-7"/>
          <w:w w:val="105"/>
        </w:rPr>
        <w:t> </w:t>
      </w:r>
      <w:r>
        <w:rPr>
          <w:color w:val="231F20"/>
          <w:w w:val="105"/>
        </w:rPr>
        <w:t>condición</w:t>
      </w:r>
      <w:r>
        <w:rPr>
          <w:color w:val="231F20"/>
          <w:spacing w:val="-7"/>
          <w:w w:val="105"/>
        </w:rPr>
        <w:t> </w:t>
      </w:r>
      <w:r>
        <w:rPr>
          <w:color w:val="231F20"/>
          <w:w w:val="105"/>
        </w:rPr>
        <w:t>de</w:t>
      </w:r>
      <w:r>
        <w:rPr>
          <w:color w:val="231F20"/>
          <w:spacing w:val="-7"/>
          <w:w w:val="105"/>
        </w:rPr>
        <w:t> </w:t>
      </w:r>
      <w:r>
        <w:rPr>
          <w:color w:val="231F20"/>
          <w:w w:val="105"/>
        </w:rPr>
        <w:t>paridad,</w:t>
      </w:r>
      <w:r>
        <w:rPr>
          <w:color w:val="231F20"/>
          <w:spacing w:val="-7"/>
          <w:w w:val="105"/>
        </w:rPr>
        <w:t> </w:t>
      </w:r>
      <w:r>
        <w:rPr>
          <w:color w:val="231F20"/>
          <w:w w:val="105"/>
        </w:rPr>
        <w:t>pero</w:t>
      </w:r>
      <w:r>
        <w:rPr>
          <w:color w:val="231F20"/>
          <w:spacing w:val="-7"/>
          <w:w w:val="105"/>
        </w:rPr>
        <w:t> </w:t>
      </w:r>
      <w:r>
        <w:rPr>
          <w:color w:val="231F20"/>
          <w:w w:val="105"/>
        </w:rPr>
        <w:t>“soberana”).</w:t>
      </w:r>
      <w:r>
        <w:rPr>
          <w:color w:val="231F20"/>
          <w:spacing w:val="-7"/>
          <w:w w:val="105"/>
        </w:rPr>
        <w:t> </w:t>
      </w:r>
      <w:r>
        <w:rPr>
          <w:color w:val="231F20"/>
          <w:w w:val="105"/>
        </w:rPr>
        <w:t>De</w:t>
      </w:r>
      <w:r>
        <w:rPr>
          <w:color w:val="231F20"/>
          <w:spacing w:val="-7"/>
          <w:w w:val="105"/>
        </w:rPr>
        <w:t> </w:t>
      </w:r>
      <w:r>
        <w:rPr>
          <w:color w:val="231F20"/>
          <w:w w:val="105"/>
        </w:rPr>
        <w:t>esta</w:t>
      </w:r>
      <w:r>
        <w:rPr>
          <w:color w:val="231F20"/>
          <w:spacing w:val="-7"/>
          <w:w w:val="105"/>
        </w:rPr>
        <w:t> </w:t>
      </w:r>
      <w:r>
        <w:rPr>
          <w:color w:val="231F20"/>
          <w:w w:val="105"/>
        </w:rPr>
        <w:t>manera,</w:t>
      </w:r>
      <w:r>
        <w:rPr>
          <w:color w:val="231F20"/>
          <w:spacing w:val="-7"/>
          <w:w w:val="105"/>
        </w:rPr>
        <w:t> </w:t>
      </w:r>
      <w:r>
        <w:rPr>
          <w:color w:val="231F20"/>
          <w:w w:val="105"/>
        </w:rPr>
        <w:t>al</w:t>
      </w:r>
      <w:r>
        <w:rPr>
          <w:color w:val="231F20"/>
          <w:spacing w:val="-7"/>
          <w:w w:val="105"/>
        </w:rPr>
        <w:t> </w:t>
      </w:r>
      <w:r>
        <w:rPr>
          <w:color w:val="231F20"/>
          <w:w w:val="105"/>
        </w:rPr>
        <w:t>final,</w:t>
      </w:r>
      <w:r>
        <w:rPr>
          <w:color w:val="231F20"/>
          <w:spacing w:val="-7"/>
          <w:w w:val="105"/>
        </w:rPr>
        <w:t> </w:t>
      </w:r>
      <w:r>
        <w:rPr>
          <w:color w:val="231F20"/>
          <w:w w:val="105"/>
        </w:rPr>
        <w:t>los</w:t>
      </w:r>
      <w:r>
        <w:rPr>
          <w:color w:val="231F20"/>
          <w:spacing w:val="1"/>
          <w:w w:val="103"/>
        </w:rPr>
        <w:t> </w:t>
      </w:r>
      <w:r>
        <w:rPr>
          <w:color w:val="231F20"/>
          <w:w w:val="105"/>
        </w:rPr>
        <w:t>elementos constitutivos del Estado moderno serían justamente</w:t>
      </w:r>
      <w:r>
        <w:rPr>
          <w:color w:val="231F20"/>
          <w:spacing w:val="19"/>
          <w:w w:val="105"/>
        </w:rPr>
        <w:t> </w:t>
      </w:r>
      <w:r>
        <w:rPr>
          <w:color w:val="231F20"/>
          <w:w w:val="105"/>
        </w:rPr>
        <w:t>pueblo,</w:t>
      </w:r>
    </w:p>
    <w:p>
      <w:pPr>
        <w:pStyle w:val="BodyText"/>
        <w:spacing w:line="252" w:lineRule="exact"/>
        <w:ind w:left="103"/>
        <w:jc w:val="both"/>
      </w:pPr>
      <w:r>
        <w:rPr>
          <w:color w:val="231F20"/>
        </w:rPr>
        <w:t>territorio y soberanía</w:t>
      </w:r>
      <w:r>
        <w:rPr>
          <w:color w:val="231F20"/>
          <w:position w:val="7"/>
          <w:sz w:val="12"/>
        </w:rPr>
        <w:t>24</w:t>
      </w:r>
      <w:r>
        <w:rPr>
          <w:color w:val="231F20"/>
        </w:rPr>
        <w:t>.</w:t>
      </w:r>
    </w:p>
    <w:p>
      <w:pPr>
        <w:pStyle w:val="BodyText"/>
        <w:spacing w:line="247" w:lineRule="auto" w:before="6"/>
        <w:ind w:left="103" w:right="115" w:firstLine="566"/>
        <w:jc w:val="both"/>
      </w:pPr>
      <w:r>
        <w:rPr>
          <w:color w:val="231F20"/>
          <w:w w:val="105"/>
        </w:rPr>
        <w:t>Me</w:t>
      </w:r>
      <w:r>
        <w:rPr>
          <w:color w:val="231F20"/>
          <w:spacing w:val="-16"/>
          <w:w w:val="105"/>
        </w:rPr>
        <w:t> </w:t>
      </w:r>
      <w:r>
        <w:rPr>
          <w:color w:val="231F20"/>
          <w:w w:val="105"/>
        </w:rPr>
        <w:t>parece</w:t>
      </w:r>
      <w:r>
        <w:rPr>
          <w:color w:val="231F20"/>
          <w:spacing w:val="-16"/>
          <w:w w:val="105"/>
        </w:rPr>
        <w:t> </w:t>
      </w:r>
      <w:r>
        <w:rPr>
          <w:color w:val="231F20"/>
          <w:w w:val="105"/>
        </w:rPr>
        <w:t>difícil</w:t>
      </w:r>
      <w:r>
        <w:rPr>
          <w:color w:val="231F20"/>
          <w:spacing w:val="-16"/>
          <w:w w:val="105"/>
        </w:rPr>
        <w:t> </w:t>
      </w:r>
      <w:r>
        <w:rPr>
          <w:color w:val="231F20"/>
          <w:w w:val="105"/>
        </w:rPr>
        <w:t>conciliar</w:t>
      </w:r>
      <w:r>
        <w:rPr>
          <w:color w:val="231F20"/>
          <w:spacing w:val="-16"/>
          <w:w w:val="105"/>
        </w:rPr>
        <w:t> </w:t>
      </w:r>
      <w:r>
        <w:rPr>
          <w:color w:val="231F20"/>
          <w:w w:val="105"/>
        </w:rPr>
        <w:t>este</w:t>
      </w:r>
      <w:r>
        <w:rPr>
          <w:color w:val="231F20"/>
          <w:spacing w:val="-16"/>
          <w:w w:val="105"/>
        </w:rPr>
        <w:t> </w:t>
      </w:r>
      <w:r>
        <w:rPr>
          <w:color w:val="231F20"/>
          <w:w w:val="105"/>
        </w:rPr>
        <w:t>cuadro</w:t>
      </w:r>
      <w:r>
        <w:rPr>
          <w:color w:val="231F20"/>
          <w:spacing w:val="-16"/>
          <w:w w:val="105"/>
        </w:rPr>
        <w:t> </w:t>
      </w:r>
      <w:r>
        <w:rPr>
          <w:color w:val="231F20"/>
          <w:w w:val="105"/>
        </w:rPr>
        <w:t>del</w:t>
      </w:r>
      <w:r>
        <w:rPr>
          <w:color w:val="231F20"/>
          <w:spacing w:val="-16"/>
          <w:w w:val="105"/>
        </w:rPr>
        <w:t> </w:t>
      </w:r>
      <w:r>
        <w:rPr>
          <w:color w:val="231F20"/>
          <w:w w:val="105"/>
        </w:rPr>
        <w:t>Estado</w:t>
      </w:r>
      <w:r>
        <w:rPr>
          <w:color w:val="231F20"/>
          <w:spacing w:val="-16"/>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w w:val="105"/>
        </w:rPr>
        <w:t>gran</w:t>
      </w:r>
      <w:r>
        <w:rPr>
          <w:color w:val="231F20"/>
          <w:spacing w:val="-16"/>
          <w:w w:val="105"/>
        </w:rPr>
        <w:t> </w:t>
      </w:r>
      <w:r>
        <w:rPr>
          <w:color w:val="231F20"/>
          <w:w w:val="105"/>
        </w:rPr>
        <w:t>trans- formación</w:t>
      </w:r>
      <w:r>
        <w:rPr>
          <w:color w:val="231F20"/>
          <w:spacing w:val="-35"/>
          <w:w w:val="105"/>
        </w:rPr>
        <w:t> </w:t>
      </w:r>
      <w:r>
        <w:rPr>
          <w:color w:val="231F20"/>
          <w:w w:val="105"/>
        </w:rPr>
        <w:t>de</w:t>
      </w:r>
      <w:r>
        <w:rPr>
          <w:color w:val="231F20"/>
          <w:spacing w:val="-35"/>
          <w:w w:val="105"/>
        </w:rPr>
        <w:t> </w:t>
      </w:r>
      <w:r>
        <w:rPr>
          <w:color w:val="231F20"/>
          <w:w w:val="105"/>
        </w:rPr>
        <w:t>las</w:t>
      </w:r>
      <w:r>
        <w:rPr>
          <w:color w:val="231F20"/>
          <w:spacing w:val="-35"/>
          <w:w w:val="105"/>
        </w:rPr>
        <w:t> </w:t>
      </w:r>
      <w:r>
        <w:rPr>
          <w:color w:val="231F20"/>
          <w:w w:val="105"/>
        </w:rPr>
        <w:t>dos</w:t>
      </w:r>
      <w:r>
        <w:rPr>
          <w:color w:val="231F20"/>
          <w:spacing w:val="-35"/>
          <w:w w:val="105"/>
        </w:rPr>
        <w:t> </w:t>
      </w:r>
      <w:r>
        <w:rPr>
          <w:color w:val="231F20"/>
          <w:w w:val="105"/>
        </w:rPr>
        <w:t>categorías</w:t>
      </w:r>
      <w:r>
        <w:rPr>
          <w:color w:val="231F20"/>
          <w:spacing w:val="-35"/>
          <w:w w:val="105"/>
        </w:rPr>
        <w:t> </w:t>
      </w:r>
      <w:r>
        <w:rPr>
          <w:color w:val="231F20"/>
          <w:w w:val="105"/>
        </w:rPr>
        <w:t>fundamentales</w:t>
      </w:r>
      <w:r>
        <w:rPr>
          <w:color w:val="231F20"/>
          <w:spacing w:val="-35"/>
          <w:w w:val="105"/>
        </w:rPr>
        <w:t> </w:t>
      </w:r>
      <w:r>
        <w:rPr>
          <w:color w:val="231F20"/>
          <w:w w:val="105"/>
        </w:rPr>
        <w:t>de</w:t>
      </w:r>
      <w:r>
        <w:rPr>
          <w:color w:val="231F20"/>
          <w:spacing w:val="-35"/>
          <w:w w:val="105"/>
        </w:rPr>
        <w:t> </w:t>
      </w:r>
      <w:r>
        <w:rPr>
          <w:color w:val="231F20"/>
          <w:w w:val="105"/>
        </w:rPr>
        <w:t>la</w:t>
      </w:r>
      <w:r>
        <w:rPr>
          <w:color w:val="231F20"/>
          <w:spacing w:val="-35"/>
          <w:w w:val="105"/>
        </w:rPr>
        <w:t> </w:t>
      </w:r>
      <w:r>
        <w:rPr>
          <w:color w:val="231F20"/>
          <w:w w:val="105"/>
        </w:rPr>
        <w:t>modernidad</w:t>
      </w:r>
      <w:r>
        <w:rPr>
          <w:color w:val="231F20"/>
          <w:spacing w:val="-35"/>
          <w:w w:val="105"/>
        </w:rPr>
        <w:t> </w:t>
      </w:r>
      <w:r>
        <w:rPr>
          <w:color w:val="231F20"/>
          <w:w w:val="105"/>
        </w:rPr>
        <w:t>occiden- tal,</w:t>
      </w:r>
      <w:r>
        <w:rPr>
          <w:color w:val="231F20"/>
          <w:spacing w:val="-28"/>
          <w:w w:val="105"/>
        </w:rPr>
        <w:t> </w:t>
      </w:r>
      <w:r>
        <w:rPr>
          <w:color w:val="231F20"/>
          <w:w w:val="105"/>
        </w:rPr>
        <w:t>sobre</w:t>
      </w:r>
      <w:r>
        <w:rPr>
          <w:color w:val="231F20"/>
          <w:spacing w:val="-28"/>
          <w:w w:val="105"/>
        </w:rPr>
        <w:t> </w:t>
      </w:r>
      <w:r>
        <w:rPr>
          <w:color w:val="231F20"/>
          <w:w w:val="105"/>
        </w:rPr>
        <w:t>las</w:t>
      </w:r>
      <w:r>
        <w:rPr>
          <w:color w:val="231F20"/>
          <w:spacing w:val="-28"/>
          <w:w w:val="105"/>
        </w:rPr>
        <w:t> </w:t>
      </w:r>
      <w:r>
        <w:rPr>
          <w:color w:val="231F20"/>
          <w:w w:val="105"/>
        </w:rPr>
        <w:t>que</w:t>
      </w:r>
      <w:r>
        <w:rPr>
          <w:color w:val="231F20"/>
          <w:spacing w:val="-28"/>
          <w:w w:val="105"/>
        </w:rPr>
        <w:t> </w:t>
      </w:r>
      <w:r>
        <w:rPr>
          <w:color w:val="231F20"/>
          <w:w w:val="105"/>
        </w:rPr>
        <w:t>el</w:t>
      </w:r>
      <w:r>
        <w:rPr>
          <w:color w:val="231F20"/>
          <w:spacing w:val="-28"/>
          <w:w w:val="105"/>
        </w:rPr>
        <w:t> </w:t>
      </w:r>
      <w:r>
        <w:rPr>
          <w:color w:val="231F20"/>
          <w:w w:val="105"/>
        </w:rPr>
        <w:t>mismo</w:t>
      </w:r>
      <w:r>
        <w:rPr>
          <w:color w:val="231F20"/>
          <w:spacing w:val="-28"/>
          <w:w w:val="105"/>
        </w:rPr>
        <w:t> </w:t>
      </w:r>
      <w:r>
        <w:rPr>
          <w:color w:val="231F20"/>
          <w:w w:val="105"/>
        </w:rPr>
        <w:t>“Derecho”</w:t>
      </w:r>
      <w:r>
        <w:rPr>
          <w:color w:val="231F20"/>
          <w:spacing w:val="-28"/>
          <w:w w:val="105"/>
        </w:rPr>
        <w:t> </w:t>
      </w:r>
      <w:r>
        <w:rPr>
          <w:color w:val="231F20"/>
          <w:w w:val="105"/>
        </w:rPr>
        <w:t>se</w:t>
      </w:r>
      <w:r>
        <w:rPr>
          <w:color w:val="231F20"/>
          <w:spacing w:val="-28"/>
          <w:w w:val="105"/>
        </w:rPr>
        <w:t> </w:t>
      </w:r>
      <w:r>
        <w:rPr>
          <w:color w:val="231F20"/>
          <w:w w:val="105"/>
        </w:rPr>
        <w:t>ha</w:t>
      </w:r>
      <w:r>
        <w:rPr>
          <w:color w:val="231F20"/>
          <w:spacing w:val="-28"/>
          <w:w w:val="105"/>
        </w:rPr>
        <w:t> </w:t>
      </w:r>
      <w:r>
        <w:rPr>
          <w:color w:val="231F20"/>
          <w:w w:val="105"/>
        </w:rPr>
        <w:t>erigido,</w:t>
      </w:r>
      <w:r>
        <w:rPr>
          <w:color w:val="231F20"/>
          <w:spacing w:val="-28"/>
          <w:w w:val="105"/>
        </w:rPr>
        <w:t> </w:t>
      </w:r>
      <w:r>
        <w:rPr>
          <w:color w:val="231F20"/>
          <w:w w:val="105"/>
        </w:rPr>
        <w:t>construyendo</w:t>
      </w:r>
      <w:r>
        <w:rPr>
          <w:color w:val="231F20"/>
          <w:spacing w:val="-28"/>
          <w:w w:val="105"/>
        </w:rPr>
        <w:t> </w:t>
      </w:r>
      <w:r>
        <w:rPr>
          <w:color w:val="231F20"/>
          <w:w w:val="105"/>
        </w:rPr>
        <w:t>—entre las</w:t>
      </w:r>
      <w:r>
        <w:rPr>
          <w:color w:val="231F20"/>
          <w:spacing w:val="-6"/>
          <w:w w:val="105"/>
        </w:rPr>
        <w:t> </w:t>
      </w:r>
      <w:r>
        <w:rPr>
          <w:color w:val="231F20"/>
          <w:w w:val="105"/>
        </w:rPr>
        <w:t>otras</w:t>
      </w:r>
      <w:r>
        <w:rPr>
          <w:color w:val="231F20"/>
          <w:spacing w:val="-6"/>
          <w:w w:val="105"/>
        </w:rPr>
        <w:t> </w:t>
      </w:r>
      <w:r>
        <w:rPr>
          <w:color w:val="231F20"/>
          <w:w w:val="105"/>
        </w:rPr>
        <w:t>ciencias</w:t>
      </w:r>
      <w:r>
        <w:rPr>
          <w:color w:val="231F20"/>
          <w:spacing w:val="-6"/>
          <w:w w:val="105"/>
        </w:rPr>
        <w:t> </w:t>
      </w:r>
      <w:r>
        <w:rPr>
          <w:color w:val="231F20"/>
          <w:w w:val="105"/>
        </w:rPr>
        <w:t>sociales—</w:t>
      </w:r>
      <w:r>
        <w:rPr>
          <w:color w:val="231F20"/>
          <w:spacing w:val="-6"/>
          <w:w w:val="105"/>
        </w:rPr>
        <w:t> </w:t>
      </w:r>
      <w:r>
        <w:rPr>
          <w:color w:val="231F20"/>
          <w:w w:val="105"/>
        </w:rPr>
        <w:t>su</w:t>
      </w:r>
      <w:r>
        <w:rPr>
          <w:color w:val="231F20"/>
          <w:spacing w:val="-6"/>
          <w:w w:val="105"/>
        </w:rPr>
        <w:t> </w:t>
      </w:r>
      <w:r>
        <w:rPr>
          <w:color w:val="231F20"/>
          <w:w w:val="105"/>
        </w:rPr>
        <w:t>hegemonía</w:t>
      </w:r>
      <w:r>
        <w:rPr>
          <w:color w:val="231F20"/>
          <w:spacing w:val="-6"/>
          <w:w w:val="105"/>
        </w:rPr>
        <w:t> </w:t>
      </w:r>
      <w:r>
        <w:rPr>
          <w:color w:val="231F20"/>
          <w:w w:val="105"/>
        </w:rPr>
        <w:t>de</w:t>
      </w:r>
      <w:r>
        <w:rPr>
          <w:color w:val="231F20"/>
          <w:spacing w:val="-6"/>
          <w:w w:val="105"/>
        </w:rPr>
        <w:t> </w:t>
      </w:r>
      <w:r>
        <w:rPr>
          <w:color w:val="231F20"/>
          <w:w w:val="105"/>
        </w:rPr>
        <w:t>normatividad:</w:t>
      </w:r>
      <w:r>
        <w:rPr>
          <w:color w:val="231F20"/>
          <w:spacing w:val="-6"/>
          <w:w w:val="105"/>
        </w:rPr>
        <w:t> </w:t>
      </w:r>
      <w:r>
        <w:rPr>
          <w:color w:val="231F20"/>
          <w:w w:val="105"/>
        </w:rPr>
        <w:t>el</w:t>
      </w:r>
      <w:r>
        <w:rPr>
          <w:color w:val="231F20"/>
          <w:spacing w:val="-6"/>
          <w:w w:val="105"/>
        </w:rPr>
        <w:t> </w:t>
      </w:r>
      <w:r>
        <w:rPr>
          <w:color w:val="231F20"/>
          <w:w w:val="105"/>
        </w:rPr>
        <w:t>tiempo</w:t>
      </w:r>
      <w:r>
        <w:rPr>
          <w:color w:val="231F20"/>
          <w:spacing w:val="-6"/>
          <w:w w:val="105"/>
        </w:rPr>
        <w:t> </w:t>
      </w:r>
      <w:r>
        <w:rPr>
          <w:color w:val="231F20"/>
          <w:w w:val="105"/>
        </w:rPr>
        <w:t>y el</w:t>
      </w:r>
      <w:r>
        <w:rPr>
          <w:color w:val="231F20"/>
          <w:spacing w:val="-9"/>
          <w:w w:val="105"/>
        </w:rPr>
        <w:t> </w:t>
      </w:r>
      <w:r>
        <w:rPr>
          <w:color w:val="231F20"/>
          <w:w w:val="105"/>
        </w:rPr>
        <w:t>espacio.</w:t>
      </w:r>
      <w:r>
        <w:rPr>
          <w:color w:val="231F20"/>
          <w:spacing w:val="-9"/>
          <w:w w:val="105"/>
        </w:rPr>
        <w:t> </w:t>
      </w:r>
      <w:r>
        <w:rPr>
          <w:color w:val="231F20"/>
          <w:w w:val="105"/>
        </w:rPr>
        <w:t>Hasta</w:t>
      </w:r>
      <w:r>
        <w:rPr>
          <w:color w:val="231F20"/>
          <w:spacing w:val="-9"/>
          <w:w w:val="105"/>
        </w:rPr>
        <w:t> </w:t>
      </w:r>
      <w:r>
        <w:rPr>
          <w:color w:val="231F20"/>
          <w:spacing w:val="-5"/>
          <w:w w:val="105"/>
        </w:rPr>
        <w:t>hoy,</w:t>
      </w:r>
      <w:r>
        <w:rPr>
          <w:color w:val="231F20"/>
          <w:spacing w:val="-9"/>
          <w:w w:val="105"/>
        </w:rPr>
        <w:t> </w:t>
      </w:r>
      <w:r>
        <w:rPr>
          <w:color w:val="231F20"/>
          <w:w w:val="105"/>
        </w:rPr>
        <w:t>ningún</w:t>
      </w:r>
      <w:r>
        <w:rPr>
          <w:color w:val="231F20"/>
          <w:spacing w:val="-9"/>
          <w:w w:val="105"/>
        </w:rPr>
        <w:t> </w:t>
      </w:r>
      <w:r>
        <w:rPr>
          <w:color w:val="231F20"/>
          <w:w w:val="105"/>
        </w:rPr>
        <w:t>hombre</w:t>
      </w:r>
      <w:r>
        <w:rPr>
          <w:color w:val="231F20"/>
          <w:spacing w:val="-9"/>
          <w:w w:val="105"/>
        </w:rPr>
        <w:t> </w:t>
      </w:r>
      <w:r>
        <w:rPr>
          <w:color w:val="231F20"/>
          <w:w w:val="105"/>
        </w:rPr>
        <w:t>o</w:t>
      </w:r>
      <w:r>
        <w:rPr>
          <w:color w:val="231F20"/>
          <w:spacing w:val="-9"/>
          <w:w w:val="105"/>
        </w:rPr>
        <w:t> </w:t>
      </w:r>
      <w:r>
        <w:rPr>
          <w:color w:val="231F20"/>
          <w:w w:val="105"/>
        </w:rPr>
        <w:t>mujer</w:t>
      </w:r>
      <w:r>
        <w:rPr>
          <w:color w:val="231F20"/>
          <w:spacing w:val="-9"/>
          <w:w w:val="105"/>
        </w:rPr>
        <w:t> </w:t>
      </w:r>
      <w:r>
        <w:rPr>
          <w:color w:val="231F20"/>
          <w:w w:val="105"/>
        </w:rPr>
        <w:t>sabe</w:t>
      </w:r>
      <w:r>
        <w:rPr>
          <w:color w:val="231F20"/>
          <w:spacing w:val="-9"/>
          <w:w w:val="105"/>
        </w:rPr>
        <w:t> </w:t>
      </w:r>
      <w:r>
        <w:rPr>
          <w:color w:val="231F20"/>
          <w:w w:val="105"/>
        </w:rPr>
        <w:t>exactamente</w:t>
      </w:r>
      <w:r>
        <w:rPr>
          <w:color w:val="231F20"/>
          <w:spacing w:val="-9"/>
          <w:w w:val="105"/>
        </w:rPr>
        <w:t> </w:t>
      </w:r>
      <w:r>
        <w:rPr>
          <w:color w:val="231F20"/>
          <w:w w:val="105"/>
        </w:rPr>
        <w:t>dónde está</w:t>
      </w:r>
      <w:r>
        <w:rPr>
          <w:color w:val="231F20"/>
          <w:spacing w:val="-20"/>
          <w:w w:val="105"/>
        </w:rPr>
        <w:t> </w:t>
      </w:r>
      <w:r>
        <w:rPr>
          <w:color w:val="231F20"/>
          <w:w w:val="105"/>
        </w:rPr>
        <w:t>y</w:t>
      </w:r>
      <w:r>
        <w:rPr>
          <w:color w:val="231F20"/>
          <w:spacing w:val="-20"/>
          <w:w w:val="105"/>
        </w:rPr>
        <w:t> </w:t>
      </w:r>
      <w:r>
        <w:rPr>
          <w:color w:val="231F20"/>
          <w:w w:val="105"/>
        </w:rPr>
        <w:t>bajo</w:t>
      </w:r>
      <w:r>
        <w:rPr>
          <w:color w:val="231F20"/>
          <w:spacing w:val="-20"/>
          <w:w w:val="105"/>
        </w:rPr>
        <w:t> </w:t>
      </w:r>
      <w:r>
        <w:rPr>
          <w:color w:val="231F20"/>
          <w:w w:val="105"/>
        </w:rPr>
        <w:t>qué</w:t>
      </w:r>
      <w:r>
        <w:rPr>
          <w:color w:val="231F20"/>
          <w:spacing w:val="-20"/>
          <w:w w:val="105"/>
        </w:rPr>
        <w:t> </w:t>
      </w:r>
      <w:r>
        <w:rPr>
          <w:color w:val="231F20"/>
          <w:w w:val="105"/>
        </w:rPr>
        <w:t>calendario</w:t>
      </w:r>
      <w:r>
        <w:rPr>
          <w:color w:val="231F20"/>
          <w:spacing w:val="-20"/>
          <w:w w:val="105"/>
        </w:rPr>
        <w:t> </w:t>
      </w:r>
      <w:r>
        <w:rPr>
          <w:color w:val="231F20"/>
          <w:w w:val="105"/>
        </w:rPr>
        <w:t>vive:</w:t>
      </w:r>
      <w:r>
        <w:rPr>
          <w:color w:val="231F20"/>
          <w:spacing w:val="-20"/>
          <w:w w:val="105"/>
        </w:rPr>
        <w:t> </w:t>
      </w:r>
      <w:r>
        <w:rPr>
          <w:color w:val="231F20"/>
          <w:w w:val="105"/>
        </w:rPr>
        <w:t>en</w:t>
      </w:r>
      <w:r>
        <w:rPr>
          <w:color w:val="231F20"/>
          <w:spacing w:val="-20"/>
          <w:w w:val="105"/>
        </w:rPr>
        <w:t> </w:t>
      </w:r>
      <w:r>
        <w:rPr>
          <w:color w:val="231F20"/>
          <w:w w:val="105"/>
        </w:rPr>
        <w:t>ambas</w:t>
      </w:r>
      <w:r>
        <w:rPr>
          <w:color w:val="231F20"/>
          <w:spacing w:val="-20"/>
          <w:w w:val="105"/>
        </w:rPr>
        <w:t> </w:t>
      </w:r>
      <w:r>
        <w:rPr>
          <w:color w:val="231F20"/>
          <w:w w:val="105"/>
        </w:rPr>
        <w:t>direcciones</w:t>
      </w:r>
      <w:r>
        <w:rPr>
          <w:color w:val="231F20"/>
          <w:spacing w:val="-20"/>
          <w:w w:val="105"/>
        </w:rPr>
        <w:t> </w:t>
      </w:r>
      <w:r>
        <w:rPr>
          <w:color w:val="231F20"/>
          <w:w w:val="105"/>
        </w:rPr>
        <w:t>se</w:t>
      </w:r>
      <w:r>
        <w:rPr>
          <w:color w:val="231F20"/>
          <w:spacing w:val="-20"/>
          <w:w w:val="105"/>
        </w:rPr>
        <w:t> </w:t>
      </w:r>
      <w:r>
        <w:rPr>
          <w:color w:val="231F20"/>
          <w:w w:val="105"/>
        </w:rPr>
        <w:t>considera</w:t>
      </w:r>
      <w:r>
        <w:rPr>
          <w:color w:val="231F20"/>
          <w:spacing w:val="-20"/>
          <w:w w:val="105"/>
        </w:rPr>
        <w:t> </w:t>
      </w:r>
      <w:r>
        <w:rPr>
          <w:color w:val="231F20"/>
          <w:w w:val="105"/>
        </w:rPr>
        <w:t>como criterio</w:t>
      </w:r>
      <w:r>
        <w:rPr>
          <w:color w:val="231F20"/>
          <w:spacing w:val="-24"/>
          <w:w w:val="105"/>
        </w:rPr>
        <w:t> </w:t>
      </w:r>
      <w:r>
        <w:rPr>
          <w:color w:val="231F20"/>
          <w:w w:val="105"/>
        </w:rPr>
        <w:t>lo</w:t>
      </w:r>
      <w:r>
        <w:rPr>
          <w:color w:val="231F20"/>
          <w:spacing w:val="-24"/>
          <w:w w:val="105"/>
        </w:rPr>
        <w:t> </w:t>
      </w:r>
      <w:r>
        <w:rPr>
          <w:color w:val="231F20"/>
          <w:w w:val="105"/>
        </w:rPr>
        <w:t>“multinacional”.</w:t>
      </w:r>
      <w:r>
        <w:rPr>
          <w:color w:val="231F20"/>
          <w:spacing w:val="-24"/>
          <w:w w:val="105"/>
        </w:rPr>
        <w:t> </w:t>
      </w:r>
      <w:r>
        <w:rPr>
          <w:color w:val="231F20"/>
          <w:w w:val="105"/>
        </w:rPr>
        <w:t>Sin</w:t>
      </w:r>
      <w:r>
        <w:rPr>
          <w:color w:val="231F20"/>
          <w:spacing w:val="-24"/>
          <w:w w:val="105"/>
        </w:rPr>
        <w:t> </w:t>
      </w:r>
      <w:r>
        <w:rPr>
          <w:color w:val="231F20"/>
          <w:w w:val="105"/>
        </w:rPr>
        <w:t>espacio</w:t>
      </w:r>
      <w:r>
        <w:rPr>
          <w:color w:val="231F20"/>
          <w:spacing w:val="-24"/>
          <w:w w:val="105"/>
        </w:rPr>
        <w:t> </w:t>
      </w:r>
      <w:r>
        <w:rPr>
          <w:color w:val="231F20"/>
          <w:w w:val="105"/>
        </w:rPr>
        <w:t>y</w:t>
      </w:r>
      <w:r>
        <w:rPr>
          <w:color w:val="231F20"/>
          <w:spacing w:val="-24"/>
          <w:w w:val="105"/>
        </w:rPr>
        <w:t> </w:t>
      </w:r>
      <w:r>
        <w:rPr>
          <w:color w:val="231F20"/>
          <w:w w:val="105"/>
        </w:rPr>
        <w:t>tiempo</w:t>
      </w:r>
      <w:r>
        <w:rPr>
          <w:color w:val="231F20"/>
          <w:spacing w:val="-24"/>
          <w:w w:val="105"/>
        </w:rPr>
        <w:t> </w:t>
      </w:r>
      <w:r>
        <w:rPr>
          <w:color w:val="231F20"/>
          <w:w w:val="105"/>
        </w:rPr>
        <w:t>definibles</w:t>
      </w:r>
      <w:r>
        <w:rPr>
          <w:color w:val="231F20"/>
          <w:spacing w:val="-24"/>
          <w:w w:val="105"/>
        </w:rPr>
        <w:t> </w:t>
      </w:r>
      <w:r>
        <w:rPr>
          <w:color w:val="231F20"/>
          <w:w w:val="105"/>
        </w:rPr>
        <w:t>y</w:t>
      </w:r>
      <w:r>
        <w:rPr>
          <w:color w:val="231F20"/>
          <w:spacing w:val="-24"/>
          <w:w w:val="105"/>
        </w:rPr>
        <w:t> </w:t>
      </w:r>
      <w:r>
        <w:rPr>
          <w:color w:val="231F20"/>
          <w:w w:val="105"/>
        </w:rPr>
        <w:t>ciertos,</w:t>
      </w:r>
      <w:r>
        <w:rPr>
          <w:color w:val="231F20"/>
          <w:spacing w:val="-24"/>
          <w:w w:val="105"/>
        </w:rPr>
        <w:t> </w:t>
      </w:r>
      <w:r>
        <w:rPr>
          <w:color w:val="231F20"/>
          <w:w w:val="105"/>
        </w:rPr>
        <w:t>el</w:t>
      </w:r>
      <w:r>
        <w:rPr>
          <w:color w:val="231F20"/>
          <w:spacing w:val="-24"/>
          <w:w w:val="105"/>
        </w:rPr>
        <w:t> </w:t>
      </w:r>
      <w:r>
        <w:rPr>
          <w:color w:val="231F20"/>
          <w:w w:val="105"/>
        </w:rPr>
        <w:t>De- recho</w:t>
      </w:r>
      <w:r>
        <w:rPr>
          <w:color w:val="231F20"/>
          <w:spacing w:val="-23"/>
          <w:w w:val="105"/>
        </w:rPr>
        <w:t> </w:t>
      </w:r>
      <w:r>
        <w:rPr>
          <w:color w:val="231F20"/>
          <w:w w:val="105"/>
        </w:rPr>
        <w:t>pierde</w:t>
      </w:r>
      <w:r>
        <w:rPr>
          <w:color w:val="231F20"/>
          <w:spacing w:val="-23"/>
          <w:w w:val="105"/>
        </w:rPr>
        <w:t> </w:t>
      </w:r>
      <w:r>
        <w:rPr>
          <w:color w:val="231F20"/>
          <w:w w:val="105"/>
        </w:rPr>
        <w:t>estabilidad,</w:t>
      </w:r>
      <w:r>
        <w:rPr>
          <w:color w:val="231F20"/>
          <w:spacing w:val="-23"/>
          <w:w w:val="105"/>
        </w:rPr>
        <w:t> </w:t>
      </w:r>
      <w:r>
        <w:rPr>
          <w:color w:val="231F20"/>
          <w:w w:val="105"/>
        </w:rPr>
        <w:t>por</w:t>
      </w:r>
      <w:r>
        <w:rPr>
          <w:color w:val="231F20"/>
          <w:spacing w:val="-23"/>
          <w:w w:val="105"/>
        </w:rPr>
        <w:t> </w:t>
      </w:r>
      <w:r>
        <w:rPr>
          <w:color w:val="231F20"/>
          <w:w w:val="105"/>
        </w:rPr>
        <w:t>lo</w:t>
      </w:r>
      <w:r>
        <w:rPr>
          <w:color w:val="231F20"/>
          <w:spacing w:val="-23"/>
          <w:w w:val="105"/>
        </w:rPr>
        <w:t> </w:t>
      </w:r>
      <w:r>
        <w:rPr>
          <w:color w:val="231F20"/>
          <w:w w:val="105"/>
        </w:rPr>
        <w:t>tanto</w:t>
      </w:r>
      <w:r>
        <w:rPr>
          <w:color w:val="231F20"/>
          <w:spacing w:val="-23"/>
          <w:w w:val="105"/>
        </w:rPr>
        <w:t> </w:t>
      </w:r>
      <w:r>
        <w:rPr>
          <w:color w:val="231F20"/>
          <w:w w:val="105"/>
        </w:rPr>
        <w:t>capacidad</w:t>
      </w:r>
      <w:r>
        <w:rPr>
          <w:color w:val="231F20"/>
          <w:spacing w:val="-23"/>
          <w:w w:val="105"/>
        </w:rPr>
        <w:t> </w:t>
      </w:r>
      <w:r>
        <w:rPr>
          <w:color w:val="231F20"/>
          <w:w w:val="105"/>
        </w:rPr>
        <w:t>normativa,</w:t>
      </w:r>
      <w:r>
        <w:rPr>
          <w:color w:val="231F20"/>
          <w:spacing w:val="-23"/>
          <w:w w:val="105"/>
        </w:rPr>
        <w:t> </w:t>
      </w:r>
      <w:r>
        <w:rPr>
          <w:color w:val="231F20"/>
          <w:w w:val="105"/>
        </w:rPr>
        <w:t>es</w:t>
      </w:r>
      <w:r>
        <w:rPr>
          <w:color w:val="231F20"/>
          <w:spacing w:val="-23"/>
          <w:w w:val="105"/>
        </w:rPr>
        <w:t> </w:t>
      </w:r>
      <w:r>
        <w:rPr>
          <w:color w:val="231F20"/>
          <w:spacing w:val="-4"/>
          <w:w w:val="105"/>
        </w:rPr>
        <w:t>decir,</w:t>
      </w:r>
      <w:r>
        <w:rPr>
          <w:color w:val="231F20"/>
          <w:spacing w:val="-23"/>
          <w:w w:val="105"/>
        </w:rPr>
        <w:t> </w:t>
      </w:r>
      <w:r>
        <w:rPr>
          <w:color w:val="231F20"/>
          <w:w w:val="105"/>
        </w:rPr>
        <w:t>posi- bilidad</w:t>
      </w:r>
      <w:r>
        <w:rPr>
          <w:color w:val="231F20"/>
          <w:spacing w:val="-19"/>
          <w:w w:val="105"/>
        </w:rPr>
        <w:t> </w:t>
      </w:r>
      <w:r>
        <w:rPr>
          <w:color w:val="231F20"/>
          <w:w w:val="105"/>
        </w:rPr>
        <w:t>de</w:t>
      </w:r>
      <w:r>
        <w:rPr>
          <w:color w:val="231F20"/>
          <w:spacing w:val="-19"/>
          <w:w w:val="105"/>
        </w:rPr>
        <w:t> </w:t>
      </w:r>
      <w:r>
        <w:rPr>
          <w:color w:val="231F20"/>
          <w:w w:val="105"/>
        </w:rPr>
        <w:t>ofrecer</w:t>
      </w:r>
      <w:r>
        <w:rPr>
          <w:color w:val="231F20"/>
          <w:spacing w:val="-19"/>
          <w:w w:val="105"/>
        </w:rPr>
        <w:t> </w:t>
      </w:r>
      <w:r>
        <w:rPr>
          <w:color w:val="231F20"/>
          <w:w w:val="105"/>
        </w:rPr>
        <w:t>legitimidad</w:t>
      </w:r>
      <w:r>
        <w:rPr>
          <w:color w:val="231F20"/>
          <w:spacing w:val="-19"/>
          <w:w w:val="105"/>
        </w:rPr>
        <w:t> </w:t>
      </w:r>
      <w:r>
        <w:rPr>
          <w:color w:val="231F20"/>
          <w:w w:val="105"/>
        </w:rPr>
        <w:t>como</w:t>
      </w:r>
      <w:r>
        <w:rPr>
          <w:color w:val="231F20"/>
          <w:spacing w:val="-19"/>
          <w:w w:val="105"/>
        </w:rPr>
        <w:t> </w:t>
      </w:r>
      <w:r>
        <w:rPr>
          <w:color w:val="231F20"/>
          <w:w w:val="105"/>
        </w:rPr>
        <w:t>ha</w:t>
      </w:r>
      <w:r>
        <w:rPr>
          <w:color w:val="231F20"/>
          <w:spacing w:val="-19"/>
          <w:w w:val="105"/>
        </w:rPr>
        <w:t> </w:t>
      </w:r>
      <w:r>
        <w:rPr>
          <w:color w:val="231F20"/>
          <w:w w:val="105"/>
        </w:rPr>
        <w:t>hecho</w:t>
      </w:r>
      <w:r>
        <w:rPr>
          <w:color w:val="231F20"/>
          <w:spacing w:val="-19"/>
          <w:w w:val="105"/>
        </w:rPr>
        <w:t> </w:t>
      </w:r>
      <w:r>
        <w:rPr>
          <w:color w:val="231F20"/>
          <w:w w:val="105"/>
        </w:rPr>
        <w:t>hasta</w:t>
      </w:r>
      <w:r>
        <w:rPr>
          <w:color w:val="231F20"/>
          <w:spacing w:val="-19"/>
          <w:w w:val="105"/>
        </w:rPr>
        <w:t> </w:t>
      </w:r>
      <w:r>
        <w:rPr>
          <w:color w:val="231F20"/>
          <w:w w:val="105"/>
        </w:rPr>
        <w:t>ahora,</w:t>
      </w:r>
      <w:r>
        <w:rPr>
          <w:color w:val="231F20"/>
          <w:spacing w:val="-19"/>
          <w:w w:val="105"/>
        </w:rPr>
        <w:t> </w:t>
      </w:r>
      <w:r>
        <w:rPr>
          <w:color w:val="231F20"/>
          <w:w w:val="105"/>
        </w:rPr>
        <w:t>instaurando</w:t>
      </w:r>
      <w:r>
        <w:rPr>
          <w:color w:val="231F20"/>
          <w:spacing w:val="-19"/>
          <w:w w:val="105"/>
        </w:rPr>
        <w:t> </w:t>
      </w:r>
      <w:r>
        <w:rPr>
          <w:color w:val="231F20"/>
          <w:w w:val="105"/>
        </w:rPr>
        <w:t>la medida</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legalidad.</w:t>
      </w:r>
      <w:r>
        <w:rPr>
          <w:color w:val="231F20"/>
          <w:spacing w:val="-25"/>
          <w:w w:val="105"/>
        </w:rPr>
        <w:t> </w:t>
      </w:r>
      <w:r>
        <w:rPr>
          <w:color w:val="231F20"/>
          <w:w w:val="105"/>
        </w:rPr>
        <w:t>¿Qué</w:t>
      </w:r>
      <w:r>
        <w:rPr>
          <w:color w:val="231F20"/>
          <w:spacing w:val="-25"/>
          <w:w w:val="105"/>
        </w:rPr>
        <w:t> </w:t>
      </w:r>
      <w:r>
        <w:rPr>
          <w:color w:val="231F20"/>
          <w:w w:val="105"/>
        </w:rPr>
        <w:t>puede</w:t>
      </w:r>
      <w:r>
        <w:rPr>
          <w:color w:val="231F20"/>
          <w:spacing w:val="-25"/>
          <w:w w:val="105"/>
        </w:rPr>
        <w:t> </w:t>
      </w:r>
      <w:r>
        <w:rPr>
          <w:color w:val="231F20"/>
          <w:w w:val="105"/>
        </w:rPr>
        <w:t>quedar</w:t>
      </w:r>
      <w:r>
        <w:rPr>
          <w:color w:val="231F20"/>
          <w:spacing w:val="-25"/>
          <w:w w:val="105"/>
        </w:rPr>
        <w:t> </w:t>
      </w:r>
      <w:r>
        <w:rPr>
          <w:color w:val="231F20"/>
          <w:w w:val="105"/>
        </w:rPr>
        <w:t>del</w:t>
      </w:r>
      <w:r>
        <w:rPr>
          <w:color w:val="231F20"/>
          <w:spacing w:val="-25"/>
          <w:w w:val="105"/>
        </w:rPr>
        <w:t> </w:t>
      </w:r>
      <w:r>
        <w:rPr>
          <w:color w:val="231F20"/>
          <w:w w:val="105"/>
        </w:rPr>
        <w:t>Estado,</w:t>
      </w:r>
      <w:r>
        <w:rPr>
          <w:color w:val="231F20"/>
          <w:spacing w:val="-25"/>
          <w:w w:val="105"/>
        </w:rPr>
        <w:t> </w:t>
      </w:r>
      <w:r>
        <w:rPr>
          <w:color w:val="231F20"/>
          <w:w w:val="105"/>
        </w:rPr>
        <w:t>así</w:t>
      </w:r>
      <w:r>
        <w:rPr>
          <w:color w:val="231F20"/>
          <w:spacing w:val="-25"/>
          <w:w w:val="105"/>
        </w:rPr>
        <w:t> </w:t>
      </w:r>
      <w:r>
        <w:rPr>
          <w:color w:val="231F20"/>
          <w:w w:val="105"/>
        </w:rPr>
        <w:t>como</w:t>
      </w:r>
      <w:r>
        <w:rPr>
          <w:color w:val="231F20"/>
          <w:spacing w:val="-25"/>
          <w:w w:val="105"/>
        </w:rPr>
        <w:t> </w:t>
      </w:r>
      <w:r>
        <w:rPr>
          <w:color w:val="231F20"/>
          <w:w w:val="105"/>
        </w:rPr>
        <w:t>estamos habituados</w:t>
      </w:r>
      <w:r>
        <w:rPr>
          <w:color w:val="231F20"/>
          <w:spacing w:val="-26"/>
          <w:w w:val="105"/>
        </w:rPr>
        <w:t> </w:t>
      </w:r>
      <w:r>
        <w:rPr>
          <w:color w:val="231F20"/>
          <w:w w:val="105"/>
        </w:rPr>
        <w:t>a</w:t>
      </w:r>
      <w:r>
        <w:rPr>
          <w:color w:val="231F20"/>
          <w:spacing w:val="-26"/>
          <w:w w:val="105"/>
        </w:rPr>
        <w:t> </w:t>
      </w:r>
      <w:r>
        <w:rPr>
          <w:color w:val="231F20"/>
          <w:w w:val="105"/>
        </w:rPr>
        <w:t>pensarlo</w:t>
      </w:r>
      <w:r>
        <w:rPr>
          <w:color w:val="231F20"/>
          <w:spacing w:val="-26"/>
          <w:w w:val="105"/>
        </w:rPr>
        <w:t> </w:t>
      </w:r>
      <w:r>
        <w:rPr>
          <w:color w:val="231F20"/>
          <w:w w:val="105"/>
        </w:rPr>
        <w:t>y</w:t>
      </w:r>
      <w:r>
        <w:rPr>
          <w:color w:val="231F20"/>
          <w:spacing w:val="-26"/>
          <w:w w:val="105"/>
        </w:rPr>
        <w:t> </w:t>
      </w:r>
      <w:r>
        <w:rPr>
          <w:color w:val="231F20"/>
          <w:w w:val="105"/>
        </w:rPr>
        <w:t>vivirlo,</w:t>
      </w:r>
      <w:r>
        <w:rPr>
          <w:color w:val="231F20"/>
          <w:spacing w:val="-26"/>
          <w:w w:val="105"/>
        </w:rPr>
        <w:t> </w:t>
      </w:r>
      <w:r>
        <w:rPr>
          <w:color w:val="231F20"/>
          <w:w w:val="105"/>
        </w:rPr>
        <w:t>sin</w:t>
      </w:r>
      <w:r>
        <w:rPr>
          <w:color w:val="231F20"/>
          <w:spacing w:val="-26"/>
          <w:w w:val="105"/>
        </w:rPr>
        <w:t> </w:t>
      </w:r>
      <w:r>
        <w:rPr>
          <w:color w:val="231F20"/>
          <w:w w:val="105"/>
        </w:rPr>
        <w:t>legalidad?</w:t>
      </w:r>
      <w:r>
        <w:rPr>
          <w:color w:val="231F20"/>
          <w:spacing w:val="-26"/>
          <w:w w:val="105"/>
        </w:rPr>
        <w:t> </w:t>
      </w:r>
      <w:r>
        <w:rPr>
          <w:color w:val="231F20"/>
          <w:w w:val="105"/>
        </w:rPr>
        <w:t>¿Se</w:t>
      </w:r>
      <w:r>
        <w:rPr>
          <w:color w:val="231F20"/>
          <w:spacing w:val="-26"/>
          <w:w w:val="105"/>
        </w:rPr>
        <w:t> </w:t>
      </w:r>
      <w:r>
        <w:rPr>
          <w:color w:val="231F20"/>
          <w:w w:val="105"/>
        </w:rPr>
        <w:t>podrá</w:t>
      </w:r>
      <w:r>
        <w:rPr>
          <w:color w:val="231F20"/>
          <w:spacing w:val="-26"/>
          <w:w w:val="105"/>
        </w:rPr>
        <w:t> </w:t>
      </w:r>
      <w:r>
        <w:rPr>
          <w:color w:val="231F20"/>
          <w:w w:val="105"/>
        </w:rPr>
        <w:t>todavía</w:t>
      </w:r>
      <w:r>
        <w:rPr>
          <w:color w:val="231F20"/>
          <w:spacing w:val="-26"/>
          <w:w w:val="105"/>
        </w:rPr>
        <w:t> </w:t>
      </w:r>
      <w:r>
        <w:rPr>
          <w:color w:val="231F20"/>
          <w:w w:val="105"/>
        </w:rPr>
        <w:t>hablar</w:t>
      </w:r>
      <w:r>
        <w:rPr>
          <w:color w:val="231F20"/>
          <w:spacing w:val="-26"/>
          <w:w w:val="105"/>
        </w:rPr>
        <w:t> </w:t>
      </w:r>
      <w:r>
        <w:rPr>
          <w:color w:val="231F20"/>
          <w:w w:val="105"/>
        </w:rPr>
        <w:t>de una</w:t>
      </w:r>
      <w:r>
        <w:rPr>
          <w:color w:val="231F20"/>
          <w:spacing w:val="-25"/>
          <w:w w:val="105"/>
        </w:rPr>
        <w:t> </w:t>
      </w:r>
      <w:r>
        <w:rPr>
          <w:color w:val="231F20"/>
          <w:w w:val="105"/>
        </w:rPr>
        <w:t>legitimidad</w:t>
      </w:r>
      <w:r>
        <w:rPr>
          <w:color w:val="231F20"/>
          <w:spacing w:val="-25"/>
          <w:w w:val="105"/>
        </w:rPr>
        <w:t> </w:t>
      </w:r>
      <w:r>
        <w:rPr>
          <w:color w:val="231F20"/>
          <w:w w:val="105"/>
        </w:rPr>
        <w:t>del</w:t>
      </w:r>
      <w:r>
        <w:rPr>
          <w:color w:val="231F20"/>
          <w:spacing w:val="-25"/>
          <w:w w:val="105"/>
        </w:rPr>
        <w:t> </w:t>
      </w:r>
      <w:r>
        <w:rPr>
          <w:color w:val="231F20"/>
          <w:w w:val="105"/>
        </w:rPr>
        <w:t>Estado</w:t>
      </w:r>
      <w:r>
        <w:rPr>
          <w:color w:val="231F20"/>
          <w:spacing w:val="-25"/>
          <w:w w:val="105"/>
        </w:rPr>
        <w:t> </w:t>
      </w:r>
      <w:r>
        <w:rPr>
          <w:color w:val="231F20"/>
          <w:w w:val="105"/>
        </w:rPr>
        <w:t>y</w:t>
      </w:r>
      <w:r>
        <w:rPr>
          <w:color w:val="231F20"/>
          <w:spacing w:val="-25"/>
          <w:w w:val="105"/>
        </w:rPr>
        <w:t> </w:t>
      </w:r>
      <w:r>
        <w:rPr>
          <w:color w:val="231F20"/>
          <w:w w:val="105"/>
        </w:rPr>
        <w:t>sobre</w:t>
      </w:r>
      <w:r>
        <w:rPr>
          <w:color w:val="231F20"/>
          <w:spacing w:val="-25"/>
          <w:w w:val="105"/>
        </w:rPr>
        <w:t> </w:t>
      </w:r>
      <w:r>
        <w:rPr>
          <w:color w:val="231F20"/>
          <w:w w:val="105"/>
        </w:rPr>
        <w:t>qué</w:t>
      </w:r>
      <w:r>
        <w:rPr>
          <w:color w:val="231F20"/>
          <w:spacing w:val="-25"/>
          <w:w w:val="105"/>
        </w:rPr>
        <w:t> </w:t>
      </w:r>
      <w:r>
        <w:rPr>
          <w:color w:val="231F20"/>
          <w:w w:val="105"/>
        </w:rPr>
        <w:t>bases?</w:t>
      </w:r>
    </w:p>
    <w:p>
      <w:pPr>
        <w:pStyle w:val="BodyText"/>
        <w:spacing w:line="244" w:lineRule="auto"/>
        <w:ind w:left="103" w:right="115" w:firstLine="566"/>
        <w:jc w:val="both"/>
      </w:pPr>
      <w:r>
        <w:rPr>
          <w:color w:val="231F20"/>
        </w:rPr>
        <w:t>Los puntos de vista desde los cuales proyectar una respuesta son múltiples: me limito a indicar dos, sólo aparentemente antitéticos. El pri- mero tiene que ver con el Estado como contenedor de valores. En Inglate- rra,</w:t>
      </w:r>
      <w:r>
        <w:rPr>
          <w:color w:val="231F20"/>
          <w:spacing w:val="-13"/>
        </w:rPr>
        <w:t> </w:t>
      </w:r>
      <w:r>
        <w:rPr>
          <w:color w:val="231F20"/>
        </w:rPr>
        <w:t>donde</w:t>
      </w:r>
      <w:r>
        <w:rPr>
          <w:color w:val="231F20"/>
          <w:spacing w:val="-13"/>
        </w:rPr>
        <w:t> </w:t>
      </w:r>
      <w:r>
        <w:rPr>
          <w:color w:val="231F20"/>
        </w:rPr>
        <w:t>saben</w:t>
      </w:r>
      <w:r>
        <w:rPr>
          <w:color w:val="231F20"/>
          <w:spacing w:val="-13"/>
        </w:rPr>
        <w:t> </w:t>
      </w:r>
      <w:r>
        <w:rPr>
          <w:color w:val="231F20"/>
        </w:rPr>
        <w:t>del</w:t>
      </w:r>
      <w:r>
        <w:rPr>
          <w:color w:val="231F20"/>
          <w:spacing w:val="-13"/>
        </w:rPr>
        <w:t> </w:t>
      </w:r>
      <w:r>
        <w:rPr>
          <w:color w:val="231F20"/>
        </w:rPr>
        <w:t>asunto,</w:t>
      </w:r>
      <w:r>
        <w:rPr>
          <w:color w:val="231F20"/>
          <w:spacing w:val="-13"/>
        </w:rPr>
        <w:t> </w:t>
      </w:r>
      <w:r>
        <w:rPr>
          <w:color w:val="231F20"/>
        </w:rPr>
        <w:t>es</w:t>
      </w:r>
      <w:r>
        <w:rPr>
          <w:color w:val="231F20"/>
          <w:spacing w:val="-13"/>
        </w:rPr>
        <w:t> </w:t>
      </w:r>
      <w:r>
        <w:rPr>
          <w:color w:val="231F20"/>
        </w:rPr>
        <w:t>un</w:t>
      </w:r>
      <w:r>
        <w:rPr>
          <w:color w:val="231F20"/>
          <w:spacing w:val="-13"/>
        </w:rPr>
        <w:t> </w:t>
      </w:r>
      <w:r>
        <w:rPr>
          <w:color w:val="231F20"/>
        </w:rPr>
        <w:t>continuo</w:t>
      </w:r>
      <w:r>
        <w:rPr>
          <w:color w:val="231F20"/>
          <w:spacing w:val="-13"/>
        </w:rPr>
        <w:t> </w:t>
      </w:r>
      <w:r>
        <w:rPr>
          <w:color w:val="231F20"/>
        </w:rPr>
        <w:t>echar</w:t>
      </w:r>
      <w:r>
        <w:rPr>
          <w:color w:val="231F20"/>
          <w:spacing w:val="-13"/>
        </w:rPr>
        <w:t> </w:t>
      </w:r>
      <w:r>
        <w:rPr>
          <w:color w:val="231F20"/>
        </w:rPr>
        <w:t>en</w:t>
      </w:r>
      <w:r>
        <w:rPr>
          <w:color w:val="231F20"/>
          <w:spacing w:val="-13"/>
        </w:rPr>
        <w:t> </w:t>
      </w:r>
      <w:r>
        <w:rPr>
          <w:color w:val="231F20"/>
        </w:rPr>
        <w:t>cara</w:t>
      </w:r>
      <w:r>
        <w:rPr>
          <w:color w:val="231F20"/>
          <w:spacing w:val="-13"/>
        </w:rPr>
        <w:t> </w:t>
      </w:r>
      <w:r>
        <w:rPr>
          <w:color w:val="231F20"/>
        </w:rPr>
        <w:t>los</w:t>
      </w:r>
      <w:r>
        <w:rPr>
          <w:color w:val="231F20"/>
          <w:spacing w:val="-14"/>
        </w:rPr>
        <w:t> </w:t>
      </w:r>
      <w:r>
        <w:rPr>
          <w:rFonts w:ascii="Arial" w:hAnsi="Arial"/>
          <w:i/>
          <w:color w:val="231F20"/>
        </w:rPr>
        <w:t>British</w:t>
      </w:r>
      <w:r>
        <w:rPr>
          <w:rFonts w:ascii="Arial" w:hAnsi="Arial"/>
          <w:i/>
          <w:color w:val="231F20"/>
          <w:spacing w:val="-6"/>
        </w:rPr>
        <w:t> </w:t>
      </w:r>
      <w:r>
        <w:rPr>
          <w:rFonts w:ascii="Arial" w:hAnsi="Arial"/>
          <w:i/>
          <w:color w:val="231F20"/>
        </w:rPr>
        <w:t>values </w:t>
      </w:r>
      <w:r>
        <w:rPr>
          <w:color w:val="231F20"/>
        </w:rPr>
        <w:t>ante</w:t>
      </w:r>
      <w:r>
        <w:rPr>
          <w:color w:val="231F20"/>
          <w:spacing w:val="30"/>
        </w:rPr>
        <w:t> </w:t>
      </w:r>
      <w:r>
        <w:rPr>
          <w:color w:val="231F20"/>
        </w:rPr>
        <w:t>las</w:t>
      </w:r>
      <w:r>
        <w:rPr>
          <w:color w:val="231F20"/>
          <w:spacing w:val="30"/>
        </w:rPr>
        <w:t> </w:t>
      </w:r>
      <w:r>
        <w:rPr>
          <w:color w:val="231F20"/>
        </w:rPr>
        <w:t>pretensiones</w:t>
      </w:r>
      <w:r>
        <w:rPr>
          <w:color w:val="231F20"/>
          <w:spacing w:val="30"/>
        </w:rPr>
        <w:t> </w:t>
      </w:r>
      <w:r>
        <w:rPr>
          <w:color w:val="231F20"/>
        </w:rPr>
        <w:t>de</w:t>
      </w:r>
      <w:r>
        <w:rPr>
          <w:color w:val="231F20"/>
          <w:spacing w:val="30"/>
        </w:rPr>
        <w:t> </w:t>
      </w:r>
      <w:r>
        <w:rPr>
          <w:color w:val="231F20"/>
        </w:rPr>
        <w:t>inserción</w:t>
      </w:r>
      <w:r>
        <w:rPr>
          <w:color w:val="231F20"/>
          <w:spacing w:val="30"/>
        </w:rPr>
        <w:t> </w:t>
      </w:r>
      <w:r>
        <w:rPr>
          <w:color w:val="231F20"/>
        </w:rPr>
        <w:t>y</w:t>
      </w:r>
      <w:r>
        <w:rPr>
          <w:color w:val="231F20"/>
          <w:spacing w:val="30"/>
        </w:rPr>
        <w:t> </w:t>
      </w:r>
      <w:r>
        <w:rPr>
          <w:color w:val="231F20"/>
        </w:rPr>
        <w:t>control</w:t>
      </w:r>
      <w:r>
        <w:rPr>
          <w:color w:val="231F20"/>
          <w:spacing w:val="30"/>
        </w:rPr>
        <w:t> </w:t>
      </w:r>
      <w:r>
        <w:rPr>
          <w:color w:val="231F20"/>
        </w:rPr>
        <w:t>de</w:t>
      </w:r>
      <w:r>
        <w:rPr>
          <w:color w:val="231F20"/>
          <w:spacing w:val="30"/>
        </w:rPr>
        <w:t> </w:t>
      </w:r>
      <w:r>
        <w:rPr>
          <w:color w:val="231F20"/>
        </w:rPr>
        <w:t>parte</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Unión</w:t>
      </w:r>
      <w:r>
        <w:rPr>
          <w:color w:val="231F20"/>
          <w:spacing w:val="30"/>
        </w:rPr>
        <w:t> </w:t>
      </w:r>
      <w:r>
        <w:rPr>
          <w:color w:val="231F20"/>
        </w:rPr>
        <w:t>Euro-</w:t>
      </w:r>
    </w:p>
    <w:p>
      <w:pPr>
        <w:pStyle w:val="BodyText"/>
        <w:spacing w:before="1"/>
        <w:rPr>
          <w:sz w:val="17"/>
        </w:rPr>
      </w:pPr>
      <w:r>
        <w:rPr/>
        <w:pict>
          <v:line style="position:absolute;mso-position-horizontal-relative:page;mso-position-vertical-relative:paragraph;z-index:5488;mso-wrap-distance-left:0;mso-wrap-distance-right:0" from="65.1968pt,12.433723pt" to="178.5828pt,12.433723pt" stroked="true" strokeweight=".3pt" strokecolor="#231f20">
            <w10:wrap type="topAndBottom"/>
          </v:line>
        </w:pict>
      </w:r>
    </w:p>
    <w:p>
      <w:pPr>
        <w:spacing w:line="204" w:lineRule="exact" w:before="8"/>
        <w:ind w:left="103" w:right="110" w:firstLine="0"/>
        <w:jc w:val="left"/>
        <w:rPr>
          <w:rFonts w:ascii="Calibri" w:hAnsi="Calibri"/>
          <w:sz w:val="17"/>
        </w:rPr>
      </w:pPr>
      <w:r>
        <w:rPr>
          <w:rFonts w:ascii="Calibri" w:hAnsi="Calibri"/>
          <w:color w:val="231F20"/>
          <w:w w:val="105"/>
          <w:position w:val="6"/>
          <w:sz w:val="10"/>
        </w:rPr>
        <w:t>24</w:t>
      </w:r>
      <w:r>
        <w:rPr>
          <w:rFonts w:ascii="Calibri" w:hAnsi="Calibri"/>
          <w:color w:val="231F20"/>
          <w:spacing w:val="-6"/>
          <w:w w:val="105"/>
          <w:position w:val="6"/>
          <w:sz w:val="10"/>
        </w:rPr>
        <w:t> </w:t>
      </w:r>
      <w:r>
        <w:rPr>
          <w:rFonts w:ascii="Calibri" w:hAnsi="Calibri"/>
          <w:color w:val="231F20"/>
          <w:w w:val="105"/>
          <w:sz w:val="17"/>
        </w:rPr>
        <w:t>Retomo</w:t>
      </w:r>
      <w:r>
        <w:rPr>
          <w:rFonts w:ascii="Calibri" w:hAnsi="Calibri"/>
          <w:color w:val="231F20"/>
          <w:spacing w:val="-23"/>
          <w:w w:val="105"/>
          <w:sz w:val="17"/>
        </w:rPr>
        <w:t> </w:t>
      </w:r>
      <w:r>
        <w:rPr>
          <w:rFonts w:ascii="Calibri" w:hAnsi="Calibri"/>
          <w:color w:val="231F20"/>
          <w:w w:val="105"/>
          <w:sz w:val="17"/>
        </w:rPr>
        <w:t>la</w:t>
      </w:r>
      <w:r>
        <w:rPr>
          <w:rFonts w:ascii="Calibri" w:hAnsi="Calibri"/>
          <w:color w:val="231F20"/>
          <w:spacing w:val="-23"/>
          <w:w w:val="105"/>
          <w:sz w:val="17"/>
        </w:rPr>
        <w:t> </w:t>
      </w:r>
      <w:r>
        <w:rPr>
          <w:rFonts w:ascii="Calibri" w:hAnsi="Calibri"/>
          <w:color w:val="231F20"/>
          <w:w w:val="105"/>
          <w:sz w:val="17"/>
        </w:rPr>
        <w:t>descripción</w:t>
      </w:r>
      <w:r>
        <w:rPr>
          <w:rFonts w:ascii="Calibri" w:hAnsi="Calibri"/>
          <w:color w:val="231F20"/>
          <w:spacing w:val="-23"/>
          <w:w w:val="105"/>
          <w:sz w:val="17"/>
        </w:rPr>
        <w:t> </w:t>
      </w:r>
      <w:r>
        <w:rPr>
          <w:rFonts w:ascii="Calibri" w:hAnsi="Calibri"/>
          <w:color w:val="231F20"/>
          <w:w w:val="105"/>
          <w:sz w:val="17"/>
        </w:rPr>
        <w:t>de</w:t>
      </w:r>
      <w:r>
        <w:rPr>
          <w:rFonts w:ascii="Calibri" w:hAnsi="Calibri"/>
          <w:color w:val="231F20"/>
          <w:spacing w:val="-23"/>
          <w:w w:val="105"/>
          <w:sz w:val="17"/>
        </w:rPr>
        <w:t> </w:t>
      </w:r>
      <w:r>
        <w:rPr>
          <w:rFonts w:ascii="Calibri" w:hAnsi="Calibri"/>
          <w:color w:val="231F20"/>
          <w:w w:val="105"/>
          <w:sz w:val="17"/>
        </w:rPr>
        <w:t>R.</w:t>
      </w:r>
      <w:r>
        <w:rPr>
          <w:rFonts w:ascii="Calibri" w:hAnsi="Calibri"/>
          <w:color w:val="231F20"/>
          <w:spacing w:val="-23"/>
          <w:w w:val="105"/>
          <w:sz w:val="17"/>
        </w:rPr>
        <w:t> </w:t>
      </w:r>
      <w:r>
        <w:rPr>
          <w:rFonts w:ascii="Calibri" w:hAnsi="Calibri"/>
          <w:color w:val="231F20"/>
          <w:w w:val="105"/>
          <w:sz w:val="17"/>
        </w:rPr>
        <w:t>D.</w:t>
      </w:r>
      <w:r>
        <w:rPr>
          <w:rFonts w:ascii="Calibri" w:hAnsi="Calibri"/>
          <w:color w:val="231F20"/>
          <w:spacing w:val="-23"/>
          <w:w w:val="105"/>
          <w:sz w:val="17"/>
        </w:rPr>
        <w:t> </w:t>
      </w:r>
      <w:r>
        <w:rPr>
          <w:rFonts w:ascii="Calibri" w:hAnsi="Calibri"/>
          <w:color w:val="231F20"/>
          <w:w w:val="105"/>
          <w:sz w:val="17"/>
        </w:rPr>
        <w:t>Nardi–Rita</w:t>
      </w:r>
      <w:r>
        <w:rPr>
          <w:rFonts w:ascii="Calibri" w:hAnsi="Calibri"/>
          <w:color w:val="231F20"/>
          <w:spacing w:val="-23"/>
          <w:w w:val="105"/>
          <w:sz w:val="17"/>
        </w:rPr>
        <w:t> </w:t>
      </w:r>
      <w:r>
        <w:rPr>
          <w:rFonts w:ascii="Calibri" w:hAnsi="Calibri"/>
          <w:color w:val="231F20"/>
          <w:w w:val="105"/>
          <w:sz w:val="17"/>
        </w:rPr>
        <w:t>Coen,</w:t>
      </w:r>
      <w:r>
        <w:rPr>
          <w:rFonts w:ascii="Calibri" w:hAnsi="Calibri"/>
          <w:color w:val="231F20"/>
          <w:spacing w:val="-23"/>
          <w:w w:val="105"/>
          <w:sz w:val="17"/>
        </w:rPr>
        <w:t> </w:t>
      </w:r>
      <w:r>
        <w:rPr>
          <w:rFonts w:ascii="Calibri" w:hAnsi="Calibri"/>
          <w:i/>
          <w:color w:val="231F20"/>
          <w:w w:val="105"/>
          <w:sz w:val="17"/>
        </w:rPr>
        <w:t>La</w:t>
      </w:r>
      <w:r>
        <w:rPr>
          <w:rFonts w:ascii="Calibri" w:hAnsi="Calibri"/>
          <w:i/>
          <w:color w:val="231F20"/>
          <w:spacing w:val="-23"/>
          <w:w w:val="105"/>
          <w:sz w:val="17"/>
        </w:rPr>
        <w:t> </w:t>
      </w:r>
      <w:r>
        <w:rPr>
          <w:rFonts w:ascii="Calibri" w:hAnsi="Calibri"/>
          <w:i/>
          <w:color w:val="231F20"/>
          <w:w w:val="105"/>
          <w:sz w:val="17"/>
        </w:rPr>
        <w:t>Costituzione</w:t>
      </w:r>
      <w:r>
        <w:rPr>
          <w:rFonts w:ascii="Calibri" w:hAnsi="Calibri"/>
          <w:i/>
          <w:color w:val="231F20"/>
          <w:spacing w:val="-23"/>
          <w:w w:val="105"/>
          <w:sz w:val="17"/>
        </w:rPr>
        <w:t> </w:t>
      </w:r>
      <w:r>
        <w:rPr>
          <w:rFonts w:ascii="Calibri" w:hAnsi="Calibri"/>
          <w:i/>
          <w:color w:val="231F20"/>
          <w:w w:val="105"/>
          <w:sz w:val="17"/>
        </w:rPr>
        <w:t>italiana.</w:t>
      </w:r>
      <w:r>
        <w:rPr>
          <w:rFonts w:ascii="Calibri" w:hAnsi="Calibri"/>
          <w:i/>
          <w:color w:val="231F20"/>
          <w:spacing w:val="-23"/>
          <w:w w:val="105"/>
          <w:sz w:val="17"/>
        </w:rPr>
        <w:t> </w:t>
      </w:r>
      <w:r>
        <w:rPr>
          <w:rFonts w:ascii="Calibri" w:hAnsi="Calibri"/>
          <w:i/>
          <w:color w:val="231F20"/>
          <w:w w:val="105"/>
          <w:sz w:val="17"/>
        </w:rPr>
        <w:t>Guida</w:t>
      </w:r>
      <w:r>
        <w:rPr>
          <w:rFonts w:ascii="Calibri" w:hAnsi="Calibri"/>
          <w:i/>
          <w:color w:val="231F20"/>
          <w:spacing w:val="-23"/>
          <w:w w:val="105"/>
          <w:sz w:val="17"/>
        </w:rPr>
        <w:t> </w:t>
      </w:r>
      <w:r>
        <w:rPr>
          <w:rFonts w:ascii="Calibri" w:hAnsi="Calibri"/>
          <w:i/>
          <w:color w:val="231F20"/>
          <w:w w:val="105"/>
          <w:sz w:val="17"/>
        </w:rPr>
        <w:t>alla</w:t>
      </w:r>
      <w:r>
        <w:rPr>
          <w:rFonts w:ascii="Calibri" w:hAnsi="Calibri"/>
          <w:i/>
          <w:color w:val="231F20"/>
          <w:spacing w:val="-23"/>
          <w:w w:val="105"/>
          <w:sz w:val="17"/>
        </w:rPr>
        <w:t> </w:t>
      </w:r>
      <w:r>
        <w:rPr>
          <w:rFonts w:ascii="Calibri" w:hAnsi="Calibri"/>
          <w:i/>
          <w:color w:val="231F20"/>
          <w:w w:val="105"/>
          <w:sz w:val="17"/>
        </w:rPr>
        <w:t>lettura</w:t>
      </w:r>
      <w:r>
        <w:rPr>
          <w:rFonts w:ascii="Calibri" w:hAnsi="Calibri"/>
          <w:color w:val="231F20"/>
          <w:w w:val="105"/>
          <w:sz w:val="17"/>
        </w:rPr>
        <w:t>,</w:t>
      </w:r>
      <w:r>
        <w:rPr>
          <w:rFonts w:ascii="Calibri" w:hAnsi="Calibri"/>
          <w:color w:val="231F20"/>
          <w:spacing w:val="-23"/>
          <w:w w:val="105"/>
          <w:sz w:val="17"/>
        </w:rPr>
        <w:t> </w:t>
      </w:r>
      <w:r>
        <w:rPr>
          <w:rFonts w:ascii="Calibri" w:hAnsi="Calibri"/>
          <w:color w:val="231F20"/>
          <w:w w:val="105"/>
          <w:sz w:val="17"/>
        </w:rPr>
        <w:t>Roma, </w:t>
      </w:r>
      <w:r>
        <w:rPr>
          <w:rFonts w:ascii="Calibri" w:hAnsi="Calibri"/>
          <w:color w:val="231F20"/>
          <w:sz w:val="17"/>
        </w:rPr>
        <w:t>Aracne,</w:t>
      </w:r>
      <w:r>
        <w:rPr>
          <w:rFonts w:ascii="Calibri" w:hAnsi="Calibri"/>
          <w:color w:val="231F20"/>
          <w:spacing w:val="-19"/>
          <w:sz w:val="17"/>
        </w:rPr>
        <w:t> </w:t>
      </w:r>
      <w:r>
        <w:rPr>
          <w:rFonts w:ascii="Calibri" w:hAnsi="Calibri"/>
          <w:color w:val="231F20"/>
          <w:sz w:val="17"/>
        </w:rPr>
        <w:t>2012.</w:t>
      </w:r>
    </w:p>
    <w:p>
      <w:pPr>
        <w:pStyle w:val="BodyText"/>
        <w:rPr>
          <w:rFonts w:ascii="Calibri"/>
          <w:sz w:val="20"/>
        </w:rPr>
      </w:pPr>
    </w:p>
    <w:p>
      <w:pPr>
        <w:pStyle w:val="BodyText"/>
        <w:spacing w:before="1"/>
        <w:rPr>
          <w:rFonts w:ascii="Calibri"/>
          <w:sz w:val="28"/>
        </w:rPr>
      </w:pPr>
    </w:p>
    <w:p>
      <w:pPr>
        <w:tabs>
          <w:tab w:pos="1331" w:val="left" w:leader="none"/>
        </w:tabs>
        <w:spacing w:before="69"/>
        <w:ind w:left="226" w:right="0" w:firstLine="0"/>
        <w:jc w:val="left"/>
        <w:rPr>
          <w:rFonts w:ascii="Calibri"/>
          <w:sz w:val="16"/>
        </w:rPr>
      </w:pPr>
      <w:r>
        <w:rPr/>
        <w:pict>
          <v:group style="position:absolute;margin-left:98.787804pt;margin-top:-3.308812pt;width:20.4pt;height:43pt;mso-position-horizontal-relative:page;mso-position-vertical-relative:paragraph;z-index:-169888" coordorigin="1976,-66" coordsize="408,860">
            <v:line style="position:absolute" from="2225,73" to="2225,789" stroked="true" strokeweight=".35pt" strokecolor="#231f20"/>
            <v:shape style="position:absolute;left:2193;top:-13;width:190;height:445" type="#_x0000_t75" stroked="false">
              <v:imagedata r:id="rId40" o:title=""/>
            </v:shape>
            <v:shape style="position:absolute;left:1976;top:-66;width:250;height:502" type="#_x0000_t75" stroked="false">
              <v:imagedata r:id="rId41" o:title=""/>
            </v:shape>
            <w10:wrap type="none"/>
          </v:group>
        </w:pict>
      </w:r>
      <w:r>
        <w:rPr>
          <w:rFonts w:ascii="Arial"/>
          <w:color w:val="414042"/>
          <w:position w:val="-4"/>
          <w:sz w:val="20"/>
        </w:rPr>
        <w:t>100</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3924" w:right="0" w:firstLine="0"/>
        <w:jc w:val="left"/>
        <w:rPr>
          <w:rFonts w:ascii="Arial" w:hAnsi="Arial"/>
          <w:sz w:val="20"/>
        </w:rPr>
      </w:pPr>
      <w:r>
        <w:rPr/>
        <w:pict>
          <v:group style="position:absolute;margin-left:383.821014pt;margin-top:-25.479271pt;width:8.65pt;height:41pt;mso-position-horizontal-relative:page;mso-position-vertical-relative:paragraph;z-index:-16984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5"/>
          <w:sz w:val="14"/>
        </w:rPr>
        <w:t> </w:t>
      </w:r>
      <w:r>
        <w:rPr>
          <w:rFonts w:ascii="Lucida Sans Unicode" w:hAnsi="Lucida Sans Unicode"/>
          <w:color w:val="6D6E71"/>
          <w:sz w:val="14"/>
        </w:rPr>
        <w:t>ESTADO</w:t>
      </w:r>
      <w:r>
        <w:rPr>
          <w:rFonts w:ascii="Lucida Sans Unicode" w:hAnsi="Lucida Sans Unicode"/>
          <w:color w:val="6D6E71"/>
          <w:spacing w:val="-25"/>
          <w:sz w:val="14"/>
        </w:rPr>
        <w:t> </w:t>
      </w:r>
      <w:r>
        <w:rPr>
          <w:rFonts w:ascii="Lucida Sans Unicode" w:hAnsi="Lucida Sans Unicode"/>
          <w:color w:val="6D6E71"/>
          <w:sz w:val="14"/>
        </w:rPr>
        <w:t>MODERNO</w:t>
      </w:r>
      <w:r>
        <w:rPr>
          <w:rFonts w:ascii="Lucida Sans Unicode" w:hAnsi="Lucida Sans Unicode"/>
          <w:color w:val="6D6E71"/>
          <w:spacing w:val="-25"/>
          <w:sz w:val="14"/>
        </w:rPr>
        <w:t> </w:t>
      </w:r>
      <w:r>
        <w:rPr>
          <w:rFonts w:ascii="Lucida Sans Unicode" w:hAnsi="Lucida Sans Unicode"/>
          <w:color w:val="6D6E71"/>
          <w:sz w:val="14"/>
        </w:rPr>
        <w:t>HOY</w:t>
      </w:r>
      <w:r>
        <w:rPr>
          <w:rFonts w:ascii="Lucida Sans Unicode" w:hAnsi="Lucida Sans Unicode"/>
          <w:color w:val="6D6E71"/>
          <w:spacing w:val="-25"/>
          <w:sz w:val="14"/>
        </w:rPr>
        <w:t> </w:t>
      </w:r>
      <w:r>
        <w:rPr>
          <w:rFonts w:ascii="Lucida Sans Unicode" w:hAnsi="Lucida Sans Unicode"/>
          <w:color w:val="6D6E71"/>
          <w:sz w:val="14"/>
        </w:rPr>
        <w:t>Y</w:t>
      </w:r>
      <w:r>
        <w:rPr>
          <w:rFonts w:ascii="Lucida Sans Unicode" w:hAnsi="Lucida Sans Unicode"/>
          <w:color w:val="6D6E71"/>
          <w:spacing w:val="-25"/>
          <w:sz w:val="14"/>
        </w:rPr>
        <w:t> </w:t>
      </w:r>
      <w:r>
        <w:rPr>
          <w:rFonts w:ascii="Lucida Sans Unicode" w:hAnsi="Lucida Sans Unicode"/>
          <w:color w:val="6D6E71"/>
          <w:sz w:val="14"/>
        </w:rPr>
        <w:t>MAÑANA</w:t>
      </w:r>
      <w:r>
        <w:rPr>
          <w:rFonts w:ascii="Arial" w:hAnsi="Arial"/>
          <w:color w:val="414042"/>
          <w:position w:val="-3"/>
          <w:sz w:val="20"/>
        </w:rPr>
        <w:tab/>
        <w:t>101</w:t>
      </w:r>
    </w:p>
    <w:p>
      <w:pPr>
        <w:pStyle w:val="BodyText"/>
        <w:rPr>
          <w:rFonts w:ascii="Arial"/>
          <w:sz w:val="20"/>
        </w:rPr>
      </w:pPr>
    </w:p>
    <w:p>
      <w:pPr>
        <w:pStyle w:val="BodyText"/>
        <w:rPr>
          <w:rFonts w:ascii="Arial"/>
          <w:sz w:val="20"/>
        </w:rPr>
      </w:pPr>
    </w:p>
    <w:p>
      <w:pPr>
        <w:pStyle w:val="BodyText"/>
        <w:spacing w:line="244" w:lineRule="auto" w:before="163"/>
        <w:ind w:left="117" w:right="101"/>
        <w:jc w:val="both"/>
      </w:pPr>
      <w:r>
        <w:rPr>
          <w:color w:val="231F20"/>
        </w:rPr>
        <w:t>pea. Pero también los responsables de esta última (que tampoco habían logrado ponerse de acuerdo sobre los principios generales por inserir en la Constitución) reivindican </w:t>
      </w:r>
      <w:r>
        <w:rPr>
          <w:rFonts w:ascii="Arial" w:hAnsi="Arial"/>
          <w:i/>
          <w:color w:val="231F20"/>
        </w:rPr>
        <w:t>European values</w:t>
      </w:r>
      <w:r>
        <w:rPr>
          <w:color w:val="231F20"/>
        </w:rPr>
        <w:t>, que deben defenderse particu- larmente frente a una Rusia nuevamente “imperial.” Hay también </w:t>
      </w:r>
      <w:r>
        <w:rPr>
          <w:rFonts w:ascii="Arial" w:hAnsi="Arial"/>
          <w:i/>
          <w:color w:val="231F20"/>
        </w:rPr>
        <w:t>Western </w:t>
      </w:r>
      <w:r>
        <w:rPr>
          <w:rFonts w:ascii="Arial" w:hAnsi="Arial"/>
          <w:i/>
          <w:color w:val="231F20"/>
        </w:rPr>
        <w:t>values </w:t>
      </w:r>
      <w:r>
        <w:rPr>
          <w:color w:val="231F20"/>
        </w:rPr>
        <w:t>(que incuyen </w:t>
      </w:r>
      <w:r>
        <w:rPr>
          <w:rFonts w:ascii="Arial" w:hAnsi="Arial"/>
          <w:i/>
          <w:color w:val="231F20"/>
        </w:rPr>
        <w:t>Human rights</w:t>
      </w:r>
      <w:r>
        <w:rPr>
          <w:color w:val="231F20"/>
        </w:rPr>
        <w:t>) que valen para el resto del mundo, en particular el Oriente, demasiado orgulloso de su propia tradición cultural múltiple; pero también estos últimos ceden respecto a aquellos que po- dríamos llamar </w:t>
      </w:r>
      <w:r>
        <w:rPr>
          <w:rFonts w:ascii="Arial" w:hAnsi="Arial"/>
          <w:i/>
          <w:color w:val="231F20"/>
        </w:rPr>
        <w:t>Civilized values</w:t>
      </w:r>
      <w:r>
        <w:rPr>
          <w:rFonts w:ascii="Calibri" w:hAnsi="Calibri"/>
          <w:i/>
          <w:color w:val="231F20"/>
          <w:position w:val="7"/>
          <w:sz w:val="12"/>
        </w:rPr>
        <w:t>25</w:t>
      </w:r>
      <w:r>
        <w:rPr>
          <w:color w:val="231F20"/>
        </w:rPr>
        <w:t>, operativos contra el terrorismo “incivil” del </w:t>
      </w:r>
      <w:r>
        <w:rPr>
          <w:color w:val="231F20"/>
          <w:sz w:val="18"/>
        </w:rPr>
        <w:t>ISIS </w:t>
      </w:r>
      <w:r>
        <w:rPr>
          <w:color w:val="231F20"/>
        </w:rPr>
        <w:t>u otros “supuestos Estados”. </w:t>
      </w:r>
      <w:r>
        <w:rPr>
          <w:color w:val="231F20"/>
          <w:spacing w:val="-5"/>
        </w:rPr>
        <w:t>Todos </w:t>
      </w:r>
      <w:r>
        <w:rPr>
          <w:color w:val="231F20"/>
        </w:rPr>
        <w:t>estos valores producen, en di- ferentes niveles, instrumentos de identidad que sirven a la gente —a</w:t>
      </w:r>
      <w:r>
        <w:rPr>
          <w:color w:val="231F20"/>
          <w:spacing w:val="-45"/>
        </w:rPr>
        <w:t> </w:t>
      </w:r>
      <w:r>
        <w:rPr>
          <w:color w:val="231F20"/>
        </w:rPr>
        <w:t>todos nosotros— para reconocerse entre sí y dar nombre y color a las normas consideradas indispensables para la vida en común. Esto forma la base</w:t>
      </w:r>
      <w:r>
        <w:rPr>
          <w:color w:val="231F20"/>
          <w:spacing w:val="-22"/>
        </w:rPr>
        <w:t> </w:t>
      </w:r>
      <w:r>
        <w:rPr>
          <w:color w:val="231F20"/>
        </w:rPr>
        <w:t>del consenso que es a su vez el último refugio del poder legítimo, el cual se configura y justifica hasta nuestros días, esencialmente, sólo en el</w:t>
      </w:r>
      <w:r>
        <w:rPr>
          <w:color w:val="231F20"/>
          <w:spacing w:val="-15"/>
        </w:rPr>
        <w:t> </w:t>
      </w:r>
      <w:r>
        <w:rPr>
          <w:color w:val="231F20"/>
        </w:rPr>
        <w:t>tranqui- lizador marco</w:t>
      </w:r>
      <w:r>
        <w:rPr>
          <w:color w:val="231F20"/>
          <w:spacing w:val="41"/>
        </w:rPr>
        <w:t> </w:t>
      </w:r>
      <w:r>
        <w:rPr>
          <w:color w:val="231F20"/>
        </w:rPr>
        <w:t>“estatal”.</w:t>
      </w:r>
    </w:p>
    <w:p>
      <w:pPr>
        <w:pStyle w:val="BodyText"/>
        <w:spacing w:line="247" w:lineRule="auto" w:before="1"/>
        <w:ind w:left="117" w:right="101" w:firstLine="566"/>
        <w:jc w:val="both"/>
      </w:pPr>
      <w:r>
        <w:rPr>
          <w:color w:val="231F20"/>
        </w:rPr>
        <w:t>Un segundo punto de vista considera la otra función de la unidad de la gente, más allá de reconocerse en la identidad: me refiero a la adminis- tración púbica. El Estado se convierte en “aparato administrativo” tratando de huir de las pérdidas relativas al plano más noble de la estatalidad, el</w:t>
      </w:r>
      <w:r>
        <w:rPr>
          <w:color w:val="231F20"/>
          <w:spacing w:val="-20"/>
        </w:rPr>
        <w:t> </w:t>
      </w:r>
      <w:r>
        <w:rPr>
          <w:color w:val="231F20"/>
        </w:rPr>
        <w:t>de la soberanía. Es un deber recordar que la administración ha sido un </w:t>
      </w:r>
      <w:r>
        <w:rPr>
          <w:rFonts w:ascii="Arial" w:hAnsi="Arial"/>
          <w:i/>
          <w:color w:val="231F20"/>
        </w:rPr>
        <w:t>prius </w:t>
      </w:r>
      <w:r>
        <w:rPr>
          <w:color w:val="231F20"/>
        </w:rPr>
        <w:t>del Estado moderno, el cual ha dado respuesta —centralizada y burocrá- tica para describirla en dos palabras— al déficit administrativo surgido en el medioevo tardío, ciudadano y señoril de la discrepancia entre expansión de las necesidades de orden y fragmentariedad de la respuesta pública.</w:t>
      </w:r>
      <w:r>
        <w:rPr>
          <w:color w:val="231F20"/>
          <w:spacing w:val="-26"/>
        </w:rPr>
        <w:t> </w:t>
      </w:r>
      <w:r>
        <w:rPr>
          <w:color w:val="231F20"/>
        </w:rPr>
        <w:t>La convivencia en las nuevas comunidades productivas exigía en primer lugar atención hacia la administración, entendida como regulación actualizada y moderna de relaciones que iban constituyendo la espina dorsal del nuevo modo de producción. Pero si la administración puede ser vista como mo- tor del nacimiento del “Estado (moderno)”, gracias al reagrupamiento en torno al príncipe de un agregado de notables y expertos dedicados al go- bierno de la cosa pública, no es impensable que la administración pueda de</w:t>
      </w:r>
      <w:r>
        <w:rPr>
          <w:color w:val="231F20"/>
          <w:spacing w:val="-5"/>
        </w:rPr>
        <w:t> </w:t>
      </w:r>
      <w:r>
        <w:rPr>
          <w:color w:val="231F20"/>
        </w:rPr>
        <w:t>nuevo</w:t>
      </w:r>
      <w:r>
        <w:rPr>
          <w:color w:val="231F20"/>
          <w:spacing w:val="-5"/>
        </w:rPr>
        <w:t> </w:t>
      </w:r>
      <w:r>
        <w:rPr>
          <w:color w:val="231F20"/>
        </w:rPr>
        <w:t>ser</w:t>
      </w:r>
      <w:r>
        <w:rPr>
          <w:color w:val="231F20"/>
          <w:spacing w:val="-5"/>
        </w:rPr>
        <w:t> </w:t>
      </w:r>
      <w:r>
        <w:rPr>
          <w:color w:val="231F20"/>
        </w:rPr>
        <w:t>el</w:t>
      </w:r>
      <w:r>
        <w:rPr>
          <w:color w:val="231F20"/>
          <w:spacing w:val="-5"/>
        </w:rPr>
        <w:t> </w:t>
      </w:r>
      <w:r>
        <w:rPr>
          <w:color w:val="231F20"/>
        </w:rPr>
        <w:t>motor</w:t>
      </w:r>
      <w:r>
        <w:rPr>
          <w:color w:val="231F20"/>
          <w:spacing w:val="-5"/>
        </w:rPr>
        <w:t> </w:t>
      </w:r>
      <w:r>
        <w:rPr>
          <w:color w:val="231F20"/>
        </w:rPr>
        <w:t>para</w:t>
      </w:r>
      <w:r>
        <w:rPr>
          <w:color w:val="231F20"/>
          <w:spacing w:val="-5"/>
        </w:rPr>
        <w:t> </w:t>
      </w:r>
      <w:r>
        <w:rPr>
          <w:color w:val="231F20"/>
        </w:rPr>
        <w:t>llevar</w:t>
      </w:r>
      <w:r>
        <w:rPr>
          <w:color w:val="231F20"/>
          <w:spacing w:val="-5"/>
        </w:rPr>
        <w:t> </w:t>
      </w:r>
      <w:r>
        <w:rPr>
          <w:color w:val="231F20"/>
        </w:rPr>
        <w:t>tal</w:t>
      </w:r>
      <w:r>
        <w:rPr>
          <w:color w:val="231F20"/>
          <w:spacing w:val="-5"/>
        </w:rPr>
        <w:t> </w:t>
      </w:r>
      <w:r>
        <w:rPr>
          <w:color w:val="231F20"/>
        </w:rPr>
        <w:t>gobierno</w:t>
      </w:r>
      <w:r>
        <w:rPr>
          <w:color w:val="231F20"/>
          <w:spacing w:val="-5"/>
        </w:rPr>
        <w:t> </w:t>
      </w:r>
      <w:r>
        <w:rPr>
          <w:color w:val="231F20"/>
        </w:rPr>
        <w:t>fuera</w:t>
      </w:r>
      <w:r>
        <w:rPr>
          <w:color w:val="231F20"/>
          <w:spacing w:val="-5"/>
        </w:rPr>
        <w:t> </w:t>
      </w:r>
      <w:r>
        <w:rPr>
          <w:color w:val="231F20"/>
        </w:rPr>
        <w:t>del</w:t>
      </w:r>
      <w:r>
        <w:rPr>
          <w:color w:val="231F20"/>
          <w:spacing w:val="-5"/>
        </w:rPr>
        <w:t> </w:t>
      </w:r>
      <w:r>
        <w:rPr>
          <w:color w:val="231F20"/>
        </w:rPr>
        <w:t>Estado,</w:t>
      </w:r>
      <w:r>
        <w:rPr>
          <w:color w:val="231F20"/>
          <w:spacing w:val="-5"/>
        </w:rPr>
        <w:t> </w:t>
      </w:r>
      <w:r>
        <w:rPr>
          <w:color w:val="231F20"/>
        </w:rPr>
        <w:t>en</w:t>
      </w:r>
      <w:r>
        <w:rPr>
          <w:color w:val="231F20"/>
          <w:spacing w:val="-5"/>
        </w:rPr>
        <w:t> </w:t>
      </w:r>
      <w:r>
        <w:rPr>
          <w:color w:val="231F20"/>
        </w:rPr>
        <w:t>ámbitos funcionales (</w:t>
      </w:r>
      <w:r>
        <w:rPr>
          <w:rFonts w:ascii="Arial" w:hAnsi="Arial"/>
          <w:i/>
          <w:color w:val="231F20"/>
        </w:rPr>
        <w:t>governance</w:t>
      </w:r>
      <w:r>
        <w:rPr>
          <w:color w:val="231F20"/>
        </w:rPr>
        <w:t>) más</w:t>
      </w:r>
      <w:r>
        <w:rPr>
          <w:color w:val="231F20"/>
          <w:spacing w:val="-44"/>
        </w:rPr>
        <w:t> </w:t>
      </w:r>
      <w:r>
        <w:rPr>
          <w:color w:val="231F20"/>
        </w:rPr>
        <w:t>adecuados.</w:t>
      </w:r>
    </w:p>
    <w:p>
      <w:pPr>
        <w:pStyle w:val="BodyText"/>
        <w:spacing w:line="244" w:lineRule="auto"/>
        <w:ind w:left="117" w:right="101" w:firstLine="566"/>
        <w:jc w:val="both"/>
      </w:pPr>
      <w:r>
        <w:rPr>
          <w:color w:val="231F20"/>
        </w:rPr>
        <w:t>Paolo Napoli parece reconocer en la figura neotestamentaria del “depósito” un arquetipo del principio organizativo, en clave comunitaria, de la entera experiencia política moderna</w:t>
      </w:r>
      <w:r>
        <w:rPr>
          <w:color w:val="231F20"/>
          <w:position w:val="7"/>
          <w:sz w:val="12"/>
        </w:rPr>
        <w:t>26</w:t>
      </w:r>
      <w:r>
        <w:rPr>
          <w:color w:val="231F20"/>
        </w:rPr>
        <w:t>. Siguiendo por mi cuenta esta propuesta, tendría muchas dudas en atribuir a ese principio carácter “teo- lógico”. </w:t>
      </w:r>
      <w:r>
        <w:rPr>
          <w:color w:val="231F20"/>
          <w:spacing w:val="-8"/>
        </w:rPr>
        <w:t>Tal </w:t>
      </w:r>
      <w:r>
        <w:rPr>
          <w:color w:val="231F20"/>
        </w:rPr>
        <w:t>vez esto depende de mi aversión al uso acrítico del </w:t>
      </w:r>
      <w:r>
        <w:rPr>
          <w:rFonts w:ascii="Arial" w:hAnsi="Arial"/>
          <w:i/>
          <w:color w:val="231F20"/>
        </w:rPr>
        <w:t>dictum </w:t>
      </w:r>
      <w:r>
        <w:rPr>
          <w:color w:val="231F20"/>
        </w:rPr>
        <w:t>schmittiano</w:t>
      </w:r>
      <w:r>
        <w:rPr>
          <w:color w:val="231F20"/>
          <w:spacing w:val="41"/>
        </w:rPr>
        <w:t> </w:t>
      </w:r>
      <w:r>
        <w:rPr>
          <w:color w:val="231F20"/>
        </w:rPr>
        <w:t>del</w:t>
      </w:r>
      <w:r>
        <w:rPr>
          <w:color w:val="231F20"/>
          <w:spacing w:val="41"/>
        </w:rPr>
        <w:t> </w:t>
      </w:r>
      <w:r>
        <w:rPr>
          <w:rFonts w:ascii="Arial" w:hAnsi="Arial"/>
          <w:i/>
          <w:color w:val="231F20"/>
        </w:rPr>
        <w:t>amicus</w:t>
      </w:r>
      <w:r>
        <w:rPr>
          <w:color w:val="231F20"/>
        </w:rPr>
        <w:t>–</w:t>
      </w:r>
      <w:r>
        <w:rPr>
          <w:rFonts w:ascii="Arial" w:hAnsi="Arial"/>
          <w:i/>
          <w:color w:val="231F20"/>
        </w:rPr>
        <w:t>hostis</w:t>
      </w:r>
      <w:r>
        <w:rPr>
          <w:rFonts w:ascii="Arial" w:hAnsi="Arial"/>
          <w:i/>
          <w:color w:val="231F20"/>
          <w:spacing w:val="56"/>
        </w:rPr>
        <w:t> </w:t>
      </w:r>
      <w:r>
        <w:rPr>
          <w:color w:val="231F20"/>
        </w:rPr>
        <w:t>y</w:t>
      </w:r>
      <w:r>
        <w:rPr>
          <w:color w:val="231F20"/>
          <w:spacing w:val="41"/>
        </w:rPr>
        <w:t> </w:t>
      </w:r>
      <w:r>
        <w:rPr>
          <w:color w:val="231F20"/>
        </w:rPr>
        <w:t>a</w:t>
      </w:r>
      <w:r>
        <w:rPr>
          <w:color w:val="231F20"/>
          <w:spacing w:val="41"/>
        </w:rPr>
        <w:t> </w:t>
      </w:r>
      <w:r>
        <w:rPr>
          <w:color w:val="231F20"/>
        </w:rPr>
        <w:t>mi</w:t>
      </w:r>
      <w:r>
        <w:rPr>
          <w:color w:val="231F20"/>
          <w:spacing w:val="41"/>
        </w:rPr>
        <w:t> </w:t>
      </w:r>
      <w:r>
        <w:rPr>
          <w:color w:val="231F20"/>
        </w:rPr>
        <w:t>consecuente</w:t>
      </w:r>
      <w:r>
        <w:rPr>
          <w:color w:val="231F20"/>
          <w:spacing w:val="41"/>
        </w:rPr>
        <w:t> </w:t>
      </w:r>
      <w:r>
        <w:rPr>
          <w:color w:val="231F20"/>
        </w:rPr>
        <w:t>necesidad</w:t>
      </w:r>
      <w:r>
        <w:rPr>
          <w:color w:val="231F20"/>
          <w:spacing w:val="41"/>
        </w:rPr>
        <w:t> </w:t>
      </w:r>
      <w:r>
        <w:rPr>
          <w:color w:val="231F20"/>
        </w:rPr>
        <w:t>lógica</w:t>
      </w:r>
      <w:r>
        <w:rPr>
          <w:color w:val="231F20"/>
          <w:spacing w:val="41"/>
        </w:rPr>
        <w:t> </w:t>
      </w:r>
      <w:r>
        <w:rPr>
          <w:color w:val="231F20"/>
        </w:rPr>
        <w:t>de</w:t>
      </w:r>
    </w:p>
    <w:p>
      <w:pPr>
        <w:pStyle w:val="BodyText"/>
        <w:spacing w:before="8"/>
      </w:pPr>
      <w:r>
        <w:rPr/>
        <w:pict>
          <v:line style="position:absolute;mso-position-horizontal-relative:page;mso-position-vertical-relative:paragraph;z-index:5536;mso-wrap-distance-left:0;mso-wrap-distance-right:0" from="70.866096pt,15.176199pt" to="184.252096pt,15.176199pt" stroked="true" strokeweight=".3pt" strokecolor="#231f20">
            <w10:wrap type="topAndBottom"/>
          </v:line>
        </w:pict>
      </w:r>
    </w:p>
    <w:p>
      <w:pPr>
        <w:spacing w:line="204" w:lineRule="exact" w:before="9"/>
        <w:ind w:left="117" w:right="16" w:firstLine="0"/>
        <w:jc w:val="left"/>
        <w:rPr>
          <w:rFonts w:ascii="Calibri"/>
          <w:sz w:val="17"/>
        </w:rPr>
      </w:pPr>
      <w:r>
        <w:rPr>
          <w:rFonts w:ascii="Calibri"/>
          <w:color w:val="231F20"/>
          <w:position w:val="6"/>
          <w:sz w:val="10"/>
        </w:rPr>
        <w:t>25 </w:t>
      </w:r>
      <w:r>
        <w:rPr>
          <w:rFonts w:ascii="Calibri"/>
          <w:color w:val="231F20"/>
          <w:sz w:val="17"/>
        </w:rPr>
        <w:t>P. Crowther, </w:t>
      </w:r>
      <w:r>
        <w:rPr>
          <w:rFonts w:ascii="Calibri"/>
          <w:i/>
          <w:color w:val="231F20"/>
          <w:sz w:val="17"/>
        </w:rPr>
        <w:t>Philosophy After Postmodernism: Civilized Values and the Scope of Knowledge</w:t>
      </w:r>
      <w:r>
        <w:rPr>
          <w:rFonts w:ascii="Calibri"/>
          <w:color w:val="231F20"/>
          <w:sz w:val="17"/>
        </w:rPr>
        <w:t>, London and New York, Routledge, 2003.</w:t>
      </w:r>
    </w:p>
    <w:p>
      <w:pPr>
        <w:spacing w:before="1"/>
        <w:ind w:left="117" w:right="0" w:firstLine="0"/>
        <w:jc w:val="left"/>
        <w:rPr>
          <w:rFonts w:ascii="Calibri" w:hAnsi="Calibri"/>
          <w:sz w:val="17"/>
        </w:rPr>
      </w:pPr>
      <w:r>
        <w:rPr>
          <w:rFonts w:ascii="Calibri" w:hAnsi="Calibri"/>
          <w:color w:val="231F20"/>
          <w:position w:val="6"/>
          <w:sz w:val="10"/>
        </w:rPr>
        <w:t>26 </w:t>
      </w:r>
      <w:r>
        <w:rPr>
          <w:rFonts w:ascii="Calibri" w:hAnsi="Calibri"/>
          <w:color w:val="231F20"/>
          <w:sz w:val="17"/>
        </w:rPr>
        <w:t>P. Napoli, </w:t>
      </w:r>
      <w:r>
        <w:rPr>
          <w:rFonts w:ascii="Calibri" w:hAnsi="Calibri"/>
          <w:i/>
          <w:color w:val="231F20"/>
          <w:sz w:val="17"/>
        </w:rPr>
        <w:t>Il “deposito”. Genealogia di un archetipo amministrativo</w:t>
      </w:r>
      <w:r>
        <w:rPr>
          <w:rFonts w:ascii="Calibri" w:hAnsi="Calibri"/>
          <w:color w:val="231F20"/>
          <w:sz w:val="17"/>
        </w:rPr>
        <w:t>, pp. 108–124.</w:t>
      </w:r>
    </w:p>
    <w:p>
      <w:pPr>
        <w:spacing w:after="0"/>
        <w:jc w:val="left"/>
        <w:rPr>
          <w:rFonts w:ascii="Calibri" w:hAnsi="Calibri"/>
          <w:sz w:val="17"/>
        </w:rPr>
        <w:sectPr>
          <w:pgSz w:w="9640" w:h="13890"/>
          <w:pgMar w:top="0" w:bottom="280" w:left="1300" w:right="1200"/>
        </w:sectPr>
      </w:pPr>
    </w:p>
    <w:p>
      <w:pPr>
        <w:pStyle w:val="BodyText"/>
        <w:spacing w:line="247" w:lineRule="auto" w:before="107"/>
        <w:ind w:left="103" w:right="115"/>
        <w:jc w:val="both"/>
      </w:pPr>
      <w:r>
        <w:rPr>
          <w:color w:val="231F20"/>
          <w:w w:val="105"/>
        </w:rPr>
        <w:t>mantener</w:t>
      </w:r>
      <w:r>
        <w:rPr>
          <w:color w:val="231F20"/>
          <w:spacing w:val="-15"/>
          <w:w w:val="105"/>
        </w:rPr>
        <w:t> </w:t>
      </w:r>
      <w:r>
        <w:rPr>
          <w:color w:val="231F20"/>
          <w:w w:val="105"/>
        </w:rPr>
        <w:t>la</w:t>
      </w:r>
      <w:r>
        <w:rPr>
          <w:color w:val="231F20"/>
          <w:spacing w:val="-15"/>
          <w:w w:val="105"/>
        </w:rPr>
        <w:t> </w:t>
      </w:r>
      <w:r>
        <w:rPr>
          <w:color w:val="231F20"/>
          <w:w w:val="105"/>
        </w:rPr>
        <w:t>amistad</w:t>
      </w:r>
      <w:r>
        <w:rPr>
          <w:color w:val="231F20"/>
          <w:spacing w:val="-15"/>
          <w:w w:val="105"/>
        </w:rPr>
        <w:t> </w:t>
      </w:r>
      <w:r>
        <w:rPr>
          <w:color w:val="231F20"/>
          <w:w w:val="105"/>
        </w:rPr>
        <w:t>(el</w:t>
      </w:r>
      <w:r>
        <w:rPr>
          <w:color w:val="231F20"/>
          <w:spacing w:val="-15"/>
          <w:w w:val="105"/>
        </w:rPr>
        <w:t> </w:t>
      </w:r>
      <w:r>
        <w:rPr>
          <w:color w:val="231F20"/>
          <w:w w:val="105"/>
        </w:rPr>
        <w:t>amor)</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w w:val="105"/>
        </w:rPr>
        <w:t>límites</w:t>
      </w:r>
      <w:r>
        <w:rPr>
          <w:color w:val="231F20"/>
          <w:spacing w:val="-15"/>
          <w:w w:val="105"/>
        </w:rPr>
        <w:t> </w:t>
      </w:r>
      <w:r>
        <w:rPr>
          <w:color w:val="231F20"/>
          <w:w w:val="105"/>
        </w:rPr>
        <w:t>de</w:t>
      </w:r>
      <w:r>
        <w:rPr>
          <w:color w:val="231F20"/>
          <w:spacing w:val="-15"/>
          <w:w w:val="105"/>
        </w:rPr>
        <w:t> </w:t>
      </w:r>
      <w:r>
        <w:rPr>
          <w:color w:val="231F20"/>
          <w:w w:val="105"/>
        </w:rPr>
        <w:t>lo</w:t>
      </w:r>
      <w:r>
        <w:rPr>
          <w:color w:val="231F20"/>
          <w:spacing w:val="-15"/>
          <w:w w:val="105"/>
        </w:rPr>
        <w:t> </w:t>
      </w:r>
      <w:r>
        <w:rPr>
          <w:color w:val="231F20"/>
          <w:w w:val="105"/>
        </w:rPr>
        <w:t>político,</w:t>
      </w:r>
      <w:r>
        <w:rPr>
          <w:color w:val="231F20"/>
          <w:spacing w:val="-15"/>
          <w:w w:val="105"/>
        </w:rPr>
        <w:t> </w:t>
      </w:r>
      <w:r>
        <w:rPr>
          <w:color w:val="231F20"/>
          <w:w w:val="105"/>
        </w:rPr>
        <w:t>aceptando</w:t>
      </w:r>
      <w:r>
        <w:rPr>
          <w:color w:val="231F20"/>
          <w:spacing w:val="-15"/>
          <w:w w:val="105"/>
        </w:rPr>
        <w:t> </w:t>
      </w:r>
      <w:r>
        <w:rPr>
          <w:color w:val="231F20"/>
          <w:w w:val="105"/>
        </w:rPr>
        <w:t>las consecuencias</w:t>
      </w:r>
      <w:r>
        <w:rPr>
          <w:color w:val="231F20"/>
          <w:spacing w:val="-18"/>
          <w:w w:val="105"/>
        </w:rPr>
        <w:t> </w:t>
      </w:r>
      <w:r>
        <w:rPr>
          <w:color w:val="231F20"/>
          <w:w w:val="105"/>
        </w:rPr>
        <w:t>(positivas</w:t>
      </w:r>
      <w:r>
        <w:rPr>
          <w:color w:val="231F20"/>
          <w:spacing w:val="-18"/>
          <w:w w:val="105"/>
        </w:rPr>
        <w:t> </w:t>
      </w:r>
      <w:r>
        <w:rPr>
          <w:color w:val="231F20"/>
          <w:w w:val="105"/>
        </w:rPr>
        <w:t>y</w:t>
      </w:r>
      <w:r>
        <w:rPr>
          <w:color w:val="231F20"/>
          <w:spacing w:val="-18"/>
          <w:w w:val="105"/>
        </w:rPr>
        <w:t> </w:t>
      </w:r>
      <w:r>
        <w:rPr>
          <w:color w:val="231F20"/>
          <w:w w:val="105"/>
        </w:rPr>
        <w:t>negativas)</w:t>
      </w:r>
      <w:r>
        <w:rPr>
          <w:color w:val="231F20"/>
          <w:spacing w:val="-18"/>
          <w:w w:val="105"/>
        </w:rPr>
        <w:t> </w:t>
      </w:r>
      <w:r>
        <w:rPr>
          <w:color w:val="231F20"/>
          <w:w w:val="105"/>
        </w:rPr>
        <w:t>de</w:t>
      </w:r>
      <w:r>
        <w:rPr>
          <w:color w:val="231F20"/>
          <w:spacing w:val="-18"/>
          <w:w w:val="105"/>
        </w:rPr>
        <w:t> </w:t>
      </w:r>
      <w:r>
        <w:rPr>
          <w:color w:val="231F20"/>
          <w:w w:val="105"/>
        </w:rPr>
        <w:t>esto,</w:t>
      </w:r>
      <w:r>
        <w:rPr>
          <w:color w:val="231F20"/>
          <w:spacing w:val="-18"/>
          <w:w w:val="105"/>
        </w:rPr>
        <w:t> </w:t>
      </w:r>
      <w:r>
        <w:rPr>
          <w:color w:val="231F20"/>
          <w:w w:val="105"/>
        </w:rPr>
        <w:t>en</w:t>
      </w:r>
      <w:r>
        <w:rPr>
          <w:color w:val="231F20"/>
          <w:spacing w:val="-18"/>
          <w:w w:val="105"/>
        </w:rPr>
        <w:t> </w:t>
      </w:r>
      <w:r>
        <w:rPr>
          <w:color w:val="231F20"/>
          <w:w w:val="105"/>
        </w:rPr>
        <w:t>términos</w:t>
      </w:r>
      <w:r>
        <w:rPr>
          <w:color w:val="231F20"/>
          <w:spacing w:val="-18"/>
          <w:w w:val="105"/>
        </w:rPr>
        <w:t> </w:t>
      </w:r>
      <w:r>
        <w:rPr>
          <w:color w:val="231F20"/>
          <w:w w:val="105"/>
        </w:rPr>
        <w:t>de</w:t>
      </w:r>
      <w:r>
        <w:rPr>
          <w:color w:val="231F20"/>
          <w:spacing w:val="-18"/>
          <w:w w:val="105"/>
        </w:rPr>
        <w:t> </w:t>
      </w:r>
      <w:r>
        <w:rPr>
          <w:color w:val="231F20"/>
          <w:w w:val="105"/>
        </w:rPr>
        <w:t>mayor</w:t>
      </w:r>
      <w:r>
        <w:rPr>
          <w:color w:val="231F20"/>
          <w:spacing w:val="-18"/>
          <w:w w:val="105"/>
        </w:rPr>
        <w:t> </w:t>
      </w:r>
      <w:r>
        <w:rPr>
          <w:color w:val="231F20"/>
          <w:w w:val="105"/>
        </w:rPr>
        <w:t>po- rosidad</w:t>
      </w:r>
      <w:r>
        <w:rPr>
          <w:color w:val="231F20"/>
          <w:spacing w:val="-28"/>
          <w:w w:val="105"/>
        </w:rPr>
        <w:t> </w:t>
      </w:r>
      <w:r>
        <w:rPr>
          <w:color w:val="231F20"/>
          <w:w w:val="105"/>
        </w:rPr>
        <w:t>científica</w:t>
      </w:r>
      <w:r>
        <w:rPr>
          <w:color w:val="231F20"/>
          <w:spacing w:val="-28"/>
          <w:w w:val="105"/>
        </w:rPr>
        <w:t> </w:t>
      </w:r>
      <w:r>
        <w:rPr>
          <w:color w:val="231F20"/>
          <w:w w:val="105"/>
        </w:rPr>
        <w:t>y</w:t>
      </w:r>
      <w:r>
        <w:rPr>
          <w:color w:val="231F20"/>
          <w:spacing w:val="-28"/>
          <w:w w:val="105"/>
        </w:rPr>
        <w:t> </w:t>
      </w:r>
      <w:r>
        <w:rPr>
          <w:color w:val="231F20"/>
          <w:w w:val="105"/>
        </w:rPr>
        <w:t>de</w:t>
      </w:r>
      <w:r>
        <w:rPr>
          <w:color w:val="231F20"/>
          <w:spacing w:val="-28"/>
          <w:w w:val="105"/>
        </w:rPr>
        <w:t> </w:t>
      </w:r>
      <w:r>
        <w:rPr>
          <w:color w:val="231F20"/>
          <w:w w:val="105"/>
        </w:rPr>
        <w:t>menor</w:t>
      </w:r>
      <w:r>
        <w:rPr>
          <w:color w:val="231F20"/>
          <w:spacing w:val="-28"/>
          <w:w w:val="105"/>
        </w:rPr>
        <w:t> </w:t>
      </w:r>
      <w:r>
        <w:rPr>
          <w:color w:val="231F20"/>
          <w:w w:val="105"/>
        </w:rPr>
        <w:t>rigor</w:t>
      </w:r>
      <w:r>
        <w:rPr>
          <w:color w:val="231F20"/>
          <w:spacing w:val="-28"/>
          <w:w w:val="105"/>
        </w:rPr>
        <w:t> </w:t>
      </w:r>
      <w:r>
        <w:rPr>
          <w:color w:val="231F20"/>
          <w:w w:val="105"/>
        </w:rPr>
        <w:t>interpretativo.</w:t>
      </w:r>
      <w:r>
        <w:rPr>
          <w:color w:val="231F20"/>
          <w:spacing w:val="-28"/>
          <w:w w:val="105"/>
        </w:rPr>
        <w:t> </w:t>
      </w:r>
      <w:r>
        <w:rPr>
          <w:color w:val="231F20"/>
          <w:w w:val="105"/>
        </w:rPr>
        <w:t>Esto</w:t>
      </w:r>
      <w:r>
        <w:rPr>
          <w:color w:val="231F20"/>
          <w:spacing w:val="-28"/>
          <w:w w:val="105"/>
        </w:rPr>
        <w:t> </w:t>
      </w:r>
      <w:r>
        <w:rPr>
          <w:color w:val="231F20"/>
          <w:w w:val="105"/>
        </w:rPr>
        <w:t>me</w:t>
      </w:r>
      <w:r>
        <w:rPr>
          <w:color w:val="231F20"/>
          <w:spacing w:val="-28"/>
          <w:w w:val="105"/>
        </w:rPr>
        <w:t> </w:t>
      </w:r>
      <w:r>
        <w:rPr>
          <w:color w:val="231F20"/>
          <w:w w:val="105"/>
        </w:rPr>
        <w:t>lleva</w:t>
      </w:r>
      <w:r>
        <w:rPr>
          <w:color w:val="231F20"/>
          <w:spacing w:val="-28"/>
          <w:w w:val="105"/>
        </w:rPr>
        <w:t> </w:t>
      </w:r>
      <w:r>
        <w:rPr>
          <w:color w:val="231F20"/>
          <w:w w:val="105"/>
        </w:rPr>
        <w:t>a</w:t>
      </w:r>
      <w:r>
        <w:rPr>
          <w:color w:val="231F20"/>
          <w:spacing w:val="-28"/>
          <w:w w:val="105"/>
        </w:rPr>
        <w:t> </w:t>
      </w:r>
      <w:r>
        <w:rPr>
          <w:color w:val="231F20"/>
          <w:w w:val="105"/>
        </w:rPr>
        <w:t>rechazar también</w:t>
      </w:r>
      <w:r>
        <w:rPr>
          <w:color w:val="231F20"/>
          <w:spacing w:val="-17"/>
          <w:w w:val="105"/>
        </w:rPr>
        <w:t> </w:t>
      </w:r>
      <w:r>
        <w:rPr>
          <w:color w:val="231F20"/>
          <w:w w:val="105"/>
        </w:rPr>
        <w:t>la</w:t>
      </w:r>
      <w:r>
        <w:rPr>
          <w:color w:val="231F20"/>
          <w:spacing w:val="-17"/>
          <w:w w:val="105"/>
        </w:rPr>
        <w:t> </w:t>
      </w:r>
      <w:r>
        <w:rPr>
          <w:color w:val="231F20"/>
          <w:w w:val="105"/>
        </w:rPr>
        <w:t>otra</w:t>
      </w:r>
      <w:r>
        <w:rPr>
          <w:color w:val="231F20"/>
          <w:spacing w:val="-17"/>
          <w:w w:val="105"/>
        </w:rPr>
        <w:t> </w:t>
      </w:r>
      <w:r>
        <w:rPr>
          <w:color w:val="231F20"/>
          <w:w w:val="105"/>
        </w:rPr>
        <w:t>conclusión</w:t>
      </w:r>
      <w:r>
        <w:rPr>
          <w:color w:val="231F20"/>
          <w:spacing w:val="-17"/>
          <w:w w:val="105"/>
        </w:rPr>
        <w:t> </w:t>
      </w:r>
      <w:r>
        <w:rPr>
          <w:color w:val="231F20"/>
          <w:w w:val="105"/>
        </w:rPr>
        <w:t>drástica</w:t>
      </w:r>
      <w:r>
        <w:rPr>
          <w:color w:val="231F20"/>
          <w:spacing w:val="-17"/>
          <w:w w:val="105"/>
        </w:rPr>
        <w:t> </w:t>
      </w:r>
      <w:r>
        <w:rPr>
          <w:color w:val="231F20"/>
          <w:w w:val="105"/>
        </w:rPr>
        <w:t>schmittiana</w:t>
      </w:r>
      <w:r>
        <w:rPr>
          <w:color w:val="231F20"/>
          <w:spacing w:val="-17"/>
          <w:w w:val="105"/>
        </w:rPr>
        <w:t> </w:t>
      </w:r>
      <w:r>
        <w:rPr>
          <w:color w:val="231F20"/>
          <w:w w:val="105"/>
        </w:rPr>
        <w:t>respecto</w:t>
      </w:r>
      <w:r>
        <w:rPr>
          <w:color w:val="231F20"/>
          <w:spacing w:val="-17"/>
          <w:w w:val="105"/>
        </w:rPr>
        <w:t> </w:t>
      </w:r>
      <w:r>
        <w:rPr>
          <w:color w:val="231F20"/>
          <w:w w:val="105"/>
        </w:rPr>
        <w:t>al</w:t>
      </w:r>
      <w:r>
        <w:rPr>
          <w:color w:val="231F20"/>
          <w:spacing w:val="-17"/>
          <w:w w:val="105"/>
        </w:rPr>
        <w:t> </w:t>
      </w:r>
      <w:r>
        <w:rPr>
          <w:color w:val="231F20"/>
          <w:w w:val="105"/>
        </w:rPr>
        <w:t>intrínseco</w:t>
      </w:r>
      <w:r>
        <w:rPr>
          <w:color w:val="231F20"/>
          <w:spacing w:val="-17"/>
          <w:w w:val="105"/>
        </w:rPr>
        <w:t> </w:t>
      </w:r>
      <w:r>
        <w:rPr>
          <w:color w:val="231F20"/>
          <w:w w:val="105"/>
        </w:rPr>
        <w:t>ca- rácter</w:t>
      </w:r>
      <w:r>
        <w:rPr>
          <w:color w:val="231F20"/>
          <w:spacing w:val="-33"/>
          <w:w w:val="105"/>
        </w:rPr>
        <w:t> </w:t>
      </w:r>
      <w:r>
        <w:rPr>
          <w:color w:val="231F20"/>
          <w:w w:val="105"/>
        </w:rPr>
        <w:t>negativo</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técnica.</w:t>
      </w:r>
      <w:r>
        <w:rPr>
          <w:color w:val="231F20"/>
          <w:spacing w:val="-33"/>
          <w:w w:val="105"/>
        </w:rPr>
        <w:t> </w:t>
      </w:r>
      <w:r>
        <w:rPr>
          <w:color w:val="231F20"/>
          <w:w w:val="105"/>
        </w:rPr>
        <w:t>Antes</w:t>
      </w:r>
      <w:r>
        <w:rPr>
          <w:color w:val="231F20"/>
          <w:spacing w:val="-33"/>
          <w:w w:val="105"/>
        </w:rPr>
        <w:t> </w:t>
      </w:r>
      <w:r>
        <w:rPr>
          <w:color w:val="231F20"/>
          <w:w w:val="105"/>
        </w:rPr>
        <w:t>que</w:t>
      </w:r>
      <w:r>
        <w:rPr>
          <w:color w:val="231F20"/>
          <w:spacing w:val="-33"/>
          <w:w w:val="105"/>
        </w:rPr>
        <w:t> </w:t>
      </w:r>
      <w:r>
        <w:rPr>
          <w:color w:val="231F20"/>
          <w:w w:val="105"/>
        </w:rPr>
        <w:t>alinearme</w:t>
      </w:r>
      <w:r>
        <w:rPr>
          <w:color w:val="231F20"/>
          <w:spacing w:val="-33"/>
          <w:w w:val="105"/>
        </w:rPr>
        <w:t> </w:t>
      </w:r>
      <w:r>
        <w:rPr>
          <w:color w:val="231F20"/>
          <w:w w:val="105"/>
        </w:rPr>
        <w:t>a</w:t>
      </w:r>
      <w:r>
        <w:rPr>
          <w:color w:val="231F20"/>
          <w:spacing w:val="-33"/>
          <w:w w:val="105"/>
        </w:rPr>
        <w:t> </w:t>
      </w:r>
      <w:r>
        <w:rPr>
          <w:color w:val="231F20"/>
          <w:w w:val="105"/>
        </w:rPr>
        <w:t>cualquier</w:t>
      </w:r>
      <w:r>
        <w:rPr>
          <w:color w:val="231F20"/>
          <w:spacing w:val="-33"/>
          <w:w w:val="105"/>
        </w:rPr>
        <w:t> </w:t>
      </w:r>
      <w:r>
        <w:rPr>
          <w:color w:val="231F20"/>
          <w:w w:val="105"/>
        </w:rPr>
        <w:t>revalidación del</w:t>
      </w:r>
      <w:r>
        <w:rPr>
          <w:color w:val="231F20"/>
          <w:spacing w:val="-30"/>
          <w:w w:val="105"/>
        </w:rPr>
        <w:t> </w:t>
      </w:r>
      <w:r>
        <w:rPr>
          <w:color w:val="231F20"/>
          <w:w w:val="105"/>
        </w:rPr>
        <w:t>Derecho</w:t>
      </w:r>
      <w:r>
        <w:rPr>
          <w:color w:val="231F20"/>
          <w:spacing w:val="-30"/>
          <w:w w:val="105"/>
        </w:rPr>
        <w:t> </w:t>
      </w:r>
      <w:r>
        <w:rPr>
          <w:color w:val="231F20"/>
          <w:w w:val="105"/>
        </w:rPr>
        <w:t>natural,</w:t>
      </w:r>
      <w:r>
        <w:rPr>
          <w:color w:val="231F20"/>
          <w:spacing w:val="-30"/>
          <w:w w:val="105"/>
        </w:rPr>
        <w:t> </w:t>
      </w:r>
      <w:r>
        <w:rPr>
          <w:color w:val="231F20"/>
          <w:w w:val="105"/>
        </w:rPr>
        <w:t>—incluso</w:t>
      </w:r>
      <w:r>
        <w:rPr>
          <w:color w:val="231F20"/>
          <w:spacing w:val="-30"/>
          <w:w w:val="105"/>
        </w:rPr>
        <w:t> </w:t>
      </w:r>
      <w:r>
        <w:rPr>
          <w:color w:val="231F20"/>
          <w:w w:val="105"/>
        </w:rPr>
        <w:t>en</w:t>
      </w:r>
      <w:r>
        <w:rPr>
          <w:color w:val="231F20"/>
          <w:spacing w:val="-30"/>
          <w:w w:val="105"/>
        </w:rPr>
        <w:t> </w:t>
      </w:r>
      <w:r>
        <w:rPr>
          <w:color w:val="231F20"/>
          <w:w w:val="105"/>
        </w:rPr>
        <w:t>versión</w:t>
      </w:r>
      <w:r>
        <w:rPr>
          <w:color w:val="231F20"/>
          <w:spacing w:val="-30"/>
          <w:w w:val="105"/>
        </w:rPr>
        <w:t> </w:t>
      </w:r>
      <w:r>
        <w:rPr>
          <w:color w:val="231F20"/>
          <w:w w:val="105"/>
        </w:rPr>
        <w:t>laica—</w:t>
      </w:r>
      <w:r>
        <w:rPr>
          <w:color w:val="231F20"/>
          <w:spacing w:val="-30"/>
          <w:w w:val="105"/>
        </w:rPr>
        <w:t> </w:t>
      </w:r>
      <w:r>
        <w:rPr>
          <w:color w:val="231F20"/>
          <w:w w:val="105"/>
        </w:rPr>
        <w:t>prefiero</w:t>
      </w:r>
      <w:r>
        <w:rPr>
          <w:color w:val="231F20"/>
          <w:spacing w:val="-30"/>
          <w:w w:val="105"/>
        </w:rPr>
        <w:t> </w:t>
      </w:r>
      <w:r>
        <w:rPr>
          <w:color w:val="231F20"/>
          <w:w w:val="105"/>
        </w:rPr>
        <w:t>tomar</w:t>
      </w:r>
      <w:r>
        <w:rPr>
          <w:color w:val="231F20"/>
          <w:spacing w:val="-30"/>
          <w:w w:val="105"/>
        </w:rPr>
        <w:t> </w:t>
      </w:r>
      <w:r>
        <w:rPr>
          <w:color w:val="231F20"/>
          <w:w w:val="105"/>
        </w:rPr>
        <w:t>en</w:t>
      </w:r>
      <w:r>
        <w:rPr>
          <w:color w:val="231F20"/>
          <w:spacing w:val="-30"/>
          <w:w w:val="105"/>
        </w:rPr>
        <w:t> </w:t>
      </w:r>
      <w:r>
        <w:rPr>
          <w:color w:val="231F20"/>
          <w:w w:val="105"/>
        </w:rPr>
        <w:t>serio</w:t>
      </w:r>
      <w:r>
        <w:rPr>
          <w:color w:val="231F20"/>
          <w:spacing w:val="-30"/>
          <w:w w:val="105"/>
        </w:rPr>
        <w:t> </w:t>
      </w:r>
      <w:r>
        <w:rPr>
          <w:color w:val="231F20"/>
          <w:w w:val="105"/>
        </w:rPr>
        <w:t>el componente</w:t>
      </w:r>
      <w:r>
        <w:rPr>
          <w:color w:val="231F20"/>
          <w:spacing w:val="-17"/>
          <w:w w:val="105"/>
        </w:rPr>
        <w:t> </w:t>
      </w:r>
      <w:r>
        <w:rPr>
          <w:color w:val="231F20"/>
          <w:w w:val="105"/>
        </w:rPr>
        <w:t>tecno–científico</w:t>
      </w:r>
      <w:r>
        <w:rPr>
          <w:color w:val="231F20"/>
          <w:spacing w:val="-17"/>
          <w:w w:val="105"/>
        </w:rPr>
        <w:t> </w:t>
      </w:r>
      <w:r>
        <w:rPr>
          <w:color w:val="231F20"/>
          <w:w w:val="105"/>
        </w:rPr>
        <w:t>que</w:t>
      </w:r>
      <w:r>
        <w:rPr>
          <w:color w:val="231F20"/>
          <w:spacing w:val="-17"/>
          <w:w w:val="105"/>
        </w:rPr>
        <w:t> </w:t>
      </w:r>
      <w:r>
        <w:rPr>
          <w:color w:val="231F20"/>
          <w:w w:val="105"/>
        </w:rPr>
        <w:t>forma</w:t>
      </w:r>
      <w:r>
        <w:rPr>
          <w:color w:val="231F20"/>
          <w:spacing w:val="-17"/>
          <w:w w:val="105"/>
        </w:rPr>
        <w:t> </w:t>
      </w:r>
      <w:r>
        <w:rPr>
          <w:color w:val="231F20"/>
          <w:w w:val="105"/>
        </w:rPr>
        <w:t>parte</w:t>
      </w:r>
      <w:r>
        <w:rPr>
          <w:color w:val="231F20"/>
          <w:spacing w:val="-17"/>
          <w:w w:val="105"/>
        </w:rPr>
        <w:t> </w:t>
      </w:r>
      <w:r>
        <w:rPr>
          <w:color w:val="231F20"/>
          <w:w w:val="105"/>
        </w:rPr>
        <w:t>del</w:t>
      </w:r>
      <w:r>
        <w:rPr>
          <w:color w:val="231F20"/>
          <w:spacing w:val="-17"/>
          <w:w w:val="105"/>
        </w:rPr>
        <w:t> </w:t>
      </w:r>
      <w:r>
        <w:rPr>
          <w:color w:val="231F20"/>
          <w:w w:val="105"/>
        </w:rPr>
        <w:t>perfil</w:t>
      </w:r>
      <w:r>
        <w:rPr>
          <w:color w:val="231F20"/>
          <w:spacing w:val="-17"/>
          <w:w w:val="105"/>
        </w:rPr>
        <w:t> </w:t>
      </w:r>
      <w:r>
        <w:rPr>
          <w:color w:val="231F20"/>
          <w:w w:val="105"/>
        </w:rPr>
        <w:t>cultural</w:t>
      </w:r>
      <w:r>
        <w:rPr>
          <w:color w:val="231F20"/>
          <w:spacing w:val="-17"/>
          <w:w w:val="105"/>
        </w:rPr>
        <w:t> </w:t>
      </w:r>
      <w:r>
        <w:rPr>
          <w:color w:val="231F20"/>
          <w:w w:val="105"/>
        </w:rPr>
        <w:t>del</w:t>
      </w:r>
      <w:r>
        <w:rPr>
          <w:color w:val="231F20"/>
          <w:spacing w:val="-17"/>
          <w:w w:val="105"/>
        </w:rPr>
        <w:t> </w:t>
      </w:r>
      <w:r>
        <w:rPr>
          <w:color w:val="231F20"/>
          <w:w w:val="105"/>
        </w:rPr>
        <w:t>hom- bre</w:t>
      </w:r>
      <w:r>
        <w:rPr>
          <w:color w:val="231F20"/>
          <w:spacing w:val="-38"/>
          <w:w w:val="105"/>
        </w:rPr>
        <w:t> </w:t>
      </w:r>
      <w:r>
        <w:rPr>
          <w:color w:val="231F20"/>
          <w:w w:val="105"/>
        </w:rPr>
        <w:t>contemporáneo.</w:t>
      </w:r>
      <w:r>
        <w:rPr>
          <w:color w:val="231F20"/>
          <w:spacing w:val="-38"/>
          <w:w w:val="105"/>
        </w:rPr>
        <w:t> </w:t>
      </w:r>
      <w:r>
        <w:rPr>
          <w:color w:val="231F20"/>
          <w:w w:val="105"/>
        </w:rPr>
        <w:t>Aun</w:t>
      </w:r>
      <w:r>
        <w:rPr>
          <w:color w:val="231F20"/>
          <w:spacing w:val="-38"/>
          <w:w w:val="105"/>
        </w:rPr>
        <w:t> </w:t>
      </w:r>
      <w:r>
        <w:rPr>
          <w:color w:val="231F20"/>
          <w:w w:val="105"/>
        </w:rPr>
        <w:t>si,</w:t>
      </w:r>
      <w:r>
        <w:rPr>
          <w:color w:val="231F20"/>
          <w:spacing w:val="-38"/>
          <w:w w:val="105"/>
        </w:rPr>
        <w:t> </w:t>
      </w:r>
      <w:r>
        <w:rPr>
          <w:color w:val="231F20"/>
          <w:w w:val="105"/>
        </w:rPr>
        <w:t>para</w:t>
      </w:r>
      <w:r>
        <w:rPr>
          <w:color w:val="231F20"/>
          <w:spacing w:val="-38"/>
          <w:w w:val="105"/>
        </w:rPr>
        <w:t> </w:t>
      </w:r>
      <w:r>
        <w:rPr>
          <w:color w:val="231F20"/>
          <w:w w:val="105"/>
        </w:rPr>
        <w:t>la</w:t>
      </w:r>
      <w:r>
        <w:rPr>
          <w:color w:val="231F20"/>
          <w:spacing w:val="-38"/>
          <w:w w:val="105"/>
        </w:rPr>
        <w:t> </w:t>
      </w:r>
      <w:r>
        <w:rPr>
          <w:color w:val="231F20"/>
          <w:w w:val="105"/>
        </w:rPr>
        <w:t>técnica</w:t>
      </w:r>
      <w:r>
        <w:rPr>
          <w:color w:val="231F20"/>
          <w:spacing w:val="-38"/>
          <w:w w:val="105"/>
        </w:rPr>
        <w:t> </w:t>
      </w:r>
      <w:r>
        <w:rPr>
          <w:color w:val="231F20"/>
          <w:w w:val="105"/>
        </w:rPr>
        <w:t>debería</w:t>
      </w:r>
      <w:r>
        <w:rPr>
          <w:color w:val="231F20"/>
          <w:spacing w:val="-38"/>
          <w:w w:val="105"/>
        </w:rPr>
        <w:t> </w:t>
      </w:r>
      <w:r>
        <w:rPr>
          <w:color w:val="231F20"/>
          <w:w w:val="105"/>
        </w:rPr>
        <w:t>valer</w:t>
      </w:r>
      <w:r>
        <w:rPr>
          <w:color w:val="231F20"/>
          <w:spacing w:val="-38"/>
          <w:w w:val="105"/>
        </w:rPr>
        <w:t> </w:t>
      </w:r>
      <w:r>
        <w:rPr>
          <w:color w:val="231F20"/>
          <w:w w:val="105"/>
        </w:rPr>
        <w:t>el</w:t>
      </w:r>
      <w:r>
        <w:rPr>
          <w:color w:val="231F20"/>
          <w:spacing w:val="-38"/>
          <w:w w:val="105"/>
        </w:rPr>
        <w:t> </w:t>
      </w:r>
      <w:r>
        <w:rPr>
          <w:color w:val="231F20"/>
          <w:w w:val="105"/>
        </w:rPr>
        <w:t>inicio</w:t>
      </w:r>
      <w:r>
        <w:rPr>
          <w:color w:val="231F20"/>
          <w:spacing w:val="-38"/>
          <w:w w:val="105"/>
        </w:rPr>
        <w:t> </w:t>
      </w:r>
      <w:r>
        <w:rPr>
          <w:color w:val="231F20"/>
          <w:w w:val="105"/>
        </w:rPr>
        <w:t>apasiona- do</w:t>
      </w:r>
      <w:r>
        <w:rPr>
          <w:color w:val="231F20"/>
          <w:spacing w:val="-17"/>
          <w:w w:val="105"/>
        </w:rPr>
        <w:t> </w:t>
      </w:r>
      <w:r>
        <w:rPr>
          <w:color w:val="231F20"/>
          <w:w w:val="105"/>
        </w:rPr>
        <w:t>que</w:t>
      </w:r>
      <w:r>
        <w:rPr>
          <w:color w:val="231F20"/>
          <w:spacing w:val="-17"/>
          <w:w w:val="105"/>
        </w:rPr>
        <w:t> </w:t>
      </w:r>
      <w:r>
        <w:rPr>
          <w:color w:val="231F20"/>
          <w:w w:val="105"/>
        </w:rPr>
        <w:t>precisamente</w:t>
      </w:r>
      <w:r>
        <w:rPr>
          <w:color w:val="231F20"/>
          <w:spacing w:val="-17"/>
          <w:w w:val="105"/>
        </w:rPr>
        <w:t> </w:t>
      </w:r>
      <w:r>
        <w:rPr>
          <w:color w:val="231F20"/>
          <w:w w:val="105"/>
        </w:rPr>
        <w:t>Carl</w:t>
      </w:r>
      <w:r>
        <w:rPr>
          <w:color w:val="231F20"/>
          <w:spacing w:val="-17"/>
          <w:w w:val="105"/>
        </w:rPr>
        <w:t> </w:t>
      </w:r>
      <w:r>
        <w:rPr>
          <w:color w:val="231F20"/>
          <w:w w:val="105"/>
        </w:rPr>
        <w:t>Schmitt</w:t>
      </w:r>
      <w:r>
        <w:rPr>
          <w:color w:val="231F20"/>
          <w:spacing w:val="-17"/>
          <w:w w:val="105"/>
        </w:rPr>
        <w:t> </w:t>
      </w:r>
      <w:r>
        <w:rPr>
          <w:color w:val="231F20"/>
          <w:w w:val="105"/>
        </w:rPr>
        <w:t>dedicó</w:t>
      </w:r>
      <w:r>
        <w:rPr>
          <w:color w:val="231F20"/>
          <w:spacing w:val="-17"/>
          <w:w w:val="105"/>
        </w:rPr>
        <w:t> </w:t>
      </w:r>
      <w:r>
        <w:rPr>
          <w:color w:val="231F20"/>
          <w:w w:val="105"/>
        </w:rPr>
        <w:t>al</w:t>
      </w:r>
      <w:r>
        <w:rPr>
          <w:color w:val="231F20"/>
          <w:spacing w:val="-17"/>
          <w:w w:val="105"/>
        </w:rPr>
        <w:t> </w:t>
      </w:r>
      <w:r>
        <w:rPr>
          <w:color w:val="231F20"/>
          <w:w w:val="105"/>
        </w:rPr>
        <w:t>Estado,</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versión</w:t>
      </w:r>
      <w:r>
        <w:rPr>
          <w:color w:val="231F20"/>
          <w:spacing w:val="-17"/>
          <w:w w:val="105"/>
        </w:rPr>
        <w:t> </w:t>
      </w:r>
      <w:r>
        <w:rPr>
          <w:color w:val="231F20"/>
          <w:w w:val="105"/>
        </w:rPr>
        <w:t>original de su ensayo sobre el </w:t>
      </w:r>
      <w:r>
        <w:rPr>
          <w:rFonts w:ascii="Arial" w:hAnsi="Arial"/>
          <w:i/>
          <w:color w:val="231F20"/>
          <w:w w:val="105"/>
        </w:rPr>
        <w:t>Concepto de político</w:t>
      </w:r>
      <w:r>
        <w:rPr>
          <w:color w:val="231F20"/>
          <w:w w:val="105"/>
        </w:rPr>
        <w:t>: “el concepto de Estado</w:t>
      </w:r>
      <w:r>
        <w:rPr>
          <w:color w:val="231F20"/>
          <w:spacing w:val="-33"/>
          <w:w w:val="105"/>
        </w:rPr>
        <w:t> </w:t>
      </w:r>
      <w:r>
        <w:rPr>
          <w:color w:val="231F20"/>
          <w:w w:val="105"/>
        </w:rPr>
        <w:t>su- pone</w:t>
      </w:r>
      <w:r>
        <w:rPr>
          <w:color w:val="231F20"/>
          <w:spacing w:val="-23"/>
          <w:w w:val="105"/>
        </w:rPr>
        <w:t> </w:t>
      </w:r>
      <w:r>
        <w:rPr>
          <w:color w:val="231F20"/>
          <w:w w:val="105"/>
        </w:rPr>
        <w:t>el</w:t>
      </w:r>
      <w:r>
        <w:rPr>
          <w:color w:val="231F20"/>
          <w:spacing w:val="-23"/>
          <w:w w:val="105"/>
        </w:rPr>
        <w:t> </w:t>
      </w:r>
      <w:r>
        <w:rPr>
          <w:color w:val="231F20"/>
          <w:w w:val="105"/>
        </w:rPr>
        <w:t>concepto</w:t>
      </w:r>
      <w:r>
        <w:rPr>
          <w:color w:val="231F20"/>
          <w:spacing w:val="-23"/>
          <w:w w:val="105"/>
        </w:rPr>
        <w:t> </w:t>
      </w:r>
      <w:r>
        <w:rPr>
          <w:color w:val="231F20"/>
          <w:w w:val="105"/>
        </w:rPr>
        <w:t>de</w:t>
      </w:r>
      <w:r>
        <w:rPr>
          <w:color w:val="231F20"/>
          <w:spacing w:val="-23"/>
          <w:w w:val="105"/>
        </w:rPr>
        <w:t> </w:t>
      </w:r>
      <w:r>
        <w:rPr>
          <w:color w:val="231F20"/>
          <w:w w:val="105"/>
        </w:rPr>
        <w:t>político”.</w:t>
      </w:r>
      <w:r>
        <w:rPr>
          <w:color w:val="231F20"/>
          <w:spacing w:val="-23"/>
          <w:w w:val="105"/>
        </w:rPr>
        <w:t> </w:t>
      </w:r>
      <w:r>
        <w:rPr>
          <w:color w:val="231F20"/>
          <w:w w:val="105"/>
        </w:rPr>
        <w:t>Lo</w:t>
      </w:r>
      <w:r>
        <w:rPr>
          <w:color w:val="231F20"/>
          <w:spacing w:val="-23"/>
          <w:w w:val="105"/>
        </w:rPr>
        <w:t> </w:t>
      </w:r>
      <w:r>
        <w:rPr>
          <w:color w:val="231F20"/>
          <w:w w:val="105"/>
        </w:rPr>
        <w:t>mismo</w:t>
      </w:r>
      <w:r>
        <w:rPr>
          <w:color w:val="231F20"/>
          <w:spacing w:val="-23"/>
          <w:w w:val="105"/>
        </w:rPr>
        <w:t> </w:t>
      </w:r>
      <w:r>
        <w:rPr>
          <w:color w:val="231F20"/>
          <w:w w:val="105"/>
        </w:rPr>
        <w:t>debe</w:t>
      </w:r>
      <w:r>
        <w:rPr>
          <w:color w:val="231F20"/>
          <w:spacing w:val="-23"/>
          <w:w w:val="105"/>
        </w:rPr>
        <w:t> </w:t>
      </w:r>
      <w:r>
        <w:rPr>
          <w:color w:val="231F20"/>
          <w:w w:val="105"/>
        </w:rPr>
        <w:t>decirse,</w:t>
      </w:r>
      <w:r>
        <w:rPr>
          <w:color w:val="231F20"/>
          <w:spacing w:val="-23"/>
          <w:w w:val="105"/>
        </w:rPr>
        <w:t> </w:t>
      </w:r>
      <w:r>
        <w:rPr>
          <w:color w:val="231F20"/>
          <w:w w:val="105"/>
        </w:rPr>
        <w:t>exactamente,</w:t>
      </w:r>
      <w:r>
        <w:rPr>
          <w:color w:val="231F20"/>
          <w:spacing w:val="-23"/>
          <w:w w:val="105"/>
        </w:rPr>
        <w:t> </w:t>
      </w:r>
      <w:r>
        <w:rPr>
          <w:color w:val="231F20"/>
          <w:w w:val="105"/>
        </w:rPr>
        <w:t>para la</w:t>
      </w:r>
      <w:r>
        <w:rPr>
          <w:color w:val="231F20"/>
          <w:spacing w:val="-23"/>
          <w:w w:val="105"/>
        </w:rPr>
        <w:t> </w:t>
      </w:r>
      <w:r>
        <w:rPr>
          <w:color w:val="231F20"/>
          <w:w w:val="105"/>
        </w:rPr>
        <w:t>técnica</w:t>
      </w:r>
      <w:r>
        <w:rPr>
          <w:color w:val="231F20"/>
          <w:spacing w:val="-23"/>
          <w:w w:val="105"/>
        </w:rPr>
        <w:t> </w:t>
      </w:r>
      <w:r>
        <w:rPr>
          <w:color w:val="231F20"/>
          <w:w w:val="105"/>
        </w:rPr>
        <w:t>que</w:t>
      </w:r>
      <w:r>
        <w:rPr>
          <w:color w:val="231F20"/>
          <w:spacing w:val="-23"/>
          <w:w w:val="105"/>
        </w:rPr>
        <w:t> </w:t>
      </w:r>
      <w:r>
        <w:rPr>
          <w:color w:val="231F20"/>
          <w:w w:val="105"/>
        </w:rPr>
        <w:t>está</w:t>
      </w:r>
      <w:r>
        <w:rPr>
          <w:color w:val="231F20"/>
          <w:spacing w:val="-23"/>
          <w:w w:val="105"/>
        </w:rPr>
        <w:t> </w:t>
      </w:r>
      <w:r>
        <w:rPr>
          <w:color w:val="231F20"/>
          <w:w w:val="105"/>
        </w:rPr>
        <w:t>en</w:t>
      </w:r>
      <w:r>
        <w:rPr>
          <w:color w:val="231F20"/>
          <w:spacing w:val="-23"/>
          <w:w w:val="105"/>
        </w:rPr>
        <w:t> </w:t>
      </w:r>
      <w:r>
        <w:rPr>
          <w:color w:val="231F20"/>
          <w:w w:val="105"/>
        </w:rPr>
        <w:t>muchos</w:t>
      </w:r>
      <w:r>
        <w:rPr>
          <w:color w:val="231F20"/>
          <w:spacing w:val="-23"/>
          <w:w w:val="105"/>
        </w:rPr>
        <w:t> </w:t>
      </w:r>
      <w:r>
        <w:rPr>
          <w:color w:val="231F20"/>
          <w:w w:val="105"/>
        </w:rPr>
        <w:t>sentidos</w:t>
      </w:r>
      <w:r>
        <w:rPr>
          <w:color w:val="231F20"/>
          <w:spacing w:val="-23"/>
          <w:w w:val="105"/>
        </w:rPr>
        <w:t> </w:t>
      </w:r>
      <w:r>
        <w:rPr>
          <w:color w:val="231F20"/>
          <w:w w:val="105"/>
        </w:rPr>
        <w:t>cubriendo</w:t>
      </w:r>
      <w:r>
        <w:rPr>
          <w:color w:val="231F20"/>
          <w:spacing w:val="-23"/>
          <w:w w:val="105"/>
        </w:rPr>
        <w:t> </w:t>
      </w:r>
      <w:r>
        <w:rPr>
          <w:color w:val="231F20"/>
          <w:w w:val="105"/>
        </w:rPr>
        <w:t>y</w:t>
      </w:r>
      <w:r>
        <w:rPr>
          <w:color w:val="231F20"/>
          <w:spacing w:val="-23"/>
          <w:w w:val="105"/>
        </w:rPr>
        <w:t> </w:t>
      </w:r>
      <w:r>
        <w:rPr>
          <w:color w:val="231F20"/>
          <w:w w:val="105"/>
        </w:rPr>
        <w:t>sustituyendo</w:t>
      </w:r>
      <w:r>
        <w:rPr>
          <w:color w:val="231F20"/>
          <w:spacing w:val="-23"/>
          <w:w w:val="105"/>
        </w:rPr>
        <w:t> </w:t>
      </w:r>
      <w:r>
        <w:rPr>
          <w:color w:val="231F20"/>
          <w:w w:val="105"/>
        </w:rPr>
        <w:t>(incluso bajo</w:t>
      </w:r>
      <w:r>
        <w:rPr>
          <w:color w:val="231F20"/>
          <w:spacing w:val="-37"/>
          <w:w w:val="105"/>
        </w:rPr>
        <w:t> </w:t>
      </w:r>
      <w:r>
        <w:rPr>
          <w:color w:val="231F20"/>
          <w:w w:val="105"/>
        </w:rPr>
        <w:t>forma</w:t>
      </w:r>
      <w:r>
        <w:rPr>
          <w:color w:val="231F20"/>
          <w:spacing w:val="-37"/>
          <w:w w:val="105"/>
        </w:rPr>
        <w:t> </w:t>
      </w:r>
      <w:r>
        <w:rPr>
          <w:color w:val="231F20"/>
          <w:w w:val="105"/>
        </w:rPr>
        <w:t>de</w:t>
      </w:r>
      <w:r>
        <w:rPr>
          <w:color w:val="231F20"/>
          <w:spacing w:val="-37"/>
          <w:w w:val="105"/>
        </w:rPr>
        <w:t> </w:t>
      </w:r>
      <w:r>
        <w:rPr>
          <w:rFonts w:ascii="Arial" w:hAnsi="Arial"/>
          <w:i/>
          <w:color w:val="231F20"/>
          <w:w w:val="105"/>
        </w:rPr>
        <w:t>governance</w:t>
      </w:r>
      <w:r>
        <w:rPr>
          <w:color w:val="231F20"/>
          <w:w w:val="105"/>
        </w:rPr>
        <w:t>)</w:t>
      </w:r>
      <w:r>
        <w:rPr>
          <w:color w:val="231F20"/>
          <w:spacing w:val="-37"/>
          <w:w w:val="105"/>
        </w:rPr>
        <w:t> </w:t>
      </w:r>
      <w:r>
        <w:rPr>
          <w:color w:val="231F20"/>
          <w:w w:val="105"/>
        </w:rPr>
        <w:t>muchas</w:t>
      </w:r>
      <w:r>
        <w:rPr>
          <w:color w:val="231F20"/>
          <w:spacing w:val="-37"/>
          <w:w w:val="105"/>
        </w:rPr>
        <w:t> </w:t>
      </w:r>
      <w:r>
        <w:rPr>
          <w:color w:val="231F20"/>
          <w:w w:val="105"/>
        </w:rPr>
        <w:t>“funciones”</w:t>
      </w:r>
      <w:r>
        <w:rPr>
          <w:color w:val="231F20"/>
          <w:spacing w:val="-37"/>
          <w:w w:val="105"/>
        </w:rPr>
        <w:t> </w:t>
      </w:r>
      <w:r>
        <w:rPr>
          <w:color w:val="231F20"/>
          <w:w w:val="105"/>
        </w:rPr>
        <w:t>de</w:t>
      </w:r>
      <w:r>
        <w:rPr>
          <w:color w:val="231F20"/>
          <w:spacing w:val="-37"/>
          <w:w w:val="105"/>
        </w:rPr>
        <w:t> </w:t>
      </w:r>
      <w:r>
        <w:rPr>
          <w:color w:val="231F20"/>
          <w:w w:val="105"/>
        </w:rPr>
        <w:t>nuestro</w:t>
      </w:r>
      <w:r>
        <w:rPr>
          <w:color w:val="231F20"/>
          <w:spacing w:val="-37"/>
          <w:w w:val="105"/>
        </w:rPr>
        <w:t> </w:t>
      </w:r>
      <w:r>
        <w:rPr>
          <w:color w:val="231F20"/>
          <w:w w:val="105"/>
        </w:rPr>
        <w:t>viejo</w:t>
      </w:r>
      <w:r>
        <w:rPr>
          <w:color w:val="231F20"/>
          <w:spacing w:val="-37"/>
          <w:w w:val="105"/>
        </w:rPr>
        <w:t> </w:t>
      </w:r>
      <w:r>
        <w:rPr>
          <w:color w:val="231F20"/>
          <w:w w:val="105"/>
        </w:rPr>
        <w:t>Estado.</w:t>
      </w:r>
    </w:p>
    <w:p>
      <w:pPr>
        <w:pStyle w:val="BodyText"/>
        <w:spacing w:line="247" w:lineRule="auto"/>
        <w:ind w:left="103" w:right="115" w:firstLine="566"/>
        <w:jc w:val="both"/>
      </w:pPr>
      <w:r>
        <w:rPr>
          <w:color w:val="231F20"/>
        </w:rPr>
        <w:t>Ésta</w:t>
      </w:r>
      <w:r>
        <w:rPr>
          <w:color w:val="231F20"/>
          <w:spacing w:val="-10"/>
        </w:rPr>
        <w:t> </w:t>
      </w:r>
      <w:r>
        <w:rPr>
          <w:color w:val="231F20"/>
        </w:rPr>
        <w:t>representa,</w:t>
      </w:r>
      <w:r>
        <w:rPr>
          <w:color w:val="231F20"/>
          <w:spacing w:val="-10"/>
        </w:rPr>
        <w:t> </w:t>
      </w:r>
      <w:r>
        <w:rPr>
          <w:color w:val="231F20"/>
        </w:rPr>
        <w:t>al</w:t>
      </w:r>
      <w:r>
        <w:rPr>
          <w:color w:val="231F20"/>
          <w:spacing w:val="-10"/>
        </w:rPr>
        <w:t> </w:t>
      </w:r>
      <w:r>
        <w:rPr>
          <w:color w:val="231F20"/>
        </w:rPr>
        <w:t>menos</w:t>
      </w:r>
      <w:r>
        <w:rPr>
          <w:color w:val="231F20"/>
          <w:spacing w:val="-10"/>
        </w:rPr>
        <w:t> </w:t>
      </w:r>
      <w:r>
        <w:rPr>
          <w:color w:val="231F20"/>
        </w:rPr>
        <w:t>desde</w:t>
      </w:r>
      <w:r>
        <w:rPr>
          <w:color w:val="231F20"/>
          <w:spacing w:val="-10"/>
        </w:rPr>
        <w:t> </w:t>
      </w:r>
      <w:r>
        <w:rPr>
          <w:color w:val="231F20"/>
        </w:rPr>
        <w:t>hace</w:t>
      </w:r>
      <w:r>
        <w:rPr>
          <w:color w:val="231F20"/>
          <w:spacing w:val="-10"/>
        </w:rPr>
        <w:t> </w:t>
      </w:r>
      <w:r>
        <w:rPr>
          <w:color w:val="231F20"/>
        </w:rPr>
        <w:t>un</w:t>
      </w:r>
      <w:r>
        <w:rPr>
          <w:color w:val="231F20"/>
          <w:spacing w:val="-10"/>
        </w:rPr>
        <w:t> </w:t>
      </w:r>
      <w:r>
        <w:rPr>
          <w:color w:val="231F20"/>
        </w:rPr>
        <w:t>siglo</w:t>
      </w:r>
      <w:r>
        <w:rPr>
          <w:color w:val="231F20"/>
          <w:spacing w:val="-10"/>
        </w:rPr>
        <w:t> </w:t>
      </w:r>
      <w:r>
        <w:rPr>
          <w:color w:val="231F20"/>
        </w:rPr>
        <w:t>a</w:t>
      </w:r>
      <w:r>
        <w:rPr>
          <w:color w:val="231F20"/>
          <w:spacing w:val="-10"/>
        </w:rPr>
        <w:t> </w:t>
      </w:r>
      <w:r>
        <w:rPr>
          <w:color w:val="231F20"/>
        </w:rPr>
        <w:t>esta</w:t>
      </w:r>
      <w:r>
        <w:rPr>
          <w:color w:val="231F20"/>
          <w:spacing w:val="-10"/>
        </w:rPr>
        <w:t> </w:t>
      </w:r>
      <w:r>
        <w:rPr>
          <w:color w:val="231F20"/>
        </w:rPr>
        <w:t>parte,</w:t>
      </w:r>
      <w:r>
        <w:rPr>
          <w:color w:val="231F20"/>
          <w:spacing w:val="-10"/>
        </w:rPr>
        <w:t> </w:t>
      </w:r>
      <w:r>
        <w:rPr>
          <w:color w:val="231F20"/>
        </w:rPr>
        <w:t>el</w:t>
      </w:r>
      <w:r>
        <w:rPr>
          <w:color w:val="231F20"/>
          <w:spacing w:val="-10"/>
        </w:rPr>
        <w:t> </w:t>
      </w:r>
      <w:r>
        <w:rPr>
          <w:color w:val="231F20"/>
        </w:rPr>
        <w:t>campo privilegiado de neutralización de los conflictos políticos que minaban las bases del Estado liberal–democrático; tanto, que la misma técnica puede ser vista como la palanca que ha roto la ecuación apenas citada, llegando a separar el aspecto liberal de aquel democrático del viejo sistema, pero también a </w:t>
      </w:r>
      <w:r>
        <w:rPr>
          <w:color w:val="231F20"/>
          <w:spacing w:val="-3"/>
        </w:rPr>
        <w:t>sostener, </w:t>
      </w:r>
      <w:r>
        <w:rPr>
          <w:color w:val="231F20"/>
        </w:rPr>
        <w:t>con una dilatación en términos de masa de la opción democrática, la afirmación de las soluciones</w:t>
      </w:r>
      <w:r>
        <w:rPr>
          <w:color w:val="231F20"/>
          <w:spacing w:val="-9"/>
        </w:rPr>
        <w:t> </w:t>
      </w:r>
      <w:r>
        <w:rPr>
          <w:color w:val="231F20"/>
        </w:rPr>
        <w:t>totalitarias</w:t>
      </w:r>
      <w:r>
        <w:rPr>
          <w:color w:val="231F20"/>
          <w:position w:val="7"/>
          <w:sz w:val="12"/>
        </w:rPr>
        <w:t>27</w:t>
      </w:r>
      <w:r>
        <w:rPr>
          <w:color w:val="231F20"/>
        </w:rPr>
        <w:t>.</w:t>
      </w:r>
    </w:p>
    <w:p>
      <w:pPr>
        <w:pStyle w:val="BodyText"/>
        <w:spacing w:line="247" w:lineRule="auto"/>
        <w:ind w:left="103" w:right="115" w:firstLine="566"/>
        <w:jc w:val="both"/>
      </w:pPr>
      <w:r>
        <w:rPr>
          <w:color w:val="231F20"/>
          <w:w w:val="105"/>
        </w:rPr>
        <w:t>La</w:t>
      </w:r>
      <w:r>
        <w:rPr>
          <w:color w:val="231F20"/>
          <w:spacing w:val="-31"/>
          <w:w w:val="105"/>
        </w:rPr>
        <w:t> </w:t>
      </w:r>
      <w:r>
        <w:rPr>
          <w:color w:val="231F20"/>
          <w:w w:val="105"/>
        </w:rPr>
        <w:t>aparente</w:t>
      </w:r>
      <w:r>
        <w:rPr>
          <w:color w:val="231F20"/>
          <w:spacing w:val="-31"/>
          <w:w w:val="105"/>
        </w:rPr>
        <w:t> </w:t>
      </w:r>
      <w:r>
        <w:rPr>
          <w:color w:val="231F20"/>
          <w:w w:val="105"/>
        </w:rPr>
        <w:t>indiferencia</w:t>
      </w:r>
      <w:r>
        <w:rPr>
          <w:color w:val="231F20"/>
          <w:spacing w:val="-31"/>
          <w:w w:val="105"/>
        </w:rPr>
        <w:t> </w:t>
      </w:r>
      <w:r>
        <w:rPr>
          <w:color w:val="231F20"/>
          <w:w w:val="105"/>
        </w:rPr>
        <w:t>política</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técnica</w:t>
      </w:r>
      <w:r>
        <w:rPr>
          <w:color w:val="231F20"/>
          <w:spacing w:val="-31"/>
          <w:w w:val="105"/>
        </w:rPr>
        <w:t> </w:t>
      </w:r>
      <w:r>
        <w:rPr>
          <w:color w:val="231F20"/>
          <w:w w:val="105"/>
        </w:rPr>
        <w:t>debe</w:t>
      </w:r>
      <w:r>
        <w:rPr>
          <w:color w:val="231F20"/>
          <w:spacing w:val="-31"/>
          <w:w w:val="105"/>
        </w:rPr>
        <w:t> </w:t>
      </w:r>
      <w:r>
        <w:rPr>
          <w:color w:val="231F20"/>
          <w:w w:val="105"/>
        </w:rPr>
        <w:t>sólo</w:t>
      </w:r>
      <w:r>
        <w:rPr>
          <w:color w:val="231F20"/>
          <w:spacing w:val="-31"/>
          <w:w w:val="105"/>
        </w:rPr>
        <w:t> </w:t>
      </w:r>
      <w:r>
        <w:rPr>
          <w:color w:val="231F20"/>
          <w:w w:val="105"/>
        </w:rPr>
        <w:t>conducirnos a</w:t>
      </w:r>
      <w:r>
        <w:rPr>
          <w:color w:val="231F20"/>
          <w:spacing w:val="-25"/>
          <w:w w:val="105"/>
        </w:rPr>
        <w:t> </w:t>
      </w:r>
      <w:r>
        <w:rPr>
          <w:color w:val="231F20"/>
          <w:w w:val="105"/>
        </w:rPr>
        <w:t>llamar</w:t>
      </w:r>
      <w:r>
        <w:rPr>
          <w:color w:val="231F20"/>
          <w:spacing w:val="-25"/>
          <w:w w:val="105"/>
        </w:rPr>
        <w:t> </w:t>
      </w:r>
      <w:r>
        <w:rPr>
          <w:color w:val="231F20"/>
          <w:w w:val="105"/>
        </w:rPr>
        <w:t>de</w:t>
      </w:r>
      <w:r>
        <w:rPr>
          <w:color w:val="231F20"/>
          <w:spacing w:val="-25"/>
          <w:w w:val="105"/>
        </w:rPr>
        <w:t> </w:t>
      </w:r>
      <w:r>
        <w:rPr>
          <w:color w:val="231F20"/>
          <w:w w:val="105"/>
        </w:rPr>
        <w:t>nuevo</w:t>
      </w:r>
      <w:r>
        <w:rPr>
          <w:color w:val="231F20"/>
          <w:spacing w:val="-25"/>
          <w:w w:val="105"/>
        </w:rPr>
        <w:t> </w:t>
      </w:r>
      <w:r>
        <w:rPr>
          <w:color w:val="231F20"/>
          <w:w w:val="105"/>
        </w:rPr>
        <w:t>la</w:t>
      </w:r>
      <w:r>
        <w:rPr>
          <w:color w:val="231F20"/>
          <w:spacing w:val="-25"/>
          <w:w w:val="105"/>
        </w:rPr>
        <w:t> </w:t>
      </w:r>
      <w:r>
        <w:rPr>
          <w:color w:val="231F20"/>
          <w:w w:val="105"/>
        </w:rPr>
        <w:t>atención</w:t>
      </w:r>
      <w:r>
        <w:rPr>
          <w:color w:val="231F20"/>
          <w:spacing w:val="-25"/>
          <w:w w:val="105"/>
        </w:rPr>
        <w:t> </w:t>
      </w:r>
      <w:r>
        <w:rPr>
          <w:color w:val="231F20"/>
          <w:w w:val="105"/>
        </w:rPr>
        <w:t>sobre</w:t>
      </w:r>
      <w:r>
        <w:rPr>
          <w:color w:val="231F20"/>
          <w:spacing w:val="-25"/>
          <w:w w:val="105"/>
        </w:rPr>
        <w:t> </w:t>
      </w:r>
      <w:r>
        <w:rPr>
          <w:color w:val="231F20"/>
          <w:w w:val="105"/>
        </w:rPr>
        <w:t>los</w:t>
      </w:r>
      <w:r>
        <w:rPr>
          <w:color w:val="231F20"/>
          <w:spacing w:val="-25"/>
          <w:w w:val="105"/>
        </w:rPr>
        <w:t> </w:t>
      </w:r>
      <w:r>
        <w:rPr>
          <w:color w:val="231F20"/>
          <w:w w:val="105"/>
        </w:rPr>
        <w:t>sujetos</w:t>
      </w:r>
      <w:r>
        <w:rPr>
          <w:color w:val="231F20"/>
          <w:spacing w:val="-25"/>
          <w:w w:val="105"/>
        </w:rPr>
        <w:t> </w:t>
      </w:r>
      <w:r>
        <w:rPr>
          <w:color w:val="231F20"/>
          <w:w w:val="105"/>
        </w:rPr>
        <w:t>que</w:t>
      </w:r>
      <w:r>
        <w:rPr>
          <w:color w:val="231F20"/>
          <w:spacing w:val="-25"/>
          <w:w w:val="105"/>
        </w:rPr>
        <w:t> </w:t>
      </w:r>
      <w:r>
        <w:rPr>
          <w:color w:val="231F20"/>
          <w:w w:val="105"/>
        </w:rPr>
        <w:t>recurren</w:t>
      </w:r>
      <w:r>
        <w:rPr>
          <w:color w:val="231F20"/>
          <w:spacing w:val="-25"/>
          <w:w w:val="105"/>
        </w:rPr>
        <w:t> </w:t>
      </w:r>
      <w:r>
        <w:rPr>
          <w:color w:val="231F20"/>
          <w:w w:val="105"/>
        </w:rPr>
        <w:t>a</w:t>
      </w:r>
      <w:r>
        <w:rPr>
          <w:color w:val="231F20"/>
          <w:spacing w:val="-25"/>
          <w:w w:val="105"/>
        </w:rPr>
        <w:t> </w:t>
      </w:r>
      <w:r>
        <w:rPr>
          <w:color w:val="231F20"/>
          <w:w w:val="105"/>
        </w:rPr>
        <w:t>ésta</w:t>
      </w:r>
      <w:r>
        <w:rPr>
          <w:color w:val="231F20"/>
          <w:spacing w:val="-25"/>
          <w:w w:val="105"/>
        </w:rPr>
        <w:t> </w:t>
      </w:r>
      <w:r>
        <w:rPr>
          <w:color w:val="231F20"/>
          <w:w w:val="105"/>
        </w:rPr>
        <w:t>(o</w:t>
      </w:r>
      <w:r>
        <w:rPr>
          <w:color w:val="231F20"/>
          <w:spacing w:val="-25"/>
          <w:w w:val="105"/>
        </w:rPr>
        <w:t> </w:t>
      </w:r>
      <w:r>
        <w:rPr>
          <w:color w:val="231F20"/>
          <w:w w:val="105"/>
        </w:rPr>
        <w:t>que están</w:t>
      </w:r>
      <w:r>
        <w:rPr>
          <w:color w:val="231F20"/>
          <w:spacing w:val="-22"/>
          <w:w w:val="105"/>
        </w:rPr>
        <w:t> </w:t>
      </w:r>
      <w:r>
        <w:rPr>
          <w:color w:val="231F20"/>
          <w:w w:val="105"/>
        </w:rPr>
        <w:t>sometidos</w:t>
      </w:r>
      <w:r>
        <w:rPr>
          <w:color w:val="231F20"/>
          <w:spacing w:val="-22"/>
          <w:w w:val="105"/>
        </w:rPr>
        <w:t> </w:t>
      </w:r>
      <w:r>
        <w:rPr>
          <w:color w:val="231F20"/>
          <w:w w:val="105"/>
        </w:rPr>
        <w:t>a</w:t>
      </w:r>
      <w:r>
        <w:rPr>
          <w:color w:val="231F20"/>
          <w:spacing w:val="-22"/>
          <w:w w:val="105"/>
        </w:rPr>
        <w:t> </w:t>
      </w:r>
      <w:r>
        <w:rPr>
          <w:color w:val="231F20"/>
          <w:w w:val="105"/>
        </w:rPr>
        <w:t>ella)</w:t>
      </w:r>
      <w:r>
        <w:rPr>
          <w:color w:val="231F20"/>
          <w:spacing w:val="-22"/>
          <w:w w:val="105"/>
        </w:rPr>
        <w:t> </w:t>
      </w:r>
      <w:r>
        <w:rPr>
          <w:color w:val="231F20"/>
          <w:w w:val="105"/>
        </w:rPr>
        <w:t>y</w:t>
      </w:r>
      <w:r>
        <w:rPr>
          <w:color w:val="231F20"/>
          <w:spacing w:val="-22"/>
          <w:w w:val="105"/>
        </w:rPr>
        <w:t> </w:t>
      </w:r>
      <w:r>
        <w:rPr>
          <w:color w:val="231F20"/>
          <w:w w:val="105"/>
        </w:rPr>
        <w:t>sobre</w:t>
      </w:r>
      <w:r>
        <w:rPr>
          <w:color w:val="231F20"/>
          <w:spacing w:val="-22"/>
          <w:w w:val="105"/>
        </w:rPr>
        <w:t> </w:t>
      </w:r>
      <w:r>
        <w:rPr>
          <w:color w:val="231F20"/>
          <w:w w:val="105"/>
        </w:rPr>
        <w:t>sus</w:t>
      </w:r>
      <w:r>
        <w:rPr>
          <w:color w:val="231F20"/>
          <w:spacing w:val="-22"/>
          <w:w w:val="105"/>
        </w:rPr>
        <w:t> </w:t>
      </w:r>
      <w:r>
        <w:rPr>
          <w:color w:val="231F20"/>
          <w:w w:val="105"/>
        </w:rPr>
        <w:t>responsabilidades</w:t>
      </w:r>
      <w:r>
        <w:rPr>
          <w:color w:val="231F20"/>
          <w:spacing w:val="-22"/>
          <w:w w:val="105"/>
        </w:rPr>
        <w:t> </w:t>
      </w:r>
      <w:r>
        <w:rPr>
          <w:color w:val="231F20"/>
          <w:w w:val="105"/>
        </w:rPr>
        <w:t>específicas,</w:t>
      </w:r>
      <w:r>
        <w:rPr>
          <w:color w:val="231F20"/>
          <w:spacing w:val="-22"/>
          <w:w w:val="105"/>
        </w:rPr>
        <w:t> </w:t>
      </w:r>
      <w:r>
        <w:rPr>
          <w:color w:val="231F20"/>
          <w:w w:val="105"/>
        </w:rPr>
        <w:t>pero</w:t>
      </w:r>
      <w:r>
        <w:rPr>
          <w:color w:val="231F20"/>
          <w:spacing w:val="-22"/>
          <w:w w:val="105"/>
        </w:rPr>
        <w:t> </w:t>
      </w:r>
      <w:r>
        <w:rPr>
          <w:color w:val="231F20"/>
          <w:w w:val="105"/>
        </w:rPr>
        <w:t>al mismo</w:t>
      </w:r>
      <w:r>
        <w:rPr>
          <w:color w:val="231F20"/>
          <w:spacing w:val="-36"/>
          <w:w w:val="105"/>
        </w:rPr>
        <w:t> </w:t>
      </w:r>
      <w:r>
        <w:rPr>
          <w:color w:val="231F20"/>
          <w:w w:val="105"/>
        </w:rPr>
        <w:t>tiempo</w:t>
      </w:r>
      <w:r>
        <w:rPr>
          <w:color w:val="231F20"/>
          <w:spacing w:val="-36"/>
          <w:w w:val="105"/>
        </w:rPr>
        <w:t> </w:t>
      </w:r>
      <w:r>
        <w:rPr>
          <w:color w:val="231F20"/>
          <w:w w:val="105"/>
        </w:rPr>
        <w:t>podría</w:t>
      </w:r>
      <w:r>
        <w:rPr>
          <w:color w:val="231F20"/>
          <w:spacing w:val="-36"/>
          <w:w w:val="105"/>
        </w:rPr>
        <w:t> </w:t>
      </w:r>
      <w:r>
        <w:rPr>
          <w:color w:val="231F20"/>
          <w:w w:val="105"/>
        </w:rPr>
        <w:t>también</w:t>
      </w:r>
      <w:r>
        <w:rPr>
          <w:color w:val="231F20"/>
          <w:spacing w:val="-36"/>
          <w:w w:val="105"/>
        </w:rPr>
        <w:t> </w:t>
      </w:r>
      <w:r>
        <w:rPr>
          <w:color w:val="231F20"/>
          <w:w w:val="105"/>
        </w:rPr>
        <w:t>servir</w:t>
      </w:r>
      <w:r>
        <w:rPr>
          <w:color w:val="231F20"/>
          <w:spacing w:val="-36"/>
          <w:w w:val="105"/>
        </w:rPr>
        <w:t> </w:t>
      </w:r>
      <w:r>
        <w:rPr>
          <w:color w:val="231F20"/>
          <w:w w:val="105"/>
        </w:rPr>
        <w:t>para</w:t>
      </w:r>
      <w:r>
        <w:rPr>
          <w:color w:val="231F20"/>
          <w:spacing w:val="-36"/>
          <w:w w:val="105"/>
        </w:rPr>
        <w:t> </w:t>
      </w:r>
      <w:r>
        <w:rPr>
          <w:color w:val="231F20"/>
          <w:w w:val="105"/>
        </w:rPr>
        <w:t>relativizar</w:t>
      </w:r>
      <w:r>
        <w:rPr>
          <w:color w:val="231F20"/>
          <w:spacing w:val="-36"/>
          <w:w w:val="105"/>
        </w:rPr>
        <w:t> </w:t>
      </w:r>
      <w:r>
        <w:rPr>
          <w:color w:val="231F20"/>
          <w:w w:val="105"/>
        </w:rPr>
        <w:t>aquellas</w:t>
      </w:r>
      <w:r>
        <w:rPr>
          <w:color w:val="231F20"/>
          <w:spacing w:val="-36"/>
          <w:w w:val="105"/>
        </w:rPr>
        <w:t> </w:t>
      </w:r>
      <w:r>
        <w:rPr>
          <w:color w:val="231F20"/>
          <w:w w:val="105"/>
        </w:rPr>
        <w:t>funciones</w:t>
      </w:r>
      <w:r>
        <w:rPr>
          <w:color w:val="231F20"/>
          <w:spacing w:val="-36"/>
          <w:w w:val="105"/>
        </w:rPr>
        <w:t> </w:t>
      </w:r>
      <w:r>
        <w:rPr>
          <w:color w:val="231F20"/>
          <w:w w:val="105"/>
        </w:rPr>
        <w:t>del Estado</w:t>
      </w:r>
      <w:r>
        <w:rPr>
          <w:color w:val="231F20"/>
          <w:spacing w:val="-13"/>
          <w:w w:val="105"/>
        </w:rPr>
        <w:t> </w:t>
      </w:r>
      <w:r>
        <w:rPr>
          <w:color w:val="231F20"/>
          <w:w w:val="105"/>
        </w:rPr>
        <w:t>que,</w:t>
      </w:r>
      <w:r>
        <w:rPr>
          <w:color w:val="231F20"/>
          <w:spacing w:val="-13"/>
          <w:w w:val="105"/>
        </w:rPr>
        <w:t> </w:t>
      </w:r>
      <w:r>
        <w:rPr>
          <w:color w:val="231F20"/>
          <w:w w:val="105"/>
        </w:rPr>
        <w:t>como</w:t>
      </w:r>
      <w:r>
        <w:rPr>
          <w:color w:val="231F20"/>
          <w:spacing w:val="-13"/>
          <w:w w:val="105"/>
        </w:rPr>
        <w:t> </w:t>
      </w:r>
      <w:r>
        <w:rPr>
          <w:color w:val="231F20"/>
          <w:w w:val="105"/>
        </w:rPr>
        <w:t>mencioné,</w:t>
      </w:r>
      <w:r>
        <w:rPr>
          <w:color w:val="231F20"/>
          <w:spacing w:val="-13"/>
          <w:w w:val="105"/>
        </w:rPr>
        <w:t> </w:t>
      </w:r>
      <w:r>
        <w:rPr>
          <w:color w:val="231F20"/>
          <w:w w:val="105"/>
        </w:rPr>
        <w:t>han</w:t>
      </w:r>
      <w:r>
        <w:rPr>
          <w:color w:val="231F20"/>
          <w:spacing w:val="-13"/>
          <w:w w:val="105"/>
        </w:rPr>
        <w:t> </w:t>
      </w:r>
      <w:r>
        <w:rPr>
          <w:color w:val="231F20"/>
          <w:w w:val="105"/>
        </w:rPr>
        <w:t>sido</w:t>
      </w:r>
      <w:r>
        <w:rPr>
          <w:color w:val="231F20"/>
          <w:spacing w:val="-13"/>
          <w:w w:val="105"/>
        </w:rPr>
        <w:t> </w:t>
      </w:r>
      <w:r>
        <w:rPr>
          <w:color w:val="231F20"/>
          <w:w w:val="105"/>
        </w:rPr>
        <w:t>tecnificadas.</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medida</w:t>
      </w:r>
      <w:r>
        <w:rPr>
          <w:color w:val="231F20"/>
          <w:spacing w:val="-13"/>
          <w:w w:val="105"/>
        </w:rPr>
        <w:t> </w:t>
      </w:r>
      <w:r>
        <w:rPr>
          <w:color w:val="231F20"/>
          <w:w w:val="105"/>
        </w:rPr>
        <w:t>en</w:t>
      </w:r>
      <w:r>
        <w:rPr>
          <w:color w:val="231F20"/>
          <w:spacing w:val="-13"/>
          <w:w w:val="105"/>
        </w:rPr>
        <w:t> </w:t>
      </w:r>
      <w:r>
        <w:rPr>
          <w:color w:val="231F20"/>
          <w:w w:val="105"/>
        </w:rPr>
        <w:t>que la</w:t>
      </w:r>
      <w:r>
        <w:rPr>
          <w:color w:val="231F20"/>
          <w:spacing w:val="-37"/>
          <w:w w:val="105"/>
        </w:rPr>
        <w:t> </w:t>
      </w:r>
      <w:r>
        <w:rPr>
          <w:color w:val="231F20"/>
          <w:w w:val="105"/>
        </w:rPr>
        <w:t>técnica</w:t>
      </w:r>
      <w:r>
        <w:rPr>
          <w:color w:val="231F20"/>
          <w:spacing w:val="-37"/>
          <w:w w:val="105"/>
        </w:rPr>
        <w:t> </w:t>
      </w:r>
      <w:r>
        <w:rPr>
          <w:color w:val="231F20"/>
          <w:w w:val="105"/>
        </w:rPr>
        <w:t>va</w:t>
      </w:r>
      <w:r>
        <w:rPr>
          <w:color w:val="231F20"/>
          <w:spacing w:val="-37"/>
          <w:w w:val="105"/>
        </w:rPr>
        <w:t> </w:t>
      </w:r>
      <w:r>
        <w:rPr>
          <w:color w:val="231F20"/>
          <w:w w:val="105"/>
        </w:rPr>
        <w:t>sustituyendo</w:t>
      </w:r>
      <w:r>
        <w:rPr>
          <w:color w:val="231F20"/>
          <w:spacing w:val="-37"/>
          <w:w w:val="105"/>
        </w:rPr>
        <w:t> </w:t>
      </w:r>
      <w:r>
        <w:rPr>
          <w:color w:val="231F20"/>
          <w:w w:val="105"/>
        </w:rPr>
        <w:t>al</w:t>
      </w:r>
      <w:r>
        <w:rPr>
          <w:color w:val="231F20"/>
          <w:spacing w:val="-37"/>
          <w:w w:val="105"/>
        </w:rPr>
        <w:t> </w:t>
      </w:r>
      <w:r>
        <w:rPr>
          <w:color w:val="231F20"/>
          <w:w w:val="105"/>
        </w:rPr>
        <w:t>Derecho,</w:t>
      </w:r>
      <w:r>
        <w:rPr>
          <w:color w:val="231F20"/>
          <w:spacing w:val="-37"/>
          <w:w w:val="105"/>
        </w:rPr>
        <w:t> </w:t>
      </w:r>
      <w:r>
        <w:rPr>
          <w:color w:val="231F20"/>
          <w:w w:val="105"/>
        </w:rPr>
        <w:t>debería</w:t>
      </w:r>
      <w:r>
        <w:rPr>
          <w:color w:val="231F20"/>
          <w:spacing w:val="-37"/>
          <w:w w:val="105"/>
        </w:rPr>
        <w:t> </w:t>
      </w:r>
      <w:r>
        <w:rPr>
          <w:color w:val="231F20"/>
          <w:w w:val="105"/>
        </w:rPr>
        <w:t>ser</w:t>
      </w:r>
      <w:r>
        <w:rPr>
          <w:color w:val="231F20"/>
          <w:spacing w:val="-37"/>
          <w:w w:val="105"/>
        </w:rPr>
        <w:t> </w:t>
      </w:r>
      <w:r>
        <w:rPr>
          <w:color w:val="231F20"/>
          <w:w w:val="105"/>
        </w:rPr>
        <w:t>más</w:t>
      </w:r>
      <w:r>
        <w:rPr>
          <w:color w:val="231F20"/>
          <w:spacing w:val="-37"/>
          <w:w w:val="105"/>
        </w:rPr>
        <w:t> </w:t>
      </w:r>
      <w:r>
        <w:rPr>
          <w:color w:val="231F20"/>
          <w:w w:val="105"/>
        </w:rPr>
        <w:t>fácil</w:t>
      </w:r>
      <w:r>
        <w:rPr>
          <w:color w:val="231F20"/>
          <w:spacing w:val="-37"/>
          <w:w w:val="105"/>
        </w:rPr>
        <w:t> </w:t>
      </w:r>
      <w:r>
        <w:rPr>
          <w:color w:val="231F20"/>
          <w:w w:val="105"/>
        </w:rPr>
        <w:t>usarla</w:t>
      </w:r>
      <w:r>
        <w:rPr>
          <w:color w:val="231F20"/>
          <w:spacing w:val="-37"/>
          <w:w w:val="105"/>
        </w:rPr>
        <w:t> </w:t>
      </w:r>
      <w:r>
        <w:rPr>
          <w:color w:val="231F20"/>
          <w:w w:val="105"/>
        </w:rPr>
        <w:t>para</w:t>
      </w:r>
      <w:r>
        <w:rPr>
          <w:color w:val="231F20"/>
          <w:spacing w:val="-37"/>
          <w:w w:val="105"/>
        </w:rPr>
        <w:t> </w:t>
      </w:r>
      <w:r>
        <w:rPr>
          <w:color w:val="231F20"/>
          <w:w w:val="105"/>
        </w:rPr>
        <w:t>que los sujetos sepan llenarla de los contenidos deseados; mientras para el Derecho</w:t>
      </w:r>
      <w:r>
        <w:rPr>
          <w:color w:val="231F20"/>
          <w:spacing w:val="-9"/>
          <w:w w:val="105"/>
        </w:rPr>
        <w:t> </w:t>
      </w:r>
      <w:r>
        <w:rPr>
          <w:color w:val="231F20"/>
          <w:w w:val="105"/>
        </w:rPr>
        <w:t>eso</w:t>
      </w:r>
      <w:r>
        <w:rPr>
          <w:color w:val="231F20"/>
          <w:spacing w:val="-9"/>
          <w:w w:val="105"/>
        </w:rPr>
        <w:t> </w:t>
      </w:r>
      <w:r>
        <w:rPr>
          <w:color w:val="231F20"/>
          <w:w w:val="105"/>
        </w:rPr>
        <w:t>era</w:t>
      </w:r>
      <w:r>
        <w:rPr>
          <w:color w:val="231F20"/>
          <w:spacing w:val="-9"/>
          <w:w w:val="105"/>
        </w:rPr>
        <w:t> </w:t>
      </w:r>
      <w:r>
        <w:rPr>
          <w:color w:val="231F20"/>
          <w:w w:val="105"/>
        </w:rPr>
        <w:t>mucho</w:t>
      </w:r>
      <w:r>
        <w:rPr>
          <w:color w:val="231F20"/>
          <w:spacing w:val="-9"/>
          <w:w w:val="105"/>
        </w:rPr>
        <w:t> </w:t>
      </w:r>
      <w:r>
        <w:rPr>
          <w:color w:val="231F20"/>
          <w:w w:val="105"/>
        </w:rPr>
        <w:t>más</w:t>
      </w:r>
      <w:r>
        <w:rPr>
          <w:color w:val="231F20"/>
          <w:spacing w:val="-9"/>
          <w:w w:val="105"/>
        </w:rPr>
        <w:t> </w:t>
      </w:r>
      <w:r>
        <w:rPr>
          <w:color w:val="231F20"/>
          <w:w w:val="105"/>
        </w:rPr>
        <w:t>difícil,</w:t>
      </w:r>
      <w:r>
        <w:rPr>
          <w:color w:val="231F20"/>
          <w:spacing w:val="-9"/>
          <w:w w:val="105"/>
        </w:rPr>
        <w:t> </w:t>
      </w:r>
      <w:r>
        <w:rPr>
          <w:color w:val="231F20"/>
          <w:w w:val="105"/>
        </w:rPr>
        <w:t>por</w:t>
      </w:r>
      <w:r>
        <w:rPr>
          <w:color w:val="231F20"/>
          <w:spacing w:val="-9"/>
          <w:w w:val="105"/>
        </w:rPr>
        <w:t> </w:t>
      </w:r>
      <w:r>
        <w:rPr>
          <w:color w:val="231F20"/>
          <w:w w:val="105"/>
        </w:rPr>
        <w:t>estar</w:t>
      </w:r>
      <w:r>
        <w:rPr>
          <w:color w:val="231F20"/>
          <w:spacing w:val="-9"/>
          <w:w w:val="105"/>
        </w:rPr>
        <w:t> </w:t>
      </w:r>
      <w:r>
        <w:rPr>
          <w:color w:val="231F20"/>
          <w:w w:val="105"/>
        </w:rPr>
        <w:t>impregnado</w:t>
      </w:r>
      <w:r>
        <w:rPr>
          <w:color w:val="231F20"/>
          <w:spacing w:val="-9"/>
          <w:w w:val="105"/>
        </w:rPr>
        <w:t> </w:t>
      </w:r>
      <w:r>
        <w:rPr>
          <w:color w:val="231F20"/>
          <w:w w:val="105"/>
        </w:rPr>
        <w:t>de</w:t>
      </w:r>
      <w:r>
        <w:rPr>
          <w:color w:val="231F20"/>
          <w:spacing w:val="-9"/>
          <w:w w:val="105"/>
        </w:rPr>
        <w:t> </w:t>
      </w:r>
      <w:r>
        <w:rPr>
          <w:color w:val="231F20"/>
          <w:w w:val="105"/>
        </w:rPr>
        <w:t>contenidos preestablecidos,</w:t>
      </w:r>
      <w:r>
        <w:rPr>
          <w:color w:val="231F20"/>
          <w:spacing w:val="-21"/>
          <w:w w:val="105"/>
        </w:rPr>
        <w:t> </w:t>
      </w:r>
      <w:r>
        <w:rPr>
          <w:color w:val="231F20"/>
          <w:w w:val="105"/>
        </w:rPr>
        <w:t>de</w:t>
      </w:r>
      <w:r>
        <w:rPr>
          <w:color w:val="231F20"/>
          <w:spacing w:val="-21"/>
          <w:w w:val="105"/>
        </w:rPr>
        <w:t> </w:t>
      </w:r>
      <w:r>
        <w:rPr>
          <w:color w:val="231F20"/>
          <w:w w:val="105"/>
        </w:rPr>
        <w:t>fuerte</w:t>
      </w:r>
      <w:r>
        <w:rPr>
          <w:color w:val="231F20"/>
          <w:spacing w:val="-21"/>
          <w:w w:val="105"/>
        </w:rPr>
        <w:t> </w:t>
      </w:r>
      <w:r>
        <w:rPr>
          <w:color w:val="231F20"/>
          <w:w w:val="105"/>
        </w:rPr>
        <w:t>matriz</w:t>
      </w:r>
      <w:r>
        <w:rPr>
          <w:color w:val="231F20"/>
          <w:spacing w:val="-21"/>
          <w:w w:val="105"/>
        </w:rPr>
        <w:t> </w:t>
      </w:r>
      <w:r>
        <w:rPr>
          <w:color w:val="231F20"/>
          <w:w w:val="105"/>
        </w:rPr>
        <w:t>clasista</w:t>
      </w:r>
      <w:r>
        <w:rPr>
          <w:color w:val="231F20"/>
          <w:spacing w:val="-21"/>
          <w:w w:val="105"/>
        </w:rPr>
        <w:t> </w:t>
      </w:r>
      <w:r>
        <w:rPr>
          <w:color w:val="231F20"/>
          <w:w w:val="105"/>
        </w:rPr>
        <w:t>(y</w:t>
      </w:r>
      <w:r>
        <w:rPr>
          <w:color w:val="231F20"/>
          <w:spacing w:val="-21"/>
          <w:w w:val="105"/>
        </w:rPr>
        <w:t> </w:t>
      </w:r>
      <w:r>
        <w:rPr>
          <w:color w:val="231F20"/>
          <w:w w:val="105"/>
        </w:rPr>
        <w:t>por</w:t>
      </w:r>
      <w:r>
        <w:rPr>
          <w:color w:val="231F20"/>
          <w:spacing w:val="-21"/>
          <w:w w:val="105"/>
        </w:rPr>
        <w:t> </w:t>
      </w:r>
      <w:r>
        <w:rPr>
          <w:color w:val="231F20"/>
          <w:w w:val="105"/>
        </w:rPr>
        <w:t>eso</w:t>
      </w:r>
      <w:r>
        <w:rPr>
          <w:color w:val="231F20"/>
          <w:spacing w:val="-21"/>
          <w:w w:val="105"/>
        </w:rPr>
        <w:t> </w:t>
      </w:r>
      <w:r>
        <w:rPr>
          <w:color w:val="231F20"/>
          <w:w w:val="105"/>
        </w:rPr>
        <w:t>confiada,</w:t>
      </w:r>
      <w:r>
        <w:rPr>
          <w:color w:val="231F20"/>
          <w:spacing w:val="-21"/>
          <w:w w:val="105"/>
        </w:rPr>
        <w:t> </w:t>
      </w:r>
      <w:r>
        <w:rPr>
          <w:color w:val="231F20"/>
          <w:w w:val="105"/>
        </w:rPr>
        <w:t>tal</w:t>
      </w:r>
      <w:r>
        <w:rPr>
          <w:color w:val="231F20"/>
          <w:spacing w:val="-21"/>
          <w:w w:val="105"/>
        </w:rPr>
        <w:t> </w:t>
      </w:r>
      <w:r>
        <w:rPr>
          <w:color w:val="231F20"/>
          <w:w w:val="105"/>
        </w:rPr>
        <w:t>vez,</w:t>
      </w:r>
      <w:r>
        <w:rPr>
          <w:color w:val="231F20"/>
          <w:spacing w:val="-21"/>
          <w:w w:val="105"/>
        </w:rPr>
        <w:t> </w:t>
      </w:r>
      <w:r>
        <w:rPr>
          <w:color w:val="231F20"/>
          <w:w w:val="105"/>
        </w:rPr>
        <w:t>a</w:t>
      </w:r>
      <w:r>
        <w:rPr>
          <w:color w:val="231F20"/>
          <w:spacing w:val="-21"/>
          <w:w w:val="105"/>
        </w:rPr>
        <w:t> </w:t>
      </w:r>
      <w:r>
        <w:rPr>
          <w:color w:val="231F20"/>
          <w:w w:val="105"/>
        </w:rPr>
        <w:t>la gestión</w:t>
      </w:r>
      <w:r>
        <w:rPr>
          <w:color w:val="231F20"/>
          <w:spacing w:val="-15"/>
          <w:w w:val="105"/>
        </w:rPr>
        <w:t> </w:t>
      </w:r>
      <w:r>
        <w:rPr>
          <w:color w:val="231F20"/>
          <w:w w:val="105"/>
        </w:rPr>
        <w:t>casi</w:t>
      </w:r>
      <w:r>
        <w:rPr>
          <w:color w:val="231F20"/>
          <w:spacing w:val="-15"/>
          <w:w w:val="105"/>
        </w:rPr>
        <w:t> </w:t>
      </w:r>
      <w:r>
        <w:rPr>
          <w:color w:val="231F20"/>
          <w:w w:val="105"/>
        </w:rPr>
        <w:t>casta</w:t>
      </w:r>
      <w:r>
        <w:rPr>
          <w:color w:val="231F20"/>
          <w:spacing w:val="-15"/>
          <w:w w:val="105"/>
        </w:rPr>
        <w:t> </w:t>
      </w:r>
      <w:r>
        <w:rPr>
          <w:color w:val="231F20"/>
          <w:w w:val="105"/>
        </w:rPr>
        <w:t>de</w:t>
      </w:r>
      <w:r>
        <w:rPr>
          <w:color w:val="231F20"/>
          <w:spacing w:val="-15"/>
          <w:w w:val="105"/>
        </w:rPr>
        <w:t> </w:t>
      </w:r>
      <w:r>
        <w:rPr>
          <w:color w:val="231F20"/>
          <w:w w:val="105"/>
        </w:rPr>
        <w:t>un</w:t>
      </w:r>
      <w:r>
        <w:rPr>
          <w:color w:val="231F20"/>
          <w:spacing w:val="-15"/>
          <w:w w:val="105"/>
        </w:rPr>
        <w:t> </w:t>
      </w:r>
      <w:r>
        <w:rPr>
          <w:color w:val="231F20"/>
          <w:w w:val="105"/>
        </w:rPr>
        <w:t>cuerpo</w:t>
      </w:r>
      <w:r>
        <w:rPr>
          <w:color w:val="231F20"/>
          <w:spacing w:val="-15"/>
          <w:w w:val="105"/>
        </w:rPr>
        <w:t> </w:t>
      </w:r>
      <w:r>
        <w:rPr>
          <w:rFonts w:ascii="Arial" w:hAnsi="Arial"/>
          <w:i/>
          <w:color w:val="231F20"/>
          <w:w w:val="105"/>
        </w:rPr>
        <w:t>ad</w:t>
      </w:r>
      <w:r>
        <w:rPr>
          <w:rFonts w:ascii="Arial" w:hAnsi="Arial"/>
          <w:i/>
          <w:color w:val="231F20"/>
          <w:spacing w:val="-8"/>
          <w:w w:val="105"/>
        </w:rPr>
        <w:t> </w:t>
      </w:r>
      <w:r>
        <w:rPr>
          <w:rFonts w:ascii="Arial" w:hAnsi="Arial"/>
          <w:i/>
          <w:color w:val="231F20"/>
          <w:w w:val="105"/>
        </w:rPr>
        <w:t>hoc</w:t>
      </w:r>
      <w:r>
        <w:rPr>
          <w:color w:val="231F20"/>
          <w:w w:val="105"/>
        </w:rPr>
        <w:t>:</w:t>
      </w:r>
      <w:r>
        <w:rPr>
          <w:color w:val="231F20"/>
          <w:spacing w:val="-15"/>
          <w:w w:val="105"/>
        </w:rPr>
        <w:t> </w:t>
      </w:r>
      <w:r>
        <w:rPr>
          <w:color w:val="231F20"/>
          <w:w w:val="105"/>
        </w:rPr>
        <w:t>el</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juristas).</w:t>
      </w:r>
      <w:r>
        <w:rPr>
          <w:color w:val="231F20"/>
          <w:spacing w:val="-15"/>
          <w:w w:val="105"/>
        </w:rPr>
        <w:t> </w:t>
      </w:r>
      <w:r>
        <w:rPr>
          <w:color w:val="231F20"/>
          <w:w w:val="105"/>
        </w:rPr>
        <w:t>No</w:t>
      </w:r>
      <w:r>
        <w:rPr>
          <w:color w:val="231F20"/>
          <w:spacing w:val="-15"/>
          <w:w w:val="105"/>
        </w:rPr>
        <w:t> </w:t>
      </w:r>
      <w:r>
        <w:rPr>
          <w:color w:val="231F20"/>
          <w:w w:val="105"/>
        </w:rPr>
        <w:t>se</w:t>
      </w:r>
      <w:r>
        <w:rPr>
          <w:color w:val="231F20"/>
          <w:spacing w:val="-15"/>
          <w:w w:val="105"/>
        </w:rPr>
        <w:t> </w:t>
      </w:r>
      <w:r>
        <w:rPr>
          <w:color w:val="231F20"/>
          <w:w w:val="105"/>
        </w:rPr>
        <w:t>trata</w:t>
      </w:r>
      <w:r>
        <w:rPr>
          <w:color w:val="231F20"/>
          <w:spacing w:val="-15"/>
          <w:w w:val="105"/>
        </w:rPr>
        <w:t> </w:t>
      </w:r>
      <w:r>
        <w:rPr>
          <w:color w:val="231F20"/>
          <w:w w:val="105"/>
        </w:rPr>
        <w:t>de atribuir</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técnica</w:t>
      </w:r>
      <w:r>
        <w:rPr>
          <w:color w:val="231F20"/>
          <w:spacing w:val="-17"/>
          <w:w w:val="105"/>
        </w:rPr>
        <w:t> </w:t>
      </w:r>
      <w:r>
        <w:rPr>
          <w:color w:val="231F20"/>
          <w:w w:val="105"/>
        </w:rPr>
        <w:t>capacidades</w:t>
      </w:r>
      <w:r>
        <w:rPr>
          <w:color w:val="231F20"/>
          <w:spacing w:val="-17"/>
          <w:w w:val="105"/>
        </w:rPr>
        <w:t> </w:t>
      </w:r>
      <w:r>
        <w:rPr>
          <w:color w:val="231F20"/>
          <w:w w:val="105"/>
        </w:rPr>
        <w:t>liberatorias</w:t>
      </w:r>
      <w:r>
        <w:rPr>
          <w:color w:val="231F20"/>
          <w:spacing w:val="-17"/>
          <w:w w:val="105"/>
        </w:rPr>
        <w:t> </w:t>
      </w:r>
      <w:r>
        <w:rPr>
          <w:color w:val="231F20"/>
          <w:w w:val="105"/>
        </w:rPr>
        <w:t>o</w:t>
      </w:r>
      <w:r>
        <w:rPr>
          <w:color w:val="231F20"/>
          <w:spacing w:val="-17"/>
          <w:w w:val="105"/>
        </w:rPr>
        <w:t> </w:t>
      </w:r>
      <w:r>
        <w:rPr>
          <w:color w:val="231F20"/>
          <w:w w:val="105"/>
        </w:rPr>
        <w:t>humanitarias,</w:t>
      </w:r>
      <w:r>
        <w:rPr>
          <w:color w:val="231F20"/>
          <w:spacing w:val="-17"/>
          <w:w w:val="105"/>
        </w:rPr>
        <w:t> </w:t>
      </w:r>
      <w:r>
        <w:rPr>
          <w:color w:val="231F20"/>
          <w:w w:val="105"/>
        </w:rPr>
        <w:t>sino</w:t>
      </w:r>
      <w:r>
        <w:rPr>
          <w:color w:val="231F20"/>
          <w:spacing w:val="-17"/>
          <w:w w:val="105"/>
        </w:rPr>
        <w:t> </w:t>
      </w:r>
      <w:r>
        <w:rPr>
          <w:color w:val="231F20"/>
          <w:w w:val="105"/>
        </w:rPr>
        <w:t>simple- mente</w:t>
      </w:r>
      <w:r>
        <w:rPr>
          <w:color w:val="231F20"/>
          <w:spacing w:val="-38"/>
          <w:w w:val="105"/>
        </w:rPr>
        <w:t> </w:t>
      </w:r>
      <w:r>
        <w:rPr>
          <w:color w:val="231F20"/>
          <w:w w:val="105"/>
        </w:rPr>
        <w:t>de</w:t>
      </w:r>
      <w:r>
        <w:rPr>
          <w:color w:val="231F20"/>
          <w:spacing w:val="-38"/>
          <w:w w:val="105"/>
        </w:rPr>
        <w:t> </w:t>
      </w:r>
      <w:r>
        <w:rPr>
          <w:color w:val="231F20"/>
          <w:w w:val="105"/>
        </w:rPr>
        <w:t>formular</w:t>
      </w:r>
      <w:r>
        <w:rPr>
          <w:color w:val="231F20"/>
          <w:spacing w:val="-38"/>
          <w:w w:val="105"/>
        </w:rPr>
        <w:t> </w:t>
      </w:r>
      <w:r>
        <w:rPr>
          <w:color w:val="231F20"/>
          <w:w w:val="105"/>
        </w:rPr>
        <w:t>hipótesis</w:t>
      </w:r>
      <w:r>
        <w:rPr>
          <w:color w:val="231F20"/>
          <w:spacing w:val="-38"/>
          <w:w w:val="105"/>
        </w:rPr>
        <w:t> </w:t>
      </w:r>
      <w:r>
        <w:rPr>
          <w:color w:val="231F20"/>
          <w:w w:val="105"/>
        </w:rPr>
        <w:t>sobre</w:t>
      </w:r>
      <w:r>
        <w:rPr>
          <w:color w:val="231F20"/>
          <w:spacing w:val="-38"/>
          <w:w w:val="105"/>
        </w:rPr>
        <w:t> </w:t>
      </w:r>
      <w:r>
        <w:rPr>
          <w:color w:val="231F20"/>
          <w:w w:val="105"/>
        </w:rPr>
        <w:t>un</w:t>
      </w:r>
      <w:r>
        <w:rPr>
          <w:color w:val="231F20"/>
          <w:spacing w:val="-38"/>
          <w:w w:val="105"/>
        </w:rPr>
        <w:t> </w:t>
      </w:r>
      <w:r>
        <w:rPr>
          <w:color w:val="231F20"/>
          <w:w w:val="105"/>
        </w:rPr>
        <w:t>uso</w:t>
      </w:r>
      <w:r>
        <w:rPr>
          <w:color w:val="231F20"/>
          <w:spacing w:val="-38"/>
          <w:w w:val="105"/>
        </w:rPr>
        <w:t> </w:t>
      </w:r>
      <w:r>
        <w:rPr>
          <w:color w:val="231F20"/>
          <w:w w:val="105"/>
        </w:rPr>
        <w:t>correcto</w:t>
      </w:r>
      <w:r>
        <w:rPr>
          <w:color w:val="231F20"/>
          <w:spacing w:val="-38"/>
          <w:w w:val="105"/>
        </w:rPr>
        <w:t> </w:t>
      </w:r>
      <w:r>
        <w:rPr>
          <w:color w:val="231F20"/>
          <w:w w:val="105"/>
        </w:rPr>
        <w:t>por</w:t>
      </w:r>
      <w:r>
        <w:rPr>
          <w:color w:val="231F20"/>
          <w:spacing w:val="-38"/>
          <w:w w:val="105"/>
        </w:rPr>
        <w:t> </w:t>
      </w:r>
      <w:r>
        <w:rPr>
          <w:color w:val="231F20"/>
          <w:w w:val="105"/>
        </w:rPr>
        <w:t>parte</w:t>
      </w:r>
      <w:r>
        <w:rPr>
          <w:color w:val="231F20"/>
          <w:spacing w:val="-38"/>
          <w:w w:val="105"/>
        </w:rPr>
        <w:t> </w:t>
      </w:r>
      <w:r>
        <w:rPr>
          <w:color w:val="231F20"/>
          <w:w w:val="105"/>
        </w:rPr>
        <w:t>de</w:t>
      </w:r>
      <w:r>
        <w:rPr>
          <w:color w:val="231F20"/>
          <w:spacing w:val="-38"/>
          <w:w w:val="105"/>
        </w:rPr>
        <w:t> </w:t>
      </w:r>
      <w:r>
        <w:rPr>
          <w:color w:val="231F20"/>
          <w:w w:val="105"/>
        </w:rPr>
        <w:t>los</w:t>
      </w:r>
      <w:r>
        <w:rPr>
          <w:color w:val="231F20"/>
          <w:spacing w:val="-38"/>
          <w:w w:val="105"/>
        </w:rPr>
        <w:t> </w:t>
      </w:r>
      <w:r>
        <w:rPr>
          <w:color w:val="231F20"/>
          <w:w w:val="105"/>
        </w:rPr>
        <w:t>sujetos, ellos</w:t>
      </w:r>
      <w:r>
        <w:rPr>
          <w:color w:val="231F20"/>
          <w:spacing w:val="-32"/>
          <w:w w:val="105"/>
        </w:rPr>
        <w:t> </w:t>
      </w:r>
      <w:r>
        <w:rPr>
          <w:color w:val="231F20"/>
          <w:w w:val="105"/>
        </w:rPr>
        <w:t>sí</w:t>
      </w:r>
      <w:r>
        <w:rPr>
          <w:color w:val="231F20"/>
          <w:spacing w:val="-32"/>
          <w:w w:val="105"/>
        </w:rPr>
        <w:t> </w:t>
      </w:r>
      <w:r>
        <w:rPr>
          <w:rFonts w:ascii="Arial" w:hAnsi="Arial"/>
          <w:i/>
          <w:color w:val="231F20"/>
          <w:w w:val="105"/>
        </w:rPr>
        <w:t>eventually</w:t>
      </w:r>
      <w:r>
        <w:rPr>
          <w:rFonts w:ascii="Arial" w:hAnsi="Arial"/>
          <w:i/>
          <w:color w:val="231F20"/>
          <w:spacing w:val="-24"/>
          <w:w w:val="105"/>
        </w:rPr>
        <w:t> </w:t>
      </w:r>
      <w:r>
        <w:rPr>
          <w:color w:val="231F20"/>
          <w:w w:val="105"/>
        </w:rPr>
        <w:t>cargados</w:t>
      </w:r>
      <w:r>
        <w:rPr>
          <w:color w:val="231F20"/>
          <w:spacing w:val="-32"/>
          <w:w w:val="105"/>
        </w:rPr>
        <w:t> </w:t>
      </w:r>
      <w:r>
        <w:rPr>
          <w:color w:val="231F20"/>
          <w:w w:val="105"/>
        </w:rPr>
        <w:t>de</w:t>
      </w:r>
      <w:r>
        <w:rPr>
          <w:color w:val="231F20"/>
          <w:spacing w:val="-32"/>
          <w:w w:val="105"/>
        </w:rPr>
        <w:t> </w:t>
      </w:r>
      <w:r>
        <w:rPr>
          <w:color w:val="231F20"/>
          <w:w w:val="105"/>
        </w:rPr>
        <w:t>contenidos</w:t>
      </w:r>
      <w:r>
        <w:rPr>
          <w:color w:val="231F20"/>
          <w:spacing w:val="-32"/>
          <w:w w:val="105"/>
        </w:rPr>
        <w:t> </w:t>
      </w:r>
      <w:r>
        <w:rPr>
          <w:color w:val="231F20"/>
          <w:w w:val="105"/>
        </w:rPr>
        <w:t>liberatorios</w:t>
      </w:r>
      <w:r>
        <w:rPr>
          <w:color w:val="231F20"/>
          <w:spacing w:val="-32"/>
          <w:w w:val="105"/>
        </w:rPr>
        <w:t> </w:t>
      </w:r>
      <w:r>
        <w:rPr>
          <w:color w:val="231F20"/>
          <w:w w:val="105"/>
        </w:rPr>
        <w:t>y</w:t>
      </w:r>
      <w:r>
        <w:rPr>
          <w:color w:val="231F20"/>
          <w:spacing w:val="-32"/>
          <w:w w:val="105"/>
        </w:rPr>
        <w:t> </w:t>
      </w:r>
      <w:r>
        <w:rPr>
          <w:color w:val="231F20"/>
          <w:w w:val="105"/>
        </w:rPr>
        <w:t>humanitarios.</w:t>
      </w:r>
      <w:r>
        <w:rPr>
          <w:color w:val="231F20"/>
          <w:spacing w:val="-32"/>
          <w:w w:val="105"/>
        </w:rPr>
        <w:t> </w:t>
      </w:r>
      <w:r>
        <w:rPr>
          <w:color w:val="231F20"/>
          <w:w w:val="105"/>
        </w:rPr>
        <w:t>Re- ferirse</w:t>
      </w:r>
      <w:r>
        <w:rPr>
          <w:color w:val="231F20"/>
          <w:spacing w:val="-37"/>
          <w:w w:val="105"/>
        </w:rPr>
        <w:t> </w:t>
      </w:r>
      <w:r>
        <w:rPr>
          <w:color w:val="231F20"/>
          <w:w w:val="105"/>
        </w:rPr>
        <w:t>a</w:t>
      </w:r>
      <w:r>
        <w:rPr>
          <w:color w:val="231F20"/>
          <w:spacing w:val="-37"/>
          <w:w w:val="105"/>
        </w:rPr>
        <w:t> </w:t>
      </w:r>
      <w:r>
        <w:rPr>
          <w:color w:val="231F20"/>
          <w:w w:val="105"/>
        </w:rPr>
        <w:t>la</w:t>
      </w:r>
      <w:r>
        <w:rPr>
          <w:color w:val="231F20"/>
          <w:spacing w:val="-37"/>
          <w:w w:val="105"/>
        </w:rPr>
        <w:t> </w:t>
      </w:r>
      <w:r>
        <w:rPr>
          <w:color w:val="231F20"/>
          <w:w w:val="105"/>
        </w:rPr>
        <w:t>técnica</w:t>
      </w:r>
      <w:r>
        <w:rPr>
          <w:color w:val="231F20"/>
          <w:spacing w:val="-37"/>
          <w:w w:val="105"/>
        </w:rPr>
        <w:t> </w:t>
      </w:r>
      <w:r>
        <w:rPr>
          <w:color w:val="231F20"/>
          <w:w w:val="105"/>
        </w:rPr>
        <w:t>significa,</w:t>
      </w:r>
      <w:r>
        <w:rPr>
          <w:color w:val="231F20"/>
          <w:spacing w:val="-37"/>
          <w:w w:val="105"/>
        </w:rPr>
        <w:t> </w:t>
      </w:r>
      <w:r>
        <w:rPr>
          <w:color w:val="231F20"/>
          <w:w w:val="105"/>
        </w:rPr>
        <w:t>por</w:t>
      </w:r>
      <w:r>
        <w:rPr>
          <w:color w:val="231F20"/>
          <w:spacing w:val="-37"/>
          <w:w w:val="105"/>
        </w:rPr>
        <w:t> </w:t>
      </w:r>
      <w:r>
        <w:rPr>
          <w:color w:val="231F20"/>
          <w:w w:val="105"/>
        </w:rPr>
        <w:t>lo</w:t>
      </w:r>
      <w:r>
        <w:rPr>
          <w:color w:val="231F20"/>
          <w:spacing w:val="-37"/>
          <w:w w:val="105"/>
        </w:rPr>
        <w:t> </w:t>
      </w:r>
      <w:r>
        <w:rPr>
          <w:color w:val="231F20"/>
          <w:w w:val="105"/>
        </w:rPr>
        <w:t>tanto,</w:t>
      </w:r>
      <w:r>
        <w:rPr>
          <w:color w:val="231F20"/>
          <w:spacing w:val="-37"/>
          <w:w w:val="105"/>
        </w:rPr>
        <w:t> </w:t>
      </w:r>
      <w:r>
        <w:rPr>
          <w:color w:val="231F20"/>
          <w:w w:val="105"/>
        </w:rPr>
        <w:t>aludir</w:t>
      </w:r>
      <w:r>
        <w:rPr>
          <w:color w:val="231F20"/>
          <w:spacing w:val="-37"/>
          <w:w w:val="105"/>
        </w:rPr>
        <w:t> </w:t>
      </w:r>
      <w:r>
        <w:rPr>
          <w:color w:val="231F20"/>
          <w:w w:val="105"/>
        </w:rPr>
        <w:t>de</w:t>
      </w:r>
      <w:r>
        <w:rPr>
          <w:color w:val="231F20"/>
          <w:spacing w:val="-37"/>
          <w:w w:val="105"/>
        </w:rPr>
        <w:t> </w:t>
      </w:r>
      <w:r>
        <w:rPr>
          <w:color w:val="231F20"/>
          <w:w w:val="105"/>
        </w:rPr>
        <w:t>nuevo</w:t>
      </w:r>
      <w:r>
        <w:rPr>
          <w:color w:val="231F20"/>
          <w:spacing w:val="-37"/>
          <w:w w:val="105"/>
        </w:rPr>
        <w:t> </w:t>
      </w:r>
      <w:r>
        <w:rPr>
          <w:color w:val="231F20"/>
          <w:w w:val="105"/>
        </w:rPr>
        <w:t>a</w:t>
      </w:r>
      <w:r>
        <w:rPr>
          <w:color w:val="231F20"/>
          <w:spacing w:val="-37"/>
          <w:w w:val="105"/>
        </w:rPr>
        <w:t> </w:t>
      </w:r>
      <w:r>
        <w:rPr>
          <w:color w:val="231F20"/>
          <w:w w:val="105"/>
        </w:rPr>
        <w:t>sujetos</w:t>
      </w:r>
      <w:r>
        <w:rPr>
          <w:color w:val="231F20"/>
          <w:spacing w:val="-37"/>
          <w:w w:val="105"/>
        </w:rPr>
        <w:t> </w:t>
      </w:r>
      <w:r>
        <w:rPr>
          <w:color w:val="231F20"/>
          <w:w w:val="105"/>
        </w:rPr>
        <w:t>agentes, pero</w:t>
      </w:r>
      <w:r>
        <w:rPr>
          <w:color w:val="231F20"/>
          <w:spacing w:val="-43"/>
          <w:w w:val="105"/>
        </w:rPr>
        <w:t> </w:t>
      </w:r>
      <w:r>
        <w:rPr>
          <w:color w:val="231F20"/>
          <w:w w:val="105"/>
        </w:rPr>
        <w:t>esta</w:t>
      </w:r>
      <w:r>
        <w:rPr>
          <w:color w:val="231F20"/>
          <w:spacing w:val="-43"/>
          <w:w w:val="105"/>
        </w:rPr>
        <w:t> </w:t>
      </w:r>
      <w:r>
        <w:rPr>
          <w:color w:val="231F20"/>
          <w:w w:val="105"/>
        </w:rPr>
        <w:t>vez</w:t>
      </w:r>
      <w:r>
        <w:rPr>
          <w:color w:val="231F20"/>
          <w:spacing w:val="-43"/>
          <w:w w:val="105"/>
        </w:rPr>
        <w:t> </w:t>
      </w:r>
      <w:r>
        <w:rPr>
          <w:color w:val="231F20"/>
          <w:w w:val="105"/>
        </w:rPr>
        <w:t>menos</w:t>
      </w:r>
      <w:r>
        <w:rPr>
          <w:color w:val="231F20"/>
          <w:spacing w:val="-43"/>
          <w:w w:val="105"/>
        </w:rPr>
        <w:t> </w:t>
      </w:r>
      <w:r>
        <w:rPr>
          <w:color w:val="231F20"/>
          <w:w w:val="105"/>
        </w:rPr>
        <w:t>obstaculizados</w:t>
      </w:r>
      <w:r>
        <w:rPr>
          <w:color w:val="231F20"/>
          <w:spacing w:val="-43"/>
          <w:w w:val="105"/>
        </w:rPr>
        <w:t> </w:t>
      </w:r>
      <w:r>
        <w:rPr>
          <w:color w:val="231F20"/>
          <w:w w:val="105"/>
        </w:rPr>
        <w:t>en</w:t>
      </w:r>
      <w:r>
        <w:rPr>
          <w:color w:val="231F20"/>
          <w:spacing w:val="-43"/>
          <w:w w:val="105"/>
        </w:rPr>
        <w:t> </w:t>
      </w:r>
      <w:r>
        <w:rPr>
          <w:color w:val="231F20"/>
          <w:w w:val="105"/>
        </w:rPr>
        <w:t>su</w:t>
      </w:r>
      <w:r>
        <w:rPr>
          <w:color w:val="231F20"/>
          <w:spacing w:val="-43"/>
          <w:w w:val="105"/>
        </w:rPr>
        <w:t> </w:t>
      </w:r>
      <w:r>
        <w:rPr>
          <w:color w:val="231F20"/>
          <w:w w:val="105"/>
        </w:rPr>
        <w:t>actuar</w:t>
      </w:r>
      <w:r>
        <w:rPr>
          <w:color w:val="231F20"/>
          <w:spacing w:val="-43"/>
          <w:w w:val="105"/>
        </w:rPr>
        <w:t> </w:t>
      </w:r>
      <w:r>
        <w:rPr>
          <w:color w:val="231F20"/>
          <w:w w:val="105"/>
        </w:rPr>
        <w:t>por</w:t>
      </w:r>
      <w:r>
        <w:rPr>
          <w:color w:val="231F20"/>
          <w:spacing w:val="-43"/>
          <w:w w:val="105"/>
        </w:rPr>
        <w:t> </w:t>
      </w:r>
      <w:r>
        <w:rPr>
          <w:color w:val="231F20"/>
          <w:w w:val="105"/>
        </w:rPr>
        <w:t>las</w:t>
      </w:r>
      <w:r>
        <w:rPr>
          <w:color w:val="231F20"/>
          <w:spacing w:val="-43"/>
          <w:w w:val="105"/>
        </w:rPr>
        <w:t> </w:t>
      </w:r>
      <w:r>
        <w:rPr>
          <w:color w:val="231F20"/>
          <w:w w:val="105"/>
        </w:rPr>
        <w:t>contraindicaciones ya</w:t>
      </w:r>
      <w:r>
        <w:rPr>
          <w:color w:val="231F20"/>
          <w:spacing w:val="-5"/>
          <w:w w:val="105"/>
        </w:rPr>
        <w:t> </w:t>
      </w:r>
      <w:r>
        <w:rPr>
          <w:color w:val="231F20"/>
          <w:w w:val="105"/>
        </w:rPr>
        <w:t>presentes</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ordenamiento</w:t>
      </w:r>
      <w:r>
        <w:rPr>
          <w:color w:val="231F20"/>
          <w:spacing w:val="-5"/>
          <w:w w:val="105"/>
        </w:rPr>
        <w:t> </w:t>
      </w:r>
      <w:r>
        <w:rPr>
          <w:color w:val="231F20"/>
          <w:w w:val="105"/>
        </w:rPr>
        <w:t>jurídico</w:t>
      </w:r>
      <w:r>
        <w:rPr>
          <w:color w:val="231F20"/>
          <w:spacing w:val="-5"/>
          <w:w w:val="105"/>
        </w:rPr>
        <w:t> </w:t>
      </w:r>
      <w:r>
        <w:rPr>
          <w:color w:val="231F20"/>
          <w:spacing w:val="-10"/>
          <w:w w:val="105"/>
        </w:rPr>
        <w:t>y,</w:t>
      </w:r>
      <w:r>
        <w:rPr>
          <w:color w:val="231F20"/>
          <w:spacing w:val="-5"/>
          <w:w w:val="105"/>
        </w:rPr>
        <w:t> </w:t>
      </w:r>
      <w:r>
        <w:rPr>
          <w:color w:val="231F20"/>
          <w:w w:val="105"/>
        </w:rPr>
        <w:t>por</w:t>
      </w:r>
      <w:r>
        <w:rPr>
          <w:color w:val="231F20"/>
          <w:spacing w:val="-5"/>
          <w:w w:val="105"/>
        </w:rPr>
        <w:t> </w:t>
      </w:r>
      <w:r>
        <w:rPr>
          <w:color w:val="231F20"/>
          <w:w w:val="105"/>
        </w:rPr>
        <w:t>su</w:t>
      </w:r>
      <w:r>
        <w:rPr>
          <w:color w:val="231F20"/>
          <w:spacing w:val="-5"/>
          <w:w w:val="105"/>
        </w:rPr>
        <w:t> </w:t>
      </w:r>
      <w:r>
        <w:rPr>
          <w:color w:val="231F20"/>
          <w:w w:val="105"/>
        </w:rPr>
        <w:t>trámite,</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Estado </w:t>
      </w:r>
      <w:r>
        <w:rPr>
          <w:color w:val="231F20"/>
        </w:rPr>
        <w:t>jurídicamente</w:t>
      </w:r>
      <w:r>
        <w:rPr>
          <w:color w:val="231F20"/>
          <w:spacing w:val="60"/>
        </w:rPr>
        <w:t> </w:t>
      </w:r>
      <w:r>
        <w:rPr>
          <w:color w:val="231F20"/>
        </w:rPr>
        <w:t>concebido.</w:t>
      </w:r>
    </w:p>
    <w:p>
      <w:pPr>
        <w:pStyle w:val="BodyText"/>
        <w:spacing w:line="247" w:lineRule="auto"/>
        <w:ind w:left="103" w:right="115" w:firstLine="566"/>
        <w:jc w:val="both"/>
      </w:pPr>
      <w:r>
        <w:rPr>
          <w:color w:val="231F20"/>
          <w:w w:val="105"/>
        </w:rPr>
        <w:t>En</w:t>
      </w:r>
      <w:r>
        <w:rPr>
          <w:color w:val="231F20"/>
          <w:spacing w:val="-26"/>
          <w:w w:val="105"/>
        </w:rPr>
        <w:t> </w:t>
      </w:r>
      <w:r>
        <w:rPr>
          <w:color w:val="231F20"/>
          <w:w w:val="105"/>
        </w:rPr>
        <w:t>esa</w:t>
      </w:r>
      <w:r>
        <w:rPr>
          <w:color w:val="231F20"/>
          <w:spacing w:val="-26"/>
          <w:w w:val="105"/>
        </w:rPr>
        <w:t> </w:t>
      </w:r>
      <w:r>
        <w:rPr>
          <w:color w:val="231F20"/>
          <w:w w:val="105"/>
        </w:rPr>
        <w:t>grieta</w:t>
      </w:r>
      <w:r>
        <w:rPr>
          <w:color w:val="231F20"/>
          <w:spacing w:val="-26"/>
          <w:w w:val="105"/>
        </w:rPr>
        <w:t> </w:t>
      </w:r>
      <w:r>
        <w:rPr>
          <w:color w:val="231F20"/>
          <w:w w:val="105"/>
        </w:rPr>
        <w:t>del</w:t>
      </w:r>
      <w:r>
        <w:rPr>
          <w:color w:val="231F20"/>
          <w:spacing w:val="-26"/>
          <w:w w:val="105"/>
        </w:rPr>
        <w:t> </w:t>
      </w:r>
      <w:r>
        <w:rPr>
          <w:color w:val="231F20"/>
          <w:w w:val="105"/>
        </w:rPr>
        <w:t>Derecho</w:t>
      </w:r>
      <w:r>
        <w:rPr>
          <w:color w:val="231F20"/>
          <w:spacing w:val="-26"/>
          <w:w w:val="105"/>
        </w:rPr>
        <w:t> </w:t>
      </w:r>
      <w:r>
        <w:rPr>
          <w:color w:val="231F20"/>
          <w:w w:val="105"/>
        </w:rPr>
        <w:t>puede</w:t>
      </w:r>
      <w:r>
        <w:rPr>
          <w:color w:val="231F20"/>
          <w:spacing w:val="-26"/>
          <w:w w:val="105"/>
        </w:rPr>
        <w:t> </w:t>
      </w:r>
      <w:r>
        <w:rPr>
          <w:color w:val="231F20"/>
          <w:w w:val="105"/>
        </w:rPr>
        <w:t>tal</w:t>
      </w:r>
      <w:r>
        <w:rPr>
          <w:color w:val="231F20"/>
          <w:spacing w:val="-26"/>
          <w:w w:val="105"/>
        </w:rPr>
        <w:t> </w:t>
      </w:r>
      <w:r>
        <w:rPr>
          <w:color w:val="231F20"/>
          <w:w w:val="105"/>
        </w:rPr>
        <w:t>vez</w:t>
      </w:r>
      <w:r>
        <w:rPr>
          <w:color w:val="231F20"/>
          <w:spacing w:val="-26"/>
          <w:w w:val="105"/>
        </w:rPr>
        <w:t> </w:t>
      </w:r>
      <w:r>
        <w:rPr>
          <w:color w:val="231F20"/>
          <w:w w:val="105"/>
        </w:rPr>
        <w:t>encontrar</w:t>
      </w:r>
      <w:r>
        <w:rPr>
          <w:color w:val="231F20"/>
          <w:spacing w:val="-26"/>
          <w:w w:val="105"/>
        </w:rPr>
        <w:t> </w:t>
      </w:r>
      <w:r>
        <w:rPr>
          <w:color w:val="231F20"/>
          <w:w w:val="105"/>
        </w:rPr>
        <w:t>camino</w:t>
      </w:r>
      <w:r>
        <w:rPr>
          <w:color w:val="231F20"/>
          <w:spacing w:val="-26"/>
          <w:w w:val="105"/>
        </w:rPr>
        <w:t> </w:t>
      </w:r>
      <w:r>
        <w:rPr>
          <w:color w:val="231F20"/>
          <w:w w:val="105"/>
        </w:rPr>
        <w:t>el</w:t>
      </w:r>
      <w:r>
        <w:rPr>
          <w:color w:val="231F20"/>
          <w:spacing w:val="-26"/>
          <w:w w:val="105"/>
        </w:rPr>
        <w:t> </w:t>
      </w:r>
      <w:r>
        <w:rPr>
          <w:color w:val="231F20"/>
          <w:w w:val="105"/>
        </w:rPr>
        <w:t>intento de “provincializar” Europa (pero también el Occidente con su Atlántico) mostrando</w:t>
      </w:r>
      <w:r>
        <w:rPr>
          <w:color w:val="231F20"/>
          <w:spacing w:val="-17"/>
          <w:w w:val="105"/>
        </w:rPr>
        <w:t> </w:t>
      </w:r>
      <w:r>
        <w:rPr>
          <w:color w:val="231F20"/>
          <w:w w:val="105"/>
        </w:rPr>
        <w:t>el</w:t>
      </w:r>
      <w:r>
        <w:rPr>
          <w:color w:val="231F20"/>
          <w:spacing w:val="-17"/>
          <w:w w:val="105"/>
        </w:rPr>
        <w:t> </w:t>
      </w:r>
      <w:r>
        <w:rPr>
          <w:color w:val="231F20"/>
          <w:w w:val="105"/>
        </w:rPr>
        <w:t>intrínseco</w:t>
      </w:r>
      <w:r>
        <w:rPr>
          <w:color w:val="231F20"/>
          <w:spacing w:val="-17"/>
          <w:w w:val="105"/>
        </w:rPr>
        <w:t> </w:t>
      </w:r>
      <w:r>
        <w:rPr>
          <w:color w:val="231F20"/>
          <w:w w:val="105"/>
        </w:rPr>
        <w:t>“nacionalismo”</w:t>
      </w:r>
      <w:r>
        <w:rPr>
          <w:color w:val="231F20"/>
          <w:spacing w:val="-17"/>
          <w:w w:val="105"/>
        </w:rPr>
        <w:t> </w:t>
      </w:r>
      <w:r>
        <w:rPr>
          <w:color w:val="231F20"/>
          <w:w w:val="105"/>
        </w:rPr>
        <w:t>del</w:t>
      </w:r>
      <w:r>
        <w:rPr>
          <w:color w:val="231F20"/>
          <w:spacing w:val="-17"/>
          <w:w w:val="105"/>
        </w:rPr>
        <w:t> </w:t>
      </w:r>
      <w:r>
        <w:rPr>
          <w:color w:val="231F20"/>
          <w:w w:val="105"/>
        </w:rPr>
        <w:t>cual</w:t>
      </w:r>
      <w:r>
        <w:rPr>
          <w:color w:val="231F20"/>
          <w:spacing w:val="-17"/>
          <w:w w:val="105"/>
        </w:rPr>
        <w:t> </w:t>
      </w:r>
      <w:r>
        <w:rPr>
          <w:color w:val="231F20"/>
          <w:w w:val="105"/>
        </w:rPr>
        <w:t>las</w:t>
      </w:r>
      <w:r>
        <w:rPr>
          <w:color w:val="231F20"/>
          <w:spacing w:val="-17"/>
          <w:w w:val="105"/>
        </w:rPr>
        <w:t> </w:t>
      </w:r>
      <w:r>
        <w:rPr>
          <w:color w:val="231F20"/>
          <w:w w:val="105"/>
        </w:rPr>
        <w:t>nuevas</w:t>
      </w:r>
      <w:r>
        <w:rPr>
          <w:color w:val="231F20"/>
          <w:spacing w:val="-17"/>
          <w:w w:val="105"/>
        </w:rPr>
        <w:t> </w:t>
      </w:r>
      <w:r>
        <w:rPr>
          <w:color w:val="231F20"/>
          <w:w w:val="105"/>
        </w:rPr>
        <w:t>tecnociencias</w:t>
      </w:r>
    </w:p>
    <w:p>
      <w:pPr>
        <w:pStyle w:val="BodyText"/>
        <w:rPr>
          <w:sz w:val="20"/>
        </w:rPr>
      </w:pPr>
    </w:p>
    <w:p>
      <w:pPr>
        <w:pStyle w:val="BodyText"/>
        <w:spacing w:before="9"/>
        <w:rPr>
          <w:sz w:val="13"/>
        </w:rPr>
      </w:pPr>
      <w:r>
        <w:rPr/>
        <w:pict>
          <v:line style="position:absolute;mso-position-horizontal-relative:page;mso-position-vertical-relative:paragraph;z-index:5584;mso-wrap-distance-left:0;mso-wrap-distance-right:0" from="65.196899pt,10.436672pt" to="178.582899pt,10.436672pt" stroked="true" strokeweight=".3pt" strokecolor="#231f20">
            <w10:wrap type="topAndBottom"/>
          </v:line>
        </w:pict>
      </w:r>
    </w:p>
    <w:p>
      <w:pPr>
        <w:spacing w:before="10"/>
        <w:ind w:left="103" w:right="0" w:firstLine="0"/>
        <w:jc w:val="left"/>
        <w:rPr>
          <w:rFonts w:ascii="Calibri" w:hAnsi="Calibri"/>
          <w:sz w:val="17"/>
        </w:rPr>
      </w:pPr>
      <w:r>
        <w:rPr>
          <w:rFonts w:ascii="Calibri" w:hAnsi="Calibri"/>
          <w:color w:val="231F20"/>
          <w:position w:val="6"/>
          <w:sz w:val="10"/>
        </w:rPr>
        <w:t>27 </w:t>
      </w:r>
      <w:r>
        <w:rPr>
          <w:rFonts w:ascii="Calibri" w:hAnsi="Calibri"/>
          <w:color w:val="231F20"/>
          <w:sz w:val="17"/>
        </w:rPr>
        <w:t>J. Habermas, </w:t>
      </w:r>
      <w:r>
        <w:rPr>
          <w:rFonts w:ascii="Calibri" w:hAnsi="Calibri"/>
          <w:i/>
          <w:color w:val="231F20"/>
          <w:sz w:val="17"/>
        </w:rPr>
        <w:t>Technik und Wissenschaft als ‚Ideologie‘</w:t>
      </w:r>
      <w:r>
        <w:rPr>
          <w:rFonts w:ascii="Calibri" w:hAnsi="Calibri"/>
          <w:color w:val="231F20"/>
          <w:sz w:val="17"/>
        </w:rPr>
        <w:t>, Frankfurt a.M. 1968.</w:t>
      </w:r>
    </w:p>
    <w:p>
      <w:pPr>
        <w:pStyle w:val="BodyText"/>
        <w:rPr>
          <w:rFonts w:ascii="Calibri"/>
          <w:sz w:val="20"/>
        </w:rPr>
      </w:pPr>
    </w:p>
    <w:p>
      <w:pPr>
        <w:pStyle w:val="BodyText"/>
        <w:spacing w:before="9"/>
        <w:rPr>
          <w:rFonts w:ascii="Calibri"/>
          <w:sz w:val="27"/>
        </w:rPr>
      </w:pPr>
    </w:p>
    <w:p>
      <w:pPr>
        <w:tabs>
          <w:tab w:pos="1331" w:val="left" w:leader="none"/>
        </w:tabs>
        <w:spacing w:before="68"/>
        <w:ind w:left="226" w:right="0" w:firstLine="0"/>
        <w:jc w:val="left"/>
        <w:rPr>
          <w:rFonts w:ascii="Calibri"/>
          <w:sz w:val="16"/>
        </w:rPr>
      </w:pPr>
      <w:r>
        <w:rPr/>
        <w:pict>
          <v:group style="position:absolute;margin-left:98.787804pt;margin-top:-3.358812pt;width:20.4pt;height:43pt;mso-position-horizontal-relative:page;mso-position-vertical-relative:paragraph;z-index:-169792"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102</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3924" w:right="0" w:firstLine="0"/>
        <w:jc w:val="left"/>
        <w:rPr>
          <w:rFonts w:ascii="Arial" w:hAnsi="Arial"/>
          <w:sz w:val="20"/>
        </w:rPr>
      </w:pPr>
      <w:r>
        <w:rPr/>
        <w:pict>
          <v:group style="position:absolute;margin-left:383.821014pt;margin-top:-25.479271pt;width:8.65pt;height:41pt;mso-position-horizontal-relative:page;mso-position-vertical-relative:paragraph;z-index:-16974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5"/>
          <w:sz w:val="14"/>
        </w:rPr>
        <w:t> </w:t>
      </w:r>
      <w:r>
        <w:rPr>
          <w:rFonts w:ascii="Lucida Sans Unicode" w:hAnsi="Lucida Sans Unicode"/>
          <w:color w:val="6D6E71"/>
          <w:sz w:val="14"/>
        </w:rPr>
        <w:t>ESTADO</w:t>
      </w:r>
      <w:r>
        <w:rPr>
          <w:rFonts w:ascii="Lucida Sans Unicode" w:hAnsi="Lucida Sans Unicode"/>
          <w:color w:val="6D6E71"/>
          <w:spacing w:val="-25"/>
          <w:sz w:val="14"/>
        </w:rPr>
        <w:t> </w:t>
      </w:r>
      <w:r>
        <w:rPr>
          <w:rFonts w:ascii="Lucida Sans Unicode" w:hAnsi="Lucida Sans Unicode"/>
          <w:color w:val="6D6E71"/>
          <w:sz w:val="14"/>
        </w:rPr>
        <w:t>MODERNO</w:t>
      </w:r>
      <w:r>
        <w:rPr>
          <w:rFonts w:ascii="Lucida Sans Unicode" w:hAnsi="Lucida Sans Unicode"/>
          <w:color w:val="6D6E71"/>
          <w:spacing w:val="-25"/>
          <w:sz w:val="14"/>
        </w:rPr>
        <w:t> </w:t>
      </w:r>
      <w:r>
        <w:rPr>
          <w:rFonts w:ascii="Lucida Sans Unicode" w:hAnsi="Lucida Sans Unicode"/>
          <w:color w:val="6D6E71"/>
          <w:sz w:val="14"/>
        </w:rPr>
        <w:t>HOY</w:t>
      </w:r>
      <w:r>
        <w:rPr>
          <w:rFonts w:ascii="Lucida Sans Unicode" w:hAnsi="Lucida Sans Unicode"/>
          <w:color w:val="6D6E71"/>
          <w:spacing w:val="-25"/>
          <w:sz w:val="14"/>
        </w:rPr>
        <w:t> </w:t>
      </w:r>
      <w:r>
        <w:rPr>
          <w:rFonts w:ascii="Lucida Sans Unicode" w:hAnsi="Lucida Sans Unicode"/>
          <w:color w:val="6D6E71"/>
          <w:sz w:val="14"/>
        </w:rPr>
        <w:t>Y</w:t>
      </w:r>
      <w:r>
        <w:rPr>
          <w:rFonts w:ascii="Lucida Sans Unicode" w:hAnsi="Lucida Sans Unicode"/>
          <w:color w:val="6D6E71"/>
          <w:spacing w:val="-25"/>
          <w:sz w:val="14"/>
        </w:rPr>
        <w:t> </w:t>
      </w:r>
      <w:r>
        <w:rPr>
          <w:rFonts w:ascii="Lucida Sans Unicode" w:hAnsi="Lucida Sans Unicode"/>
          <w:color w:val="6D6E71"/>
          <w:sz w:val="14"/>
        </w:rPr>
        <w:t>MAÑANA</w:t>
      </w:r>
      <w:r>
        <w:rPr>
          <w:rFonts w:ascii="Arial" w:hAnsi="Arial"/>
          <w:color w:val="414042"/>
          <w:position w:val="-3"/>
          <w:sz w:val="20"/>
        </w:rPr>
        <w:tab/>
        <w:t>103</w:t>
      </w:r>
    </w:p>
    <w:p>
      <w:pPr>
        <w:pStyle w:val="BodyText"/>
        <w:rPr>
          <w:rFonts w:ascii="Arial"/>
          <w:sz w:val="22"/>
        </w:rPr>
      </w:pPr>
    </w:p>
    <w:p>
      <w:pPr>
        <w:pStyle w:val="BodyText"/>
        <w:spacing w:before="2"/>
        <w:rPr>
          <w:rFonts w:ascii="Arial"/>
          <w:sz w:val="32"/>
        </w:rPr>
      </w:pPr>
    </w:p>
    <w:p>
      <w:pPr>
        <w:pStyle w:val="BodyText"/>
        <w:spacing w:line="244" w:lineRule="auto"/>
        <w:ind w:left="117" w:right="101"/>
        <w:jc w:val="both"/>
      </w:pPr>
      <w:r>
        <w:rPr>
          <w:color w:val="231F20"/>
        </w:rPr>
        <w:t>(incluidas aquellas sociales) no alcanzan a liberarse. Mientras, Ulrich Beck ha reivindicado la necesidad de la Sociología de superar los parámetros tradicionales</w:t>
      </w:r>
      <w:r>
        <w:rPr>
          <w:color w:val="231F20"/>
          <w:spacing w:val="-10"/>
        </w:rPr>
        <w:t> </w:t>
      </w:r>
      <w:r>
        <w:rPr>
          <w:color w:val="231F20"/>
        </w:rPr>
        <w:t>y</w:t>
      </w:r>
      <w:r>
        <w:rPr>
          <w:color w:val="231F20"/>
          <w:spacing w:val="-10"/>
        </w:rPr>
        <w:t> </w:t>
      </w:r>
      <w:r>
        <w:rPr>
          <w:color w:val="231F20"/>
        </w:rPr>
        <w:t>los</w:t>
      </w:r>
      <w:r>
        <w:rPr>
          <w:color w:val="231F20"/>
          <w:spacing w:val="-11"/>
        </w:rPr>
        <w:t> </w:t>
      </w:r>
      <w:r>
        <w:rPr>
          <w:color w:val="231F20"/>
        </w:rPr>
        <w:t>esquemas</w:t>
      </w:r>
      <w:r>
        <w:rPr>
          <w:color w:val="231F20"/>
          <w:spacing w:val="-10"/>
        </w:rPr>
        <w:t> </w:t>
      </w:r>
      <w:r>
        <w:rPr>
          <w:color w:val="231F20"/>
        </w:rPr>
        <w:t>mentales</w:t>
      </w:r>
      <w:r>
        <w:rPr>
          <w:color w:val="231F20"/>
          <w:spacing w:val="-10"/>
        </w:rPr>
        <w:t> </w:t>
      </w:r>
      <w:r>
        <w:rPr>
          <w:color w:val="231F20"/>
        </w:rPr>
        <w:t>que</w:t>
      </w:r>
      <w:r>
        <w:rPr>
          <w:color w:val="231F20"/>
          <w:spacing w:val="-10"/>
        </w:rPr>
        <w:t> </w:t>
      </w:r>
      <w:r>
        <w:rPr>
          <w:color w:val="231F20"/>
        </w:rPr>
        <w:t>corresponden</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memoria</w:t>
      </w:r>
      <w:r>
        <w:rPr>
          <w:color w:val="231F20"/>
          <w:spacing w:val="-10"/>
        </w:rPr>
        <w:t> </w:t>
      </w:r>
      <w:r>
        <w:rPr>
          <w:color w:val="231F20"/>
        </w:rPr>
        <w:t>(na- cional) de los siglos </w:t>
      </w:r>
      <w:r>
        <w:rPr>
          <w:color w:val="231F20"/>
          <w:sz w:val="18"/>
        </w:rPr>
        <w:t>XIX </w:t>
      </w:r>
      <w:r>
        <w:rPr>
          <w:color w:val="231F20"/>
        </w:rPr>
        <w:t>y </w:t>
      </w:r>
      <w:r>
        <w:rPr>
          <w:color w:val="231F20"/>
          <w:sz w:val="18"/>
        </w:rPr>
        <w:t>XX </w:t>
      </w:r>
      <w:r>
        <w:rPr>
          <w:color w:val="231F20"/>
        </w:rPr>
        <w:t>en favor de una </w:t>
      </w:r>
      <w:r>
        <w:rPr>
          <w:rFonts w:ascii="Arial" w:hAnsi="Arial"/>
          <w:i/>
          <w:color w:val="231F20"/>
        </w:rPr>
        <w:t>Neuvermessung der Unglei- </w:t>
      </w:r>
      <w:r>
        <w:rPr>
          <w:rFonts w:ascii="Arial" w:hAnsi="Arial"/>
          <w:i/>
          <w:color w:val="231F20"/>
        </w:rPr>
        <w:t>chheit unter den Menschen</w:t>
      </w:r>
      <w:r>
        <w:rPr>
          <w:color w:val="231F20"/>
        </w:rPr>
        <w:t>; aquí señalo que todavía prevalece la idea de una “nueva medida” que se debe inventar y adoptar para seguir la evolu- ción del mundo</w:t>
      </w:r>
      <w:r>
        <w:rPr>
          <w:color w:val="231F20"/>
          <w:spacing w:val="25"/>
        </w:rPr>
        <w:t> </w:t>
      </w:r>
      <w:r>
        <w:rPr>
          <w:color w:val="231F20"/>
        </w:rPr>
        <w:t>entero</w:t>
      </w:r>
      <w:r>
        <w:rPr>
          <w:color w:val="231F20"/>
          <w:position w:val="7"/>
          <w:sz w:val="12"/>
        </w:rPr>
        <w:t>28</w:t>
      </w:r>
      <w:r>
        <w:rPr>
          <w:color w:val="231F20"/>
        </w:rPr>
        <w:t>.</w:t>
      </w:r>
    </w:p>
    <w:p>
      <w:pPr>
        <w:pStyle w:val="BodyText"/>
        <w:spacing w:line="247" w:lineRule="auto" w:before="1"/>
        <w:ind w:left="117" w:right="101" w:firstLine="566"/>
        <w:jc w:val="both"/>
      </w:pPr>
      <w:r>
        <w:rPr>
          <w:color w:val="231F20"/>
          <w:w w:val="105"/>
        </w:rPr>
        <w:t>Recurrir a una observación de 360 grados corresponde también</w:t>
      </w:r>
      <w:r>
        <w:rPr>
          <w:color w:val="231F20"/>
          <w:spacing w:val="-28"/>
          <w:w w:val="105"/>
        </w:rPr>
        <w:t> </w:t>
      </w:r>
      <w:r>
        <w:rPr>
          <w:color w:val="231F20"/>
          <w:w w:val="105"/>
        </w:rPr>
        <w:t>a la</w:t>
      </w:r>
      <w:r>
        <w:rPr>
          <w:color w:val="231F20"/>
          <w:spacing w:val="-8"/>
          <w:w w:val="105"/>
        </w:rPr>
        <w:t> </w:t>
      </w:r>
      <w:r>
        <w:rPr>
          <w:color w:val="231F20"/>
          <w:w w:val="105"/>
        </w:rPr>
        <w:t>dimensión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globalización</w:t>
      </w:r>
      <w:r>
        <w:rPr>
          <w:color w:val="231F20"/>
          <w:spacing w:val="-8"/>
          <w:w w:val="105"/>
        </w:rPr>
        <w:t> </w:t>
      </w:r>
      <w:r>
        <w:rPr>
          <w:color w:val="231F20"/>
          <w:w w:val="105"/>
        </w:rPr>
        <w:t>asumida</w:t>
      </w:r>
      <w:r>
        <w:rPr>
          <w:color w:val="231F20"/>
          <w:spacing w:val="-8"/>
          <w:w w:val="105"/>
        </w:rPr>
        <w:t> </w:t>
      </w:r>
      <w:r>
        <w:rPr>
          <w:color w:val="231F20"/>
          <w:w w:val="105"/>
        </w:rPr>
        <w:t>por</w:t>
      </w:r>
      <w:r>
        <w:rPr>
          <w:color w:val="231F20"/>
          <w:spacing w:val="-8"/>
          <w:w w:val="105"/>
        </w:rPr>
        <w:t> </w:t>
      </w:r>
      <w:r>
        <w:rPr>
          <w:color w:val="231F20"/>
          <w:w w:val="105"/>
        </w:rPr>
        <w:t>la</w:t>
      </w:r>
      <w:r>
        <w:rPr>
          <w:color w:val="231F20"/>
          <w:spacing w:val="-8"/>
          <w:w w:val="105"/>
        </w:rPr>
        <w:t> </w:t>
      </w:r>
      <w:r>
        <w:rPr>
          <w:color w:val="231F20"/>
          <w:w w:val="105"/>
        </w:rPr>
        <w:t>nueva</w:t>
      </w:r>
      <w:r>
        <w:rPr>
          <w:color w:val="231F20"/>
          <w:spacing w:val="-8"/>
          <w:w w:val="105"/>
        </w:rPr>
        <w:t> </w:t>
      </w:r>
      <w:r>
        <w:rPr>
          <w:color w:val="231F20"/>
          <w:w w:val="105"/>
        </w:rPr>
        <w:t>realidad.</w:t>
      </w:r>
      <w:r>
        <w:rPr>
          <w:color w:val="231F20"/>
          <w:spacing w:val="-8"/>
          <w:w w:val="105"/>
        </w:rPr>
        <w:t> </w:t>
      </w:r>
      <w:r>
        <w:rPr>
          <w:color w:val="231F20"/>
          <w:w w:val="105"/>
        </w:rPr>
        <w:t>Ésta</w:t>
      </w:r>
      <w:r>
        <w:rPr>
          <w:color w:val="231F20"/>
          <w:spacing w:val="-8"/>
          <w:w w:val="105"/>
        </w:rPr>
        <w:t> </w:t>
      </w:r>
      <w:r>
        <w:rPr>
          <w:color w:val="231F20"/>
          <w:w w:val="105"/>
        </w:rPr>
        <w:t>me parece</w:t>
      </w:r>
      <w:r>
        <w:rPr>
          <w:color w:val="231F20"/>
          <w:spacing w:val="-36"/>
          <w:w w:val="105"/>
        </w:rPr>
        <w:t> </w:t>
      </w:r>
      <w:r>
        <w:rPr>
          <w:color w:val="231F20"/>
          <w:w w:val="105"/>
        </w:rPr>
        <w:t>caracterizada</w:t>
      </w:r>
      <w:r>
        <w:rPr>
          <w:color w:val="231F20"/>
          <w:spacing w:val="-36"/>
          <w:w w:val="105"/>
        </w:rPr>
        <w:t> </w:t>
      </w:r>
      <w:r>
        <w:rPr>
          <w:color w:val="231F20"/>
          <w:w w:val="105"/>
        </w:rPr>
        <w:t>en</w:t>
      </w:r>
      <w:r>
        <w:rPr>
          <w:color w:val="231F20"/>
          <w:spacing w:val="-36"/>
          <w:w w:val="105"/>
        </w:rPr>
        <w:t> </w:t>
      </w:r>
      <w:r>
        <w:rPr>
          <w:color w:val="231F20"/>
          <w:w w:val="105"/>
        </w:rPr>
        <w:t>primer</w:t>
      </w:r>
      <w:r>
        <w:rPr>
          <w:color w:val="231F20"/>
          <w:spacing w:val="-36"/>
          <w:w w:val="105"/>
        </w:rPr>
        <w:t> </w:t>
      </w:r>
      <w:r>
        <w:rPr>
          <w:color w:val="231F20"/>
          <w:w w:val="105"/>
        </w:rPr>
        <w:t>lugar</w:t>
      </w:r>
      <w:r>
        <w:rPr>
          <w:color w:val="231F20"/>
          <w:spacing w:val="-36"/>
          <w:w w:val="105"/>
        </w:rPr>
        <w:t> </w:t>
      </w:r>
      <w:r>
        <w:rPr>
          <w:color w:val="231F20"/>
          <w:w w:val="105"/>
        </w:rPr>
        <w:t>por</w:t>
      </w:r>
      <w:r>
        <w:rPr>
          <w:color w:val="231F20"/>
          <w:spacing w:val="-36"/>
          <w:w w:val="105"/>
        </w:rPr>
        <w:t> </w:t>
      </w:r>
      <w:r>
        <w:rPr>
          <w:color w:val="231F20"/>
          <w:w w:val="105"/>
        </w:rPr>
        <w:t>el</w:t>
      </w:r>
      <w:r>
        <w:rPr>
          <w:color w:val="231F20"/>
          <w:spacing w:val="-36"/>
          <w:w w:val="105"/>
        </w:rPr>
        <w:t> </w:t>
      </w:r>
      <w:r>
        <w:rPr>
          <w:color w:val="231F20"/>
          <w:w w:val="105"/>
        </w:rPr>
        <w:t>pluralismo</w:t>
      </w:r>
      <w:r>
        <w:rPr>
          <w:color w:val="231F20"/>
          <w:spacing w:val="-36"/>
          <w:w w:val="105"/>
        </w:rPr>
        <w:t> </w:t>
      </w:r>
      <w:r>
        <w:rPr>
          <w:color w:val="231F20"/>
          <w:w w:val="105"/>
        </w:rPr>
        <w:t>de</w:t>
      </w:r>
      <w:r>
        <w:rPr>
          <w:color w:val="231F20"/>
          <w:spacing w:val="-36"/>
          <w:w w:val="105"/>
        </w:rPr>
        <w:t> </w:t>
      </w:r>
      <w:r>
        <w:rPr>
          <w:color w:val="231F20"/>
          <w:w w:val="105"/>
        </w:rPr>
        <w:t>los</w:t>
      </w:r>
      <w:r>
        <w:rPr>
          <w:color w:val="231F20"/>
          <w:spacing w:val="-36"/>
          <w:w w:val="105"/>
        </w:rPr>
        <w:t> </w:t>
      </w:r>
      <w:r>
        <w:rPr>
          <w:color w:val="231F20"/>
          <w:w w:val="105"/>
        </w:rPr>
        <w:t>poderes,</w:t>
      </w:r>
      <w:r>
        <w:rPr>
          <w:color w:val="231F20"/>
          <w:spacing w:val="-36"/>
          <w:w w:val="105"/>
        </w:rPr>
        <w:t> </w:t>
      </w:r>
      <w:r>
        <w:rPr>
          <w:color w:val="231F20"/>
          <w:w w:val="105"/>
        </w:rPr>
        <w:t>que, desde</w:t>
      </w:r>
      <w:r>
        <w:rPr>
          <w:color w:val="231F20"/>
          <w:spacing w:val="-29"/>
          <w:w w:val="105"/>
        </w:rPr>
        <w:t> </w:t>
      </w:r>
      <w:r>
        <w:rPr>
          <w:color w:val="231F20"/>
          <w:w w:val="105"/>
        </w:rPr>
        <w:t>puntos</w:t>
      </w:r>
      <w:r>
        <w:rPr>
          <w:color w:val="231F20"/>
          <w:spacing w:val="-29"/>
          <w:w w:val="105"/>
        </w:rPr>
        <w:t> </w:t>
      </w:r>
      <w:r>
        <w:rPr>
          <w:color w:val="231F20"/>
          <w:w w:val="105"/>
        </w:rPr>
        <w:t>de</w:t>
      </w:r>
      <w:r>
        <w:rPr>
          <w:color w:val="231F20"/>
          <w:spacing w:val="-29"/>
          <w:w w:val="105"/>
        </w:rPr>
        <w:t> </w:t>
      </w:r>
      <w:r>
        <w:rPr>
          <w:color w:val="231F20"/>
          <w:w w:val="105"/>
        </w:rPr>
        <w:t>vista</w:t>
      </w:r>
      <w:r>
        <w:rPr>
          <w:color w:val="231F20"/>
          <w:spacing w:val="-29"/>
          <w:w w:val="105"/>
        </w:rPr>
        <w:t> </w:t>
      </w:r>
      <w:r>
        <w:rPr>
          <w:color w:val="231F20"/>
          <w:w w:val="105"/>
        </w:rPr>
        <w:t>diferentes</w:t>
      </w:r>
      <w:r>
        <w:rPr>
          <w:color w:val="231F20"/>
          <w:spacing w:val="-29"/>
          <w:w w:val="105"/>
        </w:rPr>
        <w:t> </w:t>
      </w:r>
      <w:r>
        <w:rPr>
          <w:color w:val="231F20"/>
          <w:w w:val="105"/>
        </w:rPr>
        <w:t>y</w:t>
      </w:r>
      <w:r>
        <w:rPr>
          <w:color w:val="231F20"/>
          <w:spacing w:val="-29"/>
          <w:w w:val="105"/>
        </w:rPr>
        <w:t> </w:t>
      </w:r>
      <w:r>
        <w:rPr>
          <w:color w:val="231F20"/>
          <w:w w:val="105"/>
        </w:rPr>
        <w:t>con</w:t>
      </w:r>
      <w:r>
        <w:rPr>
          <w:color w:val="231F20"/>
          <w:spacing w:val="-29"/>
          <w:w w:val="105"/>
        </w:rPr>
        <w:t> </w:t>
      </w:r>
      <w:r>
        <w:rPr>
          <w:color w:val="231F20"/>
          <w:w w:val="105"/>
        </w:rPr>
        <w:t>objetivos</w:t>
      </w:r>
      <w:r>
        <w:rPr>
          <w:color w:val="231F20"/>
          <w:spacing w:val="-29"/>
          <w:w w:val="105"/>
        </w:rPr>
        <w:t> </w:t>
      </w:r>
      <w:r>
        <w:rPr>
          <w:color w:val="231F20"/>
          <w:w w:val="105"/>
        </w:rPr>
        <w:t>diversos,</w:t>
      </w:r>
      <w:r>
        <w:rPr>
          <w:color w:val="231F20"/>
          <w:spacing w:val="-29"/>
          <w:w w:val="105"/>
        </w:rPr>
        <w:t> </w:t>
      </w:r>
      <w:r>
        <w:rPr>
          <w:color w:val="231F20"/>
          <w:w w:val="105"/>
        </w:rPr>
        <w:t>concurren</w:t>
      </w:r>
      <w:r>
        <w:rPr>
          <w:color w:val="231F20"/>
          <w:spacing w:val="-29"/>
          <w:w w:val="105"/>
        </w:rPr>
        <w:t> </w:t>
      </w:r>
      <w:r>
        <w:rPr>
          <w:color w:val="231F20"/>
          <w:w w:val="105"/>
        </w:rPr>
        <w:t>a</w:t>
      </w:r>
      <w:r>
        <w:rPr>
          <w:color w:val="231F20"/>
          <w:spacing w:val="-29"/>
          <w:w w:val="105"/>
        </w:rPr>
        <w:t> </w:t>
      </w:r>
      <w:r>
        <w:rPr>
          <w:color w:val="231F20"/>
          <w:w w:val="105"/>
        </w:rPr>
        <w:t>de- terminar el flujo decisional global, quitando cada vez más a la unicidad del</w:t>
      </w:r>
      <w:r>
        <w:rPr>
          <w:color w:val="231F20"/>
          <w:spacing w:val="-19"/>
          <w:w w:val="105"/>
        </w:rPr>
        <w:t> </w:t>
      </w:r>
      <w:r>
        <w:rPr>
          <w:color w:val="231F20"/>
          <w:w w:val="105"/>
        </w:rPr>
        <w:t>poder</w:t>
      </w:r>
      <w:r>
        <w:rPr>
          <w:color w:val="231F20"/>
          <w:spacing w:val="-19"/>
          <w:w w:val="105"/>
        </w:rPr>
        <w:t> </w:t>
      </w:r>
      <w:r>
        <w:rPr>
          <w:color w:val="231F20"/>
          <w:w w:val="105"/>
        </w:rPr>
        <w:t>que</w:t>
      </w:r>
      <w:r>
        <w:rPr>
          <w:color w:val="231F20"/>
          <w:spacing w:val="-19"/>
          <w:w w:val="105"/>
        </w:rPr>
        <w:t> </w:t>
      </w:r>
      <w:r>
        <w:rPr>
          <w:color w:val="231F20"/>
          <w:w w:val="105"/>
        </w:rPr>
        <w:t>en</w:t>
      </w:r>
      <w:r>
        <w:rPr>
          <w:color w:val="231F20"/>
          <w:spacing w:val="-19"/>
          <w:w w:val="105"/>
        </w:rPr>
        <w:t> </w:t>
      </w:r>
      <w:r>
        <w:rPr>
          <w:color w:val="231F20"/>
          <w:w w:val="105"/>
        </w:rPr>
        <w:t>cambio</w:t>
      </w:r>
      <w:r>
        <w:rPr>
          <w:color w:val="231F20"/>
          <w:spacing w:val="-19"/>
          <w:w w:val="105"/>
        </w:rPr>
        <w:t> </w:t>
      </w:r>
      <w:r>
        <w:rPr>
          <w:color w:val="231F20"/>
          <w:w w:val="105"/>
        </w:rPr>
        <w:t>había</w:t>
      </w:r>
      <w:r>
        <w:rPr>
          <w:color w:val="231F20"/>
          <w:spacing w:val="-19"/>
          <w:w w:val="105"/>
        </w:rPr>
        <w:t> </w:t>
      </w:r>
      <w:r>
        <w:rPr>
          <w:color w:val="231F20"/>
          <w:w w:val="105"/>
        </w:rPr>
        <w:t>caracterizado</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mundo</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viejos Estados— el predominio “legal” </w:t>
      </w:r>
      <w:r>
        <w:rPr>
          <w:rFonts w:ascii="Arial" w:hAnsi="Arial"/>
          <w:color w:val="231F20"/>
          <w:w w:val="105"/>
          <w:position w:val="7"/>
          <w:sz w:val="12"/>
        </w:rPr>
        <w:t>29</w:t>
      </w:r>
      <w:r>
        <w:rPr>
          <w:color w:val="231F20"/>
          <w:w w:val="105"/>
        </w:rPr>
        <w:t>. Se trata entonces de cosas efectiva- mente</w:t>
      </w:r>
      <w:r>
        <w:rPr>
          <w:color w:val="231F20"/>
          <w:spacing w:val="-38"/>
          <w:w w:val="105"/>
        </w:rPr>
        <w:t> </w:t>
      </w:r>
      <w:r>
        <w:rPr>
          <w:color w:val="231F20"/>
          <w:w w:val="105"/>
        </w:rPr>
        <w:t>nuevas,</w:t>
      </w:r>
      <w:r>
        <w:rPr>
          <w:color w:val="231F20"/>
          <w:spacing w:val="-38"/>
          <w:w w:val="105"/>
        </w:rPr>
        <w:t> </w:t>
      </w:r>
      <w:r>
        <w:rPr>
          <w:color w:val="231F20"/>
          <w:w w:val="105"/>
        </w:rPr>
        <w:t>que</w:t>
      </w:r>
      <w:r>
        <w:rPr>
          <w:color w:val="231F20"/>
          <w:spacing w:val="-38"/>
          <w:w w:val="105"/>
        </w:rPr>
        <w:t> </w:t>
      </w:r>
      <w:r>
        <w:rPr>
          <w:color w:val="231F20"/>
          <w:w w:val="105"/>
        </w:rPr>
        <w:t>se</w:t>
      </w:r>
      <w:r>
        <w:rPr>
          <w:color w:val="231F20"/>
          <w:spacing w:val="-38"/>
          <w:w w:val="105"/>
        </w:rPr>
        <w:t> </w:t>
      </w:r>
      <w:r>
        <w:rPr>
          <w:color w:val="231F20"/>
          <w:w w:val="105"/>
        </w:rPr>
        <w:t>deben</w:t>
      </w:r>
      <w:r>
        <w:rPr>
          <w:color w:val="231F20"/>
          <w:spacing w:val="-38"/>
          <w:w w:val="105"/>
        </w:rPr>
        <w:t> </w:t>
      </w:r>
      <w:r>
        <w:rPr>
          <w:color w:val="231F20"/>
          <w:w w:val="105"/>
        </w:rPr>
        <w:t>estudiar</w:t>
      </w:r>
      <w:r>
        <w:rPr>
          <w:color w:val="231F20"/>
          <w:spacing w:val="-38"/>
          <w:w w:val="105"/>
        </w:rPr>
        <w:t> </w:t>
      </w:r>
      <w:r>
        <w:rPr>
          <w:color w:val="231F20"/>
          <w:w w:val="105"/>
        </w:rPr>
        <w:t>con</w:t>
      </w:r>
      <w:r>
        <w:rPr>
          <w:color w:val="231F20"/>
          <w:spacing w:val="-38"/>
          <w:w w:val="105"/>
        </w:rPr>
        <w:t> </w:t>
      </w:r>
      <w:r>
        <w:rPr>
          <w:color w:val="231F20"/>
          <w:w w:val="105"/>
        </w:rPr>
        <w:t>métodos</w:t>
      </w:r>
      <w:r>
        <w:rPr>
          <w:color w:val="231F20"/>
          <w:spacing w:val="-38"/>
          <w:w w:val="105"/>
        </w:rPr>
        <w:t> </w:t>
      </w:r>
      <w:r>
        <w:rPr>
          <w:color w:val="231F20"/>
          <w:w w:val="105"/>
        </w:rPr>
        <w:t>y</w:t>
      </w:r>
      <w:r>
        <w:rPr>
          <w:color w:val="231F20"/>
          <w:spacing w:val="-38"/>
          <w:w w:val="105"/>
        </w:rPr>
        <w:t> </w:t>
      </w:r>
      <w:r>
        <w:rPr>
          <w:color w:val="231F20"/>
          <w:w w:val="105"/>
        </w:rPr>
        <w:t>perspectivas</w:t>
      </w:r>
      <w:r>
        <w:rPr>
          <w:color w:val="231F20"/>
          <w:spacing w:val="-38"/>
          <w:w w:val="105"/>
        </w:rPr>
        <w:t> </w:t>
      </w:r>
      <w:r>
        <w:rPr>
          <w:color w:val="231F20"/>
          <w:w w:val="105"/>
        </w:rPr>
        <w:t>también nuevas,</w:t>
      </w:r>
      <w:r>
        <w:rPr>
          <w:color w:val="231F20"/>
          <w:spacing w:val="-29"/>
          <w:w w:val="105"/>
        </w:rPr>
        <w:t> </w:t>
      </w:r>
      <w:r>
        <w:rPr>
          <w:color w:val="231F20"/>
          <w:w w:val="105"/>
        </w:rPr>
        <w:t>que</w:t>
      </w:r>
      <w:r>
        <w:rPr>
          <w:color w:val="231F20"/>
          <w:spacing w:val="-29"/>
          <w:w w:val="105"/>
        </w:rPr>
        <w:t> </w:t>
      </w:r>
      <w:r>
        <w:rPr>
          <w:color w:val="231F20"/>
          <w:w w:val="105"/>
        </w:rPr>
        <w:t>conducirán</w:t>
      </w:r>
      <w:r>
        <w:rPr>
          <w:color w:val="231F20"/>
          <w:spacing w:val="-29"/>
          <w:w w:val="105"/>
        </w:rPr>
        <w:t> </w:t>
      </w:r>
      <w:r>
        <w:rPr>
          <w:color w:val="231F20"/>
          <w:w w:val="105"/>
        </w:rPr>
        <w:t>sin</w:t>
      </w:r>
      <w:r>
        <w:rPr>
          <w:color w:val="231F20"/>
          <w:spacing w:val="-29"/>
          <w:w w:val="105"/>
        </w:rPr>
        <w:t> </w:t>
      </w:r>
      <w:r>
        <w:rPr>
          <w:color w:val="231F20"/>
          <w:w w:val="105"/>
        </w:rPr>
        <w:t>duda</w:t>
      </w:r>
      <w:r>
        <w:rPr>
          <w:color w:val="231F20"/>
          <w:spacing w:val="-29"/>
          <w:w w:val="105"/>
        </w:rPr>
        <w:t> </w:t>
      </w:r>
      <w:r>
        <w:rPr>
          <w:color w:val="231F20"/>
          <w:w w:val="105"/>
        </w:rPr>
        <w:t>no</w:t>
      </w:r>
      <w:r>
        <w:rPr>
          <w:color w:val="231F20"/>
          <w:spacing w:val="-29"/>
          <w:w w:val="105"/>
        </w:rPr>
        <w:t> </w:t>
      </w:r>
      <w:r>
        <w:rPr>
          <w:color w:val="231F20"/>
          <w:w w:val="105"/>
        </w:rPr>
        <w:t>sólo</w:t>
      </w:r>
      <w:r>
        <w:rPr>
          <w:color w:val="231F20"/>
          <w:spacing w:val="-29"/>
          <w:w w:val="105"/>
        </w:rPr>
        <w:t> </w:t>
      </w:r>
      <w:r>
        <w:rPr>
          <w:color w:val="231F20"/>
          <w:w w:val="105"/>
        </w:rPr>
        <w:t>a</w:t>
      </w:r>
      <w:r>
        <w:rPr>
          <w:color w:val="231F20"/>
          <w:spacing w:val="-29"/>
          <w:w w:val="105"/>
        </w:rPr>
        <w:t> </w:t>
      </w:r>
      <w:r>
        <w:rPr>
          <w:color w:val="231F20"/>
          <w:w w:val="105"/>
        </w:rPr>
        <w:t>una</w:t>
      </w:r>
      <w:r>
        <w:rPr>
          <w:color w:val="231F20"/>
          <w:spacing w:val="-29"/>
          <w:w w:val="105"/>
        </w:rPr>
        <w:t> </w:t>
      </w:r>
      <w:r>
        <w:rPr>
          <w:color w:val="231F20"/>
          <w:w w:val="105"/>
        </w:rPr>
        <w:t>visión</w:t>
      </w:r>
      <w:r>
        <w:rPr>
          <w:color w:val="231F20"/>
          <w:spacing w:val="-29"/>
          <w:w w:val="105"/>
        </w:rPr>
        <w:t> </w:t>
      </w:r>
      <w:r>
        <w:rPr>
          <w:color w:val="231F20"/>
          <w:w w:val="105"/>
        </w:rPr>
        <w:t>más</w:t>
      </w:r>
      <w:r>
        <w:rPr>
          <w:color w:val="231F20"/>
          <w:spacing w:val="-29"/>
          <w:w w:val="105"/>
        </w:rPr>
        <w:t> </w:t>
      </w:r>
      <w:r>
        <w:rPr>
          <w:color w:val="231F20"/>
          <w:w w:val="105"/>
        </w:rPr>
        <w:t>compleja</w:t>
      </w:r>
      <w:r>
        <w:rPr>
          <w:color w:val="231F20"/>
          <w:spacing w:val="-29"/>
          <w:w w:val="105"/>
        </w:rPr>
        <w:t> </w:t>
      </w:r>
      <w:r>
        <w:rPr>
          <w:color w:val="231F20"/>
          <w:w w:val="105"/>
        </w:rPr>
        <w:t>y</w:t>
      </w:r>
      <w:r>
        <w:rPr>
          <w:color w:val="231F20"/>
          <w:spacing w:val="-29"/>
          <w:w w:val="105"/>
        </w:rPr>
        <w:t> </w:t>
      </w:r>
      <w:r>
        <w:rPr>
          <w:color w:val="231F20"/>
          <w:w w:val="105"/>
        </w:rPr>
        <w:t>des- centralizada</w:t>
      </w:r>
      <w:r>
        <w:rPr>
          <w:color w:val="231F20"/>
          <w:spacing w:val="-28"/>
          <w:w w:val="105"/>
        </w:rPr>
        <w:t> </w:t>
      </w:r>
      <w:r>
        <w:rPr>
          <w:color w:val="231F20"/>
          <w:w w:val="105"/>
        </w:rPr>
        <w:t>del</w:t>
      </w:r>
      <w:r>
        <w:rPr>
          <w:color w:val="231F20"/>
          <w:spacing w:val="-28"/>
          <w:w w:val="105"/>
        </w:rPr>
        <w:t> </w:t>
      </w:r>
      <w:r>
        <w:rPr>
          <w:color w:val="231F20"/>
          <w:w w:val="105"/>
        </w:rPr>
        <w:t>mismo</w:t>
      </w:r>
      <w:r>
        <w:rPr>
          <w:color w:val="231F20"/>
          <w:spacing w:val="-28"/>
          <w:w w:val="105"/>
        </w:rPr>
        <w:t> </w:t>
      </w:r>
      <w:r>
        <w:rPr>
          <w:color w:val="231F20"/>
          <w:w w:val="105"/>
        </w:rPr>
        <w:t>fenómeno</w:t>
      </w:r>
      <w:r>
        <w:rPr>
          <w:color w:val="231F20"/>
          <w:spacing w:val="-28"/>
          <w:w w:val="105"/>
        </w:rPr>
        <w:t> </w:t>
      </w:r>
      <w:r>
        <w:rPr>
          <w:color w:val="231F20"/>
          <w:w w:val="105"/>
        </w:rPr>
        <w:t>estatal,</w:t>
      </w:r>
      <w:r>
        <w:rPr>
          <w:color w:val="231F20"/>
          <w:spacing w:val="-28"/>
          <w:w w:val="105"/>
        </w:rPr>
        <w:t> </w:t>
      </w:r>
      <w:r>
        <w:rPr>
          <w:color w:val="231F20"/>
          <w:w w:val="105"/>
        </w:rPr>
        <w:t>sino</w:t>
      </w:r>
      <w:r>
        <w:rPr>
          <w:color w:val="231F20"/>
          <w:spacing w:val="-28"/>
          <w:w w:val="105"/>
        </w:rPr>
        <w:t> </w:t>
      </w:r>
      <w:r>
        <w:rPr>
          <w:color w:val="231F20"/>
          <w:w w:val="105"/>
        </w:rPr>
        <w:t>que</w:t>
      </w:r>
      <w:r>
        <w:rPr>
          <w:color w:val="231F20"/>
          <w:spacing w:val="-28"/>
          <w:w w:val="105"/>
        </w:rPr>
        <w:t> </w:t>
      </w:r>
      <w:r>
        <w:rPr>
          <w:color w:val="231F20"/>
          <w:w w:val="105"/>
        </w:rPr>
        <w:t>tal</w:t>
      </w:r>
      <w:r>
        <w:rPr>
          <w:color w:val="231F20"/>
          <w:spacing w:val="-28"/>
          <w:w w:val="105"/>
        </w:rPr>
        <w:t> </w:t>
      </w:r>
      <w:r>
        <w:rPr>
          <w:color w:val="231F20"/>
          <w:w w:val="105"/>
        </w:rPr>
        <w:t>vez</w:t>
      </w:r>
      <w:r>
        <w:rPr>
          <w:color w:val="231F20"/>
          <w:spacing w:val="-28"/>
          <w:w w:val="105"/>
        </w:rPr>
        <w:t> </w:t>
      </w:r>
      <w:r>
        <w:rPr>
          <w:color w:val="231F20"/>
          <w:w w:val="105"/>
        </w:rPr>
        <w:t>pronto</w:t>
      </w:r>
      <w:r>
        <w:rPr>
          <w:color w:val="231F20"/>
          <w:spacing w:val="-28"/>
          <w:w w:val="105"/>
        </w:rPr>
        <w:t> </w:t>
      </w:r>
      <w:r>
        <w:rPr>
          <w:color w:val="231F20"/>
          <w:w w:val="105"/>
        </w:rPr>
        <w:t>llegarán a</w:t>
      </w:r>
      <w:r>
        <w:rPr>
          <w:color w:val="231F20"/>
          <w:spacing w:val="-32"/>
          <w:w w:val="105"/>
        </w:rPr>
        <w:t> </w:t>
      </w:r>
      <w:r>
        <w:rPr>
          <w:color w:val="231F20"/>
          <w:w w:val="105"/>
        </w:rPr>
        <w:t>prospectar</w:t>
      </w:r>
      <w:r>
        <w:rPr>
          <w:color w:val="231F20"/>
          <w:spacing w:val="-32"/>
          <w:w w:val="105"/>
        </w:rPr>
        <w:t> </w:t>
      </w:r>
      <w:r>
        <w:rPr>
          <w:color w:val="231F20"/>
          <w:w w:val="105"/>
        </w:rPr>
        <w:t>nuevos</w:t>
      </w:r>
      <w:r>
        <w:rPr>
          <w:color w:val="231F20"/>
          <w:spacing w:val="-32"/>
          <w:w w:val="105"/>
        </w:rPr>
        <w:t> </w:t>
      </w:r>
      <w:r>
        <w:rPr>
          <w:color w:val="231F20"/>
          <w:w w:val="105"/>
        </w:rPr>
        <w:t>conceptos,</w:t>
      </w:r>
      <w:r>
        <w:rPr>
          <w:color w:val="231F20"/>
          <w:spacing w:val="-32"/>
          <w:w w:val="105"/>
        </w:rPr>
        <w:t> </w:t>
      </w:r>
      <w:r>
        <w:rPr>
          <w:color w:val="231F20"/>
          <w:w w:val="105"/>
        </w:rPr>
        <w:t>categorías,</w:t>
      </w:r>
      <w:r>
        <w:rPr>
          <w:color w:val="231F20"/>
          <w:spacing w:val="-32"/>
          <w:w w:val="105"/>
        </w:rPr>
        <w:t> </w:t>
      </w:r>
      <w:r>
        <w:rPr>
          <w:color w:val="231F20"/>
          <w:w w:val="105"/>
        </w:rPr>
        <w:t>figuras</w:t>
      </w:r>
      <w:r>
        <w:rPr>
          <w:color w:val="231F20"/>
          <w:spacing w:val="-32"/>
          <w:w w:val="105"/>
        </w:rPr>
        <w:t> </w:t>
      </w:r>
      <w:r>
        <w:rPr>
          <w:color w:val="231F20"/>
          <w:w w:val="105"/>
        </w:rPr>
        <w:t>y</w:t>
      </w:r>
      <w:r>
        <w:rPr>
          <w:color w:val="231F20"/>
          <w:spacing w:val="-32"/>
          <w:w w:val="105"/>
        </w:rPr>
        <w:t> </w:t>
      </w:r>
      <w:r>
        <w:rPr>
          <w:color w:val="231F20"/>
          <w:w w:val="105"/>
        </w:rPr>
        <w:t>formas</w:t>
      </w:r>
      <w:r>
        <w:rPr>
          <w:color w:val="231F20"/>
          <w:spacing w:val="-32"/>
          <w:w w:val="105"/>
        </w:rPr>
        <w:t> </w:t>
      </w:r>
      <w:r>
        <w:rPr>
          <w:color w:val="231F20"/>
          <w:w w:val="105"/>
        </w:rPr>
        <w:t>de</w:t>
      </w:r>
      <w:r>
        <w:rPr>
          <w:color w:val="231F20"/>
          <w:spacing w:val="-32"/>
          <w:w w:val="105"/>
        </w:rPr>
        <w:t> </w:t>
      </w:r>
      <w:r>
        <w:rPr>
          <w:color w:val="231F20"/>
          <w:w w:val="105"/>
        </w:rPr>
        <w:t>lo</w:t>
      </w:r>
      <w:r>
        <w:rPr>
          <w:color w:val="231F20"/>
          <w:spacing w:val="-32"/>
          <w:w w:val="105"/>
        </w:rPr>
        <w:t> </w:t>
      </w:r>
      <w:r>
        <w:rPr>
          <w:color w:val="231F20"/>
          <w:w w:val="105"/>
        </w:rPr>
        <w:t>político. Precisamente</w:t>
      </w:r>
      <w:r>
        <w:rPr>
          <w:color w:val="231F20"/>
          <w:spacing w:val="-11"/>
          <w:w w:val="105"/>
        </w:rPr>
        <w:t> </w:t>
      </w:r>
      <w:r>
        <w:rPr>
          <w:color w:val="231F20"/>
          <w:w w:val="105"/>
        </w:rPr>
        <w:t>para</w:t>
      </w:r>
      <w:r>
        <w:rPr>
          <w:color w:val="231F20"/>
          <w:spacing w:val="-11"/>
          <w:w w:val="105"/>
        </w:rPr>
        <w:t> </w:t>
      </w:r>
      <w:r>
        <w:rPr>
          <w:color w:val="231F20"/>
          <w:w w:val="105"/>
        </w:rPr>
        <w:t>esto</w:t>
      </w:r>
      <w:r>
        <w:rPr>
          <w:color w:val="231F20"/>
          <w:spacing w:val="-11"/>
          <w:w w:val="105"/>
        </w:rPr>
        <w:t> </w:t>
      </w:r>
      <w:r>
        <w:rPr>
          <w:color w:val="231F20"/>
          <w:w w:val="105"/>
        </w:rPr>
        <w:t>podría</w:t>
      </w:r>
      <w:r>
        <w:rPr>
          <w:color w:val="231F20"/>
          <w:spacing w:val="-11"/>
          <w:w w:val="105"/>
        </w:rPr>
        <w:t> </w:t>
      </w:r>
      <w:r>
        <w:rPr>
          <w:color w:val="231F20"/>
          <w:w w:val="105"/>
        </w:rPr>
        <w:t>servir</w:t>
      </w:r>
      <w:r>
        <w:rPr>
          <w:color w:val="231F20"/>
          <w:spacing w:val="-11"/>
          <w:w w:val="105"/>
        </w:rPr>
        <w:t> </w:t>
      </w:r>
      <w:r>
        <w:rPr>
          <w:color w:val="231F20"/>
          <w:w w:val="105"/>
        </w:rPr>
        <w:t>—reitero—</w:t>
      </w:r>
      <w:r>
        <w:rPr>
          <w:color w:val="231F20"/>
          <w:spacing w:val="-11"/>
          <w:w w:val="105"/>
        </w:rPr>
        <w:t> </w:t>
      </w:r>
      <w:r>
        <w:rPr>
          <w:color w:val="231F20"/>
          <w:w w:val="105"/>
        </w:rPr>
        <w:t>un</w:t>
      </w:r>
      <w:r>
        <w:rPr>
          <w:color w:val="231F20"/>
          <w:spacing w:val="-11"/>
          <w:w w:val="105"/>
        </w:rPr>
        <w:t> </w:t>
      </w:r>
      <w:r>
        <w:rPr>
          <w:color w:val="231F20"/>
          <w:w w:val="105"/>
        </w:rPr>
        <w:t>“discurso</w:t>
      </w:r>
      <w:r>
        <w:rPr>
          <w:color w:val="231F20"/>
          <w:spacing w:val="-11"/>
          <w:w w:val="105"/>
        </w:rPr>
        <w:t> </w:t>
      </w:r>
      <w:r>
        <w:rPr>
          <w:color w:val="231F20"/>
          <w:w w:val="105"/>
        </w:rPr>
        <w:t>político”</w:t>
      </w:r>
      <w:r>
        <w:rPr>
          <w:color w:val="231F20"/>
          <w:spacing w:val="-11"/>
          <w:w w:val="105"/>
        </w:rPr>
        <w:t> </w:t>
      </w:r>
      <w:r>
        <w:rPr>
          <w:color w:val="231F20"/>
          <w:w w:val="105"/>
        </w:rPr>
        <w:t>al servicio</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comunicación</w:t>
      </w:r>
      <w:r>
        <w:rPr>
          <w:color w:val="231F20"/>
          <w:spacing w:val="-33"/>
          <w:w w:val="105"/>
        </w:rPr>
        <w:t> </w:t>
      </w:r>
      <w:r>
        <w:rPr>
          <w:color w:val="231F20"/>
          <w:w w:val="105"/>
        </w:rPr>
        <w:t>de</w:t>
      </w:r>
      <w:r>
        <w:rPr>
          <w:color w:val="231F20"/>
          <w:spacing w:val="-33"/>
          <w:w w:val="105"/>
        </w:rPr>
        <w:t> </w:t>
      </w:r>
      <w:r>
        <w:rPr>
          <w:color w:val="231F20"/>
          <w:w w:val="105"/>
        </w:rPr>
        <w:t>valores</w:t>
      </w:r>
      <w:r>
        <w:rPr>
          <w:color w:val="231F20"/>
          <w:spacing w:val="-33"/>
          <w:w w:val="105"/>
        </w:rPr>
        <w:t> </w:t>
      </w:r>
      <w:r>
        <w:rPr>
          <w:color w:val="231F20"/>
          <w:w w:val="105"/>
        </w:rPr>
        <w:t>y</w:t>
      </w:r>
      <w:r>
        <w:rPr>
          <w:color w:val="231F20"/>
          <w:spacing w:val="-33"/>
          <w:w w:val="105"/>
        </w:rPr>
        <w:t> </w:t>
      </w:r>
      <w:r>
        <w:rPr>
          <w:color w:val="231F20"/>
          <w:w w:val="105"/>
        </w:rPr>
        <w:t>métodos</w:t>
      </w:r>
      <w:r>
        <w:rPr>
          <w:color w:val="231F20"/>
          <w:spacing w:val="-33"/>
          <w:w w:val="105"/>
        </w:rPr>
        <w:t> </w:t>
      </w:r>
      <w:r>
        <w:rPr>
          <w:color w:val="231F20"/>
          <w:w w:val="105"/>
        </w:rPr>
        <w:t>nuevos,</w:t>
      </w:r>
      <w:r>
        <w:rPr>
          <w:color w:val="231F20"/>
          <w:spacing w:val="-33"/>
          <w:w w:val="105"/>
        </w:rPr>
        <w:t> </w:t>
      </w:r>
      <w:r>
        <w:rPr>
          <w:color w:val="231F20"/>
          <w:w w:val="105"/>
        </w:rPr>
        <w:t>capaces</w:t>
      </w:r>
      <w:r>
        <w:rPr>
          <w:color w:val="231F20"/>
          <w:spacing w:val="-33"/>
          <w:w w:val="105"/>
        </w:rPr>
        <w:t> </w:t>
      </w:r>
      <w:r>
        <w:rPr>
          <w:color w:val="231F20"/>
          <w:w w:val="105"/>
        </w:rPr>
        <w:t>de</w:t>
      </w:r>
      <w:r>
        <w:rPr>
          <w:color w:val="231F20"/>
          <w:spacing w:val="-33"/>
          <w:w w:val="105"/>
        </w:rPr>
        <w:t> </w:t>
      </w:r>
      <w:r>
        <w:rPr>
          <w:color w:val="231F20"/>
          <w:w w:val="105"/>
        </w:rPr>
        <w:t>con- tribuir</w:t>
      </w:r>
      <w:r>
        <w:rPr>
          <w:color w:val="231F20"/>
          <w:spacing w:val="-34"/>
          <w:w w:val="105"/>
        </w:rPr>
        <w:t> </w:t>
      </w:r>
      <w:r>
        <w:rPr>
          <w:color w:val="231F20"/>
          <w:w w:val="105"/>
        </w:rPr>
        <w:t>también</w:t>
      </w:r>
      <w:r>
        <w:rPr>
          <w:color w:val="231F20"/>
          <w:spacing w:val="-34"/>
          <w:w w:val="105"/>
        </w:rPr>
        <w:t> </w:t>
      </w:r>
      <w:r>
        <w:rPr>
          <w:color w:val="231F20"/>
          <w:w w:val="105"/>
        </w:rPr>
        <w:t>a</w:t>
      </w:r>
      <w:r>
        <w:rPr>
          <w:color w:val="231F20"/>
          <w:spacing w:val="-34"/>
          <w:w w:val="105"/>
        </w:rPr>
        <w:t> </w:t>
      </w:r>
      <w:r>
        <w:rPr>
          <w:color w:val="231F20"/>
          <w:w w:val="105"/>
        </w:rPr>
        <w:t>“provincializar”</w:t>
      </w:r>
      <w:r>
        <w:rPr>
          <w:color w:val="231F20"/>
          <w:spacing w:val="-34"/>
          <w:w w:val="105"/>
        </w:rPr>
        <w:t> </w:t>
      </w:r>
      <w:r>
        <w:rPr>
          <w:color w:val="231F20"/>
          <w:w w:val="105"/>
        </w:rPr>
        <w:t>nuestra</w:t>
      </w:r>
      <w:r>
        <w:rPr>
          <w:color w:val="231F20"/>
          <w:spacing w:val="-34"/>
          <w:w w:val="105"/>
        </w:rPr>
        <w:t> </w:t>
      </w:r>
      <w:r>
        <w:rPr>
          <w:color w:val="231F20"/>
          <w:w w:val="105"/>
        </w:rPr>
        <w:t>cultura,</w:t>
      </w:r>
      <w:r>
        <w:rPr>
          <w:color w:val="231F20"/>
          <w:spacing w:val="-34"/>
          <w:w w:val="105"/>
        </w:rPr>
        <w:t> </w:t>
      </w:r>
      <w:r>
        <w:rPr>
          <w:color w:val="231F20"/>
          <w:w w:val="105"/>
        </w:rPr>
        <w:t>reduciendo</w:t>
      </w:r>
      <w:r>
        <w:rPr>
          <w:color w:val="231F20"/>
          <w:spacing w:val="-34"/>
          <w:w w:val="105"/>
        </w:rPr>
        <w:t> </w:t>
      </w:r>
      <w:r>
        <w:rPr>
          <w:color w:val="231F20"/>
          <w:w w:val="105"/>
        </w:rPr>
        <w:t>la</w:t>
      </w:r>
      <w:r>
        <w:rPr>
          <w:color w:val="231F20"/>
          <w:spacing w:val="-34"/>
          <w:w w:val="105"/>
        </w:rPr>
        <w:t> </w:t>
      </w:r>
      <w:r>
        <w:rPr>
          <w:color w:val="231F20"/>
          <w:w w:val="105"/>
        </w:rPr>
        <w:t>tradicional aura</w:t>
      </w:r>
      <w:r>
        <w:rPr>
          <w:color w:val="231F20"/>
          <w:spacing w:val="-24"/>
          <w:w w:val="105"/>
        </w:rPr>
        <w:t> </w:t>
      </w:r>
      <w:r>
        <w:rPr>
          <w:color w:val="231F20"/>
          <w:w w:val="105"/>
        </w:rPr>
        <w:t>de</w:t>
      </w:r>
      <w:r>
        <w:rPr>
          <w:color w:val="231F20"/>
          <w:spacing w:val="-24"/>
          <w:w w:val="105"/>
        </w:rPr>
        <w:t> </w:t>
      </w:r>
      <w:r>
        <w:rPr>
          <w:color w:val="231F20"/>
          <w:w w:val="105"/>
        </w:rPr>
        <w:t>superioridad</w:t>
      </w:r>
      <w:r>
        <w:rPr>
          <w:color w:val="231F20"/>
          <w:spacing w:val="-24"/>
          <w:w w:val="105"/>
        </w:rPr>
        <w:t> </w:t>
      </w:r>
      <w:r>
        <w:rPr>
          <w:color w:val="231F20"/>
          <w:w w:val="105"/>
        </w:rPr>
        <w:t>e</w:t>
      </w:r>
      <w:r>
        <w:rPr>
          <w:color w:val="231F20"/>
          <w:spacing w:val="-24"/>
          <w:w w:val="105"/>
        </w:rPr>
        <w:t> </w:t>
      </w:r>
      <w:r>
        <w:rPr>
          <w:color w:val="231F20"/>
          <w:w w:val="105"/>
        </w:rPr>
        <w:t>insuperabilidad,</w:t>
      </w:r>
      <w:r>
        <w:rPr>
          <w:color w:val="231F20"/>
          <w:spacing w:val="-24"/>
          <w:w w:val="105"/>
        </w:rPr>
        <w:t> </w:t>
      </w:r>
      <w:r>
        <w:rPr>
          <w:color w:val="231F20"/>
          <w:w w:val="105"/>
        </w:rPr>
        <w:t>sobre</w:t>
      </w:r>
      <w:r>
        <w:rPr>
          <w:color w:val="231F20"/>
          <w:spacing w:val="-24"/>
          <w:w w:val="105"/>
        </w:rPr>
        <w:t> </w:t>
      </w:r>
      <w:r>
        <w:rPr>
          <w:color w:val="231F20"/>
          <w:w w:val="105"/>
        </w:rPr>
        <w:t>todo</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campo</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con- vivencia</w:t>
      </w:r>
      <w:r>
        <w:rPr>
          <w:color w:val="231F20"/>
          <w:spacing w:val="-31"/>
          <w:w w:val="105"/>
        </w:rPr>
        <w:t> </w:t>
      </w:r>
      <w:r>
        <w:rPr>
          <w:color w:val="231F20"/>
          <w:w w:val="105"/>
        </w:rPr>
        <w:t>civil</w:t>
      </w:r>
      <w:r>
        <w:rPr>
          <w:color w:val="231F20"/>
          <w:spacing w:val="-31"/>
          <w:w w:val="105"/>
        </w:rPr>
        <w:t> </w:t>
      </w:r>
      <w:r>
        <w:rPr>
          <w:color w:val="231F20"/>
          <w:w w:val="105"/>
        </w:rPr>
        <w:t>y</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política.</w:t>
      </w:r>
    </w:p>
    <w:p>
      <w:pPr>
        <w:pStyle w:val="BodyText"/>
        <w:spacing w:line="247" w:lineRule="auto"/>
        <w:ind w:left="117" w:right="101" w:firstLine="566"/>
        <w:jc w:val="both"/>
      </w:pPr>
      <w:r>
        <w:rPr>
          <w:color w:val="231F20"/>
          <w:w w:val="105"/>
        </w:rPr>
        <w:t>Pero</w:t>
      </w:r>
      <w:r>
        <w:rPr>
          <w:color w:val="231F20"/>
          <w:spacing w:val="-13"/>
          <w:w w:val="105"/>
        </w:rPr>
        <w:t> </w:t>
      </w:r>
      <w:r>
        <w:rPr>
          <w:color w:val="231F20"/>
          <w:w w:val="105"/>
        </w:rPr>
        <w:t>existe</w:t>
      </w:r>
      <w:r>
        <w:rPr>
          <w:color w:val="231F20"/>
          <w:spacing w:val="-13"/>
          <w:w w:val="105"/>
        </w:rPr>
        <w:t> </w:t>
      </w:r>
      <w:r>
        <w:rPr>
          <w:color w:val="231F20"/>
          <w:w w:val="105"/>
        </w:rPr>
        <w:t>también</w:t>
      </w:r>
      <w:r>
        <w:rPr>
          <w:color w:val="231F20"/>
          <w:spacing w:val="-13"/>
          <w:w w:val="105"/>
        </w:rPr>
        <w:t> </w:t>
      </w:r>
      <w:r>
        <w:rPr>
          <w:color w:val="231F20"/>
          <w:w w:val="105"/>
        </w:rPr>
        <w:t>la</w:t>
      </w:r>
      <w:r>
        <w:rPr>
          <w:color w:val="231F20"/>
          <w:spacing w:val="-13"/>
          <w:w w:val="105"/>
        </w:rPr>
        <w:t> </w:t>
      </w:r>
      <w:r>
        <w:rPr>
          <w:color w:val="231F20"/>
          <w:w w:val="105"/>
        </w:rPr>
        <w:t>posibilidad</w:t>
      </w:r>
      <w:r>
        <w:rPr>
          <w:color w:val="231F20"/>
          <w:spacing w:val="-13"/>
          <w:w w:val="105"/>
        </w:rPr>
        <w:t> </w:t>
      </w:r>
      <w:r>
        <w:rPr>
          <w:color w:val="231F20"/>
          <w:w w:val="105"/>
        </w:rPr>
        <w:t>de</w:t>
      </w:r>
      <w:r>
        <w:rPr>
          <w:color w:val="231F20"/>
          <w:spacing w:val="-13"/>
          <w:w w:val="105"/>
        </w:rPr>
        <w:t> </w:t>
      </w:r>
      <w:r>
        <w:rPr>
          <w:color w:val="231F20"/>
          <w:w w:val="105"/>
        </w:rPr>
        <w:t>que</w:t>
      </w:r>
      <w:r>
        <w:rPr>
          <w:color w:val="231F20"/>
          <w:spacing w:val="-13"/>
          <w:w w:val="105"/>
        </w:rPr>
        <w:t> </w:t>
      </w:r>
      <w:r>
        <w:rPr>
          <w:color w:val="231F20"/>
          <w:w w:val="105"/>
        </w:rPr>
        <w:t>tengan</w:t>
      </w:r>
      <w:r>
        <w:rPr>
          <w:color w:val="231F20"/>
          <w:spacing w:val="-13"/>
          <w:w w:val="105"/>
        </w:rPr>
        <w:t> </w:t>
      </w:r>
      <w:r>
        <w:rPr>
          <w:color w:val="231F20"/>
          <w:w w:val="105"/>
        </w:rPr>
        <w:t>razón</w:t>
      </w:r>
      <w:r>
        <w:rPr>
          <w:color w:val="231F20"/>
          <w:spacing w:val="-13"/>
          <w:w w:val="105"/>
        </w:rPr>
        <w:t> </w:t>
      </w:r>
      <w:r>
        <w:rPr>
          <w:color w:val="231F20"/>
          <w:w w:val="105"/>
        </w:rPr>
        <w:t>los</w:t>
      </w:r>
      <w:r>
        <w:rPr>
          <w:color w:val="231F20"/>
          <w:spacing w:val="-13"/>
          <w:w w:val="105"/>
        </w:rPr>
        <w:t> </w:t>
      </w:r>
      <w:r>
        <w:rPr>
          <w:color w:val="231F20"/>
          <w:w w:val="105"/>
        </w:rPr>
        <w:t>bien</w:t>
      </w:r>
      <w:r>
        <w:rPr>
          <w:color w:val="231F20"/>
          <w:spacing w:val="-13"/>
          <w:w w:val="105"/>
        </w:rPr>
        <w:t> </w:t>
      </w:r>
      <w:r>
        <w:rPr>
          <w:color w:val="231F20"/>
          <w:w w:val="105"/>
        </w:rPr>
        <w:t>in- tencionados</w:t>
      </w:r>
      <w:r>
        <w:rPr>
          <w:color w:val="231F20"/>
          <w:spacing w:val="-17"/>
          <w:w w:val="105"/>
        </w:rPr>
        <w:t> </w:t>
      </w:r>
      <w:r>
        <w:rPr>
          <w:color w:val="231F20"/>
          <w:w w:val="105"/>
        </w:rPr>
        <w:t>y</w:t>
      </w:r>
      <w:r>
        <w:rPr>
          <w:color w:val="231F20"/>
          <w:spacing w:val="-17"/>
          <w:w w:val="105"/>
        </w:rPr>
        <w:t> </w:t>
      </w:r>
      <w:r>
        <w:rPr>
          <w:color w:val="231F20"/>
          <w:w w:val="105"/>
        </w:rPr>
        <w:t>que</w:t>
      </w:r>
      <w:r>
        <w:rPr>
          <w:color w:val="231F20"/>
          <w:spacing w:val="-17"/>
          <w:w w:val="105"/>
        </w:rPr>
        <w:t> </w:t>
      </w:r>
      <w:r>
        <w:rPr>
          <w:color w:val="231F20"/>
          <w:w w:val="105"/>
        </w:rPr>
        <w:t>el</w:t>
      </w:r>
      <w:r>
        <w:rPr>
          <w:color w:val="231F20"/>
          <w:spacing w:val="-17"/>
          <w:w w:val="105"/>
        </w:rPr>
        <w:t> </w:t>
      </w:r>
      <w:r>
        <w:rPr>
          <w:color w:val="231F20"/>
          <w:w w:val="105"/>
        </w:rPr>
        <w:t>Estado</w:t>
      </w:r>
      <w:r>
        <w:rPr>
          <w:color w:val="231F20"/>
          <w:spacing w:val="-17"/>
          <w:w w:val="105"/>
        </w:rPr>
        <w:t> </w:t>
      </w:r>
      <w:r>
        <w:rPr>
          <w:color w:val="231F20"/>
          <w:w w:val="105"/>
        </w:rPr>
        <w:t>no</w:t>
      </w:r>
      <w:r>
        <w:rPr>
          <w:color w:val="231F20"/>
          <w:spacing w:val="-17"/>
          <w:w w:val="105"/>
        </w:rPr>
        <w:t> </w:t>
      </w:r>
      <w:r>
        <w:rPr>
          <w:color w:val="231F20"/>
          <w:w w:val="105"/>
        </w:rPr>
        <w:t>sufra</w:t>
      </w:r>
      <w:r>
        <w:rPr>
          <w:color w:val="231F20"/>
          <w:spacing w:val="-17"/>
          <w:w w:val="105"/>
        </w:rPr>
        <w:t> </w:t>
      </w:r>
      <w:r>
        <w:rPr>
          <w:color w:val="231F20"/>
          <w:w w:val="105"/>
        </w:rPr>
        <w:t>todos</w:t>
      </w:r>
      <w:r>
        <w:rPr>
          <w:color w:val="231F20"/>
          <w:spacing w:val="-17"/>
          <w:w w:val="105"/>
        </w:rPr>
        <w:t> </w:t>
      </w:r>
      <w:r>
        <w:rPr>
          <w:color w:val="231F20"/>
          <w:w w:val="105"/>
        </w:rPr>
        <w:t>los</w:t>
      </w:r>
      <w:r>
        <w:rPr>
          <w:color w:val="231F20"/>
          <w:spacing w:val="-17"/>
          <w:w w:val="105"/>
        </w:rPr>
        <w:t> </w:t>
      </w:r>
      <w:r>
        <w:rPr>
          <w:color w:val="231F20"/>
          <w:w w:val="105"/>
        </w:rPr>
        <w:t>males</w:t>
      </w:r>
      <w:r>
        <w:rPr>
          <w:color w:val="231F20"/>
          <w:spacing w:val="-17"/>
          <w:w w:val="105"/>
        </w:rPr>
        <w:t> </w:t>
      </w:r>
      <w:r>
        <w:rPr>
          <w:color w:val="231F20"/>
          <w:w w:val="105"/>
        </w:rPr>
        <w:t>que</w:t>
      </w:r>
      <w:r>
        <w:rPr>
          <w:color w:val="231F20"/>
          <w:spacing w:val="-17"/>
          <w:w w:val="105"/>
        </w:rPr>
        <w:t> </w:t>
      </w:r>
      <w:r>
        <w:rPr>
          <w:color w:val="231F20"/>
          <w:w w:val="105"/>
        </w:rPr>
        <w:t>hasta</w:t>
      </w:r>
      <w:r>
        <w:rPr>
          <w:color w:val="231F20"/>
          <w:spacing w:val="-17"/>
          <w:w w:val="105"/>
        </w:rPr>
        <w:t> </w:t>
      </w:r>
      <w:r>
        <w:rPr>
          <w:color w:val="231F20"/>
          <w:w w:val="105"/>
        </w:rPr>
        <w:t>ahora</w:t>
      </w:r>
      <w:r>
        <w:rPr>
          <w:color w:val="231F20"/>
          <w:spacing w:val="-17"/>
          <w:w w:val="105"/>
        </w:rPr>
        <w:t> </w:t>
      </w:r>
      <w:r>
        <w:rPr>
          <w:color w:val="231F20"/>
          <w:w w:val="105"/>
        </w:rPr>
        <w:t>he descrito</w:t>
      </w:r>
      <w:r>
        <w:rPr>
          <w:color w:val="231F20"/>
          <w:spacing w:val="-24"/>
          <w:w w:val="105"/>
        </w:rPr>
        <w:t> </w:t>
      </w:r>
      <w:r>
        <w:rPr>
          <w:color w:val="231F20"/>
          <w:w w:val="105"/>
        </w:rPr>
        <w:t>y</w:t>
      </w:r>
      <w:r>
        <w:rPr>
          <w:color w:val="231F20"/>
          <w:spacing w:val="-24"/>
          <w:w w:val="105"/>
        </w:rPr>
        <w:t> </w:t>
      </w:r>
      <w:r>
        <w:rPr>
          <w:color w:val="231F20"/>
          <w:w w:val="105"/>
        </w:rPr>
        <w:t>que</w:t>
      </w:r>
      <w:r>
        <w:rPr>
          <w:color w:val="231F20"/>
          <w:spacing w:val="-24"/>
          <w:w w:val="105"/>
        </w:rPr>
        <w:t> </w:t>
      </w:r>
      <w:r>
        <w:rPr>
          <w:color w:val="231F20"/>
          <w:w w:val="105"/>
        </w:rPr>
        <w:t>tenga</w:t>
      </w:r>
      <w:r>
        <w:rPr>
          <w:color w:val="231F20"/>
          <w:spacing w:val="-24"/>
          <w:w w:val="105"/>
        </w:rPr>
        <w:t> </w:t>
      </w:r>
      <w:r>
        <w:rPr>
          <w:color w:val="231F20"/>
          <w:w w:val="105"/>
        </w:rPr>
        <w:t>solamente</w:t>
      </w:r>
      <w:r>
        <w:rPr>
          <w:color w:val="231F20"/>
          <w:spacing w:val="-24"/>
          <w:w w:val="105"/>
        </w:rPr>
        <w:t> </w:t>
      </w:r>
      <w:r>
        <w:rPr>
          <w:color w:val="231F20"/>
          <w:w w:val="105"/>
        </w:rPr>
        <w:t>necesidad</w:t>
      </w:r>
      <w:r>
        <w:rPr>
          <w:color w:val="231F20"/>
          <w:spacing w:val="-24"/>
          <w:w w:val="105"/>
        </w:rPr>
        <w:t> </w:t>
      </w:r>
      <w:r>
        <w:rPr>
          <w:color w:val="231F20"/>
          <w:w w:val="105"/>
        </w:rPr>
        <w:t>de</w:t>
      </w:r>
      <w:r>
        <w:rPr>
          <w:color w:val="231F20"/>
          <w:spacing w:val="-24"/>
          <w:w w:val="105"/>
        </w:rPr>
        <w:t> </w:t>
      </w:r>
      <w:r>
        <w:rPr>
          <w:color w:val="231F20"/>
          <w:w w:val="105"/>
        </w:rPr>
        <w:t>una</w:t>
      </w:r>
      <w:r>
        <w:rPr>
          <w:color w:val="231F20"/>
          <w:spacing w:val="-24"/>
          <w:w w:val="105"/>
        </w:rPr>
        <w:t> </w:t>
      </w:r>
      <w:r>
        <w:rPr>
          <w:color w:val="231F20"/>
          <w:w w:val="105"/>
        </w:rPr>
        <w:t>cura</w:t>
      </w:r>
      <w:r>
        <w:rPr>
          <w:color w:val="231F20"/>
          <w:spacing w:val="-24"/>
          <w:w w:val="105"/>
        </w:rPr>
        <w:t> </w:t>
      </w:r>
      <w:r>
        <w:rPr>
          <w:color w:val="231F20"/>
          <w:w w:val="105"/>
        </w:rPr>
        <w:t>“reconstituyente”, como</w:t>
      </w:r>
      <w:r>
        <w:rPr>
          <w:color w:val="231F20"/>
          <w:spacing w:val="-25"/>
          <w:w w:val="105"/>
        </w:rPr>
        <w:t> </w:t>
      </w:r>
      <w:r>
        <w:rPr>
          <w:color w:val="231F20"/>
          <w:w w:val="105"/>
        </w:rPr>
        <w:t>tantas</w:t>
      </w:r>
      <w:r>
        <w:rPr>
          <w:color w:val="231F20"/>
          <w:spacing w:val="-25"/>
          <w:w w:val="105"/>
        </w:rPr>
        <w:t> </w:t>
      </w:r>
      <w:r>
        <w:rPr>
          <w:color w:val="231F20"/>
          <w:w w:val="105"/>
        </w:rPr>
        <w:t>veces</w:t>
      </w:r>
      <w:r>
        <w:rPr>
          <w:color w:val="231F20"/>
          <w:spacing w:val="-25"/>
          <w:w w:val="105"/>
        </w:rPr>
        <w:t> </w:t>
      </w:r>
      <w:r>
        <w:rPr>
          <w:color w:val="231F20"/>
          <w:w w:val="105"/>
        </w:rPr>
        <w:t>ha</w:t>
      </w:r>
      <w:r>
        <w:rPr>
          <w:color w:val="231F20"/>
          <w:spacing w:val="-25"/>
          <w:w w:val="105"/>
        </w:rPr>
        <w:t> </w:t>
      </w:r>
      <w:r>
        <w:rPr>
          <w:color w:val="231F20"/>
          <w:w w:val="105"/>
        </w:rPr>
        <w:t>sucedido</w:t>
      </w:r>
      <w:r>
        <w:rPr>
          <w:color w:val="231F20"/>
          <w:spacing w:val="-25"/>
          <w:w w:val="105"/>
        </w:rPr>
        <w:t> </w:t>
      </w:r>
      <w:r>
        <w:rPr>
          <w:color w:val="231F20"/>
          <w:w w:val="105"/>
        </w:rPr>
        <w:t>en</w:t>
      </w:r>
      <w:r>
        <w:rPr>
          <w:color w:val="231F20"/>
          <w:spacing w:val="-25"/>
          <w:w w:val="105"/>
        </w:rPr>
        <w:t> </w:t>
      </w:r>
      <w:r>
        <w:rPr>
          <w:color w:val="231F20"/>
          <w:w w:val="105"/>
        </w:rPr>
        <w:t>su</w:t>
      </w:r>
      <w:r>
        <w:rPr>
          <w:color w:val="231F20"/>
          <w:spacing w:val="-25"/>
          <w:w w:val="105"/>
        </w:rPr>
        <w:t> </w:t>
      </w:r>
      <w:r>
        <w:rPr>
          <w:color w:val="231F20"/>
          <w:w w:val="105"/>
        </w:rPr>
        <w:t>historia,</w:t>
      </w:r>
      <w:r>
        <w:rPr>
          <w:color w:val="231F20"/>
          <w:spacing w:val="-25"/>
          <w:w w:val="105"/>
        </w:rPr>
        <w:t> </w:t>
      </w:r>
      <w:r>
        <w:rPr>
          <w:color w:val="231F20"/>
          <w:w w:val="105"/>
        </w:rPr>
        <w:t>rejuveneciendo</w:t>
      </w:r>
      <w:r>
        <w:rPr>
          <w:color w:val="231F20"/>
          <w:spacing w:val="-25"/>
          <w:w w:val="105"/>
        </w:rPr>
        <w:t> </w:t>
      </w:r>
      <w:r>
        <w:rPr>
          <w:color w:val="231F20"/>
          <w:w w:val="105"/>
        </w:rPr>
        <w:t>su</w:t>
      </w:r>
      <w:r>
        <w:rPr>
          <w:color w:val="231F20"/>
          <w:spacing w:val="-25"/>
          <w:w w:val="105"/>
        </w:rPr>
        <w:t> </w:t>
      </w:r>
      <w:r>
        <w:rPr>
          <w:color w:val="231F20"/>
          <w:w w:val="105"/>
        </w:rPr>
        <w:t>“Consti- tución”</w:t>
      </w:r>
      <w:r>
        <w:rPr>
          <w:color w:val="231F20"/>
          <w:spacing w:val="-24"/>
          <w:w w:val="105"/>
        </w:rPr>
        <w:t> </w:t>
      </w:r>
      <w:r>
        <w:rPr>
          <w:color w:val="231F20"/>
          <w:w w:val="105"/>
        </w:rPr>
        <w:t>en</w:t>
      </w:r>
      <w:r>
        <w:rPr>
          <w:color w:val="231F20"/>
          <w:spacing w:val="-24"/>
          <w:w w:val="105"/>
        </w:rPr>
        <w:t> </w:t>
      </w:r>
      <w:r>
        <w:rPr>
          <w:color w:val="231F20"/>
          <w:w w:val="105"/>
        </w:rPr>
        <w:t>los</w:t>
      </w:r>
      <w:r>
        <w:rPr>
          <w:color w:val="231F20"/>
          <w:spacing w:val="-24"/>
          <w:w w:val="105"/>
        </w:rPr>
        <w:t> </w:t>
      </w:r>
      <w:r>
        <w:rPr>
          <w:color w:val="231F20"/>
          <w:w w:val="105"/>
        </w:rPr>
        <w:t>tres</w:t>
      </w:r>
      <w:r>
        <w:rPr>
          <w:color w:val="231F20"/>
          <w:spacing w:val="-24"/>
          <w:w w:val="105"/>
        </w:rPr>
        <w:t> </w:t>
      </w:r>
      <w:r>
        <w:rPr>
          <w:color w:val="231F20"/>
          <w:w w:val="105"/>
        </w:rPr>
        <w:t>caracteres</w:t>
      </w:r>
      <w:r>
        <w:rPr>
          <w:color w:val="231F20"/>
          <w:spacing w:val="-24"/>
          <w:w w:val="105"/>
        </w:rPr>
        <w:t> </w:t>
      </w:r>
      <w:r>
        <w:rPr>
          <w:color w:val="231F20"/>
          <w:w w:val="105"/>
        </w:rPr>
        <w:t>esenciales</w:t>
      </w:r>
      <w:r>
        <w:rPr>
          <w:color w:val="231F20"/>
          <w:spacing w:val="-24"/>
          <w:w w:val="105"/>
        </w:rPr>
        <w:t> </w:t>
      </w:r>
      <w:r>
        <w:rPr>
          <w:color w:val="231F20"/>
          <w:w w:val="105"/>
        </w:rPr>
        <w:t>de</w:t>
      </w:r>
      <w:r>
        <w:rPr>
          <w:color w:val="231F20"/>
          <w:spacing w:val="-24"/>
          <w:w w:val="105"/>
        </w:rPr>
        <w:t> </w:t>
      </w:r>
      <w:r>
        <w:rPr>
          <w:color w:val="231F20"/>
          <w:w w:val="105"/>
        </w:rPr>
        <w:t>pueblo,</w:t>
      </w:r>
      <w:r>
        <w:rPr>
          <w:color w:val="231F20"/>
          <w:spacing w:val="-24"/>
          <w:w w:val="105"/>
        </w:rPr>
        <w:t> </w:t>
      </w:r>
      <w:r>
        <w:rPr>
          <w:color w:val="231F20"/>
          <w:w w:val="105"/>
        </w:rPr>
        <w:t>territorio</w:t>
      </w:r>
      <w:r>
        <w:rPr>
          <w:color w:val="231F20"/>
          <w:spacing w:val="-24"/>
          <w:w w:val="105"/>
        </w:rPr>
        <w:t> </w:t>
      </w:r>
      <w:r>
        <w:rPr>
          <w:color w:val="231F20"/>
          <w:w w:val="105"/>
        </w:rPr>
        <w:t>y</w:t>
      </w:r>
      <w:r>
        <w:rPr>
          <w:color w:val="231F20"/>
          <w:spacing w:val="-24"/>
          <w:w w:val="105"/>
        </w:rPr>
        <w:t> </w:t>
      </w:r>
      <w:r>
        <w:rPr>
          <w:color w:val="231F20"/>
          <w:w w:val="105"/>
        </w:rPr>
        <w:t>soberanía. La</w:t>
      </w:r>
      <w:r>
        <w:rPr>
          <w:color w:val="231F20"/>
          <w:spacing w:val="-22"/>
          <w:w w:val="105"/>
        </w:rPr>
        <w:t> </w:t>
      </w:r>
      <w:r>
        <w:rPr>
          <w:color w:val="231F20"/>
          <w:w w:val="105"/>
        </w:rPr>
        <w:t>respuesta</w:t>
      </w:r>
      <w:r>
        <w:rPr>
          <w:color w:val="231F20"/>
          <w:spacing w:val="-22"/>
          <w:w w:val="105"/>
        </w:rPr>
        <w:t> </w:t>
      </w:r>
      <w:r>
        <w:rPr>
          <w:color w:val="231F20"/>
          <w:w w:val="105"/>
        </w:rPr>
        <w:t>es</w:t>
      </w:r>
      <w:r>
        <w:rPr>
          <w:color w:val="231F20"/>
          <w:spacing w:val="-22"/>
          <w:w w:val="105"/>
        </w:rPr>
        <w:t> </w:t>
      </w:r>
      <w:r>
        <w:rPr>
          <w:color w:val="231F20"/>
          <w:w w:val="105"/>
        </w:rPr>
        <w:t>más</w:t>
      </w:r>
      <w:r>
        <w:rPr>
          <w:color w:val="231F20"/>
          <w:spacing w:val="-22"/>
          <w:w w:val="105"/>
        </w:rPr>
        <w:t> </w:t>
      </w:r>
      <w:r>
        <w:rPr>
          <w:color w:val="231F20"/>
          <w:w w:val="105"/>
        </w:rPr>
        <w:t>estricta</w:t>
      </w:r>
      <w:r>
        <w:rPr>
          <w:color w:val="231F20"/>
          <w:spacing w:val="-22"/>
          <w:w w:val="105"/>
        </w:rPr>
        <w:t> </w:t>
      </w:r>
      <w:r>
        <w:rPr>
          <w:color w:val="231F20"/>
          <w:w w:val="105"/>
        </w:rPr>
        <w:t>en</w:t>
      </w:r>
      <w:r>
        <w:rPr>
          <w:color w:val="231F20"/>
          <w:spacing w:val="-22"/>
          <w:w w:val="105"/>
        </w:rPr>
        <w:t> </w:t>
      </w:r>
      <w:r>
        <w:rPr>
          <w:color w:val="231F20"/>
          <w:w w:val="105"/>
        </w:rPr>
        <w:t>ese</w:t>
      </w:r>
      <w:r>
        <w:rPr>
          <w:color w:val="231F20"/>
          <w:spacing w:val="-22"/>
          <w:w w:val="105"/>
        </w:rPr>
        <w:t> </w:t>
      </w:r>
      <w:r>
        <w:rPr>
          <w:color w:val="231F20"/>
          <w:w w:val="105"/>
        </w:rPr>
        <w:t>sentido</w:t>
      </w:r>
      <w:r>
        <w:rPr>
          <w:color w:val="231F20"/>
          <w:spacing w:val="-22"/>
          <w:w w:val="105"/>
        </w:rPr>
        <w:t> </w:t>
      </w:r>
      <w:r>
        <w:rPr>
          <w:color w:val="231F20"/>
          <w:w w:val="105"/>
        </w:rPr>
        <w:t>y</w:t>
      </w:r>
      <w:r>
        <w:rPr>
          <w:color w:val="231F20"/>
          <w:spacing w:val="-22"/>
          <w:w w:val="105"/>
        </w:rPr>
        <w:t> </w:t>
      </w:r>
      <w:r>
        <w:rPr>
          <w:color w:val="231F20"/>
          <w:w w:val="105"/>
        </w:rPr>
        <w:t>parece</w:t>
      </w:r>
      <w:r>
        <w:rPr>
          <w:color w:val="231F20"/>
          <w:spacing w:val="-22"/>
          <w:w w:val="105"/>
        </w:rPr>
        <w:t> </w:t>
      </w:r>
      <w:r>
        <w:rPr>
          <w:color w:val="231F20"/>
          <w:w w:val="105"/>
        </w:rPr>
        <w:t>todavía</w:t>
      </w:r>
      <w:r>
        <w:rPr>
          <w:color w:val="231F20"/>
          <w:spacing w:val="-22"/>
          <w:w w:val="105"/>
        </w:rPr>
        <w:t> </w:t>
      </w:r>
      <w:r>
        <w:rPr>
          <w:color w:val="231F20"/>
          <w:w w:val="105"/>
        </w:rPr>
        <w:t>ser</w:t>
      </w:r>
      <w:r>
        <w:rPr>
          <w:color w:val="231F20"/>
          <w:spacing w:val="-22"/>
          <w:w w:val="105"/>
        </w:rPr>
        <w:t> </w:t>
      </w:r>
      <w:r>
        <w:rPr>
          <w:color w:val="231F20"/>
          <w:w w:val="105"/>
        </w:rPr>
        <w:t>la</w:t>
      </w:r>
      <w:r>
        <w:rPr>
          <w:color w:val="231F20"/>
          <w:spacing w:val="-22"/>
          <w:w w:val="105"/>
        </w:rPr>
        <w:t> </w:t>
      </w:r>
      <w:r>
        <w:rPr>
          <w:color w:val="231F20"/>
          <w:w w:val="105"/>
        </w:rPr>
        <w:t>del</w:t>
      </w:r>
      <w:r>
        <w:rPr>
          <w:color w:val="231F20"/>
          <w:spacing w:val="-22"/>
          <w:w w:val="105"/>
        </w:rPr>
        <w:t> </w:t>
      </w:r>
      <w:r>
        <w:rPr>
          <w:color w:val="231F20"/>
          <w:w w:val="105"/>
        </w:rPr>
        <w:t>fe- deralismo</w:t>
      </w:r>
      <w:r>
        <w:rPr>
          <w:color w:val="231F20"/>
          <w:spacing w:val="-37"/>
          <w:w w:val="105"/>
        </w:rPr>
        <w:t> </w:t>
      </w:r>
      <w:r>
        <w:rPr>
          <w:color w:val="231F20"/>
          <w:w w:val="105"/>
        </w:rPr>
        <w:t>en</w:t>
      </w:r>
      <w:r>
        <w:rPr>
          <w:color w:val="231F20"/>
          <w:spacing w:val="-37"/>
          <w:w w:val="105"/>
        </w:rPr>
        <w:t> </w:t>
      </w:r>
      <w:r>
        <w:rPr>
          <w:color w:val="231F20"/>
          <w:w w:val="105"/>
        </w:rPr>
        <w:t>su</w:t>
      </w:r>
      <w:r>
        <w:rPr>
          <w:color w:val="231F20"/>
          <w:spacing w:val="-37"/>
          <w:w w:val="105"/>
        </w:rPr>
        <w:t> </w:t>
      </w:r>
      <w:r>
        <w:rPr>
          <w:color w:val="231F20"/>
          <w:w w:val="105"/>
        </w:rPr>
        <w:t>versión</w:t>
      </w:r>
      <w:r>
        <w:rPr>
          <w:color w:val="231F20"/>
          <w:spacing w:val="-37"/>
          <w:w w:val="105"/>
        </w:rPr>
        <w:t> </w:t>
      </w:r>
      <w:r>
        <w:rPr>
          <w:color w:val="231F20"/>
          <w:w w:val="105"/>
        </w:rPr>
        <w:t>tradicional,</w:t>
      </w:r>
      <w:r>
        <w:rPr>
          <w:color w:val="231F20"/>
          <w:spacing w:val="-37"/>
          <w:w w:val="105"/>
        </w:rPr>
        <w:t> </w:t>
      </w:r>
      <w:r>
        <w:rPr>
          <w:color w:val="231F20"/>
          <w:w w:val="105"/>
        </w:rPr>
        <w:t>que</w:t>
      </w:r>
      <w:r>
        <w:rPr>
          <w:color w:val="231F20"/>
          <w:spacing w:val="-37"/>
          <w:w w:val="105"/>
        </w:rPr>
        <w:t> </w:t>
      </w:r>
      <w:r>
        <w:rPr>
          <w:color w:val="231F20"/>
          <w:w w:val="105"/>
        </w:rPr>
        <w:t>ya</w:t>
      </w:r>
      <w:r>
        <w:rPr>
          <w:color w:val="231F20"/>
          <w:spacing w:val="-37"/>
          <w:w w:val="105"/>
        </w:rPr>
        <w:t> </w:t>
      </w:r>
      <w:r>
        <w:rPr>
          <w:color w:val="231F20"/>
          <w:w w:val="105"/>
        </w:rPr>
        <w:t>ha</w:t>
      </w:r>
      <w:r>
        <w:rPr>
          <w:color w:val="231F20"/>
          <w:spacing w:val="-37"/>
          <w:w w:val="105"/>
        </w:rPr>
        <w:t> </w:t>
      </w:r>
      <w:r>
        <w:rPr>
          <w:color w:val="231F20"/>
          <w:w w:val="105"/>
        </w:rPr>
        <w:t>encontrado</w:t>
      </w:r>
      <w:r>
        <w:rPr>
          <w:color w:val="231F20"/>
          <w:spacing w:val="-37"/>
          <w:w w:val="105"/>
        </w:rPr>
        <w:t> </w:t>
      </w:r>
      <w:r>
        <w:rPr>
          <w:color w:val="231F20"/>
          <w:w w:val="105"/>
        </w:rPr>
        <w:t>varias</w:t>
      </w:r>
      <w:r>
        <w:rPr>
          <w:color w:val="231F20"/>
          <w:spacing w:val="-37"/>
          <w:w w:val="105"/>
        </w:rPr>
        <w:t> </w:t>
      </w:r>
      <w:r>
        <w:rPr>
          <w:color w:val="231F20"/>
          <w:w w:val="105"/>
        </w:rPr>
        <w:t>formas</w:t>
      </w:r>
      <w:r>
        <w:rPr>
          <w:color w:val="231F20"/>
          <w:spacing w:val="-37"/>
          <w:w w:val="105"/>
        </w:rPr>
        <w:t> </w:t>
      </w:r>
      <w:r>
        <w:rPr>
          <w:color w:val="231F20"/>
          <w:w w:val="105"/>
        </w:rPr>
        <w:t>de aplicación</w:t>
      </w:r>
      <w:r>
        <w:rPr>
          <w:color w:val="231F20"/>
          <w:spacing w:val="-13"/>
          <w:w w:val="105"/>
        </w:rPr>
        <w:t> </w:t>
      </w:r>
      <w:r>
        <w:rPr>
          <w:color w:val="231F20"/>
          <w:w w:val="105"/>
        </w:rPr>
        <w:t>exitosa</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historia</w:t>
      </w:r>
      <w:r>
        <w:rPr>
          <w:color w:val="231F20"/>
          <w:spacing w:val="-13"/>
          <w:w w:val="105"/>
        </w:rPr>
        <w:t> </w:t>
      </w:r>
      <w:r>
        <w:rPr>
          <w:color w:val="231F20"/>
          <w:w w:val="105"/>
        </w:rPr>
        <w:t>constitucional</w:t>
      </w:r>
      <w:r>
        <w:rPr>
          <w:color w:val="231F20"/>
          <w:spacing w:val="-13"/>
          <w:w w:val="105"/>
        </w:rPr>
        <w:t> </w:t>
      </w:r>
      <w:r>
        <w:rPr>
          <w:color w:val="231F20"/>
          <w:w w:val="105"/>
        </w:rPr>
        <w:t>de</w:t>
      </w:r>
      <w:r>
        <w:rPr>
          <w:color w:val="231F20"/>
          <w:spacing w:val="-13"/>
          <w:w w:val="105"/>
        </w:rPr>
        <w:t> </w:t>
      </w:r>
      <w:r>
        <w:rPr>
          <w:color w:val="231F20"/>
          <w:w w:val="105"/>
        </w:rPr>
        <w:t>Occidente</w:t>
      </w:r>
      <w:r>
        <w:rPr>
          <w:color w:val="231F20"/>
          <w:spacing w:val="-13"/>
          <w:w w:val="105"/>
        </w:rPr>
        <w:t> </w:t>
      </w:r>
      <w:r>
        <w:rPr>
          <w:color w:val="231F20"/>
          <w:w w:val="105"/>
        </w:rPr>
        <w:t>y</w:t>
      </w:r>
      <w:r>
        <w:rPr>
          <w:color w:val="231F20"/>
          <w:spacing w:val="-13"/>
          <w:w w:val="105"/>
        </w:rPr>
        <w:t> </w:t>
      </w:r>
      <w:r>
        <w:rPr>
          <w:color w:val="231F20"/>
          <w:w w:val="105"/>
        </w:rPr>
        <w:t>sobre</w:t>
      </w:r>
      <w:r>
        <w:rPr>
          <w:color w:val="231F20"/>
          <w:spacing w:val="-13"/>
          <w:w w:val="105"/>
        </w:rPr>
        <w:t> </w:t>
      </w:r>
      <w:r>
        <w:rPr>
          <w:color w:val="231F20"/>
          <w:w w:val="105"/>
        </w:rPr>
        <w:t>todo atlántica.</w:t>
      </w:r>
      <w:r>
        <w:rPr>
          <w:color w:val="231F20"/>
          <w:spacing w:val="-20"/>
          <w:w w:val="105"/>
        </w:rPr>
        <w:t> </w:t>
      </w:r>
      <w:r>
        <w:rPr>
          <w:color w:val="231F20"/>
          <w:spacing w:val="-5"/>
          <w:w w:val="105"/>
        </w:rPr>
        <w:t>Tanto</w:t>
      </w:r>
      <w:r>
        <w:rPr>
          <w:color w:val="231F20"/>
          <w:spacing w:val="-20"/>
          <w:w w:val="105"/>
        </w:rPr>
        <w:t> </w:t>
      </w:r>
      <w:r>
        <w:rPr>
          <w:color w:val="231F20"/>
          <w:w w:val="105"/>
        </w:rPr>
        <w:t>así</w:t>
      </w:r>
      <w:r>
        <w:rPr>
          <w:color w:val="231F20"/>
          <w:spacing w:val="3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puede</w:t>
      </w:r>
      <w:r>
        <w:rPr>
          <w:color w:val="231F20"/>
          <w:spacing w:val="-20"/>
          <w:w w:val="105"/>
        </w:rPr>
        <w:t> </w:t>
      </w:r>
      <w:r>
        <w:rPr>
          <w:color w:val="231F20"/>
          <w:w w:val="105"/>
        </w:rPr>
        <w:t>decir</w:t>
      </w:r>
      <w:r>
        <w:rPr>
          <w:color w:val="231F20"/>
          <w:spacing w:val="-20"/>
          <w:w w:val="105"/>
        </w:rPr>
        <w:t> </w:t>
      </w:r>
      <w:r>
        <w:rPr>
          <w:color w:val="231F20"/>
          <w:w w:val="105"/>
        </w:rPr>
        <w:t>que</w:t>
      </w:r>
      <w:r>
        <w:rPr>
          <w:color w:val="231F20"/>
          <w:spacing w:val="-20"/>
          <w:w w:val="105"/>
        </w:rPr>
        <w:t> </w:t>
      </w:r>
      <w:r>
        <w:rPr>
          <w:color w:val="231F20"/>
          <w:w w:val="105"/>
        </w:rPr>
        <w:t>no</w:t>
      </w:r>
      <w:r>
        <w:rPr>
          <w:color w:val="231F20"/>
          <w:spacing w:val="-20"/>
          <w:w w:val="105"/>
        </w:rPr>
        <w:t> </w:t>
      </w:r>
      <w:r>
        <w:rPr>
          <w:color w:val="231F20"/>
          <w:w w:val="105"/>
        </w:rPr>
        <w:t>existe</w:t>
      </w:r>
      <w:r>
        <w:rPr>
          <w:color w:val="231F20"/>
          <w:spacing w:val="-20"/>
          <w:w w:val="105"/>
        </w:rPr>
        <w:t> </w:t>
      </w:r>
      <w:r>
        <w:rPr>
          <w:color w:val="231F20"/>
          <w:w w:val="105"/>
        </w:rPr>
        <w:t>Estado</w:t>
      </w:r>
      <w:r>
        <w:rPr>
          <w:color w:val="231F20"/>
          <w:spacing w:val="-20"/>
          <w:w w:val="105"/>
        </w:rPr>
        <w:t> </w:t>
      </w:r>
      <w:r>
        <w:rPr>
          <w:color w:val="231F20"/>
          <w:w w:val="105"/>
        </w:rPr>
        <w:t>que</w:t>
      </w:r>
      <w:r>
        <w:rPr>
          <w:color w:val="231F20"/>
          <w:spacing w:val="-20"/>
          <w:w w:val="105"/>
        </w:rPr>
        <w:t> </w:t>
      </w:r>
      <w:r>
        <w:rPr>
          <w:color w:val="231F20"/>
          <w:w w:val="105"/>
        </w:rPr>
        <w:t>no</w:t>
      </w:r>
      <w:r>
        <w:rPr>
          <w:color w:val="231F20"/>
          <w:spacing w:val="-20"/>
          <w:w w:val="105"/>
        </w:rPr>
        <w:t> </w:t>
      </w:r>
      <w:r>
        <w:rPr>
          <w:color w:val="231F20"/>
          <w:w w:val="105"/>
        </w:rPr>
        <w:t>haya ambicionado</w:t>
      </w:r>
      <w:r>
        <w:rPr>
          <w:color w:val="231F20"/>
          <w:spacing w:val="-19"/>
          <w:w w:val="105"/>
        </w:rPr>
        <w:t> </w:t>
      </w:r>
      <w:r>
        <w:rPr>
          <w:color w:val="231F20"/>
          <w:w w:val="105"/>
        </w:rPr>
        <w:t>o</w:t>
      </w:r>
      <w:r>
        <w:rPr>
          <w:color w:val="231F20"/>
          <w:spacing w:val="-19"/>
          <w:w w:val="105"/>
        </w:rPr>
        <w:t> </w:t>
      </w:r>
      <w:r>
        <w:rPr>
          <w:color w:val="231F20"/>
          <w:w w:val="105"/>
        </w:rPr>
        <w:t>no</w:t>
      </w:r>
      <w:r>
        <w:rPr>
          <w:color w:val="231F20"/>
          <w:spacing w:val="-19"/>
          <w:w w:val="105"/>
        </w:rPr>
        <w:t> </w:t>
      </w:r>
      <w:r>
        <w:rPr>
          <w:color w:val="231F20"/>
          <w:w w:val="105"/>
        </w:rPr>
        <w:t>aspire</w:t>
      </w:r>
      <w:r>
        <w:rPr>
          <w:color w:val="231F20"/>
          <w:spacing w:val="-19"/>
          <w:w w:val="105"/>
        </w:rPr>
        <w:t> </w:t>
      </w:r>
      <w:r>
        <w:rPr>
          <w:color w:val="231F20"/>
          <w:w w:val="105"/>
        </w:rPr>
        <w:t>a</w:t>
      </w:r>
      <w:r>
        <w:rPr>
          <w:color w:val="231F20"/>
          <w:spacing w:val="-19"/>
          <w:w w:val="105"/>
        </w:rPr>
        <w:t> </w:t>
      </w:r>
      <w:r>
        <w:rPr>
          <w:color w:val="231F20"/>
          <w:w w:val="105"/>
        </w:rPr>
        <w:t>tener</w:t>
      </w:r>
      <w:r>
        <w:rPr>
          <w:color w:val="231F20"/>
          <w:spacing w:val="-19"/>
          <w:w w:val="105"/>
        </w:rPr>
        <w:t> </w:t>
      </w:r>
      <w:r>
        <w:rPr>
          <w:color w:val="231F20"/>
          <w:w w:val="105"/>
        </w:rPr>
        <w:t>una</w:t>
      </w:r>
      <w:r>
        <w:rPr>
          <w:color w:val="231F20"/>
          <w:spacing w:val="-19"/>
          <w:w w:val="105"/>
        </w:rPr>
        <w:t> </w:t>
      </w:r>
      <w:r>
        <w:rPr>
          <w:color w:val="231F20"/>
          <w:w w:val="105"/>
        </w:rPr>
        <w:t>estructura</w:t>
      </w:r>
      <w:r>
        <w:rPr>
          <w:color w:val="231F20"/>
          <w:spacing w:val="-19"/>
          <w:w w:val="105"/>
        </w:rPr>
        <w:t> </w:t>
      </w:r>
      <w:r>
        <w:rPr>
          <w:color w:val="231F20"/>
          <w:w w:val="105"/>
        </w:rPr>
        <w:t>de</w:t>
      </w:r>
      <w:r>
        <w:rPr>
          <w:color w:val="231F20"/>
          <w:spacing w:val="-19"/>
          <w:w w:val="105"/>
        </w:rPr>
        <w:t> </w:t>
      </w:r>
      <w:r>
        <w:rPr>
          <w:color w:val="231F20"/>
          <w:w w:val="105"/>
        </w:rPr>
        <w:t>tipo</w:t>
      </w:r>
      <w:r>
        <w:rPr>
          <w:color w:val="231F20"/>
          <w:spacing w:val="-19"/>
          <w:w w:val="105"/>
        </w:rPr>
        <w:t> </w:t>
      </w:r>
      <w:r>
        <w:rPr>
          <w:color w:val="231F20"/>
          <w:w w:val="105"/>
        </w:rPr>
        <w:t>federalista;</w:t>
      </w:r>
      <w:r>
        <w:rPr>
          <w:color w:val="231F20"/>
          <w:spacing w:val="-19"/>
          <w:w w:val="105"/>
        </w:rPr>
        <w:t> </w:t>
      </w:r>
      <w:r>
        <w:rPr>
          <w:color w:val="231F20"/>
          <w:w w:val="105"/>
        </w:rPr>
        <w:t>hasta la</w:t>
      </w:r>
      <w:r>
        <w:rPr>
          <w:color w:val="231F20"/>
          <w:spacing w:val="-19"/>
          <w:w w:val="105"/>
        </w:rPr>
        <w:t> </w:t>
      </w:r>
      <w:r>
        <w:rPr>
          <w:color w:val="231F20"/>
          <w:w w:val="105"/>
        </w:rPr>
        <w:t>informe</w:t>
      </w:r>
      <w:r>
        <w:rPr>
          <w:color w:val="231F20"/>
          <w:spacing w:val="-19"/>
          <w:w w:val="105"/>
        </w:rPr>
        <w:t> </w:t>
      </w:r>
      <w:r>
        <w:rPr>
          <w:color w:val="231F20"/>
          <w:w w:val="105"/>
        </w:rPr>
        <w:t>Unión</w:t>
      </w:r>
      <w:r>
        <w:rPr>
          <w:color w:val="231F20"/>
          <w:spacing w:val="-19"/>
          <w:w w:val="105"/>
        </w:rPr>
        <w:t> </w:t>
      </w:r>
      <w:r>
        <w:rPr>
          <w:color w:val="231F20"/>
          <w:w w:val="105"/>
        </w:rPr>
        <w:t>Europea</w:t>
      </w:r>
      <w:r>
        <w:rPr>
          <w:color w:val="231F20"/>
          <w:spacing w:val="-19"/>
          <w:w w:val="105"/>
        </w:rPr>
        <w:t> </w:t>
      </w:r>
      <w:r>
        <w:rPr>
          <w:color w:val="231F20"/>
          <w:w w:val="105"/>
        </w:rPr>
        <w:t>hace</w:t>
      </w:r>
      <w:r>
        <w:rPr>
          <w:color w:val="231F20"/>
          <w:spacing w:val="-19"/>
          <w:w w:val="105"/>
        </w:rPr>
        <w:t> </w:t>
      </w:r>
      <w:r>
        <w:rPr>
          <w:color w:val="231F20"/>
          <w:w w:val="105"/>
        </w:rPr>
        <w:t>énfasis</w:t>
      </w:r>
      <w:r>
        <w:rPr>
          <w:color w:val="231F20"/>
          <w:spacing w:val="-19"/>
          <w:w w:val="105"/>
        </w:rPr>
        <w:t> </w:t>
      </w:r>
      <w:r>
        <w:rPr>
          <w:color w:val="231F20"/>
          <w:w w:val="105"/>
        </w:rPr>
        <w:t>en</w:t>
      </w:r>
      <w:r>
        <w:rPr>
          <w:color w:val="231F20"/>
          <w:spacing w:val="-19"/>
          <w:w w:val="105"/>
        </w:rPr>
        <w:t> </w:t>
      </w:r>
      <w:r>
        <w:rPr>
          <w:color w:val="231F20"/>
          <w:w w:val="105"/>
        </w:rPr>
        <w:t>ese</w:t>
      </w:r>
      <w:r>
        <w:rPr>
          <w:color w:val="231F20"/>
          <w:spacing w:val="-19"/>
          <w:w w:val="105"/>
        </w:rPr>
        <w:t> </w:t>
      </w:r>
      <w:r>
        <w:rPr>
          <w:color w:val="231F20"/>
          <w:w w:val="105"/>
        </w:rPr>
        <w:t>modelo,</w:t>
      </w:r>
      <w:r>
        <w:rPr>
          <w:color w:val="231F20"/>
          <w:spacing w:val="-19"/>
          <w:w w:val="105"/>
        </w:rPr>
        <w:t> </w:t>
      </w:r>
      <w:r>
        <w:rPr>
          <w:color w:val="231F20"/>
          <w:w w:val="105"/>
        </w:rPr>
        <w:t>aunque</w:t>
      </w:r>
      <w:r>
        <w:rPr>
          <w:color w:val="231F20"/>
          <w:spacing w:val="-19"/>
          <w:w w:val="105"/>
        </w:rPr>
        <w:t> </w:t>
      </w:r>
      <w:r>
        <w:rPr>
          <w:color w:val="231F20"/>
          <w:w w:val="105"/>
        </w:rPr>
        <w:t>sea</w:t>
      </w:r>
      <w:r>
        <w:rPr>
          <w:color w:val="231F20"/>
          <w:spacing w:val="-19"/>
          <w:w w:val="105"/>
        </w:rPr>
        <w:t> </w:t>
      </w:r>
      <w:r>
        <w:rPr>
          <w:color w:val="231F20"/>
          <w:w w:val="105"/>
        </w:rPr>
        <w:t>en</w:t>
      </w:r>
      <w:r>
        <w:rPr>
          <w:color w:val="231F20"/>
          <w:spacing w:val="-19"/>
          <w:w w:val="105"/>
        </w:rPr>
        <w:t> </w:t>
      </w:r>
      <w:r>
        <w:rPr>
          <w:color w:val="231F20"/>
          <w:w w:val="105"/>
        </w:rPr>
        <w:t>las </w:t>
      </w:r>
      <w:r>
        <w:rPr>
          <w:color w:val="231F20"/>
        </w:rPr>
        <w:t>formas más relajadas</w:t>
      </w:r>
      <w:r>
        <w:rPr>
          <w:color w:val="231F20"/>
          <w:spacing w:val="-19"/>
        </w:rPr>
        <w:t> </w:t>
      </w:r>
      <w:r>
        <w:rPr>
          <w:color w:val="231F20"/>
        </w:rPr>
        <w:t>posibles.</w:t>
      </w: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5632;mso-wrap-distance-left:0;mso-wrap-distance-right:0" from="70.866096pt,12.36646pt" to="184.252096pt,12.36646pt" stroked="true" strokeweight=".3pt" strokecolor="#231f20">
            <w10:wrap type="topAndBottom"/>
          </v:line>
        </w:pict>
      </w:r>
    </w:p>
    <w:p>
      <w:pPr>
        <w:spacing w:line="204" w:lineRule="exact" w:before="9"/>
        <w:ind w:left="117" w:right="101" w:firstLine="0"/>
        <w:jc w:val="both"/>
        <w:rPr>
          <w:rFonts w:ascii="Calibri" w:hAnsi="Calibri"/>
          <w:sz w:val="17"/>
        </w:rPr>
      </w:pPr>
      <w:r>
        <w:rPr>
          <w:rFonts w:ascii="Calibri" w:hAnsi="Calibri"/>
          <w:color w:val="231F20"/>
          <w:position w:val="6"/>
          <w:sz w:val="10"/>
        </w:rPr>
        <w:t>28 </w:t>
      </w:r>
      <w:r>
        <w:rPr>
          <w:rFonts w:ascii="Calibri" w:hAnsi="Calibri"/>
          <w:color w:val="231F20"/>
          <w:sz w:val="17"/>
        </w:rPr>
        <w:t>Es el título del </w:t>
      </w:r>
      <w:r>
        <w:rPr>
          <w:rFonts w:ascii="Calibri" w:hAnsi="Calibri"/>
          <w:i/>
          <w:color w:val="231F20"/>
          <w:sz w:val="17"/>
        </w:rPr>
        <w:t>Eröffnungsvortrag zum Soziologentag “Unsichere Zeiten” am 6. Oktober 2008</w:t>
      </w:r>
      <w:r>
        <w:rPr>
          <w:rFonts w:ascii="Calibri" w:hAnsi="Calibri"/>
          <w:color w:val="231F20"/>
          <w:sz w:val="17"/>
        </w:rPr>
        <w:t>, que Ulrich Beck tuvo en Jena.</w:t>
      </w:r>
    </w:p>
    <w:p>
      <w:pPr>
        <w:spacing w:line="204" w:lineRule="exact" w:before="0"/>
        <w:ind w:left="117" w:right="101" w:firstLine="0"/>
        <w:jc w:val="both"/>
        <w:rPr>
          <w:rFonts w:ascii="Calibri" w:hAnsi="Calibri"/>
          <w:sz w:val="17"/>
        </w:rPr>
      </w:pPr>
      <w:r>
        <w:rPr>
          <w:rFonts w:ascii="Calibri" w:hAnsi="Calibri"/>
          <w:color w:val="231F20"/>
          <w:position w:val="6"/>
          <w:sz w:val="10"/>
        </w:rPr>
        <w:t>29 </w:t>
      </w:r>
      <w:r>
        <w:rPr>
          <w:rFonts w:ascii="Calibri" w:hAnsi="Calibri"/>
          <w:color w:val="231F20"/>
          <w:spacing w:val="-10"/>
          <w:sz w:val="17"/>
        </w:rPr>
        <w:t>P. </w:t>
      </w:r>
      <w:r>
        <w:rPr>
          <w:rFonts w:ascii="Calibri" w:hAnsi="Calibri"/>
          <w:color w:val="231F20"/>
          <w:sz w:val="17"/>
        </w:rPr>
        <w:t>Schiera, </w:t>
      </w:r>
      <w:r>
        <w:rPr>
          <w:rFonts w:ascii="Calibri" w:hAnsi="Calibri"/>
          <w:i/>
          <w:color w:val="231F20"/>
          <w:sz w:val="17"/>
        </w:rPr>
        <w:t>Del poder legal a los poderes globales. Legitimidad y medida en politica</w:t>
      </w:r>
      <w:r>
        <w:rPr>
          <w:rFonts w:ascii="Calibri" w:hAnsi="Calibri"/>
          <w:color w:val="231F20"/>
          <w:sz w:val="17"/>
        </w:rPr>
        <w:t>, Madrid, Funda- ción Coloquio Jurídico Europeo, 2013, (ed. it. </w:t>
      </w:r>
      <w:r>
        <w:rPr>
          <w:rFonts w:ascii="Calibri" w:hAnsi="Calibri"/>
          <w:i/>
          <w:color w:val="231F20"/>
          <w:sz w:val="17"/>
        </w:rPr>
        <w:t>Dal potere legale ai poteri globali. Legittimità e misu- </w:t>
      </w:r>
      <w:r>
        <w:rPr>
          <w:rFonts w:ascii="Calibri" w:hAnsi="Calibri"/>
          <w:i/>
          <w:color w:val="231F20"/>
          <w:sz w:val="17"/>
        </w:rPr>
        <w:t>ra in politica</w:t>
      </w:r>
      <w:r>
        <w:rPr>
          <w:rFonts w:ascii="Calibri" w:hAnsi="Calibri"/>
          <w:color w:val="231F20"/>
          <w:sz w:val="17"/>
        </w:rPr>
        <w:t>, “Quaderni di Scienza &amp; Politica, n. </w:t>
      </w:r>
      <w:r>
        <w:rPr>
          <w:rFonts w:ascii="Calibri" w:hAnsi="Calibri"/>
          <w:color w:val="231F20"/>
          <w:spacing w:val="-3"/>
          <w:sz w:val="17"/>
        </w:rPr>
        <w:t>1”, </w:t>
      </w:r>
      <w:r>
        <w:rPr>
          <w:rFonts w:ascii="Calibri" w:hAnsi="Calibri"/>
          <w:color w:val="231F20"/>
          <w:sz w:val="17"/>
        </w:rPr>
        <w:t>consultable en el sitio: </w:t>
      </w:r>
      <w:hyperlink r:id="rId44">
        <w:r>
          <w:rPr>
            <w:rFonts w:ascii="Calibri" w:hAnsi="Calibri"/>
            <w:color w:val="231F20"/>
            <w:sz w:val="17"/>
          </w:rPr>
          <w:t>http://amsacta.unibo.</w:t>
        </w:r>
      </w:hyperlink>
      <w:r>
        <w:rPr>
          <w:rFonts w:ascii="Calibri" w:hAnsi="Calibri"/>
          <w:color w:val="231F20"/>
          <w:sz w:val="17"/>
        </w:rPr>
        <w:t> it/3655/1/Quaderno_1_S&amp;P_Schiera–1.pdf).</w:t>
      </w:r>
    </w:p>
    <w:p>
      <w:pPr>
        <w:spacing w:after="0" w:line="204" w:lineRule="exact"/>
        <w:jc w:val="both"/>
        <w:rPr>
          <w:rFonts w:ascii="Calibri" w:hAnsi="Calibri"/>
          <w:sz w:val="17"/>
        </w:rPr>
        <w:sectPr>
          <w:pgSz w:w="9640" w:h="13890"/>
          <w:pgMar w:top="0" w:bottom="280" w:left="1300" w:right="1200"/>
        </w:sectPr>
      </w:pPr>
    </w:p>
    <w:p>
      <w:pPr>
        <w:pStyle w:val="BodyText"/>
        <w:spacing w:line="244" w:lineRule="auto" w:before="107"/>
        <w:ind w:left="103" w:right="115"/>
        <w:jc w:val="both"/>
      </w:pPr>
      <w:r>
        <w:rPr>
          <w:color w:val="231F20"/>
        </w:rPr>
        <w:t>Entendida en una forma más sofisticada, la propuesta federalista altera el juego fundamental de la representación y la misma doctrina de la separa- ción de los poderes, dividiendo, con el instrumento horizontal del munici- palismo, la clásica estructuración vertical. Implementado a fondo, el fede- ralismo podría abrir una nueva época del constitucionalismo. Este último había representado —a partir del siglo </w:t>
      </w:r>
      <w:r>
        <w:rPr>
          <w:color w:val="231F20"/>
          <w:sz w:val="18"/>
        </w:rPr>
        <w:t>XVIII</w:t>
      </w:r>
      <w:r>
        <w:rPr>
          <w:color w:val="231F20"/>
        </w:rPr>
        <w:t>— una importante emergencia en la historia del Estado moderno con la invención de la Constitución</w:t>
      </w:r>
      <w:r>
        <w:rPr>
          <w:color w:val="231F20"/>
          <w:spacing w:val="-36"/>
        </w:rPr>
        <w:t> </w:t>
      </w:r>
      <w:r>
        <w:rPr>
          <w:color w:val="231F20"/>
        </w:rPr>
        <w:t>como “carta”, es </w:t>
      </w:r>
      <w:r>
        <w:rPr>
          <w:color w:val="231F20"/>
          <w:spacing w:val="-4"/>
        </w:rPr>
        <w:t>decir, </w:t>
      </w:r>
      <w:r>
        <w:rPr>
          <w:color w:val="231F20"/>
        </w:rPr>
        <w:t>como codificación sintética de los contenidos del Estado, en abierta contraposición a la práctica absolutista que había caracterizado la fase inicial. Gracias a la Constitución, el Derecho como instrumento se convirtió en el fin de la vida del Estado, mediante la </w:t>
      </w:r>
      <w:r>
        <w:rPr>
          <w:rFonts w:ascii="Arial" w:hAnsi="Arial"/>
          <w:i/>
          <w:color w:val="231F20"/>
        </w:rPr>
        <w:t>Déclaration des droits </w:t>
      </w:r>
      <w:r>
        <w:rPr>
          <w:rFonts w:ascii="Arial" w:hAnsi="Arial"/>
          <w:i/>
          <w:color w:val="231F20"/>
        </w:rPr>
        <w:t>de l’homme et du citoyen</w:t>
      </w:r>
      <w:r>
        <w:rPr>
          <w:color w:val="231F20"/>
        </w:rPr>
        <w:t>,</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continente</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América</w:t>
      </w:r>
      <w:r>
        <w:rPr>
          <w:color w:val="231F20"/>
          <w:spacing w:val="-8"/>
        </w:rPr>
        <w:t> </w:t>
      </w:r>
      <w:r>
        <w:rPr>
          <w:color w:val="231F20"/>
        </w:rPr>
        <w:t>Latina</w:t>
      </w:r>
      <w:r>
        <w:rPr>
          <w:color w:val="231F20"/>
          <w:spacing w:val="-8"/>
        </w:rPr>
        <w:t> </w:t>
      </w:r>
      <w:r>
        <w:rPr>
          <w:color w:val="231F20"/>
        </w:rPr>
        <w:t>y</w:t>
      </w:r>
      <w:r>
        <w:rPr>
          <w:color w:val="231F20"/>
          <w:spacing w:val="-8"/>
        </w:rPr>
        <w:t> </w:t>
      </w:r>
      <w:r>
        <w:rPr>
          <w:color w:val="231F20"/>
        </w:rPr>
        <w:t>la</w:t>
      </w:r>
      <w:r>
        <w:rPr>
          <w:color w:val="231F20"/>
          <w:spacing w:val="-8"/>
        </w:rPr>
        <w:t> </w:t>
      </w:r>
      <w:r>
        <w:rPr>
          <w:rFonts w:ascii="Arial" w:hAnsi="Arial"/>
          <w:i/>
          <w:color w:val="231F20"/>
        </w:rPr>
        <w:t>Rule of </w:t>
      </w:r>
      <w:r>
        <w:rPr>
          <w:rFonts w:ascii="Arial" w:hAnsi="Arial"/>
          <w:i/>
          <w:color w:val="231F20"/>
        </w:rPr>
        <w:t>Law </w:t>
      </w:r>
      <w:r>
        <w:rPr>
          <w:color w:val="231F20"/>
        </w:rPr>
        <w:t>en territorio anglosajón. En ambas direcciones —que desde siempre corren paralelas— obtuvo hegemonía el papel del Parlamento, tabernácu- lo</w:t>
      </w:r>
      <w:r>
        <w:rPr>
          <w:color w:val="231F20"/>
          <w:spacing w:val="-8"/>
        </w:rPr>
        <w:t> </w:t>
      </w:r>
      <w:r>
        <w:rPr>
          <w:color w:val="231F20"/>
        </w:rPr>
        <w:t>del</w:t>
      </w:r>
      <w:r>
        <w:rPr>
          <w:color w:val="231F20"/>
          <w:spacing w:val="-8"/>
        </w:rPr>
        <w:t> </w:t>
      </w:r>
      <w:r>
        <w:rPr>
          <w:color w:val="231F20"/>
        </w:rPr>
        <w:t>pueblo</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ley</w:t>
      </w:r>
      <w:r>
        <w:rPr>
          <w:color w:val="231F20"/>
          <w:spacing w:val="-8"/>
        </w:rPr>
        <w:t> </w:t>
      </w:r>
      <w:r>
        <w:rPr>
          <w:color w:val="231F20"/>
        </w:rPr>
        <w:t>y</w:t>
      </w:r>
      <w:r>
        <w:rPr>
          <w:color w:val="231F20"/>
          <w:spacing w:val="-8"/>
        </w:rPr>
        <w:t> </w:t>
      </w:r>
      <w:r>
        <w:rPr>
          <w:color w:val="231F20"/>
        </w:rPr>
        <w:t>como</w:t>
      </w:r>
      <w:r>
        <w:rPr>
          <w:color w:val="231F20"/>
          <w:spacing w:val="-8"/>
        </w:rPr>
        <w:t> </w:t>
      </w:r>
      <w:r>
        <w:rPr>
          <w:color w:val="231F20"/>
        </w:rPr>
        <w:t>mera</w:t>
      </w:r>
      <w:r>
        <w:rPr>
          <w:color w:val="231F20"/>
          <w:spacing w:val="-8"/>
        </w:rPr>
        <w:t> </w:t>
      </w:r>
      <w:r>
        <w:rPr>
          <w:color w:val="231F20"/>
        </w:rPr>
        <w:t>consecuencia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soberanía</w:t>
      </w:r>
      <w:r>
        <w:rPr>
          <w:color w:val="231F20"/>
          <w:spacing w:val="-8"/>
        </w:rPr>
        <w:t> </w:t>
      </w:r>
      <w:r>
        <w:rPr>
          <w:color w:val="231F20"/>
        </w:rPr>
        <w:t>del</w:t>
      </w:r>
      <w:r>
        <w:rPr>
          <w:color w:val="231F20"/>
          <w:spacing w:val="-8"/>
        </w:rPr>
        <w:t> </w:t>
      </w:r>
      <w:r>
        <w:rPr>
          <w:color w:val="231F20"/>
        </w:rPr>
        <w:t>uno y</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otra.</w:t>
      </w:r>
      <w:r>
        <w:rPr>
          <w:color w:val="231F20"/>
          <w:spacing w:val="-13"/>
        </w:rPr>
        <w:t> </w:t>
      </w:r>
      <w:r>
        <w:rPr>
          <w:color w:val="231F20"/>
        </w:rPr>
        <w:t>Fue</w:t>
      </w:r>
      <w:r>
        <w:rPr>
          <w:color w:val="231F20"/>
          <w:spacing w:val="-13"/>
        </w:rPr>
        <w:t> </w:t>
      </w:r>
      <w:r>
        <w:rPr>
          <w:color w:val="231F20"/>
        </w:rPr>
        <w:t>también</w:t>
      </w:r>
      <w:r>
        <w:rPr>
          <w:color w:val="231F20"/>
          <w:spacing w:val="-13"/>
        </w:rPr>
        <w:t> </w:t>
      </w:r>
      <w:r>
        <w:rPr>
          <w:color w:val="231F20"/>
        </w:rPr>
        <w:t>en</w:t>
      </w:r>
      <w:r>
        <w:rPr>
          <w:color w:val="231F20"/>
          <w:spacing w:val="-13"/>
        </w:rPr>
        <w:t> </w:t>
      </w:r>
      <w:r>
        <w:rPr>
          <w:color w:val="231F20"/>
        </w:rPr>
        <w:t>todo</w:t>
      </w:r>
      <w:r>
        <w:rPr>
          <w:color w:val="231F20"/>
          <w:spacing w:val="-13"/>
        </w:rPr>
        <w:t> </w:t>
      </w:r>
      <w:r>
        <w:rPr>
          <w:color w:val="231F20"/>
        </w:rPr>
        <w:t>caso,</w:t>
      </w:r>
      <w:r>
        <w:rPr>
          <w:color w:val="231F20"/>
          <w:spacing w:val="-13"/>
        </w:rPr>
        <w:t> </w:t>
      </w:r>
      <w:r>
        <w:rPr>
          <w:color w:val="231F20"/>
        </w:rPr>
        <w:t>la</w:t>
      </w:r>
      <w:r>
        <w:rPr>
          <w:color w:val="231F20"/>
          <w:spacing w:val="-13"/>
        </w:rPr>
        <w:t> </w:t>
      </w:r>
      <w:r>
        <w:rPr>
          <w:color w:val="231F20"/>
        </w:rPr>
        <w:t>apertura</w:t>
      </w:r>
      <w:r>
        <w:rPr>
          <w:color w:val="231F20"/>
          <w:spacing w:val="-13"/>
        </w:rPr>
        <w:t> </w:t>
      </w:r>
      <w:r>
        <w:rPr>
          <w:color w:val="231F20"/>
        </w:rPr>
        <w:t>definitiva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política</w:t>
      </w:r>
      <w:r>
        <w:rPr>
          <w:color w:val="231F20"/>
          <w:spacing w:val="-13"/>
        </w:rPr>
        <w:t> </w:t>
      </w:r>
      <w:r>
        <w:rPr>
          <w:color w:val="231F20"/>
        </w:rPr>
        <w:t>al resto</w:t>
      </w:r>
      <w:r>
        <w:rPr>
          <w:color w:val="231F20"/>
          <w:spacing w:val="-10"/>
        </w:rPr>
        <w:t> </w:t>
      </w:r>
      <w:r>
        <w:rPr>
          <w:color w:val="231F20"/>
        </w:rPr>
        <w:t>del</w:t>
      </w:r>
      <w:r>
        <w:rPr>
          <w:color w:val="231F20"/>
          <w:spacing w:val="-10"/>
        </w:rPr>
        <w:t> </w:t>
      </w:r>
      <w:r>
        <w:rPr>
          <w:color w:val="231F20"/>
        </w:rPr>
        <w:t>mundo</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éste</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política),</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inicio</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mundialización del Estado que parece todavía incompleta. </w:t>
      </w:r>
      <w:r>
        <w:rPr>
          <w:color w:val="231F20"/>
          <w:spacing w:val="-4"/>
        </w:rPr>
        <w:t>Todavía </w:t>
      </w:r>
      <w:r>
        <w:rPr>
          <w:color w:val="231F20"/>
        </w:rPr>
        <w:t>no es globalización, cierto, pero sí es</w:t>
      </w:r>
      <w:r>
        <w:rPr>
          <w:color w:val="231F20"/>
          <w:spacing w:val="3"/>
        </w:rPr>
        <w:t> </w:t>
      </w:r>
      <w:r>
        <w:rPr>
          <w:color w:val="231F20"/>
        </w:rPr>
        <w:t>imperialismo.</w:t>
      </w:r>
    </w:p>
    <w:p>
      <w:pPr>
        <w:pStyle w:val="BodyText"/>
        <w:spacing w:line="247" w:lineRule="auto" w:before="1"/>
        <w:ind w:left="103" w:right="115" w:firstLine="566"/>
        <w:jc w:val="both"/>
      </w:pPr>
      <w:r>
        <w:rPr>
          <w:color w:val="231F20"/>
          <w:w w:val="105"/>
        </w:rPr>
        <w:t>Para</w:t>
      </w:r>
      <w:r>
        <w:rPr>
          <w:color w:val="231F20"/>
          <w:spacing w:val="-42"/>
          <w:w w:val="105"/>
        </w:rPr>
        <w:t> </w:t>
      </w:r>
      <w:r>
        <w:rPr>
          <w:color w:val="231F20"/>
          <w:w w:val="105"/>
        </w:rPr>
        <w:t>muchos</w:t>
      </w:r>
      <w:r>
        <w:rPr>
          <w:color w:val="231F20"/>
          <w:spacing w:val="-42"/>
          <w:w w:val="105"/>
        </w:rPr>
        <w:t> </w:t>
      </w:r>
      <w:r>
        <w:rPr>
          <w:color w:val="231F20"/>
          <w:w w:val="105"/>
        </w:rPr>
        <w:t>estudiosos,</w:t>
      </w:r>
      <w:r>
        <w:rPr>
          <w:color w:val="231F20"/>
          <w:spacing w:val="-42"/>
          <w:w w:val="105"/>
        </w:rPr>
        <w:t> </w:t>
      </w:r>
      <w:r>
        <w:rPr>
          <w:color w:val="231F20"/>
          <w:w w:val="105"/>
        </w:rPr>
        <w:t>el</w:t>
      </w:r>
      <w:r>
        <w:rPr>
          <w:color w:val="231F20"/>
          <w:spacing w:val="-42"/>
          <w:w w:val="105"/>
        </w:rPr>
        <w:t> </w:t>
      </w:r>
      <w:r>
        <w:rPr>
          <w:color w:val="231F20"/>
          <w:w w:val="105"/>
        </w:rPr>
        <w:t>Estado</w:t>
      </w:r>
      <w:r>
        <w:rPr>
          <w:color w:val="231F20"/>
          <w:spacing w:val="-42"/>
          <w:w w:val="105"/>
        </w:rPr>
        <w:t> </w:t>
      </w:r>
      <w:r>
        <w:rPr>
          <w:color w:val="231F20"/>
          <w:w w:val="105"/>
        </w:rPr>
        <w:t>constitucional</w:t>
      </w:r>
      <w:r>
        <w:rPr>
          <w:color w:val="231F20"/>
          <w:spacing w:val="-42"/>
          <w:w w:val="105"/>
        </w:rPr>
        <w:t> </w:t>
      </w:r>
      <w:r>
        <w:rPr>
          <w:color w:val="231F20"/>
          <w:w w:val="105"/>
        </w:rPr>
        <w:t>postrevolucionario es el único y verdadero Estado “moderno”, liberado por los límites del absolutismo</w:t>
      </w:r>
      <w:r>
        <w:rPr>
          <w:color w:val="231F20"/>
          <w:spacing w:val="-15"/>
          <w:w w:val="105"/>
        </w:rPr>
        <w:t> </w:t>
      </w:r>
      <w:r>
        <w:rPr>
          <w:color w:val="231F20"/>
          <w:w w:val="105"/>
        </w:rPr>
        <w:t>monárquico</w:t>
      </w:r>
      <w:r>
        <w:rPr>
          <w:color w:val="231F20"/>
          <w:spacing w:val="-15"/>
          <w:w w:val="105"/>
        </w:rPr>
        <w:t> </w:t>
      </w:r>
      <w:r>
        <w:rPr>
          <w:color w:val="231F20"/>
          <w:w w:val="105"/>
        </w:rPr>
        <w:t>y</w:t>
      </w:r>
      <w:r>
        <w:rPr>
          <w:color w:val="231F20"/>
          <w:spacing w:val="-15"/>
          <w:w w:val="105"/>
        </w:rPr>
        <w:t> </w:t>
      </w:r>
      <w:r>
        <w:rPr>
          <w:color w:val="231F20"/>
          <w:w w:val="105"/>
        </w:rPr>
        <w:t>bendecido</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w w:val="105"/>
        </w:rPr>
        <w:t>Constitución</w:t>
      </w:r>
      <w:r>
        <w:rPr>
          <w:color w:val="231F20"/>
          <w:spacing w:val="-15"/>
          <w:w w:val="105"/>
        </w:rPr>
        <w:t> </w:t>
      </w:r>
      <w:r>
        <w:rPr>
          <w:color w:val="231F20"/>
          <w:w w:val="105"/>
        </w:rPr>
        <w:t>liberal,</w:t>
      </w:r>
      <w:r>
        <w:rPr>
          <w:color w:val="231F20"/>
          <w:spacing w:val="-15"/>
          <w:w w:val="105"/>
        </w:rPr>
        <w:t> </w:t>
      </w:r>
      <w:r>
        <w:rPr>
          <w:color w:val="231F20"/>
          <w:w w:val="105"/>
        </w:rPr>
        <w:t>además de encuadrado en el majestuoso proceso de </w:t>
      </w:r>
      <w:r>
        <w:rPr>
          <w:rFonts w:ascii="Arial" w:hAnsi="Arial"/>
          <w:i/>
          <w:color w:val="231F20"/>
          <w:w w:val="105"/>
        </w:rPr>
        <w:t>nation</w:t>
      </w:r>
      <w:r>
        <w:rPr>
          <w:color w:val="231F20"/>
          <w:w w:val="105"/>
        </w:rPr>
        <w:t>–</w:t>
      </w:r>
      <w:r>
        <w:rPr>
          <w:rFonts w:ascii="Arial" w:hAnsi="Arial"/>
          <w:i/>
          <w:color w:val="231F20"/>
          <w:w w:val="105"/>
        </w:rPr>
        <w:t>building</w:t>
      </w:r>
      <w:r>
        <w:rPr>
          <w:color w:val="231F20"/>
          <w:w w:val="105"/>
        </w:rPr>
        <w:t>, con</w:t>
      </w:r>
      <w:r>
        <w:rPr>
          <w:color w:val="231F20"/>
          <w:spacing w:val="-18"/>
          <w:w w:val="105"/>
        </w:rPr>
        <w:t> </w:t>
      </w:r>
      <w:r>
        <w:rPr>
          <w:color w:val="231F20"/>
          <w:w w:val="105"/>
        </w:rPr>
        <w:t>todas sus</w:t>
      </w:r>
      <w:r>
        <w:rPr>
          <w:color w:val="231F20"/>
          <w:spacing w:val="-22"/>
          <w:w w:val="105"/>
        </w:rPr>
        <w:t> </w:t>
      </w:r>
      <w:r>
        <w:rPr>
          <w:color w:val="231F20"/>
          <w:w w:val="105"/>
        </w:rPr>
        <w:t>gloriosas</w:t>
      </w:r>
      <w:r>
        <w:rPr>
          <w:color w:val="231F20"/>
          <w:spacing w:val="-22"/>
          <w:w w:val="105"/>
        </w:rPr>
        <w:t> </w:t>
      </w:r>
      <w:r>
        <w:rPr>
          <w:color w:val="231F20"/>
          <w:w w:val="105"/>
        </w:rPr>
        <w:t>luchas</w:t>
      </w:r>
      <w:r>
        <w:rPr>
          <w:color w:val="231F20"/>
          <w:spacing w:val="-22"/>
          <w:w w:val="105"/>
        </w:rPr>
        <w:t> </w:t>
      </w:r>
      <w:r>
        <w:rPr>
          <w:color w:val="231F20"/>
          <w:w w:val="105"/>
        </w:rPr>
        <w:t>de</w:t>
      </w:r>
      <w:r>
        <w:rPr>
          <w:color w:val="231F20"/>
          <w:spacing w:val="-22"/>
          <w:w w:val="105"/>
        </w:rPr>
        <w:t> </w:t>
      </w:r>
      <w:r>
        <w:rPr>
          <w:color w:val="231F20"/>
          <w:w w:val="105"/>
        </w:rPr>
        <w:t>independencia</w:t>
      </w:r>
      <w:r>
        <w:rPr>
          <w:color w:val="231F20"/>
          <w:spacing w:val="-22"/>
          <w:w w:val="105"/>
        </w:rPr>
        <w:t> </w:t>
      </w:r>
      <w:r>
        <w:rPr>
          <w:color w:val="231F20"/>
          <w:w w:val="105"/>
        </w:rPr>
        <w:t>y</w:t>
      </w:r>
      <w:r>
        <w:rPr>
          <w:color w:val="231F20"/>
          <w:spacing w:val="-22"/>
          <w:w w:val="105"/>
        </w:rPr>
        <w:t> </w:t>
      </w:r>
      <w:r>
        <w:rPr>
          <w:color w:val="231F20"/>
          <w:w w:val="105"/>
        </w:rPr>
        <w:t>de</w:t>
      </w:r>
      <w:r>
        <w:rPr>
          <w:color w:val="231F20"/>
          <w:spacing w:val="-22"/>
          <w:w w:val="105"/>
        </w:rPr>
        <w:t> </w:t>
      </w:r>
      <w:r>
        <w:rPr>
          <w:color w:val="231F20"/>
          <w:w w:val="105"/>
        </w:rPr>
        <w:t>unificación,</w:t>
      </w:r>
      <w:r>
        <w:rPr>
          <w:color w:val="231F20"/>
          <w:spacing w:val="-22"/>
          <w:w w:val="105"/>
        </w:rPr>
        <w:t> </w:t>
      </w:r>
      <w:r>
        <w:rPr>
          <w:color w:val="231F20"/>
          <w:w w:val="105"/>
        </w:rPr>
        <w:t>precisamente</w:t>
      </w:r>
      <w:r>
        <w:rPr>
          <w:color w:val="231F20"/>
          <w:spacing w:val="-22"/>
          <w:w w:val="105"/>
        </w:rPr>
        <w:t> </w:t>
      </w:r>
      <w:r>
        <w:rPr>
          <w:color w:val="231F20"/>
          <w:w w:val="105"/>
        </w:rPr>
        <w:t>na- cional</w:t>
      </w:r>
      <w:r>
        <w:rPr>
          <w:color w:val="231F20"/>
          <w:spacing w:val="-41"/>
          <w:w w:val="105"/>
        </w:rPr>
        <w:t> </w:t>
      </w:r>
      <w:r>
        <w:rPr>
          <w:color w:val="231F20"/>
          <w:w w:val="105"/>
        </w:rPr>
        <w:t>y</w:t>
      </w:r>
      <w:r>
        <w:rPr>
          <w:color w:val="231F20"/>
          <w:spacing w:val="-41"/>
          <w:w w:val="105"/>
        </w:rPr>
        <w:t> </w:t>
      </w:r>
      <w:r>
        <w:rPr>
          <w:color w:val="231F20"/>
          <w:w w:val="105"/>
        </w:rPr>
        <w:t>correctamente</w:t>
      </w:r>
      <w:r>
        <w:rPr>
          <w:color w:val="231F20"/>
          <w:spacing w:val="-41"/>
          <w:w w:val="105"/>
        </w:rPr>
        <w:t> </w:t>
      </w:r>
      <w:r>
        <w:rPr>
          <w:color w:val="231F20"/>
          <w:w w:val="105"/>
        </w:rPr>
        <w:t>(ideológicamente)</w:t>
      </w:r>
      <w:r>
        <w:rPr>
          <w:color w:val="231F20"/>
          <w:spacing w:val="-41"/>
          <w:w w:val="105"/>
        </w:rPr>
        <w:t> </w:t>
      </w:r>
      <w:r>
        <w:rPr>
          <w:color w:val="231F20"/>
          <w:w w:val="105"/>
        </w:rPr>
        <w:t>definible</w:t>
      </w:r>
      <w:r>
        <w:rPr>
          <w:color w:val="231F20"/>
          <w:spacing w:val="-41"/>
          <w:w w:val="105"/>
        </w:rPr>
        <w:t> </w:t>
      </w:r>
      <w:r>
        <w:rPr>
          <w:color w:val="231F20"/>
          <w:w w:val="105"/>
        </w:rPr>
        <w:t>como</w:t>
      </w:r>
      <w:r>
        <w:rPr>
          <w:color w:val="231F20"/>
          <w:spacing w:val="-41"/>
          <w:w w:val="105"/>
        </w:rPr>
        <w:t> </w:t>
      </w:r>
      <w:r>
        <w:rPr>
          <w:color w:val="231F20"/>
          <w:w w:val="105"/>
        </w:rPr>
        <w:t>proceso</w:t>
      </w:r>
      <w:r>
        <w:rPr>
          <w:color w:val="231F20"/>
          <w:spacing w:val="-41"/>
          <w:w w:val="105"/>
        </w:rPr>
        <w:t> </w:t>
      </w:r>
      <w:r>
        <w:rPr>
          <w:color w:val="231F20"/>
          <w:w w:val="105"/>
        </w:rPr>
        <w:t>de</w:t>
      </w:r>
      <w:r>
        <w:rPr>
          <w:color w:val="231F20"/>
          <w:spacing w:val="-41"/>
          <w:w w:val="105"/>
        </w:rPr>
        <w:t> </w:t>
      </w:r>
      <w:r>
        <w:rPr>
          <w:color w:val="231F20"/>
          <w:w w:val="105"/>
        </w:rPr>
        <w:t>cons- trucción</w:t>
      </w:r>
      <w:r>
        <w:rPr>
          <w:color w:val="231F20"/>
          <w:spacing w:val="-22"/>
          <w:w w:val="105"/>
        </w:rPr>
        <w:t> </w:t>
      </w:r>
      <w:r>
        <w:rPr>
          <w:color w:val="231F20"/>
          <w:w w:val="105"/>
        </w:rPr>
        <w:t>de</w:t>
      </w:r>
      <w:r>
        <w:rPr>
          <w:color w:val="231F20"/>
          <w:spacing w:val="-22"/>
          <w:w w:val="105"/>
        </w:rPr>
        <w:t> </w:t>
      </w:r>
      <w:r>
        <w:rPr>
          <w:color w:val="231F20"/>
          <w:w w:val="105"/>
        </w:rPr>
        <w:t>un</w:t>
      </w:r>
      <w:r>
        <w:rPr>
          <w:color w:val="231F20"/>
          <w:spacing w:val="-22"/>
          <w:w w:val="105"/>
        </w:rPr>
        <w:t> </w:t>
      </w:r>
      <w:r>
        <w:rPr>
          <w:color w:val="231F20"/>
          <w:w w:val="105"/>
        </w:rPr>
        <w:t>ordenamiento</w:t>
      </w:r>
      <w:r>
        <w:rPr>
          <w:color w:val="231F20"/>
          <w:spacing w:val="-22"/>
          <w:w w:val="105"/>
        </w:rPr>
        <w:t> </w:t>
      </w:r>
      <w:r>
        <w:rPr>
          <w:color w:val="231F20"/>
          <w:w w:val="105"/>
        </w:rPr>
        <w:t>estatal</w:t>
      </w:r>
      <w:r>
        <w:rPr>
          <w:color w:val="231F20"/>
          <w:spacing w:val="-22"/>
          <w:w w:val="105"/>
        </w:rPr>
        <w:t> </w:t>
      </w:r>
      <w:r>
        <w:rPr>
          <w:color w:val="231F20"/>
          <w:w w:val="105"/>
        </w:rPr>
        <w:t>democrático:</w:t>
      </w:r>
      <w:r>
        <w:rPr>
          <w:color w:val="231F20"/>
          <w:spacing w:val="-22"/>
          <w:w w:val="105"/>
        </w:rPr>
        <w:t> </w:t>
      </w:r>
      <w:r>
        <w:rPr>
          <w:color w:val="231F20"/>
          <w:w w:val="105"/>
        </w:rPr>
        <w:t>doctrina</w:t>
      </w:r>
      <w:r>
        <w:rPr>
          <w:color w:val="231F20"/>
          <w:spacing w:val="-22"/>
          <w:w w:val="105"/>
        </w:rPr>
        <w:t> </w:t>
      </w:r>
      <w:r>
        <w:rPr>
          <w:color w:val="231F20"/>
          <w:w w:val="105"/>
        </w:rPr>
        <w:t>(aunque</w:t>
      </w:r>
      <w:r>
        <w:rPr>
          <w:color w:val="231F20"/>
          <w:spacing w:val="-22"/>
          <w:w w:val="105"/>
        </w:rPr>
        <w:t> </w:t>
      </w:r>
      <w:r>
        <w:rPr>
          <w:color w:val="231F20"/>
          <w:w w:val="105"/>
        </w:rPr>
        <w:t>si</w:t>
      </w:r>
      <w:r>
        <w:rPr>
          <w:color w:val="231F20"/>
          <w:spacing w:val="-22"/>
          <w:w w:val="105"/>
        </w:rPr>
        <w:t> </w:t>
      </w:r>
      <w:r>
        <w:rPr>
          <w:color w:val="231F20"/>
          <w:w w:val="105"/>
        </w:rPr>
        <w:t>no practicada</w:t>
      </w:r>
      <w:r>
        <w:rPr>
          <w:color w:val="231F20"/>
          <w:spacing w:val="-14"/>
          <w:w w:val="105"/>
        </w:rPr>
        <w:t> </w:t>
      </w:r>
      <w:r>
        <w:rPr>
          <w:color w:val="231F20"/>
          <w:w w:val="105"/>
        </w:rPr>
        <w:t>en</w:t>
      </w:r>
      <w:r>
        <w:rPr>
          <w:color w:val="231F20"/>
          <w:spacing w:val="-14"/>
          <w:w w:val="105"/>
        </w:rPr>
        <w:t> </w:t>
      </w:r>
      <w:r>
        <w:rPr>
          <w:color w:val="231F20"/>
          <w:w w:val="105"/>
        </w:rPr>
        <w:t>todas</w:t>
      </w:r>
      <w:r>
        <w:rPr>
          <w:color w:val="231F20"/>
          <w:spacing w:val="-14"/>
          <w:w w:val="105"/>
        </w:rPr>
        <w:t> </w:t>
      </w:r>
      <w:r>
        <w:rPr>
          <w:color w:val="231F20"/>
          <w:w w:val="105"/>
        </w:rPr>
        <w:t>partes)</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ha</w:t>
      </w:r>
      <w:r>
        <w:rPr>
          <w:color w:val="231F20"/>
          <w:spacing w:val="-14"/>
          <w:w w:val="105"/>
        </w:rPr>
        <w:t> </w:t>
      </w:r>
      <w:r>
        <w:rPr>
          <w:color w:val="231F20"/>
          <w:w w:val="105"/>
        </w:rPr>
        <w:t>mantenido</w:t>
      </w:r>
      <w:r>
        <w:rPr>
          <w:color w:val="231F20"/>
          <w:spacing w:val="-14"/>
          <w:w w:val="105"/>
        </w:rPr>
        <w:t> </w:t>
      </w:r>
      <w:r>
        <w:rPr>
          <w:color w:val="231F20"/>
          <w:w w:val="105"/>
        </w:rPr>
        <w:t>como</w:t>
      </w:r>
      <w:r>
        <w:rPr>
          <w:color w:val="231F20"/>
          <w:spacing w:val="-14"/>
          <w:w w:val="105"/>
        </w:rPr>
        <w:t> </w:t>
      </w:r>
      <w:r>
        <w:rPr>
          <w:color w:val="231F20"/>
          <w:w w:val="105"/>
        </w:rPr>
        <w:t>eficaz</w:t>
      </w:r>
      <w:r>
        <w:rPr>
          <w:color w:val="231F20"/>
          <w:spacing w:val="-14"/>
          <w:w w:val="105"/>
        </w:rPr>
        <w:t> </w:t>
      </w:r>
      <w:r>
        <w:rPr>
          <w:color w:val="231F20"/>
          <w:w w:val="105"/>
        </w:rPr>
        <w:t>hasta</w:t>
      </w:r>
      <w:r>
        <w:rPr>
          <w:color w:val="231F20"/>
          <w:spacing w:val="-14"/>
          <w:w w:val="105"/>
        </w:rPr>
        <w:t> </w:t>
      </w:r>
      <w:r>
        <w:rPr>
          <w:color w:val="231F20"/>
          <w:spacing w:val="-5"/>
          <w:w w:val="105"/>
        </w:rPr>
        <w:t>hoy, </w:t>
      </w:r>
      <w:r>
        <w:rPr>
          <w:color w:val="231F20"/>
          <w:w w:val="105"/>
        </w:rPr>
        <w:t>gracias</w:t>
      </w:r>
      <w:r>
        <w:rPr>
          <w:color w:val="231F20"/>
          <w:spacing w:val="-31"/>
          <w:w w:val="105"/>
        </w:rPr>
        <w:t> </w:t>
      </w:r>
      <w:r>
        <w:rPr>
          <w:color w:val="231F20"/>
          <w:w w:val="105"/>
        </w:rPr>
        <w:t>a</w:t>
      </w:r>
      <w:r>
        <w:rPr>
          <w:color w:val="231F20"/>
          <w:spacing w:val="-31"/>
          <w:w w:val="105"/>
        </w:rPr>
        <w:t> </w:t>
      </w:r>
      <w:r>
        <w:rPr>
          <w:color w:val="231F20"/>
          <w:w w:val="105"/>
        </w:rPr>
        <w:t>la</w:t>
      </w:r>
      <w:r>
        <w:rPr>
          <w:color w:val="231F20"/>
          <w:spacing w:val="-31"/>
          <w:w w:val="105"/>
        </w:rPr>
        <w:t> </w:t>
      </w:r>
      <w:r>
        <w:rPr>
          <w:color w:val="231F20"/>
          <w:w w:val="105"/>
        </w:rPr>
        <w:t>conjugación</w:t>
      </w:r>
      <w:r>
        <w:rPr>
          <w:color w:val="231F20"/>
          <w:spacing w:val="-31"/>
          <w:w w:val="105"/>
        </w:rPr>
        <w:t> </w:t>
      </w:r>
      <w:r>
        <w:rPr>
          <w:color w:val="231F20"/>
          <w:w w:val="105"/>
        </w:rPr>
        <w:t>de</w:t>
      </w:r>
      <w:r>
        <w:rPr>
          <w:color w:val="231F20"/>
          <w:spacing w:val="-31"/>
          <w:w w:val="105"/>
        </w:rPr>
        <w:t> </w:t>
      </w:r>
      <w:r>
        <w:rPr>
          <w:color w:val="231F20"/>
          <w:w w:val="105"/>
        </w:rPr>
        <w:t>principio</w:t>
      </w:r>
      <w:r>
        <w:rPr>
          <w:color w:val="231F20"/>
          <w:spacing w:val="-31"/>
          <w:w w:val="105"/>
        </w:rPr>
        <w:t> </w:t>
      </w:r>
      <w:r>
        <w:rPr>
          <w:color w:val="231F20"/>
          <w:w w:val="105"/>
        </w:rPr>
        <w:t>democrático</w:t>
      </w:r>
      <w:r>
        <w:rPr>
          <w:color w:val="231F20"/>
          <w:spacing w:val="-31"/>
          <w:w w:val="105"/>
        </w:rPr>
        <w:t> </w:t>
      </w:r>
      <w:r>
        <w:rPr>
          <w:color w:val="231F20"/>
          <w:w w:val="105"/>
        </w:rPr>
        <w:t>en</w:t>
      </w:r>
      <w:r>
        <w:rPr>
          <w:color w:val="231F20"/>
          <w:spacing w:val="-31"/>
          <w:w w:val="105"/>
        </w:rPr>
        <w:t> </w:t>
      </w:r>
      <w:r>
        <w:rPr>
          <w:color w:val="231F20"/>
          <w:w w:val="105"/>
        </w:rPr>
        <w:t>términos</w:t>
      </w:r>
      <w:r>
        <w:rPr>
          <w:color w:val="231F20"/>
          <w:spacing w:val="-31"/>
          <w:w w:val="105"/>
        </w:rPr>
        <w:t> </w:t>
      </w:r>
      <w:r>
        <w:rPr>
          <w:color w:val="231F20"/>
          <w:w w:val="105"/>
        </w:rPr>
        <w:t>de</w:t>
      </w:r>
      <w:r>
        <w:rPr>
          <w:color w:val="231F20"/>
          <w:spacing w:val="-31"/>
          <w:w w:val="105"/>
        </w:rPr>
        <w:t> </w:t>
      </w:r>
      <w:r>
        <w:rPr>
          <w:color w:val="231F20"/>
          <w:w w:val="105"/>
        </w:rPr>
        <w:t>mayoría. Y</w:t>
      </w:r>
      <w:r>
        <w:rPr>
          <w:color w:val="231F20"/>
          <w:spacing w:val="-28"/>
          <w:w w:val="105"/>
        </w:rPr>
        <w:t> </w:t>
      </w:r>
      <w:r>
        <w:rPr>
          <w:color w:val="231F20"/>
          <w:w w:val="105"/>
        </w:rPr>
        <w:t>aquí</w:t>
      </w:r>
      <w:r>
        <w:rPr>
          <w:color w:val="231F20"/>
          <w:spacing w:val="-28"/>
          <w:w w:val="105"/>
        </w:rPr>
        <w:t> </w:t>
      </w:r>
      <w:r>
        <w:rPr>
          <w:color w:val="231F20"/>
          <w:w w:val="105"/>
        </w:rPr>
        <w:t>estamos</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meollo</w:t>
      </w:r>
      <w:r>
        <w:rPr>
          <w:color w:val="231F20"/>
          <w:spacing w:val="-28"/>
          <w:w w:val="105"/>
        </w:rPr>
        <w:t> </w:t>
      </w:r>
      <w:r>
        <w:rPr>
          <w:color w:val="231F20"/>
          <w:w w:val="105"/>
        </w:rPr>
        <w:t>del</w:t>
      </w:r>
      <w:r>
        <w:rPr>
          <w:color w:val="231F20"/>
          <w:spacing w:val="-28"/>
          <w:w w:val="105"/>
        </w:rPr>
        <w:t> </w:t>
      </w:r>
      <w:r>
        <w:rPr>
          <w:color w:val="231F20"/>
          <w:w w:val="105"/>
        </w:rPr>
        <w:t>asunto,</w:t>
      </w:r>
      <w:r>
        <w:rPr>
          <w:color w:val="231F20"/>
          <w:spacing w:val="-28"/>
          <w:w w:val="105"/>
        </w:rPr>
        <w:t> </w:t>
      </w:r>
      <w:r>
        <w:rPr>
          <w:color w:val="231F20"/>
          <w:w w:val="105"/>
        </w:rPr>
        <w:t>porque</w:t>
      </w:r>
      <w:r>
        <w:rPr>
          <w:color w:val="231F20"/>
          <w:spacing w:val="-28"/>
          <w:w w:val="105"/>
        </w:rPr>
        <w:t> </w:t>
      </w:r>
      <w:r>
        <w:rPr>
          <w:color w:val="231F20"/>
          <w:w w:val="105"/>
        </w:rPr>
        <w:t>tocamos</w:t>
      </w:r>
      <w:r>
        <w:rPr>
          <w:color w:val="231F20"/>
          <w:spacing w:val="-28"/>
          <w:w w:val="105"/>
        </w:rPr>
        <w:t> </w:t>
      </w:r>
      <w:r>
        <w:rPr>
          <w:color w:val="231F20"/>
          <w:w w:val="105"/>
        </w:rPr>
        <w:t>el</w:t>
      </w:r>
      <w:r>
        <w:rPr>
          <w:color w:val="231F20"/>
          <w:spacing w:val="-28"/>
          <w:w w:val="105"/>
        </w:rPr>
        <w:t> </w:t>
      </w:r>
      <w:r>
        <w:rPr>
          <w:color w:val="231F20"/>
          <w:w w:val="105"/>
        </w:rPr>
        <w:t>problema</w:t>
      </w:r>
      <w:r>
        <w:rPr>
          <w:color w:val="231F20"/>
          <w:spacing w:val="-28"/>
          <w:w w:val="105"/>
        </w:rPr>
        <w:t> </w:t>
      </w:r>
      <w:r>
        <w:rPr>
          <w:color w:val="231F20"/>
          <w:w w:val="105"/>
        </w:rPr>
        <w:t>de</w:t>
      </w:r>
      <w:r>
        <w:rPr>
          <w:color w:val="231F20"/>
          <w:spacing w:val="-28"/>
          <w:w w:val="105"/>
        </w:rPr>
        <w:t> </w:t>
      </w:r>
      <w:r>
        <w:rPr>
          <w:color w:val="231F20"/>
          <w:w w:val="105"/>
        </w:rPr>
        <w:t>la legitimidad</w:t>
      </w:r>
      <w:r>
        <w:rPr>
          <w:color w:val="231F20"/>
          <w:spacing w:val="-18"/>
          <w:w w:val="105"/>
        </w:rPr>
        <w:t> </w:t>
      </w:r>
      <w:r>
        <w:rPr>
          <w:color w:val="231F20"/>
          <w:w w:val="105"/>
        </w:rPr>
        <w:t>del</w:t>
      </w:r>
      <w:r>
        <w:rPr>
          <w:color w:val="231F20"/>
          <w:spacing w:val="-18"/>
          <w:w w:val="105"/>
        </w:rPr>
        <w:t> </w:t>
      </w:r>
      <w:r>
        <w:rPr>
          <w:color w:val="231F20"/>
          <w:w w:val="105"/>
        </w:rPr>
        <w:t>poder</w:t>
      </w:r>
      <w:r>
        <w:rPr>
          <w:color w:val="231F20"/>
          <w:spacing w:val="-18"/>
          <w:w w:val="105"/>
        </w:rPr>
        <w:t> </w:t>
      </w:r>
      <w:r>
        <w:rPr>
          <w:color w:val="231F20"/>
          <w:w w:val="105"/>
        </w:rPr>
        <w:t>que</w:t>
      </w:r>
      <w:r>
        <w:rPr>
          <w:color w:val="231F20"/>
          <w:spacing w:val="-18"/>
          <w:w w:val="105"/>
        </w:rPr>
        <w:t> </w:t>
      </w:r>
      <w:r>
        <w:rPr>
          <w:color w:val="231F20"/>
          <w:w w:val="105"/>
        </w:rPr>
        <w:t>había</w:t>
      </w:r>
      <w:r>
        <w:rPr>
          <w:color w:val="231F20"/>
          <w:spacing w:val="-18"/>
          <w:w w:val="105"/>
        </w:rPr>
        <w:t> </w:t>
      </w:r>
      <w:r>
        <w:rPr>
          <w:color w:val="231F20"/>
          <w:w w:val="105"/>
        </w:rPr>
        <w:t>sido</w:t>
      </w:r>
      <w:r>
        <w:rPr>
          <w:color w:val="231F20"/>
          <w:spacing w:val="-18"/>
          <w:w w:val="105"/>
        </w:rPr>
        <w:t> </w:t>
      </w:r>
      <w:r>
        <w:rPr>
          <w:color w:val="231F20"/>
          <w:w w:val="105"/>
        </w:rPr>
        <w:t>exactamente</w:t>
      </w:r>
      <w:r>
        <w:rPr>
          <w:color w:val="231F20"/>
          <w:spacing w:val="-18"/>
          <w:w w:val="105"/>
        </w:rPr>
        <w:t> </w:t>
      </w:r>
      <w:r>
        <w:rPr>
          <w:color w:val="231F20"/>
          <w:w w:val="105"/>
        </w:rPr>
        <w:t>lo</w:t>
      </w:r>
      <w:r>
        <w:rPr>
          <w:color w:val="231F20"/>
          <w:spacing w:val="-18"/>
          <w:w w:val="105"/>
        </w:rPr>
        <w:t> </w:t>
      </w:r>
      <w:r>
        <w:rPr>
          <w:color w:val="231F20"/>
          <w:w w:val="105"/>
        </w:rPr>
        <w:t>que</w:t>
      </w:r>
      <w:r>
        <w:rPr>
          <w:color w:val="231F20"/>
          <w:spacing w:val="-18"/>
          <w:w w:val="105"/>
        </w:rPr>
        <w:t> </w:t>
      </w:r>
      <w:r>
        <w:rPr>
          <w:color w:val="231F20"/>
          <w:w w:val="105"/>
        </w:rPr>
        <w:t>desencadenó</w:t>
      </w:r>
      <w:r>
        <w:rPr>
          <w:color w:val="231F20"/>
          <w:spacing w:val="-18"/>
          <w:w w:val="105"/>
        </w:rPr>
        <w:t> </w:t>
      </w:r>
      <w:r>
        <w:rPr>
          <w:color w:val="231F20"/>
          <w:w w:val="105"/>
        </w:rPr>
        <w:t>el momento</w:t>
      </w:r>
      <w:r>
        <w:rPr>
          <w:color w:val="231F20"/>
          <w:spacing w:val="-33"/>
          <w:w w:val="105"/>
        </w:rPr>
        <w:t> </w:t>
      </w:r>
      <w:r>
        <w:rPr>
          <w:color w:val="231F20"/>
          <w:w w:val="105"/>
        </w:rPr>
        <w:t>revolucionario</w:t>
      </w:r>
      <w:r>
        <w:rPr>
          <w:color w:val="231F20"/>
          <w:spacing w:val="-33"/>
          <w:w w:val="105"/>
        </w:rPr>
        <w:t> </w:t>
      </w:r>
      <w:r>
        <w:rPr>
          <w:color w:val="231F20"/>
          <w:w w:val="105"/>
        </w:rPr>
        <w:t>contra</w:t>
      </w:r>
      <w:r>
        <w:rPr>
          <w:color w:val="231F20"/>
          <w:spacing w:val="-33"/>
          <w:w w:val="105"/>
        </w:rPr>
        <w:t> </w:t>
      </w:r>
      <w:r>
        <w:rPr>
          <w:color w:val="231F20"/>
          <w:w w:val="105"/>
        </w:rPr>
        <w:t>el</w:t>
      </w:r>
      <w:r>
        <w:rPr>
          <w:color w:val="231F20"/>
          <w:spacing w:val="-33"/>
          <w:w w:val="105"/>
        </w:rPr>
        <w:t> </w:t>
      </w:r>
      <w:r>
        <w:rPr>
          <w:color w:val="231F20"/>
          <w:w w:val="105"/>
        </w:rPr>
        <w:t>antiguo</w:t>
      </w:r>
      <w:r>
        <w:rPr>
          <w:color w:val="231F20"/>
          <w:spacing w:val="-33"/>
          <w:w w:val="105"/>
        </w:rPr>
        <w:t> </w:t>
      </w:r>
      <w:r>
        <w:rPr>
          <w:color w:val="231F20"/>
          <w:w w:val="105"/>
        </w:rPr>
        <w:t>régimen.</w:t>
      </w:r>
      <w:r>
        <w:rPr>
          <w:color w:val="231F20"/>
          <w:spacing w:val="-33"/>
          <w:w w:val="105"/>
        </w:rPr>
        <w:t> </w:t>
      </w:r>
      <w:r>
        <w:rPr>
          <w:color w:val="231F20"/>
          <w:w w:val="105"/>
        </w:rPr>
        <w:t>El</w:t>
      </w:r>
      <w:r>
        <w:rPr>
          <w:color w:val="231F20"/>
          <w:spacing w:val="-33"/>
          <w:w w:val="105"/>
        </w:rPr>
        <w:t> </w:t>
      </w:r>
      <w:r>
        <w:rPr>
          <w:color w:val="231F20"/>
          <w:w w:val="105"/>
        </w:rPr>
        <w:t>poder</w:t>
      </w:r>
      <w:r>
        <w:rPr>
          <w:color w:val="231F20"/>
          <w:spacing w:val="-33"/>
          <w:w w:val="105"/>
        </w:rPr>
        <w:t> </w:t>
      </w:r>
      <w:r>
        <w:rPr>
          <w:color w:val="231F20"/>
          <w:w w:val="105"/>
        </w:rPr>
        <w:t>le</w:t>
      </w:r>
      <w:r>
        <w:rPr>
          <w:color w:val="231F20"/>
          <w:spacing w:val="-33"/>
          <w:w w:val="105"/>
        </w:rPr>
        <w:t> </w:t>
      </w:r>
      <w:r>
        <w:rPr>
          <w:color w:val="231F20"/>
          <w:w w:val="105"/>
        </w:rPr>
        <w:t>correspon- de</w:t>
      </w:r>
      <w:r>
        <w:rPr>
          <w:color w:val="231F20"/>
          <w:spacing w:val="-32"/>
          <w:w w:val="105"/>
        </w:rPr>
        <w:t> </w:t>
      </w:r>
      <w:r>
        <w:rPr>
          <w:color w:val="231F20"/>
          <w:w w:val="105"/>
        </w:rPr>
        <w:t>al</w:t>
      </w:r>
      <w:r>
        <w:rPr>
          <w:color w:val="231F20"/>
          <w:spacing w:val="-32"/>
          <w:w w:val="105"/>
        </w:rPr>
        <w:t> </w:t>
      </w:r>
      <w:r>
        <w:rPr>
          <w:color w:val="231F20"/>
          <w:w w:val="105"/>
        </w:rPr>
        <w:t>pueblo,</w:t>
      </w:r>
      <w:r>
        <w:rPr>
          <w:color w:val="231F20"/>
          <w:spacing w:val="-32"/>
          <w:w w:val="105"/>
        </w:rPr>
        <w:t> </w:t>
      </w:r>
      <w:r>
        <w:rPr>
          <w:color w:val="231F20"/>
          <w:w w:val="105"/>
        </w:rPr>
        <w:t>en</w:t>
      </w:r>
      <w:r>
        <w:rPr>
          <w:color w:val="231F20"/>
          <w:spacing w:val="-32"/>
          <w:w w:val="105"/>
        </w:rPr>
        <w:t> </w:t>
      </w:r>
      <w:r>
        <w:rPr>
          <w:color w:val="231F20"/>
          <w:w w:val="105"/>
        </w:rPr>
        <w:t>el</w:t>
      </w:r>
      <w:r>
        <w:rPr>
          <w:color w:val="231F20"/>
          <w:spacing w:val="-32"/>
          <w:w w:val="105"/>
        </w:rPr>
        <w:t> </w:t>
      </w:r>
      <w:r>
        <w:rPr>
          <w:color w:val="231F20"/>
          <w:w w:val="105"/>
        </w:rPr>
        <w:t>interior</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w w:val="105"/>
        </w:rPr>
        <w:t>nación;</w:t>
      </w:r>
      <w:r>
        <w:rPr>
          <w:color w:val="231F20"/>
          <w:spacing w:val="-32"/>
          <w:w w:val="105"/>
        </w:rPr>
        <w:t> </w:t>
      </w:r>
      <w:r>
        <w:rPr>
          <w:color w:val="231F20"/>
          <w:w w:val="105"/>
        </w:rPr>
        <w:t>el</w:t>
      </w:r>
      <w:r>
        <w:rPr>
          <w:color w:val="231F20"/>
          <w:spacing w:val="-32"/>
          <w:w w:val="105"/>
        </w:rPr>
        <w:t> </w:t>
      </w:r>
      <w:r>
        <w:rPr>
          <w:color w:val="231F20"/>
          <w:w w:val="105"/>
        </w:rPr>
        <w:t>Estado</w:t>
      </w:r>
      <w:r>
        <w:rPr>
          <w:color w:val="231F20"/>
          <w:spacing w:val="-32"/>
          <w:w w:val="105"/>
        </w:rPr>
        <w:t> </w:t>
      </w:r>
      <w:r>
        <w:rPr>
          <w:color w:val="231F20"/>
          <w:w w:val="105"/>
        </w:rPr>
        <w:t>es</w:t>
      </w:r>
      <w:r>
        <w:rPr>
          <w:color w:val="231F20"/>
          <w:spacing w:val="-32"/>
          <w:w w:val="105"/>
        </w:rPr>
        <w:t> </w:t>
      </w:r>
      <w:r>
        <w:rPr>
          <w:color w:val="231F20"/>
          <w:w w:val="105"/>
        </w:rPr>
        <w:t>la</w:t>
      </w:r>
      <w:r>
        <w:rPr>
          <w:color w:val="231F20"/>
          <w:spacing w:val="-32"/>
          <w:w w:val="105"/>
        </w:rPr>
        <w:t> </w:t>
      </w:r>
      <w:r>
        <w:rPr>
          <w:color w:val="231F20"/>
          <w:w w:val="105"/>
        </w:rPr>
        <w:t>máquina</w:t>
      </w:r>
      <w:r>
        <w:rPr>
          <w:color w:val="231F20"/>
          <w:spacing w:val="-32"/>
          <w:w w:val="105"/>
        </w:rPr>
        <w:t> </w:t>
      </w:r>
      <w:r>
        <w:rPr>
          <w:color w:val="231F20"/>
          <w:w w:val="105"/>
        </w:rPr>
        <w:t>a</w:t>
      </w:r>
      <w:r>
        <w:rPr>
          <w:color w:val="231F20"/>
          <w:spacing w:val="-32"/>
          <w:w w:val="105"/>
        </w:rPr>
        <w:t> </w:t>
      </w:r>
      <w:r>
        <w:rPr>
          <w:color w:val="231F20"/>
          <w:w w:val="105"/>
        </w:rPr>
        <w:t>través</w:t>
      </w:r>
      <w:r>
        <w:rPr>
          <w:color w:val="231F20"/>
          <w:spacing w:val="-32"/>
          <w:w w:val="105"/>
        </w:rPr>
        <w:t> </w:t>
      </w:r>
      <w:r>
        <w:rPr>
          <w:color w:val="231F20"/>
          <w:w w:val="105"/>
        </w:rPr>
        <w:t>de la</w:t>
      </w:r>
      <w:r>
        <w:rPr>
          <w:color w:val="231F20"/>
          <w:spacing w:val="-26"/>
          <w:w w:val="105"/>
        </w:rPr>
        <w:t> </w:t>
      </w:r>
      <w:r>
        <w:rPr>
          <w:color w:val="231F20"/>
          <w:w w:val="105"/>
        </w:rPr>
        <w:t>cual</w:t>
      </w:r>
      <w:r>
        <w:rPr>
          <w:color w:val="231F20"/>
          <w:spacing w:val="-26"/>
          <w:w w:val="105"/>
        </w:rPr>
        <w:t> </w:t>
      </w:r>
      <w:r>
        <w:rPr>
          <w:color w:val="231F20"/>
          <w:w w:val="105"/>
        </w:rPr>
        <w:t>se</w:t>
      </w:r>
      <w:r>
        <w:rPr>
          <w:color w:val="231F20"/>
          <w:spacing w:val="-26"/>
          <w:w w:val="105"/>
        </w:rPr>
        <w:t> </w:t>
      </w:r>
      <w:r>
        <w:rPr>
          <w:color w:val="231F20"/>
          <w:w w:val="105"/>
        </w:rPr>
        <w:t>ejercita</w:t>
      </w:r>
      <w:r>
        <w:rPr>
          <w:color w:val="231F20"/>
          <w:spacing w:val="-26"/>
          <w:w w:val="105"/>
        </w:rPr>
        <w:t> </w:t>
      </w:r>
      <w:r>
        <w:rPr>
          <w:color w:val="231F20"/>
          <w:w w:val="105"/>
        </w:rPr>
        <w:t>ese</w:t>
      </w:r>
      <w:r>
        <w:rPr>
          <w:color w:val="231F20"/>
          <w:spacing w:val="-26"/>
          <w:w w:val="105"/>
        </w:rPr>
        <w:t> </w:t>
      </w:r>
      <w:r>
        <w:rPr>
          <w:color w:val="231F20"/>
          <w:w w:val="105"/>
        </w:rPr>
        <w:t>poder;</w:t>
      </w:r>
      <w:r>
        <w:rPr>
          <w:color w:val="231F20"/>
          <w:spacing w:val="-26"/>
          <w:w w:val="105"/>
        </w:rPr>
        <w:t> </w:t>
      </w:r>
      <w:r>
        <w:rPr>
          <w:color w:val="231F20"/>
          <w:w w:val="105"/>
        </w:rPr>
        <w:t>el</w:t>
      </w:r>
      <w:r>
        <w:rPr>
          <w:color w:val="231F20"/>
          <w:spacing w:val="-26"/>
          <w:w w:val="105"/>
        </w:rPr>
        <w:t> </w:t>
      </w:r>
      <w:r>
        <w:rPr>
          <w:color w:val="231F20"/>
          <w:w w:val="105"/>
        </w:rPr>
        <w:t>Derecho</w:t>
      </w:r>
      <w:r>
        <w:rPr>
          <w:color w:val="231F20"/>
          <w:spacing w:val="-26"/>
          <w:w w:val="105"/>
        </w:rPr>
        <w:t> </w:t>
      </w:r>
      <w:r>
        <w:rPr>
          <w:color w:val="231F20"/>
          <w:w w:val="105"/>
        </w:rPr>
        <w:t>es</w:t>
      </w:r>
      <w:r>
        <w:rPr>
          <w:color w:val="231F20"/>
          <w:spacing w:val="-26"/>
          <w:w w:val="105"/>
        </w:rPr>
        <w:t> </w:t>
      </w:r>
      <w:r>
        <w:rPr>
          <w:color w:val="231F20"/>
          <w:w w:val="105"/>
        </w:rPr>
        <w:t>el</w:t>
      </w:r>
      <w:r>
        <w:rPr>
          <w:color w:val="231F20"/>
          <w:spacing w:val="-26"/>
          <w:w w:val="105"/>
        </w:rPr>
        <w:t> </w:t>
      </w:r>
      <w:r>
        <w:rPr>
          <w:color w:val="231F20"/>
          <w:w w:val="105"/>
        </w:rPr>
        <w:t>elemento</w:t>
      </w:r>
      <w:r>
        <w:rPr>
          <w:color w:val="231F20"/>
          <w:spacing w:val="-26"/>
          <w:w w:val="105"/>
        </w:rPr>
        <w:t> </w:t>
      </w:r>
      <w:r>
        <w:rPr>
          <w:color w:val="231F20"/>
          <w:w w:val="105"/>
        </w:rPr>
        <w:t>de</w:t>
      </w:r>
      <w:r>
        <w:rPr>
          <w:color w:val="231F20"/>
          <w:spacing w:val="-26"/>
          <w:w w:val="105"/>
        </w:rPr>
        <w:t> </w:t>
      </w:r>
      <w:r>
        <w:rPr>
          <w:color w:val="231F20"/>
          <w:w w:val="105"/>
        </w:rPr>
        <w:t>garantía</w:t>
      </w:r>
      <w:r>
        <w:rPr>
          <w:color w:val="231F20"/>
          <w:spacing w:val="-26"/>
          <w:w w:val="105"/>
        </w:rPr>
        <w:t> </w:t>
      </w:r>
      <w:r>
        <w:rPr>
          <w:color w:val="231F20"/>
          <w:w w:val="105"/>
        </w:rPr>
        <w:t>de</w:t>
      </w:r>
      <w:r>
        <w:rPr>
          <w:color w:val="231F20"/>
          <w:spacing w:val="-26"/>
          <w:w w:val="105"/>
        </w:rPr>
        <w:t> </w:t>
      </w:r>
      <w:r>
        <w:rPr>
          <w:color w:val="231F20"/>
          <w:w w:val="105"/>
        </w:rPr>
        <w:t>ese ejercicio,</w:t>
      </w:r>
      <w:r>
        <w:rPr>
          <w:color w:val="231F20"/>
          <w:spacing w:val="-16"/>
          <w:w w:val="105"/>
        </w:rPr>
        <w:t> </w:t>
      </w:r>
      <w:r>
        <w:rPr>
          <w:color w:val="231F20"/>
          <w:w w:val="105"/>
        </w:rPr>
        <w:t>ya</w:t>
      </w:r>
      <w:r>
        <w:rPr>
          <w:color w:val="231F20"/>
          <w:spacing w:val="-16"/>
          <w:w w:val="105"/>
        </w:rPr>
        <w:t> </w:t>
      </w:r>
      <w:r>
        <w:rPr>
          <w:color w:val="231F20"/>
          <w:w w:val="105"/>
        </w:rPr>
        <w:t>sea</w:t>
      </w:r>
      <w:r>
        <w:rPr>
          <w:color w:val="231F20"/>
          <w:spacing w:val="-16"/>
          <w:w w:val="105"/>
        </w:rPr>
        <w:t> </w:t>
      </w:r>
      <w:r>
        <w:rPr>
          <w:color w:val="231F20"/>
          <w:w w:val="105"/>
        </w:rPr>
        <w:t>por</w:t>
      </w:r>
      <w:r>
        <w:rPr>
          <w:color w:val="231F20"/>
          <w:spacing w:val="-16"/>
          <w:w w:val="105"/>
        </w:rPr>
        <w:t> </w:t>
      </w:r>
      <w:r>
        <w:rPr>
          <w:color w:val="231F20"/>
          <w:w w:val="105"/>
        </w:rPr>
        <w:t>la</w:t>
      </w:r>
      <w:r>
        <w:rPr>
          <w:color w:val="231F20"/>
          <w:spacing w:val="-16"/>
          <w:w w:val="105"/>
        </w:rPr>
        <w:t> </w:t>
      </w:r>
      <w:r>
        <w:rPr>
          <w:color w:val="231F20"/>
          <w:w w:val="105"/>
        </w:rPr>
        <w:t>superioridad</w:t>
      </w:r>
      <w:r>
        <w:rPr>
          <w:color w:val="231F20"/>
          <w:spacing w:val="-16"/>
          <w:w w:val="105"/>
        </w:rPr>
        <w:t> </w:t>
      </w:r>
      <w:r>
        <w:rPr>
          <w:color w:val="231F20"/>
          <w:w w:val="105"/>
        </w:rPr>
        <w:t>del</w:t>
      </w:r>
      <w:r>
        <w:rPr>
          <w:color w:val="231F20"/>
          <w:spacing w:val="-16"/>
          <w:w w:val="105"/>
        </w:rPr>
        <w:t> </w:t>
      </w:r>
      <w:r>
        <w:rPr>
          <w:color w:val="231F20"/>
          <w:w w:val="105"/>
        </w:rPr>
        <w:t>poder</w:t>
      </w:r>
      <w:r>
        <w:rPr>
          <w:color w:val="231F20"/>
          <w:spacing w:val="-16"/>
          <w:w w:val="105"/>
        </w:rPr>
        <w:t> </w:t>
      </w:r>
      <w:r>
        <w:rPr>
          <w:color w:val="231F20"/>
          <w:w w:val="105"/>
        </w:rPr>
        <w:t>legislativo,</w:t>
      </w:r>
      <w:r>
        <w:rPr>
          <w:color w:val="231F20"/>
          <w:spacing w:val="-16"/>
          <w:w w:val="105"/>
        </w:rPr>
        <w:t> </w:t>
      </w:r>
      <w:r>
        <w:rPr>
          <w:color w:val="231F20"/>
          <w:w w:val="105"/>
        </w:rPr>
        <w:t>que</w:t>
      </w:r>
      <w:r>
        <w:rPr>
          <w:color w:val="231F20"/>
          <w:spacing w:val="-16"/>
          <w:w w:val="105"/>
        </w:rPr>
        <w:t> </w:t>
      </w:r>
      <w:r>
        <w:rPr>
          <w:color w:val="231F20"/>
          <w:w w:val="105"/>
        </w:rPr>
        <w:t>por</w:t>
      </w:r>
      <w:r>
        <w:rPr>
          <w:color w:val="231F20"/>
          <w:spacing w:val="-16"/>
          <w:w w:val="105"/>
        </w:rPr>
        <w:t> </w:t>
      </w:r>
      <w:r>
        <w:rPr>
          <w:color w:val="231F20"/>
          <w:w w:val="105"/>
        </w:rPr>
        <w:t>la</w:t>
      </w:r>
      <w:r>
        <w:rPr>
          <w:color w:val="231F20"/>
          <w:spacing w:val="-16"/>
          <w:w w:val="105"/>
        </w:rPr>
        <w:t> </w:t>
      </w:r>
      <w:r>
        <w:rPr>
          <w:color w:val="231F20"/>
          <w:w w:val="105"/>
        </w:rPr>
        <w:t>prio- ridad</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rFonts w:ascii="Arial" w:hAnsi="Arial"/>
          <w:i/>
          <w:color w:val="231F20"/>
          <w:w w:val="105"/>
        </w:rPr>
        <w:t>human</w:t>
      </w:r>
      <w:r>
        <w:rPr>
          <w:rFonts w:ascii="Arial" w:hAnsi="Arial"/>
          <w:i/>
          <w:color w:val="231F20"/>
          <w:spacing w:val="-2"/>
          <w:w w:val="105"/>
        </w:rPr>
        <w:t> </w:t>
      </w:r>
      <w:r>
        <w:rPr>
          <w:rFonts w:ascii="Arial" w:hAnsi="Arial"/>
          <w:i/>
          <w:color w:val="231F20"/>
          <w:w w:val="105"/>
        </w:rPr>
        <w:t>rights</w:t>
      </w:r>
      <w:r>
        <w:rPr>
          <w:color w:val="231F20"/>
          <w:w w:val="105"/>
        </w:rPr>
        <w:t>.</w:t>
      </w:r>
      <w:r>
        <w:rPr>
          <w:color w:val="231F20"/>
          <w:spacing w:val="-9"/>
          <w:w w:val="105"/>
        </w:rPr>
        <w:t> </w:t>
      </w:r>
      <w:r>
        <w:rPr>
          <w:color w:val="231F20"/>
          <w:w w:val="105"/>
        </w:rPr>
        <w:t>La</w:t>
      </w:r>
      <w:r>
        <w:rPr>
          <w:color w:val="231F20"/>
          <w:spacing w:val="-9"/>
          <w:w w:val="105"/>
        </w:rPr>
        <w:t> </w:t>
      </w:r>
      <w:r>
        <w:rPr>
          <w:color w:val="231F20"/>
          <w:w w:val="105"/>
        </w:rPr>
        <w:t>Constitución</w:t>
      </w:r>
      <w:r>
        <w:rPr>
          <w:color w:val="231F20"/>
          <w:spacing w:val="-9"/>
          <w:w w:val="105"/>
        </w:rPr>
        <w:t> </w:t>
      </w:r>
      <w:r>
        <w:rPr>
          <w:color w:val="231F20"/>
          <w:w w:val="105"/>
        </w:rPr>
        <w:t>contiene</w:t>
      </w:r>
      <w:r>
        <w:rPr>
          <w:color w:val="231F20"/>
          <w:spacing w:val="-9"/>
          <w:w w:val="105"/>
        </w:rPr>
        <w:t> </w:t>
      </w:r>
      <w:r>
        <w:rPr>
          <w:color w:val="231F20"/>
          <w:w w:val="105"/>
        </w:rPr>
        <w:t>todo</w:t>
      </w:r>
      <w:r>
        <w:rPr>
          <w:color w:val="231F20"/>
          <w:spacing w:val="-9"/>
          <w:w w:val="105"/>
        </w:rPr>
        <w:t> </w:t>
      </w:r>
      <w:r>
        <w:rPr>
          <w:color w:val="231F20"/>
          <w:w w:val="105"/>
        </w:rPr>
        <w:t>esto;</w:t>
      </w:r>
      <w:r>
        <w:rPr>
          <w:color w:val="231F20"/>
          <w:spacing w:val="-9"/>
          <w:w w:val="105"/>
        </w:rPr>
        <w:t> </w:t>
      </w:r>
      <w:r>
        <w:rPr>
          <w:color w:val="231F20"/>
          <w:w w:val="105"/>
        </w:rPr>
        <w:t>el</w:t>
      </w:r>
      <w:r>
        <w:rPr>
          <w:color w:val="231F20"/>
          <w:spacing w:val="-9"/>
          <w:w w:val="105"/>
        </w:rPr>
        <w:t> </w:t>
      </w:r>
      <w:r>
        <w:rPr>
          <w:color w:val="231F20"/>
          <w:w w:val="105"/>
        </w:rPr>
        <w:t>Estado “moderno”</w:t>
      </w:r>
      <w:r>
        <w:rPr>
          <w:color w:val="231F20"/>
          <w:spacing w:val="-17"/>
          <w:w w:val="105"/>
        </w:rPr>
        <w:t> </w:t>
      </w:r>
      <w:r>
        <w:rPr>
          <w:color w:val="231F20"/>
          <w:w w:val="105"/>
        </w:rPr>
        <w:t>es</w:t>
      </w:r>
      <w:r>
        <w:rPr>
          <w:color w:val="231F20"/>
          <w:spacing w:val="-17"/>
          <w:w w:val="105"/>
        </w:rPr>
        <w:t> </w:t>
      </w:r>
      <w:r>
        <w:rPr>
          <w:color w:val="231F20"/>
          <w:w w:val="105"/>
        </w:rPr>
        <w:t>Estado</w:t>
      </w:r>
      <w:r>
        <w:rPr>
          <w:color w:val="231F20"/>
          <w:spacing w:val="-17"/>
          <w:w w:val="105"/>
        </w:rPr>
        <w:t> </w:t>
      </w:r>
      <w:r>
        <w:rPr>
          <w:color w:val="231F20"/>
          <w:w w:val="105"/>
        </w:rPr>
        <w:t>constitucional,</w:t>
      </w:r>
      <w:r>
        <w:rPr>
          <w:color w:val="231F20"/>
          <w:spacing w:val="-17"/>
          <w:w w:val="105"/>
        </w:rPr>
        <w:t> </w:t>
      </w:r>
      <w:r>
        <w:rPr>
          <w:color w:val="231F20"/>
          <w:w w:val="105"/>
        </w:rPr>
        <w:t>con</w:t>
      </w:r>
      <w:r>
        <w:rPr>
          <w:color w:val="231F20"/>
          <w:spacing w:val="-17"/>
          <w:w w:val="105"/>
        </w:rPr>
        <w:t> </w:t>
      </w:r>
      <w:r>
        <w:rPr>
          <w:color w:val="231F20"/>
          <w:w w:val="105"/>
        </w:rPr>
        <w:t>base</w:t>
      </w:r>
      <w:r>
        <w:rPr>
          <w:color w:val="231F20"/>
          <w:spacing w:val="-17"/>
          <w:w w:val="105"/>
        </w:rPr>
        <w:t> </w:t>
      </w:r>
      <w:r>
        <w:rPr>
          <w:color w:val="231F20"/>
          <w:w w:val="105"/>
        </w:rPr>
        <w:t>parlamentaria</w:t>
      </w:r>
      <w:r>
        <w:rPr>
          <w:color w:val="231F20"/>
          <w:spacing w:val="-17"/>
          <w:w w:val="105"/>
        </w:rPr>
        <w:t> </w:t>
      </w:r>
      <w:r>
        <w:rPr>
          <w:color w:val="231F20"/>
          <w:w w:val="105"/>
        </w:rPr>
        <w:t>y</w:t>
      </w:r>
      <w:r>
        <w:rPr>
          <w:color w:val="231F20"/>
          <w:spacing w:val="-17"/>
          <w:w w:val="105"/>
        </w:rPr>
        <w:t> </w:t>
      </w:r>
      <w:r>
        <w:rPr>
          <w:color w:val="231F20"/>
          <w:w w:val="105"/>
        </w:rPr>
        <w:t>contenido liberal.</w:t>
      </w:r>
      <w:r>
        <w:rPr>
          <w:color w:val="231F20"/>
          <w:spacing w:val="-35"/>
          <w:w w:val="105"/>
        </w:rPr>
        <w:t> </w:t>
      </w:r>
      <w:r>
        <w:rPr>
          <w:color w:val="231F20"/>
          <w:w w:val="105"/>
        </w:rPr>
        <w:t>Queda</w:t>
      </w:r>
      <w:r>
        <w:rPr>
          <w:color w:val="231F20"/>
          <w:spacing w:val="-35"/>
          <w:w w:val="105"/>
        </w:rPr>
        <w:t> </w:t>
      </w:r>
      <w:r>
        <w:rPr>
          <w:color w:val="231F20"/>
          <w:w w:val="105"/>
        </w:rPr>
        <w:t>el</w:t>
      </w:r>
      <w:r>
        <w:rPr>
          <w:color w:val="231F20"/>
          <w:spacing w:val="-35"/>
          <w:w w:val="105"/>
        </w:rPr>
        <w:t> </w:t>
      </w:r>
      <w:r>
        <w:rPr>
          <w:color w:val="231F20"/>
          <w:w w:val="105"/>
        </w:rPr>
        <w:t>problema</w:t>
      </w:r>
      <w:r>
        <w:rPr>
          <w:color w:val="231F20"/>
          <w:spacing w:val="-35"/>
          <w:w w:val="105"/>
        </w:rPr>
        <w:t> </w:t>
      </w:r>
      <w:r>
        <w:rPr>
          <w:color w:val="231F20"/>
          <w:w w:val="105"/>
        </w:rPr>
        <w:t>de</w:t>
      </w:r>
      <w:r>
        <w:rPr>
          <w:color w:val="231F20"/>
          <w:spacing w:val="-35"/>
          <w:w w:val="105"/>
        </w:rPr>
        <w:t> </w:t>
      </w:r>
      <w:r>
        <w:rPr>
          <w:color w:val="231F20"/>
          <w:w w:val="105"/>
        </w:rPr>
        <w:t>las</w:t>
      </w:r>
      <w:r>
        <w:rPr>
          <w:color w:val="231F20"/>
          <w:spacing w:val="-35"/>
          <w:w w:val="105"/>
        </w:rPr>
        <w:t> </w:t>
      </w:r>
      <w:r>
        <w:rPr>
          <w:rFonts w:ascii="Arial" w:hAnsi="Arial"/>
          <w:i/>
          <w:color w:val="231F20"/>
          <w:w w:val="105"/>
        </w:rPr>
        <w:t>majorities</w:t>
      </w:r>
      <w:r>
        <w:rPr>
          <w:color w:val="231F20"/>
          <w:w w:val="105"/>
        </w:rPr>
        <w:t>:</w:t>
      </w:r>
      <w:r>
        <w:rPr>
          <w:color w:val="231F20"/>
          <w:spacing w:val="-35"/>
          <w:w w:val="105"/>
        </w:rPr>
        <w:t> </w:t>
      </w:r>
      <w:r>
        <w:rPr>
          <w:color w:val="231F20"/>
          <w:w w:val="105"/>
        </w:rPr>
        <w:t>en</w:t>
      </w:r>
      <w:r>
        <w:rPr>
          <w:color w:val="231F20"/>
          <w:spacing w:val="-35"/>
          <w:w w:val="105"/>
        </w:rPr>
        <w:t> </w:t>
      </w:r>
      <w:r>
        <w:rPr>
          <w:color w:val="231F20"/>
          <w:w w:val="105"/>
        </w:rPr>
        <w:t>este</w:t>
      </w:r>
      <w:r>
        <w:rPr>
          <w:color w:val="231F20"/>
          <w:spacing w:val="-35"/>
          <w:w w:val="105"/>
        </w:rPr>
        <w:t> </w:t>
      </w:r>
      <w:r>
        <w:rPr>
          <w:color w:val="231F20"/>
          <w:w w:val="105"/>
        </w:rPr>
        <w:t>Estado,</w:t>
      </w:r>
      <w:r>
        <w:rPr>
          <w:color w:val="231F20"/>
          <w:spacing w:val="-35"/>
          <w:w w:val="105"/>
        </w:rPr>
        <w:t> </w:t>
      </w:r>
      <w:r>
        <w:rPr>
          <w:color w:val="231F20"/>
          <w:w w:val="105"/>
        </w:rPr>
        <w:t>éstas</w:t>
      </w:r>
      <w:r>
        <w:rPr>
          <w:color w:val="231F20"/>
          <w:spacing w:val="-35"/>
          <w:w w:val="105"/>
        </w:rPr>
        <w:t> </w:t>
      </w:r>
      <w:r>
        <w:rPr>
          <w:color w:val="231F20"/>
          <w:w w:val="105"/>
        </w:rPr>
        <w:t>han</w:t>
      </w:r>
      <w:r>
        <w:rPr>
          <w:color w:val="231F20"/>
          <w:spacing w:val="-35"/>
          <w:w w:val="105"/>
        </w:rPr>
        <w:t> </w:t>
      </w:r>
      <w:r>
        <w:rPr>
          <w:color w:val="231F20"/>
          <w:w w:val="105"/>
        </w:rPr>
        <w:t>sido inequívocamente burguesas. Este Estado ha sido siempre, por lo</w:t>
      </w:r>
      <w:r>
        <w:rPr>
          <w:color w:val="231F20"/>
          <w:spacing w:val="-7"/>
          <w:w w:val="105"/>
        </w:rPr>
        <w:t> </w:t>
      </w:r>
      <w:r>
        <w:rPr>
          <w:color w:val="231F20"/>
          <w:w w:val="105"/>
        </w:rPr>
        <w:t>tanto, Estado</w:t>
      </w:r>
      <w:r>
        <w:rPr>
          <w:color w:val="231F20"/>
          <w:spacing w:val="-26"/>
          <w:w w:val="105"/>
        </w:rPr>
        <w:t> </w:t>
      </w:r>
      <w:r>
        <w:rPr>
          <w:color w:val="231F20"/>
          <w:w w:val="105"/>
        </w:rPr>
        <w:t>burgués,</w:t>
      </w:r>
      <w:r>
        <w:rPr>
          <w:color w:val="231F20"/>
          <w:spacing w:val="-26"/>
          <w:w w:val="105"/>
        </w:rPr>
        <w:t> </w:t>
      </w:r>
      <w:r>
        <w:rPr>
          <w:color w:val="231F20"/>
          <w:w w:val="105"/>
        </w:rPr>
        <w:t>concentrando</w:t>
      </w:r>
      <w:r>
        <w:rPr>
          <w:color w:val="231F20"/>
          <w:spacing w:val="-26"/>
          <w:w w:val="105"/>
        </w:rPr>
        <w:t> </w:t>
      </w:r>
      <w:r>
        <w:rPr>
          <w:color w:val="231F20"/>
          <w:w w:val="105"/>
        </w:rPr>
        <w:t>la</w:t>
      </w:r>
      <w:r>
        <w:rPr>
          <w:color w:val="231F20"/>
          <w:spacing w:val="-26"/>
          <w:w w:val="105"/>
        </w:rPr>
        <w:t> </w:t>
      </w:r>
      <w:r>
        <w:rPr>
          <w:color w:val="231F20"/>
          <w:w w:val="105"/>
        </w:rPr>
        <w:t>propia</w:t>
      </w:r>
      <w:r>
        <w:rPr>
          <w:color w:val="231F20"/>
          <w:spacing w:val="-26"/>
          <w:w w:val="105"/>
        </w:rPr>
        <w:t> </w:t>
      </w:r>
      <w:r>
        <w:rPr>
          <w:color w:val="231F20"/>
          <w:w w:val="105"/>
        </w:rPr>
        <w:t>legitimidad</w:t>
      </w:r>
      <w:r>
        <w:rPr>
          <w:color w:val="231F20"/>
          <w:spacing w:val="-26"/>
          <w:w w:val="105"/>
        </w:rPr>
        <w:t> </w:t>
      </w:r>
      <w:r>
        <w:rPr>
          <w:color w:val="231F20"/>
          <w:w w:val="105"/>
        </w:rPr>
        <w:t>en</w:t>
      </w:r>
      <w:r>
        <w:rPr>
          <w:color w:val="231F20"/>
          <w:spacing w:val="-26"/>
          <w:w w:val="105"/>
        </w:rPr>
        <w:t> </w:t>
      </w:r>
      <w:r>
        <w:rPr>
          <w:color w:val="231F20"/>
          <w:w w:val="105"/>
        </w:rPr>
        <w:t>legalidad,</w:t>
      </w:r>
      <w:r>
        <w:rPr>
          <w:color w:val="231F20"/>
          <w:spacing w:val="-26"/>
          <w:w w:val="105"/>
        </w:rPr>
        <w:t> </w:t>
      </w:r>
      <w:r>
        <w:rPr>
          <w:color w:val="231F20"/>
          <w:w w:val="105"/>
        </w:rPr>
        <w:t>presen-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p>
    <w:p>
      <w:pPr>
        <w:tabs>
          <w:tab w:pos="1331" w:val="left" w:leader="none"/>
        </w:tabs>
        <w:spacing w:before="69"/>
        <w:ind w:left="226" w:right="0" w:firstLine="0"/>
        <w:jc w:val="left"/>
        <w:rPr>
          <w:rFonts w:ascii="Calibri"/>
          <w:sz w:val="16"/>
        </w:rPr>
      </w:pPr>
      <w:r>
        <w:rPr/>
        <w:pict>
          <v:group style="position:absolute;margin-left:98.787804pt;margin-top:-3.308812pt;width:20.4pt;height:43pt;mso-position-horizontal-relative:page;mso-position-vertical-relative:paragraph;z-index:-169720" coordorigin="1976,-66" coordsize="408,860">
            <v:line style="position:absolute" from="2225,73" to="2225,789" stroked="true" strokeweight=".35pt" strokecolor="#231f20"/>
            <v:shape style="position:absolute;left:2193;top:-13;width:190;height:445" type="#_x0000_t75" stroked="false">
              <v:imagedata r:id="rId40" o:title=""/>
            </v:shape>
            <v:shape style="position:absolute;left:1976;top:-66;width:250;height:502" type="#_x0000_t75" stroked="false">
              <v:imagedata r:id="rId41" o:title=""/>
            </v:shape>
            <w10:wrap type="none"/>
          </v:group>
        </w:pict>
      </w:r>
      <w:r>
        <w:rPr>
          <w:rFonts w:ascii="Arial"/>
          <w:color w:val="414042"/>
          <w:position w:val="-4"/>
          <w:sz w:val="20"/>
        </w:rPr>
        <w:t>104</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3924" w:right="0" w:firstLine="0"/>
        <w:jc w:val="left"/>
        <w:rPr>
          <w:rFonts w:ascii="Arial" w:hAnsi="Arial"/>
          <w:sz w:val="20"/>
        </w:rPr>
      </w:pPr>
      <w:r>
        <w:rPr/>
        <w:pict>
          <v:group style="position:absolute;margin-left:383.821014pt;margin-top:-25.479271pt;width:8.65pt;height:41pt;mso-position-horizontal-relative:page;mso-position-vertical-relative:paragraph;z-index:-16967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5"/>
          <w:sz w:val="14"/>
        </w:rPr>
        <w:t> </w:t>
      </w:r>
      <w:r>
        <w:rPr>
          <w:rFonts w:ascii="Lucida Sans Unicode" w:hAnsi="Lucida Sans Unicode"/>
          <w:color w:val="6D6E71"/>
          <w:sz w:val="14"/>
        </w:rPr>
        <w:t>ESTADO</w:t>
      </w:r>
      <w:r>
        <w:rPr>
          <w:rFonts w:ascii="Lucida Sans Unicode" w:hAnsi="Lucida Sans Unicode"/>
          <w:color w:val="6D6E71"/>
          <w:spacing w:val="-25"/>
          <w:sz w:val="14"/>
        </w:rPr>
        <w:t> </w:t>
      </w:r>
      <w:r>
        <w:rPr>
          <w:rFonts w:ascii="Lucida Sans Unicode" w:hAnsi="Lucida Sans Unicode"/>
          <w:color w:val="6D6E71"/>
          <w:sz w:val="14"/>
        </w:rPr>
        <w:t>MODERNO</w:t>
      </w:r>
      <w:r>
        <w:rPr>
          <w:rFonts w:ascii="Lucida Sans Unicode" w:hAnsi="Lucida Sans Unicode"/>
          <w:color w:val="6D6E71"/>
          <w:spacing w:val="-25"/>
          <w:sz w:val="14"/>
        </w:rPr>
        <w:t> </w:t>
      </w:r>
      <w:r>
        <w:rPr>
          <w:rFonts w:ascii="Lucida Sans Unicode" w:hAnsi="Lucida Sans Unicode"/>
          <w:color w:val="6D6E71"/>
          <w:sz w:val="14"/>
        </w:rPr>
        <w:t>HOY</w:t>
      </w:r>
      <w:r>
        <w:rPr>
          <w:rFonts w:ascii="Lucida Sans Unicode" w:hAnsi="Lucida Sans Unicode"/>
          <w:color w:val="6D6E71"/>
          <w:spacing w:val="-25"/>
          <w:sz w:val="14"/>
        </w:rPr>
        <w:t> </w:t>
      </w:r>
      <w:r>
        <w:rPr>
          <w:rFonts w:ascii="Lucida Sans Unicode" w:hAnsi="Lucida Sans Unicode"/>
          <w:color w:val="6D6E71"/>
          <w:sz w:val="14"/>
        </w:rPr>
        <w:t>Y</w:t>
      </w:r>
      <w:r>
        <w:rPr>
          <w:rFonts w:ascii="Lucida Sans Unicode" w:hAnsi="Lucida Sans Unicode"/>
          <w:color w:val="6D6E71"/>
          <w:spacing w:val="-25"/>
          <w:sz w:val="14"/>
        </w:rPr>
        <w:t> </w:t>
      </w:r>
      <w:r>
        <w:rPr>
          <w:rFonts w:ascii="Lucida Sans Unicode" w:hAnsi="Lucida Sans Unicode"/>
          <w:color w:val="6D6E71"/>
          <w:sz w:val="14"/>
        </w:rPr>
        <w:t>MAÑANA</w:t>
      </w:r>
      <w:r>
        <w:rPr>
          <w:rFonts w:ascii="Arial" w:hAnsi="Arial"/>
          <w:color w:val="414042"/>
          <w:position w:val="-3"/>
          <w:sz w:val="20"/>
        </w:rPr>
        <w:tab/>
        <w:t>105</w:t>
      </w:r>
    </w:p>
    <w:p>
      <w:pPr>
        <w:pStyle w:val="BodyText"/>
        <w:rPr>
          <w:rFonts w:ascii="Arial"/>
          <w:sz w:val="22"/>
        </w:rPr>
      </w:pPr>
    </w:p>
    <w:p>
      <w:pPr>
        <w:pStyle w:val="BodyText"/>
        <w:spacing w:before="2"/>
        <w:rPr>
          <w:rFonts w:ascii="Arial"/>
          <w:sz w:val="32"/>
        </w:rPr>
      </w:pPr>
    </w:p>
    <w:p>
      <w:pPr>
        <w:pStyle w:val="BodyText"/>
        <w:spacing w:line="247" w:lineRule="auto"/>
        <w:ind w:left="117"/>
      </w:pPr>
      <w:r>
        <w:rPr>
          <w:color w:val="231F20"/>
        </w:rPr>
        <w:t>tándose entonces como Estado de Derecho, incluso no desdeñando, en cualquier interpretación, hacerle la corte al más retorcido totalitarismo</w:t>
      </w:r>
      <w:r>
        <w:rPr>
          <w:color w:val="231F20"/>
          <w:position w:val="7"/>
          <w:sz w:val="12"/>
        </w:rPr>
        <w:t>30</w:t>
      </w:r>
      <w:r>
        <w:rPr>
          <w:color w:val="231F20"/>
        </w:rPr>
        <w:t>.</w:t>
      </w:r>
    </w:p>
    <w:p>
      <w:pPr>
        <w:pStyle w:val="BodyText"/>
        <w:spacing w:line="244" w:lineRule="auto"/>
        <w:ind w:left="117" w:right="101" w:firstLine="566"/>
        <w:jc w:val="both"/>
      </w:pPr>
      <w:r>
        <w:rPr>
          <w:color w:val="231F20"/>
        </w:rPr>
        <w:t>El punto central del constitucionalismo es el Derecho, por una parte, pero por la otra es la fuerza (</w:t>
      </w:r>
      <w:r>
        <w:rPr>
          <w:rFonts w:ascii="Arial" w:hAnsi="Arial"/>
          <w:i/>
          <w:color w:val="231F20"/>
        </w:rPr>
        <w:t>Gewalt</w:t>
      </w:r>
      <w:r>
        <w:rPr>
          <w:color w:val="231F20"/>
        </w:rPr>
        <w:t>), que lo coloca y lo garantiza, sancio- nando las violaciones</w:t>
      </w:r>
      <w:r>
        <w:rPr>
          <w:color w:val="231F20"/>
          <w:position w:val="7"/>
          <w:sz w:val="12"/>
        </w:rPr>
        <w:t>31</w:t>
      </w:r>
      <w:r>
        <w:rPr>
          <w:color w:val="231F20"/>
        </w:rPr>
        <w:t>. La gestión de esta relación ha sido confiada por mucho tiempo a la Constitución, la cual sin embargo no ha podido resistir totalmente la presión de la transformación social de siglo </w:t>
      </w:r>
      <w:r>
        <w:rPr>
          <w:color w:val="231F20"/>
          <w:sz w:val="18"/>
        </w:rPr>
        <w:t>XIX</w:t>
      </w:r>
      <w:r>
        <w:rPr>
          <w:color w:val="231F20"/>
        </w:rPr>
        <w:t>. De ahí la</w:t>
      </w:r>
      <w:r>
        <w:rPr>
          <w:color w:val="231F20"/>
          <w:spacing w:val="-29"/>
        </w:rPr>
        <w:t> </w:t>
      </w:r>
      <w:r>
        <w:rPr>
          <w:color w:val="231F20"/>
        </w:rPr>
        <w:t>de- rivación autoritaria y totalitaria que ha marcado el siglo </w:t>
      </w:r>
      <w:r>
        <w:rPr>
          <w:color w:val="231F20"/>
          <w:sz w:val="18"/>
        </w:rPr>
        <w:t>XX</w:t>
      </w:r>
      <w:r>
        <w:rPr>
          <w:color w:val="231F20"/>
        </w:rPr>
        <w:t>. La refundación constitucional–democrática después de la Segunda Guerra Mundial se ha enfrentado</w:t>
      </w:r>
      <w:r>
        <w:rPr>
          <w:color w:val="231F20"/>
          <w:spacing w:val="-13"/>
        </w:rPr>
        <w:t> </w:t>
      </w:r>
      <w:r>
        <w:rPr>
          <w:color w:val="231F20"/>
        </w:rPr>
        <w:t>al</w:t>
      </w:r>
      <w:r>
        <w:rPr>
          <w:color w:val="231F20"/>
          <w:spacing w:val="-13"/>
        </w:rPr>
        <w:t> </w:t>
      </w:r>
      <w:r>
        <w:rPr>
          <w:color w:val="231F20"/>
        </w:rPr>
        <w:t>inmenso</w:t>
      </w:r>
      <w:r>
        <w:rPr>
          <w:color w:val="231F20"/>
          <w:spacing w:val="-13"/>
        </w:rPr>
        <w:t> </w:t>
      </w:r>
      <w:r>
        <w:rPr>
          <w:color w:val="231F20"/>
        </w:rPr>
        <w:t>problema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crisis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forma</w:t>
      </w:r>
      <w:r>
        <w:rPr>
          <w:color w:val="231F20"/>
          <w:spacing w:val="-13"/>
        </w:rPr>
        <w:t> </w:t>
      </w:r>
      <w:r>
        <w:rPr>
          <w:color w:val="231F20"/>
        </w:rPr>
        <w:t>tradicional</w:t>
      </w:r>
      <w:r>
        <w:rPr>
          <w:color w:val="231F20"/>
          <w:spacing w:val="-13"/>
        </w:rPr>
        <w:t> </w:t>
      </w:r>
      <w:r>
        <w:rPr>
          <w:color w:val="231F20"/>
        </w:rPr>
        <w:t>del</w:t>
      </w:r>
      <w:r>
        <w:rPr>
          <w:color w:val="231F20"/>
          <w:spacing w:val="-13"/>
        </w:rPr>
        <w:t> </w:t>
      </w:r>
      <w:r>
        <w:rPr>
          <w:color w:val="231F20"/>
        </w:rPr>
        <w:t>Esta- do,</w:t>
      </w:r>
      <w:r>
        <w:rPr>
          <w:color w:val="231F20"/>
          <w:spacing w:val="-9"/>
        </w:rPr>
        <w:t> </w:t>
      </w:r>
      <w:r>
        <w:rPr>
          <w:color w:val="231F20"/>
        </w:rPr>
        <w:t>por</w:t>
      </w:r>
      <w:r>
        <w:rPr>
          <w:color w:val="231F20"/>
          <w:spacing w:val="-9"/>
        </w:rPr>
        <w:t> </w:t>
      </w:r>
      <w:r>
        <w:rPr>
          <w:color w:val="231F20"/>
        </w:rPr>
        <w:t>una</w:t>
      </w:r>
      <w:r>
        <w:rPr>
          <w:color w:val="231F20"/>
          <w:spacing w:val="-9"/>
        </w:rPr>
        <w:t> </w:t>
      </w:r>
      <w:r>
        <w:rPr>
          <w:color w:val="231F20"/>
        </w:rPr>
        <w:t>parte,</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vertiginosa</w:t>
      </w:r>
      <w:r>
        <w:rPr>
          <w:color w:val="231F20"/>
          <w:spacing w:val="-9"/>
        </w:rPr>
        <w:t> </w:t>
      </w:r>
      <w:r>
        <w:rPr>
          <w:color w:val="231F20"/>
        </w:rPr>
        <w:t>globalización,</w:t>
      </w:r>
      <w:r>
        <w:rPr>
          <w:color w:val="231F20"/>
          <w:spacing w:val="-9"/>
        </w:rPr>
        <w:t> </w:t>
      </w:r>
      <w:r>
        <w:rPr>
          <w:color w:val="231F20"/>
        </w:rPr>
        <w:t>por</w:t>
      </w:r>
      <w:r>
        <w:rPr>
          <w:color w:val="231F20"/>
          <w:spacing w:val="-9"/>
        </w:rPr>
        <w:t> </w:t>
      </w:r>
      <w:r>
        <w:rPr>
          <w:color w:val="231F20"/>
        </w:rPr>
        <w:t>otra.</w:t>
      </w:r>
      <w:r>
        <w:rPr>
          <w:color w:val="231F20"/>
          <w:spacing w:val="-9"/>
        </w:rPr>
        <w:t> </w:t>
      </w:r>
      <w:r>
        <w:rPr>
          <w:color w:val="231F20"/>
          <w:spacing w:val="-8"/>
        </w:rPr>
        <w:t>Tan</w:t>
      </w:r>
      <w:r>
        <w:rPr>
          <w:color w:val="231F20"/>
          <w:spacing w:val="-9"/>
        </w:rPr>
        <w:t> </w:t>
      </w:r>
      <w:r>
        <w:rPr>
          <w:color w:val="231F20"/>
        </w:rPr>
        <w:t>es</w:t>
      </w:r>
      <w:r>
        <w:rPr>
          <w:color w:val="231F20"/>
          <w:spacing w:val="-9"/>
        </w:rPr>
        <w:t> </w:t>
      </w:r>
      <w:r>
        <w:rPr>
          <w:color w:val="231F20"/>
        </w:rPr>
        <w:t>así</w:t>
      </w:r>
      <w:r>
        <w:rPr>
          <w:color w:val="231F20"/>
          <w:spacing w:val="-9"/>
        </w:rPr>
        <w:t> </w:t>
      </w:r>
      <w:r>
        <w:rPr>
          <w:color w:val="231F20"/>
        </w:rPr>
        <w:t>que el Derecho público y constitucional ha tenido que ceder el paso al “nuevo” Derecho internacional, sucesor del glorioso </w:t>
      </w:r>
      <w:r>
        <w:rPr>
          <w:rFonts w:ascii="Arial" w:hAnsi="Arial"/>
          <w:i/>
          <w:color w:val="231F20"/>
        </w:rPr>
        <w:t>ius publicum europaeum </w:t>
      </w:r>
      <w:r>
        <w:rPr>
          <w:color w:val="231F20"/>
        </w:rPr>
        <w:t>del que Carl Schmitt había proclamado el final hacía tiempo. La Constitución ha vuelto a dejar pasar al constitucionalismo, hecho de cosas nuevas en el interior (basta pensar a la dinámica del nuevo factor “comunidad”) y en el exterior (</w:t>
      </w:r>
      <w:r>
        <w:rPr>
          <w:rFonts w:ascii="Arial" w:hAnsi="Arial"/>
          <w:i/>
          <w:color w:val="231F20"/>
        </w:rPr>
        <w:t>global polity</w:t>
      </w:r>
      <w:r>
        <w:rPr>
          <w:color w:val="231F20"/>
        </w:rPr>
        <w:t>) de la tradicional escuadra político–estatal. Los dos movimientos se pueden encontrar tal vez en la siguiente síntesis que Anne Peters</w:t>
      </w:r>
      <w:r>
        <w:rPr>
          <w:color w:val="231F20"/>
          <w:spacing w:val="-8"/>
        </w:rPr>
        <w:t> </w:t>
      </w:r>
      <w:r>
        <w:rPr>
          <w:color w:val="231F20"/>
        </w:rPr>
        <w:t>ha</w:t>
      </w:r>
      <w:r>
        <w:rPr>
          <w:color w:val="231F20"/>
          <w:spacing w:val="-8"/>
        </w:rPr>
        <w:t> </w:t>
      </w:r>
      <w:r>
        <w:rPr>
          <w:color w:val="231F20"/>
        </w:rPr>
        <w:t>hecho</w:t>
      </w:r>
      <w:r>
        <w:rPr>
          <w:color w:val="231F20"/>
          <w:spacing w:val="-8"/>
        </w:rPr>
        <w:t> </w:t>
      </w:r>
      <w:r>
        <w:rPr>
          <w:color w:val="231F20"/>
        </w:rPr>
        <w:t>de</w:t>
      </w:r>
      <w:r>
        <w:rPr>
          <w:color w:val="231F20"/>
          <w:spacing w:val="-8"/>
        </w:rPr>
        <w:t> </w:t>
      </w:r>
      <w:r>
        <w:rPr>
          <w:rFonts w:ascii="Arial" w:hAnsi="Arial"/>
          <w:i/>
          <w:color w:val="231F20"/>
        </w:rPr>
        <w:t>Compensatory</w:t>
      </w:r>
      <w:r>
        <w:rPr>
          <w:rFonts w:ascii="Arial" w:hAnsi="Arial"/>
          <w:i/>
          <w:color w:val="231F20"/>
          <w:spacing w:val="-1"/>
        </w:rPr>
        <w:t> </w:t>
      </w:r>
      <w:r>
        <w:rPr>
          <w:rFonts w:ascii="Arial" w:hAnsi="Arial"/>
          <w:i/>
          <w:color w:val="231F20"/>
        </w:rPr>
        <w:t>Constitutionalism</w:t>
      </w:r>
      <w:r>
        <w:rPr>
          <w:color w:val="231F20"/>
        </w:rPr>
        <w:t>:</w:t>
      </w:r>
      <w:r>
        <w:rPr>
          <w:color w:val="231F20"/>
          <w:spacing w:val="-8"/>
        </w:rPr>
        <w:t> </w:t>
      </w:r>
      <w:r>
        <w:rPr>
          <w:color w:val="231F20"/>
        </w:rPr>
        <w:t>“the</w:t>
      </w:r>
      <w:r>
        <w:rPr>
          <w:color w:val="231F20"/>
          <w:spacing w:val="-8"/>
        </w:rPr>
        <w:t> </w:t>
      </w:r>
      <w:r>
        <w:rPr>
          <w:color w:val="231F20"/>
        </w:rPr>
        <w:t>bulk</w:t>
      </w:r>
      <w:r>
        <w:rPr>
          <w:color w:val="231F20"/>
          <w:spacing w:val="-8"/>
        </w:rPr>
        <w:t> </w:t>
      </w:r>
      <w:r>
        <w:rPr>
          <w:color w:val="231F20"/>
        </w:rPr>
        <w:t>of</w:t>
      </w:r>
      <w:r>
        <w:rPr>
          <w:color w:val="231F20"/>
          <w:spacing w:val="-8"/>
        </w:rPr>
        <w:t> </w:t>
      </w:r>
      <w:r>
        <w:rPr>
          <w:color w:val="231F20"/>
        </w:rPr>
        <w:t>the</w:t>
      </w:r>
      <w:r>
        <w:rPr>
          <w:color w:val="231F20"/>
          <w:spacing w:val="-8"/>
        </w:rPr>
        <w:t> </w:t>
      </w:r>
      <w:r>
        <w:rPr>
          <w:color w:val="231F20"/>
        </w:rPr>
        <w:t>most important norms which regulate political activity and relationships in the global polity”</w:t>
      </w:r>
      <w:r>
        <w:rPr>
          <w:color w:val="231F20"/>
          <w:position w:val="7"/>
          <w:sz w:val="12"/>
        </w:rPr>
        <w:t>32</w:t>
      </w:r>
      <w:r>
        <w:rPr>
          <w:color w:val="231F20"/>
        </w:rPr>
        <w:t>, donde sin embargo no sólo cuentan las “international </w:t>
      </w:r>
      <w:r>
        <w:rPr>
          <w:color w:val="231F20"/>
          <w:spacing w:val="-3"/>
        </w:rPr>
        <w:t>nor- </w:t>
      </w:r>
      <w:r>
        <w:rPr>
          <w:color w:val="231F20"/>
        </w:rPr>
        <w:t>ms”, sino también tienen espacio las “fundamental structures”, lo que en verdad no supera la necesidad del Derecho, pero mina su hegemonía, po- niendo en el campo fuerzas que se deben medir de otro modo, con otras competencias y capacidades (y usando otras</w:t>
      </w:r>
      <w:r>
        <w:rPr>
          <w:color w:val="231F20"/>
          <w:spacing w:val="-30"/>
        </w:rPr>
        <w:t> </w:t>
      </w:r>
      <w:r>
        <w:rPr>
          <w:color w:val="231F20"/>
        </w:rPr>
        <w:t>ciencias).</w:t>
      </w:r>
    </w:p>
    <w:p>
      <w:pPr>
        <w:pStyle w:val="BodyText"/>
        <w:spacing w:line="247" w:lineRule="auto" w:before="1"/>
        <w:ind w:left="117" w:right="101" w:firstLine="566"/>
        <w:jc w:val="both"/>
      </w:pPr>
      <w:r>
        <w:rPr>
          <w:color w:val="231F20"/>
        </w:rPr>
        <w:t>En efecto, no se puede subestimar la cuestión de fondo relativa a la resistencia histórica del Derecho mismo. Más allá de su dimensión   antro-</w:t>
      </w:r>
    </w:p>
    <w:p>
      <w:pPr>
        <w:pStyle w:val="BodyText"/>
        <w:spacing w:before="6"/>
        <w:rPr>
          <w:sz w:val="26"/>
        </w:rPr>
      </w:pPr>
      <w:r>
        <w:rPr/>
        <w:pict>
          <v:line style="position:absolute;mso-position-horizontal-relative:page;mso-position-vertical-relative:paragraph;z-index:5704;mso-wrap-distance-left:0;mso-wrap-distance-right:0" from="70.866203pt,18.106985pt" to="184.252203pt,18.106985pt" stroked="true" strokeweight=".3pt" strokecolor="#231f20">
            <w10:wrap type="topAndBottom"/>
          </v:line>
        </w:pict>
      </w:r>
    </w:p>
    <w:p>
      <w:pPr>
        <w:spacing w:line="204" w:lineRule="exact" w:before="8"/>
        <w:ind w:left="117" w:right="101" w:firstLine="0"/>
        <w:jc w:val="both"/>
        <w:rPr>
          <w:rFonts w:ascii="Calibri" w:hAnsi="Calibri"/>
          <w:sz w:val="17"/>
        </w:rPr>
      </w:pPr>
      <w:r>
        <w:rPr>
          <w:rFonts w:ascii="Calibri" w:hAnsi="Calibri"/>
          <w:color w:val="231F20"/>
          <w:position w:val="6"/>
          <w:sz w:val="10"/>
        </w:rPr>
        <w:t>30 </w:t>
      </w:r>
      <w:r>
        <w:rPr>
          <w:rFonts w:ascii="Calibri" w:hAnsi="Calibri"/>
          <w:color w:val="231F20"/>
          <w:spacing w:val="-10"/>
          <w:sz w:val="17"/>
        </w:rPr>
        <w:t>P. </w:t>
      </w:r>
      <w:r>
        <w:rPr>
          <w:rFonts w:ascii="Calibri" w:hAnsi="Calibri"/>
          <w:color w:val="231F20"/>
          <w:sz w:val="17"/>
        </w:rPr>
        <w:t>Schiera, </w:t>
      </w:r>
      <w:r>
        <w:rPr>
          <w:rFonts w:ascii="Calibri" w:hAnsi="Calibri"/>
          <w:i/>
          <w:color w:val="231F20"/>
          <w:sz w:val="17"/>
        </w:rPr>
        <w:t>El constitucionalismo como discurso politico</w:t>
      </w:r>
      <w:r>
        <w:rPr>
          <w:rFonts w:ascii="Calibri" w:hAnsi="Calibri"/>
          <w:color w:val="231F20"/>
          <w:sz w:val="17"/>
        </w:rPr>
        <w:t>, Madrid, Universidad Carlos </w:t>
      </w:r>
      <w:r>
        <w:rPr>
          <w:rFonts w:ascii="Calibri" w:hAnsi="Calibri"/>
          <w:color w:val="231F20"/>
          <w:sz w:val="15"/>
        </w:rPr>
        <w:t>III </w:t>
      </w:r>
      <w:r>
        <w:rPr>
          <w:rFonts w:ascii="Calibri" w:hAnsi="Calibri"/>
          <w:color w:val="231F20"/>
          <w:sz w:val="17"/>
        </w:rPr>
        <w:t>de Madrid, 2012. Carl Schmitt consideraba el constitucionalismo un concepto  no  suficientemente  riguroso para una ciencia política realista y junto a una base jurídico–positiva, la cual debía ser la suya. Él se encargó de “Estado de derecho” (</w:t>
      </w:r>
      <w:r>
        <w:rPr>
          <w:rFonts w:ascii="Calibri" w:hAnsi="Calibri"/>
          <w:i/>
          <w:color w:val="231F20"/>
          <w:sz w:val="17"/>
        </w:rPr>
        <w:t>Rechtsstaat</w:t>
      </w:r>
      <w:r>
        <w:rPr>
          <w:rFonts w:ascii="Calibri" w:hAnsi="Calibri"/>
          <w:color w:val="231F20"/>
          <w:sz w:val="17"/>
        </w:rPr>
        <w:t>): también en un ensayo, con frecuencia olvidado, que apareció en 1934 como apertura del gran manual </w:t>
      </w:r>
      <w:r>
        <w:rPr>
          <w:rFonts w:ascii="Calibri" w:hAnsi="Calibri"/>
          <w:i/>
          <w:color w:val="231F20"/>
          <w:sz w:val="17"/>
        </w:rPr>
        <w:t>Das Deutsche Recht</w:t>
      </w:r>
      <w:r>
        <w:rPr>
          <w:rFonts w:ascii="Calibri" w:hAnsi="Calibri"/>
          <w:color w:val="231F20"/>
          <w:sz w:val="17"/>
        </w:rPr>
        <w:t>, predispuesto, por parte de   la </w:t>
      </w:r>
      <w:r>
        <w:rPr>
          <w:rFonts w:ascii="Calibri" w:hAnsi="Calibri"/>
          <w:color w:val="231F20"/>
          <w:sz w:val="15"/>
        </w:rPr>
        <w:t>NSDAP</w:t>
      </w:r>
      <w:r>
        <w:rPr>
          <w:rFonts w:ascii="Calibri" w:hAnsi="Calibri"/>
          <w:color w:val="231F20"/>
          <w:sz w:val="17"/>
        </w:rPr>
        <w:t>, por Hans Frank —después ajusticiado en Nuremberg— con el fin de proveer al estado del arte del nuevo Derecho del cual el régimen nazi disponía para alcanzar sus propios objetivos. Un artículo, como de costumbre, pertinente y brillante, cuya conclusión era que el verdadero Estado   de derecho es el Deutscher Rechtsstaat Adolph Hitlers!: C. Schmitt, </w:t>
      </w:r>
      <w:r>
        <w:rPr>
          <w:rFonts w:ascii="Calibri" w:hAnsi="Calibri"/>
          <w:i/>
          <w:color w:val="231F20"/>
          <w:sz w:val="17"/>
        </w:rPr>
        <w:t>Der Rechtsstaat, </w:t>
      </w:r>
      <w:r>
        <w:rPr>
          <w:rFonts w:ascii="Calibri" w:hAnsi="Calibri"/>
          <w:color w:val="231F20"/>
          <w:sz w:val="17"/>
        </w:rPr>
        <w:t>y H. Frank  (Ed.), </w:t>
      </w:r>
      <w:r>
        <w:rPr>
          <w:rFonts w:ascii="Calibri" w:hAnsi="Calibri"/>
          <w:i/>
          <w:color w:val="231F20"/>
          <w:sz w:val="17"/>
        </w:rPr>
        <w:t>Nationalsozialistisches Handbuch für Recht und Gesetzgebung</w:t>
      </w:r>
      <w:r>
        <w:rPr>
          <w:rFonts w:ascii="Calibri" w:hAnsi="Calibri"/>
          <w:color w:val="231F20"/>
          <w:sz w:val="17"/>
        </w:rPr>
        <w:t>, München, Zentralverlag der </w:t>
      </w:r>
      <w:r>
        <w:rPr>
          <w:rFonts w:ascii="Calibri" w:hAnsi="Calibri"/>
          <w:color w:val="231F20"/>
          <w:sz w:val="15"/>
        </w:rPr>
        <w:t>NSDAP</w:t>
      </w:r>
      <w:r>
        <w:rPr>
          <w:rFonts w:ascii="Calibri" w:hAnsi="Calibri"/>
          <w:color w:val="231F20"/>
          <w:sz w:val="17"/>
        </w:rPr>
        <w:t>, Franz Eher Nachf.,</w:t>
      </w:r>
      <w:r>
        <w:rPr>
          <w:rFonts w:ascii="Calibri" w:hAnsi="Calibri"/>
          <w:color w:val="231F20"/>
          <w:spacing w:val="10"/>
          <w:sz w:val="17"/>
        </w:rPr>
        <w:t> </w:t>
      </w:r>
      <w:r>
        <w:rPr>
          <w:rFonts w:ascii="Calibri" w:hAnsi="Calibri"/>
          <w:color w:val="231F20"/>
          <w:sz w:val="17"/>
        </w:rPr>
        <w:t>1934.</w:t>
      </w:r>
    </w:p>
    <w:p>
      <w:pPr>
        <w:spacing w:line="204" w:lineRule="exact" w:before="0"/>
        <w:ind w:left="117" w:right="101" w:firstLine="0"/>
        <w:jc w:val="both"/>
        <w:rPr>
          <w:rFonts w:ascii="Calibri" w:hAnsi="Calibri"/>
          <w:sz w:val="17"/>
        </w:rPr>
      </w:pPr>
      <w:r>
        <w:rPr>
          <w:rFonts w:ascii="Calibri" w:hAnsi="Calibri"/>
          <w:color w:val="231F20"/>
          <w:position w:val="6"/>
          <w:sz w:val="10"/>
        </w:rPr>
        <w:t>31 </w:t>
      </w:r>
      <w:r>
        <w:rPr>
          <w:rFonts w:ascii="Calibri" w:hAnsi="Calibri"/>
          <w:color w:val="231F20"/>
          <w:sz w:val="17"/>
        </w:rPr>
        <w:t>W. Benjamin, “Zur Kritik der Gewalt”, </w:t>
      </w:r>
      <w:r>
        <w:rPr>
          <w:rFonts w:ascii="Calibri" w:hAnsi="Calibri"/>
          <w:i/>
          <w:color w:val="231F20"/>
          <w:sz w:val="17"/>
        </w:rPr>
        <w:t>Archiv für Sozialwissenschaft und Sozialpolitik</w:t>
      </w:r>
      <w:r>
        <w:rPr>
          <w:rFonts w:ascii="Calibri" w:hAnsi="Calibri"/>
          <w:color w:val="231F20"/>
          <w:sz w:val="17"/>
        </w:rPr>
        <w:t>, 47, 1920–21, pp. 809–32 (trad. it. </w:t>
      </w:r>
      <w:r>
        <w:rPr>
          <w:rFonts w:ascii="Calibri" w:hAnsi="Calibri"/>
          <w:i/>
          <w:color w:val="231F20"/>
          <w:sz w:val="17"/>
        </w:rPr>
        <w:t>Per la critica della violenza</w:t>
      </w:r>
      <w:r>
        <w:rPr>
          <w:rFonts w:ascii="Calibri" w:hAnsi="Calibri"/>
          <w:color w:val="231F20"/>
          <w:sz w:val="17"/>
        </w:rPr>
        <w:t>, editado por Massimiliano Tomba, Roma, Alegre, 2010).</w:t>
      </w:r>
    </w:p>
    <w:p>
      <w:pPr>
        <w:spacing w:line="204" w:lineRule="exact" w:before="0"/>
        <w:ind w:left="117" w:right="101" w:firstLine="0"/>
        <w:jc w:val="both"/>
        <w:rPr>
          <w:rFonts w:ascii="Calibri" w:hAnsi="Calibri"/>
          <w:sz w:val="17"/>
        </w:rPr>
      </w:pPr>
      <w:r>
        <w:rPr>
          <w:rFonts w:ascii="Calibri" w:hAnsi="Calibri"/>
          <w:color w:val="231F20"/>
          <w:w w:val="105"/>
          <w:position w:val="6"/>
          <w:sz w:val="10"/>
        </w:rPr>
        <w:t>32</w:t>
      </w:r>
      <w:r>
        <w:rPr>
          <w:rFonts w:ascii="Calibri" w:hAnsi="Calibri"/>
          <w:color w:val="231F20"/>
          <w:spacing w:val="7"/>
          <w:w w:val="105"/>
          <w:position w:val="6"/>
          <w:sz w:val="10"/>
        </w:rPr>
        <w:t> </w:t>
      </w:r>
      <w:r>
        <w:rPr>
          <w:rFonts w:ascii="Calibri" w:hAnsi="Calibri"/>
          <w:color w:val="231F20"/>
          <w:w w:val="105"/>
          <w:sz w:val="17"/>
        </w:rPr>
        <w:t>A.</w:t>
      </w:r>
      <w:r>
        <w:rPr>
          <w:rFonts w:ascii="Calibri" w:hAnsi="Calibri"/>
          <w:color w:val="231F20"/>
          <w:spacing w:val="-9"/>
          <w:w w:val="105"/>
          <w:sz w:val="17"/>
        </w:rPr>
        <w:t> </w:t>
      </w:r>
      <w:r>
        <w:rPr>
          <w:rFonts w:ascii="Calibri" w:hAnsi="Calibri"/>
          <w:color w:val="231F20"/>
          <w:w w:val="105"/>
          <w:sz w:val="17"/>
        </w:rPr>
        <w:t>Peters,</w:t>
      </w:r>
      <w:r>
        <w:rPr>
          <w:rFonts w:ascii="Calibri" w:hAnsi="Calibri"/>
          <w:color w:val="231F20"/>
          <w:spacing w:val="-9"/>
          <w:w w:val="105"/>
          <w:sz w:val="17"/>
        </w:rPr>
        <w:t> </w:t>
      </w:r>
      <w:r>
        <w:rPr>
          <w:rFonts w:ascii="Calibri" w:hAnsi="Calibri"/>
          <w:color w:val="231F20"/>
          <w:w w:val="105"/>
          <w:sz w:val="17"/>
        </w:rPr>
        <w:t>“Compensatory</w:t>
      </w:r>
      <w:r>
        <w:rPr>
          <w:rFonts w:ascii="Calibri" w:hAnsi="Calibri"/>
          <w:color w:val="231F20"/>
          <w:spacing w:val="-9"/>
          <w:w w:val="105"/>
          <w:sz w:val="17"/>
        </w:rPr>
        <w:t> </w:t>
      </w:r>
      <w:r>
        <w:rPr>
          <w:rFonts w:ascii="Calibri" w:hAnsi="Calibri"/>
          <w:color w:val="231F20"/>
          <w:w w:val="105"/>
          <w:sz w:val="17"/>
        </w:rPr>
        <w:t>Constitutionalism.</w:t>
      </w:r>
      <w:r>
        <w:rPr>
          <w:rFonts w:ascii="Calibri" w:hAnsi="Calibri"/>
          <w:color w:val="231F20"/>
          <w:spacing w:val="-12"/>
          <w:w w:val="105"/>
          <w:sz w:val="17"/>
        </w:rPr>
        <w:t> </w:t>
      </w:r>
      <w:r>
        <w:rPr>
          <w:rFonts w:ascii="Calibri" w:hAnsi="Calibri"/>
          <w:color w:val="231F20"/>
          <w:w w:val="105"/>
          <w:sz w:val="17"/>
        </w:rPr>
        <w:t>The</w:t>
      </w:r>
      <w:r>
        <w:rPr>
          <w:rFonts w:ascii="Calibri" w:hAnsi="Calibri"/>
          <w:color w:val="231F20"/>
          <w:spacing w:val="-9"/>
          <w:w w:val="105"/>
          <w:sz w:val="17"/>
        </w:rPr>
        <w:t> </w:t>
      </w:r>
      <w:r>
        <w:rPr>
          <w:rFonts w:ascii="Calibri" w:hAnsi="Calibri"/>
          <w:color w:val="231F20"/>
          <w:w w:val="105"/>
          <w:sz w:val="17"/>
        </w:rPr>
        <w:t>Function</w:t>
      </w:r>
      <w:r>
        <w:rPr>
          <w:rFonts w:ascii="Calibri" w:hAnsi="Calibri"/>
          <w:color w:val="231F20"/>
          <w:spacing w:val="-9"/>
          <w:w w:val="105"/>
          <w:sz w:val="17"/>
        </w:rPr>
        <w:t> </w:t>
      </w:r>
      <w:r>
        <w:rPr>
          <w:rFonts w:ascii="Calibri" w:hAnsi="Calibri"/>
          <w:color w:val="231F20"/>
          <w:w w:val="105"/>
          <w:sz w:val="17"/>
        </w:rPr>
        <w:t>and</w:t>
      </w:r>
      <w:r>
        <w:rPr>
          <w:rFonts w:ascii="Calibri" w:hAnsi="Calibri"/>
          <w:color w:val="231F20"/>
          <w:spacing w:val="-9"/>
          <w:w w:val="105"/>
          <w:sz w:val="17"/>
        </w:rPr>
        <w:t> </w:t>
      </w:r>
      <w:r>
        <w:rPr>
          <w:rFonts w:ascii="Calibri" w:hAnsi="Calibri"/>
          <w:color w:val="231F20"/>
          <w:w w:val="105"/>
          <w:sz w:val="17"/>
        </w:rPr>
        <w:t>Potential</w:t>
      </w:r>
      <w:r>
        <w:rPr>
          <w:rFonts w:ascii="Calibri" w:hAnsi="Calibri"/>
          <w:color w:val="231F20"/>
          <w:spacing w:val="-9"/>
          <w:w w:val="105"/>
          <w:sz w:val="17"/>
        </w:rPr>
        <w:t> </w:t>
      </w:r>
      <w:r>
        <w:rPr>
          <w:rFonts w:ascii="Calibri" w:hAnsi="Calibri"/>
          <w:color w:val="231F20"/>
          <w:w w:val="105"/>
          <w:sz w:val="17"/>
        </w:rPr>
        <w:t>of</w:t>
      </w:r>
      <w:r>
        <w:rPr>
          <w:rFonts w:ascii="Calibri" w:hAnsi="Calibri"/>
          <w:color w:val="231F20"/>
          <w:spacing w:val="-9"/>
          <w:w w:val="105"/>
          <w:sz w:val="17"/>
        </w:rPr>
        <w:t> </w:t>
      </w:r>
      <w:r>
        <w:rPr>
          <w:rFonts w:ascii="Calibri" w:hAnsi="Calibri"/>
          <w:color w:val="231F20"/>
          <w:w w:val="105"/>
          <w:sz w:val="17"/>
        </w:rPr>
        <w:t>Fundamental</w:t>
      </w:r>
      <w:r>
        <w:rPr>
          <w:rFonts w:ascii="Calibri" w:hAnsi="Calibri"/>
          <w:color w:val="231F20"/>
          <w:spacing w:val="-9"/>
          <w:w w:val="105"/>
          <w:sz w:val="17"/>
        </w:rPr>
        <w:t> </w:t>
      </w:r>
      <w:r>
        <w:rPr>
          <w:rFonts w:ascii="Calibri" w:hAnsi="Calibri"/>
          <w:color w:val="231F20"/>
          <w:w w:val="105"/>
          <w:sz w:val="17"/>
        </w:rPr>
        <w:t>Inter- national</w:t>
      </w:r>
      <w:r>
        <w:rPr>
          <w:rFonts w:ascii="Calibri" w:hAnsi="Calibri"/>
          <w:color w:val="231F20"/>
          <w:spacing w:val="-18"/>
          <w:w w:val="105"/>
          <w:sz w:val="17"/>
        </w:rPr>
        <w:t> </w:t>
      </w:r>
      <w:r>
        <w:rPr>
          <w:rFonts w:ascii="Calibri" w:hAnsi="Calibri"/>
          <w:color w:val="231F20"/>
          <w:w w:val="105"/>
          <w:sz w:val="17"/>
        </w:rPr>
        <w:t>Norms</w:t>
      </w:r>
      <w:r>
        <w:rPr>
          <w:rFonts w:ascii="Calibri" w:hAnsi="Calibri"/>
          <w:color w:val="231F20"/>
          <w:spacing w:val="-18"/>
          <w:w w:val="105"/>
          <w:sz w:val="17"/>
        </w:rPr>
        <w:t> </w:t>
      </w:r>
      <w:r>
        <w:rPr>
          <w:rFonts w:ascii="Calibri" w:hAnsi="Calibri"/>
          <w:color w:val="231F20"/>
          <w:w w:val="105"/>
          <w:sz w:val="17"/>
        </w:rPr>
        <w:t>and</w:t>
      </w:r>
      <w:r>
        <w:rPr>
          <w:rFonts w:ascii="Calibri" w:hAnsi="Calibri"/>
          <w:color w:val="231F20"/>
          <w:spacing w:val="-18"/>
          <w:w w:val="105"/>
          <w:sz w:val="17"/>
        </w:rPr>
        <w:t> </w:t>
      </w:r>
      <w:r>
        <w:rPr>
          <w:rFonts w:ascii="Calibri" w:hAnsi="Calibri"/>
          <w:color w:val="231F20"/>
          <w:w w:val="105"/>
          <w:sz w:val="17"/>
        </w:rPr>
        <w:t>Structures”,</w:t>
      </w:r>
      <w:r>
        <w:rPr>
          <w:rFonts w:ascii="Calibri" w:hAnsi="Calibri"/>
          <w:color w:val="231F20"/>
          <w:spacing w:val="-18"/>
          <w:w w:val="105"/>
          <w:sz w:val="17"/>
        </w:rPr>
        <w:t> </w:t>
      </w:r>
      <w:r>
        <w:rPr>
          <w:rFonts w:ascii="Calibri" w:hAnsi="Calibri"/>
          <w:i/>
          <w:color w:val="231F20"/>
          <w:w w:val="105"/>
          <w:sz w:val="17"/>
        </w:rPr>
        <w:t>Leiden</w:t>
      </w:r>
      <w:r>
        <w:rPr>
          <w:rFonts w:ascii="Calibri" w:hAnsi="Calibri"/>
          <w:i/>
          <w:color w:val="231F20"/>
          <w:spacing w:val="-19"/>
          <w:w w:val="105"/>
          <w:sz w:val="17"/>
        </w:rPr>
        <w:t> </w:t>
      </w:r>
      <w:r>
        <w:rPr>
          <w:rFonts w:ascii="Calibri" w:hAnsi="Calibri"/>
          <w:i/>
          <w:color w:val="231F20"/>
          <w:w w:val="105"/>
          <w:sz w:val="17"/>
        </w:rPr>
        <w:t>Journal</w:t>
      </w:r>
      <w:r>
        <w:rPr>
          <w:rFonts w:ascii="Calibri" w:hAnsi="Calibri"/>
          <w:i/>
          <w:color w:val="231F20"/>
          <w:spacing w:val="-19"/>
          <w:w w:val="105"/>
          <w:sz w:val="17"/>
        </w:rPr>
        <w:t> </w:t>
      </w:r>
      <w:r>
        <w:rPr>
          <w:rFonts w:ascii="Calibri" w:hAnsi="Calibri"/>
          <w:i/>
          <w:color w:val="231F20"/>
          <w:w w:val="105"/>
          <w:sz w:val="17"/>
        </w:rPr>
        <w:t>of</w:t>
      </w:r>
      <w:r>
        <w:rPr>
          <w:rFonts w:ascii="Calibri" w:hAnsi="Calibri"/>
          <w:i/>
          <w:color w:val="231F20"/>
          <w:spacing w:val="-19"/>
          <w:w w:val="105"/>
          <w:sz w:val="17"/>
        </w:rPr>
        <w:t> </w:t>
      </w:r>
      <w:r>
        <w:rPr>
          <w:rFonts w:ascii="Calibri" w:hAnsi="Calibri"/>
          <w:i/>
          <w:color w:val="231F20"/>
          <w:w w:val="105"/>
          <w:sz w:val="17"/>
        </w:rPr>
        <w:t>International</w:t>
      </w:r>
      <w:r>
        <w:rPr>
          <w:rFonts w:ascii="Calibri" w:hAnsi="Calibri"/>
          <w:i/>
          <w:color w:val="231F20"/>
          <w:spacing w:val="-19"/>
          <w:w w:val="105"/>
          <w:sz w:val="17"/>
        </w:rPr>
        <w:t> </w:t>
      </w:r>
      <w:r>
        <w:rPr>
          <w:rFonts w:ascii="Calibri" w:hAnsi="Calibri"/>
          <w:i/>
          <w:color w:val="231F20"/>
          <w:w w:val="105"/>
          <w:sz w:val="17"/>
        </w:rPr>
        <w:t>Law</w:t>
      </w:r>
      <w:r>
        <w:rPr>
          <w:rFonts w:ascii="Calibri" w:hAnsi="Calibri"/>
          <w:color w:val="231F20"/>
          <w:w w:val="105"/>
          <w:sz w:val="17"/>
        </w:rPr>
        <w:t>,</w:t>
      </w:r>
      <w:r>
        <w:rPr>
          <w:rFonts w:ascii="Calibri" w:hAnsi="Calibri"/>
          <w:color w:val="231F20"/>
          <w:spacing w:val="-18"/>
          <w:w w:val="105"/>
          <w:sz w:val="17"/>
        </w:rPr>
        <w:t> </w:t>
      </w:r>
      <w:r>
        <w:rPr>
          <w:rFonts w:ascii="Calibri" w:hAnsi="Calibri"/>
          <w:color w:val="231F20"/>
          <w:spacing w:val="-3"/>
          <w:w w:val="105"/>
          <w:sz w:val="17"/>
        </w:rPr>
        <w:t>19,</w:t>
      </w:r>
      <w:r>
        <w:rPr>
          <w:rFonts w:ascii="Calibri" w:hAnsi="Calibri"/>
          <w:color w:val="231F20"/>
          <w:spacing w:val="-18"/>
          <w:w w:val="105"/>
          <w:sz w:val="17"/>
        </w:rPr>
        <w:t> </w:t>
      </w:r>
      <w:r>
        <w:rPr>
          <w:rFonts w:ascii="Calibri" w:hAnsi="Calibri"/>
          <w:color w:val="231F20"/>
          <w:w w:val="105"/>
          <w:sz w:val="17"/>
        </w:rPr>
        <w:t>2006,</w:t>
      </w:r>
      <w:r>
        <w:rPr>
          <w:rFonts w:ascii="Calibri" w:hAnsi="Calibri"/>
          <w:color w:val="231F20"/>
          <w:spacing w:val="-18"/>
          <w:w w:val="105"/>
          <w:sz w:val="17"/>
        </w:rPr>
        <w:t> </w:t>
      </w:r>
      <w:r>
        <w:rPr>
          <w:rFonts w:ascii="Calibri" w:hAnsi="Calibri"/>
          <w:color w:val="231F20"/>
          <w:w w:val="105"/>
          <w:sz w:val="17"/>
        </w:rPr>
        <w:t>pp.</w:t>
      </w:r>
      <w:r>
        <w:rPr>
          <w:rFonts w:ascii="Calibri" w:hAnsi="Calibri"/>
          <w:color w:val="231F20"/>
          <w:spacing w:val="-18"/>
          <w:w w:val="105"/>
          <w:sz w:val="17"/>
        </w:rPr>
        <w:t> </w:t>
      </w:r>
      <w:r>
        <w:rPr>
          <w:rFonts w:ascii="Calibri" w:hAnsi="Calibri"/>
          <w:color w:val="231F20"/>
          <w:w w:val="105"/>
          <w:sz w:val="17"/>
        </w:rPr>
        <w:t>579–610,</w:t>
      </w:r>
      <w:r>
        <w:rPr>
          <w:rFonts w:ascii="Calibri" w:hAnsi="Calibri"/>
          <w:color w:val="231F20"/>
          <w:spacing w:val="-18"/>
          <w:w w:val="105"/>
          <w:sz w:val="17"/>
        </w:rPr>
        <w:t> </w:t>
      </w:r>
      <w:r>
        <w:rPr>
          <w:rFonts w:ascii="Calibri" w:hAnsi="Calibri"/>
          <w:color w:val="231F20"/>
          <w:w w:val="105"/>
          <w:sz w:val="17"/>
        </w:rPr>
        <w:t>citado en</w:t>
      </w:r>
      <w:r>
        <w:rPr>
          <w:rFonts w:ascii="Calibri" w:hAnsi="Calibri"/>
          <w:color w:val="231F20"/>
          <w:spacing w:val="-18"/>
          <w:w w:val="105"/>
          <w:sz w:val="17"/>
        </w:rPr>
        <w:t> </w:t>
      </w:r>
      <w:r>
        <w:rPr>
          <w:rFonts w:ascii="Calibri" w:hAnsi="Calibri"/>
          <w:color w:val="231F20"/>
          <w:w w:val="105"/>
          <w:sz w:val="17"/>
        </w:rPr>
        <w:t>A.</w:t>
      </w:r>
      <w:r>
        <w:rPr>
          <w:rFonts w:ascii="Calibri" w:hAnsi="Calibri"/>
          <w:color w:val="231F20"/>
          <w:spacing w:val="-19"/>
          <w:w w:val="105"/>
          <w:sz w:val="17"/>
        </w:rPr>
        <w:t> </w:t>
      </w:r>
      <w:r>
        <w:rPr>
          <w:rFonts w:ascii="Calibri" w:hAnsi="Calibri"/>
          <w:color w:val="231F20"/>
          <w:w w:val="105"/>
          <w:sz w:val="17"/>
        </w:rPr>
        <w:t>von</w:t>
      </w:r>
      <w:r>
        <w:rPr>
          <w:rFonts w:ascii="Calibri" w:hAnsi="Calibri"/>
          <w:color w:val="231F20"/>
          <w:spacing w:val="-18"/>
          <w:w w:val="105"/>
          <w:sz w:val="17"/>
        </w:rPr>
        <w:t> </w:t>
      </w:r>
      <w:r>
        <w:rPr>
          <w:rFonts w:ascii="Calibri" w:hAnsi="Calibri"/>
          <w:color w:val="231F20"/>
          <w:w w:val="105"/>
          <w:sz w:val="17"/>
        </w:rPr>
        <w:t>Bogdandy</w:t>
      </w:r>
      <w:r>
        <w:rPr>
          <w:rFonts w:ascii="Calibri" w:hAnsi="Calibri"/>
          <w:color w:val="231F20"/>
          <w:spacing w:val="-18"/>
          <w:w w:val="105"/>
          <w:sz w:val="17"/>
        </w:rPr>
        <w:t> </w:t>
      </w:r>
      <w:r>
        <w:rPr>
          <w:rFonts w:ascii="Calibri" w:hAnsi="Calibri"/>
          <w:color w:val="231F20"/>
          <w:w w:val="105"/>
          <w:sz w:val="17"/>
        </w:rPr>
        <w:t>e</w:t>
      </w:r>
      <w:r>
        <w:rPr>
          <w:rFonts w:ascii="Calibri" w:hAnsi="Calibri"/>
          <w:color w:val="231F20"/>
          <w:spacing w:val="-18"/>
          <w:w w:val="105"/>
          <w:sz w:val="17"/>
        </w:rPr>
        <w:t> </w:t>
      </w:r>
      <w:r>
        <w:rPr>
          <w:rFonts w:ascii="Calibri" w:hAnsi="Calibri"/>
          <w:color w:val="231F20"/>
          <w:w w:val="105"/>
          <w:sz w:val="17"/>
        </w:rPr>
        <w:t>I.</w:t>
      </w:r>
      <w:r>
        <w:rPr>
          <w:rFonts w:ascii="Calibri" w:hAnsi="Calibri"/>
          <w:color w:val="231F20"/>
          <w:spacing w:val="-21"/>
          <w:w w:val="105"/>
          <w:sz w:val="17"/>
        </w:rPr>
        <w:t> </w:t>
      </w:r>
      <w:r>
        <w:rPr>
          <w:rFonts w:ascii="Calibri" w:hAnsi="Calibri"/>
          <w:color w:val="231F20"/>
          <w:w w:val="105"/>
          <w:sz w:val="17"/>
        </w:rPr>
        <w:t>Venzke,</w:t>
      </w:r>
      <w:r>
        <w:rPr>
          <w:rFonts w:ascii="Calibri" w:hAnsi="Calibri"/>
          <w:color w:val="231F20"/>
          <w:spacing w:val="-18"/>
          <w:w w:val="105"/>
          <w:sz w:val="17"/>
        </w:rPr>
        <w:t> </w:t>
      </w:r>
      <w:r>
        <w:rPr>
          <w:rFonts w:ascii="Calibri" w:hAnsi="Calibri"/>
          <w:i/>
          <w:color w:val="231F20"/>
          <w:w w:val="105"/>
          <w:sz w:val="17"/>
        </w:rPr>
        <w:t>In</w:t>
      </w:r>
      <w:r>
        <w:rPr>
          <w:rFonts w:ascii="Calibri" w:hAnsi="Calibri"/>
          <w:i/>
          <w:color w:val="231F20"/>
          <w:spacing w:val="-19"/>
          <w:w w:val="105"/>
          <w:sz w:val="17"/>
        </w:rPr>
        <w:t> </w:t>
      </w:r>
      <w:r>
        <w:rPr>
          <w:rFonts w:ascii="Calibri" w:hAnsi="Calibri"/>
          <w:i/>
          <w:color w:val="231F20"/>
          <w:w w:val="105"/>
          <w:sz w:val="17"/>
        </w:rPr>
        <w:t>wessen</w:t>
      </w:r>
      <w:r>
        <w:rPr>
          <w:rFonts w:ascii="Calibri" w:hAnsi="Calibri"/>
          <w:i/>
          <w:color w:val="231F20"/>
          <w:spacing w:val="-19"/>
          <w:w w:val="105"/>
          <w:sz w:val="17"/>
        </w:rPr>
        <w:t> </w:t>
      </w:r>
      <w:r>
        <w:rPr>
          <w:rFonts w:ascii="Calibri" w:hAnsi="Calibri"/>
          <w:i/>
          <w:color w:val="231F20"/>
          <w:w w:val="105"/>
          <w:sz w:val="17"/>
        </w:rPr>
        <w:t>Namen?</w:t>
      </w:r>
      <w:r>
        <w:rPr>
          <w:rFonts w:ascii="Calibri" w:hAnsi="Calibri"/>
          <w:i/>
          <w:color w:val="231F20"/>
          <w:spacing w:val="-19"/>
          <w:w w:val="105"/>
          <w:sz w:val="17"/>
        </w:rPr>
        <w:t> </w:t>
      </w:r>
      <w:r>
        <w:rPr>
          <w:rFonts w:ascii="Calibri" w:hAnsi="Calibri"/>
          <w:i/>
          <w:color w:val="231F20"/>
          <w:w w:val="105"/>
          <w:sz w:val="17"/>
        </w:rPr>
        <w:t>Internationale</w:t>
      </w:r>
      <w:r>
        <w:rPr>
          <w:rFonts w:ascii="Calibri" w:hAnsi="Calibri"/>
          <w:i/>
          <w:color w:val="231F20"/>
          <w:spacing w:val="-19"/>
          <w:w w:val="105"/>
          <w:sz w:val="17"/>
        </w:rPr>
        <w:t> </w:t>
      </w:r>
      <w:r>
        <w:rPr>
          <w:rFonts w:ascii="Calibri" w:hAnsi="Calibri"/>
          <w:i/>
          <w:color w:val="231F20"/>
          <w:w w:val="105"/>
          <w:sz w:val="17"/>
        </w:rPr>
        <w:t>Gerichte</w:t>
      </w:r>
      <w:r>
        <w:rPr>
          <w:rFonts w:ascii="Calibri" w:hAnsi="Calibri"/>
          <w:i/>
          <w:color w:val="231F20"/>
          <w:spacing w:val="-18"/>
          <w:w w:val="105"/>
          <w:sz w:val="17"/>
        </w:rPr>
        <w:t> </w:t>
      </w:r>
      <w:r>
        <w:rPr>
          <w:rFonts w:ascii="Calibri" w:hAnsi="Calibri"/>
          <w:color w:val="231F20"/>
          <w:w w:val="105"/>
          <w:sz w:val="17"/>
        </w:rPr>
        <w:t>en</w:t>
      </w:r>
      <w:r>
        <w:rPr>
          <w:rFonts w:ascii="Calibri" w:hAnsi="Calibri"/>
          <w:color w:val="231F20"/>
          <w:spacing w:val="-18"/>
          <w:w w:val="105"/>
          <w:sz w:val="17"/>
        </w:rPr>
        <w:t> </w:t>
      </w:r>
      <w:r>
        <w:rPr>
          <w:rFonts w:ascii="Calibri" w:hAnsi="Calibri"/>
          <w:i/>
          <w:color w:val="231F20"/>
          <w:w w:val="105"/>
          <w:sz w:val="17"/>
        </w:rPr>
        <w:t>Zeichen</w:t>
      </w:r>
      <w:r>
        <w:rPr>
          <w:rFonts w:ascii="Calibri" w:hAnsi="Calibri"/>
          <w:i/>
          <w:color w:val="231F20"/>
          <w:spacing w:val="-19"/>
          <w:w w:val="105"/>
          <w:sz w:val="17"/>
        </w:rPr>
        <w:t> </w:t>
      </w:r>
      <w:r>
        <w:rPr>
          <w:rFonts w:ascii="Calibri" w:hAnsi="Calibri"/>
          <w:i/>
          <w:color w:val="231F20"/>
          <w:w w:val="105"/>
          <w:sz w:val="17"/>
        </w:rPr>
        <w:t>globalen</w:t>
      </w:r>
      <w:r>
        <w:rPr>
          <w:rFonts w:ascii="Calibri" w:hAnsi="Calibri"/>
          <w:i/>
          <w:color w:val="231F20"/>
          <w:spacing w:val="-19"/>
          <w:w w:val="105"/>
          <w:sz w:val="17"/>
        </w:rPr>
        <w:t> </w:t>
      </w:r>
      <w:r>
        <w:rPr>
          <w:rFonts w:ascii="Calibri" w:hAnsi="Calibri"/>
          <w:i/>
          <w:color w:val="231F20"/>
          <w:w w:val="105"/>
          <w:sz w:val="17"/>
        </w:rPr>
        <w:t>Re- </w:t>
      </w:r>
      <w:r>
        <w:rPr>
          <w:rFonts w:ascii="Calibri" w:hAnsi="Calibri"/>
          <w:i/>
          <w:color w:val="231F20"/>
          <w:w w:val="105"/>
          <w:sz w:val="17"/>
        </w:rPr>
        <w:t>gierens</w:t>
      </w:r>
      <w:r>
        <w:rPr>
          <w:rFonts w:ascii="Calibri" w:hAnsi="Calibri"/>
          <w:color w:val="231F20"/>
          <w:w w:val="105"/>
          <w:sz w:val="17"/>
        </w:rPr>
        <w:t>,</w:t>
      </w:r>
      <w:r>
        <w:rPr>
          <w:rFonts w:ascii="Calibri" w:hAnsi="Calibri"/>
          <w:color w:val="231F20"/>
          <w:spacing w:val="-27"/>
          <w:w w:val="105"/>
          <w:sz w:val="17"/>
        </w:rPr>
        <w:t> </w:t>
      </w:r>
      <w:r>
        <w:rPr>
          <w:rFonts w:ascii="Calibri" w:hAnsi="Calibri"/>
          <w:color w:val="231F20"/>
          <w:w w:val="105"/>
          <w:sz w:val="17"/>
        </w:rPr>
        <w:t>Frankfurt</w:t>
      </w:r>
      <w:r>
        <w:rPr>
          <w:rFonts w:ascii="Calibri" w:hAnsi="Calibri"/>
          <w:color w:val="231F20"/>
          <w:spacing w:val="-27"/>
          <w:w w:val="105"/>
          <w:sz w:val="17"/>
        </w:rPr>
        <w:t> </w:t>
      </w:r>
      <w:r>
        <w:rPr>
          <w:rFonts w:ascii="Calibri" w:hAnsi="Calibri"/>
          <w:color w:val="231F20"/>
          <w:w w:val="105"/>
          <w:sz w:val="17"/>
        </w:rPr>
        <w:t>am</w:t>
      </w:r>
      <w:r>
        <w:rPr>
          <w:rFonts w:ascii="Calibri" w:hAnsi="Calibri"/>
          <w:color w:val="231F20"/>
          <w:spacing w:val="-27"/>
          <w:w w:val="105"/>
          <w:sz w:val="17"/>
        </w:rPr>
        <w:t> </w:t>
      </w:r>
      <w:r>
        <w:rPr>
          <w:rFonts w:ascii="Calibri" w:hAnsi="Calibri"/>
          <w:color w:val="231F20"/>
          <w:w w:val="105"/>
          <w:sz w:val="17"/>
        </w:rPr>
        <w:t>Main,</w:t>
      </w:r>
      <w:r>
        <w:rPr>
          <w:rFonts w:ascii="Calibri" w:hAnsi="Calibri"/>
          <w:color w:val="231F20"/>
          <w:spacing w:val="-27"/>
          <w:w w:val="105"/>
          <w:sz w:val="17"/>
        </w:rPr>
        <w:t> </w:t>
      </w:r>
      <w:r>
        <w:rPr>
          <w:rFonts w:ascii="Calibri" w:hAnsi="Calibri"/>
          <w:color w:val="231F20"/>
          <w:w w:val="105"/>
          <w:sz w:val="17"/>
        </w:rPr>
        <w:t>Suhrkamp,</w:t>
      </w:r>
      <w:r>
        <w:rPr>
          <w:rFonts w:ascii="Calibri" w:hAnsi="Calibri"/>
          <w:color w:val="231F20"/>
          <w:spacing w:val="-27"/>
          <w:w w:val="105"/>
          <w:sz w:val="17"/>
        </w:rPr>
        <w:t> </w:t>
      </w:r>
      <w:r>
        <w:rPr>
          <w:rFonts w:ascii="Calibri" w:hAnsi="Calibri"/>
          <w:color w:val="231F20"/>
          <w:w w:val="105"/>
          <w:sz w:val="17"/>
        </w:rPr>
        <w:t>2014,</w:t>
      </w:r>
      <w:r>
        <w:rPr>
          <w:rFonts w:ascii="Calibri" w:hAnsi="Calibri"/>
          <w:color w:val="231F20"/>
          <w:spacing w:val="-27"/>
          <w:w w:val="105"/>
          <w:sz w:val="17"/>
        </w:rPr>
        <w:t> </w:t>
      </w:r>
      <w:r>
        <w:rPr>
          <w:rFonts w:ascii="Calibri" w:hAnsi="Calibri"/>
          <w:color w:val="231F20"/>
          <w:w w:val="105"/>
          <w:sz w:val="17"/>
        </w:rPr>
        <w:t>cita</w:t>
      </w:r>
      <w:r>
        <w:rPr>
          <w:rFonts w:ascii="Calibri" w:hAnsi="Calibri"/>
          <w:color w:val="231F20"/>
          <w:spacing w:val="-27"/>
          <w:w w:val="105"/>
          <w:sz w:val="17"/>
        </w:rPr>
        <w:t> </w:t>
      </w:r>
      <w:r>
        <w:rPr>
          <w:rFonts w:ascii="Calibri" w:hAnsi="Calibri"/>
          <w:color w:val="231F20"/>
          <w:w w:val="105"/>
          <w:sz w:val="17"/>
        </w:rPr>
        <w:t>p.</w:t>
      </w:r>
      <w:r>
        <w:rPr>
          <w:rFonts w:ascii="Calibri" w:hAnsi="Calibri"/>
          <w:color w:val="231F20"/>
          <w:spacing w:val="-27"/>
          <w:w w:val="105"/>
          <w:sz w:val="17"/>
        </w:rPr>
        <w:t> </w:t>
      </w:r>
      <w:r>
        <w:rPr>
          <w:rFonts w:ascii="Calibri" w:hAnsi="Calibri"/>
          <w:color w:val="231F20"/>
          <w:w w:val="105"/>
          <w:sz w:val="17"/>
        </w:rPr>
        <w:t>178.</w:t>
      </w:r>
    </w:p>
    <w:p>
      <w:pPr>
        <w:spacing w:after="0" w:line="204" w:lineRule="exact"/>
        <w:jc w:val="both"/>
        <w:rPr>
          <w:rFonts w:ascii="Calibri" w:hAnsi="Calibri"/>
          <w:sz w:val="17"/>
        </w:rPr>
        <w:sectPr>
          <w:pgSz w:w="9640" w:h="13890"/>
          <w:pgMar w:top="0" w:bottom="280" w:left="1300" w:right="1200"/>
        </w:sectPr>
      </w:pPr>
    </w:p>
    <w:p>
      <w:pPr>
        <w:pStyle w:val="BodyText"/>
        <w:spacing w:line="247" w:lineRule="auto" w:before="107"/>
        <w:ind w:left="103" w:right="115"/>
        <w:jc w:val="both"/>
      </w:pPr>
      <w:r>
        <w:rPr>
          <w:color w:val="231F20"/>
        </w:rPr>
        <w:t>pológica e incluso ética o religiosa, aquí interesa la identificación del Dere- cho con la “ley”, que en general ha marcado la edad “constitucional” del Estado en el Occidente moderno y contemporáneo</w:t>
      </w:r>
      <w:r>
        <w:rPr>
          <w:color w:val="231F20"/>
          <w:position w:val="7"/>
          <w:sz w:val="12"/>
        </w:rPr>
        <w:t>33</w:t>
      </w:r>
      <w:r>
        <w:rPr>
          <w:color w:val="231F20"/>
        </w:rPr>
        <w:t>. En sentido aún más estricto, hay que decir que la ley —precisamente en combinación con la carta</w:t>
      </w:r>
      <w:r>
        <w:rPr>
          <w:color w:val="231F20"/>
          <w:spacing w:val="-5"/>
        </w:rPr>
        <w:t> </w:t>
      </w:r>
      <w:r>
        <w:rPr>
          <w:color w:val="231F20"/>
        </w:rPr>
        <w:t>constitucional</w:t>
      </w:r>
      <w:r>
        <w:rPr>
          <w:color w:val="231F20"/>
          <w:spacing w:val="-5"/>
        </w:rPr>
        <w:t> </w:t>
      </w:r>
      <w:r>
        <w:rPr>
          <w:color w:val="231F20"/>
        </w:rPr>
        <w:t>con</w:t>
      </w:r>
      <w:r>
        <w:rPr>
          <w:color w:val="231F20"/>
          <w:spacing w:val="-5"/>
        </w:rPr>
        <w:t> </w:t>
      </w:r>
      <w:r>
        <w:rPr>
          <w:color w:val="231F20"/>
        </w:rPr>
        <w:t>base</w:t>
      </w:r>
      <w:r>
        <w:rPr>
          <w:color w:val="231F20"/>
          <w:spacing w:val="-5"/>
        </w:rPr>
        <w:t> </w:t>
      </w:r>
      <w:r>
        <w:rPr>
          <w:color w:val="231F20"/>
        </w:rPr>
        <w:t>legislativa—</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reducido</w:t>
      </w:r>
      <w:r>
        <w:rPr>
          <w:color w:val="231F20"/>
          <w:spacing w:val="-5"/>
        </w:rPr>
        <w:t> </w:t>
      </w:r>
      <w:r>
        <w:rPr>
          <w:color w:val="231F20"/>
        </w:rPr>
        <w:t>a</w:t>
      </w:r>
      <w:r>
        <w:rPr>
          <w:color w:val="231F20"/>
          <w:spacing w:val="-5"/>
        </w:rPr>
        <w:t> </w:t>
      </w:r>
      <w:r>
        <w:rPr>
          <w:color w:val="231F20"/>
        </w:rPr>
        <w:t>“norma</w:t>
      </w:r>
      <w:r>
        <w:rPr>
          <w:color w:val="231F20"/>
          <w:spacing w:val="-5"/>
        </w:rPr>
        <w:t> </w:t>
      </w:r>
      <w:r>
        <w:rPr>
          <w:color w:val="231F20"/>
        </w:rPr>
        <w:t>de</w:t>
      </w:r>
      <w:r>
        <w:rPr>
          <w:color w:val="231F20"/>
          <w:spacing w:val="-5"/>
        </w:rPr>
        <w:t> </w:t>
      </w:r>
      <w:r>
        <w:rPr>
          <w:color w:val="231F20"/>
        </w:rPr>
        <w:t>ley”, es </w:t>
      </w:r>
      <w:r>
        <w:rPr>
          <w:color w:val="231F20"/>
          <w:spacing w:val="-4"/>
        </w:rPr>
        <w:t>decir, </w:t>
      </w:r>
      <w:r>
        <w:rPr>
          <w:color w:val="231F20"/>
        </w:rPr>
        <w:t>a dispositivo capaz, sobre la base de determinados supuestos </w:t>
      </w:r>
      <w:r>
        <w:rPr>
          <w:color w:val="231F20"/>
          <w:spacing w:val="-3"/>
        </w:rPr>
        <w:t>for- </w:t>
      </w:r>
      <w:r>
        <w:rPr>
          <w:color w:val="231F20"/>
        </w:rPr>
        <w:t>males relativos a su origen y subsistencia, de dictar comportamientos vin- culantes en las relaciones entre sujetos miembros de la misma</w:t>
      </w:r>
      <w:r>
        <w:rPr>
          <w:color w:val="231F20"/>
          <w:spacing w:val="-39"/>
        </w:rPr>
        <w:t> </w:t>
      </w:r>
      <w:r>
        <w:rPr>
          <w:color w:val="231F20"/>
        </w:rPr>
        <w:t>comunidad. Y ciertamente no está fuera de lugar </w:t>
      </w:r>
      <w:r>
        <w:rPr>
          <w:color w:val="231F20"/>
          <w:spacing w:val="-4"/>
        </w:rPr>
        <w:t>recordar, </w:t>
      </w:r>
      <w:r>
        <w:rPr>
          <w:color w:val="231F20"/>
        </w:rPr>
        <w:t>con las palabras de Paolo Grossi,</w:t>
      </w:r>
      <w:r>
        <w:rPr>
          <w:color w:val="231F20"/>
          <w:spacing w:val="15"/>
        </w:rPr>
        <w:t> </w:t>
      </w:r>
      <w:r>
        <w:rPr>
          <w:color w:val="231F20"/>
        </w:rPr>
        <w:t>que</w:t>
      </w:r>
    </w:p>
    <w:p>
      <w:pPr>
        <w:pStyle w:val="BodyText"/>
        <w:spacing w:before="10"/>
        <w:rPr>
          <w:sz w:val="22"/>
        </w:rPr>
      </w:pPr>
    </w:p>
    <w:p>
      <w:pPr>
        <w:spacing w:line="220" w:lineRule="exact" w:before="1"/>
        <w:ind w:left="1521" w:right="115" w:firstLine="0"/>
        <w:jc w:val="both"/>
        <w:rPr>
          <w:sz w:val="19"/>
        </w:rPr>
      </w:pPr>
      <w:r>
        <w:rPr>
          <w:color w:val="231F20"/>
          <w:sz w:val="19"/>
        </w:rPr>
        <w:t>Después de 1789, el Estado dominado por la triunfante clase </w:t>
      </w:r>
      <w:r>
        <w:rPr>
          <w:color w:val="231F20"/>
          <w:spacing w:val="-4"/>
          <w:sz w:val="19"/>
        </w:rPr>
        <w:t>bur- </w:t>
      </w:r>
      <w:r>
        <w:rPr>
          <w:color w:val="231F20"/>
          <w:sz w:val="19"/>
        </w:rPr>
        <w:t>guesa,</w:t>
      </w:r>
      <w:r>
        <w:rPr>
          <w:color w:val="231F20"/>
          <w:spacing w:val="-20"/>
          <w:sz w:val="19"/>
        </w:rPr>
        <w:t> </w:t>
      </w:r>
      <w:r>
        <w:rPr>
          <w:color w:val="231F20"/>
          <w:sz w:val="19"/>
        </w:rPr>
        <w:t>se</w:t>
      </w:r>
      <w:r>
        <w:rPr>
          <w:color w:val="231F20"/>
          <w:spacing w:val="-20"/>
          <w:sz w:val="19"/>
        </w:rPr>
        <w:t> </w:t>
      </w:r>
      <w:r>
        <w:rPr>
          <w:color w:val="231F20"/>
          <w:sz w:val="19"/>
        </w:rPr>
        <w:t>interesa</w:t>
      </w:r>
      <w:r>
        <w:rPr>
          <w:color w:val="231F20"/>
          <w:spacing w:val="-20"/>
          <w:sz w:val="19"/>
        </w:rPr>
        <w:t> </w:t>
      </w:r>
      <w:r>
        <w:rPr>
          <w:color w:val="231F20"/>
          <w:sz w:val="19"/>
        </w:rPr>
        <w:t>propio</w:t>
      </w:r>
      <w:r>
        <w:rPr>
          <w:color w:val="231F20"/>
          <w:spacing w:val="-20"/>
          <w:sz w:val="19"/>
        </w:rPr>
        <w:t> </w:t>
      </w:r>
      <w:r>
        <w:rPr>
          <w:color w:val="231F20"/>
          <w:sz w:val="19"/>
        </w:rPr>
        <w:t>en</w:t>
      </w:r>
      <w:r>
        <w:rPr>
          <w:color w:val="231F20"/>
          <w:spacing w:val="-20"/>
          <w:sz w:val="19"/>
        </w:rPr>
        <w:t> </w:t>
      </w:r>
      <w:r>
        <w:rPr>
          <w:color w:val="231F20"/>
          <w:sz w:val="19"/>
        </w:rPr>
        <w:t>[aquel]</w:t>
      </w:r>
      <w:r>
        <w:rPr>
          <w:color w:val="231F20"/>
          <w:spacing w:val="-20"/>
          <w:sz w:val="19"/>
        </w:rPr>
        <w:t> </w:t>
      </w:r>
      <w:r>
        <w:rPr>
          <w:color w:val="231F20"/>
          <w:sz w:val="19"/>
        </w:rPr>
        <w:t>Derecho</w:t>
      </w:r>
      <w:r>
        <w:rPr>
          <w:color w:val="231F20"/>
          <w:spacing w:val="-20"/>
          <w:sz w:val="19"/>
        </w:rPr>
        <w:t> </w:t>
      </w:r>
      <w:r>
        <w:rPr>
          <w:color w:val="231F20"/>
          <w:sz w:val="19"/>
        </w:rPr>
        <w:t>privado,</w:t>
      </w:r>
      <w:r>
        <w:rPr>
          <w:color w:val="231F20"/>
          <w:spacing w:val="-20"/>
          <w:sz w:val="19"/>
        </w:rPr>
        <w:t> </w:t>
      </w:r>
      <w:r>
        <w:rPr>
          <w:color w:val="231F20"/>
          <w:sz w:val="19"/>
        </w:rPr>
        <w:t>ya</w:t>
      </w:r>
      <w:r>
        <w:rPr>
          <w:color w:val="231F20"/>
          <w:spacing w:val="-20"/>
          <w:sz w:val="19"/>
        </w:rPr>
        <w:t> </w:t>
      </w:r>
      <w:r>
        <w:rPr>
          <w:color w:val="231F20"/>
          <w:sz w:val="19"/>
        </w:rPr>
        <w:t>que</w:t>
      </w:r>
      <w:r>
        <w:rPr>
          <w:color w:val="231F20"/>
          <w:spacing w:val="-20"/>
          <w:sz w:val="19"/>
        </w:rPr>
        <w:t> </w:t>
      </w:r>
      <w:r>
        <w:rPr>
          <w:color w:val="231F20"/>
          <w:sz w:val="19"/>
        </w:rPr>
        <w:t>es</w:t>
      </w:r>
      <w:r>
        <w:rPr>
          <w:color w:val="231F20"/>
          <w:spacing w:val="-20"/>
          <w:sz w:val="19"/>
        </w:rPr>
        <w:t> </w:t>
      </w:r>
      <w:r>
        <w:rPr>
          <w:color w:val="231F20"/>
          <w:sz w:val="19"/>
        </w:rPr>
        <w:t>ahí donde</w:t>
      </w:r>
      <w:r>
        <w:rPr>
          <w:color w:val="231F20"/>
          <w:spacing w:val="-12"/>
          <w:sz w:val="19"/>
        </w:rPr>
        <w:t> </w:t>
      </w:r>
      <w:r>
        <w:rPr>
          <w:color w:val="231F20"/>
          <w:sz w:val="19"/>
        </w:rPr>
        <w:t>se</w:t>
      </w:r>
      <w:r>
        <w:rPr>
          <w:color w:val="231F20"/>
          <w:spacing w:val="-12"/>
          <w:sz w:val="19"/>
        </w:rPr>
        <w:t> </w:t>
      </w:r>
      <w:r>
        <w:rPr>
          <w:color w:val="231F20"/>
          <w:sz w:val="19"/>
        </w:rPr>
        <w:t>colocan</w:t>
      </w:r>
      <w:r>
        <w:rPr>
          <w:color w:val="231F20"/>
          <w:spacing w:val="-12"/>
          <w:sz w:val="19"/>
        </w:rPr>
        <w:t> </w:t>
      </w:r>
      <w:r>
        <w:rPr>
          <w:color w:val="231F20"/>
          <w:sz w:val="19"/>
        </w:rPr>
        <w:t>los</w:t>
      </w:r>
      <w:r>
        <w:rPr>
          <w:color w:val="231F20"/>
          <w:spacing w:val="-12"/>
          <w:sz w:val="19"/>
        </w:rPr>
        <w:t> </w:t>
      </w:r>
      <w:r>
        <w:rPr>
          <w:color w:val="231F20"/>
          <w:sz w:val="19"/>
        </w:rPr>
        <w:t>dos</w:t>
      </w:r>
      <w:r>
        <w:rPr>
          <w:color w:val="231F20"/>
          <w:spacing w:val="-12"/>
          <w:sz w:val="19"/>
        </w:rPr>
        <w:t> </w:t>
      </w:r>
      <w:r>
        <w:rPr>
          <w:color w:val="231F20"/>
          <w:sz w:val="19"/>
        </w:rPr>
        <w:t>institutos</w:t>
      </w:r>
      <w:r>
        <w:rPr>
          <w:color w:val="231F20"/>
          <w:spacing w:val="-12"/>
          <w:sz w:val="19"/>
        </w:rPr>
        <w:t> </w:t>
      </w:r>
      <w:r>
        <w:rPr>
          <w:color w:val="231F20"/>
          <w:sz w:val="19"/>
        </w:rPr>
        <w:t>que</w:t>
      </w:r>
      <w:r>
        <w:rPr>
          <w:color w:val="231F20"/>
          <w:spacing w:val="-12"/>
          <w:sz w:val="19"/>
        </w:rPr>
        <w:t> </w:t>
      </w:r>
      <w:r>
        <w:rPr>
          <w:color w:val="231F20"/>
          <w:sz w:val="19"/>
        </w:rPr>
        <w:t>sostienen</w:t>
      </w:r>
      <w:r>
        <w:rPr>
          <w:color w:val="231F20"/>
          <w:spacing w:val="-12"/>
          <w:sz w:val="19"/>
        </w:rPr>
        <w:t> </w:t>
      </w:r>
      <w:r>
        <w:rPr>
          <w:color w:val="231F20"/>
          <w:sz w:val="19"/>
        </w:rPr>
        <w:t>a</w:t>
      </w:r>
      <w:r>
        <w:rPr>
          <w:color w:val="231F20"/>
          <w:spacing w:val="-12"/>
          <w:sz w:val="19"/>
        </w:rPr>
        <w:t> </w:t>
      </w:r>
      <w:r>
        <w:rPr>
          <w:color w:val="231F20"/>
          <w:sz w:val="19"/>
        </w:rPr>
        <w:t>la</w:t>
      </w:r>
      <w:r>
        <w:rPr>
          <w:color w:val="231F20"/>
          <w:spacing w:val="-12"/>
          <w:sz w:val="19"/>
        </w:rPr>
        <w:t> </w:t>
      </w:r>
      <w:r>
        <w:rPr>
          <w:color w:val="231F20"/>
          <w:sz w:val="19"/>
        </w:rPr>
        <w:t>nueva</w:t>
      </w:r>
      <w:r>
        <w:rPr>
          <w:color w:val="231F20"/>
          <w:spacing w:val="-12"/>
          <w:sz w:val="19"/>
        </w:rPr>
        <w:t> </w:t>
      </w:r>
      <w:r>
        <w:rPr>
          <w:color w:val="231F20"/>
          <w:sz w:val="19"/>
        </w:rPr>
        <w:t>socie- dad:</w:t>
      </w:r>
      <w:r>
        <w:rPr>
          <w:color w:val="231F20"/>
          <w:spacing w:val="-5"/>
          <w:sz w:val="19"/>
        </w:rPr>
        <w:t> </w:t>
      </w:r>
      <w:r>
        <w:rPr>
          <w:color w:val="231F20"/>
          <w:sz w:val="19"/>
        </w:rPr>
        <w:t>la</w:t>
      </w:r>
      <w:r>
        <w:rPr>
          <w:color w:val="231F20"/>
          <w:spacing w:val="-5"/>
          <w:sz w:val="19"/>
        </w:rPr>
        <w:t> </w:t>
      </w:r>
      <w:r>
        <w:rPr>
          <w:color w:val="231F20"/>
          <w:sz w:val="19"/>
        </w:rPr>
        <w:t>propiedad</w:t>
      </w:r>
      <w:r>
        <w:rPr>
          <w:color w:val="231F20"/>
          <w:spacing w:val="-5"/>
          <w:sz w:val="19"/>
        </w:rPr>
        <w:t> </w:t>
      </w:r>
      <w:r>
        <w:rPr>
          <w:color w:val="231F20"/>
          <w:sz w:val="19"/>
        </w:rPr>
        <w:t>individual</w:t>
      </w:r>
      <w:r>
        <w:rPr>
          <w:color w:val="231F20"/>
          <w:spacing w:val="-5"/>
          <w:sz w:val="19"/>
        </w:rPr>
        <w:t> </w:t>
      </w:r>
      <w:r>
        <w:rPr>
          <w:color w:val="231F20"/>
          <w:sz w:val="19"/>
        </w:rPr>
        <w:t>y</w:t>
      </w:r>
      <w:r>
        <w:rPr>
          <w:color w:val="231F20"/>
          <w:spacing w:val="-5"/>
          <w:sz w:val="19"/>
        </w:rPr>
        <w:t> </w:t>
      </w:r>
      <w:r>
        <w:rPr>
          <w:color w:val="231F20"/>
          <w:sz w:val="19"/>
        </w:rPr>
        <w:t>el</w:t>
      </w:r>
      <w:r>
        <w:rPr>
          <w:color w:val="231F20"/>
          <w:spacing w:val="-5"/>
          <w:sz w:val="19"/>
        </w:rPr>
        <w:t> </w:t>
      </w:r>
      <w:r>
        <w:rPr>
          <w:color w:val="231F20"/>
          <w:sz w:val="19"/>
        </w:rPr>
        <w:t>contrato</w:t>
      </w:r>
      <w:r>
        <w:rPr>
          <w:color w:val="231F20"/>
          <w:spacing w:val="-5"/>
          <w:sz w:val="19"/>
        </w:rPr>
        <w:t> </w:t>
      </w:r>
      <w:r>
        <w:rPr>
          <w:color w:val="231F20"/>
          <w:sz w:val="19"/>
        </w:rPr>
        <w:t>como</w:t>
      </w:r>
      <w:r>
        <w:rPr>
          <w:color w:val="231F20"/>
          <w:spacing w:val="-5"/>
          <w:sz w:val="19"/>
        </w:rPr>
        <w:t> </w:t>
      </w:r>
      <w:r>
        <w:rPr>
          <w:color w:val="231F20"/>
          <w:sz w:val="19"/>
        </w:rPr>
        <w:t>instrumento</w:t>
      </w:r>
      <w:r>
        <w:rPr>
          <w:color w:val="231F20"/>
          <w:spacing w:val="-5"/>
          <w:sz w:val="19"/>
        </w:rPr>
        <w:t> </w:t>
      </w:r>
      <w:r>
        <w:rPr>
          <w:color w:val="231F20"/>
          <w:sz w:val="19"/>
        </w:rPr>
        <w:t>nece- sario para su circulación. Justamente, su valencia ha sido</w:t>
      </w:r>
      <w:r>
        <w:rPr>
          <w:color w:val="231F20"/>
          <w:spacing w:val="-32"/>
          <w:sz w:val="19"/>
        </w:rPr>
        <w:t> </w:t>
      </w:r>
      <w:r>
        <w:rPr>
          <w:color w:val="231F20"/>
          <w:sz w:val="19"/>
        </w:rPr>
        <w:t>definida auténticamente constitucional, ya que es sobre ese fundamento que</w:t>
      </w:r>
      <w:r>
        <w:rPr>
          <w:color w:val="231F20"/>
          <w:spacing w:val="-5"/>
          <w:sz w:val="19"/>
        </w:rPr>
        <w:t> </w:t>
      </w:r>
      <w:r>
        <w:rPr>
          <w:color w:val="231F20"/>
          <w:sz w:val="19"/>
        </w:rPr>
        <w:t>se</w:t>
      </w:r>
      <w:r>
        <w:rPr>
          <w:color w:val="231F20"/>
          <w:spacing w:val="-5"/>
          <w:sz w:val="19"/>
        </w:rPr>
        <w:t> </w:t>
      </w:r>
      <w:r>
        <w:rPr>
          <w:color w:val="231F20"/>
          <w:sz w:val="19"/>
        </w:rPr>
        <w:t>constituye</w:t>
      </w:r>
      <w:r>
        <w:rPr>
          <w:color w:val="231F20"/>
          <w:spacing w:val="-5"/>
          <w:sz w:val="19"/>
        </w:rPr>
        <w:t> </w:t>
      </w:r>
      <w:r>
        <w:rPr>
          <w:color w:val="231F20"/>
          <w:sz w:val="19"/>
        </w:rPr>
        <w:t>una</w:t>
      </w:r>
      <w:r>
        <w:rPr>
          <w:color w:val="231F20"/>
          <w:spacing w:val="-5"/>
          <w:sz w:val="19"/>
        </w:rPr>
        <w:t> </w:t>
      </w:r>
      <w:r>
        <w:rPr>
          <w:color w:val="231F20"/>
          <w:sz w:val="19"/>
        </w:rPr>
        <w:t>entera</w:t>
      </w:r>
      <w:r>
        <w:rPr>
          <w:color w:val="231F20"/>
          <w:spacing w:val="-5"/>
          <w:sz w:val="19"/>
        </w:rPr>
        <w:t> </w:t>
      </w:r>
      <w:r>
        <w:rPr>
          <w:color w:val="231F20"/>
          <w:sz w:val="19"/>
        </w:rPr>
        <w:t>civilización</w:t>
      </w:r>
      <w:r>
        <w:rPr>
          <w:color w:val="231F20"/>
          <w:spacing w:val="-5"/>
          <w:sz w:val="19"/>
        </w:rPr>
        <w:t> </w:t>
      </w:r>
      <w:r>
        <w:rPr>
          <w:color w:val="231F20"/>
          <w:sz w:val="19"/>
        </w:rPr>
        <w:t>histórica.</w:t>
      </w:r>
      <w:r>
        <w:rPr>
          <w:color w:val="231F20"/>
          <w:spacing w:val="-5"/>
          <w:sz w:val="19"/>
        </w:rPr>
        <w:t> </w:t>
      </w:r>
      <w:r>
        <w:rPr>
          <w:color w:val="231F20"/>
          <w:sz w:val="19"/>
        </w:rPr>
        <w:t>El</w:t>
      </w:r>
      <w:r>
        <w:rPr>
          <w:color w:val="231F20"/>
          <w:spacing w:val="-5"/>
          <w:sz w:val="19"/>
        </w:rPr>
        <w:t> </w:t>
      </w:r>
      <w:r>
        <w:rPr>
          <w:color w:val="231F20"/>
          <w:sz w:val="19"/>
        </w:rPr>
        <w:t>instituto</w:t>
      </w:r>
      <w:r>
        <w:rPr>
          <w:color w:val="231F20"/>
          <w:spacing w:val="-5"/>
          <w:sz w:val="19"/>
        </w:rPr>
        <w:t> </w:t>
      </w:r>
      <w:r>
        <w:rPr>
          <w:color w:val="231F20"/>
          <w:sz w:val="19"/>
        </w:rPr>
        <w:t>jurí- dico propiedad individual no es uno entre tantos, sino que se ele- va</w:t>
      </w:r>
      <w:r>
        <w:rPr>
          <w:color w:val="231F20"/>
          <w:spacing w:val="-5"/>
          <w:sz w:val="19"/>
        </w:rPr>
        <w:t> </w:t>
      </w:r>
      <w:r>
        <w:rPr>
          <w:color w:val="231F20"/>
          <w:sz w:val="19"/>
        </w:rPr>
        <w:t>al</w:t>
      </w:r>
      <w:r>
        <w:rPr>
          <w:color w:val="231F20"/>
          <w:spacing w:val="-5"/>
          <w:sz w:val="19"/>
        </w:rPr>
        <w:t> </w:t>
      </w:r>
      <w:r>
        <w:rPr>
          <w:color w:val="231F20"/>
          <w:sz w:val="19"/>
        </w:rPr>
        <w:t>rango</w:t>
      </w:r>
      <w:r>
        <w:rPr>
          <w:color w:val="231F20"/>
          <w:spacing w:val="-5"/>
          <w:sz w:val="19"/>
        </w:rPr>
        <w:t> </w:t>
      </w:r>
      <w:r>
        <w:rPr>
          <w:color w:val="231F20"/>
          <w:sz w:val="19"/>
        </w:rPr>
        <w:t>de</w:t>
      </w:r>
      <w:r>
        <w:rPr>
          <w:color w:val="231F20"/>
          <w:spacing w:val="-5"/>
          <w:sz w:val="19"/>
        </w:rPr>
        <w:t> </w:t>
      </w:r>
      <w:r>
        <w:rPr>
          <w:color w:val="231F20"/>
          <w:sz w:val="19"/>
        </w:rPr>
        <w:t>modelo;</w:t>
      </w:r>
      <w:r>
        <w:rPr>
          <w:color w:val="231F20"/>
          <w:spacing w:val="-5"/>
          <w:sz w:val="19"/>
        </w:rPr>
        <w:t> </w:t>
      </w:r>
      <w:r>
        <w:rPr>
          <w:color w:val="231F20"/>
          <w:sz w:val="19"/>
        </w:rPr>
        <w:t>es</w:t>
      </w:r>
      <w:r>
        <w:rPr>
          <w:color w:val="231F20"/>
          <w:spacing w:val="-5"/>
          <w:sz w:val="19"/>
        </w:rPr>
        <w:t> </w:t>
      </w:r>
      <w:r>
        <w:rPr>
          <w:color w:val="231F20"/>
          <w:sz w:val="19"/>
        </w:rPr>
        <w:t>más,</w:t>
      </w:r>
      <w:r>
        <w:rPr>
          <w:color w:val="231F20"/>
          <w:spacing w:val="-5"/>
          <w:sz w:val="19"/>
        </w:rPr>
        <w:t> </w:t>
      </w:r>
      <w:r>
        <w:rPr>
          <w:color w:val="231F20"/>
          <w:sz w:val="19"/>
        </w:rPr>
        <w:t>de</w:t>
      </w:r>
      <w:r>
        <w:rPr>
          <w:color w:val="231F20"/>
          <w:spacing w:val="-5"/>
          <w:sz w:val="19"/>
        </w:rPr>
        <w:t> </w:t>
      </w:r>
      <w:r>
        <w:rPr>
          <w:color w:val="231F20"/>
          <w:sz w:val="19"/>
        </w:rPr>
        <w:t>modelo</w:t>
      </w:r>
      <w:r>
        <w:rPr>
          <w:color w:val="231F20"/>
          <w:spacing w:val="-5"/>
          <w:sz w:val="19"/>
        </w:rPr>
        <w:t> </w:t>
      </w:r>
      <w:r>
        <w:rPr>
          <w:color w:val="231F20"/>
          <w:sz w:val="19"/>
        </w:rPr>
        <w:t>único</w:t>
      </w:r>
      <w:r>
        <w:rPr>
          <w:color w:val="231F20"/>
          <w:spacing w:val="-5"/>
          <w:sz w:val="19"/>
        </w:rPr>
        <w:t> </w:t>
      </w:r>
      <w:r>
        <w:rPr>
          <w:color w:val="231F20"/>
          <w:sz w:val="19"/>
        </w:rPr>
        <w:t>e</w:t>
      </w:r>
      <w:r>
        <w:rPr>
          <w:color w:val="231F20"/>
          <w:spacing w:val="-5"/>
          <w:sz w:val="19"/>
        </w:rPr>
        <w:t> </w:t>
      </w:r>
      <w:r>
        <w:rPr>
          <w:color w:val="231F20"/>
          <w:sz w:val="19"/>
        </w:rPr>
        <w:t>insustituible</w:t>
      </w:r>
      <w:r>
        <w:rPr>
          <w:color w:val="231F20"/>
          <w:position w:val="6"/>
          <w:sz w:val="11"/>
        </w:rPr>
        <w:t>34</w:t>
      </w:r>
      <w:r>
        <w:rPr>
          <w:color w:val="231F20"/>
          <w:sz w:val="19"/>
        </w:rPr>
        <w:t>.</w:t>
      </w:r>
    </w:p>
    <w:p>
      <w:pPr>
        <w:pStyle w:val="BodyText"/>
        <w:spacing w:before="11"/>
        <w:rPr>
          <w:sz w:val="23"/>
        </w:rPr>
      </w:pPr>
    </w:p>
    <w:p>
      <w:pPr>
        <w:pStyle w:val="BodyText"/>
        <w:spacing w:line="244" w:lineRule="auto"/>
        <w:ind w:left="64" w:right="115"/>
        <w:jc w:val="right"/>
      </w:pPr>
      <w:r>
        <w:rPr>
          <w:color w:val="231F20"/>
          <w:w w:val="105"/>
        </w:rPr>
        <w:t>No</w:t>
      </w:r>
      <w:r>
        <w:rPr>
          <w:color w:val="231F20"/>
          <w:spacing w:val="-35"/>
          <w:w w:val="105"/>
        </w:rPr>
        <w:t> </w:t>
      </w:r>
      <w:r>
        <w:rPr>
          <w:color w:val="231F20"/>
          <w:w w:val="105"/>
        </w:rPr>
        <w:t>obstante</w:t>
      </w:r>
      <w:r>
        <w:rPr>
          <w:color w:val="231F20"/>
          <w:spacing w:val="-35"/>
          <w:w w:val="105"/>
        </w:rPr>
        <w:t> </w:t>
      </w:r>
      <w:r>
        <w:rPr>
          <w:color w:val="231F20"/>
          <w:w w:val="105"/>
        </w:rPr>
        <w:t>las</w:t>
      </w:r>
      <w:r>
        <w:rPr>
          <w:color w:val="231F20"/>
          <w:spacing w:val="-35"/>
          <w:w w:val="105"/>
        </w:rPr>
        <w:t> </w:t>
      </w:r>
      <w:r>
        <w:rPr>
          <w:color w:val="231F20"/>
          <w:w w:val="105"/>
        </w:rPr>
        <w:t>críticas</w:t>
      </w:r>
      <w:r>
        <w:rPr>
          <w:color w:val="231F20"/>
          <w:spacing w:val="-35"/>
          <w:w w:val="105"/>
        </w:rPr>
        <w:t> </w:t>
      </w:r>
      <w:r>
        <w:rPr>
          <w:color w:val="231F20"/>
          <w:w w:val="105"/>
        </w:rPr>
        <w:t>provenientes</w:t>
      </w:r>
      <w:r>
        <w:rPr>
          <w:color w:val="231F20"/>
          <w:spacing w:val="-35"/>
          <w:w w:val="105"/>
        </w:rPr>
        <w:t> </w:t>
      </w:r>
      <w:r>
        <w:rPr>
          <w:color w:val="231F20"/>
          <w:w w:val="105"/>
        </w:rPr>
        <w:t>de</w:t>
      </w:r>
      <w:r>
        <w:rPr>
          <w:color w:val="231F20"/>
          <w:spacing w:val="-35"/>
          <w:w w:val="105"/>
        </w:rPr>
        <w:t> </w:t>
      </w:r>
      <w:r>
        <w:rPr>
          <w:color w:val="231F20"/>
          <w:w w:val="105"/>
        </w:rPr>
        <w:t>varias</w:t>
      </w:r>
      <w:r>
        <w:rPr>
          <w:color w:val="231F20"/>
          <w:spacing w:val="-35"/>
          <w:w w:val="105"/>
        </w:rPr>
        <w:t> </w:t>
      </w:r>
      <w:r>
        <w:rPr>
          <w:color w:val="231F20"/>
          <w:w w:val="105"/>
        </w:rPr>
        <w:t>partes</w:t>
      </w:r>
      <w:r>
        <w:rPr>
          <w:color w:val="231F20"/>
          <w:spacing w:val="-35"/>
          <w:w w:val="105"/>
        </w:rPr>
        <w:t> </w:t>
      </w:r>
      <w:r>
        <w:rPr>
          <w:color w:val="231F20"/>
          <w:w w:val="105"/>
        </w:rPr>
        <w:t>hacia</w:t>
      </w:r>
      <w:r>
        <w:rPr>
          <w:color w:val="231F20"/>
          <w:spacing w:val="-35"/>
          <w:w w:val="105"/>
        </w:rPr>
        <w:t> </w:t>
      </w:r>
      <w:r>
        <w:rPr>
          <w:color w:val="231F20"/>
          <w:w w:val="105"/>
        </w:rPr>
        <w:t>esta</w:t>
      </w:r>
      <w:r>
        <w:rPr>
          <w:color w:val="231F20"/>
          <w:spacing w:val="-35"/>
          <w:w w:val="105"/>
        </w:rPr>
        <w:t> </w:t>
      </w:r>
      <w:r>
        <w:rPr>
          <w:color w:val="231F20"/>
          <w:w w:val="105"/>
        </w:rPr>
        <w:t>concesión</w:t>
      </w:r>
      <w:r>
        <w:rPr>
          <w:color w:val="231F20"/>
          <w:w w:val="103"/>
        </w:rPr>
        <w:t> </w:t>
      </w:r>
      <w:r>
        <w:rPr>
          <w:color w:val="231F20"/>
          <w:w w:val="105"/>
        </w:rPr>
        <w:t>“positivista”</w:t>
      </w:r>
      <w:r>
        <w:rPr>
          <w:color w:val="231F20"/>
          <w:spacing w:val="-36"/>
          <w:w w:val="105"/>
        </w:rPr>
        <w:t> </w:t>
      </w:r>
      <w:r>
        <w:rPr>
          <w:color w:val="231F20"/>
          <w:w w:val="105"/>
        </w:rPr>
        <w:t>del</w:t>
      </w:r>
      <w:r>
        <w:rPr>
          <w:color w:val="231F20"/>
          <w:spacing w:val="-36"/>
          <w:w w:val="105"/>
        </w:rPr>
        <w:t> </w:t>
      </w:r>
      <w:r>
        <w:rPr>
          <w:color w:val="231F20"/>
          <w:w w:val="105"/>
        </w:rPr>
        <w:t>Derecho,</w:t>
      </w:r>
      <w:r>
        <w:rPr>
          <w:color w:val="231F20"/>
          <w:spacing w:val="-36"/>
          <w:w w:val="105"/>
        </w:rPr>
        <w:t> </w:t>
      </w:r>
      <w:r>
        <w:rPr>
          <w:color w:val="231F20"/>
          <w:w w:val="105"/>
        </w:rPr>
        <w:t>ésta</w:t>
      </w:r>
      <w:r>
        <w:rPr>
          <w:color w:val="231F20"/>
          <w:spacing w:val="-36"/>
          <w:w w:val="105"/>
        </w:rPr>
        <w:t> </w:t>
      </w:r>
      <w:r>
        <w:rPr>
          <w:color w:val="231F20"/>
          <w:w w:val="105"/>
        </w:rPr>
        <w:t>sigue</w:t>
      </w:r>
      <w:r>
        <w:rPr>
          <w:color w:val="231F20"/>
          <w:spacing w:val="-36"/>
          <w:w w:val="105"/>
        </w:rPr>
        <w:t> </w:t>
      </w:r>
      <w:r>
        <w:rPr>
          <w:color w:val="231F20"/>
          <w:w w:val="105"/>
        </w:rPr>
        <w:t>siendo</w:t>
      </w:r>
      <w:r>
        <w:rPr>
          <w:color w:val="231F20"/>
          <w:spacing w:val="-36"/>
          <w:w w:val="105"/>
        </w:rPr>
        <w:t> </w:t>
      </w:r>
      <w:r>
        <w:rPr>
          <w:color w:val="231F20"/>
          <w:w w:val="105"/>
        </w:rPr>
        <w:t>la</w:t>
      </w:r>
      <w:r>
        <w:rPr>
          <w:color w:val="231F20"/>
          <w:spacing w:val="-36"/>
          <w:w w:val="105"/>
        </w:rPr>
        <w:t> </w:t>
      </w:r>
      <w:r>
        <w:rPr>
          <w:color w:val="231F20"/>
          <w:w w:val="105"/>
        </w:rPr>
        <w:t>más</w:t>
      </w:r>
      <w:r>
        <w:rPr>
          <w:color w:val="231F20"/>
          <w:spacing w:val="-36"/>
          <w:w w:val="105"/>
        </w:rPr>
        <w:t> </w:t>
      </w:r>
      <w:r>
        <w:rPr>
          <w:color w:val="231F20"/>
          <w:w w:val="105"/>
        </w:rPr>
        <w:t>difundida</w:t>
      </w:r>
      <w:r>
        <w:rPr>
          <w:color w:val="231F20"/>
          <w:spacing w:val="-36"/>
          <w:w w:val="105"/>
        </w:rPr>
        <w:t> </w:t>
      </w:r>
      <w:r>
        <w:rPr>
          <w:color w:val="231F20"/>
          <w:w w:val="105"/>
        </w:rPr>
        <w:t>y</w:t>
      </w:r>
      <w:r>
        <w:rPr>
          <w:color w:val="231F20"/>
          <w:spacing w:val="-36"/>
          <w:w w:val="105"/>
        </w:rPr>
        <w:t> </w:t>
      </w:r>
      <w:r>
        <w:rPr>
          <w:color w:val="231F20"/>
          <w:w w:val="105"/>
        </w:rPr>
        <w:t>comúnmen-</w:t>
      </w:r>
      <w:r>
        <w:rPr>
          <w:color w:val="231F20"/>
          <w:w w:val="91"/>
        </w:rPr>
        <w:t> </w:t>
      </w:r>
      <w:r>
        <w:rPr>
          <w:color w:val="231F20"/>
          <w:w w:val="105"/>
        </w:rPr>
        <w:t>te</w:t>
      </w:r>
      <w:r>
        <w:rPr>
          <w:color w:val="231F20"/>
          <w:spacing w:val="-39"/>
          <w:w w:val="105"/>
        </w:rPr>
        <w:t> </w:t>
      </w:r>
      <w:r>
        <w:rPr>
          <w:color w:val="231F20"/>
          <w:w w:val="105"/>
        </w:rPr>
        <w:t>aceptada,</w:t>
      </w:r>
      <w:r>
        <w:rPr>
          <w:color w:val="231F20"/>
          <w:spacing w:val="-39"/>
          <w:w w:val="105"/>
        </w:rPr>
        <w:t> </w:t>
      </w:r>
      <w:r>
        <w:rPr>
          <w:color w:val="231F20"/>
          <w:w w:val="105"/>
        </w:rPr>
        <w:t>tanto</w:t>
      </w:r>
      <w:r>
        <w:rPr>
          <w:color w:val="231F20"/>
          <w:spacing w:val="-39"/>
          <w:w w:val="105"/>
        </w:rPr>
        <w:t> </w:t>
      </w:r>
      <w:r>
        <w:rPr>
          <w:color w:val="231F20"/>
          <w:w w:val="105"/>
        </w:rPr>
        <w:t>entre</w:t>
      </w:r>
      <w:r>
        <w:rPr>
          <w:color w:val="231F20"/>
          <w:spacing w:val="-39"/>
          <w:w w:val="105"/>
        </w:rPr>
        <w:t> </w:t>
      </w:r>
      <w:r>
        <w:rPr>
          <w:color w:val="231F20"/>
          <w:w w:val="105"/>
        </w:rPr>
        <w:t>los</w:t>
      </w:r>
      <w:r>
        <w:rPr>
          <w:color w:val="231F20"/>
          <w:spacing w:val="-39"/>
          <w:w w:val="105"/>
        </w:rPr>
        <w:t> </w:t>
      </w:r>
      <w:r>
        <w:rPr>
          <w:color w:val="231F20"/>
          <w:w w:val="105"/>
        </w:rPr>
        <w:t>especialistas</w:t>
      </w:r>
      <w:r>
        <w:rPr>
          <w:color w:val="231F20"/>
          <w:spacing w:val="-39"/>
          <w:w w:val="105"/>
        </w:rPr>
        <w:t> </w:t>
      </w:r>
      <w:r>
        <w:rPr>
          <w:color w:val="231F20"/>
          <w:w w:val="105"/>
        </w:rPr>
        <w:t>como</w:t>
      </w:r>
      <w:r>
        <w:rPr>
          <w:color w:val="231F20"/>
          <w:spacing w:val="-39"/>
          <w:w w:val="105"/>
        </w:rPr>
        <w:t> </w:t>
      </w:r>
      <w:r>
        <w:rPr>
          <w:color w:val="231F20"/>
          <w:w w:val="105"/>
        </w:rPr>
        <w:t>entre</w:t>
      </w:r>
      <w:r>
        <w:rPr>
          <w:color w:val="231F20"/>
          <w:spacing w:val="-39"/>
          <w:w w:val="105"/>
        </w:rPr>
        <w:t> </w:t>
      </w:r>
      <w:r>
        <w:rPr>
          <w:color w:val="231F20"/>
          <w:w w:val="105"/>
        </w:rPr>
        <w:t>la</w:t>
      </w:r>
      <w:r>
        <w:rPr>
          <w:color w:val="231F20"/>
          <w:spacing w:val="-39"/>
          <w:w w:val="105"/>
        </w:rPr>
        <w:t> </w:t>
      </w:r>
      <w:r>
        <w:rPr>
          <w:color w:val="231F20"/>
          <w:w w:val="105"/>
        </w:rPr>
        <w:t>gente</w:t>
      </w:r>
      <w:r>
        <w:rPr>
          <w:color w:val="231F20"/>
          <w:spacing w:val="-39"/>
          <w:w w:val="105"/>
        </w:rPr>
        <w:t> </w:t>
      </w:r>
      <w:r>
        <w:rPr>
          <w:color w:val="231F20"/>
          <w:w w:val="105"/>
        </w:rPr>
        <w:t>común</w:t>
      </w:r>
      <w:r>
        <w:rPr>
          <w:color w:val="231F20"/>
          <w:spacing w:val="-39"/>
          <w:w w:val="105"/>
        </w:rPr>
        <w:t> </w:t>
      </w:r>
      <w:r>
        <w:rPr>
          <w:color w:val="231F20"/>
          <w:w w:val="105"/>
        </w:rPr>
        <w:t>y</w:t>
      </w:r>
      <w:r>
        <w:rPr>
          <w:color w:val="231F20"/>
          <w:spacing w:val="-39"/>
          <w:w w:val="105"/>
        </w:rPr>
        <w:t> </w:t>
      </w:r>
      <w:r>
        <w:rPr>
          <w:color w:val="231F20"/>
          <w:w w:val="105"/>
        </w:rPr>
        <w:t>está</w:t>
      </w:r>
      <w:r>
        <w:rPr>
          <w:color w:val="231F20"/>
          <w:w w:val="100"/>
        </w:rPr>
        <w:t> </w:t>
      </w:r>
      <w:r>
        <w:rPr>
          <w:color w:val="231F20"/>
          <w:w w:val="105"/>
        </w:rPr>
        <w:t>esencialmente</w:t>
      </w:r>
      <w:r>
        <w:rPr>
          <w:color w:val="231F20"/>
          <w:spacing w:val="-29"/>
          <w:w w:val="105"/>
        </w:rPr>
        <w:t> </w:t>
      </w:r>
      <w:r>
        <w:rPr>
          <w:color w:val="231F20"/>
          <w:w w:val="105"/>
        </w:rPr>
        <w:t>en</w:t>
      </w:r>
      <w:r>
        <w:rPr>
          <w:color w:val="231F20"/>
          <w:spacing w:val="-29"/>
          <w:w w:val="105"/>
        </w:rPr>
        <w:t> </w:t>
      </w:r>
      <w:r>
        <w:rPr>
          <w:color w:val="231F20"/>
          <w:w w:val="105"/>
        </w:rPr>
        <w:t>la</w:t>
      </w:r>
      <w:r>
        <w:rPr>
          <w:color w:val="231F20"/>
          <w:spacing w:val="-29"/>
          <w:w w:val="105"/>
        </w:rPr>
        <w:t> </w:t>
      </w:r>
      <w:r>
        <w:rPr>
          <w:color w:val="231F20"/>
          <w:w w:val="105"/>
        </w:rPr>
        <w:t>base</w:t>
      </w:r>
      <w:r>
        <w:rPr>
          <w:color w:val="231F20"/>
          <w:spacing w:val="-29"/>
          <w:w w:val="105"/>
        </w:rPr>
        <w:t> </w:t>
      </w:r>
      <w:r>
        <w:rPr>
          <w:color w:val="231F20"/>
          <w:w w:val="105"/>
        </w:rPr>
        <w:t>del</w:t>
      </w:r>
      <w:r>
        <w:rPr>
          <w:color w:val="231F20"/>
          <w:spacing w:val="-29"/>
          <w:w w:val="105"/>
        </w:rPr>
        <w:t> </w:t>
      </w:r>
      <w:r>
        <w:rPr>
          <w:rFonts w:ascii="Arial" w:hAnsi="Arial"/>
          <w:i/>
          <w:color w:val="231F20"/>
          <w:w w:val="105"/>
        </w:rPr>
        <w:t>revival</w:t>
      </w:r>
      <w:r>
        <w:rPr>
          <w:rFonts w:ascii="Arial" w:hAnsi="Arial"/>
          <w:i/>
          <w:color w:val="231F20"/>
          <w:spacing w:val="-22"/>
          <w:w w:val="105"/>
        </w:rPr>
        <w:t> </w:t>
      </w:r>
      <w:r>
        <w:rPr>
          <w:color w:val="231F20"/>
          <w:w w:val="105"/>
        </w:rPr>
        <w:t>constitucional–democrático</w:t>
      </w:r>
      <w:r>
        <w:rPr>
          <w:color w:val="231F20"/>
          <w:spacing w:val="-29"/>
          <w:w w:val="105"/>
        </w:rPr>
        <w:t> </w:t>
      </w:r>
      <w:r>
        <w:rPr>
          <w:color w:val="231F20"/>
          <w:w w:val="105"/>
        </w:rPr>
        <w:t>postbéli-</w:t>
      </w:r>
      <w:r>
        <w:rPr>
          <w:color w:val="231F20"/>
          <w:w w:val="91"/>
        </w:rPr>
        <w:t> </w:t>
      </w:r>
      <w:r>
        <w:rPr>
          <w:color w:val="231F20"/>
          <w:w w:val="105"/>
        </w:rPr>
        <w:t>co,</w:t>
      </w:r>
      <w:r>
        <w:rPr>
          <w:color w:val="231F20"/>
          <w:spacing w:val="-34"/>
          <w:w w:val="105"/>
        </w:rPr>
        <w:t> </w:t>
      </w:r>
      <w:r>
        <w:rPr>
          <w:color w:val="231F20"/>
          <w:w w:val="105"/>
        </w:rPr>
        <w:t>incluso</w:t>
      </w:r>
      <w:r>
        <w:rPr>
          <w:color w:val="231F20"/>
          <w:spacing w:val="-34"/>
          <w:w w:val="105"/>
        </w:rPr>
        <w:t> </w:t>
      </w:r>
      <w:r>
        <w:rPr>
          <w:color w:val="231F20"/>
          <w:w w:val="105"/>
        </w:rPr>
        <w:t>con</w:t>
      </w:r>
      <w:r>
        <w:rPr>
          <w:color w:val="231F20"/>
          <w:spacing w:val="-34"/>
          <w:w w:val="105"/>
        </w:rPr>
        <w:t> </w:t>
      </w:r>
      <w:r>
        <w:rPr>
          <w:color w:val="231F20"/>
          <w:w w:val="105"/>
        </w:rPr>
        <w:t>las</w:t>
      </w:r>
      <w:r>
        <w:rPr>
          <w:color w:val="231F20"/>
          <w:spacing w:val="-34"/>
          <w:w w:val="105"/>
        </w:rPr>
        <w:t> </w:t>
      </w:r>
      <w:r>
        <w:rPr>
          <w:color w:val="231F20"/>
          <w:w w:val="105"/>
        </w:rPr>
        <w:t>indispensables</w:t>
      </w:r>
      <w:r>
        <w:rPr>
          <w:color w:val="231F20"/>
          <w:spacing w:val="-34"/>
          <w:w w:val="105"/>
        </w:rPr>
        <w:t> </w:t>
      </w:r>
      <w:r>
        <w:rPr>
          <w:color w:val="231F20"/>
          <w:w w:val="105"/>
        </w:rPr>
        <w:t>inyecciones</w:t>
      </w:r>
      <w:r>
        <w:rPr>
          <w:color w:val="231F20"/>
          <w:spacing w:val="-34"/>
          <w:w w:val="105"/>
        </w:rPr>
        <w:t> </w:t>
      </w:r>
      <w:r>
        <w:rPr>
          <w:color w:val="231F20"/>
          <w:w w:val="105"/>
        </w:rPr>
        <w:t>de</w:t>
      </w:r>
      <w:r>
        <w:rPr>
          <w:color w:val="231F20"/>
          <w:spacing w:val="-34"/>
          <w:w w:val="105"/>
        </w:rPr>
        <w:t> </w:t>
      </w:r>
      <w:r>
        <w:rPr>
          <w:color w:val="231F20"/>
          <w:w w:val="105"/>
        </w:rPr>
        <w:t>comunitario</w:t>
      </w:r>
      <w:r>
        <w:rPr>
          <w:color w:val="231F20"/>
          <w:spacing w:val="-34"/>
          <w:w w:val="105"/>
        </w:rPr>
        <w:t> </w:t>
      </w:r>
      <w:r>
        <w:rPr>
          <w:color w:val="231F20"/>
          <w:w w:val="105"/>
        </w:rPr>
        <w:t>y</w:t>
      </w:r>
      <w:r>
        <w:rPr>
          <w:color w:val="231F20"/>
          <w:spacing w:val="-34"/>
          <w:w w:val="105"/>
        </w:rPr>
        <w:t> </w:t>
      </w:r>
      <w:r>
        <w:rPr>
          <w:color w:val="231F20"/>
          <w:w w:val="105"/>
        </w:rPr>
        <w:t>solidario</w:t>
      </w:r>
      <w:r>
        <w:rPr>
          <w:color w:val="231F20"/>
          <w:w w:val="105"/>
          <w:position w:val="7"/>
          <w:sz w:val="12"/>
        </w:rPr>
        <w:t>35</w:t>
      </w:r>
      <w:r>
        <w:rPr>
          <w:color w:val="231F20"/>
          <w:w w:val="105"/>
        </w:rPr>
        <w:t>.</w:t>
      </w:r>
    </w:p>
    <w:p>
      <w:pPr>
        <w:pStyle w:val="BodyText"/>
        <w:spacing w:line="247" w:lineRule="auto" w:before="1"/>
        <w:ind w:left="103" w:right="115" w:firstLine="566"/>
        <w:jc w:val="both"/>
      </w:pPr>
      <w:r>
        <w:rPr>
          <w:color w:val="231F20"/>
        </w:rPr>
        <w:t>Son discursos que me gustan y que íntimamente comparto, como</w:t>
      </w:r>
      <w:r>
        <w:rPr>
          <w:color w:val="231F20"/>
          <w:spacing w:val="-16"/>
        </w:rPr>
        <w:t> </w:t>
      </w:r>
      <w:r>
        <w:rPr>
          <w:color w:val="231F20"/>
        </w:rPr>
        <w:t>se verá</w:t>
      </w:r>
      <w:r>
        <w:rPr>
          <w:color w:val="231F20"/>
          <w:spacing w:val="-11"/>
        </w:rPr>
        <w:t> </w:t>
      </w:r>
      <w:r>
        <w:rPr>
          <w:color w:val="231F20"/>
        </w:rPr>
        <w:t>al</w:t>
      </w:r>
      <w:r>
        <w:rPr>
          <w:color w:val="231F20"/>
          <w:spacing w:val="-11"/>
        </w:rPr>
        <w:t> </w:t>
      </w:r>
      <w:r>
        <w:rPr>
          <w:color w:val="231F20"/>
        </w:rPr>
        <w:t>final.</w:t>
      </w:r>
      <w:r>
        <w:rPr>
          <w:color w:val="231F20"/>
          <w:spacing w:val="-11"/>
        </w:rPr>
        <w:t> </w:t>
      </w:r>
      <w:r>
        <w:rPr>
          <w:color w:val="231F20"/>
        </w:rPr>
        <w:t>Pero</w:t>
      </w:r>
      <w:r>
        <w:rPr>
          <w:color w:val="231F20"/>
          <w:spacing w:val="-11"/>
        </w:rPr>
        <w:t> </w:t>
      </w:r>
      <w:r>
        <w:rPr>
          <w:color w:val="231F20"/>
        </w:rPr>
        <w:t>no</w:t>
      </w:r>
      <w:r>
        <w:rPr>
          <w:color w:val="231F20"/>
          <w:spacing w:val="-11"/>
        </w:rPr>
        <w:t> </w:t>
      </w:r>
      <w:r>
        <w:rPr>
          <w:color w:val="231F20"/>
        </w:rPr>
        <w:t>quisiera</w:t>
      </w:r>
      <w:r>
        <w:rPr>
          <w:color w:val="231F20"/>
          <w:spacing w:val="-11"/>
        </w:rPr>
        <w:t> </w:t>
      </w:r>
      <w:r>
        <w:rPr>
          <w:color w:val="231F20"/>
        </w:rPr>
        <w:t>renunciar</w:t>
      </w:r>
      <w:r>
        <w:rPr>
          <w:color w:val="231F20"/>
          <w:spacing w:val="-11"/>
        </w:rPr>
        <w:t> </w:t>
      </w:r>
      <w:r>
        <w:rPr>
          <w:color w:val="231F20"/>
        </w:rPr>
        <w:t>al</w:t>
      </w:r>
      <w:r>
        <w:rPr>
          <w:color w:val="231F20"/>
          <w:spacing w:val="-11"/>
        </w:rPr>
        <w:t> </w:t>
      </w:r>
      <w:r>
        <w:rPr>
          <w:color w:val="231F20"/>
        </w:rPr>
        <w:t>tono</w:t>
      </w:r>
      <w:r>
        <w:rPr>
          <w:color w:val="231F20"/>
          <w:spacing w:val="-11"/>
        </w:rPr>
        <w:t> </w:t>
      </w:r>
      <w:r>
        <w:rPr>
          <w:color w:val="231F20"/>
        </w:rPr>
        <w:t>más</w:t>
      </w:r>
      <w:r>
        <w:rPr>
          <w:color w:val="231F20"/>
          <w:spacing w:val="-11"/>
        </w:rPr>
        <w:t> </w:t>
      </w:r>
      <w:r>
        <w:rPr>
          <w:color w:val="231F20"/>
        </w:rPr>
        <w:t>crítico</w:t>
      </w:r>
      <w:r>
        <w:rPr>
          <w:color w:val="231F20"/>
          <w:spacing w:val="-11"/>
        </w:rPr>
        <w:t> </w:t>
      </w:r>
      <w:r>
        <w:rPr>
          <w:color w:val="231F20"/>
        </w:rPr>
        <w:t>y</w:t>
      </w:r>
      <w:r>
        <w:rPr>
          <w:color w:val="231F20"/>
          <w:spacing w:val="-11"/>
        </w:rPr>
        <w:t> </w:t>
      </w:r>
      <w:r>
        <w:rPr>
          <w:color w:val="231F20"/>
        </w:rPr>
        <w:t>negativo</w:t>
      </w:r>
      <w:r>
        <w:rPr>
          <w:color w:val="231F20"/>
          <w:spacing w:val="-11"/>
        </w:rPr>
        <w:t> </w:t>
      </w:r>
      <w:r>
        <w:rPr>
          <w:color w:val="231F20"/>
        </w:rPr>
        <w:t>con</w:t>
      </w:r>
      <w:r>
        <w:rPr>
          <w:color w:val="231F20"/>
          <w:spacing w:val="-11"/>
        </w:rPr>
        <w:t> </w:t>
      </w:r>
      <w:r>
        <w:rPr>
          <w:color w:val="231F20"/>
        </w:rPr>
        <w:t>el cual veo desde hace tiempo al Estado moderno</w:t>
      </w:r>
      <w:r>
        <w:rPr>
          <w:color w:val="231F20"/>
          <w:position w:val="7"/>
          <w:sz w:val="12"/>
        </w:rPr>
        <w:t>36</w:t>
      </w:r>
      <w:r>
        <w:rPr>
          <w:color w:val="231F20"/>
        </w:rPr>
        <w:t>. No obstante mi escasa simpatía hacia la doctrina política de Carl Schmitt, me permito citar desde la </w:t>
      </w:r>
      <w:r>
        <w:rPr>
          <w:rFonts w:ascii="Arial" w:hAnsi="Arial"/>
          <w:i/>
          <w:color w:val="231F20"/>
        </w:rPr>
        <w:t>Premessa </w:t>
      </w:r>
      <w:r>
        <w:rPr>
          <w:color w:val="231F20"/>
        </w:rPr>
        <w:t>la traducción italiana de sus escritos sobre lo</w:t>
      </w:r>
      <w:r>
        <w:rPr>
          <w:color w:val="231F20"/>
          <w:spacing w:val="-18"/>
        </w:rPr>
        <w:t> </w:t>
      </w:r>
      <w:r>
        <w:rPr>
          <w:color w:val="231F20"/>
        </w:rPr>
        <w:t>“político”:</w:t>
      </w:r>
    </w:p>
    <w:p>
      <w:pPr>
        <w:pStyle w:val="BodyText"/>
        <w:spacing w:before="9"/>
        <w:rPr>
          <w:sz w:val="22"/>
        </w:rPr>
      </w:pPr>
    </w:p>
    <w:p>
      <w:pPr>
        <w:spacing w:line="220" w:lineRule="exact" w:before="0"/>
        <w:ind w:left="1521" w:right="115" w:firstLine="0"/>
        <w:jc w:val="both"/>
        <w:rPr>
          <w:sz w:val="19"/>
        </w:rPr>
      </w:pPr>
      <w:r>
        <w:rPr>
          <w:color w:val="231F20"/>
          <w:sz w:val="19"/>
        </w:rPr>
        <w:t>Nos quedamos continuamente atónitos frente al celo con el que precisamente los nuevos sujetos de la política utilizan los viejos conceptos; pero sería ingenuo ver en esto una señal de</w:t>
      </w:r>
      <w:r>
        <w:rPr>
          <w:color w:val="231F20"/>
          <w:spacing w:val="-34"/>
          <w:sz w:val="19"/>
        </w:rPr>
        <w:t> </w:t>
      </w:r>
      <w:r>
        <w:rPr>
          <w:color w:val="231F20"/>
          <w:sz w:val="19"/>
        </w:rPr>
        <w:t>conserva-</w:t>
      </w:r>
    </w:p>
    <w:p>
      <w:pPr>
        <w:pStyle w:val="BodyText"/>
        <w:spacing w:before="11"/>
        <w:rPr>
          <w:sz w:val="23"/>
        </w:rPr>
      </w:pPr>
      <w:r>
        <w:rPr/>
        <w:pict>
          <v:line style="position:absolute;mso-position-horizontal-relative:page;mso-position-vertical-relative:paragraph;z-index:5752;mso-wrap-distance-left:0;mso-wrap-distance-right:0" from="65.196899pt,16.536201pt" to="178.582899pt,16.536201pt" stroked="true" strokeweight=".3pt" strokecolor="#231f20">
            <w10:wrap type="topAndBottom"/>
          </v:line>
        </w:pict>
      </w:r>
    </w:p>
    <w:p>
      <w:pPr>
        <w:spacing w:line="204" w:lineRule="exact" w:before="9"/>
        <w:ind w:left="103" w:right="115" w:firstLine="0"/>
        <w:jc w:val="both"/>
        <w:rPr>
          <w:rFonts w:ascii="Calibri" w:hAnsi="Calibri"/>
          <w:sz w:val="17"/>
        </w:rPr>
      </w:pPr>
      <w:r>
        <w:rPr>
          <w:rFonts w:ascii="Calibri" w:hAnsi="Calibri"/>
          <w:color w:val="231F20"/>
          <w:position w:val="6"/>
          <w:sz w:val="10"/>
        </w:rPr>
        <w:t>33</w:t>
      </w:r>
      <w:r>
        <w:rPr>
          <w:rFonts w:ascii="Calibri" w:hAnsi="Calibri"/>
          <w:color w:val="231F20"/>
          <w:spacing w:val="9"/>
          <w:position w:val="6"/>
          <w:sz w:val="10"/>
        </w:rPr>
        <w:t> </w:t>
      </w:r>
      <w:r>
        <w:rPr>
          <w:rFonts w:ascii="Calibri" w:hAnsi="Calibri"/>
          <w:color w:val="231F20"/>
          <w:sz w:val="17"/>
        </w:rPr>
        <w:t>E.</w:t>
      </w:r>
      <w:r>
        <w:rPr>
          <w:rFonts w:ascii="Calibri" w:hAnsi="Calibri"/>
          <w:color w:val="231F20"/>
          <w:spacing w:val="-13"/>
          <w:sz w:val="17"/>
        </w:rPr>
        <w:t> </w:t>
      </w:r>
      <w:r>
        <w:rPr>
          <w:rFonts w:ascii="Calibri" w:hAnsi="Calibri"/>
          <w:color w:val="231F20"/>
          <w:spacing w:val="-7"/>
          <w:sz w:val="17"/>
        </w:rPr>
        <w:t>W.</w:t>
      </w:r>
      <w:r>
        <w:rPr>
          <w:rFonts w:ascii="Calibri" w:hAnsi="Calibri"/>
          <w:color w:val="231F20"/>
          <w:spacing w:val="-8"/>
          <w:sz w:val="17"/>
        </w:rPr>
        <w:t> </w:t>
      </w:r>
      <w:r>
        <w:rPr>
          <w:rFonts w:ascii="Calibri" w:hAnsi="Calibri"/>
          <w:color w:val="231F20"/>
          <w:spacing w:val="-3"/>
          <w:sz w:val="17"/>
        </w:rPr>
        <w:t>Böckenförde,</w:t>
      </w:r>
      <w:r>
        <w:rPr>
          <w:rFonts w:ascii="Calibri" w:hAnsi="Calibri"/>
          <w:color w:val="231F20"/>
          <w:spacing w:val="-8"/>
          <w:sz w:val="17"/>
        </w:rPr>
        <w:t> </w:t>
      </w:r>
      <w:r>
        <w:rPr>
          <w:rFonts w:ascii="Calibri" w:hAnsi="Calibri"/>
          <w:i/>
          <w:color w:val="231F20"/>
          <w:spacing w:val="-2"/>
          <w:sz w:val="17"/>
        </w:rPr>
        <w:t>Gesetz</w:t>
      </w:r>
      <w:r>
        <w:rPr>
          <w:rFonts w:ascii="Calibri" w:hAnsi="Calibri"/>
          <w:i/>
          <w:color w:val="231F20"/>
          <w:spacing w:val="-8"/>
          <w:sz w:val="17"/>
        </w:rPr>
        <w:t> </w:t>
      </w:r>
      <w:r>
        <w:rPr>
          <w:rFonts w:ascii="Calibri" w:hAnsi="Calibri"/>
          <w:i/>
          <w:color w:val="231F20"/>
          <w:sz w:val="17"/>
        </w:rPr>
        <w:t>und</w:t>
      </w:r>
      <w:r>
        <w:rPr>
          <w:rFonts w:ascii="Calibri" w:hAnsi="Calibri"/>
          <w:i/>
          <w:color w:val="231F20"/>
          <w:spacing w:val="-8"/>
          <w:sz w:val="17"/>
        </w:rPr>
        <w:t> </w:t>
      </w:r>
      <w:r>
        <w:rPr>
          <w:rFonts w:ascii="Calibri" w:hAnsi="Calibri"/>
          <w:i/>
          <w:color w:val="231F20"/>
          <w:spacing w:val="-3"/>
          <w:sz w:val="17"/>
        </w:rPr>
        <w:t>gesetzgebende</w:t>
      </w:r>
      <w:r>
        <w:rPr>
          <w:rFonts w:ascii="Calibri" w:hAnsi="Calibri"/>
          <w:i/>
          <w:color w:val="231F20"/>
          <w:spacing w:val="-8"/>
          <w:sz w:val="17"/>
        </w:rPr>
        <w:t> </w:t>
      </w:r>
      <w:r>
        <w:rPr>
          <w:rFonts w:ascii="Calibri" w:hAnsi="Calibri"/>
          <w:i/>
          <w:color w:val="231F20"/>
          <w:sz w:val="17"/>
        </w:rPr>
        <w:t>Gewalt.</w:t>
      </w:r>
      <w:r>
        <w:rPr>
          <w:rFonts w:ascii="Calibri" w:hAnsi="Calibri"/>
          <w:i/>
          <w:color w:val="231F20"/>
          <w:spacing w:val="-11"/>
          <w:sz w:val="17"/>
        </w:rPr>
        <w:t> </w:t>
      </w:r>
      <w:r>
        <w:rPr>
          <w:rFonts w:ascii="Calibri" w:hAnsi="Calibri"/>
          <w:i/>
          <w:color w:val="231F20"/>
          <w:spacing w:val="-4"/>
          <w:sz w:val="17"/>
        </w:rPr>
        <w:t>Von</w:t>
      </w:r>
      <w:r>
        <w:rPr>
          <w:rFonts w:ascii="Calibri" w:hAnsi="Calibri"/>
          <w:i/>
          <w:color w:val="231F20"/>
          <w:spacing w:val="-8"/>
          <w:sz w:val="17"/>
        </w:rPr>
        <w:t> </w:t>
      </w:r>
      <w:r>
        <w:rPr>
          <w:rFonts w:ascii="Calibri" w:hAnsi="Calibri"/>
          <w:i/>
          <w:color w:val="231F20"/>
          <w:sz w:val="17"/>
        </w:rPr>
        <w:t>den</w:t>
      </w:r>
      <w:r>
        <w:rPr>
          <w:rFonts w:ascii="Calibri" w:hAnsi="Calibri"/>
          <w:i/>
          <w:color w:val="231F20"/>
          <w:spacing w:val="-8"/>
          <w:sz w:val="17"/>
        </w:rPr>
        <w:t> </w:t>
      </w:r>
      <w:r>
        <w:rPr>
          <w:rFonts w:ascii="Calibri" w:hAnsi="Calibri"/>
          <w:i/>
          <w:color w:val="231F20"/>
          <w:spacing w:val="-3"/>
          <w:sz w:val="17"/>
        </w:rPr>
        <w:t>Anfängen</w:t>
      </w:r>
      <w:r>
        <w:rPr>
          <w:rFonts w:ascii="Calibri" w:hAnsi="Calibri"/>
          <w:i/>
          <w:color w:val="231F20"/>
          <w:spacing w:val="-8"/>
          <w:sz w:val="17"/>
        </w:rPr>
        <w:t> </w:t>
      </w:r>
      <w:r>
        <w:rPr>
          <w:rFonts w:ascii="Calibri" w:hAnsi="Calibri"/>
          <w:i/>
          <w:color w:val="231F20"/>
          <w:sz w:val="17"/>
        </w:rPr>
        <w:t>der</w:t>
      </w:r>
      <w:r>
        <w:rPr>
          <w:rFonts w:ascii="Calibri" w:hAnsi="Calibri"/>
          <w:i/>
          <w:color w:val="231F20"/>
          <w:spacing w:val="-8"/>
          <w:sz w:val="17"/>
        </w:rPr>
        <w:t> </w:t>
      </w:r>
      <w:r>
        <w:rPr>
          <w:rFonts w:ascii="Calibri" w:hAnsi="Calibri"/>
          <w:i/>
          <w:color w:val="231F20"/>
          <w:sz w:val="17"/>
        </w:rPr>
        <w:t>deutschen</w:t>
      </w:r>
      <w:r>
        <w:rPr>
          <w:rFonts w:ascii="Calibri" w:hAnsi="Calibri"/>
          <w:i/>
          <w:color w:val="231F20"/>
          <w:spacing w:val="-8"/>
          <w:sz w:val="17"/>
        </w:rPr>
        <w:t> </w:t>
      </w:r>
      <w:r>
        <w:rPr>
          <w:rFonts w:ascii="Calibri" w:hAnsi="Calibri"/>
          <w:i/>
          <w:color w:val="231F20"/>
          <w:spacing w:val="-3"/>
          <w:sz w:val="17"/>
        </w:rPr>
        <w:t>Staatsrechts- </w:t>
      </w:r>
      <w:r>
        <w:rPr>
          <w:rFonts w:ascii="Calibri" w:hAnsi="Calibri"/>
          <w:i/>
          <w:color w:val="231F20"/>
          <w:sz w:val="17"/>
        </w:rPr>
        <w:t>lehre</w:t>
      </w:r>
      <w:r>
        <w:rPr>
          <w:rFonts w:ascii="Calibri" w:hAnsi="Calibri"/>
          <w:i/>
          <w:color w:val="231F20"/>
          <w:spacing w:val="-9"/>
          <w:sz w:val="17"/>
        </w:rPr>
        <w:t> </w:t>
      </w:r>
      <w:r>
        <w:rPr>
          <w:rFonts w:ascii="Calibri" w:hAnsi="Calibri"/>
          <w:i/>
          <w:color w:val="231F20"/>
          <w:sz w:val="17"/>
        </w:rPr>
        <w:t>bis</w:t>
      </w:r>
      <w:r>
        <w:rPr>
          <w:rFonts w:ascii="Calibri" w:hAnsi="Calibri"/>
          <w:i/>
          <w:color w:val="231F20"/>
          <w:spacing w:val="-9"/>
          <w:sz w:val="17"/>
        </w:rPr>
        <w:t> </w:t>
      </w:r>
      <w:r>
        <w:rPr>
          <w:rFonts w:ascii="Calibri" w:hAnsi="Calibri"/>
          <w:i/>
          <w:color w:val="231F20"/>
          <w:sz w:val="17"/>
        </w:rPr>
        <w:t>zur</w:t>
      </w:r>
      <w:r>
        <w:rPr>
          <w:rFonts w:ascii="Calibri" w:hAnsi="Calibri"/>
          <w:i/>
          <w:color w:val="231F20"/>
          <w:spacing w:val="-9"/>
          <w:sz w:val="17"/>
        </w:rPr>
        <w:t> </w:t>
      </w:r>
      <w:r>
        <w:rPr>
          <w:rFonts w:ascii="Calibri" w:hAnsi="Calibri"/>
          <w:i/>
          <w:color w:val="231F20"/>
          <w:sz w:val="17"/>
        </w:rPr>
        <w:t>Höhe</w:t>
      </w:r>
      <w:r>
        <w:rPr>
          <w:rFonts w:ascii="Calibri" w:hAnsi="Calibri"/>
          <w:i/>
          <w:color w:val="231F20"/>
          <w:spacing w:val="-9"/>
          <w:sz w:val="17"/>
        </w:rPr>
        <w:t> </w:t>
      </w:r>
      <w:r>
        <w:rPr>
          <w:rFonts w:ascii="Calibri" w:hAnsi="Calibri"/>
          <w:i/>
          <w:color w:val="231F20"/>
          <w:sz w:val="17"/>
        </w:rPr>
        <w:t>des</w:t>
      </w:r>
      <w:r>
        <w:rPr>
          <w:rFonts w:ascii="Calibri" w:hAnsi="Calibri"/>
          <w:i/>
          <w:color w:val="231F20"/>
          <w:spacing w:val="-9"/>
          <w:sz w:val="17"/>
        </w:rPr>
        <w:t> </w:t>
      </w:r>
      <w:r>
        <w:rPr>
          <w:rFonts w:ascii="Calibri" w:hAnsi="Calibri"/>
          <w:i/>
          <w:color w:val="231F20"/>
          <w:spacing w:val="-3"/>
          <w:sz w:val="17"/>
        </w:rPr>
        <w:t>staatsrechtlichen</w:t>
      </w:r>
      <w:r>
        <w:rPr>
          <w:rFonts w:ascii="Calibri" w:hAnsi="Calibri"/>
          <w:i/>
          <w:color w:val="231F20"/>
          <w:spacing w:val="-9"/>
          <w:sz w:val="17"/>
        </w:rPr>
        <w:t> </w:t>
      </w:r>
      <w:r>
        <w:rPr>
          <w:rFonts w:ascii="Calibri" w:hAnsi="Calibri"/>
          <w:i/>
          <w:color w:val="231F20"/>
          <w:sz w:val="17"/>
        </w:rPr>
        <w:t>Positivismus</w:t>
      </w:r>
      <w:r>
        <w:rPr>
          <w:rFonts w:ascii="Calibri" w:hAnsi="Calibri"/>
          <w:color w:val="231F20"/>
          <w:sz w:val="17"/>
        </w:rPr>
        <w:t>,</w:t>
      </w:r>
      <w:r>
        <w:rPr>
          <w:rFonts w:ascii="Calibri" w:hAnsi="Calibri"/>
          <w:color w:val="231F20"/>
          <w:spacing w:val="-9"/>
          <w:sz w:val="17"/>
        </w:rPr>
        <w:t> </w:t>
      </w:r>
      <w:r>
        <w:rPr>
          <w:rFonts w:ascii="Calibri" w:hAnsi="Calibri"/>
          <w:color w:val="231F20"/>
          <w:sz w:val="17"/>
        </w:rPr>
        <w:t>Berlin,</w:t>
      </w:r>
      <w:r>
        <w:rPr>
          <w:rFonts w:ascii="Calibri" w:hAnsi="Calibri"/>
          <w:color w:val="231F20"/>
          <w:spacing w:val="-9"/>
          <w:sz w:val="17"/>
        </w:rPr>
        <w:t> </w:t>
      </w:r>
      <w:r>
        <w:rPr>
          <w:rFonts w:ascii="Calibri" w:hAnsi="Calibri"/>
          <w:color w:val="231F20"/>
          <w:spacing w:val="-3"/>
          <w:sz w:val="17"/>
        </w:rPr>
        <w:t>Duncker</w:t>
      </w:r>
      <w:r>
        <w:rPr>
          <w:rFonts w:ascii="Calibri" w:hAnsi="Calibri"/>
          <w:color w:val="231F20"/>
          <w:spacing w:val="-9"/>
          <w:sz w:val="17"/>
        </w:rPr>
        <w:t> </w:t>
      </w:r>
      <w:r>
        <w:rPr>
          <w:rFonts w:ascii="Calibri" w:hAnsi="Calibri"/>
          <w:color w:val="231F20"/>
          <w:sz w:val="17"/>
        </w:rPr>
        <w:t>und</w:t>
      </w:r>
      <w:r>
        <w:rPr>
          <w:rFonts w:ascii="Calibri" w:hAnsi="Calibri"/>
          <w:color w:val="231F20"/>
          <w:spacing w:val="-9"/>
          <w:sz w:val="17"/>
        </w:rPr>
        <w:t> </w:t>
      </w:r>
      <w:r>
        <w:rPr>
          <w:rFonts w:ascii="Calibri" w:hAnsi="Calibri"/>
          <w:color w:val="231F20"/>
          <w:sz w:val="17"/>
        </w:rPr>
        <w:t>Humblot,</w:t>
      </w:r>
      <w:r>
        <w:rPr>
          <w:rFonts w:ascii="Calibri" w:hAnsi="Calibri"/>
          <w:color w:val="231F20"/>
          <w:spacing w:val="-9"/>
          <w:sz w:val="17"/>
        </w:rPr>
        <w:t> </w:t>
      </w:r>
      <w:r>
        <w:rPr>
          <w:rFonts w:ascii="Calibri" w:hAnsi="Calibri"/>
          <w:color w:val="231F20"/>
          <w:sz w:val="17"/>
        </w:rPr>
        <w:t>1958.</w:t>
      </w:r>
    </w:p>
    <w:p>
      <w:pPr>
        <w:spacing w:line="204" w:lineRule="exact" w:before="0"/>
        <w:ind w:left="103" w:right="114" w:firstLine="0"/>
        <w:jc w:val="both"/>
        <w:rPr>
          <w:rFonts w:ascii="Calibri" w:hAnsi="Calibri"/>
          <w:sz w:val="17"/>
        </w:rPr>
      </w:pPr>
      <w:r>
        <w:rPr>
          <w:rFonts w:ascii="Calibri" w:hAnsi="Calibri"/>
          <w:color w:val="231F20"/>
          <w:position w:val="6"/>
          <w:sz w:val="10"/>
        </w:rPr>
        <w:t>34 </w:t>
      </w:r>
      <w:r>
        <w:rPr>
          <w:rFonts w:ascii="Calibri" w:hAnsi="Calibri"/>
          <w:color w:val="231F20"/>
          <w:sz w:val="17"/>
        </w:rPr>
        <w:t>P. Grossi, “Le proprietà collettive ieri, oggi, domani”, C. Bernardi, F. Brancaccio, D. Festa y B. Maria Mennini (Eds.), </w:t>
      </w:r>
      <w:r>
        <w:rPr>
          <w:rFonts w:ascii="Calibri" w:hAnsi="Calibri"/>
          <w:i/>
          <w:color w:val="231F20"/>
          <w:sz w:val="17"/>
        </w:rPr>
        <w:t>Fare spazio. Pratiche del comune e diritto alla città</w:t>
      </w:r>
      <w:r>
        <w:rPr>
          <w:rFonts w:ascii="Calibri" w:hAnsi="Calibri"/>
          <w:color w:val="231F20"/>
          <w:sz w:val="17"/>
        </w:rPr>
        <w:t>, Sesto San Giovanni, Mimesis, 2015, p. 39.</w:t>
      </w:r>
    </w:p>
    <w:p>
      <w:pPr>
        <w:spacing w:line="204" w:lineRule="exact" w:before="0"/>
        <w:ind w:left="103" w:right="115" w:firstLine="0"/>
        <w:jc w:val="both"/>
        <w:rPr>
          <w:rFonts w:ascii="Calibri" w:hAnsi="Calibri"/>
          <w:sz w:val="17"/>
        </w:rPr>
      </w:pPr>
      <w:r>
        <w:rPr>
          <w:rFonts w:ascii="Calibri" w:hAnsi="Calibri"/>
          <w:color w:val="231F20"/>
          <w:position w:val="6"/>
          <w:sz w:val="10"/>
        </w:rPr>
        <w:t>35 </w:t>
      </w:r>
      <w:r>
        <w:rPr>
          <w:rFonts w:ascii="Calibri" w:hAnsi="Calibri"/>
          <w:color w:val="231F20"/>
          <w:sz w:val="17"/>
        </w:rPr>
        <w:t>L. Cobbe, “Solidarietà in movimento. Politica, sociologia e diritto tra welfare e globalizzazione”, </w:t>
      </w:r>
      <w:r>
        <w:rPr>
          <w:rFonts w:ascii="Calibri" w:hAnsi="Calibri"/>
          <w:i/>
          <w:color w:val="231F20"/>
          <w:sz w:val="17"/>
        </w:rPr>
        <w:t>Scienza &amp; Politica, </w:t>
      </w:r>
      <w:r>
        <w:rPr>
          <w:rFonts w:ascii="Calibri" w:hAnsi="Calibri"/>
          <w:color w:val="231F20"/>
          <w:sz w:val="17"/>
        </w:rPr>
        <w:t>26, 51, 2014, pp. 3–16: que sirve como introducción a la parte monográfica del fascículo de la revista dedicado al concepto de solidaridad, disponible en: </w:t>
      </w:r>
      <w:hyperlink r:id="rId45">
        <w:r>
          <w:rPr>
            <w:rFonts w:ascii="Calibri" w:hAnsi="Calibri"/>
            <w:color w:val="231F20"/>
            <w:sz w:val="17"/>
          </w:rPr>
          <w:t>http://scienzaepolitica.</w:t>
        </w:r>
      </w:hyperlink>
      <w:r>
        <w:rPr>
          <w:rFonts w:ascii="Calibri" w:hAnsi="Calibri"/>
          <w:color w:val="231F20"/>
          <w:sz w:val="17"/>
        </w:rPr>
        <w:t> unibo.it/issue/view/470.</w:t>
      </w:r>
    </w:p>
    <w:p>
      <w:pPr>
        <w:spacing w:before="1"/>
        <w:ind w:left="103" w:right="0" w:firstLine="0"/>
        <w:jc w:val="both"/>
        <w:rPr>
          <w:rFonts w:ascii="Calibri" w:hAnsi="Calibri"/>
          <w:sz w:val="17"/>
        </w:rPr>
      </w:pPr>
      <w:r>
        <w:rPr>
          <w:rFonts w:ascii="Calibri" w:hAnsi="Calibri"/>
          <w:color w:val="231F20"/>
          <w:w w:val="105"/>
          <w:position w:val="6"/>
          <w:sz w:val="10"/>
        </w:rPr>
        <w:t>36 </w:t>
      </w:r>
      <w:r>
        <w:rPr>
          <w:rFonts w:ascii="Calibri" w:hAnsi="Calibri"/>
          <w:color w:val="231F20"/>
          <w:w w:val="105"/>
          <w:sz w:val="17"/>
        </w:rPr>
        <w:t>P. Schiera, “Da un assolutismo all’altro”, </w:t>
      </w:r>
      <w:r>
        <w:rPr>
          <w:rFonts w:ascii="Calibri" w:hAnsi="Calibri"/>
          <w:i/>
          <w:color w:val="231F20"/>
          <w:w w:val="105"/>
          <w:sz w:val="17"/>
        </w:rPr>
        <w:t>il Mulino</w:t>
      </w:r>
      <w:r>
        <w:rPr>
          <w:rFonts w:ascii="Calibri" w:hAnsi="Calibri"/>
          <w:color w:val="231F20"/>
          <w:w w:val="105"/>
          <w:sz w:val="17"/>
        </w:rPr>
        <w:t>, 224, nov–dic., 1972, pp. 1024–34.</w:t>
      </w:r>
    </w:p>
    <w:p>
      <w:pPr>
        <w:pStyle w:val="BodyText"/>
        <w:rPr>
          <w:rFonts w:ascii="Calibri"/>
          <w:sz w:val="20"/>
        </w:rPr>
      </w:pPr>
    </w:p>
    <w:p>
      <w:pPr>
        <w:pStyle w:val="BodyText"/>
        <w:spacing w:before="9"/>
        <w:rPr>
          <w:rFonts w:ascii="Calibri"/>
          <w:sz w:val="27"/>
        </w:rPr>
      </w:pPr>
    </w:p>
    <w:p>
      <w:pPr>
        <w:tabs>
          <w:tab w:pos="1331" w:val="left" w:leader="none"/>
        </w:tabs>
        <w:spacing w:before="68"/>
        <w:ind w:left="226" w:right="0" w:firstLine="0"/>
        <w:jc w:val="left"/>
        <w:rPr>
          <w:rFonts w:ascii="Calibri"/>
          <w:sz w:val="16"/>
        </w:rPr>
      </w:pPr>
      <w:r>
        <w:rPr/>
        <w:pict>
          <v:group style="position:absolute;margin-left:98.787804pt;margin-top:-3.358812pt;width:20.4pt;height:43pt;mso-position-horizontal-relative:page;mso-position-vertical-relative:paragraph;z-index:-169624"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106</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3924" w:right="0" w:firstLine="0"/>
        <w:jc w:val="left"/>
        <w:rPr>
          <w:rFonts w:ascii="Arial" w:hAnsi="Arial"/>
          <w:sz w:val="20"/>
        </w:rPr>
      </w:pPr>
      <w:r>
        <w:rPr/>
        <w:pict>
          <v:group style="position:absolute;margin-left:383.821014pt;margin-top:-25.479271pt;width:8.65pt;height:41pt;mso-position-horizontal-relative:page;mso-position-vertical-relative:paragraph;z-index:-16960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5"/>
          <w:sz w:val="14"/>
        </w:rPr>
        <w:t> </w:t>
      </w:r>
      <w:r>
        <w:rPr>
          <w:rFonts w:ascii="Lucida Sans Unicode" w:hAnsi="Lucida Sans Unicode"/>
          <w:color w:val="6D6E71"/>
          <w:sz w:val="14"/>
        </w:rPr>
        <w:t>ESTADO</w:t>
      </w:r>
      <w:r>
        <w:rPr>
          <w:rFonts w:ascii="Lucida Sans Unicode" w:hAnsi="Lucida Sans Unicode"/>
          <w:color w:val="6D6E71"/>
          <w:spacing w:val="-25"/>
          <w:sz w:val="14"/>
        </w:rPr>
        <w:t> </w:t>
      </w:r>
      <w:r>
        <w:rPr>
          <w:rFonts w:ascii="Lucida Sans Unicode" w:hAnsi="Lucida Sans Unicode"/>
          <w:color w:val="6D6E71"/>
          <w:sz w:val="14"/>
        </w:rPr>
        <w:t>MODERNO</w:t>
      </w:r>
      <w:r>
        <w:rPr>
          <w:rFonts w:ascii="Lucida Sans Unicode" w:hAnsi="Lucida Sans Unicode"/>
          <w:color w:val="6D6E71"/>
          <w:spacing w:val="-25"/>
          <w:sz w:val="14"/>
        </w:rPr>
        <w:t> </w:t>
      </w:r>
      <w:r>
        <w:rPr>
          <w:rFonts w:ascii="Lucida Sans Unicode" w:hAnsi="Lucida Sans Unicode"/>
          <w:color w:val="6D6E71"/>
          <w:sz w:val="14"/>
        </w:rPr>
        <w:t>HOY</w:t>
      </w:r>
      <w:r>
        <w:rPr>
          <w:rFonts w:ascii="Lucida Sans Unicode" w:hAnsi="Lucida Sans Unicode"/>
          <w:color w:val="6D6E71"/>
          <w:spacing w:val="-25"/>
          <w:sz w:val="14"/>
        </w:rPr>
        <w:t> </w:t>
      </w:r>
      <w:r>
        <w:rPr>
          <w:rFonts w:ascii="Lucida Sans Unicode" w:hAnsi="Lucida Sans Unicode"/>
          <w:color w:val="6D6E71"/>
          <w:sz w:val="14"/>
        </w:rPr>
        <w:t>Y</w:t>
      </w:r>
      <w:r>
        <w:rPr>
          <w:rFonts w:ascii="Lucida Sans Unicode" w:hAnsi="Lucida Sans Unicode"/>
          <w:color w:val="6D6E71"/>
          <w:spacing w:val="-25"/>
          <w:sz w:val="14"/>
        </w:rPr>
        <w:t> </w:t>
      </w:r>
      <w:r>
        <w:rPr>
          <w:rFonts w:ascii="Lucida Sans Unicode" w:hAnsi="Lucida Sans Unicode"/>
          <w:color w:val="6D6E71"/>
          <w:sz w:val="14"/>
        </w:rPr>
        <w:t>MAÑANA</w:t>
      </w:r>
      <w:r>
        <w:rPr>
          <w:rFonts w:ascii="Arial" w:hAnsi="Arial"/>
          <w:color w:val="414042"/>
          <w:position w:val="-3"/>
          <w:sz w:val="20"/>
        </w:rPr>
        <w:tab/>
        <w:t>107</w:t>
      </w:r>
    </w:p>
    <w:p>
      <w:pPr>
        <w:spacing w:line="220" w:lineRule="exact" w:before="637"/>
        <w:ind w:left="1534" w:right="101" w:firstLine="0"/>
        <w:jc w:val="both"/>
        <w:rPr>
          <w:sz w:val="19"/>
        </w:rPr>
      </w:pPr>
      <w:r>
        <w:rPr>
          <w:color w:val="231F20"/>
          <w:sz w:val="19"/>
        </w:rPr>
        <w:t>durismo, del mismo modo en que no es posible entender el cam- bio de los conceptos de ley y de Constitución al interior del Esta- do, como una prueba de restauración de los conceptos clásicos. </w:t>
      </w:r>
      <w:r>
        <w:rPr>
          <w:color w:val="231F20"/>
          <w:spacing w:val="-5"/>
          <w:sz w:val="19"/>
        </w:rPr>
        <w:t>Tanto</w:t>
      </w:r>
      <w:r>
        <w:rPr>
          <w:color w:val="231F20"/>
          <w:spacing w:val="-6"/>
          <w:sz w:val="19"/>
        </w:rPr>
        <w:t> </w:t>
      </w:r>
      <w:r>
        <w:rPr>
          <w:color w:val="231F20"/>
          <w:sz w:val="19"/>
        </w:rPr>
        <w:t>la</w:t>
      </w:r>
      <w:r>
        <w:rPr>
          <w:color w:val="231F20"/>
          <w:spacing w:val="-6"/>
          <w:sz w:val="19"/>
        </w:rPr>
        <w:t> </w:t>
      </w:r>
      <w:r>
        <w:rPr>
          <w:color w:val="231F20"/>
          <w:sz w:val="19"/>
        </w:rPr>
        <w:t>ley</w:t>
      </w:r>
      <w:r>
        <w:rPr>
          <w:color w:val="231F20"/>
          <w:spacing w:val="-6"/>
          <w:sz w:val="19"/>
        </w:rPr>
        <w:t> </w:t>
      </w:r>
      <w:r>
        <w:rPr>
          <w:color w:val="231F20"/>
          <w:sz w:val="19"/>
        </w:rPr>
        <w:t>como</w:t>
      </w:r>
      <w:r>
        <w:rPr>
          <w:color w:val="231F20"/>
          <w:spacing w:val="-6"/>
          <w:sz w:val="19"/>
        </w:rPr>
        <w:t> </w:t>
      </w:r>
      <w:r>
        <w:rPr>
          <w:color w:val="231F20"/>
          <w:sz w:val="19"/>
        </w:rPr>
        <w:t>la</w:t>
      </w:r>
      <w:r>
        <w:rPr>
          <w:color w:val="231F20"/>
          <w:spacing w:val="-6"/>
          <w:sz w:val="19"/>
        </w:rPr>
        <w:t> </w:t>
      </w:r>
      <w:r>
        <w:rPr>
          <w:color w:val="231F20"/>
          <w:sz w:val="19"/>
        </w:rPr>
        <w:t>Constitución</w:t>
      </w:r>
      <w:r>
        <w:rPr>
          <w:color w:val="231F20"/>
          <w:spacing w:val="-6"/>
          <w:sz w:val="19"/>
        </w:rPr>
        <w:t> </w:t>
      </w:r>
      <w:r>
        <w:rPr>
          <w:color w:val="231F20"/>
          <w:sz w:val="19"/>
        </w:rPr>
        <w:t>apenas</w:t>
      </w:r>
      <w:r>
        <w:rPr>
          <w:color w:val="231F20"/>
          <w:spacing w:val="-6"/>
          <w:sz w:val="19"/>
        </w:rPr>
        <w:t> </w:t>
      </w:r>
      <w:r>
        <w:rPr>
          <w:color w:val="231F20"/>
          <w:sz w:val="19"/>
        </w:rPr>
        <w:t>se</w:t>
      </w:r>
      <w:r>
        <w:rPr>
          <w:color w:val="231F20"/>
          <w:spacing w:val="-6"/>
          <w:sz w:val="19"/>
        </w:rPr>
        <w:t> </w:t>
      </w:r>
      <w:r>
        <w:rPr>
          <w:color w:val="231F20"/>
          <w:sz w:val="19"/>
        </w:rPr>
        <w:t>distinguen</w:t>
      </w:r>
      <w:r>
        <w:rPr>
          <w:color w:val="231F20"/>
          <w:spacing w:val="-6"/>
          <w:sz w:val="19"/>
        </w:rPr>
        <w:t> </w:t>
      </w:r>
      <w:r>
        <w:rPr>
          <w:color w:val="231F20"/>
          <w:sz w:val="19"/>
        </w:rPr>
        <w:t>por</w:t>
      </w:r>
      <w:r>
        <w:rPr>
          <w:color w:val="231F20"/>
          <w:spacing w:val="-6"/>
          <w:sz w:val="19"/>
        </w:rPr>
        <w:t> </w:t>
      </w:r>
      <w:r>
        <w:rPr>
          <w:color w:val="231F20"/>
          <w:sz w:val="19"/>
        </w:rPr>
        <w:t>la</w:t>
      </w:r>
      <w:r>
        <w:rPr>
          <w:color w:val="231F20"/>
          <w:spacing w:val="-6"/>
          <w:sz w:val="19"/>
        </w:rPr>
        <w:t> </w:t>
      </w:r>
      <w:r>
        <w:rPr>
          <w:color w:val="231F20"/>
          <w:sz w:val="19"/>
        </w:rPr>
        <w:t>‘me- dida’ (Maßnahme). Los Jacobinos de la Revolución francesa toda- vía estaban conscientes de la diferencia entre ley y ‘medida’: tal distinción entraba en los principios revolucionarios y era fruto de una</w:t>
      </w:r>
      <w:r>
        <w:rPr>
          <w:color w:val="231F20"/>
          <w:spacing w:val="-12"/>
          <w:sz w:val="19"/>
        </w:rPr>
        <w:t> </w:t>
      </w:r>
      <w:r>
        <w:rPr>
          <w:color w:val="231F20"/>
          <w:sz w:val="19"/>
        </w:rPr>
        <w:t>reflexión</w:t>
      </w:r>
      <w:r>
        <w:rPr>
          <w:color w:val="231F20"/>
          <w:spacing w:val="-12"/>
          <w:sz w:val="19"/>
        </w:rPr>
        <w:t> </w:t>
      </w:r>
      <w:r>
        <w:rPr>
          <w:color w:val="231F20"/>
          <w:sz w:val="19"/>
        </w:rPr>
        <w:t>racional.</w:t>
      </w:r>
      <w:r>
        <w:rPr>
          <w:color w:val="231F20"/>
          <w:spacing w:val="-12"/>
          <w:sz w:val="19"/>
        </w:rPr>
        <w:t> </w:t>
      </w:r>
      <w:r>
        <w:rPr>
          <w:color w:val="231F20"/>
          <w:sz w:val="19"/>
        </w:rPr>
        <w:t>Ésta</w:t>
      </w:r>
      <w:r>
        <w:rPr>
          <w:color w:val="231F20"/>
          <w:spacing w:val="-12"/>
          <w:sz w:val="19"/>
        </w:rPr>
        <w:t> </w:t>
      </w:r>
      <w:r>
        <w:rPr>
          <w:color w:val="231F20"/>
          <w:sz w:val="19"/>
        </w:rPr>
        <w:t>era</w:t>
      </w:r>
      <w:r>
        <w:rPr>
          <w:color w:val="231F20"/>
          <w:spacing w:val="-12"/>
          <w:sz w:val="19"/>
        </w:rPr>
        <w:t> </w:t>
      </w:r>
      <w:r>
        <w:rPr>
          <w:color w:val="231F20"/>
          <w:sz w:val="19"/>
        </w:rPr>
        <w:t>sacrosanta</w:t>
      </w:r>
      <w:r>
        <w:rPr>
          <w:color w:val="231F20"/>
          <w:spacing w:val="-12"/>
          <w:sz w:val="19"/>
        </w:rPr>
        <w:t> </w:t>
      </w:r>
      <w:r>
        <w:rPr>
          <w:color w:val="231F20"/>
          <w:sz w:val="19"/>
        </w:rPr>
        <w:t>incluso</w:t>
      </w:r>
      <w:r>
        <w:rPr>
          <w:color w:val="231F20"/>
          <w:spacing w:val="-12"/>
          <w:sz w:val="19"/>
        </w:rPr>
        <w:t> </w:t>
      </w:r>
      <w:r>
        <w:rPr>
          <w:color w:val="231F20"/>
          <w:sz w:val="19"/>
        </w:rPr>
        <w:t>para</w:t>
      </w:r>
      <w:r>
        <w:rPr>
          <w:color w:val="231F20"/>
          <w:spacing w:val="-12"/>
          <w:sz w:val="19"/>
        </w:rPr>
        <w:t> </w:t>
      </w:r>
      <w:r>
        <w:rPr>
          <w:color w:val="231F20"/>
          <w:sz w:val="19"/>
        </w:rPr>
        <w:t>un</w:t>
      </w:r>
      <w:r>
        <w:rPr>
          <w:color w:val="231F20"/>
          <w:spacing w:val="-12"/>
          <w:sz w:val="19"/>
        </w:rPr>
        <w:t> </w:t>
      </w:r>
      <w:r>
        <w:rPr>
          <w:color w:val="231F20"/>
          <w:sz w:val="19"/>
        </w:rPr>
        <w:t>hombre del </w:t>
      </w:r>
      <w:r>
        <w:rPr>
          <w:color w:val="231F20"/>
          <w:spacing w:val="-4"/>
          <w:sz w:val="19"/>
        </w:rPr>
        <w:t>terror, </w:t>
      </w:r>
      <w:r>
        <w:rPr>
          <w:color w:val="231F20"/>
          <w:sz w:val="19"/>
        </w:rPr>
        <w:t>como Robespierre, pero parece completamente aleja- da de la conciencia moderna. En la rapidez del proceso</w:t>
      </w:r>
      <w:r>
        <w:rPr>
          <w:color w:val="231F20"/>
          <w:spacing w:val="-29"/>
          <w:sz w:val="19"/>
        </w:rPr>
        <w:t> </w:t>
      </w:r>
      <w:r>
        <w:rPr>
          <w:color w:val="231F20"/>
          <w:sz w:val="19"/>
        </w:rPr>
        <w:t>científico– técnico–industrial ya no es posible distinguir entre Constitución, ley y ‘medida’, que en cambio simplemente se transformaron en otros tantos métodos de una permanente transmutación de los valores. De esta forma surge el moderno fenómeno de la revolu- ción legal, que es presentada como el vehículo inesperadamente adecuado de la</w:t>
      </w:r>
      <w:r>
        <w:rPr>
          <w:color w:val="231F20"/>
          <w:spacing w:val="29"/>
          <w:sz w:val="19"/>
        </w:rPr>
        <w:t> </w:t>
      </w:r>
      <w:r>
        <w:rPr>
          <w:color w:val="231F20"/>
          <w:sz w:val="19"/>
        </w:rPr>
        <w:t>revolución</w:t>
      </w:r>
      <w:r>
        <w:rPr>
          <w:color w:val="231F20"/>
          <w:position w:val="6"/>
          <w:sz w:val="11"/>
        </w:rPr>
        <w:t>37</w:t>
      </w:r>
      <w:r>
        <w:rPr>
          <w:color w:val="231F20"/>
          <w:sz w:val="19"/>
        </w:rPr>
        <w:t>.</w:t>
      </w:r>
    </w:p>
    <w:p>
      <w:pPr>
        <w:pStyle w:val="BodyText"/>
        <w:spacing w:line="247" w:lineRule="auto" w:before="289"/>
        <w:ind w:left="117" w:right="101"/>
        <w:jc w:val="both"/>
      </w:pPr>
      <w:r>
        <w:rPr>
          <w:color w:val="231F20"/>
        </w:rPr>
        <w:t>Aunque lo haya traducido yo, no todo me queda claro en este pasaje, ex- cepto la evidencia del llamado a la “medida” como dispositivo degradan- te del fenómeno “Derecho” en la acepción constitucional–positiva que ha determinado la larga persistencia del absolutismo jurídico. La medida es, en efecto, por lo general, “administrativa” y es de todas maneras consi- derada </w:t>
      </w:r>
      <w:r>
        <w:rPr>
          <w:rFonts w:ascii="Arial" w:hAnsi="Arial"/>
          <w:i/>
          <w:color w:val="231F20"/>
        </w:rPr>
        <w:t>via brevis </w:t>
      </w:r>
      <w:r>
        <w:rPr>
          <w:color w:val="231F20"/>
        </w:rPr>
        <w:t>y más bien oficiosa que oficial para imponer comporta- mientos sancionables a los sujetos–ciudadanos. ¿Pero se tratará de una deplorable devaluación del aura jurídica o de un inevitable incremento de la</w:t>
      </w:r>
      <w:r>
        <w:rPr>
          <w:color w:val="231F20"/>
          <w:spacing w:val="-6"/>
        </w:rPr>
        <w:t> </w:t>
      </w:r>
      <w:r>
        <w:rPr>
          <w:color w:val="231F20"/>
        </w:rPr>
        <w:t>función</w:t>
      </w:r>
      <w:r>
        <w:rPr>
          <w:color w:val="231F20"/>
          <w:spacing w:val="-6"/>
        </w:rPr>
        <w:t> </w:t>
      </w:r>
      <w:r>
        <w:rPr>
          <w:color w:val="231F20"/>
        </w:rPr>
        <w:t>administrativa</w:t>
      </w:r>
      <w:r>
        <w:rPr>
          <w:color w:val="231F20"/>
          <w:spacing w:val="-6"/>
        </w:rPr>
        <w:t> </w:t>
      </w:r>
      <w:r>
        <w:rPr>
          <w:color w:val="231F20"/>
        </w:rPr>
        <w:t>a</w:t>
      </w:r>
      <w:r>
        <w:rPr>
          <w:color w:val="231F20"/>
          <w:spacing w:val="-6"/>
        </w:rPr>
        <w:t> </w:t>
      </w:r>
      <w:r>
        <w:rPr>
          <w:color w:val="231F20"/>
        </w:rPr>
        <w:t>niveles</w:t>
      </w:r>
      <w:r>
        <w:rPr>
          <w:color w:val="231F20"/>
          <w:spacing w:val="-6"/>
        </w:rPr>
        <w:t> </w:t>
      </w:r>
      <w:r>
        <w:rPr>
          <w:color w:val="231F20"/>
        </w:rPr>
        <w:t>que</w:t>
      </w:r>
      <w:r>
        <w:rPr>
          <w:color w:val="231F20"/>
          <w:spacing w:val="-6"/>
        </w:rPr>
        <w:t> </w:t>
      </w:r>
      <w:r>
        <w:rPr>
          <w:color w:val="231F20"/>
        </w:rPr>
        <w:t>un</w:t>
      </w:r>
      <w:r>
        <w:rPr>
          <w:color w:val="231F20"/>
          <w:spacing w:val="-6"/>
        </w:rPr>
        <w:t> </w:t>
      </w:r>
      <w:r>
        <w:rPr>
          <w:color w:val="231F20"/>
        </w:rPr>
        <w:t>tiempo</w:t>
      </w:r>
      <w:r>
        <w:rPr>
          <w:color w:val="231F20"/>
          <w:spacing w:val="-6"/>
        </w:rPr>
        <w:t> </w:t>
      </w:r>
      <w:r>
        <w:rPr>
          <w:color w:val="231F20"/>
        </w:rPr>
        <w:t>eran</w:t>
      </w:r>
      <w:r>
        <w:rPr>
          <w:color w:val="231F20"/>
          <w:spacing w:val="-6"/>
        </w:rPr>
        <w:t> </w:t>
      </w:r>
      <w:r>
        <w:rPr>
          <w:color w:val="231F20"/>
        </w:rPr>
        <w:t>exclusivos</w:t>
      </w:r>
      <w:r>
        <w:rPr>
          <w:color w:val="231F20"/>
          <w:spacing w:val="-6"/>
        </w:rPr>
        <w:t> </w:t>
      </w:r>
      <w:r>
        <w:rPr>
          <w:color w:val="231F20"/>
        </w:rPr>
        <w:t>del</w:t>
      </w:r>
      <w:r>
        <w:rPr>
          <w:color w:val="231F20"/>
          <w:spacing w:val="-6"/>
        </w:rPr>
        <w:t> </w:t>
      </w:r>
      <w:r>
        <w:rPr>
          <w:color w:val="231F20"/>
        </w:rPr>
        <w:t>poder legislativo?</w:t>
      </w:r>
      <w:r>
        <w:rPr>
          <w:color w:val="231F20"/>
          <w:spacing w:val="-8"/>
        </w:rPr>
        <w:t> </w:t>
      </w:r>
      <w:r>
        <w:rPr>
          <w:color w:val="231F20"/>
        </w:rPr>
        <w:t>No</w:t>
      </w:r>
      <w:r>
        <w:rPr>
          <w:color w:val="231F20"/>
          <w:spacing w:val="-8"/>
        </w:rPr>
        <w:t> </w:t>
      </w:r>
      <w:r>
        <w:rPr>
          <w:color w:val="231F20"/>
        </w:rPr>
        <w:t>sabría</w:t>
      </w:r>
      <w:r>
        <w:rPr>
          <w:color w:val="231F20"/>
          <w:spacing w:val="-8"/>
        </w:rPr>
        <w:t> </w:t>
      </w:r>
      <w:r>
        <w:rPr>
          <w:color w:val="231F20"/>
        </w:rPr>
        <w:t>responder</w:t>
      </w:r>
      <w:r>
        <w:rPr>
          <w:color w:val="231F20"/>
          <w:spacing w:val="-8"/>
        </w:rPr>
        <w:t> </w:t>
      </w:r>
      <w:r>
        <w:rPr>
          <w:color w:val="231F20"/>
        </w:rPr>
        <w:t>a</w:t>
      </w:r>
      <w:r>
        <w:rPr>
          <w:color w:val="231F20"/>
          <w:spacing w:val="-8"/>
        </w:rPr>
        <w:t> </w:t>
      </w:r>
      <w:r>
        <w:rPr>
          <w:color w:val="231F20"/>
        </w:rPr>
        <w:t>esta</w:t>
      </w:r>
      <w:r>
        <w:rPr>
          <w:color w:val="231F20"/>
          <w:spacing w:val="-8"/>
        </w:rPr>
        <w:t> </w:t>
      </w:r>
      <w:r>
        <w:rPr>
          <w:color w:val="231F20"/>
        </w:rPr>
        <w:t>pregunta,</w:t>
      </w:r>
      <w:r>
        <w:rPr>
          <w:color w:val="231F20"/>
          <w:spacing w:val="-8"/>
        </w:rPr>
        <w:t> </w:t>
      </w:r>
      <w:r>
        <w:rPr>
          <w:color w:val="231F20"/>
        </w:rPr>
        <w:t>pero</w:t>
      </w:r>
      <w:r>
        <w:rPr>
          <w:color w:val="231F20"/>
          <w:spacing w:val="-8"/>
        </w:rPr>
        <w:t> </w:t>
      </w:r>
      <w:r>
        <w:rPr>
          <w:color w:val="231F20"/>
        </w:rPr>
        <w:t>me</w:t>
      </w:r>
      <w:r>
        <w:rPr>
          <w:color w:val="231F20"/>
          <w:spacing w:val="-8"/>
        </w:rPr>
        <w:t> </w:t>
      </w:r>
      <w:r>
        <w:rPr>
          <w:color w:val="231F20"/>
        </w:rPr>
        <w:t>induce</w:t>
      </w:r>
      <w:r>
        <w:rPr>
          <w:color w:val="231F20"/>
          <w:spacing w:val="-8"/>
        </w:rPr>
        <w:t> </w:t>
      </w:r>
      <w:r>
        <w:rPr>
          <w:color w:val="231F20"/>
        </w:rPr>
        <w:t>a</w:t>
      </w:r>
      <w:r>
        <w:rPr>
          <w:color w:val="231F20"/>
          <w:spacing w:val="-8"/>
        </w:rPr>
        <w:t> </w:t>
      </w:r>
      <w:r>
        <w:rPr>
          <w:color w:val="231F20"/>
        </w:rPr>
        <w:t>atender otros aspectos de la vida estatal que han surgido precisamente en conco- mitancia —y en aparente contradicción— con el triunfo jurídico del Estado y de la </w:t>
      </w:r>
      <w:r>
        <w:rPr>
          <w:rFonts w:ascii="Arial" w:hAnsi="Arial"/>
          <w:i/>
          <w:color w:val="231F20"/>
        </w:rPr>
        <w:t>rule of law </w:t>
      </w:r>
      <w:r>
        <w:rPr>
          <w:color w:val="231F20"/>
        </w:rPr>
        <w:t>de la última parte del siglo </w:t>
      </w:r>
      <w:r>
        <w:rPr>
          <w:color w:val="231F20"/>
          <w:sz w:val="18"/>
        </w:rPr>
        <w:t>XIX</w:t>
      </w:r>
      <w:r>
        <w:rPr>
          <w:color w:val="231F20"/>
        </w:rPr>
        <w:t>, a partir de la legislación por decreto y hasta la expansión de la justicia administrativa. Si la voca- ción jurídica del Estado contemporáneo se mueve hacia la administración, todo está bien. Basta que no se limite a un mero maquillaje del Derecho administrativo y de su débil dogmática en clave genéricamente represen- tativa y/o globalizante. Stefano Cognetti ha publicado recientemente un libro que está, no irónicamente, dedicado “A los nostálgicos del futuro”.  Es difícil resumirlo aquí, pero es muy invitante la insistencia sobre el tema de la “discrecionalidad administrativa” respecto a la “indeterminación de  la norma”, incluso en el ámbito consistente del “principio de legalidad”. Además, no puede no abrir el corazón y la mente el título del capítulo     </w:t>
      </w:r>
      <w:r>
        <w:rPr>
          <w:color w:val="231F20"/>
          <w:sz w:val="18"/>
        </w:rPr>
        <w:t>V</w:t>
      </w:r>
      <w:r>
        <w:rPr>
          <w:color w:val="231F20"/>
        </w:rPr>
        <w:t>: “Última etapa evolutiva del poder administrativo. Relación entre valor del</w:t>
      </w:r>
      <w:r>
        <w:rPr>
          <w:color w:val="231F20"/>
          <w:spacing w:val="29"/>
        </w:rPr>
        <w:t> </w:t>
      </w:r>
      <w:r>
        <w:rPr>
          <w:color w:val="231F20"/>
        </w:rPr>
        <w:t>individuo</w:t>
      </w:r>
      <w:r>
        <w:rPr>
          <w:color w:val="231F20"/>
          <w:spacing w:val="29"/>
        </w:rPr>
        <w:t> </w:t>
      </w:r>
      <w:r>
        <w:rPr>
          <w:color w:val="231F20"/>
        </w:rPr>
        <w:t>y</w:t>
      </w:r>
      <w:r>
        <w:rPr>
          <w:color w:val="231F20"/>
          <w:spacing w:val="29"/>
        </w:rPr>
        <w:t> </w:t>
      </w:r>
      <w:r>
        <w:rPr>
          <w:color w:val="231F20"/>
        </w:rPr>
        <w:t>valor</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colectividad</w:t>
      </w:r>
      <w:r>
        <w:rPr>
          <w:color w:val="231F20"/>
          <w:spacing w:val="29"/>
        </w:rPr>
        <w:t> </w:t>
      </w:r>
      <w:r>
        <w:rPr>
          <w:color w:val="231F20"/>
        </w:rPr>
        <w:t>en</w:t>
      </w:r>
      <w:r>
        <w:rPr>
          <w:color w:val="231F20"/>
          <w:spacing w:val="29"/>
        </w:rPr>
        <w:t> </w:t>
      </w:r>
      <w:r>
        <w:rPr>
          <w:color w:val="231F20"/>
        </w:rPr>
        <w:t>términos</w:t>
      </w:r>
      <w:r>
        <w:rPr>
          <w:color w:val="231F20"/>
          <w:spacing w:val="29"/>
        </w:rPr>
        <w:t> </w:t>
      </w:r>
      <w:r>
        <w:rPr>
          <w:color w:val="231F20"/>
        </w:rPr>
        <w:t>de</w:t>
      </w:r>
      <w:r>
        <w:rPr>
          <w:color w:val="231F20"/>
          <w:spacing w:val="29"/>
        </w:rPr>
        <w:t> </w:t>
      </w:r>
      <w:r>
        <w:rPr>
          <w:color w:val="231F20"/>
        </w:rPr>
        <w:t>proporción”</w:t>
      </w:r>
      <w:r>
        <w:rPr>
          <w:color w:val="231F20"/>
          <w:position w:val="7"/>
          <w:sz w:val="12"/>
        </w:rPr>
        <w:t>38</w:t>
      </w:r>
      <w:r>
        <w:rPr>
          <w:color w:val="231F20"/>
        </w:rPr>
        <w:t>.</w:t>
      </w:r>
      <w:r>
        <w:rPr>
          <w:color w:val="231F20"/>
          <w:spacing w:val="29"/>
        </w:rPr>
        <w:t> </w:t>
      </w:r>
      <w:r>
        <w:rPr>
          <w:color w:val="231F20"/>
        </w:rPr>
        <w:t>La</w:t>
      </w:r>
    </w:p>
    <w:p>
      <w:pPr>
        <w:spacing w:line="206" w:lineRule="exact" w:before="365"/>
        <w:ind w:left="117" w:right="0" w:firstLine="0"/>
        <w:jc w:val="left"/>
        <w:rPr>
          <w:rFonts w:ascii="Calibri" w:hAnsi="Calibri"/>
          <w:sz w:val="17"/>
        </w:rPr>
      </w:pPr>
      <w:r>
        <w:rPr/>
        <w:pict>
          <v:line style="position:absolute;mso-position-horizontal-relative:page;mso-position-vertical-relative:paragraph;z-index:5824" from="70.866096pt,16.143263pt" to="184.252096pt,16.143263pt" stroked="true" strokeweight=".3pt" strokecolor="#231f20">
            <w10:wrap type="none"/>
          </v:line>
        </w:pict>
      </w:r>
      <w:r>
        <w:rPr>
          <w:rFonts w:ascii="Calibri" w:hAnsi="Calibri"/>
          <w:color w:val="231F20"/>
          <w:position w:val="6"/>
          <w:sz w:val="10"/>
        </w:rPr>
        <w:t>37 </w:t>
      </w:r>
      <w:r>
        <w:rPr>
          <w:rFonts w:ascii="Calibri" w:hAnsi="Calibri"/>
          <w:color w:val="231F20"/>
          <w:sz w:val="17"/>
        </w:rPr>
        <w:t>C. Schmitt, </w:t>
      </w:r>
      <w:r>
        <w:rPr>
          <w:rFonts w:ascii="Calibri" w:hAnsi="Calibri"/>
          <w:i/>
          <w:color w:val="231F20"/>
          <w:sz w:val="17"/>
        </w:rPr>
        <w:t>Le categorie del ‘politico’</w:t>
      </w:r>
      <w:r>
        <w:rPr>
          <w:rFonts w:ascii="Calibri" w:hAnsi="Calibri"/>
          <w:color w:val="231F20"/>
          <w:sz w:val="17"/>
        </w:rPr>
        <w:t>, Bologna, il Mulino, 1972, p. 22.</w:t>
      </w:r>
    </w:p>
    <w:p>
      <w:pPr>
        <w:spacing w:line="206" w:lineRule="exact" w:before="0"/>
        <w:ind w:left="117" w:right="0" w:firstLine="0"/>
        <w:jc w:val="left"/>
        <w:rPr>
          <w:rFonts w:ascii="Calibri" w:hAnsi="Calibri"/>
          <w:sz w:val="17"/>
        </w:rPr>
      </w:pPr>
      <w:r>
        <w:rPr>
          <w:rFonts w:ascii="Calibri" w:hAnsi="Calibri"/>
          <w:color w:val="231F20"/>
          <w:position w:val="6"/>
          <w:sz w:val="10"/>
        </w:rPr>
        <w:t>38 </w:t>
      </w:r>
      <w:r>
        <w:rPr>
          <w:rFonts w:ascii="Calibri" w:hAnsi="Calibri"/>
          <w:color w:val="231F20"/>
          <w:sz w:val="17"/>
        </w:rPr>
        <w:t>S. Cognetti, </w:t>
      </w:r>
      <w:r>
        <w:rPr>
          <w:rFonts w:ascii="Calibri" w:hAnsi="Calibri"/>
          <w:i/>
          <w:color w:val="231F20"/>
          <w:sz w:val="17"/>
        </w:rPr>
        <w:t>Legge amministrazione giudice. Potere amministrativo fra storia e attualità</w:t>
      </w:r>
      <w:r>
        <w:rPr>
          <w:rFonts w:ascii="Calibri" w:hAnsi="Calibri"/>
          <w:color w:val="231F20"/>
          <w:sz w:val="17"/>
        </w:rPr>
        <w:t>, Torino,</w:t>
      </w:r>
    </w:p>
    <w:p>
      <w:pPr>
        <w:spacing w:after="0" w:line="206" w:lineRule="exact"/>
        <w:jc w:val="left"/>
        <w:rPr>
          <w:rFonts w:ascii="Calibri" w:hAnsi="Calibri"/>
          <w:sz w:val="17"/>
        </w:rPr>
        <w:sectPr>
          <w:pgSz w:w="9640" w:h="13890"/>
          <w:pgMar w:top="0" w:bottom="280" w:left="1300" w:right="1200"/>
        </w:sectPr>
      </w:pPr>
    </w:p>
    <w:p>
      <w:pPr>
        <w:pStyle w:val="BodyText"/>
        <w:spacing w:line="247" w:lineRule="auto" w:before="107"/>
        <w:ind w:left="103" w:right="115"/>
        <w:jc w:val="both"/>
      </w:pPr>
      <w:r>
        <w:rPr>
          <w:color w:val="231F20"/>
        </w:rPr>
        <w:t>proporción se nutre también de razón y apunta a la equidad: es buen aus- picio que “discursos” de este género puedan tener espacio también en la dogmática jurídica. Si esto corresponde o no a una definitiva</w:t>
      </w:r>
      <w:r>
        <w:rPr>
          <w:color w:val="231F20"/>
          <w:spacing w:val="-22"/>
        </w:rPr>
        <w:t> </w:t>
      </w:r>
      <w:r>
        <w:rPr>
          <w:color w:val="231F20"/>
        </w:rPr>
        <w:t>degeneración del Derecho como hemos aprendido a conocerlo durante los últimos dos siglos o si se puede representar un modelo ulterior del espiral histórico  que ha acompañado la historia política y constitucional del Occidente por más de dos milenios, no lo sabría. A mí todo esto me ha sugerido poner más atención en la categoría de la “medida”, como relación necesaria del hombre con el Estado, pero también con el mundo conocible y sobre todo, consigo</w:t>
      </w:r>
      <w:r>
        <w:rPr>
          <w:color w:val="231F20"/>
          <w:spacing w:val="28"/>
        </w:rPr>
        <w:t> </w:t>
      </w:r>
      <w:r>
        <w:rPr>
          <w:color w:val="231F20"/>
        </w:rPr>
        <w:t>mismo.</w:t>
      </w:r>
    </w:p>
    <w:p>
      <w:pPr>
        <w:pStyle w:val="BodyText"/>
        <w:spacing w:line="247" w:lineRule="auto"/>
        <w:ind w:left="103" w:right="114" w:firstLine="566"/>
        <w:jc w:val="both"/>
      </w:pPr>
      <w:r>
        <w:rPr>
          <w:color w:val="231F20"/>
        </w:rPr>
        <w:t>Es en este sentido que quisiera regresar al tema del federalismo que había hecho a un lado por un momento. Libertad–disciplina–constitu- ción–federalismo son, —si no me equivoco— la línea propuesta por Giu- seppe Duso. ¿Cómo reaccionar a las necesidades causadas por la primera experiencia política y constitucional postestatal, que es la de una sociedad global, sino trazando nuevas líneas horizontales de relación entre grupos  y centros de interés ubicados en lugares/sitios diferentes pero ligados por destinos comunes? La solución democrática, representativa pero vertical, no responde a la necesidad, obligada como está, todavía, por formalismos jurídicos que van de la más concreta práctica administrativa a la más abs- tracta previsión de derechos universales. La solución federativa que</w:t>
      </w:r>
      <w:r>
        <w:rPr>
          <w:color w:val="231F20"/>
          <w:spacing w:val="-42"/>
        </w:rPr>
        <w:t> </w:t>
      </w:r>
      <w:r>
        <w:rPr>
          <w:color w:val="231F20"/>
        </w:rPr>
        <w:t>propo- ne</w:t>
      </w:r>
      <w:r>
        <w:rPr>
          <w:color w:val="231F20"/>
          <w:spacing w:val="-4"/>
        </w:rPr>
        <w:t> </w:t>
      </w:r>
      <w:r>
        <w:rPr>
          <w:color w:val="231F20"/>
        </w:rPr>
        <w:t>Duso</w:t>
      </w:r>
      <w:r>
        <w:rPr>
          <w:color w:val="231F20"/>
          <w:spacing w:val="-4"/>
        </w:rPr>
        <w:t> </w:t>
      </w:r>
      <w:r>
        <w:rPr>
          <w:color w:val="231F20"/>
        </w:rPr>
        <w:t>—y</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cual</w:t>
      </w:r>
      <w:r>
        <w:rPr>
          <w:color w:val="231F20"/>
          <w:spacing w:val="-4"/>
        </w:rPr>
        <w:t> </w:t>
      </w:r>
      <w:r>
        <w:rPr>
          <w:color w:val="231F20"/>
        </w:rPr>
        <w:t>creo</w:t>
      </w:r>
      <w:r>
        <w:rPr>
          <w:color w:val="231F20"/>
          <w:spacing w:val="-4"/>
        </w:rPr>
        <w:t> </w:t>
      </w:r>
      <w:r>
        <w:rPr>
          <w:color w:val="231F20"/>
        </w:rPr>
        <w:t>fuertemente</w:t>
      </w:r>
      <w:r>
        <w:rPr>
          <w:color w:val="231F20"/>
          <w:spacing w:val="-4"/>
        </w:rPr>
        <w:t> </w:t>
      </w:r>
      <w:r>
        <w:rPr>
          <w:color w:val="231F20"/>
        </w:rPr>
        <w:t>que</w:t>
      </w:r>
      <w:r>
        <w:rPr>
          <w:color w:val="231F20"/>
          <w:spacing w:val="-4"/>
        </w:rPr>
        <w:t> </w:t>
      </w:r>
      <w:r>
        <w:rPr>
          <w:color w:val="231F20"/>
        </w:rPr>
        <w:t>también</w:t>
      </w:r>
      <w:r>
        <w:rPr>
          <w:color w:val="231F20"/>
          <w:spacing w:val="-4"/>
        </w:rPr>
        <w:t> </w:t>
      </w:r>
      <w:r>
        <w:rPr>
          <w:color w:val="231F20"/>
        </w:rPr>
        <w:t>me</w:t>
      </w:r>
      <w:r>
        <w:rPr>
          <w:color w:val="231F20"/>
          <w:spacing w:val="-4"/>
        </w:rPr>
        <w:t> </w:t>
      </w:r>
      <w:r>
        <w:rPr>
          <w:color w:val="231F20"/>
        </w:rPr>
        <w:t>uniré—</w:t>
      </w:r>
      <w:r>
        <w:rPr>
          <w:color w:val="231F20"/>
          <w:spacing w:val="-4"/>
        </w:rPr>
        <w:t> </w:t>
      </w:r>
      <w:r>
        <w:rPr>
          <w:color w:val="231F20"/>
        </w:rPr>
        <w:t>no</w:t>
      </w:r>
      <w:r>
        <w:rPr>
          <w:color w:val="231F20"/>
          <w:spacing w:val="-4"/>
        </w:rPr>
        <w:t> </w:t>
      </w:r>
      <w:r>
        <w:rPr>
          <w:color w:val="231F20"/>
        </w:rPr>
        <w:t>es</w:t>
      </w:r>
      <w:r>
        <w:rPr>
          <w:color w:val="231F20"/>
          <w:spacing w:val="-4"/>
        </w:rPr>
        <w:t> </w:t>
      </w:r>
      <w:r>
        <w:rPr>
          <w:color w:val="231F20"/>
          <w:spacing w:val="-3"/>
        </w:rPr>
        <w:t>cier- </w:t>
      </w:r>
      <w:r>
        <w:rPr>
          <w:color w:val="231F20"/>
        </w:rPr>
        <w:t>tamente antidemocrática, sino tal vez postdemocrática, en el sentido que apunta a sustituir la (jurídicamente) necesaria verticalidad de la tradición estatal, mediante una consideración plural del “federalismo”, entendido “no en términos meramente estructurales, sino privilegiando la dimensión procesal”</w:t>
      </w:r>
      <w:r>
        <w:rPr>
          <w:color w:val="231F20"/>
          <w:position w:val="7"/>
          <w:sz w:val="12"/>
        </w:rPr>
        <w:t>39</w:t>
      </w:r>
      <w:r>
        <w:rPr>
          <w:color w:val="231F20"/>
        </w:rPr>
        <w:t>. Decir más es difícil, pero es necesario agregar que ese federa- lismo supera ya sea la dimensión internacional que la constitucional —am- bas</w:t>
      </w:r>
      <w:r>
        <w:rPr>
          <w:color w:val="231F20"/>
          <w:spacing w:val="-5"/>
        </w:rPr>
        <w:t> </w:t>
      </w:r>
      <w:r>
        <w:rPr>
          <w:color w:val="231F20"/>
        </w:rPr>
        <w:t>todavía</w:t>
      </w:r>
      <w:r>
        <w:rPr>
          <w:color w:val="231F20"/>
          <w:spacing w:val="-5"/>
        </w:rPr>
        <w:t> </w:t>
      </w:r>
      <w:r>
        <w:rPr>
          <w:color w:val="231F20"/>
        </w:rPr>
        <w:t>sujetas</w:t>
      </w:r>
      <w:r>
        <w:rPr>
          <w:color w:val="231F20"/>
          <w:spacing w:val="-4"/>
        </w:rPr>
        <w:t> </w:t>
      </w:r>
      <w:r>
        <w:rPr>
          <w:color w:val="231F20"/>
        </w:rPr>
        <w:t>a</w:t>
      </w:r>
      <w:r>
        <w:rPr>
          <w:color w:val="231F20"/>
          <w:spacing w:val="-5"/>
        </w:rPr>
        <w:t> </w:t>
      </w:r>
      <w:r>
        <w:rPr>
          <w:color w:val="231F20"/>
        </w:rPr>
        <w:t>la</w:t>
      </w:r>
      <w:r>
        <w:rPr>
          <w:color w:val="231F20"/>
          <w:spacing w:val="-4"/>
        </w:rPr>
        <w:t> </w:t>
      </w:r>
      <w:r>
        <w:rPr>
          <w:color w:val="231F20"/>
        </w:rPr>
        <w:t>dogmática</w:t>
      </w:r>
      <w:r>
        <w:rPr>
          <w:color w:val="231F20"/>
          <w:spacing w:val="-5"/>
        </w:rPr>
        <w:t> </w:t>
      </w:r>
      <w:r>
        <w:rPr>
          <w:color w:val="231F20"/>
        </w:rPr>
        <w:t>jurídica—</w:t>
      </w:r>
      <w:r>
        <w:rPr>
          <w:color w:val="231F20"/>
          <w:spacing w:val="-5"/>
        </w:rPr>
        <w:t> </w:t>
      </w:r>
      <w:r>
        <w:rPr>
          <w:color w:val="231F20"/>
        </w:rPr>
        <w:t>para</w:t>
      </w:r>
      <w:r>
        <w:rPr>
          <w:color w:val="231F20"/>
          <w:spacing w:val="-5"/>
        </w:rPr>
        <w:t> </w:t>
      </w:r>
      <w:r>
        <w:rPr>
          <w:color w:val="231F20"/>
        </w:rPr>
        <w:t>unirse</w:t>
      </w:r>
      <w:r>
        <w:rPr>
          <w:color w:val="231F20"/>
          <w:spacing w:val="-4"/>
        </w:rPr>
        <w:t> </w:t>
      </w:r>
      <w:r>
        <w:rPr>
          <w:color w:val="231F20"/>
        </w:rPr>
        <w:t>a</w:t>
      </w:r>
      <w:r>
        <w:rPr>
          <w:color w:val="231F20"/>
          <w:spacing w:val="-5"/>
        </w:rPr>
        <w:t> </w:t>
      </w:r>
      <w:r>
        <w:rPr>
          <w:color w:val="231F20"/>
        </w:rPr>
        <w:t>lo</w:t>
      </w:r>
      <w:r>
        <w:rPr>
          <w:color w:val="231F20"/>
          <w:spacing w:val="-4"/>
        </w:rPr>
        <w:t> </w:t>
      </w:r>
      <w:r>
        <w:rPr>
          <w:color w:val="231F20"/>
        </w:rPr>
        <w:t>social</w:t>
      </w:r>
      <w:r>
        <w:rPr>
          <w:color w:val="231F20"/>
          <w:spacing w:val="-4"/>
        </w:rPr>
        <w:t> </w:t>
      </w:r>
      <w:r>
        <w:rPr>
          <w:color w:val="231F20"/>
        </w:rPr>
        <w:t>y</w:t>
      </w:r>
      <w:r>
        <w:rPr>
          <w:color w:val="231F20"/>
          <w:spacing w:val="-5"/>
        </w:rPr>
        <w:t> </w:t>
      </w:r>
      <w:r>
        <w:rPr>
          <w:color w:val="231F20"/>
        </w:rPr>
        <w:t>sobre todo a lo administrativo, uniéndose a las potencialidades no sólo teóricas sino prácticas del otro gran </w:t>
      </w:r>
      <w:r>
        <w:rPr>
          <w:color w:val="231F20"/>
          <w:spacing w:val="-3"/>
        </w:rPr>
        <w:t>principio </w:t>
      </w:r>
      <w:r>
        <w:rPr>
          <w:color w:val="231F20"/>
        </w:rPr>
        <w:t>que la </w:t>
      </w:r>
      <w:r>
        <w:rPr>
          <w:color w:val="231F20"/>
          <w:spacing w:val="-3"/>
        </w:rPr>
        <w:t>experiencia histórica </w:t>
      </w:r>
      <w:r>
        <w:rPr>
          <w:color w:val="231F20"/>
        </w:rPr>
        <w:t>del </w:t>
      </w:r>
      <w:r>
        <w:rPr>
          <w:color w:val="231F20"/>
          <w:spacing w:val="-3"/>
        </w:rPr>
        <w:t>Estado moderno </w:t>
      </w:r>
      <w:r>
        <w:rPr>
          <w:color w:val="231F20"/>
        </w:rPr>
        <w:t>ha </w:t>
      </w:r>
      <w:r>
        <w:rPr>
          <w:color w:val="231F20"/>
          <w:spacing w:val="-3"/>
        </w:rPr>
        <w:t>apartado, </w:t>
      </w:r>
      <w:r>
        <w:rPr>
          <w:color w:val="231F20"/>
        </w:rPr>
        <w:t>que es la autonomía, a su vez vehículo imprescindi- ble de</w:t>
      </w:r>
      <w:r>
        <w:rPr>
          <w:color w:val="231F20"/>
          <w:spacing w:val="48"/>
        </w:rPr>
        <w:t> </w:t>
      </w:r>
      <w:r>
        <w:rPr>
          <w:color w:val="231F20"/>
        </w:rPr>
        <w:t>participación.</w:t>
      </w:r>
    </w:p>
    <w:p>
      <w:pPr>
        <w:pStyle w:val="BodyText"/>
        <w:spacing w:line="247" w:lineRule="auto"/>
        <w:ind w:left="103" w:right="115" w:firstLine="566"/>
        <w:jc w:val="both"/>
      </w:pPr>
      <w:r>
        <w:rPr>
          <w:color w:val="231F20"/>
        </w:rPr>
        <w:t>El gobierno está antes que el Estado, que ha sido simplemente el cascarón (al inicio absoluto, después constitucional) en los últimos cuatro o cinco siglos. Si el gobierno permanece vertical no escapará a un destino de servidumbre, que involucra ya sea a los destinatarios del poder que a los mismos que lo ejercen: quien manda en efecto debe adecuarse ya sea a</w:t>
      </w:r>
      <w:r>
        <w:rPr>
          <w:color w:val="231F20"/>
          <w:spacing w:val="-7"/>
        </w:rPr>
        <w:t> </w:t>
      </w:r>
      <w:r>
        <w:rPr>
          <w:color w:val="231F20"/>
        </w:rPr>
        <w:t>los</w:t>
      </w:r>
      <w:r>
        <w:rPr>
          <w:color w:val="231F20"/>
          <w:spacing w:val="-7"/>
        </w:rPr>
        <w:t> </w:t>
      </w:r>
      <w:r>
        <w:rPr>
          <w:color w:val="231F20"/>
        </w:rPr>
        <w:t>inferiores</w:t>
      </w:r>
      <w:r>
        <w:rPr>
          <w:color w:val="231F20"/>
          <w:spacing w:val="-7"/>
        </w:rPr>
        <w:t> </w:t>
      </w:r>
      <w:r>
        <w:rPr>
          <w:color w:val="231F20"/>
        </w:rPr>
        <w:t>(“más</w:t>
      </w:r>
      <w:r>
        <w:rPr>
          <w:color w:val="231F20"/>
          <w:spacing w:val="-7"/>
        </w:rPr>
        <w:t> </w:t>
      </w:r>
      <w:r>
        <w:rPr>
          <w:color w:val="231F20"/>
        </w:rPr>
        <w:t>bajos</w:t>
      </w:r>
      <w:r>
        <w:rPr>
          <w:color w:val="231F20"/>
          <w:spacing w:val="-7"/>
        </w:rPr>
        <w:t> </w:t>
      </w:r>
      <w:r>
        <w:rPr>
          <w:color w:val="231F20"/>
        </w:rPr>
        <w:t>que</w:t>
      </w:r>
      <w:r>
        <w:rPr>
          <w:color w:val="231F20"/>
          <w:spacing w:val="-7"/>
        </w:rPr>
        <w:t> </w:t>
      </w:r>
      <w:r>
        <w:rPr>
          <w:color w:val="231F20"/>
        </w:rPr>
        <w:t>tú”)</w:t>
      </w:r>
      <w:r>
        <w:rPr>
          <w:color w:val="231F20"/>
          <w:spacing w:val="-7"/>
        </w:rPr>
        <w:t> </w:t>
      </w:r>
      <w:r>
        <w:rPr>
          <w:color w:val="231F20"/>
        </w:rPr>
        <w:t>que</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superiores</w:t>
      </w:r>
      <w:r>
        <w:rPr>
          <w:color w:val="231F20"/>
          <w:spacing w:val="-7"/>
        </w:rPr>
        <w:t> </w:t>
      </w:r>
      <w:r>
        <w:rPr>
          <w:color w:val="231F20"/>
        </w:rPr>
        <w:t>(“mayores”):</w:t>
      </w:r>
      <w:r>
        <w:rPr>
          <w:color w:val="231F20"/>
          <w:spacing w:val="-7"/>
        </w:rPr>
        <w:t> </w:t>
      </w:r>
      <w:r>
        <w:rPr>
          <w:color w:val="231F20"/>
        </w:rPr>
        <w:t>“por</w:t>
      </w:r>
    </w:p>
    <w:p>
      <w:pPr>
        <w:pStyle w:val="BodyText"/>
        <w:spacing w:before="6"/>
      </w:pPr>
      <w:r>
        <w:rPr/>
        <w:pict>
          <v:line style="position:absolute;mso-position-horizontal-relative:page;mso-position-vertical-relative:paragraph;z-index:5848;mso-wrap-distance-left:0;mso-wrap-distance-right:0" from="65.196899pt,15.106985pt" to="178.582899pt,15.106985pt" stroked="true" strokeweight=".3pt" strokecolor="#231f20">
            <w10:wrap type="topAndBottom"/>
          </v:line>
        </w:pict>
      </w:r>
    </w:p>
    <w:p>
      <w:pPr>
        <w:spacing w:line="206" w:lineRule="exact" w:before="10"/>
        <w:ind w:left="103" w:right="0" w:firstLine="0"/>
        <w:jc w:val="left"/>
        <w:rPr>
          <w:rFonts w:ascii="Calibri"/>
          <w:sz w:val="17"/>
        </w:rPr>
      </w:pPr>
      <w:r>
        <w:rPr>
          <w:rFonts w:ascii="Calibri"/>
          <w:color w:val="231F20"/>
          <w:sz w:val="17"/>
        </w:rPr>
        <w:t>Giappichelli, 2014.</w:t>
      </w:r>
    </w:p>
    <w:p>
      <w:pPr>
        <w:spacing w:line="235" w:lineRule="auto" w:before="1"/>
        <w:ind w:left="103" w:right="0" w:firstLine="0"/>
        <w:jc w:val="left"/>
        <w:rPr>
          <w:rFonts w:ascii="Calibri" w:hAnsi="Calibri"/>
          <w:sz w:val="17"/>
        </w:rPr>
      </w:pPr>
      <w:r>
        <w:rPr>
          <w:rFonts w:ascii="Calibri" w:hAnsi="Calibri"/>
          <w:color w:val="231F20"/>
          <w:position w:val="6"/>
          <w:sz w:val="10"/>
        </w:rPr>
        <w:t>39 </w:t>
      </w:r>
      <w:r>
        <w:rPr>
          <w:rFonts w:ascii="Calibri" w:hAnsi="Calibri"/>
          <w:color w:val="231F20"/>
          <w:sz w:val="17"/>
        </w:rPr>
        <w:t>Como escribía L. Ferrari–Bravo, “Federalismo”, S. Bologna (Ed.), </w:t>
      </w:r>
      <w:r>
        <w:rPr>
          <w:rFonts w:ascii="Calibri" w:hAnsi="Calibri"/>
          <w:i/>
          <w:color w:val="231F20"/>
          <w:sz w:val="17"/>
        </w:rPr>
        <w:t>Dal fordismo alla globalizzazione. </w:t>
      </w:r>
      <w:r>
        <w:rPr>
          <w:rFonts w:ascii="Calibri" w:hAnsi="Calibri"/>
          <w:i/>
          <w:color w:val="231F20"/>
          <w:sz w:val="17"/>
        </w:rPr>
        <w:t>Cristalli di tempo politico</w:t>
      </w:r>
      <w:r>
        <w:rPr>
          <w:rFonts w:ascii="Calibri" w:hAnsi="Calibri"/>
          <w:color w:val="231F20"/>
          <w:sz w:val="17"/>
        </w:rPr>
        <w:t>, Roma 2001.</w:t>
      </w:r>
    </w:p>
    <w:p>
      <w:pPr>
        <w:pStyle w:val="BodyText"/>
        <w:rPr>
          <w:rFonts w:ascii="Calibri"/>
          <w:sz w:val="20"/>
        </w:rPr>
      </w:pPr>
    </w:p>
    <w:p>
      <w:pPr>
        <w:pStyle w:val="BodyText"/>
        <w:spacing w:before="10"/>
        <w:rPr>
          <w:rFonts w:ascii="Calibri"/>
          <w:sz w:val="27"/>
        </w:rPr>
      </w:pPr>
    </w:p>
    <w:p>
      <w:pPr>
        <w:tabs>
          <w:tab w:pos="1331" w:val="left" w:leader="none"/>
        </w:tabs>
        <w:spacing w:before="68"/>
        <w:ind w:left="226" w:right="0" w:firstLine="0"/>
        <w:jc w:val="left"/>
        <w:rPr>
          <w:rFonts w:ascii="Calibri"/>
          <w:sz w:val="16"/>
        </w:rPr>
      </w:pPr>
      <w:r>
        <w:rPr/>
        <w:pict>
          <v:group style="position:absolute;margin-left:98.787804pt;margin-top:-3.358812pt;width:20.4pt;height:43pt;mso-position-horizontal-relative:page;mso-position-vertical-relative:paragraph;z-index:-169528"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108</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3924" w:right="0" w:firstLine="0"/>
        <w:jc w:val="left"/>
        <w:rPr>
          <w:rFonts w:ascii="Arial" w:hAnsi="Arial"/>
          <w:sz w:val="20"/>
        </w:rPr>
      </w:pPr>
      <w:r>
        <w:rPr/>
        <w:pict>
          <v:group style="position:absolute;margin-left:383.821014pt;margin-top:-25.479271pt;width:8.65pt;height:41pt;mso-position-horizontal-relative:page;mso-position-vertical-relative:paragraph;z-index:-16948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5"/>
          <w:sz w:val="14"/>
        </w:rPr>
        <w:t> </w:t>
      </w:r>
      <w:r>
        <w:rPr>
          <w:rFonts w:ascii="Lucida Sans Unicode" w:hAnsi="Lucida Sans Unicode"/>
          <w:color w:val="6D6E71"/>
          <w:sz w:val="14"/>
        </w:rPr>
        <w:t>ESTADO</w:t>
      </w:r>
      <w:r>
        <w:rPr>
          <w:rFonts w:ascii="Lucida Sans Unicode" w:hAnsi="Lucida Sans Unicode"/>
          <w:color w:val="6D6E71"/>
          <w:spacing w:val="-25"/>
          <w:sz w:val="14"/>
        </w:rPr>
        <w:t> </w:t>
      </w:r>
      <w:r>
        <w:rPr>
          <w:rFonts w:ascii="Lucida Sans Unicode" w:hAnsi="Lucida Sans Unicode"/>
          <w:color w:val="6D6E71"/>
          <w:sz w:val="14"/>
        </w:rPr>
        <w:t>MODERNO</w:t>
      </w:r>
      <w:r>
        <w:rPr>
          <w:rFonts w:ascii="Lucida Sans Unicode" w:hAnsi="Lucida Sans Unicode"/>
          <w:color w:val="6D6E71"/>
          <w:spacing w:val="-25"/>
          <w:sz w:val="14"/>
        </w:rPr>
        <w:t> </w:t>
      </w:r>
      <w:r>
        <w:rPr>
          <w:rFonts w:ascii="Lucida Sans Unicode" w:hAnsi="Lucida Sans Unicode"/>
          <w:color w:val="6D6E71"/>
          <w:sz w:val="14"/>
        </w:rPr>
        <w:t>HOY</w:t>
      </w:r>
      <w:r>
        <w:rPr>
          <w:rFonts w:ascii="Lucida Sans Unicode" w:hAnsi="Lucida Sans Unicode"/>
          <w:color w:val="6D6E71"/>
          <w:spacing w:val="-25"/>
          <w:sz w:val="14"/>
        </w:rPr>
        <w:t> </w:t>
      </w:r>
      <w:r>
        <w:rPr>
          <w:rFonts w:ascii="Lucida Sans Unicode" w:hAnsi="Lucida Sans Unicode"/>
          <w:color w:val="6D6E71"/>
          <w:sz w:val="14"/>
        </w:rPr>
        <w:t>Y</w:t>
      </w:r>
      <w:r>
        <w:rPr>
          <w:rFonts w:ascii="Lucida Sans Unicode" w:hAnsi="Lucida Sans Unicode"/>
          <w:color w:val="6D6E71"/>
          <w:spacing w:val="-25"/>
          <w:sz w:val="14"/>
        </w:rPr>
        <w:t> </w:t>
      </w:r>
      <w:r>
        <w:rPr>
          <w:rFonts w:ascii="Lucida Sans Unicode" w:hAnsi="Lucida Sans Unicode"/>
          <w:color w:val="6D6E71"/>
          <w:sz w:val="14"/>
        </w:rPr>
        <w:t>MAÑANA</w:t>
      </w:r>
      <w:r>
        <w:rPr>
          <w:rFonts w:ascii="Arial" w:hAnsi="Arial"/>
          <w:color w:val="414042"/>
          <w:position w:val="-3"/>
          <w:sz w:val="20"/>
        </w:rPr>
        <w:tab/>
        <w:t>109</w:t>
      </w:r>
    </w:p>
    <w:p>
      <w:pPr>
        <w:pStyle w:val="BodyText"/>
        <w:rPr>
          <w:rFonts w:ascii="Arial"/>
          <w:sz w:val="22"/>
        </w:rPr>
      </w:pPr>
    </w:p>
    <w:p>
      <w:pPr>
        <w:pStyle w:val="BodyText"/>
        <w:spacing w:before="2"/>
        <w:rPr>
          <w:rFonts w:ascii="Arial"/>
          <w:sz w:val="32"/>
        </w:rPr>
      </w:pPr>
    </w:p>
    <w:p>
      <w:pPr>
        <w:pStyle w:val="BodyText"/>
        <w:spacing w:line="244" w:lineRule="auto"/>
        <w:ind w:left="117" w:right="101"/>
        <w:jc w:val="both"/>
      </w:pPr>
      <w:r>
        <w:rPr>
          <w:color w:val="231F20"/>
        </w:rPr>
        <w:t>lo tanto, ya sea mayor o </w:t>
      </w:r>
      <w:r>
        <w:rPr>
          <w:color w:val="231F20"/>
          <w:spacing w:val="-4"/>
        </w:rPr>
        <w:t>menor, </w:t>
      </w:r>
      <w:r>
        <w:rPr>
          <w:color w:val="231F20"/>
        </w:rPr>
        <w:t>tú eres siervo”, escribía Giovanni Della Casa</w:t>
      </w:r>
      <w:r>
        <w:rPr>
          <w:color w:val="231F20"/>
          <w:spacing w:val="-4"/>
        </w:rPr>
        <w:t> </w:t>
      </w:r>
      <w:r>
        <w:rPr>
          <w:color w:val="231F20"/>
        </w:rPr>
        <w:t>en</w:t>
      </w:r>
      <w:r>
        <w:rPr>
          <w:color w:val="231F20"/>
          <w:spacing w:val="-4"/>
        </w:rPr>
        <w:t> </w:t>
      </w:r>
      <w:r>
        <w:rPr>
          <w:color w:val="231F20"/>
        </w:rPr>
        <w:t>pleno</w:t>
      </w:r>
      <w:r>
        <w:rPr>
          <w:color w:val="231F20"/>
          <w:spacing w:val="-4"/>
        </w:rPr>
        <w:t> </w:t>
      </w:r>
      <w:r>
        <w:rPr>
          <w:color w:val="231F20"/>
        </w:rPr>
        <w:t>siglo</w:t>
      </w:r>
      <w:r>
        <w:rPr>
          <w:color w:val="231F20"/>
          <w:spacing w:val="-4"/>
        </w:rPr>
        <w:t> </w:t>
      </w:r>
      <w:r>
        <w:rPr>
          <w:color w:val="231F20"/>
          <w:sz w:val="18"/>
        </w:rPr>
        <w:t>XVI</w:t>
      </w:r>
      <w:r>
        <w:rPr>
          <w:color w:val="231F20"/>
          <w:position w:val="7"/>
          <w:sz w:val="12"/>
        </w:rPr>
        <w:t>40</w:t>
      </w:r>
      <w:r>
        <w:rPr>
          <w:color w:val="231F20"/>
        </w:rPr>
        <w:t>.</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servicio?</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oficio?</w:t>
      </w:r>
      <w:r>
        <w:rPr>
          <w:color w:val="231F20"/>
          <w:spacing w:val="-4"/>
        </w:rPr>
        <w:t> </w:t>
      </w:r>
      <w:r>
        <w:rPr>
          <w:color w:val="231F20"/>
        </w:rPr>
        <w:t>Siempre</w:t>
      </w:r>
      <w:r>
        <w:rPr>
          <w:color w:val="231F20"/>
          <w:spacing w:val="-4"/>
        </w:rPr>
        <w:t> </w:t>
      </w:r>
      <w:r>
        <w:rPr>
          <w:color w:val="231F20"/>
        </w:rPr>
        <w:t>servidumbre, parecería, si no se rompe la relación de intrínseca subordinación entre</w:t>
      </w:r>
      <w:r>
        <w:rPr>
          <w:color w:val="231F20"/>
          <w:spacing w:val="-24"/>
        </w:rPr>
        <w:t> </w:t>
      </w:r>
      <w:r>
        <w:rPr>
          <w:rFonts w:ascii="Arial" w:hAnsi="Arial"/>
          <w:i/>
          <w:color w:val="231F20"/>
        </w:rPr>
        <w:t>ma- </w:t>
      </w:r>
      <w:r>
        <w:rPr>
          <w:rFonts w:ascii="Arial" w:hAnsi="Arial"/>
          <w:i/>
          <w:color w:val="231F20"/>
        </w:rPr>
        <w:t>yor</w:t>
      </w:r>
      <w:r>
        <w:rPr>
          <w:rFonts w:ascii="Arial" w:hAnsi="Arial"/>
          <w:i/>
          <w:color w:val="231F20"/>
          <w:spacing w:val="2"/>
        </w:rPr>
        <w:t> </w:t>
      </w:r>
      <w:r>
        <w:rPr>
          <w:color w:val="231F20"/>
        </w:rPr>
        <w:t>y</w:t>
      </w:r>
      <w:r>
        <w:rPr>
          <w:color w:val="231F20"/>
          <w:spacing w:val="-6"/>
        </w:rPr>
        <w:t> </w:t>
      </w:r>
      <w:r>
        <w:rPr>
          <w:rFonts w:ascii="Arial" w:hAnsi="Arial"/>
          <w:i/>
          <w:color w:val="231F20"/>
        </w:rPr>
        <w:t>menor</w:t>
      </w:r>
      <w:r>
        <w:rPr>
          <w:color w:val="231F20"/>
        </w:rPr>
        <w:t>.</w:t>
      </w:r>
      <w:r>
        <w:rPr>
          <w:color w:val="231F20"/>
          <w:spacing w:val="-6"/>
        </w:rPr>
        <w:t> </w:t>
      </w:r>
      <w:r>
        <w:rPr>
          <w:color w:val="231F20"/>
        </w:rPr>
        <w:t>¿Pero</w:t>
      </w:r>
      <w:r>
        <w:rPr>
          <w:color w:val="231F20"/>
          <w:spacing w:val="-6"/>
        </w:rPr>
        <w:t> </w:t>
      </w:r>
      <w:r>
        <w:rPr>
          <w:color w:val="231F20"/>
        </w:rPr>
        <w:t>cómo</w:t>
      </w:r>
      <w:r>
        <w:rPr>
          <w:color w:val="231F20"/>
          <w:spacing w:val="-6"/>
        </w:rPr>
        <w:t> </w:t>
      </w:r>
      <w:r>
        <w:rPr>
          <w:color w:val="231F20"/>
        </w:rPr>
        <w:t>se</w:t>
      </w:r>
      <w:r>
        <w:rPr>
          <w:color w:val="231F20"/>
          <w:spacing w:val="-6"/>
        </w:rPr>
        <w:t> </w:t>
      </w:r>
      <w:r>
        <w:rPr>
          <w:color w:val="231F20"/>
        </w:rPr>
        <w:t>hace?</w:t>
      </w:r>
      <w:r>
        <w:rPr>
          <w:color w:val="231F20"/>
          <w:spacing w:val="-6"/>
        </w:rPr>
        <w:t> </w:t>
      </w:r>
      <w:r>
        <w:rPr>
          <w:color w:val="231F20"/>
        </w:rPr>
        <w:t>Por</w:t>
      </w:r>
      <w:r>
        <w:rPr>
          <w:color w:val="231F20"/>
          <w:spacing w:val="-6"/>
        </w:rPr>
        <w:t> </w:t>
      </w:r>
      <w:r>
        <w:rPr>
          <w:color w:val="231F20"/>
        </w:rPr>
        <w:t>siglos,</w:t>
      </w:r>
      <w:r>
        <w:rPr>
          <w:color w:val="231F20"/>
          <w:spacing w:val="-6"/>
        </w:rPr>
        <w:t> </w:t>
      </w:r>
      <w:r>
        <w:rPr>
          <w:color w:val="231F20"/>
        </w:rPr>
        <w:t>en</w:t>
      </w:r>
      <w:r>
        <w:rPr>
          <w:color w:val="231F20"/>
          <w:spacing w:val="-6"/>
        </w:rPr>
        <w:t> </w:t>
      </w:r>
      <w:r>
        <w:rPr>
          <w:color w:val="231F20"/>
        </w:rPr>
        <w:t>nuestra</w:t>
      </w:r>
      <w:r>
        <w:rPr>
          <w:color w:val="231F20"/>
          <w:spacing w:val="-6"/>
        </w:rPr>
        <w:t> </w:t>
      </w:r>
      <w:r>
        <w:rPr>
          <w:color w:val="231F20"/>
        </w:rPr>
        <w:t>cultura</w:t>
      </w:r>
      <w:r>
        <w:rPr>
          <w:color w:val="231F20"/>
          <w:spacing w:val="-6"/>
        </w:rPr>
        <w:t> </w:t>
      </w:r>
      <w:r>
        <w:rPr>
          <w:color w:val="231F20"/>
        </w:rPr>
        <w:t>política,</w:t>
      </w:r>
      <w:r>
        <w:rPr>
          <w:color w:val="231F20"/>
          <w:spacing w:val="-6"/>
        </w:rPr>
        <w:t> </w:t>
      </w:r>
      <w:r>
        <w:rPr>
          <w:color w:val="231F20"/>
        </w:rPr>
        <w:t>la clave de esas respuestas ha sido la figura de dos caras de la </w:t>
      </w:r>
      <w:r>
        <w:rPr>
          <w:rFonts w:ascii="Arial" w:hAnsi="Arial"/>
          <w:i/>
          <w:color w:val="231F20"/>
        </w:rPr>
        <w:t>institutio</w:t>
      </w:r>
      <w:r>
        <w:rPr>
          <w:color w:val="231F20"/>
        </w:rPr>
        <w:t>: en- tendida como educación (del príncipe, pero en prospectiva del ciudadano) a la política, pero también como lugar de regulación de la política misma en función de autoridad. </w:t>
      </w:r>
      <w:r>
        <w:rPr>
          <w:color w:val="231F20"/>
          <w:spacing w:val="-4"/>
        </w:rPr>
        <w:t>También </w:t>
      </w:r>
      <w:r>
        <w:rPr>
          <w:color w:val="231F20"/>
        </w:rPr>
        <w:t>para Weber la institución, derivada de la </w:t>
      </w:r>
      <w:r>
        <w:rPr>
          <w:rFonts w:ascii="Arial" w:hAnsi="Arial"/>
          <w:i/>
          <w:color w:val="231F20"/>
        </w:rPr>
        <w:t>Disziplin</w:t>
      </w:r>
      <w:r>
        <w:rPr>
          <w:color w:val="231F20"/>
        </w:rPr>
        <w:t>,</w:t>
      </w:r>
      <w:r>
        <w:rPr>
          <w:color w:val="231F20"/>
          <w:spacing w:val="-9"/>
        </w:rPr>
        <w:t> </w:t>
      </w:r>
      <w:r>
        <w:rPr>
          <w:color w:val="231F20"/>
        </w:rPr>
        <w:t>ha</w:t>
      </w:r>
      <w:r>
        <w:rPr>
          <w:color w:val="231F20"/>
          <w:spacing w:val="-9"/>
        </w:rPr>
        <w:t> </w:t>
      </w:r>
      <w:r>
        <w:rPr>
          <w:color w:val="231F20"/>
        </w:rPr>
        <w:t>sido</w:t>
      </w:r>
      <w:r>
        <w:rPr>
          <w:color w:val="231F20"/>
          <w:spacing w:val="-9"/>
        </w:rPr>
        <w:t> </w:t>
      </w:r>
      <w:r>
        <w:rPr>
          <w:color w:val="231F20"/>
        </w:rPr>
        <w:t>la</w:t>
      </w:r>
      <w:r>
        <w:rPr>
          <w:color w:val="231F20"/>
          <w:spacing w:val="-9"/>
        </w:rPr>
        <w:t> </w:t>
      </w:r>
      <w:r>
        <w:rPr>
          <w:color w:val="231F20"/>
        </w:rPr>
        <w:t>cuna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legitimación,</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vez</w:t>
      </w:r>
      <w:r>
        <w:rPr>
          <w:color w:val="231F20"/>
          <w:spacing w:val="-9"/>
        </w:rPr>
        <w:t> </w:t>
      </w:r>
      <w:r>
        <w:rPr>
          <w:color w:val="231F20"/>
        </w:rPr>
        <w:t>sostén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concesión ideal y práctica del poder moderno. ¿Y la libertad?¿Será todavía suficiente la distinción entre antiguos y modernos de Constant?¿O habrá necesidad de regresar a aquella expuesta hace tres siglos primero por Giovanni Della Casa que hablaba de una “usanza de hombres libres” donde el </w:t>
      </w:r>
      <w:r>
        <w:rPr>
          <w:rFonts w:ascii="Arial" w:hAnsi="Arial"/>
          <w:i/>
          <w:color w:val="231F20"/>
        </w:rPr>
        <w:t>institutum </w:t>
      </w:r>
      <w:r>
        <w:rPr>
          <w:color w:val="231F20"/>
        </w:rPr>
        <w:t>no era necesariamente lugar de la </w:t>
      </w:r>
      <w:r>
        <w:rPr>
          <w:color w:val="231F20"/>
          <w:spacing w:val="-5"/>
        </w:rPr>
        <w:t>ley, </w:t>
      </w:r>
      <w:r>
        <w:rPr>
          <w:color w:val="231F20"/>
        </w:rPr>
        <w:t>sino que generalmente y con fre- cuencia era “establecido por la aceptación común, incluso sólo a través</w:t>
      </w:r>
      <w:r>
        <w:rPr>
          <w:color w:val="231F20"/>
          <w:spacing w:val="-19"/>
        </w:rPr>
        <w:t> </w:t>
      </w:r>
      <w:r>
        <w:rPr>
          <w:color w:val="231F20"/>
        </w:rPr>
        <w:t>del uso, la costumbre, la tradición, pero también gracias a la enseñanza, a la convicción?”</w:t>
      </w:r>
      <w:r>
        <w:rPr>
          <w:color w:val="231F20"/>
          <w:position w:val="7"/>
          <w:sz w:val="12"/>
        </w:rPr>
        <w:t>41</w:t>
      </w:r>
      <w:r>
        <w:rPr>
          <w:color w:val="231F20"/>
        </w:rPr>
        <w:t>.</w:t>
      </w:r>
    </w:p>
    <w:p>
      <w:pPr>
        <w:pStyle w:val="BodyText"/>
        <w:spacing w:line="247" w:lineRule="auto" w:before="1"/>
        <w:ind w:left="117" w:right="101" w:firstLine="566"/>
        <w:jc w:val="both"/>
      </w:pPr>
      <w:r>
        <w:rPr>
          <w:color w:val="231F20"/>
        </w:rPr>
        <w:t>Regresamos así al tema relativo a si el Estado debe necesariamente tener que ver con el Derecho. Después de lo que se ha dicho, se puede también preguntar más sutilmente con qué Derecho tiene que ver el “Es- tado” (pasado participio del verbo estar) en su evolución a “Futuro” (parti- cipio futuro del verbo ser)</w:t>
      </w:r>
      <w:r>
        <w:rPr>
          <w:color w:val="231F20"/>
          <w:position w:val="7"/>
          <w:sz w:val="12"/>
        </w:rPr>
        <w:t>42</w:t>
      </w:r>
      <w:r>
        <w:rPr>
          <w:color w:val="231F20"/>
        </w:rPr>
        <w:t>.</w:t>
      </w:r>
    </w:p>
    <w:p>
      <w:pPr>
        <w:pStyle w:val="BodyText"/>
        <w:spacing w:line="244" w:lineRule="auto"/>
        <w:ind w:left="117" w:right="101" w:firstLine="566"/>
        <w:jc w:val="both"/>
      </w:pPr>
      <w:r>
        <w:rPr>
          <w:color w:val="231F20"/>
          <w:w w:val="105"/>
        </w:rPr>
        <w:t>Me parece que la distinción sea aquella —que también para Casa era</w:t>
      </w:r>
      <w:r>
        <w:rPr>
          <w:color w:val="231F20"/>
          <w:spacing w:val="-6"/>
          <w:w w:val="105"/>
        </w:rPr>
        <w:t> </w:t>
      </w:r>
      <w:r>
        <w:rPr>
          <w:color w:val="231F20"/>
          <w:w w:val="105"/>
        </w:rPr>
        <w:t>fuente</w:t>
      </w:r>
      <w:r>
        <w:rPr>
          <w:color w:val="231F20"/>
          <w:spacing w:val="-6"/>
          <w:w w:val="105"/>
        </w:rPr>
        <w:t> </w:t>
      </w:r>
      <w:r>
        <w:rPr>
          <w:color w:val="231F20"/>
          <w:w w:val="105"/>
        </w:rPr>
        <w:t>“de</w:t>
      </w:r>
      <w:r>
        <w:rPr>
          <w:color w:val="231F20"/>
          <w:spacing w:val="-6"/>
          <w:w w:val="105"/>
        </w:rPr>
        <w:t> </w:t>
      </w:r>
      <w:r>
        <w:rPr>
          <w:color w:val="231F20"/>
          <w:w w:val="105"/>
        </w:rPr>
        <w:t>un</w:t>
      </w:r>
      <w:r>
        <w:rPr>
          <w:color w:val="231F20"/>
          <w:spacing w:val="-6"/>
          <w:w w:val="105"/>
        </w:rPr>
        <w:t> </w:t>
      </w:r>
      <w:r>
        <w:rPr>
          <w:color w:val="231F20"/>
          <w:w w:val="105"/>
        </w:rPr>
        <w:t>gran</w:t>
      </w:r>
      <w:r>
        <w:rPr>
          <w:color w:val="231F20"/>
          <w:spacing w:val="-6"/>
          <w:w w:val="105"/>
        </w:rPr>
        <w:t> </w:t>
      </w:r>
      <w:r>
        <w:rPr>
          <w:color w:val="231F20"/>
          <w:w w:val="105"/>
        </w:rPr>
        <w:t>y</w:t>
      </w:r>
      <w:r>
        <w:rPr>
          <w:color w:val="231F20"/>
          <w:spacing w:val="-6"/>
          <w:w w:val="105"/>
        </w:rPr>
        <w:t> </w:t>
      </w:r>
      <w:r>
        <w:rPr>
          <w:color w:val="231F20"/>
          <w:w w:val="105"/>
        </w:rPr>
        <w:t>exhaustivo</w:t>
      </w:r>
      <w:r>
        <w:rPr>
          <w:color w:val="231F20"/>
          <w:spacing w:val="-6"/>
          <w:w w:val="105"/>
        </w:rPr>
        <w:t> </w:t>
      </w:r>
      <w:r>
        <w:rPr>
          <w:color w:val="231F20"/>
          <w:w w:val="105"/>
        </w:rPr>
        <w:t>trabajo”—</w:t>
      </w:r>
      <w:r>
        <w:rPr>
          <w:color w:val="231F20"/>
          <w:spacing w:val="-6"/>
          <w:w w:val="105"/>
        </w:rPr>
        <w:t> </w:t>
      </w:r>
      <w:r>
        <w:rPr>
          <w:color w:val="231F20"/>
          <w:w w:val="105"/>
        </w:rPr>
        <w:t>del</w:t>
      </w:r>
      <w:r>
        <w:rPr>
          <w:color w:val="231F20"/>
          <w:spacing w:val="-6"/>
          <w:w w:val="105"/>
        </w:rPr>
        <w:t> </w:t>
      </w:r>
      <w:r>
        <w:rPr>
          <w:color w:val="231F20"/>
          <w:w w:val="105"/>
        </w:rPr>
        <w:t>mantenimiento</w:t>
      </w:r>
      <w:r>
        <w:rPr>
          <w:color w:val="231F20"/>
          <w:spacing w:val="-6"/>
          <w:w w:val="105"/>
        </w:rPr>
        <w:t> </w:t>
      </w:r>
      <w:r>
        <w:rPr>
          <w:color w:val="231F20"/>
          <w:w w:val="105"/>
        </w:rPr>
        <w:t>de</w:t>
      </w:r>
      <w:r>
        <w:rPr>
          <w:color w:val="231F20"/>
          <w:spacing w:val="-6"/>
          <w:w w:val="105"/>
        </w:rPr>
        <w:t> </w:t>
      </w:r>
      <w:r>
        <w:rPr>
          <w:color w:val="231F20"/>
          <w:w w:val="105"/>
        </w:rPr>
        <w:t>la libertad,</w:t>
      </w:r>
      <w:r>
        <w:rPr>
          <w:color w:val="231F20"/>
          <w:spacing w:val="-33"/>
          <w:w w:val="105"/>
        </w:rPr>
        <w:t> </w:t>
      </w:r>
      <w:r>
        <w:rPr>
          <w:color w:val="231F20"/>
          <w:w w:val="105"/>
        </w:rPr>
        <w:t>mediante</w:t>
      </w:r>
      <w:r>
        <w:rPr>
          <w:color w:val="231F20"/>
          <w:spacing w:val="-33"/>
          <w:w w:val="105"/>
        </w:rPr>
        <w:t> </w:t>
      </w:r>
      <w:r>
        <w:rPr>
          <w:color w:val="231F20"/>
          <w:w w:val="105"/>
        </w:rPr>
        <w:t>el</w:t>
      </w:r>
      <w:r>
        <w:rPr>
          <w:color w:val="231F20"/>
          <w:spacing w:val="-33"/>
          <w:w w:val="105"/>
        </w:rPr>
        <w:t> </w:t>
      </w:r>
      <w:r>
        <w:rPr>
          <w:color w:val="231F20"/>
          <w:w w:val="105"/>
        </w:rPr>
        <w:t>equilibrio</w:t>
      </w:r>
      <w:r>
        <w:rPr>
          <w:color w:val="231F20"/>
          <w:spacing w:val="-33"/>
          <w:w w:val="105"/>
        </w:rPr>
        <w:t> </w:t>
      </w:r>
      <w:r>
        <w:rPr>
          <w:color w:val="231F20"/>
          <w:w w:val="105"/>
        </w:rPr>
        <w:t>entre</w:t>
      </w:r>
      <w:r>
        <w:rPr>
          <w:color w:val="231F20"/>
          <w:spacing w:val="-33"/>
          <w:w w:val="105"/>
        </w:rPr>
        <w:t> </w:t>
      </w:r>
      <w:r>
        <w:rPr>
          <w:color w:val="231F20"/>
          <w:w w:val="105"/>
        </w:rPr>
        <w:t>obediencia</w:t>
      </w:r>
      <w:r>
        <w:rPr>
          <w:color w:val="231F20"/>
          <w:spacing w:val="-33"/>
          <w:w w:val="105"/>
        </w:rPr>
        <w:t> </w:t>
      </w:r>
      <w:r>
        <w:rPr>
          <w:color w:val="231F20"/>
          <w:w w:val="105"/>
        </w:rPr>
        <w:t>y</w:t>
      </w:r>
      <w:r>
        <w:rPr>
          <w:color w:val="231F20"/>
          <w:spacing w:val="-33"/>
          <w:w w:val="105"/>
        </w:rPr>
        <w:t> </w:t>
      </w:r>
      <w:r>
        <w:rPr>
          <w:color w:val="231F20"/>
          <w:w w:val="105"/>
        </w:rPr>
        <w:t>mando.</w:t>
      </w:r>
      <w:r>
        <w:rPr>
          <w:color w:val="231F20"/>
          <w:spacing w:val="-33"/>
          <w:w w:val="105"/>
        </w:rPr>
        <w:t> </w:t>
      </w:r>
      <w:r>
        <w:rPr>
          <w:color w:val="231F20"/>
          <w:w w:val="105"/>
        </w:rPr>
        <w:t>Los</w:t>
      </w:r>
      <w:r>
        <w:rPr>
          <w:color w:val="231F20"/>
          <w:spacing w:val="-33"/>
          <w:w w:val="105"/>
        </w:rPr>
        <w:t> </w:t>
      </w:r>
      <w:r>
        <w:rPr>
          <w:color w:val="231F20"/>
          <w:w w:val="105"/>
        </w:rPr>
        <w:t>hombres</w:t>
      </w:r>
      <w:r>
        <w:rPr>
          <w:color w:val="231F20"/>
          <w:spacing w:val="-33"/>
          <w:w w:val="105"/>
        </w:rPr>
        <w:t> </w:t>
      </w:r>
      <w:r>
        <w:rPr>
          <w:color w:val="231F20"/>
          <w:w w:val="105"/>
        </w:rPr>
        <w:t>en efecto</w:t>
      </w:r>
      <w:r>
        <w:rPr>
          <w:color w:val="231F20"/>
          <w:spacing w:val="-36"/>
          <w:w w:val="105"/>
        </w:rPr>
        <w:t> </w:t>
      </w:r>
      <w:r>
        <w:rPr>
          <w:color w:val="231F20"/>
          <w:w w:val="105"/>
        </w:rPr>
        <w:t>no</w:t>
      </w:r>
      <w:r>
        <w:rPr>
          <w:color w:val="231F20"/>
          <w:spacing w:val="-36"/>
          <w:w w:val="105"/>
        </w:rPr>
        <w:t> </w:t>
      </w:r>
      <w:r>
        <w:rPr>
          <w:color w:val="231F20"/>
          <w:w w:val="105"/>
        </w:rPr>
        <w:t>son</w:t>
      </w:r>
      <w:r>
        <w:rPr>
          <w:color w:val="231F20"/>
          <w:spacing w:val="-36"/>
          <w:w w:val="105"/>
        </w:rPr>
        <w:t> </w:t>
      </w:r>
      <w:r>
        <w:rPr>
          <w:color w:val="231F20"/>
          <w:w w:val="105"/>
        </w:rPr>
        <w:t>todos</w:t>
      </w:r>
      <w:r>
        <w:rPr>
          <w:color w:val="231F20"/>
          <w:spacing w:val="-36"/>
          <w:w w:val="105"/>
        </w:rPr>
        <w:t> </w:t>
      </w:r>
      <w:r>
        <w:rPr>
          <w:color w:val="231F20"/>
          <w:w w:val="105"/>
        </w:rPr>
        <w:t>iguales,</w:t>
      </w:r>
      <w:r>
        <w:rPr>
          <w:color w:val="231F20"/>
          <w:spacing w:val="-36"/>
          <w:w w:val="105"/>
        </w:rPr>
        <w:t> </w:t>
      </w:r>
      <w:r>
        <w:rPr>
          <w:color w:val="231F20"/>
          <w:w w:val="105"/>
        </w:rPr>
        <w:t>los</w:t>
      </w:r>
      <w:r>
        <w:rPr>
          <w:color w:val="231F20"/>
          <w:spacing w:val="-36"/>
          <w:w w:val="105"/>
        </w:rPr>
        <w:t> </w:t>
      </w:r>
      <w:r>
        <w:rPr>
          <w:color w:val="231F20"/>
          <w:w w:val="105"/>
        </w:rPr>
        <w:t>hay</w:t>
      </w:r>
      <w:r>
        <w:rPr>
          <w:color w:val="231F20"/>
          <w:spacing w:val="-36"/>
          <w:w w:val="105"/>
        </w:rPr>
        <w:t> </w:t>
      </w:r>
      <w:r>
        <w:rPr>
          <w:color w:val="231F20"/>
          <w:w w:val="105"/>
        </w:rPr>
        <w:t>más</w:t>
      </w:r>
      <w:r>
        <w:rPr>
          <w:color w:val="231F20"/>
          <w:spacing w:val="-36"/>
          <w:w w:val="105"/>
        </w:rPr>
        <w:t> </w:t>
      </w:r>
      <w:r>
        <w:rPr>
          <w:color w:val="231F20"/>
          <w:w w:val="105"/>
        </w:rPr>
        <w:t>fuertes</w:t>
      </w:r>
      <w:r>
        <w:rPr>
          <w:color w:val="231F20"/>
          <w:spacing w:val="-36"/>
          <w:w w:val="105"/>
        </w:rPr>
        <w:t> </w:t>
      </w:r>
      <w:r>
        <w:rPr>
          <w:color w:val="231F20"/>
          <w:w w:val="105"/>
        </w:rPr>
        <w:t>y</w:t>
      </w:r>
      <w:r>
        <w:rPr>
          <w:color w:val="231F20"/>
          <w:spacing w:val="-36"/>
          <w:w w:val="105"/>
        </w:rPr>
        <w:t> </w:t>
      </w:r>
      <w:r>
        <w:rPr>
          <w:color w:val="231F20"/>
          <w:w w:val="105"/>
        </w:rPr>
        <w:t>más</w:t>
      </w:r>
      <w:r>
        <w:rPr>
          <w:color w:val="231F20"/>
          <w:spacing w:val="-36"/>
          <w:w w:val="105"/>
        </w:rPr>
        <w:t> </w:t>
      </w:r>
      <w:r>
        <w:rPr>
          <w:color w:val="231F20"/>
          <w:w w:val="105"/>
        </w:rPr>
        <w:t>débiles</w:t>
      </w:r>
      <w:r>
        <w:rPr>
          <w:color w:val="231F20"/>
          <w:spacing w:val="-36"/>
          <w:w w:val="105"/>
        </w:rPr>
        <w:t> </w:t>
      </w:r>
      <w:r>
        <w:rPr>
          <w:color w:val="231F20"/>
          <w:w w:val="105"/>
        </w:rPr>
        <w:t>(</w:t>
      </w:r>
      <w:r>
        <w:rPr>
          <w:rFonts w:ascii="Arial" w:hAnsi="Arial"/>
          <w:i/>
          <w:color w:val="231F20"/>
          <w:w w:val="105"/>
        </w:rPr>
        <w:t>potentiores </w:t>
      </w:r>
      <w:r>
        <w:rPr>
          <w:color w:val="231F20"/>
          <w:w w:val="105"/>
        </w:rPr>
        <w:t>e</w:t>
      </w:r>
      <w:r>
        <w:rPr>
          <w:color w:val="231F20"/>
          <w:spacing w:val="-37"/>
          <w:w w:val="105"/>
        </w:rPr>
        <w:t> </w:t>
      </w:r>
      <w:r>
        <w:rPr>
          <w:rFonts w:ascii="Arial" w:hAnsi="Arial"/>
          <w:i/>
          <w:color w:val="231F20"/>
          <w:w w:val="105"/>
        </w:rPr>
        <w:t>tenuiores</w:t>
      </w:r>
      <w:r>
        <w:rPr>
          <w:color w:val="231F20"/>
          <w:w w:val="105"/>
        </w:rPr>
        <w:t>:</w:t>
      </w:r>
      <w:r>
        <w:rPr>
          <w:color w:val="231F20"/>
          <w:spacing w:val="-37"/>
          <w:w w:val="105"/>
        </w:rPr>
        <w:t> </w:t>
      </w:r>
      <w:r>
        <w:rPr>
          <w:color w:val="231F20"/>
          <w:w w:val="105"/>
        </w:rPr>
        <w:t>“superiores”</w:t>
      </w:r>
      <w:r>
        <w:rPr>
          <w:color w:val="231F20"/>
          <w:spacing w:val="-37"/>
          <w:w w:val="105"/>
        </w:rPr>
        <w:t> </w:t>
      </w:r>
      <w:r>
        <w:rPr>
          <w:color w:val="231F20"/>
          <w:w w:val="105"/>
        </w:rPr>
        <w:t>e</w:t>
      </w:r>
      <w:r>
        <w:rPr>
          <w:color w:val="231F20"/>
          <w:spacing w:val="-37"/>
          <w:w w:val="105"/>
        </w:rPr>
        <w:t> </w:t>
      </w:r>
      <w:r>
        <w:rPr>
          <w:color w:val="231F20"/>
          <w:w w:val="105"/>
        </w:rPr>
        <w:t>“inferiores”);</w:t>
      </w:r>
      <w:r>
        <w:rPr>
          <w:color w:val="231F20"/>
          <w:spacing w:val="-37"/>
          <w:w w:val="105"/>
        </w:rPr>
        <w:t> </w:t>
      </w:r>
      <w:r>
        <w:rPr>
          <w:color w:val="231F20"/>
          <w:w w:val="105"/>
        </w:rPr>
        <w:t>se</w:t>
      </w:r>
      <w:r>
        <w:rPr>
          <w:color w:val="231F20"/>
          <w:spacing w:val="-37"/>
          <w:w w:val="105"/>
        </w:rPr>
        <w:t> </w:t>
      </w:r>
      <w:r>
        <w:rPr>
          <w:color w:val="231F20"/>
          <w:w w:val="105"/>
        </w:rPr>
        <w:t>requiere</w:t>
      </w:r>
      <w:r>
        <w:rPr>
          <w:color w:val="231F20"/>
          <w:spacing w:val="-37"/>
          <w:w w:val="105"/>
        </w:rPr>
        <w:t> </w:t>
      </w:r>
      <w:r>
        <w:rPr>
          <w:color w:val="231F20"/>
          <w:w w:val="105"/>
        </w:rPr>
        <w:t>por</w:t>
      </w:r>
      <w:r>
        <w:rPr>
          <w:color w:val="231F20"/>
          <w:spacing w:val="-37"/>
          <w:w w:val="105"/>
        </w:rPr>
        <w:t> </w:t>
      </w:r>
      <w:r>
        <w:rPr>
          <w:color w:val="231F20"/>
          <w:w w:val="105"/>
        </w:rPr>
        <w:t>lo</w:t>
      </w:r>
      <w:r>
        <w:rPr>
          <w:color w:val="231F20"/>
          <w:spacing w:val="-37"/>
          <w:w w:val="105"/>
        </w:rPr>
        <w:t> </w:t>
      </w:r>
      <w:r>
        <w:rPr>
          <w:color w:val="231F20"/>
          <w:w w:val="105"/>
        </w:rPr>
        <w:t>tanto</w:t>
      </w:r>
      <w:r>
        <w:rPr>
          <w:color w:val="231F20"/>
          <w:spacing w:val="-37"/>
          <w:w w:val="105"/>
        </w:rPr>
        <w:t> </w:t>
      </w:r>
      <w:r>
        <w:rPr>
          <w:color w:val="231F20"/>
          <w:w w:val="105"/>
        </w:rPr>
        <w:t>hacer</w:t>
      </w:r>
      <w:r>
        <w:rPr>
          <w:color w:val="231F20"/>
          <w:spacing w:val="-37"/>
          <w:w w:val="105"/>
        </w:rPr>
        <w:t> </w:t>
      </w:r>
      <w:r>
        <w:rPr>
          <w:color w:val="231F20"/>
          <w:w w:val="105"/>
        </w:rPr>
        <w:t>que esta</w:t>
      </w:r>
      <w:r>
        <w:rPr>
          <w:color w:val="231F20"/>
          <w:spacing w:val="-27"/>
          <w:w w:val="105"/>
        </w:rPr>
        <w:t> </w:t>
      </w:r>
      <w:r>
        <w:rPr>
          <w:color w:val="231F20"/>
          <w:w w:val="105"/>
        </w:rPr>
        <w:t>dualidad</w:t>
      </w:r>
      <w:r>
        <w:rPr>
          <w:color w:val="231F20"/>
          <w:spacing w:val="-27"/>
          <w:w w:val="105"/>
        </w:rPr>
        <w:t> </w:t>
      </w:r>
      <w:r>
        <w:rPr>
          <w:color w:val="231F20"/>
          <w:w w:val="105"/>
        </w:rPr>
        <w:t>no</w:t>
      </w:r>
      <w:r>
        <w:rPr>
          <w:color w:val="231F20"/>
          <w:spacing w:val="-27"/>
          <w:w w:val="105"/>
        </w:rPr>
        <w:t> </w:t>
      </w:r>
      <w:r>
        <w:rPr>
          <w:color w:val="231F20"/>
          <w:w w:val="105"/>
        </w:rPr>
        <w:t>altere</w:t>
      </w:r>
      <w:r>
        <w:rPr>
          <w:color w:val="231F20"/>
          <w:spacing w:val="-27"/>
          <w:w w:val="105"/>
        </w:rPr>
        <w:t> </w:t>
      </w:r>
      <w:r>
        <w:rPr>
          <w:color w:val="231F20"/>
          <w:w w:val="105"/>
        </w:rPr>
        <w:t>la</w:t>
      </w:r>
      <w:r>
        <w:rPr>
          <w:color w:val="231F20"/>
          <w:spacing w:val="-27"/>
          <w:w w:val="105"/>
        </w:rPr>
        <w:t> </w:t>
      </w:r>
      <w:r>
        <w:rPr>
          <w:color w:val="231F20"/>
          <w:w w:val="105"/>
        </w:rPr>
        <w:t>dignidad</w:t>
      </w:r>
      <w:r>
        <w:rPr>
          <w:color w:val="231F20"/>
          <w:spacing w:val="-27"/>
          <w:w w:val="105"/>
        </w:rPr>
        <w:t> </w:t>
      </w:r>
      <w:r>
        <w:rPr>
          <w:color w:val="231F20"/>
          <w:w w:val="105"/>
        </w:rPr>
        <w:t>de</w:t>
      </w:r>
      <w:r>
        <w:rPr>
          <w:color w:val="231F20"/>
          <w:spacing w:val="-27"/>
          <w:w w:val="105"/>
        </w:rPr>
        <w:t> </w:t>
      </w:r>
      <w:r>
        <w:rPr>
          <w:color w:val="231F20"/>
          <w:w w:val="105"/>
        </w:rPr>
        <w:t>cada</w:t>
      </w:r>
      <w:r>
        <w:rPr>
          <w:color w:val="231F20"/>
          <w:spacing w:val="-27"/>
          <w:w w:val="105"/>
        </w:rPr>
        <w:t> </w:t>
      </w:r>
      <w:r>
        <w:rPr>
          <w:color w:val="231F20"/>
          <w:w w:val="105"/>
        </w:rPr>
        <w:t>uno</w:t>
      </w:r>
      <w:r>
        <w:rPr>
          <w:color w:val="231F20"/>
          <w:spacing w:val="-27"/>
          <w:w w:val="105"/>
        </w:rPr>
        <w:t> </w:t>
      </w:r>
      <w:r>
        <w:rPr>
          <w:color w:val="231F20"/>
          <w:w w:val="105"/>
        </w:rPr>
        <w:t>y</w:t>
      </w:r>
      <w:r>
        <w:rPr>
          <w:color w:val="231F20"/>
          <w:spacing w:val="-27"/>
          <w:w w:val="105"/>
        </w:rPr>
        <w:t> </w:t>
      </w:r>
      <w:r>
        <w:rPr>
          <w:color w:val="231F20"/>
          <w:w w:val="105"/>
        </w:rPr>
        <w:t>asegure</w:t>
      </w:r>
      <w:r>
        <w:rPr>
          <w:color w:val="231F20"/>
          <w:spacing w:val="-27"/>
          <w:w w:val="105"/>
        </w:rPr>
        <w:t> </w:t>
      </w:r>
      <w:r>
        <w:rPr>
          <w:color w:val="231F20"/>
          <w:w w:val="105"/>
        </w:rPr>
        <w:t>la</w:t>
      </w:r>
      <w:r>
        <w:rPr>
          <w:color w:val="231F20"/>
          <w:spacing w:val="-27"/>
          <w:w w:val="105"/>
        </w:rPr>
        <w:t> </w:t>
      </w:r>
      <w:r>
        <w:rPr>
          <w:color w:val="231F20"/>
          <w:w w:val="105"/>
        </w:rPr>
        <w:t>libertad.</w:t>
      </w:r>
      <w:r>
        <w:rPr>
          <w:color w:val="231F20"/>
          <w:spacing w:val="-27"/>
          <w:w w:val="105"/>
        </w:rPr>
        <w:t> </w:t>
      </w:r>
      <w:r>
        <w:rPr>
          <w:color w:val="231F20"/>
          <w:w w:val="105"/>
        </w:rPr>
        <w:t>En</w:t>
      </w:r>
      <w:r>
        <w:rPr>
          <w:color w:val="231F20"/>
          <w:spacing w:val="-27"/>
          <w:w w:val="105"/>
        </w:rPr>
        <w:t> </w:t>
      </w:r>
      <w:r>
        <w:rPr>
          <w:color w:val="231F20"/>
          <w:w w:val="105"/>
        </w:rPr>
        <w:t>la luz</w:t>
      </w:r>
      <w:r>
        <w:rPr>
          <w:color w:val="231F20"/>
          <w:spacing w:val="-35"/>
          <w:w w:val="105"/>
        </w:rPr>
        <w:t> </w:t>
      </w:r>
      <w:r>
        <w:rPr>
          <w:color w:val="231F20"/>
          <w:w w:val="105"/>
        </w:rPr>
        <w:t>dorada</w:t>
      </w:r>
      <w:r>
        <w:rPr>
          <w:color w:val="231F20"/>
          <w:spacing w:val="-35"/>
          <w:w w:val="105"/>
        </w:rPr>
        <w:t> </w:t>
      </w:r>
      <w:r>
        <w:rPr>
          <w:color w:val="231F20"/>
          <w:w w:val="105"/>
        </w:rPr>
        <w:t>del</w:t>
      </w:r>
      <w:r>
        <w:rPr>
          <w:color w:val="231F20"/>
          <w:spacing w:val="-35"/>
          <w:w w:val="105"/>
        </w:rPr>
        <w:t> </w:t>
      </w:r>
      <w:r>
        <w:rPr>
          <w:color w:val="231F20"/>
          <w:w w:val="105"/>
        </w:rPr>
        <w:t>Renacimiento</w:t>
      </w:r>
      <w:r>
        <w:rPr>
          <w:color w:val="231F20"/>
          <w:spacing w:val="-35"/>
          <w:w w:val="105"/>
        </w:rPr>
        <w:t> </w:t>
      </w:r>
      <w:r>
        <w:rPr>
          <w:color w:val="231F20"/>
          <w:w w:val="105"/>
        </w:rPr>
        <w:t>casiano,</w:t>
      </w:r>
      <w:r>
        <w:rPr>
          <w:color w:val="231F20"/>
          <w:spacing w:val="-35"/>
          <w:w w:val="105"/>
        </w:rPr>
        <w:t> </w:t>
      </w:r>
      <w:r>
        <w:rPr>
          <w:color w:val="231F20"/>
          <w:w w:val="105"/>
        </w:rPr>
        <w:t>parecía</w:t>
      </w:r>
      <w:r>
        <w:rPr>
          <w:color w:val="231F20"/>
          <w:spacing w:val="-35"/>
          <w:w w:val="105"/>
        </w:rPr>
        <w:t> </w:t>
      </w:r>
      <w:r>
        <w:rPr>
          <w:color w:val="231F20"/>
          <w:w w:val="105"/>
        </w:rPr>
        <w:t>ser</w:t>
      </w:r>
      <w:r>
        <w:rPr>
          <w:color w:val="231F20"/>
          <w:spacing w:val="-35"/>
          <w:w w:val="105"/>
        </w:rPr>
        <w:t> </w:t>
      </w:r>
      <w:r>
        <w:rPr>
          <w:color w:val="231F20"/>
          <w:w w:val="105"/>
        </w:rPr>
        <w:t>suficiente</w:t>
      </w:r>
      <w:r>
        <w:rPr>
          <w:color w:val="231F20"/>
          <w:spacing w:val="-35"/>
          <w:w w:val="105"/>
        </w:rPr>
        <w:t> </w:t>
      </w:r>
      <w:r>
        <w:rPr>
          <w:color w:val="231F20"/>
          <w:w w:val="105"/>
        </w:rPr>
        <w:t>la</w:t>
      </w:r>
      <w:r>
        <w:rPr>
          <w:color w:val="231F20"/>
          <w:spacing w:val="-35"/>
          <w:w w:val="105"/>
        </w:rPr>
        <w:t> </w:t>
      </w:r>
      <w:r>
        <w:rPr>
          <w:color w:val="231F20"/>
          <w:w w:val="105"/>
        </w:rPr>
        <w:t>esfera</w:t>
      </w:r>
      <w:r>
        <w:rPr>
          <w:color w:val="231F20"/>
          <w:spacing w:val="-35"/>
          <w:w w:val="105"/>
        </w:rPr>
        <w:t> </w:t>
      </w:r>
      <w:r>
        <w:rPr>
          <w:color w:val="231F20"/>
          <w:w w:val="105"/>
        </w:rPr>
        <w:t>mági- ca</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“amistad”,</w:t>
      </w:r>
      <w:r>
        <w:rPr>
          <w:color w:val="231F20"/>
          <w:spacing w:val="-24"/>
          <w:w w:val="105"/>
        </w:rPr>
        <w:t> </w:t>
      </w:r>
      <w:r>
        <w:rPr>
          <w:color w:val="231F20"/>
          <w:w w:val="105"/>
        </w:rPr>
        <w:t>articulada</w:t>
      </w:r>
      <w:r>
        <w:rPr>
          <w:color w:val="231F20"/>
          <w:spacing w:val="-24"/>
          <w:w w:val="105"/>
        </w:rPr>
        <w:t> </w:t>
      </w:r>
      <w:r>
        <w:rPr>
          <w:color w:val="231F20"/>
          <w:w w:val="105"/>
        </w:rPr>
        <w:t>a</w:t>
      </w:r>
      <w:r>
        <w:rPr>
          <w:color w:val="231F20"/>
          <w:spacing w:val="-24"/>
          <w:w w:val="105"/>
        </w:rPr>
        <w:t> </w:t>
      </w:r>
      <w:r>
        <w:rPr>
          <w:color w:val="231F20"/>
          <w:w w:val="105"/>
        </w:rPr>
        <w:t>través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“mayoría”,</w:t>
      </w:r>
      <w:r>
        <w:rPr>
          <w:color w:val="231F20"/>
          <w:spacing w:val="-24"/>
          <w:w w:val="105"/>
        </w:rPr>
        <w:t> </w:t>
      </w:r>
      <w:r>
        <w:rPr>
          <w:color w:val="231F20"/>
          <w:w w:val="105"/>
        </w:rPr>
        <w:t>que</w:t>
      </w:r>
      <w:r>
        <w:rPr>
          <w:color w:val="231F20"/>
          <w:spacing w:val="-24"/>
          <w:w w:val="105"/>
        </w:rPr>
        <w:t> </w:t>
      </w:r>
      <w:r>
        <w:rPr>
          <w:color w:val="231F20"/>
          <w:w w:val="105"/>
        </w:rPr>
        <w:t>es</w:t>
      </w:r>
      <w:r>
        <w:rPr>
          <w:color w:val="231F20"/>
          <w:spacing w:val="-24"/>
          <w:w w:val="105"/>
        </w:rPr>
        <w:t> </w:t>
      </w:r>
      <w:r>
        <w:rPr>
          <w:color w:val="231F20"/>
          <w:w w:val="105"/>
        </w:rPr>
        <w:t>justamente el</w:t>
      </w:r>
      <w:r>
        <w:rPr>
          <w:color w:val="231F20"/>
          <w:spacing w:val="-11"/>
          <w:w w:val="105"/>
        </w:rPr>
        <w:t> </w:t>
      </w:r>
      <w:r>
        <w:rPr>
          <w:color w:val="231F20"/>
          <w:w w:val="105"/>
        </w:rPr>
        <w:t>reconocimiento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diferencia</w:t>
      </w:r>
      <w:r>
        <w:rPr>
          <w:color w:val="231F20"/>
          <w:spacing w:val="-11"/>
          <w:w w:val="105"/>
        </w:rPr>
        <w:t> </w:t>
      </w:r>
      <w:r>
        <w:rPr>
          <w:color w:val="231F20"/>
          <w:w w:val="105"/>
        </w:rPr>
        <w:t>entre</w:t>
      </w:r>
      <w:r>
        <w:rPr>
          <w:color w:val="231F20"/>
          <w:spacing w:val="-11"/>
          <w:w w:val="105"/>
        </w:rPr>
        <w:t> </w:t>
      </w:r>
      <w:r>
        <w:rPr>
          <w:color w:val="231F20"/>
          <w:w w:val="105"/>
        </w:rPr>
        <w:t>los</w:t>
      </w:r>
      <w:r>
        <w:rPr>
          <w:color w:val="231F20"/>
          <w:spacing w:val="-11"/>
          <w:w w:val="105"/>
        </w:rPr>
        <w:t> </w:t>
      </w:r>
      <w:r>
        <w:rPr>
          <w:color w:val="231F20"/>
          <w:w w:val="105"/>
        </w:rPr>
        <w:t>hombres,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respeto</w:t>
      </w:r>
      <w:r>
        <w:rPr>
          <w:color w:val="231F20"/>
          <w:spacing w:val="-11"/>
          <w:w w:val="105"/>
        </w:rPr>
        <w:t> </w:t>
      </w:r>
      <w:r>
        <w:rPr>
          <w:color w:val="231F20"/>
          <w:w w:val="105"/>
        </w:rPr>
        <w:t>de</w:t>
      </w:r>
      <w:r>
        <w:rPr>
          <w:color w:val="231F20"/>
          <w:spacing w:val="-11"/>
          <w:w w:val="105"/>
        </w:rPr>
        <w:t> </w:t>
      </w:r>
      <w:r>
        <w:rPr>
          <w:color w:val="231F20"/>
          <w:w w:val="105"/>
        </w:rPr>
        <w:t>la libertad. Una visión muy distante de la doctrina schmittiana del</w:t>
      </w:r>
      <w:r>
        <w:rPr>
          <w:color w:val="231F20"/>
          <w:spacing w:val="-47"/>
          <w:w w:val="105"/>
        </w:rPr>
        <w:t> </w:t>
      </w:r>
      <w:r>
        <w:rPr>
          <w:rFonts w:ascii="Arial" w:hAnsi="Arial"/>
          <w:i/>
          <w:color w:val="231F20"/>
          <w:w w:val="105"/>
        </w:rPr>
        <w:t>amicus/ </w:t>
      </w:r>
      <w:r>
        <w:rPr>
          <w:rFonts w:ascii="Arial" w:hAnsi="Arial"/>
          <w:i/>
          <w:color w:val="231F20"/>
          <w:w w:val="105"/>
        </w:rPr>
        <w:t>hostis</w:t>
      </w:r>
      <w:r>
        <w:rPr>
          <w:color w:val="231F20"/>
          <w:w w:val="105"/>
        </w:rPr>
        <w:t>.</w:t>
      </w:r>
      <w:r>
        <w:rPr>
          <w:color w:val="231F20"/>
          <w:spacing w:val="-29"/>
          <w:w w:val="105"/>
        </w:rPr>
        <w:t> </w:t>
      </w:r>
      <w:r>
        <w:rPr>
          <w:color w:val="231F20"/>
          <w:w w:val="105"/>
        </w:rPr>
        <w:t>Mi</w:t>
      </w:r>
      <w:r>
        <w:rPr>
          <w:color w:val="231F20"/>
          <w:spacing w:val="-29"/>
          <w:w w:val="105"/>
        </w:rPr>
        <w:t> </w:t>
      </w:r>
      <w:r>
        <w:rPr>
          <w:color w:val="231F20"/>
          <w:w w:val="105"/>
        </w:rPr>
        <w:t>hipótesis</w:t>
      </w:r>
      <w:r>
        <w:rPr>
          <w:color w:val="231F20"/>
          <w:spacing w:val="-29"/>
          <w:w w:val="105"/>
        </w:rPr>
        <w:t> </w:t>
      </w:r>
      <w:r>
        <w:rPr>
          <w:color w:val="231F20"/>
          <w:w w:val="105"/>
        </w:rPr>
        <w:t>es</w:t>
      </w:r>
      <w:r>
        <w:rPr>
          <w:color w:val="231F20"/>
          <w:spacing w:val="-29"/>
          <w:w w:val="105"/>
        </w:rPr>
        <w:t> </w:t>
      </w:r>
      <w:r>
        <w:rPr>
          <w:color w:val="231F20"/>
          <w:w w:val="105"/>
        </w:rPr>
        <w:t>que</w:t>
      </w:r>
      <w:r>
        <w:rPr>
          <w:color w:val="231F20"/>
          <w:spacing w:val="-29"/>
          <w:w w:val="105"/>
        </w:rPr>
        <w:t> </w:t>
      </w:r>
      <w:r>
        <w:rPr>
          <w:color w:val="231F20"/>
          <w:w w:val="105"/>
        </w:rPr>
        <w:t>el</w:t>
      </w:r>
      <w:r>
        <w:rPr>
          <w:color w:val="231F20"/>
          <w:spacing w:val="-29"/>
          <w:w w:val="105"/>
        </w:rPr>
        <w:t> </w:t>
      </w:r>
      <w:r>
        <w:rPr>
          <w:color w:val="231F20"/>
          <w:w w:val="105"/>
        </w:rPr>
        <w:t>“futuro”</w:t>
      </w:r>
      <w:r>
        <w:rPr>
          <w:color w:val="231F20"/>
          <w:spacing w:val="-29"/>
          <w:w w:val="105"/>
        </w:rPr>
        <w:t> </w:t>
      </w:r>
      <w:r>
        <w:rPr>
          <w:color w:val="231F20"/>
          <w:w w:val="105"/>
        </w:rPr>
        <w:t>puede</w:t>
      </w:r>
      <w:r>
        <w:rPr>
          <w:color w:val="231F20"/>
          <w:spacing w:val="-29"/>
          <w:w w:val="105"/>
        </w:rPr>
        <w:t> </w:t>
      </w:r>
      <w:r>
        <w:rPr>
          <w:color w:val="231F20"/>
          <w:w w:val="105"/>
        </w:rPr>
        <w:t>ser</w:t>
      </w:r>
      <w:r>
        <w:rPr>
          <w:color w:val="231F20"/>
          <w:spacing w:val="-29"/>
          <w:w w:val="105"/>
        </w:rPr>
        <w:t> </w:t>
      </w:r>
      <w:r>
        <w:rPr>
          <w:color w:val="231F20"/>
          <w:w w:val="105"/>
        </w:rPr>
        <w:t>marcado</w:t>
      </w:r>
      <w:r>
        <w:rPr>
          <w:color w:val="231F20"/>
          <w:spacing w:val="-29"/>
          <w:w w:val="105"/>
        </w:rPr>
        <w:t> </w:t>
      </w:r>
      <w:r>
        <w:rPr>
          <w:color w:val="231F20"/>
          <w:w w:val="105"/>
        </w:rPr>
        <w:t>también</w:t>
      </w:r>
      <w:r>
        <w:rPr>
          <w:color w:val="231F20"/>
          <w:spacing w:val="-29"/>
          <w:w w:val="105"/>
        </w:rPr>
        <w:t> </w:t>
      </w:r>
      <w:r>
        <w:rPr>
          <w:color w:val="231F20"/>
          <w:w w:val="105"/>
        </w:rPr>
        <w:t>por</w:t>
      </w:r>
      <w:r>
        <w:rPr>
          <w:color w:val="231F20"/>
          <w:spacing w:val="-29"/>
          <w:w w:val="105"/>
        </w:rPr>
        <w:t> </w:t>
      </w:r>
      <w:r>
        <w:rPr>
          <w:color w:val="231F20"/>
          <w:w w:val="105"/>
        </w:rPr>
        <w:t>una</w:t>
      </w:r>
    </w:p>
    <w:p>
      <w:pPr>
        <w:pStyle w:val="BodyText"/>
        <w:rPr>
          <w:sz w:val="20"/>
        </w:rPr>
      </w:pPr>
    </w:p>
    <w:p>
      <w:pPr>
        <w:pStyle w:val="BodyText"/>
        <w:spacing w:before="7"/>
        <w:rPr>
          <w:sz w:val="12"/>
        </w:rPr>
      </w:pPr>
      <w:r>
        <w:rPr/>
        <w:pict>
          <v:line style="position:absolute;mso-position-horizontal-relative:page;mso-position-vertical-relative:paragraph;z-index:5896;mso-wrap-distance-left:0;mso-wrap-distance-right:0" from="70.866096pt,9.705886pt" to="184.252096pt,9.705886pt" stroked="true" strokeweight=".3pt" strokecolor="#231f20">
            <w10:wrap type="topAndBottom"/>
          </v:line>
        </w:pict>
      </w:r>
    </w:p>
    <w:p>
      <w:pPr>
        <w:spacing w:line="206" w:lineRule="exact" w:before="10"/>
        <w:ind w:left="117" w:right="0" w:firstLine="0"/>
        <w:jc w:val="both"/>
        <w:rPr>
          <w:rFonts w:ascii="Calibri" w:hAnsi="Calibri"/>
          <w:sz w:val="17"/>
        </w:rPr>
      </w:pPr>
      <w:r>
        <w:rPr>
          <w:rFonts w:ascii="Calibri" w:hAnsi="Calibri"/>
          <w:color w:val="231F20"/>
          <w:w w:val="105"/>
          <w:position w:val="6"/>
          <w:sz w:val="10"/>
        </w:rPr>
        <w:t>40  </w:t>
      </w:r>
      <w:r>
        <w:rPr>
          <w:rFonts w:ascii="Calibri" w:hAnsi="Calibri"/>
          <w:color w:val="231F20"/>
          <w:w w:val="105"/>
          <w:sz w:val="17"/>
        </w:rPr>
        <w:t>Lo he tratado en P.  Schiera, “I mali della politica: per una formazione   alla Weltgesellschaft”,</w:t>
      </w:r>
    </w:p>
    <w:p>
      <w:pPr>
        <w:spacing w:line="235" w:lineRule="auto" w:before="1"/>
        <w:ind w:left="117" w:right="101" w:firstLine="0"/>
        <w:jc w:val="both"/>
        <w:rPr>
          <w:rFonts w:ascii="Calibri" w:hAnsi="Calibri"/>
          <w:sz w:val="17"/>
        </w:rPr>
      </w:pPr>
      <w:r>
        <w:rPr>
          <w:rFonts w:ascii="Calibri" w:hAnsi="Calibri"/>
          <w:color w:val="231F20"/>
          <w:sz w:val="17"/>
        </w:rPr>
        <w:t>R. Gherardi (Ed.), </w:t>
      </w:r>
      <w:r>
        <w:rPr>
          <w:rFonts w:ascii="Calibri" w:hAnsi="Calibri"/>
          <w:i/>
          <w:color w:val="231F20"/>
          <w:sz w:val="17"/>
        </w:rPr>
        <w:t>Politica, consenso, legittimazione. Trasformazioni e prospettive</w:t>
      </w:r>
      <w:r>
        <w:rPr>
          <w:rFonts w:ascii="Calibri" w:hAnsi="Calibri"/>
          <w:color w:val="231F20"/>
          <w:sz w:val="17"/>
        </w:rPr>
        <w:t>, Roma, Carrocci, 2002, pp. 35–48.</w:t>
      </w:r>
    </w:p>
    <w:p>
      <w:pPr>
        <w:spacing w:line="235" w:lineRule="auto" w:before="0"/>
        <w:ind w:left="117" w:right="101" w:firstLine="0"/>
        <w:jc w:val="both"/>
        <w:rPr>
          <w:rFonts w:ascii="Calibri" w:hAnsi="Calibri"/>
          <w:sz w:val="17"/>
        </w:rPr>
      </w:pPr>
      <w:r>
        <w:rPr>
          <w:rFonts w:ascii="Calibri" w:hAnsi="Calibri"/>
          <w:color w:val="231F20"/>
          <w:position w:val="6"/>
          <w:sz w:val="10"/>
        </w:rPr>
        <w:t>41 </w:t>
      </w:r>
      <w:r>
        <w:rPr>
          <w:rFonts w:ascii="Calibri" w:hAnsi="Calibri"/>
          <w:color w:val="231F20"/>
          <w:sz w:val="17"/>
        </w:rPr>
        <w:t>Tema que —para regresar al hoy, como muestra la cita apenas hecha— es tratado muy bien por Michele Luminati, en sus reflexiones sobre la oralidad del Derecho, dedicadas en particular al caso suizo, pero claramente abiertas a un futuro más amplio: M. Luminati, “Oralità del diritto —Re- loaded. Alcune riflessioni”, C. Bernardi, F. Brancaccio, D. Festa y B. M. Mennini (Eds.), </w:t>
      </w:r>
      <w:r>
        <w:rPr>
          <w:rFonts w:ascii="Calibri" w:hAnsi="Calibri"/>
          <w:i/>
          <w:color w:val="231F20"/>
          <w:sz w:val="17"/>
        </w:rPr>
        <w:t>Fare spazio</w:t>
      </w:r>
      <w:r>
        <w:rPr>
          <w:rFonts w:ascii="Calibri" w:hAnsi="Calibri"/>
          <w:color w:val="231F20"/>
          <w:sz w:val="17"/>
        </w:rPr>
        <w:t>, pp. 65–66.</w:t>
      </w:r>
    </w:p>
    <w:p>
      <w:pPr>
        <w:spacing w:line="235" w:lineRule="auto" w:before="0"/>
        <w:ind w:left="117" w:right="101" w:firstLine="0"/>
        <w:jc w:val="both"/>
        <w:rPr>
          <w:rFonts w:ascii="Calibri" w:hAnsi="Calibri"/>
          <w:sz w:val="17"/>
        </w:rPr>
      </w:pPr>
      <w:r>
        <w:rPr>
          <w:rFonts w:ascii="Calibri" w:hAnsi="Calibri"/>
          <w:color w:val="231F20"/>
          <w:position w:val="6"/>
          <w:sz w:val="10"/>
        </w:rPr>
        <w:t>42 </w:t>
      </w:r>
      <w:r>
        <w:rPr>
          <w:rFonts w:ascii="Calibri" w:hAnsi="Calibri"/>
          <w:color w:val="231F20"/>
          <w:sz w:val="17"/>
        </w:rPr>
        <w:t>P. Schiera, “Stato”, U. Pomarici (Ed.), </w:t>
      </w:r>
      <w:r>
        <w:rPr>
          <w:rFonts w:ascii="Calibri" w:hAnsi="Calibri"/>
          <w:i/>
          <w:color w:val="231F20"/>
          <w:sz w:val="17"/>
        </w:rPr>
        <w:t>Filosofia del diritto. Concetti fondamentali</w:t>
      </w:r>
      <w:r>
        <w:rPr>
          <w:rFonts w:ascii="Calibri" w:hAnsi="Calibri"/>
          <w:color w:val="231F20"/>
          <w:sz w:val="17"/>
        </w:rPr>
        <w:t>, Torino, Giappi- chelli, 2007, pp. 563–568.</w:t>
      </w:r>
    </w:p>
    <w:p>
      <w:pPr>
        <w:spacing w:after="0" w:line="235" w:lineRule="auto"/>
        <w:jc w:val="both"/>
        <w:rPr>
          <w:rFonts w:ascii="Calibri" w:hAnsi="Calibri"/>
          <w:sz w:val="17"/>
        </w:rPr>
        <w:sectPr>
          <w:pgSz w:w="9640" w:h="13890"/>
          <w:pgMar w:top="0" w:bottom="280" w:left="1300" w:right="1200"/>
        </w:sectPr>
      </w:pPr>
    </w:p>
    <w:p>
      <w:pPr>
        <w:pStyle w:val="BodyText"/>
        <w:spacing w:line="244" w:lineRule="auto" w:before="107"/>
        <w:ind w:left="115" w:right="106"/>
        <w:jc w:val="both"/>
      </w:pPr>
      <w:r>
        <w:rPr>
          <w:color w:val="231F20"/>
          <w:w w:val="105"/>
        </w:rPr>
        <w:t>recuperación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amistad,</w:t>
      </w:r>
      <w:r>
        <w:rPr>
          <w:color w:val="231F20"/>
          <w:spacing w:val="-15"/>
          <w:w w:val="105"/>
        </w:rPr>
        <w:t> </w:t>
      </w:r>
      <w:r>
        <w:rPr>
          <w:color w:val="231F20"/>
          <w:w w:val="105"/>
        </w:rPr>
        <w:t>entendida</w:t>
      </w:r>
      <w:r>
        <w:rPr>
          <w:color w:val="231F20"/>
          <w:spacing w:val="-15"/>
          <w:w w:val="105"/>
        </w:rPr>
        <w:t> </w:t>
      </w:r>
      <w:r>
        <w:rPr>
          <w:color w:val="231F20"/>
          <w:w w:val="105"/>
        </w:rPr>
        <w:t>como</w:t>
      </w:r>
      <w:r>
        <w:rPr>
          <w:color w:val="231F20"/>
          <w:spacing w:val="-15"/>
          <w:w w:val="105"/>
        </w:rPr>
        <w:t> </w:t>
      </w:r>
      <w:r>
        <w:rPr>
          <w:color w:val="231F20"/>
          <w:w w:val="105"/>
        </w:rPr>
        <w:t>relación</w:t>
      </w:r>
      <w:r>
        <w:rPr>
          <w:color w:val="231F20"/>
          <w:spacing w:val="-15"/>
          <w:w w:val="105"/>
        </w:rPr>
        <w:t> </w:t>
      </w:r>
      <w:r>
        <w:rPr>
          <w:color w:val="231F20"/>
          <w:w w:val="105"/>
        </w:rPr>
        <w:t>adecuada</w:t>
      </w:r>
      <w:r>
        <w:rPr>
          <w:color w:val="231F20"/>
          <w:spacing w:val="-15"/>
          <w:w w:val="105"/>
        </w:rPr>
        <w:t> </w:t>
      </w:r>
      <w:r>
        <w:rPr>
          <w:color w:val="231F20"/>
          <w:w w:val="105"/>
        </w:rPr>
        <w:t>(medida) entre</w:t>
      </w:r>
      <w:r>
        <w:rPr>
          <w:color w:val="231F20"/>
          <w:spacing w:val="-31"/>
          <w:w w:val="105"/>
        </w:rPr>
        <w:t> </w:t>
      </w:r>
      <w:r>
        <w:rPr>
          <w:color w:val="231F20"/>
          <w:w w:val="105"/>
        </w:rPr>
        <w:t>inferiores</w:t>
      </w:r>
      <w:r>
        <w:rPr>
          <w:color w:val="231F20"/>
          <w:spacing w:val="-31"/>
          <w:w w:val="105"/>
        </w:rPr>
        <w:t> </w:t>
      </w:r>
      <w:r>
        <w:rPr>
          <w:color w:val="231F20"/>
          <w:w w:val="105"/>
        </w:rPr>
        <w:t>y</w:t>
      </w:r>
      <w:r>
        <w:rPr>
          <w:color w:val="231F20"/>
          <w:spacing w:val="-31"/>
          <w:w w:val="105"/>
        </w:rPr>
        <w:t> </w:t>
      </w:r>
      <w:r>
        <w:rPr>
          <w:color w:val="231F20"/>
          <w:w w:val="105"/>
        </w:rPr>
        <w:t>superiores</w:t>
      </w:r>
      <w:r>
        <w:rPr>
          <w:color w:val="231F20"/>
          <w:spacing w:val="-31"/>
          <w:w w:val="105"/>
        </w:rPr>
        <w:t> </w:t>
      </w:r>
      <w:r>
        <w:rPr>
          <w:color w:val="231F20"/>
          <w:w w:val="105"/>
        </w:rPr>
        <w:t>en</w:t>
      </w:r>
      <w:r>
        <w:rPr>
          <w:color w:val="231F20"/>
          <w:spacing w:val="-31"/>
          <w:w w:val="105"/>
        </w:rPr>
        <w:t> </w:t>
      </w:r>
      <w:r>
        <w:rPr>
          <w:color w:val="231F20"/>
          <w:w w:val="105"/>
        </w:rPr>
        <w:t>un</w:t>
      </w:r>
      <w:r>
        <w:rPr>
          <w:color w:val="231F20"/>
          <w:spacing w:val="-31"/>
          <w:w w:val="105"/>
        </w:rPr>
        <w:t> </w:t>
      </w:r>
      <w:r>
        <w:rPr>
          <w:color w:val="231F20"/>
          <w:w w:val="105"/>
        </w:rPr>
        <w:t>cuadro</w:t>
      </w:r>
      <w:r>
        <w:rPr>
          <w:color w:val="231F20"/>
          <w:spacing w:val="-31"/>
          <w:w w:val="105"/>
        </w:rPr>
        <w:t> </w:t>
      </w:r>
      <w:r>
        <w:rPr>
          <w:color w:val="231F20"/>
          <w:w w:val="105"/>
        </w:rPr>
        <w:t>de</w:t>
      </w:r>
      <w:r>
        <w:rPr>
          <w:color w:val="231F20"/>
          <w:spacing w:val="-31"/>
          <w:w w:val="105"/>
        </w:rPr>
        <w:t> </w:t>
      </w:r>
      <w:r>
        <w:rPr>
          <w:color w:val="231F20"/>
          <w:w w:val="105"/>
        </w:rPr>
        <w:t>dignidad</w:t>
      </w:r>
      <w:r>
        <w:rPr>
          <w:color w:val="231F20"/>
          <w:spacing w:val="-31"/>
          <w:w w:val="105"/>
        </w:rPr>
        <w:t> </w:t>
      </w:r>
      <w:r>
        <w:rPr>
          <w:color w:val="231F20"/>
          <w:w w:val="105"/>
        </w:rPr>
        <w:t>y</w:t>
      </w:r>
      <w:r>
        <w:rPr>
          <w:color w:val="231F20"/>
          <w:spacing w:val="-31"/>
          <w:w w:val="105"/>
        </w:rPr>
        <w:t> </w:t>
      </w:r>
      <w:r>
        <w:rPr>
          <w:color w:val="231F20"/>
          <w:w w:val="105"/>
        </w:rPr>
        <w:t>libertad</w:t>
      </w:r>
      <w:r>
        <w:rPr>
          <w:color w:val="231F20"/>
          <w:spacing w:val="-31"/>
          <w:w w:val="105"/>
        </w:rPr>
        <w:t> </w:t>
      </w:r>
      <w:r>
        <w:rPr>
          <w:color w:val="231F20"/>
          <w:w w:val="105"/>
        </w:rPr>
        <w:t>total,</w:t>
      </w:r>
      <w:r>
        <w:rPr>
          <w:color w:val="231F20"/>
          <w:spacing w:val="-31"/>
          <w:w w:val="105"/>
        </w:rPr>
        <w:t> </w:t>
      </w:r>
      <w:r>
        <w:rPr>
          <w:color w:val="231F20"/>
          <w:w w:val="105"/>
        </w:rPr>
        <w:t>pero sobre</w:t>
      </w:r>
      <w:r>
        <w:rPr>
          <w:color w:val="231F20"/>
          <w:spacing w:val="-30"/>
          <w:w w:val="105"/>
        </w:rPr>
        <w:t> </w:t>
      </w:r>
      <w:r>
        <w:rPr>
          <w:color w:val="231F20"/>
          <w:w w:val="105"/>
        </w:rPr>
        <w:t>todo</w:t>
      </w:r>
      <w:r>
        <w:rPr>
          <w:color w:val="231F20"/>
          <w:spacing w:val="-30"/>
          <w:w w:val="105"/>
        </w:rPr>
        <w:t> </w:t>
      </w:r>
      <w:r>
        <w:rPr>
          <w:color w:val="231F20"/>
          <w:w w:val="105"/>
        </w:rPr>
        <w:t>del</w:t>
      </w:r>
      <w:r>
        <w:rPr>
          <w:color w:val="231F20"/>
          <w:spacing w:val="-30"/>
          <w:w w:val="105"/>
        </w:rPr>
        <w:t> </w:t>
      </w:r>
      <w:r>
        <w:rPr>
          <w:color w:val="231F20"/>
          <w:w w:val="105"/>
        </w:rPr>
        <w:t>nuevo</w:t>
      </w:r>
      <w:r>
        <w:rPr>
          <w:color w:val="231F20"/>
          <w:spacing w:val="-30"/>
          <w:w w:val="105"/>
        </w:rPr>
        <w:t> </w:t>
      </w:r>
      <w:r>
        <w:rPr>
          <w:color w:val="231F20"/>
          <w:w w:val="105"/>
        </w:rPr>
        <w:t>cuadro</w:t>
      </w:r>
      <w:r>
        <w:rPr>
          <w:color w:val="231F20"/>
          <w:spacing w:val="-30"/>
          <w:w w:val="105"/>
        </w:rPr>
        <w:t> </w:t>
      </w:r>
      <w:r>
        <w:rPr>
          <w:color w:val="231F20"/>
          <w:w w:val="105"/>
        </w:rPr>
        <w:t>de</w:t>
      </w:r>
      <w:r>
        <w:rPr>
          <w:color w:val="231F20"/>
          <w:spacing w:val="-30"/>
          <w:w w:val="105"/>
        </w:rPr>
        <w:t> </w:t>
      </w:r>
      <w:r>
        <w:rPr>
          <w:color w:val="231F20"/>
          <w:w w:val="105"/>
        </w:rPr>
        <w:t>“comunidad”,</w:t>
      </w:r>
      <w:r>
        <w:rPr>
          <w:color w:val="231F20"/>
          <w:spacing w:val="-30"/>
          <w:w w:val="105"/>
        </w:rPr>
        <w:t> </w:t>
      </w:r>
      <w:r>
        <w:rPr>
          <w:color w:val="231F20"/>
          <w:w w:val="105"/>
        </w:rPr>
        <w:t>gracias</w:t>
      </w:r>
      <w:r>
        <w:rPr>
          <w:color w:val="231F20"/>
          <w:spacing w:val="-30"/>
          <w:w w:val="105"/>
        </w:rPr>
        <w:t> </w:t>
      </w:r>
      <w:r>
        <w:rPr>
          <w:color w:val="231F20"/>
          <w:w w:val="105"/>
        </w:rPr>
        <w:t>a</w:t>
      </w:r>
      <w:r>
        <w:rPr>
          <w:color w:val="231F20"/>
          <w:spacing w:val="-30"/>
          <w:w w:val="105"/>
        </w:rPr>
        <w:t> </w:t>
      </w:r>
      <w:r>
        <w:rPr>
          <w:color w:val="231F20"/>
          <w:w w:val="105"/>
        </w:rPr>
        <w:t>una</w:t>
      </w:r>
      <w:r>
        <w:rPr>
          <w:color w:val="231F20"/>
          <w:spacing w:val="-30"/>
          <w:w w:val="105"/>
        </w:rPr>
        <w:t> </w:t>
      </w:r>
      <w:r>
        <w:rPr>
          <w:color w:val="231F20"/>
          <w:w w:val="105"/>
        </w:rPr>
        <w:t>progresiva</w:t>
      </w:r>
      <w:r>
        <w:rPr>
          <w:color w:val="231F20"/>
          <w:spacing w:val="-30"/>
          <w:w w:val="105"/>
        </w:rPr>
        <w:t> </w:t>
      </w:r>
      <w:r>
        <w:rPr>
          <w:color w:val="231F20"/>
          <w:w w:val="105"/>
        </w:rPr>
        <w:t>ex- tensión</w:t>
      </w:r>
      <w:r>
        <w:rPr>
          <w:color w:val="231F20"/>
          <w:spacing w:val="-15"/>
          <w:w w:val="105"/>
        </w:rPr>
        <w:t> </w:t>
      </w:r>
      <w:r>
        <w:rPr>
          <w:color w:val="231F20"/>
          <w:w w:val="105"/>
        </w:rPr>
        <w:t>del</w:t>
      </w:r>
      <w:r>
        <w:rPr>
          <w:color w:val="231F20"/>
          <w:spacing w:val="-15"/>
          <w:w w:val="105"/>
        </w:rPr>
        <w:t> </w:t>
      </w:r>
      <w:r>
        <w:rPr>
          <w:color w:val="231F20"/>
          <w:w w:val="105"/>
        </w:rPr>
        <w:t>campo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“bienes”</w:t>
      </w:r>
      <w:r>
        <w:rPr>
          <w:color w:val="231F20"/>
          <w:spacing w:val="-15"/>
          <w:w w:val="105"/>
        </w:rPr>
        <w:t> </w:t>
      </w:r>
      <w:r>
        <w:rPr>
          <w:color w:val="231F20"/>
          <w:w w:val="105"/>
        </w:rPr>
        <w:t>comunes:</w:t>
      </w:r>
      <w:r>
        <w:rPr>
          <w:color w:val="231F20"/>
          <w:spacing w:val="-15"/>
          <w:w w:val="105"/>
        </w:rPr>
        <w:t> </w:t>
      </w:r>
      <w:r>
        <w:rPr>
          <w:color w:val="231F20"/>
          <w:w w:val="105"/>
        </w:rPr>
        <w:t>de</w:t>
      </w:r>
      <w:r>
        <w:rPr>
          <w:color w:val="231F20"/>
          <w:spacing w:val="-15"/>
          <w:w w:val="105"/>
        </w:rPr>
        <w:t> </w:t>
      </w:r>
      <w:r>
        <w:rPr>
          <w:color w:val="231F20"/>
          <w:w w:val="105"/>
        </w:rPr>
        <w:t>aquellos</w:t>
      </w:r>
      <w:r>
        <w:rPr>
          <w:color w:val="231F20"/>
          <w:spacing w:val="-15"/>
          <w:w w:val="105"/>
        </w:rPr>
        <w:t> </w:t>
      </w:r>
      <w:r>
        <w:rPr>
          <w:color w:val="231F20"/>
          <w:w w:val="105"/>
        </w:rPr>
        <w:t>por</w:t>
      </w:r>
      <w:r>
        <w:rPr>
          <w:color w:val="231F20"/>
          <w:spacing w:val="-15"/>
          <w:w w:val="105"/>
        </w:rPr>
        <w:t> </w:t>
      </w:r>
      <w:r>
        <w:rPr>
          <w:color w:val="231F20"/>
          <w:w w:val="105"/>
        </w:rPr>
        <w:t>así</w:t>
      </w:r>
      <w:r>
        <w:rPr>
          <w:color w:val="231F20"/>
          <w:spacing w:val="-15"/>
          <w:w w:val="105"/>
        </w:rPr>
        <w:t> </w:t>
      </w:r>
      <w:r>
        <w:rPr>
          <w:color w:val="231F20"/>
          <w:w w:val="105"/>
        </w:rPr>
        <w:t>llamarlos materiales,</w:t>
      </w:r>
      <w:r>
        <w:rPr>
          <w:color w:val="231F20"/>
          <w:spacing w:val="-23"/>
          <w:w w:val="105"/>
        </w:rPr>
        <w:t> </w:t>
      </w:r>
      <w:r>
        <w:rPr>
          <w:color w:val="231F20"/>
          <w:w w:val="105"/>
        </w:rPr>
        <w:t>que</w:t>
      </w:r>
      <w:r>
        <w:rPr>
          <w:color w:val="231F20"/>
          <w:spacing w:val="-23"/>
          <w:w w:val="105"/>
        </w:rPr>
        <w:t> </w:t>
      </w:r>
      <w:r>
        <w:rPr>
          <w:color w:val="231F20"/>
          <w:w w:val="105"/>
        </w:rPr>
        <w:t>tienen</w:t>
      </w:r>
      <w:r>
        <w:rPr>
          <w:color w:val="231F20"/>
          <w:spacing w:val="-23"/>
          <w:w w:val="105"/>
        </w:rPr>
        <w:t> </w:t>
      </w:r>
      <w:r>
        <w:rPr>
          <w:color w:val="231F20"/>
          <w:w w:val="105"/>
        </w:rPr>
        <w:t>que</w:t>
      </w:r>
      <w:r>
        <w:rPr>
          <w:color w:val="231F20"/>
          <w:spacing w:val="-23"/>
          <w:w w:val="105"/>
        </w:rPr>
        <w:t> </w:t>
      </w:r>
      <w:r>
        <w:rPr>
          <w:color w:val="231F20"/>
          <w:w w:val="105"/>
        </w:rPr>
        <w:t>ver</w:t>
      </w:r>
      <w:r>
        <w:rPr>
          <w:color w:val="231F20"/>
          <w:spacing w:val="-23"/>
          <w:w w:val="105"/>
        </w:rPr>
        <w:t> </w:t>
      </w:r>
      <w:r>
        <w:rPr>
          <w:color w:val="231F20"/>
          <w:w w:val="105"/>
        </w:rPr>
        <w:t>directamente</w:t>
      </w:r>
      <w:r>
        <w:rPr>
          <w:color w:val="231F20"/>
          <w:spacing w:val="-23"/>
          <w:w w:val="105"/>
        </w:rPr>
        <w:t> </w:t>
      </w:r>
      <w:r>
        <w:rPr>
          <w:color w:val="231F20"/>
          <w:w w:val="105"/>
        </w:rPr>
        <w:t>con</w:t>
      </w:r>
      <w:r>
        <w:rPr>
          <w:color w:val="231F20"/>
          <w:spacing w:val="-23"/>
          <w:w w:val="105"/>
        </w:rPr>
        <w:t> </w:t>
      </w:r>
      <w:r>
        <w:rPr>
          <w:color w:val="231F20"/>
          <w:w w:val="105"/>
        </w:rPr>
        <w:t>la</w:t>
      </w:r>
      <w:r>
        <w:rPr>
          <w:color w:val="231F20"/>
          <w:spacing w:val="-23"/>
          <w:w w:val="105"/>
        </w:rPr>
        <w:t> </w:t>
      </w:r>
      <w:r>
        <w:rPr>
          <w:color w:val="231F20"/>
          <w:w w:val="105"/>
        </w:rPr>
        <w:t>vida</w:t>
      </w:r>
      <w:r>
        <w:rPr>
          <w:color w:val="231F20"/>
          <w:spacing w:val="-23"/>
          <w:w w:val="105"/>
        </w:rPr>
        <w:t> </w:t>
      </w:r>
      <w:r>
        <w:rPr>
          <w:color w:val="231F20"/>
          <w:w w:val="105"/>
        </w:rPr>
        <w:t>y</w:t>
      </w:r>
      <w:r>
        <w:rPr>
          <w:color w:val="231F20"/>
          <w:spacing w:val="-23"/>
          <w:w w:val="105"/>
        </w:rPr>
        <w:t> </w:t>
      </w:r>
      <w:r>
        <w:rPr>
          <w:color w:val="231F20"/>
          <w:w w:val="105"/>
        </w:rPr>
        <w:t>la</w:t>
      </w:r>
      <w:r>
        <w:rPr>
          <w:color w:val="231F20"/>
          <w:spacing w:val="-23"/>
          <w:w w:val="105"/>
        </w:rPr>
        <w:t> </w:t>
      </w:r>
      <w:r>
        <w:rPr>
          <w:color w:val="231F20"/>
          <w:w w:val="105"/>
        </w:rPr>
        <w:t>sobrevivencia digna,</w:t>
      </w:r>
      <w:r>
        <w:rPr>
          <w:color w:val="231F20"/>
          <w:spacing w:val="-23"/>
          <w:w w:val="105"/>
        </w:rPr>
        <w:t> </w:t>
      </w:r>
      <w:r>
        <w:rPr>
          <w:color w:val="231F20"/>
          <w:w w:val="105"/>
        </w:rPr>
        <w:t>a</w:t>
      </w:r>
      <w:r>
        <w:rPr>
          <w:color w:val="231F20"/>
          <w:spacing w:val="-23"/>
          <w:w w:val="105"/>
        </w:rPr>
        <w:t> </w:t>
      </w:r>
      <w:r>
        <w:rPr>
          <w:color w:val="231F20"/>
          <w:w w:val="105"/>
        </w:rPr>
        <w:t>aquellos</w:t>
      </w:r>
      <w:r>
        <w:rPr>
          <w:color w:val="231F20"/>
          <w:spacing w:val="-23"/>
          <w:w w:val="105"/>
        </w:rPr>
        <w:t> </w:t>
      </w:r>
      <w:r>
        <w:rPr>
          <w:color w:val="231F20"/>
          <w:w w:val="105"/>
        </w:rPr>
        <w:t>inmateriales</w:t>
      </w:r>
      <w:r>
        <w:rPr>
          <w:color w:val="231F20"/>
          <w:spacing w:val="-23"/>
          <w:w w:val="105"/>
        </w:rPr>
        <w:t> </w:t>
      </w:r>
      <w:r>
        <w:rPr>
          <w:color w:val="231F20"/>
          <w:w w:val="105"/>
        </w:rPr>
        <w:t>más</w:t>
      </w:r>
      <w:r>
        <w:rPr>
          <w:color w:val="231F20"/>
          <w:spacing w:val="-23"/>
          <w:w w:val="105"/>
        </w:rPr>
        <w:t> </w:t>
      </w:r>
      <w:r>
        <w:rPr>
          <w:color w:val="231F20"/>
          <w:w w:val="105"/>
        </w:rPr>
        <w:t>o</w:t>
      </w:r>
      <w:r>
        <w:rPr>
          <w:color w:val="231F20"/>
          <w:spacing w:val="-23"/>
          <w:w w:val="105"/>
        </w:rPr>
        <w:t> </w:t>
      </w:r>
      <w:r>
        <w:rPr>
          <w:color w:val="231F20"/>
          <w:w w:val="105"/>
        </w:rPr>
        <w:t>menos</w:t>
      </w:r>
      <w:r>
        <w:rPr>
          <w:color w:val="231F20"/>
          <w:spacing w:val="-23"/>
          <w:w w:val="105"/>
        </w:rPr>
        <w:t> </w:t>
      </w:r>
      <w:r>
        <w:rPr>
          <w:color w:val="231F20"/>
          <w:w w:val="105"/>
        </w:rPr>
        <w:t>identificables</w:t>
      </w:r>
      <w:r>
        <w:rPr>
          <w:color w:val="231F20"/>
          <w:spacing w:val="-23"/>
          <w:w w:val="105"/>
        </w:rPr>
        <w:t> </w:t>
      </w:r>
      <w:r>
        <w:rPr>
          <w:color w:val="231F20"/>
          <w:w w:val="105"/>
        </w:rPr>
        <w:t>como</w:t>
      </w:r>
      <w:r>
        <w:rPr>
          <w:color w:val="231F20"/>
          <w:spacing w:val="-23"/>
          <w:w w:val="105"/>
        </w:rPr>
        <w:t> </w:t>
      </w:r>
      <w:r>
        <w:rPr>
          <w:rFonts w:ascii="Arial" w:hAnsi="Arial"/>
          <w:i/>
          <w:color w:val="231F20"/>
          <w:w w:val="105"/>
        </w:rPr>
        <w:t>human</w:t>
      </w:r>
      <w:r>
        <w:rPr>
          <w:rFonts w:ascii="Arial" w:hAnsi="Arial"/>
          <w:i/>
          <w:color w:val="231F20"/>
          <w:spacing w:val="-15"/>
          <w:w w:val="105"/>
        </w:rPr>
        <w:t> </w:t>
      </w:r>
      <w:r>
        <w:rPr>
          <w:rFonts w:ascii="Arial" w:hAnsi="Arial"/>
          <w:i/>
          <w:color w:val="231F20"/>
          <w:w w:val="105"/>
        </w:rPr>
        <w:t>ri- </w:t>
      </w:r>
      <w:r>
        <w:rPr>
          <w:rFonts w:ascii="Arial" w:hAnsi="Arial"/>
          <w:i/>
          <w:color w:val="231F20"/>
          <w:w w:val="105"/>
        </w:rPr>
        <w:t>ghts</w:t>
      </w:r>
      <w:r>
        <w:rPr>
          <w:color w:val="231F20"/>
          <w:w w:val="105"/>
        </w:rPr>
        <w:t>,</w:t>
      </w:r>
      <w:r>
        <w:rPr>
          <w:color w:val="231F20"/>
          <w:spacing w:val="-22"/>
          <w:w w:val="105"/>
        </w:rPr>
        <w:t> </w:t>
      </w:r>
      <w:r>
        <w:rPr>
          <w:color w:val="231F20"/>
          <w:w w:val="105"/>
        </w:rPr>
        <w:t>hasta</w:t>
      </w:r>
      <w:r>
        <w:rPr>
          <w:color w:val="231F20"/>
          <w:spacing w:val="-22"/>
          <w:w w:val="105"/>
        </w:rPr>
        <w:t> </w:t>
      </w:r>
      <w:r>
        <w:rPr>
          <w:color w:val="231F20"/>
          <w:w w:val="105"/>
        </w:rPr>
        <w:t>incluir</w:t>
      </w:r>
      <w:r>
        <w:rPr>
          <w:color w:val="231F20"/>
          <w:spacing w:val="-22"/>
          <w:w w:val="105"/>
        </w:rPr>
        <w:t> </w:t>
      </w:r>
      <w:r>
        <w:rPr>
          <w:color w:val="231F20"/>
          <w:w w:val="105"/>
        </w:rPr>
        <w:t>los</w:t>
      </w:r>
      <w:r>
        <w:rPr>
          <w:color w:val="231F20"/>
          <w:spacing w:val="-22"/>
          <w:w w:val="105"/>
        </w:rPr>
        <w:t> </w:t>
      </w:r>
      <w:r>
        <w:rPr>
          <w:color w:val="231F20"/>
          <w:w w:val="105"/>
        </w:rPr>
        <w:t>mismos</w:t>
      </w:r>
      <w:r>
        <w:rPr>
          <w:color w:val="231F20"/>
          <w:spacing w:val="-22"/>
          <w:w w:val="105"/>
        </w:rPr>
        <w:t> </w:t>
      </w:r>
      <w:r>
        <w:rPr>
          <w:color w:val="231F20"/>
          <w:w w:val="105"/>
        </w:rPr>
        <w:t>bienes</w:t>
      </w:r>
      <w:r>
        <w:rPr>
          <w:color w:val="231F20"/>
          <w:spacing w:val="-22"/>
          <w:w w:val="105"/>
        </w:rPr>
        <w:t> </w:t>
      </w:r>
      <w:r>
        <w:rPr>
          <w:color w:val="231F20"/>
          <w:w w:val="105"/>
        </w:rPr>
        <w:t>instrumentales,</w:t>
      </w:r>
      <w:r>
        <w:rPr>
          <w:color w:val="231F20"/>
          <w:spacing w:val="-22"/>
          <w:w w:val="105"/>
        </w:rPr>
        <w:t> </w:t>
      </w:r>
      <w:r>
        <w:rPr>
          <w:color w:val="231F20"/>
          <w:w w:val="105"/>
        </w:rPr>
        <w:t>por</w:t>
      </w:r>
      <w:r>
        <w:rPr>
          <w:color w:val="231F20"/>
          <w:spacing w:val="-22"/>
          <w:w w:val="105"/>
        </w:rPr>
        <w:t> </w:t>
      </w:r>
      <w:r>
        <w:rPr>
          <w:color w:val="231F20"/>
          <w:w w:val="105"/>
        </w:rPr>
        <w:t>así</w:t>
      </w:r>
      <w:r>
        <w:rPr>
          <w:color w:val="231F20"/>
          <w:spacing w:val="-22"/>
          <w:w w:val="105"/>
        </w:rPr>
        <w:t> </w:t>
      </w:r>
      <w:r>
        <w:rPr>
          <w:color w:val="231F20"/>
          <w:w w:val="105"/>
        </w:rPr>
        <w:t>llamarlos</w:t>
      </w:r>
      <w:r>
        <w:rPr>
          <w:color w:val="231F20"/>
          <w:spacing w:val="-22"/>
          <w:w w:val="105"/>
        </w:rPr>
        <w:t> </w:t>
      </w:r>
      <w:r>
        <w:rPr>
          <w:color w:val="231F20"/>
          <w:w w:val="105"/>
        </w:rPr>
        <w:t>“de servicio”,</w:t>
      </w:r>
      <w:r>
        <w:rPr>
          <w:color w:val="231F20"/>
          <w:spacing w:val="-39"/>
          <w:w w:val="105"/>
        </w:rPr>
        <w:t> </w:t>
      </w:r>
      <w:r>
        <w:rPr>
          <w:color w:val="231F20"/>
          <w:w w:val="105"/>
        </w:rPr>
        <w:t>sin</w:t>
      </w:r>
      <w:r>
        <w:rPr>
          <w:color w:val="231F20"/>
          <w:spacing w:val="-39"/>
          <w:w w:val="105"/>
        </w:rPr>
        <w:t> </w:t>
      </w:r>
      <w:r>
        <w:rPr>
          <w:color w:val="231F20"/>
          <w:w w:val="105"/>
        </w:rPr>
        <w:t>los</w:t>
      </w:r>
      <w:r>
        <w:rPr>
          <w:color w:val="231F20"/>
          <w:spacing w:val="-39"/>
          <w:w w:val="105"/>
        </w:rPr>
        <w:t> </w:t>
      </w:r>
      <w:r>
        <w:rPr>
          <w:color w:val="231F20"/>
          <w:w w:val="105"/>
        </w:rPr>
        <w:t>cuales</w:t>
      </w:r>
      <w:r>
        <w:rPr>
          <w:color w:val="231F20"/>
          <w:spacing w:val="-39"/>
          <w:w w:val="105"/>
        </w:rPr>
        <w:t> </w:t>
      </w:r>
      <w:r>
        <w:rPr>
          <w:color w:val="231F20"/>
          <w:w w:val="105"/>
        </w:rPr>
        <w:t>las</w:t>
      </w:r>
      <w:r>
        <w:rPr>
          <w:color w:val="231F20"/>
          <w:spacing w:val="-39"/>
          <w:w w:val="105"/>
        </w:rPr>
        <w:t> </w:t>
      </w:r>
      <w:r>
        <w:rPr>
          <w:color w:val="231F20"/>
          <w:w w:val="105"/>
        </w:rPr>
        <w:t>otras</w:t>
      </w:r>
      <w:r>
        <w:rPr>
          <w:color w:val="231F20"/>
          <w:spacing w:val="-39"/>
          <w:w w:val="105"/>
        </w:rPr>
        <w:t> </w:t>
      </w:r>
      <w:r>
        <w:rPr>
          <w:color w:val="231F20"/>
          <w:w w:val="105"/>
        </w:rPr>
        <w:t>dos</w:t>
      </w:r>
      <w:r>
        <w:rPr>
          <w:color w:val="231F20"/>
          <w:spacing w:val="-39"/>
          <w:w w:val="105"/>
        </w:rPr>
        <w:t> </w:t>
      </w:r>
      <w:r>
        <w:rPr>
          <w:color w:val="231F20"/>
          <w:w w:val="105"/>
        </w:rPr>
        <w:t>categorías</w:t>
      </w:r>
      <w:r>
        <w:rPr>
          <w:color w:val="231F20"/>
          <w:spacing w:val="-39"/>
          <w:w w:val="105"/>
        </w:rPr>
        <w:t> </w:t>
      </w:r>
      <w:r>
        <w:rPr>
          <w:color w:val="231F20"/>
          <w:w w:val="105"/>
        </w:rPr>
        <w:t>no</w:t>
      </w:r>
      <w:r>
        <w:rPr>
          <w:color w:val="231F20"/>
          <w:spacing w:val="-39"/>
          <w:w w:val="105"/>
        </w:rPr>
        <w:t> </w:t>
      </w:r>
      <w:r>
        <w:rPr>
          <w:color w:val="231F20"/>
          <w:w w:val="105"/>
        </w:rPr>
        <w:t>sabrían</w:t>
      </w:r>
      <w:r>
        <w:rPr>
          <w:color w:val="231F20"/>
          <w:spacing w:val="-39"/>
          <w:w w:val="105"/>
        </w:rPr>
        <w:t> </w:t>
      </w:r>
      <w:r>
        <w:rPr>
          <w:color w:val="231F20"/>
          <w:w w:val="105"/>
        </w:rPr>
        <w:t>ser</w:t>
      </w:r>
      <w:r>
        <w:rPr>
          <w:color w:val="231F20"/>
          <w:spacing w:val="-39"/>
          <w:w w:val="105"/>
        </w:rPr>
        <w:t> </w:t>
      </w:r>
      <w:r>
        <w:rPr>
          <w:color w:val="231F20"/>
          <w:w w:val="105"/>
        </w:rPr>
        <w:t>utilizadas.</w:t>
      </w:r>
      <w:r>
        <w:rPr>
          <w:color w:val="231F20"/>
          <w:spacing w:val="-39"/>
          <w:w w:val="105"/>
        </w:rPr>
        <w:t> </w:t>
      </w:r>
      <w:r>
        <w:rPr>
          <w:color w:val="231F20"/>
          <w:w w:val="105"/>
        </w:rPr>
        <w:t>Me limito</w:t>
      </w:r>
      <w:r>
        <w:rPr>
          <w:color w:val="231F20"/>
          <w:spacing w:val="-16"/>
          <w:w w:val="105"/>
        </w:rPr>
        <w:t> </w:t>
      </w:r>
      <w:r>
        <w:rPr>
          <w:color w:val="231F20"/>
          <w:w w:val="105"/>
        </w:rPr>
        <w:t>aquí</w:t>
      </w:r>
      <w:r>
        <w:rPr>
          <w:color w:val="231F20"/>
          <w:spacing w:val="-16"/>
          <w:w w:val="105"/>
        </w:rPr>
        <w:t> </w:t>
      </w:r>
      <w:r>
        <w:rPr>
          <w:color w:val="231F20"/>
          <w:w w:val="105"/>
        </w:rPr>
        <w:t>a</w:t>
      </w:r>
      <w:r>
        <w:rPr>
          <w:color w:val="231F20"/>
          <w:spacing w:val="-16"/>
          <w:w w:val="105"/>
        </w:rPr>
        <w:t> </w:t>
      </w:r>
      <w:r>
        <w:rPr>
          <w:color w:val="231F20"/>
          <w:w w:val="105"/>
        </w:rPr>
        <w:t>recordar</w:t>
      </w:r>
      <w:r>
        <w:rPr>
          <w:color w:val="231F20"/>
          <w:spacing w:val="-16"/>
          <w:w w:val="105"/>
        </w:rPr>
        <w:t> </w:t>
      </w:r>
      <w:r>
        <w:rPr>
          <w:color w:val="231F20"/>
          <w:w w:val="105"/>
        </w:rPr>
        <w:t>fisco,</w:t>
      </w:r>
      <w:r>
        <w:rPr>
          <w:color w:val="231F20"/>
          <w:spacing w:val="-16"/>
          <w:w w:val="105"/>
        </w:rPr>
        <w:t> </w:t>
      </w:r>
      <w:r>
        <w:rPr>
          <w:color w:val="231F20"/>
          <w:w w:val="105"/>
        </w:rPr>
        <w:t>administración</w:t>
      </w:r>
      <w:r>
        <w:rPr>
          <w:color w:val="231F20"/>
          <w:spacing w:val="-16"/>
          <w:w w:val="105"/>
        </w:rPr>
        <w:t> </w:t>
      </w:r>
      <w:r>
        <w:rPr>
          <w:color w:val="231F20"/>
          <w:w w:val="105"/>
        </w:rPr>
        <w:t>y</w:t>
      </w:r>
      <w:r>
        <w:rPr>
          <w:color w:val="231F20"/>
          <w:spacing w:val="-16"/>
          <w:w w:val="105"/>
        </w:rPr>
        <w:t> </w:t>
      </w:r>
      <w:r>
        <w:rPr>
          <w:color w:val="231F20"/>
          <w:w w:val="105"/>
        </w:rPr>
        <w:t>responsabilidad</w:t>
      </w:r>
      <w:r>
        <w:rPr>
          <w:color w:val="231F20"/>
          <w:spacing w:val="-16"/>
          <w:w w:val="105"/>
        </w:rPr>
        <w:t> </w:t>
      </w:r>
      <w:r>
        <w:rPr>
          <w:color w:val="231F20"/>
          <w:w w:val="105"/>
        </w:rPr>
        <w:t>contractual, sólo</w:t>
      </w:r>
      <w:r>
        <w:rPr>
          <w:color w:val="231F20"/>
          <w:spacing w:val="-36"/>
          <w:w w:val="105"/>
        </w:rPr>
        <w:t> </w:t>
      </w:r>
      <w:r>
        <w:rPr>
          <w:color w:val="231F20"/>
          <w:w w:val="105"/>
        </w:rPr>
        <w:t>por</w:t>
      </w:r>
      <w:r>
        <w:rPr>
          <w:color w:val="231F20"/>
          <w:spacing w:val="-36"/>
          <w:w w:val="105"/>
        </w:rPr>
        <w:t> </w:t>
      </w:r>
      <w:r>
        <w:rPr>
          <w:color w:val="231F20"/>
          <w:w w:val="105"/>
        </w:rPr>
        <w:t>mencionar</w:t>
      </w:r>
      <w:r>
        <w:rPr>
          <w:color w:val="231F20"/>
          <w:spacing w:val="-36"/>
          <w:w w:val="105"/>
        </w:rPr>
        <w:t> </w:t>
      </w:r>
      <w:r>
        <w:rPr>
          <w:color w:val="231F20"/>
          <w:w w:val="105"/>
        </w:rPr>
        <w:t>las</w:t>
      </w:r>
      <w:r>
        <w:rPr>
          <w:color w:val="231F20"/>
          <w:spacing w:val="-36"/>
          <w:w w:val="105"/>
        </w:rPr>
        <w:t> </w:t>
      </w:r>
      <w:r>
        <w:rPr>
          <w:color w:val="231F20"/>
          <w:w w:val="105"/>
        </w:rPr>
        <w:t>tres</w:t>
      </w:r>
      <w:r>
        <w:rPr>
          <w:color w:val="231F20"/>
          <w:spacing w:val="-36"/>
          <w:w w:val="105"/>
        </w:rPr>
        <w:t> </w:t>
      </w:r>
      <w:r>
        <w:rPr>
          <w:color w:val="231F20"/>
          <w:w w:val="105"/>
        </w:rPr>
        <w:t>ramas</w:t>
      </w:r>
      <w:r>
        <w:rPr>
          <w:color w:val="231F20"/>
          <w:spacing w:val="-36"/>
          <w:w w:val="105"/>
        </w:rPr>
        <w:t> </w:t>
      </w:r>
      <w:r>
        <w:rPr>
          <w:color w:val="231F20"/>
          <w:w w:val="105"/>
        </w:rPr>
        <w:t>del</w:t>
      </w:r>
      <w:r>
        <w:rPr>
          <w:color w:val="231F20"/>
          <w:spacing w:val="-36"/>
          <w:w w:val="105"/>
        </w:rPr>
        <w:t> </w:t>
      </w:r>
      <w:r>
        <w:rPr>
          <w:color w:val="231F20"/>
          <w:w w:val="105"/>
        </w:rPr>
        <w:t>Derecho,</w:t>
      </w:r>
      <w:r>
        <w:rPr>
          <w:color w:val="231F20"/>
          <w:spacing w:val="-36"/>
          <w:w w:val="105"/>
        </w:rPr>
        <w:t> </w:t>
      </w:r>
      <w:r>
        <w:rPr>
          <w:color w:val="231F20"/>
          <w:w w:val="105"/>
        </w:rPr>
        <w:t>entre</w:t>
      </w:r>
      <w:r>
        <w:rPr>
          <w:color w:val="231F20"/>
          <w:spacing w:val="-36"/>
          <w:w w:val="105"/>
        </w:rPr>
        <w:t> </w:t>
      </w:r>
      <w:r>
        <w:rPr>
          <w:color w:val="231F20"/>
          <w:w w:val="105"/>
        </w:rPr>
        <w:t>el</w:t>
      </w:r>
      <w:r>
        <w:rPr>
          <w:color w:val="231F20"/>
          <w:spacing w:val="-36"/>
          <w:w w:val="105"/>
        </w:rPr>
        <w:t> </w:t>
      </w:r>
      <w:r>
        <w:rPr>
          <w:color w:val="231F20"/>
          <w:w w:val="105"/>
        </w:rPr>
        <w:t>público</w:t>
      </w:r>
      <w:r>
        <w:rPr>
          <w:color w:val="231F20"/>
          <w:spacing w:val="-36"/>
          <w:w w:val="105"/>
        </w:rPr>
        <w:t> </w:t>
      </w:r>
      <w:r>
        <w:rPr>
          <w:color w:val="231F20"/>
          <w:w w:val="105"/>
        </w:rPr>
        <w:t>y</w:t>
      </w:r>
      <w:r>
        <w:rPr>
          <w:color w:val="231F20"/>
          <w:spacing w:val="-36"/>
          <w:w w:val="105"/>
        </w:rPr>
        <w:t> </w:t>
      </w:r>
      <w:r>
        <w:rPr>
          <w:color w:val="231F20"/>
          <w:w w:val="105"/>
        </w:rPr>
        <w:t>el</w:t>
      </w:r>
      <w:r>
        <w:rPr>
          <w:color w:val="231F20"/>
          <w:spacing w:val="-36"/>
          <w:w w:val="105"/>
        </w:rPr>
        <w:t> </w:t>
      </w:r>
      <w:r>
        <w:rPr>
          <w:color w:val="231F20"/>
          <w:w w:val="105"/>
        </w:rPr>
        <w:t>privado, que</w:t>
      </w:r>
      <w:r>
        <w:rPr>
          <w:color w:val="231F20"/>
          <w:spacing w:val="-24"/>
          <w:w w:val="105"/>
        </w:rPr>
        <w:t> </w:t>
      </w:r>
      <w:r>
        <w:rPr>
          <w:color w:val="231F20"/>
          <w:w w:val="105"/>
        </w:rPr>
        <w:t>deberían</w:t>
      </w:r>
      <w:r>
        <w:rPr>
          <w:color w:val="231F20"/>
          <w:spacing w:val="-24"/>
          <w:w w:val="105"/>
        </w:rPr>
        <w:t> </w:t>
      </w:r>
      <w:r>
        <w:rPr>
          <w:color w:val="231F20"/>
          <w:w w:val="105"/>
        </w:rPr>
        <w:t>ser</w:t>
      </w:r>
      <w:r>
        <w:rPr>
          <w:color w:val="231F20"/>
          <w:spacing w:val="-24"/>
          <w:w w:val="105"/>
        </w:rPr>
        <w:t> </w:t>
      </w:r>
      <w:r>
        <w:rPr>
          <w:color w:val="231F20"/>
          <w:w w:val="105"/>
        </w:rPr>
        <w:t>el</w:t>
      </w:r>
      <w:r>
        <w:rPr>
          <w:color w:val="231F20"/>
          <w:spacing w:val="-24"/>
          <w:w w:val="105"/>
        </w:rPr>
        <w:t> </w:t>
      </w:r>
      <w:r>
        <w:rPr>
          <w:color w:val="231F20"/>
          <w:w w:val="105"/>
        </w:rPr>
        <w:t>esqueleto</w:t>
      </w:r>
      <w:r>
        <w:rPr>
          <w:color w:val="231F20"/>
          <w:spacing w:val="-24"/>
          <w:w w:val="105"/>
        </w:rPr>
        <w:t> </w:t>
      </w:r>
      <w:r>
        <w:rPr>
          <w:color w:val="231F20"/>
          <w:w w:val="105"/>
        </w:rPr>
        <w:t>de</w:t>
      </w:r>
      <w:r>
        <w:rPr>
          <w:color w:val="231F20"/>
          <w:spacing w:val="-24"/>
          <w:w w:val="105"/>
        </w:rPr>
        <w:t> </w:t>
      </w:r>
      <w:r>
        <w:rPr>
          <w:color w:val="231F20"/>
          <w:w w:val="105"/>
        </w:rPr>
        <w:t>toda</w:t>
      </w:r>
      <w:r>
        <w:rPr>
          <w:color w:val="231F20"/>
          <w:spacing w:val="-24"/>
          <w:w w:val="105"/>
        </w:rPr>
        <w:t> </w:t>
      </w:r>
      <w:r>
        <w:rPr>
          <w:color w:val="231F20"/>
          <w:w w:val="105"/>
        </w:rPr>
        <w:t>Constitución</w:t>
      </w:r>
      <w:r>
        <w:rPr>
          <w:color w:val="231F20"/>
          <w:spacing w:val="-24"/>
          <w:w w:val="105"/>
        </w:rPr>
        <w:t> </w:t>
      </w:r>
      <w:r>
        <w:rPr>
          <w:color w:val="231F20"/>
          <w:w w:val="105"/>
        </w:rPr>
        <w:t>democrática.</w:t>
      </w:r>
    </w:p>
    <w:p>
      <w:pPr>
        <w:pStyle w:val="BodyText"/>
        <w:spacing w:line="247" w:lineRule="auto" w:before="1"/>
        <w:ind w:left="115" w:right="106" w:firstLine="566"/>
        <w:jc w:val="both"/>
      </w:pPr>
      <w:r>
        <w:rPr>
          <w:color w:val="231F20"/>
          <w:w w:val="105"/>
        </w:rPr>
        <w:t>He descuidado deliberadamente el aspecto más “constitucional” en la tradición liberal, el de la representación popular en el parlamento. Considero</w:t>
      </w:r>
      <w:r>
        <w:rPr>
          <w:color w:val="231F20"/>
          <w:spacing w:val="-15"/>
          <w:w w:val="105"/>
        </w:rPr>
        <w:t> </w:t>
      </w:r>
      <w:r>
        <w:rPr>
          <w:color w:val="231F20"/>
          <w:w w:val="105"/>
        </w:rPr>
        <w:t>en</w:t>
      </w:r>
      <w:r>
        <w:rPr>
          <w:color w:val="231F20"/>
          <w:spacing w:val="-15"/>
          <w:w w:val="105"/>
        </w:rPr>
        <w:t> </w:t>
      </w:r>
      <w:r>
        <w:rPr>
          <w:color w:val="231F20"/>
          <w:w w:val="105"/>
        </w:rPr>
        <w:t>efecto</w:t>
      </w:r>
      <w:r>
        <w:rPr>
          <w:color w:val="231F20"/>
          <w:spacing w:val="-15"/>
          <w:w w:val="105"/>
        </w:rPr>
        <w:t> </w:t>
      </w:r>
      <w:r>
        <w:rPr>
          <w:color w:val="231F20"/>
          <w:w w:val="105"/>
        </w:rPr>
        <w:t>que</w:t>
      </w:r>
      <w:r>
        <w:rPr>
          <w:color w:val="231F20"/>
          <w:spacing w:val="-15"/>
          <w:w w:val="105"/>
        </w:rPr>
        <w:t> </w:t>
      </w:r>
      <w:r>
        <w:rPr>
          <w:color w:val="231F20"/>
          <w:w w:val="105"/>
        </w:rPr>
        <w:t>la</w:t>
      </w:r>
      <w:r>
        <w:rPr>
          <w:color w:val="231F20"/>
          <w:spacing w:val="-15"/>
          <w:w w:val="105"/>
        </w:rPr>
        <w:t> </w:t>
      </w:r>
      <w:r>
        <w:rPr>
          <w:color w:val="231F20"/>
          <w:w w:val="105"/>
        </w:rPr>
        <w:t>hegemonía</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ley</w:t>
      </w:r>
      <w:r>
        <w:rPr>
          <w:color w:val="231F20"/>
          <w:spacing w:val="-15"/>
          <w:w w:val="105"/>
        </w:rPr>
        <w:t> </w:t>
      </w:r>
      <w:r>
        <w:rPr>
          <w:color w:val="231F20"/>
          <w:w w:val="105"/>
        </w:rPr>
        <w:t>sobre</w:t>
      </w:r>
      <w:r>
        <w:rPr>
          <w:color w:val="231F20"/>
          <w:spacing w:val="-15"/>
          <w:w w:val="105"/>
        </w:rPr>
        <w:t> </w:t>
      </w:r>
      <w:r>
        <w:rPr>
          <w:color w:val="231F20"/>
          <w:w w:val="105"/>
        </w:rPr>
        <w:t>las</w:t>
      </w:r>
      <w:r>
        <w:rPr>
          <w:color w:val="231F20"/>
          <w:spacing w:val="-15"/>
          <w:w w:val="105"/>
        </w:rPr>
        <w:t> </w:t>
      </w:r>
      <w:r>
        <w:rPr>
          <w:color w:val="231F20"/>
          <w:w w:val="105"/>
        </w:rPr>
        <w:t>otras</w:t>
      </w:r>
      <w:r>
        <w:rPr>
          <w:color w:val="231F20"/>
          <w:spacing w:val="-15"/>
          <w:w w:val="105"/>
        </w:rPr>
        <w:t> </w:t>
      </w:r>
      <w:r>
        <w:rPr>
          <w:color w:val="231F20"/>
          <w:w w:val="105"/>
        </w:rPr>
        <w:t>formas</w:t>
      </w:r>
      <w:r>
        <w:rPr>
          <w:color w:val="231F20"/>
          <w:spacing w:val="-15"/>
          <w:w w:val="105"/>
        </w:rPr>
        <w:t> </w:t>
      </w:r>
      <w:r>
        <w:rPr>
          <w:color w:val="231F20"/>
          <w:w w:val="105"/>
        </w:rPr>
        <w:t>de previsión</w:t>
      </w:r>
      <w:r>
        <w:rPr>
          <w:color w:val="231F20"/>
          <w:spacing w:val="-27"/>
          <w:w w:val="105"/>
        </w:rPr>
        <w:t> </w:t>
      </w:r>
      <w:r>
        <w:rPr>
          <w:color w:val="231F20"/>
          <w:w w:val="105"/>
        </w:rPr>
        <w:t>e</w:t>
      </w:r>
      <w:r>
        <w:rPr>
          <w:color w:val="231F20"/>
          <w:spacing w:val="-27"/>
          <w:w w:val="105"/>
        </w:rPr>
        <w:t> </w:t>
      </w:r>
      <w:r>
        <w:rPr>
          <w:color w:val="231F20"/>
          <w:w w:val="105"/>
        </w:rPr>
        <w:t>imposición</w:t>
      </w:r>
      <w:r>
        <w:rPr>
          <w:color w:val="231F20"/>
          <w:spacing w:val="-27"/>
          <w:w w:val="105"/>
        </w:rPr>
        <w:t> </w:t>
      </w:r>
      <w:r>
        <w:rPr>
          <w:color w:val="231F20"/>
          <w:w w:val="105"/>
        </w:rPr>
        <w:t>de</w:t>
      </w:r>
      <w:r>
        <w:rPr>
          <w:color w:val="231F20"/>
          <w:spacing w:val="-27"/>
          <w:w w:val="105"/>
        </w:rPr>
        <w:t> </w:t>
      </w:r>
      <w:r>
        <w:rPr>
          <w:color w:val="231F20"/>
          <w:w w:val="105"/>
        </w:rPr>
        <w:t>comportamientos</w:t>
      </w:r>
      <w:r>
        <w:rPr>
          <w:color w:val="231F20"/>
          <w:spacing w:val="-27"/>
          <w:w w:val="105"/>
        </w:rPr>
        <w:t> </w:t>
      </w:r>
      <w:r>
        <w:rPr>
          <w:color w:val="231F20"/>
          <w:w w:val="105"/>
        </w:rPr>
        <w:t>en</w:t>
      </w:r>
      <w:r>
        <w:rPr>
          <w:color w:val="231F20"/>
          <w:spacing w:val="-27"/>
          <w:w w:val="105"/>
        </w:rPr>
        <w:t> </w:t>
      </w:r>
      <w:r>
        <w:rPr>
          <w:color w:val="231F20"/>
          <w:w w:val="105"/>
        </w:rPr>
        <w:t>lo</w:t>
      </w:r>
      <w:r>
        <w:rPr>
          <w:color w:val="231F20"/>
          <w:spacing w:val="-27"/>
          <w:w w:val="105"/>
        </w:rPr>
        <w:t> </w:t>
      </w:r>
      <w:r>
        <w:rPr>
          <w:color w:val="231F20"/>
          <w:w w:val="105"/>
        </w:rPr>
        <w:t>social</w:t>
      </w:r>
      <w:r>
        <w:rPr>
          <w:color w:val="231F20"/>
          <w:spacing w:val="-27"/>
          <w:w w:val="105"/>
        </w:rPr>
        <w:t> </w:t>
      </w:r>
      <w:r>
        <w:rPr>
          <w:color w:val="231F20"/>
          <w:w w:val="105"/>
        </w:rPr>
        <w:t>ha</w:t>
      </w:r>
      <w:r>
        <w:rPr>
          <w:color w:val="231F20"/>
          <w:spacing w:val="-27"/>
          <w:w w:val="105"/>
        </w:rPr>
        <w:t> </w:t>
      </w:r>
      <w:r>
        <w:rPr>
          <w:color w:val="231F20"/>
          <w:w w:val="105"/>
        </w:rPr>
        <w:t>sido</w:t>
      </w:r>
      <w:r>
        <w:rPr>
          <w:color w:val="231F20"/>
          <w:spacing w:val="-27"/>
          <w:w w:val="105"/>
        </w:rPr>
        <w:t> </w:t>
      </w:r>
      <w:r>
        <w:rPr>
          <w:color w:val="231F20"/>
          <w:w w:val="105"/>
        </w:rPr>
        <w:t>superada</w:t>
      </w:r>
      <w:r>
        <w:rPr>
          <w:color w:val="231F20"/>
          <w:spacing w:val="-27"/>
          <w:w w:val="105"/>
        </w:rPr>
        <w:t> </w:t>
      </w:r>
      <w:r>
        <w:rPr>
          <w:color w:val="231F20"/>
          <w:w w:val="105"/>
        </w:rPr>
        <w:t>y que</w:t>
      </w:r>
      <w:r>
        <w:rPr>
          <w:color w:val="231F20"/>
          <w:spacing w:val="-20"/>
          <w:w w:val="105"/>
        </w:rPr>
        <w:t> </w:t>
      </w:r>
      <w:r>
        <w:rPr>
          <w:color w:val="231F20"/>
          <w:w w:val="105"/>
        </w:rPr>
        <w:t>el</w:t>
      </w:r>
      <w:r>
        <w:rPr>
          <w:color w:val="231F20"/>
          <w:spacing w:val="-20"/>
          <w:w w:val="105"/>
        </w:rPr>
        <w:t> </w:t>
      </w:r>
      <w:r>
        <w:rPr>
          <w:color w:val="231F20"/>
          <w:w w:val="105"/>
        </w:rPr>
        <w:t>mismo</w:t>
      </w:r>
      <w:r>
        <w:rPr>
          <w:color w:val="231F20"/>
          <w:spacing w:val="-20"/>
          <w:w w:val="105"/>
        </w:rPr>
        <w:t> </w:t>
      </w:r>
      <w:r>
        <w:rPr>
          <w:color w:val="231F20"/>
          <w:w w:val="105"/>
        </w:rPr>
        <w:t>poder</w:t>
      </w:r>
      <w:r>
        <w:rPr>
          <w:color w:val="231F20"/>
          <w:spacing w:val="-20"/>
          <w:w w:val="105"/>
        </w:rPr>
        <w:t> </w:t>
      </w:r>
      <w:r>
        <w:rPr>
          <w:color w:val="231F20"/>
          <w:w w:val="105"/>
        </w:rPr>
        <w:t>legislativo</w:t>
      </w:r>
      <w:r>
        <w:rPr>
          <w:color w:val="231F20"/>
          <w:spacing w:val="-20"/>
          <w:w w:val="105"/>
        </w:rPr>
        <w:t> </w:t>
      </w:r>
      <w:r>
        <w:rPr>
          <w:color w:val="231F20"/>
          <w:w w:val="105"/>
        </w:rPr>
        <w:t>ya</w:t>
      </w:r>
      <w:r>
        <w:rPr>
          <w:color w:val="231F20"/>
          <w:spacing w:val="-20"/>
          <w:w w:val="105"/>
        </w:rPr>
        <w:t> </w:t>
      </w:r>
      <w:r>
        <w:rPr>
          <w:color w:val="231F20"/>
          <w:w w:val="105"/>
        </w:rPr>
        <w:t>no</w:t>
      </w:r>
      <w:r>
        <w:rPr>
          <w:color w:val="231F20"/>
          <w:spacing w:val="-20"/>
          <w:w w:val="105"/>
        </w:rPr>
        <w:t> </w:t>
      </w:r>
      <w:r>
        <w:rPr>
          <w:color w:val="231F20"/>
          <w:w w:val="105"/>
        </w:rPr>
        <w:t>es</w:t>
      </w:r>
      <w:r>
        <w:rPr>
          <w:color w:val="231F20"/>
          <w:spacing w:val="-20"/>
          <w:w w:val="105"/>
        </w:rPr>
        <w:t> </w:t>
      </w:r>
      <w:r>
        <w:rPr>
          <w:color w:val="231F20"/>
          <w:w w:val="105"/>
        </w:rPr>
        <w:t>considerado</w:t>
      </w:r>
      <w:r>
        <w:rPr>
          <w:color w:val="231F20"/>
          <w:spacing w:val="-20"/>
          <w:w w:val="105"/>
        </w:rPr>
        <w:t> </w:t>
      </w:r>
      <w:r>
        <w:rPr>
          <w:color w:val="231F20"/>
          <w:w w:val="105"/>
        </w:rPr>
        <w:t>la</w:t>
      </w:r>
      <w:r>
        <w:rPr>
          <w:color w:val="231F20"/>
          <w:spacing w:val="-20"/>
          <w:w w:val="105"/>
        </w:rPr>
        <w:t> </w:t>
      </w:r>
      <w:r>
        <w:rPr>
          <w:color w:val="231F20"/>
          <w:w w:val="105"/>
        </w:rPr>
        <w:t>forma</w:t>
      </w:r>
      <w:r>
        <w:rPr>
          <w:color w:val="231F20"/>
          <w:spacing w:val="-20"/>
          <w:w w:val="105"/>
        </w:rPr>
        <w:t> </w:t>
      </w:r>
      <w:r>
        <w:rPr>
          <w:color w:val="231F20"/>
          <w:w w:val="105"/>
        </w:rPr>
        <w:t>exclusiva</w:t>
      </w:r>
      <w:r>
        <w:rPr>
          <w:color w:val="231F20"/>
          <w:spacing w:val="-20"/>
          <w:w w:val="105"/>
        </w:rPr>
        <w:t> </w:t>
      </w:r>
      <w:r>
        <w:rPr>
          <w:color w:val="231F20"/>
          <w:w w:val="105"/>
        </w:rPr>
        <w:t>de participación</w:t>
      </w:r>
      <w:r>
        <w:rPr>
          <w:color w:val="231F20"/>
          <w:spacing w:val="-24"/>
          <w:w w:val="105"/>
        </w:rPr>
        <w:t> </w:t>
      </w:r>
      <w:r>
        <w:rPr>
          <w:color w:val="231F20"/>
          <w:w w:val="105"/>
        </w:rPr>
        <w:t>popular</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gestión</w:t>
      </w:r>
      <w:r>
        <w:rPr>
          <w:color w:val="231F20"/>
          <w:spacing w:val="-24"/>
          <w:w w:val="105"/>
        </w:rPr>
        <w:t> </w:t>
      </w:r>
      <w:r>
        <w:rPr>
          <w:color w:val="231F20"/>
          <w:w w:val="105"/>
        </w:rPr>
        <w:t>del</w:t>
      </w:r>
      <w:r>
        <w:rPr>
          <w:color w:val="231F20"/>
          <w:spacing w:val="-24"/>
          <w:w w:val="105"/>
        </w:rPr>
        <w:t> </w:t>
      </w:r>
      <w:r>
        <w:rPr>
          <w:color w:val="231F20"/>
          <w:w w:val="105"/>
        </w:rPr>
        <w:t>poder</w:t>
      </w:r>
      <w:r>
        <w:rPr>
          <w:color w:val="231F20"/>
          <w:spacing w:val="-24"/>
          <w:w w:val="105"/>
        </w:rPr>
        <w:t> </w:t>
      </w:r>
      <w:r>
        <w:rPr>
          <w:color w:val="231F20"/>
          <w:w w:val="105"/>
        </w:rPr>
        <w:t>y</w:t>
      </w:r>
      <w:r>
        <w:rPr>
          <w:color w:val="231F20"/>
          <w:spacing w:val="-24"/>
          <w:w w:val="105"/>
        </w:rPr>
        <w:t> </w:t>
      </w:r>
      <w:r>
        <w:rPr>
          <w:color w:val="231F20"/>
          <w:w w:val="105"/>
        </w:rPr>
        <w:t>por</w:t>
      </w:r>
      <w:r>
        <w:rPr>
          <w:color w:val="231F20"/>
          <w:spacing w:val="-24"/>
          <w:w w:val="105"/>
        </w:rPr>
        <w:t> </w:t>
      </w:r>
      <w:r>
        <w:rPr>
          <w:color w:val="231F20"/>
          <w:w w:val="105"/>
        </w:rPr>
        <w:t>lo</w:t>
      </w:r>
      <w:r>
        <w:rPr>
          <w:color w:val="231F20"/>
          <w:spacing w:val="-24"/>
          <w:w w:val="105"/>
        </w:rPr>
        <w:t> </w:t>
      </w:r>
      <w:r>
        <w:rPr>
          <w:color w:val="231F20"/>
          <w:w w:val="105"/>
        </w:rPr>
        <w:t>tanto</w:t>
      </w:r>
      <w:r>
        <w:rPr>
          <w:color w:val="231F20"/>
          <w:spacing w:val="-24"/>
          <w:w w:val="105"/>
        </w:rPr>
        <w:t> </w:t>
      </w:r>
      <w:r>
        <w:rPr>
          <w:color w:val="231F20"/>
          <w:w w:val="105"/>
        </w:rPr>
        <w:t>de</w:t>
      </w:r>
      <w:r>
        <w:rPr>
          <w:color w:val="231F20"/>
          <w:spacing w:val="-24"/>
          <w:w w:val="105"/>
        </w:rPr>
        <w:t> </w:t>
      </w:r>
      <w:r>
        <w:rPr>
          <w:color w:val="231F20"/>
          <w:w w:val="105"/>
        </w:rPr>
        <w:t>legitimación de</w:t>
      </w:r>
      <w:r>
        <w:rPr>
          <w:color w:val="231F20"/>
          <w:spacing w:val="-33"/>
          <w:w w:val="105"/>
        </w:rPr>
        <w:t> </w:t>
      </w:r>
      <w:r>
        <w:rPr>
          <w:color w:val="231F20"/>
          <w:w w:val="105"/>
        </w:rPr>
        <w:t>este</w:t>
      </w:r>
      <w:r>
        <w:rPr>
          <w:color w:val="231F20"/>
          <w:spacing w:val="-33"/>
          <w:w w:val="105"/>
        </w:rPr>
        <w:t> </w:t>
      </w:r>
      <w:r>
        <w:rPr>
          <w:color w:val="231F20"/>
          <w:w w:val="105"/>
        </w:rPr>
        <w:t>último.</w:t>
      </w:r>
      <w:r>
        <w:rPr>
          <w:color w:val="231F20"/>
          <w:spacing w:val="-33"/>
          <w:w w:val="105"/>
        </w:rPr>
        <w:t> </w:t>
      </w:r>
      <w:r>
        <w:rPr>
          <w:color w:val="231F20"/>
          <w:w w:val="105"/>
        </w:rPr>
        <w:t>En</w:t>
      </w:r>
      <w:r>
        <w:rPr>
          <w:color w:val="231F20"/>
          <w:spacing w:val="-33"/>
          <w:w w:val="105"/>
        </w:rPr>
        <w:t> </w:t>
      </w:r>
      <w:r>
        <w:rPr>
          <w:color w:val="231F20"/>
          <w:w w:val="105"/>
        </w:rPr>
        <w:t>la</w:t>
      </w:r>
      <w:r>
        <w:rPr>
          <w:color w:val="231F20"/>
          <w:spacing w:val="-33"/>
          <w:w w:val="105"/>
        </w:rPr>
        <w:t> </w:t>
      </w:r>
      <w:r>
        <w:rPr>
          <w:color w:val="231F20"/>
          <w:w w:val="105"/>
        </w:rPr>
        <w:t>actualidad</w:t>
      </w:r>
      <w:r>
        <w:rPr>
          <w:color w:val="231F20"/>
          <w:spacing w:val="-33"/>
          <w:w w:val="105"/>
        </w:rPr>
        <w:t> </w:t>
      </w:r>
      <w:r>
        <w:rPr>
          <w:color w:val="231F20"/>
          <w:w w:val="105"/>
        </w:rPr>
        <w:t>me</w:t>
      </w:r>
      <w:r>
        <w:rPr>
          <w:color w:val="231F20"/>
          <w:spacing w:val="-33"/>
          <w:w w:val="105"/>
        </w:rPr>
        <w:t> </w:t>
      </w:r>
      <w:r>
        <w:rPr>
          <w:color w:val="231F20"/>
          <w:w w:val="105"/>
        </w:rPr>
        <w:t>parece</w:t>
      </w:r>
      <w:r>
        <w:rPr>
          <w:color w:val="231F20"/>
          <w:spacing w:val="-33"/>
          <w:w w:val="105"/>
        </w:rPr>
        <w:t> </w:t>
      </w:r>
      <w:r>
        <w:rPr>
          <w:color w:val="231F20"/>
          <w:w w:val="105"/>
        </w:rPr>
        <w:t>que</w:t>
      </w:r>
      <w:r>
        <w:rPr>
          <w:color w:val="231F20"/>
          <w:spacing w:val="-33"/>
          <w:w w:val="105"/>
        </w:rPr>
        <w:t> </w:t>
      </w:r>
      <w:r>
        <w:rPr>
          <w:color w:val="231F20"/>
          <w:w w:val="105"/>
        </w:rPr>
        <w:t>la</w:t>
      </w:r>
      <w:r>
        <w:rPr>
          <w:color w:val="231F20"/>
          <w:spacing w:val="-33"/>
          <w:w w:val="105"/>
        </w:rPr>
        <w:t> </w:t>
      </w:r>
      <w:r>
        <w:rPr>
          <w:color w:val="231F20"/>
          <w:w w:val="105"/>
        </w:rPr>
        <w:t>atención</w:t>
      </w:r>
      <w:r>
        <w:rPr>
          <w:color w:val="231F20"/>
          <w:spacing w:val="-33"/>
          <w:w w:val="105"/>
        </w:rPr>
        <w:t> </w:t>
      </w:r>
      <w:r>
        <w:rPr>
          <w:color w:val="231F20"/>
          <w:w w:val="105"/>
        </w:rPr>
        <w:t>principal</w:t>
      </w:r>
      <w:r>
        <w:rPr>
          <w:color w:val="231F20"/>
          <w:spacing w:val="-33"/>
          <w:w w:val="105"/>
        </w:rPr>
        <w:t> </w:t>
      </w:r>
      <w:r>
        <w:rPr>
          <w:color w:val="231F20"/>
          <w:w w:val="105"/>
        </w:rPr>
        <w:t>está</w:t>
      </w:r>
      <w:r>
        <w:rPr>
          <w:color w:val="231F20"/>
          <w:spacing w:val="-33"/>
          <w:w w:val="105"/>
        </w:rPr>
        <w:t> </w:t>
      </w:r>
      <w:r>
        <w:rPr>
          <w:color w:val="231F20"/>
          <w:w w:val="105"/>
        </w:rPr>
        <w:t>di- rigida</w:t>
      </w:r>
      <w:r>
        <w:rPr>
          <w:color w:val="231F20"/>
          <w:spacing w:val="-32"/>
          <w:w w:val="105"/>
        </w:rPr>
        <w:t> </w:t>
      </w:r>
      <w:r>
        <w:rPr>
          <w:color w:val="231F20"/>
          <w:w w:val="105"/>
        </w:rPr>
        <w:t>a</w:t>
      </w:r>
      <w:r>
        <w:rPr>
          <w:color w:val="231F20"/>
          <w:spacing w:val="-32"/>
          <w:w w:val="105"/>
        </w:rPr>
        <w:t> </w:t>
      </w:r>
      <w:r>
        <w:rPr>
          <w:color w:val="231F20"/>
          <w:w w:val="105"/>
        </w:rPr>
        <w:t>una</w:t>
      </w:r>
      <w:r>
        <w:rPr>
          <w:color w:val="231F20"/>
          <w:spacing w:val="-32"/>
          <w:w w:val="105"/>
        </w:rPr>
        <w:t> </w:t>
      </w:r>
      <w:r>
        <w:rPr>
          <w:color w:val="231F20"/>
          <w:w w:val="105"/>
        </w:rPr>
        <w:t>nueva</w:t>
      </w:r>
      <w:r>
        <w:rPr>
          <w:color w:val="231F20"/>
          <w:spacing w:val="-32"/>
          <w:w w:val="105"/>
        </w:rPr>
        <w:t> </w:t>
      </w:r>
      <w:r>
        <w:rPr>
          <w:color w:val="231F20"/>
          <w:w w:val="105"/>
        </w:rPr>
        <w:t>conformación</w:t>
      </w:r>
      <w:r>
        <w:rPr>
          <w:color w:val="231F20"/>
          <w:spacing w:val="-32"/>
          <w:w w:val="105"/>
        </w:rPr>
        <w:t> </w:t>
      </w:r>
      <w:r>
        <w:rPr>
          <w:color w:val="231F20"/>
          <w:w w:val="105"/>
        </w:rPr>
        <w:t>de</w:t>
      </w:r>
      <w:r>
        <w:rPr>
          <w:color w:val="231F20"/>
          <w:spacing w:val="-32"/>
          <w:w w:val="105"/>
        </w:rPr>
        <w:t> </w:t>
      </w:r>
      <w:r>
        <w:rPr>
          <w:color w:val="231F20"/>
          <w:w w:val="105"/>
        </w:rPr>
        <w:t>lo</w:t>
      </w:r>
      <w:r>
        <w:rPr>
          <w:color w:val="231F20"/>
          <w:spacing w:val="-32"/>
          <w:w w:val="105"/>
        </w:rPr>
        <w:t> </w:t>
      </w:r>
      <w:r>
        <w:rPr>
          <w:color w:val="231F20"/>
          <w:w w:val="105"/>
        </w:rPr>
        <w:t>administrativo</w:t>
      </w:r>
      <w:r>
        <w:rPr>
          <w:color w:val="231F20"/>
          <w:spacing w:val="-32"/>
          <w:w w:val="105"/>
        </w:rPr>
        <w:t> </w:t>
      </w:r>
      <w:r>
        <w:rPr>
          <w:color w:val="231F20"/>
          <w:w w:val="105"/>
        </w:rPr>
        <w:t>(el</w:t>
      </w:r>
      <w:r>
        <w:rPr>
          <w:color w:val="231F20"/>
          <w:spacing w:val="-32"/>
          <w:w w:val="105"/>
        </w:rPr>
        <w:t> </w:t>
      </w:r>
      <w:r>
        <w:rPr>
          <w:color w:val="231F20"/>
          <w:w w:val="105"/>
        </w:rPr>
        <w:t>viejo</w:t>
      </w:r>
      <w:r>
        <w:rPr>
          <w:color w:val="231F20"/>
          <w:spacing w:val="-32"/>
          <w:w w:val="105"/>
        </w:rPr>
        <w:t> </w:t>
      </w:r>
      <w:r>
        <w:rPr>
          <w:color w:val="231F20"/>
          <w:w w:val="105"/>
        </w:rPr>
        <w:t>“ejecutivo”), mucho</w:t>
      </w:r>
      <w:r>
        <w:rPr>
          <w:color w:val="231F20"/>
          <w:spacing w:val="-26"/>
          <w:w w:val="105"/>
        </w:rPr>
        <w:t> </w:t>
      </w:r>
      <w:r>
        <w:rPr>
          <w:color w:val="231F20"/>
          <w:w w:val="105"/>
        </w:rPr>
        <w:t>más</w:t>
      </w:r>
      <w:r>
        <w:rPr>
          <w:color w:val="231F20"/>
          <w:spacing w:val="-26"/>
          <w:w w:val="105"/>
        </w:rPr>
        <w:t> </w:t>
      </w:r>
      <w:r>
        <w:rPr>
          <w:color w:val="231F20"/>
          <w:w w:val="105"/>
        </w:rPr>
        <w:t>allá</w:t>
      </w:r>
      <w:r>
        <w:rPr>
          <w:color w:val="231F20"/>
          <w:spacing w:val="-26"/>
          <w:w w:val="105"/>
        </w:rPr>
        <w:t> </w:t>
      </w:r>
      <w:r>
        <w:rPr>
          <w:color w:val="231F20"/>
          <w:w w:val="105"/>
        </w:rPr>
        <w:t>de</w:t>
      </w:r>
      <w:r>
        <w:rPr>
          <w:color w:val="231F20"/>
          <w:spacing w:val="-26"/>
          <w:w w:val="105"/>
        </w:rPr>
        <w:t> </w:t>
      </w:r>
      <w:r>
        <w:rPr>
          <w:color w:val="231F20"/>
          <w:w w:val="105"/>
        </w:rPr>
        <w:t>su</w:t>
      </w:r>
      <w:r>
        <w:rPr>
          <w:color w:val="231F20"/>
          <w:spacing w:val="-26"/>
          <w:w w:val="105"/>
        </w:rPr>
        <w:t> </w:t>
      </w:r>
      <w:r>
        <w:rPr>
          <w:color w:val="231F20"/>
          <w:w w:val="105"/>
        </w:rPr>
        <w:t>clásica</w:t>
      </w:r>
      <w:r>
        <w:rPr>
          <w:color w:val="231F20"/>
          <w:spacing w:val="-26"/>
          <w:w w:val="105"/>
        </w:rPr>
        <w:t> </w:t>
      </w:r>
      <w:r>
        <w:rPr>
          <w:color w:val="231F20"/>
          <w:w w:val="105"/>
        </w:rPr>
        <w:t>subordinación</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ley</w:t>
      </w:r>
      <w:r>
        <w:rPr>
          <w:color w:val="231F20"/>
          <w:spacing w:val="-26"/>
          <w:w w:val="105"/>
        </w:rPr>
        <w:t> </w:t>
      </w:r>
      <w:r>
        <w:rPr>
          <w:color w:val="231F20"/>
          <w:w w:val="105"/>
        </w:rPr>
        <w:t>realizada</w:t>
      </w:r>
      <w:r>
        <w:rPr>
          <w:color w:val="231F20"/>
          <w:spacing w:val="-26"/>
          <w:w w:val="105"/>
        </w:rPr>
        <w:t> </w:t>
      </w:r>
      <w:r>
        <w:rPr>
          <w:color w:val="231F20"/>
          <w:w w:val="105"/>
        </w:rPr>
        <w:t>con</w:t>
      </w:r>
      <w:r>
        <w:rPr>
          <w:color w:val="231F20"/>
          <w:spacing w:val="-26"/>
          <w:w w:val="105"/>
        </w:rPr>
        <w:t> </w:t>
      </w:r>
      <w:r>
        <w:rPr>
          <w:color w:val="231F20"/>
          <w:w w:val="105"/>
        </w:rPr>
        <w:t>el</w:t>
      </w:r>
      <w:r>
        <w:rPr>
          <w:color w:val="231F20"/>
          <w:spacing w:val="-26"/>
          <w:w w:val="105"/>
        </w:rPr>
        <w:t> </w:t>
      </w:r>
      <w:r>
        <w:rPr>
          <w:color w:val="231F20"/>
          <w:w w:val="105"/>
        </w:rPr>
        <w:t>Estado de</w:t>
      </w:r>
      <w:r>
        <w:rPr>
          <w:color w:val="231F20"/>
          <w:spacing w:val="-31"/>
          <w:w w:val="105"/>
        </w:rPr>
        <w:t> </w:t>
      </w:r>
      <w:r>
        <w:rPr>
          <w:color w:val="231F20"/>
          <w:w w:val="105"/>
        </w:rPr>
        <w:t>derecho.</w:t>
      </w:r>
      <w:r>
        <w:rPr>
          <w:color w:val="231F20"/>
          <w:spacing w:val="-31"/>
          <w:w w:val="105"/>
        </w:rPr>
        <w:t> </w:t>
      </w:r>
      <w:r>
        <w:rPr>
          <w:color w:val="231F20"/>
          <w:w w:val="105"/>
        </w:rPr>
        <w:t>Esto</w:t>
      </w:r>
      <w:r>
        <w:rPr>
          <w:color w:val="231F20"/>
          <w:spacing w:val="-31"/>
          <w:w w:val="105"/>
        </w:rPr>
        <w:t> </w:t>
      </w:r>
      <w:r>
        <w:rPr>
          <w:color w:val="231F20"/>
          <w:w w:val="105"/>
        </w:rPr>
        <w:t>podría</w:t>
      </w:r>
      <w:r>
        <w:rPr>
          <w:color w:val="231F20"/>
          <w:spacing w:val="-31"/>
          <w:w w:val="105"/>
        </w:rPr>
        <w:t> </w:t>
      </w:r>
      <w:r>
        <w:rPr>
          <w:color w:val="231F20"/>
          <w:w w:val="105"/>
        </w:rPr>
        <w:t>favorecer</w:t>
      </w:r>
      <w:r>
        <w:rPr>
          <w:color w:val="231F20"/>
          <w:spacing w:val="-31"/>
          <w:w w:val="105"/>
        </w:rPr>
        <w:t> </w:t>
      </w:r>
      <w:r>
        <w:rPr>
          <w:color w:val="231F20"/>
          <w:w w:val="105"/>
        </w:rPr>
        <w:t>una</w:t>
      </w:r>
      <w:r>
        <w:rPr>
          <w:color w:val="231F20"/>
          <w:spacing w:val="-31"/>
          <w:w w:val="105"/>
        </w:rPr>
        <w:t> </w:t>
      </w:r>
      <w:r>
        <w:rPr>
          <w:color w:val="231F20"/>
          <w:w w:val="105"/>
        </w:rPr>
        <w:t>auténtica</w:t>
      </w:r>
      <w:r>
        <w:rPr>
          <w:color w:val="231F20"/>
          <w:spacing w:val="-31"/>
          <w:w w:val="105"/>
        </w:rPr>
        <w:t> </w:t>
      </w:r>
      <w:r>
        <w:rPr>
          <w:color w:val="231F20"/>
          <w:w w:val="105"/>
        </w:rPr>
        <w:t>coparticipación</w:t>
      </w:r>
      <w:r>
        <w:rPr>
          <w:color w:val="231F20"/>
          <w:spacing w:val="-31"/>
          <w:w w:val="105"/>
        </w:rPr>
        <w:t> </w:t>
      </w:r>
      <w:r>
        <w:rPr>
          <w:color w:val="231F20"/>
          <w:w w:val="105"/>
        </w:rPr>
        <w:t>de</w:t>
      </w:r>
      <w:r>
        <w:rPr>
          <w:color w:val="231F20"/>
          <w:spacing w:val="-31"/>
          <w:w w:val="105"/>
        </w:rPr>
        <w:t> </w:t>
      </w:r>
      <w:r>
        <w:rPr>
          <w:color w:val="231F20"/>
          <w:w w:val="105"/>
        </w:rPr>
        <w:t>los</w:t>
      </w:r>
      <w:r>
        <w:rPr>
          <w:color w:val="231F20"/>
          <w:spacing w:val="-31"/>
          <w:w w:val="105"/>
        </w:rPr>
        <w:t> </w:t>
      </w:r>
      <w:r>
        <w:rPr>
          <w:color w:val="231F20"/>
          <w:w w:val="105"/>
        </w:rPr>
        <w:t>ciu- dadanos en el procedimiento administrativo, como también la</w:t>
      </w:r>
      <w:r>
        <w:rPr>
          <w:color w:val="231F20"/>
          <w:spacing w:val="-21"/>
          <w:w w:val="105"/>
        </w:rPr>
        <w:t> </w:t>
      </w:r>
      <w:r>
        <w:rPr>
          <w:color w:val="231F20"/>
          <w:w w:val="105"/>
        </w:rPr>
        <w:t>actuación de</w:t>
      </w:r>
      <w:r>
        <w:rPr>
          <w:color w:val="231F20"/>
          <w:spacing w:val="-14"/>
          <w:w w:val="105"/>
        </w:rPr>
        <w:t> </w:t>
      </w:r>
      <w:r>
        <w:rPr>
          <w:color w:val="231F20"/>
          <w:w w:val="105"/>
        </w:rPr>
        <w:t>sus</w:t>
      </w:r>
      <w:r>
        <w:rPr>
          <w:color w:val="231F20"/>
          <w:spacing w:val="-14"/>
          <w:w w:val="105"/>
        </w:rPr>
        <w:t> </w:t>
      </w:r>
      <w:r>
        <w:rPr>
          <w:color w:val="231F20"/>
          <w:w w:val="105"/>
        </w:rPr>
        <w:t>“medidas”,</w:t>
      </w:r>
      <w:r>
        <w:rPr>
          <w:color w:val="231F20"/>
          <w:spacing w:val="-14"/>
          <w:w w:val="105"/>
        </w:rPr>
        <w:t> </w:t>
      </w:r>
      <w:r>
        <w:rPr>
          <w:color w:val="231F20"/>
          <w:w w:val="105"/>
        </w:rPr>
        <w:t>siempre</w:t>
      </w:r>
      <w:r>
        <w:rPr>
          <w:color w:val="231F20"/>
          <w:spacing w:val="-14"/>
          <w:w w:val="105"/>
        </w:rPr>
        <w:t> </w:t>
      </w:r>
      <w:r>
        <w:rPr>
          <w:color w:val="231F20"/>
          <w:w w:val="105"/>
        </w:rPr>
        <w:t>más</w:t>
      </w:r>
      <w:r>
        <w:rPr>
          <w:color w:val="231F20"/>
          <w:spacing w:val="-14"/>
          <w:w w:val="105"/>
        </w:rPr>
        <w:t> </w:t>
      </w:r>
      <w:r>
        <w:rPr>
          <w:color w:val="231F20"/>
          <w:w w:val="105"/>
        </w:rPr>
        <w:t>reguladoras</w:t>
      </w:r>
      <w:r>
        <w:rPr>
          <w:color w:val="231F20"/>
          <w:spacing w:val="-14"/>
          <w:w w:val="105"/>
        </w:rPr>
        <w:t> </w:t>
      </w:r>
      <w:r>
        <w:rPr>
          <w:color w:val="231F20"/>
          <w:w w:val="105"/>
        </w:rPr>
        <w:t>—junto</w:t>
      </w:r>
      <w:r>
        <w:rPr>
          <w:color w:val="231F20"/>
          <w:spacing w:val="-14"/>
          <w:w w:val="105"/>
        </w:rPr>
        <w:t> </w:t>
      </w:r>
      <w:r>
        <w:rPr>
          <w:color w:val="231F20"/>
          <w:w w:val="105"/>
        </w:rPr>
        <w:t>con</w:t>
      </w:r>
      <w:r>
        <w:rPr>
          <w:color w:val="231F20"/>
          <w:spacing w:val="-14"/>
          <w:w w:val="105"/>
        </w:rPr>
        <w:t> </w:t>
      </w:r>
      <w:r>
        <w:rPr>
          <w:color w:val="231F20"/>
          <w:w w:val="105"/>
        </w:rPr>
        <w:t>y</w:t>
      </w:r>
      <w:r>
        <w:rPr>
          <w:color w:val="231F20"/>
          <w:spacing w:val="-14"/>
          <w:w w:val="105"/>
        </w:rPr>
        <w:t> </w:t>
      </w:r>
      <w:r>
        <w:rPr>
          <w:color w:val="231F20"/>
          <w:w w:val="105"/>
        </w:rPr>
        <w:t>en</w:t>
      </w:r>
      <w:r>
        <w:rPr>
          <w:color w:val="231F20"/>
          <w:spacing w:val="-14"/>
          <w:w w:val="105"/>
        </w:rPr>
        <w:t> </w:t>
      </w:r>
      <w:r>
        <w:rPr>
          <w:color w:val="231F20"/>
          <w:w w:val="105"/>
        </w:rPr>
        <w:t>lugar</w:t>
      </w:r>
      <w:r>
        <w:rPr>
          <w:color w:val="231F20"/>
          <w:spacing w:val="-14"/>
          <w:w w:val="105"/>
        </w:rPr>
        <w:t> </w:t>
      </w:r>
      <w:r>
        <w:rPr>
          <w:color w:val="231F20"/>
          <w:w w:val="105"/>
        </w:rPr>
        <w:t>de</w:t>
      </w:r>
      <w:r>
        <w:rPr>
          <w:color w:val="231F20"/>
          <w:spacing w:val="-14"/>
          <w:w w:val="105"/>
        </w:rPr>
        <w:t> </w:t>
      </w:r>
      <w:r>
        <w:rPr>
          <w:color w:val="231F20"/>
          <w:w w:val="105"/>
        </w:rPr>
        <w:t>las leyes—</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vida</w:t>
      </w:r>
      <w:r>
        <w:rPr>
          <w:color w:val="231F20"/>
          <w:spacing w:val="-29"/>
          <w:w w:val="105"/>
        </w:rPr>
        <w:t> </w:t>
      </w:r>
      <w:r>
        <w:rPr>
          <w:color w:val="231F20"/>
          <w:w w:val="105"/>
        </w:rPr>
        <w:t>en</w:t>
      </w:r>
      <w:r>
        <w:rPr>
          <w:color w:val="231F20"/>
          <w:spacing w:val="-29"/>
          <w:w w:val="105"/>
        </w:rPr>
        <w:t> </w:t>
      </w:r>
      <w:r>
        <w:rPr>
          <w:color w:val="231F20"/>
          <w:w w:val="105"/>
        </w:rPr>
        <w:t>común</w:t>
      </w:r>
      <w:r>
        <w:rPr>
          <w:color w:val="231F20"/>
          <w:w w:val="105"/>
          <w:position w:val="7"/>
          <w:sz w:val="12"/>
        </w:rPr>
        <w:t>43</w:t>
      </w:r>
      <w:r>
        <w:rPr>
          <w:color w:val="231F20"/>
          <w:w w:val="105"/>
        </w:rPr>
        <w:t>.</w:t>
      </w:r>
    </w:p>
    <w:p>
      <w:pPr>
        <w:pStyle w:val="BodyText"/>
        <w:spacing w:line="244" w:lineRule="auto"/>
        <w:ind w:left="115" w:right="106" w:firstLine="566"/>
        <w:jc w:val="both"/>
      </w:pPr>
      <w:r>
        <w:rPr>
          <w:color w:val="231F20"/>
          <w:w w:val="105"/>
        </w:rPr>
        <w:t>Una</w:t>
      </w:r>
      <w:r>
        <w:rPr>
          <w:color w:val="231F20"/>
          <w:spacing w:val="-38"/>
          <w:w w:val="105"/>
        </w:rPr>
        <w:t> </w:t>
      </w:r>
      <w:r>
        <w:rPr>
          <w:color w:val="231F20"/>
          <w:w w:val="105"/>
        </w:rPr>
        <w:t>perspectiva</w:t>
      </w:r>
      <w:r>
        <w:rPr>
          <w:color w:val="231F20"/>
          <w:spacing w:val="-38"/>
          <w:w w:val="105"/>
        </w:rPr>
        <w:t> </w:t>
      </w:r>
      <w:r>
        <w:rPr>
          <w:color w:val="231F20"/>
          <w:w w:val="105"/>
        </w:rPr>
        <w:t>de</w:t>
      </w:r>
      <w:r>
        <w:rPr>
          <w:color w:val="231F20"/>
          <w:spacing w:val="-38"/>
          <w:w w:val="105"/>
        </w:rPr>
        <w:t> </w:t>
      </w:r>
      <w:r>
        <w:rPr>
          <w:color w:val="231F20"/>
          <w:w w:val="105"/>
        </w:rPr>
        <w:t>este</w:t>
      </w:r>
      <w:r>
        <w:rPr>
          <w:color w:val="231F20"/>
          <w:spacing w:val="-38"/>
          <w:w w:val="105"/>
        </w:rPr>
        <w:t> </w:t>
      </w:r>
      <w:r>
        <w:rPr>
          <w:color w:val="231F20"/>
          <w:w w:val="105"/>
        </w:rPr>
        <w:t>tipo</w:t>
      </w:r>
      <w:r>
        <w:rPr>
          <w:color w:val="231F20"/>
          <w:spacing w:val="-38"/>
          <w:w w:val="105"/>
        </w:rPr>
        <w:t> </w:t>
      </w:r>
      <w:r>
        <w:rPr>
          <w:color w:val="231F20"/>
          <w:w w:val="105"/>
        </w:rPr>
        <w:t>requiere</w:t>
      </w:r>
      <w:r>
        <w:rPr>
          <w:color w:val="231F20"/>
          <w:spacing w:val="-38"/>
          <w:w w:val="105"/>
        </w:rPr>
        <w:t> </w:t>
      </w:r>
      <w:r>
        <w:rPr>
          <w:color w:val="231F20"/>
          <w:w w:val="105"/>
        </w:rPr>
        <w:t>una</w:t>
      </w:r>
      <w:r>
        <w:rPr>
          <w:color w:val="231F20"/>
          <w:spacing w:val="-38"/>
          <w:w w:val="105"/>
        </w:rPr>
        <w:t> </w:t>
      </w:r>
      <w:r>
        <w:rPr>
          <w:color w:val="231F20"/>
          <w:w w:val="105"/>
        </w:rPr>
        <w:t>fuerte</w:t>
      </w:r>
      <w:r>
        <w:rPr>
          <w:color w:val="231F20"/>
          <w:spacing w:val="-38"/>
          <w:w w:val="105"/>
        </w:rPr>
        <w:t> </w:t>
      </w:r>
      <w:r>
        <w:rPr>
          <w:color w:val="231F20"/>
          <w:w w:val="105"/>
        </w:rPr>
        <w:t>concentración</w:t>
      </w:r>
      <w:r>
        <w:rPr>
          <w:color w:val="231F20"/>
          <w:spacing w:val="-38"/>
          <w:w w:val="105"/>
        </w:rPr>
        <w:t> </w:t>
      </w:r>
      <w:r>
        <w:rPr>
          <w:color w:val="231F20"/>
          <w:w w:val="105"/>
        </w:rPr>
        <w:t>sobre la</w:t>
      </w:r>
      <w:r>
        <w:rPr>
          <w:color w:val="231F20"/>
          <w:spacing w:val="-27"/>
          <w:w w:val="105"/>
        </w:rPr>
        <w:t> </w:t>
      </w:r>
      <w:r>
        <w:rPr>
          <w:color w:val="231F20"/>
          <w:w w:val="105"/>
        </w:rPr>
        <w:t>real</w:t>
      </w:r>
      <w:r>
        <w:rPr>
          <w:color w:val="231F20"/>
          <w:spacing w:val="-27"/>
          <w:w w:val="105"/>
        </w:rPr>
        <w:t> </w:t>
      </w:r>
      <w:r>
        <w:rPr>
          <w:color w:val="231F20"/>
          <w:w w:val="105"/>
        </w:rPr>
        <w:t>consistencia</w:t>
      </w:r>
      <w:r>
        <w:rPr>
          <w:color w:val="231F20"/>
          <w:spacing w:val="-27"/>
          <w:w w:val="105"/>
        </w:rPr>
        <w:t> </w:t>
      </w:r>
      <w:r>
        <w:rPr>
          <w:color w:val="231F20"/>
          <w:w w:val="105"/>
        </w:rPr>
        <w:t>del</w:t>
      </w:r>
      <w:r>
        <w:rPr>
          <w:color w:val="231F20"/>
          <w:spacing w:val="-27"/>
          <w:w w:val="105"/>
        </w:rPr>
        <w:t> </w:t>
      </w:r>
      <w:r>
        <w:rPr>
          <w:color w:val="231F20"/>
          <w:w w:val="105"/>
        </w:rPr>
        <w:t>modelo–Estado,</w:t>
      </w:r>
      <w:r>
        <w:rPr>
          <w:color w:val="231F20"/>
          <w:spacing w:val="-27"/>
          <w:w w:val="105"/>
        </w:rPr>
        <w:t> </w:t>
      </w:r>
      <w:r>
        <w:rPr>
          <w:color w:val="231F20"/>
          <w:w w:val="105"/>
        </w:rPr>
        <w:t>que</w:t>
      </w:r>
      <w:r>
        <w:rPr>
          <w:color w:val="231F20"/>
          <w:spacing w:val="-27"/>
          <w:w w:val="105"/>
        </w:rPr>
        <w:t> </w:t>
      </w:r>
      <w:r>
        <w:rPr>
          <w:color w:val="231F20"/>
          <w:w w:val="105"/>
        </w:rPr>
        <w:t>se</w:t>
      </w:r>
      <w:r>
        <w:rPr>
          <w:color w:val="231F20"/>
          <w:spacing w:val="-27"/>
          <w:w w:val="105"/>
        </w:rPr>
        <w:t> </w:t>
      </w:r>
      <w:r>
        <w:rPr>
          <w:color w:val="231F20"/>
          <w:w w:val="105"/>
        </w:rPr>
        <w:t>aleja</w:t>
      </w:r>
      <w:r>
        <w:rPr>
          <w:color w:val="231F20"/>
          <w:spacing w:val="-27"/>
          <w:w w:val="105"/>
        </w:rPr>
        <w:t> </w:t>
      </w:r>
      <w:r>
        <w:rPr>
          <w:color w:val="231F20"/>
          <w:w w:val="105"/>
        </w:rPr>
        <w:t>del</w:t>
      </w:r>
      <w:r>
        <w:rPr>
          <w:color w:val="231F20"/>
          <w:spacing w:val="-27"/>
          <w:w w:val="105"/>
        </w:rPr>
        <w:t> </w:t>
      </w:r>
      <w:r>
        <w:rPr>
          <w:color w:val="231F20"/>
          <w:w w:val="105"/>
        </w:rPr>
        <w:t>mito</w:t>
      </w:r>
      <w:r>
        <w:rPr>
          <w:color w:val="231F20"/>
          <w:spacing w:val="-27"/>
          <w:w w:val="105"/>
        </w:rPr>
        <w:t> </w:t>
      </w:r>
      <w:r>
        <w:rPr>
          <w:color w:val="231F20"/>
          <w:w w:val="105"/>
        </w:rPr>
        <w:t>histórico–eu- ropeístico</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cual</w:t>
      </w:r>
      <w:r>
        <w:rPr>
          <w:color w:val="231F20"/>
          <w:spacing w:val="-23"/>
          <w:w w:val="105"/>
        </w:rPr>
        <w:t> </w:t>
      </w:r>
      <w:r>
        <w:rPr>
          <w:color w:val="231F20"/>
          <w:w w:val="105"/>
        </w:rPr>
        <w:t>se</w:t>
      </w:r>
      <w:r>
        <w:rPr>
          <w:color w:val="231F20"/>
          <w:spacing w:val="-23"/>
          <w:w w:val="105"/>
        </w:rPr>
        <w:t> </w:t>
      </w:r>
      <w:r>
        <w:rPr>
          <w:color w:val="231F20"/>
          <w:w w:val="105"/>
        </w:rPr>
        <w:t>ha</w:t>
      </w:r>
      <w:r>
        <w:rPr>
          <w:color w:val="231F20"/>
          <w:spacing w:val="-23"/>
          <w:w w:val="105"/>
        </w:rPr>
        <w:t> </w:t>
      </w:r>
      <w:r>
        <w:rPr>
          <w:color w:val="231F20"/>
          <w:w w:val="105"/>
        </w:rPr>
        <w:t>enquistado</w:t>
      </w:r>
      <w:r>
        <w:rPr>
          <w:color w:val="231F20"/>
          <w:spacing w:val="-23"/>
          <w:w w:val="105"/>
        </w:rPr>
        <w:t> </w:t>
      </w:r>
      <w:r>
        <w:rPr>
          <w:color w:val="231F20"/>
          <w:w w:val="105"/>
        </w:rPr>
        <w:t>del</w:t>
      </w:r>
      <w:r>
        <w:rPr>
          <w:color w:val="231F20"/>
          <w:spacing w:val="-23"/>
          <w:w w:val="105"/>
        </w:rPr>
        <w:t> </w:t>
      </w:r>
      <w:r>
        <w:rPr>
          <w:color w:val="231F20"/>
          <w:w w:val="105"/>
        </w:rPr>
        <w:t>Renacimiento</w:t>
      </w:r>
      <w:r>
        <w:rPr>
          <w:color w:val="231F20"/>
          <w:spacing w:val="-23"/>
          <w:w w:val="105"/>
        </w:rPr>
        <w:t> </w:t>
      </w:r>
      <w:r>
        <w:rPr>
          <w:color w:val="231F20"/>
          <w:w w:val="105"/>
        </w:rPr>
        <w:t>en</w:t>
      </w:r>
      <w:r>
        <w:rPr>
          <w:color w:val="231F20"/>
          <w:spacing w:val="-23"/>
          <w:w w:val="105"/>
        </w:rPr>
        <w:t> </w:t>
      </w:r>
      <w:r>
        <w:rPr>
          <w:color w:val="231F20"/>
          <w:w w:val="105"/>
        </w:rPr>
        <w:t>adelante.</w:t>
      </w:r>
      <w:r>
        <w:rPr>
          <w:color w:val="231F20"/>
          <w:spacing w:val="-23"/>
          <w:w w:val="105"/>
        </w:rPr>
        <w:t> </w:t>
      </w:r>
      <w:r>
        <w:rPr>
          <w:color w:val="231F20"/>
          <w:spacing w:val="-7"/>
          <w:w w:val="105"/>
        </w:rPr>
        <w:t>Tam- </w:t>
      </w:r>
      <w:r>
        <w:rPr>
          <w:color w:val="231F20"/>
          <w:w w:val="105"/>
        </w:rPr>
        <w:t>bién</w:t>
      </w:r>
      <w:r>
        <w:rPr>
          <w:color w:val="231F20"/>
          <w:spacing w:val="-6"/>
          <w:w w:val="105"/>
        </w:rPr>
        <w:t> </w:t>
      </w:r>
      <w:r>
        <w:rPr>
          <w:color w:val="231F20"/>
          <w:w w:val="105"/>
        </w:rPr>
        <w:t>este</w:t>
      </w:r>
      <w:r>
        <w:rPr>
          <w:color w:val="231F20"/>
          <w:spacing w:val="-6"/>
          <w:w w:val="105"/>
        </w:rPr>
        <w:t> </w:t>
      </w:r>
      <w:r>
        <w:rPr>
          <w:color w:val="231F20"/>
          <w:w w:val="105"/>
        </w:rPr>
        <w:t>es</w:t>
      </w:r>
      <w:r>
        <w:rPr>
          <w:color w:val="231F20"/>
          <w:spacing w:val="-6"/>
          <w:w w:val="105"/>
        </w:rPr>
        <w:t> </w:t>
      </w:r>
      <w:r>
        <w:rPr>
          <w:color w:val="231F20"/>
          <w:w w:val="105"/>
        </w:rPr>
        <w:t>un</w:t>
      </w:r>
      <w:r>
        <w:rPr>
          <w:color w:val="231F20"/>
          <w:spacing w:val="-6"/>
          <w:w w:val="105"/>
        </w:rPr>
        <w:t> </w:t>
      </w:r>
      <w:r>
        <w:rPr>
          <w:color w:val="231F20"/>
          <w:w w:val="105"/>
        </w:rPr>
        <w:t>paso</w:t>
      </w:r>
      <w:r>
        <w:rPr>
          <w:color w:val="231F20"/>
          <w:spacing w:val="-6"/>
          <w:w w:val="105"/>
        </w:rPr>
        <w:t> </w:t>
      </w:r>
      <w:r>
        <w:rPr>
          <w:color w:val="231F20"/>
          <w:w w:val="105"/>
        </w:rPr>
        <w:t>hacia</w:t>
      </w:r>
      <w:r>
        <w:rPr>
          <w:color w:val="231F20"/>
          <w:spacing w:val="-6"/>
          <w:w w:val="105"/>
        </w:rPr>
        <w:t> </w:t>
      </w:r>
      <w:r>
        <w:rPr>
          <w:color w:val="231F20"/>
          <w:w w:val="105"/>
        </w:rPr>
        <w:t>aquella</w:t>
      </w:r>
      <w:r>
        <w:rPr>
          <w:color w:val="231F20"/>
          <w:spacing w:val="-6"/>
          <w:w w:val="105"/>
        </w:rPr>
        <w:t> </w:t>
      </w:r>
      <w:r>
        <w:rPr>
          <w:color w:val="231F20"/>
          <w:w w:val="105"/>
        </w:rPr>
        <w:t>“provincialización”</w:t>
      </w:r>
      <w:r>
        <w:rPr>
          <w:color w:val="231F20"/>
          <w:spacing w:val="-6"/>
          <w:w w:val="105"/>
        </w:rPr>
        <w:t> </w:t>
      </w:r>
      <w:r>
        <w:rPr>
          <w:color w:val="231F20"/>
          <w:w w:val="105"/>
        </w:rPr>
        <w:t>de</w:t>
      </w:r>
      <w:r>
        <w:rPr>
          <w:color w:val="231F20"/>
          <w:spacing w:val="-6"/>
          <w:w w:val="105"/>
        </w:rPr>
        <w:t> </w:t>
      </w:r>
      <w:r>
        <w:rPr>
          <w:color w:val="231F20"/>
          <w:w w:val="105"/>
        </w:rPr>
        <w:t>Europa</w:t>
      </w:r>
      <w:r>
        <w:rPr>
          <w:color w:val="231F20"/>
          <w:spacing w:val="-6"/>
          <w:w w:val="105"/>
        </w:rPr>
        <w:t> </w:t>
      </w:r>
      <w:r>
        <w:rPr>
          <w:color w:val="231F20"/>
          <w:w w:val="105"/>
        </w:rPr>
        <w:t>que</w:t>
      </w:r>
      <w:r>
        <w:rPr>
          <w:color w:val="231F20"/>
          <w:spacing w:val="-6"/>
          <w:w w:val="105"/>
        </w:rPr>
        <w:t> </w:t>
      </w:r>
      <w:r>
        <w:rPr>
          <w:color w:val="231F20"/>
          <w:w w:val="105"/>
        </w:rPr>
        <w:t>me parece</w:t>
      </w:r>
      <w:r>
        <w:rPr>
          <w:color w:val="231F20"/>
          <w:spacing w:val="-12"/>
          <w:w w:val="105"/>
        </w:rPr>
        <w:t> </w:t>
      </w:r>
      <w:r>
        <w:rPr>
          <w:color w:val="231F20"/>
          <w:w w:val="105"/>
        </w:rPr>
        <w:t>el</w:t>
      </w:r>
      <w:r>
        <w:rPr>
          <w:color w:val="231F20"/>
          <w:spacing w:val="-12"/>
          <w:w w:val="105"/>
        </w:rPr>
        <w:t> </w:t>
      </w:r>
      <w:r>
        <w:rPr>
          <w:color w:val="231F20"/>
          <w:w w:val="105"/>
        </w:rPr>
        <w:t>supuesto</w:t>
      </w:r>
      <w:r>
        <w:rPr>
          <w:color w:val="231F20"/>
          <w:spacing w:val="-12"/>
          <w:w w:val="105"/>
        </w:rPr>
        <w:t> </w:t>
      </w:r>
      <w:r>
        <w:rPr>
          <w:color w:val="231F20"/>
          <w:w w:val="105"/>
        </w:rPr>
        <w:t>para</w:t>
      </w:r>
      <w:r>
        <w:rPr>
          <w:color w:val="231F20"/>
          <w:spacing w:val="-12"/>
          <w:w w:val="105"/>
        </w:rPr>
        <w:t> </w:t>
      </w:r>
      <w:r>
        <w:rPr>
          <w:color w:val="231F20"/>
          <w:w w:val="105"/>
        </w:rPr>
        <w:t>revolucionar</w:t>
      </w:r>
      <w:r>
        <w:rPr>
          <w:color w:val="231F20"/>
          <w:spacing w:val="-12"/>
          <w:w w:val="105"/>
        </w:rPr>
        <w:t> </w:t>
      </w:r>
      <w:r>
        <w:rPr>
          <w:color w:val="231F20"/>
          <w:w w:val="105"/>
        </w:rPr>
        <w:t>la</w:t>
      </w:r>
      <w:r>
        <w:rPr>
          <w:color w:val="231F20"/>
          <w:spacing w:val="-12"/>
          <w:w w:val="105"/>
        </w:rPr>
        <w:t> </w:t>
      </w:r>
      <w:r>
        <w:rPr>
          <w:rFonts w:ascii="Arial" w:hAnsi="Arial"/>
          <w:i/>
          <w:color w:val="231F20"/>
          <w:w w:val="105"/>
        </w:rPr>
        <w:t>Welt</w:t>
      </w:r>
      <w:r>
        <w:rPr>
          <w:color w:val="231F20"/>
          <w:w w:val="105"/>
        </w:rPr>
        <w:t>–</w:t>
      </w:r>
      <w:r>
        <w:rPr>
          <w:rFonts w:ascii="Arial" w:hAnsi="Arial"/>
          <w:i/>
          <w:color w:val="231F20"/>
          <w:w w:val="105"/>
        </w:rPr>
        <w:t>Anschauung</w:t>
      </w:r>
      <w:r>
        <w:rPr>
          <w:rFonts w:ascii="Arial" w:hAnsi="Arial"/>
          <w:i/>
          <w:color w:val="231F20"/>
          <w:spacing w:val="-4"/>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que</w:t>
      </w:r>
      <w:r>
        <w:rPr>
          <w:color w:val="231F20"/>
          <w:spacing w:val="-12"/>
          <w:w w:val="105"/>
        </w:rPr>
        <w:t> </w:t>
      </w:r>
      <w:r>
        <w:rPr>
          <w:color w:val="231F20"/>
          <w:w w:val="105"/>
        </w:rPr>
        <w:t>una gran</w:t>
      </w:r>
      <w:r>
        <w:rPr>
          <w:color w:val="231F20"/>
          <w:spacing w:val="-43"/>
          <w:w w:val="105"/>
        </w:rPr>
        <w:t> </w:t>
      </w:r>
      <w:r>
        <w:rPr>
          <w:color w:val="231F20"/>
          <w:w w:val="105"/>
        </w:rPr>
        <w:t>parte</w:t>
      </w:r>
      <w:r>
        <w:rPr>
          <w:color w:val="231F20"/>
          <w:spacing w:val="-43"/>
          <w:w w:val="105"/>
        </w:rPr>
        <w:t> </w:t>
      </w:r>
      <w:r>
        <w:rPr>
          <w:color w:val="231F20"/>
          <w:w w:val="105"/>
        </w:rPr>
        <w:t>de</w:t>
      </w:r>
      <w:r>
        <w:rPr>
          <w:color w:val="231F20"/>
          <w:spacing w:val="-43"/>
          <w:w w:val="105"/>
        </w:rPr>
        <w:t> </w:t>
      </w:r>
      <w:r>
        <w:rPr>
          <w:color w:val="231F20"/>
          <w:w w:val="105"/>
        </w:rPr>
        <w:t>nuestras</w:t>
      </w:r>
      <w:r>
        <w:rPr>
          <w:color w:val="231F20"/>
          <w:spacing w:val="-43"/>
          <w:w w:val="105"/>
        </w:rPr>
        <w:t> </w:t>
      </w:r>
      <w:r>
        <w:rPr>
          <w:color w:val="231F20"/>
          <w:w w:val="105"/>
        </w:rPr>
        <w:t>lecturas,</w:t>
      </w:r>
      <w:r>
        <w:rPr>
          <w:color w:val="231F20"/>
          <w:spacing w:val="-43"/>
          <w:w w:val="105"/>
        </w:rPr>
        <w:t> </w:t>
      </w:r>
      <w:r>
        <w:rPr>
          <w:color w:val="231F20"/>
          <w:w w:val="105"/>
        </w:rPr>
        <w:t>incluso</w:t>
      </w:r>
      <w:r>
        <w:rPr>
          <w:color w:val="231F20"/>
          <w:spacing w:val="-43"/>
          <w:w w:val="105"/>
        </w:rPr>
        <w:t> </w:t>
      </w:r>
      <w:r>
        <w:rPr>
          <w:color w:val="231F20"/>
          <w:w w:val="105"/>
        </w:rPr>
        <w:t>crítico–extremas,</w:t>
      </w:r>
      <w:r>
        <w:rPr>
          <w:color w:val="231F20"/>
          <w:spacing w:val="-43"/>
          <w:w w:val="105"/>
        </w:rPr>
        <w:t> </w:t>
      </w:r>
      <w:r>
        <w:rPr>
          <w:color w:val="231F20"/>
          <w:w w:val="105"/>
        </w:rPr>
        <w:t>sigue</w:t>
      </w:r>
      <w:r>
        <w:rPr>
          <w:color w:val="231F20"/>
          <w:spacing w:val="-43"/>
          <w:w w:val="105"/>
        </w:rPr>
        <w:t> </w:t>
      </w:r>
      <w:r>
        <w:rPr>
          <w:color w:val="231F20"/>
          <w:w w:val="105"/>
        </w:rPr>
        <w:t>dependien- do</w:t>
      </w:r>
      <w:r>
        <w:rPr>
          <w:color w:val="231F20"/>
          <w:spacing w:val="-27"/>
          <w:w w:val="105"/>
        </w:rPr>
        <w:t> </w:t>
      </w:r>
      <w:r>
        <w:rPr>
          <w:color w:val="231F20"/>
          <w:w w:val="105"/>
        </w:rPr>
        <w:t>y</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w w:val="105"/>
        </w:rPr>
        <w:t>cual</w:t>
      </w:r>
      <w:r>
        <w:rPr>
          <w:color w:val="231F20"/>
          <w:spacing w:val="-27"/>
          <w:w w:val="105"/>
        </w:rPr>
        <w:t> </w:t>
      </w:r>
      <w:r>
        <w:rPr>
          <w:color w:val="231F20"/>
          <w:w w:val="105"/>
        </w:rPr>
        <w:t>permanece</w:t>
      </w:r>
      <w:r>
        <w:rPr>
          <w:color w:val="231F20"/>
          <w:spacing w:val="-27"/>
          <w:w w:val="105"/>
        </w:rPr>
        <w:t> </w:t>
      </w:r>
      <w:r>
        <w:rPr>
          <w:color w:val="231F20"/>
          <w:w w:val="105"/>
        </w:rPr>
        <w:t>condicionada.</w:t>
      </w:r>
    </w:p>
    <w:p>
      <w:pPr>
        <w:pStyle w:val="BodyText"/>
        <w:spacing w:line="244" w:lineRule="auto" w:before="1"/>
        <w:ind w:left="115" w:right="106" w:firstLine="566"/>
        <w:jc w:val="both"/>
        <w:rPr>
          <w:rFonts w:ascii="Arial" w:hAnsi="Arial"/>
          <w:i/>
        </w:rPr>
      </w:pPr>
      <w:r>
        <w:rPr>
          <w:color w:val="231F20"/>
          <w:w w:val="105"/>
        </w:rPr>
        <w:t>Tiziano</w:t>
      </w:r>
      <w:r>
        <w:rPr>
          <w:color w:val="231F20"/>
          <w:spacing w:val="-24"/>
          <w:w w:val="105"/>
        </w:rPr>
        <w:t> </w:t>
      </w:r>
      <w:r>
        <w:rPr>
          <w:color w:val="231F20"/>
          <w:w w:val="105"/>
        </w:rPr>
        <w:t>Bonazzi</w:t>
      </w:r>
      <w:r>
        <w:rPr>
          <w:color w:val="231F20"/>
          <w:spacing w:val="-24"/>
          <w:w w:val="105"/>
        </w:rPr>
        <w:t> </w:t>
      </w:r>
      <w:r>
        <w:rPr>
          <w:color w:val="231F20"/>
          <w:w w:val="105"/>
        </w:rPr>
        <w:t>había</w:t>
      </w:r>
      <w:r>
        <w:rPr>
          <w:color w:val="231F20"/>
          <w:spacing w:val="-24"/>
          <w:w w:val="105"/>
        </w:rPr>
        <w:t> </w:t>
      </w:r>
      <w:r>
        <w:rPr>
          <w:color w:val="231F20"/>
          <w:w w:val="105"/>
        </w:rPr>
        <w:t>brillantemente</w:t>
      </w:r>
      <w:r>
        <w:rPr>
          <w:color w:val="231F20"/>
          <w:spacing w:val="-24"/>
          <w:w w:val="105"/>
        </w:rPr>
        <w:t> </w:t>
      </w:r>
      <w:r>
        <w:rPr>
          <w:color w:val="231F20"/>
          <w:w w:val="105"/>
        </w:rPr>
        <w:t>definido</w:t>
      </w:r>
      <w:r>
        <w:rPr>
          <w:color w:val="231F20"/>
          <w:spacing w:val="-24"/>
          <w:w w:val="105"/>
        </w:rPr>
        <w:t> </w:t>
      </w:r>
      <w:r>
        <w:rPr>
          <w:color w:val="231F20"/>
          <w:w w:val="105"/>
        </w:rPr>
        <w:t>como</w:t>
      </w:r>
      <w:r>
        <w:rPr>
          <w:color w:val="231F20"/>
          <w:spacing w:val="-24"/>
          <w:w w:val="105"/>
        </w:rPr>
        <w:t> </w:t>
      </w:r>
      <w:r>
        <w:rPr>
          <w:color w:val="231F20"/>
          <w:w w:val="105"/>
        </w:rPr>
        <w:t>“sacro”</w:t>
      </w:r>
      <w:r>
        <w:rPr>
          <w:color w:val="231F20"/>
          <w:spacing w:val="-24"/>
          <w:w w:val="105"/>
        </w:rPr>
        <w:t> </w:t>
      </w:r>
      <w:r>
        <w:rPr>
          <w:color w:val="231F20"/>
          <w:w w:val="105"/>
        </w:rPr>
        <w:t>el</w:t>
      </w:r>
      <w:r>
        <w:rPr>
          <w:color w:val="231F20"/>
          <w:spacing w:val="-24"/>
          <w:w w:val="105"/>
        </w:rPr>
        <w:t> </w:t>
      </w:r>
      <w:r>
        <w:rPr>
          <w:color w:val="231F20"/>
          <w:w w:val="105"/>
        </w:rPr>
        <w:t>expe- rimento</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Padres</w:t>
      </w:r>
      <w:r>
        <w:rPr>
          <w:color w:val="231F20"/>
          <w:spacing w:val="-27"/>
          <w:w w:val="105"/>
        </w:rPr>
        <w:t> </w:t>
      </w:r>
      <w:r>
        <w:rPr>
          <w:color w:val="231F20"/>
          <w:w w:val="105"/>
        </w:rPr>
        <w:t>americanos</w:t>
      </w:r>
      <w:r>
        <w:rPr>
          <w:color w:val="231F20"/>
          <w:spacing w:val="-27"/>
          <w:w w:val="105"/>
        </w:rPr>
        <w:t> </w:t>
      </w:r>
      <w:r>
        <w:rPr>
          <w:color w:val="231F20"/>
          <w:w w:val="105"/>
        </w:rPr>
        <w:t>desembarcados</w:t>
      </w:r>
      <w:r>
        <w:rPr>
          <w:color w:val="231F20"/>
          <w:spacing w:val="-27"/>
          <w:w w:val="105"/>
        </w:rPr>
        <w:t> </w:t>
      </w:r>
      <w:r>
        <w:rPr>
          <w:color w:val="231F20"/>
          <w:w w:val="105"/>
        </w:rPr>
        <w:t>en</w:t>
      </w:r>
      <w:r>
        <w:rPr>
          <w:color w:val="231F20"/>
          <w:spacing w:val="-27"/>
          <w:w w:val="105"/>
        </w:rPr>
        <w:t> </w:t>
      </w:r>
      <w:r>
        <w:rPr>
          <w:color w:val="231F20"/>
          <w:w w:val="105"/>
        </w:rPr>
        <w:t>Massachusetts</w:t>
      </w:r>
      <w:r>
        <w:rPr>
          <w:color w:val="231F20"/>
          <w:spacing w:val="-27"/>
          <w:w w:val="105"/>
        </w:rPr>
        <w:t> </w:t>
      </w:r>
      <w:r>
        <w:rPr>
          <w:color w:val="231F20"/>
          <w:w w:val="105"/>
        </w:rPr>
        <w:t>a</w:t>
      </w:r>
      <w:r>
        <w:rPr>
          <w:color w:val="231F20"/>
          <w:spacing w:val="-27"/>
          <w:w w:val="105"/>
        </w:rPr>
        <w:t> </w:t>
      </w:r>
      <w:r>
        <w:rPr>
          <w:color w:val="231F20"/>
          <w:w w:val="105"/>
        </w:rPr>
        <w:t>ini- cios</w:t>
      </w:r>
      <w:r>
        <w:rPr>
          <w:color w:val="231F20"/>
          <w:spacing w:val="-33"/>
          <w:w w:val="105"/>
        </w:rPr>
        <w:t> </w:t>
      </w:r>
      <w:r>
        <w:rPr>
          <w:color w:val="231F20"/>
          <w:w w:val="105"/>
        </w:rPr>
        <w:t>del</w:t>
      </w:r>
      <w:r>
        <w:rPr>
          <w:color w:val="231F20"/>
          <w:spacing w:val="-33"/>
          <w:w w:val="105"/>
        </w:rPr>
        <w:t> </w:t>
      </w:r>
      <w:r>
        <w:rPr>
          <w:color w:val="231F20"/>
          <w:w w:val="105"/>
        </w:rPr>
        <w:t>siglo</w:t>
      </w:r>
      <w:r>
        <w:rPr>
          <w:color w:val="231F20"/>
          <w:spacing w:val="-33"/>
          <w:w w:val="105"/>
        </w:rPr>
        <w:t> </w:t>
      </w:r>
      <w:r>
        <w:rPr>
          <w:color w:val="231F20"/>
          <w:w w:val="105"/>
          <w:sz w:val="18"/>
        </w:rPr>
        <w:t>XVII</w:t>
      </w:r>
      <w:r>
        <w:rPr>
          <w:color w:val="231F20"/>
          <w:spacing w:val="-23"/>
          <w:w w:val="105"/>
          <w:sz w:val="18"/>
        </w:rPr>
        <w:t> </w:t>
      </w:r>
      <w:r>
        <w:rPr>
          <w:color w:val="231F20"/>
          <w:w w:val="105"/>
        </w:rPr>
        <w:t>para</w:t>
      </w:r>
      <w:r>
        <w:rPr>
          <w:color w:val="231F20"/>
          <w:spacing w:val="-33"/>
          <w:w w:val="105"/>
        </w:rPr>
        <w:t> </w:t>
      </w:r>
      <w:r>
        <w:rPr>
          <w:color w:val="231F20"/>
          <w:w w:val="105"/>
        </w:rPr>
        <w:t>fundar</w:t>
      </w:r>
      <w:r>
        <w:rPr>
          <w:color w:val="231F20"/>
          <w:spacing w:val="-33"/>
          <w:w w:val="105"/>
        </w:rPr>
        <w:t> </w:t>
      </w:r>
      <w:r>
        <w:rPr>
          <w:color w:val="231F20"/>
          <w:w w:val="105"/>
        </w:rPr>
        <w:t>una</w:t>
      </w:r>
      <w:r>
        <w:rPr>
          <w:color w:val="231F20"/>
          <w:spacing w:val="-33"/>
          <w:w w:val="105"/>
        </w:rPr>
        <w:t> </w:t>
      </w:r>
      <w:r>
        <w:rPr>
          <w:color w:val="231F20"/>
          <w:w w:val="105"/>
        </w:rPr>
        <w:t>colonia</w:t>
      </w:r>
      <w:r>
        <w:rPr>
          <w:color w:val="231F20"/>
          <w:spacing w:val="-33"/>
          <w:w w:val="105"/>
        </w:rPr>
        <w:t> </w:t>
      </w:r>
      <w:r>
        <w:rPr>
          <w:color w:val="231F20"/>
          <w:w w:val="105"/>
        </w:rPr>
        <w:t>con</w:t>
      </w:r>
      <w:r>
        <w:rPr>
          <w:color w:val="231F20"/>
          <w:spacing w:val="-33"/>
          <w:w w:val="105"/>
        </w:rPr>
        <w:t> </w:t>
      </w:r>
      <w:r>
        <w:rPr>
          <w:color w:val="231F20"/>
          <w:w w:val="105"/>
        </w:rPr>
        <w:t>“propósitos</w:t>
      </w:r>
      <w:r>
        <w:rPr>
          <w:color w:val="231F20"/>
          <w:spacing w:val="-33"/>
          <w:w w:val="105"/>
        </w:rPr>
        <w:t> </w:t>
      </w:r>
      <w:r>
        <w:rPr>
          <w:color w:val="231F20"/>
          <w:w w:val="105"/>
        </w:rPr>
        <w:t>de</w:t>
      </w:r>
      <w:r>
        <w:rPr>
          <w:color w:val="231F20"/>
          <w:spacing w:val="-33"/>
          <w:w w:val="105"/>
        </w:rPr>
        <w:t> </w:t>
      </w:r>
      <w:r>
        <w:rPr>
          <w:color w:val="231F20"/>
          <w:w w:val="105"/>
        </w:rPr>
        <w:t>naturaleza</w:t>
      </w:r>
      <w:r>
        <w:rPr>
          <w:color w:val="231F20"/>
          <w:spacing w:val="-33"/>
          <w:w w:val="105"/>
        </w:rPr>
        <w:t> </w:t>
      </w:r>
      <w:r>
        <w:rPr>
          <w:color w:val="231F20"/>
          <w:w w:val="105"/>
        </w:rPr>
        <w:t>re- ligiosa”</w:t>
      </w:r>
      <w:r>
        <w:rPr>
          <w:color w:val="231F20"/>
          <w:w w:val="105"/>
          <w:position w:val="7"/>
          <w:sz w:val="12"/>
        </w:rPr>
        <w:t>44</w:t>
      </w:r>
      <w:r>
        <w:rPr>
          <w:color w:val="231F20"/>
          <w:w w:val="105"/>
        </w:rPr>
        <w:t>.</w:t>
      </w:r>
      <w:r>
        <w:rPr>
          <w:color w:val="231F20"/>
          <w:spacing w:val="-47"/>
          <w:w w:val="105"/>
        </w:rPr>
        <w:t> </w:t>
      </w:r>
      <w:r>
        <w:rPr>
          <w:color w:val="231F20"/>
          <w:w w:val="105"/>
        </w:rPr>
        <w:t>Pero</w:t>
      </w:r>
      <w:r>
        <w:rPr>
          <w:color w:val="231F20"/>
          <w:spacing w:val="-47"/>
          <w:w w:val="105"/>
        </w:rPr>
        <w:t> </w:t>
      </w:r>
      <w:r>
        <w:rPr>
          <w:color w:val="231F20"/>
          <w:w w:val="105"/>
        </w:rPr>
        <w:t>naturalmente</w:t>
      </w:r>
      <w:r>
        <w:rPr>
          <w:color w:val="231F20"/>
          <w:spacing w:val="-47"/>
          <w:w w:val="105"/>
        </w:rPr>
        <w:t> </w:t>
      </w:r>
      <w:r>
        <w:rPr>
          <w:color w:val="231F20"/>
          <w:w w:val="105"/>
        </w:rPr>
        <w:t>existieron</w:t>
      </w:r>
      <w:r>
        <w:rPr>
          <w:color w:val="231F20"/>
          <w:spacing w:val="-47"/>
          <w:w w:val="105"/>
        </w:rPr>
        <w:t> </w:t>
      </w:r>
      <w:r>
        <w:rPr>
          <w:color w:val="231F20"/>
          <w:w w:val="105"/>
        </w:rPr>
        <w:t>también</w:t>
      </w:r>
      <w:r>
        <w:rPr>
          <w:color w:val="231F20"/>
          <w:spacing w:val="-47"/>
          <w:w w:val="105"/>
        </w:rPr>
        <w:t> </w:t>
      </w:r>
      <w:r>
        <w:rPr>
          <w:color w:val="231F20"/>
          <w:w w:val="105"/>
        </w:rPr>
        <w:t>intenciones</w:t>
      </w:r>
      <w:r>
        <w:rPr>
          <w:color w:val="231F20"/>
          <w:spacing w:val="-47"/>
          <w:w w:val="105"/>
        </w:rPr>
        <w:t> </w:t>
      </w:r>
      <w:r>
        <w:rPr>
          <w:color w:val="231F20"/>
          <w:w w:val="105"/>
        </w:rPr>
        <w:t>más</w:t>
      </w:r>
      <w:r>
        <w:rPr>
          <w:color w:val="231F20"/>
          <w:spacing w:val="-47"/>
          <w:w w:val="105"/>
        </w:rPr>
        <w:t> </w:t>
      </w:r>
      <w:r>
        <w:rPr>
          <w:color w:val="231F20"/>
          <w:w w:val="105"/>
        </w:rPr>
        <w:t>prosaicas, incluida</w:t>
      </w:r>
      <w:r>
        <w:rPr>
          <w:color w:val="231F20"/>
          <w:spacing w:val="-42"/>
          <w:w w:val="105"/>
        </w:rPr>
        <w:t> </w:t>
      </w:r>
      <w:r>
        <w:rPr>
          <w:color w:val="231F20"/>
          <w:w w:val="105"/>
        </w:rPr>
        <w:t>aquella</w:t>
      </w:r>
      <w:r>
        <w:rPr>
          <w:color w:val="231F20"/>
          <w:spacing w:val="-42"/>
          <w:w w:val="105"/>
        </w:rPr>
        <w:t> </w:t>
      </w:r>
      <w:r>
        <w:rPr>
          <w:color w:val="231F20"/>
          <w:w w:val="105"/>
        </w:rPr>
        <w:t>político–constitucional</w:t>
      </w:r>
      <w:r>
        <w:rPr>
          <w:color w:val="231F20"/>
          <w:spacing w:val="-42"/>
          <w:w w:val="105"/>
        </w:rPr>
        <w:t> </w:t>
      </w:r>
      <w:r>
        <w:rPr>
          <w:color w:val="231F20"/>
          <w:w w:val="105"/>
        </w:rPr>
        <w:t>de</w:t>
      </w:r>
      <w:r>
        <w:rPr>
          <w:color w:val="231F20"/>
          <w:spacing w:val="-42"/>
          <w:w w:val="105"/>
        </w:rPr>
        <w:t> </w:t>
      </w:r>
      <w:r>
        <w:rPr>
          <w:color w:val="231F20"/>
          <w:w w:val="105"/>
        </w:rPr>
        <w:t>una</w:t>
      </w:r>
      <w:r>
        <w:rPr>
          <w:color w:val="231F20"/>
          <w:spacing w:val="-42"/>
          <w:w w:val="105"/>
        </w:rPr>
        <w:t> </w:t>
      </w:r>
      <w:r>
        <w:rPr>
          <w:rFonts w:ascii="Arial" w:hAnsi="Arial"/>
          <w:i/>
          <w:color w:val="231F20"/>
          <w:w w:val="105"/>
        </w:rPr>
        <w:t>Revolución</w:t>
      </w:r>
      <w:r>
        <w:rPr>
          <w:rFonts w:ascii="Arial" w:hAnsi="Arial"/>
          <w:i/>
          <w:color w:val="231F20"/>
          <w:spacing w:val="-35"/>
          <w:w w:val="105"/>
        </w:rPr>
        <w:t> </w:t>
      </w:r>
      <w:r>
        <w:rPr>
          <w:rFonts w:ascii="Arial" w:hAnsi="Arial"/>
          <w:i/>
          <w:color w:val="231F20"/>
          <w:w w:val="105"/>
        </w:rPr>
        <w:t>para</w:t>
      </w:r>
      <w:r>
        <w:rPr>
          <w:rFonts w:ascii="Arial" w:hAnsi="Arial"/>
          <w:i/>
          <w:color w:val="231F20"/>
          <w:spacing w:val="-35"/>
          <w:w w:val="105"/>
        </w:rPr>
        <w:t> </w:t>
      </w:r>
      <w:r>
        <w:rPr>
          <w:rFonts w:ascii="Arial" w:hAnsi="Arial"/>
          <w:i/>
          <w:color w:val="231F20"/>
          <w:w w:val="105"/>
        </w:rPr>
        <w:t>el</w:t>
      </w:r>
      <w:r>
        <w:rPr>
          <w:rFonts w:ascii="Arial" w:hAnsi="Arial"/>
          <w:i/>
          <w:color w:val="231F20"/>
          <w:spacing w:val="-35"/>
          <w:w w:val="105"/>
        </w:rPr>
        <w:t> </w:t>
      </w:r>
      <w:r>
        <w:rPr>
          <w:rFonts w:ascii="Arial" w:hAnsi="Arial"/>
          <w:i/>
          <w:color w:val="231F20"/>
          <w:w w:val="105"/>
        </w:rPr>
        <w:t>Estado</w:t>
      </w:r>
      <w:r>
        <w:rPr>
          <w:color w:val="231F20"/>
          <w:w w:val="105"/>
          <w:position w:val="7"/>
          <w:sz w:val="12"/>
        </w:rPr>
        <w:t>45</w:t>
      </w:r>
      <w:r>
        <w:rPr>
          <w:color w:val="231F20"/>
          <w:w w:val="105"/>
        </w:rPr>
        <w:t>. Aparte</w:t>
      </w:r>
      <w:r>
        <w:rPr>
          <w:color w:val="231F20"/>
          <w:spacing w:val="-35"/>
          <w:w w:val="105"/>
        </w:rPr>
        <w:t> </w:t>
      </w:r>
      <w:r>
        <w:rPr>
          <w:color w:val="231F20"/>
          <w:w w:val="105"/>
        </w:rPr>
        <w:t>del</w:t>
      </w:r>
      <w:r>
        <w:rPr>
          <w:color w:val="231F20"/>
          <w:spacing w:val="-35"/>
          <w:w w:val="105"/>
        </w:rPr>
        <w:t> </w:t>
      </w:r>
      <w:r>
        <w:rPr>
          <w:rFonts w:ascii="Arial" w:hAnsi="Arial"/>
          <w:i/>
          <w:color w:val="231F20"/>
          <w:w w:val="105"/>
        </w:rPr>
        <w:t>input</w:t>
      </w:r>
      <w:r>
        <w:rPr>
          <w:rFonts w:ascii="Arial" w:hAnsi="Arial"/>
          <w:i/>
          <w:color w:val="231F20"/>
          <w:spacing w:val="-26"/>
          <w:w w:val="105"/>
        </w:rPr>
        <w:t> </w:t>
      </w:r>
      <w:r>
        <w:rPr>
          <w:color w:val="231F20"/>
          <w:w w:val="105"/>
        </w:rPr>
        <w:t>europeo</w:t>
      </w:r>
      <w:r>
        <w:rPr>
          <w:color w:val="231F20"/>
          <w:spacing w:val="-35"/>
          <w:w w:val="105"/>
        </w:rPr>
        <w:t> </w:t>
      </w:r>
      <w:r>
        <w:rPr>
          <w:color w:val="231F20"/>
          <w:w w:val="105"/>
        </w:rPr>
        <w:t>de</w:t>
      </w:r>
      <w:r>
        <w:rPr>
          <w:color w:val="231F20"/>
          <w:spacing w:val="-35"/>
          <w:w w:val="105"/>
        </w:rPr>
        <w:t> </w:t>
      </w:r>
      <w:r>
        <w:rPr>
          <w:color w:val="231F20"/>
          <w:w w:val="105"/>
        </w:rPr>
        <w:t>la</w:t>
      </w:r>
      <w:r>
        <w:rPr>
          <w:color w:val="231F20"/>
          <w:spacing w:val="-35"/>
          <w:w w:val="105"/>
        </w:rPr>
        <w:t> </w:t>
      </w:r>
      <w:r>
        <w:rPr>
          <w:color w:val="231F20"/>
          <w:w w:val="105"/>
        </w:rPr>
        <w:t>operación,</w:t>
      </w:r>
      <w:r>
        <w:rPr>
          <w:color w:val="231F20"/>
          <w:spacing w:val="-35"/>
          <w:w w:val="105"/>
        </w:rPr>
        <w:t> </w:t>
      </w:r>
      <w:r>
        <w:rPr>
          <w:color w:val="231F20"/>
          <w:w w:val="105"/>
        </w:rPr>
        <w:t>se</w:t>
      </w:r>
      <w:r>
        <w:rPr>
          <w:color w:val="231F20"/>
          <w:spacing w:val="-35"/>
          <w:w w:val="105"/>
        </w:rPr>
        <w:t> </w:t>
      </w:r>
      <w:r>
        <w:rPr>
          <w:color w:val="231F20"/>
          <w:w w:val="105"/>
        </w:rPr>
        <w:t>subestima</w:t>
      </w:r>
      <w:r>
        <w:rPr>
          <w:color w:val="231F20"/>
          <w:spacing w:val="-35"/>
          <w:w w:val="105"/>
        </w:rPr>
        <w:t> </w:t>
      </w:r>
      <w:r>
        <w:rPr>
          <w:color w:val="231F20"/>
          <w:w w:val="105"/>
        </w:rPr>
        <w:t>tal</w:t>
      </w:r>
      <w:r>
        <w:rPr>
          <w:color w:val="231F20"/>
          <w:spacing w:val="-35"/>
          <w:w w:val="105"/>
        </w:rPr>
        <w:t> </w:t>
      </w:r>
      <w:r>
        <w:rPr>
          <w:color w:val="231F20"/>
          <w:w w:val="105"/>
        </w:rPr>
        <w:t>vez</w:t>
      </w:r>
      <w:r>
        <w:rPr>
          <w:color w:val="231F20"/>
          <w:spacing w:val="-35"/>
          <w:w w:val="105"/>
        </w:rPr>
        <w:t> </w:t>
      </w:r>
      <w:r>
        <w:rPr>
          <w:color w:val="231F20"/>
          <w:w w:val="105"/>
        </w:rPr>
        <w:t>el</w:t>
      </w:r>
      <w:r>
        <w:rPr>
          <w:color w:val="231F20"/>
          <w:spacing w:val="-35"/>
          <w:w w:val="105"/>
        </w:rPr>
        <w:t> </w:t>
      </w:r>
      <w:r>
        <w:rPr>
          <w:rFonts w:ascii="Arial" w:hAnsi="Arial"/>
          <w:i/>
          <w:color w:val="231F20"/>
          <w:w w:val="105"/>
        </w:rPr>
        <w:t>feed</w:t>
      </w:r>
      <w:r>
        <w:rPr>
          <w:color w:val="231F20"/>
          <w:w w:val="105"/>
        </w:rPr>
        <w:t>–</w:t>
      </w:r>
      <w:r>
        <w:rPr>
          <w:rFonts w:ascii="Arial" w:hAnsi="Arial"/>
          <w:i/>
          <w:color w:val="231F20"/>
          <w:w w:val="105"/>
        </w:rPr>
        <w:t>back</w:t>
      </w:r>
    </w:p>
    <w:p>
      <w:pPr>
        <w:pStyle w:val="BodyText"/>
        <w:rPr>
          <w:rFonts w:ascii="Arial"/>
          <w:i/>
          <w:sz w:val="20"/>
        </w:rPr>
      </w:pPr>
    </w:p>
    <w:p>
      <w:pPr>
        <w:pStyle w:val="BodyText"/>
        <w:spacing w:before="5"/>
        <w:rPr>
          <w:rFonts w:ascii="Arial"/>
          <w:i/>
          <w:sz w:val="12"/>
        </w:rPr>
      </w:pPr>
      <w:r>
        <w:rPr/>
        <w:pict>
          <v:line style="position:absolute;mso-position-horizontal-relative:page;mso-position-vertical-relative:paragraph;z-index:5944;mso-wrap-distance-left:0;mso-wrap-distance-right:0" from="63.779499pt,9.277175pt" to="177.165499pt,9.277175pt" stroked="true" strokeweight=".3pt" strokecolor="#231f20">
            <w10:wrap type="topAndBottom"/>
          </v:line>
        </w:pict>
      </w:r>
    </w:p>
    <w:p>
      <w:pPr>
        <w:spacing w:line="204" w:lineRule="exact" w:before="9"/>
        <w:ind w:left="115" w:right="0" w:firstLine="0"/>
        <w:jc w:val="left"/>
        <w:rPr>
          <w:rFonts w:ascii="Calibri" w:hAnsi="Calibri"/>
          <w:sz w:val="17"/>
        </w:rPr>
      </w:pPr>
      <w:r>
        <w:rPr>
          <w:rFonts w:ascii="Calibri" w:hAnsi="Calibri"/>
          <w:color w:val="231F20"/>
          <w:position w:val="6"/>
          <w:sz w:val="10"/>
        </w:rPr>
        <w:t>43 </w:t>
      </w:r>
      <w:r>
        <w:rPr>
          <w:rFonts w:ascii="Calibri" w:hAnsi="Calibri"/>
          <w:color w:val="231F20"/>
          <w:sz w:val="17"/>
        </w:rPr>
        <w:t>P. Schiera, “Misura per misura. Dalla global polity al buon governo e ritorno”, </w:t>
      </w:r>
      <w:r>
        <w:rPr>
          <w:rFonts w:ascii="Calibri" w:hAnsi="Calibri"/>
          <w:i/>
          <w:color w:val="231F20"/>
          <w:sz w:val="17"/>
        </w:rPr>
        <w:t>Scienza &amp; Politica – </w:t>
      </w:r>
      <w:r>
        <w:rPr>
          <w:rFonts w:ascii="Calibri" w:hAnsi="Calibri"/>
          <w:i/>
          <w:color w:val="231F20"/>
          <w:sz w:val="17"/>
        </w:rPr>
        <w:t>Deposito, </w:t>
      </w:r>
      <w:r>
        <w:rPr>
          <w:rFonts w:ascii="Calibri" w:hAnsi="Calibri"/>
          <w:color w:val="231F20"/>
          <w:sz w:val="17"/>
        </w:rPr>
        <w:t>no. 1, 2015, disponible en:  </w:t>
      </w:r>
      <w:hyperlink r:id="rId46">
        <w:r>
          <w:rPr>
            <w:rFonts w:ascii="Calibri" w:hAnsi="Calibri"/>
            <w:color w:val="231F20"/>
            <w:sz w:val="17"/>
          </w:rPr>
          <w:t>http://scienzaepolitica.unibo.it/pages/view/repository.</w:t>
        </w:r>
      </w:hyperlink>
    </w:p>
    <w:p>
      <w:pPr>
        <w:spacing w:line="206" w:lineRule="exact" w:before="1"/>
        <w:ind w:left="115" w:right="0" w:firstLine="0"/>
        <w:jc w:val="left"/>
        <w:rPr>
          <w:rFonts w:ascii="Calibri" w:hAnsi="Calibri"/>
          <w:sz w:val="17"/>
        </w:rPr>
      </w:pPr>
      <w:r>
        <w:rPr>
          <w:rFonts w:ascii="Calibri" w:hAnsi="Calibri"/>
          <w:color w:val="231F20"/>
          <w:position w:val="6"/>
          <w:sz w:val="10"/>
        </w:rPr>
        <w:t>44 </w:t>
      </w:r>
      <w:r>
        <w:rPr>
          <w:rFonts w:ascii="Calibri" w:hAnsi="Calibri"/>
          <w:color w:val="231F20"/>
          <w:spacing w:val="-10"/>
          <w:sz w:val="17"/>
        </w:rPr>
        <w:t>T.</w:t>
      </w:r>
      <w:r>
        <w:rPr>
          <w:rFonts w:ascii="Calibri" w:hAnsi="Calibri"/>
          <w:color w:val="231F20"/>
          <w:spacing w:val="-13"/>
          <w:sz w:val="17"/>
        </w:rPr>
        <w:t> </w:t>
      </w:r>
      <w:r>
        <w:rPr>
          <w:rFonts w:ascii="Calibri" w:hAnsi="Calibri"/>
          <w:color w:val="231F20"/>
          <w:sz w:val="17"/>
        </w:rPr>
        <w:t>Bonazzi,</w:t>
      </w:r>
      <w:r>
        <w:rPr>
          <w:rFonts w:ascii="Calibri" w:hAnsi="Calibri"/>
          <w:color w:val="231F20"/>
          <w:spacing w:val="-13"/>
          <w:sz w:val="17"/>
        </w:rPr>
        <w:t> </w:t>
      </w:r>
      <w:r>
        <w:rPr>
          <w:rFonts w:ascii="Calibri" w:hAnsi="Calibri"/>
          <w:i/>
          <w:color w:val="231F20"/>
          <w:sz w:val="17"/>
        </w:rPr>
        <w:t>Il</w:t>
      </w:r>
      <w:r>
        <w:rPr>
          <w:rFonts w:ascii="Calibri" w:hAnsi="Calibri"/>
          <w:i/>
          <w:color w:val="231F20"/>
          <w:spacing w:val="-14"/>
          <w:sz w:val="17"/>
        </w:rPr>
        <w:t> </w:t>
      </w:r>
      <w:r>
        <w:rPr>
          <w:rFonts w:ascii="Calibri" w:hAnsi="Calibri"/>
          <w:i/>
          <w:color w:val="231F20"/>
          <w:spacing w:val="-3"/>
          <w:sz w:val="17"/>
        </w:rPr>
        <w:t>sacro</w:t>
      </w:r>
      <w:r>
        <w:rPr>
          <w:rFonts w:ascii="Calibri" w:hAnsi="Calibri"/>
          <w:i/>
          <w:color w:val="231F20"/>
          <w:spacing w:val="-14"/>
          <w:sz w:val="17"/>
        </w:rPr>
        <w:t> </w:t>
      </w:r>
      <w:r>
        <w:rPr>
          <w:rFonts w:ascii="Calibri" w:hAnsi="Calibri"/>
          <w:i/>
          <w:color w:val="231F20"/>
          <w:spacing w:val="-3"/>
          <w:sz w:val="17"/>
        </w:rPr>
        <w:t>esperimento.</w:t>
      </w:r>
      <w:r>
        <w:rPr>
          <w:rFonts w:ascii="Calibri" w:hAnsi="Calibri"/>
          <w:i/>
          <w:color w:val="231F20"/>
          <w:spacing w:val="-17"/>
          <w:sz w:val="17"/>
        </w:rPr>
        <w:t> </w:t>
      </w:r>
      <w:r>
        <w:rPr>
          <w:rFonts w:ascii="Calibri" w:hAnsi="Calibri"/>
          <w:i/>
          <w:color w:val="231F20"/>
          <w:spacing w:val="-4"/>
          <w:sz w:val="17"/>
        </w:rPr>
        <w:t>Teologia</w:t>
      </w:r>
      <w:r>
        <w:rPr>
          <w:rFonts w:ascii="Calibri" w:hAnsi="Calibri"/>
          <w:i/>
          <w:color w:val="231F20"/>
          <w:spacing w:val="-14"/>
          <w:sz w:val="17"/>
        </w:rPr>
        <w:t> </w:t>
      </w:r>
      <w:r>
        <w:rPr>
          <w:rFonts w:ascii="Calibri" w:hAnsi="Calibri"/>
          <w:i/>
          <w:color w:val="231F20"/>
          <w:sz w:val="17"/>
        </w:rPr>
        <w:t>e</w:t>
      </w:r>
      <w:r>
        <w:rPr>
          <w:rFonts w:ascii="Calibri" w:hAnsi="Calibri"/>
          <w:i/>
          <w:color w:val="231F20"/>
          <w:spacing w:val="-14"/>
          <w:sz w:val="17"/>
        </w:rPr>
        <w:t> </w:t>
      </w:r>
      <w:r>
        <w:rPr>
          <w:rFonts w:ascii="Calibri" w:hAnsi="Calibri"/>
          <w:i/>
          <w:color w:val="231F20"/>
          <w:sz w:val="17"/>
        </w:rPr>
        <w:t>politica</w:t>
      </w:r>
      <w:r>
        <w:rPr>
          <w:rFonts w:ascii="Calibri" w:hAnsi="Calibri"/>
          <w:i/>
          <w:color w:val="231F20"/>
          <w:spacing w:val="-14"/>
          <w:sz w:val="17"/>
        </w:rPr>
        <w:t> </w:t>
      </w:r>
      <w:r>
        <w:rPr>
          <w:rFonts w:ascii="Calibri" w:hAnsi="Calibri"/>
          <w:i/>
          <w:color w:val="231F20"/>
          <w:spacing w:val="-3"/>
          <w:sz w:val="17"/>
        </w:rPr>
        <w:t>nell’America</w:t>
      </w:r>
      <w:r>
        <w:rPr>
          <w:rFonts w:ascii="Calibri" w:hAnsi="Calibri"/>
          <w:i/>
          <w:color w:val="231F20"/>
          <w:spacing w:val="-14"/>
          <w:sz w:val="17"/>
        </w:rPr>
        <w:t> </w:t>
      </w:r>
      <w:r>
        <w:rPr>
          <w:rFonts w:ascii="Calibri" w:hAnsi="Calibri"/>
          <w:i/>
          <w:color w:val="231F20"/>
          <w:sz w:val="17"/>
        </w:rPr>
        <w:t>puritana</w:t>
      </w:r>
      <w:r>
        <w:rPr>
          <w:rFonts w:ascii="Calibri" w:hAnsi="Calibri"/>
          <w:color w:val="231F20"/>
          <w:sz w:val="17"/>
        </w:rPr>
        <w:t>,</w:t>
      </w:r>
      <w:r>
        <w:rPr>
          <w:rFonts w:ascii="Calibri" w:hAnsi="Calibri"/>
          <w:color w:val="231F20"/>
          <w:spacing w:val="-13"/>
          <w:sz w:val="17"/>
        </w:rPr>
        <w:t> </w:t>
      </w:r>
      <w:r>
        <w:rPr>
          <w:rFonts w:ascii="Calibri" w:hAnsi="Calibri"/>
          <w:color w:val="231F20"/>
          <w:sz w:val="17"/>
        </w:rPr>
        <w:t>Bologna,</w:t>
      </w:r>
      <w:r>
        <w:rPr>
          <w:rFonts w:ascii="Calibri" w:hAnsi="Calibri"/>
          <w:color w:val="231F20"/>
          <w:spacing w:val="-13"/>
          <w:sz w:val="17"/>
        </w:rPr>
        <w:t> </w:t>
      </w:r>
      <w:r>
        <w:rPr>
          <w:rFonts w:ascii="Calibri" w:hAnsi="Calibri"/>
          <w:color w:val="231F20"/>
          <w:sz w:val="17"/>
        </w:rPr>
        <w:t>il</w:t>
      </w:r>
      <w:r>
        <w:rPr>
          <w:rFonts w:ascii="Calibri" w:hAnsi="Calibri"/>
          <w:color w:val="231F20"/>
          <w:spacing w:val="-13"/>
          <w:sz w:val="17"/>
        </w:rPr>
        <w:t> </w:t>
      </w:r>
      <w:r>
        <w:rPr>
          <w:rFonts w:ascii="Calibri" w:hAnsi="Calibri"/>
          <w:color w:val="231F20"/>
          <w:sz w:val="17"/>
        </w:rPr>
        <w:t>Mulino,</w:t>
      </w:r>
      <w:r>
        <w:rPr>
          <w:rFonts w:ascii="Calibri" w:hAnsi="Calibri"/>
          <w:color w:val="231F20"/>
          <w:spacing w:val="-13"/>
          <w:sz w:val="17"/>
        </w:rPr>
        <w:t> </w:t>
      </w:r>
      <w:r>
        <w:rPr>
          <w:rFonts w:ascii="Calibri" w:hAnsi="Calibri"/>
          <w:color w:val="231F20"/>
          <w:spacing w:val="-3"/>
          <w:sz w:val="17"/>
        </w:rPr>
        <w:t>1970,</w:t>
      </w:r>
      <w:r>
        <w:rPr>
          <w:rFonts w:ascii="Calibri" w:hAnsi="Calibri"/>
          <w:color w:val="231F20"/>
          <w:spacing w:val="-13"/>
          <w:sz w:val="17"/>
        </w:rPr>
        <w:t> </w:t>
      </w:r>
      <w:r>
        <w:rPr>
          <w:rFonts w:ascii="Calibri" w:hAnsi="Calibri"/>
          <w:color w:val="231F20"/>
          <w:sz w:val="17"/>
        </w:rPr>
        <w:t>p.</w:t>
      </w:r>
      <w:r>
        <w:rPr>
          <w:rFonts w:ascii="Calibri" w:hAnsi="Calibri"/>
          <w:color w:val="231F20"/>
          <w:spacing w:val="-13"/>
          <w:sz w:val="17"/>
        </w:rPr>
        <w:t> </w:t>
      </w:r>
      <w:r>
        <w:rPr>
          <w:rFonts w:ascii="Calibri" w:hAnsi="Calibri"/>
          <w:color w:val="231F20"/>
          <w:sz w:val="17"/>
        </w:rPr>
        <w:t>8.</w:t>
      </w:r>
    </w:p>
    <w:p>
      <w:pPr>
        <w:spacing w:line="235" w:lineRule="auto" w:before="1"/>
        <w:ind w:left="115" w:right="0" w:firstLine="0"/>
        <w:jc w:val="left"/>
        <w:rPr>
          <w:rFonts w:ascii="Calibri"/>
          <w:sz w:val="17"/>
        </w:rPr>
      </w:pPr>
      <w:r>
        <w:rPr>
          <w:rFonts w:ascii="Calibri"/>
          <w:color w:val="231F20"/>
          <w:position w:val="6"/>
          <w:sz w:val="10"/>
        </w:rPr>
        <w:t>45 </w:t>
      </w:r>
      <w:r>
        <w:rPr>
          <w:rFonts w:ascii="Calibri"/>
          <w:color w:val="231F20"/>
          <w:sz w:val="17"/>
        </w:rPr>
        <w:t>M. Battistini, </w:t>
      </w:r>
      <w:r>
        <w:rPr>
          <w:rFonts w:ascii="Calibri"/>
          <w:i/>
          <w:color w:val="231F20"/>
          <w:sz w:val="17"/>
        </w:rPr>
        <w:t>Una Rivoluzione per lo Stato. Thomas Paine e la Rivoluzione americana nel Mondo </w:t>
      </w:r>
      <w:r>
        <w:rPr>
          <w:rFonts w:ascii="Calibri"/>
          <w:i/>
          <w:color w:val="231F20"/>
          <w:sz w:val="17"/>
        </w:rPr>
        <w:t>Atlantico</w:t>
      </w:r>
      <w:r>
        <w:rPr>
          <w:rFonts w:ascii="Calibri"/>
          <w:color w:val="231F20"/>
          <w:sz w:val="17"/>
        </w:rPr>
        <w:t>, Soveria Mannelli, Rubettino, 2012.</w:t>
      </w:r>
    </w:p>
    <w:p>
      <w:pPr>
        <w:pStyle w:val="BodyText"/>
        <w:rPr>
          <w:rFonts w:ascii="Calibri"/>
          <w:sz w:val="20"/>
        </w:rPr>
      </w:pPr>
    </w:p>
    <w:p>
      <w:pPr>
        <w:pStyle w:val="BodyText"/>
        <w:spacing w:before="10"/>
        <w:rPr>
          <w:rFonts w:ascii="Calibri"/>
          <w:sz w:val="27"/>
        </w:rPr>
      </w:pPr>
    </w:p>
    <w:p>
      <w:pPr>
        <w:tabs>
          <w:tab w:pos="1371" w:val="left" w:leader="none"/>
        </w:tabs>
        <w:spacing w:before="68"/>
        <w:ind w:left="266" w:right="0" w:firstLine="0"/>
        <w:jc w:val="left"/>
        <w:rPr>
          <w:rFonts w:ascii="Calibri"/>
          <w:sz w:val="16"/>
        </w:rPr>
      </w:pPr>
      <w:r>
        <w:rPr/>
        <w:pict>
          <v:group style="position:absolute;margin-left:98.787804pt;margin-top:-3.358812pt;width:20.4pt;height:43pt;mso-position-horizontal-relative:page;mso-position-vertical-relative:paragraph;z-index:-169432"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110</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160" w:right="128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3924" w:right="0" w:firstLine="0"/>
        <w:jc w:val="left"/>
        <w:rPr>
          <w:rFonts w:ascii="Arial" w:hAnsi="Arial"/>
          <w:sz w:val="20"/>
        </w:rPr>
      </w:pPr>
      <w:r>
        <w:rPr/>
        <w:pict>
          <v:group style="position:absolute;margin-left:383.821014pt;margin-top:-25.479271pt;width:8.65pt;height:41pt;mso-position-horizontal-relative:page;mso-position-vertical-relative:paragraph;z-index:-16940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5"/>
          <w:sz w:val="14"/>
        </w:rPr>
        <w:t> </w:t>
      </w:r>
      <w:r>
        <w:rPr>
          <w:rFonts w:ascii="Lucida Sans Unicode" w:hAnsi="Lucida Sans Unicode"/>
          <w:color w:val="6D6E71"/>
          <w:sz w:val="14"/>
        </w:rPr>
        <w:t>ESTADO</w:t>
      </w:r>
      <w:r>
        <w:rPr>
          <w:rFonts w:ascii="Lucida Sans Unicode" w:hAnsi="Lucida Sans Unicode"/>
          <w:color w:val="6D6E71"/>
          <w:spacing w:val="-25"/>
          <w:sz w:val="14"/>
        </w:rPr>
        <w:t> </w:t>
      </w:r>
      <w:r>
        <w:rPr>
          <w:rFonts w:ascii="Lucida Sans Unicode" w:hAnsi="Lucida Sans Unicode"/>
          <w:color w:val="6D6E71"/>
          <w:sz w:val="14"/>
        </w:rPr>
        <w:t>MODERNO</w:t>
      </w:r>
      <w:r>
        <w:rPr>
          <w:rFonts w:ascii="Lucida Sans Unicode" w:hAnsi="Lucida Sans Unicode"/>
          <w:color w:val="6D6E71"/>
          <w:spacing w:val="-25"/>
          <w:sz w:val="14"/>
        </w:rPr>
        <w:t> </w:t>
      </w:r>
      <w:r>
        <w:rPr>
          <w:rFonts w:ascii="Lucida Sans Unicode" w:hAnsi="Lucida Sans Unicode"/>
          <w:color w:val="6D6E71"/>
          <w:sz w:val="14"/>
        </w:rPr>
        <w:t>HOY</w:t>
      </w:r>
      <w:r>
        <w:rPr>
          <w:rFonts w:ascii="Lucida Sans Unicode" w:hAnsi="Lucida Sans Unicode"/>
          <w:color w:val="6D6E71"/>
          <w:spacing w:val="-25"/>
          <w:sz w:val="14"/>
        </w:rPr>
        <w:t> </w:t>
      </w:r>
      <w:r>
        <w:rPr>
          <w:rFonts w:ascii="Lucida Sans Unicode" w:hAnsi="Lucida Sans Unicode"/>
          <w:color w:val="6D6E71"/>
          <w:sz w:val="14"/>
        </w:rPr>
        <w:t>Y</w:t>
      </w:r>
      <w:r>
        <w:rPr>
          <w:rFonts w:ascii="Lucida Sans Unicode" w:hAnsi="Lucida Sans Unicode"/>
          <w:color w:val="6D6E71"/>
          <w:spacing w:val="-25"/>
          <w:sz w:val="14"/>
        </w:rPr>
        <w:t> </w:t>
      </w:r>
      <w:r>
        <w:rPr>
          <w:rFonts w:ascii="Lucida Sans Unicode" w:hAnsi="Lucida Sans Unicode"/>
          <w:color w:val="6D6E71"/>
          <w:sz w:val="14"/>
        </w:rPr>
        <w:t>MAÑANA</w:t>
      </w:r>
      <w:r>
        <w:rPr>
          <w:rFonts w:ascii="Arial" w:hAnsi="Arial"/>
          <w:color w:val="414042"/>
          <w:position w:val="-3"/>
          <w:sz w:val="20"/>
        </w:rPr>
        <w:tab/>
        <w:t>111</w:t>
      </w:r>
    </w:p>
    <w:p>
      <w:pPr>
        <w:pStyle w:val="BodyText"/>
        <w:spacing w:line="247" w:lineRule="auto" w:before="623"/>
        <w:ind w:left="117" w:right="101"/>
        <w:jc w:val="both"/>
      </w:pPr>
      <w:r>
        <w:rPr>
          <w:color w:val="231F20"/>
          <w:w w:val="105"/>
        </w:rPr>
        <w:t>al que se refiere la creación de un clima político “atlántico”. Me parece indiscutible</w:t>
      </w:r>
      <w:r>
        <w:rPr>
          <w:color w:val="231F20"/>
          <w:spacing w:val="-31"/>
          <w:w w:val="105"/>
        </w:rPr>
        <w:t> </w:t>
      </w:r>
      <w:r>
        <w:rPr>
          <w:color w:val="231F20"/>
          <w:w w:val="105"/>
        </w:rPr>
        <w:t>que</w:t>
      </w:r>
      <w:r>
        <w:rPr>
          <w:color w:val="231F20"/>
          <w:spacing w:val="-31"/>
          <w:w w:val="105"/>
        </w:rPr>
        <w:t> </w:t>
      </w:r>
      <w:r>
        <w:rPr>
          <w:color w:val="231F20"/>
          <w:w w:val="105"/>
        </w:rPr>
        <w:t>aquel</w:t>
      </w:r>
      <w:r>
        <w:rPr>
          <w:color w:val="231F20"/>
          <w:spacing w:val="-31"/>
          <w:w w:val="105"/>
        </w:rPr>
        <w:t> </w:t>
      </w:r>
      <w:r>
        <w:rPr>
          <w:color w:val="231F20"/>
          <w:w w:val="105"/>
        </w:rPr>
        <w:t>clima</w:t>
      </w:r>
      <w:r>
        <w:rPr>
          <w:color w:val="231F20"/>
          <w:spacing w:val="-31"/>
          <w:w w:val="105"/>
        </w:rPr>
        <w:t> </w:t>
      </w:r>
      <w:r>
        <w:rPr>
          <w:color w:val="231F20"/>
          <w:w w:val="105"/>
        </w:rPr>
        <w:t>terminó</w:t>
      </w:r>
      <w:r>
        <w:rPr>
          <w:color w:val="231F20"/>
          <w:spacing w:val="-31"/>
          <w:w w:val="105"/>
        </w:rPr>
        <w:t> </w:t>
      </w:r>
      <w:r>
        <w:rPr>
          <w:color w:val="231F20"/>
          <w:w w:val="105"/>
        </w:rPr>
        <w:t>por</w:t>
      </w:r>
      <w:r>
        <w:rPr>
          <w:color w:val="231F20"/>
          <w:spacing w:val="-31"/>
          <w:w w:val="105"/>
        </w:rPr>
        <w:t> </w:t>
      </w:r>
      <w:r>
        <w:rPr>
          <w:color w:val="231F20"/>
          <w:w w:val="105"/>
        </w:rPr>
        <w:t>envolver</w:t>
      </w:r>
      <w:r>
        <w:rPr>
          <w:color w:val="231F20"/>
          <w:spacing w:val="-31"/>
          <w:w w:val="105"/>
        </w:rPr>
        <w:t> </w:t>
      </w:r>
      <w:r>
        <w:rPr>
          <w:color w:val="231F20"/>
          <w:w w:val="105"/>
        </w:rPr>
        <w:t>también,</w:t>
      </w:r>
      <w:r>
        <w:rPr>
          <w:color w:val="231F20"/>
          <w:spacing w:val="-31"/>
          <w:w w:val="105"/>
        </w:rPr>
        <w:t> </w:t>
      </w:r>
      <w:r>
        <w:rPr>
          <w:color w:val="231F20"/>
          <w:w w:val="105"/>
        </w:rPr>
        <w:t>en</w:t>
      </w:r>
      <w:r>
        <w:rPr>
          <w:color w:val="231F20"/>
          <w:spacing w:val="-31"/>
          <w:w w:val="105"/>
        </w:rPr>
        <w:t> </w:t>
      </w:r>
      <w:r>
        <w:rPr>
          <w:color w:val="231F20"/>
          <w:w w:val="105"/>
        </w:rPr>
        <w:t>una</w:t>
      </w:r>
      <w:r>
        <w:rPr>
          <w:color w:val="231F20"/>
          <w:spacing w:val="-31"/>
          <w:w w:val="105"/>
        </w:rPr>
        <w:t> </w:t>
      </w:r>
      <w:r>
        <w:rPr>
          <w:color w:val="231F20"/>
          <w:w w:val="105"/>
        </w:rPr>
        <w:t>medida significativa,</w:t>
      </w:r>
      <w:r>
        <w:rPr>
          <w:color w:val="231F20"/>
          <w:spacing w:val="-38"/>
          <w:w w:val="105"/>
        </w:rPr>
        <w:t> </w:t>
      </w:r>
      <w:r>
        <w:rPr>
          <w:color w:val="231F20"/>
          <w:w w:val="105"/>
        </w:rPr>
        <w:t>la</w:t>
      </w:r>
      <w:r>
        <w:rPr>
          <w:color w:val="231F20"/>
          <w:spacing w:val="-38"/>
          <w:w w:val="105"/>
        </w:rPr>
        <w:t> </w:t>
      </w:r>
      <w:r>
        <w:rPr>
          <w:color w:val="231F20"/>
          <w:w w:val="105"/>
        </w:rPr>
        <w:t>cuestión</w:t>
      </w:r>
      <w:r>
        <w:rPr>
          <w:color w:val="231F20"/>
          <w:spacing w:val="-38"/>
          <w:w w:val="105"/>
        </w:rPr>
        <w:t> </w:t>
      </w:r>
      <w:r>
        <w:rPr>
          <w:color w:val="231F20"/>
          <w:w w:val="105"/>
        </w:rPr>
        <w:t>del</w:t>
      </w:r>
      <w:r>
        <w:rPr>
          <w:color w:val="231F20"/>
          <w:spacing w:val="-38"/>
          <w:w w:val="105"/>
        </w:rPr>
        <w:t> </w:t>
      </w:r>
      <w:r>
        <w:rPr>
          <w:color w:val="231F20"/>
          <w:w w:val="105"/>
        </w:rPr>
        <w:t>Estado.</w:t>
      </w:r>
      <w:r>
        <w:rPr>
          <w:color w:val="231F20"/>
          <w:spacing w:val="-38"/>
          <w:w w:val="105"/>
        </w:rPr>
        <w:t> </w:t>
      </w:r>
      <w:r>
        <w:rPr>
          <w:color w:val="231F20"/>
          <w:w w:val="105"/>
        </w:rPr>
        <w:t>No</w:t>
      </w:r>
      <w:r>
        <w:rPr>
          <w:color w:val="231F20"/>
          <w:spacing w:val="-38"/>
          <w:w w:val="105"/>
        </w:rPr>
        <w:t> </w:t>
      </w:r>
      <w:r>
        <w:rPr>
          <w:color w:val="231F20"/>
          <w:w w:val="105"/>
        </w:rPr>
        <w:t>sé</w:t>
      </w:r>
      <w:r>
        <w:rPr>
          <w:color w:val="231F20"/>
          <w:spacing w:val="-38"/>
          <w:w w:val="105"/>
        </w:rPr>
        <w:t> </w:t>
      </w:r>
      <w:r>
        <w:rPr>
          <w:color w:val="231F20"/>
          <w:w w:val="105"/>
        </w:rPr>
        <w:t>si</w:t>
      </w:r>
      <w:r>
        <w:rPr>
          <w:color w:val="231F20"/>
          <w:spacing w:val="-38"/>
          <w:w w:val="105"/>
        </w:rPr>
        <w:t> </w:t>
      </w:r>
      <w:r>
        <w:rPr>
          <w:color w:val="231F20"/>
          <w:w w:val="105"/>
        </w:rPr>
        <w:t>se</w:t>
      </w:r>
      <w:r>
        <w:rPr>
          <w:color w:val="231F20"/>
          <w:spacing w:val="-38"/>
          <w:w w:val="105"/>
        </w:rPr>
        <w:t> </w:t>
      </w:r>
      <w:r>
        <w:rPr>
          <w:color w:val="231F20"/>
          <w:w w:val="105"/>
        </w:rPr>
        <w:t>pueda</w:t>
      </w:r>
      <w:r>
        <w:rPr>
          <w:color w:val="231F20"/>
          <w:spacing w:val="-38"/>
          <w:w w:val="105"/>
        </w:rPr>
        <w:t> </w:t>
      </w:r>
      <w:r>
        <w:rPr>
          <w:color w:val="231F20"/>
          <w:w w:val="105"/>
        </w:rPr>
        <w:t>hacer</w:t>
      </w:r>
      <w:r>
        <w:rPr>
          <w:color w:val="231F20"/>
          <w:spacing w:val="-38"/>
          <w:w w:val="105"/>
        </w:rPr>
        <w:t> </w:t>
      </w:r>
      <w:r>
        <w:rPr>
          <w:color w:val="231F20"/>
          <w:w w:val="105"/>
        </w:rPr>
        <w:t>referencia</w:t>
      </w:r>
      <w:r>
        <w:rPr>
          <w:color w:val="231F20"/>
          <w:spacing w:val="-38"/>
          <w:w w:val="105"/>
        </w:rPr>
        <w:t> </w:t>
      </w:r>
      <w:r>
        <w:rPr>
          <w:color w:val="231F20"/>
          <w:w w:val="105"/>
        </w:rPr>
        <w:t>a</w:t>
      </w:r>
      <w:r>
        <w:rPr>
          <w:color w:val="231F20"/>
          <w:spacing w:val="-38"/>
          <w:w w:val="105"/>
        </w:rPr>
        <w:t> </w:t>
      </w:r>
      <w:r>
        <w:rPr>
          <w:color w:val="231F20"/>
          <w:w w:val="105"/>
        </w:rPr>
        <w:t>las </w:t>
      </w:r>
      <w:r>
        <w:rPr>
          <w:rFonts w:ascii="Arial" w:hAnsi="Arial"/>
          <w:i/>
          <w:color w:val="231F20"/>
          <w:w w:val="105"/>
        </w:rPr>
        <w:t>reducciones</w:t>
      </w:r>
      <w:r>
        <w:rPr>
          <w:rFonts w:ascii="Arial" w:hAnsi="Arial"/>
          <w:i/>
          <w:color w:val="231F20"/>
          <w:spacing w:val="-20"/>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Jesuitas,</w:t>
      </w:r>
      <w:r>
        <w:rPr>
          <w:color w:val="231F20"/>
          <w:spacing w:val="-28"/>
          <w:w w:val="105"/>
        </w:rPr>
        <w:t> </w:t>
      </w:r>
      <w:r>
        <w:rPr>
          <w:color w:val="231F20"/>
          <w:w w:val="105"/>
        </w:rPr>
        <w:t>pero</w:t>
      </w:r>
      <w:r>
        <w:rPr>
          <w:color w:val="231F20"/>
          <w:spacing w:val="-28"/>
          <w:w w:val="105"/>
        </w:rPr>
        <w:t> </w:t>
      </w:r>
      <w:r>
        <w:rPr>
          <w:color w:val="231F20"/>
          <w:w w:val="105"/>
        </w:rPr>
        <w:t>es</w:t>
      </w:r>
      <w:r>
        <w:rPr>
          <w:color w:val="231F20"/>
          <w:spacing w:val="-28"/>
          <w:w w:val="105"/>
        </w:rPr>
        <w:t> </w:t>
      </w:r>
      <w:r>
        <w:rPr>
          <w:color w:val="231F20"/>
          <w:w w:val="105"/>
        </w:rPr>
        <w:t>cierto</w:t>
      </w:r>
      <w:r>
        <w:rPr>
          <w:color w:val="231F20"/>
          <w:spacing w:val="-28"/>
          <w:w w:val="105"/>
        </w:rPr>
        <w:t> </w:t>
      </w:r>
      <w:r>
        <w:rPr>
          <w:color w:val="231F20"/>
          <w:w w:val="105"/>
        </w:rPr>
        <w:t>que</w:t>
      </w:r>
      <w:r>
        <w:rPr>
          <w:color w:val="231F20"/>
          <w:spacing w:val="-28"/>
          <w:w w:val="105"/>
        </w:rPr>
        <w:t> </w:t>
      </w:r>
      <w:r>
        <w:rPr>
          <w:color w:val="231F20"/>
          <w:w w:val="105"/>
        </w:rPr>
        <w:t>tanto</w:t>
      </w:r>
      <w:r>
        <w:rPr>
          <w:color w:val="231F20"/>
          <w:spacing w:val="-28"/>
          <w:w w:val="105"/>
        </w:rPr>
        <w:t> </w:t>
      </w:r>
      <w:r>
        <w:rPr>
          <w:color w:val="231F20"/>
          <w:w w:val="105"/>
        </w:rPr>
        <w:t>la</w:t>
      </w:r>
      <w:r>
        <w:rPr>
          <w:color w:val="231F20"/>
          <w:spacing w:val="-28"/>
          <w:w w:val="105"/>
        </w:rPr>
        <w:t> </w:t>
      </w:r>
      <w:r>
        <w:rPr>
          <w:color w:val="231F20"/>
          <w:w w:val="105"/>
        </w:rPr>
        <w:t>revolución</w:t>
      </w:r>
      <w:r>
        <w:rPr>
          <w:color w:val="231F20"/>
          <w:spacing w:val="-28"/>
          <w:w w:val="105"/>
        </w:rPr>
        <w:t> </w:t>
      </w:r>
      <w:r>
        <w:rPr>
          <w:color w:val="231F20"/>
          <w:w w:val="105"/>
        </w:rPr>
        <w:t>nortea- mericana</w:t>
      </w:r>
      <w:r>
        <w:rPr>
          <w:color w:val="231F20"/>
          <w:spacing w:val="-38"/>
          <w:w w:val="105"/>
        </w:rPr>
        <w:t> </w:t>
      </w:r>
      <w:r>
        <w:rPr>
          <w:color w:val="231F20"/>
          <w:w w:val="105"/>
        </w:rPr>
        <w:t>como</w:t>
      </w:r>
      <w:r>
        <w:rPr>
          <w:color w:val="231F20"/>
          <w:spacing w:val="-38"/>
          <w:w w:val="105"/>
        </w:rPr>
        <w:t> </w:t>
      </w:r>
      <w:r>
        <w:rPr>
          <w:color w:val="231F20"/>
          <w:w w:val="105"/>
        </w:rPr>
        <w:t>la</w:t>
      </w:r>
      <w:r>
        <w:rPr>
          <w:color w:val="231F20"/>
          <w:spacing w:val="-38"/>
          <w:w w:val="105"/>
        </w:rPr>
        <w:t> </w:t>
      </w:r>
      <w:r>
        <w:rPr>
          <w:color w:val="231F20"/>
          <w:w w:val="105"/>
        </w:rPr>
        <w:t>recepción</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Revolución</w:t>
      </w:r>
      <w:r>
        <w:rPr>
          <w:color w:val="231F20"/>
          <w:spacing w:val="-38"/>
          <w:w w:val="105"/>
        </w:rPr>
        <w:t> </w:t>
      </w:r>
      <w:r>
        <w:rPr>
          <w:color w:val="231F20"/>
          <w:w w:val="105"/>
        </w:rPr>
        <w:t>francesa</w:t>
      </w:r>
      <w:r>
        <w:rPr>
          <w:color w:val="231F20"/>
          <w:spacing w:val="-38"/>
          <w:w w:val="105"/>
        </w:rPr>
        <w:t> </w:t>
      </w:r>
      <w:r>
        <w:rPr>
          <w:color w:val="231F20"/>
          <w:w w:val="105"/>
        </w:rPr>
        <w:t>en</w:t>
      </w:r>
      <w:r>
        <w:rPr>
          <w:color w:val="231F20"/>
          <w:spacing w:val="-38"/>
          <w:w w:val="105"/>
        </w:rPr>
        <w:t> </w:t>
      </w:r>
      <w:r>
        <w:rPr>
          <w:color w:val="231F20"/>
          <w:w w:val="105"/>
        </w:rPr>
        <w:t>América</w:t>
      </w:r>
      <w:r>
        <w:rPr>
          <w:color w:val="231F20"/>
          <w:spacing w:val="-38"/>
          <w:w w:val="105"/>
        </w:rPr>
        <w:t> </w:t>
      </w:r>
      <w:r>
        <w:rPr>
          <w:color w:val="231F20"/>
          <w:w w:val="105"/>
        </w:rPr>
        <w:t>central</w:t>
      </w:r>
      <w:r>
        <w:rPr>
          <w:color w:val="231F20"/>
          <w:spacing w:val="-38"/>
          <w:w w:val="105"/>
        </w:rPr>
        <w:t> </w:t>
      </w:r>
      <w:r>
        <w:rPr>
          <w:color w:val="231F20"/>
          <w:w w:val="105"/>
        </w:rPr>
        <w:t>y en</w:t>
      </w:r>
      <w:r>
        <w:rPr>
          <w:color w:val="231F20"/>
          <w:spacing w:val="-42"/>
          <w:w w:val="105"/>
        </w:rPr>
        <w:t> </w:t>
      </w:r>
      <w:r>
        <w:rPr>
          <w:color w:val="231F20"/>
          <w:w w:val="105"/>
        </w:rPr>
        <w:t>Sudamérica,</w:t>
      </w:r>
      <w:r>
        <w:rPr>
          <w:color w:val="231F20"/>
          <w:spacing w:val="-42"/>
          <w:w w:val="105"/>
        </w:rPr>
        <w:t> </w:t>
      </w:r>
      <w:r>
        <w:rPr>
          <w:color w:val="231F20"/>
          <w:w w:val="105"/>
        </w:rPr>
        <w:t>así</w:t>
      </w:r>
      <w:r>
        <w:rPr>
          <w:color w:val="231F20"/>
          <w:spacing w:val="-42"/>
          <w:w w:val="105"/>
        </w:rPr>
        <w:t> </w:t>
      </w:r>
      <w:r>
        <w:rPr>
          <w:color w:val="231F20"/>
          <w:w w:val="105"/>
        </w:rPr>
        <w:t>como</w:t>
      </w:r>
      <w:r>
        <w:rPr>
          <w:color w:val="231F20"/>
          <w:spacing w:val="-42"/>
          <w:w w:val="105"/>
        </w:rPr>
        <w:t> </w:t>
      </w:r>
      <w:r>
        <w:rPr>
          <w:color w:val="231F20"/>
          <w:w w:val="105"/>
        </w:rPr>
        <w:t>la</w:t>
      </w:r>
      <w:r>
        <w:rPr>
          <w:color w:val="231F20"/>
          <w:spacing w:val="-42"/>
          <w:w w:val="105"/>
        </w:rPr>
        <w:t> </w:t>
      </w:r>
      <w:r>
        <w:rPr>
          <w:color w:val="231F20"/>
          <w:w w:val="105"/>
        </w:rPr>
        <w:t>historia</w:t>
      </w:r>
      <w:r>
        <w:rPr>
          <w:color w:val="231F20"/>
          <w:spacing w:val="-42"/>
          <w:w w:val="105"/>
        </w:rPr>
        <w:t> </w:t>
      </w:r>
      <w:r>
        <w:rPr>
          <w:color w:val="231F20"/>
          <w:w w:val="105"/>
        </w:rPr>
        <w:t>particular</w:t>
      </w:r>
      <w:r>
        <w:rPr>
          <w:color w:val="231F20"/>
          <w:spacing w:val="-42"/>
          <w:w w:val="105"/>
        </w:rPr>
        <w:t> </w:t>
      </w:r>
      <w:r>
        <w:rPr>
          <w:color w:val="231F20"/>
          <w:w w:val="105"/>
        </w:rPr>
        <w:t>del</w:t>
      </w:r>
      <w:r>
        <w:rPr>
          <w:color w:val="231F20"/>
          <w:spacing w:val="-42"/>
          <w:w w:val="105"/>
        </w:rPr>
        <w:t> </w:t>
      </w:r>
      <w:r>
        <w:rPr>
          <w:color w:val="231F20"/>
          <w:w w:val="105"/>
        </w:rPr>
        <w:t>constitucionalismo</w:t>
      </w:r>
      <w:r>
        <w:rPr>
          <w:color w:val="231F20"/>
          <w:spacing w:val="-42"/>
          <w:w w:val="105"/>
        </w:rPr>
        <w:t> </w:t>
      </w:r>
      <w:r>
        <w:rPr>
          <w:color w:val="231F20"/>
          <w:w w:val="105"/>
        </w:rPr>
        <w:t>en</w:t>
      </w:r>
      <w:r>
        <w:rPr>
          <w:color w:val="231F20"/>
          <w:spacing w:val="-42"/>
          <w:w w:val="105"/>
        </w:rPr>
        <w:t> </w:t>
      </w:r>
      <w:r>
        <w:rPr>
          <w:color w:val="231F20"/>
          <w:w w:val="105"/>
        </w:rPr>
        <w:t>sus diversas</w:t>
      </w:r>
      <w:r>
        <w:rPr>
          <w:color w:val="231F20"/>
          <w:spacing w:val="-27"/>
          <w:w w:val="105"/>
        </w:rPr>
        <w:t> </w:t>
      </w:r>
      <w:r>
        <w:rPr>
          <w:color w:val="231F20"/>
          <w:w w:val="105"/>
        </w:rPr>
        <w:t>variantes</w:t>
      </w:r>
      <w:r>
        <w:rPr>
          <w:color w:val="231F20"/>
          <w:spacing w:val="-27"/>
          <w:w w:val="105"/>
        </w:rPr>
        <w:t> </w:t>
      </w:r>
      <w:r>
        <w:rPr>
          <w:color w:val="231F20"/>
          <w:w w:val="105"/>
        </w:rPr>
        <w:t>durante</w:t>
      </w:r>
      <w:r>
        <w:rPr>
          <w:color w:val="231F20"/>
          <w:spacing w:val="-27"/>
          <w:w w:val="105"/>
        </w:rPr>
        <w:t> </w:t>
      </w:r>
      <w:r>
        <w:rPr>
          <w:color w:val="231F20"/>
          <w:w w:val="105"/>
        </w:rPr>
        <w:t>el</w:t>
      </w:r>
      <w:r>
        <w:rPr>
          <w:color w:val="231F20"/>
          <w:spacing w:val="-27"/>
          <w:w w:val="105"/>
        </w:rPr>
        <w:t> </w:t>
      </w:r>
      <w:r>
        <w:rPr>
          <w:color w:val="231F20"/>
          <w:w w:val="105"/>
        </w:rPr>
        <w:t>siglo</w:t>
      </w:r>
      <w:r>
        <w:rPr>
          <w:color w:val="231F20"/>
          <w:spacing w:val="-27"/>
          <w:w w:val="105"/>
        </w:rPr>
        <w:t> </w:t>
      </w:r>
      <w:r>
        <w:rPr>
          <w:color w:val="231F20"/>
          <w:w w:val="105"/>
          <w:sz w:val="18"/>
        </w:rPr>
        <w:t>XIX</w:t>
      </w:r>
      <w:r>
        <w:rPr>
          <w:color w:val="231F20"/>
          <w:w w:val="105"/>
        </w:rPr>
        <w:t>,</w:t>
      </w:r>
      <w:r>
        <w:rPr>
          <w:color w:val="231F20"/>
          <w:spacing w:val="-27"/>
          <w:w w:val="105"/>
        </w:rPr>
        <w:t> </w:t>
      </w:r>
      <w:r>
        <w:rPr>
          <w:color w:val="231F20"/>
          <w:w w:val="105"/>
        </w:rPr>
        <w:t>en</w:t>
      </w:r>
      <w:r>
        <w:rPr>
          <w:color w:val="231F20"/>
          <w:spacing w:val="-27"/>
          <w:w w:val="105"/>
        </w:rPr>
        <w:t> </w:t>
      </w:r>
      <w:r>
        <w:rPr>
          <w:color w:val="231F20"/>
          <w:w w:val="105"/>
        </w:rPr>
        <w:t>todo</w:t>
      </w:r>
      <w:r>
        <w:rPr>
          <w:color w:val="231F20"/>
          <w:spacing w:val="-27"/>
          <w:w w:val="105"/>
        </w:rPr>
        <w:t> </w:t>
      </w:r>
      <w:r>
        <w:rPr>
          <w:color w:val="231F20"/>
          <w:w w:val="105"/>
        </w:rPr>
        <w:t>el</w:t>
      </w:r>
      <w:r>
        <w:rPr>
          <w:color w:val="231F20"/>
          <w:spacing w:val="-27"/>
          <w:w w:val="105"/>
        </w:rPr>
        <w:t> </w:t>
      </w:r>
      <w:r>
        <w:rPr>
          <w:color w:val="231F20"/>
          <w:w w:val="105"/>
        </w:rPr>
        <w:t>triple</w:t>
      </w:r>
      <w:r>
        <w:rPr>
          <w:color w:val="231F20"/>
          <w:spacing w:val="-27"/>
          <w:w w:val="105"/>
        </w:rPr>
        <w:t> </w:t>
      </w:r>
      <w:r>
        <w:rPr>
          <w:color w:val="231F20"/>
          <w:w w:val="105"/>
        </w:rPr>
        <w:t>continente,</w:t>
      </w:r>
      <w:r>
        <w:rPr>
          <w:color w:val="231F20"/>
          <w:spacing w:val="-27"/>
          <w:w w:val="105"/>
        </w:rPr>
        <w:t> </w:t>
      </w:r>
      <w:r>
        <w:rPr>
          <w:color w:val="231F20"/>
          <w:w w:val="105"/>
        </w:rPr>
        <w:t>reque- rirían</w:t>
      </w:r>
      <w:r>
        <w:rPr>
          <w:color w:val="231F20"/>
          <w:spacing w:val="-19"/>
          <w:w w:val="105"/>
        </w:rPr>
        <w:t> </w:t>
      </w:r>
      <w:r>
        <w:rPr>
          <w:color w:val="231F20"/>
          <w:w w:val="105"/>
        </w:rPr>
        <w:t>una</w:t>
      </w:r>
      <w:r>
        <w:rPr>
          <w:color w:val="231F20"/>
          <w:spacing w:val="-19"/>
          <w:w w:val="105"/>
        </w:rPr>
        <w:t> </w:t>
      </w:r>
      <w:r>
        <w:rPr>
          <w:color w:val="231F20"/>
          <w:w w:val="105"/>
        </w:rPr>
        <w:t>revisión</w:t>
      </w:r>
      <w:r>
        <w:rPr>
          <w:color w:val="231F20"/>
          <w:spacing w:val="-19"/>
          <w:w w:val="105"/>
        </w:rPr>
        <w:t> </w:t>
      </w:r>
      <w:r>
        <w:rPr>
          <w:color w:val="231F20"/>
          <w:w w:val="105"/>
        </w:rPr>
        <w:t>historiográfica</w:t>
      </w:r>
      <w:r>
        <w:rPr>
          <w:color w:val="231F20"/>
          <w:spacing w:val="-19"/>
          <w:w w:val="105"/>
        </w:rPr>
        <w:t> </w:t>
      </w:r>
      <w:r>
        <w:rPr>
          <w:color w:val="231F20"/>
          <w:w w:val="105"/>
        </w:rPr>
        <w:t>en</w:t>
      </w:r>
      <w:r>
        <w:rPr>
          <w:color w:val="231F20"/>
          <w:spacing w:val="-19"/>
          <w:w w:val="105"/>
        </w:rPr>
        <w:t> </w:t>
      </w:r>
      <w:r>
        <w:rPr>
          <w:color w:val="231F20"/>
          <w:w w:val="105"/>
        </w:rPr>
        <w:t>estrecha</w:t>
      </w:r>
      <w:r>
        <w:rPr>
          <w:color w:val="231F20"/>
          <w:spacing w:val="-19"/>
          <w:w w:val="105"/>
        </w:rPr>
        <w:t> </w:t>
      </w:r>
      <w:r>
        <w:rPr>
          <w:color w:val="231F20"/>
          <w:w w:val="105"/>
        </w:rPr>
        <w:t>comparación</w:t>
      </w:r>
      <w:r>
        <w:rPr>
          <w:color w:val="231F20"/>
          <w:spacing w:val="-19"/>
          <w:w w:val="105"/>
        </w:rPr>
        <w:t> </w:t>
      </w:r>
      <w:r>
        <w:rPr>
          <w:color w:val="231F20"/>
          <w:w w:val="105"/>
        </w:rPr>
        <w:t>europea</w:t>
      </w:r>
      <w:r>
        <w:rPr>
          <w:color w:val="231F20"/>
          <w:w w:val="105"/>
          <w:position w:val="7"/>
          <w:sz w:val="12"/>
        </w:rPr>
        <w:t>46</w:t>
      </w:r>
      <w:r>
        <w:rPr>
          <w:color w:val="231F20"/>
          <w:w w:val="105"/>
        </w:rPr>
        <w:t>.</w:t>
      </w:r>
      <w:r>
        <w:rPr>
          <w:color w:val="231F20"/>
          <w:spacing w:val="-19"/>
          <w:w w:val="105"/>
        </w:rPr>
        <w:t> </w:t>
      </w:r>
      <w:r>
        <w:rPr>
          <w:color w:val="231F20"/>
          <w:w w:val="105"/>
        </w:rPr>
        <w:t>Se entenderían</w:t>
      </w:r>
      <w:r>
        <w:rPr>
          <w:color w:val="231F20"/>
          <w:spacing w:val="-34"/>
          <w:w w:val="105"/>
        </w:rPr>
        <w:t> </w:t>
      </w:r>
      <w:r>
        <w:rPr>
          <w:color w:val="231F20"/>
          <w:w w:val="105"/>
        </w:rPr>
        <w:t>mejor</w:t>
      </w:r>
      <w:r>
        <w:rPr>
          <w:color w:val="231F20"/>
          <w:spacing w:val="-34"/>
          <w:w w:val="105"/>
        </w:rPr>
        <w:t> </w:t>
      </w:r>
      <w:r>
        <w:rPr>
          <w:color w:val="231F20"/>
          <w:w w:val="105"/>
        </w:rPr>
        <w:t>muchas</w:t>
      </w:r>
      <w:r>
        <w:rPr>
          <w:color w:val="231F20"/>
          <w:spacing w:val="-34"/>
          <w:w w:val="105"/>
        </w:rPr>
        <w:t> </w:t>
      </w:r>
      <w:r>
        <w:rPr>
          <w:color w:val="231F20"/>
          <w:w w:val="105"/>
        </w:rPr>
        <w:t>cosas,</w:t>
      </w:r>
      <w:r>
        <w:rPr>
          <w:color w:val="231F20"/>
          <w:spacing w:val="-34"/>
          <w:w w:val="105"/>
        </w:rPr>
        <w:t> </w:t>
      </w:r>
      <w:r>
        <w:rPr>
          <w:color w:val="231F20"/>
          <w:w w:val="105"/>
        </w:rPr>
        <w:t>relativamente</w:t>
      </w:r>
      <w:r>
        <w:rPr>
          <w:color w:val="231F20"/>
          <w:spacing w:val="-34"/>
          <w:w w:val="105"/>
        </w:rPr>
        <w:t> </w:t>
      </w:r>
      <w:r>
        <w:rPr>
          <w:color w:val="231F20"/>
          <w:w w:val="105"/>
        </w:rPr>
        <w:t>la</w:t>
      </w:r>
      <w:r>
        <w:rPr>
          <w:color w:val="231F20"/>
          <w:spacing w:val="-34"/>
          <w:w w:val="105"/>
        </w:rPr>
        <w:t> </w:t>
      </w:r>
      <w:r>
        <w:rPr>
          <w:color w:val="231F20"/>
          <w:w w:val="105"/>
        </w:rPr>
        <w:t>“crisis</w:t>
      </w:r>
      <w:r>
        <w:rPr>
          <w:color w:val="231F20"/>
          <w:spacing w:val="-34"/>
          <w:w w:val="105"/>
        </w:rPr>
        <w:t> </w:t>
      </w:r>
      <w:r>
        <w:rPr>
          <w:color w:val="231F20"/>
          <w:w w:val="105"/>
        </w:rPr>
        <w:t>del</w:t>
      </w:r>
      <w:r>
        <w:rPr>
          <w:color w:val="231F20"/>
          <w:spacing w:val="-34"/>
          <w:w w:val="105"/>
        </w:rPr>
        <w:t> </w:t>
      </w:r>
      <w:r>
        <w:rPr>
          <w:color w:val="231F20"/>
          <w:w w:val="105"/>
        </w:rPr>
        <w:t>Estado”</w:t>
      </w:r>
      <w:r>
        <w:rPr>
          <w:color w:val="231F20"/>
          <w:spacing w:val="-34"/>
          <w:w w:val="105"/>
        </w:rPr>
        <w:t> </w:t>
      </w:r>
      <w:r>
        <w:rPr>
          <w:color w:val="231F20"/>
          <w:w w:val="105"/>
        </w:rPr>
        <w:t>de</w:t>
      </w:r>
      <w:r>
        <w:rPr>
          <w:color w:val="231F20"/>
          <w:spacing w:val="-34"/>
          <w:w w:val="105"/>
        </w:rPr>
        <w:t> </w:t>
      </w:r>
      <w:r>
        <w:rPr>
          <w:color w:val="231F20"/>
          <w:w w:val="105"/>
        </w:rPr>
        <w:t>la que</w:t>
      </w:r>
      <w:r>
        <w:rPr>
          <w:color w:val="231F20"/>
          <w:spacing w:val="-21"/>
          <w:w w:val="105"/>
        </w:rPr>
        <w:t> </w:t>
      </w:r>
      <w:r>
        <w:rPr>
          <w:color w:val="231F20"/>
          <w:w w:val="105"/>
        </w:rPr>
        <w:t>hemos</w:t>
      </w:r>
      <w:r>
        <w:rPr>
          <w:color w:val="231F20"/>
          <w:spacing w:val="-21"/>
          <w:w w:val="105"/>
        </w:rPr>
        <w:t> </w:t>
      </w:r>
      <w:r>
        <w:rPr>
          <w:color w:val="231F20"/>
          <w:w w:val="105"/>
        </w:rPr>
        <w:t>partido,</w:t>
      </w:r>
      <w:r>
        <w:rPr>
          <w:color w:val="231F20"/>
          <w:spacing w:val="-21"/>
          <w:w w:val="105"/>
        </w:rPr>
        <w:t> </w:t>
      </w:r>
      <w:r>
        <w:rPr>
          <w:color w:val="231F20"/>
          <w:w w:val="105"/>
        </w:rPr>
        <w:t>que</w:t>
      </w:r>
      <w:r>
        <w:rPr>
          <w:color w:val="231F20"/>
          <w:spacing w:val="-21"/>
          <w:w w:val="105"/>
        </w:rPr>
        <w:t> </w:t>
      </w:r>
      <w:r>
        <w:rPr>
          <w:color w:val="231F20"/>
          <w:w w:val="105"/>
        </w:rPr>
        <w:t>ha</w:t>
      </w:r>
      <w:r>
        <w:rPr>
          <w:color w:val="231F20"/>
          <w:spacing w:val="-21"/>
          <w:w w:val="105"/>
        </w:rPr>
        <w:t> </w:t>
      </w:r>
      <w:r>
        <w:rPr>
          <w:color w:val="231F20"/>
          <w:w w:val="105"/>
        </w:rPr>
        <w:t>visto</w:t>
      </w:r>
      <w:r>
        <w:rPr>
          <w:color w:val="231F20"/>
          <w:spacing w:val="-21"/>
          <w:w w:val="105"/>
        </w:rPr>
        <w:t> </w:t>
      </w:r>
      <w:r>
        <w:rPr>
          <w:color w:val="231F20"/>
          <w:w w:val="105"/>
        </w:rPr>
        <w:t>su</w:t>
      </w:r>
      <w:r>
        <w:rPr>
          <w:color w:val="231F20"/>
          <w:spacing w:val="-21"/>
          <w:w w:val="105"/>
        </w:rPr>
        <w:t> </w:t>
      </w:r>
      <w:r>
        <w:rPr>
          <w:color w:val="231F20"/>
          <w:w w:val="105"/>
        </w:rPr>
        <w:t>cúlmine</w:t>
      </w:r>
      <w:r>
        <w:rPr>
          <w:color w:val="231F20"/>
          <w:spacing w:val="-21"/>
          <w:w w:val="105"/>
        </w:rPr>
        <w:t> </w:t>
      </w:r>
      <w:r>
        <w:rPr>
          <w:color w:val="231F20"/>
          <w:w w:val="105"/>
        </w:rPr>
        <w:t>en</w:t>
      </w:r>
      <w:r>
        <w:rPr>
          <w:color w:val="231F20"/>
          <w:spacing w:val="-21"/>
          <w:w w:val="105"/>
        </w:rPr>
        <w:t> </w:t>
      </w:r>
      <w:r>
        <w:rPr>
          <w:color w:val="231F20"/>
          <w:w w:val="105"/>
        </w:rPr>
        <w:t>las</w:t>
      </w:r>
      <w:r>
        <w:rPr>
          <w:color w:val="231F20"/>
          <w:spacing w:val="-21"/>
          <w:w w:val="105"/>
        </w:rPr>
        <w:t> </w:t>
      </w:r>
      <w:r>
        <w:rPr>
          <w:color w:val="231F20"/>
          <w:w w:val="105"/>
        </w:rPr>
        <w:t>dos</w:t>
      </w:r>
      <w:r>
        <w:rPr>
          <w:color w:val="231F20"/>
          <w:spacing w:val="-21"/>
          <w:w w:val="105"/>
        </w:rPr>
        <w:t> </w:t>
      </w:r>
      <w:r>
        <w:rPr>
          <w:color w:val="231F20"/>
          <w:w w:val="105"/>
        </w:rPr>
        <w:t>guerras</w:t>
      </w:r>
      <w:r>
        <w:rPr>
          <w:color w:val="231F20"/>
          <w:spacing w:val="-21"/>
          <w:w w:val="105"/>
        </w:rPr>
        <w:t> </w:t>
      </w:r>
      <w:r>
        <w:rPr>
          <w:color w:val="231F20"/>
          <w:w w:val="105"/>
        </w:rPr>
        <w:t>mundiales ocurridas</w:t>
      </w:r>
      <w:r>
        <w:rPr>
          <w:color w:val="231F20"/>
          <w:spacing w:val="-39"/>
          <w:w w:val="105"/>
        </w:rPr>
        <w:t> </w:t>
      </w:r>
      <w:r>
        <w:rPr>
          <w:color w:val="231F20"/>
          <w:w w:val="105"/>
        </w:rPr>
        <w:t>en</w:t>
      </w:r>
      <w:r>
        <w:rPr>
          <w:color w:val="231F20"/>
          <w:spacing w:val="-39"/>
          <w:w w:val="105"/>
        </w:rPr>
        <w:t> </w:t>
      </w:r>
      <w:r>
        <w:rPr>
          <w:color w:val="231F20"/>
          <w:w w:val="105"/>
        </w:rPr>
        <w:t>cuarenta</w:t>
      </w:r>
      <w:r>
        <w:rPr>
          <w:color w:val="231F20"/>
          <w:spacing w:val="-39"/>
          <w:w w:val="105"/>
        </w:rPr>
        <w:t> </w:t>
      </w:r>
      <w:r>
        <w:rPr>
          <w:color w:val="231F20"/>
          <w:w w:val="105"/>
        </w:rPr>
        <w:t>años</w:t>
      </w:r>
      <w:r>
        <w:rPr>
          <w:color w:val="231F20"/>
          <w:spacing w:val="-39"/>
          <w:w w:val="105"/>
        </w:rPr>
        <w:t> </w:t>
      </w:r>
      <w:r>
        <w:rPr>
          <w:color w:val="231F20"/>
          <w:w w:val="105"/>
        </w:rPr>
        <w:t>del</w:t>
      </w:r>
      <w:r>
        <w:rPr>
          <w:color w:val="231F20"/>
          <w:spacing w:val="-39"/>
          <w:w w:val="105"/>
        </w:rPr>
        <w:t> </w:t>
      </w:r>
      <w:r>
        <w:rPr>
          <w:color w:val="231F20"/>
          <w:w w:val="105"/>
        </w:rPr>
        <w:t>inicio</w:t>
      </w:r>
      <w:r>
        <w:rPr>
          <w:color w:val="231F20"/>
          <w:spacing w:val="-39"/>
          <w:w w:val="105"/>
        </w:rPr>
        <w:t> </w:t>
      </w:r>
      <w:r>
        <w:rPr>
          <w:color w:val="231F20"/>
          <w:w w:val="105"/>
        </w:rPr>
        <w:t>del</w:t>
      </w:r>
      <w:r>
        <w:rPr>
          <w:color w:val="231F20"/>
          <w:spacing w:val="-39"/>
          <w:w w:val="105"/>
        </w:rPr>
        <w:t> </w:t>
      </w:r>
      <w:r>
        <w:rPr>
          <w:color w:val="231F20"/>
          <w:w w:val="105"/>
        </w:rPr>
        <w:t>Siglo</w:t>
      </w:r>
      <w:r>
        <w:rPr>
          <w:color w:val="231F20"/>
          <w:spacing w:val="-39"/>
          <w:w w:val="105"/>
        </w:rPr>
        <w:t> </w:t>
      </w:r>
      <w:r>
        <w:rPr>
          <w:color w:val="231F20"/>
          <w:w w:val="105"/>
          <w:sz w:val="18"/>
        </w:rPr>
        <w:t>XX</w:t>
      </w:r>
      <w:r>
        <w:rPr>
          <w:color w:val="231F20"/>
          <w:spacing w:val="-29"/>
          <w:w w:val="105"/>
          <w:sz w:val="18"/>
        </w:rPr>
        <w:t> </w:t>
      </w:r>
      <w:r>
        <w:rPr>
          <w:color w:val="231F20"/>
          <w:w w:val="105"/>
        </w:rPr>
        <w:t>y</w:t>
      </w:r>
      <w:r>
        <w:rPr>
          <w:color w:val="231F20"/>
          <w:spacing w:val="-39"/>
          <w:w w:val="105"/>
        </w:rPr>
        <w:t> </w:t>
      </w:r>
      <w:r>
        <w:rPr>
          <w:color w:val="231F20"/>
          <w:w w:val="105"/>
        </w:rPr>
        <w:t>ha</w:t>
      </w:r>
      <w:r>
        <w:rPr>
          <w:color w:val="231F20"/>
          <w:spacing w:val="-39"/>
          <w:w w:val="105"/>
        </w:rPr>
        <w:t> </w:t>
      </w:r>
      <w:r>
        <w:rPr>
          <w:color w:val="231F20"/>
          <w:w w:val="105"/>
        </w:rPr>
        <w:t>encontrado</w:t>
      </w:r>
      <w:r>
        <w:rPr>
          <w:color w:val="231F20"/>
          <w:spacing w:val="-39"/>
          <w:w w:val="105"/>
        </w:rPr>
        <w:t> </w:t>
      </w:r>
      <w:r>
        <w:rPr>
          <w:color w:val="231F20"/>
          <w:w w:val="105"/>
        </w:rPr>
        <w:t>finalmen- te</w:t>
      </w:r>
      <w:r>
        <w:rPr>
          <w:color w:val="231F20"/>
          <w:spacing w:val="-11"/>
          <w:w w:val="105"/>
        </w:rPr>
        <w:t> </w:t>
      </w:r>
      <w:r>
        <w:rPr>
          <w:color w:val="231F20"/>
          <w:w w:val="105"/>
        </w:rPr>
        <w:t>una</w:t>
      </w:r>
      <w:r>
        <w:rPr>
          <w:color w:val="231F20"/>
          <w:spacing w:val="-11"/>
          <w:w w:val="105"/>
        </w:rPr>
        <w:t> </w:t>
      </w:r>
      <w:r>
        <w:rPr>
          <w:color w:val="231F20"/>
          <w:w w:val="105"/>
        </w:rPr>
        <w:t>óptima</w:t>
      </w:r>
      <w:r>
        <w:rPr>
          <w:color w:val="231F20"/>
          <w:spacing w:val="-11"/>
          <w:w w:val="105"/>
        </w:rPr>
        <w:t> </w:t>
      </w:r>
      <w:r>
        <w:rPr>
          <w:color w:val="231F20"/>
          <w:w w:val="105"/>
        </w:rPr>
        <w:t>solución</w:t>
      </w:r>
      <w:r>
        <w:rPr>
          <w:color w:val="231F20"/>
          <w:spacing w:val="-11"/>
          <w:w w:val="105"/>
        </w:rPr>
        <w:t> </w:t>
      </w:r>
      <w:r>
        <w:rPr>
          <w:color w:val="231F20"/>
          <w:w w:val="105"/>
        </w:rPr>
        <w:t>“parcial”</w:t>
      </w:r>
      <w:r>
        <w:rPr>
          <w:color w:val="231F20"/>
          <w:spacing w:val="-11"/>
          <w:w w:val="105"/>
        </w:rPr>
        <w:t> </w:t>
      </w:r>
      <w:r>
        <w:rPr>
          <w:color w:val="231F20"/>
          <w:w w:val="105"/>
        </w:rPr>
        <w:t>con</w:t>
      </w:r>
      <w:r>
        <w:rPr>
          <w:color w:val="231F20"/>
          <w:spacing w:val="-11"/>
          <w:w w:val="105"/>
        </w:rPr>
        <w:t> </w:t>
      </w:r>
      <w:r>
        <w:rPr>
          <w:color w:val="231F20"/>
          <w:w w:val="105"/>
        </w:rPr>
        <w:t>la</w:t>
      </w:r>
      <w:r>
        <w:rPr>
          <w:color w:val="231F20"/>
          <w:spacing w:val="-11"/>
          <w:w w:val="105"/>
        </w:rPr>
        <w:t> </w:t>
      </w:r>
      <w:r>
        <w:rPr>
          <w:color w:val="231F20"/>
          <w:w w:val="105"/>
        </w:rPr>
        <w:t>“Organización</w:t>
      </w:r>
      <w:r>
        <w:rPr>
          <w:color w:val="231F20"/>
          <w:spacing w:val="-11"/>
          <w:w w:val="105"/>
        </w:rPr>
        <w:t> </w:t>
      </w:r>
      <w:r>
        <w:rPr>
          <w:color w:val="231F20"/>
          <w:w w:val="105"/>
        </w:rPr>
        <w:t>del</w:t>
      </w:r>
      <w:r>
        <w:rPr>
          <w:color w:val="231F20"/>
          <w:spacing w:val="-11"/>
          <w:w w:val="105"/>
        </w:rPr>
        <w:t> </w:t>
      </w:r>
      <w:r>
        <w:rPr>
          <w:color w:val="231F20"/>
          <w:spacing w:val="-3"/>
          <w:w w:val="105"/>
        </w:rPr>
        <w:t>Tratado</w:t>
      </w:r>
      <w:r>
        <w:rPr>
          <w:color w:val="231F20"/>
          <w:spacing w:val="-11"/>
          <w:w w:val="105"/>
        </w:rPr>
        <w:t> </w:t>
      </w:r>
      <w:r>
        <w:rPr>
          <w:color w:val="231F20"/>
          <w:w w:val="105"/>
        </w:rPr>
        <w:t>del</w:t>
      </w:r>
      <w:r>
        <w:rPr>
          <w:color w:val="231F20"/>
          <w:spacing w:val="-11"/>
          <w:w w:val="105"/>
        </w:rPr>
        <w:t> </w:t>
      </w:r>
      <w:r>
        <w:rPr>
          <w:color w:val="231F20"/>
          <w:w w:val="105"/>
        </w:rPr>
        <w:t>At- lántico</w:t>
      </w:r>
      <w:r>
        <w:rPr>
          <w:color w:val="231F20"/>
          <w:spacing w:val="-26"/>
          <w:w w:val="105"/>
        </w:rPr>
        <w:t> </w:t>
      </w:r>
      <w:r>
        <w:rPr>
          <w:color w:val="231F20"/>
          <w:w w:val="105"/>
        </w:rPr>
        <w:t>Norte”</w:t>
      </w:r>
      <w:r>
        <w:rPr>
          <w:color w:val="231F20"/>
          <w:spacing w:val="-26"/>
          <w:w w:val="105"/>
        </w:rPr>
        <w:t> </w:t>
      </w:r>
      <w:r>
        <w:rPr>
          <w:color w:val="231F20"/>
          <w:spacing w:val="-3"/>
          <w:w w:val="105"/>
        </w:rPr>
        <w:t>(</w:t>
      </w:r>
      <w:r>
        <w:rPr>
          <w:color w:val="231F20"/>
          <w:spacing w:val="-3"/>
          <w:w w:val="105"/>
          <w:sz w:val="18"/>
        </w:rPr>
        <w:t>OTAN</w:t>
      </w:r>
      <w:r>
        <w:rPr>
          <w:color w:val="231F20"/>
          <w:spacing w:val="-3"/>
          <w:w w:val="105"/>
        </w:rPr>
        <w:t>)</w:t>
      </w:r>
      <w:r>
        <w:rPr>
          <w:color w:val="231F20"/>
          <w:spacing w:val="-26"/>
          <w:w w:val="105"/>
        </w:rPr>
        <w:t> </w:t>
      </w:r>
      <w:r>
        <w:rPr>
          <w:color w:val="231F20"/>
          <w:w w:val="105"/>
        </w:rPr>
        <w:t>firmado</w:t>
      </w:r>
      <w:r>
        <w:rPr>
          <w:color w:val="231F20"/>
          <w:spacing w:val="-26"/>
          <w:w w:val="105"/>
        </w:rPr>
        <w:t> </w:t>
      </w:r>
      <w:r>
        <w:rPr>
          <w:color w:val="231F20"/>
          <w:w w:val="105"/>
        </w:rPr>
        <w:t>el</w:t>
      </w:r>
      <w:r>
        <w:rPr>
          <w:color w:val="231F20"/>
          <w:spacing w:val="-26"/>
          <w:w w:val="105"/>
        </w:rPr>
        <w:t> </w:t>
      </w:r>
      <w:r>
        <w:rPr>
          <w:color w:val="231F20"/>
          <w:w w:val="105"/>
        </w:rPr>
        <w:t>4</w:t>
      </w:r>
      <w:r>
        <w:rPr>
          <w:color w:val="231F20"/>
          <w:spacing w:val="-26"/>
          <w:w w:val="105"/>
        </w:rPr>
        <w:t> </w:t>
      </w:r>
      <w:r>
        <w:rPr>
          <w:color w:val="231F20"/>
          <w:w w:val="105"/>
        </w:rPr>
        <w:t>de</w:t>
      </w:r>
      <w:r>
        <w:rPr>
          <w:color w:val="231F20"/>
          <w:spacing w:val="-26"/>
          <w:w w:val="105"/>
        </w:rPr>
        <w:t> </w:t>
      </w:r>
      <w:r>
        <w:rPr>
          <w:color w:val="231F20"/>
          <w:w w:val="105"/>
        </w:rPr>
        <w:t>abril</w:t>
      </w:r>
      <w:r>
        <w:rPr>
          <w:color w:val="231F20"/>
          <w:spacing w:val="-26"/>
          <w:w w:val="105"/>
        </w:rPr>
        <w:t> </w:t>
      </w:r>
      <w:r>
        <w:rPr>
          <w:color w:val="231F20"/>
          <w:w w:val="105"/>
        </w:rPr>
        <w:t>de</w:t>
      </w:r>
      <w:r>
        <w:rPr>
          <w:color w:val="231F20"/>
          <w:spacing w:val="-26"/>
          <w:w w:val="105"/>
        </w:rPr>
        <w:t> </w:t>
      </w:r>
      <w:r>
        <w:rPr>
          <w:color w:val="231F20"/>
          <w:w w:val="105"/>
        </w:rPr>
        <w:t>1949,</w:t>
      </w:r>
      <w:r>
        <w:rPr>
          <w:color w:val="231F20"/>
          <w:spacing w:val="-26"/>
          <w:w w:val="105"/>
        </w:rPr>
        <w:t> </w:t>
      </w:r>
      <w:r>
        <w:rPr>
          <w:color w:val="231F20"/>
          <w:w w:val="105"/>
        </w:rPr>
        <w:t>que</w:t>
      </w:r>
      <w:r>
        <w:rPr>
          <w:color w:val="231F20"/>
          <w:spacing w:val="-26"/>
          <w:w w:val="105"/>
        </w:rPr>
        <w:t> </w:t>
      </w:r>
      <w:r>
        <w:rPr>
          <w:color w:val="231F20"/>
          <w:w w:val="105"/>
        </w:rPr>
        <w:t>señaló</w:t>
      </w:r>
      <w:r>
        <w:rPr>
          <w:color w:val="231F20"/>
          <w:spacing w:val="-26"/>
          <w:w w:val="105"/>
        </w:rPr>
        <w:t> </w:t>
      </w:r>
      <w:r>
        <w:rPr>
          <w:color w:val="231F20"/>
          <w:w w:val="105"/>
        </w:rPr>
        <w:t>la</w:t>
      </w:r>
      <w:r>
        <w:rPr>
          <w:color w:val="231F20"/>
          <w:spacing w:val="-26"/>
          <w:w w:val="105"/>
        </w:rPr>
        <w:t> </w:t>
      </w:r>
      <w:r>
        <w:rPr>
          <w:color w:val="231F20"/>
          <w:w w:val="105"/>
        </w:rPr>
        <w:t>renuncia a</w:t>
      </w:r>
      <w:r>
        <w:rPr>
          <w:color w:val="231F20"/>
          <w:spacing w:val="-42"/>
          <w:w w:val="105"/>
        </w:rPr>
        <w:t> </w:t>
      </w:r>
      <w:r>
        <w:rPr>
          <w:color w:val="231F20"/>
          <w:w w:val="105"/>
        </w:rPr>
        <w:t>la</w:t>
      </w:r>
      <w:r>
        <w:rPr>
          <w:color w:val="231F20"/>
          <w:spacing w:val="-42"/>
          <w:w w:val="105"/>
        </w:rPr>
        <w:t> </w:t>
      </w:r>
      <w:r>
        <w:rPr>
          <w:color w:val="231F20"/>
          <w:w w:val="105"/>
        </w:rPr>
        <w:t>soberanía</w:t>
      </w:r>
      <w:r>
        <w:rPr>
          <w:color w:val="231F20"/>
          <w:spacing w:val="-42"/>
          <w:w w:val="105"/>
        </w:rPr>
        <w:t> </w:t>
      </w:r>
      <w:r>
        <w:rPr>
          <w:color w:val="231F20"/>
          <w:w w:val="105"/>
        </w:rPr>
        <w:t>por</w:t>
      </w:r>
      <w:r>
        <w:rPr>
          <w:color w:val="231F20"/>
          <w:spacing w:val="-42"/>
          <w:w w:val="105"/>
        </w:rPr>
        <w:t> </w:t>
      </w:r>
      <w:r>
        <w:rPr>
          <w:color w:val="231F20"/>
          <w:w w:val="105"/>
        </w:rPr>
        <w:t>parte</w:t>
      </w:r>
      <w:r>
        <w:rPr>
          <w:color w:val="231F20"/>
          <w:spacing w:val="-42"/>
          <w:w w:val="105"/>
        </w:rPr>
        <w:t> </w:t>
      </w:r>
      <w:r>
        <w:rPr>
          <w:color w:val="231F20"/>
          <w:w w:val="105"/>
        </w:rPr>
        <w:t>de</w:t>
      </w:r>
      <w:r>
        <w:rPr>
          <w:color w:val="231F20"/>
          <w:spacing w:val="-42"/>
          <w:w w:val="105"/>
        </w:rPr>
        <w:t> </w:t>
      </w:r>
      <w:r>
        <w:rPr>
          <w:color w:val="231F20"/>
          <w:w w:val="105"/>
        </w:rPr>
        <w:t>28</w:t>
      </w:r>
      <w:r>
        <w:rPr>
          <w:color w:val="231F20"/>
          <w:spacing w:val="-42"/>
          <w:w w:val="105"/>
        </w:rPr>
        <w:t> </w:t>
      </w:r>
      <w:r>
        <w:rPr>
          <w:color w:val="231F20"/>
          <w:w w:val="105"/>
        </w:rPr>
        <w:t>Estados</w:t>
      </w:r>
      <w:r>
        <w:rPr>
          <w:color w:val="231F20"/>
          <w:spacing w:val="-42"/>
          <w:w w:val="105"/>
        </w:rPr>
        <w:t> </w:t>
      </w:r>
      <w:r>
        <w:rPr>
          <w:color w:val="231F20"/>
          <w:w w:val="105"/>
        </w:rPr>
        <w:t>europeos</w:t>
      </w:r>
      <w:r>
        <w:rPr>
          <w:color w:val="231F20"/>
          <w:spacing w:val="-42"/>
          <w:w w:val="105"/>
        </w:rPr>
        <w:t> </w:t>
      </w:r>
      <w:r>
        <w:rPr>
          <w:color w:val="231F20"/>
          <w:w w:val="105"/>
        </w:rPr>
        <w:t>y</w:t>
      </w:r>
      <w:r>
        <w:rPr>
          <w:color w:val="231F20"/>
          <w:spacing w:val="-42"/>
          <w:w w:val="105"/>
        </w:rPr>
        <w:t> </w:t>
      </w:r>
      <w:r>
        <w:rPr>
          <w:color w:val="231F20"/>
          <w:w w:val="105"/>
        </w:rPr>
        <w:t>norteamericanos,</w:t>
      </w:r>
      <w:r>
        <w:rPr>
          <w:color w:val="231F20"/>
          <w:spacing w:val="-42"/>
          <w:w w:val="105"/>
        </w:rPr>
        <w:t> </w:t>
      </w:r>
      <w:r>
        <w:rPr>
          <w:color w:val="231F20"/>
          <w:w w:val="105"/>
        </w:rPr>
        <w:t>a</w:t>
      </w:r>
      <w:r>
        <w:rPr>
          <w:color w:val="231F20"/>
          <w:spacing w:val="-42"/>
          <w:w w:val="105"/>
        </w:rPr>
        <w:t> </w:t>
      </w:r>
      <w:r>
        <w:rPr>
          <w:color w:val="231F20"/>
          <w:w w:val="105"/>
        </w:rPr>
        <w:t>favor de</w:t>
      </w:r>
      <w:r>
        <w:rPr>
          <w:color w:val="231F20"/>
          <w:spacing w:val="-15"/>
          <w:w w:val="105"/>
        </w:rPr>
        <w:t> </w:t>
      </w:r>
      <w:r>
        <w:rPr>
          <w:color w:val="231F20"/>
          <w:w w:val="105"/>
        </w:rPr>
        <w:t>la</w:t>
      </w:r>
      <w:r>
        <w:rPr>
          <w:color w:val="231F20"/>
          <w:spacing w:val="-15"/>
          <w:w w:val="105"/>
        </w:rPr>
        <w:t> </w:t>
      </w:r>
      <w:r>
        <w:rPr>
          <w:color w:val="231F20"/>
          <w:w w:val="105"/>
        </w:rPr>
        <w:t>hegemonía</w:t>
      </w:r>
      <w:r>
        <w:rPr>
          <w:color w:val="231F20"/>
          <w:spacing w:val="-15"/>
          <w:w w:val="105"/>
        </w:rPr>
        <w:t> </w:t>
      </w:r>
      <w:r>
        <w:rPr>
          <w:color w:val="231F20"/>
          <w:w w:val="105"/>
        </w:rPr>
        <w:t>militar</w:t>
      </w:r>
      <w:r>
        <w:rPr>
          <w:color w:val="231F20"/>
          <w:spacing w:val="-15"/>
          <w:w w:val="105"/>
        </w:rPr>
        <w:t> </w:t>
      </w:r>
      <w:r>
        <w:rPr>
          <w:color w:val="231F20"/>
          <w:w w:val="105"/>
        </w:rPr>
        <w:t>y</w:t>
      </w:r>
      <w:r>
        <w:rPr>
          <w:color w:val="231F20"/>
          <w:spacing w:val="-15"/>
          <w:w w:val="105"/>
        </w:rPr>
        <w:t> </w:t>
      </w:r>
      <w:r>
        <w:rPr>
          <w:color w:val="231F20"/>
          <w:w w:val="105"/>
        </w:rPr>
        <w:t>política</w:t>
      </w:r>
      <w:r>
        <w:rPr>
          <w:color w:val="231F20"/>
          <w:spacing w:val="-15"/>
          <w:w w:val="105"/>
        </w:rPr>
        <w:t> </w:t>
      </w:r>
      <w:r>
        <w:rPr>
          <w:color w:val="231F20"/>
          <w:w w:val="105"/>
        </w:rPr>
        <w:t>estadunidense.</w:t>
      </w:r>
      <w:r>
        <w:rPr>
          <w:color w:val="231F20"/>
          <w:spacing w:val="-15"/>
          <w:w w:val="105"/>
        </w:rPr>
        <w:t> </w:t>
      </w:r>
      <w:r>
        <w:rPr>
          <w:color w:val="231F20"/>
          <w:w w:val="105"/>
        </w:rPr>
        <w:t>No</w:t>
      </w:r>
      <w:r>
        <w:rPr>
          <w:color w:val="231F20"/>
          <w:spacing w:val="-15"/>
          <w:w w:val="105"/>
        </w:rPr>
        <w:t> </w:t>
      </w:r>
      <w:r>
        <w:rPr>
          <w:color w:val="231F20"/>
          <w:w w:val="105"/>
        </w:rPr>
        <w:t>puedo</w:t>
      </w:r>
      <w:r>
        <w:rPr>
          <w:color w:val="231F20"/>
          <w:spacing w:val="-15"/>
          <w:w w:val="105"/>
        </w:rPr>
        <w:t> </w:t>
      </w:r>
      <w:r>
        <w:rPr>
          <w:color w:val="231F20"/>
          <w:w w:val="105"/>
        </w:rPr>
        <w:t>concluir</w:t>
      </w:r>
      <w:r>
        <w:rPr>
          <w:color w:val="231F20"/>
          <w:spacing w:val="-15"/>
          <w:w w:val="105"/>
        </w:rPr>
        <w:t> </w:t>
      </w:r>
      <w:r>
        <w:rPr>
          <w:color w:val="231F20"/>
          <w:w w:val="105"/>
        </w:rPr>
        <w:t>este discurso</w:t>
      </w:r>
      <w:r>
        <w:rPr>
          <w:color w:val="231F20"/>
          <w:spacing w:val="-25"/>
          <w:w w:val="105"/>
        </w:rPr>
        <w:t> </w:t>
      </w:r>
      <w:r>
        <w:rPr>
          <w:color w:val="231F20"/>
          <w:w w:val="105"/>
        </w:rPr>
        <w:t>aquí,</w:t>
      </w:r>
      <w:r>
        <w:rPr>
          <w:color w:val="231F20"/>
          <w:spacing w:val="-25"/>
          <w:w w:val="105"/>
        </w:rPr>
        <w:t> </w:t>
      </w:r>
      <w:r>
        <w:rPr>
          <w:color w:val="231F20"/>
          <w:w w:val="105"/>
        </w:rPr>
        <w:t>pero</w:t>
      </w:r>
      <w:r>
        <w:rPr>
          <w:color w:val="231F20"/>
          <w:spacing w:val="-25"/>
          <w:w w:val="105"/>
        </w:rPr>
        <w:t> </w:t>
      </w:r>
      <w:r>
        <w:rPr>
          <w:color w:val="231F20"/>
          <w:w w:val="105"/>
        </w:rPr>
        <w:t>estoy</w:t>
      </w:r>
      <w:r>
        <w:rPr>
          <w:color w:val="231F20"/>
          <w:spacing w:val="-25"/>
          <w:w w:val="105"/>
        </w:rPr>
        <w:t> </w:t>
      </w:r>
      <w:r>
        <w:rPr>
          <w:color w:val="231F20"/>
          <w:w w:val="105"/>
        </w:rPr>
        <w:t>convencido</w:t>
      </w:r>
      <w:r>
        <w:rPr>
          <w:color w:val="231F20"/>
          <w:spacing w:val="-25"/>
          <w:w w:val="105"/>
        </w:rPr>
        <w:t> </w:t>
      </w:r>
      <w:r>
        <w:rPr>
          <w:color w:val="231F20"/>
          <w:w w:val="105"/>
        </w:rPr>
        <w:t>que</w:t>
      </w:r>
      <w:r>
        <w:rPr>
          <w:color w:val="231F20"/>
          <w:spacing w:val="-25"/>
          <w:w w:val="105"/>
        </w:rPr>
        <w:t> </w:t>
      </w:r>
      <w:r>
        <w:rPr>
          <w:color w:val="231F20"/>
          <w:w w:val="105"/>
        </w:rPr>
        <w:t>sólo</w:t>
      </w:r>
      <w:r>
        <w:rPr>
          <w:color w:val="231F20"/>
          <w:spacing w:val="-25"/>
          <w:w w:val="105"/>
        </w:rPr>
        <w:t> </w:t>
      </w:r>
      <w:r>
        <w:rPr>
          <w:color w:val="231F20"/>
          <w:w w:val="105"/>
        </w:rPr>
        <w:t>en</w:t>
      </w:r>
      <w:r>
        <w:rPr>
          <w:color w:val="231F20"/>
          <w:spacing w:val="-25"/>
          <w:w w:val="105"/>
        </w:rPr>
        <w:t> </w:t>
      </w:r>
      <w:r>
        <w:rPr>
          <w:color w:val="231F20"/>
          <w:w w:val="105"/>
        </w:rPr>
        <w:t>tal</w:t>
      </w:r>
      <w:r>
        <w:rPr>
          <w:color w:val="231F20"/>
          <w:spacing w:val="-25"/>
          <w:w w:val="105"/>
        </w:rPr>
        <w:t> </w:t>
      </w:r>
      <w:r>
        <w:rPr>
          <w:color w:val="231F20"/>
          <w:w w:val="105"/>
        </w:rPr>
        <w:t>dimensión</w:t>
      </w:r>
      <w:r>
        <w:rPr>
          <w:color w:val="231F20"/>
          <w:spacing w:val="-25"/>
          <w:w w:val="105"/>
        </w:rPr>
        <w:t> </w:t>
      </w:r>
      <w:r>
        <w:rPr>
          <w:color w:val="231F20"/>
          <w:w w:val="105"/>
        </w:rPr>
        <w:t>es</w:t>
      </w:r>
      <w:r>
        <w:rPr>
          <w:color w:val="231F20"/>
          <w:spacing w:val="-25"/>
          <w:w w:val="105"/>
        </w:rPr>
        <w:t> </w:t>
      </w:r>
      <w:r>
        <w:rPr>
          <w:color w:val="231F20"/>
          <w:w w:val="105"/>
        </w:rPr>
        <w:t>posible reflexionar</w:t>
      </w:r>
      <w:r>
        <w:rPr>
          <w:color w:val="231F20"/>
          <w:spacing w:val="-11"/>
          <w:w w:val="105"/>
        </w:rPr>
        <w:t> </w:t>
      </w:r>
      <w:r>
        <w:rPr>
          <w:color w:val="231F20"/>
          <w:w w:val="105"/>
        </w:rPr>
        <w:t>sobre</w:t>
      </w:r>
      <w:r>
        <w:rPr>
          <w:color w:val="231F20"/>
          <w:spacing w:val="-11"/>
          <w:w w:val="105"/>
        </w:rPr>
        <w:t> </w:t>
      </w:r>
      <w:r>
        <w:rPr>
          <w:color w:val="231F20"/>
          <w:w w:val="105"/>
        </w:rPr>
        <w:t>los</w:t>
      </w:r>
      <w:r>
        <w:rPr>
          <w:color w:val="231F20"/>
          <w:spacing w:val="-11"/>
          <w:w w:val="105"/>
        </w:rPr>
        <w:t> </w:t>
      </w:r>
      <w:r>
        <w:rPr>
          <w:color w:val="231F20"/>
          <w:w w:val="105"/>
        </w:rPr>
        <w:t>resultados</w:t>
      </w:r>
      <w:r>
        <w:rPr>
          <w:color w:val="231F20"/>
          <w:spacing w:val="-11"/>
          <w:w w:val="105"/>
        </w:rPr>
        <w:t> </w:t>
      </w:r>
      <w:r>
        <w:rPr>
          <w:color w:val="231F20"/>
          <w:w w:val="105"/>
        </w:rPr>
        <w:t>político–constitucionales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globaliza- ción,</w:t>
      </w:r>
      <w:r>
        <w:rPr>
          <w:color w:val="231F20"/>
          <w:spacing w:val="-8"/>
          <w:w w:val="105"/>
        </w:rPr>
        <w:t> </w:t>
      </w:r>
      <w:r>
        <w:rPr>
          <w:color w:val="231F20"/>
          <w:w w:val="105"/>
        </w:rPr>
        <w:t>considerando</w:t>
      </w:r>
      <w:r>
        <w:rPr>
          <w:color w:val="231F20"/>
          <w:spacing w:val="-8"/>
          <w:w w:val="105"/>
        </w:rPr>
        <w:t> </w:t>
      </w:r>
      <w:r>
        <w:rPr>
          <w:color w:val="231F20"/>
          <w:w w:val="105"/>
        </w:rPr>
        <w:t>que</w:t>
      </w:r>
      <w:r>
        <w:rPr>
          <w:color w:val="231F20"/>
          <w:spacing w:val="-8"/>
          <w:w w:val="105"/>
        </w:rPr>
        <w:t> </w:t>
      </w:r>
      <w:r>
        <w:rPr>
          <w:color w:val="231F20"/>
          <w:w w:val="105"/>
        </w:rPr>
        <w:t>también</w:t>
      </w:r>
      <w:r>
        <w:rPr>
          <w:color w:val="231F20"/>
          <w:spacing w:val="-8"/>
          <w:w w:val="105"/>
        </w:rPr>
        <w:t> </w:t>
      </w:r>
      <w:r>
        <w:rPr>
          <w:color w:val="231F20"/>
          <w:w w:val="105"/>
        </w:rPr>
        <w:t>el</w:t>
      </w:r>
      <w:r>
        <w:rPr>
          <w:color w:val="231F20"/>
          <w:spacing w:val="-8"/>
          <w:w w:val="105"/>
        </w:rPr>
        <w:t> </w:t>
      </w:r>
      <w:r>
        <w:rPr>
          <w:color w:val="231F20"/>
          <w:w w:val="105"/>
        </w:rPr>
        <w:t>“Estado</w:t>
      </w:r>
      <w:r>
        <w:rPr>
          <w:color w:val="231F20"/>
          <w:spacing w:val="-8"/>
          <w:w w:val="105"/>
        </w:rPr>
        <w:t> </w:t>
      </w:r>
      <w:r>
        <w:rPr>
          <w:color w:val="231F20"/>
          <w:w w:val="105"/>
        </w:rPr>
        <w:t>atlántico”</w:t>
      </w:r>
      <w:r>
        <w:rPr>
          <w:color w:val="231F20"/>
          <w:spacing w:val="-8"/>
          <w:w w:val="105"/>
        </w:rPr>
        <w:t> </w:t>
      </w:r>
      <w:r>
        <w:rPr>
          <w:color w:val="231F20"/>
          <w:w w:val="105"/>
        </w:rPr>
        <w:t>representa</w:t>
      </w:r>
      <w:r>
        <w:rPr>
          <w:color w:val="231F20"/>
          <w:spacing w:val="-8"/>
          <w:w w:val="105"/>
        </w:rPr>
        <w:t> </w:t>
      </w:r>
      <w:r>
        <w:rPr>
          <w:color w:val="231F20"/>
          <w:w w:val="105"/>
        </w:rPr>
        <w:t>una</w:t>
      </w:r>
      <w:r>
        <w:rPr>
          <w:color w:val="231F20"/>
          <w:spacing w:val="-8"/>
          <w:w w:val="105"/>
        </w:rPr>
        <w:t> </w:t>
      </w:r>
      <w:r>
        <w:rPr>
          <w:color w:val="231F20"/>
          <w:w w:val="105"/>
        </w:rPr>
        <w:t>de las</w:t>
      </w:r>
      <w:r>
        <w:rPr>
          <w:color w:val="231F20"/>
          <w:spacing w:val="-18"/>
          <w:w w:val="105"/>
        </w:rPr>
        <w:t> </w:t>
      </w:r>
      <w:r>
        <w:rPr>
          <w:color w:val="231F20"/>
          <w:w w:val="105"/>
        </w:rPr>
        <w:t>tantas</w:t>
      </w:r>
      <w:r>
        <w:rPr>
          <w:color w:val="231F20"/>
          <w:spacing w:val="-18"/>
          <w:w w:val="105"/>
        </w:rPr>
        <w:t> </w:t>
      </w:r>
      <w:r>
        <w:rPr>
          <w:color w:val="231F20"/>
          <w:w w:val="105"/>
        </w:rPr>
        <w:t>gradaciones</w:t>
      </w:r>
      <w:r>
        <w:rPr>
          <w:color w:val="231F20"/>
          <w:spacing w:val="-18"/>
          <w:w w:val="105"/>
        </w:rPr>
        <w:t> </w:t>
      </w:r>
      <w:r>
        <w:rPr>
          <w:color w:val="231F20"/>
          <w:w w:val="105"/>
        </w:rPr>
        <w:t>en</w:t>
      </w:r>
      <w:r>
        <w:rPr>
          <w:color w:val="231F20"/>
          <w:spacing w:val="-18"/>
          <w:w w:val="105"/>
        </w:rPr>
        <w:t> </w:t>
      </w:r>
      <w:r>
        <w:rPr>
          <w:color w:val="231F20"/>
          <w:w w:val="105"/>
        </w:rPr>
        <w:t>las</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ha</w:t>
      </w:r>
      <w:r>
        <w:rPr>
          <w:color w:val="231F20"/>
          <w:spacing w:val="-18"/>
          <w:w w:val="105"/>
        </w:rPr>
        <w:t> </w:t>
      </w:r>
      <w:r>
        <w:rPr>
          <w:color w:val="231F20"/>
          <w:w w:val="105"/>
        </w:rPr>
        <w:t>venido</w:t>
      </w:r>
      <w:r>
        <w:rPr>
          <w:color w:val="231F20"/>
          <w:spacing w:val="-18"/>
          <w:w w:val="105"/>
        </w:rPr>
        <w:t> </w:t>
      </w:r>
      <w:r>
        <w:rPr>
          <w:color w:val="231F20"/>
          <w:w w:val="105"/>
        </w:rPr>
        <w:t>articulando</w:t>
      </w:r>
      <w:r>
        <w:rPr>
          <w:color w:val="231F20"/>
          <w:spacing w:val="-18"/>
          <w:w w:val="105"/>
        </w:rPr>
        <w:t> </w:t>
      </w:r>
      <w:r>
        <w:rPr>
          <w:color w:val="231F20"/>
          <w:w w:val="105"/>
        </w:rPr>
        <w:t>el</w:t>
      </w:r>
      <w:r>
        <w:rPr>
          <w:color w:val="231F20"/>
          <w:spacing w:val="-18"/>
          <w:w w:val="105"/>
        </w:rPr>
        <w:t> </w:t>
      </w:r>
      <w:r>
        <w:rPr>
          <w:color w:val="231F20"/>
          <w:w w:val="105"/>
        </w:rPr>
        <w:t>federalismo de poder (de facto) en el mundo. Un federalismo que, en la </w:t>
      </w:r>
      <w:r>
        <w:rPr>
          <w:color w:val="231F20"/>
          <w:spacing w:val="-4"/>
          <w:w w:val="105"/>
          <w:sz w:val="18"/>
        </w:rPr>
        <w:t>OTAN</w:t>
      </w:r>
      <w:r>
        <w:rPr>
          <w:color w:val="231F20"/>
          <w:spacing w:val="-22"/>
          <w:w w:val="105"/>
          <w:sz w:val="18"/>
        </w:rPr>
        <w:t> </w:t>
      </w:r>
      <w:r>
        <w:rPr>
          <w:color w:val="231F20"/>
          <w:w w:val="105"/>
        </w:rPr>
        <w:t>como en</w:t>
      </w:r>
      <w:r>
        <w:rPr>
          <w:color w:val="231F20"/>
          <w:spacing w:val="-15"/>
          <w:w w:val="105"/>
        </w:rPr>
        <w:t> </w:t>
      </w:r>
      <w:r>
        <w:rPr>
          <w:color w:val="231F20"/>
          <w:w w:val="105"/>
        </w:rPr>
        <w:t>muchas</w:t>
      </w:r>
      <w:r>
        <w:rPr>
          <w:color w:val="231F20"/>
          <w:spacing w:val="-15"/>
          <w:w w:val="105"/>
        </w:rPr>
        <w:t> </w:t>
      </w:r>
      <w:r>
        <w:rPr>
          <w:color w:val="231F20"/>
          <w:w w:val="105"/>
        </w:rPr>
        <w:t>agencias</w:t>
      </w:r>
      <w:r>
        <w:rPr>
          <w:color w:val="231F20"/>
          <w:spacing w:val="-15"/>
          <w:w w:val="105"/>
        </w:rPr>
        <w:t> </w:t>
      </w:r>
      <w:r>
        <w:rPr>
          <w:color w:val="231F20"/>
          <w:w w:val="105"/>
        </w:rPr>
        <w:t>globales</w:t>
      </w:r>
      <w:r>
        <w:rPr>
          <w:color w:val="231F20"/>
          <w:spacing w:val="-15"/>
          <w:w w:val="105"/>
        </w:rPr>
        <w:t> </w:t>
      </w:r>
      <w:r>
        <w:rPr>
          <w:color w:val="231F20"/>
          <w:w w:val="105"/>
        </w:rPr>
        <w:t>en</w:t>
      </w:r>
      <w:r>
        <w:rPr>
          <w:color w:val="231F20"/>
          <w:spacing w:val="-15"/>
          <w:w w:val="105"/>
        </w:rPr>
        <w:t> </w:t>
      </w:r>
      <w:r>
        <w:rPr>
          <w:color w:val="231F20"/>
          <w:w w:val="105"/>
        </w:rPr>
        <w:t>fase</w:t>
      </w:r>
      <w:r>
        <w:rPr>
          <w:color w:val="231F20"/>
          <w:spacing w:val="-15"/>
          <w:w w:val="105"/>
        </w:rPr>
        <w:t> </w:t>
      </w:r>
      <w:r>
        <w:rPr>
          <w:color w:val="231F20"/>
          <w:w w:val="105"/>
        </w:rPr>
        <w:t>de</w:t>
      </w:r>
      <w:r>
        <w:rPr>
          <w:color w:val="231F20"/>
          <w:spacing w:val="-15"/>
          <w:w w:val="105"/>
        </w:rPr>
        <w:t> </w:t>
      </w:r>
      <w:r>
        <w:rPr>
          <w:color w:val="231F20"/>
          <w:w w:val="105"/>
        </w:rPr>
        <w:t>adaptación,</w:t>
      </w:r>
      <w:r>
        <w:rPr>
          <w:color w:val="231F20"/>
          <w:spacing w:val="39"/>
          <w:w w:val="105"/>
        </w:rPr>
        <w:t> </w:t>
      </w:r>
      <w:r>
        <w:rPr>
          <w:color w:val="231F20"/>
          <w:w w:val="105"/>
        </w:rPr>
        <w:t>está</w:t>
      </w:r>
      <w:r>
        <w:rPr>
          <w:color w:val="231F20"/>
          <w:spacing w:val="-15"/>
          <w:w w:val="105"/>
        </w:rPr>
        <w:t> </w:t>
      </w:r>
      <w:r>
        <w:rPr>
          <w:color w:val="231F20"/>
          <w:w w:val="105"/>
        </w:rPr>
        <w:t>radicado</w:t>
      </w:r>
      <w:r>
        <w:rPr>
          <w:color w:val="231F20"/>
          <w:spacing w:val="-15"/>
          <w:w w:val="105"/>
        </w:rPr>
        <w:t> </w:t>
      </w:r>
      <w:r>
        <w:rPr>
          <w:color w:val="231F20"/>
          <w:w w:val="105"/>
        </w:rPr>
        <w:t>en</w:t>
      </w:r>
      <w:r>
        <w:rPr>
          <w:color w:val="231F20"/>
          <w:spacing w:val="-15"/>
          <w:w w:val="105"/>
        </w:rPr>
        <w:t> </w:t>
      </w:r>
      <w:r>
        <w:rPr>
          <w:color w:val="231F20"/>
          <w:w w:val="105"/>
        </w:rPr>
        <w:t>el principio</w:t>
      </w:r>
      <w:r>
        <w:rPr>
          <w:color w:val="231F20"/>
          <w:spacing w:val="-34"/>
          <w:w w:val="105"/>
        </w:rPr>
        <w:t> </w:t>
      </w:r>
      <w:r>
        <w:rPr>
          <w:color w:val="231F20"/>
          <w:w w:val="105"/>
        </w:rPr>
        <w:t>de</w:t>
      </w:r>
      <w:r>
        <w:rPr>
          <w:color w:val="231F20"/>
          <w:spacing w:val="-34"/>
          <w:w w:val="105"/>
        </w:rPr>
        <w:t> </w:t>
      </w:r>
      <w:r>
        <w:rPr>
          <w:color w:val="231F20"/>
          <w:w w:val="105"/>
        </w:rPr>
        <w:t>organización.</w:t>
      </w:r>
    </w:p>
    <w:p>
      <w:pPr>
        <w:pStyle w:val="BodyText"/>
        <w:spacing w:line="247" w:lineRule="auto"/>
        <w:ind w:left="117" w:right="101" w:firstLine="566"/>
        <w:jc w:val="both"/>
      </w:pPr>
      <w:r>
        <w:rPr>
          <w:color w:val="231F20"/>
          <w:w w:val="105"/>
        </w:rPr>
        <w:t>El</w:t>
      </w:r>
      <w:r>
        <w:rPr>
          <w:color w:val="231F20"/>
          <w:spacing w:val="-6"/>
          <w:w w:val="105"/>
        </w:rPr>
        <w:t> </w:t>
      </w:r>
      <w:r>
        <w:rPr>
          <w:color w:val="231F20"/>
          <w:w w:val="105"/>
        </w:rPr>
        <w:t>llamado</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modalidad</w:t>
      </w:r>
      <w:r>
        <w:rPr>
          <w:color w:val="231F20"/>
          <w:spacing w:val="-6"/>
          <w:w w:val="105"/>
        </w:rPr>
        <w:t> </w:t>
      </w:r>
      <w:r>
        <w:rPr>
          <w:color w:val="231F20"/>
          <w:w w:val="105"/>
        </w:rPr>
        <w:t>administrativa,</w:t>
      </w:r>
      <w:r>
        <w:rPr>
          <w:color w:val="231F20"/>
          <w:spacing w:val="-6"/>
          <w:w w:val="105"/>
        </w:rPr>
        <w:t> </w:t>
      </w:r>
      <w:r>
        <w:rPr>
          <w:color w:val="231F20"/>
          <w:w w:val="105"/>
        </w:rPr>
        <w:t>más</w:t>
      </w:r>
      <w:r>
        <w:rPr>
          <w:color w:val="231F20"/>
          <w:spacing w:val="-6"/>
          <w:w w:val="105"/>
        </w:rPr>
        <w:t> </w:t>
      </w:r>
      <w:r>
        <w:rPr>
          <w:color w:val="231F20"/>
          <w:w w:val="105"/>
        </w:rPr>
        <w:t>que</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legislativa, me</w:t>
      </w:r>
      <w:r>
        <w:rPr>
          <w:color w:val="231F20"/>
          <w:spacing w:val="-23"/>
          <w:w w:val="105"/>
        </w:rPr>
        <w:t> </w:t>
      </w:r>
      <w:r>
        <w:rPr>
          <w:color w:val="231F20"/>
          <w:w w:val="105"/>
        </w:rPr>
        <w:t>permite</w:t>
      </w:r>
      <w:r>
        <w:rPr>
          <w:color w:val="231F20"/>
          <w:spacing w:val="-23"/>
          <w:w w:val="105"/>
        </w:rPr>
        <w:t> </w:t>
      </w:r>
      <w:r>
        <w:rPr>
          <w:color w:val="231F20"/>
          <w:w w:val="105"/>
        </w:rPr>
        <w:t>ir</w:t>
      </w:r>
      <w:r>
        <w:rPr>
          <w:color w:val="231F20"/>
          <w:spacing w:val="-23"/>
          <w:w w:val="105"/>
        </w:rPr>
        <w:t> </w:t>
      </w:r>
      <w:r>
        <w:rPr>
          <w:color w:val="231F20"/>
          <w:w w:val="105"/>
        </w:rPr>
        <w:t>más</w:t>
      </w:r>
      <w:r>
        <w:rPr>
          <w:color w:val="231F20"/>
          <w:spacing w:val="-23"/>
          <w:w w:val="105"/>
        </w:rPr>
        <w:t> </w:t>
      </w:r>
      <w:r>
        <w:rPr>
          <w:color w:val="231F20"/>
          <w:w w:val="105"/>
        </w:rPr>
        <w:t>allá,</w:t>
      </w:r>
      <w:r>
        <w:rPr>
          <w:color w:val="231F20"/>
          <w:spacing w:val="-23"/>
          <w:w w:val="105"/>
        </w:rPr>
        <w:t> </w:t>
      </w:r>
      <w:r>
        <w:rPr>
          <w:color w:val="231F20"/>
          <w:w w:val="105"/>
        </w:rPr>
        <w:t>recordando</w:t>
      </w:r>
      <w:r>
        <w:rPr>
          <w:color w:val="231F20"/>
          <w:spacing w:val="-23"/>
          <w:w w:val="105"/>
        </w:rPr>
        <w:t> </w:t>
      </w:r>
      <w:r>
        <w:rPr>
          <w:color w:val="231F20"/>
          <w:w w:val="105"/>
        </w:rPr>
        <w:t>que</w:t>
      </w:r>
      <w:r>
        <w:rPr>
          <w:color w:val="231F20"/>
          <w:spacing w:val="-23"/>
          <w:w w:val="105"/>
        </w:rPr>
        <w:t> </w:t>
      </w:r>
      <w:r>
        <w:rPr>
          <w:color w:val="231F20"/>
          <w:w w:val="105"/>
        </w:rPr>
        <w:t>organización</w:t>
      </w:r>
      <w:r>
        <w:rPr>
          <w:color w:val="231F20"/>
          <w:spacing w:val="-23"/>
          <w:w w:val="105"/>
        </w:rPr>
        <w:t> </w:t>
      </w:r>
      <w:r>
        <w:rPr>
          <w:color w:val="231F20"/>
          <w:w w:val="105"/>
        </w:rPr>
        <w:t>es</w:t>
      </w:r>
      <w:r>
        <w:rPr>
          <w:color w:val="231F20"/>
          <w:spacing w:val="-23"/>
          <w:w w:val="105"/>
        </w:rPr>
        <w:t> </w:t>
      </w:r>
      <w:r>
        <w:rPr>
          <w:color w:val="231F20"/>
          <w:w w:val="105"/>
        </w:rPr>
        <w:t>un</w:t>
      </w:r>
      <w:r>
        <w:rPr>
          <w:color w:val="231F20"/>
          <w:spacing w:val="-23"/>
          <w:w w:val="105"/>
        </w:rPr>
        <w:t> </w:t>
      </w:r>
      <w:r>
        <w:rPr>
          <w:color w:val="231F20"/>
          <w:w w:val="105"/>
        </w:rPr>
        <w:t>concepto</w:t>
      </w:r>
      <w:r>
        <w:rPr>
          <w:color w:val="231F20"/>
          <w:spacing w:val="-23"/>
          <w:w w:val="105"/>
        </w:rPr>
        <w:t> </w:t>
      </w:r>
      <w:r>
        <w:rPr>
          <w:color w:val="231F20"/>
          <w:w w:val="105"/>
        </w:rPr>
        <w:t>liga- do</w:t>
      </w:r>
      <w:r>
        <w:rPr>
          <w:color w:val="231F20"/>
          <w:spacing w:val="-14"/>
          <w:w w:val="105"/>
        </w:rPr>
        <w:t> </w:t>
      </w:r>
      <w:r>
        <w:rPr>
          <w:color w:val="231F20"/>
          <w:w w:val="105"/>
        </w:rPr>
        <w:t>a</w:t>
      </w:r>
      <w:r>
        <w:rPr>
          <w:color w:val="231F20"/>
          <w:spacing w:val="-14"/>
          <w:w w:val="105"/>
        </w:rPr>
        <w:t> </w:t>
      </w:r>
      <w:r>
        <w:rPr>
          <w:color w:val="231F20"/>
          <w:w w:val="105"/>
        </w:rPr>
        <w:t>órgano</w:t>
      </w:r>
      <w:r>
        <w:rPr>
          <w:color w:val="231F20"/>
          <w:spacing w:val="-14"/>
          <w:w w:val="105"/>
        </w:rPr>
        <w:t> </w:t>
      </w:r>
      <w:r>
        <w:rPr>
          <w:color w:val="231F20"/>
          <w:w w:val="105"/>
        </w:rPr>
        <w:t>y</w:t>
      </w:r>
      <w:r>
        <w:rPr>
          <w:color w:val="231F20"/>
          <w:spacing w:val="-14"/>
          <w:w w:val="105"/>
        </w:rPr>
        <w:t> </w:t>
      </w:r>
      <w:r>
        <w:rPr>
          <w:color w:val="231F20"/>
          <w:w w:val="105"/>
        </w:rPr>
        <w:t>organismo</w:t>
      </w:r>
      <w:r>
        <w:rPr>
          <w:color w:val="231F20"/>
          <w:spacing w:val="-14"/>
          <w:w w:val="105"/>
        </w:rPr>
        <w:t> </w:t>
      </w:r>
      <w:r>
        <w:rPr>
          <w:color w:val="231F20"/>
          <w:w w:val="105"/>
        </w:rPr>
        <w:t>y</w:t>
      </w:r>
      <w:r>
        <w:rPr>
          <w:color w:val="231F20"/>
          <w:spacing w:val="-14"/>
          <w:w w:val="105"/>
        </w:rPr>
        <w:t> </w:t>
      </w:r>
      <w:r>
        <w:rPr>
          <w:color w:val="231F20"/>
          <w:w w:val="105"/>
        </w:rPr>
        <w:t>es</w:t>
      </w:r>
      <w:r>
        <w:rPr>
          <w:color w:val="231F20"/>
          <w:spacing w:val="-14"/>
          <w:w w:val="105"/>
        </w:rPr>
        <w:t> </w:t>
      </w:r>
      <w:r>
        <w:rPr>
          <w:color w:val="231F20"/>
          <w:w w:val="105"/>
        </w:rPr>
        <w:t>susceptible</w:t>
      </w:r>
      <w:r>
        <w:rPr>
          <w:color w:val="231F20"/>
          <w:spacing w:val="-14"/>
          <w:w w:val="105"/>
        </w:rPr>
        <w:t> </w:t>
      </w:r>
      <w:r>
        <w:rPr>
          <w:color w:val="231F20"/>
          <w:w w:val="105"/>
        </w:rPr>
        <w:t>por</w:t>
      </w:r>
      <w:r>
        <w:rPr>
          <w:color w:val="231F20"/>
          <w:spacing w:val="-14"/>
          <w:w w:val="105"/>
        </w:rPr>
        <w:t> </w:t>
      </w:r>
      <w:r>
        <w:rPr>
          <w:color w:val="231F20"/>
          <w:w w:val="105"/>
        </w:rPr>
        <w:t>lo</w:t>
      </w:r>
      <w:r>
        <w:rPr>
          <w:color w:val="231F20"/>
          <w:spacing w:val="-14"/>
          <w:w w:val="105"/>
        </w:rPr>
        <w:t> </w:t>
      </w:r>
      <w:r>
        <w:rPr>
          <w:color w:val="231F20"/>
          <w:w w:val="105"/>
        </w:rPr>
        <w:t>tanto,</w:t>
      </w:r>
      <w:r>
        <w:rPr>
          <w:color w:val="231F20"/>
          <w:spacing w:val="-14"/>
          <w:w w:val="105"/>
        </w:rPr>
        <w:t> </w:t>
      </w:r>
      <w:r>
        <w:rPr>
          <w:color w:val="231F20"/>
          <w:w w:val="105"/>
        </w:rPr>
        <w:t>a</w:t>
      </w:r>
      <w:r>
        <w:rPr>
          <w:color w:val="231F20"/>
          <w:spacing w:val="-14"/>
          <w:w w:val="105"/>
        </w:rPr>
        <w:t> </w:t>
      </w:r>
      <w:r>
        <w:rPr>
          <w:color w:val="231F20"/>
          <w:w w:val="105"/>
        </w:rPr>
        <w:t>lecturas</w:t>
      </w:r>
      <w:r>
        <w:rPr>
          <w:color w:val="231F20"/>
          <w:spacing w:val="-14"/>
          <w:w w:val="105"/>
        </w:rPr>
        <w:t> </w:t>
      </w:r>
      <w:r>
        <w:rPr>
          <w:color w:val="231F20"/>
          <w:w w:val="105"/>
        </w:rPr>
        <w:t>no</w:t>
      </w:r>
      <w:r>
        <w:rPr>
          <w:color w:val="231F20"/>
          <w:spacing w:val="-14"/>
          <w:w w:val="105"/>
        </w:rPr>
        <w:t> </w:t>
      </w:r>
      <w:r>
        <w:rPr>
          <w:color w:val="231F20"/>
          <w:w w:val="105"/>
        </w:rPr>
        <w:t>sólo técnicas</w:t>
      </w:r>
      <w:r>
        <w:rPr>
          <w:color w:val="231F20"/>
          <w:spacing w:val="-30"/>
          <w:w w:val="105"/>
        </w:rPr>
        <w:t> </w:t>
      </w:r>
      <w:r>
        <w:rPr>
          <w:color w:val="231F20"/>
          <w:w w:val="105"/>
        </w:rPr>
        <w:t>y</w:t>
      </w:r>
      <w:r>
        <w:rPr>
          <w:color w:val="231F20"/>
          <w:spacing w:val="-30"/>
          <w:w w:val="105"/>
        </w:rPr>
        <w:t> </w:t>
      </w:r>
      <w:r>
        <w:rPr>
          <w:color w:val="231F20"/>
          <w:w w:val="105"/>
        </w:rPr>
        <w:t>verticales,</w:t>
      </w:r>
      <w:r>
        <w:rPr>
          <w:color w:val="231F20"/>
          <w:spacing w:val="-30"/>
          <w:w w:val="105"/>
        </w:rPr>
        <w:t> </w:t>
      </w:r>
      <w:r>
        <w:rPr>
          <w:color w:val="231F20"/>
          <w:w w:val="105"/>
        </w:rPr>
        <w:t>sino</w:t>
      </w:r>
      <w:r>
        <w:rPr>
          <w:color w:val="231F20"/>
          <w:spacing w:val="-30"/>
          <w:w w:val="105"/>
        </w:rPr>
        <w:t> </w:t>
      </w:r>
      <w:r>
        <w:rPr>
          <w:color w:val="231F20"/>
          <w:w w:val="105"/>
        </w:rPr>
        <w:t>también</w:t>
      </w:r>
      <w:r>
        <w:rPr>
          <w:color w:val="231F20"/>
          <w:spacing w:val="-30"/>
          <w:w w:val="105"/>
        </w:rPr>
        <w:t> </w:t>
      </w:r>
      <w:r>
        <w:rPr>
          <w:color w:val="231F20"/>
          <w:w w:val="105"/>
        </w:rPr>
        <w:t>eventualmente</w:t>
      </w:r>
      <w:r>
        <w:rPr>
          <w:color w:val="231F20"/>
          <w:spacing w:val="-30"/>
          <w:w w:val="105"/>
        </w:rPr>
        <w:t> </w:t>
      </w:r>
      <w:r>
        <w:rPr>
          <w:color w:val="231F20"/>
          <w:w w:val="105"/>
        </w:rPr>
        <w:t>horizontales,</w:t>
      </w:r>
      <w:r>
        <w:rPr>
          <w:color w:val="231F20"/>
          <w:spacing w:val="-30"/>
          <w:w w:val="105"/>
        </w:rPr>
        <w:t> </w:t>
      </w:r>
      <w:r>
        <w:rPr>
          <w:color w:val="231F20"/>
          <w:w w:val="105"/>
        </w:rPr>
        <w:t>circulares y de alguna manera humanísticas</w:t>
      </w:r>
      <w:r>
        <w:rPr>
          <w:color w:val="231F20"/>
          <w:w w:val="105"/>
          <w:position w:val="7"/>
          <w:sz w:val="12"/>
        </w:rPr>
        <w:t>47</w:t>
      </w:r>
      <w:r>
        <w:rPr>
          <w:color w:val="231F20"/>
          <w:w w:val="105"/>
        </w:rPr>
        <w:t>. </w:t>
      </w:r>
      <w:r>
        <w:rPr>
          <w:color w:val="231F20"/>
          <w:spacing w:val="-8"/>
          <w:w w:val="105"/>
        </w:rPr>
        <w:t>Tal </w:t>
      </w:r>
      <w:r>
        <w:rPr>
          <w:color w:val="231F20"/>
          <w:w w:val="105"/>
        </w:rPr>
        <w:t>vez no es precisamente la</w:t>
      </w:r>
      <w:r>
        <w:rPr>
          <w:color w:val="231F20"/>
          <w:spacing w:val="-14"/>
          <w:w w:val="105"/>
        </w:rPr>
        <w:t> </w:t>
      </w:r>
      <w:r>
        <w:rPr>
          <w:color w:val="231F20"/>
          <w:spacing w:val="-4"/>
          <w:w w:val="105"/>
          <w:sz w:val="18"/>
        </w:rPr>
        <w:t>OTAN </w:t>
      </w:r>
      <w:r>
        <w:rPr>
          <w:color w:val="231F20"/>
          <w:w w:val="105"/>
        </w:rPr>
        <w:t>el caso adecuado del cual </w:t>
      </w:r>
      <w:r>
        <w:rPr>
          <w:color w:val="231F20"/>
          <w:spacing w:val="-3"/>
          <w:w w:val="105"/>
        </w:rPr>
        <w:t>partir, </w:t>
      </w:r>
      <w:r>
        <w:rPr>
          <w:color w:val="231F20"/>
          <w:w w:val="105"/>
        </w:rPr>
        <w:t>pero justamente éste muestra cómo</w:t>
      </w:r>
      <w:r>
        <w:rPr>
          <w:color w:val="231F20"/>
          <w:spacing w:val="-40"/>
          <w:w w:val="105"/>
        </w:rPr>
        <w:t> </w:t>
      </w:r>
      <w:r>
        <w:rPr>
          <w:color w:val="231F20"/>
          <w:w w:val="105"/>
        </w:rPr>
        <w:t>la legitimación</w:t>
      </w:r>
      <w:r>
        <w:rPr>
          <w:color w:val="231F20"/>
          <w:spacing w:val="-13"/>
          <w:w w:val="105"/>
        </w:rPr>
        <w:t> </w:t>
      </w:r>
      <w:r>
        <w:rPr>
          <w:color w:val="231F20"/>
          <w:w w:val="105"/>
        </w:rPr>
        <w:t>del</w:t>
      </w:r>
      <w:r>
        <w:rPr>
          <w:color w:val="231F20"/>
          <w:spacing w:val="-13"/>
          <w:w w:val="105"/>
        </w:rPr>
        <w:t> </w:t>
      </w:r>
      <w:r>
        <w:rPr>
          <w:color w:val="231F20"/>
          <w:w w:val="105"/>
        </w:rPr>
        <w:t>poder</w:t>
      </w:r>
      <w:r>
        <w:rPr>
          <w:color w:val="231F20"/>
          <w:spacing w:val="-13"/>
          <w:w w:val="105"/>
        </w:rPr>
        <w:t> </w:t>
      </w:r>
      <w:r>
        <w:rPr>
          <w:color w:val="231F20"/>
          <w:w w:val="105"/>
        </w:rPr>
        <w:t>ya</w:t>
      </w:r>
      <w:r>
        <w:rPr>
          <w:color w:val="231F20"/>
          <w:spacing w:val="-13"/>
          <w:w w:val="105"/>
        </w:rPr>
        <w:t> </w:t>
      </w:r>
      <w:r>
        <w:rPr>
          <w:color w:val="231F20"/>
          <w:w w:val="105"/>
        </w:rPr>
        <w:t>no</w:t>
      </w:r>
      <w:r>
        <w:rPr>
          <w:color w:val="231F20"/>
          <w:spacing w:val="-13"/>
          <w:w w:val="105"/>
        </w:rPr>
        <w:t> </w:t>
      </w:r>
      <w:r>
        <w:rPr>
          <w:color w:val="231F20"/>
          <w:w w:val="105"/>
        </w:rPr>
        <w:t>es</w:t>
      </w:r>
      <w:r>
        <w:rPr>
          <w:color w:val="231F20"/>
          <w:spacing w:val="-13"/>
          <w:w w:val="105"/>
        </w:rPr>
        <w:t> </w:t>
      </w:r>
      <w:r>
        <w:rPr>
          <w:color w:val="231F20"/>
          <w:w w:val="105"/>
        </w:rPr>
        <w:t>el</w:t>
      </w:r>
      <w:r>
        <w:rPr>
          <w:color w:val="231F20"/>
          <w:spacing w:val="-13"/>
          <w:w w:val="105"/>
        </w:rPr>
        <w:t> </w:t>
      </w:r>
      <w:r>
        <w:rPr>
          <w:color w:val="231F20"/>
          <w:w w:val="105"/>
        </w:rPr>
        <w:t>corazón</w:t>
      </w:r>
      <w:r>
        <w:rPr>
          <w:color w:val="231F20"/>
          <w:spacing w:val="-13"/>
          <w:w w:val="105"/>
        </w:rPr>
        <w:t> </w:t>
      </w:r>
      <w:r>
        <w:rPr>
          <w:color w:val="231F20"/>
          <w:w w:val="105"/>
        </w:rPr>
        <w:t>de</w:t>
      </w:r>
      <w:r>
        <w:rPr>
          <w:color w:val="231F20"/>
          <w:spacing w:val="-13"/>
          <w:w w:val="105"/>
        </w:rPr>
        <w:t> </w:t>
      </w:r>
      <w:r>
        <w:rPr>
          <w:color w:val="231F20"/>
          <w:w w:val="105"/>
        </w:rPr>
        <w:t>lo</w:t>
      </w:r>
      <w:r>
        <w:rPr>
          <w:color w:val="231F20"/>
          <w:spacing w:val="-13"/>
          <w:w w:val="105"/>
        </w:rPr>
        <w:t> </w:t>
      </w:r>
      <w:r>
        <w:rPr>
          <w:color w:val="231F20"/>
          <w:w w:val="105"/>
        </w:rPr>
        <w:t>político,</w:t>
      </w:r>
      <w:r>
        <w:rPr>
          <w:color w:val="231F20"/>
          <w:spacing w:val="-13"/>
          <w:w w:val="105"/>
        </w:rPr>
        <w:t> </w:t>
      </w:r>
      <w:r>
        <w:rPr>
          <w:color w:val="231F20"/>
          <w:w w:val="105"/>
        </w:rPr>
        <w:t>sino</w:t>
      </w:r>
      <w:r>
        <w:rPr>
          <w:color w:val="231F20"/>
          <w:spacing w:val="-13"/>
          <w:w w:val="105"/>
        </w:rPr>
        <w:t> </w:t>
      </w:r>
      <w:r>
        <w:rPr>
          <w:color w:val="231F20"/>
          <w:w w:val="105"/>
        </w:rPr>
        <w:t>en</w:t>
      </w:r>
      <w:r>
        <w:rPr>
          <w:color w:val="231F20"/>
          <w:spacing w:val="-13"/>
          <w:w w:val="105"/>
        </w:rPr>
        <w:t> </w:t>
      </w:r>
      <w:r>
        <w:rPr>
          <w:color w:val="231F20"/>
          <w:w w:val="105"/>
        </w:rPr>
        <w:t>cambio, tal</w:t>
      </w:r>
      <w:r>
        <w:rPr>
          <w:color w:val="231F20"/>
          <w:spacing w:val="-34"/>
          <w:w w:val="105"/>
        </w:rPr>
        <w:t> </w:t>
      </w:r>
      <w:r>
        <w:rPr>
          <w:color w:val="231F20"/>
          <w:w w:val="105"/>
        </w:rPr>
        <w:t>vez</w:t>
      </w:r>
      <w:r>
        <w:rPr>
          <w:color w:val="231F20"/>
          <w:spacing w:val="-34"/>
          <w:w w:val="105"/>
        </w:rPr>
        <w:t> </w:t>
      </w:r>
      <w:r>
        <w:rPr>
          <w:color w:val="231F20"/>
          <w:w w:val="105"/>
        </w:rPr>
        <w:t>una</w:t>
      </w:r>
      <w:r>
        <w:rPr>
          <w:color w:val="231F20"/>
          <w:spacing w:val="-34"/>
          <w:w w:val="105"/>
        </w:rPr>
        <w:t> </w:t>
      </w:r>
      <w:r>
        <w:rPr>
          <w:color w:val="231F20"/>
          <w:w w:val="105"/>
        </w:rPr>
        <w:t>visión</w:t>
      </w:r>
      <w:r>
        <w:rPr>
          <w:color w:val="231F20"/>
          <w:spacing w:val="-34"/>
          <w:w w:val="105"/>
        </w:rPr>
        <w:t> </w:t>
      </w:r>
      <w:r>
        <w:rPr>
          <w:color w:val="231F20"/>
          <w:w w:val="105"/>
        </w:rPr>
        <w:t>alternativa</w:t>
      </w:r>
      <w:r>
        <w:rPr>
          <w:color w:val="231F20"/>
          <w:spacing w:val="-34"/>
          <w:w w:val="105"/>
        </w:rPr>
        <w:t> </w:t>
      </w:r>
      <w:r>
        <w:rPr>
          <w:color w:val="231F20"/>
          <w:w w:val="105"/>
        </w:rPr>
        <w:t>de</w:t>
      </w:r>
      <w:r>
        <w:rPr>
          <w:color w:val="231F20"/>
          <w:spacing w:val="-34"/>
          <w:w w:val="105"/>
        </w:rPr>
        <w:t> </w:t>
      </w:r>
      <w:r>
        <w:rPr>
          <w:color w:val="231F20"/>
          <w:w w:val="105"/>
        </w:rPr>
        <w:t>la</w:t>
      </w:r>
      <w:r>
        <w:rPr>
          <w:color w:val="231F20"/>
          <w:spacing w:val="-34"/>
          <w:w w:val="105"/>
        </w:rPr>
        <w:t> </w:t>
      </w:r>
      <w:r>
        <w:rPr>
          <w:color w:val="231F20"/>
          <w:w w:val="105"/>
        </w:rPr>
        <w:t>organización,</w:t>
      </w:r>
      <w:r>
        <w:rPr>
          <w:color w:val="231F20"/>
          <w:spacing w:val="-34"/>
          <w:w w:val="105"/>
        </w:rPr>
        <w:t> </w:t>
      </w:r>
      <w:r>
        <w:rPr>
          <w:color w:val="231F20"/>
          <w:w w:val="105"/>
        </w:rPr>
        <w:t>basada</w:t>
      </w:r>
      <w:r>
        <w:rPr>
          <w:color w:val="231F20"/>
          <w:spacing w:val="-34"/>
          <w:w w:val="105"/>
        </w:rPr>
        <w:t> </w:t>
      </w:r>
      <w:r>
        <w:rPr>
          <w:color w:val="231F20"/>
          <w:w w:val="105"/>
        </w:rPr>
        <w:t>en</w:t>
      </w:r>
      <w:r>
        <w:rPr>
          <w:color w:val="231F20"/>
          <w:spacing w:val="-34"/>
          <w:w w:val="105"/>
        </w:rPr>
        <w:t> </w:t>
      </w:r>
      <w:r>
        <w:rPr>
          <w:color w:val="231F20"/>
          <w:w w:val="105"/>
        </w:rPr>
        <w:t>la</w:t>
      </w:r>
      <w:r>
        <w:rPr>
          <w:color w:val="231F20"/>
          <w:spacing w:val="-34"/>
          <w:w w:val="105"/>
        </w:rPr>
        <w:t> </w:t>
      </w:r>
      <w:r>
        <w:rPr>
          <w:color w:val="231F20"/>
          <w:w w:val="105"/>
        </w:rPr>
        <w:t>comprensión del</w:t>
      </w:r>
      <w:r>
        <w:rPr>
          <w:color w:val="231F20"/>
          <w:spacing w:val="-20"/>
          <w:w w:val="105"/>
        </w:rPr>
        <w:t> </w:t>
      </w:r>
      <w:r>
        <w:rPr>
          <w:color w:val="231F20"/>
          <w:w w:val="105"/>
        </w:rPr>
        <w:t>otro,</w:t>
      </w:r>
      <w:r>
        <w:rPr>
          <w:color w:val="231F20"/>
          <w:spacing w:val="-20"/>
          <w:w w:val="105"/>
        </w:rPr>
        <w:t> </w:t>
      </w:r>
      <w:r>
        <w:rPr>
          <w:color w:val="231F20"/>
          <w:w w:val="105"/>
        </w:rPr>
        <w:t>a</w:t>
      </w:r>
      <w:r>
        <w:rPr>
          <w:color w:val="231F20"/>
          <w:spacing w:val="-20"/>
          <w:w w:val="105"/>
        </w:rPr>
        <w:t> </w:t>
      </w:r>
      <w:r>
        <w:rPr>
          <w:color w:val="231F20"/>
          <w:w w:val="105"/>
        </w:rPr>
        <w:t>través</w:t>
      </w:r>
      <w:r>
        <w:rPr>
          <w:color w:val="231F20"/>
          <w:spacing w:val="-20"/>
          <w:w w:val="105"/>
        </w:rPr>
        <w:t> </w:t>
      </w:r>
      <w:r>
        <w:rPr>
          <w:color w:val="231F20"/>
          <w:w w:val="105"/>
        </w:rPr>
        <w:t>también</w:t>
      </w:r>
      <w:r>
        <w:rPr>
          <w:color w:val="231F20"/>
          <w:spacing w:val="-20"/>
          <w:w w:val="105"/>
        </w:rPr>
        <w:t> </w:t>
      </w:r>
      <w:r>
        <w:rPr>
          <w:color w:val="231F20"/>
          <w:w w:val="105"/>
        </w:rPr>
        <w:t>del</w:t>
      </w:r>
      <w:r>
        <w:rPr>
          <w:color w:val="231F20"/>
          <w:spacing w:val="-20"/>
          <w:w w:val="105"/>
        </w:rPr>
        <w:t> </w:t>
      </w:r>
      <w:r>
        <w:rPr>
          <w:color w:val="231F20"/>
          <w:w w:val="105"/>
        </w:rPr>
        <w:t>análisis</w:t>
      </w:r>
      <w:r>
        <w:rPr>
          <w:color w:val="231F20"/>
          <w:spacing w:val="-20"/>
          <w:w w:val="105"/>
        </w:rPr>
        <w:t> </w:t>
      </w:r>
      <w:r>
        <w:rPr>
          <w:color w:val="231F20"/>
          <w:w w:val="105"/>
        </w:rPr>
        <w:t>y</w:t>
      </w:r>
      <w:r>
        <w:rPr>
          <w:color w:val="231F20"/>
          <w:spacing w:val="-20"/>
          <w:w w:val="105"/>
        </w:rPr>
        <w:t> </w:t>
      </w:r>
      <w:r>
        <w:rPr>
          <w:color w:val="231F20"/>
          <w:w w:val="105"/>
        </w:rPr>
        <w:t>la</w:t>
      </w:r>
      <w:r>
        <w:rPr>
          <w:color w:val="231F20"/>
          <w:spacing w:val="-20"/>
          <w:w w:val="105"/>
        </w:rPr>
        <w:t> </w:t>
      </w:r>
      <w:r>
        <w:rPr>
          <w:color w:val="231F20"/>
          <w:w w:val="105"/>
        </w:rPr>
        <w:t>crítica</w:t>
      </w:r>
      <w:r>
        <w:rPr>
          <w:color w:val="231F20"/>
          <w:spacing w:val="-20"/>
          <w:w w:val="105"/>
        </w:rPr>
        <w:t> </w:t>
      </w:r>
      <w:r>
        <w:rPr>
          <w:color w:val="231F20"/>
          <w:w w:val="105"/>
        </w:rPr>
        <w:t>de</w:t>
      </w:r>
      <w:r>
        <w:rPr>
          <w:color w:val="231F20"/>
          <w:spacing w:val="-20"/>
          <w:w w:val="105"/>
        </w:rPr>
        <w:t> </w:t>
      </w:r>
      <w:r>
        <w:rPr>
          <w:color w:val="231F20"/>
          <w:w w:val="105"/>
        </w:rPr>
        <w:t>sí</w:t>
      </w:r>
      <w:r>
        <w:rPr>
          <w:color w:val="231F20"/>
          <w:spacing w:val="-20"/>
          <w:w w:val="105"/>
        </w:rPr>
        <w:t> </w:t>
      </w:r>
      <w:r>
        <w:rPr>
          <w:color w:val="231F20"/>
          <w:w w:val="105"/>
        </w:rPr>
        <w:t>y</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propios</w:t>
      </w:r>
      <w:r>
        <w:rPr>
          <w:color w:val="231F20"/>
          <w:spacing w:val="-20"/>
          <w:w w:val="105"/>
        </w:rPr>
        <w:t> </w:t>
      </w:r>
      <w:r>
        <w:rPr>
          <w:color w:val="231F20"/>
          <w:w w:val="105"/>
        </w:rPr>
        <w:t>mi- tos</w:t>
      </w:r>
      <w:r>
        <w:rPr>
          <w:color w:val="231F20"/>
          <w:spacing w:val="-22"/>
          <w:w w:val="105"/>
        </w:rPr>
        <w:t> </w:t>
      </w:r>
      <w:r>
        <w:rPr>
          <w:color w:val="231F20"/>
          <w:w w:val="105"/>
        </w:rPr>
        <w:t>(o</w:t>
      </w:r>
      <w:r>
        <w:rPr>
          <w:color w:val="231F20"/>
          <w:spacing w:val="-22"/>
          <w:w w:val="105"/>
        </w:rPr>
        <w:t> </w:t>
      </w:r>
      <w:r>
        <w:rPr>
          <w:color w:val="231F20"/>
          <w:w w:val="105"/>
        </w:rPr>
        <w:t>espectros)</w:t>
      </w:r>
      <w:r>
        <w:rPr>
          <w:color w:val="231F20"/>
          <w:spacing w:val="-22"/>
          <w:w w:val="105"/>
        </w:rPr>
        <w:t> </w:t>
      </w:r>
      <w:r>
        <w:rPr>
          <w:color w:val="231F20"/>
          <w:w w:val="105"/>
        </w:rPr>
        <w:t>empezando</w:t>
      </w:r>
      <w:r>
        <w:rPr>
          <w:color w:val="231F20"/>
          <w:spacing w:val="-22"/>
          <w:w w:val="105"/>
        </w:rPr>
        <w:t> </w:t>
      </w:r>
      <w:r>
        <w:rPr>
          <w:color w:val="231F20"/>
          <w:w w:val="105"/>
        </w:rPr>
        <w:t>por</w:t>
      </w:r>
      <w:r>
        <w:rPr>
          <w:color w:val="231F20"/>
          <w:spacing w:val="-22"/>
          <w:w w:val="105"/>
        </w:rPr>
        <w:t> </w:t>
      </w:r>
      <w:r>
        <w:rPr>
          <w:color w:val="231F20"/>
          <w:w w:val="105"/>
        </w:rPr>
        <w:t>el</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racionalidad,</w:t>
      </w:r>
      <w:r>
        <w:rPr>
          <w:color w:val="231F20"/>
          <w:spacing w:val="-22"/>
          <w:w w:val="105"/>
        </w:rPr>
        <w:t> </w:t>
      </w:r>
      <w:r>
        <w:rPr>
          <w:color w:val="231F20"/>
          <w:w w:val="105"/>
        </w:rPr>
        <w:t>por</w:t>
      </w:r>
      <w:r>
        <w:rPr>
          <w:color w:val="231F20"/>
          <w:spacing w:val="-22"/>
          <w:w w:val="105"/>
        </w:rPr>
        <w:t> </w:t>
      </w:r>
      <w:r>
        <w:rPr>
          <w:color w:val="231F20"/>
          <w:w w:val="105"/>
        </w:rPr>
        <w:t>mucho</w:t>
      </w:r>
      <w:r>
        <w:rPr>
          <w:color w:val="231F20"/>
          <w:spacing w:val="-22"/>
          <w:w w:val="105"/>
        </w:rPr>
        <w:t> </w:t>
      </w:r>
      <w:r>
        <w:rPr>
          <w:color w:val="231F20"/>
          <w:w w:val="105"/>
        </w:rPr>
        <w:t>tiempo utilizada para medir cada cosa según el metro funcional del progreso y de</w:t>
      </w:r>
      <w:r>
        <w:rPr>
          <w:color w:val="231F20"/>
          <w:spacing w:val="-19"/>
          <w:w w:val="105"/>
        </w:rPr>
        <w:t> </w:t>
      </w:r>
      <w:r>
        <w:rPr>
          <w:color w:val="231F20"/>
          <w:w w:val="105"/>
        </w:rPr>
        <w:t>la</w:t>
      </w:r>
      <w:r>
        <w:rPr>
          <w:color w:val="231F20"/>
          <w:spacing w:val="-19"/>
          <w:w w:val="105"/>
        </w:rPr>
        <w:t> </w:t>
      </w:r>
      <w:r>
        <w:rPr>
          <w:color w:val="231F20"/>
          <w:w w:val="105"/>
        </w:rPr>
        <w:t>felicidad,</w:t>
      </w:r>
      <w:r>
        <w:rPr>
          <w:color w:val="231F20"/>
          <w:spacing w:val="-19"/>
          <w:w w:val="105"/>
        </w:rPr>
        <w:t> </w:t>
      </w:r>
      <w:r>
        <w:rPr>
          <w:color w:val="231F20"/>
          <w:w w:val="105"/>
        </w:rPr>
        <w:t>pero</w:t>
      </w:r>
      <w:r>
        <w:rPr>
          <w:color w:val="231F20"/>
          <w:spacing w:val="-19"/>
          <w:w w:val="105"/>
        </w:rPr>
        <w:t> </w:t>
      </w:r>
      <w:r>
        <w:rPr>
          <w:color w:val="231F20"/>
          <w:w w:val="105"/>
        </w:rPr>
        <w:t>despreocupada</w:t>
      </w:r>
      <w:r>
        <w:rPr>
          <w:color w:val="231F20"/>
          <w:spacing w:val="-19"/>
          <w:w w:val="105"/>
        </w:rPr>
        <w:t> </w:t>
      </w:r>
      <w:r>
        <w:rPr>
          <w:color w:val="231F20"/>
          <w:w w:val="105"/>
        </w:rPr>
        <w:t>de</w:t>
      </w:r>
      <w:r>
        <w:rPr>
          <w:color w:val="231F20"/>
          <w:spacing w:val="-19"/>
          <w:w w:val="105"/>
        </w:rPr>
        <w:t> </w:t>
      </w:r>
      <w:r>
        <w:rPr>
          <w:color w:val="231F20"/>
          <w:w w:val="105"/>
        </w:rPr>
        <w:t>cualquier</w:t>
      </w:r>
      <w:r>
        <w:rPr>
          <w:color w:val="231F20"/>
          <w:spacing w:val="-19"/>
          <w:w w:val="105"/>
        </w:rPr>
        <w:t> </w:t>
      </w:r>
      <w:r>
        <w:rPr>
          <w:color w:val="231F20"/>
          <w:w w:val="105"/>
        </w:rPr>
        <w:t>otra</w:t>
      </w:r>
      <w:r>
        <w:rPr>
          <w:color w:val="231F20"/>
          <w:spacing w:val="-19"/>
          <w:w w:val="105"/>
        </w:rPr>
        <w:t> </w:t>
      </w:r>
      <w:r>
        <w:rPr>
          <w:color w:val="231F20"/>
          <w:w w:val="105"/>
        </w:rPr>
        <w:t>“razón”,</w:t>
      </w:r>
      <w:r>
        <w:rPr>
          <w:color w:val="231F20"/>
          <w:spacing w:val="-19"/>
          <w:w w:val="105"/>
        </w:rPr>
        <w:t> </w:t>
      </w:r>
      <w:r>
        <w:rPr>
          <w:color w:val="231F20"/>
          <w:w w:val="105"/>
        </w:rPr>
        <w:t>cuando</w:t>
      </w:r>
      <w:r>
        <w:rPr>
          <w:color w:val="231F20"/>
          <w:spacing w:val="-19"/>
          <w:w w:val="105"/>
        </w:rPr>
        <w:t> </w:t>
      </w:r>
      <w:r>
        <w:rPr>
          <w:color w:val="231F20"/>
          <w:w w:val="105"/>
        </w:rPr>
        <w:t>en cambio</w:t>
      </w:r>
      <w:r>
        <w:rPr>
          <w:color w:val="231F20"/>
          <w:spacing w:val="-31"/>
          <w:w w:val="105"/>
        </w:rPr>
        <w:t> </w:t>
      </w:r>
      <w:r>
        <w:rPr>
          <w:color w:val="231F20"/>
          <w:w w:val="105"/>
        </w:rPr>
        <w:t>parece</w:t>
      </w:r>
      <w:r>
        <w:rPr>
          <w:color w:val="231F20"/>
          <w:spacing w:val="-31"/>
          <w:w w:val="105"/>
        </w:rPr>
        <w:t> </w:t>
      </w:r>
      <w:r>
        <w:rPr>
          <w:color w:val="231F20"/>
          <w:w w:val="105"/>
        </w:rPr>
        <w:t>que</w:t>
      </w:r>
      <w:r>
        <w:rPr>
          <w:color w:val="231F20"/>
          <w:spacing w:val="-31"/>
          <w:w w:val="105"/>
        </w:rPr>
        <w:t> </w:t>
      </w:r>
      <w:r>
        <w:rPr>
          <w:color w:val="231F20"/>
          <w:w w:val="105"/>
        </w:rPr>
        <w:t>sean</w:t>
      </w:r>
      <w:r>
        <w:rPr>
          <w:color w:val="231F20"/>
          <w:spacing w:val="-31"/>
          <w:w w:val="105"/>
        </w:rPr>
        <w:t> </w:t>
      </w:r>
      <w:r>
        <w:rPr>
          <w:color w:val="231F20"/>
          <w:w w:val="105"/>
        </w:rPr>
        <w:t>justo</w:t>
      </w:r>
      <w:r>
        <w:rPr>
          <w:color w:val="231F20"/>
          <w:spacing w:val="-31"/>
          <w:w w:val="105"/>
        </w:rPr>
        <w:t> </w:t>
      </w:r>
      <w:r>
        <w:rPr>
          <w:color w:val="231F20"/>
          <w:w w:val="105"/>
        </w:rPr>
        <w:t>“otras”</w:t>
      </w:r>
      <w:r>
        <w:rPr>
          <w:color w:val="231F20"/>
          <w:spacing w:val="-31"/>
          <w:w w:val="105"/>
        </w:rPr>
        <w:t> </w:t>
      </w:r>
      <w:r>
        <w:rPr>
          <w:color w:val="231F20"/>
          <w:w w:val="105"/>
        </w:rPr>
        <w:t>las</w:t>
      </w:r>
      <w:r>
        <w:rPr>
          <w:color w:val="231F20"/>
          <w:spacing w:val="-31"/>
          <w:w w:val="105"/>
        </w:rPr>
        <w:t> </w:t>
      </w:r>
      <w:r>
        <w:rPr>
          <w:color w:val="231F20"/>
          <w:w w:val="105"/>
        </w:rPr>
        <w:t>razones</w:t>
      </w:r>
      <w:r>
        <w:rPr>
          <w:color w:val="231F20"/>
          <w:spacing w:val="-31"/>
          <w:w w:val="105"/>
        </w:rPr>
        <w:t> </w:t>
      </w:r>
      <w:r>
        <w:rPr>
          <w:color w:val="231F20"/>
          <w:w w:val="105"/>
        </w:rPr>
        <w:t>necesarias</w:t>
      </w:r>
      <w:r>
        <w:rPr>
          <w:color w:val="231F20"/>
          <w:spacing w:val="-31"/>
          <w:w w:val="105"/>
        </w:rPr>
        <w:t> </w:t>
      </w:r>
      <w:r>
        <w:rPr>
          <w:color w:val="231F20"/>
          <w:w w:val="105"/>
        </w:rPr>
        <w:t>para</w:t>
      </w:r>
      <w:r>
        <w:rPr>
          <w:color w:val="231F20"/>
          <w:spacing w:val="-31"/>
          <w:w w:val="105"/>
        </w:rPr>
        <w:t> </w:t>
      </w:r>
      <w:r>
        <w:rPr>
          <w:color w:val="231F20"/>
          <w:w w:val="105"/>
        </w:rPr>
        <w:t>estable- cer</w:t>
      </w:r>
      <w:r>
        <w:rPr>
          <w:color w:val="231F20"/>
          <w:spacing w:val="-37"/>
          <w:w w:val="105"/>
        </w:rPr>
        <w:t> </w:t>
      </w:r>
      <w:r>
        <w:rPr>
          <w:color w:val="231F20"/>
          <w:w w:val="105"/>
        </w:rPr>
        <w:t>hipótesis</w:t>
      </w:r>
      <w:r>
        <w:rPr>
          <w:color w:val="231F20"/>
          <w:spacing w:val="-37"/>
          <w:w w:val="105"/>
        </w:rPr>
        <w:t> </w:t>
      </w:r>
      <w:r>
        <w:rPr>
          <w:color w:val="231F20"/>
          <w:w w:val="105"/>
        </w:rPr>
        <w:t>de</w:t>
      </w:r>
      <w:r>
        <w:rPr>
          <w:color w:val="231F20"/>
          <w:spacing w:val="-37"/>
          <w:w w:val="105"/>
        </w:rPr>
        <w:t> </w:t>
      </w:r>
      <w:r>
        <w:rPr>
          <w:color w:val="231F20"/>
          <w:w w:val="105"/>
        </w:rPr>
        <w:t>convivencia</w:t>
      </w:r>
      <w:r>
        <w:rPr>
          <w:color w:val="231F20"/>
          <w:spacing w:val="-37"/>
          <w:w w:val="105"/>
        </w:rPr>
        <w:t> </w:t>
      </w:r>
      <w:r>
        <w:rPr>
          <w:color w:val="231F20"/>
          <w:w w:val="105"/>
        </w:rPr>
        <w:t>destinadas</w:t>
      </w:r>
      <w:r>
        <w:rPr>
          <w:color w:val="231F20"/>
          <w:spacing w:val="-37"/>
          <w:w w:val="105"/>
        </w:rPr>
        <w:t> </w:t>
      </w:r>
      <w:r>
        <w:rPr>
          <w:color w:val="231F20"/>
          <w:w w:val="105"/>
        </w:rPr>
        <w:t>a</w:t>
      </w:r>
      <w:r>
        <w:rPr>
          <w:color w:val="231F20"/>
          <w:spacing w:val="-37"/>
          <w:w w:val="105"/>
        </w:rPr>
        <w:t> </w:t>
      </w:r>
      <w:r>
        <w:rPr>
          <w:color w:val="231F20"/>
          <w:w w:val="105"/>
        </w:rPr>
        <w:t>los</w:t>
      </w:r>
      <w:r>
        <w:rPr>
          <w:color w:val="231F20"/>
          <w:spacing w:val="-37"/>
          <w:w w:val="105"/>
        </w:rPr>
        <w:t> </w:t>
      </w:r>
      <w:r>
        <w:rPr>
          <w:color w:val="231F20"/>
          <w:w w:val="105"/>
        </w:rPr>
        <w:t>espacios–tiempos</w:t>
      </w:r>
      <w:r>
        <w:rPr>
          <w:color w:val="231F20"/>
          <w:spacing w:val="-37"/>
          <w:w w:val="105"/>
        </w:rPr>
        <w:t> </w:t>
      </w:r>
      <w:r>
        <w:rPr>
          <w:color w:val="231F20"/>
          <w:w w:val="105"/>
        </w:rPr>
        <w:t>necesarios para hacer política. Otros espacios, tiempos y “personas” en</w:t>
      </w:r>
      <w:r>
        <w:rPr>
          <w:color w:val="231F20"/>
          <w:spacing w:val="51"/>
          <w:w w:val="105"/>
        </w:rPr>
        <w:t> </w:t>
      </w:r>
      <w:r>
        <w:rPr>
          <w:color w:val="231F20"/>
          <w:w w:val="105"/>
        </w:rPr>
        <w:t>búsqueda</w:t>
      </w:r>
    </w:p>
    <w:p>
      <w:pPr>
        <w:spacing w:line="204" w:lineRule="exact" w:before="455"/>
        <w:ind w:left="117" w:right="101" w:firstLine="0"/>
        <w:jc w:val="both"/>
        <w:rPr>
          <w:rFonts w:ascii="Calibri" w:hAnsi="Calibri"/>
          <w:sz w:val="17"/>
        </w:rPr>
      </w:pPr>
      <w:r>
        <w:rPr/>
        <w:pict>
          <v:line style="position:absolute;mso-position-horizontal-relative:page;mso-position-vertical-relative:paragraph;z-index:6016" from="70.866096pt,20.709999pt" to="184.252096pt,20.709999pt" stroked="true" strokeweight=".3pt" strokecolor="#231f20">
            <w10:wrap type="none"/>
          </v:line>
        </w:pict>
      </w:r>
      <w:r>
        <w:rPr>
          <w:rFonts w:ascii="Calibri" w:hAnsi="Calibri"/>
          <w:color w:val="231F20"/>
          <w:position w:val="6"/>
          <w:sz w:val="10"/>
        </w:rPr>
        <w:t>46 </w:t>
      </w:r>
      <w:r>
        <w:rPr>
          <w:rFonts w:ascii="Calibri" w:hAnsi="Calibri"/>
          <w:color w:val="231F20"/>
          <w:sz w:val="17"/>
        </w:rPr>
        <w:t>P. Rudan, </w:t>
      </w:r>
      <w:r>
        <w:rPr>
          <w:rFonts w:ascii="Calibri" w:hAnsi="Calibri"/>
          <w:i/>
          <w:color w:val="231F20"/>
          <w:sz w:val="17"/>
        </w:rPr>
        <w:t>Por la senda del Occidente. Republicanismo y constitución en el pensamiento político de </w:t>
      </w:r>
      <w:r>
        <w:rPr>
          <w:rFonts w:ascii="Calibri" w:hAnsi="Calibri"/>
          <w:i/>
          <w:color w:val="231F20"/>
          <w:sz w:val="17"/>
        </w:rPr>
        <w:t>Simón Bolívar</w:t>
      </w:r>
      <w:r>
        <w:rPr>
          <w:rFonts w:ascii="Calibri" w:hAnsi="Calibri"/>
          <w:color w:val="231F20"/>
          <w:sz w:val="17"/>
        </w:rPr>
        <w:t>, Madrid, Biblioteca nueva, 2007.</w:t>
      </w:r>
    </w:p>
    <w:p>
      <w:pPr>
        <w:spacing w:line="204" w:lineRule="exact" w:before="0"/>
        <w:ind w:left="117" w:right="101" w:firstLine="0"/>
        <w:jc w:val="both"/>
        <w:rPr>
          <w:rFonts w:ascii="Calibri" w:hAnsi="Calibri"/>
          <w:sz w:val="17"/>
        </w:rPr>
      </w:pPr>
      <w:r>
        <w:rPr>
          <w:rFonts w:ascii="Calibri" w:hAnsi="Calibri"/>
          <w:color w:val="231F20"/>
          <w:position w:val="6"/>
          <w:sz w:val="10"/>
        </w:rPr>
        <w:t>47  </w:t>
      </w:r>
      <w:r>
        <w:rPr>
          <w:rFonts w:ascii="Calibri" w:hAnsi="Calibri"/>
          <w:color w:val="231F20"/>
          <w:sz w:val="17"/>
        </w:rPr>
        <w:t>E. </w:t>
      </w:r>
      <w:r>
        <w:rPr>
          <w:rFonts w:ascii="Calibri" w:hAnsi="Calibri"/>
          <w:color w:val="231F20"/>
          <w:spacing w:val="-6"/>
          <w:sz w:val="17"/>
        </w:rPr>
        <w:t>W. </w:t>
      </w:r>
      <w:r>
        <w:rPr>
          <w:rFonts w:ascii="Calibri" w:hAnsi="Calibri"/>
          <w:color w:val="231F20"/>
          <w:sz w:val="17"/>
        </w:rPr>
        <w:t>Böckenförde, „Organ, Organismus, Organisation, politischer Körper“, O. Brunner, </w:t>
      </w:r>
      <w:r>
        <w:rPr>
          <w:rFonts w:ascii="Calibri" w:hAnsi="Calibri"/>
          <w:color w:val="231F20"/>
          <w:spacing w:val="-6"/>
          <w:sz w:val="17"/>
        </w:rPr>
        <w:t>W. </w:t>
      </w:r>
      <w:r>
        <w:rPr>
          <w:rFonts w:ascii="Calibri" w:hAnsi="Calibri"/>
          <w:color w:val="231F20"/>
          <w:sz w:val="17"/>
        </w:rPr>
        <w:t>Conze  y R. Koselleck (Eds.), </w:t>
      </w:r>
      <w:r>
        <w:rPr>
          <w:rFonts w:ascii="Calibri" w:hAnsi="Calibri"/>
          <w:i/>
          <w:color w:val="231F20"/>
          <w:sz w:val="17"/>
        </w:rPr>
        <w:t>Geschichtliche Grundbegriffe. Historisches Lexikon zur politisch</w:t>
      </w:r>
      <w:r>
        <w:rPr>
          <w:rFonts w:ascii="Calibri" w:hAnsi="Calibri"/>
          <w:color w:val="231F20"/>
          <w:sz w:val="17"/>
        </w:rPr>
        <w:t>–</w:t>
      </w:r>
      <w:r>
        <w:rPr>
          <w:rFonts w:ascii="Calibri" w:hAnsi="Calibri"/>
          <w:i/>
          <w:color w:val="231F20"/>
          <w:sz w:val="17"/>
        </w:rPr>
        <w:t>sozialen Spra- </w:t>
      </w:r>
      <w:r>
        <w:rPr>
          <w:rFonts w:ascii="Calibri" w:hAnsi="Calibri"/>
          <w:i/>
          <w:color w:val="231F20"/>
          <w:sz w:val="17"/>
        </w:rPr>
        <w:t>che in Deutschland</w:t>
      </w:r>
      <w:r>
        <w:rPr>
          <w:rFonts w:ascii="Calibri" w:hAnsi="Calibri"/>
          <w:color w:val="231F20"/>
          <w:sz w:val="17"/>
        </w:rPr>
        <w:t>, Stuttgart, Klett–Cotta, 1978, pp.</w:t>
      </w:r>
      <w:r>
        <w:rPr>
          <w:rFonts w:ascii="Calibri" w:hAnsi="Calibri"/>
          <w:color w:val="231F20"/>
          <w:spacing w:val="26"/>
          <w:sz w:val="17"/>
        </w:rPr>
        <w:t> </w:t>
      </w:r>
      <w:r>
        <w:rPr>
          <w:rFonts w:ascii="Calibri" w:hAnsi="Calibri"/>
          <w:color w:val="231F20"/>
          <w:sz w:val="17"/>
        </w:rPr>
        <w:t>519–622.</w:t>
      </w:r>
    </w:p>
    <w:p>
      <w:pPr>
        <w:spacing w:after="0" w:line="204" w:lineRule="exact"/>
        <w:jc w:val="both"/>
        <w:rPr>
          <w:rFonts w:ascii="Calibri" w:hAnsi="Calibri"/>
          <w:sz w:val="17"/>
        </w:rPr>
        <w:sectPr>
          <w:pgSz w:w="9640" w:h="13890"/>
          <w:pgMar w:top="0" w:bottom="280" w:left="1300" w:right="1200"/>
        </w:sectPr>
      </w:pPr>
    </w:p>
    <w:p>
      <w:pPr>
        <w:pStyle w:val="BodyText"/>
        <w:spacing w:line="247" w:lineRule="auto" w:before="107"/>
        <w:ind w:left="103" w:right="115"/>
        <w:jc w:val="both"/>
      </w:pPr>
      <w:r>
        <w:rPr>
          <w:color w:val="231F20"/>
        </w:rPr>
        <w:t>de nuevas identidades, “usanzas” y similitudes, sin las cuales ni siquiera las viejas convicciones adquiridas sirven ya. Es necesario dedicarse a esta búsqueda con un método diferente al que estamos acostumbrados, que  es el histórico–occidental. Deberá ser ciertamente un método predispues- to para captar la pluralidad de los hechos y de los movimientos, más que  a aislar o evidenciar tipológicamente las características específicas de un solo caso considerado o propuesto como dominante; para nosotros los occidentales, este caso es precisamente el</w:t>
      </w:r>
      <w:r>
        <w:rPr>
          <w:color w:val="231F20"/>
          <w:spacing w:val="28"/>
        </w:rPr>
        <w:t> </w:t>
      </w:r>
      <w:r>
        <w:rPr>
          <w:color w:val="231F20"/>
        </w:rPr>
        <w:t>Estado.</w:t>
      </w:r>
    </w:p>
    <w:p>
      <w:pPr>
        <w:pStyle w:val="BodyText"/>
        <w:spacing w:line="247" w:lineRule="auto"/>
        <w:ind w:left="103" w:right="114" w:firstLine="566"/>
        <w:jc w:val="both"/>
      </w:pPr>
      <w:r>
        <w:rPr>
          <w:color w:val="231F20"/>
        </w:rPr>
        <w:t>Para citar sólo un pequeño ejemplo, me referiré a la yuxtaposición de</w:t>
      </w:r>
      <w:r>
        <w:rPr>
          <w:color w:val="231F20"/>
          <w:spacing w:val="-4"/>
        </w:rPr>
        <w:t> </w:t>
      </w:r>
      <w:r>
        <w:rPr>
          <w:color w:val="231F20"/>
        </w:rPr>
        <w:t>rural</w:t>
      </w:r>
      <w:r>
        <w:rPr>
          <w:color w:val="231F20"/>
          <w:spacing w:val="-4"/>
        </w:rPr>
        <w:t> </w:t>
      </w:r>
      <w:r>
        <w:rPr>
          <w:color w:val="231F20"/>
        </w:rPr>
        <w:t>y</w:t>
      </w:r>
      <w:r>
        <w:rPr>
          <w:color w:val="231F20"/>
          <w:spacing w:val="-4"/>
        </w:rPr>
        <w:t> </w:t>
      </w:r>
      <w:r>
        <w:rPr>
          <w:color w:val="231F20"/>
        </w:rPr>
        <w:t>urbano,</w:t>
      </w:r>
      <w:r>
        <w:rPr>
          <w:color w:val="231F20"/>
          <w:spacing w:val="-4"/>
        </w:rPr>
        <w:t> </w:t>
      </w:r>
      <w:r>
        <w:rPr>
          <w:color w:val="231F20"/>
        </w:rPr>
        <w:t>de</w:t>
      </w:r>
      <w:r>
        <w:rPr>
          <w:color w:val="231F20"/>
          <w:spacing w:val="-4"/>
        </w:rPr>
        <w:t> </w:t>
      </w:r>
      <w:r>
        <w:rPr>
          <w:color w:val="231F20"/>
        </w:rPr>
        <w:t>oral</w:t>
      </w:r>
      <w:r>
        <w:rPr>
          <w:color w:val="231F20"/>
          <w:spacing w:val="-4"/>
        </w:rPr>
        <w:t> </w:t>
      </w:r>
      <w:r>
        <w:rPr>
          <w:color w:val="231F20"/>
        </w:rPr>
        <w:t>y</w:t>
      </w:r>
      <w:r>
        <w:rPr>
          <w:color w:val="231F20"/>
          <w:spacing w:val="-4"/>
        </w:rPr>
        <w:t> </w:t>
      </w:r>
      <w:r>
        <w:rPr>
          <w:color w:val="231F20"/>
        </w:rPr>
        <w:t>escrito,</w:t>
      </w:r>
      <w:r>
        <w:rPr>
          <w:color w:val="231F20"/>
          <w:spacing w:val="-4"/>
        </w:rPr>
        <w:t> </w:t>
      </w:r>
      <w:r>
        <w:rPr>
          <w:color w:val="231F20"/>
        </w:rPr>
        <w:t>de</w:t>
      </w:r>
      <w:r>
        <w:rPr>
          <w:color w:val="231F20"/>
          <w:spacing w:val="-4"/>
        </w:rPr>
        <w:t> </w:t>
      </w:r>
      <w:r>
        <w:rPr>
          <w:color w:val="231F20"/>
        </w:rPr>
        <w:t>participativo</w:t>
      </w:r>
      <w:r>
        <w:rPr>
          <w:color w:val="231F20"/>
          <w:spacing w:val="-4"/>
        </w:rPr>
        <w:t> </w:t>
      </w:r>
      <w:r>
        <w:rPr>
          <w:color w:val="231F20"/>
        </w:rPr>
        <w:t>y</w:t>
      </w:r>
      <w:r>
        <w:rPr>
          <w:color w:val="231F20"/>
          <w:spacing w:val="-4"/>
        </w:rPr>
        <w:t> </w:t>
      </w:r>
      <w:r>
        <w:rPr>
          <w:color w:val="231F20"/>
        </w:rPr>
        <w:t>decisional</w:t>
      </w:r>
      <w:r>
        <w:rPr>
          <w:color w:val="231F20"/>
          <w:spacing w:val="-4"/>
        </w:rPr>
        <w:t> </w:t>
      </w:r>
      <w:r>
        <w:rPr>
          <w:color w:val="231F20"/>
        </w:rPr>
        <w:t>y</w:t>
      </w:r>
      <w:r>
        <w:rPr>
          <w:color w:val="231F20"/>
          <w:spacing w:val="-4"/>
        </w:rPr>
        <w:t> </w:t>
      </w:r>
      <w:r>
        <w:rPr>
          <w:color w:val="231F20"/>
        </w:rPr>
        <w:t>así</w:t>
      </w:r>
      <w:r>
        <w:rPr>
          <w:color w:val="231F20"/>
          <w:spacing w:val="-4"/>
        </w:rPr>
        <w:t> </w:t>
      </w:r>
      <w:r>
        <w:rPr>
          <w:color w:val="231F20"/>
        </w:rPr>
        <w:t>suce- sivamente. En todos estos y en casos análogos, como en aquellos de</w:t>
      </w:r>
      <w:r>
        <w:rPr>
          <w:color w:val="231F20"/>
          <w:spacing w:val="-24"/>
        </w:rPr>
        <w:t> </w:t>
      </w:r>
      <w:r>
        <w:rPr>
          <w:color w:val="231F20"/>
        </w:rPr>
        <w:t>“pro- porcionalidad” que he mencionado arriba, me parece hasta banal observar que el criterio por utilizar para entender es ese, ya tantas veces evocado, de “medida”. Para mí, ésta significa la capacidad, buscada, construida y continuamente alimentada, de mantener la tensión entre ellos, según co- herencia y voluntad, la conciencia individual de las cosas de los otros (me- dida de sí), la experimentación y la validación como emblemático método de tecno–ciencia (medida cognitiva) y la ciudadanía como procedimiento administrativo comunitario (medida administrativa). La alineación de las tres medidas es históricamente una cosa difícil y rara, así como no</w:t>
      </w:r>
      <w:r>
        <w:rPr>
          <w:color w:val="231F20"/>
          <w:spacing w:val="-37"/>
        </w:rPr>
        <w:t> </w:t>
      </w:r>
      <w:r>
        <w:rPr>
          <w:color w:val="231F20"/>
        </w:rPr>
        <w:t>durade- ra.</w:t>
      </w:r>
      <w:r>
        <w:rPr>
          <w:color w:val="231F20"/>
          <w:spacing w:val="-14"/>
        </w:rPr>
        <w:t> </w:t>
      </w:r>
      <w:r>
        <w:rPr>
          <w:color w:val="231F20"/>
        </w:rPr>
        <w:t>Esto</w:t>
      </w:r>
      <w:r>
        <w:rPr>
          <w:color w:val="231F20"/>
          <w:spacing w:val="-14"/>
        </w:rPr>
        <w:t> </w:t>
      </w:r>
      <w:r>
        <w:rPr>
          <w:color w:val="231F20"/>
        </w:rPr>
        <w:t>se</w:t>
      </w:r>
      <w:r>
        <w:rPr>
          <w:color w:val="231F20"/>
          <w:spacing w:val="-13"/>
        </w:rPr>
        <w:t> </w:t>
      </w:r>
      <w:r>
        <w:rPr>
          <w:color w:val="231F20"/>
        </w:rPr>
        <w:t>cumple,</w:t>
      </w:r>
      <w:r>
        <w:rPr>
          <w:color w:val="231F20"/>
          <w:spacing w:val="-13"/>
        </w:rPr>
        <w:t> </w:t>
      </w:r>
      <w:r>
        <w:rPr>
          <w:color w:val="231F20"/>
        </w:rPr>
        <w:t>al</w:t>
      </w:r>
      <w:r>
        <w:rPr>
          <w:color w:val="231F20"/>
          <w:spacing w:val="-13"/>
        </w:rPr>
        <w:t> </w:t>
      </w:r>
      <w:r>
        <w:rPr>
          <w:color w:val="231F20"/>
          <w:spacing w:val="-3"/>
        </w:rPr>
        <w:t>parecer,</w:t>
      </w:r>
      <w:r>
        <w:rPr>
          <w:color w:val="231F20"/>
          <w:spacing w:val="-14"/>
        </w:rPr>
        <w:t> </w:t>
      </w:r>
      <w:r>
        <w:rPr>
          <w:color w:val="231F20"/>
        </w:rPr>
        <w:t>entre</w:t>
      </w:r>
      <w:r>
        <w:rPr>
          <w:color w:val="231F20"/>
          <w:spacing w:val="-14"/>
        </w:rPr>
        <w:t> </w:t>
      </w:r>
      <w:r>
        <w:rPr>
          <w:color w:val="231F20"/>
        </w:rPr>
        <w:t>una</w:t>
      </w:r>
      <w:r>
        <w:rPr>
          <w:color w:val="231F20"/>
          <w:spacing w:val="-13"/>
        </w:rPr>
        <w:t> </w:t>
      </w:r>
      <w:r>
        <w:rPr>
          <w:color w:val="231F20"/>
        </w:rPr>
        <w:t>crisis</w:t>
      </w:r>
      <w:r>
        <w:rPr>
          <w:color w:val="231F20"/>
          <w:spacing w:val="-14"/>
        </w:rPr>
        <w:t> </w:t>
      </w:r>
      <w:r>
        <w:rPr>
          <w:color w:val="231F20"/>
        </w:rPr>
        <w:t>y</w:t>
      </w:r>
      <w:r>
        <w:rPr>
          <w:color w:val="231F20"/>
          <w:spacing w:val="-13"/>
        </w:rPr>
        <w:t> </w:t>
      </w:r>
      <w:r>
        <w:rPr>
          <w:color w:val="231F20"/>
        </w:rPr>
        <w:t>otra,</w:t>
      </w:r>
      <w:r>
        <w:rPr>
          <w:color w:val="231F20"/>
          <w:spacing w:val="-13"/>
        </w:rPr>
        <w:t> </w:t>
      </w:r>
      <w:r>
        <w:rPr>
          <w:color w:val="231F20"/>
        </w:rPr>
        <w:t>pero</w:t>
      </w:r>
      <w:r>
        <w:rPr>
          <w:color w:val="231F20"/>
          <w:spacing w:val="-14"/>
        </w:rPr>
        <w:t> </w:t>
      </w:r>
      <w:r>
        <w:rPr>
          <w:color w:val="231F20"/>
        </w:rPr>
        <w:t>pensándolo</w:t>
      </w:r>
      <w:r>
        <w:rPr>
          <w:color w:val="231F20"/>
          <w:spacing w:val="-14"/>
        </w:rPr>
        <w:t> </w:t>
      </w:r>
      <w:r>
        <w:rPr>
          <w:color w:val="231F20"/>
        </w:rPr>
        <w:t>bien, es el motor mismo de crisis, en el sentido de que, apenas alcanzado ese nexo,</w:t>
      </w:r>
      <w:r>
        <w:rPr>
          <w:color w:val="231F20"/>
          <w:spacing w:val="-13"/>
        </w:rPr>
        <w:t> </w:t>
      </w:r>
      <w:r>
        <w:rPr>
          <w:color w:val="231F20"/>
        </w:rPr>
        <w:t>cede</w:t>
      </w:r>
      <w:r>
        <w:rPr>
          <w:color w:val="231F20"/>
          <w:spacing w:val="-13"/>
        </w:rPr>
        <w:t> </w:t>
      </w:r>
      <w:r>
        <w:rPr>
          <w:color w:val="231F20"/>
        </w:rPr>
        <w:t>el</w:t>
      </w:r>
      <w:r>
        <w:rPr>
          <w:color w:val="231F20"/>
          <w:spacing w:val="-13"/>
        </w:rPr>
        <w:t> </w:t>
      </w:r>
      <w:r>
        <w:rPr>
          <w:color w:val="231F20"/>
        </w:rPr>
        <w:t>paso</w:t>
      </w:r>
      <w:r>
        <w:rPr>
          <w:color w:val="231F20"/>
          <w:spacing w:val="-13"/>
        </w:rPr>
        <w:t> </w:t>
      </w:r>
      <w:r>
        <w:rPr>
          <w:color w:val="231F20"/>
        </w:rPr>
        <w:t>a</w:t>
      </w:r>
      <w:r>
        <w:rPr>
          <w:color w:val="231F20"/>
          <w:spacing w:val="-13"/>
        </w:rPr>
        <w:t> </w:t>
      </w:r>
      <w:r>
        <w:rPr>
          <w:color w:val="231F20"/>
        </w:rPr>
        <w:t>nuevos</w:t>
      </w:r>
      <w:r>
        <w:rPr>
          <w:color w:val="231F20"/>
          <w:spacing w:val="-13"/>
        </w:rPr>
        <w:t> </w:t>
      </w:r>
      <w:r>
        <w:rPr>
          <w:color w:val="231F20"/>
        </w:rPr>
        <w:t>ajustes,</w:t>
      </w:r>
      <w:r>
        <w:rPr>
          <w:color w:val="231F20"/>
          <w:spacing w:val="-13"/>
        </w:rPr>
        <w:t> </w:t>
      </w:r>
      <w:r>
        <w:rPr>
          <w:color w:val="231F20"/>
        </w:rPr>
        <w:t>porque</w:t>
      </w:r>
      <w:r>
        <w:rPr>
          <w:color w:val="231F20"/>
          <w:spacing w:val="-13"/>
        </w:rPr>
        <w:t> </w:t>
      </w:r>
      <w:r>
        <w:rPr>
          <w:color w:val="231F20"/>
        </w:rPr>
        <w:t>se</w:t>
      </w:r>
      <w:r>
        <w:rPr>
          <w:color w:val="231F20"/>
          <w:spacing w:val="-13"/>
        </w:rPr>
        <w:t> </w:t>
      </w:r>
      <w:r>
        <w:rPr>
          <w:color w:val="231F20"/>
        </w:rPr>
        <w:t>funda</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crítica</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pues- ta</w:t>
      </w:r>
      <w:r>
        <w:rPr>
          <w:color w:val="231F20"/>
          <w:spacing w:val="-6"/>
        </w:rPr>
        <w:t> </w:t>
      </w:r>
      <w:r>
        <w:rPr>
          <w:color w:val="231F20"/>
        </w:rPr>
        <w:t>en</w:t>
      </w:r>
      <w:r>
        <w:rPr>
          <w:color w:val="231F20"/>
          <w:spacing w:val="-6"/>
        </w:rPr>
        <w:t> </w:t>
      </w:r>
      <w:r>
        <w:rPr>
          <w:color w:val="231F20"/>
        </w:rPr>
        <w:t>juego</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existente,</w:t>
      </w:r>
      <w:r>
        <w:rPr>
          <w:color w:val="231F20"/>
          <w:spacing w:val="-6"/>
        </w:rPr>
        <w:t> </w:t>
      </w:r>
      <w:r>
        <w:rPr>
          <w:color w:val="231F20"/>
        </w:rPr>
        <w:t>hacia</w:t>
      </w:r>
      <w:r>
        <w:rPr>
          <w:color w:val="231F20"/>
          <w:spacing w:val="-6"/>
        </w:rPr>
        <w:t> </w:t>
      </w:r>
      <w:r>
        <w:rPr>
          <w:color w:val="231F20"/>
        </w:rPr>
        <w:t>nuevos</w:t>
      </w:r>
      <w:r>
        <w:rPr>
          <w:color w:val="231F20"/>
          <w:spacing w:val="-6"/>
        </w:rPr>
        <w:t> </w:t>
      </w:r>
      <w:r>
        <w:rPr>
          <w:color w:val="231F20"/>
        </w:rPr>
        <w:t>confines</w:t>
      </w:r>
      <w:r>
        <w:rPr>
          <w:color w:val="231F20"/>
          <w:spacing w:val="-6"/>
        </w:rPr>
        <w:t> </w:t>
      </w:r>
      <w:r>
        <w:rPr>
          <w:color w:val="231F20"/>
        </w:rPr>
        <w:t>por</w:t>
      </w:r>
      <w:r>
        <w:rPr>
          <w:color w:val="231F20"/>
          <w:spacing w:val="-6"/>
        </w:rPr>
        <w:t> </w:t>
      </w:r>
      <w:r>
        <w:rPr>
          <w:color w:val="231F20"/>
        </w:rPr>
        <w:t>alcanzar</w:t>
      </w:r>
      <w:r>
        <w:rPr>
          <w:color w:val="231F20"/>
          <w:spacing w:val="-6"/>
        </w:rPr>
        <w:t> </w:t>
      </w:r>
      <w:r>
        <w:rPr>
          <w:color w:val="231F20"/>
        </w:rPr>
        <w:t>y</w:t>
      </w:r>
      <w:r>
        <w:rPr>
          <w:color w:val="231F20"/>
          <w:spacing w:val="-6"/>
        </w:rPr>
        <w:t> </w:t>
      </w:r>
      <w:r>
        <w:rPr>
          <w:color w:val="231F20"/>
          <w:spacing w:val="-3"/>
        </w:rPr>
        <w:t>superar.</w:t>
      </w:r>
    </w:p>
    <w:p>
      <w:pPr>
        <w:pStyle w:val="BodyText"/>
        <w:spacing w:line="244" w:lineRule="auto"/>
        <w:ind w:left="103" w:right="115" w:firstLine="566"/>
        <w:jc w:val="both"/>
      </w:pPr>
      <w:r>
        <w:rPr>
          <w:color w:val="231F20"/>
        </w:rPr>
        <w:t>Para explicarme mejor y buscando ser entendido, trataré de acercar mi concepto de medida a otros dos que he recientemente encontrado y que también se refieren a situaciones y dependen de premisas lejanas a las mías. El primero es el concepto de </w:t>
      </w:r>
      <w:r>
        <w:rPr>
          <w:rFonts w:ascii="Arial" w:hAnsi="Arial"/>
          <w:i/>
          <w:color w:val="231F20"/>
        </w:rPr>
        <w:t>border</w:t>
      </w:r>
      <w:r>
        <w:rPr>
          <w:color w:val="231F20"/>
        </w:rPr>
        <w:t>, investigado intensivamente por Mezzadra y Neilson para una nueva lectura del fenómeno universal de la migración y del trabajo. Desde las primeras líneas de su libro, </w:t>
      </w:r>
      <w:r>
        <w:rPr>
          <w:rFonts w:ascii="Arial" w:hAnsi="Arial"/>
          <w:i/>
          <w:color w:val="231F20"/>
        </w:rPr>
        <w:t>border</w:t>
      </w:r>
      <w:r>
        <w:rPr>
          <w:rFonts w:ascii="Calibri" w:hAnsi="Calibri"/>
          <w:i/>
          <w:color w:val="231F20"/>
        </w:rPr>
        <w:t>, </w:t>
      </w:r>
      <w:r>
        <w:rPr>
          <w:color w:val="231F20"/>
        </w:rPr>
        <w:t>es definida como “demarcation [lines] between the sacred and the profane, good</w:t>
      </w:r>
      <w:r>
        <w:rPr>
          <w:color w:val="231F20"/>
          <w:spacing w:val="-5"/>
        </w:rPr>
        <w:t> </w:t>
      </w:r>
      <w:r>
        <w:rPr>
          <w:color w:val="231F20"/>
        </w:rPr>
        <w:t>and</w:t>
      </w:r>
      <w:r>
        <w:rPr>
          <w:color w:val="231F20"/>
          <w:spacing w:val="-5"/>
        </w:rPr>
        <w:t> </w:t>
      </w:r>
      <w:r>
        <w:rPr>
          <w:color w:val="231F20"/>
        </w:rPr>
        <w:t>evil,</w:t>
      </w:r>
      <w:r>
        <w:rPr>
          <w:color w:val="231F20"/>
          <w:spacing w:val="-5"/>
        </w:rPr>
        <w:t> </w:t>
      </w:r>
      <w:r>
        <w:rPr>
          <w:color w:val="231F20"/>
        </w:rPr>
        <w:t>private</w:t>
      </w:r>
      <w:r>
        <w:rPr>
          <w:color w:val="231F20"/>
          <w:spacing w:val="-5"/>
        </w:rPr>
        <w:t> </w:t>
      </w:r>
      <w:r>
        <w:rPr>
          <w:color w:val="231F20"/>
        </w:rPr>
        <w:t>and</w:t>
      </w:r>
      <w:r>
        <w:rPr>
          <w:color w:val="231F20"/>
          <w:spacing w:val="-5"/>
        </w:rPr>
        <w:t> </w:t>
      </w:r>
      <w:r>
        <w:rPr>
          <w:color w:val="231F20"/>
        </w:rPr>
        <w:t>public,</w:t>
      </w:r>
      <w:r>
        <w:rPr>
          <w:color w:val="231F20"/>
          <w:spacing w:val="-5"/>
        </w:rPr>
        <w:t> </w:t>
      </w:r>
      <w:r>
        <w:rPr>
          <w:color w:val="231F20"/>
        </w:rPr>
        <w:t>inside</w:t>
      </w:r>
      <w:r>
        <w:rPr>
          <w:color w:val="231F20"/>
          <w:spacing w:val="-5"/>
        </w:rPr>
        <w:t> </w:t>
      </w:r>
      <w:r>
        <w:rPr>
          <w:color w:val="231F20"/>
        </w:rPr>
        <w:t>and</w:t>
      </w:r>
      <w:r>
        <w:rPr>
          <w:color w:val="231F20"/>
          <w:spacing w:val="-5"/>
        </w:rPr>
        <w:t> </w:t>
      </w:r>
      <w:r>
        <w:rPr>
          <w:color w:val="231F20"/>
        </w:rPr>
        <w:t>outside”,</w:t>
      </w:r>
      <w:r>
        <w:rPr>
          <w:color w:val="231F20"/>
          <w:spacing w:val="-5"/>
        </w:rPr>
        <w:t> </w:t>
      </w:r>
      <w:r>
        <w:rPr>
          <w:color w:val="231F20"/>
        </w:rPr>
        <w:t>todas</w:t>
      </w:r>
      <w:r>
        <w:rPr>
          <w:color w:val="231F20"/>
          <w:spacing w:val="-5"/>
        </w:rPr>
        <w:t> </w:t>
      </w:r>
      <w:r>
        <w:rPr>
          <w:color w:val="231F20"/>
        </w:rPr>
        <w:t>esas</w:t>
      </w:r>
      <w:r>
        <w:rPr>
          <w:color w:val="231F20"/>
          <w:spacing w:val="-5"/>
        </w:rPr>
        <w:t> </w:t>
      </w:r>
      <w:r>
        <w:rPr>
          <w:color w:val="231F20"/>
        </w:rPr>
        <w:t>cosas</w:t>
      </w:r>
      <w:r>
        <w:rPr>
          <w:color w:val="231F20"/>
          <w:spacing w:val="-5"/>
        </w:rPr>
        <w:t> </w:t>
      </w:r>
      <w:r>
        <w:rPr>
          <w:color w:val="231F20"/>
        </w:rPr>
        <w:t>tie- nen</w:t>
      </w:r>
      <w:r>
        <w:rPr>
          <w:color w:val="231F20"/>
          <w:spacing w:val="-4"/>
        </w:rPr>
        <w:t> </w:t>
      </w:r>
      <w:r>
        <w:rPr>
          <w:color w:val="231F20"/>
        </w:rPr>
        <w:t>que</w:t>
      </w:r>
      <w:r>
        <w:rPr>
          <w:color w:val="231F20"/>
          <w:spacing w:val="-4"/>
        </w:rPr>
        <w:t> </w:t>
      </w:r>
      <w:r>
        <w:rPr>
          <w:color w:val="231F20"/>
        </w:rPr>
        <w:t>ver</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hombre</w:t>
      </w:r>
      <w:r>
        <w:rPr>
          <w:color w:val="231F20"/>
          <w:spacing w:val="-4"/>
        </w:rPr>
        <w:t> </w:t>
      </w:r>
      <w:r>
        <w:rPr>
          <w:color w:val="231F20"/>
        </w:rPr>
        <w:t>y</w:t>
      </w:r>
      <w:r>
        <w:rPr>
          <w:color w:val="231F20"/>
          <w:spacing w:val="-4"/>
        </w:rPr>
        <w:t> </w:t>
      </w:r>
      <w:r>
        <w:rPr>
          <w:color w:val="231F20"/>
        </w:rPr>
        <w:t>su</w:t>
      </w:r>
      <w:r>
        <w:rPr>
          <w:color w:val="231F20"/>
          <w:spacing w:val="-4"/>
        </w:rPr>
        <w:t> </w:t>
      </w:r>
      <w:r>
        <w:rPr>
          <w:rFonts w:ascii="Arial" w:hAnsi="Arial"/>
          <w:i/>
          <w:color w:val="231F20"/>
        </w:rPr>
        <w:t>dis</w:t>
      </w:r>
      <w:r>
        <w:rPr>
          <w:color w:val="231F20"/>
        </w:rPr>
        <w:t>–</w:t>
      </w:r>
      <w:r>
        <w:rPr>
          <w:rFonts w:ascii="Arial" w:hAnsi="Arial"/>
          <w:i/>
          <w:color w:val="231F20"/>
        </w:rPr>
        <w:t>location</w:t>
      </w:r>
      <w:r>
        <w:rPr>
          <w:color w:val="231F20"/>
        </w:rPr>
        <w:t>.</w:t>
      </w:r>
      <w:r>
        <w:rPr>
          <w:color w:val="231F20"/>
          <w:spacing w:val="-4"/>
        </w:rPr>
        <w:t> Tanto, </w:t>
      </w:r>
      <w:r>
        <w:rPr>
          <w:color w:val="231F20"/>
        </w:rPr>
        <w:t>que</w:t>
      </w:r>
      <w:r>
        <w:rPr>
          <w:color w:val="231F20"/>
          <w:spacing w:val="-4"/>
        </w:rPr>
        <w:t> </w:t>
      </w:r>
      <w:r>
        <w:rPr>
          <w:color w:val="231F20"/>
        </w:rPr>
        <w:t>los</w:t>
      </w:r>
      <w:r>
        <w:rPr>
          <w:color w:val="231F20"/>
          <w:spacing w:val="-4"/>
        </w:rPr>
        <w:t> </w:t>
      </w:r>
      <w:r>
        <w:rPr>
          <w:color w:val="231F20"/>
        </w:rPr>
        <w:t>autores</w:t>
      </w:r>
      <w:r>
        <w:rPr>
          <w:color w:val="231F20"/>
          <w:spacing w:val="-4"/>
        </w:rPr>
        <w:t> </w:t>
      </w:r>
      <w:r>
        <w:rPr>
          <w:color w:val="231F20"/>
        </w:rPr>
        <w:t>titulan el libro “border as method”, como generador por lo tanto de una serie de conceptos que apuntan a captar las “mutaciones de trabajo, espacio,</w:t>
      </w:r>
      <w:r>
        <w:rPr>
          <w:color w:val="231F20"/>
          <w:spacing w:val="-35"/>
        </w:rPr>
        <w:t> </w:t>
      </w:r>
      <w:r>
        <w:rPr>
          <w:color w:val="231F20"/>
        </w:rPr>
        <w:t>tiem- po, Derecho y ciudadanía que acompañan la proliferación de confines del mundo de hoy</w:t>
      </w:r>
      <w:r>
        <w:rPr>
          <w:color w:val="231F20"/>
          <w:position w:val="7"/>
          <w:sz w:val="12"/>
        </w:rPr>
        <w:t>48</w:t>
      </w:r>
      <w:r>
        <w:rPr>
          <w:color w:val="231F20"/>
        </w:rPr>
        <w:t>. “Que el hombre, a su vez, regrese a depender más que nunca</w:t>
      </w:r>
      <w:r>
        <w:rPr>
          <w:color w:val="231F20"/>
          <w:spacing w:val="-6"/>
        </w:rPr>
        <w:t> </w:t>
      </w:r>
      <w:r>
        <w:rPr>
          <w:color w:val="231F20"/>
        </w:rPr>
        <w:t>de</w:t>
      </w:r>
      <w:r>
        <w:rPr>
          <w:color w:val="231F20"/>
          <w:spacing w:val="-6"/>
        </w:rPr>
        <w:t> </w:t>
      </w:r>
      <w:r>
        <w:rPr>
          <w:color w:val="231F20"/>
        </w:rPr>
        <w:t>sus</w:t>
      </w:r>
      <w:r>
        <w:rPr>
          <w:color w:val="231F20"/>
          <w:spacing w:val="-6"/>
        </w:rPr>
        <w:t> </w:t>
      </w:r>
      <w:r>
        <w:rPr>
          <w:color w:val="231F20"/>
        </w:rPr>
        <w:t>principales</w:t>
      </w:r>
      <w:r>
        <w:rPr>
          <w:color w:val="231F20"/>
          <w:spacing w:val="-6"/>
        </w:rPr>
        <w:t> </w:t>
      </w:r>
      <w:r>
        <w:rPr>
          <w:color w:val="231F20"/>
        </w:rPr>
        <w:t>elementos</w:t>
      </w:r>
      <w:r>
        <w:rPr>
          <w:color w:val="231F20"/>
          <w:spacing w:val="-6"/>
        </w:rPr>
        <w:t> </w:t>
      </w:r>
      <w:r>
        <w:rPr>
          <w:color w:val="231F20"/>
        </w:rPr>
        <w:t>constitutivos</w:t>
      </w:r>
      <w:r>
        <w:rPr>
          <w:color w:val="231F20"/>
          <w:spacing w:val="-6"/>
        </w:rPr>
        <w:t> </w:t>
      </w:r>
      <w:r>
        <w:rPr>
          <w:color w:val="231F20"/>
        </w:rPr>
        <w:t>—que</w:t>
      </w:r>
      <w:r>
        <w:rPr>
          <w:color w:val="231F20"/>
          <w:spacing w:val="-6"/>
        </w:rPr>
        <w:t> </w:t>
      </w:r>
      <w:r>
        <w:rPr>
          <w:color w:val="231F20"/>
        </w:rPr>
        <w:t>son</w:t>
      </w:r>
      <w:r>
        <w:rPr>
          <w:color w:val="231F20"/>
          <w:spacing w:val="-6"/>
        </w:rPr>
        <w:t> </w:t>
      </w:r>
      <w:r>
        <w:rPr>
          <w:color w:val="231F20"/>
        </w:rPr>
        <w:t>su</w:t>
      </w:r>
      <w:r>
        <w:rPr>
          <w:color w:val="231F20"/>
          <w:spacing w:val="-6"/>
        </w:rPr>
        <w:t> </w:t>
      </w:r>
      <w:r>
        <w:rPr>
          <w:color w:val="231F20"/>
        </w:rPr>
        <w:t>ser</w:t>
      </w:r>
      <w:r>
        <w:rPr>
          <w:color w:val="231F20"/>
          <w:spacing w:val="-6"/>
        </w:rPr>
        <w:t> </w:t>
      </w:r>
      <w:r>
        <w:rPr>
          <w:color w:val="231F20"/>
        </w:rPr>
        <w:t>simultá-</w:t>
      </w:r>
    </w:p>
    <w:p>
      <w:pPr>
        <w:pStyle w:val="BodyText"/>
        <w:spacing w:before="4"/>
        <w:rPr>
          <w:sz w:val="26"/>
        </w:rPr>
      </w:pPr>
      <w:r>
        <w:rPr/>
        <w:pict>
          <v:line style="position:absolute;mso-position-horizontal-relative:page;mso-position-vertical-relative:paragraph;z-index:6040;mso-wrap-distance-left:0;mso-wrap-distance-right:0" from="65.1968pt,18.033724pt" to="178.5828pt,18.033724pt" stroked="true" strokeweight=".3pt" strokecolor="#231f20">
            <w10:wrap type="topAndBottom"/>
          </v:line>
        </w:pict>
      </w:r>
    </w:p>
    <w:p>
      <w:pPr>
        <w:spacing w:line="204" w:lineRule="exact" w:before="8"/>
        <w:ind w:left="103" w:right="115" w:firstLine="0"/>
        <w:jc w:val="both"/>
        <w:rPr>
          <w:rFonts w:ascii="Calibri" w:hAnsi="Calibri"/>
          <w:sz w:val="17"/>
        </w:rPr>
      </w:pPr>
      <w:r>
        <w:rPr>
          <w:rFonts w:ascii="Calibri" w:hAnsi="Calibri"/>
          <w:color w:val="231F20"/>
          <w:position w:val="6"/>
          <w:sz w:val="10"/>
        </w:rPr>
        <w:t>48 </w:t>
      </w:r>
      <w:r>
        <w:rPr>
          <w:rFonts w:ascii="Calibri" w:hAnsi="Calibri"/>
          <w:color w:val="231F20"/>
          <w:sz w:val="17"/>
        </w:rPr>
        <w:t>S. Mezzadra y B. Neilson, </w:t>
      </w:r>
      <w:r>
        <w:rPr>
          <w:rFonts w:ascii="Calibri" w:hAnsi="Calibri"/>
          <w:i/>
          <w:color w:val="231F20"/>
          <w:sz w:val="17"/>
        </w:rPr>
        <w:t>Border as Method, or, the Multiplication of Labor</w:t>
      </w:r>
      <w:r>
        <w:rPr>
          <w:rFonts w:ascii="Calibri" w:hAnsi="Calibri"/>
          <w:color w:val="231F20"/>
          <w:sz w:val="17"/>
        </w:rPr>
        <w:t>, Durham and London, Duke university press, 2013, sobre su traducción en italiano (</w:t>
      </w:r>
      <w:r>
        <w:rPr>
          <w:rFonts w:ascii="Calibri" w:hAnsi="Calibri"/>
          <w:i/>
          <w:color w:val="231F20"/>
          <w:sz w:val="17"/>
        </w:rPr>
        <w:t>Confini e frontiere. La moltiplicazione </w:t>
      </w:r>
      <w:r>
        <w:rPr>
          <w:rFonts w:ascii="Calibri" w:hAnsi="Calibri"/>
          <w:i/>
          <w:color w:val="231F20"/>
          <w:sz w:val="17"/>
        </w:rPr>
        <w:t>del lavoro nel mondo globale</w:t>
      </w:r>
      <w:r>
        <w:rPr>
          <w:rFonts w:ascii="Calibri" w:hAnsi="Calibri"/>
          <w:color w:val="231F20"/>
          <w:sz w:val="17"/>
        </w:rPr>
        <w:t>, Bologna, Il Mulino, 2014) </w:t>
      </w:r>
      <w:r>
        <w:rPr>
          <w:rFonts w:ascii="Calibri" w:hAnsi="Calibri"/>
          <w:i/>
          <w:color w:val="231F20"/>
          <w:sz w:val="17"/>
        </w:rPr>
        <w:t>cfr. </w:t>
      </w:r>
      <w:r>
        <w:rPr>
          <w:rFonts w:ascii="Calibri" w:hAnsi="Calibri"/>
          <w:color w:val="231F20"/>
          <w:sz w:val="17"/>
        </w:rPr>
        <w:t>A. Negri, </w:t>
      </w:r>
      <w:r>
        <w:rPr>
          <w:rFonts w:ascii="Calibri" w:hAnsi="Calibri"/>
          <w:i/>
          <w:color w:val="231F20"/>
          <w:sz w:val="17"/>
        </w:rPr>
        <w:t>Il diritto alla fuga</w:t>
      </w:r>
      <w:r>
        <w:rPr>
          <w:rFonts w:ascii="Calibri" w:hAnsi="Calibri"/>
          <w:color w:val="231F20"/>
          <w:sz w:val="17"/>
        </w:rPr>
        <w:t>, en “Il Mani- festo” del 08–07–2014.</w:t>
      </w:r>
    </w:p>
    <w:p>
      <w:pPr>
        <w:pStyle w:val="BodyText"/>
        <w:rPr>
          <w:rFonts w:ascii="Calibri"/>
          <w:sz w:val="20"/>
        </w:rPr>
      </w:pPr>
    </w:p>
    <w:p>
      <w:pPr>
        <w:pStyle w:val="BodyText"/>
        <w:spacing w:before="1"/>
        <w:rPr>
          <w:rFonts w:ascii="Calibri"/>
          <w:sz w:val="28"/>
        </w:rPr>
      </w:pPr>
    </w:p>
    <w:p>
      <w:pPr>
        <w:tabs>
          <w:tab w:pos="1331" w:val="left" w:leader="none"/>
        </w:tabs>
        <w:spacing w:before="69"/>
        <w:ind w:left="226" w:right="0" w:firstLine="0"/>
        <w:jc w:val="left"/>
        <w:rPr>
          <w:rFonts w:ascii="Calibri"/>
          <w:sz w:val="16"/>
        </w:rPr>
      </w:pPr>
      <w:r>
        <w:rPr/>
        <w:pict>
          <v:group style="position:absolute;margin-left:98.787804pt;margin-top:-3.308812pt;width:20.4pt;height:43pt;mso-position-horizontal-relative:page;mso-position-vertical-relative:paragraph;z-index:-169336" coordorigin="1976,-66" coordsize="408,860">
            <v:line style="position:absolute" from="2225,73" to="2225,789" stroked="true" strokeweight=".35pt" strokecolor="#231f20"/>
            <v:shape style="position:absolute;left:2193;top:-13;width:190;height:445" type="#_x0000_t75" stroked="false">
              <v:imagedata r:id="rId40" o:title=""/>
            </v:shape>
            <v:shape style="position:absolute;left:1976;top:-66;width:250;height:502" type="#_x0000_t75" stroked="false">
              <v:imagedata r:id="rId41" o:title=""/>
            </v:shape>
            <w10:wrap type="none"/>
          </v:group>
        </w:pict>
      </w:r>
      <w:r>
        <w:rPr>
          <w:rFonts w:ascii="Arial"/>
          <w:color w:val="414042"/>
          <w:position w:val="-4"/>
          <w:sz w:val="20"/>
        </w:rPr>
        <w:t>112</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3924" w:right="0" w:firstLine="0"/>
        <w:jc w:val="left"/>
        <w:rPr>
          <w:rFonts w:ascii="Arial" w:hAnsi="Arial"/>
          <w:sz w:val="20"/>
        </w:rPr>
      </w:pPr>
      <w:r>
        <w:rPr/>
        <w:pict>
          <v:group style="position:absolute;margin-left:383.821014pt;margin-top:-25.479271pt;width:8.65pt;height:41pt;mso-position-horizontal-relative:page;mso-position-vertical-relative:paragraph;z-index:-16928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EL</w:t>
      </w:r>
      <w:r>
        <w:rPr>
          <w:rFonts w:ascii="Lucida Sans Unicode" w:hAnsi="Lucida Sans Unicode"/>
          <w:color w:val="6D6E71"/>
          <w:spacing w:val="-25"/>
          <w:sz w:val="14"/>
        </w:rPr>
        <w:t> </w:t>
      </w:r>
      <w:r>
        <w:rPr>
          <w:rFonts w:ascii="Lucida Sans Unicode" w:hAnsi="Lucida Sans Unicode"/>
          <w:color w:val="6D6E71"/>
          <w:sz w:val="14"/>
        </w:rPr>
        <w:t>ESTADO</w:t>
      </w:r>
      <w:r>
        <w:rPr>
          <w:rFonts w:ascii="Lucida Sans Unicode" w:hAnsi="Lucida Sans Unicode"/>
          <w:color w:val="6D6E71"/>
          <w:spacing w:val="-25"/>
          <w:sz w:val="14"/>
        </w:rPr>
        <w:t> </w:t>
      </w:r>
      <w:r>
        <w:rPr>
          <w:rFonts w:ascii="Lucida Sans Unicode" w:hAnsi="Lucida Sans Unicode"/>
          <w:color w:val="6D6E71"/>
          <w:sz w:val="14"/>
        </w:rPr>
        <w:t>MODERNO</w:t>
      </w:r>
      <w:r>
        <w:rPr>
          <w:rFonts w:ascii="Lucida Sans Unicode" w:hAnsi="Lucida Sans Unicode"/>
          <w:color w:val="6D6E71"/>
          <w:spacing w:val="-25"/>
          <w:sz w:val="14"/>
        </w:rPr>
        <w:t> </w:t>
      </w:r>
      <w:r>
        <w:rPr>
          <w:rFonts w:ascii="Lucida Sans Unicode" w:hAnsi="Lucida Sans Unicode"/>
          <w:color w:val="6D6E71"/>
          <w:sz w:val="14"/>
        </w:rPr>
        <w:t>HOY</w:t>
      </w:r>
      <w:r>
        <w:rPr>
          <w:rFonts w:ascii="Lucida Sans Unicode" w:hAnsi="Lucida Sans Unicode"/>
          <w:color w:val="6D6E71"/>
          <w:spacing w:val="-25"/>
          <w:sz w:val="14"/>
        </w:rPr>
        <w:t> </w:t>
      </w:r>
      <w:r>
        <w:rPr>
          <w:rFonts w:ascii="Lucida Sans Unicode" w:hAnsi="Lucida Sans Unicode"/>
          <w:color w:val="6D6E71"/>
          <w:sz w:val="14"/>
        </w:rPr>
        <w:t>Y</w:t>
      </w:r>
      <w:r>
        <w:rPr>
          <w:rFonts w:ascii="Lucida Sans Unicode" w:hAnsi="Lucida Sans Unicode"/>
          <w:color w:val="6D6E71"/>
          <w:spacing w:val="-25"/>
          <w:sz w:val="14"/>
        </w:rPr>
        <w:t> </w:t>
      </w:r>
      <w:r>
        <w:rPr>
          <w:rFonts w:ascii="Lucida Sans Unicode" w:hAnsi="Lucida Sans Unicode"/>
          <w:color w:val="6D6E71"/>
          <w:sz w:val="14"/>
        </w:rPr>
        <w:t>MAÑANA</w:t>
      </w:r>
      <w:r>
        <w:rPr>
          <w:rFonts w:ascii="Arial" w:hAnsi="Arial"/>
          <w:color w:val="414042"/>
          <w:position w:val="-3"/>
          <w:sz w:val="20"/>
        </w:rPr>
        <w:tab/>
        <w:t>113</w:t>
      </w:r>
    </w:p>
    <w:p>
      <w:pPr>
        <w:pStyle w:val="BodyText"/>
        <w:rPr>
          <w:rFonts w:ascii="Arial"/>
          <w:sz w:val="20"/>
        </w:rPr>
      </w:pPr>
    </w:p>
    <w:p>
      <w:pPr>
        <w:pStyle w:val="BodyText"/>
        <w:rPr>
          <w:rFonts w:ascii="Arial"/>
          <w:sz w:val="20"/>
        </w:rPr>
      </w:pPr>
    </w:p>
    <w:p>
      <w:pPr>
        <w:pStyle w:val="BodyText"/>
        <w:spacing w:line="247" w:lineRule="auto" w:before="163"/>
        <w:ind w:left="117" w:right="101"/>
        <w:jc w:val="both"/>
      </w:pPr>
      <w:r>
        <w:rPr>
          <w:color w:val="231F20"/>
        </w:rPr>
        <w:t>neamente</w:t>
      </w:r>
      <w:r>
        <w:rPr>
          <w:color w:val="231F20"/>
          <w:spacing w:val="-21"/>
        </w:rPr>
        <w:t> </w:t>
      </w:r>
      <w:r>
        <w:rPr>
          <w:color w:val="231F20"/>
        </w:rPr>
        <w:t>fuerza–trabajo</w:t>
      </w:r>
      <w:r>
        <w:rPr>
          <w:color w:val="231F20"/>
          <w:spacing w:val="-21"/>
        </w:rPr>
        <w:t> </w:t>
      </w:r>
      <w:r>
        <w:rPr>
          <w:color w:val="231F20"/>
        </w:rPr>
        <w:t>y</w:t>
      </w:r>
      <w:r>
        <w:rPr>
          <w:color w:val="231F20"/>
          <w:spacing w:val="-21"/>
        </w:rPr>
        <w:t> </w:t>
      </w:r>
      <w:r>
        <w:rPr>
          <w:color w:val="231F20"/>
        </w:rPr>
        <w:t>fuerza–de–vida—</w:t>
      </w:r>
      <w:r>
        <w:rPr>
          <w:color w:val="231F20"/>
          <w:spacing w:val="-21"/>
        </w:rPr>
        <w:t> </w:t>
      </w:r>
      <w:r>
        <w:rPr>
          <w:color w:val="231F20"/>
        </w:rPr>
        <w:t>depende</w:t>
      </w:r>
      <w:r>
        <w:rPr>
          <w:color w:val="231F20"/>
          <w:spacing w:val="-21"/>
        </w:rPr>
        <w:t> </w:t>
      </w:r>
      <w:r>
        <w:rPr>
          <w:color w:val="231F20"/>
        </w:rPr>
        <w:t>del</w:t>
      </w:r>
      <w:r>
        <w:rPr>
          <w:color w:val="231F20"/>
          <w:spacing w:val="-21"/>
        </w:rPr>
        <w:t> </w:t>
      </w:r>
      <w:r>
        <w:rPr>
          <w:color w:val="231F20"/>
        </w:rPr>
        <w:t>hecho</w:t>
      </w:r>
      <w:r>
        <w:rPr>
          <w:color w:val="231F20"/>
          <w:spacing w:val="-21"/>
        </w:rPr>
        <w:t> </w:t>
      </w:r>
      <w:r>
        <w:rPr>
          <w:color w:val="231F20"/>
        </w:rPr>
        <w:t>que</w:t>
      </w:r>
      <w:r>
        <w:rPr>
          <w:color w:val="231F20"/>
          <w:spacing w:val="-21"/>
        </w:rPr>
        <w:t> </w:t>
      </w:r>
      <w:r>
        <w:rPr>
          <w:color w:val="231F20"/>
        </w:rPr>
        <w:t>traba- jo y vida están </w:t>
      </w:r>
      <w:r>
        <w:rPr>
          <w:color w:val="231F20"/>
          <w:spacing w:val="-3"/>
        </w:rPr>
        <w:t>regresando </w:t>
      </w:r>
      <w:r>
        <w:rPr>
          <w:color w:val="231F20"/>
        </w:rPr>
        <w:t>a superponerse </w:t>
      </w:r>
      <w:r>
        <w:rPr>
          <w:color w:val="231F20"/>
          <w:spacing w:val="-3"/>
        </w:rPr>
        <w:t>siempre </w:t>
      </w:r>
      <w:r>
        <w:rPr>
          <w:color w:val="231F20"/>
        </w:rPr>
        <w:t>más en las condiciones globales: como en los tiempos de Hobbes, en los que “vida” e “industria” eran</w:t>
      </w:r>
      <w:r>
        <w:rPr>
          <w:color w:val="231F20"/>
          <w:spacing w:val="-5"/>
        </w:rPr>
        <w:t> </w:t>
      </w:r>
      <w:r>
        <w:rPr>
          <w:color w:val="231F20"/>
        </w:rPr>
        <w:t>la</w:t>
      </w:r>
      <w:r>
        <w:rPr>
          <w:color w:val="231F20"/>
          <w:spacing w:val="-5"/>
        </w:rPr>
        <w:t> </w:t>
      </w:r>
      <w:r>
        <w:rPr>
          <w:color w:val="231F20"/>
        </w:rPr>
        <w:t>base</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cadena</w:t>
      </w:r>
      <w:r>
        <w:rPr>
          <w:color w:val="231F20"/>
          <w:spacing w:val="-5"/>
        </w:rPr>
        <w:t> </w:t>
      </w:r>
      <w:r>
        <w:rPr>
          <w:color w:val="231F20"/>
        </w:rPr>
        <w:t>del</w:t>
      </w:r>
      <w:r>
        <w:rPr>
          <w:color w:val="231F20"/>
          <w:spacing w:val="-5"/>
        </w:rPr>
        <w:t> </w:t>
      </w:r>
      <w:r>
        <w:rPr>
          <w:color w:val="231F20"/>
        </w:rPr>
        <w:t>consenso</w:t>
      </w:r>
      <w:r>
        <w:rPr>
          <w:color w:val="231F20"/>
          <w:spacing w:val="-5"/>
        </w:rPr>
        <w:t> </w:t>
      </w:r>
      <w:r>
        <w:rPr>
          <w:color w:val="231F20"/>
        </w:rPr>
        <w:t>y</w:t>
      </w:r>
      <w:r>
        <w:rPr>
          <w:color w:val="231F20"/>
          <w:spacing w:val="-5"/>
        </w:rPr>
        <w:t> </w:t>
      </w:r>
      <w:r>
        <w:rPr>
          <w:color w:val="231F20"/>
        </w:rPr>
        <w:t>del</w:t>
      </w:r>
      <w:r>
        <w:rPr>
          <w:color w:val="231F20"/>
          <w:spacing w:val="-5"/>
        </w:rPr>
        <w:t> </w:t>
      </w:r>
      <w:r>
        <w:rPr>
          <w:color w:val="231F20"/>
        </w:rPr>
        <w:t>mismo</w:t>
      </w:r>
      <w:r>
        <w:rPr>
          <w:color w:val="231F20"/>
          <w:spacing w:val="-5"/>
        </w:rPr>
        <w:t> </w:t>
      </w:r>
      <w:r>
        <w:rPr>
          <w:color w:val="231F20"/>
        </w:rPr>
        <w:t>poder</w:t>
      </w:r>
      <w:r>
        <w:rPr>
          <w:color w:val="231F20"/>
          <w:spacing w:val="-5"/>
        </w:rPr>
        <w:t> </w:t>
      </w:r>
      <w:r>
        <w:rPr>
          <w:color w:val="231F20"/>
        </w:rPr>
        <w:t>político.</w:t>
      </w:r>
    </w:p>
    <w:p>
      <w:pPr>
        <w:pStyle w:val="BodyText"/>
        <w:spacing w:line="244" w:lineRule="auto"/>
        <w:ind w:left="117" w:right="101" w:firstLine="566"/>
        <w:jc w:val="both"/>
      </w:pPr>
      <w:r>
        <w:rPr>
          <w:color w:val="231F20"/>
        </w:rPr>
        <w:t>Mezzadra y Neilson se mueven con maestría entre Marx y Foucault, ayudándose también de </w:t>
      </w:r>
      <w:r>
        <w:rPr>
          <w:color w:val="231F20"/>
          <w:spacing w:val="-3"/>
        </w:rPr>
        <w:t>Balibar, </w:t>
      </w:r>
      <w:r>
        <w:rPr>
          <w:color w:val="231F20"/>
        </w:rPr>
        <w:t>pero de su reconstrucción también</w:t>
      </w:r>
      <w:r>
        <w:rPr>
          <w:color w:val="231F20"/>
          <w:spacing w:val="-30"/>
        </w:rPr>
        <w:t> </w:t>
      </w:r>
      <w:r>
        <w:rPr>
          <w:color w:val="231F20"/>
        </w:rPr>
        <w:t>históri- ca, de la </w:t>
      </w:r>
      <w:r>
        <w:rPr>
          <w:rFonts w:ascii="Arial" w:hAnsi="Arial"/>
          <w:i/>
          <w:color w:val="231F20"/>
        </w:rPr>
        <w:t>fabrica mundi </w:t>
      </w:r>
      <w:r>
        <w:rPr>
          <w:color w:val="231F20"/>
        </w:rPr>
        <w:t>post renacimental emerge también la estructura</w:t>
      </w:r>
      <w:r>
        <w:rPr>
          <w:color w:val="231F20"/>
          <w:spacing w:val="-14"/>
        </w:rPr>
        <w:t> </w:t>
      </w:r>
      <w:r>
        <w:rPr>
          <w:color w:val="231F20"/>
        </w:rPr>
        <w:t>de esta última, hecha de orden, proporción y perfección. En suma, continúa  a sobresalir Max </w:t>
      </w:r>
      <w:r>
        <w:rPr>
          <w:color w:val="231F20"/>
          <w:spacing w:val="-4"/>
        </w:rPr>
        <w:t>Weber, </w:t>
      </w:r>
      <w:r>
        <w:rPr>
          <w:color w:val="231F20"/>
        </w:rPr>
        <w:t>con su racionalidad </w:t>
      </w:r>
      <w:r>
        <w:rPr>
          <w:rFonts w:ascii="Arial" w:hAnsi="Arial"/>
          <w:i/>
          <w:color w:val="231F20"/>
        </w:rPr>
        <w:t>nur im Okzident</w:t>
      </w:r>
      <w:r>
        <w:rPr>
          <w:color w:val="231F20"/>
        </w:rPr>
        <w:t>. Expresión  de esta última fue ciertamente el modo capitalista de producción y es to- davía </w:t>
      </w:r>
      <w:r>
        <w:rPr>
          <w:color w:val="231F20"/>
          <w:spacing w:val="-5"/>
        </w:rPr>
        <w:t>hoy, </w:t>
      </w:r>
      <w:r>
        <w:rPr>
          <w:color w:val="231F20"/>
        </w:rPr>
        <w:t>específicamente, la “división internacional del trabajo” sobre la cual por “bits and fragments” continúa a sostenerse. Para mí esto quiere decir que, junto y más allá de la (nueva) división internacional del trabajo, debe ser observada, analizada y reconstruida la (nueva) distribución y </w:t>
      </w:r>
      <w:r>
        <w:rPr>
          <w:color w:val="231F20"/>
          <w:spacing w:val="-4"/>
        </w:rPr>
        <w:t>or- </w:t>
      </w:r>
      <w:r>
        <w:rPr>
          <w:color w:val="231F20"/>
        </w:rPr>
        <w:t>ganización del trabajo de los </w:t>
      </w:r>
      <w:r>
        <w:rPr>
          <w:rFonts w:ascii="Arial" w:hAnsi="Arial"/>
          <w:i/>
          <w:color w:val="231F20"/>
        </w:rPr>
        <w:t>borders </w:t>
      </w:r>
      <w:r>
        <w:rPr>
          <w:color w:val="231F20"/>
        </w:rPr>
        <w:t>institucionales, en campo cognitivo y decisional. Son, para mí, dos de las funciones de la medida que gobierna el</w:t>
      </w:r>
      <w:r>
        <w:rPr>
          <w:color w:val="231F20"/>
          <w:spacing w:val="-13"/>
        </w:rPr>
        <w:t> </w:t>
      </w:r>
      <w:r>
        <w:rPr>
          <w:color w:val="231F20"/>
        </w:rPr>
        <w:t>mundo</w:t>
      </w:r>
      <w:r>
        <w:rPr>
          <w:color w:val="231F20"/>
          <w:spacing w:val="-13"/>
        </w:rPr>
        <w:t> </w:t>
      </w:r>
      <w:r>
        <w:rPr>
          <w:color w:val="231F20"/>
        </w:rPr>
        <w:t>(la</w:t>
      </w:r>
      <w:r>
        <w:rPr>
          <w:color w:val="231F20"/>
          <w:spacing w:val="-13"/>
        </w:rPr>
        <w:t> </w:t>
      </w:r>
      <w:r>
        <w:rPr>
          <w:color w:val="231F20"/>
        </w:rPr>
        <w:t>tercera</w:t>
      </w:r>
      <w:r>
        <w:rPr>
          <w:color w:val="231F20"/>
          <w:spacing w:val="-13"/>
        </w:rPr>
        <w:t> </w:t>
      </w:r>
      <w:r>
        <w:rPr>
          <w:color w:val="231F20"/>
        </w:rPr>
        <w:t>es,</w:t>
      </w:r>
      <w:r>
        <w:rPr>
          <w:color w:val="231F20"/>
          <w:spacing w:val="-13"/>
        </w:rPr>
        <w:t> </w:t>
      </w:r>
      <w:r>
        <w:rPr>
          <w:color w:val="231F20"/>
        </w:rPr>
        <w:t>como</w:t>
      </w:r>
      <w:r>
        <w:rPr>
          <w:color w:val="231F20"/>
          <w:spacing w:val="-13"/>
        </w:rPr>
        <w:t> </w:t>
      </w:r>
      <w:r>
        <w:rPr>
          <w:color w:val="231F20"/>
        </w:rPr>
        <w:t>ya</w:t>
      </w:r>
      <w:r>
        <w:rPr>
          <w:color w:val="231F20"/>
          <w:spacing w:val="-13"/>
        </w:rPr>
        <w:t> </w:t>
      </w:r>
      <w:r>
        <w:rPr>
          <w:color w:val="231F20"/>
        </w:rPr>
        <w:t>se</w:t>
      </w:r>
      <w:r>
        <w:rPr>
          <w:color w:val="231F20"/>
          <w:spacing w:val="-13"/>
        </w:rPr>
        <w:t> </w:t>
      </w:r>
      <w:r>
        <w:rPr>
          <w:color w:val="231F20"/>
        </w:rPr>
        <w:t>dijo,</w:t>
      </w:r>
      <w:r>
        <w:rPr>
          <w:color w:val="231F20"/>
          <w:spacing w:val="-13"/>
        </w:rPr>
        <w:t> </w:t>
      </w:r>
      <w:r>
        <w:rPr>
          <w:color w:val="231F20"/>
        </w:rPr>
        <w:t>la</w:t>
      </w:r>
      <w:r>
        <w:rPr>
          <w:color w:val="231F20"/>
          <w:spacing w:val="-13"/>
        </w:rPr>
        <w:t> </w:t>
      </w:r>
      <w:r>
        <w:rPr>
          <w:color w:val="231F20"/>
        </w:rPr>
        <w:t>conciencia</w:t>
      </w:r>
      <w:r>
        <w:rPr>
          <w:color w:val="231F20"/>
          <w:spacing w:val="-13"/>
        </w:rPr>
        <w:t> </w:t>
      </w:r>
      <w:r>
        <w:rPr>
          <w:color w:val="231F20"/>
        </w:rPr>
        <w:t>individual).</w:t>
      </w:r>
      <w:r>
        <w:rPr>
          <w:color w:val="231F20"/>
          <w:spacing w:val="-13"/>
        </w:rPr>
        <w:t> </w:t>
      </w:r>
      <w:r>
        <w:rPr>
          <w:color w:val="231F20"/>
        </w:rPr>
        <w:t>Lo</w:t>
      </w:r>
      <w:r>
        <w:rPr>
          <w:color w:val="231F20"/>
          <w:spacing w:val="-13"/>
        </w:rPr>
        <w:t> </w:t>
      </w:r>
      <w:r>
        <w:rPr>
          <w:color w:val="231F20"/>
        </w:rPr>
        <w:t>fueron para aquel gran sistema que era (y en algún espacio es todavía) el</w:t>
      </w:r>
      <w:r>
        <w:rPr>
          <w:color w:val="231F20"/>
          <w:spacing w:val="-38"/>
        </w:rPr>
        <w:t> </w:t>
      </w:r>
      <w:r>
        <w:rPr>
          <w:color w:val="231F20"/>
        </w:rPr>
        <w:t>Estado; lo son y lo serán siempre más para el conjunto de las instituciones que están modelando la </w:t>
      </w:r>
      <w:r>
        <w:rPr>
          <w:rFonts w:ascii="Arial" w:hAnsi="Arial"/>
          <w:i/>
          <w:color w:val="231F20"/>
        </w:rPr>
        <w:t>global </w:t>
      </w:r>
      <w:r>
        <w:rPr>
          <w:rFonts w:ascii="Arial" w:hAnsi="Arial"/>
          <w:i/>
          <w:color w:val="231F20"/>
          <w:spacing w:val="6"/>
        </w:rPr>
        <w:t> </w:t>
      </w:r>
      <w:r>
        <w:rPr>
          <w:rFonts w:ascii="Arial" w:hAnsi="Arial"/>
          <w:i/>
          <w:color w:val="231F20"/>
        </w:rPr>
        <w:t>polity</w:t>
      </w:r>
      <w:r>
        <w:rPr>
          <w:color w:val="231F20"/>
          <w:position w:val="7"/>
          <w:sz w:val="12"/>
        </w:rPr>
        <w:t>49</w:t>
      </w:r>
      <w:r>
        <w:rPr>
          <w:color w:val="231F20"/>
        </w:rPr>
        <w:t>.</w:t>
      </w:r>
    </w:p>
    <w:p>
      <w:pPr>
        <w:pStyle w:val="BodyText"/>
        <w:spacing w:line="244" w:lineRule="auto"/>
        <w:ind w:left="117" w:right="101" w:firstLine="566"/>
        <w:jc w:val="both"/>
      </w:pPr>
      <w:r>
        <w:rPr>
          <w:color w:val="231F20"/>
          <w:w w:val="105"/>
        </w:rPr>
        <w:t>El segundo concepto al que quisiera acercar mi medida es el de </w:t>
      </w:r>
      <w:r>
        <w:rPr>
          <w:rFonts w:ascii="Arial" w:hAnsi="Arial"/>
          <w:i/>
          <w:color w:val="231F20"/>
          <w:w w:val="105"/>
        </w:rPr>
        <w:t>character</w:t>
      </w:r>
      <w:r>
        <w:rPr>
          <w:rFonts w:ascii="Arial" w:hAnsi="Arial"/>
          <w:i/>
          <w:color w:val="231F20"/>
          <w:spacing w:val="-2"/>
          <w:w w:val="105"/>
        </w:rPr>
        <w:t> </w:t>
      </w:r>
      <w:r>
        <w:rPr>
          <w:color w:val="231F20"/>
          <w:w w:val="105"/>
        </w:rPr>
        <w:t>que</w:t>
      </w:r>
      <w:r>
        <w:rPr>
          <w:color w:val="231F20"/>
          <w:spacing w:val="-10"/>
          <w:w w:val="105"/>
        </w:rPr>
        <w:t> </w:t>
      </w:r>
      <w:r>
        <w:rPr>
          <w:color w:val="231F20"/>
          <w:w w:val="105"/>
        </w:rPr>
        <w:t>retomo</w:t>
      </w:r>
      <w:r>
        <w:rPr>
          <w:color w:val="231F20"/>
          <w:spacing w:val="-10"/>
          <w:w w:val="105"/>
        </w:rPr>
        <w:t> </w:t>
      </w:r>
      <w:r>
        <w:rPr>
          <w:color w:val="231F20"/>
          <w:w w:val="105"/>
        </w:rPr>
        <w:t>del</w:t>
      </w:r>
      <w:r>
        <w:rPr>
          <w:color w:val="231F20"/>
          <w:spacing w:val="-10"/>
          <w:w w:val="105"/>
        </w:rPr>
        <w:t> </w:t>
      </w:r>
      <w:r>
        <w:rPr>
          <w:color w:val="231F20"/>
          <w:w w:val="105"/>
        </w:rPr>
        <w:t>estudio</w:t>
      </w:r>
      <w:r>
        <w:rPr>
          <w:color w:val="231F20"/>
          <w:spacing w:val="-10"/>
          <w:w w:val="105"/>
        </w:rPr>
        <w:t> </w:t>
      </w:r>
      <w:r>
        <w:rPr>
          <w:color w:val="231F20"/>
          <w:w w:val="105"/>
        </w:rPr>
        <w:t>de</w:t>
      </w:r>
      <w:r>
        <w:rPr>
          <w:color w:val="231F20"/>
          <w:spacing w:val="-10"/>
          <w:w w:val="105"/>
        </w:rPr>
        <w:t> </w:t>
      </w:r>
      <w:r>
        <w:rPr>
          <w:color w:val="231F20"/>
          <w:w w:val="105"/>
        </w:rPr>
        <w:t>Roberta</w:t>
      </w:r>
      <w:r>
        <w:rPr>
          <w:color w:val="231F20"/>
          <w:spacing w:val="-10"/>
          <w:w w:val="105"/>
        </w:rPr>
        <w:t> </w:t>
      </w:r>
      <w:r>
        <w:rPr>
          <w:color w:val="231F20"/>
          <w:w w:val="105"/>
        </w:rPr>
        <w:t>Ferrari</w:t>
      </w:r>
      <w:r>
        <w:rPr>
          <w:color w:val="231F20"/>
          <w:spacing w:val="-10"/>
          <w:w w:val="105"/>
        </w:rPr>
        <w:t> </w:t>
      </w:r>
      <w:r>
        <w:rPr>
          <w:color w:val="231F20"/>
          <w:w w:val="105"/>
        </w:rPr>
        <w:t>sobre</w:t>
      </w:r>
      <w:r>
        <w:rPr>
          <w:color w:val="231F20"/>
          <w:spacing w:val="-10"/>
          <w:w w:val="105"/>
        </w:rPr>
        <w:t> </w:t>
      </w:r>
      <w:r>
        <w:rPr>
          <w:color w:val="231F20"/>
          <w:w w:val="105"/>
        </w:rPr>
        <w:t>Beatrice</w:t>
      </w:r>
      <w:r>
        <w:rPr>
          <w:color w:val="231F20"/>
          <w:spacing w:val="-10"/>
          <w:w w:val="105"/>
        </w:rPr>
        <w:t> </w:t>
      </w:r>
      <w:r>
        <w:rPr>
          <w:color w:val="231F20"/>
          <w:w w:val="105"/>
        </w:rPr>
        <w:t>Pot- ter</w:t>
      </w:r>
      <w:r>
        <w:rPr>
          <w:color w:val="231F20"/>
          <w:spacing w:val="-7"/>
          <w:w w:val="105"/>
        </w:rPr>
        <w:t> </w:t>
      </w:r>
      <w:r>
        <w:rPr>
          <w:color w:val="231F20"/>
          <w:w w:val="105"/>
        </w:rPr>
        <w:t>(Webb):</w:t>
      </w:r>
      <w:r>
        <w:rPr>
          <w:color w:val="231F20"/>
          <w:spacing w:val="-7"/>
          <w:w w:val="105"/>
        </w:rPr>
        <w:t> </w:t>
      </w:r>
      <w:r>
        <w:rPr>
          <w:color w:val="231F20"/>
          <w:w w:val="105"/>
        </w:rPr>
        <w:t>“el</w:t>
      </w:r>
      <w:r>
        <w:rPr>
          <w:color w:val="231F20"/>
          <w:spacing w:val="-7"/>
          <w:w w:val="105"/>
        </w:rPr>
        <w:t> </w:t>
      </w:r>
      <w:r>
        <w:rPr>
          <w:rFonts w:ascii="Arial" w:hAnsi="Arial"/>
          <w:i/>
          <w:color w:val="231F20"/>
          <w:w w:val="105"/>
        </w:rPr>
        <w:t>character </w:t>
      </w:r>
      <w:r>
        <w:rPr>
          <w:color w:val="231F20"/>
          <w:w w:val="105"/>
        </w:rPr>
        <w:t>es</w:t>
      </w:r>
      <w:r>
        <w:rPr>
          <w:color w:val="231F20"/>
          <w:spacing w:val="-7"/>
          <w:w w:val="105"/>
        </w:rPr>
        <w:t> </w:t>
      </w:r>
      <w:r>
        <w:rPr>
          <w:color w:val="231F20"/>
          <w:w w:val="105"/>
        </w:rPr>
        <w:t>contemporáneamente</w:t>
      </w:r>
      <w:r>
        <w:rPr>
          <w:color w:val="231F20"/>
          <w:spacing w:val="-7"/>
          <w:w w:val="105"/>
        </w:rPr>
        <w:t> </w:t>
      </w:r>
      <w:r>
        <w:rPr>
          <w:color w:val="231F20"/>
          <w:w w:val="105"/>
        </w:rPr>
        <w:t>la</w:t>
      </w:r>
      <w:r>
        <w:rPr>
          <w:color w:val="231F20"/>
          <w:spacing w:val="-7"/>
          <w:w w:val="105"/>
        </w:rPr>
        <w:t> </w:t>
      </w:r>
      <w:r>
        <w:rPr>
          <w:color w:val="231F20"/>
          <w:w w:val="105"/>
        </w:rPr>
        <w:t>unidad</w:t>
      </w:r>
      <w:r>
        <w:rPr>
          <w:color w:val="231F20"/>
          <w:spacing w:val="-7"/>
          <w:w w:val="105"/>
        </w:rPr>
        <w:t> </w:t>
      </w:r>
      <w:r>
        <w:rPr>
          <w:color w:val="231F20"/>
          <w:w w:val="105"/>
        </w:rPr>
        <w:t>de</w:t>
      </w:r>
      <w:r>
        <w:rPr>
          <w:color w:val="231F20"/>
          <w:spacing w:val="-7"/>
          <w:w w:val="105"/>
        </w:rPr>
        <w:t> </w:t>
      </w:r>
      <w:r>
        <w:rPr>
          <w:color w:val="231F20"/>
          <w:w w:val="105"/>
        </w:rPr>
        <w:t>medida de la ciencia social de Potter y el horizonte de su reflexión política. Con el</w:t>
      </w:r>
      <w:r>
        <w:rPr>
          <w:color w:val="231F20"/>
          <w:spacing w:val="-13"/>
          <w:w w:val="105"/>
        </w:rPr>
        <w:t> </w:t>
      </w:r>
      <w:r>
        <w:rPr>
          <w:color w:val="231F20"/>
          <w:w w:val="105"/>
        </w:rPr>
        <w:t>correr</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años,</w:t>
      </w:r>
      <w:r>
        <w:rPr>
          <w:color w:val="231F20"/>
          <w:spacing w:val="-13"/>
          <w:w w:val="105"/>
        </w:rPr>
        <w:t> </w:t>
      </w:r>
      <w:r>
        <w:rPr>
          <w:color w:val="231F20"/>
          <w:w w:val="105"/>
        </w:rPr>
        <w:t>a</w:t>
      </w:r>
      <w:r>
        <w:rPr>
          <w:color w:val="231F20"/>
          <w:spacing w:val="-13"/>
          <w:w w:val="105"/>
        </w:rPr>
        <w:t> </w:t>
      </w:r>
      <w:r>
        <w:rPr>
          <w:color w:val="231F20"/>
          <w:w w:val="105"/>
        </w:rPr>
        <w:t>través</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varias</w:t>
      </w:r>
      <w:r>
        <w:rPr>
          <w:color w:val="231F20"/>
          <w:spacing w:val="-13"/>
          <w:w w:val="105"/>
        </w:rPr>
        <w:t> </w:t>
      </w:r>
      <w:r>
        <w:rPr>
          <w:color w:val="231F20"/>
          <w:w w:val="105"/>
        </w:rPr>
        <w:t>fases</w:t>
      </w:r>
      <w:r>
        <w:rPr>
          <w:color w:val="231F20"/>
          <w:spacing w:val="-13"/>
          <w:w w:val="105"/>
        </w:rPr>
        <w:t> </w:t>
      </w:r>
      <w:r>
        <w:rPr>
          <w:color w:val="231F20"/>
          <w:w w:val="105"/>
        </w:rPr>
        <w:t>de</w:t>
      </w:r>
      <w:r>
        <w:rPr>
          <w:color w:val="231F20"/>
          <w:spacing w:val="-13"/>
          <w:w w:val="105"/>
        </w:rPr>
        <w:t> </w:t>
      </w:r>
      <w:r>
        <w:rPr>
          <w:color w:val="231F20"/>
          <w:w w:val="105"/>
        </w:rPr>
        <w:t>su</w:t>
      </w:r>
      <w:r>
        <w:rPr>
          <w:color w:val="231F20"/>
          <w:spacing w:val="-13"/>
          <w:w w:val="105"/>
        </w:rPr>
        <w:t> </w:t>
      </w:r>
      <w:r>
        <w:rPr>
          <w:color w:val="231F20"/>
          <w:w w:val="105"/>
        </w:rPr>
        <w:t>obra,</w:t>
      </w:r>
      <w:r>
        <w:rPr>
          <w:color w:val="231F20"/>
          <w:spacing w:val="-13"/>
          <w:w w:val="105"/>
        </w:rPr>
        <w:t> </w:t>
      </w:r>
      <w:r>
        <w:rPr>
          <w:color w:val="231F20"/>
          <w:w w:val="105"/>
        </w:rPr>
        <w:t>esto</w:t>
      </w:r>
      <w:r>
        <w:rPr>
          <w:color w:val="231F20"/>
          <w:spacing w:val="-13"/>
          <w:w w:val="105"/>
        </w:rPr>
        <w:t> </w:t>
      </w:r>
      <w:r>
        <w:rPr>
          <w:color w:val="231F20"/>
          <w:w w:val="105"/>
        </w:rPr>
        <w:t>asume formas</w:t>
      </w:r>
      <w:r>
        <w:rPr>
          <w:color w:val="231F20"/>
          <w:spacing w:val="-16"/>
          <w:w w:val="105"/>
        </w:rPr>
        <w:t> </w:t>
      </w:r>
      <w:r>
        <w:rPr>
          <w:color w:val="231F20"/>
          <w:w w:val="105"/>
        </w:rPr>
        <w:t>diversas,</w:t>
      </w:r>
      <w:r>
        <w:rPr>
          <w:color w:val="231F20"/>
          <w:spacing w:val="-16"/>
          <w:w w:val="105"/>
        </w:rPr>
        <w:t> </w:t>
      </w:r>
      <w:r>
        <w:rPr>
          <w:color w:val="231F20"/>
          <w:w w:val="105"/>
        </w:rPr>
        <w:t>de</w:t>
      </w:r>
      <w:r>
        <w:rPr>
          <w:color w:val="231F20"/>
          <w:spacing w:val="-16"/>
          <w:w w:val="105"/>
        </w:rPr>
        <w:t> </w:t>
      </w:r>
      <w:r>
        <w:rPr>
          <w:color w:val="231F20"/>
          <w:w w:val="105"/>
        </w:rPr>
        <w:t>singular</w:t>
      </w:r>
      <w:r>
        <w:rPr>
          <w:color w:val="231F20"/>
          <w:spacing w:val="-16"/>
          <w:w w:val="105"/>
        </w:rPr>
        <w:t> </w:t>
      </w:r>
      <w:r>
        <w:rPr>
          <w:color w:val="231F20"/>
          <w:w w:val="105"/>
        </w:rPr>
        <w:t>a</w:t>
      </w:r>
      <w:r>
        <w:rPr>
          <w:color w:val="231F20"/>
          <w:spacing w:val="-16"/>
          <w:w w:val="105"/>
        </w:rPr>
        <w:t> </w:t>
      </w:r>
      <w:r>
        <w:rPr>
          <w:color w:val="231F20"/>
          <w:w w:val="105"/>
        </w:rPr>
        <w:t>colectivo,</w:t>
      </w:r>
      <w:r>
        <w:rPr>
          <w:color w:val="231F20"/>
          <w:spacing w:val="-16"/>
          <w:w w:val="105"/>
        </w:rPr>
        <w:t> </w:t>
      </w:r>
      <w:r>
        <w:rPr>
          <w:color w:val="231F20"/>
          <w:w w:val="105"/>
        </w:rPr>
        <w:t>de</w:t>
      </w:r>
      <w:r>
        <w:rPr>
          <w:color w:val="231F20"/>
          <w:spacing w:val="-16"/>
          <w:w w:val="105"/>
        </w:rPr>
        <w:t> </w:t>
      </w:r>
      <w:r>
        <w:rPr>
          <w:color w:val="231F20"/>
          <w:w w:val="105"/>
        </w:rPr>
        <w:t>moral</w:t>
      </w:r>
      <w:r>
        <w:rPr>
          <w:color w:val="231F20"/>
          <w:spacing w:val="-16"/>
          <w:w w:val="105"/>
        </w:rPr>
        <w:t> </w:t>
      </w:r>
      <w:r>
        <w:rPr>
          <w:color w:val="231F20"/>
          <w:w w:val="105"/>
        </w:rPr>
        <w:t>a</w:t>
      </w:r>
      <w:r>
        <w:rPr>
          <w:color w:val="231F20"/>
          <w:spacing w:val="-16"/>
          <w:w w:val="105"/>
        </w:rPr>
        <w:t> </w:t>
      </w:r>
      <w:r>
        <w:rPr>
          <w:color w:val="231F20"/>
          <w:w w:val="105"/>
        </w:rPr>
        <w:t>social,</w:t>
      </w:r>
      <w:r>
        <w:rPr>
          <w:color w:val="231F20"/>
          <w:spacing w:val="-16"/>
          <w:w w:val="105"/>
        </w:rPr>
        <w:t> </w:t>
      </w:r>
      <w:r>
        <w:rPr>
          <w:color w:val="231F20"/>
          <w:w w:val="105"/>
        </w:rPr>
        <w:t>de</w:t>
      </w:r>
      <w:r>
        <w:rPr>
          <w:color w:val="231F20"/>
          <w:spacing w:val="-16"/>
          <w:w w:val="105"/>
        </w:rPr>
        <w:t> </w:t>
      </w:r>
      <w:r>
        <w:rPr>
          <w:color w:val="231F20"/>
          <w:w w:val="105"/>
        </w:rPr>
        <w:t>aristócrata a</w:t>
      </w:r>
      <w:r>
        <w:rPr>
          <w:color w:val="231F20"/>
          <w:spacing w:val="-30"/>
          <w:w w:val="105"/>
        </w:rPr>
        <w:t> </w:t>
      </w:r>
      <w:r>
        <w:rPr>
          <w:color w:val="231F20"/>
          <w:w w:val="105"/>
        </w:rPr>
        <w:t>industrial,</w:t>
      </w:r>
      <w:r>
        <w:rPr>
          <w:color w:val="231F20"/>
          <w:spacing w:val="-30"/>
          <w:w w:val="105"/>
        </w:rPr>
        <w:t> </w:t>
      </w:r>
      <w:r>
        <w:rPr>
          <w:color w:val="231F20"/>
          <w:w w:val="105"/>
        </w:rPr>
        <w:t>de</w:t>
      </w:r>
      <w:r>
        <w:rPr>
          <w:color w:val="231F20"/>
          <w:spacing w:val="-30"/>
          <w:w w:val="105"/>
        </w:rPr>
        <w:t> </w:t>
      </w:r>
      <w:r>
        <w:rPr>
          <w:color w:val="231F20"/>
          <w:w w:val="105"/>
        </w:rPr>
        <w:t>industrial</w:t>
      </w:r>
      <w:r>
        <w:rPr>
          <w:color w:val="231F20"/>
          <w:spacing w:val="-30"/>
          <w:w w:val="105"/>
        </w:rPr>
        <w:t> </w:t>
      </w:r>
      <w:r>
        <w:rPr>
          <w:color w:val="231F20"/>
          <w:w w:val="105"/>
        </w:rPr>
        <w:t>a</w:t>
      </w:r>
      <w:r>
        <w:rPr>
          <w:color w:val="231F20"/>
          <w:spacing w:val="-30"/>
          <w:w w:val="105"/>
        </w:rPr>
        <w:t> </w:t>
      </w:r>
      <w:r>
        <w:rPr>
          <w:color w:val="231F20"/>
          <w:w w:val="105"/>
        </w:rPr>
        <w:t>capitalista”</w:t>
      </w:r>
      <w:r>
        <w:rPr>
          <w:color w:val="231F20"/>
          <w:w w:val="105"/>
          <w:position w:val="7"/>
          <w:sz w:val="12"/>
        </w:rPr>
        <w:t>50</w:t>
      </w:r>
      <w:r>
        <w:rPr>
          <w:color w:val="231F20"/>
          <w:w w:val="105"/>
        </w:rPr>
        <w:t>.</w:t>
      </w:r>
      <w:r>
        <w:rPr>
          <w:color w:val="231F20"/>
          <w:spacing w:val="-30"/>
          <w:w w:val="105"/>
        </w:rPr>
        <w:t> </w:t>
      </w:r>
      <w:r>
        <w:rPr>
          <w:color w:val="231F20"/>
          <w:w w:val="105"/>
        </w:rPr>
        <w:t>Pero</w:t>
      </w:r>
      <w:r>
        <w:rPr>
          <w:color w:val="231F20"/>
          <w:spacing w:val="-30"/>
          <w:w w:val="105"/>
        </w:rPr>
        <w:t> </w:t>
      </w:r>
      <w:r>
        <w:rPr>
          <w:color w:val="231F20"/>
          <w:w w:val="105"/>
        </w:rPr>
        <w:t>obviamente</w:t>
      </w:r>
      <w:r>
        <w:rPr>
          <w:color w:val="231F20"/>
          <w:spacing w:val="-30"/>
          <w:w w:val="105"/>
        </w:rPr>
        <w:t> </w:t>
      </w:r>
      <w:r>
        <w:rPr>
          <w:color w:val="231F20"/>
          <w:w w:val="105"/>
        </w:rPr>
        <w:t>no</w:t>
      </w:r>
      <w:r>
        <w:rPr>
          <w:color w:val="231F20"/>
          <w:spacing w:val="-30"/>
          <w:w w:val="105"/>
        </w:rPr>
        <w:t> </w:t>
      </w:r>
      <w:r>
        <w:rPr>
          <w:color w:val="231F20"/>
          <w:w w:val="105"/>
        </w:rPr>
        <w:t>se</w:t>
      </w:r>
      <w:r>
        <w:rPr>
          <w:color w:val="231F20"/>
          <w:spacing w:val="-30"/>
          <w:w w:val="105"/>
        </w:rPr>
        <w:t> </w:t>
      </w:r>
      <w:r>
        <w:rPr>
          <w:color w:val="231F20"/>
          <w:w w:val="105"/>
        </w:rPr>
        <w:t>trataba,</w:t>
      </w:r>
      <w:r>
        <w:rPr>
          <w:color w:val="231F20"/>
          <w:spacing w:val="-30"/>
          <w:w w:val="105"/>
        </w:rPr>
        <w:t> </w:t>
      </w:r>
      <w:r>
        <w:rPr>
          <w:color w:val="231F20"/>
          <w:w w:val="105"/>
        </w:rPr>
        <w:t>a los</w:t>
      </w:r>
      <w:r>
        <w:rPr>
          <w:color w:val="231F20"/>
          <w:spacing w:val="-8"/>
          <w:w w:val="105"/>
        </w:rPr>
        <w:t> </w:t>
      </w:r>
      <w:r>
        <w:rPr>
          <w:color w:val="231F20"/>
          <w:w w:val="105"/>
        </w:rPr>
        <w:t>ojos</w:t>
      </w:r>
      <w:r>
        <w:rPr>
          <w:color w:val="231F20"/>
          <w:spacing w:val="-8"/>
          <w:w w:val="105"/>
        </w:rPr>
        <w:t> </w:t>
      </w:r>
      <w:r>
        <w:rPr>
          <w:color w:val="231F20"/>
          <w:w w:val="105"/>
        </w:rPr>
        <w:t>de</w:t>
      </w:r>
      <w:r>
        <w:rPr>
          <w:color w:val="231F20"/>
          <w:spacing w:val="-8"/>
          <w:w w:val="105"/>
        </w:rPr>
        <w:t> </w:t>
      </w:r>
      <w:r>
        <w:rPr>
          <w:color w:val="231F20"/>
          <w:w w:val="105"/>
        </w:rPr>
        <w:t>Beatrice</w:t>
      </w:r>
      <w:r>
        <w:rPr>
          <w:color w:val="231F20"/>
          <w:spacing w:val="-8"/>
          <w:w w:val="105"/>
        </w:rPr>
        <w:t> </w:t>
      </w:r>
      <w:r>
        <w:rPr>
          <w:color w:val="231F20"/>
          <w:w w:val="105"/>
        </w:rPr>
        <w:t>Webb</w:t>
      </w:r>
      <w:r>
        <w:rPr>
          <w:color w:val="231F20"/>
          <w:spacing w:val="-8"/>
          <w:w w:val="105"/>
        </w:rPr>
        <w:t> </w:t>
      </w:r>
      <w:r>
        <w:rPr>
          <w:color w:val="231F20"/>
          <w:w w:val="105"/>
        </w:rPr>
        <w:t>y</w:t>
      </w:r>
      <w:r>
        <w:rPr>
          <w:color w:val="231F20"/>
          <w:spacing w:val="-8"/>
          <w:w w:val="105"/>
        </w:rPr>
        <w:t> </w:t>
      </w:r>
      <w:r>
        <w:rPr>
          <w:color w:val="231F20"/>
          <w:w w:val="105"/>
        </w:rPr>
        <w:t>de</w:t>
      </w:r>
      <w:r>
        <w:rPr>
          <w:color w:val="231F20"/>
          <w:spacing w:val="-8"/>
          <w:w w:val="105"/>
        </w:rPr>
        <w:t> </w:t>
      </w:r>
      <w:r>
        <w:rPr>
          <w:color w:val="231F20"/>
          <w:w w:val="105"/>
        </w:rPr>
        <w:t>su</w:t>
      </w:r>
      <w:r>
        <w:rPr>
          <w:color w:val="231F20"/>
          <w:spacing w:val="-8"/>
          <w:w w:val="105"/>
        </w:rPr>
        <w:t> </w:t>
      </w:r>
      <w:r>
        <w:rPr>
          <w:color w:val="231F20"/>
          <w:w w:val="105"/>
        </w:rPr>
        <w:t>marido</w:t>
      </w:r>
      <w:r>
        <w:rPr>
          <w:color w:val="231F20"/>
          <w:spacing w:val="-8"/>
          <w:w w:val="105"/>
        </w:rPr>
        <w:t> </w:t>
      </w:r>
      <w:r>
        <w:rPr>
          <w:color w:val="231F20"/>
          <w:spacing w:val="-3"/>
          <w:w w:val="105"/>
        </w:rPr>
        <w:t>Sidney,</w:t>
      </w:r>
      <w:r>
        <w:rPr>
          <w:color w:val="231F20"/>
          <w:spacing w:val="-8"/>
          <w:w w:val="105"/>
        </w:rPr>
        <w:t> </w:t>
      </w:r>
      <w:r>
        <w:rPr>
          <w:color w:val="231F20"/>
          <w:w w:val="105"/>
        </w:rPr>
        <w:t>sólo</w:t>
      </w:r>
      <w:r>
        <w:rPr>
          <w:color w:val="231F20"/>
          <w:spacing w:val="-8"/>
          <w:w w:val="105"/>
        </w:rPr>
        <w:t> </w:t>
      </w:r>
      <w:r>
        <w:rPr>
          <w:color w:val="231F20"/>
          <w:w w:val="105"/>
        </w:rPr>
        <w:t>de</w:t>
      </w:r>
      <w:r>
        <w:rPr>
          <w:color w:val="231F20"/>
          <w:spacing w:val="-8"/>
          <w:w w:val="105"/>
        </w:rPr>
        <w:t> </w:t>
      </w:r>
      <w:r>
        <w:rPr>
          <w:color w:val="231F20"/>
          <w:w w:val="105"/>
        </w:rPr>
        <w:t>degeneración, sino,</w:t>
      </w:r>
      <w:r>
        <w:rPr>
          <w:color w:val="231F20"/>
          <w:spacing w:val="-33"/>
          <w:w w:val="105"/>
        </w:rPr>
        <w:t> </w:t>
      </w:r>
      <w:r>
        <w:rPr>
          <w:color w:val="231F20"/>
          <w:w w:val="105"/>
        </w:rPr>
        <w:t>en</w:t>
      </w:r>
      <w:r>
        <w:rPr>
          <w:color w:val="231F20"/>
          <w:spacing w:val="-33"/>
          <w:w w:val="105"/>
        </w:rPr>
        <w:t> </w:t>
      </w:r>
      <w:r>
        <w:rPr>
          <w:color w:val="231F20"/>
          <w:w w:val="105"/>
        </w:rPr>
        <w:t>ciertas</w:t>
      </w:r>
      <w:r>
        <w:rPr>
          <w:color w:val="231F20"/>
          <w:spacing w:val="-33"/>
          <w:w w:val="105"/>
        </w:rPr>
        <w:t> </w:t>
      </w:r>
      <w:r>
        <w:rPr>
          <w:color w:val="231F20"/>
          <w:w w:val="105"/>
        </w:rPr>
        <w:t>condiciones,</w:t>
      </w:r>
      <w:r>
        <w:rPr>
          <w:color w:val="231F20"/>
          <w:spacing w:val="-33"/>
          <w:w w:val="105"/>
        </w:rPr>
        <w:t> </w:t>
      </w:r>
      <w:r>
        <w:rPr>
          <w:color w:val="231F20"/>
          <w:w w:val="105"/>
        </w:rPr>
        <w:t>también</w:t>
      </w:r>
      <w:r>
        <w:rPr>
          <w:color w:val="231F20"/>
          <w:spacing w:val="-33"/>
          <w:w w:val="105"/>
        </w:rPr>
        <w:t> </w:t>
      </w:r>
      <w:r>
        <w:rPr>
          <w:color w:val="231F20"/>
          <w:w w:val="105"/>
        </w:rPr>
        <w:t>de</w:t>
      </w:r>
      <w:r>
        <w:rPr>
          <w:color w:val="231F20"/>
          <w:spacing w:val="-33"/>
          <w:w w:val="105"/>
        </w:rPr>
        <w:t> </w:t>
      </w:r>
      <w:r>
        <w:rPr>
          <w:color w:val="231F20"/>
          <w:w w:val="105"/>
        </w:rPr>
        <w:t>regeneración</w:t>
      </w:r>
      <w:r>
        <w:rPr>
          <w:color w:val="231F20"/>
          <w:spacing w:val="-33"/>
          <w:w w:val="105"/>
        </w:rPr>
        <w:t> </w:t>
      </w:r>
      <w:r>
        <w:rPr>
          <w:color w:val="231F20"/>
          <w:w w:val="105"/>
        </w:rPr>
        <w:t>hacia</w:t>
      </w:r>
      <w:r>
        <w:rPr>
          <w:color w:val="231F20"/>
          <w:spacing w:val="-33"/>
          <w:w w:val="105"/>
        </w:rPr>
        <w:t> </w:t>
      </w:r>
      <w:r>
        <w:rPr>
          <w:color w:val="231F20"/>
          <w:w w:val="105"/>
        </w:rPr>
        <w:t>una</w:t>
      </w:r>
      <w:r>
        <w:rPr>
          <w:color w:val="231F20"/>
          <w:spacing w:val="-33"/>
          <w:w w:val="105"/>
        </w:rPr>
        <w:t> </w:t>
      </w:r>
      <w:r>
        <w:rPr>
          <w:color w:val="231F20"/>
          <w:w w:val="105"/>
        </w:rPr>
        <w:t>“concien- cia</w:t>
      </w:r>
      <w:r>
        <w:rPr>
          <w:color w:val="231F20"/>
          <w:spacing w:val="-33"/>
          <w:w w:val="105"/>
        </w:rPr>
        <w:t> </w:t>
      </w:r>
      <w:r>
        <w:rPr>
          <w:color w:val="231F20"/>
          <w:w w:val="105"/>
        </w:rPr>
        <w:t>colectiva”</w:t>
      </w:r>
      <w:r>
        <w:rPr>
          <w:color w:val="231F20"/>
          <w:spacing w:val="-33"/>
          <w:w w:val="105"/>
        </w:rPr>
        <w:t> </w:t>
      </w:r>
      <w:r>
        <w:rPr>
          <w:color w:val="231F20"/>
          <w:w w:val="105"/>
        </w:rPr>
        <w:t>dirigida</w:t>
      </w:r>
      <w:r>
        <w:rPr>
          <w:color w:val="231F20"/>
          <w:spacing w:val="-33"/>
          <w:w w:val="105"/>
        </w:rPr>
        <w:t> </w:t>
      </w:r>
      <w:r>
        <w:rPr>
          <w:color w:val="231F20"/>
          <w:w w:val="105"/>
        </w:rPr>
        <w:t>a</w:t>
      </w:r>
      <w:r>
        <w:rPr>
          <w:color w:val="231F20"/>
          <w:spacing w:val="-33"/>
          <w:w w:val="105"/>
        </w:rPr>
        <w:t> </w:t>
      </w:r>
      <w:r>
        <w:rPr>
          <w:color w:val="231F20"/>
          <w:w w:val="105"/>
        </w:rPr>
        <w:t>la</w:t>
      </w:r>
      <w:r>
        <w:rPr>
          <w:color w:val="231F20"/>
          <w:spacing w:val="-33"/>
          <w:w w:val="105"/>
        </w:rPr>
        <w:t> </w:t>
      </w:r>
      <w:r>
        <w:rPr>
          <w:color w:val="231F20"/>
          <w:w w:val="105"/>
        </w:rPr>
        <w:t>liberación</w:t>
      </w:r>
      <w:r>
        <w:rPr>
          <w:color w:val="231F20"/>
          <w:spacing w:val="-33"/>
          <w:w w:val="105"/>
        </w:rPr>
        <w:t> </w:t>
      </w:r>
      <w:r>
        <w:rPr>
          <w:color w:val="231F20"/>
          <w:w w:val="105"/>
        </w:rPr>
        <w:t>del</w:t>
      </w:r>
      <w:r>
        <w:rPr>
          <w:color w:val="231F20"/>
          <w:spacing w:val="-33"/>
          <w:w w:val="105"/>
        </w:rPr>
        <w:t> </w:t>
      </w:r>
      <w:r>
        <w:rPr>
          <w:color w:val="231F20"/>
          <w:w w:val="105"/>
        </w:rPr>
        <w:t>dominio</w:t>
      </w:r>
      <w:r>
        <w:rPr>
          <w:color w:val="231F20"/>
          <w:spacing w:val="-33"/>
          <w:w w:val="105"/>
        </w:rPr>
        <w:t> </w:t>
      </w:r>
      <w:r>
        <w:rPr>
          <w:color w:val="231F20"/>
          <w:w w:val="105"/>
        </w:rPr>
        <w:t>de</w:t>
      </w:r>
      <w:r>
        <w:rPr>
          <w:color w:val="231F20"/>
          <w:spacing w:val="-33"/>
          <w:w w:val="105"/>
        </w:rPr>
        <w:t> </w:t>
      </w:r>
      <w:r>
        <w:rPr>
          <w:color w:val="231F20"/>
          <w:w w:val="105"/>
        </w:rPr>
        <w:t>los</w:t>
      </w:r>
      <w:r>
        <w:rPr>
          <w:color w:val="231F20"/>
          <w:spacing w:val="-33"/>
          <w:w w:val="105"/>
        </w:rPr>
        <w:t> </w:t>
      </w:r>
      <w:r>
        <w:rPr>
          <w:color w:val="231F20"/>
          <w:w w:val="105"/>
        </w:rPr>
        <w:t>hombres</w:t>
      </w:r>
      <w:r>
        <w:rPr>
          <w:color w:val="231F20"/>
          <w:spacing w:val="-33"/>
          <w:w w:val="105"/>
        </w:rPr>
        <w:t> </w:t>
      </w:r>
      <w:r>
        <w:rPr>
          <w:color w:val="231F20"/>
          <w:w w:val="105"/>
        </w:rPr>
        <w:t>y</w:t>
      </w:r>
      <w:r>
        <w:rPr>
          <w:color w:val="231F20"/>
          <w:spacing w:val="-33"/>
          <w:w w:val="105"/>
        </w:rPr>
        <w:t> </w:t>
      </w:r>
      <w:r>
        <w:rPr>
          <w:color w:val="231F20"/>
          <w:w w:val="105"/>
        </w:rPr>
        <w:t>mujeres. Estaba</w:t>
      </w:r>
      <w:r>
        <w:rPr>
          <w:color w:val="231F20"/>
          <w:spacing w:val="-39"/>
          <w:w w:val="105"/>
        </w:rPr>
        <w:t> </w:t>
      </w:r>
      <w:r>
        <w:rPr>
          <w:color w:val="231F20"/>
          <w:w w:val="105"/>
        </w:rPr>
        <w:t>involucrada</w:t>
      </w:r>
      <w:r>
        <w:rPr>
          <w:color w:val="231F20"/>
          <w:spacing w:val="-39"/>
          <w:w w:val="105"/>
        </w:rPr>
        <w:t> </w:t>
      </w:r>
      <w:r>
        <w:rPr>
          <w:color w:val="231F20"/>
          <w:w w:val="105"/>
        </w:rPr>
        <w:t>en</w:t>
      </w:r>
      <w:r>
        <w:rPr>
          <w:color w:val="231F20"/>
          <w:spacing w:val="-39"/>
          <w:w w:val="105"/>
        </w:rPr>
        <w:t> </w:t>
      </w:r>
      <w:r>
        <w:rPr>
          <w:color w:val="231F20"/>
          <w:w w:val="105"/>
        </w:rPr>
        <w:t>esto</w:t>
      </w:r>
      <w:r>
        <w:rPr>
          <w:color w:val="231F20"/>
          <w:spacing w:val="-39"/>
          <w:w w:val="105"/>
        </w:rPr>
        <w:t> </w:t>
      </w:r>
      <w:r>
        <w:rPr>
          <w:color w:val="231F20"/>
          <w:w w:val="105"/>
        </w:rPr>
        <w:t>la</w:t>
      </w:r>
      <w:r>
        <w:rPr>
          <w:color w:val="231F20"/>
          <w:spacing w:val="-39"/>
          <w:w w:val="105"/>
        </w:rPr>
        <w:t> </w:t>
      </w:r>
      <w:r>
        <w:rPr>
          <w:color w:val="231F20"/>
          <w:w w:val="105"/>
        </w:rPr>
        <w:t>relación</w:t>
      </w:r>
      <w:r>
        <w:rPr>
          <w:color w:val="231F20"/>
          <w:spacing w:val="-39"/>
          <w:w w:val="105"/>
        </w:rPr>
        <w:t> </w:t>
      </w:r>
      <w:r>
        <w:rPr>
          <w:color w:val="231F20"/>
          <w:w w:val="105"/>
        </w:rPr>
        <w:t>entre</w:t>
      </w:r>
      <w:r>
        <w:rPr>
          <w:color w:val="231F20"/>
          <w:spacing w:val="-39"/>
          <w:w w:val="105"/>
        </w:rPr>
        <w:t> </w:t>
      </w:r>
      <w:r>
        <w:rPr>
          <w:color w:val="231F20"/>
          <w:w w:val="105"/>
        </w:rPr>
        <w:t>Estado</w:t>
      </w:r>
      <w:r>
        <w:rPr>
          <w:color w:val="231F20"/>
          <w:spacing w:val="-39"/>
          <w:w w:val="105"/>
        </w:rPr>
        <w:t> </w:t>
      </w:r>
      <w:r>
        <w:rPr>
          <w:color w:val="231F20"/>
          <w:w w:val="105"/>
        </w:rPr>
        <w:t>y</w:t>
      </w:r>
      <w:r>
        <w:rPr>
          <w:color w:val="231F20"/>
          <w:spacing w:val="-39"/>
          <w:w w:val="105"/>
        </w:rPr>
        <w:t> </w:t>
      </w:r>
      <w:r>
        <w:rPr>
          <w:color w:val="231F20"/>
          <w:w w:val="105"/>
        </w:rPr>
        <w:t>sociedad,</w:t>
      </w:r>
      <w:r>
        <w:rPr>
          <w:color w:val="231F20"/>
          <w:spacing w:val="-39"/>
          <w:w w:val="105"/>
        </w:rPr>
        <w:t> </w:t>
      </w:r>
      <w:r>
        <w:rPr>
          <w:color w:val="231F20"/>
          <w:w w:val="105"/>
        </w:rPr>
        <w:t>mediante</w:t>
      </w:r>
      <w:r>
        <w:rPr>
          <w:color w:val="231F20"/>
          <w:spacing w:val="-39"/>
          <w:w w:val="105"/>
        </w:rPr>
        <w:t> </w:t>
      </w:r>
      <w:r>
        <w:rPr>
          <w:color w:val="231F20"/>
          <w:w w:val="105"/>
        </w:rPr>
        <w:t>la transformación</w:t>
      </w:r>
      <w:r>
        <w:rPr>
          <w:color w:val="231F20"/>
          <w:spacing w:val="-40"/>
          <w:w w:val="105"/>
        </w:rPr>
        <w:t> </w:t>
      </w:r>
      <w:r>
        <w:rPr>
          <w:color w:val="231F20"/>
          <w:w w:val="105"/>
        </w:rPr>
        <w:t>de</w:t>
      </w:r>
      <w:r>
        <w:rPr>
          <w:color w:val="231F20"/>
          <w:spacing w:val="-40"/>
          <w:w w:val="105"/>
        </w:rPr>
        <w:t> </w:t>
      </w:r>
      <w:r>
        <w:rPr>
          <w:color w:val="231F20"/>
          <w:w w:val="105"/>
        </w:rPr>
        <w:t>la</w:t>
      </w:r>
      <w:r>
        <w:rPr>
          <w:color w:val="231F20"/>
          <w:spacing w:val="-40"/>
          <w:w w:val="105"/>
        </w:rPr>
        <w:t> </w:t>
      </w:r>
      <w:r>
        <w:rPr>
          <w:color w:val="231F20"/>
          <w:w w:val="105"/>
        </w:rPr>
        <w:t>vieja</w:t>
      </w:r>
      <w:r>
        <w:rPr>
          <w:color w:val="231F20"/>
          <w:spacing w:val="-40"/>
          <w:w w:val="105"/>
        </w:rPr>
        <w:t> </w:t>
      </w:r>
      <w:r>
        <w:rPr>
          <w:color w:val="231F20"/>
          <w:w w:val="105"/>
        </w:rPr>
        <w:t>soberanía</w:t>
      </w:r>
      <w:r>
        <w:rPr>
          <w:color w:val="231F20"/>
          <w:spacing w:val="-40"/>
          <w:w w:val="105"/>
        </w:rPr>
        <w:t> </w:t>
      </w:r>
      <w:r>
        <w:rPr>
          <w:color w:val="231F20"/>
          <w:w w:val="105"/>
        </w:rPr>
        <w:t>en</w:t>
      </w:r>
      <w:r>
        <w:rPr>
          <w:color w:val="231F20"/>
          <w:spacing w:val="-40"/>
          <w:w w:val="105"/>
        </w:rPr>
        <w:t> </w:t>
      </w:r>
      <w:r>
        <w:rPr>
          <w:rFonts w:ascii="Arial" w:hAnsi="Arial"/>
          <w:i/>
          <w:color w:val="231F20"/>
          <w:w w:val="105"/>
        </w:rPr>
        <w:t>Commonwealth</w:t>
      </w:r>
      <w:r>
        <w:rPr>
          <w:color w:val="231F20"/>
          <w:w w:val="105"/>
        </w:rPr>
        <w:t>.</w:t>
      </w:r>
      <w:r>
        <w:rPr>
          <w:color w:val="231F20"/>
          <w:spacing w:val="-40"/>
          <w:w w:val="105"/>
        </w:rPr>
        <w:t> </w:t>
      </w:r>
      <w:r>
        <w:rPr>
          <w:color w:val="231F20"/>
          <w:w w:val="105"/>
        </w:rPr>
        <w:t>El</w:t>
      </w:r>
      <w:r>
        <w:rPr>
          <w:color w:val="231F20"/>
          <w:spacing w:val="-40"/>
          <w:w w:val="105"/>
        </w:rPr>
        <w:t> </w:t>
      </w:r>
      <w:r>
        <w:rPr>
          <w:color w:val="231F20"/>
          <w:w w:val="105"/>
        </w:rPr>
        <w:t>entero</w:t>
      </w:r>
      <w:r>
        <w:rPr>
          <w:color w:val="231F20"/>
          <w:spacing w:val="-40"/>
          <w:w w:val="105"/>
        </w:rPr>
        <w:t> </w:t>
      </w:r>
      <w:r>
        <w:rPr>
          <w:color w:val="231F20"/>
          <w:w w:val="105"/>
        </w:rPr>
        <w:t>proceso debía</w:t>
      </w:r>
      <w:r>
        <w:rPr>
          <w:color w:val="231F20"/>
          <w:spacing w:val="-25"/>
          <w:w w:val="105"/>
        </w:rPr>
        <w:t> </w:t>
      </w:r>
      <w:r>
        <w:rPr>
          <w:color w:val="231F20"/>
          <w:w w:val="105"/>
        </w:rPr>
        <w:t>encabezar</w:t>
      </w:r>
      <w:r>
        <w:rPr>
          <w:color w:val="231F20"/>
          <w:spacing w:val="-25"/>
          <w:w w:val="105"/>
        </w:rPr>
        <w:t> </w:t>
      </w:r>
      <w:r>
        <w:rPr>
          <w:color w:val="231F20"/>
          <w:w w:val="105"/>
        </w:rPr>
        <w:t>al</w:t>
      </w:r>
      <w:r>
        <w:rPr>
          <w:color w:val="231F20"/>
          <w:spacing w:val="-25"/>
          <w:w w:val="105"/>
        </w:rPr>
        <w:t> </w:t>
      </w:r>
      <w:r>
        <w:rPr>
          <w:rFonts w:ascii="Arial" w:hAnsi="Arial"/>
          <w:i/>
          <w:color w:val="231F20"/>
          <w:w w:val="105"/>
        </w:rPr>
        <w:t>character</w:t>
      </w:r>
      <w:r>
        <w:rPr>
          <w:rFonts w:ascii="Arial" w:hAnsi="Arial"/>
          <w:i/>
          <w:color w:val="231F20"/>
          <w:spacing w:val="-17"/>
          <w:w w:val="105"/>
        </w:rPr>
        <w:t> </w:t>
      </w:r>
      <w:r>
        <w:rPr>
          <w:color w:val="231F20"/>
          <w:w w:val="105"/>
        </w:rPr>
        <w:t>colectivo</w:t>
      </w:r>
      <w:r>
        <w:rPr>
          <w:color w:val="231F20"/>
          <w:spacing w:val="-25"/>
          <w:w w:val="105"/>
        </w:rPr>
        <w:t> </w:t>
      </w:r>
      <w:r>
        <w:rPr>
          <w:color w:val="231F20"/>
          <w:w w:val="105"/>
        </w:rPr>
        <w:t>capaz</w:t>
      </w:r>
      <w:r>
        <w:rPr>
          <w:color w:val="231F20"/>
          <w:spacing w:val="-25"/>
          <w:w w:val="105"/>
        </w:rPr>
        <w:t> </w:t>
      </w:r>
      <w:r>
        <w:rPr>
          <w:color w:val="231F20"/>
          <w:w w:val="105"/>
        </w:rPr>
        <w:t>de</w:t>
      </w:r>
      <w:r>
        <w:rPr>
          <w:color w:val="231F20"/>
          <w:spacing w:val="-25"/>
          <w:w w:val="105"/>
        </w:rPr>
        <w:t> </w:t>
      </w:r>
      <w:r>
        <w:rPr>
          <w:color w:val="231F20"/>
          <w:w w:val="105"/>
        </w:rPr>
        <w:t>fundar</w:t>
      </w:r>
      <w:r>
        <w:rPr>
          <w:color w:val="231F20"/>
          <w:spacing w:val="-25"/>
          <w:w w:val="105"/>
        </w:rPr>
        <w:t> </w:t>
      </w:r>
      <w:r>
        <w:rPr>
          <w:color w:val="231F20"/>
          <w:w w:val="105"/>
        </w:rPr>
        <w:t>una</w:t>
      </w:r>
      <w:r>
        <w:rPr>
          <w:color w:val="231F20"/>
          <w:spacing w:val="-25"/>
          <w:w w:val="105"/>
        </w:rPr>
        <w:t> </w:t>
      </w:r>
      <w:r>
        <w:rPr>
          <w:color w:val="231F20"/>
          <w:w w:val="105"/>
        </w:rPr>
        <w:t>nueva</w:t>
      </w:r>
      <w:r>
        <w:rPr>
          <w:color w:val="231F20"/>
          <w:spacing w:val="-25"/>
          <w:w w:val="105"/>
        </w:rPr>
        <w:t> </w:t>
      </w:r>
      <w:r>
        <w:rPr>
          <w:color w:val="231F20"/>
          <w:w w:val="105"/>
        </w:rPr>
        <w:t>unidad política,</w:t>
      </w:r>
      <w:r>
        <w:rPr>
          <w:color w:val="231F20"/>
          <w:spacing w:val="-26"/>
          <w:w w:val="105"/>
        </w:rPr>
        <w:t> </w:t>
      </w:r>
      <w:r>
        <w:rPr>
          <w:color w:val="231F20"/>
          <w:w w:val="105"/>
        </w:rPr>
        <w:t>sobre</w:t>
      </w:r>
      <w:r>
        <w:rPr>
          <w:color w:val="231F20"/>
          <w:spacing w:val="-26"/>
          <w:w w:val="105"/>
        </w:rPr>
        <w:t> </w:t>
      </w:r>
      <w:r>
        <w:rPr>
          <w:color w:val="231F20"/>
          <w:w w:val="105"/>
        </w:rPr>
        <w:t>la</w:t>
      </w:r>
      <w:r>
        <w:rPr>
          <w:color w:val="231F20"/>
          <w:spacing w:val="-26"/>
          <w:w w:val="105"/>
        </w:rPr>
        <w:t> </w:t>
      </w:r>
      <w:r>
        <w:rPr>
          <w:color w:val="231F20"/>
          <w:w w:val="105"/>
        </w:rPr>
        <w:t>base</w:t>
      </w:r>
      <w:r>
        <w:rPr>
          <w:color w:val="231F20"/>
          <w:spacing w:val="-26"/>
          <w:w w:val="105"/>
        </w:rPr>
        <w:t> </w:t>
      </w:r>
      <w:r>
        <w:rPr>
          <w:color w:val="231F20"/>
          <w:w w:val="105"/>
        </w:rPr>
        <w:t>de</w:t>
      </w:r>
      <w:r>
        <w:rPr>
          <w:color w:val="231F20"/>
          <w:spacing w:val="-26"/>
          <w:w w:val="105"/>
        </w:rPr>
        <w:t> </w:t>
      </w:r>
      <w:r>
        <w:rPr>
          <w:color w:val="231F20"/>
          <w:w w:val="105"/>
        </w:rPr>
        <w:t>libertad</w:t>
      </w:r>
      <w:r>
        <w:rPr>
          <w:color w:val="231F20"/>
          <w:spacing w:val="-26"/>
          <w:w w:val="105"/>
        </w:rPr>
        <w:t> </w:t>
      </w:r>
      <w:r>
        <w:rPr>
          <w:color w:val="231F20"/>
          <w:w w:val="105"/>
        </w:rPr>
        <w:t>e</w:t>
      </w:r>
      <w:r>
        <w:rPr>
          <w:color w:val="231F20"/>
          <w:spacing w:val="-26"/>
          <w:w w:val="105"/>
        </w:rPr>
        <w:t> </w:t>
      </w:r>
      <w:r>
        <w:rPr>
          <w:color w:val="231F20"/>
          <w:w w:val="105"/>
        </w:rPr>
        <w:t>igualdad,</w:t>
      </w:r>
      <w:r>
        <w:rPr>
          <w:color w:val="231F20"/>
          <w:spacing w:val="-26"/>
          <w:w w:val="105"/>
        </w:rPr>
        <w:t> </w:t>
      </w:r>
      <w:r>
        <w:rPr>
          <w:color w:val="231F20"/>
          <w:w w:val="105"/>
        </w:rPr>
        <w:t>instrumentos</w:t>
      </w:r>
      <w:r>
        <w:rPr>
          <w:color w:val="231F20"/>
          <w:spacing w:val="-26"/>
          <w:w w:val="105"/>
        </w:rPr>
        <w:t> </w:t>
      </w:r>
      <w:r>
        <w:rPr>
          <w:color w:val="231F20"/>
          <w:w w:val="105"/>
        </w:rPr>
        <w:t>que</w:t>
      </w:r>
      <w:r>
        <w:rPr>
          <w:color w:val="231F20"/>
          <w:spacing w:val="-26"/>
          <w:w w:val="105"/>
        </w:rPr>
        <w:t> </w:t>
      </w:r>
      <w:r>
        <w:rPr>
          <w:color w:val="231F20"/>
          <w:w w:val="105"/>
        </w:rPr>
        <w:t>debían</w:t>
      </w:r>
      <w:r>
        <w:rPr>
          <w:color w:val="231F20"/>
          <w:spacing w:val="-26"/>
          <w:w w:val="105"/>
        </w:rPr>
        <w:t> </w:t>
      </w:r>
      <w:r>
        <w:rPr>
          <w:color w:val="231F20"/>
          <w:w w:val="105"/>
        </w:rPr>
        <w:t>ser nuevas</w:t>
      </w:r>
      <w:r>
        <w:rPr>
          <w:color w:val="231F20"/>
          <w:spacing w:val="-27"/>
          <w:w w:val="105"/>
        </w:rPr>
        <w:t> </w:t>
      </w:r>
      <w:r>
        <w:rPr>
          <w:color w:val="231F20"/>
          <w:w w:val="105"/>
        </w:rPr>
        <w:t>medidas</w:t>
      </w:r>
      <w:r>
        <w:rPr>
          <w:color w:val="231F20"/>
          <w:spacing w:val="-27"/>
          <w:w w:val="105"/>
        </w:rPr>
        <w:t> </w:t>
      </w:r>
      <w:r>
        <w:rPr>
          <w:color w:val="231F20"/>
          <w:w w:val="105"/>
        </w:rPr>
        <w:t>administrativas</w:t>
      </w:r>
      <w:r>
        <w:rPr>
          <w:color w:val="231F20"/>
          <w:spacing w:val="-27"/>
          <w:w w:val="105"/>
        </w:rPr>
        <w:t> </w:t>
      </w:r>
      <w:r>
        <w:rPr>
          <w:color w:val="231F20"/>
          <w:w w:val="105"/>
        </w:rPr>
        <w:t>acuñadas</w:t>
      </w:r>
      <w:r>
        <w:rPr>
          <w:color w:val="231F20"/>
          <w:spacing w:val="-27"/>
          <w:w w:val="105"/>
        </w:rPr>
        <w:t> </w:t>
      </w:r>
      <w:r>
        <w:rPr>
          <w:color w:val="231F20"/>
          <w:w w:val="105"/>
        </w:rPr>
        <w:t>desde</w:t>
      </w:r>
      <w:r>
        <w:rPr>
          <w:color w:val="231F20"/>
          <w:spacing w:val="-27"/>
          <w:w w:val="105"/>
        </w:rPr>
        <w:t> </w:t>
      </w:r>
      <w:r>
        <w:rPr>
          <w:color w:val="231F20"/>
          <w:w w:val="105"/>
        </w:rPr>
        <w:t>la</w:t>
      </w:r>
      <w:r>
        <w:rPr>
          <w:color w:val="231F20"/>
          <w:spacing w:val="-27"/>
          <w:w w:val="105"/>
        </w:rPr>
        <w:t> </w:t>
      </w:r>
      <w:r>
        <w:rPr>
          <w:color w:val="231F20"/>
          <w:w w:val="105"/>
        </w:rPr>
        <w:t>observación</w:t>
      </w:r>
      <w:r>
        <w:rPr>
          <w:color w:val="231F20"/>
          <w:spacing w:val="-27"/>
          <w:w w:val="105"/>
        </w:rPr>
        <w:t> </w:t>
      </w:r>
      <w:r>
        <w:rPr>
          <w:color w:val="231F20"/>
          <w:w w:val="105"/>
        </w:rPr>
        <w:t>científica de</w:t>
      </w:r>
      <w:r>
        <w:rPr>
          <w:color w:val="231F20"/>
          <w:spacing w:val="-21"/>
          <w:w w:val="105"/>
        </w:rPr>
        <w:t> </w:t>
      </w:r>
      <w:r>
        <w:rPr>
          <w:color w:val="231F20"/>
          <w:w w:val="105"/>
        </w:rPr>
        <w:t>la</w:t>
      </w:r>
      <w:r>
        <w:rPr>
          <w:color w:val="231F20"/>
          <w:spacing w:val="-21"/>
          <w:w w:val="105"/>
        </w:rPr>
        <w:t> </w:t>
      </w:r>
      <w:r>
        <w:rPr>
          <w:color w:val="231F20"/>
          <w:w w:val="105"/>
        </w:rPr>
        <w:t>realidad</w:t>
      </w:r>
      <w:r>
        <w:rPr>
          <w:color w:val="231F20"/>
          <w:spacing w:val="-21"/>
          <w:w w:val="105"/>
        </w:rPr>
        <w:t> </w:t>
      </w:r>
      <w:r>
        <w:rPr>
          <w:color w:val="231F20"/>
          <w:w w:val="105"/>
        </w:rPr>
        <w:t>política</w:t>
      </w:r>
      <w:r>
        <w:rPr>
          <w:color w:val="231F20"/>
          <w:spacing w:val="-21"/>
          <w:w w:val="105"/>
        </w:rPr>
        <w:t> </w:t>
      </w:r>
      <w:r>
        <w:rPr>
          <w:color w:val="231F20"/>
          <w:w w:val="105"/>
        </w:rPr>
        <w:t>y</w:t>
      </w:r>
      <w:r>
        <w:rPr>
          <w:color w:val="231F20"/>
          <w:spacing w:val="-21"/>
          <w:w w:val="105"/>
        </w:rPr>
        <w:t> </w:t>
      </w:r>
      <w:r>
        <w:rPr>
          <w:color w:val="231F20"/>
          <w:w w:val="105"/>
        </w:rPr>
        <w:t>del</w:t>
      </w:r>
      <w:r>
        <w:rPr>
          <w:color w:val="231F20"/>
          <w:spacing w:val="-21"/>
          <w:w w:val="105"/>
        </w:rPr>
        <w:t> </w:t>
      </w:r>
      <w:r>
        <w:rPr>
          <w:color w:val="231F20"/>
          <w:w w:val="105"/>
        </w:rPr>
        <w:t>repensamiento</w:t>
      </w:r>
      <w:r>
        <w:rPr>
          <w:color w:val="231F20"/>
          <w:spacing w:val="-21"/>
          <w:w w:val="105"/>
        </w:rPr>
        <w:t> </w:t>
      </w:r>
      <w:r>
        <w:rPr>
          <w:color w:val="231F20"/>
          <w:w w:val="105"/>
        </w:rPr>
        <w:t>científico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autoridad.</w:t>
      </w:r>
      <w:r>
        <w:rPr>
          <w:color w:val="231F20"/>
          <w:spacing w:val="-21"/>
          <w:w w:val="105"/>
        </w:rPr>
        <w:t> </w:t>
      </w:r>
      <w:r>
        <w:rPr>
          <w:color w:val="231F20"/>
          <w:w w:val="105"/>
        </w:rPr>
        <w:t>Pero como</w:t>
      </w:r>
      <w:r>
        <w:rPr>
          <w:color w:val="231F20"/>
          <w:spacing w:val="-28"/>
          <w:w w:val="105"/>
        </w:rPr>
        <w:t> </w:t>
      </w:r>
      <w:r>
        <w:rPr>
          <w:color w:val="231F20"/>
          <w:w w:val="105"/>
        </w:rPr>
        <w:t>punto</w:t>
      </w:r>
      <w:r>
        <w:rPr>
          <w:color w:val="231F20"/>
          <w:spacing w:val="-28"/>
          <w:w w:val="105"/>
        </w:rPr>
        <w:t> </w:t>
      </w:r>
      <w:r>
        <w:rPr>
          <w:color w:val="231F20"/>
          <w:w w:val="105"/>
        </w:rPr>
        <w:t>de</w:t>
      </w:r>
      <w:r>
        <w:rPr>
          <w:color w:val="231F20"/>
          <w:spacing w:val="-28"/>
          <w:w w:val="105"/>
        </w:rPr>
        <w:t> </w:t>
      </w:r>
      <w:r>
        <w:rPr>
          <w:color w:val="231F20"/>
          <w:w w:val="105"/>
        </w:rPr>
        <w:t>referencia</w:t>
      </w:r>
      <w:r>
        <w:rPr>
          <w:color w:val="231F20"/>
          <w:spacing w:val="-28"/>
          <w:w w:val="105"/>
        </w:rPr>
        <w:t> </w:t>
      </w:r>
      <w:r>
        <w:rPr>
          <w:color w:val="231F20"/>
          <w:w w:val="105"/>
        </w:rPr>
        <w:t>quedaba</w:t>
      </w:r>
      <w:r>
        <w:rPr>
          <w:color w:val="231F20"/>
          <w:spacing w:val="-28"/>
          <w:w w:val="105"/>
        </w:rPr>
        <w:t> </w:t>
      </w:r>
      <w:r>
        <w:rPr>
          <w:color w:val="231F20"/>
          <w:w w:val="105"/>
        </w:rPr>
        <w:t>siempre</w:t>
      </w:r>
      <w:r>
        <w:rPr>
          <w:color w:val="231F20"/>
          <w:spacing w:val="-28"/>
          <w:w w:val="105"/>
        </w:rPr>
        <w:t> </w:t>
      </w:r>
      <w:r>
        <w:rPr>
          <w:color w:val="231F20"/>
          <w:w w:val="105"/>
        </w:rPr>
        <w:t>el</w:t>
      </w:r>
      <w:r>
        <w:rPr>
          <w:color w:val="231F20"/>
          <w:spacing w:val="-28"/>
          <w:w w:val="105"/>
        </w:rPr>
        <w:t> </w:t>
      </w:r>
      <w:r>
        <w:rPr>
          <w:rFonts w:ascii="Arial" w:hAnsi="Arial"/>
          <w:i/>
          <w:color w:val="231F20"/>
          <w:w w:val="105"/>
        </w:rPr>
        <w:t>character</w:t>
      </w:r>
      <w:r>
        <w:rPr>
          <w:rFonts w:ascii="Arial" w:hAnsi="Arial"/>
          <w:i/>
          <w:color w:val="231F20"/>
          <w:spacing w:val="-20"/>
          <w:w w:val="105"/>
        </w:rPr>
        <w:t> </w:t>
      </w:r>
      <w:r>
        <w:rPr>
          <w:color w:val="231F20"/>
          <w:w w:val="105"/>
        </w:rPr>
        <w:t>individual,</w:t>
      </w:r>
      <w:r>
        <w:rPr>
          <w:color w:val="231F20"/>
          <w:spacing w:val="-28"/>
          <w:w w:val="105"/>
        </w:rPr>
        <w:t> </w:t>
      </w:r>
      <w:r>
        <w:rPr>
          <w:color w:val="231F20"/>
          <w:w w:val="105"/>
        </w:rPr>
        <w:t>es</w:t>
      </w:r>
      <w:r>
        <w:rPr>
          <w:color w:val="231F20"/>
          <w:spacing w:val="-28"/>
          <w:w w:val="105"/>
        </w:rPr>
        <w:t> </w:t>
      </w:r>
      <w:r>
        <w:rPr>
          <w:color w:val="231F20"/>
          <w:w w:val="105"/>
        </w:rPr>
        <w:t>de- cir</w:t>
      </w:r>
      <w:r>
        <w:rPr>
          <w:color w:val="231F20"/>
          <w:spacing w:val="-22"/>
          <w:w w:val="105"/>
        </w:rPr>
        <w:t> </w:t>
      </w:r>
      <w:r>
        <w:rPr>
          <w:color w:val="231F20"/>
          <w:w w:val="105"/>
        </w:rPr>
        <w:t>la</w:t>
      </w:r>
      <w:r>
        <w:rPr>
          <w:color w:val="231F20"/>
          <w:spacing w:val="-22"/>
          <w:w w:val="105"/>
        </w:rPr>
        <w:t> </w:t>
      </w:r>
      <w:r>
        <w:rPr>
          <w:color w:val="231F20"/>
          <w:w w:val="105"/>
        </w:rPr>
        <w:t>conciencia</w:t>
      </w:r>
      <w:r>
        <w:rPr>
          <w:color w:val="231F20"/>
          <w:spacing w:val="-22"/>
          <w:w w:val="105"/>
        </w:rPr>
        <w:t> </w:t>
      </w:r>
      <w:r>
        <w:rPr>
          <w:color w:val="231F20"/>
          <w:w w:val="105"/>
        </w:rPr>
        <w:t>de</w:t>
      </w:r>
      <w:r>
        <w:rPr>
          <w:color w:val="231F20"/>
          <w:spacing w:val="-22"/>
          <w:w w:val="105"/>
        </w:rPr>
        <w:t> </w:t>
      </w:r>
      <w:r>
        <w:rPr>
          <w:color w:val="231F20"/>
          <w:w w:val="105"/>
        </w:rPr>
        <w:t>sí</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sujetos</w:t>
      </w:r>
      <w:r>
        <w:rPr>
          <w:color w:val="231F20"/>
          <w:spacing w:val="-22"/>
          <w:w w:val="105"/>
        </w:rPr>
        <w:t> </w:t>
      </w:r>
      <w:r>
        <w:rPr>
          <w:color w:val="231F20"/>
          <w:w w:val="105"/>
        </w:rPr>
        <w:t>ya</w:t>
      </w:r>
      <w:r>
        <w:rPr>
          <w:color w:val="231F20"/>
          <w:spacing w:val="-22"/>
          <w:w w:val="105"/>
        </w:rPr>
        <w:t> </w:t>
      </w:r>
      <w:r>
        <w:rPr>
          <w:color w:val="231F20"/>
          <w:w w:val="105"/>
        </w:rPr>
        <w:t>no</w:t>
      </w:r>
      <w:r>
        <w:rPr>
          <w:color w:val="231F20"/>
          <w:spacing w:val="-22"/>
          <w:w w:val="105"/>
        </w:rPr>
        <w:t> </w:t>
      </w:r>
      <w:r>
        <w:rPr>
          <w:color w:val="231F20"/>
          <w:w w:val="105"/>
        </w:rPr>
        <w:t>contrapuestos</w:t>
      </w:r>
      <w:r>
        <w:rPr>
          <w:color w:val="231F20"/>
          <w:spacing w:val="-22"/>
          <w:w w:val="105"/>
        </w:rPr>
        <w:t> </w:t>
      </w:r>
      <w:r>
        <w:rPr>
          <w:color w:val="231F20"/>
          <w:w w:val="105"/>
        </w:rPr>
        <w:t>entre</w:t>
      </w:r>
      <w:r>
        <w:rPr>
          <w:color w:val="231F20"/>
          <w:spacing w:val="-22"/>
          <w:w w:val="105"/>
        </w:rPr>
        <w:t> </w:t>
      </w:r>
      <w:r>
        <w:rPr>
          <w:color w:val="231F20"/>
          <w:w w:val="105"/>
        </w:rPr>
        <w:t>ellos</w:t>
      </w:r>
      <w:r>
        <w:rPr>
          <w:color w:val="231F20"/>
          <w:spacing w:val="-22"/>
          <w:w w:val="105"/>
        </w:rPr>
        <w:t> </w:t>
      </w:r>
      <w:r>
        <w:rPr>
          <w:color w:val="231F20"/>
          <w:w w:val="105"/>
        </w:rPr>
        <w:t>por</w:t>
      </w:r>
      <w:r>
        <w:rPr>
          <w:color w:val="231F20"/>
          <w:spacing w:val="-22"/>
          <w:w w:val="105"/>
        </w:rPr>
        <w:t> </w:t>
      </w:r>
      <w:r>
        <w:rPr>
          <w:color w:val="231F20"/>
          <w:w w:val="105"/>
        </w:rPr>
        <w:t>la</w:t>
      </w:r>
    </w:p>
    <w:p>
      <w:pPr>
        <w:pStyle w:val="BodyText"/>
        <w:spacing w:before="4"/>
        <w:rPr>
          <w:sz w:val="26"/>
        </w:rPr>
      </w:pPr>
      <w:r>
        <w:rPr/>
        <w:pict>
          <v:line style="position:absolute;mso-position-horizontal-relative:page;mso-position-vertical-relative:paragraph;z-index:6088;mso-wrap-distance-left:0;mso-wrap-distance-right:0" from="70.866096pt,18.033724pt" to="184.252096pt,18.033724pt" stroked="true" strokeweight=".3pt" strokecolor="#231f20">
            <w10:wrap type="topAndBottom"/>
          </v:line>
        </w:pict>
      </w:r>
    </w:p>
    <w:p>
      <w:pPr>
        <w:spacing w:line="204" w:lineRule="exact" w:before="8"/>
        <w:ind w:left="117" w:right="0" w:firstLine="0"/>
        <w:jc w:val="left"/>
        <w:rPr>
          <w:rFonts w:ascii="Calibri"/>
          <w:sz w:val="17"/>
        </w:rPr>
      </w:pPr>
      <w:r>
        <w:rPr>
          <w:rFonts w:ascii="Calibri"/>
          <w:color w:val="231F20"/>
          <w:position w:val="6"/>
          <w:sz w:val="10"/>
        </w:rPr>
        <w:t>49 </w:t>
      </w:r>
      <w:r>
        <w:rPr>
          <w:rFonts w:ascii="Calibri"/>
          <w:color w:val="231F20"/>
          <w:sz w:val="17"/>
        </w:rPr>
        <w:t>S. Cassese, </w:t>
      </w:r>
      <w:r>
        <w:rPr>
          <w:rFonts w:ascii="Calibri"/>
          <w:i/>
          <w:color w:val="231F20"/>
          <w:sz w:val="17"/>
        </w:rPr>
        <w:t>The Global Polity: Global Dimensions of Democracy and the Rule of Law</w:t>
      </w:r>
      <w:r>
        <w:rPr>
          <w:rFonts w:ascii="Calibri"/>
          <w:color w:val="231F20"/>
          <w:sz w:val="17"/>
        </w:rPr>
        <w:t>, Sevilla, The Global Press, 2012.</w:t>
      </w:r>
    </w:p>
    <w:p>
      <w:pPr>
        <w:spacing w:line="204" w:lineRule="exact" w:before="0"/>
        <w:ind w:left="117" w:right="0" w:firstLine="0"/>
        <w:jc w:val="left"/>
        <w:rPr>
          <w:rFonts w:ascii="Calibri"/>
          <w:sz w:val="17"/>
        </w:rPr>
      </w:pPr>
      <w:r>
        <w:rPr>
          <w:rFonts w:ascii="Calibri"/>
          <w:color w:val="231F20"/>
          <w:position w:val="6"/>
          <w:sz w:val="10"/>
        </w:rPr>
        <w:t>50 </w:t>
      </w:r>
      <w:r>
        <w:rPr>
          <w:rFonts w:ascii="Calibri"/>
          <w:color w:val="231F20"/>
          <w:sz w:val="17"/>
        </w:rPr>
        <w:t>R. Ferrari, </w:t>
      </w:r>
      <w:r>
        <w:rPr>
          <w:rFonts w:ascii="Calibri"/>
          <w:i/>
          <w:color w:val="231F20"/>
          <w:sz w:val="17"/>
        </w:rPr>
        <w:t>Beatrice Potter e la signora Webb. La politica come amministrazione del carattere</w:t>
      </w:r>
      <w:r>
        <w:rPr>
          <w:rFonts w:ascii="Calibri"/>
          <w:color w:val="231F20"/>
          <w:sz w:val="17"/>
        </w:rPr>
        <w:t>, Tesis de doctorado, Bologna 2015, director Maurizio Ricciardi.</w:t>
      </w:r>
    </w:p>
    <w:p>
      <w:pPr>
        <w:spacing w:after="0" w:line="204" w:lineRule="exact"/>
        <w:jc w:val="left"/>
        <w:rPr>
          <w:rFonts w:ascii="Calibri"/>
          <w:sz w:val="17"/>
        </w:rPr>
        <w:sectPr>
          <w:pgSz w:w="9640" w:h="13890"/>
          <w:pgMar w:top="0" w:bottom="280" w:left="1300" w:right="1200"/>
        </w:sectPr>
      </w:pPr>
    </w:p>
    <w:p>
      <w:pPr>
        <w:pStyle w:val="BodyText"/>
        <w:spacing w:line="244" w:lineRule="auto" w:before="107"/>
        <w:ind w:left="103" w:right="115"/>
        <w:jc w:val="both"/>
      </w:pPr>
      <w:r>
        <w:rPr>
          <w:color w:val="231F20"/>
        </w:rPr>
        <w:t>división social del trabajo (masculino/femenino, manual/intelectual). </w:t>
      </w:r>
      <w:r>
        <w:rPr>
          <w:color w:val="231F20"/>
          <w:spacing w:val="-7"/>
        </w:rPr>
        <w:t>Tam- </w:t>
      </w:r>
      <w:r>
        <w:rPr>
          <w:color w:val="231F20"/>
        </w:rPr>
        <w:t>bién desde esta parcialísima reconstrucción emergen mis tres medidas,</w:t>
      </w:r>
      <w:r>
        <w:rPr>
          <w:color w:val="231F20"/>
          <w:spacing w:val="-16"/>
        </w:rPr>
        <w:t> </w:t>
      </w:r>
      <w:r>
        <w:rPr>
          <w:color w:val="231F20"/>
        </w:rPr>
        <w:t>re- sumidas en la cifra total y revolucionaria del </w:t>
      </w:r>
      <w:r>
        <w:rPr>
          <w:rFonts w:ascii="Arial" w:hAnsi="Arial"/>
          <w:i/>
          <w:color w:val="231F20"/>
        </w:rPr>
        <w:t>character</w:t>
      </w:r>
      <w:r>
        <w:rPr>
          <w:color w:val="231F20"/>
        </w:rPr>
        <w:t>. Y también en este caso me parece justo subrayar la línea evolutiva, de </w:t>
      </w:r>
      <w:r>
        <w:rPr>
          <w:rFonts w:ascii="Arial" w:hAnsi="Arial"/>
          <w:i/>
          <w:color w:val="231F20"/>
        </w:rPr>
        <w:t>border as a method</w:t>
      </w:r>
      <w:r>
        <w:rPr>
          <w:color w:val="231F20"/>
        </w:rPr>
        <w:t>, en el cual surge la pregunta. El Estado ocupa sólo una pequeña parte en ambos razonamientos y está de cualquier forma destinado a dejar espacio a</w:t>
      </w:r>
      <w:r>
        <w:rPr>
          <w:color w:val="231F20"/>
          <w:spacing w:val="-13"/>
        </w:rPr>
        <w:t> </w:t>
      </w:r>
      <w:r>
        <w:rPr>
          <w:color w:val="231F20"/>
        </w:rPr>
        <w:t>algo</w:t>
      </w:r>
      <w:r>
        <w:rPr>
          <w:color w:val="231F20"/>
          <w:spacing w:val="-13"/>
        </w:rPr>
        <w:t> </w:t>
      </w:r>
      <w:r>
        <w:rPr>
          <w:color w:val="231F20"/>
        </w:rPr>
        <w:t>más.</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cuenta</w:t>
      </w:r>
      <w:r>
        <w:rPr>
          <w:color w:val="231F20"/>
          <w:spacing w:val="-13"/>
        </w:rPr>
        <w:t> </w:t>
      </w:r>
      <w:r>
        <w:rPr>
          <w:color w:val="231F20"/>
        </w:rPr>
        <w:t>es</w:t>
      </w:r>
      <w:r>
        <w:rPr>
          <w:color w:val="231F20"/>
          <w:spacing w:val="-13"/>
        </w:rPr>
        <w:t> </w:t>
      </w:r>
      <w:r>
        <w:rPr>
          <w:color w:val="231F20"/>
        </w:rPr>
        <w:t>precisamente</w:t>
      </w:r>
      <w:r>
        <w:rPr>
          <w:color w:val="231F20"/>
          <w:spacing w:val="-13"/>
        </w:rPr>
        <w:t> </w:t>
      </w:r>
      <w:r>
        <w:rPr>
          <w:color w:val="231F20"/>
        </w:rPr>
        <w:t>la</w:t>
      </w:r>
      <w:r>
        <w:rPr>
          <w:color w:val="231F20"/>
          <w:spacing w:val="-13"/>
        </w:rPr>
        <w:t> </w:t>
      </w:r>
      <w:r>
        <w:rPr>
          <w:color w:val="231F20"/>
        </w:rPr>
        <w:t>preparación</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nuevo</w:t>
      </w:r>
      <w:r>
        <w:rPr>
          <w:color w:val="231F20"/>
          <w:spacing w:val="-13"/>
        </w:rPr>
        <w:t> </w:t>
      </w:r>
      <w:r>
        <w:rPr>
          <w:color w:val="231F20"/>
        </w:rPr>
        <w:t>mé- todo “para imponer los fundamentos teóricos de una nueva </w:t>
      </w:r>
      <w:r>
        <w:rPr>
          <w:color w:val="231F20"/>
          <w:spacing w:val="17"/>
        </w:rPr>
        <w:t> </w:t>
      </w:r>
      <w:r>
        <w:rPr>
          <w:color w:val="231F20"/>
        </w:rPr>
        <w:t>civilización”.</w:t>
      </w:r>
    </w:p>
    <w:p>
      <w:pPr>
        <w:pStyle w:val="BodyText"/>
        <w:spacing w:line="247" w:lineRule="auto" w:before="1"/>
        <w:ind w:left="103" w:right="115" w:firstLine="566"/>
        <w:jc w:val="both"/>
      </w:pPr>
      <w:r>
        <w:rPr>
          <w:color w:val="231F20"/>
        </w:rPr>
        <w:t>No me sorprende que la pregunta sobre el Estado me haya llevado  a estas conclusiones. El Estado efectivamente ha sido una cosa muy se- ria, pero también circunstancial. Y si las circunstancias cambian profunda- mente, será difícil que esa “cosa” pueda circunstanciarse ulteriormente.</w:t>
      </w:r>
      <w:r>
        <w:rPr>
          <w:color w:val="231F20"/>
          <w:spacing w:val="-30"/>
        </w:rPr>
        <w:t> </w:t>
      </w:r>
      <w:r>
        <w:rPr>
          <w:color w:val="231F20"/>
        </w:rPr>
        <w:t>En cambio será fácil que se presenten circunstancias diversas, cuya novedad se debe </w:t>
      </w:r>
      <w:r>
        <w:rPr>
          <w:color w:val="231F20"/>
          <w:spacing w:val="-3"/>
        </w:rPr>
        <w:t>captar, </w:t>
      </w:r>
      <w:r>
        <w:rPr>
          <w:color w:val="231F20"/>
        </w:rPr>
        <w:t>asumiendo que ésta podrá siempre ser sólo relativa. En la búsqueda se tendrán presentes todos los ingredientes que han hecho del Estado, por algunos siglos, la figura principal de la política en su versión moderna y occidental: de la centralidad de la persona a sus requisitos fun- damentales de igualdad y libertad, de la exigencia primaria de seguridad  y de paz a las premisas de justicia y de comunidad, de la importancia del Derecho a las funciones democráticas clásicas de participación y represen- tación. Pero no bastará. Saber qué más buscar es exactamente la tarea</w:t>
      </w:r>
      <w:r>
        <w:rPr>
          <w:color w:val="231F20"/>
          <w:spacing w:val="-15"/>
        </w:rPr>
        <w:t> </w:t>
      </w:r>
      <w:r>
        <w:rPr>
          <w:color w:val="231F20"/>
        </w:rPr>
        <w:t>de nosotros los investigadores: siempre y cuando se trate de cualquier forma de “sociable discourse”, en el sentido que le daba Margaret Cavendish hace cerca de 300 años: “as being more</w:t>
      </w:r>
      <w:r>
        <w:rPr>
          <w:color w:val="231F20"/>
          <w:spacing w:val="16"/>
        </w:rPr>
        <w:t> </w:t>
      </w:r>
      <w:r>
        <w:rPr>
          <w:color w:val="231F20"/>
        </w:rPr>
        <w:t>conceivable”</w:t>
      </w:r>
      <w:r>
        <w:rPr>
          <w:color w:val="231F20"/>
          <w:position w:val="7"/>
          <w:sz w:val="12"/>
        </w:rPr>
        <w:t>51</w:t>
      </w:r>
      <w:r>
        <w:rPr>
          <w:color w:val="231F20"/>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3"/>
        </w:rPr>
      </w:pPr>
      <w:r>
        <w:rPr/>
        <w:pict>
          <v:line style="position:absolute;mso-position-horizontal-relative:page;mso-position-vertical-relative:paragraph;z-index:6136;mso-wrap-distance-left:0;mso-wrap-distance-right:0" from="65.196899pt,10.52271pt" to="178.582899pt,10.52271pt" stroked="true" strokeweight=".3pt" strokecolor="#231f20">
            <w10:wrap type="topAndBottom"/>
          </v:line>
        </w:pict>
      </w:r>
    </w:p>
    <w:p>
      <w:pPr>
        <w:spacing w:line="204" w:lineRule="exact" w:before="9"/>
        <w:ind w:left="103" w:right="115" w:firstLine="0"/>
        <w:jc w:val="both"/>
        <w:rPr>
          <w:rFonts w:ascii="Calibri" w:hAnsi="Calibri"/>
          <w:sz w:val="17"/>
        </w:rPr>
      </w:pPr>
      <w:r>
        <w:rPr>
          <w:rFonts w:ascii="Calibri" w:hAnsi="Calibri"/>
          <w:color w:val="231F20"/>
          <w:w w:val="105"/>
          <w:position w:val="6"/>
          <w:sz w:val="10"/>
        </w:rPr>
        <w:t>51</w:t>
      </w:r>
      <w:r>
        <w:rPr>
          <w:rFonts w:ascii="Calibri" w:hAnsi="Calibri"/>
          <w:color w:val="231F20"/>
          <w:spacing w:val="13"/>
          <w:w w:val="105"/>
          <w:position w:val="6"/>
          <w:sz w:val="10"/>
        </w:rPr>
        <w:t> </w:t>
      </w:r>
      <w:r>
        <w:rPr>
          <w:rFonts w:ascii="Calibri" w:hAnsi="Calibri"/>
          <w:color w:val="231F20"/>
          <w:w w:val="105"/>
          <w:sz w:val="17"/>
        </w:rPr>
        <w:t>Estoy</w:t>
      </w:r>
      <w:r>
        <w:rPr>
          <w:rFonts w:ascii="Calibri" w:hAnsi="Calibri"/>
          <w:color w:val="231F20"/>
          <w:spacing w:val="-4"/>
          <w:w w:val="105"/>
          <w:sz w:val="17"/>
        </w:rPr>
        <w:t> </w:t>
      </w:r>
      <w:r>
        <w:rPr>
          <w:rFonts w:ascii="Calibri" w:hAnsi="Calibri"/>
          <w:color w:val="231F20"/>
          <w:w w:val="105"/>
          <w:sz w:val="17"/>
        </w:rPr>
        <w:t>citando</w:t>
      </w:r>
      <w:r>
        <w:rPr>
          <w:rFonts w:ascii="Calibri" w:hAnsi="Calibri"/>
          <w:color w:val="231F20"/>
          <w:spacing w:val="-4"/>
          <w:w w:val="105"/>
          <w:sz w:val="17"/>
        </w:rPr>
        <w:t> </w:t>
      </w:r>
      <w:r>
        <w:rPr>
          <w:rFonts w:ascii="Calibri" w:hAnsi="Calibri"/>
          <w:color w:val="231F20"/>
          <w:w w:val="105"/>
          <w:sz w:val="17"/>
        </w:rPr>
        <w:t>a</w:t>
      </w:r>
      <w:r>
        <w:rPr>
          <w:rFonts w:ascii="Calibri" w:hAnsi="Calibri"/>
          <w:color w:val="231F20"/>
          <w:spacing w:val="-4"/>
          <w:w w:val="105"/>
          <w:sz w:val="17"/>
        </w:rPr>
        <w:t> </w:t>
      </w:r>
      <w:r>
        <w:rPr>
          <w:rFonts w:ascii="Calibri" w:hAnsi="Calibri"/>
          <w:color w:val="231F20"/>
          <w:w w:val="105"/>
          <w:sz w:val="17"/>
        </w:rPr>
        <w:t>Ch.</w:t>
      </w:r>
      <w:r>
        <w:rPr>
          <w:rFonts w:ascii="Calibri" w:hAnsi="Calibri"/>
          <w:color w:val="231F20"/>
          <w:spacing w:val="-4"/>
          <w:w w:val="105"/>
          <w:sz w:val="17"/>
        </w:rPr>
        <w:t> </w:t>
      </w:r>
      <w:r>
        <w:rPr>
          <w:rFonts w:ascii="Calibri" w:hAnsi="Calibri"/>
          <w:color w:val="231F20"/>
          <w:w w:val="105"/>
          <w:sz w:val="17"/>
        </w:rPr>
        <w:t>Malcolmson,</w:t>
      </w:r>
      <w:r>
        <w:rPr>
          <w:rFonts w:ascii="Calibri" w:hAnsi="Calibri"/>
          <w:color w:val="231F20"/>
          <w:spacing w:val="-4"/>
          <w:w w:val="105"/>
          <w:sz w:val="17"/>
        </w:rPr>
        <w:t> </w:t>
      </w:r>
      <w:r>
        <w:rPr>
          <w:rFonts w:ascii="Calibri" w:hAnsi="Calibri"/>
          <w:color w:val="231F20"/>
          <w:w w:val="105"/>
          <w:sz w:val="17"/>
        </w:rPr>
        <w:t>“Christine</w:t>
      </w:r>
      <w:r>
        <w:rPr>
          <w:rFonts w:ascii="Calibri" w:hAnsi="Calibri"/>
          <w:color w:val="231F20"/>
          <w:spacing w:val="-4"/>
          <w:w w:val="105"/>
          <w:sz w:val="17"/>
        </w:rPr>
        <w:t> </w:t>
      </w:r>
      <w:r>
        <w:rPr>
          <w:rFonts w:ascii="Calibri" w:hAnsi="Calibri"/>
          <w:color w:val="231F20"/>
          <w:w w:val="105"/>
          <w:sz w:val="17"/>
        </w:rPr>
        <w:t>de</w:t>
      </w:r>
      <w:r>
        <w:rPr>
          <w:rFonts w:ascii="Calibri" w:hAnsi="Calibri"/>
          <w:color w:val="231F20"/>
          <w:spacing w:val="-4"/>
          <w:w w:val="105"/>
          <w:sz w:val="17"/>
        </w:rPr>
        <w:t> </w:t>
      </w:r>
      <w:r>
        <w:rPr>
          <w:rFonts w:ascii="Calibri" w:hAnsi="Calibri"/>
          <w:color w:val="231F20"/>
          <w:w w:val="105"/>
          <w:sz w:val="17"/>
        </w:rPr>
        <w:t>Pizan’s</w:t>
      </w:r>
      <w:r>
        <w:rPr>
          <w:rFonts w:ascii="Calibri" w:hAnsi="Calibri"/>
          <w:color w:val="231F20"/>
          <w:spacing w:val="-4"/>
          <w:w w:val="105"/>
          <w:sz w:val="17"/>
        </w:rPr>
        <w:t> </w:t>
      </w:r>
      <w:r>
        <w:rPr>
          <w:rFonts w:ascii="Calibri" w:hAnsi="Calibri"/>
          <w:color w:val="231F20"/>
          <w:w w:val="105"/>
          <w:sz w:val="17"/>
        </w:rPr>
        <w:t>City</w:t>
      </w:r>
      <w:r>
        <w:rPr>
          <w:rFonts w:ascii="Calibri" w:hAnsi="Calibri"/>
          <w:color w:val="231F20"/>
          <w:spacing w:val="-4"/>
          <w:w w:val="105"/>
          <w:sz w:val="17"/>
        </w:rPr>
        <w:t> </w:t>
      </w:r>
      <w:r>
        <w:rPr>
          <w:rFonts w:ascii="Calibri" w:hAnsi="Calibri"/>
          <w:color w:val="231F20"/>
          <w:w w:val="105"/>
          <w:sz w:val="17"/>
        </w:rPr>
        <w:t>of</w:t>
      </w:r>
      <w:r>
        <w:rPr>
          <w:rFonts w:ascii="Calibri" w:hAnsi="Calibri"/>
          <w:color w:val="231F20"/>
          <w:spacing w:val="-4"/>
          <w:w w:val="105"/>
          <w:sz w:val="17"/>
        </w:rPr>
        <w:t> </w:t>
      </w:r>
      <w:r>
        <w:rPr>
          <w:rFonts w:ascii="Calibri" w:hAnsi="Calibri"/>
          <w:color w:val="231F20"/>
          <w:w w:val="105"/>
          <w:sz w:val="17"/>
        </w:rPr>
        <w:t>Ladies</w:t>
      </w:r>
      <w:r>
        <w:rPr>
          <w:rFonts w:ascii="Calibri" w:hAnsi="Calibri"/>
          <w:color w:val="231F20"/>
          <w:spacing w:val="-4"/>
          <w:w w:val="105"/>
          <w:sz w:val="17"/>
        </w:rPr>
        <w:t> </w:t>
      </w:r>
      <w:r>
        <w:rPr>
          <w:rFonts w:ascii="Calibri" w:hAnsi="Calibri"/>
          <w:color w:val="231F20"/>
          <w:w w:val="105"/>
          <w:sz w:val="17"/>
        </w:rPr>
        <w:t>in</w:t>
      </w:r>
      <w:r>
        <w:rPr>
          <w:rFonts w:ascii="Calibri" w:hAnsi="Calibri"/>
          <w:color w:val="231F20"/>
          <w:spacing w:val="-4"/>
          <w:w w:val="105"/>
          <w:sz w:val="17"/>
        </w:rPr>
        <w:t> </w:t>
      </w:r>
      <w:r>
        <w:rPr>
          <w:rFonts w:ascii="Calibri" w:hAnsi="Calibri"/>
          <w:color w:val="231F20"/>
          <w:w w:val="105"/>
          <w:sz w:val="17"/>
        </w:rPr>
        <w:t>Early</w:t>
      </w:r>
      <w:r>
        <w:rPr>
          <w:rFonts w:ascii="Calibri" w:hAnsi="Calibri"/>
          <w:color w:val="231F20"/>
          <w:spacing w:val="-4"/>
          <w:w w:val="105"/>
          <w:sz w:val="17"/>
        </w:rPr>
        <w:t> </w:t>
      </w:r>
      <w:r>
        <w:rPr>
          <w:rFonts w:ascii="Calibri" w:hAnsi="Calibri"/>
          <w:color w:val="231F20"/>
          <w:w w:val="105"/>
          <w:sz w:val="17"/>
        </w:rPr>
        <w:t>Modern</w:t>
      </w:r>
      <w:r>
        <w:rPr>
          <w:rFonts w:ascii="Calibri" w:hAnsi="Calibri"/>
          <w:color w:val="231F20"/>
          <w:spacing w:val="-4"/>
          <w:w w:val="105"/>
          <w:sz w:val="17"/>
        </w:rPr>
        <w:t> </w:t>
      </w:r>
      <w:r>
        <w:rPr>
          <w:rFonts w:ascii="Calibri" w:hAnsi="Calibri"/>
          <w:color w:val="231F20"/>
          <w:w w:val="105"/>
          <w:sz w:val="17"/>
        </w:rPr>
        <w:t>England”, Ch.</w:t>
      </w:r>
      <w:r>
        <w:rPr>
          <w:rFonts w:ascii="Calibri" w:hAnsi="Calibri"/>
          <w:color w:val="231F20"/>
          <w:spacing w:val="-29"/>
          <w:w w:val="105"/>
          <w:sz w:val="17"/>
        </w:rPr>
        <w:t> </w:t>
      </w:r>
      <w:r>
        <w:rPr>
          <w:rFonts w:ascii="Calibri" w:hAnsi="Calibri"/>
          <w:color w:val="231F20"/>
          <w:w w:val="105"/>
          <w:sz w:val="17"/>
        </w:rPr>
        <w:t>Malcolmson</w:t>
      </w:r>
      <w:r>
        <w:rPr>
          <w:rFonts w:ascii="Calibri" w:hAnsi="Calibri"/>
          <w:color w:val="231F20"/>
          <w:spacing w:val="-30"/>
          <w:w w:val="105"/>
          <w:sz w:val="17"/>
        </w:rPr>
        <w:t> </w:t>
      </w:r>
      <w:r>
        <w:rPr>
          <w:rFonts w:ascii="Calibri" w:hAnsi="Calibri"/>
          <w:color w:val="231F20"/>
          <w:w w:val="105"/>
          <w:sz w:val="17"/>
        </w:rPr>
        <w:t>y</w:t>
      </w:r>
      <w:r>
        <w:rPr>
          <w:rFonts w:ascii="Calibri" w:hAnsi="Calibri"/>
          <w:color w:val="231F20"/>
          <w:spacing w:val="-29"/>
          <w:w w:val="105"/>
          <w:sz w:val="17"/>
        </w:rPr>
        <w:t> </w:t>
      </w:r>
      <w:r>
        <w:rPr>
          <w:rFonts w:ascii="Calibri" w:hAnsi="Calibri"/>
          <w:color w:val="231F20"/>
          <w:w w:val="105"/>
          <w:sz w:val="17"/>
        </w:rPr>
        <w:t>M.</w:t>
      </w:r>
      <w:r>
        <w:rPr>
          <w:rFonts w:ascii="Calibri" w:hAnsi="Calibri"/>
          <w:color w:val="231F20"/>
          <w:spacing w:val="-29"/>
          <w:w w:val="105"/>
          <w:sz w:val="17"/>
        </w:rPr>
        <w:t> </w:t>
      </w:r>
      <w:r>
        <w:rPr>
          <w:rFonts w:ascii="Calibri" w:hAnsi="Calibri"/>
          <w:color w:val="231F20"/>
          <w:w w:val="105"/>
          <w:sz w:val="17"/>
        </w:rPr>
        <w:t>Suzuki</w:t>
      </w:r>
      <w:r>
        <w:rPr>
          <w:rFonts w:ascii="Calibri" w:hAnsi="Calibri"/>
          <w:color w:val="231F20"/>
          <w:spacing w:val="-29"/>
          <w:w w:val="105"/>
          <w:sz w:val="17"/>
        </w:rPr>
        <w:t> </w:t>
      </w:r>
      <w:r>
        <w:rPr>
          <w:rFonts w:ascii="Calibri" w:hAnsi="Calibri"/>
          <w:color w:val="231F20"/>
          <w:w w:val="105"/>
          <w:sz w:val="17"/>
        </w:rPr>
        <w:t>(Eds.),</w:t>
      </w:r>
      <w:r>
        <w:rPr>
          <w:rFonts w:ascii="Calibri" w:hAnsi="Calibri"/>
          <w:color w:val="231F20"/>
          <w:spacing w:val="-29"/>
          <w:w w:val="105"/>
          <w:sz w:val="17"/>
        </w:rPr>
        <w:t> </w:t>
      </w:r>
      <w:r>
        <w:rPr>
          <w:rFonts w:ascii="Calibri" w:hAnsi="Calibri"/>
          <w:i/>
          <w:color w:val="231F20"/>
          <w:w w:val="105"/>
          <w:sz w:val="17"/>
        </w:rPr>
        <w:t>Debating</w:t>
      </w:r>
      <w:r>
        <w:rPr>
          <w:rFonts w:ascii="Calibri" w:hAnsi="Calibri"/>
          <w:i/>
          <w:color w:val="231F20"/>
          <w:spacing w:val="-30"/>
          <w:w w:val="105"/>
          <w:sz w:val="17"/>
        </w:rPr>
        <w:t> </w:t>
      </w:r>
      <w:r>
        <w:rPr>
          <w:rFonts w:ascii="Calibri" w:hAnsi="Calibri"/>
          <w:i/>
          <w:color w:val="231F20"/>
          <w:w w:val="105"/>
          <w:sz w:val="17"/>
        </w:rPr>
        <w:t>Gender</w:t>
      </w:r>
      <w:r>
        <w:rPr>
          <w:rFonts w:ascii="Calibri" w:hAnsi="Calibri"/>
          <w:i/>
          <w:color w:val="231F20"/>
          <w:spacing w:val="-30"/>
          <w:w w:val="105"/>
          <w:sz w:val="17"/>
        </w:rPr>
        <w:t> </w:t>
      </w:r>
      <w:r>
        <w:rPr>
          <w:rFonts w:ascii="Calibri" w:hAnsi="Calibri"/>
          <w:i/>
          <w:color w:val="231F20"/>
          <w:w w:val="105"/>
          <w:sz w:val="17"/>
        </w:rPr>
        <w:t>in</w:t>
      </w:r>
      <w:r>
        <w:rPr>
          <w:rFonts w:ascii="Calibri" w:hAnsi="Calibri"/>
          <w:i/>
          <w:color w:val="231F20"/>
          <w:spacing w:val="-30"/>
          <w:w w:val="105"/>
          <w:sz w:val="17"/>
        </w:rPr>
        <w:t> </w:t>
      </w:r>
      <w:r>
        <w:rPr>
          <w:rFonts w:ascii="Calibri" w:hAnsi="Calibri"/>
          <w:i/>
          <w:color w:val="231F20"/>
          <w:w w:val="105"/>
          <w:sz w:val="17"/>
        </w:rPr>
        <w:t>Early</w:t>
      </w:r>
      <w:r>
        <w:rPr>
          <w:rFonts w:ascii="Calibri" w:hAnsi="Calibri"/>
          <w:i/>
          <w:color w:val="231F20"/>
          <w:spacing w:val="-30"/>
          <w:w w:val="105"/>
          <w:sz w:val="17"/>
        </w:rPr>
        <w:t> </w:t>
      </w:r>
      <w:r>
        <w:rPr>
          <w:rFonts w:ascii="Calibri" w:hAnsi="Calibri"/>
          <w:i/>
          <w:color w:val="231F20"/>
          <w:w w:val="105"/>
          <w:sz w:val="17"/>
        </w:rPr>
        <w:t>Modern</w:t>
      </w:r>
      <w:r>
        <w:rPr>
          <w:rFonts w:ascii="Calibri" w:hAnsi="Calibri"/>
          <w:i/>
          <w:color w:val="231F20"/>
          <w:spacing w:val="-30"/>
          <w:w w:val="105"/>
          <w:sz w:val="17"/>
        </w:rPr>
        <w:t> </w:t>
      </w:r>
      <w:r>
        <w:rPr>
          <w:rFonts w:ascii="Calibri" w:hAnsi="Calibri"/>
          <w:i/>
          <w:color w:val="231F20"/>
          <w:w w:val="105"/>
          <w:sz w:val="17"/>
        </w:rPr>
        <w:t>England,</w:t>
      </w:r>
      <w:r>
        <w:rPr>
          <w:rFonts w:ascii="Calibri" w:hAnsi="Calibri"/>
          <w:i/>
          <w:color w:val="231F20"/>
          <w:spacing w:val="-30"/>
          <w:w w:val="105"/>
          <w:sz w:val="17"/>
        </w:rPr>
        <w:t> </w:t>
      </w:r>
      <w:r>
        <w:rPr>
          <w:rFonts w:ascii="Calibri" w:hAnsi="Calibri"/>
          <w:i/>
          <w:color w:val="231F20"/>
          <w:w w:val="105"/>
          <w:sz w:val="17"/>
        </w:rPr>
        <w:t>1500</w:t>
      </w:r>
      <w:r>
        <w:rPr>
          <w:rFonts w:ascii="Calibri" w:hAnsi="Calibri"/>
          <w:color w:val="231F20"/>
          <w:w w:val="105"/>
          <w:sz w:val="17"/>
        </w:rPr>
        <w:t>–</w:t>
      </w:r>
      <w:r>
        <w:rPr>
          <w:rFonts w:ascii="Calibri" w:hAnsi="Calibri"/>
          <w:i/>
          <w:color w:val="231F20"/>
          <w:w w:val="105"/>
          <w:sz w:val="17"/>
        </w:rPr>
        <w:t>1700</w:t>
      </w:r>
      <w:r>
        <w:rPr>
          <w:rFonts w:ascii="Calibri" w:hAnsi="Calibri"/>
          <w:color w:val="231F20"/>
          <w:w w:val="105"/>
          <w:sz w:val="17"/>
        </w:rPr>
        <w:t>,</w:t>
      </w:r>
      <w:r>
        <w:rPr>
          <w:rFonts w:ascii="Calibri" w:hAnsi="Calibri"/>
          <w:color w:val="231F20"/>
          <w:spacing w:val="-29"/>
          <w:w w:val="105"/>
          <w:sz w:val="17"/>
        </w:rPr>
        <w:t> </w:t>
      </w:r>
      <w:r>
        <w:rPr>
          <w:rFonts w:ascii="Calibri" w:hAnsi="Calibri"/>
          <w:color w:val="231F20"/>
          <w:w w:val="105"/>
          <w:sz w:val="17"/>
        </w:rPr>
        <w:t>New</w:t>
      </w:r>
      <w:r>
        <w:rPr>
          <w:rFonts w:ascii="Calibri" w:hAnsi="Calibri"/>
          <w:color w:val="231F20"/>
          <w:spacing w:val="-31"/>
          <w:w w:val="105"/>
          <w:sz w:val="17"/>
        </w:rPr>
        <w:t> </w:t>
      </w:r>
      <w:r>
        <w:rPr>
          <w:rFonts w:ascii="Calibri" w:hAnsi="Calibri"/>
          <w:color w:val="231F20"/>
          <w:w w:val="105"/>
          <w:sz w:val="17"/>
        </w:rPr>
        <w:t>York, Palgrave, 2002, tras la gentil sugerencia de Eleonora Cappuccilli, de quien hay que revisar: “Re- markable</w:t>
      </w:r>
      <w:r>
        <w:rPr>
          <w:rFonts w:ascii="Calibri" w:hAnsi="Calibri"/>
          <w:color w:val="231F20"/>
          <w:spacing w:val="-15"/>
          <w:w w:val="105"/>
          <w:sz w:val="17"/>
        </w:rPr>
        <w:t> </w:t>
      </w:r>
      <w:r>
        <w:rPr>
          <w:rFonts w:ascii="Calibri" w:hAnsi="Calibri"/>
          <w:color w:val="231F20"/>
          <w:w w:val="105"/>
          <w:sz w:val="17"/>
        </w:rPr>
        <w:t>Women</w:t>
      </w:r>
      <w:r>
        <w:rPr>
          <w:rFonts w:ascii="Calibri" w:hAnsi="Calibri"/>
          <w:color w:val="231F20"/>
          <w:spacing w:val="-12"/>
          <w:w w:val="105"/>
          <w:sz w:val="17"/>
        </w:rPr>
        <w:t> </w:t>
      </w:r>
      <w:r>
        <w:rPr>
          <w:rFonts w:ascii="Calibri" w:hAnsi="Calibri"/>
          <w:color w:val="231F20"/>
          <w:w w:val="105"/>
          <w:sz w:val="17"/>
        </w:rPr>
        <w:t>in</w:t>
      </w:r>
      <w:r>
        <w:rPr>
          <w:rFonts w:ascii="Calibri" w:hAnsi="Calibri"/>
          <w:color w:val="231F20"/>
          <w:spacing w:val="-12"/>
          <w:w w:val="105"/>
          <w:sz w:val="17"/>
        </w:rPr>
        <w:t> </w:t>
      </w:r>
      <w:r>
        <w:rPr>
          <w:rFonts w:ascii="Calibri" w:hAnsi="Calibri"/>
          <w:color w:val="231F20"/>
          <w:w w:val="105"/>
          <w:sz w:val="17"/>
        </w:rPr>
        <w:t>a</w:t>
      </w:r>
      <w:r>
        <w:rPr>
          <w:rFonts w:ascii="Calibri" w:hAnsi="Calibri"/>
          <w:color w:val="231F20"/>
          <w:spacing w:val="-12"/>
          <w:w w:val="105"/>
          <w:sz w:val="17"/>
        </w:rPr>
        <w:t> </w:t>
      </w:r>
      <w:r>
        <w:rPr>
          <w:rFonts w:ascii="Calibri" w:hAnsi="Calibri"/>
          <w:color w:val="231F20"/>
          <w:w w:val="105"/>
          <w:sz w:val="17"/>
        </w:rPr>
        <w:t>Remarkable</w:t>
      </w:r>
      <w:r>
        <w:rPr>
          <w:rFonts w:ascii="Calibri" w:hAnsi="Calibri"/>
          <w:color w:val="231F20"/>
          <w:spacing w:val="-12"/>
          <w:w w:val="105"/>
          <w:sz w:val="17"/>
        </w:rPr>
        <w:t> </w:t>
      </w:r>
      <w:r>
        <w:rPr>
          <w:rFonts w:ascii="Calibri" w:hAnsi="Calibri"/>
          <w:color w:val="231F20"/>
          <w:w w:val="105"/>
          <w:sz w:val="17"/>
        </w:rPr>
        <w:t>Age.</w:t>
      </w:r>
      <w:r>
        <w:rPr>
          <w:rFonts w:ascii="Calibri" w:hAnsi="Calibri"/>
          <w:color w:val="231F20"/>
          <w:spacing w:val="-12"/>
          <w:w w:val="105"/>
          <w:sz w:val="17"/>
        </w:rPr>
        <w:t> </w:t>
      </w:r>
      <w:r>
        <w:rPr>
          <w:rFonts w:ascii="Calibri" w:hAnsi="Calibri"/>
          <w:color w:val="231F20"/>
          <w:w w:val="105"/>
          <w:sz w:val="17"/>
        </w:rPr>
        <w:t>On</w:t>
      </w:r>
      <w:r>
        <w:rPr>
          <w:rFonts w:ascii="Calibri" w:hAnsi="Calibri"/>
          <w:color w:val="231F20"/>
          <w:spacing w:val="-12"/>
          <w:w w:val="105"/>
          <w:sz w:val="17"/>
        </w:rPr>
        <w:t> </w:t>
      </w:r>
      <w:r>
        <w:rPr>
          <w:rFonts w:ascii="Calibri" w:hAnsi="Calibri"/>
          <w:color w:val="231F20"/>
          <w:w w:val="105"/>
          <w:sz w:val="17"/>
        </w:rPr>
        <w:t>the</w:t>
      </w:r>
      <w:r>
        <w:rPr>
          <w:rFonts w:ascii="Calibri" w:hAnsi="Calibri"/>
          <w:color w:val="231F20"/>
          <w:spacing w:val="-12"/>
          <w:w w:val="105"/>
          <w:sz w:val="17"/>
        </w:rPr>
        <w:t> </w:t>
      </w:r>
      <w:r>
        <w:rPr>
          <w:rFonts w:ascii="Calibri" w:hAnsi="Calibri"/>
          <w:color w:val="231F20"/>
          <w:w w:val="105"/>
          <w:sz w:val="17"/>
        </w:rPr>
        <w:t>Genesis</w:t>
      </w:r>
      <w:r>
        <w:rPr>
          <w:rFonts w:ascii="Calibri" w:hAnsi="Calibri"/>
          <w:color w:val="231F20"/>
          <w:spacing w:val="-12"/>
          <w:w w:val="105"/>
          <w:sz w:val="17"/>
        </w:rPr>
        <w:t> </w:t>
      </w:r>
      <w:r>
        <w:rPr>
          <w:rFonts w:ascii="Calibri" w:hAnsi="Calibri"/>
          <w:color w:val="231F20"/>
          <w:w w:val="105"/>
          <w:sz w:val="17"/>
        </w:rPr>
        <w:t>of</w:t>
      </w:r>
      <w:r>
        <w:rPr>
          <w:rFonts w:ascii="Calibri" w:hAnsi="Calibri"/>
          <w:color w:val="231F20"/>
          <w:spacing w:val="-12"/>
          <w:w w:val="105"/>
          <w:sz w:val="17"/>
        </w:rPr>
        <w:t> </w:t>
      </w:r>
      <w:r>
        <w:rPr>
          <w:rFonts w:ascii="Calibri" w:hAnsi="Calibri"/>
          <w:color w:val="231F20"/>
          <w:w w:val="105"/>
          <w:sz w:val="17"/>
        </w:rPr>
        <w:t>the</w:t>
      </w:r>
      <w:r>
        <w:rPr>
          <w:rFonts w:ascii="Calibri" w:hAnsi="Calibri"/>
          <w:color w:val="231F20"/>
          <w:spacing w:val="-12"/>
          <w:w w:val="105"/>
          <w:sz w:val="17"/>
        </w:rPr>
        <w:t> </w:t>
      </w:r>
      <w:r>
        <w:rPr>
          <w:rFonts w:ascii="Calibri" w:hAnsi="Calibri"/>
          <w:color w:val="231F20"/>
          <w:w w:val="105"/>
          <w:sz w:val="17"/>
        </w:rPr>
        <w:t>English</w:t>
      </w:r>
      <w:r>
        <w:rPr>
          <w:rFonts w:ascii="Calibri" w:hAnsi="Calibri"/>
          <w:color w:val="231F20"/>
          <w:spacing w:val="-12"/>
          <w:w w:val="105"/>
          <w:sz w:val="17"/>
        </w:rPr>
        <w:t> </w:t>
      </w:r>
      <w:r>
        <w:rPr>
          <w:rFonts w:ascii="Calibri" w:hAnsi="Calibri"/>
          <w:color w:val="231F20"/>
          <w:w w:val="105"/>
          <w:sz w:val="17"/>
        </w:rPr>
        <w:t>Public</w:t>
      </w:r>
      <w:r>
        <w:rPr>
          <w:rFonts w:ascii="Calibri" w:hAnsi="Calibri"/>
          <w:color w:val="231F20"/>
          <w:spacing w:val="-12"/>
          <w:w w:val="105"/>
          <w:sz w:val="17"/>
        </w:rPr>
        <w:t> </w:t>
      </w:r>
      <w:r>
        <w:rPr>
          <w:rFonts w:ascii="Calibri" w:hAnsi="Calibri"/>
          <w:color w:val="231F20"/>
          <w:w w:val="105"/>
          <w:sz w:val="17"/>
        </w:rPr>
        <w:t>Sphere,</w:t>
      </w:r>
      <w:r>
        <w:rPr>
          <w:rFonts w:ascii="Calibri" w:hAnsi="Calibri"/>
          <w:color w:val="231F20"/>
          <w:spacing w:val="-12"/>
          <w:w w:val="105"/>
          <w:sz w:val="17"/>
        </w:rPr>
        <w:t> </w:t>
      </w:r>
      <w:r>
        <w:rPr>
          <w:rFonts w:ascii="Calibri" w:hAnsi="Calibri"/>
          <w:color w:val="231F20"/>
          <w:w w:val="105"/>
          <w:sz w:val="17"/>
        </w:rPr>
        <w:t>1642–1752”, </w:t>
      </w:r>
      <w:r>
        <w:rPr>
          <w:rFonts w:ascii="Calibri" w:hAnsi="Calibri"/>
          <w:i/>
          <w:color w:val="231F20"/>
          <w:sz w:val="17"/>
        </w:rPr>
        <w:t>Scienza &amp; Politica</w:t>
      </w:r>
      <w:r>
        <w:rPr>
          <w:rFonts w:ascii="Calibri" w:hAnsi="Calibri"/>
          <w:color w:val="231F20"/>
          <w:sz w:val="17"/>
        </w:rPr>
        <w:t>, </w:t>
      </w:r>
      <w:r>
        <w:rPr>
          <w:rFonts w:ascii="Calibri" w:hAnsi="Calibri"/>
          <w:color w:val="231F20"/>
          <w:spacing w:val="-3"/>
          <w:sz w:val="17"/>
        </w:rPr>
        <w:t>27, </w:t>
      </w:r>
      <w:r>
        <w:rPr>
          <w:rFonts w:ascii="Calibri" w:hAnsi="Calibri"/>
          <w:color w:val="231F20"/>
          <w:sz w:val="17"/>
        </w:rPr>
        <w:t>52, 2015, pp. 105–134: disponible en: </w:t>
      </w:r>
      <w:hyperlink r:id="rId47">
        <w:r>
          <w:rPr>
            <w:rFonts w:ascii="Calibri" w:hAnsi="Calibri"/>
            <w:color w:val="231F20"/>
            <w:sz w:val="17"/>
          </w:rPr>
          <w:t>http://scienzaepolitica.unibo.it/article/</w:t>
        </w:r>
      </w:hyperlink>
      <w:r>
        <w:rPr>
          <w:rFonts w:ascii="Calibri" w:hAnsi="Calibri"/>
          <w:color w:val="231F20"/>
          <w:sz w:val="17"/>
        </w:rPr>
        <w:t> </w:t>
      </w:r>
      <w:r>
        <w:rPr>
          <w:rFonts w:ascii="Calibri" w:hAnsi="Calibri"/>
          <w:color w:val="231F20"/>
          <w:w w:val="105"/>
          <w:sz w:val="17"/>
        </w:rPr>
        <w:t>view/5288.</w:t>
      </w:r>
    </w:p>
    <w:p>
      <w:pPr>
        <w:pStyle w:val="BodyText"/>
        <w:rPr>
          <w:rFonts w:ascii="Calibri"/>
          <w:sz w:val="20"/>
        </w:rPr>
      </w:pPr>
    </w:p>
    <w:p>
      <w:pPr>
        <w:pStyle w:val="BodyText"/>
        <w:spacing w:before="1"/>
        <w:rPr>
          <w:rFonts w:ascii="Calibri"/>
          <w:sz w:val="28"/>
        </w:rPr>
      </w:pPr>
    </w:p>
    <w:p>
      <w:pPr>
        <w:tabs>
          <w:tab w:pos="1331" w:val="left" w:leader="none"/>
        </w:tabs>
        <w:spacing w:before="69"/>
        <w:ind w:left="226" w:right="0" w:firstLine="0"/>
        <w:jc w:val="left"/>
        <w:rPr>
          <w:rFonts w:ascii="Calibri"/>
          <w:sz w:val="16"/>
        </w:rPr>
      </w:pPr>
      <w:r>
        <w:rPr/>
        <w:pict>
          <v:group style="position:absolute;margin-left:98.787804pt;margin-top:-3.308812pt;width:20.4pt;height:43pt;mso-position-horizontal-relative:page;mso-position-vertical-relative:paragraph;z-index:-169240" coordorigin="1976,-66" coordsize="408,860">
            <v:line style="position:absolute" from="2225,73" to="2225,789" stroked="true" strokeweight=".35pt" strokecolor="#231f20"/>
            <v:shape style="position:absolute;left:2193;top:-13;width:190;height:445" type="#_x0000_t75" stroked="false">
              <v:imagedata r:id="rId40" o:title=""/>
            </v:shape>
            <v:shape style="position:absolute;left:1976;top:-66;width:250;height:502" type="#_x0000_t75" stroked="false">
              <v:imagedata r:id="rId41" o:title=""/>
            </v:shape>
            <w10:wrap type="none"/>
          </v:group>
        </w:pict>
      </w:r>
      <w:r>
        <w:rPr>
          <w:rFonts w:ascii="Arial"/>
          <w:color w:val="414042"/>
          <w:position w:val="-4"/>
          <w:sz w:val="20"/>
        </w:rPr>
        <w:t>114</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spacing w:before="4"/>
        <w:rPr>
          <w:rFonts w:ascii="Times New Roman"/>
          <w:sz w:val="17"/>
        </w:rPr>
      </w:pPr>
      <w:r>
        <w:rPr/>
        <w:pict>
          <v:line style="position:absolute;mso-position-horizontal-relative:page;mso-position-vertical-relative:page;z-index:6184" from="481.822998pt,0pt" to="481.822998pt,694.487976pt" stroked="true" strokeweight=".134pt" strokecolor="#6d6e71">
            <w10:wrap type="none"/>
          </v:line>
        </w:pict>
      </w:r>
    </w:p>
    <w:p>
      <w:pPr>
        <w:spacing w:after="0"/>
        <w:rPr>
          <w:rFonts w:ascii="Times New Roman"/>
          <w:sz w:val="17"/>
        </w:rPr>
        <w:sectPr>
          <w:pgSz w:w="9640" w:h="13890"/>
          <w:pgMar w:top="0" w:bottom="0" w:left="1340" w:right="0"/>
        </w:sectPr>
      </w:pPr>
    </w:p>
    <w:p>
      <w:pPr>
        <w:pStyle w:val="BodyText"/>
        <w:ind w:left="861"/>
        <w:rPr>
          <w:rFonts w:ascii="Times New Roman"/>
          <w:sz w:val="20"/>
        </w:rPr>
      </w:pPr>
      <w:r>
        <w:rPr/>
        <w:pict>
          <v:rect style="position:absolute;margin-left:0pt;margin-top:0pt;width:481.89pt;height:694.487976pt;mso-position-horizontal-relative:page;mso-position-vertical-relative:page;z-index:-169168" filled="true" fillcolor="#6d6e71" stroked="false">
            <v:fill type="solid"/>
            <w10:wrap type="none"/>
          </v:rect>
        </w:pict>
      </w:r>
      <w:r>
        <w:rPr>
          <w:rFonts w:ascii="Times New Roman"/>
          <w:sz w:val="20"/>
        </w:rPr>
        <w:pict>
          <v:group style="width:259.5pt;height:425.1pt;mso-position-horizontal-relative:char;mso-position-vertical-relative:line" coordorigin="0,0" coordsize="5190,8502">
            <v:shape style="position:absolute;left:2843;top:633;width:2346;height:7869" type="#_x0000_t75" stroked="false">
              <v:imagedata r:id="rId37" o:title=""/>
            </v:shape>
            <v:shape style="position:absolute;left:2864;top:1653;width:1729;height:3773" coordorigin="2864,1653" coordsize="1729,3773" path="m2953,1653l2941,1678,2914,1749,2885,1854,2864,1984,3158,3145,3436,3890,3860,4543,4593,5425,4587,5306,4571,5018,4552,4668,4535,4361,4023,4075,3687,3697,3380,2974,2953,1653xe" filled="true" fillcolor="#7e8083" stroked="false">
              <v:path arrowok="t"/>
              <v:fill type="solid"/>
            </v:shape>
            <v:shape style="position:absolute;left:0;top:0;width:4665;height:6117" type="#_x0000_t75" stroked="false">
              <v:imagedata r:id="rId38" o:title=""/>
            </v:shape>
            <v:shape style="position:absolute;left:2253;top:9;width:721;height:3805" coordorigin="2253,9" coordsize="721,3805" path="m2757,9l2525,58,2286,1239,2253,2024,2468,2765,2973,3814,2757,9xe" filled="true" fillcolor="#a9abae" stroked="false">
              <v:path arrowok="t"/>
              <v:fill type="solid"/>
            </v:shape>
            <v:shape style="position:absolute;left:2385;top:7;width:602;height:3856" coordorigin="2385,7" coordsize="602,3856" path="m2759,7l2524,51,2520,52,2519,56,2493,174,2487,203,2481,233,2475,262,2470,292,2449,411,2444,441,2440,470,2436,500,2432,530,2424,590,2417,650,2411,710,2405,770,2402,800,2400,833,2398,863,2396,891,2392,952,2391,981,2390,1012,2386,1132,2385,1162,2385,1222,2385,1313,2386,1374,2389,1437,2391,1495,2394,1555,2398,1615,2402,1675,2413,1796,2419,1856,2426,1916,2433,1976,2441,2036,2449,2096,2458,2155,2468,2215,2473,2245,2478,2274,2484,2304,2495,2363,2501,2393,2506,2422,2513,2452,2538,2570,2566,2687,2581,2746,2596,2804,2612,2863,2628,2920,2645,2978,2662,3035,2680,3093,2698,3150,2718,3207,2737,3264,2757,3321,2778,3377,2799,3433,2821,3489,2843,3545,2866,3600,2889,3656,2913,3710,2939,3765,2965,3819,2986,3862,2983,3815,2964,3815,2961,3765,2957,3756,2933,3701,2910,3646,2888,3591,2866,3535,2845,3479,2824,3423,2804,3367,2785,3310,2766,3253,2747,3196,2729,3139,2712,3082,2695,3025,2679,2967,2663,2909,2647,2852,2632,2794,2618,2735,2603,2677,2577,2561,2552,2443,2546,2414,2541,2384,2535,2355,2530,2325,2525,2296,2519,2266,2515,2237,2510,2207,2500,2148,2491,2089,2483,2029,2474,1970,2460,1851,2454,1791,2449,1732,2443,1672,2439,1612,2431,1492,2427,1372,2425,1342,2424,1313,2424,1282,2424,1252,2423,1222,2423,1192,2422,1162,2423,1132,2425,1011,2425,982,2426,951,2428,923,2431,860,2432,830,2434,803,2436,773,2441,713,2446,653,2451,593,2458,534,2461,504,2465,474,2468,444,2472,414,2490,296,2494,266,2499,236,2504,207,2530,64,2526,64,2531,59,2548,59,2755,12,2759,12,2759,7xm2961,3765l2964,3815,2982,3810,2961,3765xm2759,12l2755,12,2758,91,2767,328,2771,414,2774,485,2796,961,2821,1437,2825,1516,2829,1596,2834,1675,2839,1754,2843,1834,2853,1992,2858,2071,2864,2150,2875,2309,2880,2388,2885,2467,2896,2626,2902,2705,2907,2784,2912,2863,2926,3101,2930,3161,2933,3220,2936,3280,2944,3418,2948,3498,2952,3577,2956,3656,2960,3736,2961,3765,2982,3810,2964,3815,2983,3815,2978,3735,2972,3655,2967,3576,2962,3497,2958,3418,2949,3279,2946,3219,2942,3160,2927,2862,2923,2783,2919,2704,2915,2625,2908,2466,2904,2384,2901,2304,2894,2148,2890,2069,2886,1990,2878,1831,2874,1752,2869,1672,2865,1594,2860,1514,2855,1434,2826,959,2794,484,2789,405,2783,326,2777,247,2765,88,2759,12xm2531,59l2526,64,2530,63,2531,59xm2530,63l2526,64,2530,64,2530,63xm2548,59l2531,59,2530,63,2548,59xe" filled="true" fillcolor="#ffffff" stroked="false">
              <v:path arrowok="t"/>
              <v:fill type="solid"/>
            </v:shape>
            <v:shape style="position:absolute;left:765;top:4108;width:1689;height:2056" coordorigin="765,4108" coordsize="1689,2056" path="m2396,4108l2330,4111,2257,4118,2175,4134,2085,4160,1988,4198,1882,4250,1826,4282,1769,4318,1709,4358,1648,4404,1584,4454,1519,4510,1452,4571,1383,4638,1312,4711,1239,4790,1165,4876,1088,4969,1010,5069,930,5176,848,5291,765,5413,874,6164,1348,5141,1671,4586,1990,4307,2453,4110,2425,4109,2396,4108xe" filled="true" fillcolor="#bec0c2" stroked="false">
              <v:path arrowok="t"/>
              <v:fill type="solid"/>
            </v:shape>
            <v:shape style="position:absolute;left:763;top:4090;width:1709;height:2094" coordorigin="763,4090" coordsize="1709,2094" path="m2385,4090l2350,4090,2315,4092,2280,4096,2246,4100,2211,4106,2177,4113,2109,4130,2027,4159,2010,4165,1994,4172,1978,4179,1946,4193,1931,4200,1915,4208,1838,4250,1823,4259,1808,4268,1705,4335,1622,4398,1608,4409,1594,4419,1580,4430,1461,4534,1337,4658,1313,4684,1290,4710,1266,4736,1243,4762,1219,4788,1196,4815,1174,4842,1086,4951,1064,4979,1043,5007,918,5177,899,5206,763,5412,763,5413,763,5414,785,5602,791,5649,796,5696,802,5743,818,5866,828,5941,838,6016,848,6092,858,6167,859,6172,862,6177,874,6183,884,6180,888,6171,888,6171,892,6162,889,6162,859,6157,881,6110,878,6087,866,6012,854,5937,842,5862,823,5740,815,5694,807,5647,799,5600,767,5414,912,5216,933,5188,1062,5023,1084,4996,1220,4837,1244,4812,1268,4786,1291,4761,1315,4736,1339,4710,1363,4685,1488,4565,1606,4464,1619,4453,1633,4443,1729,4371,1829,4306,1844,4297,1859,4289,1933,4248,1949,4241,2026,4206,2041,4199,2121,4171,2186,4153,2218,4146,2251,4140,2285,4135,2318,4132,2351,4129,2366,4129,2371,4126,2447,4093,2465,4093,2464,4092,2419,4090,2385,4090xm881,6110l859,6157,889,6162,881,6110xm2385,4128l2366,4129,2299,4166,2231,4212,2214,4224,2197,4236,2165,4261,2133,4287,2102,4314,2071,4342,2026,4384,2011,4398,1997,4413,1983,4428,1968,4443,1954,4457,1940,4472,1871,4549,1817,4612,1791,4644,1765,4676,1739,4708,1689,4773,1664,4806,1615,4872,1566,4939,1542,4973,1495,5041,1449,5110,1426,5144,1380,5213,1358,5247,1335,5282,1291,5352,1248,5423,1205,5494,1163,5566,1142,5602,1122,5638,1102,5674,1062,5747,1043,5784,1023,5821,1004,5858,967,5932,930,6006,894,6081,881,6110,889,6162,892,6162,924,6097,960,6022,998,5949,1036,5875,1074,5802,1113,5729,1152,5656,1192,5583,1272,5439,1287,5412,1313,5367,1334,5331,1355,5295,1397,5225,1441,5154,1485,5084,1531,5016,1554,4982,1577,4948,1625,4880,1649,4847,1674,4814,1699,4782,1750,4717,1776,4685,1802,4654,1829,4622,1883,4561,1954,4487,1968,4473,1983,4459,1999,4443,2012,4430,2027,4416,2042,4402,2088,4362,2119,4336,2150,4311,2182,4286,2199,4274,2231,4250,2248,4239,2316,4196,2386,4159,2456,4129,2452,4129,2418,4128,2385,4128xm2452,4128l2385,4128,2418,4128,2452,4129,2452,4128xm2465,4093l2447,4093,2452,4129,2456,4129,2459,4128,2460,4128,2466,4125,2471,4119,2472,4101,2465,4093xm2447,4093l2371,4126,2366,4129,2385,4128,2452,4128,2447,4093xe" filled="true" fillcolor="#ffffff" stroked="false">
              <v:path arrowok="t"/>
              <v:fill type="solid"/>
            </v:shape>
            <v:shape style="position:absolute;left:874;top:4111;width:2141;height:2054" coordorigin="874,4111" coordsize="2141,2054" path="m2486,4111l2096,4164,1797,4395,1440,4998,874,6164,985,6035,1092,5914,1196,5800,1296,5693,1392,5593,1485,5501,1575,5414,1660,5334,1743,5261,1822,5193,1898,5131,1971,5074,2042,5022,2109,4976,2173,4934,2235,4896,2294,4863,2350,4834,2404,4809,2455,4787,2504,4769,2551,4754,2596,4742,2638,4732,2679,4725,2717,4720,2754,4718,2789,4716,2975,4716,2959,4706,2904,4657,2850,4599,2797,4535,2746,4467,2696,4397,2604,4263,2561,4203,2522,4152,2486,4111xm2975,4716l2789,4716,2822,4717,2854,4719,2884,4721,2913,4725,2940,4729,2966,4734,3015,4743,2975,4716xe" filled="true" fillcolor="#828486" stroked="false">
              <v:path arrowok="t"/>
              <v:fill type="solid"/>
            </v:shape>
            <v:shape style="position:absolute;left:871;top:4104;width:2162;height:2063" coordorigin="871,4104" coordsize="2162,2063" path="m872,6166l873,6167,873,6166,872,6166xm875,6165l874,6166,873,6166,874,6167,875,6166,875,6165xm885,6147l872,6163,872,6163,872,6165,872,6166,872,6166,873,6166,874,6166,875,6165,885,6147xm872,6165l872,6166,872,6166,872,6165xm2810,4698l2768,4698,2725,4701,2683,4705,2642,4712,2600,4721,2559,4731,2519,4743,2479,4757,2439,4772,2400,4788,2362,4805,2324,4824,2286,4843,2249,4863,2213,4884,2141,4928,2071,4975,2036,5000,2002,5025,1968,5050,1934,5076,1901,5101,1868,5128,1803,5182,1739,5237,1708,5265,1645,5322,1614,5351,1553,5409,1523,5439,1493,5469,1433,5529,1345,5620,1316,5651,1230,5744,1117,5871,1090,5903,1035,5967,980,6032,885,6147,875,6165,988,6040,1132,5885,1248,5763,1337,5673,1456,5553,1547,5466,1578,5437,1639,5380,1671,5352,1733,5297,1765,5269,1797,5242,1829,5215,1894,5162,1926,5136,1993,5085,2026,5060,2060,5036,2094,5012,2163,4966,2234,4923,2269,4902,2306,4882,2342,4862,2379,4844,2416,4827,2454,4811,2492,4796,2530,4782,2569,4770,2609,4760,2648,4751,2688,4744,2728,4739,2769,4736,2809,4735,2974,4735,2963,4728,2944,4712,2936,4711,2894,4705,2852,4700,2810,4698xm872,6163l871,6164,871,6164,872,6163xm2488,4104l2486,4104,2444,4109,2404,4119,2365,4132,2327,4148,2289,4166,2253,4187,2218,4209,2184,4233,2119,4285,2056,4339,1995,4397,1937,4457,1880,4518,1825,4581,1772,4646,1719,4712,1668,4778,1619,4846,1571,4915,1523,4985,1477,5055,1432,5126,1387,5197,1343,5269,1300,5341,1258,5414,1216,5487,1175,5561,1135,5635,1095,5709,1056,5784,1018,5859,980,5934,943,6010,907,6087,872,6163,885,6147,915,6091,954,6016,994,5942,1075,5795,1116,5722,1158,5649,1200,5576,1242,5504,1285,5431,1328,5359,1372,5288,1416,5217,1461,5146,1507,5076,1553,5006,1599,4936,1647,4867,1695,4799,1744,4732,1794,4665,1845,4599,1898,4535,1952,4472,2008,4411,2067,4352,2128,4297,2193,4245,2226,4221,2260,4199,2295,4178,2332,4159,2369,4144,2407,4131,2447,4123,2483,4118,2481,4116,2500,4116,2491,4106,2489,4104,2488,4104xm2974,4735l2809,4735,2850,4737,2890,4740,2930,4745,2971,4752,3012,4760,3012,4760,3018,4761,3025,4758,3007,4758,2974,4735xm2944,4712l2963,4728,3007,4758,3018,4727,2977,4718,2944,4712xm2500,4116l2481,4116,2486,4118,2483,4118,2499,4135,2515,4154,2531,4175,2546,4195,2562,4216,2577,4237,2591,4259,2606,4280,2664,4367,2693,4410,2723,4453,2753,4495,2784,4537,2816,4578,2849,4619,2885,4657,2922,4694,2944,4712,2977,4718,3018,4727,3007,4758,3025,4758,3025,4758,3029,4751,3033,4743,3030,4733,3022,4728,3001,4716,2981,4702,2961,4687,2942,4671,2923,4654,2905,4636,2887,4618,2869,4599,2835,4561,2802,4521,2771,4481,2740,4439,2709,4398,2679,4355,2589,4228,2573,4207,2558,4186,2542,4165,2526,4145,2509,4125,2500,4116xm2481,4116l2483,4118,2486,4118,2481,4116xe" filled="true" fillcolor="#ffffff" stroked="false">
              <v:path arrowok="t"/>
              <v:fill type="solid"/>
            </v:shape>
            <v:shape style="position:absolute;left:1244;top:138;width:1771;height:4609" coordorigin="1244,138" coordsize="1771,4609" path="m2174,138l1618,256,1244,1778,1264,2753,1811,3602,3015,4747,3001,4483,2984,4202,2969,3979,2963,3887,2240,3071,1917,2408,1920,1547,2174,138xe" filled="true" fillcolor="#959799" stroked="false">
              <v:path arrowok="t"/>
              <v:fill type="solid"/>
            </v:shape>
            <v:shape style="position:absolute;left:1491;top:130;width:1535;height:4640" coordorigin="1491,130" coordsize="1535,4640" path="m2186,130l2172,130,1616,270,1597,350,1581,410,1566,490,1552,570,1540,650,1529,730,1520,790,1512,870,1506,950,1500,1030,1496,1110,1493,1190,1491,1270,1491,1350,1491,1430,1493,1490,1497,1570,1501,1650,1507,1730,1514,1810,1522,1890,1531,1970,1541,2050,1553,2110,1566,2190,1581,2270,1596,2350,1613,2430,1632,2490,1651,2570,1672,2650,1695,2730,1718,2790,1743,2870,1769,2950,1797,3010,1825,3090,1855,3150,1887,3230,1919,3290,1953,3370,1987,3430,2024,3510,2061,3570,2099,3630,2138,3710,2179,3770,2220,3830,2262,3890,2306,3970,2350,4030,2396,4090,2419,4110,2442,4150,2466,4170,2489,4210,2513,4230,2537,4270,2562,4290,2586,4330,2611,4350,2636,4390,2661,4410,2687,4430,2713,4470,2739,4490,2765,4530,2791,4550,2844,4610,2898,4650,2953,4710,3008,4770,3025,4770,3024,4750,3005,4750,3004,4732,2965,4690,2910,4650,2855,4590,2802,4550,2775,4510,2749,4490,2723,4450,2671,4410,2646,4370,2621,4350,2596,4310,2571,4290,2547,4250,2523,4230,2499,4190,2452,4130,2428,4110,2406,4070,2361,4010,2317,3950,2274,3890,2232,3830,2192,3770,2152,3690,2114,3630,2077,3570,2042,3490,2007,3430,1974,3350,1942,3290,1910,3210,1881,3150,1852,3070,1825,3010,1799,2930,1774,2850,1750,2790,1727,2710,1706,2630,1685,2570,1666,2490,1648,2410,1632,2330,1616,2270,1601,2190,1588,2110,1575,2030,1564,1950,1555,1890,1546,1810,1539,1730,1533,1650,1528,1570,1524,1490,1521,1410,1519,1350,1518,1270,1519,1190,1521,1110,1523,1030,1528,950,1533,870,1539,810,1547,730,1555,650,1565,570,1576,490,1589,410,1603,350,1620,270,2164,152,2165,150,2183,150,2186,130xm3004,4732l3005,4750,3021,4750,3004,4732xm2949,3906l2954,3990,2960,4070,2967,4150,2973,4250,2978,4330,3004,4732,3021,4750,3024,4750,2999,4250,2994,4150,2989,4070,2984,3990,2980,3910,2952,3910,2949,3906xm2947,3890l2949,3906,2952,3910,2947,3890xm2979,3890l2947,3890,2952,3910,2980,3910,2979,3890xm2183,150l2176,150,2164,152,2153,210,2141,270,2130,330,2120,390,2110,450,2102,510,2093,570,2086,630,2079,690,2073,770,2068,830,2063,890,2059,950,2056,1010,2053,1070,2052,1130,2051,1190,2051,1270,2051,1330,2052,1390,2055,1450,2057,1510,2061,1570,2066,1630,2074,1710,2083,1790,2093,1870,2105,1970,2119,2050,2134,2130,2151,2210,2169,2290,2188,2370,2209,2450,2232,2530,2256,2610,2281,2690,2308,2770,2337,2850,2367,2930,2399,2990,2432,3070,2467,3150,2503,3230,2540,3290,2579,3370,2620,3430,2662,3510,2695,3570,2728,3610,2763,3670,2798,3710,2835,3770,2872,3810,2911,3870,2949,3906,2947,3890,2974,3890,2935,3850,2898,3790,2861,3750,2826,3690,2791,3650,2758,3590,2725,3550,2693,3490,2652,3410,2613,3350,2574,3270,2538,3210,2502,3130,2469,3050,2436,2970,2405,2910,2376,2830,2348,2750,2322,2670,2296,2590,2272,2510,2250,2430,2229,2350,2209,2270,2191,2190,2175,2110,2160,2030,2146,1950,2134,1870,2123,1790,2114,1710,2106,1630,2100,1570,2096,1510,2092,1450,2089,1390,2085,1250,2085,1190,2085,1130,2085,1070,2087,1010,2089,950,2092,890,2096,830,2101,770,2106,710,2112,630,2118,570,2126,510,2134,450,2142,390,2152,330,2162,270,2172,210,2183,150xm2176,150l2165,150,2164,152,2176,150xe" filled="true" fillcolor="#ffffff" stroked="false">
              <v:path arrowok="t"/>
              <v:fill type="solid"/>
            </v:shape>
          </v:group>
        </w:pict>
      </w:r>
      <w:r>
        <w:rPr>
          <w:rFonts w:ascii="Times New Roman"/>
          <w:sz w:val="20"/>
        </w:rPr>
      </w:r>
    </w:p>
    <w:p>
      <w:pPr>
        <w:spacing w:line="187" w:lineRule="auto" w:before="22"/>
        <w:ind w:left="1076" w:right="3024" w:hanging="132"/>
        <w:jc w:val="both"/>
        <w:rPr>
          <w:rFonts w:ascii="Lucida Sans Unicode" w:hAnsi="Lucida Sans Unicode"/>
          <w:sz w:val="28"/>
        </w:rPr>
      </w:pPr>
      <w:r>
        <w:rPr>
          <w:rFonts w:ascii="Lucida Sans Unicode" w:hAnsi="Lucida Sans Unicode"/>
          <w:color w:val="FFFFFF"/>
          <w:sz w:val="28"/>
        </w:rPr>
        <w:t>“EL</w:t>
      </w:r>
      <w:r>
        <w:rPr>
          <w:rFonts w:ascii="Lucida Sans Unicode" w:hAnsi="Lucida Sans Unicode"/>
          <w:color w:val="FFFFFF"/>
          <w:spacing w:val="-52"/>
          <w:sz w:val="28"/>
        </w:rPr>
        <w:t> </w:t>
      </w:r>
      <w:r>
        <w:rPr>
          <w:rFonts w:ascii="Lucida Sans Unicode" w:hAnsi="Lucida Sans Unicode"/>
          <w:color w:val="FFFFFF"/>
          <w:sz w:val="28"/>
        </w:rPr>
        <w:t>AFUERA</w:t>
      </w:r>
      <w:r>
        <w:rPr>
          <w:rFonts w:ascii="Lucida Sans Unicode" w:hAnsi="Lucida Sans Unicode"/>
          <w:color w:val="FFFFFF"/>
          <w:spacing w:val="-52"/>
          <w:sz w:val="28"/>
        </w:rPr>
        <w:t> </w:t>
      </w:r>
      <w:r>
        <w:rPr>
          <w:rFonts w:ascii="Lucida Sans Unicode" w:hAnsi="Lucida Sans Unicode"/>
          <w:color w:val="FFFFFF"/>
          <w:sz w:val="28"/>
        </w:rPr>
        <w:t>SIEMPRE</w:t>
      </w:r>
      <w:r>
        <w:rPr>
          <w:rFonts w:ascii="Lucida Sans Unicode" w:hAnsi="Lucida Sans Unicode"/>
          <w:color w:val="FFFFFF"/>
          <w:spacing w:val="-52"/>
          <w:sz w:val="28"/>
        </w:rPr>
        <w:t> </w:t>
      </w:r>
      <w:r>
        <w:rPr>
          <w:rFonts w:ascii="Lucida Sans Unicode" w:hAnsi="Lucida Sans Unicode"/>
          <w:color w:val="FFFFFF"/>
          <w:sz w:val="28"/>
        </w:rPr>
        <w:t>ES </w:t>
      </w:r>
      <w:r>
        <w:rPr>
          <w:rFonts w:ascii="Lucida Sans Unicode" w:hAnsi="Lucida Sans Unicode"/>
          <w:color w:val="FFFFFF"/>
          <w:w w:val="90"/>
          <w:sz w:val="28"/>
        </w:rPr>
        <w:t>ADENTRO”. TENSIONES Y TRANSFORMACIONES</w:t>
      </w:r>
    </w:p>
    <w:p>
      <w:pPr>
        <w:spacing w:line="187" w:lineRule="auto" w:before="0"/>
        <w:ind w:left="584" w:right="3011" w:firstLine="132"/>
        <w:jc w:val="left"/>
        <w:rPr>
          <w:rFonts w:ascii="Lucida Sans Unicode" w:hAnsi="Lucida Sans Unicode"/>
          <w:sz w:val="28"/>
        </w:rPr>
      </w:pPr>
      <w:r>
        <w:rPr>
          <w:rFonts w:ascii="Lucida Sans Unicode" w:hAnsi="Lucida Sans Unicode"/>
          <w:color w:val="FFFFFF"/>
          <w:w w:val="95"/>
          <w:sz w:val="28"/>
        </w:rPr>
        <w:t>RECIENTES</w:t>
      </w:r>
      <w:r>
        <w:rPr>
          <w:rFonts w:ascii="Lucida Sans Unicode" w:hAnsi="Lucida Sans Unicode"/>
          <w:color w:val="FFFFFF"/>
          <w:spacing w:val="-31"/>
          <w:w w:val="95"/>
          <w:sz w:val="28"/>
        </w:rPr>
        <w:t> </w:t>
      </w:r>
      <w:r>
        <w:rPr>
          <w:rFonts w:ascii="Lucida Sans Unicode" w:hAnsi="Lucida Sans Unicode"/>
          <w:color w:val="FFFFFF"/>
          <w:w w:val="95"/>
          <w:sz w:val="28"/>
        </w:rPr>
        <w:t>EN</w:t>
      </w:r>
      <w:r>
        <w:rPr>
          <w:rFonts w:ascii="Lucida Sans Unicode" w:hAnsi="Lucida Sans Unicode"/>
          <w:color w:val="FFFFFF"/>
          <w:spacing w:val="-31"/>
          <w:w w:val="95"/>
          <w:sz w:val="28"/>
        </w:rPr>
        <w:t> </w:t>
      </w:r>
      <w:r>
        <w:rPr>
          <w:rFonts w:ascii="Lucida Sans Unicode" w:hAnsi="Lucida Sans Unicode"/>
          <w:color w:val="FFFFFF"/>
          <w:w w:val="95"/>
          <w:sz w:val="28"/>
        </w:rPr>
        <w:t>EL</w:t>
      </w:r>
      <w:r>
        <w:rPr>
          <w:rFonts w:ascii="Lucida Sans Unicode" w:hAnsi="Lucida Sans Unicode"/>
          <w:color w:val="FFFFFF"/>
          <w:spacing w:val="-31"/>
          <w:w w:val="95"/>
          <w:sz w:val="28"/>
        </w:rPr>
        <w:t> </w:t>
      </w:r>
      <w:r>
        <w:rPr>
          <w:rFonts w:ascii="Lucida Sans Unicode" w:hAnsi="Lucida Sans Unicode"/>
          <w:color w:val="FFFFFF"/>
          <w:spacing w:val="-4"/>
          <w:w w:val="95"/>
          <w:sz w:val="28"/>
        </w:rPr>
        <w:t>ESPACIO </w:t>
      </w:r>
      <w:r>
        <w:rPr>
          <w:rFonts w:ascii="Lucida Sans Unicode" w:hAnsi="Lucida Sans Unicode"/>
          <w:color w:val="FFFFFF"/>
          <w:w w:val="95"/>
          <w:sz w:val="28"/>
        </w:rPr>
        <w:t>POLÍTICO</w:t>
      </w:r>
      <w:r>
        <w:rPr>
          <w:rFonts w:ascii="Lucida Sans Unicode" w:hAnsi="Lucida Sans Unicode"/>
          <w:color w:val="FFFFFF"/>
          <w:spacing w:val="-52"/>
          <w:w w:val="95"/>
          <w:sz w:val="28"/>
        </w:rPr>
        <w:t> </w:t>
      </w:r>
      <w:r>
        <w:rPr>
          <w:rFonts w:ascii="Lucida Sans Unicode" w:hAnsi="Lucida Sans Unicode"/>
          <w:color w:val="FFFFFF"/>
          <w:w w:val="95"/>
          <w:sz w:val="28"/>
        </w:rPr>
        <w:t>DEL</w:t>
      </w:r>
      <w:r>
        <w:rPr>
          <w:rFonts w:ascii="Lucida Sans Unicode" w:hAnsi="Lucida Sans Unicode"/>
          <w:color w:val="FFFFFF"/>
          <w:spacing w:val="-52"/>
          <w:w w:val="95"/>
          <w:sz w:val="28"/>
        </w:rPr>
        <w:t> </w:t>
      </w:r>
      <w:r>
        <w:rPr>
          <w:rFonts w:ascii="Lucida Sans Unicode" w:hAnsi="Lucida Sans Unicode"/>
          <w:color w:val="FFFFFF"/>
          <w:spacing w:val="-3"/>
          <w:w w:val="95"/>
          <w:sz w:val="28"/>
        </w:rPr>
        <w:t>ESTADO</w:t>
      </w:r>
      <w:r>
        <w:rPr>
          <w:rFonts w:ascii="Lucida Sans Unicode" w:hAnsi="Lucida Sans Unicode"/>
          <w:color w:val="FFFFFF"/>
          <w:spacing w:val="-52"/>
          <w:w w:val="95"/>
          <w:sz w:val="28"/>
        </w:rPr>
        <w:t> </w:t>
      </w:r>
      <w:r>
        <w:rPr>
          <w:rFonts w:ascii="Lucida Sans Unicode" w:hAnsi="Lucida Sans Unicode"/>
          <w:color w:val="FFFFFF"/>
          <w:w w:val="95"/>
          <w:sz w:val="28"/>
        </w:rPr>
        <w:t>Y</w:t>
      </w:r>
      <w:r>
        <w:rPr>
          <w:rFonts w:ascii="Lucida Sans Unicode" w:hAnsi="Lucida Sans Unicode"/>
          <w:color w:val="FFFFFF"/>
          <w:spacing w:val="-52"/>
          <w:w w:val="95"/>
          <w:sz w:val="28"/>
        </w:rPr>
        <w:t> </w:t>
      </w:r>
      <w:r>
        <w:rPr>
          <w:rFonts w:ascii="Lucida Sans Unicode" w:hAnsi="Lucida Sans Unicode"/>
          <w:color w:val="FFFFFF"/>
          <w:w w:val="95"/>
          <w:sz w:val="28"/>
        </w:rPr>
        <w:t>LA</w:t>
      </w:r>
    </w:p>
    <w:p>
      <w:pPr>
        <w:spacing w:line="363" w:lineRule="exact" w:before="0"/>
        <w:ind w:left="2279" w:right="692" w:firstLine="0"/>
        <w:jc w:val="left"/>
        <w:rPr>
          <w:rFonts w:ascii="Lucida Sans Unicode"/>
          <w:sz w:val="28"/>
        </w:rPr>
      </w:pPr>
      <w:r>
        <w:rPr>
          <w:rFonts w:ascii="Lucida Sans Unicode"/>
          <w:color w:val="FFFFFF"/>
          <w:sz w:val="28"/>
        </w:rPr>
        <w:t>DEMOCRACIA</w:t>
      </w:r>
    </w:p>
    <w:p>
      <w:pPr>
        <w:spacing w:before="27"/>
        <w:ind w:left="3931" w:right="692" w:firstLine="0"/>
        <w:jc w:val="left"/>
        <w:rPr>
          <w:rFonts w:ascii="Calibri"/>
          <w:sz w:val="28"/>
        </w:rPr>
      </w:pPr>
      <w:r>
        <w:rPr>
          <w:rFonts w:ascii="Calibri"/>
          <w:color w:val="FFFFFF"/>
          <w:sz w:val="28"/>
        </w:rPr>
        <w:t>Israel</w:t>
      </w:r>
      <w:r>
        <w:rPr>
          <w:rFonts w:ascii="Calibri"/>
          <w:color w:val="FFFFFF"/>
          <w:spacing w:val="50"/>
          <w:sz w:val="28"/>
        </w:rPr>
        <w:t> </w:t>
      </w:r>
      <w:r>
        <w:rPr>
          <w:rFonts w:ascii="Calibri"/>
          <w:color w:val="FFFFFF"/>
          <w:sz w:val="28"/>
        </w:rPr>
        <w:t>Covarrubias</w:t>
      </w:r>
    </w:p>
    <w:p>
      <w:pPr>
        <w:spacing w:after="0"/>
        <w:jc w:val="left"/>
        <w:rPr>
          <w:rFonts w:ascii="Calibri"/>
          <w:sz w:val="28"/>
        </w:rPr>
        <w:sectPr>
          <w:pgSz w:w="9640" w:h="13890"/>
          <w:pgMar w:top="116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7"/>
        </w:rPr>
      </w:pPr>
    </w:p>
    <w:p>
      <w:pPr>
        <w:pStyle w:val="BodyText"/>
        <w:spacing w:line="244" w:lineRule="auto" w:before="44"/>
        <w:ind w:left="1180" w:right="101"/>
        <w:jc w:val="both"/>
      </w:pPr>
      <w:r>
        <w:rPr/>
        <w:pict>
          <v:shape style="position:absolute;margin-left:82.218903pt;margin-top:12.220939pt;width:31.2pt;height:51pt;mso-position-horizontal-relative:page;mso-position-vertical-relative:paragraph;z-index:6280"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rPr>
        <w:t>n el contexto global evidenciamos una profunda y por momen- tos radical transformación del </w:t>
      </w:r>
      <w:r>
        <w:rPr>
          <w:rFonts w:ascii="Arial" w:hAnsi="Arial"/>
          <w:i/>
          <w:color w:val="231F20"/>
        </w:rPr>
        <w:t>espacio </w:t>
      </w:r>
      <w:r>
        <w:rPr>
          <w:color w:val="231F20"/>
        </w:rPr>
        <w:t>político de la democra- cia, que alcanza tanto a las sedes convencionales de la repre- sentación política como a las instituciones encargadas de la distribución y ejercicio del gobierno y el </w:t>
      </w:r>
      <w:r>
        <w:rPr>
          <w:color w:val="231F20"/>
          <w:spacing w:val="-4"/>
        </w:rPr>
        <w:t>poder. </w:t>
      </w:r>
      <w:r>
        <w:rPr>
          <w:color w:val="231F20"/>
        </w:rPr>
        <w:t>La </w:t>
      </w:r>
      <w:r>
        <w:rPr>
          <w:color w:val="231F20"/>
          <w:spacing w:val="50"/>
        </w:rPr>
        <w:t> </w:t>
      </w:r>
      <w:r>
        <w:rPr>
          <w:color w:val="231F20"/>
        </w:rPr>
        <w:t>transforma-</w:t>
      </w:r>
    </w:p>
    <w:p>
      <w:pPr>
        <w:pStyle w:val="BodyText"/>
        <w:spacing w:line="247" w:lineRule="auto" w:before="1"/>
        <w:ind w:left="117" w:right="101"/>
        <w:jc w:val="both"/>
      </w:pPr>
      <w:r>
        <w:rPr>
          <w:color w:val="231F20"/>
          <w:w w:val="105"/>
        </w:rPr>
        <w:t>ción</w:t>
      </w:r>
      <w:r>
        <w:rPr>
          <w:color w:val="231F20"/>
          <w:spacing w:val="-30"/>
          <w:w w:val="105"/>
        </w:rPr>
        <w:t> </w:t>
      </w:r>
      <w:r>
        <w:rPr>
          <w:color w:val="231F20"/>
          <w:w w:val="105"/>
        </w:rPr>
        <w:t>ha</w:t>
      </w:r>
      <w:r>
        <w:rPr>
          <w:color w:val="231F20"/>
          <w:spacing w:val="-30"/>
          <w:w w:val="105"/>
        </w:rPr>
        <w:t> </w:t>
      </w:r>
      <w:r>
        <w:rPr>
          <w:color w:val="231F20"/>
          <w:w w:val="105"/>
        </w:rPr>
        <w:t>tenido</w:t>
      </w:r>
      <w:r>
        <w:rPr>
          <w:color w:val="231F20"/>
          <w:spacing w:val="-30"/>
          <w:w w:val="105"/>
        </w:rPr>
        <w:t> </w:t>
      </w:r>
      <w:r>
        <w:rPr>
          <w:color w:val="231F20"/>
          <w:w w:val="105"/>
        </w:rPr>
        <w:t>que</w:t>
      </w:r>
      <w:r>
        <w:rPr>
          <w:color w:val="231F20"/>
          <w:spacing w:val="-30"/>
          <w:w w:val="105"/>
        </w:rPr>
        <w:t> </w:t>
      </w:r>
      <w:r>
        <w:rPr>
          <w:color w:val="231F20"/>
          <w:w w:val="105"/>
        </w:rPr>
        <w:t>ver</w:t>
      </w:r>
      <w:r>
        <w:rPr>
          <w:color w:val="231F20"/>
          <w:spacing w:val="-30"/>
          <w:w w:val="105"/>
        </w:rPr>
        <w:t> </w:t>
      </w:r>
      <w:r>
        <w:rPr>
          <w:color w:val="231F20"/>
          <w:w w:val="105"/>
        </w:rPr>
        <w:t>con</w:t>
      </w:r>
      <w:r>
        <w:rPr>
          <w:color w:val="231F20"/>
          <w:spacing w:val="-30"/>
          <w:w w:val="105"/>
        </w:rPr>
        <w:t> </w:t>
      </w:r>
      <w:r>
        <w:rPr>
          <w:color w:val="231F20"/>
          <w:w w:val="105"/>
        </w:rPr>
        <w:t>la</w:t>
      </w:r>
      <w:r>
        <w:rPr>
          <w:color w:val="231F20"/>
          <w:spacing w:val="-30"/>
          <w:w w:val="105"/>
        </w:rPr>
        <w:t> </w:t>
      </w:r>
      <w:r>
        <w:rPr>
          <w:color w:val="231F20"/>
          <w:w w:val="105"/>
        </w:rPr>
        <w:t>cada</w:t>
      </w:r>
      <w:r>
        <w:rPr>
          <w:color w:val="231F20"/>
          <w:spacing w:val="-30"/>
          <w:w w:val="105"/>
        </w:rPr>
        <w:t> </w:t>
      </w:r>
      <w:r>
        <w:rPr>
          <w:color w:val="231F20"/>
          <w:w w:val="105"/>
        </w:rPr>
        <w:t>vez</w:t>
      </w:r>
      <w:r>
        <w:rPr>
          <w:color w:val="231F20"/>
          <w:spacing w:val="-30"/>
          <w:w w:val="105"/>
        </w:rPr>
        <w:t> </w:t>
      </w:r>
      <w:r>
        <w:rPr>
          <w:color w:val="231F20"/>
          <w:w w:val="105"/>
        </w:rPr>
        <w:t>mayor</w:t>
      </w:r>
      <w:r>
        <w:rPr>
          <w:color w:val="231F20"/>
          <w:spacing w:val="-30"/>
          <w:w w:val="105"/>
        </w:rPr>
        <w:t> </w:t>
      </w:r>
      <w:r>
        <w:rPr>
          <w:color w:val="231F20"/>
          <w:w w:val="105"/>
        </w:rPr>
        <w:t>necesidad</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participación del</w:t>
      </w:r>
      <w:r>
        <w:rPr>
          <w:color w:val="231F20"/>
          <w:spacing w:val="-24"/>
          <w:w w:val="105"/>
        </w:rPr>
        <w:t> </w:t>
      </w:r>
      <w:r>
        <w:rPr>
          <w:color w:val="231F20"/>
          <w:w w:val="105"/>
        </w:rPr>
        <w:t>Estado</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campo</w:t>
      </w:r>
      <w:r>
        <w:rPr>
          <w:color w:val="231F20"/>
          <w:spacing w:val="-24"/>
          <w:w w:val="105"/>
        </w:rPr>
        <w:t> </w:t>
      </w:r>
      <w:r>
        <w:rPr>
          <w:color w:val="231F20"/>
          <w:w w:val="105"/>
        </w:rPr>
        <w:t>económico,</w:t>
      </w:r>
      <w:r>
        <w:rPr>
          <w:color w:val="231F20"/>
          <w:spacing w:val="-24"/>
          <w:w w:val="105"/>
        </w:rPr>
        <w:t> </w:t>
      </w:r>
      <w:r>
        <w:rPr>
          <w:color w:val="231F20"/>
          <w:w w:val="105"/>
        </w:rPr>
        <w:t>espacio</w:t>
      </w:r>
      <w:r>
        <w:rPr>
          <w:color w:val="231F20"/>
          <w:spacing w:val="-24"/>
          <w:w w:val="105"/>
        </w:rPr>
        <w:t> </w:t>
      </w:r>
      <w:r>
        <w:rPr>
          <w:color w:val="231F20"/>
          <w:w w:val="105"/>
        </w:rPr>
        <w:t>del</w:t>
      </w:r>
      <w:r>
        <w:rPr>
          <w:color w:val="231F20"/>
          <w:spacing w:val="-24"/>
          <w:w w:val="105"/>
        </w:rPr>
        <w:t> </w:t>
      </w:r>
      <w:r>
        <w:rPr>
          <w:color w:val="231F20"/>
          <w:w w:val="105"/>
        </w:rPr>
        <w:t>que</w:t>
      </w:r>
      <w:r>
        <w:rPr>
          <w:color w:val="231F20"/>
          <w:spacing w:val="-24"/>
          <w:w w:val="105"/>
        </w:rPr>
        <w:t> </w:t>
      </w:r>
      <w:r>
        <w:rPr>
          <w:color w:val="231F20"/>
          <w:w w:val="105"/>
        </w:rPr>
        <w:t>se</w:t>
      </w:r>
      <w:r>
        <w:rPr>
          <w:color w:val="231F20"/>
          <w:spacing w:val="-24"/>
          <w:w w:val="105"/>
        </w:rPr>
        <w:t> </w:t>
      </w:r>
      <w:r>
        <w:rPr>
          <w:color w:val="231F20"/>
          <w:w w:val="105"/>
        </w:rPr>
        <w:t>le</w:t>
      </w:r>
      <w:r>
        <w:rPr>
          <w:color w:val="231F20"/>
          <w:spacing w:val="-24"/>
          <w:w w:val="105"/>
        </w:rPr>
        <w:t> </w:t>
      </w:r>
      <w:r>
        <w:rPr>
          <w:color w:val="231F20"/>
          <w:w w:val="105"/>
        </w:rPr>
        <w:t>había</w:t>
      </w:r>
      <w:r>
        <w:rPr>
          <w:color w:val="231F20"/>
          <w:spacing w:val="-24"/>
          <w:w w:val="105"/>
        </w:rPr>
        <w:t> </w:t>
      </w:r>
      <w:r>
        <w:rPr>
          <w:color w:val="231F20"/>
          <w:w w:val="105"/>
        </w:rPr>
        <w:t>alejado</w:t>
      </w:r>
      <w:r>
        <w:rPr>
          <w:color w:val="231F20"/>
          <w:spacing w:val="-24"/>
          <w:w w:val="105"/>
        </w:rPr>
        <w:t> </w:t>
      </w:r>
      <w:r>
        <w:rPr>
          <w:color w:val="231F20"/>
          <w:w w:val="105"/>
        </w:rPr>
        <w:t>en las</w:t>
      </w:r>
      <w:r>
        <w:rPr>
          <w:color w:val="231F20"/>
          <w:spacing w:val="-6"/>
          <w:w w:val="105"/>
        </w:rPr>
        <w:t> </w:t>
      </w:r>
      <w:r>
        <w:rPr>
          <w:color w:val="231F20"/>
          <w:w w:val="105"/>
        </w:rPr>
        <w:t>dos</w:t>
      </w:r>
      <w:r>
        <w:rPr>
          <w:color w:val="231F20"/>
          <w:spacing w:val="-6"/>
          <w:w w:val="105"/>
        </w:rPr>
        <w:t> </w:t>
      </w:r>
      <w:r>
        <w:rPr>
          <w:color w:val="231F20"/>
          <w:w w:val="105"/>
        </w:rPr>
        <w:t>últimas</w:t>
      </w:r>
      <w:r>
        <w:rPr>
          <w:color w:val="231F20"/>
          <w:spacing w:val="-6"/>
          <w:w w:val="105"/>
        </w:rPr>
        <w:t> </w:t>
      </w:r>
      <w:r>
        <w:rPr>
          <w:color w:val="231F20"/>
          <w:w w:val="105"/>
        </w:rPr>
        <w:t>décadas</w:t>
      </w:r>
      <w:r>
        <w:rPr>
          <w:color w:val="231F20"/>
          <w:spacing w:val="-6"/>
          <w:w w:val="105"/>
        </w:rPr>
        <w:t> </w:t>
      </w:r>
      <w:r>
        <w:rPr>
          <w:color w:val="231F20"/>
          <w:w w:val="105"/>
        </w:rPr>
        <w:t>del</w:t>
      </w:r>
      <w:r>
        <w:rPr>
          <w:color w:val="231F20"/>
          <w:spacing w:val="-6"/>
          <w:w w:val="105"/>
        </w:rPr>
        <w:t> </w:t>
      </w:r>
      <w:r>
        <w:rPr>
          <w:color w:val="231F20"/>
          <w:w w:val="105"/>
        </w:rPr>
        <w:t>siglo</w:t>
      </w:r>
      <w:r>
        <w:rPr>
          <w:color w:val="231F20"/>
          <w:spacing w:val="-6"/>
          <w:w w:val="105"/>
        </w:rPr>
        <w:t> </w:t>
      </w:r>
      <w:r>
        <w:rPr>
          <w:color w:val="231F20"/>
          <w:w w:val="105"/>
        </w:rPr>
        <w:t>pasado</w:t>
      </w:r>
      <w:r>
        <w:rPr>
          <w:color w:val="231F20"/>
          <w:w w:val="105"/>
          <w:position w:val="7"/>
          <w:sz w:val="12"/>
        </w:rPr>
        <w:t>1</w:t>
      </w:r>
      <w:r>
        <w:rPr>
          <w:color w:val="231F20"/>
          <w:w w:val="105"/>
        </w:rPr>
        <w:t>;</w:t>
      </w:r>
      <w:r>
        <w:rPr>
          <w:color w:val="231F20"/>
          <w:spacing w:val="-6"/>
          <w:w w:val="105"/>
        </w:rPr>
        <w:t> </w:t>
      </w:r>
      <w:r>
        <w:rPr>
          <w:color w:val="231F20"/>
          <w:w w:val="105"/>
        </w:rPr>
        <w:t>y</w:t>
      </w:r>
      <w:r>
        <w:rPr>
          <w:color w:val="231F20"/>
          <w:spacing w:val="-6"/>
          <w:w w:val="105"/>
        </w:rPr>
        <w:t> </w:t>
      </w:r>
      <w:r>
        <w:rPr>
          <w:color w:val="231F20"/>
          <w:w w:val="105"/>
        </w:rPr>
        <w:t>también</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agudización reciente</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separación</w:t>
      </w:r>
      <w:r>
        <w:rPr>
          <w:color w:val="231F20"/>
          <w:spacing w:val="-24"/>
          <w:w w:val="105"/>
        </w:rPr>
        <w:t> </w:t>
      </w:r>
      <w:r>
        <w:rPr>
          <w:color w:val="231F20"/>
          <w:w w:val="105"/>
        </w:rPr>
        <w:t>de</w:t>
      </w:r>
      <w:r>
        <w:rPr>
          <w:color w:val="231F20"/>
          <w:spacing w:val="-24"/>
          <w:w w:val="105"/>
        </w:rPr>
        <w:t> </w:t>
      </w:r>
      <w:r>
        <w:rPr>
          <w:color w:val="231F20"/>
          <w:w w:val="105"/>
        </w:rPr>
        <w:t>lo</w:t>
      </w:r>
      <w:r>
        <w:rPr>
          <w:color w:val="231F20"/>
          <w:spacing w:val="-24"/>
          <w:w w:val="105"/>
        </w:rPr>
        <w:t> </w:t>
      </w:r>
      <w:r>
        <w:rPr>
          <w:color w:val="231F20"/>
          <w:w w:val="105"/>
        </w:rPr>
        <w:t>político</w:t>
      </w:r>
      <w:r>
        <w:rPr>
          <w:color w:val="231F20"/>
          <w:spacing w:val="-24"/>
          <w:w w:val="105"/>
        </w:rPr>
        <w:t> </w:t>
      </w:r>
      <w:r>
        <w:rPr>
          <w:color w:val="231F20"/>
          <w:w w:val="105"/>
        </w:rPr>
        <w:t>frente</w:t>
      </w:r>
      <w:r>
        <w:rPr>
          <w:color w:val="231F20"/>
          <w:spacing w:val="-24"/>
          <w:w w:val="105"/>
        </w:rPr>
        <w:t> </w:t>
      </w:r>
      <w:r>
        <w:rPr>
          <w:color w:val="231F20"/>
          <w:w w:val="105"/>
        </w:rPr>
        <w:t>al</w:t>
      </w:r>
      <w:r>
        <w:rPr>
          <w:color w:val="231F20"/>
          <w:spacing w:val="-24"/>
          <w:w w:val="105"/>
        </w:rPr>
        <w:t> </w:t>
      </w:r>
      <w:r>
        <w:rPr>
          <w:color w:val="231F20"/>
          <w:w w:val="105"/>
        </w:rPr>
        <w:t>universo</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política</w:t>
      </w:r>
      <w:r>
        <w:rPr>
          <w:color w:val="231F20"/>
          <w:spacing w:val="-24"/>
          <w:w w:val="105"/>
        </w:rPr>
        <w:t> </w:t>
      </w:r>
      <w:r>
        <w:rPr>
          <w:color w:val="231F20"/>
          <w:w w:val="105"/>
        </w:rPr>
        <w:t>ins- titucional</w:t>
      </w:r>
      <w:r>
        <w:rPr>
          <w:color w:val="231F20"/>
          <w:spacing w:val="-33"/>
          <w:w w:val="105"/>
        </w:rPr>
        <w:t> </w:t>
      </w:r>
      <w:r>
        <w:rPr>
          <w:color w:val="231F20"/>
          <w:w w:val="105"/>
        </w:rPr>
        <w:t>y</w:t>
      </w:r>
      <w:r>
        <w:rPr>
          <w:color w:val="231F20"/>
          <w:spacing w:val="-33"/>
          <w:w w:val="105"/>
        </w:rPr>
        <w:t> </w:t>
      </w:r>
      <w:r>
        <w:rPr>
          <w:color w:val="231F20"/>
          <w:w w:val="105"/>
        </w:rPr>
        <w:t>su</w:t>
      </w:r>
      <w:r>
        <w:rPr>
          <w:color w:val="231F20"/>
          <w:spacing w:val="-33"/>
          <w:w w:val="105"/>
        </w:rPr>
        <w:t> </w:t>
      </w:r>
      <w:r>
        <w:rPr>
          <w:color w:val="231F20"/>
          <w:w w:val="105"/>
        </w:rPr>
        <w:t>consecuente</w:t>
      </w:r>
      <w:r>
        <w:rPr>
          <w:color w:val="231F20"/>
          <w:spacing w:val="-33"/>
          <w:w w:val="105"/>
        </w:rPr>
        <w:t> </w:t>
      </w:r>
      <w:r>
        <w:rPr>
          <w:color w:val="231F20"/>
          <w:w w:val="105"/>
        </w:rPr>
        <w:t>redefinición</w:t>
      </w:r>
      <w:r>
        <w:rPr>
          <w:color w:val="231F20"/>
          <w:spacing w:val="-33"/>
          <w:w w:val="105"/>
        </w:rPr>
        <w:t> </w:t>
      </w:r>
      <w:r>
        <w:rPr>
          <w:color w:val="231F20"/>
          <w:w w:val="105"/>
        </w:rPr>
        <w:t>de</w:t>
      </w:r>
      <w:r>
        <w:rPr>
          <w:color w:val="231F20"/>
          <w:spacing w:val="-33"/>
          <w:w w:val="105"/>
        </w:rPr>
        <w:t> </w:t>
      </w:r>
      <w:r>
        <w:rPr>
          <w:color w:val="231F20"/>
          <w:w w:val="105"/>
        </w:rPr>
        <w:t>los</w:t>
      </w:r>
      <w:r>
        <w:rPr>
          <w:color w:val="231F20"/>
          <w:spacing w:val="-33"/>
          <w:w w:val="105"/>
        </w:rPr>
        <w:t> </w:t>
      </w:r>
      <w:r>
        <w:rPr>
          <w:color w:val="231F20"/>
          <w:w w:val="105"/>
        </w:rPr>
        <w:t>lugares</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democracia</w:t>
      </w:r>
      <w:r>
        <w:rPr>
          <w:color w:val="231F20"/>
          <w:spacing w:val="-33"/>
          <w:w w:val="105"/>
        </w:rPr>
        <w:t> </w:t>
      </w:r>
      <w:r>
        <w:rPr>
          <w:color w:val="231F20"/>
          <w:w w:val="105"/>
        </w:rPr>
        <w:t>en el</w:t>
      </w:r>
      <w:r>
        <w:rPr>
          <w:color w:val="231F20"/>
          <w:spacing w:val="-26"/>
          <w:w w:val="105"/>
        </w:rPr>
        <w:t> </w:t>
      </w:r>
      <w:r>
        <w:rPr>
          <w:color w:val="231F20"/>
          <w:w w:val="105"/>
        </w:rPr>
        <w:t>territorio</w:t>
      </w:r>
      <w:r>
        <w:rPr>
          <w:color w:val="231F20"/>
          <w:spacing w:val="-26"/>
          <w:w w:val="105"/>
        </w:rPr>
        <w:t> </w:t>
      </w:r>
      <w:r>
        <w:rPr>
          <w:color w:val="231F20"/>
          <w:w w:val="105"/>
        </w:rPr>
        <w:t>de</w:t>
      </w:r>
      <w:r>
        <w:rPr>
          <w:color w:val="231F20"/>
          <w:spacing w:val="-26"/>
          <w:w w:val="105"/>
        </w:rPr>
        <w:t> </w:t>
      </w:r>
      <w:r>
        <w:rPr>
          <w:color w:val="231F20"/>
          <w:w w:val="105"/>
        </w:rPr>
        <w:t>pertenencia</w:t>
      </w:r>
      <w:r>
        <w:rPr>
          <w:color w:val="231F20"/>
          <w:spacing w:val="-26"/>
          <w:w w:val="105"/>
        </w:rPr>
        <w:t> </w:t>
      </w:r>
      <w:r>
        <w:rPr>
          <w:color w:val="231F20"/>
          <w:w w:val="105"/>
        </w:rPr>
        <w:t>e</w:t>
      </w:r>
      <w:r>
        <w:rPr>
          <w:color w:val="231F20"/>
          <w:spacing w:val="-26"/>
          <w:w w:val="105"/>
        </w:rPr>
        <w:t> </w:t>
      </w:r>
      <w:r>
        <w:rPr>
          <w:color w:val="231F20"/>
          <w:w w:val="105"/>
        </w:rPr>
        <w:t>integración</w:t>
      </w:r>
      <w:r>
        <w:rPr>
          <w:color w:val="231F20"/>
          <w:spacing w:val="-26"/>
          <w:w w:val="105"/>
        </w:rPr>
        <w:t> </w:t>
      </w:r>
      <w:r>
        <w:rPr>
          <w:color w:val="231F20"/>
          <w:w w:val="105"/>
        </w:rPr>
        <w:t>del</w:t>
      </w:r>
      <w:r>
        <w:rPr>
          <w:color w:val="231F20"/>
          <w:spacing w:val="-26"/>
          <w:w w:val="105"/>
        </w:rPr>
        <w:t> </w:t>
      </w:r>
      <w:r>
        <w:rPr>
          <w:color w:val="231F20"/>
          <w:w w:val="105"/>
        </w:rPr>
        <w:t>Estado.</w:t>
      </w:r>
    </w:p>
    <w:p>
      <w:pPr>
        <w:pStyle w:val="BodyText"/>
        <w:spacing w:line="247" w:lineRule="auto"/>
        <w:ind w:left="117" w:right="99" w:firstLine="566"/>
        <w:jc w:val="both"/>
      </w:pPr>
      <w:r>
        <w:rPr>
          <w:color w:val="231F20"/>
        </w:rPr>
        <w:t>Este momento puede ser ilustrado con la serie de medidas </w:t>
      </w:r>
      <w:r>
        <w:rPr>
          <w:color w:val="231F20"/>
          <w:spacing w:val="2"/>
        </w:rPr>
        <w:t>que </w:t>
      </w:r>
      <w:r>
        <w:rPr>
          <w:color w:val="231F20"/>
          <w:spacing w:val="69"/>
        </w:rPr>
        <w:t> </w:t>
      </w:r>
      <w:r>
        <w:rPr>
          <w:color w:val="231F20"/>
        </w:rPr>
        <w:t>llevó a cabo el presidente norteamericano Barak Obama, entre finales de 2009 y durante 2010, para hacer frente al impacto de la crisis económica de 2008 y confirmar la centralidad del Estado en materia económica y en su función de integración social. La situación dejó sobre la mesa la </w:t>
      </w:r>
      <w:r>
        <w:rPr>
          <w:color w:val="231F20"/>
          <w:spacing w:val="2"/>
        </w:rPr>
        <w:t>alerta </w:t>
      </w:r>
      <w:r>
        <w:rPr>
          <w:color w:val="231F20"/>
        </w:rPr>
        <w:t>de que los problemas que habían ocasionado la dinámica de la exclusión  y desigualdad que acompañó el agotamiento de la universalización de    los regímenes de bienestar de ciertas democracias,</w:t>
      </w:r>
      <w:r>
        <w:rPr>
          <w:color w:val="231F20"/>
          <w:position w:val="7"/>
          <w:sz w:val="12"/>
        </w:rPr>
        <w:t>2 </w:t>
      </w:r>
      <w:r>
        <w:rPr>
          <w:color w:val="231F20"/>
        </w:rPr>
        <w:t>aunado a la recesión de 2008 y a la ralentización general del crecimiento económico global, comenzaron a producir una serie de desajustes o “discrepancias” inter- nas en el universo de la vida en sociedad de los Estados en el concierto entre las naciones, donde aparecía una serie de efectos perversos para el orden democrático. Como sea, este evento se manifiesta en un momento histórico donde no es posible dejar de lado la exigencia por una explica- ción multi–causal de sus múltiples ángulos, a pesar de los continuos es- fuerzos estatales y supraestatales </w:t>
      </w:r>
      <w:r>
        <w:rPr>
          <w:color w:val="231F20"/>
          <w:spacing w:val="-9"/>
        </w:rPr>
        <w:t>y, </w:t>
      </w:r>
      <w:r>
        <w:rPr>
          <w:color w:val="231F20"/>
        </w:rPr>
        <w:t>en particular, de las élites financieras y políticas, por distanciar las causas del déficit de crecimiento económico de las formas de legitimación </w:t>
      </w:r>
      <w:r>
        <w:rPr>
          <w:color w:val="231F20"/>
          <w:spacing w:val="38"/>
        </w:rPr>
        <w:t> </w:t>
      </w:r>
      <w:r>
        <w:rPr>
          <w:color w:val="231F20"/>
          <w:spacing w:val="2"/>
        </w:rPr>
        <w:t>democrática.</w:t>
      </w:r>
    </w:p>
    <w:p>
      <w:pPr>
        <w:pStyle w:val="BodyText"/>
        <w:rPr>
          <w:sz w:val="20"/>
        </w:rPr>
      </w:pPr>
    </w:p>
    <w:p>
      <w:pPr>
        <w:pStyle w:val="BodyText"/>
        <w:spacing w:before="6"/>
        <w:rPr>
          <w:sz w:val="22"/>
        </w:rPr>
      </w:pPr>
      <w:r>
        <w:rPr/>
        <w:pict>
          <v:line style="position:absolute;mso-position-horizontal-relative:page;mso-position-vertical-relative:paragraph;z-index:6256;mso-wrap-distance-left:0;mso-wrap-distance-right:0" from="70.866096pt,15.677675pt" to="184.252096pt,15.677675pt" stroked="true" strokeweight=".3pt" strokecolor="#231f20">
            <w10:wrap type="topAndBottom"/>
          </v:line>
        </w:pict>
      </w:r>
    </w:p>
    <w:p>
      <w:pPr>
        <w:spacing w:line="206" w:lineRule="exact" w:before="10"/>
        <w:ind w:left="117" w:right="0" w:firstLine="0"/>
        <w:jc w:val="left"/>
        <w:rPr>
          <w:rFonts w:ascii="Calibri" w:hAnsi="Calibri"/>
          <w:sz w:val="17"/>
        </w:rPr>
      </w:pPr>
      <w:r>
        <w:rPr>
          <w:rFonts w:ascii="Calibri" w:hAnsi="Calibri"/>
          <w:color w:val="231F20"/>
          <w:position w:val="6"/>
          <w:sz w:val="10"/>
        </w:rPr>
        <w:t>1  </w:t>
      </w:r>
      <w:r>
        <w:rPr>
          <w:rFonts w:ascii="Calibri" w:hAnsi="Calibri"/>
          <w:color w:val="231F20"/>
          <w:sz w:val="17"/>
        </w:rPr>
        <w:t>T. Piketty, </w:t>
      </w:r>
      <w:r>
        <w:rPr>
          <w:rFonts w:ascii="Calibri" w:hAnsi="Calibri"/>
          <w:i/>
          <w:color w:val="231F20"/>
          <w:sz w:val="17"/>
        </w:rPr>
        <w:t>El capital en el siglo </w:t>
      </w:r>
      <w:r>
        <w:rPr>
          <w:rFonts w:ascii="Calibri" w:hAnsi="Calibri"/>
          <w:i/>
          <w:color w:val="231F20"/>
          <w:sz w:val="15"/>
        </w:rPr>
        <w:t>XXI</w:t>
      </w:r>
      <w:r>
        <w:rPr>
          <w:rFonts w:ascii="Calibri" w:hAnsi="Calibri"/>
          <w:color w:val="231F20"/>
          <w:sz w:val="17"/>
        </w:rPr>
        <w:t>, México, Fondo de Cultura Económica, 2014, pp. 520–525.</w:t>
      </w:r>
    </w:p>
    <w:p>
      <w:pPr>
        <w:spacing w:line="206" w:lineRule="exact" w:before="0"/>
        <w:ind w:left="117" w:right="0" w:firstLine="0"/>
        <w:jc w:val="left"/>
        <w:rPr>
          <w:rFonts w:ascii="Calibri" w:hAnsi="Calibri"/>
          <w:sz w:val="17"/>
        </w:rPr>
      </w:pPr>
      <w:r>
        <w:rPr>
          <w:rFonts w:ascii="Calibri" w:hAnsi="Calibri"/>
          <w:color w:val="231F20"/>
          <w:position w:val="6"/>
          <w:sz w:val="10"/>
        </w:rPr>
        <w:t>2  </w:t>
      </w:r>
      <w:r>
        <w:rPr>
          <w:rFonts w:ascii="Calibri" w:hAnsi="Calibri"/>
          <w:color w:val="231F20"/>
          <w:sz w:val="17"/>
        </w:rPr>
        <w:t>Los casos recientes de España y Grecia son expresiones claras de esta   situación.</w:t>
      </w:r>
    </w:p>
    <w:p>
      <w:pPr>
        <w:spacing w:after="0" w:line="206" w:lineRule="exact"/>
        <w:jc w:val="left"/>
        <w:rPr>
          <w:rFonts w:ascii="Calibri" w:hAnsi="Calibri"/>
          <w:sz w:val="17"/>
        </w:rPr>
        <w:sectPr>
          <w:pgSz w:w="9640" w:h="13890"/>
          <w:pgMar w:top="1300" w:bottom="280" w:left="1300" w:right="1200"/>
        </w:sectPr>
      </w:pPr>
    </w:p>
    <w:p>
      <w:pPr>
        <w:pStyle w:val="BodyText"/>
        <w:spacing w:line="247" w:lineRule="auto" w:before="107"/>
        <w:ind w:left="103" w:right="114"/>
        <w:jc w:val="both"/>
      </w:pPr>
      <w:r>
        <w:rPr>
          <w:color w:val="231F20"/>
          <w:w w:val="105"/>
        </w:rPr>
        <w:t>En</w:t>
      </w:r>
      <w:r>
        <w:rPr>
          <w:color w:val="231F20"/>
          <w:spacing w:val="-11"/>
          <w:w w:val="105"/>
        </w:rPr>
        <w:t> </w:t>
      </w:r>
      <w:r>
        <w:rPr>
          <w:color w:val="231F20"/>
          <w:w w:val="105"/>
        </w:rPr>
        <w:t>su</w:t>
      </w:r>
      <w:r>
        <w:rPr>
          <w:color w:val="231F20"/>
          <w:spacing w:val="-11"/>
          <w:w w:val="105"/>
        </w:rPr>
        <w:t> </w:t>
      </w:r>
      <w:r>
        <w:rPr>
          <w:color w:val="231F20"/>
          <w:w w:val="105"/>
        </w:rPr>
        <w:t>aspecto</w:t>
      </w:r>
      <w:r>
        <w:rPr>
          <w:color w:val="231F20"/>
          <w:spacing w:val="-11"/>
          <w:w w:val="105"/>
        </w:rPr>
        <w:t> </w:t>
      </w:r>
      <w:r>
        <w:rPr>
          <w:color w:val="231F20"/>
          <w:w w:val="105"/>
        </w:rPr>
        <w:t>partidario,</w:t>
      </w:r>
      <w:r>
        <w:rPr>
          <w:color w:val="231F20"/>
          <w:spacing w:val="-11"/>
          <w:w w:val="105"/>
        </w:rPr>
        <w:t> </w:t>
      </w:r>
      <w:r>
        <w:rPr>
          <w:color w:val="231F20"/>
          <w:w w:val="105"/>
        </w:rPr>
        <w:t>una</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respuestas</w:t>
      </w:r>
      <w:r>
        <w:rPr>
          <w:color w:val="231F20"/>
          <w:spacing w:val="-11"/>
          <w:w w:val="105"/>
        </w:rPr>
        <w:t> </w:t>
      </w:r>
      <w:r>
        <w:rPr>
          <w:color w:val="231F20"/>
          <w:w w:val="105"/>
        </w:rPr>
        <w:t>al</w:t>
      </w:r>
      <w:r>
        <w:rPr>
          <w:color w:val="231F20"/>
          <w:spacing w:val="-11"/>
          <w:w w:val="105"/>
        </w:rPr>
        <w:t> </w:t>
      </w:r>
      <w:r>
        <w:rPr>
          <w:color w:val="231F20"/>
          <w:w w:val="105"/>
        </w:rPr>
        <w:t>desacoplamiento</w:t>
      </w:r>
      <w:r>
        <w:rPr>
          <w:color w:val="231F20"/>
          <w:spacing w:val="-11"/>
          <w:w w:val="105"/>
        </w:rPr>
        <w:t> </w:t>
      </w:r>
      <w:r>
        <w:rPr>
          <w:color w:val="231F20"/>
          <w:w w:val="105"/>
        </w:rPr>
        <w:t>(y</w:t>
      </w:r>
      <w:r>
        <w:rPr>
          <w:color w:val="231F20"/>
          <w:spacing w:val="-11"/>
          <w:w w:val="105"/>
        </w:rPr>
        <w:t> </w:t>
      </w:r>
      <w:r>
        <w:rPr>
          <w:color w:val="231F20"/>
          <w:w w:val="105"/>
        </w:rPr>
        <w:t>al fenómeno</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w w:val="105"/>
        </w:rPr>
        <w:t>escasez</w:t>
      </w:r>
      <w:r>
        <w:rPr>
          <w:color w:val="231F20"/>
          <w:spacing w:val="-32"/>
          <w:w w:val="105"/>
        </w:rPr>
        <w:t> </w:t>
      </w:r>
      <w:r>
        <w:rPr>
          <w:color w:val="231F20"/>
          <w:w w:val="105"/>
        </w:rPr>
        <w:t>que</w:t>
      </w:r>
      <w:r>
        <w:rPr>
          <w:color w:val="231F20"/>
          <w:spacing w:val="-32"/>
          <w:w w:val="105"/>
        </w:rPr>
        <w:t> </w:t>
      </w:r>
      <w:r>
        <w:rPr>
          <w:color w:val="231F20"/>
          <w:w w:val="105"/>
        </w:rPr>
        <w:t>lo</w:t>
      </w:r>
      <w:r>
        <w:rPr>
          <w:color w:val="231F20"/>
          <w:spacing w:val="-32"/>
          <w:w w:val="105"/>
        </w:rPr>
        <w:t> </w:t>
      </w:r>
      <w:r>
        <w:rPr>
          <w:color w:val="231F20"/>
          <w:w w:val="105"/>
        </w:rPr>
        <w:t>acompaña)</w:t>
      </w:r>
      <w:r>
        <w:rPr>
          <w:color w:val="231F20"/>
          <w:spacing w:val="-32"/>
          <w:w w:val="105"/>
        </w:rPr>
        <w:t> </w:t>
      </w:r>
      <w:r>
        <w:rPr>
          <w:color w:val="231F20"/>
          <w:w w:val="105"/>
        </w:rPr>
        <w:t>entre</w:t>
      </w:r>
      <w:r>
        <w:rPr>
          <w:color w:val="231F20"/>
          <w:spacing w:val="-32"/>
          <w:w w:val="105"/>
        </w:rPr>
        <w:t> </w:t>
      </w:r>
      <w:r>
        <w:rPr>
          <w:color w:val="231F20"/>
          <w:w w:val="105"/>
        </w:rPr>
        <w:t>la</w:t>
      </w:r>
      <w:r>
        <w:rPr>
          <w:color w:val="231F20"/>
          <w:spacing w:val="-32"/>
          <w:w w:val="105"/>
        </w:rPr>
        <w:t> </w:t>
      </w:r>
      <w:r>
        <w:rPr>
          <w:color w:val="231F20"/>
          <w:w w:val="105"/>
        </w:rPr>
        <w:t>reproducción</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w w:val="105"/>
        </w:rPr>
        <w:t>vida social</w:t>
      </w:r>
      <w:r>
        <w:rPr>
          <w:color w:val="231F20"/>
          <w:spacing w:val="-26"/>
          <w:w w:val="105"/>
        </w:rPr>
        <w:t> </w:t>
      </w:r>
      <w:r>
        <w:rPr>
          <w:color w:val="231F20"/>
          <w:w w:val="105"/>
        </w:rPr>
        <w:t>y</w:t>
      </w:r>
      <w:r>
        <w:rPr>
          <w:color w:val="231F20"/>
          <w:spacing w:val="-26"/>
          <w:w w:val="105"/>
        </w:rPr>
        <w:t> </w:t>
      </w:r>
      <w:r>
        <w:rPr>
          <w:color w:val="231F20"/>
          <w:w w:val="105"/>
        </w:rPr>
        <w:t>el</w:t>
      </w:r>
      <w:r>
        <w:rPr>
          <w:color w:val="231F20"/>
          <w:spacing w:val="-26"/>
          <w:w w:val="105"/>
        </w:rPr>
        <w:t> </w:t>
      </w:r>
      <w:r>
        <w:rPr>
          <w:color w:val="231F20"/>
          <w:w w:val="105"/>
        </w:rPr>
        <w:t>proceso</w:t>
      </w:r>
      <w:r>
        <w:rPr>
          <w:color w:val="231F20"/>
          <w:spacing w:val="-26"/>
          <w:w w:val="105"/>
        </w:rPr>
        <w:t> </w:t>
      </w:r>
      <w:r>
        <w:rPr>
          <w:color w:val="231F20"/>
          <w:w w:val="105"/>
        </w:rPr>
        <w:t>institucional</w:t>
      </w:r>
      <w:r>
        <w:rPr>
          <w:color w:val="231F20"/>
          <w:spacing w:val="-26"/>
          <w:w w:val="105"/>
        </w:rPr>
        <w:t> </w:t>
      </w:r>
      <w:r>
        <w:rPr>
          <w:color w:val="231F20"/>
          <w:w w:val="105"/>
        </w:rPr>
        <w:t>de</w:t>
      </w:r>
      <w:r>
        <w:rPr>
          <w:color w:val="231F20"/>
          <w:spacing w:val="-26"/>
          <w:w w:val="105"/>
        </w:rPr>
        <w:t> </w:t>
      </w:r>
      <w:r>
        <w:rPr>
          <w:color w:val="231F20"/>
          <w:w w:val="105"/>
        </w:rPr>
        <w:t>aseguramiento</w:t>
      </w:r>
      <w:r>
        <w:rPr>
          <w:color w:val="231F20"/>
          <w:spacing w:val="-26"/>
          <w:w w:val="105"/>
        </w:rPr>
        <w:t> </w:t>
      </w:r>
      <w:r>
        <w:rPr>
          <w:color w:val="231F20"/>
          <w:w w:val="105"/>
        </w:rPr>
        <w:t>del</w:t>
      </w:r>
      <w:r>
        <w:rPr>
          <w:color w:val="231F20"/>
          <w:spacing w:val="-26"/>
          <w:w w:val="105"/>
        </w:rPr>
        <w:t> </w:t>
      </w:r>
      <w:r>
        <w:rPr>
          <w:color w:val="231F20"/>
          <w:w w:val="105"/>
        </w:rPr>
        <w:t>bienestar,</w:t>
      </w:r>
      <w:r>
        <w:rPr>
          <w:color w:val="231F20"/>
          <w:spacing w:val="-26"/>
          <w:w w:val="105"/>
        </w:rPr>
        <w:t> </w:t>
      </w:r>
      <w:r>
        <w:rPr>
          <w:color w:val="231F20"/>
          <w:w w:val="105"/>
        </w:rPr>
        <w:t>ha</w:t>
      </w:r>
      <w:r>
        <w:rPr>
          <w:color w:val="231F20"/>
          <w:spacing w:val="-26"/>
          <w:w w:val="105"/>
        </w:rPr>
        <w:t> </w:t>
      </w:r>
      <w:r>
        <w:rPr>
          <w:color w:val="231F20"/>
          <w:w w:val="105"/>
        </w:rPr>
        <w:t>sido</w:t>
      </w:r>
      <w:r>
        <w:rPr>
          <w:color w:val="231F20"/>
          <w:spacing w:val="-26"/>
          <w:w w:val="105"/>
        </w:rPr>
        <w:t> </w:t>
      </w:r>
      <w:r>
        <w:rPr>
          <w:color w:val="231F20"/>
          <w:w w:val="105"/>
        </w:rPr>
        <w:t>el ascenso</w:t>
      </w:r>
      <w:r>
        <w:rPr>
          <w:color w:val="231F20"/>
          <w:spacing w:val="-26"/>
          <w:w w:val="105"/>
        </w:rPr>
        <w:t> </w:t>
      </w:r>
      <w:r>
        <w:rPr>
          <w:color w:val="231F20"/>
          <w:w w:val="105"/>
        </w:rPr>
        <w:t>de</w:t>
      </w:r>
      <w:r>
        <w:rPr>
          <w:color w:val="231F20"/>
          <w:spacing w:val="-26"/>
          <w:w w:val="105"/>
        </w:rPr>
        <w:t> </w:t>
      </w:r>
      <w:r>
        <w:rPr>
          <w:color w:val="231F20"/>
          <w:w w:val="105"/>
        </w:rPr>
        <w:t>formaciones</w:t>
      </w:r>
      <w:r>
        <w:rPr>
          <w:color w:val="231F20"/>
          <w:spacing w:val="-26"/>
          <w:w w:val="105"/>
        </w:rPr>
        <w:t> </w:t>
      </w:r>
      <w:r>
        <w:rPr>
          <w:color w:val="231F20"/>
          <w:w w:val="105"/>
        </w:rPr>
        <w:t>y</w:t>
      </w:r>
      <w:r>
        <w:rPr>
          <w:color w:val="231F20"/>
          <w:spacing w:val="-26"/>
          <w:w w:val="105"/>
        </w:rPr>
        <w:t> </w:t>
      </w:r>
      <w:r>
        <w:rPr>
          <w:color w:val="231F20"/>
          <w:w w:val="105"/>
        </w:rPr>
        <w:t>coaliciones</w:t>
      </w:r>
      <w:r>
        <w:rPr>
          <w:color w:val="231F20"/>
          <w:spacing w:val="-26"/>
          <w:w w:val="105"/>
        </w:rPr>
        <w:t> </w:t>
      </w:r>
      <w:r>
        <w:rPr>
          <w:color w:val="231F20"/>
          <w:w w:val="105"/>
        </w:rPr>
        <w:t>electorales</w:t>
      </w:r>
      <w:r>
        <w:rPr>
          <w:color w:val="231F20"/>
          <w:spacing w:val="-26"/>
          <w:w w:val="105"/>
        </w:rPr>
        <w:t> </w:t>
      </w:r>
      <w:r>
        <w:rPr>
          <w:color w:val="231F20"/>
          <w:w w:val="105"/>
        </w:rPr>
        <w:t>populistas,</w:t>
      </w:r>
      <w:r>
        <w:rPr>
          <w:color w:val="231F20"/>
          <w:spacing w:val="-26"/>
          <w:w w:val="105"/>
        </w:rPr>
        <w:t> </w:t>
      </w:r>
      <w:r>
        <w:rPr>
          <w:color w:val="231F20"/>
          <w:w w:val="105"/>
        </w:rPr>
        <w:t>sean</w:t>
      </w:r>
      <w:r>
        <w:rPr>
          <w:color w:val="231F20"/>
          <w:spacing w:val="-26"/>
          <w:w w:val="105"/>
        </w:rPr>
        <w:t> </w:t>
      </w:r>
      <w:r>
        <w:rPr>
          <w:color w:val="231F20"/>
          <w:w w:val="105"/>
        </w:rPr>
        <w:t>organi- zadas</w:t>
      </w:r>
      <w:r>
        <w:rPr>
          <w:color w:val="231F20"/>
          <w:spacing w:val="-18"/>
          <w:w w:val="105"/>
        </w:rPr>
        <w:t> </w:t>
      </w:r>
      <w:r>
        <w:rPr>
          <w:color w:val="231F20"/>
          <w:w w:val="105"/>
        </w:rPr>
        <w:t>desde</w:t>
      </w:r>
      <w:r>
        <w:rPr>
          <w:color w:val="231F20"/>
          <w:spacing w:val="-18"/>
          <w:w w:val="105"/>
        </w:rPr>
        <w:t> </w:t>
      </w:r>
      <w:r>
        <w:rPr>
          <w:color w:val="231F20"/>
          <w:w w:val="105"/>
        </w:rPr>
        <w:t>el</w:t>
      </w:r>
      <w:r>
        <w:rPr>
          <w:color w:val="231F20"/>
          <w:spacing w:val="-18"/>
          <w:w w:val="105"/>
        </w:rPr>
        <w:t> </w:t>
      </w:r>
      <w:r>
        <w:rPr>
          <w:color w:val="231F20"/>
          <w:w w:val="105"/>
        </w:rPr>
        <w:t>espectro</w:t>
      </w:r>
      <w:r>
        <w:rPr>
          <w:color w:val="231F20"/>
          <w:spacing w:val="-18"/>
          <w:w w:val="105"/>
        </w:rPr>
        <w:t> </w:t>
      </w:r>
      <w:r>
        <w:rPr>
          <w:color w:val="231F20"/>
          <w:w w:val="105"/>
        </w:rPr>
        <w:t>“ideológico”</w:t>
      </w:r>
      <w:r>
        <w:rPr>
          <w:color w:val="231F20"/>
          <w:spacing w:val="-18"/>
          <w:w w:val="105"/>
        </w:rPr>
        <w:t> </w:t>
      </w:r>
      <w:r>
        <w:rPr>
          <w:color w:val="231F20"/>
          <w:w w:val="105"/>
        </w:rPr>
        <w:t>o,</w:t>
      </w:r>
      <w:r>
        <w:rPr>
          <w:color w:val="231F20"/>
          <w:spacing w:val="-18"/>
          <w:w w:val="105"/>
        </w:rPr>
        <w:t> </w:t>
      </w:r>
      <w:r>
        <w:rPr>
          <w:color w:val="231F20"/>
          <w:w w:val="105"/>
        </w:rPr>
        <w:t>como</w:t>
      </w:r>
      <w:r>
        <w:rPr>
          <w:color w:val="231F20"/>
          <w:spacing w:val="-18"/>
          <w:w w:val="105"/>
        </w:rPr>
        <w:t> </w:t>
      </w:r>
      <w:r>
        <w:rPr>
          <w:color w:val="231F20"/>
          <w:w w:val="105"/>
        </w:rPr>
        <w:t>se</w:t>
      </w:r>
      <w:r>
        <w:rPr>
          <w:color w:val="231F20"/>
          <w:spacing w:val="-18"/>
          <w:w w:val="105"/>
        </w:rPr>
        <w:t> </w:t>
      </w:r>
      <w:r>
        <w:rPr>
          <w:color w:val="231F20"/>
          <w:w w:val="105"/>
        </w:rPr>
        <w:t>define</w:t>
      </w:r>
      <w:r>
        <w:rPr>
          <w:color w:val="231F20"/>
          <w:spacing w:val="-18"/>
          <w:w w:val="105"/>
        </w:rPr>
        <w:t> </w:t>
      </w:r>
      <w:r>
        <w:rPr>
          <w:color w:val="231F20"/>
          <w:w w:val="105"/>
        </w:rPr>
        <w:t>hoy</w:t>
      </w:r>
      <w:r>
        <w:rPr>
          <w:color w:val="231F20"/>
          <w:spacing w:val="-18"/>
          <w:w w:val="105"/>
        </w:rPr>
        <w:t> </w:t>
      </w:r>
      <w:r>
        <w:rPr>
          <w:color w:val="231F20"/>
          <w:w w:val="105"/>
        </w:rPr>
        <w:t>en</w:t>
      </w:r>
      <w:r>
        <w:rPr>
          <w:color w:val="231F20"/>
          <w:spacing w:val="-18"/>
          <w:w w:val="105"/>
        </w:rPr>
        <w:t> </w:t>
      </w:r>
      <w:r>
        <w:rPr>
          <w:color w:val="231F20"/>
          <w:w w:val="105"/>
        </w:rPr>
        <w:t>día</w:t>
      </w:r>
      <w:r>
        <w:rPr>
          <w:color w:val="231F20"/>
          <w:spacing w:val="-18"/>
          <w:w w:val="105"/>
        </w:rPr>
        <w:t> </w:t>
      </w:r>
      <w:r>
        <w:rPr>
          <w:color w:val="231F20"/>
          <w:w w:val="105"/>
        </w:rPr>
        <w:t>“post– ideológico”, de izquierda o derecha. Entonces, si la democracia es una de</w:t>
      </w:r>
      <w:r>
        <w:rPr>
          <w:color w:val="231F20"/>
          <w:spacing w:val="-6"/>
          <w:w w:val="105"/>
        </w:rPr>
        <w:t> </w:t>
      </w:r>
      <w:r>
        <w:rPr>
          <w:color w:val="231F20"/>
          <w:w w:val="105"/>
        </w:rPr>
        <w:t>las</w:t>
      </w:r>
      <w:r>
        <w:rPr>
          <w:color w:val="231F20"/>
          <w:spacing w:val="-6"/>
          <w:w w:val="105"/>
        </w:rPr>
        <w:t> </w:t>
      </w:r>
      <w:r>
        <w:rPr>
          <w:color w:val="231F20"/>
          <w:w w:val="105"/>
        </w:rPr>
        <w:t>formas</w:t>
      </w:r>
      <w:r>
        <w:rPr>
          <w:color w:val="231F20"/>
          <w:spacing w:val="-6"/>
          <w:w w:val="105"/>
        </w:rPr>
        <w:t> </w:t>
      </w:r>
      <w:r>
        <w:rPr>
          <w:color w:val="231F20"/>
          <w:w w:val="105"/>
        </w:rPr>
        <w:t>contemporáneas</w:t>
      </w:r>
      <w:r>
        <w:rPr>
          <w:color w:val="231F20"/>
          <w:spacing w:val="-6"/>
          <w:w w:val="105"/>
        </w:rPr>
        <w:t> </w:t>
      </w:r>
      <w:r>
        <w:rPr>
          <w:color w:val="231F20"/>
          <w:w w:val="105"/>
        </w:rPr>
        <w:t>más</w:t>
      </w:r>
      <w:r>
        <w:rPr>
          <w:color w:val="231F20"/>
          <w:spacing w:val="-6"/>
          <w:w w:val="105"/>
        </w:rPr>
        <w:t> </w:t>
      </w:r>
      <w:r>
        <w:rPr>
          <w:color w:val="231F20"/>
          <w:w w:val="105"/>
        </w:rPr>
        <w:t>dinámicas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génesis</w:t>
      </w:r>
      <w:r>
        <w:rPr>
          <w:color w:val="231F20"/>
          <w:spacing w:val="-6"/>
          <w:w w:val="105"/>
        </w:rPr>
        <w:t> </w:t>
      </w:r>
      <w:r>
        <w:rPr>
          <w:color w:val="231F20"/>
          <w:w w:val="105"/>
        </w:rPr>
        <w:t>del</w:t>
      </w:r>
      <w:r>
        <w:rPr>
          <w:color w:val="231F20"/>
          <w:spacing w:val="-6"/>
          <w:w w:val="105"/>
        </w:rPr>
        <w:t> </w:t>
      </w:r>
      <w:r>
        <w:rPr>
          <w:color w:val="231F20"/>
          <w:w w:val="105"/>
        </w:rPr>
        <w:t>espacio de</w:t>
      </w:r>
      <w:r>
        <w:rPr>
          <w:color w:val="231F20"/>
          <w:spacing w:val="-17"/>
          <w:w w:val="105"/>
        </w:rPr>
        <w:t> </w:t>
      </w:r>
      <w:r>
        <w:rPr>
          <w:color w:val="231F20"/>
          <w:w w:val="105"/>
        </w:rPr>
        <w:t>lo</w:t>
      </w:r>
      <w:r>
        <w:rPr>
          <w:color w:val="231F20"/>
          <w:spacing w:val="-17"/>
          <w:w w:val="105"/>
        </w:rPr>
        <w:t> </w:t>
      </w:r>
      <w:r>
        <w:rPr>
          <w:color w:val="231F20"/>
          <w:w w:val="105"/>
        </w:rPr>
        <w:t>político</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mundo</w:t>
      </w:r>
      <w:r>
        <w:rPr>
          <w:color w:val="231F20"/>
          <w:spacing w:val="-17"/>
          <w:w w:val="105"/>
        </w:rPr>
        <w:t> </w:t>
      </w:r>
      <w:r>
        <w:rPr>
          <w:color w:val="231F20"/>
          <w:w w:val="105"/>
        </w:rPr>
        <w:t>histórico</w:t>
      </w:r>
      <w:r>
        <w:rPr>
          <w:color w:val="231F20"/>
          <w:spacing w:val="-17"/>
          <w:w w:val="105"/>
        </w:rPr>
        <w:t> </w:t>
      </w:r>
      <w:r>
        <w:rPr>
          <w:color w:val="231F20"/>
          <w:w w:val="105"/>
        </w:rPr>
        <w:t>contemporáneo,</w:t>
      </w:r>
      <w:r>
        <w:rPr>
          <w:color w:val="231F20"/>
          <w:spacing w:val="-17"/>
          <w:w w:val="105"/>
        </w:rPr>
        <w:t> </w:t>
      </w:r>
      <w:r>
        <w:rPr>
          <w:color w:val="231F20"/>
          <w:w w:val="105"/>
        </w:rPr>
        <w:t>no</w:t>
      </w:r>
      <w:r>
        <w:rPr>
          <w:color w:val="231F20"/>
          <w:spacing w:val="-17"/>
          <w:w w:val="105"/>
        </w:rPr>
        <w:t> </w:t>
      </w:r>
      <w:r>
        <w:rPr>
          <w:color w:val="231F20"/>
          <w:w w:val="105"/>
        </w:rPr>
        <w:t>es</w:t>
      </w:r>
      <w:r>
        <w:rPr>
          <w:color w:val="231F20"/>
          <w:spacing w:val="-17"/>
          <w:w w:val="105"/>
        </w:rPr>
        <w:t> </w:t>
      </w:r>
      <w:r>
        <w:rPr>
          <w:color w:val="231F20"/>
          <w:w w:val="105"/>
        </w:rPr>
        <w:t>la</w:t>
      </w:r>
      <w:r>
        <w:rPr>
          <w:color w:val="231F20"/>
          <w:spacing w:val="-17"/>
          <w:w w:val="105"/>
        </w:rPr>
        <w:t> </w:t>
      </w:r>
      <w:r>
        <w:rPr>
          <w:color w:val="231F20"/>
          <w:w w:val="105"/>
        </w:rPr>
        <w:t>única</w:t>
      </w:r>
      <w:r>
        <w:rPr>
          <w:color w:val="231F20"/>
          <w:spacing w:val="-17"/>
          <w:w w:val="105"/>
        </w:rPr>
        <w:t> </w:t>
      </w:r>
      <w:r>
        <w:rPr>
          <w:color w:val="231F20"/>
          <w:w w:val="105"/>
        </w:rPr>
        <w:t>forma de</w:t>
      </w:r>
      <w:r>
        <w:rPr>
          <w:color w:val="231F20"/>
          <w:spacing w:val="-20"/>
          <w:w w:val="105"/>
        </w:rPr>
        <w:t> </w:t>
      </w:r>
      <w:r>
        <w:rPr>
          <w:color w:val="231F20"/>
          <w:w w:val="105"/>
        </w:rPr>
        <w:t>organización</w:t>
      </w:r>
      <w:r>
        <w:rPr>
          <w:color w:val="231F20"/>
          <w:spacing w:val="-20"/>
          <w:w w:val="105"/>
        </w:rPr>
        <w:t> </w:t>
      </w:r>
      <w:r>
        <w:rPr>
          <w:color w:val="231F20"/>
          <w:w w:val="105"/>
        </w:rPr>
        <w:t>que</w:t>
      </w:r>
      <w:r>
        <w:rPr>
          <w:color w:val="231F20"/>
          <w:spacing w:val="-20"/>
          <w:w w:val="105"/>
        </w:rPr>
        <w:t> </w:t>
      </w:r>
      <w:r>
        <w:rPr>
          <w:color w:val="231F20"/>
          <w:w w:val="105"/>
        </w:rPr>
        <w:t>puede</w:t>
      </w:r>
      <w:r>
        <w:rPr>
          <w:color w:val="231F20"/>
          <w:spacing w:val="-20"/>
          <w:w w:val="105"/>
        </w:rPr>
        <w:t> </w:t>
      </w:r>
      <w:r>
        <w:rPr>
          <w:color w:val="231F20"/>
          <w:w w:val="105"/>
        </w:rPr>
        <w:t>adoptar</w:t>
      </w:r>
      <w:r>
        <w:rPr>
          <w:color w:val="231F20"/>
          <w:spacing w:val="-20"/>
          <w:w w:val="105"/>
        </w:rPr>
        <w:t> </w:t>
      </w:r>
      <w:r>
        <w:rPr>
          <w:color w:val="231F20"/>
          <w:w w:val="105"/>
        </w:rPr>
        <w:t>lo</w:t>
      </w:r>
      <w:r>
        <w:rPr>
          <w:color w:val="231F20"/>
          <w:spacing w:val="-20"/>
          <w:w w:val="105"/>
        </w:rPr>
        <w:t> </w:t>
      </w:r>
      <w:r>
        <w:rPr>
          <w:color w:val="231F20"/>
          <w:w w:val="105"/>
        </w:rPr>
        <w:t>político,</w:t>
      </w:r>
      <w:r>
        <w:rPr>
          <w:color w:val="231F20"/>
          <w:spacing w:val="-20"/>
          <w:w w:val="105"/>
        </w:rPr>
        <w:t> </w:t>
      </w:r>
      <w:r>
        <w:rPr>
          <w:color w:val="231F20"/>
          <w:w w:val="105"/>
        </w:rPr>
        <w:t>a</w:t>
      </w:r>
      <w:r>
        <w:rPr>
          <w:color w:val="231F20"/>
          <w:spacing w:val="-20"/>
          <w:w w:val="105"/>
        </w:rPr>
        <w:t> </w:t>
      </w:r>
      <w:r>
        <w:rPr>
          <w:color w:val="231F20"/>
          <w:w w:val="105"/>
        </w:rPr>
        <w:t>pesar</w:t>
      </w:r>
      <w:r>
        <w:rPr>
          <w:color w:val="231F20"/>
          <w:spacing w:val="-20"/>
          <w:w w:val="105"/>
        </w:rPr>
        <w:t> </w:t>
      </w:r>
      <w:r>
        <w:rPr>
          <w:color w:val="231F20"/>
          <w:w w:val="105"/>
        </w:rPr>
        <w:t>de</w:t>
      </w:r>
      <w:r>
        <w:rPr>
          <w:color w:val="231F20"/>
          <w:spacing w:val="-20"/>
          <w:w w:val="105"/>
        </w:rPr>
        <w:t> </w:t>
      </w:r>
      <w:r>
        <w:rPr>
          <w:color w:val="231F20"/>
          <w:w w:val="105"/>
        </w:rPr>
        <w:t>que</w:t>
      </w:r>
      <w:r>
        <w:rPr>
          <w:color w:val="231F20"/>
          <w:spacing w:val="-20"/>
          <w:w w:val="105"/>
        </w:rPr>
        <w:t> </w:t>
      </w:r>
      <w:r>
        <w:rPr>
          <w:color w:val="231F20"/>
          <w:w w:val="105"/>
        </w:rPr>
        <w:t>es</w:t>
      </w:r>
      <w:r>
        <w:rPr>
          <w:color w:val="231F20"/>
          <w:spacing w:val="-20"/>
          <w:w w:val="105"/>
        </w:rPr>
        <w:t> </w:t>
      </w:r>
      <w:r>
        <w:rPr>
          <w:color w:val="231F20"/>
          <w:w w:val="105"/>
        </w:rPr>
        <w:t>siempre con</w:t>
      </w:r>
      <w:r>
        <w:rPr>
          <w:color w:val="231F20"/>
          <w:spacing w:val="-25"/>
          <w:w w:val="105"/>
        </w:rPr>
        <w:t> </w:t>
      </w:r>
      <w:r>
        <w:rPr>
          <w:color w:val="231F20"/>
          <w:w w:val="105"/>
        </w:rPr>
        <w:t>relación</w:t>
      </w:r>
      <w:r>
        <w:rPr>
          <w:color w:val="231F20"/>
          <w:spacing w:val="-25"/>
          <w:w w:val="105"/>
        </w:rPr>
        <w:t> </w:t>
      </w:r>
      <w:r>
        <w:rPr>
          <w:color w:val="231F20"/>
          <w:w w:val="105"/>
        </w:rPr>
        <w:t>a</w:t>
      </w:r>
      <w:r>
        <w:rPr>
          <w:color w:val="231F20"/>
          <w:spacing w:val="-25"/>
          <w:w w:val="105"/>
        </w:rPr>
        <w:t> </w:t>
      </w:r>
      <w:r>
        <w:rPr>
          <w:color w:val="231F20"/>
          <w:w w:val="105"/>
        </w:rPr>
        <w:t>ella</w:t>
      </w:r>
      <w:r>
        <w:rPr>
          <w:color w:val="231F20"/>
          <w:spacing w:val="-25"/>
          <w:w w:val="105"/>
        </w:rPr>
        <w:t> </w:t>
      </w:r>
      <w:r>
        <w:rPr>
          <w:color w:val="231F20"/>
          <w:w w:val="105"/>
        </w:rPr>
        <w:t>que</w:t>
      </w:r>
      <w:r>
        <w:rPr>
          <w:color w:val="231F20"/>
          <w:spacing w:val="-25"/>
          <w:w w:val="105"/>
        </w:rPr>
        <w:t> </w:t>
      </w:r>
      <w:r>
        <w:rPr>
          <w:color w:val="231F20"/>
          <w:w w:val="105"/>
        </w:rPr>
        <w:t>aparecen</w:t>
      </w:r>
      <w:r>
        <w:rPr>
          <w:color w:val="231F20"/>
          <w:spacing w:val="-25"/>
          <w:w w:val="105"/>
        </w:rPr>
        <w:t> </w:t>
      </w:r>
      <w:r>
        <w:rPr>
          <w:color w:val="231F20"/>
          <w:w w:val="105"/>
        </w:rPr>
        <w:t>distintas</w:t>
      </w:r>
      <w:r>
        <w:rPr>
          <w:color w:val="231F20"/>
          <w:spacing w:val="-25"/>
          <w:w w:val="105"/>
        </w:rPr>
        <w:t> </w:t>
      </w:r>
      <w:r>
        <w:rPr>
          <w:color w:val="231F20"/>
          <w:w w:val="105"/>
        </w:rPr>
        <w:t>modalidades</w:t>
      </w:r>
      <w:r>
        <w:rPr>
          <w:color w:val="231F20"/>
          <w:spacing w:val="-25"/>
          <w:w w:val="105"/>
        </w:rPr>
        <w:t> </w:t>
      </w:r>
      <w:r>
        <w:rPr>
          <w:color w:val="231F20"/>
          <w:w w:val="105"/>
        </w:rPr>
        <w:t>de</w:t>
      </w:r>
      <w:r>
        <w:rPr>
          <w:color w:val="231F20"/>
          <w:spacing w:val="-25"/>
          <w:w w:val="105"/>
        </w:rPr>
        <w:t> </w:t>
      </w:r>
      <w:r>
        <w:rPr>
          <w:color w:val="231F20"/>
          <w:w w:val="105"/>
        </w:rPr>
        <w:t>su</w:t>
      </w:r>
      <w:r>
        <w:rPr>
          <w:color w:val="231F20"/>
          <w:spacing w:val="-25"/>
          <w:w w:val="105"/>
        </w:rPr>
        <w:t> </w:t>
      </w:r>
      <w:r>
        <w:rPr>
          <w:color w:val="231F20"/>
          <w:w w:val="105"/>
        </w:rPr>
        <w:t>apropiación. Cabe</w:t>
      </w:r>
      <w:r>
        <w:rPr>
          <w:color w:val="231F20"/>
          <w:spacing w:val="-10"/>
          <w:w w:val="105"/>
        </w:rPr>
        <w:t> </w:t>
      </w:r>
      <w:r>
        <w:rPr>
          <w:color w:val="231F20"/>
          <w:w w:val="105"/>
        </w:rPr>
        <w:t>señalar</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desajuste</w:t>
      </w:r>
      <w:r>
        <w:rPr>
          <w:color w:val="231F20"/>
          <w:spacing w:val="-10"/>
          <w:w w:val="105"/>
        </w:rPr>
        <w:t> </w:t>
      </w:r>
      <w:r>
        <w:rPr>
          <w:color w:val="231F20"/>
          <w:w w:val="105"/>
        </w:rPr>
        <w:t>estructural</w:t>
      </w:r>
      <w:r>
        <w:rPr>
          <w:color w:val="231F20"/>
          <w:spacing w:val="-10"/>
          <w:w w:val="105"/>
        </w:rPr>
        <w:t> </w:t>
      </w:r>
      <w:r>
        <w:rPr>
          <w:color w:val="231F20"/>
          <w:w w:val="105"/>
        </w:rPr>
        <w:t>que</w:t>
      </w:r>
      <w:r>
        <w:rPr>
          <w:color w:val="231F20"/>
          <w:spacing w:val="-10"/>
          <w:w w:val="105"/>
        </w:rPr>
        <w:t> </w:t>
      </w:r>
      <w:r>
        <w:rPr>
          <w:color w:val="231F20"/>
          <w:w w:val="105"/>
        </w:rPr>
        <w:t>viven</w:t>
      </w:r>
      <w:r>
        <w:rPr>
          <w:color w:val="231F20"/>
          <w:spacing w:val="-10"/>
          <w:w w:val="105"/>
        </w:rPr>
        <w:t> </w:t>
      </w:r>
      <w:r>
        <w:rPr>
          <w:color w:val="231F20"/>
          <w:w w:val="105"/>
        </w:rPr>
        <w:t>las</w:t>
      </w:r>
      <w:r>
        <w:rPr>
          <w:color w:val="231F20"/>
          <w:spacing w:val="-10"/>
          <w:w w:val="105"/>
        </w:rPr>
        <w:t> </w:t>
      </w:r>
      <w:r>
        <w:rPr>
          <w:color w:val="231F20"/>
          <w:w w:val="105"/>
        </w:rPr>
        <w:t>democracias</w:t>
      </w:r>
      <w:r>
        <w:rPr>
          <w:color w:val="231F20"/>
          <w:spacing w:val="-10"/>
          <w:w w:val="105"/>
        </w:rPr>
        <w:t> </w:t>
      </w:r>
      <w:r>
        <w:rPr>
          <w:color w:val="231F20"/>
          <w:w w:val="105"/>
        </w:rPr>
        <w:t>ex- plica</w:t>
      </w:r>
      <w:r>
        <w:rPr>
          <w:color w:val="231F20"/>
          <w:spacing w:val="-13"/>
          <w:w w:val="105"/>
        </w:rPr>
        <w:t> </w:t>
      </w:r>
      <w:r>
        <w:rPr>
          <w:color w:val="231F20"/>
          <w:w w:val="105"/>
        </w:rPr>
        <w:t>el</w:t>
      </w:r>
      <w:r>
        <w:rPr>
          <w:color w:val="231F20"/>
          <w:spacing w:val="-13"/>
          <w:w w:val="105"/>
        </w:rPr>
        <w:t> </w:t>
      </w:r>
      <w:r>
        <w:rPr>
          <w:color w:val="231F20"/>
          <w:w w:val="105"/>
        </w:rPr>
        <w:t>nacimiento</w:t>
      </w:r>
      <w:r>
        <w:rPr>
          <w:color w:val="231F20"/>
          <w:spacing w:val="-13"/>
          <w:w w:val="105"/>
        </w:rPr>
        <w:t> </w:t>
      </w:r>
      <w:r>
        <w:rPr>
          <w:color w:val="231F20"/>
          <w:w w:val="105"/>
        </w:rPr>
        <w:t>pero</w:t>
      </w:r>
      <w:r>
        <w:rPr>
          <w:color w:val="231F20"/>
          <w:spacing w:val="-13"/>
          <w:w w:val="105"/>
        </w:rPr>
        <w:t> </w:t>
      </w:r>
      <w:r>
        <w:rPr>
          <w:color w:val="231F20"/>
          <w:w w:val="105"/>
        </w:rPr>
        <w:t>no</w:t>
      </w:r>
      <w:r>
        <w:rPr>
          <w:color w:val="231F20"/>
          <w:spacing w:val="-13"/>
          <w:w w:val="105"/>
        </w:rPr>
        <w:t> </w:t>
      </w:r>
      <w:r>
        <w:rPr>
          <w:color w:val="231F20"/>
          <w:w w:val="105"/>
        </w:rPr>
        <w:t>el</w:t>
      </w:r>
      <w:r>
        <w:rPr>
          <w:color w:val="231F20"/>
          <w:spacing w:val="-13"/>
          <w:w w:val="105"/>
        </w:rPr>
        <w:t> </w:t>
      </w:r>
      <w:r>
        <w:rPr>
          <w:color w:val="231F20"/>
          <w:w w:val="105"/>
        </w:rPr>
        <w:t>desarrollo</w:t>
      </w:r>
      <w:r>
        <w:rPr>
          <w:color w:val="231F20"/>
          <w:spacing w:val="-13"/>
          <w:w w:val="105"/>
        </w:rPr>
        <w:t> </w:t>
      </w:r>
      <w:r>
        <w:rPr>
          <w:color w:val="231F20"/>
          <w:w w:val="105"/>
        </w:rPr>
        <w:t>y</w:t>
      </w:r>
      <w:r>
        <w:rPr>
          <w:color w:val="231F20"/>
          <w:spacing w:val="-13"/>
          <w:w w:val="105"/>
        </w:rPr>
        <w:t> </w:t>
      </w:r>
      <w:r>
        <w:rPr>
          <w:color w:val="231F20"/>
          <w:w w:val="105"/>
        </w:rPr>
        <w:t>mucho</w:t>
      </w:r>
      <w:r>
        <w:rPr>
          <w:color w:val="231F20"/>
          <w:spacing w:val="-13"/>
          <w:w w:val="105"/>
        </w:rPr>
        <w:t> </w:t>
      </w:r>
      <w:r>
        <w:rPr>
          <w:color w:val="231F20"/>
          <w:w w:val="105"/>
        </w:rPr>
        <w:t>menos</w:t>
      </w:r>
      <w:r>
        <w:rPr>
          <w:color w:val="231F20"/>
          <w:spacing w:val="-13"/>
          <w:w w:val="105"/>
        </w:rPr>
        <w:t> </w:t>
      </w:r>
      <w:r>
        <w:rPr>
          <w:color w:val="231F20"/>
          <w:w w:val="105"/>
        </w:rPr>
        <w:t>el</w:t>
      </w:r>
      <w:r>
        <w:rPr>
          <w:color w:val="231F20"/>
          <w:spacing w:val="-13"/>
          <w:w w:val="105"/>
        </w:rPr>
        <w:t> </w:t>
      </w:r>
      <w:r>
        <w:rPr>
          <w:color w:val="231F20"/>
          <w:w w:val="105"/>
        </w:rPr>
        <w:t>desenlace</w:t>
      </w:r>
      <w:r>
        <w:rPr>
          <w:color w:val="231F20"/>
          <w:spacing w:val="-13"/>
          <w:w w:val="105"/>
        </w:rPr>
        <w:t> </w:t>
      </w:r>
      <w:r>
        <w:rPr>
          <w:color w:val="231F20"/>
          <w:w w:val="105"/>
        </w:rPr>
        <w:t>de los</w:t>
      </w:r>
      <w:r>
        <w:rPr>
          <w:color w:val="231F20"/>
          <w:spacing w:val="-21"/>
          <w:w w:val="105"/>
        </w:rPr>
        <w:t> </w:t>
      </w:r>
      <w:r>
        <w:rPr>
          <w:color w:val="231F20"/>
          <w:w w:val="105"/>
        </w:rPr>
        <w:t>fenómenos</w:t>
      </w:r>
      <w:r>
        <w:rPr>
          <w:color w:val="231F20"/>
          <w:spacing w:val="-21"/>
          <w:w w:val="105"/>
        </w:rPr>
        <w:t> </w:t>
      </w:r>
      <w:r>
        <w:rPr>
          <w:color w:val="231F20"/>
          <w:w w:val="105"/>
        </w:rPr>
        <w:t>populistas</w:t>
      </w:r>
      <w:r>
        <w:rPr>
          <w:color w:val="231F20"/>
          <w:spacing w:val="-21"/>
          <w:w w:val="105"/>
        </w:rPr>
        <w:t> </w:t>
      </w:r>
      <w:r>
        <w:rPr>
          <w:color w:val="231F20"/>
          <w:w w:val="105"/>
        </w:rPr>
        <w:t>que</w:t>
      </w:r>
      <w:r>
        <w:rPr>
          <w:color w:val="231F20"/>
          <w:spacing w:val="-21"/>
          <w:w w:val="105"/>
        </w:rPr>
        <w:t> </w:t>
      </w:r>
      <w:r>
        <w:rPr>
          <w:color w:val="231F20"/>
          <w:w w:val="105"/>
        </w:rPr>
        <w:t>tienen</w:t>
      </w:r>
      <w:r>
        <w:rPr>
          <w:color w:val="231F20"/>
          <w:spacing w:val="-21"/>
          <w:w w:val="105"/>
        </w:rPr>
        <w:t> </w:t>
      </w:r>
      <w:r>
        <w:rPr>
          <w:color w:val="231F20"/>
          <w:w w:val="105"/>
        </w:rPr>
        <w:t>lugar</w:t>
      </w:r>
      <w:r>
        <w:rPr>
          <w:color w:val="231F20"/>
          <w:spacing w:val="-21"/>
          <w:w w:val="105"/>
        </w:rPr>
        <w:t> </w:t>
      </w:r>
      <w:r>
        <w:rPr>
          <w:color w:val="231F20"/>
          <w:w w:val="105"/>
        </w:rPr>
        <w:t>en</w:t>
      </w:r>
      <w:r>
        <w:rPr>
          <w:color w:val="231F20"/>
          <w:spacing w:val="-21"/>
          <w:w w:val="105"/>
        </w:rPr>
        <w:t> </w:t>
      </w:r>
      <w:r>
        <w:rPr>
          <w:color w:val="231F20"/>
          <w:w w:val="105"/>
        </w:rPr>
        <w:t>determinadas</w:t>
      </w:r>
      <w:r>
        <w:rPr>
          <w:color w:val="231F20"/>
          <w:spacing w:val="-21"/>
          <w:w w:val="105"/>
        </w:rPr>
        <w:t> </w:t>
      </w:r>
      <w:r>
        <w:rPr>
          <w:color w:val="231F20"/>
          <w:w w:val="105"/>
        </w:rPr>
        <w:t>experiencias estatales</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contexto</w:t>
      </w:r>
      <w:r>
        <w:rPr>
          <w:color w:val="231F20"/>
          <w:spacing w:val="-17"/>
          <w:w w:val="105"/>
        </w:rPr>
        <w:t> </w:t>
      </w:r>
      <w:r>
        <w:rPr>
          <w:color w:val="231F20"/>
          <w:w w:val="105"/>
        </w:rPr>
        <w:t>reciente.</w:t>
      </w:r>
      <w:r>
        <w:rPr>
          <w:color w:val="231F20"/>
          <w:spacing w:val="-17"/>
          <w:w w:val="105"/>
        </w:rPr>
        <w:t> </w:t>
      </w:r>
      <w:r>
        <w:rPr>
          <w:color w:val="231F20"/>
          <w:w w:val="105"/>
        </w:rPr>
        <w:t>En</w:t>
      </w:r>
      <w:r>
        <w:rPr>
          <w:color w:val="231F20"/>
          <w:spacing w:val="-17"/>
          <w:w w:val="105"/>
        </w:rPr>
        <w:t> </w:t>
      </w:r>
      <w:r>
        <w:rPr>
          <w:color w:val="231F20"/>
          <w:w w:val="105"/>
        </w:rPr>
        <w:t>este</w:t>
      </w:r>
      <w:r>
        <w:rPr>
          <w:color w:val="231F20"/>
          <w:spacing w:val="-17"/>
          <w:w w:val="105"/>
        </w:rPr>
        <w:t> </w:t>
      </w:r>
      <w:r>
        <w:rPr>
          <w:color w:val="231F20"/>
          <w:w w:val="105"/>
        </w:rPr>
        <w:t>sentido,</w:t>
      </w:r>
      <w:r>
        <w:rPr>
          <w:color w:val="231F20"/>
          <w:spacing w:val="-17"/>
          <w:w w:val="105"/>
        </w:rPr>
        <w:t> </w:t>
      </w:r>
      <w:r>
        <w:rPr>
          <w:color w:val="231F20"/>
          <w:w w:val="105"/>
        </w:rPr>
        <w:t>Venezuela</w:t>
      </w:r>
      <w:r>
        <w:rPr>
          <w:color w:val="231F20"/>
          <w:spacing w:val="-17"/>
          <w:w w:val="105"/>
        </w:rPr>
        <w:t> </w:t>
      </w:r>
      <w:r>
        <w:rPr>
          <w:color w:val="231F20"/>
          <w:w w:val="105"/>
        </w:rPr>
        <w:t>después</w:t>
      </w:r>
      <w:r>
        <w:rPr>
          <w:color w:val="231F20"/>
          <w:spacing w:val="-17"/>
          <w:w w:val="105"/>
        </w:rPr>
        <w:t> </w:t>
      </w:r>
      <w:r>
        <w:rPr>
          <w:color w:val="231F20"/>
          <w:w w:val="105"/>
        </w:rPr>
        <w:t>de Chávez</w:t>
      </w:r>
      <w:r>
        <w:rPr>
          <w:color w:val="231F20"/>
          <w:spacing w:val="-40"/>
          <w:w w:val="105"/>
        </w:rPr>
        <w:t> </w:t>
      </w:r>
      <w:r>
        <w:rPr>
          <w:color w:val="231F20"/>
          <w:w w:val="105"/>
        </w:rPr>
        <w:t>es</w:t>
      </w:r>
      <w:r>
        <w:rPr>
          <w:color w:val="231F20"/>
          <w:spacing w:val="-40"/>
          <w:w w:val="105"/>
        </w:rPr>
        <w:t> </w:t>
      </w:r>
      <w:r>
        <w:rPr>
          <w:color w:val="231F20"/>
          <w:w w:val="105"/>
        </w:rPr>
        <w:t>su</w:t>
      </w:r>
      <w:r>
        <w:rPr>
          <w:color w:val="231F20"/>
          <w:spacing w:val="-40"/>
          <w:w w:val="105"/>
        </w:rPr>
        <w:t> </w:t>
      </w:r>
      <w:r>
        <w:rPr>
          <w:color w:val="231F20"/>
          <w:w w:val="105"/>
        </w:rPr>
        <w:t>parábola</w:t>
      </w:r>
      <w:r>
        <w:rPr>
          <w:color w:val="231F20"/>
          <w:w w:val="105"/>
          <w:position w:val="7"/>
          <w:sz w:val="12"/>
        </w:rPr>
        <w:t>3</w:t>
      </w:r>
      <w:r>
        <w:rPr>
          <w:color w:val="231F20"/>
          <w:w w:val="105"/>
        </w:rPr>
        <w:t>.</w:t>
      </w:r>
    </w:p>
    <w:p>
      <w:pPr>
        <w:pStyle w:val="BodyText"/>
        <w:spacing w:line="247" w:lineRule="auto"/>
        <w:ind w:left="103" w:right="115" w:firstLine="566"/>
        <w:jc w:val="both"/>
      </w:pPr>
      <w:r>
        <w:rPr>
          <w:color w:val="231F20"/>
        </w:rPr>
        <w:t>En efecto, en un ámbito político global para los liberales “bien inten- cionados”,</w:t>
      </w:r>
      <w:r>
        <w:rPr>
          <w:color w:val="231F20"/>
          <w:spacing w:val="-7"/>
        </w:rPr>
        <w:t> </w:t>
      </w:r>
      <w:r>
        <w:rPr>
          <w:color w:val="231F20"/>
        </w:rPr>
        <w:t>y</w:t>
      </w:r>
      <w:r>
        <w:rPr>
          <w:color w:val="231F20"/>
          <w:spacing w:val="-7"/>
        </w:rPr>
        <w:t> </w:t>
      </w:r>
      <w:r>
        <w:rPr>
          <w:color w:val="231F20"/>
        </w:rPr>
        <w:t>hasta</w:t>
      </w:r>
      <w:r>
        <w:rPr>
          <w:color w:val="231F20"/>
          <w:spacing w:val="-7"/>
        </w:rPr>
        <w:t> </w:t>
      </w:r>
      <w:r>
        <w:rPr>
          <w:color w:val="231F20"/>
        </w:rPr>
        <w:t>hace</w:t>
      </w:r>
      <w:r>
        <w:rPr>
          <w:color w:val="231F20"/>
          <w:spacing w:val="-7"/>
        </w:rPr>
        <w:t> </w:t>
      </w:r>
      <w:r>
        <w:rPr>
          <w:color w:val="231F20"/>
        </w:rPr>
        <w:t>poco</w:t>
      </w:r>
      <w:r>
        <w:rPr>
          <w:color w:val="231F20"/>
          <w:spacing w:val="-7"/>
        </w:rPr>
        <w:t> </w:t>
      </w:r>
      <w:r>
        <w:rPr>
          <w:color w:val="231F20"/>
        </w:rPr>
        <w:t>incansables</w:t>
      </w:r>
      <w:r>
        <w:rPr>
          <w:color w:val="231F20"/>
          <w:spacing w:val="-7"/>
        </w:rPr>
        <w:t> </w:t>
      </w:r>
      <w:r>
        <w:rPr>
          <w:color w:val="231F20"/>
        </w:rPr>
        <w:t>promotores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no</w:t>
      </w:r>
      <w:r>
        <w:rPr>
          <w:color w:val="231F20"/>
          <w:spacing w:val="-7"/>
        </w:rPr>
        <w:t> </w:t>
      </w:r>
      <w:r>
        <w:rPr>
          <w:color w:val="231F20"/>
        </w:rPr>
        <w:t>intervención del Estado en la economía y las finanzas, el populismo “venga de donde venga” genera una forma en esencia antidemocrática, cuando en realidad lo que observamos es que su aparición está reglamentada por los límites internos del espacio político de la democracia contemporánea (“afuera es siempre adentro”), por lo que tal vez su desarrollo sea una simple expre- sión de un rechazo a ciertas formas que adopta la prohibición y en</w:t>
      </w:r>
      <w:r>
        <w:rPr>
          <w:color w:val="231F20"/>
          <w:spacing w:val="-27"/>
        </w:rPr>
        <w:t> </w:t>
      </w:r>
      <w:r>
        <w:rPr>
          <w:color w:val="231F20"/>
        </w:rPr>
        <w:t>general el gobierno de la ley (</w:t>
      </w:r>
      <w:r>
        <w:rPr>
          <w:rFonts w:ascii="Arial" w:hAnsi="Arial"/>
          <w:i/>
          <w:color w:val="231F20"/>
        </w:rPr>
        <w:t>Rule of law</w:t>
      </w:r>
      <w:r>
        <w:rPr>
          <w:color w:val="231F20"/>
        </w:rPr>
        <w:t>) frente a la inalienabilidad de la libertad de decisión en el interior de la</w:t>
      </w:r>
      <w:r>
        <w:rPr>
          <w:color w:val="231F20"/>
          <w:spacing w:val="34"/>
        </w:rPr>
        <w:t> </w:t>
      </w:r>
      <w:r>
        <w:rPr>
          <w:color w:val="231F20"/>
        </w:rPr>
        <w:t>democracia</w:t>
      </w:r>
      <w:r>
        <w:rPr>
          <w:color w:val="231F20"/>
          <w:position w:val="7"/>
          <w:sz w:val="12"/>
        </w:rPr>
        <w:t>4</w:t>
      </w:r>
      <w:r>
        <w:rPr>
          <w:color w:val="231F20"/>
        </w:rPr>
        <w:t>.</w:t>
      </w:r>
    </w:p>
    <w:p>
      <w:pPr>
        <w:pStyle w:val="BodyText"/>
        <w:spacing w:line="247" w:lineRule="auto"/>
        <w:ind w:left="103" w:right="115" w:firstLine="566"/>
        <w:jc w:val="both"/>
      </w:pPr>
      <w:r>
        <w:rPr>
          <w:color w:val="231F20"/>
        </w:rPr>
        <w:t>Al compartir la ecuación inversamente proporcional entre el ago- tamiento de las estructuras de bienestar</w:t>
      </w:r>
      <w:r>
        <w:rPr>
          <w:color w:val="231F20"/>
          <w:position w:val="7"/>
          <w:sz w:val="12"/>
        </w:rPr>
        <w:t>5 </w:t>
      </w:r>
      <w:r>
        <w:rPr>
          <w:color w:val="231F20"/>
        </w:rPr>
        <w:t>y el ascenso de la democracia como de gobierno por medio del dispositivo de la inclusión y el plura- lismo, lo que vemos es que sus expresiones se han vuelto una necesidad insuperable para la propia democracia y una estructura sociopolítica ingo- bernable que no sólo le afecta a esta forma de gobierno, importando sus secuelas al campo de la des–universalización de las políticas del bienestar, sino también impacta diferentes niveles de la arquitectura estatal. Por</w:t>
      </w:r>
      <w:r>
        <w:rPr>
          <w:color w:val="231F20"/>
          <w:spacing w:val="-14"/>
        </w:rPr>
        <w:t> </w:t>
      </w:r>
      <w:r>
        <w:rPr>
          <w:color w:val="231F20"/>
        </w:rPr>
        <w:t>ello, el fenómeno del populismo es el menor de sus males, pues el cambio del espacio político de la democracia vinculado al crecimiento de la escasez</w:t>
      </w:r>
      <w:r>
        <w:rPr>
          <w:color w:val="231F20"/>
          <w:spacing w:val="-14"/>
        </w:rPr>
        <w:t> </w:t>
      </w:r>
      <w:r>
        <w:rPr>
          <w:color w:val="231F20"/>
        </w:rPr>
        <w:t>de lo económico impacta de manera significativa al Estado, sobre todo en  </w:t>
      </w:r>
      <w:r>
        <w:rPr>
          <w:color w:val="231F20"/>
          <w:spacing w:val="19"/>
        </w:rPr>
        <w:t> </w:t>
      </w:r>
      <w:r>
        <w:rPr>
          <w:color w:val="231F20"/>
        </w:rPr>
        <w:t>el</w:t>
      </w:r>
    </w:p>
    <w:p>
      <w:pPr>
        <w:pStyle w:val="BodyText"/>
        <w:rPr>
          <w:sz w:val="20"/>
        </w:rPr>
      </w:pPr>
    </w:p>
    <w:p>
      <w:pPr>
        <w:pStyle w:val="BodyText"/>
        <w:spacing w:before="5"/>
        <w:rPr>
          <w:sz w:val="15"/>
        </w:rPr>
      </w:pPr>
      <w:r>
        <w:rPr/>
        <w:pict>
          <v:line style="position:absolute;mso-position-horizontal-relative:page;mso-position-vertical-relative:paragraph;z-index:6304;mso-wrap-distance-left:0;mso-wrap-distance-right:0" from="65.1968pt,11.436772pt" to="178.5828pt,11.436772pt" stroked="true" strokeweight=".3pt" strokecolor="#231f20">
            <w10:wrap type="topAndBottom"/>
          </v:line>
        </w:pict>
      </w:r>
    </w:p>
    <w:p>
      <w:pPr>
        <w:spacing w:line="204" w:lineRule="exact" w:before="9"/>
        <w:ind w:left="103" w:right="104" w:firstLine="0"/>
        <w:jc w:val="left"/>
        <w:rPr>
          <w:rFonts w:ascii="Calibri" w:hAnsi="Calibri"/>
          <w:sz w:val="17"/>
        </w:rPr>
      </w:pPr>
      <w:r>
        <w:rPr>
          <w:rFonts w:ascii="Calibri" w:hAnsi="Calibri"/>
          <w:color w:val="231F20"/>
          <w:position w:val="6"/>
          <w:sz w:val="10"/>
        </w:rPr>
        <w:t>3 </w:t>
      </w:r>
      <w:r>
        <w:rPr>
          <w:rFonts w:ascii="Calibri" w:hAnsi="Calibri"/>
          <w:color w:val="231F20"/>
          <w:sz w:val="17"/>
        </w:rPr>
        <w:t>C. Torrealba, “Venezuela después de Chávez: Polarización política y social. Aportes para un debate en torno a sus imaginarios, significados y símbolos”, </w:t>
      </w:r>
      <w:r>
        <w:rPr>
          <w:rFonts w:ascii="Calibri" w:hAnsi="Calibri"/>
          <w:i/>
          <w:color w:val="231F20"/>
          <w:sz w:val="17"/>
        </w:rPr>
        <w:t>Metapolítica</w:t>
      </w:r>
      <w:r>
        <w:rPr>
          <w:rFonts w:ascii="Calibri" w:hAnsi="Calibri"/>
          <w:color w:val="231F20"/>
          <w:sz w:val="17"/>
        </w:rPr>
        <w:t>, 19, 89, 2015, pp. 32–37.</w:t>
      </w:r>
    </w:p>
    <w:p>
      <w:pPr>
        <w:spacing w:line="204" w:lineRule="exact" w:before="0"/>
        <w:ind w:left="103" w:right="0" w:firstLine="0"/>
        <w:jc w:val="left"/>
        <w:rPr>
          <w:rFonts w:ascii="Calibri" w:hAnsi="Calibri"/>
          <w:sz w:val="17"/>
        </w:rPr>
      </w:pPr>
      <w:r>
        <w:rPr>
          <w:rFonts w:ascii="Calibri" w:hAnsi="Calibri"/>
          <w:color w:val="231F20"/>
          <w:position w:val="6"/>
          <w:sz w:val="10"/>
        </w:rPr>
        <w:t>4 </w:t>
      </w:r>
      <w:r>
        <w:rPr>
          <w:rFonts w:ascii="Calibri" w:hAnsi="Calibri"/>
          <w:color w:val="231F20"/>
          <w:sz w:val="17"/>
        </w:rPr>
        <w:t>I. Covarrubias, </w:t>
      </w:r>
      <w:r>
        <w:rPr>
          <w:rFonts w:ascii="Calibri" w:hAnsi="Calibri"/>
          <w:i/>
          <w:color w:val="231F20"/>
          <w:sz w:val="17"/>
        </w:rPr>
        <w:t>Los espejos de la democracia. Ley, espacio político y exclusión</w:t>
      </w:r>
      <w:r>
        <w:rPr>
          <w:rFonts w:ascii="Calibri" w:hAnsi="Calibri"/>
          <w:color w:val="231F20"/>
          <w:sz w:val="17"/>
        </w:rPr>
        <w:t>, México, Universidad Autónoma de la Ciudad de México–Gedisa,  2015.</w:t>
      </w:r>
    </w:p>
    <w:p>
      <w:pPr>
        <w:spacing w:line="204" w:lineRule="exact" w:before="0"/>
        <w:ind w:left="103" w:right="0" w:firstLine="0"/>
        <w:jc w:val="left"/>
        <w:rPr>
          <w:rFonts w:ascii="Calibri" w:hAnsi="Calibri"/>
          <w:sz w:val="17"/>
        </w:rPr>
      </w:pPr>
      <w:r>
        <w:rPr>
          <w:rFonts w:ascii="Calibri" w:hAnsi="Calibri"/>
          <w:color w:val="231F20"/>
          <w:w w:val="105"/>
          <w:position w:val="6"/>
          <w:sz w:val="10"/>
        </w:rPr>
        <w:t>5</w:t>
      </w:r>
      <w:r>
        <w:rPr>
          <w:rFonts w:ascii="Calibri" w:hAnsi="Calibri"/>
          <w:color w:val="231F20"/>
          <w:spacing w:val="6"/>
          <w:w w:val="105"/>
          <w:position w:val="6"/>
          <w:sz w:val="10"/>
        </w:rPr>
        <w:t> </w:t>
      </w:r>
      <w:r>
        <w:rPr>
          <w:rFonts w:ascii="Calibri" w:hAnsi="Calibri"/>
          <w:color w:val="231F20"/>
          <w:w w:val="105"/>
          <w:sz w:val="17"/>
        </w:rPr>
        <w:t>Que</w:t>
      </w:r>
      <w:r>
        <w:rPr>
          <w:rFonts w:ascii="Calibri" w:hAnsi="Calibri"/>
          <w:color w:val="231F20"/>
          <w:spacing w:val="-11"/>
          <w:w w:val="105"/>
          <w:sz w:val="17"/>
        </w:rPr>
        <w:t> </w:t>
      </w:r>
      <w:r>
        <w:rPr>
          <w:rFonts w:ascii="Calibri" w:hAnsi="Calibri"/>
          <w:color w:val="231F20"/>
          <w:w w:val="105"/>
          <w:sz w:val="17"/>
        </w:rPr>
        <w:t>fue</w:t>
      </w:r>
      <w:r>
        <w:rPr>
          <w:rFonts w:ascii="Calibri" w:hAnsi="Calibri"/>
          <w:color w:val="231F20"/>
          <w:spacing w:val="-11"/>
          <w:w w:val="105"/>
          <w:sz w:val="17"/>
        </w:rPr>
        <w:t> </w:t>
      </w:r>
      <w:r>
        <w:rPr>
          <w:rFonts w:ascii="Calibri" w:hAnsi="Calibri"/>
          <w:color w:val="231F20"/>
          <w:w w:val="105"/>
          <w:sz w:val="17"/>
        </w:rPr>
        <w:t>la</w:t>
      </w:r>
      <w:r>
        <w:rPr>
          <w:rFonts w:ascii="Calibri" w:hAnsi="Calibri"/>
          <w:color w:val="231F20"/>
          <w:spacing w:val="-11"/>
          <w:w w:val="105"/>
          <w:sz w:val="17"/>
        </w:rPr>
        <w:t> </w:t>
      </w:r>
      <w:r>
        <w:rPr>
          <w:rFonts w:ascii="Calibri" w:hAnsi="Calibri"/>
          <w:color w:val="231F20"/>
          <w:w w:val="105"/>
          <w:sz w:val="17"/>
        </w:rPr>
        <w:t>forma</w:t>
      </w:r>
      <w:r>
        <w:rPr>
          <w:rFonts w:ascii="Calibri" w:hAnsi="Calibri"/>
          <w:color w:val="231F20"/>
          <w:spacing w:val="-11"/>
          <w:w w:val="105"/>
          <w:sz w:val="17"/>
        </w:rPr>
        <w:t> </w:t>
      </w:r>
      <w:r>
        <w:rPr>
          <w:rFonts w:ascii="Calibri" w:hAnsi="Calibri"/>
          <w:color w:val="231F20"/>
          <w:w w:val="105"/>
          <w:sz w:val="17"/>
        </w:rPr>
        <w:t>histórica</w:t>
      </w:r>
      <w:r>
        <w:rPr>
          <w:rFonts w:ascii="Calibri" w:hAnsi="Calibri"/>
          <w:color w:val="231F20"/>
          <w:spacing w:val="-10"/>
          <w:w w:val="105"/>
          <w:sz w:val="17"/>
        </w:rPr>
        <w:t> </w:t>
      </w:r>
      <w:r>
        <w:rPr>
          <w:rFonts w:ascii="Calibri" w:hAnsi="Calibri"/>
          <w:color w:val="231F20"/>
          <w:w w:val="105"/>
          <w:sz w:val="17"/>
        </w:rPr>
        <w:t>que</w:t>
      </w:r>
      <w:r>
        <w:rPr>
          <w:rFonts w:ascii="Calibri" w:hAnsi="Calibri"/>
          <w:color w:val="231F20"/>
          <w:spacing w:val="-10"/>
          <w:w w:val="105"/>
          <w:sz w:val="17"/>
        </w:rPr>
        <w:t> </w:t>
      </w:r>
      <w:r>
        <w:rPr>
          <w:rFonts w:ascii="Calibri" w:hAnsi="Calibri"/>
          <w:color w:val="231F20"/>
          <w:w w:val="105"/>
          <w:sz w:val="17"/>
        </w:rPr>
        <w:t>hizo</w:t>
      </w:r>
      <w:r>
        <w:rPr>
          <w:rFonts w:ascii="Calibri" w:hAnsi="Calibri"/>
          <w:color w:val="231F20"/>
          <w:spacing w:val="-11"/>
          <w:w w:val="105"/>
          <w:sz w:val="17"/>
        </w:rPr>
        <w:t> </w:t>
      </w:r>
      <w:r>
        <w:rPr>
          <w:rFonts w:ascii="Calibri" w:hAnsi="Calibri"/>
          <w:color w:val="231F20"/>
          <w:w w:val="105"/>
          <w:sz w:val="17"/>
        </w:rPr>
        <w:t>posible</w:t>
      </w:r>
      <w:r>
        <w:rPr>
          <w:rFonts w:ascii="Calibri" w:hAnsi="Calibri"/>
          <w:color w:val="231F20"/>
          <w:spacing w:val="-11"/>
          <w:w w:val="105"/>
          <w:sz w:val="17"/>
        </w:rPr>
        <w:t> </w:t>
      </w:r>
      <w:r>
        <w:rPr>
          <w:rFonts w:ascii="Calibri" w:hAnsi="Calibri"/>
          <w:color w:val="231F20"/>
          <w:w w:val="105"/>
          <w:sz w:val="17"/>
        </w:rPr>
        <w:t>el</w:t>
      </w:r>
      <w:r>
        <w:rPr>
          <w:rFonts w:ascii="Calibri" w:hAnsi="Calibri"/>
          <w:color w:val="231F20"/>
          <w:spacing w:val="-11"/>
          <w:w w:val="105"/>
          <w:sz w:val="17"/>
        </w:rPr>
        <w:t> </w:t>
      </w:r>
      <w:r>
        <w:rPr>
          <w:rFonts w:ascii="Calibri" w:hAnsi="Calibri"/>
          <w:color w:val="231F20"/>
          <w:w w:val="105"/>
          <w:sz w:val="17"/>
        </w:rPr>
        <w:t>desarrollo</w:t>
      </w:r>
      <w:r>
        <w:rPr>
          <w:rFonts w:ascii="Calibri" w:hAnsi="Calibri"/>
          <w:color w:val="231F20"/>
          <w:spacing w:val="-11"/>
          <w:w w:val="105"/>
          <w:sz w:val="17"/>
        </w:rPr>
        <w:t> </w:t>
      </w:r>
      <w:r>
        <w:rPr>
          <w:rFonts w:ascii="Calibri" w:hAnsi="Calibri"/>
          <w:color w:val="231F20"/>
          <w:w w:val="105"/>
          <w:sz w:val="17"/>
        </w:rPr>
        <w:t>de</w:t>
      </w:r>
      <w:r>
        <w:rPr>
          <w:rFonts w:ascii="Calibri" w:hAnsi="Calibri"/>
          <w:color w:val="231F20"/>
          <w:spacing w:val="-11"/>
          <w:w w:val="105"/>
          <w:sz w:val="17"/>
        </w:rPr>
        <w:t> </w:t>
      </w:r>
      <w:r>
        <w:rPr>
          <w:rFonts w:ascii="Calibri" w:hAnsi="Calibri"/>
          <w:color w:val="231F20"/>
          <w:w w:val="105"/>
          <w:sz w:val="17"/>
        </w:rPr>
        <w:t>las</w:t>
      </w:r>
      <w:r>
        <w:rPr>
          <w:rFonts w:ascii="Calibri" w:hAnsi="Calibri"/>
          <w:color w:val="231F20"/>
          <w:spacing w:val="-11"/>
          <w:w w:val="105"/>
          <w:sz w:val="17"/>
        </w:rPr>
        <w:t> </w:t>
      </w:r>
      <w:r>
        <w:rPr>
          <w:rFonts w:ascii="Calibri" w:hAnsi="Calibri"/>
          <w:color w:val="231F20"/>
          <w:w w:val="105"/>
          <w:sz w:val="17"/>
        </w:rPr>
        <w:t>áreas</w:t>
      </w:r>
      <w:r>
        <w:rPr>
          <w:rFonts w:ascii="Calibri" w:hAnsi="Calibri"/>
          <w:color w:val="231F20"/>
          <w:spacing w:val="-11"/>
          <w:w w:val="105"/>
          <w:sz w:val="17"/>
        </w:rPr>
        <w:t> </w:t>
      </w:r>
      <w:r>
        <w:rPr>
          <w:rFonts w:ascii="Calibri" w:hAnsi="Calibri"/>
          <w:color w:val="231F20"/>
          <w:w w:val="105"/>
          <w:sz w:val="17"/>
        </w:rPr>
        <w:t>de</w:t>
      </w:r>
      <w:r>
        <w:rPr>
          <w:rFonts w:ascii="Calibri" w:hAnsi="Calibri"/>
          <w:color w:val="231F20"/>
          <w:spacing w:val="-11"/>
          <w:w w:val="105"/>
          <w:sz w:val="17"/>
        </w:rPr>
        <w:t> </w:t>
      </w:r>
      <w:r>
        <w:rPr>
          <w:rFonts w:ascii="Calibri" w:hAnsi="Calibri"/>
          <w:color w:val="231F20"/>
          <w:w w:val="105"/>
          <w:sz w:val="17"/>
        </w:rPr>
        <w:t>igualación</w:t>
      </w:r>
      <w:r>
        <w:rPr>
          <w:rFonts w:ascii="Calibri" w:hAnsi="Calibri"/>
          <w:color w:val="231F20"/>
          <w:spacing w:val="-10"/>
          <w:w w:val="105"/>
          <w:sz w:val="17"/>
        </w:rPr>
        <w:t> </w:t>
      </w:r>
      <w:r>
        <w:rPr>
          <w:rFonts w:ascii="Calibri" w:hAnsi="Calibri"/>
          <w:color w:val="231F20"/>
          <w:w w:val="105"/>
          <w:sz w:val="17"/>
        </w:rPr>
        <w:t>de</w:t>
      </w:r>
      <w:r>
        <w:rPr>
          <w:rFonts w:ascii="Calibri" w:hAnsi="Calibri"/>
          <w:color w:val="231F20"/>
          <w:spacing w:val="-11"/>
          <w:w w:val="105"/>
          <w:sz w:val="17"/>
        </w:rPr>
        <w:t> </w:t>
      </w:r>
      <w:r>
        <w:rPr>
          <w:rFonts w:ascii="Calibri" w:hAnsi="Calibri"/>
          <w:color w:val="231F20"/>
          <w:w w:val="105"/>
          <w:sz w:val="17"/>
        </w:rPr>
        <w:t>lo</w:t>
      </w:r>
      <w:r>
        <w:rPr>
          <w:rFonts w:ascii="Calibri" w:hAnsi="Calibri"/>
          <w:color w:val="231F20"/>
          <w:spacing w:val="-11"/>
          <w:w w:val="105"/>
          <w:sz w:val="17"/>
        </w:rPr>
        <w:t> </w:t>
      </w:r>
      <w:r>
        <w:rPr>
          <w:rFonts w:ascii="Calibri" w:hAnsi="Calibri"/>
          <w:color w:val="231F20"/>
          <w:w w:val="105"/>
          <w:sz w:val="17"/>
        </w:rPr>
        <w:t>social</w:t>
      </w:r>
      <w:r>
        <w:rPr>
          <w:rFonts w:ascii="Calibri" w:hAnsi="Calibri"/>
          <w:color w:val="231F20"/>
          <w:spacing w:val="-10"/>
          <w:w w:val="105"/>
          <w:sz w:val="17"/>
        </w:rPr>
        <w:t> </w:t>
      </w:r>
      <w:r>
        <w:rPr>
          <w:rFonts w:ascii="Calibri" w:hAnsi="Calibri"/>
          <w:color w:val="231F20"/>
          <w:w w:val="105"/>
          <w:sz w:val="17"/>
        </w:rPr>
        <w:t>en Occidente.</w:t>
      </w:r>
    </w:p>
    <w:p>
      <w:pPr>
        <w:pStyle w:val="BodyText"/>
        <w:rPr>
          <w:rFonts w:ascii="Calibri"/>
          <w:sz w:val="20"/>
        </w:rPr>
      </w:pPr>
    </w:p>
    <w:p>
      <w:pPr>
        <w:pStyle w:val="BodyText"/>
        <w:spacing w:before="1"/>
        <w:rPr>
          <w:rFonts w:ascii="Calibri"/>
          <w:sz w:val="28"/>
        </w:rPr>
      </w:pPr>
    </w:p>
    <w:p>
      <w:pPr>
        <w:tabs>
          <w:tab w:pos="1331" w:val="left" w:leader="none"/>
        </w:tabs>
        <w:spacing w:before="69"/>
        <w:ind w:left="226" w:right="0" w:firstLine="0"/>
        <w:jc w:val="left"/>
        <w:rPr>
          <w:rFonts w:ascii="Calibri"/>
          <w:sz w:val="16"/>
        </w:rPr>
      </w:pPr>
      <w:r>
        <w:rPr/>
        <w:pict>
          <v:group style="position:absolute;margin-left:98.787804pt;margin-top:-3.308812pt;width:20.4pt;height:43pt;mso-position-horizontal-relative:page;mso-position-vertical-relative:paragraph;z-index:-169072" coordorigin="1976,-66" coordsize="408,860">
            <v:line style="position:absolute" from="2225,73" to="2225,789" stroked="true" strokeweight=".35pt" strokecolor="#231f20"/>
            <v:shape style="position:absolute;left:2193;top:-13;width:190;height:445" type="#_x0000_t75" stroked="false">
              <v:imagedata r:id="rId40" o:title=""/>
            </v:shape>
            <v:shape style="position:absolute;left:1976;top:-66;width:250;height:502" type="#_x0000_t75" stroked="false">
              <v:imagedata r:id="rId41" o:title=""/>
            </v:shape>
            <w10:wrap type="none"/>
          </v:group>
        </w:pict>
      </w:r>
      <w:r>
        <w:rPr>
          <w:rFonts w:ascii="Arial"/>
          <w:color w:val="414042"/>
          <w:position w:val="-4"/>
          <w:sz w:val="20"/>
        </w:rPr>
        <w:t>120</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244"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637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"EL AFUERA SIEMPRE ES ADENTRO”. TENSIONES Y TRANSFORMACIONES RECIENTES</w:t>
      </w:r>
    </w:p>
    <w:p>
      <w:pPr>
        <w:spacing w:line="198" w:lineRule="exact" w:before="0"/>
        <w:ind w:left="2835" w:right="-7" w:firstLine="0"/>
        <w:jc w:val="left"/>
        <w:rPr>
          <w:rFonts w:ascii="Lucida Sans Unicode" w:hAnsi="Lucida Sans Unicode"/>
          <w:sz w:val="14"/>
        </w:rPr>
      </w:pPr>
      <w:r>
        <w:rPr>
          <w:rFonts w:ascii="Lucida Sans Unicode" w:hAnsi="Lucida Sans Unicode"/>
          <w:color w:val="6D6E71"/>
          <w:w w:val="90"/>
          <w:sz w:val="14"/>
        </w:rPr>
        <w:t>EN</w:t>
      </w:r>
      <w:r>
        <w:rPr>
          <w:rFonts w:ascii="Lucida Sans Unicode" w:hAnsi="Lucida Sans Unicode"/>
          <w:color w:val="6D6E71"/>
          <w:spacing w:val="-10"/>
          <w:w w:val="90"/>
          <w:sz w:val="14"/>
        </w:rPr>
        <w:t> </w:t>
      </w:r>
      <w:r>
        <w:rPr>
          <w:rFonts w:ascii="Lucida Sans Unicode" w:hAnsi="Lucida Sans Unicode"/>
          <w:color w:val="6D6E71"/>
          <w:w w:val="90"/>
          <w:sz w:val="14"/>
        </w:rPr>
        <w:t>EL</w:t>
      </w:r>
      <w:r>
        <w:rPr>
          <w:rFonts w:ascii="Lucida Sans Unicode" w:hAnsi="Lucida Sans Unicode"/>
          <w:color w:val="6D6E71"/>
          <w:spacing w:val="-10"/>
          <w:w w:val="90"/>
          <w:sz w:val="14"/>
        </w:rPr>
        <w:t> </w:t>
      </w:r>
      <w:r>
        <w:rPr>
          <w:rFonts w:ascii="Lucida Sans Unicode" w:hAnsi="Lucida Sans Unicode"/>
          <w:color w:val="6D6E71"/>
          <w:w w:val="90"/>
          <w:sz w:val="14"/>
        </w:rPr>
        <w:t>ESPACIO</w:t>
      </w:r>
      <w:r>
        <w:rPr>
          <w:rFonts w:ascii="Lucida Sans Unicode" w:hAnsi="Lucida Sans Unicode"/>
          <w:color w:val="6D6E71"/>
          <w:spacing w:val="-10"/>
          <w:w w:val="90"/>
          <w:sz w:val="14"/>
        </w:rPr>
        <w:t> </w:t>
      </w:r>
      <w:r>
        <w:rPr>
          <w:rFonts w:ascii="Lucida Sans Unicode" w:hAnsi="Lucida Sans Unicode"/>
          <w:color w:val="6D6E71"/>
          <w:w w:val="90"/>
          <w:sz w:val="14"/>
        </w:rPr>
        <w:t>POLÍTICO</w:t>
      </w:r>
      <w:r>
        <w:rPr>
          <w:rFonts w:ascii="Lucida Sans Unicode" w:hAnsi="Lucida Sans Unicode"/>
          <w:color w:val="6D6E71"/>
          <w:spacing w:val="-10"/>
          <w:w w:val="90"/>
          <w:sz w:val="14"/>
        </w:rPr>
        <w:t> </w:t>
      </w:r>
      <w:r>
        <w:rPr>
          <w:rFonts w:ascii="Lucida Sans Unicode" w:hAnsi="Lucida Sans Unicode"/>
          <w:color w:val="6D6E71"/>
          <w:w w:val="90"/>
          <w:sz w:val="14"/>
        </w:rPr>
        <w:t>DEL</w:t>
      </w:r>
      <w:r>
        <w:rPr>
          <w:rFonts w:ascii="Lucida Sans Unicode" w:hAnsi="Lucida Sans Unicode"/>
          <w:color w:val="6D6E71"/>
          <w:spacing w:val="-10"/>
          <w:w w:val="90"/>
          <w:sz w:val="14"/>
        </w:rPr>
        <w:t> </w:t>
      </w:r>
      <w:r>
        <w:rPr>
          <w:rFonts w:ascii="Lucida Sans Unicode" w:hAnsi="Lucida Sans Unicode"/>
          <w:color w:val="6D6E71"/>
          <w:w w:val="90"/>
          <w:sz w:val="14"/>
        </w:rPr>
        <w:t>ESTADO</w:t>
      </w:r>
      <w:r>
        <w:rPr>
          <w:rFonts w:ascii="Lucida Sans Unicode" w:hAnsi="Lucida Sans Unicode"/>
          <w:color w:val="6D6E71"/>
          <w:spacing w:val="-10"/>
          <w:w w:val="90"/>
          <w:sz w:val="14"/>
        </w:rPr>
        <w:t> </w:t>
      </w:r>
      <w:r>
        <w:rPr>
          <w:rFonts w:ascii="Lucida Sans Unicode" w:hAnsi="Lucida Sans Unicode"/>
          <w:color w:val="6D6E71"/>
          <w:w w:val="90"/>
          <w:sz w:val="14"/>
        </w:rPr>
        <w:t>Y</w:t>
      </w:r>
      <w:r>
        <w:rPr>
          <w:rFonts w:ascii="Lucida Sans Unicode" w:hAnsi="Lucida Sans Unicode"/>
          <w:color w:val="6D6E71"/>
          <w:spacing w:val="-10"/>
          <w:w w:val="90"/>
          <w:sz w:val="14"/>
        </w:rPr>
        <w:t> </w:t>
      </w:r>
      <w:r>
        <w:rPr>
          <w:rFonts w:ascii="Lucida Sans Unicode" w:hAnsi="Lucida Sans Unicode"/>
          <w:color w:val="6D6E71"/>
          <w:w w:val="90"/>
          <w:sz w:val="14"/>
        </w:rPr>
        <w:t>LA</w:t>
      </w:r>
      <w:r>
        <w:rPr>
          <w:rFonts w:ascii="Lucida Sans Unicode" w:hAnsi="Lucida Sans Unicode"/>
          <w:color w:val="6D6E71"/>
          <w:spacing w:val="-10"/>
          <w:w w:val="90"/>
          <w:sz w:val="14"/>
        </w:rPr>
        <w:t> </w:t>
      </w:r>
      <w:r>
        <w:rPr>
          <w:rFonts w:ascii="Lucida Sans Unicode" w:hAnsi="Lucida Sans Unicode"/>
          <w:color w:val="6D6E71"/>
          <w:w w:val="90"/>
          <w:sz w:val="14"/>
        </w:rPr>
        <w:t>DEMOCRACIA</w:t>
      </w:r>
    </w:p>
    <w:p>
      <w:pPr>
        <w:spacing w:before="59"/>
        <w:ind w:left="338" w:right="0" w:firstLine="0"/>
        <w:jc w:val="left"/>
        <w:rPr>
          <w:rFonts w:ascii="Arial"/>
          <w:sz w:val="20"/>
        </w:rPr>
      </w:pPr>
      <w:r>
        <w:rPr/>
        <w:br w:type="column"/>
      </w:r>
      <w:r>
        <w:rPr>
          <w:rFonts w:ascii="Arial"/>
          <w:color w:val="414042"/>
          <w:sz w:val="20"/>
        </w:rPr>
        <w:t>121</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6"/>
        <w:rPr>
          <w:rFonts w:ascii="Arial"/>
          <w:sz w:val="16"/>
        </w:rPr>
      </w:pPr>
    </w:p>
    <w:p>
      <w:pPr>
        <w:pStyle w:val="BodyText"/>
        <w:spacing w:line="247" w:lineRule="auto" w:before="44"/>
        <w:ind w:left="117" w:right="101"/>
        <w:jc w:val="both"/>
      </w:pPr>
      <w:r>
        <w:rPr>
          <w:color w:val="231F20"/>
        </w:rPr>
        <w:t>orden</w:t>
      </w:r>
      <w:r>
        <w:rPr>
          <w:color w:val="231F20"/>
          <w:spacing w:val="-8"/>
        </w:rPr>
        <w:t> </w:t>
      </w:r>
      <w:r>
        <w:rPr>
          <w:color w:val="231F20"/>
        </w:rPr>
        <w:t>territorial</w:t>
      </w:r>
      <w:r>
        <w:rPr>
          <w:color w:val="231F20"/>
          <w:spacing w:val="-8"/>
        </w:rPr>
        <w:t> </w:t>
      </w:r>
      <w:r>
        <w:rPr>
          <w:color w:val="231F20"/>
        </w:rPr>
        <w:t>y</w:t>
      </w:r>
      <w:r>
        <w:rPr>
          <w:color w:val="231F20"/>
          <w:spacing w:val="-8"/>
        </w:rPr>
        <w:t> </w:t>
      </w:r>
      <w:r>
        <w:rPr>
          <w:color w:val="231F20"/>
        </w:rPr>
        <w:t>social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seguridad</w:t>
      </w:r>
      <w:r>
        <w:rPr>
          <w:color w:val="231F20"/>
          <w:spacing w:val="-8"/>
        </w:rPr>
        <w:t> </w:t>
      </w:r>
      <w:r>
        <w:rPr>
          <w:color w:val="231F20"/>
        </w:rPr>
        <w:t>pública</w:t>
      </w:r>
      <w:r>
        <w:rPr>
          <w:color w:val="231F20"/>
          <w:spacing w:val="-8"/>
        </w:rPr>
        <w:t> </w:t>
      </w:r>
      <w:r>
        <w:rPr>
          <w:color w:val="231F20"/>
        </w:rPr>
        <w:t>y</w:t>
      </w:r>
      <w:r>
        <w:rPr>
          <w:color w:val="231F20"/>
          <w:spacing w:val="-8"/>
        </w:rPr>
        <w:t> </w:t>
      </w:r>
      <w:r>
        <w:rPr>
          <w:color w:val="231F20"/>
        </w:rPr>
        <w:t>nacional,</w:t>
      </w:r>
      <w:r>
        <w:rPr>
          <w:color w:val="231F20"/>
          <w:spacing w:val="-8"/>
        </w:rPr>
        <w:t> </w:t>
      </w:r>
      <w:r>
        <w:rPr>
          <w:color w:val="231F20"/>
        </w:rPr>
        <w:t>ya</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Esta- dos</w:t>
      </w:r>
      <w:r>
        <w:rPr>
          <w:color w:val="231F20"/>
          <w:spacing w:val="-10"/>
        </w:rPr>
        <w:t> </w:t>
      </w:r>
      <w:r>
        <w:rPr>
          <w:color w:val="231F20"/>
        </w:rPr>
        <w:t>se</w:t>
      </w:r>
      <w:r>
        <w:rPr>
          <w:color w:val="231F20"/>
          <w:spacing w:val="-10"/>
        </w:rPr>
        <w:t> </w:t>
      </w:r>
      <w:r>
        <w:rPr>
          <w:color w:val="231F20"/>
        </w:rPr>
        <w:t>verán</w:t>
      </w:r>
      <w:r>
        <w:rPr>
          <w:color w:val="231F20"/>
          <w:spacing w:val="-10"/>
        </w:rPr>
        <w:t> </w:t>
      </w:r>
      <w:r>
        <w:rPr>
          <w:color w:val="231F20"/>
        </w:rPr>
        <w:t>obligados</w:t>
      </w:r>
      <w:r>
        <w:rPr>
          <w:color w:val="231F20"/>
          <w:spacing w:val="-10"/>
        </w:rPr>
        <w:t> </w:t>
      </w:r>
      <w:r>
        <w:rPr>
          <w:color w:val="231F20"/>
        </w:rPr>
        <w:t>a</w:t>
      </w:r>
      <w:r>
        <w:rPr>
          <w:color w:val="231F20"/>
          <w:spacing w:val="-10"/>
        </w:rPr>
        <w:t> </w:t>
      </w:r>
      <w:r>
        <w:rPr>
          <w:color w:val="231F20"/>
        </w:rPr>
        <w:t>luchar</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frente</w:t>
      </w:r>
      <w:r>
        <w:rPr>
          <w:color w:val="231F20"/>
          <w:spacing w:val="-10"/>
        </w:rPr>
        <w:t> </w:t>
      </w:r>
      <w:r>
        <w:rPr>
          <w:color w:val="231F20"/>
        </w:rPr>
        <w:t>interno</w:t>
      </w:r>
      <w:r>
        <w:rPr>
          <w:color w:val="231F20"/>
          <w:spacing w:val="-10"/>
        </w:rPr>
        <w:t> </w:t>
      </w:r>
      <w:r>
        <w:rPr>
          <w:color w:val="231F20"/>
        </w:rPr>
        <w:t>y</w:t>
      </w:r>
      <w:r>
        <w:rPr>
          <w:color w:val="231F20"/>
          <w:spacing w:val="-10"/>
        </w:rPr>
        <w:t> </w:t>
      </w:r>
      <w:r>
        <w:rPr>
          <w:color w:val="231F20"/>
        </w:rPr>
        <w:t>también</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externo en contra de expresiones que cobran vida en contextos de ampliación de la escasez, como los fenómenos del terrorismo y del crimen organizado a escala transnacional</w:t>
      </w:r>
      <w:r>
        <w:rPr>
          <w:color w:val="231F20"/>
          <w:position w:val="7"/>
          <w:sz w:val="12"/>
        </w:rPr>
        <w:t>6</w:t>
      </w:r>
      <w:r>
        <w:rPr>
          <w:color w:val="231F20"/>
        </w:rPr>
        <w:t>; de igual manera, tendrán que gestionar los efectos antipolíticos</w:t>
      </w:r>
      <w:r>
        <w:rPr>
          <w:color w:val="231F20"/>
          <w:spacing w:val="-7"/>
        </w:rPr>
        <w:t> </w:t>
      </w:r>
      <w:r>
        <w:rPr>
          <w:color w:val="231F20"/>
        </w:rPr>
        <w:t>y</w:t>
      </w:r>
      <w:r>
        <w:rPr>
          <w:color w:val="231F20"/>
          <w:spacing w:val="-7"/>
        </w:rPr>
        <w:t> </w:t>
      </w:r>
      <w:r>
        <w:rPr>
          <w:color w:val="231F20"/>
        </w:rPr>
        <w:t>anti–institucionales</w:t>
      </w:r>
      <w:r>
        <w:rPr>
          <w:color w:val="231F20"/>
          <w:spacing w:val="-7"/>
        </w:rPr>
        <w:t> </w:t>
      </w:r>
      <w:r>
        <w:rPr>
          <w:color w:val="231F20"/>
        </w:rPr>
        <w:t>(el</w:t>
      </w:r>
      <w:r>
        <w:rPr>
          <w:color w:val="231F20"/>
          <w:spacing w:val="-7"/>
        </w:rPr>
        <w:t> </w:t>
      </w:r>
      <w:r>
        <w:rPr>
          <w:color w:val="231F20"/>
        </w:rPr>
        <w:t>miedo</w:t>
      </w:r>
      <w:r>
        <w:rPr>
          <w:color w:val="231F20"/>
          <w:spacing w:val="-7"/>
        </w:rPr>
        <w:t> </w:t>
      </w:r>
      <w:r>
        <w:rPr>
          <w:color w:val="231F20"/>
        </w:rPr>
        <w:t>es</w:t>
      </w:r>
      <w:r>
        <w:rPr>
          <w:color w:val="231F20"/>
          <w:spacing w:val="-7"/>
        </w:rPr>
        <w:t> </w:t>
      </w:r>
      <w:r>
        <w:rPr>
          <w:color w:val="231F20"/>
        </w:rPr>
        <w:t>su</w:t>
      </w:r>
      <w:r>
        <w:rPr>
          <w:color w:val="231F20"/>
          <w:spacing w:val="-7"/>
        </w:rPr>
        <w:t> </w:t>
      </w:r>
      <w:r>
        <w:rPr>
          <w:color w:val="231F20"/>
        </w:rPr>
        <w:t>síntoma)</w:t>
      </w:r>
      <w:r>
        <w:rPr>
          <w:color w:val="231F20"/>
          <w:spacing w:val="-7"/>
        </w:rPr>
        <w:t> </w:t>
      </w:r>
      <w:r>
        <w:rPr>
          <w:color w:val="231F20"/>
        </w:rPr>
        <w:t>que</w:t>
      </w:r>
      <w:r>
        <w:rPr>
          <w:color w:val="231F20"/>
          <w:spacing w:val="-7"/>
        </w:rPr>
        <w:t> </w:t>
      </w:r>
      <w:r>
        <w:rPr>
          <w:color w:val="231F20"/>
        </w:rPr>
        <w:t>generan</w:t>
      </w:r>
      <w:r>
        <w:rPr>
          <w:color w:val="231F20"/>
          <w:spacing w:val="-7"/>
        </w:rPr>
        <w:t> </w:t>
      </w:r>
      <w:r>
        <w:rPr>
          <w:color w:val="231F20"/>
        </w:rPr>
        <w:t>en el interior de las sociedades</w:t>
      </w:r>
      <w:r>
        <w:rPr>
          <w:color w:val="231F20"/>
          <w:spacing w:val="45"/>
        </w:rPr>
        <w:t> </w:t>
      </w:r>
      <w:r>
        <w:rPr>
          <w:color w:val="231F20"/>
        </w:rPr>
        <w:t>contemporáneas</w:t>
      </w:r>
      <w:r>
        <w:rPr>
          <w:color w:val="231F20"/>
          <w:position w:val="7"/>
          <w:sz w:val="12"/>
        </w:rPr>
        <w:t>7</w:t>
      </w:r>
      <w:r>
        <w:rPr>
          <w:color w:val="231F20"/>
        </w:rPr>
        <w:t>.</w:t>
      </w:r>
    </w:p>
    <w:p>
      <w:pPr>
        <w:pStyle w:val="BodyText"/>
        <w:spacing w:line="247" w:lineRule="auto"/>
        <w:ind w:left="117" w:right="100" w:firstLine="566"/>
        <w:jc w:val="both"/>
      </w:pPr>
      <w:r>
        <w:rPr>
          <w:color w:val="231F20"/>
        </w:rPr>
        <w:t>A partir de la metáfora de “afuera es adentro”, el presente capítu-  lo sugiere que ante las transformaciones de la arquitectura estatal en el concierto global, el espacio político del Estado no debe ser pensado ex- clusivamente desde un enfoque </w:t>
      </w:r>
      <w:r>
        <w:rPr>
          <w:rFonts w:ascii="Arial" w:hAnsi="Arial"/>
          <w:i/>
          <w:color w:val="231F20"/>
        </w:rPr>
        <w:t>topográfico</w:t>
      </w:r>
      <w:r>
        <w:rPr>
          <w:color w:val="231F20"/>
        </w:rPr>
        <w:t>, sino también desde su cons- titución </w:t>
      </w:r>
      <w:r>
        <w:rPr>
          <w:rFonts w:ascii="Arial" w:hAnsi="Arial"/>
          <w:i/>
          <w:color w:val="231F20"/>
        </w:rPr>
        <w:t>diferencial</w:t>
      </w:r>
      <w:r>
        <w:rPr>
          <w:color w:val="231F20"/>
        </w:rPr>
        <w:t>. Es </w:t>
      </w:r>
      <w:r>
        <w:rPr>
          <w:color w:val="231F20"/>
          <w:spacing w:val="-3"/>
        </w:rPr>
        <w:t>decir, </w:t>
      </w:r>
      <w:r>
        <w:rPr>
          <w:color w:val="231F20"/>
        </w:rPr>
        <w:t>los nuevos límites del poder soberano están determinados y enquistados en las resistencias “internas” que produce en un contexto donde el principio de la soberanía moderna de impronta wes- tfaliana</w:t>
      </w:r>
      <w:r>
        <w:rPr>
          <w:color w:val="231F20"/>
          <w:spacing w:val="-15"/>
        </w:rPr>
        <w:t> </w:t>
      </w:r>
      <w:r>
        <w:rPr>
          <w:color w:val="231F20"/>
        </w:rPr>
        <w:t>está</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letra</w:t>
      </w:r>
      <w:r>
        <w:rPr>
          <w:color w:val="231F20"/>
          <w:spacing w:val="-15"/>
        </w:rPr>
        <w:t> </w:t>
      </w:r>
      <w:r>
        <w:rPr>
          <w:color w:val="231F20"/>
        </w:rPr>
        <w:t>en</w:t>
      </w:r>
      <w:r>
        <w:rPr>
          <w:color w:val="231F20"/>
          <w:spacing w:val="-15"/>
        </w:rPr>
        <w:t> </w:t>
      </w:r>
      <w:r>
        <w:rPr>
          <w:color w:val="231F20"/>
        </w:rPr>
        <w:t>ruinas.</w:t>
      </w:r>
      <w:r>
        <w:rPr>
          <w:color w:val="231F20"/>
          <w:spacing w:val="-15"/>
        </w:rPr>
        <w:t> </w:t>
      </w:r>
      <w:r>
        <w:rPr>
          <w:color w:val="231F20"/>
        </w:rPr>
        <w:t>Estos</w:t>
      </w:r>
      <w:r>
        <w:rPr>
          <w:color w:val="231F20"/>
          <w:spacing w:val="-15"/>
        </w:rPr>
        <w:t> </w:t>
      </w:r>
      <w:r>
        <w:rPr>
          <w:color w:val="231F20"/>
        </w:rPr>
        <w:t>límites</w:t>
      </w:r>
      <w:r>
        <w:rPr>
          <w:color w:val="231F20"/>
          <w:spacing w:val="-15"/>
        </w:rPr>
        <w:t> </w:t>
      </w:r>
      <w:r>
        <w:rPr>
          <w:color w:val="231F20"/>
        </w:rPr>
        <w:t>internos,</w:t>
      </w:r>
      <w:r>
        <w:rPr>
          <w:color w:val="231F20"/>
          <w:spacing w:val="-15"/>
        </w:rPr>
        <w:t> </w:t>
      </w:r>
      <w:r>
        <w:rPr>
          <w:color w:val="231F20"/>
        </w:rPr>
        <w:t>en</w:t>
      </w:r>
      <w:r>
        <w:rPr>
          <w:color w:val="231F20"/>
          <w:spacing w:val="-15"/>
        </w:rPr>
        <w:t> </w:t>
      </w:r>
      <w:r>
        <w:rPr>
          <w:color w:val="231F20"/>
        </w:rPr>
        <w:t>sus</w:t>
      </w:r>
      <w:r>
        <w:rPr>
          <w:color w:val="231F20"/>
          <w:spacing w:val="-15"/>
        </w:rPr>
        <w:t> </w:t>
      </w:r>
      <w:r>
        <w:rPr>
          <w:color w:val="231F20"/>
        </w:rPr>
        <w:t>variantes</w:t>
      </w:r>
      <w:r>
        <w:rPr>
          <w:color w:val="231F20"/>
          <w:spacing w:val="-15"/>
        </w:rPr>
        <w:t> </w:t>
      </w:r>
      <w:r>
        <w:rPr>
          <w:color w:val="231F20"/>
        </w:rPr>
        <w:t>más radicales, adoptan la forma “parapolítica” de la “soberanía de lo criminal”  y del terrorismo posmoderno. Para Robert Cribb, la “parapolítica […] es   el estudio de la soberanía de lo criminal, [pero también] de los criminales que se comportan como soberanos y de los soberanos que se comportan como criminales de manera sistemática”</w:t>
      </w:r>
      <w:r>
        <w:rPr>
          <w:color w:val="231F20"/>
          <w:position w:val="7"/>
          <w:sz w:val="12"/>
        </w:rPr>
        <w:t>8</w:t>
      </w:r>
      <w:r>
        <w:rPr>
          <w:color w:val="231F20"/>
        </w:rPr>
        <w:t>. En este capítulo, pondremos especial atención al fenómeno de la “soberanización” de lo criminal, sin dejar de señalar que el terrorismo está vinculado a una parte significativa del crimen</w:t>
      </w:r>
      <w:r>
        <w:rPr>
          <w:color w:val="231F20"/>
          <w:spacing w:val="53"/>
        </w:rPr>
        <w:t> </w:t>
      </w:r>
      <w:r>
        <w:rPr>
          <w:color w:val="231F20"/>
        </w:rPr>
        <w:t>organizado.</w:t>
      </w:r>
    </w:p>
    <w:p>
      <w:pPr>
        <w:pStyle w:val="BodyText"/>
        <w:spacing w:line="254" w:lineRule="exact"/>
        <w:ind w:left="684"/>
        <w:rPr>
          <w:rFonts w:ascii="Arial" w:hAnsi="Arial"/>
          <w:i/>
        </w:rPr>
      </w:pPr>
      <w:r>
        <w:rPr>
          <w:color w:val="231F20"/>
        </w:rPr>
        <w:t>Así, la soberanía criminal, por una parte, nace cuando su </w:t>
      </w:r>
      <w:r>
        <w:rPr>
          <w:rFonts w:ascii="Arial" w:hAnsi="Arial"/>
          <w:i/>
          <w:color w:val="231F20"/>
        </w:rPr>
        <w:t>emergencia</w:t>
      </w:r>
    </w:p>
    <w:p>
      <w:pPr>
        <w:pStyle w:val="BodyText"/>
        <w:spacing w:line="244" w:lineRule="auto" w:before="5"/>
        <w:ind w:left="117" w:right="101"/>
        <w:jc w:val="both"/>
      </w:pPr>
      <w:r>
        <w:rPr>
          <w:color w:val="231F20"/>
        </w:rPr>
        <w:t>—que por su parte indica la potencialidad de que pueda </w:t>
      </w:r>
      <w:r>
        <w:rPr>
          <w:color w:val="231F20"/>
          <w:spacing w:val="-3"/>
        </w:rPr>
        <w:t>desarrollarse— </w:t>
      </w:r>
      <w:r>
        <w:rPr>
          <w:color w:val="231F20"/>
        </w:rPr>
        <w:t>tiene</w:t>
      </w:r>
      <w:r>
        <w:rPr>
          <w:color w:val="231F20"/>
          <w:spacing w:val="-11"/>
        </w:rPr>
        <w:t> </w:t>
      </w:r>
      <w:r>
        <w:rPr>
          <w:color w:val="231F20"/>
        </w:rPr>
        <w:t>que</w:t>
      </w:r>
      <w:r>
        <w:rPr>
          <w:color w:val="231F20"/>
          <w:spacing w:val="-11"/>
        </w:rPr>
        <w:t> </w:t>
      </w:r>
      <w:r>
        <w:rPr>
          <w:color w:val="231F20"/>
        </w:rPr>
        <w:t>ver</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spacing w:val="-3"/>
        </w:rPr>
        <w:t>organización</w:t>
      </w:r>
      <w:r>
        <w:rPr>
          <w:color w:val="231F20"/>
          <w:spacing w:val="-11"/>
        </w:rPr>
        <w:t> </w:t>
      </w:r>
      <w:r>
        <w:rPr>
          <w:color w:val="231F20"/>
        </w:rPr>
        <w:t>del</w:t>
      </w:r>
      <w:r>
        <w:rPr>
          <w:color w:val="231F20"/>
          <w:spacing w:val="-11"/>
        </w:rPr>
        <w:t> </w:t>
      </w:r>
      <w:r>
        <w:rPr>
          <w:color w:val="231F20"/>
        </w:rPr>
        <w:t>universo</w:t>
      </w:r>
      <w:r>
        <w:rPr>
          <w:color w:val="231F20"/>
          <w:spacing w:val="-11"/>
        </w:rPr>
        <w:t> </w:t>
      </w:r>
      <w:r>
        <w:rPr>
          <w:rFonts w:ascii="Arial" w:hAnsi="Arial"/>
          <w:i/>
          <w:color w:val="231F20"/>
        </w:rPr>
        <w:t>infra</w:t>
      </w:r>
      <w:r>
        <w:rPr>
          <w:color w:val="231F20"/>
        </w:rPr>
        <w:t>–estatal</w:t>
      </w:r>
      <w:r>
        <w:rPr>
          <w:color w:val="231F20"/>
          <w:spacing w:val="-11"/>
        </w:rPr>
        <w:t> </w:t>
      </w:r>
      <w:r>
        <w:rPr>
          <w:color w:val="231F20"/>
        </w:rPr>
        <w:t>—Ola</w:t>
      </w:r>
      <w:r>
        <w:rPr>
          <w:color w:val="231F20"/>
          <w:spacing w:val="-11"/>
        </w:rPr>
        <w:t> </w:t>
      </w:r>
      <w:r>
        <w:rPr>
          <w:color w:val="231F20"/>
          <w:spacing w:val="-4"/>
        </w:rPr>
        <w:t>Tunander</w:t>
      </w:r>
      <w:r>
        <w:rPr>
          <w:color w:val="231F20"/>
          <w:spacing w:val="-4"/>
          <w:position w:val="7"/>
          <w:sz w:val="12"/>
        </w:rPr>
        <w:t>9 </w:t>
      </w:r>
      <w:r>
        <w:rPr>
          <w:color w:val="231F20"/>
        </w:rPr>
        <w:t>usa la noción de </w:t>
      </w:r>
      <w:r>
        <w:rPr>
          <w:rFonts w:ascii="Arial" w:hAnsi="Arial"/>
          <w:i/>
          <w:color w:val="231F20"/>
        </w:rPr>
        <w:t>stay</w:t>
      </w:r>
      <w:r>
        <w:rPr>
          <w:color w:val="231F20"/>
        </w:rPr>
        <w:t>–</w:t>
      </w:r>
      <w:r>
        <w:rPr>
          <w:rFonts w:ascii="Arial" w:hAnsi="Arial"/>
          <w:i/>
          <w:color w:val="231F20"/>
        </w:rPr>
        <w:t>behind</w:t>
      </w:r>
      <w:r>
        <w:rPr>
          <w:color w:val="231F20"/>
        </w:rPr>
        <w:t>—, donde es necesaria la lógica del </w:t>
      </w:r>
      <w:r>
        <w:rPr>
          <w:color w:val="231F20"/>
          <w:spacing w:val="-3"/>
        </w:rPr>
        <w:t>secreto </w:t>
      </w:r>
      <w:r>
        <w:rPr>
          <w:color w:val="231F20"/>
        </w:rPr>
        <w:t>y la</w:t>
      </w:r>
      <w:r>
        <w:rPr>
          <w:color w:val="231F20"/>
          <w:spacing w:val="-14"/>
        </w:rPr>
        <w:t> </w:t>
      </w:r>
      <w:r>
        <w:rPr>
          <w:color w:val="231F20"/>
        </w:rPr>
        <w:t>clandestinidad</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diferentes</w:t>
      </w:r>
      <w:r>
        <w:rPr>
          <w:color w:val="231F20"/>
          <w:spacing w:val="-14"/>
        </w:rPr>
        <w:t> </w:t>
      </w:r>
      <w:r>
        <w:rPr>
          <w:color w:val="231F20"/>
        </w:rPr>
        <w:t>agentes</w:t>
      </w:r>
      <w:r>
        <w:rPr>
          <w:color w:val="231F20"/>
          <w:spacing w:val="-14"/>
        </w:rPr>
        <w:t> </w:t>
      </w:r>
      <w:r>
        <w:rPr>
          <w:color w:val="231F20"/>
          <w:spacing w:val="-3"/>
        </w:rPr>
        <w:t>generadores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criminalidad</w:t>
      </w:r>
      <w:r>
        <w:rPr>
          <w:color w:val="231F20"/>
          <w:spacing w:val="-14"/>
        </w:rPr>
        <w:t> </w:t>
      </w:r>
      <w:r>
        <w:rPr>
          <w:color w:val="231F20"/>
        </w:rPr>
        <w:t>y la</w:t>
      </w:r>
      <w:r>
        <w:rPr>
          <w:color w:val="231F20"/>
          <w:spacing w:val="-21"/>
        </w:rPr>
        <w:t> </w:t>
      </w:r>
      <w:r>
        <w:rPr>
          <w:color w:val="231F20"/>
        </w:rPr>
        <w:t>violencia</w:t>
      </w:r>
      <w:r>
        <w:rPr>
          <w:color w:val="231F20"/>
          <w:spacing w:val="-21"/>
        </w:rPr>
        <w:t> </w:t>
      </w:r>
      <w:r>
        <w:rPr>
          <w:color w:val="231F20"/>
        </w:rPr>
        <w:t>(</w:t>
      </w:r>
      <w:r>
        <w:rPr>
          <w:rFonts w:ascii="Arial" w:hAnsi="Arial"/>
          <w:i/>
          <w:color w:val="231F20"/>
        </w:rPr>
        <w:t>deep</w:t>
      </w:r>
      <w:r>
        <w:rPr>
          <w:rFonts w:ascii="Arial" w:hAnsi="Arial"/>
          <w:i/>
          <w:color w:val="231F20"/>
          <w:spacing w:val="-13"/>
        </w:rPr>
        <w:t> </w:t>
      </w:r>
      <w:r>
        <w:rPr>
          <w:rFonts w:ascii="Arial" w:hAnsi="Arial"/>
          <w:i/>
          <w:color w:val="231F20"/>
        </w:rPr>
        <w:t>State</w:t>
      </w:r>
      <w:r>
        <w:rPr>
          <w:color w:val="231F20"/>
        </w:rPr>
        <w:t>)</w:t>
      </w:r>
      <w:r>
        <w:rPr>
          <w:color w:val="231F20"/>
          <w:spacing w:val="-21"/>
        </w:rPr>
        <w:t> </w:t>
      </w:r>
      <w:r>
        <w:rPr>
          <w:color w:val="231F20"/>
        </w:rPr>
        <w:t>para</w:t>
      </w:r>
      <w:r>
        <w:rPr>
          <w:color w:val="231F20"/>
          <w:spacing w:val="-21"/>
        </w:rPr>
        <w:t> </w:t>
      </w:r>
      <w:r>
        <w:rPr>
          <w:color w:val="231F20"/>
        </w:rPr>
        <w:t>mantener</w:t>
      </w:r>
      <w:r>
        <w:rPr>
          <w:color w:val="231F20"/>
          <w:spacing w:val="-21"/>
        </w:rPr>
        <w:t> </w:t>
      </w:r>
      <w:r>
        <w:rPr>
          <w:color w:val="231F20"/>
        </w:rPr>
        <w:t>la</w:t>
      </w:r>
      <w:r>
        <w:rPr>
          <w:color w:val="231F20"/>
          <w:spacing w:val="-21"/>
        </w:rPr>
        <w:t> </w:t>
      </w:r>
      <w:r>
        <w:rPr>
          <w:color w:val="231F20"/>
        </w:rPr>
        <w:t>vigencia</w:t>
      </w:r>
      <w:r>
        <w:rPr>
          <w:color w:val="231F20"/>
          <w:spacing w:val="-21"/>
        </w:rPr>
        <w:t> </w:t>
      </w:r>
      <w:r>
        <w:rPr>
          <w:color w:val="231F20"/>
        </w:rPr>
        <w:t>de</w:t>
      </w:r>
      <w:r>
        <w:rPr>
          <w:color w:val="231F20"/>
          <w:spacing w:val="-21"/>
        </w:rPr>
        <w:t> </w:t>
      </w:r>
      <w:r>
        <w:rPr>
          <w:color w:val="231F20"/>
        </w:rPr>
        <w:t>la</w:t>
      </w:r>
      <w:r>
        <w:rPr>
          <w:color w:val="231F20"/>
          <w:spacing w:val="-21"/>
        </w:rPr>
        <w:t> </w:t>
      </w:r>
      <w:r>
        <w:rPr>
          <w:rFonts w:ascii="Arial" w:hAnsi="Arial"/>
          <w:i/>
          <w:color w:val="231F20"/>
        </w:rPr>
        <w:t>idea</w:t>
      </w:r>
      <w:r>
        <w:rPr>
          <w:rFonts w:ascii="Arial" w:hAnsi="Arial"/>
          <w:i/>
          <w:color w:val="231F20"/>
          <w:spacing w:val="-13"/>
        </w:rPr>
        <w:t> </w:t>
      </w:r>
      <w:r>
        <w:rPr>
          <w:color w:val="231F20"/>
        </w:rPr>
        <w:t>del</w:t>
      </w:r>
      <w:r>
        <w:rPr>
          <w:color w:val="231F20"/>
          <w:spacing w:val="-21"/>
        </w:rPr>
        <w:t> </w:t>
      </w:r>
      <w:r>
        <w:rPr>
          <w:color w:val="231F20"/>
        </w:rPr>
        <w:t>Estado</w:t>
      </w:r>
      <w:r>
        <w:rPr>
          <w:color w:val="231F20"/>
          <w:spacing w:val="-21"/>
        </w:rPr>
        <w:t> </w:t>
      </w:r>
      <w:r>
        <w:rPr>
          <w:color w:val="231F20"/>
        </w:rPr>
        <w:t>de- mocrático.</w:t>
      </w:r>
      <w:r>
        <w:rPr>
          <w:color w:val="231F20"/>
          <w:spacing w:val="-13"/>
        </w:rPr>
        <w:t> </w:t>
      </w:r>
      <w:r>
        <w:rPr>
          <w:color w:val="231F20"/>
          <w:spacing w:val="-3"/>
        </w:rPr>
        <w:t>Precisamente</w:t>
      </w:r>
      <w:r>
        <w:rPr>
          <w:color w:val="231F20"/>
          <w:spacing w:val="-13"/>
        </w:rPr>
        <w:t> </w:t>
      </w:r>
      <w:r>
        <w:rPr>
          <w:color w:val="231F20"/>
        </w:rPr>
        <w:t>es</w:t>
      </w:r>
      <w:r>
        <w:rPr>
          <w:color w:val="231F20"/>
          <w:spacing w:val="-13"/>
        </w:rPr>
        <w:t> </w:t>
      </w:r>
      <w:r>
        <w:rPr>
          <w:color w:val="231F20"/>
        </w:rPr>
        <w:t>aquí</w:t>
      </w:r>
      <w:r>
        <w:rPr>
          <w:color w:val="231F20"/>
          <w:spacing w:val="-13"/>
        </w:rPr>
        <w:t> </w:t>
      </w:r>
      <w:r>
        <w:rPr>
          <w:color w:val="231F20"/>
        </w:rPr>
        <w:t>donde</w:t>
      </w:r>
      <w:r>
        <w:rPr>
          <w:color w:val="231F20"/>
          <w:spacing w:val="-13"/>
        </w:rPr>
        <w:t> </w:t>
      </w:r>
      <w:r>
        <w:rPr>
          <w:color w:val="231F20"/>
        </w:rPr>
        <w:t>tiene</w:t>
      </w:r>
      <w:r>
        <w:rPr>
          <w:color w:val="231F20"/>
          <w:spacing w:val="-13"/>
        </w:rPr>
        <w:t> </w:t>
      </w:r>
      <w:r>
        <w:rPr>
          <w:color w:val="231F20"/>
        </w:rPr>
        <w:t>lugar</w:t>
      </w:r>
      <w:r>
        <w:rPr>
          <w:color w:val="231F20"/>
          <w:spacing w:val="-13"/>
        </w:rPr>
        <w:t> </w:t>
      </w:r>
      <w:r>
        <w:rPr>
          <w:color w:val="231F20"/>
        </w:rPr>
        <w:t>el</w:t>
      </w:r>
      <w:r>
        <w:rPr>
          <w:color w:val="231F20"/>
          <w:spacing w:val="-13"/>
        </w:rPr>
        <w:t> </w:t>
      </w:r>
      <w:r>
        <w:rPr>
          <w:color w:val="231F20"/>
        </w:rPr>
        <w:t>nacimiento</w:t>
      </w:r>
      <w:r>
        <w:rPr>
          <w:color w:val="231F20"/>
          <w:spacing w:val="-13"/>
        </w:rPr>
        <w:t> </w:t>
      </w:r>
      <w:r>
        <w:rPr>
          <w:color w:val="231F20"/>
        </w:rPr>
        <w:t>de</w:t>
      </w:r>
      <w:r>
        <w:rPr>
          <w:color w:val="231F20"/>
          <w:spacing w:val="-13"/>
        </w:rPr>
        <w:t> </w:t>
      </w:r>
      <w:r>
        <w:rPr>
          <w:color w:val="231F20"/>
        </w:rPr>
        <w:t>aquello que el jurista alemán Ernst Fraenkel</w:t>
      </w:r>
      <w:r>
        <w:rPr>
          <w:color w:val="231F20"/>
          <w:position w:val="7"/>
          <w:sz w:val="12"/>
        </w:rPr>
        <w:t>10  </w:t>
      </w:r>
      <w:r>
        <w:rPr>
          <w:color w:val="231F20"/>
        </w:rPr>
        <w:t>llamaba Estado doble (</w:t>
      </w:r>
      <w:r>
        <w:rPr>
          <w:rFonts w:ascii="Arial" w:hAnsi="Arial"/>
          <w:i/>
          <w:color w:val="231F20"/>
        </w:rPr>
        <w:t>Dual </w:t>
      </w:r>
      <w:r>
        <w:rPr>
          <w:rFonts w:ascii="Arial" w:hAnsi="Arial"/>
          <w:i/>
          <w:color w:val="231F20"/>
          <w:spacing w:val="51"/>
        </w:rPr>
        <w:t> </w:t>
      </w:r>
      <w:r>
        <w:rPr>
          <w:rFonts w:ascii="Arial" w:hAnsi="Arial"/>
          <w:i/>
          <w:color w:val="231F20"/>
        </w:rPr>
        <w:t>state</w:t>
      </w:r>
      <w:r>
        <w:rPr>
          <w:color w:val="231F20"/>
        </w:rPr>
        <w:t>),</w:t>
      </w:r>
    </w:p>
    <w:p>
      <w:pPr>
        <w:pStyle w:val="BodyText"/>
        <w:spacing w:before="11"/>
        <w:rPr>
          <w:sz w:val="24"/>
        </w:rPr>
      </w:pPr>
      <w:r>
        <w:rPr/>
        <w:pict>
          <v:line style="position:absolute;mso-position-horizontal-relative:page;mso-position-vertical-relative:paragraph;z-index:6352;mso-wrap-distance-left:0;mso-wrap-distance-right:0" from="70.866096pt,17.176199pt" to="184.252096pt,17.176199pt" stroked="true" strokeweight=".3pt" strokecolor="#231f20">
            <w10:wrap type="topAndBottom"/>
          </v:line>
        </w:pict>
      </w:r>
    </w:p>
    <w:p>
      <w:pPr>
        <w:spacing w:line="204" w:lineRule="exact" w:before="8"/>
        <w:ind w:left="117" w:right="101" w:firstLine="0"/>
        <w:jc w:val="both"/>
        <w:rPr>
          <w:rFonts w:ascii="Calibri" w:hAnsi="Calibri"/>
          <w:sz w:val="17"/>
        </w:rPr>
      </w:pPr>
      <w:r>
        <w:rPr>
          <w:rFonts w:ascii="Calibri" w:hAnsi="Calibri"/>
          <w:color w:val="231F20"/>
          <w:position w:val="6"/>
          <w:sz w:val="10"/>
        </w:rPr>
        <w:t>6 </w:t>
      </w:r>
      <w:r>
        <w:rPr>
          <w:rFonts w:ascii="Calibri" w:hAnsi="Calibri"/>
          <w:color w:val="231F20"/>
          <w:spacing w:val="-10"/>
          <w:sz w:val="17"/>
        </w:rPr>
        <w:t>P. </w:t>
      </w:r>
      <w:r>
        <w:rPr>
          <w:rFonts w:ascii="Calibri" w:hAnsi="Calibri"/>
          <w:color w:val="231F20"/>
          <w:sz w:val="17"/>
        </w:rPr>
        <w:t>Andreas, “Crimen transnacional y globalización económica”, M. Berdal y M. Serrano (comps), </w:t>
      </w:r>
      <w:r>
        <w:rPr>
          <w:rFonts w:ascii="Calibri" w:hAnsi="Calibri"/>
          <w:i/>
          <w:color w:val="231F20"/>
          <w:sz w:val="17"/>
        </w:rPr>
        <w:t>Crimen</w:t>
      </w:r>
      <w:r>
        <w:rPr>
          <w:rFonts w:ascii="Calibri" w:hAnsi="Calibri"/>
          <w:i/>
          <w:color w:val="231F20"/>
          <w:spacing w:val="-5"/>
          <w:sz w:val="17"/>
        </w:rPr>
        <w:t> </w:t>
      </w:r>
      <w:r>
        <w:rPr>
          <w:rFonts w:ascii="Calibri" w:hAnsi="Calibri"/>
          <w:i/>
          <w:color w:val="231F20"/>
          <w:sz w:val="17"/>
        </w:rPr>
        <w:t>transnacional</w:t>
      </w:r>
      <w:r>
        <w:rPr>
          <w:rFonts w:ascii="Calibri" w:hAnsi="Calibri"/>
          <w:i/>
          <w:color w:val="231F20"/>
          <w:spacing w:val="-5"/>
          <w:sz w:val="17"/>
        </w:rPr>
        <w:t> </w:t>
      </w:r>
      <w:r>
        <w:rPr>
          <w:rFonts w:ascii="Calibri" w:hAnsi="Calibri"/>
          <w:i/>
          <w:color w:val="231F20"/>
          <w:sz w:val="17"/>
        </w:rPr>
        <w:t>organizado</w:t>
      </w:r>
      <w:r>
        <w:rPr>
          <w:rFonts w:ascii="Calibri" w:hAnsi="Calibri"/>
          <w:i/>
          <w:color w:val="231F20"/>
          <w:spacing w:val="-7"/>
          <w:sz w:val="17"/>
        </w:rPr>
        <w:t> </w:t>
      </w:r>
      <w:r>
        <w:rPr>
          <w:rFonts w:ascii="Calibri" w:hAnsi="Calibri"/>
          <w:i/>
          <w:color w:val="231F20"/>
          <w:sz w:val="17"/>
        </w:rPr>
        <w:t>y</w:t>
      </w:r>
      <w:r>
        <w:rPr>
          <w:rFonts w:ascii="Calibri" w:hAnsi="Calibri"/>
          <w:i/>
          <w:color w:val="231F20"/>
          <w:spacing w:val="-5"/>
          <w:sz w:val="17"/>
        </w:rPr>
        <w:t> </w:t>
      </w:r>
      <w:r>
        <w:rPr>
          <w:rFonts w:ascii="Calibri" w:hAnsi="Calibri"/>
          <w:i/>
          <w:color w:val="231F20"/>
          <w:sz w:val="17"/>
        </w:rPr>
        <w:t>seguridad</w:t>
      </w:r>
      <w:r>
        <w:rPr>
          <w:rFonts w:ascii="Calibri" w:hAnsi="Calibri"/>
          <w:i/>
          <w:color w:val="231F20"/>
          <w:spacing w:val="-5"/>
          <w:sz w:val="17"/>
        </w:rPr>
        <w:t> </w:t>
      </w:r>
      <w:r>
        <w:rPr>
          <w:rFonts w:ascii="Calibri" w:hAnsi="Calibri"/>
          <w:i/>
          <w:color w:val="231F20"/>
          <w:sz w:val="17"/>
        </w:rPr>
        <w:t>internacional.</w:t>
      </w:r>
      <w:r>
        <w:rPr>
          <w:rFonts w:ascii="Calibri" w:hAnsi="Calibri"/>
          <w:i/>
          <w:color w:val="231F20"/>
          <w:spacing w:val="-5"/>
          <w:sz w:val="17"/>
        </w:rPr>
        <w:t> </w:t>
      </w:r>
      <w:r>
        <w:rPr>
          <w:rFonts w:ascii="Calibri" w:hAnsi="Calibri"/>
          <w:i/>
          <w:color w:val="231F20"/>
          <w:sz w:val="17"/>
        </w:rPr>
        <w:t>Cambio</w:t>
      </w:r>
      <w:r>
        <w:rPr>
          <w:rFonts w:ascii="Calibri" w:hAnsi="Calibri"/>
          <w:i/>
          <w:color w:val="231F20"/>
          <w:spacing w:val="-7"/>
          <w:sz w:val="17"/>
        </w:rPr>
        <w:t> </w:t>
      </w:r>
      <w:r>
        <w:rPr>
          <w:rFonts w:ascii="Calibri" w:hAnsi="Calibri"/>
          <w:i/>
          <w:color w:val="231F20"/>
          <w:sz w:val="17"/>
        </w:rPr>
        <w:t>y</w:t>
      </w:r>
      <w:r>
        <w:rPr>
          <w:rFonts w:ascii="Calibri" w:hAnsi="Calibri"/>
          <w:i/>
          <w:color w:val="231F20"/>
          <w:spacing w:val="-5"/>
          <w:sz w:val="17"/>
        </w:rPr>
        <w:t> </w:t>
      </w:r>
      <w:r>
        <w:rPr>
          <w:rFonts w:ascii="Calibri" w:hAnsi="Calibri"/>
          <w:i/>
          <w:color w:val="231F20"/>
          <w:sz w:val="17"/>
        </w:rPr>
        <w:t>continuidad</w:t>
      </w:r>
      <w:r>
        <w:rPr>
          <w:rFonts w:ascii="Calibri" w:hAnsi="Calibri"/>
          <w:color w:val="231F20"/>
          <w:sz w:val="17"/>
        </w:rPr>
        <w:t>,</w:t>
      </w:r>
      <w:r>
        <w:rPr>
          <w:rFonts w:ascii="Calibri" w:hAnsi="Calibri"/>
          <w:color w:val="231F20"/>
          <w:spacing w:val="-4"/>
          <w:sz w:val="17"/>
        </w:rPr>
        <w:t> </w:t>
      </w:r>
      <w:r>
        <w:rPr>
          <w:rFonts w:ascii="Calibri" w:hAnsi="Calibri"/>
          <w:color w:val="231F20"/>
          <w:sz w:val="17"/>
        </w:rPr>
        <w:t>México,</w:t>
      </w:r>
      <w:r>
        <w:rPr>
          <w:rFonts w:ascii="Calibri" w:hAnsi="Calibri"/>
          <w:color w:val="231F20"/>
          <w:spacing w:val="-4"/>
          <w:sz w:val="17"/>
        </w:rPr>
        <w:t> </w:t>
      </w:r>
      <w:r>
        <w:rPr>
          <w:rFonts w:ascii="Calibri" w:hAnsi="Calibri"/>
          <w:color w:val="231F20"/>
          <w:sz w:val="17"/>
        </w:rPr>
        <w:t>Fondo</w:t>
      </w:r>
      <w:r>
        <w:rPr>
          <w:rFonts w:ascii="Calibri" w:hAnsi="Calibri"/>
          <w:color w:val="231F20"/>
          <w:spacing w:val="-4"/>
          <w:sz w:val="17"/>
        </w:rPr>
        <w:t> </w:t>
      </w:r>
      <w:r>
        <w:rPr>
          <w:rFonts w:ascii="Calibri" w:hAnsi="Calibri"/>
          <w:color w:val="231F20"/>
          <w:sz w:val="17"/>
        </w:rPr>
        <w:t>de Cultura Económica, 2005, pp. </w:t>
      </w:r>
      <w:r>
        <w:rPr>
          <w:rFonts w:ascii="Calibri" w:hAnsi="Calibri"/>
          <w:color w:val="231F20"/>
          <w:spacing w:val="27"/>
          <w:sz w:val="17"/>
        </w:rPr>
        <w:t> </w:t>
      </w:r>
      <w:r>
        <w:rPr>
          <w:rFonts w:ascii="Calibri" w:hAnsi="Calibri"/>
          <w:color w:val="231F20"/>
          <w:sz w:val="17"/>
        </w:rPr>
        <w:t>62–85.</w:t>
      </w:r>
    </w:p>
    <w:p>
      <w:pPr>
        <w:spacing w:line="204" w:lineRule="exact" w:before="0"/>
        <w:ind w:left="117" w:right="101" w:firstLine="0"/>
        <w:jc w:val="both"/>
        <w:rPr>
          <w:rFonts w:ascii="Calibri" w:hAnsi="Calibri"/>
          <w:sz w:val="17"/>
        </w:rPr>
      </w:pPr>
      <w:r>
        <w:rPr>
          <w:rFonts w:ascii="Calibri" w:hAnsi="Calibri"/>
          <w:color w:val="231F20"/>
          <w:w w:val="105"/>
          <w:position w:val="6"/>
          <w:sz w:val="10"/>
        </w:rPr>
        <w:t>7 </w:t>
      </w:r>
      <w:r>
        <w:rPr>
          <w:rFonts w:ascii="Calibri" w:hAnsi="Calibri"/>
          <w:color w:val="231F20"/>
          <w:w w:val="105"/>
          <w:sz w:val="17"/>
        </w:rPr>
        <w:t>D. Zolo, “La reducción del miedo”, R. Ocampo Alcántar, I. Covarrubias y J. C. Cruz Revueltas (coords),</w:t>
      </w:r>
      <w:r>
        <w:rPr>
          <w:rFonts w:ascii="Calibri" w:hAnsi="Calibri"/>
          <w:color w:val="231F20"/>
          <w:spacing w:val="-22"/>
          <w:w w:val="105"/>
          <w:sz w:val="17"/>
        </w:rPr>
        <w:t> </w:t>
      </w:r>
      <w:r>
        <w:rPr>
          <w:rFonts w:ascii="Calibri" w:hAnsi="Calibri"/>
          <w:i/>
          <w:color w:val="231F20"/>
          <w:w w:val="105"/>
          <w:sz w:val="17"/>
        </w:rPr>
        <w:t>Estado,</w:t>
      </w:r>
      <w:r>
        <w:rPr>
          <w:rFonts w:ascii="Calibri" w:hAnsi="Calibri"/>
          <w:i/>
          <w:color w:val="231F20"/>
          <w:spacing w:val="-23"/>
          <w:w w:val="105"/>
          <w:sz w:val="17"/>
        </w:rPr>
        <w:t> </w:t>
      </w:r>
      <w:r>
        <w:rPr>
          <w:rFonts w:ascii="Calibri" w:hAnsi="Calibri"/>
          <w:i/>
          <w:color w:val="231F20"/>
          <w:w w:val="105"/>
          <w:sz w:val="17"/>
        </w:rPr>
        <w:t>seguridad</w:t>
      </w:r>
      <w:r>
        <w:rPr>
          <w:rFonts w:ascii="Calibri" w:hAnsi="Calibri"/>
          <w:i/>
          <w:color w:val="231F20"/>
          <w:spacing w:val="-23"/>
          <w:w w:val="105"/>
          <w:sz w:val="17"/>
        </w:rPr>
        <w:t> </w:t>
      </w:r>
      <w:r>
        <w:rPr>
          <w:rFonts w:ascii="Calibri" w:hAnsi="Calibri"/>
          <w:i/>
          <w:color w:val="231F20"/>
          <w:w w:val="105"/>
          <w:sz w:val="17"/>
        </w:rPr>
        <w:t>pública</w:t>
      </w:r>
      <w:r>
        <w:rPr>
          <w:rFonts w:ascii="Calibri" w:hAnsi="Calibri"/>
          <w:i/>
          <w:color w:val="231F20"/>
          <w:spacing w:val="-23"/>
          <w:w w:val="105"/>
          <w:sz w:val="17"/>
        </w:rPr>
        <w:t> </w:t>
      </w:r>
      <w:r>
        <w:rPr>
          <w:rFonts w:ascii="Calibri" w:hAnsi="Calibri"/>
          <w:i/>
          <w:color w:val="231F20"/>
          <w:w w:val="105"/>
          <w:sz w:val="17"/>
        </w:rPr>
        <w:t>y</w:t>
      </w:r>
      <w:r>
        <w:rPr>
          <w:rFonts w:ascii="Calibri" w:hAnsi="Calibri"/>
          <w:i/>
          <w:color w:val="231F20"/>
          <w:spacing w:val="-23"/>
          <w:w w:val="105"/>
          <w:sz w:val="17"/>
        </w:rPr>
        <w:t> </w:t>
      </w:r>
      <w:r>
        <w:rPr>
          <w:rFonts w:ascii="Calibri" w:hAnsi="Calibri"/>
          <w:i/>
          <w:color w:val="231F20"/>
          <w:w w:val="105"/>
          <w:sz w:val="17"/>
        </w:rPr>
        <w:t>criminalidades.</w:t>
      </w:r>
      <w:r>
        <w:rPr>
          <w:rFonts w:ascii="Calibri" w:hAnsi="Calibri"/>
          <w:i/>
          <w:color w:val="231F20"/>
          <w:spacing w:val="-23"/>
          <w:w w:val="105"/>
          <w:sz w:val="17"/>
        </w:rPr>
        <w:t> </w:t>
      </w:r>
      <w:r>
        <w:rPr>
          <w:rFonts w:ascii="Calibri" w:hAnsi="Calibri"/>
          <w:i/>
          <w:color w:val="231F20"/>
          <w:w w:val="105"/>
          <w:sz w:val="17"/>
        </w:rPr>
        <w:t>Debates</w:t>
      </w:r>
      <w:r>
        <w:rPr>
          <w:rFonts w:ascii="Calibri" w:hAnsi="Calibri"/>
          <w:i/>
          <w:color w:val="231F20"/>
          <w:spacing w:val="-23"/>
          <w:w w:val="105"/>
          <w:sz w:val="17"/>
        </w:rPr>
        <w:t> </w:t>
      </w:r>
      <w:r>
        <w:rPr>
          <w:rFonts w:ascii="Calibri" w:hAnsi="Calibri"/>
          <w:i/>
          <w:color w:val="231F20"/>
          <w:w w:val="105"/>
          <w:sz w:val="17"/>
        </w:rPr>
        <w:t>recientes</w:t>
      </w:r>
      <w:r>
        <w:rPr>
          <w:rFonts w:ascii="Calibri" w:hAnsi="Calibri"/>
          <w:color w:val="231F20"/>
          <w:w w:val="105"/>
          <w:sz w:val="17"/>
        </w:rPr>
        <w:t>,</w:t>
      </w:r>
      <w:r>
        <w:rPr>
          <w:rFonts w:ascii="Calibri" w:hAnsi="Calibri"/>
          <w:color w:val="231F20"/>
          <w:spacing w:val="-22"/>
          <w:w w:val="105"/>
          <w:sz w:val="17"/>
        </w:rPr>
        <w:t> </w:t>
      </w:r>
      <w:r>
        <w:rPr>
          <w:rFonts w:ascii="Calibri" w:hAnsi="Calibri"/>
          <w:color w:val="231F20"/>
          <w:w w:val="105"/>
          <w:sz w:val="17"/>
        </w:rPr>
        <w:t>México,</w:t>
      </w:r>
      <w:r>
        <w:rPr>
          <w:rFonts w:ascii="Calibri" w:hAnsi="Calibri"/>
          <w:color w:val="231F20"/>
          <w:spacing w:val="-22"/>
          <w:w w:val="105"/>
          <w:sz w:val="17"/>
        </w:rPr>
        <w:t> </w:t>
      </w:r>
      <w:r>
        <w:rPr>
          <w:rFonts w:ascii="Calibri" w:hAnsi="Calibri"/>
          <w:color w:val="231F20"/>
          <w:w w:val="105"/>
          <w:sz w:val="17"/>
        </w:rPr>
        <w:t>Universidad</w:t>
      </w:r>
      <w:r>
        <w:rPr>
          <w:rFonts w:ascii="Calibri" w:hAnsi="Calibri"/>
          <w:color w:val="231F20"/>
          <w:spacing w:val="-22"/>
          <w:w w:val="105"/>
          <w:sz w:val="17"/>
        </w:rPr>
        <w:t> </w:t>
      </w:r>
      <w:r>
        <w:rPr>
          <w:rFonts w:ascii="Calibri" w:hAnsi="Calibri"/>
          <w:color w:val="231F20"/>
          <w:w w:val="105"/>
          <w:sz w:val="17"/>
        </w:rPr>
        <w:t>Autó- noma</w:t>
      </w:r>
      <w:r>
        <w:rPr>
          <w:rFonts w:ascii="Calibri" w:hAnsi="Calibri"/>
          <w:color w:val="231F20"/>
          <w:spacing w:val="-24"/>
          <w:w w:val="105"/>
          <w:sz w:val="17"/>
        </w:rPr>
        <w:t> </w:t>
      </w:r>
      <w:r>
        <w:rPr>
          <w:rFonts w:ascii="Calibri" w:hAnsi="Calibri"/>
          <w:color w:val="231F20"/>
          <w:w w:val="105"/>
          <w:sz w:val="17"/>
        </w:rPr>
        <w:t>de</w:t>
      </w:r>
      <w:r>
        <w:rPr>
          <w:rFonts w:ascii="Calibri" w:hAnsi="Calibri"/>
          <w:color w:val="231F20"/>
          <w:spacing w:val="-24"/>
          <w:w w:val="105"/>
          <w:sz w:val="17"/>
        </w:rPr>
        <w:t> </w:t>
      </w:r>
      <w:r>
        <w:rPr>
          <w:rFonts w:ascii="Calibri" w:hAnsi="Calibri"/>
          <w:color w:val="231F20"/>
          <w:w w:val="105"/>
          <w:sz w:val="17"/>
        </w:rPr>
        <w:t>Sinaloa–Publicaciones</w:t>
      </w:r>
      <w:r>
        <w:rPr>
          <w:rFonts w:ascii="Calibri" w:hAnsi="Calibri"/>
          <w:color w:val="231F20"/>
          <w:spacing w:val="-24"/>
          <w:w w:val="105"/>
          <w:sz w:val="17"/>
        </w:rPr>
        <w:t> </w:t>
      </w:r>
      <w:r>
        <w:rPr>
          <w:rFonts w:ascii="Calibri" w:hAnsi="Calibri"/>
          <w:color w:val="231F20"/>
          <w:w w:val="105"/>
          <w:sz w:val="17"/>
        </w:rPr>
        <w:t>Cruz,</w:t>
      </w:r>
      <w:r>
        <w:rPr>
          <w:rFonts w:ascii="Calibri" w:hAnsi="Calibri"/>
          <w:color w:val="231F20"/>
          <w:spacing w:val="-24"/>
          <w:w w:val="105"/>
          <w:sz w:val="17"/>
        </w:rPr>
        <w:t> </w:t>
      </w:r>
      <w:r>
        <w:rPr>
          <w:rFonts w:ascii="Calibri" w:hAnsi="Calibri"/>
          <w:color w:val="231F20"/>
          <w:w w:val="105"/>
          <w:sz w:val="17"/>
        </w:rPr>
        <w:t>2013,</w:t>
      </w:r>
      <w:r>
        <w:rPr>
          <w:rFonts w:ascii="Calibri" w:hAnsi="Calibri"/>
          <w:color w:val="231F20"/>
          <w:spacing w:val="-24"/>
          <w:w w:val="105"/>
          <w:sz w:val="17"/>
        </w:rPr>
        <w:t> </w:t>
      </w:r>
      <w:r>
        <w:rPr>
          <w:rFonts w:ascii="Calibri" w:hAnsi="Calibri"/>
          <w:color w:val="231F20"/>
          <w:w w:val="105"/>
          <w:sz w:val="17"/>
        </w:rPr>
        <w:t>pp.</w:t>
      </w:r>
      <w:r>
        <w:rPr>
          <w:rFonts w:ascii="Calibri" w:hAnsi="Calibri"/>
          <w:color w:val="231F20"/>
          <w:spacing w:val="-24"/>
          <w:w w:val="105"/>
          <w:sz w:val="17"/>
        </w:rPr>
        <w:t> </w:t>
      </w:r>
      <w:r>
        <w:rPr>
          <w:rFonts w:ascii="Calibri" w:hAnsi="Calibri"/>
          <w:color w:val="231F20"/>
          <w:w w:val="105"/>
          <w:sz w:val="17"/>
        </w:rPr>
        <w:t>73–90.</w:t>
      </w:r>
    </w:p>
    <w:p>
      <w:pPr>
        <w:spacing w:line="206" w:lineRule="exact" w:before="1"/>
        <w:ind w:left="117" w:right="0" w:firstLine="0"/>
        <w:jc w:val="both"/>
        <w:rPr>
          <w:rFonts w:ascii="Calibri" w:hAnsi="Calibri"/>
          <w:sz w:val="17"/>
        </w:rPr>
      </w:pPr>
      <w:r>
        <w:rPr>
          <w:rFonts w:ascii="Calibri" w:hAnsi="Calibri"/>
          <w:color w:val="231F20"/>
          <w:position w:val="6"/>
          <w:sz w:val="10"/>
        </w:rPr>
        <w:t>8 </w:t>
      </w:r>
      <w:r>
        <w:rPr>
          <w:rFonts w:ascii="Calibri" w:hAnsi="Calibri"/>
          <w:color w:val="231F20"/>
          <w:sz w:val="17"/>
        </w:rPr>
        <w:t>R. Cribb, “Introduction: Parapolitics, Shadow Governance and Criminal Sovereignty”, E. Wilson (Ed.),</w:t>
      </w:r>
    </w:p>
    <w:p>
      <w:pPr>
        <w:spacing w:line="204" w:lineRule="exact" w:before="0"/>
        <w:ind w:left="117" w:right="0" w:firstLine="0"/>
        <w:jc w:val="both"/>
        <w:rPr>
          <w:rFonts w:ascii="Calibri"/>
          <w:sz w:val="17"/>
        </w:rPr>
      </w:pPr>
      <w:r>
        <w:rPr>
          <w:rFonts w:ascii="Calibri"/>
          <w:i/>
          <w:color w:val="231F20"/>
          <w:sz w:val="17"/>
        </w:rPr>
        <w:t>Government of the Shadows. Parapolitics and Criminal Sovereignty</w:t>
      </w:r>
      <w:r>
        <w:rPr>
          <w:rFonts w:ascii="Calibri"/>
          <w:color w:val="231F20"/>
          <w:sz w:val="17"/>
        </w:rPr>
        <w:t>, Londres, Pluto Press, 2009, p. 8.</w:t>
      </w:r>
    </w:p>
    <w:p>
      <w:pPr>
        <w:spacing w:line="235" w:lineRule="auto" w:before="1"/>
        <w:ind w:left="117" w:right="100" w:firstLine="0"/>
        <w:jc w:val="both"/>
        <w:rPr>
          <w:rFonts w:ascii="Calibri" w:hAnsi="Calibri"/>
          <w:sz w:val="17"/>
        </w:rPr>
      </w:pPr>
      <w:r>
        <w:rPr>
          <w:rFonts w:ascii="Calibri" w:hAnsi="Calibri"/>
          <w:color w:val="231F20"/>
          <w:w w:val="105"/>
          <w:position w:val="6"/>
          <w:sz w:val="10"/>
        </w:rPr>
        <w:t>9 </w:t>
      </w:r>
      <w:r>
        <w:rPr>
          <w:rFonts w:ascii="Calibri" w:hAnsi="Calibri"/>
          <w:color w:val="231F20"/>
          <w:w w:val="105"/>
          <w:sz w:val="17"/>
        </w:rPr>
        <w:t>O. Tunander, “Democratic State v.s. Deep State: Approaching the Dual State of the West”, E. Wilson (Ed.), </w:t>
      </w:r>
      <w:r>
        <w:rPr>
          <w:rFonts w:ascii="Calibri" w:hAnsi="Calibri"/>
          <w:i/>
          <w:color w:val="231F20"/>
          <w:w w:val="105"/>
          <w:sz w:val="17"/>
        </w:rPr>
        <w:t>Government of the Shadows. Parapolitics and Criminal Sovereignty</w:t>
      </w:r>
      <w:r>
        <w:rPr>
          <w:rFonts w:ascii="Calibri" w:hAnsi="Calibri"/>
          <w:color w:val="231F20"/>
          <w:w w:val="105"/>
          <w:sz w:val="17"/>
        </w:rPr>
        <w:t>, Londres, Pluto Press, 2009.</w:t>
      </w:r>
    </w:p>
    <w:p>
      <w:pPr>
        <w:spacing w:line="235" w:lineRule="auto" w:before="0"/>
        <w:ind w:left="117" w:right="101" w:firstLine="0"/>
        <w:jc w:val="both"/>
        <w:rPr>
          <w:rFonts w:ascii="Calibri"/>
          <w:sz w:val="17"/>
        </w:rPr>
      </w:pPr>
      <w:r>
        <w:rPr>
          <w:rFonts w:ascii="Calibri"/>
          <w:color w:val="231F20"/>
          <w:position w:val="6"/>
          <w:sz w:val="10"/>
        </w:rPr>
        <w:t>10 </w:t>
      </w:r>
      <w:r>
        <w:rPr>
          <w:rFonts w:ascii="Calibri"/>
          <w:color w:val="231F20"/>
          <w:sz w:val="17"/>
        </w:rPr>
        <w:t>E. Fraenkel, </w:t>
      </w:r>
      <w:r>
        <w:rPr>
          <w:rFonts w:ascii="Calibri"/>
          <w:i/>
          <w:color w:val="231F20"/>
          <w:sz w:val="17"/>
        </w:rPr>
        <w:t>The Dual State. A Contribution to the Theory of Dictatorship</w:t>
      </w:r>
      <w:r>
        <w:rPr>
          <w:rFonts w:ascii="Calibri"/>
          <w:color w:val="231F20"/>
          <w:sz w:val="17"/>
        </w:rPr>
        <w:t>, Nueva York, Oxford Uni- versity Press, 1941.</w:t>
      </w:r>
    </w:p>
    <w:p>
      <w:pPr>
        <w:spacing w:after="0" w:line="235" w:lineRule="auto"/>
        <w:jc w:val="both"/>
        <w:rPr>
          <w:rFonts w:ascii="Calibri"/>
          <w:sz w:val="17"/>
        </w:rPr>
        <w:sectPr>
          <w:type w:val="continuous"/>
          <w:pgSz w:w="9640" w:h="13890"/>
          <w:pgMar w:top="0" w:bottom="0" w:left="1300" w:right="1200"/>
        </w:sectPr>
      </w:pPr>
    </w:p>
    <w:p>
      <w:pPr>
        <w:pStyle w:val="BodyText"/>
        <w:spacing w:line="247" w:lineRule="auto" w:before="107"/>
        <w:ind w:left="103" w:right="115"/>
        <w:jc w:val="both"/>
      </w:pPr>
      <w:r>
        <w:rPr>
          <w:color w:val="231F20"/>
        </w:rPr>
        <w:t>es </w:t>
      </w:r>
      <w:r>
        <w:rPr>
          <w:color w:val="231F20"/>
          <w:spacing w:val="-5"/>
        </w:rPr>
        <w:t>decir, </w:t>
      </w:r>
      <w:r>
        <w:rPr>
          <w:color w:val="231F20"/>
        </w:rPr>
        <w:t>una forma estatal que para confirmarse en cuanto tal, necesita a la par de un Estado visible y legal, otra formación estatal invisible, discre- cional </w:t>
      </w:r>
      <w:r>
        <w:rPr>
          <w:color w:val="231F20"/>
          <w:spacing w:val="-11"/>
        </w:rPr>
        <w:t>y, </w:t>
      </w:r>
      <w:r>
        <w:rPr>
          <w:color w:val="231F20"/>
        </w:rPr>
        <w:t>en muchos casos, ilegal de principio a fin. Para Fraenkel —apunta Bobbio</w:t>
      </w:r>
      <w:r>
        <w:rPr>
          <w:color w:val="231F20"/>
          <w:position w:val="7"/>
          <w:sz w:val="12"/>
        </w:rPr>
        <w:t>11</w:t>
      </w:r>
      <w:r>
        <w:rPr>
          <w:color w:val="231F20"/>
        </w:rPr>
        <w:t>— el poder se tiene que fundar en el </w:t>
      </w:r>
      <w:r>
        <w:rPr>
          <w:color w:val="231F20"/>
          <w:spacing w:val="-3"/>
        </w:rPr>
        <w:t>derecho, </w:t>
      </w:r>
      <w:r>
        <w:rPr>
          <w:color w:val="231F20"/>
        </w:rPr>
        <w:t>por lo que el </w:t>
      </w:r>
      <w:r>
        <w:rPr>
          <w:color w:val="231F20"/>
          <w:spacing w:val="-2"/>
        </w:rPr>
        <w:t>Estado discrecional </w:t>
      </w:r>
      <w:r>
        <w:rPr>
          <w:color w:val="231F20"/>
        </w:rPr>
        <w:t>es por definición una </w:t>
      </w:r>
      <w:r>
        <w:rPr>
          <w:color w:val="231F20"/>
          <w:spacing w:val="-3"/>
        </w:rPr>
        <w:t>respuesta </w:t>
      </w:r>
      <w:r>
        <w:rPr>
          <w:color w:val="231F20"/>
        </w:rPr>
        <w:t>jurídica a una </w:t>
      </w:r>
      <w:r>
        <w:rPr>
          <w:color w:val="231F20"/>
          <w:spacing w:val="-3"/>
        </w:rPr>
        <w:t>emergencia </w:t>
      </w:r>
      <w:r>
        <w:rPr>
          <w:color w:val="231F20"/>
          <w:spacing w:val="-2"/>
        </w:rPr>
        <w:t>que </w:t>
      </w:r>
      <w:r>
        <w:rPr>
          <w:color w:val="231F20"/>
        </w:rPr>
        <w:t>nace en el mundo social, económico o político, a pesar de que se utilicen mecanismos</w:t>
      </w:r>
      <w:r>
        <w:rPr>
          <w:color w:val="231F20"/>
          <w:spacing w:val="-11"/>
        </w:rPr>
        <w:t> </w:t>
      </w:r>
      <w:r>
        <w:rPr>
          <w:color w:val="231F20"/>
        </w:rPr>
        <w:t>totalmente</w:t>
      </w:r>
      <w:r>
        <w:rPr>
          <w:color w:val="231F20"/>
          <w:spacing w:val="-11"/>
        </w:rPr>
        <w:t> </w:t>
      </w:r>
      <w:r>
        <w:rPr>
          <w:color w:val="231F20"/>
        </w:rPr>
        <w:t>antijurídicos;</w:t>
      </w:r>
      <w:r>
        <w:rPr>
          <w:color w:val="231F20"/>
          <w:spacing w:val="-11"/>
        </w:rPr>
        <w:t> </w:t>
      </w:r>
      <w:r>
        <w:rPr>
          <w:color w:val="231F20"/>
        </w:rPr>
        <w:t>esto</w:t>
      </w:r>
      <w:r>
        <w:rPr>
          <w:color w:val="231F20"/>
          <w:spacing w:val="-11"/>
        </w:rPr>
        <w:t> </w:t>
      </w:r>
      <w:r>
        <w:rPr>
          <w:color w:val="231F20"/>
        </w:rPr>
        <w:t>es,</w:t>
      </w:r>
      <w:r>
        <w:rPr>
          <w:color w:val="231F20"/>
          <w:spacing w:val="-11"/>
        </w:rPr>
        <w:t> </w:t>
      </w:r>
      <w:r>
        <w:rPr>
          <w:color w:val="231F20"/>
        </w:rPr>
        <w:t>una</w:t>
      </w:r>
      <w:r>
        <w:rPr>
          <w:color w:val="231F20"/>
          <w:spacing w:val="-11"/>
        </w:rPr>
        <w:t> </w:t>
      </w:r>
      <w:r>
        <w:rPr>
          <w:color w:val="231F20"/>
          <w:spacing w:val="-3"/>
        </w:rPr>
        <w:t>emergencia</w:t>
      </w:r>
      <w:r>
        <w:rPr>
          <w:color w:val="231F20"/>
          <w:spacing w:val="-11"/>
        </w:rPr>
        <w:t> </w:t>
      </w:r>
      <w:r>
        <w:rPr>
          <w:color w:val="231F20"/>
        </w:rPr>
        <w:t>que</w:t>
      </w:r>
      <w:r>
        <w:rPr>
          <w:color w:val="231F20"/>
          <w:spacing w:val="-11"/>
        </w:rPr>
        <w:t> </w:t>
      </w:r>
      <w:r>
        <w:rPr>
          <w:color w:val="231F20"/>
        </w:rPr>
        <w:t>permite la transformación de una </w:t>
      </w:r>
      <w:r>
        <w:rPr>
          <w:color w:val="231F20"/>
          <w:spacing w:val="-3"/>
        </w:rPr>
        <w:t>ordenación </w:t>
      </w:r>
      <w:r>
        <w:rPr>
          <w:color w:val="231F20"/>
        </w:rPr>
        <w:t>política en estado de excepción. En síntesis, junto con Bobbio diríamos que nos encontramos en un momento donde tenemos a la </w:t>
      </w:r>
      <w:r>
        <w:rPr>
          <w:color w:val="231F20"/>
          <w:spacing w:val="-3"/>
        </w:rPr>
        <w:t>ordenación </w:t>
      </w:r>
      <w:r>
        <w:rPr>
          <w:color w:val="231F20"/>
        </w:rPr>
        <w:t>estatal dotada de “[una] Doctrina jurídica según la cual en una situación excepcional, los legítimos </w:t>
      </w:r>
      <w:r>
        <w:rPr>
          <w:color w:val="231F20"/>
          <w:spacing w:val="-3"/>
        </w:rPr>
        <w:t>detentadores </w:t>
      </w:r>
      <w:r>
        <w:rPr>
          <w:color w:val="231F20"/>
          <w:spacing w:val="-2"/>
        </w:rPr>
        <w:t>del </w:t>
      </w:r>
      <w:r>
        <w:rPr>
          <w:color w:val="231F20"/>
        </w:rPr>
        <w:t>poder político tienen el </w:t>
      </w:r>
      <w:r>
        <w:rPr>
          <w:color w:val="231F20"/>
          <w:spacing w:val="-3"/>
        </w:rPr>
        <w:t>derecho </w:t>
      </w:r>
      <w:r>
        <w:rPr>
          <w:color w:val="231F20"/>
        </w:rPr>
        <w:t>de suspender las garantías </w:t>
      </w:r>
      <w:r>
        <w:rPr>
          <w:color w:val="231F20"/>
          <w:spacing w:val="-3"/>
        </w:rPr>
        <w:t>previstas </w:t>
      </w:r>
      <w:r>
        <w:rPr>
          <w:color w:val="231F20"/>
        </w:rPr>
        <w:t>por la constitución y están por lo tanto investidos de ‘plenos</w:t>
      </w:r>
      <w:r>
        <w:rPr>
          <w:color w:val="231F20"/>
          <w:spacing w:val="-29"/>
        </w:rPr>
        <w:t> </w:t>
      </w:r>
      <w:r>
        <w:rPr>
          <w:color w:val="231F20"/>
        </w:rPr>
        <w:t>poderes’”</w:t>
      </w:r>
      <w:r>
        <w:rPr>
          <w:color w:val="231F20"/>
          <w:position w:val="7"/>
          <w:sz w:val="12"/>
        </w:rPr>
        <w:t>12</w:t>
      </w:r>
      <w:r>
        <w:rPr>
          <w:color w:val="231F20"/>
        </w:rPr>
        <w:t>.</w:t>
      </w:r>
    </w:p>
    <w:p>
      <w:pPr>
        <w:pStyle w:val="BodyText"/>
        <w:spacing w:line="244" w:lineRule="auto"/>
        <w:ind w:left="103" w:right="114" w:firstLine="566"/>
        <w:jc w:val="both"/>
      </w:pPr>
      <w:r>
        <w:rPr>
          <w:color w:val="231F20"/>
        </w:rPr>
        <w:t>En este mismo sentido podríamos interpretar el ensayo que Giorgio Agamben dedica al tema —incluida la dimensión discrecional de la de- mocracia y del Estado contemporáneo— a partir de la categoría de “fuer- za de ley” que recupera de Jacques Derrida</w:t>
      </w:r>
      <w:r>
        <w:rPr>
          <w:color w:val="231F20"/>
          <w:position w:val="7"/>
          <w:sz w:val="12"/>
        </w:rPr>
        <w:t>13 </w:t>
      </w:r>
      <w:r>
        <w:rPr>
          <w:color w:val="231F20"/>
        </w:rPr>
        <w:t>en </w:t>
      </w:r>
      <w:r>
        <w:rPr>
          <w:rFonts w:ascii="Arial" w:hAnsi="Arial"/>
          <w:i/>
          <w:color w:val="231F20"/>
        </w:rPr>
        <w:t>Estado de excepción. </w:t>
      </w:r>
      <w:r>
        <w:rPr>
          <w:rFonts w:ascii="Arial" w:hAnsi="Arial"/>
          <w:i/>
          <w:color w:val="231F20"/>
        </w:rPr>
        <w:t>Homo </w:t>
      </w:r>
      <w:r>
        <w:rPr>
          <w:rFonts w:ascii="Arial" w:hAnsi="Arial"/>
          <w:i/>
          <w:color w:val="231F20"/>
          <w:spacing w:val="-4"/>
        </w:rPr>
        <w:t>sacer, </w:t>
      </w:r>
      <w:r>
        <w:rPr>
          <w:rFonts w:ascii="Arial" w:hAnsi="Arial"/>
          <w:i/>
          <w:color w:val="231F20"/>
        </w:rPr>
        <w:t>II, 1</w:t>
      </w:r>
      <w:r>
        <w:rPr>
          <w:color w:val="231F20"/>
          <w:position w:val="7"/>
          <w:sz w:val="12"/>
        </w:rPr>
        <w:t>14</w:t>
      </w:r>
      <w:r>
        <w:rPr>
          <w:color w:val="231F20"/>
        </w:rPr>
        <w:t>. Pareciera que su ensayo es un intento por responder a las ansiedades contemporáneas acerca de la autoridad </w:t>
      </w:r>
      <w:r>
        <w:rPr>
          <w:color w:val="231F20"/>
          <w:spacing w:val="-10"/>
        </w:rPr>
        <w:t>y, </w:t>
      </w:r>
      <w:r>
        <w:rPr>
          <w:color w:val="231F20"/>
        </w:rPr>
        <w:t>en particular, en el contexto de las transformaciones al orden jurídico estatal (y supraesta- tal) de origen westfaliano</w:t>
      </w:r>
      <w:r>
        <w:rPr>
          <w:color w:val="231F20"/>
          <w:position w:val="7"/>
          <w:sz w:val="12"/>
        </w:rPr>
        <w:t>15</w:t>
      </w:r>
      <w:r>
        <w:rPr>
          <w:color w:val="231F20"/>
        </w:rPr>
        <w:t>. Sin embargo, hay que agregar que Agamben recupera </w:t>
      </w:r>
      <w:r>
        <w:rPr>
          <w:rFonts w:ascii="Arial" w:hAnsi="Arial"/>
          <w:i/>
          <w:color w:val="231F20"/>
        </w:rPr>
        <w:t>en cierto modo </w:t>
      </w:r>
      <w:r>
        <w:rPr>
          <w:color w:val="231F20"/>
        </w:rPr>
        <w:t>la polémica, “no declarada” y a medio camino entre</w:t>
      </w:r>
      <w:r>
        <w:rPr>
          <w:color w:val="231F20"/>
          <w:spacing w:val="-13"/>
        </w:rPr>
        <w:t> </w:t>
      </w:r>
      <w:r>
        <w:rPr>
          <w:color w:val="231F20"/>
        </w:rPr>
        <w:t>filosofía</w:t>
      </w:r>
      <w:r>
        <w:rPr>
          <w:color w:val="231F20"/>
          <w:spacing w:val="-13"/>
        </w:rPr>
        <w:t> </w:t>
      </w:r>
      <w:r>
        <w:rPr>
          <w:color w:val="231F20"/>
        </w:rPr>
        <w:t>y</w:t>
      </w:r>
      <w:r>
        <w:rPr>
          <w:color w:val="231F20"/>
          <w:spacing w:val="-13"/>
        </w:rPr>
        <w:t> </w:t>
      </w:r>
      <w:r>
        <w:rPr>
          <w:color w:val="231F20"/>
        </w:rPr>
        <w:t>teología</w:t>
      </w:r>
      <w:r>
        <w:rPr>
          <w:color w:val="231F20"/>
          <w:spacing w:val="-13"/>
        </w:rPr>
        <w:t> </w:t>
      </w:r>
      <w:r>
        <w:rPr>
          <w:color w:val="231F20"/>
        </w:rPr>
        <w:t>política,</w:t>
      </w:r>
      <w:r>
        <w:rPr>
          <w:color w:val="231F20"/>
          <w:spacing w:val="-13"/>
        </w:rPr>
        <w:t> </w:t>
      </w:r>
      <w:r>
        <w:rPr>
          <w:color w:val="231F20"/>
        </w:rPr>
        <w:t>entre</w:t>
      </w:r>
      <w:r>
        <w:rPr>
          <w:color w:val="231F20"/>
          <w:spacing w:val="-13"/>
        </w:rPr>
        <w:t> </w:t>
      </w:r>
      <w:r>
        <w:rPr>
          <w:color w:val="231F20"/>
        </w:rPr>
        <w:t>Carl</w:t>
      </w:r>
      <w:r>
        <w:rPr>
          <w:color w:val="231F20"/>
          <w:spacing w:val="-13"/>
        </w:rPr>
        <w:t> </w:t>
      </w:r>
      <w:r>
        <w:rPr>
          <w:color w:val="231F20"/>
        </w:rPr>
        <w:t>Schmitt</w:t>
      </w:r>
      <w:r>
        <w:rPr>
          <w:color w:val="231F20"/>
          <w:spacing w:val="-13"/>
        </w:rPr>
        <w:t> </w:t>
      </w:r>
      <w:r>
        <w:rPr>
          <w:color w:val="231F20"/>
        </w:rPr>
        <w:t>(decisión)</w:t>
      </w:r>
      <w:r>
        <w:rPr>
          <w:color w:val="231F20"/>
          <w:spacing w:val="-13"/>
        </w:rPr>
        <w:t> </w:t>
      </w:r>
      <w:r>
        <w:rPr>
          <w:color w:val="231F20"/>
        </w:rPr>
        <w:t>y</w:t>
      </w:r>
      <w:r>
        <w:rPr>
          <w:color w:val="231F20"/>
          <w:spacing w:val="-13"/>
        </w:rPr>
        <w:t> </w:t>
      </w:r>
      <w:r>
        <w:rPr>
          <w:color w:val="231F20"/>
        </w:rPr>
        <w:t>Walter</w:t>
      </w:r>
      <w:r>
        <w:rPr>
          <w:color w:val="231F20"/>
          <w:spacing w:val="-13"/>
        </w:rPr>
        <w:t> </w:t>
      </w:r>
      <w:r>
        <w:rPr>
          <w:color w:val="231F20"/>
        </w:rPr>
        <w:t>Ben- jamin</w:t>
      </w:r>
      <w:r>
        <w:rPr>
          <w:color w:val="231F20"/>
          <w:spacing w:val="-8"/>
        </w:rPr>
        <w:t> </w:t>
      </w:r>
      <w:r>
        <w:rPr>
          <w:color w:val="231F20"/>
        </w:rPr>
        <w:t>(violencia</w:t>
      </w:r>
      <w:r>
        <w:rPr>
          <w:color w:val="231F20"/>
          <w:spacing w:val="-8"/>
        </w:rPr>
        <w:t> </w:t>
      </w:r>
      <w:r>
        <w:rPr>
          <w:color w:val="231F20"/>
        </w:rPr>
        <w:t>pura)</w:t>
      </w:r>
      <w:r>
        <w:rPr>
          <w:color w:val="231F20"/>
          <w:spacing w:val="-8"/>
        </w:rPr>
        <w:t> </w:t>
      </w:r>
      <w:r>
        <w:rPr>
          <w:color w:val="231F20"/>
        </w:rPr>
        <w:t>en</w:t>
      </w:r>
      <w:r>
        <w:rPr>
          <w:color w:val="231F20"/>
          <w:spacing w:val="-8"/>
        </w:rPr>
        <w:t> </w:t>
      </w:r>
      <w:r>
        <w:rPr>
          <w:color w:val="231F20"/>
        </w:rPr>
        <w:t>torno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excepción</w:t>
      </w:r>
      <w:r>
        <w:rPr>
          <w:color w:val="231F20"/>
          <w:spacing w:val="-8"/>
        </w:rPr>
        <w:t> </w:t>
      </w:r>
      <w:r>
        <w:rPr>
          <w:color w:val="231F20"/>
        </w:rPr>
        <w:t>y</w:t>
      </w:r>
      <w:r>
        <w:rPr>
          <w:color w:val="231F20"/>
          <w:spacing w:val="-8"/>
        </w:rPr>
        <w:t> </w:t>
      </w:r>
      <w:r>
        <w:rPr>
          <w:color w:val="231F20"/>
        </w:rPr>
        <w:t>sus</w:t>
      </w:r>
      <w:r>
        <w:rPr>
          <w:color w:val="231F20"/>
          <w:spacing w:val="-8"/>
        </w:rPr>
        <w:t> </w:t>
      </w:r>
      <w:r>
        <w:rPr>
          <w:color w:val="231F20"/>
        </w:rPr>
        <w:t>reversos,</w:t>
      </w:r>
      <w:r>
        <w:rPr>
          <w:color w:val="231F20"/>
          <w:spacing w:val="-8"/>
        </w:rPr>
        <w:t> </w:t>
      </w:r>
      <w:r>
        <w:rPr>
          <w:color w:val="231F20"/>
        </w:rPr>
        <w:t>para</w:t>
      </w:r>
      <w:r>
        <w:rPr>
          <w:color w:val="231F20"/>
          <w:spacing w:val="-8"/>
        </w:rPr>
        <w:t> </w:t>
      </w:r>
      <w:r>
        <w:rPr>
          <w:color w:val="231F20"/>
        </w:rPr>
        <w:t>después desplazarse en modo claro al campo de la política. Pero además, la publi- cación de su libro (2003) coincidió con el momento histórico donde los de- bates de filosofía y teoría políticas indicaban las consecuencias perversas de la nueva ola de ampliación de los ámbitos de la seguridad global pos- teriores al 11 de septiembre de 2001 (</w:t>
      </w:r>
      <w:r>
        <w:rPr>
          <w:rFonts w:ascii="Arial" w:hAnsi="Arial"/>
          <w:i/>
          <w:color w:val="231F20"/>
        </w:rPr>
        <w:t>11</w:t>
      </w:r>
      <w:r>
        <w:rPr>
          <w:color w:val="231F20"/>
        </w:rPr>
        <w:t>–</w:t>
      </w:r>
      <w:r>
        <w:rPr>
          <w:rFonts w:ascii="Arial" w:hAnsi="Arial"/>
          <w:i/>
          <w:color w:val="231F20"/>
        </w:rPr>
        <w:t>S</w:t>
      </w:r>
      <w:r>
        <w:rPr>
          <w:color w:val="231F20"/>
        </w:rPr>
        <w:t>), comenzando con el</w:t>
      </w:r>
      <w:r>
        <w:rPr>
          <w:color w:val="231F20"/>
          <w:spacing w:val="-16"/>
        </w:rPr>
        <w:t> </w:t>
      </w:r>
      <w:r>
        <w:rPr>
          <w:color w:val="231F20"/>
        </w:rPr>
        <w:t>aumento de detenciones al ingreso a Estados Unidos basadas en la llamada “Acta Patriótica”, y en la guerra global contra el</w:t>
      </w:r>
      <w:r>
        <w:rPr>
          <w:color w:val="231F20"/>
          <w:spacing w:val="-12"/>
        </w:rPr>
        <w:t> </w:t>
      </w:r>
      <w:r>
        <w:rPr>
          <w:color w:val="231F20"/>
        </w:rPr>
        <w:t>terrorismo</w:t>
      </w:r>
      <w:r>
        <w:rPr>
          <w:color w:val="231F20"/>
          <w:position w:val="7"/>
          <w:sz w:val="12"/>
        </w:rPr>
        <w:t>16</w:t>
      </w:r>
      <w:r>
        <w:rPr>
          <w:color w:val="231F20"/>
        </w:rPr>
        <w:t>.</w:t>
      </w:r>
    </w:p>
    <w:p>
      <w:pPr>
        <w:pStyle w:val="BodyText"/>
        <w:rPr>
          <w:sz w:val="20"/>
        </w:rPr>
      </w:pPr>
    </w:p>
    <w:p>
      <w:pPr>
        <w:pStyle w:val="BodyText"/>
        <w:spacing w:before="11"/>
      </w:pPr>
      <w:r>
        <w:rPr/>
        <w:pict>
          <v:line style="position:absolute;mso-position-horizontal-relative:page;mso-position-vertical-relative:paragraph;z-index:6400;mso-wrap-distance-left:0;mso-wrap-distance-right:0" from="65.196899pt,15.363411pt" to="178.582899pt,15.363411pt" stroked="true" strokeweight=".3pt" strokecolor="#231f20">
            <w10:wrap type="topAndBottom"/>
          </v:line>
        </w:pict>
      </w:r>
    </w:p>
    <w:p>
      <w:pPr>
        <w:spacing w:line="204" w:lineRule="exact" w:before="9"/>
        <w:ind w:left="103" w:right="115" w:firstLine="0"/>
        <w:jc w:val="both"/>
        <w:rPr>
          <w:rFonts w:ascii="Calibri" w:hAnsi="Calibri"/>
          <w:sz w:val="17"/>
        </w:rPr>
      </w:pPr>
      <w:r>
        <w:rPr>
          <w:rFonts w:ascii="Calibri" w:hAnsi="Calibri"/>
          <w:color w:val="231F20"/>
          <w:position w:val="6"/>
          <w:sz w:val="10"/>
        </w:rPr>
        <w:t>11 </w:t>
      </w:r>
      <w:r>
        <w:rPr>
          <w:rFonts w:ascii="Calibri" w:hAnsi="Calibri"/>
          <w:color w:val="231F20"/>
          <w:sz w:val="17"/>
        </w:rPr>
        <w:t>N. Bobbio, “Introduzione”, E. Fraenkel, </w:t>
      </w:r>
      <w:r>
        <w:rPr>
          <w:rFonts w:ascii="Calibri" w:hAnsi="Calibri"/>
          <w:i/>
          <w:color w:val="231F20"/>
          <w:sz w:val="17"/>
        </w:rPr>
        <w:t>Il doppio stato. Contributo alla teoria della dittatura</w:t>
      </w:r>
      <w:r>
        <w:rPr>
          <w:rFonts w:ascii="Calibri" w:hAnsi="Calibri"/>
          <w:color w:val="231F20"/>
          <w:sz w:val="17"/>
        </w:rPr>
        <w:t>, Turín, Einaudi, 1983, pp. </w:t>
      </w:r>
      <w:r>
        <w:rPr>
          <w:rFonts w:ascii="Calibri" w:hAnsi="Calibri"/>
          <w:color w:val="231F20"/>
          <w:sz w:val="15"/>
        </w:rPr>
        <w:t>IX</w:t>
      </w:r>
      <w:r>
        <w:rPr>
          <w:rFonts w:ascii="Calibri" w:hAnsi="Calibri"/>
          <w:color w:val="231F20"/>
          <w:sz w:val="17"/>
        </w:rPr>
        <w:t>–</w:t>
      </w:r>
      <w:r>
        <w:rPr>
          <w:rFonts w:ascii="Calibri" w:hAnsi="Calibri"/>
          <w:color w:val="231F20"/>
          <w:sz w:val="15"/>
        </w:rPr>
        <w:t>XXIV</w:t>
      </w:r>
      <w:r>
        <w:rPr>
          <w:rFonts w:ascii="Calibri" w:hAnsi="Calibri"/>
          <w:color w:val="231F20"/>
          <w:sz w:val="17"/>
        </w:rPr>
        <w:t>.</w:t>
      </w:r>
    </w:p>
    <w:p>
      <w:pPr>
        <w:spacing w:line="206" w:lineRule="exact" w:before="1"/>
        <w:ind w:left="103" w:right="0" w:firstLine="0"/>
        <w:jc w:val="both"/>
        <w:rPr>
          <w:rFonts w:ascii="Calibri" w:hAnsi="Calibri"/>
          <w:sz w:val="17"/>
        </w:rPr>
      </w:pPr>
      <w:r>
        <w:rPr>
          <w:rFonts w:ascii="Calibri" w:hAnsi="Calibri"/>
          <w:color w:val="231F20"/>
          <w:position w:val="6"/>
          <w:sz w:val="10"/>
        </w:rPr>
        <w:t>12  </w:t>
      </w:r>
      <w:r>
        <w:rPr>
          <w:rFonts w:ascii="Calibri" w:hAnsi="Calibri"/>
          <w:color w:val="231F20"/>
          <w:sz w:val="17"/>
        </w:rPr>
        <w:t>Bobbio, “Introduzione”, p. </w:t>
      </w:r>
      <w:r>
        <w:rPr>
          <w:rFonts w:ascii="Calibri" w:hAnsi="Calibri"/>
          <w:color w:val="231F20"/>
          <w:sz w:val="15"/>
        </w:rPr>
        <w:t>XII</w:t>
      </w:r>
      <w:r>
        <w:rPr>
          <w:rFonts w:ascii="Calibri" w:hAnsi="Calibri"/>
          <w:color w:val="231F20"/>
          <w:sz w:val="17"/>
        </w:rPr>
        <w:t>.</w:t>
      </w:r>
    </w:p>
    <w:p>
      <w:pPr>
        <w:spacing w:line="204" w:lineRule="exact" w:before="0"/>
        <w:ind w:left="103" w:right="0" w:firstLine="0"/>
        <w:jc w:val="both"/>
        <w:rPr>
          <w:rFonts w:ascii="Calibri" w:hAnsi="Calibri"/>
          <w:sz w:val="17"/>
        </w:rPr>
      </w:pPr>
      <w:r>
        <w:rPr>
          <w:rFonts w:ascii="Calibri" w:hAnsi="Calibri"/>
          <w:color w:val="231F20"/>
          <w:position w:val="6"/>
          <w:sz w:val="10"/>
        </w:rPr>
        <w:t>13 </w:t>
      </w:r>
      <w:r>
        <w:rPr>
          <w:rFonts w:ascii="Calibri" w:hAnsi="Calibri"/>
          <w:color w:val="231F20"/>
          <w:sz w:val="17"/>
        </w:rPr>
        <w:t>J. Derrida, </w:t>
      </w:r>
      <w:r>
        <w:rPr>
          <w:rFonts w:ascii="Calibri" w:hAnsi="Calibri"/>
          <w:i/>
          <w:color w:val="231F20"/>
          <w:sz w:val="17"/>
        </w:rPr>
        <w:t>Fuerza de ley. El fundamento místico de la autoridad</w:t>
      </w:r>
      <w:r>
        <w:rPr>
          <w:rFonts w:ascii="Calibri" w:hAnsi="Calibri"/>
          <w:color w:val="231F20"/>
          <w:sz w:val="17"/>
        </w:rPr>
        <w:t>, Madrid, Tecnos, 1997.</w:t>
      </w:r>
    </w:p>
    <w:p>
      <w:pPr>
        <w:spacing w:line="204" w:lineRule="exact" w:before="0"/>
        <w:ind w:left="103" w:right="0" w:firstLine="0"/>
        <w:jc w:val="both"/>
        <w:rPr>
          <w:rFonts w:ascii="Calibri" w:hAnsi="Calibri"/>
          <w:sz w:val="17"/>
        </w:rPr>
      </w:pPr>
      <w:r>
        <w:rPr>
          <w:rFonts w:ascii="Calibri" w:hAnsi="Calibri"/>
          <w:color w:val="231F20"/>
          <w:position w:val="6"/>
          <w:sz w:val="10"/>
        </w:rPr>
        <w:t>14  </w:t>
      </w:r>
      <w:r>
        <w:rPr>
          <w:rFonts w:ascii="Calibri" w:hAnsi="Calibri"/>
          <w:color w:val="231F20"/>
          <w:sz w:val="17"/>
        </w:rPr>
        <w:t>G. Agamben, </w:t>
      </w:r>
      <w:r>
        <w:rPr>
          <w:rFonts w:ascii="Calibri" w:hAnsi="Calibri"/>
          <w:i/>
          <w:color w:val="231F20"/>
          <w:sz w:val="17"/>
        </w:rPr>
        <w:t>Stato di eccezione, Homo sacer II, I</w:t>
      </w:r>
      <w:r>
        <w:rPr>
          <w:rFonts w:ascii="Calibri" w:hAnsi="Calibri"/>
          <w:color w:val="231F20"/>
          <w:sz w:val="17"/>
        </w:rPr>
        <w:t>, Turín, Bollati Boringhieri.</w:t>
      </w:r>
    </w:p>
    <w:p>
      <w:pPr>
        <w:spacing w:line="235" w:lineRule="auto" w:before="1"/>
        <w:ind w:left="103" w:right="115" w:firstLine="0"/>
        <w:jc w:val="both"/>
        <w:rPr>
          <w:rFonts w:ascii="Calibri" w:hAnsi="Calibri"/>
          <w:sz w:val="17"/>
        </w:rPr>
      </w:pPr>
      <w:r>
        <w:rPr>
          <w:rFonts w:ascii="Calibri" w:hAnsi="Calibri"/>
          <w:color w:val="231F20"/>
          <w:position w:val="6"/>
          <w:sz w:val="10"/>
        </w:rPr>
        <w:t>15 </w:t>
      </w:r>
      <w:r>
        <w:rPr>
          <w:rFonts w:ascii="Calibri" w:hAnsi="Calibri"/>
          <w:color w:val="231F20"/>
          <w:sz w:val="17"/>
        </w:rPr>
        <w:t>S. Humphreys, “Nomarchy: On the Rule of Law and Authority in Giorgio Agamben and Aristotle”, </w:t>
      </w:r>
      <w:r>
        <w:rPr>
          <w:rFonts w:ascii="Calibri" w:hAnsi="Calibri"/>
          <w:i/>
          <w:color w:val="231F20"/>
          <w:sz w:val="17"/>
        </w:rPr>
        <w:t>Cambridge</w:t>
      </w:r>
      <w:r>
        <w:rPr>
          <w:rFonts w:ascii="Calibri" w:hAnsi="Calibri"/>
          <w:i/>
          <w:color w:val="231F20"/>
          <w:spacing w:val="-5"/>
          <w:sz w:val="17"/>
        </w:rPr>
        <w:t> </w:t>
      </w:r>
      <w:r>
        <w:rPr>
          <w:rFonts w:ascii="Calibri" w:hAnsi="Calibri"/>
          <w:i/>
          <w:color w:val="231F20"/>
          <w:sz w:val="17"/>
        </w:rPr>
        <w:t>Review</w:t>
      </w:r>
      <w:r>
        <w:rPr>
          <w:rFonts w:ascii="Calibri" w:hAnsi="Calibri"/>
          <w:i/>
          <w:color w:val="231F20"/>
          <w:spacing w:val="-5"/>
          <w:sz w:val="17"/>
        </w:rPr>
        <w:t> </w:t>
      </w:r>
      <w:r>
        <w:rPr>
          <w:rFonts w:ascii="Calibri" w:hAnsi="Calibri"/>
          <w:i/>
          <w:color w:val="231F20"/>
          <w:sz w:val="17"/>
        </w:rPr>
        <w:t>of</w:t>
      </w:r>
      <w:r>
        <w:rPr>
          <w:rFonts w:ascii="Calibri" w:hAnsi="Calibri"/>
          <w:i/>
          <w:color w:val="231F20"/>
          <w:spacing w:val="-5"/>
          <w:sz w:val="17"/>
        </w:rPr>
        <w:t> </w:t>
      </w:r>
      <w:r>
        <w:rPr>
          <w:rFonts w:ascii="Calibri" w:hAnsi="Calibri"/>
          <w:i/>
          <w:color w:val="231F20"/>
          <w:sz w:val="17"/>
        </w:rPr>
        <w:t>International</w:t>
      </w:r>
      <w:r>
        <w:rPr>
          <w:rFonts w:ascii="Calibri" w:hAnsi="Calibri"/>
          <w:i/>
          <w:color w:val="231F20"/>
          <w:spacing w:val="-5"/>
          <w:sz w:val="17"/>
        </w:rPr>
        <w:t> </w:t>
      </w:r>
      <w:r>
        <w:rPr>
          <w:rFonts w:ascii="Calibri" w:hAnsi="Calibri"/>
          <w:i/>
          <w:color w:val="231F20"/>
          <w:sz w:val="17"/>
        </w:rPr>
        <w:t>Affairs</w:t>
      </w:r>
      <w:r>
        <w:rPr>
          <w:rFonts w:ascii="Calibri" w:hAnsi="Calibri"/>
          <w:color w:val="231F20"/>
          <w:sz w:val="17"/>
        </w:rPr>
        <w:t>,</w:t>
      </w:r>
      <w:r>
        <w:rPr>
          <w:rFonts w:ascii="Calibri" w:hAnsi="Calibri"/>
          <w:color w:val="231F20"/>
          <w:spacing w:val="-6"/>
          <w:sz w:val="17"/>
        </w:rPr>
        <w:t> </w:t>
      </w:r>
      <w:r>
        <w:rPr>
          <w:rFonts w:ascii="Calibri" w:hAnsi="Calibri"/>
          <w:color w:val="231F20"/>
          <w:sz w:val="17"/>
        </w:rPr>
        <w:t>vol.19,</w:t>
      </w:r>
      <w:r>
        <w:rPr>
          <w:rFonts w:ascii="Calibri" w:hAnsi="Calibri"/>
          <w:color w:val="231F20"/>
          <w:spacing w:val="-4"/>
          <w:sz w:val="17"/>
        </w:rPr>
        <w:t> </w:t>
      </w:r>
      <w:r>
        <w:rPr>
          <w:rFonts w:ascii="Calibri" w:hAnsi="Calibri"/>
          <w:color w:val="231F20"/>
          <w:sz w:val="17"/>
        </w:rPr>
        <w:t>núm.</w:t>
      </w:r>
      <w:r>
        <w:rPr>
          <w:rFonts w:ascii="Calibri" w:hAnsi="Calibri"/>
          <w:color w:val="231F20"/>
          <w:spacing w:val="-4"/>
          <w:sz w:val="17"/>
        </w:rPr>
        <w:t> </w:t>
      </w:r>
      <w:r>
        <w:rPr>
          <w:rFonts w:ascii="Calibri" w:hAnsi="Calibri"/>
          <w:color w:val="231F20"/>
          <w:sz w:val="17"/>
        </w:rPr>
        <w:t>2,</w:t>
      </w:r>
      <w:r>
        <w:rPr>
          <w:rFonts w:ascii="Calibri" w:hAnsi="Calibri"/>
          <w:color w:val="231F20"/>
          <w:spacing w:val="-4"/>
          <w:sz w:val="17"/>
        </w:rPr>
        <w:t> </w:t>
      </w:r>
      <w:r>
        <w:rPr>
          <w:rFonts w:ascii="Calibri" w:hAnsi="Calibri"/>
          <w:color w:val="231F20"/>
          <w:sz w:val="17"/>
        </w:rPr>
        <w:t>2006,</w:t>
      </w:r>
      <w:r>
        <w:rPr>
          <w:rFonts w:ascii="Calibri" w:hAnsi="Calibri"/>
          <w:color w:val="231F20"/>
          <w:spacing w:val="-4"/>
          <w:sz w:val="17"/>
        </w:rPr>
        <w:t> </w:t>
      </w:r>
      <w:r>
        <w:rPr>
          <w:rFonts w:ascii="Calibri" w:hAnsi="Calibri"/>
          <w:color w:val="231F20"/>
          <w:sz w:val="17"/>
        </w:rPr>
        <w:t>pp.</w:t>
      </w:r>
      <w:r>
        <w:rPr>
          <w:rFonts w:ascii="Calibri" w:hAnsi="Calibri"/>
          <w:color w:val="231F20"/>
          <w:spacing w:val="-4"/>
          <w:sz w:val="17"/>
        </w:rPr>
        <w:t> </w:t>
      </w:r>
      <w:r>
        <w:rPr>
          <w:rFonts w:ascii="Calibri" w:hAnsi="Calibri"/>
          <w:color w:val="231F20"/>
          <w:sz w:val="17"/>
        </w:rPr>
        <w:t>331–351;</w:t>
      </w:r>
      <w:r>
        <w:rPr>
          <w:rFonts w:ascii="Calibri" w:hAnsi="Calibri"/>
          <w:color w:val="231F20"/>
          <w:spacing w:val="-4"/>
          <w:sz w:val="17"/>
        </w:rPr>
        <w:t> </w:t>
      </w:r>
      <w:r>
        <w:rPr>
          <w:rFonts w:ascii="Calibri" w:hAnsi="Calibri"/>
          <w:color w:val="231F20"/>
          <w:sz w:val="17"/>
        </w:rPr>
        <w:t>S.</w:t>
      </w:r>
      <w:r>
        <w:rPr>
          <w:rFonts w:ascii="Calibri" w:hAnsi="Calibri"/>
          <w:color w:val="231F20"/>
          <w:spacing w:val="-4"/>
          <w:sz w:val="17"/>
        </w:rPr>
        <w:t> </w:t>
      </w:r>
      <w:r>
        <w:rPr>
          <w:rFonts w:ascii="Calibri" w:hAnsi="Calibri"/>
          <w:color w:val="231F20"/>
          <w:sz w:val="17"/>
        </w:rPr>
        <w:t>Humphreys,</w:t>
      </w:r>
      <w:r>
        <w:rPr>
          <w:rFonts w:ascii="Calibri" w:hAnsi="Calibri"/>
          <w:color w:val="231F20"/>
          <w:spacing w:val="-4"/>
          <w:sz w:val="17"/>
        </w:rPr>
        <w:t> </w:t>
      </w:r>
      <w:r>
        <w:rPr>
          <w:rFonts w:ascii="Calibri" w:hAnsi="Calibri"/>
          <w:color w:val="231F20"/>
          <w:sz w:val="17"/>
        </w:rPr>
        <w:t>“Legali- zing Lawlessness: On Giorgio Agamben’s </w:t>
      </w:r>
      <w:r>
        <w:rPr>
          <w:rFonts w:ascii="Calibri" w:hAnsi="Calibri"/>
          <w:i/>
          <w:color w:val="231F20"/>
          <w:sz w:val="17"/>
        </w:rPr>
        <w:t>State of Exception</w:t>
      </w:r>
      <w:r>
        <w:rPr>
          <w:rFonts w:ascii="Calibri" w:hAnsi="Calibri"/>
          <w:color w:val="231F20"/>
          <w:sz w:val="17"/>
        </w:rPr>
        <w:t>”, </w:t>
      </w:r>
      <w:r>
        <w:rPr>
          <w:rFonts w:ascii="Calibri" w:hAnsi="Calibri"/>
          <w:i/>
          <w:color w:val="231F20"/>
          <w:sz w:val="17"/>
        </w:rPr>
        <w:t>The European Journal of International </w:t>
      </w:r>
      <w:r>
        <w:rPr>
          <w:rFonts w:ascii="Calibri" w:hAnsi="Calibri"/>
          <w:i/>
          <w:color w:val="231F20"/>
          <w:sz w:val="17"/>
        </w:rPr>
        <w:t>Law</w:t>
      </w:r>
      <w:r>
        <w:rPr>
          <w:rFonts w:ascii="Calibri" w:hAnsi="Calibri"/>
          <w:color w:val="231F20"/>
          <w:sz w:val="17"/>
        </w:rPr>
        <w:t>,</w:t>
      </w:r>
      <w:r>
        <w:rPr>
          <w:rFonts w:ascii="Calibri" w:hAnsi="Calibri"/>
          <w:color w:val="231F20"/>
          <w:spacing w:val="-10"/>
          <w:sz w:val="17"/>
        </w:rPr>
        <w:t> </w:t>
      </w:r>
      <w:r>
        <w:rPr>
          <w:rFonts w:ascii="Calibri" w:hAnsi="Calibri"/>
          <w:color w:val="231F20"/>
          <w:spacing w:val="-4"/>
          <w:sz w:val="17"/>
        </w:rPr>
        <w:t>17,</w:t>
      </w:r>
      <w:r>
        <w:rPr>
          <w:rFonts w:ascii="Calibri" w:hAnsi="Calibri"/>
          <w:color w:val="231F20"/>
          <w:spacing w:val="-10"/>
          <w:sz w:val="17"/>
        </w:rPr>
        <w:t> </w:t>
      </w:r>
      <w:r>
        <w:rPr>
          <w:rFonts w:ascii="Calibri" w:hAnsi="Calibri"/>
          <w:color w:val="231F20"/>
          <w:sz w:val="17"/>
        </w:rPr>
        <w:t>3,</w:t>
      </w:r>
      <w:r>
        <w:rPr>
          <w:rFonts w:ascii="Calibri" w:hAnsi="Calibri"/>
          <w:color w:val="231F20"/>
          <w:spacing w:val="-10"/>
          <w:sz w:val="17"/>
        </w:rPr>
        <w:t> </w:t>
      </w:r>
      <w:r>
        <w:rPr>
          <w:rFonts w:ascii="Calibri" w:hAnsi="Calibri"/>
          <w:color w:val="231F20"/>
          <w:sz w:val="17"/>
        </w:rPr>
        <w:t>2006,</w:t>
      </w:r>
      <w:r>
        <w:rPr>
          <w:rFonts w:ascii="Calibri" w:hAnsi="Calibri"/>
          <w:color w:val="231F20"/>
          <w:spacing w:val="-10"/>
          <w:sz w:val="17"/>
        </w:rPr>
        <w:t> </w:t>
      </w:r>
      <w:r>
        <w:rPr>
          <w:rFonts w:ascii="Calibri" w:hAnsi="Calibri"/>
          <w:color w:val="231F20"/>
          <w:sz w:val="17"/>
        </w:rPr>
        <w:t>pp.</w:t>
      </w:r>
      <w:r>
        <w:rPr>
          <w:rFonts w:ascii="Calibri" w:hAnsi="Calibri"/>
          <w:color w:val="231F20"/>
          <w:spacing w:val="-10"/>
          <w:sz w:val="17"/>
        </w:rPr>
        <w:t> </w:t>
      </w:r>
      <w:r>
        <w:rPr>
          <w:rFonts w:ascii="Calibri" w:hAnsi="Calibri"/>
          <w:color w:val="231F20"/>
          <w:spacing w:val="-3"/>
          <w:sz w:val="17"/>
        </w:rPr>
        <w:t>677–687.</w:t>
      </w:r>
    </w:p>
    <w:p>
      <w:pPr>
        <w:spacing w:line="235" w:lineRule="auto" w:before="0"/>
        <w:ind w:left="103" w:right="115" w:firstLine="0"/>
        <w:jc w:val="both"/>
        <w:rPr>
          <w:rFonts w:ascii="Calibri" w:hAnsi="Calibri"/>
          <w:sz w:val="17"/>
        </w:rPr>
      </w:pPr>
      <w:r>
        <w:rPr>
          <w:rFonts w:ascii="Calibri" w:hAnsi="Calibri"/>
          <w:color w:val="231F20"/>
          <w:w w:val="105"/>
          <w:position w:val="6"/>
          <w:sz w:val="10"/>
        </w:rPr>
        <w:t>16 </w:t>
      </w:r>
      <w:r>
        <w:rPr>
          <w:rFonts w:ascii="Calibri" w:hAnsi="Calibri"/>
          <w:color w:val="231F20"/>
          <w:w w:val="105"/>
          <w:sz w:val="17"/>
        </w:rPr>
        <w:t>I. Covarrubias, “Giorgio Agamben y el despliegue político de la ley. En busca de una ciencia</w:t>
      </w:r>
      <w:r>
        <w:rPr>
          <w:rFonts w:ascii="Calibri" w:hAnsi="Calibri"/>
          <w:color w:val="231F20"/>
          <w:spacing w:val="-18"/>
          <w:w w:val="105"/>
          <w:sz w:val="17"/>
        </w:rPr>
        <w:t> </w:t>
      </w:r>
      <w:r>
        <w:rPr>
          <w:rFonts w:ascii="Calibri" w:hAnsi="Calibri"/>
          <w:color w:val="231F20"/>
          <w:w w:val="105"/>
          <w:sz w:val="17"/>
        </w:rPr>
        <w:t>sin </w:t>
      </w:r>
      <w:r>
        <w:rPr>
          <w:rFonts w:ascii="Calibri" w:hAnsi="Calibri"/>
          <w:color w:val="231F20"/>
          <w:sz w:val="17"/>
        </w:rPr>
        <w:t>nombre”, G. Ávalos Tenorio (coord), </w:t>
      </w:r>
      <w:r>
        <w:rPr>
          <w:rFonts w:ascii="Calibri" w:hAnsi="Calibri"/>
          <w:i/>
          <w:color w:val="231F20"/>
          <w:sz w:val="17"/>
        </w:rPr>
        <w:t>Pensamiento político contemporáneo</w:t>
      </w:r>
      <w:r>
        <w:rPr>
          <w:rFonts w:ascii="Calibri" w:hAnsi="Calibri"/>
          <w:color w:val="231F20"/>
          <w:sz w:val="17"/>
        </w:rPr>
        <w:t>, México, Universidad Au- tónoma Metropolitana–Xochimilco, 2014, pp.</w:t>
      </w:r>
      <w:r>
        <w:rPr>
          <w:rFonts w:ascii="Calibri" w:hAnsi="Calibri"/>
          <w:color w:val="231F20"/>
          <w:spacing w:val="-22"/>
          <w:sz w:val="17"/>
        </w:rPr>
        <w:t> </w:t>
      </w:r>
      <w:r>
        <w:rPr>
          <w:rFonts w:ascii="Calibri" w:hAnsi="Calibri"/>
          <w:color w:val="231F20"/>
          <w:sz w:val="17"/>
        </w:rPr>
        <w:t>213–214.</w:t>
      </w:r>
    </w:p>
    <w:p>
      <w:pPr>
        <w:pStyle w:val="BodyText"/>
        <w:rPr>
          <w:rFonts w:ascii="Calibri"/>
          <w:sz w:val="20"/>
        </w:rPr>
      </w:pPr>
    </w:p>
    <w:p>
      <w:pPr>
        <w:pStyle w:val="BodyText"/>
        <w:spacing w:before="10"/>
        <w:rPr>
          <w:rFonts w:ascii="Calibri"/>
          <w:sz w:val="27"/>
        </w:rPr>
      </w:pPr>
    </w:p>
    <w:p>
      <w:pPr>
        <w:tabs>
          <w:tab w:pos="1331" w:val="left" w:leader="none"/>
        </w:tabs>
        <w:spacing w:before="68"/>
        <w:ind w:left="226" w:right="0" w:firstLine="0"/>
        <w:jc w:val="left"/>
        <w:rPr>
          <w:rFonts w:ascii="Calibri"/>
          <w:sz w:val="16"/>
        </w:rPr>
      </w:pPr>
      <w:r>
        <w:rPr/>
        <w:pict>
          <v:group style="position:absolute;margin-left:98.787804pt;margin-top:-3.358812pt;width:20.4pt;height:43pt;mso-position-horizontal-relative:page;mso-position-vertical-relative:paragraph;z-index:-168976"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122</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244"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647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"EL AFUERA SIEMPRE ES ADENTRO”. TENSIONES Y TRANSFORMACIONES RECIENTES</w:t>
      </w:r>
    </w:p>
    <w:p>
      <w:pPr>
        <w:spacing w:line="198" w:lineRule="exact" w:before="0"/>
        <w:ind w:left="2835" w:right="-7" w:firstLine="0"/>
        <w:jc w:val="left"/>
        <w:rPr>
          <w:rFonts w:ascii="Lucida Sans Unicode" w:hAnsi="Lucida Sans Unicode"/>
          <w:sz w:val="14"/>
        </w:rPr>
      </w:pPr>
      <w:r>
        <w:rPr>
          <w:rFonts w:ascii="Lucida Sans Unicode" w:hAnsi="Lucida Sans Unicode"/>
          <w:color w:val="6D6E71"/>
          <w:w w:val="90"/>
          <w:sz w:val="14"/>
        </w:rPr>
        <w:t>EN</w:t>
      </w:r>
      <w:r>
        <w:rPr>
          <w:rFonts w:ascii="Lucida Sans Unicode" w:hAnsi="Lucida Sans Unicode"/>
          <w:color w:val="6D6E71"/>
          <w:spacing w:val="-10"/>
          <w:w w:val="90"/>
          <w:sz w:val="14"/>
        </w:rPr>
        <w:t> </w:t>
      </w:r>
      <w:r>
        <w:rPr>
          <w:rFonts w:ascii="Lucida Sans Unicode" w:hAnsi="Lucida Sans Unicode"/>
          <w:color w:val="6D6E71"/>
          <w:w w:val="90"/>
          <w:sz w:val="14"/>
        </w:rPr>
        <w:t>EL</w:t>
      </w:r>
      <w:r>
        <w:rPr>
          <w:rFonts w:ascii="Lucida Sans Unicode" w:hAnsi="Lucida Sans Unicode"/>
          <w:color w:val="6D6E71"/>
          <w:spacing w:val="-10"/>
          <w:w w:val="90"/>
          <w:sz w:val="14"/>
        </w:rPr>
        <w:t> </w:t>
      </w:r>
      <w:r>
        <w:rPr>
          <w:rFonts w:ascii="Lucida Sans Unicode" w:hAnsi="Lucida Sans Unicode"/>
          <w:color w:val="6D6E71"/>
          <w:w w:val="90"/>
          <w:sz w:val="14"/>
        </w:rPr>
        <w:t>ESPACIO</w:t>
      </w:r>
      <w:r>
        <w:rPr>
          <w:rFonts w:ascii="Lucida Sans Unicode" w:hAnsi="Lucida Sans Unicode"/>
          <w:color w:val="6D6E71"/>
          <w:spacing w:val="-10"/>
          <w:w w:val="90"/>
          <w:sz w:val="14"/>
        </w:rPr>
        <w:t> </w:t>
      </w:r>
      <w:r>
        <w:rPr>
          <w:rFonts w:ascii="Lucida Sans Unicode" w:hAnsi="Lucida Sans Unicode"/>
          <w:color w:val="6D6E71"/>
          <w:w w:val="90"/>
          <w:sz w:val="14"/>
        </w:rPr>
        <w:t>POLÍTICO</w:t>
      </w:r>
      <w:r>
        <w:rPr>
          <w:rFonts w:ascii="Lucida Sans Unicode" w:hAnsi="Lucida Sans Unicode"/>
          <w:color w:val="6D6E71"/>
          <w:spacing w:val="-10"/>
          <w:w w:val="90"/>
          <w:sz w:val="14"/>
        </w:rPr>
        <w:t> </w:t>
      </w:r>
      <w:r>
        <w:rPr>
          <w:rFonts w:ascii="Lucida Sans Unicode" w:hAnsi="Lucida Sans Unicode"/>
          <w:color w:val="6D6E71"/>
          <w:w w:val="90"/>
          <w:sz w:val="14"/>
        </w:rPr>
        <w:t>DEL</w:t>
      </w:r>
      <w:r>
        <w:rPr>
          <w:rFonts w:ascii="Lucida Sans Unicode" w:hAnsi="Lucida Sans Unicode"/>
          <w:color w:val="6D6E71"/>
          <w:spacing w:val="-10"/>
          <w:w w:val="90"/>
          <w:sz w:val="14"/>
        </w:rPr>
        <w:t> </w:t>
      </w:r>
      <w:r>
        <w:rPr>
          <w:rFonts w:ascii="Lucida Sans Unicode" w:hAnsi="Lucida Sans Unicode"/>
          <w:color w:val="6D6E71"/>
          <w:w w:val="90"/>
          <w:sz w:val="14"/>
        </w:rPr>
        <w:t>ESTADO</w:t>
      </w:r>
      <w:r>
        <w:rPr>
          <w:rFonts w:ascii="Lucida Sans Unicode" w:hAnsi="Lucida Sans Unicode"/>
          <w:color w:val="6D6E71"/>
          <w:spacing w:val="-10"/>
          <w:w w:val="90"/>
          <w:sz w:val="14"/>
        </w:rPr>
        <w:t> </w:t>
      </w:r>
      <w:r>
        <w:rPr>
          <w:rFonts w:ascii="Lucida Sans Unicode" w:hAnsi="Lucida Sans Unicode"/>
          <w:color w:val="6D6E71"/>
          <w:w w:val="90"/>
          <w:sz w:val="14"/>
        </w:rPr>
        <w:t>Y</w:t>
      </w:r>
      <w:r>
        <w:rPr>
          <w:rFonts w:ascii="Lucida Sans Unicode" w:hAnsi="Lucida Sans Unicode"/>
          <w:color w:val="6D6E71"/>
          <w:spacing w:val="-10"/>
          <w:w w:val="90"/>
          <w:sz w:val="14"/>
        </w:rPr>
        <w:t> </w:t>
      </w:r>
      <w:r>
        <w:rPr>
          <w:rFonts w:ascii="Lucida Sans Unicode" w:hAnsi="Lucida Sans Unicode"/>
          <w:color w:val="6D6E71"/>
          <w:w w:val="90"/>
          <w:sz w:val="14"/>
        </w:rPr>
        <w:t>LA</w:t>
      </w:r>
      <w:r>
        <w:rPr>
          <w:rFonts w:ascii="Lucida Sans Unicode" w:hAnsi="Lucida Sans Unicode"/>
          <w:color w:val="6D6E71"/>
          <w:spacing w:val="-10"/>
          <w:w w:val="90"/>
          <w:sz w:val="14"/>
        </w:rPr>
        <w:t> </w:t>
      </w:r>
      <w:r>
        <w:rPr>
          <w:rFonts w:ascii="Lucida Sans Unicode" w:hAnsi="Lucida Sans Unicode"/>
          <w:color w:val="6D6E71"/>
          <w:w w:val="90"/>
          <w:sz w:val="14"/>
        </w:rPr>
        <w:t>DEMOCRACIA</w:t>
      </w:r>
    </w:p>
    <w:p>
      <w:pPr>
        <w:spacing w:before="59"/>
        <w:ind w:left="338" w:right="0" w:firstLine="0"/>
        <w:jc w:val="left"/>
        <w:rPr>
          <w:rFonts w:ascii="Arial"/>
          <w:sz w:val="20"/>
        </w:rPr>
      </w:pPr>
      <w:r>
        <w:rPr/>
        <w:br w:type="column"/>
      </w:r>
      <w:r>
        <w:rPr>
          <w:rFonts w:ascii="Arial"/>
          <w:color w:val="414042"/>
          <w:sz w:val="20"/>
        </w:rPr>
        <w:t>123</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6"/>
        <w:rPr>
          <w:rFonts w:ascii="Arial"/>
          <w:sz w:val="16"/>
        </w:rPr>
      </w:pPr>
    </w:p>
    <w:p>
      <w:pPr>
        <w:pStyle w:val="BodyText"/>
        <w:spacing w:line="247" w:lineRule="auto" w:before="44"/>
        <w:ind w:left="117" w:right="101"/>
        <w:jc w:val="both"/>
      </w:pPr>
      <w:r>
        <w:rPr>
          <w:color w:val="231F20"/>
          <w:w w:val="105"/>
        </w:rPr>
        <w:t>Por</w:t>
      </w:r>
      <w:r>
        <w:rPr>
          <w:color w:val="231F20"/>
          <w:spacing w:val="-35"/>
          <w:w w:val="105"/>
        </w:rPr>
        <w:t> </w:t>
      </w:r>
      <w:r>
        <w:rPr>
          <w:color w:val="231F20"/>
          <w:w w:val="105"/>
        </w:rPr>
        <w:t>su</w:t>
      </w:r>
      <w:r>
        <w:rPr>
          <w:color w:val="231F20"/>
          <w:spacing w:val="-35"/>
          <w:w w:val="105"/>
        </w:rPr>
        <w:t> </w:t>
      </w:r>
      <w:r>
        <w:rPr>
          <w:color w:val="231F20"/>
          <w:w w:val="105"/>
        </w:rPr>
        <w:t>parte,</w:t>
      </w:r>
      <w:r>
        <w:rPr>
          <w:color w:val="231F20"/>
          <w:spacing w:val="-35"/>
          <w:w w:val="105"/>
        </w:rPr>
        <w:t> </w:t>
      </w:r>
      <w:r>
        <w:rPr>
          <w:color w:val="231F20"/>
          <w:w w:val="105"/>
        </w:rPr>
        <w:t>el</w:t>
      </w:r>
      <w:r>
        <w:rPr>
          <w:color w:val="231F20"/>
          <w:spacing w:val="-35"/>
          <w:w w:val="105"/>
        </w:rPr>
        <w:t> </w:t>
      </w:r>
      <w:r>
        <w:rPr>
          <w:color w:val="231F20"/>
          <w:w w:val="105"/>
        </w:rPr>
        <w:t>terror</w:t>
      </w:r>
      <w:r>
        <w:rPr>
          <w:color w:val="231F20"/>
          <w:spacing w:val="-35"/>
          <w:w w:val="105"/>
        </w:rPr>
        <w:t> </w:t>
      </w:r>
      <w:r>
        <w:rPr>
          <w:color w:val="231F20"/>
          <w:w w:val="105"/>
        </w:rPr>
        <w:t>y</w:t>
      </w:r>
      <w:r>
        <w:rPr>
          <w:color w:val="231F20"/>
          <w:spacing w:val="-35"/>
          <w:w w:val="105"/>
        </w:rPr>
        <w:t> </w:t>
      </w:r>
      <w:r>
        <w:rPr>
          <w:color w:val="231F20"/>
          <w:w w:val="105"/>
        </w:rPr>
        <w:t>el</w:t>
      </w:r>
      <w:r>
        <w:rPr>
          <w:color w:val="231F20"/>
          <w:spacing w:val="-35"/>
          <w:w w:val="105"/>
        </w:rPr>
        <w:t> </w:t>
      </w:r>
      <w:r>
        <w:rPr>
          <w:color w:val="231F20"/>
          <w:w w:val="105"/>
        </w:rPr>
        <w:t>terrorismo</w:t>
      </w:r>
      <w:r>
        <w:rPr>
          <w:color w:val="231F20"/>
          <w:spacing w:val="-35"/>
          <w:w w:val="105"/>
        </w:rPr>
        <w:t> </w:t>
      </w:r>
      <w:r>
        <w:rPr>
          <w:color w:val="231F20"/>
          <w:w w:val="105"/>
        </w:rPr>
        <w:t>son</w:t>
      </w:r>
      <w:r>
        <w:rPr>
          <w:color w:val="231F20"/>
          <w:spacing w:val="-35"/>
          <w:w w:val="105"/>
        </w:rPr>
        <w:t> </w:t>
      </w:r>
      <w:r>
        <w:rPr>
          <w:color w:val="231F20"/>
          <w:w w:val="105"/>
        </w:rPr>
        <w:t>posibles</w:t>
      </w:r>
      <w:r>
        <w:rPr>
          <w:color w:val="231F20"/>
          <w:spacing w:val="-35"/>
          <w:w w:val="105"/>
        </w:rPr>
        <w:t> </w:t>
      </w:r>
      <w:r>
        <w:rPr>
          <w:color w:val="231F20"/>
          <w:w w:val="105"/>
        </w:rPr>
        <w:t>cuando</w:t>
      </w:r>
      <w:r>
        <w:rPr>
          <w:color w:val="231F20"/>
          <w:spacing w:val="-35"/>
          <w:w w:val="105"/>
        </w:rPr>
        <w:t> </w:t>
      </w:r>
      <w:r>
        <w:rPr>
          <w:color w:val="231F20"/>
          <w:w w:val="105"/>
        </w:rPr>
        <w:t>las</w:t>
      </w:r>
      <w:r>
        <w:rPr>
          <w:color w:val="231F20"/>
          <w:spacing w:val="-35"/>
          <w:w w:val="105"/>
        </w:rPr>
        <w:t> </w:t>
      </w:r>
      <w:r>
        <w:rPr>
          <w:color w:val="231F20"/>
          <w:w w:val="105"/>
        </w:rPr>
        <w:t>naciones</w:t>
      </w:r>
      <w:r>
        <w:rPr>
          <w:color w:val="231F20"/>
          <w:spacing w:val="-35"/>
          <w:w w:val="105"/>
        </w:rPr>
        <w:t> </w:t>
      </w:r>
      <w:r>
        <w:rPr>
          <w:color w:val="231F20"/>
          <w:w w:val="105"/>
        </w:rPr>
        <w:t>o</w:t>
      </w:r>
      <w:r>
        <w:rPr>
          <w:color w:val="231F20"/>
          <w:spacing w:val="-35"/>
          <w:w w:val="105"/>
        </w:rPr>
        <w:t> </w:t>
      </w:r>
      <w:r>
        <w:rPr>
          <w:color w:val="231F20"/>
          <w:w w:val="105"/>
        </w:rPr>
        <w:t>los grupos</w:t>
      </w:r>
      <w:r>
        <w:rPr>
          <w:color w:val="231F20"/>
          <w:spacing w:val="-31"/>
          <w:w w:val="105"/>
        </w:rPr>
        <w:t> </w:t>
      </w:r>
      <w:r>
        <w:rPr>
          <w:color w:val="231F20"/>
          <w:w w:val="105"/>
        </w:rPr>
        <w:t>en</w:t>
      </w:r>
      <w:r>
        <w:rPr>
          <w:color w:val="231F20"/>
          <w:spacing w:val="-31"/>
          <w:w w:val="105"/>
        </w:rPr>
        <w:t> </w:t>
      </w:r>
      <w:r>
        <w:rPr>
          <w:color w:val="231F20"/>
          <w:w w:val="105"/>
        </w:rPr>
        <w:t>conflicto</w:t>
      </w:r>
      <w:r>
        <w:rPr>
          <w:color w:val="231F20"/>
          <w:spacing w:val="-31"/>
          <w:w w:val="105"/>
        </w:rPr>
        <w:t> </w:t>
      </w:r>
      <w:r>
        <w:rPr>
          <w:color w:val="231F20"/>
          <w:w w:val="105"/>
        </w:rPr>
        <w:t>se</w:t>
      </w:r>
      <w:r>
        <w:rPr>
          <w:color w:val="231F20"/>
          <w:spacing w:val="-31"/>
          <w:w w:val="105"/>
        </w:rPr>
        <w:t> </w:t>
      </w:r>
      <w:r>
        <w:rPr>
          <w:color w:val="231F20"/>
          <w:w w:val="105"/>
        </w:rPr>
        <w:t>encuentran</w:t>
      </w:r>
      <w:r>
        <w:rPr>
          <w:color w:val="231F20"/>
          <w:spacing w:val="-31"/>
          <w:w w:val="105"/>
        </w:rPr>
        <w:t> </w:t>
      </w:r>
      <w:r>
        <w:rPr>
          <w:color w:val="231F20"/>
          <w:w w:val="105"/>
        </w:rPr>
        <w:t>oscilando</w:t>
      </w:r>
      <w:r>
        <w:rPr>
          <w:color w:val="231F20"/>
          <w:spacing w:val="-31"/>
          <w:w w:val="105"/>
        </w:rPr>
        <w:t> </w:t>
      </w:r>
      <w:r>
        <w:rPr>
          <w:color w:val="231F20"/>
          <w:w w:val="105"/>
        </w:rPr>
        <w:t>entre</w:t>
      </w:r>
      <w:r>
        <w:rPr>
          <w:color w:val="231F20"/>
          <w:spacing w:val="-31"/>
          <w:w w:val="105"/>
        </w:rPr>
        <w:t> </w:t>
      </w:r>
      <w:r>
        <w:rPr>
          <w:color w:val="231F20"/>
          <w:w w:val="105"/>
        </w:rPr>
        <w:t>un</w:t>
      </w:r>
      <w:r>
        <w:rPr>
          <w:color w:val="231F20"/>
          <w:spacing w:val="-31"/>
          <w:w w:val="105"/>
        </w:rPr>
        <w:t> </w:t>
      </w:r>
      <w:r>
        <w:rPr>
          <w:color w:val="231F20"/>
          <w:w w:val="105"/>
        </w:rPr>
        <w:t>Estado</w:t>
      </w:r>
      <w:r>
        <w:rPr>
          <w:color w:val="231F20"/>
          <w:spacing w:val="-31"/>
          <w:w w:val="105"/>
        </w:rPr>
        <w:t> </w:t>
      </w:r>
      <w:r>
        <w:rPr>
          <w:color w:val="231F20"/>
          <w:w w:val="105"/>
        </w:rPr>
        <w:t>legal</w:t>
      </w:r>
      <w:r>
        <w:rPr>
          <w:color w:val="231F20"/>
          <w:spacing w:val="-31"/>
          <w:w w:val="105"/>
        </w:rPr>
        <w:t> </w:t>
      </w:r>
      <w:r>
        <w:rPr>
          <w:color w:val="231F20"/>
          <w:w w:val="105"/>
        </w:rPr>
        <w:t>y</w:t>
      </w:r>
      <w:r>
        <w:rPr>
          <w:color w:val="231F20"/>
          <w:spacing w:val="-31"/>
          <w:w w:val="105"/>
        </w:rPr>
        <w:t> </w:t>
      </w:r>
      <w:r>
        <w:rPr>
          <w:color w:val="231F20"/>
          <w:w w:val="105"/>
        </w:rPr>
        <w:t>un</w:t>
      </w:r>
      <w:r>
        <w:rPr>
          <w:color w:val="231F20"/>
          <w:spacing w:val="-31"/>
          <w:w w:val="105"/>
        </w:rPr>
        <w:t> </w:t>
      </w:r>
      <w:r>
        <w:rPr>
          <w:color w:val="231F20"/>
          <w:w w:val="105"/>
        </w:rPr>
        <w:t>Es- tado</w:t>
      </w:r>
      <w:r>
        <w:rPr>
          <w:color w:val="231F20"/>
          <w:spacing w:val="-29"/>
          <w:w w:val="105"/>
        </w:rPr>
        <w:t> </w:t>
      </w:r>
      <w:r>
        <w:rPr>
          <w:color w:val="231F20"/>
          <w:w w:val="105"/>
        </w:rPr>
        <w:t>ilegal.</w:t>
      </w:r>
      <w:r>
        <w:rPr>
          <w:color w:val="231F20"/>
          <w:spacing w:val="-29"/>
          <w:w w:val="105"/>
        </w:rPr>
        <w:t> </w:t>
      </w:r>
      <w:r>
        <w:rPr>
          <w:color w:val="231F20"/>
          <w:w w:val="105"/>
        </w:rPr>
        <w:t>Pero</w:t>
      </w:r>
      <w:r>
        <w:rPr>
          <w:color w:val="231F20"/>
          <w:spacing w:val="-29"/>
          <w:w w:val="105"/>
        </w:rPr>
        <w:t> </w:t>
      </w:r>
      <w:r>
        <w:rPr>
          <w:color w:val="231F20"/>
          <w:w w:val="105"/>
        </w:rPr>
        <w:t>también</w:t>
      </w:r>
      <w:r>
        <w:rPr>
          <w:color w:val="231F20"/>
          <w:spacing w:val="-29"/>
          <w:w w:val="105"/>
        </w:rPr>
        <w:t> </w:t>
      </w:r>
      <w:r>
        <w:rPr>
          <w:color w:val="231F20"/>
          <w:w w:val="105"/>
        </w:rPr>
        <w:t>son</w:t>
      </w:r>
      <w:r>
        <w:rPr>
          <w:color w:val="231F20"/>
          <w:spacing w:val="-29"/>
          <w:w w:val="105"/>
        </w:rPr>
        <w:t> </w:t>
      </w:r>
      <w:r>
        <w:rPr>
          <w:color w:val="231F20"/>
          <w:w w:val="105"/>
        </w:rPr>
        <w:t>posibles,</w:t>
      </w:r>
      <w:r>
        <w:rPr>
          <w:color w:val="231F20"/>
          <w:spacing w:val="-29"/>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w w:val="105"/>
        </w:rPr>
        <w:t>caso</w:t>
      </w:r>
      <w:r>
        <w:rPr>
          <w:color w:val="231F20"/>
          <w:spacing w:val="-29"/>
          <w:w w:val="105"/>
        </w:rPr>
        <w:t> </w:t>
      </w:r>
      <w:r>
        <w:rPr>
          <w:color w:val="231F20"/>
          <w:w w:val="105"/>
        </w:rPr>
        <w:t>extremo,</w:t>
      </w:r>
      <w:r>
        <w:rPr>
          <w:color w:val="231F20"/>
          <w:spacing w:val="-29"/>
          <w:w w:val="105"/>
        </w:rPr>
        <w:t> </w:t>
      </w:r>
      <w:r>
        <w:rPr>
          <w:color w:val="231F20"/>
          <w:w w:val="105"/>
        </w:rPr>
        <w:t>cuando</w:t>
      </w:r>
      <w:r>
        <w:rPr>
          <w:color w:val="231F20"/>
          <w:spacing w:val="-29"/>
          <w:w w:val="105"/>
        </w:rPr>
        <w:t> </w:t>
      </w:r>
      <w:r>
        <w:rPr>
          <w:color w:val="231F20"/>
          <w:w w:val="105"/>
        </w:rPr>
        <w:t>actúan basados</w:t>
      </w:r>
      <w:r>
        <w:rPr>
          <w:color w:val="231F20"/>
          <w:spacing w:val="-37"/>
          <w:w w:val="105"/>
        </w:rPr>
        <w:t> </w:t>
      </w:r>
      <w:r>
        <w:rPr>
          <w:color w:val="231F20"/>
          <w:w w:val="105"/>
        </w:rPr>
        <w:t>en</w:t>
      </w:r>
      <w:r>
        <w:rPr>
          <w:color w:val="231F20"/>
          <w:spacing w:val="-37"/>
          <w:w w:val="105"/>
        </w:rPr>
        <w:t> </w:t>
      </w:r>
      <w:r>
        <w:rPr>
          <w:color w:val="231F20"/>
          <w:w w:val="105"/>
        </w:rPr>
        <w:t>una</w:t>
      </w:r>
      <w:r>
        <w:rPr>
          <w:color w:val="231F20"/>
          <w:spacing w:val="-37"/>
          <w:w w:val="105"/>
        </w:rPr>
        <w:t> </w:t>
      </w:r>
      <w:r>
        <w:rPr>
          <w:color w:val="231F20"/>
          <w:w w:val="105"/>
        </w:rPr>
        <w:t>lógica</w:t>
      </w:r>
      <w:r>
        <w:rPr>
          <w:color w:val="231F20"/>
          <w:spacing w:val="-37"/>
          <w:w w:val="105"/>
        </w:rPr>
        <w:t> </w:t>
      </w:r>
      <w:r>
        <w:rPr>
          <w:color w:val="231F20"/>
          <w:w w:val="105"/>
        </w:rPr>
        <w:t>del</w:t>
      </w:r>
      <w:r>
        <w:rPr>
          <w:color w:val="231F20"/>
          <w:spacing w:val="-37"/>
          <w:w w:val="105"/>
        </w:rPr>
        <w:t> </w:t>
      </w:r>
      <w:r>
        <w:rPr>
          <w:color w:val="231F20"/>
          <w:w w:val="105"/>
        </w:rPr>
        <w:t>Estado</w:t>
      </w:r>
      <w:r>
        <w:rPr>
          <w:color w:val="231F20"/>
          <w:spacing w:val="-37"/>
          <w:w w:val="105"/>
        </w:rPr>
        <w:t> </w:t>
      </w:r>
      <w:r>
        <w:rPr>
          <w:color w:val="231F20"/>
          <w:w w:val="105"/>
        </w:rPr>
        <w:t>total.</w:t>
      </w:r>
      <w:r>
        <w:rPr>
          <w:color w:val="231F20"/>
          <w:spacing w:val="-37"/>
          <w:w w:val="105"/>
        </w:rPr>
        <w:t> </w:t>
      </w:r>
      <w:r>
        <w:rPr>
          <w:color w:val="231F20"/>
          <w:w w:val="105"/>
        </w:rPr>
        <w:t>Sin</w:t>
      </w:r>
      <w:r>
        <w:rPr>
          <w:color w:val="231F20"/>
          <w:spacing w:val="-37"/>
          <w:w w:val="105"/>
        </w:rPr>
        <w:t> </w:t>
      </w:r>
      <w:r>
        <w:rPr>
          <w:color w:val="231F20"/>
          <w:w w:val="105"/>
        </w:rPr>
        <w:t>embargo,</w:t>
      </w:r>
      <w:r>
        <w:rPr>
          <w:color w:val="231F20"/>
          <w:spacing w:val="-37"/>
          <w:w w:val="105"/>
        </w:rPr>
        <w:t> </w:t>
      </w:r>
      <w:r>
        <w:rPr>
          <w:color w:val="231F20"/>
          <w:w w:val="105"/>
        </w:rPr>
        <w:t>el</w:t>
      </w:r>
      <w:r>
        <w:rPr>
          <w:color w:val="231F20"/>
          <w:spacing w:val="-37"/>
          <w:w w:val="105"/>
        </w:rPr>
        <w:t> </w:t>
      </w:r>
      <w:r>
        <w:rPr>
          <w:color w:val="231F20"/>
          <w:w w:val="105"/>
        </w:rPr>
        <w:t>terrorismo</w:t>
      </w:r>
      <w:r>
        <w:rPr>
          <w:color w:val="231F20"/>
          <w:spacing w:val="-37"/>
          <w:w w:val="105"/>
        </w:rPr>
        <w:t> </w:t>
      </w:r>
      <w:r>
        <w:rPr>
          <w:color w:val="231F20"/>
          <w:w w:val="105"/>
        </w:rPr>
        <w:t>(interno o</w:t>
      </w:r>
      <w:r>
        <w:rPr>
          <w:color w:val="231F20"/>
          <w:spacing w:val="-32"/>
          <w:w w:val="105"/>
        </w:rPr>
        <w:t> </w:t>
      </w:r>
      <w:r>
        <w:rPr>
          <w:color w:val="231F20"/>
          <w:w w:val="105"/>
        </w:rPr>
        <w:t>externo)</w:t>
      </w:r>
      <w:r>
        <w:rPr>
          <w:color w:val="231F20"/>
          <w:spacing w:val="-32"/>
          <w:w w:val="105"/>
        </w:rPr>
        <w:t> </w:t>
      </w:r>
      <w:r>
        <w:rPr>
          <w:color w:val="231F20"/>
          <w:w w:val="105"/>
        </w:rPr>
        <w:t>que</w:t>
      </w:r>
      <w:r>
        <w:rPr>
          <w:color w:val="231F20"/>
          <w:spacing w:val="-32"/>
          <w:w w:val="105"/>
        </w:rPr>
        <w:t> </w:t>
      </w:r>
      <w:r>
        <w:rPr>
          <w:color w:val="231F20"/>
          <w:w w:val="105"/>
        </w:rPr>
        <w:t>afecta</w:t>
      </w:r>
      <w:r>
        <w:rPr>
          <w:color w:val="231F20"/>
          <w:spacing w:val="-32"/>
          <w:w w:val="105"/>
        </w:rPr>
        <w:t> </w:t>
      </w:r>
      <w:r>
        <w:rPr>
          <w:color w:val="231F20"/>
          <w:w w:val="105"/>
        </w:rPr>
        <w:t>el</w:t>
      </w:r>
      <w:r>
        <w:rPr>
          <w:color w:val="231F20"/>
          <w:spacing w:val="-32"/>
          <w:w w:val="105"/>
        </w:rPr>
        <w:t> </w:t>
      </w:r>
      <w:r>
        <w:rPr>
          <w:color w:val="231F20"/>
          <w:w w:val="105"/>
        </w:rPr>
        <w:t>corazón</w:t>
      </w:r>
      <w:r>
        <w:rPr>
          <w:color w:val="231F20"/>
          <w:spacing w:val="-32"/>
          <w:w w:val="105"/>
        </w:rPr>
        <w:t> </w:t>
      </w:r>
      <w:r>
        <w:rPr>
          <w:color w:val="231F20"/>
          <w:w w:val="105"/>
        </w:rPr>
        <w:t>de</w:t>
      </w:r>
      <w:r>
        <w:rPr>
          <w:color w:val="231F20"/>
          <w:spacing w:val="-32"/>
          <w:w w:val="105"/>
        </w:rPr>
        <w:t> </w:t>
      </w:r>
      <w:r>
        <w:rPr>
          <w:color w:val="231F20"/>
          <w:w w:val="105"/>
        </w:rPr>
        <w:t>las</w:t>
      </w:r>
      <w:r>
        <w:rPr>
          <w:color w:val="231F20"/>
          <w:spacing w:val="-32"/>
          <w:w w:val="105"/>
        </w:rPr>
        <w:t> </w:t>
      </w:r>
      <w:r>
        <w:rPr>
          <w:color w:val="231F20"/>
          <w:w w:val="105"/>
        </w:rPr>
        <w:t>sociedades</w:t>
      </w:r>
      <w:r>
        <w:rPr>
          <w:color w:val="231F20"/>
          <w:spacing w:val="-32"/>
          <w:w w:val="105"/>
        </w:rPr>
        <w:t> </w:t>
      </w:r>
      <w:r>
        <w:rPr>
          <w:color w:val="231F20"/>
          <w:w w:val="105"/>
        </w:rPr>
        <w:t>democráticas</w:t>
      </w:r>
      <w:r>
        <w:rPr>
          <w:color w:val="231F20"/>
          <w:spacing w:val="-32"/>
          <w:w w:val="105"/>
        </w:rPr>
        <w:t> </w:t>
      </w:r>
      <w:r>
        <w:rPr>
          <w:color w:val="231F20"/>
          <w:w w:val="105"/>
        </w:rPr>
        <w:t>tiene</w:t>
      </w:r>
      <w:r>
        <w:rPr>
          <w:color w:val="231F20"/>
          <w:spacing w:val="-32"/>
          <w:w w:val="105"/>
        </w:rPr>
        <w:t> </w:t>
      </w:r>
      <w:r>
        <w:rPr>
          <w:color w:val="231F20"/>
          <w:w w:val="105"/>
        </w:rPr>
        <w:t>que ver</w:t>
      </w:r>
      <w:r>
        <w:rPr>
          <w:color w:val="231F20"/>
          <w:spacing w:val="-15"/>
          <w:w w:val="105"/>
        </w:rPr>
        <w:t> </w:t>
      </w:r>
      <w:r>
        <w:rPr>
          <w:color w:val="231F20"/>
          <w:w w:val="105"/>
        </w:rPr>
        <w:t>con</w:t>
      </w:r>
      <w:r>
        <w:rPr>
          <w:color w:val="231F20"/>
          <w:spacing w:val="-15"/>
          <w:w w:val="105"/>
        </w:rPr>
        <w:t> </w:t>
      </w:r>
      <w:r>
        <w:rPr>
          <w:color w:val="231F20"/>
          <w:w w:val="105"/>
        </w:rPr>
        <w:t>la</w:t>
      </w:r>
      <w:r>
        <w:rPr>
          <w:color w:val="231F20"/>
          <w:spacing w:val="-15"/>
          <w:w w:val="105"/>
        </w:rPr>
        <w:t> </w:t>
      </w:r>
      <w:r>
        <w:rPr>
          <w:color w:val="231F20"/>
          <w:w w:val="105"/>
        </w:rPr>
        <w:t>dinámica</w:t>
      </w:r>
      <w:r>
        <w:rPr>
          <w:color w:val="231F20"/>
          <w:spacing w:val="-15"/>
          <w:w w:val="105"/>
        </w:rPr>
        <w:t> </w:t>
      </w:r>
      <w:r>
        <w:rPr>
          <w:color w:val="231F20"/>
          <w:w w:val="105"/>
        </w:rPr>
        <w:t>del</w:t>
      </w:r>
      <w:r>
        <w:rPr>
          <w:color w:val="231F20"/>
          <w:spacing w:val="-15"/>
          <w:w w:val="105"/>
        </w:rPr>
        <w:t> </w:t>
      </w:r>
      <w:r>
        <w:rPr>
          <w:rFonts w:ascii="Arial" w:hAnsi="Arial"/>
          <w:i/>
          <w:color w:val="231F20"/>
          <w:w w:val="105"/>
        </w:rPr>
        <w:t>doble</w:t>
      </w:r>
      <w:r>
        <w:rPr>
          <w:rFonts w:ascii="Arial" w:hAnsi="Arial"/>
          <w:i/>
          <w:color w:val="231F20"/>
          <w:spacing w:val="-8"/>
          <w:w w:val="105"/>
        </w:rPr>
        <w:t> </w:t>
      </w:r>
      <w:r>
        <w:rPr>
          <w:color w:val="231F20"/>
          <w:w w:val="105"/>
        </w:rPr>
        <w:t>Estado</w:t>
      </w:r>
      <w:r>
        <w:rPr>
          <w:color w:val="231F20"/>
          <w:spacing w:val="-15"/>
          <w:w w:val="105"/>
        </w:rPr>
        <w:t> </w:t>
      </w:r>
      <w:r>
        <w:rPr>
          <w:color w:val="231F20"/>
          <w:w w:val="105"/>
        </w:rPr>
        <w:t>(legal</w:t>
      </w:r>
      <w:r>
        <w:rPr>
          <w:color w:val="231F20"/>
          <w:spacing w:val="-15"/>
          <w:w w:val="105"/>
        </w:rPr>
        <w:t> </w:t>
      </w:r>
      <w:r>
        <w:rPr>
          <w:color w:val="231F20"/>
          <w:w w:val="105"/>
        </w:rPr>
        <w:t>e</w:t>
      </w:r>
      <w:r>
        <w:rPr>
          <w:color w:val="231F20"/>
          <w:spacing w:val="-15"/>
          <w:w w:val="105"/>
        </w:rPr>
        <w:t> </w:t>
      </w:r>
      <w:r>
        <w:rPr>
          <w:color w:val="231F20"/>
          <w:w w:val="105"/>
        </w:rPr>
        <w:t>ilegal</w:t>
      </w:r>
      <w:r>
        <w:rPr>
          <w:color w:val="231F20"/>
          <w:spacing w:val="-15"/>
          <w:w w:val="105"/>
        </w:rPr>
        <w:t> </w:t>
      </w:r>
      <w:r>
        <w:rPr>
          <w:color w:val="231F20"/>
          <w:w w:val="105"/>
        </w:rPr>
        <w:t>al</w:t>
      </w:r>
      <w:r>
        <w:rPr>
          <w:color w:val="231F20"/>
          <w:spacing w:val="-15"/>
          <w:w w:val="105"/>
        </w:rPr>
        <w:t> </w:t>
      </w:r>
      <w:r>
        <w:rPr>
          <w:color w:val="231F20"/>
          <w:w w:val="105"/>
        </w:rPr>
        <w:t>mismo</w:t>
      </w:r>
      <w:r>
        <w:rPr>
          <w:color w:val="231F20"/>
          <w:spacing w:val="-15"/>
          <w:w w:val="105"/>
        </w:rPr>
        <w:t> </w:t>
      </w:r>
      <w:r>
        <w:rPr>
          <w:color w:val="231F20"/>
          <w:w w:val="105"/>
        </w:rPr>
        <w:t>tiempo)</w:t>
      </w:r>
      <w:r>
        <w:rPr>
          <w:color w:val="231F20"/>
          <w:spacing w:val="-15"/>
          <w:w w:val="105"/>
        </w:rPr>
        <w:t> </w:t>
      </w:r>
      <w:r>
        <w:rPr>
          <w:color w:val="231F20"/>
          <w:w w:val="105"/>
        </w:rPr>
        <w:t>y</w:t>
      </w:r>
      <w:r>
        <w:rPr>
          <w:color w:val="231F20"/>
          <w:spacing w:val="-15"/>
          <w:w w:val="105"/>
        </w:rPr>
        <w:t> </w:t>
      </w:r>
      <w:r>
        <w:rPr>
          <w:color w:val="231F20"/>
          <w:w w:val="105"/>
        </w:rPr>
        <w:t>el uso proporcional de la fuerza de la duplicidad en contra de </w:t>
      </w:r>
      <w:r>
        <w:rPr>
          <w:rFonts w:ascii="Arial" w:hAnsi="Arial"/>
          <w:i/>
          <w:color w:val="231F20"/>
          <w:w w:val="105"/>
        </w:rPr>
        <w:t>otro poder</w:t>
      </w:r>
      <w:r>
        <w:rPr>
          <w:color w:val="231F20"/>
          <w:w w:val="105"/>
        </w:rPr>
        <w:t>, igual</w:t>
      </w:r>
      <w:r>
        <w:rPr>
          <w:color w:val="231F20"/>
          <w:spacing w:val="-23"/>
          <w:w w:val="105"/>
        </w:rPr>
        <w:t> </w:t>
      </w:r>
      <w:r>
        <w:rPr>
          <w:color w:val="231F20"/>
          <w:w w:val="105"/>
        </w:rPr>
        <w:t>o</w:t>
      </w:r>
      <w:r>
        <w:rPr>
          <w:color w:val="231F20"/>
          <w:spacing w:val="-23"/>
          <w:w w:val="105"/>
        </w:rPr>
        <w:t> </w:t>
      </w:r>
      <w:r>
        <w:rPr>
          <w:color w:val="231F20"/>
          <w:spacing w:val="-4"/>
          <w:w w:val="105"/>
        </w:rPr>
        <w:t>peor,</w:t>
      </w:r>
      <w:r>
        <w:rPr>
          <w:color w:val="231F20"/>
          <w:spacing w:val="-23"/>
          <w:w w:val="105"/>
        </w:rPr>
        <w:t> </w:t>
      </w:r>
      <w:r>
        <w:rPr>
          <w:color w:val="231F20"/>
          <w:w w:val="105"/>
        </w:rPr>
        <w:t>como</w:t>
      </w:r>
      <w:r>
        <w:rPr>
          <w:color w:val="231F20"/>
          <w:spacing w:val="-23"/>
          <w:w w:val="105"/>
        </w:rPr>
        <w:t> </w:t>
      </w:r>
      <w:r>
        <w:rPr>
          <w:color w:val="231F20"/>
          <w:w w:val="105"/>
        </w:rPr>
        <w:t>puede</w:t>
      </w:r>
      <w:r>
        <w:rPr>
          <w:color w:val="231F20"/>
          <w:spacing w:val="-23"/>
          <w:w w:val="105"/>
        </w:rPr>
        <w:t> </w:t>
      </w:r>
      <w:r>
        <w:rPr>
          <w:color w:val="231F20"/>
          <w:w w:val="105"/>
        </w:rPr>
        <w:t>ser</w:t>
      </w:r>
      <w:r>
        <w:rPr>
          <w:color w:val="231F20"/>
          <w:spacing w:val="-23"/>
          <w:w w:val="105"/>
        </w:rPr>
        <w:t> </w:t>
      </w:r>
      <w:r>
        <w:rPr>
          <w:color w:val="231F20"/>
          <w:w w:val="105"/>
        </w:rPr>
        <w:t>la</w:t>
      </w:r>
      <w:r>
        <w:rPr>
          <w:color w:val="231F20"/>
          <w:spacing w:val="-23"/>
          <w:w w:val="105"/>
        </w:rPr>
        <w:t> </w:t>
      </w:r>
      <w:r>
        <w:rPr>
          <w:color w:val="231F20"/>
          <w:w w:val="105"/>
        </w:rPr>
        <w:t>acción</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“resistencias”</w:t>
      </w:r>
      <w:r>
        <w:rPr>
          <w:color w:val="231F20"/>
          <w:spacing w:val="-23"/>
          <w:w w:val="105"/>
        </w:rPr>
        <w:t> </w:t>
      </w:r>
      <w:r>
        <w:rPr>
          <w:color w:val="231F20"/>
          <w:w w:val="105"/>
        </w:rPr>
        <w:t>internas</w:t>
      </w:r>
      <w:r>
        <w:rPr>
          <w:color w:val="231F20"/>
          <w:spacing w:val="-23"/>
          <w:w w:val="105"/>
        </w:rPr>
        <w:t> </w:t>
      </w:r>
      <w:r>
        <w:rPr>
          <w:color w:val="231F20"/>
          <w:w w:val="105"/>
        </w:rPr>
        <w:t>al</w:t>
      </w:r>
      <w:r>
        <w:rPr>
          <w:color w:val="231F20"/>
          <w:spacing w:val="-23"/>
          <w:w w:val="105"/>
        </w:rPr>
        <w:t> </w:t>
      </w:r>
      <w:r>
        <w:rPr>
          <w:color w:val="231F20"/>
          <w:w w:val="105"/>
        </w:rPr>
        <w:t>Es- tado</w:t>
      </w:r>
      <w:r>
        <w:rPr>
          <w:color w:val="231F20"/>
          <w:spacing w:val="-29"/>
          <w:w w:val="105"/>
        </w:rPr>
        <w:t> </w:t>
      </w:r>
      <w:r>
        <w:rPr>
          <w:color w:val="231F20"/>
          <w:w w:val="105"/>
        </w:rPr>
        <w:t>que</w:t>
      </w:r>
      <w:r>
        <w:rPr>
          <w:color w:val="231F20"/>
          <w:spacing w:val="-29"/>
          <w:w w:val="105"/>
        </w:rPr>
        <w:t> </w:t>
      </w:r>
      <w:r>
        <w:rPr>
          <w:color w:val="231F20"/>
          <w:w w:val="105"/>
        </w:rPr>
        <w:t>acabo</w:t>
      </w:r>
      <w:r>
        <w:rPr>
          <w:color w:val="231F20"/>
          <w:spacing w:val="-29"/>
          <w:w w:val="105"/>
        </w:rPr>
        <w:t> </w:t>
      </w:r>
      <w:r>
        <w:rPr>
          <w:color w:val="231F20"/>
          <w:w w:val="105"/>
        </w:rPr>
        <w:t>de</w:t>
      </w:r>
      <w:r>
        <w:rPr>
          <w:color w:val="231F20"/>
          <w:spacing w:val="-29"/>
          <w:w w:val="105"/>
        </w:rPr>
        <w:t> </w:t>
      </w:r>
      <w:r>
        <w:rPr>
          <w:color w:val="231F20"/>
          <w:w w:val="105"/>
        </w:rPr>
        <w:t>mencionar.</w:t>
      </w:r>
      <w:r>
        <w:rPr>
          <w:color w:val="231F20"/>
          <w:spacing w:val="-29"/>
          <w:w w:val="105"/>
        </w:rPr>
        <w:t> </w:t>
      </w:r>
      <w:r>
        <w:rPr>
          <w:color w:val="231F20"/>
          <w:w w:val="105"/>
        </w:rPr>
        <w:t>Para</w:t>
      </w:r>
      <w:r>
        <w:rPr>
          <w:color w:val="231F20"/>
          <w:spacing w:val="-29"/>
          <w:w w:val="105"/>
        </w:rPr>
        <w:t> </w:t>
      </w:r>
      <w:r>
        <w:rPr>
          <w:color w:val="231F20"/>
          <w:w w:val="105"/>
        </w:rPr>
        <w:t>que</w:t>
      </w:r>
      <w:r>
        <w:rPr>
          <w:color w:val="231F20"/>
          <w:spacing w:val="-29"/>
          <w:w w:val="105"/>
        </w:rPr>
        <w:t> </w:t>
      </w:r>
      <w:r>
        <w:rPr>
          <w:color w:val="231F20"/>
          <w:w w:val="105"/>
        </w:rPr>
        <w:t>funcione</w:t>
      </w:r>
      <w:r>
        <w:rPr>
          <w:color w:val="231F20"/>
          <w:spacing w:val="-29"/>
          <w:w w:val="105"/>
        </w:rPr>
        <w:t> </w:t>
      </w:r>
      <w:r>
        <w:rPr>
          <w:color w:val="231F20"/>
          <w:w w:val="105"/>
        </w:rPr>
        <w:t>bajo</w:t>
      </w:r>
      <w:r>
        <w:rPr>
          <w:color w:val="231F20"/>
          <w:spacing w:val="-29"/>
          <w:w w:val="105"/>
        </w:rPr>
        <w:t> </w:t>
      </w:r>
      <w:r>
        <w:rPr>
          <w:color w:val="231F20"/>
          <w:w w:val="105"/>
        </w:rPr>
        <w:t>esta</w:t>
      </w:r>
      <w:r>
        <w:rPr>
          <w:color w:val="231F20"/>
          <w:spacing w:val="-29"/>
          <w:w w:val="105"/>
        </w:rPr>
        <w:t> </w:t>
      </w:r>
      <w:r>
        <w:rPr>
          <w:color w:val="231F20"/>
          <w:w w:val="105"/>
        </w:rPr>
        <w:t>modalidad</w:t>
      </w:r>
      <w:r>
        <w:rPr>
          <w:color w:val="231F20"/>
          <w:spacing w:val="-29"/>
          <w:w w:val="105"/>
        </w:rPr>
        <w:t> </w:t>
      </w:r>
      <w:r>
        <w:rPr>
          <w:color w:val="231F20"/>
          <w:w w:val="105"/>
        </w:rPr>
        <w:t>son necesarias</w:t>
      </w:r>
      <w:r>
        <w:rPr>
          <w:color w:val="231F20"/>
          <w:spacing w:val="-40"/>
          <w:w w:val="105"/>
        </w:rPr>
        <w:t> </w:t>
      </w:r>
      <w:r>
        <w:rPr>
          <w:color w:val="231F20"/>
          <w:w w:val="105"/>
        </w:rPr>
        <w:t>dos</w:t>
      </w:r>
      <w:r>
        <w:rPr>
          <w:color w:val="231F20"/>
          <w:spacing w:val="-40"/>
          <w:w w:val="105"/>
        </w:rPr>
        <w:t> </w:t>
      </w:r>
      <w:r>
        <w:rPr>
          <w:color w:val="231F20"/>
          <w:w w:val="105"/>
        </w:rPr>
        <w:t>condiciones.</w:t>
      </w:r>
      <w:r>
        <w:rPr>
          <w:color w:val="231F20"/>
          <w:spacing w:val="-40"/>
          <w:w w:val="105"/>
        </w:rPr>
        <w:t> </w:t>
      </w:r>
      <w:r>
        <w:rPr>
          <w:color w:val="231F20"/>
          <w:w w:val="105"/>
        </w:rPr>
        <w:t>La</w:t>
      </w:r>
      <w:r>
        <w:rPr>
          <w:color w:val="231F20"/>
          <w:spacing w:val="-40"/>
          <w:w w:val="105"/>
        </w:rPr>
        <w:t> </w:t>
      </w:r>
      <w:r>
        <w:rPr>
          <w:color w:val="231F20"/>
          <w:w w:val="105"/>
        </w:rPr>
        <w:t>primera,</w:t>
      </w:r>
      <w:r>
        <w:rPr>
          <w:color w:val="231F20"/>
          <w:spacing w:val="-40"/>
          <w:w w:val="105"/>
        </w:rPr>
        <w:t> </w:t>
      </w:r>
      <w:r>
        <w:rPr>
          <w:color w:val="231F20"/>
          <w:w w:val="105"/>
        </w:rPr>
        <w:t>que</w:t>
      </w:r>
      <w:r>
        <w:rPr>
          <w:color w:val="231F20"/>
          <w:spacing w:val="-40"/>
          <w:w w:val="105"/>
        </w:rPr>
        <w:t> </w:t>
      </w:r>
      <w:r>
        <w:rPr>
          <w:color w:val="231F20"/>
          <w:w w:val="105"/>
        </w:rPr>
        <w:t>el</w:t>
      </w:r>
      <w:r>
        <w:rPr>
          <w:color w:val="231F20"/>
          <w:spacing w:val="-40"/>
          <w:w w:val="105"/>
        </w:rPr>
        <w:t> </w:t>
      </w:r>
      <w:r>
        <w:rPr>
          <w:color w:val="231F20"/>
          <w:w w:val="105"/>
        </w:rPr>
        <w:t>uso</w:t>
      </w:r>
      <w:r>
        <w:rPr>
          <w:color w:val="231F20"/>
          <w:spacing w:val="-40"/>
          <w:w w:val="105"/>
        </w:rPr>
        <w:t> </w:t>
      </w:r>
      <w:r>
        <w:rPr>
          <w:color w:val="231F20"/>
          <w:w w:val="105"/>
        </w:rPr>
        <w:t>discrecional</w:t>
      </w:r>
      <w:r>
        <w:rPr>
          <w:color w:val="231F20"/>
          <w:spacing w:val="-40"/>
          <w:w w:val="105"/>
        </w:rPr>
        <w:t> </w:t>
      </w:r>
      <w:r>
        <w:rPr>
          <w:color w:val="231F20"/>
          <w:w w:val="105"/>
        </w:rPr>
        <w:t>de</w:t>
      </w:r>
      <w:r>
        <w:rPr>
          <w:color w:val="231F20"/>
          <w:spacing w:val="-40"/>
          <w:w w:val="105"/>
        </w:rPr>
        <w:t> </w:t>
      </w:r>
      <w:r>
        <w:rPr>
          <w:color w:val="231F20"/>
          <w:w w:val="105"/>
        </w:rPr>
        <w:t>la</w:t>
      </w:r>
      <w:r>
        <w:rPr>
          <w:color w:val="231F20"/>
          <w:spacing w:val="-40"/>
          <w:w w:val="105"/>
        </w:rPr>
        <w:t> </w:t>
      </w:r>
      <w:r>
        <w:rPr>
          <w:color w:val="231F20"/>
          <w:w w:val="105"/>
        </w:rPr>
        <w:t>fuerza estatal</w:t>
      </w:r>
      <w:r>
        <w:rPr>
          <w:color w:val="231F20"/>
          <w:spacing w:val="-28"/>
          <w:w w:val="105"/>
        </w:rPr>
        <w:t> </w:t>
      </w:r>
      <w:r>
        <w:rPr>
          <w:color w:val="231F20"/>
          <w:w w:val="105"/>
        </w:rPr>
        <w:t>sea</w:t>
      </w:r>
      <w:r>
        <w:rPr>
          <w:color w:val="231F20"/>
          <w:spacing w:val="-28"/>
          <w:w w:val="105"/>
        </w:rPr>
        <w:t> </w:t>
      </w:r>
      <w:r>
        <w:rPr>
          <w:color w:val="231F20"/>
          <w:w w:val="105"/>
        </w:rPr>
        <w:t>obligado</w:t>
      </w:r>
      <w:r>
        <w:rPr>
          <w:color w:val="231F20"/>
          <w:spacing w:val="-28"/>
          <w:w w:val="105"/>
        </w:rPr>
        <w:t> </w:t>
      </w:r>
      <w:r>
        <w:rPr>
          <w:color w:val="231F20"/>
          <w:w w:val="105"/>
        </w:rPr>
        <w:t>por</w:t>
      </w:r>
      <w:r>
        <w:rPr>
          <w:color w:val="231F20"/>
          <w:spacing w:val="-28"/>
          <w:w w:val="105"/>
        </w:rPr>
        <w:t> </w:t>
      </w:r>
      <w:r>
        <w:rPr>
          <w:color w:val="231F20"/>
          <w:w w:val="105"/>
        </w:rPr>
        <w:t>una</w:t>
      </w:r>
      <w:r>
        <w:rPr>
          <w:color w:val="231F20"/>
          <w:spacing w:val="-28"/>
          <w:w w:val="105"/>
        </w:rPr>
        <w:t> </w:t>
      </w:r>
      <w:r>
        <w:rPr>
          <w:color w:val="231F20"/>
          <w:w w:val="105"/>
        </w:rPr>
        <w:t>situación</w:t>
      </w:r>
      <w:r>
        <w:rPr>
          <w:color w:val="231F20"/>
          <w:spacing w:val="-28"/>
          <w:w w:val="105"/>
        </w:rPr>
        <w:t> </w:t>
      </w:r>
      <w:r>
        <w:rPr>
          <w:color w:val="231F20"/>
          <w:w w:val="105"/>
        </w:rPr>
        <w:t>límite;</w:t>
      </w:r>
      <w:r>
        <w:rPr>
          <w:color w:val="231F20"/>
          <w:w w:val="105"/>
          <w:position w:val="7"/>
          <w:sz w:val="12"/>
        </w:rPr>
        <w:t>17</w:t>
      </w:r>
      <w:r>
        <w:rPr>
          <w:color w:val="231F20"/>
          <w:spacing w:val="1"/>
          <w:w w:val="105"/>
          <w:position w:val="7"/>
          <w:sz w:val="12"/>
        </w:rPr>
        <w:t> </w:t>
      </w:r>
      <w:r>
        <w:rPr>
          <w:color w:val="231F20"/>
          <w:w w:val="105"/>
        </w:rPr>
        <w:t>segundo,</w:t>
      </w:r>
      <w:r>
        <w:rPr>
          <w:color w:val="231F20"/>
          <w:spacing w:val="-28"/>
          <w:w w:val="105"/>
        </w:rPr>
        <w:t> </w:t>
      </w:r>
      <w:r>
        <w:rPr>
          <w:color w:val="231F20"/>
          <w:w w:val="105"/>
        </w:rPr>
        <w:t>que</w:t>
      </w:r>
      <w:r>
        <w:rPr>
          <w:color w:val="231F20"/>
          <w:spacing w:val="-28"/>
          <w:w w:val="105"/>
        </w:rPr>
        <w:t> </w:t>
      </w:r>
      <w:r>
        <w:rPr>
          <w:color w:val="231F20"/>
          <w:w w:val="105"/>
        </w:rPr>
        <w:t>los</w:t>
      </w:r>
      <w:r>
        <w:rPr>
          <w:color w:val="231F20"/>
          <w:spacing w:val="-28"/>
          <w:w w:val="105"/>
        </w:rPr>
        <w:t> </w:t>
      </w:r>
      <w:r>
        <w:rPr>
          <w:color w:val="231F20"/>
          <w:w w:val="105"/>
        </w:rPr>
        <w:t>límites</w:t>
      </w:r>
      <w:r>
        <w:rPr>
          <w:color w:val="231F20"/>
          <w:spacing w:val="-28"/>
          <w:w w:val="105"/>
        </w:rPr>
        <w:t> </w:t>
      </w:r>
      <w:r>
        <w:rPr>
          <w:color w:val="231F20"/>
          <w:w w:val="105"/>
        </w:rPr>
        <w:t>de la</w:t>
      </w:r>
      <w:r>
        <w:rPr>
          <w:color w:val="231F20"/>
          <w:spacing w:val="-15"/>
          <w:w w:val="105"/>
        </w:rPr>
        <w:t> </w:t>
      </w:r>
      <w:r>
        <w:rPr>
          <w:color w:val="231F20"/>
          <w:w w:val="105"/>
        </w:rPr>
        <w:t>tensión</w:t>
      </w:r>
      <w:r>
        <w:rPr>
          <w:color w:val="231F20"/>
          <w:spacing w:val="-15"/>
          <w:w w:val="105"/>
        </w:rPr>
        <w:t> </w:t>
      </w:r>
      <w:r>
        <w:rPr>
          <w:color w:val="231F20"/>
          <w:w w:val="105"/>
        </w:rPr>
        <w:t>social</w:t>
      </w:r>
      <w:r>
        <w:rPr>
          <w:color w:val="231F20"/>
          <w:spacing w:val="-15"/>
          <w:w w:val="105"/>
        </w:rPr>
        <w:t> </w:t>
      </w:r>
      <w:r>
        <w:rPr>
          <w:color w:val="231F20"/>
          <w:w w:val="105"/>
        </w:rPr>
        <w:t>sean</w:t>
      </w:r>
      <w:r>
        <w:rPr>
          <w:color w:val="231F20"/>
          <w:spacing w:val="-15"/>
          <w:w w:val="105"/>
        </w:rPr>
        <w:t> </w:t>
      </w:r>
      <w:r>
        <w:rPr>
          <w:color w:val="231F20"/>
          <w:w w:val="105"/>
        </w:rPr>
        <w:t>superados</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w w:val="105"/>
        </w:rPr>
        <w:t>lógica</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acción</w:t>
      </w:r>
      <w:r>
        <w:rPr>
          <w:color w:val="231F20"/>
          <w:spacing w:val="-15"/>
          <w:w w:val="105"/>
        </w:rPr>
        <w:t> </w:t>
      </w:r>
      <w:r>
        <w:rPr>
          <w:color w:val="231F20"/>
          <w:w w:val="105"/>
        </w:rPr>
        <w:t>continua</w:t>
      </w:r>
      <w:r>
        <w:rPr>
          <w:color w:val="231F20"/>
          <w:spacing w:val="-15"/>
          <w:w w:val="105"/>
        </w:rPr>
        <w:t> </w:t>
      </w:r>
      <w:r>
        <w:rPr>
          <w:color w:val="231F20"/>
          <w:w w:val="105"/>
        </w:rPr>
        <w:t>e</w:t>
      </w:r>
      <w:r>
        <w:rPr>
          <w:color w:val="231F20"/>
          <w:spacing w:val="-15"/>
          <w:w w:val="105"/>
        </w:rPr>
        <w:t> </w:t>
      </w:r>
      <w:r>
        <w:rPr>
          <w:color w:val="231F20"/>
          <w:w w:val="105"/>
        </w:rPr>
        <w:t>ilimi- tada</w:t>
      </w:r>
      <w:r>
        <w:rPr>
          <w:color w:val="231F20"/>
          <w:spacing w:val="-13"/>
          <w:w w:val="105"/>
        </w:rPr>
        <w:t> </w:t>
      </w:r>
      <w:r>
        <w:rPr>
          <w:color w:val="231F20"/>
          <w:w w:val="105"/>
        </w:rPr>
        <w:t>de</w:t>
      </w:r>
      <w:r>
        <w:rPr>
          <w:color w:val="231F20"/>
          <w:spacing w:val="-13"/>
          <w:w w:val="105"/>
        </w:rPr>
        <w:t> </w:t>
      </w:r>
      <w:r>
        <w:rPr>
          <w:color w:val="231F20"/>
          <w:w w:val="105"/>
        </w:rPr>
        <w:t>una</w:t>
      </w:r>
      <w:r>
        <w:rPr>
          <w:color w:val="231F20"/>
          <w:spacing w:val="-13"/>
          <w:w w:val="105"/>
        </w:rPr>
        <w:t> </w:t>
      </w:r>
      <w:r>
        <w:rPr>
          <w:color w:val="231F20"/>
          <w:w w:val="105"/>
        </w:rPr>
        <w:t>potencia</w:t>
      </w:r>
      <w:r>
        <w:rPr>
          <w:color w:val="231F20"/>
          <w:spacing w:val="-13"/>
          <w:w w:val="105"/>
        </w:rPr>
        <w:t> </w:t>
      </w:r>
      <w:r>
        <w:rPr>
          <w:color w:val="231F20"/>
          <w:w w:val="105"/>
        </w:rPr>
        <w:t>que</w:t>
      </w:r>
      <w:r>
        <w:rPr>
          <w:color w:val="231F20"/>
          <w:spacing w:val="-13"/>
          <w:w w:val="105"/>
        </w:rPr>
        <w:t> </w:t>
      </w:r>
      <w:r>
        <w:rPr>
          <w:color w:val="231F20"/>
          <w:w w:val="105"/>
        </w:rPr>
        <w:t>atenta</w:t>
      </w:r>
      <w:r>
        <w:rPr>
          <w:color w:val="231F20"/>
          <w:spacing w:val="-13"/>
          <w:w w:val="105"/>
        </w:rPr>
        <w:t> </w:t>
      </w:r>
      <w:r>
        <w:rPr>
          <w:color w:val="231F20"/>
          <w:w w:val="105"/>
        </w:rPr>
        <w:t>en</w:t>
      </w:r>
      <w:r>
        <w:rPr>
          <w:color w:val="231F20"/>
          <w:spacing w:val="-13"/>
          <w:w w:val="105"/>
        </w:rPr>
        <w:t> </w:t>
      </w:r>
      <w:r>
        <w:rPr>
          <w:color w:val="231F20"/>
          <w:w w:val="105"/>
        </w:rPr>
        <w:t>contra</w:t>
      </w:r>
      <w:r>
        <w:rPr>
          <w:color w:val="231F20"/>
          <w:spacing w:val="-13"/>
          <w:w w:val="105"/>
        </w:rPr>
        <w:t> </w:t>
      </w:r>
      <w:r>
        <w:rPr>
          <w:color w:val="231F20"/>
          <w:w w:val="105"/>
        </w:rPr>
        <w:t>de</w:t>
      </w:r>
      <w:r>
        <w:rPr>
          <w:color w:val="231F20"/>
          <w:spacing w:val="-13"/>
          <w:w w:val="105"/>
        </w:rPr>
        <w:t> </w:t>
      </w:r>
      <w:r>
        <w:rPr>
          <w:color w:val="231F20"/>
          <w:w w:val="105"/>
        </w:rPr>
        <w:t>una</w:t>
      </w:r>
      <w:r>
        <w:rPr>
          <w:color w:val="231F20"/>
          <w:spacing w:val="-13"/>
          <w:w w:val="105"/>
        </w:rPr>
        <w:t> </w:t>
      </w:r>
      <w:r>
        <w:rPr>
          <w:color w:val="231F20"/>
          <w:w w:val="105"/>
        </w:rPr>
        <w:t>parte</w:t>
      </w:r>
      <w:r>
        <w:rPr>
          <w:color w:val="231F20"/>
          <w:spacing w:val="-13"/>
          <w:w w:val="105"/>
        </w:rPr>
        <w:t> </w:t>
      </w:r>
      <w:r>
        <w:rPr>
          <w:color w:val="231F20"/>
          <w:w w:val="105"/>
        </w:rPr>
        <w:t>considerable</w:t>
      </w:r>
      <w:r>
        <w:rPr>
          <w:color w:val="231F20"/>
          <w:spacing w:val="-13"/>
          <w:w w:val="105"/>
        </w:rPr>
        <w:t> </w:t>
      </w:r>
      <w:r>
        <w:rPr>
          <w:color w:val="231F20"/>
          <w:w w:val="105"/>
        </w:rPr>
        <w:t>de la</w:t>
      </w:r>
      <w:r>
        <w:rPr>
          <w:color w:val="231F20"/>
          <w:spacing w:val="-30"/>
          <w:w w:val="105"/>
        </w:rPr>
        <w:t> </w:t>
      </w:r>
      <w:r>
        <w:rPr>
          <w:color w:val="231F20"/>
          <w:w w:val="105"/>
        </w:rPr>
        <w:t>existencia</w:t>
      </w:r>
      <w:r>
        <w:rPr>
          <w:color w:val="231F20"/>
          <w:spacing w:val="-30"/>
          <w:w w:val="105"/>
        </w:rPr>
        <w:t> </w:t>
      </w:r>
      <w:r>
        <w:rPr>
          <w:color w:val="231F20"/>
          <w:w w:val="105"/>
        </w:rPr>
        <w:t>estatal</w:t>
      </w:r>
      <w:r>
        <w:rPr>
          <w:color w:val="231F20"/>
          <w:spacing w:val="-30"/>
          <w:w w:val="105"/>
        </w:rPr>
        <w:t> </w:t>
      </w:r>
      <w:r>
        <w:rPr>
          <w:color w:val="231F20"/>
          <w:w w:val="105"/>
        </w:rPr>
        <w:t>como</w:t>
      </w:r>
      <w:r>
        <w:rPr>
          <w:color w:val="231F20"/>
          <w:spacing w:val="-30"/>
          <w:w w:val="105"/>
        </w:rPr>
        <w:t> </w:t>
      </w:r>
      <w:r>
        <w:rPr>
          <w:color w:val="231F20"/>
          <w:w w:val="105"/>
        </w:rPr>
        <w:t>lo</w:t>
      </w:r>
      <w:r>
        <w:rPr>
          <w:color w:val="231F20"/>
          <w:spacing w:val="-30"/>
          <w:w w:val="105"/>
        </w:rPr>
        <w:t> </w:t>
      </w:r>
      <w:r>
        <w:rPr>
          <w:color w:val="231F20"/>
          <w:w w:val="105"/>
        </w:rPr>
        <w:t>es</w:t>
      </w:r>
      <w:r>
        <w:rPr>
          <w:color w:val="231F20"/>
          <w:spacing w:val="-30"/>
          <w:w w:val="105"/>
        </w:rPr>
        <w:t> </w:t>
      </w:r>
      <w:r>
        <w:rPr>
          <w:color w:val="231F20"/>
          <w:w w:val="105"/>
        </w:rPr>
        <w:t>el</w:t>
      </w:r>
      <w:r>
        <w:rPr>
          <w:color w:val="231F20"/>
          <w:spacing w:val="-30"/>
          <w:w w:val="105"/>
        </w:rPr>
        <w:t> </w:t>
      </w:r>
      <w:r>
        <w:rPr>
          <w:color w:val="231F20"/>
          <w:w w:val="105"/>
        </w:rPr>
        <w:t>espacio</w:t>
      </w:r>
      <w:r>
        <w:rPr>
          <w:color w:val="231F20"/>
          <w:spacing w:val="-30"/>
          <w:w w:val="105"/>
        </w:rPr>
        <w:t> </w:t>
      </w:r>
      <w:r>
        <w:rPr>
          <w:color w:val="231F20"/>
          <w:w w:val="105"/>
        </w:rPr>
        <w:t>territorial.</w:t>
      </w:r>
      <w:r>
        <w:rPr>
          <w:color w:val="231F20"/>
          <w:spacing w:val="-30"/>
          <w:w w:val="105"/>
        </w:rPr>
        <w:t> </w:t>
      </w:r>
      <w:r>
        <w:rPr>
          <w:color w:val="231F20"/>
          <w:w w:val="105"/>
        </w:rPr>
        <w:t>Después</w:t>
      </w:r>
      <w:r>
        <w:rPr>
          <w:color w:val="231F20"/>
          <w:spacing w:val="-30"/>
          <w:w w:val="105"/>
        </w:rPr>
        <w:t> </w:t>
      </w:r>
      <w:r>
        <w:rPr>
          <w:color w:val="231F20"/>
          <w:w w:val="105"/>
        </w:rPr>
        <w:t>de</w:t>
      </w:r>
      <w:r>
        <w:rPr>
          <w:color w:val="231F20"/>
          <w:spacing w:val="-30"/>
          <w:w w:val="105"/>
        </w:rPr>
        <w:t> </w:t>
      </w:r>
      <w:r>
        <w:rPr>
          <w:color w:val="231F20"/>
          <w:w w:val="105"/>
        </w:rPr>
        <w:t>traspasar dichos</w:t>
      </w:r>
      <w:r>
        <w:rPr>
          <w:color w:val="231F20"/>
          <w:spacing w:val="-39"/>
          <w:w w:val="105"/>
        </w:rPr>
        <w:t> </w:t>
      </w:r>
      <w:r>
        <w:rPr>
          <w:color w:val="231F20"/>
          <w:w w:val="105"/>
        </w:rPr>
        <w:t>límites,</w:t>
      </w:r>
      <w:r>
        <w:rPr>
          <w:color w:val="231F20"/>
          <w:spacing w:val="-39"/>
          <w:w w:val="105"/>
        </w:rPr>
        <w:t> </w:t>
      </w:r>
      <w:r>
        <w:rPr>
          <w:color w:val="231F20"/>
          <w:w w:val="105"/>
        </w:rPr>
        <w:t>el</w:t>
      </w:r>
      <w:r>
        <w:rPr>
          <w:color w:val="231F20"/>
          <w:spacing w:val="-39"/>
          <w:w w:val="105"/>
        </w:rPr>
        <w:t> </w:t>
      </w:r>
      <w:r>
        <w:rPr>
          <w:color w:val="231F20"/>
          <w:w w:val="105"/>
        </w:rPr>
        <w:t>terror</w:t>
      </w:r>
      <w:r>
        <w:rPr>
          <w:color w:val="231F20"/>
          <w:spacing w:val="-39"/>
          <w:w w:val="105"/>
        </w:rPr>
        <w:t> </w:t>
      </w:r>
      <w:r>
        <w:rPr>
          <w:color w:val="231F20"/>
          <w:w w:val="105"/>
        </w:rPr>
        <w:t>y</w:t>
      </w:r>
      <w:r>
        <w:rPr>
          <w:color w:val="231F20"/>
          <w:spacing w:val="-39"/>
          <w:w w:val="105"/>
        </w:rPr>
        <w:t> </w:t>
      </w:r>
      <w:r>
        <w:rPr>
          <w:color w:val="231F20"/>
          <w:w w:val="105"/>
        </w:rPr>
        <w:t>el</w:t>
      </w:r>
      <w:r>
        <w:rPr>
          <w:color w:val="231F20"/>
          <w:spacing w:val="-39"/>
          <w:w w:val="105"/>
        </w:rPr>
        <w:t> </w:t>
      </w:r>
      <w:r>
        <w:rPr>
          <w:color w:val="231F20"/>
          <w:w w:val="105"/>
        </w:rPr>
        <w:t>terrorismo</w:t>
      </w:r>
      <w:r>
        <w:rPr>
          <w:color w:val="231F20"/>
          <w:spacing w:val="-39"/>
          <w:w w:val="105"/>
        </w:rPr>
        <w:t> </w:t>
      </w:r>
      <w:r>
        <w:rPr>
          <w:color w:val="231F20"/>
          <w:w w:val="105"/>
        </w:rPr>
        <w:t>se</w:t>
      </w:r>
      <w:r>
        <w:rPr>
          <w:color w:val="231F20"/>
          <w:spacing w:val="-39"/>
          <w:w w:val="105"/>
        </w:rPr>
        <w:t> </w:t>
      </w:r>
      <w:r>
        <w:rPr>
          <w:color w:val="231F20"/>
          <w:w w:val="105"/>
        </w:rPr>
        <w:t>vuelven</w:t>
      </w:r>
      <w:r>
        <w:rPr>
          <w:color w:val="231F20"/>
          <w:spacing w:val="-39"/>
          <w:w w:val="105"/>
        </w:rPr>
        <w:t> </w:t>
      </w:r>
      <w:r>
        <w:rPr>
          <w:color w:val="231F20"/>
          <w:w w:val="105"/>
        </w:rPr>
        <w:t>necesarios.</w:t>
      </w:r>
    </w:p>
    <w:p>
      <w:pPr>
        <w:pStyle w:val="BodyText"/>
        <w:spacing w:line="247" w:lineRule="auto"/>
        <w:ind w:left="117" w:right="101" w:firstLine="566"/>
        <w:jc w:val="both"/>
      </w:pPr>
      <w:r>
        <w:rPr>
          <w:color w:val="231F20"/>
        </w:rPr>
        <w:t>Esto es aún más importante si observamos que el espacio político</w:t>
      </w:r>
      <w:r>
        <w:rPr>
          <w:color w:val="231F20"/>
          <w:spacing w:val="-41"/>
        </w:rPr>
        <w:t> </w:t>
      </w:r>
      <w:r>
        <w:rPr>
          <w:color w:val="231F20"/>
        </w:rPr>
        <w:t>en ciertos Estados que tuvieron procesos de democratización recientes, mani- fiestan un eclipse de la “legalidad” democrática que intentó acompañar el fenómeno del cambio político, y en paralelo mantienen un incremento de transgresiones al orden jurídico–político que pretende activar y desarrollar nuevos “lugares” (no es necesario que sean espaciales) para la reproduc- ción de la política, con independencia de su carácter: democrática o anti- democrática. Así pues, lo que deja entrever este evento es la proliferación de “tensiones de fragmentación” que se expresan, por ejemplo, en los na- cionalismos subestatales presentes en la dinámica independentista de</w:t>
      </w:r>
      <w:r>
        <w:rPr>
          <w:color w:val="231F20"/>
          <w:spacing w:val="-22"/>
        </w:rPr>
        <w:t> </w:t>
      </w:r>
      <w:r>
        <w:rPr>
          <w:color w:val="231F20"/>
          <w:spacing w:val="-3"/>
        </w:rPr>
        <w:t>cier- </w:t>
      </w:r>
      <w:r>
        <w:rPr>
          <w:color w:val="231F20"/>
        </w:rPr>
        <w:t>tas regiones como el País Vasco</w:t>
      </w:r>
      <w:r>
        <w:rPr>
          <w:color w:val="231F20"/>
          <w:position w:val="7"/>
          <w:sz w:val="12"/>
        </w:rPr>
        <w:t>18</w:t>
      </w:r>
      <w:r>
        <w:rPr>
          <w:color w:val="231F20"/>
        </w:rPr>
        <w:t>. Siguiendo esta idea, podemos agregar que también generan “autonomismos subestatales” vinculables al crimen organizado y al terrorismo, cuando pensamos estos dos fenómenos como formas internas de resistencia y limitación de la soberanía del Estado, con lo</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distinción</w:t>
      </w:r>
      <w:r>
        <w:rPr>
          <w:color w:val="231F20"/>
          <w:spacing w:val="-7"/>
        </w:rPr>
        <w:t> </w:t>
      </w:r>
      <w:r>
        <w:rPr>
          <w:color w:val="231F20"/>
        </w:rPr>
        <w:t>entre</w:t>
      </w:r>
      <w:r>
        <w:rPr>
          <w:color w:val="231F20"/>
          <w:spacing w:val="-8"/>
        </w:rPr>
        <w:t> </w:t>
      </w:r>
      <w:r>
        <w:rPr>
          <w:color w:val="231F20"/>
        </w:rPr>
        <w:t>Estado</w:t>
      </w:r>
      <w:r>
        <w:rPr>
          <w:color w:val="231F20"/>
          <w:spacing w:val="-8"/>
        </w:rPr>
        <w:t> </w:t>
      </w:r>
      <w:r>
        <w:rPr>
          <w:color w:val="231F20"/>
        </w:rPr>
        <w:t>formal</w:t>
      </w:r>
      <w:r>
        <w:rPr>
          <w:color w:val="231F20"/>
          <w:spacing w:val="-8"/>
        </w:rPr>
        <w:t> </w:t>
      </w:r>
      <w:r>
        <w:rPr>
          <w:color w:val="231F20"/>
        </w:rPr>
        <w:t>y</w:t>
      </w:r>
      <w:r>
        <w:rPr>
          <w:color w:val="231F20"/>
          <w:spacing w:val="-7"/>
        </w:rPr>
        <w:t> </w:t>
      </w:r>
      <w:r>
        <w:rPr>
          <w:color w:val="231F20"/>
        </w:rPr>
        <w:t>anti–Estado,</w:t>
      </w:r>
      <w:r>
        <w:rPr>
          <w:color w:val="231F20"/>
          <w:spacing w:val="-8"/>
        </w:rPr>
        <w:t> </w:t>
      </w:r>
      <w:r>
        <w:rPr>
          <w:color w:val="231F20"/>
        </w:rPr>
        <w:t>es</w:t>
      </w:r>
      <w:r>
        <w:rPr>
          <w:color w:val="231F20"/>
          <w:spacing w:val="-7"/>
        </w:rPr>
        <w:t> </w:t>
      </w:r>
      <w:r>
        <w:rPr>
          <w:color w:val="231F20"/>
        </w:rPr>
        <w:t>decir</w:t>
      </w:r>
      <w:r>
        <w:rPr>
          <w:color w:val="231F20"/>
          <w:spacing w:val="-7"/>
        </w:rPr>
        <w:t> </w:t>
      </w:r>
      <w:r>
        <w:rPr>
          <w:color w:val="231F20"/>
        </w:rPr>
        <w:t>entre</w:t>
      </w:r>
      <w:r>
        <w:rPr>
          <w:color w:val="231F20"/>
          <w:spacing w:val="-8"/>
        </w:rPr>
        <w:t> </w:t>
      </w:r>
      <w:r>
        <w:rPr>
          <w:color w:val="231F20"/>
        </w:rPr>
        <w:t>acción estatal fundada en la “razón de Estado” y acción criminal, se vuelve</w:t>
      </w:r>
      <w:r>
        <w:rPr>
          <w:color w:val="231F20"/>
          <w:spacing w:val="-16"/>
        </w:rPr>
        <w:t> </w:t>
      </w:r>
      <w:r>
        <w:rPr>
          <w:color w:val="231F20"/>
        </w:rPr>
        <w:t>super- flua</w:t>
      </w:r>
      <w:r>
        <w:rPr>
          <w:color w:val="231F20"/>
          <w:position w:val="7"/>
          <w:sz w:val="12"/>
        </w:rPr>
        <w:t>19</w:t>
      </w:r>
      <w:r>
        <w:rPr>
          <w:color w:val="231F20"/>
        </w:rPr>
        <w:t>. Así, será sobre esta relación paradójica que en las siguientes sec- ciones desarrollaré algunas hipótesis mediante el seguimiento de diversas experiencias históricas</w:t>
      </w:r>
      <w:r>
        <w:rPr>
          <w:color w:val="231F20"/>
          <w:spacing w:val="35"/>
        </w:rPr>
        <w:t> </w:t>
      </w:r>
      <w:r>
        <w:rPr>
          <w:color w:val="231F20"/>
        </w:rPr>
        <w:t>contemporáneas.</w:t>
      </w:r>
    </w:p>
    <w:p>
      <w:pPr>
        <w:pStyle w:val="BodyText"/>
        <w:rPr>
          <w:sz w:val="20"/>
        </w:rPr>
      </w:pPr>
    </w:p>
    <w:p>
      <w:pPr>
        <w:pStyle w:val="BodyText"/>
        <w:rPr>
          <w:sz w:val="20"/>
        </w:rPr>
      </w:pPr>
    </w:p>
    <w:p>
      <w:pPr>
        <w:pStyle w:val="BodyText"/>
        <w:rPr>
          <w:sz w:val="20"/>
        </w:rPr>
      </w:pPr>
    </w:p>
    <w:p>
      <w:pPr>
        <w:pStyle w:val="BodyText"/>
        <w:spacing w:before="6"/>
        <w:rPr>
          <w:sz w:val="18"/>
        </w:rPr>
      </w:pPr>
      <w:r>
        <w:rPr/>
        <w:pict>
          <v:line style="position:absolute;mso-position-horizontal-relative:page;mso-position-vertical-relative:paragraph;z-index:6448;mso-wrap-distance-left:0;mso-wrap-distance-right:0" from="70.866096pt,13.296147pt" to="184.252096pt,13.296147pt" stroked="true" strokeweight=".3pt" strokecolor="#231f20">
            <w10:wrap type="topAndBottom"/>
          </v:line>
        </w:pict>
      </w:r>
    </w:p>
    <w:p>
      <w:pPr>
        <w:spacing w:line="204" w:lineRule="exact" w:before="9"/>
        <w:ind w:left="117" w:right="91" w:firstLine="0"/>
        <w:jc w:val="left"/>
        <w:rPr>
          <w:rFonts w:ascii="Calibri" w:hAnsi="Calibri"/>
          <w:sz w:val="17"/>
        </w:rPr>
      </w:pPr>
      <w:r>
        <w:rPr>
          <w:rFonts w:ascii="Calibri" w:hAnsi="Calibri"/>
          <w:color w:val="231F20"/>
          <w:w w:val="105"/>
          <w:position w:val="6"/>
          <w:sz w:val="10"/>
        </w:rPr>
        <w:t>17 </w:t>
      </w:r>
      <w:r>
        <w:rPr>
          <w:rFonts w:ascii="Calibri" w:hAnsi="Calibri"/>
          <w:color w:val="231F20"/>
          <w:w w:val="105"/>
          <w:sz w:val="17"/>
        </w:rPr>
        <w:t>En</w:t>
      </w:r>
      <w:r>
        <w:rPr>
          <w:rFonts w:ascii="Calibri" w:hAnsi="Calibri"/>
          <w:color w:val="231F20"/>
          <w:spacing w:val="-16"/>
          <w:w w:val="105"/>
          <w:sz w:val="17"/>
        </w:rPr>
        <w:t> </w:t>
      </w:r>
      <w:r>
        <w:rPr>
          <w:rFonts w:ascii="Calibri" w:hAnsi="Calibri"/>
          <w:color w:val="231F20"/>
          <w:w w:val="105"/>
          <w:sz w:val="17"/>
        </w:rPr>
        <w:t>general,</w:t>
      </w:r>
      <w:r>
        <w:rPr>
          <w:rFonts w:ascii="Calibri" w:hAnsi="Calibri"/>
          <w:color w:val="231F20"/>
          <w:spacing w:val="-16"/>
          <w:w w:val="105"/>
          <w:sz w:val="17"/>
        </w:rPr>
        <w:t> </w:t>
      </w:r>
      <w:r>
        <w:rPr>
          <w:rFonts w:ascii="Calibri" w:hAnsi="Calibri"/>
          <w:color w:val="231F20"/>
          <w:w w:val="105"/>
          <w:sz w:val="17"/>
        </w:rPr>
        <w:t>en</w:t>
      </w:r>
      <w:r>
        <w:rPr>
          <w:rFonts w:ascii="Calibri" w:hAnsi="Calibri"/>
          <w:color w:val="231F20"/>
          <w:spacing w:val="-16"/>
          <w:w w:val="105"/>
          <w:sz w:val="17"/>
        </w:rPr>
        <w:t> </w:t>
      </w:r>
      <w:r>
        <w:rPr>
          <w:rFonts w:ascii="Calibri" w:hAnsi="Calibri"/>
          <w:color w:val="231F20"/>
          <w:w w:val="105"/>
          <w:sz w:val="17"/>
        </w:rPr>
        <w:t>las</w:t>
      </w:r>
      <w:r>
        <w:rPr>
          <w:rFonts w:ascii="Calibri" w:hAnsi="Calibri"/>
          <w:color w:val="231F20"/>
          <w:spacing w:val="-16"/>
          <w:w w:val="105"/>
          <w:sz w:val="17"/>
        </w:rPr>
        <w:t> </w:t>
      </w:r>
      <w:r>
        <w:rPr>
          <w:rFonts w:ascii="Calibri" w:hAnsi="Calibri"/>
          <w:color w:val="231F20"/>
          <w:w w:val="105"/>
          <w:sz w:val="17"/>
        </w:rPr>
        <w:t>legislaciones</w:t>
      </w:r>
      <w:r>
        <w:rPr>
          <w:rFonts w:ascii="Calibri" w:hAnsi="Calibri"/>
          <w:color w:val="231F20"/>
          <w:spacing w:val="-16"/>
          <w:w w:val="105"/>
          <w:sz w:val="17"/>
        </w:rPr>
        <w:t> </w:t>
      </w:r>
      <w:r>
        <w:rPr>
          <w:rFonts w:ascii="Calibri" w:hAnsi="Calibri"/>
          <w:color w:val="231F20"/>
          <w:w w:val="105"/>
          <w:sz w:val="17"/>
        </w:rPr>
        <w:t>nacionales</w:t>
      </w:r>
      <w:r>
        <w:rPr>
          <w:rFonts w:ascii="Calibri" w:hAnsi="Calibri"/>
          <w:color w:val="231F20"/>
          <w:spacing w:val="-16"/>
          <w:w w:val="105"/>
          <w:sz w:val="17"/>
        </w:rPr>
        <w:t> </w:t>
      </w:r>
      <w:r>
        <w:rPr>
          <w:rFonts w:ascii="Calibri" w:hAnsi="Calibri"/>
          <w:color w:val="231F20"/>
          <w:w w:val="105"/>
          <w:sz w:val="17"/>
        </w:rPr>
        <w:t>el</w:t>
      </w:r>
      <w:r>
        <w:rPr>
          <w:rFonts w:ascii="Calibri" w:hAnsi="Calibri"/>
          <w:color w:val="231F20"/>
          <w:spacing w:val="-16"/>
          <w:w w:val="105"/>
          <w:sz w:val="17"/>
        </w:rPr>
        <w:t> </w:t>
      </w:r>
      <w:r>
        <w:rPr>
          <w:rFonts w:ascii="Calibri" w:hAnsi="Calibri"/>
          <w:color w:val="231F20"/>
          <w:w w:val="105"/>
          <w:sz w:val="17"/>
        </w:rPr>
        <w:t>crimen</w:t>
      </w:r>
      <w:r>
        <w:rPr>
          <w:rFonts w:ascii="Calibri" w:hAnsi="Calibri"/>
          <w:color w:val="231F20"/>
          <w:spacing w:val="-16"/>
          <w:w w:val="105"/>
          <w:sz w:val="17"/>
        </w:rPr>
        <w:t> </w:t>
      </w:r>
      <w:r>
        <w:rPr>
          <w:rFonts w:ascii="Calibri" w:hAnsi="Calibri"/>
          <w:color w:val="231F20"/>
          <w:w w:val="105"/>
          <w:sz w:val="17"/>
        </w:rPr>
        <w:t>organizado</w:t>
      </w:r>
      <w:r>
        <w:rPr>
          <w:rFonts w:ascii="Calibri" w:hAnsi="Calibri"/>
          <w:color w:val="231F20"/>
          <w:spacing w:val="-16"/>
          <w:w w:val="105"/>
          <w:sz w:val="17"/>
        </w:rPr>
        <w:t> </w:t>
      </w:r>
      <w:r>
        <w:rPr>
          <w:rFonts w:ascii="Calibri" w:hAnsi="Calibri"/>
          <w:color w:val="231F20"/>
          <w:w w:val="105"/>
          <w:sz w:val="17"/>
        </w:rPr>
        <w:t>está</w:t>
      </w:r>
      <w:r>
        <w:rPr>
          <w:rFonts w:ascii="Calibri" w:hAnsi="Calibri"/>
          <w:color w:val="231F20"/>
          <w:spacing w:val="-16"/>
          <w:w w:val="105"/>
          <w:sz w:val="17"/>
        </w:rPr>
        <w:t> </w:t>
      </w:r>
      <w:r>
        <w:rPr>
          <w:rFonts w:ascii="Calibri" w:hAnsi="Calibri"/>
          <w:color w:val="231F20"/>
          <w:w w:val="105"/>
          <w:sz w:val="17"/>
        </w:rPr>
        <w:t>definido</w:t>
      </w:r>
      <w:r>
        <w:rPr>
          <w:rFonts w:ascii="Calibri" w:hAnsi="Calibri"/>
          <w:color w:val="231F20"/>
          <w:spacing w:val="-16"/>
          <w:w w:val="105"/>
          <w:sz w:val="17"/>
        </w:rPr>
        <w:t> </w:t>
      </w:r>
      <w:r>
        <w:rPr>
          <w:rFonts w:ascii="Calibri" w:hAnsi="Calibri"/>
          <w:color w:val="231F20"/>
          <w:w w:val="105"/>
          <w:sz w:val="17"/>
        </w:rPr>
        <w:t>como</w:t>
      </w:r>
      <w:r>
        <w:rPr>
          <w:rFonts w:ascii="Calibri" w:hAnsi="Calibri"/>
          <w:color w:val="231F20"/>
          <w:spacing w:val="-16"/>
          <w:w w:val="105"/>
          <w:sz w:val="17"/>
        </w:rPr>
        <w:t> </w:t>
      </w:r>
      <w:r>
        <w:rPr>
          <w:rFonts w:ascii="Calibri" w:hAnsi="Calibri"/>
          <w:color w:val="231F20"/>
          <w:w w:val="105"/>
          <w:sz w:val="17"/>
        </w:rPr>
        <w:t>problema</w:t>
      </w:r>
      <w:r>
        <w:rPr>
          <w:rFonts w:ascii="Calibri" w:hAnsi="Calibri"/>
          <w:color w:val="231F20"/>
          <w:spacing w:val="-16"/>
          <w:w w:val="105"/>
          <w:sz w:val="17"/>
        </w:rPr>
        <w:t> </w:t>
      </w:r>
      <w:r>
        <w:rPr>
          <w:rFonts w:ascii="Calibri" w:hAnsi="Calibri"/>
          <w:color w:val="231F20"/>
          <w:w w:val="105"/>
          <w:sz w:val="17"/>
        </w:rPr>
        <w:t>de </w:t>
      </w:r>
      <w:r>
        <w:rPr>
          <w:rFonts w:ascii="Calibri" w:hAnsi="Calibri"/>
          <w:color w:val="231F20"/>
          <w:sz w:val="17"/>
        </w:rPr>
        <w:t>seguridad</w:t>
      </w:r>
      <w:r>
        <w:rPr>
          <w:rFonts w:ascii="Calibri" w:hAnsi="Calibri"/>
          <w:color w:val="231F20"/>
          <w:spacing w:val="34"/>
          <w:sz w:val="17"/>
        </w:rPr>
        <w:t> </w:t>
      </w:r>
      <w:r>
        <w:rPr>
          <w:rFonts w:ascii="Calibri" w:hAnsi="Calibri"/>
          <w:color w:val="231F20"/>
          <w:sz w:val="17"/>
        </w:rPr>
        <w:t>nacional.</w:t>
      </w:r>
    </w:p>
    <w:p>
      <w:pPr>
        <w:spacing w:line="204" w:lineRule="exact" w:before="0"/>
        <w:ind w:left="117" w:right="0" w:firstLine="0"/>
        <w:jc w:val="left"/>
        <w:rPr>
          <w:rFonts w:ascii="Calibri" w:hAnsi="Calibri"/>
          <w:sz w:val="17"/>
        </w:rPr>
      </w:pPr>
      <w:r>
        <w:rPr>
          <w:rFonts w:ascii="Calibri" w:hAnsi="Calibri"/>
          <w:color w:val="231F20"/>
          <w:position w:val="6"/>
          <w:sz w:val="10"/>
        </w:rPr>
        <w:t>18 </w:t>
      </w:r>
      <w:r>
        <w:rPr>
          <w:rFonts w:ascii="Calibri" w:hAnsi="Calibri"/>
          <w:color w:val="231F20"/>
          <w:sz w:val="17"/>
        </w:rPr>
        <w:t>R. Vázquez García, (Ed.), </w:t>
      </w:r>
      <w:r>
        <w:rPr>
          <w:rFonts w:ascii="Calibri" w:hAnsi="Calibri"/>
          <w:i/>
          <w:color w:val="231F20"/>
          <w:sz w:val="17"/>
        </w:rPr>
        <w:t>Teorías actuales sobre el Estado contemporáneo</w:t>
      </w:r>
      <w:r>
        <w:rPr>
          <w:rFonts w:ascii="Calibri" w:hAnsi="Calibri"/>
          <w:color w:val="231F20"/>
          <w:sz w:val="17"/>
        </w:rPr>
        <w:t>, Granada, Universidad de Granada, 2011, p. 9.</w:t>
      </w:r>
    </w:p>
    <w:p>
      <w:pPr>
        <w:spacing w:line="204" w:lineRule="exact" w:before="0"/>
        <w:ind w:left="117" w:right="148" w:firstLine="0"/>
        <w:jc w:val="left"/>
        <w:rPr>
          <w:rFonts w:ascii="Calibri" w:hAnsi="Calibri"/>
          <w:sz w:val="17"/>
        </w:rPr>
      </w:pPr>
      <w:r>
        <w:rPr>
          <w:rFonts w:ascii="Calibri" w:hAnsi="Calibri"/>
          <w:color w:val="231F20"/>
          <w:position w:val="6"/>
          <w:sz w:val="10"/>
        </w:rPr>
        <w:t>19 </w:t>
      </w:r>
      <w:r>
        <w:rPr>
          <w:rFonts w:ascii="Calibri" w:hAnsi="Calibri"/>
          <w:color w:val="231F20"/>
          <w:sz w:val="17"/>
        </w:rPr>
        <w:t>N. Bobbio, “La politica tra soggetti e istituzioni: le lezioni dei classici”, </w:t>
      </w:r>
      <w:r>
        <w:rPr>
          <w:rFonts w:ascii="Calibri" w:hAnsi="Calibri"/>
          <w:i/>
          <w:color w:val="231F20"/>
          <w:sz w:val="17"/>
        </w:rPr>
        <w:t>Democrazia e diritto</w:t>
      </w:r>
      <w:r>
        <w:rPr>
          <w:rFonts w:ascii="Calibri" w:hAnsi="Calibri"/>
          <w:color w:val="231F20"/>
          <w:sz w:val="17"/>
        </w:rPr>
        <w:t>, vol.  XX, núm. 5, 1980, pp.</w:t>
      </w:r>
      <w:r>
        <w:rPr>
          <w:rFonts w:ascii="Calibri" w:hAnsi="Calibri"/>
          <w:color w:val="231F20"/>
          <w:spacing w:val="-5"/>
          <w:sz w:val="17"/>
        </w:rPr>
        <w:t> </w:t>
      </w:r>
      <w:r>
        <w:rPr>
          <w:rFonts w:ascii="Calibri" w:hAnsi="Calibri"/>
          <w:color w:val="231F20"/>
          <w:sz w:val="17"/>
        </w:rPr>
        <w:t>641–654.</w:t>
      </w:r>
    </w:p>
    <w:p>
      <w:pPr>
        <w:spacing w:after="0" w:line="204" w:lineRule="exact"/>
        <w:jc w:val="left"/>
        <w:rPr>
          <w:rFonts w:ascii="Calibri" w:hAnsi="Calibri"/>
          <w:sz w:val="17"/>
        </w:rPr>
        <w:sectPr>
          <w:type w:val="continuous"/>
          <w:pgSz w:w="9640" w:h="13890"/>
          <w:pgMar w:top="0" w:bottom="0" w:left="1300" w:right="1200"/>
        </w:sectPr>
      </w:pPr>
    </w:p>
    <w:p>
      <w:pPr>
        <w:spacing w:before="120"/>
        <w:ind w:left="103" w:right="0" w:firstLine="0"/>
        <w:jc w:val="both"/>
        <w:rPr>
          <w:rFonts w:ascii="Arial" w:hAnsi="Arial"/>
          <w:i/>
          <w:sz w:val="21"/>
        </w:rPr>
      </w:pPr>
      <w:r>
        <w:rPr>
          <w:rFonts w:ascii="Arial" w:hAnsi="Arial"/>
          <w:i/>
          <w:color w:val="231F20"/>
          <w:sz w:val="21"/>
        </w:rPr>
        <w:t>Redefinir el espacio político de la  democracia</w:t>
      </w:r>
    </w:p>
    <w:p>
      <w:pPr>
        <w:pStyle w:val="BodyText"/>
        <w:rPr>
          <w:rFonts w:ascii="Arial"/>
          <w:i/>
          <w:sz w:val="20"/>
        </w:rPr>
      </w:pPr>
    </w:p>
    <w:p>
      <w:pPr>
        <w:pStyle w:val="BodyText"/>
        <w:spacing w:line="247" w:lineRule="auto" w:before="172"/>
        <w:ind w:left="103" w:right="115"/>
        <w:jc w:val="both"/>
      </w:pPr>
      <w:r>
        <w:rPr>
          <w:color w:val="231F20"/>
        </w:rPr>
        <w:t>En años recientes, la democracia se ha visto obligada a incrementar sus costos,</w:t>
      </w:r>
      <w:r>
        <w:rPr>
          <w:color w:val="231F20"/>
          <w:spacing w:val="-6"/>
        </w:rPr>
        <w:t> </w:t>
      </w:r>
      <w:r>
        <w:rPr>
          <w:color w:val="231F20"/>
        </w:rPr>
        <w:t>pues</w:t>
      </w:r>
      <w:r>
        <w:rPr>
          <w:color w:val="231F20"/>
          <w:spacing w:val="-6"/>
        </w:rPr>
        <w:t> </w:t>
      </w:r>
      <w:r>
        <w:rPr>
          <w:color w:val="231F20"/>
        </w:rPr>
        <w:t>ya</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suficiente</w:t>
      </w:r>
      <w:r>
        <w:rPr>
          <w:color w:val="231F20"/>
          <w:spacing w:val="-6"/>
        </w:rPr>
        <w:t> </w:t>
      </w:r>
      <w:r>
        <w:rPr>
          <w:color w:val="231F20"/>
        </w:rPr>
        <w:t>con</w:t>
      </w:r>
      <w:r>
        <w:rPr>
          <w:color w:val="231F20"/>
          <w:spacing w:val="-6"/>
        </w:rPr>
        <w:t> </w:t>
      </w:r>
      <w:r>
        <w:rPr>
          <w:color w:val="231F20"/>
        </w:rPr>
        <w:t>ganar</w:t>
      </w:r>
      <w:r>
        <w:rPr>
          <w:color w:val="231F20"/>
          <w:spacing w:val="-6"/>
        </w:rPr>
        <w:t> </w:t>
      </w:r>
      <w:r>
        <w:rPr>
          <w:color w:val="231F20"/>
        </w:rPr>
        <w:t>o</w:t>
      </w:r>
      <w:r>
        <w:rPr>
          <w:color w:val="231F20"/>
          <w:spacing w:val="-6"/>
        </w:rPr>
        <w:t> </w:t>
      </w:r>
      <w:r>
        <w:rPr>
          <w:color w:val="231F20"/>
        </w:rPr>
        <w:t>perder</w:t>
      </w:r>
      <w:r>
        <w:rPr>
          <w:color w:val="231F20"/>
          <w:spacing w:val="-6"/>
        </w:rPr>
        <w:t> </w:t>
      </w:r>
      <w:r>
        <w:rPr>
          <w:color w:val="231F20"/>
        </w:rPr>
        <w:t>elecciones</w:t>
      </w:r>
      <w:r>
        <w:rPr>
          <w:color w:val="231F20"/>
          <w:spacing w:val="-6"/>
        </w:rPr>
        <w:t> </w:t>
      </w:r>
      <w:r>
        <w:rPr>
          <w:color w:val="231F20"/>
        </w:rPr>
        <w:t>definidas</w:t>
      </w:r>
      <w:r>
        <w:rPr>
          <w:color w:val="231F20"/>
          <w:spacing w:val="-6"/>
        </w:rPr>
        <w:t> </w:t>
      </w:r>
      <w:r>
        <w:rPr>
          <w:color w:val="231F20"/>
        </w:rPr>
        <w:t>de manera periódica, ni mucho menos garantizar la equidad de recursos eco- nómicos y simbólicos de los diversos actores políticos para la competencia partidista, tal y como lo mostraban las teorías políticas de la democracia a partir de la segunda posguerra y en pleno desarrollo de lo que era defini- do en aquel entonces como la “gran política”, centrada precisamente en  la estructuración espacial de la competencia entre partidos</w:t>
      </w:r>
      <w:r>
        <w:rPr>
          <w:color w:val="231F20"/>
          <w:position w:val="7"/>
          <w:sz w:val="12"/>
        </w:rPr>
        <w:t>20</w:t>
      </w:r>
      <w:r>
        <w:rPr>
          <w:color w:val="231F20"/>
        </w:rPr>
        <w:t>. Un elemen- to característico que estas concepciones advertían sobre la democracia, y que es oportuno subrayarlo, era el de la constatación del crecimiento de estructuras de conflictividad</w:t>
      </w:r>
      <w:r>
        <w:rPr>
          <w:color w:val="231F20"/>
          <w:position w:val="7"/>
          <w:sz w:val="12"/>
        </w:rPr>
        <w:t>21 </w:t>
      </w:r>
      <w:r>
        <w:rPr>
          <w:color w:val="231F20"/>
        </w:rPr>
        <w:t>que animaron la competencia entre partidos y también la dinámica del campo económico;</w:t>
      </w:r>
      <w:r>
        <w:rPr>
          <w:color w:val="231F20"/>
          <w:position w:val="7"/>
          <w:sz w:val="12"/>
        </w:rPr>
        <w:t>22 </w:t>
      </w:r>
      <w:r>
        <w:rPr>
          <w:color w:val="231F20"/>
        </w:rPr>
        <w:t>el de la política distributiva hacia la sociedad (por medio de la función del </w:t>
      </w:r>
      <w:r>
        <w:rPr>
          <w:rFonts w:ascii="Arial" w:hAnsi="Arial"/>
          <w:i/>
          <w:color w:val="231F20"/>
        </w:rPr>
        <w:t>welfare</w:t>
      </w:r>
      <w:r>
        <w:rPr>
          <w:color w:val="231F20"/>
        </w:rPr>
        <w:t>); pero sobre todo  el de la conjunción del orden estatal como fenómeno de integración ma- cro–político (</w:t>
      </w:r>
      <w:r>
        <w:rPr>
          <w:rFonts w:ascii="Arial" w:hAnsi="Arial"/>
          <w:i/>
          <w:color w:val="231F20"/>
        </w:rPr>
        <w:t>state building</w:t>
      </w:r>
      <w:r>
        <w:rPr>
          <w:color w:val="231F20"/>
        </w:rPr>
        <w:t>) con la del desarrollo institucional del aparato de Estado. En suma, aparece la confirmación de un campo diferencial de controversias inherente al desarrollo de la democracia en el pasaje que va de los años cincuenta hasta finales de los años setenta del siglo</w:t>
      </w:r>
      <w:r>
        <w:rPr>
          <w:color w:val="231F20"/>
          <w:spacing w:val="-7"/>
        </w:rPr>
        <w:t> </w:t>
      </w:r>
      <w:r>
        <w:rPr>
          <w:color w:val="231F20"/>
        </w:rPr>
        <w:t>pasado.</w:t>
      </w:r>
    </w:p>
    <w:p>
      <w:pPr>
        <w:pStyle w:val="BodyText"/>
        <w:spacing w:line="247" w:lineRule="auto"/>
        <w:ind w:left="103" w:right="115" w:firstLine="566"/>
        <w:jc w:val="both"/>
      </w:pPr>
      <w:r>
        <w:rPr>
          <w:color w:val="231F20"/>
          <w:w w:val="105"/>
        </w:rPr>
        <w:t>Entonces podríamos derivar el argumento de que la democracia contemporánea</w:t>
      </w:r>
      <w:r>
        <w:rPr>
          <w:color w:val="231F20"/>
          <w:spacing w:val="-13"/>
          <w:w w:val="105"/>
        </w:rPr>
        <w:t> </w:t>
      </w:r>
      <w:r>
        <w:rPr>
          <w:color w:val="231F20"/>
          <w:w w:val="105"/>
        </w:rPr>
        <w:t>es</w:t>
      </w:r>
      <w:r>
        <w:rPr>
          <w:color w:val="231F20"/>
          <w:spacing w:val="-13"/>
          <w:w w:val="105"/>
        </w:rPr>
        <w:t> </w:t>
      </w:r>
      <w:r>
        <w:rPr>
          <w:color w:val="231F20"/>
          <w:w w:val="105"/>
        </w:rPr>
        <w:t>una</w:t>
      </w:r>
      <w:r>
        <w:rPr>
          <w:color w:val="231F20"/>
          <w:spacing w:val="-13"/>
          <w:w w:val="105"/>
        </w:rPr>
        <w:t> </w:t>
      </w:r>
      <w:r>
        <w:rPr>
          <w:color w:val="231F20"/>
          <w:w w:val="105"/>
        </w:rPr>
        <w:t>forma</w:t>
      </w:r>
      <w:r>
        <w:rPr>
          <w:color w:val="231F20"/>
          <w:spacing w:val="-13"/>
          <w:w w:val="105"/>
        </w:rPr>
        <w:t> </w:t>
      </w:r>
      <w:r>
        <w:rPr>
          <w:color w:val="231F20"/>
          <w:w w:val="105"/>
        </w:rPr>
        <w:t>histórica</w:t>
      </w:r>
      <w:r>
        <w:rPr>
          <w:color w:val="231F20"/>
          <w:spacing w:val="-13"/>
          <w:w w:val="105"/>
        </w:rPr>
        <w:t> </w:t>
      </w:r>
      <w:r>
        <w:rPr>
          <w:color w:val="231F20"/>
          <w:w w:val="105"/>
        </w:rPr>
        <w:t>de</w:t>
      </w:r>
      <w:r>
        <w:rPr>
          <w:color w:val="231F20"/>
          <w:spacing w:val="-13"/>
          <w:w w:val="105"/>
        </w:rPr>
        <w:t> </w:t>
      </w:r>
      <w:r>
        <w:rPr>
          <w:color w:val="231F20"/>
          <w:w w:val="105"/>
        </w:rPr>
        <w:t>organización</w:t>
      </w:r>
      <w:r>
        <w:rPr>
          <w:color w:val="231F20"/>
          <w:spacing w:val="-13"/>
          <w:w w:val="105"/>
        </w:rPr>
        <w:t> </w:t>
      </w:r>
      <w:r>
        <w:rPr>
          <w:color w:val="231F20"/>
          <w:w w:val="105"/>
        </w:rPr>
        <w:t>de</w:t>
      </w:r>
      <w:r>
        <w:rPr>
          <w:color w:val="231F20"/>
          <w:spacing w:val="-13"/>
          <w:w w:val="105"/>
        </w:rPr>
        <w:t> </w:t>
      </w:r>
      <w:r>
        <w:rPr>
          <w:color w:val="231F20"/>
          <w:w w:val="105"/>
        </w:rPr>
        <w:t>lo</w:t>
      </w:r>
      <w:r>
        <w:rPr>
          <w:color w:val="231F20"/>
          <w:spacing w:val="-13"/>
          <w:w w:val="105"/>
        </w:rPr>
        <w:t> </w:t>
      </w:r>
      <w:r>
        <w:rPr>
          <w:color w:val="231F20"/>
          <w:w w:val="105"/>
        </w:rPr>
        <w:t>común</w:t>
      </w:r>
      <w:r>
        <w:rPr>
          <w:color w:val="231F20"/>
          <w:spacing w:val="-13"/>
          <w:w w:val="105"/>
        </w:rPr>
        <w:t> </w:t>
      </w:r>
      <w:r>
        <w:rPr>
          <w:color w:val="231F20"/>
          <w:w w:val="105"/>
        </w:rPr>
        <w:t>que no</w:t>
      </w:r>
      <w:r>
        <w:rPr>
          <w:color w:val="231F20"/>
          <w:spacing w:val="-28"/>
          <w:w w:val="105"/>
        </w:rPr>
        <w:t> </w:t>
      </w:r>
      <w:r>
        <w:rPr>
          <w:color w:val="231F20"/>
          <w:w w:val="105"/>
        </w:rPr>
        <w:t>logra</w:t>
      </w:r>
      <w:r>
        <w:rPr>
          <w:color w:val="231F20"/>
          <w:spacing w:val="-28"/>
          <w:w w:val="105"/>
        </w:rPr>
        <w:t> </w:t>
      </w:r>
      <w:r>
        <w:rPr>
          <w:color w:val="231F20"/>
          <w:w w:val="105"/>
        </w:rPr>
        <w:t>la</w:t>
      </w:r>
      <w:r>
        <w:rPr>
          <w:color w:val="231F20"/>
          <w:spacing w:val="-28"/>
          <w:w w:val="105"/>
        </w:rPr>
        <w:t> </w:t>
      </w:r>
      <w:r>
        <w:rPr>
          <w:color w:val="231F20"/>
          <w:w w:val="105"/>
        </w:rPr>
        <w:t>reducción</w:t>
      </w:r>
      <w:r>
        <w:rPr>
          <w:color w:val="231F20"/>
          <w:spacing w:val="-28"/>
          <w:w w:val="105"/>
        </w:rPr>
        <w:t> </w:t>
      </w:r>
      <w:r>
        <w:rPr>
          <w:color w:val="231F20"/>
          <w:w w:val="105"/>
        </w:rPr>
        <w:t>a</w:t>
      </w:r>
      <w:r>
        <w:rPr>
          <w:color w:val="231F20"/>
          <w:spacing w:val="-28"/>
          <w:w w:val="105"/>
        </w:rPr>
        <w:t> </w:t>
      </w:r>
      <w:r>
        <w:rPr>
          <w:color w:val="231F20"/>
          <w:w w:val="105"/>
        </w:rPr>
        <w:t>“tasa</w:t>
      </w:r>
      <w:r>
        <w:rPr>
          <w:color w:val="231F20"/>
          <w:spacing w:val="-28"/>
          <w:w w:val="105"/>
        </w:rPr>
        <w:t> </w:t>
      </w:r>
      <w:r>
        <w:rPr>
          <w:color w:val="231F20"/>
          <w:w w:val="105"/>
        </w:rPr>
        <w:t>cero”</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cuestión</w:t>
      </w:r>
      <w:r>
        <w:rPr>
          <w:color w:val="231F20"/>
          <w:spacing w:val="-28"/>
          <w:w w:val="105"/>
        </w:rPr>
        <w:t> </w:t>
      </w:r>
      <w:r>
        <w:rPr>
          <w:color w:val="231F20"/>
          <w:w w:val="105"/>
        </w:rPr>
        <w:t>del</w:t>
      </w:r>
      <w:r>
        <w:rPr>
          <w:color w:val="231F20"/>
          <w:spacing w:val="-28"/>
          <w:w w:val="105"/>
        </w:rPr>
        <w:t> </w:t>
      </w:r>
      <w:r>
        <w:rPr>
          <w:color w:val="231F20"/>
          <w:w w:val="105"/>
        </w:rPr>
        <w:t>desorden,</w:t>
      </w:r>
      <w:r>
        <w:rPr>
          <w:color w:val="231F20"/>
          <w:spacing w:val="-28"/>
          <w:w w:val="105"/>
        </w:rPr>
        <w:t> </w:t>
      </w:r>
      <w:r>
        <w:rPr>
          <w:color w:val="231F20"/>
          <w:w w:val="105"/>
        </w:rPr>
        <w:t>la</w:t>
      </w:r>
      <w:r>
        <w:rPr>
          <w:color w:val="231F20"/>
          <w:spacing w:val="-28"/>
          <w:w w:val="105"/>
        </w:rPr>
        <w:t> </w:t>
      </w:r>
      <w:r>
        <w:rPr>
          <w:color w:val="231F20"/>
          <w:w w:val="105"/>
        </w:rPr>
        <w:t>insubor- dinación</w:t>
      </w:r>
      <w:r>
        <w:rPr>
          <w:color w:val="231F20"/>
          <w:spacing w:val="-28"/>
          <w:w w:val="105"/>
        </w:rPr>
        <w:t> </w:t>
      </w:r>
      <w:r>
        <w:rPr>
          <w:color w:val="231F20"/>
          <w:w w:val="105"/>
        </w:rPr>
        <w:t>y</w:t>
      </w:r>
      <w:r>
        <w:rPr>
          <w:color w:val="231F20"/>
          <w:spacing w:val="-28"/>
          <w:w w:val="105"/>
        </w:rPr>
        <w:t> </w:t>
      </w:r>
      <w:r>
        <w:rPr>
          <w:color w:val="231F20"/>
          <w:w w:val="105"/>
        </w:rPr>
        <w:t>el</w:t>
      </w:r>
      <w:r>
        <w:rPr>
          <w:color w:val="231F20"/>
          <w:spacing w:val="-28"/>
          <w:w w:val="105"/>
        </w:rPr>
        <w:t> </w:t>
      </w:r>
      <w:r>
        <w:rPr>
          <w:color w:val="231F20"/>
          <w:w w:val="105"/>
        </w:rPr>
        <w:t>desarrollo</w:t>
      </w:r>
      <w:r>
        <w:rPr>
          <w:color w:val="231F20"/>
          <w:spacing w:val="-28"/>
          <w:w w:val="105"/>
        </w:rPr>
        <w:t> </w:t>
      </w:r>
      <w:r>
        <w:rPr>
          <w:color w:val="231F20"/>
          <w:w w:val="105"/>
        </w:rPr>
        <w:t>del</w:t>
      </w:r>
      <w:r>
        <w:rPr>
          <w:color w:val="231F20"/>
          <w:spacing w:val="-28"/>
          <w:w w:val="105"/>
        </w:rPr>
        <w:t> </w:t>
      </w:r>
      <w:r>
        <w:rPr>
          <w:color w:val="231F20"/>
          <w:w w:val="105"/>
        </w:rPr>
        <w:t>“pluralismo”</w:t>
      </w:r>
      <w:r>
        <w:rPr>
          <w:color w:val="231F20"/>
          <w:spacing w:val="-28"/>
          <w:w w:val="105"/>
        </w:rPr>
        <w:t> </w:t>
      </w:r>
      <w:r>
        <w:rPr>
          <w:color w:val="231F20"/>
          <w:w w:val="105"/>
        </w:rPr>
        <w:t>de</w:t>
      </w:r>
      <w:r>
        <w:rPr>
          <w:color w:val="231F20"/>
          <w:spacing w:val="-28"/>
          <w:w w:val="105"/>
        </w:rPr>
        <w:t> </w:t>
      </w:r>
      <w:r>
        <w:rPr>
          <w:color w:val="231F20"/>
          <w:w w:val="105"/>
        </w:rPr>
        <w:t>lo</w:t>
      </w:r>
      <w:r>
        <w:rPr>
          <w:color w:val="231F20"/>
          <w:spacing w:val="-28"/>
          <w:w w:val="105"/>
        </w:rPr>
        <w:t> </w:t>
      </w:r>
      <w:r>
        <w:rPr>
          <w:color w:val="231F20"/>
          <w:w w:val="105"/>
        </w:rPr>
        <w:t>social.</w:t>
      </w:r>
      <w:r>
        <w:rPr>
          <w:color w:val="231F20"/>
          <w:spacing w:val="-28"/>
          <w:w w:val="105"/>
        </w:rPr>
        <w:t> </w:t>
      </w:r>
      <w:r>
        <w:rPr>
          <w:color w:val="231F20"/>
          <w:w w:val="105"/>
        </w:rPr>
        <w:t>Por</w:t>
      </w:r>
      <w:r>
        <w:rPr>
          <w:color w:val="231F20"/>
          <w:spacing w:val="-28"/>
          <w:w w:val="105"/>
        </w:rPr>
        <w:t> </w:t>
      </w:r>
      <w:r>
        <w:rPr>
          <w:color w:val="231F20"/>
          <w:w w:val="105"/>
        </w:rPr>
        <w:t>ejemplo,</w:t>
      </w:r>
      <w:r>
        <w:rPr>
          <w:color w:val="231F20"/>
          <w:spacing w:val="-28"/>
          <w:w w:val="105"/>
        </w:rPr>
        <w:t> </w:t>
      </w:r>
      <w:r>
        <w:rPr>
          <w:color w:val="231F20"/>
          <w:w w:val="105"/>
        </w:rPr>
        <w:t>en</w:t>
      </w:r>
      <w:r>
        <w:rPr>
          <w:color w:val="231F20"/>
          <w:spacing w:val="-28"/>
          <w:w w:val="105"/>
        </w:rPr>
        <w:t> </w:t>
      </w:r>
      <w:r>
        <w:rPr>
          <w:color w:val="231F20"/>
          <w:w w:val="105"/>
        </w:rPr>
        <w:t>Amé- rica</w:t>
      </w:r>
      <w:r>
        <w:rPr>
          <w:color w:val="231F20"/>
          <w:spacing w:val="-20"/>
          <w:w w:val="105"/>
        </w:rPr>
        <w:t> </w:t>
      </w:r>
      <w:r>
        <w:rPr>
          <w:color w:val="231F20"/>
          <w:w w:val="105"/>
        </w:rPr>
        <w:t>Latina</w:t>
      </w:r>
      <w:r>
        <w:rPr>
          <w:color w:val="231F20"/>
          <w:spacing w:val="-20"/>
          <w:w w:val="105"/>
        </w:rPr>
        <w:t> </w:t>
      </w:r>
      <w:r>
        <w:rPr>
          <w:color w:val="231F20"/>
          <w:w w:val="105"/>
        </w:rPr>
        <w:t>la</w:t>
      </w:r>
      <w:r>
        <w:rPr>
          <w:color w:val="231F20"/>
          <w:spacing w:val="-20"/>
          <w:w w:val="105"/>
        </w:rPr>
        <w:t> </w:t>
      </w:r>
      <w:r>
        <w:rPr>
          <w:color w:val="231F20"/>
          <w:w w:val="105"/>
        </w:rPr>
        <w:t>protesta</w:t>
      </w:r>
      <w:r>
        <w:rPr>
          <w:color w:val="231F20"/>
          <w:spacing w:val="-20"/>
          <w:w w:val="105"/>
        </w:rPr>
        <w:t> </w:t>
      </w:r>
      <w:r>
        <w:rPr>
          <w:color w:val="231F20"/>
          <w:w w:val="105"/>
        </w:rPr>
        <w:t>en</w:t>
      </w:r>
      <w:r>
        <w:rPr>
          <w:color w:val="231F20"/>
          <w:spacing w:val="-20"/>
          <w:w w:val="105"/>
        </w:rPr>
        <w:t> </w:t>
      </w:r>
      <w:r>
        <w:rPr>
          <w:color w:val="231F20"/>
          <w:w w:val="105"/>
        </w:rPr>
        <w:t>los</w:t>
      </w:r>
      <w:r>
        <w:rPr>
          <w:color w:val="231F20"/>
          <w:spacing w:val="-20"/>
          <w:w w:val="105"/>
        </w:rPr>
        <w:t> </w:t>
      </w:r>
      <w:r>
        <w:rPr>
          <w:color w:val="231F20"/>
          <w:w w:val="105"/>
        </w:rPr>
        <w:t>últimos</w:t>
      </w:r>
      <w:r>
        <w:rPr>
          <w:color w:val="231F20"/>
          <w:spacing w:val="-20"/>
          <w:w w:val="105"/>
        </w:rPr>
        <w:t> </w:t>
      </w:r>
      <w:r>
        <w:rPr>
          <w:color w:val="231F20"/>
          <w:w w:val="105"/>
        </w:rPr>
        <w:t>años</w:t>
      </w:r>
      <w:r>
        <w:rPr>
          <w:color w:val="231F20"/>
          <w:spacing w:val="-20"/>
          <w:w w:val="105"/>
        </w:rPr>
        <w:t> </w:t>
      </w:r>
      <w:r>
        <w:rPr>
          <w:color w:val="231F20"/>
          <w:w w:val="105"/>
        </w:rPr>
        <w:t>ha</w:t>
      </w:r>
      <w:r>
        <w:rPr>
          <w:color w:val="231F20"/>
          <w:spacing w:val="-20"/>
          <w:w w:val="105"/>
        </w:rPr>
        <w:t> </w:t>
      </w:r>
      <w:r>
        <w:rPr>
          <w:color w:val="231F20"/>
          <w:w w:val="105"/>
        </w:rPr>
        <w:t>estado</w:t>
      </w:r>
      <w:r>
        <w:rPr>
          <w:color w:val="231F20"/>
          <w:spacing w:val="-20"/>
          <w:w w:val="105"/>
        </w:rPr>
        <w:t> </w:t>
      </w:r>
      <w:r>
        <w:rPr>
          <w:color w:val="231F20"/>
          <w:w w:val="105"/>
        </w:rPr>
        <w:t>ligada</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llamados conflictos</w:t>
      </w:r>
      <w:r>
        <w:rPr>
          <w:color w:val="231F20"/>
          <w:spacing w:val="-35"/>
          <w:w w:val="105"/>
        </w:rPr>
        <w:t> </w:t>
      </w:r>
      <w:r>
        <w:rPr>
          <w:color w:val="231F20"/>
          <w:w w:val="105"/>
        </w:rPr>
        <w:t>de</w:t>
      </w:r>
      <w:r>
        <w:rPr>
          <w:color w:val="231F20"/>
          <w:spacing w:val="-35"/>
          <w:w w:val="105"/>
        </w:rPr>
        <w:t> </w:t>
      </w:r>
      <w:r>
        <w:rPr>
          <w:color w:val="231F20"/>
          <w:w w:val="105"/>
        </w:rPr>
        <w:t>reproducción</w:t>
      </w:r>
      <w:r>
        <w:rPr>
          <w:color w:val="231F20"/>
          <w:spacing w:val="-35"/>
          <w:w w:val="105"/>
        </w:rPr>
        <w:t> </w:t>
      </w:r>
      <w:r>
        <w:rPr>
          <w:color w:val="231F20"/>
          <w:w w:val="105"/>
        </w:rPr>
        <w:t>social</w:t>
      </w:r>
      <w:r>
        <w:rPr>
          <w:color w:val="231F20"/>
          <w:spacing w:val="-35"/>
          <w:w w:val="105"/>
        </w:rPr>
        <w:t> </w:t>
      </w:r>
      <w:r>
        <w:rPr>
          <w:color w:val="231F20"/>
          <w:w w:val="105"/>
        </w:rPr>
        <w:t>que</w:t>
      </w:r>
      <w:r>
        <w:rPr>
          <w:color w:val="231F20"/>
          <w:spacing w:val="-35"/>
          <w:w w:val="105"/>
        </w:rPr>
        <w:t> </w:t>
      </w:r>
      <w:r>
        <w:rPr>
          <w:color w:val="231F20"/>
          <w:w w:val="105"/>
        </w:rPr>
        <w:t>expresan</w:t>
      </w:r>
      <w:r>
        <w:rPr>
          <w:color w:val="231F20"/>
          <w:spacing w:val="-35"/>
          <w:w w:val="105"/>
        </w:rPr>
        <w:t> </w:t>
      </w:r>
      <w:r>
        <w:rPr>
          <w:color w:val="231F20"/>
          <w:w w:val="105"/>
        </w:rPr>
        <w:t>un</w:t>
      </w:r>
      <w:r>
        <w:rPr>
          <w:color w:val="231F20"/>
          <w:spacing w:val="-35"/>
          <w:w w:val="105"/>
        </w:rPr>
        <w:t> </w:t>
      </w:r>
      <w:r>
        <w:rPr>
          <w:color w:val="231F20"/>
          <w:w w:val="105"/>
        </w:rPr>
        <w:t>abierto</w:t>
      </w:r>
      <w:r>
        <w:rPr>
          <w:color w:val="231F20"/>
          <w:spacing w:val="-35"/>
          <w:w w:val="105"/>
        </w:rPr>
        <w:t> </w:t>
      </w:r>
      <w:r>
        <w:rPr>
          <w:color w:val="231F20"/>
          <w:w w:val="105"/>
        </w:rPr>
        <w:t>carácter</w:t>
      </w:r>
      <w:r>
        <w:rPr>
          <w:color w:val="231F20"/>
          <w:spacing w:val="-35"/>
          <w:w w:val="105"/>
        </w:rPr>
        <w:t> </w:t>
      </w:r>
      <w:r>
        <w:rPr>
          <w:color w:val="231F20"/>
          <w:w w:val="105"/>
        </w:rPr>
        <w:t>“defen- sivo”</w:t>
      </w:r>
      <w:r>
        <w:rPr>
          <w:color w:val="231F20"/>
          <w:spacing w:val="-38"/>
          <w:w w:val="105"/>
        </w:rPr>
        <w:t> </w:t>
      </w:r>
      <w:r>
        <w:rPr>
          <w:color w:val="231F20"/>
          <w:w w:val="105"/>
        </w:rPr>
        <w:t>(conservación</w:t>
      </w:r>
      <w:r>
        <w:rPr>
          <w:color w:val="231F20"/>
          <w:spacing w:val="-38"/>
          <w:w w:val="105"/>
        </w:rPr>
        <w:t> </w:t>
      </w:r>
      <w:r>
        <w:rPr>
          <w:color w:val="231F20"/>
          <w:w w:val="105"/>
        </w:rPr>
        <w:t>de</w:t>
      </w:r>
      <w:r>
        <w:rPr>
          <w:color w:val="231F20"/>
          <w:spacing w:val="-38"/>
          <w:w w:val="105"/>
        </w:rPr>
        <w:t> </w:t>
      </w:r>
      <w:r>
        <w:rPr>
          <w:color w:val="231F20"/>
          <w:w w:val="105"/>
        </w:rPr>
        <w:t>derechos)</w:t>
      </w:r>
      <w:r>
        <w:rPr>
          <w:color w:val="231F20"/>
          <w:spacing w:val="-38"/>
          <w:w w:val="105"/>
        </w:rPr>
        <w:t> </w:t>
      </w:r>
      <w:r>
        <w:rPr>
          <w:color w:val="231F20"/>
          <w:w w:val="105"/>
        </w:rPr>
        <w:t>y</w:t>
      </w:r>
      <w:r>
        <w:rPr>
          <w:color w:val="231F20"/>
          <w:spacing w:val="-38"/>
          <w:w w:val="105"/>
        </w:rPr>
        <w:t> </w:t>
      </w:r>
      <w:r>
        <w:rPr>
          <w:color w:val="231F20"/>
          <w:w w:val="105"/>
        </w:rPr>
        <w:t>están</w:t>
      </w:r>
      <w:r>
        <w:rPr>
          <w:color w:val="231F20"/>
          <w:spacing w:val="-38"/>
          <w:w w:val="105"/>
        </w:rPr>
        <w:t> </w:t>
      </w:r>
      <w:r>
        <w:rPr>
          <w:color w:val="231F20"/>
          <w:w w:val="105"/>
        </w:rPr>
        <w:t>agrupados</w:t>
      </w:r>
      <w:r>
        <w:rPr>
          <w:color w:val="231F20"/>
          <w:spacing w:val="-38"/>
          <w:w w:val="105"/>
        </w:rPr>
        <w:t> </w:t>
      </w:r>
      <w:r>
        <w:rPr>
          <w:color w:val="231F20"/>
          <w:w w:val="105"/>
        </w:rPr>
        <w:t>en</w:t>
      </w:r>
      <w:r>
        <w:rPr>
          <w:color w:val="231F20"/>
          <w:spacing w:val="-38"/>
          <w:w w:val="105"/>
        </w:rPr>
        <w:t> </w:t>
      </w:r>
      <w:r>
        <w:rPr>
          <w:color w:val="231F20"/>
          <w:w w:val="105"/>
        </w:rPr>
        <w:t>tres</w:t>
      </w:r>
      <w:r>
        <w:rPr>
          <w:color w:val="231F20"/>
          <w:spacing w:val="-38"/>
          <w:w w:val="105"/>
        </w:rPr>
        <w:t> </w:t>
      </w:r>
      <w:r>
        <w:rPr>
          <w:color w:val="231F20"/>
          <w:w w:val="105"/>
        </w:rPr>
        <w:t>grandes</w:t>
      </w:r>
      <w:r>
        <w:rPr>
          <w:color w:val="231F20"/>
          <w:spacing w:val="-38"/>
          <w:w w:val="105"/>
        </w:rPr>
        <w:t> </w:t>
      </w:r>
      <w:r>
        <w:rPr>
          <w:color w:val="231F20"/>
          <w:w w:val="105"/>
        </w:rPr>
        <w:t>direc- ciones:</w:t>
      </w:r>
      <w:r>
        <w:rPr>
          <w:color w:val="231F20"/>
          <w:spacing w:val="-12"/>
          <w:w w:val="105"/>
        </w:rPr>
        <w:t> </w:t>
      </w:r>
      <w:r>
        <w:rPr>
          <w:color w:val="231F20"/>
          <w:w w:val="105"/>
        </w:rPr>
        <w:t>a)</w:t>
      </w:r>
      <w:r>
        <w:rPr>
          <w:color w:val="231F20"/>
          <w:spacing w:val="-12"/>
          <w:w w:val="105"/>
        </w:rPr>
        <w:t> </w:t>
      </w:r>
      <w:r>
        <w:rPr>
          <w:color w:val="231F20"/>
          <w:w w:val="105"/>
        </w:rPr>
        <w:t>conflictos</w:t>
      </w:r>
      <w:r>
        <w:rPr>
          <w:color w:val="231F20"/>
          <w:spacing w:val="-12"/>
          <w:w w:val="105"/>
        </w:rPr>
        <w:t> </w:t>
      </w:r>
      <w:r>
        <w:rPr>
          <w:color w:val="231F20"/>
          <w:w w:val="105"/>
        </w:rPr>
        <w:t>de</w:t>
      </w:r>
      <w:r>
        <w:rPr>
          <w:color w:val="231F20"/>
          <w:spacing w:val="-12"/>
          <w:w w:val="105"/>
        </w:rPr>
        <w:t> </w:t>
      </w:r>
      <w:r>
        <w:rPr>
          <w:color w:val="231F20"/>
          <w:w w:val="105"/>
        </w:rPr>
        <w:t>reproducción</w:t>
      </w:r>
      <w:r>
        <w:rPr>
          <w:color w:val="231F20"/>
          <w:spacing w:val="-12"/>
          <w:w w:val="105"/>
        </w:rPr>
        <w:t> </w:t>
      </w:r>
      <w:r>
        <w:rPr>
          <w:color w:val="231F20"/>
          <w:w w:val="105"/>
        </w:rPr>
        <w:t>donde</w:t>
      </w:r>
      <w:r>
        <w:rPr>
          <w:color w:val="231F20"/>
          <w:spacing w:val="-12"/>
          <w:w w:val="105"/>
        </w:rPr>
        <w:t> </w:t>
      </w:r>
      <w:r>
        <w:rPr>
          <w:color w:val="231F20"/>
          <w:w w:val="105"/>
        </w:rPr>
        <w:t>aparecen</w:t>
      </w:r>
      <w:r>
        <w:rPr>
          <w:color w:val="231F20"/>
          <w:spacing w:val="-12"/>
          <w:w w:val="105"/>
        </w:rPr>
        <w:t> </w:t>
      </w:r>
      <w:r>
        <w:rPr>
          <w:color w:val="231F20"/>
          <w:w w:val="105"/>
        </w:rPr>
        <w:t>protestas</w:t>
      </w:r>
      <w:r>
        <w:rPr>
          <w:color w:val="231F20"/>
          <w:spacing w:val="-12"/>
          <w:w w:val="105"/>
        </w:rPr>
        <w:t> </w:t>
      </w:r>
      <w:r>
        <w:rPr>
          <w:color w:val="231F20"/>
          <w:w w:val="105"/>
        </w:rPr>
        <w:t>que</w:t>
      </w:r>
      <w:r>
        <w:rPr>
          <w:color w:val="231F20"/>
          <w:spacing w:val="-12"/>
          <w:w w:val="105"/>
        </w:rPr>
        <w:t> </w:t>
      </w:r>
      <w:r>
        <w:rPr>
          <w:color w:val="231F20"/>
          <w:w w:val="105"/>
        </w:rPr>
        <w:t>exi- gen</w:t>
      </w:r>
      <w:r>
        <w:rPr>
          <w:color w:val="231F20"/>
          <w:spacing w:val="-44"/>
          <w:w w:val="105"/>
        </w:rPr>
        <w:t> </w:t>
      </w:r>
      <w:r>
        <w:rPr>
          <w:color w:val="231F20"/>
          <w:w w:val="105"/>
        </w:rPr>
        <w:t>la</w:t>
      </w:r>
      <w:r>
        <w:rPr>
          <w:color w:val="231F20"/>
          <w:spacing w:val="-44"/>
          <w:w w:val="105"/>
        </w:rPr>
        <w:t> </w:t>
      </w:r>
      <w:r>
        <w:rPr>
          <w:color w:val="231F20"/>
          <w:w w:val="105"/>
        </w:rPr>
        <w:t>satisfacción</w:t>
      </w:r>
      <w:r>
        <w:rPr>
          <w:color w:val="231F20"/>
          <w:spacing w:val="-44"/>
          <w:w w:val="105"/>
        </w:rPr>
        <w:t> </w:t>
      </w:r>
      <w:r>
        <w:rPr>
          <w:color w:val="231F20"/>
          <w:w w:val="105"/>
        </w:rPr>
        <w:t>de</w:t>
      </w:r>
      <w:r>
        <w:rPr>
          <w:color w:val="231F20"/>
          <w:spacing w:val="-44"/>
          <w:w w:val="105"/>
        </w:rPr>
        <w:t> </w:t>
      </w:r>
      <w:r>
        <w:rPr>
          <w:color w:val="231F20"/>
          <w:w w:val="105"/>
        </w:rPr>
        <w:t>demandas</w:t>
      </w:r>
      <w:r>
        <w:rPr>
          <w:color w:val="231F20"/>
          <w:spacing w:val="-44"/>
          <w:w w:val="105"/>
        </w:rPr>
        <w:t> </w:t>
      </w:r>
      <w:r>
        <w:rPr>
          <w:color w:val="231F20"/>
          <w:w w:val="105"/>
        </w:rPr>
        <w:t>básicas</w:t>
      </w:r>
      <w:r>
        <w:rPr>
          <w:color w:val="231F20"/>
          <w:spacing w:val="-44"/>
          <w:w w:val="105"/>
        </w:rPr>
        <w:t> </w:t>
      </w:r>
      <w:r>
        <w:rPr>
          <w:color w:val="231F20"/>
          <w:w w:val="105"/>
        </w:rPr>
        <w:t>como</w:t>
      </w:r>
      <w:r>
        <w:rPr>
          <w:color w:val="231F20"/>
          <w:spacing w:val="-44"/>
          <w:w w:val="105"/>
        </w:rPr>
        <w:t> </w:t>
      </w:r>
      <w:r>
        <w:rPr>
          <w:color w:val="231F20"/>
          <w:w w:val="105"/>
        </w:rPr>
        <w:t>el</w:t>
      </w:r>
      <w:r>
        <w:rPr>
          <w:color w:val="231F20"/>
          <w:spacing w:val="-44"/>
          <w:w w:val="105"/>
        </w:rPr>
        <w:t> </w:t>
      </w:r>
      <w:r>
        <w:rPr>
          <w:color w:val="231F20"/>
          <w:w w:val="105"/>
        </w:rPr>
        <w:t>salario,</w:t>
      </w:r>
      <w:r>
        <w:rPr>
          <w:color w:val="231F20"/>
          <w:spacing w:val="-44"/>
          <w:w w:val="105"/>
        </w:rPr>
        <w:t> </w:t>
      </w:r>
      <w:r>
        <w:rPr>
          <w:color w:val="231F20"/>
          <w:w w:val="105"/>
        </w:rPr>
        <w:t>las</w:t>
      </w:r>
      <w:r>
        <w:rPr>
          <w:color w:val="231F20"/>
          <w:spacing w:val="-44"/>
          <w:w w:val="105"/>
        </w:rPr>
        <w:t> </w:t>
      </w:r>
      <w:r>
        <w:rPr>
          <w:color w:val="231F20"/>
          <w:w w:val="105"/>
        </w:rPr>
        <w:t>prerrogativas</w:t>
      </w:r>
      <w:r>
        <w:rPr>
          <w:color w:val="231F20"/>
          <w:spacing w:val="-44"/>
          <w:w w:val="105"/>
        </w:rPr>
        <w:t> </w:t>
      </w:r>
      <w:r>
        <w:rPr>
          <w:color w:val="231F20"/>
          <w:w w:val="105"/>
        </w:rPr>
        <w:t>a la</w:t>
      </w:r>
      <w:r>
        <w:rPr>
          <w:color w:val="231F20"/>
          <w:spacing w:val="-25"/>
          <w:w w:val="105"/>
        </w:rPr>
        <w:t> </w:t>
      </w:r>
      <w:r>
        <w:rPr>
          <w:color w:val="231F20"/>
          <w:w w:val="105"/>
        </w:rPr>
        <w:t>propiedad</w:t>
      </w:r>
      <w:r>
        <w:rPr>
          <w:color w:val="231F20"/>
          <w:spacing w:val="-25"/>
          <w:w w:val="105"/>
        </w:rPr>
        <w:t> </w:t>
      </w:r>
      <w:r>
        <w:rPr>
          <w:color w:val="231F20"/>
          <w:w w:val="105"/>
        </w:rPr>
        <w:t>y</w:t>
      </w:r>
      <w:r>
        <w:rPr>
          <w:color w:val="231F20"/>
          <w:spacing w:val="-25"/>
          <w:w w:val="105"/>
        </w:rPr>
        <w:t> </w:t>
      </w:r>
      <w:r>
        <w:rPr>
          <w:color w:val="231F20"/>
          <w:w w:val="105"/>
        </w:rPr>
        <w:t>las</w:t>
      </w:r>
      <w:r>
        <w:rPr>
          <w:color w:val="231F20"/>
          <w:spacing w:val="-25"/>
          <w:w w:val="105"/>
        </w:rPr>
        <w:t> </w:t>
      </w:r>
      <w:r>
        <w:rPr>
          <w:color w:val="231F20"/>
          <w:w w:val="105"/>
        </w:rPr>
        <w:t>“movilizaciones</w:t>
      </w:r>
      <w:r>
        <w:rPr>
          <w:color w:val="231F20"/>
          <w:spacing w:val="-25"/>
          <w:w w:val="105"/>
        </w:rPr>
        <w:t> </w:t>
      </w:r>
      <w:r>
        <w:rPr>
          <w:color w:val="231F20"/>
          <w:w w:val="105"/>
        </w:rPr>
        <w:t>en</w:t>
      </w:r>
      <w:r>
        <w:rPr>
          <w:color w:val="231F20"/>
          <w:spacing w:val="-25"/>
          <w:w w:val="105"/>
        </w:rPr>
        <w:t> </w:t>
      </w:r>
      <w:r>
        <w:rPr>
          <w:color w:val="231F20"/>
          <w:w w:val="105"/>
        </w:rPr>
        <w:t>contra</w:t>
      </w:r>
      <w:r>
        <w:rPr>
          <w:color w:val="231F20"/>
          <w:spacing w:val="-25"/>
          <w:w w:val="105"/>
        </w:rPr>
        <w:t> </w:t>
      </w:r>
      <w:r>
        <w:rPr>
          <w:color w:val="231F20"/>
          <w:w w:val="105"/>
        </w:rPr>
        <w:t>de</w:t>
      </w:r>
      <w:r>
        <w:rPr>
          <w:color w:val="231F20"/>
          <w:spacing w:val="-25"/>
          <w:w w:val="105"/>
        </w:rPr>
        <w:t> </w:t>
      </w:r>
      <w:r>
        <w:rPr>
          <w:color w:val="231F20"/>
          <w:w w:val="105"/>
        </w:rPr>
        <w:t>ciertas</w:t>
      </w:r>
      <w:r>
        <w:rPr>
          <w:color w:val="231F20"/>
          <w:spacing w:val="-25"/>
          <w:w w:val="105"/>
        </w:rPr>
        <w:t> </w:t>
      </w:r>
      <w:r>
        <w:rPr>
          <w:color w:val="231F20"/>
          <w:w w:val="105"/>
        </w:rPr>
        <w:t>medidas</w:t>
      </w:r>
      <w:r>
        <w:rPr>
          <w:color w:val="231F20"/>
          <w:spacing w:val="-25"/>
          <w:w w:val="105"/>
        </w:rPr>
        <w:t> </w:t>
      </w:r>
      <w:r>
        <w:rPr>
          <w:color w:val="231F20"/>
          <w:w w:val="105"/>
        </w:rPr>
        <w:t>políticas</w:t>
      </w:r>
      <w:r>
        <w:rPr>
          <w:color w:val="231F20"/>
          <w:spacing w:val="-25"/>
          <w:w w:val="105"/>
        </w:rPr>
        <w:t> </w:t>
      </w:r>
      <w:r>
        <w:rPr>
          <w:color w:val="231F20"/>
          <w:w w:val="105"/>
        </w:rPr>
        <w:t>o sociales</w:t>
      </w:r>
      <w:r>
        <w:rPr>
          <w:color w:val="231F20"/>
          <w:spacing w:val="-28"/>
          <w:w w:val="105"/>
        </w:rPr>
        <w:t> </w:t>
      </w:r>
      <w:r>
        <w:rPr>
          <w:color w:val="231F20"/>
          <w:w w:val="105"/>
        </w:rPr>
        <w:t>que</w:t>
      </w:r>
      <w:r>
        <w:rPr>
          <w:color w:val="231F20"/>
          <w:spacing w:val="-28"/>
          <w:w w:val="105"/>
        </w:rPr>
        <w:t> </w:t>
      </w:r>
      <w:r>
        <w:rPr>
          <w:color w:val="231F20"/>
          <w:w w:val="105"/>
        </w:rPr>
        <w:t>se</w:t>
      </w:r>
      <w:r>
        <w:rPr>
          <w:color w:val="231F20"/>
          <w:spacing w:val="-28"/>
          <w:w w:val="105"/>
        </w:rPr>
        <w:t> </w:t>
      </w:r>
      <w:r>
        <w:rPr>
          <w:color w:val="231F20"/>
          <w:w w:val="105"/>
        </w:rPr>
        <w:t>perciben</w:t>
      </w:r>
      <w:r>
        <w:rPr>
          <w:color w:val="231F20"/>
          <w:spacing w:val="-28"/>
          <w:w w:val="105"/>
        </w:rPr>
        <w:t> </w:t>
      </w:r>
      <w:r>
        <w:rPr>
          <w:color w:val="231F20"/>
          <w:w w:val="105"/>
        </w:rPr>
        <w:t>como</w:t>
      </w:r>
      <w:r>
        <w:rPr>
          <w:color w:val="231F20"/>
          <w:spacing w:val="-28"/>
          <w:w w:val="105"/>
        </w:rPr>
        <w:t> </w:t>
      </w:r>
      <w:r>
        <w:rPr>
          <w:color w:val="231F20"/>
          <w:w w:val="105"/>
        </w:rPr>
        <w:t>amenazadoras</w:t>
      </w:r>
      <w:r>
        <w:rPr>
          <w:color w:val="231F20"/>
          <w:spacing w:val="-28"/>
          <w:w w:val="105"/>
        </w:rPr>
        <w:t> </w:t>
      </w:r>
      <w:r>
        <w:rPr>
          <w:color w:val="231F20"/>
          <w:w w:val="105"/>
        </w:rPr>
        <w:t>del</w:t>
      </w:r>
      <w:r>
        <w:rPr>
          <w:color w:val="231F20"/>
          <w:spacing w:val="-28"/>
          <w:w w:val="105"/>
        </w:rPr>
        <w:t> </w:t>
      </w:r>
      <w:r>
        <w:rPr>
          <w:rFonts w:ascii="Arial" w:hAnsi="Arial"/>
          <w:i/>
          <w:color w:val="231F20"/>
          <w:w w:val="105"/>
        </w:rPr>
        <w:t>statu</w:t>
      </w:r>
      <w:r>
        <w:rPr>
          <w:rFonts w:ascii="Arial" w:hAnsi="Arial"/>
          <w:i/>
          <w:color w:val="231F20"/>
          <w:spacing w:val="-21"/>
          <w:w w:val="105"/>
        </w:rPr>
        <w:t> </w:t>
      </w:r>
      <w:r>
        <w:rPr>
          <w:rFonts w:ascii="Arial" w:hAnsi="Arial"/>
          <w:i/>
          <w:color w:val="231F20"/>
          <w:w w:val="105"/>
        </w:rPr>
        <w:t>quo</w:t>
      </w:r>
      <w:r>
        <w:rPr>
          <w:color w:val="231F20"/>
          <w:w w:val="105"/>
        </w:rPr>
        <w:t>”;</w:t>
      </w:r>
      <w:r>
        <w:rPr>
          <w:color w:val="231F20"/>
          <w:spacing w:val="-28"/>
          <w:w w:val="105"/>
        </w:rPr>
        <w:t> </w:t>
      </w:r>
      <w:r>
        <w:rPr>
          <w:color w:val="231F20"/>
          <w:w w:val="105"/>
        </w:rPr>
        <w:t>b)</w:t>
      </w:r>
      <w:r>
        <w:rPr>
          <w:color w:val="231F20"/>
          <w:spacing w:val="-28"/>
          <w:w w:val="105"/>
        </w:rPr>
        <w:t> </w:t>
      </w:r>
      <w:r>
        <w:rPr>
          <w:color w:val="231F20"/>
          <w:w w:val="105"/>
        </w:rPr>
        <w:t>conflictos institucionales</w:t>
      </w:r>
      <w:r>
        <w:rPr>
          <w:color w:val="231F20"/>
          <w:spacing w:val="-20"/>
          <w:w w:val="105"/>
        </w:rPr>
        <w:t> </w:t>
      </w:r>
      <w:r>
        <w:rPr>
          <w:color w:val="231F20"/>
          <w:w w:val="105"/>
        </w:rPr>
        <w:t>y</w:t>
      </w:r>
      <w:r>
        <w:rPr>
          <w:color w:val="231F20"/>
          <w:spacing w:val="-20"/>
          <w:w w:val="105"/>
        </w:rPr>
        <w:t> </w:t>
      </w:r>
      <w:r>
        <w:rPr>
          <w:color w:val="231F20"/>
          <w:w w:val="105"/>
        </w:rPr>
        <w:t>de</w:t>
      </w:r>
      <w:r>
        <w:rPr>
          <w:color w:val="231F20"/>
          <w:spacing w:val="-20"/>
          <w:w w:val="105"/>
        </w:rPr>
        <w:t> </w:t>
      </w:r>
      <w:r>
        <w:rPr>
          <w:color w:val="231F20"/>
          <w:w w:val="105"/>
        </w:rPr>
        <w:t>gestión</w:t>
      </w:r>
      <w:r>
        <w:rPr>
          <w:color w:val="231F20"/>
          <w:spacing w:val="-20"/>
          <w:w w:val="105"/>
        </w:rPr>
        <w:t> </w:t>
      </w:r>
      <w:r>
        <w:rPr>
          <w:color w:val="231F20"/>
          <w:w w:val="105"/>
        </w:rPr>
        <w:t>administrativa,</w:t>
      </w:r>
      <w:r>
        <w:rPr>
          <w:color w:val="231F20"/>
          <w:spacing w:val="-20"/>
          <w:w w:val="105"/>
        </w:rPr>
        <w:t> </w:t>
      </w:r>
      <w:r>
        <w:rPr>
          <w:color w:val="231F20"/>
          <w:w w:val="105"/>
        </w:rPr>
        <w:t>tales</w:t>
      </w:r>
      <w:r>
        <w:rPr>
          <w:color w:val="231F20"/>
          <w:spacing w:val="-20"/>
          <w:w w:val="105"/>
        </w:rPr>
        <w:t> </w:t>
      </w:r>
      <w:r>
        <w:rPr>
          <w:color w:val="231F20"/>
          <w:w w:val="105"/>
        </w:rPr>
        <w:t>como</w:t>
      </w:r>
      <w:r>
        <w:rPr>
          <w:color w:val="231F20"/>
          <w:spacing w:val="-20"/>
          <w:w w:val="105"/>
        </w:rPr>
        <w:t> </w:t>
      </w:r>
      <w:r>
        <w:rPr>
          <w:color w:val="231F20"/>
          <w:w w:val="105"/>
        </w:rPr>
        <w:t>los</w:t>
      </w:r>
      <w:r>
        <w:rPr>
          <w:color w:val="231F20"/>
          <w:spacing w:val="-20"/>
          <w:w w:val="105"/>
        </w:rPr>
        <w:t> </w:t>
      </w:r>
      <w:r>
        <w:rPr>
          <w:color w:val="231F20"/>
          <w:w w:val="105"/>
        </w:rPr>
        <w:t>servicios</w:t>
      </w:r>
      <w:r>
        <w:rPr>
          <w:color w:val="231F20"/>
          <w:spacing w:val="-20"/>
          <w:w w:val="105"/>
        </w:rPr>
        <w:t> </w:t>
      </w:r>
      <w:r>
        <w:rPr>
          <w:color w:val="231F20"/>
          <w:w w:val="105"/>
        </w:rPr>
        <w:t>públi- cos,</w:t>
      </w:r>
      <w:r>
        <w:rPr>
          <w:color w:val="231F20"/>
          <w:spacing w:val="-25"/>
          <w:w w:val="105"/>
        </w:rPr>
        <w:t> </w:t>
      </w:r>
      <w:r>
        <w:rPr>
          <w:color w:val="231F20"/>
          <w:w w:val="105"/>
        </w:rPr>
        <w:t>la</w:t>
      </w:r>
      <w:r>
        <w:rPr>
          <w:color w:val="231F20"/>
          <w:spacing w:val="-25"/>
          <w:w w:val="105"/>
        </w:rPr>
        <w:t> </w:t>
      </w:r>
      <w:r>
        <w:rPr>
          <w:color w:val="231F20"/>
          <w:w w:val="105"/>
        </w:rPr>
        <w:t>administración</w:t>
      </w:r>
      <w:r>
        <w:rPr>
          <w:color w:val="231F20"/>
          <w:spacing w:val="-25"/>
          <w:w w:val="105"/>
        </w:rPr>
        <w:t> </w:t>
      </w:r>
      <w:r>
        <w:rPr>
          <w:color w:val="231F20"/>
          <w:w w:val="105"/>
        </w:rPr>
        <w:t>local</w:t>
      </w:r>
      <w:r>
        <w:rPr>
          <w:color w:val="231F20"/>
          <w:spacing w:val="-25"/>
          <w:w w:val="105"/>
        </w:rPr>
        <w:t> </w:t>
      </w:r>
      <w:r>
        <w:rPr>
          <w:color w:val="231F20"/>
          <w:w w:val="105"/>
        </w:rPr>
        <w:t>y</w:t>
      </w:r>
      <w:r>
        <w:rPr>
          <w:color w:val="231F20"/>
          <w:spacing w:val="-25"/>
          <w:w w:val="105"/>
        </w:rPr>
        <w:t> </w:t>
      </w:r>
      <w:r>
        <w:rPr>
          <w:color w:val="231F20"/>
          <w:w w:val="105"/>
        </w:rPr>
        <w:t>las</w:t>
      </w:r>
      <w:r>
        <w:rPr>
          <w:color w:val="231F20"/>
          <w:spacing w:val="-25"/>
          <w:w w:val="105"/>
        </w:rPr>
        <w:t> </w:t>
      </w:r>
      <w:r>
        <w:rPr>
          <w:color w:val="231F20"/>
          <w:w w:val="105"/>
        </w:rPr>
        <w:t>“medidas</w:t>
      </w:r>
      <w:r>
        <w:rPr>
          <w:color w:val="231F20"/>
          <w:spacing w:val="-25"/>
          <w:w w:val="105"/>
        </w:rPr>
        <w:t> </w:t>
      </w:r>
      <w:r>
        <w:rPr>
          <w:color w:val="231F20"/>
          <w:w w:val="105"/>
        </w:rPr>
        <w:t>legales”;</w:t>
      </w:r>
      <w:r>
        <w:rPr>
          <w:color w:val="231F20"/>
          <w:spacing w:val="-25"/>
          <w:w w:val="105"/>
        </w:rPr>
        <w:t> </w:t>
      </w:r>
      <w:r>
        <w:rPr>
          <w:color w:val="231F20"/>
          <w:w w:val="105"/>
        </w:rPr>
        <w:t>c)</w:t>
      </w:r>
      <w:r>
        <w:rPr>
          <w:color w:val="231F20"/>
          <w:spacing w:val="-25"/>
          <w:w w:val="105"/>
        </w:rPr>
        <w:t> </w:t>
      </w:r>
      <w:r>
        <w:rPr>
          <w:color w:val="231F20"/>
          <w:w w:val="105"/>
        </w:rPr>
        <w:t>los</w:t>
      </w:r>
      <w:r>
        <w:rPr>
          <w:color w:val="231F20"/>
          <w:spacing w:val="-25"/>
          <w:w w:val="105"/>
        </w:rPr>
        <w:t> </w:t>
      </w:r>
      <w:r>
        <w:rPr>
          <w:color w:val="231F20"/>
          <w:w w:val="105"/>
        </w:rPr>
        <w:t>conflictos</w:t>
      </w:r>
      <w:r>
        <w:rPr>
          <w:color w:val="231F20"/>
          <w:spacing w:val="-25"/>
          <w:w w:val="105"/>
        </w:rPr>
        <w:t> </w:t>
      </w:r>
      <w:r>
        <w:rPr>
          <w:color w:val="231F20"/>
          <w:w w:val="105"/>
        </w:rPr>
        <w:t>cultu-</w:t>
      </w:r>
    </w:p>
    <w:p>
      <w:pPr>
        <w:pStyle w:val="BodyText"/>
        <w:rPr>
          <w:sz w:val="20"/>
        </w:rPr>
      </w:pP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6496;mso-wrap-distance-left:0;mso-wrap-distance-right:0" from="65.196899pt,9.253442pt" to="178.582899pt,9.253442pt" stroked="true" strokeweight=".3pt" strokecolor="#231f20">
            <w10:wrap type="topAndBottom"/>
          </v:line>
        </w:pict>
      </w:r>
    </w:p>
    <w:p>
      <w:pPr>
        <w:spacing w:line="204" w:lineRule="exact" w:before="9"/>
        <w:ind w:left="103" w:right="115" w:firstLine="0"/>
        <w:jc w:val="both"/>
        <w:rPr>
          <w:rFonts w:ascii="Calibri" w:hAnsi="Calibri"/>
          <w:sz w:val="17"/>
        </w:rPr>
      </w:pPr>
      <w:r>
        <w:rPr>
          <w:rFonts w:ascii="Calibri" w:hAnsi="Calibri"/>
          <w:color w:val="231F20"/>
          <w:position w:val="6"/>
          <w:sz w:val="10"/>
        </w:rPr>
        <w:t>20</w:t>
      </w:r>
      <w:r>
        <w:rPr>
          <w:rFonts w:ascii="Calibri" w:hAnsi="Calibri"/>
          <w:color w:val="231F20"/>
          <w:spacing w:val="11"/>
          <w:position w:val="6"/>
          <w:sz w:val="10"/>
        </w:rPr>
        <w:t> </w:t>
      </w:r>
      <w:r>
        <w:rPr>
          <w:rFonts w:ascii="Calibri" w:hAnsi="Calibri"/>
          <w:color w:val="231F20"/>
          <w:sz w:val="17"/>
        </w:rPr>
        <w:t>L.</w:t>
      </w:r>
      <w:r>
        <w:rPr>
          <w:rFonts w:ascii="Calibri" w:hAnsi="Calibri"/>
          <w:color w:val="231F20"/>
          <w:spacing w:val="-5"/>
          <w:sz w:val="17"/>
        </w:rPr>
        <w:t> </w:t>
      </w:r>
      <w:r>
        <w:rPr>
          <w:rFonts w:ascii="Calibri" w:hAnsi="Calibri"/>
          <w:color w:val="231F20"/>
          <w:sz w:val="17"/>
        </w:rPr>
        <w:t>Morlino,</w:t>
      </w:r>
      <w:r>
        <w:rPr>
          <w:rFonts w:ascii="Calibri" w:hAnsi="Calibri"/>
          <w:color w:val="231F20"/>
          <w:spacing w:val="-5"/>
          <w:sz w:val="17"/>
        </w:rPr>
        <w:t> </w:t>
      </w:r>
      <w:r>
        <w:rPr>
          <w:rFonts w:ascii="Calibri" w:hAnsi="Calibri"/>
          <w:color w:val="231F20"/>
          <w:sz w:val="17"/>
        </w:rPr>
        <w:t>“Democrazie”,</w:t>
      </w:r>
      <w:r>
        <w:rPr>
          <w:rFonts w:ascii="Calibri" w:hAnsi="Calibri"/>
          <w:color w:val="231F20"/>
          <w:spacing w:val="-5"/>
          <w:sz w:val="17"/>
        </w:rPr>
        <w:t> </w:t>
      </w:r>
      <w:r>
        <w:rPr>
          <w:rFonts w:ascii="Calibri" w:hAnsi="Calibri"/>
          <w:color w:val="231F20"/>
          <w:sz w:val="17"/>
        </w:rPr>
        <w:t>G.</w:t>
      </w:r>
      <w:r>
        <w:rPr>
          <w:rFonts w:ascii="Calibri" w:hAnsi="Calibri"/>
          <w:color w:val="231F20"/>
          <w:spacing w:val="-5"/>
          <w:sz w:val="17"/>
        </w:rPr>
        <w:t> </w:t>
      </w:r>
      <w:r>
        <w:rPr>
          <w:rFonts w:ascii="Calibri" w:hAnsi="Calibri"/>
          <w:color w:val="231F20"/>
          <w:sz w:val="17"/>
        </w:rPr>
        <w:t>Pasquino</w:t>
      </w:r>
      <w:r>
        <w:rPr>
          <w:rFonts w:ascii="Calibri" w:hAnsi="Calibri"/>
          <w:color w:val="231F20"/>
          <w:spacing w:val="-5"/>
          <w:sz w:val="17"/>
        </w:rPr>
        <w:t> </w:t>
      </w:r>
      <w:r>
        <w:rPr>
          <w:rFonts w:ascii="Calibri" w:hAnsi="Calibri"/>
          <w:color w:val="231F20"/>
          <w:sz w:val="17"/>
        </w:rPr>
        <w:t>(coord),</w:t>
      </w:r>
      <w:r>
        <w:rPr>
          <w:rFonts w:ascii="Calibri" w:hAnsi="Calibri"/>
          <w:color w:val="231F20"/>
          <w:spacing w:val="-5"/>
          <w:sz w:val="17"/>
        </w:rPr>
        <w:t> </w:t>
      </w:r>
      <w:r>
        <w:rPr>
          <w:rFonts w:ascii="Calibri" w:hAnsi="Calibri"/>
          <w:i/>
          <w:color w:val="231F20"/>
          <w:sz w:val="17"/>
        </w:rPr>
        <w:t>Manuale</w:t>
      </w:r>
      <w:r>
        <w:rPr>
          <w:rFonts w:ascii="Calibri" w:hAnsi="Calibri"/>
          <w:i/>
          <w:color w:val="231F20"/>
          <w:spacing w:val="-6"/>
          <w:sz w:val="17"/>
        </w:rPr>
        <w:t> </w:t>
      </w:r>
      <w:r>
        <w:rPr>
          <w:rFonts w:ascii="Calibri" w:hAnsi="Calibri"/>
          <w:i/>
          <w:color w:val="231F20"/>
          <w:sz w:val="17"/>
        </w:rPr>
        <w:t>di</w:t>
      </w:r>
      <w:r>
        <w:rPr>
          <w:rFonts w:ascii="Calibri" w:hAnsi="Calibri"/>
          <w:i/>
          <w:color w:val="231F20"/>
          <w:spacing w:val="-6"/>
          <w:sz w:val="17"/>
        </w:rPr>
        <w:t> </w:t>
      </w:r>
      <w:r>
        <w:rPr>
          <w:rFonts w:ascii="Calibri" w:hAnsi="Calibri"/>
          <w:i/>
          <w:color w:val="231F20"/>
          <w:sz w:val="17"/>
        </w:rPr>
        <w:t>scienza</w:t>
      </w:r>
      <w:r>
        <w:rPr>
          <w:rFonts w:ascii="Calibri" w:hAnsi="Calibri"/>
          <w:i/>
          <w:color w:val="231F20"/>
          <w:spacing w:val="-6"/>
          <w:sz w:val="17"/>
        </w:rPr>
        <w:t> </w:t>
      </w:r>
      <w:r>
        <w:rPr>
          <w:rFonts w:ascii="Calibri" w:hAnsi="Calibri"/>
          <w:i/>
          <w:color w:val="231F20"/>
          <w:sz w:val="17"/>
        </w:rPr>
        <w:t>política</w:t>
      </w:r>
      <w:r>
        <w:rPr>
          <w:rFonts w:ascii="Calibri" w:hAnsi="Calibri"/>
          <w:color w:val="231F20"/>
          <w:sz w:val="17"/>
        </w:rPr>
        <w:t>,</w:t>
      </w:r>
      <w:r>
        <w:rPr>
          <w:rFonts w:ascii="Calibri" w:hAnsi="Calibri"/>
          <w:color w:val="231F20"/>
          <w:spacing w:val="-5"/>
          <w:sz w:val="17"/>
        </w:rPr>
        <w:t> </w:t>
      </w:r>
      <w:r>
        <w:rPr>
          <w:rFonts w:ascii="Calibri" w:hAnsi="Calibri"/>
          <w:color w:val="231F20"/>
          <w:sz w:val="17"/>
        </w:rPr>
        <w:t>Boloña,</w:t>
      </w:r>
      <w:r>
        <w:rPr>
          <w:rFonts w:ascii="Calibri" w:hAnsi="Calibri"/>
          <w:color w:val="231F20"/>
          <w:spacing w:val="-5"/>
          <w:sz w:val="17"/>
        </w:rPr>
        <w:t> </w:t>
      </w:r>
      <w:r>
        <w:rPr>
          <w:rFonts w:ascii="Calibri" w:hAnsi="Calibri"/>
          <w:color w:val="231F20"/>
          <w:sz w:val="17"/>
        </w:rPr>
        <w:t>Il</w:t>
      </w:r>
      <w:r>
        <w:rPr>
          <w:rFonts w:ascii="Calibri" w:hAnsi="Calibri"/>
          <w:color w:val="231F20"/>
          <w:spacing w:val="-5"/>
          <w:sz w:val="17"/>
        </w:rPr>
        <w:t> </w:t>
      </w:r>
      <w:r>
        <w:rPr>
          <w:rFonts w:ascii="Calibri" w:hAnsi="Calibri"/>
          <w:color w:val="231F20"/>
          <w:sz w:val="17"/>
        </w:rPr>
        <w:t>Mulino,1986, pp.</w:t>
      </w:r>
      <w:r>
        <w:rPr>
          <w:rFonts w:ascii="Calibri" w:hAnsi="Calibri"/>
          <w:color w:val="231F20"/>
          <w:spacing w:val="-9"/>
          <w:sz w:val="17"/>
        </w:rPr>
        <w:t> </w:t>
      </w:r>
      <w:r>
        <w:rPr>
          <w:rFonts w:ascii="Calibri" w:hAnsi="Calibri"/>
          <w:color w:val="231F20"/>
          <w:sz w:val="17"/>
        </w:rPr>
        <w:t>83–136;</w:t>
      </w:r>
      <w:r>
        <w:rPr>
          <w:rFonts w:ascii="Calibri" w:hAnsi="Calibri"/>
          <w:color w:val="231F20"/>
          <w:spacing w:val="-9"/>
          <w:sz w:val="17"/>
        </w:rPr>
        <w:t> </w:t>
      </w:r>
      <w:r>
        <w:rPr>
          <w:rFonts w:ascii="Calibri" w:hAnsi="Calibri"/>
          <w:color w:val="231F20"/>
          <w:sz w:val="17"/>
        </w:rPr>
        <w:t>J.</w:t>
      </w:r>
      <w:r>
        <w:rPr>
          <w:rFonts w:ascii="Calibri" w:hAnsi="Calibri"/>
          <w:color w:val="231F20"/>
          <w:spacing w:val="-9"/>
          <w:sz w:val="17"/>
        </w:rPr>
        <w:t> </w:t>
      </w:r>
      <w:r>
        <w:rPr>
          <w:rFonts w:ascii="Calibri" w:hAnsi="Calibri"/>
          <w:color w:val="231F20"/>
          <w:sz w:val="17"/>
        </w:rPr>
        <w:t>A.</w:t>
      </w:r>
      <w:r>
        <w:rPr>
          <w:rFonts w:ascii="Calibri" w:hAnsi="Calibri"/>
          <w:color w:val="231F20"/>
          <w:spacing w:val="-9"/>
          <w:sz w:val="17"/>
        </w:rPr>
        <w:t> </w:t>
      </w:r>
      <w:r>
        <w:rPr>
          <w:rFonts w:ascii="Calibri" w:hAnsi="Calibri"/>
          <w:color w:val="231F20"/>
          <w:sz w:val="17"/>
        </w:rPr>
        <w:t>Schumpeter,</w:t>
      </w:r>
      <w:r>
        <w:rPr>
          <w:rFonts w:ascii="Calibri" w:hAnsi="Calibri"/>
          <w:color w:val="231F20"/>
          <w:spacing w:val="-9"/>
          <w:sz w:val="17"/>
        </w:rPr>
        <w:t> </w:t>
      </w:r>
      <w:r>
        <w:rPr>
          <w:rFonts w:ascii="Calibri" w:hAnsi="Calibri"/>
          <w:i/>
          <w:color w:val="231F20"/>
          <w:sz w:val="17"/>
        </w:rPr>
        <w:t>Capitalismo,</w:t>
      </w:r>
      <w:r>
        <w:rPr>
          <w:rFonts w:ascii="Calibri" w:hAnsi="Calibri"/>
          <w:i/>
          <w:color w:val="231F20"/>
          <w:spacing w:val="-10"/>
          <w:sz w:val="17"/>
        </w:rPr>
        <w:t> </w:t>
      </w:r>
      <w:r>
        <w:rPr>
          <w:rFonts w:ascii="Calibri" w:hAnsi="Calibri"/>
          <w:i/>
          <w:color w:val="231F20"/>
          <w:sz w:val="17"/>
        </w:rPr>
        <w:t>socialismo</w:t>
      </w:r>
      <w:r>
        <w:rPr>
          <w:rFonts w:ascii="Calibri" w:hAnsi="Calibri"/>
          <w:i/>
          <w:color w:val="231F20"/>
          <w:spacing w:val="-11"/>
          <w:sz w:val="17"/>
        </w:rPr>
        <w:t> </w:t>
      </w:r>
      <w:r>
        <w:rPr>
          <w:rFonts w:ascii="Calibri" w:hAnsi="Calibri"/>
          <w:i/>
          <w:color w:val="231F20"/>
          <w:sz w:val="17"/>
        </w:rPr>
        <w:t>y</w:t>
      </w:r>
      <w:r>
        <w:rPr>
          <w:rFonts w:ascii="Calibri" w:hAnsi="Calibri"/>
          <w:i/>
          <w:color w:val="231F20"/>
          <w:spacing w:val="-10"/>
          <w:sz w:val="17"/>
        </w:rPr>
        <w:t> </w:t>
      </w:r>
      <w:r>
        <w:rPr>
          <w:rFonts w:ascii="Calibri" w:hAnsi="Calibri"/>
          <w:i/>
          <w:color w:val="231F20"/>
          <w:sz w:val="17"/>
        </w:rPr>
        <w:t>democracia</w:t>
      </w:r>
      <w:r>
        <w:rPr>
          <w:rFonts w:ascii="Calibri" w:hAnsi="Calibri"/>
          <w:color w:val="231F20"/>
          <w:sz w:val="17"/>
        </w:rPr>
        <w:t>,</w:t>
      </w:r>
      <w:r>
        <w:rPr>
          <w:rFonts w:ascii="Calibri" w:hAnsi="Calibri"/>
          <w:color w:val="231F20"/>
          <w:spacing w:val="-9"/>
          <w:sz w:val="17"/>
        </w:rPr>
        <w:t> </w:t>
      </w:r>
      <w:r>
        <w:rPr>
          <w:rFonts w:ascii="Calibri" w:hAnsi="Calibri"/>
          <w:i/>
          <w:color w:val="231F20"/>
          <w:sz w:val="17"/>
        </w:rPr>
        <w:t>vol.</w:t>
      </w:r>
      <w:r>
        <w:rPr>
          <w:rFonts w:ascii="Calibri" w:hAnsi="Calibri"/>
          <w:i/>
          <w:color w:val="231F20"/>
          <w:spacing w:val="-10"/>
          <w:sz w:val="17"/>
        </w:rPr>
        <w:t> </w:t>
      </w:r>
      <w:r>
        <w:rPr>
          <w:rFonts w:ascii="Calibri" w:hAnsi="Calibri"/>
          <w:i/>
          <w:color w:val="231F20"/>
          <w:sz w:val="17"/>
        </w:rPr>
        <w:t>2</w:t>
      </w:r>
      <w:r>
        <w:rPr>
          <w:rFonts w:ascii="Calibri" w:hAnsi="Calibri"/>
          <w:color w:val="231F20"/>
          <w:sz w:val="17"/>
        </w:rPr>
        <w:t>,</w:t>
      </w:r>
      <w:r>
        <w:rPr>
          <w:rFonts w:ascii="Calibri" w:hAnsi="Calibri"/>
          <w:color w:val="231F20"/>
          <w:spacing w:val="-9"/>
          <w:sz w:val="17"/>
        </w:rPr>
        <w:t> </w:t>
      </w:r>
      <w:r>
        <w:rPr>
          <w:rFonts w:ascii="Calibri" w:hAnsi="Calibri"/>
          <w:color w:val="231F20"/>
          <w:sz w:val="17"/>
        </w:rPr>
        <w:t>Barcelona,</w:t>
      </w:r>
      <w:r>
        <w:rPr>
          <w:rFonts w:ascii="Calibri" w:hAnsi="Calibri"/>
          <w:color w:val="231F20"/>
          <w:spacing w:val="-9"/>
          <w:sz w:val="17"/>
        </w:rPr>
        <w:t> </w:t>
      </w:r>
      <w:r>
        <w:rPr>
          <w:rFonts w:ascii="Calibri" w:hAnsi="Calibri"/>
          <w:color w:val="231F20"/>
          <w:sz w:val="17"/>
        </w:rPr>
        <w:t>Folio.</w:t>
      </w:r>
      <w:r>
        <w:rPr>
          <w:rFonts w:ascii="Calibri" w:hAnsi="Calibri"/>
          <w:color w:val="231F20"/>
          <w:spacing w:val="-9"/>
          <w:sz w:val="17"/>
        </w:rPr>
        <w:t> </w:t>
      </w:r>
      <w:r>
        <w:rPr>
          <w:rFonts w:ascii="Calibri" w:hAnsi="Calibri"/>
          <w:color w:val="231F20"/>
          <w:sz w:val="17"/>
        </w:rPr>
        <w:t>1996,</w:t>
      </w:r>
      <w:r>
        <w:rPr>
          <w:rFonts w:ascii="Calibri" w:hAnsi="Calibri"/>
          <w:color w:val="231F20"/>
          <w:spacing w:val="-9"/>
          <w:sz w:val="17"/>
        </w:rPr>
        <w:t> </w:t>
      </w:r>
      <w:r>
        <w:rPr>
          <w:rFonts w:ascii="Calibri" w:hAnsi="Calibri"/>
          <w:color w:val="231F20"/>
          <w:sz w:val="17"/>
        </w:rPr>
        <w:t>pp. </w:t>
      </w:r>
      <w:r>
        <w:rPr>
          <w:rFonts w:ascii="Calibri" w:hAnsi="Calibri"/>
          <w:color w:val="231F20"/>
          <w:w w:val="95"/>
          <w:sz w:val="17"/>
        </w:rPr>
        <w:t>321–242,</w:t>
      </w:r>
      <w:r>
        <w:rPr>
          <w:rFonts w:ascii="Calibri" w:hAnsi="Calibri"/>
          <w:color w:val="231F20"/>
          <w:spacing w:val="9"/>
          <w:w w:val="95"/>
          <w:sz w:val="17"/>
        </w:rPr>
        <w:t> </w:t>
      </w:r>
      <w:r>
        <w:rPr>
          <w:rFonts w:ascii="Calibri" w:hAnsi="Calibri"/>
          <w:color w:val="231F20"/>
          <w:w w:val="95"/>
          <w:sz w:val="17"/>
        </w:rPr>
        <w:t>243–360.</w:t>
      </w:r>
    </w:p>
    <w:p>
      <w:pPr>
        <w:spacing w:line="204" w:lineRule="exact" w:before="0"/>
        <w:ind w:left="103" w:right="115" w:firstLine="0"/>
        <w:jc w:val="both"/>
        <w:rPr>
          <w:rFonts w:ascii="Calibri" w:hAnsi="Calibri"/>
          <w:sz w:val="17"/>
        </w:rPr>
      </w:pPr>
      <w:r>
        <w:rPr>
          <w:rFonts w:ascii="Calibri" w:hAnsi="Calibri"/>
          <w:color w:val="231F20"/>
          <w:w w:val="105"/>
          <w:position w:val="6"/>
          <w:sz w:val="10"/>
        </w:rPr>
        <w:t>21</w:t>
      </w:r>
      <w:r>
        <w:rPr>
          <w:rFonts w:ascii="Calibri" w:hAnsi="Calibri"/>
          <w:color w:val="231F20"/>
          <w:spacing w:val="12"/>
          <w:w w:val="105"/>
          <w:position w:val="6"/>
          <w:sz w:val="10"/>
        </w:rPr>
        <w:t> </w:t>
      </w:r>
      <w:r>
        <w:rPr>
          <w:rFonts w:ascii="Calibri" w:hAnsi="Calibri"/>
          <w:color w:val="231F20"/>
          <w:w w:val="105"/>
          <w:sz w:val="17"/>
        </w:rPr>
        <w:t>Piénsese</w:t>
      </w:r>
      <w:r>
        <w:rPr>
          <w:rFonts w:ascii="Calibri" w:hAnsi="Calibri"/>
          <w:color w:val="231F20"/>
          <w:spacing w:val="-4"/>
          <w:w w:val="105"/>
          <w:sz w:val="17"/>
        </w:rPr>
        <w:t> </w:t>
      </w:r>
      <w:r>
        <w:rPr>
          <w:rFonts w:ascii="Calibri" w:hAnsi="Calibri"/>
          <w:color w:val="231F20"/>
          <w:w w:val="105"/>
          <w:sz w:val="17"/>
        </w:rPr>
        <w:t>en</w:t>
      </w:r>
      <w:r>
        <w:rPr>
          <w:rFonts w:ascii="Calibri" w:hAnsi="Calibri"/>
          <w:color w:val="231F20"/>
          <w:spacing w:val="-4"/>
          <w:w w:val="105"/>
          <w:sz w:val="17"/>
        </w:rPr>
        <w:t> </w:t>
      </w:r>
      <w:r>
        <w:rPr>
          <w:rFonts w:ascii="Calibri" w:hAnsi="Calibri"/>
          <w:color w:val="231F20"/>
          <w:w w:val="105"/>
          <w:sz w:val="17"/>
        </w:rPr>
        <w:t>la</w:t>
      </w:r>
      <w:r>
        <w:rPr>
          <w:rFonts w:ascii="Calibri" w:hAnsi="Calibri"/>
          <w:color w:val="231F20"/>
          <w:spacing w:val="-4"/>
          <w:w w:val="105"/>
          <w:sz w:val="17"/>
        </w:rPr>
        <w:t> </w:t>
      </w:r>
      <w:r>
        <w:rPr>
          <w:rFonts w:ascii="Calibri" w:hAnsi="Calibri"/>
          <w:color w:val="231F20"/>
          <w:w w:val="105"/>
          <w:sz w:val="17"/>
        </w:rPr>
        <w:t>concepción</w:t>
      </w:r>
      <w:r>
        <w:rPr>
          <w:rFonts w:ascii="Calibri" w:hAnsi="Calibri"/>
          <w:color w:val="231F20"/>
          <w:spacing w:val="-4"/>
          <w:w w:val="105"/>
          <w:sz w:val="17"/>
        </w:rPr>
        <w:t> </w:t>
      </w:r>
      <w:r>
        <w:rPr>
          <w:rFonts w:ascii="Calibri" w:hAnsi="Calibri"/>
          <w:color w:val="231F20"/>
          <w:w w:val="105"/>
          <w:sz w:val="17"/>
        </w:rPr>
        <w:t>“moderna”</w:t>
      </w:r>
      <w:r>
        <w:rPr>
          <w:rFonts w:ascii="Calibri" w:hAnsi="Calibri"/>
          <w:color w:val="231F20"/>
          <w:spacing w:val="-4"/>
          <w:w w:val="105"/>
          <w:sz w:val="17"/>
        </w:rPr>
        <w:t> </w:t>
      </w:r>
      <w:r>
        <w:rPr>
          <w:rFonts w:ascii="Calibri" w:hAnsi="Calibri"/>
          <w:color w:val="231F20"/>
          <w:w w:val="105"/>
          <w:sz w:val="17"/>
        </w:rPr>
        <w:t>de</w:t>
      </w:r>
      <w:r>
        <w:rPr>
          <w:rFonts w:ascii="Calibri" w:hAnsi="Calibri"/>
          <w:color w:val="231F20"/>
          <w:spacing w:val="-4"/>
          <w:w w:val="105"/>
          <w:sz w:val="17"/>
        </w:rPr>
        <w:t> </w:t>
      </w:r>
      <w:r>
        <w:rPr>
          <w:rFonts w:ascii="Calibri" w:hAnsi="Calibri"/>
          <w:color w:val="231F20"/>
          <w:w w:val="105"/>
          <w:sz w:val="17"/>
        </w:rPr>
        <w:t>la</w:t>
      </w:r>
      <w:r>
        <w:rPr>
          <w:rFonts w:ascii="Calibri" w:hAnsi="Calibri"/>
          <w:color w:val="231F20"/>
          <w:spacing w:val="-4"/>
          <w:w w:val="105"/>
          <w:sz w:val="17"/>
        </w:rPr>
        <w:t> </w:t>
      </w:r>
      <w:r>
        <w:rPr>
          <w:rFonts w:ascii="Calibri" w:hAnsi="Calibri"/>
          <w:i/>
          <w:color w:val="231F20"/>
          <w:w w:val="105"/>
          <w:sz w:val="17"/>
        </w:rPr>
        <w:t>litigation</w:t>
      </w:r>
      <w:r>
        <w:rPr>
          <w:rFonts w:ascii="Calibri" w:hAnsi="Calibri"/>
          <w:i/>
          <w:color w:val="231F20"/>
          <w:spacing w:val="-5"/>
          <w:w w:val="105"/>
          <w:sz w:val="17"/>
        </w:rPr>
        <w:t> </w:t>
      </w:r>
      <w:r>
        <w:rPr>
          <w:rFonts w:ascii="Calibri" w:hAnsi="Calibri"/>
          <w:i/>
          <w:color w:val="231F20"/>
          <w:w w:val="105"/>
          <w:sz w:val="17"/>
        </w:rPr>
        <w:t>society</w:t>
      </w:r>
      <w:r>
        <w:rPr>
          <w:rFonts w:ascii="Calibri" w:hAnsi="Calibri"/>
          <w:color w:val="231F20"/>
          <w:w w:val="105"/>
          <w:sz w:val="17"/>
        </w:rPr>
        <w:t>,</w:t>
      </w:r>
      <w:r>
        <w:rPr>
          <w:rFonts w:ascii="Calibri" w:hAnsi="Calibri"/>
          <w:color w:val="231F20"/>
          <w:spacing w:val="-4"/>
          <w:w w:val="105"/>
          <w:sz w:val="17"/>
        </w:rPr>
        <w:t> </w:t>
      </w:r>
      <w:r>
        <w:rPr>
          <w:rFonts w:ascii="Calibri" w:hAnsi="Calibri"/>
          <w:color w:val="231F20"/>
          <w:w w:val="105"/>
          <w:sz w:val="17"/>
        </w:rPr>
        <w:t>que</w:t>
      </w:r>
      <w:r>
        <w:rPr>
          <w:rFonts w:ascii="Calibri" w:hAnsi="Calibri"/>
          <w:color w:val="231F20"/>
          <w:spacing w:val="-4"/>
          <w:w w:val="105"/>
          <w:sz w:val="17"/>
        </w:rPr>
        <w:t> </w:t>
      </w:r>
      <w:r>
        <w:rPr>
          <w:rFonts w:ascii="Calibri" w:hAnsi="Calibri"/>
          <w:color w:val="231F20"/>
          <w:w w:val="105"/>
          <w:sz w:val="17"/>
        </w:rPr>
        <w:t>no</w:t>
      </w:r>
      <w:r>
        <w:rPr>
          <w:rFonts w:ascii="Calibri" w:hAnsi="Calibri"/>
          <w:color w:val="231F20"/>
          <w:spacing w:val="-4"/>
          <w:w w:val="105"/>
          <w:sz w:val="17"/>
        </w:rPr>
        <w:t> </w:t>
      </w:r>
      <w:r>
        <w:rPr>
          <w:rFonts w:ascii="Calibri" w:hAnsi="Calibri"/>
          <w:color w:val="231F20"/>
          <w:w w:val="105"/>
          <w:sz w:val="17"/>
        </w:rPr>
        <w:t>cubría</w:t>
      </w:r>
      <w:r>
        <w:rPr>
          <w:rFonts w:ascii="Calibri" w:hAnsi="Calibri"/>
          <w:color w:val="231F20"/>
          <w:spacing w:val="-4"/>
          <w:w w:val="105"/>
          <w:sz w:val="17"/>
        </w:rPr>
        <w:t> </w:t>
      </w:r>
      <w:r>
        <w:rPr>
          <w:rFonts w:ascii="Calibri" w:hAnsi="Calibri"/>
          <w:color w:val="231F20"/>
          <w:w w:val="105"/>
          <w:sz w:val="17"/>
        </w:rPr>
        <w:t>exclusivamente</w:t>
      </w:r>
      <w:r>
        <w:rPr>
          <w:rFonts w:ascii="Calibri" w:hAnsi="Calibri"/>
          <w:color w:val="231F20"/>
          <w:spacing w:val="-4"/>
          <w:w w:val="105"/>
          <w:sz w:val="17"/>
        </w:rPr>
        <w:t> </w:t>
      </w:r>
      <w:r>
        <w:rPr>
          <w:rFonts w:ascii="Calibri" w:hAnsi="Calibri"/>
          <w:color w:val="231F20"/>
          <w:w w:val="105"/>
          <w:sz w:val="17"/>
        </w:rPr>
        <w:t>su </w:t>
      </w:r>
      <w:r>
        <w:rPr>
          <w:rFonts w:ascii="Calibri" w:hAnsi="Calibri"/>
          <w:color w:val="231F20"/>
          <w:sz w:val="17"/>
        </w:rPr>
        <w:t>aspecto</w:t>
      </w:r>
      <w:r>
        <w:rPr>
          <w:rFonts w:ascii="Calibri" w:hAnsi="Calibri"/>
          <w:color w:val="231F20"/>
          <w:spacing w:val="22"/>
          <w:sz w:val="17"/>
        </w:rPr>
        <w:t> </w:t>
      </w:r>
      <w:r>
        <w:rPr>
          <w:rFonts w:ascii="Calibri" w:hAnsi="Calibri"/>
          <w:color w:val="231F20"/>
          <w:sz w:val="17"/>
        </w:rPr>
        <w:t>jurídico.</w:t>
      </w:r>
    </w:p>
    <w:p>
      <w:pPr>
        <w:spacing w:line="204" w:lineRule="exact" w:before="0"/>
        <w:ind w:left="103" w:right="115" w:firstLine="0"/>
        <w:jc w:val="both"/>
        <w:rPr>
          <w:rFonts w:ascii="Calibri" w:hAnsi="Calibri"/>
          <w:sz w:val="17"/>
        </w:rPr>
      </w:pPr>
      <w:r>
        <w:rPr>
          <w:rFonts w:ascii="Calibri" w:hAnsi="Calibri"/>
          <w:color w:val="231F20"/>
          <w:position w:val="6"/>
          <w:sz w:val="10"/>
        </w:rPr>
        <w:t>22 </w:t>
      </w:r>
      <w:r>
        <w:rPr>
          <w:rFonts w:ascii="Calibri" w:hAnsi="Calibri"/>
          <w:color w:val="231F20"/>
          <w:sz w:val="17"/>
        </w:rPr>
        <w:t>Es célebre la sentencia de Schumpeter: “El capitalismo está siendo asesinado por sus propias realizaciones” (Schumpeter, </w:t>
      </w:r>
      <w:r>
        <w:rPr>
          <w:rFonts w:ascii="Calibri" w:hAnsi="Calibri"/>
          <w:i/>
          <w:color w:val="231F20"/>
          <w:sz w:val="17"/>
        </w:rPr>
        <w:t>Capitalismo, socialismo y democracia</w:t>
      </w:r>
      <w:r>
        <w:rPr>
          <w:rFonts w:ascii="Calibri" w:hAnsi="Calibri"/>
          <w:color w:val="231F20"/>
          <w:sz w:val="17"/>
        </w:rPr>
        <w:t>, </w:t>
      </w:r>
      <w:r>
        <w:rPr>
          <w:rFonts w:ascii="Calibri" w:hAnsi="Calibri"/>
          <w:i/>
          <w:color w:val="231F20"/>
          <w:sz w:val="17"/>
        </w:rPr>
        <w:t>vol. 2</w:t>
      </w:r>
      <w:r>
        <w:rPr>
          <w:rFonts w:ascii="Calibri" w:hAnsi="Calibri"/>
          <w:color w:val="231F20"/>
          <w:sz w:val="17"/>
        </w:rPr>
        <w:t>, p. 16).</w:t>
      </w:r>
    </w:p>
    <w:p>
      <w:pPr>
        <w:pStyle w:val="BodyText"/>
        <w:rPr>
          <w:rFonts w:ascii="Calibri"/>
          <w:sz w:val="20"/>
        </w:rPr>
      </w:pPr>
    </w:p>
    <w:p>
      <w:pPr>
        <w:pStyle w:val="BodyText"/>
        <w:spacing w:before="1"/>
        <w:rPr>
          <w:rFonts w:ascii="Calibri"/>
          <w:sz w:val="28"/>
        </w:rPr>
      </w:pPr>
    </w:p>
    <w:p>
      <w:pPr>
        <w:tabs>
          <w:tab w:pos="1331" w:val="left" w:leader="none"/>
        </w:tabs>
        <w:spacing w:before="69"/>
        <w:ind w:left="226" w:right="0" w:firstLine="0"/>
        <w:jc w:val="left"/>
        <w:rPr>
          <w:rFonts w:ascii="Calibri"/>
          <w:sz w:val="16"/>
        </w:rPr>
      </w:pPr>
      <w:r>
        <w:rPr/>
        <w:pict>
          <v:group style="position:absolute;margin-left:98.787804pt;margin-top:-3.308812pt;width:20.4pt;height:43pt;mso-position-horizontal-relative:page;mso-position-vertical-relative:paragraph;z-index:-168880" coordorigin="1976,-66" coordsize="408,860">
            <v:line style="position:absolute" from="2225,73" to="2225,789" stroked="true" strokeweight=".35pt" strokecolor="#231f20"/>
            <v:shape style="position:absolute;left:2193;top:-13;width:190;height:445" type="#_x0000_t75" stroked="false">
              <v:imagedata r:id="rId40" o:title=""/>
            </v:shape>
            <v:shape style="position:absolute;left:1976;top:-66;width:250;height:502" type="#_x0000_t75" stroked="false">
              <v:imagedata r:id="rId41" o:title=""/>
            </v:shape>
            <w10:wrap type="none"/>
          </v:group>
        </w:pict>
      </w:r>
      <w:r>
        <w:rPr>
          <w:rFonts w:ascii="Arial"/>
          <w:color w:val="414042"/>
          <w:position w:val="-4"/>
          <w:sz w:val="20"/>
        </w:rPr>
        <w:t>124</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244"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656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"EL AFUERA SIEMPRE ES ADENTRO”. TENSIONES Y TRANSFORMACIONES RECIENTES</w:t>
      </w:r>
    </w:p>
    <w:p>
      <w:pPr>
        <w:spacing w:line="198" w:lineRule="exact" w:before="0"/>
        <w:ind w:left="2835" w:right="-7" w:firstLine="0"/>
        <w:jc w:val="left"/>
        <w:rPr>
          <w:rFonts w:ascii="Lucida Sans Unicode" w:hAnsi="Lucida Sans Unicode"/>
          <w:sz w:val="14"/>
        </w:rPr>
      </w:pPr>
      <w:r>
        <w:rPr>
          <w:rFonts w:ascii="Lucida Sans Unicode" w:hAnsi="Lucida Sans Unicode"/>
          <w:color w:val="6D6E71"/>
          <w:w w:val="90"/>
          <w:sz w:val="14"/>
        </w:rPr>
        <w:t>EN</w:t>
      </w:r>
      <w:r>
        <w:rPr>
          <w:rFonts w:ascii="Lucida Sans Unicode" w:hAnsi="Lucida Sans Unicode"/>
          <w:color w:val="6D6E71"/>
          <w:spacing w:val="-10"/>
          <w:w w:val="90"/>
          <w:sz w:val="14"/>
        </w:rPr>
        <w:t> </w:t>
      </w:r>
      <w:r>
        <w:rPr>
          <w:rFonts w:ascii="Lucida Sans Unicode" w:hAnsi="Lucida Sans Unicode"/>
          <w:color w:val="6D6E71"/>
          <w:w w:val="90"/>
          <w:sz w:val="14"/>
        </w:rPr>
        <w:t>EL</w:t>
      </w:r>
      <w:r>
        <w:rPr>
          <w:rFonts w:ascii="Lucida Sans Unicode" w:hAnsi="Lucida Sans Unicode"/>
          <w:color w:val="6D6E71"/>
          <w:spacing w:val="-10"/>
          <w:w w:val="90"/>
          <w:sz w:val="14"/>
        </w:rPr>
        <w:t> </w:t>
      </w:r>
      <w:r>
        <w:rPr>
          <w:rFonts w:ascii="Lucida Sans Unicode" w:hAnsi="Lucida Sans Unicode"/>
          <w:color w:val="6D6E71"/>
          <w:w w:val="90"/>
          <w:sz w:val="14"/>
        </w:rPr>
        <w:t>ESPACIO</w:t>
      </w:r>
      <w:r>
        <w:rPr>
          <w:rFonts w:ascii="Lucida Sans Unicode" w:hAnsi="Lucida Sans Unicode"/>
          <w:color w:val="6D6E71"/>
          <w:spacing w:val="-10"/>
          <w:w w:val="90"/>
          <w:sz w:val="14"/>
        </w:rPr>
        <w:t> </w:t>
      </w:r>
      <w:r>
        <w:rPr>
          <w:rFonts w:ascii="Lucida Sans Unicode" w:hAnsi="Lucida Sans Unicode"/>
          <w:color w:val="6D6E71"/>
          <w:w w:val="90"/>
          <w:sz w:val="14"/>
        </w:rPr>
        <w:t>POLÍTICO</w:t>
      </w:r>
      <w:r>
        <w:rPr>
          <w:rFonts w:ascii="Lucida Sans Unicode" w:hAnsi="Lucida Sans Unicode"/>
          <w:color w:val="6D6E71"/>
          <w:spacing w:val="-10"/>
          <w:w w:val="90"/>
          <w:sz w:val="14"/>
        </w:rPr>
        <w:t> </w:t>
      </w:r>
      <w:r>
        <w:rPr>
          <w:rFonts w:ascii="Lucida Sans Unicode" w:hAnsi="Lucida Sans Unicode"/>
          <w:color w:val="6D6E71"/>
          <w:w w:val="90"/>
          <w:sz w:val="14"/>
        </w:rPr>
        <w:t>DEL</w:t>
      </w:r>
      <w:r>
        <w:rPr>
          <w:rFonts w:ascii="Lucida Sans Unicode" w:hAnsi="Lucida Sans Unicode"/>
          <w:color w:val="6D6E71"/>
          <w:spacing w:val="-10"/>
          <w:w w:val="90"/>
          <w:sz w:val="14"/>
        </w:rPr>
        <w:t> </w:t>
      </w:r>
      <w:r>
        <w:rPr>
          <w:rFonts w:ascii="Lucida Sans Unicode" w:hAnsi="Lucida Sans Unicode"/>
          <w:color w:val="6D6E71"/>
          <w:w w:val="90"/>
          <w:sz w:val="14"/>
        </w:rPr>
        <w:t>ESTADO</w:t>
      </w:r>
      <w:r>
        <w:rPr>
          <w:rFonts w:ascii="Lucida Sans Unicode" w:hAnsi="Lucida Sans Unicode"/>
          <w:color w:val="6D6E71"/>
          <w:spacing w:val="-10"/>
          <w:w w:val="90"/>
          <w:sz w:val="14"/>
        </w:rPr>
        <w:t> </w:t>
      </w:r>
      <w:r>
        <w:rPr>
          <w:rFonts w:ascii="Lucida Sans Unicode" w:hAnsi="Lucida Sans Unicode"/>
          <w:color w:val="6D6E71"/>
          <w:w w:val="90"/>
          <w:sz w:val="14"/>
        </w:rPr>
        <w:t>Y</w:t>
      </w:r>
      <w:r>
        <w:rPr>
          <w:rFonts w:ascii="Lucida Sans Unicode" w:hAnsi="Lucida Sans Unicode"/>
          <w:color w:val="6D6E71"/>
          <w:spacing w:val="-10"/>
          <w:w w:val="90"/>
          <w:sz w:val="14"/>
        </w:rPr>
        <w:t> </w:t>
      </w:r>
      <w:r>
        <w:rPr>
          <w:rFonts w:ascii="Lucida Sans Unicode" w:hAnsi="Lucida Sans Unicode"/>
          <w:color w:val="6D6E71"/>
          <w:w w:val="90"/>
          <w:sz w:val="14"/>
        </w:rPr>
        <w:t>LA</w:t>
      </w:r>
      <w:r>
        <w:rPr>
          <w:rFonts w:ascii="Lucida Sans Unicode" w:hAnsi="Lucida Sans Unicode"/>
          <w:color w:val="6D6E71"/>
          <w:spacing w:val="-10"/>
          <w:w w:val="90"/>
          <w:sz w:val="14"/>
        </w:rPr>
        <w:t> </w:t>
      </w:r>
      <w:r>
        <w:rPr>
          <w:rFonts w:ascii="Lucida Sans Unicode" w:hAnsi="Lucida Sans Unicode"/>
          <w:color w:val="6D6E71"/>
          <w:w w:val="90"/>
          <w:sz w:val="14"/>
        </w:rPr>
        <w:t>DEMOCRACIA</w:t>
      </w:r>
    </w:p>
    <w:p>
      <w:pPr>
        <w:spacing w:before="59"/>
        <w:ind w:left="338" w:right="0" w:firstLine="0"/>
        <w:jc w:val="left"/>
        <w:rPr>
          <w:rFonts w:ascii="Arial"/>
          <w:sz w:val="20"/>
        </w:rPr>
      </w:pPr>
      <w:r>
        <w:rPr/>
        <w:br w:type="column"/>
      </w:r>
      <w:r>
        <w:rPr>
          <w:rFonts w:ascii="Arial"/>
          <w:color w:val="414042"/>
          <w:sz w:val="20"/>
        </w:rPr>
        <w:t>125</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6"/>
        <w:rPr>
          <w:rFonts w:ascii="Arial"/>
          <w:sz w:val="16"/>
        </w:rPr>
      </w:pPr>
    </w:p>
    <w:p>
      <w:pPr>
        <w:pStyle w:val="BodyText"/>
        <w:spacing w:line="247" w:lineRule="auto" w:before="44"/>
        <w:ind w:left="117"/>
      </w:pPr>
      <w:r>
        <w:rPr>
          <w:color w:val="231F20"/>
        </w:rPr>
        <w:t>rales como las movilizaciones por la exigencia de seguridad ciudadana, los derechos humanos y las identidades</w:t>
      </w:r>
      <w:r>
        <w:rPr>
          <w:color w:val="231F20"/>
          <w:position w:val="7"/>
          <w:sz w:val="12"/>
        </w:rPr>
        <w:t>23</w:t>
      </w:r>
      <w:r>
        <w:rPr>
          <w:color w:val="231F20"/>
        </w:rPr>
        <w:t>.</w:t>
      </w:r>
    </w:p>
    <w:p>
      <w:pPr>
        <w:pStyle w:val="BodyText"/>
        <w:spacing w:line="247" w:lineRule="auto"/>
        <w:ind w:left="117" w:right="101" w:firstLine="566"/>
        <w:jc w:val="both"/>
      </w:pPr>
      <w:r>
        <w:rPr>
          <w:color w:val="231F20"/>
          <w:w w:val="105"/>
        </w:rPr>
        <w:t>En</w:t>
      </w:r>
      <w:r>
        <w:rPr>
          <w:color w:val="231F20"/>
          <w:spacing w:val="-28"/>
          <w:w w:val="105"/>
        </w:rPr>
        <w:t> </w:t>
      </w:r>
      <w:r>
        <w:rPr>
          <w:color w:val="231F20"/>
          <w:w w:val="105"/>
        </w:rPr>
        <w:t>resumen,</w:t>
      </w:r>
      <w:r>
        <w:rPr>
          <w:color w:val="231F20"/>
          <w:spacing w:val="-28"/>
          <w:w w:val="105"/>
        </w:rPr>
        <w:t> </w:t>
      </w:r>
      <w:r>
        <w:rPr>
          <w:color w:val="231F20"/>
          <w:w w:val="105"/>
        </w:rPr>
        <w:t>las</w:t>
      </w:r>
      <w:r>
        <w:rPr>
          <w:color w:val="231F20"/>
          <w:spacing w:val="-28"/>
          <w:w w:val="105"/>
        </w:rPr>
        <w:t> </w:t>
      </w:r>
      <w:r>
        <w:rPr>
          <w:color w:val="231F20"/>
          <w:w w:val="105"/>
        </w:rPr>
        <w:t>dinámicas</w:t>
      </w:r>
      <w:r>
        <w:rPr>
          <w:color w:val="231F20"/>
          <w:spacing w:val="-28"/>
          <w:w w:val="105"/>
        </w:rPr>
        <w:t> </w:t>
      </w:r>
      <w:r>
        <w:rPr>
          <w:color w:val="231F20"/>
          <w:w w:val="105"/>
        </w:rPr>
        <w:t>sociales</w:t>
      </w:r>
      <w:r>
        <w:rPr>
          <w:color w:val="231F20"/>
          <w:spacing w:val="-28"/>
          <w:w w:val="105"/>
        </w:rPr>
        <w:t> </w:t>
      </w:r>
      <w:r>
        <w:rPr>
          <w:color w:val="231F20"/>
          <w:w w:val="105"/>
        </w:rPr>
        <w:t>que</w:t>
      </w:r>
      <w:r>
        <w:rPr>
          <w:color w:val="231F20"/>
          <w:spacing w:val="-28"/>
          <w:w w:val="105"/>
        </w:rPr>
        <w:t> </w:t>
      </w:r>
      <w:r>
        <w:rPr>
          <w:color w:val="231F20"/>
          <w:w w:val="105"/>
        </w:rPr>
        <w:t>dirigen</w:t>
      </w:r>
      <w:r>
        <w:rPr>
          <w:color w:val="231F20"/>
          <w:spacing w:val="-28"/>
          <w:w w:val="105"/>
        </w:rPr>
        <w:t> </w:t>
      </w:r>
      <w:r>
        <w:rPr>
          <w:color w:val="231F20"/>
          <w:w w:val="105"/>
        </w:rPr>
        <w:t>sus</w:t>
      </w:r>
      <w:r>
        <w:rPr>
          <w:color w:val="231F20"/>
          <w:spacing w:val="-28"/>
          <w:w w:val="105"/>
        </w:rPr>
        <w:t> </w:t>
      </w:r>
      <w:r>
        <w:rPr>
          <w:color w:val="231F20"/>
          <w:w w:val="105"/>
        </w:rPr>
        <w:t>demandas</w:t>
      </w:r>
      <w:r>
        <w:rPr>
          <w:color w:val="231F20"/>
          <w:spacing w:val="-28"/>
          <w:w w:val="105"/>
        </w:rPr>
        <w:t> </w:t>
      </w:r>
      <w:r>
        <w:rPr>
          <w:color w:val="231F20"/>
          <w:w w:val="105"/>
        </w:rPr>
        <w:t>hacia determinadas instituciones del aparato de Estado, necesitan de un</w:t>
      </w:r>
      <w:r>
        <w:rPr>
          <w:color w:val="231F20"/>
          <w:spacing w:val="-43"/>
          <w:w w:val="105"/>
        </w:rPr>
        <w:t> </w:t>
      </w:r>
      <w:r>
        <w:rPr>
          <w:color w:val="231F20"/>
          <w:w w:val="105"/>
        </w:rPr>
        <w:t>con- texto</w:t>
      </w:r>
      <w:r>
        <w:rPr>
          <w:color w:val="231F20"/>
          <w:spacing w:val="-18"/>
          <w:w w:val="105"/>
        </w:rPr>
        <w:t> </w:t>
      </w:r>
      <w:r>
        <w:rPr>
          <w:color w:val="231F20"/>
          <w:w w:val="105"/>
        </w:rPr>
        <w:t>democrático</w:t>
      </w:r>
      <w:r>
        <w:rPr>
          <w:color w:val="231F20"/>
          <w:spacing w:val="-18"/>
          <w:w w:val="105"/>
        </w:rPr>
        <w:t> </w:t>
      </w:r>
      <w:r>
        <w:rPr>
          <w:color w:val="231F20"/>
          <w:w w:val="105"/>
        </w:rPr>
        <w:t>que</w:t>
      </w:r>
      <w:r>
        <w:rPr>
          <w:color w:val="231F20"/>
          <w:spacing w:val="-18"/>
          <w:w w:val="105"/>
        </w:rPr>
        <w:t> </w:t>
      </w:r>
      <w:r>
        <w:rPr>
          <w:color w:val="231F20"/>
          <w:w w:val="105"/>
        </w:rPr>
        <w:t>garantice</w:t>
      </w:r>
      <w:r>
        <w:rPr>
          <w:color w:val="231F20"/>
          <w:spacing w:val="-18"/>
          <w:w w:val="105"/>
        </w:rPr>
        <w:t> </w:t>
      </w:r>
      <w:r>
        <w:rPr>
          <w:color w:val="231F20"/>
          <w:w w:val="105"/>
        </w:rPr>
        <w:t>su</w:t>
      </w:r>
      <w:r>
        <w:rPr>
          <w:color w:val="231F20"/>
          <w:spacing w:val="-18"/>
          <w:w w:val="105"/>
        </w:rPr>
        <w:t> </w:t>
      </w:r>
      <w:r>
        <w:rPr>
          <w:color w:val="231F20"/>
          <w:w w:val="105"/>
        </w:rPr>
        <w:t>participación</w:t>
      </w:r>
      <w:r>
        <w:rPr>
          <w:color w:val="231F20"/>
          <w:spacing w:val="-18"/>
          <w:w w:val="105"/>
        </w:rPr>
        <w:t> </w:t>
      </w:r>
      <w:r>
        <w:rPr>
          <w:color w:val="231F20"/>
          <w:w w:val="105"/>
        </w:rPr>
        <w:t>y</w:t>
      </w:r>
      <w:r>
        <w:rPr>
          <w:color w:val="231F20"/>
          <w:spacing w:val="-18"/>
          <w:w w:val="105"/>
        </w:rPr>
        <w:t> </w:t>
      </w:r>
      <w:r>
        <w:rPr>
          <w:color w:val="231F20"/>
          <w:w w:val="105"/>
        </w:rPr>
        <w:t>su</w:t>
      </w:r>
      <w:r>
        <w:rPr>
          <w:color w:val="231F20"/>
          <w:spacing w:val="-18"/>
          <w:w w:val="105"/>
        </w:rPr>
        <w:t> </w:t>
      </w:r>
      <w:r>
        <w:rPr>
          <w:color w:val="231F20"/>
          <w:w w:val="105"/>
        </w:rPr>
        <w:t>respuesta.</w:t>
      </w:r>
      <w:r>
        <w:rPr>
          <w:color w:val="231F20"/>
          <w:spacing w:val="-18"/>
          <w:w w:val="105"/>
        </w:rPr>
        <w:t> </w:t>
      </w:r>
      <w:r>
        <w:rPr>
          <w:color w:val="231F20"/>
          <w:w w:val="105"/>
        </w:rPr>
        <w:t>De</w:t>
      </w:r>
      <w:r>
        <w:rPr>
          <w:color w:val="231F20"/>
          <w:spacing w:val="-18"/>
          <w:w w:val="105"/>
        </w:rPr>
        <w:t> </w:t>
      </w:r>
      <w:r>
        <w:rPr>
          <w:color w:val="231F20"/>
          <w:w w:val="105"/>
        </w:rPr>
        <w:t>este modo logramos entender por qué la lógica del “buen gobierno” y la</w:t>
      </w:r>
      <w:r>
        <w:rPr>
          <w:color w:val="231F20"/>
          <w:spacing w:val="-30"/>
          <w:w w:val="105"/>
        </w:rPr>
        <w:t> </w:t>
      </w:r>
      <w:r>
        <w:rPr>
          <w:color w:val="231F20"/>
          <w:w w:val="105"/>
        </w:rPr>
        <w:t>go- bernanza</w:t>
      </w:r>
      <w:r>
        <w:rPr>
          <w:color w:val="231F20"/>
          <w:spacing w:val="-11"/>
          <w:w w:val="105"/>
        </w:rPr>
        <w:t> </w:t>
      </w:r>
      <w:r>
        <w:rPr>
          <w:color w:val="231F20"/>
          <w:w w:val="105"/>
        </w:rPr>
        <w:t>democrática</w:t>
      </w:r>
      <w:r>
        <w:rPr>
          <w:color w:val="231F20"/>
          <w:spacing w:val="-11"/>
          <w:w w:val="105"/>
        </w:rPr>
        <w:t> </w:t>
      </w:r>
      <w:r>
        <w:rPr>
          <w:color w:val="231F20"/>
          <w:w w:val="105"/>
        </w:rPr>
        <w:t>pretendieron</w:t>
      </w:r>
      <w:r>
        <w:rPr>
          <w:color w:val="231F20"/>
          <w:spacing w:val="-11"/>
          <w:w w:val="105"/>
        </w:rPr>
        <w:t> </w:t>
      </w:r>
      <w:r>
        <w:rPr>
          <w:color w:val="231F20"/>
          <w:w w:val="105"/>
        </w:rPr>
        <w:t>volverse</w:t>
      </w:r>
      <w:r>
        <w:rPr>
          <w:color w:val="231F20"/>
          <w:spacing w:val="-11"/>
          <w:w w:val="105"/>
        </w:rPr>
        <w:t> </w:t>
      </w:r>
      <w:r>
        <w:rPr>
          <w:color w:val="231F20"/>
          <w:w w:val="105"/>
        </w:rPr>
        <w:t>en</w:t>
      </w:r>
      <w:r>
        <w:rPr>
          <w:color w:val="231F20"/>
          <w:spacing w:val="-11"/>
          <w:w w:val="105"/>
        </w:rPr>
        <w:t> </w:t>
      </w:r>
      <w:r>
        <w:rPr>
          <w:color w:val="231F20"/>
          <w:w w:val="105"/>
        </w:rPr>
        <w:t>las</w:t>
      </w:r>
      <w:r>
        <w:rPr>
          <w:color w:val="231F20"/>
          <w:spacing w:val="-11"/>
          <w:w w:val="105"/>
        </w:rPr>
        <w:t> </w:t>
      </w:r>
      <w:r>
        <w:rPr>
          <w:color w:val="231F20"/>
          <w:w w:val="105"/>
        </w:rPr>
        <w:t>dos</w:t>
      </w:r>
      <w:r>
        <w:rPr>
          <w:color w:val="231F20"/>
          <w:spacing w:val="-11"/>
          <w:w w:val="105"/>
        </w:rPr>
        <w:t> </w:t>
      </w:r>
      <w:r>
        <w:rPr>
          <w:color w:val="231F20"/>
          <w:w w:val="105"/>
        </w:rPr>
        <w:t>últimas</w:t>
      </w:r>
      <w:r>
        <w:rPr>
          <w:color w:val="231F20"/>
          <w:spacing w:val="-11"/>
          <w:w w:val="105"/>
        </w:rPr>
        <w:t> </w:t>
      </w:r>
      <w:r>
        <w:rPr>
          <w:color w:val="231F20"/>
          <w:w w:val="105"/>
        </w:rPr>
        <w:t>décadas una</w:t>
      </w:r>
      <w:r>
        <w:rPr>
          <w:color w:val="231F20"/>
          <w:spacing w:val="-30"/>
          <w:w w:val="105"/>
        </w:rPr>
        <w:t> </w:t>
      </w:r>
      <w:r>
        <w:rPr>
          <w:color w:val="231F20"/>
          <w:w w:val="105"/>
        </w:rPr>
        <w:t>respuesta</w:t>
      </w:r>
      <w:r>
        <w:rPr>
          <w:color w:val="231F20"/>
          <w:spacing w:val="-30"/>
          <w:w w:val="105"/>
        </w:rPr>
        <w:t> </w:t>
      </w:r>
      <w:r>
        <w:rPr>
          <w:color w:val="231F20"/>
          <w:w w:val="105"/>
        </w:rPr>
        <w:t>eficaz</w:t>
      </w:r>
      <w:r>
        <w:rPr>
          <w:color w:val="231F20"/>
          <w:spacing w:val="-30"/>
          <w:w w:val="105"/>
        </w:rPr>
        <w:t> </w:t>
      </w:r>
      <w:r>
        <w:rPr>
          <w:color w:val="231F20"/>
          <w:w w:val="105"/>
        </w:rPr>
        <w:t>a</w:t>
      </w:r>
      <w:r>
        <w:rPr>
          <w:color w:val="231F20"/>
          <w:spacing w:val="-30"/>
          <w:w w:val="105"/>
        </w:rPr>
        <w:t> </w:t>
      </w:r>
      <w:r>
        <w:rPr>
          <w:color w:val="231F20"/>
          <w:w w:val="105"/>
        </w:rPr>
        <w:t>estas</w:t>
      </w:r>
      <w:r>
        <w:rPr>
          <w:color w:val="231F20"/>
          <w:spacing w:val="-30"/>
          <w:w w:val="105"/>
        </w:rPr>
        <w:t> </w:t>
      </w:r>
      <w:r>
        <w:rPr>
          <w:color w:val="231F20"/>
          <w:w w:val="105"/>
        </w:rPr>
        <w:t>cuestiones</w:t>
      </w:r>
      <w:r>
        <w:rPr>
          <w:color w:val="231F20"/>
          <w:w w:val="105"/>
          <w:position w:val="7"/>
          <w:sz w:val="12"/>
        </w:rPr>
        <w:t>24 </w:t>
      </w:r>
      <w:r>
        <w:rPr>
          <w:color w:val="231F20"/>
          <w:w w:val="105"/>
        </w:rPr>
        <w:t>y</w:t>
      </w:r>
      <w:r>
        <w:rPr>
          <w:color w:val="231F20"/>
          <w:spacing w:val="-30"/>
          <w:w w:val="105"/>
        </w:rPr>
        <w:t> </w:t>
      </w:r>
      <w:r>
        <w:rPr>
          <w:color w:val="231F20"/>
          <w:w w:val="105"/>
        </w:rPr>
        <w:t>no</w:t>
      </w:r>
      <w:r>
        <w:rPr>
          <w:color w:val="231F20"/>
          <w:spacing w:val="-30"/>
          <w:w w:val="105"/>
        </w:rPr>
        <w:t> </w:t>
      </w:r>
      <w:r>
        <w:rPr>
          <w:color w:val="231F20"/>
          <w:w w:val="105"/>
        </w:rPr>
        <w:t>sólo</w:t>
      </w:r>
      <w:r>
        <w:rPr>
          <w:color w:val="231F20"/>
          <w:spacing w:val="-30"/>
          <w:w w:val="105"/>
        </w:rPr>
        <w:t> </w:t>
      </w:r>
      <w:r>
        <w:rPr>
          <w:color w:val="231F20"/>
          <w:w w:val="105"/>
        </w:rPr>
        <w:t>mediante</w:t>
      </w:r>
      <w:r>
        <w:rPr>
          <w:color w:val="231F20"/>
          <w:spacing w:val="-30"/>
          <w:w w:val="105"/>
        </w:rPr>
        <w:t> </w:t>
      </w:r>
      <w:r>
        <w:rPr>
          <w:color w:val="231F20"/>
          <w:w w:val="105"/>
        </w:rPr>
        <w:t>la</w:t>
      </w:r>
      <w:r>
        <w:rPr>
          <w:color w:val="231F20"/>
          <w:spacing w:val="-30"/>
          <w:w w:val="105"/>
        </w:rPr>
        <w:t> </w:t>
      </w:r>
      <w:r>
        <w:rPr>
          <w:color w:val="231F20"/>
          <w:w w:val="105"/>
        </w:rPr>
        <w:t>función</w:t>
      </w:r>
      <w:r>
        <w:rPr>
          <w:color w:val="231F20"/>
          <w:spacing w:val="-30"/>
          <w:w w:val="105"/>
        </w:rPr>
        <w:t> </w:t>
      </w:r>
      <w:r>
        <w:rPr>
          <w:color w:val="231F20"/>
          <w:w w:val="105"/>
        </w:rPr>
        <w:t>del bienestar,</w:t>
      </w:r>
      <w:r>
        <w:rPr>
          <w:color w:val="231F20"/>
          <w:spacing w:val="-17"/>
          <w:w w:val="105"/>
        </w:rPr>
        <w:t> </w:t>
      </w:r>
      <w:r>
        <w:rPr>
          <w:color w:val="231F20"/>
          <w:w w:val="105"/>
        </w:rPr>
        <w:t>sino</w:t>
      </w:r>
      <w:r>
        <w:rPr>
          <w:color w:val="231F20"/>
          <w:spacing w:val="-17"/>
          <w:w w:val="105"/>
        </w:rPr>
        <w:t> </w:t>
      </w:r>
      <w:r>
        <w:rPr>
          <w:color w:val="231F20"/>
          <w:w w:val="105"/>
        </w:rPr>
        <w:t>también</w:t>
      </w:r>
      <w:r>
        <w:rPr>
          <w:color w:val="231F20"/>
          <w:spacing w:val="-17"/>
          <w:w w:val="105"/>
        </w:rPr>
        <w:t> </w:t>
      </w:r>
      <w:r>
        <w:rPr>
          <w:color w:val="231F20"/>
          <w:w w:val="105"/>
        </w:rPr>
        <w:t>a</w:t>
      </w:r>
      <w:r>
        <w:rPr>
          <w:color w:val="231F20"/>
          <w:spacing w:val="-17"/>
          <w:w w:val="105"/>
        </w:rPr>
        <w:t> </w:t>
      </w:r>
      <w:r>
        <w:rPr>
          <w:color w:val="231F20"/>
          <w:w w:val="105"/>
        </w:rPr>
        <w:t>través</w:t>
      </w:r>
      <w:r>
        <w:rPr>
          <w:color w:val="231F20"/>
          <w:spacing w:val="-17"/>
          <w:w w:val="105"/>
        </w:rPr>
        <w:t> </w:t>
      </w:r>
      <w:r>
        <w:rPr>
          <w:color w:val="231F20"/>
          <w:w w:val="105"/>
        </w:rPr>
        <w:t>del</w:t>
      </w:r>
      <w:r>
        <w:rPr>
          <w:color w:val="231F20"/>
          <w:spacing w:val="-17"/>
          <w:w w:val="105"/>
        </w:rPr>
        <w:t> </w:t>
      </w:r>
      <w:r>
        <w:rPr>
          <w:color w:val="231F20"/>
          <w:w w:val="105"/>
        </w:rPr>
        <w:t>crecimiento</w:t>
      </w:r>
      <w:r>
        <w:rPr>
          <w:color w:val="231F20"/>
          <w:spacing w:val="-17"/>
          <w:w w:val="105"/>
        </w:rPr>
        <w:t> </w:t>
      </w:r>
      <w:r>
        <w:rPr>
          <w:color w:val="231F20"/>
          <w:w w:val="105"/>
        </w:rPr>
        <w:t>del</w:t>
      </w:r>
      <w:r>
        <w:rPr>
          <w:color w:val="231F20"/>
          <w:spacing w:val="-17"/>
          <w:w w:val="105"/>
        </w:rPr>
        <w:t> </w:t>
      </w:r>
      <w:r>
        <w:rPr>
          <w:color w:val="231F20"/>
          <w:w w:val="105"/>
        </w:rPr>
        <w:t>proceso</w:t>
      </w:r>
      <w:r>
        <w:rPr>
          <w:color w:val="231F20"/>
          <w:spacing w:val="-17"/>
          <w:w w:val="105"/>
        </w:rPr>
        <w:t> </w:t>
      </w:r>
      <w:r>
        <w:rPr>
          <w:color w:val="231F20"/>
          <w:w w:val="105"/>
        </w:rPr>
        <w:t>de</w:t>
      </w:r>
      <w:r>
        <w:rPr>
          <w:color w:val="231F20"/>
          <w:spacing w:val="-17"/>
          <w:w w:val="105"/>
        </w:rPr>
        <w:t> </w:t>
      </w:r>
      <w:r>
        <w:rPr>
          <w:color w:val="231F20"/>
          <w:w w:val="105"/>
        </w:rPr>
        <w:t>“descen- tramiento”</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decisión</w:t>
      </w:r>
      <w:r>
        <w:rPr>
          <w:color w:val="231F20"/>
          <w:spacing w:val="-30"/>
          <w:w w:val="105"/>
        </w:rPr>
        <w:t> </w:t>
      </w:r>
      <w:r>
        <w:rPr>
          <w:color w:val="231F20"/>
          <w:w w:val="105"/>
        </w:rPr>
        <w:t>y</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espacios</w:t>
      </w:r>
      <w:r>
        <w:rPr>
          <w:color w:val="231F20"/>
          <w:spacing w:val="-30"/>
          <w:w w:val="105"/>
        </w:rPr>
        <w:t> </w:t>
      </w:r>
      <w:r>
        <w:rPr>
          <w:color w:val="231F20"/>
          <w:w w:val="105"/>
        </w:rPr>
        <w:t>de</w:t>
      </w:r>
      <w:r>
        <w:rPr>
          <w:color w:val="231F20"/>
          <w:spacing w:val="-30"/>
          <w:w w:val="105"/>
        </w:rPr>
        <w:t> </w:t>
      </w:r>
      <w:r>
        <w:rPr>
          <w:color w:val="231F20"/>
          <w:w w:val="105"/>
        </w:rPr>
        <w:t>soberanización</w:t>
      </w:r>
      <w:r>
        <w:rPr>
          <w:color w:val="231F20"/>
          <w:spacing w:val="-30"/>
          <w:w w:val="105"/>
        </w:rPr>
        <w:t> </w:t>
      </w:r>
      <w:r>
        <w:rPr>
          <w:color w:val="231F20"/>
          <w:w w:val="105"/>
        </w:rPr>
        <w:t>intrínsecos</w:t>
      </w:r>
      <w:r>
        <w:rPr>
          <w:color w:val="231F20"/>
          <w:spacing w:val="-30"/>
          <w:w w:val="105"/>
        </w:rPr>
        <w:t> </w:t>
      </w:r>
      <w:r>
        <w:rPr>
          <w:color w:val="231F20"/>
          <w:w w:val="105"/>
        </w:rPr>
        <w:t>a ella.</w:t>
      </w:r>
      <w:r>
        <w:rPr>
          <w:color w:val="231F20"/>
          <w:spacing w:val="-29"/>
          <w:w w:val="105"/>
        </w:rPr>
        <w:t> </w:t>
      </w:r>
      <w:r>
        <w:rPr>
          <w:color w:val="231F20"/>
          <w:w w:val="105"/>
        </w:rPr>
        <w:t>En</w:t>
      </w:r>
      <w:r>
        <w:rPr>
          <w:color w:val="231F20"/>
          <w:spacing w:val="-29"/>
          <w:w w:val="105"/>
        </w:rPr>
        <w:t> </w:t>
      </w:r>
      <w:r>
        <w:rPr>
          <w:color w:val="231F20"/>
          <w:w w:val="105"/>
        </w:rPr>
        <w:t>algunos</w:t>
      </w:r>
      <w:r>
        <w:rPr>
          <w:color w:val="231F20"/>
          <w:spacing w:val="-29"/>
          <w:w w:val="105"/>
        </w:rPr>
        <w:t> </w:t>
      </w:r>
      <w:r>
        <w:rPr>
          <w:color w:val="231F20"/>
          <w:w w:val="105"/>
        </w:rPr>
        <w:t>casos,</w:t>
      </w:r>
      <w:r>
        <w:rPr>
          <w:color w:val="231F20"/>
          <w:spacing w:val="-29"/>
          <w:w w:val="105"/>
        </w:rPr>
        <w:t> </w:t>
      </w:r>
      <w:r>
        <w:rPr>
          <w:color w:val="231F20"/>
          <w:w w:val="105"/>
        </w:rPr>
        <w:t>adoptaron</w:t>
      </w:r>
      <w:r>
        <w:rPr>
          <w:color w:val="231F20"/>
          <w:spacing w:val="-29"/>
          <w:w w:val="105"/>
        </w:rPr>
        <w:t> </w:t>
      </w:r>
      <w:r>
        <w:rPr>
          <w:color w:val="231F20"/>
          <w:w w:val="105"/>
        </w:rPr>
        <w:t>la</w:t>
      </w:r>
      <w:r>
        <w:rPr>
          <w:color w:val="231F20"/>
          <w:spacing w:val="-29"/>
          <w:w w:val="105"/>
        </w:rPr>
        <w:t> </w:t>
      </w:r>
      <w:r>
        <w:rPr>
          <w:color w:val="231F20"/>
          <w:w w:val="105"/>
        </w:rPr>
        <w:t>forma</w:t>
      </w:r>
      <w:r>
        <w:rPr>
          <w:color w:val="231F20"/>
          <w:spacing w:val="-29"/>
          <w:w w:val="105"/>
        </w:rPr>
        <w:t> </w:t>
      </w:r>
      <w:r>
        <w:rPr>
          <w:color w:val="231F20"/>
          <w:w w:val="105"/>
        </w:rPr>
        <w:t>política</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excepción</w:t>
      </w:r>
      <w:r>
        <w:rPr>
          <w:color w:val="231F20"/>
          <w:w w:val="105"/>
          <w:position w:val="7"/>
          <w:sz w:val="12"/>
        </w:rPr>
        <w:t>25</w:t>
      </w:r>
      <w:r>
        <w:rPr>
          <w:color w:val="231F20"/>
          <w:spacing w:val="1"/>
          <w:w w:val="105"/>
          <w:position w:val="7"/>
          <w:sz w:val="12"/>
        </w:rPr>
        <w:t> </w:t>
      </w:r>
      <w:r>
        <w:rPr>
          <w:color w:val="231F20"/>
          <w:w w:val="105"/>
        </w:rPr>
        <w:t>con</w:t>
      </w:r>
      <w:r>
        <w:rPr>
          <w:color w:val="231F20"/>
          <w:spacing w:val="-29"/>
          <w:w w:val="105"/>
        </w:rPr>
        <w:t> </w:t>
      </w:r>
      <w:r>
        <w:rPr>
          <w:color w:val="231F20"/>
          <w:w w:val="105"/>
        </w:rPr>
        <w:t>el objetivo</w:t>
      </w:r>
      <w:r>
        <w:rPr>
          <w:color w:val="231F20"/>
          <w:spacing w:val="-18"/>
          <w:w w:val="105"/>
        </w:rPr>
        <w:t> </w:t>
      </w:r>
      <w:r>
        <w:rPr>
          <w:color w:val="231F20"/>
          <w:w w:val="105"/>
        </w:rPr>
        <w:t>de</w:t>
      </w:r>
      <w:r>
        <w:rPr>
          <w:color w:val="231F20"/>
          <w:spacing w:val="-18"/>
          <w:w w:val="105"/>
        </w:rPr>
        <w:t> </w:t>
      </w:r>
      <w:r>
        <w:rPr>
          <w:color w:val="231F20"/>
          <w:w w:val="105"/>
        </w:rPr>
        <w:t>articular</w:t>
      </w:r>
      <w:r>
        <w:rPr>
          <w:color w:val="231F20"/>
          <w:spacing w:val="-18"/>
          <w:w w:val="105"/>
        </w:rPr>
        <w:t> </w:t>
      </w:r>
      <w:r>
        <w:rPr>
          <w:color w:val="231F20"/>
          <w:w w:val="105"/>
        </w:rPr>
        <w:t>lo</w:t>
      </w:r>
      <w:r>
        <w:rPr>
          <w:color w:val="231F20"/>
          <w:spacing w:val="-18"/>
          <w:w w:val="105"/>
        </w:rPr>
        <w:t> </w:t>
      </w:r>
      <w:r>
        <w:rPr>
          <w:color w:val="231F20"/>
          <w:w w:val="105"/>
        </w:rPr>
        <w:t>que</w:t>
      </w:r>
      <w:r>
        <w:rPr>
          <w:color w:val="231F20"/>
          <w:spacing w:val="-18"/>
          <w:w w:val="105"/>
        </w:rPr>
        <w:t> </w:t>
      </w:r>
      <w:r>
        <w:rPr>
          <w:color w:val="231F20"/>
          <w:w w:val="105"/>
        </w:rPr>
        <w:t>el</w:t>
      </w:r>
      <w:r>
        <w:rPr>
          <w:color w:val="231F20"/>
          <w:spacing w:val="-18"/>
          <w:w w:val="105"/>
        </w:rPr>
        <w:t> </w:t>
      </w:r>
      <w:r>
        <w:rPr>
          <w:color w:val="231F20"/>
          <w:w w:val="105"/>
        </w:rPr>
        <w:t>sociólogo</w:t>
      </w:r>
      <w:r>
        <w:rPr>
          <w:color w:val="231F20"/>
          <w:spacing w:val="-18"/>
          <w:w w:val="105"/>
        </w:rPr>
        <w:t> </w:t>
      </w:r>
      <w:r>
        <w:rPr>
          <w:color w:val="231F20"/>
          <w:w w:val="105"/>
        </w:rPr>
        <w:t>Alan</w:t>
      </w:r>
      <w:r>
        <w:rPr>
          <w:color w:val="231F20"/>
          <w:spacing w:val="-18"/>
          <w:w w:val="105"/>
        </w:rPr>
        <w:t> </w:t>
      </w:r>
      <w:r>
        <w:rPr>
          <w:color w:val="231F20"/>
          <w:w w:val="105"/>
        </w:rPr>
        <w:t>Wolfe</w:t>
      </w:r>
      <w:r>
        <w:rPr>
          <w:color w:val="231F20"/>
          <w:spacing w:val="-18"/>
          <w:w w:val="105"/>
        </w:rPr>
        <w:t> </w:t>
      </w:r>
      <w:r>
        <w:rPr>
          <w:color w:val="231F20"/>
          <w:w w:val="105"/>
        </w:rPr>
        <w:t>definió</w:t>
      </w:r>
      <w:r>
        <w:rPr>
          <w:color w:val="231F20"/>
          <w:spacing w:val="-18"/>
          <w:w w:val="105"/>
        </w:rPr>
        <w:t> </w:t>
      </w:r>
      <w:r>
        <w:rPr>
          <w:color w:val="231F20"/>
          <w:w w:val="105"/>
        </w:rPr>
        <w:t>como</w:t>
      </w:r>
      <w:r>
        <w:rPr>
          <w:color w:val="231F20"/>
          <w:spacing w:val="-18"/>
          <w:w w:val="105"/>
        </w:rPr>
        <w:t> </w:t>
      </w:r>
      <w:r>
        <w:rPr>
          <w:color w:val="231F20"/>
          <w:w w:val="105"/>
        </w:rPr>
        <w:t>los</w:t>
      </w:r>
      <w:r>
        <w:rPr>
          <w:color w:val="231F20"/>
          <w:spacing w:val="-18"/>
          <w:w w:val="105"/>
        </w:rPr>
        <w:t> </w:t>
      </w:r>
      <w:r>
        <w:rPr>
          <w:color w:val="231F20"/>
          <w:w w:val="105"/>
        </w:rPr>
        <w:t>“mo- dos de conservación del poder en contextos de gran fluidez social”</w:t>
      </w:r>
      <w:r>
        <w:rPr>
          <w:color w:val="231F20"/>
          <w:w w:val="105"/>
          <w:position w:val="7"/>
          <w:sz w:val="12"/>
        </w:rPr>
        <w:t>26</w:t>
      </w:r>
      <w:r>
        <w:rPr>
          <w:color w:val="231F20"/>
          <w:w w:val="105"/>
        </w:rPr>
        <w:t>.</w:t>
      </w:r>
      <w:r>
        <w:rPr>
          <w:color w:val="231F20"/>
          <w:spacing w:val="-19"/>
          <w:w w:val="105"/>
        </w:rPr>
        <w:t> </w:t>
      </w:r>
      <w:r>
        <w:rPr>
          <w:color w:val="231F20"/>
          <w:w w:val="105"/>
        </w:rPr>
        <w:t>El corolario</w:t>
      </w:r>
      <w:r>
        <w:rPr>
          <w:color w:val="231F20"/>
          <w:spacing w:val="-24"/>
          <w:w w:val="105"/>
        </w:rPr>
        <w:t> </w:t>
      </w:r>
      <w:r>
        <w:rPr>
          <w:color w:val="231F20"/>
          <w:w w:val="105"/>
        </w:rPr>
        <w:t>es</w:t>
      </w:r>
      <w:r>
        <w:rPr>
          <w:color w:val="231F20"/>
          <w:spacing w:val="-24"/>
          <w:w w:val="105"/>
        </w:rPr>
        <w:t> </w:t>
      </w:r>
      <w:r>
        <w:rPr>
          <w:color w:val="231F20"/>
          <w:w w:val="105"/>
        </w:rPr>
        <w:t>predecible:</w:t>
      </w:r>
      <w:r>
        <w:rPr>
          <w:color w:val="231F20"/>
          <w:spacing w:val="-24"/>
          <w:w w:val="105"/>
        </w:rPr>
        <w:t> </w:t>
      </w:r>
      <w:r>
        <w:rPr>
          <w:color w:val="231F20"/>
          <w:w w:val="105"/>
        </w:rPr>
        <w:t>la</w:t>
      </w:r>
      <w:r>
        <w:rPr>
          <w:color w:val="231F20"/>
          <w:spacing w:val="-24"/>
          <w:w w:val="105"/>
        </w:rPr>
        <w:t> </w:t>
      </w:r>
      <w:r>
        <w:rPr>
          <w:color w:val="231F20"/>
          <w:w w:val="105"/>
        </w:rPr>
        <w:t>“reificación”</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política</w:t>
      </w:r>
      <w:r>
        <w:rPr>
          <w:color w:val="231F20"/>
          <w:spacing w:val="-24"/>
          <w:w w:val="105"/>
        </w:rPr>
        <w:t> </w:t>
      </w:r>
      <w:r>
        <w:rPr>
          <w:color w:val="231F20"/>
          <w:w w:val="105"/>
        </w:rPr>
        <w:t>democrática</w:t>
      </w:r>
      <w:r>
        <w:rPr>
          <w:color w:val="231F20"/>
          <w:spacing w:val="-24"/>
          <w:w w:val="105"/>
        </w:rPr>
        <w:t> </w:t>
      </w:r>
      <w:r>
        <w:rPr>
          <w:color w:val="231F20"/>
          <w:w w:val="105"/>
        </w:rPr>
        <w:t>y</w:t>
      </w:r>
      <w:r>
        <w:rPr>
          <w:color w:val="231F20"/>
          <w:spacing w:val="-24"/>
          <w:w w:val="105"/>
        </w:rPr>
        <w:t> </w:t>
      </w:r>
      <w:r>
        <w:rPr>
          <w:color w:val="231F20"/>
          <w:w w:val="105"/>
        </w:rPr>
        <w:t>del</w:t>
      </w:r>
      <w:r>
        <w:rPr>
          <w:color w:val="231F20"/>
          <w:spacing w:val="-24"/>
          <w:w w:val="105"/>
        </w:rPr>
        <w:t> </w:t>
      </w:r>
      <w:r>
        <w:rPr>
          <w:color w:val="231F20"/>
          <w:w w:val="105"/>
        </w:rPr>
        <w:t>Es- tado</w:t>
      </w:r>
      <w:r>
        <w:rPr>
          <w:color w:val="231F20"/>
          <w:spacing w:val="-27"/>
          <w:w w:val="105"/>
        </w:rPr>
        <w:t> </w:t>
      </w:r>
      <w:r>
        <w:rPr>
          <w:rFonts w:ascii="Arial" w:hAnsi="Arial"/>
          <w:i/>
          <w:color w:val="231F20"/>
          <w:w w:val="105"/>
        </w:rPr>
        <w:t>justifican</w:t>
      </w:r>
      <w:r>
        <w:rPr>
          <w:rFonts w:ascii="Arial" w:hAnsi="Arial"/>
          <w:i/>
          <w:color w:val="231F20"/>
          <w:spacing w:val="-19"/>
          <w:w w:val="105"/>
        </w:rPr>
        <w:t> </w:t>
      </w:r>
      <w:r>
        <w:rPr>
          <w:color w:val="231F20"/>
          <w:w w:val="105"/>
        </w:rPr>
        <w:t>el</w:t>
      </w:r>
      <w:r>
        <w:rPr>
          <w:color w:val="231F20"/>
          <w:spacing w:val="-27"/>
          <w:w w:val="105"/>
        </w:rPr>
        <w:t> </w:t>
      </w:r>
      <w:r>
        <w:rPr>
          <w:color w:val="231F20"/>
          <w:w w:val="105"/>
        </w:rPr>
        <w:t>ansia</w:t>
      </w:r>
      <w:r>
        <w:rPr>
          <w:color w:val="231F20"/>
          <w:spacing w:val="-27"/>
          <w:w w:val="105"/>
        </w:rPr>
        <w:t> </w:t>
      </w:r>
      <w:r>
        <w:rPr>
          <w:color w:val="231F20"/>
          <w:w w:val="105"/>
        </w:rPr>
        <w:t>de</w:t>
      </w:r>
      <w:r>
        <w:rPr>
          <w:color w:val="231F20"/>
          <w:spacing w:val="-27"/>
          <w:w w:val="105"/>
        </w:rPr>
        <w:t> </w:t>
      </w:r>
      <w:r>
        <w:rPr>
          <w:color w:val="231F20"/>
          <w:w w:val="105"/>
        </w:rPr>
        <w:t>idolatrar</w:t>
      </w:r>
      <w:r>
        <w:rPr>
          <w:color w:val="231F20"/>
          <w:spacing w:val="-27"/>
          <w:w w:val="105"/>
        </w:rPr>
        <w:t> </w:t>
      </w:r>
      <w:r>
        <w:rPr>
          <w:color w:val="231F20"/>
          <w:w w:val="105"/>
        </w:rPr>
        <w:t>la</w:t>
      </w:r>
      <w:r>
        <w:rPr>
          <w:color w:val="231F20"/>
          <w:spacing w:val="-27"/>
          <w:w w:val="105"/>
        </w:rPr>
        <w:t> </w:t>
      </w:r>
      <w:r>
        <w:rPr>
          <w:color w:val="231F20"/>
          <w:w w:val="105"/>
        </w:rPr>
        <w:t>eficacia</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instituciones</w:t>
      </w:r>
      <w:r>
        <w:rPr>
          <w:color w:val="231F20"/>
          <w:spacing w:val="-27"/>
          <w:w w:val="105"/>
        </w:rPr>
        <w:t> </w:t>
      </w:r>
      <w:r>
        <w:rPr>
          <w:color w:val="231F20"/>
          <w:w w:val="105"/>
        </w:rPr>
        <w:t>públicas, incluso</w:t>
      </w:r>
      <w:r>
        <w:rPr>
          <w:color w:val="231F20"/>
          <w:spacing w:val="-9"/>
          <w:w w:val="105"/>
        </w:rPr>
        <w:t> </w:t>
      </w:r>
      <w:r>
        <w:rPr>
          <w:color w:val="231F20"/>
          <w:w w:val="105"/>
        </w:rPr>
        <w:t>contraviniendo</w:t>
      </w:r>
      <w:r>
        <w:rPr>
          <w:color w:val="231F20"/>
          <w:spacing w:val="-9"/>
          <w:w w:val="105"/>
        </w:rPr>
        <w:t> </w:t>
      </w:r>
      <w:r>
        <w:rPr>
          <w:color w:val="231F20"/>
          <w:w w:val="105"/>
        </w:rPr>
        <w:t>la</w:t>
      </w:r>
      <w:r>
        <w:rPr>
          <w:color w:val="231F20"/>
          <w:spacing w:val="-9"/>
          <w:w w:val="105"/>
        </w:rPr>
        <w:t> </w:t>
      </w:r>
      <w:r>
        <w:rPr>
          <w:color w:val="231F20"/>
          <w:w w:val="105"/>
        </w:rPr>
        <w:t>causa</w:t>
      </w:r>
      <w:r>
        <w:rPr>
          <w:color w:val="231F20"/>
          <w:spacing w:val="-9"/>
          <w:w w:val="105"/>
        </w:rPr>
        <w:t> </w:t>
      </w:r>
      <w:r>
        <w:rPr>
          <w:color w:val="231F20"/>
          <w:w w:val="105"/>
        </w:rPr>
        <w:t>del</w:t>
      </w:r>
      <w:r>
        <w:rPr>
          <w:color w:val="231F20"/>
          <w:spacing w:val="-9"/>
          <w:w w:val="105"/>
        </w:rPr>
        <w:t> </w:t>
      </w:r>
      <w:r>
        <w:rPr>
          <w:color w:val="231F20"/>
          <w:w w:val="105"/>
        </w:rPr>
        <w:t>exceso</w:t>
      </w:r>
      <w:r>
        <w:rPr>
          <w:color w:val="231F20"/>
          <w:spacing w:val="-9"/>
          <w:w w:val="105"/>
        </w:rPr>
        <w:t> </w:t>
      </w:r>
      <w:r>
        <w:rPr>
          <w:color w:val="231F20"/>
          <w:w w:val="105"/>
        </w:rPr>
        <w:t>de</w:t>
      </w:r>
      <w:r>
        <w:rPr>
          <w:color w:val="231F20"/>
          <w:spacing w:val="-9"/>
          <w:w w:val="105"/>
        </w:rPr>
        <w:t> </w:t>
      </w:r>
      <w:r>
        <w:rPr>
          <w:color w:val="231F20"/>
          <w:w w:val="105"/>
        </w:rPr>
        <w:t>estatalidad</w:t>
      </w:r>
      <w:r>
        <w:rPr>
          <w:color w:val="231F20"/>
          <w:spacing w:val="-9"/>
          <w:w w:val="105"/>
        </w:rPr>
        <w:t> </w:t>
      </w:r>
      <w:r>
        <w:rPr>
          <w:color w:val="231F20"/>
          <w:w w:val="105"/>
        </w:rPr>
        <w:t>que</w:t>
      </w:r>
      <w:r>
        <w:rPr>
          <w:color w:val="231F20"/>
          <w:spacing w:val="-9"/>
          <w:w w:val="105"/>
        </w:rPr>
        <w:t> </w:t>
      </w:r>
      <w:r>
        <w:rPr>
          <w:color w:val="231F20"/>
          <w:w w:val="105"/>
        </w:rPr>
        <w:t>por</w:t>
      </w:r>
      <w:r>
        <w:rPr>
          <w:color w:val="231F20"/>
          <w:spacing w:val="-9"/>
          <w:w w:val="105"/>
        </w:rPr>
        <w:t> </w:t>
      </w:r>
      <w:r>
        <w:rPr>
          <w:color w:val="231F20"/>
          <w:w w:val="105"/>
        </w:rPr>
        <w:t>varios lustros</w:t>
      </w:r>
      <w:r>
        <w:rPr>
          <w:color w:val="231F20"/>
          <w:spacing w:val="-18"/>
          <w:w w:val="105"/>
        </w:rPr>
        <w:t> </w:t>
      </w:r>
      <w:r>
        <w:rPr>
          <w:color w:val="231F20"/>
          <w:w w:val="105"/>
        </w:rPr>
        <w:t>era</w:t>
      </w:r>
      <w:r>
        <w:rPr>
          <w:color w:val="231F20"/>
          <w:spacing w:val="-18"/>
          <w:w w:val="105"/>
        </w:rPr>
        <w:t> </w:t>
      </w:r>
      <w:r>
        <w:rPr>
          <w:color w:val="231F20"/>
          <w:w w:val="105"/>
        </w:rPr>
        <w:t>la</w:t>
      </w:r>
      <w:r>
        <w:rPr>
          <w:color w:val="231F20"/>
          <w:spacing w:val="-18"/>
          <w:w w:val="105"/>
        </w:rPr>
        <w:t> </w:t>
      </w:r>
      <w:r>
        <w:rPr>
          <w:color w:val="231F20"/>
          <w:w w:val="105"/>
        </w:rPr>
        <w:t>piedra</w:t>
      </w:r>
      <w:r>
        <w:rPr>
          <w:color w:val="231F20"/>
          <w:spacing w:val="-18"/>
          <w:w w:val="105"/>
        </w:rPr>
        <w:t> </w:t>
      </w:r>
      <w:r>
        <w:rPr>
          <w:color w:val="231F20"/>
          <w:w w:val="105"/>
        </w:rPr>
        <w:t>de</w:t>
      </w:r>
      <w:r>
        <w:rPr>
          <w:color w:val="231F20"/>
          <w:spacing w:val="-18"/>
          <w:w w:val="105"/>
        </w:rPr>
        <w:t> </w:t>
      </w:r>
      <w:r>
        <w:rPr>
          <w:color w:val="231F20"/>
          <w:w w:val="105"/>
        </w:rPr>
        <w:t>toque</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feroces</w:t>
      </w:r>
      <w:r>
        <w:rPr>
          <w:color w:val="231F20"/>
          <w:spacing w:val="-18"/>
          <w:w w:val="105"/>
        </w:rPr>
        <w:t> </w:t>
      </w:r>
      <w:r>
        <w:rPr>
          <w:color w:val="231F20"/>
          <w:w w:val="105"/>
        </w:rPr>
        <w:t>críticas</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actividad</w:t>
      </w:r>
      <w:r>
        <w:rPr>
          <w:color w:val="231F20"/>
          <w:spacing w:val="-18"/>
          <w:w w:val="105"/>
        </w:rPr>
        <w:t> </w:t>
      </w:r>
      <w:r>
        <w:rPr>
          <w:color w:val="231F20"/>
          <w:w w:val="105"/>
        </w:rPr>
        <w:t>estatal, aun</w:t>
      </w:r>
      <w:r>
        <w:rPr>
          <w:color w:val="231F20"/>
          <w:spacing w:val="-19"/>
          <w:w w:val="105"/>
        </w:rPr>
        <w:t> </w:t>
      </w:r>
      <w:r>
        <w:rPr>
          <w:color w:val="231F20"/>
          <w:w w:val="105"/>
        </w:rPr>
        <w:t>en</w:t>
      </w:r>
      <w:r>
        <w:rPr>
          <w:color w:val="231F20"/>
          <w:spacing w:val="-19"/>
          <w:w w:val="105"/>
        </w:rPr>
        <w:t> </w:t>
      </w:r>
      <w:r>
        <w:rPr>
          <w:color w:val="231F20"/>
          <w:w w:val="105"/>
        </w:rPr>
        <w:t>ámbitos</w:t>
      </w:r>
      <w:r>
        <w:rPr>
          <w:color w:val="231F20"/>
          <w:spacing w:val="-19"/>
          <w:w w:val="105"/>
        </w:rPr>
        <w:t> </w:t>
      </w:r>
      <w:r>
        <w:rPr>
          <w:color w:val="231F20"/>
          <w:w w:val="105"/>
        </w:rPr>
        <w:t>que</w:t>
      </w:r>
      <w:r>
        <w:rPr>
          <w:color w:val="231F20"/>
          <w:spacing w:val="-19"/>
          <w:w w:val="105"/>
        </w:rPr>
        <w:t> </w:t>
      </w:r>
      <w:r>
        <w:rPr>
          <w:color w:val="231F20"/>
          <w:w w:val="105"/>
        </w:rPr>
        <w:t>no</w:t>
      </w:r>
      <w:r>
        <w:rPr>
          <w:color w:val="231F20"/>
          <w:spacing w:val="-19"/>
          <w:w w:val="105"/>
        </w:rPr>
        <w:t> </w:t>
      </w:r>
      <w:r>
        <w:rPr>
          <w:color w:val="231F20"/>
          <w:w w:val="105"/>
        </w:rPr>
        <w:t>caían</w:t>
      </w:r>
      <w:r>
        <w:rPr>
          <w:color w:val="231F20"/>
          <w:spacing w:val="-19"/>
          <w:w w:val="105"/>
        </w:rPr>
        <w:t> </w:t>
      </w:r>
      <w:r>
        <w:rPr>
          <w:color w:val="231F20"/>
          <w:w w:val="105"/>
        </w:rPr>
        <w:t>en</w:t>
      </w:r>
      <w:r>
        <w:rPr>
          <w:color w:val="231F20"/>
          <w:spacing w:val="-19"/>
          <w:w w:val="105"/>
        </w:rPr>
        <w:t> </w:t>
      </w:r>
      <w:r>
        <w:rPr>
          <w:color w:val="231F20"/>
          <w:w w:val="105"/>
        </w:rPr>
        <w:t>su</w:t>
      </w:r>
      <w:r>
        <w:rPr>
          <w:color w:val="231F20"/>
          <w:spacing w:val="-19"/>
          <w:w w:val="105"/>
        </w:rPr>
        <w:t> </w:t>
      </w:r>
      <w:r>
        <w:rPr>
          <w:color w:val="231F20"/>
          <w:w w:val="105"/>
        </w:rPr>
        <w:t>jurisdicción.</w:t>
      </w:r>
      <w:r>
        <w:rPr>
          <w:color w:val="231F20"/>
          <w:spacing w:val="-19"/>
          <w:w w:val="105"/>
        </w:rPr>
        <w:t> </w:t>
      </w:r>
      <w:r>
        <w:rPr>
          <w:color w:val="231F20"/>
          <w:w w:val="105"/>
        </w:rPr>
        <w:t>Para</w:t>
      </w:r>
      <w:r>
        <w:rPr>
          <w:color w:val="231F20"/>
          <w:spacing w:val="-19"/>
          <w:w w:val="105"/>
        </w:rPr>
        <w:t> </w:t>
      </w:r>
      <w:r>
        <w:rPr>
          <w:color w:val="231F20"/>
          <w:w w:val="105"/>
        </w:rPr>
        <w:t>Wolfe,</w:t>
      </w:r>
      <w:r>
        <w:rPr>
          <w:color w:val="231F20"/>
          <w:spacing w:val="-19"/>
          <w:w w:val="105"/>
        </w:rPr>
        <w:t> </w:t>
      </w:r>
      <w:r>
        <w:rPr>
          <w:color w:val="231F20"/>
          <w:w w:val="105"/>
        </w:rPr>
        <w:t>este</w:t>
      </w:r>
      <w:r>
        <w:rPr>
          <w:color w:val="231F20"/>
          <w:spacing w:val="-19"/>
          <w:w w:val="105"/>
        </w:rPr>
        <w:t> </w:t>
      </w:r>
      <w:r>
        <w:rPr>
          <w:color w:val="231F20"/>
          <w:w w:val="105"/>
        </w:rPr>
        <w:t>síntoma del</w:t>
      </w:r>
      <w:r>
        <w:rPr>
          <w:color w:val="231F20"/>
          <w:spacing w:val="-38"/>
          <w:w w:val="105"/>
        </w:rPr>
        <w:t> </w:t>
      </w:r>
      <w:r>
        <w:rPr>
          <w:color w:val="231F20"/>
          <w:w w:val="105"/>
        </w:rPr>
        <w:t>Estado</w:t>
      </w:r>
      <w:r>
        <w:rPr>
          <w:color w:val="231F20"/>
          <w:spacing w:val="-38"/>
          <w:w w:val="105"/>
        </w:rPr>
        <w:t> </w:t>
      </w:r>
      <w:r>
        <w:rPr>
          <w:color w:val="231F20"/>
          <w:w w:val="105"/>
        </w:rPr>
        <w:t>contemporáneo</w:t>
      </w:r>
      <w:r>
        <w:rPr>
          <w:color w:val="231F20"/>
          <w:spacing w:val="-38"/>
          <w:w w:val="105"/>
        </w:rPr>
        <w:t> </w:t>
      </w:r>
      <w:r>
        <w:rPr>
          <w:color w:val="231F20"/>
          <w:w w:val="105"/>
        </w:rPr>
        <w:t>es</w:t>
      </w:r>
      <w:r>
        <w:rPr>
          <w:color w:val="231F20"/>
          <w:spacing w:val="-38"/>
          <w:w w:val="105"/>
        </w:rPr>
        <w:t> </w:t>
      </w:r>
      <w:r>
        <w:rPr>
          <w:color w:val="231F20"/>
          <w:w w:val="105"/>
        </w:rPr>
        <w:t>una</w:t>
      </w:r>
      <w:r>
        <w:rPr>
          <w:color w:val="231F20"/>
          <w:spacing w:val="-38"/>
          <w:w w:val="105"/>
        </w:rPr>
        <w:t> </w:t>
      </w:r>
      <w:r>
        <w:rPr>
          <w:color w:val="231F20"/>
          <w:w w:val="105"/>
        </w:rPr>
        <w:t>paradoja</w:t>
      </w:r>
      <w:r>
        <w:rPr>
          <w:color w:val="231F20"/>
          <w:spacing w:val="-38"/>
          <w:w w:val="105"/>
        </w:rPr>
        <w:t> </w:t>
      </w:r>
      <w:r>
        <w:rPr>
          <w:color w:val="231F20"/>
          <w:w w:val="105"/>
        </w:rPr>
        <w:t>insuperable:</w:t>
      </w:r>
      <w:r>
        <w:rPr>
          <w:color w:val="231F20"/>
          <w:spacing w:val="-38"/>
          <w:w w:val="105"/>
        </w:rPr>
        <w:t> </w:t>
      </w:r>
      <w:r>
        <w:rPr>
          <w:color w:val="231F20"/>
          <w:w w:val="105"/>
        </w:rPr>
        <w:t>“cuanto</w:t>
      </w:r>
      <w:r>
        <w:rPr>
          <w:color w:val="231F20"/>
          <w:spacing w:val="-38"/>
          <w:w w:val="105"/>
        </w:rPr>
        <w:t> </w:t>
      </w:r>
      <w:r>
        <w:rPr>
          <w:color w:val="231F20"/>
          <w:w w:val="105"/>
        </w:rPr>
        <w:t>más</w:t>
      </w:r>
      <w:r>
        <w:rPr>
          <w:color w:val="231F20"/>
          <w:spacing w:val="-38"/>
          <w:w w:val="105"/>
        </w:rPr>
        <w:t> </w:t>
      </w:r>
      <w:r>
        <w:rPr>
          <w:color w:val="231F20"/>
          <w:w w:val="105"/>
        </w:rPr>
        <w:t>falla el</w:t>
      </w:r>
      <w:r>
        <w:rPr>
          <w:color w:val="231F20"/>
          <w:spacing w:val="-38"/>
          <w:w w:val="105"/>
        </w:rPr>
        <w:t> </w:t>
      </w:r>
      <w:r>
        <w:rPr>
          <w:color w:val="231F20"/>
          <w:w w:val="105"/>
        </w:rPr>
        <w:t>Estado</w:t>
      </w:r>
      <w:r>
        <w:rPr>
          <w:color w:val="231F20"/>
          <w:spacing w:val="-38"/>
          <w:w w:val="105"/>
        </w:rPr>
        <w:t> </w:t>
      </w:r>
      <w:r>
        <w:rPr>
          <w:color w:val="231F20"/>
          <w:w w:val="105"/>
        </w:rPr>
        <w:t>más</w:t>
      </w:r>
      <w:r>
        <w:rPr>
          <w:color w:val="231F20"/>
          <w:spacing w:val="-38"/>
          <w:w w:val="105"/>
        </w:rPr>
        <w:t> </w:t>
      </w:r>
      <w:r>
        <w:rPr>
          <w:color w:val="231F20"/>
          <w:w w:val="105"/>
        </w:rPr>
        <w:t>venerado</w:t>
      </w:r>
      <w:r>
        <w:rPr>
          <w:color w:val="231F20"/>
          <w:spacing w:val="-38"/>
          <w:w w:val="105"/>
        </w:rPr>
        <w:t> </w:t>
      </w:r>
      <w:r>
        <w:rPr>
          <w:color w:val="231F20"/>
          <w:w w:val="105"/>
        </w:rPr>
        <w:t>es,</w:t>
      </w:r>
      <w:r>
        <w:rPr>
          <w:color w:val="231F20"/>
          <w:spacing w:val="-38"/>
          <w:w w:val="105"/>
        </w:rPr>
        <w:t> </w:t>
      </w:r>
      <w:r>
        <w:rPr>
          <w:color w:val="231F20"/>
          <w:w w:val="105"/>
        </w:rPr>
        <w:t>y</w:t>
      </w:r>
      <w:r>
        <w:rPr>
          <w:color w:val="231F20"/>
          <w:spacing w:val="-38"/>
          <w:w w:val="105"/>
        </w:rPr>
        <w:t> </w:t>
      </w:r>
      <w:r>
        <w:rPr>
          <w:color w:val="231F20"/>
          <w:w w:val="105"/>
        </w:rPr>
        <w:t>cuanto</w:t>
      </w:r>
      <w:r>
        <w:rPr>
          <w:color w:val="231F20"/>
          <w:spacing w:val="-38"/>
          <w:w w:val="105"/>
        </w:rPr>
        <w:t> </w:t>
      </w:r>
      <w:r>
        <w:rPr>
          <w:color w:val="231F20"/>
          <w:w w:val="105"/>
        </w:rPr>
        <w:t>más</w:t>
      </w:r>
      <w:r>
        <w:rPr>
          <w:color w:val="231F20"/>
          <w:spacing w:val="-38"/>
          <w:w w:val="105"/>
        </w:rPr>
        <w:t> </w:t>
      </w:r>
      <w:r>
        <w:rPr>
          <w:color w:val="231F20"/>
          <w:w w:val="105"/>
        </w:rPr>
        <w:t>venerado,</w:t>
      </w:r>
      <w:r>
        <w:rPr>
          <w:color w:val="231F20"/>
          <w:spacing w:val="-38"/>
          <w:w w:val="105"/>
        </w:rPr>
        <w:t> </w:t>
      </w:r>
      <w:r>
        <w:rPr>
          <w:color w:val="231F20"/>
          <w:w w:val="105"/>
        </w:rPr>
        <w:t>mayor</w:t>
      </w:r>
      <w:r>
        <w:rPr>
          <w:color w:val="231F20"/>
          <w:spacing w:val="-38"/>
          <w:w w:val="105"/>
        </w:rPr>
        <w:t> </w:t>
      </w:r>
      <w:r>
        <w:rPr>
          <w:color w:val="231F20"/>
          <w:w w:val="105"/>
        </w:rPr>
        <w:t>su</w:t>
      </w:r>
      <w:r>
        <w:rPr>
          <w:color w:val="231F20"/>
          <w:spacing w:val="-38"/>
          <w:w w:val="105"/>
        </w:rPr>
        <w:t> </w:t>
      </w:r>
      <w:r>
        <w:rPr>
          <w:color w:val="231F20"/>
          <w:w w:val="105"/>
        </w:rPr>
        <w:t>fracaso”</w:t>
      </w:r>
      <w:r>
        <w:rPr>
          <w:color w:val="231F20"/>
          <w:w w:val="105"/>
          <w:position w:val="7"/>
          <w:sz w:val="12"/>
        </w:rPr>
        <w:t>27</w:t>
      </w:r>
      <w:r>
        <w:rPr>
          <w:color w:val="231F20"/>
          <w:w w:val="105"/>
        </w:rPr>
        <w:t>.</w:t>
      </w:r>
    </w:p>
    <w:p>
      <w:pPr>
        <w:pStyle w:val="BodyText"/>
        <w:spacing w:line="247" w:lineRule="auto"/>
        <w:ind w:left="117" w:right="101" w:firstLine="566"/>
        <w:jc w:val="both"/>
      </w:pPr>
      <w:r>
        <w:rPr>
          <w:color w:val="231F20"/>
          <w:w w:val="105"/>
        </w:rPr>
        <w:t>Así,</w:t>
      </w:r>
      <w:r>
        <w:rPr>
          <w:color w:val="231F20"/>
          <w:spacing w:val="-8"/>
          <w:w w:val="105"/>
        </w:rPr>
        <w:t> </w:t>
      </w:r>
      <w:r>
        <w:rPr>
          <w:color w:val="231F20"/>
          <w:w w:val="105"/>
        </w:rPr>
        <w:t>el</w:t>
      </w:r>
      <w:r>
        <w:rPr>
          <w:color w:val="231F20"/>
          <w:spacing w:val="-8"/>
          <w:w w:val="105"/>
        </w:rPr>
        <w:t> </w:t>
      </w:r>
      <w:r>
        <w:rPr>
          <w:color w:val="231F20"/>
          <w:w w:val="105"/>
        </w:rPr>
        <w:t>alto</w:t>
      </w:r>
      <w:r>
        <w:rPr>
          <w:color w:val="231F20"/>
          <w:spacing w:val="-8"/>
          <w:w w:val="105"/>
        </w:rPr>
        <w:t> </w:t>
      </w:r>
      <w:r>
        <w:rPr>
          <w:color w:val="231F20"/>
          <w:w w:val="105"/>
        </w:rPr>
        <w:t>costo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democracia</w:t>
      </w:r>
      <w:r>
        <w:rPr>
          <w:color w:val="231F20"/>
          <w:spacing w:val="-8"/>
          <w:w w:val="105"/>
        </w:rPr>
        <w:t> </w:t>
      </w:r>
      <w:r>
        <w:rPr>
          <w:color w:val="231F20"/>
          <w:w w:val="105"/>
        </w:rPr>
        <w:t>tiene</w:t>
      </w:r>
      <w:r>
        <w:rPr>
          <w:color w:val="231F20"/>
          <w:spacing w:val="-8"/>
          <w:w w:val="105"/>
        </w:rPr>
        <w:t> </w:t>
      </w:r>
      <w:r>
        <w:rPr>
          <w:color w:val="231F20"/>
          <w:w w:val="105"/>
        </w:rPr>
        <w:t>que</w:t>
      </w:r>
      <w:r>
        <w:rPr>
          <w:color w:val="231F20"/>
          <w:spacing w:val="-8"/>
          <w:w w:val="105"/>
        </w:rPr>
        <w:t> </w:t>
      </w:r>
      <w:r>
        <w:rPr>
          <w:color w:val="231F20"/>
          <w:w w:val="105"/>
        </w:rPr>
        <w:t>ver</w:t>
      </w:r>
      <w:r>
        <w:rPr>
          <w:color w:val="231F20"/>
          <w:spacing w:val="-8"/>
          <w:w w:val="105"/>
        </w:rPr>
        <w:t> </w:t>
      </w:r>
      <w:r>
        <w:rPr>
          <w:color w:val="231F20"/>
          <w:w w:val="105"/>
        </w:rPr>
        <w:t>con</w:t>
      </w:r>
      <w:r>
        <w:rPr>
          <w:color w:val="231F20"/>
          <w:spacing w:val="-8"/>
          <w:w w:val="105"/>
        </w:rPr>
        <w:t> </w:t>
      </w:r>
      <w:r>
        <w:rPr>
          <w:color w:val="231F20"/>
          <w:w w:val="105"/>
        </w:rPr>
        <w:t>el</w:t>
      </w:r>
      <w:r>
        <w:rPr>
          <w:color w:val="231F20"/>
          <w:spacing w:val="-8"/>
          <w:w w:val="105"/>
        </w:rPr>
        <w:t> </w:t>
      </w:r>
      <w:r>
        <w:rPr>
          <w:color w:val="231F20"/>
          <w:w w:val="105"/>
        </w:rPr>
        <w:t>nacimiento de</w:t>
      </w:r>
      <w:r>
        <w:rPr>
          <w:color w:val="231F20"/>
          <w:spacing w:val="-37"/>
          <w:w w:val="105"/>
        </w:rPr>
        <w:t> </w:t>
      </w:r>
      <w:r>
        <w:rPr>
          <w:color w:val="231F20"/>
          <w:w w:val="105"/>
        </w:rPr>
        <w:t>contextos</w:t>
      </w:r>
      <w:r>
        <w:rPr>
          <w:color w:val="231F20"/>
          <w:spacing w:val="-37"/>
          <w:w w:val="105"/>
        </w:rPr>
        <w:t> </w:t>
      </w:r>
      <w:r>
        <w:rPr>
          <w:color w:val="231F20"/>
          <w:w w:val="105"/>
        </w:rPr>
        <w:t>sociales</w:t>
      </w:r>
      <w:r>
        <w:rPr>
          <w:color w:val="231F20"/>
          <w:spacing w:val="-37"/>
          <w:w w:val="105"/>
        </w:rPr>
        <w:t> </w:t>
      </w:r>
      <w:r>
        <w:rPr>
          <w:color w:val="231F20"/>
          <w:w w:val="105"/>
        </w:rPr>
        <w:t>estructurados</w:t>
      </w:r>
      <w:r>
        <w:rPr>
          <w:color w:val="231F20"/>
          <w:spacing w:val="-37"/>
          <w:w w:val="105"/>
        </w:rPr>
        <w:t> </w:t>
      </w:r>
      <w:r>
        <w:rPr>
          <w:color w:val="231F20"/>
          <w:w w:val="105"/>
        </w:rPr>
        <w:t>con</w:t>
      </w:r>
      <w:r>
        <w:rPr>
          <w:color w:val="231F20"/>
          <w:spacing w:val="-37"/>
          <w:w w:val="105"/>
        </w:rPr>
        <w:t> </w:t>
      </w:r>
      <w:r>
        <w:rPr>
          <w:color w:val="231F20"/>
          <w:w w:val="105"/>
        </w:rPr>
        <w:t>poca</w:t>
      </w:r>
      <w:r>
        <w:rPr>
          <w:color w:val="231F20"/>
          <w:spacing w:val="-37"/>
          <w:w w:val="105"/>
        </w:rPr>
        <w:t> </w:t>
      </w:r>
      <w:r>
        <w:rPr>
          <w:color w:val="231F20"/>
          <w:w w:val="105"/>
        </w:rPr>
        <w:t>raigambre</w:t>
      </w:r>
      <w:r>
        <w:rPr>
          <w:color w:val="231F20"/>
          <w:spacing w:val="-37"/>
          <w:w w:val="105"/>
        </w:rPr>
        <w:t> </w:t>
      </w:r>
      <w:r>
        <w:rPr>
          <w:color w:val="231F20"/>
          <w:w w:val="105"/>
        </w:rPr>
        <w:t>democrática</w:t>
      </w:r>
      <w:r>
        <w:rPr>
          <w:color w:val="231F20"/>
          <w:spacing w:val="-37"/>
          <w:w w:val="105"/>
        </w:rPr>
        <w:t> </w:t>
      </w:r>
      <w:r>
        <w:rPr>
          <w:color w:val="231F20"/>
          <w:w w:val="105"/>
        </w:rPr>
        <w:t>pero con</w:t>
      </w:r>
      <w:r>
        <w:rPr>
          <w:color w:val="231F20"/>
          <w:spacing w:val="-23"/>
          <w:w w:val="105"/>
        </w:rPr>
        <w:t> </w:t>
      </w:r>
      <w:r>
        <w:rPr>
          <w:color w:val="231F20"/>
          <w:w w:val="105"/>
        </w:rPr>
        <w:t>“gran</w:t>
      </w:r>
      <w:r>
        <w:rPr>
          <w:color w:val="231F20"/>
          <w:spacing w:val="-23"/>
          <w:w w:val="105"/>
        </w:rPr>
        <w:t> </w:t>
      </w:r>
      <w:r>
        <w:rPr>
          <w:color w:val="231F20"/>
          <w:w w:val="105"/>
        </w:rPr>
        <w:t>fluidez</w:t>
      </w:r>
      <w:r>
        <w:rPr>
          <w:color w:val="231F20"/>
          <w:spacing w:val="-23"/>
          <w:w w:val="105"/>
        </w:rPr>
        <w:t> </w:t>
      </w:r>
      <w:r>
        <w:rPr>
          <w:color w:val="231F20"/>
          <w:w w:val="105"/>
        </w:rPr>
        <w:t>social”,</w:t>
      </w:r>
      <w:r>
        <w:rPr>
          <w:color w:val="231F20"/>
          <w:w w:val="105"/>
          <w:position w:val="7"/>
          <w:sz w:val="12"/>
        </w:rPr>
        <w:t>28</w:t>
      </w:r>
      <w:r>
        <w:rPr>
          <w:color w:val="231F20"/>
          <w:spacing w:val="6"/>
          <w:w w:val="105"/>
          <w:position w:val="7"/>
          <w:sz w:val="12"/>
        </w:rPr>
        <w:t> </w:t>
      </w:r>
      <w:r>
        <w:rPr>
          <w:color w:val="231F20"/>
          <w:w w:val="105"/>
        </w:rPr>
        <w:t>como</w:t>
      </w:r>
      <w:r>
        <w:rPr>
          <w:color w:val="231F20"/>
          <w:spacing w:val="-23"/>
          <w:w w:val="105"/>
        </w:rPr>
        <w:t> </w:t>
      </w:r>
      <w:r>
        <w:rPr>
          <w:color w:val="231F20"/>
          <w:w w:val="105"/>
        </w:rPr>
        <w:t>son</w:t>
      </w:r>
      <w:r>
        <w:rPr>
          <w:color w:val="231F20"/>
          <w:spacing w:val="-23"/>
          <w:w w:val="105"/>
        </w:rPr>
        <w:t> </w:t>
      </w:r>
      <w:r>
        <w:rPr>
          <w:color w:val="231F20"/>
          <w:w w:val="105"/>
        </w:rPr>
        <w:t>el</w:t>
      </w:r>
      <w:r>
        <w:rPr>
          <w:color w:val="231F20"/>
          <w:spacing w:val="-23"/>
          <w:w w:val="105"/>
        </w:rPr>
        <w:t> </w:t>
      </w:r>
      <w:r>
        <w:rPr>
          <w:color w:val="231F20"/>
          <w:w w:val="105"/>
        </w:rPr>
        <w:t>uso</w:t>
      </w:r>
      <w:r>
        <w:rPr>
          <w:color w:val="231F20"/>
          <w:spacing w:val="-23"/>
          <w:w w:val="105"/>
        </w:rPr>
        <w:t> </w:t>
      </w:r>
      <w:r>
        <w:rPr>
          <w:color w:val="231F20"/>
          <w:w w:val="105"/>
        </w:rPr>
        <w:t>del</w:t>
      </w:r>
      <w:r>
        <w:rPr>
          <w:color w:val="231F20"/>
          <w:spacing w:val="-23"/>
          <w:w w:val="105"/>
        </w:rPr>
        <w:t> </w:t>
      </w:r>
      <w:r>
        <w:rPr>
          <w:color w:val="231F20"/>
          <w:w w:val="105"/>
        </w:rPr>
        <w:t>dinero</w:t>
      </w:r>
      <w:r>
        <w:rPr>
          <w:color w:val="231F20"/>
          <w:spacing w:val="-23"/>
          <w:w w:val="105"/>
        </w:rPr>
        <w:t> </w:t>
      </w:r>
      <w:r>
        <w:rPr>
          <w:color w:val="231F20"/>
          <w:w w:val="105"/>
        </w:rPr>
        <w:t>negro</w:t>
      </w:r>
      <w:r>
        <w:rPr>
          <w:color w:val="231F20"/>
          <w:spacing w:val="-23"/>
          <w:w w:val="105"/>
        </w:rPr>
        <w:t> </w:t>
      </w:r>
      <w:r>
        <w:rPr>
          <w:color w:val="231F20"/>
          <w:w w:val="105"/>
        </w:rPr>
        <w:t>para</w:t>
      </w:r>
      <w:r>
        <w:rPr>
          <w:color w:val="231F20"/>
          <w:spacing w:val="-23"/>
          <w:w w:val="105"/>
        </w:rPr>
        <w:t> </w:t>
      </w:r>
      <w:r>
        <w:rPr>
          <w:color w:val="231F20"/>
          <w:w w:val="105"/>
        </w:rPr>
        <w:t>orientar una</w:t>
      </w:r>
      <w:r>
        <w:rPr>
          <w:color w:val="231F20"/>
          <w:spacing w:val="-17"/>
          <w:w w:val="105"/>
        </w:rPr>
        <w:t> </w:t>
      </w:r>
      <w:r>
        <w:rPr>
          <w:color w:val="231F20"/>
          <w:w w:val="105"/>
        </w:rPr>
        <w:t>elección,</w:t>
      </w:r>
      <w:r>
        <w:rPr>
          <w:color w:val="231F20"/>
          <w:spacing w:val="-17"/>
          <w:w w:val="105"/>
        </w:rPr>
        <w:t> </w:t>
      </w:r>
      <w:r>
        <w:rPr>
          <w:color w:val="231F20"/>
          <w:w w:val="105"/>
        </w:rPr>
        <w:t>la</w:t>
      </w:r>
      <w:r>
        <w:rPr>
          <w:color w:val="231F20"/>
          <w:spacing w:val="-17"/>
          <w:w w:val="105"/>
        </w:rPr>
        <w:t> </w:t>
      </w:r>
      <w:r>
        <w:rPr>
          <w:color w:val="231F20"/>
          <w:w w:val="105"/>
        </w:rPr>
        <w:t>corrupción</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actores</w:t>
      </w:r>
      <w:r>
        <w:rPr>
          <w:color w:val="231F20"/>
          <w:spacing w:val="-17"/>
          <w:w w:val="105"/>
        </w:rPr>
        <w:t> </w:t>
      </w:r>
      <w:r>
        <w:rPr>
          <w:color w:val="231F20"/>
          <w:w w:val="105"/>
        </w:rPr>
        <w:t>políticos,</w:t>
      </w:r>
      <w:r>
        <w:rPr>
          <w:color w:val="231F20"/>
          <w:spacing w:val="-17"/>
          <w:w w:val="105"/>
        </w:rPr>
        <w:t> </w:t>
      </w:r>
      <w:r>
        <w:rPr>
          <w:color w:val="231F20"/>
          <w:w w:val="105"/>
        </w:rPr>
        <w:t>incluso</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actores que</w:t>
      </w:r>
      <w:r>
        <w:rPr>
          <w:color w:val="231F20"/>
          <w:spacing w:val="-32"/>
          <w:w w:val="105"/>
        </w:rPr>
        <w:t> </w:t>
      </w:r>
      <w:r>
        <w:rPr>
          <w:color w:val="231F20"/>
          <w:w w:val="105"/>
        </w:rPr>
        <w:t>pertenecen</w:t>
      </w:r>
      <w:r>
        <w:rPr>
          <w:color w:val="231F20"/>
          <w:spacing w:val="-32"/>
          <w:w w:val="105"/>
        </w:rPr>
        <w:t> </w:t>
      </w:r>
      <w:r>
        <w:rPr>
          <w:color w:val="231F20"/>
          <w:w w:val="105"/>
        </w:rPr>
        <w:t>al</w:t>
      </w:r>
      <w:r>
        <w:rPr>
          <w:color w:val="231F20"/>
          <w:spacing w:val="-32"/>
          <w:w w:val="105"/>
        </w:rPr>
        <w:t> </w:t>
      </w:r>
      <w:r>
        <w:rPr>
          <w:color w:val="231F20"/>
          <w:w w:val="105"/>
        </w:rPr>
        <w:t>aparato</w:t>
      </w:r>
      <w:r>
        <w:rPr>
          <w:color w:val="231F20"/>
          <w:spacing w:val="-32"/>
          <w:w w:val="105"/>
        </w:rPr>
        <w:t> </w:t>
      </w:r>
      <w:r>
        <w:rPr>
          <w:color w:val="231F20"/>
          <w:w w:val="105"/>
        </w:rPr>
        <w:t>judicial</w:t>
      </w:r>
      <w:r>
        <w:rPr>
          <w:color w:val="231F20"/>
          <w:spacing w:val="-32"/>
          <w:w w:val="105"/>
        </w:rPr>
        <w:t> </w:t>
      </w:r>
      <w:r>
        <w:rPr>
          <w:color w:val="231F20"/>
          <w:w w:val="105"/>
        </w:rPr>
        <w:t>y</w:t>
      </w:r>
      <w:r>
        <w:rPr>
          <w:color w:val="231F20"/>
          <w:spacing w:val="-32"/>
          <w:w w:val="105"/>
        </w:rPr>
        <w:t> </w:t>
      </w:r>
      <w:r>
        <w:rPr>
          <w:color w:val="231F20"/>
          <w:w w:val="105"/>
        </w:rPr>
        <w:t>la</w:t>
      </w:r>
      <w:r>
        <w:rPr>
          <w:color w:val="231F20"/>
          <w:spacing w:val="-32"/>
          <w:w w:val="105"/>
        </w:rPr>
        <w:t> </w:t>
      </w:r>
      <w:r>
        <w:rPr>
          <w:color w:val="231F20"/>
          <w:w w:val="105"/>
        </w:rPr>
        <w:t>compra–venta</w:t>
      </w:r>
      <w:r>
        <w:rPr>
          <w:color w:val="231F20"/>
          <w:spacing w:val="-32"/>
          <w:w w:val="105"/>
        </w:rPr>
        <w:t> </w:t>
      </w:r>
      <w:r>
        <w:rPr>
          <w:color w:val="231F20"/>
          <w:w w:val="105"/>
        </w:rPr>
        <w:t>de</w:t>
      </w:r>
      <w:r>
        <w:rPr>
          <w:color w:val="231F20"/>
          <w:spacing w:val="-32"/>
          <w:w w:val="105"/>
        </w:rPr>
        <w:t> </w:t>
      </w:r>
      <w:r>
        <w:rPr>
          <w:color w:val="231F20"/>
          <w:w w:val="105"/>
        </w:rPr>
        <w:t>votos</w:t>
      </w:r>
      <w:r>
        <w:rPr>
          <w:color w:val="231F20"/>
          <w:spacing w:val="-32"/>
          <w:w w:val="105"/>
        </w:rPr>
        <w:t> </w:t>
      </w:r>
      <w:r>
        <w:rPr>
          <w:color w:val="231F20"/>
          <w:w w:val="105"/>
        </w:rPr>
        <w:t>propia</w:t>
      </w:r>
      <w:r>
        <w:rPr>
          <w:color w:val="231F20"/>
          <w:spacing w:val="-32"/>
          <w:w w:val="105"/>
        </w:rPr>
        <w:t> </w:t>
      </w:r>
      <w:r>
        <w:rPr>
          <w:color w:val="231F20"/>
          <w:w w:val="105"/>
        </w:rPr>
        <w:t>de</w:t>
      </w:r>
      <w:r>
        <w:rPr>
          <w:color w:val="231F20"/>
          <w:spacing w:val="-32"/>
          <w:w w:val="105"/>
        </w:rPr>
        <w:t> </w:t>
      </w:r>
      <w:r>
        <w:rPr>
          <w:color w:val="231F20"/>
          <w:w w:val="105"/>
        </w:rPr>
        <w:t>la dinámica</w:t>
      </w:r>
      <w:r>
        <w:rPr>
          <w:color w:val="231F20"/>
          <w:spacing w:val="-13"/>
          <w:w w:val="105"/>
        </w:rPr>
        <w:t> </w:t>
      </w:r>
      <w:r>
        <w:rPr>
          <w:color w:val="231F20"/>
          <w:w w:val="105"/>
        </w:rPr>
        <w:t>del</w:t>
      </w:r>
      <w:r>
        <w:rPr>
          <w:color w:val="231F20"/>
          <w:spacing w:val="-13"/>
          <w:w w:val="105"/>
        </w:rPr>
        <w:t> </w:t>
      </w:r>
      <w:r>
        <w:rPr>
          <w:color w:val="231F20"/>
          <w:w w:val="105"/>
        </w:rPr>
        <w:t>clientelismo,</w:t>
      </w:r>
      <w:r>
        <w:rPr>
          <w:color w:val="231F20"/>
          <w:spacing w:val="-13"/>
          <w:w w:val="105"/>
        </w:rPr>
        <w:t> </w:t>
      </w:r>
      <w:r>
        <w:rPr>
          <w:color w:val="231F20"/>
          <w:w w:val="105"/>
        </w:rPr>
        <w:t>por</w:t>
      </w:r>
      <w:r>
        <w:rPr>
          <w:color w:val="231F20"/>
          <w:spacing w:val="-13"/>
          <w:w w:val="105"/>
        </w:rPr>
        <w:t> </w:t>
      </w:r>
      <w:r>
        <w:rPr>
          <w:color w:val="231F20"/>
          <w:w w:val="105"/>
        </w:rPr>
        <w:t>lo</w:t>
      </w:r>
      <w:r>
        <w:rPr>
          <w:color w:val="231F20"/>
          <w:spacing w:val="-13"/>
          <w:w w:val="105"/>
        </w:rPr>
        <w:t> </w:t>
      </w:r>
      <w:r>
        <w:rPr>
          <w:color w:val="231F20"/>
          <w:w w:val="105"/>
        </w:rPr>
        <w:t>que</w:t>
      </w:r>
      <w:r>
        <w:rPr>
          <w:color w:val="231F20"/>
          <w:spacing w:val="-13"/>
          <w:w w:val="105"/>
        </w:rPr>
        <w:t> </w:t>
      </w:r>
      <w:r>
        <w:rPr>
          <w:color w:val="231F20"/>
          <w:w w:val="105"/>
        </w:rPr>
        <w:t>al</w:t>
      </w:r>
      <w:r>
        <w:rPr>
          <w:color w:val="231F20"/>
          <w:spacing w:val="-13"/>
          <w:w w:val="105"/>
        </w:rPr>
        <w:t> </w:t>
      </w:r>
      <w:r>
        <w:rPr>
          <w:color w:val="231F20"/>
          <w:w w:val="105"/>
        </w:rPr>
        <w:t>mismo</w:t>
      </w:r>
      <w:r>
        <w:rPr>
          <w:color w:val="231F20"/>
          <w:spacing w:val="-13"/>
          <w:w w:val="105"/>
        </w:rPr>
        <w:t> </w:t>
      </w:r>
      <w:r>
        <w:rPr>
          <w:color w:val="231F20"/>
          <w:w w:val="105"/>
        </w:rPr>
        <w:t>tiempo</w:t>
      </w:r>
      <w:r>
        <w:rPr>
          <w:color w:val="231F20"/>
          <w:spacing w:val="-13"/>
          <w:w w:val="105"/>
        </w:rPr>
        <w:t> </w:t>
      </w:r>
      <w:r>
        <w:rPr>
          <w:color w:val="231F20"/>
          <w:w w:val="105"/>
        </w:rPr>
        <w:t>expresa</w:t>
      </w:r>
      <w:r>
        <w:rPr>
          <w:color w:val="231F20"/>
          <w:spacing w:val="-13"/>
          <w:w w:val="105"/>
        </w:rPr>
        <w:t> </w:t>
      </w:r>
      <w:r>
        <w:rPr>
          <w:color w:val="231F20"/>
          <w:w w:val="105"/>
        </w:rPr>
        <w:t>la</w:t>
      </w:r>
      <w:r>
        <w:rPr>
          <w:color w:val="231F20"/>
          <w:spacing w:val="-13"/>
          <w:w w:val="105"/>
        </w:rPr>
        <w:t> </w:t>
      </w:r>
      <w:r>
        <w:rPr>
          <w:color w:val="231F20"/>
          <w:w w:val="105"/>
        </w:rPr>
        <w:t>necesi- dad</w:t>
      </w:r>
      <w:r>
        <w:rPr>
          <w:color w:val="231F20"/>
          <w:spacing w:val="-25"/>
          <w:w w:val="105"/>
        </w:rPr>
        <w:t> </w:t>
      </w:r>
      <w:r>
        <w:rPr>
          <w:color w:val="231F20"/>
          <w:w w:val="105"/>
        </w:rPr>
        <w:t>de</w:t>
      </w:r>
      <w:r>
        <w:rPr>
          <w:color w:val="231F20"/>
          <w:spacing w:val="-25"/>
          <w:w w:val="105"/>
        </w:rPr>
        <w:t> </w:t>
      </w:r>
      <w:r>
        <w:rPr>
          <w:color w:val="231F20"/>
          <w:w w:val="105"/>
        </w:rPr>
        <w:t>profundización</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llamada</w:t>
      </w:r>
      <w:r>
        <w:rPr>
          <w:color w:val="231F20"/>
          <w:spacing w:val="-25"/>
          <w:w w:val="105"/>
        </w:rPr>
        <w:t> </w:t>
      </w:r>
      <w:r>
        <w:rPr>
          <w:color w:val="231F20"/>
          <w:w w:val="105"/>
        </w:rPr>
        <w:t>educación</w:t>
      </w:r>
      <w:r>
        <w:rPr>
          <w:color w:val="231F20"/>
          <w:spacing w:val="-25"/>
          <w:w w:val="105"/>
        </w:rPr>
        <w:t> </w:t>
      </w:r>
      <w:r>
        <w:rPr>
          <w:rFonts w:ascii="Arial" w:hAnsi="Arial"/>
          <w:i/>
          <w:color w:val="231F20"/>
          <w:w w:val="105"/>
        </w:rPr>
        <w:t>para</w:t>
      </w:r>
      <w:r>
        <w:rPr>
          <w:rFonts w:ascii="Arial" w:hAnsi="Arial"/>
          <w:i/>
          <w:color w:val="231F20"/>
          <w:spacing w:val="-17"/>
          <w:w w:val="105"/>
        </w:rPr>
        <w:t> </w:t>
      </w:r>
      <w:r>
        <w:rPr>
          <w:color w:val="231F20"/>
          <w:w w:val="105"/>
        </w:rPr>
        <w:t>y</w:t>
      </w:r>
      <w:r>
        <w:rPr>
          <w:color w:val="231F20"/>
          <w:spacing w:val="-25"/>
          <w:w w:val="105"/>
        </w:rPr>
        <w:t> </w:t>
      </w:r>
      <w:r>
        <w:rPr>
          <w:rFonts w:ascii="Arial" w:hAnsi="Arial"/>
          <w:i/>
          <w:color w:val="231F20"/>
          <w:w w:val="105"/>
        </w:rPr>
        <w:t>en</w:t>
      </w:r>
      <w:r>
        <w:rPr>
          <w:rFonts w:ascii="Arial" w:hAnsi="Arial"/>
          <w:i/>
          <w:color w:val="231F20"/>
          <w:spacing w:val="-17"/>
          <w:w w:val="105"/>
        </w:rPr>
        <w:t> </w:t>
      </w:r>
      <w:r>
        <w:rPr>
          <w:color w:val="231F20"/>
          <w:w w:val="105"/>
        </w:rPr>
        <w:t>la</w:t>
      </w:r>
      <w:r>
        <w:rPr>
          <w:color w:val="231F20"/>
          <w:spacing w:val="-25"/>
          <w:w w:val="105"/>
        </w:rPr>
        <w:t> </w:t>
      </w:r>
      <w:r>
        <w:rPr>
          <w:color w:val="231F20"/>
          <w:w w:val="105"/>
        </w:rPr>
        <w:t>democracia</w:t>
      </w:r>
      <w:r>
        <w:rPr>
          <w:color w:val="231F20"/>
          <w:w w:val="105"/>
          <w:position w:val="7"/>
          <w:sz w:val="12"/>
        </w:rPr>
        <w:t>29</w:t>
      </w:r>
      <w:r>
        <w:rPr>
          <w:color w:val="231F20"/>
          <w:w w:val="105"/>
        </w:rPr>
        <w:t>. Por</w:t>
      </w:r>
      <w:r>
        <w:rPr>
          <w:color w:val="231F20"/>
          <w:spacing w:val="-33"/>
          <w:w w:val="105"/>
        </w:rPr>
        <w:t> </w:t>
      </w:r>
      <w:r>
        <w:rPr>
          <w:color w:val="231F20"/>
          <w:w w:val="105"/>
        </w:rPr>
        <w:t>ello,</w:t>
      </w:r>
      <w:r>
        <w:rPr>
          <w:color w:val="231F20"/>
          <w:spacing w:val="-33"/>
          <w:w w:val="105"/>
        </w:rPr>
        <w:t> </w:t>
      </w:r>
      <w:r>
        <w:rPr>
          <w:color w:val="231F20"/>
          <w:w w:val="105"/>
        </w:rPr>
        <w:t>acierta</w:t>
      </w:r>
      <w:r>
        <w:rPr>
          <w:color w:val="231F20"/>
          <w:spacing w:val="-33"/>
          <w:w w:val="105"/>
        </w:rPr>
        <w:t> </w:t>
      </w:r>
      <w:r>
        <w:rPr>
          <w:color w:val="231F20"/>
          <w:w w:val="105"/>
        </w:rPr>
        <w:t>Pierre</w:t>
      </w:r>
      <w:r>
        <w:rPr>
          <w:color w:val="231F20"/>
          <w:spacing w:val="-33"/>
          <w:w w:val="105"/>
        </w:rPr>
        <w:t> </w:t>
      </w:r>
      <w:r>
        <w:rPr>
          <w:color w:val="231F20"/>
          <w:w w:val="105"/>
        </w:rPr>
        <w:t>Rosanvallon</w:t>
      </w:r>
      <w:r>
        <w:rPr>
          <w:color w:val="231F20"/>
          <w:spacing w:val="-33"/>
          <w:w w:val="105"/>
        </w:rPr>
        <w:t> </w:t>
      </w:r>
      <w:r>
        <w:rPr>
          <w:color w:val="231F20"/>
          <w:w w:val="105"/>
        </w:rPr>
        <w:t>al</w:t>
      </w:r>
      <w:r>
        <w:rPr>
          <w:color w:val="231F20"/>
          <w:spacing w:val="-33"/>
          <w:w w:val="105"/>
        </w:rPr>
        <w:t> </w:t>
      </w:r>
      <w:r>
        <w:rPr>
          <w:color w:val="231F20"/>
          <w:w w:val="105"/>
        </w:rPr>
        <w:t>decir</w:t>
      </w:r>
      <w:r>
        <w:rPr>
          <w:color w:val="231F20"/>
          <w:spacing w:val="-33"/>
          <w:w w:val="105"/>
        </w:rPr>
        <w:t> </w:t>
      </w:r>
      <w:r>
        <w:rPr>
          <w:color w:val="231F20"/>
          <w:w w:val="105"/>
        </w:rPr>
        <w:t>que</w:t>
      </w:r>
      <w:r>
        <w:rPr>
          <w:color w:val="231F20"/>
          <w:spacing w:val="-33"/>
          <w:w w:val="105"/>
        </w:rPr>
        <w:t> </w:t>
      </w:r>
      <w:r>
        <w:rPr>
          <w:color w:val="231F20"/>
          <w:w w:val="105"/>
        </w:rPr>
        <w:t>“Las</w:t>
      </w:r>
      <w:r>
        <w:rPr>
          <w:color w:val="231F20"/>
          <w:spacing w:val="-33"/>
          <w:w w:val="105"/>
        </w:rPr>
        <w:t> </w:t>
      </w:r>
      <w:r>
        <w:rPr>
          <w:color w:val="231F20"/>
          <w:w w:val="105"/>
        </w:rPr>
        <w:t>elecciones</w:t>
      </w:r>
      <w:r>
        <w:rPr>
          <w:color w:val="231F20"/>
          <w:spacing w:val="-33"/>
          <w:w w:val="105"/>
        </w:rPr>
        <w:t> </w:t>
      </w:r>
      <w:r>
        <w:rPr>
          <w:color w:val="231F20"/>
          <w:w w:val="105"/>
        </w:rPr>
        <w:t>contempo-</w:t>
      </w:r>
    </w:p>
    <w:p>
      <w:pPr>
        <w:pStyle w:val="BodyText"/>
        <w:spacing w:before="10"/>
      </w:pPr>
      <w:r>
        <w:rPr/>
        <w:pict>
          <v:line style="position:absolute;mso-position-horizontal-relative:page;mso-position-vertical-relative:paragraph;z-index:6544;mso-wrap-distance-left:0;mso-wrap-distance-right:0" from="70.866096pt,15.306985pt" to="184.252096pt,15.306985pt" stroked="true" strokeweight=".3pt" strokecolor="#231f20">
            <w10:wrap type="topAndBottom"/>
          </v:line>
        </w:pict>
      </w:r>
    </w:p>
    <w:p>
      <w:pPr>
        <w:spacing w:line="204" w:lineRule="exact" w:before="9"/>
        <w:ind w:left="117" w:right="101" w:firstLine="0"/>
        <w:jc w:val="both"/>
        <w:rPr>
          <w:rFonts w:ascii="Calibri" w:hAnsi="Calibri"/>
          <w:sz w:val="17"/>
        </w:rPr>
      </w:pPr>
      <w:r>
        <w:rPr>
          <w:rFonts w:ascii="Calibri" w:hAnsi="Calibri"/>
          <w:color w:val="231F20"/>
          <w:position w:val="6"/>
          <w:sz w:val="10"/>
        </w:rPr>
        <w:t>23 </w:t>
      </w:r>
      <w:r>
        <w:rPr>
          <w:rFonts w:ascii="Calibri" w:hAnsi="Calibri"/>
          <w:color w:val="231F20"/>
          <w:sz w:val="17"/>
        </w:rPr>
        <w:t>F. Calderón Gutiérrez, (coord), </w:t>
      </w:r>
      <w:r>
        <w:rPr>
          <w:rFonts w:ascii="Calibri" w:hAnsi="Calibri"/>
          <w:i/>
          <w:color w:val="231F20"/>
          <w:sz w:val="17"/>
        </w:rPr>
        <w:t>La protesta social en América Latina</w:t>
      </w:r>
      <w:r>
        <w:rPr>
          <w:rFonts w:ascii="Calibri" w:hAnsi="Calibri"/>
          <w:color w:val="231F20"/>
          <w:sz w:val="17"/>
        </w:rPr>
        <w:t>, Buenos Aires, Siglo </w:t>
      </w:r>
      <w:r>
        <w:rPr>
          <w:rFonts w:ascii="Calibri" w:hAnsi="Calibri"/>
          <w:color w:val="231F20"/>
          <w:sz w:val="15"/>
        </w:rPr>
        <w:t>XXI </w:t>
      </w:r>
      <w:r>
        <w:rPr>
          <w:rFonts w:ascii="Calibri" w:hAnsi="Calibri"/>
          <w:color w:val="231F20"/>
          <w:sz w:val="17"/>
        </w:rPr>
        <w:t>Edito- res/Programa de Naciones Unidas para el Desarrollo, 2012, pp. 126–127.</w:t>
      </w:r>
    </w:p>
    <w:p>
      <w:pPr>
        <w:spacing w:line="204" w:lineRule="exact" w:before="0"/>
        <w:ind w:left="117" w:right="101" w:firstLine="0"/>
        <w:jc w:val="both"/>
        <w:rPr>
          <w:rFonts w:ascii="Calibri" w:hAnsi="Calibri"/>
          <w:sz w:val="17"/>
        </w:rPr>
      </w:pPr>
      <w:r>
        <w:rPr>
          <w:rFonts w:ascii="Calibri" w:hAnsi="Calibri"/>
          <w:color w:val="231F20"/>
          <w:position w:val="6"/>
          <w:sz w:val="10"/>
        </w:rPr>
        <w:t>24 </w:t>
      </w:r>
      <w:r>
        <w:rPr>
          <w:rFonts w:ascii="Calibri" w:hAnsi="Calibri"/>
          <w:i/>
          <w:color w:val="231F20"/>
          <w:sz w:val="17"/>
        </w:rPr>
        <w:t>Governance </w:t>
      </w:r>
      <w:r>
        <w:rPr>
          <w:rFonts w:ascii="Calibri" w:hAnsi="Calibri"/>
          <w:color w:val="231F20"/>
          <w:sz w:val="17"/>
        </w:rPr>
        <w:t>es traducido al español como gobernanza y alude al ámbito específico de la “acti- vidad de gobernar”. Por ello, el calificativo de “buena” o “mala” actuación del gobierno. Asimis-  mo, la gobernanza democrática, a diferencia de la gobernabilidad democrática, hace hincapié en     la confiabilidad y estabilidad de los procedimientos democráticos. Por ejemplo, es observable en     la cuestión que atañe al control (interno y externo) del poder político mediante reglas y procesos institucionales que garanticen el funcionamiento de las fases que componen “la actividad de go- bernar” </w:t>
      </w:r>
      <w:r>
        <w:rPr>
          <w:rFonts w:ascii="Calibri" w:hAnsi="Calibri"/>
          <w:color w:val="231F20"/>
          <w:spacing w:val="2"/>
          <w:sz w:val="17"/>
        </w:rPr>
        <w:t>(J. </w:t>
      </w:r>
      <w:r>
        <w:rPr>
          <w:rFonts w:ascii="Calibri" w:hAnsi="Calibri"/>
          <w:color w:val="231F20"/>
          <w:sz w:val="17"/>
        </w:rPr>
        <w:t>March y J. Olsen, Democratic Governance, Nueva York, The Free</w:t>
      </w:r>
      <w:r>
        <w:rPr>
          <w:rFonts w:ascii="Calibri" w:hAnsi="Calibri"/>
          <w:color w:val="231F20"/>
          <w:spacing w:val="5"/>
          <w:sz w:val="17"/>
        </w:rPr>
        <w:t> </w:t>
      </w:r>
      <w:r>
        <w:rPr>
          <w:rFonts w:ascii="Calibri" w:hAnsi="Calibri"/>
          <w:color w:val="231F20"/>
          <w:sz w:val="17"/>
        </w:rPr>
        <w:t>Press,1995).</w:t>
      </w:r>
    </w:p>
    <w:p>
      <w:pPr>
        <w:spacing w:line="206" w:lineRule="exact" w:before="1"/>
        <w:ind w:left="117" w:right="0" w:firstLine="0"/>
        <w:jc w:val="both"/>
        <w:rPr>
          <w:rFonts w:ascii="Calibri" w:hAnsi="Calibri"/>
          <w:sz w:val="17"/>
        </w:rPr>
      </w:pPr>
      <w:r>
        <w:rPr>
          <w:rFonts w:ascii="Calibri" w:hAnsi="Calibri"/>
          <w:color w:val="231F20"/>
          <w:position w:val="6"/>
          <w:sz w:val="10"/>
        </w:rPr>
        <w:t>25  </w:t>
      </w:r>
      <w:r>
        <w:rPr>
          <w:rFonts w:ascii="Calibri" w:hAnsi="Calibri"/>
          <w:color w:val="231F20"/>
          <w:sz w:val="17"/>
        </w:rPr>
        <w:t>Agamben, </w:t>
      </w:r>
      <w:r>
        <w:rPr>
          <w:rFonts w:ascii="Calibri" w:hAnsi="Calibri"/>
          <w:i/>
          <w:color w:val="231F20"/>
          <w:sz w:val="17"/>
        </w:rPr>
        <w:t>Stato di eccezione. Homo sacer </w:t>
      </w:r>
      <w:r>
        <w:rPr>
          <w:rFonts w:ascii="Calibri" w:hAnsi="Calibri"/>
          <w:i/>
          <w:color w:val="231F20"/>
          <w:sz w:val="15"/>
        </w:rPr>
        <w:t>II</w:t>
      </w:r>
      <w:r>
        <w:rPr>
          <w:rFonts w:ascii="Calibri" w:hAnsi="Calibri"/>
          <w:i/>
          <w:color w:val="231F20"/>
          <w:sz w:val="17"/>
        </w:rPr>
        <w:t>, I</w:t>
      </w:r>
      <w:r>
        <w:rPr>
          <w:rFonts w:ascii="Calibri" w:hAnsi="Calibri"/>
          <w:color w:val="231F20"/>
          <w:sz w:val="17"/>
        </w:rPr>
        <w:t>, pp. 44–54.</w:t>
      </w:r>
    </w:p>
    <w:p>
      <w:pPr>
        <w:spacing w:line="235" w:lineRule="auto" w:before="1"/>
        <w:ind w:left="117" w:right="101" w:firstLine="0"/>
        <w:jc w:val="both"/>
        <w:rPr>
          <w:rFonts w:ascii="Calibri" w:hAnsi="Calibri"/>
          <w:sz w:val="17"/>
        </w:rPr>
      </w:pPr>
      <w:r>
        <w:rPr>
          <w:rFonts w:ascii="Calibri" w:hAnsi="Calibri"/>
          <w:color w:val="231F20"/>
          <w:position w:val="6"/>
          <w:sz w:val="10"/>
        </w:rPr>
        <w:t>26 </w:t>
      </w:r>
      <w:r>
        <w:rPr>
          <w:rFonts w:ascii="Calibri" w:hAnsi="Calibri"/>
          <w:color w:val="231F20"/>
          <w:sz w:val="17"/>
        </w:rPr>
        <w:t>A. Wolfe, </w:t>
      </w:r>
      <w:r>
        <w:rPr>
          <w:rFonts w:ascii="Calibri" w:hAnsi="Calibri"/>
          <w:i/>
          <w:color w:val="231F20"/>
          <w:sz w:val="17"/>
        </w:rPr>
        <w:t>Los límites de la legitimidad. Contradicciones políticas del capitalismo contemporáneo</w:t>
      </w:r>
      <w:r>
        <w:rPr>
          <w:rFonts w:ascii="Calibri" w:hAnsi="Calibri"/>
          <w:color w:val="231F20"/>
          <w:sz w:val="17"/>
        </w:rPr>
        <w:t>, México, Siglo </w:t>
      </w:r>
      <w:r>
        <w:rPr>
          <w:rFonts w:ascii="Calibri" w:hAnsi="Calibri"/>
          <w:color w:val="231F20"/>
          <w:sz w:val="15"/>
        </w:rPr>
        <w:t>XXI </w:t>
      </w:r>
      <w:r>
        <w:rPr>
          <w:rFonts w:ascii="Calibri" w:hAnsi="Calibri"/>
          <w:color w:val="231F20"/>
          <w:sz w:val="17"/>
        </w:rPr>
        <w:t>Editores, 1997, pp. 69–70.</w:t>
      </w:r>
    </w:p>
    <w:p>
      <w:pPr>
        <w:spacing w:line="203" w:lineRule="exact" w:before="0"/>
        <w:ind w:left="117" w:right="0" w:firstLine="0"/>
        <w:jc w:val="both"/>
        <w:rPr>
          <w:rFonts w:ascii="Calibri"/>
          <w:sz w:val="17"/>
        </w:rPr>
      </w:pPr>
      <w:r>
        <w:rPr>
          <w:rFonts w:ascii="Calibri"/>
          <w:color w:val="231F20"/>
          <w:position w:val="6"/>
          <w:sz w:val="10"/>
        </w:rPr>
        <w:t>27 </w:t>
      </w:r>
      <w:r>
        <w:rPr>
          <w:rFonts w:ascii="Calibri"/>
          <w:color w:val="231F20"/>
          <w:sz w:val="17"/>
        </w:rPr>
        <w:t>Wolfe, p. 304.</w:t>
      </w:r>
    </w:p>
    <w:p>
      <w:pPr>
        <w:spacing w:line="235" w:lineRule="auto" w:before="1"/>
        <w:ind w:left="117" w:right="102" w:firstLine="0"/>
        <w:jc w:val="both"/>
        <w:rPr>
          <w:rFonts w:ascii="Calibri" w:hAnsi="Calibri"/>
          <w:sz w:val="17"/>
        </w:rPr>
      </w:pPr>
      <w:r>
        <w:rPr>
          <w:rFonts w:ascii="Calibri" w:hAnsi="Calibri"/>
          <w:color w:val="231F20"/>
          <w:w w:val="105"/>
          <w:position w:val="6"/>
          <w:sz w:val="10"/>
        </w:rPr>
        <w:t>28</w:t>
      </w:r>
      <w:r>
        <w:rPr>
          <w:rFonts w:ascii="Calibri" w:hAnsi="Calibri"/>
          <w:color w:val="231F20"/>
          <w:spacing w:val="2"/>
          <w:w w:val="105"/>
          <w:position w:val="6"/>
          <w:sz w:val="10"/>
        </w:rPr>
        <w:t> </w:t>
      </w:r>
      <w:r>
        <w:rPr>
          <w:rFonts w:ascii="Calibri" w:hAnsi="Calibri"/>
          <w:color w:val="231F20"/>
          <w:w w:val="105"/>
          <w:sz w:val="17"/>
        </w:rPr>
        <w:t>Con</w:t>
      </w:r>
      <w:r>
        <w:rPr>
          <w:rFonts w:ascii="Calibri" w:hAnsi="Calibri"/>
          <w:color w:val="231F20"/>
          <w:spacing w:val="-15"/>
          <w:w w:val="105"/>
          <w:sz w:val="17"/>
        </w:rPr>
        <w:t> </w:t>
      </w:r>
      <w:r>
        <w:rPr>
          <w:rFonts w:ascii="Calibri" w:hAnsi="Calibri"/>
          <w:color w:val="231F20"/>
          <w:w w:val="105"/>
          <w:sz w:val="17"/>
        </w:rPr>
        <w:t>particular</w:t>
      </w:r>
      <w:r>
        <w:rPr>
          <w:rFonts w:ascii="Calibri" w:hAnsi="Calibri"/>
          <w:color w:val="231F20"/>
          <w:spacing w:val="-15"/>
          <w:w w:val="105"/>
          <w:sz w:val="17"/>
        </w:rPr>
        <w:t> </w:t>
      </w:r>
      <w:r>
        <w:rPr>
          <w:rFonts w:ascii="Calibri" w:hAnsi="Calibri"/>
          <w:color w:val="231F20"/>
          <w:w w:val="105"/>
          <w:sz w:val="17"/>
        </w:rPr>
        <w:t>atención</w:t>
      </w:r>
      <w:r>
        <w:rPr>
          <w:rFonts w:ascii="Calibri" w:hAnsi="Calibri"/>
          <w:color w:val="231F20"/>
          <w:spacing w:val="-15"/>
          <w:w w:val="105"/>
          <w:sz w:val="17"/>
        </w:rPr>
        <w:t> </w:t>
      </w:r>
      <w:r>
        <w:rPr>
          <w:rFonts w:ascii="Calibri" w:hAnsi="Calibri"/>
          <w:color w:val="231F20"/>
          <w:w w:val="105"/>
          <w:sz w:val="17"/>
        </w:rPr>
        <w:t>en</w:t>
      </w:r>
      <w:r>
        <w:rPr>
          <w:rFonts w:ascii="Calibri" w:hAnsi="Calibri"/>
          <w:color w:val="231F20"/>
          <w:spacing w:val="-15"/>
          <w:w w:val="105"/>
          <w:sz w:val="17"/>
        </w:rPr>
        <w:t> </w:t>
      </w:r>
      <w:r>
        <w:rPr>
          <w:rFonts w:ascii="Calibri" w:hAnsi="Calibri"/>
          <w:color w:val="231F20"/>
          <w:w w:val="105"/>
          <w:sz w:val="17"/>
        </w:rPr>
        <w:t>las</w:t>
      </w:r>
      <w:r>
        <w:rPr>
          <w:rFonts w:ascii="Calibri" w:hAnsi="Calibri"/>
          <w:color w:val="231F20"/>
          <w:spacing w:val="-15"/>
          <w:w w:val="105"/>
          <w:sz w:val="17"/>
        </w:rPr>
        <w:t> </w:t>
      </w:r>
      <w:r>
        <w:rPr>
          <w:rFonts w:ascii="Calibri" w:hAnsi="Calibri"/>
          <w:color w:val="231F20"/>
          <w:w w:val="105"/>
          <w:sz w:val="17"/>
        </w:rPr>
        <w:t>llamadas</w:t>
      </w:r>
      <w:r>
        <w:rPr>
          <w:rFonts w:ascii="Calibri" w:hAnsi="Calibri"/>
          <w:color w:val="231F20"/>
          <w:spacing w:val="-15"/>
          <w:w w:val="105"/>
          <w:sz w:val="17"/>
        </w:rPr>
        <w:t> </w:t>
      </w:r>
      <w:r>
        <w:rPr>
          <w:rFonts w:ascii="Calibri" w:hAnsi="Calibri"/>
          <w:color w:val="231F20"/>
          <w:w w:val="105"/>
          <w:sz w:val="17"/>
        </w:rPr>
        <w:t>democracias</w:t>
      </w:r>
      <w:r>
        <w:rPr>
          <w:rFonts w:ascii="Calibri" w:hAnsi="Calibri"/>
          <w:color w:val="231F20"/>
          <w:spacing w:val="-15"/>
          <w:w w:val="105"/>
          <w:sz w:val="17"/>
        </w:rPr>
        <w:t> </w:t>
      </w:r>
      <w:r>
        <w:rPr>
          <w:rFonts w:ascii="Calibri" w:hAnsi="Calibri"/>
          <w:color w:val="231F20"/>
          <w:w w:val="105"/>
          <w:sz w:val="17"/>
        </w:rPr>
        <w:t>nuevas</w:t>
      </w:r>
      <w:r>
        <w:rPr>
          <w:rFonts w:ascii="Calibri" w:hAnsi="Calibri"/>
          <w:color w:val="231F20"/>
          <w:spacing w:val="-15"/>
          <w:w w:val="105"/>
          <w:sz w:val="17"/>
        </w:rPr>
        <w:t> </w:t>
      </w:r>
      <w:r>
        <w:rPr>
          <w:rFonts w:ascii="Calibri" w:hAnsi="Calibri"/>
          <w:color w:val="231F20"/>
          <w:w w:val="105"/>
          <w:sz w:val="17"/>
        </w:rPr>
        <w:t>pero</w:t>
      </w:r>
      <w:r>
        <w:rPr>
          <w:rFonts w:ascii="Calibri" w:hAnsi="Calibri"/>
          <w:color w:val="231F20"/>
          <w:spacing w:val="-15"/>
          <w:w w:val="105"/>
          <w:sz w:val="17"/>
        </w:rPr>
        <w:t> </w:t>
      </w:r>
      <w:r>
        <w:rPr>
          <w:rFonts w:ascii="Calibri" w:hAnsi="Calibri"/>
          <w:color w:val="231F20"/>
          <w:w w:val="105"/>
          <w:sz w:val="17"/>
        </w:rPr>
        <w:t>es</w:t>
      </w:r>
      <w:r>
        <w:rPr>
          <w:rFonts w:ascii="Calibri" w:hAnsi="Calibri"/>
          <w:color w:val="231F20"/>
          <w:spacing w:val="-15"/>
          <w:w w:val="105"/>
          <w:sz w:val="17"/>
        </w:rPr>
        <w:t> </w:t>
      </w:r>
      <w:r>
        <w:rPr>
          <w:rFonts w:ascii="Calibri" w:hAnsi="Calibri"/>
          <w:color w:val="231F20"/>
          <w:w w:val="105"/>
          <w:sz w:val="17"/>
        </w:rPr>
        <w:t>también</w:t>
      </w:r>
      <w:r>
        <w:rPr>
          <w:rFonts w:ascii="Calibri" w:hAnsi="Calibri"/>
          <w:color w:val="231F20"/>
          <w:spacing w:val="-15"/>
          <w:w w:val="105"/>
          <w:sz w:val="17"/>
        </w:rPr>
        <w:t> </w:t>
      </w:r>
      <w:r>
        <w:rPr>
          <w:rFonts w:ascii="Calibri" w:hAnsi="Calibri"/>
          <w:color w:val="231F20"/>
          <w:w w:val="105"/>
          <w:sz w:val="17"/>
        </w:rPr>
        <w:t>una</w:t>
      </w:r>
      <w:r>
        <w:rPr>
          <w:rFonts w:ascii="Calibri" w:hAnsi="Calibri"/>
          <w:color w:val="231F20"/>
          <w:spacing w:val="-15"/>
          <w:w w:val="105"/>
          <w:sz w:val="17"/>
        </w:rPr>
        <w:t> </w:t>
      </w:r>
      <w:r>
        <w:rPr>
          <w:rFonts w:ascii="Calibri" w:hAnsi="Calibri"/>
          <w:color w:val="231F20"/>
          <w:w w:val="105"/>
          <w:sz w:val="17"/>
        </w:rPr>
        <w:t>realidad</w:t>
      </w:r>
      <w:r>
        <w:rPr>
          <w:rFonts w:ascii="Calibri" w:hAnsi="Calibri"/>
          <w:color w:val="231F20"/>
          <w:spacing w:val="-15"/>
          <w:w w:val="105"/>
          <w:sz w:val="17"/>
        </w:rPr>
        <w:t> </w:t>
      </w:r>
      <w:r>
        <w:rPr>
          <w:rFonts w:ascii="Calibri" w:hAnsi="Calibri"/>
          <w:color w:val="231F20"/>
          <w:w w:val="105"/>
          <w:sz w:val="17"/>
        </w:rPr>
        <w:t>en</w:t>
      </w:r>
      <w:r>
        <w:rPr>
          <w:rFonts w:ascii="Calibri" w:hAnsi="Calibri"/>
          <w:color w:val="231F20"/>
          <w:spacing w:val="-15"/>
          <w:w w:val="105"/>
          <w:sz w:val="17"/>
        </w:rPr>
        <w:t> </w:t>
      </w:r>
      <w:r>
        <w:rPr>
          <w:rFonts w:ascii="Calibri" w:hAnsi="Calibri"/>
          <w:color w:val="231F20"/>
          <w:w w:val="105"/>
          <w:sz w:val="17"/>
        </w:rPr>
        <w:t>las democracias</w:t>
      </w:r>
      <w:r>
        <w:rPr>
          <w:rFonts w:ascii="Calibri" w:hAnsi="Calibri"/>
          <w:color w:val="231F20"/>
          <w:spacing w:val="-18"/>
          <w:w w:val="105"/>
          <w:sz w:val="17"/>
        </w:rPr>
        <w:t> </w:t>
      </w:r>
      <w:r>
        <w:rPr>
          <w:rFonts w:ascii="Calibri" w:hAnsi="Calibri"/>
          <w:color w:val="231F20"/>
          <w:w w:val="105"/>
          <w:sz w:val="17"/>
        </w:rPr>
        <w:t>consolidadas.</w:t>
      </w:r>
      <w:r>
        <w:rPr>
          <w:rFonts w:ascii="Calibri" w:hAnsi="Calibri"/>
          <w:color w:val="231F20"/>
          <w:spacing w:val="-18"/>
          <w:w w:val="105"/>
          <w:sz w:val="17"/>
        </w:rPr>
        <w:t> </w:t>
      </w:r>
      <w:r>
        <w:rPr>
          <w:rFonts w:ascii="Calibri" w:hAnsi="Calibri"/>
          <w:color w:val="231F20"/>
          <w:w w:val="105"/>
          <w:sz w:val="17"/>
        </w:rPr>
        <w:t>Nuevamente</w:t>
      </w:r>
      <w:r>
        <w:rPr>
          <w:rFonts w:ascii="Calibri" w:hAnsi="Calibri"/>
          <w:color w:val="231F20"/>
          <w:spacing w:val="-18"/>
          <w:w w:val="105"/>
          <w:sz w:val="17"/>
        </w:rPr>
        <w:t> </w:t>
      </w:r>
      <w:r>
        <w:rPr>
          <w:rFonts w:ascii="Calibri" w:hAnsi="Calibri"/>
          <w:color w:val="231F20"/>
          <w:w w:val="105"/>
          <w:sz w:val="17"/>
        </w:rPr>
        <w:t>España,</w:t>
      </w:r>
      <w:r>
        <w:rPr>
          <w:rFonts w:ascii="Calibri" w:hAnsi="Calibri"/>
          <w:color w:val="231F20"/>
          <w:spacing w:val="-18"/>
          <w:w w:val="105"/>
          <w:sz w:val="17"/>
        </w:rPr>
        <w:t> </w:t>
      </w:r>
      <w:r>
        <w:rPr>
          <w:rFonts w:ascii="Calibri" w:hAnsi="Calibri"/>
          <w:color w:val="231F20"/>
          <w:w w:val="105"/>
          <w:sz w:val="17"/>
        </w:rPr>
        <w:t>después</w:t>
      </w:r>
      <w:r>
        <w:rPr>
          <w:rFonts w:ascii="Calibri" w:hAnsi="Calibri"/>
          <w:color w:val="231F20"/>
          <w:spacing w:val="-18"/>
          <w:w w:val="105"/>
          <w:sz w:val="17"/>
        </w:rPr>
        <w:t> </w:t>
      </w:r>
      <w:r>
        <w:rPr>
          <w:rFonts w:ascii="Calibri" w:hAnsi="Calibri"/>
          <w:color w:val="231F20"/>
          <w:w w:val="105"/>
          <w:sz w:val="17"/>
        </w:rPr>
        <w:t>de</w:t>
      </w:r>
      <w:r>
        <w:rPr>
          <w:rFonts w:ascii="Calibri" w:hAnsi="Calibri"/>
          <w:color w:val="231F20"/>
          <w:spacing w:val="-18"/>
          <w:w w:val="105"/>
          <w:sz w:val="17"/>
        </w:rPr>
        <w:t> </w:t>
      </w:r>
      <w:r>
        <w:rPr>
          <w:rFonts w:ascii="Calibri" w:hAnsi="Calibri"/>
          <w:color w:val="231F20"/>
          <w:w w:val="105"/>
          <w:sz w:val="17"/>
        </w:rPr>
        <w:t>2008,</w:t>
      </w:r>
      <w:r>
        <w:rPr>
          <w:rFonts w:ascii="Calibri" w:hAnsi="Calibri"/>
          <w:color w:val="231F20"/>
          <w:spacing w:val="-18"/>
          <w:w w:val="105"/>
          <w:sz w:val="17"/>
        </w:rPr>
        <w:t> </w:t>
      </w:r>
      <w:r>
        <w:rPr>
          <w:rFonts w:ascii="Calibri" w:hAnsi="Calibri"/>
          <w:color w:val="231F20"/>
          <w:w w:val="105"/>
          <w:sz w:val="17"/>
        </w:rPr>
        <w:t>es</w:t>
      </w:r>
      <w:r>
        <w:rPr>
          <w:rFonts w:ascii="Calibri" w:hAnsi="Calibri"/>
          <w:color w:val="231F20"/>
          <w:spacing w:val="-18"/>
          <w:w w:val="105"/>
          <w:sz w:val="17"/>
        </w:rPr>
        <w:t> </w:t>
      </w:r>
      <w:r>
        <w:rPr>
          <w:rFonts w:ascii="Calibri" w:hAnsi="Calibri"/>
          <w:color w:val="231F20"/>
          <w:w w:val="105"/>
          <w:sz w:val="17"/>
        </w:rPr>
        <w:t>un</w:t>
      </w:r>
      <w:r>
        <w:rPr>
          <w:rFonts w:ascii="Calibri" w:hAnsi="Calibri"/>
          <w:color w:val="231F20"/>
          <w:spacing w:val="-18"/>
          <w:w w:val="105"/>
          <w:sz w:val="17"/>
        </w:rPr>
        <w:t> </w:t>
      </w:r>
      <w:r>
        <w:rPr>
          <w:rFonts w:ascii="Calibri" w:hAnsi="Calibri"/>
          <w:color w:val="231F20"/>
          <w:w w:val="105"/>
          <w:sz w:val="17"/>
        </w:rPr>
        <w:t>caso</w:t>
      </w:r>
      <w:r>
        <w:rPr>
          <w:rFonts w:ascii="Calibri" w:hAnsi="Calibri"/>
          <w:color w:val="231F20"/>
          <w:spacing w:val="-18"/>
          <w:w w:val="105"/>
          <w:sz w:val="17"/>
        </w:rPr>
        <w:t> </w:t>
      </w:r>
      <w:r>
        <w:rPr>
          <w:rFonts w:ascii="Calibri" w:hAnsi="Calibri"/>
          <w:color w:val="231F20"/>
          <w:w w:val="105"/>
          <w:sz w:val="17"/>
        </w:rPr>
        <w:t>relevante.</w:t>
      </w:r>
    </w:p>
    <w:p>
      <w:pPr>
        <w:spacing w:line="235" w:lineRule="auto" w:before="0"/>
        <w:ind w:left="117" w:right="103" w:firstLine="0"/>
        <w:jc w:val="both"/>
        <w:rPr>
          <w:rFonts w:ascii="Calibri" w:hAnsi="Calibri"/>
          <w:sz w:val="17"/>
        </w:rPr>
      </w:pPr>
      <w:r>
        <w:rPr>
          <w:rFonts w:ascii="Calibri" w:hAnsi="Calibri"/>
          <w:color w:val="231F20"/>
          <w:position w:val="6"/>
          <w:sz w:val="10"/>
        </w:rPr>
        <w:t>29 </w:t>
      </w:r>
      <w:r>
        <w:rPr>
          <w:rFonts w:ascii="Calibri" w:hAnsi="Calibri"/>
          <w:color w:val="231F20"/>
          <w:sz w:val="17"/>
        </w:rPr>
        <w:t>M. C. Nussbaum, </w:t>
      </w:r>
      <w:r>
        <w:rPr>
          <w:rFonts w:ascii="Calibri" w:hAnsi="Calibri"/>
          <w:i/>
          <w:color w:val="231F20"/>
          <w:sz w:val="17"/>
        </w:rPr>
        <w:t>Sin fines de lucro. Por qué la democracia necesita de las humanidades</w:t>
      </w:r>
      <w:r>
        <w:rPr>
          <w:rFonts w:ascii="Calibri" w:hAnsi="Calibri"/>
          <w:color w:val="231F20"/>
          <w:sz w:val="17"/>
        </w:rPr>
        <w:t>, Buenos Aires, Katz Editores, 2010.</w:t>
      </w:r>
    </w:p>
    <w:p>
      <w:pPr>
        <w:spacing w:after="0" w:line="235" w:lineRule="auto"/>
        <w:jc w:val="both"/>
        <w:rPr>
          <w:rFonts w:ascii="Calibri" w:hAnsi="Calibri"/>
          <w:sz w:val="17"/>
        </w:rPr>
        <w:sectPr>
          <w:type w:val="continuous"/>
          <w:pgSz w:w="9640" w:h="13890"/>
          <w:pgMar w:top="0" w:bottom="0" w:left="1300" w:right="1200"/>
        </w:sectPr>
      </w:pPr>
    </w:p>
    <w:p>
      <w:pPr>
        <w:pStyle w:val="BodyText"/>
        <w:spacing w:line="247" w:lineRule="auto" w:before="107"/>
        <w:ind w:left="103" w:right="115"/>
        <w:jc w:val="both"/>
      </w:pPr>
      <w:r>
        <w:rPr>
          <w:color w:val="231F20"/>
          <w:w w:val="105"/>
        </w:rPr>
        <w:t>ráneas</w:t>
      </w:r>
      <w:r>
        <w:rPr>
          <w:color w:val="231F20"/>
          <w:spacing w:val="-27"/>
          <w:w w:val="105"/>
        </w:rPr>
        <w:t> </w:t>
      </w:r>
      <w:r>
        <w:rPr>
          <w:color w:val="231F20"/>
          <w:w w:val="105"/>
        </w:rPr>
        <w:t>son</w:t>
      </w:r>
      <w:r>
        <w:rPr>
          <w:color w:val="231F20"/>
          <w:spacing w:val="-27"/>
          <w:w w:val="105"/>
        </w:rPr>
        <w:t> </w:t>
      </w:r>
      <w:r>
        <w:rPr>
          <w:color w:val="231F20"/>
          <w:w w:val="105"/>
        </w:rPr>
        <w:t>menos</w:t>
      </w:r>
      <w:r>
        <w:rPr>
          <w:color w:val="231F20"/>
          <w:spacing w:val="-27"/>
          <w:w w:val="105"/>
        </w:rPr>
        <w:t> </w:t>
      </w:r>
      <w:r>
        <w:rPr>
          <w:color w:val="231F20"/>
          <w:w w:val="105"/>
        </w:rPr>
        <w:t>la</w:t>
      </w:r>
      <w:r>
        <w:rPr>
          <w:color w:val="231F20"/>
          <w:spacing w:val="-27"/>
          <w:w w:val="105"/>
        </w:rPr>
        <w:t> </w:t>
      </w:r>
      <w:r>
        <w:rPr>
          <w:color w:val="231F20"/>
          <w:w w:val="105"/>
        </w:rPr>
        <w:t>oportunidad</w:t>
      </w:r>
      <w:r>
        <w:rPr>
          <w:color w:val="231F20"/>
          <w:spacing w:val="-27"/>
          <w:w w:val="105"/>
        </w:rPr>
        <w:t> </w:t>
      </w:r>
      <w:r>
        <w:rPr>
          <w:color w:val="231F20"/>
          <w:w w:val="105"/>
        </w:rPr>
        <w:t>de</w:t>
      </w:r>
      <w:r>
        <w:rPr>
          <w:color w:val="231F20"/>
          <w:spacing w:val="-27"/>
          <w:w w:val="105"/>
        </w:rPr>
        <w:t> </w:t>
      </w:r>
      <w:r>
        <w:rPr>
          <w:color w:val="231F20"/>
          <w:w w:val="105"/>
        </w:rPr>
        <w:t>optar</w:t>
      </w:r>
      <w:r>
        <w:rPr>
          <w:color w:val="231F20"/>
          <w:spacing w:val="-27"/>
          <w:w w:val="105"/>
        </w:rPr>
        <w:t> </w:t>
      </w:r>
      <w:r>
        <w:rPr>
          <w:color w:val="231F20"/>
          <w:w w:val="105"/>
        </w:rPr>
        <w:t>por</w:t>
      </w:r>
      <w:r>
        <w:rPr>
          <w:color w:val="231F20"/>
          <w:spacing w:val="-27"/>
          <w:w w:val="105"/>
        </w:rPr>
        <w:t> </w:t>
      </w:r>
      <w:r>
        <w:rPr>
          <w:color w:val="231F20"/>
          <w:w w:val="105"/>
        </w:rPr>
        <w:t>distintas</w:t>
      </w:r>
      <w:r>
        <w:rPr>
          <w:color w:val="231F20"/>
          <w:spacing w:val="-27"/>
          <w:w w:val="105"/>
        </w:rPr>
        <w:t> </w:t>
      </w:r>
      <w:r>
        <w:rPr>
          <w:color w:val="231F20"/>
          <w:w w:val="105"/>
        </w:rPr>
        <w:t>orientaciones</w:t>
      </w:r>
      <w:r>
        <w:rPr>
          <w:color w:val="231F20"/>
          <w:spacing w:val="-27"/>
          <w:w w:val="105"/>
        </w:rPr>
        <w:t> </w:t>
      </w:r>
      <w:r>
        <w:rPr>
          <w:color w:val="231F20"/>
          <w:w w:val="105"/>
        </w:rPr>
        <w:t>que juicios</w:t>
      </w:r>
      <w:r>
        <w:rPr>
          <w:color w:val="231F20"/>
          <w:spacing w:val="-33"/>
          <w:w w:val="105"/>
        </w:rPr>
        <w:t> </w:t>
      </w:r>
      <w:r>
        <w:rPr>
          <w:color w:val="231F20"/>
          <w:w w:val="105"/>
        </w:rPr>
        <w:t>sobre</w:t>
      </w:r>
      <w:r>
        <w:rPr>
          <w:color w:val="231F20"/>
          <w:spacing w:val="-33"/>
          <w:w w:val="105"/>
        </w:rPr>
        <w:t> </w:t>
      </w:r>
      <w:r>
        <w:rPr>
          <w:color w:val="231F20"/>
          <w:w w:val="105"/>
        </w:rPr>
        <w:t>el</w:t>
      </w:r>
      <w:r>
        <w:rPr>
          <w:color w:val="231F20"/>
          <w:spacing w:val="-33"/>
          <w:w w:val="105"/>
        </w:rPr>
        <w:t> </w:t>
      </w:r>
      <w:r>
        <w:rPr>
          <w:color w:val="231F20"/>
          <w:w w:val="105"/>
        </w:rPr>
        <w:t>pasado</w:t>
      </w:r>
      <w:r>
        <w:rPr>
          <w:color w:val="231F20"/>
          <w:spacing w:val="-33"/>
          <w:w w:val="105"/>
        </w:rPr>
        <w:t> </w:t>
      </w:r>
      <w:r>
        <w:rPr>
          <w:color w:val="231F20"/>
          <w:w w:val="105"/>
        </w:rPr>
        <w:t>[…]</w:t>
      </w:r>
      <w:r>
        <w:rPr>
          <w:color w:val="231F20"/>
          <w:spacing w:val="-33"/>
          <w:w w:val="105"/>
        </w:rPr>
        <w:t> </w:t>
      </w:r>
      <w:r>
        <w:rPr>
          <w:color w:val="231F20"/>
          <w:spacing w:val="-10"/>
          <w:w w:val="105"/>
        </w:rPr>
        <w:t>Ya</w:t>
      </w:r>
      <w:r>
        <w:rPr>
          <w:color w:val="231F20"/>
          <w:spacing w:val="-33"/>
          <w:w w:val="105"/>
        </w:rPr>
        <w:t> </w:t>
      </w:r>
      <w:r>
        <w:rPr>
          <w:color w:val="231F20"/>
          <w:w w:val="105"/>
        </w:rPr>
        <w:t>no</w:t>
      </w:r>
      <w:r>
        <w:rPr>
          <w:color w:val="231F20"/>
          <w:spacing w:val="-33"/>
          <w:w w:val="105"/>
        </w:rPr>
        <w:t> </w:t>
      </w:r>
      <w:r>
        <w:rPr>
          <w:color w:val="231F20"/>
          <w:w w:val="105"/>
        </w:rPr>
        <w:t>se</w:t>
      </w:r>
      <w:r>
        <w:rPr>
          <w:color w:val="231F20"/>
          <w:spacing w:val="-33"/>
          <w:w w:val="105"/>
        </w:rPr>
        <w:t> </w:t>
      </w:r>
      <w:r>
        <w:rPr>
          <w:color w:val="231F20"/>
          <w:w w:val="105"/>
        </w:rPr>
        <w:t>trata,</w:t>
      </w:r>
      <w:r>
        <w:rPr>
          <w:color w:val="231F20"/>
          <w:spacing w:val="-33"/>
          <w:w w:val="105"/>
        </w:rPr>
        <w:t> </w:t>
      </w:r>
      <w:r>
        <w:rPr>
          <w:color w:val="231F20"/>
          <w:w w:val="105"/>
        </w:rPr>
        <w:t>en</w:t>
      </w:r>
      <w:r>
        <w:rPr>
          <w:color w:val="231F20"/>
          <w:spacing w:val="-33"/>
          <w:w w:val="105"/>
        </w:rPr>
        <w:t> </w:t>
      </w:r>
      <w:r>
        <w:rPr>
          <w:color w:val="231F20"/>
          <w:w w:val="105"/>
        </w:rPr>
        <w:t>el</w:t>
      </w:r>
      <w:r>
        <w:rPr>
          <w:color w:val="231F20"/>
          <w:spacing w:val="-33"/>
          <w:w w:val="105"/>
        </w:rPr>
        <w:t> </w:t>
      </w:r>
      <w:r>
        <w:rPr>
          <w:color w:val="231F20"/>
          <w:w w:val="105"/>
        </w:rPr>
        <w:t>sentido</w:t>
      </w:r>
      <w:r>
        <w:rPr>
          <w:color w:val="231F20"/>
          <w:spacing w:val="-33"/>
          <w:w w:val="105"/>
        </w:rPr>
        <w:t> </w:t>
      </w:r>
      <w:r>
        <w:rPr>
          <w:color w:val="231F20"/>
          <w:w w:val="105"/>
        </w:rPr>
        <w:t>etimológico</w:t>
      </w:r>
      <w:r>
        <w:rPr>
          <w:color w:val="231F20"/>
          <w:spacing w:val="-33"/>
          <w:w w:val="105"/>
        </w:rPr>
        <w:t> </w:t>
      </w:r>
      <w:r>
        <w:rPr>
          <w:color w:val="231F20"/>
          <w:w w:val="105"/>
        </w:rPr>
        <w:t>del</w:t>
      </w:r>
      <w:r>
        <w:rPr>
          <w:color w:val="231F20"/>
          <w:spacing w:val="-33"/>
          <w:w w:val="105"/>
        </w:rPr>
        <w:t> </w:t>
      </w:r>
      <w:r>
        <w:rPr>
          <w:color w:val="231F20"/>
          <w:spacing w:val="-3"/>
          <w:w w:val="105"/>
        </w:rPr>
        <w:t>tér- </w:t>
      </w:r>
      <w:r>
        <w:rPr>
          <w:color w:val="231F20"/>
          <w:w w:val="105"/>
        </w:rPr>
        <w:t>mino,</w:t>
      </w:r>
      <w:r>
        <w:rPr>
          <w:color w:val="231F20"/>
          <w:spacing w:val="-32"/>
          <w:w w:val="105"/>
        </w:rPr>
        <w:t> </w:t>
      </w:r>
      <w:r>
        <w:rPr>
          <w:color w:val="231F20"/>
          <w:w w:val="105"/>
        </w:rPr>
        <w:t>de</w:t>
      </w:r>
      <w:r>
        <w:rPr>
          <w:color w:val="231F20"/>
          <w:spacing w:val="-32"/>
          <w:w w:val="105"/>
        </w:rPr>
        <w:t> </w:t>
      </w:r>
      <w:r>
        <w:rPr>
          <w:color w:val="231F20"/>
          <w:w w:val="105"/>
        </w:rPr>
        <w:t>distinguir</w:t>
      </w:r>
      <w:r>
        <w:rPr>
          <w:color w:val="231F20"/>
          <w:spacing w:val="-32"/>
          <w:w w:val="105"/>
        </w:rPr>
        <w:t> </w:t>
      </w:r>
      <w:r>
        <w:rPr>
          <w:color w:val="231F20"/>
          <w:w w:val="105"/>
        </w:rPr>
        <w:t>y</w:t>
      </w:r>
      <w:r>
        <w:rPr>
          <w:color w:val="231F20"/>
          <w:spacing w:val="-32"/>
          <w:w w:val="105"/>
        </w:rPr>
        <w:t> </w:t>
      </w:r>
      <w:r>
        <w:rPr>
          <w:color w:val="231F20"/>
          <w:w w:val="105"/>
        </w:rPr>
        <w:t>de</w:t>
      </w:r>
      <w:r>
        <w:rPr>
          <w:color w:val="231F20"/>
          <w:spacing w:val="-32"/>
          <w:w w:val="105"/>
        </w:rPr>
        <w:t> </w:t>
      </w:r>
      <w:r>
        <w:rPr>
          <w:color w:val="231F20"/>
          <w:w w:val="105"/>
        </w:rPr>
        <w:t>seleccionar</w:t>
      </w:r>
      <w:r>
        <w:rPr>
          <w:color w:val="231F20"/>
          <w:spacing w:val="-32"/>
          <w:w w:val="105"/>
        </w:rPr>
        <w:t> </w:t>
      </w:r>
      <w:r>
        <w:rPr>
          <w:color w:val="231F20"/>
          <w:w w:val="105"/>
        </w:rPr>
        <w:t>candidatos,</w:t>
      </w:r>
      <w:r>
        <w:rPr>
          <w:color w:val="231F20"/>
          <w:spacing w:val="-32"/>
          <w:w w:val="105"/>
        </w:rPr>
        <w:t> </w:t>
      </w:r>
      <w:r>
        <w:rPr>
          <w:color w:val="231F20"/>
          <w:w w:val="105"/>
        </w:rPr>
        <w:t>sino</w:t>
      </w:r>
      <w:r>
        <w:rPr>
          <w:color w:val="231F20"/>
          <w:spacing w:val="-32"/>
          <w:w w:val="105"/>
        </w:rPr>
        <w:t> </w:t>
      </w:r>
      <w:r>
        <w:rPr>
          <w:color w:val="231F20"/>
          <w:w w:val="105"/>
        </w:rPr>
        <w:t>más</w:t>
      </w:r>
      <w:r>
        <w:rPr>
          <w:color w:val="231F20"/>
          <w:spacing w:val="-32"/>
          <w:w w:val="105"/>
        </w:rPr>
        <w:t> </w:t>
      </w:r>
      <w:r>
        <w:rPr>
          <w:color w:val="231F20"/>
          <w:w w:val="105"/>
        </w:rPr>
        <w:t>bien</w:t>
      </w:r>
      <w:r>
        <w:rPr>
          <w:color w:val="231F20"/>
          <w:spacing w:val="-32"/>
          <w:w w:val="105"/>
        </w:rPr>
        <w:t> </w:t>
      </w:r>
      <w:r>
        <w:rPr>
          <w:color w:val="231F20"/>
          <w:w w:val="105"/>
        </w:rPr>
        <w:t>de</w:t>
      </w:r>
      <w:r>
        <w:rPr>
          <w:color w:val="231F20"/>
          <w:spacing w:val="-32"/>
          <w:w w:val="105"/>
        </w:rPr>
        <w:t> </w:t>
      </w:r>
      <w:r>
        <w:rPr>
          <w:color w:val="231F20"/>
          <w:w w:val="105"/>
        </w:rPr>
        <w:t>proceder a</w:t>
      </w:r>
      <w:r>
        <w:rPr>
          <w:color w:val="231F20"/>
          <w:spacing w:val="-28"/>
          <w:w w:val="105"/>
        </w:rPr>
        <w:t> </w:t>
      </w:r>
      <w:r>
        <w:rPr>
          <w:color w:val="231F20"/>
          <w:w w:val="105"/>
        </w:rPr>
        <w:t>eliminaciones.</w:t>
      </w:r>
      <w:r>
        <w:rPr>
          <w:color w:val="231F20"/>
          <w:spacing w:val="-28"/>
          <w:w w:val="105"/>
        </w:rPr>
        <w:t> </w:t>
      </w:r>
      <w:r>
        <w:rPr>
          <w:color w:val="231F20"/>
          <w:w w:val="105"/>
        </w:rPr>
        <w:t>Se</w:t>
      </w:r>
      <w:r>
        <w:rPr>
          <w:color w:val="231F20"/>
          <w:spacing w:val="-28"/>
          <w:w w:val="105"/>
        </w:rPr>
        <w:t> </w:t>
      </w:r>
      <w:r>
        <w:rPr>
          <w:color w:val="231F20"/>
          <w:w w:val="105"/>
        </w:rPr>
        <w:t>puede</w:t>
      </w:r>
      <w:r>
        <w:rPr>
          <w:color w:val="231F20"/>
          <w:spacing w:val="-28"/>
          <w:w w:val="105"/>
        </w:rPr>
        <w:t> </w:t>
      </w:r>
      <w:r>
        <w:rPr>
          <w:color w:val="231F20"/>
          <w:w w:val="105"/>
        </w:rPr>
        <w:t>hablar</w:t>
      </w:r>
      <w:r>
        <w:rPr>
          <w:color w:val="231F20"/>
          <w:spacing w:val="-28"/>
          <w:w w:val="105"/>
        </w:rPr>
        <w:t> </w:t>
      </w:r>
      <w:r>
        <w:rPr>
          <w:color w:val="231F20"/>
          <w:w w:val="105"/>
        </w:rPr>
        <w:t>por</w:t>
      </w:r>
      <w:r>
        <w:rPr>
          <w:color w:val="231F20"/>
          <w:spacing w:val="-28"/>
          <w:w w:val="105"/>
        </w:rPr>
        <w:t> </w:t>
      </w:r>
      <w:r>
        <w:rPr>
          <w:color w:val="231F20"/>
          <w:w w:val="105"/>
        </w:rPr>
        <w:t>ello</w:t>
      </w:r>
      <w:r>
        <w:rPr>
          <w:color w:val="231F20"/>
          <w:spacing w:val="-28"/>
          <w:w w:val="105"/>
        </w:rPr>
        <w:t> </w:t>
      </w:r>
      <w:r>
        <w:rPr>
          <w:color w:val="231F20"/>
          <w:w w:val="105"/>
        </w:rPr>
        <w:t>de</w:t>
      </w:r>
      <w:r>
        <w:rPr>
          <w:color w:val="231F20"/>
          <w:spacing w:val="-28"/>
          <w:w w:val="105"/>
        </w:rPr>
        <w:t> </w:t>
      </w:r>
      <w:r>
        <w:rPr>
          <w:color w:val="231F20"/>
          <w:w w:val="105"/>
        </w:rPr>
        <w:t>‘deselecciones’.</w:t>
      </w:r>
      <w:r>
        <w:rPr>
          <w:color w:val="231F20"/>
          <w:spacing w:val="-28"/>
          <w:w w:val="105"/>
        </w:rPr>
        <w:t> </w:t>
      </w:r>
      <w:r>
        <w:rPr>
          <w:color w:val="231F20"/>
          <w:w w:val="105"/>
        </w:rPr>
        <w:t>Entramos</w:t>
      </w:r>
      <w:r>
        <w:rPr>
          <w:color w:val="231F20"/>
          <w:spacing w:val="-28"/>
          <w:w w:val="105"/>
        </w:rPr>
        <w:t> </w:t>
      </w:r>
      <w:r>
        <w:rPr>
          <w:color w:val="231F20"/>
          <w:w w:val="105"/>
        </w:rPr>
        <w:t>así en</w:t>
      </w:r>
      <w:r>
        <w:rPr>
          <w:color w:val="231F20"/>
          <w:spacing w:val="-36"/>
          <w:w w:val="105"/>
        </w:rPr>
        <w:t> </w:t>
      </w:r>
      <w:r>
        <w:rPr>
          <w:color w:val="231F20"/>
          <w:w w:val="105"/>
        </w:rPr>
        <w:t>lo</w:t>
      </w:r>
      <w:r>
        <w:rPr>
          <w:color w:val="231F20"/>
          <w:spacing w:val="-36"/>
          <w:w w:val="105"/>
        </w:rPr>
        <w:t> </w:t>
      </w:r>
      <w:r>
        <w:rPr>
          <w:color w:val="231F20"/>
          <w:w w:val="105"/>
        </w:rPr>
        <w:t>que</w:t>
      </w:r>
      <w:r>
        <w:rPr>
          <w:color w:val="231F20"/>
          <w:spacing w:val="-36"/>
          <w:w w:val="105"/>
        </w:rPr>
        <w:t> </w:t>
      </w:r>
      <w:r>
        <w:rPr>
          <w:color w:val="231F20"/>
          <w:w w:val="105"/>
        </w:rPr>
        <w:t>podría</w:t>
      </w:r>
      <w:r>
        <w:rPr>
          <w:color w:val="231F20"/>
          <w:spacing w:val="-36"/>
          <w:w w:val="105"/>
        </w:rPr>
        <w:t> </w:t>
      </w:r>
      <w:r>
        <w:rPr>
          <w:color w:val="231F20"/>
          <w:w w:val="105"/>
        </w:rPr>
        <w:t>llamarse</w:t>
      </w:r>
      <w:r>
        <w:rPr>
          <w:color w:val="231F20"/>
          <w:spacing w:val="-36"/>
          <w:w w:val="105"/>
        </w:rPr>
        <w:t> </w:t>
      </w:r>
      <w:r>
        <w:rPr>
          <w:color w:val="231F20"/>
          <w:w w:val="105"/>
        </w:rPr>
        <w:t>una</w:t>
      </w:r>
      <w:r>
        <w:rPr>
          <w:color w:val="231F20"/>
          <w:spacing w:val="-36"/>
          <w:w w:val="105"/>
        </w:rPr>
        <w:t> </w:t>
      </w:r>
      <w:r>
        <w:rPr>
          <w:rFonts w:ascii="Arial" w:hAnsi="Arial"/>
          <w:i/>
          <w:color w:val="231F20"/>
          <w:w w:val="105"/>
        </w:rPr>
        <w:t>democracia</w:t>
      </w:r>
      <w:r>
        <w:rPr>
          <w:rFonts w:ascii="Arial" w:hAnsi="Arial"/>
          <w:i/>
          <w:color w:val="231F20"/>
          <w:spacing w:val="-28"/>
          <w:w w:val="105"/>
        </w:rPr>
        <w:t> </w:t>
      </w:r>
      <w:r>
        <w:rPr>
          <w:rFonts w:ascii="Arial" w:hAnsi="Arial"/>
          <w:i/>
          <w:color w:val="231F20"/>
          <w:w w:val="105"/>
        </w:rPr>
        <w:t>de</w:t>
      </w:r>
      <w:r>
        <w:rPr>
          <w:rFonts w:ascii="Arial" w:hAnsi="Arial"/>
          <w:i/>
          <w:color w:val="231F20"/>
          <w:spacing w:val="-28"/>
          <w:w w:val="105"/>
        </w:rPr>
        <w:t> </w:t>
      </w:r>
      <w:r>
        <w:rPr>
          <w:rFonts w:ascii="Arial" w:hAnsi="Arial"/>
          <w:i/>
          <w:color w:val="231F20"/>
          <w:w w:val="105"/>
        </w:rPr>
        <w:t>sanción</w:t>
      </w:r>
      <w:r>
        <w:rPr>
          <w:color w:val="231F20"/>
          <w:w w:val="105"/>
        </w:rPr>
        <w:t>”</w:t>
      </w:r>
      <w:r>
        <w:rPr>
          <w:color w:val="231F20"/>
          <w:w w:val="105"/>
          <w:position w:val="7"/>
          <w:sz w:val="12"/>
        </w:rPr>
        <w:t>30</w:t>
      </w:r>
      <w:r>
        <w:rPr>
          <w:color w:val="231F20"/>
          <w:w w:val="105"/>
        </w:rPr>
        <w:t>.</w:t>
      </w:r>
    </w:p>
    <w:p>
      <w:pPr>
        <w:pStyle w:val="BodyText"/>
        <w:spacing w:line="247" w:lineRule="auto"/>
        <w:ind w:left="103" w:right="114" w:firstLine="566"/>
        <w:jc w:val="both"/>
      </w:pPr>
      <w:r>
        <w:rPr>
          <w:color w:val="231F20"/>
        </w:rPr>
        <w:t>En muchas ocasiones, este castigo tiene que ver directamente con el proceso de colonización del espacio político de la democracia causado por el incremento de la participación de diversos actores no políticos como son los empresarios</w:t>
      </w:r>
      <w:r>
        <w:rPr>
          <w:color w:val="231F20"/>
          <w:position w:val="7"/>
          <w:sz w:val="12"/>
        </w:rPr>
        <w:t>31</w:t>
      </w:r>
      <w:r>
        <w:rPr>
          <w:color w:val="231F20"/>
        </w:rPr>
        <w:t>; la Iglesia y su coerción moral sobre la sociedad, los medios de comunicación, que dejan de ser cajas de resonancia de los dis- tintos actores sociales para volverse también actores que hacen frente a</w:t>
      </w:r>
      <w:r>
        <w:rPr>
          <w:color w:val="231F20"/>
          <w:spacing w:val="-28"/>
        </w:rPr>
        <w:t> </w:t>
      </w:r>
      <w:r>
        <w:rPr>
          <w:color w:val="231F20"/>
        </w:rPr>
        <w:t>la política</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sus</w:t>
      </w:r>
      <w:r>
        <w:rPr>
          <w:color w:val="231F20"/>
          <w:spacing w:val="-10"/>
        </w:rPr>
        <w:t> </w:t>
      </w:r>
      <w:r>
        <w:rPr>
          <w:color w:val="231F20"/>
        </w:rPr>
        <w:t>semánticas,</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civil</w:t>
      </w:r>
      <w:r>
        <w:rPr>
          <w:color w:val="231F20"/>
          <w:spacing w:val="-10"/>
        </w:rPr>
        <w:t> </w:t>
      </w:r>
      <w:r>
        <w:rPr>
          <w:color w:val="231F20"/>
        </w:rPr>
        <w:t>organizada</w:t>
      </w:r>
      <w:r>
        <w:rPr>
          <w:color w:val="231F20"/>
          <w:spacing w:val="-10"/>
        </w:rPr>
        <w:t> </w:t>
      </w:r>
      <w:r>
        <w:rPr>
          <w:color w:val="231F20"/>
        </w:rPr>
        <w:t>que</w:t>
      </w:r>
      <w:r>
        <w:rPr>
          <w:color w:val="231F20"/>
          <w:spacing w:val="-10"/>
        </w:rPr>
        <w:t> </w:t>
      </w:r>
      <w:r>
        <w:rPr>
          <w:color w:val="231F20"/>
        </w:rPr>
        <w:t>propone</w:t>
      </w:r>
      <w:r>
        <w:rPr>
          <w:color w:val="231F20"/>
          <w:spacing w:val="-10"/>
        </w:rPr>
        <w:t> </w:t>
      </w:r>
      <w:r>
        <w:rPr>
          <w:color w:val="231F20"/>
        </w:rPr>
        <w:t>y</w:t>
      </w:r>
      <w:r>
        <w:rPr>
          <w:color w:val="231F20"/>
          <w:spacing w:val="-10"/>
        </w:rPr>
        <w:t> </w:t>
      </w:r>
      <w:r>
        <w:rPr>
          <w:color w:val="231F20"/>
        </w:rPr>
        <w:t>dise- ña estrategias de aseguramiento social en situaciones de escasez. Incluso, la participación de las organizaciones criminales que financian campañas “eligen” candidatos subnacionales y nacionales, para lograr anidar la com- plicidad en la sede legislativa,</w:t>
      </w:r>
      <w:r>
        <w:rPr>
          <w:color w:val="231F20"/>
          <w:spacing w:val="25"/>
        </w:rPr>
        <w:t> </w:t>
      </w:r>
      <w:r>
        <w:rPr>
          <w:color w:val="231F20"/>
        </w:rPr>
        <w:t>etcétera.</w:t>
      </w:r>
    </w:p>
    <w:p>
      <w:pPr>
        <w:pStyle w:val="BodyText"/>
        <w:spacing w:line="247" w:lineRule="auto"/>
        <w:ind w:left="103" w:right="115" w:firstLine="566"/>
        <w:jc w:val="both"/>
      </w:pPr>
      <w:r>
        <w:rPr>
          <w:color w:val="231F20"/>
          <w:w w:val="105"/>
        </w:rPr>
        <w:t>Estos</w:t>
      </w:r>
      <w:r>
        <w:rPr>
          <w:color w:val="231F20"/>
          <w:spacing w:val="-19"/>
          <w:w w:val="105"/>
        </w:rPr>
        <w:t> </w:t>
      </w:r>
      <w:r>
        <w:rPr>
          <w:color w:val="231F20"/>
          <w:w w:val="105"/>
        </w:rPr>
        <w:t>momentos</w:t>
      </w:r>
      <w:r>
        <w:rPr>
          <w:color w:val="231F20"/>
          <w:spacing w:val="-19"/>
          <w:w w:val="105"/>
        </w:rPr>
        <w:t> </w:t>
      </w:r>
      <w:r>
        <w:rPr>
          <w:color w:val="231F20"/>
          <w:w w:val="105"/>
        </w:rPr>
        <w:t>a</w:t>
      </w:r>
      <w:r>
        <w:rPr>
          <w:color w:val="231F20"/>
          <w:spacing w:val="-19"/>
          <w:w w:val="105"/>
        </w:rPr>
        <w:t> </w:t>
      </w:r>
      <w:r>
        <w:rPr>
          <w:color w:val="231F20"/>
          <w:w w:val="105"/>
        </w:rPr>
        <w:t>través</w:t>
      </w:r>
      <w:r>
        <w:rPr>
          <w:color w:val="231F20"/>
          <w:spacing w:val="-19"/>
          <w:w w:val="105"/>
        </w:rPr>
        <w:t> </w:t>
      </w:r>
      <w:r>
        <w:rPr>
          <w:color w:val="231F20"/>
          <w:w w:val="105"/>
        </w:rPr>
        <w:t>de</w:t>
      </w:r>
      <w:r>
        <w:rPr>
          <w:color w:val="231F20"/>
          <w:spacing w:val="-19"/>
          <w:w w:val="105"/>
        </w:rPr>
        <w:t> </w:t>
      </w:r>
      <w:r>
        <w:rPr>
          <w:color w:val="231F20"/>
          <w:w w:val="105"/>
        </w:rPr>
        <w:t>sus</w:t>
      </w:r>
      <w:r>
        <w:rPr>
          <w:color w:val="231F20"/>
          <w:spacing w:val="-19"/>
          <w:w w:val="105"/>
        </w:rPr>
        <w:t> </w:t>
      </w:r>
      <w:r>
        <w:rPr>
          <w:color w:val="231F20"/>
          <w:w w:val="105"/>
        </w:rPr>
        <w:t>interacciones</w:t>
      </w:r>
      <w:r>
        <w:rPr>
          <w:color w:val="231F20"/>
          <w:spacing w:val="-19"/>
          <w:w w:val="105"/>
        </w:rPr>
        <w:t> </w:t>
      </w:r>
      <w:r>
        <w:rPr>
          <w:color w:val="231F20"/>
          <w:w w:val="105"/>
        </w:rPr>
        <w:t>y</w:t>
      </w:r>
      <w:r>
        <w:rPr>
          <w:color w:val="231F20"/>
          <w:spacing w:val="-19"/>
          <w:w w:val="105"/>
        </w:rPr>
        <w:t> </w:t>
      </w:r>
      <w:r>
        <w:rPr>
          <w:color w:val="231F20"/>
          <w:w w:val="105"/>
        </w:rPr>
        <w:t>contradicciones</w:t>
      </w:r>
      <w:r>
        <w:rPr>
          <w:color w:val="231F20"/>
          <w:spacing w:val="-19"/>
          <w:w w:val="105"/>
        </w:rPr>
        <w:t> </w:t>
      </w:r>
      <w:r>
        <w:rPr>
          <w:color w:val="231F20"/>
          <w:w w:val="105"/>
        </w:rPr>
        <w:t>se vuelven más intensos en regímenes políticos en “vías de consolidación democrática”,</w:t>
      </w:r>
      <w:r>
        <w:rPr>
          <w:color w:val="231F20"/>
          <w:spacing w:val="-6"/>
          <w:w w:val="105"/>
        </w:rPr>
        <w:t> </w:t>
      </w:r>
      <w:r>
        <w:rPr>
          <w:color w:val="231F20"/>
          <w:w w:val="105"/>
        </w:rPr>
        <w:t>ya</w:t>
      </w:r>
      <w:r>
        <w:rPr>
          <w:color w:val="231F20"/>
          <w:spacing w:val="-6"/>
          <w:w w:val="105"/>
        </w:rPr>
        <w:t> </w:t>
      </w:r>
      <w:r>
        <w:rPr>
          <w:color w:val="231F20"/>
          <w:w w:val="105"/>
        </w:rPr>
        <w:t>que</w:t>
      </w:r>
      <w:r>
        <w:rPr>
          <w:color w:val="231F20"/>
          <w:spacing w:val="-6"/>
          <w:w w:val="105"/>
        </w:rPr>
        <w:t> </w:t>
      </w:r>
      <w:r>
        <w:rPr>
          <w:color w:val="231F20"/>
          <w:w w:val="105"/>
        </w:rPr>
        <w:t>permiten</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par</w:t>
      </w:r>
      <w:r>
        <w:rPr>
          <w:color w:val="231F20"/>
          <w:spacing w:val="-6"/>
          <w:w w:val="105"/>
        </w:rPr>
        <w:t> </w:t>
      </w:r>
      <w:r>
        <w:rPr>
          <w:color w:val="231F20"/>
          <w:w w:val="105"/>
        </w:rPr>
        <w:t>del</w:t>
      </w:r>
      <w:r>
        <w:rPr>
          <w:color w:val="231F20"/>
          <w:spacing w:val="-6"/>
          <w:w w:val="105"/>
        </w:rPr>
        <w:t> </w:t>
      </w:r>
      <w:r>
        <w:rPr>
          <w:color w:val="231F20"/>
          <w:w w:val="105"/>
        </w:rPr>
        <w:t>desarrollo</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estructuras de consolidación democrática, el nacimiento de fenómenos de “des– democratización”,</w:t>
      </w:r>
      <w:r>
        <w:rPr>
          <w:color w:val="231F20"/>
          <w:spacing w:val="-11"/>
          <w:w w:val="105"/>
        </w:rPr>
        <w:t> </w:t>
      </w:r>
      <w:r>
        <w:rPr>
          <w:color w:val="231F20"/>
          <w:w w:val="105"/>
        </w:rPr>
        <w:t>que</w:t>
      </w:r>
      <w:r>
        <w:rPr>
          <w:color w:val="231F20"/>
          <w:spacing w:val="-11"/>
          <w:w w:val="105"/>
        </w:rPr>
        <w:t> </w:t>
      </w:r>
      <w:r>
        <w:rPr>
          <w:color w:val="231F20"/>
          <w:w w:val="105"/>
        </w:rPr>
        <w:t>son</w:t>
      </w:r>
      <w:r>
        <w:rPr>
          <w:color w:val="231F20"/>
          <w:spacing w:val="-11"/>
          <w:w w:val="105"/>
        </w:rPr>
        <w:t> </w:t>
      </w:r>
      <w:r>
        <w:rPr>
          <w:color w:val="231F20"/>
          <w:w w:val="105"/>
        </w:rPr>
        <w:t>un</w:t>
      </w:r>
      <w:r>
        <w:rPr>
          <w:color w:val="231F20"/>
          <w:spacing w:val="-11"/>
          <w:w w:val="105"/>
        </w:rPr>
        <w:t> </w:t>
      </w:r>
      <w:r>
        <w:rPr>
          <w:color w:val="231F20"/>
          <w:w w:val="105"/>
        </w:rPr>
        <w:t>efecto</w:t>
      </w:r>
      <w:r>
        <w:rPr>
          <w:color w:val="231F20"/>
          <w:spacing w:val="-11"/>
          <w:w w:val="105"/>
        </w:rPr>
        <w:t> </w:t>
      </w:r>
      <w:r>
        <w:rPr>
          <w:color w:val="231F20"/>
          <w:w w:val="105"/>
        </w:rPr>
        <w:t>del</w:t>
      </w:r>
      <w:r>
        <w:rPr>
          <w:color w:val="231F20"/>
          <w:spacing w:val="-11"/>
          <w:w w:val="105"/>
        </w:rPr>
        <w:t> </w:t>
      </w:r>
      <w:r>
        <w:rPr>
          <w:color w:val="231F20"/>
          <w:w w:val="105"/>
        </w:rPr>
        <w:t>proceso</w:t>
      </w:r>
      <w:r>
        <w:rPr>
          <w:color w:val="231F20"/>
          <w:spacing w:val="-11"/>
          <w:w w:val="105"/>
        </w:rPr>
        <w:t> </w:t>
      </w:r>
      <w:r>
        <w:rPr>
          <w:color w:val="231F20"/>
          <w:w w:val="105"/>
        </w:rPr>
        <w:t>del</w:t>
      </w:r>
      <w:r>
        <w:rPr>
          <w:color w:val="231F20"/>
          <w:spacing w:val="-11"/>
          <w:w w:val="105"/>
        </w:rPr>
        <w:t> </w:t>
      </w:r>
      <w:r>
        <w:rPr>
          <w:color w:val="231F20"/>
          <w:w w:val="105"/>
        </w:rPr>
        <w:t>deslizamiento</w:t>
      </w:r>
      <w:r>
        <w:rPr>
          <w:color w:val="231F20"/>
          <w:spacing w:val="-11"/>
          <w:w w:val="105"/>
        </w:rPr>
        <w:t> </w:t>
      </w:r>
      <w:r>
        <w:rPr>
          <w:color w:val="231F20"/>
          <w:w w:val="105"/>
        </w:rPr>
        <w:t>de</w:t>
      </w:r>
      <w:r>
        <w:rPr>
          <w:color w:val="231F20"/>
          <w:spacing w:val="-11"/>
          <w:w w:val="105"/>
        </w:rPr>
        <w:t> </w:t>
      </w:r>
      <w:r>
        <w:rPr>
          <w:color w:val="231F20"/>
          <w:w w:val="105"/>
        </w:rPr>
        <w:t>la centralidad</w:t>
      </w:r>
      <w:r>
        <w:rPr>
          <w:color w:val="231F20"/>
          <w:spacing w:val="-12"/>
          <w:w w:val="105"/>
        </w:rPr>
        <w:t> </w:t>
      </w:r>
      <w:r>
        <w:rPr>
          <w:color w:val="231F20"/>
          <w:w w:val="105"/>
        </w:rPr>
        <w:t>política</w:t>
      </w:r>
      <w:r>
        <w:rPr>
          <w:color w:val="231F20"/>
          <w:spacing w:val="-12"/>
          <w:w w:val="105"/>
        </w:rPr>
        <w:t> </w:t>
      </w:r>
      <w:r>
        <w:rPr>
          <w:color w:val="231F20"/>
          <w:w w:val="105"/>
        </w:rPr>
        <w:t>de</w:t>
      </w:r>
      <w:r>
        <w:rPr>
          <w:color w:val="231F20"/>
          <w:spacing w:val="-12"/>
          <w:w w:val="105"/>
        </w:rPr>
        <w:t> </w:t>
      </w:r>
      <w:r>
        <w:rPr>
          <w:color w:val="231F20"/>
          <w:w w:val="105"/>
        </w:rPr>
        <w:t>legitimación,</w:t>
      </w:r>
      <w:r>
        <w:rPr>
          <w:color w:val="231F20"/>
          <w:spacing w:val="-12"/>
          <w:w w:val="105"/>
        </w:rPr>
        <w:t> </w:t>
      </w:r>
      <w:r>
        <w:rPr>
          <w:color w:val="231F20"/>
          <w:w w:val="105"/>
        </w:rPr>
        <w:t>o</w:t>
      </w:r>
      <w:r>
        <w:rPr>
          <w:color w:val="231F20"/>
          <w:spacing w:val="-12"/>
          <w:w w:val="105"/>
        </w:rPr>
        <w:t> </w:t>
      </w:r>
      <w:r>
        <w:rPr>
          <w:color w:val="231F20"/>
          <w:w w:val="105"/>
        </w:rPr>
        <w:t>bien,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materia</w:t>
      </w:r>
      <w:r>
        <w:rPr>
          <w:color w:val="231F20"/>
          <w:spacing w:val="-12"/>
          <w:w w:val="105"/>
        </w:rPr>
        <w:t> </w:t>
      </w:r>
      <w:r>
        <w:rPr>
          <w:color w:val="231F20"/>
          <w:w w:val="105"/>
        </w:rPr>
        <w:t>prima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de- mocratización (la “restitución” del lugar político de la figura del pueblo) y que afecta al Estado como forma de “soberanización”, por lo que sus modos</w:t>
      </w:r>
      <w:r>
        <w:rPr>
          <w:color w:val="231F20"/>
          <w:spacing w:val="-15"/>
          <w:w w:val="105"/>
        </w:rPr>
        <w:t> </w:t>
      </w:r>
      <w:r>
        <w:rPr>
          <w:color w:val="231F20"/>
          <w:w w:val="105"/>
        </w:rPr>
        <w:t>de</w:t>
      </w:r>
      <w:r>
        <w:rPr>
          <w:color w:val="231F20"/>
          <w:spacing w:val="-15"/>
          <w:w w:val="105"/>
        </w:rPr>
        <w:t> </w:t>
      </w:r>
      <w:r>
        <w:rPr>
          <w:color w:val="231F20"/>
          <w:w w:val="105"/>
        </w:rPr>
        <w:t>organización</w:t>
      </w:r>
      <w:r>
        <w:rPr>
          <w:color w:val="231F20"/>
          <w:spacing w:val="-15"/>
          <w:w w:val="105"/>
        </w:rPr>
        <w:t> </w:t>
      </w:r>
      <w:r>
        <w:rPr>
          <w:color w:val="231F20"/>
          <w:w w:val="105"/>
        </w:rPr>
        <w:t>cambiarán</w:t>
      </w:r>
      <w:r>
        <w:rPr>
          <w:color w:val="231F20"/>
          <w:spacing w:val="-15"/>
          <w:w w:val="105"/>
        </w:rPr>
        <w:t> </w:t>
      </w:r>
      <w:r>
        <w:rPr>
          <w:color w:val="231F20"/>
          <w:w w:val="105"/>
        </w:rPr>
        <w:t>en</w:t>
      </w:r>
      <w:r>
        <w:rPr>
          <w:color w:val="231F20"/>
          <w:spacing w:val="-15"/>
          <w:w w:val="105"/>
        </w:rPr>
        <w:t> </w:t>
      </w:r>
      <w:r>
        <w:rPr>
          <w:color w:val="231F20"/>
          <w:w w:val="105"/>
        </w:rPr>
        <w:t>muchos</w:t>
      </w:r>
      <w:r>
        <w:rPr>
          <w:color w:val="231F20"/>
          <w:spacing w:val="-15"/>
          <w:w w:val="105"/>
        </w:rPr>
        <w:t> </w:t>
      </w:r>
      <w:r>
        <w:rPr>
          <w:color w:val="231F20"/>
          <w:w w:val="105"/>
        </w:rPr>
        <w:t>sentidos</w:t>
      </w:r>
      <w:r>
        <w:rPr>
          <w:color w:val="231F20"/>
          <w:w w:val="105"/>
          <w:position w:val="7"/>
          <w:sz w:val="12"/>
        </w:rPr>
        <w:t>32</w:t>
      </w:r>
      <w:r>
        <w:rPr>
          <w:color w:val="231F20"/>
          <w:w w:val="105"/>
        </w:rPr>
        <w:t>.</w:t>
      </w:r>
      <w:r>
        <w:rPr>
          <w:color w:val="231F20"/>
          <w:spacing w:val="-15"/>
          <w:w w:val="105"/>
        </w:rPr>
        <w:t> </w:t>
      </w:r>
      <w:r>
        <w:rPr>
          <w:color w:val="231F20"/>
          <w:w w:val="105"/>
        </w:rPr>
        <w:t>Este</w:t>
      </w:r>
      <w:r>
        <w:rPr>
          <w:color w:val="231F20"/>
          <w:spacing w:val="-15"/>
          <w:w w:val="105"/>
        </w:rPr>
        <w:t> </w:t>
      </w:r>
      <w:r>
        <w:rPr>
          <w:color w:val="231F20"/>
          <w:w w:val="105"/>
        </w:rPr>
        <w:t>cambio</w:t>
      </w:r>
      <w:r>
        <w:rPr>
          <w:color w:val="231F20"/>
          <w:spacing w:val="-15"/>
          <w:w w:val="105"/>
        </w:rPr>
        <w:t> </w:t>
      </w:r>
      <w:r>
        <w:rPr>
          <w:color w:val="231F20"/>
          <w:w w:val="105"/>
        </w:rPr>
        <w:t>es sintomático</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actuación</w:t>
      </w:r>
      <w:r>
        <w:rPr>
          <w:color w:val="231F20"/>
          <w:spacing w:val="-12"/>
          <w:w w:val="105"/>
        </w:rPr>
        <w:t> </w:t>
      </w:r>
      <w:r>
        <w:rPr>
          <w:color w:val="231F20"/>
          <w:w w:val="105"/>
        </w:rPr>
        <w:t>política</w:t>
      </w:r>
      <w:r>
        <w:rPr>
          <w:color w:val="231F20"/>
          <w:spacing w:val="-12"/>
          <w:w w:val="105"/>
        </w:rPr>
        <w:t> </w:t>
      </w:r>
      <w:r>
        <w:rPr>
          <w:color w:val="231F20"/>
          <w:w w:val="105"/>
        </w:rPr>
        <w:t>del</w:t>
      </w:r>
      <w:r>
        <w:rPr>
          <w:color w:val="231F20"/>
          <w:spacing w:val="-12"/>
          <w:w w:val="105"/>
        </w:rPr>
        <w:t> </w:t>
      </w:r>
      <w:r>
        <w:rPr>
          <w:color w:val="231F20"/>
          <w:w w:val="105"/>
        </w:rPr>
        <w:t>poder</w:t>
      </w:r>
      <w:r>
        <w:rPr>
          <w:color w:val="231F20"/>
          <w:spacing w:val="-12"/>
          <w:w w:val="105"/>
        </w:rPr>
        <w:t> </w:t>
      </w:r>
      <w:r>
        <w:rPr>
          <w:color w:val="231F20"/>
          <w:w w:val="105"/>
        </w:rPr>
        <w:t>judicial</w:t>
      </w:r>
      <w:r>
        <w:rPr>
          <w:color w:val="231F20"/>
          <w:spacing w:val="-12"/>
          <w:w w:val="105"/>
        </w:rPr>
        <w:t> </w:t>
      </w:r>
      <w:r>
        <w:rPr>
          <w:color w:val="231F20"/>
          <w:w w:val="105"/>
        </w:rPr>
        <w:t>frente</w:t>
      </w:r>
      <w:r>
        <w:rPr>
          <w:color w:val="231F20"/>
          <w:spacing w:val="-12"/>
          <w:w w:val="105"/>
        </w:rPr>
        <w:t> </w:t>
      </w:r>
      <w:r>
        <w:rPr>
          <w:color w:val="231F20"/>
          <w:w w:val="105"/>
        </w:rPr>
        <w:t>al</w:t>
      </w:r>
      <w:r>
        <w:rPr>
          <w:color w:val="231F20"/>
          <w:spacing w:val="-12"/>
          <w:w w:val="105"/>
        </w:rPr>
        <w:t> </w:t>
      </w:r>
      <w:r>
        <w:rPr>
          <w:color w:val="231F20"/>
          <w:w w:val="105"/>
        </w:rPr>
        <w:t>desarrollo del</w:t>
      </w:r>
      <w:r>
        <w:rPr>
          <w:color w:val="231F20"/>
          <w:spacing w:val="-15"/>
          <w:w w:val="105"/>
        </w:rPr>
        <w:t> </w:t>
      </w:r>
      <w:r>
        <w:rPr>
          <w:color w:val="231F20"/>
          <w:w w:val="105"/>
        </w:rPr>
        <w:t>poder</w:t>
      </w:r>
      <w:r>
        <w:rPr>
          <w:color w:val="231F20"/>
          <w:spacing w:val="-15"/>
          <w:w w:val="105"/>
        </w:rPr>
        <w:t> </w:t>
      </w:r>
      <w:r>
        <w:rPr>
          <w:color w:val="231F20"/>
          <w:w w:val="105"/>
        </w:rPr>
        <w:t>legislativo</w:t>
      </w:r>
      <w:r>
        <w:rPr>
          <w:color w:val="231F20"/>
          <w:spacing w:val="-15"/>
          <w:w w:val="105"/>
        </w:rPr>
        <w:t> </w:t>
      </w:r>
      <w:r>
        <w:rPr>
          <w:color w:val="231F20"/>
          <w:w w:val="105"/>
        </w:rPr>
        <w:t>en</w:t>
      </w:r>
      <w:r>
        <w:rPr>
          <w:color w:val="231F20"/>
          <w:spacing w:val="-15"/>
          <w:w w:val="105"/>
        </w:rPr>
        <w:t> </w:t>
      </w:r>
      <w:r>
        <w:rPr>
          <w:color w:val="231F20"/>
          <w:w w:val="105"/>
        </w:rPr>
        <w:t>un</w:t>
      </w:r>
      <w:r>
        <w:rPr>
          <w:color w:val="231F20"/>
          <w:spacing w:val="-15"/>
          <w:w w:val="105"/>
        </w:rPr>
        <w:t> </w:t>
      </w:r>
      <w:r>
        <w:rPr>
          <w:color w:val="231F20"/>
          <w:w w:val="105"/>
        </w:rPr>
        <w:t>contexto</w:t>
      </w:r>
      <w:r>
        <w:rPr>
          <w:color w:val="231F20"/>
          <w:spacing w:val="-15"/>
          <w:w w:val="105"/>
        </w:rPr>
        <w:t> </w:t>
      </w:r>
      <w:r>
        <w:rPr>
          <w:color w:val="231F20"/>
          <w:w w:val="105"/>
        </w:rPr>
        <w:t>cada</w:t>
      </w:r>
      <w:r>
        <w:rPr>
          <w:color w:val="231F20"/>
          <w:spacing w:val="-15"/>
          <w:w w:val="105"/>
        </w:rPr>
        <w:t> </w:t>
      </w:r>
      <w:r>
        <w:rPr>
          <w:color w:val="231F20"/>
          <w:w w:val="105"/>
        </w:rPr>
        <w:t>vez</w:t>
      </w:r>
      <w:r>
        <w:rPr>
          <w:color w:val="231F20"/>
          <w:spacing w:val="-15"/>
          <w:w w:val="105"/>
        </w:rPr>
        <w:t> </w:t>
      </w:r>
      <w:r>
        <w:rPr>
          <w:color w:val="231F20"/>
          <w:w w:val="105"/>
        </w:rPr>
        <w:t>más</w:t>
      </w:r>
      <w:r>
        <w:rPr>
          <w:color w:val="231F20"/>
          <w:spacing w:val="-15"/>
          <w:w w:val="105"/>
        </w:rPr>
        <w:t> </w:t>
      </w:r>
      <w:r>
        <w:rPr>
          <w:color w:val="231F20"/>
          <w:w w:val="105"/>
        </w:rPr>
        <w:t>imparable</w:t>
      </w:r>
      <w:r>
        <w:rPr>
          <w:color w:val="231F20"/>
          <w:spacing w:val="-15"/>
          <w:w w:val="105"/>
        </w:rPr>
        <w:t> </w:t>
      </w:r>
      <w:r>
        <w:rPr>
          <w:color w:val="231F20"/>
          <w:w w:val="105"/>
        </w:rPr>
        <w:t>de</w:t>
      </w:r>
      <w:r>
        <w:rPr>
          <w:color w:val="231F20"/>
          <w:spacing w:val="-15"/>
          <w:w w:val="105"/>
        </w:rPr>
        <w:t> </w:t>
      </w:r>
      <w:r>
        <w:rPr>
          <w:color w:val="231F20"/>
          <w:w w:val="105"/>
        </w:rPr>
        <w:t>primacía de</w:t>
      </w:r>
      <w:r>
        <w:rPr>
          <w:color w:val="231F20"/>
          <w:spacing w:val="-31"/>
          <w:w w:val="105"/>
        </w:rPr>
        <w:t> </w:t>
      </w:r>
      <w:r>
        <w:rPr>
          <w:color w:val="231F20"/>
          <w:w w:val="105"/>
        </w:rPr>
        <w:t>la</w:t>
      </w:r>
      <w:r>
        <w:rPr>
          <w:color w:val="231F20"/>
          <w:spacing w:val="-31"/>
          <w:w w:val="105"/>
        </w:rPr>
        <w:t> </w:t>
      </w:r>
      <w:r>
        <w:rPr>
          <w:color w:val="231F20"/>
          <w:w w:val="105"/>
        </w:rPr>
        <w:t>actuación</w:t>
      </w:r>
      <w:r>
        <w:rPr>
          <w:color w:val="231F20"/>
          <w:spacing w:val="-31"/>
          <w:w w:val="105"/>
        </w:rPr>
        <w:t> </w:t>
      </w:r>
      <w:r>
        <w:rPr>
          <w:color w:val="231F20"/>
          <w:w w:val="105"/>
        </w:rPr>
        <w:t>de</w:t>
      </w:r>
      <w:r>
        <w:rPr>
          <w:color w:val="231F20"/>
          <w:spacing w:val="-31"/>
          <w:w w:val="105"/>
        </w:rPr>
        <w:t> </w:t>
      </w:r>
      <w:r>
        <w:rPr>
          <w:color w:val="231F20"/>
          <w:w w:val="105"/>
        </w:rPr>
        <w:t>los</w:t>
      </w:r>
      <w:r>
        <w:rPr>
          <w:color w:val="231F20"/>
          <w:spacing w:val="-31"/>
          <w:w w:val="105"/>
        </w:rPr>
        <w:t> </w:t>
      </w:r>
      <w:r>
        <w:rPr>
          <w:color w:val="231F20"/>
          <w:w w:val="105"/>
        </w:rPr>
        <w:t>poderes</w:t>
      </w:r>
      <w:r>
        <w:rPr>
          <w:color w:val="231F20"/>
          <w:spacing w:val="-31"/>
          <w:w w:val="105"/>
        </w:rPr>
        <w:t> </w:t>
      </w:r>
      <w:r>
        <w:rPr>
          <w:color w:val="231F20"/>
          <w:w w:val="105"/>
        </w:rPr>
        <w:t>ejecutivos</w:t>
      </w:r>
      <w:r>
        <w:rPr>
          <w:color w:val="231F20"/>
          <w:spacing w:val="-31"/>
          <w:w w:val="105"/>
        </w:rPr>
        <w:t> </w:t>
      </w:r>
      <w:r>
        <w:rPr>
          <w:color w:val="231F20"/>
          <w:w w:val="105"/>
        </w:rPr>
        <w:t>en</w:t>
      </w:r>
      <w:r>
        <w:rPr>
          <w:color w:val="231F20"/>
          <w:spacing w:val="-31"/>
          <w:w w:val="105"/>
        </w:rPr>
        <w:t> </w:t>
      </w:r>
      <w:r>
        <w:rPr>
          <w:color w:val="231F20"/>
          <w:w w:val="105"/>
        </w:rPr>
        <w:t>las</w:t>
      </w:r>
      <w:r>
        <w:rPr>
          <w:color w:val="231F20"/>
          <w:spacing w:val="-31"/>
          <w:w w:val="105"/>
        </w:rPr>
        <w:t> </w:t>
      </w:r>
      <w:r>
        <w:rPr>
          <w:color w:val="231F20"/>
          <w:w w:val="105"/>
        </w:rPr>
        <w:t>decisiones</w:t>
      </w:r>
      <w:r>
        <w:rPr>
          <w:color w:val="231F20"/>
          <w:spacing w:val="-31"/>
          <w:w w:val="105"/>
        </w:rPr>
        <w:t> </w:t>
      </w:r>
      <w:r>
        <w:rPr>
          <w:color w:val="231F20"/>
          <w:w w:val="105"/>
        </w:rPr>
        <w:t>democráticas:</w:t>
      </w:r>
    </w:p>
    <w:p>
      <w:pPr>
        <w:pStyle w:val="BodyText"/>
        <w:spacing w:before="10"/>
        <w:rPr>
          <w:sz w:val="22"/>
        </w:rPr>
      </w:pPr>
    </w:p>
    <w:p>
      <w:pPr>
        <w:spacing w:line="220" w:lineRule="exact" w:before="1"/>
        <w:ind w:left="1521" w:right="115" w:firstLine="0"/>
        <w:jc w:val="both"/>
        <w:rPr>
          <w:sz w:val="19"/>
        </w:rPr>
      </w:pPr>
      <w:r>
        <w:rPr>
          <w:color w:val="231F20"/>
          <w:sz w:val="19"/>
        </w:rPr>
        <w:t>Hemos asistido en las últimas décadas a una expansión del po- der ejecutivo que ha venido acompañada de la ampliación de la capacidad y el radio de acción de los tribunales de justicia, tanto nacionales como internacionales. Cada vez es mayor el número y la diversidad de los litigios y las cuestiones políticas que se ele- van a los tribunales —incluyendo en este número las que</w:t>
      </w:r>
      <w:r>
        <w:rPr>
          <w:color w:val="231F20"/>
          <w:spacing w:val="-40"/>
          <w:sz w:val="19"/>
        </w:rPr>
        <w:t> </w:t>
      </w:r>
      <w:r>
        <w:rPr>
          <w:color w:val="231F20"/>
          <w:sz w:val="19"/>
        </w:rPr>
        <w:t>generan los movimientos sociales internos de cada nación y las campañas internacionales en pro de los derechos humanos. Y una vez que se llega a los tribunales, los expertos jurídicos hacen tantos jue- gos malabares y someten las decisiones políticas a tales</w:t>
      </w:r>
      <w:r>
        <w:rPr>
          <w:color w:val="231F20"/>
          <w:spacing w:val="33"/>
          <w:sz w:val="19"/>
        </w:rPr>
        <w:t> </w:t>
      </w:r>
      <w:r>
        <w:rPr>
          <w:color w:val="231F20"/>
          <w:sz w:val="19"/>
        </w:rPr>
        <w:t>sutilezas</w:t>
      </w:r>
    </w:p>
    <w:p>
      <w:pPr>
        <w:pStyle w:val="BodyText"/>
        <w:spacing w:before="6"/>
        <w:rPr>
          <w:sz w:val="19"/>
        </w:rPr>
      </w:pPr>
      <w:r>
        <w:rPr/>
        <w:pict>
          <v:line style="position:absolute;mso-position-horizontal-relative:page;mso-position-vertical-relative:paragraph;z-index:6592;mso-wrap-distance-left:0;mso-wrap-distance-right:0" from="65.196899pt,13.882698pt" to="178.582899pt,13.882698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position w:val="6"/>
          <w:sz w:val="10"/>
        </w:rPr>
        <w:t>30 </w:t>
      </w:r>
      <w:r>
        <w:rPr>
          <w:rFonts w:ascii="Calibri" w:hAnsi="Calibri"/>
          <w:color w:val="231F20"/>
          <w:sz w:val="17"/>
        </w:rPr>
        <w:t>P. Rosanvallon, </w:t>
      </w:r>
      <w:r>
        <w:rPr>
          <w:rFonts w:ascii="Calibri" w:hAnsi="Calibri"/>
          <w:i/>
          <w:color w:val="231F20"/>
          <w:sz w:val="17"/>
        </w:rPr>
        <w:t>La nouvelle question sociale. Repenser l’État</w:t>
      </w:r>
      <w:r>
        <w:rPr>
          <w:rFonts w:ascii="Calibri" w:hAnsi="Calibri"/>
          <w:color w:val="231F20"/>
          <w:sz w:val="17"/>
        </w:rPr>
        <w:t>–</w:t>
      </w:r>
      <w:r>
        <w:rPr>
          <w:rFonts w:ascii="Calibri" w:hAnsi="Calibri"/>
          <w:i/>
          <w:color w:val="231F20"/>
          <w:sz w:val="17"/>
        </w:rPr>
        <w:t>providence</w:t>
      </w:r>
      <w:r>
        <w:rPr>
          <w:rFonts w:ascii="Calibri" w:hAnsi="Calibri"/>
          <w:color w:val="231F20"/>
          <w:sz w:val="17"/>
        </w:rPr>
        <w:t>, París, Seuil, 1995, p. 173.</w:t>
      </w:r>
    </w:p>
    <w:p>
      <w:pPr>
        <w:spacing w:line="235" w:lineRule="auto" w:before="1"/>
        <w:ind w:left="103" w:right="111" w:firstLine="0"/>
        <w:jc w:val="left"/>
        <w:rPr>
          <w:rFonts w:ascii="Calibri" w:hAnsi="Calibri"/>
          <w:sz w:val="17"/>
        </w:rPr>
      </w:pPr>
      <w:r>
        <w:rPr>
          <w:rFonts w:ascii="Calibri" w:hAnsi="Calibri"/>
          <w:color w:val="231F20"/>
          <w:w w:val="105"/>
          <w:position w:val="6"/>
          <w:sz w:val="10"/>
        </w:rPr>
        <w:t>31</w:t>
      </w:r>
      <w:r>
        <w:rPr>
          <w:rFonts w:ascii="Calibri" w:hAnsi="Calibri"/>
          <w:color w:val="231F20"/>
          <w:spacing w:val="5"/>
          <w:w w:val="105"/>
          <w:position w:val="6"/>
          <w:sz w:val="10"/>
        </w:rPr>
        <w:t> </w:t>
      </w:r>
      <w:r>
        <w:rPr>
          <w:rFonts w:ascii="Calibri" w:hAnsi="Calibri"/>
          <w:color w:val="231F20"/>
          <w:w w:val="105"/>
          <w:sz w:val="17"/>
        </w:rPr>
        <w:t>Sobre</w:t>
      </w:r>
      <w:r>
        <w:rPr>
          <w:rFonts w:ascii="Calibri" w:hAnsi="Calibri"/>
          <w:color w:val="231F20"/>
          <w:spacing w:val="-11"/>
          <w:w w:val="105"/>
          <w:sz w:val="17"/>
        </w:rPr>
        <w:t> </w:t>
      </w:r>
      <w:r>
        <w:rPr>
          <w:rFonts w:ascii="Calibri" w:hAnsi="Calibri"/>
          <w:color w:val="231F20"/>
          <w:w w:val="105"/>
          <w:sz w:val="17"/>
        </w:rPr>
        <w:t>todo</w:t>
      </w:r>
      <w:r>
        <w:rPr>
          <w:rFonts w:ascii="Calibri" w:hAnsi="Calibri"/>
          <w:color w:val="231F20"/>
          <w:spacing w:val="-11"/>
          <w:w w:val="105"/>
          <w:sz w:val="17"/>
        </w:rPr>
        <w:t> </w:t>
      </w:r>
      <w:r>
        <w:rPr>
          <w:rFonts w:ascii="Calibri" w:hAnsi="Calibri"/>
          <w:color w:val="231F20"/>
          <w:w w:val="105"/>
          <w:sz w:val="17"/>
        </w:rPr>
        <w:t>donde</w:t>
      </w:r>
      <w:r>
        <w:rPr>
          <w:rFonts w:ascii="Calibri" w:hAnsi="Calibri"/>
          <w:color w:val="231F20"/>
          <w:spacing w:val="-11"/>
          <w:w w:val="105"/>
          <w:sz w:val="17"/>
        </w:rPr>
        <w:t> </w:t>
      </w:r>
      <w:r>
        <w:rPr>
          <w:rFonts w:ascii="Calibri" w:hAnsi="Calibri"/>
          <w:color w:val="231F20"/>
          <w:w w:val="105"/>
          <w:sz w:val="17"/>
        </w:rPr>
        <w:t>su</w:t>
      </w:r>
      <w:r>
        <w:rPr>
          <w:rFonts w:ascii="Calibri" w:hAnsi="Calibri"/>
          <w:color w:val="231F20"/>
          <w:spacing w:val="-11"/>
          <w:w w:val="105"/>
          <w:sz w:val="17"/>
        </w:rPr>
        <w:t> </w:t>
      </w:r>
      <w:r>
        <w:rPr>
          <w:rFonts w:ascii="Calibri" w:hAnsi="Calibri"/>
          <w:color w:val="231F20"/>
          <w:w w:val="105"/>
          <w:sz w:val="17"/>
        </w:rPr>
        <w:t>participación</w:t>
      </w:r>
      <w:r>
        <w:rPr>
          <w:rFonts w:ascii="Calibri" w:hAnsi="Calibri"/>
          <w:color w:val="231F20"/>
          <w:spacing w:val="-11"/>
          <w:w w:val="105"/>
          <w:sz w:val="17"/>
        </w:rPr>
        <w:t> </w:t>
      </w:r>
      <w:r>
        <w:rPr>
          <w:rFonts w:ascii="Calibri" w:hAnsi="Calibri"/>
          <w:color w:val="231F20"/>
          <w:w w:val="105"/>
          <w:sz w:val="17"/>
        </w:rPr>
        <w:t>no</w:t>
      </w:r>
      <w:r>
        <w:rPr>
          <w:rFonts w:ascii="Calibri" w:hAnsi="Calibri"/>
          <w:color w:val="231F20"/>
          <w:spacing w:val="-11"/>
          <w:w w:val="105"/>
          <w:sz w:val="17"/>
        </w:rPr>
        <w:t> </w:t>
      </w:r>
      <w:r>
        <w:rPr>
          <w:rFonts w:ascii="Calibri" w:hAnsi="Calibri"/>
          <w:color w:val="231F20"/>
          <w:w w:val="105"/>
          <w:sz w:val="17"/>
        </w:rPr>
        <w:t>está</w:t>
      </w:r>
      <w:r>
        <w:rPr>
          <w:rFonts w:ascii="Calibri" w:hAnsi="Calibri"/>
          <w:color w:val="231F20"/>
          <w:spacing w:val="-11"/>
          <w:w w:val="105"/>
          <w:sz w:val="17"/>
        </w:rPr>
        <w:t> </w:t>
      </w:r>
      <w:r>
        <w:rPr>
          <w:rFonts w:ascii="Calibri" w:hAnsi="Calibri"/>
          <w:color w:val="231F20"/>
          <w:w w:val="105"/>
          <w:sz w:val="17"/>
        </w:rPr>
        <w:t>supeditada</w:t>
      </w:r>
      <w:r>
        <w:rPr>
          <w:rFonts w:ascii="Calibri" w:hAnsi="Calibri"/>
          <w:color w:val="231F20"/>
          <w:spacing w:val="-11"/>
          <w:w w:val="105"/>
          <w:sz w:val="17"/>
        </w:rPr>
        <w:t> </w:t>
      </w:r>
      <w:r>
        <w:rPr>
          <w:rFonts w:ascii="Calibri" w:hAnsi="Calibri"/>
          <w:color w:val="231F20"/>
          <w:w w:val="105"/>
          <w:sz w:val="17"/>
        </w:rPr>
        <w:t>al</w:t>
      </w:r>
      <w:r>
        <w:rPr>
          <w:rFonts w:ascii="Calibri" w:hAnsi="Calibri"/>
          <w:color w:val="231F20"/>
          <w:spacing w:val="-11"/>
          <w:w w:val="105"/>
          <w:sz w:val="17"/>
        </w:rPr>
        <w:t> </w:t>
      </w:r>
      <w:r>
        <w:rPr>
          <w:rFonts w:ascii="Calibri" w:hAnsi="Calibri"/>
          <w:color w:val="231F20"/>
          <w:w w:val="105"/>
          <w:sz w:val="17"/>
        </w:rPr>
        <w:t>juego</w:t>
      </w:r>
      <w:r>
        <w:rPr>
          <w:rFonts w:ascii="Calibri" w:hAnsi="Calibri"/>
          <w:color w:val="231F20"/>
          <w:spacing w:val="-11"/>
          <w:w w:val="105"/>
          <w:sz w:val="17"/>
        </w:rPr>
        <w:t> </w:t>
      </w:r>
      <w:r>
        <w:rPr>
          <w:rFonts w:ascii="Calibri" w:hAnsi="Calibri"/>
          <w:color w:val="231F20"/>
          <w:w w:val="105"/>
          <w:sz w:val="17"/>
        </w:rPr>
        <w:t>político</w:t>
      </w:r>
      <w:r>
        <w:rPr>
          <w:rFonts w:ascii="Calibri" w:hAnsi="Calibri"/>
          <w:color w:val="231F20"/>
          <w:spacing w:val="-11"/>
          <w:w w:val="105"/>
          <w:sz w:val="17"/>
        </w:rPr>
        <w:t> </w:t>
      </w:r>
      <w:r>
        <w:rPr>
          <w:rFonts w:ascii="Calibri" w:hAnsi="Calibri"/>
          <w:color w:val="231F20"/>
          <w:w w:val="105"/>
          <w:sz w:val="17"/>
        </w:rPr>
        <w:t>ni</w:t>
      </w:r>
      <w:r>
        <w:rPr>
          <w:rFonts w:ascii="Calibri" w:hAnsi="Calibri"/>
          <w:color w:val="231F20"/>
          <w:spacing w:val="-11"/>
          <w:w w:val="105"/>
          <w:sz w:val="17"/>
        </w:rPr>
        <w:t> </w:t>
      </w:r>
      <w:r>
        <w:rPr>
          <w:rFonts w:ascii="Calibri" w:hAnsi="Calibri"/>
          <w:color w:val="231F20"/>
          <w:w w:val="105"/>
          <w:sz w:val="17"/>
        </w:rPr>
        <w:t>regulada</w:t>
      </w:r>
      <w:r>
        <w:rPr>
          <w:rFonts w:ascii="Calibri" w:hAnsi="Calibri"/>
          <w:color w:val="231F20"/>
          <w:spacing w:val="-11"/>
          <w:w w:val="105"/>
          <w:sz w:val="17"/>
        </w:rPr>
        <w:t> </w:t>
      </w:r>
      <w:r>
        <w:rPr>
          <w:rFonts w:ascii="Calibri" w:hAnsi="Calibri"/>
          <w:color w:val="231F20"/>
          <w:w w:val="105"/>
          <w:sz w:val="17"/>
        </w:rPr>
        <w:t>con</w:t>
      </w:r>
      <w:r>
        <w:rPr>
          <w:rFonts w:ascii="Calibri" w:hAnsi="Calibri"/>
          <w:color w:val="231F20"/>
          <w:spacing w:val="-11"/>
          <w:w w:val="105"/>
          <w:sz w:val="17"/>
        </w:rPr>
        <w:t> </w:t>
      </w:r>
      <w:r>
        <w:rPr>
          <w:rFonts w:ascii="Calibri" w:hAnsi="Calibri"/>
          <w:color w:val="231F20"/>
          <w:w w:val="105"/>
          <w:sz w:val="17"/>
        </w:rPr>
        <w:t>total</w:t>
      </w:r>
      <w:r>
        <w:rPr>
          <w:rFonts w:ascii="Calibri" w:hAnsi="Calibri"/>
          <w:color w:val="231F20"/>
          <w:spacing w:val="-11"/>
          <w:w w:val="105"/>
          <w:sz w:val="17"/>
        </w:rPr>
        <w:t> </w:t>
      </w:r>
      <w:r>
        <w:rPr>
          <w:rFonts w:ascii="Calibri" w:hAnsi="Calibri"/>
          <w:color w:val="231F20"/>
          <w:w w:val="105"/>
          <w:sz w:val="17"/>
        </w:rPr>
        <w:t>cla- ridad</w:t>
      </w:r>
      <w:r>
        <w:rPr>
          <w:rFonts w:ascii="Calibri" w:hAnsi="Calibri"/>
          <w:color w:val="231F20"/>
          <w:spacing w:val="-14"/>
          <w:w w:val="105"/>
          <w:sz w:val="17"/>
        </w:rPr>
        <w:t> </w:t>
      </w:r>
      <w:r>
        <w:rPr>
          <w:rFonts w:ascii="Calibri" w:hAnsi="Calibri"/>
          <w:color w:val="231F20"/>
          <w:w w:val="105"/>
          <w:sz w:val="17"/>
        </w:rPr>
        <w:t>por</w:t>
      </w:r>
      <w:r>
        <w:rPr>
          <w:rFonts w:ascii="Calibri" w:hAnsi="Calibri"/>
          <w:color w:val="231F20"/>
          <w:spacing w:val="-14"/>
          <w:w w:val="105"/>
          <w:sz w:val="17"/>
        </w:rPr>
        <w:t> </w:t>
      </w:r>
      <w:r>
        <w:rPr>
          <w:rFonts w:ascii="Calibri" w:hAnsi="Calibri"/>
          <w:color w:val="231F20"/>
          <w:w w:val="105"/>
          <w:sz w:val="17"/>
        </w:rPr>
        <w:t>las</w:t>
      </w:r>
      <w:r>
        <w:rPr>
          <w:rFonts w:ascii="Calibri" w:hAnsi="Calibri"/>
          <w:color w:val="231F20"/>
          <w:spacing w:val="-14"/>
          <w:w w:val="105"/>
          <w:sz w:val="17"/>
        </w:rPr>
        <w:t> </w:t>
      </w:r>
      <w:r>
        <w:rPr>
          <w:rFonts w:ascii="Calibri" w:hAnsi="Calibri"/>
          <w:color w:val="231F20"/>
          <w:w w:val="105"/>
          <w:sz w:val="17"/>
        </w:rPr>
        <w:t>leyes</w:t>
      </w:r>
      <w:r>
        <w:rPr>
          <w:rFonts w:ascii="Calibri" w:hAnsi="Calibri"/>
          <w:color w:val="231F20"/>
          <w:spacing w:val="-14"/>
          <w:w w:val="105"/>
          <w:sz w:val="17"/>
        </w:rPr>
        <w:t> </w:t>
      </w:r>
      <w:r>
        <w:rPr>
          <w:rFonts w:ascii="Calibri" w:hAnsi="Calibri"/>
          <w:color w:val="231F20"/>
          <w:w w:val="105"/>
          <w:sz w:val="17"/>
        </w:rPr>
        <w:t>ni</w:t>
      </w:r>
      <w:r>
        <w:rPr>
          <w:rFonts w:ascii="Calibri" w:hAnsi="Calibri"/>
          <w:color w:val="231F20"/>
          <w:spacing w:val="-14"/>
          <w:w w:val="105"/>
          <w:sz w:val="17"/>
        </w:rPr>
        <w:t> </w:t>
      </w:r>
      <w:r>
        <w:rPr>
          <w:rFonts w:ascii="Calibri" w:hAnsi="Calibri"/>
          <w:color w:val="231F20"/>
          <w:w w:val="105"/>
          <w:sz w:val="17"/>
        </w:rPr>
        <w:t>por</w:t>
      </w:r>
      <w:r>
        <w:rPr>
          <w:rFonts w:ascii="Calibri" w:hAnsi="Calibri"/>
          <w:color w:val="231F20"/>
          <w:spacing w:val="-14"/>
          <w:w w:val="105"/>
          <w:sz w:val="17"/>
        </w:rPr>
        <w:t> </w:t>
      </w:r>
      <w:r>
        <w:rPr>
          <w:rFonts w:ascii="Calibri" w:hAnsi="Calibri"/>
          <w:color w:val="231F20"/>
          <w:w w:val="105"/>
          <w:sz w:val="17"/>
        </w:rPr>
        <w:t>el</w:t>
      </w:r>
      <w:r>
        <w:rPr>
          <w:rFonts w:ascii="Calibri" w:hAnsi="Calibri"/>
          <w:color w:val="231F20"/>
          <w:spacing w:val="-14"/>
          <w:w w:val="105"/>
          <w:sz w:val="17"/>
        </w:rPr>
        <w:t> </w:t>
      </w:r>
      <w:r>
        <w:rPr>
          <w:rFonts w:ascii="Calibri" w:hAnsi="Calibri"/>
          <w:color w:val="231F20"/>
          <w:w w:val="105"/>
          <w:sz w:val="17"/>
        </w:rPr>
        <w:t>pacto</w:t>
      </w:r>
      <w:r>
        <w:rPr>
          <w:rFonts w:ascii="Calibri" w:hAnsi="Calibri"/>
          <w:color w:val="231F20"/>
          <w:spacing w:val="-14"/>
          <w:w w:val="105"/>
          <w:sz w:val="17"/>
        </w:rPr>
        <w:t> </w:t>
      </w:r>
      <w:r>
        <w:rPr>
          <w:rFonts w:ascii="Calibri" w:hAnsi="Calibri"/>
          <w:color w:val="231F20"/>
          <w:w w:val="105"/>
          <w:sz w:val="17"/>
        </w:rPr>
        <w:t>corporativo.</w:t>
      </w:r>
    </w:p>
    <w:p>
      <w:pPr>
        <w:spacing w:line="235" w:lineRule="auto" w:before="0"/>
        <w:ind w:left="103" w:right="109" w:firstLine="0"/>
        <w:jc w:val="left"/>
        <w:rPr>
          <w:rFonts w:ascii="Calibri" w:hAnsi="Calibri"/>
          <w:sz w:val="17"/>
        </w:rPr>
      </w:pPr>
      <w:r>
        <w:rPr>
          <w:rFonts w:ascii="Calibri" w:hAnsi="Calibri"/>
          <w:color w:val="231F20"/>
          <w:w w:val="105"/>
          <w:position w:val="6"/>
          <w:sz w:val="10"/>
        </w:rPr>
        <w:t>32</w:t>
      </w:r>
      <w:r>
        <w:rPr>
          <w:rFonts w:ascii="Calibri" w:hAnsi="Calibri"/>
          <w:color w:val="231F20"/>
          <w:spacing w:val="-10"/>
          <w:w w:val="105"/>
          <w:position w:val="6"/>
          <w:sz w:val="10"/>
        </w:rPr>
        <w:t> </w:t>
      </w:r>
      <w:r>
        <w:rPr>
          <w:rFonts w:ascii="Calibri" w:hAnsi="Calibri"/>
          <w:color w:val="231F20"/>
          <w:spacing w:val="-6"/>
          <w:w w:val="105"/>
          <w:sz w:val="17"/>
        </w:rPr>
        <w:t>W.</w:t>
      </w:r>
      <w:r>
        <w:rPr>
          <w:rFonts w:ascii="Calibri" w:hAnsi="Calibri"/>
          <w:color w:val="231F20"/>
          <w:spacing w:val="-24"/>
          <w:w w:val="105"/>
          <w:sz w:val="17"/>
        </w:rPr>
        <w:t> </w:t>
      </w:r>
      <w:r>
        <w:rPr>
          <w:rFonts w:ascii="Calibri" w:hAnsi="Calibri"/>
          <w:color w:val="231F20"/>
          <w:w w:val="105"/>
          <w:sz w:val="17"/>
        </w:rPr>
        <w:t>Brown,</w:t>
      </w:r>
      <w:r>
        <w:rPr>
          <w:rFonts w:ascii="Calibri" w:hAnsi="Calibri"/>
          <w:color w:val="231F20"/>
          <w:spacing w:val="-24"/>
          <w:w w:val="105"/>
          <w:sz w:val="17"/>
        </w:rPr>
        <w:t> </w:t>
      </w:r>
      <w:r>
        <w:rPr>
          <w:rFonts w:ascii="Calibri" w:hAnsi="Calibri"/>
          <w:color w:val="231F20"/>
          <w:spacing w:val="-4"/>
          <w:w w:val="105"/>
          <w:sz w:val="17"/>
        </w:rPr>
        <w:t>“Ahora</w:t>
      </w:r>
      <w:r>
        <w:rPr>
          <w:rFonts w:ascii="Calibri" w:hAnsi="Calibri"/>
          <w:color w:val="231F20"/>
          <w:spacing w:val="-24"/>
          <w:w w:val="105"/>
          <w:sz w:val="17"/>
        </w:rPr>
        <w:t> </w:t>
      </w:r>
      <w:r>
        <w:rPr>
          <w:rFonts w:ascii="Calibri" w:hAnsi="Calibri"/>
          <w:color w:val="231F20"/>
          <w:w w:val="105"/>
          <w:sz w:val="17"/>
        </w:rPr>
        <w:t>todos</w:t>
      </w:r>
      <w:r>
        <w:rPr>
          <w:rFonts w:ascii="Calibri" w:hAnsi="Calibri"/>
          <w:color w:val="231F20"/>
          <w:spacing w:val="-24"/>
          <w:w w:val="105"/>
          <w:sz w:val="17"/>
        </w:rPr>
        <w:t> </w:t>
      </w:r>
      <w:r>
        <w:rPr>
          <w:rFonts w:ascii="Calibri" w:hAnsi="Calibri"/>
          <w:color w:val="231F20"/>
          <w:w w:val="105"/>
          <w:sz w:val="17"/>
        </w:rPr>
        <w:t>somos</w:t>
      </w:r>
      <w:r>
        <w:rPr>
          <w:rFonts w:ascii="Calibri" w:hAnsi="Calibri"/>
          <w:color w:val="231F20"/>
          <w:spacing w:val="-24"/>
          <w:w w:val="105"/>
          <w:sz w:val="17"/>
        </w:rPr>
        <w:t> </w:t>
      </w:r>
      <w:r>
        <w:rPr>
          <w:rFonts w:ascii="Calibri" w:hAnsi="Calibri"/>
          <w:color w:val="231F20"/>
          <w:w w:val="105"/>
          <w:sz w:val="17"/>
        </w:rPr>
        <w:t>demócratas”,</w:t>
      </w:r>
      <w:r>
        <w:rPr>
          <w:rFonts w:ascii="Calibri" w:hAnsi="Calibri"/>
          <w:color w:val="231F20"/>
          <w:spacing w:val="-24"/>
          <w:w w:val="105"/>
          <w:sz w:val="17"/>
        </w:rPr>
        <w:t> </w:t>
      </w:r>
      <w:r>
        <w:rPr>
          <w:rFonts w:ascii="Calibri" w:hAnsi="Calibri"/>
          <w:color w:val="231F20"/>
          <w:w w:val="105"/>
          <w:sz w:val="17"/>
        </w:rPr>
        <w:t>AA.</w:t>
      </w:r>
      <w:r>
        <w:rPr>
          <w:rFonts w:ascii="Calibri" w:hAnsi="Calibri"/>
          <w:color w:val="231F20"/>
          <w:spacing w:val="-27"/>
          <w:w w:val="105"/>
          <w:sz w:val="17"/>
        </w:rPr>
        <w:t> </w:t>
      </w:r>
      <w:r>
        <w:rPr>
          <w:rFonts w:ascii="Calibri" w:hAnsi="Calibri"/>
          <w:color w:val="231F20"/>
          <w:spacing w:val="-3"/>
          <w:w w:val="105"/>
          <w:sz w:val="17"/>
        </w:rPr>
        <w:t>VV.,</w:t>
      </w:r>
      <w:r>
        <w:rPr>
          <w:rFonts w:ascii="Calibri" w:hAnsi="Calibri"/>
          <w:color w:val="231F20"/>
          <w:spacing w:val="-24"/>
          <w:w w:val="105"/>
          <w:sz w:val="17"/>
        </w:rPr>
        <w:t> </w:t>
      </w:r>
      <w:r>
        <w:rPr>
          <w:rFonts w:ascii="Calibri" w:hAnsi="Calibri"/>
          <w:i/>
          <w:color w:val="231F20"/>
          <w:w w:val="105"/>
          <w:sz w:val="17"/>
        </w:rPr>
        <w:t>Democracia</w:t>
      </w:r>
      <w:r>
        <w:rPr>
          <w:rFonts w:ascii="Calibri" w:hAnsi="Calibri"/>
          <w:i/>
          <w:color w:val="231F20"/>
          <w:spacing w:val="-24"/>
          <w:w w:val="105"/>
          <w:sz w:val="17"/>
        </w:rPr>
        <w:t> </w:t>
      </w:r>
      <w:r>
        <w:rPr>
          <w:rFonts w:ascii="Calibri" w:hAnsi="Calibri"/>
          <w:i/>
          <w:color w:val="231F20"/>
          <w:w w:val="105"/>
          <w:sz w:val="17"/>
        </w:rPr>
        <w:t>en</w:t>
      </w:r>
      <w:r>
        <w:rPr>
          <w:rFonts w:ascii="Calibri" w:hAnsi="Calibri"/>
          <w:i/>
          <w:color w:val="231F20"/>
          <w:spacing w:val="-24"/>
          <w:w w:val="105"/>
          <w:sz w:val="17"/>
        </w:rPr>
        <w:t> </w:t>
      </w:r>
      <w:r>
        <w:rPr>
          <w:rFonts w:ascii="Calibri" w:hAnsi="Calibri"/>
          <w:i/>
          <w:color w:val="231F20"/>
          <w:w w:val="105"/>
          <w:sz w:val="17"/>
        </w:rPr>
        <w:t>suspenso</w:t>
      </w:r>
      <w:r>
        <w:rPr>
          <w:rFonts w:ascii="Calibri" w:hAnsi="Calibri"/>
          <w:color w:val="231F20"/>
          <w:w w:val="105"/>
          <w:sz w:val="17"/>
        </w:rPr>
        <w:t>,</w:t>
      </w:r>
      <w:r>
        <w:rPr>
          <w:rFonts w:ascii="Calibri" w:hAnsi="Calibri"/>
          <w:color w:val="231F20"/>
          <w:spacing w:val="-24"/>
          <w:w w:val="105"/>
          <w:sz w:val="17"/>
        </w:rPr>
        <w:t> </w:t>
      </w:r>
      <w:r>
        <w:rPr>
          <w:rFonts w:ascii="Calibri" w:hAnsi="Calibri"/>
          <w:color w:val="231F20"/>
          <w:w w:val="105"/>
          <w:sz w:val="17"/>
        </w:rPr>
        <w:t>Madrid,</w:t>
      </w:r>
      <w:r>
        <w:rPr>
          <w:rFonts w:ascii="Calibri" w:hAnsi="Calibri"/>
          <w:color w:val="231F20"/>
          <w:spacing w:val="-24"/>
          <w:w w:val="105"/>
          <w:sz w:val="17"/>
        </w:rPr>
        <w:t> </w:t>
      </w:r>
      <w:r>
        <w:rPr>
          <w:rFonts w:ascii="Calibri" w:hAnsi="Calibri"/>
          <w:color w:val="231F20"/>
          <w:w w:val="105"/>
          <w:sz w:val="17"/>
        </w:rPr>
        <w:t>Ediciones Casus–Belli,</w:t>
      </w:r>
      <w:r>
        <w:rPr>
          <w:rFonts w:ascii="Calibri" w:hAnsi="Calibri"/>
          <w:color w:val="231F20"/>
          <w:spacing w:val="-29"/>
          <w:w w:val="105"/>
          <w:sz w:val="17"/>
        </w:rPr>
        <w:t> </w:t>
      </w:r>
      <w:r>
        <w:rPr>
          <w:rFonts w:ascii="Calibri" w:hAnsi="Calibri"/>
          <w:color w:val="231F20"/>
          <w:w w:val="105"/>
          <w:sz w:val="17"/>
        </w:rPr>
        <w:t>2010,</w:t>
      </w:r>
      <w:r>
        <w:rPr>
          <w:rFonts w:ascii="Calibri" w:hAnsi="Calibri"/>
          <w:color w:val="231F20"/>
          <w:spacing w:val="-29"/>
          <w:w w:val="105"/>
          <w:sz w:val="17"/>
        </w:rPr>
        <w:t> </w:t>
      </w:r>
      <w:r>
        <w:rPr>
          <w:rFonts w:ascii="Calibri" w:hAnsi="Calibri"/>
          <w:color w:val="231F20"/>
          <w:w w:val="105"/>
          <w:sz w:val="17"/>
        </w:rPr>
        <w:t>pp.</w:t>
      </w:r>
      <w:r>
        <w:rPr>
          <w:rFonts w:ascii="Calibri" w:hAnsi="Calibri"/>
          <w:color w:val="231F20"/>
          <w:spacing w:val="-29"/>
          <w:w w:val="105"/>
          <w:sz w:val="17"/>
        </w:rPr>
        <w:t> </w:t>
      </w:r>
      <w:r>
        <w:rPr>
          <w:rFonts w:ascii="Calibri" w:hAnsi="Calibri"/>
          <w:color w:val="231F20"/>
          <w:w w:val="105"/>
          <w:sz w:val="17"/>
        </w:rPr>
        <w:t>59–78.</w:t>
      </w:r>
    </w:p>
    <w:p>
      <w:pPr>
        <w:pStyle w:val="BodyText"/>
        <w:rPr>
          <w:rFonts w:ascii="Calibri"/>
          <w:sz w:val="20"/>
        </w:rPr>
      </w:pPr>
    </w:p>
    <w:p>
      <w:pPr>
        <w:pStyle w:val="BodyText"/>
        <w:spacing w:before="10"/>
        <w:rPr>
          <w:rFonts w:ascii="Calibri"/>
          <w:sz w:val="27"/>
        </w:rPr>
      </w:pPr>
    </w:p>
    <w:p>
      <w:pPr>
        <w:tabs>
          <w:tab w:pos="1331" w:val="left" w:leader="none"/>
        </w:tabs>
        <w:spacing w:before="68"/>
        <w:ind w:left="226" w:right="0" w:firstLine="0"/>
        <w:jc w:val="left"/>
        <w:rPr>
          <w:rFonts w:ascii="Calibri"/>
          <w:sz w:val="16"/>
        </w:rPr>
      </w:pPr>
      <w:r>
        <w:rPr/>
        <w:pict>
          <v:group style="position:absolute;margin-left:98.787804pt;margin-top:-3.358812pt;width:20.4pt;height:43pt;mso-position-horizontal-relative:page;mso-position-vertical-relative:paragraph;z-index:-168784"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126</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244"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666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"EL AFUERA SIEMPRE ES ADENTRO”. TENSIONES Y TRANSFORMACIONES RECIENTES</w:t>
      </w:r>
    </w:p>
    <w:p>
      <w:pPr>
        <w:spacing w:line="198" w:lineRule="exact" w:before="0"/>
        <w:ind w:left="2835" w:right="-7" w:firstLine="0"/>
        <w:jc w:val="left"/>
        <w:rPr>
          <w:rFonts w:ascii="Lucida Sans Unicode" w:hAnsi="Lucida Sans Unicode"/>
          <w:sz w:val="14"/>
        </w:rPr>
      </w:pPr>
      <w:r>
        <w:rPr>
          <w:rFonts w:ascii="Lucida Sans Unicode" w:hAnsi="Lucida Sans Unicode"/>
          <w:color w:val="6D6E71"/>
          <w:w w:val="90"/>
          <w:sz w:val="14"/>
        </w:rPr>
        <w:t>EN</w:t>
      </w:r>
      <w:r>
        <w:rPr>
          <w:rFonts w:ascii="Lucida Sans Unicode" w:hAnsi="Lucida Sans Unicode"/>
          <w:color w:val="6D6E71"/>
          <w:spacing w:val="-10"/>
          <w:w w:val="90"/>
          <w:sz w:val="14"/>
        </w:rPr>
        <w:t> </w:t>
      </w:r>
      <w:r>
        <w:rPr>
          <w:rFonts w:ascii="Lucida Sans Unicode" w:hAnsi="Lucida Sans Unicode"/>
          <w:color w:val="6D6E71"/>
          <w:w w:val="90"/>
          <w:sz w:val="14"/>
        </w:rPr>
        <w:t>EL</w:t>
      </w:r>
      <w:r>
        <w:rPr>
          <w:rFonts w:ascii="Lucida Sans Unicode" w:hAnsi="Lucida Sans Unicode"/>
          <w:color w:val="6D6E71"/>
          <w:spacing w:val="-10"/>
          <w:w w:val="90"/>
          <w:sz w:val="14"/>
        </w:rPr>
        <w:t> </w:t>
      </w:r>
      <w:r>
        <w:rPr>
          <w:rFonts w:ascii="Lucida Sans Unicode" w:hAnsi="Lucida Sans Unicode"/>
          <w:color w:val="6D6E71"/>
          <w:w w:val="90"/>
          <w:sz w:val="14"/>
        </w:rPr>
        <w:t>ESPACIO</w:t>
      </w:r>
      <w:r>
        <w:rPr>
          <w:rFonts w:ascii="Lucida Sans Unicode" w:hAnsi="Lucida Sans Unicode"/>
          <w:color w:val="6D6E71"/>
          <w:spacing w:val="-10"/>
          <w:w w:val="90"/>
          <w:sz w:val="14"/>
        </w:rPr>
        <w:t> </w:t>
      </w:r>
      <w:r>
        <w:rPr>
          <w:rFonts w:ascii="Lucida Sans Unicode" w:hAnsi="Lucida Sans Unicode"/>
          <w:color w:val="6D6E71"/>
          <w:w w:val="90"/>
          <w:sz w:val="14"/>
        </w:rPr>
        <w:t>POLÍTICO</w:t>
      </w:r>
      <w:r>
        <w:rPr>
          <w:rFonts w:ascii="Lucida Sans Unicode" w:hAnsi="Lucida Sans Unicode"/>
          <w:color w:val="6D6E71"/>
          <w:spacing w:val="-10"/>
          <w:w w:val="90"/>
          <w:sz w:val="14"/>
        </w:rPr>
        <w:t> </w:t>
      </w:r>
      <w:r>
        <w:rPr>
          <w:rFonts w:ascii="Lucida Sans Unicode" w:hAnsi="Lucida Sans Unicode"/>
          <w:color w:val="6D6E71"/>
          <w:w w:val="90"/>
          <w:sz w:val="14"/>
        </w:rPr>
        <w:t>DEL</w:t>
      </w:r>
      <w:r>
        <w:rPr>
          <w:rFonts w:ascii="Lucida Sans Unicode" w:hAnsi="Lucida Sans Unicode"/>
          <w:color w:val="6D6E71"/>
          <w:spacing w:val="-10"/>
          <w:w w:val="90"/>
          <w:sz w:val="14"/>
        </w:rPr>
        <w:t> </w:t>
      </w:r>
      <w:r>
        <w:rPr>
          <w:rFonts w:ascii="Lucida Sans Unicode" w:hAnsi="Lucida Sans Unicode"/>
          <w:color w:val="6D6E71"/>
          <w:w w:val="90"/>
          <w:sz w:val="14"/>
        </w:rPr>
        <w:t>ESTADO</w:t>
      </w:r>
      <w:r>
        <w:rPr>
          <w:rFonts w:ascii="Lucida Sans Unicode" w:hAnsi="Lucida Sans Unicode"/>
          <w:color w:val="6D6E71"/>
          <w:spacing w:val="-10"/>
          <w:w w:val="90"/>
          <w:sz w:val="14"/>
        </w:rPr>
        <w:t> </w:t>
      </w:r>
      <w:r>
        <w:rPr>
          <w:rFonts w:ascii="Lucida Sans Unicode" w:hAnsi="Lucida Sans Unicode"/>
          <w:color w:val="6D6E71"/>
          <w:w w:val="90"/>
          <w:sz w:val="14"/>
        </w:rPr>
        <w:t>Y</w:t>
      </w:r>
      <w:r>
        <w:rPr>
          <w:rFonts w:ascii="Lucida Sans Unicode" w:hAnsi="Lucida Sans Unicode"/>
          <w:color w:val="6D6E71"/>
          <w:spacing w:val="-10"/>
          <w:w w:val="90"/>
          <w:sz w:val="14"/>
        </w:rPr>
        <w:t> </w:t>
      </w:r>
      <w:r>
        <w:rPr>
          <w:rFonts w:ascii="Lucida Sans Unicode" w:hAnsi="Lucida Sans Unicode"/>
          <w:color w:val="6D6E71"/>
          <w:w w:val="90"/>
          <w:sz w:val="14"/>
        </w:rPr>
        <w:t>LA</w:t>
      </w:r>
      <w:r>
        <w:rPr>
          <w:rFonts w:ascii="Lucida Sans Unicode" w:hAnsi="Lucida Sans Unicode"/>
          <w:color w:val="6D6E71"/>
          <w:spacing w:val="-10"/>
          <w:w w:val="90"/>
          <w:sz w:val="14"/>
        </w:rPr>
        <w:t> </w:t>
      </w:r>
      <w:r>
        <w:rPr>
          <w:rFonts w:ascii="Lucida Sans Unicode" w:hAnsi="Lucida Sans Unicode"/>
          <w:color w:val="6D6E71"/>
          <w:w w:val="90"/>
          <w:sz w:val="14"/>
        </w:rPr>
        <w:t>DEMOCRACIA</w:t>
      </w:r>
    </w:p>
    <w:p>
      <w:pPr>
        <w:spacing w:before="59"/>
        <w:ind w:left="338" w:right="0" w:firstLine="0"/>
        <w:jc w:val="left"/>
        <w:rPr>
          <w:rFonts w:ascii="Arial"/>
          <w:sz w:val="20"/>
        </w:rPr>
      </w:pPr>
      <w:r>
        <w:rPr/>
        <w:br w:type="column"/>
      </w:r>
      <w:r>
        <w:rPr>
          <w:rFonts w:ascii="Arial"/>
          <w:color w:val="414042"/>
          <w:sz w:val="20"/>
        </w:rPr>
        <w:t>127</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1"/>
        <w:rPr>
          <w:rFonts w:ascii="Arial"/>
          <w:sz w:val="16"/>
        </w:rPr>
      </w:pPr>
    </w:p>
    <w:p>
      <w:pPr>
        <w:spacing w:line="220" w:lineRule="exact" w:before="63"/>
        <w:ind w:left="1534" w:right="101" w:firstLine="0"/>
        <w:jc w:val="both"/>
        <w:rPr>
          <w:sz w:val="19"/>
        </w:rPr>
      </w:pPr>
      <w:r>
        <w:rPr>
          <w:color w:val="231F20"/>
          <w:w w:val="105"/>
          <w:sz w:val="19"/>
        </w:rPr>
        <w:t>analíticas</w:t>
      </w:r>
      <w:r>
        <w:rPr>
          <w:color w:val="231F20"/>
          <w:spacing w:val="-31"/>
          <w:w w:val="105"/>
          <w:sz w:val="19"/>
        </w:rPr>
        <w:t> </w:t>
      </w:r>
      <w:r>
        <w:rPr>
          <w:color w:val="231F20"/>
          <w:w w:val="105"/>
          <w:sz w:val="19"/>
        </w:rPr>
        <w:t>—haciéndolo</w:t>
      </w:r>
      <w:r>
        <w:rPr>
          <w:color w:val="231F20"/>
          <w:spacing w:val="-31"/>
          <w:w w:val="105"/>
          <w:sz w:val="19"/>
        </w:rPr>
        <w:t> </w:t>
      </w:r>
      <w:r>
        <w:rPr>
          <w:color w:val="231F20"/>
          <w:w w:val="105"/>
          <w:sz w:val="19"/>
        </w:rPr>
        <w:t>además</w:t>
      </w:r>
      <w:r>
        <w:rPr>
          <w:color w:val="231F20"/>
          <w:spacing w:val="-31"/>
          <w:w w:val="105"/>
          <w:sz w:val="19"/>
        </w:rPr>
        <w:t> </w:t>
      </w:r>
      <w:r>
        <w:rPr>
          <w:color w:val="231F20"/>
          <w:w w:val="105"/>
          <w:sz w:val="19"/>
        </w:rPr>
        <w:t>en</w:t>
      </w:r>
      <w:r>
        <w:rPr>
          <w:color w:val="231F20"/>
          <w:spacing w:val="-31"/>
          <w:w w:val="105"/>
          <w:sz w:val="19"/>
        </w:rPr>
        <w:t> </w:t>
      </w:r>
      <w:r>
        <w:rPr>
          <w:color w:val="231F20"/>
          <w:w w:val="105"/>
          <w:sz w:val="19"/>
        </w:rPr>
        <w:t>un</w:t>
      </w:r>
      <w:r>
        <w:rPr>
          <w:color w:val="231F20"/>
          <w:spacing w:val="-31"/>
          <w:w w:val="105"/>
          <w:sz w:val="19"/>
        </w:rPr>
        <w:t> </w:t>
      </w:r>
      <w:r>
        <w:rPr>
          <w:color w:val="231F20"/>
          <w:w w:val="105"/>
          <w:sz w:val="19"/>
        </w:rPr>
        <w:t>lenguaje</w:t>
      </w:r>
      <w:r>
        <w:rPr>
          <w:color w:val="231F20"/>
          <w:spacing w:val="-31"/>
          <w:w w:val="105"/>
          <w:sz w:val="19"/>
        </w:rPr>
        <w:t> </w:t>
      </w:r>
      <w:r>
        <w:rPr>
          <w:color w:val="231F20"/>
          <w:w w:val="105"/>
          <w:sz w:val="19"/>
        </w:rPr>
        <w:t>tan</w:t>
      </w:r>
      <w:r>
        <w:rPr>
          <w:color w:val="231F20"/>
          <w:spacing w:val="-31"/>
          <w:w w:val="105"/>
          <w:sz w:val="19"/>
        </w:rPr>
        <w:t> </w:t>
      </w:r>
      <w:r>
        <w:rPr>
          <w:color w:val="231F20"/>
          <w:w w:val="105"/>
          <w:sz w:val="19"/>
        </w:rPr>
        <w:t>complejo</w:t>
      </w:r>
      <w:r>
        <w:rPr>
          <w:color w:val="231F20"/>
          <w:spacing w:val="-31"/>
          <w:w w:val="105"/>
          <w:sz w:val="19"/>
        </w:rPr>
        <w:t> </w:t>
      </w:r>
      <w:r>
        <w:rPr>
          <w:color w:val="231F20"/>
          <w:w w:val="105"/>
          <w:sz w:val="19"/>
        </w:rPr>
        <w:t>y</w:t>
      </w:r>
      <w:r>
        <w:rPr>
          <w:color w:val="231F20"/>
          <w:spacing w:val="-31"/>
          <w:w w:val="105"/>
          <w:sz w:val="19"/>
        </w:rPr>
        <w:t> </w:t>
      </w:r>
      <w:r>
        <w:rPr>
          <w:color w:val="231F20"/>
          <w:spacing w:val="-4"/>
          <w:w w:val="105"/>
          <w:sz w:val="19"/>
        </w:rPr>
        <w:t>ar- </w:t>
      </w:r>
      <w:r>
        <w:rPr>
          <w:color w:val="231F20"/>
          <w:w w:val="105"/>
          <w:sz w:val="19"/>
        </w:rPr>
        <w:t>cano—</w:t>
      </w:r>
      <w:r>
        <w:rPr>
          <w:color w:val="231F20"/>
          <w:spacing w:val="-8"/>
          <w:w w:val="105"/>
          <w:sz w:val="19"/>
        </w:rPr>
        <w:t> </w:t>
      </w:r>
      <w:r>
        <w:rPr>
          <w:color w:val="231F20"/>
          <w:w w:val="105"/>
          <w:sz w:val="19"/>
        </w:rPr>
        <w:t>que</w:t>
      </w:r>
      <w:r>
        <w:rPr>
          <w:color w:val="231F20"/>
          <w:spacing w:val="-8"/>
          <w:w w:val="105"/>
          <w:sz w:val="19"/>
        </w:rPr>
        <w:t> </w:t>
      </w:r>
      <w:r>
        <w:rPr>
          <w:color w:val="231F20"/>
          <w:w w:val="105"/>
          <w:sz w:val="19"/>
        </w:rPr>
        <w:t>sus</w:t>
      </w:r>
      <w:r>
        <w:rPr>
          <w:color w:val="231F20"/>
          <w:spacing w:val="-8"/>
          <w:w w:val="105"/>
          <w:sz w:val="19"/>
        </w:rPr>
        <w:t> </w:t>
      </w:r>
      <w:r>
        <w:rPr>
          <w:color w:val="231F20"/>
          <w:w w:val="105"/>
          <w:sz w:val="19"/>
        </w:rPr>
        <w:t>dictámenes</w:t>
      </w:r>
      <w:r>
        <w:rPr>
          <w:color w:val="231F20"/>
          <w:spacing w:val="-8"/>
          <w:w w:val="105"/>
          <w:sz w:val="19"/>
        </w:rPr>
        <w:t> </w:t>
      </w:r>
      <w:r>
        <w:rPr>
          <w:color w:val="231F20"/>
          <w:w w:val="105"/>
          <w:sz w:val="19"/>
        </w:rPr>
        <w:t>resultan</w:t>
      </w:r>
      <w:r>
        <w:rPr>
          <w:color w:val="231F20"/>
          <w:spacing w:val="-8"/>
          <w:w w:val="105"/>
          <w:sz w:val="19"/>
        </w:rPr>
        <w:t> </w:t>
      </w:r>
      <w:r>
        <w:rPr>
          <w:color w:val="231F20"/>
          <w:w w:val="105"/>
          <w:sz w:val="19"/>
        </w:rPr>
        <w:t>incomprensibles</w:t>
      </w:r>
      <w:r>
        <w:rPr>
          <w:color w:val="231F20"/>
          <w:spacing w:val="-8"/>
          <w:w w:val="105"/>
          <w:sz w:val="19"/>
        </w:rPr>
        <w:t> </w:t>
      </w:r>
      <w:r>
        <w:rPr>
          <w:color w:val="231F20"/>
          <w:w w:val="105"/>
          <w:sz w:val="19"/>
        </w:rPr>
        <w:t>para</w:t>
      </w:r>
      <w:r>
        <w:rPr>
          <w:color w:val="231F20"/>
          <w:spacing w:val="-8"/>
          <w:w w:val="105"/>
          <w:sz w:val="19"/>
        </w:rPr>
        <w:t> </w:t>
      </w:r>
      <w:r>
        <w:rPr>
          <w:color w:val="231F20"/>
          <w:w w:val="105"/>
          <w:sz w:val="19"/>
        </w:rPr>
        <w:t>todo aquel</w:t>
      </w:r>
      <w:r>
        <w:rPr>
          <w:color w:val="231F20"/>
          <w:spacing w:val="-17"/>
          <w:w w:val="105"/>
          <w:sz w:val="19"/>
        </w:rPr>
        <w:t> </w:t>
      </w:r>
      <w:r>
        <w:rPr>
          <w:color w:val="231F20"/>
          <w:w w:val="105"/>
          <w:sz w:val="19"/>
        </w:rPr>
        <w:t>que</w:t>
      </w:r>
      <w:r>
        <w:rPr>
          <w:color w:val="231F20"/>
          <w:spacing w:val="-17"/>
          <w:w w:val="105"/>
          <w:sz w:val="19"/>
        </w:rPr>
        <w:t> </w:t>
      </w:r>
      <w:r>
        <w:rPr>
          <w:color w:val="231F20"/>
          <w:w w:val="105"/>
          <w:sz w:val="19"/>
        </w:rPr>
        <w:t>no</w:t>
      </w:r>
      <w:r>
        <w:rPr>
          <w:color w:val="231F20"/>
          <w:spacing w:val="-17"/>
          <w:w w:val="105"/>
          <w:sz w:val="19"/>
        </w:rPr>
        <w:t> </w:t>
      </w:r>
      <w:r>
        <w:rPr>
          <w:color w:val="231F20"/>
          <w:w w:val="105"/>
          <w:sz w:val="19"/>
        </w:rPr>
        <w:t>sea</w:t>
      </w:r>
      <w:r>
        <w:rPr>
          <w:color w:val="231F20"/>
          <w:spacing w:val="-17"/>
          <w:w w:val="105"/>
          <w:sz w:val="19"/>
        </w:rPr>
        <w:t> </w:t>
      </w:r>
      <w:r>
        <w:rPr>
          <w:color w:val="231F20"/>
          <w:w w:val="105"/>
          <w:sz w:val="19"/>
        </w:rPr>
        <w:t>un</w:t>
      </w:r>
      <w:r>
        <w:rPr>
          <w:color w:val="231F20"/>
          <w:spacing w:val="-17"/>
          <w:w w:val="105"/>
          <w:sz w:val="19"/>
        </w:rPr>
        <w:t> </w:t>
      </w:r>
      <w:r>
        <w:rPr>
          <w:color w:val="231F20"/>
          <w:w w:val="105"/>
          <w:sz w:val="19"/>
        </w:rPr>
        <w:t>letrado</w:t>
      </w:r>
      <w:r>
        <w:rPr>
          <w:color w:val="231F20"/>
          <w:spacing w:val="-17"/>
          <w:w w:val="105"/>
          <w:sz w:val="19"/>
        </w:rPr>
        <w:t> </w:t>
      </w:r>
      <w:r>
        <w:rPr>
          <w:color w:val="231F20"/>
          <w:w w:val="105"/>
          <w:sz w:val="19"/>
        </w:rPr>
        <w:t>especializado</w:t>
      </w:r>
      <w:r>
        <w:rPr>
          <w:color w:val="231F20"/>
          <w:spacing w:val="-17"/>
          <w:w w:val="105"/>
          <w:sz w:val="19"/>
        </w:rPr>
        <w:t> </w:t>
      </w:r>
      <w:r>
        <w:rPr>
          <w:color w:val="231F20"/>
          <w:w w:val="105"/>
          <w:sz w:val="19"/>
        </w:rPr>
        <w:t>en</w:t>
      </w:r>
      <w:r>
        <w:rPr>
          <w:color w:val="231F20"/>
          <w:spacing w:val="-17"/>
          <w:w w:val="105"/>
          <w:sz w:val="19"/>
        </w:rPr>
        <w:t> </w:t>
      </w:r>
      <w:r>
        <w:rPr>
          <w:color w:val="231F20"/>
          <w:w w:val="105"/>
          <w:sz w:val="19"/>
        </w:rPr>
        <w:t>ese</w:t>
      </w:r>
      <w:r>
        <w:rPr>
          <w:color w:val="231F20"/>
          <w:spacing w:val="-17"/>
          <w:w w:val="105"/>
          <w:sz w:val="19"/>
        </w:rPr>
        <w:t> </w:t>
      </w:r>
      <w:r>
        <w:rPr>
          <w:color w:val="231F20"/>
          <w:w w:val="105"/>
          <w:sz w:val="19"/>
        </w:rPr>
        <w:t>campo</w:t>
      </w:r>
      <w:r>
        <w:rPr>
          <w:color w:val="231F20"/>
          <w:spacing w:val="-17"/>
          <w:w w:val="105"/>
          <w:sz w:val="19"/>
        </w:rPr>
        <w:t> </w:t>
      </w:r>
      <w:r>
        <w:rPr>
          <w:color w:val="231F20"/>
          <w:w w:val="105"/>
          <w:sz w:val="19"/>
        </w:rPr>
        <w:t>especí- fico.</w:t>
      </w:r>
      <w:r>
        <w:rPr>
          <w:color w:val="231F20"/>
          <w:spacing w:val="-9"/>
          <w:w w:val="105"/>
          <w:sz w:val="19"/>
        </w:rPr>
        <w:t> </w:t>
      </w:r>
      <w:r>
        <w:rPr>
          <w:color w:val="231F20"/>
          <w:w w:val="105"/>
          <w:sz w:val="19"/>
        </w:rPr>
        <w:t>Al</w:t>
      </w:r>
      <w:r>
        <w:rPr>
          <w:color w:val="231F20"/>
          <w:spacing w:val="-9"/>
          <w:w w:val="105"/>
          <w:sz w:val="19"/>
        </w:rPr>
        <w:t> </w:t>
      </w:r>
      <w:r>
        <w:rPr>
          <w:color w:val="231F20"/>
          <w:w w:val="105"/>
          <w:sz w:val="19"/>
        </w:rPr>
        <w:t>mismo</w:t>
      </w:r>
      <w:r>
        <w:rPr>
          <w:color w:val="231F20"/>
          <w:spacing w:val="-9"/>
          <w:w w:val="105"/>
          <w:sz w:val="19"/>
        </w:rPr>
        <w:t> </w:t>
      </w:r>
      <w:r>
        <w:rPr>
          <w:color w:val="231F20"/>
          <w:w w:val="105"/>
          <w:sz w:val="19"/>
        </w:rPr>
        <w:t>tiempo,</w:t>
      </w:r>
      <w:r>
        <w:rPr>
          <w:color w:val="231F20"/>
          <w:spacing w:val="-9"/>
          <w:w w:val="105"/>
          <w:sz w:val="19"/>
        </w:rPr>
        <w:t> </w:t>
      </w:r>
      <w:r>
        <w:rPr>
          <w:color w:val="231F20"/>
          <w:w w:val="105"/>
          <w:sz w:val="19"/>
        </w:rPr>
        <w:t>los</w:t>
      </w:r>
      <w:r>
        <w:rPr>
          <w:color w:val="231F20"/>
          <w:spacing w:val="-9"/>
          <w:w w:val="105"/>
          <w:sz w:val="19"/>
        </w:rPr>
        <w:t> </w:t>
      </w:r>
      <w:r>
        <w:rPr>
          <w:color w:val="231F20"/>
          <w:w w:val="105"/>
          <w:sz w:val="19"/>
        </w:rPr>
        <w:t>tribunales</w:t>
      </w:r>
      <w:r>
        <w:rPr>
          <w:color w:val="231F20"/>
          <w:spacing w:val="-9"/>
          <w:w w:val="105"/>
          <w:sz w:val="19"/>
        </w:rPr>
        <w:t> </w:t>
      </w:r>
      <w:r>
        <w:rPr>
          <w:color w:val="231F20"/>
          <w:w w:val="105"/>
          <w:sz w:val="19"/>
        </w:rPr>
        <w:t>han</w:t>
      </w:r>
      <w:r>
        <w:rPr>
          <w:color w:val="231F20"/>
          <w:spacing w:val="-9"/>
          <w:w w:val="105"/>
          <w:sz w:val="19"/>
        </w:rPr>
        <w:t> </w:t>
      </w:r>
      <w:r>
        <w:rPr>
          <w:color w:val="231F20"/>
          <w:w w:val="105"/>
          <w:sz w:val="19"/>
        </w:rPr>
        <w:t>pasado</w:t>
      </w:r>
      <w:r>
        <w:rPr>
          <w:color w:val="231F20"/>
          <w:spacing w:val="-9"/>
          <w:w w:val="105"/>
          <w:sz w:val="19"/>
        </w:rPr>
        <w:t> </w:t>
      </w:r>
      <w:r>
        <w:rPr>
          <w:color w:val="231F20"/>
          <w:w w:val="105"/>
          <w:sz w:val="19"/>
        </w:rPr>
        <w:t>de</w:t>
      </w:r>
      <w:r>
        <w:rPr>
          <w:color w:val="231F20"/>
          <w:spacing w:val="-9"/>
          <w:w w:val="105"/>
          <w:sz w:val="19"/>
        </w:rPr>
        <w:t> </w:t>
      </w:r>
      <w:r>
        <w:rPr>
          <w:color w:val="231F20"/>
          <w:w w:val="105"/>
          <w:sz w:val="19"/>
        </w:rPr>
        <w:t>decidir</w:t>
      </w:r>
      <w:r>
        <w:rPr>
          <w:color w:val="231F20"/>
          <w:spacing w:val="-9"/>
          <w:w w:val="105"/>
          <w:sz w:val="19"/>
        </w:rPr>
        <w:t> </w:t>
      </w:r>
      <w:r>
        <w:rPr>
          <w:color w:val="231F20"/>
          <w:w w:val="105"/>
          <w:sz w:val="19"/>
        </w:rPr>
        <w:t>qué es</w:t>
      </w:r>
      <w:r>
        <w:rPr>
          <w:color w:val="231F20"/>
          <w:spacing w:val="-16"/>
          <w:w w:val="105"/>
          <w:sz w:val="19"/>
        </w:rPr>
        <w:t> </w:t>
      </w:r>
      <w:r>
        <w:rPr>
          <w:color w:val="231F20"/>
          <w:w w:val="105"/>
          <w:sz w:val="19"/>
        </w:rPr>
        <w:t>lo</w:t>
      </w:r>
      <w:r>
        <w:rPr>
          <w:color w:val="231F20"/>
          <w:spacing w:val="-16"/>
          <w:w w:val="105"/>
          <w:sz w:val="19"/>
        </w:rPr>
        <w:t> </w:t>
      </w:r>
      <w:r>
        <w:rPr>
          <w:color w:val="231F20"/>
          <w:w w:val="105"/>
          <w:sz w:val="19"/>
        </w:rPr>
        <w:t>que</w:t>
      </w:r>
      <w:r>
        <w:rPr>
          <w:color w:val="231F20"/>
          <w:spacing w:val="-16"/>
          <w:w w:val="105"/>
          <w:sz w:val="19"/>
        </w:rPr>
        <w:t> </w:t>
      </w:r>
      <w:r>
        <w:rPr>
          <w:color w:val="231F20"/>
          <w:w w:val="105"/>
          <w:sz w:val="19"/>
        </w:rPr>
        <w:t>está</w:t>
      </w:r>
      <w:r>
        <w:rPr>
          <w:color w:val="231F20"/>
          <w:spacing w:val="-16"/>
          <w:w w:val="105"/>
          <w:sz w:val="19"/>
        </w:rPr>
        <w:t> </w:t>
      </w:r>
      <w:r>
        <w:rPr>
          <w:color w:val="231F20"/>
          <w:w w:val="105"/>
          <w:sz w:val="19"/>
        </w:rPr>
        <w:t>prohibido</w:t>
      </w:r>
      <w:r>
        <w:rPr>
          <w:color w:val="231F20"/>
          <w:spacing w:val="-16"/>
          <w:w w:val="105"/>
          <w:sz w:val="19"/>
        </w:rPr>
        <w:t> </w:t>
      </w:r>
      <w:r>
        <w:rPr>
          <w:color w:val="231F20"/>
          <w:w w:val="105"/>
          <w:sz w:val="19"/>
        </w:rPr>
        <w:t>a</w:t>
      </w:r>
      <w:r>
        <w:rPr>
          <w:color w:val="231F20"/>
          <w:spacing w:val="-16"/>
          <w:w w:val="105"/>
          <w:sz w:val="19"/>
        </w:rPr>
        <w:t> </w:t>
      </w:r>
      <w:r>
        <w:rPr>
          <w:color w:val="231F20"/>
          <w:w w:val="105"/>
          <w:sz w:val="19"/>
        </w:rPr>
        <w:t>decir</w:t>
      </w:r>
      <w:r>
        <w:rPr>
          <w:color w:val="231F20"/>
          <w:spacing w:val="-16"/>
          <w:w w:val="105"/>
          <w:sz w:val="19"/>
        </w:rPr>
        <w:t> </w:t>
      </w:r>
      <w:r>
        <w:rPr>
          <w:color w:val="231F20"/>
          <w:w w:val="105"/>
          <w:sz w:val="19"/>
        </w:rPr>
        <w:t>lo</w:t>
      </w:r>
      <w:r>
        <w:rPr>
          <w:color w:val="231F20"/>
          <w:spacing w:val="-16"/>
          <w:w w:val="105"/>
          <w:sz w:val="19"/>
        </w:rPr>
        <w:t> </w:t>
      </w:r>
      <w:r>
        <w:rPr>
          <w:color w:val="231F20"/>
          <w:w w:val="105"/>
          <w:sz w:val="19"/>
        </w:rPr>
        <w:t>que</w:t>
      </w:r>
      <w:r>
        <w:rPr>
          <w:color w:val="231F20"/>
          <w:spacing w:val="-16"/>
          <w:w w:val="105"/>
          <w:sz w:val="19"/>
        </w:rPr>
        <w:t> </w:t>
      </w:r>
      <w:r>
        <w:rPr>
          <w:color w:val="231F20"/>
          <w:w w:val="105"/>
          <w:sz w:val="19"/>
        </w:rPr>
        <w:t>ha</w:t>
      </w:r>
      <w:r>
        <w:rPr>
          <w:color w:val="231F20"/>
          <w:spacing w:val="-16"/>
          <w:w w:val="105"/>
          <w:sz w:val="19"/>
        </w:rPr>
        <w:t> </w:t>
      </w:r>
      <w:r>
        <w:rPr>
          <w:color w:val="231F20"/>
          <w:w w:val="105"/>
          <w:sz w:val="19"/>
        </w:rPr>
        <w:t>de</w:t>
      </w:r>
      <w:r>
        <w:rPr>
          <w:color w:val="231F20"/>
          <w:spacing w:val="-16"/>
          <w:w w:val="105"/>
          <w:sz w:val="19"/>
        </w:rPr>
        <w:t> </w:t>
      </w:r>
      <w:r>
        <w:rPr>
          <w:color w:val="231F20"/>
          <w:w w:val="105"/>
          <w:sz w:val="19"/>
        </w:rPr>
        <w:t>hacerse</w:t>
      </w:r>
      <w:r>
        <w:rPr>
          <w:color w:val="231F20"/>
          <w:spacing w:val="-16"/>
          <w:w w:val="105"/>
          <w:sz w:val="19"/>
        </w:rPr>
        <w:t> </w:t>
      </w:r>
      <w:r>
        <w:rPr>
          <w:color w:val="231F20"/>
          <w:w w:val="105"/>
          <w:sz w:val="19"/>
        </w:rPr>
        <w:t>—en</w:t>
      </w:r>
      <w:r>
        <w:rPr>
          <w:color w:val="231F20"/>
          <w:spacing w:val="-16"/>
          <w:w w:val="105"/>
          <w:sz w:val="19"/>
        </w:rPr>
        <w:t> </w:t>
      </w:r>
      <w:r>
        <w:rPr>
          <w:color w:val="231F20"/>
          <w:w w:val="105"/>
          <w:sz w:val="19"/>
        </w:rPr>
        <w:t>pocas palabras:</w:t>
      </w:r>
      <w:r>
        <w:rPr>
          <w:color w:val="231F20"/>
          <w:spacing w:val="-39"/>
          <w:w w:val="105"/>
          <w:sz w:val="19"/>
        </w:rPr>
        <w:t> </w:t>
      </w:r>
      <w:r>
        <w:rPr>
          <w:color w:val="231F20"/>
          <w:w w:val="105"/>
          <w:sz w:val="19"/>
        </w:rPr>
        <w:t>han</w:t>
      </w:r>
      <w:r>
        <w:rPr>
          <w:color w:val="231F20"/>
          <w:spacing w:val="-39"/>
          <w:w w:val="105"/>
          <w:sz w:val="19"/>
        </w:rPr>
        <w:t> </w:t>
      </w:r>
      <w:r>
        <w:rPr>
          <w:color w:val="231F20"/>
          <w:w w:val="105"/>
          <w:sz w:val="19"/>
        </w:rPr>
        <w:t>pasado</w:t>
      </w:r>
      <w:r>
        <w:rPr>
          <w:color w:val="231F20"/>
          <w:spacing w:val="-39"/>
          <w:w w:val="105"/>
          <w:sz w:val="19"/>
        </w:rPr>
        <w:t> </w:t>
      </w:r>
      <w:r>
        <w:rPr>
          <w:color w:val="231F20"/>
          <w:w w:val="105"/>
          <w:sz w:val="19"/>
        </w:rPr>
        <w:t>de</w:t>
      </w:r>
      <w:r>
        <w:rPr>
          <w:color w:val="231F20"/>
          <w:spacing w:val="-39"/>
          <w:w w:val="105"/>
          <w:sz w:val="19"/>
        </w:rPr>
        <w:t> </w:t>
      </w:r>
      <w:r>
        <w:rPr>
          <w:color w:val="231F20"/>
          <w:w w:val="105"/>
          <w:sz w:val="19"/>
        </w:rPr>
        <w:t>desempeñar</w:t>
      </w:r>
      <w:r>
        <w:rPr>
          <w:color w:val="231F20"/>
          <w:spacing w:val="-39"/>
          <w:w w:val="105"/>
          <w:sz w:val="19"/>
        </w:rPr>
        <w:t> </w:t>
      </w:r>
      <w:r>
        <w:rPr>
          <w:color w:val="231F20"/>
          <w:w w:val="105"/>
          <w:sz w:val="19"/>
        </w:rPr>
        <w:t>una</w:t>
      </w:r>
      <w:r>
        <w:rPr>
          <w:color w:val="231F20"/>
          <w:spacing w:val="-39"/>
          <w:w w:val="105"/>
          <w:sz w:val="19"/>
        </w:rPr>
        <w:t> </w:t>
      </w:r>
      <w:r>
        <w:rPr>
          <w:color w:val="231F20"/>
          <w:w w:val="105"/>
          <w:sz w:val="19"/>
        </w:rPr>
        <w:t>función</w:t>
      </w:r>
      <w:r>
        <w:rPr>
          <w:color w:val="231F20"/>
          <w:spacing w:val="-39"/>
          <w:w w:val="105"/>
          <w:sz w:val="19"/>
        </w:rPr>
        <w:t> </w:t>
      </w:r>
      <w:r>
        <w:rPr>
          <w:color w:val="231F20"/>
          <w:w w:val="105"/>
          <w:sz w:val="19"/>
        </w:rPr>
        <w:t>limitativa</w:t>
      </w:r>
      <w:r>
        <w:rPr>
          <w:color w:val="231F20"/>
          <w:spacing w:val="-39"/>
          <w:w w:val="105"/>
          <w:sz w:val="19"/>
        </w:rPr>
        <w:t> </w:t>
      </w:r>
      <w:r>
        <w:rPr>
          <w:color w:val="231F20"/>
          <w:w w:val="105"/>
          <w:sz w:val="19"/>
        </w:rPr>
        <w:t>a</w:t>
      </w:r>
      <w:r>
        <w:rPr>
          <w:color w:val="231F20"/>
          <w:spacing w:val="-39"/>
          <w:w w:val="105"/>
          <w:sz w:val="19"/>
        </w:rPr>
        <w:t> </w:t>
      </w:r>
      <w:r>
        <w:rPr>
          <w:color w:val="231F20"/>
          <w:w w:val="105"/>
          <w:sz w:val="19"/>
        </w:rPr>
        <w:t>rea- lizar una labor legislativa que de hecho usurpa la tarea</w:t>
      </w:r>
      <w:r>
        <w:rPr>
          <w:color w:val="231F20"/>
          <w:spacing w:val="-33"/>
          <w:w w:val="105"/>
          <w:sz w:val="19"/>
        </w:rPr>
        <w:t> </w:t>
      </w:r>
      <w:r>
        <w:rPr>
          <w:color w:val="231F20"/>
          <w:w w:val="105"/>
          <w:sz w:val="19"/>
        </w:rPr>
        <w:t>clásica- mente</w:t>
      </w:r>
      <w:r>
        <w:rPr>
          <w:color w:val="231F20"/>
          <w:spacing w:val="-25"/>
          <w:w w:val="105"/>
          <w:sz w:val="19"/>
        </w:rPr>
        <w:t> </w:t>
      </w:r>
      <w:r>
        <w:rPr>
          <w:color w:val="231F20"/>
          <w:w w:val="105"/>
          <w:sz w:val="19"/>
        </w:rPr>
        <w:t>encomendada</w:t>
      </w:r>
      <w:r>
        <w:rPr>
          <w:color w:val="231F20"/>
          <w:spacing w:val="-25"/>
          <w:w w:val="105"/>
          <w:sz w:val="19"/>
        </w:rPr>
        <w:t> </w:t>
      </w:r>
      <w:r>
        <w:rPr>
          <w:color w:val="231F20"/>
          <w:w w:val="105"/>
          <w:sz w:val="19"/>
        </w:rPr>
        <w:t>a</w:t>
      </w:r>
      <w:r>
        <w:rPr>
          <w:color w:val="231F20"/>
          <w:spacing w:val="-25"/>
          <w:w w:val="105"/>
          <w:sz w:val="19"/>
        </w:rPr>
        <w:t> </w:t>
      </w:r>
      <w:r>
        <w:rPr>
          <w:color w:val="231F20"/>
          <w:w w:val="105"/>
          <w:sz w:val="19"/>
        </w:rPr>
        <w:t>la</w:t>
      </w:r>
      <w:r>
        <w:rPr>
          <w:color w:val="231F20"/>
          <w:spacing w:val="-25"/>
          <w:w w:val="105"/>
          <w:sz w:val="19"/>
        </w:rPr>
        <w:t> </w:t>
      </w:r>
      <w:r>
        <w:rPr>
          <w:color w:val="231F20"/>
          <w:w w:val="105"/>
          <w:sz w:val="19"/>
        </w:rPr>
        <w:t>política</w:t>
      </w:r>
      <w:r>
        <w:rPr>
          <w:color w:val="231F20"/>
          <w:spacing w:val="-25"/>
          <w:w w:val="105"/>
          <w:sz w:val="19"/>
        </w:rPr>
        <w:t> </w:t>
      </w:r>
      <w:r>
        <w:rPr>
          <w:color w:val="231F20"/>
          <w:w w:val="105"/>
          <w:sz w:val="19"/>
        </w:rPr>
        <w:t>democrática.</w:t>
      </w:r>
      <w:r>
        <w:rPr>
          <w:color w:val="231F20"/>
          <w:spacing w:val="-25"/>
          <w:w w:val="105"/>
          <w:sz w:val="19"/>
        </w:rPr>
        <w:t> </w:t>
      </w:r>
      <w:r>
        <w:rPr>
          <w:color w:val="231F20"/>
          <w:w w:val="105"/>
          <w:sz w:val="19"/>
        </w:rPr>
        <w:t>Si</w:t>
      </w:r>
      <w:r>
        <w:rPr>
          <w:color w:val="231F20"/>
          <w:spacing w:val="-25"/>
          <w:w w:val="105"/>
          <w:sz w:val="19"/>
        </w:rPr>
        <w:t> </w:t>
      </w:r>
      <w:r>
        <w:rPr>
          <w:color w:val="231F20"/>
          <w:w w:val="105"/>
          <w:sz w:val="19"/>
        </w:rPr>
        <w:t>vivir</w:t>
      </w:r>
      <w:r>
        <w:rPr>
          <w:color w:val="231F20"/>
          <w:spacing w:val="-25"/>
          <w:w w:val="105"/>
          <w:sz w:val="19"/>
        </w:rPr>
        <w:t> </w:t>
      </w:r>
      <w:r>
        <w:rPr>
          <w:color w:val="231F20"/>
          <w:w w:val="105"/>
          <w:sz w:val="19"/>
        </w:rPr>
        <w:t>sometidos a</w:t>
      </w:r>
      <w:r>
        <w:rPr>
          <w:color w:val="231F20"/>
          <w:spacing w:val="-29"/>
          <w:w w:val="105"/>
          <w:sz w:val="19"/>
        </w:rPr>
        <w:t> </w:t>
      </w:r>
      <w:r>
        <w:rPr>
          <w:color w:val="231F20"/>
          <w:w w:val="105"/>
          <w:sz w:val="19"/>
        </w:rPr>
        <w:t>la</w:t>
      </w:r>
      <w:r>
        <w:rPr>
          <w:color w:val="231F20"/>
          <w:spacing w:val="-29"/>
          <w:w w:val="105"/>
          <w:sz w:val="19"/>
        </w:rPr>
        <w:t> </w:t>
      </w:r>
      <w:r>
        <w:rPr>
          <w:color w:val="231F20"/>
          <w:w w:val="105"/>
          <w:sz w:val="19"/>
        </w:rPr>
        <w:t>primacía</w:t>
      </w:r>
      <w:r>
        <w:rPr>
          <w:color w:val="231F20"/>
          <w:spacing w:val="-29"/>
          <w:w w:val="105"/>
          <w:sz w:val="19"/>
        </w:rPr>
        <w:t> </w:t>
      </w:r>
      <w:r>
        <w:rPr>
          <w:color w:val="231F20"/>
          <w:w w:val="105"/>
          <w:sz w:val="19"/>
        </w:rPr>
        <w:t>del</w:t>
      </w:r>
      <w:r>
        <w:rPr>
          <w:color w:val="231F20"/>
          <w:spacing w:val="-29"/>
          <w:w w:val="105"/>
          <w:sz w:val="19"/>
        </w:rPr>
        <w:t> </w:t>
      </w:r>
      <w:r>
        <w:rPr>
          <w:color w:val="231F20"/>
          <w:w w:val="105"/>
          <w:sz w:val="19"/>
        </w:rPr>
        <w:t>derecho</w:t>
      </w:r>
      <w:r>
        <w:rPr>
          <w:color w:val="231F20"/>
          <w:spacing w:val="-29"/>
          <w:w w:val="105"/>
          <w:sz w:val="19"/>
        </w:rPr>
        <w:t> </w:t>
      </w:r>
      <w:r>
        <w:rPr>
          <w:color w:val="231F20"/>
          <w:w w:val="105"/>
          <w:sz w:val="19"/>
        </w:rPr>
        <w:t>es</w:t>
      </w:r>
      <w:r>
        <w:rPr>
          <w:color w:val="231F20"/>
          <w:spacing w:val="-29"/>
          <w:w w:val="105"/>
          <w:sz w:val="19"/>
        </w:rPr>
        <w:t> </w:t>
      </w:r>
      <w:r>
        <w:rPr>
          <w:color w:val="231F20"/>
          <w:w w:val="105"/>
          <w:sz w:val="19"/>
        </w:rPr>
        <w:t>un</w:t>
      </w:r>
      <w:r>
        <w:rPr>
          <w:color w:val="231F20"/>
          <w:spacing w:val="-29"/>
          <w:w w:val="105"/>
          <w:sz w:val="19"/>
        </w:rPr>
        <w:t> </w:t>
      </w:r>
      <w:r>
        <w:rPr>
          <w:color w:val="231F20"/>
          <w:w w:val="105"/>
          <w:sz w:val="19"/>
        </w:rPr>
        <w:t>pilar</w:t>
      </w:r>
      <w:r>
        <w:rPr>
          <w:color w:val="231F20"/>
          <w:spacing w:val="-29"/>
          <w:w w:val="105"/>
          <w:sz w:val="19"/>
        </w:rPr>
        <w:t> </w:t>
      </w:r>
      <w:r>
        <w:rPr>
          <w:color w:val="231F20"/>
          <w:w w:val="105"/>
          <w:sz w:val="19"/>
        </w:rPr>
        <w:t>importante</w:t>
      </w:r>
      <w:r>
        <w:rPr>
          <w:color w:val="231F20"/>
          <w:spacing w:val="-29"/>
          <w:w w:val="105"/>
          <w:sz w:val="19"/>
        </w:rPr>
        <w:t> </w:t>
      </w:r>
      <w:r>
        <w:rPr>
          <w:color w:val="231F20"/>
          <w:w w:val="105"/>
          <w:sz w:val="19"/>
        </w:rPr>
        <w:t>de</w:t>
      </w:r>
      <w:r>
        <w:rPr>
          <w:color w:val="231F20"/>
          <w:spacing w:val="-29"/>
          <w:w w:val="105"/>
          <w:sz w:val="19"/>
        </w:rPr>
        <w:t> </w:t>
      </w:r>
      <w:r>
        <w:rPr>
          <w:color w:val="231F20"/>
          <w:w w:val="105"/>
          <w:sz w:val="19"/>
        </w:rPr>
        <w:t>la</w:t>
      </w:r>
      <w:r>
        <w:rPr>
          <w:color w:val="231F20"/>
          <w:spacing w:val="-29"/>
          <w:w w:val="105"/>
          <w:sz w:val="19"/>
        </w:rPr>
        <w:t> </w:t>
      </w:r>
      <w:r>
        <w:rPr>
          <w:color w:val="231F20"/>
          <w:w w:val="105"/>
          <w:sz w:val="19"/>
        </w:rPr>
        <w:t>mayor</w:t>
      </w:r>
      <w:r>
        <w:rPr>
          <w:color w:val="231F20"/>
          <w:spacing w:val="-29"/>
          <w:w w:val="105"/>
          <w:sz w:val="19"/>
        </w:rPr>
        <w:t> </w:t>
      </w:r>
      <w:r>
        <w:rPr>
          <w:color w:val="231F20"/>
          <w:w w:val="105"/>
          <w:sz w:val="19"/>
        </w:rPr>
        <w:t>parte de</w:t>
      </w:r>
      <w:r>
        <w:rPr>
          <w:color w:val="231F20"/>
          <w:spacing w:val="-15"/>
          <w:w w:val="105"/>
          <w:sz w:val="19"/>
        </w:rPr>
        <w:t> </w:t>
      </w:r>
      <w:r>
        <w:rPr>
          <w:color w:val="231F20"/>
          <w:w w:val="105"/>
          <w:sz w:val="19"/>
        </w:rPr>
        <w:t>las</w:t>
      </w:r>
      <w:r>
        <w:rPr>
          <w:color w:val="231F20"/>
          <w:spacing w:val="-15"/>
          <w:w w:val="105"/>
          <w:sz w:val="19"/>
        </w:rPr>
        <w:t> </w:t>
      </w:r>
      <w:r>
        <w:rPr>
          <w:color w:val="231F20"/>
          <w:w w:val="105"/>
          <w:sz w:val="19"/>
        </w:rPr>
        <w:t>formas</w:t>
      </w:r>
      <w:r>
        <w:rPr>
          <w:color w:val="231F20"/>
          <w:spacing w:val="-15"/>
          <w:w w:val="105"/>
          <w:sz w:val="19"/>
        </w:rPr>
        <w:t> </w:t>
      </w:r>
      <w:r>
        <w:rPr>
          <w:color w:val="231F20"/>
          <w:w w:val="105"/>
          <w:sz w:val="19"/>
        </w:rPr>
        <w:t>de</w:t>
      </w:r>
      <w:r>
        <w:rPr>
          <w:color w:val="231F20"/>
          <w:spacing w:val="-15"/>
          <w:w w:val="105"/>
          <w:sz w:val="19"/>
        </w:rPr>
        <w:t> </w:t>
      </w:r>
      <w:r>
        <w:rPr>
          <w:color w:val="231F20"/>
          <w:w w:val="105"/>
          <w:sz w:val="19"/>
        </w:rPr>
        <w:t>democracia,</w:t>
      </w:r>
      <w:r>
        <w:rPr>
          <w:color w:val="231F20"/>
          <w:spacing w:val="-15"/>
          <w:w w:val="105"/>
          <w:sz w:val="19"/>
        </w:rPr>
        <w:t> </w:t>
      </w:r>
      <w:r>
        <w:rPr>
          <w:color w:val="231F20"/>
          <w:w w:val="105"/>
          <w:sz w:val="19"/>
        </w:rPr>
        <w:t>el</w:t>
      </w:r>
      <w:r>
        <w:rPr>
          <w:color w:val="231F20"/>
          <w:spacing w:val="-15"/>
          <w:w w:val="105"/>
          <w:sz w:val="19"/>
        </w:rPr>
        <w:t> </w:t>
      </w:r>
      <w:r>
        <w:rPr>
          <w:color w:val="231F20"/>
          <w:w w:val="105"/>
          <w:sz w:val="19"/>
        </w:rPr>
        <w:t>gobierno</w:t>
      </w:r>
      <w:r>
        <w:rPr>
          <w:color w:val="231F20"/>
          <w:spacing w:val="-15"/>
          <w:w w:val="105"/>
          <w:sz w:val="19"/>
        </w:rPr>
        <w:t> </w:t>
      </w:r>
      <w:r>
        <w:rPr>
          <w:color w:val="231F20"/>
          <w:w w:val="105"/>
          <w:sz w:val="19"/>
        </w:rPr>
        <w:t>de</w:t>
      </w:r>
      <w:r>
        <w:rPr>
          <w:color w:val="231F20"/>
          <w:spacing w:val="-15"/>
          <w:w w:val="105"/>
          <w:sz w:val="19"/>
        </w:rPr>
        <w:t> </w:t>
      </w:r>
      <w:r>
        <w:rPr>
          <w:color w:val="231F20"/>
          <w:w w:val="105"/>
          <w:sz w:val="19"/>
        </w:rPr>
        <w:t>los</w:t>
      </w:r>
      <w:r>
        <w:rPr>
          <w:color w:val="231F20"/>
          <w:spacing w:val="-15"/>
          <w:w w:val="105"/>
          <w:sz w:val="19"/>
        </w:rPr>
        <w:t> </w:t>
      </w:r>
      <w:r>
        <w:rPr>
          <w:color w:val="231F20"/>
          <w:w w:val="105"/>
          <w:sz w:val="19"/>
        </w:rPr>
        <w:t>tribunales</w:t>
      </w:r>
      <w:r>
        <w:rPr>
          <w:color w:val="231F20"/>
          <w:spacing w:val="-15"/>
          <w:w w:val="105"/>
          <w:sz w:val="19"/>
        </w:rPr>
        <w:t> </w:t>
      </w:r>
      <w:r>
        <w:rPr>
          <w:color w:val="231F20"/>
          <w:w w:val="105"/>
          <w:sz w:val="19"/>
        </w:rPr>
        <w:t>equi- vale</w:t>
      </w:r>
      <w:r>
        <w:rPr>
          <w:color w:val="231F20"/>
          <w:spacing w:val="-16"/>
          <w:w w:val="105"/>
          <w:sz w:val="19"/>
        </w:rPr>
        <w:t> </w:t>
      </w:r>
      <w:r>
        <w:rPr>
          <w:color w:val="231F20"/>
          <w:w w:val="105"/>
          <w:sz w:val="19"/>
        </w:rPr>
        <w:t>a</w:t>
      </w:r>
      <w:r>
        <w:rPr>
          <w:color w:val="231F20"/>
          <w:spacing w:val="-16"/>
          <w:w w:val="105"/>
          <w:sz w:val="19"/>
        </w:rPr>
        <w:t> </w:t>
      </w:r>
      <w:r>
        <w:rPr>
          <w:color w:val="231F20"/>
          <w:w w:val="105"/>
          <w:sz w:val="19"/>
        </w:rPr>
        <w:t>una</w:t>
      </w:r>
      <w:r>
        <w:rPr>
          <w:color w:val="231F20"/>
          <w:spacing w:val="-16"/>
          <w:w w:val="105"/>
          <w:sz w:val="19"/>
        </w:rPr>
        <w:t> </w:t>
      </w:r>
      <w:r>
        <w:rPr>
          <w:color w:val="231F20"/>
          <w:w w:val="105"/>
          <w:sz w:val="19"/>
        </w:rPr>
        <w:t>subversión</w:t>
      </w:r>
      <w:r>
        <w:rPr>
          <w:color w:val="231F20"/>
          <w:spacing w:val="-16"/>
          <w:w w:val="105"/>
          <w:sz w:val="19"/>
        </w:rPr>
        <w:t> </w:t>
      </w:r>
      <w:r>
        <w:rPr>
          <w:color w:val="231F20"/>
          <w:w w:val="105"/>
          <w:sz w:val="19"/>
        </w:rPr>
        <w:t>de</w:t>
      </w:r>
      <w:r>
        <w:rPr>
          <w:color w:val="231F20"/>
          <w:spacing w:val="-16"/>
          <w:w w:val="105"/>
          <w:sz w:val="19"/>
        </w:rPr>
        <w:t> </w:t>
      </w:r>
      <w:r>
        <w:rPr>
          <w:color w:val="231F20"/>
          <w:w w:val="105"/>
          <w:sz w:val="19"/>
        </w:rPr>
        <w:t>la</w:t>
      </w:r>
      <w:r>
        <w:rPr>
          <w:color w:val="231F20"/>
          <w:spacing w:val="-16"/>
          <w:w w:val="105"/>
          <w:sz w:val="19"/>
        </w:rPr>
        <w:t> </w:t>
      </w:r>
      <w:r>
        <w:rPr>
          <w:color w:val="231F20"/>
          <w:w w:val="105"/>
          <w:sz w:val="19"/>
        </w:rPr>
        <w:t>democracia.</w:t>
      </w:r>
      <w:r>
        <w:rPr>
          <w:color w:val="231F20"/>
          <w:spacing w:val="-16"/>
          <w:w w:val="105"/>
          <w:sz w:val="19"/>
        </w:rPr>
        <w:t> </w:t>
      </w:r>
      <w:r>
        <w:rPr>
          <w:color w:val="231F20"/>
          <w:w w:val="105"/>
          <w:sz w:val="19"/>
        </w:rPr>
        <w:t>Esta</w:t>
      </w:r>
      <w:r>
        <w:rPr>
          <w:color w:val="231F20"/>
          <w:spacing w:val="-16"/>
          <w:w w:val="105"/>
          <w:sz w:val="19"/>
        </w:rPr>
        <w:t> </w:t>
      </w:r>
      <w:r>
        <w:rPr>
          <w:color w:val="231F20"/>
          <w:w w:val="105"/>
          <w:sz w:val="19"/>
        </w:rPr>
        <w:t>forma</w:t>
      </w:r>
      <w:r>
        <w:rPr>
          <w:color w:val="231F20"/>
          <w:spacing w:val="-16"/>
          <w:w w:val="105"/>
          <w:sz w:val="19"/>
        </w:rPr>
        <w:t> </w:t>
      </w:r>
      <w:r>
        <w:rPr>
          <w:color w:val="231F20"/>
          <w:w w:val="105"/>
          <w:sz w:val="19"/>
        </w:rPr>
        <w:t>de</w:t>
      </w:r>
      <w:r>
        <w:rPr>
          <w:color w:val="231F20"/>
          <w:spacing w:val="-16"/>
          <w:w w:val="105"/>
          <w:sz w:val="19"/>
        </w:rPr>
        <w:t> </w:t>
      </w:r>
      <w:r>
        <w:rPr>
          <w:color w:val="231F20"/>
          <w:w w:val="105"/>
          <w:sz w:val="19"/>
        </w:rPr>
        <w:t>gobierno no</w:t>
      </w:r>
      <w:r>
        <w:rPr>
          <w:color w:val="231F20"/>
          <w:spacing w:val="-28"/>
          <w:w w:val="105"/>
          <w:sz w:val="19"/>
        </w:rPr>
        <w:t> </w:t>
      </w:r>
      <w:r>
        <w:rPr>
          <w:color w:val="231F20"/>
          <w:w w:val="105"/>
          <w:sz w:val="19"/>
        </w:rPr>
        <w:t>sólo</w:t>
      </w:r>
      <w:r>
        <w:rPr>
          <w:color w:val="231F20"/>
          <w:spacing w:val="-28"/>
          <w:w w:val="105"/>
          <w:sz w:val="19"/>
        </w:rPr>
        <w:t> </w:t>
      </w:r>
      <w:r>
        <w:rPr>
          <w:color w:val="231F20"/>
          <w:w w:val="105"/>
          <w:sz w:val="19"/>
        </w:rPr>
        <w:t>invierte</w:t>
      </w:r>
      <w:r>
        <w:rPr>
          <w:color w:val="231F20"/>
          <w:spacing w:val="-28"/>
          <w:w w:val="105"/>
          <w:sz w:val="19"/>
        </w:rPr>
        <w:t> </w:t>
      </w:r>
      <w:r>
        <w:rPr>
          <w:color w:val="231F20"/>
          <w:w w:val="105"/>
          <w:sz w:val="19"/>
        </w:rPr>
        <w:t>la</w:t>
      </w:r>
      <w:r>
        <w:rPr>
          <w:color w:val="231F20"/>
          <w:spacing w:val="-28"/>
          <w:w w:val="105"/>
          <w:sz w:val="19"/>
        </w:rPr>
        <w:t> </w:t>
      </w:r>
      <w:r>
        <w:rPr>
          <w:color w:val="231F20"/>
          <w:w w:val="105"/>
          <w:sz w:val="19"/>
        </w:rPr>
        <w:t>crucial</w:t>
      </w:r>
      <w:r>
        <w:rPr>
          <w:color w:val="231F20"/>
          <w:spacing w:val="-28"/>
          <w:w w:val="105"/>
          <w:sz w:val="19"/>
        </w:rPr>
        <w:t> </w:t>
      </w:r>
      <w:r>
        <w:rPr>
          <w:color w:val="231F20"/>
          <w:w w:val="105"/>
          <w:sz w:val="19"/>
        </w:rPr>
        <w:t>subordinación</w:t>
      </w:r>
      <w:r>
        <w:rPr>
          <w:color w:val="231F20"/>
          <w:spacing w:val="-28"/>
          <w:w w:val="105"/>
          <w:sz w:val="19"/>
        </w:rPr>
        <w:t> </w:t>
      </w:r>
      <w:r>
        <w:rPr>
          <w:color w:val="231F20"/>
          <w:w w:val="105"/>
          <w:sz w:val="19"/>
        </w:rPr>
        <w:t>del</w:t>
      </w:r>
      <w:r>
        <w:rPr>
          <w:color w:val="231F20"/>
          <w:spacing w:val="-28"/>
          <w:w w:val="105"/>
          <w:sz w:val="19"/>
        </w:rPr>
        <w:t> </w:t>
      </w:r>
      <w:r>
        <w:rPr>
          <w:color w:val="231F20"/>
          <w:w w:val="105"/>
          <w:sz w:val="19"/>
        </w:rPr>
        <w:t>poder</w:t>
      </w:r>
      <w:r>
        <w:rPr>
          <w:color w:val="231F20"/>
          <w:spacing w:val="-28"/>
          <w:w w:val="105"/>
          <w:sz w:val="19"/>
        </w:rPr>
        <w:t> </w:t>
      </w:r>
      <w:r>
        <w:rPr>
          <w:color w:val="231F20"/>
          <w:w w:val="105"/>
          <w:sz w:val="19"/>
        </w:rPr>
        <w:t>judicial</w:t>
      </w:r>
      <w:r>
        <w:rPr>
          <w:color w:val="231F20"/>
          <w:spacing w:val="-28"/>
          <w:w w:val="105"/>
          <w:sz w:val="19"/>
        </w:rPr>
        <w:t> </w:t>
      </w:r>
      <w:r>
        <w:rPr>
          <w:color w:val="231F20"/>
          <w:w w:val="105"/>
          <w:sz w:val="19"/>
        </w:rPr>
        <w:t>al</w:t>
      </w:r>
      <w:r>
        <w:rPr>
          <w:color w:val="231F20"/>
          <w:spacing w:val="-28"/>
          <w:w w:val="105"/>
          <w:sz w:val="19"/>
        </w:rPr>
        <w:t> </w:t>
      </w:r>
      <w:r>
        <w:rPr>
          <w:color w:val="231F20"/>
          <w:w w:val="105"/>
          <w:sz w:val="19"/>
        </w:rPr>
        <w:t>legis- lativo</w:t>
      </w:r>
      <w:r>
        <w:rPr>
          <w:color w:val="231F20"/>
          <w:spacing w:val="-29"/>
          <w:w w:val="105"/>
          <w:sz w:val="19"/>
        </w:rPr>
        <w:t> </w:t>
      </w:r>
      <w:r>
        <w:rPr>
          <w:color w:val="231F20"/>
          <w:w w:val="105"/>
          <w:sz w:val="19"/>
        </w:rPr>
        <w:t>—subordinación</w:t>
      </w:r>
      <w:r>
        <w:rPr>
          <w:color w:val="231F20"/>
          <w:spacing w:val="-29"/>
          <w:w w:val="105"/>
          <w:sz w:val="19"/>
        </w:rPr>
        <w:t> </w:t>
      </w:r>
      <w:r>
        <w:rPr>
          <w:color w:val="231F20"/>
          <w:w w:val="105"/>
          <w:sz w:val="19"/>
        </w:rPr>
        <w:t>de</w:t>
      </w:r>
      <w:r>
        <w:rPr>
          <w:color w:val="231F20"/>
          <w:spacing w:val="-29"/>
          <w:w w:val="105"/>
          <w:sz w:val="19"/>
        </w:rPr>
        <w:t> </w:t>
      </w:r>
      <w:r>
        <w:rPr>
          <w:color w:val="231F20"/>
          <w:w w:val="105"/>
          <w:sz w:val="19"/>
        </w:rPr>
        <w:t>la</w:t>
      </w:r>
      <w:r>
        <w:rPr>
          <w:color w:val="231F20"/>
          <w:spacing w:val="-29"/>
          <w:w w:val="105"/>
          <w:sz w:val="19"/>
        </w:rPr>
        <w:t> </w:t>
      </w:r>
      <w:r>
        <w:rPr>
          <w:color w:val="231F20"/>
          <w:w w:val="105"/>
          <w:sz w:val="19"/>
        </w:rPr>
        <w:t>que</w:t>
      </w:r>
      <w:r>
        <w:rPr>
          <w:color w:val="231F20"/>
          <w:spacing w:val="-29"/>
          <w:w w:val="105"/>
          <w:sz w:val="19"/>
        </w:rPr>
        <w:t> </w:t>
      </w:r>
      <w:r>
        <w:rPr>
          <w:color w:val="231F20"/>
          <w:w w:val="105"/>
          <w:sz w:val="19"/>
        </w:rPr>
        <w:t>depende</w:t>
      </w:r>
      <w:r>
        <w:rPr>
          <w:color w:val="231F20"/>
          <w:spacing w:val="-29"/>
          <w:w w:val="105"/>
          <w:sz w:val="19"/>
        </w:rPr>
        <w:t> </w:t>
      </w:r>
      <w:r>
        <w:rPr>
          <w:color w:val="231F20"/>
          <w:w w:val="105"/>
          <w:sz w:val="19"/>
        </w:rPr>
        <w:t>la</w:t>
      </w:r>
      <w:r>
        <w:rPr>
          <w:color w:val="231F20"/>
          <w:spacing w:val="-29"/>
          <w:w w:val="105"/>
          <w:sz w:val="19"/>
        </w:rPr>
        <w:t> </w:t>
      </w:r>
      <w:r>
        <w:rPr>
          <w:color w:val="231F20"/>
          <w:w w:val="105"/>
          <w:sz w:val="19"/>
        </w:rPr>
        <w:t>soberanía</w:t>
      </w:r>
      <w:r>
        <w:rPr>
          <w:color w:val="231F20"/>
          <w:spacing w:val="-29"/>
          <w:w w:val="105"/>
          <w:sz w:val="19"/>
        </w:rPr>
        <w:t> </w:t>
      </w:r>
      <w:r>
        <w:rPr>
          <w:color w:val="231F20"/>
          <w:w w:val="105"/>
          <w:sz w:val="19"/>
        </w:rPr>
        <w:t>popular—, sino</w:t>
      </w:r>
      <w:r>
        <w:rPr>
          <w:color w:val="231F20"/>
          <w:spacing w:val="-7"/>
          <w:w w:val="105"/>
          <w:sz w:val="19"/>
        </w:rPr>
        <w:t> </w:t>
      </w:r>
      <w:r>
        <w:rPr>
          <w:color w:val="231F20"/>
          <w:w w:val="105"/>
          <w:sz w:val="19"/>
        </w:rPr>
        <w:t>que</w:t>
      </w:r>
      <w:r>
        <w:rPr>
          <w:color w:val="231F20"/>
          <w:spacing w:val="-7"/>
          <w:w w:val="105"/>
          <w:sz w:val="19"/>
        </w:rPr>
        <w:t> </w:t>
      </w:r>
      <w:r>
        <w:rPr>
          <w:color w:val="231F20"/>
          <w:w w:val="105"/>
          <w:sz w:val="19"/>
        </w:rPr>
        <w:t>transfiere</w:t>
      </w:r>
      <w:r>
        <w:rPr>
          <w:color w:val="231F20"/>
          <w:spacing w:val="-7"/>
          <w:w w:val="105"/>
          <w:sz w:val="19"/>
        </w:rPr>
        <w:t> </w:t>
      </w:r>
      <w:r>
        <w:rPr>
          <w:color w:val="231F20"/>
          <w:w w:val="105"/>
          <w:sz w:val="19"/>
        </w:rPr>
        <w:t>poder</w:t>
      </w:r>
      <w:r>
        <w:rPr>
          <w:color w:val="231F20"/>
          <w:spacing w:val="-7"/>
          <w:w w:val="105"/>
          <w:sz w:val="19"/>
        </w:rPr>
        <w:t> </w:t>
      </w:r>
      <w:r>
        <w:rPr>
          <w:color w:val="231F20"/>
          <w:w w:val="105"/>
          <w:sz w:val="19"/>
        </w:rPr>
        <w:t>y</w:t>
      </w:r>
      <w:r>
        <w:rPr>
          <w:color w:val="231F20"/>
          <w:spacing w:val="-7"/>
          <w:w w:val="105"/>
          <w:sz w:val="19"/>
        </w:rPr>
        <w:t> </w:t>
      </w:r>
      <w:r>
        <w:rPr>
          <w:color w:val="231F20"/>
          <w:w w:val="105"/>
          <w:sz w:val="19"/>
        </w:rPr>
        <w:t>politiza</w:t>
      </w:r>
      <w:r>
        <w:rPr>
          <w:color w:val="231F20"/>
          <w:spacing w:val="-7"/>
          <w:w w:val="105"/>
          <w:sz w:val="19"/>
        </w:rPr>
        <w:t> </w:t>
      </w:r>
      <w:r>
        <w:rPr>
          <w:color w:val="231F20"/>
          <w:w w:val="105"/>
          <w:sz w:val="19"/>
        </w:rPr>
        <w:t>una</w:t>
      </w:r>
      <w:r>
        <w:rPr>
          <w:color w:val="231F20"/>
          <w:spacing w:val="-7"/>
          <w:w w:val="105"/>
          <w:sz w:val="19"/>
        </w:rPr>
        <w:t> </w:t>
      </w:r>
      <w:r>
        <w:rPr>
          <w:color w:val="231F20"/>
          <w:w w:val="105"/>
          <w:sz w:val="19"/>
        </w:rPr>
        <w:t>institución</w:t>
      </w:r>
      <w:r>
        <w:rPr>
          <w:color w:val="231F20"/>
          <w:spacing w:val="-7"/>
          <w:w w:val="105"/>
          <w:sz w:val="19"/>
        </w:rPr>
        <w:t> </w:t>
      </w:r>
      <w:r>
        <w:rPr>
          <w:color w:val="231F20"/>
          <w:w w:val="105"/>
          <w:sz w:val="19"/>
        </w:rPr>
        <w:t>que</w:t>
      </w:r>
      <w:r>
        <w:rPr>
          <w:color w:val="231F20"/>
          <w:spacing w:val="-7"/>
          <w:w w:val="105"/>
          <w:sz w:val="19"/>
        </w:rPr>
        <w:t> </w:t>
      </w:r>
      <w:r>
        <w:rPr>
          <w:color w:val="231F20"/>
          <w:w w:val="105"/>
          <w:sz w:val="19"/>
        </w:rPr>
        <w:t>no</w:t>
      </w:r>
      <w:r>
        <w:rPr>
          <w:color w:val="231F20"/>
          <w:spacing w:val="-7"/>
          <w:w w:val="105"/>
          <w:sz w:val="19"/>
        </w:rPr>
        <w:t> </w:t>
      </w:r>
      <w:r>
        <w:rPr>
          <w:color w:val="231F20"/>
          <w:w w:val="105"/>
          <w:sz w:val="19"/>
        </w:rPr>
        <w:t>tiene </w:t>
      </w:r>
      <w:r>
        <w:rPr>
          <w:color w:val="231F20"/>
          <w:sz w:val="19"/>
        </w:rPr>
        <w:t>carácter</w:t>
      </w:r>
      <w:r>
        <w:rPr>
          <w:color w:val="231F20"/>
          <w:spacing w:val="-15"/>
          <w:sz w:val="19"/>
        </w:rPr>
        <w:t> </w:t>
      </w:r>
      <w:r>
        <w:rPr>
          <w:color w:val="231F20"/>
          <w:sz w:val="19"/>
        </w:rPr>
        <w:t>representativo</w:t>
      </w:r>
      <w:r>
        <w:rPr>
          <w:color w:val="231F20"/>
          <w:position w:val="6"/>
          <w:sz w:val="11"/>
        </w:rPr>
        <w:t>33</w:t>
      </w:r>
      <w:r>
        <w:rPr>
          <w:color w:val="231F20"/>
          <w:sz w:val="19"/>
        </w:rPr>
        <w:t>.</w:t>
      </w:r>
    </w:p>
    <w:p>
      <w:pPr>
        <w:pStyle w:val="BodyText"/>
        <w:spacing w:before="11"/>
        <w:rPr>
          <w:sz w:val="23"/>
        </w:rPr>
      </w:pPr>
    </w:p>
    <w:p>
      <w:pPr>
        <w:pStyle w:val="BodyText"/>
        <w:spacing w:line="247" w:lineRule="auto"/>
        <w:ind w:left="117" w:right="101"/>
        <w:jc w:val="both"/>
      </w:pPr>
      <w:r>
        <w:rPr>
          <w:color w:val="231F20"/>
        </w:rPr>
        <w:t>El problema que importa el proceso político que cambia radicalmente las fuentes convencionales de legitimación (entre otras causas por la reduc- ción de la política del bienestar), al tiempo que permite la aparición de nuevas formas de “soberanización”, está ganando terreno precisamente en el espacio político “doméstico” del orden estatal mediante una serie de experiencias históricas que encuentran sus expresiones más relevantes en los fenómenos de subversión institucional</w:t>
      </w:r>
      <w:r>
        <w:rPr>
          <w:color w:val="231F20"/>
          <w:position w:val="7"/>
          <w:sz w:val="12"/>
        </w:rPr>
        <w:t>34</w:t>
      </w:r>
      <w:r>
        <w:rPr>
          <w:color w:val="231F20"/>
        </w:rPr>
        <w:t>, y que producen efectos</w:t>
      </w:r>
      <w:r>
        <w:rPr>
          <w:color w:val="231F20"/>
          <w:spacing w:val="-38"/>
        </w:rPr>
        <w:t> </w:t>
      </w:r>
      <w:r>
        <w:rPr>
          <w:color w:val="231F20"/>
        </w:rPr>
        <w:t>demo- ledores a la legitimidad de las democracias, por lo menos en relación con la institucionalización de un campo de efectividad de la ley y los derechos políticos a lo largo del territorio nacional de los Estados </w:t>
      </w:r>
      <w:r>
        <w:rPr>
          <w:color w:val="231F20"/>
          <w:spacing w:val="22"/>
        </w:rPr>
        <w:t> </w:t>
      </w:r>
      <w:r>
        <w:rPr>
          <w:color w:val="231F20"/>
        </w:rPr>
        <w:t>contemporáneos.</w:t>
      </w:r>
    </w:p>
    <w:p>
      <w:pPr>
        <w:pStyle w:val="BodyText"/>
        <w:spacing w:before="5"/>
        <w:rPr>
          <w:sz w:val="24"/>
        </w:rPr>
      </w:pPr>
    </w:p>
    <w:p>
      <w:pPr>
        <w:spacing w:before="1"/>
        <w:ind w:left="117" w:right="0" w:firstLine="0"/>
        <w:jc w:val="both"/>
        <w:rPr>
          <w:rFonts w:ascii="Arial" w:hAnsi="Arial"/>
          <w:i/>
          <w:sz w:val="21"/>
        </w:rPr>
      </w:pPr>
      <w:r>
        <w:rPr>
          <w:rFonts w:ascii="Arial" w:hAnsi="Arial"/>
          <w:i/>
          <w:color w:val="231F20"/>
          <w:sz w:val="21"/>
        </w:rPr>
        <w:t>Transformaciones del Estado y procesos de</w:t>
      </w:r>
      <w:r>
        <w:rPr>
          <w:rFonts w:ascii="Arial" w:hAnsi="Arial"/>
          <w:i/>
          <w:color w:val="231F20"/>
          <w:spacing w:val="53"/>
          <w:sz w:val="21"/>
        </w:rPr>
        <w:t> </w:t>
      </w:r>
      <w:r>
        <w:rPr>
          <w:rFonts w:ascii="Arial" w:hAnsi="Arial"/>
          <w:i/>
          <w:color w:val="231F20"/>
          <w:sz w:val="21"/>
        </w:rPr>
        <w:t>democratización</w:t>
      </w:r>
    </w:p>
    <w:p>
      <w:pPr>
        <w:pStyle w:val="BodyText"/>
        <w:rPr>
          <w:rFonts w:ascii="Arial"/>
          <w:i/>
          <w:sz w:val="20"/>
        </w:rPr>
      </w:pPr>
    </w:p>
    <w:p>
      <w:pPr>
        <w:pStyle w:val="BodyText"/>
        <w:spacing w:line="247" w:lineRule="auto" w:before="172"/>
        <w:ind w:left="117" w:right="101"/>
        <w:jc w:val="both"/>
      </w:pPr>
      <w:r>
        <w:rPr>
          <w:color w:val="231F20"/>
          <w:w w:val="105"/>
        </w:rPr>
        <w:t>Como hemos discutido, los procesos de democratización que tuvieron lugar desde mediados de los años setenta del siglo </w:t>
      </w:r>
      <w:r>
        <w:rPr>
          <w:color w:val="231F20"/>
          <w:w w:val="105"/>
          <w:sz w:val="18"/>
        </w:rPr>
        <w:t>XX </w:t>
      </w:r>
      <w:r>
        <w:rPr>
          <w:color w:val="231F20"/>
          <w:w w:val="105"/>
        </w:rPr>
        <w:t>y que han conti- nuado</w:t>
      </w:r>
      <w:r>
        <w:rPr>
          <w:color w:val="231F20"/>
          <w:spacing w:val="-8"/>
          <w:w w:val="105"/>
        </w:rPr>
        <w:t> </w:t>
      </w:r>
      <w:r>
        <w:rPr>
          <w:color w:val="231F20"/>
          <w:w w:val="105"/>
        </w:rPr>
        <w:t>con</w:t>
      </w:r>
      <w:r>
        <w:rPr>
          <w:color w:val="231F20"/>
          <w:spacing w:val="-8"/>
          <w:w w:val="105"/>
        </w:rPr>
        <w:t> </w:t>
      </w:r>
      <w:r>
        <w:rPr>
          <w:color w:val="231F20"/>
          <w:w w:val="105"/>
        </w:rPr>
        <w:t>diferente</w:t>
      </w:r>
      <w:r>
        <w:rPr>
          <w:color w:val="231F20"/>
          <w:spacing w:val="-8"/>
          <w:w w:val="105"/>
        </w:rPr>
        <w:t> </w:t>
      </w:r>
      <w:r>
        <w:rPr>
          <w:color w:val="231F20"/>
          <w:w w:val="105"/>
        </w:rPr>
        <w:t>ritmo</w:t>
      </w:r>
      <w:r>
        <w:rPr>
          <w:color w:val="231F20"/>
          <w:spacing w:val="-8"/>
          <w:w w:val="105"/>
        </w:rPr>
        <w:t> </w:t>
      </w:r>
      <w:r>
        <w:rPr>
          <w:color w:val="231F20"/>
          <w:w w:val="105"/>
        </w:rPr>
        <w:t>y</w:t>
      </w:r>
      <w:r>
        <w:rPr>
          <w:color w:val="231F20"/>
          <w:spacing w:val="-8"/>
          <w:w w:val="105"/>
        </w:rPr>
        <w:t> </w:t>
      </w:r>
      <w:r>
        <w:rPr>
          <w:color w:val="231F20"/>
          <w:w w:val="105"/>
        </w:rPr>
        <w:t>éxito</w:t>
      </w:r>
      <w:r>
        <w:rPr>
          <w:color w:val="231F20"/>
          <w:spacing w:val="-8"/>
          <w:w w:val="105"/>
        </w:rPr>
        <w:t> </w:t>
      </w:r>
      <w:r>
        <w:rPr>
          <w:color w:val="231F20"/>
          <w:w w:val="105"/>
        </w:rPr>
        <w:t>hasta</w:t>
      </w:r>
      <w:r>
        <w:rPr>
          <w:color w:val="231F20"/>
          <w:spacing w:val="-8"/>
          <w:w w:val="105"/>
        </w:rPr>
        <w:t> </w:t>
      </w:r>
      <w:r>
        <w:rPr>
          <w:color w:val="231F20"/>
          <w:w w:val="105"/>
        </w:rPr>
        <w:t>el</w:t>
      </w:r>
      <w:r>
        <w:rPr>
          <w:color w:val="231F20"/>
          <w:spacing w:val="-8"/>
          <w:w w:val="105"/>
        </w:rPr>
        <w:t> </w:t>
      </w:r>
      <w:r>
        <w:rPr>
          <w:color w:val="231F20"/>
          <w:w w:val="105"/>
        </w:rPr>
        <w:t>día</w:t>
      </w:r>
      <w:r>
        <w:rPr>
          <w:color w:val="231F20"/>
          <w:spacing w:val="-8"/>
          <w:w w:val="105"/>
        </w:rPr>
        <w:t> </w:t>
      </w:r>
      <w:r>
        <w:rPr>
          <w:color w:val="231F20"/>
          <w:w w:val="105"/>
        </w:rPr>
        <w:t>de</w:t>
      </w:r>
      <w:r>
        <w:rPr>
          <w:color w:val="231F20"/>
          <w:spacing w:val="-8"/>
          <w:w w:val="105"/>
        </w:rPr>
        <w:t> </w:t>
      </w:r>
      <w:r>
        <w:rPr>
          <w:color w:val="231F20"/>
          <w:w w:val="105"/>
        </w:rPr>
        <w:t>hoy</w:t>
      </w:r>
      <w:r>
        <w:rPr>
          <w:color w:val="231F20"/>
          <w:spacing w:val="-8"/>
          <w:w w:val="105"/>
        </w:rPr>
        <w:t> </w:t>
      </w:r>
      <w:r>
        <w:rPr>
          <w:color w:val="231F20"/>
          <w:w w:val="105"/>
        </w:rPr>
        <w:t>en</w:t>
      </w:r>
      <w:r>
        <w:rPr>
          <w:color w:val="231F20"/>
          <w:spacing w:val="-8"/>
          <w:w w:val="105"/>
        </w:rPr>
        <w:t> </w:t>
      </w:r>
      <w:r>
        <w:rPr>
          <w:color w:val="231F20"/>
          <w:w w:val="105"/>
        </w:rPr>
        <w:t>diversas</w:t>
      </w:r>
      <w:r>
        <w:rPr>
          <w:color w:val="231F20"/>
          <w:spacing w:val="-8"/>
          <w:w w:val="105"/>
        </w:rPr>
        <w:t> </w:t>
      </w:r>
      <w:r>
        <w:rPr>
          <w:color w:val="231F20"/>
          <w:w w:val="105"/>
        </w:rPr>
        <w:t>partes del</w:t>
      </w:r>
      <w:r>
        <w:rPr>
          <w:color w:val="231F20"/>
          <w:spacing w:val="-10"/>
          <w:w w:val="105"/>
        </w:rPr>
        <w:t> </w:t>
      </w:r>
      <w:r>
        <w:rPr>
          <w:color w:val="231F20"/>
          <w:w w:val="105"/>
        </w:rPr>
        <w:t>mundo,</w:t>
      </w:r>
      <w:r>
        <w:rPr>
          <w:color w:val="231F20"/>
          <w:spacing w:val="-10"/>
          <w:w w:val="105"/>
        </w:rPr>
        <w:t> </w:t>
      </w:r>
      <w:r>
        <w:rPr>
          <w:color w:val="231F20"/>
          <w:w w:val="105"/>
        </w:rPr>
        <w:t>han</w:t>
      </w:r>
      <w:r>
        <w:rPr>
          <w:color w:val="231F20"/>
          <w:spacing w:val="-10"/>
          <w:w w:val="105"/>
        </w:rPr>
        <w:t> </w:t>
      </w:r>
      <w:r>
        <w:rPr>
          <w:color w:val="231F20"/>
          <w:w w:val="105"/>
        </w:rPr>
        <w:t>producido</w:t>
      </w:r>
      <w:r>
        <w:rPr>
          <w:color w:val="231F20"/>
          <w:spacing w:val="-10"/>
          <w:w w:val="105"/>
        </w:rPr>
        <w:t> </w:t>
      </w:r>
      <w:r>
        <w:rPr>
          <w:color w:val="231F20"/>
          <w:w w:val="105"/>
        </w:rPr>
        <w:t>una</w:t>
      </w:r>
      <w:r>
        <w:rPr>
          <w:color w:val="231F20"/>
          <w:spacing w:val="-10"/>
          <w:w w:val="105"/>
        </w:rPr>
        <w:t> </w:t>
      </w:r>
      <w:r>
        <w:rPr>
          <w:color w:val="231F20"/>
          <w:w w:val="105"/>
        </w:rPr>
        <w:t>serie</w:t>
      </w:r>
      <w:r>
        <w:rPr>
          <w:color w:val="231F20"/>
          <w:spacing w:val="-10"/>
          <w:w w:val="105"/>
        </w:rPr>
        <w:t> </w:t>
      </w:r>
      <w:r>
        <w:rPr>
          <w:color w:val="231F20"/>
          <w:w w:val="105"/>
        </w:rPr>
        <w:t>de</w:t>
      </w:r>
      <w:r>
        <w:rPr>
          <w:color w:val="231F20"/>
          <w:spacing w:val="-10"/>
          <w:w w:val="105"/>
        </w:rPr>
        <w:t> </w:t>
      </w:r>
      <w:r>
        <w:rPr>
          <w:color w:val="231F20"/>
          <w:w w:val="105"/>
        </w:rPr>
        <w:t>manifestaciones</w:t>
      </w:r>
      <w:r>
        <w:rPr>
          <w:color w:val="231F20"/>
          <w:spacing w:val="-10"/>
          <w:w w:val="105"/>
        </w:rPr>
        <w:t> </w:t>
      </w:r>
      <w:r>
        <w:rPr>
          <w:color w:val="231F20"/>
          <w:w w:val="105"/>
        </w:rPr>
        <w:t>políticas,</w:t>
      </w:r>
      <w:r>
        <w:rPr>
          <w:color w:val="231F20"/>
          <w:spacing w:val="-10"/>
          <w:w w:val="105"/>
        </w:rPr>
        <w:t> </w:t>
      </w:r>
      <w:r>
        <w:rPr>
          <w:color w:val="231F20"/>
          <w:w w:val="105"/>
        </w:rPr>
        <w:t>socia- les,</w:t>
      </w:r>
      <w:r>
        <w:rPr>
          <w:color w:val="231F20"/>
          <w:spacing w:val="-15"/>
          <w:w w:val="105"/>
        </w:rPr>
        <w:t> </w:t>
      </w:r>
      <w:r>
        <w:rPr>
          <w:color w:val="231F20"/>
          <w:w w:val="105"/>
        </w:rPr>
        <w:t>económicas,</w:t>
      </w:r>
      <w:r>
        <w:rPr>
          <w:color w:val="231F20"/>
          <w:spacing w:val="-15"/>
          <w:w w:val="105"/>
        </w:rPr>
        <w:t> </w:t>
      </w:r>
      <w:r>
        <w:rPr>
          <w:color w:val="231F20"/>
          <w:w w:val="105"/>
        </w:rPr>
        <w:t>incluso</w:t>
      </w:r>
      <w:r>
        <w:rPr>
          <w:color w:val="231F20"/>
          <w:spacing w:val="-15"/>
          <w:w w:val="105"/>
        </w:rPr>
        <w:t> </w:t>
      </w:r>
      <w:r>
        <w:rPr>
          <w:color w:val="231F20"/>
          <w:w w:val="105"/>
        </w:rPr>
        <w:t>culturales,</w:t>
      </w:r>
      <w:r>
        <w:rPr>
          <w:color w:val="231F20"/>
          <w:spacing w:val="-15"/>
          <w:w w:val="105"/>
        </w:rPr>
        <w:t> </w:t>
      </w:r>
      <w:r>
        <w:rPr>
          <w:color w:val="231F20"/>
          <w:w w:val="105"/>
        </w:rPr>
        <w:t>que</w:t>
      </w:r>
      <w:r>
        <w:rPr>
          <w:color w:val="231F20"/>
          <w:spacing w:val="-15"/>
          <w:w w:val="105"/>
        </w:rPr>
        <w:t> </w:t>
      </w:r>
      <w:r>
        <w:rPr>
          <w:color w:val="231F20"/>
          <w:w w:val="105"/>
        </w:rPr>
        <w:t>aceleraron</w:t>
      </w:r>
      <w:r>
        <w:rPr>
          <w:color w:val="231F20"/>
          <w:spacing w:val="-15"/>
          <w:w w:val="105"/>
        </w:rPr>
        <w:t> </w:t>
      </w:r>
      <w:r>
        <w:rPr>
          <w:color w:val="231F20"/>
          <w:w w:val="105"/>
        </w:rPr>
        <w:t>la</w:t>
      </w:r>
      <w:r>
        <w:rPr>
          <w:color w:val="231F20"/>
          <w:spacing w:val="-15"/>
          <w:w w:val="105"/>
        </w:rPr>
        <w:t> </w:t>
      </w:r>
      <w:r>
        <w:rPr>
          <w:color w:val="231F20"/>
          <w:w w:val="105"/>
        </w:rPr>
        <w:t>transformación</w:t>
      </w:r>
      <w:r>
        <w:rPr>
          <w:color w:val="231F20"/>
          <w:spacing w:val="-15"/>
          <w:w w:val="105"/>
        </w:rPr>
        <w:t> </w:t>
      </w:r>
      <w:r>
        <w:rPr>
          <w:color w:val="231F20"/>
          <w:w w:val="105"/>
        </w:rPr>
        <w:t>del espacio político “convencional” de las democracias, tanto en el seno de diversas</w:t>
      </w:r>
      <w:r>
        <w:rPr>
          <w:color w:val="231F20"/>
          <w:spacing w:val="-8"/>
          <w:w w:val="105"/>
        </w:rPr>
        <w:t> </w:t>
      </w:r>
      <w:r>
        <w:rPr>
          <w:color w:val="231F20"/>
          <w:w w:val="105"/>
        </w:rPr>
        <w:t>experiencias</w:t>
      </w:r>
      <w:r>
        <w:rPr>
          <w:color w:val="231F20"/>
          <w:spacing w:val="-8"/>
          <w:w w:val="105"/>
        </w:rPr>
        <w:t> </w:t>
      </w:r>
      <w:r>
        <w:rPr>
          <w:color w:val="231F20"/>
          <w:w w:val="105"/>
        </w:rPr>
        <w:t>democráticas</w:t>
      </w:r>
      <w:r>
        <w:rPr>
          <w:color w:val="231F20"/>
          <w:spacing w:val="-8"/>
          <w:w w:val="105"/>
        </w:rPr>
        <w:t> </w:t>
      </w:r>
      <w:r>
        <w:rPr>
          <w:color w:val="231F20"/>
          <w:w w:val="105"/>
        </w:rPr>
        <w:t>nacientes</w:t>
      </w:r>
      <w:r>
        <w:rPr>
          <w:color w:val="231F20"/>
          <w:spacing w:val="-8"/>
          <w:w w:val="105"/>
        </w:rPr>
        <w:t> </w:t>
      </w:r>
      <w:r>
        <w:rPr>
          <w:color w:val="231F20"/>
          <w:w w:val="105"/>
        </w:rPr>
        <w:t>como</w:t>
      </w:r>
      <w:r>
        <w:rPr>
          <w:color w:val="231F20"/>
          <w:spacing w:val="-8"/>
          <w:w w:val="105"/>
        </w:rPr>
        <w:t> </w:t>
      </w:r>
      <w:r>
        <w:rPr>
          <w:color w:val="231F20"/>
          <w:w w:val="105"/>
        </w:rPr>
        <w:t>en</w:t>
      </w:r>
      <w:r>
        <w:rPr>
          <w:color w:val="231F20"/>
          <w:spacing w:val="-8"/>
          <w:w w:val="105"/>
        </w:rPr>
        <w:t> </w:t>
      </w:r>
      <w:r>
        <w:rPr>
          <w:color w:val="231F20"/>
          <w:w w:val="105"/>
        </w:rPr>
        <w:t>aquellas</w:t>
      </w:r>
      <w:r>
        <w:rPr>
          <w:color w:val="231F20"/>
          <w:spacing w:val="-8"/>
          <w:w w:val="105"/>
        </w:rPr>
        <w:t> </w:t>
      </w:r>
      <w:r>
        <w:rPr>
          <w:color w:val="231F20"/>
          <w:w w:val="105"/>
        </w:rPr>
        <w:t>consoli- dadas</w:t>
      </w:r>
      <w:r>
        <w:rPr>
          <w:color w:val="231F20"/>
          <w:w w:val="105"/>
          <w:position w:val="7"/>
          <w:sz w:val="12"/>
        </w:rPr>
        <w:t>35</w:t>
      </w:r>
      <w:r>
        <w:rPr>
          <w:color w:val="231F20"/>
          <w:w w:val="105"/>
        </w:rPr>
        <w:t>.</w:t>
      </w:r>
      <w:r>
        <w:rPr>
          <w:color w:val="231F20"/>
          <w:spacing w:val="-28"/>
          <w:w w:val="105"/>
        </w:rPr>
        <w:t> </w:t>
      </w:r>
      <w:r>
        <w:rPr>
          <w:color w:val="231F20"/>
          <w:w w:val="105"/>
        </w:rPr>
        <w:t>Pero,</w:t>
      </w:r>
      <w:r>
        <w:rPr>
          <w:color w:val="231F20"/>
          <w:spacing w:val="-28"/>
          <w:w w:val="105"/>
        </w:rPr>
        <w:t> </w:t>
      </w:r>
      <w:r>
        <w:rPr>
          <w:color w:val="231F20"/>
          <w:w w:val="105"/>
        </w:rPr>
        <w:t>¿de</w:t>
      </w:r>
      <w:r>
        <w:rPr>
          <w:color w:val="231F20"/>
          <w:spacing w:val="-28"/>
          <w:w w:val="105"/>
        </w:rPr>
        <w:t> </w:t>
      </w:r>
      <w:r>
        <w:rPr>
          <w:color w:val="231F20"/>
          <w:w w:val="105"/>
        </w:rPr>
        <w:t>qué</w:t>
      </w:r>
      <w:r>
        <w:rPr>
          <w:color w:val="231F20"/>
          <w:spacing w:val="-28"/>
          <w:w w:val="105"/>
        </w:rPr>
        <w:t> </w:t>
      </w:r>
      <w:r>
        <w:rPr>
          <w:color w:val="231F20"/>
          <w:w w:val="105"/>
        </w:rPr>
        <w:t>expresiones</w:t>
      </w:r>
      <w:r>
        <w:rPr>
          <w:color w:val="231F20"/>
          <w:spacing w:val="-28"/>
          <w:w w:val="105"/>
        </w:rPr>
        <w:t> </w:t>
      </w:r>
      <w:r>
        <w:rPr>
          <w:color w:val="231F20"/>
          <w:w w:val="105"/>
        </w:rPr>
        <w:t>estamos</w:t>
      </w:r>
      <w:r>
        <w:rPr>
          <w:color w:val="231F20"/>
          <w:spacing w:val="-28"/>
          <w:w w:val="105"/>
        </w:rPr>
        <w:t> </w:t>
      </w:r>
      <w:r>
        <w:rPr>
          <w:color w:val="231F20"/>
          <w:w w:val="105"/>
        </w:rPr>
        <w:t>hablando?</w:t>
      </w:r>
      <w:r>
        <w:rPr>
          <w:color w:val="231F20"/>
          <w:spacing w:val="-28"/>
          <w:w w:val="105"/>
        </w:rPr>
        <w:t> </w:t>
      </w:r>
      <w:r>
        <w:rPr>
          <w:color w:val="231F20"/>
          <w:w w:val="105"/>
        </w:rPr>
        <w:t>Es</w:t>
      </w:r>
      <w:r>
        <w:rPr>
          <w:color w:val="231F20"/>
          <w:spacing w:val="-28"/>
          <w:w w:val="105"/>
        </w:rPr>
        <w:t> </w:t>
      </w:r>
      <w:r>
        <w:rPr>
          <w:color w:val="231F20"/>
          <w:spacing w:val="-4"/>
          <w:w w:val="105"/>
        </w:rPr>
        <w:t>decir,</w:t>
      </w:r>
      <w:r>
        <w:rPr>
          <w:color w:val="231F20"/>
          <w:spacing w:val="-28"/>
          <w:w w:val="105"/>
        </w:rPr>
        <w:t> </w:t>
      </w:r>
      <w:r>
        <w:rPr>
          <w:color w:val="231F20"/>
          <w:w w:val="105"/>
        </w:rPr>
        <w:t>¿qué</w:t>
      </w:r>
      <w:r>
        <w:rPr>
          <w:color w:val="231F20"/>
          <w:spacing w:val="-28"/>
          <w:w w:val="105"/>
        </w:rPr>
        <w:t> </w:t>
      </w:r>
      <w:r>
        <w:rPr>
          <w:color w:val="231F20"/>
          <w:w w:val="105"/>
        </w:rPr>
        <w:t>tipo</w:t>
      </w:r>
    </w:p>
    <w:p>
      <w:pPr>
        <w:pStyle w:val="BodyText"/>
        <w:spacing w:before="10"/>
        <w:rPr>
          <w:sz w:val="29"/>
        </w:rPr>
      </w:pPr>
      <w:r>
        <w:rPr/>
        <w:pict>
          <v:line style="position:absolute;mso-position-horizontal-relative:page;mso-position-vertical-relative:paragraph;z-index:6640;mso-wrap-distance-left:0;mso-wrap-distance-right:0" from="70.866096pt,20.117989pt" to="184.252096pt,20.117989pt" stroked="true" strokeweight=".3pt" strokecolor="#231f20">
            <w10:wrap type="topAndBottom"/>
          </v:line>
        </w:pict>
      </w:r>
    </w:p>
    <w:p>
      <w:pPr>
        <w:spacing w:line="206" w:lineRule="exact" w:before="10"/>
        <w:ind w:left="117" w:right="0" w:firstLine="0"/>
        <w:jc w:val="both"/>
        <w:rPr>
          <w:rFonts w:ascii="Calibri"/>
          <w:sz w:val="17"/>
        </w:rPr>
      </w:pPr>
      <w:r>
        <w:rPr>
          <w:rFonts w:ascii="Calibri"/>
          <w:color w:val="231F20"/>
          <w:position w:val="6"/>
          <w:sz w:val="10"/>
        </w:rPr>
        <w:t>33  </w:t>
      </w:r>
      <w:r>
        <w:rPr>
          <w:rFonts w:ascii="Calibri"/>
          <w:color w:val="231F20"/>
          <w:sz w:val="17"/>
        </w:rPr>
        <w:t>Brown, p. 65.</w:t>
      </w:r>
    </w:p>
    <w:p>
      <w:pPr>
        <w:spacing w:line="235" w:lineRule="auto" w:before="1"/>
        <w:ind w:left="117" w:right="102" w:firstLine="0"/>
        <w:jc w:val="both"/>
        <w:rPr>
          <w:rFonts w:ascii="Calibri" w:hAnsi="Calibri"/>
          <w:sz w:val="17"/>
        </w:rPr>
      </w:pPr>
      <w:r>
        <w:rPr>
          <w:rFonts w:ascii="Calibri" w:hAnsi="Calibri"/>
          <w:color w:val="231F20"/>
          <w:w w:val="105"/>
          <w:position w:val="6"/>
          <w:sz w:val="10"/>
        </w:rPr>
        <w:t>34</w:t>
      </w:r>
      <w:r>
        <w:rPr>
          <w:rFonts w:ascii="Calibri" w:hAnsi="Calibri"/>
          <w:color w:val="231F20"/>
          <w:spacing w:val="6"/>
          <w:w w:val="105"/>
          <w:position w:val="6"/>
          <w:sz w:val="10"/>
        </w:rPr>
        <w:t> </w:t>
      </w:r>
      <w:r>
        <w:rPr>
          <w:rFonts w:ascii="Calibri" w:hAnsi="Calibri"/>
          <w:color w:val="231F20"/>
          <w:w w:val="105"/>
          <w:sz w:val="17"/>
        </w:rPr>
        <w:t>Algunas</w:t>
      </w:r>
      <w:r>
        <w:rPr>
          <w:rFonts w:ascii="Calibri" w:hAnsi="Calibri"/>
          <w:color w:val="231F20"/>
          <w:spacing w:val="-11"/>
          <w:w w:val="105"/>
          <w:sz w:val="17"/>
        </w:rPr>
        <w:t> </w:t>
      </w:r>
      <w:r>
        <w:rPr>
          <w:rFonts w:ascii="Calibri" w:hAnsi="Calibri"/>
          <w:color w:val="231F20"/>
          <w:w w:val="105"/>
          <w:sz w:val="17"/>
        </w:rPr>
        <w:t>son</w:t>
      </w:r>
      <w:r>
        <w:rPr>
          <w:rFonts w:ascii="Calibri" w:hAnsi="Calibri"/>
          <w:color w:val="231F20"/>
          <w:spacing w:val="-11"/>
          <w:w w:val="105"/>
          <w:sz w:val="17"/>
        </w:rPr>
        <w:t> </w:t>
      </w:r>
      <w:r>
        <w:rPr>
          <w:rFonts w:ascii="Calibri" w:hAnsi="Calibri"/>
          <w:color w:val="231F20"/>
          <w:w w:val="105"/>
          <w:sz w:val="17"/>
        </w:rPr>
        <w:t>el</w:t>
      </w:r>
      <w:r>
        <w:rPr>
          <w:rFonts w:ascii="Calibri" w:hAnsi="Calibri"/>
          <w:color w:val="231F20"/>
          <w:spacing w:val="-11"/>
          <w:w w:val="105"/>
          <w:sz w:val="17"/>
        </w:rPr>
        <w:t> </w:t>
      </w:r>
      <w:r>
        <w:rPr>
          <w:rFonts w:ascii="Calibri" w:hAnsi="Calibri"/>
          <w:color w:val="231F20"/>
          <w:w w:val="105"/>
          <w:sz w:val="17"/>
        </w:rPr>
        <w:t>crimen</w:t>
      </w:r>
      <w:r>
        <w:rPr>
          <w:rFonts w:ascii="Calibri" w:hAnsi="Calibri"/>
          <w:color w:val="231F20"/>
          <w:spacing w:val="-11"/>
          <w:w w:val="105"/>
          <w:sz w:val="17"/>
        </w:rPr>
        <w:t> </w:t>
      </w:r>
      <w:r>
        <w:rPr>
          <w:rFonts w:ascii="Calibri" w:hAnsi="Calibri"/>
          <w:color w:val="231F20"/>
          <w:w w:val="105"/>
          <w:sz w:val="17"/>
        </w:rPr>
        <w:t>organizado</w:t>
      </w:r>
      <w:r>
        <w:rPr>
          <w:rFonts w:ascii="Calibri" w:hAnsi="Calibri"/>
          <w:color w:val="231F20"/>
          <w:spacing w:val="-11"/>
          <w:w w:val="105"/>
          <w:sz w:val="17"/>
        </w:rPr>
        <w:t> </w:t>
      </w:r>
      <w:r>
        <w:rPr>
          <w:rFonts w:ascii="Calibri" w:hAnsi="Calibri"/>
          <w:color w:val="231F20"/>
          <w:w w:val="105"/>
          <w:sz w:val="17"/>
        </w:rPr>
        <w:t>nacional</w:t>
      </w:r>
      <w:r>
        <w:rPr>
          <w:rFonts w:ascii="Calibri" w:hAnsi="Calibri"/>
          <w:color w:val="231F20"/>
          <w:spacing w:val="-12"/>
          <w:w w:val="105"/>
          <w:sz w:val="17"/>
        </w:rPr>
        <w:t> </w:t>
      </w:r>
      <w:r>
        <w:rPr>
          <w:rFonts w:ascii="Calibri" w:hAnsi="Calibri"/>
          <w:color w:val="231F20"/>
          <w:w w:val="105"/>
          <w:sz w:val="17"/>
        </w:rPr>
        <w:t>y</w:t>
      </w:r>
      <w:r>
        <w:rPr>
          <w:rFonts w:ascii="Calibri" w:hAnsi="Calibri"/>
          <w:color w:val="231F20"/>
          <w:spacing w:val="-11"/>
          <w:w w:val="105"/>
          <w:sz w:val="17"/>
        </w:rPr>
        <w:t> </w:t>
      </w:r>
      <w:r>
        <w:rPr>
          <w:rFonts w:ascii="Calibri" w:hAnsi="Calibri"/>
          <w:color w:val="231F20"/>
          <w:w w:val="105"/>
          <w:sz w:val="17"/>
        </w:rPr>
        <w:t>transnacional,</w:t>
      </w:r>
      <w:r>
        <w:rPr>
          <w:rFonts w:ascii="Calibri" w:hAnsi="Calibri"/>
          <w:color w:val="231F20"/>
          <w:spacing w:val="-11"/>
          <w:w w:val="105"/>
          <w:sz w:val="17"/>
        </w:rPr>
        <w:t> </w:t>
      </w:r>
      <w:r>
        <w:rPr>
          <w:rFonts w:ascii="Calibri" w:hAnsi="Calibri"/>
          <w:color w:val="231F20"/>
          <w:w w:val="105"/>
          <w:sz w:val="17"/>
        </w:rPr>
        <w:t>el</w:t>
      </w:r>
      <w:r>
        <w:rPr>
          <w:rFonts w:ascii="Calibri" w:hAnsi="Calibri"/>
          <w:color w:val="231F20"/>
          <w:spacing w:val="-11"/>
          <w:w w:val="105"/>
          <w:sz w:val="17"/>
        </w:rPr>
        <w:t> </w:t>
      </w:r>
      <w:r>
        <w:rPr>
          <w:rFonts w:ascii="Calibri" w:hAnsi="Calibri"/>
          <w:color w:val="231F20"/>
          <w:w w:val="105"/>
          <w:sz w:val="17"/>
        </w:rPr>
        <w:t>paramilitarismo,</w:t>
      </w:r>
      <w:r>
        <w:rPr>
          <w:rFonts w:ascii="Calibri" w:hAnsi="Calibri"/>
          <w:color w:val="231F20"/>
          <w:spacing w:val="-11"/>
          <w:w w:val="105"/>
          <w:sz w:val="17"/>
        </w:rPr>
        <w:t> </w:t>
      </w:r>
      <w:r>
        <w:rPr>
          <w:rFonts w:ascii="Calibri" w:hAnsi="Calibri"/>
          <w:color w:val="231F20"/>
          <w:w w:val="105"/>
          <w:sz w:val="17"/>
        </w:rPr>
        <w:t>el</w:t>
      </w:r>
      <w:r>
        <w:rPr>
          <w:rFonts w:ascii="Calibri" w:hAnsi="Calibri"/>
          <w:color w:val="231F20"/>
          <w:spacing w:val="-11"/>
          <w:w w:val="105"/>
          <w:sz w:val="17"/>
        </w:rPr>
        <w:t> </w:t>
      </w:r>
      <w:r>
        <w:rPr>
          <w:rFonts w:ascii="Calibri" w:hAnsi="Calibri"/>
          <w:color w:val="231F20"/>
          <w:w w:val="105"/>
          <w:sz w:val="17"/>
        </w:rPr>
        <w:t>fenómeno</w:t>
      </w:r>
      <w:r>
        <w:rPr>
          <w:rFonts w:ascii="Calibri" w:hAnsi="Calibri"/>
          <w:color w:val="231F20"/>
          <w:spacing w:val="-11"/>
          <w:w w:val="105"/>
          <w:sz w:val="17"/>
        </w:rPr>
        <w:t> </w:t>
      </w:r>
      <w:r>
        <w:rPr>
          <w:rFonts w:ascii="Calibri" w:hAnsi="Calibri"/>
          <w:color w:val="231F20"/>
          <w:w w:val="105"/>
          <w:sz w:val="17"/>
        </w:rPr>
        <w:t>del “vigilantismo”</w:t>
      </w:r>
      <w:r>
        <w:rPr>
          <w:rFonts w:ascii="Calibri" w:hAnsi="Calibri"/>
          <w:color w:val="231F20"/>
          <w:spacing w:val="-21"/>
          <w:w w:val="105"/>
          <w:sz w:val="17"/>
        </w:rPr>
        <w:t> </w:t>
      </w:r>
      <w:r>
        <w:rPr>
          <w:rFonts w:ascii="Calibri" w:hAnsi="Calibri"/>
          <w:color w:val="231F20"/>
          <w:w w:val="105"/>
          <w:sz w:val="17"/>
        </w:rPr>
        <w:t>y</w:t>
      </w:r>
      <w:r>
        <w:rPr>
          <w:rFonts w:ascii="Calibri" w:hAnsi="Calibri"/>
          <w:color w:val="231F20"/>
          <w:spacing w:val="-20"/>
          <w:w w:val="105"/>
          <w:sz w:val="17"/>
        </w:rPr>
        <w:t> </w:t>
      </w:r>
      <w:r>
        <w:rPr>
          <w:rFonts w:ascii="Calibri" w:hAnsi="Calibri"/>
          <w:color w:val="231F20"/>
          <w:w w:val="105"/>
          <w:sz w:val="17"/>
        </w:rPr>
        <w:t>grupos</w:t>
      </w:r>
      <w:r>
        <w:rPr>
          <w:rFonts w:ascii="Calibri" w:hAnsi="Calibri"/>
          <w:color w:val="231F20"/>
          <w:spacing w:val="-20"/>
          <w:w w:val="105"/>
          <w:sz w:val="17"/>
        </w:rPr>
        <w:t> </w:t>
      </w:r>
      <w:r>
        <w:rPr>
          <w:rFonts w:ascii="Calibri" w:hAnsi="Calibri"/>
          <w:color w:val="231F20"/>
          <w:w w:val="105"/>
          <w:sz w:val="17"/>
        </w:rPr>
        <w:t>armados</w:t>
      </w:r>
      <w:r>
        <w:rPr>
          <w:rFonts w:ascii="Calibri" w:hAnsi="Calibri"/>
          <w:color w:val="231F20"/>
          <w:spacing w:val="-20"/>
          <w:w w:val="105"/>
          <w:sz w:val="17"/>
        </w:rPr>
        <w:t> </w:t>
      </w:r>
      <w:r>
        <w:rPr>
          <w:rFonts w:ascii="Calibri" w:hAnsi="Calibri"/>
          <w:color w:val="231F20"/>
          <w:w w:val="105"/>
          <w:sz w:val="17"/>
        </w:rPr>
        <w:t>de</w:t>
      </w:r>
      <w:r>
        <w:rPr>
          <w:rFonts w:ascii="Calibri" w:hAnsi="Calibri"/>
          <w:color w:val="231F20"/>
          <w:spacing w:val="-20"/>
          <w:w w:val="105"/>
          <w:sz w:val="17"/>
        </w:rPr>
        <w:t> </w:t>
      </w:r>
      <w:r>
        <w:rPr>
          <w:rFonts w:ascii="Calibri" w:hAnsi="Calibri"/>
          <w:color w:val="231F20"/>
          <w:w w:val="105"/>
          <w:sz w:val="17"/>
        </w:rPr>
        <w:t>autodefensa,</w:t>
      </w:r>
      <w:r>
        <w:rPr>
          <w:rFonts w:ascii="Calibri" w:hAnsi="Calibri"/>
          <w:color w:val="231F20"/>
          <w:spacing w:val="-20"/>
          <w:w w:val="105"/>
          <w:sz w:val="17"/>
        </w:rPr>
        <w:t> </w:t>
      </w:r>
      <w:r>
        <w:rPr>
          <w:rFonts w:ascii="Calibri" w:hAnsi="Calibri"/>
          <w:color w:val="231F20"/>
          <w:w w:val="105"/>
          <w:sz w:val="17"/>
        </w:rPr>
        <w:t>etcétera.</w:t>
      </w:r>
    </w:p>
    <w:p>
      <w:pPr>
        <w:spacing w:line="235" w:lineRule="auto" w:before="0"/>
        <w:ind w:left="117" w:right="101" w:firstLine="0"/>
        <w:jc w:val="both"/>
        <w:rPr>
          <w:rFonts w:ascii="Calibri" w:hAnsi="Calibri"/>
          <w:sz w:val="17"/>
        </w:rPr>
      </w:pPr>
      <w:r>
        <w:rPr>
          <w:rFonts w:ascii="Calibri" w:hAnsi="Calibri"/>
          <w:color w:val="231F20"/>
          <w:position w:val="6"/>
          <w:sz w:val="10"/>
        </w:rPr>
        <w:t>35</w:t>
      </w:r>
      <w:r>
        <w:rPr>
          <w:rFonts w:ascii="Calibri" w:hAnsi="Calibri"/>
          <w:color w:val="231F20"/>
          <w:spacing w:val="10"/>
          <w:position w:val="6"/>
          <w:sz w:val="10"/>
        </w:rPr>
        <w:t> </w:t>
      </w:r>
      <w:r>
        <w:rPr>
          <w:rFonts w:ascii="Calibri" w:hAnsi="Calibri"/>
          <w:color w:val="231F20"/>
          <w:sz w:val="17"/>
        </w:rPr>
        <w:t>Covarrubias,</w:t>
      </w:r>
      <w:r>
        <w:rPr>
          <w:rFonts w:ascii="Calibri" w:hAnsi="Calibri"/>
          <w:color w:val="231F20"/>
          <w:spacing w:val="-5"/>
          <w:sz w:val="17"/>
        </w:rPr>
        <w:t> </w:t>
      </w:r>
      <w:r>
        <w:rPr>
          <w:rFonts w:ascii="Calibri" w:hAnsi="Calibri"/>
          <w:i/>
          <w:color w:val="231F20"/>
          <w:sz w:val="17"/>
        </w:rPr>
        <w:t>Los</w:t>
      </w:r>
      <w:r>
        <w:rPr>
          <w:rFonts w:ascii="Calibri" w:hAnsi="Calibri"/>
          <w:i/>
          <w:color w:val="231F20"/>
          <w:spacing w:val="-6"/>
          <w:sz w:val="17"/>
        </w:rPr>
        <w:t> </w:t>
      </w:r>
      <w:r>
        <w:rPr>
          <w:rFonts w:ascii="Calibri" w:hAnsi="Calibri"/>
          <w:i/>
          <w:color w:val="231F20"/>
          <w:sz w:val="17"/>
        </w:rPr>
        <w:t>espejos</w:t>
      </w:r>
      <w:r>
        <w:rPr>
          <w:rFonts w:ascii="Calibri" w:hAnsi="Calibri"/>
          <w:i/>
          <w:color w:val="231F20"/>
          <w:spacing w:val="-6"/>
          <w:sz w:val="17"/>
        </w:rPr>
        <w:t> </w:t>
      </w:r>
      <w:r>
        <w:rPr>
          <w:rFonts w:ascii="Calibri" w:hAnsi="Calibri"/>
          <w:i/>
          <w:color w:val="231F20"/>
          <w:sz w:val="17"/>
        </w:rPr>
        <w:t>de</w:t>
      </w:r>
      <w:r>
        <w:rPr>
          <w:rFonts w:ascii="Calibri" w:hAnsi="Calibri"/>
          <w:i/>
          <w:color w:val="231F20"/>
          <w:spacing w:val="-6"/>
          <w:sz w:val="17"/>
        </w:rPr>
        <w:t> </w:t>
      </w:r>
      <w:r>
        <w:rPr>
          <w:rFonts w:ascii="Calibri" w:hAnsi="Calibri"/>
          <w:i/>
          <w:color w:val="231F20"/>
          <w:sz w:val="17"/>
        </w:rPr>
        <w:t>la</w:t>
      </w:r>
      <w:r>
        <w:rPr>
          <w:rFonts w:ascii="Calibri" w:hAnsi="Calibri"/>
          <w:i/>
          <w:color w:val="231F20"/>
          <w:spacing w:val="-6"/>
          <w:sz w:val="17"/>
        </w:rPr>
        <w:t> </w:t>
      </w:r>
      <w:r>
        <w:rPr>
          <w:rFonts w:ascii="Calibri" w:hAnsi="Calibri"/>
          <w:i/>
          <w:color w:val="231F20"/>
          <w:sz w:val="17"/>
        </w:rPr>
        <w:t>democracia.</w:t>
      </w:r>
      <w:r>
        <w:rPr>
          <w:rFonts w:ascii="Calibri" w:hAnsi="Calibri"/>
          <w:i/>
          <w:color w:val="231F20"/>
          <w:spacing w:val="-6"/>
          <w:sz w:val="17"/>
        </w:rPr>
        <w:t> </w:t>
      </w:r>
      <w:r>
        <w:rPr>
          <w:rFonts w:ascii="Calibri" w:hAnsi="Calibri"/>
          <w:i/>
          <w:color w:val="231F20"/>
          <w:sz w:val="17"/>
        </w:rPr>
        <w:t>Ley,</w:t>
      </w:r>
      <w:r>
        <w:rPr>
          <w:rFonts w:ascii="Calibri" w:hAnsi="Calibri"/>
          <w:i/>
          <w:color w:val="231F20"/>
          <w:spacing w:val="-6"/>
          <w:sz w:val="17"/>
        </w:rPr>
        <w:t> </w:t>
      </w:r>
      <w:r>
        <w:rPr>
          <w:rFonts w:ascii="Calibri" w:hAnsi="Calibri"/>
          <w:i/>
          <w:color w:val="231F20"/>
          <w:sz w:val="17"/>
        </w:rPr>
        <w:t>espacio</w:t>
      </w:r>
      <w:r>
        <w:rPr>
          <w:rFonts w:ascii="Calibri" w:hAnsi="Calibri"/>
          <w:i/>
          <w:color w:val="231F20"/>
          <w:spacing w:val="-6"/>
          <w:sz w:val="17"/>
        </w:rPr>
        <w:t> </w:t>
      </w:r>
      <w:r>
        <w:rPr>
          <w:rFonts w:ascii="Calibri" w:hAnsi="Calibri"/>
          <w:i/>
          <w:color w:val="231F20"/>
          <w:sz w:val="17"/>
        </w:rPr>
        <w:t>político</w:t>
      </w:r>
      <w:r>
        <w:rPr>
          <w:rFonts w:ascii="Calibri" w:hAnsi="Calibri"/>
          <w:i/>
          <w:color w:val="231F20"/>
          <w:spacing w:val="-7"/>
          <w:sz w:val="17"/>
        </w:rPr>
        <w:t> </w:t>
      </w:r>
      <w:r>
        <w:rPr>
          <w:rFonts w:ascii="Calibri" w:hAnsi="Calibri"/>
          <w:i/>
          <w:color w:val="231F20"/>
          <w:sz w:val="17"/>
        </w:rPr>
        <w:t>y</w:t>
      </w:r>
      <w:r>
        <w:rPr>
          <w:rFonts w:ascii="Calibri" w:hAnsi="Calibri"/>
          <w:i/>
          <w:color w:val="231F20"/>
          <w:spacing w:val="-6"/>
          <w:sz w:val="17"/>
        </w:rPr>
        <w:t> </w:t>
      </w:r>
      <w:r>
        <w:rPr>
          <w:rFonts w:ascii="Calibri" w:hAnsi="Calibri"/>
          <w:i/>
          <w:color w:val="231F20"/>
          <w:sz w:val="17"/>
        </w:rPr>
        <w:t>exclusión</w:t>
      </w:r>
      <w:r>
        <w:rPr>
          <w:rFonts w:ascii="Calibri" w:hAnsi="Calibri"/>
          <w:color w:val="231F20"/>
          <w:sz w:val="17"/>
        </w:rPr>
        <w:t>;</w:t>
      </w:r>
      <w:r>
        <w:rPr>
          <w:rFonts w:ascii="Calibri" w:hAnsi="Calibri"/>
          <w:color w:val="231F20"/>
          <w:spacing w:val="-5"/>
          <w:sz w:val="17"/>
        </w:rPr>
        <w:t> </w:t>
      </w:r>
      <w:r>
        <w:rPr>
          <w:rFonts w:ascii="Calibri" w:hAnsi="Calibri"/>
          <w:color w:val="231F20"/>
          <w:spacing w:val="-10"/>
          <w:sz w:val="17"/>
        </w:rPr>
        <w:t>P.</w:t>
      </w:r>
      <w:r>
        <w:rPr>
          <w:rFonts w:ascii="Calibri" w:hAnsi="Calibri"/>
          <w:color w:val="231F20"/>
          <w:spacing w:val="-5"/>
          <w:sz w:val="17"/>
        </w:rPr>
        <w:t> </w:t>
      </w:r>
      <w:r>
        <w:rPr>
          <w:rFonts w:ascii="Calibri" w:hAnsi="Calibri"/>
          <w:color w:val="231F20"/>
          <w:sz w:val="17"/>
        </w:rPr>
        <w:t>J.</w:t>
      </w:r>
      <w:r>
        <w:rPr>
          <w:rFonts w:ascii="Calibri" w:hAnsi="Calibri"/>
          <w:color w:val="231F20"/>
          <w:spacing w:val="-5"/>
          <w:sz w:val="17"/>
        </w:rPr>
        <w:t> </w:t>
      </w:r>
      <w:r>
        <w:rPr>
          <w:rFonts w:ascii="Calibri" w:hAnsi="Calibri"/>
          <w:color w:val="231F20"/>
          <w:sz w:val="17"/>
        </w:rPr>
        <w:t>Krischke,</w:t>
      </w:r>
      <w:r>
        <w:rPr>
          <w:rFonts w:ascii="Calibri" w:hAnsi="Calibri"/>
          <w:color w:val="231F20"/>
          <w:spacing w:val="-5"/>
          <w:sz w:val="17"/>
        </w:rPr>
        <w:t> </w:t>
      </w:r>
      <w:r>
        <w:rPr>
          <w:rFonts w:ascii="Calibri" w:hAnsi="Calibri"/>
          <w:color w:val="231F20"/>
          <w:spacing w:val="-3"/>
          <w:sz w:val="17"/>
        </w:rPr>
        <w:t>“Aporías</w:t>
      </w:r>
      <w:r>
        <w:rPr>
          <w:rFonts w:ascii="Calibri" w:hAnsi="Calibri"/>
          <w:color w:val="231F20"/>
          <w:spacing w:val="-5"/>
          <w:sz w:val="17"/>
        </w:rPr>
        <w:t> </w:t>
      </w:r>
      <w:r>
        <w:rPr>
          <w:rFonts w:ascii="Calibri" w:hAnsi="Calibri"/>
          <w:color w:val="231F20"/>
          <w:sz w:val="17"/>
        </w:rPr>
        <w:t>e interfases en los estudios de la democratización: análisis del régimen </w:t>
      </w:r>
      <w:r>
        <w:rPr>
          <w:rFonts w:ascii="Calibri" w:hAnsi="Calibri"/>
          <w:i/>
          <w:color w:val="231F20"/>
          <w:sz w:val="17"/>
        </w:rPr>
        <w:t>versus </w:t>
      </w:r>
      <w:r>
        <w:rPr>
          <w:rFonts w:ascii="Calibri" w:hAnsi="Calibri"/>
          <w:color w:val="231F20"/>
          <w:sz w:val="17"/>
        </w:rPr>
        <w:t>estudios culturales”, </w:t>
      </w:r>
      <w:r>
        <w:rPr>
          <w:rFonts w:ascii="Calibri" w:hAnsi="Calibri"/>
          <w:i/>
          <w:color w:val="231F20"/>
          <w:sz w:val="17"/>
        </w:rPr>
        <w:t>Revista</w:t>
      </w:r>
      <w:r>
        <w:rPr>
          <w:rFonts w:ascii="Calibri" w:hAnsi="Calibri"/>
          <w:i/>
          <w:color w:val="231F20"/>
          <w:spacing w:val="-9"/>
          <w:sz w:val="17"/>
        </w:rPr>
        <w:t> </w:t>
      </w:r>
      <w:r>
        <w:rPr>
          <w:rFonts w:ascii="Calibri" w:hAnsi="Calibri"/>
          <w:i/>
          <w:color w:val="231F20"/>
          <w:sz w:val="17"/>
        </w:rPr>
        <w:t>mexicana</w:t>
      </w:r>
      <w:r>
        <w:rPr>
          <w:rFonts w:ascii="Calibri" w:hAnsi="Calibri"/>
          <w:i/>
          <w:color w:val="231F20"/>
          <w:spacing w:val="-9"/>
          <w:sz w:val="17"/>
        </w:rPr>
        <w:t> </w:t>
      </w:r>
      <w:r>
        <w:rPr>
          <w:rFonts w:ascii="Calibri" w:hAnsi="Calibri"/>
          <w:i/>
          <w:color w:val="231F20"/>
          <w:sz w:val="17"/>
        </w:rPr>
        <w:t>de</w:t>
      </w:r>
      <w:r>
        <w:rPr>
          <w:rFonts w:ascii="Calibri" w:hAnsi="Calibri"/>
          <w:i/>
          <w:color w:val="231F20"/>
          <w:spacing w:val="-9"/>
          <w:sz w:val="17"/>
        </w:rPr>
        <w:t> </w:t>
      </w:r>
      <w:r>
        <w:rPr>
          <w:rFonts w:ascii="Calibri" w:hAnsi="Calibri"/>
          <w:i/>
          <w:color w:val="231F20"/>
          <w:sz w:val="17"/>
        </w:rPr>
        <w:t>sociología</w:t>
      </w:r>
      <w:r>
        <w:rPr>
          <w:rFonts w:ascii="Calibri" w:hAnsi="Calibri"/>
          <w:color w:val="231F20"/>
          <w:sz w:val="17"/>
        </w:rPr>
        <w:t>,</w:t>
      </w:r>
      <w:r>
        <w:rPr>
          <w:rFonts w:ascii="Calibri" w:hAnsi="Calibri"/>
          <w:color w:val="231F20"/>
          <w:spacing w:val="-8"/>
          <w:sz w:val="17"/>
        </w:rPr>
        <w:t> </w:t>
      </w:r>
      <w:r>
        <w:rPr>
          <w:rFonts w:ascii="Calibri" w:hAnsi="Calibri"/>
          <w:color w:val="231F20"/>
          <w:sz w:val="15"/>
        </w:rPr>
        <w:t>LXI</w:t>
      </w:r>
      <w:r>
        <w:rPr>
          <w:rFonts w:ascii="Calibri" w:hAnsi="Calibri"/>
          <w:color w:val="231F20"/>
          <w:sz w:val="17"/>
        </w:rPr>
        <w:t>,</w:t>
      </w:r>
      <w:r>
        <w:rPr>
          <w:rFonts w:ascii="Calibri" w:hAnsi="Calibri"/>
          <w:color w:val="231F20"/>
          <w:spacing w:val="-8"/>
          <w:sz w:val="17"/>
        </w:rPr>
        <w:t> </w:t>
      </w:r>
      <w:r>
        <w:rPr>
          <w:rFonts w:ascii="Calibri" w:hAnsi="Calibri"/>
          <w:color w:val="231F20"/>
          <w:sz w:val="17"/>
        </w:rPr>
        <w:t>1,</w:t>
      </w:r>
      <w:r>
        <w:rPr>
          <w:rFonts w:ascii="Calibri" w:hAnsi="Calibri"/>
          <w:color w:val="231F20"/>
          <w:spacing w:val="-8"/>
          <w:sz w:val="17"/>
        </w:rPr>
        <w:t> </w:t>
      </w:r>
      <w:r>
        <w:rPr>
          <w:rFonts w:ascii="Calibri" w:hAnsi="Calibri"/>
          <w:color w:val="231F20"/>
          <w:sz w:val="17"/>
        </w:rPr>
        <w:t>1999,</w:t>
      </w:r>
      <w:r>
        <w:rPr>
          <w:rFonts w:ascii="Calibri" w:hAnsi="Calibri"/>
          <w:color w:val="231F20"/>
          <w:spacing w:val="-8"/>
          <w:sz w:val="17"/>
        </w:rPr>
        <w:t> </w:t>
      </w:r>
      <w:r>
        <w:rPr>
          <w:rFonts w:ascii="Calibri" w:hAnsi="Calibri"/>
          <w:color w:val="231F20"/>
          <w:sz w:val="17"/>
        </w:rPr>
        <w:t>pp.</w:t>
      </w:r>
      <w:r>
        <w:rPr>
          <w:rFonts w:ascii="Calibri" w:hAnsi="Calibri"/>
          <w:color w:val="231F20"/>
          <w:spacing w:val="-8"/>
          <w:sz w:val="17"/>
        </w:rPr>
        <w:t> </w:t>
      </w:r>
      <w:r>
        <w:rPr>
          <w:rFonts w:ascii="Calibri" w:hAnsi="Calibri"/>
          <w:color w:val="231F20"/>
          <w:sz w:val="17"/>
        </w:rPr>
        <w:t>177–195;</w:t>
      </w:r>
      <w:r>
        <w:rPr>
          <w:rFonts w:ascii="Calibri" w:hAnsi="Calibri"/>
          <w:color w:val="231F20"/>
          <w:spacing w:val="-8"/>
          <w:sz w:val="17"/>
        </w:rPr>
        <w:t> </w:t>
      </w:r>
      <w:r>
        <w:rPr>
          <w:rFonts w:ascii="Calibri" w:hAnsi="Calibri"/>
          <w:color w:val="231F20"/>
          <w:sz w:val="17"/>
        </w:rPr>
        <w:t>L.</w:t>
      </w:r>
      <w:r>
        <w:rPr>
          <w:rFonts w:ascii="Calibri" w:hAnsi="Calibri"/>
          <w:color w:val="231F20"/>
          <w:spacing w:val="-11"/>
          <w:sz w:val="17"/>
        </w:rPr>
        <w:t> </w:t>
      </w:r>
      <w:r>
        <w:rPr>
          <w:rFonts w:ascii="Calibri" w:hAnsi="Calibri"/>
          <w:color w:val="231F20"/>
          <w:sz w:val="17"/>
        </w:rPr>
        <w:t>Whitehead,</w:t>
      </w:r>
      <w:r>
        <w:rPr>
          <w:rFonts w:ascii="Calibri" w:hAnsi="Calibri"/>
          <w:color w:val="231F20"/>
          <w:spacing w:val="-8"/>
          <w:sz w:val="17"/>
        </w:rPr>
        <w:t> </w:t>
      </w:r>
      <w:r>
        <w:rPr>
          <w:rFonts w:ascii="Calibri" w:hAnsi="Calibri"/>
          <w:i/>
          <w:color w:val="231F20"/>
          <w:sz w:val="17"/>
        </w:rPr>
        <w:t>Democratización.</w:t>
      </w:r>
      <w:r>
        <w:rPr>
          <w:rFonts w:ascii="Calibri" w:hAnsi="Calibri"/>
          <w:i/>
          <w:color w:val="231F20"/>
          <w:spacing w:val="-11"/>
          <w:sz w:val="17"/>
        </w:rPr>
        <w:t> </w:t>
      </w:r>
      <w:r>
        <w:rPr>
          <w:rFonts w:ascii="Calibri" w:hAnsi="Calibri"/>
          <w:i/>
          <w:color w:val="231F20"/>
          <w:spacing w:val="-3"/>
          <w:sz w:val="17"/>
        </w:rPr>
        <w:t>Teoría</w:t>
      </w:r>
      <w:r>
        <w:rPr>
          <w:rFonts w:ascii="Calibri" w:hAnsi="Calibri"/>
          <w:i/>
          <w:color w:val="231F20"/>
          <w:spacing w:val="-11"/>
          <w:sz w:val="17"/>
        </w:rPr>
        <w:t> </w:t>
      </w:r>
      <w:r>
        <w:rPr>
          <w:rFonts w:ascii="Calibri" w:hAnsi="Calibri"/>
          <w:i/>
          <w:color w:val="231F20"/>
          <w:sz w:val="17"/>
        </w:rPr>
        <w:t>y</w:t>
      </w:r>
      <w:r>
        <w:rPr>
          <w:rFonts w:ascii="Calibri" w:hAnsi="Calibri"/>
          <w:i/>
          <w:color w:val="231F20"/>
          <w:spacing w:val="-9"/>
          <w:sz w:val="17"/>
        </w:rPr>
        <w:t> </w:t>
      </w:r>
      <w:r>
        <w:rPr>
          <w:rFonts w:ascii="Calibri" w:hAnsi="Calibri"/>
          <w:i/>
          <w:color w:val="231F20"/>
          <w:sz w:val="17"/>
        </w:rPr>
        <w:t>ex- </w:t>
      </w:r>
      <w:r>
        <w:rPr>
          <w:rFonts w:ascii="Calibri" w:hAnsi="Calibri"/>
          <w:i/>
          <w:color w:val="231F20"/>
          <w:sz w:val="17"/>
        </w:rPr>
        <w:t>periencia</w:t>
      </w:r>
      <w:r>
        <w:rPr>
          <w:rFonts w:ascii="Calibri" w:hAnsi="Calibri"/>
          <w:color w:val="231F20"/>
          <w:sz w:val="17"/>
        </w:rPr>
        <w:t>, México, Fondo de Cultura Económica,</w:t>
      </w:r>
      <w:r>
        <w:rPr>
          <w:rFonts w:ascii="Calibri" w:hAnsi="Calibri"/>
          <w:color w:val="231F20"/>
          <w:spacing w:val="-14"/>
          <w:sz w:val="17"/>
        </w:rPr>
        <w:t> </w:t>
      </w:r>
      <w:r>
        <w:rPr>
          <w:rFonts w:ascii="Calibri" w:hAnsi="Calibri"/>
          <w:color w:val="231F20"/>
          <w:sz w:val="17"/>
        </w:rPr>
        <w:t>2011.</w:t>
      </w:r>
    </w:p>
    <w:p>
      <w:pPr>
        <w:spacing w:after="0" w:line="235" w:lineRule="auto"/>
        <w:jc w:val="both"/>
        <w:rPr>
          <w:rFonts w:ascii="Calibri" w:hAnsi="Calibri"/>
          <w:sz w:val="17"/>
        </w:rPr>
        <w:sectPr>
          <w:type w:val="continuous"/>
          <w:pgSz w:w="9640" w:h="13890"/>
          <w:pgMar w:top="0" w:bottom="0" w:left="1300" w:right="1200"/>
        </w:sectPr>
      </w:pPr>
    </w:p>
    <w:p>
      <w:pPr>
        <w:pStyle w:val="BodyText"/>
        <w:spacing w:line="247" w:lineRule="auto" w:before="107"/>
        <w:ind w:left="103" w:right="115"/>
        <w:jc w:val="both"/>
      </w:pPr>
      <w:r>
        <w:rPr>
          <w:color w:val="231F20"/>
          <w:w w:val="105"/>
        </w:rPr>
        <w:t>de</w:t>
      </w:r>
      <w:r>
        <w:rPr>
          <w:color w:val="231F20"/>
          <w:spacing w:val="-14"/>
          <w:w w:val="105"/>
        </w:rPr>
        <w:t> </w:t>
      </w:r>
      <w:r>
        <w:rPr>
          <w:color w:val="231F20"/>
          <w:w w:val="105"/>
        </w:rPr>
        <w:t>cambios</w:t>
      </w:r>
      <w:r>
        <w:rPr>
          <w:color w:val="231F20"/>
          <w:spacing w:val="-14"/>
          <w:w w:val="105"/>
        </w:rPr>
        <w:t> </w:t>
      </w:r>
      <w:r>
        <w:rPr>
          <w:color w:val="231F20"/>
          <w:w w:val="105"/>
        </w:rPr>
        <w:t>sociales</w:t>
      </w:r>
      <w:r>
        <w:rPr>
          <w:color w:val="231F20"/>
          <w:spacing w:val="-13"/>
          <w:w w:val="105"/>
        </w:rPr>
        <w:t> </w:t>
      </w:r>
      <w:r>
        <w:rPr>
          <w:color w:val="231F20"/>
          <w:w w:val="105"/>
        </w:rPr>
        <w:t>y</w:t>
      </w:r>
      <w:r>
        <w:rPr>
          <w:color w:val="231F20"/>
          <w:spacing w:val="-14"/>
          <w:w w:val="105"/>
        </w:rPr>
        <w:t> </w:t>
      </w:r>
      <w:r>
        <w:rPr>
          <w:color w:val="231F20"/>
          <w:w w:val="105"/>
        </w:rPr>
        <w:t>“estructurales”</w:t>
      </w:r>
      <w:r>
        <w:rPr>
          <w:color w:val="231F20"/>
          <w:spacing w:val="-14"/>
          <w:w w:val="105"/>
        </w:rPr>
        <w:t> </w:t>
      </w:r>
      <w:r>
        <w:rPr>
          <w:color w:val="231F20"/>
          <w:w w:val="105"/>
        </w:rPr>
        <w:t>introdujo</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3"/>
          <w:w w:val="105"/>
        </w:rPr>
        <w:t> </w:t>
      </w:r>
      <w:r>
        <w:rPr>
          <w:color w:val="231F20"/>
          <w:w w:val="105"/>
        </w:rPr>
        <w:t>ola</w:t>
      </w:r>
      <w:r>
        <w:rPr>
          <w:color w:val="231F20"/>
          <w:spacing w:val="-14"/>
          <w:w w:val="105"/>
        </w:rPr>
        <w:t> </w:t>
      </w:r>
      <w:r>
        <w:rPr>
          <w:color w:val="231F20"/>
          <w:w w:val="105"/>
        </w:rPr>
        <w:t>más</w:t>
      </w:r>
      <w:r>
        <w:rPr>
          <w:color w:val="231F20"/>
          <w:spacing w:val="-13"/>
          <w:w w:val="105"/>
        </w:rPr>
        <w:t> </w:t>
      </w:r>
      <w:r>
        <w:rPr>
          <w:color w:val="231F20"/>
          <w:w w:val="105"/>
        </w:rPr>
        <w:t>reciente</w:t>
      </w:r>
      <w:r>
        <w:rPr>
          <w:color w:val="231F20"/>
          <w:spacing w:val="-13"/>
          <w:w w:val="105"/>
        </w:rPr>
        <w:t> </w:t>
      </w:r>
      <w:r>
        <w:rPr>
          <w:color w:val="231F20"/>
          <w:w w:val="105"/>
        </w:rPr>
        <w:t>de la democratización el paso precisamente de un orden político no</w:t>
      </w:r>
      <w:r>
        <w:rPr>
          <w:color w:val="231F20"/>
          <w:spacing w:val="-38"/>
          <w:w w:val="105"/>
        </w:rPr>
        <w:t> </w:t>
      </w:r>
      <w:r>
        <w:rPr>
          <w:color w:val="231F20"/>
          <w:w w:val="105"/>
        </w:rPr>
        <w:t>demo- crático</w:t>
      </w:r>
      <w:r>
        <w:rPr>
          <w:color w:val="231F20"/>
          <w:spacing w:val="-32"/>
          <w:w w:val="105"/>
        </w:rPr>
        <w:t> </w:t>
      </w:r>
      <w:r>
        <w:rPr>
          <w:color w:val="231F20"/>
          <w:w w:val="105"/>
        </w:rPr>
        <w:t>hacia</w:t>
      </w:r>
      <w:r>
        <w:rPr>
          <w:color w:val="231F20"/>
          <w:spacing w:val="-32"/>
          <w:w w:val="105"/>
        </w:rPr>
        <w:t> </w:t>
      </w:r>
      <w:r>
        <w:rPr>
          <w:color w:val="231F20"/>
          <w:w w:val="105"/>
        </w:rPr>
        <w:t>uno</w:t>
      </w:r>
      <w:r>
        <w:rPr>
          <w:color w:val="231F20"/>
          <w:spacing w:val="-32"/>
          <w:w w:val="105"/>
        </w:rPr>
        <w:t> </w:t>
      </w:r>
      <w:r>
        <w:rPr>
          <w:color w:val="231F20"/>
          <w:w w:val="105"/>
        </w:rPr>
        <w:t>democrático?,</w:t>
      </w:r>
      <w:r>
        <w:rPr>
          <w:color w:val="231F20"/>
          <w:spacing w:val="-32"/>
          <w:w w:val="105"/>
        </w:rPr>
        <w:t> </w:t>
      </w:r>
      <w:r>
        <w:rPr>
          <w:color w:val="231F20"/>
          <w:w w:val="105"/>
        </w:rPr>
        <w:t>¿son</w:t>
      </w:r>
      <w:r>
        <w:rPr>
          <w:color w:val="231F20"/>
          <w:spacing w:val="-32"/>
          <w:w w:val="105"/>
        </w:rPr>
        <w:t> </w:t>
      </w:r>
      <w:r>
        <w:rPr>
          <w:color w:val="231F20"/>
          <w:w w:val="105"/>
        </w:rPr>
        <w:t>manifestaciones</w:t>
      </w:r>
      <w:r>
        <w:rPr>
          <w:color w:val="231F20"/>
          <w:spacing w:val="-32"/>
          <w:w w:val="105"/>
        </w:rPr>
        <w:t> </w:t>
      </w:r>
      <w:r>
        <w:rPr>
          <w:color w:val="231F20"/>
          <w:w w:val="105"/>
        </w:rPr>
        <w:t>compartibles</w:t>
      </w:r>
      <w:r>
        <w:rPr>
          <w:color w:val="231F20"/>
          <w:spacing w:val="-32"/>
          <w:w w:val="105"/>
        </w:rPr>
        <w:t> </w:t>
      </w:r>
      <w:r>
        <w:rPr>
          <w:color w:val="231F20"/>
          <w:w w:val="105"/>
        </w:rPr>
        <w:t>en</w:t>
      </w:r>
      <w:r>
        <w:rPr>
          <w:color w:val="231F20"/>
          <w:spacing w:val="-32"/>
          <w:w w:val="105"/>
        </w:rPr>
        <w:t> </w:t>
      </w:r>
      <w:r>
        <w:rPr>
          <w:color w:val="231F20"/>
          <w:w w:val="105"/>
        </w:rPr>
        <w:t>los diversos</w:t>
      </w:r>
      <w:r>
        <w:rPr>
          <w:color w:val="231F20"/>
          <w:spacing w:val="-31"/>
          <w:w w:val="105"/>
        </w:rPr>
        <w:t> </w:t>
      </w:r>
      <w:r>
        <w:rPr>
          <w:color w:val="231F20"/>
          <w:w w:val="105"/>
        </w:rPr>
        <w:t>procesos</w:t>
      </w:r>
      <w:r>
        <w:rPr>
          <w:color w:val="231F20"/>
          <w:spacing w:val="-31"/>
          <w:w w:val="105"/>
        </w:rPr>
        <w:t> </w:t>
      </w:r>
      <w:r>
        <w:rPr>
          <w:color w:val="231F20"/>
          <w:w w:val="105"/>
        </w:rPr>
        <w:t>de</w:t>
      </w:r>
      <w:r>
        <w:rPr>
          <w:color w:val="231F20"/>
          <w:spacing w:val="-31"/>
          <w:w w:val="105"/>
        </w:rPr>
        <w:t> </w:t>
      </w:r>
      <w:r>
        <w:rPr>
          <w:color w:val="231F20"/>
          <w:w w:val="105"/>
        </w:rPr>
        <w:t>cambio</w:t>
      </w:r>
      <w:r>
        <w:rPr>
          <w:color w:val="231F20"/>
          <w:spacing w:val="-31"/>
          <w:w w:val="105"/>
        </w:rPr>
        <w:t> </w:t>
      </w:r>
      <w:r>
        <w:rPr>
          <w:color w:val="231F20"/>
          <w:w w:val="105"/>
        </w:rPr>
        <w:t>político</w:t>
      </w:r>
      <w:r>
        <w:rPr>
          <w:color w:val="231F20"/>
          <w:spacing w:val="-31"/>
          <w:w w:val="105"/>
        </w:rPr>
        <w:t> </w:t>
      </w:r>
      <w:r>
        <w:rPr>
          <w:color w:val="231F20"/>
          <w:w w:val="105"/>
        </w:rPr>
        <w:t>o</w:t>
      </w:r>
      <w:r>
        <w:rPr>
          <w:color w:val="231F20"/>
          <w:spacing w:val="-31"/>
          <w:w w:val="105"/>
        </w:rPr>
        <w:t> </w:t>
      </w:r>
      <w:r>
        <w:rPr>
          <w:color w:val="231F20"/>
          <w:w w:val="105"/>
        </w:rPr>
        <w:t>son</w:t>
      </w:r>
      <w:r>
        <w:rPr>
          <w:color w:val="231F20"/>
          <w:spacing w:val="-31"/>
          <w:w w:val="105"/>
        </w:rPr>
        <w:t> </w:t>
      </w:r>
      <w:r>
        <w:rPr>
          <w:color w:val="231F20"/>
          <w:w w:val="105"/>
        </w:rPr>
        <w:t>manifestaciones</w:t>
      </w:r>
      <w:r>
        <w:rPr>
          <w:color w:val="231F20"/>
          <w:spacing w:val="-31"/>
          <w:w w:val="105"/>
        </w:rPr>
        <w:t> </w:t>
      </w:r>
      <w:r>
        <w:rPr>
          <w:color w:val="231F20"/>
          <w:w w:val="105"/>
        </w:rPr>
        <w:t>específicas</w:t>
      </w:r>
      <w:r>
        <w:rPr>
          <w:color w:val="231F20"/>
          <w:spacing w:val="-31"/>
          <w:w w:val="105"/>
        </w:rPr>
        <w:t> </w:t>
      </w:r>
      <w:r>
        <w:rPr>
          <w:color w:val="231F20"/>
          <w:w w:val="105"/>
        </w:rPr>
        <w:t>de cada</w:t>
      </w:r>
      <w:r>
        <w:rPr>
          <w:color w:val="231F20"/>
          <w:spacing w:val="-31"/>
          <w:w w:val="105"/>
        </w:rPr>
        <w:t> </w:t>
      </w:r>
      <w:r>
        <w:rPr>
          <w:color w:val="231F20"/>
          <w:w w:val="105"/>
        </w:rPr>
        <w:t>proceso</w:t>
      </w:r>
      <w:r>
        <w:rPr>
          <w:color w:val="231F20"/>
          <w:spacing w:val="-31"/>
          <w:w w:val="105"/>
        </w:rPr>
        <w:t> </w:t>
      </w:r>
      <w:r>
        <w:rPr>
          <w:color w:val="231F20"/>
          <w:w w:val="105"/>
        </w:rPr>
        <w:t>de</w:t>
      </w:r>
      <w:r>
        <w:rPr>
          <w:color w:val="231F20"/>
          <w:spacing w:val="-31"/>
          <w:w w:val="105"/>
        </w:rPr>
        <w:t> </w:t>
      </w:r>
      <w:r>
        <w:rPr>
          <w:color w:val="231F20"/>
          <w:w w:val="105"/>
        </w:rPr>
        <w:t>democratización?</w:t>
      </w:r>
    </w:p>
    <w:p>
      <w:pPr>
        <w:pStyle w:val="BodyText"/>
        <w:spacing w:line="247" w:lineRule="auto"/>
        <w:ind w:left="103" w:right="115" w:firstLine="566"/>
        <w:jc w:val="both"/>
      </w:pPr>
      <w:r>
        <w:rPr>
          <w:color w:val="231F20"/>
        </w:rPr>
        <w:t>Lo que se transformó no fue únicamente la modalidad de organiza- ción de los regímenes políticos que se movían de diversas experiencias no democráticas hacia formas democráticas, pues también la arquitectura del Estado donde los regímenes se desarrollaban cambió y por momentos no en la misma dirección que señalaban los procesos de democratización</w:t>
      </w:r>
      <w:r>
        <w:rPr>
          <w:color w:val="231F20"/>
          <w:position w:val="7"/>
          <w:sz w:val="12"/>
        </w:rPr>
        <w:t>36</w:t>
      </w:r>
      <w:r>
        <w:rPr>
          <w:color w:val="231F20"/>
        </w:rPr>
        <w:t>. Es </w:t>
      </w:r>
      <w:r>
        <w:rPr>
          <w:color w:val="231F20"/>
          <w:spacing w:val="-4"/>
        </w:rPr>
        <w:t>decir, </w:t>
      </w:r>
      <w:r>
        <w:rPr>
          <w:color w:val="231F20"/>
        </w:rPr>
        <w:t>la consolidación de una base fuerte de </w:t>
      </w:r>
      <w:r>
        <w:rPr>
          <w:rFonts w:ascii="Arial" w:hAnsi="Arial"/>
          <w:i/>
          <w:color w:val="231F20"/>
        </w:rPr>
        <w:t>estatalidad </w:t>
      </w:r>
      <w:r>
        <w:rPr>
          <w:color w:val="231F20"/>
        </w:rPr>
        <w:t>acorde con el pluralismo político </w:t>
      </w:r>
      <w:r>
        <w:rPr>
          <w:color w:val="231F20"/>
          <w:spacing w:val="-10"/>
        </w:rPr>
        <w:t>y, </w:t>
      </w:r>
      <w:r>
        <w:rPr>
          <w:color w:val="231F20"/>
        </w:rPr>
        <w:t>en general, con el disenso, al término de la vida his- tórica de un régimen político autoritario no necesariamente acompañará  el proceso de democratización de las instituciones políticas y del régimen político y viceversa. En ocasiones lo que tenemos es el fenómeno de la “li- beralización hacia atrás” (</w:t>
      </w:r>
      <w:r>
        <w:rPr>
          <w:rFonts w:ascii="Arial" w:hAnsi="Arial"/>
          <w:i/>
          <w:color w:val="231F20"/>
        </w:rPr>
        <w:t>spillover effect</w:t>
      </w:r>
      <w:r>
        <w:rPr>
          <w:color w:val="231F20"/>
        </w:rPr>
        <w:t>). Por ejemplo, observemos la ex- periencia rusa de fin del régimen comunista y la consolidación del llamado “consenso impuesto” en el primer gobierno de Vladimir Putin, que buscó “restaurar el funcionamiento estatal en lugar de consolidar el pluralismo y los procedimientos democráticos”</w:t>
      </w:r>
      <w:r>
        <w:rPr>
          <w:color w:val="231F20"/>
          <w:position w:val="7"/>
          <w:sz w:val="12"/>
        </w:rPr>
        <w:t>37</w:t>
      </w:r>
      <w:r>
        <w:rPr>
          <w:color w:val="231F20"/>
        </w:rPr>
        <w:t>.</w:t>
      </w:r>
      <w:r>
        <w:rPr>
          <w:color w:val="231F20"/>
          <w:position w:val="7"/>
          <w:sz w:val="12"/>
        </w:rPr>
        <w:t>38 </w:t>
      </w:r>
      <w:r>
        <w:rPr>
          <w:color w:val="231F20"/>
        </w:rPr>
        <w:t>Por ello, la restauración de la funcio- nalidad del orden estatal suponía una profunda “redefinición de la propia identidad nacional” que era el efecto de la disolución de la antigua Unión Soviética y que terminaría centrada en la figura presidencial de Putin</w:t>
      </w:r>
      <w:r>
        <w:rPr>
          <w:color w:val="231F20"/>
          <w:position w:val="7"/>
          <w:sz w:val="12"/>
        </w:rPr>
        <w:t>39</w:t>
      </w:r>
      <w:r>
        <w:rPr>
          <w:color w:val="231F20"/>
        </w:rPr>
        <w:t>.</w:t>
      </w:r>
      <w:r>
        <w:rPr>
          <w:color w:val="231F20"/>
          <w:spacing w:val="-45"/>
        </w:rPr>
        <w:t> </w:t>
      </w:r>
      <w:r>
        <w:rPr>
          <w:color w:val="231F20"/>
        </w:rPr>
        <w:t>En- tonces, se puede decir junto a Mara Morini que: “el fin del comunismo ha dejado un vacío llenado incluso con elementos derivados de la herencia pre–comunista y comunista: el nacionalismo, la cuestión étnica e identita- ria,</w:t>
      </w:r>
      <w:r>
        <w:rPr>
          <w:color w:val="231F20"/>
          <w:spacing w:val="-11"/>
        </w:rPr>
        <w:t> </w:t>
      </w:r>
      <w:r>
        <w:rPr>
          <w:color w:val="231F20"/>
        </w:rPr>
        <w:t>el</w:t>
      </w:r>
      <w:r>
        <w:rPr>
          <w:color w:val="231F20"/>
          <w:spacing w:val="-11"/>
        </w:rPr>
        <w:t> </w:t>
      </w:r>
      <w:r>
        <w:rPr>
          <w:color w:val="231F20"/>
        </w:rPr>
        <w:t>culto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personalidad,</w:t>
      </w:r>
      <w:r>
        <w:rPr>
          <w:color w:val="231F20"/>
          <w:spacing w:val="-11"/>
        </w:rPr>
        <w:t> </w:t>
      </w:r>
      <w:r>
        <w:rPr>
          <w:color w:val="231F20"/>
        </w:rPr>
        <w:t>el</w:t>
      </w:r>
      <w:r>
        <w:rPr>
          <w:color w:val="231F20"/>
          <w:spacing w:val="-11"/>
        </w:rPr>
        <w:t> </w:t>
      </w:r>
      <w:r>
        <w:rPr>
          <w:color w:val="231F20"/>
        </w:rPr>
        <w:t>neo–leninismo,</w:t>
      </w:r>
      <w:r>
        <w:rPr>
          <w:color w:val="231F20"/>
          <w:spacing w:val="-11"/>
        </w:rPr>
        <w:t> </w:t>
      </w:r>
      <w:r>
        <w:rPr>
          <w:color w:val="231F20"/>
        </w:rPr>
        <w:t>la</w:t>
      </w:r>
      <w:r>
        <w:rPr>
          <w:color w:val="231F20"/>
          <w:spacing w:val="-11"/>
        </w:rPr>
        <w:t> </w:t>
      </w:r>
      <w:r>
        <w:rPr>
          <w:color w:val="231F20"/>
        </w:rPr>
        <w:t>intervención</w:t>
      </w:r>
      <w:r>
        <w:rPr>
          <w:color w:val="231F20"/>
          <w:spacing w:val="-11"/>
        </w:rPr>
        <w:t> </w:t>
      </w:r>
      <w:r>
        <w:rPr>
          <w:color w:val="231F20"/>
        </w:rPr>
        <w:t>estatal</w:t>
      </w:r>
      <w:r>
        <w:rPr>
          <w:color w:val="231F20"/>
          <w:spacing w:val="-11"/>
        </w:rPr>
        <w:t> </w:t>
      </w:r>
      <w:r>
        <w:rPr>
          <w:color w:val="231F20"/>
        </w:rPr>
        <w:t>en</w:t>
      </w:r>
      <w:r>
        <w:rPr>
          <w:color w:val="231F20"/>
          <w:spacing w:val="-11"/>
        </w:rPr>
        <w:t> </w:t>
      </w:r>
      <w:r>
        <w:rPr>
          <w:color w:val="231F20"/>
        </w:rPr>
        <w:t>la economía y la derivación</w:t>
      </w:r>
      <w:r>
        <w:rPr>
          <w:color w:val="231F20"/>
          <w:spacing w:val="35"/>
        </w:rPr>
        <w:t> </w:t>
      </w:r>
      <w:r>
        <w:rPr>
          <w:color w:val="231F20"/>
        </w:rPr>
        <w:t>cesarista–populista”</w:t>
      </w:r>
      <w:r>
        <w:rPr>
          <w:color w:val="231F20"/>
          <w:position w:val="7"/>
          <w:sz w:val="12"/>
        </w:rPr>
        <w:t>40</w:t>
      </w:r>
      <w:r>
        <w:rPr>
          <w:color w:val="231F20"/>
        </w:rPr>
        <w:t>.</w:t>
      </w:r>
    </w:p>
    <w:p>
      <w:pPr>
        <w:pStyle w:val="BodyText"/>
        <w:spacing w:line="247" w:lineRule="auto"/>
        <w:ind w:left="103" w:right="115" w:firstLine="566"/>
        <w:jc w:val="both"/>
      </w:pPr>
      <w:r>
        <w:rPr>
          <w:color w:val="231F20"/>
        </w:rPr>
        <w:t>Del mismo modo, pensemos en los cambios políticos articulados al- rededor de fuertes manifestaciones de protesta que han empujado pre- cisamente hacia una “liberalización hacia atrás”, aún parcial y caótica, en </w:t>
      </w:r>
      <w:r>
        <w:rPr>
          <w:color w:val="231F20"/>
          <w:spacing w:val="-4"/>
        </w:rPr>
        <w:t>Túnez </w:t>
      </w:r>
      <w:r>
        <w:rPr>
          <w:color w:val="231F20"/>
        </w:rPr>
        <w:t>y Egipto y cuya ola abarca con resultados totalmente</w:t>
      </w:r>
      <w:r>
        <w:rPr>
          <w:color w:val="231F20"/>
          <w:spacing w:val="-27"/>
        </w:rPr>
        <w:t> </w:t>
      </w:r>
      <w:r>
        <w:rPr>
          <w:color w:val="231F20"/>
        </w:rPr>
        <w:t>contradictorios</w:t>
      </w:r>
    </w:p>
    <w:p>
      <w:pPr>
        <w:pStyle w:val="BodyText"/>
        <w:spacing w:before="2"/>
        <w:rPr>
          <w:sz w:val="20"/>
        </w:rPr>
      </w:pPr>
      <w:r>
        <w:rPr/>
        <w:pict>
          <v:line style="position:absolute;mso-position-horizontal-relative:page;mso-position-vertical-relative:paragraph;z-index:6688;mso-wrap-distance-left:0;mso-wrap-distance-right:0" from="65.196899pt,14.306985pt" to="178.582899pt,14.306985pt" stroked="true" strokeweight=".3pt" strokecolor="#231f20">
            <w10:wrap type="topAndBottom"/>
          </v:line>
        </w:pict>
      </w:r>
    </w:p>
    <w:p>
      <w:pPr>
        <w:spacing w:line="204" w:lineRule="exact" w:before="9"/>
        <w:ind w:left="103" w:right="114" w:firstLine="0"/>
        <w:jc w:val="both"/>
        <w:rPr>
          <w:rFonts w:ascii="Calibri" w:hAnsi="Calibri"/>
          <w:sz w:val="17"/>
        </w:rPr>
      </w:pPr>
      <w:r>
        <w:rPr>
          <w:rFonts w:ascii="Calibri" w:hAnsi="Calibri"/>
          <w:color w:val="231F20"/>
          <w:position w:val="6"/>
          <w:sz w:val="10"/>
        </w:rPr>
        <w:t>36 </w:t>
      </w:r>
      <w:r>
        <w:rPr>
          <w:rFonts w:ascii="Calibri" w:hAnsi="Calibri"/>
          <w:color w:val="231F20"/>
          <w:sz w:val="17"/>
        </w:rPr>
        <w:t>G. O’Donnell, </w:t>
      </w:r>
      <w:r>
        <w:rPr>
          <w:rFonts w:ascii="Calibri" w:hAnsi="Calibri"/>
          <w:i/>
          <w:color w:val="231F20"/>
          <w:sz w:val="17"/>
        </w:rPr>
        <w:t>Disonancias. Críticas democráticas a la democracia</w:t>
      </w:r>
      <w:r>
        <w:rPr>
          <w:rFonts w:ascii="Calibri" w:hAnsi="Calibri"/>
          <w:color w:val="231F20"/>
          <w:sz w:val="17"/>
        </w:rPr>
        <w:t>, Buenos Aires, Prometeo Libros, 2007; G. O’Donnell, </w:t>
      </w:r>
      <w:r>
        <w:rPr>
          <w:rFonts w:ascii="Calibri" w:hAnsi="Calibri"/>
          <w:i/>
          <w:color w:val="231F20"/>
          <w:sz w:val="17"/>
        </w:rPr>
        <w:t>Democracia, agencia y Estado. Teoría con intención comparativa</w:t>
      </w:r>
      <w:r>
        <w:rPr>
          <w:rFonts w:ascii="Calibri" w:hAnsi="Calibri"/>
          <w:color w:val="231F20"/>
          <w:sz w:val="17"/>
        </w:rPr>
        <w:t>, Buenos Aires, Prometeo Libros, 2010; A. Pizzorno, (Ed.), </w:t>
      </w:r>
      <w:r>
        <w:rPr>
          <w:rFonts w:ascii="Calibri" w:hAnsi="Calibri"/>
          <w:i/>
          <w:color w:val="231F20"/>
          <w:sz w:val="17"/>
        </w:rPr>
        <w:t>La democrazia di fronte allo stato. Una discussione sulle </w:t>
      </w:r>
      <w:r>
        <w:rPr>
          <w:rFonts w:ascii="Calibri" w:hAnsi="Calibri"/>
          <w:i/>
          <w:color w:val="231F20"/>
          <w:sz w:val="17"/>
        </w:rPr>
        <w:t>difficoltà della politica moderna</w:t>
      </w:r>
      <w:r>
        <w:rPr>
          <w:rFonts w:ascii="Calibri" w:hAnsi="Calibri"/>
          <w:color w:val="231F20"/>
          <w:sz w:val="17"/>
        </w:rPr>
        <w:t>, Milán, Fondazione Giangiacomo Feltrinelli, 2010; Whitehead, </w:t>
      </w:r>
      <w:r>
        <w:rPr>
          <w:rFonts w:ascii="Calibri" w:hAnsi="Calibri"/>
          <w:i/>
          <w:color w:val="231F20"/>
          <w:sz w:val="17"/>
        </w:rPr>
        <w:t>De- </w:t>
      </w:r>
      <w:r>
        <w:rPr>
          <w:rFonts w:ascii="Calibri" w:hAnsi="Calibri"/>
          <w:i/>
          <w:color w:val="231F20"/>
          <w:sz w:val="17"/>
        </w:rPr>
        <w:t>mocratización. Teoría y experiencia</w:t>
      </w:r>
      <w:r>
        <w:rPr>
          <w:rFonts w:ascii="Calibri" w:hAnsi="Calibri"/>
          <w:color w:val="231F20"/>
          <w:sz w:val="17"/>
        </w:rPr>
        <w:t>.</w:t>
      </w:r>
    </w:p>
    <w:p>
      <w:pPr>
        <w:spacing w:line="206" w:lineRule="exact" w:before="1"/>
        <w:ind w:left="103" w:right="0" w:firstLine="0"/>
        <w:jc w:val="both"/>
        <w:rPr>
          <w:rFonts w:ascii="Calibri" w:hAnsi="Calibri"/>
          <w:sz w:val="17"/>
        </w:rPr>
      </w:pPr>
      <w:r>
        <w:rPr>
          <w:rFonts w:ascii="Calibri" w:hAnsi="Calibri"/>
          <w:color w:val="231F20"/>
          <w:w w:val="105"/>
          <w:position w:val="6"/>
          <w:sz w:val="10"/>
        </w:rPr>
        <w:t>37 </w:t>
      </w:r>
      <w:r>
        <w:rPr>
          <w:rFonts w:ascii="Calibri" w:hAnsi="Calibri"/>
          <w:color w:val="231F20"/>
          <w:w w:val="105"/>
          <w:sz w:val="17"/>
        </w:rPr>
        <w:t>M. Morini, “Gli effetti delle eredità del passato nella tandemocrazia russa”, </w:t>
      </w:r>
      <w:r>
        <w:rPr>
          <w:rFonts w:ascii="Calibri" w:hAnsi="Calibri"/>
          <w:color w:val="231F20"/>
          <w:spacing w:val="-10"/>
          <w:w w:val="105"/>
          <w:sz w:val="17"/>
        </w:rPr>
        <w:t>P. </w:t>
      </w:r>
      <w:r>
        <w:rPr>
          <w:rFonts w:ascii="Calibri" w:hAnsi="Calibri"/>
          <w:color w:val="231F20"/>
          <w:w w:val="105"/>
          <w:sz w:val="17"/>
        </w:rPr>
        <w:t>Grilli di Cortona y</w:t>
      </w:r>
    </w:p>
    <w:p>
      <w:pPr>
        <w:spacing w:line="235" w:lineRule="auto" w:before="1"/>
        <w:ind w:left="103" w:right="115" w:firstLine="0"/>
        <w:jc w:val="both"/>
        <w:rPr>
          <w:rFonts w:ascii="Calibri" w:hAnsi="Calibri"/>
          <w:sz w:val="17"/>
        </w:rPr>
      </w:pPr>
      <w:r>
        <w:rPr>
          <w:rFonts w:ascii="Calibri" w:hAnsi="Calibri"/>
          <w:color w:val="231F20"/>
          <w:sz w:val="17"/>
        </w:rPr>
        <w:t>O.</w:t>
      </w:r>
      <w:r>
        <w:rPr>
          <w:rFonts w:ascii="Calibri" w:hAnsi="Calibri"/>
          <w:color w:val="231F20"/>
          <w:spacing w:val="-2"/>
          <w:sz w:val="17"/>
        </w:rPr>
        <w:t> </w:t>
      </w:r>
      <w:r>
        <w:rPr>
          <w:rFonts w:ascii="Calibri" w:hAnsi="Calibri"/>
          <w:color w:val="231F20"/>
          <w:sz w:val="17"/>
        </w:rPr>
        <w:t>Lanza</w:t>
      </w:r>
      <w:r>
        <w:rPr>
          <w:rFonts w:ascii="Calibri" w:hAnsi="Calibri"/>
          <w:color w:val="231F20"/>
          <w:spacing w:val="-2"/>
          <w:sz w:val="17"/>
        </w:rPr>
        <w:t> </w:t>
      </w:r>
      <w:r>
        <w:rPr>
          <w:rFonts w:ascii="Calibri" w:hAnsi="Calibri"/>
          <w:color w:val="231F20"/>
          <w:sz w:val="17"/>
        </w:rPr>
        <w:t>(coords),</w:t>
      </w:r>
      <w:r>
        <w:rPr>
          <w:rFonts w:ascii="Calibri" w:hAnsi="Calibri"/>
          <w:color w:val="231F20"/>
          <w:spacing w:val="-2"/>
          <w:sz w:val="17"/>
        </w:rPr>
        <w:t> </w:t>
      </w:r>
      <w:r>
        <w:rPr>
          <w:rFonts w:ascii="Calibri" w:hAnsi="Calibri"/>
          <w:i/>
          <w:color w:val="231F20"/>
          <w:spacing w:val="-5"/>
          <w:sz w:val="17"/>
        </w:rPr>
        <w:t>Tra</w:t>
      </w:r>
      <w:r>
        <w:rPr>
          <w:rFonts w:ascii="Calibri" w:hAnsi="Calibri"/>
          <w:i/>
          <w:color w:val="231F20"/>
          <w:spacing w:val="-6"/>
          <w:sz w:val="17"/>
        </w:rPr>
        <w:t> </w:t>
      </w:r>
      <w:r>
        <w:rPr>
          <w:rFonts w:ascii="Calibri" w:hAnsi="Calibri"/>
          <w:i/>
          <w:color w:val="231F20"/>
          <w:sz w:val="17"/>
        </w:rPr>
        <w:t>vecchio</w:t>
      </w:r>
      <w:r>
        <w:rPr>
          <w:rFonts w:ascii="Calibri" w:hAnsi="Calibri"/>
          <w:i/>
          <w:color w:val="231F20"/>
          <w:spacing w:val="-3"/>
          <w:sz w:val="17"/>
        </w:rPr>
        <w:t> </w:t>
      </w:r>
      <w:r>
        <w:rPr>
          <w:rFonts w:ascii="Calibri" w:hAnsi="Calibri"/>
          <w:i/>
          <w:color w:val="231F20"/>
          <w:sz w:val="17"/>
        </w:rPr>
        <w:t>e</w:t>
      </w:r>
      <w:r>
        <w:rPr>
          <w:rFonts w:ascii="Calibri" w:hAnsi="Calibri"/>
          <w:i/>
          <w:color w:val="231F20"/>
          <w:spacing w:val="-3"/>
          <w:sz w:val="17"/>
        </w:rPr>
        <w:t> </w:t>
      </w:r>
      <w:r>
        <w:rPr>
          <w:rFonts w:ascii="Calibri" w:hAnsi="Calibri"/>
          <w:i/>
          <w:color w:val="231F20"/>
          <w:sz w:val="17"/>
        </w:rPr>
        <w:t>nuovo</w:t>
      </w:r>
      <w:r>
        <w:rPr>
          <w:rFonts w:ascii="Calibri" w:hAnsi="Calibri"/>
          <w:i/>
          <w:color w:val="231F20"/>
          <w:spacing w:val="-3"/>
          <w:sz w:val="17"/>
        </w:rPr>
        <w:t> </w:t>
      </w:r>
      <w:r>
        <w:rPr>
          <w:rFonts w:ascii="Calibri" w:hAnsi="Calibri"/>
          <w:i/>
          <w:color w:val="231F20"/>
          <w:sz w:val="17"/>
        </w:rPr>
        <w:t>regime.</w:t>
      </w:r>
      <w:r>
        <w:rPr>
          <w:rFonts w:ascii="Calibri" w:hAnsi="Calibri"/>
          <w:i/>
          <w:color w:val="231F20"/>
          <w:spacing w:val="-3"/>
          <w:sz w:val="17"/>
        </w:rPr>
        <w:t> </w:t>
      </w:r>
      <w:r>
        <w:rPr>
          <w:rFonts w:ascii="Calibri" w:hAnsi="Calibri"/>
          <w:i/>
          <w:color w:val="231F20"/>
          <w:sz w:val="17"/>
        </w:rPr>
        <w:t>Il</w:t>
      </w:r>
      <w:r>
        <w:rPr>
          <w:rFonts w:ascii="Calibri" w:hAnsi="Calibri"/>
          <w:i/>
          <w:color w:val="231F20"/>
          <w:spacing w:val="-3"/>
          <w:sz w:val="17"/>
        </w:rPr>
        <w:t> </w:t>
      </w:r>
      <w:r>
        <w:rPr>
          <w:rFonts w:ascii="Calibri" w:hAnsi="Calibri"/>
          <w:i/>
          <w:color w:val="231F20"/>
          <w:sz w:val="17"/>
        </w:rPr>
        <w:t>peso</w:t>
      </w:r>
      <w:r>
        <w:rPr>
          <w:rFonts w:ascii="Calibri" w:hAnsi="Calibri"/>
          <w:i/>
          <w:color w:val="231F20"/>
          <w:spacing w:val="-3"/>
          <w:sz w:val="17"/>
        </w:rPr>
        <w:t> </w:t>
      </w:r>
      <w:r>
        <w:rPr>
          <w:rFonts w:ascii="Calibri" w:hAnsi="Calibri"/>
          <w:i/>
          <w:color w:val="231F20"/>
          <w:sz w:val="17"/>
        </w:rPr>
        <w:t>del</w:t>
      </w:r>
      <w:r>
        <w:rPr>
          <w:rFonts w:ascii="Calibri" w:hAnsi="Calibri"/>
          <w:i/>
          <w:color w:val="231F20"/>
          <w:spacing w:val="-3"/>
          <w:sz w:val="17"/>
        </w:rPr>
        <w:t> </w:t>
      </w:r>
      <w:r>
        <w:rPr>
          <w:rFonts w:ascii="Calibri" w:hAnsi="Calibri"/>
          <w:i/>
          <w:color w:val="231F20"/>
          <w:sz w:val="17"/>
        </w:rPr>
        <w:t>passato</w:t>
      </w:r>
      <w:r>
        <w:rPr>
          <w:rFonts w:ascii="Calibri" w:hAnsi="Calibri"/>
          <w:i/>
          <w:color w:val="231F20"/>
          <w:spacing w:val="-3"/>
          <w:sz w:val="17"/>
        </w:rPr>
        <w:t> </w:t>
      </w:r>
      <w:r>
        <w:rPr>
          <w:rFonts w:ascii="Calibri" w:hAnsi="Calibri"/>
          <w:i/>
          <w:color w:val="231F20"/>
          <w:sz w:val="17"/>
        </w:rPr>
        <w:t>nella</w:t>
      </w:r>
      <w:r>
        <w:rPr>
          <w:rFonts w:ascii="Calibri" w:hAnsi="Calibri"/>
          <w:i/>
          <w:color w:val="231F20"/>
          <w:spacing w:val="-3"/>
          <w:sz w:val="17"/>
        </w:rPr>
        <w:t> </w:t>
      </w:r>
      <w:r>
        <w:rPr>
          <w:rFonts w:ascii="Calibri" w:hAnsi="Calibri"/>
          <w:i/>
          <w:color w:val="231F20"/>
          <w:sz w:val="17"/>
        </w:rPr>
        <w:t>costruzione</w:t>
      </w:r>
      <w:r>
        <w:rPr>
          <w:rFonts w:ascii="Calibri" w:hAnsi="Calibri"/>
          <w:i/>
          <w:color w:val="231F20"/>
          <w:spacing w:val="-3"/>
          <w:sz w:val="17"/>
        </w:rPr>
        <w:t> </w:t>
      </w:r>
      <w:r>
        <w:rPr>
          <w:rFonts w:ascii="Calibri" w:hAnsi="Calibri"/>
          <w:i/>
          <w:color w:val="231F20"/>
          <w:sz w:val="17"/>
        </w:rPr>
        <w:t>della</w:t>
      </w:r>
      <w:r>
        <w:rPr>
          <w:rFonts w:ascii="Calibri" w:hAnsi="Calibri"/>
          <w:i/>
          <w:color w:val="231F20"/>
          <w:spacing w:val="-3"/>
          <w:sz w:val="17"/>
        </w:rPr>
        <w:t> </w:t>
      </w:r>
      <w:r>
        <w:rPr>
          <w:rFonts w:ascii="Calibri" w:hAnsi="Calibri"/>
          <w:i/>
          <w:color w:val="231F20"/>
          <w:sz w:val="17"/>
        </w:rPr>
        <w:t>democracia</w:t>
      </w:r>
      <w:r>
        <w:rPr>
          <w:rFonts w:ascii="Calibri" w:hAnsi="Calibri"/>
          <w:color w:val="231F20"/>
          <w:sz w:val="17"/>
        </w:rPr>
        <w:t>, Boloña,</w:t>
      </w:r>
      <w:r>
        <w:rPr>
          <w:rFonts w:ascii="Calibri" w:hAnsi="Calibri"/>
          <w:color w:val="231F20"/>
          <w:spacing w:val="-15"/>
          <w:sz w:val="17"/>
        </w:rPr>
        <w:t> </w:t>
      </w:r>
      <w:r>
        <w:rPr>
          <w:rFonts w:ascii="Calibri" w:hAnsi="Calibri"/>
          <w:color w:val="231F20"/>
          <w:sz w:val="17"/>
        </w:rPr>
        <w:t>Il</w:t>
      </w:r>
      <w:r>
        <w:rPr>
          <w:rFonts w:ascii="Calibri" w:hAnsi="Calibri"/>
          <w:color w:val="231F20"/>
          <w:spacing w:val="-15"/>
          <w:sz w:val="17"/>
        </w:rPr>
        <w:t> </w:t>
      </w:r>
      <w:r>
        <w:rPr>
          <w:rFonts w:ascii="Calibri" w:hAnsi="Calibri"/>
          <w:color w:val="231F20"/>
          <w:sz w:val="17"/>
        </w:rPr>
        <w:t>Mulino,</w:t>
      </w:r>
      <w:r>
        <w:rPr>
          <w:rFonts w:ascii="Calibri" w:hAnsi="Calibri"/>
          <w:color w:val="231F20"/>
          <w:spacing w:val="-15"/>
          <w:sz w:val="17"/>
        </w:rPr>
        <w:t> </w:t>
      </w:r>
      <w:r>
        <w:rPr>
          <w:rFonts w:ascii="Calibri" w:hAnsi="Calibri"/>
          <w:color w:val="231F20"/>
          <w:sz w:val="17"/>
        </w:rPr>
        <w:t>2011,</w:t>
      </w:r>
      <w:r>
        <w:rPr>
          <w:rFonts w:ascii="Calibri" w:hAnsi="Calibri"/>
          <w:color w:val="231F20"/>
          <w:spacing w:val="-15"/>
          <w:sz w:val="17"/>
        </w:rPr>
        <w:t> </w:t>
      </w:r>
      <w:r>
        <w:rPr>
          <w:rFonts w:ascii="Calibri" w:hAnsi="Calibri"/>
          <w:color w:val="231F20"/>
          <w:sz w:val="17"/>
        </w:rPr>
        <w:t>p.</w:t>
      </w:r>
      <w:r>
        <w:rPr>
          <w:rFonts w:ascii="Calibri" w:hAnsi="Calibri"/>
          <w:color w:val="231F20"/>
          <w:spacing w:val="-15"/>
          <w:sz w:val="17"/>
        </w:rPr>
        <w:t> </w:t>
      </w:r>
      <w:r>
        <w:rPr>
          <w:rFonts w:ascii="Calibri" w:hAnsi="Calibri"/>
          <w:color w:val="231F20"/>
          <w:sz w:val="17"/>
        </w:rPr>
        <w:t>241.</w:t>
      </w:r>
    </w:p>
    <w:p>
      <w:pPr>
        <w:spacing w:line="235" w:lineRule="auto" w:before="0"/>
        <w:ind w:left="103" w:right="115" w:firstLine="0"/>
        <w:jc w:val="both"/>
        <w:rPr>
          <w:rFonts w:ascii="Calibri" w:hAnsi="Calibri"/>
          <w:sz w:val="17"/>
        </w:rPr>
      </w:pPr>
      <w:r>
        <w:rPr>
          <w:rFonts w:ascii="Calibri" w:hAnsi="Calibri"/>
          <w:color w:val="231F20"/>
          <w:position w:val="6"/>
          <w:sz w:val="10"/>
        </w:rPr>
        <w:t>38 </w:t>
      </w:r>
      <w:r>
        <w:rPr>
          <w:rFonts w:ascii="Calibri" w:hAnsi="Calibri"/>
          <w:color w:val="231F20"/>
          <w:sz w:val="17"/>
        </w:rPr>
        <w:t>La experiencia de Ucrania en 2014 es también un caso de relevancia de este tema. Véase: O. Mi- khelsen, “Ucraina, la fine di un regime”, </w:t>
      </w:r>
      <w:r>
        <w:rPr>
          <w:rFonts w:ascii="Calibri" w:hAnsi="Calibri"/>
          <w:i/>
          <w:color w:val="231F20"/>
          <w:sz w:val="17"/>
        </w:rPr>
        <w:t>Internazionale</w:t>
      </w:r>
      <w:r>
        <w:rPr>
          <w:rFonts w:ascii="Calibri" w:hAnsi="Calibri"/>
          <w:color w:val="231F20"/>
          <w:sz w:val="17"/>
        </w:rPr>
        <w:t>, 21, 1040, 2014, pp. 14–16.</w:t>
      </w:r>
    </w:p>
    <w:p>
      <w:pPr>
        <w:spacing w:line="203" w:lineRule="exact" w:before="0"/>
        <w:ind w:left="103" w:right="0" w:firstLine="0"/>
        <w:jc w:val="both"/>
        <w:rPr>
          <w:rFonts w:ascii="Calibri" w:hAnsi="Calibri"/>
          <w:sz w:val="17"/>
        </w:rPr>
      </w:pPr>
      <w:r>
        <w:rPr>
          <w:rFonts w:ascii="Calibri" w:hAnsi="Calibri"/>
          <w:color w:val="231F20"/>
          <w:w w:val="105"/>
          <w:position w:val="6"/>
          <w:sz w:val="10"/>
        </w:rPr>
        <w:t>39 </w:t>
      </w:r>
      <w:r>
        <w:rPr>
          <w:rFonts w:ascii="Calibri" w:hAnsi="Calibri"/>
          <w:color w:val="231F20"/>
          <w:w w:val="105"/>
          <w:sz w:val="17"/>
        </w:rPr>
        <w:t>Morini, “Gli effetti delle eredità del passato nella tandemocrazia russa”, p. 237.</w:t>
      </w:r>
    </w:p>
    <w:p>
      <w:pPr>
        <w:spacing w:line="206" w:lineRule="exact" w:before="0"/>
        <w:ind w:left="103" w:right="0" w:firstLine="0"/>
        <w:jc w:val="both"/>
        <w:rPr>
          <w:rFonts w:ascii="Calibri"/>
          <w:sz w:val="17"/>
        </w:rPr>
      </w:pPr>
      <w:r>
        <w:rPr>
          <w:rFonts w:ascii="Calibri"/>
          <w:color w:val="231F20"/>
          <w:position w:val="6"/>
          <w:sz w:val="10"/>
        </w:rPr>
        <w:t>40 </w:t>
      </w:r>
      <w:r>
        <w:rPr>
          <w:rFonts w:ascii="Calibri"/>
          <w:color w:val="231F20"/>
          <w:sz w:val="17"/>
        </w:rPr>
        <w:t>Morini, p. 237.</w:t>
      </w:r>
    </w:p>
    <w:p>
      <w:pPr>
        <w:pStyle w:val="BodyText"/>
        <w:rPr>
          <w:rFonts w:ascii="Calibri"/>
          <w:sz w:val="20"/>
        </w:rPr>
      </w:pPr>
    </w:p>
    <w:p>
      <w:pPr>
        <w:pStyle w:val="BodyText"/>
        <w:spacing w:before="9"/>
        <w:rPr>
          <w:rFonts w:ascii="Calibri"/>
          <w:sz w:val="27"/>
        </w:rPr>
      </w:pPr>
    </w:p>
    <w:p>
      <w:pPr>
        <w:tabs>
          <w:tab w:pos="1331" w:val="left" w:leader="none"/>
        </w:tabs>
        <w:spacing w:before="68"/>
        <w:ind w:left="226" w:right="0" w:firstLine="0"/>
        <w:jc w:val="left"/>
        <w:rPr>
          <w:rFonts w:ascii="Calibri"/>
          <w:sz w:val="16"/>
        </w:rPr>
      </w:pPr>
      <w:r>
        <w:rPr/>
        <w:pict>
          <v:group style="position:absolute;margin-left:98.787804pt;margin-top:-3.358812pt;width:20.4pt;height:43pt;mso-position-horizontal-relative:page;mso-position-vertical-relative:paragraph;z-index:-168688"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128</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244"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676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"EL AFUERA SIEMPRE ES ADENTRO”. TENSIONES Y TRANSFORMACIONES RECIENTES</w:t>
      </w:r>
    </w:p>
    <w:p>
      <w:pPr>
        <w:spacing w:line="198" w:lineRule="exact" w:before="0"/>
        <w:ind w:left="2835" w:right="-7" w:firstLine="0"/>
        <w:jc w:val="left"/>
        <w:rPr>
          <w:rFonts w:ascii="Lucida Sans Unicode" w:hAnsi="Lucida Sans Unicode"/>
          <w:sz w:val="14"/>
        </w:rPr>
      </w:pPr>
      <w:r>
        <w:rPr>
          <w:rFonts w:ascii="Lucida Sans Unicode" w:hAnsi="Lucida Sans Unicode"/>
          <w:color w:val="6D6E71"/>
          <w:w w:val="90"/>
          <w:sz w:val="14"/>
        </w:rPr>
        <w:t>EN</w:t>
      </w:r>
      <w:r>
        <w:rPr>
          <w:rFonts w:ascii="Lucida Sans Unicode" w:hAnsi="Lucida Sans Unicode"/>
          <w:color w:val="6D6E71"/>
          <w:spacing w:val="-10"/>
          <w:w w:val="90"/>
          <w:sz w:val="14"/>
        </w:rPr>
        <w:t> </w:t>
      </w:r>
      <w:r>
        <w:rPr>
          <w:rFonts w:ascii="Lucida Sans Unicode" w:hAnsi="Lucida Sans Unicode"/>
          <w:color w:val="6D6E71"/>
          <w:w w:val="90"/>
          <w:sz w:val="14"/>
        </w:rPr>
        <w:t>EL</w:t>
      </w:r>
      <w:r>
        <w:rPr>
          <w:rFonts w:ascii="Lucida Sans Unicode" w:hAnsi="Lucida Sans Unicode"/>
          <w:color w:val="6D6E71"/>
          <w:spacing w:val="-10"/>
          <w:w w:val="90"/>
          <w:sz w:val="14"/>
        </w:rPr>
        <w:t> </w:t>
      </w:r>
      <w:r>
        <w:rPr>
          <w:rFonts w:ascii="Lucida Sans Unicode" w:hAnsi="Lucida Sans Unicode"/>
          <w:color w:val="6D6E71"/>
          <w:w w:val="90"/>
          <w:sz w:val="14"/>
        </w:rPr>
        <w:t>ESPACIO</w:t>
      </w:r>
      <w:r>
        <w:rPr>
          <w:rFonts w:ascii="Lucida Sans Unicode" w:hAnsi="Lucida Sans Unicode"/>
          <w:color w:val="6D6E71"/>
          <w:spacing w:val="-10"/>
          <w:w w:val="90"/>
          <w:sz w:val="14"/>
        </w:rPr>
        <w:t> </w:t>
      </w:r>
      <w:r>
        <w:rPr>
          <w:rFonts w:ascii="Lucida Sans Unicode" w:hAnsi="Lucida Sans Unicode"/>
          <w:color w:val="6D6E71"/>
          <w:w w:val="90"/>
          <w:sz w:val="14"/>
        </w:rPr>
        <w:t>POLÍTICO</w:t>
      </w:r>
      <w:r>
        <w:rPr>
          <w:rFonts w:ascii="Lucida Sans Unicode" w:hAnsi="Lucida Sans Unicode"/>
          <w:color w:val="6D6E71"/>
          <w:spacing w:val="-10"/>
          <w:w w:val="90"/>
          <w:sz w:val="14"/>
        </w:rPr>
        <w:t> </w:t>
      </w:r>
      <w:r>
        <w:rPr>
          <w:rFonts w:ascii="Lucida Sans Unicode" w:hAnsi="Lucida Sans Unicode"/>
          <w:color w:val="6D6E71"/>
          <w:w w:val="90"/>
          <w:sz w:val="14"/>
        </w:rPr>
        <w:t>DEL</w:t>
      </w:r>
      <w:r>
        <w:rPr>
          <w:rFonts w:ascii="Lucida Sans Unicode" w:hAnsi="Lucida Sans Unicode"/>
          <w:color w:val="6D6E71"/>
          <w:spacing w:val="-10"/>
          <w:w w:val="90"/>
          <w:sz w:val="14"/>
        </w:rPr>
        <w:t> </w:t>
      </w:r>
      <w:r>
        <w:rPr>
          <w:rFonts w:ascii="Lucida Sans Unicode" w:hAnsi="Lucida Sans Unicode"/>
          <w:color w:val="6D6E71"/>
          <w:w w:val="90"/>
          <w:sz w:val="14"/>
        </w:rPr>
        <w:t>ESTADO</w:t>
      </w:r>
      <w:r>
        <w:rPr>
          <w:rFonts w:ascii="Lucida Sans Unicode" w:hAnsi="Lucida Sans Unicode"/>
          <w:color w:val="6D6E71"/>
          <w:spacing w:val="-10"/>
          <w:w w:val="90"/>
          <w:sz w:val="14"/>
        </w:rPr>
        <w:t> </w:t>
      </w:r>
      <w:r>
        <w:rPr>
          <w:rFonts w:ascii="Lucida Sans Unicode" w:hAnsi="Lucida Sans Unicode"/>
          <w:color w:val="6D6E71"/>
          <w:w w:val="90"/>
          <w:sz w:val="14"/>
        </w:rPr>
        <w:t>Y</w:t>
      </w:r>
      <w:r>
        <w:rPr>
          <w:rFonts w:ascii="Lucida Sans Unicode" w:hAnsi="Lucida Sans Unicode"/>
          <w:color w:val="6D6E71"/>
          <w:spacing w:val="-10"/>
          <w:w w:val="90"/>
          <w:sz w:val="14"/>
        </w:rPr>
        <w:t> </w:t>
      </w:r>
      <w:r>
        <w:rPr>
          <w:rFonts w:ascii="Lucida Sans Unicode" w:hAnsi="Lucida Sans Unicode"/>
          <w:color w:val="6D6E71"/>
          <w:w w:val="90"/>
          <w:sz w:val="14"/>
        </w:rPr>
        <w:t>LA</w:t>
      </w:r>
      <w:r>
        <w:rPr>
          <w:rFonts w:ascii="Lucida Sans Unicode" w:hAnsi="Lucida Sans Unicode"/>
          <w:color w:val="6D6E71"/>
          <w:spacing w:val="-10"/>
          <w:w w:val="90"/>
          <w:sz w:val="14"/>
        </w:rPr>
        <w:t> </w:t>
      </w:r>
      <w:r>
        <w:rPr>
          <w:rFonts w:ascii="Lucida Sans Unicode" w:hAnsi="Lucida Sans Unicode"/>
          <w:color w:val="6D6E71"/>
          <w:w w:val="90"/>
          <w:sz w:val="14"/>
        </w:rPr>
        <w:t>DEMOCRACIA</w:t>
      </w:r>
    </w:p>
    <w:p>
      <w:pPr>
        <w:spacing w:before="59"/>
        <w:ind w:left="338" w:right="0" w:firstLine="0"/>
        <w:jc w:val="left"/>
        <w:rPr>
          <w:rFonts w:ascii="Arial"/>
          <w:sz w:val="20"/>
        </w:rPr>
      </w:pPr>
      <w:r>
        <w:rPr/>
        <w:br w:type="column"/>
      </w:r>
      <w:r>
        <w:rPr>
          <w:rFonts w:ascii="Arial"/>
          <w:color w:val="414042"/>
          <w:sz w:val="20"/>
        </w:rPr>
        <w:t>129</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6"/>
        <w:rPr>
          <w:rFonts w:ascii="Arial"/>
          <w:sz w:val="16"/>
        </w:rPr>
      </w:pPr>
    </w:p>
    <w:p>
      <w:pPr>
        <w:pStyle w:val="BodyText"/>
        <w:spacing w:line="247" w:lineRule="auto" w:before="44"/>
        <w:ind w:left="117" w:right="101"/>
        <w:jc w:val="both"/>
      </w:pPr>
      <w:r>
        <w:rPr>
          <w:color w:val="231F20"/>
          <w:w w:val="105"/>
        </w:rPr>
        <w:t>a</w:t>
      </w:r>
      <w:r>
        <w:rPr>
          <w:color w:val="231F20"/>
          <w:spacing w:val="-29"/>
          <w:w w:val="105"/>
        </w:rPr>
        <w:t> </w:t>
      </w:r>
      <w:r>
        <w:rPr>
          <w:color w:val="231F20"/>
          <w:w w:val="105"/>
        </w:rPr>
        <w:t>otros</w:t>
      </w:r>
      <w:r>
        <w:rPr>
          <w:color w:val="231F20"/>
          <w:spacing w:val="-29"/>
          <w:w w:val="105"/>
        </w:rPr>
        <w:t> </w:t>
      </w:r>
      <w:r>
        <w:rPr>
          <w:color w:val="231F20"/>
          <w:w w:val="105"/>
        </w:rPr>
        <w:t>países</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región</w:t>
      </w:r>
      <w:r>
        <w:rPr>
          <w:color w:val="231F20"/>
          <w:spacing w:val="-29"/>
          <w:w w:val="105"/>
        </w:rPr>
        <w:t> </w:t>
      </w:r>
      <w:r>
        <w:rPr>
          <w:color w:val="231F20"/>
          <w:w w:val="105"/>
        </w:rPr>
        <w:t>como</w:t>
      </w:r>
      <w:r>
        <w:rPr>
          <w:color w:val="231F20"/>
          <w:spacing w:val="-29"/>
          <w:w w:val="105"/>
        </w:rPr>
        <w:t> </w:t>
      </w:r>
      <w:r>
        <w:rPr>
          <w:color w:val="231F20"/>
          <w:w w:val="105"/>
        </w:rPr>
        <w:t>Libia,</w:t>
      </w:r>
      <w:r>
        <w:rPr>
          <w:color w:val="231F20"/>
          <w:spacing w:val="-29"/>
          <w:w w:val="105"/>
        </w:rPr>
        <w:t> </w:t>
      </w:r>
      <w:r>
        <w:rPr>
          <w:color w:val="231F20"/>
          <w:spacing w:val="-4"/>
          <w:w w:val="105"/>
        </w:rPr>
        <w:t>Yemen,</w:t>
      </w:r>
      <w:r>
        <w:rPr>
          <w:color w:val="231F20"/>
          <w:spacing w:val="-29"/>
          <w:w w:val="105"/>
        </w:rPr>
        <w:t> </w:t>
      </w:r>
      <w:r>
        <w:rPr>
          <w:color w:val="231F20"/>
          <w:w w:val="105"/>
        </w:rPr>
        <w:t>Jordania,</w:t>
      </w:r>
      <w:r>
        <w:rPr>
          <w:color w:val="231F20"/>
          <w:spacing w:val="-29"/>
          <w:w w:val="105"/>
        </w:rPr>
        <w:t> </w:t>
      </w:r>
      <w:r>
        <w:rPr>
          <w:color w:val="231F20"/>
          <w:w w:val="105"/>
        </w:rPr>
        <w:t>Siria</w:t>
      </w:r>
      <w:r>
        <w:rPr>
          <w:color w:val="231F20"/>
          <w:spacing w:val="-29"/>
          <w:w w:val="105"/>
        </w:rPr>
        <w:t> </w:t>
      </w:r>
      <w:r>
        <w:rPr>
          <w:color w:val="231F20"/>
          <w:w w:val="105"/>
        </w:rPr>
        <w:t>(hoy</w:t>
      </w:r>
      <w:r>
        <w:rPr>
          <w:color w:val="231F20"/>
          <w:spacing w:val="-29"/>
          <w:w w:val="105"/>
        </w:rPr>
        <w:t> </w:t>
      </w:r>
      <w:r>
        <w:rPr>
          <w:color w:val="231F20"/>
          <w:w w:val="105"/>
        </w:rPr>
        <w:t>en</w:t>
      </w:r>
      <w:r>
        <w:rPr>
          <w:color w:val="231F20"/>
          <w:spacing w:val="-29"/>
          <w:w w:val="105"/>
        </w:rPr>
        <w:t> </w:t>
      </w:r>
      <w:r>
        <w:rPr>
          <w:color w:val="231F20"/>
          <w:w w:val="105"/>
        </w:rPr>
        <w:t>gue- rra</w:t>
      </w:r>
      <w:r>
        <w:rPr>
          <w:color w:val="231F20"/>
          <w:spacing w:val="-14"/>
          <w:w w:val="105"/>
        </w:rPr>
        <w:t> </w:t>
      </w:r>
      <w:r>
        <w:rPr>
          <w:color w:val="231F20"/>
          <w:w w:val="105"/>
        </w:rPr>
        <w:t>civil),</w:t>
      </w:r>
      <w:r>
        <w:rPr>
          <w:color w:val="231F20"/>
          <w:spacing w:val="-14"/>
          <w:w w:val="105"/>
        </w:rPr>
        <w:t> </w:t>
      </w:r>
      <w:r>
        <w:rPr>
          <w:color w:val="231F20"/>
          <w:w w:val="105"/>
        </w:rPr>
        <w:t>Marruecos,</w:t>
      </w:r>
      <w:r>
        <w:rPr>
          <w:color w:val="231F20"/>
          <w:spacing w:val="-14"/>
          <w:w w:val="105"/>
        </w:rPr>
        <w:t> </w:t>
      </w:r>
      <w:r>
        <w:rPr>
          <w:color w:val="231F20"/>
          <w:w w:val="105"/>
        </w:rPr>
        <w:t>al</w:t>
      </w:r>
      <w:r>
        <w:rPr>
          <w:color w:val="231F20"/>
          <w:spacing w:val="-14"/>
          <w:w w:val="105"/>
        </w:rPr>
        <w:t> </w:t>
      </w:r>
      <w:r>
        <w:rPr>
          <w:color w:val="231F20"/>
          <w:w w:val="105"/>
        </w:rPr>
        <w:t>grado</w:t>
      </w:r>
      <w:r>
        <w:rPr>
          <w:color w:val="231F20"/>
          <w:spacing w:val="-14"/>
          <w:w w:val="105"/>
        </w:rPr>
        <w:t> </w:t>
      </w:r>
      <w:r>
        <w:rPr>
          <w:color w:val="231F20"/>
          <w:w w:val="105"/>
        </w:rPr>
        <w:t>de</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ha</w:t>
      </w:r>
      <w:r>
        <w:rPr>
          <w:color w:val="231F20"/>
          <w:spacing w:val="-14"/>
          <w:w w:val="105"/>
        </w:rPr>
        <w:t> </w:t>
      </w:r>
      <w:r>
        <w:rPr>
          <w:color w:val="231F20"/>
          <w:w w:val="105"/>
        </w:rPr>
        <w:t>sugerido</w:t>
      </w:r>
      <w:r>
        <w:rPr>
          <w:color w:val="231F20"/>
          <w:spacing w:val="-14"/>
          <w:w w:val="105"/>
        </w:rPr>
        <w:t> </w:t>
      </w:r>
      <w:r>
        <w:rPr>
          <w:color w:val="231F20"/>
          <w:w w:val="105"/>
        </w:rPr>
        <w:t>el</w:t>
      </w:r>
      <w:r>
        <w:rPr>
          <w:color w:val="231F20"/>
          <w:spacing w:val="-14"/>
          <w:w w:val="105"/>
        </w:rPr>
        <w:t> </w:t>
      </w:r>
      <w:r>
        <w:rPr>
          <w:color w:val="231F20"/>
          <w:w w:val="105"/>
        </w:rPr>
        <w:t>apelativo</w:t>
      </w:r>
      <w:r>
        <w:rPr>
          <w:color w:val="231F20"/>
          <w:spacing w:val="-14"/>
          <w:w w:val="105"/>
        </w:rPr>
        <w:t> </w:t>
      </w:r>
      <w:r>
        <w:rPr>
          <w:color w:val="231F20"/>
          <w:w w:val="105"/>
        </w:rPr>
        <w:t>de</w:t>
      </w:r>
      <w:r>
        <w:rPr>
          <w:color w:val="231F20"/>
          <w:spacing w:val="-14"/>
          <w:w w:val="105"/>
        </w:rPr>
        <w:t> </w:t>
      </w:r>
      <w:r>
        <w:rPr>
          <w:color w:val="231F20"/>
          <w:w w:val="105"/>
        </w:rPr>
        <w:t>“una revolución</w:t>
      </w:r>
      <w:r>
        <w:rPr>
          <w:color w:val="231F20"/>
          <w:spacing w:val="-17"/>
          <w:w w:val="105"/>
        </w:rPr>
        <w:t> </w:t>
      </w:r>
      <w:r>
        <w:rPr>
          <w:color w:val="231F20"/>
          <w:w w:val="105"/>
        </w:rPr>
        <w:t>democrática</w:t>
      </w:r>
      <w:r>
        <w:rPr>
          <w:color w:val="231F20"/>
          <w:spacing w:val="-17"/>
          <w:w w:val="105"/>
        </w:rPr>
        <w:t> </w:t>
      </w:r>
      <w:r>
        <w:rPr>
          <w:color w:val="231F20"/>
          <w:w w:val="105"/>
        </w:rPr>
        <w:t>árabe”,</w:t>
      </w:r>
      <w:r>
        <w:rPr>
          <w:color w:val="231F20"/>
          <w:spacing w:val="-17"/>
          <w:w w:val="105"/>
        </w:rPr>
        <w:t> </w:t>
      </w:r>
      <w:r>
        <w:rPr>
          <w:color w:val="231F20"/>
          <w:w w:val="105"/>
        </w:rPr>
        <w:t>con</w:t>
      </w:r>
      <w:r>
        <w:rPr>
          <w:color w:val="231F20"/>
          <w:spacing w:val="-17"/>
          <w:w w:val="105"/>
        </w:rPr>
        <w:t> </w:t>
      </w:r>
      <w:r>
        <w:rPr>
          <w:color w:val="231F20"/>
          <w:w w:val="105"/>
        </w:rPr>
        <w:t>las</w:t>
      </w:r>
      <w:r>
        <w:rPr>
          <w:color w:val="231F20"/>
          <w:spacing w:val="-17"/>
          <w:w w:val="105"/>
        </w:rPr>
        <w:t> </w:t>
      </w:r>
      <w:r>
        <w:rPr>
          <w:color w:val="231F20"/>
          <w:w w:val="105"/>
        </w:rPr>
        <w:t>implicaciones</w:t>
      </w:r>
      <w:r>
        <w:rPr>
          <w:color w:val="231F20"/>
          <w:spacing w:val="-17"/>
          <w:w w:val="105"/>
        </w:rPr>
        <w:t> </w:t>
      </w:r>
      <w:r>
        <w:rPr>
          <w:color w:val="231F20"/>
          <w:w w:val="105"/>
        </w:rPr>
        <w:t>y</w:t>
      </w:r>
      <w:r>
        <w:rPr>
          <w:color w:val="231F20"/>
          <w:spacing w:val="-17"/>
          <w:w w:val="105"/>
        </w:rPr>
        <w:t> </w:t>
      </w:r>
      <w:r>
        <w:rPr>
          <w:color w:val="231F20"/>
          <w:w w:val="105"/>
        </w:rPr>
        <w:t>desafíos</w:t>
      </w:r>
      <w:r>
        <w:rPr>
          <w:color w:val="231F20"/>
          <w:spacing w:val="-17"/>
          <w:w w:val="105"/>
        </w:rPr>
        <w:t> </w:t>
      </w:r>
      <w:r>
        <w:rPr>
          <w:color w:val="231F20"/>
          <w:w w:val="105"/>
        </w:rPr>
        <w:t>que</w:t>
      </w:r>
      <w:r>
        <w:rPr>
          <w:color w:val="231F20"/>
          <w:spacing w:val="-17"/>
          <w:w w:val="105"/>
        </w:rPr>
        <w:t> </w:t>
      </w:r>
      <w:r>
        <w:rPr>
          <w:color w:val="231F20"/>
          <w:w w:val="105"/>
        </w:rPr>
        <w:t>esta noción</w:t>
      </w:r>
      <w:r>
        <w:rPr>
          <w:color w:val="231F20"/>
          <w:spacing w:val="-18"/>
          <w:w w:val="105"/>
        </w:rPr>
        <w:t> </w:t>
      </w:r>
      <w:r>
        <w:rPr>
          <w:color w:val="231F20"/>
          <w:w w:val="105"/>
        </w:rPr>
        <w:t>conlleva</w:t>
      </w:r>
      <w:r>
        <w:rPr>
          <w:color w:val="231F20"/>
          <w:spacing w:val="-18"/>
          <w:w w:val="105"/>
        </w:rPr>
        <w:t> </w:t>
      </w:r>
      <w:r>
        <w:rPr>
          <w:color w:val="231F20"/>
          <w:w w:val="105"/>
        </w:rPr>
        <w:t>para</w:t>
      </w:r>
      <w:r>
        <w:rPr>
          <w:color w:val="231F20"/>
          <w:spacing w:val="-18"/>
          <w:w w:val="105"/>
        </w:rPr>
        <w:t> </w:t>
      </w:r>
      <w:r>
        <w:rPr>
          <w:color w:val="231F20"/>
          <w:w w:val="105"/>
        </w:rPr>
        <w:t>las</w:t>
      </w:r>
      <w:r>
        <w:rPr>
          <w:color w:val="231F20"/>
          <w:spacing w:val="-18"/>
          <w:w w:val="105"/>
        </w:rPr>
        <w:t> </w:t>
      </w:r>
      <w:r>
        <w:rPr>
          <w:color w:val="231F20"/>
          <w:w w:val="105"/>
        </w:rPr>
        <w:t>categorías</w:t>
      </w:r>
      <w:r>
        <w:rPr>
          <w:color w:val="231F20"/>
          <w:spacing w:val="-18"/>
          <w:w w:val="105"/>
        </w:rPr>
        <w:t> </w:t>
      </w:r>
      <w:r>
        <w:rPr>
          <w:color w:val="231F20"/>
          <w:w w:val="105"/>
        </w:rPr>
        <w:t>de</w:t>
      </w:r>
      <w:r>
        <w:rPr>
          <w:color w:val="231F20"/>
          <w:spacing w:val="-18"/>
          <w:w w:val="105"/>
        </w:rPr>
        <w:t> </w:t>
      </w:r>
      <w:r>
        <w:rPr>
          <w:color w:val="231F20"/>
          <w:w w:val="105"/>
        </w:rPr>
        <w:t>análisis</w:t>
      </w:r>
      <w:r>
        <w:rPr>
          <w:color w:val="231F20"/>
          <w:spacing w:val="-18"/>
          <w:w w:val="105"/>
        </w:rPr>
        <w:t> </w:t>
      </w:r>
      <w:r>
        <w:rPr>
          <w:color w:val="231F20"/>
          <w:w w:val="105"/>
        </w:rPr>
        <w:t>político,</w:t>
      </w:r>
      <w:r>
        <w:rPr>
          <w:color w:val="231F20"/>
          <w:spacing w:val="-18"/>
          <w:w w:val="105"/>
        </w:rPr>
        <w:t> </w:t>
      </w:r>
      <w:r>
        <w:rPr>
          <w:color w:val="231F20"/>
          <w:w w:val="105"/>
        </w:rPr>
        <w:t>en</w:t>
      </w:r>
      <w:r>
        <w:rPr>
          <w:color w:val="231F20"/>
          <w:spacing w:val="-18"/>
          <w:w w:val="105"/>
        </w:rPr>
        <w:t> </w:t>
      </w:r>
      <w:r>
        <w:rPr>
          <w:color w:val="231F20"/>
          <w:w w:val="105"/>
        </w:rPr>
        <w:t>particular,</w:t>
      </w:r>
      <w:r>
        <w:rPr>
          <w:color w:val="231F20"/>
          <w:spacing w:val="-18"/>
          <w:w w:val="105"/>
        </w:rPr>
        <w:t> </w:t>
      </w:r>
      <w:r>
        <w:rPr>
          <w:color w:val="231F20"/>
          <w:w w:val="105"/>
        </w:rPr>
        <w:t>res- pecto</w:t>
      </w:r>
      <w:r>
        <w:rPr>
          <w:color w:val="231F20"/>
          <w:spacing w:val="-43"/>
          <w:w w:val="105"/>
        </w:rPr>
        <w:t> </w:t>
      </w:r>
      <w:r>
        <w:rPr>
          <w:color w:val="231F20"/>
          <w:w w:val="105"/>
        </w:rPr>
        <w:t>al</w:t>
      </w:r>
      <w:r>
        <w:rPr>
          <w:color w:val="231F20"/>
          <w:spacing w:val="-43"/>
          <w:w w:val="105"/>
        </w:rPr>
        <w:t> </w:t>
      </w:r>
      <w:r>
        <w:rPr>
          <w:color w:val="231F20"/>
          <w:w w:val="105"/>
        </w:rPr>
        <w:t>vínculo</w:t>
      </w:r>
      <w:r>
        <w:rPr>
          <w:color w:val="231F20"/>
          <w:spacing w:val="-43"/>
          <w:w w:val="105"/>
        </w:rPr>
        <w:t> </w:t>
      </w:r>
      <w:r>
        <w:rPr>
          <w:color w:val="231F20"/>
          <w:w w:val="105"/>
        </w:rPr>
        <w:t>(im)posible</w:t>
      </w:r>
      <w:r>
        <w:rPr>
          <w:color w:val="231F20"/>
          <w:spacing w:val="-43"/>
          <w:w w:val="105"/>
        </w:rPr>
        <w:t> </w:t>
      </w:r>
      <w:r>
        <w:rPr>
          <w:color w:val="231F20"/>
          <w:w w:val="105"/>
        </w:rPr>
        <w:t>entre</w:t>
      </w:r>
      <w:r>
        <w:rPr>
          <w:color w:val="231F20"/>
          <w:spacing w:val="-43"/>
          <w:w w:val="105"/>
        </w:rPr>
        <w:t> </w:t>
      </w:r>
      <w:r>
        <w:rPr>
          <w:color w:val="231F20"/>
          <w:w w:val="105"/>
        </w:rPr>
        <w:t>democracia</w:t>
      </w:r>
      <w:r>
        <w:rPr>
          <w:color w:val="231F20"/>
          <w:spacing w:val="-43"/>
          <w:w w:val="105"/>
        </w:rPr>
        <w:t> </w:t>
      </w:r>
      <w:r>
        <w:rPr>
          <w:color w:val="231F20"/>
          <w:w w:val="105"/>
        </w:rPr>
        <w:t>e</w:t>
      </w:r>
      <w:r>
        <w:rPr>
          <w:color w:val="231F20"/>
          <w:spacing w:val="-43"/>
          <w:w w:val="105"/>
        </w:rPr>
        <w:t> </w:t>
      </w:r>
      <w:r>
        <w:rPr>
          <w:color w:val="231F20"/>
          <w:w w:val="105"/>
        </w:rPr>
        <w:t>Islam</w:t>
      </w:r>
      <w:r>
        <w:rPr>
          <w:color w:val="231F20"/>
          <w:w w:val="105"/>
          <w:position w:val="7"/>
          <w:sz w:val="12"/>
        </w:rPr>
        <w:t>41</w:t>
      </w:r>
      <w:r>
        <w:rPr>
          <w:color w:val="231F20"/>
          <w:w w:val="105"/>
        </w:rPr>
        <w:t>.</w:t>
      </w:r>
    </w:p>
    <w:p>
      <w:pPr>
        <w:pStyle w:val="BodyText"/>
        <w:spacing w:line="247" w:lineRule="auto"/>
        <w:ind w:left="117" w:right="101" w:firstLine="566"/>
        <w:jc w:val="right"/>
      </w:pPr>
      <w:r>
        <w:rPr>
          <w:color w:val="231F20"/>
          <w:w w:val="105"/>
        </w:rPr>
        <w:t>Estos</w:t>
      </w:r>
      <w:r>
        <w:rPr>
          <w:color w:val="231F20"/>
          <w:spacing w:val="-49"/>
          <w:w w:val="105"/>
        </w:rPr>
        <w:t> </w:t>
      </w:r>
      <w:r>
        <w:rPr>
          <w:color w:val="231F20"/>
          <w:w w:val="105"/>
        </w:rPr>
        <w:t>eventos</w:t>
      </w:r>
      <w:r>
        <w:rPr>
          <w:color w:val="231F20"/>
          <w:spacing w:val="-49"/>
          <w:w w:val="105"/>
        </w:rPr>
        <w:t> </w:t>
      </w:r>
      <w:r>
        <w:rPr>
          <w:color w:val="231F20"/>
          <w:w w:val="105"/>
        </w:rPr>
        <w:t>han</w:t>
      </w:r>
      <w:r>
        <w:rPr>
          <w:color w:val="231F20"/>
          <w:spacing w:val="-49"/>
          <w:w w:val="105"/>
        </w:rPr>
        <w:t> </w:t>
      </w:r>
      <w:r>
        <w:rPr>
          <w:color w:val="231F20"/>
          <w:w w:val="105"/>
        </w:rPr>
        <w:t>sido</w:t>
      </w:r>
      <w:r>
        <w:rPr>
          <w:color w:val="231F20"/>
          <w:spacing w:val="-49"/>
          <w:w w:val="105"/>
        </w:rPr>
        <w:t> </w:t>
      </w:r>
      <w:r>
        <w:rPr>
          <w:color w:val="231F20"/>
          <w:w w:val="105"/>
        </w:rPr>
        <w:t>más</w:t>
      </w:r>
      <w:r>
        <w:rPr>
          <w:color w:val="231F20"/>
          <w:spacing w:val="-49"/>
          <w:w w:val="105"/>
        </w:rPr>
        <w:t> </w:t>
      </w:r>
      <w:r>
        <w:rPr>
          <w:color w:val="231F20"/>
          <w:spacing w:val="-3"/>
          <w:w w:val="105"/>
        </w:rPr>
        <w:t>claros</w:t>
      </w:r>
      <w:r>
        <w:rPr>
          <w:color w:val="231F20"/>
          <w:spacing w:val="-49"/>
          <w:w w:val="105"/>
        </w:rPr>
        <w:t> </w:t>
      </w:r>
      <w:r>
        <w:rPr>
          <w:color w:val="231F20"/>
          <w:w w:val="105"/>
        </w:rPr>
        <w:t>y</w:t>
      </w:r>
      <w:r>
        <w:rPr>
          <w:color w:val="231F20"/>
          <w:spacing w:val="-49"/>
          <w:w w:val="105"/>
        </w:rPr>
        <w:t> </w:t>
      </w:r>
      <w:r>
        <w:rPr>
          <w:color w:val="231F20"/>
          <w:w w:val="105"/>
        </w:rPr>
        <w:t>muestran</w:t>
      </w:r>
      <w:r>
        <w:rPr>
          <w:color w:val="231F20"/>
          <w:spacing w:val="-49"/>
          <w:w w:val="105"/>
        </w:rPr>
        <w:t> </w:t>
      </w:r>
      <w:r>
        <w:rPr>
          <w:color w:val="231F20"/>
          <w:w w:val="105"/>
        </w:rPr>
        <w:t>un</w:t>
      </w:r>
      <w:r>
        <w:rPr>
          <w:color w:val="231F20"/>
          <w:spacing w:val="-49"/>
          <w:w w:val="105"/>
        </w:rPr>
        <w:t> </w:t>
      </w:r>
      <w:r>
        <w:rPr>
          <w:color w:val="231F20"/>
          <w:w w:val="105"/>
        </w:rPr>
        <w:t>impacto</w:t>
      </w:r>
      <w:r>
        <w:rPr>
          <w:color w:val="231F20"/>
          <w:spacing w:val="-49"/>
          <w:w w:val="105"/>
        </w:rPr>
        <w:t> </w:t>
      </w:r>
      <w:r>
        <w:rPr>
          <w:color w:val="231F20"/>
          <w:w w:val="105"/>
        </w:rPr>
        <w:t>más</w:t>
      </w:r>
      <w:r>
        <w:rPr>
          <w:color w:val="231F20"/>
          <w:spacing w:val="-49"/>
          <w:w w:val="105"/>
        </w:rPr>
        <w:t> </w:t>
      </w:r>
      <w:r>
        <w:rPr>
          <w:color w:val="231F20"/>
          <w:spacing w:val="-3"/>
          <w:w w:val="105"/>
        </w:rPr>
        <w:t>erosivo</w:t>
      </w:r>
      <w:r>
        <w:rPr>
          <w:color w:val="231F20"/>
          <w:spacing w:val="-2"/>
          <w:w w:val="102"/>
        </w:rPr>
        <w:t> </w:t>
      </w:r>
      <w:r>
        <w:rPr>
          <w:color w:val="231F20"/>
          <w:w w:val="105"/>
        </w:rPr>
        <w:t>para</w:t>
      </w:r>
      <w:r>
        <w:rPr>
          <w:color w:val="231F20"/>
          <w:spacing w:val="-33"/>
          <w:w w:val="105"/>
        </w:rPr>
        <w:t> </w:t>
      </w:r>
      <w:r>
        <w:rPr>
          <w:color w:val="231F20"/>
          <w:w w:val="105"/>
        </w:rPr>
        <w:t>la</w:t>
      </w:r>
      <w:r>
        <w:rPr>
          <w:color w:val="231F20"/>
          <w:spacing w:val="-33"/>
          <w:w w:val="105"/>
        </w:rPr>
        <w:t> </w:t>
      </w:r>
      <w:r>
        <w:rPr>
          <w:color w:val="231F20"/>
          <w:w w:val="105"/>
        </w:rPr>
        <w:t>vida</w:t>
      </w:r>
      <w:r>
        <w:rPr>
          <w:color w:val="231F20"/>
          <w:spacing w:val="-33"/>
          <w:w w:val="105"/>
        </w:rPr>
        <w:t> </w:t>
      </w:r>
      <w:r>
        <w:rPr>
          <w:color w:val="231F20"/>
          <w:w w:val="105"/>
        </w:rPr>
        <w:t>de</w:t>
      </w:r>
      <w:r>
        <w:rPr>
          <w:color w:val="231F20"/>
          <w:spacing w:val="-33"/>
          <w:w w:val="105"/>
        </w:rPr>
        <w:t> </w:t>
      </w:r>
      <w:r>
        <w:rPr>
          <w:color w:val="231F20"/>
          <w:w w:val="105"/>
        </w:rPr>
        <w:t>las</w:t>
      </w:r>
      <w:r>
        <w:rPr>
          <w:color w:val="231F20"/>
          <w:spacing w:val="-33"/>
          <w:w w:val="105"/>
        </w:rPr>
        <w:t> </w:t>
      </w:r>
      <w:r>
        <w:rPr>
          <w:color w:val="231F20"/>
          <w:w w:val="105"/>
        </w:rPr>
        <w:t>democracias</w:t>
      </w:r>
      <w:r>
        <w:rPr>
          <w:color w:val="231F20"/>
          <w:spacing w:val="-33"/>
          <w:w w:val="105"/>
        </w:rPr>
        <w:t> </w:t>
      </w:r>
      <w:r>
        <w:rPr>
          <w:color w:val="231F20"/>
          <w:w w:val="105"/>
        </w:rPr>
        <w:t>en</w:t>
      </w:r>
      <w:r>
        <w:rPr>
          <w:color w:val="231F20"/>
          <w:spacing w:val="-33"/>
          <w:w w:val="105"/>
        </w:rPr>
        <w:t> </w:t>
      </w:r>
      <w:r>
        <w:rPr>
          <w:color w:val="231F20"/>
          <w:spacing w:val="-3"/>
          <w:w w:val="105"/>
        </w:rPr>
        <w:t>nuestros</w:t>
      </w:r>
      <w:r>
        <w:rPr>
          <w:color w:val="231F20"/>
          <w:spacing w:val="-33"/>
          <w:w w:val="105"/>
        </w:rPr>
        <w:t> </w:t>
      </w:r>
      <w:r>
        <w:rPr>
          <w:color w:val="231F20"/>
          <w:w w:val="105"/>
        </w:rPr>
        <w:t>días</w:t>
      </w:r>
      <w:r>
        <w:rPr>
          <w:color w:val="231F20"/>
          <w:spacing w:val="-33"/>
          <w:w w:val="105"/>
        </w:rPr>
        <w:t> </w:t>
      </w:r>
      <w:r>
        <w:rPr>
          <w:color w:val="231F20"/>
          <w:w w:val="105"/>
        </w:rPr>
        <w:t>en</w:t>
      </w:r>
      <w:r>
        <w:rPr>
          <w:color w:val="231F20"/>
          <w:spacing w:val="-33"/>
          <w:w w:val="105"/>
        </w:rPr>
        <w:t> </w:t>
      </w:r>
      <w:r>
        <w:rPr>
          <w:color w:val="231F20"/>
          <w:w w:val="105"/>
        </w:rPr>
        <w:t>aquellas</w:t>
      </w:r>
      <w:r>
        <w:rPr>
          <w:color w:val="231F20"/>
          <w:spacing w:val="-33"/>
          <w:w w:val="105"/>
        </w:rPr>
        <w:t> </w:t>
      </w:r>
      <w:r>
        <w:rPr>
          <w:color w:val="231F20"/>
          <w:spacing w:val="-3"/>
          <w:w w:val="105"/>
        </w:rPr>
        <w:t>regiones</w:t>
      </w:r>
      <w:r>
        <w:rPr>
          <w:color w:val="231F20"/>
          <w:spacing w:val="-33"/>
          <w:w w:val="105"/>
        </w:rPr>
        <w:t> </w:t>
      </w:r>
      <w:r>
        <w:rPr>
          <w:color w:val="231F20"/>
          <w:w w:val="105"/>
        </w:rPr>
        <w:t>y</w:t>
      </w:r>
      <w:r>
        <w:rPr>
          <w:color w:val="231F20"/>
          <w:spacing w:val="-33"/>
          <w:w w:val="105"/>
        </w:rPr>
        <w:t> </w:t>
      </w:r>
      <w:r>
        <w:rPr>
          <w:color w:val="231F20"/>
          <w:w w:val="105"/>
        </w:rPr>
        <w:t>ex-</w:t>
      </w:r>
      <w:r>
        <w:rPr>
          <w:color w:val="231F20"/>
          <w:w w:val="91"/>
        </w:rPr>
        <w:t> </w:t>
      </w:r>
      <w:r>
        <w:rPr>
          <w:color w:val="231F20"/>
          <w:w w:val="105"/>
        </w:rPr>
        <w:t>periencias</w:t>
      </w:r>
      <w:r>
        <w:rPr>
          <w:color w:val="231F20"/>
          <w:spacing w:val="-24"/>
          <w:w w:val="105"/>
        </w:rPr>
        <w:t> </w:t>
      </w:r>
      <w:r>
        <w:rPr>
          <w:color w:val="231F20"/>
          <w:w w:val="105"/>
        </w:rPr>
        <w:t>históricas</w:t>
      </w:r>
      <w:r>
        <w:rPr>
          <w:color w:val="231F20"/>
          <w:spacing w:val="-24"/>
          <w:w w:val="105"/>
        </w:rPr>
        <w:t> </w:t>
      </w:r>
      <w:r>
        <w:rPr>
          <w:color w:val="231F20"/>
          <w:w w:val="105"/>
        </w:rPr>
        <w:t>donde</w:t>
      </w:r>
      <w:r>
        <w:rPr>
          <w:color w:val="231F20"/>
          <w:spacing w:val="-24"/>
          <w:w w:val="105"/>
        </w:rPr>
        <w:t> </w:t>
      </w:r>
      <w:r>
        <w:rPr>
          <w:color w:val="231F20"/>
          <w:w w:val="105"/>
        </w:rPr>
        <w:t>la</w:t>
      </w:r>
      <w:r>
        <w:rPr>
          <w:color w:val="231F20"/>
          <w:spacing w:val="-24"/>
          <w:w w:val="105"/>
        </w:rPr>
        <w:t> </w:t>
      </w:r>
      <w:r>
        <w:rPr>
          <w:color w:val="231F20"/>
          <w:spacing w:val="-3"/>
          <w:w w:val="105"/>
        </w:rPr>
        <w:t>organización</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sociedad</w:t>
      </w:r>
      <w:r>
        <w:rPr>
          <w:color w:val="231F20"/>
          <w:spacing w:val="-24"/>
          <w:w w:val="105"/>
        </w:rPr>
        <w:t> </w:t>
      </w:r>
      <w:r>
        <w:rPr>
          <w:color w:val="231F20"/>
          <w:w w:val="105"/>
        </w:rPr>
        <w:t>había</w:t>
      </w:r>
      <w:r>
        <w:rPr>
          <w:color w:val="231F20"/>
          <w:spacing w:val="-24"/>
          <w:w w:val="105"/>
        </w:rPr>
        <w:t> </w:t>
      </w:r>
      <w:r>
        <w:rPr>
          <w:color w:val="231F20"/>
          <w:w w:val="105"/>
        </w:rPr>
        <w:t>quedado</w:t>
      </w:r>
      <w:r>
        <w:rPr>
          <w:color w:val="231F20"/>
          <w:spacing w:val="-2"/>
          <w:w w:val="106"/>
        </w:rPr>
        <w:t> </w:t>
      </w:r>
      <w:r>
        <w:rPr>
          <w:color w:val="231F20"/>
          <w:w w:val="105"/>
        </w:rPr>
        <w:t>delegada</w:t>
      </w:r>
      <w:r>
        <w:rPr>
          <w:color w:val="231F20"/>
          <w:spacing w:val="-33"/>
          <w:w w:val="105"/>
        </w:rPr>
        <w:t> </w:t>
      </w:r>
      <w:r>
        <w:rPr>
          <w:color w:val="231F20"/>
          <w:w w:val="105"/>
        </w:rPr>
        <w:t>en</w:t>
      </w:r>
      <w:r>
        <w:rPr>
          <w:color w:val="231F20"/>
          <w:spacing w:val="-33"/>
          <w:w w:val="105"/>
        </w:rPr>
        <w:t> </w:t>
      </w:r>
      <w:r>
        <w:rPr>
          <w:color w:val="231F20"/>
          <w:w w:val="105"/>
        </w:rPr>
        <w:t>muchas</w:t>
      </w:r>
      <w:r>
        <w:rPr>
          <w:color w:val="231F20"/>
          <w:spacing w:val="-33"/>
          <w:w w:val="105"/>
        </w:rPr>
        <w:t> </w:t>
      </w:r>
      <w:r>
        <w:rPr>
          <w:color w:val="231F20"/>
          <w:w w:val="105"/>
        </w:rPr>
        <w:t>de</w:t>
      </w:r>
      <w:r>
        <w:rPr>
          <w:color w:val="231F20"/>
          <w:spacing w:val="-33"/>
          <w:w w:val="105"/>
        </w:rPr>
        <w:t> </w:t>
      </w:r>
      <w:r>
        <w:rPr>
          <w:color w:val="231F20"/>
          <w:w w:val="105"/>
        </w:rPr>
        <w:t>sus</w:t>
      </w:r>
      <w:r>
        <w:rPr>
          <w:color w:val="231F20"/>
          <w:spacing w:val="-33"/>
          <w:w w:val="105"/>
        </w:rPr>
        <w:t> </w:t>
      </w:r>
      <w:r>
        <w:rPr>
          <w:color w:val="231F20"/>
          <w:w w:val="105"/>
        </w:rPr>
        <w:t>directrices</w:t>
      </w:r>
      <w:r>
        <w:rPr>
          <w:color w:val="231F20"/>
          <w:spacing w:val="-33"/>
          <w:w w:val="105"/>
        </w:rPr>
        <w:t> </w:t>
      </w:r>
      <w:r>
        <w:rPr>
          <w:color w:val="231F20"/>
          <w:w w:val="105"/>
        </w:rPr>
        <w:t>a</w:t>
      </w:r>
      <w:r>
        <w:rPr>
          <w:color w:val="231F20"/>
          <w:spacing w:val="-33"/>
          <w:w w:val="105"/>
        </w:rPr>
        <w:t> </w:t>
      </w:r>
      <w:r>
        <w:rPr>
          <w:color w:val="231F20"/>
          <w:w w:val="105"/>
        </w:rPr>
        <w:t>la</w:t>
      </w:r>
      <w:r>
        <w:rPr>
          <w:color w:val="231F20"/>
          <w:spacing w:val="-33"/>
          <w:w w:val="105"/>
        </w:rPr>
        <w:t> </w:t>
      </w:r>
      <w:r>
        <w:rPr>
          <w:color w:val="231F20"/>
          <w:w w:val="105"/>
        </w:rPr>
        <w:t>capacidad</w:t>
      </w:r>
      <w:r>
        <w:rPr>
          <w:color w:val="231F20"/>
          <w:spacing w:val="-33"/>
          <w:w w:val="105"/>
        </w:rPr>
        <w:t> </w:t>
      </w:r>
      <w:r>
        <w:rPr>
          <w:color w:val="231F20"/>
          <w:w w:val="105"/>
        </w:rPr>
        <w:t>del</w:t>
      </w:r>
      <w:r>
        <w:rPr>
          <w:color w:val="231F20"/>
          <w:spacing w:val="-33"/>
          <w:w w:val="105"/>
        </w:rPr>
        <w:t> </w:t>
      </w:r>
      <w:r>
        <w:rPr>
          <w:color w:val="231F20"/>
          <w:w w:val="105"/>
        </w:rPr>
        <w:t>Estado</w:t>
      </w:r>
      <w:r>
        <w:rPr>
          <w:color w:val="231F20"/>
          <w:spacing w:val="-33"/>
          <w:w w:val="105"/>
        </w:rPr>
        <w:t> </w:t>
      </w:r>
      <w:r>
        <w:rPr>
          <w:color w:val="231F20"/>
          <w:w w:val="105"/>
        </w:rPr>
        <w:t>para</w:t>
      </w:r>
      <w:r>
        <w:rPr>
          <w:color w:val="231F20"/>
          <w:spacing w:val="-33"/>
          <w:w w:val="105"/>
        </w:rPr>
        <w:t> </w:t>
      </w:r>
      <w:r>
        <w:rPr>
          <w:color w:val="231F20"/>
          <w:spacing w:val="-3"/>
          <w:w w:val="105"/>
        </w:rPr>
        <w:t>pro-</w:t>
      </w:r>
      <w:r>
        <w:rPr>
          <w:color w:val="231F20"/>
          <w:w w:val="91"/>
        </w:rPr>
        <w:t> </w:t>
      </w:r>
      <w:r>
        <w:rPr>
          <w:color w:val="231F20"/>
          <w:w w:val="105"/>
        </w:rPr>
        <w:t>ducir</w:t>
      </w:r>
      <w:r>
        <w:rPr>
          <w:color w:val="231F20"/>
          <w:spacing w:val="-33"/>
          <w:w w:val="105"/>
        </w:rPr>
        <w:t> </w:t>
      </w:r>
      <w:r>
        <w:rPr>
          <w:color w:val="231F20"/>
          <w:w w:val="105"/>
        </w:rPr>
        <w:t>cohesión</w:t>
      </w:r>
      <w:r>
        <w:rPr>
          <w:color w:val="231F20"/>
          <w:spacing w:val="-33"/>
          <w:w w:val="105"/>
        </w:rPr>
        <w:t> </w:t>
      </w:r>
      <w:r>
        <w:rPr>
          <w:color w:val="231F20"/>
          <w:w w:val="105"/>
        </w:rPr>
        <w:t>y</w:t>
      </w:r>
      <w:r>
        <w:rPr>
          <w:color w:val="231F20"/>
          <w:spacing w:val="-33"/>
          <w:w w:val="105"/>
        </w:rPr>
        <w:t> </w:t>
      </w:r>
      <w:r>
        <w:rPr>
          <w:color w:val="231F20"/>
          <w:w w:val="105"/>
        </w:rPr>
        <w:t>legitimidad</w:t>
      </w:r>
      <w:r>
        <w:rPr>
          <w:color w:val="231F20"/>
          <w:spacing w:val="-33"/>
          <w:w w:val="105"/>
        </w:rPr>
        <w:t> </w:t>
      </w:r>
      <w:r>
        <w:rPr>
          <w:color w:val="231F20"/>
          <w:w w:val="105"/>
        </w:rPr>
        <w:t>(además</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experiencia</w:t>
      </w:r>
      <w:r>
        <w:rPr>
          <w:color w:val="231F20"/>
          <w:spacing w:val="-33"/>
          <w:w w:val="105"/>
        </w:rPr>
        <w:t> </w:t>
      </w:r>
      <w:r>
        <w:rPr>
          <w:color w:val="231F20"/>
          <w:w w:val="105"/>
        </w:rPr>
        <w:t>de</w:t>
      </w:r>
      <w:r>
        <w:rPr>
          <w:color w:val="231F20"/>
          <w:spacing w:val="-33"/>
          <w:w w:val="105"/>
        </w:rPr>
        <w:t> </w:t>
      </w:r>
      <w:r>
        <w:rPr>
          <w:color w:val="231F20"/>
          <w:w w:val="105"/>
        </w:rPr>
        <w:t>Rusia,</w:t>
      </w:r>
      <w:r>
        <w:rPr>
          <w:color w:val="231F20"/>
          <w:spacing w:val="-33"/>
          <w:w w:val="105"/>
        </w:rPr>
        <w:t> </w:t>
      </w:r>
      <w:r>
        <w:rPr>
          <w:color w:val="231F20"/>
          <w:w w:val="105"/>
        </w:rPr>
        <w:t>los</w:t>
      </w:r>
      <w:r>
        <w:rPr>
          <w:color w:val="231F20"/>
          <w:spacing w:val="-33"/>
          <w:w w:val="105"/>
        </w:rPr>
        <w:t> </w:t>
      </w:r>
      <w:r>
        <w:rPr>
          <w:color w:val="231F20"/>
          <w:w w:val="105"/>
        </w:rPr>
        <w:t>casos</w:t>
      </w:r>
      <w:r>
        <w:rPr>
          <w:color w:val="231F20"/>
          <w:spacing w:val="-2"/>
          <w:w w:val="100"/>
        </w:rPr>
        <w:t> </w:t>
      </w:r>
      <w:r>
        <w:rPr>
          <w:color w:val="231F20"/>
          <w:w w:val="105"/>
        </w:rPr>
        <w:t>de</w:t>
      </w:r>
      <w:r>
        <w:rPr>
          <w:color w:val="231F20"/>
          <w:spacing w:val="-33"/>
          <w:w w:val="105"/>
        </w:rPr>
        <w:t> </w:t>
      </w:r>
      <w:r>
        <w:rPr>
          <w:color w:val="231F20"/>
          <w:w w:val="105"/>
        </w:rPr>
        <w:t>México</w:t>
      </w:r>
      <w:r>
        <w:rPr>
          <w:color w:val="231F20"/>
          <w:spacing w:val="-33"/>
          <w:w w:val="105"/>
        </w:rPr>
        <w:t> </w:t>
      </w:r>
      <w:r>
        <w:rPr>
          <w:color w:val="231F20"/>
          <w:w w:val="105"/>
        </w:rPr>
        <w:t>y</w:t>
      </w:r>
      <w:r>
        <w:rPr>
          <w:color w:val="231F20"/>
          <w:spacing w:val="-33"/>
          <w:w w:val="105"/>
        </w:rPr>
        <w:t> </w:t>
      </w:r>
      <w:r>
        <w:rPr>
          <w:color w:val="231F20"/>
          <w:w w:val="105"/>
        </w:rPr>
        <w:t>China</w:t>
      </w:r>
      <w:r>
        <w:rPr>
          <w:color w:val="231F20"/>
          <w:spacing w:val="-33"/>
          <w:w w:val="105"/>
        </w:rPr>
        <w:t> </w:t>
      </w:r>
      <w:r>
        <w:rPr>
          <w:color w:val="231F20"/>
          <w:w w:val="105"/>
        </w:rPr>
        <w:t>son</w:t>
      </w:r>
      <w:r>
        <w:rPr>
          <w:color w:val="231F20"/>
          <w:spacing w:val="-33"/>
          <w:w w:val="105"/>
        </w:rPr>
        <w:t> </w:t>
      </w:r>
      <w:r>
        <w:rPr>
          <w:color w:val="231F20"/>
          <w:w w:val="105"/>
        </w:rPr>
        <w:t>ilustrativos),</w:t>
      </w:r>
      <w:r>
        <w:rPr>
          <w:color w:val="231F20"/>
          <w:spacing w:val="-33"/>
          <w:w w:val="105"/>
        </w:rPr>
        <w:t> </w:t>
      </w:r>
      <w:r>
        <w:rPr>
          <w:color w:val="231F20"/>
          <w:w w:val="105"/>
        </w:rPr>
        <w:t>fenómeno</w:t>
      </w:r>
      <w:r>
        <w:rPr>
          <w:color w:val="231F20"/>
          <w:spacing w:val="-33"/>
          <w:w w:val="105"/>
        </w:rPr>
        <w:t> </w:t>
      </w:r>
      <w:r>
        <w:rPr>
          <w:color w:val="231F20"/>
          <w:w w:val="105"/>
        </w:rPr>
        <w:t>que</w:t>
      </w:r>
      <w:r>
        <w:rPr>
          <w:color w:val="231F20"/>
          <w:spacing w:val="-33"/>
          <w:w w:val="105"/>
        </w:rPr>
        <w:t> </w:t>
      </w:r>
      <w:r>
        <w:rPr>
          <w:color w:val="231F20"/>
          <w:w w:val="105"/>
        </w:rPr>
        <w:t>se</w:t>
      </w:r>
      <w:r>
        <w:rPr>
          <w:color w:val="231F20"/>
          <w:spacing w:val="-33"/>
          <w:w w:val="105"/>
        </w:rPr>
        <w:t> </w:t>
      </w:r>
      <w:r>
        <w:rPr>
          <w:color w:val="231F20"/>
          <w:w w:val="105"/>
        </w:rPr>
        <w:t>conjugaba</w:t>
      </w:r>
      <w:r>
        <w:rPr>
          <w:color w:val="231F20"/>
          <w:spacing w:val="-33"/>
          <w:w w:val="105"/>
        </w:rPr>
        <w:t> </w:t>
      </w:r>
      <w:r>
        <w:rPr>
          <w:color w:val="231F20"/>
          <w:w w:val="105"/>
        </w:rPr>
        <w:t>con</w:t>
      </w:r>
      <w:r>
        <w:rPr>
          <w:color w:val="231F20"/>
          <w:spacing w:val="-33"/>
          <w:w w:val="105"/>
        </w:rPr>
        <w:t> </w:t>
      </w:r>
      <w:r>
        <w:rPr>
          <w:color w:val="231F20"/>
          <w:w w:val="105"/>
        </w:rPr>
        <w:t>la</w:t>
      </w:r>
      <w:r>
        <w:rPr>
          <w:color w:val="231F20"/>
          <w:spacing w:val="-33"/>
          <w:w w:val="105"/>
        </w:rPr>
        <w:t> </w:t>
      </w:r>
      <w:r>
        <w:rPr>
          <w:color w:val="231F20"/>
          <w:spacing w:val="-2"/>
          <w:w w:val="105"/>
        </w:rPr>
        <w:t>ola</w:t>
      </w:r>
      <w:r>
        <w:rPr>
          <w:color w:val="231F20"/>
          <w:spacing w:val="-2"/>
          <w:w w:val="104"/>
        </w:rPr>
        <w:t> </w:t>
      </w:r>
      <w:r>
        <w:rPr>
          <w:color w:val="231F20"/>
          <w:w w:val="105"/>
        </w:rPr>
        <w:t>de</w:t>
      </w:r>
      <w:r>
        <w:rPr>
          <w:color w:val="231F20"/>
          <w:spacing w:val="-41"/>
          <w:w w:val="105"/>
        </w:rPr>
        <w:t> </w:t>
      </w:r>
      <w:r>
        <w:rPr>
          <w:color w:val="231F20"/>
          <w:w w:val="105"/>
        </w:rPr>
        <w:t>liberalización</w:t>
      </w:r>
      <w:r>
        <w:rPr>
          <w:color w:val="231F20"/>
          <w:spacing w:val="-41"/>
          <w:w w:val="105"/>
        </w:rPr>
        <w:t> </w:t>
      </w:r>
      <w:r>
        <w:rPr>
          <w:color w:val="231F20"/>
          <w:w w:val="105"/>
        </w:rPr>
        <w:t>de</w:t>
      </w:r>
      <w:r>
        <w:rPr>
          <w:color w:val="231F20"/>
          <w:spacing w:val="-41"/>
          <w:w w:val="105"/>
        </w:rPr>
        <w:t> </w:t>
      </w:r>
      <w:r>
        <w:rPr>
          <w:color w:val="231F20"/>
          <w:w w:val="105"/>
        </w:rPr>
        <w:t>la</w:t>
      </w:r>
      <w:r>
        <w:rPr>
          <w:color w:val="231F20"/>
          <w:spacing w:val="-41"/>
          <w:w w:val="105"/>
        </w:rPr>
        <w:t> </w:t>
      </w:r>
      <w:r>
        <w:rPr>
          <w:color w:val="231F20"/>
          <w:w w:val="105"/>
        </w:rPr>
        <w:t>economía</w:t>
      </w:r>
      <w:r>
        <w:rPr>
          <w:color w:val="231F20"/>
          <w:spacing w:val="-41"/>
          <w:w w:val="105"/>
        </w:rPr>
        <w:t> </w:t>
      </w:r>
      <w:r>
        <w:rPr>
          <w:color w:val="231F20"/>
          <w:w w:val="105"/>
        </w:rPr>
        <w:t>de</w:t>
      </w:r>
      <w:r>
        <w:rPr>
          <w:color w:val="231F20"/>
          <w:spacing w:val="-41"/>
          <w:w w:val="105"/>
        </w:rPr>
        <w:t> </w:t>
      </w:r>
      <w:r>
        <w:rPr>
          <w:color w:val="231F20"/>
          <w:w w:val="105"/>
        </w:rPr>
        <w:t>la</w:t>
      </w:r>
      <w:r>
        <w:rPr>
          <w:color w:val="231F20"/>
          <w:spacing w:val="-41"/>
          <w:w w:val="105"/>
        </w:rPr>
        <w:t> </w:t>
      </w:r>
      <w:r>
        <w:rPr>
          <w:color w:val="231F20"/>
          <w:w w:val="105"/>
        </w:rPr>
        <w:t>tutela</w:t>
      </w:r>
      <w:r>
        <w:rPr>
          <w:color w:val="231F20"/>
          <w:spacing w:val="-41"/>
          <w:w w:val="105"/>
        </w:rPr>
        <w:t> </w:t>
      </w:r>
      <w:r>
        <w:rPr>
          <w:color w:val="231F20"/>
          <w:w w:val="105"/>
        </w:rPr>
        <w:t>estatal,</w:t>
      </w:r>
      <w:r>
        <w:rPr>
          <w:color w:val="231F20"/>
          <w:spacing w:val="-41"/>
          <w:w w:val="105"/>
        </w:rPr>
        <w:t> </w:t>
      </w:r>
      <w:r>
        <w:rPr>
          <w:color w:val="231F20"/>
          <w:w w:val="105"/>
        </w:rPr>
        <w:t>para</w:t>
      </w:r>
      <w:r>
        <w:rPr>
          <w:color w:val="231F20"/>
          <w:spacing w:val="-41"/>
          <w:w w:val="105"/>
        </w:rPr>
        <w:t> </w:t>
      </w:r>
      <w:r>
        <w:rPr>
          <w:color w:val="231F20"/>
          <w:w w:val="105"/>
        </w:rPr>
        <w:t>inaugurar</w:t>
      </w:r>
      <w:r>
        <w:rPr>
          <w:color w:val="231F20"/>
          <w:spacing w:val="-41"/>
          <w:w w:val="105"/>
        </w:rPr>
        <w:t> </w:t>
      </w:r>
      <w:r>
        <w:rPr>
          <w:color w:val="231F20"/>
          <w:w w:val="105"/>
        </w:rPr>
        <w:t>una</w:t>
      </w:r>
      <w:r>
        <w:rPr>
          <w:color w:val="231F20"/>
          <w:spacing w:val="-41"/>
          <w:w w:val="105"/>
        </w:rPr>
        <w:t> </w:t>
      </w:r>
      <w:r>
        <w:rPr>
          <w:color w:val="231F20"/>
          <w:w w:val="105"/>
        </w:rPr>
        <w:t>do-</w:t>
      </w:r>
      <w:r>
        <w:rPr>
          <w:color w:val="231F20"/>
          <w:w w:val="91"/>
        </w:rPr>
        <w:t> </w:t>
      </w:r>
      <w:r>
        <w:rPr>
          <w:color w:val="231F20"/>
          <w:w w:val="105"/>
        </w:rPr>
        <w:t>ble</w:t>
      </w:r>
      <w:r>
        <w:rPr>
          <w:color w:val="231F20"/>
          <w:spacing w:val="-40"/>
          <w:w w:val="105"/>
        </w:rPr>
        <w:t> </w:t>
      </w:r>
      <w:r>
        <w:rPr>
          <w:color w:val="231F20"/>
          <w:w w:val="105"/>
        </w:rPr>
        <w:t>dirección</w:t>
      </w:r>
      <w:r>
        <w:rPr>
          <w:color w:val="231F20"/>
          <w:spacing w:val="-40"/>
          <w:w w:val="105"/>
        </w:rPr>
        <w:t> </w:t>
      </w:r>
      <w:r>
        <w:rPr>
          <w:color w:val="231F20"/>
          <w:w w:val="105"/>
        </w:rPr>
        <w:t>problemática</w:t>
      </w:r>
      <w:r>
        <w:rPr>
          <w:color w:val="231F20"/>
          <w:spacing w:val="-40"/>
          <w:w w:val="105"/>
        </w:rPr>
        <w:t> </w:t>
      </w:r>
      <w:r>
        <w:rPr>
          <w:color w:val="231F20"/>
          <w:w w:val="105"/>
        </w:rPr>
        <w:t>que</w:t>
      </w:r>
      <w:r>
        <w:rPr>
          <w:color w:val="231F20"/>
          <w:spacing w:val="-40"/>
          <w:w w:val="105"/>
        </w:rPr>
        <w:t> </w:t>
      </w:r>
      <w:r>
        <w:rPr>
          <w:color w:val="231F20"/>
          <w:w w:val="105"/>
        </w:rPr>
        <w:t>sintetiza</w:t>
      </w:r>
      <w:r>
        <w:rPr>
          <w:color w:val="231F20"/>
          <w:spacing w:val="-40"/>
          <w:w w:val="105"/>
        </w:rPr>
        <w:t> </w:t>
      </w:r>
      <w:r>
        <w:rPr>
          <w:color w:val="231F20"/>
          <w:spacing w:val="-3"/>
          <w:w w:val="105"/>
        </w:rPr>
        <w:t>Sergio</w:t>
      </w:r>
      <w:r>
        <w:rPr>
          <w:color w:val="231F20"/>
          <w:spacing w:val="-40"/>
          <w:w w:val="105"/>
        </w:rPr>
        <w:t> </w:t>
      </w:r>
      <w:r>
        <w:rPr>
          <w:color w:val="231F20"/>
          <w:w w:val="105"/>
        </w:rPr>
        <w:t>Sevilla</w:t>
      </w:r>
      <w:r>
        <w:rPr>
          <w:color w:val="231F20"/>
          <w:spacing w:val="-40"/>
          <w:w w:val="105"/>
        </w:rPr>
        <w:t> </w:t>
      </w:r>
      <w:r>
        <w:rPr>
          <w:color w:val="231F20"/>
          <w:w w:val="105"/>
        </w:rPr>
        <w:t>del</w:t>
      </w:r>
      <w:r>
        <w:rPr>
          <w:color w:val="231F20"/>
          <w:spacing w:val="-40"/>
          <w:w w:val="105"/>
        </w:rPr>
        <w:t> </w:t>
      </w:r>
      <w:r>
        <w:rPr>
          <w:color w:val="231F20"/>
          <w:w w:val="105"/>
        </w:rPr>
        <w:t>siguiente</w:t>
      </w:r>
      <w:r>
        <w:rPr>
          <w:color w:val="231F20"/>
          <w:spacing w:val="-40"/>
          <w:w w:val="105"/>
        </w:rPr>
        <w:t> </w:t>
      </w:r>
      <w:r>
        <w:rPr>
          <w:color w:val="231F20"/>
          <w:w w:val="105"/>
        </w:rPr>
        <w:t>modo:</w:t>
      </w:r>
    </w:p>
    <w:p>
      <w:pPr>
        <w:pStyle w:val="BodyText"/>
        <w:spacing w:before="10"/>
        <w:rPr>
          <w:sz w:val="22"/>
        </w:rPr>
      </w:pPr>
    </w:p>
    <w:p>
      <w:pPr>
        <w:spacing w:line="220" w:lineRule="exact" w:before="1"/>
        <w:ind w:left="1534" w:right="101" w:firstLine="0"/>
        <w:jc w:val="both"/>
        <w:rPr>
          <w:sz w:val="19"/>
        </w:rPr>
      </w:pPr>
      <w:r>
        <w:rPr>
          <w:color w:val="231F20"/>
          <w:sz w:val="19"/>
        </w:rPr>
        <w:t>Presenciamos un generalizado descrédito de la intervención en  la sociedad desde el sistema político, de la intervención sobre el mercado desde el Estado. Aunque no es exacta la equiparación, implícita en esas fórmulas, de sociedad a “mercado” y política a “Estado”,</w:t>
      </w:r>
      <w:r>
        <w:rPr>
          <w:color w:val="231F20"/>
          <w:spacing w:val="-6"/>
          <w:sz w:val="19"/>
        </w:rPr>
        <w:t> </w:t>
      </w:r>
      <w:r>
        <w:rPr>
          <w:color w:val="231F20"/>
          <w:sz w:val="19"/>
        </w:rPr>
        <w:t>señala</w:t>
      </w:r>
      <w:r>
        <w:rPr>
          <w:color w:val="231F20"/>
          <w:spacing w:val="-6"/>
          <w:sz w:val="19"/>
        </w:rPr>
        <w:t> </w:t>
      </w:r>
      <w:r>
        <w:rPr>
          <w:color w:val="231F20"/>
          <w:sz w:val="19"/>
        </w:rPr>
        <w:t>una</w:t>
      </w:r>
      <w:r>
        <w:rPr>
          <w:color w:val="231F20"/>
          <w:spacing w:val="-6"/>
          <w:sz w:val="19"/>
        </w:rPr>
        <w:t> </w:t>
      </w:r>
      <w:r>
        <w:rPr>
          <w:color w:val="231F20"/>
          <w:sz w:val="19"/>
        </w:rPr>
        <w:t>tendencia</w:t>
      </w:r>
      <w:r>
        <w:rPr>
          <w:color w:val="231F20"/>
          <w:spacing w:val="-6"/>
          <w:sz w:val="19"/>
        </w:rPr>
        <w:t> </w:t>
      </w:r>
      <w:r>
        <w:rPr>
          <w:color w:val="231F20"/>
          <w:sz w:val="19"/>
        </w:rPr>
        <w:t>real</w:t>
      </w:r>
      <w:r>
        <w:rPr>
          <w:color w:val="231F20"/>
          <w:spacing w:val="-6"/>
          <w:sz w:val="19"/>
        </w:rPr>
        <w:t> </w:t>
      </w:r>
      <w:r>
        <w:rPr>
          <w:color w:val="231F20"/>
          <w:sz w:val="19"/>
        </w:rPr>
        <w:t>y</w:t>
      </w:r>
      <w:r>
        <w:rPr>
          <w:color w:val="231F20"/>
          <w:spacing w:val="-6"/>
          <w:sz w:val="19"/>
        </w:rPr>
        <w:t> </w:t>
      </w:r>
      <w:r>
        <w:rPr>
          <w:color w:val="231F20"/>
          <w:sz w:val="19"/>
        </w:rPr>
        <w:t>efectiva;</w:t>
      </w:r>
      <w:r>
        <w:rPr>
          <w:color w:val="231F20"/>
          <w:spacing w:val="-6"/>
          <w:sz w:val="19"/>
        </w:rPr>
        <w:t> </w:t>
      </w:r>
      <w:r>
        <w:rPr>
          <w:color w:val="231F20"/>
          <w:sz w:val="19"/>
        </w:rPr>
        <w:t>tendencia</w:t>
      </w:r>
      <w:r>
        <w:rPr>
          <w:color w:val="231F20"/>
          <w:spacing w:val="-6"/>
          <w:sz w:val="19"/>
        </w:rPr>
        <w:t> </w:t>
      </w:r>
      <w:r>
        <w:rPr>
          <w:color w:val="231F20"/>
          <w:sz w:val="19"/>
        </w:rPr>
        <w:t>a</w:t>
      </w:r>
      <w:r>
        <w:rPr>
          <w:color w:val="231F20"/>
          <w:spacing w:val="-6"/>
          <w:sz w:val="19"/>
        </w:rPr>
        <w:t> </w:t>
      </w:r>
      <w:r>
        <w:rPr>
          <w:color w:val="231F20"/>
          <w:sz w:val="19"/>
        </w:rPr>
        <w:t>la</w:t>
      </w:r>
      <w:r>
        <w:rPr>
          <w:color w:val="231F20"/>
          <w:spacing w:val="-6"/>
          <w:sz w:val="19"/>
        </w:rPr>
        <w:t> </w:t>
      </w:r>
      <w:r>
        <w:rPr>
          <w:color w:val="231F20"/>
          <w:sz w:val="19"/>
        </w:rPr>
        <w:t>pro- gresiva reducción de la política a la lógica burocrática de partidos e instituciones, y tendencia a la reducción de los vínculos sociales progresivamente reemplazados por vínculos funcionales, que re- producen la lógica de lo </w:t>
      </w:r>
      <w:r>
        <w:rPr>
          <w:color w:val="231F20"/>
          <w:spacing w:val="11"/>
          <w:sz w:val="19"/>
        </w:rPr>
        <w:t> </w:t>
      </w:r>
      <w:r>
        <w:rPr>
          <w:color w:val="231F20"/>
          <w:sz w:val="19"/>
        </w:rPr>
        <w:t>económico</w:t>
      </w:r>
      <w:r>
        <w:rPr>
          <w:color w:val="231F20"/>
          <w:position w:val="6"/>
          <w:sz w:val="11"/>
        </w:rPr>
        <w:t>42</w:t>
      </w:r>
      <w:r>
        <w:rPr>
          <w:color w:val="231F20"/>
          <w:sz w:val="19"/>
        </w:rPr>
        <w:t>.</w:t>
      </w:r>
    </w:p>
    <w:p>
      <w:pPr>
        <w:pStyle w:val="BodyText"/>
        <w:spacing w:before="11"/>
        <w:rPr>
          <w:sz w:val="23"/>
        </w:rPr>
      </w:pPr>
    </w:p>
    <w:p>
      <w:pPr>
        <w:pStyle w:val="BodyText"/>
        <w:spacing w:line="244" w:lineRule="auto"/>
        <w:ind w:left="117" w:right="101"/>
        <w:jc w:val="both"/>
      </w:pPr>
      <w:r>
        <w:rPr>
          <w:color w:val="231F20"/>
        </w:rPr>
        <w:t>Si bien esta observación cobra vida hacia finales del siglo pasado y puede ser juzgada como una preocupación teórica similar a la de muchas otras que en ese entonces alertaban del cambio en la articulación del Estado frente al mercado y frente a la sociedad durante los años ochenta y sobre todo</w:t>
      </w:r>
      <w:r>
        <w:rPr>
          <w:color w:val="231F20"/>
          <w:spacing w:val="-10"/>
        </w:rPr>
        <w:t> </w:t>
      </w:r>
      <w:r>
        <w:rPr>
          <w:color w:val="231F20"/>
        </w:rPr>
        <w:t>en</w:t>
      </w:r>
      <w:r>
        <w:rPr>
          <w:color w:val="231F20"/>
          <w:spacing w:val="-9"/>
        </w:rPr>
        <w:t> </w:t>
      </w:r>
      <w:r>
        <w:rPr>
          <w:color w:val="231F20"/>
        </w:rPr>
        <w:t>los</w:t>
      </w:r>
      <w:r>
        <w:rPr>
          <w:color w:val="231F20"/>
          <w:spacing w:val="-10"/>
        </w:rPr>
        <w:t> </w:t>
      </w:r>
      <w:r>
        <w:rPr>
          <w:color w:val="231F20"/>
        </w:rPr>
        <w:t>noventa,</w:t>
      </w:r>
      <w:r>
        <w:rPr>
          <w:color w:val="231F20"/>
          <w:position w:val="7"/>
          <w:sz w:val="12"/>
        </w:rPr>
        <w:t>43</w:t>
      </w:r>
      <w:r>
        <w:rPr>
          <w:color w:val="231F20"/>
          <w:spacing w:val="19"/>
          <w:position w:val="7"/>
          <w:sz w:val="12"/>
        </w:rPr>
        <w:t> </w:t>
      </w:r>
      <w:r>
        <w:rPr>
          <w:color w:val="231F20"/>
        </w:rPr>
        <w:t>no</w:t>
      </w:r>
      <w:r>
        <w:rPr>
          <w:color w:val="231F20"/>
          <w:spacing w:val="-10"/>
        </w:rPr>
        <w:t> </w:t>
      </w:r>
      <w:r>
        <w:rPr>
          <w:color w:val="231F20"/>
        </w:rPr>
        <w:t>deja</w:t>
      </w:r>
      <w:r>
        <w:rPr>
          <w:color w:val="231F20"/>
          <w:spacing w:val="-10"/>
        </w:rPr>
        <w:t> </w:t>
      </w:r>
      <w:r>
        <w:rPr>
          <w:color w:val="231F20"/>
        </w:rPr>
        <w:t>de</w:t>
      </w:r>
      <w:r>
        <w:rPr>
          <w:color w:val="231F20"/>
          <w:spacing w:val="-9"/>
        </w:rPr>
        <w:t> </w:t>
      </w:r>
      <w:r>
        <w:rPr>
          <w:color w:val="231F20"/>
        </w:rPr>
        <w:t>expresar</w:t>
      </w:r>
      <w:r>
        <w:rPr>
          <w:color w:val="231F20"/>
          <w:spacing w:val="-9"/>
        </w:rPr>
        <w:t> </w:t>
      </w:r>
      <w:r>
        <w:rPr>
          <w:color w:val="231F20"/>
        </w:rPr>
        <w:t>su</w:t>
      </w:r>
      <w:r>
        <w:rPr>
          <w:color w:val="231F20"/>
          <w:spacing w:val="-10"/>
        </w:rPr>
        <w:t> </w:t>
      </w:r>
      <w:r>
        <w:rPr>
          <w:color w:val="231F20"/>
        </w:rPr>
        <w:t>actualidad</w:t>
      </w:r>
      <w:r>
        <w:rPr>
          <w:color w:val="231F20"/>
          <w:spacing w:val="-10"/>
        </w:rPr>
        <w:t> </w:t>
      </w:r>
      <w:r>
        <w:rPr>
          <w:color w:val="231F20"/>
        </w:rPr>
        <w:t>al</w:t>
      </w:r>
      <w:r>
        <w:rPr>
          <w:color w:val="231F20"/>
          <w:spacing w:val="-9"/>
        </w:rPr>
        <w:t> </w:t>
      </w:r>
      <w:r>
        <w:rPr>
          <w:color w:val="231F20"/>
        </w:rPr>
        <w:t>grado</w:t>
      </w:r>
      <w:r>
        <w:rPr>
          <w:color w:val="231F20"/>
          <w:spacing w:val="-9"/>
        </w:rPr>
        <w:t> </w:t>
      </w:r>
      <w:r>
        <w:rPr>
          <w:color w:val="231F20"/>
        </w:rPr>
        <w:t>de</w:t>
      </w:r>
      <w:r>
        <w:rPr>
          <w:color w:val="231F20"/>
          <w:spacing w:val="-10"/>
        </w:rPr>
        <w:t> </w:t>
      </w:r>
      <w:r>
        <w:rPr>
          <w:color w:val="231F20"/>
        </w:rPr>
        <w:t>indicar el</w:t>
      </w:r>
      <w:r>
        <w:rPr>
          <w:color w:val="231F20"/>
          <w:spacing w:val="-12"/>
        </w:rPr>
        <w:t> </w:t>
      </w:r>
      <w:r>
        <w:rPr>
          <w:rFonts w:ascii="Arial" w:hAnsi="Arial"/>
          <w:i/>
          <w:color w:val="231F20"/>
        </w:rPr>
        <w:t>comienzo</w:t>
      </w:r>
      <w:r>
        <w:rPr>
          <w:rFonts w:ascii="Arial" w:hAnsi="Arial"/>
          <w:i/>
          <w:color w:val="231F20"/>
          <w:spacing w:val="-4"/>
        </w:rPr>
        <w:t> </w:t>
      </w:r>
      <w:r>
        <w:rPr>
          <w:color w:val="231F20"/>
        </w:rPr>
        <w:t>de</w:t>
      </w:r>
      <w:r>
        <w:rPr>
          <w:color w:val="231F20"/>
          <w:spacing w:val="-12"/>
        </w:rPr>
        <w:t> </w:t>
      </w:r>
      <w:r>
        <w:rPr>
          <w:color w:val="231F20"/>
        </w:rPr>
        <w:t>las</w:t>
      </w:r>
      <w:r>
        <w:rPr>
          <w:color w:val="231F20"/>
          <w:spacing w:val="-12"/>
        </w:rPr>
        <w:t> </w:t>
      </w:r>
      <w:r>
        <w:rPr>
          <w:color w:val="231F20"/>
        </w:rPr>
        <w:t>transformaciones</w:t>
      </w:r>
      <w:r>
        <w:rPr>
          <w:color w:val="231F20"/>
          <w:spacing w:val="-12"/>
        </w:rPr>
        <w:t> </w:t>
      </w:r>
      <w:r>
        <w:rPr>
          <w:color w:val="231F20"/>
        </w:rPr>
        <w:t>que</w:t>
      </w:r>
      <w:r>
        <w:rPr>
          <w:color w:val="231F20"/>
          <w:spacing w:val="-12"/>
        </w:rPr>
        <w:t> </w:t>
      </w:r>
      <w:r>
        <w:rPr>
          <w:color w:val="231F20"/>
        </w:rPr>
        <w:t>ha</w:t>
      </w:r>
      <w:r>
        <w:rPr>
          <w:color w:val="231F20"/>
          <w:spacing w:val="-12"/>
        </w:rPr>
        <w:t> </w:t>
      </w:r>
      <w:r>
        <w:rPr>
          <w:color w:val="231F20"/>
        </w:rPr>
        <w:t>sufrido</w:t>
      </w:r>
      <w:r>
        <w:rPr>
          <w:color w:val="231F20"/>
          <w:spacing w:val="-12"/>
        </w:rPr>
        <w:t> </w:t>
      </w:r>
      <w:r>
        <w:rPr>
          <w:color w:val="231F20"/>
        </w:rPr>
        <w:t>el</w:t>
      </w:r>
      <w:r>
        <w:rPr>
          <w:color w:val="231F20"/>
          <w:spacing w:val="-12"/>
        </w:rPr>
        <w:t> </w:t>
      </w:r>
      <w:r>
        <w:rPr>
          <w:color w:val="231F20"/>
        </w:rPr>
        <w:t>Estado</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últimos tres lustros. En este mismo sentido, Norbert Lechner</w:t>
      </w:r>
      <w:r>
        <w:rPr>
          <w:color w:val="231F20"/>
          <w:spacing w:val="-26"/>
        </w:rPr>
        <w:t> </w:t>
      </w:r>
      <w:r>
        <w:rPr>
          <w:color w:val="231F20"/>
        </w:rPr>
        <w:t>escribía:</w:t>
      </w:r>
    </w:p>
    <w:p>
      <w:pPr>
        <w:pStyle w:val="BodyText"/>
        <w:rPr>
          <w:sz w:val="20"/>
        </w:rPr>
      </w:pPr>
    </w:p>
    <w:p>
      <w:pPr>
        <w:pStyle w:val="BodyText"/>
        <w:rPr>
          <w:sz w:val="20"/>
        </w:rPr>
      </w:pPr>
    </w:p>
    <w:p>
      <w:pPr>
        <w:pStyle w:val="BodyText"/>
        <w:spacing w:before="11"/>
        <w:rPr>
          <w:sz w:val="27"/>
        </w:rPr>
      </w:pPr>
      <w:r>
        <w:rPr/>
        <w:pict>
          <v:line style="position:absolute;mso-position-horizontal-relative:page;mso-position-vertical-relative:paragraph;z-index:6736;mso-wrap-distance-left:0;mso-wrap-distance-right:0" from="70.866096pt,18.946602pt" to="184.252096pt,18.946602pt" stroked="true" strokeweight=".3pt" strokecolor="#231f20">
            <w10:wrap type="topAndBottom"/>
          </v:line>
        </w:pict>
      </w:r>
    </w:p>
    <w:p>
      <w:pPr>
        <w:spacing w:line="206" w:lineRule="exact" w:before="10"/>
        <w:ind w:left="117" w:right="0" w:firstLine="0"/>
        <w:jc w:val="both"/>
        <w:rPr>
          <w:rFonts w:ascii="Calibri" w:hAnsi="Calibri"/>
          <w:sz w:val="17"/>
        </w:rPr>
      </w:pPr>
      <w:r>
        <w:rPr>
          <w:rFonts w:ascii="Calibri" w:hAnsi="Calibri"/>
          <w:color w:val="231F20"/>
          <w:position w:val="6"/>
          <w:sz w:val="10"/>
        </w:rPr>
        <w:t>41 </w:t>
      </w:r>
      <w:r>
        <w:rPr>
          <w:rFonts w:ascii="Calibri" w:hAnsi="Calibri"/>
          <w:color w:val="231F20"/>
          <w:sz w:val="17"/>
        </w:rPr>
        <w:t>J. Tovar, “Túnez y Egipto. Historia de dos revoluciones”, </w:t>
      </w:r>
      <w:r>
        <w:rPr>
          <w:rFonts w:ascii="Calibri" w:hAnsi="Calibri"/>
          <w:i/>
          <w:color w:val="231F20"/>
          <w:sz w:val="17"/>
        </w:rPr>
        <w:t>Metapolítica</w:t>
      </w:r>
      <w:r>
        <w:rPr>
          <w:rFonts w:ascii="Calibri" w:hAnsi="Calibri"/>
          <w:color w:val="231F20"/>
          <w:sz w:val="17"/>
        </w:rPr>
        <w:t>, 15, 73, 2011, pp. 17–23.</w:t>
      </w:r>
    </w:p>
    <w:p>
      <w:pPr>
        <w:spacing w:line="235" w:lineRule="auto" w:before="1"/>
        <w:ind w:left="117" w:right="101" w:firstLine="0"/>
        <w:jc w:val="both"/>
        <w:rPr>
          <w:rFonts w:ascii="Calibri" w:hAnsi="Calibri"/>
          <w:sz w:val="17"/>
        </w:rPr>
      </w:pPr>
      <w:r>
        <w:rPr>
          <w:rFonts w:ascii="Calibri" w:hAnsi="Calibri"/>
          <w:color w:val="231F20"/>
          <w:position w:val="6"/>
          <w:sz w:val="10"/>
        </w:rPr>
        <w:t>42 </w:t>
      </w:r>
      <w:r>
        <w:rPr>
          <w:rFonts w:ascii="Calibri" w:hAnsi="Calibri"/>
          <w:color w:val="231F20"/>
          <w:sz w:val="17"/>
        </w:rPr>
        <w:t>S. Sevilla, “La transformación del espacio de lo político”, </w:t>
      </w:r>
      <w:r>
        <w:rPr>
          <w:rFonts w:ascii="Calibri" w:hAnsi="Calibri"/>
          <w:i/>
          <w:color w:val="231F20"/>
          <w:sz w:val="17"/>
        </w:rPr>
        <w:t>Revista internacional de filosofía política</w:t>
      </w:r>
      <w:r>
        <w:rPr>
          <w:rFonts w:ascii="Calibri" w:hAnsi="Calibri"/>
          <w:color w:val="231F20"/>
          <w:sz w:val="17"/>
        </w:rPr>
        <w:t>, </w:t>
      </w:r>
      <w:r>
        <w:rPr>
          <w:rFonts w:ascii="Calibri" w:hAnsi="Calibri"/>
          <w:color w:val="231F20"/>
          <w:w w:val="95"/>
          <w:sz w:val="17"/>
        </w:rPr>
        <w:t>11, 1998, p. 84.</w:t>
      </w:r>
    </w:p>
    <w:p>
      <w:pPr>
        <w:spacing w:line="235" w:lineRule="auto" w:before="0"/>
        <w:ind w:left="117" w:right="101" w:firstLine="0"/>
        <w:jc w:val="both"/>
        <w:rPr>
          <w:rFonts w:ascii="Calibri" w:hAnsi="Calibri"/>
          <w:sz w:val="17"/>
        </w:rPr>
      </w:pPr>
      <w:r>
        <w:rPr>
          <w:rFonts w:ascii="Calibri" w:hAnsi="Calibri"/>
          <w:color w:val="231F20"/>
          <w:w w:val="105"/>
          <w:position w:val="6"/>
          <w:sz w:val="10"/>
        </w:rPr>
        <w:t>43</w:t>
      </w:r>
      <w:r>
        <w:rPr>
          <w:rFonts w:ascii="Calibri" w:hAnsi="Calibri"/>
          <w:color w:val="231F20"/>
          <w:spacing w:val="13"/>
          <w:w w:val="105"/>
          <w:position w:val="6"/>
          <w:sz w:val="10"/>
        </w:rPr>
        <w:t> </w:t>
      </w:r>
      <w:r>
        <w:rPr>
          <w:rFonts w:ascii="Calibri" w:hAnsi="Calibri"/>
          <w:color w:val="231F20"/>
          <w:w w:val="105"/>
          <w:sz w:val="17"/>
        </w:rPr>
        <w:t>Una</w:t>
      </w:r>
      <w:r>
        <w:rPr>
          <w:rFonts w:ascii="Calibri" w:hAnsi="Calibri"/>
          <w:color w:val="231F20"/>
          <w:spacing w:val="-4"/>
          <w:w w:val="105"/>
          <w:sz w:val="17"/>
        </w:rPr>
        <w:t> </w:t>
      </w:r>
      <w:r>
        <w:rPr>
          <w:rFonts w:ascii="Calibri" w:hAnsi="Calibri"/>
          <w:color w:val="231F20"/>
          <w:w w:val="105"/>
          <w:sz w:val="17"/>
        </w:rPr>
        <w:t>síntesis</w:t>
      </w:r>
      <w:r>
        <w:rPr>
          <w:rFonts w:ascii="Calibri" w:hAnsi="Calibri"/>
          <w:color w:val="231F20"/>
          <w:spacing w:val="-4"/>
          <w:w w:val="105"/>
          <w:sz w:val="17"/>
        </w:rPr>
        <w:t> </w:t>
      </w:r>
      <w:r>
        <w:rPr>
          <w:rFonts w:ascii="Calibri" w:hAnsi="Calibri"/>
          <w:color w:val="231F20"/>
          <w:w w:val="105"/>
          <w:sz w:val="17"/>
        </w:rPr>
        <w:t>de</w:t>
      </w:r>
      <w:r>
        <w:rPr>
          <w:rFonts w:ascii="Calibri" w:hAnsi="Calibri"/>
          <w:color w:val="231F20"/>
          <w:spacing w:val="-4"/>
          <w:w w:val="105"/>
          <w:sz w:val="17"/>
        </w:rPr>
        <w:t> </w:t>
      </w:r>
      <w:r>
        <w:rPr>
          <w:rFonts w:ascii="Calibri" w:hAnsi="Calibri"/>
          <w:color w:val="231F20"/>
          <w:w w:val="105"/>
          <w:sz w:val="17"/>
        </w:rPr>
        <w:t>estos</w:t>
      </w:r>
      <w:r>
        <w:rPr>
          <w:rFonts w:ascii="Calibri" w:hAnsi="Calibri"/>
          <w:color w:val="231F20"/>
          <w:spacing w:val="-4"/>
          <w:w w:val="105"/>
          <w:sz w:val="17"/>
        </w:rPr>
        <w:t> </w:t>
      </w:r>
      <w:r>
        <w:rPr>
          <w:rFonts w:ascii="Calibri" w:hAnsi="Calibri"/>
          <w:color w:val="231F20"/>
          <w:w w:val="105"/>
          <w:sz w:val="17"/>
        </w:rPr>
        <w:t>problemas</w:t>
      </w:r>
      <w:r>
        <w:rPr>
          <w:rFonts w:ascii="Calibri" w:hAnsi="Calibri"/>
          <w:color w:val="231F20"/>
          <w:spacing w:val="-4"/>
          <w:w w:val="105"/>
          <w:sz w:val="17"/>
        </w:rPr>
        <w:t> </w:t>
      </w:r>
      <w:r>
        <w:rPr>
          <w:rFonts w:ascii="Calibri" w:hAnsi="Calibri"/>
          <w:color w:val="231F20"/>
          <w:w w:val="105"/>
          <w:sz w:val="17"/>
        </w:rPr>
        <w:t>en</w:t>
      </w:r>
      <w:r>
        <w:rPr>
          <w:rFonts w:ascii="Calibri" w:hAnsi="Calibri"/>
          <w:color w:val="231F20"/>
          <w:spacing w:val="-4"/>
          <w:w w:val="105"/>
          <w:sz w:val="17"/>
        </w:rPr>
        <w:t> </w:t>
      </w:r>
      <w:r>
        <w:rPr>
          <w:rFonts w:ascii="Calibri" w:hAnsi="Calibri"/>
          <w:color w:val="231F20"/>
          <w:w w:val="105"/>
          <w:sz w:val="17"/>
        </w:rPr>
        <w:t>los</w:t>
      </w:r>
      <w:r>
        <w:rPr>
          <w:rFonts w:ascii="Calibri" w:hAnsi="Calibri"/>
          <w:color w:val="231F20"/>
          <w:spacing w:val="-4"/>
          <w:w w:val="105"/>
          <w:sz w:val="17"/>
        </w:rPr>
        <w:t> </w:t>
      </w:r>
      <w:r>
        <w:rPr>
          <w:rFonts w:ascii="Calibri" w:hAnsi="Calibri"/>
          <w:color w:val="231F20"/>
          <w:w w:val="105"/>
          <w:sz w:val="17"/>
        </w:rPr>
        <w:t>años</w:t>
      </w:r>
      <w:r>
        <w:rPr>
          <w:rFonts w:ascii="Calibri" w:hAnsi="Calibri"/>
          <w:color w:val="231F20"/>
          <w:spacing w:val="-4"/>
          <w:w w:val="105"/>
          <w:sz w:val="17"/>
        </w:rPr>
        <w:t> </w:t>
      </w:r>
      <w:r>
        <w:rPr>
          <w:rFonts w:ascii="Calibri" w:hAnsi="Calibri"/>
          <w:color w:val="231F20"/>
          <w:w w:val="105"/>
          <w:sz w:val="17"/>
        </w:rPr>
        <w:t>noventa</w:t>
      </w:r>
      <w:r>
        <w:rPr>
          <w:rFonts w:ascii="Calibri" w:hAnsi="Calibri"/>
          <w:color w:val="231F20"/>
          <w:spacing w:val="-5"/>
          <w:w w:val="105"/>
          <w:sz w:val="17"/>
        </w:rPr>
        <w:t> </w:t>
      </w:r>
      <w:r>
        <w:rPr>
          <w:rFonts w:ascii="Calibri" w:hAnsi="Calibri"/>
          <w:color w:val="231F20"/>
          <w:w w:val="105"/>
          <w:sz w:val="17"/>
        </w:rPr>
        <w:t>y</w:t>
      </w:r>
      <w:r>
        <w:rPr>
          <w:rFonts w:ascii="Calibri" w:hAnsi="Calibri"/>
          <w:color w:val="231F20"/>
          <w:spacing w:val="-4"/>
          <w:w w:val="105"/>
          <w:sz w:val="17"/>
        </w:rPr>
        <w:t> </w:t>
      </w:r>
      <w:r>
        <w:rPr>
          <w:rFonts w:ascii="Calibri" w:hAnsi="Calibri"/>
          <w:color w:val="231F20"/>
          <w:w w:val="105"/>
          <w:sz w:val="17"/>
        </w:rPr>
        <w:t>contenida</w:t>
      </w:r>
      <w:r>
        <w:rPr>
          <w:rFonts w:ascii="Calibri" w:hAnsi="Calibri"/>
          <w:color w:val="231F20"/>
          <w:spacing w:val="-4"/>
          <w:w w:val="105"/>
          <w:sz w:val="17"/>
        </w:rPr>
        <w:t> </w:t>
      </w:r>
      <w:r>
        <w:rPr>
          <w:rFonts w:ascii="Calibri" w:hAnsi="Calibri"/>
          <w:color w:val="231F20"/>
          <w:w w:val="105"/>
          <w:sz w:val="17"/>
        </w:rPr>
        <w:t>en</w:t>
      </w:r>
      <w:r>
        <w:rPr>
          <w:rFonts w:ascii="Calibri" w:hAnsi="Calibri"/>
          <w:color w:val="231F20"/>
          <w:spacing w:val="-4"/>
          <w:w w:val="105"/>
          <w:sz w:val="17"/>
        </w:rPr>
        <w:t> </w:t>
      </w:r>
      <w:r>
        <w:rPr>
          <w:rFonts w:ascii="Calibri" w:hAnsi="Calibri"/>
          <w:color w:val="231F20"/>
          <w:w w:val="105"/>
          <w:sz w:val="17"/>
        </w:rPr>
        <w:t>los</w:t>
      </w:r>
      <w:r>
        <w:rPr>
          <w:rFonts w:ascii="Calibri" w:hAnsi="Calibri"/>
          <w:color w:val="231F20"/>
          <w:spacing w:val="-4"/>
          <w:w w:val="105"/>
          <w:sz w:val="17"/>
        </w:rPr>
        <w:t> </w:t>
      </w:r>
      <w:r>
        <w:rPr>
          <w:rFonts w:ascii="Calibri" w:hAnsi="Calibri"/>
          <w:color w:val="231F20"/>
          <w:w w:val="105"/>
          <w:sz w:val="17"/>
        </w:rPr>
        <w:t>debates</w:t>
      </w:r>
      <w:r>
        <w:rPr>
          <w:rFonts w:ascii="Calibri" w:hAnsi="Calibri"/>
          <w:color w:val="231F20"/>
          <w:spacing w:val="-4"/>
          <w:w w:val="105"/>
          <w:sz w:val="17"/>
        </w:rPr>
        <w:t> </w:t>
      </w:r>
      <w:r>
        <w:rPr>
          <w:rFonts w:ascii="Calibri" w:hAnsi="Calibri"/>
          <w:color w:val="231F20"/>
          <w:w w:val="105"/>
          <w:sz w:val="17"/>
        </w:rPr>
        <w:t>con</w:t>
      </w:r>
      <w:r>
        <w:rPr>
          <w:rFonts w:ascii="Calibri" w:hAnsi="Calibri"/>
          <w:color w:val="231F20"/>
          <w:spacing w:val="-4"/>
          <w:w w:val="105"/>
          <w:sz w:val="17"/>
        </w:rPr>
        <w:t> </w:t>
      </w:r>
      <w:r>
        <w:rPr>
          <w:rFonts w:ascii="Calibri" w:hAnsi="Calibri"/>
          <w:color w:val="231F20"/>
          <w:w w:val="105"/>
          <w:sz w:val="17"/>
        </w:rPr>
        <w:t>una</w:t>
      </w:r>
      <w:r>
        <w:rPr>
          <w:rFonts w:ascii="Calibri" w:hAnsi="Calibri"/>
          <w:color w:val="231F20"/>
          <w:spacing w:val="-4"/>
          <w:w w:val="105"/>
          <w:sz w:val="17"/>
        </w:rPr>
        <w:t> </w:t>
      </w:r>
      <w:r>
        <w:rPr>
          <w:rFonts w:ascii="Calibri" w:hAnsi="Calibri"/>
          <w:color w:val="231F20"/>
          <w:w w:val="105"/>
          <w:sz w:val="17"/>
        </w:rPr>
        <w:t>pers- pectiva</w:t>
      </w:r>
      <w:r>
        <w:rPr>
          <w:rFonts w:ascii="Calibri" w:hAnsi="Calibri"/>
          <w:color w:val="231F20"/>
          <w:spacing w:val="-7"/>
          <w:w w:val="105"/>
          <w:sz w:val="17"/>
        </w:rPr>
        <w:t> </w:t>
      </w:r>
      <w:r>
        <w:rPr>
          <w:rFonts w:ascii="Calibri" w:hAnsi="Calibri"/>
          <w:color w:val="231F20"/>
          <w:w w:val="105"/>
          <w:sz w:val="17"/>
        </w:rPr>
        <w:t>“derivacionista”</w:t>
      </w:r>
      <w:r>
        <w:rPr>
          <w:rFonts w:ascii="Calibri" w:hAnsi="Calibri"/>
          <w:color w:val="231F20"/>
          <w:spacing w:val="-7"/>
          <w:w w:val="105"/>
          <w:sz w:val="17"/>
        </w:rPr>
        <w:t> </w:t>
      </w:r>
      <w:r>
        <w:rPr>
          <w:rFonts w:ascii="Calibri" w:hAnsi="Calibri"/>
          <w:color w:val="231F20"/>
          <w:w w:val="105"/>
          <w:sz w:val="17"/>
        </w:rPr>
        <w:t>para</w:t>
      </w:r>
      <w:r>
        <w:rPr>
          <w:rFonts w:ascii="Calibri" w:hAnsi="Calibri"/>
          <w:color w:val="231F20"/>
          <w:spacing w:val="-7"/>
          <w:w w:val="105"/>
          <w:sz w:val="17"/>
        </w:rPr>
        <w:t> </w:t>
      </w:r>
      <w:r>
        <w:rPr>
          <w:rFonts w:ascii="Calibri" w:hAnsi="Calibri"/>
          <w:color w:val="231F20"/>
          <w:w w:val="105"/>
          <w:sz w:val="17"/>
        </w:rPr>
        <w:t>discutir</w:t>
      </w:r>
      <w:r>
        <w:rPr>
          <w:rFonts w:ascii="Calibri" w:hAnsi="Calibri"/>
          <w:color w:val="231F20"/>
          <w:spacing w:val="-7"/>
          <w:w w:val="105"/>
          <w:sz w:val="17"/>
        </w:rPr>
        <w:t> </w:t>
      </w:r>
      <w:r>
        <w:rPr>
          <w:rFonts w:ascii="Calibri" w:hAnsi="Calibri"/>
          <w:color w:val="231F20"/>
          <w:w w:val="105"/>
          <w:sz w:val="17"/>
        </w:rPr>
        <w:t>el</w:t>
      </w:r>
      <w:r>
        <w:rPr>
          <w:rFonts w:ascii="Calibri" w:hAnsi="Calibri"/>
          <w:color w:val="231F20"/>
          <w:spacing w:val="-7"/>
          <w:w w:val="105"/>
          <w:sz w:val="17"/>
        </w:rPr>
        <w:t> </w:t>
      </w:r>
      <w:r>
        <w:rPr>
          <w:rFonts w:ascii="Calibri" w:hAnsi="Calibri"/>
          <w:color w:val="231F20"/>
          <w:w w:val="105"/>
          <w:sz w:val="17"/>
        </w:rPr>
        <w:t>Estado</w:t>
      </w:r>
      <w:r>
        <w:rPr>
          <w:rFonts w:ascii="Calibri" w:hAnsi="Calibri"/>
          <w:color w:val="231F20"/>
          <w:spacing w:val="-7"/>
          <w:w w:val="105"/>
          <w:sz w:val="17"/>
        </w:rPr>
        <w:t> </w:t>
      </w:r>
      <w:r>
        <w:rPr>
          <w:rFonts w:ascii="Calibri" w:hAnsi="Calibri"/>
          <w:color w:val="231F20"/>
          <w:w w:val="105"/>
          <w:sz w:val="17"/>
        </w:rPr>
        <w:t>desde</w:t>
      </w:r>
      <w:r>
        <w:rPr>
          <w:rFonts w:ascii="Calibri" w:hAnsi="Calibri"/>
          <w:color w:val="231F20"/>
          <w:spacing w:val="-7"/>
          <w:w w:val="105"/>
          <w:sz w:val="17"/>
        </w:rPr>
        <w:t> </w:t>
      </w:r>
      <w:r>
        <w:rPr>
          <w:rFonts w:ascii="Calibri" w:hAnsi="Calibri"/>
          <w:color w:val="231F20"/>
          <w:w w:val="105"/>
          <w:sz w:val="17"/>
        </w:rPr>
        <w:t>la</w:t>
      </w:r>
      <w:r>
        <w:rPr>
          <w:rFonts w:ascii="Calibri" w:hAnsi="Calibri"/>
          <w:color w:val="231F20"/>
          <w:spacing w:val="-7"/>
          <w:w w:val="105"/>
          <w:sz w:val="17"/>
        </w:rPr>
        <w:t> </w:t>
      </w:r>
      <w:r>
        <w:rPr>
          <w:rFonts w:ascii="Calibri" w:hAnsi="Calibri"/>
          <w:color w:val="231F20"/>
          <w:w w:val="105"/>
          <w:sz w:val="17"/>
        </w:rPr>
        <w:t>teoría</w:t>
      </w:r>
      <w:r>
        <w:rPr>
          <w:rFonts w:ascii="Calibri" w:hAnsi="Calibri"/>
          <w:color w:val="231F20"/>
          <w:spacing w:val="-7"/>
          <w:w w:val="105"/>
          <w:sz w:val="17"/>
        </w:rPr>
        <w:t> </w:t>
      </w:r>
      <w:r>
        <w:rPr>
          <w:rFonts w:ascii="Calibri" w:hAnsi="Calibri"/>
          <w:color w:val="231F20"/>
          <w:w w:val="105"/>
          <w:sz w:val="17"/>
        </w:rPr>
        <w:t>política</w:t>
      </w:r>
      <w:r>
        <w:rPr>
          <w:rFonts w:ascii="Calibri" w:hAnsi="Calibri"/>
          <w:color w:val="231F20"/>
          <w:spacing w:val="-7"/>
          <w:w w:val="105"/>
          <w:sz w:val="17"/>
        </w:rPr>
        <w:t> </w:t>
      </w:r>
      <w:r>
        <w:rPr>
          <w:rFonts w:ascii="Calibri" w:hAnsi="Calibri"/>
          <w:color w:val="231F20"/>
          <w:w w:val="105"/>
          <w:sz w:val="17"/>
        </w:rPr>
        <w:t>es</w:t>
      </w:r>
      <w:r>
        <w:rPr>
          <w:rFonts w:ascii="Calibri" w:hAnsi="Calibri"/>
          <w:color w:val="231F20"/>
          <w:spacing w:val="-7"/>
          <w:w w:val="105"/>
          <w:sz w:val="17"/>
        </w:rPr>
        <w:t> </w:t>
      </w:r>
      <w:r>
        <w:rPr>
          <w:rFonts w:ascii="Calibri" w:hAnsi="Calibri"/>
          <w:color w:val="231F20"/>
          <w:w w:val="105"/>
          <w:sz w:val="17"/>
        </w:rPr>
        <w:t>J.</w:t>
      </w:r>
      <w:r>
        <w:rPr>
          <w:rFonts w:ascii="Calibri" w:hAnsi="Calibri"/>
          <w:color w:val="231F20"/>
          <w:spacing w:val="-7"/>
          <w:w w:val="105"/>
          <w:sz w:val="17"/>
        </w:rPr>
        <w:t> </w:t>
      </w:r>
      <w:r>
        <w:rPr>
          <w:rFonts w:ascii="Calibri" w:hAnsi="Calibri"/>
          <w:color w:val="231F20"/>
          <w:w w:val="105"/>
          <w:sz w:val="17"/>
        </w:rPr>
        <w:t>Hirsch,</w:t>
      </w:r>
      <w:r>
        <w:rPr>
          <w:rFonts w:ascii="Calibri" w:hAnsi="Calibri"/>
          <w:color w:val="231F20"/>
          <w:spacing w:val="-7"/>
          <w:w w:val="105"/>
          <w:sz w:val="17"/>
        </w:rPr>
        <w:t> </w:t>
      </w:r>
      <w:r>
        <w:rPr>
          <w:rFonts w:ascii="Calibri" w:hAnsi="Calibri"/>
          <w:i/>
          <w:color w:val="231F20"/>
          <w:w w:val="105"/>
          <w:sz w:val="17"/>
        </w:rPr>
        <w:t>Globalización, </w:t>
      </w:r>
      <w:r>
        <w:rPr>
          <w:rFonts w:ascii="Calibri" w:hAnsi="Calibri"/>
          <w:i/>
          <w:color w:val="231F20"/>
          <w:w w:val="105"/>
          <w:sz w:val="17"/>
        </w:rPr>
        <w:t>capital</w:t>
      </w:r>
      <w:r>
        <w:rPr>
          <w:rFonts w:ascii="Calibri" w:hAnsi="Calibri"/>
          <w:i/>
          <w:color w:val="231F20"/>
          <w:spacing w:val="-18"/>
          <w:w w:val="105"/>
          <w:sz w:val="17"/>
        </w:rPr>
        <w:t> </w:t>
      </w:r>
      <w:r>
        <w:rPr>
          <w:rFonts w:ascii="Calibri" w:hAnsi="Calibri"/>
          <w:i/>
          <w:color w:val="231F20"/>
          <w:w w:val="105"/>
          <w:sz w:val="17"/>
        </w:rPr>
        <w:t>y</w:t>
      </w:r>
      <w:r>
        <w:rPr>
          <w:rFonts w:ascii="Calibri" w:hAnsi="Calibri"/>
          <w:i/>
          <w:color w:val="231F20"/>
          <w:spacing w:val="-17"/>
          <w:w w:val="105"/>
          <w:sz w:val="17"/>
        </w:rPr>
        <w:t> </w:t>
      </w:r>
      <w:r>
        <w:rPr>
          <w:rFonts w:ascii="Calibri" w:hAnsi="Calibri"/>
          <w:i/>
          <w:color w:val="231F20"/>
          <w:w w:val="105"/>
          <w:sz w:val="17"/>
        </w:rPr>
        <w:t>Estado</w:t>
      </w:r>
      <w:r>
        <w:rPr>
          <w:rFonts w:ascii="Calibri" w:hAnsi="Calibri"/>
          <w:color w:val="231F20"/>
          <w:w w:val="105"/>
          <w:sz w:val="17"/>
        </w:rPr>
        <w:t>,</w:t>
      </w:r>
      <w:r>
        <w:rPr>
          <w:rFonts w:ascii="Calibri" w:hAnsi="Calibri"/>
          <w:color w:val="231F20"/>
          <w:spacing w:val="-16"/>
          <w:w w:val="105"/>
          <w:sz w:val="17"/>
        </w:rPr>
        <w:t> </w:t>
      </w:r>
      <w:r>
        <w:rPr>
          <w:rFonts w:ascii="Calibri" w:hAnsi="Calibri"/>
          <w:color w:val="231F20"/>
          <w:w w:val="105"/>
          <w:sz w:val="17"/>
        </w:rPr>
        <w:t>México,</w:t>
      </w:r>
      <w:r>
        <w:rPr>
          <w:rFonts w:ascii="Calibri" w:hAnsi="Calibri"/>
          <w:color w:val="231F20"/>
          <w:spacing w:val="-16"/>
          <w:w w:val="105"/>
          <w:sz w:val="17"/>
        </w:rPr>
        <w:t> </w:t>
      </w:r>
      <w:r>
        <w:rPr>
          <w:rFonts w:ascii="Calibri" w:hAnsi="Calibri"/>
          <w:color w:val="231F20"/>
          <w:w w:val="105"/>
          <w:sz w:val="17"/>
        </w:rPr>
        <w:t>Universidad</w:t>
      </w:r>
      <w:r>
        <w:rPr>
          <w:rFonts w:ascii="Calibri" w:hAnsi="Calibri"/>
          <w:color w:val="231F20"/>
          <w:spacing w:val="-16"/>
          <w:w w:val="105"/>
          <w:sz w:val="17"/>
        </w:rPr>
        <w:t> </w:t>
      </w:r>
      <w:r>
        <w:rPr>
          <w:rFonts w:ascii="Calibri" w:hAnsi="Calibri"/>
          <w:color w:val="231F20"/>
          <w:w w:val="105"/>
          <w:sz w:val="17"/>
        </w:rPr>
        <w:t>Autónoma</w:t>
      </w:r>
      <w:r>
        <w:rPr>
          <w:rFonts w:ascii="Calibri" w:hAnsi="Calibri"/>
          <w:color w:val="231F20"/>
          <w:spacing w:val="-16"/>
          <w:w w:val="105"/>
          <w:sz w:val="17"/>
        </w:rPr>
        <w:t> </w:t>
      </w:r>
      <w:r>
        <w:rPr>
          <w:rFonts w:ascii="Calibri" w:hAnsi="Calibri"/>
          <w:color w:val="231F20"/>
          <w:w w:val="105"/>
          <w:sz w:val="17"/>
        </w:rPr>
        <w:t>Metropolitana–Xochimilco,</w:t>
      </w:r>
      <w:r>
        <w:rPr>
          <w:rFonts w:ascii="Calibri" w:hAnsi="Calibri"/>
          <w:color w:val="231F20"/>
          <w:spacing w:val="-16"/>
          <w:w w:val="105"/>
          <w:sz w:val="17"/>
        </w:rPr>
        <w:t> </w:t>
      </w:r>
      <w:r>
        <w:rPr>
          <w:rFonts w:ascii="Calibri" w:hAnsi="Calibri"/>
          <w:color w:val="231F20"/>
          <w:w w:val="105"/>
          <w:sz w:val="17"/>
        </w:rPr>
        <w:t>1996;</w:t>
      </w:r>
      <w:r>
        <w:rPr>
          <w:rFonts w:ascii="Calibri" w:hAnsi="Calibri"/>
          <w:color w:val="231F20"/>
          <w:spacing w:val="-16"/>
          <w:w w:val="105"/>
          <w:sz w:val="17"/>
        </w:rPr>
        <w:t> </w:t>
      </w:r>
      <w:r>
        <w:rPr>
          <w:rFonts w:ascii="Calibri" w:hAnsi="Calibri"/>
          <w:color w:val="231F20"/>
          <w:w w:val="105"/>
          <w:sz w:val="17"/>
        </w:rPr>
        <w:t>el</w:t>
      </w:r>
      <w:r>
        <w:rPr>
          <w:rFonts w:ascii="Calibri" w:hAnsi="Calibri"/>
          <w:color w:val="231F20"/>
          <w:spacing w:val="-16"/>
          <w:w w:val="105"/>
          <w:sz w:val="17"/>
        </w:rPr>
        <w:t> </w:t>
      </w:r>
      <w:r>
        <w:rPr>
          <w:rFonts w:ascii="Calibri" w:hAnsi="Calibri"/>
          <w:color w:val="231F20"/>
          <w:w w:val="105"/>
          <w:sz w:val="17"/>
        </w:rPr>
        <w:t>estudio</w:t>
      </w:r>
      <w:r>
        <w:rPr>
          <w:rFonts w:ascii="Calibri" w:hAnsi="Calibri"/>
          <w:color w:val="231F20"/>
          <w:spacing w:val="-16"/>
          <w:w w:val="105"/>
          <w:sz w:val="17"/>
        </w:rPr>
        <w:t> </w:t>
      </w:r>
      <w:r>
        <w:rPr>
          <w:rFonts w:ascii="Calibri" w:hAnsi="Calibri"/>
          <w:color w:val="231F20"/>
          <w:w w:val="105"/>
          <w:sz w:val="17"/>
        </w:rPr>
        <w:t>más estimulante</w:t>
      </w:r>
      <w:r>
        <w:rPr>
          <w:rFonts w:ascii="Calibri" w:hAnsi="Calibri"/>
          <w:color w:val="231F20"/>
          <w:spacing w:val="-23"/>
          <w:w w:val="105"/>
          <w:sz w:val="17"/>
        </w:rPr>
        <w:t> </w:t>
      </w:r>
      <w:r>
        <w:rPr>
          <w:rFonts w:ascii="Calibri" w:hAnsi="Calibri"/>
          <w:color w:val="231F20"/>
          <w:w w:val="105"/>
          <w:sz w:val="17"/>
        </w:rPr>
        <w:t>sobre</w:t>
      </w:r>
      <w:r>
        <w:rPr>
          <w:rFonts w:ascii="Calibri" w:hAnsi="Calibri"/>
          <w:color w:val="231F20"/>
          <w:spacing w:val="-23"/>
          <w:w w:val="105"/>
          <w:sz w:val="17"/>
        </w:rPr>
        <w:t> </w:t>
      </w:r>
      <w:r>
        <w:rPr>
          <w:rFonts w:ascii="Calibri" w:hAnsi="Calibri"/>
          <w:color w:val="231F20"/>
          <w:w w:val="105"/>
          <w:sz w:val="17"/>
        </w:rPr>
        <w:t>las</w:t>
      </w:r>
      <w:r>
        <w:rPr>
          <w:rFonts w:ascii="Calibri" w:hAnsi="Calibri"/>
          <w:color w:val="231F20"/>
          <w:spacing w:val="-23"/>
          <w:w w:val="105"/>
          <w:sz w:val="17"/>
        </w:rPr>
        <w:t> </w:t>
      </w:r>
      <w:r>
        <w:rPr>
          <w:rFonts w:ascii="Calibri" w:hAnsi="Calibri"/>
          <w:color w:val="231F20"/>
          <w:w w:val="105"/>
          <w:sz w:val="17"/>
        </w:rPr>
        <w:t>transformaciones</w:t>
      </w:r>
      <w:r>
        <w:rPr>
          <w:rFonts w:ascii="Calibri" w:hAnsi="Calibri"/>
          <w:color w:val="231F20"/>
          <w:spacing w:val="-23"/>
          <w:w w:val="105"/>
          <w:sz w:val="17"/>
        </w:rPr>
        <w:t> </w:t>
      </w:r>
      <w:r>
        <w:rPr>
          <w:rFonts w:ascii="Calibri" w:hAnsi="Calibri"/>
          <w:color w:val="231F20"/>
          <w:w w:val="105"/>
          <w:sz w:val="17"/>
        </w:rPr>
        <w:t>del</w:t>
      </w:r>
      <w:r>
        <w:rPr>
          <w:rFonts w:ascii="Calibri" w:hAnsi="Calibri"/>
          <w:color w:val="231F20"/>
          <w:spacing w:val="-23"/>
          <w:w w:val="105"/>
          <w:sz w:val="17"/>
        </w:rPr>
        <w:t> </w:t>
      </w:r>
      <w:r>
        <w:rPr>
          <w:rFonts w:ascii="Calibri" w:hAnsi="Calibri"/>
          <w:color w:val="231F20"/>
          <w:w w:val="105"/>
          <w:sz w:val="17"/>
        </w:rPr>
        <w:t>Estado</w:t>
      </w:r>
      <w:r>
        <w:rPr>
          <w:rFonts w:ascii="Calibri" w:hAnsi="Calibri"/>
          <w:color w:val="231F20"/>
          <w:spacing w:val="-23"/>
          <w:w w:val="105"/>
          <w:sz w:val="17"/>
        </w:rPr>
        <w:t> </w:t>
      </w:r>
      <w:r>
        <w:rPr>
          <w:rFonts w:ascii="Calibri" w:hAnsi="Calibri"/>
          <w:color w:val="231F20"/>
          <w:w w:val="105"/>
          <w:sz w:val="17"/>
        </w:rPr>
        <w:t>contemporáneo</w:t>
      </w:r>
      <w:r>
        <w:rPr>
          <w:rFonts w:ascii="Calibri" w:hAnsi="Calibri"/>
          <w:color w:val="231F20"/>
          <w:spacing w:val="-23"/>
          <w:w w:val="105"/>
          <w:sz w:val="17"/>
        </w:rPr>
        <w:t> </w:t>
      </w:r>
      <w:r>
        <w:rPr>
          <w:rFonts w:ascii="Calibri" w:hAnsi="Calibri"/>
          <w:color w:val="231F20"/>
          <w:w w:val="105"/>
          <w:sz w:val="17"/>
        </w:rPr>
        <w:t>desde</w:t>
      </w:r>
      <w:r>
        <w:rPr>
          <w:rFonts w:ascii="Calibri" w:hAnsi="Calibri"/>
          <w:color w:val="231F20"/>
          <w:spacing w:val="-23"/>
          <w:w w:val="105"/>
          <w:sz w:val="17"/>
        </w:rPr>
        <w:t> </w:t>
      </w:r>
      <w:r>
        <w:rPr>
          <w:rFonts w:ascii="Calibri" w:hAnsi="Calibri"/>
          <w:color w:val="231F20"/>
          <w:w w:val="105"/>
          <w:sz w:val="17"/>
        </w:rPr>
        <w:t>una</w:t>
      </w:r>
      <w:r>
        <w:rPr>
          <w:rFonts w:ascii="Calibri" w:hAnsi="Calibri"/>
          <w:color w:val="231F20"/>
          <w:spacing w:val="-23"/>
          <w:w w:val="105"/>
          <w:sz w:val="17"/>
        </w:rPr>
        <w:t> </w:t>
      </w:r>
      <w:r>
        <w:rPr>
          <w:rFonts w:ascii="Calibri" w:hAnsi="Calibri"/>
          <w:color w:val="231F20"/>
          <w:w w:val="105"/>
          <w:sz w:val="17"/>
        </w:rPr>
        <w:t>perspectiva</w:t>
      </w:r>
      <w:r>
        <w:rPr>
          <w:rFonts w:ascii="Calibri" w:hAnsi="Calibri"/>
          <w:color w:val="231F20"/>
          <w:spacing w:val="-23"/>
          <w:w w:val="105"/>
          <w:sz w:val="17"/>
        </w:rPr>
        <w:t> </w:t>
      </w:r>
      <w:r>
        <w:rPr>
          <w:rFonts w:ascii="Calibri" w:hAnsi="Calibri"/>
          <w:color w:val="231F20"/>
          <w:w w:val="105"/>
          <w:sz w:val="17"/>
        </w:rPr>
        <w:t>socioló- gica</w:t>
      </w:r>
      <w:r>
        <w:rPr>
          <w:rFonts w:ascii="Calibri" w:hAnsi="Calibri"/>
          <w:color w:val="231F20"/>
          <w:spacing w:val="-23"/>
          <w:w w:val="105"/>
          <w:sz w:val="17"/>
        </w:rPr>
        <w:t> </w:t>
      </w:r>
      <w:r>
        <w:rPr>
          <w:rFonts w:ascii="Calibri" w:hAnsi="Calibri"/>
          <w:color w:val="231F20"/>
          <w:w w:val="105"/>
          <w:sz w:val="17"/>
        </w:rPr>
        <w:t>es</w:t>
      </w:r>
      <w:r>
        <w:rPr>
          <w:rFonts w:ascii="Calibri" w:hAnsi="Calibri"/>
          <w:color w:val="231F20"/>
          <w:spacing w:val="-23"/>
          <w:w w:val="105"/>
          <w:sz w:val="17"/>
        </w:rPr>
        <w:t> </w:t>
      </w:r>
      <w:r>
        <w:rPr>
          <w:rFonts w:ascii="Calibri" w:hAnsi="Calibri"/>
          <w:color w:val="231F20"/>
          <w:w w:val="105"/>
          <w:sz w:val="17"/>
        </w:rPr>
        <w:t>J.</w:t>
      </w:r>
      <w:r>
        <w:rPr>
          <w:rFonts w:ascii="Calibri" w:hAnsi="Calibri"/>
          <w:color w:val="231F20"/>
          <w:spacing w:val="-23"/>
          <w:w w:val="105"/>
          <w:sz w:val="17"/>
        </w:rPr>
        <w:t> </w:t>
      </w:r>
      <w:r>
        <w:rPr>
          <w:rFonts w:ascii="Calibri" w:hAnsi="Calibri"/>
          <w:color w:val="231F20"/>
          <w:w w:val="105"/>
          <w:sz w:val="17"/>
        </w:rPr>
        <w:t>S.</w:t>
      </w:r>
      <w:r>
        <w:rPr>
          <w:rFonts w:ascii="Calibri" w:hAnsi="Calibri"/>
          <w:color w:val="231F20"/>
          <w:spacing w:val="-23"/>
          <w:w w:val="105"/>
          <w:sz w:val="17"/>
        </w:rPr>
        <w:t> </w:t>
      </w:r>
      <w:r>
        <w:rPr>
          <w:rFonts w:ascii="Calibri" w:hAnsi="Calibri"/>
          <w:color w:val="231F20"/>
          <w:w w:val="105"/>
          <w:sz w:val="17"/>
        </w:rPr>
        <w:t>Migdal,</w:t>
      </w:r>
      <w:r>
        <w:rPr>
          <w:rFonts w:ascii="Calibri" w:hAnsi="Calibri"/>
          <w:color w:val="231F20"/>
          <w:spacing w:val="-23"/>
          <w:w w:val="105"/>
          <w:sz w:val="17"/>
        </w:rPr>
        <w:t> </w:t>
      </w:r>
      <w:r>
        <w:rPr>
          <w:rFonts w:ascii="Calibri" w:hAnsi="Calibri"/>
          <w:i/>
          <w:color w:val="231F20"/>
          <w:w w:val="105"/>
          <w:sz w:val="17"/>
        </w:rPr>
        <w:t>State</w:t>
      </w:r>
      <w:r>
        <w:rPr>
          <w:rFonts w:ascii="Calibri" w:hAnsi="Calibri"/>
          <w:i/>
          <w:color w:val="231F20"/>
          <w:spacing w:val="-23"/>
          <w:w w:val="105"/>
          <w:sz w:val="17"/>
        </w:rPr>
        <w:t> </w:t>
      </w:r>
      <w:r>
        <w:rPr>
          <w:rFonts w:ascii="Calibri" w:hAnsi="Calibri"/>
          <w:i/>
          <w:color w:val="231F20"/>
          <w:w w:val="105"/>
          <w:sz w:val="17"/>
        </w:rPr>
        <w:t>in</w:t>
      </w:r>
      <w:r>
        <w:rPr>
          <w:rFonts w:ascii="Calibri" w:hAnsi="Calibri"/>
          <w:i/>
          <w:color w:val="231F20"/>
          <w:spacing w:val="-23"/>
          <w:w w:val="105"/>
          <w:sz w:val="17"/>
        </w:rPr>
        <w:t> </w:t>
      </w:r>
      <w:r>
        <w:rPr>
          <w:rFonts w:ascii="Calibri" w:hAnsi="Calibri"/>
          <w:i/>
          <w:color w:val="231F20"/>
          <w:w w:val="105"/>
          <w:sz w:val="17"/>
        </w:rPr>
        <w:t>Society.</w:t>
      </w:r>
      <w:r>
        <w:rPr>
          <w:rFonts w:ascii="Calibri" w:hAnsi="Calibri"/>
          <w:i/>
          <w:color w:val="231F20"/>
          <w:spacing w:val="-23"/>
          <w:w w:val="105"/>
          <w:sz w:val="17"/>
        </w:rPr>
        <w:t> </w:t>
      </w:r>
      <w:r>
        <w:rPr>
          <w:rFonts w:ascii="Calibri" w:hAnsi="Calibri"/>
          <w:i/>
          <w:color w:val="231F20"/>
          <w:w w:val="105"/>
          <w:sz w:val="17"/>
        </w:rPr>
        <w:t>Studying</w:t>
      </w:r>
      <w:r>
        <w:rPr>
          <w:rFonts w:ascii="Calibri" w:hAnsi="Calibri"/>
          <w:i/>
          <w:color w:val="231F20"/>
          <w:spacing w:val="-23"/>
          <w:w w:val="105"/>
          <w:sz w:val="17"/>
        </w:rPr>
        <w:t> </w:t>
      </w:r>
      <w:r>
        <w:rPr>
          <w:rFonts w:ascii="Calibri" w:hAnsi="Calibri"/>
          <w:i/>
          <w:color w:val="231F20"/>
          <w:w w:val="105"/>
          <w:sz w:val="17"/>
        </w:rPr>
        <w:t>How</w:t>
      </w:r>
      <w:r>
        <w:rPr>
          <w:rFonts w:ascii="Calibri" w:hAnsi="Calibri"/>
          <w:i/>
          <w:color w:val="231F20"/>
          <w:spacing w:val="-23"/>
          <w:w w:val="105"/>
          <w:sz w:val="17"/>
        </w:rPr>
        <w:t> </w:t>
      </w:r>
      <w:r>
        <w:rPr>
          <w:rFonts w:ascii="Calibri" w:hAnsi="Calibri"/>
          <w:i/>
          <w:color w:val="231F20"/>
          <w:w w:val="105"/>
          <w:sz w:val="17"/>
        </w:rPr>
        <w:t>States</w:t>
      </w:r>
      <w:r>
        <w:rPr>
          <w:rFonts w:ascii="Calibri" w:hAnsi="Calibri"/>
          <w:i/>
          <w:color w:val="231F20"/>
          <w:spacing w:val="-23"/>
          <w:w w:val="105"/>
          <w:sz w:val="17"/>
        </w:rPr>
        <w:t> </w:t>
      </w:r>
      <w:r>
        <w:rPr>
          <w:rFonts w:ascii="Calibri" w:hAnsi="Calibri"/>
          <w:i/>
          <w:color w:val="231F20"/>
          <w:w w:val="105"/>
          <w:sz w:val="17"/>
        </w:rPr>
        <w:t>and</w:t>
      </w:r>
      <w:r>
        <w:rPr>
          <w:rFonts w:ascii="Calibri" w:hAnsi="Calibri"/>
          <w:i/>
          <w:color w:val="231F20"/>
          <w:spacing w:val="-23"/>
          <w:w w:val="105"/>
          <w:sz w:val="17"/>
        </w:rPr>
        <w:t> </w:t>
      </w:r>
      <w:r>
        <w:rPr>
          <w:rFonts w:ascii="Calibri" w:hAnsi="Calibri"/>
          <w:i/>
          <w:color w:val="231F20"/>
          <w:w w:val="105"/>
          <w:sz w:val="17"/>
        </w:rPr>
        <w:t>Societies</w:t>
      </w:r>
      <w:r>
        <w:rPr>
          <w:rFonts w:ascii="Calibri" w:hAnsi="Calibri"/>
          <w:i/>
          <w:color w:val="231F20"/>
          <w:spacing w:val="-24"/>
          <w:w w:val="105"/>
          <w:sz w:val="17"/>
        </w:rPr>
        <w:t> </w:t>
      </w:r>
      <w:r>
        <w:rPr>
          <w:rFonts w:ascii="Calibri" w:hAnsi="Calibri"/>
          <w:i/>
          <w:color w:val="231F20"/>
          <w:spacing w:val="-3"/>
          <w:w w:val="105"/>
          <w:sz w:val="17"/>
        </w:rPr>
        <w:t>Transform</w:t>
      </w:r>
      <w:r>
        <w:rPr>
          <w:rFonts w:ascii="Calibri" w:hAnsi="Calibri"/>
          <w:i/>
          <w:color w:val="231F20"/>
          <w:spacing w:val="-23"/>
          <w:w w:val="105"/>
          <w:sz w:val="17"/>
        </w:rPr>
        <w:t> </w:t>
      </w:r>
      <w:r>
        <w:rPr>
          <w:rFonts w:ascii="Calibri" w:hAnsi="Calibri"/>
          <w:i/>
          <w:color w:val="231F20"/>
          <w:w w:val="105"/>
          <w:sz w:val="17"/>
        </w:rPr>
        <w:t>and</w:t>
      </w:r>
      <w:r>
        <w:rPr>
          <w:rFonts w:ascii="Calibri" w:hAnsi="Calibri"/>
          <w:i/>
          <w:color w:val="231F20"/>
          <w:spacing w:val="-23"/>
          <w:w w:val="105"/>
          <w:sz w:val="17"/>
        </w:rPr>
        <w:t> </w:t>
      </w:r>
      <w:r>
        <w:rPr>
          <w:rFonts w:ascii="Calibri" w:hAnsi="Calibri"/>
          <w:i/>
          <w:color w:val="231F20"/>
          <w:w w:val="105"/>
          <w:sz w:val="17"/>
        </w:rPr>
        <w:t>Constitute</w:t>
      </w:r>
      <w:r>
        <w:rPr>
          <w:rFonts w:ascii="Calibri" w:hAnsi="Calibri"/>
          <w:i/>
          <w:color w:val="231F20"/>
          <w:spacing w:val="-23"/>
          <w:w w:val="105"/>
          <w:sz w:val="17"/>
        </w:rPr>
        <w:t> </w:t>
      </w:r>
      <w:r>
        <w:rPr>
          <w:rFonts w:ascii="Calibri" w:hAnsi="Calibri"/>
          <w:i/>
          <w:color w:val="231F20"/>
          <w:w w:val="105"/>
          <w:sz w:val="17"/>
        </w:rPr>
        <w:t>One </w:t>
      </w:r>
      <w:r>
        <w:rPr>
          <w:rFonts w:ascii="Calibri" w:hAnsi="Calibri"/>
          <w:i/>
          <w:color w:val="231F20"/>
          <w:w w:val="105"/>
          <w:sz w:val="17"/>
        </w:rPr>
        <w:t>Another</w:t>
      </w:r>
      <w:r>
        <w:rPr>
          <w:rFonts w:ascii="Calibri" w:hAnsi="Calibri"/>
          <w:color w:val="231F20"/>
          <w:w w:val="105"/>
          <w:sz w:val="17"/>
        </w:rPr>
        <w:t>,</w:t>
      </w:r>
      <w:r>
        <w:rPr>
          <w:rFonts w:ascii="Calibri" w:hAnsi="Calibri"/>
          <w:color w:val="231F20"/>
          <w:spacing w:val="-22"/>
          <w:w w:val="105"/>
          <w:sz w:val="17"/>
        </w:rPr>
        <w:t> </w:t>
      </w:r>
      <w:r>
        <w:rPr>
          <w:rFonts w:ascii="Calibri" w:hAnsi="Calibri"/>
          <w:color w:val="231F20"/>
          <w:w w:val="105"/>
          <w:sz w:val="17"/>
        </w:rPr>
        <w:t>Nueva</w:t>
      </w:r>
      <w:r>
        <w:rPr>
          <w:rFonts w:ascii="Calibri" w:hAnsi="Calibri"/>
          <w:color w:val="231F20"/>
          <w:spacing w:val="-24"/>
          <w:w w:val="105"/>
          <w:sz w:val="17"/>
        </w:rPr>
        <w:t> </w:t>
      </w:r>
      <w:r>
        <w:rPr>
          <w:rFonts w:ascii="Calibri" w:hAnsi="Calibri"/>
          <w:color w:val="231F20"/>
          <w:w w:val="105"/>
          <w:sz w:val="17"/>
        </w:rPr>
        <w:t>York,</w:t>
      </w:r>
      <w:r>
        <w:rPr>
          <w:rFonts w:ascii="Calibri" w:hAnsi="Calibri"/>
          <w:color w:val="231F20"/>
          <w:spacing w:val="-22"/>
          <w:w w:val="105"/>
          <w:sz w:val="17"/>
        </w:rPr>
        <w:t> </w:t>
      </w:r>
      <w:r>
        <w:rPr>
          <w:rFonts w:ascii="Calibri" w:hAnsi="Calibri"/>
          <w:color w:val="231F20"/>
          <w:w w:val="105"/>
          <w:sz w:val="17"/>
        </w:rPr>
        <w:t>Cambrigde</w:t>
      </w:r>
      <w:r>
        <w:rPr>
          <w:rFonts w:ascii="Calibri" w:hAnsi="Calibri"/>
          <w:color w:val="231F20"/>
          <w:spacing w:val="-22"/>
          <w:w w:val="105"/>
          <w:sz w:val="17"/>
        </w:rPr>
        <w:t> </w:t>
      </w:r>
      <w:r>
        <w:rPr>
          <w:rFonts w:ascii="Calibri" w:hAnsi="Calibri"/>
          <w:color w:val="231F20"/>
          <w:w w:val="105"/>
          <w:sz w:val="17"/>
        </w:rPr>
        <w:t>University</w:t>
      </w:r>
      <w:r>
        <w:rPr>
          <w:rFonts w:ascii="Calibri" w:hAnsi="Calibri"/>
          <w:color w:val="231F20"/>
          <w:spacing w:val="-22"/>
          <w:w w:val="105"/>
          <w:sz w:val="17"/>
        </w:rPr>
        <w:t> </w:t>
      </w:r>
      <w:r>
        <w:rPr>
          <w:rFonts w:ascii="Calibri" w:hAnsi="Calibri"/>
          <w:color w:val="231F20"/>
          <w:w w:val="105"/>
          <w:sz w:val="17"/>
        </w:rPr>
        <w:t>Press,</w:t>
      </w:r>
      <w:r>
        <w:rPr>
          <w:rFonts w:ascii="Calibri" w:hAnsi="Calibri"/>
          <w:color w:val="231F20"/>
          <w:spacing w:val="-22"/>
          <w:w w:val="105"/>
          <w:sz w:val="17"/>
        </w:rPr>
        <w:t> </w:t>
      </w:r>
      <w:r>
        <w:rPr>
          <w:rFonts w:ascii="Calibri" w:hAnsi="Calibri"/>
          <w:color w:val="231F20"/>
          <w:w w:val="105"/>
          <w:sz w:val="17"/>
        </w:rPr>
        <w:t>2001;</w:t>
      </w:r>
      <w:r>
        <w:rPr>
          <w:rFonts w:ascii="Calibri" w:hAnsi="Calibri"/>
          <w:color w:val="231F20"/>
          <w:spacing w:val="-22"/>
          <w:w w:val="105"/>
          <w:sz w:val="17"/>
        </w:rPr>
        <w:t> </w:t>
      </w:r>
      <w:r>
        <w:rPr>
          <w:rFonts w:ascii="Calibri" w:hAnsi="Calibri"/>
          <w:color w:val="231F20"/>
          <w:w w:val="105"/>
          <w:sz w:val="17"/>
        </w:rPr>
        <w:t>una</w:t>
      </w:r>
      <w:r>
        <w:rPr>
          <w:rFonts w:ascii="Calibri" w:hAnsi="Calibri"/>
          <w:color w:val="231F20"/>
          <w:spacing w:val="-22"/>
          <w:w w:val="105"/>
          <w:sz w:val="17"/>
        </w:rPr>
        <w:t> </w:t>
      </w:r>
      <w:r>
        <w:rPr>
          <w:rFonts w:ascii="Calibri" w:hAnsi="Calibri"/>
          <w:color w:val="231F20"/>
          <w:w w:val="105"/>
          <w:sz w:val="17"/>
        </w:rPr>
        <w:t>síntesis</w:t>
      </w:r>
      <w:r>
        <w:rPr>
          <w:rFonts w:ascii="Calibri" w:hAnsi="Calibri"/>
          <w:color w:val="231F20"/>
          <w:spacing w:val="-22"/>
          <w:w w:val="105"/>
          <w:sz w:val="17"/>
        </w:rPr>
        <w:t> </w:t>
      </w:r>
      <w:r>
        <w:rPr>
          <w:rFonts w:ascii="Calibri" w:hAnsi="Calibri"/>
          <w:color w:val="231F20"/>
          <w:w w:val="105"/>
          <w:sz w:val="17"/>
        </w:rPr>
        <w:t>teórica</w:t>
      </w:r>
      <w:r>
        <w:rPr>
          <w:rFonts w:ascii="Calibri" w:hAnsi="Calibri"/>
          <w:color w:val="231F20"/>
          <w:spacing w:val="-22"/>
          <w:w w:val="105"/>
          <w:sz w:val="17"/>
        </w:rPr>
        <w:t> </w:t>
      </w:r>
      <w:r>
        <w:rPr>
          <w:rFonts w:ascii="Calibri" w:hAnsi="Calibri"/>
          <w:color w:val="231F20"/>
          <w:w w:val="105"/>
          <w:sz w:val="17"/>
        </w:rPr>
        <w:t>que</w:t>
      </w:r>
      <w:r>
        <w:rPr>
          <w:rFonts w:ascii="Calibri" w:hAnsi="Calibri"/>
          <w:color w:val="231F20"/>
          <w:spacing w:val="-22"/>
          <w:w w:val="105"/>
          <w:sz w:val="17"/>
        </w:rPr>
        <w:t> </w:t>
      </w:r>
      <w:r>
        <w:rPr>
          <w:rFonts w:ascii="Calibri" w:hAnsi="Calibri"/>
          <w:color w:val="231F20"/>
          <w:w w:val="105"/>
          <w:sz w:val="17"/>
        </w:rPr>
        <w:t>rastrea</w:t>
      </w:r>
      <w:r>
        <w:rPr>
          <w:rFonts w:ascii="Calibri" w:hAnsi="Calibri"/>
          <w:color w:val="231F20"/>
          <w:spacing w:val="-22"/>
          <w:w w:val="105"/>
          <w:sz w:val="17"/>
        </w:rPr>
        <w:t> </w:t>
      </w:r>
      <w:r>
        <w:rPr>
          <w:rFonts w:ascii="Calibri" w:hAnsi="Calibri"/>
          <w:color w:val="231F20"/>
          <w:w w:val="105"/>
          <w:sz w:val="17"/>
        </w:rPr>
        <w:t>algunos</w:t>
      </w:r>
      <w:r>
        <w:rPr>
          <w:rFonts w:ascii="Calibri" w:hAnsi="Calibri"/>
          <w:color w:val="231F20"/>
          <w:spacing w:val="-22"/>
          <w:w w:val="105"/>
          <w:sz w:val="17"/>
        </w:rPr>
        <w:t> </w:t>
      </w:r>
      <w:r>
        <w:rPr>
          <w:rFonts w:ascii="Calibri" w:hAnsi="Calibri"/>
          <w:color w:val="231F20"/>
          <w:w w:val="105"/>
          <w:sz w:val="17"/>
        </w:rPr>
        <w:t>de los cambios más significativos del Estado en los primeros dos lustros del siglo </w:t>
      </w:r>
      <w:r>
        <w:rPr>
          <w:rFonts w:ascii="Calibri" w:hAnsi="Calibri"/>
          <w:color w:val="231F20"/>
          <w:w w:val="105"/>
          <w:sz w:val="15"/>
        </w:rPr>
        <w:t>XXI </w:t>
      </w:r>
      <w:r>
        <w:rPr>
          <w:rFonts w:ascii="Calibri" w:hAnsi="Calibri"/>
          <w:color w:val="231F20"/>
          <w:w w:val="105"/>
          <w:sz w:val="17"/>
        </w:rPr>
        <w:t>es R. Vázquez García,</w:t>
      </w:r>
      <w:r>
        <w:rPr>
          <w:rFonts w:ascii="Calibri" w:hAnsi="Calibri"/>
          <w:color w:val="231F20"/>
          <w:spacing w:val="-12"/>
          <w:w w:val="105"/>
          <w:sz w:val="17"/>
        </w:rPr>
        <w:t> </w:t>
      </w:r>
      <w:r>
        <w:rPr>
          <w:rFonts w:ascii="Calibri" w:hAnsi="Calibri"/>
          <w:color w:val="231F20"/>
          <w:w w:val="105"/>
          <w:sz w:val="17"/>
        </w:rPr>
        <w:t>(Ed.),</w:t>
      </w:r>
      <w:r>
        <w:rPr>
          <w:rFonts w:ascii="Calibri" w:hAnsi="Calibri"/>
          <w:color w:val="231F20"/>
          <w:spacing w:val="-12"/>
          <w:w w:val="105"/>
          <w:sz w:val="17"/>
        </w:rPr>
        <w:t> </w:t>
      </w:r>
      <w:r>
        <w:rPr>
          <w:rFonts w:ascii="Calibri" w:hAnsi="Calibri"/>
          <w:i/>
          <w:color w:val="231F20"/>
          <w:w w:val="105"/>
          <w:sz w:val="17"/>
        </w:rPr>
        <w:t>Teorías</w:t>
      </w:r>
      <w:r>
        <w:rPr>
          <w:rFonts w:ascii="Calibri" w:hAnsi="Calibri"/>
          <w:i/>
          <w:color w:val="231F20"/>
          <w:spacing w:val="-13"/>
          <w:w w:val="105"/>
          <w:sz w:val="17"/>
        </w:rPr>
        <w:t> </w:t>
      </w:r>
      <w:r>
        <w:rPr>
          <w:rFonts w:ascii="Calibri" w:hAnsi="Calibri"/>
          <w:i/>
          <w:color w:val="231F20"/>
          <w:w w:val="105"/>
          <w:sz w:val="17"/>
        </w:rPr>
        <w:t>actuales</w:t>
      </w:r>
      <w:r>
        <w:rPr>
          <w:rFonts w:ascii="Calibri" w:hAnsi="Calibri"/>
          <w:i/>
          <w:color w:val="231F20"/>
          <w:spacing w:val="-13"/>
          <w:w w:val="105"/>
          <w:sz w:val="17"/>
        </w:rPr>
        <w:t> </w:t>
      </w:r>
      <w:r>
        <w:rPr>
          <w:rFonts w:ascii="Calibri" w:hAnsi="Calibri"/>
          <w:i/>
          <w:color w:val="231F20"/>
          <w:w w:val="105"/>
          <w:sz w:val="17"/>
        </w:rPr>
        <w:t>sobre</w:t>
      </w:r>
      <w:r>
        <w:rPr>
          <w:rFonts w:ascii="Calibri" w:hAnsi="Calibri"/>
          <w:i/>
          <w:color w:val="231F20"/>
          <w:spacing w:val="-13"/>
          <w:w w:val="105"/>
          <w:sz w:val="17"/>
        </w:rPr>
        <w:t> </w:t>
      </w:r>
      <w:r>
        <w:rPr>
          <w:rFonts w:ascii="Calibri" w:hAnsi="Calibri"/>
          <w:i/>
          <w:color w:val="231F20"/>
          <w:w w:val="105"/>
          <w:sz w:val="17"/>
        </w:rPr>
        <w:t>el</w:t>
      </w:r>
      <w:r>
        <w:rPr>
          <w:rFonts w:ascii="Calibri" w:hAnsi="Calibri"/>
          <w:i/>
          <w:color w:val="231F20"/>
          <w:spacing w:val="-13"/>
          <w:w w:val="105"/>
          <w:sz w:val="17"/>
        </w:rPr>
        <w:t> </w:t>
      </w:r>
      <w:r>
        <w:rPr>
          <w:rFonts w:ascii="Calibri" w:hAnsi="Calibri"/>
          <w:i/>
          <w:color w:val="231F20"/>
          <w:w w:val="105"/>
          <w:sz w:val="17"/>
        </w:rPr>
        <w:t>Estado</w:t>
      </w:r>
      <w:r>
        <w:rPr>
          <w:rFonts w:ascii="Calibri" w:hAnsi="Calibri"/>
          <w:i/>
          <w:color w:val="231F20"/>
          <w:spacing w:val="-13"/>
          <w:w w:val="105"/>
          <w:sz w:val="17"/>
        </w:rPr>
        <w:t> </w:t>
      </w:r>
      <w:r>
        <w:rPr>
          <w:rFonts w:ascii="Calibri" w:hAnsi="Calibri"/>
          <w:i/>
          <w:color w:val="231F20"/>
          <w:w w:val="105"/>
          <w:sz w:val="17"/>
        </w:rPr>
        <w:t>contemporáneo</w:t>
      </w:r>
      <w:r>
        <w:rPr>
          <w:rFonts w:ascii="Calibri" w:hAnsi="Calibri"/>
          <w:color w:val="231F20"/>
          <w:w w:val="105"/>
          <w:sz w:val="17"/>
        </w:rPr>
        <w:t>,</w:t>
      </w:r>
      <w:r>
        <w:rPr>
          <w:rFonts w:ascii="Calibri" w:hAnsi="Calibri"/>
          <w:color w:val="231F20"/>
          <w:spacing w:val="-12"/>
          <w:w w:val="105"/>
          <w:sz w:val="17"/>
        </w:rPr>
        <w:t> </w:t>
      </w:r>
      <w:r>
        <w:rPr>
          <w:rFonts w:ascii="Calibri" w:hAnsi="Calibri"/>
          <w:color w:val="231F20"/>
          <w:w w:val="105"/>
          <w:sz w:val="17"/>
        </w:rPr>
        <w:t>Granada,</w:t>
      </w:r>
      <w:r>
        <w:rPr>
          <w:rFonts w:ascii="Calibri" w:hAnsi="Calibri"/>
          <w:color w:val="231F20"/>
          <w:spacing w:val="-12"/>
          <w:w w:val="105"/>
          <w:sz w:val="17"/>
        </w:rPr>
        <w:t> </w:t>
      </w:r>
      <w:r>
        <w:rPr>
          <w:rFonts w:ascii="Calibri" w:hAnsi="Calibri"/>
          <w:color w:val="231F20"/>
          <w:w w:val="105"/>
          <w:sz w:val="17"/>
        </w:rPr>
        <w:t>Universidad</w:t>
      </w:r>
      <w:r>
        <w:rPr>
          <w:rFonts w:ascii="Calibri" w:hAnsi="Calibri"/>
          <w:color w:val="231F20"/>
          <w:spacing w:val="-12"/>
          <w:w w:val="105"/>
          <w:sz w:val="17"/>
        </w:rPr>
        <w:t> </w:t>
      </w:r>
      <w:r>
        <w:rPr>
          <w:rFonts w:ascii="Calibri" w:hAnsi="Calibri"/>
          <w:color w:val="231F20"/>
          <w:w w:val="105"/>
          <w:sz w:val="17"/>
        </w:rPr>
        <w:t>de</w:t>
      </w:r>
      <w:r>
        <w:rPr>
          <w:rFonts w:ascii="Calibri" w:hAnsi="Calibri"/>
          <w:color w:val="231F20"/>
          <w:spacing w:val="-12"/>
          <w:w w:val="105"/>
          <w:sz w:val="17"/>
        </w:rPr>
        <w:t> </w:t>
      </w:r>
      <w:r>
        <w:rPr>
          <w:rFonts w:ascii="Calibri" w:hAnsi="Calibri"/>
          <w:color w:val="231F20"/>
          <w:w w:val="105"/>
          <w:sz w:val="17"/>
        </w:rPr>
        <w:t>Granada, 2011.</w:t>
      </w:r>
    </w:p>
    <w:p>
      <w:pPr>
        <w:spacing w:after="0" w:line="235" w:lineRule="auto"/>
        <w:jc w:val="both"/>
        <w:rPr>
          <w:rFonts w:ascii="Calibri" w:hAnsi="Calibri"/>
          <w:sz w:val="17"/>
        </w:rPr>
        <w:sectPr>
          <w:type w:val="continuous"/>
          <w:pgSz w:w="9640" w:h="13890"/>
          <w:pgMar w:top="0" w:bottom="0" w:left="1300" w:right="1200"/>
        </w:sectPr>
      </w:pPr>
    </w:p>
    <w:p>
      <w:pPr>
        <w:spacing w:line="220" w:lineRule="exact" w:before="121"/>
        <w:ind w:left="1521" w:right="115" w:firstLine="0"/>
        <w:jc w:val="both"/>
        <w:rPr>
          <w:sz w:val="19"/>
        </w:rPr>
      </w:pPr>
      <w:r>
        <w:rPr>
          <w:color w:val="231F20"/>
          <w:sz w:val="19"/>
        </w:rPr>
        <w:t>En realidad, la reorganización del Estado tiene efectos extraor- dinariamente significativos: reduce la reglamentación burocráti- ca y el centralismo administrativo, disminuye la presión política y corporatista sobre el aparato estatal y limita el uso populista del gasto fiscal y del patrimonio público. En resumen, mejora drásti- camente la eficiencia económica del Estado. No obstante, al con- siderar exclusivamente la funcionalidad económica del Estado,  tal modernización conlleva un reduccionismo que desconoce las especificidades de la política </w:t>
      </w:r>
      <w:r>
        <w:rPr>
          <w:color w:val="231F20"/>
          <w:spacing w:val="12"/>
          <w:sz w:val="19"/>
        </w:rPr>
        <w:t> </w:t>
      </w:r>
      <w:r>
        <w:rPr>
          <w:color w:val="231F20"/>
          <w:sz w:val="19"/>
        </w:rPr>
        <w:t>democrática</w:t>
      </w:r>
      <w:r>
        <w:rPr>
          <w:color w:val="231F20"/>
          <w:position w:val="6"/>
          <w:sz w:val="11"/>
        </w:rPr>
        <w:t>44</w:t>
      </w:r>
      <w:r>
        <w:rPr>
          <w:color w:val="231F20"/>
          <w:sz w:val="19"/>
        </w:rPr>
        <w:t>.</w:t>
      </w:r>
    </w:p>
    <w:p>
      <w:pPr>
        <w:pStyle w:val="BodyText"/>
        <w:spacing w:before="11"/>
        <w:rPr>
          <w:sz w:val="23"/>
        </w:rPr>
      </w:pPr>
    </w:p>
    <w:p>
      <w:pPr>
        <w:pStyle w:val="BodyText"/>
        <w:spacing w:line="247" w:lineRule="auto"/>
        <w:ind w:left="103" w:right="115"/>
        <w:jc w:val="both"/>
      </w:pPr>
      <w:r>
        <w:rPr>
          <w:color w:val="231F20"/>
          <w:w w:val="105"/>
        </w:rPr>
        <w:t>De</w:t>
      </w:r>
      <w:r>
        <w:rPr>
          <w:color w:val="231F20"/>
          <w:spacing w:val="-28"/>
          <w:w w:val="105"/>
        </w:rPr>
        <w:t> </w:t>
      </w:r>
      <w:r>
        <w:rPr>
          <w:color w:val="231F20"/>
          <w:w w:val="105"/>
        </w:rPr>
        <w:t>hecho,</w:t>
      </w:r>
      <w:r>
        <w:rPr>
          <w:color w:val="231F20"/>
          <w:spacing w:val="-28"/>
          <w:w w:val="105"/>
        </w:rPr>
        <w:t> </w:t>
      </w:r>
      <w:r>
        <w:rPr>
          <w:color w:val="231F20"/>
          <w:w w:val="105"/>
        </w:rPr>
        <w:t>esta</w:t>
      </w:r>
      <w:r>
        <w:rPr>
          <w:color w:val="231F20"/>
          <w:spacing w:val="-28"/>
          <w:w w:val="105"/>
        </w:rPr>
        <w:t> </w:t>
      </w:r>
      <w:r>
        <w:rPr>
          <w:color w:val="231F20"/>
          <w:w w:val="105"/>
        </w:rPr>
        <w:t>doble</w:t>
      </w:r>
      <w:r>
        <w:rPr>
          <w:color w:val="231F20"/>
          <w:spacing w:val="-28"/>
          <w:w w:val="105"/>
        </w:rPr>
        <w:t> </w:t>
      </w:r>
      <w:r>
        <w:rPr>
          <w:color w:val="231F20"/>
          <w:w w:val="105"/>
        </w:rPr>
        <w:t>interacción</w:t>
      </w:r>
      <w:r>
        <w:rPr>
          <w:color w:val="231F20"/>
          <w:spacing w:val="-28"/>
          <w:w w:val="105"/>
        </w:rPr>
        <w:t> </w:t>
      </w:r>
      <w:r>
        <w:rPr>
          <w:color w:val="231F20"/>
          <w:w w:val="105"/>
        </w:rPr>
        <w:t>tenía</w:t>
      </w:r>
      <w:r>
        <w:rPr>
          <w:color w:val="231F20"/>
          <w:spacing w:val="-28"/>
          <w:w w:val="105"/>
        </w:rPr>
        <w:t> </w:t>
      </w:r>
      <w:r>
        <w:rPr>
          <w:color w:val="231F20"/>
          <w:w w:val="105"/>
        </w:rPr>
        <w:t>que</w:t>
      </w:r>
      <w:r>
        <w:rPr>
          <w:color w:val="231F20"/>
          <w:spacing w:val="-28"/>
          <w:w w:val="105"/>
        </w:rPr>
        <w:t> </w:t>
      </w:r>
      <w:r>
        <w:rPr>
          <w:color w:val="231F20"/>
          <w:w w:val="105"/>
        </w:rPr>
        <w:t>ser</w:t>
      </w:r>
      <w:r>
        <w:rPr>
          <w:color w:val="231F20"/>
          <w:spacing w:val="-28"/>
          <w:w w:val="105"/>
        </w:rPr>
        <w:t> </w:t>
      </w:r>
      <w:r>
        <w:rPr>
          <w:color w:val="231F20"/>
          <w:w w:val="105"/>
        </w:rPr>
        <w:t>pensada</w:t>
      </w:r>
      <w:r>
        <w:rPr>
          <w:color w:val="231F20"/>
          <w:spacing w:val="-28"/>
          <w:w w:val="105"/>
        </w:rPr>
        <w:t> </w:t>
      </w:r>
      <w:r>
        <w:rPr>
          <w:color w:val="231F20"/>
          <w:w w:val="105"/>
        </w:rPr>
        <w:t>como</w:t>
      </w:r>
      <w:r>
        <w:rPr>
          <w:color w:val="231F20"/>
          <w:spacing w:val="-28"/>
          <w:w w:val="105"/>
        </w:rPr>
        <w:t> </w:t>
      </w:r>
      <w:r>
        <w:rPr>
          <w:color w:val="231F20"/>
          <w:w w:val="105"/>
        </w:rPr>
        <w:t>efecto</w:t>
      </w:r>
      <w:r>
        <w:rPr>
          <w:color w:val="231F20"/>
          <w:spacing w:val="-28"/>
          <w:w w:val="105"/>
        </w:rPr>
        <w:t> </w:t>
      </w:r>
      <w:r>
        <w:rPr>
          <w:color w:val="231F20"/>
          <w:w w:val="105"/>
        </w:rPr>
        <w:t>de</w:t>
      </w:r>
      <w:r>
        <w:rPr>
          <w:color w:val="231F20"/>
          <w:spacing w:val="-28"/>
          <w:w w:val="105"/>
        </w:rPr>
        <w:t> </w:t>
      </w:r>
      <w:r>
        <w:rPr>
          <w:color w:val="231F20"/>
          <w:w w:val="105"/>
        </w:rPr>
        <w:t>la serie</w:t>
      </w:r>
      <w:r>
        <w:rPr>
          <w:color w:val="231F20"/>
          <w:spacing w:val="-20"/>
          <w:w w:val="105"/>
        </w:rPr>
        <w:t> </w:t>
      </w:r>
      <w:r>
        <w:rPr>
          <w:color w:val="231F20"/>
          <w:w w:val="105"/>
        </w:rPr>
        <w:t>de</w:t>
      </w:r>
      <w:r>
        <w:rPr>
          <w:color w:val="231F20"/>
          <w:spacing w:val="-20"/>
          <w:w w:val="105"/>
        </w:rPr>
        <w:t> </w:t>
      </w:r>
      <w:r>
        <w:rPr>
          <w:color w:val="231F20"/>
          <w:w w:val="105"/>
        </w:rPr>
        <w:t>implementaciones</w:t>
      </w:r>
      <w:r>
        <w:rPr>
          <w:color w:val="231F20"/>
          <w:spacing w:val="-20"/>
          <w:w w:val="105"/>
        </w:rPr>
        <w:t> </w:t>
      </w:r>
      <w:r>
        <w:rPr>
          <w:color w:val="231F20"/>
          <w:w w:val="105"/>
        </w:rPr>
        <w:t>que</w:t>
      </w:r>
      <w:r>
        <w:rPr>
          <w:color w:val="231F20"/>
          <w:spacing w:val="-20"/>
          <w:w w:val="105"/>
        </w:rPr>
        <w:t> </w:t>
      </w:r>
      <w:r>
        <w:rPr>
          <w:color w:val="231F20"/>
          <w:w w:val="105"/>
        </w:rPr>
        <w:t>venían</w:t>
      </w:r>
      <w:r>
        <w:rPr>
          <w:color w:val="231F20"/>
          <w:spacing w:val="-20"/>
          <w:w w:val="105"/>
        </w:rPr>
        <w:t> </w:t>
      </w:r>
      <w:r>
        <w:rPr>
          <w:color w:val="231F20"/>
          <w:w w:val="105"/>
        </w:rPr>
        <w:t>sucediéndose</w:t>
      </w:r>
      <w:r>
        <w:rPr>
          <w:color w:val="231F20"/>
          <w:spacing w:val="-20"/>
          <w:w w:val="105"/>
        </w:rPr>
        <w:t> </w:t>
      </w:r>
      <w:r>
        <w:rPr>
          <w:color w:val="231F20"/>
          <w:w w:val="105"/>
        </w:rPr>
        <w:t>desde</w:t>
      </w:r>
      <w:r>
        <w:rPr>
          <w:color w:val="231F20"/>
          <w:spacing w:val="-20"/>
          <w:w w:val="105"/>
        </w:rPr>
        <w:t> </w:t>
      </w:r>
      <w:r>
        <w:rPr>
          <w:color w:val="231F20"/>
          <w:w w:val="105"/>
        </w:rPr>
        <w:t>mediados</w:t>
      </w:r>
      <w:r>
        <w:rPr>
          <w:color w:val="231F20"/>
          <w:spacing w:val="-20"/>
          <w:w w:val="105"/>
        </w:rPr>
        <w:t> </w:t>
      </w:r>
      <w:r>
        <w:rPr>
          <w:color w:val="231F20"/>
          <w:w w:val="105"/>
        </w:rPr>
        <w:t>de los</w:t>
      </w:r>
      <w:r>
        <w:rPr>
          <w:color w:val="231F20"/>
          <w:spacing w:val="-31"/>
          <w:w w:val="105"/>
        </w:rPr>
        <w:t> </w:t>
      </w:r>
      <w:r>
        <w:rPr>
          <w:color w:val="231F20"/>
          <w:w w:val="105"/>
        </w:rPr>
        <w:t>años</w:t>
      </w:r>
      <w:r>
        <w:rPr>
          <w:color w:val="231F20"/>
          <w:spacing w:val="-31"/>
          <w:w w:val="105"/>
        </w:rPr>
        <w:t> </w:t>
      </w:r>
      <w:r>
        <w:rPr>
          <w:color w:val="231F20"/>
          <w:w w:val="105"/>
        </w:rPr>
        <w:t>setenta,</w:t>
      </w:r>
      <w:r>
        <w:rPr>
          <w:color w:val="231F20"/>
          <w:spacing w:val="-31"/>
          <w:w w:val="105"/>
        </w:rPr>
        <w:t> </w:t>
      </w:r>
      <w:r>
        <w:rPr>
          <w:color w:val="231F20"/>
          <w:w w:val="105"/>
        </w:rPr>
        <w:t>cuando</w:t>
      </w:r>
      <w:r>
        <w:rPr>
          <w:color w:val="231F20"/>
          <w:spacing w:val="-31"/>
          <w:w w:val="105"/>
        </w:rPr>
        <w:t> </w:t>
      </w:r>
      <w:r>
        <w:rPr>
          <w:color w:val="231F20"/>
          <w:w w:val="105"/>
        </w:rPr>
        <w:t>era</w:t>
      </w:r>
      <w:r>
        <w:rPr>
          <w:color w:val="231F20"/>
          <w:spacing w:val="-31"/>
          <w:w w:val="105"/>
        </w:rPr>
        <w:t> </w:t>
      </w:r>
      <w:r>
        <w:rPr>
          <w:color w:val="231F20"/>
          <w:spacing w:val="-3"/>
          <w:w w:val="105"/>
        </w:rPr>
        <w:t>recurrente</w:t>
      </w:r>
      <w:r>
        <w:rPr>
          <w:color w:val="231F20"/>
          <w:spacing w:val="-31"/>
          <w:w w:val="105"/>
        </w:rPr>
        <w:t> </w:t>
      </w:r>
      <w:r>
        <w:rPr>
          <w:color w:val="231F20"/>
          <w:w w:val="105"/>
        </w:rPr>
        <w:t>lanzarse</w:t>
      </w:r>
      <w:r>
        <w:rPr>
          <w:color w:val="231F20"/>
          <w:spacing w:val="-31"/>
          <w:w w:val="105"/>
        </w:rPr>
        <w:t> </w:t>
      </w:r>
      <w:r>
        <w:rPr>
          <w:color w:val="231F20"/>
          <w:w w:val="105"/>
        </w:rPr>
        <w:t>contra</w:t>
      </w:r>
      <w:r>
        <w:rPr>
          <w:color w:val="231F20"/>
          <w:spacing w:val="-31"/>
          <w:w w:val="105"/>
        </w:rPr>
        <w:t> </w:t>
      </w:r>
      <w:r>
        <w:rPr>
          <w:color w:val="231F20"/>
          <w:w w:val="105"/>
        </w:rPr>
        <w:t>el</w:t>
      </w:r>
      <w:r>
        <w:rPr>
          <w:color w:val="231F20"/>
          <w:spacing w:val="-31"/>
          <w:w w:val="105"/>
        </w:rPr>
        <w:t> </w:t>
      </w:r>
      <w:r>
        <w:rPr>
          <w:color w:val="231F20"/>
          <w:w w:val="105"/>
        </w:rPr>
        <w:t>Estado</w:t>
      </w:r>
      <w:r>
        <w:rPr>
          <w:color w:val="231F20"/>
          <w:spacing w:val="-31"/>
          <w:w w:val="105"/>
        </w:rPr>
        <w:t> </w:t>
      </w:r>
      <w:r>
        <w:rPr>
          <w:color w:val="231F20"/>
          <w:w w:val="105"/>
        </w:rPr>
        <w:t>de</w:t>
      </w:r>
      <w:r>
        <w:rPr>
          <w:color w:val="231F20"/>
          <w:spacing w:val="-31"/>
          <w:w w:val="105"/>
        </w:rPr>
        <w:t> </w:t>
      </w:r>
      <w:r>
        <w:rPr>
          <w:color w:val="231F20"/>
          <w:w w:val="105"/>
        </w:rPr>
        <w:t>bien- estar</w:t>
      </w:r>
      <w:r>
        <w:rPr>
          <w:color w:val="231F20"/>
          <w:spacing w:val="-36"/>
          <w:w w:val="105"/>
        </w:rPr>
        <w:t> </w:t>
      </w:r>
      <w:r>
        <w:rPr>
          <w:color w:val="231F20"/>
          <w:w w:val="105"/>
        </w:rPr>
        <w:t>dada</w:t>
      </w:r>
      <w:r>
        <w:rPr>
          <w:color w:val="231F20"/>
          <w:spacing w:val="-36"/>
          <w:w w:val="105"/>
        </w:rPr>
        <w:t> </w:t>
      </w:r>
      <w:r>
        <w:rPr>
          <w:color w:val="231F20"/>
          <w:w w:val="105"/>
        </w:rPr>
        <w:t>su</w:t>
      </w:r>
      <w:r>
        <w:rPr>
          <w:color w:val="231F20"/>
          <w:spacing w:val="-36"/>
          <w:w w:val="105"/>
        </w:rPr>
        <w:t> </w:t>
      </w:r>
      <w:r>
        <w:rPr>
          <w:color w:val="231F20"/>
          <w:w w:val="105"/>
        </w:rPr>
        <w:t>“incapacidad”</w:t>
      </w:r>
      <w:r>
        <w:rPr>
          <w:color w:val="231F20"/>
          <w:spacing w:val="-36"/>
          <w:w w:val="105"/>
        </w:rPr>
        <w:t> </w:t>
      </w:r>
      <w:r>
        <w:rPr>
          <w:color w:val="231F20"/>
          <w:w w:val="105"/>
        </w:rPr>
        <w:t>en</w:t>
      </w:r>
      <w:r>
        <w:rPr>
          <w:color w:val="231F20"/>
          <w:spacing w:val="-36"/>
          <w:w w:val="105"/>
        </w:rPr>
        <w:t> </w:t>
      </w:r>
      <w:r>
        <w:rPr>
          <w:color w:val="231F20"/>
          <w:w w:val="105"/>
        </w:rPr>
        <w:t>la</w:t>
      </w:r>
      <w:r>
        <w:rPr>
          <w:color w:val="231F20"/>
          <w:spacing w:val="-36"/>
          <w:w w:val="105"/>
        </w:rPr>
        <w:t> </w:t>
      </w:r>
      <w:r>
        <w:rPr>
          <w:color w:val="231F20"/>
          <w:w w:val="105"/>
        </w:rPr>
        <w:t>generación</w:t>
      </w:r>
      <w:r>
        <w:rPr>
          <w:color w:val="231F20"/>
          <w:spacing w:val="-36"/>
          <w:w w:val="105"/>
        </w:rPr>
        <w:t> </w:t>
      </w:r>
      <w:r>
        <w:rPr>
          <w:color w:val="231F20"/>
          <w:w w:val="105"/>
        </w:rPr>
        <w:t>de</w:t>
      </w:r>
      <w:r>
        <w:rPr>
          <w:color w:val="231F20"/>
          <w:spacing w:val="-36"/>
          <w:w w:val="105"/>
        </w:rPr>
        <w:t> </w:t>
      </w:r>
      <w:r>
        <w:rPr>
          <w:color w:val="231F20"/>
          <w:w w:val="105"/>
        </w:rPr>
        <w:t>los</w:t>
      </w:r>
      <w:r>
        <w:rPr>
          <w:color w:val="231F20"/>
          <w:spacing w:val="-36"/>
          <w:w w:val="105"/>
        </w:rPr>
        <w:t> </w:t>
      </w:r>
      <w:r>
        <w:rPr>
          <w:color w:val="231F20"/>
          <w:w w:val="105"/>
        </w:rPr>
        <w:t>insumos</w:t>
      </w:r>
      <w:r>
        <w:rPr>
          <w:color w:val="231F20"/>
          <w:spacing w:val="-36"/>
          <w:w w:val="105"/>
        </w:rPr>
        <w:t> </w:t>
      </w:r>
      <w:r>
        <w:rPr>
          <w:color w:val="231F20"/>
          <w:w w:val="105"/>
        </w:rPr>
        <w:t>económicos</w:t>
      </w:r>
      <w:r>
        <w:rPr>
          <w:color w:val="231F20"/>
          <w:spacing w:val="-36"/>
          <w:w w:val="105"/>
        </w:rPr>
        <w:t> </w:t>
      </w:r>
      <w:r>
        <w:rPr>
          <w:color w:val="231F20"/>
          <w:w w:val="105"/>
        </w:rPr>
        <w:t>y sociales</w:t>
      </w:r>
      <w:r>
        <w:rPr>
          <w:color w:val="231F20"/>
          <w:spacing w:val="-26"/>
          <w:w w:val="105"/>
        </w:rPr>
        <w:t> </w:t>
      </w:r>
      <w:r>
        <w:rPr>
          <w:color w:val="231F20"/>
          <w:w w:val="105"/>
        </w:rPr>
        <w:t>necesarios</w:t>
      </w:r>
      <w:r>
        <w:rPr>
          <w:color w:val="231F20"/>
          <w:spacing w:val="-26"/>
          <w:w w:val="105"/>
        </w:rPr>
        <w:t> </w:t>
      </w:r>
      <w:r>
        <w:rPr>
          <w:color w:val="231F20"/>
          <w:w w:val="105"/>
        </w:rPr>
        <w:t>para</w:t>
      </w:r>
      <w:r>
        <w:rPr>
          <w:color w:val="231F20"/>
          <w:spacing w:val="-26"/>
          <w:w w:val="105"/>
        </w:rPr>
        <w:t> </w:t>
      </w:r>
      <w:r>
        <w:rPr>
          <w:color w:val="231F20"/>
          <w:w w:val="105"/>
        </w:rPr>
        <w:t>la</w:t>
      </w:r>
      <w:r>
        <w:rPr>
          <w:color w:val="231F20"/>
          <w:spacing w:val="-26"/>
          <w:w w:val="105"/>
        </w:rPr>
        <w:t> </w:t>
      </w:r>
      <w:r>
        <w:rPr>
          <w:color w:val="231F20"/>
          <w:spacing w:val="-3"/>
          <w:w w:val="105"/>
        </w:rPr>
        <w:t>reproducción</w:t>
      </w:r>
      <w:r>
        <w:rPr>
          <w:color w:val="231F20"/>
          <w:spacing w:val="-26"/>
          <w:w w:val="105"/>
        </w:rPr>
        <w:t> </w:t>
      </w:r>
      <w:r>
        <w:rPr>
          <w:color w:val="231F20"/>
          <w:w w:val="105"/>
        </w:rPr>
        <w:t>“equilibrada”</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vida</w:t>
      </w:r>
      <w:r>
        <w:rPr>
          <w:color w:val="231F20"/>
          <w:spacing w:val="-26"/>
          <w:w w:val="105"/>
        </w:rPr>
        <w:t> </w:t>
      </w:r>
      <w:r>
        <w:rPr>
          <w:color w:val="231F20"/>
          <w:w w:val="105"/>
        </w:rPr>
        <w:t>en</w:t>
      </w:r>
      <w:r>
        <w:rPr>
          <w:color w:val="231F20"/>
          <w:spacing w:val="-26"/>
          <w:w w:val="105"/>
        </w:rPr>
        <w:t> </w:t>
      </w:r>
      <w:r>
        <w:rPr>
          <w:color w:val="231F20"/>
          <w:w w:val="105"/>
        </w:rPr>
        <w:t>socie- dad</w:t>
      </w:r>
      <w:r>
        <w:rPr>
          <w:color w:val="231F20"/>
          <w:w w:val="105"/>
          <w:position w:val="7"/>
          <w:sz w:val="12"/>
        </w:rPr>
        <w:t>45</w:t>
      </w:r>
      <w:r>
        <w:rPr>
          <w:color w:val="231F20"/>
          <w:spacing w:val="-22"/>
          <w:w w:val="105"/>
          <w:position w:val="7"/>
          <w:sz w:val="12"/>
        </w:rPr>
        <w:t> </w:t>
      </w:r>
      <w:r>
        <w:rPr>
          <w:color w:val="231F20"/>
          <w:w w:val="105"/>
          <w:position w:val="7"/>
          <w:sz w:val="12"/>
        </w:rPr>
        <w:t>46</w:t>
      </w:r>
      <w:r>
        <w:rPr>
          <w:color w:val="231F20"/>
          <w:w w:val="105"/>
        </w:rPr>
        <w:t>.</w:t>
      </w:r>
      <w:r>
        <w:rPr>
          <w:color w:val="231F20"/>
          <w:spacing w:val="-38"/>
          <w:w w:val="105"/>
        </w:rPr>
        <w:t> </w:t>
      </w:r>
      <w:r>
        <w:rPr>
          <w:color w:val="231F20"/>
          <w:w w:val="105"/>
        </w:rPr>
        <w:t>De</w:t>
      </w:r>
      <w:r>
        <w:rPr>
          <w:color w:val="231F20"/>
          <w:spacing w:val="-38"/>
          <w:w w:val="105"/>
        </w:rPr>
        <w:t> </w:t>
      </w:r>
      <w:r>
        <w:rPr>
          <w:color w:val="231F20"/>
          <w:w w:val="105"/>
        </w:rPr>
        <w:t>aquí,</w:t>
      </w:r>
      <w:r>
        <w:rPr>
          <w:color w:val="231F20"/>
          <w:spacing w:val="-38"/>
          <w:w w:val="105"/>
        </w:rPr>
        <w:t> </w:t>
      </w:r>
      <w:r>
        <w:rPr>
          <w:color w:val="231F20"/>
          <w:w w:val="105"/>
        </w:rPr>
        <w:t>pues,</w:t>
      </w:r>
      <w:r>
        <w:rPr>
          <w:color w:val="231F20"/>
          <w:spacing w:val="-38"/>
          <w:w w:val="105"/>
        </w:rPr>
        <w:t> </w:t>
      </w:r>
      <w:r>
        <w:rPr>
          <w:color w:val="231F20"/>
          <w:w w:val="105"/>
        </w:rPr>
        <w:t>la</w:t>
      </w:r>
      <w:r>
        <w:rPr>
          <w:color w:val="231F20"/>
          <w:spacing w:val="-38"/>
          <w:w w:val="105"/>
        </w:rPr>
        <w:t> </w:t>
      </w:r>
      <w:r>
        <w:rPr>
          <w:color w:val="231F20"/>
          <w:spacing w:val="-3"/>
          <w:w w:val="105"/>
        </w:rPr>
        <w:t>desregulación</w:t>
      </w:r>
      <w:r>
        <w:rPr>
          <w:color w:val="231F20"/>
          <w:spacing w:val="-38"/>
          <w:w w:val="105"/>
        </w:rPr>
        <w:t> </w:t>
      </w:r>
      <w:r>
        <w:rPr>
          <w:color w:val="231F20"/>
          <w:w w:val="105"/>
        </w:rPr>
        <w:t>de</w:t>
      </w:r>
      <w:r>
        <w:rPr>
          <w:color w:val="231F20"/>
          <w:spacing w:val="-38"/>
          <w:w w:val="105"/>
        </w:rPr>
        <w:t> </w:t>
      </w:r>
      <w:r>
        <w:rPr>
          <w:color w:val="231F20"/>
          <w:w w:val="105"/>
        </w:rPr>
        <w:t>los</w:t>
      </w:r>
      <w:r>
        <w:rPr>
          <w:color w:val="231F20"/>
          <w:spacing w:val="-38"/>
          <w:w w:val="105"/>
        </w:rPr>
        <w:t> </w:t>
      </w:r>
      <w:r>
        <w:rPr>
          <w:color w:val="231F20"/>
          <w:spacing w:val="-3"/>
          <w:w w:val="105"/>
        </w:rPr>
        <w:t>mercados</w:t>
      </w:r>
      <w:r>
        <w:rPr>
          <w:color w:val="231F20"/>
          <w:spacing w:val="-38"/>
          <w:w w:val="105"/>
        </w:rPr>
        <w:t> </w:t>
      </w:r>
      <w:r>
        <w:rPr>
          <w:color w:val="231F20"/>
          <w:w w:val="105"/>
        </w:rPr>
        <w:t>nacionales,</w:t>
      </w:r>
      <w:r>
        <w:rPr>
          <w:color w:val="231F20"/>
          <w:spacing w:val="-38"/>
          <w:w w:val="105"/>
        </w:rPr>
        <w:t> </w:t>
      </w:r>
      <w:r>
        <w:rPr>
          <w:color w:val="231F20"/>
          <w:w w:val="105"/>
        </w:rPr>
        <w:t>las</w:t>
      </w:r>
      <w:r>
        <w:rPr>
          <w:color w:val="231F20"/>
          <w:spacing w:val="-38"/>
          <w:w w:val="105"/>
        </w:rPr>
        <w:t> </w:t>
      </w:r>
      <w:r>
        <w:rPr>
          <w:color w:val="231F20"/>
          <w:w w:val="105"/>
        </w:rPr>
        <w:t>po- líticas</w:t>
      </w:r>
      <w:r>
        <w:rPr>
          <w:color w:val="231F20"/>
          <w:spacing w:val="-39"/>
          <w:w w:val="105"/>
        </w:rPr>
        <w:t> </w:t>
      </w:r>
      <w:r>
        <w:rPr>
          <w:color w:val="231F20"/>
          <w:w w:val="105"/>
        </w:rPr>
        <w:t>de</w:t>
      </w:r>
      <w:r>
        <w:rPr>
          <w:color w:val="231F20"/>
          <w:spacing w:val="-39"/>
          <w:w w:val="105"/>
        </w:rPr>
        <w:t> </w:t>
      </w:r>
      <w:r>
        <w:rPr>
          <w:color w:val="231F20"/>
          <w:spacing w:val="-3"/>
          <w:w w:val="105"/>
        </w:rPr>
        <w:t>reforma</w:t>
      </w:r>
      <w:r>
        <w:rPr>
          <w:color w:val="231F20"/>
          <w:spacing w:val="-39"/>
          <w:w w:val="105"/>
        </w:rPr>
        <w:t> </w:t>
      </w:r>
      <w:r>
        <w:rPr>
          <w:color w:val="231F20"/>
          <w:w w:val="105"/>
        </w:rPr>
        <w:t>estructural</w:t>
      </w:r>
      <w:r>
        <w:rPr>
          <w:color w:val="231F20"/>
          <w:spacing w:val="-39"/>
          <w:w w:val="105"/>
        </w:rPr>
        <w:t> </w:t>
      </w:r>
      <w:r>
        <w:rPr>
          <w:color w:val="231F20"/>
          <w:w w:val="105"/>
        </w:rPr>
        <w:t>y</w:t>
      </w:r>
      <w:r>
        <w:rPr>
          <w:color w:val="231F20"/>
          <w:spacing w:val="-39"/>
          <w:w w:val="105"/>
        </w:rPr>
        <w:t> </w:t>
      </w:r>
      <w:r>
        <w:rPr>
          <w:color w:val="231F20"/>
          <w:w w:val="105"/>
        </w:rPr>
        <w:t>la</w:t>
      </w:r>
      <w:r>
        <w:rPr>
          <w:color w:val="231F20"/>
          <w:spacing w:val="-39"/>
          <w:w w:val="105"/>
        </w:rPr>
        <w:t> </w:t>
      </w:r>
      <w:r>
        <w:rPr>
          <w:color w:val="231F20"/>
          <w:w w:val="105"/>
        </w:rPr>
        <w:t>figura</w:t>
      </w:r>
      <w:r>
        <w:rPr>
          <w:color w:val="231F20"/>
          <w:spacing w:val="-39"/>
          <w:w w:val="105"/>
        </w:rPr>
        <w:t> </w:t>
      </w:r>
      <w:r>
        <w:rPr>
          <w:color w:val="231F20"/>
          <w:w w:val="105"/>
        </w:rPr>
        <w:t>de</w:t>
      </w:r>
      <w:r>
        <w:rPr>
          <w:color w:val="231F20"/>
          <w:spacing w:val="-39"/>
          <w:w w:val="105"/>
        </w:rPr>
        <w:t> </w:t>
      </w:r>
      <w:r>
        <w:rPr>
          <w:color w:val="231F20"/>
          <w:w w:val="105"/>
        </w:rPr>
        <w:t>la</w:t>
      </w:r>
      <w:r>
        <w:rPr>
          <w:color w:val="231F20"/>
          <w:spacing w:val="-39"/>
          <w:w w:val="105"/>
        </w:rPr>
        <w:t> </w:t>
      </w:r>
      <w:r>
        <w:rPr>
          <w:color w:val="231F20"/>
          <w:w w:val="105"/>
        </w:rPr>
        <w:t>privatización,</w:t>
      </w:r>
      <w:r>
        <w:rPr>
          <w:color w:val="231F20"/>
          <w:spacing w:val="-39"/>
          <w:w w:val="105"/>
        </w:rPr>
        <w:t> </w:t>
      </w:r>
      <w:r>
        <w:rPr>
          <w:color w:val="231F20"/>
          <w:w w:val="105"/>
        </w:rPr>
        <w:t>que</w:t>
      </w:r>
      <w:r>
        <w:rPr>
          <w:color w:val="231F20"/>
          <w:spacing w:val="-39"/>
          <w:w w:val="105"/>
        </w:rPr>
        <w:t> </w:t>
      </w:r>
      <w:r>
        <w:rPr>
          <w:color w:val="231F20"/>
          <w:w w:val="105"/>
        </w:rPr>
        <w:t>se</w:t>
      </w:r>
      <w:r>
        <w:rPr>
          <w:color w:val="231F20"/>
          <w:spacing w:val="-39"/>
          <w:w w:val="105"/>
        </w:rPr>
        <w:t> </w:t>
      </w:r>
      <w:r>
        <w:rPr>
          <w:color w:val="231F20"/>
          <w:w w:val="105"/>
        </w:rPr>
        <w:t>volverían con</w:t>
      </w:r>
      <w:r>
        <w:rPr>
          <w:color w:val="231F20"/>
          <w:spacing w:val="-16"/>
          <w:w w:val="105"/>
        </w:rPr>
        <w:t> </w:t>
      </w:r>
      <w:r>
        <w:rPr>
          <w:color w:val="231F20"/>
          <w:w w:val="105"/>
        </w:rPr>
        <w:t>el</w:t>
      </w:r>
      <w:r>
        <w:rPr>
          <w:color w:val="231F20"/>
          <w:spacing w:val="-16"/>
          <w:w w:val="105"/>
        </w:rPr>
        <w:t> </w:t>
      </w:r>
      <w:r>
        <w:rPr>
          <w:color w:val="231F20"/>
          <w:w w:val="105"/>
        </w:rPr>
        <w:t>tiempo</w:t>
      </w:r>
      <w:r>
        <w:rPr>
          <w:color w:val="231F20"/>
          <w:spacing w:val="-16"/>
          <w:w w:val="105"/>
        </w:rPr>
        <w:t> </w:t>
      </w:r>
      <w:r>
        <w:rPr>
          <w:color w:val="231F20"/>
          <w:w w:val="105"/>
        </w:rPr>
        <w:t>la</w:t>
      </w:r>
      <w:r>
        <w:rPr>
          <w:color w:val="231F20"/>
          <w:spacing w:val="-16"/>
          <w:w w:val="105"/>
        </w:rPr>
        <w:t> </w:t>
      </w:r>
      <w:r>
        <w:rPr>
          <w:color w:val="231F20"/>
          <w:w w:val="105"/>
        </w:rPr>
        <w:t>primera</w:t>
      </w:r>
      <w:r>
        <w:rPr>
          <w:color w:val="231F20"/>
          <w:spacing w:val="-16"/>
          <w:w w:val="105"/>
        </w:rPr>
        <w:t> </w:t>
      </w:r>
      <w:r>
        <w:rPr>
          <w:color w:val="231F20"/>
          <w:w w:val="105"/>
        </w:rPr>
        <w:t>generación</w:t>
      </w:r>
      <w:r>
        <w:rPr>
          <w:color w:val="231F20"/>
          <w:spacing w:val="-16"/>
          <w:w w:val="105"/>
        </w:rPr>
        <w:t> </w:t>
      </w:r>
      <w:r>
        <w:rPr>
          <w:color w:val="231F20"/>
          <w:w w:val="105"/>
        </w:rPr>
        <w:t>de</w:t>
      </w:r>
      <w:r>
        <w:rPr>
          <w:color w:val="231F20"/>
          <w:spacing w:val="-16"/>
          <w:w w:val="105"/>
        </w:rPr>
        <w:t> </w:t>
      </w:r>
      <w:r>
        <w:rPr>
          <w:color w:val="231F20"/>
          <w:spacing w:val="-3"/>
          <w:w w:val="105"/>
        </w:rPr>
        <w:t>reformas</w:t>
      </w:r>
      <w:r>
        <w:rPr>
          <w:color w:val="231F20"/>
          <w:spacing w:val="-16"/>
          <w:w w:val="105"/>
        </w:rPr>
        <w:t> </w:t>
      </w:r>
      <w:r>
        <w:rPr>
          <w:color w:val="231F20"/>
          <w:w w:val="105"/>
        </w:rPr>
        <w:t>neoliberales.</w:t>
      </w:r>
      <w:r>
        <w:rPr>
          <w:color w:val="231F20"/>
          <w:spacing w:val="-16"/>
          <w:w w:val="105"/>
        </w:rPr>
        <w:t> </w:t>
      </w:r>
      <w:r>
        <w:rPr>
          <w:color w:val="231F20"/>
          <w:w w:val="105"/>
        </w:rPr>
        <w:t>Su</w:t>
      </w:r>
      <w:r>
        <w:rPr>
          <w:color w:val="231F20"/>
          <w:spacing w:val="-16"/>
          <w:w w:val="105"/>
        </w:rPr>
        <w:t> </w:t>
      </w:r>
      <w:r>
        <w:rPr>
          <w:color w:val="231F20"/>
          <w:w w:val="105"/>
        </w:rPr>
        <w:t>conse- cuencia</w:t>
      </w:r>
      <w:r>
        <w:rPr>
          <w:color w:val="231F20"/>
          <w:spacing w:val="-36"/>
          <w:w w:val="105"/>
        </w:rPr>
        <w:t> </w:t>
      </w:r>
      <w:r>
        <w:rPr>
          <w:color w:val="231F20"/>
          <w:w w:val="105"/>
        </w:rPr>
        <w:t>fue</w:t>
      </w:r>
      <w:r>
        <w:rPr>
          <w:color w:val="231F20"/>
          <w:spacing w:val="-36"/>
          <w:w w:val="105"/>
        </w:rPr>
        <w:t> </w:t>
      </w:r>
      <w:r>
        <w:rPr>
          <w:color w:val="231F20"/>
          <w:w w:val="105"/>
        </w:rPr>
        <w:t>la</w:t>
      </w:r>
      <w:r>
        <w:rPr>
          <w:color w:val="231F20"/>
          <w:spacing w:val="-36"/>
          <w:w w:val="105"/>
        </w:rPr>
        <w:t> </w:t>
      </w:r>
      <w:r>
        <w:rPr>
          <w:color w:val="231F20"/>
          <w:w w:val="105"/>
        </w:rPr>
        <w:t>idea</w:t>
      </w:r>
      <w:r>
        <w:rPr>
          <w:color w:val="231F20"/>
          <w:spacing w:val="-36"/>
          <w:w w:val="105"/>
        </w:rPr>
        <w:t> </w:t>
      </w:r>
      <w:r>
        <w:rPr>
          <w:color w:val="231F20"/>
          <w:w w:val="105"/>
        </w:rPr>
        <w:t>de</w:t>
      </w:r>
      <w:r>
        <w:rPr>
          <w:color w:val="231F20"/>
          <w:spacing w:val="-36"/>
          <w:w w:val="105"/>
        </w:rPr>
        <w:t> </w:t>
      </w:r>
      <w:r>
        <w:rPr>
          <w:color w:val="231F20"/>
          <w:w w:val="105"/>
        </w:rPr>
        <w:t>que</w:t>
      </w:r>
      <w:r>
        <w:rPr>
          <w:color w:val="231F20"/>
          <w:spacing w:val="-36"/>
          <w:w w:val="105"/>
        </w:rPr>
        <w:t> </w:t>
      </w:r>
      <w:r>
        <w:rPr>
          <w:color w:val="231F20"/>
          <w:w w:val="105"/>
        </w:rPr>
        <w:t>el</w:t>
      </w:r>
      <w:r>
        <w:rPr>
          <w:color w:val="231F20"/>
          <w:spacing w:val="-36"/>
          <w:w w:val="105"/>
        </w:rPr>
        <w:t> </w:t>
      </w:r>
      <w:r>
        <w:rPr>
          <w:color w:val="231F20"/>
          <w:w w:val="105"/>
        </w:rPr>
        <w:t>Estado</w:t>
      </w:r>
      <w:r>
        <w:rPr>
          <w:color w:val="231F20"/>
          <w:spacing w:val="-36"/>
          <w:w w:val="105"/>
        </w:rPr>
        <w:t> </w:t>
      </w:r>
      <w:r>
        <w:rPr>
          <w:color w:val="231F20"/>
          <w:w w:val="105"/>
        </w:rPr>
        <w:t>se</w:t>
      </w:r>
      <w:r>
        <w:rPr>
          <w:color w:val="231F20"/>
          <w:spacing w:val="-36"/>
          <w:w w:val="105"/>
        </w:rPr>
        <w:t> </w:t>
      </w:r>
      <w:r>
        <w:rPr>
          <w:color w:val="231F20"/>
          <w:w w:val="105"/>
        </w:rPr>
        <w:t>“retiraba”</w:t>
      </w:r>
      <w:r>
        <w:rPr>
          <w:color w:val="231F20"/>
          <w:spacing w:val="-36"/>
          <w:w w:val="105"/>
        </w:rPr>
        <w:t> </w:t>
      </w:r>
      <w:r>
        <w:rPr>
          <w:color w:val="231F20"/>
          <w:w w:val="105"/>
        </w:rPr>
        <w:t>de</w:t>
      </w:r>
      <w:r>
        <w:rPr>
          <w:color w:val="231F20"/>
          <w:spacing w:val="-36"/>
          <w:w w:val="105"/>
        </w:rPr>
        <w:t> </w:t>
      </w:r>
      <w:r>
        <w:rPr>
          <w:color w:val="231F20"/>
          <w:w w:val="105"/>
        </w:rPr>
        <w:t>algunos</w:t>
      </w:r>
      <w:r>
        <w:rPr>
          <w:color w:val="231F20"/>
          <w:spacing w:val="-36"/>
          <w:w w:val="105"/>
        </w:rPr>
        <w:t> </w:t>
      </w:r>
      <w:r>
        <w:rPr>
          <w:color w:val="231F20"/>
          <w:w w:val="105"/>
        </w:rPr>
        <w:t>de</w:t>
      </w:r>
      <w:r>
        <w:rPr>
          <w:color w:val="231F20"/>
          <w:spacing w:val="-36"/>
          <w:w w:val="105"/>
        </w:rPr>
        <w:t> </w:t>
      </w:r>
      <w:r>
        <w:rPr>
          <w:color w:val="231F20"/>
          <w:w w:val="105"/>
        </w:rPr>
        <w:t>sus</w:t>
      </w:r>
      <w:r>
        <w:rPr>
          <w:color w:val="231F20"/>
          <w:spacing w:val="-36"/>
          <w:w w:val="105"/>
        </w:rPr>
        <w:t> </w:t>
      </w:r>
      <w:r>
        <w:rPr>
          <w:color w:val="231F20"/>
          <w:spacing w:val="-3"/>
          <w:w w:val="105"/>
        </w:rPr>
        <w:t>lugares </w:t>
      </w:r>
      <w:r>
        <w:rPr>
          <w:color w:val="231F20"/>
          <w:w w:val="105"/>
        </w:rPr>
        <w:t>tradicionales,</w:t>
      </w:r>
      <w:r>
        <w:rPr>
          <w:color w:val="231F20"/>
          <w:spacing w:val="-24"/>
          <w:w w:val="105"/>
        </w:rPr>
        <w:t> </w:t>
      </w:r>
      <w:r>
        <w:rPr>
          <w:color w:val="231F20"/>
          <w:w w:val="105"/>
        </w:rPr>
        <w:t>en</w:t>
      </w:r>
      <w:r>
        <w:rPr>
          <w:color w:val="231F20"/>
          <w:spacing w:val="-24"/>
          <w:w w:val="105"/>
        </w:rPr>
        <w:t> </w:t>
      </w:r>
      <w:r>
        <w:rPr>
          <w:color w:val="231F20"/>
          <w:w w:val="105"/>
        </w:rPr>
        <w:t>paráfrasis</w:t>
      </w:r>
      <w:r>
        <w:rPr>
          <w:color w:val="231F20"/>
          <w:spacing w:val="-24"/>
          <w:w w:val="105"/>
        </w:rPr>
        <w:t> </w:t>
      </w:r>
      <w:r>
        <w:rPr>
          <w:color w:val="231F20"/>
          <w:w w:val="105"/>
        </w:rPr>
        <w:t>del</w:t>
      </w:r>
      <w:r>
        <w:rPr>
          <w:color w:val="231F20"/>
          <w:spacing w:val="-24"/>
          <w:w w:val="105"/>
        </w:rPr>
        <w:t> </w:t>
      </w:r>
      <w:r>
        <w:rPr>
          <w:color w:val="231F20"/>
          <w:w w:val="105"/>
        </w:rPr>
        <w:t>título</w:t>
      </w:r>
      <w:r>
        <w:rPr>
          <w:color w:val="231F20"/>
          <w:spacing w:val="-24"/>
          <w:w w:val="105"/>
        </w:rPr>
        <w:t> </w:t>
      </w:r>
      <w:r>
        <w:rPr>
          <w:color w:val="231F20"/>
          <w:spacing w:val="-3"/>
          <w:w w:val="105"/>
        </w:rPr>
        <w:t>célebre</w:t>
      </w:r>
      <w:r>
        <w:rPr>
          <w:color w:val="231F20"/>
          <w:spacing w:val="-24"/>
          <w:w w:val="105"/>
        </w:rPr>
        <w:t> </w:t>
      </w:r>
      <w:r>
        <w:rPr>
          <w:color w:val="231F20"/>
          <w:w w:val="105"/>
        </w:rPr>
        <w:t>del</w:t>
      </w:r>
      <w:r>
        <w:rPr>
          <w:color w:val="231F20"/>
          <w:spacing w:val="-24"/>
          <w:w w:val="105"/>
        </w:rPr>
        <w:t> </w:t>
      </w:r>
      <w:r>
        <w:rPr>
          <w:color w:val="231F20"/>
          <w:w w:val="105"/>
        </w:rPr>
        <w:t>libro</w:t>
      </w:r>
      <w:r>
        <w:rPr>
          <w:color w:val="231F20"/>
          <w:spacing w:val="-24"/>
          <w:w w:val="105"/>
        </w:rPr>
        <w:t> </w:t>
      </w:r>
      <w:r>
        <w:rPr>
          <w:color w:val="231F20"/>
          <w:w w:val="105"/>
        </w:rPr>
        <w:t>de</w:t>
      </w:r>
      <w:r>
        <w:rPr>
          <w:color w:val="231F20"/>
          <w:spacing w:val="-24"/>
          <w:w w:val="105"/>
        </w:rPr>
        <w:t> </w:t>
      </w:r>
      <w:r>
        <w:rPr>
          <w:color w:val="231F20"/>
          <w:w w:val="105"/>
        </w:rPr>
        <w:t>Susan</w:t>
      </w:r>
      <w:r>
        <w:rPr>
          <w:color w:val="231F20"/>
          <w:spacing w:val="-24"/>
          <w:w w:val="105"/>
        </w:rPr>
        <w:t> </w:t>
      </w:r>
      <w:r>
        <w:rPr>
          <w:color w:val="231F20"/>
          <w:w w:val="105"/>
        </w:rPr>
        <w:t>Strange</w:t>
      </w:r>
      <w:r>
        <w:rPr>
          <w:color w:val="231F20"/>
          <w:w w:val="105"/>
          <w:position w:val="7"/>
          <w:sz w:val="12"/>
        </w:rPr>
        <w:t>47</w:t>
      </w:r>
      <w:r>
        <w:rPr>
          <w:color w:val="231F20"/>
          <w:w w:val="105"/>
        </w:rPr>
        <w:t>; dicho</w:t>
      </w:r>
      <w:r>
        <w:rPr>
          <w:color w:val="231F20"/>
          <w:spacing w:val="-26"/>
          <w:w w:val="105"/>
        </w:rPr>
        <w:t> </w:t>
      </w:r>
      <w:r>
        <w:rPr>
          <w:color w:val="231F20"/>
          <w:w w:val="105"/>
        </w:rPr>
        <w:t>en</w:t>
      </w:r>
      <w:r>
        <w:rPr>
          <w:color w:val="231F20"/>
          <w:spacing w:val="-26"/>
          <w:w w:val="105"/>
        </w:rPr>
        <w:t> </w:t>
      </w:r>
      <w:r>
        <w:rPr>
          <w:color w:val="231F20"/>
          <w:w w:val="105"/>
        </w:rPr>
        <w:t>otras</w:t>
      </w:r>
      <w:r>
        <w:rPr>
          <w:color w:val="231F20"/>
          <w:spacing w:val="-26"/>
          <w:w w:val="105"/>
        </w:rPr>
        <w:t> </w:t>
      </w:r>
      <w:r>
        <w:rPr>
          <w:color w:val="231F20"/>
          <w:w w:val="105"/>
        </w:rPr>
        <w:t>palabras,</w:t>
      </w:r>
      <w:r>
        <w:rPr>
          <w:color w:val="231F20"/>
          <w:spacing w:val="-26"/>
          <w:w w:val="105"/>
        </w:rPr>
        <w:t> </w:t>
      </w:r>
      <w:r>
        <w:rPr>
          <w:color w:val="231F20"/>
          <w:w w:val="105"/>
        </w:rPr>
        <w:t>el</w:t>
      </w:r>
      <w:r>
        <w:rPr>
          <w:color w:val="231F20"/>
          <w:spacing w:val="-26"/>
          <w:w w:val="105"/>
        </w:rPr>
        <w:t> </w:t>
      </w:r>
      <w:r>
        <w:rPr>
          <w:color w:val="231F20"/>
          <w:w w:val="105"/>
        </w:rPr>
        <w:t>Estado</w:t>
      </w:r>
      <w:r>
        <w:rPr>
          <w:color w:val="231F20"/>
          <w:spacing w:val="-26"/>
          <w:w w:val="105"/>
        </w:rPr>
        <w:t> </w:t>
      </w:r>
      <w:r>
        <w:rPr>
          <w:color w:val="231F20"/>
          <w:w w:val="105"/>
        </w:rPr>
        <w:t>dejaba</w:t>
      </w:r>
      <w:r>
        <w:rPr>
          <w:color w:val="231F20"/>
          <w:spacing w:val="-26"/>
          <w:w w:val="105"/>
        </w:rPr>
        <w:t> </w:t>
      </w:r>
      <w:r>
        <w:rPr>
          <w:color w:val="231F20"/>
          <w:w w:val="105"/>
        </w:rPr>
        <w:t>ciertos</w:t>
      </w:r>
      <w:r>
        <w:rPr>
          <w:color w:val="231F20"/>
          <w:spacing w:val="-26"/>
          <w:w w:val="105"/>
        </w:rPr>
        <w:t> </w:t>
      </w:r>
      <w:r>
        <w:rPr>
          <w:rFonts w:ascii="Arial" w:hAnsi="Arial"/>
          <w:i/>
          <w:color w:val="231F20"/>
          <w:w w:val="105"/>
        </w:rPr>
        <w:t>espacios</w:t>
      </w:r>
      <w:r>
        <w:rPr>
          <w:rFonts w:ascii="Arial" w:hAnsi="Arial"/>
          <w:i/>
          <w:color w:val="231F20"/>
          <w:spacing w:val="-18"/>
          <w:w w:val="105"/>
        </w:rPr>
        <w:t> </w:t>
      </w:r>
      <w:r>
        <w:rPr>
          <w:color w:val="231F20"/>
          <w:w w:val="105"/>
        </w:rPr>
        <w:t>que</w:t>
      </w:r>
      <w:r>
        <w:rPr>
          <w:color w:val="231F20"/>
          <w:spacing w:val="-26"/>
          <w:w w:val="105"/>
        </w:rPr>
        <w:t> </w:t>
      </w:r>
      <w:r>
        <w:rPr>
          <w:color w:val="231F20"/>
          <w:w w:val="105"/>
        </w:rPr>
        <w:t>serían</w:t>
      </w:r>
      <w:r>
        <w:rPr>
          <w:color w:val="231F20"/>
          <w:spacing w:val="-26"/>
          <w:w w:val="105"/>
        </w:rPr>
        <w:t> </w:t>
      </w:r>
      <w:r>
        <w:rPr>
          <w:color w:val="231F20"/>
          <w:w w:val="105"/>
        </w:rPr>
        <w:t>col- mados</w:t>
      </w:r>
      <w:r>
        <w:rPr>
          <w:color w:val="231F20"/>
          <w:spacing w:val="-30"/>
          <w:w w:val="105"/>
        </w:rPr>
        <w:t> </w:t>
      </w:r>
      <w:r>
        <w:rPr>
          <w:color w:val="231F20"/>
          <w:w w:val="105"/>
        </w:rPr>
        <w:t>(y</w:t>
      </w:r>
      <w:r>
        <w:rPr>
          <w:color w:val="231F20"/>
          <w:spacing w:val="-30"/>
          <w:w w:val="105"/>
        </w:rPr>
        <w:t> </w:t>
      </w:r>
      <w:r>
        <w:rPr>
          <w:color w:val="231F20"/>
          <w:w w:val="105"/>
        </w:rPr>
        <w:t>colonizados)</w:t>
      </w:r>
      <w:r>
        <w:rPr>
          <w:color w:val="231F20"/>
          <w:spacing w:val="-30"/>
          <w:w w:val="105"/>
        </w:rPr>
        <w:t> </w:t>
      </w:r>
      <w:r>
        <w:rPr>
          <w:color w:val="231F20"/>
          <w:w w:val="105"/>
        </w:rPr>
        <w:t>por</w:t>
      </w:r>
      <w:r>
        <w:rPr>
          <w:color w:val="231F20"/>
          <w:spacing w:val="-30"/>
          <w:w w:val="105"/>
        </w:rPr>
        <w:t> </w:t>
      </w:r>
      <w:r>
        <w:rPr>
          <w:color w:val="231F20"/>
          <w:w w:val="105"/>
        </w:rPr>
        <w:t>el</w:t>
      </w:r>
      <w:r>
        <w:rPr>
          <w:color w:val="231F20"/>
          <w:spacing w:val="-30"/>
          <w:w w:val="105"/>
        </w:rPr>
        <w:t> </w:t>
      </w:r>
      <w:r>
        <w:rPr>
          <w:color w:val="231F20"/>
          <w:w w:val="105"/>
        </w:rPr>
        <w:t>mundo</w:t>
      </w:r>
      <w:r>
        <w:rPr>
          <w:color w:val="231F20"/>
          <w:spacing w:val="-30"/>
          <w:w w:val="105"/>
        </w:rPr>
        <w:t> </w:t>
      </w:r>
      <w:r>
        <w:rPr>
          <w:color w:val="231F20"/>
          <w:w w:val="105"/>
        </w:rPr>
        <w:t>privado</w:t>
      </w:r>
      <w:r>
        <w:rPr>
          <w:color w:val="231F20"/>
          <w:spacing w:val="-30"/>
          <w:w w:val="105"/>
        </w:rPr>
        <w:t> </w:t>
      </w:r>
      <w:r>
        <w:rPr>
          <w:color w:val="231F20"/>
          <w:w w:val="105"/>
        </w:rPr>
        <w:t>y</w:t>
      </w:r>
      <w:r>
        <w:rPr>
          <w:color w:val="231F20"/>
          <w:spacing w:val="-30"/>
          <w:w w:val="105"/>
        </w:rPr>
        <w:t> </w:t>
      </w:r>
      <w:r>
        <w:rPr>
          <w:color w:val="231F20"/>
          <w:w w:val="105"/>
        </w:rPr>
        <w:t>en</w:t>
      </w:r>
      <w:r>
        <w:rPr>
          <w:color w:val="231F20"/>
          <w:spacing w:val="-30"/>
          <w:w w:val="105"/>
        </w:rPr>
        <w:t> </w:t>
      </w:r>
      <w:r>
        <w:rPr>
          <w:color w:val="231F20"/>
          <w:w w:val="105"/>
        </w:rPr>
        <w:t>general</w:t>
      </w:r>
      <w:r>
        <w:rPr>
          <w:color w:val="231F20"/>
          <w:spacing w:val="-30"/>
          <w:w w:val="105"/>
        </w:rPr>
        <w:t> </w:t>
      </w:r>
      <w:r>
        <w:rPr>
          <w:color w:val="231F20"/>
          <w:w w:val="105"/>
        </w:rPr>
        <w:t>por</w:t>
      </w:r>
      <w:r>
        <w:rPr>
          <w:color w:val="231F20"/>
          <w:spacing w:val="-30"/>
          <w:w w:val="105"/>
        </w:rPr>
        <w:t> </w:t>
      </w:r>
      <w:r>
        <w:rPr>
          <w:color w:val="231F20"/>
          <w:w w:val="105"/>
        </w:rPr>
        <w:t>la</w:t>
      </w:r>
      <w:r>
        <w:rPr>
          <w:color w:val="231F20"/>
          <w:spacing w:val="-30"/>
          <w:w w:val="105"/>
        </w:rPr>
        <w:t> </w:t>
      </w:r>
      <w:r>
        <w:rPr>
          <w:color w:val="231F20"/>
          <w:w w:val="105"/>
        </w:rPr>
        <w:t>economía transnacional,</w:t>
      </w:r>
      <w:r>
        <w:rPr>
          <w:color w:val="231F20"/>
          <w:spacing w:val="-35"/>
          <w:w w:val="105"/>
        </w:rPr>
        <w:t> </w:t>
      </w:r>
      <w:r>
        <w:rPr>
          <w:color w:val="231F20"/>
          <w:w w:val="105"/>
        </w:rPr>
        <w:t>incluido</w:t>
      </w:r>
      <w:r>
        <w:rPr>
          <w:color w:val="231F20"/>
          <w:spacing w:val="-35"/>
          <w:w w:val="105"/>
        </w:rPr>
        <w:t> </w:t>
      </w:r>
      <w:r>
        <w:rPr>
          <w:color w:val="231F20"/>
          <w:w w:val="105"/>
        </w:rPr>
        <w:t>el</w:t>
      </w:r>
      <w:r>
        <w:rPr>
          <w:color w:val="231F20"/>
          <w:spacing w:val="-35"/>
          <w:w w:val="105"/>
        </w:rPr>
        <w:t> </w:t>
      </w:r>
      <w:r>
        <w:rPr>
          <w:color w:val="231F20"/>
          <w:spacing w:val="-3"/>
          <w:w w:val="105"/>
        </w:rPr>
        <w:t>mercado</w:t>
      </w:r>
      <w:r>
        <w:rPr>
          <w:color w:val="231F20"/>
          <w:spacing w:val="-35"/>
          <w:w w:val="105"/>
        </w:rPr>
        <w:t> </w:t>
      </w:r>
      <w:r>
        <w:rPr>
          <w:color w:val="231F20"/>
          <w:w w:val="105"/>
        </w:rPr>
        <w:t>de</w:t>
      </w:r>
      <w:r>
        <w:rPr>
          <w:color w:val="231F20"/>
          <w:spacing w:val="-35"/>
          <w:w w:val="105"/>
        </w:rPr>
        <w:t> </w:t>
      </w:r>
      <w:r>
        <w:rPr>
          <w:color w:val="231F20"/>
          <w:w w:val="105"/>
        </w:rPr>
        <w:t>las</w:t>
      </w:r>
      <w:r>
        <w:rPr>
          <w:color w:val="231F20"/>
          <w:spacing w:val="-35"/>
          <w:w w:val="105"/>
        </w:rPr>
        <w:t> </w:t>
      </w:r>
      <w:r>
        <w:rPr>
          <w:color w:val="231F20"/>
          <w:spacing w:val="-3"/>
          <w:w w:val="105"/>
        </w:rPr>
        <w:t>drogas</w:t>
      </w:r>
      <w:r>
        <w:rPr>
          <w:color w:val="231F20"/>
          <w:spacing w:val="-35"/>
          <w:w w:val="105"/>
        </w:rPr>
        <w:t> </w:t>
      </w:r>
      <w:r>
        <w:rPr>
          <w:color w:val="231F20"/>
          <w:w w:val="105"/>
        </w:rPr>
        <w:t>ilícitas</w:t>
      </w:r>
      <w:r>
        <w:rPr>
          <w:color w:val="231F20"/>
          <w:spacing w:val="-35"/>
          <w:w w:val="105"/>
        </w:rPr>
        <w:t> </w:t>
      </w:r>
      <w:r>
        <w:rPr>
          <w:color w:val="231F20"/>
          <w:w w:val="105"/>
        </w:rPr>
        <w:t>y</w:t>
      </w:r>
      <w:r>
        <w:rPr>
          <w:color w:val="231F20"/>
          <w:spacing w:val="-35"/>
          <w:w w:val="105"/>
        </w:rPr>
        <w:t> </w:t>
      </w:r>
      <w:r>
        <w:rPr>
          <w:color w:val="231F20"/>
          <w:w w:val="105"/>
        </w:rPr>
        <w:t>de</w:t>
      </w:r>
      <w:r>
        <w:rPr>
          <w:color w:val="231F20"/>
          <w:spacing w:val="-35"/>
          <w:w w:val="105"/>
        </w:rPr>
        <w:t> </w:t>
      </w:r>
      <w:r>
        <w:rPr>
          <w:color w:val="231F20"/>
          <w:w w:val="105"/>
        </w:rPr>
        <w:t>los</w:t>
      </w:r>
      <w:r>
        <w:rPr>
          <w:color w:val="231F20"/>
          <w:spacing w:val="-35"/>
          <w:w w:val="105"/>
        </w:rPr>
        <w:t> </w:t>
      </w:r>
      <w:r>
        <w:rPr>
          <w:color w:val="231F20"/>
          <w:w w:val="105"/>
        </w:rPr>
        <w:t>fenómenos que</w:t>
      </w:r>
      <w:r>
        <w:rPr>
          <w:color w:val="231F20"/>
          <w:spacing w:val="-34"/>
          <w:w w:val="105"/>
        </w:rPr>
        <w:t> </w:t>
      </w:r>
      <w:r>
        <w:rPr>
          <w:color w:val="231F20"/>
          <w:w w:val="105"/>
        </w:rPr>
        <w:t>le</w:t>
      </w:r>
      <w:r>
        <w:rPr>
          <w:color w:val="231F20"/>
          <w:spacing w:val="-34"/>
          <w:w w:val="105"/>
        </w:rPr>
        <w:t> </w:t>
      </w:r>
      <w:r>
        <w:rPr>
          <w:color w:val="231F20"/>
          <w:spacing w:val="-3"/>
          <w:w w:val="105"/>
        </w:rPr>
        <w:t>circundan.</w:t>
      </w:r>
      <w:r>
        <w:rPr>
          <w:color w:val="231F20"/>
          <w:spacing w:val="-34"/>
          <w:w w:val="105"/>
        </w:rPr>
        <w:t> </w:t>
      </w:r>
      <w:r>
        <w:rPr>
          <w:color w:val="231F20"/>
          <w:w w:val="105"/>
        </w:rPr>
        <w:t>Sin</w:t>
      </w:r>
      <w:r>
        <w:rPr>
          <w:color w:val="231F20"/>
          <w:spacing w:val="-34"/>
          <w:w w:val="105"/>
        </w:rPr>
        <w:t> </w:t>
      </w:r>
      <w:r>
        <w:rPr>
          <w:color w:val="231F20"/>
          <w:spacing w:val="-3"/>
          <w:w w:val="105"/>
        </w:rPr>
        <w:t>embargo,</w:t>
      </w:r>
      <w:r>
        <w:rPr>
          <w:color w:val="231F20"/>
          <w:spacing w:val="-34"/>
          <w:w w:val="105"/>
        </w:rPr>
        <w:t> </w:t>
      </w:r>
      <w:r>
        <w:rPr>
          <w:color w:val="231F20"/>
          <w:w w:val="105"/>
        </w:rPr>
        <w:t>como</w:t>
      </w:r>
      <w:r>
        <w:rPr>
          <w:color w:val="231F20"/>
          <w:spacing w:val="-34"/>
          <w:w w:val="105"/>
        </w:rPr>
        <w:t> </w:t>
      </w:r>
      <w:r>
        <w:rPr>
          <w:color w:val="231F20"/>
          <w:w w:val="105"/>
        </w:rPr>
        <w:t>bien</w:t>
      </w:r>
      <w:r>
        <w:rPr>
          <w:color w:val="231F20"/>
          <w:spacing w:val="-34"/>
          <w:w w:val="105"/>
        </w:rPr>
        <w:t> </w:t>
      </w:r>
      <w:r>
        <w:rPr>
          <w:color w:val="231F20"/>
          <w:w w:val="105"/>
        </w:rPr>
        <w:t>señala</w:t>
      </w:r>
      <w:r>
        <w:rPr>
          <w:color w:val="231F20"/>
          <w:spacing w:val="-34"/>
          <w:w w:val="105"/>
        </w:rPr>
        <w:t> </w:t>
      </w:r>
      <w:r>
        <w:rPr>
          <w:color w:val="231F20"/>
          <w:w w:val="105"/>
        </w:rPr>
        <w:t>Pier</w:t>
      </w:r>
      <w:r>
        <w:rPr>
          <w:color w:val="231F20"/>
          <w:spacing w:val="-34"/>
          <w:w w:val="105"/>
        </w:rPr>
        <w:t> </w:t>
      </w:r>
      <w:r>
        <w:rPr>
          <w:color w:val="231F20"/>
          <w:w w:val="105"/>
        </w:rPr>
        <w:t>Paolo</w:t>
      </w:r>
      <w:r>
        <w:rPr>
          <w:color w:val="231F20"/>
          <w:spacing w:val="-34"/>
          <w:w w:val="105"/>
        </w:rPr>
        <w:t> </w:t>
      </w:r>
      <w:r>
        <w:rPr>
          <w:color w:val="231F20"/>
          <w:spacing w:val="-3"/>
          <w:w w:val="105"/>
        </w:rPr>
        <w:t>Portinaro,</w:t>
      </w:r>
    </w:p>
    <w:p>
      <w:pPr>
        <w:pStyle w:val="BodyText"/>
        <w:spacing w:before="10"/>
        <w:rPr>
          <w:sz w:val="22"/>
        </w:rPr>
      </w:pPr>
    </w:p>
    <w:p>
      <w:pPr>
        <w:spacing w:line="220" w:lineRule="exact" w:before="1"/>
        <w:ind w:left="1521" w:right="116" w:firstLine="0"/>
        <w:jc w:val="both"/>
        <w:rPr>
          <w:sz w:val="19"/>
        </w:rPr>
      </w:pPr>
      <w:r>
        <w:rPr>
          <w:color w:val="231F20"/>
          <w:sz w:val="19"/>
        </w:rPr>
        <w:t>Pero ni la perspectiva de nuevas formas de Estado tecnocrático transnacional ni aquella de un Estado constitucional que se abre a las dimensiones internacionales aparecen en cualquier contexto cultural y en cualquier área del mundo como prometedoras. </w:t>
      </w:r>
      <w:r>
        <w:rPr>
          <w:color w:val="231F20"/>
          <w:spacing w:val="-6"/>
          <w:sz w:val="19"/>
        </w:rPr>
        <w:t>Tan- </w:t>
      </w:r>
      <w:r>
        <w:rPr>
          <w:color w:val="231F20"/>
          <w:sz w:val="19"/>
        </w:rPr>
        <w:t>to las capacidades de integración de las comunidades nacionales como los recursos de racionalización de las instituciones son limi- tados y sujetos a un agotamiento sobre todo cuando crece la in- certidumbre de los actores sociales y políticos. Es difícil creer que el problema del exceso de abstracción del cual padecen hoy los Estados occidentales a los ojos de sus ciudadanías (y de aquellos que pugnan por la inclusión) pueda ser resuelto con una simple renacionalización de las políticas o bien salvarse dirigiéndose ha- cia un orden burocrático supranacional</w:t>
      </w:r>
      <w:r>
        <w:rPr>
          <w:color w:val="231F20"/>
          <w:spacing w:val="-16"/>
          <w:sz w:val="19"/>
        </w:rPr>
        <w:t> </w:t>
      </w:r>
      <w:r>
        <w:rPr>
          <w:color w:val="231F20"/>
          <w:sz w:val="19"/>
        </w:rPr>
        <w:t>[…]</w:t>
      </w:r>
      <w:r>
        <w:rPr>
          <w:color w:val="231F20"/>
          <w:position w:val="6"/>
          <w:sz w:val="11"/>
        </w:rPr>
        <w:t>48</w:t>
      </w:r>
      <w:r>
        <w:rPr>
          <w:color w:val="231F20"/>
          <w:sz w:val="19"/>
        </w:rPr>
        <w:t>.</w:t>
      </w:r>
    </w:p>
    <w:p>
      <w:pPr>
        <w:pStyle w:val="BodyText"/>
        <w:rPr>
          <w:sz w:val="20"/>
        </w:rPr>
      </w:pPr>
    </w:p>
    <w:p>
      <w:pPr>
        <w:pStyle w:val="BodyText"/>
        <w:spacing w:before="5"/>
        <w:rPr>
          <w:sz w:val="23"/>
        </w:rPr>
      </w:pPr>
      <w:r>
        <w:rPr/>
        <w:pict>
          <v:line style="position:absolute;mso-position-horizontal-relative:page;mso-position-vertical-relative:paragraph;z-index:6784;mso-wrap-distance-left:0;mso-wrap-distance-right:0" from="65.196899pt,16.239092pt" to="178.582899pt,16.239092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w w:val="105"/>
          <w:position w:val="6"/>
          <w:sz w:val="10"/>
        </w:rPr>
        <w:t>44</w:t>
      </w:r>
      <w:r>
        <w:rPr>
          <w:rFonts w:ascii="Calibri" w:hAnsi="Calibri"/>
          <w:color w:val="231F20"/>
          <w:spacing w:val="-7"/>
          <w:w w:val="105"/>
          <w:position w:val="6"/>
          <w:sz w:val="10"/>
        </w:rPr>
        <w:t> </w:t>
      </w:r>
      <w:r>
        <w:rPr>
          <w:rFonts w:ascii="Calibri" w:hAnsi="Calibri"/>
          <w:color w:val="231F20"/>
          <w:w w:val="105"/>
          <w:sz w:val="17"/>
        </w:rPr>
        <w:t>N.</w:t>
      </w:r>
      <w:r>
        <w:rPr>
          <w:rFonts w:ascii="Calibri" w:hAnsi="Calibri"/>
          <w:color w:val="231F20"/>
          <w:spacing w:val="-24"/>
          <w:w w:val="105"/>
          <w:sz w:val="17"/>
        </w:rPr>
        <w:t> </w:t>
      </w:r>
      <w:r>
        <w:rPr>
          <w:rFonts w:ascii="Calibri" w:hAnsi="Calibri"/>
          <w:color w:val="231F20"/>
          <w:w w:val="105"/>
          <w:sz w:val="17"/>
        </w:rPr>
        <w:t>Lechner,</w:t>
      </w:r>
      <w:r>
        <w:rPr>
          <w:rFonts w:ascii="Calibri" w:hAnsi="Calibri"/>
          <w:color w:val="231F20"/>
          <w:spacing w:val="-24"/>
          <w:w w:val="105"/>
          <w:sz w:val="17"/>
        </w:rPr>
        <w:t> </w:t>
      </w:r>
      <w:r>
        <w:rPr>
          <w:rFonts w:ascii="Calibri" w:hAnsi="Calibri"/>
          <w:color w:val="231F20"/>
          <w:w w:val="105"/>
          <w:sz w:val="17"/>
        </w:rPr>
        <w:t>“Las</w:t>
      </w:r>
      <w:r>
        <w:rPr>
          <w:rFonts w:ascii="Calibri" w:hAnsi="Calibri"/>
          <w:color w:val="231F20"/>
          <w:spacing w:val="-24"/>
          <w:w w:val="105"/>
          <w:sz w:val="17"/>
        </w:rPr>
        <w:t> </w:t>
      </w:r>
      <w:r>
        <w:rPr>
          <w:rFonts w:ascii="Calibri" w:hAnsi="Calibri"/>
          <w:color w:val="231F20"/>
          <w:w w:val="105"/>
          <w:sz w:val="17"/>
        </w:rPr>
        <w:t>transformaciones</w:t>
      </w:r>
      <w:r>
        <w:rPr>
          <w:rFonts w:ascii="Calibri" w:hAnsi="Calibri"/>
          <w:color w:val="231F20"/>
          <w:spacing w:val="-24"/>
          <w:w w:val="105"/>
          <w:sz w:val="17"/>
        </w:rPr>
        <w:t> </w:t>
      </w:r>
      <w:r>
        <w:rPr>
          <w:rFonts w:ascii="Calibri" w:hAnsi="Calibri"/>
          <w:color w:val="231F20"/>
          <w:w w:val="105"/>
          <w:sz w:val="17"/>
        </w:rPr>
        <w:t>de</w:t>
      </w:r>
      <w:r>
        <w:rPr>
          <w:rFonts w:ascii="Calibri" w:hAnsi="Calibri"/>
          <w:color w:val="231F20"/>
          <w:spacing w:val="-24"/>
          <w:w w:val="105"/>
          <w:sz w:val="17"/>
        </w:rPr>
        <w:t> </w:t>
      </w:r>
      <w:r>
        <w:rPr>
          <w:rFonts w:ascii="Calibri" w:hAnsi="Calibri"/>
          <w:color w:val="231F20"/>
          <w:w w:val="105"/>
          <w:sz w:val="17"/>
        </w:rPr>
        <w:t>la</w:t>
      </w:r>
      <w:r>
        <w:rPr>
          <w:rFonts w:ascii="Calibri" w:hAnsi="Calibri"/>
          <w:color w:val="231F20"/>
          <w:spacing w:val="-24"/>
          <w:w w:val="105"/>
          <w:sz w:val="17"/>
        </w:rPr>
        <w:t> </w:t>
      </w:r>
      <w:r>
        <w:rPr>
          <w:rFonts w:ascii="Calibri" w:hAnsi="Calibri"/>
          <w:color w:val="231F20"/>
          <w:w w:val="105"/>
          <w:sz w:val="17"/>
        </w:rPr>
        <w:t>política”,</w:t>
      </w:r>
      <w:r>
        <w:rPr>
          <w:rFonts w:ascii="Calibri" w:hAnsi="Calibri"/>
          <w:color w:val="231F20"/>
          <w:spacing w:val="-24"/>
          <w:w w:val="105"/>
          <w:sz w:val="17"/>
        </w:rPr>
        <w:t> </w:t>
      </w:r>
      <w:r>
        <w:rPr>
          <w:rFonts w:ascii="Calibri" w:hAnsi="Calibri"/>
          <w:i/>
          <w:color w:val="231F20"/>
          <w:w w:val="105"/>
          <w:sz w:val="17"/>
        </w:rPr>
        <w:t>Revista</w:t>
      </w:r>
      <w:r>
        <w:rPr>
          <w:rFonts w:ascii="Calibri" w:hAnsi="Calibri"/>
          <w:i/>
          <w:color w:val="231F20"/>
          <w:spacing w:val="-24"/>
          <w:w w:val="105"/>
          <w:sz w:val="17"/>
        </w:rPr>
        <w:t> </w:t>
      </w:r>
      <w:r>
        <w:rPr>
          <w:rFonts w:ascii="Calibri" w:hAnsi="Calibri"/>
          <w:i/>
          <w:color w:val="231F20"/>
          <w:w w:val="105"/>
          <w:sz w:val="17"/>
        </w:rPr>
        <w:t>mexicana</w:t>
      </w:r>
      <w:r>
        <w:rPr>
          <w:rFonts w:ascii="Calibri" w:hAnsi="Calibri"/>
          <w:i/>
          <w:color w:val="231F20"/>
          <w:spacing w:val="-24"/>
          <w:w w:val="105"/>
          <w:sz w:val="17"/>
        </w:rPr>
        <w:t> </w:t>
      </w:r>
      <w:r>
        <w:rPr>
          <w:rFonts w:ascii="Calibri" w:hAnsi="Calibri"/>
          <w:i/>
          <w:color w:val="231F20"/>
          <w:w w:val="105"/>
          <w:sz w:val="17"/>
        </w:rPr>
        <w:t>de</w:t>
      </w:r>
      <w:r>
        <w:rPr>
          <w:rFonts w:ascii="Calibri" w:hAnsi="Calibri"/>
          <w:i/>
          <w:color w:val="231F20"/>
          <w:spacing w:val="-24"/>
          <w:w w:val="105"/>
          <w:sz w:val="17"/>
        </w:rPr>
        <w:t> </w:t>
      </w:r>
      <w:r>
        <w:rPr>
          <w:rFonts w:ascii="Calibri" w:hAnsi="Calibri"/>
          <w:i/>
          <w:color w:val="231F20"/>
          <w:w w:val="105"/>
          <w:sz w:val="17"/>
        </w:rPr>
        <w:t>sociología</w:t>
      </w:r>
      <w:r>
        <w:rPr>
          <w:rFonts w:ascii="Calibri" w:hAnsi="Calibri"/>
          <w:color w:val="231F20"/>
          <w:w w:val="105"/>
          <w:sz w:val="17"/>
        </w:rPr>
        <w:t>,</w:t>
      </w:r>
      <w:r>
        <w:rPr>
          <w:rFonts w:ascii="Calibri" w:hAnsi="Calibri"/>
          <w:color w:val="231F20"/>
          <w:spacing w:val="-24"/>
          <w:w w:val="105"/>
          <w:sz w:val="17"/>
        </w:rPr>
        <w:t> </w:t>
      </w:r>
      <w:r>
        <w:rPr>
          <w:rFonts w:ascii="Calibri" w:hAnsi="Calibri"/>
          <w:color w:val="231F20"/>
          <w:w w:val="105"/>
          <w:sz w:val="17"/>
        </w:rPr>
        <w:t>58,</w:t>
      </w:r>
      <w:r>
        <w:rPr>
          <w:rFonts w:ascii="Calibri" w:hAnsi="Calibri"/>
          <w:color w:val="231F20"/>
          <w:spacing w:val="-24"/>
          <w:w w:val="105"/>
          <w:sz w:val="17"/>
        </w:rPr>
        <w:t> </w:t>
      </w:r>
      <w:r>
        <w:rPr>
          <w:rFonts w:ascii="Calibri" w:hAnsi="Calibri"/>
          <w:color w:val="231F20"/>
          <w:w w:val="105"/>
          <w:sz w:val="17"/>
        </w:rPr>
        <w:t>1,</w:t>
      </w:r>
      <w:r>
        <w:rPr>
          <w:rFonts w:ascii="Calibri" w:hAnsi="Calibri"/>
          <w:color w:val="231F20"/>
          <w:spacing w:val="-24"/>
          <w:w w:val="105"/>
          <w:sz w:val="17"/>
        </w:rPr>
        <w:t> </w:t>
      </w:r>
      <w:r>
        <w:rPr>
          <w:rFonts w:ascii="Calibri" w:hAnsi="Calibri"/>
          <w:color w:val="231F20"/>
          <w:w w:val="105"/>
          <w:sz w:val="17"/>
        </w:rPr>
        <w:t>1996,</w:t>
      </w:r>
      <w:r>
        <w:rPr>
          <w:rFonts w:ascii="Calibri" w:hAnsi="Calibri"/>
          <w:color w:val="231F20"/>
          <w:spacing w:val="-24"/>
          <w:w w:val="105"/>
          <w:sz w:val="17"/>
        </w:rPr>
        <w:t> </w:t>
      </w:r>
      <w:r>
        <w:rPr>
          <w:rFonts w:ascii="Calibri" w:hAnsi="Calibri"/>
          <w:color w:val="231F20"/>
          <w:w w:val="105"/>
          <w:sz w:val="17"/>
        </w:rPr>
        <w:t>p.</w:t>
      </w:r>
      <w:r>
        <w:rPr>
          <w:rFonts w:ascii="Calibri" w:hAnsi="Calibri"/>
          <w:color w:val="231F20"/>
          <w:spacing w:val="-24"/>
          <w:w w:val="105"/>
          <w:sz w:val="17"/>
        </w:rPr>
        <w:t> </w:t>
      </w:r>
      <w:r>
        <w:rPr>
          <w:rFonts w:ascii="Calibri" w:hAnsi="Calibri"/>
          <w:color w:val="231F20"/>
          <w:w w:val="105"/>
          <w:sz w:val="17"/>
        </w:rPr>
        <w:t>9.</w:t>
      </w:r>
    </w:p>
    <w:p>
      <w:pPr>
        <w:spacing w:line="204" w:lineRule="exact" w:before="0"/>
        <w:ind w:left="103" w:right="0" w:firstLine="0"/>
        <w:jc w:val="left"/>
        <w:rPr>
          <w:rFonts w:ascii="Calibri" w:hAnsi="Calibri"/>
          <w:sz w:val="17"/>
        </w:rPr>
      </w:pPr>
      <w:r>
        <w:rPr>
          <w:rFonts w:ascii="Calibri" w:hAnsi="Calibri"/>
          <w:color w:val="231F20"/>
          <w:position w:val="6"/>
          <w:sz w:val="10"/>
        </w:rPr>
        <w:t>45 </w:t>
      </w:r>
      <w:r>
        <w:rPr>
          <w:rFonts w:ascii="Calibri" w:hAnsi="Calibri"/>
          <w:color w:val="231F20"/>
          <w:sz w:val="17"/>
        </w:rPr>
        <w:t>P. P. Portinaro, </w:t>
      </w:r>
      <w:r>
        <w:rPr>
          <w:rFonts w:ascii="Calibri" w:hAnsi="Calibri"/>
          <w:i/>
          <w:color w:val="231F20"/>
          <w:sz w:val="17"/>
        </w:rPr>
        <w:t>Stato</w:t>
      </w:r>
      <w:r>
        <w:rPr>
          <w:rFonts w:ascii="Calibri" w:hAnsi="Calibri"/>
          <w:color w:val="231F20"/>
          <w:sz w:val="17"/>
        </w:rPr>
        <w:t>, Bolonia, Il Mulino, 1999, pp. 159–168.</w:t>
      </w:r>
    </w:p>
    <w:p>
      <w:pPr>
        <w:spacing w:line="235" w:lineRule="auto" w:before="1"/>
        <w:ind w:left="103" w:right="104" w:firstLine="0"/>
        <w:jc w:val="left"/>
        <w:rPr>
          <w:rFonts w:ascii="Calibri" w:hAnsi="Calibri"/>
          <w:sz w:val="17"/>
        </w:rPr>
      </w:pPr>
      <w:r>
        <w:rPr>
          <w:rFonts w:ascii="Calibri" w:hAnsi="Calibri"/>
          <w:color w:val="231F20"/>
          <w:position w:val="6"/>
          <w:sz w:val="10"/>
        </w:rPr>
        <w:t>46 </w:t>
      </w:r>
      <w:r>
        <w:rPr>
          <w:rFonts w:ascii="Calibri" w:hAnsi="Calibri"/>
          <w:color w:val="231F20"/>
          <w:sz w:val="17"/>
        </w:rPr>
        <w:t>Sobre la reducción del Estado social, puede leerse una síntesis en Rosanvallon, </w:t>
      </w:r>
      <w:r>
        <w:rPr>
          <w:rFonts w:ascii="Calibri" w:hAnsi="Calibri"/>
          <w:i/>
          <w:color w:val="231F20"/>
          <w:sz w:val="17"/>
        </w:rPr>
        <w:t>La nouvelle ques- </w:t>
      </w:r>
      <w:r>
        <w:rPr>
          <w:rFonts w:ascii="Calibri" w:hAnsi="Calibri"/>
          <w:i/>
          <w:color w:val="231F20"/>
          <w:sz w:val="17"/>
        </w:rPr>
        <w:t>tion sociale. Repenser l’État</w:t>
      </w:r>
      <w:r>
        <w:rPr>
          <w:rFonts w:ascii="Calibri" w:hAnsi="Calibri"/>
          <w:color w:val="231F20"/>
          <w:sz w:val="17"/>
        </w:rPr>
        <w:t>–</w:t>
      </w:r>
      <w:r>
        <w:rPr>
          <w:rFonts w:ascii="Calibri" w:hAnsi="Calibri"/>
          <w:i/>
          <w:color w:val="231F20"/>
          <w:sz w:val="17"/>
        </w:rPr>
        <w:t>providence</w:t>
      </w:r>
      <w:r>
        <w:rPr>
          <w:rFonts w:ascii="Calibri" w:hAnsi="Calibri"/>
          <w:color w:val="231F20"/>
          <w:sz w:val="17"/>
        </w:rPr>
        <w:t>.</w:t>
      </w:r>
    </w:p>
    <w:p>
      <w:pPr>
        <w:spacing w:line="235" w:lineRule="auto" w:before="0"/>
        <w:ind w:left="103" w:right="0" w:firstLine="0"/>
        <w:jc w:val="left"/>
        <w:rPr>
          <w:rFonts w:ascii="Calibri"/>
          <w:sz w:val="17"/>
        </w:rPr>
      </w:pPr>
      <w:r>
        <w:rPr>
          <w:rFonts w:ascii="Calibri"/>
          <w:color w:val="231F20"/>
          <w:position w:val="6"/>
          <w:sz w:val="10"/>
        </w:rPr>
        <w:t>47 </w:t>
      </w:r>
      <w:r>
        <w:rPr>
          <w:rFonts w:ascii="Calibri"/>
          <w:color w:val="231F20"/>
          <w:sz w:val="17"/>
        </w:rPr>
        <w:t>S. Strange, </w:t>
      </w:r>
      <w:r>
        <w:rPr>
          <w:rFonts w:ascii="Calibri"/>
          <w:i/>
          <w:color w:val="231F20"/>
          <w:sz w:val="17"/>
        </w:rPr>
        <w:t>The Retreat of the State. The Diffusion of Power in the World Economy</w:t>
      </w:r>
      <w:r>
        <w:rPr>
          <w:rFonts w:ascii="Calibri"/>
          <w:color w:val="231F20"/>
          <w:sz w:val="17"/>
        </w:rPr>
        <w:t>, Nueva York y Melbourne, Cambrigde University Press, 1996.</w:t>
      </w:r>
    </w:p>
    <w:p>
      <w:pPr>
        <w:spacing w:line="205" w:lineRule="exact" w:before="0"/>
        <w:ind w:left="103" w:right="0" w:firstLine="0"/>
        <w:jc w:val="left"/>
        <w:rPr>
          <w:rFonts w:ascii="Calibri"/>
          <w:sz w:val="17"/>
        </w:rPr>
      </w:pPr>
      <w:r>
        <w:rPr>
          <w:rFonts w:ascii="Calibri"/>
          <w:color w:val="231F20"/>
          <w:position w:val="6"/>
          <w:sz w:val="10"/>
        </w:rPr>
        <w:t>48  </w:t>
      </w:r>
      <w:r>
        <w:rPr>
          <w:rFonts w:ascii="Calibri"/>
          <w:color w:val="231F20"/>
          <w:sz w:val="17"/>
        </w:rPr>
        <w:t>Portinaro, </w:t>
      </w:r>
      <w:r>
        <w:rPr>
          <w:rFonts w:ascii="Calibri"/>
          <w:i/>
          <w:color w:val="231F20"/>
          <w:sz w:val="17"/>
        </w:rPr>
        <w:t>Stato</w:t>
      </w:r>
      <w:r>
        <w:rPr>
          <w:rFonts w:ascii="Calibri"/>
          <w:color w:val="231F20"/>
          <w:sz w:val="17"/>
        </w:rPr>
        <w:t>, p. 168.</w:t>
      </w:r>
    </w:p>
    <w:p>
      <w:pPr>
        <w:pStyle w:val="BodyText"/>
        <w:rPr>
          <w:rFonts w:ascii="Calibri"/>
          <w:sz w:val="20"/>
        </w:rPr>
      </w:pPr>
    </w:p>
    <w:p>
      <w:pPr>
        <w:pStyle w:val="BodyText"/>
        <w:spacing w:before="9"/>
        <w:rPr>
          <w:rFonts w:ascii="Calibri"/>
          <w:sz w:val="27"/>
        </w:rPr>
      </w:pPr>
    </w:p>
    <w:p>
      <w:pPr>
        <w:tabs>
          <w:tab w:pos="1331" w:val="left" w:leader="none"/>
        </w:tabs>
        <w:spacing w:before="68"/>
        <w:ind w:left="226" w:right="0" w:firstLine="0"/>
        <w:jc w:val="left"/>
        <w:rPr>
          <w:rFonts w:ascii="Calibri"/>
          <w:sz w:val="16"/>
        </w:rPr>
      </w:pPr>
      <w:r>
        <w:rPr/>
        <w:pict>
          <v:group style="position:absolute;margin-left:98.787804pt;margin-top:-3.358812pt;width:20.4pt;height:43pt;mso-position-horizontal-relative:page;mso-position-vertical-relative:paragraph;z-index:-168592"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130</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244"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685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"EL AFUERA SIEMPRE ES ADENTRO”. TENSIONES Y TRANSFORMACIONES RECIENTES</w:t>
      </w:r>
    </w:p>
    <w:p>
      <w:pPr>
        <w:spacing w:line="198" w:lineRule="exact" w:before="0"/>
        <w:ind w:left="2835" w:right="-7" w:firstLine="0"/>
        <w:jc w:val="left"/>
        <w:rPr>
          <w:rFonts w:ascii="Lucida Sans Unicode" w:hAnsi="Lucida Sans Unicode"/>
          <w:sz w:val="14"/>
        </w:rPr>
      </w:pPr>
      <w:r>
        <w:rPr>
          <w:rFonts w:ascii="Lucida Sans Unicode" w:hAnsi="Lucida Sans Unicode"/>
          <w:color w:val="6D6E71"/>
          <w:w w:val="90"/>
          <w:sz w:val="14"/>
        </w:rPr>
        <w:t>EN</w:t>
      </w:r>
      <w:r>
        <w:rPr>
          <w:rFonts w:ascii="Lucida Sans Unicode" w:hAnsi="Lucida Sans Unicode"/>
          <w:color w:val="6D6E71"/>
          <w:spacing w:val="-10"/>
          <w:w w:val="90"/>
          <w:sz w:val="14"/>
        </w:rPr>
        <w:t> </w:t>
      </w:r>
      <w:r>
        <w:rPr>
          <w:rFonts w:ascii="Lucida Sans Unicode" w:hAnsi="Lucida Sans Unicode"/>
          <w:color w:val="6D6E71"/>
          <w:w w:val="90"/>
          <w:sz w:val="14"/>
        </w:rPr>
        <w:t>EL</w:t>
      </w:r>
      <w:r>
        <w:rPr>
          <w:rFonts w:ascii="Lucida Sans Unicode" w:hAnsi="Lucida Sans Unicode"/>
          <w:color w:val="6D6E71"/>
          <w:spacing w:val="-10"/>
          <w:w w:val="90"/>
          <w:sz w:val="14"/>
        </w:rPr>
        <w:t> </w:t>
      </w:r>
      <w:r>
        <w:rPr>
          <w:rFonts w:ascii="Lucida Sans Unicode" w:hAnsi="Lucida Sans Unicode"/>
          <w:color w:val="6D6E71"/>
          <w:w w:val="90"/>
          <w:sz w:val="14"/>
        </w:rPr>
        <w:t>ESPACIO</w:t>
      </w:r>
      <w:r>
        <w:rPr>
          <w:rFonts w:ascii="Lucida Sans Unicode" w:hAnsi="Lucida Sans Unicode"/>
          <w:color w:val="6D6E71"/>
          <w:spacing w:val="-10"/>
          <w:w w:val="90"/>
          <w:sz w:val="14"/>
        </w:rPr>
        <w:t> </w:t>
      </w:r>
      <w:r>
        <w:rPr>
          <w:rFonts w:ascii="Lucida Sans Unicode" w:hAnsi="Lucida Sans Unicode"/>
          <w:color w:val="6D6E71"/>
          <w:w w:val="90"/>
          <w:sz w:val="14"/>
        </w:rPr>
        <w:t>POLÍTICO</w:t>
      </w:r>
      <w:r>
        <w:rPr>
          <w:rFonts w:ascii="Lucida Sans Unicode" w:hAnsi="Lucida Sans Unicode"/>
          <w:color w:val="6D6E71"/>
          <w:spacing w:val="-10"/>
          <w:w w:val="90"/>
          <w:sz w:val="14"/>
        </w:rPr>
        <w:t> </w:t>
      </w:r>
      <w:r>
        <w:rPr>
          <w:rFonts w:ascii="Lucida Sans Unicode" w:hAnsi="Lucida Sans Unicode"/>
          <w:color w:val="6D6E71"/>
          <w:w w:val="90"/>
          <w:sz w:val="14"/>
        </w:rPr>
        <w:t>DEL</w:t>
      </w:r>
      <w:r>
        <w:rPr>
          <w:rFonts w:ascii="Lucida Sans Unicode" w:hAnsi="Lucida Sans Unicode"/>
          <w:color w:val="6D6E71"/>
          <w:spacing w:val="-10"/>
          <w:w w:val="90"/>
          <w:sz w:val="14"/>
        </w:rPr>
        <w:t> </w:t>
      </w:r>
      <w:r>
        <w:rPr>
          <w:rFonts w:ascii="Lucida Sans Unicode" w:hAnsi="Lucida Sans Unicode"/>
          <w:color w:val="6D6E71"/>
          <w:w w:val="90"/>
          <w:sz w:val="14"/>
        </w:rPr>
        <w:t>ESTADO</w:t>
      </w:r>
      <w:r>
        <w:rPr>
          <w:rFonts w:ascii="Lucida Sans Unicode" w:hAnsi="Lucida Sans Unicode"/>
          <w:color w:val="6D6E71"/>
          <w:spacing w:val="-10"/>
          <w:w w:val="90"/>
          <w:sz w:val="14"/>
        </w:rPr>
        <w:t> </w:t>
      </w:r>
      <w:r>
        <w:rPr>
          <w:rFonts w:ascii="Lucida Sans Unicode" w:hAnsi="Lucida Sans Unicode"/>
          <w:color w:val="6D6E71"/>
          <w:w w:val="90"/>
          <w:sz w:val="14"/>
        </w:rPr>
        <w:t>Y</w:t>
      </w:r>
      <w:r>
        <w:rPr>
          <w:rFonts w:ascii="Lucida Sans Unicode" w:hAnsi="Lucida Sans Unicode"/>
          <w:color w:val="6D6E71"/>
          <w:spacing w:val="-10"/>
          <w:w w:val="90"/>
          <w:sz w:val="14"/>
        </w:rPr>
        <w:t> </w:t>
      </w:r>
      <w:r>
        <w:rPr>
          <w:rFonts w:ascii="Lucida Sans Unicode" w:hAnsi="Lucida Sans Unicode"/>
          <w:color w:val="6D6E71"/>
          <w:w w:val="90"/>
          <w:sz w:val="14"/>
        </w:rPr>
        <w:t>LA</w:t>
      </w:r>
      <w:r>
        <w:rPr>
          <w:rFonts w:ascii="Lucida Sans Unicode" w:hAnsi="Lucida Sans Unicode"/>
          <w:color w:val="6D6E71"/>
          <w:spacing w:val="-10"/>
          <w:w w:val="90"/>
          <w:sz w:val="14"/>
        </w:rPr>
        <w:t> </w:t>
      </w:r>
      <w:r>
        <w:rPr>
          <w:rFonts w:ascii="Lucida Sans Unicode" w:hAnsi="Lucida Sans Unicode"/>
          <w:color w:val="6D6E71"/>
          <w:w w:val="90"/>
          <w:sz w:val="14"/>
        </w:rPr>
        <w:t>DEMOCRACIA</w:t>
      </w:r>
    </w:p>
    <w:p>
      <w:pPr>
        <w:spacing w:before="59"/>
        <w:ind w:left="338" w:right="0" w:firstLine="0"/>
        <w:jc w:val="left"/>
        <w:rPr>
          <w:rFonts w:ascii="Arial"/>
          <w:sz w:val="20"/>
        </w:rPr>
      </w:pPr>
      <w:r>
        <w:rPr/>
        <w:br w:type="column"/>
      </w:r>
      <w:r>
        <w:rPr>
          <w:rFonts w:ascii="Arial"/>
          <w:color w:val="414042"/>
          <w:sz w:val="20"/>
        </w:rPr>
        <w:t>131</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6"/>
        <w:rPr>
          <w:rFonts w:ascii="Arial"/>
          <w:sz w:val="16"/>
        </w:rPr>
      </w:pPr>
    </w:p>
    <w:p>
      <w:pPr>
        <w:pStyle w:val="BodyText"/>
        <w:spacing w:line="247" w:lineRule="auto" w:before="44"/>
        <w:ind w:left="117" w:right="101"/>
        <w:jc w:val="both"/>
      </w:pPr>
      <w:r>
        <w:rPr>
          <w:color w:val="231F20"/>
        </w:rPr>
        <w:t>Por su parte, este problema se relaciona con el síndrome de la moderniza- ción institucional que pretendía en algunos casos, como lo fueron algunas experiencias políticas en África, erosionar el fenómeno de la dependencia histórica</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encontraba</w:t>
      </w:r>
      <w:r>
        <w:rPr>
          <w:color w:val="231F20"/>
          <w:spacing w:val="-8"/>
        </w:rPr>
        <w:t> </w:t>
      </w:r>
      <w:r>
        <w:rPr>
          <w:color w:val="231F20"/>
        </w:rPr>
        <w:t>articulado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herencia</w:t>
      </w:r>
      <w:r>
        <w:rPr>
          <w:color w:val="231F20"/>
          <w:spacing w:val="-8"/>
        </w:rPr>
        <w:t> </w:t>
      </w:r>
      <w:r>
        <w:rPr>
          <w:color w:val="231F20"/>
        </w:rPr>
        <w:t>del</w:t>
      </w:r>
      <w:r>
        <w:rPr>
          <w:color w:val="231F20"/>
          <w:spacing w:val="-8"/>
        </w:rPr>
        <w:t> </w:t>
      </w:r>
      <w:r>
        <w:rPr>
          <w:color w:val="231F20"/>
        </w:rPr>
        <w:t>colonialismo</w:t>
      </w:r>
      <w:r>
        <w:rPr>
          <w:color w:val="231F20"/>
          <w:spacing w:val="-8"/>
        </w:rPr>
        <w:t> </w:t>
      </w:r>
      <w:r>
        <w:rPr>
          <w:color w:val="231F20"/>
        </w:rPr>
        <w:t>junto a la quiebra de las formas de patrimonialismo endémico. Esta era la pre- condición para liberalizar la arena política a través del pluralismo partidista con miras al establecimiento de las condiciones para la competencia por los votos y los puestos de representación frente al enquistamiento políti- co de los “barones” que no podían ser simplemente “desechados”, pues eran un factor relevante de integración</w:t>
      </w:r>
      <w:r>
        <w:rPr>
          <w:color w:val="231F20"/>
          <w:spacing w:val="-16"/>
        </w:rPr>
        <w:t> </w:t>
      </w:r>
      <w:r>
        <w:rPr>
          <w:color w:val="231F20"/>
        </w:rPr>
        <w:t>local</w:t>
      </w:r>
      <w:r>
        <w:rPr>
          <w:color w:val="231F20"/>
          <w:position w:val="7"/>
          <w:sz w:val="12"/>
        </w:rPr>
        <w:t>49</w:t>
      </w:r>
      <w:r>
        <w:rPr>
          <w:color w:val="231F20"/>
        </w:rPr>
        <w:t>.</w:t>
      </w:r>
    </w:p>
    <w:p>
      <w:pPr>
        <w:pStyle w:val="BodyText"/>
        <w:spacing w:line="247" w:lineRule="auto"/>
        <w:ind w:left="117" w:right="101" w:firstLine="566"/>
        <w:jc w:val="both"/>
      </w:pPr>
      <w:r>
        <w:rPr>
          <w:color w:val="231F20"/>
        </w:rPr>
        <w:t>En cambio, si observamos a América Latina, en un primer momento la oleada de modernización institucional se focalizó en los aspectos econó- micos, para luego dar paso a los procesos políticos de liberalización enca- minados hacia un puerto democrático. En el contexto latinoamericano de los cincuenta y sesenta del siglo </w:t>
      </w:r>
      <w:r>
        <w:rPr>
          <w:color w:val="231F20"/>
          <w:sz w:val="18"/>
        </w:rPr>
        <w:t>XX</w:t>
      </w:r>
      <w:r>
        <w:rPr>
          <w:color w:val="231F20"/>
        </w:rPr>
        <w:t>, la cuestión del desarrollo económico era una preocupación constante, sobre todo porque intentaban definir y caracterizar la mejor forma posible de la idea recurrente por aquellos años de una modernidad inacabada, junto a una modernización fracturada, o</w:t>
      </w:r>
      <w:r>
        <w:rPr>
          <w:color w:val="231F20"/>
          <w:spacing w:val="-36"/>
        </w:rPr>
        <w:t> </w:t>
      </w:r>
      <w:r>
        <w:rPr>
          <w:color w:val="231F20"/>
        </w:rPr>
        <w:t>en el mejor de los casos </w:t>
      </w:r>
      <w:r>
        <w:rPr>
          <w:rFonts w:ascii="Arial" w:hAnsi="Arial"/>
          <w:i/>
          <w:color w:val="231F20"/>
        </w:rPr>
        <w:t>sui generis</w:t>
      </w:r>
      <w:r>
        <w:rPr>
          <w:color w:val="231F20"/>
        </w:rPr>
        <w:t>. Lo que se quería era pensar a Latinoa- mérica “desde algún lugar” para que fuera posible esbozar los rostros más visibles de los grandes problemas que el Estado tenía cuando pretendía ser modernizado en su ámbito institucional a mediano plazo. Al lado de las preocupaciones por el desarrollo económico, aparecía una serie de preo- cupaciones sobre el autoritarismo en sus distintas génesis en la región: la explotación, la desigualdad y la pobreza en la relación conflictiva entre el campo y la ciudad; las clases sociales, la dependencia socioeconómica y política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relación</w:t>
      </w:r>
      <w:r>
        <w:rPr>
          <w:color w:val="231F20"/>
          <w:spacing w:val="-10"/>
        </w:rPr>
        <w:t> </w:t>
      </w:r>
      <w:r>
        <w:rPr>
          <w:color w:val="231F20"/>
        </w:rPr>
        <w:t>centro</w:t>
      </w:r>
      <w:r>
        <w:rPr>
          <w:color w:val="231F20"/>
          <w:spacing w:val="-10"/>
        </w:rPr>
        <w:t> </w:t>
      </w:r>
      <w:r>
        <w:rPr>
          <w:color w:val="231F20"/>
        </w:rPr>
        <w:t>(países</w:t>
      </w:r>
      <w:r>
        <w:rPr>
          <w:color w:val="231F20"/>
          <w:spacing w:val="-10"/>
        </w:rPr>
        <w:t> </w:t>
      </w:r>
      <w:r>
        <w:rPr>
          <w:color w:val="231F20"/>
        </w:rPr>
        <w:t>desarrollados)</w:t>
      </w:r>
      <w:r>
        <w:rPr>
          <w:color w:val="231F20"/>
          <w:spacing w:val="-10"/>
        </w:rPr>
        <w:t> </w:t>
      </w:r>
      <w:r>
        <w:rPr>
          <w:color w:val="231F20"/>
        </w:rPr>
        <w:t>y</w:t>
      </w:r>
      <w:r>
        <w:rPr>
          <w:color w:val="231F20"/>
          <w:spacing w:val="-10"/>
        </w:rPr>
        <w:t> </w:t>
      </w:r>
      <w:r>
        <w:rPr>
          <w:color w:val="231F20"/>
        </w:rPr>
        <w:t>periferias</w:t>
      </w:r>
      <w:r>
        <w:rPr>
          <w:color w:val="231F20"/>
          <w:spacing w:val="-10"/>
        </w:rPr>
        <w:t> </w:t>
      </w:r>
      <w:r>
        <w:rPr>
          <w:color w:val="231F20"/>
        </w:rPr>
        <w:t>o</w:t>
      </w:r>
      <w:r>
        <w:rPr>
          <w:color w:val="231F20"/>
          <w:spacing w:val="-10"/>
        </w:rPr>
        <w:t> </w:t>
      </w:r>
      <w:r>
        <w:rPr>
          <w:color w:val="231F20"/>
        </w:rPr>
        <w:t>como</w:t>
      </w:r>
      <w:r>
        <w:rPr>
          <w:color w:val="231F20"/>
          <w:spacing w:val="-10"/>
        </w:rPr>
        <w:t> </w:t>
      </w:r>
      <w:r>
        <w:rPr>
          <w:color w:val="231F20"/>
        </w:rPr>
        <w:t>eran llamados en aquella época los “países en vías de </w:t>
      </w:r>
      <w:r>
        <w:rPr>
          <w:color w:val="231F20"/>
          <w:spacing w:val="2"/>
        </w:rPr>
        <w:t> </w:t>
      </w:r>
      <w:r>
        <w:rPr>
          <w:color w:val="231F20"/>
        </w:rPr>
        <w:t>desarrollo”</w:t>
      </w:r>
      <w:r>
        <w:rPr>
          <w:color w:val="231F20"/>
          <w:position w:val="7"/>
          <w:sz w:val="12"/>
        </w:rPr>
        <w:t>50</w:t>
      </w:r>
      <w:r>
        <w:rPr>
          <w:color w:val="231F20"/>
        </w:rPr>
        <w:t>.</w:t>
      </w:r>
    </w:p>
    <w:p>
      <w:pPr>
        <w:pStyle w:val="BodyText"/>
        <w:spacing w:line="247" w:lineRule="auto"/>
        <w:ind w:left="117" w:right="101" w:firstLine="566"/>
        <w:jc w:val="both"/>
      </w:pPr>
      <w:r>
        <w:rPr>
          <w:color w:val="231F20"/>
          <w:w w:val="105"/>
        </w:rPr>
        <w:t>El común denominador de la modernización del Estado y del cre- cimiento</w:t>
      </w:r>
      <w:r>
        <w:rPr>
          <w:color w:val="231F20"/>
          <w:spacing w:val="-16"/>
          <w:w w:val="105"/>
        </w:rPr>
        <w:t> </w:t>
      </w:r>
      <w:r>
        <w:rPr>
          <w:color w:val="231F20"/>
          <w:w w:val="105"/>
        </w:rPr>
        <w:t>económico</w:t>
      </w:r>
      <w:r>
        <w:rPr>
          <w:color w:val="231F20"/>
          <w:spacing w:val="-16"/>
          <w:w w:val="105"/>
        </w:rPr>
        <w:t> </w:t>
      </w:r>
      <w:r>
        <w:rPr>
          <w:color w:val="231F20"/>
          <w:w w:val="105"/>
        </w:rPr>
        <w:t>en</w:t>
      </w:r>
      <w:r>
        <w:rPr>
          <w:color w:val="231F20"/>
          <w:spacing w:val="-16"/>
          <w:w w:val="105"/>
        </w:rPr>
        <w:t> </w:t>
      </w:r>
      <w:r>
        <w:rPr>
          <w:color w:val="231F20"/>
          <w:w w:val="105"/>
        </w:rPr>
        <w:t>Latinoamérica</w:t>
      </w:r>
      <w:r>
        <w:rPr>
          <w:color w:val="231F20"/>
          <w:spacing w:val="-16"/>
          <w:w w:val="105"/>
        </w:rPr>
        <w:t> </w:t>
      </w:r>
      <w:r>
        <w:rPr>
          <w:color w:val="231F20"/>
          <w:w w:val="105"/>
        </w:rPr>
        <w:t>fue</w:t>
      </w:r>
      <w:r>
        <w:rPr>
          <w:color w:val="231F20"/>
          <w:spacing w:val="-16"/>
          <w:w w:val="105"/>
        </w:rPr>
        <w:t> </w:t>
      </w:r>
      <w:r>
        <w:rPr>
          <w:color w:val="231F20"/>
          <w:w w:val="105"/>
        </w:rPr>
        <w:t>la</w:t>
      </w:r>
      <w:r>
        <w:rPr>
          <w:color w:val="231F20"/>
          <w:spacing w:val="-16"/>
          <w:w w:val="105"/>
        </w:rPr>
        <w:t> </w:t>
      </w:r>
      <w:r>
        <w:rPr>
          <w:color w:val="231F20"/>
          <w:w w:val="105"/>
        </w:rPr>
        <w:t>configuración</w:t>
      </w:r>
      <w:r>
        <w:rPr>
          <w:color w:val="231F20"/>
          <w:spacing w:val="-16"/>
          <w:w w:val="105"/>
        </w:rPr>
        <w:t> </w:t>
      </w:r>
      <w:r>
        <w:rPr>
          <w:color w:val="231F20"/>
          <w:w w:val="105"/>
        </w:rPr>
        <w:t>gradual</w:t>
      </w:r>
      <w:r>
        <w:rPr>
          <w:color w:val="231F20"/>
          <w:spacing w:val="-16"/>
          <w:w w:val="105"/>
        </w:rPr>
        <w:t> </w:t>
      </w:r>
      <w:r>
        <w:rPr>
          <w:color w:val="231F20"/>
          <w:w w:val="105"/>
        </w:rPr>
        <w:t>de</w:t>
      </w:r>
      <w:r>
        <w:rPr>
          <w:color w:val="231F20"/>
          <w:spacing w:val="-16"/>
          <w:w w:val="105"/>
        </w:rPr>
        <w:t> </w:t>
      </w:r>
      <w:r>
        <w:rPr>
          <w:color w:val="231F20"/>
          <w:w w:val="105"/>
        </w:rPr>
        <w:t>un concepto</w:t>
      </w:r>
      <w:r>
        <w:rPr>
          <w:color w:val="231F20"/>
          <w:spacing w:val="-17"/>
          <w:w w:val="105"/>
        </w:rPr>
        <w:t> </w:t>
      </w:r>
      <w:r>
        <w:rPr>
          <w:color w:val="231F20"/>
          <w:w w:val="105"/>
        </w:rPr>
        <w:t>particular</w:t>
      </w:r>
      <w:r>
        <w:rPr>
          <w:color w:val="231F20"/>
          <w:spacing w:val="-17"/>
          <w:w w:val="105"/>
        </w:rPr>
        <w:t> </w:t>
      </w:r>
      <w:r>
        <w:rPr>
          <w:color w:val="231F20"/>
          <w:w w:val="105"/>
        </w:rPr>
        <w:t>de</w:t>
      </w:r>
      <w:r>
        <w:rPr>
          <w:color w:val="231F20"/>
          <w:spacing w:val="-17"/>
          <w:w w:val="105"/>
        </w:rPr>
        <w:t> </w:t>
      </w:r>
      <w:r>
        <w:rPr>
          <w:rFonts w:ascii="Arial" w:hAnsi="Arial"/>
          <w:i/>
          <w:color w:val="231F20"/>
          <w:w w:val="105"/>
        </w:rPr>
        <w:t>cambio</w:t>
      </w:r>
      <w:r>
        <w:rPr>
          <w:rFonts w:ascii="Arial" w:hAnsi="Arial"/>
          <w:i/>
          <w:color w:val="231F20"/>
          <w:spacing w:val="-9"/>
          <w:w w:val="105"/>
        </w:rPr>
        <w:t> </w:t>
      </w:r>
      <w:r>
        <w:rPr>
          <w:color w:val="231F20"/>
          <w:w w:val="105"/>
        </w:rPr>
        <w:t>en</w:t>
      </w:r>
      <w:r>
        <w:rPr>
          <w:color w:val="231F20"/>
          <w:spacing w:val="-17"/>
          <w:w w:val="105"/>
        </w:rPr>
        <w:t> </w:t>
      </w:r>
      <w:r>
        <w:rPr>
          <w:color w:val="231F20"/>
          <w:w w:val="105"/>
        </w:rPr>
        <w:t>su</w:t>
      </w:r>
      <w:r>
        <w:rPr>
          <w:color w:val="231F20"/>
          <w:spacing w:val="-17"/>
          <w:w w:val="105"/>
        </w:rPr>
        <w:t> </w:t>
      </w:r>
      <w:r>
        <w:rPr>
          <w:color w:val="231F20"/>
          <w:w w:val="105"/>
        </w:rPr>
        <w:t>variante</w:t>
      </w:r>
      <w:r>
        <w:rPr>
          <w:color w:val="231F20"/>
          <w:spacing w:val="-17"/>
          <w:w w:val="105"/>
        </w:rPr>
        <w:t> </w:t>
      </w:r>
      <w:r>
        <w:rPr>
          <w:color w:val="231F20"/>
          <w:w w:val="105"/>
        </w:rPr>
        <w:t>de</w:t>
      </w:r>
      <w:r>
        <w:rPr>
          <w:color w:val="231F20"/>
          <w:spacing w:val="-17"/>
          <w:w w:val="105"/>
        </w:rPr>
        <w:t> </w:t>
      </w:r>
      <w:r>
        <w:rPr>
          <w:color w:val="231F20"/>
          <w:w w:val="105"/>
        </w:rPr>
        <w:t>“pasaje”:</w:t>
      </w:r>
      <w:r>
        <w:rPr>
          <w:color w:val="231F20"/>
          <w:spacing w:val="-17"/>
          <w:w w:val="105"/>
        </w:rPr>
        <w:t> </w:t>
      </w:r>
      <w:r>
        <w:rPr>
          <w:color w:val="231F20"/>
          <w:w w:val="105"/>
        </w:rPr>
        <w:t>ir</w:t>
      </w:r>
      <w:r>
        <w:rPr>
          <w:color w:val="231F20"/>
          <w:spacing w:val="-17"/>
          <w:w w:val="105"/>
        </w:rPr>
        <w:t> </w:t>
      </w:r>
      <w:r>
        <w:rPr>
          <w:color w:val="231F20"/>
          <w:w w:val="105"/>
        </w:rPr>
        <w:t>del</w:t>
      </w:r>
      <w:r>
        <w:rPr>
          <w:color w:val="231F20"/>
          <w:spacing w:val="-17"/>
          <w:w w:val="105"/>
        </w:rPr>
        <w:t> </w:t>
      </w:r>
      <w:r>
        <w:rPr>
          <w:color w:val="231F20"/>
          <w:w w:val="105"/>
        </w:rPr>
        <w:t>campo</w:t>
      </w:r>
      <w:r>
        <w:rPr>
          <w:color w:val="231F20"/>
          <w:spacing w:val="-17"/>
          <w:w w:val="105"/>
        </w:rPr>
        <w:t> </w:t>
      </w:r>
      <w:r>
        <w:rPr>
          <w:color w:val="231F20"/>
          <w:w w:val="105"/>
        </w:rPr>
        <w:t>a la</w:t>
      </w:r>
      <w:r>
        <w:rPr>
          <w:color w:val="231F20"/>
          <w:spacing w:val="-9"/>
          <w:w w:val="105"/>
        </w:rPr>
        <w:t> </w:t>
      </w:r>
      <w:r>
        <w:rPr>
          <w:color w:val="231F20"/>
          <w:w w:val="105"/>
        </w:rPr>
        <w:t>ciudad,</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dependencia</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autonomía,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pobreza</w:t>
      </w:r>
      <w:r>
        <w:rPr>
          <w:color w:val="231F20"/>
          <w:spacing w:val="-9"/>
          <w:w w:val="105"/>
        </w:rPr>
        <w:t> </w:t>
      </w:r>
      <w:r>
        <w:rPr>
          <w:color w:val="231F20"/>
          <w:w w:val="105"/>
        </w:rPr>
        <w:t>al</w:t>
      </w:r>
      <w:r>
        <w:rPr>
          <w:color w:val="231F20"/>
          <w:spacing w:val="-9"/>
          <w:w w:val="105"/>
        </w:rPr>
        <w:t> </w:t>
      </w:r>
      <w:r>
        <w:rPr>
          <w:color w:val="231F20"/>
          <w:w w:val="105"/>
        </w:rPr>
        <w:t>bienestar. Se</w:t>
      </w:r>
      <w:r>
        <w:rPr>
          <w:color w:val="231F20"/>
          <w:spacing w:val="-19"/>
          <w:w w:val="105"/>
        </w:rPr>
        <w:t> </w:t>
      </w:r>
      <w:r>
        <w:rPr>
          <w:color w:val="231F20"/>
          <w:w w:val="105"/>
        </w:rPr>
        <w:t>puede</w:t>
      </w:r>
      <w:r>
        <w:rPr>
          <w:color w:val="231F20"/>
          <w:spacing w:val="-19"/>
          <w:w w:val="105"/>
        </w:rPr>
        <w:t> </w:t>
      </w:r>
      <w:r>
        <w:rPr>
          <w:color w:val="231F20"/>
          <w:w w:val="105"/>
        </w:rPr>
        <w:t>decir</w:t>
      </w:r>
      <w:r>
        <w:rPr>
          <w:color w:val="231F20"/>
          <w:spacing w:val="-19"/>
          <w:w w:val="105"/>
        </w:rPr>
        <w:t> </w:t>
      </w:r>
      <w:r>
        <w:rPr>
          <w:color w:val="231F20"/>
          <w:w w:val="105"/>
        </w:rPr>
        <w:t>que</w:t>
      </w:r>
      <w:r>
        <w:rPr>
          <w:color w:val="231F20"/>
          <w:spacing w:val="-19"/>
          <w:w w:val="105"/>
        </w:rPr>
        <w:t> </w:t>
      </w:r>
      <w:r>
        <w:rPr>
          <w:color w:val="231F20"/>
          <w:w w:val="105"/>
        </w:rPr>
        <w:t>el</w:t>
      </w:r>
      <w:r>
        <w:rPr>
          <w:color w:val="231F20"/>
          <w:spacing w:val="-19"/>
          <w:w w:val="105"/>
        </w:rPr>
        <w:t> </w:t>
      </w:r>
      <w:r>
        <w:rPr>
          <w:color w:val="231F20"/>
          <w:w w:val="105"/>
        </w:rPr>
        <w:t>concepto</w:t>
      </w:r>
      <w:r>
        <w:rPr>
          <w:color w:val="231F20"/>
          <w:spacing w:val="-19"/>
          <w:w w:val="105"/>
        </w:rPr>
        <w:t> </w:t>
      </w:r>
      <w:r>
        <w:rPr>
          <w:color w:val="231F20"/>
          <w:w w:val="105"/>
        </w:rPr>
        <w:t>de</w:t>
      </w:r>
      <w:r>
        <w:rPr>
          <w:color w:val="231F20"/>
          <w:spacing w:val="-19"/>
          <w:w w:val="105"/>
        </w:rPr>
        <w:t> </w:t>
      </w:r>
      <w:r>
        <w:rPr>
          <w:color w:val="231F20"/>
          <w:w w:val="105"/>
        </w:rPr>
        <w:t>cambio</w:t>
      </w:r>
      <w:r>
        <w:rPr>
          <w:color w:val="231F20"/>
          <w:spacing w:val="-19"/>
          <w:w w:val="105"/>
        </w:rPr>
        <w:t> </w:t>
      </w:r>
      <w:r>
        <w:rPr>
          <w:color w:val="231F20"/>
          <w:w w:val="105"/>
        </w:rPr>
        <w:t>esbozado</w:t>
      </w:r>
      <w:r>
        <w:rPr>
          <w:color w:val="231F20"/>
          <w:spacing w:val="-19"/>
          <w:w w:val="105"/>
        </w:rPr>
        <w:t> </w:t>
      </w:r>
      <w:r>
        <w:rPr>
          <w:color w:val="231F20"/>
          <w:w w:val="105"/>
        </w:rPr>
        <w:t>por</w:t>
      </w:r>
      <w:r>
        <w:rPr>
          <w:color w:val="231F20"/>
          <w:spacing w:val="-19"/>
          <w:w w:val="105"/>
        </w:rPr>
        <w:t> </w:t>
      </w:r>
      <w:r>
        <w:rPr>
          <w:color w:val="231F20"/>
          <w:w w:val="105"/>
        </w:rPr>
        <w:t>estas</w:t>
      </w:r>
      <w:r>
        <w:rPr>
          <w:color w:val="231F20"/>
          <w:spacing w:val="-19"/>
          <w:w w:val="105"/>
        </w:rPr>
        <w:t> </w:t>
      </w:r>
      <w:r>
        <w:rPr>
          <w:color w:val="231F20"/>
          <w:w w:val="105"/>
        </w:rPr>
        <w:t>preocupa- ciones</w:t>
      </w:r>
      <w:r>
        <w:rPr>
          <w:color w:val="231F20"/>
          <w:spacing w:val="-26"/>
          <w:w w:val="105"/>
        </w:rPr>
        <w:t> </w:t>
      </w:r>
      <w:r>
        <w:rPr>
          <w:color w:val="231F20"/>
          <w:w w:val="105"/>
        </w:rPr>
        <w:t>se</w:t>
      </w:r>
      <w:r>
        <w:rPr>
          <w:color w:val="231F20"/>
          <w:spacing w:val="-26"/>
          <w:w w:val="105"/>
        </w:rPr>
        <w:t> </w:t>
      </w:r>
      <w:r>
        <w:rPr>
          <w:color w:val="231F20"/>
          <w:w w:val="105"/>
        </w:rPr>
        <w:t>enfocó</w:t>
      </w:r>
      <w:r>
        <w:rPr>
          <w:color w:val="231F20"/>
          <w:spacing w:val="-26"/>
          <w:w w:val="105"/>
        </w:rPr>
        <w:t> </w:t>
      </w:r>
      <w:r>
        <w:rPr>
          <w:color w:val="231F20"/>
          <w:w w:val="105"/>
        </w:rPr>
        <w:t>casi</w:t>
      </w:r>
      <w:r>
        <w:rPr>
          <w:color w:val="231F20"/>
          <w:spacing w:val="-26"/>
          <w:w w:val="105"/>
        </w:rPr>
        <w:t> </w:t>
      </w:r>
      <w:r>
        <w:rPr>
          <w:color w:val="231F20"/>
          <w:w w:val="105"/>
        </w:rPr>
        <w:t>exclusivamente</w:t>
      </w:r>
      <w:r>
        <w:rPr>
          <w:color w:val="231F20"/>
          <w:spacing w:val="-26"/>
          <w:w w:val="105"/>
        </w:rPr>
        <w:t> </w:t>
      </w:r>
      <w:r>
        <w:rPr>
          <w:color w:val="231F20"/>
          <w:w w:val="105"/>
        </w:rPr>
        <w:t>en</w:t>
      </w:r>
      <w:r>
        <w:rPr>
          <w:color w:val="231F20"/>
          <w:spacing w:val="-26"/>
          <w:w w:val="105"/>
        </w:rPr>
        <w:t> </w:t>
      </w:r>
      <w:r>
        <w:rPr>
          <w:color w:val="231F20"/>
          <w:w w:val="105"/>
        </w:rPr>
        <w:t>los</w:t>
      </w:r>
      <w:r>
        <w:rPr>
          <w:color w:val="231F20"/>
          <w:spacing w:val="-26"/>
          <w:w w:val="105"/>
        </w:rPr>
        <w:t> </w:t>
      </w:r>
      <w:r>
        <w:rPr>
          <w:color w:val="231F20"/>
          <w:w w:val="105"/>
        </w:rPr>
        <w:t>retos</w:t>
      </w:r>
      <w:r>
        <w:rPr>
          <w:color w:val="231F20"/>
          <w:spacing w:val="-26"/>
          <w:w w:val="105"/>
        </w:rPr>
        <w:t> </w:t>
      </w:r>
      <w:r>
        <w:rPr>
          <w:color w:val="231F20"/>
          <w:w w:val="105"/>
        </w:rPr>
        <w:t>institucionales</w:t>
      </w:r>
      <w:r>
        <w:rPr>
          <w:color w:val="231F20"/>
          <w:spacing w:val="-26"/>
          <w:w w:val="105"/>
        </w:rPr>
        <w:t> </w:t>
      </w:r>
      <w:r>
        <w:rPr>
          <w:color w:val="231F20"/>
          <w:w w:val="105"/>
        </w:rPr>
        <w:t>y</w:t>
      </w:r>
      <w:r>
        <w:rPr>
          <w:color w:val="231F20"/>
          <w:spacing w:val="-26"/>
          <w:w w:val="105"/>
        </w:rPr>
        <w:t> </w:t>
      </w:r>
      <w:r>
        <w:rPr>
          <w:color w:val="231F20"/>
          <w:w w:val="105"/>
        </w:rPr>
        <w:t>estata- les</w:t>
      </w:r>
      <w:r>
        <w:rPr>
          <w:color w:val="231F20"/>
          <w:spacing w:val="-11"/>
          <w:w w:val="105"/>
        </w:rPr>
        <w:t> </w:t>
      </w:r>
      <w:r>
        <w:rPr>
          <w:color w:val="231F20"/>
          <w:w w:val="105"/>
        </w:rPr>
        <w:t>que</w:t>
      </w:r>
      <w:r>
        <w:rPr>
          <w:color w:val="231F20"/>
          <w:spacing w:val="-11"/>
          <w:w w:val="105"/>
        </w:rPr>
        <w:t> </w:t>
      </w:r>
      <w:r>
        <w:rPr>
          <w:color w:val="231F20"/>
          <w:w w:val="105"/>
        </w:rPr>
        <w:t>para</w:t>
      </w:r>
      <w:r>
        <w:rPr>
          <w:color w:val="231F20"/>
          <w:spacing w:val="-11"/>
          <w:w w:val="105"/>
        </w:rPr>
        <w:t> </w:t>
      </w:r>
      <w:r>
        <w:rPr>
          <w:color w:val="231F20"/>
          <w:w w:val="105"/>
        </w:rPr>
        <w:t>los</w:t>
      </w:r>
      <w:r>
        <w:rPr>
          <w:color w:val="231F20"/>
          <w:spacing w:val="-11"/>
          <w:w w:val="105"/>
        </w:rPr>
        <w:t> </w:t>
      </w:r>
      <w:r>
        <w:rPr>
          <w:color w:val="231F20"/>
          <w:w w:val="105"/>
        </w:rPr>
        <w:t>distintos</w:t>
      </w:r>
      <w:r>
        <w:rPr>
          <w:color w:val="231F20"/>
          <w:spacing w:val="-11"/>
          <w:w w:val="105"/>
        </w:rPr>
        <w:t> </w:t>
      </w:r>
      <w:r>
        <w:rPr>
          <w:color w:val="231F20"/>
          <w:w w:val="105"/>
        </w:rPr>
        <w:t>países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región</w:t>
      </w:r>
      <w:r>
        <w:rPr>
          <w:color w:val="231F20"/>
          <w:spacing w:val="-11"/>
          <w:w w:val="105"/>
        </w:rPr>
        <w:t> </w:t>
      </w:r>
      <w:r>
        <w:rPr>
          <w:color w:val="231F20"/>
          <w:w w:val="105"/>
        </w:rPr>
        <w:t>representaban</w:t>
      </w:r>
      <w:r>
        <w:rPr>
          <w:color w:val="231F20"/>
          <w:spacing w:val="-11"/>
          <w:w w:val="105"/>
        </w:rPr>
        <w:t> </w:t>
      </w:r>
      <w:r>
        <w:rPr>
          <w:color w:val="231F20"/>
          <w:w w:val="105"/>
        </w:rPr>
        <w:t>los</w:t>
      </w:r>
      <w:r>
        <w:rPr>
          <w:color w:val="231F20"/>
          <w:spacing w:val="-11"/>
          <w:w w:val="105"/>
        </w:rPr>
        <w:t> </w:t>
      </w:r>
      <w:r>
        <w:rPr>
          <w:color w:val="231F20"/>
          <w:w w:val="105"/>
        </w:rPr>
        <w:t>aspectos demográficos</w:t>
      </w:r>
      <w:r>
        <w:rPr>
          <w:color w:val="231F20"/>
          <w:spacing w:val="-28"/>
          <w:w w:val="105"/>
        </w:rPr>
        <w:t> </w:t>
      </w:r>
      <w:r>
        <w:rPr>
          <w:color w:val="231F20"/>
          <w:w w:val="105"/>
        </w:rPr>
        <w:t>y</w:t>
      </w:r>
      <w:r>
        <w:rPr>
          <w:color w:val="231F20"/>
          <w:spacing w:val="-28"/>
          <w:w w:val="105"/>
        </w:rPr>
        <w:t> </w:t>
      </w:r>
      <w:r>
        <w:rPr>
          <w:color w:val="231F20"/>
          <w:w w:val="105"/>
        </w:rPr>
        <w:t>urbanos</w:t>
      </w:r>
      <w:r>
        <w:rPr>
          <w:color w:val="231F20"/>
          <w:spacing w:val="-28"/>
          <w:w w:val="105"/>
        </w:rPr>
        <w:t> </w:t>
      </w:r>
      <w:r>
        <w:rPr>
          <w:color w:val="231F20"/>
          <w:w w:val="105"/>
        </w:rPr>
        <w:t>que</w:t>
      </w:r>
      <w:r>
        <w:rPr>
          <w:color w:val="231F20"/>
          <w:spacing w:val="-28"/>
          <w:w w:val="105"/>
        </w:rPr>
        <w:t> </w:t>
      </w:r>
      <w:r>
        <w:rPr>
          <w:color w:val="231F20"/>
          <w:w w:val="105"/>
        </w:rPr>
        <w:t>presuponían.</w:t>
      </w:r>
      <w:r>
        <w:rPr>
          <w:color w:val="231F20"/>
          <w:spacing w:val="-28"/>
          <w:w w:val="105"/>
        </w:rPr>
        <w:t> </w:t>
      </w:r>
      <w:r>
        <w:rPr>
          <w:color w:val="231F20"/>
          <w:w w:val="105"/>
        </w:rPr>
        <w:t>Asimismo,</w:t>
      </w:r>
      <w:r>
        <w:rPr>
          <w:color w:val="231F20"/>
          <w:spacing w:val="-28"/>
          <w:w w:val="105"/>
        </w:rPr>
        <w:t> </w:t>
      </w:r>
      <w:r>
        <w:rPr>
          <w:color w:val="231F20"/>
          <w:w w:val="105"/>
        </w:rPr>
        <w:t>esta</w:t>
      </w:r>
      <w:r>
        <w:rPr>
          <w:color w:val="231F20"/>
          <w:spacing w:val="-28"/>
          <w:w w:val="105"/>
        </w:rPr>
        <w:t> </w:t>
      </w:r>
      <w:r>
        <w:rPr>
          <w:color w:val="231F20"/>
          <w:w w:val="105"/>
        </w:rPr>
        <w:t>idea</w:t>
      </w:r>
      <w:r>
        <w:rPr>
          <w:color w:val="231F20"/>
          <w:spacing w:val="-28"/>
          <w:w w:val="105"/>
        </w:rPr>
        <w:t> </w:t>
      </w:r>
      <w:r>
        <w:rPr>
          <w:color w:val="231F20"/>
          <w:w w:val="105"/>
        </w:rPr>
        <w:t>de</w:t>
      </w:r>
      <w:r>
        <w:rPr>
          <w:color w:val="231F20"/>
          <w:spacing w:val="-28"/>
          <w:w w:val="105"/>
        </w:rPr>
        <w:t> </w:t>
      </w:r>
      <w:r>
        <w:rPr>
          <w:color w:val="231F20"/>
          <w:w w:val="105"/>
        </w:rPr>
        <w:t>cambio</w:t>
      </w:r>
    </w:p>
    <w:p>
      <w:pPr>
        <w:pStyle w:val="BodyText"/>
        <w:rPr>
          <w:sz w:val="20"/>
        </w:rPr>
      </w:pPr>
    </w:p>
    <w:p>
      <w:pPr>
        <w:pStyle w:val="BodyText"/>
        <w:spacing w:before="5"/>
        <w:rPr>
          <w:sz w:val="15"/>
        </w:rPr>
      </w:pPr>
      <w:r>
        <w:rPr/>
        <w:pict>
          <v:line style="position:absolute;mso-position-horizontal-relative:page;mso-position-vertical-relative:paragraph;z-index:6832;mso-wrap-distance-left:0;mso-wrap-distance-right:0" from="70.866096pt,11.436772pt" to="184.252096pt,11.436772pt" stroked="true" strokeweight=".3pt" strokecolor="#231f20">
            <w10:wrap type="topAndBottom"/>
          </v:line>
        </w:pict>
      </w:r>
    </w:p>
    <w:p>
      <w:pPr>
        <w:spacing w:line="204" w:lineRule="exact" w:before="9"/>
        <w:ind w:left="117" w:right="102" w:firstLine="0"/>
        <w:jc w:val="both"/>
        <w:rPr>
          <w:rFonts w:ascii="Calibri" w:hAnsi="Calibri"/>
          <w:sz w:val="17"/>
        </w:rPr>
      </w:pPr>
      <w:r>
        <w:rPr>
          <w:rFonts w:ascii="Calibri" w:hAnsi="Calibri"/>
          <w:color w:val="231F20"/>
          <w:w w:val="105"/>
          <w:position w:val="6"/>
          <w:sz w:val="10"/>
        </w:rPr>
        <w:t>49</w:t>
      </w:r>
      <w:r>
        <w:rPr>
          <w:rFonts w:ascii="Calibri" w:hAnsi="Calibri"/>
          <w:color w:val="231F20"/>
          <w:spacing w:val="12"/>
          <w:w w:val="105"/>
          <w:position w:val="6"/>
          <w:sz w:val="10"/>
        </w:rPr>
        <w:t> </w:t>
      </w:r>
      <w:r>
        <w:rPr>
          <w:rFonts w:ascii="Calibri" w:hAnsi="Calibri"/>
          <w:color w:val="231F20"/>
          <w:spacing w:val="-3"/>
          <w:w w:val="105"/>
          <w:sz w:val="17"/>
        </w:rPr>
        <w:t>J.–F.</w:t>
      </w:r>
      <w:r>
        <w:rPr>
          <w:rFonts w:ascii="Calibri" w:hAnsi="Calibri"/>
          <w:color w:val="231F20"/>
          <w:spacing w:val="-5"/>
          <w:w w:val="105"/>
          <w:sz w:val="17"/>
        </w:rPr>
        <w:t> </w:t>
      </w:r>
      <w:r>
        <w:rPr>
          <w:rFonts w:ascii="Calibri" w:hAnsi="Calibri"/>
          <w:color w:val="231F20"/>
          <w:w w:val="105"/>
          <w:sz w:val="17"/>
        </w:rPr>
        <w:t>Bayart,</w:t>
      </w:r>
      <w:r>
        <w:rPr>
          <w:rFonts w:ascii="Calibri" w:hAnsi="Calibri"/>
          <w:color w:val="231F20"/>
          <w:spacing w:val="-5"/>
          <w:w w:val="105"/>
          <w:sz w:val="17"/>
        </w:rPr>
        <w:t> </w:t>
      </w:r>
      <w:r>
        <w:rPr>
          <w:rFonts w:ascii="Calibri" w:hAnsi="Calibri"/>
          <w:color w:val="231F20"/>
          <w:w w:val="105"/>
          <w:sz w:val="17"/>
        </w:rPr>
        <w:t>África</w:t>
      </w:r>
      <w:r>
        <w:rPr>
          <w:rFonts w:ascii="Calibri" w:hAnsi="Calibri"/>
          <w:color w:val="231F20"/>
          <w:spacing w:val="-5"/>
          <w:w w:val="105"/>
          <w:sz w:val="17"/>
        </w:rPr>
        <w:t> </w:t>
      </w:r>
      <w:r>
        <w:rPr>
          <w:rFonts w:ascii="Calibri" w:hAnsi="Calibri"/>
          <w:color w:val="231F20"/>
          <w:w w:val="105"/>
          <w:sz w:val="17"/>
        </w:rPr>
        <w:t>en</w:t>
      </w:r>
      <w:r>
        <w:rPr>
          <w:rFonts w:ascii="Calibri" w:hAnsi="Calibri"/>
          <w:color w:val="231F20"/>
          <w:spacing w:val="-5"/>
          <w:w w:val="105"/>
          <w:sz w:val="17"/>
        </w:rPr>
        <w:t> </w:t>
      </w:r>
      <w:r>
        <w:rPr>
          <w:rFonts w:ascii="Calibri" w:hAnsi="Calibri"/>
          <w:color w:val="231F20"/>
          <w:w w:val="105"/>
          <w:sz w:val="17"/>
        </w:rPr>
        <w:t>el</w:t>
      </w:r>
      <w:r>
        <w:rPr>
          <w:rFonts w:ascii="Calibri" w:hAnsi="Calibri"/>
          <w:color w:val="231F20"/>
          <w:spacing w:val="-5"/>
          <w:w w:val="105"/>
          <w:sz w:val="17"/>
        </w:rPr>
        <w:t> </w:t>
      </w:r>
      <w:r>
        <w:rPr>
          <w:rFonts w:ascii="Calibri" w:hAnsi="Calibri"/>
          <w:color w:val="231F20"/>
          <w:w w:val="105"/>
          <w:sz w:val="17"/>
        </w:rPr>
        <w:t>espejo.</w:t>
      </w:r>
      <w:r>
        <w:rPr>
          <w:rFonts w:ascii="Calibri" w:hAnsi="Calibri"/>
          <w:color w:val="231F20"/>
          <w:spacing w:val="-5"/>
          <w:w w:val="105"/>
          <w:sz w:val="17"/>
        </w:rPr>
        <w:t> </w:t>
      </w:r>
      <w:r>
        <w:rPr>
          <w:rFonts w:ascii="Calibri" w:hAnsi="Calibri"/>
          <w:color w:val="231F20"/>
          <w:w w:val="105"/>
          <w:sz w:val="17"/>
        </w:rPr>
        <w:t>Colonización,</w:t>
      </w:r>
      <w:r>
        <w:rPr>
          <w:rFonts w:ascii="Calibri" w:hAnsi="Calibri"/>
          <w:color w:val="231F20"/>
          <w:spacing w:val="-5"/>
          <w:w w:val="105"/>
          <w:sz w:val="17"/>
        </w:rPr>
        <w:t> </w:t>
      </w:r>
      <w:r>
        <w:rPr>
          <w:rFonts w:ascii="Calibri" w:hAnsi="Calibri"/>
          <w:color w:val="231F20"/>
          <w:w w:val="105"/>
          <w:sz w:val="17"/>
        </w:rPr>
        <w:t>criminalidad</w:t>
      </w:r>
      <w:r>
        <w:rPr>
          <w:rFonts w:ascii="Calibri" w:hAnsi="Calibri"/>
          <w:color w:val="231F20"/>
          <w:spacing w:val="-6"/>
          <w:w w:val="105"/>
          <w:sz w:val="17"/>
        </w:rPr>
        <w:t> </w:t>
      </w:r>
      <w:r>
        <w:rPr>
          <w:rFonts w:ascii="Calibri" w:hAnsi="Calibri"/>
          <w:color w:val="231F20"/>
          <w:w w:val="105"/>
          <w:sz w:val="17"/>
        </w:rPr>
        <w:t>y</w:t>
      </w:r>
      <w:r>
        <w:rPr>
          <w:rFonts w:ascii="Calibri" w:hAnsi="Calibri"/>
          <w:color w:val="231F20"/>
          <w:spacing w:val="-5"/>
          <w:w w:val="105"/>
          <w:sz w:val="17"/>
        </w:rPr>
        <w:t> </w:t>
      </w:r>
      <w:r>
        <w:rPr>
          <w:rFonts w:ascii="Calibri" w:hAnsi="Calibri"/>
          <w:color w:val="231F20"/>
          <w:w w:val="105"/>
          <w:sz w:val="17"/>
        </w:rPr>
        <w:t>Estado,</w:t>
      </w:r>
      <w:r>
        <w:rPr>
          <w:rFonts w:ascii="Calibri" w:hAnsi="Calibri"/>
          <w:color w:val="231F20"/>
          <w:spacing w:val="-5"/>
          <w:w w:val="105"/>
          <w:sz w:val="17"/>
        </w:rPr>
        <w:t> </w:t>
      </w:r>
      <w:r>
        <w:rPr>
          <w:rFonts w:ascii="Calibri" w:hAnsi="Calibri"/>
          <w:color w:val="231F20"/>
          <w:w w:val="105"/>
          <w:sz w:val="17"/>
        </w:rPr>
        <w:t>México,</w:t>
      </w:r>
      <w:r>
        <w:rPr>
          <w:rFonts w:ascii="Calibri" w:hAnsi="Calibri"/>
          <w:color w:val="231F20"/>
          <w:spacing w:val="-5"/>
          <w:w w:val="105"/>
          <w:sz w:val="17"/>
        </w:rPr>
        <w:t> </w:t>
      </w:r>
      <w:r>
        <w:rPr>
          <w:rFonts w:ascii="Calibri" w:hAnsi="Calibri"/>
          <w:color w:val="231F20"/>
          <w:w w:val="105"/>
          <w:sz w:val="17"/>
        </w:rPr>
        <w:t>Fondo</w:t>
      </w:r>
      <w:r>
        <w:rPr>
          <w:rFonts w:ascii="Calibri" w:hAnsi="Calibri"/>
          <w:color w:val="231F20"/>
          <w:spacing w:val="-5"/>
          <w:w w:val="105"/>
          <w:sz w:val="17"/>
        </w:rPr>
        <w:t> </w:t>
      </w:r>
      <w:r>
        <w:rPr>
          <w:rFonts w:ascii="Calibri" w:hAnsi="Calibri"/>
          <w:color w:val="231F20"/>
          <w:w w:val="105"/>
          <w:sz w:val="17"/>
        </w:rPr>
        <w:t>de</w:t>
      </w:r>
      <w:r>
        <w:rPr>
          <w:rFonts w:ascii="Calibri" w:hAnsi="Calibri"/>
          <w:color w:val="231F20"/>
          <w:spacing w:val="-5"/>
          <w:w w:val="105"/>
          <w:sz w:val="17"/>
        </w:rPr>
        <w:t> </w:t>
      </w:r>
      <w:r>
        <w:rPr>
          <w:rFonts w:ascii="Calibri" w:hAnsi="Calibri"/>
          <w:color w:val="231F20"/>
          <w:w w:val="105"/>
          <w:sz w:val="17"/>
        </w:rPr>
        <w:t>Cultura </w:t>
      </w:r>
      <w:r>
        <w:rPr>
          <w:rFonts w:ascii="Calibri" w:hAnsi="Calibri"/>
          <w:color w:val="231F20"/>
          <w:w w:val="95"/>
          <w:sz w:val="17"/>
        </w:rPr>
        <w:t>Económica,</w:t>
      </w:r>
      <w:r>
        <w:rPr>
          <w:rFonts w:ascii="Calibri" w:hAnsi="Calibri"/>
          <w:color w:val="231F20"/>
          <w:spacing w:val="29"/>
          <w:w w:val="95"/>
          <w:sz w:val="17"/>
        </w:rPr>
        <w:t> </w:t>
      </w:r>
      <w:r>
        <w:rPr>
          <w:rFonts w:ascii="Calibri" w:hAnsi="Calibri"/>
          <w:color w:val="231F20"/>
          <w:w w:val="95"/>
          <w:sz w:val="17"/>
        </w:rPr>
        <w:t>2011.</w:t>
      </w:r>
    </w:p>
    <w:p>
      <w:pPr>
        <w:spacing w:line="204" w:lineRule="exact" w:before="0"/>
        <w:ind w:left="117" w:right="101" w:firstLine="0"/>
        <w:jc w:val="both"/>
        <w:rPr>
          <w:rFonts w:ascii="Calibri" w:hAnsi="Calibri"/>
          <w:sz w:val="17"/>
        </w:rPr>
      </w:pPr>
      <w:r>
        <w:rPr>
          <w:rFonts w:ascii="Calibri" w:hAnsi="Calibri"/>
          <w:color w:val="231F20"/>
          <w:w w:val="105"/>
          <w:position w:val="6"/>
          <w:sz w:val="10"/>
        </w:rPr>
        <w:t>50</w:t>
      </w:r>
      <w:r>
        <w:rPr>
          <w:rFonts w:ascii="Calibri" w:hAnsi="Calibri"/>
          <w:color w:val="231F20"/>
          <w:spacing w:val="4"/>
          <w:w w:val="105"/>
          <w:position w:val="6"/>
          <w:sz w:val="10"/>
        </w:rPr>
        <w:t> </w:t>
      </w:r>
      <w:r>
        <w:rPr>
          <w:rFonts w:ascii="Calibri" w:hAnsi="Calibri"/>
          <w:color w:val="231F20"/>
          <w:w w:val="105"/>
          <w:sz w:val="17"/>
        </w:rPr>
        <w:t>I.</w:t>
      </w:r>
      <w:r>
        <w:rPr>
          <w:rFonts w:ascii="Calibri" w:hAnsi="Calibri"/>
          <w:color w:val="231F20"/>
          <w:spacing w:val="-13"/>
          <w:w w:val="105"/>
          <w:sz w:val="17"/>
        </w:rPr>
        <w:t> </w:t>
      </w:r>
      <w:r>
        <w:rPr>
          <w:rFonts w:ascii="Calibri" w:hAnsi="Calibri"/>
          <w:color w:val="231F20"/>
          <w:w w:val="105"/>
          <w:sz w:val="17"/>
        </w:rPr>
        <w:t>Covarrubias,</w:t>
      </w:r>
      <w:r>
        <w:rPr>
          <w:rFonts w:ascii="Calibri" w:hAnsi="Calibri"/>
          <w:color w:val="231F20"/>
          <w:spacing w:val="-13"/>
          <w:w w:val="105"/>
          <w:sz w:val="17"/>
        </w:rPr>
        <w:t> </w:t>
      </w:r>
      <w:r>
        <w:rPr>
          <w:rFonts w:ascii="Calibri" w:hAnsi="Calibri"/>
          <w:color w:val="231F20"/>
          <w:w w:val="105"/>
          <w:sz w:val="17"/>
        </w:rPr>
        <w:t>“Introducción.</w:t>
      </w:r>
      <w:r>
        <w:rPr>
          <w:rFonts w:ascii="Calibri" w:hAnsi="Calibri"/>
          <w:color w:val="231F20"/>
          <w:spacing w:val="-13"/>
          <w:w w:val="105"/>
          <w:sz w:val="17"/>
        </w:rPr>
        <w:t> </w:t>
      </w:r>
      <w:r>
        <w:rPr>
          <w:rFonts w:ascii="Calibri" w:hAnsi="Calibri"/>
          <w:color w:val="231F20"/>
          <w:w w:val="105"/>
          <w:sz w:val="17"/>
        </w:rPr>
        <w:t>Ideas</w:t>
      </w:r>
      <w:r>
        <w:rPr>
          <w:rFonts w:ascii="Calibri" w:hAnsi="Calibri"/>
          <w:color w:val="231F20"/>
          <w:spacing w:val="-14"/>
          <w:w w:val="105"/>
          <w:sz w:val="17"/>
        </w:rPr>
        <w:t> </w:t>
      </w:r>
      <w:r>
        <w:rPr>
          <w:rFonts w:ascii="Calibri" w:hAnsi="Calibri"/>
          <w:color w:val="231F20"/>
          <w:w w:val="105"/>
          <w:sz w:val="17"/>
        </w:rPr>
        <w:t>y</w:t>
      </w:r>
      <w:r>
        <w:rPr>
          <w:rFonts w:ascii="Calibri" w:hAnsi="Calibri"/>
          <w:color w:val="231F20"/>
          <w:spacing w:val="-13"/>
          <w:w w:val="105"/>
          <w:sz w:val="17"/>
        </w:rPr>
        <w:t> </w:t>
      </w:r>
      <w:r>
        <w:rPr>
          <w:rFonts w:ascii="Calibri" w:hAnsi="Calibri"/>
          <w:color w:val="231F20"/>
          <w:w w:val="105"/>
          <w:sz w:val="17"/>
        </w:rPr>
        <w:t>presencias</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teoría</w:t>
      </w:r>
      <w:r>
        <w:rPr>
          <w:rFonts w:ascii="Calibri" w:hAnsi="Calibri"/>
          <w:color w:val="231F20"/>
          <w:spacing w:val="-13"/>
          <w:w w:val="105"/>
          <w:sz w:val="17"/>
        </w:rPr>
        <w:t> </w:t>
      </w:r>
      <w:r>
        <w:rPr>
          <w:rFonts w:ascii="Calibri" w:hAnsi="Calibri"/>
          <w:color w:val="231F20"/>
          <w:w w:val="105"/>
          <w:sz w:val="17"/>
        </w:rPr>
        <w:t>política</w:t>
      </w:r>
      <w:r>
        <w:rPr>
          <w:rFonts w:ascii="Calibri" w:hAnsi="Calibri"/>
          <w:color w:val="231F20"/>
          <w:spacing w:val="-13"/>
          <w:w w:val="105"/>
          <w:sz w:val="17"/>
        </w:rPr>
        <w:t> </w:t>
      </w:r>
      <w:r>
        <w:rPr>
          <w:rFonts w:ascii="Calibri" w:hAnsi="Calibri"/>
          <w:color w:val="231F20"/>
          <w:w w:val="105"/>
          <w:sz w:val="17"/>
        </w:rPr>
        <w:t>en</w:t>
      </w:r>
      <w:r>
        <w:rPr>
          <w:rFonts w:ascii="Calibri" w:hAnsi="Calibri"/>
          <w:color w:val="231F20"/>
          <w:spacing w:val="-13"/>
          <w:w w:val="105"/>
          <w:sz w:val="17"/>
        </w:rPr>
        <w:t> </w:t>
      </w:r>
      <w:r>
        <w:rPr>
          <w:rFonts w:ascii="Calibri" w:hAnsi="Calibri"/>
          <w:color w:val="231F20"/>
          <w:w w:val="105"/>
          <w:sz w:val="17"/>
        </w:rPr>
        <w:t>América</w:t>
      </w:r>
      <w:r>
        <w:rPr>
          <w:rFonts w:ascii="Calibri" w:hAnsi="Calibri"/>
          <w:color w:val="231F20"/>
          <w:spacing w:val="-13"/>
          <w:w w:val="105"/>
          <w:sz w:val="17"/>
        </w:rPr>
        <w:t> </w:t>
      </w:r>
      <w:r>
        <w:rPr>
          <w:rFonts w:ascii="Calibri" w:hAnsi="Calibri"/>
          <w:color w:val="231F20"/>
          <w:w w:val="105"/>
          <w:sz w:val="17"/>
        </w:rPr>
        <w:t>Latina”,</w:t>
      </w:r>
      <w:r>
        <w:rPr>
          <w:rFonts w:ascii="Calibri" w:hAnsi="Calibri"/>
          <w:color w:val="231F20"/>
          <w:spacing w:val="-13"/>
          <w:w w:val="105"/>
          <w:sz w:val="17"/>
        </w:rPr>
        <w:t> </w:t>
      </w:r>
      <w:r>
        <w:rPr>
          <w:rFonts w:ascii="Calibri" w:hAnsi="Calibri"/>
          <w:color w:val="231F20"/>
          <w:w w:val="105"/>
          <w:sz w:val="17"/>
        </w:rPr>
        <w:t>I.</w:t>
      </w:r>
      <w:r>
        <w:rPr>
          <w:rFonts w:ascii="Calibri" w:hAnsi="Calibri"/>
          <w:color w:val="231F20"/>
          <w:spacing w:val="-13"/>
          <w:w w:val="105"/>
          <w:sz w:val="17"/>
        </w:rPr>
        <w:t> </w:t>
      </w:r>
      <w:r>
        <w:rPr>
          <w:rFonts w:ascii="Calibri" w:hAnsi="Calibri"/>
          <w:color w:val="231F20"/>
          <w:w w:val="105"/>
          <w:sz w:val="17"/>
        </w:rPr>
        <w:t>Cova- </w:t>
      </w:r>
      <w:r>
        <w:rPr>
          <w:rFonts w:ascii="Calibri" w:hAnsi="Calibri"/>
          <w:color w:val="231F20"/>
          <w:sz w:val="17"/>
        </w:rPr>
        <w:t>rrubias (coord), </w:t>
      </w:r>
      <w:r>
        <w:rPr>
          <w:rFonts w:ascii="Calibri" w:hAnsi="Calibri"/>
          <w:i/>
          <w:color w:val="231F20"/>
          <w:sz w:val="17"/>
        </w:rPr>
        <w:t>Figuras, historias</w:t>
      </w:r>
      <w:r>
        <w:rPr>
          <w:rFonts w:ascii="Calibri" w:hAnsi="Calibri"/>
          <w:i/>
          <w:color w:val="231F20"/>
          <w:spacing w:val="-27"/>
          <w:sz w:val="17"/>
        </w:rPr>
        <w:t> </w:t>
      </w:r>
      <w:r>
        <w:rPr>
          <w:rFonts w:ascii="Calibri" w:hAnsi="Calibri"/>
          <w:i/>
          <w:color w:val="231F20"/>
          <w:sz w:val="17"/>
        </w:rPr>
        <w:t>y territorios. Cartógrafos contemporáneos de la indagación política </w:t>
      </w:r>
      <w:r>
        <w:rPr>
          <w:rFonts w:ascii="Calibri" w:hAnsi="Calibri"/>
          <w:i/>
          <w:color w:val="231F20"/>
          <w:w w:val="105"/>
          <w:sz w:val="17"/>
        </w:rPr>
        <w:t>en</w:t>
      </w:r>
      <w:r>
        <w:rPr>
          <w:rFonts w:ascii="Calibri" w:hAnsi="Calibri"/>
          <w:i/>
          <w:color w:val="231F20"/>
          <w:spacing w:val="-24"/>
          <w:w w:val="105"/>
          <w:sz w:val="17"/>
        </w:rPr>
        <w:t> </w:t>
      </w:r>
      <w:r>
        <w:rPr>
          <w:rFonts w:ascii="Calibri" w:hAnsi="Calibri"/>
          <w:i/>
          <w:color w:val="231F20"/>
          <w:w w:val="105"/>
          <w:sz w:val="17"/>
        </w:rPr>
        <w:t>América</w:t>
      </w:r>
      <w:r>
        <w:rPr>
          <w:rFonts w:ascii="Calibri" w:hAnsi="Calibri"/>
          <w:i/>
          <w:color w:val="231F20"/>
          <w:spacing w:val="-24"/>
          <w:w w:val="105"/>
          <w:sz w:val="17"/>
        </w:rPr>
        <w:t> </w:t>
      </w:r>
      <w:r>
        <w:rPr>
          <w:rFonts w:ascii="Calibri" w:hAnsi="Calibri"/>
          <w:i/>
          <w:color w:val="231F20"/>
          <w:w w:val="105"/>
          <w:sz w:val="17"/>
        </w:rPr>
        <w:t>Latina</w:t>
      </w:r>
      <w:r>
        <w:rPr>
          <w:rFonts w:ascii="Calibri" w:hAnsi="Calibri"/>
          <w:color w:val="231F20"/>
          <w:w w:val="105"/>
          <w:sz w:val="17"/>
        </w:rPr>
        <w:t>,</w:t>
      </w:r>
      <w:r>
        <w:rPr>
          <w:rFonts w:ascii="Calibri" w:hAnsi="Calibri"/>
          <w:color w:val="231F20"/>
          <w:spacing w:val="-24"/>
          <w:w w:val="105"/>
          <w:sz w:val="17"/>
        </w:rPr>
        <w:t> </w:t>
      </w:r>
      <w:r>
        <w:rPr>
          <w:rFonts w:ascii="Calibri" w:hAnsi="Calibri"/>
          <w:color w:val="231F20"/>
          <w:w w:val="105"/>
          <w:sz w:val="17"/>
        </w:rPr>
        <w:t>México,</w:t>
      </w:r>
      <w:r>
        <w:rPr>
          <w:rFonts w:ascii="Calibri" w:hAnsi="Calibri"/>
          <w:color w:val="231F20"/>
          <w:spacing w:val="-24"/>
          <w:w w:val="105"/>
          <w:sz w:val="17"/>
        </w:rPr>
        <w:t> </w:t>
      </w:r>
      <w:r>
        <w:rPr>
          <w:rFonts w:ascii="Calibri" w:hAnsi="Calibri"/>
          <w:color w:val="231F20"/>
          <w:w w:val="105"/>
          <w:sz w:val="17"/>
        </w:rPr>
        <w:t>Universidad</w:t>
      </w:r>
      <w:r>
        <w:rPr>
          <w:rFonts w:ascii="Calibri" w:hAnsi="Calibri"/>
          <w:color w:val="231F20"/>
          <w:spacing w:val="-24"/>
          <w:w w:val="105"/>
          <w:sz w:val="17"/>
        </w:rPr>
        <w:t> </w:t>
      </w:r>
      <w:r>
        <w:rPr>
          <w:rFonts w:ascii="Calibri" w:hAnsi="Calibri"/>
          <w:color w:val="231F20"/>
          <w:w w:val="105"/>
          <w:sz w:val="17"/>
        </w:rPr>
        <w:t>Michoacana</w:t>
      </w:r>
      <w:r>
        <w:rPr>
          <w:rFonts w:ascii="Calibri" w:hAnsi="Calibri"/>
          <w:color w:val="231F20"/>
          <w:spacing w:val="-24"/>
          <w:w w:val="105"/>
          <w:sz w:val="17"/>
        </w:rPr>
        <w:t> </w:t>
      </w:r>
      <w:r>
        <w:rPr>
          <w:rFonts w:ascii="Calibri" w:hAnsi="Calibri"/>
          <w:color w:val="231F20"/>
          <w:w w:val="105"/>
          <w:sz w:val="17"/>
        </w:rPr>
        <w:t>de</w:t>
      </w:r>
      <w:r>
        <w:rPr>
          <w:rFonts w:ascii="Calibri" w:hAnsi="Calibri"/>
          <w:color w:val="231F20"/>
          <w:spacing w:val="-24"/>
          <w:w w:val="105"/>
          <w:sz w:val="17"/>
        </w:rPr>
        <w:t> </w:t>
      </w:r>
      <w:r>
        <w:rPr>
          <w:rFonts w:ascii="Calibri" w:hAnsi="Calibri"/>
          <w:color w:val="231F20"/>
          <w:w w:val="105"/>
          <w:sz w:val="17"/>
        </w:rPr>
        <w:t>San</w:t>
      </w:r>
      <w:r>
        <w:rPr>
          <w:rFonts w:ascii="Calibri" w:hAnsi="Calibri"/>
          <w:color w:val="231F20"/>
          <w:spacing w:val="-24"/>
          <w:w w:val="105"/>
          <w:sz w:val="17"/>
        </w:rPr>
        <w:t> </w:t>
      </w:r>
      <w:r>
        <w:rPr>
          <w:rFonts w:ascii="Calibri" w:hAnsi="Calibri"/>
          <w:color w:val="231F20"/>
          <w:w w:val="105"/>
          <w:sz w:val="17"/>
        </w:rPr>
        <w:t>Nicolás</w:t>
      </w:r>
      <w:r>
        <w:rPr>
          <w:rFonts w:ascii="Calibri" w:hAnsi="Calibri"/>
          <w:color w:val="231F20"/>
          <w:spacing w:val="-24"/>
          <w:w w:val="105"/>
          <w:sz w:val="17"/>
        </w:rPr>
        <w:t> </w:t>
      </w:r>
      <w:r>
        <w:rPr>
          <w:rFonts w:ascii="Calibri" w:hAnsi="Calibri"/>
          <w:color w:val="231F20"/>
          <w:w w:val="105"/>
          <w:sz w:val="17"/>
        </w:rPr>
        <w:t>de</w:t>
      </w:r>
      <w:r>
        <w:rPr>
          <w:rFonts w:ascii="Calibri" w:hAnsi="Calibri"/>
          <w:color w:val="231F20"/>
          <w:spacing w:val="-24"/>
          <w:w w:val="105"/>
          <w:sz w:val="17"/>
        </w:rPr>
        <w:t> </w:t>
      </w:r>
      <w:r>
        <w:rPr>
          <w:rFonts w:ascii="Calibri" w:hAnsi="Calibri"/>
          <w:color w:val="231F20"/>
          <w:w w:val="105"/>
          <w:sz w:val="17"/>
        </w:rPr>
        <w:t>Hidalgo–Publicaciones</w:t>
      </w:r>
      <w:r>
        <w:rPr>
          <w:rFonts w:ascii="Calibri" w:hAnsi="Calibri"/>
          <w:color w:val="231F20"/>
          <w:spacing w:val="-24"/>
          <w:w w:val="105"/>
          <w:sz w:val="17"/>
        </w:rPr>
        <w:t> </w:t>
      </w:r>
      <w:r>
        <w:rPr>
          <w:rFonts w:ascii="Calibri" w:hAnsi="Calibri"/>
          <w:color w:val="231F20"/>
          <w:w w:val="105"/>
          <w:sz w:val="17"/>
        </w:rPr>
        <w:t>Cruz, </w:t>
      </w:r>
      <w:r>
        <w:rPr>
          <w:rFonts w:ascii="Calibri" w:hAnsi="Calibri"/>
          <w:color w:val="231F20"/>
          <w:w w:val="95"/>
          <w:sz w:val="17"/>
        </w:rPr>
        <w:t>2015,</w:t>
      </w:r>
      <w:r>
        <w:rPr>
          <w:rFonts w:ascii="Calibri" w:hAnsi="Calibri"/>
          <w:color w:val="231F20"/>
          <w:spacing w:val="-16"/>
          <w:w w:val="95"/>
          <w:sz w:val="17"/>
        </w:rPr>
        <w:t> </w:t>
      </w:r>
      <w:r>
        <w:rPr>
          <w:rFonts w:ascii="Calibri" w:hAnsi="Calibri"/>
          <w:color w:val="231F20"/>
          <w:w w:val="95"/>
          <w:sz w:val="17"/>
        </w:rPr>
        <w:t>pp.</w:t>
      </w:r>
      <w:r>
        <w:rPr>
          <w:rFonts w:ascii="Calibri" w:hAnsi="Calibri"/>
          <w:color w:val="231F20"/>
          <w:spacing w:val="-16"/>
          <w:w w:val="95"/>
          <w:sz w:val="17"/>
        </w:rPr>
        <w:t> </w:t>
      </w:r>
      <w:r>
        <w:rPr>
          <w:rFonts w:ascii="Calibri" w:hAnsi="Calibri"/>
          <w:color w:val="231F20"/>
          <w:spacing w:val="-4"/>
          <w:w w:val="95"/>
          <w:sz w:val="17"/>
        </w:rPr>
        <w:t>14–17.</w:t>
      </w:r>
    </w:p>
    <w:p>
      <w:pPr>
        <w:spacing w:after="0" w:line="204" w:lineRule="exact"/>
        <w:jc w:val="both"/>
        <w:rPr>
          <w:rFonts w:ascii="Calibri" w:hAnsi="Calibri"/>
          <w:sz w:val="17"/>
        </w:rPr>
        <w:sectPr>
          <w:type w:val="continuous"/>
          <w:pgSz w:w="9640" w:h="13890"/>
          <w:pgMar w:top="0" w:bottom="0" w:left="1300" w:right="1200"/>
        </w:sectPr>
      </w:pPr>
    </w:p>
    <w:p>
      <w:pPr>
        <w:pStyle w:val="BodyText"/>
        <w:spacing w:line="247" w:lineRule="auto" w:before="107"/>
        <w:ind w:left="103" w:right="115"/>
        <w:jc w:val="both"/>
      </w:pPr>
      <w:r>
        <w:rPr>
          <w:color w:val="231F20"/>
        </w:rPr>
        <w:t>político fue una categoría que, en términos históricos en América Latina,  se emparenta con las transformaciones radicales de los procesos políticos nacionales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región.</w:t>
      </w:r>
      <w:r>
        <w:rPr>
          <w:color w:val="231F20"/>
          <w:spacing w:val="-9"/>
        </w:rPr>
        <w:t> </w:t>
      </w:r>
      <w:r>
        <w:rPr>
          <w:color w:val="231F20"/>
        </w:rPr>
        <w:t>Por</w:t>
      </w:r>
      <w:r>
        <w:rPr>
          <w:color w:val="231F20"/>
          <w:spacing w:val="-9"/>
        </w:rPr>
        <w:t> </w:t>
      </w:r>
      <w:r>
        <w:rPr>
          <w:color w:val="231F20"/>
        </w:rPr>
        <w:t>ello,</w:t>
      </w:r>
      <w:r>
        <w:rPr>
          <w:color w:val="231F20"/>
          <w:spacing w:val="-9"/>
        </w:rPr>
        <w:t> </w:t>
      </w:r>
      <w:r>
        <w:rPr>
          <w:color w:val="231F20"/>
        </w:rPr>
        <w:t>hay</w:t>
      </w:r>
      <w:r>
        <w:rPr>
          <w:color w:val="231F20"/>
          <w:spacing w:val="-9"/>
        </w:rPr>
        <w:t> </w:t>
      </w:r>
      <w:r>
        <w:rPr>
          <w:color w:val="231F20"/>
        </w:rPr>
        <w:t>que</w:t>
      </w:r>
      <w:r>
        <w:rPr>
          <w:color w:val="231F20"/>
          <w:spacing w:val="-9"/>
        </w:rPr>
        <w:t> </w:t>
      </w:r>
      <w:r>
        <w:rPr>
          <w:color w:val="231F20"/>
        </w:rPr>
        <w:t>subrayar</w:t>
      </w:r>
      <w:r>
        <w:rPr>
          <w:color w:val="231F20"/>
          <w:spacing w:val="-9"/>
        </w:rPr>
        <w:t> </w:t>
      </w:r>
      <w:r>
        <w:rPr>
          <w:color w:val="231F20"/>
        </w:rPr>
        <w:t>las</w:t>
      </w:r>
      <w:r>
        <w:rPr>
          <w:color w:val="231F20"/>
          <w:spacing w:val="-9"/>
        </w:rPr>
        <w:t> </w:t>
      </w:r>
      <w:r>
        <w:rPr>
          <w:color w:val="231F20"/>
        </w:rPr>
        <w:t>formas</w:t>
      </w:r>
      <w:r>
        <w:rPr>
          <w:color w:val="231F20"/>
          <w:spacing w:val="-9"/>
        </w:rPr>
        <w:t> </w:t>
      </w:r>
      <w:r>
        <w:rPr>
          <w:color w:val="231F20"/>
        </w:rPr>
        <w:t>en</w:t>
      </w:r>
      <w:r>
        <w:rPr>
          <w:color w:val="231F20"/>
          <w:spacing w:val="-9"/>
        </w:rPr>
        <w:t> </w:t>
      </w:r>
      <w:r>
        <w:rPr>
          <w:color w:val="231F20"/>
        </w:rPr>
        <w:t>apariencia contradictorias de transición y cambio que a partir de los sesenta América Latina ha tenido en su horizonte político–estatal. Por un lado, se toma la dirección de la guerrilla y el cambio a través del fenómeno de insurgencia armada, con mayor énfasis después de 1959 cuando ocurrió el triunfo de la</w:t>
      </w:r>
      <w:r>
        <w:rPr>
          <w:color w:val="231F20"/>
          <w:spacing w:val="-9"/>
        </w:rPr>
        <w:t> </w:t>
      </w:r>
      <w:r>
        <w:rPr>
          <w:color w:val="231F20"/>
        </w:rPr>
        <w:t>Revolución</w:t>
      </w:r>
      <w:r>
        <w:rPr>
          <w:color w:val="231F20"/>
          <w:spacing w:val="-9"/>
        </w:rPr>
        <w:t> </w:t>
      </w:r>
      <w:r>
        <w:rPr>
          <w:color w:val="231F20"/>
        </w:rPr>
        <w:t>cubana,</w:t>
      </w:r>
      <w:r>
        <w:rPr>
          <w:color w:val="231F20"/>
          <w:spacing w:val="-9"/>
        </w:rPr>
        <w:t> </w:t>
      </w:r>
      <w:r>
        <w:rPr>
          <w:color w:val="231F20"/>
        </w:rPr>
        <w:t>hasta</w:t>
      </w:r>
      <w:r>
        <w:rPr>
          <w:color w:val="231F20"/>
          <w:spacing w:val="-9"/>
        </w:rPr>
        <w:t> </w:t>
      </w:r>
      <w:r>
        <w:rPr>
          <w:color w:val="231F20"/>
        </w:rPr>
        <w:t>llegar</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experiencias</w:t>
      </w:r>
      <w:r>
        <w:rPr>
          <w:color w:val="231F20"/>
          <w:spacing w:val="-9"/>
        </w:rPr>
        <w:t> </w:t>
      </w:r>
      <w:r>
        <w:rPr>
          <w:color w:val="231F20"/>
        </w:rPr>
        <w:t>de</w:t>
      </w:r>
      <w:r>
        <w:rPr>
          <w:color w:val="231F20"/>
          <w:spacing w:val="-9"/>
        </w:rPr>
        <w:t> </w:t>
      </w:r>
      <w:r>
        <w:rPr>
          <w:color w:val="231F20"/>
        </w:rPr>
        <w:t>guerras</w:t>
      </w:r>
      <w:r>
        <w:rPr>
          <w:color w:val="231F20"/>
          <w:spacing w:val="-9"/>
        </w:rPr>
        <w:t> </w:t>
      </w:r>
      <w:r>
        <w:rPr>
          <w:color w:val="231F20"/>
        </w:rPr>
        <w:t>civiles</w:t>
      </w:r>
      <w:r>
        <w:rPr>
          <w:color w:val="231F20"/>
          <w:spacing w:val="-9"/>
        </w:rPr>
        <w:t> </w:t>
      </w:r>
      <w:r>
        <w:rPr>
          <w:color w:val="231F20"/>
        </w:rPr>
        <w:t>cen- troamericanas en los años finales de la década de los setenta. Por el otro, el cambio adoptaba una impronta conservadora, expresada en el viraje de corte autoritario a partir de 1964 con el golpe de Estado en Brasil,</w:t>
      </w:r>
      <w:r>
        <w:rPr>
          <w:color w:val="231F20"/>
          <w:spacing w:val="-35"/>
        </w:rPr>
        <w:t> </w:t>
      </w:r>
      <w:r>
        <w:rPr>
          <w:color w:val="231F20"/>
        </w:rPr>
        <w:t>extendi- do con posterioridad a lo largo de</w:t>
      </w:r>
      <w:r>
        <w:rPr>
          <w:color w:val="231F20"/>
          <w:spacing w:val="55"/>
        </w:rPr>
        <w:t> </w:t>
      </w:r>
      <w:r>
        <w:rPr>
          <w:color w:val="231F20"/>
        </w:rPr>
        <w:t>Sudamérica</w:t>
      </w:r>
      <w:r>
        <w:rPr>
          <w:color w:val="231F20"/>
          <w:position w:val="7"/>
          <w:sz w:val="12"/>
        </w:rPr>
        <w:t>51</w:t>
      </w:r>
      <w:r>
        <w:rPr>
          <w:color w:val="231F20"/>
        </w:rPr>
        <w:t>.</w:t>
      </w:r>
    </w:p>
    <w:p>
      <w:pPr>
        <w:pStyle w:val="BodyText"/>
        <w:spacing w:line="247" w:lineRule="auto"/>
        <w:ind w:left="103" w:right="115" w:firstLine="566"/>
        <w:jc w:val="both"/>
      </w:pPr>
      <w:r>
        <w:rPr>
          <w:color w:val="231F20"/>
        </w:rPr>
        <w:t>En esta perspectiva, es entendible que tiempo después la categoría de “transición” se vuelva recurrente en los debates y en la agenda política de</w:t>
      </w:r>
      <w:r>
        <w:rPr>
          <w:color w:val="231F20"/>
          <w:spacing w:val="-12"/>
        </w:rPr>
        <w:t> </w:t>
      </w:r>
      <w:r>
        <w:rPr>
          <w:color w:val="231F20"/>
        </w:rPr>
        <w:t>la</w:t>
      </w:r>
      <w:r>
        <w:rPr>
          <w:color w:val="231F20"/>
          <w:spacing w:val="-12"/>
        </w:rPr>
        <w:t> </w:t>
      </w:r>
      <w:r>
        <w:rPr>
          <w:color w:val="231F20"/>
        </w:rPr>
        <w:t>región.</w:t>
      </w:r>
      <w:r>
        <w:rPr>
          <w:color w:val="231F20"/>
          <w:spacing w:val="-12"/>
        </w:rPr>
        <w:t> </w:t>
      </w:r>
      <w:r>
        <w:rPr>
          <w:color w:val="231F20"/>
        </w:rPr>
        <w:t>En</w:t>
      </w:r>
      <w:r>
        <w:rPr>
          <w:color w:val="231F20"/>
          <w:spacing w:val="-12"/>
        </w:rPr>
        <w:t> </w:t>
      </w:r>
      <w:r>
        <w:rPr>
          <w:color w:val="231F20"/>
        </w:rPr>
        <w:t>particular,</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w:t>
      </w:r>
      <w:r>
        <w:rPr>
          <w:color w:val="231F20"/>
          <w:spacing w:val="-12"/>
        </w:rPr>
        <w:t> </w:t>
      </w:r>
      <w:r>
        <w:rPr>
          <w:color w:val="231F20"/>
        </w:rPr>
        <w:t>1978</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conferencia</w:t>
      </w:r>
      <w:r>
        <w:rPr>
          <w:color w:val="231F20"/>
          <w:spacing w:val="-12"/>
        </w:rPr>
        <w:t> </w:t>
      </w:r>
      <w:r>
        <w:rPr>
          <w:color w:val="231F20"/>
        </w:rPr>
        <w:t>anual</w:t>
      </w:r>
      <w:r>
        <w:rPr>
          <w:color w:val="231F20"/>
          <w:spacing w:val="-12"/>
        </w:rPr>
        <w:t> </w:t>
      </w:r>
      <w:r>
        <w:rPr>
          <w:color w:val="231F20"/>
        </w:rPr>
        <w:t>del</w:t>
      </w:r>
      <w:r>
        <w:rPr>
          <w:color w:val="231F20"/>
          <w:spacing w:val="-12"/>
        </w:rPr>
        <w:t> </w:t>
      </w:r>
      <w:r>
        <w:rPr>
          <w:color w:val="231F20"/>
        </w:rPr>
        <w:t>Con- sejo Latinoamericano de Ciencias Sociales (</w:t>
      </w:r>
      <w:r>
        <w:rPr>
          <w:color w:val="231F20"/>
          <w:sz w:val="18"/>
        </w:rPr>
        <w:t>CLACSO</w:t>
      </w:r>
      <w:r>
        <w:rPr>
          <w:color w:val="231F20"/>
        </w:rPr>
        <w:t>) que tuvo lugar en</w:t>
      </w:r>
      <w:r>
        <w:rPr>
          <w:color w:val="231F20"/>
          <w:spacing w:val="-23"/>
        </w:rPr>
        <w:t> </w:t>
      </w:r>
      <w:r>
        <w:rPr>
          <w:color w:val="231F20"/>
        </w:rPr>
        <w:t>Cos- ta</w:t>
      </w:r>
      <w:r>
        <w:rPr>
          <w:color w:val="231F20"/>
          <w:spacing w:val="-5"/>
        </w:rPr>
        <w:t> </w:t>
      </w:r>
      <w:r>
        <w:rPr>
          <w:color w:val="231F20"/>
        </w:rPr>
        <w:t>Rica,</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de</w:t>
      </w:r>
      <w:r>
        <w:rPr>
          <w:color w:val="231F20"/>
          <w:spacing w:val="-5"/>
        </w:rPr>
        <w:t> </w:t>
      </w:r>
      <w:r>
        <w:rPr>
          <w:color w:val="231F20"/>
        </w:rPr>
        <w:t>sus</w:t>
      </w:r>
      <w:r>
        <w:rPr>
          <w:color w:val="231F20"/>
          <w:spacing w:val="-5"/>
        </w:rPr>
        <w:t> </w:t>
      </w:r>
      <w:r>
        <w:rPr>
          <w:color w:val="231F20"/>
        </w:rPr>
        <w:t>conclusiones</w:t>
      </w:r>
      <w:r>
        <w:rPr>
          <w:color w:val="231F20"/>
          <w:spacing w:val="-5"/>
        </w:rPr>
        <w:t> </w:t>
      </w:r>
      <w:r>
        <w:rPr>
          <w:color w:val="231F20"/>
        </w:rPr>
        <w:t>se</w:t>
      </w:r>
      <w:r>
        <w:rPr>
          <w:color w:val="231F20"/>
          <w:spacing w:val="-5"/>
        </w:rPr>
        <w:t> </w:t>
      </w:r>
      <w:r>
        <w:rPr>
          <w:color w:val="231F20"/>
        </w:rPr>
        <w:t>desprende</w:t>
      </w:r>
      <w:r>
        <w:rPr>
          <w:color w:val="231F20"/>
          <w:spacing w:val="-5"/>
        </w:rPr>
        <w:t> </w:t>
      </w:r>
      <w:r>
        <w:rPr>
          <w:color w:val="231F20"/>
        </w:rPr>
        <w:t>la</w:t>
      </w:r>
      <w:r>
        <w:rPr>
          <w:color w:val="231F20"/>
          <w:spacing w:val="-5"/>
        </w:rPr>
        <w:t> </w:t>
      </w:r>
      <w:r>
        <w:rPr>
          <w:color w:val="231F20"/>
        </w:rPr>
        <w:t>idea</w:t>
      </w:r>
      <w:r>
        <w:rPr>
          <w:color w:val="231F20"/>
          <w:spacing w:val="-5"/>
        </w:rPr>
        <w:t> </w:t>
      </w:r>
      <w:r>
        <w:rPr>
          <w:color w:val="231F20"/>
        </w:rPr>
        <w:t>—en</w:t>
      </w:r>
      <w:r>
        <w:rPr>
          <w:color w:val="231F20"/>
          <w:spacing w:val="-5"/>
        </w:rPr>
        <w:t> </w:t>
      </w:r>
      <w:r>
        <w:rPr>
          <w:color w:val="231F20"/>
        </w:rPr>
        <w:t>gran</w:t>
      </w:r>
      <w:r>
        <w:rPr>
          <w:color w:val="231F20"/>
          <w:spacing w:val="-5"/>
        </w:rPr>
        <w:t> </w:t>
      </w:r>
      <w:r>
        <w:rPr>
          <w:color w:val="231F20"/>
        </w:rPr>
        <w:t>medida como solución de “compromiso”— del horizonte democrático como una posible salida a los distintos autoritarismos manifiestos en la región y que poco tiempo después toma forma en el impreciso vocablo de la “transición a la</w:t>
      </w:r>
      <w:r>
        <w:rPr>
          <w:color w:val="231F20"/>
          <w:spacing w:val="21"/>
        </w:rPr>
        <w:t> </w:t>
      </w:r>
      <w:r>
        <w:rPr>
          <w:color w:val="231F20"/>
        </w:rPr>
        <w:t>democracia”</w:t>
      </w:r>
      <w:r>
        <w:rPr>
          <w:color w:val="231F20"/>
          <w:position w:val="7"/>
          <w:sz w:val="12"/>
        </w:rPr>
        <w:t>52</w:t>
      </w:r>
      <w:r>
        <w:rPr>
          <w:color w:val="231F20"/>
        </w:rPr>
        <w:t>.</w:t>
      </w:r>
    </w:p>
    <w:p>
      <w:pPr>
        <w:pStyle w:val="BodyText"/>
        <w:spacing w:line="247" w:lineRule="auto"/>
        <w:ind w:left="103" w:right="114" w:firstLine="566"/>
        <w:jc w:val="both"/>
      </w:pPr>
      <w:r>
        <w:rPr>
          <w:color w:val="231F20"/>
        </w:rPr>
        <w:t>A pesar de la distancia y las variaciones de cada caso específico, in- cluso de cada región, se puede decir que el cambio político es una de las constantes que ha acompañado al desarrollo contemporáneo del orden estatal, sobre todo cuando el “puerto” de partida es un régimen autori- tario. </w:t>
      </w:r>
      <w:r>
        <w:rPr>
          <w:color w:val="231F20"/>
          <w:spacing w:val="-4"/>
        </w:rPr>
        <w:t>También </w:t>
      </w:r>
      <w:r>
        <w:rPr>
          <w:color w:val="231F20"/>
        </w:rPr>
        <w:t>es cierto que la arquitectura de los Estados donde tenían lugar los cambios políticos en dirección democrática, se han ido transfor- mando a una velocidad distinta, incluso en algunas experiencias en una dirección opuesta a la de la “marcha triunfal de la democracia” en el nivel global. Una de las direcciones que ha adoptado, como lo hemos observa- do párrafos atrás, es la del fenómeno de la soberanización criminal que le- jos de comportarse como una dinámica eminentemente antidemocrática y antiestatal, se ha vuelto una forma “para–política” de organización de </w:t>
      </w:r>
      <w:r>
        <w:rPr>
          <w:color w:val="231F20"/>
          <w:spacing w:val="-3"/>
        </w:rPr>
        <w:t>cier- </w:t>
      </w:r>
      <w:r>
        <w:rPr>
          <w:color w:val="231F20"/>
        </w:rPr>
        <w:t>tos niveles funcionales del Estado y del juego político con la</w:t>
      </w:r>
      <w:r>
        <w:rPr>
          <w:color w:val="231F20"/>
          <w:spacing w:val="58"/>
        </w:rPr>
        <w:t> </w:t>
      </w:r>
      <w:r>
        <w:rPr>
          <w:color w:val="231F20"/>
        </w:rPr>
        <w:t>democracia.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2"/>
        </w:rPr>
      </w:pPr>
      <w:r>
        <w:rPr/>
        <w:pict>
          <v:line style="position:absolute;mso-position-horizontal-relative:page;mso-position-vertical-relative:paragraph;z-index:6880;mso-wrap-distance-left:0;mso-wrap-distance-right:0" from="65.1968pt,9.555423pt" to="178.5828pt,9.555423pt" stroked="true" strokeweight=".3pt" strokecolor="#231f20">
            <w10:wrap type="topAndBottom"/>
          </v:line>
        </w:pict>
      </w:r>
    </w:p>
    <w:p>
      <w:pPr>
        <w:spacing w:line="204" w:lineRule="exact" w:before="8"/>
        <w:ind w:left="103" w:right="0" w:firstLine="0"/>
        <w:jc w:val="left"/>
        <w:rPr>
          <w:rFonts w:ascii="Calibri" w:hAnsi="Calibri"/>
          <w:sz w:val="17"/>
        </w:rPr>
      </w:pPr>
      <w:r>
        <w:rPr>
          <w:rFonts w:ascii="Calibri" w:hAnsi="Calibri"/>
          <w:color w:val="231F20"/>
          <w:position w:val="6"/>
          <w:sz w:val="10"/>
        </w:rPr>
        <w:t>51 </w:t>
      </w:r>
      <w:r>
        <w:rPr>
          <w:rFonts w:ascii="Calibri" w:hAnsi="Calibri"/>
          <w:color w:val="231F20"/>
          <w:sz w:val="17"/>
        </w:rPr>
        <w:t>R. Baños, </w:t>
      </w:r>
      <w:r>
        <w:rPr>
          <w:rFonts w:ascii="Calibri" w:hAnsi="Calibri"/>
          <w:i/>
          <w:color w:val="231F20"/>
          <w:sz w:val="17"/>
        </w:rPr>
        <w:t>Nuevos estilos y nuevos temas en los análisis de ciencias sociales en la última década</w:t>
      </w:r>
      <w:r>
        <w:rPr>
          <w:rFonts w:ascii="Calibri" w:hAnsi="Calibri"/>
          <w:color w:val="231F20"/>
          <w:sz w:val="17"/>
        </w:rPr>
        <w:t>, Santiago de Chile, </w:t>
      </w:r>
      <w:r>
        <w:rPr>
          <w:rFonts w:ascii="Calibri" w:hAnsi="Calibri"/>
          <w:color w:val="231F20"/>
          <w:sz w:val="15"/>
        </w:rPr>
        <w:t>FLACSO</w:t>
      </w:r>
      <w:r>
        <w:rPr>
          <w:rFonts w:ascii="Calibri" w:hAnsi="Calibri"/>
          <w:color w:val="231F20"/>
          <w:sz w:val="17"/>
        </w:rPr>
        <w:t>–Chile, 1984, p.  5.</w:t>
      </w:r>
    </w:p>
    <w:p>
      <w:pPr>
        <w:spacing w:line="204" w:lineRule="exact" w:before="0"/>
        <w:ind w:left="103" w:right="101" w:firstLine="0"/>
        <w:jc w:val="left"/>
        <w:rPr>
          <w:rFonts w:ascii="Calibri" w:hAnsi="Calibri"/>
          <w:sz w:val="17"/>
        </w:rPr>
      </w:pPr>
      <w:r>
        <w:rPr>
          <w:rFonts w:ascii="Calibri" w:hAnsi="Calibri"/>
          <w:color w:val="231F20"/>
          <w:position w:val="6"/>
          <w:sz w:val="10"/>
        </w:rPr>
        <w:t>52 </w:t>
      </w:r>
      <w:r>
        <w:rPr>
          <w:rFonts w:ascii="Calibri" w:hAnsi="Calibri"/>
          <w:color w:val="231F20"/>
          <w:sz w:val="17"/>
        </w:rPr>
        <w:t>N. Lechner, </w:t>
      </w:r>
      <w:r>
        <w:rPr>
          <w:rFonts w:ascii="Calibri" w:hAnsi="Calibri"/>
          <w:i/>
          <w:color w:val="231F20"/>
          <w:sz w:val="17"/>
        </w:rPr>
        <w:t>Los patios interiores de la democracia. Subjetividad y política</w:t>
      </w:r>
      <w:r>
        <w:rPr>
          <w:rFonts w:ascii="Calibri" w:hAnsi="Calibri"/>
          <w:color w:val="231F20"/>
          <w:sz w:val="17"/>
        </w:rPr>
        <w:t>, Santiago de Chile, Fondo de Cultura Económica, 1990, pp. 18–19.</w:t>
      </w:r>
    </w:p>
    <w:p>
      <w:pPr>
        <w:pStyle w:val="BodyText"/>
        <w:rPr>
          <w:rFonts w:ascii="Calibri"/>
          <w:sz w:val="20"/>
        </w:rPr>
      </w:pPr>
    </w:p>
    <w:p>
      <w:pPr>
        <w:pStyle w:val="BodyText"/>
        <w:spacing w:before="1"/>
        <w:rPr>
          <w:rFonts w:ascii="Calibri"/>
          <w:sz w:val="28"/>
        </w:rPr>
      </w:pPr>
    </w:p>
    <w:p>
      <w:pPr>
        <w:tabs>
          <w:tab w:pos="1331" w:val="left" w:leader="none"/>
        </w:tabs>
        <w:spacing w:before="69"/>
        <w:ind w:left="226" w:right="0" w:firstLine="0"/>
        <w:jc w:val="left"/>
        <w:rPr>
          <w:rFonts w:ascii="Calibri"/>
          <w:sz w:val="16"/>
        </w:rPr>
      </w:pPr>
      <w:r>
        <w:rPr/>
        <w:pict>
          <v:group style="position:absolute;margin-left:98.787804pt;margin-top:-3.308812pt;width:20.4pt;height:43pt;mso-position-horizontal-relative:page;mso-position-vertical-relative:paragraph;z-index:-168496" coordorigin="1976,-66" coordsize="408,860">
            <v:line style="position:absolute" from="2225,73" to="2225,789" stroked="true" strokeweight=".35pt" strokecolor="#231f20"/>
            <v:shape style="position:absolute;left:2193;top:-13;width:190;height:445" type="#_x0000_t75" stroked="false">
              <v:imagedata r:id="rId40" o:title=""/>
            </v:shape>
            <v:shape style="position:absolute;left:1976;top:-66;width:250;height:502" type="#_x0000_t75" stroked="false">
              <v:imagedata r:id="rId41" o:title=""/>
            </v:shape>
            <w10:wrap type="none"/>
          </v:group>
        </w:pict>
      </w:r>
      <w:r>
        <w:rPr>
          <w:rFonts w:ascii="Arial"/>
          <w:color w:val="414042"/>
          <w:position w:val="-4"/>
          <w:sz w:val="20"/>
        </w:rPr>
        <w:t>132</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244"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695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"EL AFUERA SIEMPRE ES ADENTRO”. TENSIONES Y TRANSFORMACIONES RECIENTES</w:t>
      </w:r>
    </w:p>
    <w:p>
      <w:pPr>
        <w:spacing w:line="198" w:lineRule="exact" w:before="0"/>
        <w:ind w:left="2835" w:right="-7" w:firstLine="0"/>
        <w:jc w:val="left"/>
        <w:rPr>
          <w:rFonts w:ascii="Lucida Sans Unicode" w:hAnsi="Lucida Sans Unicode"/>
          <w:sz w:val="14"/>
        </w:rPr>
      </w:pPr>
      <w:r>
        <w:rPr>
          <w:rFonts w:ascii="Lucida Sans Unicode" w:hAnsi="Lucida Sans Unicode"/>
          <w:color w:val="6D6E71"/>
          <w:w w:val="90"/>
          <w:sz w:val="14"/>
        </w:rPr>
        <w:t>EN</w:t>
      </w:r>
      <w:r>
        <w:rPr>
          <w:rFonts w:ascii="Lucida Sans Unicode" w:hAnsi="Lucida Sans Unicode"/>
          <w:color w:val="6D6E71"/>
          <w:spacing w:val="-10"/>
          <w:w w:val="90"/>
          <w:sz w:val="14"/>
        </w:rPr>
        <w:t> </w:t>
      </w:r>
      <w:r>
        <w:rPr>
          <w:rFonts w:ascii="Lucida Sans Unicode" w:hAnsi="Lucida Sans Unicode"/>
          <w:color w:val="6D6E71"/>
          <w:w w:val="90"/>
          <w:sz w:val="14"/>
        </w:rPr>
        <w:t>EL</w:t>
      </w:r>
      <w:r>
        <w:rPr>
          <w:rFonts w:ascii="Lucida Sans Unicode" w:hAnsi="Lucida Sans Unicode"/>
          <w:color w:val="6D6E71"/>
          <w:spacing w:val="-10"/>
          <w:w w:val="90"/>
          <w:sz w:val="14"/>
        </w:rPr>
        <w:t> </w:t>
      </w:r>
      <w:r>
        <w:rPr>
          <w:rFonts w:ascii="Lucida Sans Unicode" w:hAnsi="Lucida Sans Unicode"/>
          <w:color w:val="6D6E71"/>
          <w:w w:val="90"/>
          <w:sz w:val="14"/>
        </w:rPr>
        <w:t>ESPACIO</w:t>
      </w:r>
      <w:r>
        <w:rPr>
          <w:rFonts w:ascii="Lucida Sans Unicode" w:hAnsi="Lucida Sans Unicode"/>
          <w:color w:val="6D6E71"/>
          <w:spacing w:val="-10"/>
          <w:w w:val="90"/>
          <w:sz w:val="14"/>
        </w:rPr>
        <w:t> </w:t>
      </w:r>
      <w:r>
        <w:rPr>
          <w:rFonts w:ascii="Lucida Sans Unicode" w:hAnsi="Lucida Sans Unicode"/>
          <w:color w:val="6D6E71"/>
          <w:w w:val="90"/>
          <w:sz w:val="14"/>
        </w:rPr>
        <w:t>POLÍTICO</w:t>
      </w:r>
      <w:r>
        <w:rPr>
          <w:rFonts w:ascii="Lucida Sans Unicode" w:hAnsi="Lucida Sans Unicode"/>
          <w:color w:val="6D6E71"/>
          <w:spacing w:val="-10"/>
          <w:w w:val="90"/>
          <w:sz w:val="14"/>
        </w:rPr>
        <w:t> </w:t>
      </w:r>
      <w:r>
        <w:rPr>
          <w:rFonts w:ascii="Lucida Sans Unicode" w:hAnsi="Lucida Sans Unicode"/>
          <w:color w:val="6D6E71"/>
          <w:w w:val="90"/>
          <w:sz w:val="14"/>
        </w:rPr>
        <w:t>DEL</w:t>
      </w:r>
      <w:r>
        <w:rPr>
          <w:rFonts w:ascii="Lucida Sans Unicode" w:hAnsi="Lucida Sans Unicode"/>
          <w:color w:val="6D6E71"/>
          <w:spacing w:val="-10"/>
          <w:w w:val="90"/>
          <w:sz w:val="14"/>
        </w:rPr>
        <w:t> </w:t>
      </w:r>
      <w:r>
        <w:rPr>
          <w:rFonts w:ascii="Lucida Sans Unicode" w:hAnsi="Lucida Sans Unicode"/>
          <w:color w:val="6D6E71"/>
          <w:w w:val="90"/>
          <w:sz w:val="14"/>
        </w:rPr>
        <w:t>ESTADO</w:t>
      </w:r>
      <w:r>
        <w:rPr>
          <w:rFonts w:ascii="Lucida Sans Unicode" w:hAnsi="Lucida Sans Unicode"/>
          <w:color w:val="6D6E71"/>
          <w:spacing w:val="-10"/>
          <w:w w:val="90"/>
          <w:sz w:val="14"/>
        </w:rPr>
        <w:t> </w:t>
      </w:r>
      <w:r>
        <w:rPr>
          <w:rFonts w:ascii="Lucida Sans Unicode" w:hAnsi="Lucida Sans Unicode"/>
          <w:color w:val="6D6E71"/>
          <w:w w:val="90"/>
          <w:sz w:val="14"/>
        </w:rPr>
        <w:t>Y</w:t>
      </w:r>
      <w:r>
        <w:rPr>
          <w:rFonts w:ascii="Lucida Sans Unicode" w:hAnsi="Lucida Sans Unicode"/>
          <w:color w:val="6D6E71"/>
          <w:spacing w:val="-10"/>
          <w:w w:val="90"/>
          <w:sz w:val="14"/>
        </w:rPr>
        <w:t> </w:t>
      </w:r>
      <w:r>
        <w:rPr>
          <w:rFonts w:ascii="Lucida Sans Unicode" w:hAnsi="Lucida Sans Unicode"/>
          <w:color w:val="6D6E71"/>
          <w:w w:val="90"/>
          <w:sz w:val="14"/>
        </w:rPr>
        <w:t>LA</w:t>
      </w:r>
      <w:r>
        <w:rPr>
          <w:rFonts w:ascii="Lucida Sans Unicode" w:hAnsi="Lucida Sans Unicode"/>
          <w:color w:val="6D6E71"/>
          <w:spacing w:val="-10"/>
          <w:w w:val="90"/>
          <w:sz w:val="14"/>
        </w:rPr>
        <w:t> </w:t>
      </w:r>
      <w:r>
        <w:rPr>
          <w:rFonts w:ascii="Lucida Sans Unicode" w:hAnsi="Lucida Sans Unicode"/>
          <w:color w:val="6D6E71"/>
          <w:w w:val="90"/>
          <w:sz w:val="14"/>
        </w:rPr>
        <w:t>DEMOCRACIA</w:t>
      </w:r>
    </w:p>
    <w:p>
      <w:pPr>
        <w:spacing w:before="59"/>
        <w:ind w:left="338" w:right="0" w:firstLine="0"/>
        <w:jc w:val="left"/>
        <w:rPr>
          <w:rFonts w:ascii="Arial"/>
          <w:sz w:val="20"/>
        </w:rPr>
      </w:pPr>
      <w:r>
        <w:rPr/>
        <w:br w:type="column"/>
      </w:r>
      <w:r>
        <w:rPr>
          <w:rFonts w:ascii="Arial"/>
          <w:color w:val="414042"/>
          <w:sz w:val="20"/>
        </w:rPr>
        <w:t>133</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6"/>
        <w:rPr>
          <w:rFonts w:ascii="Arial"/>
          <w:sz w:val="16"/>
        </w:rPr>
      </w:pPr>
    </w:p>
    <w:p>
      <w:pPr>
        <w:spacing w:before="57"/>
        <w:ind w:left="117" w:right="0" w:firstLine="0"/>
        <w:jc w:val="both"/>
        <w:rPr>
          <w:rFonts w:ascii="Arial" w:hAnsi="Arial"/>
          <w:i/>
          <w:sz w:val="21"/>
        </w:rPr>
      </w:pPr>
      <w:r>
        <w:rPr>
          <w:rFonts w:ascii="Arial" w:hAnsi="Arial"/>
          <w:i/>
          <w:color w:val="231F20"/>
          <w:sz w:val="21"/>
        </w:rPr>
        <w:t>Los nuevos espacios de soberanía (anti) democrática</w:t>
      </w:r>
    </w:p>
    <w:p>
      <w:pPr>
        <w:pStyle w:val="BodyText"/>
        <w:rPr>
          <w:rFonts w:ascii="Arial"/>
          <w:i/>
          <w:sz w:val="20"/>
        </w:rPr>
      </w:pPr>
    </w:p>
    <w:p>
      <w:pPr>
        <w:pStyle w:val="BodyText"/>
        <w:spacing w:line="247" w:lineRule="auto" w:before="172"/>
        <w:ind w:left="117" w:right="100"/>
        <w:jc w:val="both"/>
      </w:pPr>
      <w:r>
        <w:rPr>
          <w:color w:val="231F20"/>
        </w:rPr>
        <w:t>El sentimiento de inseguridad y la producción social de las fuentes de miedo asociadas a éste, aparecen como vector vinculado al conjunto de las nuevas formas de delito que se manifiestan en el tránsito hacia la re- composición del orden estatal, por lo menos en el campo jurídico e insti- tucional, posterior a la finalización de los procesos de democratización de finales del siglo </w:t>
      </w:r>
      <w:r>
        <w:rPr>
          <w:color w:val="231F20"/>
          <w:sz w:val="18"/>
        </w:rPr>
        <w:t>XX</w:t>
      </w:r>
      <w:r>
        <w:rPr>
          <w:color w:val="231F20"/>
        </w:rPr>
        <w:t>, incluida la erosión de ciertas vertientes autoritarias en el concierto entre las naciones que no siguieron la ruta de la democracia. Al disolverse la lógica amigo–enemigo, propia de la relación polar he- redada de la segunda posguerra entre democracia–socialismo, apareció una tensión constitutiva, no inédita pero creciente y “punzante”, en los límites internos de la democracia: la modificación de los mapas mentales respecto al tema de la confianza que potencialmente podía producirse entre sujetos, sobre todo como reacción frente a tres manifestaciones de las interfases de la inseguridad: el miedo al extranjero al que por su falta de filiación en el mercado nacional, preponderante de la cultura, se le agrede;</w:t>
      </w:r>
      <w:r>
        <w:rPr>
          <w:color w:val="231F20"/>
          <w:position w:val="7"/>
          <w:sz w:val="12"/>
        </w:rPr>
        <w:t>53 </w:t>
      </w:r>
      <w:r>
        <w:rPr>
          <w:color w:val="231F20"/>
        </w:rPr>
        <w:t>el miedo que aparece con la figura del extraño del interior, esos nuevos “condenados de la tierra” que manifiestan una posición de infe- rioridad espacial y político–económica dentro de la vida en sociedad y en medio de una creciente producción de mercados del desamparo hasta hace poco tiempo desconocidos que, por su parte, importan un efecto negativo para la socialización democrática, pues están fincados en la in- capacidad de disolver la exclusión en el ámbito económico al tiempo de producir su correlato. Finalmente en el miedo al </w:t>
      </w:r>
      <w:r>
        <w:rPr>
          <w:color w:val="231F20"/>
          <w:spacing w:val="21"/>
        </w:rPr>
        <w:t> </w:t>
      </w:r>
      <w:r>
        <w:rPr>
          <w:color w:val="231F20"/>
        </w:rPr>
        <w:t>sinsentido</w:t>
      </w:r>
      <w:r>
        <w:rPr>
          <w:color w:val="231F20"/>
          <w:position w:val="7"/>
          <w:sz w:val="12"/>
        </w:rPr>
        <w:t>54</w:t>
      </w:r>
      <w:r>
        <w:rPr>
          <w:color w:val="231F20"/>
        </w:rPr>
        <w:t>.</w:t>
      </w:r>
    </w:p>
    <w:p>
      <w:pPr>
        <w:pStyle w:val="BodyText"/>
        <w:spacing w:line="247" w:lineRule="auto"/>
        <w:ind w:left="117" w:right="101" w:firstLine="566"/>
        <w:jc w:val="both"/>
      </w:pPr>
      <w:r>
        <w:rPr>
          <w:color w:val="231F20"/>
        </w:rPr>
        <w:t>De este modo, es necesario subrayar que la inseguridad, incluida su variante</w:t>
      </w:r>
      <w:r>
        <w:rPr>
          <w:color w:val="231F20"/>
          <w:spacing w:val="-10"/>
        </w:rPr>
        <w:t> </w:t>
      </w:r>
      <w:r>
        <w:rPr>
          <w:color w:val="231F20"/>
        </w:rPr>
        <w:t>institucional,</w:t>
      </w:r>
      <w:r>
        <w:rPr>
          <w:color w:val="231F20"/>
          <w:spacing w:val="-10"/>
        </w:rPr>
        <w:t> </w:t>
      </w:r>
      <w:r>
        <w:rPr>
          <w:color w:val="231F20"/>
        </w:rPr>
        <w:t>no</w:t>
      </w:r>
      <w:r>
        <w:rPr>
          <w:color w:val="231F20"/>
          <w:spacing w:val="-10"/>
        </w:rPr>
        <w:t> </w:t>
      </w:r>
      <w:r>
        <w:rPr>
          <w:color w:val="231F20"/>
        </w:rPr>
        <w:t>es</w:t>
      </w:r>
      <w:r>
        <w:rPr>
          <w:color w:val="231F20"/>
          <w:spacing w:val="-10"/>
        </w:rPr>
        <w:t> </w:t>
      </w:r>
      <w:r>
        <w:rPr>
          <w:color w:val="231F20"/>
        </w:rPr>
        <w:t>un</w:t>
      </w:r>
      <w:r>
        <w:rPr>
          <w:color w:val="231F20"/>
          <w:spacing w:val="-10"/>
        </w:rPr>
        <w:t> </w:t>
      </w:r>
      <w:r>
        <w:rPr>
          <w:color w:val="231F20"/>
        </w:rPr>
        <w:t>fenómeno</w:t>
      </w:r>
      <w:r>
        <w:rPr>
          <w:color w:val="231F20"/>
          <w:spacing w:val="-10"/>
        </w:rPr>
        <w:t> </w:t>
      </w:r>
      <w:r>
        <w:rPr>
          <w:color w:val="231F20"/>
        </w:rPr>
        <w:t>exclusivamente</w:t>
      </w:r>
      <w:r>
        <w:rPr>
          <w:color w:val="231F20"/>
          <w:spacing w:val="-9"/>
        </w:rPr>
        <w:t> </w:t>
      </w:r>
      <w:r>
        <w:rPr>
          <w:color w:val="231F20"/>
        </w:rPr>
        <w:t>criminal.</w:t>
      </w:r>
      <w:r>
        <w:rPr>
          <w:color w:val="231F20"/>
          <w:spacing w:val="-10"/>
        </w:rPr>
        <w:t> </w:t>
      </w:r>
      <w:r>
        <w:rPr>
          <w:color w:val="231F20"/>
        </w:rPr>
        <w:t>En</w:t>
      </w:r>
      <w:r>
        <w:rPr>
          <w:color w:val="231F20"/>
          <w:spacing w:val="-10"/>
        </w:rPr>
        <w:t> </w:t>
      </w:r>
      <w:r>
        <w:rPr>
          <w:color w:val="231F20"/>
        </w:rPr>
        <w:t>cam- bio, supone la producción de una serie de ámbitos sociales y económicos, así como subjetivos y biográficos que van más allá de su encapsulamiento en los fenómenos que se observan bajo la etiqueta de crimen organizado tanto nacional como transnacional, al grado que terminan por ser la mani- festación contemporánea de los procesos que se han anidado en las zonas permanentemente abiertas de las estructuras esenciales de la representa- ción política y del orden político en el mundo </w:t>
      </w:r>
      <w:r>
        <w:rPr>
          <w:color w:val="231F20"/>
          <w:spacing w:val="34"/>
        </w:rPr>
        <w:t> </w:t>
      </w:r>
      <w:r>
        <w:rPr>
          <w:color w:val="231F20"/>
        </w:rPr>
        <w:t>contemporáneo</w:t>
      </w:r>
      <w:r>
        <w:rPr>
          <w:color w:val="231F20"/>
          <w:position w:val="7"/>
          <w:sz w:val="12"/>
        </w:rPr>
        <w:t>55</w:t>
      </w:r>
      <w:r>
        <w:rPr>
          <w:color w:val="231F20"/>
        </w:rPr>
        <w:t>.</w:t>
      </w:r>
    </w:p>
    <w:p>
      <w:pPr>
        <w:pStyle w:val="BodyText"/>
        <w:rPr>
          <w:sz w:val="20"/>
        </w:rPr>
      </w:pPr>
    </w:p>
    <w:p>
      <w:pPr>
        <w:pStyle w:val="BodyText"/>
        <w:spacing w:before="4"/>
        <w:rPr>
          <w:sz w:val="13"/>
        </w:rPr>
      </w:pPr>
      <w:r>
        <w:rPr/>
        <w:pict>
          <v:line style="position:absolute;mso-position-horizontal-relative:page;mso-position-vertical-relative:paragraph;z-index:6928;mso-wrap-distance-left:0;mso-wrap-distance-right:0" from="70.866096pt,10.194067pt" to="184.252096pt,10.194067pt" stroked="true" strokeweight=".3pt" strokecolor="#231f20">
            <w10:wrap type="topAndBottom"/>
          </v:line>
        </w:pict>
      </w:r>
    </w:p>
    <w:p>
      <w:pPr>
        <w:spacing w:line="204" w:lineRule="exact" w:before="8"/>
        <w:ind w:left="117" w:right="102" w:firstLine="0"/>
        <w:jc w:val="both"/>
        <w:rPr>
          <w:rFonts w:ascii="Calibri" w:hAnsi="Calibri"/>
          <w:sz w:val="17"/>
        </w:rPr>
      </w:pPr>
      <w:r>
        <w:rPr>
          <w:rFonts w:ascii="Calibri" w:hAnsi="Calibri"/>
          <w:color w:val="231F20"/>
          <w:w w:val="105"/>
          <w:position w:val="6"/>
          <w:sz w:val="10"/>
        </w:rPr>
        <w:t>53</w:t>
      </w:r>
      <w:r>
        <w:rPr>
          <w:rFonts w:ascii="Calibri" w:hAnsi="Calibri"/>
          <w:color w:val="231F20"/>
          <w:spacing w:val="-4"/>
          <w:w w:val="105"/>
          <w:position w:val="6"/>
          <w:sz w:val="10"/>
        </w:rPr>
        <w:t> </w:t>
      </w:r>
      <w:r>
        <w:rPr>
          <w:rFonts w:ascii="Calibri" w:hAnsi="Calibri"/>
          <w:color w:val="231F20"/>
          <w:w w:val="105"/>
          <w:sz w:val="17"/>
        </w:rPr>
        <w:t>Como</w:t>
      </w:r>
      <w:r>
        <w:rPr>
          <w:rFonts w:ascii="Calibri" w:hAnsi="Calibri"/>
          <w:color w:val="231F20"/>
          <w:spacing w:val="-21"/>
          <w:w w:val="105"/>
          <w:sz w:val="17"/>
        </w:rPr>
        <w:t> </w:t>
      </w:r>
      <w:r>
        <w:rPr>
          <w:rFonts w:ascii="Calibri" w:hAnsi="Calibri"/>
          <w:color w:val="231F20"/>
          <w:w w:val="105"/>
          <w:sz w:val="17"/>
        </w:rPr>
        <w:t>sabemos,</w:t>
      </w:r>
      <w:r>
        <w:rPr>
          <w:rFonts w:ascii="Calibri" w:hAnsi="Calibri"/>
          <w:color w:val="231F20"/>
          <w:spacing w:val="-21"/>
          <w:w w:val="105"/>
          <w:sz w:val="17"/>
        </w:rPr>
        <w:t> </w:t>
      </w:r>
      <w:r>
        <w:rPr>
          <w:rFonts w:ascii="Calibri" w:hAnsi="Calibri"/>
          <w:color w:val="231F20"/>
          <w:w w:val="105"/>
          <w:sz w:val="17"/>
        </w:rPr>
        <w:t>el</w:t>
      </w:r>
      <w:r>
        <w:rPr>
          <w:rFonts w:ascii="Calibri" w:hAnsi="Calibri"/>
          <w:color w:val="231F20"/>
          <w:spacing w:val="-21"/>
          <w:w w:val="105"/>
          <w:sz w:val="17"/>
        </w:rPr>
        <w:t> </w:t>
      </w:r>
      <w:r>
        <w:rPr>
          <w:rFonts w:ascii="Calibri" w:hAnsi="Calibri"/>
          <w:color w:val="231F20"/>
          <w:w w:val="105"/>
          <w:sz w:val="17"/>
        </w:rPr>
        <w:t>evento</w:t>
      </w:r>
      <w:r>
        <w:rPr>
          <w:rFonts w:ascii="Calibri" w:hAnsi="Calibri"/>
          <w:color w:val="231F20"/>
          <w:spacing w:val="-21"/>
          <w:w w:val="105"/>
          <w:sz w:val="17"/>
        </w:rPr>
        <w:t> </w:t>
      </w:r>
      <w:r>
        <w:rPr>
          <w:rFonts w:ascii="Calibri" w:hAnsi="Calibri"/>
          <w:color w:val="231F20"/>
          <w:w w:val="105"/>
          <w:sz w:val="17"/>
        </w:rPr>
        <w:t>más</w:t>
      </w:r>
      <w:r>
        <w:rPr>
          <w:rFonts w:ascii="Calibri" w:hAnsi="Calibri"/>
          <w:color w:val="231F20"/>
          <w:spacing w:val="-21"/>
          <w:w w:val="105"/>
          <w:sz w:val="17"/>
        </w:rPr>
        <w:t> </w:t>
      </w:r>
      <w:r>
        <w:rPr>
          <w:rFonts w:ascii="Calibri" w:hAnsi="Calibri"/>
          <w:color w:val="231F20"/>
          <w:w w:val="105"/>
          <w:sz w:val="17"/>
        </w:rPr>
        <w:t>reciente</w:t>
      </w:r>
      <w:r>
        <w:rPr>
          <w:rFonts w:ascii="Calibri" w:hAnsi="Calibri"/>
          <w:color w:val="231F20"/>
          <w:spacing w:val="-21"/>
          <w:w w:val="105"/>
          <w:sz w:val="17"/>
        </w:rPr>
        <w:t> </w:t>
      </w:r>
      <w:r>
        <w:rPr>
          <w:rFonts w:ascii="Calibri" w:hAnsi="Calibri"/>
          <w:color w:val="231F20"/>
          <w:w w:val="105"/>
          <w:sz w:val="17"/>
        </w:rPr>
        <w:t>es</w:t>
      </w:r>
      <w:r>
        <w:rPr>
          <w:rFonts w:ascii="Calibri" w:hAnsi="Calibri"/>
          <w:color w:val="231F20"/>
          <w:spacing w:val="-21"/>
          <w:w w:val="105"/>
          <w:sz w:val="17"/>
        </w:rPr>
        <w:t> </w:t>
      </w:r>
      <w:r>
        <w:rPr>
          <w:rFonts w:ascii="Calibri" w:hAnsi="Calibri"/>
          <w:color w:val="231F20"/>
          <w:w w:val="105"/>
          <w:sz w:val="17"/>
        </w:rPr>
        <w:t>la</w:t>
      </w:r>
      <w:r>
        <w:rPr>
          <w:rFonts w:ascii="Calibri" w:hAnsi="Calibri"/>
          <w:color w:val="231F20"/>
          <w:spacing w:val="-21"/>
          <w:w w:val="105"/>
          <w:sz w:val="17"/>
        </w:rPr>
        <w:t> </w:t>
      </w:r>
      <w:r>
        <w:rPr>
          <w:rFonts w:ascii="Calibri" w:hAnsi="Calibri"/>
          <w:color w:val="231F20"/>
          <w:w w:val="105"/>
          <w:sz w:val="17"/>
        </w:rPr>
        <w:t>emergencia</w:t>
      </w:r>
      <w:r>
        <w:rPr>
          <w:rFonts w:ascii="Calibri" w:hAnsi="Calibri"/>
          <w:color w:val="231F20"/>
          <w:spacing w:val="-21"/>
          <w:w w:val="105"/>
          <w:sz w:val="17"/>
        </w:rPr>
        <w:t> </w:t>
      </w:r>
      <w:r>
        <w:rPr>
          <w:rFonts w:ascii="Calibri" w:hAnsi="Calibri"/>
          <w:color w:val="231F20"/>
          <w:w w:val="105"/>
          <w:sz w:val="17"/>
        </w:rPr>
        <w:t>política</w:t>
      </w:r>
      <w:r>
        <w:rPr>
          <w:rFonts w:ascii="Calibri" w:hAnsi="Calibri"/>
          <w:color w:val="231F20"/>
          <w:spacing w:val="-21"/>
          <w:w w:val="105"/>
          <w:sz w:val="17"/>
        </w:rPr>
        <w:t> </w:t>
      </w:r>
      <w:r>
        <w:rPr>
          <w:rFonts w:ascii="Calibri" w:hAnsi="Calibri"/>
          <w:color w:val="231F20"/>
          <w:w w:val="105"/>
          <w:sz w:val="17"/>
        </w:rPr>
        <w:t>en</w:t>
      </w:r>
      <w:r>
        <w:rPr>
          <w:rFonts w:ascii="Calibri" w:hAnsi="Calibri"/>
          <w:color w:val="231F20"/>
          <w:spacing w:val="-21"/>
          <w:w w:val="105"/>
          <w:sz w:val="17"/>
        </w:rPr>
        <w:t> </w:t>
      </w:r>
      <w:r>
        <w:rPr>
          <w:rFonts w:ascii="Calibri" w:hAnsi="Calibri"/>
          <w:color w:val="231F20"/>
          <w:w w:val="105"/>
          <w:sz w:val="17"/>
        </w:rPr>
        <w:t>Europa</w:t>
      </w:r>
      <w:r>
        <w:rPr>
          <w:rFonts w:ascii="Calibri" w:hAnsi="Calibri"/>
          <w:color w:val="231F20"/>
          <w:spacing w:val="-21"/>
          <w:w w:val="105"/>
          <w:sz w:val="17"/>
        </w:rPr>
        <w:t> </w:t>
      </w:r>
      <w:r>
        <w:rPr>
          <w:rFonts w:ascii="Calibri" w:hAnsi="Calibri"/>
          <w:color w:val="231F20"/>
          <w:w w:val="105"/>
          <w:sz w:val="17"/>
        </w:rPr>
        <w:t>en</w:t>
      </w:r>
      <w:r>
        <w:rPr>
          <w:rFonts w:ascii="Calibri" w:hAnsi="Calibri"/>
          <w:color w:val="231F20"/>
          <w:spacing w:val="-21"/>
          <w:w w:val="105"/>
          <w:sz w:val="17"/>
        </w:rPr>
        <w:t> </w:t>
      </w:r>
      <w:r>
        <w:rPr>
          <w:rFonts w:ascii="Calibri" w:hAnsi="Calibri"/>
          <w:color w:val="231F20"/>
          <w:w w:val="105"/>
          <w:sz w:val="17"/>
        </w:rPr>
        <w:t>2015</w:t>
      </w:r>
      <w:r>
        <w:rPr>
          <w:rFonts w:ascii="Calibri" w:hAnsi="Calibri"/>
          <w:color w:val="231F20"/>
          <w:spacing w:val="-21"/>
          <w:w w:val="105"/>
          <w:sz w:val="17"/>
        </w:rPr>
        <w:t> </w:t>
      </w:r>
      <w:r>
        <w:rPr>
          <w:rFonts w:ascii="Calibri" w:hAnsi="Calibri"/>
          <w:color w:val="231F20"/>
          <w:w w:val="105"/>
          <w:sz w:val="17"/>
        </w:rPr>
        <w:t>por</w:t>
      </w:r>
      <w:r>
        <w:rPr>
          <w:rFonts w:ascii="Calibri" w:hAnsi="Calibri"/>
          <w:color w:val="231F20"/>
          <w:spacing w:val="-21"/>
          <w:w w:val="105"/>
          <w:sz w:val="17"/>
        </w:rPr>
        <w:t> </w:t>
      </w:r>
      <w:r>
        <w:rPr>
          <w:rFonts w:ascii="Calibri" w:hAnsi="Calibri"/>
          <w:color w:val="231F20"/>
          <w:w w:val="105"/>
          <w:sz w:val="17"/>
        </w:rPr>
        <w:t>la</w:t>
      </w:r>
      <w:r>
        <w:rPr>
          <w:rFonts w:ascii="Calibri" w:hAnsi="Calibri"/>
          <w:color w:val="231F20"/>
          <w:spacing w:val="-21"/>
          <w:w w:val="105"/>
          <w:sz w:val="17"/>
        </w:rPr>
        <w:t> </w:t>
      </w:r>
      <w:r>
        <w:rPr>
          <w:rFonts w:ascii="Calibri" w:hAnsi="Calibri"/>
          <w:color w:val="231F20"/>
          <w:w w:val="105"/>
          <w:sz w:val="17"/>
        </w:rPr>
        <w:t>llegada de</w:t>
      </w:r>
      <w:r>
        <w:rPr>
          <w:rFonts w:ascii="Calibri" w:hAnsi="Calibri"/>
          <w:color w:val="231F20"/>
          <w:spacing w:val="-26"/>
          <w:w w:val="105"/>
          <w:sz w:val="17"/>
        </w:rPr>
        <w:t> </w:t>
      </w:r>
      <w:r>
        <w:rPr>
          <w:rFonts w:ascii="Calibri" w:hAnsi="Calibri"/>
          <w:color w:val="231F20"/>
          <w:w w:val="105"/>
          <w:sz w:val="17"/>
        </w:rPr>
        <w:t>refugiados</w:t>
      </w:r>
      <w:r>
        <w:rPr>
          <w:rFonts w:ascii="Calibri" w:hAnsi="Calibri"/>
          <w:color w:val="231F20"/>
          <w:spacing w:val="-26"/>
          <w:w w:val="105"/>
          <w:sz w:val="17"/>
        </w:rPr>
        <w:t> </w:t>
      </w:r>
      <w:r>
        <w:rPr>
          <w:rFonts w:ascii="Calibri" w:hAnsi="Calibri"/>
          <w:color w:val="231F20"/>
          <w:w w:val="105"/>
          <w:sz w:val="17"/>
        </w:rPr>
        <w:t>provenientes</w:t>
      </w:r>
      <w:r>
        <w:rPr>
          <w:rFonts w:ascii="Calibri" w:hAnsi="Calibri"/>
          <w:color w:val="231F20"/>
          <w:spacing w:val="-26"/>
          <w:w w:val="105"/>
          <w:sz w:val="17"/>
        </w:rPr>
        <w:t> </w:t>
      </w:r>
      <w:r>
        <w:rPr>
          <w:rFonts w:ascii="Calibri" w:hAnsi="Calibri"/>
          <w:color w:val="231F20"/>
          <w:w w:val="105"/>
          <w:sz w:val="17"/>
        </w:rPr>
        <w:t>principalmente</w:t>
      </w:r>
      <w:r>
        <w:rPr>
          <w:rFonts w:ascii="Calibri" w:hAnsi="Calibri"/>
          <w:color w:val="231F20"/>
          <w:spacing w:val="-26"/>
          <w:w w:val="105"/>
          <w:sz w:val="17"/>
        </w:rPr>
        <w:t> </w:t>
      </w:r>
      <w:r>
        <w:rPr>
          <w:rFonts w:ascii="Calibri" w:hAnsi="Calibri"/>
          <w:color w:val="231F20"/>
          <w:w w:val="105"/>
          <w:sz w:val="17"/>
        </w:rPr>
        <w:t>de</w:t>
      </w:r>
      <w:r>
        <w:rPr>
          <w:rFonts w:ascii="Calibri" w:hAnsi="Calibri"/>
          <w:color w:val="231F20"/>
          <w:spacing w:val="-26"/>
          <w:w w:val="105"/>
          <w:sz w:val="17"/>
        </w:rPr>
        <w:t> </w:t>
      </w:r>
      <w:r>
        <w:rPr>
          <w:rFonts w:ascii="Calibri" w:hAnsi="Calibri"/>
          <w:color w:val="231F20"/>
          <w:w w:val="105"/>
          <w:sz w:val="17"/>
        </w:rPr>
        <w:t>Siria.</w:t>
      </w:r>
    </w:p>
    <w:p>
      <w:pPr>
        <w:spacing w:line="204" w:lineRule="exact" w:before="0"/>
        <w:ind w:left="117" w:right="101" w:firstLine="0"/>
        <w:jc w:val="both"/>
        <w:rPr>
          <w:rFonts w:ascii="Calibri" w:hAnsi="Calibri"/>
          <w:sz w:val="17"/>
        </w:rPr>
      </w:pPr>
      <w:r>
        <w:rPr>
          <w:rFonts w:ascii="Calibri" w:hAnsi="Calibri"/>
          <w:color w:val="231F20"/>
          <w:position w:val="6"/>
          <w:sz w:val="10"/>
        </w:rPr>
        <w:t>54</w:t>
      </w:r>
      <w:r>
        <w:rPr>
          <w:rFonts w:ascii="Calibri" w:hAnsi="Calibri"/>
          <w:color w:val="231F20"/>
          <w:spacing w:val="8"/>
          <w:position w:val="6"/>
          <w:sz w:val="10"/>
        </w:rPr>
        <w:t> </w:t>
      </w:r>
      <w:r>
        <w:rPr>
          <w:rFonts w:ascii="Calibri" w:hAnsi="Calibri"/>
          <w:color w:val="231F20"/>
          <w:sz w:val="17"/>
        </w:rPr>
        <w:t>I.</w:t>
      </w:r>
      <w:r>
        <w:rPr>
          <w:rFonts w:ascii="Calibri" w:hAnsi="Calibri"/>
          <w:color w:val="231F20"/>
          <w:spacing w:val="-8"/>
          <w:sz w:val="17"/>
        </w:rPr>
        <w:t> </w:t>
      </w:r>
      <w:r>
        <w:rPr>
          <w:rFonts w:ascii="Calibri" w:hAnsi="Calibri"/>
          <w:color w:val="231F20"/>
          <w:sz w:val="17"/>
        </w:rPr>
        <w:t>Covarrubias,</w:t>
      </w:r>
      <w:r>
        <w:rPr>
          <w:rFonts w:ascii="Calibri" w:hAnsi="Calibri"/>
          <w:color w:val="231F20"/>
          <w:spacing w:val="-8"/>
          <w:sz w:val="17"/>
        </w:rPr>
        <w:t> </w:t>
      </w:r>
      <w:r>
        <w:rPr>
          <w:rFonts w:ascii="Calibri" w:hAnsi="Calibri"/>
          <w:i/>
          <w:color w:val="231F20"/>
          <w:sz w:val="17"/>
        </w:rPr>
        <w:t>Los</w:t>
      </w:r>
      <w:r>
        <w:rPr>
          <w:rFonts w:ascii="Calibri" w:hAnsi="Calibri"/>
          <w:i/>
          <w:color w:val="231F20"/>
          <w:spacing w:val="-9"/>
          <w:sz w:val="17"/>
        </w:rPr>
        <w:t> </w:t>
      </w:r>
      <w:r>
        <w:rPr>
          <w:rFonts w:ascii="Calibri" w:hAnsi="Calibri"/>
          <w:i/>
          <w:color w:val="231F20"/>
          <w:sz w:val="17"/>
        </w:rPr>
        <w:t>espejos</w:t>
      </w:r>
      <w:r>
        <w:rPr>
          <w:rFonts w:ascii="Calibri" w:hAnsi="Calibri"/>
          <w:i/>
          <w:color w:val="231F20"/>
          <w:spacing w:val="-9"/>
          <w:sz w:val="17"/>
        </w:rPr>
        <w:t> </w:t>
      </w:r>
      <w:r>
        <w:rPr>
          <w:rFonts w:ascii="Calibri" w:hAnsi="Calibri"/>
          <w:i/>
          <w:color w:val="231F20"/>
          <w:sz w:val="17"/>
        </w:rPr>
        <w:t>de</w:t>
      </w:r>
      <w:r>
        <w:rPr>
          <w:rFonts w:ascii="Calibri" w:hAnsi="Calibri"/>
          <w:i/>
          <w:color w:val="231F20"/>
          <w:spacing w:val="-9"/>
          <w:sz w:val="17"/>
        </w:rPr>
        <w:t> </w:t>
      </w:r>
      <w:r>
        <w:rPr>
          <w:rFonts w:ascii="Calibri" w:hAnsi="Calibri"/>
          <w:i/>
          <w:color w:val="231F20"/>
          <w:sz w:val="17"/>
        </w:rPr>
        <w:t>la</w:t>
      </w:r>
      <w:r>
        <w:rPr>
          <w:rFonts w:ascii="Calibri" w:hAnsi="Calibri"/>
          <w:i/>
          <w:color w:val="231F20"/>
          <w:spacing w:val="-9"/>
          <w:sz w:val="17"/>
        </w:rPr>
        <w:t> </w:t>
      </w:r>
      <w:r>
        <w:rPr>
          <w:rFonts w:ascii="Calibri" w:hAnsi="Calibri"/>
          <w:i/>
          <w:color w:val="231F20"/>
          <w:sz w:val="17"/>
        </w:rPr>
        <w:t>democracia.</w:t>
      </w:r>
      <w:r>
        <w:rPr>
          <w:rFonts w:ascii="Calibri" w:hAnsi="Calibri"/>
          <w:i/>
          <w:color w:val="231F20"/>
          <w:spacing w:val="-9"/>
          <w:sz w:val="17"/>
        </w:rPr>
        <w:t> </w:t>
      </w:r>
      <w:r>
        <w:rPr>
          <w:rFonts w:ascii="Calibri" w:hAnsi="Calibri"/>
          <w:i/>
          <w:color w:val="231F20"/>
          <w:sz w:val="17"/>
        </w:rPr>
        <w:t>Ley,</w:t>
      </w:r>
      <w:r>
        <w:rPr>
          <w:rFonts w:ascii="Calibri" w:hAnsi="Calibri"/>
          <w:i/>
          <w:color w:val="231F20"/>
          <w:spacing w:val="-9"/>
          <w:sz w:val="17"/>
        </w:rPr>
        <w:t> </w:t>
      </w:r>
      <w:r>
        <w:rPr>
          <w:rFonts w:ascii="Calibri" w:hAnsi="Calibri"/>
          <w:i/>
          <w:color w:val="231F20"/>
          <w:sz w:val="17"/>
        </w:rPr>
        <w:t>espacio</w:t>
      </w:r>
      <w:r>
        <w:rPr>
          <w:rFonts w:ascii="Calibri" w:hAnsi="Calibri"/>
          <w:i/>
          <w:color w:val="231F20"/>
          <w:spacing w:val="-9"/>
          <w:sz w:val="17"/>
        </w:rPr>
        <w:t> </w:t>
      </w:r>
      <w:r>
        <w:rPr>
          <w:rFonts w:ascii="Calibri" w:hAnsi="Calibri"/>
          <w:i/>
          <w:color w:val="231F20"/>
          <w:sz w:val="17"/>
        </w:rPr>
        <w:t>político</w:t>
      </w:r>
      <w:r>
        <w:rPr>
          <w:rFonts w:ascii="Calibri" w:hAnsi="Calibri"/>
          <w:i/>
          <w:color w:val="231F20"/>
          <w:spacing w:val="-11"/>
          <w:sz w:val="17"/>
        </w:rPr>
        <w:t> </w:t>
      </w:r>
      <w:r>
        <w:rPr>
          <w:rFonts w:ascii="Calibri" w:hAnsi="Calibri"/>
          <w:i/>
          <w:color w:val="231F20"/>
          <w:sz w:val="17"/>
        </w:rPr>
        <w:t>y</w:t>
      </w:r>
      <w:r>
        <w:rPr>
          <w:rFonts w:ascii="Calibri" w:hAnsi="Calibri"/>
          <w:i/>
          <w:color w:val="231F20"/>
          <w:spacing w:val="-9"/>
          <w:sz w:val="17"/>
        </w:rPr>
        <w:t> </w:t>
      </w:r>
      <w:r>
        <w:rPr>
          <w:rFonts w:ascii="Calibri" w:hAnsi="Calibri"/>
          <w:i/>
          <w:color w:val="231F20"/>
          <w:sz w:val="17"/>
        </w:rPr>
        <w:t>exclusión</w:t>
      </w:r>
      <w:r>
        <w:rPr>
          <w:rFonts w:ascii="Calibri" w:hAnsi="Calibri"/>
          <w:color w:val="231F20"/>
          <w:sz w:val="17"/>
        </w:rPr>
        <w:t>,</w:t>
      </w:r>
      <w:r>
        <w:rPr>
          <w:rFonts w:ascii="Calibri" w:hAnsi="Calibri"/>
          <w:color w:val="231F20"/>
          <w:spacing w:val="-8"/>
          <w:sz w:val="17"/>
        </w:rPr>
        <w:t> </w:t>
      </w:r>
      <w:r>
        <w:rPr>
          <w:rFonts w:ascii="Calibri" w:hAnsi="Calibri"/>
          <w:color w:val="231F20"/>
          <w:sz w:val="17"/>
        </w:rPr>
        <w:t>p.</w:t>
      </w:r>
      <w:r>
        <w:rPr>
          <w:rFonts w:ascii="Calibri" w:hAnsi="Calibri"/>
          <w:color w:val="231F20"/>
          <w:spacing w:val="-8"/>
          <w:sz w:val="17"/>
        </w:rPr>
        <w:t> </w:t>
      </w:r>
      <w:r>
        <w:rPr>
          <w:rFonts w:ascii="Calibri" w:hAnsi="Calibri"/>
          <w:color w:val="231F20"/>
          <w:sz w:val="17"/>
        </w:rPr>
        <w:t>30–32;</w:t>
      </w:r>
      <w:r>
        <w:rPr>
          <w:rFonts w:ascii="Calibri" w:hAnsi="Calibri"/>
          <w:color w:val="231F20"/>
          <w:spacing w:val="-8"/>
          <w:sz w:val="17"/>
        </w:rPr>
        <w:t> </w:t>
      </w:r>
      <w:r>
        <w:rPr>
          <w:rFonts w:ascii="Calibri" w:hAnsi="Calibri"/>
          <w:color w:val="231F20"/>
          <w:sz w:val="17"/>
        </w:rPr>
        <w:t>G.</w:t>
      </w:r>
      <w:r>
        <w:rPr>
          <w:rFonts w:ascii="Calibri" w:hAnsi="Calibri"/>
          <w:color w:val="231F20"/>
          <w:spacing w:val="-8"/>
          <w:sz w:val="17"/>
        </w:rPr>
        <w:t> </w:t>
      </w:r>
      <w:r>
        <w:rPr>
          <w:rFonts w:ascii="Calibri" w:hAnsi="Calibri"/>
          <w:color w:val="231F20"/>
          <w:sz w:val="17"/>
        </w:rPr>
        <w:t>Kessler,</w:t>
      </w:r>
      <w:r>
        <w:rPr>
          <w:rFonts w:ascii="Calibri" w:hAnsi="Calibri"/>
          <w:color w:val="231F20"/>
          <w:spacing w:val="-8"/>
          <w:sz w:val="17"/>
        </w:rPr>
        <w:t> </w:t>
      </w:r>
      <w:r>
        <w:rPr>
          <w:rFonts w:ascii="Calibri" w:hAnsi="Calibri"/>
          <w:i/>
          <w:color w:val="231F20"/>
          <w:sz w:val="17"/>
        </w:rPr>
        <w:t>El </w:t>
      </w:r>
      <w:r>
        <w:rPr>
          <w:rFonts w:ascii="Calibri" w:hAnsi="Calibri"/>
          <w:i/>
          <w:color w:val="231F20"/>
          <w:sz w:val="17"/>
        </w:rPr>
        <w:t>sentimiento de inseguridad. Sociología del temor al delito</w:t>
      </w:r>
      <w:r>
        <w:rPr>
          <w:rFonts w:ascii="Calibri" w:hAnsi="Calibri"/>
          <w:color w:val="231F20"/>
          <w:sz w:val="17"/>
        </w:rPr>
        <w:t>, Buenos Aires, Siglo </w:t>
      </w:r>
      <w:r>
        <w:rPr>
          <w:rFonts w:ascii="Calibri" w:hAnsi="Calibri"/>
          <w:color w:val="231F20"/>
          <w:sz w:val="15"/>
        </w:rPr>
        <w:t>XXI </w:t>
      </w:r>
      <w:r>
        <w:rPr>
          <w:rFonts w:ascii="Calibri" w:hAnsi="Calibri"/>
          <w:color w:val="231F20"/>
          <w:sz w:val="17"/>
        </w:rPr>
        <w:t>Editores, 2009, pp. 21–66;</w:t>
      </w:r>
      <w:r>
        <w:rPr>
          <w:rFonts w:ascii="Calibri" w:hAnsi="Calibri"/>
          <w:color w:val="231F20"/>
          <w:spacing w:val="-15"/>
          <w:sz w:val="17"/>
        </w:rPr>
        <w:t> </w:t>
      </w:r>
      <w:r>
        <w:rPr>
          <w:rFonts w:ascii="Calibri" w:hAnsi="Calibri"/>
          <w:color w:val="231F20"/>
          <w:sz w:val="17"/>
        </w:rPr>
        <w:t>N.</w:t>
      </w:r>
      <w:r>
        <w:rPr>
          <w:rFonts w:ascii="Calibri" w:hAnsi="Calibri"/>
          <w:color w:val="231F20"/>
          <w:spacing w:val="-15"/>
          <w:sz w:val="17"/>
        </w:rPr>
        <w:t> </w:t>
      </w:r>
      <w:r>
        <w:rPr>
          <w:rFonts w:ascii="Calibri" w:hAnsi="Calibri"/>
          <w:color w:val="231F20"/>
          <w:sz w:val="17"/>
        </w:rPr>
        <w:t>Lechner,</w:t>
      </w:r>
      <w:r>
        <w:rPr>
          <w:rFonts w:ascii="Calibri" w:hAnsi="Calibri"/>
          <w:color w:val="231F20"/>
          <w:spacing w:val="-15"/>
          <w:sz w:val="17"/>
        </w:rPr>
        <w:t> </w:t>
      </w:r>
      <w:r>
        <w:rPr>
          <w:rFonts w:ascii="Calibri" w:hAnsi="Calibri"/>
          <w:color w:val="231F20"/>
          <w:sz w:val="17"/>
        </w:rPr>
        <w:t>“Nuestros</w:t>
      </w:r>
      <w:r>
        <w:rPr>
          <w:rFonts w:ascii="Calibri" w:hAnsi="Calibri"/>
          <w:color w:val="231F20"/>
          <w:spacing w:val="-15"/>
          <w:sz w:val="17"/>
        </w:rPr>
        <w:t> </w:t>
      </w:r>
      <w:r>
        <w:rPr>
          <w:rFonts w:ascii="Calibri" w:hAnsi="Calibri"/>
          <w:color w:val="231F20"/>
          <w:sz w:val="17"/>
        </w:rPr>
        <w:t>miedos”,</w:t>
      </w:r>
      <w:r>
        <w:rPr>
          <w:rFonts w:ascii="Calibri" w:hAnsi="Calibri"/>
          <w:color w:val="231F20"/>
          <w:spacing w:val="-15"/>
          <w:sz w:val="17"/>
        </w:rPr>
        <w:t> </w:t>
      </w:r>
      <w:r>
        <w:rPr>
          <w:rFonts w:ascii="Calibri" w:hAnsi="Calibri"/>
          <w:i/>
          <w:color w:val="231F20"/>
          <w:sz w:val="17"/>
        </w:rPr>
        <w:t>Perfiles</w:t>
      </w:r>
      <w:r>
        <w:rPr>
          <w:rFonts w:ascii="Calibri" w:hAnsi="Calibri"/>
          <w:i/>
          <w:color w:val="231F20"/>
          <w:spacing w:val="-16"/>
          <w:sz w:val="17"/>
        </w:rPr>
        <w:t> </w:t>
      </w:r>
      <w:r>
        <w:rPr>
          <w:rFonts w:ascii="Calibri" w:hAnsi="Calibri"/>
          <w:i/>
          <w:color w:val="231F20"/>
          <w:sz w:val="17"/>
        </w:rPr>
        <w:t>latinoamericanos</w:t>
      </w:r>
      <w:r>
        <w:rPr>
          <w:rFonts w:ascii="Calibri" w:hAnsi="Calibri"/>
          <w:color w:val="231F20"/>
          <w:sz w:val="17"/>
        </w:rPr>
        <w:t>,</w:t>
      </w:r>
      <w:r>
        <w:rPr>
          <w:rFonts w:ascii="Calibri" w:hAnsi="Calibri"/>
          <w:color w:val="231F20"/>
          <w:spacing w:val="-15"/>
          <w:sz w:val="17"/>
        </w:rPr>
        <w:t> </w:t>
      </w:r>
      <w:r>
        <w:rPr>
          <w:rFonts w:ascii="Calibri" w:hAnsi="Calibri"/>
          <w:color w:val="231F20"/>
          <w:spacing w:val="-6"/>
          <w:sz w:val="17"/>
        </w:rPr>
        <w:t>7,</w:t>
      </w:r>
      <w:r>
        <w:rPr>
          <w:rFonts w:ascii="Calibri" w:hAnsi="Calibri"/>
          <w:color w:val="231F20"/>
          <w:spacing w:val="-15"/>
          <w:sz w:val="17"/>
        </w:rPr>
        <w:t> </w:t>
      </w:r>
      <w:r>
        <w:rPr>
          <w:rFonts w:ascii="Calibri" w:hAnsi="Calibri"/>
          <w:color w:val="231F20"/>
          <w:sz w:val="17"/>
        </w:rPr>
        <w:t>13,</w:t>
      </w:r>
      <w:r>
        <w:rPr>
          <w:rFonts w:ascii="Calibri" w:hAnsi="Calibri"/>
          <w:color w:val="231F20"/>
          <w:spacing w:val="-15"/>
          <w:sz w:val="17"/>
        </w:rPr>
        <w:t> </w:t>
      </w:r>
      <w:r>
        <w:rPr>
          <w:rFonts w:ascii="Calibri" w:hAnsi="Calibri"/>
          <w:color w:val="231F20"/>
          <w:sz w:val="17"/>
        </w:rPr>
        <w:t>1998,</w:t>
      </w:r>
      <w:r>
        <w:rPr>
          <w:rFonts w:ascii="Calibri" w:hAnsi="Calibri"/>
          <w:color w:val="231F20"/>
          <w:spacing w:val="-15"/>
          <w:sz w:val="17"/>
        </w:rPr>
        <w:t> </w:t>
      </w:r>
      <w:r>
        <w:rPr>
          <w:rFonts w:ascii="Calibri" w:hAnsi="Calibri"/>
          <w:color w:val="231F20"/>
          <w:sz w:val="17"/>
        </w:rPr>
        <w:t>pp.</w:t>
      </w:r>
      <w:r>
        <w:rPr>
          <w:rFonts w:ascii="Calibri" w:hAnsi="Calibri"/>
          <w:color w:val="231F20"/>
          <w:spacing w:val="-15"/>
          <w:sz w:val="17"/>
        </w:rPr>
        <w:t> </w:t>
      </w:r>
      <w:r>
        <w:rPr>
          <w:rFonts w:ascii="Calibri" w:hAnsi="Calibri"/>
          <w:color w:val="231F20"/>
          <w:sz w:val="17"/>
        </w:rPr>
        <w:t>179–198.</w:t>
      </w:r>
    </w:p>
    <w:p>
      <w:pPr>
        <w:spacing w:line="206" w:lineRule="exact" w:before="1"/>
        <w:ind w:left="117" w:right="0" w:firstLine="0"/>
        <w:jc w:val="both"/>
        <w:rPr>
          <w:rFonts w:ascii="Calibri" w:hAnsi="Calibri"/>
          <w:sz w:val="17"/>
        </w:rPr>
      </w:pPr>
      <w:r>
        <w:rPr>
          <w:rFonts w:ascii="Calibri" w:hAnsi="Calibri"/>
          <w:color w:val="231F20"/>
          <w:position w:val="6"/>
          <w:sz w:val="10"/>
        </w:rPr>
        <w:t>55  </w:t>
      </w:r>
      <w:r>
        <w:rPr>
          <w:rFonts w:ascii="Calibri" w:hAnsi="Calibri"/>
          <w:color w:val="231F20"/>
          <w:sz w:val="17"/>
        </w:rPr>
        <w:t>M. Serrano, “Crimen transnacional organizado y seguridad internacional: cambio y   continuidad“,</w:t>
      </w:r>
    </w:p>
    <w:p>
      <w:pPr>
        <w:spacing w:line="235" w:lineRule="auto" w:before="1"/>
        <w:ind w:left="117" w:right="101" w:firstLine="0"/>
        <w:jc w:val="both"/>
        <w:rPr>
          <w:rFonts w:ascii="Calibri" w:hAnsi="Calibri"/>
          <w:sz w:val="17"/>
        </w:rPr>
      </w:pPr>
      <w:r>
        <w:rPr>
          <w:rFonts w:ascii="Calibri" w:hAnsi="Calibri"/>
          <w:color w:val="231F20"/>
          <w:sz w:val="17"/>
        </w:rPr>
        <w:t>M. Berdal y M. Serrano (coords), </w:t>
      </w:r>
      <w:r>
        <w:rPr>
          <w:rFonts w:ascii="Calibri" w:hAnsi="Calibri"/>
          <w:i/>
          <w:color w:val="231F20"/>
          <w:sz w:val="17"/>
        </w:rPr>
        <w:t>Crimen transnacional organizado y seguridad internacional. Cam- </w:t>
      </w:r>
      <w:r>
        <w:rPr>
          <w:rFonts w:ascii="Calibri" w:hAnsi="Calibri"/>
          <w:i/>
          <w:color w:val="231F20"/>
          <w:sz w:val="17"/>
        </w:rPr>
        <w:t>bio y continuidad</w:t>
      </w:r>
      <w:r>
        <w:rPr>
          <w:rFonts w:ascii="Calibri" w:hAnsi="Calibri"/>
          <w:color w:val="231F20"/>
          <w:sz w:val="17"/>
        </w:rPr>
        <w:t>, México, Fondo de Cultura Económica. 2005, pp. 27–61.</w:t>
      </w:r>
    </w:p>
    <w:p>
      <w:pPr>
        <w:spacing w:after="0" w:line="235" w:lineRule="auto"/>
        <w:jc w:val="both"/>
        <w:rPr>
          <w:rFonts w:ascii="Calibri" w:hAnsi="Calibri"/>
          <w:sz w:val="17"/>
        </w:rPr>
        <w:sectPr>
          <w:type w:val="continuous"/>
          <w:pgSz w:w="9640" w:h="13890"/>
          <w:pgMar w:top="0" w:bottom="0" w:left="1300" w:right="1200"/>
        </w:sectPr>
      </w:pPr>
    </w:p>
    <w:p>
      <w:pPr>
        <w:pStyle w:val="BodyText"/>
        <w:spacing w:line="247" w:lineRule="auto" w:before="107"/>
        <w:ind w:left="103" w:right="115"/>
        <w:jc w:val="both"/>
      </w:pPr>
      <w:r>
        <w:rPr>
          <w:color w:val="231F20"/>
        </w:rPr>
        <w:t>La tesis de que el incremento de los espacios sociales y políticos de la inseguridad son efecto de la desestructuración del Estado a causa de la  ola neoconservadora a partir de mediados de los años setenta y que se explaya con fuerza (por ejemplo, en América Latina y en Europa del Este) hasta alcanzar su punto de inflexión hacia finales de los años ochenta es relativamente débil, tanto como aquella otra tesis que sugiere que la des- estructuración del orden estatal fue en realidad una necesidad con miras  a la articulación efectiva entre el mercado nacional con el global y frente  a la expansión de las fuentes tanto de legitimidad como de poder que la llamada globalización conllevaba en sus diversos procesos de integración  y fragmentación económica y</w:t>
      </w:r>
      <w:r>
        <w:rPr>
          <w:color w:val="231F20"/>
          <w:spacing w:val="6"/>
        </w:rPr>
        <w:t> </w:t>
      </w:r>
      <w:r>
        <w:rPr>
          <w:color w:val="231F20"/>
        </w:rPr>
        <w:t>social.</w:t>
      </w:r>
    </w:p>
    <w:p>
      <w:pPr>
        <w:pStyle w:val="BodyText"/>
        <w:spacing w:line="247" w:lineRule="auto"/>
        <w:ind w:left="103" w:right="114" w:firstLine="566"/>
        <w:jc w:val="both"/>
      </w:pPr>
      <w:r>
        <w:rPr>
          <w:color w:val="231F20"/>
        </w:rPr>
        <w:t>Una hipótesis alternativa afirma que las transformaciones recientes en el orden político democrático han permitido el anidamiento de fenóme- nos, algunos muy explosivos, que atacan y contradicen los principios</w:t>
      </w:r>
      <w:r>
        <w:rPr>
          <w:color w:val="231F20"/>
          <w:spacing w:val="-25"/>
        </w:rPr>
        <w:t> </w:t>
      </w:r>
      <w:r>
        <w:rPr>
          <w:color w:val="231F20"/>
        </w:rPr>
        <w:t>cons- titucionales y legales que permiten la reproducción de la democracia, pero paradójicamente nacen en el interior de la fragmentación (dispersión) de los procesos democráticos, lo que supone decir que estamos en presencia de una red ampliada de los lugares de interacción entre actores políticos con aquellos económicos y sociales, y en cuyas intersecciones</w:t>
      </w:r>
      <w:r>
        <w:rPr>
          <w:color w:val="231F20"/>
          <w:spacing w:val="-21"/>
        </w:rPr>
        <w:t> </w:t>
      </w:r>
      <w:r>
        <w:rPr>
          <w:color w:val="231F20"/>
        </w:rPr>
        <w:t>precisamen- te la inseguridad y la criminalidad se vuelven las bisagras que permiten la movilidad de un campo de fuerza al otro y viceversa</w:t>
      </w:r>
      <w:r>
        <w:rPr>
          <w:color w:val="231F20"/>
          <w:position w:val="7"/>
          <w:sz w:val="12"/>
        </w:rPr>
        <w:t>56</w:t>
      </w:r>
      <w:r>
        <w:rPr>
          <w:color w:val="231F20"/>
        </w:rPr>
        <w:t>. Dicho en otras pa- labras, las nuevas formas de soberanía tienen un origen en la emergencia de los campos de fuerza de los fenómenos de la inseguridad que están presentes</w:t>
      </w:r>
      <w:r>
        <w:rPr>
          <w:color w:val="231F20"/>
          <w:spacing w:val="-10"/>
        </w:rPr>
        <w:t> </w:t>
      </w:r>
      <w:r>
        <w:rPr>
          <w:color w:val="231F20"/>
        </w:rPr>
        <w:t>en</w:t>
      </w:r>
      <w:r>
        <w:rPr>
          <w:color w:val="231F20"/>
          <w:spacing w:val="-10"/>
        </w:rPr>
        <w:t> </w:t>
      </w:r>
      <w:r>
        <w:rPr>
          <w:color w:val="231F20"/>
        </w:rPr>
        <w:t>contextos</w:t>
      </w:r>
      <w:r>
        <w:rPr>
          <w:color w:val="231F20"/>
          <w:spacing w:val="-10"/>
        </w:rPr>
        <w:t> </w:t>
      </w:r>
      <w:r>
        <w:rPr>
          <w:color w:val="231F20"/>
        </w:rPr>
        <w:t>de</w:t>
      </w:r>
      <w:r>
        <w:rPr>
          <w:color w:val="231F20"/>
          <w:spacing w:val="-10"/>
        </w:rPr>
        <w:t> </w:t>
      </w:r>
      <w:r>
        <w:rPr>
          <w:color w:val="231F20"/>
        </w:rPr>
        <w:t>extrema</w:t>
      </w:r>
      <w:r>
        <w:rPr>
          <w:color w:val="231F20"/>
          <w:spacing w:val="-10"/>
        </w:rPr>
        <w:t> </w:t>
      </w:r>
      <w:r>
        <w:rPr>
          <w:color w:val="231F20"/>
        </w:rPr>
        <w:t>fluidez</w:t>
      </w:r>
      <w:r>
        <w:rPr>
          <w:color w:val="231F20"/>
          <w:spacing w:val="-10"/>
        </w:rPr>
        <w:t> </w:t>
      </w:r>
      <w:r>
        <w:rPr>
          <w:color w:val="231F20"/>
        </w:rPr>
        <w:t>social.</w:t>
      </w:r>
      <w:r>
        <w:rPr>
          <w:color w:val="231F20"/>
          <w:spacing w:val="-10"/>
        </w:rPr>
        <w:t> </w:t>
      </w:r>
      <w:r>
        <w:rPr>
          <w:color w:val="231F20"/>
        </w:rPr>
        <w:t>Si</w:t>
      </w:r>
      <w:r>
        <w:rPr>
          <w:color w:val="231F20"/>
          <w:spacing w:val="-10"/>
        </w:rPr>
        <w:t> </w:t>
      </w:r>
      <w:r>
        <w:rPr>
          <w:color w:val="231F20"/>
        </w:rPr>
        <w:t>hacemos</w:t>
      </w:r>
      <w:r>
        <w:rPr>
          <w:color w:val="231F20"/>
          <w:spacing w:val="-10"/>
        </w:rPr>
        <w:t> </w:t>
      </w:r>
      <w:r>
        <w:rPr>
          <w:color w:val="231F20"/>
        </w:rPr>
        <w:t>una</w:t>
      </w:r>
      <w:r>
        <w:rPr>
          <w:color w:val="231F20"/>
          <w:spacing w:val="-10"/>
        </w:rPr>
        <w:t> </w:t>
      </w:r>
      <w:r>
        <w:rPr>
          <w:color w:val="231F20"/>
        </w:rPr>
        <w:t>analogía, se puede sugerir que esta situación es similar a la que observamos en la trayectoria que siguió la evolución histórica del Estado moderno en los ini- cios de su proceso de enganchamiento de la soberanía en la relación que establecían quienes la representaban con el cuerpo social que permitía la reproducción del </w:t>
      </w:r>
      <w:r>
        <w:rPr>
          <w:rFonts w:ascii="Arial" w:hAnsi="Arial"/>
          <w:i/>
          <w:color w:val="231F20"/>
        </w:rPr>
        <w:t>lugar </w:t>
      </w:r>
      <w:r>
        <w:rPr>
          <w:color w:val="231F20"/>
        </w:rPr>
        <w:t>de la soberanía, que en este caso quedaba supedi- tado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relación</w:t>
      </w:r>
      <w:r>
        <w:rPr>
          <w:color w:val="231F20"/>
          <w:spacing w:val="-6"/>
        </w:rPr>
        <w:t> </w:t>
      </w:r>
      <w:r>
        <w:rPr>
          <w:color w:val="231F20"/>
        </w:rPr>
        <w:t>misma</w:t>
      </w:r>
      <w:r>
        <w:rPr>
          <w:color w:val="231F20"/>
          <w:spacing w:val="-6"/>
        </w:rPr>
        <w:t> </w:t>
      </w:r>
      <w:r>
        <w:rPr>
          <w:color w:val="231F20"/>
        </w:rPr>
        <w:t>y</w:t>
      </w:r>
      <w:r>
        <w:rPr>
          <w:color w:val="231F20"/>
          <w:spacing w:val="-6"/>
        </w:rPr>
        <w:t> </w:t>
      </w:r>
      <w:r>
        <w:rPr>
          <w:color w:val="231F20"/>
        </w:rPr>
        <w:t>no</w:t>
      </w:r>
      <w:r>
        <w:rPr>
          <w:color w:val="231F20"/>
          <w:spacing w:val="-6"/>
        </w:rPr>
        <w:t> </w:t>
      </w:r>
      <w:r>
        <w:rPr>
          <w:color w:val="231F20"/>
        </w:rPr>
        <w:t>a</w:t>
      </w:r>
      <w:r>
        <w:rPr>
          <w:color w:val="231F20"/>
          <w:spacing w:val="-6"/>
        </w:rPr>
        <w:t> </w:t>
      </w:r>
      <w:r>
        <w:rPr>
          <w:color w:val="231F20"/>
        </w:rPr>
        <w:t>sus</w:t>
      </w:r>
      <w:r>
        <w:rPr>
          <w:color w:val="231F20"/>
          <w:spacing w:val="-6"/>
        </w:rPr>
        <w:t> </w:t>
      </w:r>
      <w:r>
        <w:rPr>
          <w:color w:val="231F20"/>
        </w:rPr>
        <w:t>componentes</w:t>
      </w:r>
      <w:r>
        <w:rPr>
          <w:color w:val="231F20"/>
          <w:position w:val="7"/>
          <w:sz w:val="12"/>
        </w:rPr>
        <w:t>57</w:t>
      </w:r>
      <w:r>
        <w:rPr>
          <w:color w:val="231F20"/>
          <w:spacing w:val="-3"/>
          <w:position w:val="7"/>
          <w:sz w:val="12"/>
        </w:rPr>
        <w:t> </w:t>
      </w:r>
      <w:r>
        <w:rPr>
          <w:color w:val="231F20"/>
          <w:position w:val="7"/>
          <w:sz w:val="12"/>
        </w:rPr>
        <w:t>58</w:t>
      </w:r>
      <w:r>
        <w:rPr>
          <w:color w:val="231F20"/>
        </w:rPr>
        <w:t>.</w:t>
      </w:r>
    </w:p>
    <w:p>
      <w:pPr>
        <w:pStyle w:val="BodyText"/>
        <w:spacing w:line="247" w:lineRule="auto"/>
        <w:ind w:left="103" w:right="115" w:firstLine="566"/>
        <w:jc w:val="both"/>
      </w:pPr>
      <w:r>
        <w:rPr>
          <w:color w:val="231F20"/>
          <w:spacing w:val="-4"/>
        </w:rPr>
        <w:t>Tomemos </w:t>
      </w:r>
      <w:r>
        <w:rPr>
          <w:color w:val="231F20"/>
        </w:rPr>
        <w:t>ejemplo final, el caso mexicano en los últimos tres lustros. En el país, el fenómeno del crimen organizado ha erosionado la confianza en</w:t>
      </w:r>
      <w:r>
        <w:rPr>
          <w:color w:val="231F20"/>
          <w:spacing w:val="-6"/>
        </w:rPr>
        <w:t> </w:t>
      </w:r>
      <w:r>
        <w:rPr>
          <w:color w:val="231F20"/>
        </w:rPr>
        <w:t>las</w:t>
      </w:r>
      <w:r>
        <w:rPr>
          <w:color w:val="231F20"/>
          <w:spacing w:val="-6"/>
        </w:rPr>
        <w:t> </w:t>
      </w:r>
      <w:r>
        <w:rPr>
          <w:color w:val="231F20"/>
        </w:rPr>
        <w:t>respuestas</w:t>
      </w:r>
      <w:r>
        <w:rPr>
          <w:color w:val="231F20"/>
          <w:spacing w:val="-6"/>
        </w:rPr>
        <w:t> </w:t>
      </w:r>
      <w:r>
        <w:rPr>
          <w:color w:val="231F20"/>
        </w:rPr>
        <w:t>institucionales</w:t>
      </w:r>
      <w:r>
        <w:rPr>
          <w:color w:val="231F20"/>
          <w:spacing w:val="-6"/>
        </w:rPr>
        <w:t> </w:t>
      </w:r>
      <w:r>
        <w:rPr>
          <w:color w:val="231F20"/>
        </w:rPr>
        <w:t>a</w:t>
      </w:r>
      <w:r>
        <w:rPr>
          <w:color w:val="231F20"/>
          <w:spacing w:val="-6"/>
        </w:rPr>
        <w:t> </w:t>
      </w:r>
      <w:r>
        <w:rPr>
          <w:color w:val="231F20"/>
        </w:rPr>
        <w:t>problemas</w:t>
      </w:r>
      <w:r>
        <w:rPr>
          <w:color w:val="231F20"/>
          <w:spacing w:val="-6"/>
        </w:rPr>
        <w:t> </w:t>
      </w:r>
      <w:r>
        <w:rPr>
          <w:color w:val="231F20"/>
        </w:rPr>
        <w:t>de</w:t>
      </w:r>
      <w:r>
        <w:rPr>
          <w:color w:val="231F20"/>
          <w:spacing w:val="-6"/>
        </w:rPr>
        <w:t> </w:t>
      </w:r>
      <w:r>
        <w:rPr>
          <w:color w:val="231F20"/>
        </w:rPr>
        <w:t>seguridad</w:t>
      </w:r>
      <w:r>
        <w:rPr>
          <w:color w:val="231F20"/>
          <w:spacing w:val="-6"/>
        </w:rPr>
        <w:t> </w:t>
      </w:r>
      <w:r>
        <w:rPr>
          <w:color w:val="231F20"/>
        </w:rPr>
        <w:t>social</w:t>
      </w:r>
      <w:r>
        <w:rPr>
          <w:color w:val="231F20"/>
          <w:spacing w:val="-6"/>
        </w:rPr>
        <w:t> </w:t>
      </w:r>
      <w:r>
        <w:rPr>
          <w:color w:val="231F20"/>
        </w:rPr>
        <w:t>y</w:t>
      </w:r>
      <w:r>
        <w:rPr>
          <w:color w:val="231F20"/>
          <w:spacing w:val="-6"/>
        </w:rPr>
        <w:t> </w:t>
      </w:r>
      <w:r>
        <w:rPr>
          <w:color w:val="231F20"/>
        </w:rPr>
        <w:t>pública, sobre todo en regiones (Guerrero, Michoacán, </w:t>
      </w:r>
      <w:r>
        <w:rPr>
          <w:color w:val="231F20"/>
          <w:spacing w:val="-3"/>
        </w:rPr>
        <w:t>Tamaulipas, </w:t>
      </w:r>
      <w:r>
        <w:rPr>
          <w:color w:val="231F20"/>
        </w:rPr>
        <w:t>Morelos y</w:t>
      </w:r>
      <w:r>
        <w:rPr>
          <w:color w:val="231F20"/>
          <w:spacing w:val="-6"/>
        </w:rPr>
        <w:t> </w:t>
      </w:r>
      <w:r>
        <w:rPr>
          <w:color w:val="231F20"/>
          <w:spacing w:val="-3"/>
        </w:rPr>
        <w:t>Vera-</w:t>
      </w:r>
    </w:p>
    <w:p>
      <w:pPr>
        <w:pStyle w:val="BodyText"/>
        <w:spacing w:before="10"/>
        <w:rPr>
          <w:sz w:val="27"/>
        </w:rPr>
      </w:pPr>
      <w:r>
        <w:rPr/>
        <w:pict>
          <v:line style="position:absolute;mso-position-horizontal-relative:page;mso-position-vertical-relative:paragraph;z-index:6976;mso-wrap-distance-left:0;mso-wrap-distance-right:0" from="65.1968pt,18.906984pt" to="178.5828pt,18.906984pt" stroked="true" strokeweight=".3pt" strokecolor="#231f20">
            <w10:wrap type="topAndBottom"/>
          </v:line>
        </w:pict>
      </w:r>
    </w:p>
    <w:p>
      <w:pPr>
        <w:spacing w:line="204" w:lineRule="exact" w:before="8"/>
        <w:ind w:left="103" w:right="115" w:firstLine="0"/>
        <w:jc w:val="both"/>
        <w:rPr>
          <w:rFonts w:ascii="Calibri" w:hAnsi="Calibri"/>
          <w:sz w:val="17"/>
        </w:rPr>
      </w:pPr>
      <w:r>
        <w:rPr>
          <w:rFonts w:ascii="Calibri" w:hAnsi="Calibri"/>
          <w:color w:val="231F20"/>
          <w:position w:val="6"/>
          <w:sz w:val="10"/>
        </w:rPr>
        <w:t>56 </w:t>
      </w:r>
      <w:r>
        <w:rPr>
          <w:rFonts w:ascii="Calibri" w:hAnsi="Calibri"/>
          <w:color w:val="231F20"/>
          <w:sz w:val="17"/>
        </w:rPr>
        <w:t>R. Ocampo Alcántar, I. Covarrubias y J. C. Cruz Revueltas, “(In)seguridad y política. pasajes y ámbitos de discusión”, R. Ocampo Alcántar, I. Covarrubias y J. C. Cruz Revueltas (coords), </w:t>
      </w:r>
      <w:r>
        <w:rPr>
          <w:rFonts w:ascii="Calibri" w:hAnsi="Calibri"/>
          <w:i/>
          <w:color w:val="231F20"/>
          <w:sz w:val="17"/>
        </w:rPr>
        <w:t>Estado, </w:t>
      </w:r>
      <w:r>
        <w:rPr>
          <w:rFonts w:ascii="Calibri" w:hAnsi="Calibri"/>
          <w:i/>
          <w:color w:val="231F20"/>
          <w:sz w:val="17"/>
        </w:rPr>
        <w:t>seguridad pública y criminalidades. Debates recientes</w:t>
      </w:r>
      <w:r>
        <w:rPr>
          <w:rFonts w:ascii="Calibri" w:hAnsi="Calibri"/>
          <w:color w:val="231F20"/>
          <w:sz w:val="17"/>
        </w:rPr>
        <w:t>, México, Universidad Autónoma de Sinaloa– Publicaciones Cruz, 2013, pp. 7–41; E. Stepanova,”El negocio de las drogas ilícitas y los conflictos armados: alcance y límites de sus vínculos”, J. G. Tokatlian (comp), D</w:t>
      </w:r>
      <w:r>
        <w:rPr>
          <w:rFonts w:ascii="Calibri" w:hAnsi="Calibri"/>
          <w:i/>
          <w:color w:val="231F20"/>
          <w:sz w:val="17"/>
        </w:rPr>
        <w:t>rogas y prohibición. Una vieja </w:t>
      </w:r>
      <w:r>
        <w:rPr>
          <w:rFonts w:ascii="Calibri" w:hAnsi="Calibri"/>
          <w:i/>
          <w:color w:val="231F20"/>
          <w:sz w:val="17"/>
        </w:rPr>
        <w:t>guerra, un nuevo debate</w:t>
      </w:r>
      <w:r>
        <w:rPr>
          <w:rFonts w:ascii="Calibri" w:hAnsi="Calibri"/>
          <w:color w:val="231F20"/>
          <w:sz w:val="17"/>
        </w:rPr>
        <w:t>, Buenos Aires, Libros del Zorzal, 2010, pp. 315–319.</w:t>
      </w:r>
    </w:p>
    <w:p>
      <w:pPr>
        <w:spacing w:line="204" w:lineRule="exact" w:before="0"/>
        <w:ind w:left="103" w:right="115" w:firstLine="0"/>
        <w:jc w:val="both"/>
        <w:rPr>
          <w:rFonts w:ascii="Calibri"/>
          <w:sz w:val="17"/>
        </w:rPr>
      </w:pPr>
      <w:r>
        <w:rPr>
          <w:rFonts w:ascii="Calibri"/>
          <w:color w:val="231F20"/>
          <w:position w:val="6"/>
          <w:sz w:val="10"/>
        </w:rPr>
        <w:t>57 </w:t>
      </w:r>
      <w:r>
        <w:rPr>
          <w:rFonts w:ascii="Calibri"/>
          <w:color w:val="231F20"/>
          <w:sz w:val="17"/>
        </w:rPr>
        <w:t>Q. Skinner, </w:t>
      </w:r>
      <w:r>
        <w:rPr>
          <w:rFonts w:ascii="Calibri"/>
          <w:i/>
          <w:color w:val="231F20"/>
          <w:sz w:val="17"/>
        </w:rPr>
        <w:t>Visions of Politics. Volumen 2: Renaissance Virtues</w:t>
      </w:r>
      <w:r>
        <w:rPr>
          <w:rFonts w:ascii="Calibri"/>
          <w:color w:val="231F20"/>
          <w:sz w:val="17"/>
        </w:rPr>
        <w:t>, Cambridge, Cambridge University Press, 2002, p. 410.</w:t>
      </w:r>
    </w:p>
    <w:p>
      <w:pPr>
        <w:spacing w:before="1"/>
        <w:ind w:left="103" w:right="0" w:firstLine="0"/>
        <w:jc w:val="both"/>
        <w:rPr>
          <w:rFonts w:ascii="Calibri" w:hAnsi="Calibri"/>
          <w:sz w:val="17"/>
        </w:rPr>
      </w:pPr>
      <w:r>
        <w:rPr>
          <w:rFonts w:ascii="Calibri" w:hAnsi="Calibri"/>
          <w:color w:val="231F20"/>
          <w:position w:val="6"/>
          <w:sz w:val="10"/>
        </w:rPr>
        <w:t>58  </w:t>
      </w:r>
      <w:r>
        <w:rPr>
          <w:rFonts w:ascii="Calibri" w:hAnsi="Calibri"/>
          <w:color w:val="231F20"/>
          <w:sz w:val="17"/>
        </w:rPr>
        <w:t>Skinner dice: “[…] the union itself remains the seat of sovereignty” (Skinner, p.   410).</w:t>
      </w:r>
    </w:p>
    <w:p>
      <w:pPr>
        <w:pStyle w:val="BodyText"/>
        <w:rPr>
          <w:rFonts w:ascii="Calibri"/>
          <w:sz w:val="20"/>
        </w:rPr>
      </w:pPr>
    </w:p>
    <w:p>
      <w:pPr>
        <w:pStyle w:val="BodyText"/>
        <w:spacing w:before="9"/>
        <w:rPr>
          <w:rFonts w:ascii="Calibri"/>
          <w:sz w:val="27"/>
        </w:rPr>
      </w:pPr>
    </w:p>
    <w:p>
      <w:pPr>
        <w:tabs>
          <w:tab w:pos="1331" w:val="left" w:leader="none"/>
        </w:tabs>
        <w:spacing w:before="68"/>
        <w:ind w:left="226" w:right="0" w:firstLine="0"/>
        <w:jc w:val="left"/>
        <w:rPr>
          <w:rFonts w:ascii="Calibri"/>
          <w:sz w:val="16"/>
        </w:rPr>
      </w:pPr>
      <w:r>
        <w:rPr/>
        <w:pict>
          <v:group style="position:absolute;margin-left:98.787804pt;margin-top:-3.358812pt;width:20.4pt;height:43pt;mso-position-horizontal-relative:page;mso-position-vertical-relative:paragraph;z-index:-168400"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position w:val="-4"/>
          <w:sz w:val="20"/>
        </w:rPr>
        <w:t>134</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244"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704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"EL AFUERA SIEMPRE ES ADENTRO”. TENSIONES Y TRANSFORMACIONES RECIENTES</w:t>
      </w:r>
    </w:p>
    <w:p>
      <w:pPr>
        <w:spacing w:line="198" w:lineRule="exact" w:before="0"/>
        <w:ind w:left="2835" w:right="-7" w:firstLine="0"/>
        <w:jc w:val="left"/>
        <w:rPr>
          <w:rFonts w:ascii="Lucida Sans Unicode" w:hAnsi="Lucida Sans Unicode"/>
          <w:sz w:val="14"/>
        </w:rPr>
      </w:pPr>
      <w:r>
        <w:rPr>
          <w:rFonts w:ascii="Lucida Sans Unicode" w:hAnsi="Lucida Sans Unicode"/>
          <w:color w:val="6D6E71"/>
          <w:w w:val="90"/>
          <w:sz w:val="14"/>
        </w:rPr>
        <w:t>EN</w:t>
      </w:r>
      <w:r>
        <w:rPr>
          <w:rFonts w:ascii="Lucida Sans Unicode" w:hAnsi="Lucida Sans Unicode"/>
          <w:color w:val="6D6E71"/>
          <w:spacing w:val="-10"/>
          <w:w w:val="90"/>
          <w:sz w:val="14"/>
        </w:rPr>
        <w:t> </w:t>
      </w:r>
      <w:r>
        <w:rPr>
          <w:rFonts w:ascii="Lucida Sans Unicode" w:hAnsi="Lucida Sans Unicode"/>
          <w:color w:val="6D6E71"/>
          <w:w w:val="90"/>
          <w:sz w:val="14"/>
        </w:rPr>
        <w:t>EL</w:t>
      </w:r>
      <w:r>
        <w:rPr>
          <w:rFonts w:ascii="Lucida Sans Unicode" w:hAnsi="Lucida Sans Unicode"/>
          <w:color w:val="6D6E71"/>
          <w:spacing w:val="-10"/>
          <w:w w:val="90"/>
          <w:sz w:val="14"/>
        </w:rPr>
        <w:t> </w:t>
      </w:r>
      <w:r>
        <w:rPr>
          <w:rFonts w:ascii="Lucida Sans Unicode" w:hAnsi="Lucida Sans Unicode"/>
          <w:color w:val="6D6E71"/>
          <w:w w:val="90"/>
          <w:sz w:val="14"/>
        </w:rPr>
        <w:t>ESPACIO</w:t>
      </w:r>
      <w:r>
        <w:rPr>
          <w:rFonts w:ascii="Lucida Sans Unicode" w:hAnsi="Lucida Sans Unicode"/>
          <w:color w:val="6D6E71"/>
          <w:spacing w:val="-10"/>
          <w:w w:val="90"/>
          <w:sz w:val="14"/>
        </w:rPr>
        <w:t> </w:t>
      </w:r>
      <w:r>
        <w:rPr>
          <w:rFonts w:ascii="Lucida Sans Unicode" w:hAnsi="Lucida Sans Unicode"/>
          <w:color w:val="6D6E71"/>
          <w:w w:val="90"/>
          <w:sz w:val="14"/>
        </w:rPr>
        <w:t>POLÍTICO</w:t>
      </w:r>
      <w:r>
        <w:rPr>
          <w:rFonts w:ascii="Lucida Sans Unicode" w:hAnsi="Lucida Sans Unicode"/>
          <w:color w:val="6D6E71"/>
          <w:spacing w:val="-10"/>
          <w:w w:val="90"/>
          <w:sz w:val="14"/>
        </w:rPr>
        <w:t> </w:t>
      </w:r>
      <w:r>
        <w:rPr>
          <w:rFonts w:ascii="Lucida Sans Unicode" w:hAnsi="Lucida Sans Unicode"/>
          <w:color w:val="6D6E71"/>
          <w:w w:val="90"/>
          <w:sz w:val="14"/>
        </w:rPr>
        <w:t>DEL</w:t>
      </w:r>
      <w:r>
        <w:rPr>
          <w:rFonts w:ascii="Lucida Sans Unicode" w:hAnsi="Lucida Sans Unicode"/>
          <w:color w:val="6D6E71"/>
          <w:spacing w:val="-10"/>
          <w:w w:val="90"/>
          <w:sz w:val="14"/>
        </w:rPr>
        <w:t> </w:t>
      </w:r>
      <w:r>
        <w:rPr>
          <w:rFonts w:ascii="Lucida Sans Unicode" w:hAnsi="Lucida Sans Unicode"/>
          <w:color w:val="6D6E71"/>
          <w:w w:val="90"/>
          <w:sz w:val="14"/>
        </w:rPr>
        <w:t>ESTADO</w:t>
      </w:r>
      <w:r>
        <w:rPr>
          <w:rFonts w:ascii="Lucida Sans Unicode" w:hAnsi="Lucida Sans Unicode"/>
          <w:color w:val="6D6E71"/>
          <w:spacing w:val="-10"/>
          <w:w w:val="90"/>
          <w:sz w:val="14"/>
        </w:rPr>
        <w:t> </w:t>
      </w:r>
      <w:r>
        <w:rPr>
          <w:rFonts w:ascii="Lucida Sans Unicode" w:hAnsi="Lucida Sans Unicode"/>
          <w:color w:val="6D6E71"/>
          <w:w w:val="90"/>
          <w:sz w:val="14"/>
        </w:rPr>
        <w:t>Y</w:t>
      </w:r>
      <w:r>
        <w:rPr>
          <w:rFonts w:ascii="Lucida Sans Unicode" w:hAnsi="Lucida Sans Unicode"/>
          <w:color w:val="6D6E71"/>
          <w:spacing w:val="-10"/>
          <w:w w:val="90"/>
          <w:sz w:val="14"/>
        </w:rPr>
        <w:t> </w:t>
      </w:r>
      <w:r>
        <w:rPr>
          <w:rFonts w:ascii="Lucida Sans Unicode" w:hAnsi="Lucida Sans Unicode"/>
          <w:color w:val="6D6E71"/>
          <w:w w:val="90"/>
          <w:sz w:val="14"/>
        </w:rPr>
        <w:t>LA</w:t>
      </w:r>
      <w:r>
        <w:rPr>
          <w:rFonts w:ascii="Lucida Sans Unicode" w:hAnsi="Lucida Sans Unicode"/>
          <w:color w:val="6D6E71"/>
          <w:spacing w:val="-10"/>
          <w:w w:val="90"/>
          <w:sz w:val="14"/>
        </w:rPr>
        <w:t> </w:t>
      </w:r>
      <w:r>
        <w:rPr>
          <w:rFonts w:ascii="Lucida Sans Unicode" w:hAnsi="Lucida Sans Unicode"/>
          <w:color w:val="6D6E71"/>
          <w:w w:val="90"/>
          <w:sz w:val="14"/>
        </w:rPr>
        <w:t>DEMOCRACIA</w:t>
      </w:r>
    </w:p>
    <w:p>
      <w:pPr>
        <w:spacing w:before="59"/>
        <w:ind w:left="338" w:right="0" w:firstLine="0"/>
        <w:jc w:val="left"/>
        <w:rPr>
          <w:rFonts w:ascii="Arial"/>
          <w:sz w:val="20"/>
        </w:rPr>
      </w:pPr>
      <w:r>
        <w:rPr/>
        <w:br w:type="column"/>
      </w:r>
      <w:r>
        <w:rPr>
          <w:rFonts w:ascii="Arial"/>
          <w:color w:val="414042"/>
          <w:sz w:val="20"/>
        </w:rPr>
        <w:t>135</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6"/>
        <w:rPr>
          <w:rFonts w:ascii="Arial"/>
          <w:sz w:val="16"/>
        </w:rPr>
      </w:pPr>
    </w:p>
    <w:p>
      <w:pPr>
        <w:pStyle w:val="BodyText"/>
        <w:spacing w:line="247" w:lineRule="auto" w:before="44"/>
        <w:ind w:left="117" w:right="101"/>
        <w:jc w:val="both"/>
      </w:pPr>
      <w:r>
        <w:rPr>
          <w:color w:val="231F20"/>
          <w:w w:val="105"/>
        </w:rPr>
        <w:t>cruz)</w:t>
      </w:r>
      <w:r>
        <w:rPr>
          <w:color w:val="231F20"/>
          <w:spacing w:val="-30"/>
          <w:w w:val="105"/>
        </w:rPr>
        <w:t> </w:t>
      </w:r>
      <w:r>
        <w:rPr>
          <w:color w:val="231F20"/>
          <w:w w:val="105"/>
        </w:rPr>
        <w:t>donde</w:t>
      </w:r>
      <w:r>
        <w:rPr>
          <w:color w:val="231F20"/>
          <w:spacing w:val="-30"/>
          <w:w w:val="105"/>
        </w:rPr>
        <w:t> </w:t>
      </w:r>
      <w:r>
        <w:rPr>
          <w:color w:val="231F20"/>
          <w:w w:val="105"/>
        </w:rPr>
        <w:t>la</w:t>
      </w:r>
      <w:r>
        <w:rPr>
          <w:color w:val="231F20"/>
          <w:spacing w:val="-30"/>
          <w:w w:val="105"/>
        </w:rPr>
        <w:t> </w:t>
      </w:r>
      <w:r>
        <w:rPr>
          <w:color w:val="231F20"/>
          <w:w w:val="105"/>
        </w:rPr>
        <w:t>delincuencia</w:t>
      </w:r>
      <w:r>
        <w:rPr>
          <w:color w:val="231F20"/>
          <w:spacing w:val="-30"/>
          <w:w w:val="105"/>
        </w:rPr>
        <w:t> </w:t>
      </w:r>
      <w:r>
        <w:rPr>
          <w:color w:val="231F20"/>
          <w:w w:val="105"/>
        </w:rPr>
        <w:t>tiene</w:t>
      </w:r>
      <w:r>
        <w:rPr>
          <w:color w:val="231F20"/>
          <w:spacing w:val="-30"/>
          <w:w w:val="105"/>
        </w:rPr>
        <w:t> </w:t>
      </w:r>
      <w:r>
        <w:rPr>
          <w:color w:val="231F20"/>
          <w:w w:val="105"/>
        </w:rPr>
        <w:t>una</w:t>
      </w:r>
      <w:r>
        <w:rPr>
          <w:color w:val="231F20"/>
          <w:spacing w:val="-30"/>
          <w:w w:val="105"/>
        </w:rPr>
        <w:t> </w:t>
      </w:r>
      <w:r>
        <w:rPr>
          <w:color w:val="231F20"/>
          <w:w w:val="105"/>
        </w:rPr>
        <w:t>presencia</w:t>
      </w:r>
      <w:r>
        <w:rPr>
          <w:color w:val="231F20"/>
          <w:spacing w:val="-30"/>
          <w:w w:val="105"/>
        </w:rPr>
        <w:t> </w:t>
      </w:r>
      <w:r>
        <w:rPr>
          <w:color w:val="231F20"/>
          <w:w w:val="105"/>
        </w:rPr>
        <w:t>cotidiana,</w:t>
      </w:r>
      <w:r>
        <w:rPr>
          <w:color w:val="231F20"/>
          <w:spacing w:val="-30"/>
          <w:w w:val="105"/>
        </w:rPr>
        <w:t> </w:t>
      </w:r>
      <w:r>
        <w:rPr>
          <w:color w:val="231F20"/>
          <w:w w:val="105"/>
        </w:rPr>
        <w:t>al</w:t>
      </w:r>
      <w:r>
        <w:rPr>
          <w:color w:val="231F20"/>
          <w:spacing w:val="-30"/>
          <w:w w:val="105"/>
        </w:rPr>
        <w:t> </w:t>
      </w:r>
      <w:r>
        <w:rPr>
          <w:color w:val="231F20"/>
          <w:w w:val="105"/>
        </w:rPr>
        <w:t>grado</w:t>
      </w:r>
      <w:r>
        <w:rPr>
          <w:color w:val="231F20"/>
          <w:spacing w:val="-30"/>
          <w:w w:val="105"/>
        </w:rPr>
        <w:t> </w:t>
      </w:r>
      <w:r>
        <w:rPr>
          <w:color w:val="231F20"/>
          <w:w w:val="105"/>
        </w:rPr>
        <w:t>de</w:t>
      </w:r>
      <w:r>
        <w:rPr>
          <w:color w:val="231F20"/>
          <w:spacing w:val="-30"/>
          <w:w w:val="105"/>
        </w:rPr>
        <w:t> </w:t>
      </w:r>
      <w:r>
        <w:rPr>
          <w:color w:val="231F20"/>
          <w:w w:val="105"/>
        </w:rPr>
        <w:t>que empuja</w:t>
      </w:r>
      <w:r>
        <w:rPr>
          <w:color w:val="231F20"/>
          <w:spacing w:val="-24"/>
          <w:w w:val="105"/>
        </w:rPr>
        <w:t> </w:t>
      </w:r>
      <w:r>
        <w:rPr>
          <w:color w:val="231F20"/>
          <w:w w:val="105"/>
        </w:rPr>
        <w:t>los</w:t>
      </w:r>
      <w:r>
        <w:rPr>
          <w:color w:val="231F20"/>
          <w:spacing w:val="-24"/>
          <w:w w:val="105"/>
        </w:rPr>
        <w:t> </w:t>
      </w:r>
      <w:r>
        <w:rPr>
          <w:color w:val="231F20"/>
          <w:w w:val="105"/>
        </w:rPr>
        <w:t>límites</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espacios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política</w:t>
      </w:r>
      <w:r>
        <w:rPr>
          <w:color w:val="231F20"/>
          <w:spacing w:val="-24"/>
          <w:w w:val="105"/>
        </w:rPr>
        <w:t> </w:t>
      </w:r>
      <w:r>
        <w:rPr>
          <w:color w:val="231F20"/>
          <w:w w:val="105"/>
        </w:rPr>
        <w:t>más</w:t>
      </w:r>
      <w:r>
        <w:rPr>
          <w:color w:val="231F20"/>
          <w:spacing w:val="-24"/>
          <w:w w:val="105"/>
        </w:rPr>
        <w:t> </w:t>
      </w:r>
      <w:r>
        <w:rPr>
          <w:color w:val="231F20"/>
          <w:w w:val="105"/>
        </w:rPr>
        <w:t>allá</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antinomias clásicas</w:t>
      </w:r>
      <w:r>
        <w:rPr>
          <w:color w:val="231F20"/>
          <w:spacing w:val="-35"/>
          <w:w w:val="105"/>
        </w:rPr>
        <w:t> </w:t>
      </w:r>
      <w:r>
        <w:rPr>
          <w:color w:val="231F20"/>
          <w:w w:val="105"/>
        </w:rPr>
        <w:t>territoriales</w:t>
      </w:r>
      <w:r>
        <w:rPr>
          <w:color w:val="231F20"/>
          <w:spacing w:val="-35"/>
          <w:w w:val="105"/>
        </w:rPr>
        <w:t> </w:t>
      </w:r>
      <w:r>
        <w:rPr>
          <w:color w:val="231F20"/>
          <w:w w:val="105"/>
        </w:rPr>
        <w:t>de</w:t>
      </w:r>
      <w:r>
        <w:rPr>
          <w:color w:val="231F20"/>
          <w:spacing w:val="-35"/>
          <w:w w:val="105"/>
        </w:rPr>
        <w:t> </w:t>
      </w:r>
      <w:r>
        <w:rPr>
          <w:color w:val="231F20"/>
          <w:w w:val="105"/>
        </w:rPr>
        <w:t>las</w:t>
      </w:r>
      <w:r>
        <w:rPr>
          <w:color w:val="231F20"/>
          <w:spacing w:val="-35"/>
          <w:w w:val="105"/>
        </w:rPr>
        <w:t> </w:t>
      </w:r>
      <w:r>
        <w:rPr>
          <w:color w:val="231F20"/>
          <w:w w:val="105"/>
        </w:rPr>
        <w:t>experiencias</w:t>
      </w:r>
      <w:r>
        <w:rPr>
          <w:color w:val="231F20"/>
          <w:spacing w:val="-35"/>
          <w:w w:val="105"/>
        </w:rPr>
        <w:t> </w:t>
      </w:r>
      <w:r>
        <w:rPr>
          <w:color w:val="231F20"/>
          <w:w w:val="105"/>
        </w:rPr>
        <w:t>de</w:t>
      </w:r>
      <w:r>
        <w:rPr>
          <w:color w:val="231F20"/>
          <w:spacing w:val="-35"/>
          <w:w w:val="105"/>
        </w:rPr>
        <w:t> </w:t>
      </w:r>
      <w:r>
        <w:rPr>
          <w:color w:val="231F20"/>
          <w:w w:val="105"/>
        </w:rPr>
        <w:t>la</w:t>
      </w:r>
      <w:r>
        <w:rPr>
          <w:color w:val="231F20"/>
          <w:spacing w:val="-35"/>
          <w:w w:val="105"/>
        </w:rPr>
        <w:t> </w:t>
      </w:r>
      <w:r>
        <w:rPr>
          <w:color w:val="231F20"/>
          <w:w w:val="105"/>
        </w:rPr>
        <w:t>legalidad–ilegalidad.</w:t>
      </w:r>
    </w:p>
    <w:p>
      <w:pPr>
        <w:pStyle w:val="BodyText"/>
        <w:spacing w:line="247" w:lineRule="auto"/>
        <w:ind w:left="117" w:right="101" w:firstLine="566"/>
        <w:jc w:val="both"/>
      </w:pPr>
      <w:r>
        <w:rPr>
          <w:color w:val="231F20"/>
          <w:w w:val="105"/>
        </w:rPr>
        <w:t>Este</w:t>
      </w:r>
      <w:r>
        <w:rPr>
          <w:color w:val="231F20"/>
          <w:spacing w:val="-33"/>
          <w:w w:val="105"/>
        </w:rPr>
        <w:t> </w:t>
      </w:r>
      <w:r>
        <w:rPr>
          <w:color w:val="231F20"/>
          <w:w w:val="105"/>
        </w:rPr>
        <w:t>evento</w:t>
      </w:r>
      <w:r>
        <w:rPr>
          <w:color w:val="231F20"/>
          <w:spacing w:val="-33"/>
          <w:w w:val="105"/>
        </w:rPr>
        <w:t> </w:t>
      </w:r>
      <w:r>
        <w:rPr>
          <w:color w:val="231F20"/>
          <w:w w:val="105"/>
        </w:rPr>
        <w:t>histórico</w:t>
      </w:r>
      <w:r>
        <w:rPr>
          <w:color w:val="231F20"/>
          <w:spacing w:val="-33"/>
          <w:w w:val="105"/>
        </w:rPr>
        <w:t> </w:t>
      </w:r>
      <w:r>
        <w:rPr>
          <w:color w:val="231F20"/>
          <w:w w:val="105"/>
        </w:rPr>
        <w:t>no</w:t>
      </w:r>
      <w:r>
        <w:rPr>
          <w:color w:val="231F20"/>
          <w:spacing w:val="-33"/>
          <w:w w:val="105"/>
        </w:rPr>
        <w:t> </w:t>
      </w:r>
      <w:r>
        <w:rPr>
          <w:color w:val="231F20"/>
          <w:w w:val="105"/>
        </w:rPr>
        <w:t>puede</w:t>
      </w:r>
      <w:r>
        <w:rPr>
          <w:color w:val="231F20"/>
          <w:spacing w:val="-33"/>
          <w:w w:val="105"/>
        </w:rPr>
        <w:t> </w:t>
      </w:r>
      <w:r>
        <w:rPr>
          <w:color w:val="231F20"/>
          <w:w w:val="105"/>
        </w:rPr>
        <w:t>definirse</w:t>
      </w:r>
      <w:r>
        <w:rPr>
          <w:color w:val="231F20"/>
          <w:spacing w:val="-33"/>
          <w:w w:val="105"/>
        </w:rPr>
        <w:t> </w:t>
      </w:r>
      <w:r>
        <w:rPr>
          <w:color w:val="231F20"/>
          <w:w w:val="105"/>
        </w:rPr>
        <w:t>(y</w:t>
      </w:r>
      <w:r>
        <w:rPr>
          <w:color w:val="231F20"/>
          <w:spacing w:val="-33"/>
          <w:w w:val="105"/>
        </w:rPr>
        <w:t> </w:t>
      </w:r>
      <w:r>
        <w:rPr>
          <w:color w:val="231F20"/>
          <w:w w:val="105"/>
        </w:rPr>
        <w:t>explica</w:t>
      </w:r>
      <w:r>
        <w:rPr>
          <w:color w:val="231F20"/>
          <w:spacing w:val="-33"/>
          <w:w w:val="105"/>
        </w:rPr>
        <w:t> </w:t>
      </w:r>
      <w:r>
        <w:rPr>
          <w:color w:val="231F20"/>
          <w:w w:val="105"/>
        </w:rPr>
        <w:t>poco</w:t>
      </w:r>
      <w:r>
        <w:rPr>
          <w:color w:val="231F20"/>
          <w:spacing w:val="-33"/>
          <w:w w:val="105"/>
        </w:rPr>
        <w:t> </w:t>
      </w:r>
      <w:r>
        <w:rPr>
          <w:color w:val="231F20"/>
          <w:w w:val="105"/>
        </w:rPr>
        <w:t>del</w:t>
      </w:r>
      <w:r>
        <w:rPr>
          <w:color w:val="231F20"/>
          <w:spacing w:val="-33"/>
          <w:w w:val="105"/>
        </w:rPr>
        <w:t> </w:t>
      </w:r>
      <w:r>
        <w:rPr>
          <w:color w:val="231F20"/>
          <w:w w:val="105"/>
        </w:rPr>
        <w:t>fenóme- no)</w:t>
      </w:r>
      <w:r>
        <w:rPr>
          <w:color w:val="231F20"/>
          <w:spacing w:val="-32"/>
          <w:w w:val="105"/>
        </w:rPr>
        <w:t> </w:t>
      </w:r>
      <w:r>
        <w:rPr>
          <w:color w:val="231F20"/>
          <w:w w:val="105"/>
        </w:rPr>
        <w:t>sólo</w:t>
      </w:r>
      <w:r>
        <w:rPr>
          <w:color w:val="231F20"/>
          <w:spacing w:val="-32"/>
          <w:w w:val="105"/>
        </w:rPr>
        <w:t> </w:t>
      </w:r>
      <w:r>
        <w:rPr>
          <w:color w:val="231F20"/>
          <w:w w:val="105"/>
        </w:rPr>
        <w:t>como</w:t>
      </w:r>
      <w:r>
        <w:rPr>
          <w:color w:val="231F20"/>
          <w:spacing w:val="-32"/>
          <w:w w:val="105"/>
        </w:rPr>
        <w:t> </w:t>
      </w:r>
      <w:r>
        <w:rPr>
          <w:color w:val="231F20"/>
          <w:w w:val="105"/>
        </w:rPr>
        <w:t>un</w:t>
      </w:r>
      <w:r>
        <w:rPr>
          <w:color w:val="231F20"/>
          <w:spacing w:val="-32"/>
          <w:w w:val="105"/>
        </w:rPr>
        <w:t> </w:t>
      </w:r>
      <w:r>
        <w:rPr>
          <w:color w:val="231F20"/>
          <w:w w:val="105"/>
        </w:rPr>
        <w:t>problema</w:t>
      </w:r>
      <w:r>
        <w:rPr>
          <w:color w:val="231F20"/>
          <w:spacing w:val="-32"/>
          <w:w w:val="105"/>
        </w:rPr>
        <w:t> </w:t>
      </w:r>
      <w:r>
        <w:rPr>
          <w:color w:val="231F20"/>
          <w:w w:val="105"/>
        </w:rPr>
        <w:t>topográfico</w:t>
      </w:r>
      <w:r>
        <w:rPr>
          <w:color w:val="231F20"/>
          <w:spacing w:val="-32"/>
          <w:w w:val="105"/>
        </w:rPr>
        <w:t> </w:t>
      </w:r>
      <w:r>
        <w:rPr>
          <w:color w:val="231F20"/>
          <w:w w:val="105"/>
        </w:rPr>
        <w:t>del</w:t>
      </w:r>
      <w:r>
        <w:rPr>
          <w:color w:val="231F20"/>
          <w:spacing w:val="-32"/>
          <w:w w:val="105"/>
        </w:rPr>
        <w:t> </w:t>
      </w:r>
      <w:r>
        <w:rPr>
          <w:color w:val="231F20"/>
          <w:w w:val="105"/>
        </w:rPr>
        <w:t>orden</w:t>
      </w:r>
      <w:r>
        <w:rPr>
          <w:color w:val="231F20"/>
          <w:spacing w:val="-32"/>
          <w:w w:val="105"/>
        </w:rPr>
        <w:t> </w:t>
      </w:r>
      <w:r>
        <w:rPr>
          <w:color w:val="231F20"/>
          <w:w w:val="105"/>
        </w:rPr>
        <w:t>estatal</w:t>
      </w:r>
      <w:r>
        <w:rPr>
          <w:color w:val="231F20"/>
          <w:spacing w:val="-32"/>
          <w:w w:val="105"/>
        </w:rPr>
        <w:t> </w:t>
      </w:r>
      <w:r>
        <w:rPr>
          <w:color w:val="231F20"/>
          <w:w w:val="105"/>
        </w:rPr>
        <w:t>mexicano,</w:t>
      </w:r>
      <w:r>
        <w:rPr>
          <w:color w:val="231F20"/>
          <w:spacing w:val="-32"/>
          <w:w w:val="105"/>
        </w:rPr>
        <w:t> </w:t>
      </w:r>
      <w:r>
        <w:rPr>
          <w:color w:val="231F20"/>
          <w:w w:val="105"/>
        </w:rPr>
        <w:t>es</w:t>
      </w:r>
      <w:r>
        <w:rPr>
          <w:color w:val="231F20"/>
          <w:spacing w:val="-32"/>
          <w:w w:val="105"/>
        </w:rPr>
        <w:t> </w:t>
      </w:r>
      <w:r>
        <w:rPr>
          <w:color w:val="231F20"/>
          <w:w w:val="105"/>
        </w:rPr>
        <w:t>de- </w:t>
      </w:r>
      <w:r>
        <w:rPr>
          <w:color w:val="231F20"/>
          <w:spacing w:val="-5"/>
          <w:w w:val="105"/>
        </w:rPr>
        <w:t>cir,</w:t>
      </w:r>
      <w:r>
        <w:rPr>
          <w:color w:val="231F20"/>
          <w:spacing w:val="-23"/>
          <w:w w:val="105"/>
        </w:rPr>
        <w:t> </w:t>
      </w:r>
      <w:r>
        <w:rPr>
          <w:color w:val="231F20"/>
          <w:w w:val="105"/>
        </w:rPr>
        <w:t>como</w:t>
      </w:r>
      <w:r>
        <w:rPr>
          <w:color w:val="231F20"/>
          <w:spacing w:val="-23"/>
          <w:w w:val="105"/>
        </w:rPr>
        <w:t> </w:t>
      </w:r>
      <w:r>
        <w:rPr>
          <w:color w:val="231F20"/>
          <w:w w:val="105"/>
        </w:rPr>
        <w:t>un</w:t>
      </w:r>
      <w:r>
        <w:rPr>
          <w:color w:val="231F20"/>
          <w:spacing w:val="-23"/>
          <w:w w:val="105"/>
        </w:rPr>
        <w:t> </w:t>
      </w:r>
      <w:r>
        <w:rPr>
          <w:color w:val="231F20"/>
          <w:w w:val="105"/>
        </w:rPr>
        <w:t>problema</w:t>
      </w:r>
      <w:r>
        <w:rPr>
          <w:color w:val="231F20"/>
          <w:spacing w:val="-23"/>
          <w:w w:val="105"/>
        </w:rPr>
        <w:t> </w:t>
      </w:r>
      <w:r>
        <w:rPr>
          <w:color w:val="231F20"/>
          <w:w w:val="105"/>
        </w:rPr>
        <w:t>binario</w:t>
      </w:r>
      <w:r>
        <w:rPr>
          <w:color w:val="231F20"/>
          <w:spacing w:val="-23"/>
          <w:w w:val="105"/>
        </w:rPr>
        <w:t> </w:t>
      </w:r>
      <w:r>
        <w:rPr>
          <w:color w:val="231F20"/>
          <w:w w:val="105"/>
        </w:rPr>
        <w:t>de</w:t>
      </w:r>
      <w:r>
        <w:rPr>
          <w:color w:val="231F20"/>
          <w:spacing w:val="-23"/>
          <w:w w:val="105"/>
        </w:rPr>
        <w:t> </w:t>
      </w:r>
      <w:r>
        <w:rPr>
          <w:color w:val="231F20"/>
          <w:w w:val="105"/>
        </w:rPr>
        <w:t>un</w:t>
      </w:r>
      <w:r>
        <w:rPr>
          <w:color w:val="231F20"/>
          <w:spacing w:val="-23"/>
          <w:w w:val="105"/>
        </w:rPr>
        <w:t> </w:t>
      </w:r>
      <w:r>
        <w:rPr>
          <w:color w:val="231F20"/>
          <w:w w:val="105"/>
        </w:rPr>
        <w:t>“adentro”</w:t>
      </w:r>
      <w:r>
        <w:rPr>
          <w:color w:val="231F20"/>
          <w:spacing w:val="-23"/>
          <w:w w:val="105"/>
        </w:rPr>
        <w:t> </w:t>
      </w:r>
      <w:r>
        <w:rPr>
          <w:color w:val="231F20"/>
          <w:w w:val="105"/>
        </w:rPr>
        <w:t>(orden</w:t>
      </w:r>
      <w:r>
        <w:rPr>
          <w:color w:val="231F20"/>
          <w:spacing w:val="-23"/>
          <w:w w:val="105"/>
        </w:rPr>
        <w:t> </w:t>
      </w:r>
      <w:r>
        <w:rPr>
          <w:color w:val="231F20"/>
          <w:w w:val="105"/>
        </w:rPr>
        <w:t>constitucional)</w:t>
      </w:r>
      <w:r>
        <w:rPr>
          <w:color w:val="231F20"/>
          <w:spacing w:val="-23"/>
          <w:w w:val="105"/>
        </w:rPr>
        <w:t> </w:t>
      </w:r>
      <w:r>
        <w:rPr>
          <w:color w:val="231F20"/>
          <w:w w:val="105"/>
        </w:rPr>
        <w:t>que ataca</w:t>
      </w:r>
      <w:r>
        <w:rPr>
          <w:color w:val="231F20"/>
          <w:spacing w:val="-27"/>
          <w:w w:val="105"/>
        </w:rPr>
        <w:t> </w:t>
      </w:r>
      <w:r>
        <w:rPr>
          <w:color w:val="231F20"/>
          <w:w w:val="105"/>
        </w:rPr>
        <w:t>y</w:t>
      </w:r>
      <w:r>
        <w:rPr>
          <w:color w:val="231F20"/>
          <w:spacing w:val="-27"/>
          <w:w w:val="105"/>
        </w:rPr>
        <w:t> </w:t>
      </w:r>
      <w:r>
        <w:rPr>
          <w:color w:val="231F20"/>
          <w:w w:val="105"/>
        </w:rPr>
        <w:t>enfrenta</w:t>
      </w:r>
      <w:r>
        <w:rPr>
          <w:color w:val="231F20"/>
          <w:spacing w:val="-27"/>
          <w:w w:val="105"/>
        </w:rPr>
        <w:t> </w:t>
      </w:r>
      <w:r>
        <w:rPr>
          <w:color w:val="231F20"/>
          <w:w w:val="105"/>
        </w:rPr>
        <w:t>un</w:t>
      </w:r>
      <w:r>
        <w:rPr>
          <w:color w:val="231F20"/>
          <w:spacing w:val="-27"/>
          <w:w w:val="105"/>
        </w:rPr>
        <w:t> </w:t>
      </w:r>
      <w:r>
        <w:rPr>
          <w:color w:val="231F20"/>
          <w:w w:val="105"/>
        </w:rPr>
        <w:t>“afuera”</w:t>
      </w:r>
      <w:r>
        <w:rPr>
          <w:color w:val="231F20"/>
          <w:spacing w:val="-27"/>
          <w:w w:val="105"/>
        </w:rPr>
        <w:t> </w:t>
      </w:r>
      <w:r>
        <w:rPr>
          <w:color w:val="231F20"/>
          <w:w w:val="105"/>
        </w:rPr>
        <w:t>(crimen</w:t>
      </w:r>
      <w:r>
        <w:rPr>
          <w:color w:val="231F20"/>
          <w:spacing w:val="-27"/>
          <w:w w:val="105"/>
        </w:rPr>
        <w:t> </w:t>
      </w:r>
      <w:r>
        <w:rPr>
          <w:color w:val="231F20"/>
          <w:w w:val="105"/>
        </w:rPr>
        <w:t>no</w:t>
      </w:r>
      <w:r>
        <w:rPr>
          <w:color w:val="231F20"/>
          <w:spacing w:val="-27"/>
          <w:w w:val="105"/>
        </w:rPr>
        <w:t> </w:t>
      </w:r>
      <w:r>
        <w:rPr>
          <w:color w:val="231F20"/>
          <w:w w:val="105"/>
        </w:rPr>
        <w:t>estatal)</w:t>
      </w:r>
      <w:r>
        <w:rPr>
          <w:color w:val="231F20"/>
          <w:spacing w:val="-27"/>
          <w:w w:val="105"/>
        </w:rPr>
        <w:t> </w:t>
      </w:r>
      <w:r>
        <w:rPr>
          <w:color w:val="231F20"/>
          <w:w w:val="105"/>
        </w:rPr>
        <w:t>y</w:t>
      </w:r>
      <w:r>
        <w:rPr>
          <w:color w:val="231F20"/>
          <w:spacing w:val="-27"/>
          <w:w w:val="105"/>
        </w:rPr>
        <w:t> </w:t>
      </w:r>
      <w:r>
        <w:rPr>
          <w:color w:val="231F20"/>
          <w:w w:val="105"/>
        </w:rPr>
        <w:t>del</w:t>
      </w:r>
      <w:r>
        <w:rPr>
          <w:color w:val="231F20"/>
          <w:spacing w:val="-27"/>
          <w:w w:val="105"/>
        </w:rPr>
        <w:t> </w:t>
      </w:r>
      <w:r>
        <w:rPr>
          <w:color w:val="231F20"/>
          <w:w w:val="105"/>
        </w:rPr>
        <w:t>cual</w:t>
      </w:r>
      <w:r>
        <w:rPr>
          <w:color w:val="231F20"/>
          <w:spacing w:val="-27"/>
          <w:w w:val="105"/>
        </w:rPr>
        <w:t> </w:t>
      </w:r>
      <w:r>
        <w:rPr>
          <w:color w:val="231F20"/>
          <w:w w:val="105"/>
        </w:rPr>
        <w:t>derivaría</w:t>
      </w:r>
      <w:r>
        <w:rPr>
          <w:color w:val="231F20"/>
          <w:spacing w:val="-27"/>
          <w:w w:val="105"/>
        </w:rPr>
        <w:t> </w:t>
      </w:r>
      <w:r>
        <w:rPr>
          <w:color w:val="231F20"/>
          <w:w w:val="105"/>
        </w:rPr>
        <w:t>que</w:t>
      </w:r>
      <w:r>
        <w:rPr>
          <w:color w:val="231F20"/>
          <w:spacing w:val="-27"/>
          <w:w w:val="105"/>
        </w:rPr>
        <w:t> </w:t>
      </w:r>
      <w:r>
        <w:rPr>
          <w:color w:val="231F20"/>
          <w:w w:val="105"/>
        </w:rPr>
        <w:t>el crimen</w:t>
      </w:r>
      <w:r>
        <w:rPr>
          <w:color w:val="231F20"/>
          <w:spacing w:val="-24"/>
          <w:w w:val="105"/>
        </w:rPr>
        <w:t> </w:t>
      </w:r>
      <w:r>
        <w:rPr>
          <w:color w:val="231F20"/>
          <w:w w:val="105"/>
        </w:rPr>
        <w:t>organizado</w:t>
      </w:r>
      <w:r>
        <w:rPr>
          <w:color w:val="231F20"/>
          <w:spacing w:val="-24"/>
          <w:w w:val="105"/>
        </w:rPr>
        <w:t> </w:t>
      </w:r>
      <w:r>
        <w:rPr>
          <w:color w:val="231F20"/>
          <w:w w:val="105"/>
        </w:rPr>
        <w:t>es</w:t>
      </w:r>
      <w:r>
        <w:rPr>
          <w:color w:val="231F20"/>
          <w:spacing w:val="-24"/>
          <w:w w:val="105"/>
        </w:rPr>
        <w:t> </w:t>
      </w:r>
      <w:r>
        <w:rPr>
          <w:color w:val="231F20"/>
          <w:w w:val="105"/>
        </w:rPr>
        <w:t>un</w:t>
      </w:r>
      <w:r>
        <w:rPr>
          <w:color w:val="231F20"/>
          <w:spacing w:val="-24"/>
          <w:w w:val="105"/>
        </w:rPr>
        <w:t> </w:t>
      </w:r>
      <w:r>
        <w:rPr>
          <w:color w:val="231F20"/>
          <w:w w:val="105"/>
        </w:rPr>
        <w:t>poder</w:t>
      </w:r>
      <w:r>
        <w:rPr>
          <w:color w:val="231F20"/>
          <w:spacing w:val="-24"/>
          <w:w w:val="105"/>
        </w:rPr>
        <w:t> </w:t>
      </w:r>
      <w:r>
        <w:rPr>
          <w:color w:val="231F20"/>
          <w:w w:val="105"/>
        </w:rPr>
        <w:t>“paralelo”</w:t>
      </w:r>
      <w:r>
        <w:rPr>
          <w:color w:val="231F20"/>
          <w:spacing w:val="-24"/>
          <w:w w:val="105"/>
        </w:rPr>
        <w:t> </w:t>
      </w:r>
      <w:r>
        <w:rPr>
          <w:color w:val="231F20"/>
          <w:w w:val="105"/>
        </w:rPr>
        <w:t>al</w:t>
      </w:r>
      <w:r>
        <w:rPr>
          <w:color w:val="231F20"/>
          <w:spacing w:val="-24"/>
          <w:w w:val="105"/>
        </w:rPr>
        <w:t> </w:t>
      </w:r>
      <w:r>
        <w:rPr>
          <w:color w:val="231F20"/>
          <w:w w:val="105"/>
        </w:rPr>
        <w:t>Estado</w:t>
      </w:r>
      <w:r>
        <w:rPr>
          <w:color w:val="231F20"/>
          <w:spacing w:val="-24"/>
          <w:w w:val="105"/>
        </w:rPr>
        <w:t> </w:t>
      </w:r>
      <w:r>
        <w:rPr>
          <w:color w:val="231F20"/>
          <w:w w:val="105"/>
        </w:rPr>
        <w:t>y</w:t>
      </w:r>
      <w:r>
        <w:rPr>
          <w:color w:val="231F20"/>
          <w:spacing w:val="-24"/>
          <w:w w:val="105"/>
        </w:rPr>
        <w:t> </w:t>
      </w:r>
      <w:r>
        <w:rPr>
          <w:color w:val="231F20"/>
          <w:w w:val="105"/>
        </w:rPr>
        <w:t>las</w:t>
      </w:r>
      <w:r>
        <w:rPr>
          <w:color w:val="231F20"/>
          <w:spacing w:val="-24"/>
          <w:w w:val="105"/>
        </w:rPr>
        <w:t> </w:t>
      </w:r>
      <w:r>
        <w:rPr>
          <w:color w:val="231F20"/>
          <w:w w:val="105"/>
        </w:rPr>
        <w:t>instituciones</w:t>
      </w:r>
      <w:r>
        <w:rPr>
          <w:color w:val="231F20"/>
          <w:spacing w:val="-24"/>
          <w:w w:val="105"/>
        </w:rPr>
        <w:t> </w:t>
      </w:r>
      <w:r>
        <w:rPr>
          <w:color w:val="231F20"/>
          <w:w w:val="105"/>
        </w:rPr>
        <w:t>pú- blicas.</w:t>
      </w:r>
      <w:r>
        <w:rPr>
          <w:color w:val="231F20"/>
          <w:spacing w:val="-34"/>
          <w:w w:val="105"/>
        </w:rPr>
        <w:t> </w:t>
      </w:r>
      <w:r>
        <w:rPr>
          <w:color w:val="231F20"/>
          <w:w w:val="105"/>
        </w:rPr>
        <w:t>Al</w:t>
      </w:r>
      <w:r>
        <w:rPr>
          <w:color w:val="231F20"/>
          <w:spacing w:val="-34"/>
          <w:w w:val="105"/>
        </w:rPr>
        <w:t> </w:t>
      </w:r>
      <w:r>
        <w:rPr>
          <w:color w:val="231F20"/>
          <w:w w:val="105"/>
        </w:rPr>
        <w:t>contrario,</w:t>
      </w:r>
      <w:r>
        <w:rPr>
          <w:color w:val="231F20"/>
          <w:spacing w:val="-34"/>
          <w:w w:val="105"/>
        </w:rPr>
        <w:t> </w:t>
      </w:r>
      <w:r>
        <w:rPr>
          <w:color w:val="231F20"/>
          <w:w w:val="105"/>
        </w:rPr>
        <w:t>el</w:t>
      </w:r>
      <w:r>
        <w:rPr>
          <w:color w:val="231F20"/>
          <w:spacing w:val="-34"/>
          <w:w w:val="105"/>
        </w:rPr>
        <w:t> </w:t>
      </w:r>
      <w:r>
        <w:rPr>
          <w:color w:val="231F20"/>
          <w:w w:val="105"/>
        </w:rPr>
        <w:t>Estado</w:t>
      </w:r>
      <w:r>
        <w:rPr>
          <w:color w:val="231F20"/>
          <w:spacing w:val="-34"/>
          <w:w w:val="105"/>
        </w:rPr>
        <w:t> </w:t>
      </w:r>
      <w:r>
        <w:rPr>
          <w:color w:val="231F20"/>
          <w:w w:val="105"/>
        </w:rPr>
        <w:t>mexicano</w:t>
      </w:r>
      <w:r>
        <w:rPr>
          <w:color w:val="231F20"/>
          <w:spacing w:val="-34"/>
          <w:w w:val="105"/>
        </w:rPr>
        <w:t> </w:t>
      </w:r>
      <w:r>
        <w:rPr>
          <w:color w:val="231F20"/>
          <w:w w:val="105"/>
        </w:rPr>
        <w:t>y</w:t>
      </w:r>
      <w:r>
        <w:rPr>
          <w:color w:val="231F20"/>
          <w:spacing w:val="-34"/>
          <w:w w:val="105"/>
        </w:rPr>
        <w:t> </w:t>
      </w:r>
      <w:r>
        <w:rPr>
          <w:color w:val="231F20"/>
          <w:w w:val="105"/>
        </w:rPr>
        <w:t>sus</w:t>
      </w:r>
      <w:r>
        <w:rPr>
          <w:color w:val="231F20"/>
          <w:spacing w:val="-34"/>
          <w:w w:val="105"/>
        </w:rPr>
        <w:t> </w:t>
      </w:r>
      <w:r>
        <w:rPr>
          <w:color w:val="231F20"/>
          <w:w w:val="105"/>
        </w:rPr>
        <w:t>modalidades</w:t>
      </w:r>
      <w:r>
        <w:rPr>
          <w:color w:val="231F20"/>
          <w:spacing w:val="-34"/>
          <w:w w:val="105"/>
        </w:rPr>
        <w:t> </w:t>
      </w:r>
      <w:r>
        <w:rPr>
          <w:color w:val="231F20"/>
          <w:w w:val="105"/>
        </w:rPr>
        <w:t>de</w:t>
      </w:r>
      <w:r>
        <w:rPr>
          <w:color w:val="231F20"/>
          <w:spacing w:val="-34"/>
          <w:w w:val="105"/>
        </w:rPr>
        <w:t> </w:t>
      </w:r>
      <w:r>
        <w:rPr>
          <w:color w:val="231F20"/>
          <w:w w:val="105"/>
        </w:rPr>
        <w:t>organización son</w:t>
      </w:r>
      <w:r>
        <w:rPr>
          <w:color w:val="231F20"/>
          <w:spacing w:val="-28"/>
          <w:w w:val="105"/>
        </w:rPr>
        <w:t> </w:t>
      </w:r>
      <w:r>
        <w:rPr>
          <w:color w:val="231F20"/>
          <w:w w:val="105"/>
        </w:rPr>
        <w:t>parte</w:t>
      </w:r>
      <w:r>
        <w:rPr>
          <w:color w:val="231F20"/>
          <w:spacing w:val="-28"/>
          <w:w w:val="105"/>
        </w:rPr>
        <w:t> </w:t>
      </w:r>
      <w:r>
        <w:rPr>
          <w:color w:val="231F20"/>
          <w:w w:val="105"/>
        </w:rPr>
        <w:t>fundamental</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estructuración</w:t>
      </w:r>
      <w:r>
        <w:rPr>
          <w:color w:val="231F20"/>
          <w:spacing w:val="-28"/>
          <w:w w:val="105"/>
        </w:rPr>
        <w:t> </w:t>
      </w:r>
      <w:r>
        <w:rPr>
          <w:color w:val="231F20"/>
          <w:w w:val="105"/>
        </w:rPr>
        <w:t>de</w:t>
      </w:r>
      <w:r>
        <w:rPr>
          <w:color w:val="231F20"/>
          <w:spacing w:val="-28"/>
          <w:w w:val="105"/>
        </w:rPr>
        <w:t> </w:t>
      </w:r>
      <w:r>
        <w:rPr>
          <w:color w:val="231F20"/>
          <w:w w:val="105"/>
        </w:rPr>
        <w:t>este</w:t>
      </w:r>
      <w:r>
        <w:rPr>
          <w:color w:val="231F20"/>
          <w:spacing w:val="-28"/>
          <w:w w:val="105"/>
        </w:rPr>
        <w:t> </w:t>
      </w:r>
      <w:r>
        <w:rPr>
          <w:color w:val="231F20"/>
          <w:w w:val="105"/>
        </w:rPr>
        <w:t>nuevo</w:t>
      </w:r>
      <w:r>
        <w:rPr>
          <w:color w:val="231F20"/>
          <w:spacing w:val="-28"/>
          <w:w w:val="105"/>
        </w:rPr>
        <w:t> </w:t>
      </w:r>
      <w:r>
        <w:rPr>
          <w:color w:val="231F20"/>
          <w:w w:val="105"/>
        </w:rPr>
        <w:t>espacio,</w:t>
      </w:r>
      <w:r>
        <w:rPr>
          <w:color w:val="231F20"/>
          <w:spacing w:val="-28"/>
          <w:w w:val="105"/>
        </w:rPr>
        <w:t> </w:t>
      </w:r>
      <w:r>
        <w:rPr>
          <w:color w:val="231F20"/>
          <w:w w:val="105"/>
        </w:rPr>
        <w:t>ya</w:t>
      </w:r>
      <w:r>
        <w:rPr>
          <w:color w:val="231F20"/>
          <w:spacing w:val="-28"/>
          <w:w w:val="105"/>
        </w:rPr>
        <w:t> </w:t>
      </w:r>
      <w:r>
        <w:rPr>
          <w:color w:val="231F20"/>
          <w:w w:val="105"/>
        </w:rPr>
        <w:t>que la</w:t>
      </w:r>
      <w:r>
        <w:rPr>
          <w:color w:val="231F20"/>
          <w:spacing w:val="-26"/>
          <w:w w:val="105"/>
        </w:rPr>
        <w:t> </w:t>
      </w:r>
      <w:r>
        <w:rPr>
          <w:color w:val="231F20"/>
          <w:w w:val="105"/>
        </w:rPr>
        <w:t>emergencia</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soberanización</w:t>
      </w:r>
      <w:r>
        <w:rPr>
          <w:color w:val="231F20"/>
          <w:spacing w:val="-26"/>
          <w:w w:val="105"/>
        </w:rPr>
        <w:t> </w:t>
      </w:r>
      <w:r>
        <w:rPr>
          <w:color w:val="231F20"/>
          <w:w w:val="105"/>
        </w:rPr>
        <w:t>criminal</w:t>
      </w:r>
      <w:r>
        <w:rPr>
          <w:color w:val="231F20"/>
          <w:spacing w:val="-26"/>
          <w:w w:val="105"/>
        </w:rPr>
        <w:t> </w:t>
      </w:r>
      <w:r>
        <w:rPr>
          <w:color w:val="231F20"/>
          <w:w w:val="105"/>
        </w:rPr>
        <w:t>en</w:t>
      </w:r>
      <w:r>
        <w:rPr>
          <w:color w:val="231F20"/>
          <w:spacing w:val="-26"/>
          <w:w w:val="105"/>
        </w:rPr>
        <w:t> </w:t>
      </w:r>
      <w:r>
        <w:rPr>
          <w:color w:val="231F20"/>
          <w:w w:val="105"/>
        </w:rPr>
        <w:t>México,</w:t>
      </w:r>
      <w:r>
        <w:rPr>
          <w:color w:val="231F20"/>
          <w:w w:val="105"/>
          <w:position w:val="7"/>
          <w:sz w:val="12"/>
        </w:rPr>
        <w:t>59</w:t>
      </w:r>
      <w:r>
        <w:rPr>
          <w:color w:val="231F20"/>
          <w:spacing w:val="3"/>
          <w:w w:val="105"/>
          <w:position w:val="7"/>
          <w:sz w:val="12"/>
        </w:rPr>
        <w:t> </w:t>
      </w:r>
      <w:r>
        <w:rPr>
          <w:color w:val="231F20"/>
          <w:w w:val="105"/>
        </w:rPr>
        <w:t>es</w:t>
      </w:r>
      <w:r>
        <w:rPr>
          <w:color w:val="231F20"/>
          <w:spacing w:val="-26"/>
          <w:w w:val="105"/>
        </w:rPr>
        <w:t> </w:t>
      </w:r>
      <w:r>
        <w:rPr>
          <w:color w:val="231F20"/>
          <w:w w:val="105"/>
        </w:rPr>
        <w:t>la</w:t>
      </w:r>
      <w:r>
        <w:rPr>
          <w:color w:val="231F20"/>
          <w:spacing w:val="-26"/>
          <w:w w:val="105"/>
        </w:rPr>
        <w:t> </w:t>
      </w:r>
      <w:r>
        <w:rPr>
          <w:color w:val="231F20"/>
          <w:w w:val="105"/>
        </w:rPr>
        <w:t>consecuen- cia</w:t>
      </w:r>
      <w:r>
        <w:rPr>
          <w:color w:val="231F20"/>
          <w:spacing w:val="-23"/>
          <w:w w:val="105"/>
        </w:rPr>
        <w:t> </w:t>
      </w:r>
      <w:r>
        <w:rPr>
          <w:color w:val="231F20"/>
          <w:w w:val="105"/>
        </w:rPr>
        <w:t>no</w:t>
      </w:r>
      <w:r>
        <w:rPr>
          <w:color w:val="231F20"/>
          <w:spacing w:val="-23"/>
          <w:w w:val="105"/>
        </w:rPr>
        <w:t> </w:t>
      </w:r>
      <w:r>
        <w:rPr>
          <w:color w:val="231F20"/>
          <w:w w:val="105"/>
        </w:rPr>
        <w:t>esperada</w:t>
      </w:r>
      <w:r>
        <w:rPr>
          <w:color w:val="231F20"/>
          <w:spacing w:val="-23"/>
          <w:w w:val="105"/>
        </w:rPr>
        <w:t> </w:t>
      </w:r>
      <w:r>
        <w:rPr>
          <w:color w:val="231F20"/>
          <w:w w:val="105"/>
        </w:rPr>
        <w:t>del</w:t>
      </w:r>
      <w:r>
        <w:rPr>
          <w:color w:val="231F20"/>
          <w:spacing w:val="-23"/>
          <w:w w:val="105"/>
        </w:rPr>
        <w:t> </w:t>
      </w:r>
      <w:r>
        <w:rPr>
          <w:color w:val="231F20"/>
          <w:w w:val="105"/>
        </w:rPr>
        <w:t>proceso</w:t>
      </w:r>
      <w:r>
        <w:rPr>
          <w:color w:val="231F20"/>
          <w:spacing w:val="-23"/>
          <w:w w:val="105"/>
        </w:rPr>
        <w:t> </w:t>
      </w:r>
      <w:r>
        <w:rPr>
          <w:color w:val="231F20"/>
          <w:w w:val="105"/>
        </w:rPr>
        <w:t>de</w:t>
      </w:r>
      <w:r>
        <w:rPr>
          <w:color w:val="231F20"/>
          <w:spacing w:val="-23"/>
          <w:w w:val="105"/>
        </w:rPr>
        <w:t> </w:t>
      </w:r>
      <w:r>
        <w:rPr>
          <w:color w:val="231F20"/>
          <w:w w:val="105"/>
        </w:rPr>
        <w:t>descentramiento</w:t>
      </w:r>
      <w:r>
        <w:rPr>
          <w:color w:val="231F20"/>
          <w:spacing w:val="-23"/>
          <w:w w:val="105"/>
        </w:rPr>
        <w:t> </w:t>
      </w:r>
      <w:r>
        <w:rPr>
          <w:color w:val="231F20"/>
          <w:w w:val="105"/>
        </w:rPr>
        <w:t>del</w:t>
      </w:r>
      <w:r>
        <w:rPr>
          <w:color w:val="231F20"/>
          <w:spacing w:val="-23"/>
          <w:w w:val="105"/>
        </w:rPr>
        <w:t> </w:t>
      </w:r>
      <w:r>
        <w:rPr>
          <w:color w:val="231F20"/>
          <w:w w:val="105"/>
        </w:rPr>
        <w:t>poder</w:t>
      </w:r>
      <w:r>
        <w:rPr>
          <w:color w:val="231F20"/>
          <w:spacing w:val="-23"/>
          <w:w w:val="105"/>
        </w:rPr>
        <w:t> </w:t>
      </w:r>
      <w:r>
        <w:rPr>
          <w:color w:val="231F20"/>
          <w:w w:val="105"/>
        </w:rPr>
        <w:t>político</w:t>
      </w:r>
      <w:r>
        <w:rPr>
          <w:color w:val="231F20"/>
          <w:spacing w:val="-23"/>
          <w:w w:val="105"/>
        </w:rPr>
        <w:t> </w:t>
      </w:r>
      <w:r>
        <w:rPr>
          <w:color w:val="231F20"/>
          <w:w w:val="105"/>
        </w:rPr>
        <w:t>que</w:t>
      </w:r>
      <w:r>
        <w:rPr>
          <w:color w:val="231F20"/>
          <w:spacing w:val="-23"/>
          <w:w w:val="105"/>
        </w:rPr>
        <w:t> </w:t>
      </w:r>
      <w:r>
        <w:rPr>
          <w:color w:val="231F20"/>
          <w:w w:val="105"/>
        </w:rPr>
        <w:t>se desarrolló</w:t>
      </w:r>
      <w:r>
        <w:rPr>
          <w:color w:val="231F20"/>
          <w:spacing w:val="-21"/>
          <w:w w:val="105"/>
        </w:rPr>
        <w:t> </w:t>
      </w:r>
      <w:r>
        <w:rPr>
          <w:color w:val="231F20"/>
          <w:w w:val="105"/>
        </w:rPr>
        <w:t>con</w:t>
      </w:r>
      <w:r>
        <w:rPr>
          <w:color w:val="231F20"/>
          <w:spacing w:val="-21"/>
          <w:w w:val="105"/>
        </w:rPr>
        <w:t> </w:t>
      </w:r>
      <w:r>
        <w:rPr>
          <w:color w:val="231F20"/>
          <w:w w:val="105"/>
        </w:rPr>
        <w:t>el</w:t>
      </w:r>
      <w:r>
        <w:rPr>
          <w:color w:val="231F20"/>
          <w:spacing w:val="-21"/>
          <w:w w:val="105"/>
        </w:rPr>
        <w:t> </w:t>
      </w:r>
      <w:r>
        <w:rPr>
          <w:color w:val="231F20"/>
          <w:w w:val="105"/>
        </w:rPr>
        <w:t>aumento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competencia</w:t>
      </w:r>
      <w:r>
        <w:rPr>
          <w:color w:val="231F20"/>
          <w:spacing w:val="-21"/>
          <w:w w:val="105"/>
        </w:rPr>
        <w:t> </w:t>
      </w:r>
      <w:r>
        <w:rPr>
          <w:color w:val="231F20"/>
          <w:w w:val="105"/>
        </w:rPr>
        <w:t>y</w:t>
      </w:r>
      <w:r>
        <w:rPr>
          <w:color w:val="231F20"/>
          <w:spacing w:val="-21"/>
          <w:w w:val="105"/>
        </w:rPr>
        <w:t> </w:t>
      </w:r>
      <w:r>
        <w:rPr>
          <w:color w:val="231F20"/>
          <w:w w:val="105"/>
        </w:rPr>
        <w:t>la</w:t>
      </w:r>
      <w:r>
        <w:rPr>
          <w:color w:val="231F20"/>
          <w:spacing w:val="-21"/>
          <w:w w:val="105"/>
        </w:rPr>
        <w:t> </w:t>
      </w:r>
      <w:r>
        <w:rPr>
          <w:color w:val="231F20"/>
          <w:w w:val="105"/>
        </w:rPr>
        <w:t>alternancia</w:t>
      </w:r>
      <w:r>
        <w:rPr>
          <w:color w:val="231F20"/>
          <w:spacing w:val="-21"/>
          <w:w w:val="105"/>
        </w:rPr>
        <w:t> </w:t>
      </w:r>
      <w:r>
        <w:rPr>
          <w:color w:val="231F20"/>
          <w:w w:val="105"/>
        </w:rPr>
        <w:t>(entendidas como</w:t>
      </w:r>
      <w:r>
        <w:rPr>
          <w:color w:val="231F20"/>
          <w:spacing w:val="-23"/>
          <w:w w:val="105"/>
        </w:rPr>
        <w:t> </w:t>
      </w:r>
      <w:r>
        <w:rPr>
          <w:color w:val="231F20"/>
          <w:w w:val="105"/>
        </w:rPr>
        <w:t>opciones</w:t>
      </w:r>
      <w:r>
        <w:rPr>
          <w:color w:val="231F20"/>
          <w:spacing w:val="-23"/>
          <w:w w:val="105"/>
        </w:rPr>
        <w:t> </w:t>
      </w:r>
      <w:r>
        <w:rPr>
          <w:color w:val="231F20"/>
          <w:w w:val="105"/>
        </w:rPr>
        <w:t>de</w:t>
      </w:r>
      <w:r>
        <w:rPr>
          <w:color w:val="231F20"/>
          <w:spacing w:val="-23"/>
          <w:w w:val="105"/>
        </w:rPr>
        <w:t> </w:t>
      </w:r>
      <w:r>
        <w:rPr>
          <w:color w:val="231F20"/>
          <w:w w:val="105"/>
        </w:rPr>
        <w:t>decisión</w:t>
      </w:r>
      <w:r>
        <w:rPr>
          <w:color w:val="231F20"/>
          <w:spacing w:val="-23"/>
          <w:w w:val="105"/>
        </w:rPr>
        <w:t> </w:t>
      </w:r>
      <w:r>
        <w:rPr>
          <w:color w:val="231F20"/>
          <w:w w:val="105"/>
        </w:rPr>
        <w:t>política)</w:t>
      </w:r>
      <w:r>
        <w:rPr>
          <w:color w:val="231F20"/>
          <w:spacing w:val="-23"/>
          <w:w w:val="105"/>
        </w:rPr>
        <w:t> </w:t>
      </w:r>
      <w:r>
        <w:rPr>
          <w:color w:val="231F20"/>
          <w:w w:val="105"/>
        </w:rPr>
        <w:t>a</w:t>
      </w:r>
      <w:r>
        <w:rPr>
          <w:color w:val="231F20"/>
          <w:spacing w:val="-23"/>
          <w:w w:val="105"/>
        </w:rPr>
        <w:t> </w:t>
      </w:r>
      <w:r>
        <w:rPr>
          <w:color w:val="231F20"/>
          <w:w w:val="105"/>
        </w:rPr>
        <w:t>lo</w:t>
      </w:r>
      <w:r>
        <w:rPr>
          <w:color w:val="231F20"/>
          <w:spacing w:val="-23"/>
          <w:w w:val="105"/>
        </w:rPr>
        <w:t> </w:t>
      </w:r>
      <w:r>
        <w:rPr>
          <w:color w:val="231F20"/>
          <w:w w:val="105"/>
        </w:rPr>
        <w:t>largo</w:t>
      </w:r>
      <w:r>
        <w:rPr>
          <w:color w:val="231F20"/>
          <w:spacing w:val="-23"/>
          <w:w w:val="105"/>
        </w:rPr>
        <w:t> </w:t>
      </w:r>
      <w:r>
        <w:rPr>
          <w:color w:val="231F20"/>
          <w:w w:val="105"/>
        </w:rPr>
        <w:t>del</w:t>
      </w:r>
      <w:r>
        <w:rPr>
          <w:color w:val="231F20"/>
          <w:spacing w:val="-23"/>
          <w:w w:val="105"/>
        </w:rPr>
        <w:t> </w:t>
      </w:r>
      <w:r>
        <w:rPr>
          <w:color w:val="231F20"/>
          <w:w w:val="105"/>
        </w:rPr>
        <w:t>país</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tránsito</w:t>
      </w:r>
      <w:r>
        <w:rPr>
          <w:color w:val="231F20"/>
          <w:spacing w:val="-23"/>
          <w:w w:val="105"/>
        </w:rPr>
        <w:t> </w:t>
      </w:r>
      <w:r>
        <w:rPr>
          <w:color w:val="231F20"/>
          <w:w w:val="105"/>
        </w:rPr>
        <w:t>de</w:t>
      </w:r>
      <w:r>
        <w:rPr>
          <w:color w:val="231F20"/>
          <w:spacing w:val="-23"/>
          <w:w w:val="105"/>
        </w:rPr>
        <w:t> </w:t>
      </w:r>
      <w:r>
        <w:rPr>
          <w:color w:val="231F20"/>
          <w:w w:val="105"/>
        </w:rPr>
        <w:t>los años</w:t>
      </w:r>
      <w:r>
        <w:rPr>
          <w:color w:val="231F20"/>
          <w:spacing w:val="-24"/>
          <w:w w:val="105"/>
        </w:rPr>
        <w:t> </w:t>
      </w:r>
      <w:r>
        <w:rPr>
          <w:color w:val="231F20"/>
          <w:w w:val="105"/>
        </w:rPr>
        <w:t>noventa</w:t>
      </w:r>
      <w:r>
        <w:rPr>
          <w:color w:val="231F20"/>
          <w:spacing w:val="-24"/>
          <w:w w:val="105"/>
        </w:rPr>
        <w:t> </w:t>
      </w:r>
      <w:r>
        <w:rPr>
          <w:color w:val="231F20"/>
          <w:w w:val="105"/>
        </w:rPr>
        <w:t>del</w:t>
      </w:r>
      <w:r>
        <w:rPr>
          <w:color w:val="231F20"/>
          <w:spacing w:val="-24"/>
          <w:w w:val="105"/>
        </w:rPr>
        <w:t> </w:t>
      </w:r>
      <w:r>
        <w:rPr>
          <w:color w:val="231F20"/>
          <w:w w:val="105"/>
        </w:rPr>
        <w:t>siglo</w:t>
      </w:r>
      <w:r>
        <w:rPr>
          <w:color w:val="231F20"/>
          <w:spacing w:val="-24"/>
          <w:w w:val="105"/>
        </w:rPr>
        <w:t> </w:t>
      </w:r>
      <w:r>
        <w:rPr>
          <w:color w:val="231F20"/>
          <w:w w:val="105"/>
        </w:rPr>
        <w:t>pasado</w:t>
      </w:r>
      <w:r>
        <w:rPr>
          <w:color w:val="231F20"/>
          <w:spacing w:val="-24"/>
          <w:w w:val="105"/>
        </w:rPr>
        <w:t> </w:t>
      </w:r>
      <w:r>
        <w:rPr>
          <w:color w:val="231F20"/>
          <w:w w:val="105"/>
        </w:rPr>
        <w:t>a</w:t>
      </w:r>
      <w:r>
        <w:rPr>
          <w:color w:val="231F20"/>
          <w:spacing w:val="-24"/>
          <w:w w:val="105"/>
        </w:rPr>
        <w:t> </w:t>
      </w:r>
      <w:r>
        <w:rPr>
          <w:color w:val="231F20"/>
          <w:w w:val="105"/>
        </w:rPr>
        <w:t>la</w:t>
      </w:r>
      <w:r>
        <w:rPr>
          <w:color w:val="231F20"/>
          <w:spacing w:val="-24"/>
          <w:w w:val="105"/>
        </w:rPr>
        <w:t> </w:t>
      </w:r>
      <w:r>
        <w:rPr>
          <w:color w:val="231F20"/>
          <w:w w:val="105"/>
        </w:rPr>
        <w:t>primera</w:t>
      </w:r>
      <w:r>
        <w:rPr>
          <w:color w:val="231F20"/>
          <w:spacing w:val="-24"/>
          <w:w w:val="105"/>
        </w:rPr>
        <w:t> </w:t>
      </w:r>
      <w:r>
        <w:rPr>
          <w:color w:val="231F20"/>
          <w:w w:val="105"/>
        </w:rPr>
        <w:t>década</w:t>
      </w:r>
      <w:r>
        <w:rPr>
          <w:color w:val="231F20"/>
          <w:spacing w:val="-24"/>
          <w:w w:val="105"/>
        </w:rPr>
        <w:t> </w:t>
      </w:r>
      <w:r>
        <w:rPr>
          <w:color w:val="231F20"/>
          <w:w w:val="105"/>
        </w:rPr>
        <w:t>de</w:t>
      </w:r>
      <w:r>
        <w:rPr>
          <w:color w:val="231F20"/>
          <w:spacing w:val="-24"/>
          <w:w w:val="105"/>
        </w:rPr>
        <w:t> </w:t>
      </w:r>
      <w:r>
        <w:rPr>
          <w:color w:val="231F20"/>
          <w:w w:val="105"/>
        </w:rPr>
        <w:t>este</w:t>
      </w:r>
      <w:r>
        <w:rPr>
          <w:color w:val="231F20"/>
          <w:spacing w:val="-24"/>
          <w:w w:val="105"/>
        </w:rPr>
        <w:t> </w:t>
      </w:r>
      <w:r>
        <w:rPr>
          <w:color w:val="231F20"/>
          <w:w w:val="105"/>
        </w:rPr>
        <w:t>siglo.</w:t>
      </w:r>
    </w:p>
    <w:p>
      <w:pPr>
        <w:pStyle w:val="BodyText"/>
        <w:spacing w:line="247" w:lineRule="auto"/>
        <w:ind w:left="117" w:right="101" w:firstLine="566"/>
        <w:jc w:val="both"/>
      </w:pPr>
      <w:r>
        <w:rPr>
          <w:color w:val="231F20"/>
          <w:w w:val="105"/>
        </w:rPr>
        <w:t>Es</w:t>
      </w:r>
      <w:r>
        <w:rPr>
          <w:color w:val="231F20"/>
          <w:spacing w:val="-36"/>
          <w:w w:val="105"/>
        </w:rPr>
        <w:t> </w:t>
      </w:r>
      <w:r>
        <w:rPr>
          <w:color w:val="231F20"/>
          <w:spacing w:val="-4"/>
          <w:w w:val="105"/>
        </w:rPr>
        <w:t>decir,</w:t>
      </w:r>
      <w:r>
        <w:rPr>
          <w:color w:val="231F20"/>
          <w:spacing w:val="-36"/>
          <w:w w:val="105"/>
        </w:rPr>
        <w:t> </w:t>
      </w:r>
      <w:r>
        <w:rPr>
          <w:color w:val="231F20"/>
          <w:w w:val="105"/>
        </w:rPr>
        <w:t>el</w:t>
      </w:r>
      <w:r>
        <w:rPr>
          <w:color w:val="231F20"/>
          <w:spacing w:val="-36"/>
          <w:w w:val="105"/>
        </w:rPr>
        <w:t> </w:t>
      </w:r>
      <w:r>
        <w:rPr>
          <w:rFonts w:ascii="Arial" w:hAnsi="Arial"/>
          <w:i/>
          <w:color w:val="231F20"/>
          <w:w w:val="105"/>
        </w:rPr>
        <w:t>genus</w:t>
      </w:r>
      <w:r>
        <w:rPr>
          <w:rFonts w:ascii="Arial" w:hAnsi="Arial"/>
          <w:i/>
          <w:color w:val="231F20"/>
          <w:spacing w:val="-28"/>
          <w:w w:val="105"/>
        </w:rPr>
        <w:t> </w:t>
      </w:r>
      <w:r>
        <w:rPr>
          <w:color w:val="231F20"/>
          <w:w w:val="105"/>
        </w:rPr>
        <w:t>autoritario</w:t>
      </w:r>
      <w:r>
        <w:rPr>
          <w:color w:val="231F20"/>
          <w:spacing w:val="-36"/>
          <w:w w:val="105"/>
        </w:rPr>
        <w:t> </w:t>
      </w:r>
      <w:r>
        <w:rPr>
          <w:color w:val="231F20"/>
          <w:w w:val="105"/>
        </w:rPr>
        <w:t>perdió</w:t>
      </w:r>
      <w:r>
        <w:rPr>
          <w:color w:val="231F20"/>
          <w:spacing w:val="-36"/>
          <w:w w:val="105"/>
        </w:rPr>
        <w:t> </w:t>
      </w:r>
      <w:r>
        <w:rPr>
          <w:color w:val="231F20"/>
          <w:w w:val="105"/>
        </w:rPr>
        <w:t>su</w:t>
      </w:r>
      <w:r>
        <w:rPr>
          <w:color w:val="231F20"/>
          <w:spacing w:val="-36"/>
          <w:w w:val="105"/>
        </w:rPr>
        <w:t> </w:t>
      </w:r>
      <w:r>
        <w:rPr>
          <w:color w:val="231F20"/>
          <w:w w:val="105"/>
        </w:rPr>
        <w:t>capacidad</w:t>
      </w:r>
      <w:r>
        <w:rPr>
          <w:color w:val="231F20"/>
          <w:spacing w:val="-36"/>
          <w:w w:val="105"/>
        </w:rPr>
        <w:t> </w:t>
      </w:r>
      <w:r>
        <w:rPr>
          <w:color w:val="231F20"/>
          <w:w w:val="105"/>
        </w:rPr>
        <w:t>de</w:t>
      </w:r>
      <w:r>
        <w:rPr>
          <w:color w:val="231F20"/>
          <w:spacing w:val="-36"/>
          <w:w w:val="105"/>
        </w:rPr>
        <w:t> </w:t>
      </w:r>
      <w:r>
        <w:rPr>
          <w:color w:val="231F20"/>
          <w:w w:val="105"/>
        </w:rPr>
        <w:t>control</w:t>
      </w:r>
      <w:r>
        <w:rPr>
          <w:color w:val="231F20"/>
          <w:spacing w:val="-36"/>
          <w:w w:val="105"/>
        </w:rPr>
        <w:t> </w:t>
      </w:r>
      <w:r>
        <w:rPr>
          <w:rFonts w:ascii="Arial" w:hAnsi="Arial"/>
          <w:i/>
          <w:color w:val="231F20"/>
          <w:w w:val="105"/>
        </w:rPr>
        <w:t>desde</w:t>
      </w:r>
      <w:r>
        <w:rPr>
          <w:rFonts w:ascii="Arial" w:hAnsi="Arial"/>
          <w:i/>
          <w:color w:val="231F20"/>
          <w:spacing w:val="-28"/>
          <w:w w:val="105"/>
        </w:rPr>
        <w:t> </w:t>
      </w:r>
      <w:r>
        <w:rPr>
          <w:color w:val="231F20"/>
          <w:w w:val="105"/>
        </w:rPr>
        <w:t>lo nacional</w:t>
      </w:r>
      <w:r>
        <w:rPr>
          <w:color w:val="231F20"/>
          <w:spacing w:val="-20"/>
          <w:w w:val="105"/>
        </w:rPr>
        <w:t> </w:t>
      </w:r>
      <w:r>
        <w:rPr>
          <w:color w:val="231F20"/>
          <w:w w:val="105"/>
        </w:rPr>
        <w:t>(“de</w:t>
      </w:r>
      <w:r>
        <w:rPr>
          <w:color w:val="231F20"/>
          <w:spacing w:val="-20"/>
          <w:w w:val="105"/>
        </w:rPr>
        <w:t> </w:t>
      </w:r>
      <w:r>
        <w:rPr>
          <w:color w:val="231F20"/>
          <w:w w:val="105"/>
        </w:rPr>
        <w:t>arriba</w:t>
      </w:r>
      <w:r>
        <w:rPr>
          <w:color w:val="231F20"/>
          <w:spacing w:val="-20"/>
          <w:w w:val="105"/>
        </w:rPr>
        <w:t> </w:t>
      </w:r>
      <w:r>
        <w:rPr>
          <w:color w:val="231F20"/>
          <w:w w:val="105"/>
        </w:rPr>
        <w:t>hacia</w:t>
      </w:r>
      <w:r>
        <w:rPr>
          <w:color w:val="231F20"/>
          <w:spacing w:val="-20"/>
          <w:w w:val="105"/>
        </w:rPr>
        <w:t> </w:t>
      </w:r>
      <w:r>
        <w:rPr>
          <w:color w:val="231F20"/>
          <w:w w:val="105"/>
        </w:rPr>
        <w:t>abajo”)</w:t>
      </w:r>
      <w:r>
        <w:rPr>
          <w:color w:val="231F20"/>
          <w:spacing w:val="-20"/>
          <w:w w:val="105"/>
        </w:rPr>
        <w:t> </w:t>
      </w:r>
      <w:r>
        <w:rPr>
          <w:color w:val="231F20"/>
          <w:w w:val="105"/>
        </w:rPr>
        <w:t>y</w:t>
      </w:r>
      <w:r>
        <w:rPr>
          <w:color w:val="231F20"/>
          <w:spacing w:val="-20"/>
          <w:w w:val="105"/>
        </w:rPr>
        <w:t> </w:t>
      </w:r>
      <w:r>
        <w:rPr>
          <w:color w:val="231F20"/>
          <w:w w:val="105"/>
        </w:rPr>
        <w:t>permitió</w:t>
      </w:r>
      <w:r>
        <w:rPr>
          <w:color w:val="231F20"/>
          <w:spacing w:val="-20"/>
          <w:w w:val="105"/>
        </w:rPr>
        <w:t> </w:t>
      </w:r>
      <w:r>
        <w:rPr>
          <w:color w:val="231F20"/>
          <w:w w:val="105"/>
        </w:rPr>
        <w:t>el</w:t>
      </w:r>
      <w:r>
        <w:rPr>
          <w:color w:val="231F20"/>
          <w:spacing w:val="-20"/>
          <w:w w:val="105"/>
        </w:rPr>
        <w:t> </w:t>
      </w:r>
      <w:r>
        <w:rPr>
          <w:color w:val="231F20"/>
          <w:w w:val="105"/>
        </w:rPr>
        <w:t>paso</w:t>
      </w:r>
      <w:r>
        <w:rPr>
          <w:color w:val="231F20"/>
          <w:spacing w:val="-20"/>
          <w:w w:val="105"/>
        </w:rPr>
        <w:t> </w:t>
      </w:r>
      <w:r>
        <w:rPr>
          <w:color w:val="231F20"/>
          <w:w w:val="105"/>
        </w:rPr>
        <w:t>a</w:t>
      </w:r>
      <w:r>
        <w:rPr>
          <w:color w:val="231F20"/>
          <w:spacing w:val="-20"/>
          <w:w w:val="105"/>
        </w:rPr>
        <w:t> </w:t>
      </w:r>
      <w:r>
        <w:rPr>
          <w:color w:val="231F20"/>
          <w:w w:val="105"/>
        </w:rPr>
        <w:t>un</w:t>
      </w:r>
      <w:r>
        <w:rPr>
          <w:color w:val="231F20"/>
          <w:spacing w:val="-20"/>
          <w:w w:val="105"/>
        </w:rPr>
        <w:t> </w:t>
      </w:r>
      <w:r>
        <w:rPr>
          <w:color w:val="231F20"/>
          <w:w w:val="105"/>
        </w:rPr>
        <w:t>proceso</w:t>
      </w:r>
      <w:r>
        <w:rPr>
          <w:color w:val="231F20"/>
          <w:spacing w:val="-20"/>
          <w:w w:val="105"/>
        </w:rPr>
        <w:t> </w:t>
      </w:r>
      <w:r>
        <w:rPr>
          <w:color w:val="231F20"/>
          <w:w w:val="105"/>
        </w:rPr>
        <w:t>político de “consolidación” democrática donde el </w:t>
      </w:r>
      <w:r>
        <w:rPr>
          <w:rFonts w:ascii="Arial" w:hAnsi="Arial"/>
          <w:i/>
          <w:color w:val="231F20"/>
          <w:w w:val="105"/>
        </w:rPr>
        <w:t>genus </w:t>
      </w:r>
      <w:r>
        <w:rPr>
          <w:color w:val="231F20"/>
          <w:w w:val="105"/>
        </w:rPr>
        <w:t>democrático tiene que luchar</w:t>
      </w:r>
      <w:r>
        <w:rPr>
          <w:color w:val="231F20"/>
          <w:spacing w:val="-24"/>
          <w:w w:val="105"/>
        </w:rPr>
        <w:t> </w:t>
      </w:r>
      <w:r>
        <w:rPr>
          <w:color w:val="231F20"/>
          <w:w w:val="105"/>
        </w:rPr>
        <w:t>con</w:t>
      </w:r>
      <w:r>
        <w:rPr>
          <w:color w:val="231F20"/>
          <w:spacing w:val="-24"/>
          <w:w w:val="105"/>
        </w:rPr>
        <w:t> </w:t>
      </w:r>
      <w:r>
        <w:rPr>
          <w:color w:val="231F20"/>
          <w:w w:val="105"/>
        </w:rPr>
        <w:t>los</w:t>
      </w:r>
      <w:r>
        <w:rPr>
          <w:color w:val="231F20"/>
          <w:spacing w:val="-24"/>
          <w:w w:val="105"/>
        </w:rPr>
        <w:t> </w:t>
      </w:r>
      <w:r>
        <w:rPr>
          <w:color w:val="231F20"/>
          <w:w w:val="105"/>
        </w:rPr>
        <w:t>“fantasmas”</w:t>
      </w:r>
      <w:r>
        <w:rPr>
          <w:color w:val="231F20"/>
          <w:spacing w:val="-24"/>
          <w:w w:val="105"/>
        </w:rPr>
        <w:t> </w:t>
      </w:r>
      <w:r>
        <w:rPr>
          <w:color w:val="231F20"/>
          <w:w w:val="105"/>
        </w:rPr>
        <w:t>y</w:t>
      </w:r>
      <w:r>
        <w:rPr>
          <w:color w:val="231F20"/>
          <w:spacing w:val="-24"/>
          <w:w w:val="105"/>
        </w:rPr>
        <w:t> </w:t>
      </w:r>
      <w:r>
        <w:rPr>
          <w:color w:val="231F20"/>
          <w:w w:val="105"/>
        </w:rPr>
        <w:t>los</w:t>
      </w:r>
      <w:r>
        <w:rPr>
          <w:color w:val="231F20"/>
          <w:spacing w:val="-24"/>
          <w:w w:val="105"/>
        </w:rPr>
        <w:t> </w:t>
      </w:r>
      <w:r>
        <w:rPr>
          <w:color w:val="231F20"/>
          <w:w w:val="105"/>
        </w:rPr>
        <w:t>“enemigos”</w:t>
      </w:r>
      <w:r>
        <w:rPr>
          <w:color w:val="231F20"/>
          <w:spacing w:val="-24"/>
          <w:w w:val="105"/>
        </w:rPr>
        <w:t> </w:t>
      </w:r>
      <w:r>
        <w:rPr>
          <w:color w:val="231F20"/>
          <w:w w:val="105"/>
        </w:rPr>
        <w:t>que</w:t>
      </w:r>
      <w:r>
        <w:rPr>
          <w:color w:val="231F20"/>
          <w:spacing w:val="-24"/>
          <w:w w:val="105"/>
        </w:rPr>
        <w:t> </w:t>
      </w:r>
      <w:r>
        <w:rPr>
          <w:color w:val="231F20"/>
          <w:w w:val="105"/>
        </w:rPr>
        <w:t>la</w:t>
      </w:r>
      <w:r>
        <w:rPr>
          <w:color w:val="231F20"/>
          <w:spacing w:val="-24"/>
          <w:w w:val="105"/>
        </w:rPr>
        <w:t> </w:t>
      </w:r>
      <w:r>
        <w:rPr>
          <w:color w:val="231F20"/>
          <w:w w:val="105"/>
        </w:rPr>
        <w:t>centralidad</w:t>
      </w:r>
      <w:r>
        <w:rPr>
          <w:color w:val="231F20"/>
          <w:spacing w:val="-24"/>
          <w:w w:val="105"/>
        </w:rPr>
        <w:t> </w:t>
      </w:r>
      <w:r>
        <w:rPr>
          <w:color w:val="231F20"/>
          <w:w w:val="105"/>
        </w:rPr>
        <w:t>autoritaria dejo</w:t>
      </w:r>
      <w:r>
        <w:rPr>
          <w:color w:val="231F20"/>
          <w:spacing w:val="-8"/>
          <w:w w:val="105"/>
        </w:rPr>
        <w:t> </w:t>
      </w:r>
      <w:r>
        <w:rPr>
          <w:color w:val="231F20"/>
          <w:w w:val="105"/>
        </w:rPr>
        <w:t>irresueltos,</w:t>
      </w:r>
      <w:r>
        <w:rPr>
          <w:color w:val="231F20"/>
          <w:spacing w:val="-8"/>
          <w:w w:val="105"/>
        </w:rPr>
        <w:t> </w:t>
      </w:r>
      <w:r>
        <w:rPr>
          <w:color w:val="231F20"/>
          <w:w w:val="105"/>
        </w:rPr>
        <w:t>pero</w:t>
      </w:r>
      <w:r>
        <w:rPr>
          <w:color w:val="231F20"/>
          <w:spacing w:val="-8"/>
          <w:w w:val="105"/>
        </w:rPr>
        <w:t> </w:t>
      </w:r>
      <w:r>
        <w:rPr>
          <w:color w:val="231F20"/>
          <w:w w:val="105"/>
        </w:rPr>
        <w:t>además</w:t>
      </w:r>
      <w:r>
        <w:rPr>
          <w:color w:val="231F20"/>
          <w:spacing w:val="-8"/>
          <w:w w:val="105"/>
        </w:rPr>
        <w:t> </w:t>
      </w:r>
      <w:r>
        <w:rPr>
          <w:color w:val="231F20"/>
          <w:w w:val="105"/>
        </w:rPr>
        <w:t>agregándole</w:t>
      </w:r>
      <w:r>
        <w:rPr>
          <w:color w:val="231F20"/>
          <w:spacing w:val="-8"/>
          <w:w w:val="105"/>
        </w:rPr>
        <w:t> </w:t>
      </w:r>
      <w:r>
        <w:rPr>
          <w:color w:val="231F20"/>
          <w:w w:val="105"/>
        </w:rPr>
        <w:t>los</w:t>
      </w:r>
      <w:r>
        <w:rPr>
          <w:color w:val="231F20"/>
          <w:spacing w:val="-8"/>
          <w:w w:val="105"/>
        </w:rPr>
        <w:t> </w:t>
      </w:r>
      <w:r>
        <w:rPr>
          <w:color w:val="231F20"/>
          <w:w w:val="105"/>
        </w:rPr>
        <w:t>enemigos</w:t>
      </w:r>
      <w:r>
        <w:rPr>
          <w:color w:val="231F20"/>
          <w:spacing w:val="-8"/>
          <w:w w:val="105"/>
        </w:rPr>
        <w:t> </w:t>
      </w:r>
      <w:r>
        <w:rPr>
          <w:color w:val="231F20"/>
          <w:w w:val="105"/>
        </w:rPr>
        <w:t>que</w:t>
      </w:r>
      <w:r>
        <w:rPr>
          <w:color w:val="231F20"/>
          <w:spacing w:val="-8"/>
          <w:w w:val="105"/>
        </w:rPr>
        <w:t> </w:t>
      </w:r>
      <w:r>
        <w:rPr>
          <w:color w:val="231F20"/>
          <w:w w:val="105"/>
        </w:rPr>
        <w:t>el</w:t>
      </w:r>
      <w:r>
        <w:rPr>
          <w:color w:val="231F20"/>
          <w:spacing w:val="-8"/>
          <w:w w:val="105"/>
        </w:rPr>
        <w:t> </w:t>
      </w:r>
      <w:r>
        <w:rPr>
          <w:color w:val="231F20"/>
          <w:w w:val="105"/>
        </w:rPr>
        <w:t>descen- tramiento</w:t>
      </w:r>
      <w:r>
        <w:rPr>
          <w:color w:val="231F20"/>
          <w:spacing w:val="-8"/>
          <w:w w:val="105"/>
        </w:rPr>
        <w:t> </w:t>
      </w:r>
      <w:r>
        <w:rPr>
          <w:color w:val="231F20"/>
          <w:w w:val="105"/>
        </w:rPr>
        <w:t>de</w:t>
      </w:r>
      <w:r>
        <w:rPr>
          <w:color w:val="231F20"/>
          <w:spacing w:val="-8"/>
          <w:w w:val="105"/>
        </w:rPr>
        <w:t> </w:t>
      </w:r>
      <w:r>
        <w:rPr>
          <w:color w:val="231F20"/>
          <w:w w:val="105"/>
        </w:rPr>
        <w:t>lo</w:t>
      </w:r>
      <w:r>
        <w:rPr>
          <w:color w:val="231F20"/>
          <w:spacing w:val="-8"/>
          <w:w w:val="105"/>
        </w:rPr>
        <w:t> </w:t>
      </w:r>
      <w:r>
        <w:rPr>
          <w:color w:val="231F20"/>
          <w:w w:val="105"/>
        </w:rPr>
        <w:t>nacional</w:t>
      </w:r>
      <w:r>
        <w:rPr>
          <w:color w:val="231F20"/>
          <w:spacing w:val="-8"/>
          <w:w w:val="105"/>
        </w:rPr>
        <w:t> </w:t>
      </w:r>
      <w:r>
        <w:rPr>
          <w:color w:val="231F20"/>
          <w:w w:val="105"/>
        </w:rPr>
        <w:t>produjo</w:t>
      </w:r>
      <w:r>
        <w:rPr>
          <w:color w:val="231F20"/>
          <w:spacing w:val="-8"/>
          <w:w w:val="105"/>
        </w:rPr>
        <w:t> </w:t>
      </w:r>
      <w:r>
        <w:rPr>
          <w:color w:val="231F20"/>
          <w:w w:val="105"/>
        </w:rPr>
        <w:t>y</w:t>
      </w:r>
      <w:r>
        <w:rPr>
          <w:color w:val="231F20"/>
          <w:spacing w:val="-8"/>
          <w:w w:val="105"/>
        </w:rPr>
        <w:t> </w:t>
      </w:r>
      <w:r>
        <w:rPr>
          <w:color w:val="231F20"/>
          <w:w w:val="105"/>
        </w:rPr>
        <w:t>desarrolló</w:t>
      </w:r>
      <w:r>
        <w:rPr>
          <w:color w:val="231F20"/>
          <w:spacing w:val="-8"/>
          <w:w w:val="105"/>
        </w:rPr>
        <w:t> </w:t>
      </w:r>
      <w:r>
        <w:rPr>
          <w:color w:val="231F20"/>
          <w:w w:val="105"/>
        </w:rPr>
        <w:t>en</w:t>
      </w:r>
      <w:r>
        <w:rPr>
          <w:color w:val="231F20"/>
          <w:spacing w:val="-8"/>
          <w:w w:val="105"/>
        </w:rPr>
        <w:t> </w:t>
      </w:r>
      <w:r>
        <w:rPr>
          <w:color w:val="231F20"/>
          <w:w w:val="105"/>
        </w:rPr>
        <w:t>los</w:t>
      </w:r>
      <w:r>
        <w:rPr>
          <w:color w:val="231F20"/>
          <w:spacing w:val="-8"/>
          <w:w w:val="105"/>
        </w:rPr>
        <w:t> </w:t>
      </w:r>
      <w:r>
        <w:rPr>
          <w:color w:val="231F20"/>
          <w:w w:val="105"/>
        </w:rPr>
        <w:t>primeros</w:t>
      </w:r>
      <w:r>
        <w:rPr>
          <w:color w:val="231F20"/>
          <w:spacing w:val="-8"/>
          <w:w w:val="105"/>
        </w:rPr>
        <w:t> </w:t>
      </w:r>
      <w:r>
        <w:rPr>
          <w:color w:val="231F20"/>
          <w:w w:val="105"/>
        </w:rPr>
        <w:t>años</w:t>
      </w:r>
      <w:r>
        <w:rPr>
          <w:color w:val="231F20"/>
          <w:spacing w:val="-8"/>
          <w:w w:val="105"/>
        </w:rPr>
        <w:t> </w:t>
      </w:r>
      <w:r>
        <w:rPr>
          <w:color w:val="231F20"/>
          <w:w w:val="105"/>
        </w:rPr>
        <w:t>de</w:t>
      </w:r>
      <w:r>
        <w:rPr>
          <w:color w:val="231F20"/>
          <w:spacing w:val="-8"/>
          <w:w w:val="105"/>
        </w:rPr>
        <w:t> </w:t>
      </w:r>
      <w:r>
        <w:rPr>
          <w:color w:val="231F20"/>
          <w:w w:val="105"/>
        </w:rPr>
        <w:t>la etapa</w:t>
      </w:r>
      <w:r>
        <w:rPr>
          <w:color w:val="231F20"/>
          <w:spacing w:val="-24"/>
          <w:w w:val="105"/>
        </w:rPr>
        <w:t> </w:t>
      </w:r>
      <w:r>
        <w:rPr>
          <w:color w:val="231F20"/>
          <w:w w:val="105"/>
        </w:rPr>
        <w:t>postalternancia</w:t>
      </w:r>
      <w:r>
        <w:rPr>
          <w:color w:val="231F20"/>
          <w:spacing w:val="-24"/>
          <w:w w:val="105"/>
        </w:rPr>
        <w:t> </w:t>
      </w:r>
      <w:r>
        <w:rPr>
          <w:color w:val="231F20"/>
          <w:w w:val="105"/>
        </w:rPr>
        <w:t>bajo</w:t>
      </w:r>
      <w:r>
        <w:rPr>
          <w:color w:val="231F20"/>
          <w:spacing w:val="-24"/>
          <w:w w:val="105"/>
        </w:rPr>
        <w:t> </w:t>
      </w:r>
      <w:r>
        <w:rPr>
          <w:color w:val="231F20"/>
          <w:w w:val="105"/>
        </w:rPr>
        <w:t>la</w:t>
      </w:r>
      <w:r>
        <w:rPr>
          <w:color w:val="231F20"/>
          <w:spacing w:val="-24"/>
          <w:w w:val="105"/>
        </w:rPr>
        <w:t> </w:t>
      </w:r>
      <w:r>
        <w:rPr>
          <w:color w:val="231F20"/>
          <w:w w:val="105"/>
        </w:rPr>
        <w:t>modalidad</w:t>
      </w:r>
      <w:r>
        <w:rPr>
          <w:color w:val="231F20"/>
          <w:spacing w:val="-24"/>
          <w:w w:val="105"/>
        </w:rPr>
        <w:t> </w:t>
      </w:r>
      <w:r>
        <w:rPr>
          <w:color w:val="231F20"/>
          <w:w w:val="105"/>
        </w:rPr>
        <w:t>del</w:t>
      </w:r>
      <w:r>
        <w:rPr>
          <w:color w:val="231F20"/>
          <w:spacing w:val="-24"/>
          <w:w w:val="105"/>
        </w:rPr>
        <w:t> </w:t>
      </w:r>
      <w:r>
        <w:rPr>
          <w:color w:val="231F20"/>
          <w:w w:val="105"/>
        </w:rPr>
        <w:t>fenómeno</w:t>
      </w:r>
      <w:r>
        <w:rPr>
          <w:color w:val="231F20"/>
          <w:spacing w:val="-24"/>
          <w:w w:val="105"/>
        </w:rPr>
        <w:t> </w:t>
      </w:r>
      <w:r>
        <w:rPr>
          <w:color w:val="231F20"/>
          <w:w w:val="105"/>
        </w:rPr>
        <w:t>totalmente</w:t>
      </w:r>
      <w:r>
        <w:rPr>
          <w:color w:val="231F20"/>
          <w:spacing w:val="-24"/>
          <w:w w:val="105"/>
        </w:rPr>
        <w:t> </w:t>
      </w:r>
      <w:r>
        <w:rPr>
          <w:color w:val="231F20"/>
          <w:w w:val="105"/>
        </w:rPr>
        <w:t>atípico para cualquier proceso de consolidación, y que en el caso de la demo- cratización</w:t>
      </w:r>
      <w:r>
        <w:rPr>
          <w:color w:val="231F20"/>
          <w:spacing w:val="-17"/>
          <w:w w:val="105"/>
        </w:rPr>
        <w:t> </w:t>
      </w:r>
      <w:r>
        <w:rPr>
          <w:color w:val="231F20"/>
          <w:w w:val="105"/>
        </w:rPr>
        <w:t>mexicana</w:t>
      </w:r>
      <w:r>
        <w:rPr>
          <w:color w:val="231F20"/>
          <w:spacing w:val="-17"/>
          <w:w w:val="105"/>
        </w:rPr>
        <w:t> </w:t>
      </w:r>
      <w:r>
        <w:rPr>
          <w:color w:val="231F20"/>
          <w:w w:val="105"/>
        </w:rPr>
        <w:t>estuvo</w:t>
      </w:r>
      <w:r>
        <w:rPr>
          <w:color w:val="231F20"/>
          <w:spacing w:val="-17"/>
          <w:w w:val="105"/>
        </w:rPr>
        <w:t> </w:t>
      </w:r>
      <w:r>
        <w:rPr>
          <w:color w:val="231F20"/>
          <w:w w:val="105"/>
        </w:rPr>
        <w:t>basado</w:t>
      </w:r>
      <w:r>
        <w:rPr>
          <w:color w:val="231F20"/>
          <w:spacing w:val="-17"/>
          <w:w w:val="105"/>
        </w:rPr>
        <w:t> </w:t>
      </w:r>
      <w:r>
        <w:rPr>
          <w:color w:val="231F20"/>
          <w:w w:val="105"/>
        </w:rPr>
        <w:t>en</w:t>
      </w:r>
      <w:r>
        <w:rPr>
          <w:color w:val="231F20"/>
          <w:spacing w:val="-17"/>
          <w:w w:val="105"/>
        </w:rPr>
        <w:t> </w:t>
      </w:r>
      <w:r>
        <w:rPr>
          <w:color w:val="231F20"/>
          <w:w w:val="105"/>
        </w:rPr>
        <w:t>una</w:t>
      </w:r>
      <w:r>
        <w:rPr>
          <w:color w:val="231F20"/>
          <w:spacing w:val="-17"/>
          <w:w w:val="105"/>
        </w:rPr>
        <w:t> </w:t>
      </w:r>
      <w:r>
        <w:rPr>
          <w:color w:val="231F20"/>
          <w:w w:val="105"/>
        </w:rPr>
        <w:t>serie</w:t>
      </w:r>
      <w:r>
        <w:rPr>
          <w:color w:val="231F20"/>
          <w:spacing w:val="-17"/>
          <w:w w:val="105"/>
        </w:rPr>
        <w:t> </w:t>
      </w:r>
      <w:r>
        <w:rPr>
          <w:color w:val="231F20"/>
          <w:w w:val="105"/>
        </w:rPr>
        <w:t>de</w:t>
      </w:r>
      <w:r>
        <w:rPr>
          <w:color w:val="231F20"/>
          <w:spacing w:val="-17"/>
          <w:w w:val="105"/>
        </w:rPr>
        <w:t> </w:t>
      </w:r>
      <w:r>
        <w:rPr>
          <w:color w:val="231F20"/>
          <w:w w:val="105"/>
        </w:rPr>
        <w:t>fenómenos</w:t>
      </w:r>
      <w:r>
        <w:rPr>
          <w:color w:val="231F20"/>
          <w:spacing w:val="-17"/>
          <w:w w:val="105"/>
        </w:rPr>
        <w:t> </w:t>
      </w:r>
      <w:r>
        <w:rPr>
          <w:color w:val="231F20"/>
          <w:w w:val="105"/>
        </w:rPr>
        <w:t>erosivos del</w:t>
      </w:r>
      <w:r>
        <w:rPr>
          <w:color w:val="231F20"/>
          <w:spacing w:val="-20"/>
          <w:w w:val="105"/>
        </w:rPr>
        <w:t> </w:t>
      </w:r>
      <w:r>
        <w:rPr>
          <w:color w:val="231F20"/>
          <w:w w:val="105"/>
        </w:rPr>
        <w:t>orden</w:t>
      </w:r>
      <w:r>
        <w:rPr>
          <w:color w:val="231F20"/>
          <w:spacing w:val="-20"/>
          <w:w w:val="105"/>
        </w:rPr>
        <w:t> </w:t>
      </w:r>
      <w:r>
        <w:rPr>
          <w:color w:val="231F20"/>
          <w:w w:val="105"/>
        </w:rPr>
        <w:t>social</w:t>
      </w:r>
      <w:r>
        <w:rPr>
          <w:color w:val="231F20"/>
          <w:spacing w:val="-20"/>
          <w:w w:val="105"/>
        </w:rPr>
        <w:t> </w:t>
      </w:r>
      <w:r>
        <w:rPr>
          <w:color w:val="231F20"/>
          <w:w w:val="105"/>
        </w:rPr>
        <w:t>que</w:t>
      </w:r>
      <w:r>
        <w:rPr>
          <w:color w:val="231F20"/>
          <w:spacing w:val="-20"/>
          <w:w w:val="105"/>
        </w:rPr>
        <w:t> </w:t>
      </w:r>
      <w:r>
        <w:rPr>
          <w:color w:val="231F20"/>
          <w:w w:val="105"/>
        </w:rPr>
        <w:t>trastocaron</w:t>
      </w:r>
      <w:r>
        <w:rPr>
          <w:color w:val="231F20"/>
          <w:spacing w:val="-20"/>
          <w:w w:val="105"/>
        </w:rPr>
        <w:t> </w:t>
      </w:r>
      <w:r>
        <w:rPr>
          <w:color w:val="231F20"/>
          <w:w w:val="105"/>
        </w:rPr>
        <w:t>el</w:t>
      </w:r>
      <w:r>
        <w:rPr>
          <w:color w:val="231F20"/>
          <w:spacing w:val="-20"/>
          <w:w w:val="105"/>
        </w:rPr>
        <w:t> </w:t>
      </w:r>
      <w:r>
        <w:rPr>
          <w:color w:val="231F20"/>
          <w:w w:val="105"/>
        </w:rPr>
        <w:t>espacio</w:t>
      </w:r>
      <w:r>
        <w:rPr>
          <w:color w:val="231F20"/>
          <w:spacing w:val="-20"/>
          <w:w w:val="105"/>
        </w:rPr>
        <w:t> </w:t>
      </w:r>
      <w:r>
        <w:rPr>
          <w:color w:val="231F20"/>
          <w:w w:val="105"/>
        </w:rPr>
        <w:t>tradicional</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política</w:t>
      </w:r>
      <w:r>
        <w:rPr>
          <w:color w:val="231F20"/>
          <w:spacing w:val="-20"/>
          <w:w w:val="105"/>
        </w:rPr>
        <w:t> </w:t>
      </w:r>
      <w:r>
        <w:rPr>
          <w:color w:val="231F20"/>
          <w:w w:val="105"/>
        </w:rPr>
        <w:t>mexi- cana</w:t>
      </w:r>
      <w:r>
        <w:rPr>
          <w:color w:val="231F20"/>
          <w:w w:val="105"/>
          <w:position w:val="7"/>
          <w:sz w:val="12"/>
        </w:rPr>
        <w:t>60</w:t>
      </w:r>
      <w:r>
        <w:rPr>
          <w:color w:val="231F20"/>
          <w:w w:val="105"/>
        </w:rPr>
        <w:t>. Esto supone, si seguimos la indicación teórica de Carlos</w:t>
      </w:r>
      <w:r>
        <w:rPr>
          <w:color w:val="231F20"/>
          <w:spacing w:val="-43"/>
          <w:w w:val="105"/>
        </w:rPr>
        <w:t> </w:t>
      </w:r>
      <w:r>
        <w:rPr>
          <w:color w:val="231F20"/>
          <w:w w:val="105"/>
        </w:rPr>
        <w:t>Antonio Flores</w:t>
      </w:r>
      <w:r>
        <w:rPr>
          <w:color w:val="231F20"/>
          <w:spacing w:val="-16"/>
          <w:w w:val="105"/>
        </w:rPr>
        <w:t> </w:t>
      </w:r>
      <w:r>
        <w:rPr>
          <w:color w:val="231F20"/>
          <w:w w:val="105"/>
        </w:rPr>
        <w:t>Pérez</w:t>
      </w:r>
      <w:r>
        <w:rPr>
          <w:color w:val="231F20"/>
          <w:w w:val="105"/>
          <w:position w:val="7"/>
          <w:sz w:val="12"/>
        </w:rPr>
        <w:t>61</w:t>
      </w:r>
      <w:r>
        <w:rPr>
          <w:color w:val="231F20"/>
          <w:w w:val="105"/>
        </w:rPr>
        <w:t>,</w:t>
      </w:r>
      <w:r>
        <w:rPr>
          <w:color w:val="231F20"/>
          <w:spacing w:val="-16"/>
          <w:w w:val="105"/>
        </w:rPr>
        <w:t> </w:t>
      </w:r>
      <w:r>
        <w:rPr>
          <w:color w:val="231F20"/>
          <w:w w:val="105"/>
        </w:rPr>
        <w:t>un</w:t>
      </w:r>
      <w:r>
        <w:rPr>
          <w:color w:val="231F20"/>
          <w:spacing w:val="-16"/>
          <w:w w:val="105"/>
        </w:rPr>
        <w:t> </w:t>
      </w:r>
      <w:r>
        <w:rPr>
          <w:color w:val="231F20"/>
          <w:w w:val="105"/>
        </w:rPr>
        <w:t>cambio</w:t>
      </w:r>
      <w:r>
        <w:rPr>
          <w:color w:val="231F20"/>
          <w:spacing w:val="-16"/>
          <w:w w:val="105"/>
        </w:rPr>
        <w:t> </w:t>
      </w:r>
      <w:r>
        <w:rPr>
          <w:color w:val="231F20"/>
          <w:w w:val="105"/>
        </w:rPr>
        <w:t>profundo</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proceso</w:t>
      </w:r>
      <w:r>
        <w:rPr>
          <w:color w:val="231F20"/>
          <w:spacing w:val="-16"/>
          <w:w w:val="105"/>
        </w:rPr>
        <w:t> </w:t>
      </w:r>
      <w:r>
        <w:rPr>
          <w:color w:val="231F20"/>
          <w:w w:val="105"/>
        </w:rPr>
        <w:t>de</w:t>
      </w:r>
      <w:r>
        <w:rPr>
          <w:color w:val="231F20"/>
          <w:spacing w:val="-16"/>
          <w:w w:val="105"/>
        </w:rPr>
        <w:t> </w:t>
      </w:r>
      <w:r>
        <w:rPr>
          <w:color w:val="231F20"/>
          <w:w w:val="105"/>
        </w:rPr>
        <w:t>gestión</w:t>
      </w:r>
      <w:r>
        <w:rPr>
          <w:color w:val="231F20"/>
          <w:spacing w:val="-16"/>
          <w:w w:val="105"/>
        </w:rPr>
        <w:t> </w:t>
      </w:r>
      <w:r>
        <w:rPr>
          <w:color w:val="231F20"/>
          <w:w w:val="105"/>
        </w:rPr>
        <w:t>de</w:t>
      </w:r>
      <w:r>
        <w:rPr>
          <w:color w:val="231F20"/>
          <w:spacing w:val="-16"/>
          <w:w w:val="105"/>
        </w:rPr>
        <w:t> </w:t>
      </w:r>
      <w:r>
        <w:rPr>
          <w:color w:val="231F20"/>
          <w:w w:val="105"/>
        </w:rPr>
        <w:t>riesgos</w:t>
      </w:r>
      <w:r>
        <w:rPr>
          <w:color w:val="231F20"/>
          <w:spacing w:val="-16"/>
          <w:w w:val="105"/>
        </w:rPr>
        <w:t> </w:t>
      </w:r>
      <w:r>
        <w:rPr>
          <w:color w:val="231F20"/>
          <w:w w:val="105"/>
        </w:rPr>
        <w:t>y distribución</w:t>
      </w:r>
      <w:r>
        <w:rPr>
          <w:color w:val="231F20"/>
          <w:spacing w:val="-6"/>
          <w:w w:val="105"/>
        </w:rPr>
        <w:t> </w:t>
      </w:r>
      <w:r>
        <w:rPr>
          <w:color w:val="231F20"/>
          <w:w w:val="105"/>
        </w:rPr>
        <w:t>de</w:t>
      </w:r>
      <w:r>
        <w:rPr>
          <w:color w:val="231F20"/>
          <w:spacing w:val="-6"/>
          <w:w w:val="105"/>
        </w:rPr>
        <w:t> </w:t>
      </w:r>
      <w:r>
        <w:rPr>
          <w:color w:val="231F20"/>
          <w:w w:val="105"/>
        </w:rPr>
        <w:t>responsabilidades</w:t>
      </w:r>
      <w:r>
        <w:rPr>
          <w:color w:val="231F20"/>
          <w:spacing w:val="-6"/>
          <w:w w:val="105"/>
        </w:rPr>
        <w:t> </w:t>
      </w:r>
      <w:r>
        <w:rPr>
          <w:color w:val="231F20"/>
          <w:w w:val="105"/>
        </w:rPr>
        <w:t>del</w:t>
      </w:r>
      <w:r>
        <w:rPr>
          <w:color w:val="231F20"/>
          <w:spacing w:val="-6"/>
          <w:w w:val="105"/>
        </w:rPr>
        <w:t> </w:t>
      </w:r>
      <w:r>
        <w:rPr>
          <w:color w:val="231F20"/>
          <w:w w:val="105"/>
        </w:rPr>
        <w:t>espacio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política,</w:t>
      </w:r>
      <w:r>
        <w:rPr>
          <w:color w:val="231F20"/>
          <w:spacing w:val="-6"/>
          <w:w w:val="105"/>
        </w:rPr>
        <w:t> </w:t>
      </w:r>
      <w:r>
        <w:rPr>
          <w:color w:val="231F20"/>
          <w:w w:val="105"/>
        </w:rPr>
        <w:t>ya</w:t>
      </w:r>
      <w:r>
        <w:rPr>
          <w:color w:val="231F20"/>
          <w:spacing w:val="-6"/>
          <w:w w:val="105"/>
        </w:rPr>
        <w:t> </w:t>
      </w:r>
      <w:r>
        <w:rPr>
          <w:color w:val="231F20"/>
          <w:w w:val="105"/>
        </w:rPr>
        <w:t>que</w:t>
      </w:r>
      <w:r>
        <w:rPr>
          <w:color w:val="231F20"/>
          <w:spacing w:val="-6"/>
          <w:w w:val="105"/>
        </w:rPr>
        <w:t> </w:t>
      </w:r>
      <w:r>
        <w:rPr>
          <w:color w:val="231F20"/>
          <w:w w:val="105"/>
        </w:rPr>
        <w:t>pasa </w:t>
      </w:r>
      <w:r>
        <w:rPr>
          <w:color w:val="231F20"/>
        </w:rPr>
        <w:t>de una modalidad “centralizado–descendiente–incremental” (autoritaria),  </w:t>
      </w:r>
      <w:r>
        <w:rPr>
          <w:color w:val="231F20"/>
          <w:w w:val="105"/>
        </w:rPr>
        <w:t>a</w:t>
      </w:r>
      <w:r>
        <w:rPr>
          <w:color w:val="231F20"/>
          <w:spacing w:val="-24"/>
          <w:w w:val="105"/>
        </w:rPr>
        <w:t> </w:t>
      </w:r>
      <w:r>
        <w:rPr>
          <w:color w:val="231F20"/>
          <w:w w:val="105"/>
        </w:rPr>
        <w:t>un</w:t>
      </w:r>
      <w:r>
        <w:rPr>
          <w:color w:val="231F20"/>
          <w:spacing w:val="-24"/>
          <w:w w:val="105"/>
        </w:rPr>
        <w:t> </w:t>
      </w:r>
      <w:r>
        <w:rPr>
          <w:color w:val="231F20"/>
          <w:w w:val="105"/>
        </w:rPr>
        <w:t>espacio</w:t>
      </w:r>
      <w:r>
        <w:rPr>
          <w:color w:val="231F20"/>
          <w:spacing w:val="-24"/>
          <w:w w:val="105"/>
        </w:rPr>
        <w:t> </w:t>
      </w:r>
      <w:r>
        <w:rPr>
          <w:color w:val="231F20"/>
          <w:w w:val="105"/>
        </w:rPr>
        <w:t>de</w:t>
      </w:r>
      <w:r>
        <w:rPr>
          <w:color w:val="231F20"/>
          <w:spacing w:val="-24"/>
          <w:w w:val="105"/>
        </w:rPr>
        <w:t> </w:t>
      </w:r>
      <w:r>
        <w:rPr>
          <w:color w:val="231F20"/>
          <w:w w:val="105"/>
        </w:rPr>
        <w:t>contracción</w:t>
      </w:r>
      <w:r>
        <w:rPr>
          <w:color w:val="231F20"/>
          <w:spacing w:val="-24"/>
          <w:w w:val="105"/>
        </w:rPr>
        <w:t> </w:t>
      </w:r>
      <w:r>
        <w:rPr>
          <w:color w:val="231F20"/>
          <w:w w:val="105"/>
        </w:rPr>
        <w:t>“atomizado–multidireccionado–incremental” (democrática),</w:t>
      </w:r>
      <w:r>
        <w:rPr>
          <w:color w:val="231F20"/>
          <w:spacing w:val="-35"/>
          <w:w w:val="105"/>
        </w:rPr>
        <w:t> </w:t>
      </w:r>
      <w:r>
        <w:rPr>
          <w:color w:val="231F20"/>
          <w:w w:val="105"/>
        </w:rPr>
        <w:t>que</w:t>
      </w:r>
      <w:r>
        <w:rPr>
          <w:color w:val="231F20"/>
          <w:spacing w:val="-35"/>
          <w:w w:val="105"/>
        </w:rPr>
        <w:t> </w:t>
      </w:r>
      <w:r>
        <w:rPr>
          <w:color w:val="231F20"/>
          <w:w w:val="105"/>
        </w:rPr>
        <w:t>“libera”</w:t>
      </w:r>
      <w:r>
        <w:rPr>
          <w:color w:val="231F20"/>
          <w:spacing w:val="-35"/>
          <w:w w:val="105"/>
        </w:rPr>
        <w:t> </w:t>
      </w:r>
      <w:r>
        <w:rPr>
          <w:color w:val="231F20"/>
          <w:w w:val="105"/>
        </w:rPr>
        <w:t>espacios</w:t>
      </w:r>
      <w:r>
        <w:rPr>
          <w:color w:val="231F20"/>
          <w:spacing w:val="-35"/>
          <w:w w:val="105"/>
        </w:rPr>
        <w:t> </w:t>
      </w:r>
      <w:r>
        <w:rPr>
          <w:color w:val="231F20"/>
          <w:w w:val="105"/>
        </w:rPr>
        <w:t>que</w:t>
      </w:r>
      <w:r>
        <w:rPr>
          <w:color w:val="231F20"/>
          <w:spacing w:val="-35"/>
          <w:w w:val="105"/>
        </w:rPr>
        <w:t> </w:t>
      </w:r>
      <w:r>
        <w:rPr>
          <w:color w:val="231F20"/>
          <w:w w:val="105"/>
        </w:rPr>
        <w:t>estaban</w:t>
      </w:r>
      <w:r>
        <w:rPr>
          <w:color w:val="231F20"/>
          <w:spacing w:val="-35"/>
          <w:w w:val="105"/>
        </w:rPr>
        <w:t> </w:t>
      </w:r>
      <w:r>
        <w:rPr>
          <w:color w:val="231F20"/>
          <w:w w:val="105"/>
        </w:rPr>
        <w:t>colonizados</w:t>
      </w:r>
      <w:r>
        <w:rPr>
          <w:color w:val="231F20"/>
          <w:spacing w:val="-35"/>
          <w:w w:val="105"/>
        </w:rPr>
        <w:t> </w:t>
      </w:r>
      <w:r>
        <w:rPr>
          <w:color w:val="231F20"/>
          <w:w w:val="105"/>
        </w:rPr>
        <w:t>por</w:t>
      </w:r>
      <w:r>
        <w:rPr>
          <w:color w:val="231F20"/>
          <w:spacing w:val="-35"/>
          <w:w w:val="105"/>
        </w:rPr>
        <w:t> </w:t>
      </w:r>
      <w:r>
        <w:rPr>
          <w:color w:val="231F20"/>
          <w:w w:val="105"/>
        </w:rPr>
        <w:t>agentes directamente</w:t>
      </w:r>
      <w:r>
        <w:rPr>
          <w:color w:val="231F20"/>
          <w:spacing w:val="-12"/>
          <w:w w:val="105"/>
        </w:rPr>
        <w:t> </w:t>
      </w:r>
      <w:r>
        <w:rPr>
          <w:color w:val="231F20"/>
          <w:w w:val="105"/>
        </w:rPr>
        <w:t>vinculados</w:t>
      </w:r>
      <w:r>
        <w:rPr>
          <w:color w:val="231F20"/>
          <w:spacing w:val="-12"/>
          <w:w w:val="105"/>
        </w:rPr>
        <w:t> </w:t>
      </w:r>
      <w:r>
        <w:rPr>
          <w:color w:val="231F20"/>
          <w:w w:val="105"/>
        </w:rPr>
        <w:t>al</w:t>
      </w:r>
      <w:r>
        <w:rPr>
          <w:color w:val="231F20"/>
          <w:spacing w:val="-12"/>
          <w:w w:val="105"/>
        </w:rPr>
        <w:t> </w:t>
      </w:r>
      <w:r>
        <w:rPr>
          <w:color w:val="231F20"/>
          <w:w w:val="105"/>
        </w:rPr>
        <w:t>poder</w:t>
      </w:r>
      <w:r>
        <w:rPr>
          <w:color w:val="231F20"/>
          <w:spacing w:val="-12"/>
          <w:w w:val="105"/>
        </w:rPr>
        <w:t> </w:t>
      </w:r>
      <w:r>
        <w:rPr>
          <w:color w:val="231F20"/>
          <w:w w:val="105"/>
        </w:rPr>
        <w:t>político</w:t>
      </w:r>
      <w:r>
        <w:rPr>
          <w:color w:val="231F20"/>
          <w:spacing w:val="-12"/>
          <w:w w:val="105"/>
        </w:rPr>
        <w:t> </w:t>
      </w:r>
      <w:r>
        <w:rPr>
          <w:color w:val="231F20"/>
          <w:w w:val="105"/>
        </w:rPr>
        <w:t>nacional</w:t>
      </w:r>
      <w:r>
        <w:rPr>
          <w:color w:val="231F20"/>
          <w:spacing w:val="-12"/>
          <w:w w:val="105"/>
        </w:rPr>
        <w:t> </w:t>
      </w:r>
      <w:r>
        <w:rPr>
          <w:color w:val="231F20"/>
          <w:w w:val="105"/>
        </w:rPr>
        <w:t>y</w:t>
      </w:r>
      <w:r>
        <w:rPr>
          <w:color w:val="231F20"/>
          <w:spacing w:val="-12"/>
          <w:w w:val="105"/>
        </w:rPr>
        <w:t> </w:t>
      </w:r>
      <w:r>
        <w:rPr>
          <w:color w:val="231F20"/>
          <w:w w:val="105"/>
        </w:rPr>
        <w:t>desde</w:t>
      </w:r>
      <w:r>
        <w:rPr>
          <w:color w:val="231F20"/>
          <w:spacing w:val="-12"/>
          <w:w w:val="105"/>
        </w:rPr>
        <w:t> </w:t>
      </w:r>
      <w:r>
        <w:rPr>
          <w:color w:val="231F20"/>
          <w:w w:val="105"/>
        </w:rPr>
        <w:t>una</w:t>
      </w:r>
      <w:r>
        <w:rPr>
          <w:color w:val="231F20"/>
          <w:spacing w:val="-12"/>
          <w:w w:val="105"/>
        </w:rPr>
        <w:t> </w:t>
      </w:r>
      <w:r>
        <w:rPr>
          <w:color w:val="231F20"/>
          <w:w w:val="105"/>
        </w:rPr>
        <w:t>lógica</w:t>
      </w:r>
      <w:r>
        <w:rPr>
          <w:color w:val="231F20"/>
          <w:spacing w:val="-12"/>
          <w:w w:val="105"/>
        </w:rPr>
        <w:t> </w:t>
      </w:r>
      <w:r>
        <w:rPr>
          <w:color w:val="231F20"/>
          <w:w w:val="105"/>
        </w:rPr>
        <w:t>de</w:t>
      </w:r>
    </w:p>
    <w:p>
      <w:pPr>
        <w:pStyle w:val="BodyText"/>
        <w:spacing w:before="2"/>
        <w:rPr>
          <w:sz w:val="20"/>
        </w:rPr>
      </w:pPr>
      <w:r>
        <w:rPr/>
        <w:pict>
          <v:line style="position:absolute;mso-position-horizontal-relative:page;mso-position-vertical-relative:paragraph;z-index:7024;mso-wrap-distance-left:0;mso-wrap-distance-right:0" from="70.866096pt,14.306985pt" to="184.252096pt,14.306985pt" stroked="true" strokeweight=".3pt" strokecolor="#231f20">
            <w10:wrap type="topAndBottom"/>
          </v:line>
        </w:pict>
      </w:r>
    </w:p>
    <w:p>
      <w:pPr>
        <w:spacing w:line="204" w:lineRule="exact" w:before="9"/>
        <w:ind w:left="117" w:right="101" w:firstLine="0"/>
        <w:jc w:val="both"/>
        <w:rPr>
          <w:rFonts w:ascii="Calibri" w:hAnsi="Calibri"/>
          <w:sz w:val="17"/>
        </w:rPr>
      </w:pPr>
      <w:r>
        <w:rPr>
          <w:rFonts w:ascii="Calibri" w:hAnsi="Calibri"/>
          <w:color w:val="231F20"/>
          <w:w w:val="105"/>
          <w:position w:val="6"/>
          <w:sz w:val="10"/>
        </w:rPr>
        <w:t>59</w:t>
      </w:r>
      <w:r>
        <w:rPr>
          <w:rFonts w:ascii="Calibri" w:hAnsi="Calibri"/>
          <w:color w:val="231F20"/>
          <w:spacing w:val="7"/>
          <w:w w:val="105"/>
          <w:position w:val="6"/>
          <w:sz w:val="10"/>
        </w:rPr>
        <w:t> </w:t>
      </w:r>
      <w:r>
        <w:rPr>
          <w:rFonts w:ascii="Calibri" w:hAnsi="Calibri"/>
          <w:color w:val="231F20"/>
          <w:w w:val="105"/>
          <w:sz w:val="17"/>
        </w:rPr>
        <w:t>La</w:t>
      </w:r>
      <w:r>
        <w:rPr>
          <w:rFonts w:ascii="Calibri" w:hAnsi="Calibri"/>
          <w:color w:val="231F20"/>
          <w:spacing w:val="-9"/>
          <w:w w:val="105"/>
          <w:sz w:val="17"/>
        </w:rPr>
        <w:t> </w:t>
      </w:r>
      <w:r>
        <w:rPr>
          <w:rFonts w:ascii="Calibri" w:hAnsi="Calibri"/>
          <w:color w:val="231F20"/>
          <w:w w:val="105"/>
          <w:sz w:val="17"/>
        </w:rPr>
        <w:t>expresión</w:t>
      </w:r>
      <w:r>
        <w:rPr>
          <w:rFonts w:ascii="Calibri" w:hAnsi="Calibri"/>
          <w:color w:val="231F20"/>
          <w:spacing w:val="-9"/>
          <w:w w:val="105"/>
          <w:sz w:val="17"/>
        </w:rPr>
        <w:t> </w:t>
      </w:r>
      <w:r>
        <w:rPr>
          <w:rFonts w:ascii="Calibri" w:hAnsi="Calibri"/>
          <w:color w:val="231F20"/>
          <w:w w:val="105"/>
          <w:sz w:val="17"/>
        </w:rPr>
        <w:t>más</w:t>
      </w:r>
      <w:r>
        <w:rPr>
          <w:rFonts w:ascii="Calibri" w:hAnsi="Calibri"/>
          <w:color w:val="231F20"/>
          <w:spacing w:val="-9"/>
          <w:w w:val="105"/>
          <w:sz w:val="17"/>
        </w:rPr>
        <w:t> </w:t>
      </w:r>
      <w:r>
        <w:rPr>
          <w:rFonts w:ascii="Calibri" w:hAnsi="Calibri"/>
          <w:color w:val="231F20"/>
          <w:w w:val="105"/>
          <w:sz w:val="17"/>
        </w:rPr>
        <w:t>corrosiva</w:t>
      </w:r>
      <w:r>
        <w:rPr>
          <w:rFonts w:ascii="Calibri" w:hAnsi="Calibri"/>
          <w:color w:val="231F20"/>
          <w:spacing w:val="-9"/>
          <w:w w:val="105"/>
          <w:sz w:val="17"/>
        </w:rPr>
        <w:t> </w:t>
      </w:r>
      <w:r>
        <w:rPr>
          <w:rFonts w:ascii="Calibri" w:hAnsi="Calibri"/>
          <w:color w:val="231F20"/>
          <w:w w:val="105"/>
          <w:sz w:val="17"/>
        </w:rPr>
        <w:t>de</w:t>
      </w:r>
      <w:r>
        <w:rPr>
          <w:rFonts w:ascii="Calibri" w:hAnsi="Calibri"/>
          <w:color w:val="231F20"/>
          <w:spacing w:val="-9"/>
          <w:w w:val="105"/>
          <w:sz w:val="17"/>
        </w:rPr>
        <w:t> </w:t>
      </w:r>
      <w:r>
        <w:rPr>
          <w:rFonts w:ascii="Calibri" w:hAnsi="Calibri"/>
          <w:color w:val="231F20"/>
          <w:w w:val="105"/>
          <w:sz w:val="17"/>
        </w:rPr>
        <w:t>esta</w:t>
      </w:r>
      <w:r>
        <w:rPr>
          <w:rFonts w:ascii="Calibri" w:hAnsi="Calibri"/>
          <w:color w:val="231F20"/>
          <w:spacing w:val="-9"/>
          <w:w w:val="105"/>
          <w:sz w:val="17"/>
        </w:rPr>
        <w:t> </w:t>
      </w:r>
      <w:r>
        <w:rPr>
          <w:rFonts w:ascii="Calibri" w:hAnsi="Calibri"/>
          <w:color w:val="231F20"/>
          <w:w w:val="105"/>
          <w:sz w:val="17"/>
        </w:rPr>
        <w:t>soberanización</w:t>
      </w:r>
      <w:r>
        <w:rPr>
          <w:rFonts w:ascii="Calibri" w:hAnsi="Calibri"/>
          <w:color w:val="231F20"/>
          <w:spacing w:val="-9"/>
          <w:w w:val="105"/>
          <w:sz w:val="17"/>
        </w:rPr>
        <w:t> </w:t>
      </w:r>
      <w:r>
        <w:rPr>
          <w:rFonts w:ascii="Calibri" w:hAnsi="Calibri"/>
          <w:color w:val="231F20"/>
          <w:w w:val="105"/>
          <w:sz w:val="17"/>
        </w:rPr>
        <w:t>criminal</w:t>
      </w:r>
      <w:r>
        <w:rPr>
          <w:rFonts w:ascii="Calibri" w:hAnsi="Calibri"/>
          <w:color w:val="231F20"/>
          <w:spacing w:val="-9"/>
          <w:w w:val="105"/>
          <w:sz w:val="17"/>
        </w:rPr>
        <w:t> </w:t>
      </w:r>
      <w:r>
        <w:rPr>
          <w:rFonts w:ascii="Calibri" w:hAnsi="Calibri"/>
          <w:color w:val="231F20"/>
          <w:w w:val="105"/>
          <w:sz w:val="17"/>
        </w:rPr>
        <w:t>es</w:t>
      </w:r>
      <w:r>
        <w:rPr>
          <w:rFonts w:ascii="Calibri" w:hAnsi="Calibri"/>
          <w:color w:val="231F20"/>
          <w:spacing w:val="-9"/>
          <w:w w:val="105"/>
          <w:sz w:val="17"/>
        </w:rPr>
        <w:t> </w:t>
      </w:r>
      <w:r>
        <w:rPr>
          <w:rFonts w:ascii="Calibri" w:hAnsi="Calibri"/>
          <w:color w:val="231F20"/>
          <w:w w:val="105"/>
          <w:sz w:val="17"/>
        </w:rPr>
        <w:t>la</w:t>
      </w:r>
      <w:r>
        <w:rPr>
          <w:rFonts w:ascii="Calibri" w:hAnsi="Calibri"/>
          <w:color w:val="231F20"/>
          <w:spacing w:val="-9"/>
          <w:w w:val="105"/>
          <w:sz w:val="17"/>
        </w:rPr>
        <w:t> </w:t>
      </w:r>
      <w:r>
        <w:rPr>
          <w:rFonts w:ascii="Calibri" w:hAnsi="Calibri"/>
          <w:color w:val="231F20"/>
          <w:w w:val="105"/>
          <w:sz w:val="17"/>
        </w:rPr>
        <w:t>desaparición</w:t>
      </w:r>
      <w:r>
        <w:rPr>
          <w:rFonts w:ascii="Calibri" w:hAnsi="Calibri"/>
          <w:color w:val="231F20"/>
          <w:spacing w:val="-9"/>
          <w:w w:val="105"/>
          <w:sz w:val="17"/>
        </w:rPr>
        <w:t> </w:t>
      </w:r>
      <w:r>
        <w:rPr>
          <w:rFonts w:ascii="Calibri" w:hAnsi="Calibri"/>
          <w:color w:val="231F20"/>
          <w:w w:val="105"/>
          <w:sz w:val="17"/>
        </w:rPr>
        <w:t>el</w:t>
      </w:r>
      <w:r>
        <w:rPr>
          <w:rFonts w:ascii="Calibri" w:hAnsi="Calibri"/>
          <w:color w:val="231F20"/>
          <w:spacing w:val="-9"/>
          <w:w w:val="105"/>
          <w:sz w:val="17"/>
        </w:rPr>
        <w:t> </w:t>
      </w:r>
      <w:r>
        <w:rPr>
          <w:rFonts w:ascii="Calibri" w:hAnsi="Calibri"/>
          <w:color w:val="231F20"/>
          <w:w w:val="105"/>
          <w:sz w:val="17"/>
        </w:rPr>
        <w:t>26</w:t>
      </w:r>
      <w:r>
        <w:rPr>
          <w:rFonts w:ascii="Calibri" w:hAnsi="Calibri"/>
          <w:color w:val="231F20"/>
          <w:spacing w:val="-9"/>
          <w:w w:val="105"/>
          <w:sz w:val="17"/>
        </w:rPr>
        <w:t> </w:t>
      </w:r>
      <w:r>
        <w:rPr>
          <w:rFonts w:ascii="Calibri" w:hAnsi="Calibri"/>
          <w:color w:val="231F20"/>
          <w:w w:val="105"/>
          <w:sz w:val="17"/>
        </w:rPr>
        <w:t>de</w:t>
      </w:r>
      <w:r>
        <w:rPr>
          <w:rFonts w:ascii="Calibri" w:hAnsi="Calibri"/>
          <w:color w:val="231F20"/>
          <w:spacing w:val="-9"/>
          <w:w w:val="105"/>
          <w:sz w:val="17"/>
        </w:rPr>
        <w:t> </w:t>
      </w:r>
      <w:r>
        <w:rPr>
          <w:rFonts w:ascii="Calibri" w:hAnsi="Calibri"/>
          <w:color w:val="231F20"/>
          <w:w w:val="105"/>
          <w:sz w:val="17"/>
        </w:rPr>
        <w:t>septiem- bre</w:t>
      </w:r>
      <w:r>
        <w:rPr>
          <w:rFonts w:ascii="Calibri" w:hAnsi="Calibri"/>
          <w:color w:val="231F20"/>
          <w:spacing w:val="-11"/>
          <w:w w:val="105"/>
          <w:sz w:val="17"/>
        </w:rPr>
        <w:t> </w:t>
      </w:r>
      <w:r>
        <w:rPr>
          <w:rFonts w:ascii="Calibri" w:hAnsi="Calibri"/>
          <w:color w:val="231F20"/>
          <w:w w:val="105"/>
          <w:sz w:val="17"/>
        </w:rPr>
        <w:t>de</w:t>
      </w:r>
      <w:r>
        <w:rPr>
          <w:rFonts w:ascii="Calibri" w:hAnsi="Calibri"/>
          <w:color w:val="231F20"/>
          <w:spacing w:val="-11"/>
          <w:w w:val="105"/>
          <w:sz w:val="17"/>
        </w:rPr>
        <w:t> </w:t>
      </w:r>
      <w:r>
        <w:rPr>
          <w:rFonts w:ascii="Calibri" w:hAnsi="Calibri"/>
          <w:color w:val="231F20"/>
          <w:w w:val="105"/>
          <w:sz w:val="17"/>
        </w:rPr>
        <w:t>2014</w:t>
      </w:r>
      <w:r>
        <w:rPr>
          <w:rFonts w:ascii="Calibri" w:hAnsi="Calibri"/>
          <w:color w:val="231F20"/>
          <w:spacing w:val="-11"/>
          <w:w w:val="105"/>
          <w:sz w:val="17"/>
        </w:rPr>
        <w:t> </w:t>
      </w:r>
      <w:r>
        <w:rPr>
          <w:rFonts w:ascii="Calibri" w:hAnsi="Calibri"/>
          <w:color w:val="231F20"/>
          <w:w w:val="105"/>
          <w:sz w:val="17"/>
        </w:rPr>
        <w:t>de</w:t>
      </w:r>
      <w:r>
        <w:rPr>
          <w:rFonts w:ascii="Calibri" w:hAnsi="Calibri"/>
          <w:color w:val="231F20"/>
          <w:spacing w:val="-11"/>
          <w:w w:val="105"/>
          <w:sz w:val="17"/>
        </w:rPr>
        <w:t> </w:t>
      </w:r>
      <w:r>
        <w:rPr>
          <w:rFonts w:ascii="Calibri" w:hAnsi="Calibri"/>
          <w:color w:val="231F20"/>
          <w:w w:val="105"/>
          <w:sz w:val="17"/>
        </w:rPr>
        <w:t>43</w:t>
      </w:r>
      <w:r>
        <w:rPr>
          <w:rFonts w:ascii="Calibri" w:hAnsi="Calibri"/>
          <w:color w:val="231F20"/>
          <w:spacing w:val="-11"/>
          <w:w w:val="105"/>
          <w:sz w:val="17"/>
        </w:rPr>
        <w:t> </w:t>
      </w:r>
      <w:r>
        <w:rPr>
          <w:rFonts w:ascii="Calibri" w:hAnsi="Calibri"/>
          <w:color w:val="231F20"/>
          <w:w w:val="105"/>
          <w:sz w:val="17"/>
        </w:rPr>
        <w:t>estudiantes</w:t>
      </w:r>
      <w:r>
        <w:rPr>
          <w:rFonts w:ascii="Calibri" w:hAnsi="Calibri"/>
          <w:color w:val="231F20"/>
          <w:spacing w:val="-11"/>
          <w:w w:val="105"/>
          <w:sz w:val="17"/>
        </w:rPr>
        <w:t> </w:t>
      </w:r>
      <w:r>
        <w:rPr>
          <w:rFonts w:ascii="Calibri" w:hAnsi="Calibri"/>
          <w:color w:val="231F20"/>
          <w:w w:val="105"/>
          <w:sz w:val="17"/>
        </w:rPr>
        <w:t>normalistas</w:t>
      </w:r>
      <w:r>
        <w:rPr>
          <w:rFonts w:ascii="Calibri" w:hAnsi="Calibri"/>
          <w:color w:val="231F20"/>
          <w:spacing w:val="-11"/>
          <w:w w:val="105"/>
          <w:sz w:val="17"/>
        </w:rPr>
        <w:t> </w:t>
      </w:r>
      <w:r>
        <w:rPr>
          <w:rFonts w:ascii="Calibri" w:hAnsi="Calibri"/>
          <w:color w:val="231F20"/>
          <w:w w:val="105"/>
          <w:sz w:val="17"/>
        </w:rPr>
        <w:t>en</w:t>
      </w:r>
      <w:r>
        <w:rPr>
          <w:rFonts w:ascii="Calibri" w:hAnsi="Calibri"/>
          <w:color w:val="231F20"/>
          <w:spacing w:val="-11"/>
          <w:w w:val="105"/>
          <w:sz w:val="17"/>
        </w:rPr>
        <w:t> </w:t>
      </w:r>
      <w:r>
        <w:rPr>
          <w:rFonts w:ascii="Calibri" w:hAnsi="Calibri"/>
          <w:color w:val="231F20"/>
          <w:w w:val="105"/>
          <w:sz w:val="17"/>
        </w:rPr>
        <w:t>Ayotzinapa,</w:t>
      </w:r>
      <w:r>
        <w:rPr>
          <w:rFonts w:ascii="Calibri" w:hAnsi="Calibri"/>
          <w:color w:val="231F20"/>
          <w:spacing w:val="-11"/>
          <w:w w:val="105"/>
          <w:sz w:val="17"/>
        </w:rPr>
        <w:t> </w:t>
      </w:r>
      <w:r>
        <w:rPr>
          <w:rFonts w:ascii="Calibri" w:hAnsi="Calibri"/>
          <w:color w:val="231F20"/>
          <w:w w:val="105"/>
          <w:sz w:val="17"/>
        </w:rPr>
        <w:t>en</w:t>
      </w:r>
      <w:r>
        <w:rPr>
          <w:rFonts w:ascii="Calibri" w:hAnsi="Calibri"/>
          <w:color w:val="231F20"/>
          <w:spacing w:val="-11"/>
          <w:w w:val="105"/>
          <w:sz w:val="17"/>
        </w:rPr>
        <w:t> </w:t>
      </w:r>
      <w:r>
        <w:rPr>
          <w:rFonts w:ascii="Calibri" w:hAnsi="Calibri"/>
          <w:color w:val="231F20"/>
          <w:w w:val="105"/>
          <w:sz w:val="17"/>
        </w:rPr>
        <w:t>la</w:t>
      </w:r>
      <w:r>
        <w:rPr>
          <w:rFonts w:ascii="Calibri" w:hAnsi="Calibri"/>
          <w:color w:val="231F20"/>
          <w:spacing w:val="-11"/>
          <w:w w:val="105"/>
          <w:sz w:val="17"/>
        </w:rPr>
        <w:t> </w:t>
      </w:r>
      <w:r>
        <w:rPr>
          <w:rFonts w:ascii="Calibri" w:hAnsi="Calibri"/>
          <w:color w:val="231F20"/>
          <w:w w:val="105"/>
          <w:sz w:val="17"/>
        </w:rPr>
        <w:t>región</w:t>
      </w:r>
      <w:r>
        <w:rPr>
          <w:rFonts w:ascii="Calibri" w:hAnsi="Calibri"/>
          <w:color w:val="231F20"/>
          <w:spacing w:val="-11"/>
          <w:w w:val="105"/>
          <w:sz w:val="17"/>
        </w:rPr>
        <w:t> </w:t>
      </w:r>
      <w:r>
        <w:rPr>
          <w:rFonts w:ascii="Calibri" w:hAnsi="Calibri"/>
          <w:color w:val="231F20"/>
          <w:w w:val="105"/>
          <w:sz w:val="17"/>
        </w:rPr>
        <w:t>de</w:t>
      </w:r>
      <w:r>
        <w:rPr>
          <w:rFonts w:ascii="Calibri" w:hAnsi="Calibri"/>
          <w:color w:val="231F20"/>
          <w:spacing w:val="-11"/>
          <w:w w:val="105"/>
          <w:sz w:val="17"/>
        </w:rPr>
        <w:t> </w:t>
      </w:r>
      <w:r>
        <w:rPr>
          <w:rFonts w:ascii="Calibri" w:hAnsi="Calibri"/>
          <w:color w:val="231F20"/>
          <w:w w:val="105"/>
          <w:sz w:val="17"/>
        </w:rPr>
        <w:t>Iguala,</w:t>
      </w:r>
      <w:r>
        <w:rPr>
          <w:rFonts w:ascii="Calibri" w:hAnsi="Calibri"/>
          <w:color w:val="231F20"/>
          <w:spacing w:val="-11"/>
          <w:w w:val="105"/>
          <w:sz w:val="17"/>
        </w:rPr>
        <w:t> </w:t>
      </w:r>
      <w:r>
        <w:rPr>
          <w:rFonts w:ascii="Calibri" w:hAnsi="Calibri"/>
          <w:color w:val="231F20"/>
          <w:w w:val="105"/>
          <w:sz w:val="17"/>
        </w:rPr>
        <w:t>perteneciente</w:t>
      </w:r>
      <w:r>
        <w:rPr>
          <w:rFonts w:ascii="Calibri" w:hAnsi="Calibri"/>
          <w:color w:val="231F20"/>
          <w:spacing w:val="-11"/>
          <w:w w:val="105"/>
          <w:sz w:val="17"/>
        </w:rPr>
        <w:t> </w:t>
      </w:r>
      <w:r>
        <w:rPr>
          <w:rFonts w:ascii="Calibri" w:hAnsi="Calibri"/>
          <w:color w:val="231F20"/>
          <w:w w:val="105"/>
          <w:sz w:val="17"/>
        </w:rPr>
        <w:t>al estado de Guerrero, donde estuvieron involucrados diversos grupos criminales con el apoyo</w:t>
      </w:r>
      <w:r>
        <w:rPr>
          <w:rFonts w:ascii="Calibri" w:hAnsi="Calibri"/>
          <w:color w:val="231F20"/>
          <w:spacing w:val="-22"/>
          <w:w w:val="105"/>
          <w:sz w:val="17"/>
        </w:rPr>
        <w:t> </w:t>
      </w:r>
      <w:r>
        <w:rPr>
          <w:rFonts w:ascii="Calibri" w:hAnsi="Calibri"/>
          <w:color w:val="231F20"/>
          <w:w w:val="105"/>
          <w:sz w:val="17"/>
        </w:rPr>
        <w:t>del presidente</w:t>
      </w:r>
      <w:r>
        <w:rPr>
          <w:rFonts w:ascii="Calibri" w:hAnsi="Calibri"/>
          <w:color w:val="231F20"/>
          <w:spacing w:val="-16"/>
          <w:w w:val="105"/>
          <w:sz w:val="17"/>
        </w:rPr>
        <w:t> </w:t>
      </w:r>
      <w:r>
        <w:rPr>
          <w:rFonts w:ascii="Calibri" w:hAnsi="Calibri"/>
          <w:color w:val="231F20"/>
          <w:w w:val="105"/>
          <w:sz w:val="17"/>
        </w:rPr>
        <w:t>municipal</w:t>
      </w:r>
      <w:r>
        <w:rPr>
          <w:rFonts w:ascii="Calibri" w:hAnsi="Calibri"/>
          <w:color w:val="231F20"/>
          <w:spacing w:val="-17"/>
          <w:w w:val="105"/>
          <w:sz w:val="17"/>
        </w:rPr>
        <w:t> </w:t>
      </w:r>
      <w:r>
        <w:rPr>
          <w:rFonts w:ascii="Calibri" w:hAnsi="Calibri"/>
          <w:color w:val="231F20"/>
          <w:w w:val="105"/>
          <w:sz w:val="17"/>
        </w:rPr>
        <w:t>y</w:t>
      </w:r>
      <w:r>
        <w:rPr>
          <w:rFonts w:ascii="Calibri" w:hAnsi="Calibri"/>
          <w:color w:val="231F20"/>
          <w:spacing w:val="-16"/>
          <w:w w:val="105"/>
          <w:sz w:val="17"/>
        </w:rPr>
        <w:t> </w:t>
      </w:r>
      <w:r>
        <w:rPr>
          <w:rFonts w:ascii="Calibri" w:hAnsi="Calibri"/>
          <w:color w:val="231F20"/>
          <w:w w:val="105"/>
          <w:sz w:val="17"/>
        </w:rPr>
        <w:t>de</w:t>
      </w:r>
      <w:r>
        <w:rPr>
          <w:rFonts w:ascii="Calibri" w:hAnsi="Calibri"/>
          <w:color w:val="231F20"/>
          <w:spacing w:val="-16"/>
          <w:w w:val="105"/>
          <w:sz w:val="17"/>
        </w:rPr>
        <w:t> </w:t>
      </w:r>
      <w:r>
        <w:rPr>
          <w:rFonts w:ascii="Calibri" w:hAnsi="Calibri"/>
          <w:color w:val="231F20"/>
          <w:w w:val="105"/>
          <w:sz w:val="17"/>
        </w:rPr>
        <w:t>otras</w:t>
      </w:r>
      <w:r>
        <w:rPr>
          <w:rFonts w:ascii="Calibri" w:hAnsi="Calibri"/>
          <w:color w:val="231F20"/>
          <w:spacing w:val="-16"/>
          <w:w w:val="105"/>
          <w:sz w:val="17"/>
        </w:rPr>
        <w:t> </w:t>
      </w:r>
      <w:r>
        <w:rPr>
          <w:rFonts w:ascii="Calibri" w:hAnsi="Calibri"/>
          <w:color w:val="231F20"/>
          <w:w w:val="105"/>
          <w:sz w:val="17"/>
        </w:rPr>
        <w:t>autoridades</w:t>
      </w:r>
      <w:r>
        <w:rPr>
          <w:rFonts w:ascii="Calibri" w:hAnsi="Calibri"/>
          <w:color w:val="231F20"/>
          <w:spacing w:val="-16"/>
          <w:w w:val="105"/>
          <w:sz w:val="17"/>
        </w:rPr>
        <w:t> </w:t>
      </w:r>
      <w:r>
        <w:rPr>
          <w:rFonts w:ascii="Calibri" w:hAnsi="Calibri"/>
          <w:color w:val="231F20"/>
          <w:w w:val="105"/>
          <w:sz w:val="17"/>
        </w:rPr>
        <w:t>públicas,</w:t>
      </w:r>
      <w:r>
        <w:rPr>
          <w:rFonts w:ascii="Calibri" w:hAnsi="Calibri"/>
          <w:color w:val="231F20"/>
          <w:spacing w:val="-16"/>
          <w:w w:val="105"/>
          <w:sz w:val="17"/>
        </w:rPr>
        <w:t> </w:t>
      </w:r>
      <w:r>
        <w:rPr>
          <w:rFonts w:ascii="Calibri" w:hAnsi="Calibri"/>
          <w:color w:val="231F20"/>
          <w:w w:val="105"/>
          <w:sz w:val="17"/>
        </w:rPr>
        <w:t>así</w:t>
      </w:r>
      <w:r>
        <w:rPr>
          <w:rFonts w:ascii="Calibri" w:hAnsi="Calibri"/>
          <w:color w:val="231F20"/>
          <w:spacing w:val="-16"/>
          <w:w w:val="105"/>
          <w:sz w:val="17"/>
        </w:rPr>
        <w:t> </w:t>
      </w:r>
      <w:r>
        <w:rPr>
          <w:rFonts w:ascii="Calibri" w:hAnsi="Calibri"/>
          <w:color w:val="231F20"/>
          <w:w w:val="105"/>
          <w:sz w:val="17"/>
        </w:rPr>
        <w:t>como</w:t>
      </w:r>
      <w:r>
        <w:rPr>
          <w:rFonts w:ascii="Calibri" w:hAnsi="Calibri"/>
          <w:color w:val="231F20"/>
          <w:spacing w:val="-16"/>
          <w:w w:val="105"/>
          <w:sz w:val="17"/>
        </w:rPr>
        <w:t> </w:t>
      </w:r>
      <w:r>
        <w:rPr>
          <w:rFonts w:ascii="Calibri" w:hAnsi="Calibri"/>
          <w:color w:val="231F20"/>
          <w:w w:val="105"/>
          <w:sz w:val="17"/>
        </w:rPr>
        <w:t>el</w:t>
      </w:r>
      <w:r>
        <w:rPr>
          <w:rFonts w:ascii="Calibri" w:hAnsi="Calibri"/>
          <w:color w:val="231F20"/>
          <w:spacing w:val="-16"/>
          <w:w w:val="105"/>
          <w:sz w:val="17"/>
        </w:rPr>
        <w:t> </w:t>
      </w:r>
      <w:r>
        <w:rPr>
          <w:rFonts w:ascii="Calibri" w:hAnsi="Calibri"/>
          <w:color w:val="231F20"/>
          <w:w w:val="105"/>
          <w:sz w:val="17"/>
        </w:rPr>
        <w:t>de</w:t>
      </w:r>
      <w:r>
        <w:rPr>
          <w:rFonts w:ascii="Calibri" w:hAnsi="Calibri"/>
          <w:color w:val="231F20"/>
          <w:spacing w:val="-16"/>
          <w:w w:val="105"/>
          <w:sz w:val="17"/>
        </w:rPr>
        <w:t> </w:t>
      </w:r>
      <w:r>
        <w:rPr>
          <w:rFonts w:ascii="Calibri" w:hAnsi="Calibri"/>
          <w:color w:val="231F20"/>
          <w:w w:val="105"/>
          <w:sz w:val="17"/>
        </w:rPr>
        <w:t>la</w:t>
      </w:r>
      <w:r>
        <w:rPr>
          <w:rFonts w:ascii="Calibri" w:hAnsi="Calibri"/>
          <w:color w:val="231F20"/>
          <w:spacing w:val="-16"/>
          <w:w w:val="105"/>
          <w:sz w:val="17"/>
        </w:rPr>
        <w:t> </w:t>
      </w:r>
      <w:r>
        <w:rPr>
          <w:rFonts w:ascii="Calibri" w:hAnsi="Calibri"/>
          <w:color w:val="231F20"/>
          <w:w w:val="105"/>
          <w:sz w:val="17"/>
        </w:rPr>
        <w:t>policía</w:t>
      </w:r>
      <w:r>
        <w:rPr>
          <w:rFonts w:ascii="Calibri" w:hAnsi="Calibri"/>
          <w:color w:val="231F20"/>
          <w:spacing w:val="-16"/>
          <w:w w:val="105"/>
          <w:sz w:val="17"/>
        </w:rPr>
        <w:t> </w:t>
      </w:r>
      <w:r>
        <w:rPr>
          <w:rFonts w:ascii="Calibri" w:hAnsi="Calibri"/>
          <w:color w:val="231F20"/>
          <w:w w:val="105"/>
          <w:sz w:val="17"/>
        </w:rPr>
        <w:t>municipal</w:t>
      </w:r>
      <w:r>
        <w:rPr>
          <w:rFonts w:ascii="Calibri" w:hAnsi="Calibri"/>
          <w:color w:val="231F20"/>
          <w:spacing w:val="-17"/>
          <w:w w:val="105"/>
          <w:sz w:val="17"/>
        </w:rPr>
        <w:t> </w:t>
      </w:r>
      <w:r>
        <w:rPr>
          <w:rFonts w:ascii="Calibri" w:hAnsi="Calibri"/>
          <w:color w:val="231F20"/>
          <w:w w:val="105"/>
          <w:sz w:val="17"/>
        </w:rPr>
        <w:t>y</w:t>
      </w:r>
      <w:r>
        <w:rPr>
          <w:rFonts w:ascii="Calibri" w:hAnsi="Calibri"/>
          <w:color w:val="231F20"/>
          <w:spacing w:val="-16"/>
          <w:w w:val="105"/>
          <w:sz w:val="17"/>
        </w:rPr>
        <w:t> </w:t>
      </w:r>
      <w:r>
        <w:rPr>
          <w:rFonts w:ascii="Calibri" w:hAnsi="Calibri"/>
          <w:color w:val="231F20"/>
          <w:w w:val="105"/>
          <w:sz w:val="17"/>
        </w:rPr>
        <w:t>el</w:t>
      </w:r>
      <w:r>
        <w:rPr>
          <w:rFonts w:ascii="Calibri" w:hAnsi="Calibri"/>
          <w:color w:val="231F20"/>
          <w:spacing w:val="-16"/>
          <w:w w:val="105"/>
          <w:sz w:val="17"/>
        </w:rPr>
        <w:t> </w:t>
      </w:r>
      <w:r>
        <w:rPr>
          <w:rFonts w:ascii="Calibri" w:hAnsi="Calibri"/>
          <w:color w:val="231F20"/>
          <w:w w:val="105"/>
          <w:sz w:val="17"/>
        </w:rPr>
        <w:t>Ejérci- to</w:t>
      </w:r>
      <w:r>
        <w:rPr>
          <w:rFonts w:ascii="Calibri" w:hAnsi="Calibri"/>
          <w:color w:val="231F20"/>
          <w:spacing w:val="-24"/>
          <w:w w:val="105"/>
          <w:sz w:val="17"/>
        </w:rPr>
        <w:t> </w:t>
      </w:r>
      <w:r>
        <w:rPr>
          <w:rFonts w:ascii="Calibri" w:hAnsi="Calibri"/>
          <w:color w:val="231F20"/>
          <w:w w:val="105"/>
          <w:sz w:val="17"/>
        </w:rPr>
        <w:t>nacional.</w:t>
      </w:r>
      <w:r>
        <w:rPr>
          <w:rFonts w:ascii="Calibri" w:hAnsi="Calibri"/>
          <w:color w:val="231F20"/>
          <w:spacing w:val="-24"/>
          <w:w w:val="105"/>
          <w:sz w:val="17"/>
        </w:rPr>
        <w:t> </w:t>
      </w:r>
      <w:r>
        <w:rPr>
          <w:rFonts w:ascii="Calibri" w:hAnsi="Calibri"/>
          <w:color w:val="231F20"/>
          <w:w w:val="105"/>
          <w:sz w:val="17"/>
        </w:rPr>
        <w:t>Para</w:t>
      </w:r>
      <w:r>
        <w:rPr>
          <w:rFonts w:ascii="Calibri" w:hAnsi="Calibri"/>
          <w:color w:val="231F20"/>
          <w:spacing w:val="-24"/>
          <w:w w:val="105"/>
          <w:sz w:val="17"/>
        </w:rPr>
        <w:t> </w:t>
      </w:r>
      <w:r>
        <w:rPr>
          <w:rFonts w:ascii="Calibri" w:hAnsi="Calibri"/>
          <w:color w:val="231F20"/>
          <w:w w:val="105"/>
          <w:sz w:val="17"/>
        </w:rPr>
        <w:t>mayor</w:t>
      </w:r>
      <w:r>
        <w:rPr>
          <w:rFonts w:ascii="Calibri" w:hAnsi="Calibri"/>
          <w:color w:val="231F20"/>
          <w:spacing w:val="-24"/>
          <w:w w:val="105"/>
          <w:sz w:val="17"/>
        </w:rPr>
        <w:t> </w:t>
      </w:r>
      <w:r>
        <w:rPr>
          <w:rFonts w:ascii="Calibri" w:hAnsi="Calibri"/>
          <w:color w:val="231F20"/>
          <w:w w:val="105"/>
          <w:sz w:val="17"/>
        </w:rPr>
        <w:t>detalle,</w:t>
      </w:r>
      <w:r>
        <w:rPr>
          <w:rFonts w:ascii="Calibri" w:hAnsi="Calibri"/>
          <w:color w:val="231F20"/>
          <w:spacing w:val="-25"/>
          <w:w w:val="105"/>
          <w:sz w:val="17"/>
        </w:rPr>
        <w:t> </w:t>
      </w:r>
      <w:r>
        <w:rPr>
          <w:rFonts w:ascii="Calibri" w:hAnsi="Calibri"/>
          <w:color w:val="231F20"/>
          <w:w w:val="105"/>
          <w:sz w:val="17"/>
        </w:rPr>
        <w:t>véase</w:t>
      </w:r>
      <w:r>
        <w:rPr>
          <w:rFonts w:ascii="Calibri" w:hAnsi="Calibri"/>
          <w:color w:val="231F20"/>
          <w:spacing w:val="-24"/>
          <w:w w:val="105"/>
          <w:sz w:val="17"/>
        </w:rPr>
        <w:t> </w:t>
      </w:r>
      <w:r>
        <w:rPr>
          <w:rFonts w:ascii="Calibri" w:hAnsi="Calibri"/>
          <w:color w:val="231F20"/>
          <w:w w:val="105"/>
          <w:sz w:val="17"/>
        </w:rPr>
        <w:t>S.</w:t>
      </w:r>
      <w:r>
        <w:rPr>
          <w:rFonts w:ascii="Calibri" w:hAnsi="Calibri"/>
          <w:color w:val="231F20"/>
          <w:spacing w:val="-24"/>
          <w:w w:val="105"/>
          <w:sz w:val="17"/>
        </w:rPr>
        <w:t> </w:t>
      </w:r>
      <w:r>
        <w:rPr>
          <w:rFonts w:ascii="Calibri" w:hAnsi="Calibri"/>
          <w:color w:val="231F20"/>
          <w:w w:val="105"/>
          <w:sz w:val="17"/>
        </w:rPr>
        <w:t>González</w:t>
      </w:r>
      <w:r>
        <w:rPr>
          <w:rFonts w:ascii="Calibri" w:hAnsi="Calibri"/>
          <w:color w:val="231F20"/>
          <w:spacing w:val="-24"/>
          <w:w w:val="105"/>
          <w:sz w:val="17"/>
        </w:rPr>
        <w:t> </w:t>
      </w:r>
      <w:r>
        <w:rPr>
          <w:rFonts w:ascii="Calibri" w:hAnsi="Calibri"/>
          <w:color w:val="231F20"/>
          <w:w w:val="105"/>
          <w:sz w:val="17"/>
        </w:rPr>
        <w:t>Rodríguez,</w:t>
      </w:r>
      <w:r>
        <w:rPr>
          <w:rFonts w:ascii="Calibri" w:hAnsi="Calibri"/>
          <w:color w:val="231F20"/>
          <w:spacing w:val="-24"/>
          <w:w w:val="105"/>
          <w:sz w:val="17"/>
        </w:rPr>
        <w:t> </w:t>
      </w:r>
      <w:r>
        <w:rPr>
          <w:rFonts w:ascii="Calibri" w:hAnsi="Calibri"/>
          <w:i/>
          <w:color w:val="231F20"/>
          <w:w w:val="105"/>
          <w:sz w:val="17"/>
        </w:rPr>
        <w:t>Los</w:t>
      </w:r>
      <w:r>
        <w:rPr>
          <w:rFonts w:ascii="Calibri" w:hAnsi="Calibri"/>
          <w:i/>
          <w:color w:val="231F20"/>
          <w:spacing w:val="-24"/>
          <w:w w:val="105"/>
          <w:sz w:val="17"/>
        </w:rPr>
        <w:t> </w:t>
      </w:r>
      <w:r>
        <w:rPr>
          <w:rFonts w:ascii="Calibri" w:hAnsi="Calibri"/>
          <w:i/>
          <w:color w:val="231F20"/>
          <w:w w:val="105"/>
          <w:sz w:val="17"/>
        </w:rPr>
        <w:t>43</w:t>
      </w:r>
      <w:r>
        <w:rPr>
          <w:rFonts w:ascii="Calibri" w:hAnsi="Calibri"/>
          <w:i/>
          <w:color w:val="231F20"/>
          <w:spacing w:val="-24"/>
          <w:w w:val="105"/>
          <w:sz w:val="17"/>
        </w:rPr>
        <w:t> </w:t>
      </w:r>
      <w:r>
        <w:rPr>
          <w:rFonts w:ascii="Calibri" w:hAnsi="Calibri"/>
          <w:i/>
          <w:color w:val="231F20"/>
          <w:w w:val="105"/>
          <w:sz w:val="17"/>
        </w:rPr>
        <w:t>de</w:t>
      </w:r>
      <w:r>
        <w:rPr>
          <w:rFonts w:ascii="Calibri" w:hAnsi="Calibri"/>
          <w:i/>
          <w:color w:val="231F20"/>
          <w:spacing w:val="-24"/>
          <w:w w:val="105"/>
          <w:sz w:val="17"/>
        </w:rPr>
        <w:t> </w:t>
      </w:r>
      <w:r>
        <w:rPr>
          <w:rFonts w:ascii="Calibri" w:hAnsi="Calibri"/>
          <w:i/>
          <w:color w:val="231F20"/>
          <w:w w:val="105"/>
          <w:sz w:val="17"/>
        </w:rPr>
        <w:t>Iguala.</w:t>
      </w:r>
      <w:r>
        <w:rPr>
          <w:rFonts w:ascii="Calibri" w:hAnsi="Calibri"/>
          <w:i/>
          <w:color w:val="231F20"/>
          <w:spacing w:val="-24"/>
          <w:w w:val="105"/>
          <w:sz w:val="17"/>
        </w:rPr>
        <w:t> </w:t>
      </w:r>
      <w:r>
        <w:rPr>
          <w:rFonts w:ascii="Calibri" w:hAnsi="Calibri"/>
          <w:i/>
          <w:color w:val="231F20"/>
          <w:w w:val="105"/>
          <w:sz w:val="17"/>
        </w:rPr>
        <w:t>México:</w:t>
      </w:r>
      <w:r>
        <w:rPr>
          <w:rFonts w:ascii="Calibri" w:hAnsi="Calibri"/>
          <w:i/>
          <w:color w:val="231F20"/>
          <w:spacing w:val="-26"/>
          <w:w w:val="105"/>
          <w:sz w:val="17"/>
        </w:rPr>
        <w:t> </w:t>
      </w:r>
      <w:r>
        <w:rPr>
          <w:rFonts w:ascii="Calibri" w:hAnsi="Calibri"/>
          <w:i/>
          <w:color w:val="231F20"/>
          <w:w w:val="105"/>
          <w:sz w:val="17"/>
        </w:rPr>
        <w:t>verdad</w:t>
      </w:r>
      <w:r>
        <w:rPr>
          <w:rFonts w:ascii="Calibri" w:hAnsi="Calibri"/>
          <w:i/>
          <w:color w:val="231F20"/>
          <w:spacing w:val="-25"/>
          <w:w w:val="105"/>
          <w:sz w:val="17"/>
        </w:rPr>
        <w:t> </w:t>
      </w:r>
      <w:r>
        <w:rPr>
          <w:rFonts w:ascii="Calibri" w:hAnsi="Calibri"/>
          <w:i/>
          <w:color w:val="231F20"/>
          <w:w w:val="105"/>
          <w:sz w:val="17"/>
        </w:rPr>
        <w:t>y</w:t>
      </w:r>
      <w:r>
        <w:rPr>
          <w:rFonts w:ascii="Calibri" w:hAnsi="Calibri"/>
          <w:i/>
          <w:color w:val="231F20"/>
          <w:spacing w:val="-24"/>
          <w:w w:val="105"/>
          <w:sz w:val="17"/>
        </w:rPr>
        <w:t> </w:t>
      </w:r>
      <w:r>
        <w:rPr>
          <w:rFonts w:ascii="Calibri" w:hAnsi="Calibri"/>
          <w:i/>
          <w:color w:val="231F20"/>
          <w:w w:val="105"/>
          <w:sz w:val="17"/>
        </w:rPr>
        <w:t>reto </w:t>
      </w:r>
      <w:r>
        <w:rPr>
          <w:rFonts w:ascii="Calibri" w:hAnsi="Calibri"/>
          <w:i/>
          <w:color w:val="231F20"/>
          <w:sz w:val="17"/>
        </w:rPr>
        <w:t>de</w:t>
      </w:r>
      <w:r>
        <w:rPr>
          <w:rFonts w:ascii="Calibri" w:hAnsi="Calibri"/>
          <w:i/>
          <w:color w:val="231F20"/>
          <w:spacing w:val="-6"/>
          <w:sz w:val="17"/>
        </w:rPr>
        <w:t> </w:t>
      </w:r>
      <w:r>
        <w:rPr>
          <w:rFonts w:ascii="Calibri" w:hAnsi="Calibri"/>
          <w:i/>
          <w:color w:val="231F20"/>
          <w:sz w:val="17"/>
        </w:rPr>
        <w:t>los</w:t>
      </w:r>
      <w:r>
        <w:rPr>
          <w:rFonts w:ascii="Calibri" w:hAnsi="Calibri"/>
          <w:i/>
          <w:color w:val="231F20"/>
          <w:spacing w:val="-6"/>
          <w:sz w:val="17"/>
        </w:rPr>
        <w:t> </w:t>
      </w:r>
      <w:r>
        <w:rPr>
          <w:rFonts w:ascii="Calibri" w:hAnsi="Calibri"/>
          <w:i/>
          <w:color w:val="231F20"/>
          <w:sz w:val="17"/>
        </w:rPr>
        <w:t>estudiantes</w:t>
      </w:r>
      <w:r>
        <w:rPr>
          <w:rFonts w:ascii="Calibri" w:hAnsi="Calibri"/>
          <w:i/>
          <w:color w:val="231F20"/>
          <w:spacing w:val="-6"/>
          <w:sz w:val="17"/>
        </w:rPr>
        <w:t> </w:t>
      </w:r>
      <w:r>
        <w:rPr>
          <w:rFonts w:ascii="Calibri" w:hAnsi="Calibri"/>
          <w:i/>
          <w:color w:val="231F20"/>
          <w:sz w:val="17"/>
        </w:rPr>
        <w:t>desaparecidos</w:t>
      </w:r>
      <w:r>
        <w:rPr>
          <w:rFonts w:ascii="Calibri" w:hAnsi="Calibri"/>
          <w:color w:val="231F20"/>
          <w:sz w:val="17"/>
        </w:rPr>
        <w:t>,</w:t>
      </w:r>
      <w:r>
        <w:rPr>
          <w:rFonts w:ascii="Calibri" w:hAnsi="Calibri"/>
          <w:color w:val="231F20"/>
          <w:spacing w:val="-5"/>
          <w:sz w:val="17"/>
        </w:rPr>
        <w:t> </w:t>
      </w:r>
      <w:r>
        <w:rPr>
          <w:rFonts w:ascii="Calibri" w:hAnsi="Calibri"/>
          <w:color w:val="231F20"/>
          <w:sz w:val="17"/>
        </w:rPr>
        <w:t>México,</w:t>
      </w:r>
      <w:r>
        <w:rPr>
          <w:rFonts w:ascii="Calibri" w:hAnsi="Calibri"/>
          <w:color w:val="231F20"/>
          <w:spacing w:val="-5"/>
          <w:sz w:val="17"/>
        </w:rPr>
        <w:t> </w:t>
      </w:r>
      <w:r>
        <w:rPr>
          <w:rFonts w:ascii="Calibri" w:hAnsi="Calibri"/>
          <w:color w:val="231F20"/>
          <w:sz w:val="17"/>
        </w:rPr>
        <w:t>Anagrama,</w:t>
      </w:r>
      <w:r>
        <w:rPr>
          <w:rFonts w:ascii="Calibri" w:hAnsi="Calibri"/>
          <w:color w:val="231F20"/>
          <w:spacing w:val="-5"/>
          <w:sz w:val="17"/>
        </w:rPr>
        <w:t> </w:t>
      </w:r>
      <w:r>
        <w:rPr>
          <w:rFonts w:ascii="Calibri" w:hAnsi="Calibri"/>
          <w:color w:val="231F20"/>
          <w:sz w:val="17"/>
        </w:rPr>
        <w:t>2015.</w:t>
      </w:r>
    </w:p>
    <w:p>
      <w:pPr>
        <w:spacing w:line="206" w:lineRule="exact" w:before="1"/>
        <w:ind w:left="117" w:right="0" w:firstLine="0"/>
        <w:jc w:val="both"/>
        <w:rPr>
          <w:rFonts w:ascii="Calibri" w:hAnsi="Calibri"/>
          <w:sz w:val="17"/>
        </w:rPr>
      </w:pPr>
      <w:r>
        <w:rPr>
          <w:rFonts w:ascii="Calibri" w:hAnsi="Calibri"/>
          <w:color w:val="231F20"/>
          <w:w w:val="105"/>
          <w:position w:val="6"/>
          <w:sz w:val="10"/>
        </w:rPr>
        <w:t>60</w:t>
      </w:r>
      <w:r>
        <w:rPr>
          <w:rFonts w:ascii="Calibri" w:hAnsi="Calibri"/>
          <w:color w:val="231F20"/>
          <w:spacing w:val="4"/>
          <w:w w:val="105"/>
          <w:position w:val="6"/>
          <w:sz w:val="10"/>
        </w:rPr>
        <w:t> </w:t>
      </w:r>
      <w:r>
        <w:rPr>
          <w:rFonts w:ascii="Calibri" w:hAnsi="Calibri"/>
          <w:color w:val="231F20"/>
          <w:w w:val="105"/>
          <w:sz w:val="17"/>
        </w:rPr>
        <w:t>L.</w:t>
      </w:r>
      <w:r>
        <w:rPr>
          <w:rFonts w:ascii="Calibri" w:hAnsi="Calibri"/>
          <w:color w:val="231F20"/>
          <w:spacing w:val="-13"/>
          <w:w w:val="105"/>
          <w:sz w:val="17"/>
        </w:rPr>
        <w:t> </w:t>
      </w:r>
      <w:r>
        <w:rPr>
          <w:rFonts w:ascii="Calibri" w:hAnsi="Calibri"/>
          <w:color w:val="231F20"/>
          <w:w w:val="105"/>
          <w:sz w:val="17"/>
        </w:rPr>
        <w:t>Astorga,</w:t>
      </w:r>
      <w:r>
        <w:rPr>
          <w:rFonts w:ascii="Calibri" w:hAnsi="Calibri"/>
          <w:color w:val="231F20"/>
          <w:spacing w:val="-13"/>
          <w:w w:val="105"/>
          <w:sz w:val="17"/>
        </w:rPr>
        <w:t> </w:t>
      </w:r>
      <w:r>
        <w:rPr>
          <w:rFonts w:ascii="Calibri" w:hAnsi="Calibri"/>
          <w:color w:val="231F20"/>
          <w:w w:val="105"/>
          <w:sz w:val="17"/>
        </w:rPr>
        <w:t>“México:</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seguridad</w:t>
      </w:r>
      <w:r>
        <w:rPr>
          <w:rFonts w:ascii="Calibri" w:hAnsi="Calibri"/>
          <w:color w:val="231F20"/>
          <w:spacing w:val="-13"/>
          <w:w w:val="105"/>
          <w:sz w:val="17"/>
        </w:rPr>
        <w:t> </w:t>
      </w:r>
      <w:r>
        <w:rPr>
          <w:rFonts w:ascii="Calibri" w:hAnsi="Calibri"/>
          <w:color w:val="231F20"/>
          <w:w w:val="105"/>
          <w:sz w:val="17"/>
        </w:rPr>
        <w:t>autoritaria</w:t>
      </w:r>
      <w:r>
        <w:rPr>
          <w:rFonts w:ascii="Calibri" w:hAnsi="Calibri"/>
          <w:color w:val="231F20"/>
          <w:spacing w:val="-13"/>
          <w:w w:val="105"/>
          <w:sz w:val="17"/>
        </w:rPr>
        <w:t> </w:t>
      </w:r>
      <w:r>
        <w:rPr>
          <w:rFonts w:ascii="Calibri" w:hAnsi="Calibri"/>
          <w:color w:val="231F20"/>
          <w:w w:val="105"/>
          <w:sz w:val="17"/>
        </w:rPr>
        <w:t>a</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inseguridad</w:t>
      </w:r>
      <w:r>
        <w:rPr>
          <w:rFonts w:ascii="Calibri" w:hAnsi="Calibri"/>
          <w:color w:val="231F20"/>
          <w:spacing w:val="-13"/>
          <w:w w:val="105"/>
          <w:sz w:val="17"/>
        </w:rPr>
        <w:t> </w:t>
      </w:r>
      <w:r>
        <w:rPr>
          <w:rFonts w:ascii="Calibri" w:hAnsi="Calibri"/>
          <w:color w:val="231F20"/>
          <w:w w:val="105"/>
          <w:sz w:val="17"/>
        </w:rPr>
        <w:t>en</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transición</w:t>
      </w:r>
      <w:r>
        <w:rPr>
          <w:rFonts w:ascii="Calibri" w:hAnsi="Calibri"/>
          <w:color w:val="231F20"/>
          <w:spacing w:val="-13"/>
          <w:w w:val="105"/>
          <w:sz w:val="17"/>
        </w:rPr>
        <w:t> </w:t>
      </w:r>
      <w:r>
        <w:rPr>
          <w:rFonts w:ascii="Calibri" w:hAnsi="Calibri"/>
          <w:color w:val="231F20"/>
          <w:w w:val="105"/>
          <w:sz w:val="17"/>
        </w:rPr>
        <w:t>democrática”,</w:t>
      </w:r>
      <w:r>
        <w:rPr>
          <w:rFonts w:ascii="Calibri" w:hAnsi="Calibri"/>
          <w:color w:val="231F20"/>
          <w:spacing w:val="-13"/>
          <w:w w:val="105"/>
          <w:sz w:val="17"/>
        </w:rPr>
        <w:t> </w:t>
      </w:r>
      <w:r>
        <w:rPr>
          <w:rFonts w:ascii="Calibri" w:hAnsi="Calibri"/>
          <w:color w:val="231F20"/>
          <w:w w:val="105"/>
          <w:sz w:val="17"/>
        </w:rPr>
        <w:t>J.</w:t>
      </w:r>
    </w:p>
    <w:p>
      <w:pPr>
        <w:spacing w:line="235" w:lineRule="auto" w:before="1"/>
        <w:ind w:left="117" w:right="101" w:firstLine="0"/>
        <w:jc w:val="both"/>
        <w:rPr>
          <w:rFonts w:ascii="Calibri" w:hAnsi="Calibri"/>
          <w:sz w:val="17"/>
        </w:rPr>
      </w:pPr>
      <w:r>
        <w:rPr>
          <w:rFonts w:ascii="Calibri" w:hAnsi="Calibri"/>
          <w:color w:val="231F20"/>
          <w:sz w:val="17"/>
        </w:rPr>
        <w:t>G. Tokatlian (comp), </w:t>
      </w:r>
      <w:r>
        <w:rPr>
          <w:rFonts w:ascii="Calibri" w:hAnsi="Calibri"/>
          <w:i/>
          <w:color w:val="231F20"/>
          <w:sz w:val="17"/>
        </w:rPr>
        <w:t>Drogas y prohibición. Una vieja guerra, un nuevo debate</w:t>
      </w:r>
      <w:r>
        <w:rPr>
          <w:rFonts w:ascii="Calibri" w:hAnsi="Calibri"/>
          <w:color w:val="231F20"/>
          <w:sz w:val="17"/>
        </w:rPr>
        <w:t>, Buenos Aires, Libros del Zorzal, 2010 p. 355.</w:t>
      </w:r>
    </w:p>
    <w:p>
      <w:pPr>
        <w:spacing w:line="235" w:lineRule="auto" w:before="0"/>
        <w:ind w:left="117" w:right="101" w:firstLine="0"/>
        <w:jc w:val="both"/>
        <w:rPr>
          <w:rFonts w:ascii="Calibri" w:hAnsi="Calibri"/>
          <w:sz w:val="17"/>
        </w:rPr>
      </w:pPr>
      <w:r>
        <w:rPr>
          <w:rFonts w:ascii="Calibri" w:hAnsi="Calibri"/>
          <w:color w:val="231F20"/>
          <w:position w:val="6"/>
          <w:sz w:val="10"/>
        </w:rPr>
        <w:t>61 </w:t>
      </w:r>
      <w:r>
        <w:rPr>
          <w:rFonts w:ascii="Calibri" w:hAnsi="Calibri"/>
          <w:color w:val="231F20"/>
          <w:sz w:val="17"/>
        </w:rPr>
        <w:t>C. A. Flores Pérez, </w:t>
      </w:r>
      <w:r>
        <w:rPr>
          <w:rFonts w:ascii="Calibri" w:hAnsi="Calibri"/>
          <w:i/>
          <w:color w:val="231F20"/>
          <w:sz w:val="17"/>
        </w:rPr>
        <w:t>El Estado en crisis: crimen organizado y política. Desafíos para la consolidación </w:t>
      </w:r>
      <w:r>
        <w:rPr>
          <w:rFonts w:ascii="Calibri" w:hAnsi="Calibri"/>
          <w:i/>
          <w:color w:val="231F20"/>
          <w:sz w:val="17"/>
        </w:rPr>
        <w:t>democrática</w:t>
      </w:r>
      <w:r>
        <w:rPr>
          <w:rFonts w:ascii="Calibri" w:hAnsi="Calibri"/>
          <w:color w:val="231F20"/>
          <w:sz w:val="17"/>
        </w:rPr>
        <w:t>, México, Centro de Investigaciones y estudios Superiores en Antropología  Social,  2009,</w:t>
      </w:r>
      <w:r>
        <w:rPr>
          <w:rFonts w:ascii="Calibri" w:hAnsi="Calibri"/>
          <w:color w:val="231F20"/>
          <w:spacing w:val="-18"/>
          <w:sz w:val="17"/>
        </w:rPr>
        <w:t> </w:t>
      </w:r>
      <w:r>
        <w:rPr>
          <w:rFonts w:ascii="Calibri" w:hAnsi="Calibri"/>
          <w:color w:val="231F20"/>
          <w:sz w:val="17"/>
        </w:rPr>
        <w:t>pp.</w:t>
      </w:r>
      <w:r>
        <w:rPr>
          <w:rFonts w:ascii="Calibri" w:hAnsi="Calibri"/>
          <w:color w:val="231F20"/>
          <w:spacing w:val="-18"/>
          <w:sz w:val="17"/>
        </w:rPr>
        <w:t> </w:t>
      </w:r>
      <w:r>
        <w:rPr>
          <w:rFonts w:ascii="Calibri" w:hAnsi="Calibri"/>
          <w:color w:val="231F20"/>
          <w:sz w:val="17"/>
        </w:rPr>
        <w:t>139–140.</w:t>
      </w:r>
    </w:p>
    <w:p>
      <w:pPr>
        <w:spacing w:after="0" w:line="235" w:lineRule="auto"/>
        <w:jc w:val="both"/>
        <w:rPr>
          <w:rFonts w:ascii="Calibri" w:hAnsi="Calibri"/>
          <w:sz w:val="17"/>
        </w:rPr>
        <w:sectPr>
          <w:type w:val="continuous"/>
          <w:pgSz w:w="9640" w:h="13890"/>
          <w:pgMar w:top="0" w:bottom="0" w:left="1300" w:right="1200"/>
        </w:sectPr>
      </w:pPr>
    </w:p>
    <w:p>
      <w:pPr>
        <w:pStyle w:val="BodyText"/>
        <w:spacing w:line="247" w:lineRule="auto" w:before="107"/>
        <w:ind w:left="64" w:right="115"/>
        <w:jc w:val="right"/>
      </w:pPr>
      <w:r>
        <w:rPr>
          <w:color w:val="231F20"/>
          <w:w w:val="105"/>
        </w:rPr>
        <w:t>ejercicio</w:t>
      </w:r>
      <w:r>
        <w:rPr>
          <w:color w:val="231F20"/>
          <w:spacing w:val="-32"/>
          <w:w w:val="105"/>
        </w:rPr>
        <w:t> </w:t>
      </w:r>
      <w:r>
        <w:rPr>
          <w:color w:val="231F20"/>
          <w:w w:val="105"/>
        </w:rPr>
        <w:t>del</w:t>
      </w:r>
      <w:r>
        <w:rPr>
          <w:color w:val="231F20"/>
          <w:spacing w:val="-32"/>
          <w:w w:val="105"/>
        </w:rPr>
        <w:t> </w:t>
      </w:r>
      <w:r>
        <w:rPr>
          <w:color w:val="231F20"/>
          <w:w w:val="105"/>
        </w:rPr>
        <w:t>poder</w:t>
      </w:r>
      <w:r>
        <w:rPr>
          <w:color w:val="231F20"/>
          <w:spacing w:val="-32"/>
          <w:w w:val="105"/>
        </w:rPr>
        <w:t> </w:t>
      </w:r>
      <w:r>
        <w:rPr>
          <w:color w:val="231F20"/>
          <w:w w:val="105"/>
        </w:rPr>
        <w:t>verticalizada,</w:t>
      </w:r>
      <w:r>
        <w:rPr>
          <w:color w:val="231F20"/>
          <w:spacing w:val="-32"/>
          <w:w w:val="105"/>
        </w:rPr>
        <w:t> </w:t>
      </w:r>
      <w:r>
        <w:rPr>
          <w:color w:val="231F20"/>
          <w:w w:val="105"/>
        </w:rPr>
        <w:t>de</w:t>
      </w:r>
      <w:r>
        <w:rPr>
          <w:color w:val="231F20"/>
          <w:spacing w:val="-32"/>
          <w:w w:val="105"/>
        </w:rPr>
        <w:t> </w:t>
      </w:r>
      <w:r>
        <w:rPr>
          <w:color w:val="231F20"/>
          <w:w w:val="105"/>
        </w:rPr>
        <w:t>“arriba</w:t>
      </w:r>
      <w:r>
        <w:rPr>
          <w:color w:val="231F20"/>
          <w:spacing w:val="-32"/>
          <w:w w:val="105"/>
        </w:rPr>
        <w:t> </w:t>
      </w:r>
      <w:r>
        <w:rPr>
          <w:color w:val="231F20"/>
          <w:w w:val="105"/>
        </w:rPr>
        <w:t>hacia</w:t>
      </w:r>
      <w:r>
        <w:rPr>
          <w:color w:val="231F20"/>
          <w:spacing w:val="-32"/>
          <w:w w:val="105"/>
        </w:rPr>
        <w:t> </w:t>
      </w:r>
      <w:r>
        <w:rPr>
          <w:color w:val="231F20"/>
          <w:w w:val="105"/>
        </w:rPr>
        <w:t>abajo”,</w:t>
      </w:r>
      <w:r>
        <w:rPr>
          <w:color w:val="231F20"/>
          <w:spacing w:val="-32"/>
          <w:w w:val="105"/>
        </w:rPr>
        <w:t> </w:t>
      </w:r>
      <w:r>
        <w:rPr>
          <w:color w:val="231F20"/>
          <w:w w:val="105"/>
        </w:rPr>
        <w:t>operativizaban</w:t>
      </w:r>
      <w:r>
        <w:rPr>
          <w:color w:val="231F20"/>
          <w:spacing w:val="-32"/>
          <w:w w:val="105"/>
        </w:rPr>
        <w:t> </w:t>
      </w:r>
      <w:r>
        <w:rPr>
          <w:color w:val="231F20"/>
          <w:w w:val="105"/>
        </w:rPr>
        <w:t>el</w:t>
      </w:r>
      <w:r>
        <w:rPr>
          <w:color w:val="231F20"/>
          <w:w w:val="105"/>
        </w:rPr>
        <w:t> </w:t>
      </w:r>
      <w:r>
        <w:rPr>
          <w:color w:val="231F20"/>
          <w:w w:val="105"/>
        </w:rPr>
        <w:t>poder</w:t>
      </w:r>
      <w:r>
        <w:rPr>
          <w:color w:val="231F20"/>
          <w:spacing w:val="-9"/>
          <w:w w:val="105"/>
        </w:rPr>
        <w:t> </w:t>
      </w:r>
      <w:r>
        <w:rPr>
          <w:color w:val="231F20"/>
          <w:w w:val="105"/>
        </w:rPr>
        <w:t>político</w:t>
      </w:r>
      <w:r>
        <w:rPr>
          <w:color w:val="231F20"/>
          <w:spacing w:val="-9"/>
          <w:w w:val="105"/>
        </w:rPr>
        <w:t> </w:t>
      </w:r>
      <w:r>
        <w:rPr>
          <w:color w:val="231F20"/>
          <w:w w:val="105"/>
        </w:rPr>
        <w:t>local.</w:t>
      </w:r>
      <w:r>
        <w:rPr>
          <w:color w:val="231F20"/>
          <w:spacing w:val="-9"/>
          <w:w w:val="105"/>
        </w:rPr>
        <w:t> </w:t>
      </w:r>
      <w:r>
        <w:rPr>
          <w:color w:val="231F20"/>
          <w:w w:val="105"/>
        </w:rPr>
        <w:t>Por</w:t>
      </w:r>
      <w:r>
        <w:rPr>
          <w:color w:val="231F20"/>
          <w:spacing w:val="-9"/>
          <w:w w:val="105"/>
        </w:rPr>
        <w:t> </w:t>
      </w:r>
      <w:r>
        <w:rPr>
          <w:color w:val="231F20"/>
          <w:w w:val="105"/>
        </w:rPr>
        <w:t>consiguiente,</w:t>
      </w:r>
      <w:r>
        <w:rPr>
          <w:color w:val="231F20"/>
          <w:spacing w:val="-9"/>
          <w:w w:val="105"/>
        </w:rPr>
        <w:t> </w:t>
      </w:r>
      <w:r>
        <w:rPr>
          <w:color w:val="231F20"/>
          <w:w w:val="105"/>
        </w:rPr>
        <w:t>aparecerán</w:t>
      </w:r>
      <w:r>
        <w:rPr>
          <w:color w:val="231F20"/>
          <w:spacing w:val="-9"/>
          <w:w w:val="105"/>
        </w:rPr>
        <w:t> </w:t>
      </w:r>
      <w:r>
        <w:rPr>
          <w:color w:val="231F20"/>
          <w:w w:val="105"/>
        </w:rPr>
        <w:t>nuevos</w:t>
      </w:r>
      <w:r>
        <w:rPr>
          <w:color w:val="231F20"/>
          <w:spacing w:val="-9"/>
          <w:w w:val="105"/>
        </w:rPr>
        <w:t> </w:t>
      </w:r>
      <w:r>
        <w:rPr>
          <w:color w:val="231F20"/>
          <w:w w:val="105"/>
        </w:rPr>
        <w:t>actores</w:t>
      </w:r>
      <w:r>
        <w:rPr>
          <w:color w:val="231F20"/>
          <w:spacing w:val="-9"/>
          <w:w w:val="105"/>
        </w:rPr>
        <w:t> </w:t>
      </w:r>
      <w:r>
        <w:rPr>
          <w:color w:val="231F20"/>
          <w:w w:val="105"/>
        </w:rPr>
        <w:t>no</w:t>
      </w:r>
      <w:r>
        <w:rPr>
          <w:color w:val="231F20"/>
          <w:spacing w:val="-9"/>
          <w:w w:val="105"/>
        </w:rPr>
        <w:t> </w:t>
      </w:r>
      <w:r>
        <w:rPr>
          <w:color w:val="231F20"/>
          <w:w w:val="105"/>
        </w:rPr>
        <w:t>es-</w:t>
      </w:r>
      <w:r>
        <w:rPr>
          <w:color w:val="231F20"/>
          <w:w w:val="91"/>
        </w:rPr>
        <w:t> </w:t>
      </w:r>
      <w:r>
        <w:rPr>
          <w:color w:val="231F20"/>
          <w:w w:val="105"/>
        </w:rPr>
        <w:t>tatales</w:t>
      </w:r>
      <w:r>
        <w:rPr>
          <w:color w:val="231F20"/>
          <w:spacing w:val="-15"/>
          <w:w w:val="105"/>
        </w:rPr>
        <w:t> </w:t>
      </w:r>
      <w:r>
        <w:rPr>
          <w:color w:val="231F20"/>
          <w:w w:val="105"/>
        </w:rPr>
        <w:t>definibles</w:t>
      </w:r>
      <w:r>
        <w:rPr>
          <w:color w:val="231F20"/>
          <w:spacing w:val="-15"/>
          <w:w w:val="105"/>
        </w:rPr>
        <w:t> </w:t>
      </w:r>
      <w:r>
        <w:rPr>
          <w:color w:val="231F20"/>
          <w:w w:val="105"/>
        </w:rPr>
        <w:t>como</w:t>
      </w:r>
      <w:r>
        <w:rPr>
          <w:color w:val="231F20"/>
          <w:spacing w:val="-15"/>
          <w:w w:val="105"/>
        </w:rPr>
        <w:t> </w:t>
      </w:r>
      <w:r>
        <w:rPr>
          <w:color w:val="231F20"/>
          <w:w w:val="105"/>
        </w:rPr>
        <w:t>parapolíticos,</w:t>
      </w:r>
      <w:r>
        <w:rPr>
          <w:color w:val="231F20"/>
          <w:spacing w:val="-15"/>
          <w:w w:val="105"/>
        </w:rPr>
        <w:t> </w:t>
      </w:r>
      <w:r>
        <w:rPr>
          <w:color w:val="231F20"/>
          <w:w w:val="105"/>
        </w:rPr>
        <w:t>que</w:t>
      </w:r>
      <w:r>
        <w:rPr>
          <w:color w:val="231F20"/>
          <w:spacing w:val="-15"/>
          <w:w w:val="105"/>
        </w:rPr>
        <w:t> </w:t>
      </w:r>
      <w:r>
        <w:rPr>
          <w:color w:val="231F20"/>
          <w:w w:val="105"/>
        </w:rPr>
        <w:t>anidan</w:t>
      </w:r>
      <w:r>
        <w:rPr>
          <w:color w:val="231F20"/>
          <w:spacing w:val="-15"/>
          <w:w w:val="105"/>
        </w:rPr>
        <w:t> </w:t>
      </w:r>
      <w:r>
        <w:rPr>
          <w:color w:val="231F20"/>
          <w:w w:val="105"/>
        </w:rPr>
        <w:t>sus</w:t>
      </w:r>
      <w:r>
        <w:rPr>
          <w:color w:val="231F20"/>
          <w:spacing w:val="-15"/>
          <w:w w:val="105"/>
        </w:rPr>
        <w:t> </w:t>
      </w:r>
      <w:r>
        <w:rPr>
          <w:color w:val="231F20"/>
          <w:w w:val="105"/>
        </w:rPr>
        <w:t>intereses</w:t>
      </w:r>
      <w:r>
        <w:rPr>
          <w:color w:val="231F20"/>
          <w:spacing w:val="-15"/>
          <w:w w:val="105"/>
        </w:rPr>
        <w:t> </w:t>
      </w:r>
      <w:r>
        <w:rPr>
          <w:color w:val="231F20"/>
          <w:w w:val="105"/>
        </w:rPr>
        <w:t>en</w:t>
      </w:r>
      <w:r>
        <w:rPr>
          <w:color w:val="231F20"/>
          <w:spacing w:val="-15"/>
          <w:w w:val="105"/>
        </w:rPr>
        <w:t> </w:t>
      </w:r>
      <w:r>
        <w:rPr>
          <w:color w:val="231F20"/>
          <w:w w:val="105"/>
        </w:rPr>
        <w:t>las</w:t>
      </w:r>
      <w:r>
        <w:rPr>
          <w:color w:val="231F20"/>
          <w:spacing w:val="-15"/>
          <w:w w:val="105"/>
        </w:rPr>
        <w:t> </w:t>
      </w:r>
      <w:r>
        <w:rPr>
          <w:color w:val="231F20"/>
          <w:w w:val="105"/>
        </w:rPr>
        <w:t>es-</w:t>
      </w:r>
      <w:r>
        <w:rPr>
          <w:color w:val="231F20"/>
          <w:w w:val="91"/>
        </w:rPr>
        <w:t> </w:t>
      </w:r>
      <w:r>
        <w:rPr>
          <w:color w:val="231F20"/>
          <w:w w:val="105"/>
        </w:rPr>
        <w:t>tructuras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organización</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democracia</w:t>
      </w:r>
      <w:r>
        <w:rPr>
          <w:color w:val="231F20"/>
          <w:w w:val="105"/>
          <w:position w:val="7"/>
          <w:sz w:val="12"/>
        </w:rPr>
        <w:t>62</w:t>
      </w:r>
      <w:r>
        <w:rPr>
          <w:color w:val="231F20"/>
          <w:w w:val="105"/>
        </w:rPr>
        <w:t>,</w:t>
      </w:r>
      <w:r>
        <w:rPr>
          <w:color w:val="231F20"/>
          <w:spacing w:val="-24"/>
          <w:w w:val="105"/>
        </w:rPr>
        <w:t> </w:t>
      </w:r>
      <w:r>
        <w:rPr>
          <w:color w:val="231F20"/>
          <w:w w:val="105"/>
        </w:rPr>
        <w:t>pero</w:t>
      </w:r>
      <w:r>
        <w:rPr>
          <w:color w:val="231F20"/>
          <w:spacing w:val="-24"/>
          <w:w w:val="105"/>
        </w:rPr>
        <w:t> </w:t>
      </w:r>
      <w:r>
        <w:rPr>
          <w:color w:val="231F20"/>
          <w:w w:val="105"/>
        </w:rPr>
        <w:t>también</w:t>
      </w:r>
      <w:r>
        <w:rPr>
          <w:color w:val="231F20"/>
          <w:spacing w:val="-24"/>
          <w:w w:val="105"/>
        </w:rPr>
        <w:t> </w:t>
      </w:r>
      <w:r>
        <w:rPr>
          <w:color w:val="231F20"/>
          <w:w w:val="105"/>
        </w:rPr>
        <w:t>se</w:t>
      </w:r>
      <w:r>
        <w:rPr>
          <w:color w:val="231F20"/>
          <w:spacing w:val="-24"/>
          <w:w w:val="105"/>
        </w:rPr>
        <w:t> </w:t>
      </w:r>
      <w:r>
        <w:rPr>
          <w:color w:val="231F20"/>
          <w:w w:val="105"/>
        </w:rPr>
        <w:t>vuelven,</w:t>
      </w:r>
      <w:r>
        <w:rPr>
          <w:color w:val="231F20"/>
          <w:w w:val="98"/>
        </w:rPr>
        <w:t> </w:t>
      </w:r>
      <w:r>
        <w:rPr>
          <w:color w:val="231F20"/>
          <w:w w:val="105"/>
        </w:rPr>
        <w:t>en</w:t>
      </w:r>
      <w:r>
        <w:rPr>
          <w:color w:val="231F20"/>
          <w:spacing w:val="-7"/>
          <w:w w:val="105"/>
        </w:rPr>
        <w:t> </w:t>
      </w:r>
      <w:r>
        <w:rPr>
          <w:color w:val="231F20"/>
          <w:w w:val="105"/>
        </w:rPr>
        <w:t>algunos</w:t>
      </w:r>
      <w:r>
        <w:rPr>
          <w:color w:val="231F20"/>
          <w:spacing w:val="-7"/>
          <w:w w:val="105"/>
        </w:rPr>
        <w:t> </w:t>
      </w:r>
      <w:r>
        <w:rPr>
          <w:color w:val="231F20"/>
          <w:w w:val="105"/>
        </w:rPr>
        <w:t>casos,</w:t>
      </w:r>
      <w:r>
        <w:rPr>
          <w:color w:val="231F20"/>
          <w:spacing w:val="-7"/>
          <w:w w:val="105"/>
        </w:rPr>
        <w:t> </w:t>
      </w:r>
      <w:r>
        <w:rPr>
          <w:color w:val="231F20"/>
          <w:w w:val="105"/>
        </w:rPr>
        <w:t>sucedáneos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declinación–erosión</w:t>
      </w:r>
      <w:r>
        <w:rPr>
          <w:color w:val="231F20"/>
          <w:spacing w:val="-7"/>
          <w:w w:val="105"/>
        </w:rPr>
        <w:t> </w:t>
      </w:r>
      <w:r>
        <w:rPr>
          <w:color w:val="231F20"/>
          <w:w w:val="105"/>
        </w:rPr>
        <w:t>del</w:t>
      </w:r>
      <w:r>
        <w:rPr>
          <w:color w:val="231F20"/>
          <w:spacing w:val="-7"/>
          <w:w w:val="105"/>
        </w:rPr>
        <w:t> </w:t>
      </w:r>
      <w:r>
        <w:rPr>
          <w:color w:val="231F20"/>
          <w:w w:val="105"/>
        </w:rPr>
        <w:t>régimen</w:t>
      </w:r>
      <w:r>
        <w:rPr>
          <w:color w:val="231F20"/>
          <w:spacing w:val="-7"/>
          <w:w w:val="105"/>
        </w:rPr>
        <w:t> </w:t>
      </w:r>
      <w:r>
        <w:rPr>
          <w:color w:val="231F20"/>
          <w:w w:val="105"/>
        </w:rPr>
        <w:t>de</w:t>
      </w:r>
      <w:r>
        <w:rPr>
          <w:color w:val="231F20"/>
          <w:w w:val="108"/>
        </w:rPr>
        <w:t> </w:t>
      </w:r>
      <w:r>
        <w:rPr>
          <w:color w:val="231F20"/>
          <w:w w:val="105"/>
        </w:rPr>
        <w:t>bienestar,</w:t>
      </w:r>
      <w:r>
        <w:rPr>
          <w:color w:val="231F20"/>
          <w:spacing w:val="-17"/>
          <w:w w:val="105"/>
        </w:rPr>
        <w:t> </w:t>
      </w:r>
      <w:r>
        <w:rPr>
          <w:color w:val="231F20"/>
          <w:w w:val="105"/>
        </w:rPr>
        <w:t>que</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caso</w:t>
      </w:r>
      <w:r>
        <w:rPr>
          <w:color w:val="231F20"/>
          <w:spacing w:val="-17"/>
          <w:w w:val="105"/>
        </w:rPr>
        <w:t> </w:t>
      </w:r>
      <w:r>
        <w:rPr>
          <w:color w:val="231F20"/>
          <w:w w:val="105"/>
        </w:rPr>
        <w:t>de</w:t>
      </w:r>
      <w:r>
        <w:rPr>
          <w:color w:val="231F20"/>
          <w:spacing w:val="-17"/>
          <w:w w:val="105"/>
        </w:rPr>
        <w:t> </w:t>
      </w:r>
      <w:r>
        <w:rPr>
          <w:color w:val="231F20"/>
          <w:w w:val="105"/>
        </w:rPr>
        <w:t>México,</w:t>
      </w:r>
      <w:r>
        <w:rPr>
          <w:color w:val="231F20"/>
          <w:spacing w:val="-17"/>
          <w:w w:val="105"/>
        </w:rPr>
        <w:t> </w:t>
      </w:r>
      <w:r>
        <w:rPr>
          <w:color w:val="231F20"/>
          <w:w w:val="105"/>
        </w:rPr>
        <w:t>no</w:t>
      </w:r>
      <w:r>
        <w:rPr>
          <w:color w:val="231F20"/>
          <w:spacing w:val="-17"/>
          <w:w w:val="105"/>
        </w:rPr>
        <w:t> </w:t>
      </w:r>
      <w:r>
        <w:rPr>
          <w:color w:val="231F20"/>
          <w:w w:val="105"/>
        </w:rPr>
        <w:t>logró</w:t>
      </w:r>
      <w:r>
        <w:rPr>
          <w:color w:val="231F20"/>
          <w:spacing w:val="-17"/>
          <w:w w:val="105"/>
        </w:rPr>
        <w:t> </w:t>
      </w:r>
      <w:r>
        <w:rPr>
          <w:color w:val="231F20"/>
          <w:w w:val="105"/>
        </w:rPr>
        <w:t>su</w:t>
      </w:r>
      <w:r>
        <w:rPr>
          <w:color w:val="231F20"/>
          <w:spacing w:val="-17"/>
          <w:w w:val="105"/>
        </w:rPr>
        <w:t> </w:t>
      </w:r>
      <w:r>
        <w:rPr>
          <w:color w:val="231F20"/>
          <w:w w:val="105"/>
        </w:rPr>
        <w:t>total</w:t>
      </w:r>
      <w:r>
        <w:rPr>
          <w:color w:val="231F20"/>
          <w:spacing w:val="-17"/>
          <w:w w:val="105"/>
        </w:rPr>
        <w:t> </w:t>
      </w:r>
      <w:r>
        <w:rPr>
          <w:color w:val="231F20"/>
          <w:w w:val="105"/>
        </w:rPr>
        <w:t>consolidación</w:t>
      </w:r>
      <w:r>
        <w:rPr>
          <w:color w:val="231F20"/>
          <w:spacing w:val="-17"/>
          <w:w w:val="105"/>
        </w:rPr>
        <w:t> </w:t>
      </w:r>
      <w:r>
        <w:rPr>
          <w:color w:val="231F20"/>
          <w:w w:val="105"/>
        </w:rPr>
        <w:t>en</w:t>
      </w:r>
      <w:r>
        <w:rPr>
          <w:color w:val="231F20"/>
          <w:spacing w:val="-17"/>
          <w:w w:val="105"/>
        </w:rPr>
        <w:t> </w:t>
      </w:r>
      <w:r>
        <w:rPr>
          <w:color w:val="231F20"/>
          <w:w w:val="105"/>
        </w:rPr>
        <w:t>el</w:t>
      </w:r>
      <w:r>
        <w:rPr>
          <w:color w:val="231F20"/>
          <w:w w:val="105"/>
        </w:rPr>
        <w:t> </w:t>
      </w:r>
      <w:r>
        <w:rPr>
          <w:color w:val="231F20"/>
          <w:w w:val="105"/>
        </w:rPr>
        <w:t>proceso</w:t>
      </w:r>
      <w:r>
        <w:rPr>
          <w:color w:val="231F20"/>
          <w:spacing w:val="-30"/>
          <w:w w:val="105"/>
        </w:rPr>
        <w:t> </w:t>
      </w:r>
      <w:r>
        <w:rPr>
          <w:color w:val="231F20"/>
          <w:w w:val="105"/>
        </w:rPr>
        <w:t>de</w:t>
      </w:r>
      <w:r>
        <w:rPr>
          <w:color w:val="231F20"/>
          <w:spacing w:val="-30"/>
          <w:w w:val="105"/>
        </w:rPr>
        <w:t> </w:t>
      </w:r>
      <w:r>
        <w:rPr>
          <w:color w:val="231F20"/>
          <w:w w:val="105"/>
        </w:rPr>
        <w:t>integración</w:t>
      </w:r>
      <w:r>
        <w:rPr>
          <w:color w:val="231F20"/>
          <w:spacing w:val="-30"/>
          <w:w w:val="105"/>
        </w:rPr>
        <w:t> </w:t>
      </w:r>
      <w:r>
        <w:rPr>
          <w:color w:val="231F20"/>
          <w:w w:val="105"/>
        </w:rPr>
        <w:t>bajo</w:t>
      </w:r>
      <w:r>
        <w:rPr>
          <w:color w:val="231F20"/>
          <w:spacing w:val="-30"/>
          <w:w w:val="105"/>
        </w:rPr>
        <w:t> </w:t>
      </w:r>
      <w:r>
        <w:rPr>
          <w:color w:val="231F20"/>
          <w:w w:val="105"/>
        </w:rPr>
        <w:t>el</w:t>
      </w:r>
      <w:r>
        <w:rPr>
          <w:color w:val="231F20"/>
          <w:spacing w:val="-30"/>
          <w:w w:val="105"/>
        </w:rPr>
        <w:t> </w:t>
      </w:r>
      <w:r>
        <w:rPr>
          <w:color w:val="231F20"/>
          <w:w w:val="105"/>
        </w:rPr>
        <w:t>Estado–nacional</w:t>
      </w:r>
      <w:r>
        <w:rPr>
          <w:color w:val="231F20"/>
          <w:spacing w:val="-30"/>
          <w:w w:val="105"/>
        </w:rPr>
        <w:t> </w:t>
      </w:r>
      <w:r>
        <w:rPr>
          <w:color w:val="231F20"/>
          <w:w w:val="105"/>
        </w:rPr>
        <w:t>durante</w:t>
      </w:r>
      <w:r>
        <w:rPr>
          <w:color w:val="231F20"/>
          <w:spacing w:val="-30"/>
          <w:w w:val="105"/>
        </w:rPr>
        <w:t> </w:t>
      </w:r>
      <w:r>
        <w:rPr>
          <w:color w:val="231F20"/>
          <w:w w:val="105"/>
        </w:rPr>
        <w:t>los</w:t>
      </w:r>
      <w:r>
        <w:rPr>
          <w:color w:val="231F20"/>
          <w:spacing w:val="-30"/>
          <w:w w:val="105"/>
        </w:rPr>
        <w:t> </w:t>
      </w:r>
      <w:r>
        <w:rPr>
          <w:color w:val="231F20"/>
          <w:w w:val="105"/>
        </w:rPr>
        <w:t>siglos</w:t>
      </w:r>
      <w:r>
        <w:rPr>
          <w:color w:val="231F20"/>
          <w:spacing w:val="-30"/>
          <w:w w:val="105"/>
        </w:rPr>
        <w:t> </w:t>
      </w:r>
      <w:r>
        <w:rPr>
          <w:color w:val="231F20"/>
          <w:w w:val="105"/>
          <w:sz w:val="18"/>
        </w:rPr>
        <w:t>XIX</w:t>
      </w:r>
      <w:r>
        <w:rPr>
          <w:color w:val="231F20"/>
          <w:spacing w:val="-20"/>
          <w:w w:val="105"/>
          <w:sz w:val="18"/>
        </w:rPr>
        <w:t> </w:t>
      </w:r>
      <w:r>
        <w:rPr>
          <w:color w:val="231F20"/>
          <w:w w:val="105"/>
        </w:rPr>
        <w:t>y</w:t>
      </w:r>
      <w:r>
        <w:rPr>
          <w:color w:val="231F20"/>
          <w:spacing w:val="-30"/>
          <w:w w:val="105"/>
        </w:rPr>
        <w:t> </w:t>
      </w:r>
      <w:r>
        <w:rPr>
          <w:color w:val="231F20"/>
          <w:w w:val="105"/>
          <w:sz w:val="18"/>
        </w:rPr>
        <w:t>XX</w:t>
      </w:r>
      <w:r>
        <w:rPr>
          <w:color w:val="231F20"/>
          <w:w w:val="105"/>
        </w:rPr>
        <w:t>.</w:t>
      </w:r>
      <w:r>
        <w:rPr>
          <w:color w:val="231F20"/>
          <w:w w:val="85"/>
        </w:rPr>
        <w:t> </w:t>
      </w:r>
      <w:r>
        <w:rPr>
          <w:color w:val="231F20"/>
          <w:w w:val="105"/>
        </w:rPr>
        <w:t>Para</w:t>
      </w:r>
      <w:r>
        <w:rPr>
          <w:color w:val="231F20"/>
          <w:spacing w:val="-21"/>
          <w:w w:val="105"/>
        </w:rPr>
        <w:t> </w:t>
      </w:r>
      <w:r>
        <w:rPr>
          <w:color w:val="231F20"/>
          <w:spacing w:val="-3"/>
          <w:w w:val="105"/>
        </w:rPr>
        <w:t>concluir,</w:t>
      </w:r>
      <w:r>
        <w:rPr>
          <w:color w:val="231F20"/>
          <w:spacing w:val="-21"/>
          <w:w w:val="105"/>
        </w:rPr>
        <w:t> </w:t>
      </w:r>
      <w:r>
        <w:rPr>
          <w:color w:val="231F20"/>
          <w:w w:val="105"/>
        </w:rPr>
        <w:t>podemos</w:t>
      </w:r>
      <w:r>
        <w:rPr>
          <w:color w:val="231F20"/>
          <w:spacing w:val="-21"/>
          <w:w w:val="105"/>
        </w:rPr>
        <w:t> </w:t>
      </w:r>
      <w:r>
        <w:rPr>
          <w:color w:val="231F20"/>
          <w:w w:val="105"/>
        </w:rPr>
        <w:t>agregar</w:t>
      </w:r>
      <w:r>
        <w:rPr>
          <w:color w:val="231F20"/>
          <w:spacing w:val="-21"/>
          <w:w w:val="105"/>
        </w:rPr>
        <w:t> </w:t>
      </w:r>
      <w:r>
        <w:rPr>
          <w:color w:val="231F20"/>
          <w:w w:val="105"/>
        </w:rPr>
        <w:t>que</w:t>
      </w:r>
      <w:r>
        <w:rPr>
          <w:color w:val="231F20"/>
          <w:spacing w:val="-21"/>
          <w:w w:val="105"/>
        </w:rPr>
        <w:t> </w:t>
      </w:r>
      <w:r>
        <w:rPr>
          <w:color w:val="231F20"/>
          <w:w w:val="105"/>
        </w:rPr>
        <w:t>la</w:t>
      </w:r>
      <w:r>
        <w:rPr>
          <w:color w:val="231F20"/>
          <w:spacing w:val="-21"/>
          <w:w w:val="105"/>
        </w:rPr>
        <w:t> </w:t>
      </w:r>
      <w:r>
        <w:rPr>
          <w:color w:val="231F20"/>
          <w:w w:val="105"/>
        </w:rPr>
        <w:t>realidad</w:t>
      </w:r>
      <w:r>
        <w:rPr>
          <w:color w:val="231F20"/>
          <w:spacing w:val="-21"/>
          <w:w w:val="105"/>
        </w:rPr>
        <w:t> </w:t>
      </w:r>
      <w:r>
        <w:rPr>
          <w:color w:val="231F20"/>
          <w:w w:val="105"/>
        </w:rPr>
        <w:t>contemporánea</w:t>
      </w:r>
      <w:r>
        <w:rPr>
          <w:color w:val="231F20"/>
          <w:spacing w:val="-21"/>
          <w:w w:val="105"/>
        </w:rPr>
        <w:t> </w:t>
      </w:r>
      <w:r>
        <w:rPr>
          <w:color w:val="231F20"/>
          <w:w w:val="105"/>
        </w:rPr>
        <w:t>del</w:t>
      </w:r>
      <w:r>
        <w:rPr>
          <w:color w:val="231F20"/>
          <w:w w:val="107"/>
        </w:rPr>
        <w:t> </w:t>
      </w:r>
      <w:r>
        <w:rPr>
          <w:color w:val="231F20"/>
          <w:w w:val="105"/>
        </w:rPr>
        <w:t>Estado nos enseña que las oscilaciones que hemos descrito en</w:t>
      </w:r>
      <w:r>
        <w:rPr>
          <w:color w:val="231F20"/>
          <w:spacing w:val="-12"/>
          <w:w w:val="105"/>
        </w:rPr>
        <w:t> </w:t>
      </w:r>
      <w:r>
        <w:rPr>
          <w:color w:val="231F20"/>
          <w:w w:val="105"/>
        </w:rPr>
        <w:t>este</w:t>
      </w:r>
      <w:r>
        <w:rPr>
          <w:color w:val="231F20"/>
          <w:spacing w:val="-2"/>
          <w:w w:val="105"/>
        </w:rPr>
        <w:t> </w:t>
      </w:r>
      <w:r>
        <w:rPr>
          <w:color w:val="231F20"/>
          <w:w w:val="105"/>
        </w:rPr>
        <w:t>ca-</w:t>
      </w:r>
      <w:r>
        <w:rPr>
          <w:color w:val="231F20"/>
          <w:w w:val="91"/>
        </w:rPr>
        <w:t> </w:t>
      </w:r>
      <w:r>
        <w:rPr>
          <w:color w:val="231F20"/>
          <w:w w:val="105"/>
        </w:rPr>
        <w:t>pítulo</w:t>
      </w:r>
      <w:r>
        <w:rPr>
          <w:color w:val="231F20"/>
          <w:spacing w:val="-12"/>
          <w:w w:val="105"/>
        </w:rPr>
        <w:t> </w:t>
      </w:r>
      <w:r>
        <w:rPr>
          <w:color w:val="231F20"/>
          <w:w w:val="105"/>
        </w:rPr>
        <w:t>no</w:t>
      </w:r>
      <w:r>
        <w:rPr>
          <w:color w:val="231F20"/>
          <w:spacing w:val="-12"/>
          <w:w w:val="105"/>
        </w:rPr>
        <w:t> </w:t>
      </w:r>
      <w:r>
        <w:rPr>
          <w:color w:val="231F20"/>
          <w:w w:val="105"/>
        </w:rPr>
        <w:t>son</w:t>
      </w:r>
      <w:r>
        <w:rPr>
          <w:color w:val="231F20"/>
          <w:spacing w:val="-12"/>
          <w:w w:val="105"/>
        </w:rPr>
        <w:t> </w:t>
      </w:r>
      <w:r>
        <w:rPr>
          <w:color w:val="231F20"/>
          <w:w w:val="105"/>
        </w:rPr>
        <w:t>un</w:t>
      </w:r>
      <w:r>
        <w:rPr>
          <w:color w:val="231F20"/>
          <w:spacing w:val="-12"/>
          <w:w w:val="105"/>
        </w:rPr>
        <w:t> </w:t>
      </w:r>
      <w:r>
        <w:rPr>
          <w:color w:val="231F20"/>
          <w:w w:val="105"/>
        </w:rPr>
        <w:t>momento</w:t>
      </w:r>
      <w:r>
        <w:rPr>
          <w:color w:val="231F20"/>
          <w:spacing w:val="-12"/>
          <w:w w:val="105"/>
        </w:rPr>
        <w:t> </w:t>
      </w:r>
      <w:r>
        <w:rPr>
          <w:color w:val="231F20"/>
          <w:w w:val="105"/>
        </w:rPr>
        <w:t>excepcional,</w:t>
      </w:r>
      <w:r>
        <w:rPr>
          <w:color w:val="231F20"/>
          <w:spacing w:val="-12"/>
          <w:w w:val="105"/>
        </w:rPr>
        <w:t> </w:t>
      </w:r>
      <w:r>
        <w:rPr>
          <w:color w:val="231F20"/>
          <w:w w:val="105"/>
        </w:rPr>
        <w:t>pasajero,</w:t>
      </w:r>
      <w:r>
        <w:rPr>
          <w:color w:val="231F20"/>
          <w:spacing w:val="-12"/>
          <w:w w:val="105"/>
        </w:rPr>
        <w:t> </w:t>
      </w:r>
      <w:r>
        <w:rPr>
          <w:color w:val="231F20"/>
          <w:w w:val="105"/>
        </w:rPr>
        <w:t>y</w:t>
      </w:r>
      <w:r>
        <w:rPr>
          <w:color w:val="231F20"/>
          <w:spacing w:val="-12"/>
          <w:w w:val="105"/>
        </w:rPr>
        <w:t> </w:t>
      </w:r>
      <w:r>
        <w:rPr>
          <w:color w:val="231F20"/>
          <w:w w:val="105"/>
        </w:rPr>
        <w:t>que</w:t>
      </w:r>
      <w:r>
        <w:rPr>
          <w:color w:val="231F20"/>
          <w:spacing w:val="-12"/>
          <w:w w:val="105"/>
        </w:rPr>
        <w:t> </w:t>
      </w:r>
      <w:r>
        <w:rPr>
          <w:color w:val="231F20"/>
          <w:w w:val="105"/>
        </w:rPr>
        <w:t>sólo</w:t>
      </w:r>
      <w:r>
        <w:rPr>
          <w:color w:val="231F20"/>
          <w:spacing w:val="-12"/>
          <w:w w:val="105"/>
        </w:rPr>
        <w:t> </w:t>
      </w:r>
      <w:r>
        <w:rPr>
          <w:color w:val="231F20"/>
          <w:w w:val="105"/>
        </w:rPr>
        <w:t>estamos</w:t>
      </w:r>
      <w:r>
        <w:rPr>
          <w:color w:val="231F20"/>
          <w:spacing w:val="-12"/>
          <w:w w:val="105"/>
        </w:rPr>
        <w:t> </w:t>
      </w:r>
      <w:r>
        <w:rPr>
          <w:color w:val="231F20"/>
          <w:w w:val="105"/>
        </w:rPr>
        <w:t>en</w:t>
      </w:r>
      <w:r>
        <w:rPr>
          <w:color w:val="231F20"/>
          <w:w w:val="102"/>
        </w:rPr>
        <w:t> </w:t>
      </w:r>
      <w:r>
        <w:rPr>
          <w:color w:val="231F20"/>
          <w:w w:val="105"/>
        </w:rPr>
        <w:t>espera</w:t>
      </w:r>
      <w:r>
        <w:rPr>
          <w:color w:val="231F20"/>
          <w:spacing w:val="-18"/>
          <w:w w:val="105"/>
        </w:rPr>
        <w:t> </w:t>
      </w:r>
      <w:r>
        <w:rPr>
          <w:color w:val="231F20"/>
          <w:w w:val="105"/>
        </w:rPr>
        <w:t>de</w:t>
      </w:r>
      <w:r>
        <w:rPr>
          <w:color w:val="231F20"/>
          <w:spacing w:val="-18"/>
          <w:w w:val="105"/>
        </w:rPr>
        <w:t> </w:t>
      </w:r>
      <w:r>
        <w:rPr>
          <w:color w:val="231F20"/>
          <w:w w:val="105"/>
        </w:rPr>
        <w:t>observar</w:t>
      </w:r>
      <w:r>
        <w:rPr>
          <w:color w:val="231F20"/>
          <w:spacing w:val="-18"/>
          <w:w w:val="105"/>
        </w:rPr>
        <w:t> </w:t>
      </w:r>
      <w:r>
        <w:rPr>
          <w:color w:val="231F20"/>
          <w:w w:val="105"/>
        </w:rPr>
        <w:t>que</w:t>
      </w:r>
      <w:r>
        <w:rPr>
          <w:color w:val="231F20"/>
          <w:spacing w:val="-18"/>
          <w:w w:val="105"/>
        </w:rPr>
        <w:t> </w:t>
      </w:r>
      <w:r>
        <w:rPr>
          <w:color w:val="231F20"/>
          <w:w w:val="105"/>
        </w:rPr>
        <w:t>el</w:t>
      </w:r>
      <w:r>
        <w:rPr>
          <w:color w:val="231F20"/>
          <w:spacing w:val="-18"/>
          <w:w w:val="105"/>
        </w:rPr>
        <w:t> </w:t>
      </w:r>
      <w:r>
        <w:rPr>
          <w:color w:val="231F20"/>
          <w:w w:val="105"/>
        </w:rPr>
        <w:t>Estado</w:t>
      </w:r>
      <w:r>
        <w:rPr>
          <w:color w:val="231F20"/>
          <w:spacing w:val="-18"/>
          <w:w w:val="105"/>
        </w:rPr>
        <w:t> </w:t>
      </w:r>
      <w:r>
        <w:rPr>
          <w:color w:val="231F20"/>
          <w:w w:val="105"/>
        </w:rPr>
        <w:t>se</w:t>
      </w:r>
      <w:r>
        <w:rPr>
          <w:color w:val="231F20"/>
          <w:spacing w:val="-18"/>
          <w:w w:val="105"/>
        </w:rPr>
        <w:t> </w:t>
      </w:r>
      <w:r>
        <w:rPr>
          <w:color w:val="231F20"/>
          <w:w w:val="105"/>
        </w:rPr>
        <w:t>encamine</w:t>
      </w:r>
      <w:r>
        <w:rPr>
          <w:color w:val="231F20"/>
          <w:spacing w:val="-18"/>
          <w:w w:val="105"/>
        </w:rPr>
        <w:t> </w:t>
      </w:r>
      <w:r>
        <w:rPr>
          <w:color w:val="231F20"/>
          <w:w w:val="105"/>
        </w:rPr>
        <w:t>al</w:t>
      </w:r>
      <w:r>
        <w:rPr>
          <w:color w:val="231F20"/>
          <w:spacing w:val="-18"/>
          <w:w w:val="105"/>
        </w:rPr>
        <w:t> </w:t>
      </w:r>
      <w:r>
        <w:rPr>
          <w:color w:val="231F20"/>
          <w:w w:val="105"/>
        </w:rPr>
        <w:t>enlace</w:t>
      </w:r>
      <w:r>
        <w:rPr>
          <w:color w:val="231F20"/>
          <w:spacing w:val="-18"/>
          <w:w w:val="105"/>
        </w:rPr>
        <w:t> </w:t>
      </w:r>
      <w:r>
        <w:rPr>
          <w:color w:val="231F20"/>
          <w:w w:val="105"/>
        </w:rPr>
        <w:t>eficaz</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inte-</w:t>
      </w:r>
      <w:r>
        <w:rPr>
          <w:color w:val="231F20"/>
          <w:w w:val="91"/>
        </w:rPr>
        <w:t> </w:t>
      </w:r>
      <w:r>
        <w:rPr>
          <w:color w:val="231F20"/>
          <w:w w:val="105"/>
        </w:rPr>
        <w:t>gración</w:t>
      </w:r>
      <w:r>
        <w:rPr>
          <w:color w:val="231F20"/>
          <w:spacing w:val="-28"/>
          <w:w w:val="105"/>
        </w:rPr>
        <w:t> </w:t>
      </w:r>
      <w:r>
        <w:rPr>
          <w:color w:val="231F20"/>
          <w:w w:val="105"/>
        </w:rPr>
        <w:t>territorial</w:t>
      </w:r>
      <w:r>
        <w:rPr>
          <w:color w:val="231F20"/>
          <w:spacing w:val="-28"/>
          <w:w w:val="105"/>
        </w:rPr>
        <w:t> </w:t>
      </w:r>
      <w:r>
        <w:rPr>
          <w:color w:val="231F20"/>
          <w:w w:val="105"/>
        </w:rPr>
        <w:t>con</w:t>
      </w:r>
      <w:r>
        <w:rPr>
          <w:color w:val="231F20"/>
          <w:spacing w:val="-28"/>
          <w:w w:val="105"/>
        </w:rPr>
        <w:t> </w:t>
      </w:r>
      <w:r>
        <w:rPr>
          <w:color w:val="231F20"/>
          <w:w w:val="105"/>
        </w:rPr>
        <w:t>el</w:t>
      </w:r>
      <w:r>
        <w:rPr>
          <w:color w:val="231F20"/>
          <w:spacing w:val="-28"/>
          <w:w w:val="105"/>
        </w:rPr>
        <w:t> </w:t>
      </w:r>
      <w:r>
        <w:rPr>
          <w:color w:val="231F20"/>
          <w:w w:val="105"/>
        </w:rPr>
        <w:t>aparato</w:t>
      </w:r>
      <w:r>
        <w:rPr>
          <w:color w:val="231F20"/>
          <w:spacing w:val="-28"/>
          <w:w w:val="105"/>
        </w:rPr>
        <w:t> </w:t>
      </w:r>
      <w:r>
        <w:rPr>
          <w:color w:val="231F20"/>
          <w:w w:val="105"/>
        </w:rPr>
        <w:t>estatal,</w:t>
      </w:r>
      <w:r>
        <w:rPr>
          <w:color w:val="231F20"/>
          <w:spacing w:val="-28"/>
          <w:w w:val="105"/>
        </w:rPr>
        <w:t> </w:t>
      </w:r>
      <w:r>
        <w:rPr>
          <w:color w:val="231F20"/>
          <w:w w:val="105"/>
        </w:rPr>
        <w:t>sobre</w:t>
      </w:r>
      <w:r>
        <w:rPr>
          <w:color w:val="231F20"/>
          <w:spacing w:val="-28"/>
          <w:w w:val="105"/>
        </w:rPr>
        <w:t> </w:t>
      </w:r>
      <w:r>
        <w:rPr>
          <w:color w:val="231F20"/>
          <w:w w:val="105"/>
        </w:rPr>
        <w:t>todo</w:t>
      </w:r>
      <w:r>
        <w:rPr>
          <w:color w:val="231F20"/>
          <w:spacing w:val="-28"/>
          <w:w w:val="105"/>
        </w:rPr>
        <w:t> </w:t>
      </w:r>
      <w:r>
        <w:rPr>
          <w:color w:val="231F20"/>
          <w:w w:val="105"/>
        </w:rPr>
        <w:t>cuando</w:t>
      </w:r>
      <w:r>
        <w:rPr>
          <w:color w:val="231F20"/>
          <w:spacing w:val="-28"/>
          <w:w w:val="105"/>
        </w:rPr>
        <w:t> </w:t>
      </w:r>
      <w:r>
        <w:rPr>
          <w:color w:val="231F20"/>
          <w:w w:val="105"/>
        </w:rPr>
        <w:t>lo</w:t>
      </w:r>
      <w:r>
        <w:rPr>
          <w:color w:val="231F20"/>
          <w:spacing w:val="-28"/>
          <w:w w:val="105"/>
        </w:rPr>
        <w:t> </w:t>
      </w:r>
      <w:r>
        <w:rPr>
          <w:color w:val="231F20"/>
          <w:w w:val="105"/>
        </w:rPr>
        <w:t>que</w:t>
      </w:r>
      <w:r>
        <w:rPr>
          <w:color w:val="231F20"/>
          <w:spacing w:val="-28"/>
          <w:w w:val="105"/>
        </w:rPr>
        <w:t> </w:t>
      </w:r>
      <w:r>
        <w:rPr>
          <w:color w:val="231F20"/>
          <w:w w:val="105"/>
        </w:rPr>
        <w:t>está</w:t>
      </w:r>
      <w:r>
        <w:rPr>
          <w:color w:val="231F20"/>
          <w:spacing w:val="-28"/>
          <w:w w:val="105"/>
        </w:rPr>
        <w:t> </w:t>
      </w:r>
      <w:r>
        <w:rPr>
          <w:color w:val="231F20"/>
          <w:w w:val="105"/>
        </w:rPr>
        <w:t>en</w:t>
      </w:r>
      <w:r>
        <w:rPr>
          <w:color w:val="231F20"/>
          <w:w w:val="102"/>
        </w:rPr>
        <w:t> </w:t>
      </w:r>
      <w:r>
        <w:rPr>
          <w:color w:val="231F20"/>
          <w:w w:val="105"/>
        </w:rPr>
        <w:t>juego</w:t>
      </w:r>
      <w:r>
        <w:rPr>
          <w:color w:val="231F20"/>
          <w:spacing w:val="-33"/>
          <w:w w:val="105"/>
        </w:rPr>
        <w:t> </w:t>
      </w:r>
      <w:r>
        <w:rPr>
          <w:color w:val="231F20"/>
          <w:w w:val="105"/>
        </w:rPr>
        <w:t>son</w:t>
      </w:r>
      <w:r>
        <w:rPr>
          <w:color w:val="231F20"/>
          <w:spacing w:val="-33"/>
          <w:w w:val="105"/>
        </w:rPr>
        <w:t> </w:t>
      </w:r>
      <w:r>
        <w:rPr>
          <w:color w:val="231F20"/>
          <w:w w:val="105"/>
        </w:rPr>
        <w:t>las</w:t>
      </w:r>
      <w:r>
        <w:rPr>
          <w:color w:val="231F20"/>
          <w:spacing w:val="-33"/>
          <w:w w:val="105"/>
        </w:rPr>
        <w:t> </w:t>
      </w:r>
      <w:r>
        <w:rPr>
          <w:color w:val="231F20"/>
          <w:w w:val="105"/>
        </w:rPr>
        <w:t>respuestas</w:t>
      </w:r>
      <w:r>
        <w:rPr>
          <w:color w:val="231F20"/>
          <w:spacing w:val="-33"/>
          <w:w w:val="105"/>
        </w:rPr>
        <w:t> </w:t>
      </w:r>
      <w:r>
        <w:rPr>
          <w:color w:val="231F20"/>
          <w:w w:val="105"/>
        </w:rPr>
        <w:t>que</w:t>
      </w:r>
      <w:r>
        <w:rPr>
          <w:color w:val="231F20"/>
          <w:spacing w:val="-33"/>
          <w:w w:val="105"/>
        </w:rPr>
        <w:t> </w:t>
      </w:r>
      <w:r>
        <w:rPr>
          <w:color w:val="231F20"/>
          <w:w w:val="105"/>
        </w:rPr>
        <w:t>el</w:t>
      </w:r>
      <w:r>
        <w:rPr>
          <w:color w:val="231F20"/>
          <w:spacing w:val="-33"/>
          <w:w w:val="105"/>
        </w:rPr>
        <w:t> </w:t>
      </w:r>
      <w:r>
        <w:rPr>
          <w:color w:val="231F20"/>
          <w:w w:val="105"/>
        </w:rPr>
        <w:t>Estado</w:t>
      </w:r>
      <w:r>
        <w:rPr>
          <w:color w:val="231F20"/>
          <w:spacing w:val="-33"/>
          <w:w w:val="105"/>
        </w:rPr>
        <w:t> </w:t>
      </w:r>
      <w:r>
        <w:rPr>
          <w:color w:val="231F20"/>
          <w:w w:val="105"/>
        </w:rPr>
        <w:t>se</w:t>
      </w:r>
      <w:r>
        <w:rPr>
          <w:color w:val="231F20"/>
          <w:spacing w:val="-33"/>
          <w:w w:val="105"/>
        </w:rPr>
        <w:t> </w:t>
      </w:r>
      <w:r>
        <w:rPr>
          <w:color w:val="231F20"/>
          <w:w w:val="105"/>
        </w:rPr>
        <w:t>ve</w:t>
      </w:r>
      <w:r>
        <w:rPr>
          <w:color w:val="231F20"/>
          <w:spacing w:val="-33"/>
          <w:w w:val="105"/>
        </w:rPr>
        <w:t> </w:t>
      </w:r>
      <w:r>
        <w:rPr>
          <w:color w:val="231F20"/>
          <w:w w:val="105"/>
        </w:rPr>
        <w:t>obligado</w:t>
      </w:r>
      <w:r>
        <w:rPr>
          <w:color w:val="231F20"/>
          <w:spacing w:val="-33"/>
          <w:w w:val="105"/>
        </w:rPr>
        <w:t> </w:t>
      </w:r>
      <w:r>
        <w:rPr>
          <w:color w:val="231F20"/>
          <w:w w:val="105"/>
        </w:rPr>
        <w:t>a</w:t>
      </w:r>
      <w:r>
        <w:rPr>
          <w:color w:val="231F20"/>
          <w:spacing w:val="-33"/>
          <w:w w:val="105"/>
        </w:rPr>
        <w:t> </w:t>
      </w:r>
      <w:r>
        <w:rPr>
          <w:color w:val="231F20"/>
          <w:w w:val="105"/>
        </w:rPr>
        <w:t>ofrecer</w:t>
      </w:r>
      <w:r>
        <w:rPr>
          <w:color w:val="231F20"/>
          <w:spacing w:val="-33"/>
          <w:w w:val="105"/>
        </w:rPr>
        <w:t> </w:t>
      </w:r>
      <w:r>
        <w:rPr>
          <w:color w:val="231F20"/>
          <w:w w:val="105"/>
        </w:rPr>
        <w:t>frente</w:t>
      </w:r>
      <w:r>
        <w:rPr>
          <w:color w:val="231F20"/>
          <w:spacing w:val="-33"/>
          <w:w w:val="105"/>
        </w:rPr>
        <w:t> </w:t>
      </w:r>
      <w:r>
        <w:rPr>
          <w:color w:val="231F20"/>
          <w:w w:val="105"/>
        </w:rPr>
        <w:t>a</w:t>
      </w:r>
      <w:r>
        <w:rPr>
          <w:color w:val="231F20"/>
          <w:spacing w:val="-33"/>
          <w:w w:val="105"/>
        </w:rPr>
        <w:t> </w:t>
      </w:r>
      <w:r>
        <w:rPr>
          <w:color w:val="231F20"/>
          <w:w w:val="105"/>
        </w:rPr>
        <w:t>los</w:t>
      </w:r>
      <w:r>
        <w:rPr>
          <w:color w:val="231F20"/>
          <w:w w:val="103"/>
        </w:rPr>
        <w:t> </w:t>
      </w:r>
      <w:r>
        <w:rPr>
          <w:color w:val="231F20"/>
          <w:w w:val="105"/>
        </w:rPr>
        <w:t>desafíos</w:t>
      </w:r>
      <w:r>
        <w:rPr>
          <w:color w:val="231F20"/>
          <w:spacing w:val="-34"/>
          <w:w w:val="105"/>
        </w:rPr>
        <w:t> </w:t>
      </w:r>
      <w:r>
        <w:rPr>
          <w:color w:val="231F20"/>
          <w:w w:val="105"/>
        </w:rPr>
        <w:t>cada</w:t>
      </w:r>
      <w:r>
        <w:rPr>
          <w:color w:val="231F20"/>
          <w:spacing w:val="-34"/>
          <w:w w:val="105"/>
        </w:rPr>
        <w:t> </w:t>
      </w:r>
      <w:r>
        <w:rPr>
          <w:color w:val="231F20"/>
          <w:w w:val="105"/>
        </w:rPr>
        <w:t>vez</w:t>
      </w:r>
      <w:r>
        <w:rPr>
          <w:color w:val="231F20"/>
          <w:spacing w:val="-34"/>
          <w:w w:val="105"/>
        </w:rPr>
        <w:t> </w:t>
      </w:r>
      <w:r>
        <w:rPr>
          <w:color w:val="231F20"/>
          <w:w w:val="105"/>
        </w:rPr>
        <w:t>más</w:t>
      </w:r>
      <w:r>
        <w:rPr>
          <w:color w:val="231F20"/>
          <w:spacing w:val="-34"/>
          <w:w w:val="105"/>
        </w:rPr>
        <w:t> </w:t>
      </w:r>
      <w:r>
        <w:rPr>
          <w:color w:val="231F20"/>
          <w:w w:val="105"/>
        </w:rPr>
        <w:t>exigentes,</w:t>
      </w:r>
      <w:r>
        <w:rPr>
          <w:color w:val="231F20"/>
          <w:spacing w:val="-34"/>
          <w:w w:val="105"/>
        </w:rPr>
        <w:t> </w:t>
      </w:r>
      <w:r>
        <w:rPr>
          <w:color w:val="231F20"/>
          <w:w w:val="105"/>
        </w:rPr>
        <w:t>como</w:t>
      </w:r>
      <w:r>
        <w:rPr>
          <w:color w:val="231F20"/>
          <w:spacing w:val="-34"/>
          <w:w w:val="105"/>
        </w:rPr>
        <w:t> </w:t>
      </w:r>
      <w:r>
        <w:rPr>
          <w:color w:val="231F20"/>
          <w:w w:val="105"/>
        </w:rPr>
        <w:t>lo</w:t>
      </w:r>
      <w:r>
        <w:rPr>
          <w:color w:val="231F20"/>
          <w:spacing w:val="-34"/>
          <w:w w:val="105"/>
        </w:rPr>
        <w:t> </w:t>
      </w:r>
      <w:r>
        <w:rPr>
          <w:color w:val="231F20"/>
          <w:w w:val="105"/>
        </w:rPr>
        <w:t>es</w:t>
      </w:r>
      <w:r>
        <w:rPr>
          <w:color w:val="231F20"/>
          <w:spacing w:val="-34"/>
          <w:w w:val="105"/>
        </w:rPr>
        <w:t> </w:t>
      </w:r>
      <w:r>
        <w:rPr>
          <w:color w:val="231F20"/>
          <w:w w:val="105"/>
        </w:rPr>
        <w:t>la</w:t>
      </w:r>
      <w:r>
        <w:rPr>
          <w:color w:val="231F20"/>
          <w:spacing w:val="-34"/>
          <w:w w:val="105"/>
        </w:rPr>
        <w:t> </w:t>
      </w:r>
      <w:r>
        <w:rPr>
          <w:color w:val="231F20"/>
          <w:w w:val="105"/>
        </w:rPr>
        <w:t>modalidad</w:t>
      </w:r>
      <w:r>
        <w:rPr>
          <w:color w:val="231F20"/>
          <w:spacing w:val="-34"/>
          <w:w w:val="105"/>
        </w:rPr>
        <w:t> </w:t>
      </w:r>
      <w:r>
        <w:rPr>
          <w:color w:val="231F20"/>
          <w:w w:val="105"/>
        </w:rPr>
        <w:t>de</w:t>
      </w:r>
      <w:r>
        <w:rPr>
          <w:color w:val="231F20"/>
          <w:spacing w:val="-34"/>
          <w:w w:val="105"/>
        </w:rPr>
        <w:t> </w:t>
      </w:r>
      <w:r>
        <w:rPr>
          <w:color w:val="231F20"/>
          <w:w w:val="105"/>
        </w:rPr>
        <w:t>lo</w:t>
      </w:r>
      <w:r>
        <w:rPr>
          <w:color w:val="231F20"/>
          <w:spacing w:val="-34"/>
          <w:w w:val="105"/>
        </w:rPr>
        <w:t> </w:t>
      </w:r>
      <w:r>
        <w:rPr>
          <w:color w:val="231F20"/>
          <w:w w:val="105"/>
        </w:rPr>
        <w:t>que</w:t>
      </w:r>
      <w:r>
        <w:rPr>
          <w:color w:val="231F20"/>
          <w:spacing w:val="-34"/>
          <w:w w:val="105"/>
        </w:rPr>
        <w:t> </w:t>
      </w:r>
      <w:r>
        <w:rPr>
          <w:color w:val="231F20"/>
          <w:w w:val="105"/>
        </w:rPr>
        <w:t>hemos</w:t>
      </w:r>
    </w:p>
    <w:p>
      <w:pPr>
        <w:pStyle w:val="BodyText"/>
        <w:spacing w:line="252" w:lineRule="exact"/>
        <w:ind w:left="103"/>
      </w:pPr>
      <w:r>
        <w:rPr>
          <w:color w:val="231F20"/>
          <w:w w:val="105"/>
        </w:rPr>
        <w:t>llamado “soberanización” criminal.</w:t>
      </w:r>
    </w:p>
    <w:p>
      <w:pPr>
        <w:pStyle w:val="BodyText"/>
        <w:spacing w:line="247" w:lineRule="auto" w:before="6"/>
        <w:ind w:left="103" w:right="115" w:firstLine="566"/>
        <w:jc w:val="both"/>
      </w:pPr>
      <w:r>
        <w:rPr>
          <w:color w:val="231F20"/>
          <w:w w:val="105"/>
        </w:rPr>
        <w:t>Al</w:t>
      </w:r>
      <w:r>
        <w:rPr>
          <w:color w:val="231F20"/>
          <w:spacing w:val="-24"/>
          <w:w w:val="105"/>
        </w:rPr>
        <w:t> </w:t>
      </w:r>
      <w:r>
        <w:rPr>
          <w:color w:val="231F20"/>
          <w:w w:val="105"/>
        </w:rPr>
        <w:t>contrario,</w:t>
      </w:r>
      <w:r>
        <w:rPr>
          <w:color w:val="231F20"/>
          <w:spacing w:val="-24"/>
          <w:w w:val="105"/>
        </w:rPr>
        <w:t> </w:t>
      </w:r>
      <w:r>
        <w:rPr>
          <w:color w:val="231F20"/>
          <w:w w:val="105"/>
        </w:rPr>
        <w:t>la</w:t>
      </w:r>
      <w:r>
        <w:rPr>
          <w:color w:val="231F20"/>
          <w:spacing w:val="-24"/>
          <w:w w:val="105"/>
        </w:rPr>
        <w:t> </w:t>
      </w:r>
      <w:r>
        <w:rPr>
          <w:color w:val="231F20"/>
          <w:w w:val="105"/>
        </w:rPr>
        <w:t>soberanía</w:t>
      </w:r>
      <w:r>
        <w:rPr>
          <w:color w:val="231F20"/>
          <w:spacing w:val="-24"/>
          <w:w w:val="105"/>
        </w:rPr>
        <w:t> </w:t>
      </w:r>
      <w:r>
        <w:rPr>
          <w:color w:val="231F20"/>
          <w:w w:val="105"/>
        </w:rPr>
        <w:t>de</w:t>
      </w:r>
      <w:r>
        <w:rPr>
          <w:color w:val="231F20"/>
          <w:spacing w:val="-24"/>
          <w:w w:val="105"/>
        </w:rPr>
        <w:t> </w:t>
      </w:r>
      <w:r>
        <w:rPr>
          <w:color w:val="231F20"/>
          <w:w w:val="105"/>
        </w:rPr>
        <w:t>lo</w:t>
      </w:r>
      <w:r>
        <w:rPr>
          <w:color w:val="231F20"/>
          <w:spacing w:val="-24"/>
          <w:w w:val="105"/>
        </w:rPr>
        <w:t> </w:t>
      </w:r>
      <w:r>
        <w:rPr>
          <w:color w:val="231F20"/>
          <w:w w:val="105"/>
        </w:rPr>
        <w:t>criminal</w:t>
      </w:r>
      <w:r>
        <w:rPr>
          <w:color w:val="231F20"/>
          <w:spacing w:val="-24"/>
          <w:w w:val="105"/>
        </w:rPr>
        <w:t> </w:t>
      </w:r>
      <w:r>
        <w:rPr>
          <w:color w:val="231F20"/>
          <w:w w:val="105"/>
        </w:rPr>
        <w:t>es</w:t>
      </w:r>
      <w:r>
        <w:rPr>
          <w:color w:val="231F20"/>
          <w:spacing w:val="-24"/>
          <w:w w:val="105"/>
        </w:rPr>
        <w:t> </w:t>
      </w:r>
      <w:r>
        <w:rPr>
          <w:color w:val="231F20"/>
          <w:w w:val="105"/>
        </w:rPr>
        <w:t>una</w:t>
      </w:r>
      <w:r>
        <w:rPr>
          <w:color w:val="231F20"/>
          <w:spacing w:val="-24"/>
          <w:w w:val="105"/>
        </w:rPr>
        <w:t> </w:t>
      </w:r>
      <w:r>
        <w:rPr>
          <w:color w:val="231F20"/>
          <w:w w:val="105"/>
        </w:rPr>
        <w:t>de</w:t>
      </w:r>
      <w:r>
        <w:rPr>
          <w:color w:val="231F20"/>
          <w:spacing w:val="-24"/>
          <w:w w:val="105"/>
        </w:rPr>
        <w:t> </w:t>
      </w:r>
      <w:r>
        <w:rPr>
          <w:color w:val="231F20"/>
          <w:w w:val="105"/>
        </w:rPr>
        <w:t>sus</w:t>
      </w:r>
      <w:r>
        <w:rPr>
          <w:color w:val="231F20"/>
          <w:spacing w:val="-24"/>
          <w:w w:val="105"/>
        </w:rPr>
        <w:t> </w:t>
      </w:r>
      <w:r>
        <w:rPr>
          <w:color w:val="231F20"/>
          <w:w w:val="105"/>
        </w:rPr>
        <w:t>realidades</w:t>
      </w:r>
      <w:r>
        <w:rPr>
          <w:color w:val="231F20"/>
          <w:spacing w:val="-24"/>
          <w:w w:val="105"/>
        </w:rPr>
        <w:t> </w:t>
      </w:r>
      <w:r>
        <w:rPr>
          <w:color w:val="231F20"/>
          <w:w w:val="105"/>
        </w:rPr>
        <w:t>ac- tuantes,</w:t>
      </w:r>
      <w:r>
        <w:rPr>
          <w:color w:val="231F20"/>
          <w:spacing w:val="-39"/>
          <w:w w:val="105"/>
        </w:rPr>
        <w:t> </w:t>
      </w:r>
      <w:r>
        <w:rPr>
          <w:color w:val="231F20"/>
          <w:w w:val="105"/>
        </w:rPr>
        <w:t>es</w:t>
      </w:r>
      <w:r>
        <w:rPr>
          <w:color w:val="231F20"/>
          <w:spacing w:val="-39"/>
          <w:w w:val="105"/>
        </w:rPr>
        <w:t> </w:t>
      </w:r>
      <w:r>
        <w:rPr>
          <w:color w:val="231F20"/>
          <w:spacing w:val="-4"/>
          <w:w w:val="105"/>
        </w:rPr>
        <w:t>decir,</w:t>
      </w:r>
      <w:r>
        <w:rPr>
          <w:color w:val="231F20"/>
          <w:spacing w:val="-39"/>
          <w:w w:val="105"/>
        </w:rPr>
        <w:t> </w:t>
      </w:r>
      <w:r>
        <w:rPr>
          <w:color w:val="231F20"/>
          <w:w w:val="105"/>
        </w:rPr>
        <w:t>es</w:t>
      </w:r>
      <w:r>
        <w:rPr>
          <w:color w:val="231F20"/>
          <w:spacing w:val="-39"/>
          <w:w w:val="105"/>
        </w:rPr>
        <w:t> </w:t>
      </w:r>
      <w:r>
        <w:rPr>
          <w:color w:val="231F20"/>
          <w:w w:val="105"/>
        </w:rPr>
        <w:t>una</w:t>
      </w:r>
      <w:r>
        <w:rPr>
          <w:color w:val="231F20"/>
          <w:spacing w:val="-39"/>
          <w:w w:val="105"/>
        </w:rPr>
        <w:t> </w:t>
      </w:r>
      <w:r>
        <w:rPr>
          <w:color w:val="231F20"/>
          <w:w w:val="105"/>
        </w:rPr>
        <w:t>de</w:t>
      </w:r>
      <w:r>
        <w:rPr>
          <w:color w:val="231F20"/>
          <w:spacing w:val="-39"/>
          <w:w w:val="105"/>
        </w:rPr>
        <w:t> </w:t>
      </w:r>
      <w:r>
        <w:rPr>
          <w:color w:val="231F20"/>
          <w:w w:val="105"/>
        </w:rPr>
        <w:t>sus</w:t>
      </w:r>
      <w:r>
        <w:rPr>
          <w:color w:val="231F20"/>
          <w:spacing w:val="-39"/>
          <w:w w:val="105"/>
        </w:rPr>
        <w:t> </w:t>
      </w:r>
      <w:r>
        <w:rPr>
          <w:color w:val="231F20"/>
          <w:w w:val="105"/>
        </w:rPr>
        <w:t>situaciones</w:t>
      </w:r>
      <w:r>
        <w:rPr>
          <w:color w:val="231F20"/>
          <w:spacing w:val="-39"/>
          <w:w w:val="105"/>
        </w:rPr>
        <w:t> </w:t>
      </w:r>
      <w:r>
        <w:rPr>
          <w:color w:val="231F20"/>
          <w:w w:val="105"/>
        </w:rPr>
        <w:t>actuales.</w:t>
      </w:r>
      <w:r>
        <w:rPr>
          <w:color w:val="231F20"/>
          <w:spacing w:val="-39"/>
          <w:w w:val="105"/>
        </w:rPr>
        <w:t> </w:t>
      </w:r>
      <w:r>
        <w:rPr>
          <w:color w:val="231F20"/>
          <w:w w:val="105"/>
        </w:rPr>
        <w:t>Son</w:t>
      </w:r>
      <w:r>
        <w:rPr>
          <w:color w:val="231F20"/>
          <w:spacing w:val="-39"/>
          <w:w w:val="105"/>
        </w:rPr>
        <w:t> </w:t>
      </w:r>
      <w:r>
        <w:rPr>
          <w:color w:val="231F20"/>
          <w:w w:val="105"/>
        </w:rPr>
        <w:t>realidades,</w:t>
      </w:r>
      <w:r>
        <w:rPr>
          <w:color w:val="231F20"/>
          <w:spacing w:val="-39"/>
          <w:w w:val="105"/>
        </w:rPr>
        <w:t> </w:t>
      </w:r>
      <w:r>
        <w:rPr>
          <w:color w:val="231F20"/>
          <w:w w:val="105"/>
        </w:rPr>
        <w:t>por</w:t>
      </w:r>
      <w:r>
        <w:rPr>
          <w:color w:val="231F20"/>
          <w:spacing w:val="-39"/>
          <w:w w:val="105"/>
        </w:rPr>
        <w:t> </w:t>
      </w:r>
      <w:r>
        <w:rPr>
          <w:color w:val="231F20"/>
          <w:w w:val="105"/>
        </w:rPr>
        <w:t>su parte,</w:t>
      </w:r>
      <w:r>
        <w:rPr>
          <w:color w:val="231F20"/>
          <w:spacing w:val="-23"/>
          <w:w w:val="105"/>
        </w:rPr>
        <w:t> </w:t>
      </w:r>
      <w:r>
        <w:rPr>
          <w:color w:val="231F20"/>
          <w:w w:val="105"/>
        </w:rPr>
        <w:t>que</w:t>
      </w:r>
      <w:r>
        <w:rPr>
          <w:color w:val="231F20"/>
          <w:spacing w:val="-23"/>
          <w:w w:val="105"/>
        </w:rPr>
        <w:t> </w:t>
      </w:r>
      <w:r>
        <w:rPr>
          <w:color w:val="231F20"/>
          <w:w w:val="105"/>
        </w:rPr>
        <w:t>expresan</w:t>
      </w:r>
      <w:r>
        <w:rPr>
          <w:color w:val="231F20"/>
          <w:spacing w:val="-23"/>
          <w:w w:val="105"/>
        </w:rPr>
        <w:t> </w:t>
      </w:r>
      <w:r>
        <w:rPr>
          <w:color w:val="231F20"/>
          <w:w w:val="105"/>
        </w:rPr>
        <w:t>una</w:t>
      </w:r>
      <w:r>
        <w:rPr>
          <w:color w:val="231F20"/>
          <w:spacing w:val="-23"/>
          <w:w w:val="105"/>
        </w:rPr>
        <w:t> </w:t>
      </w:r>
      <w:r>
        <w:rPr>
          <w:color w:val="231F20"/>
          <w:w w:val="105"/>
        </w:rPr>
        <w:t>forma</w:t>
      </w:r>
      <w:r>
        <w:rPr>
          <w:color w:val="231F20"/>
          <w:spacing w:val="-23"/>
          <w:w w:val="105"/>
        </w:rPr>
        <w:t> </w:t>
      </w:r>
      <w:r>
        <w:rPr>
          <w:color w:val="231F20"/>
          <w:w w:val="105"/>
        </w:rPr>
        <w:t>consolidada</w:t>
      </w:r>
      <w:r>
        <w:rPr>
          <w:color w:val="231F20"/>
          <w:spacing w:val="-23"/>
          <w:w w:val="105"/>
        </w:rPr>
        <w:t> </w:t>
      </w:r>
      <w:r>
        <w:rPr>
          <w:color w:val="231F20"/>
          <w:w w:val="105"/>
        </w:rPr>
        <w:t>y</w:t>
      </w:r>
      <w:r>
        <w:rPr>
          <w:color w:val="231F20"/>
          <w:spacing w:val="-23"/>
          <w:w w:val="105"/>
        </w:rPr>
        <w:t> </w:t>
      </w:r>
      <w:r>
        <w:rPr>
          <w:color w:val="231F20"/>
          <w:w w:val="105"/>
        </w:rPr>
        <w:t>en</w:t>
      </w:r>
      <w:r>
        <w:rPr>
          <w:color w:val="231F20"/>
          <w:spacing w:val="-23"/>
          <w:w w:val="105"/>
        </w:rPr>
        <w:t> </w:t>
      </w:r>
      <w:r>
        <w:rPr>
          <w:color w:val="231F20"/>
          <w:w w:val="105"/>
        </w:rPr>
        <w:t>cierta</w:t>
      </w:r>
      <w:r>
        <w:rPr>
          <w:color w:val="231F20"/>
          <w:spacing w:val="-23"/>
          <w:w w:val="105"/>
        </w:rPr>
        <w:t> </w:t>
      </w:r>
      <w:r>
        <w:rPr>
          <w:color w:val="231F20"/>
          <w:w w:val="105"/>
        </w:rPr>
        <w:t>medida</w:t>
      </w:r>
      <w:r>
        <w:rPr>
          <w:color w:val="231F20"/>
          <w:spacing w:val="-23"/>
          <w:w w:val="105"/>
        </w:rPr>
        <w:t> </w:t>
      </w:r>
      <w:r>
        <w:rPr>
          <w:color w:val="231F20"/>
          <w:w w:val="105"/>
        </w:rPr>
        <w:t>“refinada” (por</w:t>
      </w:r>
      <w:r>
        <w:rPr>
          <w:color w:val="231F20"/>
          <w:spacing w:val="-25"/>
          <w:w w:val="105"/>
        </w:rPr>
        <w:t> </w:t>
      </w:r>
      <w:r>
        <w:rPr>
          <w:color w:val="231F20"/>
          <w:w w:val="105"/>
        </w:rPr>
        <w:t>el</w:t>
      </w:r>
      <w:r>
        <w:rPr>
          <w:color w:val="231F20"/>
          <w:spacing w:val="-25"/>
          <w:w w:val="105"/>
        </w:rPr>
        <w:t> </w:t>
      </w:r>
      <w:r>
        <w:rPr>
          <w:color w:val="231F20"/>
          <w:w w:val="105"/>
        </w:rPr>
        <w:t>grado</w:t>
      </w:r>
      <w:r>
        <w:rPr>
          <w:color w:val="231F20"/>
          <w:spacing w:val="-25"/>
          <w:w w:val="105"/>
        </w:rPr>
        <w:t> </w:t>
      </w:r>
      <w:r>
        <w:rPr>
          <w:color w:val="231F20"/>
          <w:w w:val="105"/>
        </w:rPr>
        <w:t>de</w:t>
      </w:r>
      <w:r>
        <w:rPr>
          <w:color w:val="231F20"/>
          <w:spacing w:val="-25"/>
          <w:w w:val="105"/>
        </w:rPr>
        <w:t> </w:t>
      </w:r>
      <w:r>
        <w:rPr>
          <w:color w:val="231F20"/>
          <w:w w:val="105"/>
        </w:rPr>
        <w:t>complejidad</w:t>
      </w:r>
      <w:r>
        <w:rPr>
          <w:color w:val="231F20"/>
          <w:spacing w:val="-25"/>
          <w:w w:val="105"/>
        </w:rPr>
        <w:t> </w:t>
      </w:r>
      <w:r>
        <w:rPr>
          <w:color w:val="231F20"/>
          <w:w w:val="105"/>
        </w:rPr>
        <w:t>que</w:t>
      </w:r>
      <w:r>
        <w:rPr>
          <w:color w:val="231F20"/>
          <w:spacing w:val="-25"/>
          <w:w w:val="105"/>
        </w:rPr>
        <w:t> </w:t>
      </w:r>
      <w:r>
        <w:rPr>
          <w:color w:val="231F20"/>
          <w:w w:val="105"/>
        </w:rPr>
        <w:t>alcanzaron)</w:t>
      </w:r>
      <w:r>
        <w:rPr>
          <w:color w:val="231F20"/>
          <w:spacing w:val="-25"/>
          <w:w w:val="105"/>
        </w:rPr>
        <w:t> </w:t>
      </w:r>
      <w:r>
        <w:rPr>
          <w:color w:val="231F20"/>
          <w:w w:val="105"/>
        </w:rPr>
        <w:t>de</w:t>
      </w:r>
      <w:r>
        <w:rPr>
          <w:color w:val="231F20"/>
          <w:spacing w:val="-25"/>
          <w:w w:val="105"/>
        </w:rPr>
        <w:t> </w:t>
      </w:r>
      <w:r>
        <w:rPr>
          <w:color w:val="231F20"/>
          <w:w w:val="105"/>
        </w:rPr>
        <w:t>organización</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inte- reses</w:t>
      </w:r>
      <w:r>
        <w:rPr>
          <w:color w:val="231F20"/>
          <w:spacing w:val="-13"/>
          <w:w w:val="105"/>
        </w:rPr>
        <w:t> </w:t>
      </w:r>
      <w:r>
        <w:rPr>
          <w:color w:val="231F20"/>
          <w:w w:val="105"/>
        </w:rPr>
        <w:t>de</w:t>
      </w:r>
      <w:r>
        <w:rPr>
          <w:color w:val="231F20"/>
          <w:spacing w:val="-13"/>
          <w:w w:val="105"/>
        </w:rPr>
        <w:t> </w:t>
      </w:r>
      <w:r>
        <w:rPr>
          <w:color w:val="231F20"/>
          <w:w w:val="105"/>
        </w:rPr>
        <w:t>lo</w:t>
      </w:r>
      <w:r>
        <w:rPr>
          <w:color w:val="231F20"/>
          <w:spacing w:val="-13"/>
          <w:w w:val="105"/>
        </w:rPr>
        <w:t> </w:t>
      </w:r>
      <w:r>
        <w:rPr>
          <w:color w:val="231F20"/>
          <w:w w:val="105"/>
        </w:rPr>
        <w:t>político</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campo</w:t>
      </w:r>
      <w:r>
        <w:rPr>
          <w:color w:val="231F20"/>
          <w:spacing w:val="-13"/>
          <w:w w:val="105"/>
        </w:rPr>
        <w:t> </w:t>
      </w:r>
      <w:r>
        <w:rPr>
          <w:color w:val="231F20"/>
          <w:w w:val="105"/>
        </w:rPr>
        <w:t>de</w:t>
      </w:r>
      <w:r>
        <w:rPr>
          <w:color w:val="231F20"/>
          <w:spacing w:val="-13"/>
          <w:w w:val="105"/>
        </w:rPr>
        <w:t> </w:t>
      </w:r>
      <w:r>
        <w:rPr>
          <w:color w:val="231F20"/>
          <w:w w:val="105"/>
        </w:rPr>
        <w:t>lo</w:t>
      </w:r>
      <w:r>
        <w:rPr>
          <w:color w:val="231F20"/>
          <w:spacing w:val="-13"/>
          <w:w w:val="105"/>
        </w:rPr>
        <w:t> </w:t>
      </w:r>
      <w:r>
        <w:rPr>
          <w:color w:val="231F20"/>
          <w:w w:val="105"/>
        </w:rPr>
        <w:t>social.</w:t>
      </w:r>
      <w:r>
        <w:rPr>
          <w:color w:val="231F20"/>
          <w:spacing w:val="-13"/>
          <w:w w:val="105"/>
        </w:rPr>
        <w:t> </w:t>
      </w:r>
      <w:r>
        <w:rPr>
          <w:color w:val="231F20"/>
          <w:w w:val="105"/>
        </w:rPr>
        <w:t>Es</w:t>
      </w:r>
      <w:r>
        <w:rPr>
          <w:color w:val="231F20"/>
          <w:spacing w:val="-13"/>
          <w:w w:val="105"/>
        </w:rPr>
        <w:t> </w:t>
      </w:r>
      <w:r>
        <w:rPr>
          <w:color w:val="231F20"/>
          <w:w w:val="105"/>
        </w:rPr>
        <w:t>difícil</w:t>
      </w:r>
      <w:r>
        <w:rPr>
          <w:color w:val="231F20"/>
          <w:spacing w:val="-13"/>
          <w:w w:val="105"/>
        </w:rPr>
        <w:t> </w:t>
      </w:r>
      <w:r>
        <w:rPr>
          <w:color w:val="231F20"/>
          <w:w w:val="105"/>
        </w:rPr>
        <w:t>creer</w:t>
      </w:r>
      <w:r>
        <w:rPr>
          <w:color w:val="231F20"/>
          <w:spacing w:val="-13"/>
          <w:w w:val="105"/>
        </w:rPr>
        <w:t> </w:t>
      </w:r>
      <w:r>
        <w:rPr>
          <w:color w:val="231F20"/>
          <w:w w:val="105"/>
        </w:rPr>
        <w:t>que</w:t>
      </w:r>
      <w:r>
        <w:rPr>
          <w:color w:val="231F20"/>
          <w:spacing w:val="-13"/>
          <w:w w:val="105"/>
        </w:rPr>
        <w:t> </w:t>
      </w:r>
      <w:r>
        <w:rPr>
          <w:color w:val="231F20"/>
          <w:w w:val="105"/>
        </w:rPr>
        <w:t>el</w:t>
      </w:r>
      <w:r>
        <w:rPr>
          <w:color w:val="231F20"/>
          <w:spacing w:val="-13"/>
          <w:w w:val="105"/>
        </w:rPr>
        <w:t> </w:t>
      </w:r>
      <w:r>
        <w:rPr>
          <w:color w:val="231F20"/>
          <w:w w:val="105"/>
        </w:rPr>
        <w:t>Estado en</w:t>
      </w:r>
      <w:r>
        <w:rPr>
          <w:color w:val="231F20"/>
          <w:spacing w:val="-34"/>
          <w:w w:val="105"/>
        </w:rPr>
        <w:t> </w:t>
      </w:r>
      <w:r>
        <w:rPr>
          <w:color w:val="231F20"/>
          <w:w w:val="105"/>
        </w:rPr>
        <w:t>la</w:t>
      </w:r>
      <w:r>
        <w:rPr>
          <w:color w:val="231F20"/>
          <w:spacing w:val="-34"/>
          <w:w w:val="105"/>
        </w:rPr>
        <w:t> </w:t>
      </w:r>
      <w:r>
        <w:rPr>
          <w:color w:val="231F20"/>
          <w:w w:val="105"/>
        </w:rPr>
        <w:t>situación</w:t>
      </w:r>
      <w:r>
        <w:rPr>
          <w:color w:val="231F20"/>
          <w:spacing w:val="-34"/>
          <w:w w:val="105"/>
        </w:rPr>
        <w:t> </w:t>
      </w:r>
      <w:r>
        <w:rPr>
          <w:color w:val="231F20"/>
          <w:w w:val="105"/>
        </w:rPr>
        <w:t>global</w:t>
      </w:r>
      <w:r>
        <w:rPr>
          <w:color w:val="231F20"/>
          <w:spacing w:val="-34"/>
          <w:w w:val="105"/>
        </w:rPr>
        <w:t> </w:t>
      </w:r>
      <w:r>
        <w:rPr>
          <w:color w:val="231F20"/>
          <w:w w:val="105"/>
        </w:rPr>
        <w:t>está</w:t>
      </w:r>
      <w:r>
        <w:rPr>
          <w:color w:val="231F20"/>
          <w:spacing w:val="-34"/>
          <w:w w:val="105"/>
        </w:rPr>
        <w:t> </w:t>
      </w:r>
      <w:r>
        <w:rPr>
          <w:color w:val="231F20"/>
          <w:w w:val="105"/>
        </w:rPr>
        <w:t>enfrentando</w:t>
      </w:r>
      <w:r>
        <w:rPr>
          <w:color w:val="231F20"/>
          <w:spacing w:val="-34"/>
          <w:w w:val="105"/>
        </w:rPr>
        <w:t> </w:t>
      </w:r>
      <w:r>
        <w:rPr>
          <w:color w:val="231F20"/>
          <w:w w:val="105"/>
        </w:rPr>
        <w:t>una</w:t>
      </w:r>
      <w:r>
        <w:rPr>
          <w:color w:val="231F20"/>
          <w:spacing w:val="-34"/>
          <w:w w:val="105"/>
        </w:rPr>
        <w:t> </w:t>
      </w:r>
      <w:r>
        <w:rPr>
          <w:color w:val="231F20"/>
          <w:w w:val="105"/>
        </w:rPr>
        <w:t>“revancha”</w:t>
      </w:r>
      <w:r>
        <w:rPr>
          <w:color w:val="231F20"/>
          <w:spacing w:val="-34"/>
          <w:w w:val="105"/>
        </w:rPr>
        <w:t> </w:t>
      </w:r>
      <w:r>
        <w:rPr>
          <w:color w:val="231F20"/>
          <w:w w:val="105"/>
        </w:rPr>
        <w:t>de</w:t>
      </w:r>
      <w:r>
        <w:rPr>
          <w:color w:val="231F20"/>
          <w:spacing w:val="-34"/>
          <w:w w:val="105"/>
        </w:rPr>
        <w:t> </w:t>
      </w:r>
      <w:r>
        <w:rPr>
          <w:color w:val="231F20"/>
          <w:w w:val="105"/>
        </w:rPr>
        <w:t>la</w:t>
      </w:r>
      <w:r>
        <w:rPr>
          <w:color w:val="231F20"/>
          <w:spacing w:val="-34"/>
          <w:w w:val="105"/>
        </w:rPr>
        <w:t> </w:t>
      </w:r>
      <w:r>
        <w:rPr>
          <w:color w:val="231F20"/>
          <w:w w:val="105"/>
        </w:rPr>
        <w:t>sociedad</w:t>
      </w:r>
      <w:r>
        <w:rPr>
          <w:color w:val="231F20"/>
          <w:spacing w:val="-34"/>
          <w:w w:val="105"/>
        </w:rPr>
        <w:t> </w:t>
      </w:r>
      <w:r>
        <w:rPr>
          <w:color w:val="231F20"/>
          <w:w w:val="105"/>
        </w:rPr>
        <w:t>con- tra</w:t>
      </w:r>
      <w:r>
        <w:rPr>
          <w:color w:val="231F20"/>
          <w:spacing w:val="-23"/>
          <w:w w:val="105"/>
        </w:rPr>
        <w:t> </w:t>
      </w:r>
      <w:r>
        <w:rPr>
          <w:color w:val="231F20"/>
          <w:w w:val="105"/>
        </w:rPr>
        <w:t>el</w:t>
      </w:r>
      <w:r>
        <w:rPr>
          <w:color w:val="231F20"/>
          <w:spacing w:val="-23"/>
          <w:w w:val="105"/>
        </w:rPr>
        <w:t> </w:t>
      </w:r>
      <w:r>
        <w:rPr>
          <w:color w:val="231F20"/>
          <w:w w:val="105"/>
        </w:rPr>
        <w:t>Estado.</w:t>
      </w:r>
      <w:r>
        <w:rPr>
          <w:color w:val="231F20"/>
          <w:spacing w:val="-23"/>
          <w:w w:val="105"/>
        </w:rPr>
        <w:t> </w:t>
      </w:r>
      <w:r>
        <w:rPr>
          <w:color w:val="231F20"/>
          <w:w w:val="105"/>
        </w:rPr>
        <w:t>En</w:t>
      </w:r>
      <w:r>
        <w:rPr>
          <w:color w:val="231F20"/>
          <w:spacing w:val="-23"/>
          <w:w w:val="105"/>
        </w:rPr>
        <w:t> </w:t>
      </w:r>
      <w:r>
        <w:rPr>
          <w:color w:val="231F20"/>
          <w:w w:val="105"/>
        </w:rPr>
        <w:t>cambio,</w:t>
      </w:r>
      <w:r>
        <w:rPr>
          <w:color w:val="231F20"/>
          <w:spacing w:val="-23"/>
          <w:w w:val="105"/>
        </w:rPr>
        <w:t> </w:t>
      </w:r>
      <w:r>
        <w:rPr>
          <w:color w:val="231F20"/>
          <w:w w:val="105"/>
        </w:rPr>
        <w:t>sí</w:t>
      </w:r>
      <w:r>
        <w:rPr>
          <w:color w:val="231F20"/>
          <w:spacing w:val="-23"/>
          <w:w w:val="105"/>
        </w:rPr>
        <w:t> </w:t>
      </w:r>
      <w:r>
        <w:rPr>
          <w:color w:val="231F20"/>
          <w:w w:val="105"/>
        </w:rPr>
        <w:t>es</w:t>
      </w:r>
      <w:r>
        <w:rPr>
          <w:color w:val="231F20"/>
          <w:spacing w:val="-23"/>
          <w:w w:val="105"/>
        </w:rPr>
        <w:t> </w:t>
      </w:r>
      <w:r>
        <w:rPr>
          <w:color w:val="231F20"/>
          <w:w w:val="105"/>
        </w:rPr>
        <w:t>creíble</w:t>
      </w:r>
      <w:r>
        <w:rPr>
          <w:color w:val="231F20"/>
          <w:spacing w:val="-23"/>
          <w:w w:val="105"/>
        </w:rPr>
        <w:t> </w:t>
      </w:r>
      <w:r>
        <w:rPr>
          <w:color w:val="231F20"/>
          <w:w w:val="105"/>
        </w:rPr>
        <w:t>que</w:t>
      </w:r>
      <w:r>
        <w:rPr>
          <w:color w:val="231F20"/>
          <w:spacing w:val="-23"/>
          <w:w w:val="105"/>
        </w:rPr>
        <w:t> </w:t>
      </w:r>
      <w:r>
        <w:rPr>
          <w:color w:val="231F20"/>
          <w:w w:val="105"/>
        </w:rPr>
        <w:t>asistimos</w:t>
      </w:r>
      <w:r>
        <w:rPr>
          <w:color w:val="231F20"/>
          <w:spacing w:val="-23"/>
          <w:w w:val="105"/>
        </w:rPr>
        <w:t> </w:t>
      </w:r>
      <w:r>
        <w:rPr>
          <w:color w:val="231F20"/>
          <w:w w:val="105"/>
        </w:rPr>
        <w:t>a</w:t>
      </w:r>
      <w:r>
        <w:rPr>
          <w:color w:val="231F20"/>
          <w:spacing w:val="-23"/>
          <w:w w:val="105"/>
        </w:rPr>
        <w:t> </w:t>
      </w:r>
      <w:r>
        <w:rPr>
          <w:color w:val="231F20"/>
          <w:w w:val="105"/>
        </w:rPr>
        <w:t>un</w:t>
      </w:r>
      <w:r>
        <w:rPr>
          <w:color w:val="231F20"/>
          <w:spacing w:val="-23"/>
          <w:w w:val="105"/>
        </w:rPr>
        <w:t> </w:t>
      </w:r>
      <w:r>
        <w:rPr>
          <w:color w:val="231F20"/>
          <w:w w:val="105"/>
        </w:rPr>
        <w:t>proceso</w:t>
      </w:r>
      <w:r>
        <w:rPr>
          <w:color w:val="231F20"/>
          <w:spacing w:val="-23"/>
          <w:w w:val="105"/>
        </w:rPr>
        <w:t> </w:t>
      </w:r>
      <w:r>
        <w:rPr>
          <w:color w:val="231F20"/>
          <w:w w:val="105"/>
        </w:rPr>
        <w:t>lento</w:t>
      </w:r>
      <w:r>
        <w:rPr>
          <w:color w:val="231F20"/>
          <w:spacing w:val="-23"/>
          <w:w w:val="105"/>
        </w:rPr>
        <w:t> </w:t>
      </w:r>
      <w:r>
        <w:rPr>
          <w:color w:val="231F20"/>
          <w:w w:val="105"/>
        </w:rPr>
        <w:t>de “des–universalización” del orden territorial del Estado, pues vemos que los</w:t>
      </w:r>
      <w:r>
        <w:rPr>
          <w:color w:val="231F20"/>
          <w:spacing w:val="-18"/>
          <w:w w:val="105"/>
        </w:rPr>
        <w:t> </w:t>
      </w:r>
      <w:r>
        <w:rPr>
          <w:color w:val="231F20"/>
          <w:w w:val="105"/>
        </w:rPr>
        <w:t>límites</w:t>
      </w:r>
      <w:r>
        <w:rPr>
          <w:color w:val="231F20"/>
          <w:spacing w:val="-18"/>
          <w:w w:val="105"/>
        </w:rPr>
        <w:t> </w:t>
      </w:r>
      <w:r>
        <w:rPr>
          <w:color w:val="231F20"/>
          <w:w w:val="105"/>
        </w:rPr>
        <w:t>y</w:t>
      </w:r>
      <w:r>
        <w:rPr>
          <w:color w:val="231F20"/>
          <w:spacing w:val="-18"/>
          <w:w w:val="105"/>
        </w:rPr>
        <w:t> </w:t>
      </w:r>
      <w:r>
        <w:rPr>
          <w:color w:val="231F20"/>
          <w:w w:val="105"/>
        </w:rPr>
        <w:t>sus</w:t>
      </w:r>
      <w:r>
        <w:rPr>
          <w:color w:val="231F20"/>
          <w:spacing w:val="-18"/>
          <w:w w:val="105"/>
        </w:rPr>
        <w:t> </w:t>
      </w:r>
      <w:r>
        <w:rPr>
          <w:color w:val="231F20"/>
          <w:w w:val="105"/>
        </w:rPr>
        <w:t>trazos</w:t>
      </w:r>
      <w:r>
        <w:rPr>
          <w:color w:val="231F20"/>
          <w:spacing w:val="-18"/>
          <w:w w:val="105"/>
        </w:rPr>
        <w:t> </w:t>
      </w:r>
      <w:r>
        <w:rPr>
          <w:color w:val="231F20"/>
          <w:w w:val="105"/>
        </w:rPr>
        <w:t>más</w:t>
      </w:r>
      <w:r>
        <w:rPr>
          <w:color w:val="231F20"/>
          <w:spacing w:val="-18"/>
          <w:w w:val="105"/>
        </w:rPr>
        <w:t> </w:t>
      </w:r>
      <w:r>
        <w:rPr>
          <w:color w:val="231F20"/>
          <w:w w:val="105"/>
        </w:rPr>
        <w:t>relevantes</w:t>
      </w:r>
      <w:r>
        <w:rPr>
          <w:color w:val="231F20"/>
          <w:spacing w:val="-18"/>
          <w:w w:val="105"/>
        </w:rPr>
        <w:t> </w:t>
      </w:r>
      <w:r>
        <w:rPr>
          <w:color w:val="231F20"/>
          <w:w w:val="105"/>
        </w:rPr>
        <w:t>son</w:t>
      </w:r>
      <w:r>
        <w:rPr>
          <w:color w:val="231F20"/>
          <w:spacing w:val="-18"/>
          <w:w w:val="105"/>
        </w:rPr>
        <w:t> </w:t>
      </w:r>
      <w:r>
        <w:rPr>
          <w:color w:val="231F20"/>
          <w:w w:val="105"/>
        </w:rPr>
        <w:t>“impuestos”</w:t>
      </w:r>
      <w:r>
        <w:rPr>
          <w:color w:val="231F20"/>
          <w:spacing w:val="-18"/>
          <w:w w:val="105"/>
        </w:rPr>
        <w:t> </w:t>
      </w:r>
      <w:r>
        <w:rPr>
          <w:color w:val="231F20"/>
          <w:w w:val="105"/>
        </w:rPr>
        <w:t>por</w:t>
      </w:r>
      <w:r>
        <w:rPr>
          <w:color w:val="231F20"/>
          <w:spacing w:val="-18"/>
          <w:w w:val="105"/>
        </w:rPr>
        <w:t> </w:t>
      </w:r>
      <w:r>
        <w:rPr>
          <w:color w:val="231F20"/>
          <w:w w:val="105"/>
        </w:rPr>
        <w:t>agentes</w:t>
      </w:r>
      <w:r>
        <w:rPr>
          <w:color w:val="231F20"/>
          <w:spacing w:val="-18"/>
          <w:w w:val="105"/>
        </w:rPr>
        <w:t> </w:t>
      </w:r>
      <w:r>
        <w:rPr>
          <w:color w:val="231F20"/>
          <w:w w:val="105"/>
        </w:rPr>
        <w:t>y</w:t>
      </w:r>
      <w:r>
        <w:rPr>
          <w:color w:val="231F20"/>
          <w:spacing w:val="-18"/>
          <w:w w:val="105"/>
        </w:rPr>
        <w:t> </w:t>
      </w:r>
      <w:r>
        <w:rPr>
          <w:color w:val="231F20"/>
          <w:w w:val="105"/>
        </w:rPr>
        <w:t>es- tructuras</w:t>
      </w:r>
      <w:r>
        <w:rPr>
          <w:color w:val="231F20"/>
          <w:spacing w:val="-15"/>
          <w:w w:val="105"/>
        </w:rPr>
        <w:t> </w:t>
      </w:r>
      <w:r>
        <w:rPr>
          <w:color w:val="231F20"/>
          <w:w w:val="105"/>
        </w:rPr>
        <w:t>paraestatales</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desarrollan</w:t>
      </w:r>
      <w:r>
        <w:rPr>
          <w:color w:val="231F20"/>
          <w:spacing w:val="-15"/>
          <w:w w:val="105"/>
        </w:rPr>
        <w:t> </w:t>
      </w:r>
      <w:r>
        <w:rPr>
          <w:color w:val="231F20"/>
          <w:w w:val="105"/>
        </w:rPr>
        <w:t>en</w:t>
      </w:r>
      <w:r>
        <w:rPr>
          <w:color w:val="231F20"/>
          <w:spacing w:val="-15"/>
          <w:w w:val="105"/>
        </w:rPr>
        <w:t> </w:t>
      </w:r>
      <w:r>
        <w:rPr>
          <w:color w:val="231F20"/>
          <w:w w:val="105"/>
        </w:rPr>
        <w:t>su</w:t>
      </w:r>
      <w:r>
        <w:rPr>
          <w:color w:val="231F20"/>
          <w:spacing w:val="-15"/>
          <w:w w:val="105"/>
        </w:rPr>
        <w:t> </w:t>
      </w:r>
      <w:r>
        <w:rPr>
          <w:color w:val="231F20"/>
          <w:w w:val="105"/>
        </w:rPr>
        <w:t>seno,</w:t>
      </w:r>
      <w:r>
        <w:rPr>
          <w:color w:val="231F20"/>
          <w:spacing w:val="-15"/>
          <w:w w:val="105"/>
        </w:rPr>
        <w:t> </w:t>
      </w:r>
      <w:r>
        <w:rPr>
          <w:color w:val="231F20"/>
          <w:w w:val="105"/>
        </w:rPr>
        <w:t>al</w:t>
      </w:r>
      <w:r>
        <w:rPr>
          <w:color w:val="231F20"/>
          <w:spacing w:val="-15"/>
          <w:w w:val="105"/>
        </w:rPr>
        <w:t> </w:t>
      </w:r>
      <w:r>
        <w:rPr>
          <w:color w:val="231F20"/>
          <w:w w:val="105"/>
        </w:rPr>
        <w:t>grado</w:t>
      </w:r>
      <w:r>
        <w:rPr>
          <w:color w:val="231F20"/>
          <w:spacing w:val="-15"/>
          <w:w w:val="105"/>
        </w:rPr>
        <w:t> </w:t>
      </w:r>
      <w:r>
        <w:rPr>
          <w:color w:val="231F20"/>
          <w:w w:val="105"/>
        </w:rPr>
        <w:t>de</w:t>
      </w:r>
      <w:r>
        <w:rPr>
          <w:color w:val="231F20"/>
          <w:spacing w:val="-15"/>
          <w:w w:val="105"/>
        </w:rPr>
        <w:t> </w:t>
      </w:r>
      <w:r>
        <w:rPr>
          <w:color w:val="231F20"/>
          <w:w w:val="105"/>
        </w:rPr>
        <w:t>poner en</w:t>
      </w:r>
      <w:r>
        <w:rPr>
          <w:color w:val="231F20"/>
          <w:spacing w:val="-24"/>
          <w:w w:val="105"/>
        </w:rPr>
        <w:t> </w:t>
      </w:r>
      <w:r>
        <w:rPr>
          <w:color w:val="231F20"/>
          <w:w w:val="105"/>
        </w:rPr>
        <w:t>evidencia</w:t>
      </w:r>
      <w:r>
        <w:rPr>
          <w:color w:val="231F20"/>
          <w:spacing w:val="-24"/>
          <w:w w:val="105"/>
        </w:rPr>
        <w:t> </w:t>
      </w:r>
      <w:r>
        <w:rPr>
          <w:color w:val="231F20"/>
          <w:w w:val="105"/>
        </w:rPr>
        <w:t>la</w:t>
      </w:r>
      <w:r>
        <w:rPr>
          <w:color w:val="231F20"/>
          <w:spacing w:val="-24"/>
          <w:w w:val="105"/>
        </w:rPr>
        <w:t> </w:t>
      </w:r>
      <w:r>
        <w:rPr>
          <w:color w:val="231F20"/>
          <w:w w:val="105"/>
        </w:rPr>
        <w:t>incapacidad</w:t>
      </w:r>
      <w:r>
        <w:rPr>
          <w:color w:val="231F20"/>
          <w:spacing w:val="-24"/>
          <w:w w:val="105"/>
        </w:rPr>
        <w:t> </w:t>
      </w:r>
      <w:r>
        <w:rPr>
          <w:color w:val="231F20"/>
          <w:w w:val="105"/>
        </w:rPr>
        <w:t>del</w:t>
      </w:r>
      <w:r>
        <w:rPr>
          <w:color w:val="231F20"/>
          <w:spacing w:val="-24"/>
          <w:w w:val="105"/>
        </w:rPr>
        <w:t> </w:t>
      </w:r>
      <w:r>
        <w:rPr>
          <w:color w:val="231F20"/>
          <w:w w:val="105"/>
        </w:rPr>
        <w:t>Estado</w:t>
      </w:r>
      <w:r>
        <w:rPr>
          <w:color w:val="231F20"/>
          <w:spacing w:val="-24"/>
          <w:w w:val="105"/>
        </w:rPr>
        <w:t> </w:t>
      </w:r>
      <w:r>
        <w:rPr>
          <w:color w:val="231F20"/>
          <w:w w:val="105"/>
        </w:rPr>
        <w:t>para</w:t>
      </w:r>
      <w:r>
        <w:rPr>
          <w:color w:val="231F20"/>
          <w:spacing w:val="-24"/>
          <w:w w:val="105"/>
        </w:rPr>
        <w:t> </w:t>
      </w:r>
      <w:r>
        <w:rPr>
          <w:color w:val="231F20"/>
          <w:w w:val="105"/>
        </w:rPr>
        <w:t>aglutinar</w:t>
      </w:r>
      <w:r>
        <w:rPr>
          <w:color w:val="231F20"/>
          <w:spacing w:val="-24"/>
          <w:w w:val="105"/>
        </w:rPr>
        <w:t> </w:t>
      </w:r>
      <w:r>
        <w:rPr>
          <w:color w:val="231F20"/>
          <w:w w:val="105"/>
        </w:rPr>
        <w:t>la</w:t>
      </w:r>
      <w:r>
        <w:rPr>
          <w:color w:val="231F20"/>
          <w:spacing w:val="-24"/>
          <w:w w:val="105"/>
        </w:rPr>
        <w:t> </w:t>
      </w:r>
      <w:r>
        <w:rPr>
          <w:color w:val="231F20"/>
          <w:w w:val="105"/>
        </w:rPr>
        <w:t>“diversidad”</w:t>
      </w:r>
      <w:r>
        <w:rPr>
          <w:color w:val="231F20"/>
          <w:spacing w:val="-24"/>
          <w:w w:val="105"/>
        </w:rPr>
        <w:t> </w:t>
      </w:r>
      <w:r>
        <w:rPr>
          <w:color w:val="231F20"/>
          <w:w w:val="105"/>
        </w:rPr>
        <w:t>en</w:t>
      </w:r>
      <w:r>
        <w:rPr>
          <w:color w:val="231F20"/>
          <w:spacing w:val="-24"/>
          <w:w w:val="105"/>
        </w:rPr>
        <w:t> </w:t>
      </w:r>
      <w:r>
        <w:rPr>
          <w:color w:val="231F20"/>
          <w:w w:val="105"/>
        </w:rPr>
        <w:t>la unificación</w:t>
      </w:r>
      <w:r>
        <w:rPr>
          <w:color w:val="231F20"/>
          <w:spacing w:val="-19"/>
          <w:w w:val="105"/>
        </w:rPr>
        <w:t> </w:t>
      </w:r>
      <w:r>
        <w:rPr>
          <w:color w:val="231F20"/>
          <w:w w:val="105"/>
        </w:rPr>
        <w:t>de</w:t>
      </w:r>
      <w:r>
        <w:rPr>
          <w:color w:val="231F20"/>
          <w:spacing w:val="-19"/>
          <w:w w:val="105"/>
        </w:rPr>
        <w:t> </w:t>
      </w:r>
      <w:r>
        <w:rPr>
          <w:color w:val="231F20"/>
          <w:w w:val="105"/>
        </w:rPr>
        <w:t>lo</w:t>
      </w:r>
      <w:r>
        <w:rPr>
          <w:color w:val="231F20"/>
          <w:spacing w:val="-19"/>
          <w:w w:val="105"/>
        </w:rPr>
        <w:t> </w:t>
      </w:r>
      <w:r>
        <w:rPr>
          <w:color w:val="231F20"/>
          <w:w w:val="105"/>
        </w:rPr>
        <w:t>político</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campo</w:t>
      </w:r>
      <w:r>
        <w:rPr>
          <w:color w:val="231F20"/>
          <w:spacing w:val="-19"/>
          <w:w w:val="105"/>
        </w:rPr>
        <w:t> </w:t>
      </w:r>
      <w:r>
        <w:rPr>
          <w:color w:val="231F20"/>
          <w:w w:val="105"/>
        </w:rPr>
        <w:t>de</w:t>
      </w:r>
      <w:r>
        <w:rPr>
          <w:color w:val="231F20"/>
          <w:spacing w:val="-19"/>
          <w:w w:val="105"/>
        </w:rPr>
        <w:t> </w:t>
      </w:r>
      <w:r>
        <w:rPr>
          <w:color w:val="231F20"/>
          <w:w w:val="105"/>
        </w:rPr>
        <w:t>desarrollo</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vida</w:t>
      </w:r>
      <w:r>
        <w:rPr>
          <w:color w:val="231F20"/>
          <w:spacing w:val="-19"/>
          <w:w w:val="105"/>
        </w:rPr>
        <w:t> </w:t>
      </w:r>
      <w:r>
        <w:rPr>
          <w:color w:val="231F20"/>
          <w:w w:val="105"/>
        </w:rPr>
        <w:t>social</w:t>
      </w:r>
      <w:r>
        <w:rPr>
          <w:color w:val="231F20"/>
          <w:spacing w:val="-19"/>
          <w:w w:val="105"/>
        </w:rPr>
        <w:t> </w:t>
      </w:r>
      <w:r>
        <w:rPr>
          <w:color w:val="231F20"/>
          <w:w w:val="105"/>
        </w:rPr>
        <w:t>de</w:t>
      </w:r>
      <w:r>
        <w:rPr>
          <w:color w:val="231F20"/>
          <w:spacing w:val="-19"/>
          <w:w w:val="105"/>
        </w:rPr>
        <w:t> </w:t>
      </w:r>
      <w:r>
        <w:rPr>
          <w:color w:val="231F20"/>
          <w:w w:val="105"/>
        </w:rPr>
        <w:t>las </w:t>
      </w:r>
      <w:r>
        <w:rPr>
          <w:color w:val="231F20"/>
        </w:rPr>
        <w:t>democracias</w:t>
      </w:r>
      <w:r>
        <w:rPr>
          <w:color w:val="231F20"/>
          <w:spacing w:val="14"/>
        </w:rPr>
        <w:t> </w:t>
      </w:r>
      <w:r>
        <w:rPr>
          <w:color w:val="231F20"/>
        </w:rPr>
        <w:t>actuales.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r>
        <w:rPr/>
        <w:pict>
          <v:line style="position:absolute;mso-position-horizontal-relative:page;mso-position-vertical-relative:paragraph;z-index:7072;mso-wrap-distance-left:0;mso-wrap-distance-right:0" from="65.196899pt,15.133548pt" to="178.582899pt,15.133548pt" stroked="true" strokeweight=".3pt" strokecolor="#231f20">
            <w10:wrap type="topAndBottom"/>
          </v:line>
        </w:pict>
      </w:r>
    </w:p>
    <w:p>
      <w:pPr>
        <w:spacing w:line="204" w:lineRule="exact" w:before="8"/>
        <w:ind w:left="103" w:right="115" w:firstLine="0"/>
        <w:jc w:val="both"/>
        <w:rPr>
          <w:rFonts w:ascii="Calibri" w:hAnsi="Calibri"/>
          <w:sz w:val="17"/>
        </w:rPr>
      </w:pPr>
      <w:r>
        <w:rPr>
          <w:rFonts w:ascii="Calibri" w:hAnsi="Calibri"/>
          <w:color w:val="231F20"/>
          <w:position w:val="6"/>
          <w:sz w:val="10"/>
        </w:rPr>
        <w:t>62 </w:t>
      </w:r>
      <w:r>
        <w:rPr>
          <w:rFonts w:ascii="Calibri" w:hAnsi="Calibri"/>
          <w:color w:val="231F20"/>
          <w:sz w:val="17"/>
        </w:rPr>
        <w:t>I. Covarrubias, “Delincuencia organizada, descentramiento del poder y controversias en ciertas formas de (des)organización social en México”, </w:t>
      </w:r>
      <w:r>
        <w:rPr>
          <w:rFonts w:ascii="Calibri" w:hAnsi="Calibri"/>
          <w:i/>
          <w:color w:val="231F20"/>
          <w:sz w:val="17"/>
        </w:rPr>
        <w:t>Khantati. Revista boliviana de ciencia política</w:t>
      </w:r>
      <w:r>
        <w:rPr>
          <w:rFonts w:ascii="Calibri" w:hAnsi="Calibri"/>
          <w:color w:val="231F20"/>
          <w:sz w:val="17"/>
        </w:rPr>
        <w:t>, 1 (en prensa), 2015; A. Schedler, “The Criminal Subversion of Mexican Democracy”, </w:t>
      </w:r>
      <w:r>
        <w:rPr>
          <w:rFonts w:ascii="Calibri" w:hAnsi="Calibri"/>
          <w:i/>
          <w:color w:val="231F20"/>
          <w:sz w:val="17"/>
        </w:rPr>
        <w:t>Journal of</w:t>
      </w:r>
      <w:r>
        <w:rPr>
          <w:rFonts w:ascii="Calibri" w:hAnsi="Calibri"/>
          <w:i/>
          <w:color w:val="231F20"/>
          <w:spacing w:val="-27"/>
          <w:sz w:val="17"/>
        </w:rPr>
        <w:t> </w:t>
      </w:r>
      <w:r>
        <w:rPr>
          <w:rFonts w:ascii="Calibri" w:hAnsi="Calibri"/>
          <w:i/>
          <w:color w:val="231F20"/>
          <w:sz w:val="17"/>
        </w:rPr>
        <w:t>Democracy</w:t>
      </w:r>
      <w:r>
        <w:rPr>
          <w:rFonts w:ascii="Calibri" w:hAnsi="Calibri"/>
          <w:color w:val="231F20"/>
          <w:sz w:val="17"/>
        </w:rPr>
        <w:t>, 25,</w:t>
      </w:r>
      <w:r>
        <w:rPr>
          <w:rFonts w:ascii="Calibri" w:hAnsi="Calibri"/>
          <w:color w:val="231F20"/>
          <w:spacing w:val="-26"/>
          <w:sz w:val="17"/>
        </w:rPr>
        <w:t> </w:t>
      </w:r>
      <w:r>
        <w:rPr>
          <w:rFonts w:ascii="Calibri" w:hAnsi="Calibri"/>
          <w:color w:val="231F20"/>
          <w:sz w:val="17"/>
        </w:rPr>
        <w:t>1,</w:t>
      </w:r>
      <w:r>
        <w:rPr>
          <w:rFonts w:ascii="Calibri" w:hAnsi="Calibri"/>
          <w:color w:val="231F20"/>
          <w:spacing w:val="-26"/>
          <w:sz w:val="17"/>
        </w:rPr>
        <w:t> </w:t>
      </w:r>
      <w:r>
        <w:rPr>
          <w:rFonts w:ascii="Calibri" w:hAnsi="Calibri"/>
          <w:color w:val="231F20"/>
          <w:sz w:val="17"/>
        </w:rPr>
        <w:t>2014,</w:t>
      </w:r>
      <w:r>
        <w:rPr>
          <w:rFonts w:ascii="Calibri" w:hAnsi="Calibri"/>
          <w:color w:val="231F20"/>
          <w:spacing w:val="-26"/>
          <w:sz w:val="17"/>
        </w:rPr>
        <w:t> </w:t>
      </w:r>
      <w:r>
        <w:rPr>
          <w:rFonts w:ascii="Calibri" w:hAnsi="Calibri"/>
          <w:color w:val="231F20"/>
          <w:sz w:val="17"/>
        </w:rPr>
        <w:t>pp.</w:t>
      </w:r>
      <w:r>
        <w:rPr>
          <w:rFonts w:ascii="Calibri" w:hAnsi="Calibri"/>
          <w:color w:val="231F20"/>
          <w:spacing w:val="-26"/>
          <w:sz w:val="17"/>
        </w:rPr>
        <w:t> </w:t>
      </w:r>
      <w:r>
        <w:rPr>
          <w:rFonts w:ascii="Calibri" w:hAnsi="Calibri"/>
          <w:color w:val="231F20"/>
          <w:sz w:val="17"/>
        </w:rPr>
        <w:t>5–18.</w:t>
      </w:r>
    </w:p>
    <w:p>
      <w:pPr>
        <w:pStyle w:val="BodyText"/>
        <w:rPr>
          <w:rFonts w:ascii="Calibri"/>
          <w:sz w:val="20"/>
        </w:rPr>
      </w:pPr>
    </w:p>
    <w:p>
      <w:pPr>
        <w:pStyle w:val="BodyText"/>
        <w:spacing w:before="1"/>
        <w:rPr>
          <w:rFonts w:ascii="Calibri"/>
          <w:sz w:val="28"/>
        </w:rPr>
      </w:pPr>
    </w:p>
    <w:p>
      <w:pPr>
        <w:tabs>
          <w:tab w:pos="1331" w:val="left" w:leader="none"/>
        </w:tabs>
        <w:spacing w:before="69"/>
        <w:ind w:left="226" w:right="0" w:firstLine="0"/>
        <w:jc w:val="left"/>
        <w:rPr>
          <w:rFonts w:ascii="Calibri"/>
          <w:sz w:val="16"/>
        </w:rPr>
      </w:pPr>
      <w:r>
        <w:rPr/>
        <w:pict>
          <v:group style="position:absolute;margin-left:98.787804pt;margin-top:-3.308812pt;width:20.4pt;height:43pt;mso-position-horizontal-relative:page;mso-position-vertical-relative:paragraph;z-index:-168304" coordorigin="1976,-66" coordsize="408,860">
            <v:line style="position:absolute" from="2225,73" to="2225,789" stroked="true" strokeweight=".35pt" strokecolor="#231f20"/>
            <v:shape style="position:absolute;left:2193;top:-13;width:190;height:445" type="#_x0000_t75" stroked="false">
              <v:imagedata r:id="rId40" o:title=""/>
            </v:shape>
            <v:shape style="position:absolute;left:1976;top:-66;width:250;height:502" type="#_x0000_t75" stroked="false">
              <v:imagedata r:id="rId41" o:title=""/>
            </v:shape>
            <w10:wrap type="none"/>
          </v:group>
        </w:pict>
      </w:r>
      <w:r>
        <w:rPr>
          <w:rFonts w:ascii="Arial"/>
          <w:color w:val="414042"/>
          <w:position w:val="-4"/>
          <w:sz w:val="20"/>
        </w:rPr>
        <w:t>136</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spacing w:before="4"/>
        <w:rPr>
          <w:rFonts w:ascii="Times New Roman"/>
          <w:sz w:val="17"/>
        </w:rPr>
      </w:pPr>
      <w:r>
        <w:rPr/>
        <w:pict>
          <v:line style="position:absolute;mso-position-horizontal-relative:page;mso-position-vertical-relative:page;z-index:7120" from="481.822998pt,0pt" to="481.822998pt,694.487976pt" stroked="true" strokeweight=".134pt" strokecolor="#6d6e71">
            <w10:wrap type="none"/>
          </v:line>
        </w:pict>
      </w:r>
    </w:p>
    <w:p>
      <w:pPr>
        <w:spacing w:after="0"/>
        <w:rPr>
          <w:rFonts w:ascii="Times New Roman"/>
          <w:sz w:val="17"/>
        </w:rPr>
        <w:sectPr>
          <w:pgSz w:w="9640" w:h="13890"/>
          <w:pgMar w:top="0" w:bottom="0" w:left="1340" w:right="0"/>
        </w:sectPr>
      </w:pPr>
    </w:p>
    <w:p>
      <w:pPr>
        <w:pStyle w:val="BodyText"/>
        <w:ind w:left="861"/>
        <w:rPr>
          <w:rFonts w:ascii="Times New Roman"/>
          <w:sz w:val="20"/>
        </w:rPr>
      </w:pPr>
      <w:r>
        <w:rPr/>
        <w:pict>
          <v:rect style="position:absolute;margin-left:0pt;margin-top:0pt;width:481.89pt;height:694.487976pt;mso-position-horizontal-relative:page;mso-position-vertical-relative:page;z-index:-168232" filled="true" fillcolor="#6d6e71" stroked="false">
            <v:fill type="solid"/>
            <w10:wrap type="none"/>
          </v:rect>
        </w:pict>
      </w:r>
      <w:r>
        <w:rPr>
          <w:rFonts w:ascii="Times New Roman"/>
          <w:sz w:val="20"/>
        </w:rPr>
        <w:pict>
          <v:group style="width:259.5pt;height:425.1pt;mso-position-horizontal-relative:char;mso-position-vertical-relative:line" coordorigin="0,0" coordsize="5190,8502">
            <v:shape style="position:absolute;left:2843;top:633;width:2346;height:7869" type="#_x0000_t75" stroked="false">
              <v:imagedata r:id="rId37" o:title=""/>
            </v:shape>
            <v:shape style="position:absolute;left:2864;top:1653;width:1729;height:3773" coordorigin="2864,1653" coordsize="1729,3773" path="m2953,1653l2941,1678,2914,1749,2885,1854,2864,1984,3158,3145,3436,3890,3860,4543,4593,5425,4587,5306,4571,5018,4552,4668,4535,4361,4023,4075,3687,3697,3380,2974,2953,1653xe" filled="true" fillcolor="#7e8083" stroked="false">
              <v:path arrowok="t"/>
              <v:fill type="solid"/>
            </v:shape>
            <v:shape style="position:absolute;left:0;top:0;width:4665;height:6117" type="#_x0000_t75" stroked="false">
              <v:imagedata r:id="rId38" o:title=""/>
            </v:shape>
            <v:shape style="position:absolute;left:2253;top:9;width:721;height:3805" coordorigin="2253,9" coordsize="721,3805" path="m2757,9l2525,58,2286,1239,2253,2024,2468,2765,2973,3814,2757,9xe" filled="true" fillcolor="#a9abae" stroked="false">
              <v:path arrowok="t"/>
              <v:fill type="solid"/>
            </v:shape>
            <v:shape style="position:absolute;left:2385;top:7;width:602;height:3856" coordorigin="2385,7" coordsize="602,3856" path="m2759,7l2524,51,2520,52,2519,56,2493,174,2487,203,2481,233,2475,262,2470,292,2449,411,2444,441,2440,470,2436,500,2432,530,2424,590,2417,650,2411,710,2405,770,2402,800,2400,833,2398,863,2396,891,2392,952,2391,981,2390,1012,2386,1132,2385,1162,2385,1222,2385,1313,2386,1374,2389,1437,2391,1495,2394,1555,2398,1615,2402,1675,2413,1796,2419,1856,2426,1916,2433,1976,2441,2036,2449,2096,2458,2155,2468,2215,2473,2245,2478,2274,2484,2304,2495,2363,2501,2393,2506,2422,2513,2452,2538,2570,2566,2687,2581,2746,2596,2804,2612,2863,2628,2920,2645,2978,2662,3035,2680,3093,2698,3150,2718,3207,2737,3264,2757,3321,2778,3377,2799,3433,2821,3489,2843,3545,2866,3600,2889,3656,2913,3710,2939,3765,2965,3819,2986,3862,2983,3815,2964,3815,2961,3765,2957,3756,2933,3701,2910,3646,2888,3591,2866,3535,2845,3479,2824,3423,2804,3367,2785,3310,2766,3253,2747,3196,2729,3139,2712,3082,2695,3025,2679,2967,2663,2909,2647,2852,2632,2794,2618,2735,2603,2677,2577,2561,2552,2443,2546,2414,2541,2384,2535,2355,2530,2325,2525,2296,2519,2266,2515,2237,2510,2207,2500,2148,2491,2089,2483,2029,2474,1970,2460,1851,2454,1791,2449,1732,2443,1672,2439,1612,2431,1492,2427,1372,2425,1342,2424,1313,2424,1282,2424,1252,2423,1222,2423,1192,2422,1162,2423,1132,2425,1011,2425,982,2426,951,2428,923,2431,860,2432,830,2434,803,2436,773,2441,713,2446,653,2451,593,2458,534,2461,504,2465,474,2468,444,2472,414,2490,296,2494,266,2499,236,2504,207,2530,64,2526,64,2531,59,2548,59,2755,12,2759,12,2759,7xm2961,3765l2964,3815,2982,3810,2961,3765xm2759,12l2755,12,2758,91,2767,328,2771,414,2774,485,2796,961,2821,1437,2825,1516,2829,1596,2834,1675,2839,1754,2843,1834,2853,1992,2858,2071,2864,2150,2875,2309,2880,2388,2885,2467,2896,2626,2902,2705,2907,2784,2912,2863,2926,3101,2930,3161,2933,3220,2936,3280,2944,3418,2948,3498,2952,3577,2956,3656,2960,3736,2961,3765,2982,3810,2964,3815,2983,3815,2978,3735,2972,3655,2967,3576,2962,3497,2958,3418,2949,3279,2946,3219,2942,3160,2927,2862,2923,2783,2919,2704,2915,2625,2908,2466,2904,2384,2901,2304,2894,2148,2890,2069,2886,1990,2878,1831,2874,1752,2869,1672,2865,1594,2860,1514,2855,1434,2826,959,2794,484,2789,405,2783,326,2777,247,2765,88,2759,12xm2531,59l2526,64,2530,63,2531,59xm2530,63l2526,64,2530,64,2530,63xm2548,59l2531,59,2530,63,2548,59xe" filled="true" fillcolor="#ffffff" stroked="false">
              <v:path arrowok="t"/>
              <v:fill type="solid"/>
            </v:shape>
            <v:shape style="position:absolute;left:765;top:4108;width:1689;height:2056" coordorigin="765,4108" coordsize="1689,2056" path="m2396,4108l2330,4111,2257,4118,2175,4134,2085,4160,1988,4198,1882,4250,1826,4282,1769,4318,1709,4358,1648,4404,1584,4454,1519,4510,1452,4571,1383,4638,1312,4711,1239,4790,1165,4876,1088,4969,1010,5069,930,5176,848,5291,765,5413,874,6164,1348,5141,1671,4586,1990,4307,2453,4110,2425,4109,2396,4108xe" filled="true" fillcolor="#bec0c2" stroked="false">
              <v:path arrowok="t"/>
              <v:fill type="solid"/>
            </v:shape>
            <v:shape style="position:absolute;left:763;top:4090;width:1709;height:2094" coordorigin="763,4090" coordsize="1709,2094" path="m2385,4090l2350,4090,2315,4092,2280,4096,2246,4100,2211,4106,2177,4113,2109,4130,2027,4159,2010,4165,1994,4172,1978,4179,1946,4193,1931,4200,1915,4208,1838,4250,1823,4259,1808,4268,1705,4335,1622,4398,1608,4409,1594,4419,1580,4430,1461,4534,1337,4658,1313,4684,1290,4710,1266,4736,1243,4762,1219,4788,1196,4815,1174,4842,1086,4951,1064,4979,1043,5007,918,5177,899,5206,763,5412,763,5413,763,5414,785,5602,791,5649,796,5696,802,5743,818,5866,828,5941,838,6016,848,6092,858,6167,859,6172,862,6177,874,6183,884,6180,888,6171,888,6171,892,6162,889,6162,859,6157,881,6110,878,6087,866,6012,854,5937,842,5862,823,5740,815,5694,807,5647,799,5600,767,5414,912,5216,933,5188,1062,5023,1084,4996,1220,4837,1244,4812,1268,4786,1291,4761,1315,4736,1339,4710,1363,4685,1488,4565,1606,4464,1619,4453,1633,4443,1729,4371,1829,4306,1844,4297,1859,4289,1933,4248,1949,4241,2026,4206,2041,4199,2121,4171,2186,4153,2218,4146,2251,4140,2285,4135,2318,4132,2351,4129,2366,4129,2371,4126,2447,4093,2465,4093,2464,4092,2419,4090,2385,4090xm881,6110l859,6157,889,6162,881,6110xm2385,4128l2366,4129,2299,4166,2231,4212,2214,4224,2197,4236,2165,4261,2133,4287,2102,4314,2071,4342,2026,4384,2011,4398,1997,4413,1983,4428,1968,4443,1954,4457,1940,4472,1871,4549,1817,4612,1791,4644,1765,4676,1739,4708,1689,4773,1664,4806,1615,4872,1566,4939,1542,4973,1495,5041,1449,5110,1426,5144,1380,5213,1358,5247,1335,5282,1291,5352,1248,5423,1205,5494,1163,5566,1142,5602,1122,5638,1102,5674,1062,5747,1043,5784,1023,5821,1004,5858,967,5932,930,6006,894,6081,881,6110,889,6162,892,6162,924,6097,960,6022,998,5949,1036,5875,1074,5802,1113,5729,1152,5656,1192,5583,1272,5439,1287,5412,1313,5367,1334,5331,1355,5295,1397,5225,1441,5154,1485,5084,1531,5016,1554,4982,1577,4948,1625,4880,1649,4847,1674,4814,1699,4782,1750,4717,1776,4685,1802,4654,1829,4622,1883,4561,1954,4487,1968,4473,1983,4459,1999,4443,2012,4430,2027,4416,2042,4402,2088,4362,2119,4336,2150,4311,2182,4286,2199,4274,2231,4250,2248,4239,2316,4196,2386,4159,2456,4129,2452,4129,2418,4128,2385,4128xm2452,4128l2385,4128,2418,4128,2452,4129,2452,4128xm2465,4093l2447,4093,2452,4129,2456,4129,2459,4128,2460,4128,2466,4125,2471,4119,2472,4101,2465,4093xm2447,4093l2371,4126,2366,4129,2385,4128,2452,4128,2447,4093xe" filled="true" fillcolor="#ffffff" stroked="false">
              <v:path arrowok="t"/>
              <v:fill type="solid"/>
            </v:shape>
            <v:shape style="position:absolute;left:874;top:4111;width:2141;height:2054" coordorigin="874,4111" coordsize="2141,2054" path="m2486,4111l2096,4164,1797,4395,1440,4998,874,6164,985,6035,1092,5914,1196,5800,1296,5693,1392,5593,1485,5501,1575,5414,1660,5334,1743,5261,1822,5193,1898,5131,1971,5074,2042,5022,2109,4976,2173,4934,2235,4896,2294,4863,2350,4834,2404,4809,2455,4787,2504,4769,2551,4754,2596,4742,2638,4732,2679,4725,2717,4720,2754,4718,2789,4716,2975,4716,2959,4706,2904,4657,2850,4599,2797,4535,2746,4467,2696,4397,2604,4263,2561,4203,2522,4152,2486,4111xm2975,4716l2789,4716,2822,4717,2854,4719,2884,4721,2913,4725,2940,4729,2966,4734,3015,4743,2975,4716xe" filled="true" fillcolor="#828486" stroked="false">
              <v:path arrowok="t"/>
              <v:fill type="solid"/>
            </v:shape>
            <v:shape style="position:absolute;left:871;top:4104;width:2162;height:2063" coordorigin="871,4104" coordsize="2162,2063" path="m872,6166l873,6167,873,6166,872,6166xm875,6165l874,6166,873,6166,874,6167,875,6166,875,6165xm885,6147l872,6163,872,6163,872,6165,872,6166,872,6166,873,6166,874,6166,875,6165,885,6147xm872,6165l872,6166,872,6166,872,6165xm2810,4698l2768,4698,2725,4701,2683,4705,2642,4712,2600,4721,2559,4731,2519,4743,2479,4757,2439,4772,2400,4788,2362,4805,2324,4824,2286,4843,2249,4863,2213,4884,2141,4928,2071,4975,2036,5000,2002,5025,1968,5050,1934,5076,1901,5101,1868,5128,1803,5182,1739,5237,1708,5265,1645,5322,1614,5351,1553,5409,1523,5439,1493,5469,1433,5529,1345,5620,1316,5651,1230,5744,1117,5871,1090,5903,1035,5967,980,6032,885,6147,875,6165,988,6040,1132,5885,1248,5763,1337,5673,1456,5553,1547,5466,1578,5437,1639,5380,1671,5352,1733,5297,1765,5269,1797,5242,1829,5215,1894,5162,1926,5136,1993,5085,2026,5060,2060,5036,2094,5012,2163,4966,2234,4923,2269,4902,2306,4882,2342,4862,2379,4844,2416,4827,2454,4811,2492,4796,2530,4782,2569,4770,2609,4760,2648,4751,2688,4744,2728,4739,2769,4736,2809,4735,2974,4735,2963,4728,2944,4712,2936,4711,2894,4705,2852,4700,2810,4698xm872,6163l871,6164,871,6164,872,6163xm2488,4104l2486,4104,2444,4109,2404,4119,2365,4132,2327,4148,2289,4166,2253,4187,2218,4209,2184,4233,2119,4285,2056,4339,1995,4397,1937,4457,1880,4518,1825,4581,1772,4646,1719,4712,1668,4778,1619,4846,1571,4915,1523,4985,1477,5055,1432,5126,1387,5197,1343,5269,1300,5341,1258,5414,1216,5487,1175,5561,1135,5635,1095,5709,1056,5784,1018,5859,980,5934,943,6010,907,6087,872,6163,885,6147,915,6091,954,6016,994,5942,1075,5795,1116,5722,1158,5649,1200,5576,1242,5504,1285,5431,1328,5359,1372,5288,1416,5217,1461,5146,1507,5076,1553,5006,1599,4936,1647,4867,1695,4799,1744,4732,1794,4665,1845,4599,1898,4535,1952,4472,2008,4411,2067,4352,2128,4297,2193,4245,2226,4221,2260,4199,2295,4178,2332,4159,2369,4144,2407,4131,2447,4123,2483,4118,2481,4116,2500,4116,2491,4106,2489,4104,2488,4104xm2974,4735l2809,4735,2850,4737,2890,4740,2930,4745,2971,4752,3012,4760,3012,4760,3018,4761,3025,4758,3007,4758,2974,4735xm2944,4712l2963,4728,3007,4758,3018,4727,2977,4718,2944,4712xm2500,4116l2481,4116,2486,4118,2483,4118,2499,4135,2515,4154,2531,4175,2546,4195,2562,4216,2577,4237,2591,4259,2606,4280,2664,4367,2693,4410,2723,4453,2753,4495,2784,4537,2816,4578,2849,4619,2885,4657,2922,4694,2944,4712,2977,4718,3018,4727,3007,4758,3025,4758,3025,4758,3029,4751,3033,4743,3030,4733,3022,4728,3001,4716,2981,4702,2961,4687,2942,4671,2923,4654,2905,4636,2887,4618,2869,4599,2835,4561,2802,4521,2771,4481,2740,4439,2709,4398,2679,4355,2589,4228,2573,4207,2558,4186,2542,4165,2526,4145,2509,4125,2500,4116xm2481,4116l2483,4118,2486,4118,2481,4116xe" filled="true" fillcolor="#ffffff" stroked="false">
              <v:path arrowok="t"/>
              <v:fill type="solid"/>
            </v:shape>
            <v:shape style="position:absolute;left:1244;top:138;width:1771;height:4609" coordorigin="1244,138" coordsize="1771,4609" path="m2174,138l1618,256,1244,1778,1264,2753,1811,3602,3015,4747,3001,4483,2984,4202,2969,3979,2963,3887,2240,3071,1917,2408,1920,1547,2174,138xe" filled="true" fillcolor="#959799" stroked="false">
              <v:path arrowok="t"/>
              <v:fill type="solid"/>
            </v:shape>
            <v:shape style="position:absolute;left:1491;top:130;width:1535;height:4640" coordorigin="1491,130" coordsize="1535,4640" path="m2186,130l2172,130,1616,270,1597,350,1581,410,1566,490,1552,570,1540,650,1529,730,1520,790,1512,870,1506,950,1500,1030,1496,1110,1493,1190,1491,1270,1491,1350,1491,1430,1493,1490,1497,1570,1501,1650,1507,1730,1514,1810,1522,1890,1531,1970,1541,2050,1553,2110,1566,2190,1581,2270,1596,2350,1613,2430,1632,2490,1651,2570,1672,2650,1695,2730,1718,2790,1743,2870,1769,2950,1797,3010,1825,3090,1855,3150,1887,3230,1919,3290,1953,3370,1987,3430,2024,3510,2061,3570,2099,3630,2138,3710,2179,3770,2220,3830,2262,3890,2306,3970,2350,4030,2396,4090,2419,4110,2442,4150,2466,4170,2489,4210,2513,4230,2537,4270,2562,4290,2586,4330,2611,4350,2636,4390,2661,4410,2687,4430,2713,4470,2739,4490,2765,4530,2791,4550,2844,4610,2898,4650,2953,4710,3008,4770,3025,4770,3024,4750,3005,4750,3004,4732,2965,4690,2910,4650,2855,4590,2802,4550,2775,4510,2749,4490,2723,4450,2671,4410,2646,4370,2621,4350,2596,4310,2571,4290,2547,4250,2523,4230,2499,4190,2452,4130,2428,4110,2406,4070,2361,4010,2317,3950,2274,3890,2232,3830,2192,3770,2152,3690,2114,3630,2077,3570,2042,3490,2007,3430,1974,3350,1942,3290,1910,3210,1881,3150,1852,3070,1825,3010,1799,2930,1774,2850,1750,2790,1727,2710,1706,2630,1685,2570,1666,2490,1648,2410,1632,2330,1616,2270,1601,2190,1588,2110,1575,2030,1564,1950,1555,1890,1546,1810,1539,1730,1533,1650,1528,1570,1524,1490,1521,1410,1519,1350,1518,1270,1519,1190,1521,1110,1523,1030,1528,950,1533,870,1539,810,1547,730,1555,650,1565,570,1576,490,1589,410,1603,350,1620,270,2164,152,2165,150,2183,150,2186,130xm3004,4732l3005,4750,3021,4750,3004,4732xm2949,3906l2954,3990,2960,4070,2967,4150,2973,4250,2978,4330,3004,4732,3021,4750,3024,4750,2999,4250,2994,4150,2989,4070,2984,3990,2980,3910,2952,3910,2949,3906xm2947,3890l2949,3906,2952,3910,2947,3890xm2979,3890l2947,3890,2952,3910,2980,3910,2979,3890xm2183,150l2176,150,2164,152,2153,210,2141,270,2130,330,2120,390,2110,450,2102,510,2093,570,2086,630,2079,690,2073,770,2068,830,2063,890,2059,950,2056,1010,2053,1070,2052,1130,2051,1190,2051,1270,2051,1330,2052,1390,2055,1450,2057,1510,2061,1570,2066,1630,2074,1710,2083,1790,2093,1870,2105,1970,2119,2050,2134,2130,2151,2210,2169,2290,2188,2370,2209,2450,2232,2530,2256,2610,2281,2690,2308,2770,2337,2850,2367,2930,2399,2990,2432,3070,2467,3150,2503,3230,2540,3290,2579,3370,2620,3430,2662,3510,2695,3570,2728,3610,2763,3670,2798,3710,2835,3770,2872,3810,2911,3870,2949,3906,2947,3890,2974,3890,2935,3850,2898,3790,2861,3750,2826,3690,2791,3650,2758,3590,2725,3550,2693,3490,2652,3410,2613,3350,2574,3270,2538,3210,2502,3130,2469,3050,2436,2970,2405,2910,2376,2830,2348,2750,2322,2670,2296,2590,2272,2510,2250,2430,2229,2350,2209,2270,2191,2190,2175,2110,2160,2030,2146,1950,2134,1870,2123,1790,2114,1710,2106,1630,2100,1570,2096,1510,2092,1450,2089,1390,2085,1250,2085,1190,2085,1130,2085,1070,2087,1010,2089,950,2092,890,2096,830,2101,770,2106,710,2112,630,2118,570,2126,510,2134,450,2142,390,2152,330,2162,270,2172,210,2183,150xm2176,150l2165,150,2164,152,2176,150xe" filled="true" fillcolor="#ffffff" stroked="false">
              <v:path arrowok="t"/>
              <v:fill type="solid"/>
            </v:shape>
          </v:group>
        </w:pict>
      </w:r>
      <w:r>
        <w:rPr>
          <w:rFonts w:ascii="Times New Roman"/>
          <w:sz w:val="20"/>
        </w:rPr>
      </w:r>
    </w:p>
    <w:p>
      <w:pPr>
        <w:spacing w:line="187" w:lineRule="auto" w:before="22"/>
        <w:ind w:left="636" w:right="3024" w:firstLine="242"/>
        <w:jc w:val="right"/>
        <w:rPr>
          <w:rFonts w:ascii="Lucida Sans Unicode" w:hAnsi="Lucida Sans Unicode"/>
          <w:sz w:val="28"/>
        </w:rPr>
      </w:pPr>
      <w:r>
        <w:rPr>
          <w:rFonts w:ascii="Lucida Sans Unicode" w:hAnsi="Lucida Sans Unicode"/>
          <w:color w:val="FFFFFF"/>
          <w:w w:val="90"/>
          <w:sz w:val="28"/>
        </w:rPr>
        <w:t>ASUNTOS</w:t>
      </w:r>
      <w:r>
        <w:rPr>
          <w:rFonts w:ascii="Lucida Sans Unicode" w:hAnsi="Lucida Sans Unicode"/>
          <w:color w:val="FFFFFF"/>
          <w:spacing w:val="10"/>
          <w:w w:val="90"/>
          <w:sz w:val="28"/>
        </w:rPr>
        <w:t> </w:t>
      </w:r>
      <w:r>
        <w:rPr>
          <w:rFonts w:ascii="Lucida Sans Unicode" w:hAnsi="Lucida Sans Unicode"/>
          <w:color w:val="FFFFFF"/>
          <w:w w:val="90"/>
          <w:sz w:val="28"/>
        </w:rPr>
        <w:t>DE</w:t>
      </w:r>
      <w:r>
        <w:rPr>
          <w:rFonts w:ascii="Lucida Sans Unicode" w:hAnsi="Lucida Sans Unicode"/>
          <w:color w:val="FFFFFF"/>
          <w:spacing w:val="10"/>
          <w:w w:val="90"/>
          <w:sz w:val="28"/>
        </w:rPr>
        <w:t> </w:t>
      </w:r>
      <w:r>
        <w:rPr>
          <w:rFonts w:ascii="Lucida Sans Unicode" w:hAnsi="Lucida Sans Unicode"/>
          <w:color w:val="FFFFFF"/>
          <w:w w:val="90"/>
          <w:sz w:val="28"/>
        </w:rPr>
        <w:t>FRONTERA.</w:t>
      </w:r>
      <w:r>
        <w:rPr>
          <w:rFonts w:ascii="Lucida Sans Unicode" w:hAnsi="Lucida Sans Unicode"/>
          <w:color w:val="FFFFFF"/>
          <w:w w:val="89"/>
          <w:sz w:val="28"/>
        </w:rPr>
        <w:t> </w:t>
      </w:r>
      <w:r>
        <w:rPr>
          <w:rFonts w:ascii="Lucida Sans Unicode" w:hAnsi="Lucida Sans Unicode"/>
          <w:color w:val="FFFFFF"/>
          <w:w w:val="90"/>
          <w:sz w:val="28"/>
        </w:rPr>
        <w:t>SOBERANÍA</w:t>
      </w:r>
      <w:r>
        <w:rPr>
          <w:rFonts w:ascii="Lucida Sans Unicode" w:hAnsi="Lucida Sans Unicode"/>
          <w:color w:val="FFFFFF"/>
          <w:spacing w:val="51"/>
          <w:w w:val="90"/>
          <w:sz w:val="28"/>
        </w:rPr>
        <w:t> </w:t>
      </w:r>
      <w:r>
        <w:rPr>
          <w:rFonts w:ascii="Lucida Sans Unicode" w:hAnsi="Lucida Sans Unicode"/>
          <w:color w:val="FFFFFF"/>
          <w:w w:val="90"/>
          <w:sz w:val="28"/>
        </w:rPr>
        <w:t>TERRITORIAL</w:t>
      </w:r>
      <w:r>
        <w:rPr>
          <w:rFonts w:ascii="Lucida Sans Unicode" w:hAnsi="Lucida Sans Unicode"/>
          <w:color w:val="FFFFFF"/>
          <w:w w:val="91"/>
          <w:sz w:val="28"/>
        </w:rPr>
        <w:t> </w:t>
      </w:r>
      <w:r>
        <w:rPr>
          <w:rFonts w:ascii="Lucida Sans Unicode" w:hAnsi="Lucida Sans Unicode"/>
          <w:color w:val="FFFFFF"/>
          <w:w w:val="95"/>
          <w:sz w:val="28"/>
        </w:rPr>
        <w:t>Y</w:t>
      </w:r>
      <w:r>
        <w:rPr>
          <w:rFonts w:ascii="Lucida Sans Unicode" w:hAnsi="Lucida Sans Unicode"/>
          <w:color w:val="FFFFFF"/>
          <w:spacing w:val="-28"/>
          <w:w w:val="95"/>
          <w:sz w:val="28"/>
        </w:rPr>
        <w:t> </w:t>
      </w:r>
      <w:r>
        <w:rPr>
          <w:rFonts w:ascii="Lucida Sans Unicode" w:hAnsi="Lucida Sans Unicode"/>
          <w:color w:val="FFFFFF"/>
          <w:w w:val="95"/>
          <w:sz w:val="28"/>
        </w:rPr>
        <w:t>ORDEN</w:t>
      </w:r>
      <w:r>
        <w:rPr>
          <w:rFonts w:ascii="Lucida Sans Unicode" w:hAnsi="Lucida Sans Unicode"/>
          <w:color w:val="FFFFFF"/>
          <w:spacing w:val="-28"/>
          <w:w w:val="95"/>
          <w:sz w:val="28"/>
        </w:rPr>
        <w:t> </w:t>
      </w:r>
      <w:r>
        <w:rPr>
          <w:rFonts w:ascii="Lucida Sans Unicode" w:hAnsi="Lucida Sans Unicode"/>
          <w:color w:val="FFFFFF"/>
          <w:w w:val="95"/>
          <w:sz w:val="28"/>
        </w:rPr>
        <w:t>ftLOBAL</w:t>
      </w:r>
      <w:r>
        <w:rPr>
          <w:rFonts w:ascii="Lucida Sans Unicode" w:hAnsi="Lucida Sans Unicode"/>
          <w:color w:val="FFFFFF"/>
          <w:spacing w:val="-28"/>
          <w:w w:val="95"/>
          <w:sz w:val="28"/>
        </w:rPr>
        <w:t> </w:t>
      </w:r>
      <w:r>
        <w:rPr>
          <w:rFonts w:ascii="Lucida Sans Unicode" w:hAnsi="Lucida Sans Unicode"/>
          <w:color w:val="FFFFFF"/>
          <w:w w:val="95"/>
          <w:sz w:val="28"/>
        </w:rPr>
        <w:t>EN</w:t>
      </w:r>
      <w:r>
        <w:rPr>
          <w:rFonts w:ascii="Lucida Sans Unicode" w:hAnsi="Lucida Sans Unicode"/>
          <w:color w:val="FFFFFF"/>
          <w:spacing w:val="-28"/>
          <w:w w:val="95"/>
          <w:sz w:val="28"/>
        </w:rPr>
        <w:t> </w:t>
      </w:r>
      <w:r>
        <w:rPr>
          <w:rFonts w:ascii="Lucida Sans Unicode" w:hAnsi="Lucida Sans Unicode"/>
          <w:color w:val="FFFFFF"/>
          <w:w w:val="95"/>
          <w:sz w:val="28"/>
        </w:rPr>
        <w:t>EL</w:t>
      </w:r>
      <w:r>
        <w:rPr>
          <w:rFonts w:ascii="Lucida Sans Unicode" w:hAnsi="Lucida Sans Unicode"/>
          <w:color w:val="FFFFFF"/>
          <w:w w:val="98"/>
          <w:sz w:val="28"/>
        </w:rPr>
        <w:t> </w:t>
      </w:r>
      <w:r>
        <w:rPr>
          <w:rFonts w:ascii="Lucida Sans Unicode" w:hAnsi="Lucida Sans Unicode"/>
          <w:color w:val="FFFFFF"/>
          <w:spacing w:val="-3"/>
          <w:w w:val="95"/>
          <w:sz w:val="28"/>
        </w:rPr>
        <w:t>DEBATE </w:t>
      </w:r>
      <w:r>
        <w:rPr>
          <w:rFonts w:ascii="Lucida Sans Unicode" w:hAnsi="Lucida Sans Unicode"/>
          <w:color w:val="FFFFFF"/>
          <w:w w:val="95"/>
          <w:sz w:val="28"/>
        </w:rPr>
        <w:t>SOBRE</w:t>
      </w:r>
      <w:r>
        <w:rPr>
          <w:rFonts w:ascii="Lucida Sans Unicode" w:hAnsi="Lucida Sans Unicode"/>
          <w:color w:val="FFFFFF"/>
          <w:spacing w:val="-25"/>
          <w:w w:val="95"/>
          <w:sz w:val="28"/>
        </w:rPr>
        <w:t> </w:t>
      </w:r>
      <w:r>
        <w:rPr>
          <w:rFonts w:ascii="Lucida Sans Unicode" w:hAnsi="Lucida Sans Unicode"/>
          <w:color w:val="FFFFFF"/>
          <w:w w:val="95"/>
          <w:sz w:val="28"/>
        </w:rPr>
        <w:t>EL</w:t>
      </w:r>
      <w:r>
        <w:rPr>
          <w:rFonts w:ascii="Lucida Sans Unicode" w:hAnsi="Lucida Sans Unicode"/>
          <w:color w:val="FFFFFF"/>
          <w:spacing w:val="-14"/>
          <w:w w:val="95"/>
          <w:sz w:val="28"/>
        </w:rPr>
        <w:t> </w:t>
      </w:r>
      <w:r>
        <w:rPr>
          <w:rFonts w:ascii="Lucida Sans Unicode" w:hAnsi="Lucida Sans Unicode"/>
          <w:color w:val="FFFFFF"/>
          <w:w w:val="95"/>
          <w:sz w:val="28"/>
        </w:rPr>
        <w:t>“NUEVO</w:t>
      </w:r>
      <w:r>
        <w:rPr>
          <w:rFonts w:ascii="Lucida Sans Unicode" w:hAnsi="Lucida Sans Unicode"/>
          <w:color w:val="FFFFFF"/>
          <w:w w:val="89"/>
          <w:sz w:val="28"/>
        </w:rPr>
        <w:t> </w:t>
      </w:r>
      <w:r>
        <w:rPr>
          <w:rFonts w:ascii="Lucida Sans Unicode" w:hAnsi="Lucida Sans Unicode"/>
          <w:color w:val="FFFFFF"/>
          <w:spacing w:val="-1"/>
          <w:w w:val="90"/>
          <w:sz w:val="28"/>
        </w:rPr>
        <w:t>INTERVENCIONISMO </w:t>
      </w:r>
      <w:r>
        <w:rPr>
          <w:rFonts w:ascii="Lucida Sans Unicode" w:hAnsi="Lucida Sans Unicode"/>
          <w:color w:val="FFFFFF"/>
          <w:spacing w:val="-2"/>
          <w:w w:val="90"/>
          <w:sz w:val="28"/>
        </w:rPr>
        <w:t>HUMANITARIO”</w:t>
      </w:r>
    </w:p>
    <w:p>
      <w:pPr>
        <w:spacing w:before="54"/>
        <w:ind w:left="3931" w:right="692" w:firstLine="0"/>
        <w:jc w:val="left"/>
        <w:rPr>
          <w:rFonts w:ascii="Calibri"/>
          <w:sz w:val="28"/>
        </w:rPr>
      </w:pPr>
      <w:r>
        <w:rPr>
          <w:rFonts w:ascii="Calibri"/>
          <w:color w:val="FFFFFF"/>
          <w:w w:val="105"/>
          <w:sz w:val="28"/>
        </w:rPr>
        <w:t>Luca Scuccimarra</w:t>
      </w:r>
    </w:p>
    <w:p>
      <w:pPr>
        <w:spacing w:after="0"/>
        <w:jc w:val="left"/>
        <w:rPr>
          <w:rFonts w:ascii="Calibri"/>
          <w:sz w:val="28"/>
        </w:rPr>
        <w:sectPr>
          <w:pgSz w:w="9640" w:h="13890"/>
          <w:pgMar w:top="116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7"/>
        </w:rPr>
      </w:pPr>
    </w:p>
    <w:p>
      <w:pPr>
        <w:spacing w:before="57"/>
        <w:ind w:left="117" w:right="0" w:firstLine="0"/>
        <w:jc w:val="left"/>
        <w:rPr>
          <w:rFonts w:ascii="Arial" w:hAnsi="Arial"/>
          <w:i/>
          <w:sz w:val="21"/>
        </w:rPr>
      </w:pPr>
      <w:r>
        <w:rPr>
          <w:rFonts w:ascii="Arial" w:hAnsi="Arial"/>
          <w:i/>
          <w:color w:val="231F20"/>
          <w:sz w:val="21"/>
        </w:rPr>
        <w:t>La gran transformación</w:t>
      </w:r>
    </w:p>
    <w:p>
      <w:pPr>
        <w:pStyle w:val="BodyText"/>
        <w:rPr>
          <w:rFonts w:ascii="Arial"/>
          <w:i/>
          <w:sz w:val="20"/>
        </w:rPr>
      </w:pPr>
    </w:p>
    <w:p>
      <w:pPr>
        <w:pStyle w:val="BodyText"/>
        <w:spacing w:line="247" w:lineRule="auto" w:before="172"/>
        <w:ind w:left="1180" w:right="101"/>
        <w:jc w:val="both"/>
      </w:pPr>
      <w:r>
        <w:rPr/>
        <w:pict>
          <v:shape style="position:absolute;margin-left:76.553596pt;margin-top:22.46134pt;width:42.5pt;height:51pt;mso-position-horizontal-relative:page;mso-position-vertical-relative:paragraph;z-index:7216"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sz w:val="102"/>
                    </w:rPr>
                    <w:t>N</w:t>
                  </w:r>
                </w:p>
              </w:txbxContent>
            </v:textbox>
            <w10:wrap type="none"/>
          </v:shape>
        </w:pict>
      </w:r>
      <w:r>
        <w:rPr>
          <w:color w:val="231F20"/>
          <w:w w:val="105"/>
        </w:rPr>
        <w:t>o</w:t>
      </w:r>
      <w:r>
        <w:rPr>
          <w:color w:val="231F20"/>
          <w:spacing w:val="-47"/>
          <w:w w:val="105"/>
        </w:rPr>
        <w:t> </w:t>
      </w:r>
      <w:r>
        <w:rPr>
          <w:color w:val="231F20"/>
          <w:w w:val="105"/>
        </w:rPr>
        <w:t>es</w:t>
      </w:r>
      <w:r>
        <w:rPr>
          <w:color w:val="231F20"/>
          <w:spacing w:val="-47"/>
          <w:w w:val="105"/>
        </w:rPr>
        <w:t> </w:t>
      </w:r>
      <w:r>
        <w:rPr>
          <w:color w:val="231F20"/>
          <w:w w:val="105"/>
        </w:rPr>
        <w:t>posible</w:t>
      </w:r>
      <w:r>
        <w:rPr>
          <w:color w:val="231F20"/>
          <w:spacing w:val="-47"/>
          <w:w w:val="105"/>
        </w:rPr>
        <w:t> </w:t>
      </w:r>
      <w:r>
        <w:rPr>
          <w:color w:val="231F20"/>
          <w:w w:val="105"/>
        </w:rPr>
        <w:t>comprender</w:t>
      </w:r>
      <w:r>
        <w:rPr>
          <w:color w:val="231F20"/>
          <w:spacing w:val="-47"/>
          <w:w w:val="105"/>
        </w:rPr>
        <w:t> </w:t>
      </w:r>
      <w:r>
        <w:rPr>
          <w:color w:val="231F20"/>
          <w:w w:val="105"/>
        </w:rPr>
        <w:t>plenamente</w:t>
      </w:r>
      <w:r>
        <w:rPr>
          <w:color w:val="231F20"/>
          <w:spacing w:val="-47"/>
          <w:w w:val="105"/>
        </w:rPr>
        <w:t> </w:t>
      </w:r>
      <w:r>
        <w:rPr>
          <w:color w:val="231F20"/>
          <w:w w:val="105"/>
        </w:rPr>
        <w:t>las</w:t>
      </w:r>
      <w:r>
        <w:rPr>
          <w:color w:val="231F20"/>
          <w:spacing w:val="-47"/>
          <w:w w:val="105"/>
        </w:rPr>
        <w:t> </w:t>
      </w:r>
      <w:r>
        <w:rPr>
          <w:color w:val="231F20"/>
          <w:w w:val="105"/>
        </w:rPr>
        <w:t>profundas</w:t>
      </w:r>
      <w:r>
        <w:rPr>
          <w:color w:val="231F20"/>
          <w:spacing w:val="-47"/>
          <w:w w:val="105"/>
        </w:rPr>
        <w:t> </w:t>
      </w:r>
      <w:r>
        <w:rPr>
          <w:color w:val="231F20"/>
          <w:w w:val="105"/>
        </w:rPr>
        <w:t>transforma- ciones</w:t>
      </w:r>
      <w:r>
        <w:rPr>
          <w:color w:val="231F20"/>
          <w:spacing w:val="-19"/>
          <w:w w:val="105"/>
        </w:rPr>
        <w:t> </w:t>
      </w:r>
      <w:r>
        <w:rPr>
          <w:color w:val="231F20"/>
          <w:w w:val="105"/>
        </w:rPr>
        <w:t>políticas</w:t>
      </w:r>
      <w:r>
        <w:rPr>
          <w:color w:val="231F20"/>
          <w:spacing w:val="-19"/>
          <w:w w:val="105"/>
        </w:rPr>
        <w:t> </w:t>
      </w:r>
      <w:r>
        <w:rPr>
          <w:color w:val="231F20"/>
          <w:w w:val="105"/>
        </w:rPr>
        <w:t>y</w:t>
      </w:r>
      <w:r>
        <w:rPr>
          <w:color w:val="231F20"/>
          <w:spacing w:val="-19"/>
          <w:w w:val="105"/>
        </w:rPr>
        <w:t> </w:t>
      </w:r>
      <w:r>
        <w:rPr>
          <w:color w:val="231F20"/>
          <w:w w:val="105"/>
        </w:rPr>
        <w:t>jurídicas</w:t>
      </w:r>
      <w:r>
        <w:rPr>
          <w:color w:val="231F20"/>
          <w:spacing w:val="-19"/>
          <w:w w:val="105"/>
        </w:rPr>
        <w:t> </w:t>
      </w:r>
      <w:r>
        <w:rPr>
          <w:color w:val="231F20"/>
          <w:w w:val="105"/>
        </w:rPr>
        <w:t>originadas</w:t>
      </w:r>
      <w:r>
        <w:rPr>
          <w:color w:val="231F20"/>
          <w:spacing w:val="-19"/>
          <w:w w:val="105"/>
        </w:rPr>
        <w:t> </w:t>
      </w:r>
      <w:r>
        <w:rPr>
          <w:color w:val="231F20"/>
          <w:w w:val="105"/>
        </w:rPr>
        <w:t>por</w:t>
      </w:r>
      <w:r>
        <w:rPr>
          <w:color w:val="231F20"/>
          <w:spacing w:val="-19"/>
          <w:w w:val="105"/>
        </w:rPr>
        <w:t> </w:t>
      </w:r>
      <w:r>
        <w:rPr>
          <w:color w:val="231F20"/>
          <w:w w:val="105"/>
        </w:rPr>
        <w:t>el</w:t>
      </w:r>
      <w:r>
        <w:rPr>
          <w:color w:val="231F20"/>
          <w:spacing w:val="-19"/>
          <w:w w:val="105"/>
        </w:rPr>
        <w:t> </w:t>
      </w:r>
      <w:r>
        <w:rPr>
          <w:color w:val="231F20"/>
          <w:w w:val="105"/>
        </w:rPr>
        <w:t>desordenado</w:t>
      </w:r>
      <w:r>
        <w:rPr>
          <w:color w:val="231F20"/>
          <w:spacing w:val="-19"/>
          <w:w w:val="105"/>
        </w:rPr>
        <w:t> </w:t>
      </w:r>
      <w:r>
        <w:rPr>
          <w:color w:val="231F20"/>
          <w:w w:val="105"/>
        </w:rPr>
        <w:t>arri- bo de la “época global”, si no se consideran los relevantes cambios</w:t>
      </w:r>
      <w:r>
        <w:rPr>
          <w:color w:val="231F20"/>
          <w:spacing w:val="-19"/>
          <w:w w:val="105"/>
        </w:rPr>
        <w:t> </w:t>
      </w:r>
      <w:r>
        <w:rPr>
          <w:color w:val="231F20"/>
          <w:w w:val="105"/>
        </w:rPr>
        <w:t>producidos</w:t>
      </w:r>
      <w:r>
        <w:rPr>
          <w:color w:val="231F20"/>
          <w:spacing w:val="-19"/>
          <w:w w:val="105"/>
        </w:rPr>
        <w:t> </w:t>
      </w:r>
      <w:r>
        <w:rPr>
          <w:color w:val="231F20"/>
          <w:w w:val="105"/>
        </w:rPr>
        <w:t>por</w:t>
      </w:r>
      <w:r>
        <w:rPr>
          <w:color w:val="231F20"/>
          <w:spacing w:val="-19"/>
          <w:w w:val="105"/>
        </w:rPr>
        <w:t> </w:t>
      </w:r>
      <w:r>
        <w:rPr>
          <w:color w:val="231F20"/>
          <w:w w:val="105"/>
        </w:rPr>
        <w:t>ésta</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consolidado</w:t>
      </w:r>
      <w:r>
        <w:rPr>
          <w:color w:val="231F20"/>
          <w:spacing w:val="-19"/>
          <w:w w:val="105"/>
        </w:rPr>
        <w:t> </w:t>
      </w:r>
      <w:r>
        <w:rPr>
          <w:color w:val="231F20"/>
          <w:w w:val="105"/>
        </w:rPr>
        <w:t>tejido</w:t>
      </w:r>
      <w:r>
        <w:rPr>
          <w:color w:val="231F20"/>
          <w:spacing w:val="-19"/>
          <w:w w:val="105"/>
        </w:rPr>
        <w:t> </w:t>
      </w:r>
      <w:r>
        <w:rPr>
          <w:color w:val="231F20"/>
          <w:w w:val="105"/>
        </w:rPr>
        <w:t>de</w:t>
      </w:r>
      <w:r>
        <w:rPr>
          <w:color w:val="231F20"/>
          <w:spacing w:val="-19"/>
          <w:w w:val="105"/>
        </w:rPr>
        <w:t> </w:t>
      </w:r>
      <w:r>
        <w:rPr>
          <w:color w:val="231F20"/>
          <w:w w:val="105"/>
        </w:rPr>
        <w:t>cate- gorías</w:t>
      </w:r>
      <w:r>
        <w:rPr>
          <w:color w:val="231F20"/>
          <w:spacing w:val="-29"/>
          <w:w w:val="105"/>
        </w:rPr>
        <w:t> </w:t>
      </w:r>
      <w:r>
        <w:rPr>
          <w:color w:val="231F20"/>
          <w:w w:val="105"/>
        </w:rPr>
        <w:t>y</w:t>
      </w:r>
      <w:r>
        <w:rPr>
          <w:color w:val="231F20"/>
          <w:spacing w:val="-29"/>
          <w:w w:val="105"/>
        </w:rPr>
        <w:t> </w:t>
      </w:r>
      <w:r>
        <w:rPr>
          <w:color w:val="231F20"/>
          <w:w w:val="105"/>
        </w:rPr>
        <w:t>normas</w:t>
      </w:r>
      <w:r>
        <w:rPr>
          <w:color w:val="231F20"/>
          <w:spacing w:val="-29"/>
          <w:w w:val="105"/>
        </w:rPr>
        <w:t> </w:t>
      </w:r>
      <w:r>
        <w:rPr>
          <w:color w:val="231F20"/>
          <w:w w:val="105"/>
        </w:rPr>
        <w:t>en</w:t>
      </w:r>
      <w:r>
        <w:rPr>
          <w:color w:val="231F20"/>
          <w:spacing w:val="-29"/>
          <w:w w:val="105"/>
        </w:rPr>
        <w:t> </w:t>
      </w:r>
      <w:r>
        <w:rPr>
          <w:color w:val="231F20"/>
          <w:w w:val="105"/>
        </w:rPr>
        <w:t>que</w:t>
      </w:r>
      <w:r>
        <w:rPr>
          <w:color w:val="231F20"/>
          <w:spacing w:val="-29"/>
          <w:w w:val="105"/>
        </w:rPr>
        <w:t> </w:t>
      </w:r>
      <w:r>
        <w:rPr>
          <w:color w:val="231F20"/>
          <w:w w:val="105"/>
        </w:rPr>
        <w:t>se</w:t>
      </w:r>
      <w:r>
        <w:rPr>
          <w:color w:val="231F20"/>
          <w:spacing w:val="-29"/>
          <w:w w:val="105"/>
        </w:rPr>
        <w:t> </w:t>
      </w:r>
      <w:r>
        <w:rPr>
          <w:color w:val="231F20"/>
          <w:w w:val="105"/>
        </w:rPr>
        <w:t>basa</w:t>
      </w:r>
      <w:r>
        <w:rPr>
          <w:color w:val="231F20"/>
          <w:spacing w:val="-29"/>
          <w:w w:val="105"/>
        </w:rPr>
        <w:t> </w:t>
      </w:r>
      <w:r>
        <w:rPr>
          <w:color w:val="231F20"/>
          <w:w w:val="105"/>
        </w:rPr>
        <w:t>la</w:t>
      </w:r>
      <w:r>
        <w:rPr>
          <w:color w:val="231F20"/>
          <w:spacing w:val="-29"/>
          <w:w w:val="105"/>
        </w:rPr>
        <w:t> </w:t>
      </w:r>
      <w:r>
        <w:rPr>
          <w:color w:val="231F20"/>
          <w:w w:val="105"/>
        </w:rPr>
        <w:t>moderna</w:t>
      </w:r>
      <w:r>
        <w:rPr>
          <w:color w:val="231F20"/>
          <w:spacing w:val="-29"/>
          <w:w w:val="105"/>
        </w:rPr>
        <w:t> </w:t>
      </w:r>
      <w:r>
        <w:rPr>
          <w:color w:val="231F20"/>
          <w:w w:val="105"/>
        </w:rPr>
        <w:t>experiencia</w:t>
      </w:r>
      <w:r>
        <w:rPr>
          <w:color w:val="231F20"/>
          <w:spacing w:val="-29"/>
          <w:w w:val="105"/>
        </w:rPr>
        <w:t> </w:t>
      </w:r>
      <w:r>
        <w:rPr>
          <w:color w:val="231F20"/>
          <w:w w:val="105"/>
        </w:rPr>
        <w:t>del</w:t>
      </w:r>
      <w:r>
        <w:rPr>
          <w:color w:val="231F20"/>
          <w:spacing w:val="-29"/>
          <w:w w:val="105"/>
        </w:rPr>
        <w:t> </w:t>
      </w:r>
      <w:r>
        <w:rPr>
          <w:color w:val="231F20"/>
          <w:w w:val="105"/>
        </w:rPr>
        <w:t>Es-</w:t>
      </w:r>
    </w:p>
    <w:p>
      <w:pPr>
        <w:pStyle w:val="BodyText"/>
        <w:spacing w:line="247" w:lineRule="auto"/>
        <w:ind w:left="117" w:right="101"/>
        <w:jc w:val="both"/>
      </w:pPr>
      <w:r>
        <w:rPr>
          <w:color w:val="231F20"/>
        </w:rPr>
        <w:t>tado</w:t>
      </w:r>
      <w:r>
        <w:rPr>
          <w:color w:val="231F20"/>
          <w:spacing w:val="-8"/>
        </w:rPr>
        <w:t> </w:t>
      </w:r>
      <w:r>
        <w:rPr>
          <w:color w:val="231F20"/>
        </w:rPr>
        <w:t>territorial</w:t>
      </w:r>
      <w:r>
        <w:rPr>
          <w:color w:val="231F20"/>
          <w:spacing w:val="-8"/>
        </w:rPr>
        <w:t> </w:t>
      </w:r>
      <w:r>
        <w:rPr>
          <w:color w:val="231F20"/>
        </w:rPr>
        <w:t>soberano.</w:t>
      </w:r>
      <w:r>
        <w:rPr>
          <w:color w:val="231F20"/>
          <w:spacing w:val="-8"/>
        </w:rPr>
        <w:t> </w:t>
      </w:r>
      <w:r>
        <w:rPr>
          <w:color w:val="231F20"/>
        </w:rPr>
        <w:t>Como</w:t>
      </w:r>
      <w:r>
        <w:rPr>
          <w:color w:val="231F20"/>
          <w:spacing w:val="-8"/>
        </w:rPr>
        <w:t> </w:t>
      </w:r>
      <w:r>
        <w:rPr>
          <w:color w:val="231F20"/>
        </w:rPr>
        <w:t>se</w:t>
      </w:r>
      <w:r>
        <w:rPr>
          <w:color w:val="231F20"/>
          <w:spacing w:val="-8"/>
        </w:rPr>
        <w:t> </w:t>
      </w:r>
      <w:r>
        <w:rPr>
          <w:color w:val="231F20"/>
        </w:rPr>
        <w:t>ha</w:t>
      </w:r>
      <w:r>
        <w:rPr>
          <w:color w:val="231F20"/>
          <w:spacing w:val="-8"/>
        </w:rPr>
        <w:t> </w:t>
      </w:r>
      <w:r>
        <w:rPr>
          <w:color w:val="231F20"/>
        </w:rPr>
        <w:t>subrayado,</w:t>
      </w:r>
      <w:r>
        <w:rPr>
          <w:color w:val="231F20"/>
          <w:spacing w:val="-8"/>
        </w:rPr>
        <w:t> </w:t>
      </w:r>
      <w:r>
        <w:rPr>
          <w:color w:val="231F20"/>
        </w:rPr>
        <w:t>entre</w:t>
      </w:r>
      <w:r>
        <w:rPr>
          <w:color w:val="231F20"/>
          <w:spacing w:val="-8"/>
        </w:rPr>
        <w:t> </w:t>
      </w:r>
      <w:r>
        <w:rPr>
          <w:color w:val="231F20"/>
        </w:rPr>
        <w:t>las</w:t>
      </w:r>
      <w:r>
        <w:rPr>
          <w:color w:val="231F20"/>
          <w:spacing w:val="-8"/>
        </w:rPr>
        <w:t> </w:t>
      </w:r>
      <w:r>
        <w:rPr>
          <w:color w:val="231F20"/>
        </w:rPr>
        <w:t>grandes</w:t>
      </w:r>
      <w:r>
        <w:rPr>
          <w:color w:val="231F20"/>
          <w:spacing w:val="-8"/>
        </w:rPr>
        <w:t> </w:t>
      </w:r>
      <w:r>
        <w:rPr>
          <w:color w:val="231F20"/>
        </w:rPr>
        <w:t>interro- gantes abiertas desde el final del orden bipolar del mundo se encuentra también —junto a la reconstrucción de un “conjunto de jerarquías de po- der y prestigio, de distribución de territorio e influencia”— el problema de la refundación de los principios generales de legitimidad llamados a soste- ner “el orden internacional y sus relaciones con el orden interno de los di- versos sujetos”, en un acercamiento gradual que va desde el “extremo de la indiferencia” al “de la penetración y de la</w:t>
      </w:r>
      <w:r>
        <w:rPr>
          <w:color w:val="231F20"/>
          <w:spacing w:val="43"/>
        </w:rPr>
        <w:t> </w:t>
      </w:r>
      <w:r>
        <w:rPr>
          <w:color w:val="231F20"/>
        </w:rPr>
        <w:t>injerencia”</w:t>
      </w:r>
      <w:r>
        <w:rPr>
          <w:color w:val="231F20"/>
          <w:position w:val="7"/>
          <w:sz w:val="12"/>
        </w:rPr>
        <w:t>1</w:t>
      </w:r>
      <w:r>
        <w:rPr>
          <w:color w:val="231F20"/>
        </w:rPr>
        <w:t>.</w:t>
      </w:r>
    </w:p>
    <w:p>
      <w:pPr>
        <w:pStyle w:val="BodyText"/>
        <w:spacing w:line="244" w:lineRule="auto"/>
        <w:ind w:left="117" w:right="100" w:firstLine="566"/>
        <w:jc w:val="right"/>
      </w:pPr>
      <w:r>
        <w:rPr>
          <w:color w:val="231F20"/>
          <w:w w:val="105"/>
        </w:rPr>
        <w:t>Se</w:t>
      </w:r>
      <w:r>
        <w:rPr>
          <w:color w:val="231F20"/>
          <w:spacing w:val="-30"/>
          <w:w w:val="105"/>
        </w:rPr>
        <w:t> </w:t>
      </w:r>
      <w:r>
        <w:rPr>
          <w:color w:val="231F20"/>
          <w:w w:val="105"/>
        </w:rPr>
        <w:t>trata</w:t>
      </w:r>
      <w:r>
        <w:rPr>
          <w:color w:val="231F20"/>
          <w:spacing w:val="-30"/>
          <w:w w:val="105"/>
        </w:rPr>
        <w:t> </w:t>
      </w:r>
      <w:r>
        <w:rPr>
          <w:color w:val="231F20"/>
          <w:w w:val="105"/>
        </w:rPr>
        <w:t>de</w:t>
      </w:r>
      <w:r>
        <w:rPr>
          <w:color w:val="231F20"/>
          <w:spacing w:val="-30"/>
          <w:w w:val="105"/>
        </w:rPr>
        <w:t> </w:t>
      </w:r>
      <w:r>
        <w:rPr>
          <w:color w:val="231F20"/>
          <w:w w:val="105"/>
        </w:rPr>
        <w:t>un</w:t>
      </w:r>
      <w:r>
        <w:rPr>
          <w:color w:val="231F20"/>
          <w:spacing w:val="-30"/>
          <w:w w:val="105"/>
        </w:rPr>
        <w:t> </w:t>
      </w:r>
      <w:r>
        <w:rPr>
          <w:color w:val="231F20"/>
          <w:w w:val="105"/>
        </w:rPr>
        <w:t>contexto</w:t>
      </w:r>
      <w:r>
        <w:rPr>
          <w:color w:val="231F20"/>
          <w:spacing w:val="-30"/>
          <w:w w:val="105"/>
        </w:rPr>
        <w:t> </w:t>
      </w:r>
      <w:r>
        <w:rPr>
          <w:color w:val="231F20"/>
          <w:w w:val="105"/>
        </w:rPr>
        <w:t>problemático</w:t>
      </w:r>
      <w:r>
        <w:rPr>
          <w:color w:val="231F20"/>
          <w:spacing w:val="-30"/>
          <w:w w:val="105"/>
        </w:rPr>
        <w:t> </w:t>
      </w:r>
      <w:r>
        <w:rPr>
          <w:color w:val="231F20"/>
          <w:w w:val="105"/>
        </w:rPr>
        <w:t>que,</w:t>
      </w:r>
      <w:r>
        <w:rPr>
          <w:color w:val="231F20"/>
          <w:spacing w:val="-30"/>
          <w:w w:val="105"/>
        </w:rPr>
        <w:t> </w:t>
      </w:r>
      <w:r>
        <w:rPr>
          <w:color w:val="231F20"/>
          <w:w w:val="105"/>
        </w:rPr>
        <w:t>bien</w:t>
      </w:r>
      <w:r>
        <w:rPr>
          <w:color w:val="231F20"/>
          <w:spacing w:val="-30"/>
          <w:w w:val="105"/>
        </w:rPr>
        <w:t> </w:t>
      </w:r>
      <w:r>
        <w:rPr>
          <w:color w:val="231F20"/>
          <w:w w:val="105"/>
        </w:rPr>
        <w:t>visto,</w:t>
      </w:r>
      <w:r>
        <w:rPr>
          <w:color w:val="231F20"/>
          <w:spacing w:val="-30"/>
          <w:w w:val="105"/>
        </w:rPr>
        <w:t> </w:t>
      </w:r>
      <w:r>
        <w:rPr>
          <w:color w:val="231F20"/>
          <w:w w:val="105"/>
        </w:rPr>
        <w:t>convoca</w:t>
      </w:r>
      <w:r>
        <w:rPr>
          <w:color w:val="231F20"/>
          <w:spacing w:val="-30"/>
          <w:w w:val="105"/>
        </w:rPr>
        <w:t> </w:t>
      </w:r>
      <w:r>
        <w:rPr>
          <w:color w:val="231F20"/>
          <w:w w:val="105"/>
        </w:rPr>
        <w:t>“no</w:t>
      </w:r>
      <w:r>
        <w:rPr>
          <w:color w:val="231F20"/>
          <w:spacing w:val="-30"/>
          <w:w w:val="105"/>
        </w:rPr>
        <w:t> </w:t>
      </w:r>
      <w:r>
        <w:rPr>
          <w:color w:val="231F20"/>
          <w:w w:val="105"/>
        </w:rPr>
        <w:t>a</w:t>
      </w:r>
      <w:r>
        <w:rPr>
          <w:color w:val="231F20"/>
          <w:w w:val="98"/>
        </w:rPr>
        <w:t> </w:t>
      </w:r>
      <w:r>
        <w:rPr>
          <w:color w:val="231F20"/>
          <w:w w:val="105"/>
        </w:rPr>
        <w:t>una</w:t>
      </w:r>
      <w:r>
        <w:rPr>
          <w:color w:val="231F20"/>
          <w:spacing w:val="-26"/>
          <w:w w:val="105"/>
        </w:rPr>
        <w:t> </w:t>
      </w:r>
      <w:r>
        <w:rPr>
          <w:color w:val="231F20"/>
          <w:w w:val="105"/>
        </w:rPr>
        <w:t>parte,</w:t>
      </w:r>
      <w:r>
        <w:rPr>
          <w:color w:val="231F20"/>
          <w:spacing w:val="-26"/>
          <w:w w:val="105"/>
        </w:rPr>
        <w:t> </w:t>
      </w:r>
      <w:r>
        <w:rPr>
          <w:color w:val="231F20"/>
          <w:w w:val="105"/>
        </w:rPr>
        <w:t>sino</w:t>
      </w:r>
      <w:r>
        <w:rPr>
          <w:color w:val="231F20"/>
          <w:spacing w:val="-26"/>
          <w:w w:val="105"/>
        </w:rPr>
        <w:t> </w:t>
      </w:r>
      <w:r>
        <w:rPr>
          <w:color w:val="231F20"/>
          <w:w w:val="105"/>
        </w:rPr>
        <w:t>a</w:t>
      </w:r>
      <w:r>
        <w:rPr>
          <w:color w:val="231F20"/>
          <w:spacing w:val="-26"/>
          <w:w w:val="105"/>
        </w:rPr>
        <w:t> </w:t>
      </w:r>
      <w:r>
        <w:rPr>
          <w:color w:val="231F20"/>
          <w:w w:val="105"/>
        </w:rPr>
        <w:t>todas</w:t>
      </w:r>
      <w:r>
        <w:rPr>
          <w:color w:val="231F20"/>
          <w:spacing w:val="-26"/>
          <w:w w:val="105"/>
        </w:rPr>
        <w:t> </w:t>
      </w:r>
      <w:r>
        <w:rPr>
          <w:color w:val="231F20"/>
          <w:w w:val="105"/>
        </w:rPr>
        <w:t>las</w:t>
      </w:r>
      <w:r>
        <w:rPr>
          <w:color w:val="231F20"/>
          <w:spacing w:val="-26"/>
          <w:w w:val="105"/>
        </w:rPr>
        <w:t> </w:t>
      </w:r>
      <w:r>
        <w:rPr>
          <w:color w:val="231F20"/>
          <w:w w:val="105"/>
        </w:rPr>
        <w:t>dimensiones</w:t>
      </w:r>
      <w:r>
        <w:rPr>
          <w:color w:val="231F20"/>
          <w:spacing w:val="-26"/>
          <w:w w:val="105"/>
        </w:rPr>
        <w:t> </w:t>
      </w:r>
      <w:r>
        <w:rPr>
          <w:color w:val="231F20"/>
          <w:w w:val="105"/>
        </w:rPr>
        <w:t>fundamentales</w:t>
      </w:r>
      <w:r>
        <w:rPr>
          <w:color w:val="231F20"/>
          <w:spacing w:val="-26"/>
          <w:w w:val="105"/>
        </w:rPr>
        <w:t> </w:t>
      </w:r>
      <w:r>
        <w:rPr>
          <w:color w:val="231F20"/>
          <w:w w:val="105"/>
        </w:rPr>
        <w:t>del</w:t>
      </w:r>
      <w:r>
        <w:rPr>
          <w:color w:val="231F20"/>
          <w:spacing w:val="-26"/>
          <w:w w:val="105"/>
        </w:rPr>
        <w:t> </w:t>
      </w:r>
      <w:r>
        <w:rPr>
          <w:color w:val="231F20"/>
          <w:spacing w:val="-3"/>
          <w:w w:val="105"/>
        </w:rPr>
        <w:t>ordenamiento</w:t>
      </w:r>
      <w:r>
        <w:rPr>
          <w:color w:val="231F20"/>
          <w:spacing w:val="-2"/>
          <w:w w:val="103"/>
        </w:rPr>
        <w:t> </w:t>
      </w:r>
      <w:r>
        <w:rPr>
          <w:color w:val="231F20"/>
          <w:w w:val="105"/>
        </w:rPr>
        <w:t>político–jurídico</w:t>
      </w:r>
      <w:r>
        <w:rPr>
          <w:color w:val="231F20"/>
          <w:spacing w:val="-28"/>
          <w:w w:val="105"/>
        </w:rPr>
        <w:t> </w:t>
      </w:r>
      <w:r>
        <w:rPr>
          <w:color w:val="231F20"/>
          <w:w w:val="105"/>
        </w:rPr>
        <w:t>existente,</w:t>
      </w:r>
      <w:r>
        <w:rPr>
          <w:color w:val="231F20"/>
          <w:spacing w:val="-28"/>
          <w:w w:val="105"/>
        </w:rPr>
        <w:t> </w:t>
      </w:r>
      <w:r>
        <w:rPr>
          <w:color w:val="231F20"/>
          <w:w w:val="105"/>
        </w:rPr>
        <w:t>a</w:t>
      </w:r>
      <w:r>
        <w:rPr>
          <w:color w:val="231F20"/>
          <w:spacing w:val="-28"/>
          <w:w w:val="105"/>
        </w:rPr>
        <w:t> </w:t>
      </w:r>
      <w:r>
        <w:rPr>
          <w:color w:val="231F20"/>
          <w:w w:val="105"/>
        </w:rPr>
        <w:t>partir</w:t>
      </w:r>
      <w:r>
        <w:rPr>
          <w:color w:val="231F20"/>
          <w:spacing w:val="-28"/>
          <w:w w:val="105"/>
        </w:rPr>
        <w:t> </w:t>
      </w:r>
      <w:r>
        <w:rPr>
          <w:color w:val="231F20"/>
          <w:w w:val="105"/>
        </w:rPr>
        <w:t>justamente</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‘principios</w:t>
      </w:r>
      <w:r>
        <w:rPr>
          <w:color w:val="231F20"/>
          <w:spacing w:val="-28"/>
          <w:w w:val="105"/>
        </w:rPr>
        <w:t> </w:t>
      </w:r>
      <w:r>
        <w:rPr>
          <w:color w:val="231F20"/>
          <w:w w:val="105"/>
        </w:rPr>
        <w:t>estructu-</w:t>
      </w:r>
      <w:r>
        <w:rPr>
          <w:color w:val="231F20"/>
          <w:w w:val="91"/>
        </w:rPr>
        <w:t> </w:t>
      </w:r>
      <w:r>
        <w:rPr>
          <w:color w:val="231F20"/>
          <w:w w:val="105"/>
        </w:rPr>
        <w:t>rales’</w:t>
      </w:r>
      <w:r>
        <w:rPr>
          <w:color w:val="231F20"/>
          <w:spacing w:val="-27"/>
          <w:w w:val="105"/>
        </w:rPr>
        <w:t> </w:t>
      </w:r>
      <w:r>
        <w:rPr>
          <w:color w:val="231F20"/>
          <w:spacing w:val="-3"/>
          <w:w w:val="105"/>
        </w:rPr>
        <w:t>sobre</w:t>
      </w:r>
      <w:r>
        <w:rPr>
          <w:color w:val="231F20"/>
          <w:spacing w:val="-27"/>
          <w:w w:val="105"/>
        </w:rPr>
        <w:t> </w:t>
      </w:r>
      <w:r>
        <w:rPr>
          <w:color w:val="231F20"/>
          <w:w w:val="105"/>
        </w:rPr>
        <w:t>los</w:t>
      </w:r>
      <w:r>
        <w:rPr>
          <w:color w:val="231F20"/>
          <w:spacing w:val="-27"/>
          <w:w w:val="105"/>
        </w:rPr>
        <w:t> </w:t>
      </w:r>
      <w:r>
        <w:rPr>
          <w:color w:val="231F20"/>
          <w:w w:val="105"/>
        </w:rPr>
        <w:t>cuales</w:t>
      </w:r>
      <w:r>
        <w:rPr>
          <w:color w:val="231F20"/>
          <w:spacing w:val="-27"/>
          <w:w w:val="105"/>
        </w:rPr>
        <w:t> </w:t>
      </w:r>
      <w:r>
        <w:rPr>
          <w:color w:val="231F20"/>
          <w:w w:val="105"/>
        </w:rPr>
        <w:t>se</w:t>
      </w:r>
      <w:r>
        <w:rPr>
          <w:color w:val="231F20"/>
          <w:spacing w:val="-27"/>
          <w:w w:val="105"/>
        </w:rPr>
        <w:t> </w:t>
      </w:r>
      <w:r>
        <w:rPr>
          <w:color w:val="231F20"/>
          <w:w w:val="105"/>
        </w:rPr>
        <w:t>funda</w:t>
      </w:r>
      <w:r>
        <w:rPr>
          <w:color w:val="231F20"/>
          <w:spacing w:val="-27"/>
          <w:w w:val="105"/>
        </w:rPr>
        <w:t> </w:t>
      </w:r>
      <w:r>
        <w:rPr>
          <w:color w:val="231F20"/>
          <w:w w:val="105"/>
        </w:rPr>
        <w:t>cualquier</w:t>
      </w:r>
      <w:r>
        <w:rPr>
          <w:color w:val="231F20"/>
          <w:spacing w:val="-27"/>
          <w:w w:val="105"/>
        </w:rPr>
        <w:t> </w:t>
      </w:r>
      <w:r>
        <w:rPr>
          <w:color w:val="231F20"/>
          <w:w w:val="105"/>
        </w:rPr>
        <w:t>modelo</w:t>
      </w:r>
      <w:r>
        <w:rPr>
          <w:color w:val="231F20"/>
          <w:spacing w:val="-27"/>
          <w:w w:val="105"/>
        </w:rPr>
        <w:t> </w:t>
      </w:r>
      <w:r>
        <w:rPr>
          <w:color w:val="231F20"/>
          <w:w w:val="105"/>
        </w:rPr>
        <w:t>histórico</w:t>
      </w:r>
      <w:r>
        <w:rPr>
          <w:color w:val="231F20"/>
          <w:spacing w:val="-27"/>
          <w:w w:val="105"/>
        </w:rPr>
        <w:t> </w:t>
      </w:r>
      <w:r>
        <w:rPr>
          <w:color w:val="231F20"/>
          <w:w w:val="105"/>
        </w:rPr>
        <w:t>de</w:t>
      </w:r>
      <w:r>
        <w:rPr>
          <w:color w:val="231F20"/>
          <w:spacing w:val="-27"/>
          <w:w w:val="105"/>
        </w:rPr>
        <w:t> </w:t>
      </w:r>
      <w:r>
        <w:rPr>
          <w:color w:val="231F20"/>
          <w:w w:val="105"/>
        </w:rPr>
        <w:t>convivencia</w:t>
      </w:r>
      <w:r>
        <w:rPr>
          <w:color w:val="231F20"/>
          <w:spacing w:val="-2"/>
          <w:w w:val="101"/>
        </w:rPr>
        <w:t> </w:t>
      </w:r>
      <w:r>
        <w:rPr>
          <w:color w:val="231F20"/>
          <w:w w:val="105"/>
        </w:rPr>
        <w:t>internacional:</w:t>
      </w:r>
      <w:r>
        <w:rPr>
          <w:color w:val="231F20"/>
          <w:spacing w:val="-50"/>
          <w:w w:val="105"/>
        </w:rPr>
        <w:t> </w:t>
      </w:r>
      <w:r>
        <w:rPr>
          <w:color w:val="231F20"/>
          <w:w w:val="105"/>
        </w:rPr>
        <w:t>aquellos</w:t>
      </w:r>
      <w:r>
        <w:rPr>
          <w:color w:val="231F20"/>
          <w:spacing w:val="-50"/>
          <w:w w:val="105"/>
        </w:rPr>
        <w:t> </w:t>
      </w:r>
      <w:r>
        <w:rPr>
          <w:color w:val="231F20"/>
          <w:w w:val="105"/>
        </w:rPr>
        <w:t>que</w:t>
      </w:r>
      <w:r>
        <w:rPr>
          <w:color w:val="231F20"/>
          <w:spacing w:val="-50"/>
          <w:w w:val="105"/>
        </w:rPr>
        <w:t> </w:t>
      </w:r>
      <w:r>
        <w:rPr>
          <w:color w:val="231F20"/>
          <w:w w:val="105"/>
        </w:rPr>
        <w:t>definen</w:t>
      </w:r>
      <w:r>
        <w:rPr>
          <w:color w:val="231F20"/>
          <w:spacing w:val="-50"/>
          <w:w w:val="105"/>
        </w:rPr>
        <w:t> </w:t>
      </w:r>
      <w:r>
        <w:rPr>
          <w:color w:val="231F20"/>
          <w:w w:val="105"/>
        </w:rPr>
        <w:t>quiénes</w:t>
      </w:r>
      <w:r>
        <w:rPr>
          <w:color w:val="231F20"/>
          <w:spacing w:val="-50"/>
          <w:w w:val="105"/>
        </w:rPr>
        <w:t> </w:t>
      </w:r>
      <w:r>
        <w:rPr>
          <w:color w:val="231F20"/>
          <w:w w:val="105"/>
        </w:rPr>
        <w:t>son</w:t>
      </w:r>
      <w:r>
        <w:rPr>
          <w:color w:val="231F20"/>
          <w:spacing w:val="-50"/>
          <w:w w:val="105"/>
        </w:rPr>
        <w:t> </w:t>
      </w:r>
      <w:r>
        <w:rPr>
          <w:color w:val="231F20"/>
          <w:w w:val="105"/>
        </w:rPr>
        <w:t>los</w:t>
      </w:r>
      <w:r>
        <w:rPr>
          <w:color w:val="231F20"/>
          <w:spacing w:val="-50"/>
          <w:w w:val="105"/>
        </w:rPr>
        <w:t> </w:t>
      </w:r>
      <w:r>
        <w:rPr>
          <w:color w:val="231F20"/>
          <w:w w:val="105"/>
        </w:rPr>
        <w:t>sujetos</w:t>
      </w:r>
      <w:r>
        <w:rPr>
          <w:color w:val="231F20"/>
          <w:spacing w:val="-50"/>
          <w:w w:val="105"/>
        </w:rPr>
        <w:t> </w:t>
      </w:r>
      <w:r>
        <w:rPr>
          <w:color w:val="231F20"/>
          <w:w w:val="105"/>
        </w:rPr>
        <w:t>legítimos</w:t>
      </w:r>
      <w:r>
        <w:rPr>
          <w:color w:val="231F20"/>
          <w:spacing w:val="-50"/>
          <w:w w:val="105"/>
        </w:rPr>
        <w:t> </w:t>
      </w:r>
      <w:r>
        <w:rPr>
          <w:color w:val="231F20"/>
          <w:w w:val="105"/>
        </w:rPr>
        <w:t>del</w:t>
      </w:r>
      <w:r>
        <w:rPr>
          <w:color w:val="231F20"/>
          <w:spacing w:val="-50"/>
          <w:w w:val="105"/>
        </w:rPr>
        <w:t> </w:t>
      </w:r>
      <w:r>
        <w:rPr>
          <w:color w:val="231F20"/>
          <w:spacing w:val="-5"/>
          <w:w w:val="105"/>
        </w:rPr>
        <w:t>or-</w:t>
      </w:r>
      <w:r>
        <w:rPr>
          <w:color w:val="231F20"/>
          <w:w w:val="91"/>
        </w:rPr>
        <w:t> </w:t>
      </w:r>
      <w:r>
        <w:rPr>
          <w:color w:val="231F20"/>
          <w:w w:val="105"/>
        </w:rPr>
        <w:t>denamiento,</w:t>
      </w:r>
      <w:r>
        <w:rPr>
          <w:color w:val="231F20"/>
          <w:spacing w:val="-39"/>
          <w:w w:val="105"/>
        </w:rPr>
        <w:t> </w:t>
      </w:r>
      <w:r>
        <w:rPr>
          <w:color w:val="231F20"/>
          <w:w w:val="105"/>
        </w:rPr>
        <w:t>cuál</w:t>
      </w:r>
      <w:r>
        <w:rPr>
          <w:color w:val="231F20"/>
          <w:spacing w:val="-39"/>
          <w:w w:val="105"/>
        </w:rPr>
        <w:t> </w:t>
      </w:r>
      <w:r>
        <w:rPr>
          <w:color w:val="231F20"/>
          <w:w w:val="105"/>
        </w:rPr>
        <w:t>debe</w:t>
      </w:r>
      <w:r>
        <w:rPr>
          <w:color w:val="231F20"/>
          <w:spacing w:val="-39"/>
          <w:w w:val="105"/>
        </w:rPr>
        <w:t> </w:t>
      </w:r>
      <w:r>
        <w:rPr>
          <w:color w:val="231F20"/>
          <w:w w:val="105"/>
        </w:rPr>
        <w:t>ser</w:t>
      </w:r>
      <w:r>
        <w:rPr>
          <w:color w:val="231F20"/>
          <w:spacing w:val="-39"/>
          <w:w w:val="105"/>
        </w:rPr>
        <w:t> </w:t>
      </w:r>
      <w:r>
        <w:rPr>
          <w:color w:val="231F20"/>
          <w:w w:val="105"/>
        </w:rPr>
        <w:t>su</w:t>
      </w:r>
      <w:r>
        <w:rPr>
          <w:color w:val="231F20"/>
          <w:spacing w:val="-39"/>
          <w:w w:val="105"/>
        </w:rPr>
        <w:t> </w:t>
      </w:r>
      <w:r>
        <w:rPr>
          <w:color w:val="231F20"/>
          <w:w w:val="105"/>
        </w:rPr>
        <w:t>estatus</w:t>
      </w:r>
      <w:r>
        <w:rPr>
          <w:color w:val="231F20"/>
          <w:spacing w:val="-39"/>
          <w:w w:val="105"/>
        </w:rPr>
        <w:t> </w:t>
      </w:r>
      <w:r>
        <w:rPr>
          <w:color w:val="231F20"/>
          <w:spacing w:val="-2"/>
          <w:w w:val="105"/>
        </w:rPr>
        <w:t>relativo,</w:t>
      </w:r>
      <w:r>
        <w:rPr>
          <w:color w:val="231F20"/>
          <w:spacing w:val="-39"/>
          <w:w w:val="105"/>
        </w:rPr>
        <w:t> </w:t>
      </w:r>
      <w:r>
        <w:rPr>
          <w:color w:val="231F20"/>
          <w:w w:val="105"/>
        </w:rPr>
        <w:t>cómo</w:t>
      </w:r>
      <w:r>
        <w:rPr>
          <w:color w:val="231F20"/>
          <w:spacing w:val="-39"/>
          <w:w w:val="105"/>
        </w:rPr>
        <w:t> </w:t>
      </w:r>
      <w:r>
        <w:rPr>
          <w:color w:val="231F20"/>
          <w:w w:val="105"/>
        </w:rPr>
        <w:t>debe</w:t>
      </w:r>
      <w:r>
        <w:rPr>
          <w:color w:val="231F20"/>
          <w:spacing w:val="-39"/>
          <w:w w:val="105"/>
        </w:rPr>
        <w:t> </w:t>
      </w:r>
      <w:r>
        <w:rPr>
          <w:color w:val="231F20"/>
          <w:w w:val="105"/>
        </w:rPr>
        <w:t>ser</w:t>
      </w:r>
      <w:r>
        <w:rPr>
          <w:color w:val="231F20"/>
          <w:spacing w:val="-39"/>
          <w:w w:val="105"/>
        </w:rPr>
        <w:t> </w:t>
      </w:r>
      <w:r>
        <w:rPr>
          <w:color w:val="231F20"/>
          <w:w w:val="105"/>
        </w:rPr>
        <w:t>distribuido</w:t>
      </w:r>
      <w:r>
        <w:rPr>
          <w:color w:val="231F20"/>
          <w:spacing w:val="-39"/>
          <w:w w:val="105"/>
        </w:rPr>
        <w:t> </w:t>
      </w:r>
      <w:r>
        <w:rPr>
          <w:color w:val="231F20"/>
          <w:w w:val="105"/>
        </w:rPr>
        <w:t>el</w:t>
      </w:r>
      <w:r>
        <w:rPr>
          <w:color w:val="231F20"/>
          <w:spacing w:val="-2"/>
          <w:w w:val="105"/>
        </w:rPr>
        <w:t> </w:t>
      </w:r>
      <w:r>
        <w:rPr>
          <w:color w:val="231F20"/>
          <w:w w:val="105"/>
        </w:rPr>
        <w:t>espacio</w:t>
      </w:r>
      <w:r>
        <w:rPr>
          <w:color w:val="231F20"/>
          <w:spacing w:val="-43"/>
          <w:w w:val="105"/>
        </w:rPr>
        <w:t> </w:t>
      </w:r>
      <w:r>
        <w:rPr>
          <w:color w:val="231F20"/>
          <w:spacing w:val="-3"/>
          <w:w w:val="105"/>
        </w:rPr>
        <w:t>entre</w:t>
      </w:r>
      <w:r>
        <w:rPr>
          <w:color w:val="231F20"/>
          <w:spacing w:val="-43"/>
          <w:w w:val="105"/>
        </w:rPr>
        <w:t> </w:t>
      </w:r>
      <w:r>
        <w:rPr>
          <w:color w:val="231F20"/>
          <w:w w:val="105"/>
        </w:rPr>
        <w:t>ellos</w:t>
      </w:r>
      <w:r>
        <w:rPr>
          <w:color w:val="231F20"/>
          <w:spacing w:val="-43"/>
          <w:w w:val="105"/>
        </w:rPr>
        <w:t> </w:t>
      </w:r>
      <w:r>
        <w:rPr>
          <w:color w:val="231F20"/>
          <w:w w:val="105"/>
        </w:rPr>
        <w:t>y</w:t>
      </w:r>
      <w:r>
        <w:rPr>
          <w:color w:val="231F20"/>
          <w:spacing w:val="-43"/>
          <w:w w:val="105"/>
        </w:rPr>
        <w:t> </w:t>
      </w:r>
      <w:r>
        <w:rPr>
          <w:color w:val="231F20"/>
          <w:w w:val="105"/>
        </w:rPr>
        <w:t>en</w:t>
      </w:r>
      <w:r>
        <w:rPr>
          <w:color w:val="231F20"/>
          <w:spacing w:val="-43"/>
          <w:w w:val="105"/>
        </w:rPr>
        <w:t> </w:t>
      </w:r>
      <w:r>
        <w:rPr>
          <w:color w:val="231F20"/>
          <w:w w:val="105"/>
        </w:rPr>
        <w:t>cuáles</w:t>
      </w:r>
      <w:r>
        <w:rPr>
          <w:color w:val="231F20"/>
          <w:spacing w:val="-43"/>
          <w:w w:val="105"/>
        </w:rPr>
        <w:t> </w:t>
      </w:r>
      <w:r>
        <w:rPr>
          <w:color w:val="231F20"/>
          <w:w w:val="105"/>
        </w:rPr>
        <w:t>condiciones</w:t>
      </w:r>
      <w:r>
        <w:rPr>
          <w:color w:val="231F20"/>
          <w:spacing w:val="-43"/>
          <w:w w:val="105"/>
        </w:rPr>
        <w:t> </w:t>
      </w:r>
      <w:r>
        <w:rPr>
          <w:color w:val="231F20"/>
          <w:w w:val="105"/>
        </w:rPr>
        <w:t>es</w:t>
      </w:r>
      <w:r>
        <w:rPr>
          <w:color w:val="231F20"/>
          <w:spacing w:val="-43"/>
          <w:w w:val="105"/>
        </w:rPr>
        <w:t> </w:t>
      </w:r>
      <w:r>
        <w:rPr>
          <w:color w:val="231F20"/>
          <w:w w:val="105"/>
        </w:rPr>
        <w:t>legítimo</w:t>
      </w:r>
      <w:r>
        <w:rPr>
          <w:color w:val="231F20"/>
          <w:spacing w:val="-43"/>
          <w:w w:val="105"/>
        </w:rPr>
        <w:t> </w:t>
      </w:r>
      <w:r>
        <w:rPr>
          <w:color w:val="231F20"/>
          <w:spacing w:val="-3"/>
          <w:w w:val="105"/>
        </w:rPr>
        <w:t>recurrir</w:t>
      </w:r>
      <w:r>
        <w:rPr>
          <w:color w:val="231F20"/>
          <w:spacing w:val="-43"/>
          <w:w w:val="105"/>
        </w:rPr>
        <w:t> </w:t>
      </w:r>
      <w:r>
        <w:rPr>
          <w:color w:val="231F20"/>
          <w:w w:val="105"/>
        </w:rPr>
        <w:t>a</w:t>
      </w:r>
      <w:r>
        <w:rPr>
          <w:color w:val="231F20"/>
          <w:spacing w:val="-43"/>
          <w:w w:val="105"/>
        </w:rPr>
        <w:t> </w:t>
      </w:r>
      <w:r>
        <w:rPr>
          <w:color w:val="231F20"/>
          <w:w w:val="105"/>
        </w:rPr>
        <w:t>la</w:t>
      </w:r>
      <w:r>
        <w:rPr>
          <w:color w:val="231F20"/>
          <w:spacing w:val="-43"/>
          <w:w w:val="105"/>
        </w:rPr>
        <w:t> </w:t>
      </w:r>
      <w:r>
        <w:rPr>
          <w:color w:val="231F20"/>
          <w:w w:val="105"/>
        </w:rPr>
        <w:t>guerra”</w:t>
      </w:r>
      <w:r>
        <w:rPr>
          <w:color w:val="231F20"/>
          <w:w w:val="105"/>
          <w:position w:val="7"/>
          <w:sz w:val="12"/>
        </w:rPr>
        <w:t>2</w:t>
      </w:r>
      <w:r>
        <w:rPr>
          <w:color w:val="231F20"/>
          <w:w w:val="105"/>
        </w:rPr>
        <w:t>.</w:t>
      </w:r>
      <w:r>
        <w:rPr>
          <w:color w:val="231F20"/>
          <w:w w:val="85"/>
        </w:rPr>
        <w:t> </w:t>
      </w:r>
      <w:r>
        <w:rPr>
          <w:color w:val="231F20"/>
          <w:w w:val="105"/>
        </w:rPr>
        <w:t>Considerando todo esto, es en la más reciente</w:t>
      </w:r>
      <w:r>
        <w:rPr>
          <w:color w:val="231F20"/>
          <w:spacing w:val="67"/>
          <w:w w:val="105"/>
        </w:rPr>
        <w:t> </w:t>
      </w:r>
      <w:r>
        <w:rPr>
          <w:color w:val="231F20"/>
          <w:w w:val="105"/>
        </w:rPr>
        <w:t>discusión</w:t>
      </w:r>
      <w:r>
        <w:rPr>
          <w:color w:val="231F20"/>
          <w:spacing w:val="17"/>
          <w:w w:val="105"/>
        </w:rPr>
        <w:t> </w:t>
      </w:r>
      <w:r>
        <w:rPr>
          <w:color w:val="231F20"/>
          <w:w w:val="105"/>
        </w:rPr>
        <w:t>teórica</w:t>
      </w:r>
      <w:r>
        <w:rPr>
          <w:color w:val="231F20"/>
          <w:spacing w:val="1"/>
          <w:w w:val="102"/>
        </w:rPr>
        <w:t> </w:t>
      </w:r>
      <w:r>
        <w:rPr>
          <w:color w:val="231F20"/>
          <w:w w:val="105"/>
        </w:rPr>
        <w:t>sobre</w:t>
      </w:r>
      <w:r>
        <w:rPr>
          <w:color w:val="231F20"/>
          <w:spacing w:val="-23"/>
          <w:w w:val="105"/>
        </w:rPr>
        <w:t> </w:t>
      </w:r>
      <w:r>
        <w:rPr>
          <w:color w:val="231F20"/>
          <w:w w:val="105"/>
        </w:rPr>
        <w:t>fundamentos</w:t>
      </w:r>
      <w:r>
        <w:rPr>
          <w:color w:val="231F20"/>
          <w:spacing w:val="-23"/>
          <w:w w:val="105"/>
        </w:rPr>
        <w:t> </w:t>
      </w:r>
      <w:r>
        <w:rPr>
          <w:color w:val="231F20"/>
          <w:w w:val="105"/>
        </w:rPr>
        <w:t>normativos</w:t>
      </w:r>
      <w:r>
        <w:rPr>
          <w:color w:val="231F20"/>
          <w:spacing w:val="-23"/>
          <w:w w:val="105"/>
        </w:rPr>
        <w:t> </w:t>
      </w:r>
      <w:r>
        <w:rPr>
          <w:color w:val="231F20"/>
          <w:w w:val="105"/>
        </w:rPr>
        <w:t>del</w:t>
      </w:r>
      <w:r>
        <w:rPr>
          <w:color w:val="231F20"/>
          <w:spacing w:val="-23"/>
          <w:w w:val="105"/>
        </w:rPr>
        <w:t> </w:t>
      </w:r>
      <w:r>
        <w:rPr>
          <w:rFonts w:ascii="Arial" w:hAnsi="Arial"/>
          <w:i/>
          <w:color w:val="231F20"/>
          <w:w w:val="105"/>
        </w:rPr>
        <w:t>intervencionismo</w:t>
      </w:r>
      <w:r>
        <w:rPr>
          <w:rFonts w:ascii="Arial" w:hAnsi="Arial"/>
          <w:i/>
          <w:color w:val="231F20"/>
          <w:spacing w:val="-14"/>
          <w:w w:val="105"/>
        </w:rPr>
        <w:t> </w:t>
      </w:r>
      <w:r>
        <w:rPr>
          <w:rFonts w:ascii="Arial" w:hAnsi="Arial"/>
          <w:i/>
          <w:color w:val="231F20"/>
          <w:w w:val="105"/>
        </w:rPr>
        <w:t>humanitario</w:t>
      </w:r>
      <w:r>
        <w:rPr>
          <w:rFonts w:ascii="Arial" w:hAnsi="Arial"/>
          <w:i/>
          <w:color w:val="231F20"/>
          <w:spacing w:val="-14"/>
          <w:w w:val="105"/>
        </w:rPr>
        <w:t> </w:t>
      </w:r>
      <w:r>
        <w:rPr>
          <w:color w:val="231F20"/>
          <w:w w:val="105"/>
        </w:rPr>
        <w:t>—en</w:t>
      </w:r>
      <w:r>
        <w:rPr>
          <w:color w:val="231F20"/>
          <w:spacing w:val="-23"/>
          <w:w w:val="105"/>
        </w:rPr>
        <w:t> </w:t>
      </w:r>
      <w:r>
        <w:rPr>
          <w:color w:val="231F20"/>
          <w:w w:val="105"/>
        </w:rPr>
        <w:t>la</w:t>
      </w:r>
      <w:r>
        <w:rPr>
          <w:color w:val="231F20"/>
          <w:spacing w:val="1"/>
          <w:w w:val="100"/>
        </w:rPr>
        <w:t> </w:t>
      </w:r>
      <w:r>
        <w:rPr>
          <w:color w:val="231F20"/>
          <w:w w:val="105"/>
        </w:rPr>
        <w:t>peculiar</w:t>
      </w:r>
      <w:r>
        <w:rPr>
          <w:color w:val="231F20"/>
          <w:spacing w:val="-10"/>
          <w:w w:val="105"/>
        </w:rPr>
        <w:t> </w:t>
      </w:r>
      <w:r>
        <w:rPr>
          <w:color w:val="231F20"/>
          <w:w w:val="105"/>
        </w:rPr>
        <w:t>declinación</w:t>
      </w:r>
      <w:r>
        <w:rPr>
          <w:color w:val="231F20"/>
          <w:spacing w:val="-10"/>
          <w:w w:val="105"/>
        </w:rPr>
        <w:t> </w:t>
      </w:r>
      <w:r>
        <w:rPr>
          <w:rFonts w:ascii="Arial" w:hAnsi="Arial"/>
          <w:i/>
          <w:color w:val="231F20"/>
          <w:w w:val="105"/>
        </w:rPr>
        <w:t>militar</w:t>
      </w:r>
      <w:r>
        <w:rPr>
          <w:rFonts w:ascii="Arial" w:hAnsi="Arial"/>
          <w:i/>
          <w:color w:val="231F20"/>
          <w:spacing w:val="1"/>
          <w:w w:val="105"/>
        </w:rPr>
        <w:t> </w:t>
      </w:r>
      <w:r>
        <w:rPr>
          <w:color w:val="231F20"/>
          <w:w w:val="105"/>
        </w:rPr>
        <w:t>adoptada</w:t>
      </w:r>
      <w:r>
        <w:rPr>
          <w:color w:val="231F20"/>
          <w:spacing w:val="-10"/>
          <w:w w:val="105"/>
        </w:rPr>
        <w:t> </w:t>
      </w:r>
      <w:r>
        <w:rPr>
          <w:color w:val="231F20"/>
          <w:w w:val="105"/>
        </w:rPr>
        <w:t>al</w:t>
      </w:r>
      <w:r>
        <w:rPr>
          <w:color w:val="231F20"/>
          <w:spacing w:val="-10"/>
          <w:w w:val="105"/>
        </w:rPr>
        <w:t> </w:t>
      </w:r>
      <w:r>
        <w:rPr>
          <w:color w:val="231F20"/>
          <w:w w:val="105"/>
        </w:rPr>
        <w:t>inicio</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años</w:t>
      </w:r>
      <w:r>
        <w:rPr>
          <w:color w:val="231F20"/>
          <w:spacing w:val="-10"/>
          <w:w w:val="105"/>
        </w:rPr>
        <w:t> </w:t>
      </w:r>
      <w:r>
        <w:rPr>
          <w:color w:val="231F20"/>
          <w:w w:val="105"/>
        </w:rPr>
        <w:t>noventa</w:t>
      </w:r>
      <w:r>
        <w:rPr>
          <w:color w:val="231F20"/>
          <w:spacing w:val="-10"/>
          <w:w w:val="105"/>
        </w:rPr>
        <w:t> </w:t>
      </w:r>
      <w:r>
        <w:rPr>
          <w:color w:val="231F20"/>
          <w:w w:val="105"/>
        </w:rPr>
        <w:t>del</w:t>
      </w:r>
      <w:r>
        <w:rPr>
          <w:color w:val="231F20"/>
          <w:spacing w:val="-10"/>
          <w:w w:val="105"/>
        </w:rPr>
        <w:t> </w:t>
      </w:r>
      <w:r>
        <w:rPr>
          <w:color w:val="231F20"/>
          <w:w w:val="105"/>
        </w:rPr>
        <w:t>si-</w:t>
      </w:r>
      <w:r>
        <w:rPr>
          <w:color w:val="231F20"/>
          <w:w w:val="91"/>
        </w:rPr>
        <w:t> </w:t>
      </w:r>
      <w:r>
        <w:rPr>
          <w:color w:val="231F20"/>
          <w:w w:val="105"/>
        </w:rPr>
        <w:t>glo </w:t>
      </w:r>
      <w:r>
        <w:rPr>
          <w:color w:val="231F20"/>
          <w:w w:val="105"/>
          <w:sz w:val="18"/>
        </w:rPr>
        <w:t>XX</w:t>
      </w:r>
      <w:r>
        <w:rPr>
          <w:color w:val="231F20"/>
          <w:w w:val="105"/>
          <w:position w:val="7"/>
          <w:sz w:val="12"/>
        </w:rPr>
        <w:t>3</w:t>
      </w:r>
      <w:r>
        <w:rPr>
          <w:color w:val="231F20"/>
          <w:w w:val="105"/>
        </w:rPr>
        <w:t>— que puede observarse el impacto explosivo que produjo </w:t>
      </w:r>
      <w:r>
        <w:rPr>
          <w:color w:val="231F20"/>
          <w:spacing w:val="7"/>
          <w:w w:val="105"/>
        </w:rPr>
        <w:t> </w:t>
      </w:r>
      <w:r>
        <w:rPr>
          <w:color w:val="231F20"/>
          <w:w w:val="105"/>
        </w:rPr>
        <w:t>este</w:t>
      </w:r>
    </w:p>
    <w:p>
      <w:pPr>
        <w:pStyle w:val="BodyText"/>
        <w:spacing w:before="4"/>
        <w:rPr>
          <w:sz w:val="28"/>
        </w:rPr>
      </w:pPr>
      <w:r>
        <w:rPr/>
        <w:pict>
          <v:line style="position:absolute;mso-position-horizontal-relative:page;mso-position-vertical-relative:paragraph;z-index:7192;mso-wrap-distance-left:0;mso-wrap-distance-right:0" from="70.866096pt,19.232227pt" to="184.252096pt,19.232227pt" stroked="true" strokeweight=".3pt" strokecolor="#231f20">
            <w10:wrap type="topAndBottom"/>
          </v:line>
        </w:pict>
      </w:r>
    </w:p>
    <w:p>
      <w:pPr>
        <w:spacing w:line="206" w:lineRule="exact" w:before="10"/>
        <w:ind w:left="117" w:right="0" w:firstLine="0"/>
        <w:jc w:val="both"/>
        <w:rPr>
          <w:rFonts w:ascii="Calibri" w:hAnsi="Calibri"/>
          <w:sz w:val="17"/>
        </w:rPr>
      </w:pPr>
      <w:r>
        <w:rPr>
          <w:rFonts w:ascii="Calibri" w:hAnsi="Calibri"/>
          <w:color w:val="231F20"/>
          <w:position w:val="6"/>
          <w:sz w:val="10"/>
        </w:rPr>
        <w:t>1 </w:t>
      </w:r>
      <w:r>
        <w:rPr>
          <w:rFonts w:ascii="Calibri" w:hAnsi="Calibri"/>
          <w:color w:val="231F20"/>
          <w:sz w:val="17"/>
        </w:rPr>
        <w:t>A. Colombo, </w:t>
      </w:r>
      <w:r>
        <w:rPr>
          <w:rFonts w:ascii="Calibri" w:hAnsi="Calibri"/>
          <w:i/>
          <w:color w:val="231F20"/>
          <w:sz w:val="17"/>
        </w:rPr>
        <w:t>La disunità del mondo. Dopo il secolo globale</w:t>
      </w:r>
      <w:r>
        <w:rPr>
          <w:rFonts w:ascii="Calibri" w:hAnsi="Calibri"/>
          <w:color w:val="231F20"/>
          <w:sz w:val="17"/>
        </w:rPr>
        <w:t>, Milano, Feltrinelli, 2010, pp. 13–14.</w:t>
      </w:r>
    </w:p>
    <w:p>
      <w:pPr>
        <w:spacing w:line="235" w:lineRule="auto" w:before="1"/>
        <w:ind w:left="117" w:right="104" w:firstLine="0"/>
        <w:jc w:val="both"/>
        <w:rPr>
          <w:rFonts w:ascii="Calibri" w:hAnsi="Calibri"/>
          <w:sz w:val="17"/>
        </w:rPr>
      </w:pPr>
      <w:r>
        <w:rPr>
          <w:rFonts w:ascii="Calibri" w:hAnsi="Calibri"/>
          <w:color w:val="231F20"/>
          <w:position w:val="6"/>
          <w:sz w:val="10"/>
        </w:rPr>
        <w:t>2</w:t>
      </w:r>
      <w:r>
        <w:rPr>
          <w:rFonts w:ascii="Calibri" w:hAnsi="Calibri"/>
          <w:color w:val="231F20"/>
          <w:spacing w:val="3"/>
          <w:position w:val="6"/>
          <w:sz w:val="10"/>
        </w:rPr>
        <w:t> </w:t>
      </w:r>
      <w:r>
        <w:rPr>
          <w:rFonts w:ascii="Calibri" w:hAnsi="Calibri"/>
          <w:color w:val="231F20"/>
          <w:spacing w:val="-3"/>
          <w:sz w:val="17"/>
        </w:rPr>
        <w:t>Colombo,</w:t>
      </w:r>
      <w:r>
        <w:rPr>
          <w:rFonts w:ascii="Calibri" w:hAnsi="Calibri"/>
          <w:color w:val="231F20"/>
          <w:spacing w:val="-13"/>
          <w:sz w:val="17"/>
        </w:rPr>
        <w:t> </w:t>
      </w:r>
      <w:r>
        <w:rPr>
          <w:rFonts w:ascii="Calibri" w:hAnsi="Calibri"/>
          <w:i/>
          <w:color w:val="231F20"/>
          <w:sz w:val="17"/>
        </w:rPr>
        <w:t>La</w:t>
      </w:r>
      <w:r>
        <w:rPr>
          <w:rFonts w:ascii="Calibri" w:hAnsi="Calibri"/>
          <w:i/>
          <w:color w:val="231F20"/>
          <w:spacing w:val="-14"/>
          <w:sz w:val="17"/>
        </w:rPr>
        <w:t> </w:t>
      </w:r>
      <w:r>
        <w:rPr>
          <w:rFonts w:ascii="Calibri" w:hAnsi="Calibri"/>
          <w:i/>
          <w:color w:val="231F20"/>
          <w:sz w:val="17"/>
        </w:rPr>
        <w:t>disunità</w:t>
      </w:r>
      <w:r>
        <w:rPr>
          <w:rFonts w:ascii="Calibri" w:hAnsi="Calibri"/>
          <w:i/>
          <w:color w:val="231F20"/>
          <w:spacing w:val="-14"/>
          <w:sz w:val="17"/>
        </w:rPr>
        <w:t> </w:t>
      </w:r>
      <w:r>
        <w:rPr>
          <w:rFonts w:ascii="Calibri" w:hAnsi="Calibri"/>
          <w:i/>
          <w:color w:val="231F20"/>
          <w:sz w:val="17"/>
        </w:rPr>
        <w:t>del</w:t>
      </w:r>
      <w:r>
        <w:rPr>
          <w:rFonts w:ascii="Calibri" w:hAnsi="Calibri"/>
          <w:i/>
          <w:color w:val="231F20"/>
          <w:spacing w:val="-14"/>
          <w:sz w:val="17"/>
        </w:rPr>
        <w:t> </w:t>
      </w:r>
      <w:r>
        <w:rPr>
          <w:rFonts w:ascii="Calibri" w:hAnsi="Calibri"/>
          <w:i/>
          <w:color w:val="231F20"/>
          <w:sz w:val="17"/>
        </w:rPr>
        <w:t>mondo.</w:t>
      </w:r>
      <w:r>
        <w:rPr>
          <w:rFonts w:ascii="Calibri" w:hAnsi="Calibri"/>
          <w:i/>
          <w:color w:val="231F20"/>
          <w:spacing w:val="-14"/>
          <w:sz w:val="17"/>
        </w:rPr>
        <w:t> </w:t>
      </w:r>
      <w:r>
        <w:rPr>
          <w:rFonts w:ascii="Calibri" w:hAnsi="Calibri"/>
          <w:i/>
          <w:color w:val="231F20"/>
          <w:sz w:val="17"/>
        </w:rPr>
        <w:t>Dopo</w:t>
      </w:r>
      <w:r>
        <w:rPr>
          <w:rFonts w:ascii="Calibri" w:hAnsi="Calibri"/>
          <w:i/>
          <w:color w:val="231F20"/>
          <w:spacing w:val="-14"/>
          <w:sz w:val="17"/>
        </w:rPr>
        <w:t> </w:t>
      </w:r>
      <w:r>
        <w:rPr>
          <w:rFonts w:ascii="Calibri" w:hAnsi="Calibri"/>
          <w:i/>
          <w:color w:val="231F20"/>
          <w:sz w:val="17"/>
        </w:rPr>
        <w:t>il</w:t>
      </w:r>
      <w:r>
        <w:rPr>
          <w:rFonts w:ascii="Calibri" w:hAnsi="Calibri"/>
          <w:i/>
          <w:color w:val="231F20"/>
          <w:spacing w:val="-14"/>
          <w:sz w:val="17"/>
        </w:rPr>
        <w:t> </w:t>
      </w:r>
      <w:r>
        <w:rPr>
          <w:rFonts w:ascii="Calibri" w:hAnsi="Calibri"/>
          <w:i/>
          <w:color w:val="231F20"/>
          <w:sz w:val="17"/>
        </w:rPr>
        <w:t>secolo</w:t>
      </w:r>
      <w:r>
        <w:rPr>
          <w:rFonts w:ascii="Calibri" w:hAnsi="Calibri"/>
          <w:i/>
          <w:color w:val="231F20"/>
          <w:spacing w:val="-14"/>
          <w:sz w:val="17"/>
        </w:rPr>
        <w:t> </w:t>
      </w:r>
      <w:r>
        <w:rPr>
          <w:rFonts w:ascii="Calibri" w:hAnsi="Calibri"/>
          <w:i/>
          <w:color w:val="231F20"/>
          <w:sz w:val="17"/>
        </w:rPr>
        <w:t>globale</w:t>
      </w:r>
      <w:r>
        <w:rPr>
          <w:rFonts w:ascii="Calibri" w:hAnsi="Calibri"/>
          <w:color w:val="231F20"/>
          <w:sz w:val="17"/>
        </w:rPr>
        <w:t>,</w:t>
      </w:r>
      <w:r>
        <w:rPr>
          <w:rFonts w:ascii="Calibri" w:hAnsi="Calibri"/>
          <w:color w:val="231F20"/>
          <w:spacing w:val="-14"/>
          <w:sz w:val="17"/>
        </w:rPr>
        <w:t> </w:t>
      </w:r>
      <w:r>
        <w:rPr>
          <w:rFonts w:ascii="Calibri" w:hAnsi="Calibri"/>
          <w:color w:val="231F20"/>
          <w:sz w:val="17"/>
        </w:rPr>
        <w:t>p.</w:t>
      </w:r>
      <w:r>
        <w:rPr>
          <w:rFonts w:ascii="Calibri" w:hAnsi="Calibri"/>
          <w:color w:val="231F20"/>
          <w:spacing w:val="-14"/>
          <w:sz w:val="17"/>
        </w:rPr>
        <w:t> </w:t>
      </w:r>
      <w:r>
        <w:rPr>
          <w:rFonts w:ascii="Calibri" w:hAnsi="Calibri"/>
          <w:color w:val="231F20"/>
          <w:sz w:val="17"/>
        </w:rPr>
        <w:t>43:</w:t>
      </w:r>
      <w:r>
        <w:rPr>
          <w:rFonts w:ascii="Calibri" w:hAnsi="Calibri"/>
          <w:color w:val="231F20"/>
          <w:spacing w:val="-14"/>
          <w:sz w:val="17"/>
        </w:rPr>
        <w:t> </w:t>
      </w:r>
      <w:r>
        <w:rPr>
          <w:rFonts w:ascii="Calibri" w:hAnsi="Calibri"/>
          <w:color w:val="231F20"/>
          <w:sz w:val="17"/>
        </w:rPr>
        <w:t>“Sobre</w:t>
      </w:r>
      <w:r>
        <w:rPr>
          <w:rFonts w:ascii="Calibri" w:hAnsi="Calibri"/>
          <w:color w:val="231F20"/>
          <w:spacing w:val="-14"/>
          <w:sz w:val="17"/>
        </w:rPr>
        <w:t> </w:t>
      </w:r>
      <w:r>
        <w:rPr>
          <w:rFonts w:ascii="Calibri" w:hAnsi="Calibri"/>
          <w:color w:val="231F20"/>
          <w:sz w:val="17"/>
        </w:rPr>
        <w:t>cada</w:t>
      </w:r>
      <w:r>
        <w:rPr>
          <w:rFonts w:ascii="Calibri" w:hAnsi="Calibri"/>
          <w:color w:val="231F20"/>
          <w:spacing w:val="-14"/>
          <w:sz w:val="17"/>
        </w:rPr>
        <w:t> </w:t>
      </w:r>
      <w:r>
        <w:rPr>
          <w:rFonts w:ascii="Calibri" w:hAnsi="Calibri"/>
          <w:color w:val="231F20"/>
          <w:sz w:val="17"/>
        </w:rPr>
        <w:t>una</w:t>
      </w:r>
      <w:r>
        <w:rPr>
          <w:rFonts w:ascii="Calibri" w:hAnsi="Calibri"/>
          <w:color w:val="231F20"/>
          <w:spacing w:val="-14"/>
          <w:sz w:val="17"/>
        </w:rPr>
        <w:t> </w:t>
      </w:r>
      <w:r>
        <w:rPr>
          <w:rFonts w:ascii="Calibri" w:hAnsi="Calibri"/>
          <w:color w:val="231F20"/>
          <w:sz w:val="17"/>
        </w:rPr>
        <w:t>de</w:t>
      </w:r>
      <w:r>
        <w:rPr>
          <w:rFonts w:ascii="Calibri" w:hAnsi="Calibri"/>
          <w:color w:val="231F20"/>
          <w:spacing w:val="-14"/>
          <w:sz w:val="17"/>
        </w:rPr>
        <w:t> </w:t>
      </w:r>
      <w:r>
        <w:rPr>
          <w:rFonts w:ascii="Calibri" w:hAnsi="Calibri"/>
          <w:color w:val="231F20"/>
          <w:sz w:val="17"/>
        </w:rPr>
        <w:t>estas</w:t>
      </w:r>
      <w:r>
        <w:rPr>
          <w:rFonts w:ascii="Calibri" w:hAnsi="Calibri"/>
          <w:color w:val="231F20"/>
          <w:spacing w:val="-14"/>
          <w:sz w:val="17"/>
        </w:rPr>
        <w:t> </w:t>
      </w:r>
      <w:r>
        <w:rPr>
          <w:rFonts w:ascii="Calibri" w:hAnsi="Calibri"/>
          <w:color w:val="231F20"/>
          <w:sz w:val="17"/>
        </w:rPr>
        <w:t>asunciones,</w:t>
      </w:r>
      <w:r>
        <w:rPr>
          <w:rFonts w:ascii="Calibri" w:hAnsi="Calibri"/>
          <w:color w:val="231F20"/>
          <w:spacing w:val="-14"/>
          <w:sz w:val="17"/>
        </w:rPr>
        <w:t> </w:t>
      </w:r>
      <w:r>
        <w:rPr>
          <w:rFonts w:ascii="Calibri" w:hAnsi="Calibri"/>
          <w:color w:val="231F20"/>
          <w:sz w:val="17"/>
        </w:rPr>
        <w:t>el </w:t>
      </w:r>
      <w:r>
        <w:rPr>
          <w:rFonts w:ascii="Calibri" w:hAnsi="Calibri"/>
          <w:color w:val="231F20"/>
          <w:w w:val="105"/>
          <w:sz w:val="17"/>
        </w:rPr>
        <w:t>contexto</w:t>
      </w:r>
      <w:r>
        <w:rPr>
          <w:rFonts w:ascii="Calibri" w:hAnsi="Calibri"/>
          <w:color w:val="231F20"/>
          <w:spacing w:val="-28"/>
          <w:w w:val="105"/>
          <w:sz w:val="17"/>
        </w:rPr>
        <w:t> </w:t>
      </w:r>
      <w:r>
        <w:rPr>
          <w:rFonts w:ascii="Calibri" w:hAnsi="Calibri"/>
          <w:color w:val="231F20"/>
          <w:w w:val="105"/>
          <w:sz w:val="17"/>
        </w:rPr>
        <w:t>internacional</w:t>
      </w:r>
      <w:r>
        <w:rPr>
          <w:rFonts w:ascii="Calibri" w:hAnsi="Calibri"/>
          <w:color w:val="231F20"/>
          <w:spacing w:val="-28"/>
          <w:w w:val="105"/>
          <w:sz w:val="17"/>
        </w:rPr>
        <w:t> </w:t>
      </w:r>
      <w:r>
        <w:rPr>
          <w:rFonts w:ascii="Calibri" w:hAnsi="Calibri"/>
          <w:color w:val="231F20"/>
          <w:w w:val="105"/>
          <w:sz w:val="17"/>
        </w:rPr>
        <w:t>actual</w:t>
      </w:r>
      <w:r>
        <w:rPr>
          <w:rFonts w:ascii="Calibri" w:hAnsi="Calibri"/>
          <w:color w:val="231F20"/>
          <w:spacing w:val="-28"/>
          <w:w w:val="105"/>
          <w:sz w:val="17"/>
        </w:rPr>
        <w:t> </w:t>
      </w:r>
      <w:r>
        <w:rPr>
          <w:rFonts w:ascii="Calibri" w:hAnsi="Calibri"/>
          <w:color w:val="231F20"/>
          <w:w w:val="105"/>
          <w:sz w:val="17"/>
        </w:rPr>
        <w:t>está</w:t>
      </w:r>
      <w:r>
        <w:rPr>
          <w:rFonts w:ascii="Calibri" w:hAnsi="Calibri"/>
          <w:color w:val="231F20"/>
          <w:spacing w:val="-28"/>
          <w:w w:val="105"/>
          <w:sz w:val="17"/>
        </w:rPr>
        <w:t> </w:t>
      </w:r>
      <w:r>
        <w:rPr>
          <w:rFonts w:ascii="Calibri" w:hAnsi="Calibri"/>
          <w:color w:val="231F20"/>
          <w:w w:val="105"/>
          <w:sz w:val="17"/>
        </w:rPr>
        <w:t>viviendo</w:t>
      </w:r>
      <w:r>
        <w:rPr>
          <w:rFonts w:ascii="Calibri" w:hAnsi="Calibri"/>
          <w:color w:val="231F20"/>
          <w:spacing w:val="-28"/>
          <w:w w:val="105"/>
          <w:sz w:val="17"/>
        </w:rPr>
        <w:t> </w:t>
      </w:r>
      <w:r>
        <w:rPr>
          <w:rFonts w:ascii="Calibri" w:hAnsi="Calibri"/>
          <w:color w:val="231F20"/>
          <w:w w:val="105"/>
          <w:sz w:val="17"/>
        </w:rPr>
        <w:t>algo</w:t>
      </w:r>
      <w:r>
        <w:rPr>
          <w:rFonts w:ascii="Calibri" w:hAnsi="Calibri"/>
          <w:color w:val="231F20"/>
          <w:spacing w:val="-28"/>
          <w:w w:val="105"/>
          <w:sz w:val="17"/>
        </w:rPr>
        <w:t> </w:t>
      </w:r>
      <w:r>
        <w:rPr>
          <w:rFonts w:ascii="Calibri" w:hAnsi="Calibri"/>
          <w:color w:val="231F20"/>
          <w:w w:val="105"/>
          <w:sz w:val="17"/>
        </w:rPr>
        <w:t>parecido</w:t>
      </w:r>
      <w:r>
        <w:rPr>
          <w:rFonts w:ascii="Calibri" w:hAnsi="Calibri"/>
          <w:color w:val="231F20"/>
          <w:spacing w:val="-28"/>
          <w:w w:val="105"/>
          <w:sz w:val="17"/>
        </w:rPr>
        <w:t> </w:t>
      </w:r>
      <w:r>
        <w:rPr>
          <w:rFonts w:ascii="Calibri" w:hAnsi="Calibri"/>
          <w:color w:val="231F20"/>
          <w:w w:val="105"/>
          <w:sz w:val="17"/>
        </w:rPr>
        <w:t>a</w:t>
      </w:r>
      <w:r>
        <w:rPr>
          <w:rFonts w:ascii="Calibri" w:hAnsi="Calibri"/>
          <w:color w:val="231F20"/>
          <w:spacing w:val="-28"/>
          <w:w w:val="105"/>
          <w:sz w:val="17"/>
        </w:rPr>
        <w:t> </w:t>
      </w:r>
      <w:r>
        <w:rPr>
          <w:rFonts w:ascii="Calibri" w:hAnsi="Calibri"/>
          <w:color w:val="231F20"/>
          <w:w w:val="105"/>
          <w:sz w:val="17"/>
        </w:rPr>
        <w:t>una</w:t>
      </w:r>
      <w:r>
        <w:rPr>
          <w:rFonts w:ascii="Calibri" w:hAnsi="Calibri"/>
          <w:color w:val="231F20"/>
          <w:spacing w:val="-28"/>
          <w:w w:val="105"/>
          <w:sz w:val="17"/>
        </w:rPr>
        <w:t> </w:t>
      </w:r>
      <w:r>
        <w:rPr>
          <w:rFonts w:ascii="Calibri" w:hAnsi="Calibri"/>
          <w:color w:val="231F20"/>
          <w:w w:val="105"/>
          <w:sz w:val="17"/>
        </w:rPr>
        <w:t>crisis</w:t>
      </w:r>
      <w:r>
        <w:rPr>
          <w:rFonts w:ascii="Calibri" w:hAnsi="Calibri"/>
          <w:color w:val="231F20"/>
          <w:spacing w:val="-28"/>
          <w:w w:val="105"/>
          <w:sz w:val="17"/>
        </w:rPr>
        <w:t> </w:t>
      </w:r>
      <w:r>
        <w:rPr>
          <w:rFonts w:ascii="Calibri" w:hAnsi="Calibri"/>
          <w:color w:val="231F20"/>
          <w:spacing w:val="-5"/>
          <w:w w:val="105"/>
          <w:sz w:val="17"/>
        </w:rPr>
        <w:t>constituyente…”.</w:t>
      </w:r>
    </w:p>
    <w:p>
      <w:pPr>
        <w:spacing w:line="235" w:lineRule="auto" w:before="0"/>
        <w:ind w:left="117" w:right="101" w:firstLine="0"/>
        <w:jc w:val="both"/>
        <w:rPr>
          <w:rFonts w:ascii="Calibri" w:hAnsi="Calibri"/>
          <w:sz w:val="17"/>
        </w:rPr>
      </w:pPr>
      <w:r>
        <w:rPr>
          <w:rFonts w:ascii="Calibri" w:hAnsi="Calibri"/>
          <w:color w:val="231F20"/>
          <w:position w:val="6"/>
          <w:sz w:val="10"/>
        </w:rPr>
        <w:t>3 </w:t>
      </w:r>
      <w:r>
        <w:rPr>
          <w:rFonts w:ascii="Calibri" w:hAnsi="Calibri"/>
          <w:color w:val="231F20"/>
          <w:sz w:val="17"/>
        </w:rPr>
        <w:t>Ph. Moreau Defarges, </w:t>
      </w:r>
      <w:r>
        <w:rPr>
          <w:rFonts w:ascii="Calibri" w:hAnsi="Calibri"/>
          <w:i/>
          <w:color w:val="231F20"/>
          <w:sz w:val="17"/>
        </w:rPr>
        <w:t>Droits d’ingérence dans le monde post</w:t>
      </w:r>
      <w:r>
        <w:rPr>
          <w:rFonts w:ascii="Calibri" w:hAnsi="Calibri"/>
          <w:color w:val="231F20"/>
          <w:sz w:val="17"/>
        </w:rPr>
        <w:t>–</w:t>
      </w:r>
      <w:r>
        <w:rPr>
          <w:rFonts w:ascii="Calibri" w:hAnsi="Calibri"/>
          <w:i/>
          <w:color w:val="231F20"/>
          <w:sz w:val="17"/>
        </w:rPr>
        <w:t>2001</w:t>
      </w:r>
      <w:r>
        <w:rPr>
          <w:rFonts w:ascii="Calibri" w:hAnsi="Calibri"/>
          <w:color w:val="231F20"/>
          <w:sz w:val="17"/>
        </w:rPr>
        <w:t>, Paris, Presses de la fondation Nationale des Sciences Politiques, 2006 (trad. it. </w:t>
      </w:r>
      <w:r>
        <w:rPr>
          <w:rFonts w:ascii="Calibri" w:hAnsi="Calibri"/>
          <w:i/>
          <w:color w:val="231F20"/>
          <w:sz w:val="17"/>
        </w:rPr>
        <w:t>Legittime interferenze. Il diritto di ingerenza dopo il </w:t>
      </w:r>
      <w:r>
        <w:rPr>
          <w:rFonts w:ascii="Calibri" w:hAnsi="Calibri"/>
          <w:i/>
          <w:color w:val="231F20"/>
          <w:sz w:val="17"/>
        </w:rPr>
        <w:t>2001</w:t>
      </w:r>
      <w:r>
        <w:rPr>
          <w:rFonts w:ascii="Calibri" w:hAnsi="Calibri"/>
          <w:color w:val="231F20"/>
          <w:sz w:val="17"/>
        </w:rPr>
        <w:t>, Milano, Bruno Mondadori, 2008). Para una resumida reconstrucción del desarrollo del debate</w:t>
      </w:r>
    </w:p>
    <w:p>
      <w:pPr>
        <w:spacing w:after="0" w:line="235" w:lineRule="auto"/>
        <w:jc w:val="both"/>
        <w:rPr>
          <w:rFonts w:ascii="Calibri" w:hAnsi="Calibri"/>
          <w:sz w:val="17"/>
        </w:rPr>
        <w:sectPr>
          <w:pgSz w:w="9640" w:h="13890"/>
          <w:pgMar w:top="1300" w:bottom="280" w:left="1300" w:right="1200"/>
        </w:sectPr>
      </w:pPr>
    </w:p>
    <w:p>
      <w:pPr>
        <w:pStyle w:val="BodyText"/>
        <w:spacing w:line="244" w:lineRule="auto" w:before="107"/>
        <w:ind w:left="103" w:right="114"/>
        <w:jc w:val="both"/>
      </w:pPr>
      <w:r>
        <w:rPr>
          <w:color w:val="231F20"/>
        </w:rPr>
        <w:t>cambio de época en las tradicionales bases fundadoras del orden político occidental. En el centro del debate está, en este caso, la legitimidad del “uso de la fuerza más allá de los límites estatutarios de parte de un</w:t>
      </w:r>
      <w:r>
        <w:rPr>
          <w:color w:val="231F20"/>
          <w:spacing w:val="-28"/>
        </w:rPr>
        <w:t> </w:t>
      </w:r>
      <w:r>
        <w:rPr>
          <w:color w:val="231F20"/>
        </w:rPr>
        <w:t>Estado (o</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grupo</w:t>
      </w:r>
      <w:r>
        <w:rPr>
          <w:color w:val="231F20"/>
          <w:spacing w:val="-6"/>
        </w:rPr>
        <w:t> </w:t>
      </w:r>
      <w:r>
        <w:rPr>
          <w:color w:val="231F20"/>
        </w:rPr>
        <w:t>de</w:t>
      </w:r>
      <w:r>
        <w:rPr>
          <w:color w:val="231F20"/>
          <w:spacing w:val="-6"/>
        </w:rPr>
        <w:t> </w:t>
      </w:r>
      <w:r>
        <w:rPr>
          <w:color w:val="231F20"/>
        </w:rPr>
        <w:t>estados)</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fin</w:t>
      </w:r>
      <w:r>
        <w:rPr>
          <w:color w:val="231F20"/>
          <w:spacing w:val="-6"/>
        </w:rPr>
        <w:t> </w:t>
      </w:r>
      <w:r>
        <w:rPr>
          <w:color w:val="231F20"/>
        </w:rPr>
        <w:t>de</w:t>
      </w:r>
      <w:r>
        <w:rPr>
          <w:color w:val="231F20"/>
          <w:spacing w:val="-6"/>
        </w:rPr>
        <w:t> </w:t>
      </w:r>
      <w:r>
        <w:rPr>
          <w:color w:val="231F20"/>
        </w:rPr>
        <w:t>prevenir</w:t>
      </w:r>
      <w:r>
        <w:rPr>
          <w:color w:val="231F20"/>
          <w:spacing w:val="-6"/>
        </w:rPr>
        <w:t> </w:t>
      </w:r>
      <w:r>
        <w:rPr>
          <w:color w:val="231F20"/>
        </w:rPr>
        <w:t>o</w:t>
      </w:r>
      <w:r>
        <w:rPr>
          <w:color w:val="231F20"/>
          <w:spacing w:val="-6"/>
        </w:rPr>
        <w:t> </w:t>
      </w:r>
      <w:r>
        <w:rPr>
          <w:color w:val="231F20"/>
        </w:rPr>
        <w:t>terminar</w:t>
      </w:r>
      <w:r>
        <w:rPr>
          <w:color w:val="231F20"/>
          <w:spacing w:val="-6"/>
        </w:rPr>
        <w:t> </w:t>
      </w:r>
      <w:r>
        <w:rPr>
          <w:color w:val="231F20"/>
        </w:rPr>
        <w:t>con</w:t>
      </w:r>
      <w:r>
        <w:rPr>
          <w:color w:val="231F20"/>
          <w:spacing w:val="-6"/>
        </w:rPr>
        <w:t> </w:t>
      </w:r>
      <w:r>
        <w:rPr>
          <w:color w:val="231F20"/>
        </w:rPr>
        <w:t>las</w:t>
      </w:r>
      <w:r>
        <w:rPr>
          <w:color w:val="231F20"/>
          <w:spacing w:val="-6"/>
        </w:rPr>
        <w:t> </w:t>
      </w:r>
      <w:r>
        <w:rPr>
          <w:color w:val="231F20"/>
        </w:rPr>
        <w:t>graves y extensas violaciones a los derechos humanos fundamentales de indivi- duos que no son sus propios ciudadanos, sin el permiso del Estado en cuyo territorio se aplica la fuerza”</w:t>
      </w:r>
      <w:r>
        <w:rPr>
          <w:color w:val="231F20"/>
          <w:position w:val="7"/>
          <w:sz w:val="12"/>
        </w:rPr>
        <w:t>4 </w:t>
      </w:r>
      <w:r>
        <w:rPr>
          <w:color w:val="231F20"/>
        </w:rPr>
        <w:t>—este es un caso particular en el cual  el elemento clave parece referirse justamente a una modalidad de </w:t>
      </w:r>
      <w:r>
        <w:rPr>
          <w:rFonts w:ascii="Arial" w:hAnsi="Arial"/>
          <w:i/>
          <w:color w:val="231F20"/>
        </w:rPr>
        <w:t>acción </w:t>
      </w:r>
      <w:r>
        <w:rPr>
          <w:rFonts w:ascii="Arial" w:hAnsi="Arial"/>
          <w:i/>
          <w:color w:val="231F20"/>
        </w:rPr>
        <w:t>unilateral </w:t>
      </w:r>
      <w:r>
        <w:rPr>
          <w:color w:val="231F20"/>
        </w:rPr>
        <w:t>totalmente desvinculada del respeto de un marco de procedi- miento formal que tiene como fin la más amplia participación posible de  la comunidad</w:t>
      </w:r>
      <w:r>
        <w:rPr>
          <w:color w:val="231F20"/>
          <w:spacing w:val="55"/>
        </w:rPr>
        <w:t> </w:t>
      </w:r>
      <w:r>
        <w:rPr>
          <w:color w:val="231F20"/>
        </w:rPr>
        <w:t>internacional</w:t>
      </w:r>
      <w:r>
        <w:rPr>
          <w:color w:val="231F20"/>
          <w:position w:val="7"/>
          <w:sz w:val="12"/>
        </w:rPr>
        <w:t>5</w:t>
      </w:r>
      <w:r>
        <w:rPr>
          <w:color w:val="231F20"/>
        </w:rPr>
        <w:t>.</w:t>
      </w:r>
    </w:p>
    <w:p>
      <w:pPr>
        <w:pStyle w:val="BodyText"/>
        <w:spacing w:line="247" w:lineRule="auto" w:before="1"/>
        <w:ind w:left="103" w:right="114" w:firstLine="566"/>
        <w:jc w:val="both"/>
      </w:pPr>
      <w:r>
        <w:rPr>
          <w:color w:val="231F20"/>
        </w:rPr>
        <w:t>Ahora bien, es suficiente un conocimiento —incluso superficial— de la discusión que se ha desarrollado en las últimas dos décadas, para darse cuenta de las significativas cuestiones arquitectónicas y fundacionales que surgen de una aproximación de este tipo. En efecto, aquí se pone en dis- cusión, en su conjunto, el régimen del </w:t>
      </w:r>
      <w:r>
        <w:rPr>
          <w:rFonts w:ascii="Arial" w:hAnsi="Arial"/>
          <w:i/>
          <w:color w:val="231F20"/>
        </w:rPr>
        <w:t>jus ad bellum </w:t>
      </w:r>
      <w:r>
        <w:rPr>
          <w:color w:val="231F20"/>
        </w:rPr>
        <w:t>introducido después del final de la Segunda Guerra Mundial con la aprobación del Documento de</w:t>
      </w:r>
      <w:r>
        <w:rPr>
          <w:color w:val="231F20"/>
          <w:spacing w:val="-5"/>
        </w:rPr>
        <w:t> </w:t>
      </w:r>
      <w:r>
        <w:rPr>
          <w:color w:val="231F20"/>
        </w:rPr>
        <w:t>las</w:t>
      </w:r>
      <w:r>
        <w:rPr>
          <w:color w:val="231F20"/>
          <w:spacing w:val="-5"/>
        </w:rPr>
        <w:t> </w:t>
      </w:r>
      <w:r>
        <w:rPr>
          <w:color w:val="231F20"/>
        </w:rPr>
        <w:t>Naciones</w:t>
      </w:r>
      <w:r>
        <w:rPr>
          <w:color w:val="231F20"/>
          <w:spacing w:val="-5"/>
        </w:rPr>
        <w:t> </w:t>
      </w:r>
      <w:r>
        <w:rPr>
          <w:color w:val="231F20"/>
        </w:rPr>
        <w:t>Unidas,</w:t>
      </w:r>
      <w:r>
        <w:rPr>
          <w:color w:val="231F20"/>
          <w:spacing w:val="-5"/>
        </w:rPr>
        <w:t> </w:t>
      </w:r>
      <w:r>
        <w:rPr>
          <w:color w:val="231F20"/>
        </w:rPr>
        <w:t>un</w:t>
      </w:r>
      <w:r>
        <w:rPr>
          <w:color w:val="231F20"/>
          <w:spacing w:val="-5"/>
        </w:rPr>
        <w:t> </w:t>
      </w:r>
      <w:r>
        <w:rPr>
          <w:color w:val="231F20"/>
        </w:rPr>
        <w:t>sistema</w:t>
      </w:r>
      <w:r>
        <w:rPr>
          <w:color w:val="231F20"/>
          <w:spacing w:val="-5"/>
        </w:rPr>
        <w:t> </w:t>
      </w:r>
      <w:r>
        <w:rPr>
          <w:color w:val="231F20"/>
        </w:rPr>
        <w:t>normativo</w:t>
      </w:r>
      <w:r>
        <w:rPr>
          <w:color w:val="231F20"/>
          <w:spacing w:val="-5"/>
        </w:rPr>
        <w:t> </w:t>
      </w:r>
      <w:r>
        <w:rPr>
          <w:color w:val="231F20"/>
        </w:rPr>
        <w:t>fundado</w:t>
      </w:r>
      <w:r>
        <w:rPr>
          <w:color w:val="231F20"/>
          <w:spacing w:val="-5"/>
        </w:rPr>
        <w:t> </w:t>
      </w:r>
      <w:r>
        <w:rPr>
          <w:color w:val="231F20"/>
        </w:rPr>
        <w:t>sobre</w:t>
      </w:r>
      <w:r>
        <w:rPr>
          <w:color w:val="231F20"/>
          <w:spacing w:val="-5"/>
        </w:rPr>
        <w:t> </w:t>
      </w:r>
      <w:r>
        <w:rPr>
          <w:color w:val="231F20"/>
        </w:rPr>
        <w:t>la</w:t>
      </w:r>
      <w:r>
        <w:rPr>
          <w:color w:val="231F20"/>
          <w:spacing w:val="-5"/>
        </w:rPr>
        <w:t> </w:t>
      </w:r>
      <w:r>
        <w:rPr>
          <w:color w:val="231F20"/>
        </w:rPr>
        <w:t>prohibición general del uso de la fuerza en las relaciones entre los Estados</w:t>
      </w:r>
      <w:r>
        <w:rPr>
          <w:color w:val="231F20"/>
          <w:position w:val="7"/>
          <w:sz w:val="12"/>
        </w:rPr>
        <w:t>6</w:t>
      </w:r>
      <w:r>
        <w:rPr>
          <w:color w:val="231F20"/>
        </w:rPr>
        <w:t>, con dos únicas</w:t>
      </w:r>
      <w:r>
        <w:rPr>
          <w:color w:val="231F20"/>
          <w:spacing w:val="-12"/>
        </w:rPr>
        <w:t> </w:t>
      </w:r>
      <w:r>
        <w:rPr>
          <w:color w:val="231F20"/>
        </w:rPr>
        <w:t>excepciones</w:t>
      </w:r>
      <w:r>
        <w:rPr>
          <w:color w:val="231F20"/>
          <w:spacing w:val="-12"/>
        </w:rPr>
        <w:t> </w:t>
      </w:r>
      <w:r>
        <w:rPr>
          <w:color w:val="231F20"/>
        </w:rPr>
        <w:t>previstas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capítulo</w:t>
      </w:r>
      <w:r>
        <w:rPr>
          <w:color w:val="231F20"/>
          <w:spacing w:val="-12"/>
        </w:rPr>
        <w:t> </w:t>
      </w:r>
      <w:r>
        <w:rPr>
          <w:color w:val="231F20"/>
          <w:sz w:val="18"/>
        </w:rPr>
        <w:t>VII</w:t>
      </w:r>
      <w:r>
        <w:rPr>
          <w:color w:val="231F20"/>
          <w:spacing w:val="-2"/>
          <w:sz w:val="18"/>
        </w:rPr>
        <w:t> </w:t>
      </w:r>
      <w:r>
        <w:rPr>
          <w:color w:val="231F20"/>
        </w:rPr>
        <w:t>del</w:t>
      </w:r>
      <w:r>
        <w:rPr>
          <w:color w:val="231F20"/>
          <w:spacing w:val="-12"/>
        </w:rPr>
        <w:t> </w:t>
      </w:r>
      <w:r>
        <w:rPr>
          <w:color w:val="231F20"/>
        </w:rPr>
        <w:t>texto:</w:t>
      </w:r>
      <w:r>
        <w:rPr>
          <w:color w:val="231F20"/>
          <w:spacing w:val="-12"/>
        </w:rPr>
        <w:t> </w:t>
      </w:r>
      <w:r>
        <w:rPr>
          <w:color w:val="231F20"/>
        </w:rPr>
        <w:t>las</w:t>
      </w:r>
      <w:r>
        <w:rPr>
          <w:color w:val="231F20"/>
          <w:spacing w:val="-12"/>
        </w:rPr>
        <w:t> </w:t>
      </w:r>
      <w:r>
        <w:rPr>
          <w:color w:val="231F20"/>
        </w:rPr>
        <w:t>acciones</w:t>
      </w:r>
      <w:r>
        <w:rPr>
          <w:color w:val="231F20"/>
          <w:spacing w:val="-12"/>
        </w:rPr>
        <w:t> </w:t>
      </w:r>
      <w:r>
        <w:rPr>
          <w:color w:val="231F20"/>
        </w:rPr>
        <w:t>milita- res promovidas por el Consejo de Seguridad para “mantener o restablecer la paz y la seguridad internacional”, y las “medidas” adoptadas por los Estados miembros “en el ejercicio del derecho a la </w:t>
      </w:r>
      <w:r>
        <w:rPr>
          <w:color w:val="231F20"/>
          <w:spacing w:val="12"/>
        </w:rPr>
        <w:t> </w:t>
      </w:r>
      <w:r>
        <w:rPr>
          <w:color w:val="231F20"/>
        </w:rPr>
        <w:t>autodefensa”</w:t>
      </w:r>
      <w:r>
        <w:rPr>
          <w:color w:val="231F20"/>
          <w:position w:val="7"/>
          <w:sz w:val="12"/>
        </w:rPr>
        <w:t>7</w:t>
      </w:r>
      <w:r>
        <w:rPr>
          <w:color w:val="231F20"/>
        </w:rPr>
        <w:t>.</w:t>
      </w:r>
    </w:p>
    <w:p>
      <w:pPr>
        <w:pStyle w:val="BodyText"/>
        <w:spacing w:before="2"/>
        <w:rPr>
          <w:sz w:val="28"/>
        </w:rPr>
      </w:pPr>
      <w:r>
        <w:rPr/>
        <w:pict>
          <v:line style="position:absolute;mso-position-horizontal-relative:page;mso-position-vertical-relative:paragraph;z-index:7240;mso-wrap-distance-left:0;mso-wrap-distance-right:0" from="65.1968pt,19.106985pt" to="178.5828pt,19.106985pt" stroked="true" strokeweight=".3pt" strokecolor="#231f20">
            <w10:wrap type="topAndBottom"/>
          </v:line>
        </w:pict>
      </w:r>
    </w:p>
    <w:p>
      <w:pPr>
        <w:spacing w:line="204" w:lineRule="exact" w:before="8"/>
        <w:ind w:left="103" w:right="114" w:firstLine="0"/>
        <w:jc w:val="both"/>
        <w:rPr>
          <w:rFonts w:ascii="Calibri" w:hAnsi="Calibri"/>
          <w:sz w:val="17"/>
        </w:rPr>
      </w:pPr>
      <w:r>
        <w:rPr>
          <w:rFonts w:ascii="Calibri" w:hAnsi="Calibri"/>
          <w:color w:val="231F20"/>
          <w:sz w:val="17"/>
        </w:rPr>
        <w:t>en específica referencia a las dinámicas del “decálogo humanitario”, véase Scuccimarra, </w:t>
      </w:r>
      <w:r>
        <w:rPr>
          <w:rFonts w:ascii="Calibri" w:hAnsi="Calibri"/>
          <w:color w:val="231F20"/>
          <w:spacing w:val="-3"/>
          <w:sz w:val="17"/>
        </w:rPr>
        <w:t>“L’eccezio- </w:t>
      </w:r>
      <w:r>
        <w:rPr>
          <w:rFonts w:ascii="Calibri" w:hAnsi="Calibri"/>
          <w:color w:val="231F20"/>
          <w:sz w:val="17"/>
        </w:rPr>
        <w:t>ne umanitaria. Sovranità territoriale e diritto di intervento nel dibattito sul ‘new global order’”, M. Meccarelli,</w:t>
      </w:r>
      <w:r>
        <w:rPr>
          <w:rFonts w:ascii="Calibri" w:hAnsi="Calibri"/>
          <w:color w:val="231F20"/>
          <w:spacing w:val="-3"/>
          <w:sz w:val="17"/>
        </w:rPr>
        <w:t> </w:t>
      </w:r>
      <w:r>
        <w:rPr>
          <w:rFonts w:ascii="Calibri" w:hAnsi="Calibri"/>
          <w:color w:val="231F20"/>
          <w:spacing w:val="-10"/>
          <w:sz w:val="17"/>
        </w:rPr>
        <w:t>P.</w:t>
      </w:r>
      <w:r>
        <w:rPr>
          <w:rFonts w:ascii="Calibri" w:hAnsi="Calibri"/>
          <w:color w:val="231F20"/>
          <w:spacing w:val="-3"/>
          <w:sz w:val="17"/>
        </w:rPr>
        <w:t> </w:t>
      </w:r>
      <w:r>
        <w:rPr>
          <w:rFonts w:ascii="Calibri" w:hAnsi="Calibri"/>
          <w:color w:val="231F20"/>
          <w:sz w:val="17"/>
        </w:rPr>
        <w:t>Palchetti</w:t>
      </w:r>
      <w:r>
        <w:rPr>
          <w:rFonts w:ascii="Calibri" w:hAnsi="Calibri"/>
          <w:color w:val="231F20"/>
          <w:spacing w:val="-5"/>
          <w:sz w:val="17"/>
        </w:rPr>
        <w:t> </w:t>
      </w:r>
      <w:r>
        <w:rPr>
          <w:rFonts w:ascii="Calibri" w:hAnsi="Calibri"/>
          <w:color w:val="231F20"/>
          <w:sz w:val="17"/>
        </w:rPr>
        <w:t>y</w:t>
      </w:r>
      <w:r>
        <w:rPr>
          <w:rFonts w:ascii="Calibri" w:hAnsi="Calibri"/>
          <w:color w:val="231F20"/>
          <w:spacing w:val="-3"/>
          <w:sz w:val="17"/>
        </w:rPr>
        <w:t> </w:t>
      </w:r>
      <w:r>
        <w:rPr>
          <w:rFonts w:ascii="Calibri" w:hAnsi="Calibri"/>
          <w:color w:val="231F20"/>
          <w:sz w:val="17"/>
        </w:rPr>
        <w:t>C.</w:t>
      </w:r>
      <w:r>
        <w:rPr>
          <w:rFonts w:ascii="Calibri" w:hAnsi="Calibri"/>
          <w:color w:val="231F20"/>
          <w:spacing w:val="-3"/>
          <w:sz w:val="17"/>
        </w:rPr>
        <w:t> </w:t>
      </w:r>
      <w:r>
        <w:rPr>
          <w:rFonts w:ascii="Calibri" w:hAnsi="Calibri"/>
          <w:color w:val="231F20"/>
          <w:sz w:val="17"/>
        </w:rPr>
        <w:t>Sotis</w:t>
      </w:r>
      <w:r>
        <w:rPr>
          <w:rFonts w:ascii="Calibri" w:hAnsi="Calibri"/>
          <w:color w:val="231F20"/>
          <w:spacing w:val="-3"/>
          <w:sz w:val="17"/>
        </w:rPr>
        <w:t> </w:t>
      </w:r>
      <w:r>
        <w:rPr>
          <w:rFonts w:ascii="Calibri" w:hAnsi="Calibri"/>
          <w:color w:val="231F20"/>
          <w:sz w:val="17"/>
        </w:rPr>
        <w:t>(Eds.),</w:t>
      </w:r>
      <w:r>
        <w:rPr>
          <w:rFonts w:ascii="Calibri" w:hAnsi="Calibri"/>
          <w:color w:val="231F20"/>
          <w:spacing w:val="-3"/>
          <w:sz w:val="17"/>
        </w:rPr>
        <w:t> </w:t>
      </w:r>
      <w:r>
        <w:rPr>
          <w:rFonts w:ascii="Calibri" w:hAnsi="Calibri"/>
          <w:i/>
          <w:color w:val="231F20"/>
          <w:sz w:val="17"/>
        </w:rPr>
        <w:t>Le</w:t>
      </w:r>
      <w:r>
        <w:rPr>
          <w:rFonts w:ascii="Calibri" w:hAnsi="Calibri"/>
          <w:i/>
          <w:color w:val="231F20"/>
          <w:spacing w:val="-4"/>
          <w:sz w:val="17"/>
        </w:rPr>
        <w:t> </w:t>
      </w:r>
      <w:r>
        <w:rPr>
          <w:rFonts w:ascii="Calibri" w:hAnsi="Calibri"/>
          <w:i/>
          <w:color w:val="231F20"/>
          <w:sz w:val="17"/>
        </w:rPr>
        <w:t>regole</w:t>
      </w:r>
      <w:r>
        <w:rPr>
          <w:rFonts w:ascii="Calibri" w:hAnsi="Calibri"/>
          <w:i/>
          <w:color w:val="231F20"/>
          <w:spacing w:val="-4"/>
          <w:sz w:val="17"/>
        </w:rPr>
        <w:t> </w:t>
      </w:r>
      <w:r>
        <w:rPr>
          <w:rFonts w:ascii="Calibri" w:hAnsi="Calibri"/>
          <w:i/>
          <w:color w:val="231F20"/>
          <w:sz w:val="17"/>
        </w:rPr>
        <w:t>dell’eccezione.</w:t>
      </w:r>
      <w:r>
        <w:rPr>
          <w:rFonts w:ascii="Calibri" w:hAnsi="Calibri"/>
          <w:i/>
          <w:color w:val="231F20"/>
          <w:spacing w:val="-4"/>
          <w:sz w:val="17"/>
        </w:rPr>
        <w:t> </w:t>
      </w:r>
      <w:r>
        <w:rPr>
          <w:rFonts w:ascii="Calibri" w:hAnsi="Calibri"/>
          <w:i/>
          <w:color w:val="231F20"/>
          <w:sz w:val="17"/>
        </w:rPr>
        <w:t>Un</w:t>
      </w:r>
      <w:r>
        <w:rPr>
          <w:rFonts w:ascii="Calibri" w:hAnsi="Calibri"/>
          <w:i/>
          <w:color w:val="231F20"/>
          <w:spacing w:val="-4"/>
          <w:sz w:val="17"/>
        </w:rPr>
        <w:t> </w:t>
      </w:r>
      <w:r>
        <w:rPr>
          <w:rFonts w:ascii="Calibri" w:hAnsi="Calibri"/>
          <w:i/>
          <w:color w:val="231F20"/>
          <w:sz w:val="17"/>
        </w:rPr>
        <w:t>dialogo</w:t>
      </w:r>
      <w:r>
        <w:rPr>
          <w:rFonts w:ascii="Calibri" w:hAnsi="Calibri"/>
          <w:i/>
          <w:color w:val="231F20"/>
          <w:spacing w:val="-4"/>
          <w:sz w:val="17"/>
        </w:rPr>
        <w:t> </w:t>
      </w:r>
      <w:r>
        <w:rPr>
          <w:rFonts w:ascii="Calibri" w:hAnsi="Calibri"/>
          <w:i/>
          <w:color w:val="231F20"/>
          <w:sz w:val="17"/>
        </w:rPr>
        <w:t>interdisciplinare</w:t>
      </w:r>
      <w:r>
        <w:rPr>
          <w:rFonts w:ascii="Calibri" w:hAnsi="Calibri"/>
          <w:i/>
          <w:color w:val="231F20"/>
          <w:spacing w:val="-4"/>
          <w:sz w:val="17"/>
        </w:rPr>
        <w:t> </w:t>
      </w:r>
      <w:r>
        <w:rPr>
          <w:rFonts w:ascii="Calibri" w:hAnsi="Calibri"/>
          <w:i/>
          <w:color w:val="231F20"/>
          <w:sz w:val="17"/>
        </w:rPr>
        <w:t>a</w:t>
      </w:r>
      <w:r>
        <w:rPr>
          <w:rFonts w:ascii="Calibri" w:hAnsi="Calibri"/>
          <w:i/>
          <w:color w:val="231F20"/>
          <w:spacing w:val="-4"/>
          <w:sz w:val="17"/>
        </w:rPr>
        <w:t> </w:t>
      </w:r>
      <w:r>
        <w:rPr>
          <w:rFonts w:ascii="Calibri" w:hAnsi="Calibri"/>
          <w:i/>
          <w:color w:val="231F20"/>
          <w:sz w:val="17"/>
        </w:rPr>
        <w:t>partire </w:t>
      </w:r>
      <w:r>
        <w:rPr>
          <w:rFonts w:ascii="Calibri" w:hAnsi="Calibri"/>
          <w:i/>
          <w:color w:val="231F20"/>
          <w:sz w:val="17"/>
        </w:rPr>
        <w:t>dalla</w:t>
      </w:r>
      <w:r>
        <w:rPr>
          <w:rFonts w:ascii="Calibri" w:hAnsi="Calibri"/>
          <w:i/>
          <w:color w:val="231F20"/>
          <w:spacing w:val="-15"/>
          <w:sz w:val="17"/>
        </w:rPr>
        <w:t> </w:t>
      </w:r>
      <w:r>
        <w:rPr>
          <w:rFonts w:ascii="Calibri" w:hAnsi="Calibri"/>
          <w:i/>
          <w:color w:val="231F20"/>
          <w:sz w:val="17"/>
        </w:rPr>
        <w:t>questione</w:t>
      </w:r>
      <w:r>
        <w:rPr>
          <w:rFonts w:ascii="Calibri" w:hAnsi="Calibri"/>
          <w:i/>
          <w:color w:val="231F20"/>
          <w:spacing w:val="-15"/>
          <w:sz w:val="17"/>
        </w:rPr>
        <w:t> </w:t>
      </w:r>
      <w:r>
        <w:rPr>
          <w:rFonts w:ascii="Calibri" w:hAnsi="Calibri"/>
          <w:i/>
          <w:color w:val="231F20"/>
          <w:sz w:val="17"/>
        </w:rPr>
        <w:t>del</w:t>
      </w:r>
      <w:r>
        <w:rPr>
          <w:rFonts w:ascii="Calibri" w:hAnsi="Calibri"/>
          <w:i/>
          <w:color w:val="231F20"/>
          <w:spacing w:val="-15"/>
          <w:sz w:val="17"/>
        </w:rPr>
        <w:t> </w:t>
      </w:r>
      <w:r>
        <w:rPr>
          <w:rFonts w:ascii="Calibri" w:hAnsi="Calibri"/>
          <w:i/>
          <w:color w:val="231F20"/>
          <w:sz w:val="17"/>
        </w:rPr>
        <w:t>terrorismo</w:t>
      </w:r>
      <w:r>
        <w:rPr>
          <w:rFonts w:ascii="Calibri" w:hAnsi="Calibri"/>
          <w:color w:val="231F20"/>
          <w:sz w:val="17"/>
        </w:rPr>
        <w:t>,</w:t>
      </w:r>
      <w:r>
        <w:rPr>
          <w:rFonts w:ascii="Calibri" w:hAnsi="Calibri"/>
          <w:color w:val="231F20"/>
          <w:spacing w:val="-14"/>
          <w:sz w:val="17"/>
        </w:rPr>
        <w:t> </w:t>
      </w:r>
      <w:r>
        <w:rPr>
          <w:rFonts w:ascii="Calibri" w:hAnsi="Calibri"/>
          <w:color w:val="231F20"/>
          <w:sz w:val="17"/>
        </w:rPr>
        <w:t>Macerata,</w:t>
      </w:r>
      <w:r>
        <w:rPr>
          <w:rFonts w:ascii="Calibri" w:hAnsi="Calibri"/>
          <w:color w:val="231F20"/>
          <w:spacing w:val="-14"/>
          <w:sz w:val="17"/>
        </w:rPr>
        <w:t> </w:t>
      </w:r>
      <w:r>
        <w:rPr>
          <w:rFonts w:ascii="Calibri" w:hAnsi="Calibri"/>
          <w:color w:val="231F20"/>
          <w:sz w:val="17"/>
        </w:rPr>
        <w:t>Eum,</w:t>
      </w:r>
      <w:r>
        <w:rPr>
          <w:rFonts w:ascii="Calibri" w:hAnsi="Calibri"/>
          <w:color w:val="231F20"/>
          <w:spacing w:val="-14"/>
          <w:sz w:val="17"/>
        </w:rPr>
        <w:t> </w:t>
      </w:r>
      <w:r>
        <w:rPr>
          <w:rFonts w:ascii="Calibri" w:hAnsi="Calibri"/>
          <w:color w:val="231F20"/>
          <w:sz w:val="17"/>
        </w:rPr>
        <w:t>pp.</w:t>
      </w:r>
      <w:r>
        <w:rPr>
          <w:rFonts w:ascii="Calibri" w:hAnsi="Calibri"/>
          <w:color w:val="231F20"/>
          <w:spacing w:val="-14"/>
          <w:sz w:val="17"/>
        </w:rPr>
        <w:t> </w:t>
      </w:r>
      <w:r>
        <w:rPr>
          <w:rFonts w:ascii="Calibri" w:hAnsi="Calibri"/>
          <w:color w:val="231F20"/>
          <w:sz w:val="17"/>
        </w:rPr>
        <w:t>141–146.</w:t>
      </w:r>
    </w:p>
    <w:p>
      <w:pPr>
        <w:spacing w:line="204" w:lineRule="exact" w:before="0"/>
        <w:ind w:left="103" w:right="115" w:firstLine="0"/>
        <w:jc w:val="both"/>
        <w:rPr>
          <w:rFonts w:ascii="Calibri" w:hAnsi="Calibri"/>
          <w:sz w:val="17"/>
        </w:rPr>
      </w:pPr>
      <w:r>
        <w:rPr>
          <w:rFonts w:ascii="Calibri" w:hAnsi="Calibri"/>
          <w:color w:val="231F20"/>
          <w:position w:val="6"/>
          <w:sz w:val="10"/>
        </w:rPr>
        <w:t>4 </w:t>
      </w:r>
      <w:r>
        <w:rPr>
          <w:rFonts w:ascii="Calibri" w:hAnsi="Calibri"/>
          <w:color w:val="231F20"/>
          <w:sz w:val="17"/>
        </w:rPr>
        <w:t>J.L. Holzgrefe, “The humanitarian intervention debate”, J. L. Holzgrefe y R. O. Keohane (Eds.), </w:t>
      </w:r>
      <w:r>
        <w:rPr>
          <w:rFonts w:ascii="Calibri" w:hAnsi="Calibri"/>
          <w:i/>
          <w:color w:val="231F20"/>
          <w:sz w:val="17"/>
        </w:rPr>
        <w:t>Hu- </w:t>
      </w:r>
      <w:r>
        <w:rPr>
          <w:rFonts w:ascii="Calibri" w:hAnsi="Calibri"/>
          <w:i/>
          <w:color w:val="231F20"/>
          <w:sz w:val="17"/>
        </w:rPr>
        <w:t>manitarian Intervention. Ethical, Legal and Political Dilemmas</w:t>
      </w:r>
      <w:r>
        <w:rPr>
          <w:rFonts w:ascii="Calibri" w:hAnsi="Calibri"/>
          <w:color w:val="231F20"/>
          <w:sz w:val="17"/>
        </w:rPr>
        <w:t>, Cambridge, Cambridge University Press, 2003, pp. 15–16.</w:t>
      </w:r>
    </w:p>
    <w:p>
      <w:pPr>
        <w:spacing w:line="204" w:lineRule="exact" w:before="0"/>
        <w:ind w:left="103" w:right="116" w:firstLine="0"/>
        <w:jc w:val="both"/>
        <w:rPr>
          <w:rFonts w:ascii="Calibri" w:hAnsi="Calibri"/>
          <w:sz w:val="17"/>
        </w:rPr>
      </w:pPr>
      <w:r>
        <w:rPr>
          <w:rFonts w:ascii="Calibri" w:hAnsi="Calibri"/>
          <w:color w:val="231F20"/>
          <w:position w:val="6"/>
          <w:sz w:val="10"/>
        </w:rPr>
        <w:t>5 </w:t>
      </w:r>
      <w:r>
        <w:rPr>
          <w:rFonts w:ascii="Calibri" w:hAnsi="Calibri"/>
          <w:color w:val="231F20"/>
          <w:sz w:val="17"/>
        </w:rPr>
        <w:t>R. O. Keohane, “Introduction”, </w:t>
      </w:r>
      <w:r>
        <w:rPr>
          <w:rFonts w:ascii="Calibri" w:hAnsi="Calibri"/>
          <w:i/>
          <w:color w:val="231F20"/>
          <w:sz w:val="17"/>
        </w:rPr>
        <w:t>Humanitarian intervention</w:t>
      </w:r>
      <w:r>
        <w:rPr>
          <w:rFonts w:ascii="Calibri" w:hAnsi="Calibri"/>
          <w:color w:val="231F20"/>
          <w:sz w:val="17"/>
        </w:rPr>
        <w:t>, pp. 1–2. Para una acertada anticipación sobre este aspecto del debate contemporáneo, véase W. D. Verwey, “Legality of Humanitarian In- tervention after the Cold War”, Ferris (Ed.), </w:t>
      </w:r>
      <w:r>
        <w:rPr>
          <w:rFonts w:ascii="Calibri" w:hAnsi="Calibri"/>
          <w:i/>
          <w:color w:val="231F20"/>
          <w:sz w:val="17"/>
        </w:rPr>
        <w:t>The Challenge to Intervene: A New Role for the United </w:t>
      </w:r>
      <w:r>
        <w:rPr>
          <w:rFonts w:ascii="Calibri" w:hAnsi="Calibri"/>
          <w:i/>
          <w:color w:val="231F20"/>
          <w:sz w:val="17"/>
        </w:rPr>
        <w:t>Nations?</w:t>
      </w:r>
      <w:r>
        <w:rPr>
          <w:rFonts w:ascii="Calibri" w:hAnsi="Calibri"/>
          <w:color w:val="231F20"/>
          <w:sz w:val="17"/>
        </w:rPr>
        <w:t>, Uppsala, Life and Peace Institute, 1992, pp. 113–114.</w:t>
      </w:r>
    </w:p>
    <w:p>
      <w:pPr>
        <w:spacing w:line="204" w:lineRule="exact" w:before="0"/>
        <w:ind w:left="103" w:right="114" w:firstLine="0"/>
        <w:jc w:val="both"/>
        <w:rPr>
          <w:rFonts w:ascii="Calibri" w:hAnsi="Calibri"/>
          <w:sz w:val="17"/>
        </w:rPr>
      </w:pPr>
      <w:r>
        <w:rPr>
          <w:rFonts w:ascii="Calibri" w:hAnsi="Calibri"/>
          <w:color w:val="231F20"/>
          <w:w w:val="105"/>
          <w:position w:val="6"/>
          <w:sz w:val="10"/>
        </w:rPr>
        <w:t>6 </w:t>
      </w:r>
      <w:r>
        <w:rPr>
          <w:rFonts w:ascii="Calibri" w:hAnsi="Calibri"/>
          <w:i/>
          <w:color w:val="231F20"/>
          <w:w w:val="105"/>
          <w:sz w:val="17"/>
        </w:rPr>
        <w:t>Charter of United Nations</w:t>
      </w:r>
      <w:r>
        <w:rPr>
          <w:rFonts w:ascii="Calibri" w:hAnsi="Calibri"/>
          <w:color w:val="231F20"/>
          <w:w w:val="105"/>
          <w:sz w:val="17"/>
        </w:rPr>
        <w:t>, Art. 2 (3): </w:t>
      </w:r>
      <w:r>
        <w:rPr>
          <w:rFonts w:ascii="Calibri" w:hAnsi="Calibri"/>
          <w:i/>
          <w:color w:val="231F20"/>
          <w:w w:val="105"/>
          <w:sz w:val="17"/>
        </w:rPr>
        <w:t>“</w:t>
      </w:r>
      <w:r>
        <w:rPr>
          <w:rFonts w:ascii="Calibri" w:hAnsi="Calibri"/>
          <w:color w:val="231F20"/>
          <w:w w:val="105"/>
          <w:sz w:val="17"/>
        </w:rPr>
        <w:t>All Members shall settle their international disputes by peaceful means in such a manner that international peace and security, and justice, are not en- </w:t>
      </w:r>
      <w:r>
        <w:rPr>
          <w:rFonts w:ascii="Calibri" w:hAnsi="Calibri"/>
          <w:color w:val="231F20"/>
          <w:spacing w:val="-3"/>
          <w:w w:val="105"/>
          <w:sz w:val="17"/>
        </w:rPr>
        <w:t>dangered.”;</w:t>
      </w:r>
      <w:r>
        <w:rPr>
          <w:rFonts w:ascii="Calibri" w:hAnsi="Calibri"/>
          <w:color w:val="231F20"/>
          <w:spacing w:val="-12"/>
          <w:w w:val="105"/>
          <w:sz w:val="17"/>
        </w:rPr>
        <w:t> </w:t>
      </w:r>
      <w:r>
        <w:rPr>
          <w:rFonts w:ascii="Calibri" w:hAnsi="Calibri"/>
          <w:color w:val="231F20"/>
          <w:w w:val="105"/>
          <w:sz w:val="17"/>
        </w:rPr>
        <w:t>Art.</w:t>
      </w:r>
      <w:r>
        <w:rPr>
          <w:rFonts w:ascii="Calibri" w:hAnsi="Calibri"/>
          <w:color w:val="231F20"/>
          <w:spacing w:val="-12"/>
          <w:w w:val="105"/>
          <w:sz w:val="17"/>
        </w:rPr>
        <w:t> </w:t>
      </w:r>
      <w:r>
        <w:rPr>
          <w:rFonts w:ascii="Calibri" w:hAnsi="Calibri"/>
          <w:color w:val="231F20"/>
          <w:w w:val="105"/>
          <w:sz w:val="17"/>
        </w:rPr>
        <w:t>2</w:t>
      </w:r>
      <w:r>
        <w:rPr>
          <w:rFonts w:ascii="Calibri" w:hAnsi="Calibri"/>
          <w:color w:val="231F20"/>
          <w:spacing w:val="-12"/>
          <w:w w:val="105"/>
          <w:sz w:val="17"/>
        </w:rPr>
        <w:t> </w:t>
      </w:r>
      <w:r>
        <w:rPr>
          <w:rFonts w:ascii="Calibri" w:hAnsi="Calibri"/>
          <w:color w:val="231F20"/>
          <w:w w:val="105"/>
          <w:sz w:val="17"/>
        </w:rPr>
        <w:t>(4):</w:t>
      </w:r>
      <w:r>
        <w:rPr>
          <w:rFonts w:ascii="Calibri" w:hAnsi="Calibri"/>
          <w:color w:val="231F20"/>
          <w:spacing w:val="-12"/>
          <w:w w:val="105"/>
          <w:sz w:val="17"/>
        </w:rPr>
        <w:t> </w:t>
      </w:r>
      <w:r>
        <w:rPr>
          <w:rFonts w:ascii="Calibri" w:hAnsi="Calibri"/>
          <w:i/>
          <w:color w:val="231F20"/>
          <w:w w:val="105"/>
          <w:sz w:val="17"/>
        </w:rPr>
        <w:t>“</w:t>
      </w:r>
      <w:r>
        <w:rPr>
          <w:rFonts w:ascii="Calibri" w:hAnsi="Calibri"/>
          <w:color w:val="231F20"/>
          <w:w w:val="105"/>
          <w:sz w:val="17"/>
        </w:rPr>
        <w:t>All</w:t>
      </w:r>
      <w:r>
        <w:rPr>
          <w:rFonts w:ascii="Calibri" w:hAnsi="Calibri"/>
          <w:color w:val="231F20"/>
          <w:spacing w:val="-12"/>
          <w:w w:val="105"/>
          <w:sz w:val="17"/>
        </w:rPr>
        <w:t> </w:t>
      </w:r>
      <w:r>
        <w:rPr>
          <w:rFonts w:ascii="Calibri" w:hAnsi="Calibri"/>
          <w:color w:val="231F20"/>
          <w:w w:val="105"/>
          <w:sz w:val="17"/>
        </w:rPr>
        <w:t>Members</w:t>
      </w:r>
      <w:r>
        <w:rPr>
          <w:rFonts w:ascii="Calibri" w:hAnsi="Calibri"/>
          <w:color w:val="231F20"/>
          <w:spacing w:val="-12"/>
          <w:w w:val="105"/>
          <w:sz w:val="17"/>
        </w:rPr>
        <w:t> </w:t>
      </w:r>
      <w:r>
        <w:rPr>
          <w:rFonts w:ascii="Calibri" w:hAnsi="Calibri"/>
          <w:color w:val="231F20"/>
          <w:w w:val="105"/>
          <w:sz w:val="17"/>
        </w:rPr>
        <w:t>shall</w:t>
      </w:r>
      <w:r>
        <w:rPr>
          <w:rFonts w:ascii="Calibri" w:hAnsi="Calibri"/>
          <w:color w:val="231F20"/>
          <w:spacing w:val="-12"/>
          <w:w w:val="105"/>
          <w:sz w:val="17"/>
        </w:rPr>
        <w:t> </w:t>
      </w:r>
      <w:r>
        <w:rPr>
          <w:rFonts w:ascii="Calibri" w:hAnsi="Calibri"/>
          <w:color w:val="231F20"/>
          <w:w w:val="105"/>
          <w:sz w:val="17"/>
        </w:rPr>
        <w:t>refrain</w:t>
      </w:r>
      <w:r>
        <w:rPr>
          <w:rFonts w:ascii="Calibri" w:hAnsi="Calibri"/>
          <w:color w:val="231F20"/>
          <w:spacing w:val="-12"/>
          <w:w w:val="105"/>
          <w:sz w:val="17"/>
        </w:rPr>
        <w:t> </w:t>
      </w:r>
      <w:r>
        <w:rPr>
          <w:rFonts w:ascii="Calibri" w:hAnsi="Calibri"/>
          <w:color w:val="231F20"/>
          <w:w w:val="105"/>
          <w:sz w:val="17"/>
        </w:rPr>
        <w:t>in</w:t>
      </w:r>
      <w:r>
        <w:rPr>
          <w:rFonts w:ascii="Calibri" w:hAnsi="Calibri"/>
          <w:color w:val="231F20"/>
          <w:spacing w:val="-12"/>
          <w:w w:val="105"/>
          <w:sz w:val="17"/>
        </w:rPr>
        <w:t> </w:t>
      </w:r>
      <w:r>
        <w:rPr>
          <w:rFonts w:ascii="Calibri" w:hAnsi="Calibri"/>
          <w:color w:val="231F20"/>
          <w:w w:val="105"/>
          <w:sz w:val="17"/>
        </w:rPr>
        <w:t>their</w:t>
      </w:r>
      <w:r>
        <w:rPr>
          <w:rFonts w:ascii="Calibri" w:hAnsi="Calibri"/>
          <w:color w:val="231F20"/>
          <w:spacing w:val="-12"/>
          <w:w w:val="105"/>
          <w:sz w:val="17"/>
        </w:rPr>
        <w:t> </w:t>
      </w:r>
      <w:r>
        <w:rPr>
          <w:rFonts w:ascii="Calibri" w:hAnsi="Calibri"/>
          <w:color w:val="231F20"/>
          <w:w w:val="105"/>
          <w:sz w:val="17"/>
        </w:rPr>
        <w:t>international</w:t>
      </w:r>
      <w:r>
        <w:rPr>
          <w:rFonts w:ascii="Calibri" w:hAnsi="Calibri"/>
          <w:color w:val="231F20"/>
          <w:spacing w:val="-12"/>
          <w:w w:val="105"/>
          <w:sz w:val="17"/>
        </w:rPr>
        <w:t> </w:t>
      </w:r>
      <w:r>
        <w:rPr>
          <w:rFonts w:ascii="Calibri" w:hAnsi="Calibri"/>
          <w:color w:val="231F20"/>
          <w:w w:val="105"/>
          <w:sz w:val="17"/>
        </w:rPr>
        <w:t>relations</w:t>
      </w:r>
      <w:r>
        <w:rPr>
          <w:rFonts w:ascii="Calibri" w:hAnsi="Calibri"/>
          <w:color w:val="231F20"/>
          <w:spacing w:val="-12"/>
          <w:w w:val="105"/>
          <w:sz w:val="17"/>
        </w:rPr>
        <w:t> </w:t>
      </w:r>
      <w:r>
        <w:rPr>
          <w:rFonts w:ascii="Calibri" w:hAnsi="Calibri"/>
          <w:color w:val="231F20"/>
          <w:w w:val="105"/>
          <w:sz w:val="17"/>
        </w:rPr>
        <w:t>from</w:t>
      </w:r>
      <w:r>
        <w:rPr>
          <w:rFonts w:ascii="Calibri" w:hAnsi="Calibri"/>
          <w:color w:val="231F20"/>
          <w:spacing w:val="-12"/>
          <w:w w:val="105"/>
          <w:sz w:val="17"/>
        </w:rPr>
        <w:t> </w:t>
      </w:r>
      <w:r>
        <w:rPr>
          <w:rFonts w:ascii="Calibri" w:hAnsi="Calibri"/>
          <w:color w:val="231F20"/>
          <w:w w:val="105"/>
          <w:sz w:val="17"/>
        </w:rPr>
        <w:t>the</w:t>
      </w:r>
      <w:r>
        <w:rPr>
          <w:rFonts w:ascii="Calibri" w:hAnsi="Calibri"/>
          <w:color w:val="231F20"/>
          <w:spacing w:val="-12"/>
          <w:w w:val="105"/>
          <w:sz w:val="17"/>
        </w:rPr>
        <w:t> </w:t>
      </w:r>
      <w:r>
        <w:rPr>
          <w:rFonts w:ascii="Calibri" w:hAnsi="Calibri"/>
          <w:color w:val="231F20"/>
          <w:w w:val="105"/>
          <w:sz w:val="17"/>
        </w:rPr>
        <w:t>threat</w:t>
      </w:r>
      <w:r>
        <w:rPr>
          <w:rFonts w:ascii="Calibri" w:hAnsi="Calibri"/>
          <w:color w:val="231F20"/>
          <w:spacing w:val="-12"/>
          <w:w w:val="105"/>
          <w:sz w:val="17"/>
        </w:rPr>
        <w:t> </w:t>
      </w:r>
      <w:r>
        <w:rPr>
          <w:rFonts w:ascii="Calibri" w:hAnsi="Calibri"/>
          <w:color w:val="231F20"/>
          <w:w w:val="105"/>
          <w:sz w:val="17"/>
        </w:rPr>
        <w:t>or use</w:t>
      </w:r>
      <w:r>
        <w:rPr>
          <w:rFonts w:ascii="Calibri" w:hAnsi="Calibri"/>
          <w:color w:val="231F20"/>
          <w:spacing w:val="-8"/>
          <w:w w:val="105"/>
          <w:sz w:val="17"/>
        </w:rPr>
        <w:t> </w:t>
      </w:r>
      <w:r>
        <w:rPr>
          <w:rFonts w:ascii="Calibri" w:hAnsi="Calibri"/>
          <w:color w:val="231F20"/>
          <w:w w:val="105"/>
          <w:sz w:val="17"/>
        </w:rPr>
        <w:t>of</w:t>
      </w:r>
      <w:r>
        <w:rPr>
          <w:rFonts w:ascii="Calibri" w:hAnsi="Calibri"/>
          <w:color w:val="231F20"/>
          <w:spacing w:val="-8"/>
          <w:w w:val="105"/>
          <w:sz w:val="17"/>
        </w:rPr>
        <w:t> </w:t>
      </w:r>
      <w:r>
        <w:rPr>
          <w:rFonts w:ascii="Calibri" w:hAnsi="Calibri"/>
          <w:color w:val="231F20"/>
          <w:w w:val="105"/>
          <w:sz w:val="17"/>
        </w:rPr>
        <w:t>force</w:t>
      </w:r>
      <w:r>
        <w:rPr>
          <w:rFonts w:ascii="Calibri" w:hAnsi="Calibri"/>
          <w:color w:val="231F20"/>
          <w:spacing w:val="-8"/>
          <w:w w:val="105"/>
          <w:sz w:val="17"/>
        </w:rPr>
        <w:t> </w:t>
      </w:r>
      <w:r>
        <w:rPr>
          <w:rFonts w:ascii="Calibri" w:hAnsi="Calibri"/>
          <w:color w:val="231F20"/>
          <w:w w:val="105"/>
          <w:sz w:val="17"/>
        </w:rPr>
        <w:t>against</w:t>
      </w:r>
      <w:r>
        <w:rPr>
          <w:rFonts w:ascii="Calibri" w:hAnsi="Calibri"/>
          <w:color w:val="231F20"/>
          <w:spacing w:val="-8"/>
          <w:w w:val="105"/>
          <w:sz w:val="17"/>
        </w:rPr>
        <w:t> </w:t>
      </w:r>
      <w:r>
        <w:rPr>
          <w:rFonts w:ascii="Calibri" w:hAnsi="Calibri"/>
          <w:color w:val="231F20"/>
          <w:w w:val="105"/>
          <w:sz w:val="17"/>
        </w:rPr>
        <w:t>the</w:t>
      </w:r>
      <w:r>
        <w:rPr>
          <w:rFonts w:ascii="Calibri" w:hAnsi="Calibri"/>
          <w:color w:val="231F20"/>
          <w:spacing w:val="-8"/>
          <w:w w:val="105"/>
          <w:sz w:val="17"/>
        </w:rPr>
        <w:t> </w:t>
      </w:r>
      <w:r>
        <w:rPr>
          <w:rFonts w:ascii="Calibri" w:hAnsi="Calibri"/>
          <w:color w:val="231F20"/>
          <w:w w:val="105"/>
          <w:sz w:val="17"/>
        </w:rPr>
        <w:t>territorial</w:t>
      </w:r>
      <w:r>
        <w:rPr>
          <w:rFonts w:ascii="Calibri" w:hAnsi="Calibri"/>
          <w:color w:val="231F20"/>
          <w:spacing w:val="-8"/>
          <w:w w:val="105"/>
          <w:sz w:val="17"/>
        </w:rPr>
        <w:t> </w:t>
      </w:r>
      <w:r>
        <w:rPr>
          <w:rFonts w:ascii="Calibri" w:hAnsi="Calibri"/>
          <w:color w:val="231F20"/>
          <w:w w:val="105"/>
          <w:sz w:val="17"/>
        </w:rPr>
        <w:t>integrity</w:t>
      </w:r>
      <w:r>
        <w:rPr>
          <w:rFonts w:ascii="Calibri" w:hAnsi="Calibri"/>
          <w:color w:val="231F20"/>
          <w:spacing w:val="-8"/>
          <w:w w:val="105"/>
          <w:sz w:val="17"/>
        </w:rPr>
        <w:t> </w:t>
      </w:r>
      <w:r>
        <w:rPr>
          <w:rFonts w:ascii="Calibri" w:hAnsi="Calibri"/>
          <w:color w:val="231F20"/>
          <w:w w:val="105"/>
          <w:sz w:val="17"/>
        </w:rPr>
        <w:t>or</w:t>
      </w:r>
      <w:r>
        <w:rPr>
          <w:rFonts w:ascii="Calibri" w:hAnsi="Calibri"/>
          <w:color w:val="231F20"/>
          <w:spacing w:val="-8"/>
          <w:w w:val="105"/>
          <w:sz w:val="17"/>
        </w:rPr>
        <w:t> </w:t>
      </w:r>
      <w:r>
        <w:rPr>
          <w:rFonts w:ascii="Calibri" w:hAnsi="Calibri"/>
          <w:color w:val="231F20"/>
          <w:w w:val="105"/>
          <w:sz w:val="17"/>
        </w:rPr>
        <w:t>political</w:t>
      </w:r>
      <w:r>
        <w:rPr>
          <w:rFonts w:ascii="Calibri" w:hAnsi="Calibri"/>
          <w:color w:val="231F20"/>
          <w:spacing w:val="-8"/>
          <w:w w:val="105"/>
          <w:sz w:val="17"/>
        </w:rPr>
        <w:t> </w:t>
      </w:r>
      <w:r>
        <w:rPr>
          <w:rFonts w:ascii="Calibri" w:hAnsi="Calibri"/>
          <w:color w:val="231F20"/>
          <w:w w:val="105"/>
          <w:sz w:val="17"/>
        </w:rPr>
        <w:t>independence</w:t>
      </w:r>
      <w:r>
        <w:rPr>
          <w:rFonts w:ascii="Calibri" w:hAnsi="Calibri"/>
          <w:color w:val="231F20"/>
          <w:spacing w:val="-8"/>
          <w:w w:val="105"/>
          <w:sz w:val="17"/>
        </w:rPr>
        <w:t> </w:t>
      </w:r>
      <w:r>
        <w:rPr>
          <w:rFonts w:ascii="Calibri" w:hAnsi="Calibri"/>
          <w:color w:val="231F20"/>
          <w:w w:val="105"/>
          <w:sz w:val="17"/>
        </w:rPr>
        <w:t>of</w:t>
      </w:r>
      <w:r>
        <w:rPr>
          <w:rFonts w:ascii="Calibri" w:hAnsi="Calibri"/>
          <w:color w:val="231F20"/>
          <w:spacing w:val="-8"/>
          <w:w w:val="105"/>
          <w:sz w:val="17"/>
        </w:rPr>
        <w:t> </w:t>
      </w:r>
      <w:r>
        <w:rPr>
          <w:rFonts w:ascii="Calibri" w:hAnsi="Calibri"/>
          <w:color w:val="231F20"/>
          <w:w w:val="105"/>
          <w:sz w:val="17"/>
        </w:rPr>
        <w:t>any</w:t>
      </w:r>
      <w:r>
        <w:rPr>
          <w:rFonts w:ascii="Calibri" w:hAnsi="Calibri"/>
          <w:color w:val="231F20"/>
          <w:spacing w:val="-8"/>
          <w:w w:val="105"/>
          <w:sz w:val="17"/>
        </w:rPr>
        <w:t> </w:t>
      </w:r>
      <w:r>
        <w:rPr>
          <w:rFonts w:ascii="Calibri" w:hAnsi="Calibri"/>
          <w:color w:val="231F20"/>
          <w:w w:val="105"/>
          <w:sz w:val="17"/>
        </w:rPr>
        <w:t>state,</w:t>
      </w:r>
      <w:r>
        <w:rPr>
          <w:rFonts w:ascii="Calibri" w:hAnsi="Calibri"/>
          <w:color w:val="231F20"/>
          <w:spacing w:val="-8"/>
          <w:w w:val="105"/>
          <w:sz w:val="17"/>
        </w:rPr>
        <w:t> </w:t>
      </w:r>
      <w:r>
        <w:rPr>
          <w:rFonts w:ascii="Calibri" w:hAnsi="Calibri"/>
          <w:color w:val="231F20"/>
          <w:w w:val="105"/>
          <w:sz w:val="17"/>
        </w:rPr>
        <w:t>or</w:t>
      </w:r>
      <w:r>
        <w:rPr>
          <w:rFonts w:ascii="Calibri" w:hAnsi="Calibri"/>
          <w:color w:val="231F20"/>
          <w:spacing w:val="-8"/>
          <w:w w:val="105"/>
          <w:sz w:val="17"/>
        </w:rPr>
        <w:t> </w:t>
      </w:r>
      <w:r>
        <w:rPr>
          <w:rFonts w:ascii="Calibri" w:hAnsi="Calibri"/>
          <w:color w:val="231F20"/>
          <w:w w:val="105"/>
          <w:sz w:val="17"/>
        </w:rPr>
        <w:t>in</w:t>
      </w:r>
      <w:r>
        <w:rPr>
          <w:rFonts w:ascii="Calibri" w:hAnsi="Calibri"/>
          <w:color w:val="231F20"/>
          <w:spacing w:val="-8"/>
          <w:w w:val="105"/>
          <w:sz w:val="17"/>
        </w:rPr>
        <w:t> </w:t>
      </w:r>
      <w:r>
        <w:rPr>
          <w:rFonts w:ascii="Calibri" w:hAnsi="Calibri"/>
          <w:color w:val="231F20"/>
          <w:w w:val="105"/>
          <w:sz w:val="17"/>
        </w:rPr>
        <w:t>any</w:t>
      </w:r>
      <w:r>
        <w:rPr>
          <w:rFonts w:ascii="Calibri" w:hAnsi="Calibri"/>
          <w:color w:val="231F20"/>
          <w:spacing w:val="-8"/>
          <w:w w:val="105"/>
          <w:sz w:val="17"/>
        </w:rPr>
        <w:t> </w:t>
      </w:r>
      <w:r>
        <w:rPr>
          <w:rFonts w:ascii="Calibri" w:hAnsi="Calibri"/>
          <w:color w:val="231F20"/>
          <w:w w:val="105"/>
          <w:sz w:val="17"/>
        </w:rPr>
        <w:t>other manner</w:t>
      </w:r>
      <w:r>
        <w:rPr>
          <w:rFonts w:ascii="Calibri" w:hAnsi="Calibri"/>
          <w:color w:val="231F20"/>
          <w:spacing w:val="-15"/>
          <w:w w:val="105"/>
          <w:sz w:val="17"/>
        </w:rPr>
        <w:t> </w:t>
      </w:r>
      <w:r>
        <w:rPr>
          <w:rFonts w:ascii="Calibri" w:hAnsi="Calibri"/>
          <w:color w:val="231F20"/>
          <w:w w:val="105"/>
          <w:sz w:val="17"/>
        </w:rPr>
        <w:t>inconsistent</w:t>
      </w:r>
      <w:r>
        <w:rPr>
          <w:rFonts w:ascii="Calibri" w:hAnsi="Calibri"/>
          <w:color w:val="231F20"/>
          <w:spacing w:val="-17"/>
          <w:w w:val="105"/>
          <w:sz w:val="17"/>
        </w:rPr>
        <w:t> </w:t>
      </w:r>
      <w:r>
        <w:rPr>
          <w:rFonts w:ascii="Calibri" w:hAnsi="Calibri"/>
          <w:color w:val="231F20"/>
          <w:w w:val="105"/>
          <w:sz w:val="17"/>
        </w:rPr>
        <w:t>with</w:t>
      </w:r>
      <w:r>
        <w:rPr>
          <w:rFonts w:ascii="Calibri" w:hAnsi="Calibri"/>
          <w:color w:val="231F20"/>
          <w:spacing w:val="-15"/>
          <w:w w:val="105"/>
          <w:sz w:val="17"/>
        </w:rPr>
        <w:t> </w:t>
      </w:r>
      <w:r>
        <w:rPr>
          <w:rFonts w:ascii="Calibri" w:hAnsi="Calibri"/>
          <w:color w:val="231F20"/>
          <w:w w:val="105"/>
          <w:sz w:val="17"/>
        </w:rPr>
        <w:t>the</w:t>
      </w:r>
      <w:r>
        <w:rPr>
          <w:rFonts w:ascii="Calibri" w:hAnsi="Calibri"/>
          <w:color w:val="231F20"/>
          <w:spacing w:val="-15"/>
          <w:w w:val="105"/>
          <w:sz w:val="17"/>
        </w:rPr>
        <w:t> </w:t>
      </w:r>
      <w:r>
        <w:rPr>
          <w:rFonts w:ascii="Calibri" w:hAnsi="Calibri"/>
          <w:color w:val="231F20"/>
          <w:w w:val="105"/>
          <w:sz w:val="17"/>
        </w:rPr>
        <w:t>Purposes</w:t>
      </w:r>
      <w:r>
        <w:rPr>
          <w:rFonts w:ascii="Calibri" w:hAnsi="Calibri"/>
          <w:color w:val="231F20"/>
          <w:spacing w:val="-15"/>
          <w:w w:val="105"/>
          <w:sz w:val="17"/>
        </w:rPr>
        <w:t> </w:t>
      </w:r>
      <w:r>
        <w:rPr>
          <w:rFonts w:ascii="Calibri" w:hAnsi="Calibri"/>
          <w:color w:val="231F20"/>
          <w:w w:val="105"/>
          <w:sz w:val="17"/>
        </w:rPr>
        <w:t>of</w:t>
      </w:r>
      <w:r>
        <w:rPr>
          <w:rFonts w:ascii="Calibri" w:hAnsi="Calibri"/>
          <w:color w:val="231F20"/>
          <w:spacing w:val="-15"/>
          <w:w w:val="105"/>
          <w:sz w:val="17"/>
        </w:rPr>
        <w:t> </w:t>
      </w:r>
      <w:r>
        <w:rPr>
          <w:rFonts w:ascii="Calibri" w:hAnsi="Calibri"/>
          <w:color w:val="231F20"/>
          <w:w w:val="105"/>
          <w:sz w:val="17"/>
        </w:rPr>
        <w:t>the</w:t>
      </w:r>
      <w:r>
        <w:rPr>
          <w:rFonts w:ascii="Calibri" w:hAnsi="Calibri"/>
          <w:color w:val="231F20"/>
          <w:spacing w:val="-15"/>
          <w:w w:val="105"/>
          <w:sz w:val="17"/>
        </w:rPr>
        <w:t> </w:t>
      </w:r>
      <w:r>
        <w:rPr>
          <w:rFonts w:ascii="Calibri" w:hAnsi="Calibri"/>
          <w:color w:val="231F20"/>
          <w:w w:val="105"/>
          <w:sz w:val="17"/>
        </w:rPr>
        <w:t>United</w:t>
      </w:r>
      <w:r>
        <w:rPr>
          <w:rFonts w:ascii="Calibri" w:hAnsi="Calibri"/>
          <w:color w:val="231F20"/>
          <w:spacing w:val="-15"/>
          <w:w w:val="105"/>
          <w:sz w:val="17"/>
        </w:rPr>
        <w:t> </w:t>
      </w:r>
      <w:r>
        <w:rPr>
          <w:rFonts w:ascii="Calibri" w:hAnsi="Calibri"/>
          <w:color w:val="231F20"/>
          <w:w w:val="105"/>
          <w:sz w:val="17"/>
        </w:rPr>
        <w:t>Nations”.</w:t>
      </w:r>
    </w:p>
    <w:p>
      <w:pPr>
        <w:spacing w:line="204" w:lineRule="exact" w:before="0"/>
        <w:ind w:left="103" w:right="114" w:firstLine="0"/>
        <w:jc w:val="both"/>
        <w:rPr>
          <w:rFonts w:ascii="Calibri" w:hAnsi="Calibri"/>
          <w:sz w:val="17"/>
        </w:rPr>
      </w:pPr>
      <w:r>
        <w:rPr>
          <w:rFonts w:ascii="Calibri" w:hAnsi="Calibri"/>
          <w:color w:val="231F20"/>
          <w:w w:val="105"/>
          <w:position w:val="6"/>
          <w:sz w:val="10"/>
        </w:rPr>
        <w:t>7 </w:t>
      </w:r>
      <w:r>
        <w:rPr>
          <w:rFonts w:ascii="Calibri" w:hAnsi="Calibri"/>
          <w:i/>
          <w:color w:val="231F20"/>
          <w:w w:val="105"/>
          <w:sz w:val="17"/>
        </w:rPr>
        <w:t>Charter of United Nations</w:t>
      </w:r>
      <w:r>
        <w:rPr>
          <w:rFonts w:ascii="Calibri" w:hAnsi="Calibri"/>
          <w:color w:val="231F20"/>
          <w:w w:val="105"/>
          <w:sz w:val="17"/>
        </w:rPr>
        <w:t>, Art. 39: </w:t>
      </w:r>
      <w:r>
        <w:rPr>
          <w:rFonts w:ascii="Calibri" w:hAnsi="Calibri"/>
          <w:i/>
          <w:color w:val="231F20"/>
          <w:w w:val="105"/>
          <w:sz w:val="17"/>
        </w:rPr>
        <w:t>“</w:t>
      </w:r>
      <w:r>
        <w:rPr>
          <w:rFonts w:ascii="Calibri" w:hAnsi="Calibri"/>
          <w:color w:val="231F20"/>
          <w:w w:val="105"/>
          <w:sz w:val="17"/>
        </w:rPr>
        <w:t>The Security Council shall determine the existence of any threat</w:t>
      </w:r>
      <w:r>
        <w:rPr>
          <w:rFonts w:ascii="Calibri" w:hAnsi="Calibri"/>
          <w:color w:val="231F20"/>
          <w:spacing w:val="-16"/>
          <w:w w:val="105"/>
          <w:sz w:val="17"/>
        </w:rPr>
        <w:t> </w:t>
      </w:r>
      <w:r>
        <w:rPr>
          <w:rFonts w:ascii="Calibri" w:hAnsi="Calibri"/>
          <w:color w:val="231F20"/>
          <w:w w:val="105"/>
          <w:sz w:val="17"/>
        </w:rPr>
        <w:t>to</w:t>
      </w:r>
      <w:r>
        <w:rPr>
          <w:rFonts w:ascii="Calibri" w:hAnsi="Calibri"/>
          <w:color w:val="231F20"/>
          <w:spacing w:val="-16"/>
          <w:w w:val="105"/>
          <w:sz w:val="17"/>
        </w:rPr>
        <w:t> </w:t>
      </w:r>
      <w:r>
        <w:rPr>
          <w:rFonts w:ascii="Calibri" w:hAnsi="Calibri"/>
          <w:color w:val="231F20"/>
          <w:w w:val="105"/>
          <w:sz w:val="17"/>
        </w:rPr>
        <w:t>the</w:t>
      </w:r>
      <w:r>
        <w:rPr>
          <w:rFonts w:ascii="Calibri" w:hAnsi="Calibri"/>
          <w:color w:val="231F20"/>
          <w:spacing w:val="-16"/>
          <w:w w:val="105"/>
          <w:sz w:val="17"/>
        </w:rPr>
        <w:t> </w:t>
      </w:r>
      <w:r>
        <w:rPr>
          <w:rFonts w:ascii="Calibri" w:hAnsi="Calibri"/>
          <w:color w:val="231F20"/>
          <w:w w:val="105"/>
          <w:sz w:val="17"/>
        </w:rPr>
        <w:t>peace,</w:t>
      </w:r>
      <w:r>
        <w:rPr>
          <w:rFonts w:ascii="Calibri" w:hAnsi="Calibri"/>
          <w:color w:val="231F20"/>
          <w:spacing w:val="-16"/>
          <w:w w:val="105"/>
          <w:sz w:val="17"/>
        </w:rPr>
        <w:t> </w:t>
      </w:r>
      <w:r>
        <w:rPr>
          <w:rFonts w:ascii="Calibri" w:hAnsi="Calibri"/>
          <w:color w:val="231F20"/>
          <w:w w:val="105"/>
          <w:sz w:val="17"/>
        </w:rPr>
        <w:t>breach</w:t>
      </w:r>
      <w:r>
        <w:rPr>
          <w:rFonts w:ascii="Calibri" w:hAnsi="Calibri"/>
          <w:color w:val="231F20"/>
          <w:spacing w:val="-16"/>
          <w:w w:val="105"/>
          <w:sz w:val="17"/>
        </w:rPr>
        <w:t> </w:t>
      </w:r>
      <w:r>
        <w:rPr>
          <w:rFonts w:ascii="Calibri" w:hAnsi="Calibri"/>
          <w:color w:val="231F20"/>
          <w:w w:val="105"/>
          <w:sz w:val="17"/>
        </w:rPr>
        <w:t>of</w:t>
      </w:r>
      <w:r>
        <w:rPr>
          <w:rFonts w:ascii="Calibri" w:hAnsi="Calibri"/>
          <w:color w:val="231F20"/>
          <w:spacing w:val="-16"/>
          <w:w w:val="105"/>
          <w:sz w:val="17"/>
        </w:rPr>
        <w:t> </w:t>
      </w:r>
      <w:r>
        <w:rPr>
          <w:rFonts w:ascii="Calibri" w:hAnsi="Calibri"/>
          <w:color w:val="231F20"/>
          <w:w w:val="105"/>
          <w:sz w:val="17"/>
        </w:rPr>
        <w:t>the</w:t>
      </w:r>
      <w:r>
        <w:rPr>
          <w:rFonts w:ascii="Calibri" w:hAnsi="Calibri"/>
          <w:color w:val="231F20"/>
          <w:spacing w:val="-16"/>
          <w:w w:val="105"/>
          <w:sz w:val="17"/>
        </w:rPr>
        <w:t> </w:t>
      </w:r>
      <w:r>
        <w:rPr>
          <w:rFonts w:ascii="Calibri" w:hAnsi="Calibri"/>
          <w:color w:val="231F20"/>
          <w:w w:val="105"/>
          <w:sz w:val="17"/>
        </w:rPr>
        <w:t>peace,</w:t>
      </w:r>
      <w:r>
        <w:rPr>
          <w:rFonts w:ascii="Calibri" w:hAnsi="Calibri"/>
          <w:color w:val="231F20"/>
          <w:spacing w:val="-16"/>
          <w:w w:val="105"/>
          <w:sz w:val="17"/>
        </w:rPr>
        <w:t> </w:t>
      </w:r>
      <w:r>
        <w:rPr>
          <w:rFonts w:ascii="Calibri" w:hAnsi="Calibri"/>
          <w:color w:val="231F20"/>
          <w:w w:val="105"/>
          <w:sz w:val="17"/>
        </w:rPr>
        <w:t>or</w:t>
      </w:r>
      <w:r>
        <w:rPr>
          <w:rFonts w:ascii="Calibri" w:hAnsi="Calibri"/>
          <w:color w:val="231F20"/>
          <w:spacing w:val="-16"/>
          <w:w w:val="105"/>
          <w:sz w:val="17"/>
        </w:rPr>
        <w:t> </w:t>
      </w:r>
      <w:r>
        <w:rPr>
          <w:rFonts w:ascii="Calibri" w:hAnsi="Calibri"/>
          <w:color w:val="231F20"/>
          <w:w w:val="105"/>
          <w:sz w:val="17"/>
        </w:rPr>
        <w:t>act</w:t>
      </w:r>
      <w:r>
        <w:rPr>
          <w:rFonts w:ascii="Calibri" w:hAnsi="Calibri"/>
          <w:color w:val="231F20"/>
          <w:spacing w:val="-16"/>
          <w:w w:val="105"/>
          <w:sz w:val="17"/>
        </w:rPr>
        <w:t> </w:t>
      </w:r>
      <w:r>
        <w:rPr>
          <w:rFonts w:ascii="Calibri" w:hAnsi="Calibri"/>
          <w:color w:val="231F20"/>
          <w:w w:val="105"/>
          <w:sz w:val="17"/>
        </w:rPr>
        <w:t>of</w:t>
      </w:r>
      <w:r>
        <w:rPr>
          <w:rFonts w:ascii="Calibri" w:hAnsi="Calibri"/>
          <w:color w:val="231F20"/>
          <w:spacing w:val="-16"/>
          <w:w w:val="105"/>
          <w:sz w:val="17"/>
        </w:rPr>
        <w:t> </w:t>
      </w:r>
      <w:r>
        <w:rPr>
          <w:rFonts w:ascii="Calibri" w:hAnsi="Calibri"/>
          <w:color w:val="231F20"/>
          <w:w w:val="105"/>
          <w:sz w:val="17"/>
        </w:rPr>
        <w:t>aggression</w:t>
      </w:r>
      <w:r>
        <w:rPr>
          <w:rFonts w:ascii="Calibri" w:hAnsi="Calibri"/>
          <w:color w:val="231F20"/>
          <w:spacing w:val="-16"/>
          <w:w w:val="105"/>
          <w:sz w:val="17"/>
        </w:rPr>
        <w:t> </w:t>
      </w:r>
      <w:r>
        <w:rPr>
          <w:rFonts w:ascii="Calibri" w:hAnsi="Calibri"/>
          <w:color w:val="231F20"/>
          <w:w w:val="105"/>
          <w:sz w:val="17"/>
        </w:rPr>
        <w:t>and</w:t>
      </w:r>
      <w:r>
        <w:rPr>
          <w:rFonts w:ascii="Calibri" w:hAnsi="Calibri"/>
          <w:color w:val="231F20"/>
          <w:spacing w:val="-16"/>
          <w:w w:val="105"/>
          <w:sz w:val="17"/>
        </w:rPr>
        <w:t> </w:t>
      </w:r>
      <w:r>
        <w:rPr>
          <w:rFonts w:ascii="Calibri" w:hAnsi="Calibri"/>
          <w:color w:val="231F20"/>
          <w:w w:val="105"/>
          <w:sz w:val="17"/>
        </w:rPr>
        <w:t>shall</w:t>
      </w:r>
      <w:r>
        <w:rPr>
          <w:rFonts w:ascii="Calibri" w:hAnsi="Calibri"/>
          <w:color w:val="231F20"/>
          <w:spacing w:val="-16"/>
          <w:w w:val="105"/>
          <w:sz w:val="17"/>
        </w:rPr>
        <w:t> </w:t>
      </w:r>
      <w:r>
        <w:rPr>
          <w:rFonts w:ascii="Calibri" w:hAnsi="Calibri"/>
          <w:color w:val="231F20"/>
          <w:w w:val="105"/>
          <w:sz w:val="17"/>
        </w:rPr>
        <w:t>make</w:t>
      </w:r>
      <w:r>
        <w:rPr>
          <w:rFonts w:ascii="Calibri" w:hAnsi="Calibri"/>
          <w:color w:val="231F20"/>
          <w:spacing w:val="-16"/>
          <w:w w:val="105"/>
          <w:sz w:val="17"/>
        </w:rPr>
        <w:t> </w:t>
      </w:r>
      <w:r>
        <w:rPr>
          <w:rFonts w:ascii="Calibri" w:hAnsi="Calibri"/>
          <w:color w:val="231F20"/>
          <w:w w:val="105"/>
          <w:sz w:val="17"/>
        </w:rPr>
        <w:t>recommendations,</w:t>
      </w:r>
      <w:r>
        <w:rPr>
          <w:rFonts w:ascii="Calibri" w:hAnsi="Calibri"/>
          <w:color w:val="231F20"/>
          <w:spacing w:val="-16"/>
          <w:w w:val="105"/>
          <w:sz w:val="17"/>
        </w:rPr>
        <w:t> </w:t>
      </w:r>
      <w:r>
        <w:rPr>
          <w:rFonts w:ascii="Calibri" w:hAnsi="Calibri"/>
          <w:color w:val="231F20"/>
          <w:w w:val="105"/>
          <w:sz w:val="17"/>
        </w:rPr>
        <w:t>or decide</w:t>
      </w:r>
      <w:r>
        <w:rPr>
          <w:rFonts w:ascii="Calibri" w:hAnsi="Calibri"/>
          <w:color w:val="231F20"/>
          <w:spacing w:val="-14"/>
          <w:w w:val="105"/>
          <w:sz w:val="17"/>
        </w:rPr>
        <w:t> </w:t>
      </w:r>
      <w:r>
        <w:rPr>
          <w:rFonts w:ascii="Calibri" w:hAnsi="Calibri"/>
          <w:color w:val="231F20"/>
          <w:w w:val="105"/>
          <w:sz w:val="17"/>
        </w:rPr>
        <w:t>what</w:t>
      </w:r>
      <w:r>
        <w:rPr>
          <w:rFonts w:ascii="Calibri" w:hAnsi="Calibri"/>
          <w:color w:val="231F20"/>
          <w:spacing w:val="-12"/>
          <w:w w:val="105"/>
          <w:sz w:val="17"/>
        </w:rPr>
        <w:t> </w:t>
      </w:r>
      <w:r>
        <w:rPr>
          <w:rFonts w:ascii="Calibri" w:hAnsi="Calibri"/>
          <w:color w:val="231F20"/>
          <w:w w:val="105"/>
          <w:sz w:val="17"/>
        </w:rPr>
        <w:t>measures</w:t>
      </w:r>
      <w:r>
        <w:rPr>
          <w:rFonts w:ascii="Calibri" w:hAnsi="Calibri"/>
          <w:color w:val="231F20"/>
          <w:spacing w:val="-12"/>
          <w:w w:val="105"/>
          <w:sz w:val="17"/>
        </w:rPr>
        <w:t> </w:t>
      </w:r>
      <w:r>
        <w:rPr>
          <w:rFonts w:ascii="Calibri" w:hAnsi="Calibri"/>
          <w:color w:val="231F20"/>
          <w:w w:val="105"/>
          <w:sz w:val="17"/>
        </w:rPr>
        <w:t>shall</w:t>
      </w:r>
      <w:r>
        <w:rPr>
          <w:rFonts w:ascii="Calibri" w:hAnsi="Calibri"/>
          <w:color w:val="231F20"/>
          <w:spacing w:val="-12"/>
          <w:w w:val="105"/>
          <w:sz w:val="17"/>
        </w:rPr>
        <w:t> </w:t>
      </w:r>
      <w:r>
        <w:rPr>
          <w:rFonts w:ascii="Calibri" w:hAnsi="Calibri"/>
          <w:color w:val="231F20"/>
          <w:w w:val="105"/>
          <w:sz w:val="17"/>
        </w:rPr>
        <w:t>be</w:t>
      </w:r>
      <w:r>
        <w:rPr>
          <w:rFonts w:ascii="Calibri" w:hAnsi="Calibri"/>
          <w:color w:val="231F20"/>
          <w:spacing w:val="-12"/>
          <w:w w:val="105"/>
          <w:sz w:val="17"/>
        </w:rPr>
        <w:t> </w:t>
      </w:r>
      <w:r>
        <w:rPr>
          <w:rFonts w:ascii="Calibri" w:hAnsi="Calibri"/>
          <w:color w:val="231F20"/>
          <w:w w:val="105"/>
          <w:sz w:val="17"/>
        </w:rPr>
        <w:t>taken</w:t>
      </w:r>
      <w:r>
        <w:rPr>
          <w:rFonts w:ascii="Calibri" w:hAnsi="Calibri"/>
          <w:color w:val="231F20"/>
          <w:spacing w:val="-12"/>
          <w:w w:val="105"/>
          <w:sz w:val="17"/>
        </w:rPr>
        <w:t> </w:t>
      </w:r>
      <w:r>
        <w:rPr>
          <w:rFonts w:ascii="Calibri" w:hAnsi="Calibri"/>
          <w:color w:val="231F20"/>
          <w:w w:val="105"/>
          <w:sz w:val="17"/>
        </w:rPr>
        <w:t>in</w:t>
      </w:r>
      <w:r>
        <w:rPr>
          <w:rFonts w:ascii="Calibri" w:hAnsi="Calibri"/>
          <w:color w:val="231F20"/>
          <w:spacing w:val="-12"/>
          <w:w w:val="105"/>
          <w:sz w:val="17"/>
        </w:rPr>
        <w:t> </w:t>
      </w:r>
      <w:r>
        <w:rPr>
          <w:rFonts w:ascii="Calibri" w:hAnsi="Calibri"/>
          <w:color w:val="231F20"/>
          <w:w w:val="105"/>
          <w:sz w:val="17"/>
        </w:rPr>
        <w:t>accordance</w:t>
      </w:r>
      <w:r>
        <w:rPr>
          <w:rFonts w:ascii="Calibri" w:hAnsi="Calibri"/>
          <w:color w:val="231F20"/>
          <w:spacing w:val="-14"/>
          <w:w w:val="105"/>
          <w:sz w:val="17"/>
        </w:rPr>
        <w:t> </w:t>
      </w:r>
      <w:r>
        <w:rPr>
          <w:rFonts w:ascii="Calibri" w:hAnsi="Calibri"/>
          <w:color w:val="231F20"/>
          <w:w w:val="105"/>
          <w:sz w:val="17"/>
        </w:rPr>
        <w:t>with</w:t>
      </w:r>
      <w:r>
        <w:rPr>
          <w:rFonts w:ascii="Calibri" w:hAnsi="Calibri"/>
          <w:color w:val="231F20"/>
          <w:spacing w:val="-12"/>
          <w:w w:val="105"/>
          <w:sz w:val="17"/>
        </w:rPr>
        <w:t> </w:t>
      </w:r>
      <w:r>
        <w:rPr>
          <w:rFonts w:ascii="Calibri" w:hAnsi="Calibri"/>
          <w:color w:val="231F20"/>
          <w:w w:val="105"/>
          <w:sz w:val="17"/>
        </w:rPr>
        <w:t>Articles</w:t>
      </w:r>
      <w:r>
        <w:rPr>
          <w:rFonts w:ascii="Calibri" w:hAnsi="Calibri"/>
          <w:color w:val="231F20"/>
          <w:spacing w:val="-12"/>
          <w:w w:val="105"/>
          <w:sz w:val="17"/>
        </w:rPr>
        <w:t> </w:t>
      </w:r>
      <w:r>
        <w:rPr>
          <w:rFonts w:ascii="Calibri" w:hAnsi="Calibri"/>
          <w:color w:val="231F20"/>
          <w:w w:val="105"/>
          <w:sz w:val="17"/>
        </w:rPr>
        <w:t>41</w:t>
      </w:r>
      <w:r>
        <w:rPr>
          <w:rFonts w:ascii="Calibri" w:hAnsi="Calibri"/>
          <w:color w:val="231F20"/>
          <w:spacing w:val="-12"/>
          <w:w w:val="105"/>
          <w:sz w:val="17"/>
        </w:rPr>
        <w:t> </w:t>
      </w:r>
      <w:r>
        <w:rPr>
          <w:rFonts w:ascii="Calibri" w:hAnsi="Calibri"/>
          <w:color w:val="231F20"/>
          <w:w w:val="105"/>
          <w:sz w:val="17"/>
        </w:rPr>
        <w:t>and</w:t>
      </w:r>
      <w:r>
        <w:rPr>
          <w:rFonts w:ascii="Calibri" w:hAnsi="Calibri"/>
          <w:color w:val="231F20"/>
          <w:spacing w:val="-12"/>
          <w:w w:val="105"/>
          <w:sz w:val="17"/>
        </w:rPr>
        <w:t> </w:t>
      </w:r>
      <w:r>
        <w:rPr>
          <w:rFonts w:ascii="Calibri" w:hAnsi="Calibri"/>
          <w:color w:val="231F20"/>
          <w:w w:val="105"/>
          <w:sz w:val="17"/>
        </w:rPr>
        <w:t>42,</w:t>
      </w:r>
      <w:r>
        <w:rPr>
          <w:rFonts w:ascii="Calibri" w:hAnsi="Calibri"/>
          <w:color w:val="231F20"/>
          <w:spacing w:val="-12"/>
          <w:w w:val="105"/>
          <w:sz w:val="17"/>
        </w:rPr>
        <w:t> </w:t>
      </w:r>
      <w:r>
        <w:rPr>
          <w:rFonts w:ascii="Calibri" w:hAnsi="Calibri"/>
          <w:color w:val="231F20"/>
          <w:w w:val="105"/>
          <w:sz w:val="17"/>
        </w:rPr>
        <w:t>to</w:t>
      </w:r>
      <w:r>
        <w:rPr>
          <w:rFonts w:ascii="Calibri" w:hAnsi="Calibri"/>
          <w:color w:val="231F20"/>
          <w:spacing w:val="-12"/>
          <w:w w:val="105"/>
          <w:sz w:val="17"/>
        </w:rPr>
        <w:t> </w:t>
      </w:r>
      <w:r>
        <w:rPr>
          <w:rFonts w:ascii="Calibri" w:hAnsi="Calibri"/>
          <w:color w:val="231F20"/>
          <w:w w:val="105"/>
          <w:sz w:val="17"/>
        </w:rPr>
        <w:t>maintain</w:t>
      </w:r>
      <w:r>
        <w:rPr>
          <w:rFonts w:ascii="Calibri" w:hAnsi="Calibri"/>
          <w:color w:val="231F20"/>
          <w:spacing w:val="-12"/>
          <w:w w:val="105"/>
          <w:sz w:val="17"/>
        </w:rPr>
        <w:t> </w:t>
      </w:r>
      <w:r>
        <w:rPr>
          <w:rFonts w:ascii="Calibri" w:hAnsi="Calibri"/>
          <w:color w:val="231F20"/>
          <w:w w:val="105"/>
          <w:sz w:val="17"/>
        </w:rPr>
        <w:t>or</w:t>
      </w:r>
      <w:r>
        <w:rPr>
          <w:rFonts w:ascii="Calibri" w:hAnsi="Calibri"/>
          <w:color w:val="231F20"/>
          <w:spacing w:val="-12"/>
          <w:w w:val="105"/>
          <w:sz w:val="17"/>
        </w:rPr>
        <w:t> </w:t>
      </w:r>
      <w:r>
        <w:rPr>
          <w:rFonts w:ascii="Calibri" w:hAnsi="Calibri"/>
          <w:color w:val="231F20"/>
          <w:w w:val="105"/>
          <w:sz w:val="17"/>
        </w:rPr>
        <w:t>restore international peace and security”. Art. 41 </w:t>
      </w:r>
      <w:r>
        <w:rPr>
          <w:rFonts w:ascii="Calibri" w:hAnsi="Calibri"/>
          <w:i/>
          <w:color w:val="231F20"/>
          <w:w w:val="105"/>
          <w:sz w:val="17"/>
        </w:rPr>
        <w:t>“</w:t>
      </w:r>
      <w:r>
        <w:rPr>
          <w:rFonts w:ascii="Calibri" w:hAnsi="Calibri"/>
          <w:color w:val="231F20"/>
          <w:w w:val="105"/>
          <w:sz w:val="17"/>
        </w:rPr>
        <w:t>The Security Council may decide what measures not involving</w:t>
      </w:r>
      <w:r>
        <w:rPr>
          <w:rFonts w:ascii="Calibri" w:hAnsi="Calibri"/>
          <w:color w:val="231F20"/>
          <w:spacing w:val="-7"/>
          <w:w w:val="105"/>
          <w:sz w:val="17"/>
        </w:rPr>
        <w:t> </w:t>
      </w:r>
      <w:r>
        <w:rPr>
          <w:rFonts w:ascii="Calibri" w:hAnsi="Calibri"/>
          <w:color w:val="231F20"/>
          <w:w w:val="105"/>
          <w:sz w:val="17"/>
        </w:rPr>
        <w:t>the</w:t>
      </w:r>
      <w:r>
        <w:rPr>
          <w:rFonts w:ascii="Calibri" w:hAnsi="Calibri"/>
          <w:color w:val="231F20"/>
          <w:spacing w:val="-7"/>
          <w:w w:val="105"/>
          <w:sz w:val="17"/>
        </w:rPr>
        <w:t> </w:t>
      </w:r>
      <w:r>
        <w:rPr>
          <w:rFonts w:ascii="Calibri" w:hAnsi="Calibri"/>
          <w:color w:val="231F20"/>
          <w:w w:val="105"/>
          <w:sz w:val="17"/>
        </w:rPr>
        <w:t>use</w:t>
      </w:r>
      <w:r>
        <w:rPr>
          <w:rFonts w:ascii="Calibri" w:hAnsi="Calibri"/>
          <w:color w:val="231F20"/>
          <w:spacing w:val="-7"/>
          <w:w w:val="105"/>
          <w:sz w:val="17"/>
        </w:rPr>
        <w:t> </w:t>
      </w:r>
      <w:r>
        <w:rPr>
          <w:rFonts w:ascii="Calibri" w:hAnsi="Calibri"/>
          <w:color w:val="231F20"/>
          <w:w w:val="105"/>
          <w:sz w:val="17"/>
        </w:rPr>
        <w:t>of</w:t>
      </w:r>
      <w:r>
        <w:rPr>
          <w:rFonts w:ascii="Calibri" w:hAnsi="Calibri"/>
          <w:color w:val="231F20"/>
          <w:spacing w:val="-7"/>
          <w:w w:val="105"/>
          <w:sz w:val="17"/>
        </w:rPr>
        <w:t> </w:t>
      </w:r>
      <w:r>
        <w:rPr>
          <w:rFonts w:ascii="Calibri" w:hAnsi="Calibri"/>
          <w:color w:val="231F20"/>
          <w:w w:val="105"/>
          <w:sz w:val="17"/>
        </w:rPr>
        <w:t>armed</w:t>
      </w:r>
      <w:r>
        <w:rPr>
          <w:rFonts w:ascii="Calibri" w:hAnsi="Calibri"/>
          <w:color w:val="231F20"/>
          <w:spacing w:val="-7"/>
          <w:w w:val="105"/>
          <w:sz w:val="17"/>
        </w:rPr>
        <w:t> </w:t>
      </w:r>
      <w:r>
        <w:rPr>
          <w:rFonts w:ascii="Calibri" w:hAnsi="Calibri"/>
          <w:color w:val="231F20"/>
          <w:w w:val="105"/>
          <w:sz w:val="17"/>
        </w:rPr>
        <w:t>force</w:t>
      </w:r>
      <w:r>
        <w:rPr>
          <w:rFonts w:ascii="Calibri" w:hAnsi="Calibri"/>
          <w:color w:val="231F20"/>
          <w:spacing w:val="-7"/>
          <w:w w:val="105"/>
          <w:sz w:val="17"/>
        </w:rPr>
        <w:t> </w:t>
      </w:r>
      <w:r>
        <w:rPr>
          <w:rFonts w:ascii="Calibri" w:hAnsi="Calibri"/>
          <w:color w:val="231F20"/>
          <w:w w:val="105"/>
          <w:sz w:val="17"/>
        </w:rPr>
        <w:t>are</w:t>
      </w:r>
      <w:r>
        <w:rPr>
          <w:rFonts w:ascii="Calibri" w:hAnsi="Calibri"/>
          <w:color w:val="231F20"/>
          <w:spacing w:val="-7"/>
          <w:w w:val="105"/>
          <w:sz w:val="17"/>
        </w:rPr>
        <w:t> </w:t>
      </w:r>
      <w:r>
        <w:rPr>
          <w:rFonts w:ascii="Calibri" w:hAnsi="Calibri"/>
          <w:color w:val="231F20"/>
          <w:w w:val="105"/>
          <w:sz w:val="17"/>
        </w:rPr>
        <w:t>to</w:t>
      </w:r>
      <w:r>
        <w:rPr>
          <w:rFonts w:ascii="Calibri" w:hAnsi="Calibri"/>
          <w:color w:val="231F20"/>
          <w:spacing w:val="-7"/>
          <w:w w:val="105"/>
          <w:sz w:val="17"/>
        </w:rPr>
        <w:t> </w:t>
      </w:r>
      <w:r>
        <w:rPr>
          <w:rFonts w:ascii="Calibri" w:hAnsi="Calibri"/>
          <w:color w:val="231F20"/>
          <w:w w:val="105"/>
          <w:sz w:val="17"/>
        </w:rPr>
        <w:t>be</w:t>
      </w:r>
      <w:r>
        <w:rPr>
          <w:rFonts w:ascii="Calibri" w:hAnsi="Calibri"/>
          <w:color w:val="231F20"/>
          <w:spacing w:val="-7"/>
          <w:w w:val="105"/>
          <w:sz w:val="17"/>
        </w:rPr>
        <w:t> </w:t>
      </w:r>
      <w:r>
        <w:rPr>
          <w:rFonts w:ascii="Calibri" w:hAnsi="Calibri"/>
          <w:color w:val="231F20"/>
          <w:w w:val="105"/>
          <w:sz w:val="17"/>
        </w:rPr>
        <w:t>employed</w:t>
      </w:r>
      <w:r>
        <w:rPr>
          <w:rFonts w:ascii="Calibri" w:hAnsi="Calibri"/>
          <w:color w:val="231F20"/>
          <w:spacing w:val="-7"/>
          <w:w w:val="105"/>
          <w:sz w:val="17"/>
        </w:rPr>
        <w:t> </w:t>
      </w:r>
      <w:r>
        <w:rPr>
          <w:rFonts w:ascii="Calibri" w:hAnsi="Calibri"/>
          <w:color w:val="231F20"/>
          <w:w w:val="105"/>
          <w:sz w:val="17"/>
        </w:rPr>
        <w:t>to</w:t>
      </w:r>
      <w:r>
        <w:rPr>
          <w:rFonts w:ascii="Calibri" w:hAnsi="Calibri"/>
          <w:color w:val="231F20"/>
          <w:spacing w:val="-7"/>
          <w:w w:val="105"/>
          <w:sz w:val="17"/>
        </w:rPr>
        <w:t> </w:t>
      </w:r>
      <w:r>
        <w:rPr>
          <w:rFonts w:ascii="Calibri" w:hAnsi="Calibri"/>
          <w:color w:val="231F20"/>
          <w:w w:val="105"/>
          <w:sz w:val="17"/>
        </w:rPr>
        <w:t>give</w:t>
      </w:r>
      <w:r>
        <w:rPr>
          <w:rFonts w:ascii="Calibri" w:hAnsi="Calibri"/>
          <w:color w:val="231F20"/>
          <w:spacing w:val="-7"/>
          <w:w w:val="105"/>
          <w:sz w:val="17"/>
        </w:rPr>
        <w:t> </w:t>
      </w:r>
      <w:r>
        <w:rPr>
          <w:rFonts w:ascii="Calibri" w:hAnsi="Calibri"/>
          <w:color w:val="231F20"/>
          <w:w w:val="105"/>
          <w:sz w:val="17"/>
        </w:rPr>
        <w:t>effect</w:t>
      </w:r>
      <w:r>
        <w:rPr>
          <w:rFonts w:ascii="Calibri" w:hAnsi="Calibri"/>
          <w:color w:val="231F20"/>
          <w:spacing w:val="-7"/>
          <w:w w:val="105"/>
          <w:sz w:val="17"/>
        </w:rPr>
        <w:t> </w:t>
      </w:r>
      <w:r>
        <w:rPr>
          <w:rFonts w:ascii="Calibri" w:hAnsi="Calibri"/>
          <w:color w:val="231F20"/>
          <w:w w:val="105"/>
          <w:sz w:val="17"/>
        </w:rPr>
        <w:t>to</w:t>
      </w:r>
      <w:r>
        <w:rPr>
          <w:rFonts w:ascii="Calibri" w:hAnsi="Calibri"/>
          <w:color w:val="231F20"/>
          <w:spacing w:val="-7"/>
          <w:w w:val="105"/>
          <w:sz w:val="17"/>
        </w:rPr>
        <w:t> </w:t>
      </w:r>
      <w:r>
        <w:rPr>
          <w:rFonts w:ascii="Calibri" w:hAnsi="Calibri"/>
          <w:color w:val="231F20"/>
          <w:w w:val="105"/>
          <w:sz w:val="17"/>
        </w:rPr>
        <w:t>its</w:t>
      </w:r>
      <w:r>
        <w:rPr>
          <w:rFonts w:ascii="Calibri" w:hAnsi="Calibri"/>
          <w:color w:val="231F20"/>
          <w:spacing w:val="-7"/>
          <w:w w:val="105"/>
          <w:sz w:val="17"/>
        </w:rPr>
        <w:t> </w:t>
      </w:r>
      <w:r>
        <w:rPr>
          <w:rFonts w:ascii="Calibri" w:hAnsi="Calibri"/>
          <w:color w:val="231F20"/>
          <w:w w:val="105"/>
          <w:sz w:val="17"/>
        </w:rPr>
        <w:t>decisions,</w:t>
      </w:r>
      <w:r>
        <w:rPr>
          <w:rFonts w:ascii="Calibri" w:hAnsi="Calibri"/>
          <w:color w:val="231F20"/>
          <w:spacing w:val="-7"/>
          <w:w w:val="105"/>
          <w:sz w:val="17"/>
        </w:rPr>
        <w:t> </w:t>
      </w:r>
      <w:r>
        <w:rPr>
          <w:rFonts w:ascii="Calibri" w:hAnsi="Calibri"/>
          <w:color w:val="231F20"/>
          <w:w w:val="105"/>
          <w:sz w:val="17"/>
        </w:rPr>
        <w:t>and</w:t>
      </w:r>
      <w:r>
        <w:rPr>
          <w:rFonts w:ascii="Calibri" w:hAnsi="Calibri"/>
          <w:color w:val="231F20"/>
          <w:spacing w:val="-7"/>
          <w:w w:val="105"/>
          <w:sz w:val="17"/>
        </w:rPr>
        <w:t> </w:t>
      </w:r>
      <w:r>
        <w:rPr>
          <w:rFonts w:ascii="Calibri" w:hAnsi="Calibri"/>
          <w:color w:val="231F20"/>
          <w:w w:val="105"/>
          <w:sz w:val="17"/>
        </w:rPr>
        <w:t>it</w:t>
      </w:r>
      <w:r>
        <w:rPr>
          <w:rFonts w:ascii="Calibri" w:hAnsi="Calibri"/>
          <w:color w:val="231F20"/>
          <w:spacing w:val="-7"/>
          <w:w w:val="105"/>
          <w:sz w:val="17"/>
        </w:rPr>
        <w:t> </w:t>
      </w:r>
      <w:r>
        <w:rPr>
          <w:rFonts w:ascii="Calibri" w:hAnsi="Calibri"/>
          <w:color w:val="231F20"/>
          <w:w w:val="105"/>
          <w:sz w:val="17"/>
        </w:rPr>
        <w:t>may</w:t>
      </w:r>
      <w:r>
        <w:rPr>
          <w:rFonts w:ascii="Calibri" w:hAnsi="Calibri"/>
          <w:color w:val="231F20"/>
          <w:spacing w:val="-7"/>
          <w:w w:val="105"/>
          <w:sz w:val="17"/>
        </w:rPr>
        <w:t> </w:t>
      </w:r>
      <w:r>
        <w:rPr>
          <w:rFonts w:ascii="Calibri" w:hAnsi="Calibri"/>
          <w:color w:val="231F20"/>
          <w:w w:val="105"/>
          <w:sz w:val="17"/>
        </w:rPr>
        <w:t>call upon the Members of the United Nations to apply such measures. These may include complete or partial interruption of economic relations and of rail, sea, </w:t>
      </w:r>
      <w:r>
        <w:rPr>
          <w:rFonts w:ascii="Calibri" w:hAnsi="Calibri"/>
          <w:color w:val="231F20"/>
          <w:spacing w:val="-3"/>
          <w:w w:val="105"/>
          <w:sz w:val="17"/>
        </w:rPr>
        <w:t>air, </w:t>
      </w:r>
      <w:r>
        <w:rPr>
          <w:rFonts w:ascii="Calibri" w:hAnsi="Calibri"/>
          <w:color w:val="231F20"/>
          <w:w w:val="105"/>
          <w:sz w:val="17"/>
        </w:rPr>
        <w:t>postal, telegraphic, radio,  </w:t>
      </w:r>
      <w:r>
        <w:rPr>
          <w:rFonts w:ascii="Calibri" w:hAnsi="Calibri"/>
          <w:color w:val="231F20"/>
          <w:spacing w:val="19"/>
          <w:w w:val="105"/>
          <w:sz w:val="17"/>
        </w:rPr>
        <w:t> </w:t>
      </w:r>
      <w:r>
        <w:rPr>
          <w:rFonts w:ascii="Calibri" w:hAnsi="Calibri"/>
          <w:color w:val="231F20"/>
          <w:w w:val="105"/>
          <w:sz w:val="17"/>
        </w:rPr>
        <w:t>and</w:t>
      </w:r>
    </w:p>
    <w:p>
      <w:pPr>
        <w:pStyle w:val="BodyText"/>
        <w:rPr>
          <w:rFonts w:ascii="Calibri"/>
          <w:sz w:val="20"/>
        </w:rPr>
      </w:pPr>
    </w:p>
    <w:p>
      <w:pPr>
        <w:pStyle w:val="BodyText"/>
        <w:spacing w:before="1"/>
        <w:rPr>
          <w:rFonts w:ascii="Calibri"/>
          <w:sz w:val="28"/>
        </w:rPr>
      </w:pPr>
    </w:p>
    <w:p>
      <w:pPr>
        <w:tabs>
          <w:tab w:pos="1331" w:val="left" w:leader="none"/>
        </w:tabs>
        <w:spacing w:before="69"/>
        <w:ind w:left="226" w:right="0" w:firstLine="0"/>
        <w:jc w:val="left"/>
        <w:rPr>
          <w:rFonts w:ascii="Calibri"/>
          <w:sz w:val="16"/>
        </w:rPr>
      </w:pPr>
      <w:r>
        <w:rPr/>
        <w:pict>
          <v:group style="position:absolute;margin-left:98.787804pt;margin-top:-3.308812pt;width:20.4pt;height:43pt;mso-position-horizontal-relative:page;mso-position-vertical-relative:paragraph;z-index:-168136" coordorigin="1976,-66" coordsize="408,860">
            <v:line style="position:absolute" from="2225,73" to="2225,789" stroked="true" strokeweight=".35pt" strokecolor="#231f20"/>
            <v:shape style="position:absolute;left:2193;top:-13;width:190;height:445" type="#_x0000_t75" stroked="false">
              <v:imagedata r:id="rId40" o:title=""/>
            </v:shape>
            <v:shape style="position:absolute;left:1976;top:-66;width:250;height:502" type="#_x0000_t75" stroked="false">
              <v:imagedata r:id="rId41" o:title=""/>
            </v:shape>
            <w10:wrap type="none"/>
          </v:group>
        </w:pict>
      </w:r>
      <w:r>
        <w:rPr>
          <w:rFonts w:ascii="Arial"/>
          <w:color w:val="414042"/>
          <w:w w:val="105"/>
          <w:position w:val="-4"/>
          <w:sz w:val="20"/>
        </w:rPr>
        <w:t>142</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182"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731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ASUNTOS</w:t>
      </w:r>
      <w:r>
        <w:rPr>
          <w:rFonts w:ascii="Lucida Sans Unicode" w:hAnsi="Lucida Sans Unicode"/>
          <w:color w:val="6D6E71"/>
          <w:spacing w:val="-30"/>
          <w:w w:val="95"/>
          <w:sz w:val="14"/>
        </w:rPr>
        <w:t> </w:t>
      </w:r>
      <w:r>
        <w:rPr>
          <w:rFonts w:ascii="Lucida Sans Unicode" w:hAnsi="Lucida Sans Unicode"/>
          <w:color w:val="6D6E71"/>
          <w:w w:val="95"/>
          <w:sz w:val="14"/>
        </w:rPr>
        <w:t>DE</w:t>
      </w:r>
      <w:r>
        <w:rPr>
          <w:rFonts w:ascii="Lucida Sans Unicode" w:hAnsi="Lucida Sans Unicode"/>
          <w:color w:val="6D6E71"/>
          <w:spacing w:val="-30"/>
          <w:w w:val="95"/>
          <w:sz w:val="14"/>
        </w:rPr>
        <w:t> </w:t>
      </w:r>
      <w:r>
        <w:rPr>
          <w:rFonts w:ascii="Lucida Sans Unicode" w:hAnsi="Lucida Sans Unicode"/>
          <w:color w:val="6D6E71"/>
          <w:w w:val="95"/>
          <w:sz w:val="14"/>
        </w:rPr>
        <w:t>FRONTERA.</w:t>
      </w:r>
      <w:r>
        <w:rPr>
          <w:rFonts w:ascii="Lucida Sans Unicode" w:hAnsi="Lucida Sans Unicode"/>
          <w:color w:val="6D6E71"/>
          <w:spacing w:val="-30"/>
          <w:w w:val="95"/>
          <w:sz w:val="14"/>
        </w:rPr>
        <w:t> </w:t>
      </w:r>
      <w:r>
        <w:rPr>
          <w:rFonts w:ascii="Lucida Sans Unicode" w:hAnsi="Lucida Sans Unicode"/>
          <w:color w:val="6D6E71"/>
          <w:w w:val="95"/>
          <w:sz w:val="14"/>
        </w:rPr>
        <w:t>SOBERANÍA</w:t>
      </w:r>
      <w:r>
        <w:rPr>
          <w:rFonts w:ascii="Lucida Sans Unicode" w:hAnsi="Lucida Sans Unicode"/>
          <w:color w:val="6D6E71"/>
          <w:spacing w:val="-30"/>
          <w:w w:val="95"/>
          <w:sz w:val="14"/>
        </w:rPr>
        <w:t> </w:t>
      </w:r>
      <w:r>
        <w:rPr>
          <w:rFonts w:ascii="Lucida Sans Unicode" w:hAnsi="Lucida Sans Unicode"/>
          <w:color w:val="6D6E71"/>
          <w:w w:val="95"/>
          <w:sz w:val="14"/>
        </w:rPr>
        <w:t>TERRITORIAL</w:t>
      </w:r>
      <w:r>
        <w:rPr>
          <w:rFonts w:ascii="Lucida Sans Unicode" w:hAnsi="Lucida Sans Unicode"/>
          <w:color w:val="6D6E71"/>
          <w:spacing w:val="-30"/>
          <w:w w:val="95"/>
          <w:sz w:val="14"/>
        </w:rPr>
        <w:t> </w:t>
      </w:r>
      <w:r>
        <w:rPr>
          <w:rFonts w:ascii="Lucida Sans Unicode" w:hAnsi="Lucida Sans Unicode"/>
          <w:color w:val="6D6E71"/>
          <w:w w:val="95"/>
          <w:sz w:val="14"/>
        </w:rPr>
        <w:t>Y</w:t>
      </w:r>
      <w:r>
        <w:rPr>
          <w:rFonts w:ascii="Lucida Sans Unicode" w:hAnsi="Lucida Sans Unicode"/>
          <w:color w:val="6D6E71"/>
          <w:spacing w:val="-30"/>
          <w:w w:val="95"/>
          <w:sz w:val="14"/>
        </w:rPr>
        <w:t> </w:t>
      </w:r>
      <w:r>
        <w:rPr>
          <w:rFonts w:ascii="Lucida Sans Unicode" w:hAnsi="Lucida Sans Unicode"/>
          <w:color w:val="6D6E71"/>
          <w:w w:val="95"/>
          <w:sz w:val="14"/>
        </w:rPr>
        <w:t>ORDEN</w:t>
      </w:r>
      <w:r>
        <w:rPr>
          <w:rFonts w:ascii="Lucida Sans Unicode" w:hAnsi="Lucida Sans Unicode"/>
          <w:color w:val="6D6E71"/>
          <w:spacing w:val="-30"/>
          <w:w w:val="95"/>
          <w:sz w:val="14"/>
        </w:rPr>
        <w:t> </w:t>
      </w:r>
      <w:r>
        <w:rPr>
          <w:rFonts w:ascii="Lucida Sans Unicode" w:hAnsi="Lucida Sans Unicode"/>
          <w:color w:val="6D6E71"/>
          <w:w w:val="95"/>
          <w:sz w:val="14"/>
        </w:rPr>
        <w:t>GLOBAL</w:t>
      </w:r>
      <w:r>
        <w:rPr>
          <w:rFonts w:ascii="Lucida Sans Unicode" w:hAnsi="Lucida Sans Unicode"/>
          <w:color w:val="6D6E71"/>
          <w:spacing w:val="-30"/>
          <w:w w:val="95"/>
          <w:sz w:val="14"/>
        </w:rPr>
        <w:t> </w:t>
      </w:r>
      <w:r>
        <w:rPr>
          <w:rFonts w:ascii="Lucida Sans Unicode" w:hAnsi="Lucida Sans Unicode"/>
          <w:color w:val="6D6E71"/>
          <w:w w:val="95"/>
          <w:sz w:val="14"/>
        </w:rPr>
        <w:t>EN</w:t>
      </w:r>
      <w:r>
        <w:rPr>
          <w:rFonts w:ascii="Lucida Sans Unicode" w:hAnsi="Lucida Sans Unicode"/>
          <w:color w:val="6D6E71"/>
          <w:spacing w:val="-30"/>
          <w:w w:val="95"/>
          <w:sz w:val="14"/>
        </w:rPr>
        <w:t> </w:t>
      </w:r>
      <w:r>
        <w:rPr>
          <w:rFonts w:ascii="Lucida Sans Unicode" w:hAnsi="Lucida Sans Unicode"/>
          <w:color w:val="6D6E71"/>
          <w:w w:val="95"/>
          <w:sz w:val="14"/>
        </w:rPr>
        <w:t>EL</w:t>
      </w:r>
      <w:r>
        <w:rPr>
          <w:rFonts w:ascii="Lucida Sans Unicode" w:hAnsi="Lucida Sans Unicode"/>
          <w:color w:val="6D6E71"/>
          <w:spacing w:val="-30"/>
          <w:w w:val="95"/>
          <w:sz w:val="14"/>
        </w:rPr>
        <w:t> </w:t>
      </w:r>
      <w:r>
        <w:rPr>
          <w:rFonts w:ascii="Lucida Sans Unicode" w:hAnsi="Lucida Sans Unicode"/>
          <w:color w:val="6D6E71"/>
          <w:w w:val="95"/>
          <w:sz w:val="14"/>
        </w:rPr>
        <w:t>DEBATE</w:t>
      </w:r>
    </w:p>
    <w:p>
      <w:pPr>
        <w:spacing w:line="198" w:lineRule="exact" w:before="0"/>
        <w:ind w:left="2963" w:right="-13" w:firstLine="0"/>
        <w:jc w:val="left"/>
        <w:rPr>
          <w:rFonts w:ascii="Lucida Sans Unicode" w:hAnsi="Lucida Sans Unicode"/>
          <w:sz w:val="14"/>
        </w:rPr>
      </w:pPr>
      <w:r>
        <w:rPr>
          <w:rFonts w:ascii="Lucida Sans Unicode" w:hAnsi="Lucida Sans Unicode"/>
          <w:color w:val="6D6E71"/>
          <w:w w:val="90"/>
          <w:sz w:val="14"/>
        </w:rPr>
        <w:t>SOBRE EL “NUEVO INTERVENCIONISMO</w:t>
      </w:r>
      <w:r>
        <w:rPr>
          <w:rFonts w:ascii="Lucida Sans Unicode" w:hAnsi="Lucida Sans Unicode"/>
          <w:color w:val="6D6E71"/>
          <w:spacing w:val="-25"/>
          <w:w w:val="90"/>
          <w:sz w:val="14"/>
        </w:rPr>
        <w:t> </w:t>
      </w:r>
      <w:r>
        <w:rPr>
          <w:rFonts w:ascii="Lucida Sans Unicode" w:hAnsi="Lucida Sans Unicode"/>
          <w:color w:val="6D6E71"/>
          <w:w w:val="90"/>
          <w:sz w:val="14"/>
        </w:rPr>
        <w:t>HUMANITARIO”</w:t>
      </w:r>
    </w:p>
    <w:p>
      <w:pPr>
        <w:spacing w:before="59"/>
        <w:ind w:left="338" w:right="0" w:firstLine="0"/>
        <w:jc w:val="left"/>
        <w:rPr>
          <w:rFonts w:ascii="Arial"/>
          <w:sz w:val="20"/>
        </w:rPr>
      </w:pPr>
      <w:r>
        <w:rPr/>
        <w:br w:type="column"/>
      </w:r>
      <w:r>
        <w:rPr>
          <w:rFonts w:ascii="Arial"/>
          <w:color w:val="414042"/>
          <w:sz w:val="20"/>
        </w:rPr>
        <w:t>143</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6"/>
        <w:rPr>
          <w:rFonts w:ascii="Arial"/>
          <w:sz w:val="16"/>
        </w:rPr>
      </w:pPr>
    </w:p>
    <w:p>
      <w:pPr>
        <w:pStyle w:val="BodyText"/>
        <w:spacing w:line="244" w:lineRule="auto" w:before="44"/>
        <w:ind w:left="117" w:right="101"/>
        <w:jc w:val="both"/>
      </w:pPr>
      <w:r>
        <w:rPr>
          <w:color w:val="231F20"/>
          <w:w w:val="105"/>
        </w:rPr>
        <w:t>Los</w:t>
      </w:r>
      <w:r>
        <w:rPr>
          <w:color w:val="231F20"/>
          <w:spacing w:val="-23"/>
          <w:w w:val="105"/>
        </w:rPr>
        <w:t> </w:t>
      </w:r>
      <w:r>
        <w:rPr>
          <w:color w:val="231F20"/>
          <w:w w:val="105"/>
        </w:rPr>
        <w:t>partidarios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“intervención</w:t>
      </w:r>
      <w:r>
        <w:rPr>
          <w:color w:val="231F20"/>
          <w:spacing w:val="-23"/>
          <w:w w:val="105"/>
        </w:rPr>
        <w:t> </w:t>
      </w:r>
      <w:r>
        <w:rPr>
          <w:color w:val="231F20"/>
          <w:w w:val="105"/>
        </w:rPr>
        <w:t>unilateral”</w:t>
      </w:r>
      <w:r>
        <w:rPr>
          <w:color w:val="231F20"/>
          <w:spacing w:val="-23"/>
          <w:w w:val="105"/>
        </w:rPr>
        <w:t> </w:t>
      </w:r>
      <w:r>
        <w:rPr>
          <w:color w:val="231F20"/>
          <w:w w:val="105"/>
        </w:rPr>
        <w:t>no</w:t>
      </w:r>
      <w:r>
        <w:rPr>
          <w:color w:val="231F20"/>
          <w:spacing w:val="-23"/>
          <w:w w:val="105"/>
        </w:rPr>
        <w:t> </w:t>
      </w:r>
      <w:r>
        <w:rPr>
          <w:color w:val="231F20"/>
          <w:w w:val="105"/>
        </w:rPr>
        <w:t>están</w:t>
      </w:r>
      <w:r>
        <w:rPr>
          <w:color w:val="231F20"/>
          <w:spacing w:val="-23"/>
          <w:w w:val="105"/>
        </w:rPr>
        <w:t> </w:t>
      </w:r>
      <w:r>
        <w:rPr>
          <w:color w:val="231F20"/>
          <w:w w:val="105"/>
        </w:rPr>
        <w:t>de</w:t>
      </w:r>
      <w:r>
        <w:rPr>
          <w:color w:val="231F20"/>
          <w:spacing w:val="-23"/>
          <w:w w:val="105"/>
        </w:rPr>
        <w:t> </w:t>
      </w:r>
      <w:r>
        <w:rPr>
          <w:color w:val="231F20"/>
          <w:w w:val="105"/>
        </w:rPr>
        <w:t>acuerdo,</w:t>
      </w:r>
      <w:r>
        <w:rPr>
          <w:color w:val="231F20"/>
          <w:spacing w:val="-23"/>
          <w:w w:val="105"/>
        </w:rPr>
        <w:t> </w:t>
      </w:r>
      <w:r>
        <w:rPr>
          <w:color w:val="231F20"/>
          <w:w w:val="105"/>
        </w:rPr>
        <w:t>desde el</w:t>
      </w:r>
      <w:r>
        <w:rPr>
          <w:color w:val="231F20"/>
          <w:spacing w:val="-15"/>
          <w:w w:val="105"/>
        </w:rPr>
        <w:t> </w:t>
      </w:r>
      <w:r>
        <w:rPr>
          <w:color w:val="231F20"/>
          <w:w w:val="105"/>
        </w:rPr>
        <w:t>principio,</w:t>
      </w:r>
      <w:r>
        <w:rPr>
          <w:color w:val="231F20"/>
          <w:spacing w:val="-15"/>
          <w:w w:val="105"/>
        </w:rPr>
        <w:t> </w:t>
      </w:r>
      <w:r>
        <w:rPr>
          <w:color w:val="231F20"/>
          <w:w w:val="105"/>
        </w:rPr>
        <w:t>con</w:t>
      </w:r>
      <w:r>
        <w:rPr>
          <w:color w:val="231F20"/>
          <w:spacing w:val="-15"/>
          <w:w w:val="105"/>
        </w:rPr>
        <w:t> </w:t>
      </w:r>
      <w:r>
        <w:rPr>
          <w:color w:val="231F20"/>
          <w:w w:val="105"/>
        </w:rPr>
        <w:t>la</w:t>
      </w:r>
      <w:r>
        <w:rPr>
          <w:color w:val="231F20"/>
          <w:spacing w:val="-15"/>
          <w:w w:val="105"/>
        </w:rPr>
        <w:t> </w:t>
      </w:r>
      <w:r>
        <w:rPr>
          <w:color w:val="231F20"/>
          <w:w w:val="105"/>
        </w:rPr>
        <w:t>rígida</w:t>
      </w:r>
      <w:r>
        <w:rPr>
          <w:color w:val="231F20"/>
          <w:spacing w:val="-15"/>
          <w:w w:val="105"/>
        </w:rPr>
        <w:t> </w:t>
      </w:r>
      <w:r>
        <w:rPr>
          <w:color w:val="231F20"/>
          <w:w w:val="105"/>
        </w:rPr>
        <w:t>“tripartición</w:t>
      </w:r>
      <w:r>
        <w:rPr>
          <w:color w:val="231F20"/>
          <w:spacing w:val="-15"/>
          <w:w w:val="105"/>
        </w:rPr>
        <w:t> </w:t>
      </w:r>
      <w:r>
        <w:rPr>
          <w:color w:val="231F20"/>
          <w:w w:val="105"/>
        </w:rPr>
        <w:t>del</w:t>
      </w:r>
      <w:r>
        <w:rPr>
          <w:color w:val="231F20"/>
          <w:spacing w:val="-15"/>
          <w:w w:val="105"/>
        </w:rPr>
        <w:t> </w:t>
      </w:r>
      <w:r>
        <w:rPr>
          <w:color w:val="231F20"/>
          <w:w w:val="105"/>
        </w:rPr>
        <w:t>universo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fuerza”</w:t>
      </w:r>
      <w:r>
        <w:rPr>
          <w:color w:val="231F20"/>
          <w:spacing w:val="-15"/>
          <w:w w:val="105"/>
        </w:rPr>
        <w:t> </w:t>
      </w:r>
      <w:r>
        <w:rPr>
          <w:color w:val="231F20"/>
          <w:w w:val="105"/>
        </w:rPr>
        <w:t>(actos</w:t>
      </w:r>
      <w:r>
        <w:rPr>
          <w:color w:val="231F20"/>
          <w:spacing w:val="-15"/>
          <w:w w:val="105"/>
        </w:rPr>
        <w:t> </w:t>
      </w:r>
      <w:r>
        <w:rPr>
          <w:color w:val="231F20"/>
          <w:w w:val="105"/>
        </w:rPr>
        <w:t>de agresión,</w:t>
      </w:r>
      <w:r>
        <w:rPr>
          <w:color w:val="231F20"/>
          <w:spacing w:val="-42"/>
          <w:w w:val="105"/>
        </w:rPr>
        <w:t> </w:t>
      </w:r>
      <w:r>
        <w:rPr>
          <w:color w:val="231F20"/>
          <w:w w:val="105"/>
        </w:rPr>
        <w:t>actos</w:t>
      </w:r>
      <w:r>
        <w:rPr>
          <w:color w:val="231F20"/>
          <w:spacing w:val="-42"/>
          <w:w w:val="105"/>
        </w:rPr>
        <w:t> </w:t>
      </w:r>
      <w:r>
        <w:rPr>
          <w:color w:val="231F20"/>
          <w:w w:val="105"/>
        </w:rPr>
        <w:t>de</w:t>
      </w:r>
      <w:r>
        <w:rPr>
          <w:color w:val="231F20"/>
          <w:spacing w:val="-42"/>
          <w:w w:val="105"/>
        </w:rPr>
        <w:t> </w:t>
      </w:r>
      <w:r>
        <w:rPr>
          <w:color w:val="231F20"/>
          <w:w w:val="105"/>
        </w:rPr>
        <w:t>autodefensa</w:t>
      </w:r>
      <w:r>
        <w:rPr>
          <w:color w:val="231F20"/>
          <w:spacing w:val="-42"/>
          <w:w w:val="105"/>
        </w:rPr>
        <w:t> </w:t>
      </w:r>
      <w:r>
        <w:rPr>
          <w:color w:val="231F20"/>
          <w:w w:val="105"/>
        </w:rPr>
        <w:t>y</w:t>
      </w:r>
      <w:r>
        <w:rPr>
          <w:color w:val="231F20"/>
          <w:spacing w:val="-42"/>
          <w:w w:val="105"/>
        </w:rPr>
        <w:t> </w:t>
      </w:r>
      <w:r>
        <w:rPr>
          <w:color w:val="231F20"/>
          <w:w w:val="105"/>
        </w:rPr>
        <w:t>acciones</w:t>
      </w:r>
      <w:r>
        <w:rPr>
          <w:color w:val="231F20"/>
          <w:spacing w:val="-42"/>
          <w:w w:val="105"/>
        </w:rPr>
        <w:t> </w:t>
      </w:r>
      <w:r>
        <w:rPr>
          <w:color w:val="231F20"/>
          <w:w w:val="105"/>
        </w:rPr>
        <w:t>de</w:t>
      </w:r>
      <w:r>
        <w:rPr>
          <w:color w:val="231F20"/>
          <w:spacing w:val="-42"/>
          <w:w w:val="105"/>
        </w:rPr>
        <w:t> </w:t>
      </w:r>
      <w:r>
        <w:rPr>
          <w:rFonts w:ascii="Arial" w:hAnsi="Arial"/>
          <w:i/>
          <w:color w:val="231F20"/>
          <w:w w:val="105"/>
        </w:rPr>
        <w:t>enforcement</w:t>
      </w:r>
      <w:r>
        <w:rPr>
          <w:rFonts w:ascii="Arial" w:hAnsi="Arial"/>
          <w:i/>
          <w:color w:val="231F20"/>
          <w:spacing w:val="-34"/>
          <w:w w:val="105"/>
        </w:rPr>
        <w:t> </w:t>
      </w:r>
      <w:r>
        <w:rPr>
          <w:color w:val="231F20"/>
          <w:w w:val="105"/>
        </w:rPr>
        <w:t>autorizadas</w:t>
      </w:r>
      <w:r>
        <w:rPr>
          <w:color w:val="231F20"/>
          <w:spacing w:val="-42"/>
          <w:w w:val="105"/>
        </w:rPr>
        <w:t> </w:t>
      </w:r>
      <w:r>
        <w:rPr>
          <w:color w:val="231F20"/>
          <w:w w:val="105"/>
        </w:rPr>
        <w:t>por el</w:t>
      </w:r>
      <w:r>
        <w:rPr>
          <w:color w:val="231F20"/>
          <w:spacing w:val="-14"/>
          <w:w w:val="105"/>
        </w:rPr>
        <w:t> </w:t>
      </w:r>
      <w:r>
        <w:rPr>
          <w:color w:val="231F20"/>
          <w:w w:val="105"/>
        </w:rPr>
        <w:t>Consejo</w:t>
      </w:r>
      <w:r>
        <w:rPr>
          <w:color w:val="231F20"/>
          <w:spacing w:val="-14"/>
          <w:w w:val="105"/>
        </w:rPr>
        <w:t> </w:t>
      </w:r>
      <w:r>
        <w:rPr>
          <w:color w:val="231F20"/>
          <w:w w:val="105"/>
        </w:rPr>
        <w:t>de</w:t>
      </w:r>
      <w:r>
        <w:rPr>
          <w:color w:val="231F20"/>
          <w:spacing w:val="-14"/>
          <w:w w:val="105"/>
        </w:rPr>
        <w:t> </w:t>
      </w:r>
      <w:r>
        <w:rPr>
          <w:color w:val="231F20"/>
          <w:w w:val="105"/>
        </w:rPr>
        <w:t>Seguridad)</w:t>
      </w:r>
      <w:r>
        <w:rPr>
          <w:color w:val="231F20"/>
          <w:spacing w:val="-14"/>
          <w:w w:val="105"/>
        </w:rPr>
        <w:t> </w:t>
      </w:r>
      <w:r>
        <w:rPr>
          <w:color w:val="231F20"/>
          <w:w w:val="105"/>
        </w:rPr>
        <w:t>fijada</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Carta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sz w:val="18"/>
        </w:rPr>
        <w:t>ONU</w:t>
      </w:r>
      <w:r>
        <w:rPr>
          <w:color w:val="231F20"/>
          <w:w w:val="105"/>
          <w:position w:val="7"/>
          <w:sz w:val="12"/>
        </w:rPr>
        <w:t>8</w:t>
      </w:r>
      <w:r>
        <w:rPr>
          <w:color w:val="231F20"/>
          <w:w w:val="105"/>
        </w:rPr>
        <w:t>,</w:t>
      </w:r>
      <w:r>
        <w:rPr>
          <w:color w:val="231F20"/>
          <w:spacing w:val="-14"/>
          <w:w w:val="105"/>
        </w:rPr>
        <w:t> </w:t>
      </w:r>
      <w:r>
        <w:rPr>
          <w:color w:val="231F20"/>
          <w:w w:val="105"/>
        </w:rPr>
        <w:t>afirmando</w:t>
      </w:r>
      <w:r>
        <w:rPr>
          <w:color w:val="231F20"/>
          <w:spacing w:val="-14"/>
          <w:w w:val="105"/>
        </w:rPr>
        <w:t> </w:t>
      </w:r>
      <w:r>
        <w:rPr>
          <w:color w:val="231F20"/>
          <w:w w:val="105"/>
        </w:rPr>
        <w:t>que</w:t>
      </w:r>
      <w:r>
        <w:rPr>
          <w:color w:val="231F20"/>
          <w:spacing w:val="-14"/>
          <w:w w:val="105"/>
        </w:rPr>
        <w:t> </w:t>
      </w:r>
      <w:r>
        <w:rPr>
          <w:color w:val="231F20"/>
          <w:w w:val="105"/>
        </w:rPr>
        <w:t>en presencia</w:t>
      </w:r>
      <w:r>
        <w:rPr>
          <w:color w:val="231F20"/>
          <w:spacing w:val="-22"/>
          <w:w w:val="105"/>
        </w:rPr>
        <w:t> </w:t>
      </w:r>
      <w:r>
        <w:rPr>
          <w:color w:val="231F20"/>
          <w:w w:val="105"/>
        </w:rPr>
        <w:t>de</w:t>
      </w:r>
      <w:r>
        <w:rPr>
          <w:color w:val="231F20"/>
          <w:spacing w:val="-22"/>
          <w:w w:val="105"/>
        </w:rPr>
        <w:t> </w:t>
      </w:r>
      <w:r>
        <w:rPr>
          <w:color w:val="231F20"/>
          <w:w w:val="105"/>
        </w:rPr>
        <w:t>alarmas</w:t>
      </w:r>
      <w:r>
        <w:rPr>
          <w:color w:val="231F20"/>
          <w:spacing w:val="-22"/>
          <w:w w:val="105"/>
        </w:rPr>
        <w:t> </w:t>
      </w:r>
      <w:r>
        <w:rPr>
          <w:color w:val="231F20"/>
          <w:w w:val="105"/>
        </w:rPr>
        <w:t>de</w:t>
      </w:r>
      <w:r>
        <w:rPr>
          <w:color w:val="231F20"/>
          <w:spacing w:val="-22"/>
          <w:w w:val="105"/>
        </w:rPr>
        <w:t> </w:t>
      </w:r>
      <w:r>
        <w:rPr>
          <w:color w:val="231F20"/>
          <w:w w:val="105"/>
        </w:rPr>
        <w:t>crisis</w:t>
      </w:r>
      <w:r>
        <w:rPr>
          <w:color w:val="231F20"/>
          <w:spacing w:val="-22"/>
          <w:w w:val="105"/>
        </w:rPr>
        <w:t> </w:t>
      </w:r>
      <w:r>
        <w:rPr>
          <w:color w:val="231F20"/>
          <w:w w:val="105"/>
        </w:rPr>
        <w:t>capaces</w:t>
      </w:r>
      <w:r>
        <w:rPr>
          <w:color w:val="231F20"/>
          <w:spacing w:val="-22"/>
          <w:w w:val="105"/>
        </w:rPr>
        <w:t> </w:t>
      </w:r>
      <w:r>
        <w:rPr>
          <w:color w:val="231F20"/>
          <w:w w:val="105"/>
        </w:rPr>
        <w:t>de</w:t>
      </w:r>
      <w:r>
        <w:rPr>
          <w:color w:val="231F20"/>
          <w:spacing w:val="-22"/>
          <w:w w:val="105"/>
        </w:rPr>
        <w:t> </w:t>
      </w:r>
      <w:r>
        <w:rPr>
          <w:color w:val="231F20"/>
          <w:w w:val="105"/>
        </w:rPr>
        <w:t>poner</w:t>
      </w:r>
      <w:r>
        <w:rPr>
          <w:color w:val="231F20"/>
          <w:spacing w:val="-22"/>
          <w:w w:val="105"/>
        </w:rPr>
        <w:t> </w:t>
      </w:r>
      <w:r>
        <w:rPr>
          <w:color w:val="231F20"/>
          <w:w w:val="105"/>
        </w:rPr>
        <w:t>fuertemente</w:t>
      </w:r>
      <w:r>
        <w:rPr>
          <w:color w:val="231F20"/>
          <w:spacing w:val="-22"/>
          <w:w w:val="105"/>
        </w:rPr>
        <w:t> </w:t>
      </w:r>
      <w:r>
        <w:rPr>
          <w:color w:val="231F20"/>
          <w:w w:val="105"/>
        </w:rPr>
        <w:t>en</w:t>
      </w:r>
      <w:r>
        <w:rPr>
          <w:color w:val="231F20"/>
          <w:spacing w:val="-22"/>
          <w:w w:val="105"/>
        </w:rPr>
        <w:t> </w:t>
      </w:r>
      <w:r>
        <w:rPr>
          <w:color w:val="231F20"/>
          <w:w w:val="105"/>
        </w:rPr>
        <w:t>riesgo</w:t>
      </w:r>
      <w:r>
        <w:rPr>
          <w:color w:val="231F20"/>
          <w:spacing w:val="-22"/>
          <w:w w:val="105"/>
        </w:rPr>
        <w:t> </w:t>
      </w:r>
      <w:r>
        <w:rPr>
          <w:color w:val="231F20"/>
          <w:w w:val="105"/>
        </w:rPr>
        <w:t>la vida</w:t>
      </w:r>
      <w:r>
        <w:rPr>
          <w:color w:val="231F20"/>
          <w:spacing w:val="-35"/>
          <w:w w:val="105"/>
        </w:rPr>
        <w:t> </w:t>
      </w:r>
      <w:r>
        <w:rPr>
          <w:color w:val="231F20"/>
          <w:w w:val="105"/>
        </w:rPr>
        <w:t>de</w:t>
      </w:r>
      <w:r>
        <w:rPr>
          <w:color w:val="231F20"/>
          <w:spacing w:val="-35"/>
          <w:w w:val="105"/>
        </w:rPr>
        <w:t> </w:t>
      </w:r>
      <w:r>
        <w:rPr>
          <w:color w:val="231F20"/>
          <w:w w:val="105"/>
        </w:rPr>
        <w:t>personas</w:t>
      </w:r>
      <w:r>
        <w:rPr>
          <w:color w:val="231F20"/>
          <w:spacing w:val="-35"/>
          <w:w w:val="105"/>
        </w:rPr>
        <w:t> </w:t>
      </w:r>
      <w:r>
        <w:rPr>
          <w:color w:val="231F20"/>
          <w:w w:val="105"/>
        </w:rPr>
        <w:t>inocentes,</w:t>
      </w:r>
      <w:r>
        <w:rPr>
          <w:color w:val="231F20"/>
          <w:spacing w:val="-35"/>
          <w:w w:val="105"/>
        </w:rPr>
        <w:t> </w:t>
      </w:r>
      <w:r>
        <w:rPr>
          <w:color w:val="231F20"/>
          <w:w w:val="105"/>
        </w:rPr>
        <w:t>o</w:t>
      </w:r>
      <w:r>
        <w:rPr>
          <w:color w:val="231F20"/>
          <w:spacing w:val="-35"/>
          <w:w w:val="105"/>
        </w:rPr>
        <w:t> </w:t>
      </w:r>
      <w:r>
        <w:rPr>
          <w:color w:val="231F20"/>
          <w:w w:val="105"/>
        </w:rPr>
        <w:t>de</w:t>
      </w:r>
      <w:r>
        <w:rPr>
          <w:color w:val="231F20"/>
          <w:spacing w:val="-35"/>
          <w:w w:val="105"/>
        </w:rPr>
        <w:t> </w:t>
      </w:r>
      <w:r>
        <w:rPr>
          <w:color w:val="231F20"/>
          <w:w w:val="105"/>
        </w:rPr>
        <w:t>influir</w:t>
      </w:r>
      <w:r>
        <w:rPr>
          <w:color w:val="231F20"/>
          <w:spacing w:val="-35"/>
          <w:w w:val="105"/>
        </w:rPr>
        <w:t> </w:t>
      </w:r>
      <w:r>
        <w:rPr>
          <w:color w:val="231F20"/>
          <w:w w:val="105"/>
        </w:rPr>
        <w:t>profundamente</w:t>
      </w:r>
      <w:r>
        <w:rPr>
          <w:color w:val="231F20"/>
          <w:spacing w:val="-35"/>
          <w:w w:val="105"/>
        </w:rPr>
        <w:t> </w:t>
      </w:r>
      <w:r>
        <w:rPr>
          <w:color w:val="231F20"/>
          <w:w w:val="105"/>
        </w:rPr>
        <w:t>en</w:t>
      </w:r>
      <w:r>
        <w:rPr>
          <w:color w:val="231F20"/>
          <w:spacing w:val="-35"/>
          <w:w w:val="105"/>
        </w:rPr>
        <w:t> </w:t>
      </w:r>
      <w:r>
        <w:rPr>
          <w:color w:val="231F20"/>
          <w:w w:val="105"/>
        </w:rPr>
        <w:t>sus</w:t>
      </w:r>
      <w:r>
        <w:rPr>
          <w:color w:val="231F20"/>
          <w:spacing w:val="-35"/>
          <w:w w:val="105"/>
        </w:rPr>
        <w:t> </w:t>
      </w:r>
      <w:r>
        <w:rPr>
          <w:color w:val="231F20"/>
          <w:w w:val="105"/>
        </w:rPr>
        <w:t>condiciones de</w:t>
      </w:r>
      <w:r>
        <w:rPr>
          <w:color w:val="231F20"/>
          <w:spacing w:val="-21"/>
          <w:w w:val="105"/>
        </w:rPr>
        <w:t> </w:t>
      </w:r>
      <w:r>
        <w:rPr>
          <w:color w:val="231F20"/>
          <w:w w:val="105"/>
        </w:rPr>
        <w:t>existencia,</w:t>
      </w:r>
      <w:r>
        <w:rPr>
          <w:color w:val="231F20"/>
          <w:spacing w:val="-21"/>
          <w:w w:val="105"/>
        </w:rPr>
        <w:t> </w:t>
      </w:r>
      <w:r>
        <w:rPr>
          <w:color w:val="231F20"/>
          <w:w w:val="105"/>
        </w:rPr>
        <w:t>cada</w:t>
      </w:r>
      <w:r>
        <w:rPr>
          <w:color w:val="231F20"/>
          <w:spacing w:val="-21"/>
          <w:w w:val="105"/>
        </w:rPr>
        <w:t> </w:t>
      </w:r>
      <w:r>
        <w:rPr>
          <w:color w:val="231F20"/>
          <w:w w:val="105"/>
        </w:rPr>
        <w:t>Estado</w:t>
      </w:r>
      <w:r>
        <w:rPr>
          <w:color w:val="231F20"/>
          <w:spacing w:val="-21"/>
          <w:w w:val="105"/>
        </w:rPr>
        <w:t> </w:t>
      </w:r>
      <w:r>
        <w:rPr>
          <w:color w:val="231F20"/>
          <w:w w:val="105"/>
        </w:rPr>
        <w:t>tiene</w:t>
      </w:r>
      <w:r>
        <w:rPr>
          <w:color w:val="231F20"/>
          <w:spacing w:val="-21"/>
          <w:w w:val="105"/>
        </w:rPr>
        <w:t> </w:t>
      </w:r>
      <w:r>
        <w:rPr>
          <w:color w:val="231F20"/>
          <w:w w:val="105"/>
        </w:rPr>
        <w:t>el</w:t>
      </w:r>
      <w:r>
        <w:rPr>
          <w:color w:val="231F20"/>
          <w:spacing w:val="-21"/>
          <w:w w:val="105"/>
        </w:rPr>
        <w:t> </w:t>
      </w:r>
      <w:r>
        <w:rPr>
          <w:rFonts w:ascii="Arial" w:hAnsi="Arial"/>
          <w:i/>
          <w:color w:val="231F20"/>
          <w:w w:val="105"/>
        </w:rPr>
        <w:t>derecho</w:t>
      </w:r>
      <w:r>
        <w:rPr>
          <w:rFonts w:ascii="Arial" w:hAnsi="Arial"/>
          <w:i/>
          <w:color w:val="231F20"/>
          <w:spacing w:val="-14"/>
          <w:w w:val="105"/>
        </w:rPr>
        <w:t> </w:t>
      </w:r>
      <w:r>
        <w:rPr>
          <w:color w:val="231F20"/>
          <w:w w:val="105"/>
        </w:rPr>
        <w:t>—y</w:t>
      </w:r>
      <w:r>
        <w:rPr>
          <w:color w:val="231F20"/>
          <w:spacing w:val="-21"/>
          <w:w w:val="105"/>
        </w:rPr>
        <w:t> </w:t>
      </w:r>
      <w:r>
        <w:rPr>
          <w:color w:val="231F20"/>
          <w:w w:val="105"/>
        </w:rPr>
        <w:t>según</w:t>
      </w:r>
      <w:r>
        <w:rPr>
          <w:color w:val="231F20"/>
          <w:spacing w:val="-21"/>
          <w:w w:val="105"/>
        </w:rPr>
        <w:t> </w:t>
      </w:r>
      <w:r>
        <w:rPr>
          <w:color w:val="231F20"/>
          <w:w w:val="105"/>
        </w:rPr>
        <w:t>algunos</w:t>
      </w:r>
      <w:r>
        <w:rPr>
          <w:color w:val="231F20"/>
          <w:spacing w:val="-21"/>
          <w:w w:val="105"/>
        </w:rPr>
        <w:t> </w:t>
      </w:r>
      <w:r>
        <w:rPr>
          <w:color w:val="231F20"/>
          <w:w w:val="105"/>
        </w:rPr>
        <w:t>el</w:t>
      </w:r>
      <w:r>
        <w:rPr>
          <w:color w:val="231F20"/>
          <w:spacing w:val="-21"/>
          <w:w w:val="105"/>
        </w:rPr>
        <w:t> </w:t>
      </w:r>
      <w:r>
        <w:rPr>
          <w:rFonts w:ascii="Arial" w:hAnsi="Arial"/>
          <w:i/>
          <w:color w:val="231F20"/>
          <w:w w:val="105"/>
        </w:rPr>
        <w:t>deber</w:t>
      </w:r>
      <w:r>
        <w:rPr>
          <w:color w:val="231F20"/>
          <w:w w:val="105"/>
        </w:rPr>
        <w:t>— de</w:t>
      </w:r>
      <w:r>
        <w:rPr>
          <w:color w:val="231F20"/>
          <w:spacing w:val="-31"/>
          <w:w w:val="105"/>
        </w:rPr>
        <w:t> </w:t>
      </w:r>
      <w:r>
        <w:rPr>
          <w:color w:val="231F20"/>
          <w:w w:val="105"/>
        </w:rPr>
        <w:t>recurrir</w:t>
      </w:r>
      <w:r>
        <w:rPr>
          <w:color w:val="231F20"/>
          <w:spacing w:val="-31"/>
          <w:w w:val="105"/>
        </w:rPr>
        <w:t> </w:t>
      </w:r>
      <w:r>
        <w:rPr>
          <w:color w:val="231F20"/>
          <w:w w:val="105"/>
        </w:rPr>
        <w:t>incluso</w:t>
      </w:r>
      <w:r>
        <w:rPr>
          <w:color w:val="231F20"/>
          <w:spacing w:val="-31"/>
          <w:w w:val="105"/>
        </w:rPr>
        <w:t> </w:t>
      </w:r>
      <w:r>
        <w:rPr>
          <w:color w:val="231F20"/>
          <w:w w:val="105"/>
        </w:rPr>
        <w:t>a</w:t>
      </w:r>
      <w:r>
        <w:rPr>
          <w:color w:val="231F20"/>
          <w:spacing w:val="-31"/>
          <w:w w:val="105"/>
        </w:rPr>
        <w:t> </w:t>
      </w:r>
      <w:r>
        <w:rPr>
          <w:color w:val="231F20"/>
          <w:w w:val="105"/>
        </w:rPr>
        <w:t>iniciativas</w:t>
      </w:r>
      <w:r>
        <w:rPr>
          <w:color w:val="231F20"/>
          <w:spacing w:val="-31"/>
          <w:w w:val="105"/>
        </w:rPr>
        <w:t> </w:t>
      </w:r>
      <w:r>
        <w:rPr>
          <w:color w:val="231F20"/>
          <w:w w:val="105"/>
        </w:rPr>
        <w:t>de</w:t>
      </w:r>
      <w:r>
        <w:rPr>
          <w:color w:val="231F20"/>
          <w:spacing w:val="-31"/>
          <w:w w:val="105"/>
        </w:rPr>
        <w:t> </w:t>
      </w:r>
      <w:r>
        <w:rPr>
          <w:color w:val="231F20"/>
          <w:w w:val="105"/>
        </w:rPr>
        <w:t>carácter</w:t>
      </w:r>
      <w:r>
        <w:rPr>
          <w:color w:val="231F20"/>
          <w:spacing w:val="-31"/>
          <w:w w:val="105"/>
        </w:rPr>
        <w:t> </w:t>
      </w:r>
      <w:r>
        <w:rPr>
          <w:color w:val="231F20"/>
          <w:w w:val="105"/>
        </w:rPr>
        <w:t>militar</w:t>
      </w:r>
      <w:r>
        <w:rPr>
          <w:color w:val="231F20"/>
          <w:spacing w:val="-31"/>
          <w:w w:val="105"/>
        </w:rPr>
        <w:t> </w:t>
      </w:r>
      <w:r>
        <w:rPr>
          <w:color w:val="231F20"/>
          <w:w w:val="105"/>
        </w:rPr>
        <w:t>para</w:t>
      </w:r>
      <w:r>
        <w:rPr>
          <w:color w:val="231F20"/>
          <w:spacing w:val="-31"/>
          <w:w w:val="105"/>
        </w:rPr>
        <w:t> </w:t>
      </w:r>
      <w:r>
        <w:rPr>
          <w:color w:val="231F20"/>
          <w:w w:val="105"/>
        </w:rPr>
        <w:t>restablecer</w:t>
      </w:r>
      <w:r>
        <w:rPr>
          <w:color w:val="231F20"/>
          <w:spacing w:val="-31"/>
          <w:w w:val="105"/>
        </w:rPr>
        <w:t> </w:t>
      </w:r>
      <w:r>
        <w:rPr>
          <w:color w:val="231F20"/>
          <w:w w:val="105"/>
        </w:rPr>
        <w:t>las</w:t>
      </w:r>
      <w:r>
        <w:rPr>
          <w:color w:val="231F20"/>
          <w:spacing w:val="-31"/>
          <w:w w:val="105"/>
        </w:rPr>
        <w:t> </w:t>
      </w:r>
      <w:r>
        <w:rPr>
          <w:color w:val="231F20"/>
          <w:w w:val="105"/>
        </w:rPr>
        <w:t>con- diciones</w:t>
      </w:r>
      <w:r>
        <w:rPr>
          <w:color w:val="231F20"/>
          <w:spacing w:val="-35"/>
          <w:w w:val="105"/>
        </w:rPr>
        <w:t> </w:t>
      </w:r>
      <w:r>
        <w:rPr>
          <w:color w:val="231F20"/>
          <w:w w:val="105"/>
        </w:rPr>
        <w:t>de</w:t>
      </w:r>
      <w:r>
        <w:rPr>
          <w:color w:val="231F20"/>
          <w:spacing w:val="-35"/>
          <w:w w:val="105"/>
        </w:rPr>
        <w:t> </w:t>
      </w:r>
      <w:r>
        <w:rPr>
          <w:color w:val="231F20"/>
          <w:w w:val="105"/>
        </w:rPr>
        <w:t>una</w:t>
      </w:r>
      <w:r>
        <w:rPr>
          <w:color w:val="231F20"/>
          <w:spacing w:val="-35"/>
          <w:w w:val="105"/>
        </w:rPr>
        <w:t> </w:t>
      </w:r>
      <w:r>
        <w:rPr>
          <w:color w:val="231F20"/>
          <w:w w:val="105"/>
        </w:rPr>
        <w:t>convivencia</w:t>
      </w:r>
      <w:r>
        <w:rPr>
          <w:color w:val="231F20"/>
          <w:spacing w:val="-35"/>
          <w:w w:val="105"/>
        </w:rPr>
        <w:t> </w:t>
      </w:r>
      <w:r>
        <w:rPr>
          <w:color w:val="231F20"/>
          <w:w w:val="105"/>
        </w:rPr>
        <w:t>pacífica</w:t>
      </w:r>
      <w:r>
        <w:rPr>
          <w:color w:val="231F20"/>
          <w:spacing w:val="-35"/>
          <w:w w:val="105"/>
        </w:rPr>
        <w:t> </w:t>
      </w:r>
      <w:r>
        <w:rPr>
          <w:color w:val="231F20"/>
          <w:w w:val="105"/>
        </w:rPr>
        <w:t>y</w:t>
      </w:r>
      <w:r>
        <w:rPr>
          <w:color w:val="231F20"/>
          <w:spacing w:val="-35"/>
          <w:w w:val="105"/>
        </w:rPr>
        <w:t> </w:t>
      </w:r>
      <w:r>
        <w:rPr>
          <w:color w:val="231F20"/>
          <w:w w:val="105"/>
        </w:rPr>
        <w:t>ordenada.</w:t>
      </w:r>
    </w:p>
    <w:p>
      <w:pPr>
        <w:pStyle w:val="BodyText"/>
        <w:spacing w:line="244" w:lineRule="auto" w:before="1"/>
        <w:ind w:left="117" w:right="99" w:firstLine="566"/>
        <w:jc w:val="both"/>
      </w:pPr>
      <w:r>
        <w:rPr>
          <w:color w:val="231F20"/>
          <w:w w:val="105"/>
        </w:rPr>
        <w:t>Según esa determinación, la </w:t>
      </w:r>
      <w:r>
        <w:rPr>
          <w:rFonts w:ascii="Arial" w:hAnsi="Arial"/>
          <w:i/>
          <w:color w:val="231F20"/>
          <w:w w:val="105"/>
        </w:rPr>
        <w:t>emergencia humanitaria </w:t>
      </w:r>
      <w:r>
        <w:rPr>
          <w:color w:val="231F20"/>
          <w:w w:val="105"/>
        </w:rPr>
        <w:t>con la am- plia variedad de sus características, configuraría una ulterior excepción al general “bando frente al uso de la fuerza” impuesto en la Carta </w:t>
      </w:r>
      <w:r>
        <w:rPr>
          <w:color w:val="231F20"/>
          <w:w w:val="105"/>
          <w:sz w:val="18"/>
        </w:rPr>
        <w:t>ONU </w:t>
      </w:r>
      <w:r>
        <w:rPr>
          <w:color w:val="231F20"/>
          <w:w w:val="105"/>
        </w:rPr>
        <w:t>a</w:t>
      </w:r>
      <w:r>
        <w:rPr>
          <w:color w:val="231F20"/>
          <w:spacing w:val="-7"/>
          <w:w w:val="105"/>
        </w:rPr>
        <w:t> </w:t>
      </w:r>
      <w:r>
        <w:rPr>
          <w:color w:val="231F20"/>
          <w:w w:val="105"/>
        </w:rPr>
        <w:t>todos</w:t>
      </w:r>
      <w:r>
        <w:rPr>
          <w:color w:val="231F20"/>
          <w:spacing w:val="-7"/>
          <w:w w:val="105"/>
        </w:rPr>
        <w:t> </w:t>
      </w:r>
      <w:r>
        <w:rPr>
          <w:color w:val="231F20"/>
          <w:w w:val="105"/>
        </w:rPr>
        <w:t>sus</w:t>
      </w:r>
      <w:r>
        <w:rPr>
          <w:color w:val="231F20"/>
          <w:spacing w:val="-7"/>
          <w:w w:val="105"/>
        </w:rPr>
        <w:t> </w:t>
      </w:r>
      <w:r>
        <w:rPr>
          <w:color w:val="231F20"/>
          <w:w w:val="105"/>
        </w:rPr>
        <w:t>Estados</w:t>
      </w:r>
      <w:r>
        <w:rPr>
          <w:color w:val="231F20"/>
          <w:spacing w:val="-7"/>
          <w:w w:val="105"/>
        </w:rPr>
        <w:t> </w:t>
      </w:r>
      <w:r>
        <w:rPr>
          <w:color w:val="231F20"/>
          <w:w w:val="105"/>
        </w:rPr>
        <w:t>miembros</w:t>
      </w:r>
      <w:r>
        <w:rPr>
          <w:color w:val="231F20"/>
          <w:spacing w:val="-7"/>
          <w:w w:val="105"/>
        </w:rPr>
        <w:t> </w:t>
      </w:r>
      <w:r>
        <w:rPr>
          <w:color w:val="231F20"/>
          <w:w w:val="105"/>
        </w:rPr>
        <w:t>—una</w:t>
      </w:r>
      <w:r>
        <w:rPr>
          <w:color w:val="231F20"/>
          <w:spacing w:val="-7"/>
          <w:w w:val="105"/>
        </w:rPr>
        <w:t> </w:t>
      </w:r>
      <w:r>
        <w:rPr>
          <w:color w:val="231F20"/>
          <w:w w:val="105"/>
        </w:rPr>
        <w:t>condición</w:t>
      </w:r>
      <w:r>
        <w:rPr>
          <w:color w:val="231F20"/>
          <w:spacing w:val="-7"/>
          <w:w w:val="105"/>
        </w:rPr>
        <w:t> </w:t>
      </w:r>
      <w:r>
        <w:rPr>
          <w:color w:val="231F20"/>
          <w:w w:val="105"/>
        </w:rPr>
        <w:t>no</w:t>
      </w:r>
      <w:r>
        <w:rPr>
          <w:color w:val="231F20"/>
          <w:spacing w:val="-7"/>
          <w:w w:val="105"/>
        </w:rPr>
        <w:t> </w:t>
      </w:r>
      <w:r>
        <w:rPr>
          <w:color w:val="231F20"/>
          <w:w w:val="105"/>
        </w:rPr>
        <w:t>establecida</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De- recho Internacional, pero fundada en profundos principios de justicia, universalmente</w:t>
      </w:r>
      <w:r>
        <w:rPr>
          <w:color w:val="231F20"/>
          <w:spacing w:val="-16"/>
          <w:w w:val="105"/>
        </w:rPr>
        <w:t> </w:t>
      </w:r>
      <w:r>
        <w:rPr>
          <w:color w:val="231F20"/>
          <w:w w:val="105"/>
        </w:rPr>
        <w:t>comprometedores</w:t>
      </w:r>
      <w:r>
        <w:rPr>
          <w:color w:val="231F20"/>
          <w:spacing w:val="-16"/>
          <w:w w:val="105"/>
        </w:rPr>
        <w:t> </w:t>
      </w:r>
      <w:r>
        <w:rPr>
          <w:color w:val="231F20"/>
          <w:w w:val="105"/>
        </w:rPr>
        <w:t>aunque</w:t>
      </w:r>
      <w:r>
        <w:rPr>
          <w:color w:val="231F20"/>
          <w:spacing w:val="-16"/>
          <w:w w:val="105"/>
        </w:rPr>
        <w:t> </w:t>
      </w:r>
      <w:r>
        <w:rPr>
          <w:color w:val="231F20"/>
          <w:w w:val="105"/>
        </w:rPr>
        <w:t>no</w:t>
      </w:r>
      <w:r>
        <w:rPr>
          <w:color w:val="231F20"/>
          <w:spacing w:val="-16"/>
          <w:w w:val="105"/>
        </w:rPr>
        <w:t> </w:t>
      </w:r>
      <w:r>
        <w:rPr>
          <w:color w:val="231F20"/>
          <w:w w:val="105"/>
        </w:rPr>
        <w:t>tengan</w:t>
      </w:r>
      <w:r>
        <w:rPr>
          <w:color w:val="231F20"/>
          <w:spacing w:val="-16"/>
          <w:w w:val="105"/>
        </w:rPr>
        <w:t> </w:t>
      </w:r>
      <w:r>
        <w:rPr>
          <w:color w:val="231F20"/>
          <w:w w:val="105"/>
        </w:rPr>
        <w:t>reconocimiento</w:t>
      </w:r>
      <w:r>
        <w:rPr>
          <w:color w:val="231F20"/>
          <w:spacing w:val="-16"/>
          <w:w w:val="105"/>
        </w:rPr>
        <w:t> </w:t>
      </w:r>
      <w:r>
        <w:rPr>
          <w:color w:val="231F20"/>
          <w:w w:val="105"/>
        </w:rPr>
        <w:t>en el derecho positivo. Aunque </w:t>
      </w:r>
      <w:r>
        <w:rPr>
          <w:rFonts w:ascii="Arial" w:hAnsi="Arial"/>
          <w:i/>
          <w:color w:val="231F20"/>
          <w:w w:val="105"/>
        </w:rPr>
        <w:t>ilegal </w:t>
      </w:r>
      <w:r>
        <w:rPr>
          <w:color w:val="231F20"/>
          <w:w w:val="105"/>
        </w:rPr>
        <w:t>desde el punto de vista del Derecho internacional,</w:t>
      </w:r>
      <w:r>
        <w:rPr>
          <w:color w:val="231F20"/>
          <w:spacing w:val="-27"/>
          <w:w w:val="105"/>
        </w:rPr>
        <w:t> </w:t>
      </w:r>
      <w:r>
        <w:rPr>
          <w:color w:val="231F20"/>
          <w:w w:val="105"/>
        </w:rPr>
        <w:t>una</w:t>
      </w:r>
      <w:r>
        <w:rPr>
          <w:color w:val="231F20"/>
          <w:spacing w:val="-27"/>
          <w:w w:val="105"/>
        </w:rPr>
        <w:t> </w:t>
      </w:r>
      <w:r>
        <w:rPr>
          <w:color w:val="231F20"/>
          <w:w w:val="105"/>
        </w:rPr>
        <w:t>guerra</w:t>
      </w:r>
      <w:r>
        <w:rPr>
          <w:color w:val="231F20"/>
          <w:spacing w:val="-27"/>
          <w:w w:val="105"/>
        </w:rPr>
        <w:t> </w:t>
      </w:r>
      <w:r>
        <w:rPr>
          <w:color w:val="231F20"/>
          <w:w w:val="105"/>
        </w:rPr>
        <w:t>basada</w:t>
      </w:r>
      <w:r>
        <w:rPr>
          <w:color w:val="231F20"/>
          <w:spacing w:val="-27"/>
          <w:w w:val="105"/>
        </w:rPr>
        <w:t> </w:t>
      </w:r>
      <w:r>
        <w:rPr>
          <w:color w:val="231F20"/>
          <w:w w:val="105"/>
        </w:rPr>
        <w:t>en</w:t>
      </w:r>
      <w:r>
        <w:rPr>
          <w:color w:val="231F20"/>
          <w:spacing w:val="-27"/>
          <w:w w:val="105"/>
        </w:rPr>
        <w:t> </w:t>
      </w:r>
      <w:r>
        <w:rPr>
          <w:color w:val="231F20"/>
          <w:w w:val="105"/>
        </w:rPr>
        <w:t>fines</w:t>
      </w:r>
      <w:r>
        <w:rPr>
          <w:color w:val="231F20"/>
          <w:spacing w:val="-27"/>
          <w:w w:val="105"/>
        </w:rPr>
        <w:t> </w:t>
      </w:r>
      <w:r>
        <w:rPr>
          <w:color w:val="231F20"/>
          <w:w w:val="105"/>
        </w:rPr>
        <w:t>humanitarios</w:t>
      </w:r>
      <w:r>
        <w:rPr>
          <w:color w:val="231F20"/>
          <w:spacing w:val="-27"/>
          <w:w w:val="105"/>
        </w:rPr>
        <w:t> </w:t>
      </w:r>
      <w:r>
        <w:rPr>
          <w:color w:val="231F20"/>
          <w:w w:val="105"/>
        </w:rPr>
        <w:t>debe</w:t>
      </w:r>
      <w:r>
        <w:rPr>
          <w:color w:val="231F20"/>
          <w:spacing w:val="-27"/>
          <w:w w:val="105"/>
        </w:rPr>
        <w:t> </w:t>
      </w:r>
      <w:r>
        <w:rPr>
          <w:color w:val="231F20"/>
          <w:w w:val="105"/>
        </w:rPr>
        <w:t>ser</w:t>
      </w:r>
      <w:r>
        <w:rPr>
          <w:color w:val="231F20"/>
          <w:spacing w:val="-27"/>
          <w:w w:val="105"/>
        </w:rPr>
        <w:t> </w:t>
      </w:r>
      <w:r>
        <w:rPr>
          <w:color w:val="231F20"/>
          <w:w w:val="105"/>
        </w:rPr>
        <w:t>conside- rada una acción del todo legítima, incluso un “bien moral en sí”, como afirman</w:t>
      </w:r>
      <w:r>
        <w:rPr>
          <w:color w:val="231F20"/>
          <w:spacing w:val="-10"/>
          <w:w w:val="105"/>
        </w:rPr>
        <w:t> </w:t>
      </w:r>
      <w:r>
        <w:rPr>
          <w:color w:val="231F20"/>
          <w:w w:val="105"/>
        </w:rPr>
        <w:t>los</w:t>
      </w:r>
      <w:r>
        <w:rPr>
          <w:color w:val="231F20"/>
          <w:spacing w:val="-10"/>
          <w:w w:val="105"/>
        </w:rPr>
        <w:t> </w:t>
      </w:r>
      <w:r>
        <w:rPr>
          <w:color w:val="231F20"/>
          <w:w w:val="105"/>
        </w:rPr>
        <w:t>partidarios</w:t>
      </w:r>
      <w:r>
        <w:rPr>
          <w:color w:val="231F20"/>
          <w:spacing w:val="-10"/>
          <w:w w:val="105"/>
        </w:rPr>
        <w:t> </w:t>
      </w:r>
      <w:r>
        <w:rPr>
          <w:color w:val="231F20"/>
          <w:w w:val="105"/>
        </w:rPr>
        <w:t>más</w:t>
      </w:r>
      <w:r>
        <w:rPr>
          <w:color w:val="231F20"/>
          <w:spacing w:val="-10"/>
          <w:w w:val="105"/>
        </w:rPr>
        <w:t> </w:t>
      </w:r>
      <w:r>
        <w:rPr>
          <w:color w:val="231F20"/>
          <w:w w:val="105"/>
        </w:rPr>
        <w:t>radicales</w:t>
      </w:r>
      <w:r>
        <w:rPr>
          <w:color w:val="231F20"/>
          <w:spacing w:val="-10"/>
          <w:w w:val="105"/>
        </w:rPr>
        <w:t> </w:t>
      </w:r>
      <w:r>
        <w:rPr>
          <w:color w:val="231F20"/>
          <w:w w:val="105"/>
        </w:rPr>
        <w:t>de</w:t>
      </w:r>
      <w:r>
        <w:rPr>
          <w:color w:val="231F20"/>
          <w:spacing w:val="-10"/>
          <w:w w:val="105"/>
        </w:rPr>
        <w:t> </w:t>
      </w:r>
      <w:r>
        <w:rPr>
          <w:color w:val="231F20"/>
          <w:w w:val="105"/>
        </w:rPr>
        <w:t>una</w:t>
      </w:r>
      <w:r>
        <w:rPr>
          <w:color w:val="231F20"/>
          <w:spacing w:val="-10"/>
          <w:w w:val="105"/>
        </w:rPr>
        <w:t> </w:t>
      </w:r>
      <w:r>
        <w:rPr>
          <w:color w:val="231F20"/>
          <w:w w:val="105"/>
        </w:rPr>
        <w:t>“cosmopolitan</w:t>
      </w:r>
      <w:r>
        <w:rPr>
          <w:color w:val="231F20"/>
          <w:spacing w:val="-10"/>
          <w:w w:val="105"/>
        </w:rPr>
        <w:t> </w:t>
      </w:r>
      <w:r>
        <w:rPr>
          <w:color w:val="231F20"/>
          <w:w w:val="105"/>
        </w:rPr>
        <w:t>political</w:t>
      </w:r>
      <w:r>
        <w:rPr>
          <w:color w:val="231F20"/>
          <w:spacing w:val="-10"/>
          <w:w w:val="105"/>
        </w:rPr>
        <w:t> </w:t>
      </w:r>
      <w:r>
        <w:rPr>
          <w:color w:val="231F20"/>
          <w:w w:val="105"/>
        </w:rPr>
        <w:t>mo- rality”</w:t>
      </w:r>
      <w:r>
        <w:rPr>
          <w:color w:val="231F20"/>
          <w:spacing w:val="-26"/>
          <w:w w:val="105"/>
        </w:rPr>
        <w:t> </w:t>
      </w:r>
      <w:r>
        <w:rPr>
          <w:color w:val="231F20"/>
          <w:w w:val="105"/>
        </w:rPr>
        <w:t>en</w:t>
      </w:r>
      <w:r>
        <w:rPr>
          <w:color w:val="231F20"/>
          <w:spacing w:val="-26"/>
          <w:w w:val="105"/>
        </w:rPr>
        <w:t> </w:t>
      </w:r>
      <w:r>
        <w:rPr>
          <w:color w:val="231F20"/>
          <w:w w:val="105"/>
        </w:rPr>
        <w:t>las</w:t>
      </w:r>
      <w:r>
        <w:rPr>
          <w:color w:val="231F20"/>
          <w:spacing w:val="-26"/>
          <w:w w:val="105"/>
        </w:rPr>
        <w:t> </w:t>
      </w:r>
      <w:r>
        <w:rPr>
          <w:color w:val="231F20"/>
          <w:w w:val="105"/>
        </w:rPr>
        <w:t>relaciones</w:t>
      </w:r>
      <w:r>
        <w:rPr>
          <w:color w:val="231F20"/>
          <w:spacing w:val="-26"/>
          <w:w w:val="105"/>
        </w:rPr>
        <w:t> </w:t>
      </w:r>
      <w:r>
        <w:rPr>
          <w:color w:val="231F20"/>
          <w:w w:val="105"/>
        </w:rPr>
        <w:t>internacionales</w:t>
      </w:r>
      <w:r>
        <w:rPr>
          <w:color w:val="231F20"/>
          <w:w w:val="105"/>
          <w:position w:val="7"/>
          <w:sz w:val="12"/>
        </w:rPr>
        <w:t>9</w:t>
      </w:r>
      <w:r>
        <w:rPr>
          <w:color w:val="231F20"/>
          <w:w w:val="105"/>
        </w:rPr>
        <w:t>.</w:t>
      </w:r>
    </w:p>
    <w:p>
      <w:pPr>
        <w:pStyle w:val="BodyText"/>
        <w:spacing w:before="4"/>
        <w:rPr>
          <w:sz w:val="25"/>
        </w:rPr>
      </w:pPr>
      <w:r>
        <w:rPr/>
        <w:pict>
          <v:line style="position:absolute;mso-position-horizontal-relative:page;mso-position-vertical-relative:paragraph;z-index:7288;mso-wrap-distance-left:0;mso-wrap-distance-right:0" from="70.866096pt,17.433723pt" to="184.252096pt,17.433723pt" stroked="true" strokeweight=".3pt" strokecolor="#231f20">
            <w10:wrap type="topAndBottom"/>
          </v:line>
        </w:pict>
      </w:r>
    </w:p>
    <w:p>
      <w:pPr>
        <w:spacing w:line="204" w:lineRule="exact" w:before="9"/>
        <w:ind w:left="117" w:right="100" w:firstLine="0"/>
        <w:jc w:val="both"/>
        <w:rPr>
          <w:rFonts w:ascii="Calibri" w:hAnsi="Calibri"/>
          <w:sz w:val="17"/>
        </w:rPr>
      </w:pPr>
      <w:r>
        <w:rPr>
          <w:rFonts w:ascii="Calibri" w:hAnsi="Calibri"/>
          <w:color w:val="231F20"/>
          <w:w w:val="105"/>
          <w:sz w:val="17"/>
        </w:rPr>
        <w:t>other</w:t>
      </w:r>
      <w:r>
        <w:rPr>
          <w:rFonts w:ascii="Calibri" w:hAnsi="Calibri"/>
          <w:color w:val="231F20"/>
          <w:spacing w:val="-13"/>
          <w:w w:val="105"/>
          <w:sz w:val="17"/>
        </w:rPr>
        <w:t> </w:t>
      </w:r>
      <w:r>
        <w:rPr>
          <w:rFonts w:ascii="Calibri" w:hAnsi="Calibri"/>
          <w:color w:val="231F20"/>
          <w:w w:val="105"/>
          <w:sz w:val="17"/>
        </w:rPr>
        <w:t>means</w:t>
      </w:r>
      <w:r>
        <w:rPr>
          <w:rFonts w:ascii="Calibri" w:hAnsi="Calibri"/>
          <w:color w:val="231F20"/>
          <w:spacing w:val="-13"/>
          <w:w w:val="105"/>
          <w:sz w:val="17"/>
        </w:rPr>
        <w:t> </w:t>
      </w:r>
      <w:r>
        <w:rPr>
          <w:rFonts w:ascii="Calibri" w:hAnsi="Calibri"/>
          <w:color w:val="231F20"/>
          <w:w w:val="105"/>
          <w:sz w:val="17"/>
        </w:rPr>
        <w:t>of</w:t>
      </w:r>
      <w:r>
        <w:rPr>
          <w:rFonts w:ascii="Calibri" w:hAnsi="Calibri"/>
          <w:color w:val="231F20"/>
          <w:spacing w:val="-13"/>
          <w:w w:val="105"/>
          <w:sz w:val="17"/>
        </w:rPr>
        <w:t> </w:t>
      </w:r>
      <w:r>
        <w:rPr>
          <w:rFonts w:ascii="Calibri" w:hAnsi="Calibri"/>
          <w:color w:val="231F20"/>
          <w:w w:val="105"/>
          <w:sz w:val="17"/>
        </w:rPr>
        <w:t>communication,</w:t>
      </w:r>
      <w:r>
        <w:rPr>
          <w:rFonts w:ascii="Calibri" w:hAnsi="Calibri"/>
          <w:color w:val="231F20"/>
          <w:spacing w:val="-13"/>
          <w:w w:val="105"/>
          <w:sz w:val="17"/>
        </w:rPr>
        <w:t> </w:t>
      </w:r>
      <w:r>
        <w:rPr>
          <w:rFonts w:ascii="Calibri" w:hAnsi="Calibri"/>
          <w:color w:val="231F20"/>
          <w:w w:val="105"/>
          <w:sz w:val="17"/>
        </w:rPr>
        <w:t>and</w:t>
      </w:r>
      <w:r>
        <w:rPr>
          <w:rFonts w:ascii="Calibri" w:hAnsi="Calibri"/>
          <w:color w:val="231F20"/>
          <w:spacing w:val="-13"/>
          <w:w w:val="105"/>
          <w:sz w:val="17"/>
        </w:rPr>
        <w:t> </w:t>
      </w:r>
      <w:r>
        <w:rPr>
          <w:rFonts w:ascii="Calibri" w:hAnsi="Calibri"/>
          <w:color w:val="231F20"/>
          <w:w w:val="105"/>
          <w:sz w:val="17"/>
        </w:rPr>
        <w:t>the</w:t>
      </w:r>
      <w:r>
        <w:rPr>
          <w:rFonts w:ascii="Calibri" w:hAnsi="Calibri"/>
          <w:color w:val="231F20"/>
          <w:spacing w:val="-13"/>
          <w:w w:val="105"/>
          <w:sz w:val="17"/>
        </w:rPr>
        <w:t> </w:t>
      </w:r>
      <w:r>
        <w:rPr>
          <w:rFonts w:ascii="Calibri" w:hAnsi="Calibri"/>
          <w:color w:val="231F20"/>
          <w:w w:val="105"/>
          <w:sz w:val="17"/>
        </w:rPr>
        <w:t>severance</w:t>
      </w:r>
      <w:r>
        <w:rPr>
          <w:rFonts w:ascii="Calibri" w:hAnsi="Calibri"/>
          <w:color w:val="231F20"/>
          <w:spacing w:val="-13"/>
          <w:w w:val="105"/>
          <w:sz w:val="17"/>
        </w:rPr>
        <w:t> </w:t>
      </w:r>
      <w:r>
        <w:rPr>
          <w:rFonts w:ascii="Calibri" w:hAnsi="Calibri"/>
          <w:color w:val="231F20"/>
          <w:w w:val="105"/>
          <w:sz w:val="17"/>
        </w:rPr>
        <w:t>of</w:t>
      </w:r>
      <w:r>
        <w:rPr>
          <w:rFonts w:ascii="Calibri" w:hAnsi="Calibri"/>
          <w:color w:val="231F20"/>
          <w:spacing w:val="-13"/>
          <w:w w:val="105"/>
          <w:sz w:val="17"/>
        </w:rPr>
        <w:t> </w:t>
      </w:r>
      <w:r>
        <w:rPr>
          <w:rFonts w:ascii="Calibri" w:hAnsi="Calibri"/>
          <w:color w:val="231F20"/>
          <w:w w:val="105"/>
          <w:sz w:val="17"/>
        </w:rPr>
        <w:t>diplomatic</w:t>
      </w:r>
      <w:r>
        <w:rPr>
          <w:rFonts w:ascii="Calibri" w:hAnsi="Calibri"/>
          <w:color w:val="231F20"/>
          <w:spacing w:val="-13"/>
          <w:w w:val="105"/>
          <w:sz w:val="17"/>
        </w:rPr>
        <w:t> </w:t>
      </w:r>
      <w:r>
        <w:rPr>
          <w:rFonts w:ascii="Calibri" w:hAnsi="Calibri"/>
          <w:color w:val="231F20"/>
          <w:w w:val="105"/>
          <w:sz w:val="17"/>
        </w:rPr>
        <w:t>relations”.</w:t>
      </w:r>
      <w:r>
        <w:rPr>
          <w:rFonts w:ascii="Calibri" w:hAnsi="Calibri"/>
          <w:color w:val="231F20"/>
          <w:spacing w:val="-13"/>
          <w:w w:val="105"/>
          <w:sz w:val="17"/>
        </w:rPr>
        <w:t> </w:t>
      </w:r>
      <w:r>
        <w:rPr>
          <w:rFonts w:ascii="Calibri" w:hAnsi="Calibri"/>
          <w:color w:val="231F20"/>
          <w:w w:val="105"/>
          <w:sz w:val="17"/>
        </w:rPr>
        <w:t>Art.</w:t>
      </w:r>
      <w:r>
        <w:rPr>
          <w:rFonts w:ascii="Calibri" w:hAnsi="Calibri"/>
          <w:color w:val="231F20"/>
          <w:spacing w:val="-13"/>
          <w:w w:val="105"/>
          <w:sz w:val="17"/>
        </w:rPr>
        <w:t> </w:t>
      </w:r>
      <w:r>
        <w:rPr>
          <w:rFonts w:ascii="Calibri" w:hAnsi="Calibri"/>
          <w:color w:val="231F20"/>
          <w:w w:val="105"/>
          <w:sz w:val="17"/>
        </w:rPr>
        <w:t>42:</w:t>
      </w:r>
      <w:r>
        <w:rPr>
          <w:rFonts w:ascii="Calibri" w:hAnsi="Calibri"/>
          <w:color w:val="231F20"/>
          <w:spacing w:val="-14"/>
          <w:w w:val="105"/>
          <w:sz w:val="17"/>
        </w:rPr>
        <w:t> </w:t>
      </w:r>
      <w:r>
        <w:rPr>
          <w:rFonts w:ascii="Calibri" w:hAnsi="Calibri"/>
          <w:i/>
          <w:color w:val="231F20"/>
          <w:w w:val="105"/>
          <w:sz w:val="17"/>
        </w:rPr>
        <w:t>“</w:t>
      </w:r>
      <w:r>
        <w:rPr>
          <w:rFonts w:ascii="Calibri" w:hAnsi="Calibri"/>
          <w:color w:val="231F20"/>
          <w:w w:val="105"/>
          <w:sz w:val="17"/>
        </w:rPr>
        <w:t>The</w:t>
      </w:r>
      <w:r>
        <w:rPr>
          <w:rFonts w:ascii="Calibri" w:hAnsi="Calibri"/>
          <w:color w:val="231F20"/>
          <w:spacing w:val="-13"/>
          <w:w w:val="105"/>
          <w:sz w:val="17"/>
        </w:rPr>
        <w:t> </w:t>
      </w:r>
      <w:r>
        <w:rPr>
          <w:rFonts w:ascii="Calibri" w:hAnsi="Calibri"/>
          <w:color w:val="231F20"/>
          <w:w w:val="105"/>
          <w:sz w:val="17"/>
        </w:rPr>
        <w:t>Security Council […] may take such action by </w:t>
      </w:r>
      <w:r>
        <w:rPr>
          <w:rFonts w:ascii="Calibri" w:hAnsi="Calibri"/>
          <w:color w:val="231F20"/>
          <w:spacing w:val="-3"/>
          <w:w w:val="105"/>
          <w:sz w:val="17"/>
        </w:rPr>
        <w:t>air, </w:t>
      </w:r>
      <w:r>
        <w:rPr>
          <w:rFonts w:ascii="Calibri" w:hAnsi="Calibri"/>
          <w:color w:val="231F20"/>
          <w:w w:val="105"/>
          <w:sz w:val="17"/>
        </w:rPr>
        <w:t>sea, or land forces as may be necessary to maintain or restore</w:t>
      </w:r>
      <w:r>
        <w:rPr>
          <w:rFonts w:ascii="Calibri" w:hAnsi="Calibri"/>
          <w:color w:val="231F20"/>
          <w:spacing w:val="-11"/>
          <w:w w:val="105"/>
          <w:sz w:val="17"/>
        </w:rPr>
        <w:t> </w:t>
      </w:r>
      <w:r>
        <w:rPr>
          <w:rFonts w:ascii="Calibri" w:hAnsi="Calibri"/>
          <w:color w:val="231F20"/>
          <w:w w:val="105"/>
          <w:sz w:val="17"/>
        </w:rPr>
        <w:t>international</w:t>
      </w:r>
      <w:r>
        <w:rPr>
          <w:rFonts w:ascii="Calibri" w:hAnsi="Calibri"/>
          <w:color w:val="231F20"/>
          <w:spacing w:val="-11"/>
          <w:w w:val="105"/>
          <w:sz w:val="17"/>
        </w:rPr>
        <w:t> </w:t>
      </w:r>
      <w:r>
        <w:rPr>
          <w:rFonts w:ascii="Calibri" w:hAnsi="Calibri"/>
          <w:color w:val="231F20"/>
          <w:w w:val="105"/>
          <w:sz w:val="17"/>
        </w:rPr>
        <w:t>peace</w:t>
      </w:r>
      <w:r>
        <w:rPr>
          <w:rFonts w:ascii="Calibri" w:hAnsi="Calibri"/>
          <w:color w:val="231F20"/>
          <w:spacing w:val="-11"/>
          <w:w w:val="105"/>
          <w:sz w:val="17"/>
        </w:rPr>
        <w:t> </w:t>
      </w:r>
      <w:r>
        <w:rPr>
          <w:rFonts w:ascii="Calibri" w:hAnsi="Calibri"/>
          <w:color w:val="231F20"/>
          <w:w w:val="105"/>
          <w:sz w:val="17"/>
        </w:rPr>
        <w:t>and</w:t>
      </w:r>
      <w:r>
        <w:rPr>
          <w:rFonts w:ascii="Calibri" w:hAnsi="Calibri"/>
          <w:color w:val="231F20"/>
          <w:spacing w:val="-11"/>
          <w:w w:val="105"/>
          <w:sz w:val="17"/>
        </w:rPr>
        <w:t> </w:t>
      </w:r>
      <w:r>
        <w:rPr>
          <w:rFonts w:ascii="Calibri" w:hAnsi="Calibri"/>
          <w:color w:val="231F20"/>
          <w:w w:val="105"/>
          <w:sz w:val="17"/>
        </w:rPr>
        <w:t>security.</w:t>
      </w:r>
      <w:r>
        <w:rPr>
          <w:rFonts w:ascii="Calibri" w:hAnsi="Calibri"/>
          <w:color w:val="231F20"/>
          <w:spacing w:val="-11"/>
          <w:w w:val="105"/>
          <w:sz w:val="17"/>
        </w:rPr>
        <w:t> </w:t>
      </w:r>
      <w:r>
        <w:rPr>
          <w:rFonts w:ascii="Calibri" w:hAnsi="Calibri"/>
          <w:color w:val="231F20"/>
          <w:w w:val="105"/>
          <w:sz w:val="17"/>
        </w:rPr>
        <w:t>Such</w:t>
      </w:r>
      <w:r>
        <w:rPr>
          <w:rFonts w:ascii="Calibri" w:hAnsi="Calibri"/>
          <w:color w:val="231F20"/>
          <w:spacing w:val="-11"/>
          <w:w w:val="105"/>
          <w:sz w:val="17"/>
        </w:rPr>
        <w:t> </w:t>
      </w:r>
      <w:r>
        <w:rPr>
          <w:rFonts w:ascii="Calibri" w:hAnsi="Calibri"/>
          <w:color w:val="231F20"/>
          <w:w w:val="105"/>
          <w:sz w:val="17"/>
        </w:rPr>
        <w:t>action</w:t>
      </w:r>
      <w:r>
        <w:rPr>
          <w:rFonts w:ascii="Calibri" w:hAnsi="Calibri"/>
          <w:color w:val="231F20"/>
          <w:spacing w:val="-11"/>
          <w:w w:val="105"/>
          <w:sz w:val="17"/>
        </w:rPr>
        <w:t> </w:t>
      </w:r>
      <w:r>
        <w:rPr>
          <w:rFonts w:ascii="Calibri" w:hAnsi="Calibri"/>
          <w:color w:val="231F20"/>
          <w:w w:val="105"/>
          <w:sz w:val="17"/>
        </w:rPr>
        <w:t>may</w:t>
      </w:r>
      <w:r>
        <w:rPr>
          <w:rFonts w:ascii="Calibri" w:hAnsi="Calibri"/>
          <w:color w:val="231F20"/>
          <w:spacing w:val="-11"/>
          <w:w w:val="105"/>
          <w:sz w:val="17"/>
        </w:rPr>
        <w:t> </w:t>
      </w:r>
      <w:r>
        <w:rPr>
          <w:rFonts w:ascii="Calibri" w:hAnsi="Calibri"/>
          <w:color w:val="231F20"/>
          <w:w w:val="105"/>
          <w:sz w:val="17"/>
        </w:rPr>
        <w:t>include</w:t>
      </w:r>
      <w:r>
        <w:rPr>
          <w:rFonts w:ascii="Calibri" w:hAnsi="Calibri"/>
          <w:color w:val="231F20"/>
          <w:spacing w:val="-11"/>
          <w:w w:val="105"/>
          <w:sz w:val="17"/>
        </w:rPr>
        <w:t> </w:t>
      </w:r>
      <w:r>
        <w:rPr>
          <w:rFonts w:ascii="Calibri" w:hAnsi="Calibri"/>
          <w:color w:val="231F20"/>
          <w:w w:val="105"/>
          <w:sz w:val="17"/>
        </w:rPr>
        <w:t>demonstrations,</w:t>
      </w:r>
      <w:r>
        <w:rPr>
          <w:rFonts w:ascii="Calibri" w:hAnsi="Calibri"/>
          <w:color w:val="231F20"/>
          <w:spacing w:val="-11"/>
          <w:w w:val="105"/>
          <w:sz w:val="17"/>
        </w:rPr>
        <w:t> </w:t>
      </w:r>
      <w:r>
        <w:rPr>
          <w:rFonts w:ascii="Calibri" w:hAnsi="Calibri"/>
          <w:color w:val="231F20"/>
          <w:w w:val="105"/>
          <w:sz w:val="17"/>
        </w:rPr>
        <w:t>blockade,</w:t>
      </w:r>
      <w:r>
        <w:rPr>
          <w:rFonts w:ascii="Calibri" w:hAnsi="Calibri"/>
          <w:color w:val="231F20"/>
          <w:spacing w:val="-11"/>
          <w:w w:val="105"/>
          <w:sz w:val="17"/>
        </w:rPr>
        <w:t> </w:t>
      </w:r>
      <w:r>
        <w:rPr>
          <w:rFonts w:ascii="Calibri" w:hAnsi="Calibri"/>
          <w:color w:val="231F20"/>
          <w:w w:val="105"/>
          <w:sz w:val="17"/>
        </w:rPr>
        <w:t>and other</w:t>
      </w:r>
      <w:r>
        <w:rPr>
          <w:rFonts w:ascii="Calibri" w:hAnsi="Calibri"/>
          <w:color w:val="231F20"/>
          <w:spacing w:val="-6"/>
          <w:w w:val="105"/>
          <w:sz w:val="17"/>
        </w:rPr>
        <w:t> </w:t>
      </w:r>
      <w:r>
        <w:rPr>
          <w:rFonts w:ascii="Calibri" w:hAnsi="Calibri"/>
          <w:color w:val="231F20"/>
          <w:w w:val="105"/>
          <w:sz w:val="17"/>
        </w:rPr>
        <w:t>operations</w:t>
      </w:r>
      <w:r>
        <w:rPr>
          <w:rFonts w:ascii="Calibri" w:hAnsi="Calibri"/>
          <w:color w:val="231F20"/>
          <w:spacing w:val="-6"/>
          <w:w w:val="105"/>
          <w:sz w:val="17"/>
        </w:rPr>
        <w:t> </w:t>
      </w:r>
      <w:r>
        <w:rPr>
          <w:rFonts w:ascii="Calibri" w:hAnsi="Calibri"/>
          <w:color w:val="231F20"/>
          <w:w w:val="105"/>
          <w:sz w:val="17"/>
        </w:rPr>
        <w:t>by</w:t>
      </w:r>
      <w:r>
        <w:rPr>
          <w:rFonts w:ascii="Calibri" w:hAnsi="Calibri"/>
          <w:color w:val="231F20"/>
          <w:spacing w:val="-6"/>
          <w:w w:val="105"/>
          <w:sz w:val="17"/>
        </w:rPr>
        <w:t> </w:t>
      </w:r>
      <w:r>
        <w:rPr>
          <w:rFonts w:ascii="Calibri" w:hAnsi="Calibri"/>
          <w:color w:val="231F20"/>
          <w:spacing w:val="-3"/>
          <w:w w:val="105"/>
          <w:sz w:val="17"/>
        </w:rPr>
        <w:t>air,</w:t>
      </w:r>
      <w:r>
        <w:rPr>
          <w:rFonts w:ascii="Calibri" w:hAnsi="Calibri"/>
          <w:color w:val="231F20"/>
          <w:spacing w:val="-6"/>
          <w:w w:val="105"/>
          <w:sz w:val="17"/>
        </w:rPr>
        <w:t> </w:t>
      </w:r>
      <w:r>
        <w:rPr>
          <w:rFonts w:ascii="Calibri" w:hAnsi="Calibri"/>
          <w:color w:val="231F20"/>
          <w:w w:val="105"/>
          <w:sz w:val="17"/>
        </w:rPr>
        <w:t>sea,</w:t>
      </w:r>
      <w:r>
        <w:rPr>
          <w:rFonts w:ascii="Calibri" w:hAnsi="Calibri"/>
          <w:color w:val="231F20"/>
          <w:spacing w:val="-6"/>
          <w:w w:val="105"/>
          <w:sz w:val="17"/>
        </w:rPr>
        <w:t> </w:t>
      </w:r>
      <w:r>
        <w:rPr>
          <w:rFonts w:ascii="Calibri" w:hAnsi="Calibri"/>
          <w:color w:val="231F20"/>
          <w:w w:val="105"/>
          <w:sz w:val="17"/>
        </w:rPr>
        <w:t>or</w:t>
      </w:r>
      <w:r>
        <w:rPr>
          <w:rFonts w:ascii="Calibri" w:hAnsi="Calibri"/>
          <w:color w:val="231F20"/>
          <w:spacing w:val="-6"/>
          <w:w w:val="105"/>
          <w:sz w:val="17"/>
        </w:rPr>
        <w:t> </w:t>
      </w:r>
      <w:r>
        <w:rPr>
          <w:rFonts w:ascii="Calibri" w:hAnsi="Calibri"/>
          <w:color w:val="231F20"/>
          <w:w w:val="105"/>
          <w:sz w:val="17"/>
        </w:rPr>
        <w:t>land</w:t>
      </w:r>
      <w:r>
        <w:rPr>
          <w:rFonts w:ascii="Calibri" w:hAnsi="Calibri"/>
          <w:color w:val="231F20"/>
          <w:spacing w:val="-6"/>
          <w:w w:val="105"/>
          <w:sz w:val="17"/>
        </w:rPr>
        <w:t> </w:t>
      </w:r>
      <w:r>
        <w:rPr>
          <w:rFonts w:ascii="Calibri" w:hAnsi="Calibri"/>
          <w:color w:val="231F20"/>
          <w:w w:val="105"/>
          <w:sz w:val="17"/>
        </w:rPr>
        <w:t>forces</w:t>
      </w:r>
      <w:r>
        <w:rPr>
          <w:rFonts w:ascii="Calibri" w:hAnsi="Calibri"/>
          <w:color w:val="231F20"/>
          <w:spacing w:val="-6"/>
          <w:w w:val="105"/>
          <w:sz w:val="17"/>
        </w:rPr>
        <w:t> </w:t>
      </w:r>
      <w:r>
        <w:rPr>
          <w:rFonts w:ascii="Calibri" w:hAnsi="Calibri"/>
          <w:color w:val="231F20"/>
          <w:w w:val="105"/>
          <w:sz w:val="17"/>
        </w:rPr>
        <w:t>of</w:t>
      </w:r>
      <w:r>
        <w:rPr>
          <w:rFonts w:ascii="Calibri" w:hAnsi="Calibri"/>
          <w:color w:val="231F20"/>
          <w:spacing w:val="-6"/>
          <w:w w:val="105"/>
          <w:sz w:val="17"/>
        </w:rPr>
        <w:t> </w:t>
      </w:r>
      <w:r>
        <w:rPr>
          <w:rFonts w:ascii="Calibri" w:hAnsi="Calibri"/>
          <w:color w:val="231F20"/>
          <w:w w:val="105"/>
          <w:sz w:val="17"/>
        </w:rPr>
        <w:t>Members</w:t>
      </w:r>
      <w:r>
        <w:rPr>
          <w:rFonts w:ascii="Calibri" w:hAnsi="Calibri"/>
          <w:color w:val="231F20"/>
          <w:spacing w:val="-6"/>
          <w:w w:val="105"/>
          <w:sz w:val="17"/>
        </w:rPr>
        <w:t> </w:t>
      </w:r>
      <w:r>
        <w:rPr>
          <w:rFonts w:ascii="Calibri" w:hAnsi="Calibri"/>
          <w:color w:val="231F20"/>
          <w:w w:val="105"/>
          <w:sz w:val="17"/>
        </w:rPr>
        <w:t>of</w:t>
      </w:r>
      <w:r>
        <w:rPr>
          <w:rFonts w:ascii="Calibri" w:hAnsi="Calibri"/>
          <w:color w:val="231F20"/>
          <w:spacing w:val="-6"/>
          <w:w w:val="105"/>
          <w:sz w:val="17"/>
        </w:rPr>
        <w:t> </w:t>
      </w:r>
      <w:r>
        <w:rPr>
          <w:rFonts w:ascii="Calibri" w:hAnsi="Calibri"/>
          <w:color w:val="231F20"/>
          <w:w w:val="105"/>
          <w:sz w:val="17"/>
        </w:rPr>
        <w:t>the</w:t>
      </w:r>
      <w:r>
        <w:rPr>
          <w:rFonts w:ascii="Calibri" w:hAnsi="Calibri"/>
          <w:color w:val="231F20"/>
          <w:spacing w:val="-6"/>
          <w:w w:val="105"/>
          <w:sz w:val="17"/>
        </w:rPr>
        <w:t> </w:t>
      </w:r>
      <w:r>
        <w:rPr>
          <w:rFonts w:ascii="Calibri" w:hAnsi="Calibri"/>
          <w:color w:val="231F20"/>
          <w:w w:val="105"/>
          <w:sz w:val="17"/>
        </w:rPr>
        <w:t>United</w:t>
      </w:r>
      <w:r>
        <w:rPr>
          <w:rFonts w:ascii="Calibri" w:hAnsi="Calibri"/>
          <w:color w:val="231F20"/>
          <w:spacing w:val="-6"/>
          <w:w w:val="105"/>
          <w:sz w:val="17"/>
        </w:rPr>
        <w:t> </w:t>
      </w:r>
      <w:r>
        <w:rPr>
          <w:rFonts w:ascii="Calibri" w:hAnsi="Calibri"/>
          <w:color w:val="231F20"/>
          <w:w w:val="105"/>
          <w:sz w:val="17"/>
        </w:rPr>
        <w:t>Nations”;</w:t>
      </w:r>
      <w:r>
        <w:rPr>
          <w:rFonts w:ascii="Calibri" w:hAnsi="Calibri"/>
          <w:color w:val="231F20"/>
          <w:spacing w:val="-6"/>
          <w:w w:val="105"/>
          <w:sz w:val="17"/>
        </w:rPr>
        <w:t> </w:t>
      </w:r>
      <w:r>
        <w:rPr>
          <w:rFonts w:ascii="Calibri" w:hAnsi="Calibri"/>
          <w:color w:val="231F20"/>
          <w:w w:val="105"/>
          <w:sz w:val="17"/>
        </w:rPr>
        <w:t>Art.</w:t>
      </w:r>
      <w:r>
        <w:rPr>
          <w:rFonts w:ascii="Calibri" w:hAnsi="Calibri"/>
          <w:color w:val="231F20"/>
          <w:spacing w:val="-6"/>
          <w:w w:val="105"/>
          <w:sz w:val="17"/>
        </w:rPr>
        <w:t> </w:t>
      </w:r>
      <w:r>
        <w:rPr>
          <w:rFonts w:ascii="Calibri" w:hAnsi="Calibri"/>
          <w:color w:val="231F20"/>
          <w:w w:val="105"/>
          <w:sz w:val="17"/>
        </w:rPr>
        <w:t>51:</w:t>
      </w:r>
      <w:r>
        <w:rPr>
          <w:rFonts w:ascii="Calibri" w:hAnsi="Calibri"/>
          <w:color w:val="231F20"/>
          <w:spacing w:val="-6"/>
          <w:w w:val="105"/>
          <w:sz w:val="17"/>
        </w:rPr>
        <w:t> </w:t>
      </w:r>
      <w:r>
        <w:rPr>
          <w:rFonts w:ascii="Calibri" w:hAnsi="Calibri"/>
          <w:i/>
          <w:color w:val="231F20"/>
          <w:w w:val="105"/>
          <w:sz w:val="17"/>
        </w:rPr>
        <w:t>“</w:t>
      </w:r>
      <w:r>
        <w:rPr>
          <w:rFonts w:ascii="Calibri" w:hAnsi="Calibri"/>
          <w:color w:val="231F20"/>
          <w:w w:val="105"/>
          <w:sz w:val="17"/>
        </w:rPr>
        <w:t>Nothing in</w:t>
      </w:r>
      <w:r>
        <w:rPr>
          <w:rFonts w:ascii="Calibri" w:hAnsi="Calibri"/>
          <w:color w:val="231F20"/>
          <w:spacing w:val="-6"/>
          <w:w w:val="105"/>
          <w:sz w:val="17"/>
        </w:rPr>
        <w:t> </w:t>
      </w:r>
      <w:r>
        <w:rPr>
          <w:rFonts w:ascii="Calibri" w:hAnsi="Calibri"/>
          <w:color w:val="231F20"/>
          <w:w w:val="105"/>
          <w:sz w:val="17"/>
        </w:rPr>
        <w:t>the</w:t>
      </w:r>
      <w:r>
        <w:rPr>
          <w:rFonts w:ascii="Calibri" w:hAnsi="Calibri"/>
          <w:color w:val="231F20"/>
          <w:spacing w:val="-6"/>
          <w:w w:val="105"/>
          <w:sz w:val="17"/>
        </w:rPr>
        <w:t> </w:t>
      </w:r>
      <w:r>
        <w:rPr>
          <w:rFonts w:ascii="Calibri" w:hAnsi="Calibri"/>
          <w:color w:val="231F20"/>
          <w:w w:val="105"/>
          <w:sz w:val="17"/>
        </w:rPr>
        <w:t>present</w:t>
      </w:r>
      <w:r>
        <w:rPr>
          <w:rFonts w:ascii="Calibri" w:hAnsi="Calibri"/>
          <w:color w:val="231F20"/>
          <w:spacing w:val="-6"/>
          <w:w w:val="105"/>
          <w:sz w:val="17"/>
        </w:rPr>
        <w:t> </w:t>
      </w:r>
      <w:r>
        <w:rPr>
          <w:rFonts w:ascii="Calibri" w:hAnsi="Calibri"/>
          <w:color w:val="231F20"/>
          <w:w w:val="105"/>
          <w:sz w:val="17"/>
        </w:rPr>
        <w:t>Charter</w:t>
      </w:r>
      <w:r>
        <w:rPr>
          <w:rFonts w:ascii="Calibri" w:hAnsi="Calibri"/>
          <w:color w:val="231F20"/>
          <w:spacing w:val="-6"/>
          <w:w w:val="105"/>
          <w:sz w:val="17"/>
        </w:rPr>
        <w:t> </w:t>
      </w:r>
      <w:r>
        <w:rPr>
          <w:rFonts w:ascii="Calibri" w:hAnsi="Calibri"/>
          <w:color w:val="231F20"/>
          <w:w w:val="105"/>
          <w:sz w:val="17"/>
        </w:rPr>
        <w:t>shall</w:t>
      </w:r>
      <w:r>
        <w:rPr>
          <w:rFonts w:ascii="Calibri" w:hAnsi="Calibri"/>
          <w:color w:val="231F20"/>
          <w:spacing w:val="-6"/>
          <w:w w:val="105"/>
          <w:sz w:val="17"/>
        </w:rPr>
        <w:t> </w:t>
      </w:r>
      <w:r>
        <w:rPr>
          <w:rFonts w:ascii="Calibri" w:hAnsi="Calibri"/>
          <w:color w:val="231F20"/>
          <w:w w:val="105"/>
          <w:sz w:val="17"/>
        </w:rPr>
        <w:t>impair</w:t>
      </w:r>
      <w:r>
        <w:rPr>
          <w:rFonts w:ascii="Calibri" w:hAnsi="Calibri"/>
          <w:color w:val="231F20"/>
          <w:spacing w:val="-6"/>
          <w:w w:val="105"/>
          <w:sz w:val="17"/>
        </w:rPr>
        <w:t> </w:t>
      </w:r>
      <w:r>
        <w:rPr>
          <w:rFonts w:ascii="Calibri" w:hAnsi="Calibri"/>
          <w:color w:val="231F20"/>
          <w:w w:val="105"/>
          <w:sz w:val="17"/>
        </w:rPr>
        <w:t>the</w:t>
      </w:r>
      <w:r>
        <w:rPr>
          <w:rFonts w:ascii="Calibri" w:hAnsi="Calibri"/>
          <w:color w:val="231F20"/>
          <w:spacing w:val="-6"/>
          <w:w w:val="105"/>
          <w:sz w:val="17"/>
        </w:rPr>
        <w:t> </w:t>
      </w:r>
      <w:r>
        <w:rPr>
          <w:rFonts w:ascii="Calibri" w:hAnsi="Calibri"/>
          <w:color w:val="231F20"/>
          <w:w w:val="105"/>
          <w:sz w:val="17"/>
        </w:rPr>
        <w:t>inherent</w:t>
      </w:r>
      <w:r>
        <w:rPr>
          <w:rFonts w:ascii="Calibri" w:hAnsi="Calibri"/>
          <w:color w:val="231F20"/>
          <w:spacing w:val="-6"/>
          <w:w w:val="105"/>
          <w:sz w:val="17"/>
        </w:rPr>
        <w:t> </w:t>
      </w:r>
      <w:r>
        <w:rPr>
          <w:rFonts w:ascii="Calibri" w:hAnsi="Calibri"/>
          <w:color w:val="231F20"/>
          <w:w w:val="105"/>
          <w:sz w:val="17"/>
        </w:rPr>
        <w:t>right</w:t>
      </w:r>
      <w:r>
        <w:rPr>
          <w:rFonts w:ascii="Calibri" w:hAnsi="Calibri"/>
          <w:color w:val="231F20"/>
          <w:spacing w:val="-6"/>
          <w:w w:val="105"/>
          <w:sz w:val="17"/>
        </w:rPr>
        <w:t> </w:t>
      </w:r>
      <w:r>
        <w:rPr>
          <w:rFonts w:ascii="Calibri" w:hAnsi="Calibri"/>
          <w:color w:val="231F20"/>
          <w:w w:val="105"/>
          <w:sz w:val="17"/>
        </w:rPr>
        <w:t>of</w:t>
      </w:r>
      <w:r>
        <w:rPr>
          <w:rFonts w:ascii="Calibri" w:hAnsi="Calibri"/>
          <w:color w:val="231F20"/>
          <w:spacing w:val="-6"/>
          <w:w w:val="105"/>
          <w:sz w:val="17"/>
        </w:rPr>
        <w:t> </w:t>
      </w:r>
      <w:r>
        <w:rPr>
          <w:rFonts w:ascii="Calibri" w:hAnsi="Calibri"/>
          <w:color w:val="231F20"/>
          <w:w w:val="105"/>
          <w:sz w:val="17"/>
        </w:rPr>
        <w:t>individual</w:t>
      </w:r>
      <w:r>
        <w:rPr>
          <w:rFonts w:ascii="Calibri" w:hAnsi="Calibri"/>
          <w:color w:val="231F20"/>
          <w:spacing w:val="-6"/>
          <w:w w:val="105"/>
          <w:sz w:val="17"/>
        </w:rPr>
        <w:t> </w:t>
      </w:r>
      <w:r>
        <w:rPr>
          <w:rFonts w:ascii="Calibri" w:hAnsi="Calibri"/>
          <w:color w:val="231F20"/>
          <w:w w:val="105"/>
          <w:sz w:val="17"/>
        </w:rPr>
        <w:t>or</w:t>
      </w:r>
      <w:r>
        <w:rPr>
          <w:rFonts w:ascii="Calibri" w:hAnsi="Calibri"/>
          <w:color w:val="231F20"/>
          <w:spacing w:val="-6"/>
          <w:w w:val="105"/>
          <w:sz w:val="17"/>
        </w:rPr>
        <w:t> </w:t>
      </w:r>
      <w:r>
        <w:rPr>
          <w:rFonts w:ascii="Calibri" w:hAnsi="Calibri"/>
          <w:color w:val="231F20"/>
          <w:w w:val="105"/>
          <w:sz w:val="17"/>
        </w:rPr>
        <w:t>collective</w:t>
      </w:r>
      <w:r>
        <w:rPr>
          <w:rFonts w:ascii="Calibri" w:hAnsi="Calibri"/>
          <w:color w:val="231F20"/>
          <w:spacing w:val="-6"/>
          <w:w w:val="105"/>
          <w:sz w:val="17"/>
        </w:rPr>
        <w:t> </w:t>
      </w:r>
      <w:r>
        <w:rPr>
          <w:rFonts w:ascii="Calibri" w:hAnsi="Calibri"/>
          <w:color w:val="231F20"/>
          <w:w w:val="105"/>
          <w:sz w:val="17"/>
        </w:rPr>
        <w:t>self–defence</w:t>
      </w:r>
      <w:r>
        <w:rPr>
          <w:rFonts w:ascii="Calibri" w:hAnsi="Calibri"/>
          <w:color w:val="231F20"/>
          <w:spacing w:val="-6"/>
          <w:w w:val="105"/>
          <w:sz w:val="17"/>
        </w:rPr>
        <w:t> </w:t>
      </w:r>
      <w:r>
        <w:rPr>
          <w:rFonts w:ascii="Calibri" w:hAnsi="Calibri"/>
          <w:color w:val="231F20"/>
          <w:w w:val="105"/>
          <w:sz w:val="17"/>
        </w:rPr>
        <w:t>if</w:t>
      </w:r>
      <w:r>
        <w:rPr>
          <w:rFonts w:ascii="Calibri" w:hAnsi="Calibri"/>
          <w:color w:val="231F20"/>
          <w:spacing w:val="-6"/>
          <w:w w:val="105"/>
          <w:sz w:val="17"/>
        </w:rPr>
        <w:t> </w:t>
      </w:r>
      <w:r>
        <w:rPr>
          <w:rFonts w:ascii="Calibri" w:hAnsi="Calibri"/>
          <w:color w:val="231F20"/>
          <w:w w:val="105"/>
          <w:sz w:val="17"/>
        </w:rPr>
        <w:t>an armed</w:t>
      </w:r>
      <w:r>
        <w:rPr>
          <w:rFonts w:ascii="Calibri" w:hAnsi="Calibri"/>
          <w:color w:val="231F20"/>
          <w:spacing w:val="-11"/>
          <w:w w:val="105"/>
          <w:sz w:val="17"/>
        </w:rPr>
        <w:t> </w:t>
      </w:r>
      <w:r>
        <w:rPr>
          <w:rFonts w:ascii="Calibri" w:hAnsi="Calibri"/>
          <w:color w:val="231F20"/>
          <w:w w:val="105"/>
          <w:sz w:val="17"/>
        </w:rPr>
        <w:t>attack</w:t>
      </w:r>
      <w:r>
        <w:rPr>
          <w:rFonts w:ascii="Calibri" w:hAnsi="Calibri"/>
          <w:color w:val="231F20"/>
          <w:spacing w:val="-11"/>
          <w:w w:val="105"/>
          <w:sz w:val="17"/>
        </w:rPr>
        <w:t> </w:t>
      </w:r>
      <w:r>
        <w:rPr>
          <w:rFonts w:ascii="Calibri" w:hAnsi="Calibri"/>
          <w:color w:val="231F20"/>
          <w:w w:val="105"/>
          <w:sz w:val="17"/>
        </w:rPr>
        <w:t>occurs</w:t>
      </w:r>
      <w:r>
        <w:rPr>
          <w:rFonts w:ascii="Calibri" w:hAnsi="Calibri"/>
          <w:color w:val="231F20"/>
          <w:spacing w:val="-11"/>
          <w:w w:val="105"/>
          <w:sz w:val="17"/>
        </w:rPr>
        <w:t> </w:t>
      </w:r>
      <w:r>
        <w:rPr>
          <w:rFonts w:ascii="Calibri" w:hAnsi="Calibri"/>
          <w:color w:val="231F20"/>
          <w:w w:val="105"/>
          <w:sz w:val="17"/>
        </w:rPr>
        <w:t>against</w:t>
      </w:r>
      <w:r>
        <w:rPr>
          <w:rFonts w:ascii="Calibri" w:hAnsi="Calibri"/>
          <w:color w:val="231F20"/>
          <w:spacing w:val="-11"/>
          <w:w w:val="105"/>
          <w:sz w:val="17"/>
        </w:rPr>
        <w:t> </w:t>
      </w:r>
      <w:r>
        <w:rPr>
          <w:rFonts w:ascii="Calibri" w:hAnsi="Calibri"/>
          <w:color w:val="231F20"/>
          <w:w w:val="105"/>
          <w:sz w:val="17"/>
        </w:rPr>
        <w:t>a</w:t>
      </w:r>
      <w:r>
        <w:rPr>
          <w:rFonts w:ascii="Calibri" w:hAnsi="Calibri"/>
          <w:color w:val="231F20"/>
          <w:spacing w:val="-11"/>
          <w:w w:val="105"/>
          <w:sz w:val="17"/>
        </w:rPr>
        <w:t> </w:t>
      </w:r>
      <w:r>
        <w:rPr>
          <w:rFonts w:ascii="Calibri" w:hAnsi="Calibri"/>
          <w:color w:val="231F20"/>
          <w:w w:val="105"/>
          <w:sz w:val="17"/>
        </w:rPr>
        <w:t>Member</w:t>
      </w:r>
      <w:r>
        <w:rPr>
          <w:rFonts w:ascii="Calibri" w:hAnsi="Calibri"/>
          <w:color w:val="231F20"/>
          <w:spacing w:val="-11"/>
          <w:w w:val="105"/>
          <w:sz w:val="17"/>
        </w:rPr>
        <w:t> </w:t>
      </w:r>
      <w:r>
        <w:rPr>
          <w:rFonts w:ascii="Calibri" w:hAnsi="Calibri"/>
          <w:color w:val="231F20"/>
          <w:w w:val="105"/>
          <w:sz w:val="17"/>
        </w:rPr>
        <w:t>of</w:t>
      </w:r>
      <w:r>
        <w:rPr>
          <w:rFonts w:ascii="Calibri" w:hAnsi="Calibri"/>
          <w:color w:val="231F20"/>
          <w:spacing w:val="-11"/>
          <w:w w:val="105"/>
          <w:sz w:val="17"/>
        </w:rPr>
        <w:t> </w:t>
      </w:r>
      <w:r>
        <w:rPr>
          <w:rFonts w:ascii="Calibri" w:hAnsi="Calibri"/>
          <w:color w:val="231F20"/>
          <w:w w:val="105"/>
          <w:sz w:val="17"/>
        </w:rPr>
        <w:t>the</w:t>
      </w:r>
      <w:r>
        <w:rPr>
          <w:rFonts w:ascii="Calibri" w:hAnsi="Calibri"/>
          <w:color w:val="231F20"/>
          <w:spacing w:val="-11"/>
          <w:w w:val="105"/>
          <w:sz w:val="17"/>
        </w:rPr>
        <w:t> </w:t>
      </w:r>
      <w:r>
        <w:rPr>
          <w:rFonts w:ascii="Calibri" w:hAnsi="Calibri"/>
          <w:color w:val="231F20"/>
          <w:w w:val="105"/>
          <w:sz w:val="17"/>
        </w:rPr>
        <w:t>United</w:t>
      </w:r>
      <w:r>
        <w:rPr>
          <w:rFonts w:ascii="Calibri" w:hAnsi="Calibri"/>
          <w:color w:val="231F20"/>
          <w:spacing w:val="-11"/>
          <w:w w:val="105"/>
          <w:sz w:val="17"/>
        </w:rPr>
        <w:t> </w:t>
      </w:r>
      <w:r>
        <w:rPr>
          <w:rFonts w:ascii="Calibri" w:hAnsi="Calibri"/>
          <w:color w:val="231F20"/>
          <w:w w:val="105"/>
          <w:sz w:val="17"/>
        </w:rPr>
        <w:t>Nations,</w:t>
      </w:r>
      <w:r>
        <w:rPr>
          <w:rFonts w:ascii="Calibri" w:hAnsi="Calibri"/>
          <w:color w:val="231F20"/>
          <w:spacing w:val="-11"/>
          <w:w w:val="105"/>
          <w:sz w:val="17"/>
        </w:rPr>
        <w:t> </w:t>
      </w:r>
      <w:r>
        <w:rPr>
          <w:rFonts w:ascii="Calibri" w:hAnsi="Calibri"/>
          <w:color w:val="231F20"/>
          <w:w w:val="105"/>
          <w:sz w:val="17"/>
        </w:rPr>
        <w:t>until</w:t>
      </w:r>
      <w:r>
        <w:rPr>
          <w:rFonts w:ascii="Calibri" w:hAnsi="Calibri"/>
          <w:color w:val="231F20"/>
          <w:spacing w:val="-11"/>
          <w:w w:val="105"/>
          <w:sz w:val="17"/>
        </w:rPr>
        <w:t> </w:t>
      </w:r>
      <w:r>
        <w:rPr>
          <w:rFonts w:ascii="Calibri" w:hAnsi="Calibri"/>
          <w:color w:val="231F20"/>
          <w:w w:val="105"/>
          <w:sz w:val="17"/>
        </w:rPr>
        <w:t>the</w:t>
      </w:r>
      <w:r>
        <w:rPr>
          <w:rFonts w:ascii="Calibri" w:hAnsi="Calibri"/>
          <w:color w:val="231F20"/>
          <w:spacing w:val="-11"/>
          <w:w w:val="105"/>
          <w:sz w:val="17"/>
        </w:rPr>
        <w:t> </w:t>
      </w:r>
      <w:r>
        <w:rPr>
          <w:rFonts w:ascii="Calibri" w:hAnsi="Calibri"/>
          <w:color w:val="231F20"/>
          <w:w w:val="105"/>
          <w:sz w:val="17"/>
        </w:rPr>
        <w:t>Security</w:t>
      </w:r>
      <w:r>
        <w:rPr>
          <w:rFonts w:ascii="Calibri" w:hAnsi="Calibri"/>
          <w:color w:val="231F20"/>
          <w:spacing w:val="-11"/>
          <w:w w:val="105"/>
          <w:sz w:val="17"/>
        </w:rPr>
        <w:t> </w:t>
      </w:r>
      <w:r>
        <w:rPr>
          <w:rFonts w:ascii="Calibri" w:hAnsi="Calibri"/>
          <w:color w:val="231F20"/>
          <w:w w:val="105"/>
          <w:sz w:val="17"/>
        </w:rPr>
        <w:t>Council</w:t>
      </w:r>
      <w:r>
        <w:rPr>
          <w:rFonts w:ascii="Calibri" w:hAnsi="Calibri"/>
          <w:color w:val="231F20"/>
          <w:spacing w:val="-11"/>
          <w:w w:val="105"/>
          <w:sz w:val="17"/>
        </w:rPr>
        <w:t> </w:t>
      </w:r>
      <w:r>
        <w:rPr>
          <w:rFonts w:ascii="Calibri" w:hAnsi="Calibri"/>
          <w:color w:val="231F20"/>
          <w:w w:val="105"/>
          <w:sz w:val="17"/>
        </w:rPr>
        <w:t>has</w:t>
      </w:r>
      <w:r>
        <w:rPr>
          <w:rFonts w:ascii="Calibri" w:hAnsi="Calibri"/>
          <w:color w:val="231F20"/>
          <w:spacing w:val="-11"/>
          <w:w w:val="105"/>
          <w:sz w:val="17"/>
        </w:rPr>
        <w:t> </w:t>
      </w:r>
      <w:r>
        <w:rPr>
          <w:rFonts w:ascii="Calibri" w:hAnsi="Calibri"/>
          <w:color w:val="231F20"/>
          <w:w w:val="105"/>
          <w:sz w:val="17"/>
        </w:rPr>
        <w:t>taken measures</w:t>
      </w:r>
      <w:r>
        <w:rPr>
          <w:rFonts w:ascii="Calibri" w:hAnsi="Calibri"/>
          <w:color w:val="231F20"/>
          <w:spacing w:val="-15"/>
          <w:w w:val="105"/>
          <w:sz w:val="17"/>
        </w:rPr>
        <w:t> </w:t>
      </w:r>
      <w:r>
        <w:rPr>
          <w:rFonts w:ascii="Calibri" w:hAnsi="Calibri"/>
          <w:color w:val="231F20"/>
          <w:w w:val="105"/>
          <w:sz w:val="17"/>
        </w:rPr>
        <w:t>necessary</w:t>
      </w:r>
      <w:r>
        <w:rPr>
          <w:rFonts w:ascii="Calibri" w:hAnsi="Calibri"/>
          <w:color w:val="231F20"/>
          <w:spacing w:val="-15"/>
          <w:w w:val="105"/>
          <w:sz w:val="17"/>
        </w:rPr>
        <w:t> </w:t>
      </w:r>
      <w:r>
        <w:rPr>
          <w:rFonts w:ascii="Calibri" w:hAnsi="Calibri"/>
          <w:color w:val="231F20"/>
          <w:w w:val="105"/>
          <w:sz w:val="17"/>
        </w:rPr>
        <w:t>to</w:t>
      </w:r>
      <w:r>
        <w:rPr>
          <w:rFonts w:ascii="Calibri" w:hAnsi="Calibri"/>
          <w:color w:val="231F20"/>
          <w:spacing w:val="-15"/>
          <w:w w:val="105"/>
          <w:sz w:val="17"/>
        </w:rPr>
        <w:t> </w:t>
      </w:r>
      <w:r>
        <w:rPr>
          <w:rFonts w:ascii="Calibri" w:hAnsi="Calibri"/>
          <w:color w:val="231F20"/>
          <w:w w:val="105"/>
          <w:sz w:val="17"/>
        </w:rPr>
        <w:t>maintain</w:t>
      </w:r>
      <w:r>
        <w:rPr>
          <w:rFonts w:ascii="Calibri" w:hAnsi="Calibri"/>
          <w:color w:val="231F20"/>
          <w:spacing w:val="-15"/>
          <w:w w:val="105"/>
          <w:sz w:val="17"/>
        </w:rPr>
        <w:t> </w:t>
      </w:r>
      <w:r>
        <w:rPr>
          <w:rFonts w:ascii="Calibri" w:hAnsi="Calibri"/>
          <w:color w:val="231F20"/>
          <w:w w:val="105"/>
          <w:sz w:val="17"/>
        </w:rPr>
        <w:t>international</w:t>
      </w:r>
      <w:r>
        <w:rPr>
          <w:rFonts w:ascii="Calibri" w:hAnsi="Calibri"/>
          <w:color w:val="231F20"/>
          <w:spacing w:val="-15"/>
          <w:w w:val="105"/>
          <w:sz w:val="17"/>
        </w:rPr>
        <w:t> </w:t>
      </w:r>
      <w:r>
        <w:rPr>
          <w:rFonts w:ascii="Calibri" w:hAnsi="Calibri"/>
          <w:color w:val="231F20"/>
          <w:w w:val="105"/>
          <w:sz w:val="17"/>
        </w:rPr>
        <w:t>peace</w:t>
      </w:r>
      <w:r>
        <w:rPr>
          <w:rFonts w:ascii="Calibri" w:hAnsi="Calibri"/>
          <w:color w:val="231F20"/>
          <w:spacing w:val="-15"/>
          <w:w w:val="105"/>
          <w:sz w:val="17"/>
        </w:rPr>
        <w:t> </w:t>
      </w:r>
      <w:r>
        <w:rPr>
          <w:rFonts w:ascii="Calibri" w:hAnsi="Calibri"/>
          <w:color w:val="231F20"/>
          <w:w w:val="105"/>
          <w:sz w:val="17"/>
        </w:rPr>
        <w:t>and</w:t>
      </w:r>
      <w:r>
        <w:rPr>
          <w:rFonts w:ascii="Calibri" w:hAnsi="Calibri"/>
          <w:color w:val="231F20"/>
          <w:spacing w:val="-15"/>
          <w:w w:val="105"/>
          <w:sz w:val="17"/>
        </w:rPr>
        <w:t> </w:t>
      </w:r>
      <w:r>
        <w:rPr>
          <w:rFonts w:ascii="Calibri" w:hAnsi="Calibri"/>
          <w:color w:val="231F20"/>
          <w:w w:val="105"/>
          <w:sz w:val="17"/>
        </w:rPr>
        <w:t>security.</w:t>
      </w:r>
      <w:r>
        <w:rPr>
          <w:rFonts w:ascii="Calibri" w:hAnsi="Calibri"/>
          <w:color w:val="231F20"/>
          <w:spacing w:val="-15"/>
          <w:w w:val="105"/>
          <w:sz w:val="17"/>
        </w:rPr>
        <w:t> </w:t>
      </w:r>
      <w:r>
        <w:rPr>
          <w:rFonts w:ascii="Calibri" w:hAnsi="Calibri"/>
          <w:color w:val="231F20"/>
          <w:w w:val="105"/>
          <w:sz w:val="17"/>
        </w:rPr>
        <w:t>Measures</w:t>
      </w:r>
      <w:r>
        <w:rPr>
          <w:rFonts w:ascii="Calibri" w:hAnsi="Calibri"/>
          <w:color w:val="231F20"/>
          <w:spacing w:val="-15"/>
          <w:w w:val="105"/>
          <w:sz w:val="17"/>
        </w:rPr>
        <w:t> </w:t>
      </w:r>
      <w:r>
        <w:rPr>
          <w:rFonts w:ascii="Calibri" w:hAnsi="Calibri"/>
          <w:color w:val="231F20"/>
          <w:w w:val="105"/>
          <w:sz w:val="17"/>
        </w:rPr>
        <w:t>taken</w:t>
      </w:r>
      <w:r>
        <w:rPr>
          <w:rFonts w:ascii="Calibri" w:hAnsi="Calibri"/>
          <w:color w:val="231F20"/>
          <w:spacing w:val="-15"/>
          <w:w w:val="105"/>
          <w:sz w:val="17"/>
        </w:rPr>
        <w:t> </w:t>
      </w:r>
      <w:r>
        <w:rPr>
          <w:rFonts w:ascii="Calibri" w:hAnsi="Calibri"/>
          <w:color w:val="231F20"/>
          <w:w w:val="105"/>
          <w:sz w:val="17"/>
        </w:rPr>
        <w:t>by</w:t>
      </w:r>
      <w:r>
        <w:rPr>
          <w:rFonts w:ascii="Calibri" w:hAnsi="Calibri"/>
          <w:color w:val="231F20"/>
          <w:spacing w:val="-15"/>
          <w:w w:val="105"/>
          <w:sz w:val="17"/>
        </w:rPr>
        <w:t> </w:t>
      </w:r>
      <w:r>
        <w:rPr>
          <w:rFonts w:ascii="Calibri" w:hAnsi="Calibri"/>
          <w:color w:val="231F20"/>
          <w:w w:val="105"/>
          <w:sz w:val="17"/>
        </w:rPr>
        <w:t>Members</w:t>
      </w:r>
      <w:r>
        <w:rPr>
          <w:rFonts w:ascii="Calibri" w:hAnsi="Calibri"/>
          <w:color w:val="231F20"/>
          <w:spacing w:val="-15"/>
          <w:w w:val="105"/>
          <w:sz w:val="17"/>
        </w:rPr>
        <w:t> </w:t>
      </w:r>
      <w:r>
        <w:rPr>
          <w:rFonts w:ascii="Calibri" w:hAnsi="Calibri"/>
          <w:color w:val="231F20"/>
          <w:w w:val="105"/>
          <w:sz w:val="17"/>
        </w:rPr>
        <w:t>in the</w:t>
      </w:r>
      <w:r>
        <w:rPr>
          <w:rFonts w:ascii="Calibri" w:hAnsi="Calibri"/>
          <w:color w:val="231F20"/>
          <w:spacing w:val="-15"/>
          <w:w w:val="105"/>
          <w:sz w:val="17"/>
        </w:rPr>
        <w:t> </w:t>
      </w:r>
      <w:r>
        <w:rPr>
          <w:rFonts w:ascii="Calibri" w:hAnsi="Calibri"/>
          <w:color w:val="231F20"/>
          <w:w w:val="105"/>
          <w:sz w:val="17"/>
        </w:rPr>
        <w:t>exercise</w:t>
      </w:r>
      <w:r>
        <w:rPr>
          <w:rFonts w:ascii="Calibri" w:hAnsi="Calibri"/>
          <w:color w:val="231F20"/>
          <w:spacing w:val="-15"/>
          <w:w w:val="105"/>
          <w:sz w:val="17"/>
        </w:rPr>
        <w:t> </w:t>
      </w:r>
      <w:r>
        <w:rPr>
          <w:rFonts w:ascii="Calibri" w:hAnsi="Calibri"/>
          <w:color w:val="231F20"/>
          <w:w w:val="105"/>
          <w:sz w:val="17"/>
        </w:rPr>
        <w:t>of</w:t>
      </w:r>
      <w:r>
        <w:rPr>
          <w:rFonts w:ascii="Calibri" w:hAnsi="Calibri"/>
          <w:color w:val="231F20"/>
          <w:spacing w:val="-15"/>
          <w:w w:val="105"/>
          <w:sz w:val="17"/>
        </w:rPr>
        <w:t> </w:t>
      </w:r>
      <w:r>
        <w:rPr>
          <w:rFonts w:ascii="Calibri" w:hAnsi="Calibri"/>
          <w:color w:val="231F20"/>
          <w:w w:val="105"/>
          <w:sz w:val="17"/>
        </w:rPr>
        <w:t>this</w:t>
      </w:r>
      <w:r>
        <w:rPr>
          <w:rFonts w:ascii="Calibri" w:hAnsi="Calibri"/>
          <w:color w:val="231F20"/>
          <w:spacing w:val="-15"/>
          <w:w w:val="105"/>
          <w:sz w:val="17"/>
        </w:rPr>
        <w:t> </w:t>
      </w:r>
      <w:r>
        <w:rPr>
          <w:rFonts w:ascii="Calibri" w:hAnsi="Calibri"/>
          <w:color w:val="231F20"/>
          <w:w w:val="105"/>
          <w:sz w:val="17"/>
        </w:rPr>
        <w:t>right</w:t>
      </w:r>
      <w:r>
        <w:rPr>
          <w:rFonts w:ascii="Calibri" w:hAnsi="Calibri"/>
          <w:color w:val="231F20"/>
          <w:spacing w:val="-15"/>
          <w:w w:val="105"/>
          <w:sz w:val="17"/>
        </w:rPr>
        <w:t> </w:t>
      </w:r>
      <w:r>
        <w:rPr>
          <w:rFonts w:ascii="Calibri" w:hAnsi="Calibri"/>
          <w:color w:val="231F20"/>
          <w:w w:val="105"/>
          <w:sz w:val="17"/>
        </w:rPr>
        <w:t>of</w:t>
      </w:r>
      <w:r>
        <w:rPr>
          <w:rFonts w:ascii="Calibri" w:hAnsi="Calibri"/>
          <w:color w:val="231F20"/>
          <w:spacing w:val="-15"/>
          <w:w w:val="105"/>
          <w:sz w:val="17"/>
        </w:rPr>
        <w:t> </w:t>
      </w:r>
      <w:r>
        <w:rPr>
          <w:rFonts w:ascii="Calibri" w:hAnsi="Calibri"/>
          <w:color w:val="231F20"/>
          <w:w w:val="105"/>
          <w:sz w:val="17"/>
        </w:rPr>
        <w:t>self–defence</w:t>
      </w:r>
      <w:r>
        <w:rPr>
          <w:rFonts w:ascii="Calibri" w:hAnsi="Calibri"/>
          <w:color w:val="231F20"/>
          <w:spacing w:val="-15"/>
          <w:w w:val="105"/>
          <w:sz w:val="17"/>
        </w:rPr>
        <w:t> </w:t>
      </w:r>
      <w:r>
        <w:rPr>
          <w:rFonts w:ascii="Calibri" w:hAnsi="Calibri"/>
          <w:color w:val="231F20"/>
          <w:w w:val="105"/>
          <w:sz w:val="17"/>
        </w:rPr>
        <w:t>shall</w:t>
      </w:r>
      <w:r>
        <w:rPr>
          <w:rFonts w:ascii="Calibri" w:hAnsi="Calibri"/>
          <w:color w:val="231F20"/>
          <w:spacing w:val="-15"/>
          <w:w w:val="105"/>
          <w:sz w:val="17"/>
        </w:rPr>
        <w:t> </w:t>
      </w:r>
      <w:r>
        <w:rPr>
          <w:rFonts w:ascii="Calibri" w:hAnsi="Calibri"/>
          <w:color w:val="231F20"/>
          <w:w w:val="105"/>
          <w:sz w:val="17"/>
        </w:rPr>
        <w:t>be</w:t>
      </w:r>
      <w:r>
        <w:rPr>
          <w:rFonts w:ascii="Calibri" w:hAnsi="Calibri"/>
          <w:color w:val="231F20"/>
          <w:spacing w:val="-15"/>
          <w:w w:val="105"/>
          <w:sz w:val="17"/>
        </w:rPr>
        <w:t> </w:t>
      </w:r>
      <w:r>
        <w:rPr>
          <w:rFonts w:ascii="Calibri" w:hAnsi="Calibri"/>
          <w:color w:val="231F20"/>
          <w:w w:val="105"/>
          <w:sz w:val="17"/>
        </w:rPr>
        <w:t>immediately</w:t>
      </w:r>
      <w:r>
        <w:rPr>
          <w:rFonts w:ascii="Calibri" w:hAnsi="Calibri"/>
          <w:color w:val="231F20"/>
          <w:spacing w:val="-15"/>
          <w:w w:val="105"/>
          <w:sz w:val="17"/>
        </w:rPr>
        <w:t> </w:t>
      </w:r>
      <w:r>
        <w:rPr>
          <w:rFonts w:ascii="Calibri" w:hAnsi="Calibri"/>
          <w:color w:val="231F20"/>
          <w:w w:val="105"/>
          <w:sz w:val="17"/>
        </w:rPr>
        <w:t>reported</w:t>
      </w:r>
      <w:r>
        <w:rPr>
          <w:rFonts w:ascii="Calibri" w:hAnsi="Calibri"/>
          <w:color w:val="231F20"/>
          <w:spacing w:val="-15"/>
          <w:w w:val="105"/>
          <w:sz w:val="17"/>
        </w:rPr>
        <w:t> </w:t>
      </w:r>
      <w:r>
        <w:rPr>
          <w:rFonts w:ascii="Calibri" w:hAnsi="Calibri"/>
          <w:color w:val="231F20"/>
          <w:w w:val="105"/>
          <w:sz w:val="17"/>
        </w:rPr>
        <w:t>to</w:t>
      </w:r>
      <w:r>
        <w:rPr>
          <w:rFonts w:ascii="Calibri" w:hAnsi="Calibri"/>
          <w:color w:val="231F20"/>
          <w:spacing w:val="-15"/>
          <w:w w:val="105"/>
          <w:sz w:val="17"/>
        </w:rPr>
        <w:t> </w:t>
      </w:r>
      <w:r>
        <w:rPr>
          <w:rFonts w:ascii="Calibri" w:hAnsi="Calibri"/>
          <w:color w:val="231F20"/>
          <w:w w:val="105"/>
          <w:sz w:val="17"/>
        </w:rPr>
        <w:t>the</w:t>
      </w:r>
      <w:r>
        <w:rPr>
          <w:rFonts w:ascii="Calibri" w:hAnsi="Calibri"/>
          <w:color w:val="231F20"/>
          <w:spacing w:val="-15"/>
          <w:w w:val="105"/>
          <w:sz w:val="17"/>
        </w:rPr>
        <w:t> </w:t>
      </w:r>
      <w:r>
        <w:rPr>
          <w:rFonts w:ascii="Calibri" w:hAnsi="Calibri"/>
          <w:color w:val="231F20"/>
          <w:w w:val="105"/>
          <w:sz w:val="17"/>
        </w:rPr>
        <w:t>Security</w:t>
      </w:r>
      <w:r>
        <w:rPr>
          <w:rFonts w:ascii="Calibri" w:hAnsi="Calibri"/>
          <w:color w:val="231F20"/>
          <w:spacing w:val="-15"/>
          <w:w w:val="105"/>
          <w:sz w:val="17"/>
        </w:rPr>
        <w:t> </w:t>
      </w:r>
      <w:r>
        <w:rPr>
          <w:rFonts w:ascii="Calibri" w:hAnsi="Calibri"/>
          <w:color w:val="231F20"/>
          <w:w w:val="105"/>
          <w:sz w:val="17"/>
        </w:rPr>
        <w:t>Council</w:t>
      </w:r>
      <w:r>
        <w:rPr>
          <w:rFonts w:ascii="Calibri" w:hAnsi="Calibri"/>
          <w:color w:val="231F20"/>
          <w:spacing w:val="-15"/>
          <w:w w:val="105"/>
          <w:sz w:val="17"/>
        </w:rPr>
        <w:t> </w:t>
      </w:r>
      <w:r>
        <w:rPr>
          <w:rFonts w:ascii="Calibri" w:hAnsi="Calibri"/>
          <w:color w:val="231F20"/>
          <w:w w:val="105"/>
          <w:sz w:val="17"/>
        </w:rPr>
        <w:t>and shall</w:t>
      </w:r>
      <w:r>
        <w:rPr>
          <w:rFonts w:ascii="Calibri" w:hAnsi="Calibri"/>
          <w:color w:val="231F20"/>
          <w:spacing w:val="-5"/>
          <w:w w:val="105"/>
          <w:sz w:val="17"/>
        </w:rPr>
        <w:t> </w:t>
      </w:r>
      <w:r>
        <w:rPr>
          <w:rFonts w:ascii="Calibri" w:hAnsi="Calibri"/>
          <w:color w:val="231F20"/>
          <w:w w:val="105"/>
          <w:sz w:val="17"/>
        </w:rPr>
        <w:t>not</w:t>
      </w:r>
      <w:r>
        <w:rPr>
          <w:rFonts w:ascii="Calibri" w:hAnsi="Calibri"/>
          <w:color w:val="231F20"/>
          <w:spacing w:val="-5"/>
          <w:w w:val="105"/>
          <w:sz w:val="17"/>
        </w:rPr>
        <w:t> </w:t>
      </w:r>
      <w:r>
        <w:rPr>
          <w:rFonts w:ascii="Calibri" w:hAnsi="Calibri"/>
          <w:color w:val="231F20"/>
          <w:w w:val="105"/>
          <w:sz w:val="17"/>
        </w:rPr>
        <w:t>in</w:t>
      </w:r>
      <w:r>
        <w:rPr>
          <w:rFonts w:ascii="Calibri" w:hAnsi="Calibri"/>
          <w:color w:val="231F20"/>
          <w:spacing w:val="-5"/>
          <w:w w:val="105"/>
          <w:sz w:val="17"/>
        </w:rPr>
        <w:t> </w:t>
      </w:r>
      <w:r>
        <w:rPr>
          <w:rFonts w:ascii="Calibri" w:hAnsi="Calibri"/>
          <w:color w:val="231F20"/>
          <w:w w:val="105"/>
          <w:sz w:val="17"/>
        </w:rPr>
        <w:t>any</w:t>
      </w:r>
      <w:r>
        <w:rPr>
          <w:rFonts w:ascii="Calibri" w:hAnsi="Calibri"/>
          <w:color w:val="231F20"/>
          <w:spacing w:val="-6"/>
          <w:w w:val="105"/>
          <w:sz w:val="17"/>
        </w:rPr>
        <w:t> </w:t>
      </w:r>
      <w:r>
        <w:rPr>
          <w:rFonts w:ascii="Calibri" w:hAnsi="Calibri"/>
          <w:color w:val="231F20"/>
          <w:w w:val="105"/>
          <w:sz w:val="17"/>
        </w:rPr>
        <w:t>way</w:t>
      </w:r>
      <w:r>
        <w:rPr>
          <w:rFonts w:ascii="Calibri" w:hAnsi="Calibri"/>
          <w:color w:val="231F20"/>
          <w:spacing w:val="-5"/>
          <w:w w:val="105"/>
          <w:sz w:val="17"/>
        </w:rPr>
        <w:t> </w:t>
      </w:r>
      <w:r>
        <w:rPr>
          <w:rFonts w:ascii="Calibri" w:hAnsi="Calibri"/>
          <w:color w:val="231F20"/>
          <w:w w:val="105"/>
          <w:sz w:val="17"/>
        </w:rPr>
        <w:t>affect</w:t>
      </w:r>
      <w:r>
        <w:rPr>
          <w:rFonts w:ascii="Calibri" w:hAnsi="Calibri"/>
          <w:color w:val="231F20"/>
          <w:spacing w:val="-5"/>
          <w:w w:val="105"/>
          <w:sz w:val="17"/>
        </w:rPr>
        <w:t> </w:t>
      </w:r>
      <w:r>
        <w:rPr>
          <w:rFonts w:ascii="Calibri" w:hAnsi="Calibri"/>
          <w:color w:val="231F20"/>
          <w:w w:val="105"/>
          <w:sz w:val="17"/>
        </w:rPr>
        <w:t>the</w:t>
      </w:r>
      <w:r>
        <w:rPr>
          <w:rFonts w:ascii="Calibri" w:hAnsi="Calibri"/>
          <w:color w:val="231F20"/>
          <w:spacing w:val="-5"/>
          <w:w w:val="105"/>
          <w:sz w:val="17"/>
        </w:rPr>
        <w:t> </w:t>
      </w:r>
      <w:r>
        <w:rPr>
          <w:rFonts w:ascii="Calibri" w:hAnsi="Calibri"/>
          <w:color w:val="231F20"/>
          <w:w w:val="105"/>
          <w:sz w:val="17"/>
        </w:rPr>
        <w:t>authority</w:t>
      </w:r>
      <w:r>
        <w:rPr>
          <w:rFonts w:ascii="Calibri" w:hAnsi="Calibri"/>
          <w:color w:val="231F20"/>
          <w:spacing w:val="-5"/>
          <w:w w:val="105"/>
          <w:sz w:val="17"/>
        </w:rPr>
        <w:t> </w:t>
      </w:r>
      <w:r>
        <w:rPr>
          <w:rFonts w:ascii="Calibri" w:hAnsi="Calibri"/>
          <w:color w:val="231F20"/>
          <w:w w:val="105"/>
          <w:sz w:val="17"/>
        </w:rPr>
        <w:t>and</w:t>
      </w:r>
      <w:r>
        <w:rPr>
          <w:rFonts w:ascii="Calibri" w:hAnsi="Calibri"/>
          <w:color w:val="231F20"/>
          <w:spacing w:val="-5"/>
          <w:w w:val="105"/>
          <w:sz w:val="17"/>
        </w:rPr>
        <w:t> </w:t>
      </w:r>
      <w:r>
        <w:rPr>
          <w:rFonts w:ascii="Calibri" w:hAnsi="Calibri"/>
          <w:color w:val="231F20"/>
          <w:w w:val="105"/>
          <w:sz w:val="17"/>
        </w:rPr>
        <w:t>responsibility</w:t>
      </w:r>
      <w:r>
        <w:rPr>
          <w:rFonts w:ascii="Calibri" w:hAnsi="Calibri"/>
          <w:color w:val="231F20"/>
          <w:spacing w:val="-5"/>
          <w:w w:val="105"/>
          <w:sz w:val="17"/>
        </w:rPr>
        <w:t> </w:t>
      </w:r>
      <w:r>
        <w:rPr>
          <w:rFonts w:ascii="Calibri" w:hAnsi="Calibri"/>
          <w:color w:val="231F20"/>
          <w:w w:val="105"/>
          <w:sz w:val="17"/>
        </w:rPr>
        <w:t>of</w:t>
      </w:r>
      <w:r>
        <w:rPr>
          <w:rFonts w:ascii="Calibri" w:hAnsi="Calibri"/>
          <w:color w:val="231F20"/>
          <w:spacing w:val="-5"/>
          <w:w w:val="105"/>
          <w:sz w:val="17"/>
        </w:rPr>
        <w:t> </w:t>
      </w:r>
      <w:r>
        <w:rPr>
          <w:rFonts w:ascii="Calibri" w:hAnsi="Calibri"/>
          <w:color w:val="231F20"/>
          <w:w w:val="105"/>
          <w:sz w:val="17"/>
        </w:rPr>
        <w:t>the</w:t>
      </w:r>
      <w:r>
        <w:rPr>
          <w:rFonts w:ascii="Calibri" w:hAnsi="Calibri"/>
          <w:color w:val="231F20"/>
          <w:spacing w:val="-5"/>
          <w:w w:val="105"/>
          <w:sz w:val="17"/>
        </w:rPr>
        <w:t> </w:t>
      </w:r>
      <w:r>
        <w:rPr>
          <w:rFonts w:ascii="Calibri" w:hAnsi="Calibri"/>
          <w:color w:val="231F20"/>
          <w:w w:val="105"/>
          <w:sz w:val="17"/>
        </w:rPr>
        <w:t>Security</w:t>
      </w:r>
      <w:r>
        <w:rPr>
          <w:rFonts w:ascii="Calibri" w:hAnsi="Calibri"/>
          <w:color w:val="231F20"/>
          <w:spacing w:val="-5"/>
          <w:w w:val="105"/>
          <w:sz w:val="17"/>
        </w:rPr>
        <w:t> </w:t>
      </w:r>
      <w:r>
        <w:rPr>
          <w:rFonts w:ascii="Calibri" w:hAnsi="Calibri"/>
          <w:color w:val="231F20"/>
          <w:w w:val="105"/>
          <w:sz w:val="17"/>
        </w:rPr>
        <w:t>Council</w:t>
      </w:r>
      <w:r>
        <w:rPr>
          <w:rFonts w:ascii="Calibri" w:hAnsi="Calibri"/>
          <w:color w:val="231F20"/>
          <w:spacing w:val="-5"/>
          <w:w w:val="105"/>
          <w:sz w:val="17"/>
        </w:rPr>
        <w:t> </w:t>
      </w:r>
      <w:r>
        <w:rPr>
          <w:rFonts w:ascii="Calibri" w:hAnsi="Calibri"/>
          <w:color w:val="231F20"/>
          <w:w w:val="105"/>
          <w:sz w:val="17"/>
        </w:rPr>
        <w:t>under</w:t>
      </w:r>
      <w:r>
        <w:rPr>
          <w:rFonts w:ascii="Calibri" w:hAnsi="Calibri"/>
          <w:color w:val="231F20"/>
          <w:spacing w:val="-5"/>
          <w:w w:val="105"/>
          <w:sz w:val="17"/>
        </w:rPr>
        <w:t> </w:t>
      </w:r>
      <w:r>
        <w:rPr>
          <w:rFonts w:ascii="Calibri" w:hAnsi="Calibri"/>
          <w:color w:val="231F20"/>
          <w:w w:val="105"/>
          <w:sz w:val="17"/>
        </w:rPr>
        <w:t>the</w:t>
      </w:r>
      <w:r>
        <w:rPr>
          <w:rFonts w:ascii="Calibri" w:hAnsi="Calibri"/>
          <w:color w:val="231F20"/>
          <w:spacing w:val="-5"/>
          <w:w w:val="105"/>
          <w:sz w:val="17"/>
        </w:rPr>
        <w:t> </w:t>
      </w:r>
      <w:r>
        <w:rPr>
          <w:rFonts w:ascii="Calibri" w:hAnsi="Calibri"/>
          <w:color w:val="231F20"/>
          <w:w w:val="105"/>
          <w:sz w:val="17"/>
        </w:rPr>
        <w:t>pre- sent</w:t>
      </w:r>
      <w:r>
        <w:rPr>
          <w:rFonts w:ascii="Calibri" w:hAnsi="Calibri"/>
          <w:color w:val="231F20"/>
          <w:spacing w:val="-8"/>
          <w:w w:val="105"/>
          <w:sz w:val="17"/>
        </w:rPr>
        <w:t> </w:t>
      </w:r>
      <w:r>
        <w:rPr>
          <w:rFonts w:ascii="Calibri" w:hAnsi="Calibri"/>
          <w:color w:val="231F20"/>
          <w:w w:val="105"/>
          <w:sz w:val="17"/>
        </w:rPr>
        <w:t>Charter</w:t>
      </w:r>
      <w:r>
        <w:rPr>
          <w:rFonts w:ascii="Calibri" w:hAnsi="Calibri"/>
          <w:color w:val="231F20"/>
          <w:spacing w:val="-8"/>
          <w:w w:val="105"/>
          <w:sz w:val="17"/>
        </w:rPr>
        <w:t> </w:t>
      </w:r>
      <w:r>
        <w:rPr>
          <w:rFonts w:ascii="Calibri" w:hAnsi="Calibri"/>
          <w:color w:val="231F20"/>
          <w:w w:val="105"/>
          <w:sz w:val="17"/>
        </w:rPr>
        <w:t>to</w:t>
      </w:r>
      <w:r>
        <w:rPr>
          <w:rFonts w:ascii="Calibri" w:hAnsi="Calibri"/>
          <w:color w:val="231F20"/>
          <w:spacing w:val="-8"/>
          <w:w w:val="105"/>
          <w:sz w:val="17"/>
        </w:rPr>
        <w:t> </w:t>
      </w:r>
      <w:r>
        <w:rPr>
          <w:rFonts w:ascii="Calibri" w:hAnsi="Calibri"/>
          <w:color w:val="231F20"/>
          <w:w w:val="105"/>
          <w:sz w:val="17"/>
        </w:rPr>
        <w:t>take</w:t>
      </w:r>
      <w:r>
        <w:rPr>
          <w:rFonts w:ascii="Calibri" w:hAnsi="Calibri"/>
          <w:color w:val="231F20"/>
          <w:spacing w:val="-8"/>
          <w:w w:val="105"/>
          <w:sz w:val="17"/>
        </w:rPr>
        <w:t> </w:t>
      </w:r>
      <w:r>
        <w:rPr>
          <w:rFonts w:ascii="Calibri" w:hAnsi="Calibri"/>
          <w:color w:val="231F20"/>
          <w:w w:val="105"/>
          <w:sz w:val="17"/>
        </w:rPr>
        <w:t>at</w:t>
      </w:r>
      <w:r>
        <w:rPr>
          <w:rFonts w:ascii="Calibri" w:hAnsi="Calibri"/>
          <w:color w:val="231F20"/>
          <w:spacing w:val="-8"/>
          <w:w w:val="105"/>
          <w:sz w:val="17"/>
        </w:rPr>
        <w:t> </w:t>
      </w:r>
      <w:r>
        <w:rPr>
          <w:rFonts w:ascii="Calibri" w:hAnsi="Calibri"/>
          <w:color w:val="231F20"/>
          <w:w w:val="105"/>
          <w:sz w:val="17"/>
        </w:rPr>
        <w:t>any</w:t>
      </w:r>
      <w:r>
        <w:rPr>
          <w:rFonts w:ascii="Calibri" w:hAnsi="Calibri"/>
          <w:color w:val="231F20"/>
          <w:spacing w:val="-8"/>
          <w:w w:val="105"/>
          <w:sz w:val="17"/>
        </w:rPr>
        <w:t> </w:t>
      </w:r>
      <w:r>
        <w:rPr>
          <w:rFonts w:ascii="Calibri" w:hAnsi="Calibri"/>
          <w:color w:val="231F20"/>
          <w:w w:val="105"/>
          <w:sz w:val="17"/>
        </w:rPr>
        <w:t>time</w:t>
      </w:r>
      <w:r>
        <w:rPr>
          <w:rFonts w:ascii="Calibri" w:hAnsi="Calibri"/>
          <w:color w:val="231F20"/>
          <w:spacing w:val="-8"/>
          <w:w w:val="105"/>
          <w:sz w:val="17"/>
        </w:rPr>
        <w:t> </w:t>
      </w:r>
      <w:r>
        <w:rPr>
          <w:rFonts w:ascii="Calibri" w:hAnsi="Calibri"/>
          <w:color w:val="231F20"/>
          <w:w w:val="105"/>
          <w:sz w:val="17"/>
        </w:rPr>
        <w:t>such</w:t>
      </w:r>
      <w:r>
        <w:rPr>
          <w:rFonts w:ascii="Calibri" w:hAnsi="Calibri"/>
          <w:color w:val="231F20"/>
          <w:spacing w:val="-8"/>
          <w:w w:val="105"/>
          <w:sz w:val="17"/>
        </w:rPr>
        <w:t> </w:t>
      </w:r>
      <w:r>
        <w:rPr>
          <w:rFonts w:ascii="Calibri" w:hAnsi="Calibri"/>
          <w:color w:val="231F20"/>
          <w:w w:val="105"/>
          <w:sz w:val="17"/>
        </w:rPr>
        <w:t>action</w:t>
      </w:r>
      <w:r>
        <w:rPr>
          <w:rFonts w:ascii="Calibri" w:hAnsi="Calibri"/>
          <w:color w:val="231F20"/>
          <w:spacing w:val="-8"/>
          <w:w w:val="105"/>
          <w:sz w:val="17"/>
        </w:rPr>
        <w:t> </w:t>
      </w:r>
      <w:r>
        <w:rPr>
          <w:rFonts w:ascii="Calibri" w:hAnsi="Calibri"/>
          <w:color w:val="231F20"/>
          <w:w w:val="105"/>
          <w:sz w:val="17"/>
        </w:rPr>
        <w:t>as</w:t>
      </w:r>
      <w:r>
        <w:rPr>
          <w:rFonts w:ascii="Calibri" w:hAnsi="Calibri"/>
          <w:color w:val="231F20"/>
          <w:spacing w:val="-8"/>
          <w:w w:val="105"/>
          <w:sz w:val="17"/>
        </w:rPr>
        <w:t> </w:t>
      </w:r>
      <w:r>
        <w:rPr>
          <w:rFonts w:ascii="Calibri" w:hAnsi="Calibri"/>
          <w:color w:val="231F20"/>
          <w:w w:val="105"/>
          <w:sz w:val="17"/>
        </w:rPr>
        <w:t>it</w:t>
      </w:r>
      <w:r>
        <w:rPr>
          <w:rFonts w:ascii="Calibri" w:hAnsi="Calibri"/>
          <w:color w:val="231F20"/>
          <w:spacing w:val="-8"/>
          <w:w w:val="105"/>
          <w:sz w:val="17"/>
        </w:rPr>
        <w:t> </w:t>
      </w:r>
      <w:r>
        <w:rPr>
          <w:rFonts w:ascii="Calibri" w:hAnsi="Calibri"/>
          <w:color w:val="231F20"/>
          <w:w w:val="105"/>
          <w:sz w:val="17"/>
        </w:rPr>
        <w:t>deems</w:t>
      </w:r>
      <w:r>
        <w:rPr>
          <w:rFonts w:ascii="Calibri" w:hAnsi="Calibri"/>
          <w:color w:val="231F20"/>
          <w:spacing w:val="-8"/>
          <w:w w:val="105"/>
          <w:sz w:val="17"/>
        </w:rPr>
        <w:t> </w:t>
      </w:r>
      <w:r>
        <w:rPr>
          <w:rFonts w:ascii="Calibri" w:hAnsi="Calibri"/>
          <w:color w:val="231F20"/>
          <w:w w:val="105"/>
          <w:sz w:val="17"/>
        </w:rPr>
        <w:t>necessary</w:t>
      </w:r>
      <w:r>
        <w:rPr>
          <w:rFonts w:ascii="Calibri" w:hAnsi="Calibri"/>
          <w:color w:val="231F20"/>
          <w:spacing w:val="-8"/>
          <w:w w:val="105"/>
          <w:sz w:val="17"/>
        </w:rPr>
        <w:t> </w:t>
      </w:r>
      <w:r>
        <w:rPr>
          <w:rFonts w:ascii="Calibri" w:hAnsi="Calibri"/>
          <w:color w:val="231F20"/>
          <w:w w:val="105"/>
          <w:sz w:val="17"/>
        </w:rPr>
        <w:t>in</w:t>
      </w:r>
      <w:r>
        <w:rPr>
          <w:rFonts w:ascii="Calibri" w:hAnsi="Calibri"/>
          <w:color w:val="231F20"/>
          <w:spacing w:val="-8"/>
          <w:w w:val="105"/>
          <w:sz w:val="17"/>
        </w:rPr>
        <w:t> </w:t>
      </w:r>
      <w:r>
        <w:rPr>
          <w:rFonts w:ascii="Calibri" w:hAnsi="Calibri"/>
          <w:color w:val="231F20"/>
          <w:w w:val="105"/>
          <w:sz w:val="17"/>
        </w:rPr>
        <w:t>order</w:t>
      </w:r>
      <w:r>
        <w:rPr>
          <w:rFonts w:ascii="Calibri" w:hAnsi="Calibri"/>
          <w:color w:val="231F20"/>
          <w:spacing w:val="-8"/>
          <w:w w:val="105"/>
          <w:sz w:val="17"/>
        </w:rPr>
        <w:t> </w:t>
      </w:r>
      <w:r>
        <w:rPr>
          <w:rFonts w:ascii="Calibri" w:hAnsi="Calibri"/>
          <w:color w:val="231F20"/>
          <w:w w:val="105"/>
          <w:sz w:val="17"/>
        </w:rPr>
        <w:t>to</w:t>
      </w:r>
      <w:r>
        <w:rPr>
          <w:rFonts w:ascii="Calibri" w:hAnsi="Calibri"/>
          <w:color w:val="231F20"/>
          <w:spacing w:val="-8"/>
          <w:w w:val="105"/>
          <w:sz w:val="17"/>
        </w:rPr>
        <w:t> </w:t>
      </w:r>
      <w:r>
        <w:rPr>
          <w:rFonts w:ascii="Calibri" w:hAnsi="Calibri"/>
          <w:color w:val="231F20"/>
          <w:w w:val="105"/>
          <w:sz w:val="17"/>
        </w:rPr>
        <w:t>maintain</w:t>
      </w:r>
      <w:r>
        <w:rPr>
          <w:rFonts w:ascii="Calibri" w:hAnsi="Calibri"/>
          <w:color w:val="231F20"/>
          <w:spacing w:val="-8"/>
          <w:w w:val="105"/>
          <w:sz w:val="17"/>
        </w:rPr>
        <w:t> </w:t>
      </w:r>
      <w:r>
        <w:rPr>
          <w:rFonts w:ascii="Calibri" w:hAnsi="Calibri"/>
          <w:color w:val="231F20"/>
          <w:w w:val="105"/>
          <w:sz w:val="17"/>
        </w:rPr>
        <w:t>or</w:t>
      </w:r>
      <w:r>
        <w:rPr>
          <w:rFonts w:ascii="Calibri" w:hAnsi="Calibri"/>
          <w:color w:val="231F20"/>
          <w:spacing w:val="-8"/>
          <w:w w:val="105"/>
          <w:sz w:val="17"/>
        </w:rPr>
        <w:t> </w:t>
      </w:r>
      <w:r>
        <w:rPr>
          <w:rFonts w:ascii="Calibri" w:hAnsi="Calibri"/>
          <w:color w:val="231F20"/>
          <w:w w:val="105"/>
          <w:sz w:val="17"/>
        </w:rPr>
        <w:t>restore </w:t>
      </w:r>
      <w:r>
        <w:rPr>
          <w:rFonts w:ascii="Calibri" w:hAnsi="Calibri"/>
          <w:color w:val="231F20"/>
          <w:sz w:val="17"/>
        </w:rPr>
        <w:t>international peace and</w:t>
      </w:r>
      <w:r>
        <w:rPr>
          <w:rFonts w:ascii="Calibri" w:hAnsi="Calibri"/>
          <w:color w:val="231F20"/>
          <w:spacing w:val="30"/>
          <w:sz w:val="17"/>
        </w:rPr>
        <w:t> </w:t>
      </w:r>
      <w:r>
        <w:rPr>
          <w:rFonts w:ascii="Calibri" w:hAnsi="Calibri"/>
          <w:color w:val="231F20"/>
          <w:sz w:val="17"/>
        </w:rPr>
        <w:t>security”.</w:t>
      </w:r>
    </w:p>
    <w:p>
      <w:pPr>
        <w:spacing w:line="204" w:lineRule="exact" w:before="0"/>
        <w:ind w:left="117" w:right="101" w:firstLine="0"/>
        <w:jc w:val="both"/>
        <w:rPr>
          <w:rFonts w:ascii="Calibri" w:hAnsi="Calibri"/>
          <w:sz w:val="17"/>
        </w:rPr>
      </w:pPr>
      <w:r>
        <w:rPr>
          <w:rFonts w:ascii="Calibri" w:hAnsi="Calibri"/>
          <w:color w:val="231F20"/>
          <w:w w:val="105"/>
          <w:position w:val="6"/>
          <w:sz w:val="10"/>
        </w:rPr>
        <w:t>8 </w:t>
      </w:r>
      <w:r>
        <w:rPr>
          <w:rFonts w:ascii="Calibri" w:hAnsi="Calibri"/>
          <w:color w:val="231F20"/>
          <w:spacing w:val="-9"/>
          <w:w w:val="105"/>
          <w:sz w:val="17"/>
        </w:rPr>
        <w:t>T.</w:t>
      </w:r>
      <w:r>
        <w:rPr>
          <w:rFonts w:ascii="Calibri" w:hAnsi="Calibri"/>
          <w:color w:val="231F20"/>
          <w:spacing w:val="-15"/>
          <w:w w:val="105"/>
          <w:sz w:val="17"/>
        </w:rPr>
        <w:t> </w:t>
      </w:r>
      <w:r>
        <w:rPr>
          <w:rFonts w:ascii="Calibri" w:hAnsi="Calibri"/>
          <w:color w:val="231F20"/>
          <w:w w:val="105"/>
          <w:sz w:val="17"/>
        </w:rPr>
        <w:t>J.</w:t>
      </w:r>
      <w:r>
        <w:rPr>
          <w:rFonts w:ascii="Calibri" w:hAnsi="Calibri"/>
          <w:color w:val="231F20"/>
          <w:spacing w:val="-15"/>
          <w:w w:val="105"/>
          <w:sz w:val="17"/>
        </w:rPr>
        <w:t> </w:t>
      </w:r>
      <w:r>
        <w:rPr>
          <w:rFonts w:ascii="Calibri" w:hAnsi="Calibri"/>
          <w:color w:val="231F20"/>
          <w:spacing w:val="-3"/>
          <w:w w:val="105"/>
          <w:sz w:val="17"/>
        </w:rPr>
        <w:t>Farer,</w:t>
      </w:r>
      <w:r>
        <w:rPr>
          <w:rFonts w:ascii="Calibri" w:hAnsi="Calibri"/>
          <w:color w:val="231F20"/>
          <w:spacing w:val="-15"/>
          <w:w w:val="105"/>
          <w:sz w:val="17"/>
        </w:rPr>
        <w:t> </w:t>
      </w:r>
      <w:r>
        <w:rPr>
          <w:rFonts w:ascii="Calibri" w:hAnsi="Calibri"/>
          <w:color w:val="231F20"/>
          <w:w w:val="105"/>
          <w:sz w:val="17"/>
        </w:rPr>
        <w:t>“Humanitarian</w:t>
      </w:r>
      <w:r>
        <w:rPr>
          <w:rFonts w:ascii="Calibri" w:hAnsi="Calibri"/>
          <w:color w:val="231F20"/>
          <w:spacing w:val="-15"/>
          <w:w w:val="105"/>
          <w:sz w:val="17"/>
        </w:rPr>
        <w:t> </w:t>
      </w:r>
      <w:r>
        <w:rPr>
          <w:rFonts w:ascii="Calibri" w:hAnsi="Calibri"/>
          <w:color w:val="231F20"/>
          <w:w w:val="105"/>
          <w:sz w:val="17"/>
        </w:rPr>
        <w:t>Intervention</w:t>
      </w:r>
      <w:r>
        <w:rPr>
          <w:rFonts w:ascii="Calibri" w:hAnsi="Calibri"/>
          <w:color w:val="231F20"/>
          <w:spacing w:val="-15"/>
          <w:w w:val="105"/>
          <w:sz w:val="17"/>
        </w:rPr>
        <w:t> </w:t>
      </w:r>
      <w:r>
        <w:rPr>
          <w:rFonts w:ascii="Calibri" w:hAnsi="Calibri"/>
          <w:color w:val="231F20"/>
          <w:w w:val="105"/>
          <w:sz w:val="17"/>
        </w:rPr>
        <w:t>before</w:t>
      </w:r>
      <w:r>
        <w:rPr>
          <w:rFonts w:ascii="Calibri" w:hAnsi="Calibri"/>
          <w:color w:val="231F20"/>
          <w:spacing w:val="-15"/>
          <w:w w:val="105"/>
          <w:sz w:val="17"/>
        </w:rPr>
        <w:t> </w:t>
      </w:r>
      <w:r>
        <w:rPr>
          <w:rFonts w:ascii="Calibri" w:hAnsi="Calibri"/>
          <w:color w:val="231F20"/>
          <w:w w:val="105"/>
          <w:sz w:val="17"/>
        </w:rPr>
        <w:t>and</w:t>
      </w:r>
      <w:r>
        <w:rPr>
          <w:rFonts w:ascii="Calibri" w:hAnsi="Calibri"/>
          <w:color w:val="231F20"/>
          <w:spacing w:val="-15"/>
          <w:w w:val="105"/>
          <w:sz w:val="17"/>
        </w:rPr>
        <w:t> </w:t>
      </w:r>
      <w:r>
        <w:rPr>
          <w:rFonts w:ascii="Calibri" w:hAnsi="Calibri"/>
          <w:color w:val="231F20"/>
          <w:w w:val="105"/>
          <w:sz w:val="17"/>
        </w:rPr>
        <w:t>after</w:t>
      </w:r>
      <w:r>
        <w:rPr>
          <w:rFonts w:ascii="Calibri" w:hAnsi="Calibri"/>
          <w:color w:val="231F20"/>
          <w:spacing w:val="-15"/>
          <w:w w:val="105"/>
          <w:sz w:val="17"/>
        </w:rPr>
        <w:t> </w:t>
      </w:r>
      <w:r>
        <w:rPr>
          <w:rFonts w:ascii="Calibri" w:hAnsi="Calibri"/>
          <w:color w:val="231F20"/>
          <w:w w:val="105"/>
          <w:sz w:val="17"/>
        </w:rPr>
        <w:t>9/11:</w:t>
      </w:r>
      <w:r>
        <w:rPr>
          <w:rFonts w:ascii="Calibri" w:hAnsi="Calibri"/>
          <w:color w:val="231F20"/>
          <w:spacing w:val="-15"/>
          <w:w w:val="105"/>
          <w:sz w:val="17"/>
        </w:rPr>
        <w:t> </w:t>
      </w:r>
      <w:r>
        <w:rPr>
          <w:rFonts w:ascii="Calibri" w:hAnsi="Calibri"/>
          <w:color w:val="231F20"/>
          <w:w w:val="105"/>
          <w:sz w:val="17"/>
        </w:rPr>
        <w:t>legality</w:t>
      </w:r>
      <w:r>
        <w:rPr>
          <w:rFonts w:ascii="Calibri" w:hAnsi="Calibri"/>
          <w:color w:val="231F20"/>
          <w:spacing w:val="-15"/>
          <w:w w:val="105"/>
          <w:sz w:val="17"/>
        </w:rPr>
        <w:t> </w:t>
      </w:r>
      <w:r>
        <w:rPr>
          <w:rFonts w:ascii="Calibri" w:hAnsi="Calibri"/>
          <w:color w:val="231F20"/>
          <w:w w:val="105"/>
          <w:sz w:val="17"/>
        </w:rPr>
        <w:t>and</w:t>
      </w:r>
      <w:r>
        <w:rPr>
          <w:rFonts w:ascii="Calibri" w:hAnsi="Calibri"/>
          <w:color w:val="231F20"/>
          <w:spacing w:val="-15"/>
          <w:w w:val="105"/>
          <w:sz w:val="17"/>
        </w:rPr>
        <w:t> </w:t>
      </w:r>
      <w:r>
        <w:rPr>
          <w:rFonts w:ascii="Calibri" w:hAnsi="Calibri"/>
          <w:color w:val="231F20"/>
          <w:w w:val="105"/>
          <w:sz w:val="17"/>
        </w:rPr>
        <w:t>legitimacy”,</w:t>
      </w:r>
      <w:r>
        <w:rPr>
          <w:rFonts w:ascii="Calibri" w:hAnsi="Calibri"/>
          <w:color w:val="231F20"/>
          <w:spacing w:val="-14"/>
          <w:w w:val="105"/>
          <w:sz w:val="17"/>
        </w:rPr>
        <w:t> </w:t>
      </w:r>
      <w:r>
        <w:rPr>
          <w:rFonts w:ascii="Calibri" w:hAnsi="Calibri"/>
          <w:i/>
          <w:color w:val="231F20"/>
          <w:w w:val="105"/>
          <w:sz w:val="17"/>
        </w:rPr>
        <w:t>Humanita- </w:t>
      </w:r>
      <w:r>
        <w:rPr>
          <w:rFonts w:ascii="Calibri" w:hAnsi="Calibri"/>
          <w:i/>
          <w:color w:val="231F20"/>
          <w:sz w:val="17"/>
        </w:rPr>
        <w:t>rian Intervention</w:t>
      </w:r>
      <w:r>
        <w:rPr>
          <w:rFonts w:ascii="Calibri" w:hAnsi="Calibri"/>
          <w:color w:val="231F20"/>
          <w:sz w:val="17"/>
        </w:rPr>
        <w:t>, p.</w:t>
      </w:r>
      <w:r>
        <w:rPr>
          <w:rFonts w:ascii="Calibri" w:hAnsi="Calibri"/>
          <w:color w:val="231F20"/>
          <w:spacing w:val="-13"/>
          <w:sz w:val="17"/>
        </w:rPr>
        <w:t> </w:t>
      </w:r>
      <w:r>
        <w:rPr>
          <w:rFonts w:ascii="Calibri" w:hAnsi="Calibri"/>
          <w:color w:val="231F20"/>
          <w:sz w:val="17"/>
        </w:rPr>
        <w:t>58.</w:t>
      </w:r>
    </w:p>
    <w:p>
      <w:pPr>
        <w:spacing w:line="204" w:lineRule="exact" w:before="0"/>
        <w:ind w:left="117" w:right="100" w:firstLine="0"/>
        <w:jc w:val="both"/>
        <w:rPr>
          <w:rFonts w:ascii="Calibri" w:hAnsi="Calibri"/>
          <w:sz w:val="17"/>
        </w:rPr>
      </w:pPr>
      <w:r>
        <w:rPr>
          <w:rFonts w:ascii="Calibri" w:hAnsi="Calibri"/>
          <w:color w:val="231F20"/>
          <w:w w:val="105"/>
          <w:position w:val="6"/>
          <w:sz w:val="10"/>
        </w:rPr>
        <w:t>9 </w:t>
      </w:r>
      <w:r>
        <w:rPr>
          <w:rFonts w:ascii="Calibri" w:hAnsi="Calibri"/>
          <w:color w:val="231F20"/>
          <w:w w:val="105"/>
          <w:sz w:val="17"/>
        </w:rPr>
        <w:t>J. Boyle, “Natural Law and International Ethics”, </w:t>
      </w:r>
      <w:r>
        <w:rPr>
          <w:rFonts w:ascii="Calibri" w:hAnsi="Calibri"/>
          <w:color w:val="231F20"/>
          <w:spacing w:val="-9"/>
          <w:w w:val="105"/>
          <w:sz w:val="17"/>
        </w:rPr>
        <w:t>T. </w:t>
      </w:r>
      <w:r>
        <w:rPr>
          <w:rFonts w:ascii="Calibri" w:hAnsi="Calibri"/>
          <w:color w:val="231F20"/>
          <w:w w:val="105"/>
          <w:sz w:val="17"/>
        </w:rPr>
        <w:t>Nardin y D. R. Mapel, </w:t>
      </w:r>
      <w:r>
        <w:rPr>
          <w:rFonts w:ascii="Calibri" w:hAnsi="Calibri"/>
          <w:i/>
          <w:color w:val="231F20"/>
          <w:w w:val="105"/>
          <w:sz w:val="17"/>
        </w:rPr>
        <w:t>Traditions of Interna- </w:t>
      </w:r>
      <w:r>
        <w:rPr>
          <w:rFonts w:ascii="Calibri" w:hAnsi="Calibri"/>
          <w:i/>
          <w:color w:val="231F20"/>
          <w:w w:val="105"/>
          <w:sz w:val="17"/>
        </w:rPr>
        <w:t>tional</w:t>
      </w:r>
      <w:r>
        <w:rPr>
          <w:rFonts w:ascii="Calibri" w:hAnsi="Calibri"/>
          <w:i/>
          <w:color w:val="231F20"/>
          <w:spacing w:val="-8"/>
          <w:w w:val="105"/>
          <w:sz w:val="17"/>
        </w:rPr>
        <w:t> </w:t>
      </w:r>
      <w:r>
        <w:rPr>
          <w:rFonts w:ascii="Calibri" w:hAnsi="Calibri"/>
          <w:i/>
          <w:color w:val="231F20"/>
          <w:w w:val="105"/>
          <w:sz w:val="17"/>
        </w:rPr>
        <w:t>Ethics</w:t>
      </w:r>
      <w:r>
        <w:rPr>
          <w:rFonts w:ascii="Calibri" w:hAnsi="Calibri"/>
          <w:color w:val="231F20"/>
          <w:w w:val="105"/>
          <w:sz w:val="17"/>
        </w:rPr>
        <w:t>,</w:t>
      </w:r>
      <w:r>
        <w:rPr>
          <w:rFonts w:ascii="Calibri" w:hAnsi="Calibri"/>
          <w:color w:val="231F20"/>
          <w:spacing w:val="-6"/>
          <w:w w:val="105"/>
          <w:sz w:val="17"/>
        </w:rPr>
        <w:t> </w:t>
      </w:r>
      <w:r>
        <w:rPr>
          <w:rFonts w:ascii="Calibri" w:hAnsi="Calibri"/>
          <w:color w:val="231F20"/>
          <w:w w:val="105"/>
          <w:sz w:val="17"/>
        </w:rPr>
        <w:t>Cambridge,</w:t>
      </w:r>
      <w:r>
        <w:rPr>
          <w:rFonts w:ascii="Calibri" w:hAnsi="Calibri"/>
          <w:color w:val="231F20"/>
          <w:spacing w:val="-6"/>
          <w:w w:val="105"/>
          <w:sz w:val="17"/>
        </w:rPr>
        <w:t> </w:t>
      </w:r>
      <w:r>
        <w:rPr>
          <w:rFonts w:ascii="Calibri" w:hAnsi="Calibri"/>
          <w:color w:val="231F20"/>
          <w:w w:val="105"/>
          <w:sz w:val="17"/>
        </w:rPr>
        <w:t>Cambridge</w:t>
      </w:r>
      <w:r>
        <w:rPr>
          <w:rFonts w:ascii="Calibri" w:hAnsi="Calibri"/>
          <w:color w:val="231F20"/>
          <w:spacing w:val="-6"/>
          <w:w w:val="105"/>
          <w:sz w:val="17"/>
        </w:rPr>
        <w:t> </w:t>
      </w:r>
      <w:r>
        <w:rPr>
          <w:rFonts w:ascii="Calibri" w:hAnsi="Calibri"/>
          <w:color w:val="231F20"/>
          <w:w w:val="105"/>
          <w:sz w:val="17"/>
        </w:rPr>
        <w:t>University</w:t>
      </w:r>
      <w:r>
        <w:rPr>
          <w:rFonts w:ascii="Calibri" w:hAnsi="Calibri"/>
          <w:color w:val="231F20"/>
          <w:spacing w:val="-6"/>
          <w:w w:val="105"/>
          <w:sz w:val="17"/>
        </w:rPr>
        <w:t> </w:t>
      </w:r>
      <w:r>
        <w:rPr>
          <w:rFonts w:ascii="Calibri" w:hAnsi="Calibri"/>
          <w:color w:val="231F20"/>
          <w:w w:val="105"/>
          <w:sz w:val="17"/>
        </w:rPr>
        <w:t>Press,</w:t>
      </w:r>
      <w:r>
        <w:rPr>
          <w:rFonts w:ascii="Calibri" w:hAnsi="Calibri"/>
          <w:color w:val="231F20"/>
          <w:spacing w:val="-6"/>
          <w:w w:val="105"/>
          <w:sz w:val="17"/>
        </w:rPr>
        <w:t> </w:t>
      </w:r>
      <w:r>
        <w:rPr>
          <w:rFonts w:ascii="Calibri" w:hAnsi="Calibri"/>
          <w:color w:val="231F20"/>
          <w:w w:val="105"/>
          <w:sz w:val="17"/>
        </w:rPr>
        <w:t>1993,</w:t>
      </w:r>
      <w:r>
        <w:rPr>
          <w:rFonts w:ascii="Calibri" w:hAnsi="Calibri"/>
          <w:color w:val="231F20"/>
          <w:spacing w:val="-6"/>
          <w:w w:val="105"/>
          <w:sz w:val="17"/>
        </w:rPr>
        <w:t> </w:t>
      </w:r>
      <w:r>
        <w:rPr>
          <w:rFonts w:ascii="Calibri" w:hAnsi="Calibri"/>
          <w:color w:val="231F20"/>
          <w:w w:val="105"/>
          <w:sz w:val="17"/>
        </w:rPr>
        <w:t>p.</w:t>
      </w:r>
      <w:r>
        <w:rPr>
          <w:rFonts w:ascii="Calibri" w:hAnsi="Calibri"/>
          <w:color w:val="231F20"/>
          <w:spacing w:val="-6"/>
          <w:w w:val="105"/>
          <w:sz w:val="17"/>
        </w:rPr>
        <w:t> </w:t>
      </w:r>
      <w:r>
        <w:rPr>
          <w:rFonts w:ascii="Calibri" w:hAnsi="Calibri"/>
          <w:color w:val="231F20"/>
          <w:w w:val="105"/>
          <w:sz w:val="17"/>
        </w:rPr>
        <w:t>123:</w:t>
      </w:r>
      <w:r>
        <w:rPr>
          <w:rFonts w:ascii="Calibri" w:hAnsi="Calibri"/>
          <w:color w:val="231F20"/>
          <w:spacing w:val="-6"/>
          <w:w w:val="105"/>
          <w:sz w:val="17"/>
        </w:rPr>
        <w:t> </w:t>
      </w:r>
      <w:r>
        <w:rPr>
          <w:rFonts w:ascii="Calibri" w:hAnsi="Calibri"/>
          <w:color w:val="231F20"/>
          <w:w w:val="105"/>
          <w:sz w:val="17"/>
        </w:rPr>
        <w:t>según</w:t>
      </w:r>
      <w:r>
        <w:rPr>
          <w:rFonts w:ascii="Calibri" w:hAnsi="Calibri"/>
          <w:color w:val="231F20"/>
          <w:spacing w:val="-6"/>
          <w:w w:val="105"/>
          <w:sz w:val="17"/>
        </w:rPr>
        <w:t> </w:t>
      </w:r>
      <w:r>
        <w:rPr>
          <w:rFonts w:ascii="Calibri" w:hAnsi="Calibri"/>
          <w:color w:val="231F20"/>
          <w:w w:val="105"/>
          <w:sz w:val="17"/>
        </w:rPr>
        <w:t>Boyle,</w:t>
      </w:r>
      <w:r>
        <w:rPr>
          <w:rFonts w:ascii="Calibri" w:hAnsi="Calibri"/>
          <w:color w:val="231F20"/>
          <w:spacing w:val="-6"/>
          <w:w w:val="105"/>
          <w:sz w:val="17"/>
        </w:rPr>
        <w:t> </w:t>
      </w:r>
      <w:r>
        <w:rPr>
          <w:rFonts w:ascii="Calibri" w:hAnsi="Calibri"/>
          <w:color w:val="231F20"/>
          <w:w w:val="105"/>
          <w:sz w:val="17"/>
        </w:rPr>
        <w:t>las</w:t>
      </w:r>
      <w:r>
        <w:rPr>
          <w:rFonts w:ascii="Calibri" w:hAnsi="Calibri"/>
          <w:color w:val="231F20"/>
          <w:spacing w:val="-6"/>
          <w:w w:val="105"/>
          <w:sz w:val="17"/>
        </w:rPr>
        <w:t> </w:t>
      </w:r>
      <w:r>
        <w:rPr>
          <w:rFonts w:ascii="Calibri" w:hAnsi="Calibri"/>
          <w:color w:val="231F20"/>
          <w:w w:val="105"/>
          <w:sz w:val="17"/>
        </w:rPr>
        <w:t>obligaciones frente</w:t>
      </w:r>
      <w:r>
        <w:rPr>
          <w:rFonts w:ascii="Calibri" w:hAnsi="Calibri"/>
          <w:color w:val="231F20"/>
          <w:spacing w:val="-4"/>
          <w:w w:val="105"/>
          <w:sz w:val="17"/>
        </w:rPr>
        <w:t> </w:t>
      </w:r>
      <w:r>
        <w:rPr>
          <w:rFonts w:ascii="Calibri" w:hAnsi="Calibri"/>
          <w:color w:val="231F20"/>
          <w:w w:val="105"/>
          <w:sz w:val="17"/>
        </w:rPr>
        <w:t>a</w:t>
      </w:r>
      <w:r>
        <w:rPr>
          <w:rFonts w:ascii="Calibri" w:hAnsi="Calibri"/>
          <w:color w:val="231F20"/>
          <w:spacing w:val="-4"/>
          <w:w w:val="105"/>
          <w:sz w:val="17"/>
        </w:rPr>
        <w:t> </w:t>
      </w:r>
      <w:r>
        <w:rPr>
          <w:rFonts w:ascii="Calibri" w:hAnsi="Calibri"/>
          <w:color w:val="231F20"/>
          <w:w w:val="105"/>
          <w:sz w:val="17"/>
        </w:rPr>
        <w:t>los</w:t>
      </w:r>
      <w:r>
        <w:rPr>
          <w:rFonts w:ascii="Calibri" w:hAnsi="Calibri"/>
          <w:color w:val="231F20"/>
          <w:spacing w:val="-4"/>
          <w:w w:val="105"/>
          <w:sz w:val="17"/>
        </w:rPr>
        <w:t> </w:t>
      </w:r>
      <w:r>
        <w:rPr>
          <w:rFonts w:ascii="Calibri" w:hAnsi="Calibri"/>
          <w:color w:val="231F20"/>
          <w:w w:val="105"/>
          <w:sz w:val="17"/>
        </w:rPr>
        <w:t>demás</w:t>
      </w:r>
      <w:r>
        <w:rPr>
          <w:rFonts w:ascii="Calibri" w:hAnsi="Calibri"/>
          <w:color w:val="231F20"/>
          <w:spacing w:val="-4"/>
          <w:w w:val="105"/>
          <w:sz w:val="17"/>
        </w:rPr>
        <w:t> </w:t>
      </w:r>
      <w:r>
        <w:rPr>
          <w:rFonts w:ascii="Calibri" w:hAnsi="Calibri"/>
          <w:color w:val="231F20"/>
          <w:w w:val="105"/>
          <w:sz w:val="17"/>
        </w:rPr>
        <w:t>impuestas</w:t>
      </w:r>
      <w:r>
        <w:rPr>
          <w:rFonts w:ascii="Calibri" w:hAnsi="Calibri"/>
          <w:color w:val="231F20"/>
          <w:spacing w:val="-4"/>
          <w:w w:val="105"/>
          <w:sz w:val="17"/>
        </w:rPr>
        <w:t> </w:t>
      </w:r>
      <w:r>
        <w:rPr>
          <w:rFonts w:ascii="Calibri" w:hAnsi="Calibri"/>
          <w:color w:val="231F20"/>
          <w:w w:val="105"/>
          <w:sz w:val="17"/>
        </w:rPr>
        <w:t>por</w:t>
      </w:r>
      <w:r>
        <w:rPr>
          <w:rFonts w:ascii="Calibri" w:hAnsi="Calibri"/>
          <w:color w:val="231F20"/>
          <w:spacing w:val="-4"/>
          <w:w w:val="105"/>
          <w:sz w:val="17"/>
        </w:rPr>
        <w:t> </w:t>
      </w:r>
      <w:r>
        <w:rPr>
          <w:rFonts w:ascii="Calibri" w:hAnsi="Calibri"/>
          <w:color w:val="231F20"/>
          <w:w w:val="105"/>
          <w:sz w:val="17"/>
        </w:rPr>
        <w:t>nuestra</w:t>
      </w:r>
      <w:r>
        <w:rPr>
          <w:rFonts w:ascii="Calibri" w:hAnsi="Calibri"/>
          <w:color w:val="231F20"/>
          <w:spacing w:val="-4"/>
          <w:w w:val="105"/>
          <w:sz w:val="17"/>
        </w:rPr>
        <w:t> </w:t>
      </w:r>
      <w:r>
        <w:rPr>
          <w:rFonts w:ascii="Calibri" w:hAnsi="Calibri"/>
          <w:color w:val="231F20"/>
          <w:w w:val="105"/>
          <w:sz w:val="17"/>
        </w:rPr>
        <w:t>“moral</w:t>
      </w:r>
      <w:r>
        <w:rPr>
          <w:rFonts w:ascii="Calibri" w:hAnsi="Calibri"/>
          <w:color w:val="231F20"/>
          <w:spacing w:val="-4"/>
          <w:w w:val="105"/>
          <w:sz w:val="17"/>
        </w:rPr>
        <w:t> </w:t>
      </w:r>
      <w:r>
        <w:rPr>
          <w:rFonts w:ascii="Calibri" w:hAnsi="Calibri"/>
          <w:color w:val="231F20"/>
          <w:w w:val="105"/>
          <w:sz w:val="17"/>
        </w:rPr>
        <w:t>común”</w:t>
      </w:r>
      <w:r>
        <w:rPr>
          <w:rFonts w:ascii="Calibri" w:hAnsi="Calibri"/>
          <w:color w:val="231F20"/>
          <w:spacing w:val="-4"/>
          <w:w w:val="105"/>
          <w:sz w:val="17"/>
        </w:rPr>
        <w:t> </w:t>
      </w:r>
      <w:r>
        <w:rPr>
          <w:rFonts w:ascii="Calibri" w:hAnsi="Calibri"/>
          <w:color w:val="231F20"/>
          <w:w w:val="105"/>
          <w:sz w:val="17"/>
        </w:rPr>
        <w:t>no</w:t>
      </w:r>
      <w:r>
        <w:rPr>
          <w:rFonts w:ascii="Calibri" w:hAnsi="Calibri"/>
          <w:color w:val="231F20"/>
          <w:spacing w:val="-4"/>
          <w:w w:val="105"/>
          <w:sz w:val="17"/>
        </w:rPr>
        <w:t> </w:t>
      </w:r>
      <w:r>
        <w:rPr>
          <w:rFonts w:ascii="Calibri" w:hAnsi="Calibri"/>
          <w:color w:val="231F20"/>
          <w:w w:val="105"/>
          <w:sz w:val="17"/>
        </w:rPr>
        <w:t>están</w:t>
      </w:r>
      <w:r>
        <w:rPr>
          <w:rFonts w:ascii="Calibri" w:hAnsi="Calibri"/>
          <w:color w:val="231F20"/>
          <w:spacing w:val="-4"/>
          <w:w w:val="105"/>
          <w:sz w:val="17"/>
        </w:rPr>
        <w:t> </w:t>
      </w:r>
      <w:r>
        <w:rPr>
          <w:rFonts w:ascii="Calibri" w:hAnsi="Calibri"/>
          <w:color w:val="231F20"/>
          <w:w w:val="105"/>
          <w:sz w:val="17"/>
        </w:rPr>
        <w:t>“limitadas</w:t>
      </w:r>
      <w:r>
        <w:rPr>
          <w:rFonts w:ascii="Calibri" w:hAnsi="Calibri"/>
          <w:color w:val="231F20"/>
          <w:spacing w:val="-4"/>
          <w:w w:val="105"/>
          <w:sz w:val="17"/>
        </w:rPr>
        <w:t> </w:t>
      </w:r>
      <w:r>
        <w:rPr>
          <w:rFonts w:ascii="Calibri" w:hAnsi="Calibri"/>
          <w:color w:val="231F20"/>
          <w:w w:val="105"/>
          <w:sz w:val="17"/>
        </w:rPr>
        <w:t>a</w:t>
      </w:r>
      <w:r>
        <w:rPr>
          <w:rFonts w:ascii="Calibri" w:hAnsi="Calibri"/>
          <w:color w:val="231F20"/>
          <w:spacing w:val="-4"/>
          <w:w w:val="105"/>
          <w:sz w:val="17"/>
        </w:rPr>
        <w:t> </w:t>
      </w:r>
      <w:r>
        <w:rPr>
          <w:rFonts w:ascii="Calibri" w:hAnsi="Calibri"/>
          <w:color w:val="231F20"/>
          <w:w w:val="105"/>
          <w:sz w:val="17"/>
        </w:rPr>
        <w:t>las</w:t>
      </w:r>
      <w:r>
        <w:rPr>
          <w:rFonts w:ascii="Calibri" w:hAnsi="Calibri"/>
          <w:color w:val="231F20"/>
          <w:spacing w:val="-4"/>
          <w:w w:val="105"/>
          <w:sz w:val="17"/>
        </w:rPr>
        <w:t> </w:t>
      </w:r>
      <w:r>
        <w:rPr>
          <w:rFonts w:ascii="Calibri" w:hAnsi="Calibri"/>
          <w:color w:val="231F20"/>
          <w:w w:val="105"/>
          <w:sz w:val="17"/>
        </w:rPr>
        <w:t>personas</w:t>
      </w:r>
      <w:r>
        <w:rPr>
          <w:rFonts w:ascii="Calibri" w:hAnsi="Calibri"/>
          <w:color w:val="231F20"/>
          <w:spacing w:val="-4"/>
          <w:w w:val="105"/>
          <w:sz w:val="17"/>
        </w:rPr>
        <w:t> </w:t>
      </w:r>
      <w:r>
        <w:rPr>
          <w:rFonts w:ascii="Calibri" w:hAnsi="Calibri"/>
          <w:color w:val="231F20"/>
          <w:w w:val="105"/>
          <w:sz w:val="17"/>
        </w:rPr>
        <w:t>con quienes</w:t>
      </w:r>
      <w:r>
        <w:rPr>
          <w:rFonts w:ascii="Calibri" w:hAnsi="Calibri"/>
          <w:color w:val="231F20"/>
          <w:spacing w:val="-9"/>
          <w:w w:val="105"/>
          <w:sz w:val="17"/>
        </w:rPr>
        <w:t> </w:t>
      </w:r>
      <w:r>
        <w:rPr>
          <w:rFonts w:ascii="Calibri" w:hAnsi="Calibri"/>
          <w:color w:val="231F20"/>
          <w:w w:val="105"/>
          <w:sz w:val="17"/>
        </w:rPr>
        <w:t>tenemos</w:t>
      </w:r>
      <w:r>
        <w:rPr>
          <w:rFonts w:ascii="Calibri" w:hAnsi="Calibri"/>
          <w:color w:val="231F20"/>
          <w:spacing w:val="-9"/>
          <w:w w:val="105"/>
          <w:sz w:val="17"/>
        </w:rPr>
        <w:t> </w:t>
      </w:r>
      <w:r>
        <w:rPr>
          <w:rFonts w:ascii="Calibri" w:hAnsi="Calibri"/>
          <w:color w:val="231F20"/>
          <w:w w:val="105"/>
          <w:sz w:val="17"/>
        </w:rPr>
        <w:t>relaciones</w:t>
      </w:r>
      <w:r>
        <w:rPr>
          <w:rFonts w:ascii="Calibri" w:hAnsi="Calibri"/>
          <w:color w:val="231F20"/>
          <w:spacing w:val="-9"/>
          <w:w w:val="105"/>
          <w:sz w:val="17"/>
        </w:rPr>
        <w:t> </w:t>
      </w:r>
      <w:r>
        <w:rPr>
          <w:rFonts w:ascii="Calibri" w:hAnsi="Calibri"/>
          <w:color w:val="231F20"/>
          <w:w w:val="105"/>
          <w:sz w:val="17"/>
        </w:rPr>
        <w:t>comunitarias</w:t>
      </w:r>
      <w:r>
        <w:rPr>
          <w:rFonts w:ascii="Calibri" w:hAnsi="Calibri"/>
          <w:color w:val="231F20"/>
          <w:spacing w:val="-9"/>
          <w:w w:val="105"/>
          <w:sz w:val="17"/>
        </w:rPr>
        <w:t> </w:t>
      </w:r>
      <w:r>
        <w:rPr>
          <w:rFonts w:ascii="Calibri" w:hAnsi="Calibri"/>
          <w:color w:val="231F20"/>
          <w:w w:val="105"/>
          <w:sz w:val="17"/>
        </w:rPr>
        <w:t>en</w:t>
      </w:r>
      <w:r>
        <w:rPr>
          <w:rFonts w:ascii="Calibri" w:hAnsi="Calibri"/>
          <w:color w:val="231F20"/>
          <w:spacing w:val="-12"/>
          <w:w w:val="105"/>
          <w:sz w:val="17"/>
        </w:rPr>
        <w:t> </w:t>
      </w:r>
      <w:r>
        <w:rPr>
          <w:rFonts w:ascii="Calibri" w:hAnsi="Calibri"/>
          <w:color w:val="231F20"/>
          <w:w w:val="105"/>
          <w:sz w:val="17"/>
        </w:rPr>
        <w:t>virtud</w:t>
      </w:r>
      <w:r>
        <w:rPr>
          <w:rFonts w:ascii="Calibri" w:hAnsi="Calibri"/>
          <w:color w:val="231F20"/>
          <w:spacing w:val="-9"/>
          <w:w w:val="105"/>
          <w:sz w:val="17"/>
        </w:rPr>
        <w:t> </w:t>
      </w:r>
      <w:r>
        <w:rPr>
          <w:rFonts w:ascii="Calibri" w:hAnsi="Calibri"/>
          <w:color w:val="231F20"/>
          <w:w w:val="105"/>
          <w:sz w:val="17"/>
        </w:rPr>
        <w:t>de</w:t>
      </w:r>
      <w:r>
        <w:rPr>
          <w:rFonts w:ascii="Calibri" w:hAnsi="Calibri"/>
          <w:color w:val="231F20"/>
          <w:spacing w:val="-9"/>
          <w:w w:val="105"/>
          <w:sz w:val="17"/>
        </w:rPr>
        <w:t> </w:t>
      </w:r>
      <w:r>
        <w:rPr>
          <w:rFonts w:ascii="Calibri" w:hAnsi="Calibri"/>
          <w:color w:val="231F20"/>
          <w:w w:val="105"/>
          <w:sz w:val="17"/>
        </w:rPr>
        <w:t>un</w:t>
      </w:r>
      <w:r>
        <w:rPr>
          <w:rFonts w:ascii="Calibri" w:hAnsi="Calibri"/>
          <w:color w:val="231F20"/>
          <w:spacing w:val="-9"/>
          <w:w w:val="105"/>
          <w:sz w:val="17"/>
        </w:rPr>
        <w:t> </w:t>
      </w:r>
      <w:r>
        <w:rPr>
          <w:rFonts w:ascii="Calibri" w:hAnsi="Calibri"/>
          <w:color w:val="231F20"/>
          <w:w w:val="105"/>
          <w:sz w:val="17"/>
        </w:rPr>
        <w:t>contrato,</w:t>
      </w:r>
      <w:r>
        <w:rPr>
          <w:rFonts w:ascii="Calibri" w:hAnsi="Calibri"/>
          <w:color w:val="231F20"/>
          <w:spacing w:val="-9"/>
          <w:w w:val="105"/>
          <w:sz w:val="17"/>
        </w:rPr>
        <w:t> </w:t>
      </w:r>
      <w:r>
        <w:rPr>
          <w:rFonts w:ascii="Calibri" w:hAnsi="Calibri"/>
          <w:color w:val="231F20"/>
          <w:w w:val="105"/>
          <w:sz w:val="17"/>
        </w:rPr>
        <w:t>de</w:t>
      </w:r>
      <w:r>
        <w:rPr>
          <w:rFonts w:ascii="Calibri" w:hAnsi="Calibri"/>
          <w:color w:val="231F20"/>
          <w:spacing w:val="-12"/>
          <w:w w:val="105"/>
          <w:sz w:val="17"/>
        </w:rPr>
        <w:t> </w:t>
      </w:r>
      <w:r>
        <w:rPr>
          <w:rFonts w:ascii="Calibri" w:hAnsi="Calibri"/>
          <w:color w:val="231F20"/>
          <w:w w:val="105"/>
          <w:sz w:val="17"/>
        </w:rPr>
        <w:t>vínculos</w:t>
      </w:r>
      <w:r>
        <w:rPr>
          <w:rFonts w:ascii="Calibri" w:hAnsi="Calibri"/>
          <w:color w:val="231F20"/>
          <w:spacing w:val="-9"/>
          <w:w w:val="105"/>
          <w:sz w:val="17"/>
        </w:rPr>
        <w:t> </w:t>
      </w:r>
      <w:r>
        <w:rPr>
          <w:rFonts w:ascii="Calibri" w:hAnsi="Calibri"/>
          <w:color w:val="231F20"/>
          <w:w w:val="105"/>
          <w:sz w:val="17"/>
        </w:rPr>
        <w:t>politicos</w:t>
      </w:r>
      <w:r>
        <w:rPr>
          <w:rFonts w:ascii="Calibri" w:hAnsi="Calibri"/>
          <w:color w:val="231F20"/>
          <w:spacing w:val="-9"/>
          <w:w w:val="105"/>
          <w:sz w:val="17"/>
        </w:rPr>
        <w:t> </w:t>
      </w:r>
      <w:r>
        <w:rPr>
          <w:rFonts w:ascii="Calibri" w:hAnsi="Calibri"/>
          <w:color w:val="231F20"/>
          <w:w w:val="105"/>
          <w:sz w:val="17"/>
        </w:rPr>
        <w:t>o</w:t>
      </w:r>
      <w:r>
        <w:rPr>
          <w:rFonts w:ascii="Calibri" w:hAnsi="Calibri"/>
          <w:color w:val="231F20"/>
          <w:spacing w:val="-9"/>
          <w:w w:val="105"/>
          <w:sz w:val="17"/>
        </w:rPr>
        <w:t> </w:t>
      </w:r>
      <w:r>
        <w:rPr>
          <w:rFonts w:ascii="Calibri" w:hAnsi="Calibri"/>
          <w:color w:val="231F20"/>
          <w:w w:val="105"/>
          <w:sz w:val="17"/>
        </w:rPr>
        <w:t>de</w:t>
      </w:r>
      <w:r>
        <w:rPr>
          <w:rFonts w:ascii="Calibri" w:hAnsi="Calibri"/>
          <w:color w:val="231F20"/>
          <w:spacing w:val="-9"/>
          <w:w w:val="105"/>
          <w:sz w:val="17"/>
        </w:rPr>
        <w:t> </w:t>
      </w:r>
      <w:r>
        <w:rPr>
          <w:rFonts w:ascii="Calibri" w:hAnsi="Calibri"/>
          <w:color w:val="231F20"/>
          <w:w w:val="105"/>
          <w:sz w:val="17"/>
        </w:rPr>
        <w:t>una pertenencia</w:t>
      </w:r>
      <w:r>
        <w:rPr>
          <w:rFonts w:ascii="Calibri" w:hAnsi="Calibri"/>
          <w:color w:val="231F20"/>
          <w:spacing w:val="-8"/>
          <w:w w:val="105"/>
          <w:sz w:val="17"/>
        </w:rPr>
        <w:t> </w:t>
      </w:r>
      <w:r>
        <w:rPr>
          <w:rFonts w:ascii="Calibri" w:hAnsi="Calibri"/>
          <w:color w:val="231F20"/>
          <w:w w:val="105"/>
          <w:sz w:val="17"/>
        </w:rPr>
        <w:t>territorial</w:t>
      </w:r>
      <w:r>
        <w:rPr>
          <w:rFonts w:ascii="Calibri" w:hAnsi="Calibri"/>
          <w:color w:val="231F20"/>
          <w:spacing w:val="-8"/>
          <w:w w:val="105"/>
          <w:sz w:val="17"/>
        </w:rPr>
        <w:t> </w:t>
      </w:r>
      <w:r>
        <w:rPr>
          <w:rFonts w:ascii="Calibri" w:hAnsi="Calibri"/>
          <w:color w:val="231F20"/>
          <w:w w:val="105"/>
          <w:sz w:val="17"/>
        </w:rPr>
        <w:t>común</w:t>
      </w:r>
      <w:r>
        <w:rPr>
          <w:rFonts w:ascii="Calibri" w:hAnsi="Calibri"/>
          <w:color w:val="231F20"/>
          <w:spacing w:val="-8"/>
          <w:w w:val="105"/>
          <w:sz w:val="17"/>
        </w:rPr>
        <w:t> </w:t>
      </w:r>
      <w:r>
        <w:rPr>
          <w:rFonts w:ascii="Calibri" w:hAnsi="Calibri"/>
          <w:color w:val="231F20"/>
          <w:w w:val="105"/>
          <w:sz w:val="17"/>
        </w:rPr>
        <w:t>(</w:t>
      </w:r>
      <w:r>
        <w:rPr>
          <w:rFonts w:ascii="Calibri" w:hAnsi="Calibri"/>
          <w:i/>
          <w:color w:val="231F20"/>
          <w:w w:val="105"/>
          <w:sz w:val="17"/>
        </w:rPr>
        <w:t>common</w:t>
      </w:r>
      <w:r>
        <w:rPr>
          <w:rFonts w:ascii="Calibri" w:hAnsi="Calibri"/>
          <w:i/>
          <w:color w:val="231F20"/>
          <w:spacing w:val="-9"/>
          <w:w w:val="105"/>
          <w:sz w:val="17"/>
        </w:rPr>
        <w:t> </w:t>
      </w:r>
      <w:r>
        <w:rPr>
          <w:rFonts w:ascii="Calibri" w:hAnsi="Calibri"/>
          <w:i/>
          <w:color w:val="231F20"/>
          <w:w w:val="105"/>
          <w:sz w:val="17"/>
        </w:rPr>
        <w:t>locale</w:t>
      </w:r>
      <w:r>
        <w:rPr>
          <w:rFonts w:ascii="Calibri" w:hAnsi="Calibri"/>
          <w:color w:val="231F20"/>
          <w:w w:val="105"/>
          <w:sz w:val="17"/>
        </w:rPr>
        <w:t>).</w:t>
      </w:r>
      <w:r>
        <w:rPr>
          <w:rFonts w:ascii="Calibri" w:hAnsi="Calibri"/>
          <w:color w:val="231F20"/>
          <w:spacing w:val="-8"/>
          <w:w w:val="105"/>
          <w:sz w:val="17"/>
        </w:rPr>
        <w:t> </w:t>
      </w:r>
      <w:r>
        <w:rPr>
          <w:rFonts w:ascii="Calibri" w:hAnsi="Calibri"/>
          <w:color w:val="231F20"/>
          <w:w w:val="105"/>
          <w:sz w:val="17"/>
        </w:rPr>
        <w:t>Estamos</w:t>
      </w:r>
      <w:r>
        <w:rPr>
          <w:rFonts w:ascii="Calibri" w:hAnsi="Calibri"/>
          <w:color w:val="231F20"/>
          <w:spacing w:val="-8"/>
          <w:w w:val="105"/>
          <w:sz w:val="17"/>
        </w:rPr>
        <w:t> </w:t>
      </w:r>
      <w:r>
        <w:rPr>
          <w:rFonts w:ascii="Calibri" w:hAnsi="Calibri"/>
          <w:color w:val="231F20"/>
          <w:w w:val="105"/>
          <w:sz w:val="17"/>
        </w:rPr>
        <w:t>obligados</w:t>
      </w:r>
      <w:r>
        <w:rPr>
          <w:rFonts w:ascii="Calibri" w:hAnsi="Calibri"/>
          <w:color w:val="231F20"/>
          <w:spacing w:val="-8"/>
          <w:w w:val="105"/>
          <w:sz w:val="17"/>
        </w:rPr>
        <w:t> </w:t>
      </w:r>
      <w:r>
        <w:rPr>
          <w:rFonts w:ascii="Calibri" w:hAnsi="Calibri"/>
          <w:color w:val="231F20"/>
          <w:w w:val="105"/>
          <w:sz w:val="17"/>
        </w:rPr>
        <w:t>a</w:t>
      </w:r>
      <w:r>
        <w:rPr>
          <w:rFonts w:ascii="Calibri" w:hAnsi="Calibri"/>
          <w:color w:val="231F20"/>
          <w:spacing w:val="-8"/>
          <w:w w:val="105"/>
          <w:sz w:val="17"/>
        </w:rPr>
        <w:t> </w:t>
      </w:r>
      <w:r>
        <w:rPr>
          <w:rFonts w:ascii="Calibri" w:hAnsi="Calibri"/>
          <w:color w:val="231F20"/>
          <w:w w:val="105"/>
          <w:sz w:val="17"/>
        </w:rPr>
        <w:t>ayudar</w:t>
      </w:r>
      <w:r>
        <w:rPr>
          <w:rFonts w:ascii="Calibri" w:hAnsi="Calibri"/>
          <w:color w:val="231F20"/>
          <w:spacing w:val="-8"/>
          <w:w w:val="105"/>
          <w:sz w:val="17"/>
        </w:rPr>
        <w:t> </w:t>
      </w:r>
      <w:r>
        <w:rPr>
          <w:rFonts w:ascii="Calibri" w:hAnsi="Calibri"/>
          <w:color w:val="231F20"/>
          <w:w w:val="105"/>
          <w:sz w:val="17"/>
        </w:rPr>
        <w:t>a</w:t>
      </w:r>
      <w:r>
        <w:rPr>
          <w:rFonts w:ascii="Calibri" w:hAnsi="Calibri"/>
          <w:color w:val="231F20"/>
          <w:spacing w:val="-8"/>
          <w:w w:val="105"/>
          <w:sz w:val="17"/>
        </w:rPr>
        <w:t> </w:t>
      </w:r>
      <w:r>
        <w:rPr>
          <w:rFonts w:ascii="Calibri" w:hAnsi="Calibri"/>
          <w:color w:val="231F20"/>
          <w:w w:val="105"/>
          <w:sz w:val="17"/>
        </w:rPr>
        <w:t>cualquiera</w:t>
      </w:r>
      <w:r>
        <w:rPr>
          <w:rFonts w:ascii="Calibri" w:hAnsi="Calibri"/>
          <w:color w:val="231F20"/>
          <w:spacing w:val="-8"/>
          <w:w w:val="105"/>
          <w:sz w:val="17"/>
        </w:rPr>
        <w:t> </w:t>
      </w:r>
      <w:r>
        <w:rPr>
          <w:rFonts w:ascii="Calibri" w:hAnsi="Calibri"/>
          <w:color w:val="231F20"/>
          <w:w w:val="105"/>
          <w:sz w:val="17"/>
        </w:rPr>
        <w:t>a</w:t>
      </w:r>
      <w:r>
        <w:rPr>
          <w:rFonts w:ascii="Calibri" w:hAnsi="Calibri"/>
          <w:color w:val="231F20"/>
          <w:spacing w:val="-8"/>
          <w:w w:val="105"/>
          <w:sz w:val="17"/>
        </w:rPr>
        <w:t> </w:t>
      </w:r>
      <w:r>
        <w:rPr>
          <w:rFonts w:ascii="Calibri" w:hAnsi="Calibri"/>
          <w:color w:val="231F20"/>
          <w:w w:val="105"/>
          <w:sz w:val="17"/>
        </w:rPr>
        <w:t>quien podamos</w:t>
      </w:r>
      <w:r>
        <w:rPr>
          <w:rFonts w:ascii="Calibri" w:hAnsi="Calibri"/>
          <w:color w:val="231F20"/>
          <w:spacing w:val="-20"/>
          <w:w w:val="105"/>
          <w:sz w:val="17"/>
        </w:rPr>
        <w:t> </w:t>
      </w:r>
      <w:r>
        <w:rPr>
          <w:rFonts w:ascii="Calibri" w:hAnsi="Calibri"/>
          <w:color w:val="231F20"/>
          <w:w w:val="105"/>
          <w:sz w:val="17"/>
        </w:rPr>
        <w:t>(en</w:t>
      </w:r>
      <w:r>
        <w:rPr>
          <w:rFonts w:ascii="Calibri" w:hAnsi="Calibri"/>
          <w:color w:val="231F20"/>
          <w:spacing w:val="-20"/>
          <w:w w:val="105"/>
          <w:sz w:val="17"/>
        </w:rPr>
        <w:t> </w:t>
      </w:r>
      <w:r>
        <w:rPr>
          <w:rFonts w:ascii="Calibri" w:hAnsi="Calibri"/>
          <w:color w:val="231F20"/>
          <w:w w:val="105"/>
          <w:sz w:val="17"/>
        </w:rPr>
        <w:t>la</w:t>
      </w:r>
      <w:r>
        <w:rPr>
          <w:rFonts w:ascii="Calibri" w:hAnsi="Calibri"/>
          <w:color w:val="231F20"/>
          <w:spacing w:val="-20"/>
          <w:w w:val="105"/>
          <w:sz w:val="17"/>
        </w:rPr>
        <w:t> </w:t>
      </w:r>
      <w:r>
        <w:rPr>
          <w:rFonts w:ascii="Calibri" w:hAnsi="Calibri"/>
          <w:color w:val="231F20"/>
          <w:w w:val="105"/>
          <w:sz w:val="17"/>
        </w:rPr>
        <w:t>medida</w:t>
      </w:r>
      <w:r>
        <w:rPr>
          <w:rFonts w:ascii="Calibri" w:hAnsi="Calibri"/>
          <w:color w:val="231F20"/>
          <w:spacing w:val="-20"/>
          <w:w w:val="105"/>
          <w:sz w:val="17"/>
        </w:rPr>
        <w:t> </w:t>
      </w:r>
      <w:r>
        <w:rPr>
          <w:rFonts w:ascii="Calibri" w:hAnsi="Calibri"/>
          <w:color w:val="231F20"/>
          <w:w w:val="105"/>
          <w:sz w:val="17"/>
        </w:rPr>
        <w:t>en</w:t>
      </w:r>
      <w:r>
        <w:rPr>
          <w:rFonts w:ascii="Calibri" w:hAnsi="Calibri"/>
          <w:color w:val="231F20"/>
          <w:spacing w:val="-20"/>
          <w:w w:val="105"/>
          <w:sz w:val="17"/>
        </w:rPr>
        <w:t> </w:t>
      </w:r>
      <w:r>
        <w:rPr>
          <w:rFonts w:ascii="Calibri" w:hAnsi="Calibri"/>
          <w:color w:val="231F20"/>
          <w:w w:val="105"/>
          <w:sz w:val="17"/>
        </w:rPr>
        <w:t>que</w:t>
      </w:r>
      <w:r>
        <w:rPr>
          <w:rFonts w:ascii="Calibri" w:hAnsi="Calibri"/>
          <w:color w:val="231F20"/>
          <w:spacing w:val="-20"/>
          <w:w w:val="105"/>
          <w:sz w:val="17"/>
        </w:rPr>
        <w:t> </w:t>
      </w:r>
      <w:r>
        <w:rPr>
          <w:rFonts w:ascii="Calibri" w:hAnsi="Calibri"/>
          <w:color w:val="231F20"/>
          <w:w w:val="105"/>
          <w:sz w:val="17"/>
        </w:rPr>
        <w:t>esto</w:t>
      </w:r>
      <w:r>
        <w:rPr>
          <w:rFonts w:ascii="Calibri" w:hAnsi="Calibri"/>
          <w:color w:val="231F20"/>
          <w:spacing w:val="-20"/>
          <w:w w:val="105"/>
          <w:sz w:val="17"/>
        </w:rPr>
        <w:t> </w:t>
      </w:r>
      <w:r>
        <w:rPr>
          <w:rFonts w:ascii="Calibri" w:hAnsi="Calibri"/>
          <w:color w:val="231F20"/>
          <w:w w:val="105"/>
          <w:sz w:val="17"/>
        </w:rPr>
        <w:t>sea</w:t>
      </w:r>
      <w:r>
        <w:rPr>
          <w:rFonts w:ascii="Calibri" w:hAnsi="Calibri"/>
          <w:color w:val="231F20"/>
          <w:spacing w:val="-20"/>
          <w:w w:val="105"/>
          <w:sz w:val="17"/>
        </w:rPr>
        <w:t> </w:t>
      </w:r>
      <w:r>
        <w:rPr>
          <w:rFonts w:ascii="Calibri" w:hAnsi="Calibri"/>
          <w:color w:val="231F20"/>
          <w:w w:val="105"/>
          <w:sz w:val="17"/>
        </w:rPr>
        <w:t>compatible</w:t>
      </w:r>
      <w:r>
        <w:rPr>
          <w:rFonts w:ascii="Calibri" w:hAnsi="Calibri"/>
          <w:color w:val="231F20"/>
          <w:spacing w:val="-20"/>
          <w:w w:val="105"/>
          <w:sz w:val="17"/>
        </w:rPr>
        <w:t> </w:t>
      </w:r>
      <w:r>
        <w:rPr>
          <w:rFonts w:ascii="Calibri" w:hAnsi="Calibri"/>
          <w:color w:val="231F20"/>
          <w:w w:val="105"/>
          <w:sz w:val="17"/>
        </w:rPr>
        <w:t>con</w:t>
      </w:r>
      <w:r>
        <w:rPr>
          <w:rFonts w:ascii="Calibri" w:hAnsi="Calibri"/>
          <w:color w:val="231F20"/>
          <w:spacing w:val="-20"/>
          <w:w w:val="105"/>
          <w:sz w:val="17"/>
        </w:rPr>
        <w:t> </w:t>
      </w:r>
      <w:r>
        <w:rPr>
          <w:rFonts w:ascii="Calibri" w:hAnsi="Calibri"/>
          <w:color w:val="231F20"/>
          <w:w w:val="105"/>
          <w:sz w:val="17"/>
        </w:rPr>
        <w:t>el</w:t>
      </w:r>
      <w:r>
        <w:rPr>
          <w:rFonts w:ascii="Calibri" w:hAnsi="Calibri"/>
          <w:color w:val="231F20"/>
          <w:spacing w:val="-20"/>
          <w:w w:val="105"/>
          <w:sz w:val="17"/>
        </w:rPr>
        <w:t> </w:t>
      </w:r>
      <w:r>
        <w:rPr>
          <w:rFonts w:ascii="Calibri" w:hAnsi="Calibri"/>
          <w:color w:val="231F20"/>
          <w:w w:val="105"/>
          <w:sz w:val="17"/>
        </w:rPr>
        <w:t>cumplimiento</w:t>
      </w:r>
      <w:r>
        <w:rPr>
          <w:rFonts w:ascii="Calibri" w:hAnsi="Calibri"/>
          <w:color w:val="231F20"/>
          <w:spacing w:val="-20"/>
          <w:w w:val="105"/>
          <w:sz w:val="17"/>
        </w:rPr>
        <w:t> </w:t>
      </w:r>
      <w:r>
        <w:rPr>
          <w:rFonts w:ascii="Calibri" w:hAnsi="Calibri"/>
          <w:color w:val="231F20"/>
          <w:w w:val="105"/>
          <w:sz w:val="17"/>
        </w:rPr>
        <w:t>de</w:t>
      </w:r>
      <w:r>
        <w:rPr>
          <w:rFonts w:ascii="Calibri" w:hAnsi="Calibri"/>
          <w:color w:val="231F20"/>
          <w:spacing w:val="-20"/>
          <w:w w:val="105"/>
          <w:sz w:val="17"/>
        </w:rPr>
        <w:t> </w:t>
      </w:r>
      <w:r>
        <w:rPr>
          <w:rFonts w:ascii="Calibri" w:hAnsi="Calibri"/>
          <w:color w:val="231F20"/>
          <w:w w:val="105"/>
          <w:sz w:val="17"/>
        </w:rPr>
        <w:t>otros</w:t>
      </w:r>
      <w:r>
        <w:rPr>
          <w:rFonts w:ascii="Calibri" w:hAnsi="Calibri"/>
          <w:color w:val="231F20"/>
          <w:spacing w:val="-20"/>
          <w:w w:val="105"/>
          <w:sz w:val="17"/>
        </w:rPr>
        <w:t> </w:t>
      </w:r>
      <w:r>
        <w:rPr>
          <w:rFonts w:ascii="Calibri" w:hAnsi="Calibri"/>
          <w:color w:val="231F20"/>
          <w:w w:val="105"/>
          <w:sz w:val="17"/>
        </w:rPr>
        <w:t>deberes)</w:t>
      </w:r>
      <w:r>
        <w:rPr>
          <w:rFonts w:ascii="Calibri" w:hAnsi="Calibri"/>
          <w:color w:val="231F20"/>
          <w:spacing w:val="-21"/>
          <w:w w:val="105"/>
          <w:sz w:val="17"/>
        </w:rPr>
        <w:t> </w:t>
      </w:r>
      <w:r>
        <w:rPr>
          <w:rFonts w:ascii="Calibri" w:hAnsi="Calibri"/>
          <w:color w:val="231F20"/>
          <w:w w:val="105"/>
          <w:sz w:val="17"/>
        </w:rPr>
        <w:t>y</w:t>
      </w:r>
      <w:r>
        <w:rPr>
          <w:rFonts w:ascii="Calibri" w:hAnsi="Calibri"/>
          <w:color w:val="231F20"/>
          <w:spacing w:val="-20"/>
          <w:w w:val="105"/>
          <w:sz w:val="17"/>
        </w:rPr>
        <w:t> </w:t>
      </w:r>
      <w:r>
        <w:rPr>
          <w:rFonts w:ascii="Calibri" w:hAnsi="Calibri"/>
          <w:color w:val="231F20"/>
          <w:w w:val="105"/>
          <w:sz w:val="17"/>
        </w:rPr>
        <w:t>a</w:t>
      </w:r>
      <w:r>
        <w:rPr>
          <w:rFonts w:ascii="Calibri" w:hAnsi="Calibri"/>
          <w:color w:val="231F20"/>
          <w:spacing w:val="-20"/>
          <w:w w:val="105"/>
          <w:sz w:val="17"/>
        </w:rPr>
        <w:t> </w:t>
      </w:r>
      <w:r>
        <w:rPr>
          <w:rFonts w:ascii="Calibri" w:hAnsi="Calibri"/>
          <w:color w:val="231F20"/>
          <w:w w:val="105"/>
          <w:sz w:val="17"/>
        </w:rPr>
        <w:t>estar listos para crear</w:t>
      </w:r>
      <w:r>
        <w:rPr>
          <w:rFonts w:ascii="Calibri" w:hAnsi="Calibri"/>
          <w:color w:val="231F20"/>
          <w:spacing w:val="-28"/>
          <w:w w:val="105"/>
          <w:sz w:val="17"/>
        </w:rPr>
        <w:t> </w:t>
      </w:r>
      <w:r>
        <w:rPr>
          <w:rFonts w:ascii="Calibri" w:hAnsi="Calibri"/>
          <w:color w:val="231F20"/>
          <w:w w:val="105"/>
          <w:sz w:val="17"/>
        </w:rPr>
        <w:t>y promover relaciones dignas (</w:t>
      </w:r>
      <w:r>
        <w:rPr>
          <w:rFonts w:ascii="Calibri" w:hAnsi="Calibri"/>
          <w:i/>
          <w:color w:val="231F20"/>
          <w:w w:val="105"/>
          <w:sz w:val="17"/>
        </w:rPr>
        <w:t>decent</w:t>
      </w:r>
      <w:r>
        <w:rPr>
          <w:rFonts w:ascii="Calibri" w:hAnsi="Calibri"/>
          <w:color w:val="231F20"/>
          <w:w w:val="105"/>
          <w:sz w:val="17"/>
        </w:rPr>
        <w:t>) con todos ellos. […] En el ámbito de esta moral</w:t>
      </w:r>
      <w:r>
        <w:rPr>
          <w:rFonts w:ascii="Calibri" w:hAnsi="Calibri"/>
          <w:color w:val="231F20"/>
          <w:spacing w:val="-9"/>
          <w:w w:val="105"/>
          <w:sz w:val="17"/>
        </w:rPr>
        <w:t> </w:t>
      </w:r>
      <w:r>
        <w:rPr>
          <w:rFonts w:ascii="Calibri" w:hAnsi="Calibri"/>
          <w:color w:val="231F20"/>
          <w:w w:val="105"/>
          <w:sz w:val="17"/>
        </w:rPr>
        <w:t>común,</w:t>
      </w:r>
      <w:r>
        <w:rPr>
          <w:rFonts w:ascii="Calibri" w:hAnsi="Calibri"/>
          <w:color w:val="231F20"/>
          <w:spacing w:val="-9"/>
          <w:w w:val="105"/>
          <w:sz w:val="17"/>
        </w:rPr>
        <w:t> </w:t>
      </w:r>
      <w:r>
        <w:rPr>
          <w:rFonts w:ascii="Calibri" w:hAnsi="Calibri"/>
          <w:color w:val="231F20"/>
          <w:w w:val="105"/>
          <w:sz w:val="17"/>
        </w:rPr>
        <w:t>el</w:t>
      </w:r>
      <w:r>
        <w:rPr>
          <w:rFonts w:ascii="Calibri" w:hAnsi="Calibri"/>
          <w:color w:val="231F20"/>
          <w:spacing w:val="-9"/>
          <w:w w:val="105"/>
          <w:sz w:val="17"/>
        </w:rPr>
        <w:t> </w:t>
      </w:r>
      <w:r>
        <w:rPr>
          <w:rFonts w:ascii="Calibri" w:hAnsi="Calibri"/>
          <w:color w:val="231F20"/>
          <w:w w:val="105"/>
          <w:sz w:val="17"/>
        </w:rPr>
        <w:t>deber</w:t>
      </w:r>
      <w:r>
        <w:rPr>
          <w:rFonts w:ascii="Calibri" w:hAnsi="Calibri"/>
          <w:color w:val="231F20"/>
          <w:spacing w:val="-9"/>
          <w:w w:val="105"/>
          <w:sz w:val="17"/>
        </w:rPr>
        <w:t> </w:t>
      </w:r>
      <w:r>
        <w:rPr>
          <w:rFonts w:ascii="Calibri" w:hAnsi="Calibri"/>
          <w:color w:val="231F20"/>
          <w:w w:val="105"/>
          <w:sz w:val="17"/>
        </w:rPr>
        <w:t>general</w:t>
      </w:r>
      <w:r>
        <w:rPr>
          <w:rFonts w:ascii="Calibri" w:hAnsi="Calibri"/>
          <w:color w:val="231F20"/>
          <w:spacing w:val="-9"/>
          <w:w w:val="105"/>
          <w:sz w:val="17"/>
        </w:rPr>
        <w:t> </w:t>
      </w:r>
      <w:r>
        <w:rPr>
          <w:rFonts w:ascii="Calibri" w:hAnsi="Calibri"/>
          <w:color w:val="231F20"/>
          <w:w w:val="105"/>
          <w:sz w:val="17"/>
        </w:rPr>
        <w:t>de</w:t>
      </w:r>
      <w:r>
        <w:rPr>
          <w:rFonts w:ascii="Calibri" w:hAnsi="Calibri"/>
          <w:color w:val="231F20"/>
          <w:spacing w:val="-9"/>
          <w:w w:val="105"/>
          <w:sz w:val="17"/>
        </w:rPr>
        <w:t> </w:t>
      </w:r>
      <w:r>
        <w:rPr>
          <w:rFonts w:ascii="Calibri" w:hAnsi="Calibri"/>
          <w:color w:val="231F20"/>
          <w:w w:val="105"/>
          <w:sz w:val="17"/>
        </w:rPr>
        <w:t>ayudar</w:t>
      </w:r>
      <w:r>
        <w:rPr>
          <w:rFonts w:ascii="Calibri" w:hAnsi="Calibri"/>
          <w:color w:val="231F20"/>
          <w:spacing w:val="-9"/>
          <w:w w:val="105"/>
          <w:sz w:val="17"/>
        </w:rPr>
        <w:t> </w:t>
      </w:r>
      <w:r>
        <w:rPr>
          <w:rFonts w:ascii="Calibri" w:hAnsi="Calibri"/>
          <w:color w:val="231F20"/>
          <w:w w:val="105"/>
          <w:sz w:val="17"/>
        </w:rPr>
        <w:t>a</w:t>
      </w:r>
      <w:r>
        <w:rPr>
          <w:rFonts w:ascii="Calibri" w:hAnsi="Calibri"/>
          <w:color w:val="231F20"/>
          <w:spacing w:val="-9"/>
          <w:w w:val="105"/>
          <w:sz w:val="17"/>
        </w:rPr>
        <w:t> </w:t>
      </w:r>
      <w:r>
        <w:rPr>
          <w:rFonts w:ascii="Calibri" w:hAnsi="Calibri"/>
          <w:color w:val="231F20"/>
          <w:w w:val="105"/>
          <w:sz w:val="17"/>
        </w:rPr>
        <w:t>los</w:t>
      </w:r>
      <w:r>
        <w:rPr>
          <w:rFonts w:ascii="Calibri" w:hAnsi="Calibri"/>
          <w:color w:val="231F20"/>
          <w:spacing w:val="-9"/>
          <w:w w:val="105"/>
          <w:sz w:val="17"/>
        </w:rPr>
        <w:t> </w:t>
      </w:r>
      <w:r>
        <w:rPr>
          <w:rFonts w:ascii="Calibri" w:hAnsi="Calibri"/>
          <w:color w:val="231F20"/>
          <w:w w:val="105"/>
          <w:sz w:val="17"/>
        </w:rPr>
        <w:t>demás</w:t>
      </w:r>
      <w:r>
        <w:rPr>
          <w:rFonts w:ascii="Calibri" w:hAnsi="Calibri"/>
          <w:color w:val="231F20"/>
          <w:spacing w:val="-9"/>
          <w:w w:val="105"/>
          <w:sz w:val="17"/>
        </w:rPr>
        <w:t> </w:t>
      </w:r>
      <w:r>
        <w:rPr>
          <w:rFonts w:ascii="Calibri" w:hAnsi="Calibri"/>
          <w:color w:val="231F20"/>
          <w:w w:val="105"/>
          <w:sz w:val="17"/>
        </w:rPr>
        <w:t>es</w:t>
      </w:r>
      <w:r>
        <w:rPr>
          <w:rFonts w:ascii="Calibri" w:hAnsi="Calibri"/>
          <w:color w:val="231F20"/>
          <w:spacing w:val="-9"/>
          <w:w w:val="105"/>
          <w:sz w:val="17"/>
        </w:rPr>
        <w:t> </w:t>
      </w:r>
      <w:r>
        <w:rPr>
          <w:rFonts w:ascii="Calibri" w:hAnsi="Calibri"/>
          <w:color w:val="231F20"/>
          <w:w w:val="105"/>
          <w:sz w:val="17"/>
        </w:rPr>
        <w:t>el</w:t>
      </w:r>
      <w:r>
        <w:rPr>
          <w:rFonts w:ascii="Calibri" w:hAnsi="Calibri"/>
          <w:color w:val="231F20"/>
          <w:spacing w:val="-9"/>
          <w:w w:val="105"/>
          <w:sz w:val="17"/>
        </w:rPr>
        <w:t> </w:t>
      </w:r>
      <w:r>
        <w:rPr>
          <w:rFonts w:ascii="Calibri" w:hAnsi="Calibri"/>
          <w:color w:val="231F20"/>
          <w:w w:val="105"/>
          <w:sz w:val="17"/>
        </w:rPr>
        <w:t>mayor</w:t>
      </w:r>
      <w:r>
        <w:rPr>
          <w:rFonts w:ascii="Calibri" w:hAnsi="Calibri"/>
          <w:color w:val="231F20"/>
          <w:spacing w:val="-9"/>
          <w:w w:val="105"/>
          <w:sz w:val="17"/>
        </w:rPr>
        <w:t> </w:t>
      </w:r>
      <w:r>
        <w:rPr>
          <w:rFonts w:ascii="Calibri" w:hAnsi="Calibri"/>
          <w:color w:val="231F20"/>
          <w:w w:val="105"/>
          <w:sz w:val="17"/>
        </w:rPr>
        <w:t>fundamento</w:t>
      </w:r>
      <w:r>
        <w:rPr>
          <w:rFonts w:ascii="Calibri" w:hAnsi="Calibri"/>
          <w:color w:val="231F20"/>
          <w:spacing w:val="-9"/>
          <w:w w:val="105"/>
          <w:sz w:val="17"/>
        </w:rPr>
        <w:t> </w:t>
      </w:r>
      <w:r>
        <w:rPr>
          <w:rFonts w:ascii="Calibri" w:hAnsi="Calibri"/>
          <w:color w:val="231F20"/>
          <w:w w:val="105"/>
          <w:sz w:val="17"/>
        </w:rPr>
        <w:t>de</w:t>
      </w:r>
      <w:r>
        <w:rPr>
          <w:rFonts w:ascii="Calibri" w:hAnsi="Calibri"/>
          <w:color w:val="231F20"/>
          <w:spacing w:val="-9"/>
          <w:w w:val="105"/>
          <w:sz w:val="17"/>
        </w:rPr>
        <w:t> </w:t>
      </w:r>
      <w:r>
        <w:rPr>
          <w:rFonts w:ascii="Calibri" w:hAnsi="Calibri"/>
          <w:color w:val="231F20"/>
          <w:w w:val="105"/>
          <w:sz w:val="17"/>
        </w:rPr>
        <w:t>la</w:t>
      </w:r>
      <w:r>
        <w:rPr>
          <w:rFonts w:ascii="Calibri" w:hAnsi="Calibri"/>
          <w:color w:val="231F20"/>
          <w:spacing w:val="-9"/>
          <w:w w:val="105"/>
          <w:sz w:val="17"/>
        </w:rPr>
        <w:t> </w:t>
      </w:r>
      <w:r>
        <w:rPr>
          <w:rFonts w:ascii="Calibri" w:hAnsi="Calibri"/>
          <w:color w:val="231F20"/>
          <w:w w:val="105"/>
          <w:sz w:val="17"/>
        </w:rPr>
        <w:t>intervención de los asuntos internos de una nación por parte de los extraños, incluidas otras naciones y los organismos</w:t>
      </w:r>
      <w:r>
        <w:rPr>
          <w:rFonts w:ascii="Calibri" w:hAnsi="Calibri"/>
          <w:color w:val="231F20"/>
          <w:spacing w:val="-25"/>
          <w:w w:val="105"/>
          <w:sz w:val="17"/>
        </w:rPr>
        <w:t> </w:t>
      </w:r>
      <w:r>
        <w:rPr>
          <w:rFonts w:ascii="Calibri" w:hAnsi="Calibri"/>
          <w:color w:val="231F20"/>
          <w:w w:val="105"/>
          <w:sz w:val="17"/>
        </w:rPr>
        <w:t>internacionales.</w:t>
      </w:r>
      <w:r>
        <w:rPr>
          <w:rFonts w:ascii="Calibri" w:hAnsi="Calibri"/>
          <w:color w:val="231F20"/>
          <w:spacing w:val="-25"/>
          <w:w w:val="105"/>
          <w:sz w:val="17"/>
        </w:rPr>
        <w:t> </w:t>
      </w:r>
      <w:r>
        <w:rPr>
          <w:rFonts w:ascii="Calibri" w:hAnsi="Calibri"/>
          <w:color w:val="231F20"/>
          <w:w w:val="105"/>
          <w:sz w:val="17"/>
        </w:rPr>
        <w:t>Las</w:t>
      </w:r>
      <w:r>
        <w:rPr>
          <w:rFonts w:ascii="Calibri" w:hAnsi="Calibri"/>
          <w:color w:val="231F20"/>
          <w:spacing w:val="-25"/>
          <w:w w:val="105"/>
          <w:sz w:val="17"/>
        </w:rPr>
        <w:t> </w:t>
      </w:r>
      <w:r>
        <w:rPr>
          <w:rFonts w:ascii="Calibri" w:hAnsi="Calibri"/>
          <w:color w:val="231F20"/>
          <w:w w:val="105"/>
          <w:sz w:val="17"/>
        </w:rPr>
        <w:t>específicas</w:t>
      </w:r>
      <w:r>
        <w:rPr>
          <w:rFonts w:ascii="Calibri" w:hAnsi="Calibri"/>
          <w:color w:val="231F20"/>
          <w:spacing w:val="-25"/>
          <w:w w:val="105"/>
          <w:sz w:val="17"/>
        </w:rPr>
        <w:t> </w:t>
      </w:r>
      <w:r>
        <w:rPr>
          <w:rFonts w:ascii="Calibri" w:hAnsi="Calibri"/>
          <w:color w:val="231F20"/>
          <w:w w:val="105"/>
          <w:sz w:val="17"/>
        </w:rPr>
        <w:t>implicaciones</w:t>
      </w:r>
      <w:r>
        <w:rPr>
          <w:rFonts w:ascii="Calibri" w:hAnsi="Calibri"/>
          <w:color w:val="231F20"/>
          <w:spacing w:val="-25"/>
          <w:w w:val="105"/>
          <w:sz w:val="17"/>
        </w:rPr>
        <w:t> </w:t>
      </w:r>
      <w:r>
        <w:rPr>
          <w:rFonts w:ascii="Calibri" w:hAnsi="Calibri"/>
          <w:color w:val="231F20"/>
          <w:w w:val="105"/>
          <w:sz w:val="17"/>
        </w:rPr>
        <w:t>del</w:t>
      </w:r>
      <w:r>
        <w:rPr>
          <w:rFonts w:ascii="Calibri" w:hAnsi="Calibri"/>
          <w:color w:val="231F20"/>
          <w:spacing w:val="-25"/>
          <w:w w:val="105"/>
          <w:sz w:val="17"/>
        </w:rPr>
        <w:t> </w:t>
      </w:r>
      <w:r>
        <w:rPr>
          <w:rFonts w:ascii="Calibri" w:hAnsi="Calibri"/>
          <w:color w:val="231F20"/>
          <w:w w:val="105"/>
          <w:sz w:val="17"/>
        </w:rPr>
        <w:t>deber</w:t>
      </w:r>
      <w:r>
        <w:rPr>
          <w:rFonts w:ascii="Calibri" w:hAnsi="Calibri"/>
          <w:color w:val="231F20"/>
          <w:spacing w:val="-25"/>
          <w:w w:val="105"/>
          <w:sz w:val="17"/>
        </w:rPr>
        <w:t> </w:t>
      </w:r>
      <w:r>
        <w:rPr>
          <w:rFonts w:ascii="Calibri" w:hAnsi="Calibri"/>
          <w:color w:val="231F20"/>
          <w:w w:val="105"/>
          <w:sz w:val="17"/>
        </w:rPr>
        <w:t>general</w:t>
      </w:r>
      <w:r>
        <w:rPr>
          <w:rFonts w:ascii="Calibri" w:hAnsi="Calibri"/>
          <w:color w:val="231F20"/>
          <w:spacing w:val="-25"/>
          <w:w w:val="105"/>
          <w:sz w:val="17"/>
        </w:rPr>
        <w:t> </w:t>
      </w:r>
      <w:r>
        <w:rPr>
          <w:rFonts w:ascii="Calibri" w:hAnsi="Calibri"/>
          <w:color w:val="231F20"/>
          <w:w w:val="105"/>
          <w:sz w:val="17"/>
        </w:rPr>
        <w:t>de</w:t>
      </w:r>
      <w:r>
        <w:rPr>
          <w:rFonts w:ascii="Calibri" w:hAnsi="Calibri"/>
          <w:color w:val="231F20"/>
          <w:spacing w:val="-25"/>
          <w:w w:val="105"/>
          <w:sz w:val="17"/>
        </w:rPr>
        <w:t> </w:t>
      </w:r>
      <w:r>
        <w:rPr>
          <w:rFonts w:ascii="Calibri" w:hAnsi="Calibri"/>
          <w:color w:val="231F20"/>
          <w:w w:val="105"/>
          <w:sz w:val="17"/>
        </w:rPr>
        <w:t>proporcionar</w:t>
      </w:r>
      <w:r>
        <w:rPr>
          <w:rFonts w:ascii="Calibri" w:hAnsi="Calibri"/>
          <w:color w:val="231F20"/>
          <w:spacing w:val="-25"/>
          <w:w w:val="105"/>
          <w:sz w:val="17"/>
        </w:rPr>
        <w:t> </w:t>
      </w:r>
      <w:r>
        <w:rPr>
          <w:rFonts w:ascii="Calibri" w:hAnsi="Calibri"/>
          <w:color w:val="231F20"/>
          <w:w w:val="105"/>
          <w:sz w:val="17"/>
        </w:rPr>
        <w:t>ayuda dependen de múltiples factores altamente limitados, que incluyen el respeto de la soberanía</w:t>
      </w:r>
      <w:r>
        <w:rPr>
          <w:rFonts w:ascii="Calibri" w:hAnsi="Calibri"/>
          <w:color w:val="231F20"/>
          <w:spacing w:val="-27"/>
          <w:w w:val="105"/>
          <w:sz w:val="17"/>
        </w:rPr>
        <w:t> </w:t>
      </w:r>
      <w:r>
        <w:rPr>
          <w:rFonts w:ascii="Calibri" w:hAnsi="Calibri"/>
          <w:color w:val="231F20"/>
          <w:w w:val="105"/>
          <w:sz w:val="17"/>
        </w:rPr>
        <w:t>de una</w:t>
      </w:r>
      <w:r>
        <w:rPr>
          <w:rFonts w:ascii="Calibri" w:hAnsi="Calibri"/>
          <w:color w:val="231F20"/>
          <w:spacing w:val="-10"/>
          <w:w w:val="105"/>
          <w:sz w:val="17"/>
        </w:rPr>
        <w:t> </w:t>
      </w:r>
      <w:r>
        <w:rPr>
          <w:rFonts w:ascii="Calibri" w:hAnsi="Calibri"/>
          <w:color w:val="231F20"/>
          <w:w w:val="105"/>
          <w:sz w:val="17"/>
        </w:rPr>
        <w:t>nación</w:t>
      </w:r>
      <w:r>
        <w:rPr>
          <w:rFonts w:ascii="Calibri" w:hAnsi="Calibri"/>
          <w:color w:val="231F20"/>
          <w:spacing w:val="-11"/>
          <w:w w:val="105"/>
          <w:sz w:val="17"/>
        </w:rPr>
        <w:t> </w:t>
      </w:r>
      <w:r>
        <w:rPr>
          <w:rFonts w:ascii="Calibri" w:hAnsi="Calibri"/>
          <w:color w:val="231F20"/>
          <w:w w:val="105"/>
          <w:sz w:val="17"/>
        </w:rPr>
        <w:t>y</w:t>
      </w:r>
      <w:r>
        <w:rPr>
          <w:rFonts w:ascii="Calibri" w:hAnsi="Calibri"/>
          <w:color w:val="231F20"/>
          <w:spacing w:val="-10"/>
          <w:w w:val="105"/>
          <w:sz w:val="17"/>
        </w:rPr>
        <w:t> </w:t>
      </w:r>
      <w:r>
        <w:rPr>
          <w:rFonts w:ascii="Calibri" w:hAnsi="Calibri"/>
          <w:color w:val="231F20"/>
          <w:w w:val="105"/>
          <w:sz w:val="17"/>
        </w:rPr>
        <w:t>la</w:t>
      </w:r>
      <w:r>
        <w:rPr>
          <w:rFonts w:ascii="Calibri" w:hAnsi="Calibri"/>
          <w:color w:val="231F20"/>
          <w:spacing w:val="-10"/>
          <w:w w:val="105"/>
          <w:sz w:val="17"/>
        </w:rPr>
        <w:t> </w:t>
      </w:r>
      <w:r>
        <w:rPr>
          <w:rFonts w:ascii="Calibri" w:hAnsi="Calibri"/>
          <w:color w:val="231F20"/>
          <w:w w:val="105"/>
          <w:sz w:val="17"/>
        </w:rPr>
        <w:t>conciencia</w:t>
      </w:r>
      <w:r>
        <w:rPr>
          <w:rFonts w:ascii="Calibri" w:hAnsi="Calibri"/>
          <w:color w:val="231F20"/>
          <w:spacing w:val="-10"/>
          <w:w w:val="105"/>
          <w:sz w:val="17"/>
        </w:rPr>
        <w:t> </w:t>
      </w:r>
      <w:r>
        <w:rPr>
          <w:rFonts w:ascii="Calibri" w:hAnsi="Calibri"/>
          <w:color w:val="231F20"/>
          <w:w w:val="105"/>
          <w:sz w:val="17"/>
        </w:rPr>
        <w:t>de</w:t>
      </w:r>
      <w:r>
        <w:rPr>
          <w:rFonts w:ascii="Calibri" w:hAnsi="Calibri"/>
          <w:color w:val="231F20"/>
          <w:spacing w:val="-10"/>
          <w:w w:val="105"/>
          <w:sz w:val="17"/>
        </w:rPr>
        <w:t> </w:t>
      </w:r>
      <w:r>
        <w:rPr>
          <w:rFonts w:ascii="Calibri" w:hAnsi="Calibri"/>
          <w:color w:val="231F20"/>
          <w:w w:val="105"/>
          <w:sz w:val="17"/>
        </w:rPr>
        <w:t>los</w:t>
      </w:r>
      <w:r>
        <w:rPr>
          <w:rFonts w:ascii="Calibri" w:hAnsi="Calibri"/>
          <w:color w:val="231F20"/>
          <w:spacing w:val="-10"/>
          <w:w w:val="105"/>
          <w:sz w:val="17"/>
        </w:rPr>
        <w:t> </w:t>
      </w:r>
      <w:r>
        <w:rPr>
          <w:rFonts w:ascii="Calibri" w:hAnsi="Calibri"/>
          <w:color w:val="231F20"/>
          <w:w w:val="105"/>
          <w:sz w:val="17"/>
        </w:rPr>
        <w:t>límites</w:t>
      </w:r>
      <w:r>
        <w:rPr>
          <w:rFonts w:ascii="Calibri" w:hAnsi="Calibri"/>
          <w:color w:val="231F20"/>
          <w:spacing w:val="-10"/>
          <w:w w:val="105"/>
          <w:sz w:val="17"/>
        </w:rPr>
        <w:t> </w:t>
      </w:r>
      <w:r>
        <w:rPr>
          <w:rFonts w:ascii="Calibri" w:hAnsi="Calibri"/>
          <w:color w:val="231F20"/>
          <w:w w:val="105"/>
          <w:sz w:val="17"/>
        </w:rPr>
        <w:t>del</w:t>
      </w:r>
      <w:r>
        <w:rPr>
          <w:rFonts w:ascii="Calibri" w:hAnsi="Calibri"/>
          <w:color w:val="231F20"/>
          <w:spacing w:val="-10"/>
          <w:w w:val="105"/>
          <w:sz w:val="17"/>
        </w:rPr>
        <w:t> </w:t>
      </w:r>
      <w:r>
        <w:rPr>
          <w:rFonts w:ascii="Calibri" w:hAnsi="Calibri"/>
          <w:color w:val="231F20"/>
          <w:w w:val="105"/>
          <w:sz w:val="17"/>
        </w:rPr>
        <w:t>auxilio</w:t>
      </w:r>
      <w:r>
        <w:rPr>
          <w:rFonts w:ascii="Calibri" w:hAnsi="Calibri"/>
          <w:color w:val="231F20"/>
          <w:spacing w:val="-10"/>
          <w:w w:val="105"/>
          <w:sz w:val="17"/>
        </w:rPr>
        <w:t> </w:t>
      </w:r>
      <w:r>
        <w:rPr>
          <w:rFonts w:ascii="Calibri" w:hAnsi="Calibri"/>
          <w:color w:val="231F20"/>
          <w:w w:val="105"/>
          <w:sz w:val="17"/>
        </w:rPr>
        <w:t>externo.</w:t>
      </w:r>
      <w:r>
        <w:rPr>
          <w:rFonts w:ascii="Calibri" w:hAnsi="Calibri"/>
          <w:color w:val="231F20"/>
          <w:spacing w:val="-10"/>
          <w:w w:val="105"/>
          <w:sz w:val="17"/>
        </w:rPr>
        <w:t> </w:t>
      </w:r>
      <w:r>
        <w:rPr>
          <w:rFonts w:ascii="Calibri" w:hAnsi="Calibri"/>
          <w:color w:val="231F20"/>
          <w:w w:val="105"/>
          <w:sz w:val="17"/>
        </w:rPr>
        <w:t>Pero</w:t>
      </w:r>
      <w:r>
        <w:rPr>
          <w:rFonts w:ascii="Calibri" w:hAnsi="Calibri"/>
          <w:color w:val="231F20"/>
          <w:spacing w:val="-10"/>
          <w:w w:val="105"/>
          <w:sz w:val="17"/>
        </w:rPr>
        <w:t> </w:t>
      </w:r>
      <w:r>
        <w:rPr>
          <w:rFonts w:ascii="Calibri" w:hAnsi="Calibri"/>
          <w:color w:val="231F20"/>
          <w:w w:val="105"/>
          <w:sz w:val="17"/>
        </w:rPr>
        <w:t>el</w:t>
      </w:r>
      <w:r>
        <w:rPr>
          <w:rFonts w:ascii="Calibri" w:hAnsi="Calibri"/>
          <w:color w:val="231F20"/>
          <w:spacing w:val="-10"/>
          <w:w w:val="105"/>
          <w:sz w:val="17"/>
        </w:rPr>
        <w:t> </w:t>
      </w:r>
      <w:r>
        <w:rPr>
          <w:rFonts w:ascii="Calibri" w:hAnsi="Calibri"/>
          <w:color w:val="231F20"/>
          <w:w w:val="105"/>
          <w:sz w:val="17"/>
        </w:rPr>
        <w:t>fundamento</w:t>
      </w:r>
      <w:r>
        <w:rPr>
          <w:rFonts w:ascii="Calibri" w:hAnsi="Calibri"/>
          <w:color w:val="231F20"/>
          <w:spacing w:val="-10"/>
          <w:w w:val="105"/>
          <w:sz w:val="17"/>
        </w:rPr>
        <w:t> </w:t>
      </w:r>
      <w:r>
        <w:rPr>
          <w:rFonts w:ascii="Calibri" w:hAnsi="Calibri"/>
          <w:color w:val="231F20"/>
          <w:w w:val="105"/>
          <w:sz w:val="17"/>
        </w:rPr>
        <w:t>normativo</w:t>
      </w:r>
      <w:r>
        <w:rPr>
          <w:rFonts w:ascii="Calibri" w:hAnsi="Calibri"/>
          <w:color w:val="231F20"/>
          <w:spacing w:val="-10"/>
          <w:w w:val="105"/>
          <w:sz w:val="17"/>
        </w:rPr>
        <w:t> </w:t>
      </w:r>
      <w:r>
        <w:rPr>
          <w:rFonts w:ascii="Calibri" w:hAnsi="Calibri"/>
          <w:color w:val="231F20"/>
          <w:w w:val="105"/>
          <w:sz w:val="17"/>
        </w:rPr>
        <w:t>existe y</w:t>
      </w:r>
      <w:r>
        <w:rPr>
          <w:rFonts w:ascii="Calibri" w:hAnsi="Calibri"/>
          <w:color w:val="231F20"/>
          <w:spacing w:val="-12"/>
          <w:w w:val="105"/>
          <w:sz w:val="17"/>
        </w:rPr>
        <w:t> </w:t>
      </w:r>
      <w:r>
        <w:rPr>
          <w:rFonts w:ascii="Calibri" w:hAnsi="Calibri"/>
          <w:color w:val="231F20"/>
          <w:w w:val="105"/>
          <w:sz w:val="17"/>
        </w:rPr>
        <w:t>[…]</w:t>
      </w:r>
      <w:r>
        <w:rPr>
          <w:rFonts w:ascii="Calibri" w:hAnsi="Calibri"/>
          <w:color w:val="231F20"/>
          <w:spacing w:val="-12"/>
          <w:w w:val="105"/>
          <w:sz w:val="17"/>
        </w:rPr>
        <w:t> </w:t>
      </w:r>
      <w:r>
        <w:rPr>
          <w:rFonts w:ascii="Calibri" w:hAnsi="Calibri"/>
          <w:color w:val="231F20"/>
          <w:w w:val="105"/>
          <w:sz w:val="17"/>
        </w:rPr>
        <w:t>en</w:t>
      </w:r>
      <w:r>
        <w:rPr>
          <w:rFonts w:ascii="Calibri" w:hAnsi="Calibri"/>
          <w:color w:val="231F20"/>
          <w:spacing w:val="-12"/>
          <w:w w:val="105"/>
          <w:sz w:val="17"/>
        </w:rPr>
        <w:t> </w:t>
      </w:r>
      <w:r>
        <w:rPr>
          <w:rFonts w:ascii="Calibri" w:hAnsi="Calibri"/>
          <w:color w:val="231F20"/>
          <w:w w:val="105"/>
          <w:sz w:val="17"/>
        </w:rPr>
        <w:t>circunstancias</w:t>
      </w:r>
      <w:r>
        <w:rPr>
          <w:rFonts w:ascii="Calibri" w:hAnsi="Calibri"/>
          <w:color w:val="231F20"/>
          <w:spacing w:val="-12"/>
          <w:w w:val="105"/>
          <w:sz w:val="17"/>
        </w:rPr>
        <w:t> </w:t>
      </w:r>
      <w:r>
        <w:rPr>
          <w:rFonts w:ascii="Calibri" w:hAnsi="Calibri"/>
          <w:color w:val="231F20"/>
          <w:w w:val="105"/>
          <w:sz w:val="17"/>
        </w:rPr>
        <w:t>extremas</w:t>
      </w:r>
      <w:r>
        <w:rPr>
          <w:rFonts w:ascii="Calibri" w:hAnsi="Calibri"/>
          <w:color w:val="231F20"/>
          <w:spacing w:val="-12"/>
          <w:w w:val="105"/>
          <w:sz w:val="17"/>
        </w:rPr>
        <w:t> </w:t>
      </w:r>
      <w:r>
        <w:rPr>
          <w:rFonts w:ascii="Calibri" w:hAnsi="Calibri"/>
          <w:color w:val="231F20"/>
          <w:w w:val="105"/>
          <w:sz w:val="17"/>
        </w:rPr>
        <w:t>puede</w:t>
      </w:r>
      <w:r>
        <w:rPr>
          <w:rFonts w:ascii="Calibri" w:hAnsi="Calibri"/>
          <w:color w:val="231F20"/>
          <w:spacing w:val="-12"/>
          <w:w w:val="105"/>
          <w:sz w:val="17"/>
        </w:rPr>
        <w:t> </w:t>
      </w:r>
      <w:r>
        <w:rPr>
          <w:rFonts w:ascii="Calibri" w:hAnsi="Calibri"/>
          <w:color w:val="231F20"/>
          <w:w w:val="105"/>
          <w:sz w:val="17"/>
        </w:rPr>
        <w:t>justificar</w:t>
      </w:r>
      <w:r>
        <w:rPr>
          <w:rFonts w:ascii="Calibri" w:hAnsi="Calibri"/>
          <w:color w:val="231F20"/>
          <w:spacing w:val="-12"/>
          <w:w w:val="105"/>
          <w:sz w:val="17"/>
        </w:rPr>
        <w:t> </w:t>
      </w:r>
      <w:r>
        <w:rPr>
          <w:rFonts w:ascii="Calibri" w:hAnsi="Calibri"/>
          <w:color w:val="231F20"/>
          <w:w w:val="105"/>
          <w:sz w:val="17"/>
        </w:rPr>
        <w:t>el</w:t>
      </w:r>
      <w:r>
        <w:rPr>
          <w:rFonts w:ascii="Calibri" w:hAnsi="Calibri"/>
          <w:color w:val="231F20"/>
          <w:spacing w:val="-12"/>
          <w:w w:val="105"/>
          <w:sz w:val="17"/>
        </w:rPr>
        <w:t> </w:t>
      </w:r>
      <w:r>
        <w:rPr>
          <w:rFonts w:ascii="Calibri" w:hAnsi="Calibri"/>
          <w:color w:val="231F20"/>
          <w:w w:val="105"/>
          <w:sz w:val="17"/>
        </w:rPr>
        <w:t>uso</w:t>
      </w:r>
      <w:r>
        <w:rPr>
          <w:rFonts w:ascii="Calibri" w:hAnsi="Calibri"/>
          <w:color w:val="231F20"/>
          <w:spacing w:val="-12"/>
          <w:w w:val="105"/>
          <w:sz w:val="17"/>
        </w:rPr>
        <w:t> </w:t>
      </w:r>
      <w:r>
        <w:rPr>
          <w:rFonts w:ascii="Calibri" w:hAnsi="Calibri"/>
          <w:color w:val="231F20"/>
          <w:w w:val="105"/>
          <w:sz w:val="17"/>
        </w:rPr>
        <w:t>de</w:t>
      </w:r>
      <w:r>
        <w:rPr>
          <w:rFonts w:ascii="Calibri" w:hAnsi="Calibri"/>
          <w:color w:val="231F20"/>
          <w:spacing w:val="-12"/>
          <w:w w:val="105"/>
          <w:sz w:val="17"/>
        </w:rPr>
        <w:t> </w:t>
      </w:r>
      <w:r>
        <w:rPr>
          <w:rFonts w:ascii="Calibri" w:hAnsi="Calibri"/>
          <w:color w:val="231F20"/>
          <w:w w:val="105"/>
          <w:sz w:val="17"/>
        </w:rPr>
        <w:t>la</w:t>
      </w:r>
      <w:r>
        <w:rPr>
          <w:rFonts w:ascii="Calibri" w:hAnsi="Calibri"/>
          <w:color w:val="231F20"/>
          <w:spacing w:val="-12"/>
          <w:w w:val="105"/>
          <w:sz w:val="17"/>
        </w:rPr>
        <w:t> </w:t>
      </w:r>
      <w:r>
        <w:rPr>
          <w:rFonts w:ascii="Calibri" w:hAnsi="Calibri"/>
          <w:color w:val="231F20"/>
          <w:spacing w:val="-3"/>
          <w:w w:val="105"/>
          <w:sz w:val="17"/>
        </w:rPr>
        <w:t>fuerza”.</w:t>
      </w:r>
      <w:r>
        <w:rPr>
          <w:rFonts w:ascii="Calibri" w:hAnsi="Calibri"/>
          <w:color w:val="231F20"/>
          <w:spacing w:val="-12"/>
          <w:w w:val="105"/>
          <w:sz w:val="17"/>
        </w:rPr>
        <w:t> </w:t>
      </w:r>
      <w:r>
        <w:rPr>
          <w:rFonts w:ascii="Calibri" w:hAnsi="Calibri"/>
          <w:color w:val="231F20"/>
          <w:w w:val="105"/>
          <w:sz w:val="17"/>
        </w:rPr>
        <w:t>Para</w:t>
      </w:r>
      <w:r>
        <w:rPr>
          <w:rFonts w:ascii="Calibri" w:hAnsi="Calibri"/>
          <w:color w:val="231F20"/>
          <w:spacing w:val="-12"/>
          <w:w w:val="105"/>
          <w:sz w:val="17"/>
        </w:rPr>
        <w:t> </w:t>
      </w:r>
      <w:r>
        <w:rPr>
          <w:rFonts w:ascii="Calibri" w:hAnsi="Calibri"/>
          <w:color w:val="231F20"/>
          <w:w w:val="105"/>
          <w:sz w:val="17"/>
        </w:rPr>
        <w:t>una</w:t>
      </w:r>
      <w:r>
        <w:rPr>
          <w:rFonts w:ascii="Calibri" w:hAnsi="Calibri"/>
          <w:color w:val="231F20"/>
          <w:spacing w:val="-12"/>
          <w:w w:val="105"/>
          <w:sz w:val="17"/>
        </w:rPr>
        <w:t> </w:t>
      </w:r>
      <w:r>
        <w:rPr>
          <w:rFonts w:ascii="Calibri" w:hAnsi="Calibri"/>
          <w:color w:val="231F20"/>
          <w:w w:val="105"/>
          <w:sz w:val="17"/>
        </w:rPr>
        <w:t>útil</w:t>
      </w:r>
      <w:r>
        <w:rPr>
          <w:rFonts w:ascii="Calibri" w:hAnsi="Calibri"/>
          <w:color w:val="231F20"/>
          <w:spacing w:val="-12"/>
          <w:w w:val="105"/>
          <w:sz w:val="17"/>
        </w:rPr>
        <w:t> </w:t>
      </w:r>
      <w:r>
        <w:rPr>
          <w:rFonts w:ascii="Calibri" w:hAnsi="Calibri"/>
          <w:color w:val="231F20"/>
          <w:w w:val="105"/>
          <w:sz w:val="17"/>
        </w:rPr>
        <w:t>revisión</w:t>
      </w:r>
      <w:r>
        <w:rPr>
          <w:rFonts w:ascii="Calibri" w:hAnsi="Calibri"/>
          <w:color w:val="231F20"/>
          <w:spacing w:val="-12"/>
          <w:w w:val="105"/>
          <w:sz w:val="17"/>
        </w:rPr>
        <w:t> </w:t>
      </w:r>
      <w:r>
        <w:rPr>
          <w:rFonts w:ascii="Calibri" w:hAnsi="Calibri"/>
          <w:color w:val="231F20"/>
          <w:w w:val="105"/>
          <w:sz w:val="17"/>
        </w:rPr>
        <w:t>de</w:t>
      </w:r>
      <w:r>
        <w:rPr>
          <w:rFonts w:ascii="Calibri" w:hAnsi="Calibri"/>
          <w:color w:val="231F20"/>
          <w:spacing w:val="-12"/>
          <w:w w:val="105"/>
          <w:sz w:val="17"/>
        </w:rPr>
        <w:t> </w:t>
      </w:r>
      <w:r>
        <w:rPr>
          <w:rFonts w:ascii="Calibri" w:hAnsi="Calibri"/>
          <w:color w:val="231F20"/>
          <w:w w:val="105"/>
          <w:sz w:val="17"/>
        </w:rPr>
        <w:t>este </w:t>
      </w:r>
      <w:r>
        <w:rPr>
          <w:rFonts w:ascii="Calibri" w:hAnsi="Calibri"/>
          <w:color w:val="231F20"/>
          <w:sz w:val="17"/>
        </w:rPr>
        <w:t>aspecto de la discusión véase J.L. Holzgreve, </w:t>
      </w:r>
      <w:r>
        <w:rPr>
          <w:rFonts w:ascii="Calibri" w:hAnsi="Calibri"/>
          <w:i/>
          <w:color w:val="231F20"/>
          <w:sz w:val="17"/>
        </w:rPr>
        <w:t>The humanitarian intervention debate</w:t>
      </w:r>
      <w:r>
        <w:rPr>
          <w:rFonts w:ascii="Calibri" w:hAnsi="Calibri"/>
          <w:color w:val="231F20"/>
          <w:sz w:val="17"/>
        </w:rPr>
        <w:t>, pp.</w:t>
      </w:r>
      <w:r>
        <w:rPr>
          <w:rFonts w:ascii="Calibri" w:hAnsi="Calibri"/>
          <w:color w:val="231F20"/>
          <w:spacing w:val="-22"/>
          <w:sz w:val="17"/>
        </w:rPr>
        <w:t> </w:t>
      </w:r>
      <w:r>
        <w:rPr>
          <w:rFonts w:ascii="Calibri" w:hAnsi="Calibri"/>
          <w:color w:val="231F20"/>
          <w:sz w:val="17"/>
        </w:rPr>
        <w:t>18–19.</w:t>
      </w:r>
    </w:p>
    <w:p>
      <w:pPr>
        <w:spacing w:after="0" w:line="204" w:lineRule="exact"/>
        <w:jc w:val="both"/>
        <w:rPr>
          <w:rFonts w:ascii="Calibri" w:hAnsi="Calibri"/>
          <w:sz w:val="17"/>
        </w:rPr>
        <w:sectPr>
          <w:type w:val="continuous"/>
          <w:pgSz w:w="9640" w:h="13890"/>
          <w:pgMar w:top="0" w:bottom="0" w:left="1300" w:right="1200"/>
        </w:sectPr>
      </w:pPr>
    </w:p>
    <w:p>
      <w:pPr>
        <w:pStyle w:val="BodyText"/>
        <w:spacing w:line="247" w:lineRule="auto" w:before="107"/>
        <w:ind w:left="103" w:right="115"/>
        <w:jc w:val="both"/>
      </w:pPr>
      <w:r>
        <w:rPr>
          <w:color w:val="231F20"/>
        </w:rPr>
        <w:t>Como es evidente, en la base de este “nuevo intervencionismo humani- tario”</w:t>
      </w:r>
      <w:r>
        <w:rPr>
          <w:color w:val="231F20"/>
          <w:position w:val="7"/>
          <w:sz w:val="12"/>
        </w:rPr>
        <w:t>10 </w:t>
      </w:r>
      <w:r>
        <w:rPr>
          <w:color w:val="231F20"/>
        </w:rPr>
        <w:t>se encuentra una fuerte redefinición de la relación —realmente problemática desde el inicio— entre el “viejo orden de la soberanía nacio- nal–estatal ligada al Derecho Internacional”</w:t>
      </w:r>
      <w:r>
        <w:rPr>
          <w:color w:val="231F20"/>
          <w:position w:val="7"/>
          <w:sz w:val="12"/>
        </w:rPr>
        <w:t>11 </w:t>
      </w:r>
      <w:r>
        <w:rPr>
          <w:color w:val="231F20"/>
        </w:rPr>
        <w:t>y la esfera de fundamentales e intangibles atribuciones jurídico–morales habitualmente asociada a la di- mensión de lo humano.</w:t>
      </w:r>
    </w:p>
    <w:p>
      <w:pPr>
        <w:pStyle w:val="BodyText"/>
        <w:spacing w:line="247" w:lineRule="auto"/>
        <w:ind w:left="103" w:right="115" w:firstLine="566"/>
        <w:jc w:val="both"/>
      </w:pPr>
      <w:r>
        <w:rPr>
          <w:color w:val="231F20"/>
        </w:rPr>
        <w:t>En forma más detallada, lo que debe ser analizado nuevamente es ese “principio particularista de la soberanía de los Estados y de la inviola- bilidad de sus fronteras”, presente en la base del proceso de formación del sistema moderno de las relaciones internacionales, desde la paz de Westfalia hasta el nacimiento de las Naciones Unidas</w:t>
      </w:r>
      <w:r>
        <w:rPr>
          <w:color w:val="231F20"/>
          <w:position w:val="7"/>
          <w:sz w:val="12"/>
        </w:rPr>
        <w:t>12</w:t>
      </w:r>
      <w:r>
        <w:rPr>
          <w:color w:val="231F20"/>
        </w:rPr>
        <w:t>: vale mencionar “la exigencia un tiempo indiscutible del Estado soberano de ser el principal lugar de poder y lealtad” y su paralela reivindicación de “una libre discre- cionalidad respecto a la producción de bienes públicos y a la determina- ción de los derechos y de las obligaciones” de los sujetos presentes en el interior de sus</w:t>
      </w:r>
      <w:r>
        <w:rPr>
          <w:color w:val="231F20"/>
          <w:spacing w:val="-40"/>
        </w:rPr>
        <w:t> </w:t>
      </w:r>
      <w:r>
        <w:rPr>
          <w:color w:val="231F20"/>
        </w:rPr>
        <w:t>fronteras</w:t>
      </w:r>
      <w:r>
        <w:rPr>
          <w:color w:val="231F20"/>
          <w:position w:val="7"/>
          <w:sz w:val="12"/>
        </w:rPr>
        <w:t>13</w:t>
      </w:r>
      <w:r>
        <w:rPr>
          <w:color w:val="231F20"/>
        </w:rPr>
        <w:t>.</w:t>
      </w:r>
    </w:p>
    <w:p>
      <w:pPr>
        <w:pStyle w:val="BodyText"/>
        <w:spacing w:line="244" w:lineRule="auto"/>
        <w:ind w:left="103" w:right="114" w:firstLine="566"/>
        <w:jc w:val="both"/>
      </w:pPr>
      <w:r>
        <w:rPr>
          <w:color w:val="231F20"/>
        </w:rPr>
        <w:t>Como demuestran algunos de los principales documentos político– diplomáticos elaborados a partir del final de los años noventa, al tradicio- nal modelo de soberanía </w:t>
      </w:r>
      <w:r>
        <w:rPr>
          <w:rFonts w:ascii="Arial" w:hAnsi="Arial"/>
          <w:i/>
          <w:color w:val="231F20"/>
        </w:rPr>
        <w:t>cerrada</w:t>
      </w:r>
      <w:r>
        <w:rPr>
          <w:color w:val="231F20"/>
        </w:rPr>
        <w:t>, protegida de la interferencia de otros sujetos en el propio ámbito de “jurisdicción interna”</w:t>
      </w:r>
      <w:r>
        <w:rPr>
          <w:color w:val="231F20"/>
          <w:position w:val="7"/>
          <w:sz w:val="12"/>
        </w:rPr>
        <w:t>14</w:t>
      </w:r>
      <w:r>
        <w:rPr>
          <w:color w:val="231F20"/>
        </w:rPr>
        <w:t>, se ha venido im- poniendo un modelo de soberanía </w:t>
      </w:r>
      <w:r>
        <w:rPr>
          <w:rFonts w:ascii="Arial" w:hAnsi="Arial"/>
          <w:i/>
          <w:color w:val="231F20"/>
        </w:rPr>
        <w:t>abierta</w:t>
      </w:r>
      <w:r>
        <w:rPr>
          <w:color w:val="231F20"/>
        </w:rPr>
        <w:t>, expuesta en el ejercicio de sus propias y fundamentales prerrogativas jurídico–institucionales a la vigilan- cia y al juicio de la comunidad internacional: según los partidarios de esta aproximación, es inaceptable que “los gobiernos utilicen el principio de soberanía como un escudo detrás del cual se puede pretender ser libre de desarrollar actividades que crean enormes amenazas a sus ciudadanos, a sus vecinos o al resto de la comunidad internacional</w:t>
      </w:r>
      <w:r>
        <w:rPr>
          <w:color w:val="231F20"/>
          <w:position w:val="7"/>
          <w:sz w:val="12"/>
        </w:rPr>
        <w:t>15</w:t>
      </w:r>
      <w:r>
        <w:rPr>
          <w:color w:val="231F20"/>
        </w:rPr>
        <w:t>.</w:t>
      </w:r>
    </w:p>
    <w:p>
      <w:pPr>
        <w:pStyle w:val="BodyText"/>
        <w:spacing w:before="8"/>
        <w:rPr>
          <w:sz w:val="26"/>
        </w:rPr>
      </w:pPr>
      <w:r>
        <w:rPr/>
        <w:pict>
          <v:line style="position:absolute;mso-position-horizontal-relative:page;mso-position-vertical-relative:paragraph;z-index:7336;mso-wrap-distance-left:0;mso-wrap-distance-right:0" from="65.1968pt,18.233723pt" to="178.5828pt,18.233723pt" stroked="true" strokeweight=".3pt" strokecolor="#231f20">
            <w10:wrap type="topAndBottom"/>
          </v:line>
        </w:pict>
      </w:r>
    </w:p>
    <w:p>
      <w:pPr>
        <w:spacing w:line="204" w:lineRule="exact" w:before="8"/>
        <w:ind w:left="103" w:right="115" w:firstLine="0"/>
        <w:jc w:val="both"/>
        <w:rPr>
          <w:rFonts w:ascii="Calibri" w:hAnsi="Calibri"/>
          <w:sz w:val="17"/>
        </w:rPr>
      </w:pPr>
      <w:r>
        <w:rPr>
          <w:rFonts w:ascii="Calibri" w:hAnsi="Calibri"/>
          <w:color w:val="231F20"/>
          <w:position w:val="6"/>
          <w:sz w:val="10"/>
        </w:rPr>
        <w:t>10 </w:t>
      </w:r>
      <w:r>
        <w:rPr>
          <w:rFonts w:ascii="Calibri" w:hAnsi="Calibri"/>
          <w:i/>
          <w:color w:val="231F20"/>
          <w:sz w:val="17"/>
        </w:rPr>
        <w:t>Cfr. </w:t>
      </w:r>
      <w:r>
        <w:rPr>
          <w:rFonts w:ascii="Calibri" w:hAnsi="Calibri"/>
          <w:color w:val="231F20"/>
          <w:sz w:val="17"/>
        </w:rPr>
        <w:t>D. Chandler, </w:t>
      </w:r>
      <w:r>
        <w:rPr>
          <w:rFonts w:ascii="Calibri" w:hAnsi="Calibri"/>
          <w:i/>
          <w:color w:val="231F20"/>
          <w:sz w:val="17"/>
        </w:rPr>
        <w:t>From Kosovo to Kabul: Human Rights and International Intervention</w:t>
      </w:r>
      <w:r>
        <w:rPr>
          <w:rFonts w:ascii="Calibri" w:hAnsi="Calibri"/>
          <w:color w:val="231F20"/>
          <w:sz w:val="17"/>
        </w:rPr>
        <w:t>, London, Pluto, 2002, nueva edición  2006.</w:t>
      </w:r>
    </w:p>
    <w:p>
      <w:pPr>
        <w:spacing w:line="204" w:lineRule="exact" w:before="0"/>
        <w:ind w:left="103" w:right="115" w:firstLine="0"/>
        <w:jc w:val="both"/>
        <w:rPr>
          <w:rFonts w:ascii="Calibri"/>
          <w:sz w:val="17"/>
        </w:rPr>
      </w:pPr>
      <w:r>
        <w:rPr>
          <w:rFonts w:ascii="Calibri"/>
          <w:color w:val="231F20"/>
          <w:position w:val="6"/>
          <w:sz w:val="10"/>
        </w:rPr>
        <w:t>11 </w:t>
      </w:r>
      <w:r>
        <w:rPr>
          <w:rFonts w:ascii="Calibri"/>
          <w:color w:val="231F20"/>
          <w:sz w:val="17"/>
        </w:rPr>
        <w:t>U. Beck, </w:t>
      </w:r>
      <w:r>
        <w:rPr>
          <w:rFonts w:ascii="Calibri"/>
          <w:i/>
          <w:color w:val="231F20"/>
          <w:sz w:val="17"/>
        </w:rPr>
        <w:t>Der kosmopolitische Blick oder: Krieg ist Frieden</w:t>
      </w:r>
      <w:r>
        <w:rPr>
          <w:rFonts w:ascii="Calibri"/>
          <w:color w:val="231F20"/>
          <w:sz w:val="17"/>
        </w:rPr>
        <w:t>, Frankfurt a. Main, Suhrkamp, 2004 (trad. it. </w:t>
      </w:r>
      <w:r>
        <w:rPr>
          <w:rFonts w:ascii="Calibri"/>
          <w:i/>
          <w:color w:val="231F20"/>
          <w:sz w:val="17"/>
        </w:rPr>
        <w:t>Lo sguardo cosmopolita</w:t>
      </w:r>
      <w:r>
        <w:rPr>
          <w:rFonts w:ascii="Calibri"/>
          <w:color w:val="231F20"/>
          <w:sz w:val="17"/>
        </w:rPr>
        <w:t>, Roma, Carocci, 2005, p. 174).</w:t>
      </w:r>
    </w:p>
    <w:p>
      <w:pPr>
        <w:spacing w:line="206" w:lineRule="exact" w:before="1"/>
        <w:ind w:left="103" w:right="0" w:firstLine="0"/>
        <w:jc w:val="both"/>
        <w:rPr>
          <w:rFonts w:ascii="Calibri" w:hAnsi="Calibri"/>
          <w:sz w:val="17"/>
        </w:rPr>
      </w:pPr>
      <w:r>
        <w:rPr>
          <w:rFonts w:ascii="Calibri" w:hAnsi="Calibri"/>
          <w:color w:val="231F20"/>
          <w:position w:val="6"/>
          <w:sz w:val="10"/>
        </w:rPr>
        <w:t>12  </w:t>
      </w:r>
      <w:r>
        <w:rPr>
          <w:rFonts w:ascii="Calibri" w:hAnsi="Calibri"/>
          <w:color w:val="231F20"/>
          <w:sz w:val="17"/>
        </w:rPr>
        <w:t>D. Zolo, </w:t>
      </w:r>
      <w:r>
        <w:rPr>
          <w:rFonts w:ascii="Calibri" w:hAnsi="Calibri"/>
          <w:i/>
          <w:color w:val="231F20"/>
          <w:sz w:val="17"/>
        </w:rPr>
        <w:t>La giustizia dei vincitori</w:t>
      </w:r>
      <w:r>
        <w:rPr>
          <w:rFonts w:ascii="Calibri" w:hAnsi="Calibri"/>
          <w:color w:val="231F20"/>
          <w:sz w:val="17"/>
        </w:rPr>
        <w:t>, Roma–Bari, Laterza, 2007, pp. 60–61.</w:t>
      </w:r>
    </w:p>
    <w:p>
      <w:pPr>
        <w:spacing w:line="204" w:lineRule="exact" w:before="0"/>
        <w:ind w:left="103" w:right="0" w:firstLine="0"/>
        <w:jc w:val="both"/>
        <w:rPr>
          <w:rFonts w:ascii="Calibri"/>
          <w:sz w:val="17"/>
        </w:rPr>
      </w:pPr>
      <w:r>
        <w:rPr>
          <w:rFonts w:ascii="Calibri"/>
          <w:color w:val="231F20"/>
          <w:position w:val="6"/>
          <w:sz w:val="10"/>
        </w:rPr>
        <w:t>13 </w:t>
      </w:r>
      <w:r>
        <w:rPr>
          <w:rFonts w:ascii="Calibri"/>
          <w:color w:val="231F20"/>
          <w:sz w:val="17"/>
        </w:rPr>
        <w:t>T.J. Farer, </w:t>
      </w:r>
      <w:r>
        <w:rPr>
          <w:rFonts w:ascii="Calibri"/>
          <w:i/>
          <w:color w:val="231F20"/>
          <w:sz w:val="17"/>
        </w:rPr>
        <w:t>Humanitarian intervention before and after 9/11</w:t>
      </w:r>
      <w:r>
        <w:rPr>
          <w:rFonts w:ascii="Calibri"/>
          <w:color w:val="231F20"/>
          <w:sz w:val="17"/>
        </w:rPr>
        <w:t>, p. 55.</w:t>
      </w:r>
    </w:p>
    <w:p>
      <w:pPr>
        <w:spacing w:line="235" w:lineRule="auto" w:before="1"/>
        <w:ind w:left="103" w:right="115" w:firstLine="0"/>
        <w:jc w:val="both"/>
        <w:rPr>
          <w:rFonts w:ascii="Calibri" w:hAnsi="Calibri"/>
          <w:sz w:val="17"/>
        </w:rPr>
      </w:pPr>
      <w:r>
        <w:rPr>
          <w:rFonts w:ascii="Calibri" w:hAnsi="Calibri"/>
          <w:color w:val="231F20"/>
          <w:w w:val="105"/>
          <w:position w:val="6"/>
          <w:sz w:val="10"/>
        </w:rPr>
        <w:t>14</w:t>
      </w:r>
      <w:r>
        <w:rPr>
          <w:rFonts w:ascii="Calibri" w:hAnsi="Calibri"/>
          <w:color w:val="231F20"/>
          <w:spacing w:val="12"/>
          <w:w w:val="105"/>
          <w:position w:val="6"/>
          <w:sz w:val="10"/>
        </w:rPr>
        <w:t> </w:t>
      </w:r>
      <w:r>
        <w:rPr>
          <w:rFonts w:ascii="Calibri" w:hAnsi="Calibri"/>
          <w:i/>
          <w:color w:val="231F20"/>
          <w:w w:val="105"/>
          <w:sz w:val="17"/>
        </w:rPr>
        <w:t>Charter</w:t>
      </w:r>
      <w:r>
        <w:rPr>
          <w:rFonts w:ascii="Calibri" w:hAnsi="Calibri"/>
          <w:i/>
          <w:color w:val="231F20"/>
          <w:spacing w:val="-5"/>
          <w:w w:val="105"/>
          <w:sz w:val="17"/>
        </w:rPr>
        <w:t> </w:t>
      </w:r>
      <w:r>
        <w:rPr>
          <w:rFonts w:ascii="Calibri" w:hAnsi="Calibri"/>
          <w:i/>
          <w:color w:val="231F20"/>
          <w:w w:val="105"/>
          <w:sz w:val="17"/>
        </w:rPr>
        <w:t>of</w:t>
      </w:r>
      <w:r>
        <w:rPr>
          <w:rFonts w:ascii="Calibri" w:hAnsi="Calibri"/>
          <w:i/>
          <w:color w:val="231F20"/>
          <w:spacing w:val="-5"/>
          <w:w w:val="105"/>
          <w:sz w:val="17"/>
        </w:rPr>
        <w:t> </w:t>
      </w:r>
      <w:r>
        <w:rPr>
          <w:rFonts w:ascii="Calibri" w:hAnsi="Calibri"/>
          <w:i/>
          <w:color w:val="231F20"/>
          <w:w w:val="105"/>
          <w:sz w:val="17"/>
        </w:rPr>
        <w:t>United</w:t>
      </w:r>
      <w:r>
        <w:rPr>
          <w:rFonts w:ascii="Calibri" w:hAnsi="Calibri"/>
          <w:i/>
          <w:color w:val="231F20"/>
          <w:spacing w:val="-5"/>
          <w:w w:val="105"/>
          <w:sz w:val="17"/>
        </w:rPr>
        <w:t> </w:t>
      </w:r>
      <w:r>
        <w:rPr>
          <w:rFonts w:ascii="Calibri" w:hAnsi="Calibri"/>
          <w:i/>
          <w:color w:val="231F20"/>
          <w:w w:val="105"/>
          <w:sz w:val="17"/>
        </w:rPr>
        <w:t>Nations</w:t>
      </w:r>
      <w:r>
        <w:rPr>
          <w:rFonts w:ascii="Calibri" w:hAnsi="Calibri"/>
          <w:color w:val="231F20"/>
          <w:w w:val="105"/>
          <w:sz w:val="17"/>
        </w:rPr>
        <w:t>,</w:t>
      </w:r>
      <w:r>
        <w:rPr>
          <w:rFonts w:ascii="Calibri" w:hAnsi="Calibri"/>
          <w:color w:val="231F20"/>
          <w:spacing w:val="-5"/>
          <w:w w:val="105"/>
          <w:sz w:val="17"/>
        </w:rPr>
        <w:t> </w:t>
      </w:r>
      <w:r>
        <w:rPr>
          <w:rFonts w:ascii="Calibri" w:hAnsi="Calibri"/>
          <w:color w:val="231F20"/>
          <w:w w:val="105"/>
          <w:sz w:val="17"/>
        </w:rPr>
        <w:t>art.</w:t>
      </w:r>
      <w:r>
        <w:rPr>
          <w:rFonts w:ascii="Calibri" w:hAnsi="Calibri"/>
          <w:color w:val="231F20"/>
          <w:spacing w:val="-5"/>
          <w:w w:val="105"/>
          <w:sz w:val="17"/>
        </w:rPr>
        <w:t> </w:t>
      </w:r>
      <w:r>
        <w:rPr>
          <w:rFonts w:ascii="Calibri" w:hAnsi="Calibri"/>
          <w:color w:val="231F20"/>
          <w:w w:val="105"/>
          <w:sz w:val="17"/>
        </w:rPr>
        <w:t>2</w:t>
      </w:r>
      <w:r>
        <w:rPr>
          <w:rFonts w:ascii="Calibri" w:hAnsi="Calibri"/>
          <w:color w:val="231F20"/>
          <w:spacing w:val="-5"/>
          <w:w w:val="105"/>
          <w:sz w:val="17"/>
        </w:rPr>
        <w:t> </w:t>
      </w:r>
      <w:r>
        <w:rPr>
          <w:rFonts w:ascii="Calibri" w:hAnsi="Calibri"/>
          <w:color w:val="231F20"/>
          <w:spacing w:val="2"/>
          <w:w w:val="105"/>
          <w:sz w:val="17"/>
        </w:rPr>
        <w:t>(7):</w:t>
      </w:r>
      <w:r>
        <w:rPr>
          <w:rFonts w:ascii="Calibri" w:hAnsi="Calibri"/>
          <w:color w:val="231F20"/>
          <w:spacing w:val="-5"/>
          <w:w w:val="105"/>
          <w:sz w:val="17"/>
        </w:rPr>
        <w:t> </w:t>
      </w:r>
      <w:r>
        <w:rPr>
          <w:rFonts w:ascii="Calibri" w:hAnsi="Calibri"/>
          <w:i/>
          <w:color w:val="231F20"/>
          <w:w w:val="105"/>
          <w:sz w:val="17"/>
        </w:rPr>
        <w:t>“</w:t>
      </w:r>
      <w:r>
        <w:rPr>
          <w:rFonts w:ascii="Calibri" w:hAnsi="Calibri"/>
          <w:color w:val="231F20"/>
          <w:w w:val="105"/>
          <w:sz w:val="17"/>
        </w:rPr>
        <w:t>Nothing</w:t>
      </w:r>
      <w:r>
        <w:rPr>
          <w:rFonts w:ascii="Calibri" w:hAnsi="Calibri"/>
          <w:color w:val="231F20"/>
          <w:spacing w:val="-5"/>
          <w:w w:val="105"/>
          <w:sz w:val="17"/>
        </w:rPr>
        <w:t> </w:t>
      </w:r>
      <w:r>
        <w:rPr>
          <w:rFonts w:ascii="Calibri" w:hAnsi="Calibri"/>
          <w:color w:val="231F20"/>
          <w:w w:val="105"/>
          <w:sz w:val="17"/>
        </w:rPr>
        <w:t>contained</w:t>
      </w:r>
      <w:r>
        <w:rPr>
          <w:rFonts w:ascii="Calibri" w:hAnsi="Calibri"/>
          <w:color w:val="231F20"/>
          <w:spacing w:val="-5"/>
          <w:w w:val="105"/>
          <w:sz w:val="17"/>
        </w:rPr>
        <w:t> </w:t>
      </w:r>
      <w:r>
        <w:rPr>
          <w:rFonts w:ascii="Calibri" w:hAnsi="Calibri"/>
          <w:color w:val="231F20"/>
          <w:w w:val="105"/>
          <w:sz w:val="17"/>
        </w:rPr>
        <w:t>in</w:t>
      </w:r>
      <w:r>
        <w:rPr>
          <w:rFonts w:ascii="Calibri" w:hAnsi="Calibri"/>
          <w:color w:val="231F20"/>
          <w:spacing w:val="-5"/>
          <w:w w:val="105"/>
          <w:sz w:val="17"/>
        </w:rPr>
        <w:t> </w:t>
      </w:r>
      <w:r>
        <w:rPr>
          <w:rFonts w:ascii="Calibri" w:hAnsi="Calibri"/>
          <w:color w:val="231F20"/>
          <w:w w:val="105"/>
          <w:sz w:val="17"/>
        </w:rPr>
        <w:t>the</w:t>
      </w:r>
      <w:r>
        <w:rPr>
          <w:rFonts w:ascii="Calibri" w:hAnsi="Calibri"/>
          <w:color w:val="231F20"/>
          <w:spacing w:val="-5"/>
          <w:w w:val="105"/>
          <w:sz w:val="17"/>
        </w:rPr>
        <w:t> </w:t>
      </w:r>
      <w:r>
        <w:rPr>
          <w:rFonts w:ascii="Calibri" w:hAnsi="Calibri"/>
          <w:color w:val="231F20"/>
          <w:w w:val="105"/>
          <w:sz w:val="17"/>
        </w:rPr>
        <w:t>present</w:t>
      </w:r>
      <w:r>
        <w:rPr>
          <w:rFonts w:ascii="Calibri" w:hAnsi="Calibri"/>
          <w:color w:val="231F20"/>
          <w:spacing w:val="-5"/>
          <w:w w:val="105"/>
          <w:sz w:val="17"/>
        </w:rPr>
        <w:t> </w:t>
      </w:r>
      <w:r>
        <w:rPr>
          <w:rFonts w:ascii="Calibri" w:hAnsi="Calibri"/>
          <w:color w:val="231F20"/>
          <w:w w:val="105"/>
          <w:sz w:val="17"/>
        </w:rPr>
        <w:t>Charter</w:t>
      </w:r>
      <w:r>
        <w:rPr>
          <w:rFonts w:ascii="Calibri" w:hAnsi="Calibri"/>
          <w:color w:val="231F20"/>
          <w:spacing w:val="-5"/>
          <w:w w:val="105"/>
          <w:sz w:val="17"/>
        </w:rPr>
        <w:t> </w:t>
      </w:r>
      <w:r>
        <w:rPr>
          <w:rFonts w:ascii="Calibri" w:hAnsi="Calibri"/>
          <w:color w:val="231F20"/>
          <w:w w:val="105"/>
          <w:sz w:val="17"/>
        </w:rPr>
        <w:t>shall</w:t>
      </w:r>
      <w:r>
        <w:rPr>
          <w:rFonts w:ascii="Calibri" w:hAnsi="Calibri"/>
          <w:color w:val="231F20"/>
          <w:spacing w:val="-5"/>
          <w:w w:val="105"/>
          <w:sz w:val="17"/>
        </w:rPr>
        <w:t> </w:t>
      </w:r>
      <w:r>
        <w:rPr>
          <w:rFonts w:ascii="Calibri" w:hAnsi="Calibri"/>
          <w:color w:val="231F20"/>
          <w:w w:val="105"/>
          <w:sz w:val="17"/>
        </w:rPr>
        <w:t>authorize the</w:t>
      </w:r>
      <w:r>
        <w:rPr>
          <w:rFonts w:ascii="Calibri" w:hAnsi="Calibri"/>
          <w:color w:val="231F20"/>
          <w:spacing w:val="-5"/>
          <w:w w:val="105"/>
          <w:sz w:val="17"/>
        </w:rPr>
        <w:t> </w:t>
      </w:r>
      <w:r>
        <w:rPr>
          <w:rFonts w:ascii="Calibri" w:hAnsi="Calibri"/>
          <w:color w:val="231F20"/>
          <w:w w:val="105"/>
          <w:sz w:val="17"/>
        </w:rPr>
        <w:t>United</w:t>
      </w:r>
      <w:r>
        <w:rPr>
          <w:rFonts w:ascii="Calibri" w:hAnsi="Calibri"/>
          <w:color w:val="231F20"/>
          <w:spacing w:val="-5"/>
          <w:w w:val="105"/>
          <w:sz w:val="17"/>
        </w:rPr>
        <w:t> </w:t>
      </w:r>
      <w:r>
        <w:rPr>
          <w:rFonts w:ascii="Calibri" w:hAnsi="Calibri"/>
          <w:color w:val="231F20"/>
          <w:w w:val="105"/>
          <w:sz w:val="17"/>
        </w:rPr>
        <w:t>Nations</w:t>
      </w:r>
      <w:r>
        <w:rPr>
          <w:rFonts w:ascii="Calibri" w:hAnsi="Calibri"/>
          <w:color w:val="231F20"/>
          <w:spacing w:val="-5"/>
          <w:w w:val="105"/>
          <w:sz w:val="17"/>
        </w:rPr>
        <w:t> </w:t>
      </w:r>
      <w:r>
        <w:rPr>
          <w:rFonts w:ascii="Calibri" w:hAnsi="Calibri"/>
          <w:color w:val="231F20"/>
          <w:w w:val="105"/>
          <w:sz w:val="17"/>
        </w:rPr>
        <w:t>to</w:t>
      </w:r>
      <w:r>
        <w:rPr>
          <w:rFonts w:ascii="Calibri" w:hAnsi="Calibri"/>
          <w:color w:val="231F20"/>
          <w:spacing w:val="-5"/>
          <w:w w:val="105"/>
          <w:sz w:val="17"/>
        </w:rPr>
        <w:t> </w:t>
      </w:r>
      <w:r>
        <w:rPr>
          <w:rFonts w:ascii="Calibri" w:hAnsi="Calibri"/>
          <w:color w:val="231F20"/>
          <w:w w:val="105"/>
          <w:sz w:val="17"/>
        </w:rPr>
        <w:t>intervene</w:t>
      </w:r>
      <w:r>
        <w:rPr>
          <w:rFonts w:ascii="Calibri" w:hAnsi="Calibri"/>
          <w:color w:val="231F20"/>
          <w:spacing w:val="-5"/>
          <w:w w:val="105"/>
          <w:sz w:val="17"/>
        </w:rPr>
        <w:t> </w:t>
      </w:r>
      <w:r>
        <w:rPr>
          <w:rFonts w:ascii="Calibri" w:hAnsi="Calibri"/>
          <w:color w:val="231F20"/>
          <w:w w:val="105"/>
          <w:sz w:val="17"/>
        </w:rPr>
        <w:t>in</w:t>
      </w:r>
      <w:r>
        <w:rPr>
          <w:rFonts w:ascii="Calibri" w:hAnsi="Calibri"/>
          <w:color w:val="231F20"/>
          <w:spacing w:val="-5"/>
          <w:w w:val="105"/>
          <w:sz w:val="17"/>
        </w:rPr>
        <w:t> </w:t>
      </w:r>
      <w:r>
        <w:rPr>
          <w:rFonts w:ascii="Calibri" w:hAnsi="Calibri"/>
          <w:color w:val="231F20"/>
          <w:w w:val="105"/>
          <w:sz w:val="17"/>
        </w:rPr>
        <w:t>matters</w:t>
      </w:r>
      <w:r>
        <w:rPr>
          <w:rFonts w:ascii="Calibri" w:hAnsi="Calibri"/>
          <w:color w:val="231F20"/>
          <w:spacing w:val="-7"/>
          <w:w w:val="105"/>
          <w:sz w:val="17"/>
        </w:rPr>
        <w:t> </w:t>
      </w:r>
      <w:r>
        <w:rPr>
          <w:rFonts w:ascii="Calibri" w:hAnsi="Calibri"/>
          <w:color w:val="231F20"/>
          <w:w w:val="105"/>
          <w:sz w:val="17"/>
        </w:rPr>
        <w:t>which</w:t>
      </w:r>
      <w:r>
        <w:rPr>
          <w:rFonts w:ascii="Calibri" w:hAnsi="Calibri"/>
          <w:color w:val="231F20"/>
          <w:spacing w:val="-5"/>
          <w:w w:val="105"/>
          <w:sz w:val="17"/>
        </w:rPr>
        <w:t> </w:t>
      </w:r>
      <w:r>
        <w:rPr>
          <w:rFonts w:ascii="Calibri" w:hAnsi="Calibri"/>
          <w:color w:val="231F20"/>
          <w:w w:val="105"/>
          <w:sz w:val="17"/>
        </w:rPr>
        <w:t>are</w:t>
      </w:r>
      <w:r>
        <w:rPr>
          <w:rFonts w:ascii="Calibri" w:hAnsi="Calibri"/>
          <w:color w:val="231F20"/>
          <w:spacing w:val="-5"/>
          <w:w w:val="105"/>
          <w:sz w:val="17"/>
        </w:rPr>
        <w:t> </w:t>
      </w:r>
      <w:r>
        <w:rPr>
          <w:rFonts w:ascii="Calibri" w:hAnsi="Calibri"/>
          <w:color w:val="231F20"/>
          <w:w w:val="105"/>
          <w:sz w:val="17"/>
        </w:rPr>
        <w:t>essentially</w:t>
      </w:r>
      <w:r>
        <w:rPr>
          <w:rFonts w:ascii="Calibri" w:hAnsi="Calibri"/>
          <w:color w:val="231F20"/>
          <w:spacing w:val="-7"/>
          <w:w w:val="105"/>
          <w:sz w:val="17"/>
        </w:rPr>
        <w:t> </w:t>
      </w:r>
      <w:r>
        <w:rPr>
          <w:rFonts w:ascii="Calibri" w:hAnsi="Calibri"/>
          <w:color w:val="231F20"/>
          <w:w w:val="105"/>
          <w:sz w:val="17"/>
        </w:rPr>
        <w:t>within</w:t>
      </w:r>
      <w:r>
        <w:rPr>
          <w:rFonts w:ascii="Calibri" w:hAnsi="Calibri"/>
          <w:color w:val="231F20"/>
          <w:spacing w:val="-5"/>
          <w:w w:val="105"/>
          <w:sz w:val="17"/>
        </w:rPr>
        <w:t> </w:t>
      </w:r>
      <w:r>
        <w:rPr>
          <w:rFonts w:ascii="Calibri" w:hAnsi="Calibri"/>
          <w:color w:val="231F20"/>
          <w:w w:val="105"/>
          <w:sz w:val="17"/>
        </w:rPr>
        <w:t>the</w:t>
      </w:r>
      <w:r>
        <w:rPr>
          <w:rFonts w:ascii="Calibri" w:hAnsi="Calibri"/>
          <w:color w:val="231F20"/>
          <w:spacing w:val="-5"/>
          <w:w w:val="105"/>
          <w:sz w:val="17"/>
        </w:rPr>
        <w:t> </w:t>
      </w:r>
      <w:r>
        <w:rPr>
          <w:rFonts w:ascii="Calibri" w:hAnsi="Calibri"/>
          <w:color w:val="231F20"/>
          <w:w w:val="105"/>
          <w:sz w:val="17"/>
        </w:rPr>
        <w:t>domestic</w:t>
      </w:r>
      <w:r>
        <w:rPr>
          <w:rFonts w:ascii="Calibri" w:hAnsi="Calibri"/>
          <w:color w:val="231F20"/>
          <w:spacing w:val="-5"/>
          <w:w w:val="105"/>
          <w:sz w:val="17"/>
        </w:rPr>
        <w:t> </w:t>
      </w:r>
      <w:r>
        <w:rPr>
          <w:rFonts w:ascii="Calibri" w:hAnsi="Calibri"/>
          <w:color w:val="231F20"/>
          <w:w w:val="105"/>
          <w:sz w:val="17"/>
        </w:rPr>
        <w:t>jurisdiction of any state or shall require the Members to submit such matters to settlement under the pre- sent</w:t>
      </w:r>
      <w:r>
        <w:rPr>
          <w:rFonts w:ascii="Calibri" w:hAnsi="Calibri"/>
          <w:color w:val="231F20"/>
          <w:spacing w:val="-16"/>
          <w:w w:val="105"/>
          <w:sz w:val="17"/>
        </w:rPr>
        <w:t> </w:t>
      </w:r>
      <w:r>
        <w:rPr>
          <w:rFonts w:ascii="Calibri" w:hAnsi="Calibri"/>
          <w:color w:val="231F20"/>
          <w:w w:val="105"/>
          <w:sz w:val="17"/>
        </w:rPr>
        <w:t>Charter;</w:t>
      </w:r>
      <w:r>
        <w:rPr>
          <w:rFonts w:ascii="Calibri" w:hAnsi="Calibri"/>
          <w:color w:val="231F20"/>
          <w:spacing w:val="-16"/>
          <w:w w:val="105"/>
          <w:sz w:val="17"/>
        </w:rPr>
        <w:t> </w:t>
      </w:r>
      <w:r>
        <w:rPr>
          <w:rFonts w:ascii="Calibri" w:hAnsi="Calibri"/>
          <w:color w:val="231F20"/>
          <w:w w:val="105"/>
          <w:sz w:val="17"/>
        </w:rPr>
        <w:t>but</w:t>
      </w:r>
      <w:r>
        <w:rPr>
          <w:rFonts w:ascii="Calibri" w:hAnsi="Calibri"/>
          <w:color w:val="231F20"/>
          <w:spacing w:val="-16"/>
          <w:w w:val="105"/>
          <w:sz w:val="17"/>
        </w:rPr>
        <w:t> </w:t>
      </w:r>
      <w:r>
        <w:rPr>
          <w:rFonts w:ascii="Calibri" w:hAnsi="Calibri"/>
          <w:color w:val="231F20"/>
          <w:w w:val="105"/>
          <w:sz w:val="17"/>
        </w:rPr>
        <w:t>this</w:t>
      </w:r>
      <w:r>
        <w:rPr>
          <w:rFonts w:ascii="Calibri" w:hAnsi="Calibri"/>
          <w:color w:val="231F20"/>
          <w:spacing w:val="-16"/>
          <w:w w:val="105"/>
          <w:sz w:val="17"/>
        </w:rPr>
        <w:t> </w:t>
      </w:r>
      <w:r>
        <w:rPr>
          <w:rFonts w:ascii="Calibri" w:hAnsi="Calibri"/>
          <w:color w:val="231F20"/>
          <w:w w:val="105"/>
          <w:sz w:val="17"/>
        </w:rPr>
        <w:t>principle</w:t>
      </w:r>
      <w:r>
        <w:rPr>
          <w:rFonts w:ascii="Calibri" w:hAnsi="Calibri"/>
          <w:color w:val="231F20"/>
          <w:spacing w:val="-16"/>
          <w:w w:val="105"/>
          <w:sz w:val="17"/>
        </w:rPr>
        <w:t> </w:t>
      </w:r>
      <w:r>
        <w:rPr>
          <w:rFonts w:ascii="Calibri" w:hAnsi="Calibri"/>
          <w:color w:val="231F20"/>
          <w:w w:val="105"/>
          <w:sz w:val="17"/>
        </w:rPr>
        <w:t>shall</w:t>
      </w:r>
      <w:r>
        <w:rPr>
          <w:rFonts w:ascii="Calibri" w:hAnsi="Calibri"/>
          <w:color w:val="231F20"/>
          <w:spacing w:val="-16"/>
          <w:w w:val="105"/>
          <w:sz w:val="17"/>
        </w:rPr>
        <w:t> </w:t>
      </w:r>
      <w:r>
        <w:rPr>
          <w:rFonts w:ascii="Calibri" w:hAnsi="Calibri"/>
          <w:color w:val="231F20"/>
          <w:w w:val="105"/>
          <w:sz w:val="17"/>
        </w:rPr>
        <w:t>not</w:t>
      </w:r>
      <w:r>
        <w:rPr>
          <w:rFonts w:ascii="Calibri" w:hAnsi="Calibri"/>
          <w:color w:val="231F20"/>
          <w:spacing w:val="-16"/>
          <w:w w:val="105"/>
          <w:sz w:val="17"/>
        </w:rPr>
        <w:t> </w:t>
      </w:r>
      <w:r>
        <w:rPr>
          <w:rFonts w:ascii="Calibri" w:hAnsi="Calibri"/>
          <w:color w:val="231F20"/>
          <w:w w:val="105"/>
          <w:sz w:val="17"/>
        </w:rPr>
        <w:t>prejudice</w:t>
      </w:r>
      <w:r>
        <w:rPr>
          <w:rFonts w:ascii="Calibri" w:hAnsi="Calibri"/>
          <w:color w:val="231F20"/>
          <w:spacing w:val="-16"/>
          <w:w w:val="105"/>
          <w:sz w:val="17"/>
        </w:rPr>
        <w:t> </w:t>
      </w:r>
      <w:r>
        <w:rPr>
          <w:rFonts w:ascii="Calibri" w:hAnsi="Calibri"/>
          <w:color w:val="231F20"/>
          <w:w w:val="105"/>
          <w:sz w:val="17"/>
        </w:rPr>
        <w:t>the</w:t>
      </w:r>
      <w:r>
        <w:rPr>
          <w:rFonts w:ascii="Calibri" w:hAnsi="Calibri"/>
          <w:color w:val="231F20"/>
          <w:spacing w:val="-16"/>
          <w:w w:val="105"/>
          <w:sz w:val="17"/>
        </w:rPr>
        <w:t> </w:t>
      </w:r>
      <w:r>
        <w:rPr>
          <w:rFonts w:ascii="Calibri" w:hAnsi="Calibri"/>
          <w:color w:val="231F20"/>
          <w:w w:val="105"/>
          <w:sz w:val="17"/>
        </w:rPr>
        <w:t>application</w:t>
      </w:r>
      <w:r>
        <w:rPr>
          <w:rFonts w:ascii="Calibri" w:hAnsi="Calibri"/>
          <w:color w:val="231F20"/>
          <w:spacing w:val="-16"/>
          <w:w w:val="105"/>
          <w:sz w:val="17"/>
        </w:rPr>
        <w:t> </w:t>
      </w:r>
      <w:r>
        <w:rPr>
          <w:rFonts w:ascii="Calibri" w:hAnsi="Calibri"/>
          <w:color w:val="231F20"/>
          <w:w w:val="105"/>
          <w:sz w:val="17"/>
        </w:rPr>
        <w:t>of</w:t>
      </w:r>
      <w:r>
        <w:rPr>
          <w:rFonts w:ascii="Calibri" w:hAnsi="Calibri"/>
          <w:color w:val="231F20"/>
          <w:spacing w:val="-16"/>
          <w:w w:val="105"/>
          <w:sz w:val="17"/>
        </w:rPr>
        <w:t> </w:t>
      </w:r>
      <w:r>
        <w:rPr>
          <w:rFonts w:ascii="Calibri" w:hAnsi="Calibri"/>
          <w:color w:val="231F20"/>
          <w:w w:val="105"/>
          <w:sz w:val="17"/>
        </w:rPr>
        <w:t>enforcement</w:t>
      </w:r>
      <w:r>
        <w:rPr>
          <w:rFonts w:ascii="Calibri" w:hAnsi="Calibri"/>
          <w:color w:val="231F20"/>
          <w:spacing w:val="-16"/>
          <w:w w:val="105"/>
          <w:sz w:val="17"/>
        </w:rPr>
        <w:t> </w:t>
      </w:r>
      <w:r>
        <w:rPr>
          <w:rFonts w:ascii="Calibri" w:hAnsi="Calibri"/>
          <w:color w:val="231F20"/>
          <w:w w:val="105"/>
          <w:sz w:val="17"/>
        </w:rPr>
        <w:t>measures</w:t>
      </w:r>
      <w:r>
        <w:rPr>
          <w:rFonts w:ascii="Calibri" w:hAnsi="Calibri"/>
          <w:color w:val="231F20"/>
          <w:spacing w:val="-16"/>
          <w:w w:val="105"/>
          <w:sz w:val="17"/>
        </w:rPr>
        <w:t> </w:t>
      </w:r>
      <w:r>
        <w:rPr>
          <w:rFonts w:ascii="Calibri" w:hAnsi="Calibri"/>
          <w:color w:val="231F20"/>
          <w:w w:val="105"/>
          <w:sz w:val="17"/>
        </w:rPr>
        <w:t>under Chapter</w:t>
      </w:r>
      <w:r>
        <w:rPr>
          <w:rFonts w:ascii="Calibri" w:hAnsi="Calibri"/>
          <w:color w:val="231F20"/>
          <w:spacing w:val="-10"/>
          <w:w w:val="105"/>
          <w:sz w:val="17"/>
        </w:rPr>
        <w:t> </w:t>
      </w:r>
      <w:r>
        <w:rPr>
          <w:rFonts w:ascii="Calibri" w:hAnsi="Calibri"/>
          <w:color w:val="231F20"/>
          <w:spacing w:val="-8"/>
          <w:w w:val="105"/>
          <w:sz w:val="15"/>
        </w:rPr>
        <w:t>Vll</w:t>
      </w:r>
      <w:r>
        <w:rPr>
          <w:rFonts w:ascii="Calibri" w:hAnsi="Calibri"/>
          <w:color w:val="231F20"/>
          <w:spacing w:val="-8"/>
          <w:w w:val="105"/>
          <w:sz w:val="17"/>
        </w:rPr>
        <w:t>”.</w:t>
      </w:r>
    </w:p>
    <w:p>
      <w:pPr>
        <w:spacing w:line="235" w:lineRule="auto" w:before="0"/>
        <w:ind w:left="103" w:right="115" w:firstLine="0"/>
        <w:jc w:val="both"/>
        <w:rPr>
          <w:rFonts w:ascii="Calibri"/>
          <w:sz w:val="17"/>
        </w:rPr>
      </w:pPr>
      <w:r>
        <w:rPr>
          <w:rFonts w:ascii="Calibri"/>
          <w:color w:val="231F20"/>
          <w:position w:val="6"/>
          <w:sz w:val="10"/>
        </w:rPr>
        <w:t>15 </w:t>
      </w:r>
      <w:r>
        <w:rPr>
          <w:rFonts w:ascii="Calibri"/>
          <w:color w:val="231F20"/>
          <w:sz w:val="17"/>
        </w:rPr>
        <w:t>United States Department of Defense, </w:t>
      </w:r>
      <w:r>
        <w:rPr>
          <w:rFonts w:ascii="Calibri"/>
          <w:i/>
          <w:color w:val="231F20"/>
          <w:sz w:val="17"/>
        </w:rPr>
        <w:t>The National defense strategy of the United States of Ame- </w:t>
      </w:r>
      <w:r>
        <w:rPr>
          <w:rFonts w:ascii="Calibri"/>
          <w:i/>
          <w:color w:val="231F20"/>
          <w:sz w:val="17"/>
        </w:rPr>
        <w:t>rica</w:t>
      </w:r>
      <w:r>
        <w:rPr>
          <w:rFonts w:ascii="Calibri"/>
          <w:color w:val="231F20"/>
          <w:sz w:val="17"/>
        </w:rPr>
        <w:t>, March 2005, citado en A. J. Bellamy, </w:t>
      </w:r>
      <w:r>
        <w:rPr>
          <w:rFonts w:ascii="Calibri"/>
          <w:i/>
          <w:color w:val="231F20"/>
          <w:sz w:val="17"/>
        </w:rPr>
        <w:t>Responsibility to protect</w:t>
      </w:r>
      <w:r>
        <w:rPr>
          <w:rFonts w:ascii="Calibri"/>
          <w:color w:val="231F20"/>
          <w:sz w:val="17"/>
        </w:rPr>
        <w:t>, Cambridge, Polity Press, 2009, p.</w:t>
      </w:r>
    </w:p>
    <w:p>
      <w:pPr>
        <w:spacing w:line="235" w:lineRule="auto" w:before="0"/>
        <w:ind w:left="103" w:right="115" w:firstLine="0"/>
        <w:jc w:val="both"/>
        <w:rPr>
          <w:rFonts w:ascii="Calibri" w:hAnsi="Calibri"/>
          <w:sz w:val="17"/>
        </w:rPr>
      </w:pPr>
      <w:r>
        <w:rPr>
          <w:rFonts w:ascii="Calibri" w:hAnsi="Calibri"/>
          <w:color w:val="231F20"/>
          <w:spacing w:val="-2"/>
          <w:w w:val="105"/>
          <w:sz w:val="17"/>
        </w:rPr>
        <w:t>24.</w:t>
      </w:r>
      <w:r>
        <w:rPr>
          <w:rFonts w:ascii="Calibri" w:hAnsi="Calibri"/>
          <w:color w:val="231F20"/>
          <w:spacing w:val="-15"/>
          <w:w w:val="105"/>
          <w:sz w:val="17"/>
        </w:rPr>
        <w:t> </w:t>
      </w:r>
      <w:r>
        <w:rPr>
          <w:rFonts w:ascii="Calibri" w:hAnsi="Calibri"/>
          <w:color w:val="231F20"/>
          <w:w w:val="105"/>
          <w:sz w:val="17"/>
        </w:rPr>
        <w:t>Aparecen</w:t>
      </w:r>
      <w:r>
        <w:rPr>
          <w:rFonts w:ascii="Calibri" w:hAnsi="Calibri"/>
          <w:color w:val="231F20"/>
          <w:spacing w:val="-15"/>
          <w:w w:val="105"/>
          <w:sz w:val="17"/>
        </w:rPr>
        <w:t> </w:t>
      </w:r>
      <w:r>
        <w:rPr>
          <w:rFonts w:ascii="Calibri" w:hAnsi="Calibri"/>
          <w:color w:val="231F20"/>
          <w:w w:val="105"/>
          <w:sz w:val="17"/>
        </w:rPr>
        <w:t>afirmaciones</w:t>
      </w:r>
      <w:r>
        <w:rPr>
          <w:rFonts w:ascii="Calibri" w:hAnsi="Calibri"/>
          <w:color w:val="231F20"/>
          <w:spacing w:val="-15"/>
          <w:w w:val="105"/>
          <w:sz w:val="17"/>
        </w:rPr>
        <w:t> </w:t>
      </w:r>
      <w:r>
        <w:rPr>
          <w:rFonts w:ascii="Calibri" w:hAnsi="Calibri"/>
          <w:color w:val="231F20"/>
          <w:w w:val="105"/>
          <w:sz w:val="17"/>
        </w:rPr>
        <w:t>análogas</w:t>
      </w:r>
      <w:r>
        <w:rPr>
          <w:rFonts w:ascii="Calibri" w:hAnsi="Calibri"/>
          <w:color w:val="231F20"/>
          <w:spacing w:val="-15"/>
          <w:w w:val="105"/>
          <w:sz w:val="17"/>
        </w:rPr>
        <w:t> </w:t>
      </w:r>
      <w:r>
        <w:rPr>
          <w:rFonts w:ascii="Calibri" w:hAnsi="Calibri"/>
          <w:color w:val="231F20"/>
          <w:w w:val="105"/>
          <w:sz w:val="17"/>
        </w:rPr>
        <w:t>en</w:t>
      </w:r>
      <w:r>
        <w:rPr>
          <w:rFonts w:ascii="Calibri" w:hAnsi="Calibri"/>
          <w:color w:val="231F20"/>
          <w:spacing w:val="-15"/>
          <w:w w:val="105"/>
          <w:sz w:val="17"/>
        </w:rPr>
        <w:t> </w:t>
      </w:r>
      <w:r>
        <w:rPr>
          <w:rFonts w:ascii="Calibri" w:hAnsi="Calibri"/>
          <w:color w:val="231F20"/>
          <w:w w:val="105"/>
          <w:sz w:val="17"/>
        </w:rPr>
        <w:t>la</w:t>
      </w:r>
      <w:r>
        <w:rPr>
          <w:rFonts w:ascii="Calibri" w:hAnsi="Calibri"/>
          <w:color w:val="231F20"/>
          <w:spacing w:val="-15"/>
          <w:w w:val="105"/>
          <w:sz w:val="17"/>
        </w:rPr>
        <w:t> </w:t>
      </w:r>
      <w:r>
        <w:rPr>
          <w:rFonts w:ascii="Calibri" w:hAnsi="Calibri"/>
          <w:color w:val="231F20"/>
          <w:w w:val="105"/>
          <w:sz w:val="17"/>
        </w:rPr>
        <w:t>célebre</w:t>
      </w:r>
      <w:r>
        <w:rPr>
          <w:rFonts w:ascii="Calibri" w:hAnsi="Calibri"/>
          <w:color w:val="231F20"/>
          <w:spacing w:val="-15"/>
          <w:w w:val="105"/>
          <w:sz w:val="17"/>
        </w:rPr>
        <w:t> </w:t>
      </w:r>
      <w:r>
        <w:rPr>
          <w:rFonts w:ascii="Calibri" w:hAnsi="Calibri"/>
          <w:i/>
          <w:color w:val="231F20"/>
          <w:w w:val="105"/>
          <w:sz w:val="17"/>
        </w:rPr>
        <w:t>Doctrine</w:t>
      </w:r>
      <w:r>
        <w:rPr>
          <w:rFonts w:ascii="Calibri" w:hAnsi="Calibri"/>
          <w:i/>
          <w:color w:val="231F20"/>
          <w:spacing w:val="-16"/>
          <w:w w:val="105"/>
          <w:sz w:val="17"/>
        </w:rPr>
        <w:t> </w:t>
      </w:r>
      <w:r>
        <w:rPr>
          <w:rFonts w:ascii="Calibri" w:hAnsi="Calibri"/>
          <w:i/>
          <w:color w:val="231F20"/>
          <w:w w:val="105"/>
          <w:sz w:val="17"/>
        </w:rPr>
        <w:t>of</w:t>
      </w:r>
      <w:r>
        <w:rPr>
          <w:rFonts w:ascii="Calibri" w:hAnsi="Calibri"/>
          <w:i/>
          <w:color w:val="231F20"/>
          <w:spacing w:val="-16"/>
          <w:w w:val="105"/>
          <w:sz w:val="17"/>
        </w:rPr>
        <w:t> </w:t>
      </w:r>
      <w:r>
        <w:rPr>
          <w:rFonts w:ascii="Calibri" w:hAnsi="Calibri"/>
          <w:i/>
          <w:color w:val="231F20"/>
          <w:w w:val="105"/>
          <w:sz w:val="17"/>
        </w:rPr>
        <w:t>the</w:t>
      </w:r>
      <w:r>
        <w:rPr>
          <w:rFonts w:ascii="Calibri" w:hAnsi="Calibri"/>
          <w:i/>
          <w:color w:val="231F20"/>
          <w:spacing w:val="-16"/>
          <w:w w:val="105"/>
          <w:sz w:val="17"/>
        </w:rPr>
        <w:t> </w:t>
      </w:r>
      <w:r>
        <w:rPr>
          <w:rFonts w:ascii="Calibri" w:hAnsi="Calibri"/>
          <w:i/>
          <w:color w:val="231F20"/>
          <w:w w:val="105"/>
          <w:sz w:val="17"/>
        </w:rPr>
        <w:t>International</w:t>
      </w:r>
      <w:r>
        <w:rPr>
          <w:rFonts w:ascii="Calibri" w:hAnsi="Calibri"/>
          <w:i/>
          <w:color w:val="231F20"/>
          <w:spacing w:val="-16"/>
          <w:w w:val="105"/>
          <w:sz w:val="17"/>
        </w:rPr>
        <w:t> </w:t>
      </w:r>
      <w:r>
        <w:rPr>
          <w:rFonts w:ascii="Calibri" w:hAnsi="Calibri"/>
          <w:i/>
          <w:color w:val="231F20"/>
          <w:w w:val="105"/>
          <w:sz w:val="17"/>
        </w:rPr>
        <w:t>Community</w:t>
      </w:r>
      <w:r>
        <w:rPr>
          <w:rFonts w:ascii="Calibri" w:hAnsi="Calibri"/>
          <w:i/>
          <w:color w:val="231F20"/>
          <w:spacing w:val="-16"/>
          <w:w w:val="105"/>
          <w:sz w:val="17"/>
        </w:rPr>
        <w:t> </w:t>
      </w:r>
      <w:r>
        <w:rPr>
          <w:rFonts w:ascii="Calibri" w:hAnsi="Calibri"/>
          <w:color w:val="231F20"/>
          <w:w w:val="105"/>
          <w:sz w:val="17"/>
        </w:rPr>
        <w:t>di</w:t>
      </w:r>
      <w:r>
        <w:rPr>
          <w:rFonts w:ascii="Calibri" w:hAnsi="Calibri"/>
          <w:color w:val="231F20"/>
          <w:spacing w:val="-18"/>
          <w:w w:val="105"/>
          <w:sz w:val="17"/>
        </w:rPr>
        <w:t> </w:t>
      </w:r>
      <w:r>
        <w:rPr>
          <w:rFonts w:ascii="Calibri" w:hAnsi="Calibri"/>
          <w:color w:val="231F20"/>
          <w:spacing w:val="-3"/>
          <w:w w:val="105"/>
          <w:sz w:val="17"/>
        </w:rPr>
        <w:t>Tony </w:t>
      </w:r>
      <w:r>
        <w:rPr>
          <w:rFonts w:ascii="Calibri" w:hAnsi="Calibri"/>
          <w:color w:val="231F20"/>
          <w:w w:val="105"/>
          <w:sz w:val="17"/>
        </w:rPr>
        <w:t>Blair,</w:t>
      </w:r>
      <w:r>
        <w:rPr>
          <w:rFonts w:ascii="Calibri" w:hAnsi="Calibri"/>
          <w:color w:val="231F20"/>
          <w:spacing w:val="-15"/>
          <w:w w:val="105"/>
          <w:sz w:val="17"/>
        </w:rPr>
        <w:t> </w:t>
      </w:r>
      <w:r>
        <w:rPr>
          <w:rFonts w:ascii="Calibri" w:hAnsi="Calibri"/>
          <w:color w:val="231F20"/>
          <w:w w:val="105"/>
          <w:sz w:val="17"/>
        </w:rPr>
        <w:t>formulada</w:t>
      </w:r>
      <w:r>
        <w:rPr>
          <w:rFonts w:ascii="Calibri" w:hAnsi="Calibri"/>
          <w:color w:val="231F20"/>
          <w:spacing w:val="-15"/>
          <w:w w:val="105"/>
          <w:sz w:val="17"/>
        </w:rPr>
        <w:t> </w:t>
      </w:r>
      <w:r>
        <w:rPr>
          <w:rFonts w:ascii="Calibri" w:hAnsi="Calibri"/>
          <w:color w:val="231F20"/>
          <w:w w:val="105"/>
          <w:sz w:val="17"/>
        </w:rPr>
        <w:t>en</w:t>
      </w:r>
      <w:r>
        <w:rPr>
          <w:rFonts w:ascii="Calibri" w:hAnsi="Calibri"/>
          <w:color w:val="231F20"/>
          <w:spacing w:val="-15"/>
          <w:w w:val="105"/>
          <w:sz w:val="17"/>
        </w:rPr>
        <w:t> </w:t>
      </w:r>
      <w:r>
        <w:rPr>
          <w:rFonts w:ascii="Calibri" w:hAnsi="Calibri"/>
          <w:color w:val="231F20"/>
          <w:w w:val="105"/>
          <w:sz w:val="17"/>
        </w:rPr>
        <w:t>su</w:t>
      </w:r>
      <w:r>
        <w:rPr>
          <w:rFonts w:ascii="Calibri" w:hAnsi="Calibri"/>
          <w:color w:val="231F20"/>
          <w:spacing w:val="-15"/>
          <w:w w:val="105"/>
          <w:sz w:val="17"/>
        </w:rPr>
        <w:t> </w:t>
      </w:r>
      <w:r>
        <w:rPr>
          <w:rFonts w:ascii="Calibri" w:hAnsi="Calibri"/>
          <w:color w:val="231F20"/>
          <w:w w:val="105"/>
          <w:sz w:val="17"/>
        </w:rPr>
        <w:t>primera</w:t>
      </w:r>
      <w:r>
        <w:rPr>
          <w:rFonts w:ascii="Calibri" w:hAnsi="Calibri"/>
          <w:color w:val="231F20"/>
          <w:spacing w:val="-16"/>
          <w:w w:val="105"/>
          <w:sz w:val="17"/>
        </w:rPr>
        <w:t> </w:t>
      </w:r>
      <w:r>
        <w:rPr>
          <w:rFonts w:ascii="Calibri" w:hAnsi="Calibri"/>
          <w:color w:val="231F20"/>
          <w:w w:val="105"/>
          <w:sz w:val="17"/>
        </w:rPr>
        <w:t>versión</w:t>
      </w:r>
      <w:r>
        <w:rPr>
          <w:rFonts w:ascii="Calibri" w:hAnsi="Calibri"/>
          <w:color w:val="231F20"/>
          <w:spacing w:val="-15"/>
          <w:w w:val="105"/>
          <w:sz w:val="17"/>
        </w:rPr>
        <w:t> </w:t>
      </w:r>
      <w:r>
        <w:rPr>
          <w:rFonts w:ascii="Calibri" w:hAnsi="Calibri"/>
          <w:color w:val="231F20"/>
          <w:w w:val="105"/>
          <w:sz w:val="17"/>
        </w:rPr>
        <w:t>en</w:t>
      </w:r>
      <w:r>
        <w:rPr>
          <w:rFonts w:ascii="Calibri" w:hAnsi="Calibri"/>
          <w:color w:val="231F20"/>
          <w:spacing w:val="-15"/>
          <w:w w:val="105"/>
          <w:sz w:val="17"/>
        </w:rPr>
        <w:t> </w:t>
      </w:r>
      <w:r>
        <w:rPr>
          <w:rFonts w:ascii="Calibri" w:hAnsi="Calibri"/>
          <w:color w:val="231F20"/>
          <w:w w:val="105"/>
          <w:sz w:val="17"/>
        </w:rPr>
        <w:t>un</w:t>
      </w:r>
      <w:r>
        <w:rPr>
          <w:rFonts w:ascii="Calibri" w:hAnsi="Calibri"/>
          <w:color w:val="231F20"/>
          <w:spacing w:val="-15"/>
          <w:w w:val="105"/>
          <w:sz w:val="17"/>
        </w:rPr>
        <w:t> </w:t>
      </w:r>
      <w:r>
        <w:rPr>
          <w:rFonts w:ascii="Calibri" w:hAnsi="Calibri"/>
          <w:color w:val="231F20"/>
          <w:w w:val="105"/>
          <w:sz w:val="17"/>
        </w:rPr>
        <w:t>discurso</w:t>
      </w:r>
      <w:r>
        <w:rPr>
          <w:rFonts w:ascii="Calibri" w:hAnsi="Calibri"/>
          <w:color w:val="231F20"/>
          <w:spacing w:val="-15"/>
          <w:w w:val="105"/>
          <w:sz w:val="17"/>
        </w:rPr>
        <w:t> </w:t>
      </w:r>
      <w:r>
        <w:rPr>
          <w:rFonts w:ascii="Calibri" w:hAnsi="Calibri"/>
          <w:color w:val="231F20"/>
          <w:w w:val="105"/>
          <w:sz w:val="17"/>
        </w:rPr>
        <w:t>pronunciado</w:t>
      </w:r>
      <w:r>
        <w:rPr>
          <w:rFonts w:ascii="Calibri" w:hAnsi="Calibri"/>
          <w:color w:val="231F20"/>
          <w:spacing w:val="-15"/>
          <w:w w:val="105"/>
          <w:sz w:val="17"/>
        </w:rPr>
        <w:t> </w:t>
      </w:r>
      <w:r>
        <w:rPr>
          <w:rFonts w:ascii="Calibri" w:hAnsi="Calibri"/>
          <w:color w:val="231F20"/>
          <w:w w:val="105"/>
          <w:sz w:val="17"/>
        </w:rPr>
        <w:t>en</w:t>
      </w:r>
      <w:r>
        <w:rPr>
          <w:rFonts w:ascii="Calibri" w:hAnsi="Calibri"/>
          <w:color w:val="231F20"/>
          <w:spacing w:val="-15"/>
          <w:w w:val="105"/>
          <w:sz w:val="17"/>
        </w:rPr>
        <w:t> </w:t>
      </w:r>
      <w:r>
        <w:rPr>
          <w:rFonts w:ascii="Calibri" w:hAnsi="Calibri"/>
          <w:color w:val="231F20"/>
          <w:w w:val="105"/>
          <w:sz w:val="17"/>
        </w:rPr>
        <w:t>el</w:t>
      </w:r>
      <w:r>
        <w:rPr>
          <w:rFonts w:ascii="Calibri" w:hAnsi="Calibri"/>
          <w:color w:val="231F20"/>
          <w:spacing w:val="-15"/>
          <w:w w:val="105"/>
          <w:sz w:val="17"/>
        </w:rPr>
        <w:t> </w:t>
      </w:r>
      <w:r>
        <w:rPr>
          <w:rFonts w:ascii="Calibri" w:hAnsi="Calibri"/>
          <w:color w:val="231F20"/>
          <w:w w:val="105"/>
          <w:sz w:val="17"/>
        </w:rPr>
        <w:t>Economic</w:t>
      </w:r>
      <w:r>
        <w:rPr>
          <w:rFonts w:ascii="Calibri" w:hAnsi="Calibri"/>
          <w:color w:val="231F20"/>
          <w:spacing w:val="-15"/>
          <w:w w:val="105"/>
          <w:sz w:val="17"/>
        </w:rPr>
        <w:t> </w:t>
      </w:r>
      <w:r>
        <w:rPr>
          <w:rFonts w:ascii="Calibri" w:hAnsi="Calibri"/>
          <w:color w:val="231F20"/>
          <w:w w:val="105"/>
          <w:sz w:val="17"/>
        </w:rPr>
        <w:t>Club</w:t>
      </w:r>
      <w:r>
        <w:rPr>
          <w:rFonts w:ascii="Calibri" w:hAnsi="Calibri"/>
          <w:color w:val="231F20"/>
          <w:spacing w:val="-15"/>
          <w:w w:val="105"/>
          <w:sz w:val="17"/>
        </w:rPr>
        <w:t> </w:t>
      </w:r>
      <w:r>
        <w:rPr>
          <w:rFonts w:ascii="Calibri" w:hAnsi="Calibri"/>
          <w:color w:val="231F20"/>
          <w:w w:val="105"/>
          <w:sz w:val="17"/>
        </w:rPr>
        <w:t>di</w:t>
      </w:r>
      <w:r>
        <w:rPr>
          <w:rFonts w:ascii="Calibri" w:hAnsi="Calibri"/>
          <w:color w:val="231F20"/>
          <w:spacing w:val="-15"/>
          <w:w w:val="105"/>
          <w:sz w:val="17"/>
        </w:rPr>
        <w:t> </w:t>
      </w:r>
      <w:r>
        <w:rPr>
          <w:rFonts w:ascii="Calibri" w:hAnsi="Calibri"/>
          <w:color w:val="231F20"/>
          <w:w w:val="105"/>
          <w:sz w:val="17"/>
        </w:rPr>
        <w:t>Chicago en</w:t>
      </w:r>
      <w:r>
        <w:rPr>
          <w:rFonts w:ascii="Calibri" w:hAnsi="Calibri"/>
          <w:color w:val="231F20"/>
          <w:spacing w:val="-9"/>
          <w:w w:val="105"/>
          <w:sz w:val="17"/>
        </w:rPr>
        <w:t> </w:t>
      </w:r>
      <w:r>
        <w:rPr>
          <w:rFonts w:ascii="Calibri" w:hAnsi="Calibri"/>
          <w:color w:val="231F20"/>
          <w:w w:val="105"/>
          <w:sz w:val="17"/>
        </w:rPr>
        <w:t>abril</w:t>
      </w:r>
      <w:r>
        <w:rPr>
          <w:rFonts w:ascii="Calibri" w:hAnsi="Calibri"/>
          <w:color w:val="231F20"/>
          <w:spacing w:val="-9"/>
          <w:w w:val="105"/>
          <w:sz w:val="17"/>
        </w:rPr>
        <w:t> </w:t>
      </w:r>
      <w:r>
        <w:rPr>
          <w:rFonts w:ascii="Calibri" w:hAnsi="Calibri"/>
          <w:color w:val="231F20"/>
          <w:w w:val="105"/>
          <w:sz w:val="17"/>
        </w:rPr>
        <w:t>de</w:t>
      </w:r>
      <w:r>
        <w:rPr>
          <w:rFonts w:ascii="Calibri" w:hAnsi="Calibri"/>
          <w:color w:val="231F20"/>
          <w:spacing w:val="-9"/>
          <w:w w:val="105"/>
          <w:sz w:val="17"/>
        </w:rPr>
        <w:t> </w:t>
      </w:r>
      <w:r>
        <w:rPr>
          <w:rFonts w:ascii="Calibri" w:hAnsi="Calibri"/>
          <w:color w:val="231F20"/>
          <w:w w:val="105"/>
          <w:sz w:val="17"/>
        </w:rPr>
        <w:t>1999:</w:t>
      </w:r>
      <w:r>
        <w:rPr>
          <w:rFonts w:ascii="Calibri" w:hAnsi="Calibri"/>
          <w:color w:val="231F20"/>
          <w:spacing w:val="-9"/>
          <w:w w:val="105"/>
          <w:sz w:val="17"/>
        </w:rPr>
        <w:t> </w:t>
      </w:r>
      <w:r>
        <w:rPr>
          <w:rFonts w:ascii="Calibri" w:hAnsi="Calibri"/>
          <w:color w:val="231F20"/>
          <w:w w:val="105"/>
          <w:sz w:val="17"/>
        </w:rPr>
        <w:t>“The</w:t>
      </w:r>
      <w:r>
        <w:rPr>
          <w:rFonts w:ascii="Calibri" w:hAnsi="Calibri"/>
          <w:color w:val="231F20"/>
          <w:spacing w:val="-9"/>
          <w:w w:val="105"/>
          <w:sz w:val="17"/>
        </w:rPr>
        <w:t> </w:t>
      </w:r>
      <w:r>
        <w:rPr>
          <w:rFonts w:ascii="Calibri" w:hAnsi="Calibri"/>
          <w:color w:val="231F20"/>
          <w:w w:val="105"/>
          <w:sz w:val="17"/>
        </w:rPr>
        <w:t>most</w:t>
      </w:r>
      <w:r>
        <w:rPr>
          <w:rFonts w:ascii="Calibri" w:hAnsi="Calibri"/>
          <w:color w:val="231F20"/>
          <w:spacing w:val="-9"/>
          <w:w w:val="105"/>
          <w:sz w:val="17"/>
        </w:rPr>
        <w:t> </w:t>
      </w:r>
      <w:r>
        <w:rPr>
          <w:rFonts w:ascii="Calibri" w:hAnsi="Calibri"/>
          <w:color w:val="231F20"/>
          <w:w w:val="105"/>
          <w:sz w:val="17"/>
        </w:rPr>
        <w:t>pressing</w:t>
      </w:r>
      <w:r>
        <w:rPr>
          <w:rFonts w:ascii="Calibri" w:hAnsi="Calibri"/>
          <w:color w:val="231F20"/>
          <w:spacing w:val="-9"/>
          <w:w w:val="105"/>
          <w:sz w:val="17"/>
        </w:rPr>
        <w:t> </w:t>
      </w:r>
      <w:r>
        <w:rPr>
          <w:rFonts w:ascii="Calibri" w:hAnsi="Calibri"/>
          <w:color w:val="231F20"/>
          <w:w w:val="105"/>
          <w:sz w:val="17"/>
        </w:rPr>
        <w:t>foreign</w:t>
      </w:r>
      <w:r>
        <w:rPr>
          <w:rFonts w:ascii="Calibri" w:hAnsi="Calibri"/>
          <w:color w:val="231F20"/>
          <w:spacing w:val="-9"/>
          <w:w w:val="105"/>
          <w:sz w:val="17"/>
        </w:rPr>
        <w:t> </w:t>
      </w:r>
      <w:r>
        <w:rPr>
          <w:rFonts w:ascii="Calibri" w:hAnsi="Calibri"/>
          <w:color w:val="231F20"/>
          <w:w w:val="105"/>
          <w:sz w:val="17"/>
        </w:rPr>
        <w:t>policy</w:t>
      </w:r>
      <w:r>
        <w:rPr>
          <w:rFonts w:ascii="Calibri" w:hAnsi="Calibri"/>
          <w:color w:val="231F20"/>
          <w:spacing w:val="-9"/>
          <w:w w:val="105"/>
          <w:sz w:val="17"/>
        </w:rPr>
        <w:t> </w:t>
      </w:r>
      <w:r>
        <w:rPr>
          <w:rFonts w:ascii="Calibri" w:hAnsi="Calibri"/>
          <w:color w:val="231F20"/>
          <w:w w:val="105"/>
          <w:sz w:val="17"/>
        </w:rPr>
        <w:t>problem</w:t>
      </w:r>
      <w:r>
        <w:rPr>
          <w:rFonts w:ascii="Calibri" w:hAnsi="Calibri"/>
          <w:color w:val="231F20"/>
          <w:spacing w:val="-11"/>
          <w:w w:val="105"/>
          <w:sz w:val="17"/>
        </w:rPr>
        <w:t> </w:t>
      </w:r>
      <w:r>
        <w:rPr>
          <w:rFonts w:ascii="Calibri" w:hAnsi="Calibri"/>
          <w:color w:val="231F20"/>
          <w:w w:val="105"/>
          <w:sz w:val="17"/>
        </w:rPr>
        <w:t>we</w:t>
      </w:r>
      <w:r>
        <w:rPr>
          <w:rFonts w:ascii="Calibri" w:hAnsi="Calibri"/>
          <w:color w:val="231F20"/>
          <w:spacing w:val="-9"/>
          <w:w w:val="105"/>
          <w:sz w:val="17"/>
        </w:rPr>
        <w:t> </w:t>
      </w:r>
      <w:r>
        <w:rPr>
          <w:rFonts w:ascii="Calibri" w:hAnsi="Calibri"/>
          <w:color w:val="231F20"/>
          <w:w w:val="105"/>
          <w:sz w:val="17"/>
        </w:rPr>
        <w:t>face</w:t>
      </w:r>
      <w:r>
        <w:rPr>
          <w:rFonts w:ascii="Calibri" w:hAnsi="Calibri"/>
          <w:color w:val="231F20"/>
          <w:spacing w:val="-9"/>
          <w:w w:val="105"/>
          <w:sz w:val="17"/>
        </w:rPr>
        <w:t> </w:t>
      </w:r>
      <w:r>
        <w:rPr>
          <w:rFonts w:ascii="Calibri" w:hAnsi="Calibri"/>
          <w:color w:val="231F20"/>
          <w:w w:val="105"/>
          <w:sz w:val="17"/>
        </w:rPr>
        <w:t>is</w:t>
      </w:r>
      <w:r>
        <w:rPr>
          <w:rFonts w:ascii="Calibri" w:hAnsi="Calibri"/>
          <w:color w:val="231F20"/>
          <w:spacing w:val="-9"/>
          <w:w w:val="105"/>
          <w:sz w:val="17"/>
        </w:rPr>
        <w:t> </w:t>
      </w:r>
      <w:r>
        <w:rPr>
          <w:rFonts w:ascii="Calibri" w:hAnsi="Calibri"/>
          <w:color w:val="231F20"/>
          <w:w w:val="105"/>
          <w:sz w:val="17"/>
        </w:rPr>
        <w:t>to</w:t>
      </w:r>
      <w:r>
        <w:rPr>
          <w:rFonts w:ascii="Calibri" w:hAnsi="Calibri"/>
          <w:color w:val="231F20"/>
          <w:spacing w:val="-9"/>
          <w:w w:val="105"/>
          <w:sz w:val="17"/>
        </w:rPr>
        <w:t> </w:t>
      </w:r>
      <w:r>
        <w:rPr>
          <w:rFonts w:ascii="Calibri" w:hAnsi="Calibri"/>
          <w:color w:val="231F20"/>
          <w:w w:val="105"/>
          <w:sz w:val="17"/>
        </w:rPr>
        <w:t>identify</w:t>
      </w:r>
      <w:r>
        <w:rPr>
          <w:rFonts w:ascii="Calibri" w:hAnsi="Calibri"/>
          <w:color w:val="231F20"/>
          <w:spacing w:val="-9"/>
          <w:w w:val="105"/>
          <w:sz w:val="17"/>
        </w:rPr>
        <w:t> </w:t>
      </w:r>
      <w:r>
        <w:rPr>
          <w:rFonts w:ascii="Calibri" w:hAnsi="Calibri"/>
          <w:color w:val="231F20"/>
          <w:w w:val="105"/>
          <w:sz w:val="17"/>
        </w:rPr>
        <w:t>the</w:t>
      </w:r>
      <w:r>
        <w:rPr>
          <w:rFonts w:ascii="Calibri" w:hAnsi="Calibri"/>
          <w:color w:val="231F20"/>
          <w:spacing w:val="-9"/>
          <w:w w:val="105"/>
          <w:sz w:val="17"/>
        </w:rPr>
        <w:t> </w:t>
      </w:r>
      <w:r>
        <w:rPr>
          <w:rFonts w:ascii="Calibri" w:hAnsi="Calibri"/>
          <w:color w:val="231F20"/>
          <w:w w:val="105"/>
          <w:sz w:val="17"/>
        </w:rPr>
        <w:t>circumstan- ces</w:t>
      </w:r>
      <w:r>
        <w:rPr>
          <w:rFonts w:ascii="Calibri" w:hAnsi="Calibri"/>
          <w:color w:val="231F20"/>
          <w:spacing w:val="-15"/>
          <w:w w:val="105"/>
          <w:sz w:val="17"/>
        </w:rPr>
        <w:t> </w:t>
      </w:r>
      <w:r>
        <w:rPr>
          <w:rFonts w:ascii="Calibri" w:hAnsi="Calibri"/>
          <w:color w:val="231F20"/>
          <w:w w:val="105"/>
          <w:sz w:val="17"/>
        </w:rPr>
        <w:t>in</w:t>
      </w:r>
      <w:r>
        <w:rPr>
          <w:rFonts w:ascii="Calibri" w:hAnsi="Calibri"/>
          <w:color w:val="231F20"/>
          <w:spacing w:val="-17"/>
          <w:w w:val="105"/>
          <w:sz w:val="17"/>
        </w:rPr>
        <w:t> </w:t>
      </w:r>
      <w:r>
        <w:rPr>
          <w:rFonts w:ascii="Calibri" w:hAnsi="Calibri"/>
          <w:color w:val="231F20"/>
          <w:w w:val="105"/>
          <w:sz w:val="17"/>
        </w:rPr>
        <w:t>which</w:t>
      </w:r>
      <w:r>
        <w:rPr>
          <w:rFonts w:ascii="Calibri" w:hAnsi="Calibri"/>
          <w:color w:val="231F20"/>
          <w:spacing w:val="-17"/>
          <w:w w:val="105"/>
          <w:sz w:val="17"/>
        </w:rPr>
        <w:t> </w:t>
      </w:r>
      <w:r>
        <w:rPr>
          <w:rFonts w:ascii="Calibri" w:hAnsi="Calibri"/>
          <w:color w:val="231F20"/>
          <w:w w:val="105"/>
          <w:sz w:val="17"/>
        </w:rPr>
        <w:t>we</w:t>
      </w:r>
      <w:r>
        <w:rPr>
          <w:rFonts w:ascii="Calibri" w:hAnsi="Calibri"/>
          <w:color w:val="231F20"/>
          <w:spacing w:val="-15"/>
          <w:w w:val="105"/>
          <w:sz w:val="17"/>
        </w:rPr>
        <w:t> </w:t>
      </w:r>
      <w:r>
        <w:rPr>
          <w:rFonts w:ascii="Calibri" w:hAnsi="Calibri"/>
          <w:color w:val="231F20"/>
          <w:w w:val="105"/>
          <w:sz w:val="17"/>
        </w:rPr>
        <w:t>should</w:t>
      </w:r>
      <w:r>
        <w:rPr>
          <w:rFonts w:ascii="Calibri" w:hAnsi="Calibri"/>
          <w:color w:val="231F20"/>
          <w:spacing w:val="-15"/>
          <w:w w:val="105"/>
          <w:sz w:val="17"/>
        </w:rPr>
        <w:t> </w:t>
      </w:r>
      <w:r>
        <w:rPr>
          <w:rFonts w:ascii="Calibri" w:hAnsi="Calibri"/>
          <w:color w:val="231F20"/>
          <w:w w:val="105"/>
          <w:sz w:val="17"/>
        </w:rPr>
        <w:t>get</w:t>
      </w:r>
      <w:r>
        <w:rPr>
          <w:rFonts w:ascii="Calibri" w:hAnsi="Calibri"/>
          <w:color w:val="231F20"/>
          <w:spacing w:val="-15"/>
          <w:w w:val="105"/>
          <w:sz w:val="17"/>
        </w:rPr>
        <w:t> </w:t>
      </w:r>
      <w:r>
        <w:rPr>
          <w:rFonts w:ascii="Calibri" w:hAnsi="Calibri"/>
          <w:color w:val="231F20"/>
          <w:w w:val="105"/>
          <w:sz w:val="17"/>
        </w:rPr>
        <w:t>actively</w:t>
      </w:r>
      <w:r>
        <w:rPr>
          <w:rFonts w:ascii="Calibri" w:hAnsi="Calibri"/>
          <w:color w:val="231F20"/>
          <w:spacing w:val="-15"/>
          <w:w w:val="105"/>
          <w:sz w:val="17"/>
        </w:rPr>
        <w:t> </w:t>
      </w:r>
      <w:r>
        <w:rPr>
          <w:rFonts w:ascii="Calibri" w:hAnsi="Calibri"/>
          <w:color w:val="231F20"/>
          <w:w w:val="105"/>
          <w:sz w:val="17"/>
        </w:rPr>
        <w:t>involved</w:t>
      </w:r>
      <w:r>
        <w:rPr>
          <w:rFonts w:ascii="Calibri" w:hAnsi="Calibri"/>
          <w:color w:val="231F20"/>
          <w:spacing w:val="-15"/>
          <w:w w:val="105"/>
          <w:sz w:val="17"/>
        </w:rPr>
        <w:t> </w:t>
      </w:r>
      <w:r>
        <w:rPr>
          <w:rFonts w:ascii="Calibri" w:hAnsi="Calibri"/>
          <w:color w:val="231F20"/>
          <w:w w:val="105"/>
          <w:sz w:val="17"/>
        </w:rPr>
        <w:t>in</w:t>
      </w:r>
      <w:r>
        <w:rPr>
          <w:rFonts w:ascii="Calibri" w:hAnsi="Calibri"/>
          <w:color w:val="231F20"/>
          <w:spacing w:val="-15"/>
          <w:w w:val="105"/>
          <w:sz w:val="17"/>
        </w:rPr>
        <w:t> </w:t>
      </w:r>
      <w:r>
        <w:rPr>
          <w:rFonts w:ascii="Calibri" w:hAnsi="Calibri"/>
          <w:color w:val="231F20"/>
          <w:w w:val="105"/>
          <w:sz w:val="17"/>
        </w:rPr>
        <w:t>other</w:t>
      </w:r>
      <w:r>
        <w:rPr>
          <w:rFonts w:ascii="Calibri" w:hAnsi="Calibri"/>
          <w:color w:val="231F20"/>
          <w:spacing w:val="-15"/>
          <w:w w:val="105"/>
          <w:sz w:val="17"/>
        </w:rPr>
        <w:t> </w:t>
      </w:r>
      <w:r>
        <w:rPr>
          <w:rFonts w:ascii="Calibri" w:hAnsi="Calibri"/>
          <w:color w:val="231F20"/>
          <w:w w:val="105"/>
          <w:sz w:val="17"/>
        </w:rPr>
        <w:t>people’s</w:t>
      </w:r>
      <w:r>
        <w:rPr>
          <w:rFonts w:ascii="Calibri" w:hAnsi="Calibri"/>
          <w:color w:val="231F20"/>
          <w:spacing w:val="-15"/>
          <w:w w:val="105"/>
          <w:sz w:val="17"/>
        </w:rPr>
        <w:t> </w:t>
      </w:r>
      <w:r>
        <w:rPr>
          <w:rFonts w:ascii="Calibri" w:hAnsi="Calibri"/>
          <w:color w:val="231F20"/>
          <w:w w:val="105"/>
          <w:sz w:val="17"/>
        </w:rPr>
        <w:t>conflicts.</w:t>
      </w:r>
      <w:r>
        <w:rPr>
          <w:rFonts w:ascii="Calibri" w:hAnsi="Calibri"/>
          <w:color w:val="231F20"/>
          <w:spacing w:val="-15"/>
          <w:w w:val="105"/>
          <w:sz w:val="17"/>
        </w:rPr>
        <w:t> </w:t>
      </w:r>
      <w:r>
        <w:rPr>
          <w:rFonts w:ascii="Calibri" w:hAnsi="Calibri"/>
          <w:color w:val="231F20"/>
          <w:w w:val="105"/>
          <w:sz w:val="17"/>
        </w:rPr>
        <w:t>Non–interference</w:t>
      </w:r>
      <w:r>
        <w:rPr>
          <w:rFonts w:ascii="Calibri" w:hAnsi="Calibri"/>
          <w:color w:val="231F20"/>
          <w:spacing w:val="-15"/>
          <w:w w:val="105"/>
          <w:sz w:val="17"/>
        </w:rPr>
        <w:t> </w:t>
      </w:r>
      <w:r>
        <w:rPr>
          <w:rFonts w:ascii="Calibri" w:hAnsi="Calibri"/>
          <w:color w:val="231F20"/>
          <w:w w:val="105"/>
          <w:sz w:val="17"/>
        </w:rPr>
        <w:t>has</w:t>
      </w:r>
      <w:r>
        <w:rPr>
          <w:rFonts w:ascii="Calibri" w:hAnsi="Calibri"/>
          <w:color w:val="231F20"/>
          <w:spacing w:val="-15"/>
          <w:w w:val="105"/>
          <w:sz w:val="17"/>
        </w:rPr>
        <w:t> </w:t>
      </w:r>
      <w:r>
        <w:rPr>
          <w:rFonts w:ascii="Calibri" w:hAnsi="Calibri"/>
          <w:color w:val="231F20"/>
          <w:w w:val="105"/>
          <w:sz w:val="17"/>
        </w:rPr>
        <w:t>long been</w:t>
      </w:r>
      <w:r>
        <w:rPr>
          <w:rFonts w:ascii="Calibri" w:hAnsi="Calibri"/>
          <w:color w:val="231F20"/>
          <w:spacing w:val="-12"/>
          <w:w w:val="105"/>
          <w:sz w:val="17"/>
        </w:rPr>
        <w:t> </w:t>
      </w:r>
      <w:r>
        <w:rPr>
          <w:rFonts w:ascii="Calibri" w:hAnsi="Calibri"/>
          <w:color w:val="231F20"/>
          <w:w w:val="105"/>
          <w:sz w:val="17"/>
        </w:rPr>
        <w:t>considered</w:t>
      </w:r>
      <w:r>
        <w:rPr>
          <w:rFonts w:ascii="Calibri" w:hAnsi="Calibri"/>
          <w:color w:val="231F20"/>
          <w:spacing w:val="-12"/>
          <w:w w:val="105"/>
          <w:sz w:val="17"/>
        </w:rPr>
        <w:t> </w:t>
      </w:r>
      <w:r>
        <w:rPr>
          <w:rFonts w:ascii="Calibri" w:hAnsi="Calibri"/>
          <w:color w:val="231F20"/>
          <w:w w:val="105"/>
          <w:sz w:val="17"/>
        </w:rPr>
        <w:t>an</w:t>
      </w:r>
      <w:r>
        <w:rPr>
          <w:rFonts w:ascii="Calibri" w:hAnsi="Calibri"/>
          <w:color w:val="231F20"/>
          <w:spacing w:val="-12"/>
          <w:w w:val="105"/>
          <w:sz w:val="17"/>
        </w:rPr>
        <w:t> </w:t>
      </w:r>
      <w:r>
        <w:rPr>
          <w:rFonts w:ascii="Calibri" w:hAnsi="Calibri"/>
          <w:color w:val="231F20"/>
          <w:w w:val="105"/>
          <w:sz w:val="17"/>
        </w:rPr>
        <w:t>important</w:t>
      </w:r>
      <w:r>
        <w:rPr>
          <w:rFonts w:ascii="Calibri" w:hAnsi="Calibri"/>
          <w:color w:val="231F20"/>
          <w:spacing w:val="-12"/>
          <w:w w:val="105"/>
          <w:sz w:val="17"/>
        </w:rPr>
        <w:t> </w:t>
      </w:r>
      <w:r>
        <w:rPr>
          <w:rFonts w:ascii="Calibri" w:hAnsi="Calibri"/>
          <w:color w:val="231F20"/>
          <w:w w:val="105"/>
          <w:sz w:val="17"/>
        </w:rPr>
        <w:t>principle</w:t>
      </w:r>
      <w:r>
        <w:rPr>
          <w:rFonts w:ascii="Calibri" w:hAnsi="Calibri"/>
          <w:color w:val="231F20"/>
          <w:spacing w:val="-12"/>
          <w:w w:val="105"/>
          <w:sz w:val="17"/>
        </w:rPr>
        <w:t> </w:t>
      </w:r>
      <w:r>
        <w:rPr>
          <w:rFonts w:ascii="Calibri" w:hAnsi="Calibri"/>
          <w:color w:val="231F20"/>
          <w:w w:val="105"/>
          <w:sz w:val="17"/>
        </w:rPr>
        <w:t>of</w:t>
      </w:r>
      <w:r>
        <w:rPr>
          <w:rFonts w:ascii="Calibri" w:hAnsi="Calibri"/>
          <w:color w:val="231F20"/>
          <w:spacing w:val="-12"/>
          <w:w w:val="105"/>
          <w:sz w:val="17"/>
        </w:rPr>
        <w:t> </w:t>
      </w:r>
      <w:r>
        <w:rPr>
          <w:rFonts w:ascii="Calibri" w:hAnsi="Calibri"/>
          <w:color w:val="231F20"/>
          <w:w w:val="105"/>
          <w:sz w:val="17"/>
        </w:rPr>
        <w:t>international</w:t>
      </w:r>
      <w:r>
        <w:rPr>
          <w:rFonts w:ascii="Calibri" w:hAnsi="Calibri"/>
          <w:color w:val="231F20"/>
          <w:spacing w:val="-12"/>
          <w:w w:val="105"/>
          <w:sz w:val="17"/>
        </w:rPr>
        <w:t> </w:t>
      </w:r>
      <w:r>
        <w:rPr>
          <w:rFonts w:ascii="Calibri" w:hAnsi="Calibri"/>
          <w:color w:val="231F20"/>
          <w:spacing w:val="-2"/>
          <w:w w:val="105"/>
          <w:sz w:val="17"/>
        </w:rPr>
        <w:t>order.</w:t>
      </w:r>
      <w:r>
        <w:rPr>
          <w:rFonts w:ascii="Calibri" w:hAnsi="Calibri"/>
          <w:color w:val="231F20"/>
          <w:spacing w:val="-12"/>
          <w:w w:val="105"/>
          <w:sz w:val="17"/>
        </w:rPr>
        <w:t> </w:t>
      </w:r>
      <w:r>
        <w:rPr>
          <w:rFonts w:ascii="Calibri" w:hAnsi="Calibri"/>
          <w:color w:val="231F20"/>
          <w:w w:val="105"/>
          <w:sz w:val="17"/>
        </w:rPr>
        <w:t>And</w:t>
      </w:r>
      <w:r>
        <w:rPr>
          <w:rFonts w:ascii="Calibri" w:hAnsi="Calibri"/>
          <w:color w:val="231F20"/>
          <w:spacing w:val="-12"/>
          <w:w w:val="105"/>
          <w:sz w:val="17"/>
        </w:rPr>
        <w:t> </w:t>
      </w:r>
      <w:r>
        <w:rPr>
          <w:rFonts w:ascii="Calibri" w:hAnsi="Calibri"/>
          <w:color w:val="231F20"/>
          <w:w w:val="105"/>
          <w:sz w:val="17"/>
        </w:rPr>
        <w:t>it</w:t>
      </w:r>
      <w:r>
        <w:rPr>
          <w:rFonts w:ascii="Calibri" w:hAnsi="Calibri"/>
          <w:color w:val="231F20"/>
          <w:spacing w:val="-12"/>
          <w:w w:val="105"/>
          <w:sz w:val="17"/>
        </w:rPr>
        <w:t> </w:t>
      </w:r>
      <w:r>
        <w:rPr>
          <w:rFonts w:ascii="Calibri" w:hAnsi="Calibri"/>
          <w:color w:val="231F20"/>
          <w:w w:val="105"/>
          <w:sz w:val="17"/>
        </w:rPr>
        <w:t>is</w:t>
      </w:r>
      <w:r>
        <w:rPr>
          <w:rFonts w:ascii="Calibri" w:hAnsi="Calibri"/>
          <w:color w:val="231F20"/>
          <w:spacing w:val="-12"/>
          <w:w w:val="105"/>
          <w:sz w:val="17"/>
        </w:rPr>
        <w:t> </w:t>
      </w:r>
      <w:r>
        <w:rPr>
          <w:rFonts w:ascii="Calibri" w:hAnsi="Calibri"/>
          <w:color w:val="231F20"/>
          <w:w w:val="105"/>
          <w:sz w:val="17"/>
        </w:rPr>
        <w:t>not</w:t>
      </w:r>
      <w:r>
        <w:rPr>
          <w:rFonts w:ascii="Calibri" w:hAnsi="Calibri"/>
          <w:color w:val="231F20"/>
          <w:spacing w:val="-12"/>
          <w:w w:val="105"/>
          <w:sz w:val="17"/>
        </w:rPr>
        <w:t> </w:t>
      </w:r>
      <w:r>
        <w:rPr>
          <w:rFonts w:ascii="Calibri" w:hAnsi="Calibri"/>
          <w:color w:val="231F20"/>
          <w:w w:val="105"/>
          <w:sz w:val="17"/>
        </w:rPr>
        <w:t>one</w:t>
      </w:r>
      <w:r>
        <w:rPr>
          <w:rFonts w:ascii="Calibri" w:hAnsi="Calibri"/>
          <w:color w:val="231F20"/>
          <w:spacing w:val="-13"/>
          <w:w w:val="105"/>
          <w:sz w:val="17"/>
        </w:rPr>
        <w:t> </w:t>
      </w:r>
      <w:r>
        <w:rPr>
          <w:rFonts w:ascii="Calibri" w:hAnsi="Calibri"/>
          <w:color w:val="231F20"/>
          <w:w w:val="105"/>
          <w:sz w:val="17"/>
        </w:rPr>
        <w:t>we</w:t>
      </w:r>
      <w:r>
        <w:rPr>
          <w:rFonts w:ascii="Calibri" w:hAnsi="Calibri"/>
          <w:color w:val="231F20"/>
          <w:spacing w:val="-13"/>
          <w:w w:val="105"/>
          <w:sz w:val="17"/>
        </w:rPr>
        <w:t> </w:t>
      </w:r>
      <w:r>
        <w:rPr>
          <w:rFonts w:ascii="Calibri" w:hAnsi="Calibri"/>
          <w:color w:val="231F20"/>
          <w:w w:val="105"/>
          <w:sz w:val="17"/>
        </w:rPr>
        <w:t>would</w:t>
      </w:r>
      <w:r>
        <w:rPr>
          <w:rFonts w:ascii="Calibri" w:hAnsi="Calibri"/>
          <w:color w:val="231F20"/>
          <w:spacing w:val="-13"/>
          <w:w w:val="105"/>
          <w:sz w:val="17"/>
        </w:rPr>
        <w:t> </w:t>
      </w:r>
      <w:r>
        <w:rPr>
          <w:rFonts w:ascii="Calibri" w:hAnsi="Calibri"/>
          <w:color w:val="231F20"/>
          <w:w w:val="105"/>
          <w:sz w:val="17"/>
        </w:rPr>
        <w:t>want</w:t>
      </w:r>
      <w:r>
        <w:rPr>
          <w:rFonts w:ascii="Calibri" w:hAnsi="Calibri"/>
          <w:color w:val="231F20"/>
          <w:spacing w:val="-12"/>
          <w:w w:val="105"/>
          <w:sz w:val="17"/>
        </w:rPr>
        <w:t> </w:t>
      </w:r>
      <w:r>
        <w:rPr>
          <w:rFonts w:ascii="Calibri" w:hAnsi="Calibri"/>
          <w:color w:val="231F20"/>
          <w:w w:val="105"/>
          <w:sz w:val="17"/>
        </w:rPr>
        <w:t>to</w:t>
      </w:r>
    </w:p>
    <w:p>
      <w:pPr>
        <w:pStyle w:val="BodyText"/>
        <w:rPr>
          <w:rFonts w:ascii="Calibri"/>
          <w:sz w:val="20"/>
        </w:rPr>
      </w:pPr>
    </w:p>
    <w:p>
      <w:pPr>
        <w:pStyle w:val="BodyText"/>
        <w:spacing w:before="10"/>
        <w:rPr>
          <w:rFonts w:ascii="Calibri"/>
          <w:sz w:val="27"/>
        </w:rPr>
      </w:pPr>
    </w:p>
    <w:p>
      <w:pPr>
        <w:tabs>
          <w:tab w:pos="1331" w:val="left" w:leader="none"/>
        </w:tabs>
        <w:spacing w:before="68"/>
        <w:ind w:left="226" w:right="0" w:firstLine="0"/>
        <w:jc w:val="left"/>
        <w:rPr>
          <w:rFonts w:ascii="Calibri"/>
          <w:sz w:val="16"/>
        </w:rPr>
      </w:pPr>
      <w:r>
        <w:rPr/>
        <w:pict>
          <v:group style="position:absolute;margin-left:98.787804pt;margin-top:-3.358812pt;width:20.4pt;height:43pt;mso-position-horizontal-relative:page;mso-position-vertical-relative:paragraph;z-index:-168040"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w w:val="105"/>
          <w:position w:val="-4"/>
          <w:sz w:val="20"/>
        </w:rPr>
        <w:t>144</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182"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740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ASUNTOS</w:t>
      </w:r>
      <w:r>
        <w:rPr>
          <w:rFonts w:ascii="Lucida Sans Unicode" w:hAnsi="Lucida Sans Unicode"/>
          <w:color w:val="6D6E71"/>
          <w:spacing w:val="-30"/>
          <w:w w:val="95"/>
          <w:sz w:val="14"/>
        </w:rPr>
        <w:t> </w:t>
      </w:r>
      <w:r>
        <w:rPr>
          <w:rFonts w:ascii="Lucida Sans Unicode" w:hAnsi="Lucida Sans Unicode"/>
          <w:color w:val="6D6E71"/>
          <w:w w:val="95"/>
          <w:sz w:val="14"/>
        </w:rPr>
        <w:t>DE</w:t>
      </w:r>
      <w:r>
        <w:rPr>
          <w:rFonts w:ascii="Lucida Sans Unicode" w:hAnsi="Lucida Sans Unicode"/>
          <w:color w:val="6D6E71"/>
          <w:spacing w:val="-30"/>
          <w:w w:val="95"/>
          <w:sz w:val="14"/>
        </w:rPr>
        <w:t> </w:t>
      </w:r>
      <w:r>
        <w:rPr>
          <w:rFonts w:ascii="Lucida Sans Unicode" w:hAnsi="Lucida Sans Unicode"/>
          <w:color w:val="6D6E71"/>
          <w:w w:val="95"/>
          <w:sz w:val="14"/>
        </w:rPr>
        <w:t>FRONTERA.</w:t>
      </w:r>
      <w:r>
        <w:rPr>
          <w:rFonts w:ascii="Lucida Sans Unicode" w:hAnsi="Lucida Sans Unicode"/>
          <w:color w:val="6D6E71"/>
          <w:spacing w:val="-30"/>
          <w:w w:val="95"/>
          <w:sz w:val="14"/>
        </w:rPr>
        <w:t> </w:t>
      </w:r>
      <w:r>
        <w:rPr>
          <w:rFonts w:ascii="Lucida Sans Unicode" w:hAnsi="Lucida Sans Unicode"/>
          <w:color w:val="6D6E71"/>
          <w:w w:val="95"/>
          <w:sz w:val="14"/>
        </w:rPr>
        <w:t>SOBERANÍA</w:t>
      </w:r>
      <w:r>
        <w:rPr>
          <w:rFonts w:ascii="Lucida Sans Unicode" w:hAnsi="Lucida Sans Unicode"/>
          <w:color w:val="6D6E71"/>
          <w:spacing w:val="-30"/>
          <w:w w:val="95"/>
          <w:sz w:val="14"/>
        </w:rPr>
        <w:t> </w:t>
      </w:r>
      <w:r>
        <w:rPr>
          <w:rFonts w:ascii="Lucida Sans Unicode" w:hAnsi="Lucida Sans Unicode"/>
          <w:color w:val="6D6E71"/>
          <w:w w:val="95"/>
          <w:sz w:val="14"/>
        </w:rPr>
        <w:t>TERRITORIAL</w:t>
      </w:r>
      <w:r>
        <w:rPr>
          <w:rFonts w:ascii="Lucida Sans Unicode" w:hAnsi="Lucida Sans Unicode"/>
          <w:color w:val="6D6E71"/>
          <w:spacing w:val="-30"/>
          <w:w w:val="95"/>
          <w:sz w:val="14"/>
        </w:rPr>
        <w:t> </w:t>
      </w:r>
      <w:r>
        <w:rPr>
          <w:rFonts w:ascii="Lucida Sans Unicode" w:hAnsi="Lucida Sans Unicode"/>
          <w:color w:val="6D6E71"/>
          <w:w w:val="95"/>
          <w:sz w:val="14"/>
        </w:rPr>
        <w:t>Y</w:t>
      </w:r>
      <w:r>
        <w:rPr>
          <w:rFonts w:ascii="Lucida Sans Unicode" w:hAnsi="Lucida Sans Unicode"/>
          <w:color w:val="6D6E71"/>
          <w:spacing w:val="-30"/>
          <w:w w:val="95"/>
          <w:sz w:val="14"/>
        </w:rPr>
        <w:t> </w:t>
      </w:r>
      <w:r>
        <w:rPr>
          <w:rFonts w:ascii="Lucida Sans Unicode" w:hAnsi="Lucida Sans Unicode"/>
          <w:color w:val="6D6E71"/>
          <w:w w:val="95"/>
          <w:sz w:val="14"/>
        </w:rPr>
        <w:t>ORDEN</w:t>
      </w:r>
      <w:r>
        <w:rPr>
          <w:rFonts w:ascii="Lucida Sans Unicode" w:hAnsi="Lucida Sans Unicode"/>
          <w:color w:val="6D6E71"/>
          <w:spacing w:val="-30"/>
          <w:w w:val="95"/>
          <w:sz w:val="14"/>
        </w:rPr>
        <w:t> </w:t>
      </w:r>
      <w:r>
        <w:rPr>
          <w:rFonts w:ascii="Lucida Sans Unicode" w:hAnsi="Lucida Sans Unicode"/>
          <w:color w:val="6D6E71"/>
          <w:w w:val="95"/>
          <w:sz w:val="14"/>
        </w:rPr>
        <w:t>GLOBAL</w:t>
      </w:r>
      <w:r>
        <w:rPr>
          <w:rFonts w:ascii="Lucida Sans Unicode" w:hAnsi="Lucida Sans Unicode"/>
          <w:color w:val="6D6E71"/>
          <w:spacing w:val="-30"/>
          <w:w w:val="95"/>
          <w:sz w:val="14"/>
        </w:rPr>
        <w:t> </w:t>
      </w:r>
      <w:r>
        <w:rPr>
          <w:rFonts w:ascii="Lucida Sans Unicode" w:hAnsi="Lucida Sans Unicode"/>
          <w:color w:val="6D6E71"/>
          <w:w w:val="95"/>
          <w:sz w:val="14"/>
        </w:rPr>
        <w:t>EN</w:t>
      </w:r>
      <w:r>
        <w:rPr>
          <w:rFonts w:ascii="Lucida Sans Unicode" w:hAnsi="Lucida Sans Unicode"/>
          <w:color w:val="6D6E71"/>
          <w:spacing w:val="-30"/>
          <w:w w:val="95"/>
          <w:sz w:val="14"/>
        </w:rPr>
        <w:t> </w:t>
      </w:r>
      <w:r>
        <w:rPr>
          <w:rFonts w:ascii="Lucida Sans Unicode" w:hAnsi="Lucida Sans Unicode"/>
          <w:color w:val="6D6E71"/>
          <w:w w:val="95"/>
          <w:sz w:val="14"/>
        </w:rPr>
        <w:t>EL</w:t>
      </w:r>
      <w:r>
        <w:rPr>
          <w:rFonts w:ascii="Lucida Sans Unicode" w:hAnsi="Lucida Sans Unicode"/>
          <w:color w:val="6D6E71"/>
          <w:spacing w:val="-30"/>
          <w:w w:val="95"/>
          <w:sz w:val="14"/>
        </w:rPr>
        <w:t> </w:t>
      </w:r>
      <w:r>
        <w:rPr>
          <w:rFonts w:ascii="Lucida Sans Unicode" w:hAnsi="Lucida Sans Unicode"/>
          <w:color w:val="6D6E71"/>
          <w:w w:val="95"/>
          <w:sz w:val="14"/>
        </w:rPr>
        <w:t>DEBATE</w:t>
      </w:r>
    </w:p>
    <w:p>
      <w:pPr>
        <w:spacing w:line="198" w:lineRule="exact" w:before="0"/>
        <w:ind w:left="2963" w:right="-13" w:firstLine="0"/>
        <w:jc w:val="left"/>
        <w:rPr>
          <w:rFonts w:ascii="Lucida Sans Unicode" w:hAnsi="Lucida Sans Unicode"/>
          <w:sz w:val="14"/>
        </w:rPr>
      </w:pPr>
      <w:r>
        <w:rPr>
          <w:rFonts w:ascii="Lucida Sans Unicode" w:hAnsi="Lucida Sans Unicode"/>
          <w:color w:val="6D6E71"/>
          <w:w w:val="90"/>
          <w:sz w:val="14"/>
        </w:rPr>
        <w:t>SOBRE EL “NUEVO INTERVENCIONISMO</w:t>
      </w:r>
      <w:r>
        <w:rPr>
          <w:rFonts w:ascii="Lucida Sans Unicode" w:hAnsi="Lucida Sans Unicode"/>
          <w:color w:val="6D6E71"/>
          <w:spacing w:val="-25"/>
          <w:w w:val="90"/>
          <w:sz w:val="14"/>
        </w:rPr>
        <w:t> </w:t>
      </w:r>
      <w:r>
        <w:rPr>
          <w:rFonts w:ascii="Lucida Sans Unicode" w:hAnsi="Lucida Sans Unicode"/>
          <w:color w:val="6D6E71"/>
          <w:w w:val="90"/>
          <w:sz w:val="14"/>
        </w:rPr>
        <w:t>HUMANITARIO”</w:t>
      </w:r>
    </w:p>
    <w:p>
      <w:pPr>
        <w:spacing w:before="59"/>
        <w:ind w:left="338" w:right="0" w:firstLine="0"/>
        <w:jc w:val="left"/>
        <w:rPr>
          <w:rFonts w:ascii="Arial"/>
          <w:sz w:val="20"/>
        </w:rPr>
      </w:pPr>
      <w:r>
        <w:rPr/>
        <w:br w:type="column"/>
      </w:r>
      <w:r>
        <w:rPr>
          <w:rFonts w:ascii="Arial"/>
          <w:color w:val="414042"/>
          <w:sz w:val="20"/>
        </w:rPr>
        <w:t>145</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6"/>
        <w:rPr>
          <w:rFonts w:ascii="Arial"/>
          <w:sz w:val="16"/>
        </w:rPr>
      </w:pPr>
    </w:p>
    <w:p>
      <w:pPr>
        <w:pStyle w:val="BodyText"/>
        <w:spacing w:line="242" w:lineRule="auto" w:before="44"/>
        <w:ind w:left="117" w:right="101"/>
        <w:jc w:val="both"/>
      </w:pPr>
      <w:r>
        <w:rPr>
          <w:color w:val="231F20"/>
        </w:rPr>
        <w:t>Esta es una instancia que en el célebre reporte de la </w:t>
      </w:r>
      <w:r>
        <w:rPr>
          <w:rFonts w:ascii="Calibri" w:hAnsi="Calibri"/>
          <w:i/>
          <w:color w:val="231F20"/>
        </w:rPr>
        <w:t>I</w:t>
      </w:r>
      <w:r>
        <w:rPr>
          <w:rFonts w:ascii="Arial" w:hAnsi="Arial"/>
          <w:i/>
          <w:color w:val="231F20"/>
        </w:rPr>
        <w:t>nternational Com- </w:t>
      </w:r>
      <w:r>
        <w:rPr>
          <w:rFonts w:ascii="Arial" w:hAnsi="Arial"/>
          <w:i/>
          <w:color w:val="231F20"/>
        </w:rPr>
        <w:t>mission on Intervention and State Sovereignty </w:t>
      </w:r>
      <w:r>
        <w:rPr>
          <w:color w:val="231F20"/>
        </w:rPr>
        <w:t>encontramos</w:t>
      </w:r>
      <w:r>
        <w:rPr>
          <w:color w:val="231F20"/>
          <w:spacing w:val="-32"/>
        </w:rPr>
        <w:t> </w:t>
      </w:r>
      <w:r>
        <w:rPr>
          <w:color w:val="231F20"/>
        </w:rPr>
        <w:t>explícitamente articulada en la forma de una transición del tradicional modelo de la so- beranía–control al de la soberanía–responsabilidad, entre otras cosas aquí concebido, no sin forzarlo, en estrecha continuidad con los mismos princi- pios organizativos fundamentales del régimen</w:t>
      </w:r>
      <w:r>
        <w:rPr>
          <w:color w:val="231F20"/>
          <w:spacing w:val="56"/>
        </w:rPr>
        <w:t> </w:t>
      </w:r>
      <w:r>
        <w:rPr>
          <w:color w:val="231F20"/>
          <w:sz w:val="18"/>
        </w:rPr>
        <w:t>ONU</w:t>
      </w:r>
      <w:r>
        <w:rPr>
          <w:color w:val="231F20"/>
        </w:rPr>
        <w:t>:</w:t>
      </w:r>
    </w:p>
    <w:p>
      <w:pPr>
        <w:pStyle w:val="BodyText"/>
        <w:spacing w:before="3"/>
        <w:rPr>
          <w:sz w:val="23"/>
        </w:rPr>
      </w:pPr>
    </w:p>
    <w:p>
      <w:pPr>
        <w:spacing w:line="220" w:lineRule="exact" w:before="1"/>
        <w:ind w:left="1534" w:right="101" w:firstLine="0"/>
        <w:jc w:val="both"/>
        <w:rPr>
          <w:sz w:val="19"/>
        </w:rPr>
      </w:pPr>
      <w:r>
        <w:rPr>
          <w:color w:val="231F20"/>
          <w:sz w:val="19"/>
        </w:rPr>
        <w:t>Thinking</w:t>
      </w:r>
      <w:r>
        <w:rPr>
          <w:color w:val="231F20"/>
          <w:spacing w:val="-6"/>
          <w:sz w:val="19"/>
        </w:rPr>
        <w:t> </w:t>
      </w:r>
      <w:r>
        <w:rPr>
          <w:color w:val="231F20"/>
          <w:sz w:val="19"/>
        </w:rPr>
        <w:t>of</w:t>
      </w:r>
      <w:r>
        <w:rPr>
          <w:color w:val="231F20"/>
          <w:spacing w:val="-6"/>
          <w:sz w:val="19"/>
        </w:rPr>
        <w:t> </w:t>
      </w:r>
      <w:r>
        <w:rPr>
          <w:color w:val="231F20"/>
          <w:sz w:val="19"/>
        </w:rPr>
        <w:t>sovereignty</w:t>
      </w:r>
      <w:r>
        <w:rPr>
          <w:color w:val="231F20"/>
          <w:spacing w:val="-6"/>
          <w:sz w:val="19"/>
        </w:rPr>
        <w:t> </w:t>
      </w:r>
      <w:r>
        <w:rPr>
          <w:color w:val="231F20"/>
          <w:sz w:val="19"/>
        </w:rPr>
        <w:t>as</w:t>
      </w:r>
      <w:r>
        <w:rPr>
          <w:color w:val="231F20"/>
          <w:spacing w:val="-6"/>
          <w:sz w:val="19"/>
        </w:rPr>
        <w:t> </w:t>
      </w:r>
      <w:r>
        <w:rPr>
          <w:color w:val="231F20"/>
          <w:sz w:val="19"/>
        </w:rPr>
        <w:t>responsibility,</w:t>
      </w:r>
      <w:r>
        <w:rPr>
          <w:color w:val="231F20"/>
          <w:spacing w:val="-6"/>
          <w:sz w:val="19"/>
        </w:rPr>
        <w:t> </w:t>
      </w:r>
      <w:r>
        <w:rPr>
          <w:color w:val="231F20"/>
          <w:sz w:val="19"/>
        </w:rPr>
        <w:t>in</w:t>
      </w:r>
      <w:r>
        <w:rPr>
          <w:color w:val="231F20"/>
          <w:spacing w:val="-6"/>
          <w:sz w:val="19"/>
        </w:rPr>
        <w:t> </w:t>
      </w:r>
      <w:r>
        <w:rPr>
          <w:color w:val="231F20"/>
          <w:sz w:val="19"/>
        </w:rPr>
        <w:t>a</w:t>
      </w:r>
      <w:r>
        <w:rPr>
          <w:color w:val="231F20"/>
          <w:spacing w:val="-6"/>
          <w:sz w:val="19"/>
        </w:rPr>
        <w:t> </w:t>
      </w:r>
      <w:r>
        <w:rPr>
          <w:color w:val="231F20"/>
          <w:sz w:val="19"/>
        </w:rPr>
        <w:t>way</w:t>
      </w:r>
      <w:r>
        <w:rPr>
          <w:color w:val="231F20"/>
          <w:spacing w:val="-6"/>
          <w:sz w:val="19"/>
        </w:rPr>
        <w:t> </w:t>
      </w:r>
      <w:r>
        <w:rPr>
          <w:color w:val="231F20"/>
          <w:sz w:val="19"/>
        </w:rPr>
        <w:t>that</w:t>
      </w:r>
      <w:r>
        <w:rPr>
          <w:color w:val="231F20"/>
          <w:spacing w:val="-6"/>
          <w:sz w:val="19"/>
        </w:rPr>
        <w:t> </w:t>
      </w:r>
      <w:r>
        <w:rPr>
          <w:color w:val="231F20"/>
          <w:sz w:val="19"/>
        </w:rPr>
        <w:t>is</w:t>
      </w:r>
      <w:r>
        <w:rPr>
          <w:color w:val="231F20"/>
          <w:spacing w:val="-6"/>
          <w:sz w:val="19"/>
        </w:rPr>
        <w:t> </w:t>
      </w:r>
      <w:r>
        <w:rPr>
          <w:color w:val="231F20"/>
          <w:sz w:val="19"/>
        </w:rPr>
        <w:t>being</w:t>
      </w:r>
      <w:r>
        <w:rPr>
          <w:color w:val="231F20"/>
          <w:spacing w:val="-6"/>
          <w:sz w:val="19"/>
        </w:rPr>
        <w:t> </w:t>
      </w:r>
      <w:r>
        <w:rPr>
          <w:color w:val="231F20"/>
          <w:sz w:val="19"/>
        </w:rPr>
        <w:t>in- creasingly recognized in state practice, has a threefold significan- ce.</w:t>
      </w:r>
      <w:r>
        <w:rPr>
          <w:color w:val="231F20"/>
          <w:spacing w:val="-11"/>
          <w:sz w:val="19"/>
        </w:rPr>
        <w:t> </w:t>
      </w:r>
      <w:r>
        <w:rPr>
          <w:color w:val="231F20"/>
          <w:sz w:val="19"/>
        </w:rPr>
        <w:t>First,</w:t>
      </w:r>
      <w:r>
        <w:rPr>
          <w:color w:val="231F20"/>
          <w:spacing w:val="-11"/>
          <w:sz w:val="19"/>
        </w:rPr>
        <w:t> </w:t>
      </w:r>
      <w:r>
        <w:rPr>
          <w:color w:val="231F20"/>
          <w:sz w:val="19"/>
        </w:rPr>
        <w:t>it</w:t>
      </w:r>
      <w:r>
        <w:rPr>
          <w:color w:val="231F20"/>
          <w:spacing w:val="-11"/>
          <w:sz w:val="19"/>
        </w:rPr>
        <w:t> </w:t>
      </w:r>
      <w:r>
        <w:rPr>
          <w:color w:val="231F20"/>
          <w:sz w:val="19"/>
        </w:rPr>
        <w:t>implies</w:t>
      </w:r>
      <w:r>
        <w:rPr>
          <w:color w:val="231F20"/>
          <w:spacing w:val="-11"/>
          <w:sz w:val="19"/>
        </w:rPr>
        <w:t> </w:t>
      </w:r>
      <w:r>
        <w:rPr>
          <w:color w:val="231F20"/>
          <w:sz w:val="19"/>
        </w:rPr>
        <w:t>that</w:t>
      </w:r>
      <w:r>
        <w:rPr>
          <w:color w:val="231F20"/>
          <w:spacing w:val="-11"/>
          <w:sz w:val="19"/>
        </w:rPr>
        <w:t> </w:t>
      </w:r>
      <w:r>
        <w:rPr>
          <w:color w:val="231F20"/>
          <w:sz w:val="19"/>
        </w:rPr>
        <w:t>the</w:t>
      </w:r>
      <w:r>
        <w:rPr>
          <w:color w:val="231F20"/>
          <w:spacing w:val="-11"/>
          <w:sz w:val="19"/>
        </w:rPr>
        <w:t> </w:t>
      </w:r>
      <w:r>
        <w:rPr>
          <w:color w:val="231F20"/>
          <w:sz w:val="19"/>
        </w:rPr>
        <w:t>state</w:t>
      </w:r>
      <w:r>
        <w:rPr>
          <w:color w:val="231F20"/>
          <w:spacing w:val="-11"/>
          <w:sz w:val="19"/>
        </w:rPr>
        <w:t> </w:t>
      </w:r>
      <w:r>
        <w:rPr>
          <w:color w:val="231F20"/>
          <w:sz w:val="19"/>
        </w:rPr>
        <w:t>authorities</w:t>
      </w:r>
      <w:r>
        <w:rPr>
          <w:color w:val="231F20"/>
          <w:spacing w:val="-11"/>
          <w:sz w:val="19"/>
        </w:rPr>
        <w:t> </w:t>
      </w:r>
      <w:r>
        <w:rPr>
          <w:color w:val="231F20"/>
          <w:sz w:val="19"/>
        </w:rPr>
        <w:t>are</w:t>
      </w:r>
      <w:r>
        <w:rPr>
          <w:color w:val="231F20"/>
          <w:spacing w:val="-11"/>
          <w:sz w:val="19"/>
        </w:rPr>
        <w:t> </w:t>
      </w:r>
      <w:r>
        <w:rPr>
          <w:color w:val="231F20"/>
          <w:sz w:val="19"/>
        </w:rPr>
        <w:t>responsible</w:t>
      </w:r>
      <w:r>
        <w:rPr>
          <w:color w:val="231F20"/>
          <w:spacing w:val="-11"/>
          <w:sz w:val="19"/>
        </w:rPr>
        <w:t> </w:t>
      </w:r>
      <w:r>
        <w:rPr>
          <w:color w:val="231F20"/>
          <w:sz w:val="19"/>
        </w:rPr>
        <w:t>for</w:t>
      </w:r>
      <w:r>
        <w:rPr>
          <w:color w:val="231F20"/>
          <w:spacing w:val="-11"/>
          <w:sz w:val="19"/>
        </w:rPr>
        <w:t> </w:t>
      </w:r>
      <w:r>
        <w:rPr>
          <w:color w:val="231F20"/>
          <w:sz w:val="19"/>
        </w:rPr>
        <w:t>the functions of protecting the safety and lives of citizens and</w:t>
      </w:r>
      <w:r>
        <w:rPr>
          <w:color w:val="231F20"/>
          <w:spacing w:val="-16"/>
          <w:sz w:val="19"/>
        </w:rPr>
        <w:t> </w:t>
      </w:r>
      <w:r>
        <w:rPr>
          <w:color w:val="231F20"/>
          <w:sz w:val="19"/>
        </w:rPr>
        <w:t>promo- tion of their welfare. Secondly, it suggests that the national</w:t>
      </w:r>
      <w:r>
        <w:rPr>
          <w:color w:val="231F20"/>
          <w:spacing w:val="-19"/>
          <w:sz w:val="19"/>
        </w:rPr>
        <w:t> </w:t>
      </w:r>
      <w:r>
        <w:rPr>
          <w:color w:val="231F20"/>
          <w:sz w:val="19"/>
        </w:rPr>
        <w:t>politi- cal authorities are responsible to the citizens internally and to the international</w:t>
      </w:r>
      <w:r>
        <w:rPr>
          <w:color w:val="231F20"/>
          <w:spacing w:val="-10"/>
          <w:sz w:val="19"/>
        </w:rPr>
        <w:t> </w:t>
      </w:r>
      <w:r>
        <w:rPr>
          <w:color w:val="231F20"/>
          <w:sz w:val="19"/>
        </w:rPr>
        <w:t>community</w:t>
      </w:r>
      <w:r>
        <w:rPr>
          <w:color w:val="231F20"/>
          <w:spacing w:val="-10"/>
          <w:sz w:val="19"/>
        </w:rPr>
        <w:t> </w:t>
      </w:r>
      <w:r>
        <w:rPr>
          <w:color w:val="231F20"/>
          <w:sz w:val="19"/>
        </w:rPr>
        <w:t>through</w:t>
      </w:r>
      <w:r>
        <w:rPr>
          <w:color w:val="231F20"/>
          <w:spacing w:val="-10"/>
          <w:sz w:val="19"/>
        </w:rPr>
        <w:t> </w:t>
      </w:r>
      <w:r>
        <w:rPr>
          <w:color w:val="231F20"/>
          <w:sz w:val="19"/>
        </w:rPr>
        <w:t>the</w:t>
      </w:r>
      <w:r>
        <w:rPr>
          <w:color w:val="231F20"/>
          <w:spacing w:val="-10"/>
          <w:sz w:val="19"/>
        </w:rPr>
        <w:t> </w:t>
      </w:r>
      <w:r>
        <w:rPr>
          <w:color w:val="231F20"/>
          <w:sz w:val="16"/>
        </w:rPr>
        <w:t>UN</w:t>
      </w:r>
      <w:r>
        <w:rPr>
          <w:color w:val="231F20"/>
          <w:sz w:val="19"/>
        </w:rPr>
        <w:t>.</w:t>
      </w:r>
      <w:r>
        <w:rPr>
          <w:color w:val="231F20"/>
          <w:spacing w:val="-10"/>
          <w:sz w:val="19"/>
        </w:rPr>
        <w:t> </w:t>
      </w:r>
      <w:r>
        <w:rPr>
          <w:color w:val="231F20"/>
          <w:sz w:val="19"/>
        </w:rPr>
        <w:t>And</w:t>
      </w:r>
      <w:r>
        <w:rPr>
          <w:color w:val="231F20"/>
          <w:spacing w:val="-10"/>
          <w:sz w:val="19"/>
        </w:rPr>
        <w:t> </w:t>
      </w:r>
      <w:r>
        <w:rPr>
          <w:color w:val="231F20"/>
          <w:spacing w:val="-3"/>
          <w:sz w:val="19"/>
        </w:rPr>
        <w:t>thirdly,</w:t>
      </w:r>
      <w:r>
        <w:rPr>
          <w:color w:val="231F20"/>
          <w:spacing w:val="-10"/>
          <w:sz w:val="19"/>
        </w:rPr>
        <w:t> </w:t>
      </w:r>
      <w:r>
        <w:rPr>
          <w:color w:val="231F20"/>
          <w:sz w:val="19"/>
        </w:rPr>
        <w:t>it</w:t>
      </w:r>
      <w:r>
        <w:rPr>
          <w:color w:val="231F20"/>
          <w:spacing w:val="-10"/>
          <w:sz w:val="19"/>
        </w:rPr>
        <w:t> </w:t>
      </w:r>
      <w:r>
        <w:rPr>
          <w:color w:val="231F20"/>
          <w:sz w:val="19"/>
        </w:rPr>
        <w:t>means</w:t>
      </w:r>
      <w:r>
        <w:rPr>
          <w:color w:val="231F20"/>
          <w:spacing w:val="-10"/>
          <w:sz w:val="19"/>
        </w:rPr>
        <w:t> </w:t>
      </w:r>
      <w:r>
        <w:rPr>
          <w:color w:val="231F20"/>
          <w:sz w:val="19"/>
        </w:rPr>
        <w:t>that the</w:t>
      </w:r>
      <w:r>
        <w:rPr>
          <w:color w:val="231F20"/>
          <w:spacing w:val="-5"/>
          <w:sz w:val="19"/>
        </w:rPr>
        <w:t> </w:t>
      </w:r>
      <w:r>
        <w:rPr>
          <w:color w:val="231F20"/>
          <w:sz w:val="19"/>
        </w:rPr>
        <w:t>agents</w:t>
      </w:r>
      <w:r>
        <w:rPr>
          <w:color w:val="231F20"/>
          <w:spacing w:val="-5"/>
          <w:sz w:val="19"/>
        </w:rPr>
        <w:t> </w:t>
      </w:r>
      <w:r>
        <w:rPr>
          <w:color w:val="231F20"/>
          <w:sz w:val="19"/>
        </w:rPr>
        <w:t>of</w:t>
      </w:r>
      <w:r>
        <w:rPr>
          <w:color w:val="231F20"/>
          <w:spacing w:val="-5"/>
          <w:sz w:val="19"/>
        </w:rPr>
        <w:t> </w:t>
      </w:r>
      <w:r>
        <w:rPr>
          <w:color w:val="231F20"/>
          <w:sz w:val="19"/>
        </w:rPr>
        <w:t>state</w:t>
      </w:r>
      <w:r>
        <w:rPr>
          <w:color w:val="231F20"/>
          <w:spacing w:val="-5"/>
          <w:sz w:val="19"/>
        </w:rPr>
        <w:t> </w:t>
      </w:r>
      <w:r>
        <w:rPr>
          <w:color w:val="231F20"/>
          <w:sz w:val="19"/>
        </w:rPr>
        <w:t>are</w:t>
      </w:r>
      <w:r>
        <w:rPr>
          <w:color w:val="231F20"/>
          <w:spacing w:val="-5"/>
          <w:sz w:val="19"/>
        </w:rPr>
        <w:t> </w:t>
      </w:r>
      <w:r>
        <w:rPr>
          <w:color w:val="231F20"/>
          <w:sz w:val="19"/>
        </w:rPr>
        <w:t>responsible</w:t>
      </w:r>
      <w:r>
        <w:rPr>
          <w:color w:val="231F20"/>
          <w:spacing w:val="-5"/>
          <w:sz w:val="19"/>
        </w:rPr>
        <w:t> </w:t>
      </w:r>
      <w:r>
        <w:rPr>
          <w:color w:val="231F20"/>
          <w:sz w:val="19"/>
        </w:rPr>
        <w:t>for</w:t>
      </w:r>
      <w:r>
        <w:rPr>
          <w:color w:val="231F20"/>
          <w:spacing w:val="-5"/>
          <w:sz w:val="19"/>
        </w:rPr>
        <w:t> </w:t>
      </w:r>
      <w:r>
        <w:rPr>
          <w:color w:val="231F20"/>
          <w:sz w:val="19"/>
        </w:rPr>
        <w:t>their</w:t>
      </w:r>
      <w:r>
        <w:rPr>
          <w:color w:val="231F20"/>
          <w:spacing w:val="-5"/>
          <w:sz w:val="19"/>
        </w:rPr>
        <w:t> </w:t>
      </w:r>
      <w:r>
        <w:rPr>
          <w:color w:val="231F20"/>
          <w:sz w:val="19"/>
        </w:rPr>
        <w:t>actions;</w:t>
      </w:r>
      <w:r>
        <w:rPr>
          <w:color w:val="231F20"/>
          <w:spacing w:val="-5"/>
          <w:sz w:val="19"/>
        </w:rPr>
        <w:t> </w:t>
      </w:r>
      <w:r>
        <w:rPr>
          <w:color w:val="231F20"/>
          <w:sz w:val="19"/>
        </w:rPr>
        <w:t>that</w:t>
      </w:r>
      <w:r>
        <w:rPr>
          <w:color w:val="231F20"/>
          <w:spacing w:val="-5"/>
          <w:sz w:val="19"/>
        </w:rPr>
        <w:t> </w:t>
      </w:r>
      <w:r>
        <w:rPr>
          <w:color w:val="231F20"/>
          <w:sz w:val="19"/>
        </w:rPr>
        <w:t>is</w:t>
      </w:r>
      <w:r>
        <w:rPr>
          <w:color w:val="231F20"/>
          <w:spacing w:val="-5"/>
          <w:sz w:val="19"/>
        </w:rPr>
        <w:t> </w:t>
      </w:r>
      <w:r>
        <w:rPr>
          <w:color w:val="231F20"/>
          <w:sz w:val="19"/>
        </w:rPr>
        <w:t>to</w:t>
      </w:r>
      <w:r>
        <w:rPr>
          <w:color w:val="231F20"/>
          <w:spacing w:val="-5"/>
          <w:sz w:val="19"/>
        </w:rPr>
        <w:t> say, </w:t>
      </w:r>
      <w:r>
        <w:rPr>
          <w:color w:val="231F20"/>
          <w:sz w:val="19"/>
        </w:rPr>
        <w:t>they are accountable for their acts of commission and omission. The case for thinking of sovereignty in these terms is strengthe- ned by the ever–increasing impact of international human rights norms, and the increasing impact in international discourse of</w:t>
      </w:r>
      <w:r>
        <w:rPr>
          <w:color w:val="231F20"/>
          <w:spacing w:val="-20"/>
          <w:sz w:val="19"/>
        </w:rPr>
        <w:t> </w:t>
      </w:r>
      <w:r>
        <w:rPr>
          <w:color w:val="231F20"/>
          <w:sz w:val="19"/>
        </w:rPr>
        <w:t>the concept of human</w:t>
      </w:r>
      <w:r>
        <w:rPr>
          <w:color w:val="231F20"/>
          <w:spacing w:val="-4"/>
          <w:sz w:val="19"/>
        </w:rPr>
        <w:t> </w:t>
      </w:r>
      <w:r>
        <w:rPr>
          <w:color w:val="231F20"/>
          <w:sz w:val="19"/>
        </w:rPr>
        <w:t>security</w:t>
      </w:r>
      <w:r>
        <w:rPr>
          <w:color w:val="231F20"/>
          <w:position w:val="7"/>
          <w:sz w:val="11"/>
        </w:rPr>
        <w:t>16</w:t>
      </w:r>
      <w:r>
        <w:rPr>
          <w:color w:val="231F20"/>
          <w:sz w:val="19"/>
        </w:rPr>
        <w:t>.</w:t>
      </w:r>
    </w:p>
    <w:p>
      <w:pPr>
        <w:pStyle w:val="BodyText"/>
        <w:spacing w:before="11"/>
        <w:rPr>
          <w:sz w:val="23"/>
        </w:rPr>
      </w:pPr>
    </w:p>
    <w:p>
      <w:pPr>
        <w:pStyle w:val="BodyText"/>
        <w:spacing w:line="244" w:lineRule="auto"/>
        <w:ind w:left="117" w:right="101"/>
        <w:jc w:val="both"/>
      </w:pPr>
      <w:r>
        <w:rPr>
          <w:color w:val="231F20"/>
        </w:rPr>
        <w:t>Como se puede </w:t>
      </w:r>
      <w:r>
        <w:rPr>
          <w:color w:val="231F20"/>
          <w:spacing w:val="-3"/>
        </w:rPr>
        <w:t>observar, </w:t>
      </w:r>
      <w:r>
        <w:rPr>
          <w:color w:val="231F20"/>
        </w:rPr>
        <w:t>esta radical reinterpretación del modelo tradi- cional de la soberanía territorial ha encontrado su momento más</w:t>
      </w:r>
      <w:r>
        <w:rPr>
          <w:color w:val="231F20"/>
          <w:spacing w:val="-25"/>
        </w:rPr>
        <w:t> </w:t>
      </w:r>
      <w:r>
        <w:rPr>
          <w:color w:val="231F20"/>
        </w:rPr>
        <w:t>avanzado de “cristalización normativa” en la doctrina de la </w:t>
      </w:r>
      <w:r>
        <w:rPr>
          <w:rFonts w:ascii="Arial" w:hAnsi="Arial"/>
          <w:i/>
          <w:color w:val="231F20"/>
        </w:rPr>
        <w:t>responsibility to protect </w:t>
      </w:r>
      <w:r>
        <w:rPr>
          <w:color w:val="231F20"/>
        </w:rPr>
        <w:t>aprobada, con el máximo nivel de solemnidad, en la Asamblea General de las Naciones Unidas en el </w:t>
      </w:r>
      <w:r>
        <w:rPr>
          <w:rFonts w:ascii="Arial" w:hAnsi="Arial"/>
          <w:i/>
          <w:color w:val="231F20"/>
        </w:rPr>
        <w:t>2005 World Summit Outcome Document</w:t>
      </w:r>
      <w:r>
        <w:rPr>
          <w:color w:val="231F20"/>
        </w:rPr>
        <w:t>. Ese documento hace suyas, en efecto —si bien para algunos en forma decidi- damente “diluida”</w:t>
      </w:r>
      <w:r>
        <w:rPr>
          <w:color w:val="231F20"/>
          <w:position w:val="7"/>
          <w:sz w:val="12"/>
        </w:rPr>
        <w:t>17</w:t>
      </w:r>
      <w:r>
        <w:rPr>
          <w:color w:val="231F20"/>
        </w:rPr>
        <w:t>—, las principales instancias maduradas durante el </w:t>
      </w:r>
      <w:r>
        <w:rPr>
          <w:color w:val="231F20"/>
          <w:spacing w:val="-3"/>
        </w:rPr>
        <w:t>cur- </w:t>
      </w:r>
      <w:r>
        <w:rPr>
          <w:color w:val="231F20"/>
        </w:rPr>
        <w:t>so del peculiar “giro humanitario” de la política internacional contempo- ránea</w:t>
      </w:r>
      <w:r>
        <w:rPr>
          <w:color w:val="231F20"/>
          <w:position w:val="7"/>
          <w:sz w:val="12"/>
        </w:rPr>
        <w:t>18</w:t>
      </w:r>
      <w:r>
        <w:rPr>
          <w:color w:val="231F20"/>
        </w:rPr>
        <w:t>, fijando algunos principios que deberían representar un punto  </w:t>
      </w:r>
      <w:r>
        <w:rPr>
          <w:color w:val="231F20"/>
          <w:spacing w:val="41"/>
        </w:rPr>
        <w:t> </w:t>
      </w:r>
      <w:r>
        <w:rPr>
          <w:color w:val="231F20"/>
        </w:rPr>
        <w:t>de</w:t>
      </w:r>
    </w:p>
    <w:p>
      <w:pPr>
        <w:pStyle w:val="BodyText"/>
        <w:spacing w:before="2"/>
        <w:rPr>
          <w:sz w:val="18"/>
        </w:rPr>
      </w:pPr>
      <w:r>
        <w:rPr/>
        <w:pict>
          <v:line style="position:absolute;mso-position-horizontal-relative:page;mso-position-vertical-relative:paragraph;z-index:7384;mso-wrap-distance-left:0;mso-wrap-distance-right:0" from="70.866096pt,13.087227pt" to="184.252096pt,13.087227pt" stroked="true" strokeweight=".3pt" strokecolor="#231f20">
            <w10:wrap type="topAndBottom"/>
          </v:line>
        </w:pict>
      </w:r>
    </w:p>
    <w:p>
      <w:pPr>
        <w:spacing w:line="204" w:lineRule="exact" w:before="9"/>
        <w:ind w:left="117" w:right="101" w:firstLine="0"/>
        <w:jc w:val="both"/>
        <w:rPr>
          <w:rFonts w:ascii="Calibri" w:hAnsi="Calibri"/>
          <w:sz w:val="17"/>
        </w:rPr>
      </w:pPr>
      <w:r>
        <w:rPr>
          <w:rFonts w:ascii="Calibri" w:hAnsi="Calibri"/>
          <w:color w:val="231F20"/>
          <w:w w:val="105"/>
          <w:sz w:val="17"/>
        </w:rPr>
        <w:t>jettison</w:t>
      </w:r>
      <w:r>
        <w:rPr>
          <w:rFonts w:ascii="Calibri" w:hAnsi="Calibri"/>
          <w:color w:val="231F20"/>
          <w:spacing w:val="-14"/>
          <w:w w:val="105"/>
          <w:sz w:val="17"/>
        </w:rPr>
        <w:t> </w:t>
      </w:r>
      <w:r>
        <w:rPr>
          <w:rFonts w:ascii="Calibri" w:hAnsi="Calibri"/>
          <w:color w:val="231F20"/>
          <w:w w:val="105"/>
          <w:sz w:val="17"/>
        </w:rPr>
        <w:t>too</w:t>
      </w:r>
      <w:r>
        <w:rPr>
          <w:rFonts w:ascii="Calibri" w:hAnsi="Calibri"/>
          <w:color w:val="231F20"/>
          <w:spacing w:val="-14"/>
          <w:w w:val="105"/>
          <w:sz w:val="17"/>
        </w:rPr>
        <w:t> </w:t>
      </w:r>
      <w:r>
        <w:rPr>
          <w:rFonts w:ascii="Calibri" w:hAnsi="Calibri"/>
          <w:color w:val="231F20"/>
          <w:w w:val="105"/>
          <w:sz w:val="17"/>
        </w:rPr>
        <w:t>readily.</w:t>
      </w:r>
      <w:r>
        <w:rPr>
          <w:rFonts w:ascii="Calibri" w:hAnsi="Calibri"/>
          <w:color w:val="231F20"/>
          <w:spacing w:val="-14"/>
          <w:w w:val="105"/>
          <w:sz w:val="17"/>
        </w:rPr>
        <w:t> </w:t>
      </w:r>
      <w:r>
        <w:rPr>
          <w:rFonts w:ascii="Calibri" w:hAnsi="Calibri"/>
          <w:color w:val="231F20"/>
          <w:w w:val="105"/>
          <w:sz w:val="17"/>
        </w:rPr>
        <w:t>One</w:t>
      </w:r>
      <w:r>
        <w:rPr>
          <w:rFonts w:ascii="Calibri" w:hAnsi="Calibri"/>
          <w:color w:val="231F20"/>
          <w:spacing w:val="-14"/>
          <w:w w:val="105"/>
          <w:sz w:val="17"/>
        </w:rPr>
        <w:t> </w:t>
      </w:r>
      <w:r>
        <w:rPr>
          <w:rFonts w:ascii="Calibri" w:hAnsi="Calibri"/>
          <w:color w:val="231F20"/>
          <w:w w:val="105"/>
          <w:sz w:val="17"/>
        </w:rPr>
        <w:t>state</w:t>
      </w:r>
      <w:r>
        <w:rPr>
          <w:rFonts w:ascii="Calibri" w:hAnsi="Calibri"/>
          <w:color w:val="231F20"/>
          <w:spacing w:val="-14"/>
          <w:w w:val="105"/>
          <w:sz w:val="17"/>
        </w:rPr>
        <w:t> </w:t>
      </w:r>
      <w:r>
        <w:rPr>
          <w:rFonts w:ascii="Calibri" w:hAnsi="Calibri"/>
          <w:color w:val="231F20"/>
          <w:w w:val="105"/>
          <w:sz w:val="17"/>
        </w:rPr>
        <w:t>should</w:t>
      </w:r>
      <w:r>
        <w:rPr>
          <w:rFonts w:ascii="Calibri" w:hAnsi="Calibri"/>
          <w:color w:val="231F20"/>
          <w:spacing w:val="-14"/>
          <w:w w:val="105"/>
          <w:sz w:val="17"/>
        </w:rPr>
        <w:t> </w:t>
      </w:r>
      <w:r>
        <w:rPr>
          <w:rFonts w:ascii="Calibri" w:hAnsi="Calibri"/>
          <w:color w:val="231F20"/>
          <w:w w:val="105"/>
          <w:sz w:val="17"/>
        </w:rPr>
        <w:t>not</w:t>
      </w:r>
      <w:r>
        <w:rPr>
          <w:rFonts w:ascii="Calibri" w:hAnsi="Calibri"/>
          <w:color w:val="231F20"/>
          <w:spacing w:val="-14"/>
          <w:w w:val="105"/>
          <w:sz w:val="17"/>
        </w:rPr>
        <w:t> </w:t>
      </w:r>
      <w:r>
        <w:rPr>
          <w:rFonts w:ascii="Calibri" w:hAnsi="Calibri"/>
          <w:color w:val="231F20"/>
          <w:w w:val="105"/>
          <w:sz w:val="17"/>
        </w:rPr>
        <w:t>feel</w:t>
      </w:r>
      <w:r>
        <w:rPr>
          <w:rFonts w:ascii="Calibri" w:hAnsi="Calibri"/>
          <w:color w:val="231F20"/>
          <w:spacing w:val="-14"/>
          <w:w w:val="105"/>
          <w:sz w:val="17"/>
        </w:rPr>
        <w:t> </w:t>
      </w:r>
      <w:r>
        <w:rPr>
          <w:rFonts w:ascii="Calibri" w:hAnsi="Calibri"/>
          <w:color w:val="231F20"/>
          <w:w w:val="105"/>
          <w:sz w:val="17"/>
        </w:rPr>
        <w:t>it</w:t>
      </w:r>
      <w:r>
        <w:rPr>
          <w:rFonts w:ascii="Calibri" w:hAnsi="Calibri"/>
          <w:color w:val="231F20"/>
          <w:spacing w:val="-14"/>
          <w:w w:val="105"/>
          <w:sz w:val="17"/>
        </w:rPr>
        <w:t> </w:t>
      </w:r>
      <w:r>
        <w:rPr>
          <w:rFonts w:ascii="Calibri" w:hAnsi="Calibri"/>
          <w:color w:val="231F20"/>
          <w:w w:val="105"/>
          <w:sz w:val="17"/>
        </w:rPr>
        <w:t>has</w:t>
      </w:r>
      <w:r>
        <w:rPr>
          <w:rFonts w:ascii="Calibri" w:hAnsi="Calibri"/>
          <w:color w:val="231F20"/>
          <w:spacing w:val="-14"/>
          <w:w w:val="105"/>
          <w:sz w:val="17"/>
        </w:rPr>
        <w:t> </w:t>
      </w:r>
      <w:r>
        <w:rPr>
          <w:rFonts w:ascii="Calibri" w:hAnsi="Calibri"/>
          <w:color w:val="231F20"/>
          <w:w w:val="105"/>
          <w:sz w:val="17"/>
        </w:rPr>
        <w:t>the</w:t>
      </w:r>
      <w:r>
        <w:rPr>
          <w:rFonts w:ascii="Calibri" w:hAnsi="Calibri"/>
          <w:color w:val="231F20"/>
          <w:spacing w:val="-14"/>
          <w:w w:val="105"/>
          <w:sz w:val="17"/>
        </w:rPr>
        <w:t> </w:t>
      </w:r>
      <w:r>
        <w:rPr>
          <w:rFonts w:ascii="Calibri" w:hAnsi="Calibri"/>
          <w:color w:val="231F20"/>
          <w:w w:val="105"/>
          <w:sz w:val="17"/>
        </w:rPr>
        <w:t>right</w:t>
      </w:r>
      <w:r>
        <w:rPr>
          <w:rFonts w:ascii="Calibri" w:hAnsi="Calibri"/>
          <w:color w:val="231F20"/>
          <w:spacing w:val="-14"/>
          <w:w w:val="105"/>
          <w:sz w:val="17"/>
        </w:rPr>
        <w:t> </w:t>
      </w:r>
      <w:r>
        <w:rPr>
          <w:rFonts w:ascii="Calibri" w:hAnsi="Calibri"/>
          <w:color w:val="231F20"/>
          <w:w w:val="105"/>
          <w:sz w:val="17"/>
        </w:rPr>
        <w:t>to</w:t>
      </w:r>
      <w:r>
        <w:rPr>
          <w:rFonts w:ascii="Calibri" w:hAnsi="Calibri"/>
          <w:color w:val="231F20"/>
          <w:spacing w:val="-14"/>
          <w:w w:val="105"/>
          <w:sz w:val="17"/>
        </w:rPr>
        <w:t> </w:t>
      </w:r>
      <w:r>
        <w:rPr>
          <w:rFonts w:ascii="Calibri" w:hAnsi="Calibri"/>
          <w:color w:val="231F20"/>
          <w:w w:val="105"/>
          <w:sz w:val="17"/>
        </w:rPr>
        <w:t>change</w:t>
      </w:r>
      <w:r>
        <w:rPr>
          <w:rFonts w:ascii="Calibri" w:hAnsi="Calibri"/>
          <w:color w:val="231F20"/>
          <w:spacing w:val="-14"/>
          <w:w w:val="105"/>
          <w:sz w:val="17"/>
        </w:rPr>
        <w:t> </w:t>
      </w:r>
      <w:r>
        <w:rPr>
          <w:rFonts w:ascii="Calibri" w:hAnsi="Calibri"/>
          <w:color w:val="231F20"/>
          <w:w w:val="105"/>
          <w:sz w:val="17"/>
        </w:rPr>
        <w:t>the</w:t>
      </w:r>
      <w:r>
        <w:rPr>
          <w:rFonts w:ascii="Calibri" w:hAnsi="Calibri"/>
          <w:color w:val="231F20"/>
          <w:spacing w:val="-14"/>
          <w:w w:val="105"/>
          <w:sz w:val="17"/>
        </w:rPr>
        <w:t> </w:t>
      </w:r>
      <w:r>
        <w:rPr>
          <w:rFonts w:ascii="Calibri" w:hAnsi="Calibri"/>
          <w:color w:val="231F20"/>
          <w:w w:val="105"/>
          <w:sz w:val="17"/>
        </w:rPr>
        <w:t>political</w:t>
      </w:r>
      <w:r>
        <w:rPr>
          <w:rFonts w:ascii="Calibri" w:hAnsi="Calibri"/>
          <w:color w:val="231F20"/>
          <w:spacing w:val="-14"/>
          <w:w w:val="105"/>
          <w:sz w:val="17"/>
        </w:rPr>
        <w:t> </w:t>
      </w:r>
      <w:r>
        <w:rPr>
          <w:rFonts w:ascii="Calibri" w:hAnsi="Calibri"/>
          <w:color w:val="231F20"/>
          <w:w w:val="105"/>
          <w:sz w:val="17"/>
        </w:rPr>
        <w:t>system</w:t>
      </w:r>
      <w:r>
        <w:rPr>
          <w:rFonts w:ascii="Calibri" w:hAnsi="Calibri"/>
          <w:color w:val="231F20"/>
          <w:spacing w:val="-14"/>
          <w:w w:val="105"/>
          <w:sz w:val="17"/>
        </w:rPr>
        <w:t> </w:t>
      </w:r>
      <w:r>
        <w:rPr>
          <w:rFonts w:ascii="Calibri" w:hAnsi="Calibri"/>
          <w:color w:val="231F20"/>
          <w:w w:val="105"/>
          <w:sz w:val="17"/>
        </w:rPr>
        <w:t>of</w:t>
      </w:r>
      <w:r>
        <w:rPr>
          <w:rFonts w:ascii="Calibri" w:hAnsi="Calibri"/>
          <w:color w:val="231F20"/>
          <w:spacing w:val="-14"/>
          <w:w w:val="105"/>
          <w:sz w:val="17"/>
        </w:rPr>
        <w:t> </w:t>
      </w:r>
      <w:r>
        <w:rPr>
          <w:rFonts w:ascii="Calibri" w:hAnsi="Calibri"/>
          <w:color w:val="231F20"/>
          <w:w w:val="105"/>
          <w:sz w:val="17"/>
        </w:rPr>
        <w:t>ano- ther</w:t>
      </w:r>
      <w:r>
        <w:rPr>
          <w:rFonts w:ascii="Calibri" w:hAnsi="Calibri"/>
          <w:color w:val="231F20"/>
          <w:spacing w:val="-9"/>
          <w:w w:val="105"/>
          <w:sz w:val="17"/>
        </w:rPr>
        <w:t> </w:t>
      </w:r>
      <w:r>
        <w:rPr>
          <w:rFonts w:ascii="Calibri" w:hAnsi="Calibri"/>
          <w:color w:val="231F20"/>
          <w:w w:val="105"/>
          <w:sz w:val="17"/>
        </w:rPr>
        <w:t>or</w:t>
      </w:r>
      <w:r>
        <w:rPr>
          <w:rFonts w:ascii="Calibri" w:hAnsi="Calibri"/>
          <w:color w:val="231F20"/>
          <w:spacing w:val="-9"/>
          <w:w w:val="105"/>
          <w:sz w:val="17"/>
        </w:rPr>
        <w:t> </w:t>
      </w:r>
      <w:r>
        <w:rPr>
          <w:rFonts w:ascii="Calibri" w:hAnsi="Calibri"/>
          <w:color w:val="231F20"/>
          <w:w w:val="105"/>
          <w:sz w:val="17"/>
        </w:rPr>
        <w:t>forment</w:t>
      </w:r>
      <w:r>
        <w:rPr>
          <w:rFonts w:ascii="Calibri" w:hAnsi="Calibri"/>
          <w:color w:val="231F20"/>
          <w:spacing w:val="-9"/>
          <w:w w:val="105"/>
          <w:sz w:val="17"/>
        </w:rPr>
        <w:t> </w:t>
      </w:r>
      <w:r>
        <w:rPr>
          <w:rFonts w:ascii="Calibri" w:hAnsi="Calibri"/>
          <w:color w:val="231F20"/>
          <w:w w:val="105"/>
          <w:sz w:val="17"/>
        </w:rPr>
        <w:t>subversion</w:t>
      </w:r>
      <w:r>
        <w:rPr>
          <w:rFonts w:ascii="Calibri" w:hAnsi="Calibri"/>
          <w:color w:val="231F20"/>
          <w:spacing w:val="-9"/>
          <w:w w:val="105"/>
          <w:sz w:val="17"/>
        </w:rPr>
        <w:t> </w:t>
      </w:r>
      <w:r>
        <w:rPr>
          <w:rFonts w:ascii="Calibri" w:hAnsi="Calibri"/>
          <w:color w:val="231F20"/>
          <w:w w:val="105"/>
          <w:sz w:val="17"/>
        </w:rPr>
        <w:t>or</w:t>
      </w:r>
      <w:r>
        <w:rPr>
          <w:rFonts w:ascii="Calibri" w:hAnsi="Calibri"/>
          <w:color w:val="231F20"/>
          <w:spacing w:val="-9"/>
          <w:w w:val="105"/>
          <w:sz w:val="17"/>
        </w:rPr>
        <w:t> </w:t>
      </w:r>
      <w:r>
        <w:rPr>
          <w:rFonts w:ascii="Calibri" w:hAnsi="Calibri"/>
          <w:color w:val="231F20"/>
          <w:w w:val="105"/>
          <w:sz w:val="17"/>
        </w:rPr>
        <w:t>seize</w:t>
      </w:r>
      <w:r>
        <w:rPr>
          <w:rFonts w:ascii="Calibri" w:hAnsi="Calibri"/>
          <w:color w:val="231F20"/>
          <w:spacing w:val="-9"/>
          <w:w w:val="105"/>
          <w:sz w:val="17"/>
        </w:rPr>
        <w:t> </w:t>
      </w:r>
      <w:r>
        <w:rPr>
          <w:rFonts w:ascii="Calibri" w:hAnsi="Calibri"/>
          <w:color w:val="231F20"/>
          <w:w w:val="105"/>
          <w:sz w:val="17"/>
        </w:rPr>
        <w:t>pieces</w:t>
      </w:r>
      <w:r>
        <w:rPr>
          <w:rFonts w:ascii="Calibri" w:hAnsi="Calibri"/>
          <w:color w:val="231F20"/>
          <w:spacing w:val="-9"/>
          <w:w w:val="105"/>
          <w:sz w:val="17"/>
        </w:rPr>
        <w:t> </w:t>
      </w:r>
      <w:r>
        <w:rPr>
          <w:rFonts w:ascii="Calibri" w:hAnsi="Calibri"/>
          <w:color w:val="231F20"/>
          <w:w w:val="105"/>
          <w:sz w:val="17"/>
        </w:rPr>
        <w:t>of</w:t>
      </w:r>
      <w:r>
        <w:rPr>
          <w:rFonts w:ascii="Calibri" w:hAnsi="Calibri"/>
          <w:color w:val="231F20"/>
          <w:spacing w:val="-9"/>
          <w:w w:val="105"/>
          <w:sz w:val="17"/>
        </w:rPr>
        <w:t> </w:t>
      </w:r>
      <w:r>
        <w:rPr>
          <w:rFonts w:ascii="Calibri" w:hAnsi="Calibri"/>
          <w:color w:val="231F20"/>
          <w:w w:val="105"/>
          <w:sz w:val="17"/>
        </w:rPr>
        <w:t>territory</w:t>
      </w:r>
      <w:r>
        <w:rPr>
          <w:rFonts w:ascii="Calibri" w:hAnsi="Calibri"/>
          <w:color w:val="231F20"/>
          <w:spacing w:val="-9"/>
          <w:w w:val="105"/>
          <w:sz w:val="17"/>
        </w:rPr>
        <w:t> </w:t>
      </w:r>
      <w:r>
        <w:rPr>
          <w:rFonts w:ascii="Calibri" w:hAnsi="Calibri"/>
          <w:color w:val="231F20"/>
          <w:w w:val="105"/>
          <w:sz w:val="17"/>
        </w:rPr>
        <w:t>to</w:t>
      </w:r>
      <w:r>
        <w:rPr>
          <w:rFonts w:ascii="Calibri" w:hAnsi="Calibri"/>
          <w:color w:val="231F20"/>
          <w:spacing w:val="-10"/>
          <w:w w:val="105"/>
          <w:sz w:val="17"/>
        </w:rPr>
        <w:t> </w:t>
      </w:r>
      <w:r>
        <w:rPr>
          <w:rFonts w:ascii="Calibri" w:hAnsi="Calibri"/>
          <w:color w:val="231F20"/>
          <w:w w:val="105"/>
          <w:sz w:val="17"/>
        </w:rPr>
        <w:t>which</w:t>
      </w:r>
      <w:r>
        <w:rPr>
          <w:rFonts w:ascii="Calibri" w:hAnsi="Calibri"/>
          <w:color w:val="231F20"/>
          <w:spacing w:val="-9"/>
          <w:w w:val="105"/>
          <w:sz w:val="17"/>
        </w:rPr>
        <w:t> </w:t>
      </w:r>
      <w:r>
        <w:rPr>
          <w:rFonts w:ascii="Calibri" w:hAnsi="Calibri"/>
          <w:color w:val="231F20"/>
          <w:w w:val="105"/>
          <w:sz w:val="17"/>
        </w:rPr>
        <w:t>it</w:t>
      </w:r>
      <w:r>
        <w:rPr>
          <w:rFonts w:ascii="Calibri" w:hAnsi="Calibri"/>
          <w:color w:val="231F20"/>
          <w:spacing w:val="-9"/>
          <w:w w:val="105"/>
          <w:sz w:val="17"/>
        </w:rPr>
        <w:t> </w:t>
      </w:r>
      <w:r>
        <w:rPr>
          <w:rFonts w:ascii="Calibri" w:hAnsi="Calibri"/>
          <w:color w:val="231F20"/>
          <w:w w:val="105"/>
          <w:sz w:val="17"/>
        </w:rPr>
        <w:t>feels</w:t>
      </w:r>
      <w:r>
        <w:rPr>
          <w:rFonts w:ascii="Calibri" w:hAnsi="Calibri"/>
          <w:color w:val="231F20"/>
          <w:spacing w:val="-9"/>
          <w:w w:val="105"/>
          <w:sz w:val="17"/>
        </w:rPr>
        <w:t> </w:t>
      </w:r>
      <w:r>
        <w:rPr>
          <w:rFonts w:ascii="Calibri" w:hAnsi="Calibri"/>
          <w:color w:val="231F20"/>
          <w:w w:val="105"/>
          <w:sz w:val="17"/>
        </w:rPr>
        <w:t>it</w:t>
      </w:r>
      <w:r>
        <w:rPr>
          <w:rFonts w:ascii="Calibri" w:hAnsi="Calibri"/>
          <w:color w:val="231F20"/>
          <w:spacing w:val="-9"/>
          <w:w w:val="105"/>
          <w:sz w:val="17"/>
        </w:rPr>
        <w:t> </w:t>
      </w:r>
      <w:r>
        <w:rPr>
          <w:rFonts w:ascii="Calibri" w:hAnsi="Calibri"/>
          <w:color w:val="231F20"/>
          <w:w w:val="105"/>
          <w:sz w:val="17"/>
        </w:rPr>
        <w:t>should</w:t>
      </w:r>
      <w:r>
        <w:rPr>
          <w:rFonts w:ascii="Calibri" w:hAnsi="Calibri"/>
          <w:color w:val="231F20"/>
          <w:spacing w:val="-9"/>
          <w:w w:val="105"/>
          <w:sz w:val="17"/>
        </w:rPr>
        <w:t> </w:t>
      </w:r>
      <w:r>
        <w:rPr>
          <w:rFonts w:ascii="Calibri" w:hAnsi="Calibri"/>
          <w:color w:val="231F20"/>
          <w:w w:val="105"/>
          <w:sz w:val="17"/>
        </w:rPr>
        <w:t>have</w:t>
      </w:r>
      <w:r>
        <w:rPr>
          <w:rFonts w:ascii="Calibri" w:hAnsi="Calibri"/>
          <w:color w:val="231F20"/>
          <w:spacing w:val="-9"/>
          <w:w w:val="105"/>
          <w:sz w:val="17"/>
        </w:rPr>
        <w:t> </w:t>
      </w:r>
      <w:r>
        <w:rPr>
          <w:rFonts w:ascii="Calibri" w:hAnsi="Calibri"/>
          <w:color w:val="231F20"/>
          <w:w w:val="105"/>
          <w:sz w:val="17"/>
        </w:rPr>
        <w:t>some</w:t>
      </w:r>
      <w:r>
        <w:rPr>
          <w:rFonts w:ascii="Calibri" w:hAnsi="Calibri"/>
          <w:color w:val="231F20"/>
          <w:spacing w:val="-9"/>
          <w:w w:val="105"/>
          <w:sz w:val="17"/>
        </w:rPr>
        <w:t> </w:t>
      </w:r>
      <w:r>
        <w:rPr>
          <w:rFonts w:ascii="Calibri" w:hAnsi="Calibri"/>
          <w:color w:val="231F20"/>
          <w:w w:val="105"/>
          <w:sz w:val="17"/>
        </w:rPr>
        <w:t>claim. But the principle of non–interference must be qualified in important respects. Acts of genocide can</w:t>
      </w:r>
      <w:r>
        <w:rPr>
          <w:rFonts w:ascii="Calibri" w:hAnsi="Calibri"/>
          <w:color w:val="231F20"/>
          <w:spacing w:val="-18"/>
          <w:w w:val="105"/>
          <w:sz w:val="17"/>
        </w:rPr>
        <w:t> </w:t>
      </w:r>
      <w:r>
        <w:rPr>
          <w:rFonts w:ascii="Calibri" w:hAnsi="Calibri"/>
          <w:color w:val="231F20"/>
          <w:w w:val="105"/>
          <w:sz w:val="17"/>
        </w:rPr>
        <w:t>never</w:t>
      </w:r>
      <w:r>
        <w:rPr>
          <w:rFonts w:ascii="Calibri" w:hAnsi="Calibri"/>
          <w:color w:val="231F20"/>
          <w:spacing w:val="-18"/>
          <w:w w:val="105"/>
          <w:sz w:val="17"/>
        </w:rPr>
        <w:t> </w:t>
      </w:r>
      <w:r>
        <w:rPr>
          <w:rFonts w:ascii="Calibri" w:hAnsi="Calibri"/>
          <w:color w:val="231F20"/>
          <w:w w:val="105"/>
          <w:sz w:val="17"/>
        </w:rPr>
        <w:t>be</w:t>
      </w:r>
      <w:r>
        <w:rPr>
          <w:rFonts w:ascii="Calibri" w:hAnsi="Calibri"/>
          <w:color w:val="231F20"/>
          <w:spacing w:val="-18"/>
          <w:w w:val="105"/>
          <w:sz w:val="17"/>
        </w:rPr>
        <w:t> </w:t>
      </w:r>
      <w:r>
        <w:rPr>
          <w:rFonts w:ascii="Calibri" w:hAnsi="Calibri"/>
          <w:color w:val="231F20"/>
          <w:w w:val="105"/>
          <w:sz w:val="17"/>
        </w:rPr>
        <w:t>a</w:t>
      </w:r>
      <w:r>
        <w:rPr>
          <w:rFonts w:ascii="Calibri" w:hAnsi="Calibri"/>
          <w:color w:val="231F20"/>
          <w:spacing w:val="-18"/>
          <w:w w:val="105"/>
          <w:sz w:val="17"/>
        </w:rPr>
        <w:t> </w:t>
      </w:r>
      <w:r>
        <w:rPr>
          <w:rFonts w:ascii="Calibri" w:hAnsi="Calibri"/>
          <w:color w:val="231F20"/>
          <w:w w:val="105"/>
          <w:sz w:val="17"/>
        </w:rPr>
        <w:t>purely</w:t>
      </w:r>
      <w:r>
        <w:rPr>
          <w:rFonts w:ascii="Calibri" w:hAnsi="Calibri"/>
          <w:color w:val="231F20"/>
          <w:spacing w:val="-18"/>
          <w:w w:val="105"/>
          <w:sz w:val="17"/>
        </w:rPr>
        <w:t> </w:t>
      </w:r>
      <w:r>
        <w:rPr>
          <w:rFonts w:ascii="Calibri" w:hAnsi="Calibri"/>
          <w:color w:val="231F20"/>
          <w:w w:val="105"/>
          <w:sz w:val="17"/>
        </w:rPr>
        <w:t>internal</w:t>
      </w:r>
      <w:r>
        <w:rPr>
          <w:rFonts w:ascii="Calibri" w:hAnsi="Calibri"/>
          <w:color w:val="231F20"/>
          <w:spacing w:val="-18"/>
          <w:w w:val="105"/>
          <w:sz w:val="17"/>
        </w:rPr>
        <w:t> </w:t>
      </w:r>
      <w:r>
        <w:rPr>
          <w:rFonts w:ascii="Calibri" w:hAnsi="Calibri"/>
          <w:color w:val="231F20"/>
          <w:w w:val="105"/>
          <w:sz w:val="17"/>
        </w:rPr>
        <w:t>matter.</w:t>
      </w:r>
      <w:r>
        <w:rPr>
          <w:rFonts w:ascii="Calibri" w:hAnsi="Calibri"/>
          <w:color w:val="231F20"/>
          <w:spacing w:val="-20"/>
          <w:w w:val="105"/>
          <w:sz w:val="17"/>
        </w:rPr>
        <w:t> </w:t>
      </w:r>
      <w:r>
        <w:rPr>
          <w:rFonts w:ascii="Calibri" w:hAnsi="Calibri"/>
          <w:color w:val="231F20"/>
          <w:w w:val="105"/>
          <w:sz w:val="17"/>
        </w:rPr>
        <w:t>When</w:t>
      </w:r>
      <w:r>
        <w:rPr>
          <w:rFonts w:ascii="Calibri" w:hAnsi="Calibri"/>
          <w:color w:val="231F20"/>
          <w:spacing w:val="-18"/>
          <w:w w:val="105"/>
          <w:sz w:val="17"/>
        </w:rPr>
        <w:t> </w:t>
      </w:r>
      <w:r>
        <w:rPr>
          <w:rFonts w:ascii="Calibri" w:hAnsi="Calibri"/>
          <w:color w:val="231F20"/>
          <w:w w:val="105"/>
          <w:sz w:val="17"/>
        </w:rPr>
        <w:t>oppression</w:t>
      </w:r>
      <w:r>
        <w:rPr>
          <w:rFonts w:ascii="Calibri" w:hAnsi="Calibri"/>
          <w:color w:val="231F20"/>
          <w:spacing w:val="-18"/>
          <w:w w:val="105"/>
          <w:sz w:val="17"/>
        </w:rPr>
        <w:t> </w:t>
      </w:r>
      <w:r>
        <w:rPr>
          <w:rFonts w:ascii="Calibri" w:hAnsi="Calibri"/>
          <w:color w:val="231F20"/>
          <w:w w:val="105"/>
          <w:sz w:val="17"/>
        </w:rPr>
        <w:t>produces</w:t>
      </w:r>
      <w:r>
        <w:rPr>
          <w:rFonts w:ascii="Calibri" w:hAnsi="Calibri"/>
          <w:color w:val="231F20"/>
          <w:spacing w:val="-18"/>
          <w:w w:val="105"/>
          <w:sz w:val="17"/>
        </w:rPr>
        <w:t> </w:t>
      </w:r>
      <w:r>
        <w:rPr>
          <w:rFonts w:ascii="Calibri" w:hAnsi="Calibri"/>
          <w:color w:val="231F20"/>
          <w:w w:val="105"/>
          <w:sz w:val="17"/>
        </w:rPr>
        <w:t>massive</w:t>
      </w:r>
      <w:r>
        <w:rPr>
          <w:rFonts w:ascii="Calibri" w:hAnsi="Calibri"/>
          <w:color w:val="231F20"/>
          <w:spacing w:val="-18"/>
          <w:w w:val="105"/>
          <w:sz w:val="17"/>
        </w:rPr>
        <w:t> </w:t>
      </w:r>
      <w:r>
        <w:rPr>
          <w:rFonts w:ascii="Calibri" w:hAnsi="Calibri"/>
          <w:color w:val="231F20"/>
          <w:w w:val="105"/>
          <w:sz w:val="17"/>
        </w:rPr>
        <w:t>flows</w:t>
      </w:r>
      <w:r>
        <w:rPr>
          <w:rFonts w:ascii="Calibri" w:hAnsi="Calibri"/>
          <w:color w:val="231F20"/>
          <w:spacing w:val="-18"/>
          <w:w w:val="105"/>
          <w:sz w:val="17"/>
        </w:rPr>
        <w:t> </w:t>
      </w:r>
      <w:r>
        <w:rPr>
          <w:rFonts w:ascii="Calibri" w:hAnsi="Calibri"/>
          <w:color w:val="231F20"/>
          <w:w w:val="105"/>
          <w:sz w:val="17"/>
        </w:rPr>
        <w:t>of</w:t>
      </w:r>
      <w:r>
        <w:rPr>
          <w:rFonts w:ascii="Calibri" w:hAnsi="Calibri"/>
          <w:color w:val="231F20"/>
          <w:spacing w:val="-18"/>
          <w:w w:val="105"/>
          <w:sz w:val="17"/>
        </w:rPr>
        <w:t> </w:t>
      </w:r>
      <w:r>
        <w:rPr>
          <w:rFonts w:ascii="Calibri" w:hAnsi="Calibri"/>
          <w:color w:val="231F20"/>
          <w:w w:val="105"/>
          <w:sz w:val="17"/>
        </w:rPr>
        <w:t>refugees</w:t>
      </w:r>
      <w:r>
        <w:rPr>
          <w:rFonts w:ascii="Calibri" w:hAnsi="Calibri"/>
          <w:color w:val="231F20"/>
          <w:spacing w:val="-19"/>
          <w:w w:val="105"/>
          <w:sz w:val="17"/>
        </w:rPr>
        <w:t> </w:t>
      </w:r>
      <w:r>
        <w:rPr>
          <w:rFonts w:ascii="Calibri" w:hAnsi="Calibri"/>
          <w:color w:val="231F20"/>
          <w:w w:val="105"/>
          <w:sz w:val="17"/>
        </w:rPr>
        <w:t>which unsettle</w:t>
      </w:r>
      <w:r>
        <w:rPr>
          <w:rFonts w:ascii="Calibri" w:hAnsi="Calibri"/>
          <w:color w:val="231F20"/>
          <w:spacing w:val="-7"/>
          <w:w w:val="105"/>
          <w:sz w:val="17"/>
        </w:rPr>
        <w:t> </w:t>
      </w:r>
      <w:r>
        <w:rPr>
          <w:rFonts w:ascii="Calibri" w:hAnsi="Calibri"/>
          <w:color w:val="231F20"/>
          <w:w w:val="105"/>
          <w:sz w:val="17"/>
        </w:rPr>
        <w:t>neighbouring</w:t>
      </w:r>
      <w:r>
        <w:rPr>
          <w:rFonts w:ascii="Calibri" w:hAnsi="Calibri"/>
          <w:color w:val="231F20"/>
          <w:spacing w:val="-7"/>
          <w:w w:val="105"/>
          <w:sz w:val="17"/>
        </w:rPr>
        <w:t> </w:t>
      </w:r>
      <w:r>
        <w:rPr>
          <w:rFonts w:ascii="Calibri" w:hAnsi="Calibri"/>
          <w:color w:val="231F20"/>
          <w:w w:val="105"/>
          <w:sz w:val="17"/>
        </w:rPr>
        <w:t>countries</w:t>
      </w:r>
      <w:r>
        <w:rPr>
          <w:rFonts w:ascii="Calibri" w:hAnsi="Calibri"/>
          <w:color w:val="231F20"/>
          <w:spacing w:val="-7"/>
          <w:w w:val="105"/>
          <w:sz w:val="17"/>
        </w:rPr>
        <w:t> </w:t>
      </w:r>
      <w:r>
        <w:rPr>
          <w:rFonts w:ascii="Calibri" w:hAnsi="Calibri"/>
          <w:color w:val="231F20"/>
          <w:w w:val="105"/>
          <w:sz w:val="17"/>
        </w:rPr>
        <w:t>then</w:t>
      </w:r>
      <w:r>
        <w:rPr>
          <w:rFonts w:ascii="Calibri" w:hAnsi="Calibri"/>
          <w:color w:val="231F20"/>
          <w:spacing w:val="-7"/>
          <w:w w:val="105"/>
          <w:sz w:val="17"/>
        </w:rPr>
        <w:t> </w:t>
      </w:r>
      <w:r>
        <w:rPr>
          <w:rFonts w:ascii="Calibri" w:hAnsi="Calibri"/>
          <w:color w:val="231F20"/>
          <w:w w:val="105"/>
          <w:sz w:val="17"/>
        </w:rPr>
        <w:t>they</w:t>
      </w:r>
      <w:r>
        <w:rPr>
          <w:rFonts w:ascii="Calibri" w:hAnsi="Calibri"/>
          <w:color w:val="231F20"/>
          <w:spacing w:val="-7"/>
          <w:w w:val="105"/>
          <w:sz w:val="17"/>
        </w:rPr>
        <w:t> </w:t>
      </w:r>
      <w:r>
        <w:rPr>
          <w:rFonts w:ascii="Calibri" w:hAnsi="Calibri"/>
          <w:color w:val="231F20"/>
          <w:w w:val="105"/>
          <w:sz w:val="17"/>
        </w:rPr>
        <w:t>can</w:t>
      </w:r>
      <w:r>
        <w:rPr>
          <w:rFonts w:ascii="Calibri" w:hAnsi="Calibri"/>
          <w:color w:val="231F20"/>
          <w:spacing w:val="-7"/>
          <w:w w:val="105"/>
          <w:sz w:val="17"/>
        </w:rPr>
        <w:t> </w:t>
      </w:r>
      <w:r>
        <w:rPr>
          <w:rFonts w:ascii="Calibri" w:hAnsi="Calibri"/>
          <w:color w:val="231F20"/>
          <w:w w:val="105"/>
          <w:sz w:val="17"/>
        </w:rPr>
        <w:t>properly</w:t>
      </w:r>
      <w:r>
        <w:rPr>
          <w:rFonts w:ascii="Calibri" w:hAnsi="Calibri"/>
          <w:color w:val="231F20"/>
          <w:spacing w:val="-7"/>
          <w:w w:val="105"/>
          <w:sz w:val="17"/>
        </w:rPr>
        <w:t> </w:t>
      </w:r>
      <w:r>
        <w:rPr>
          <w:rFonts w:ascii="Calibri" w:hAnsi="Calibri"/>
          <w:color w:val="231F20"/>
          <w:w w:val="105"/>
          <w:sz w:val="17"/>
        </w:rPr>
        <w:t>be</w:t>
      </w:r>
      <w:r>
        <w:rPr>
          <w:rFonts w:ascii="Calibri" w:hAnsi="Calibri"/>
          <w:color w:val="231F20"/>
          <w:spacing w:val="-7"/>
          <w:w w:val="105"/>
          <w:sz w:val="17"/>
        </w:rPr>
        <w:t> </w:t>
      </w:r>
      <w:r>
        <w:rPr>
          <w:rFonts w:ascii="Calibri" w:hAnsi="Calibri"/>
          <w:color w:val="231F20"/>
          <w:w w:val="105"/>
          <w:sz w:val="17"/>
        </w:rPr>
        <w:t>described</w:t>
      </w:r>
      <w:r>
        <w:rPr>
          <w:rFonts w:ascii="Calibri" w:hAnsi="Calibri"/>
          <w:color w:val="231F20"/>
          <w:spacing w:val="-7"/>
          <w:w w:val="105"/>
          <w:sz w:val="17"/>
        </w:rPr>
        <w:t> </w:t>
      </w:r>
      <w:r>
        <w:rPr>
          <w:rFonts w:ascii="Calibri" w:hAnsi="Calibri"/>
          <w:color w:val="231F20"/>
          <w:w w:val="105"/>
          <w:sz w:val="17"/>
        </w:rPr>
        <w:t>as</w:t>
      </w:r>
      <w:r>
        <w:rPr>
          <w:rFonts w:ascii="Calibri" w:hAnsi="Calibri"/>
          <w:color w:val="231F20"/>
          <w:spacing w:val="-7"/>
          <w:w w:val="105"/>
          <w:sz w:val="17"/>
        </w:rPr>
        <w:t> </w:t>
      </w:r>
      <w:r>
        <w:rPr>
          <w:rFonts w:ascii="Calibri" w:hAnsi="Calibri"/>
          <w:color w:val="231F20"/>
          <w:w w:val="105"/>
          <w:sz w:val="17"/>
        </w:rPr>
        <w:t>“threats</w:t>
      </w:r>
      <w:r>
        <w:rPr>
          <w:rFonts w:ascii="Calibri" w:hAnsi="Calibri"/>
          <w:color w:val="231F20"/>
          <w:spacing w:val="-7"/>
          <w:w w:val="105"/>
          <w:sz w:val="17"/>
        </w:rPr>
        <w:t> </w:t>
      </w:r>
      <w:r>
        <w:rPr>
          <w:rFonts w:ascii="Calibri" w:hAnsi="Calibri"/>
          <w:color w:val="231F20"/>
          <w:w w:val="105"/>
          <w:sz w:val="17"/>
        </w:rPr>
        <w:t>to</w:t>
      </w:r>
      <w:r>
        <w:rPr>
          <w:rFonts w:ascii="Calibri" w:hAnsi="Calibri"/>
          <w:color w:val="231F20"/>
          <w:spacing w:val="-7"/>
          <w:w w:val="105"/>
          <w:sz w:val="17"/>
        </w:rPr>
        <w:t> </w:t>
      </w:r>
      <w:r>
        <w:rPr>
          <w:rFonts w:ascii="Calibri" w:hAnsi="Calibri"/>
          <w:color w:val="231F20"/>
          <w:w w:val="105"/>
          <w:sz w:val="17"/>
        </w:rPr>
        <w:t>international </w:t>
      </w:r>
      <w:r>
        <w:rPr>
          <w:rFonts w:ascii="Calibri" w:hAnsi="Calibri"/>
          <w:color w:val="231F20"/>
          <w:sz w:val="17"/>
        </w:rPr>
        <w:t>peace and</w:t>
      </w:r>
      <w:r>
        <w:rPr>
          <w:rFonts w:ascii="Calibri" w:hAnsi="Calibri"/>
          <w:color w:val="231F20"/>
          <w:spacing w:val="-1"/>
          <w:sz w:val="17"/>
        </w:rPr>
        <w:t> </w:t>
      </w:r>
      <w:r>
        <w:rPr>
          <w:rFonts w:ascii="Calibri" w:hAnsi="Calibri"/>
          <w:color w:val="231F20"/>
          <w:sz w:val="17"/>
        </w:rPr>
        <w:t>security”.</w:t>
      </w:r>
    </w:p>
    <w:p>
      <w:pPr>
        <w:spacing w:line="204" w:lineRule="exact" w:before="0"/>
        <w:ind w:left="117" w:right="101" w:firstLine="0"/>
        <w:jc w:val="both"/>
        <w:rPr>
          <w:rFonts w:ascii="Calibri"/>
          <w:sz w:val="17"/>
        </w:rPr>
      </w:pPr>
      <w:r>
        <w:rPr>
          <w:rFonts w:ascii="Calibri"/>
          <w:color w:val="231F20"/>
          <w:position w:val="6"/>
          <w:sz w:val="10"/>
        </w:rPr>
        <w:t>16 </w:t>
      </w:r>
      <w:r>
        <w:rPr>
          <w:rFonts w:ascii="Calibri"/>
          <w:color w:val="231F20"/>
          <w:sz w:val="17"/>
        </w:rPr>
        <w:t>International Commission on Intervention and State Sovereignty, </w:t>
      </w:r>
      <w:r>
        <w:rPr>
          <w:rFonts w:ascii="Calibri"/>
          <w:i/>
          <w:color w:val="231F20"/>
          <w:sz w:val="17"/>
        </w:rPr>
        <w:t>The Responsibility to Protect</w:t>
      </w:r>
      <w:r>
        <w:rPr>
          <w:rFonts w:ascii="Calibri"/>
          <w:color w:val="231F20"/>
          <w:sz w:val="17"/>
        </w:rPr>
        <w:t>, Ottawa, International development Research Centre, 2001, p.  13.</w:t>
      </w:r>
    </w:p>
    <w:p>
      <w:pPr>
        <w:spacing w:line="204" w:lineRule="exact" w:before="0"/>
        <w:ind w:left="117" w:right="101" w:firstLine="0"/>
        <w:jc w:val="both"/>
        <w:rPr>
          <w:rFonts w:ascii="Calibri" w:hAnsi="Calibri"/>
          <w:sz w:val="17"/>
        </w:rPr>
      </w:pPr>
      <w:r>
        <w:rPr>
          <w:rFonts w:ascii="Calibri" w:hAnsi="Calibri"/>
          <w:color w:val="231F20"/>
          <w:position w:val="6"/>
          <w:sz w:val="10"/>
        </w:rPr>
        <w:t>17 </w:t>
      </w:r>
      <w:r>
        <w:rPr>
          <w:rFonts w:ascii="Calibri" w:hAnsi="Calibri"/>
          <w:color w:val="231F20"/>
          <w:sz w:val="17"/>
        </w:rPr>
        <w:t>A. J. Bellamy, “Whither the Responsibility to Protect? Humanitarian Intervention and the 2005 World Summit”, </w:t>
      </w:r>
      <w:r>
        <w:rPr>
          <w:rFonts w:ascii="Calibri" w:hAnsi="Calibri"/>
          <w:i/>
          <w:color w:val="231F20"/>
          <w:sz w:val="17"/>
        </w:rPr>
        <w:t>Ethics &amp; International Affairs</w:t>
      </w:r>
      <w:r>
        <w:rPr>
          <w:rFonts w:ascii="Calibri" w:hAnsi="Calibri"/>
          <w:color w:val="231F20"/>
          <w:sz w:val="17"/>
        </w:rPr>
        <w:t>, vol. 20, no. 2, 2006, p. 144. Nel volume </w:t>
      </w:r>
      <w:r>
        <w:rPr>
          <w:rFonts w:ascii="Calibri" w:hAnsi="Calibri"/>
          <w:i/>
          <w:color w:val="231F20"/>
          <w:sz w:val="17"/>
        </w:rPr>
        <w:t>Humanitarian </w:t>
      </w:r>
      <w:r>
        <w:rPr>
          <w:rFonts w:ascii="Calibri" w:hAnsi="Calibri"/>
          <w:i/>
          <w:color w:val="231F20"/>
          <w:sz w:val="17"/>
        </w:rPr>
        <w:t>Intervention:</w:t>
      </w:r>
      <w:r>
        <w:rPr>
          <w:rFonts w:ascii="Calibri" w:hAnsi="Calibri"/>
          <w:i/>
          <w:color w:val="231F20"/>
          <w:spacing w:val="-9"/>
          <w:sz w:val="17"/>
        </w:rPr>
        <w:t> </w:t>
      </w:r>
      <w:r>
        <w:rPr>
          <w:rFonts w:ascii="Calibri" w:hAnsi="Calibri"/>
          <w:i/>
          <w:color w:val="231F20"/>
          <w:sz w:val="17"/>
        </w:rPr>
        <w:t>Ideas</w:t>
      </w:r>
      <w:r>
        <w:rPr>
          <w:rFonts w:ascii="Calibri" w:hAnsi="Calibri"/>
          <w:i/>
          <w:color w:val="231F20"/>
          <w:spacing w:val="-9"/>
          <w:sz w:val="17"/>
        </w:rPr>
        <w:t> </w:t>
      </w:r>
      <w:r>
        <w:rPr>
          <w:rFonts w:ascii="Calibri" w:hAnsi="Calibri"/>
          <w:i/>
          <w:color w:val="231F20"/>
          <w:sz w:val="17"/>
        </w:rPr>
        <w:t>in</w:t>
      </w:r>
      <w:r>
        <w:rPr>
          <w:rFonts w:ascii="Calibri" w:hAnsi="Calibri"/>
          <w:i/>
          <w:color w:val="231F20"/>
          <w:spacing w:val="-9"/>
          <w:sz w:val="17"/>
        </w:rPr>
        <w:t> </w:t>
      </w:r>
      <w:r>
        <w:rPr>
          <w:rFonts w:ascii="Calibri" w:hAnsi="Calibri"/>
          <w:i/>
          <w:color w:val="231F20"/>
          <w:sz w:val="17"/>
        </w:rPr>
        <w:t>Action</w:t>
      </w:r>
      <w:r>
        <w:rPr>
          <w:rFonts w:ascii="Calibri" w:hAnsi="Calibri"/>
          <w:color w:val="231F20"/>
          <w:sz w:val="17"/>
        </w:rPr>
        <w:t>,</w:t>
      </w:r>
      <w:r>
        <w:rPr>
          <w:rFonts w:ascii="Calibri" w:hAnsi="Calibri"/>
          <w:color w:val="231F20"/>
          <w:spacing w:val="-9"/>
          <w:sz w:val="17"/>
        </w:rPr>
        <w:t> </w:t>
      </w:r>
      <w:r>
        <w:rPr>
          <w:rFonts w:ascii="Calibri" w:hAnsi="Calibri"/>
          <w:color w:val="231F20"/>
          <w:sz w:val="17"/>
        </w:rPr>
        <w:t>Cambridge,</w:t>
      </w:r>
      <w:r>
        <w:rPr>
          <w:rFonts w:ascii="Calibri" w:hAnsi="Calibri"/>
          <w:color w:val="231F20"/>
          <w:spacing w:val="-9"/>
          <w:sz w:val="17"/>
        </w:rPr>
        <w:t> </w:t>
      </w:r>
      <w:r>
        <w:rPr>
          <w:rFonts w:ascii="Calibri" w:hAnsi="Calibri"/>
          <w:color w:val="231F20"/>
          <w:sz w:val="17"/>
        </w:rPr>
        <w:t>Polity</w:t>
      </w:r>
      <w:r>
        <w:rPr>
          <w:rFonts w:ascii="Calibri" w:hAnsi="Calibri"/>
          <w:color w:val="231F20"/>
          <w:spacing w:val="-9"/>
          <w:sz w:val="17"/>
        </w:rPr>
        <w:t> </w:t>
      </w:r>
      <w:r>
        <w:rPr>
          <w:rFonts w:ascii="Calibri" w:hAnsi="Calibri"/>
          <w:color w:val="231F20"/>
          <w:sz w:val="17"/>
        </w:rPr>
        <w:t>Press,</w:t>
      </w:r>
      <w:r>
        <w:rPr>
          <w:rFonts w:ascii="Calibri" w:hAnsi="Calibri"/>
          <w:color w:val="231F20"/>
          <w:spacing w:val="-9"/>
          <w:sz w:val="17"/>
        </w:rPr>
        <w:t> </w:t>
      </w:r>
      <w:r>
        <w:rPr>
          <w:rFonts w:ascii="Calibri" w:hAnsi="Calibri"/>
          <w:color w:val="231F20"/>
          <w:spacing w:val="-3"/>
          <w:sz w:val="17"/>
        </w:rPr>
        <w:t>2007,</w:t>
      </w:r>
      <w:r>
        <w:rPr>
          <w:rFonts w:ascii="Calibri" w:hAnsi="Calibri"/>
          <w:color w:val="231F20"/>
          <w:spacing w:val="-9"/>
          <w:sz w:val="17"/>
        </w:rPr>
        <w:t> </w:t>
      </w:r>
      <w:r>
        <w:rPr>
          <w:rFonts w:ascii="Calibri" w:hAnsi="Calibri"/>
          <w:color w:val="231F20"/>
          <w:sz w:val="17"/>
        </w:rPr>
        <w:t>p.</w:t>
      </w:r>
      <w:r>
        <w:rPr>
          <w:rFonts w:ascii="Calibri" w:hAnsi="Calibri"/>
          <w:color w:val="231F20"/>
          <w:spacing w:val="-9"/>
          <w:sz w:val="17"/>
        </w:rPr>
        <w:t> </w:t>
      </w:r>
      <w:r>
        <w:rPr>
          <w:rFonts w:ascii="Calibri" w:hAnsi="Calibri"/>
          <w:color w:val="231F20"/>
          <w:spacing w:val="-3"/>
          <w:sz w:val="17"/>
        </w:rPr>
        <w:t>117,</w:t>
      </w:r>
      <w:r>
        <w:rPr>
          <w:rFonts w:ascii="Calibri" w:hAnsi="Calibri"/>
          <w:color w:val="231F20"/>
          <w:spacing w:val="-12"/>
          <w:sz w:val="17"/>
        </w:rPr>
        <w:t> </w:t>
      </w:r>
      <w:r>
        <w:rPr>
          <w:rFonts w:ascii="Calibri" w:hAnsi="Calibri"/>
          <w:color w:val="231F20"/>
          <w:sz w:val="17"/>
        </w:rPr>
        <w:t>Th.</w:t>
      </w:r>
      <w:r>
        <w:rPr>
          <w:rFonts w:ascii="Calibri" w:hAnsi="Calibri"/>
          <w:color w:val="231F20"/>
          <w:spacing w:val="-9"/>
          <w:sz w:val="17"/>
        </w:rPr>
        <w:t> </w:t>
      </w:r>
      <w:r>
        <w:rPr>
          <w:rFonts w:ascii="Calibri" w:hAnsi="Calibri"/>
          <w:color w:val="231F20"/>
          <w:sz w:val="17"/>
        </w:rPr>
        <w:t>G.</w:t>
      </w:r>
      <w:r>
        <w:rPr>
          <w:rFonts w:ascii="Calibri" w:hAnsi="Calibri"/>
          <w:color w:val="231F20"/>
          <w:spacing w:val="-13"/>
          <w:sz w:val="17"/>
        </w:rPr>
        <w:t> </w:t>
      </w:r>
      <w:r>
        <w:rPr>
          <w:rFonts w:ascii="Calibri" w:hAnsi="Calibri"/>
          <w:color w:val="231F20"/>
          <w:sz w:val="17"/>
        </w:rPr>
        <w:t>Weiss</w:t>
      </w:r>
      <w:r>
        <w:rPr>
          <w:rFonts w:ascii="Calibri" w:hAnsi="Calibri"/>
          <w:color w:val="231F20"/>
          <w:spacing w:val="-9"/>
          <w:sz w:val="17"/>
        </w:rPr>
        <w:t> </w:t>
      </w:r>
      <w:r>
        <w:rPr>
          <w:rFonts w:ascii="Calibri" w:hAnsi="Calibri"/>
          <w:color w:val="231F20"/>
          <w:sz w:val="17"/>
        </w:rPr>
        <w:t>definió</w:t>
      </w:r>
      <w:r>
        <w:rPr>
          <w:rFonts w:ascii="Calibri" w:hAnsi="Calibri"/>
          <w:color w:val="231F20"/>
          <w:spacing w:val="-9"/>
          <w:sz w:val="17"/>
        </w:rPr>
        <w:t> </w:t>
      </w:r>
      <w:r>
        <w:rPr>
          <w:rFonts w:ascii="Calibri" w:hAnsi="Calibri"/>
          <w:color w:val="231F20"/>
          <w:sz w:val="17"/>
        </w:rPr>
        <w:t>el</w:t>
      </w:r>
      <w:r>
        <w:rPr>
          <w:rFonts w:ascii="Calibri" w:hAnsi="Calibri"/>
          <w:color w:val="231F20"/>
          <w:spacing w:val="-9"/>
          <w:sz w:val="17"/>
        </w:rPr>
        <w:t> </w:t>
      </w:r>
      <w:r>
        <w:rPr>
          <w:rFonts w:ascii="Calibri" w:hAnsi="Calibri"/>
          <w:color w:val="231F20"/>
          <w:sz w:val="17"/>
        </w:rPr>
        <w:t>lenguaje</w:t>
      </w:r>
      <w:r>
        <w:rPr>
          <w:rFonts w:ascii="Calibri" w:hAnsi="Calibri"/>
          <w:color w:val="231F20"/>
          <w:spacing w:val="-9"/>
          <w:sz w:val="17"/>
        </w:rPr>
        <w:t> </w:t>
      </w:r>
      <w:r>
        <w:rPr>
          <w:rFonts w:ascii="Calibri" w:hAnsi="Calibri"/>
          <w:color w:val="231F20"/>
          <w:sz w:val="17"/>
        </w:rPr>
        <w:t>del </w:t>
      </w:r>
      <w:r>
        <w:rPr>
          <w:rFonts w:ascii="Calibri" w:hAnsi="Calibri"/>
          <w:i/>
          <w:color w:val="231F20"/>
          <w:sz w:val="17"/>
        </w:rPr>
        <w:t>summit </w:t>
      </w:r>
      <w:r>
        <w:rPr>
          <w:rFonts w:ascii="Calibri" w:hAnsi="Calibri"/>
          <w:color w:val="231F20"/>
          <w:sz w:val="17"/>
        </w:rPr>
        <w:t>como una “Responsability to Protect lite”, ya que el intervencionismo humanitario debe    ser aprobado por el Consejo de</w:t>
      </w:r>
      <w:r>
        <w:rPr>
          <w:rFonts w:ascii="Calibri" w:hAnsi="Calibri"/>
          <w:color w:val="231F20"/>
          <w:spacing w:val="12"/>
          <w:sz w:val="17"/>
        </w:rPr>
        <w:t> </w:t>
      </w:r>
      <w:r>
        <w:rPr>
          <w:rFonts w:ascii="Calibri" w:hAnsi="Calibri"/>
          <w:color w:val="231F20"/>
          <w:sz w:val="17"/>
        </w:rPr>
        <w:t>Seguridad”.</w:t>
      </w:r>
    </w:p>
    <w:p>
      <w:pPr>
        <w:spacing w:line="204" w:lineRule="exact" w:before="0"/>
        <w:ind w:left="117" w:right="101" w:firstLine="0"/>
        <w:jc w:val="both"/>
        <w:rPr>
          <w:rFonts w:ascii="Calibri" w:hAnsi="Calibri"/>
          <w:sz w:val="17"/>
        </w:rPr>
      </w:pPr>
      <w:r>
        <w:rPr>
          <w:rFonts w:ascii="Calibri" w:hAnsi="Calibri"/>
          <w:color w:val="231F20"/>
          <w:position w:val="6"/>
          <w:sz w:val="10"/>
        </w:rPr>
        <w:t>18 </w:t>
      </w:r>
      <w:r>
        <w:rPr>
          <w:rFonts w:ascii="Calibri" w:hAnsi="Calibri"/>
          <w:color w:val="231F20"/>
          <w:sz w:val="17"/>
        </w:rPr>
        <w:t>M. Serrano, “The Responsibility to protect and its Critics: Explaining the Consensus”, </w:t>
      </w:r>
      <w:r>
        <w:rPr>
          <w:rFonts w:ascii="Calibri" w:hAnsi="Calibri"/>
          <w:i/>
          <w:color w:val="231F20"/>
          <w:sz w:val="17"/>
        </w:rPr>
        <w:t>Global Res- </w:t>
      </w:r>
      <w:r>
        <w:rPr>
          <w:rFonts w:ascii="Calibri" w:hAnsi="Calibri"/>
          <w:i/>
          <w:color w:val="231F20"/>
          <w:sz w:val="17"/>
        </w:rPr>
        <w:t>ponsibility</w:t>
      </w:r>
      <w:r>
        <w:rPr>
          <w:rFonts w:ascii="Calibri" w:hAnsi="Calibri"/>
          <w:i/>
          <w:color w:val="231F20"/>
          <w:spacing w:val="-6"/>
          <w:sz w:val="17"/>
        </w:rPr>
        <w:t> </w:t>
      </w:r>
      <w:r>
        <w:rPr>
          <w:rFonts w:ascii="Calibri" w:hAnsi="Calibri"/>
          <w:i/>
          <w:color w:val="231F20"/>
          <w:sz w:val="17"/>
        </w:rPr>
        <w:t>to</w:t>
      </w:r>
      <w:r>
        <w:rPr>
          <w:rFonts w:ascii="Calibri" w:hAnsi="Calibri"/>
          <w:i/>
          <w:color w:val="231F20"/>
          <w:spacing w:val="-6"/>
          <w:sz w:val="17"/>
        </w:rPr>
        <w:t> </w:t>
      </w:r>
      <w:r>
        <w:rPr>
          <w:rFonts w:ascii="Calibri" w:hAnsi="Calibri"/>
          <w:i/>
          <w:color w:val="231F20"/>
          <w:sz w:val="17"/>
        </w:rPr>
        <w:t>Protect</w:t>
      </w:r>
      <w:r>
        <w:rPr>
          <w:rFonts w:ascii="Calibri" w:hAnsi="Calibri"/>
          <w:color w:val="231F20"/>
          <w:sz w:val="17"/>
        </w:rPr>
        <w:t>,</w:t>
      </w:r>
      <w:r>
        <w:rPr>
          <w:rFonts w:ascii="Calibri" w:hAnsi="Calibri"/>
          <w:color w:val="231F20"/>
          <w:spacing w:val="-5"/>
          <w:sz w:val="17"/>
        </w:rPr>
        <w:t> </w:t>
      </w:r>
      <w:r>
        <w:rPr>
          <w:rFonts w:ascii="Calibri" w:hAnsi="Calibri"/>
          <w:color w:val="231F20"/>
          <w:sz w:val="17"/>
        </w:rPr>
        <w:t>no.</w:t>
      </w:r>
      <w:r>
        <w:rPr>
          <w:rFonts w:ascii="Calibri" w:hAnsi="Calibri"/>
          <w:color w:val="231F20"/>
          <w:spacing w:val="-5"/>
          <w:sz w:val="17"/>
        </w:rPr>
        <w:t> </w:t>
      </w:r>
      <w:r>
        <w:rPr>
          <w:rFonts w:ascii="Calibri" w:hAnsi="Calibri"/>
          <w:color w:val="231F20"/>
          <w:sz w:val="17"/>
        </w:rPr>
        <w:t>3,</w:t>
      </w:r>
      <w:r>
        <w:rPr>
          <w:rFonts w:ascii="Calibri" w:hAnsi="Calibri"/>
          <w:color w:val="231F20"/>
          <w:spacing w:val="-5"/>
          <w:sz w:val="17"/>
        </w:rPr>
        <w:t> </w:t>
      </w:r>
      <w:r>
        <w:rPr>
          <w:rFonts w:ascii="Calibri" w:hAnsi="Calibri"/>
          <w:color w:val="231F20"/>
          <w:sz w:val="17"/>
        </w:rPr>
        <w:t>2011,</w:t>
      </w:r>
      <w:r>
        <w:rPr>
          <w:rFonts w:ascii="Calibri" w:hAnsi="Calibri"/>
          <w:color w:val="231F20"/>
          <w:spacing w:val="-5"/>
          <w:sz w:val="17"/>
        </w:rPr>
        <w:t> </w:t>
      </w:r>
      <w:r>
        <w:rPr>
          <w:rFonts w:ascii="Calibri" w:hAnsi="Calibri"/>
          <w:color w:val="231F20"/>
          <w:sz w:val="17"/>
        </w:rPr>
        <w:t>pp.</w:t>
      </w:r>
      <w:r>
        <w:rPr>
          <w:rFonts w:ascii="Calibri" w:hAnsi="Calibri"/>
          <w:color w:val="231F20"/>
          <w:spacing w:val="-5"/>
          <w:sz w:val="17"/>
        </w:rPr>
        <w:t> </w:t>
      </w:r>
      <w:r>
        <w:rPr>
          <w:rFonts w:ascii="Calibri" w:hAnsi="Calibri"/>
          <w:color w:val="231F20"/>
          <w:sz w:val="17"/>
        </w:rPr>
        <w:t>1–13,</w:t>
      </w:r>
      <w:r>
        <w:rPr>
          <w:rFonts w:ascii="Calibri" w:hAnsi="Calibri"/>
          <w:color w:val="231F20"/>
          <w:spacing w:val="-5"/>
          <w:sz w:val="17"/>
        </w:rPr>
        <w:t> </w:t>
      </w:r>
      <w:r>
        <w:rPr>
          <w:rFonts w:ascii="Calibri" w:hAnsi="Calibri"/>
          <w:color w:val="231F20"/>
          <w:sz w:val="17"/>
        </w:rPr>
        <w:t>in</w:t>
      </w:r>
      <w:r>
        <w:rPr>
          <w:rFonts w:ascii="Calibri" w:hAnsi="Calibri"/>
          <w:color w:val="231F20"/>
          <w:spacing w:val="-5"/>
          <w:sz w:val="17"/>
        </w:rPr>
        <w:t> </w:t>
      </w:r>
      <w:r>
        <w:rPr>
          <w:rFonts w:ascii="Calibri" w:hAnsi="Calibri"/>
          <w:color w:val="231F20"/>
          <w:sz w:val="17"/>
        </w:rPr>
        <w:t>part.</w:t>
      </w:r>
      <w:r>
        <w:rPr>
          <w:rFonts w:ascii="Calibri" w:hAnsi="Calibri"/>
          <w:color w:val="231F20"/>
          <w:spacing w:val="-5"/>
          <w:sz w:val="17"/>
        </w:rPr>
        <w:t> </w:t>
      </w:r>
      <w:r>
        <w:rPr>
          <w:rFonts w:ascii="Calibri" w:hAnsi="Calibri"/>
          <w:color w:val="231F20"/>
          <w:sz w:val="17"/>
        </w:rPr>
        <w:t>p.</w:t>
      </w:r>
      <w:r>
        <w:rPr>
          <w:rFonts w:ascii="Calibri" w:hAnsi="Calibri"/>
          <w:color w:val="231F20"/>
          <w:spacing w:val="-5"/>
          <w:sz w:val="17"/>
        </w:rPr>
        <w:t> </w:t>
      </w:r>
      <w:r>
        <w:rPr>
          <w:rFonts w:ascii="Calibri" w:hAnsi="Calibri"/>
          <w:color w:val="231F20"/>
          <w:sz w:val="17"/>
        </w:rPr>
        <w:t>3.</w:t>
      </w:r>
      <w:r>
        <w:rPr>
          <w:rFonts w:ascii="Calibri" w:hAnsi="Calibri"/>
          <w:color w:val="231F20"/>
          <w:spacing w:val="-5"/>
          <w:sz w:val="17"/>
        </w:rPr>
        <w:t> </w:t>
      </w:r>
      <w:r>
        <w:rPr>
          <w:rFonts w:ascii="Calibri" w:hAnsi="Calibri"/>
          <w:color w:val="231F20"/>
          <w:sz w:val="17"/>
        </w:rPr>
        <w:t>Sobre</w:t>
      </w:r>
      <w:r>
        <w:rPr>
          <w:rFonts w:ascii="Calibri" w:hAnsi="Calibri"/>
          <w:color w:val="231F20"/>
          <w:spacing w:val="-5"/>
          <w:sz w:val="17"/>
        </w:rPr>
        <w:t> </w:t>
      </w:r>
      <w:r>
        <w:rPr>
          <w:rFonts w:ascii="Calibri" w:hAnsi="Calibri"/>
          <w:color w:val="231F20"/>
          <w:sz w:val="17"/>
        </w:rPr>
        <w:t>el</w:t>
      </w:r>
      <w:r>
        <w:rPr>
          <w:rFonts w:ascii="Calibri" w:hAnsi="Calibri"/>
          <w:color w:val="231F20"/>
          <w:spacing w:val="-5"/>
          <w:sz w:val="17"/>
        </w:rPr>
        <w:t> </w:t>
      </w:r>
      <w:r>
        <w:rPr>
          <w:rFonts w:ascii="Calibri" w:hAnsi="Calibri"/>
          <w:color w:val="231F20"/>
          <w:sz w:val="17"/>
        </w:rPr>
        <w:t>“giro</w:t>
      </w:r>
      <w:r>
        <w:rPr>
          <w:rFonts w:ascii="Calibri" w:hAnsi="Calibri"/>
          <w:color w:val="231F20"/>
          <w:spacing w:val="-5"/>
          <w:sz w:val="17"/>
        </w:rPr>
        <w:t> </w:t>
      </w:r>
      <w:r>
        <w:rPr>
          <w:rFonts w:ascii="Calibri" w:hAnsi="Calibri"/>
          <w:color w:val="231F20"/>
          <w:sz w:val="17"/>
        </w:rPr>
        <w:t>humanitario”</w:t>
      </w:r>
      <w:r>
        <w:rPr>
          <w:rFonts w:ascii="Calibri" w:hAnsi="Calibri"/>
          <w:color w:val="231F20"/>
          <w:spacing w:val="-5"/>
          <w:sz w:val="17"/>
        </w:rPr>
        <w:t> </w:t>
      </w:r>
      <w:r>
        <w:rPr>
          <w:rFonts w:ascii="Calibri" w:hAnsi="Calibri"/>
          <w:color w:val="231F20"/>
          <w:sz w:val="17"/>
        </w:rPr>
        <w:t>de</w:t>
      </w:r>
      <w:r>
        <w:rPr>
          <w:rFonts w:ascii="Calibri" w:hAnsi="Calibri"/>
          <w:color w:val="231F20"/>
          <w:spacing w:val="-5"/>
          <w:sz w:val="17"/>
        </w:rPr>
        <w:t> </w:t>
      </w:r>
      <w:r>
        <w:rPr>
          <w:rFonts w:ascii="Calibri" w:hAnsi="Calibri"/>
          <w:color w:val="231F20"/>
          <w:sz w:val="17"/>
        </w:rPr>
        <w:t>las</w:t>
      </w:r>
      <w:r>
        <w:rPr>
          <w:rFonts w:ascii="Calibri" w:hAnsi="Calibri"/>
          <w:color w:val="231F20"/>
          <w:spacing w:val="-5"/>
          <w:sz w:val="17"/>
        </w:rPr>
        <w:t> </w:t>
      </w:r>
      <w:r>
        <w:rPr>
          <w:rFonts w:ascii="Calibri" w:hAnsi="Calibri"/>
          <w:color w:val="231F20"/>
          <w:sz w:val="17"/>
        </w:rPr>
        <w:t>relaciones internacionales, véase en síntesis, I. Holliday, “Ethics of Intervention: Just War Theory and the Cha- llenge</w:t>
      </w:r>
      <w:r>
        <w:rPr>
          <w:rFonts w:ascii="Calibri" w:hAnsi="Calibri"/>
          <w:color w:val="231F20"/>
          <w:spacing w:val="-11"/>
          <w:sz w:val="17"/>
        </w:rPr>
        <w:t> </w:t>
      </w:r>
      <w:r>
        <w:rPr>
          <w:rFonts w:ascii="Calibri" w:hAnsi="Calibri"/>
          <w:color w:val="231F20"/>
          <w:sz w:val="17"/>
        </w:rPr>
        <w:t>of</w:t>
      </w:r>
      <w:r>
        <w:rPr>
          <w:rFonts w:ascii="Calibri" w:hAnsi="Calibri"/>
          <w:color w:val="231F20"/>
          <w:spacing w:val="-11"/>
          <w:sz w:val="17"/>
        </w:rPr>
        <w:t> </w:t>
      </w:r>
      <w:r>
        <w:rPr>
          <w:rFonts w:ascii="Calibri" w:hAnsi="Calibri"/>
          <w:color w:val="231F20"/>
          <w:sz w:val="17"/>
        </w:rPr>
        <w:t>the</w:t>
      </w:r>
      <w:r>
        <w:rPr>
          <w:rFonts w:ascii="Calibri" w:hAnsi="Calibri"/>
          <w:color w:val="231F20"/>
          <w:spacing w:val="-11"/>
          <w:sz w:val="17"/>
        </w:rPr>
        <w:t> </w:t>
      </w:r>
      <w:r>
        <w:rPr>
          <w:rFonts w:ascii="Calibri" w:hAnsi="Calibri"/>
          <w:color w:val="231F20"/>
          <w:sz w:val="17"/>
        </w:rPr>
        <w:t>21st</w:t>
      </w:r>
      <w:r>
        <w:rPr>
          <w:rFonts w:ascii="Calibri" w:hAnsi="Calibri"/>
          <w:color w:val="231F20"/>
          <w:spacing w:val="-11"/>
          <w:sz w:val="17"/>
        </w:rPr>
        <w:t> </w:t>
      </w:r>
      <w:r>
        <w:rPr>
          <w:rFonts w:ascii="Calibri" w:hAnsi="Calibri"/>
          <w:color w:val="231F20"/>
          <w:sz w:val="17"/>
        </w:rPr>
        <w:t>Century”,</w:t>
      </w:r>
      <w:r>
        <w:rPr>
          <w:rFonts w:ascii="Calibri" w:hAnsi="Calibri"/>
          <w:color w:val="231F20"/>
          <w:spacing w:val="-11"/>
          <w:sz w:val="17"/>
        </w:rPr>
        <w:t> </w:t>
      </w:r>
      <w:r>
        <w:rPr>
          <w:rFonts w:ascii="Calibri" w:hAnsi="Calibri"/>
          <w:i/>
          <w:color w:val="231F20"/>
          <w:sz w:val="17"/>
        </w:rPr>
        <w:t>International</w:t>
      </w:r>
      <w:r>
        <w:rPr>
          <w:rFonts w:ascii="Calibri" w:hAnsi="Calibri"/>
          <w:i/>
          <w:color w:val="231F20"/>
          <w:spacing w:val="-12"/>
          <w:sz w:val="17"/>
        </w:rPr>
        <w:t> </w:t>
      </w:r>
      <w:r>
        <w:rPr>
          <w:rFonts w:ascii="Calibri" w:hAnsi="Calibri"/>
          <w:i/>
          <w:color w:val="231F20"/>
          <w:sz w:val="17"/>
        </w:rPr>
        <w:t>Relation</w:t>
      </w:r>
      <w:r>
        <w:rPr>
          <w:rFonts w:ascii="Calibri" w:hAnsi="Calibri"/>
          <w:color w:val="231F20"/>
          <w:sz w:val="17"/>
        </w:rPr>
        <w:t>s,</w:t>
      </w:r>
      <w:r>
        <w:rPr>
          <w:rFonts w:ascii="Calibri" w:hAnsi="Calibri"/>
          <w:color w:val="231F20"/>
          <w:spacing w:val="-14"/>
          <w:sz w:val="17"/>
        </w:rPr>
        <w:t> </w:t>
      </w:r>
      <w:r>
        <w:rPr>
          <w:rFonts w:ascii="Calibri" w:hAnsi="Calibri"/>
          <w:color w:val="231F20"/>
          <w:sz w:val="17"/>
        </w:rPr>
        <w:t>vol.</w:t>
      </w:r>
      <w:r>
        <w:rPr>
          <w:rFonts w:ascii="Calibri" w:hAnsi="Calibri"/>
          <w:color w:val="231F20"/>
          <w:spacing w:val="-11"/>
          <w:sz w:val="17"/>
        </w:rPr>
        <w:t> </w:t>
      </w:r>
      <w:r>
        <w:rPr>
          <w:rFonts w:ascii="Calibri" w:hAnsi="Calibri"/>
          <w:color w:val="231F20"/>
          <w:spacing w:val="-4"/>
          <w:sz w:val="17"/>
        </w:rPr>
        <w:t>17,</w:t>
      </w:r>
      <w:r>
        <w:rPr>
          <w:rFonts w:ascii="Calibri" w:hAnsi="Calibri"/>
          <w:color w:val="231F20"/>
          <w:spacing w:val="-11"/>
          <w:sz w:val="17"/>
        </w:rPr>
        <w:t> </w:t>
      </w:r>
      <w:r>
        <w:rPr>
          <w:rFonts w:ascii="Calibri" w:hAnsi="Calibri"/>
          <w:color w:val="231F20"/>
          <w:sz w:val="17"/>
        </w:rPr>
        <w:t>2,</w:t>
      </w:r>
      <w:r>
        <w:rPr>
          <w:rFonts w:ascii="Calibri" w:hAnsi="Calibri"/>
          <w:color w:val="231F20"/>
          <w:spacing w:val="-11"/>
          <w:sz w:val="17"/>
        </w:rPr>
        <w:t> </w:t>
      </w:r>
      <w:r>
        <w:rPr>
          <w:rFonts w:ascii="Calibri" w:hAnsi="Calibri"/>
          <w:color w:val="231F20"/>
          <w:sz w:val="17"/>
        </w:rPr>
        <w:t>2003,</w:t>
      </w:r>
      <w:r>
        <w:rPr>
          <w:rFonts w:ascii="Calibri" w:hAnsi="Calibri"/>
          <w:color w:val="231F20"/>
          <w:spacing w:val="-11"/>
          <w:sz w:val="17"/>
        </w:rPr>
        <w:t> </w:t>
      </w:r>
      <w:r>
        <w:rPr>
          <w:rFonts w:ascii="Calibri" w:hAnsi="Calibri"/>
          <w:color w:val="231F20"/>
          <w:sz w:val="17"/>
        </w:rPr>
        <w:t>pp.</w:t>
      </w:r>
      <w:r>
        <w:rPr>
          <w:rFonts w:ascii="Calibri" w:hAnsi="Calibri"/>
          <w:color w:val="231F20"/>
          <w:spacing w:val="-11"/>
          <w:sz w:val="17"/>
        </w:rPr>
        <w:t> </w:t>
      </w:r>
      <w:r>
        <w:rPr>
          <w:rFonts w:ascii="Calibri" w:hAnsi="Calibri"/>
          <w:color w:val="231F20"/>
          <w:sz w:val="17"/>
        </w:rPr>
        <w:t>115–133.</w:t>
      </w:r>
    </w:p>
    <w:p>
      <w:pPr>
        <w:spacing w:after="0" w:line="204" w:lineRule="exact"/>
        <w:jc w:val="both"/>
        <w:rPr>
          <w:rFonts w:ascii="Calibri" w:hAnsi="Calibri"/>
          <w:sz w:val="17"/>
        </w:rPr>
        <w:sectPr>
          <w:type w:val="continuous"/>
          <w:pgSz w:w="9640" w:h="13890"/>
          <w:pgMar w:top="0" w:bottom="0" w:left="1300" w:right="1200"/>
        </w:sectPr>
      </w:pPr>
    </w:p>
    <w:p>
      <w:pPr>
        <w:pStyle w:val="BodyText"/>
        <w:spacing w:line="247" w:lineRule="auto" w:before="107"/>
        <w:ind w:left="103" w:right="115"/>
        <w:jc w:val="both"/>
      </w:pPr>
      <w:r>
        <w:rPr>
          <w:color w:val="231F20"/>
          <w:w w:val="105"/>
        </w:rPr>
        <w:t>no</w:t>
      </w:r>
      <w:r>
        <w:rPr>
          <w:color w:val="231F20"/>
          <w:spacing w:val="-29"/>
          <w:w w:val="105"/>
        </w:rPr>
        <w:t> </w:t>
      </w:r>
      <w:r>
        <w:rPr>
          <w:color w:val="231F20"/>
          <w:w w:val="105"/>
        </w:rPr>
        <w:t>retorno</w:t>
      </w:r>
      <w:r>
        <w:rPr>
          <w:color w:val="231F20"/>
          <w:spacing w:val="-29"/>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w w:val="105"/>
        </w:rPr>
        <w:t>camino</w:t>
      </w:r>
      <w:r>
        <w:rPr>
          <w:color w:val="231F20"/>
          <w:spacing w:val="-29"/>
          <w:w w:val="105"/>
        </w:rPr>
        <w:t> </w:t>
      </w:r>
      <w:r>
        <w:rPr>
          <w:color w:val="231F20"/>
          <w:w w:val="105"/>
        </w:rPr>
        <w:t>de</w:t>
      </w:r>
      <w:r>
        <w:rPr>
          <w:color w:val="231F20"/>
          <w:spacing w:val="-29"/>
          <w:w w:val="105"/>
        </w:rPr>
        <w:t> </w:t>
      </w:r>
      <w:r>
        <w:rPr>
          <w:color w:val="231F20"/>
          <w:w w:val="105"/>
        </w:rPr>
        <w:t>una</w:t>
      </w:r>
      <w:r>
        <w:rPr>
          <w:color w:val="231F20"/>
          <w:spacing w:val="-29"/>
          <w:w w:val="105"/>
        </w:rPr>
        <w:t> </w:t>
      </w:r>
      <w:r>
        <w:rPr>
          <w:color w:val="231F20"/>
          <w:w w:val="105"/>
        </w:rPr>
        <w:t>nueva</w:t>
      </w:r>
      <w:r>
        <w:rPr>
          <w:color w:val="231F20"/>
          <w:spacing w:val="-29"/>
          <w:w w:val="105"/>
        </w:rPr>
        <w:t> </w:t>
      </w:r>
      <w:r>
        <w:rPr>
          <w:color w:val="231F20"/>
          <w:w w:val="105"/>
        </w:rPr>
        <w:t>y</w:t>
      </w:r>
      <w:r>
        <w:rPr>
          <w:color w:val="231F20"/>
          <w:spacing w:val="-29"/>
          <w:w w:val="105"/>
        </w:rPr>
        <w:t> </w:t>
      </w:r>
      <w:r>
        <w:rPr>
          <w:color w:val="231F20"/>
          <w:w w:val="105"/>
        </w:rPr>
        <w:t>más</w:t>
      </w:r>
      <w:r>
        <w:rPr>
          <w:color w:val="231F20"/>
          <w:spacing w:val="-29"/>
          <w:w w:val="105"/>
        </w:rPr>
        <w:t> </w:t>
      </w:r>
      <w:r>
        <w:rPr>
          <w:color w:val="231F20"/>
          <w:w w:val="105"/>
        </w:rPr>
        <w:t>evolucionada</w:t>
      </w:r>
      <w:r>
        <w:rPr>
          <w:color w:val="231F20"/>
          <w:spacing w:val="-29"/>
          <w:w w:val="105"/>
        </w:rPr>
        <w:t> </w:t>
      </w:r>
      <w:r>
        <w:rPr>
          <w:color w:val="231F20"/>
          <w:w w:val="105"/>
        </w:rPr>
        <w:t>forma</w:t>
      </w:r>
      <w:r>
        <w:rPr>
          <w:color w:val="231F20"/>
          <w:spacing w:val="-29"/>
          <w:w w:val="105"/>
        </w:rPr>
        <w:t> </w:t>
      </w:r>
      <w:r>
        <w:rPr>
          <w:color w:val="231F20"/>
          <w:w w:val="105"/>
        </w:rPr>
        <w:t>de</w:t>
      </w:r>
      <w:r>
        <w:rPr>
          <w:color w:val="231F20"/>
          <w:spacing w:val="-29"/>
          <w:w w:val="105"/>
        </w:rPr>
        <w:t> </w:t>
      </w:r>
      <w:r>
        <w:rPr>
          <w:color w:val="231F20"/>
          <w:w w:val="105"/>
        </w:rPr>
        <w:t>orden internacional:</w:t>
      </w:r>
      <w:r>
        <w:rPr>
          <w:color w:val="231F20"/>
          <w:spacing w:val="-15"/>
          <w:w w:val="105"/>
        </w:rPr>
        <w:t> </w:t>
      </w:r>
      <w:r>
        <w:rPr>
          <w:color w:val="231F20"/>
          <w:w w:val="105"/>
        </w:rPr>
        <w:t>en</w:t>
      </w:r>
      <w:r>
        <w:rPr>
          <w:color w:val="231F20"/>
          <w:spacing w:val="-15"/>
          <w:w w:val="105"/>
        </w:rPr>
        <w:t> </w:t>
      </w:r>
      <w:r>
        <w:rPr>
          <w:color w:val="231F20"/>
          <w:w w:val="105"/>
        </w:rPr>
        <w:t>particular,</w:t>
      </w:r>
      <w:r>
        <w:rPr>
          <w:color w:val="231F20"/>
          <w:spacing w:val="-15"/>
          <w:w w:val="105"/>
        </w:rPr>
        <w:t> </w:t>
      </w:r>
      <w:r>
        <w:rPr>
          <w:color w:val="231F20"/>
          <w:w w:val="105"/>
        </w:rPr>
        <w:t>el</w:t>
      </w:r>
      <w:r>
        <w:rPr>
          <w:color w:val="231F20"/>
          <w:spacing w:val="-15"/>
          <w:w w:val="105"/>
        </w:rPr>
        <w:t> </w:t>
      </w:r>
      <w:r>
        <w:rPr>
          <w:color w:val="231F20"/>
          <w:w w:val="105"/>
        </w:rPr>
        <w:t>reconocimiento</w:t>
      </w:r>
      <w:r>
        <w:rPr>
          <w:color w:val="231F20"/>
          <w:spacing w:val="-15"/>
          <w:w w:val="105"/>
        </w:rPr>
        <w:t> </w:t>
      </w:r>
      <w:r>
        <w:rPr>
          <w:color w:val="231F20"/>
          <w:w w:val="105"/>
        </w:rPr>
        <w:t>de</w:t>
      </w:r>
      <w:r>
        <w:rPr>
          <w:color w:val="231F20"/>
          <w:spacing w:val="-15"/>
          <w:w w:val="105"/>
        </w:rPr>
        <w:t> </w:t>
      </w:r>
      <w:r>
        <w:rPr>
          <w:color w:val="231F20"/>
          <w:w w:val="105"/>
        </w:rPr>
        <w:t>que</w:t>
      </w:r>
      <w:r>
        <w:rPr>
          <w:color w:val="231F20"/>
          <w:spacing w:val="-15"/>
          <w:w w:val="105"/>
        </w:rPr>
        <w:t> </w:t>
      </w:r>
      <w:r>
        <w:rPr>
          <w:color w:val="231F20"/>
          <w:w w:val="105"/>
        </w:rPr>
        <w:t>“todos</w:t>
      </w:r>
      <w:r>
        <w:rPr>
          <w:color w:val="231F20"/>
          <w:spacing w:val="-15"/>
          <w:w w:val="105"/>
        </w:rPr>
        <w:t> </w:t>
      </w:r>
      <w:r>
        <w:rPr>
          <w:color w:val="231F20"/>
          <w:w w:val="105"/>
        </w:rPr>
        <w:t>los</w:t>
      </w:r>
      <w:r>
        <w:rPr>
          <w:color w:val="231F20"/>
          <w:spacing w:val="-15"/>
          <w:w w:val="105"/>
        </w:rPr>
        <w:t> </w:t>
      </w:r>
      <w:r>
        <w:rPr>
          <w:color w:val="231F20"/>
          <w:w w:val="105"/>
        </w:rPr>
        <w:t>Estados tienen la responsabilidad de proteger a sus poblaciones del genocidio, de</w:t>
      </w:r>
      <w:r>
        <w:rPr>
          <w:color w:val="231F20"/>
          <w:spacing w:val="-14"/>
          <w:w w:val="105"/>
        </w:rPr>
        <w:t> </w:t>
      </w:r>
      <w:r>
        <w:rPr>
          <w:color w:val="231F20"/>
          <w:w w:val="105"/>
        </w:rPr>
        <w:t>los</w:t>
      </w:r>
      <w:r>
        <w:rPr>
          <w:color w:val="231F20"/>
          <w:spacing w:val="-14"/>
          <w:w w:val="105"/>
        </w:rPr>
        <w:t> </w:t>
      </w:r>
      <w:r>
        <w:rPr>
          <w:color w:val="231F20"/>
          <w:w w:val="105"/>
        </w:rPr>
        <w:t>crímenes</w:t>
      </w:r>
      <w:r>
        <w:rPr>
          <w:color w:val="231F20"/>
          <w:spacing w:val="-14"/>
          <w:w w:val="105"/>
        </w:rPr>
        <w:t> </w:t>
      </w:r>
      <w:r>
        <w:rPr>
          <w:color w:val="231F20"/>
          <w:w w:val="105"/>
        </w:rPr>
        <w:t>de</w:t>
      </w:r>
      <w:r>
        <w:rPr>
          <w:color w:val="231F20"/>
          <w:spacing w:val="-14"/>
          <w:w w:val="105"/>
        </w:rPr>
        <w:t> </w:t>
      </w:r>
      <w:r>
        <w:rPr>
          <w:color w:val="231F20"/>
          <w:w w:val="105"/>
        </w:rPr>
        <w:t>guerra,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limpieza</w:t>
      </w:r>
      <w:r>
        <w:rPr>
          <w:color w:val="231F20"/>
          <w:spacing w:val="-14"/>
          <w:w w:val="105"/>
        </w:rPr>
        <w:t> </w:t>
      </w:r>
      <w:r>
        <w:rPr>
          <w:color w:val="231F20"/>
          <w:w w:val="105"/>
        </w:rPr>
        <w:t>étnica</w:t>
      </w:r>
      <w:r>
        <w:rPr>
          <w:color w:val="231F20"/>
          <w:spacing w:val="-14"/>
          <w:w w:val="105"/>
        </w:rPr>
        <w:t> </w:t>
      </w:r>
      <w:r>
        <w:rPr>
          <w:color w:val="231F20"/>
          <w:w w:val="105"/>
        </w:rPr>
        <w:t>y</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crímenes</w:t>
      </w:r>
      <w:r>
        <w:rPr>
          <w:color w:val="231F20"/>
          <w:spacing w:val="-14"/>
          <w:w w:val="105"/>
        </w:rPr>
        <w:t> </w:t>
      </w:r>
      <w:r>
        <w:rPr>
          <w:color w:val="231F20"/>
          <w:w w:val="105"/>
        </w:rPr>
        <w:t>contra la</w:t>
      </w:r>
      <w:r>
        <w:rPr>
          <w:color w:val="231F20"/>
          <w:spacing w:val="-18"/>
          <w:w w:val="105"/>
        </w:rPr>
        <w:t> </w:t>
      </w:r>
      <w:r>
        <w:rPr>
          <w:color w:val="231F20"/>
          <w:w w:val="105"/>
        </w:rPr>
        <w:t>humanidad”;</w:t>
      </w:r>
      <w:r>
        <w:rPr>
          <w:color w:val="231F20"/>
          <w:spacing w:val="-18"/>
          <w:w w:val="105"/>
        </w:rPr>
        <w:t> </w:t>
      </w:r>
      <w:r>
        <w:rPr>
          <w:color w:val="231F20"/>
          <w:w w:val="105"/>
        </w:rPr>
        <w:t>que</w:t>
      </w:r>
      <w:r>
        <w:rPr>
          <w:color w:val="231F20"/>
          <w:spacing w:val="-18"/>
          <w:w w:val="105"/>
        </w:rPr>
        <w:t> </w:t>
      </w:r>
      <w:r>
        <w:rPr>
          <w:color w:val="231F20"/>
          <w:w w:val="105"/>
        </w:rPr>
        <w:t>los</w:t>
      </w:r>
      <w:r>
        <w:rPr>
          <w:color w:val="231F20"/>
          <w:spacing w:val="-18"/>
          <w:w w:val="105"/>
        </w:rPr>
        <w:t> </w:t>
      </w:r>
      <w:r>
        <w:rPr>
          <w:color w:val="231F20"/>
          <w:w w:val="105"/>
        </w:rPr>
        <w:t>miembros</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Naciones</w:t>
      </w:r>
      <w:r>
        <w:rPr>
          <w:color w:val="231F20"/>
          <w:spacing w:val="-18"/>
          <w:w w:val="105"/>
        </w:rPr>
        <w:t> </w:t>
      </w:r>
      <w:r>
        <w:rPr>
          <w:color w:val="231F20"/>
          <w:w w:val="105"/>
        </w:rPr>
        <w:t>Unidas</w:t>
      </w:r>
      <w:r>
        <w:rPr>
          <w:color w:val="231F20"/>
          <w:spacing w:val="-18"/>
          <w:w w:val="105"/>
        </w:rPr>
        <w:t> </w:t>
      </w:r>
      <w:r>
        <w:rPr>
          <w:color w:val="231F20"/>
          <w:w w:val="105"/>
        </w:rPr>
        <w:t>tienen</w:t>
      </w:r>
      <w:r>
        <w:rPr>
          <w:color w:val="231F20"/>
          <w:spacing w:val="-18"/>
          <w:w w:val="105"/>
        </w:rPr>
        <w:t> </w:t>
      </w:r>
      <w:r>
        <w:rPr>
          <w:color w:val="231F20"/>
          <w:w w:val="105"/>
        </w:rPr>
        <w:t>el</w:t>
      </w:r>
      <w:r>
        <w:rPr>
          <w:color w:val="231F20"/>
          <w:spacing w:val="-18"/>
          <w:w w:val="105"/>
        </w:rPr>
        <w:t> </w:t>
      </w:r>
      <w:r>
        <w:rPr>
          <w:color w:val="231F20"/>
          <w:w w:val="105"/>
        </w:rPr>
        <w:t>deber de</w:t>
      </w:r>
      <w:r>
        <w:rPr>
          <w:color w:val="231F20"/>
          <w:spacing w:val="-10"/>
          <w:w w:val="105"/>
        </w:rPr>
        <w:t> </w:t>
      </w:r>
      <w:r>
        <w:rPr>
          <w:color w:val="231F20"/>
          <w:w w:val="105"/>
        </w:rPr>
        <w:t>asistir</w:t>
      </w:r>
      <w:r>
        <w:rPr>
          <w:color w:val="231F20"/>
          <w:spacing w:val="-10"/>
          <w:w w:val="105"/>
        </w:rPr>
        <w:t> </w:t>
      </w:r>
      <w:r>
        <w:rPr>
          <w:color w:val="231F20"/>
          <w:w w:val="105"/>
        </w:rPr>
        <w:t>a</w:t>
      </w:r>
      <w:r>
        <w:rPr>
          <w:color w:val="231F20"/>
          <w:spacing w:val="-10"/>
          <w:w w:val="105"/>
        </w:rPr>
        <w:t> </w:t>
      </w:r>
      <w:r>
        <w:rPr>
          <w:color w:val="231F20"/>
          <w:w w:val="105"/>
        </w:rPr>
        <w:t>los</w:t>
      </w:r>
      <w:r>
        <w:rPr>
          <w:color w:val="231F20"/>
          <w:spacing w:val="-10"/>
          <w:w w:val="105"/>
        </w:rPr>
        <w:t> </w:t>
      </w:r>
      <w:r>
        <w:rPr>
          <w:color w:val="231F20"/>
          <w:w w:val="105"/>
        </w:rPr>
        <w:t>Estados</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cumplimiento</w:t>
      </w:r>
      <w:r>
        <w:rPr>
          <w:color w:val="231F20"/>
          <w:spacing w:val="-10"/>
          <w:w w:val="105"/>
        </w:rPr>
        <w:t> </w:t>
      </w:r>
      <w:r>
        <w:rPr>
          <w:color w:val="231F20"/>
          <w:w w:val="105"/>
        </w:rPr>
        <w:t>de</w:t>
      </w:r>
      <w:r>
        <w:rPr>
          <w:color w:val="231F20"/>
          <w:spacing w:val="-10"/>
          <w:w w:val="105"/>
        </w:rPr>
        <w:t> </w:t>
      </w:r>
      <w:r>
        <w:rPr>
          <w:color w:val="231F20"/>
          <w:w w:val="105"/>
        </w:rPr>
        <w:t>esa</w:t>
      </w:r>
      <w:r>
        <w:rPr>
          <w:color w:val="231F20"/>
          <w:spacing w:val="-10"/>
          <w:w w:val="105"/>
        </w:rPr>
        <w:t> </w:t>
      </w:r>
      <w:r>
        <w:rPr>
          <w:color w:val="231F20"/>
          <w:w w:val="105"/>
        </w:rPr>
        <w:t>responsabilidad</w:t>
      </w:r>
      <w:r>
        <w:rPr>
          <w:color w:val="231F20"/>
          <w:spacing w:val="-10"/>
          <w:w w:val="105"/>
        </w:rPr>
        <w:t> </w:t>
      </w:r>
      <w:r>
        <w:rPr>
          <w:color w:val="231F20"/>
          <w:w w:val="105"/>
        </w:rPr>
        <w:t>y</w:t>
      </w:r>
      <w:r>
        <w:rPr>
          <w:color w:val="231F20"/>
          <w:spacing w:val="-10"/>
          <w:w w:val="105"/>
        </w:rPr>
        <w:t> </w:t>
      </w:r>
      <w:r>
        <w:rPr>
          <w:color w:val="231F20"/>
          <w:w w:val="105"/>
        </w:rPr>
        <w:t>que “cuando</w:t>
      </w:r>
      <w:r>
        <w:rPr>
          <w:color w:val="231F20"/>
          <w:spacing w:val="-25"/>
          <w:w w:val="105"/>
        </w:rPr>
        <w:t> </w:t>
      </w:r>
      <w:r>
        <w:rPr>
          <w:color w:val="231F20"/>
          <w:w w:val="105"/>
        </w:rPr>
        <w:t>un</w:t>
      </w:r>
      <w:r>
        <w:rPr>
          <w:color w:val="231F20"/>
          <w:spacing w:val="-25"/>
          <w:w w:val="105"/>
        </w:rPr>
        <w:t> </w:t>
      </w:r>
      <w:r>
        <w:rPr>
          <w:color w:val="231F20"/>
          <w:w w:val="105"/>
        </w:rPr>
        <w:t>Estado</w:t>
      </w:r>
      <w:r>
        <w:rPr>
          <w:color w:val="231F20"/>
          <w:spacing w:val="-25"/>
          <w:w w:val="105"/>
        </w:rPr>
        <w:t> </w:t>
      </w:r>
      <w:r>
        <w:rPr>
          <w:color w:val="231F20"/>
          <w:w w:val="105"/>
        </w:rPr>
        <w:t>no</w:t>
      </w:r>
      <w:r>
        <w:rPr>
          <w:color w:val="231F20"/>
          <w:spacing w:val="-25"/>
          <w:w w:val="105"/>
        </w:rPr>
        <w:t> </w:t>
      </w:r>
      <w:r>
        <w:rPr>
          <w:color w:val="231F20"/>
          <w:w w:val="105"/>
        </w:rPr>
        <w:t>cumple</w:t>
      </w:r>
      <w:r>
        <w:rPr>
          <w:color w:val="231F20"/>
          <w:spacing w:val="-25"/>
          <w:w w:val="105"/>
        </w:rPr>
        <w:t> </w:t>
      </w:r>
      <w:r>
        <w:rPr>
          <w:color w:val="231F20"/>
          <w:w w:val="105"/>
        </w:rPr>
        <w:t>abiertamente</w:t>
      </w:r>
      <w:r>
        <w:rPr>
          <w:color w:val="231F20"/>
          <w:spacing w:val="-25"/>
          <w:w w:val="105"/>
        </w:rPr>
        <w:t> </w:t>
      </w:r>
      <w:r>
        <w:rPr>
          <w:color w:val="231F20"/>
          <w:w w:val="105"/>
        </w:rPr>
        <w:t>con</w:t>
      </w:r>
      <w:r>
        <w:rPr>
          <w:color w:val="231F20"/>
          <w:spacing w:val="-25"/>
          <w:w w:val="105"/>
        </w:rPr>
        <w:t> </w:t>
      </w:r>
      <w:r>
        <w:rPr>
          <w:color w:val="231F20"/>
          <w:w w:val="105"/>
        </w:rPr>
        <w:t>sus</w:t>
      </w:r>
      <w:r>
        <w:rPr>
          <w:color w:val="231F20"/>
          <w:spacing w:val="-25"/>
          <w:w w:val="105"/>
        </w:rPr>
        <w:t> </w:t>
      </w:r>
      <w:r>
        <w:rPr>
          <w:color w:val="231F20"/>
          <w:w w:val="105"/>
        </w:rPr>
        <w:t>propias</w:t>
      </w:r>
      <w:r>
        <w:rPr>
          <w:color w:val="231F20"/>
          <w:spacing w:val="-25"/>
          <w:w w:val="105"/>
        </w:rPr>
        <w:t> </w:t>
      </w:r>
      <w:r>
        <w:rPr>
          <w:color w:val="231F20"/>
          <w:w w:val="105"/>
        </w:rPr>
        <w:t>responsabili- dades,</w:t>
      </w:r>
      <w:r>
        <w:rPr>
          <w:color w:val="231F20"/>
          <w:spacing w:val="-26"/>
          <w:w w:val="105"/>
        </w:rPr>
        <w:t> </w:t>
      </w:r>
      <w:r>
        <w:rPr>
          <w:color w:val="231F20"/>
          <w:w w:val="105"/>
        </w:rPr>
        <w:t>actores</w:t>
      </w:r>
      <w:r>
        <w:rPr>
          <w:color w:val="231F20"/>
          <w:spacing w:val="-26"/>
          <w:w w:val="105"/>
        </w:rPr>
        <w:t> </w:t>
      </w:r>
      <w:r>
        <w:rPr>
          <w:color w:val="231F20"/>
          <w:w w:val="105"/>
        </w:rPr>
        <w:t>externos</w:t>
      </w:r>
      <w:r>
        <w:rPr>
          <w:color w:val="231F20"/>
          <w:spacing w:val="-26"/>
          <w:w w:val="105"/>
        </w:rPr>
        <w:t> </w:t>
      </w:r>
      <w:r>
        <w:rPr>
          <w:color w:val="231F20"/>
          <w:w w:val="105"/>
        </w:rPr>
        <w:t>deben</w:t>
      </w:r>
      <w:r>
        <w:rPr>
          <w:color w:val="231F20"/>
          <w:spacing w:val="-26"/>
          <w:w w:val="105"/>
        </w:rPr>
        <w:t> </w:t>
      </w:r>
      <w:r>
        <w:rPr>
          <w:color w:val="231F20"/>
          <w:w w:val="105"/>
        </w:rPr>
        <w:t>asumir</w:t>
      </w:r>
      <w:r>
        <w:rPr>
          <w:color w:val="231F20"/>
          <w:spacing w:val="-26"/>
          <w:w w:val="105"/>
        </w:rPr>
        <w:t> </w:t>
      </w:r>
      <w:r>
        <w:rPr>
          <w:color w:val="231F20"/>
          <w:w w:val="105"/>
        </w:rPr>
        <w:t>iniciativas</w:t>
      </w:r>
      <w:r>
        <w:rPr>
          <w:color w:val="231F20"/>
          <w:spacing w:val="-26"/>
          <w:w w:val="105"/>
        </w:rPr>
        <w:t> </w:t>
      </w:r>
      <w:r>
        <w:rPr>
          <w:color w:val="231F20"/>
          <w:w w:val="105"/>
        </w:rPr>
        <w:t>“inmediatas</w:t>
      </w:r>
      <w:r>
        <w:rPr>
          <w:color w:val="231F20"/>
          <w:spacing w:val="-26"/>
          <w:w w:val="105"/>
        </w:rPr>
        <w:t> </w:t>
      </w:r>
      <w:r>
        <w:rPr>
          <w:color w:val="231F20"/>
          <w:w w:val="105"/>
        </w:rPr>
        <w:t>y</w:t>
      </w:r>
      <w:r>
        <w:rPr>
          <w:color w:val="231F20"/>
          <w:spacing w:val="-26"/>
          <w:w w:val="105"/>
        </w:rPr>
        <w:t> </w:t>
      </w:r>
      <w:r>
        <w:rPr>
          <w:color w:val="231F20"/>
          <w:w w:val="105"/>
        </w:rPr>
        <w:t>decisivas” para</w:t>
      </w:r>
      <w:r>
        <w:rPr>
          <w:color w:val="231F20"/>
          <w:spacing w:val="-24"/>
          <w:w w:val="105"/>
        </w:rPr>
        <w:t> </w:t>
      </w:r>
      <w:r>
        <w:rPr>
          <w:color w:val="231F20"/>
          <w:w w:val="105"/>
        </w:rPr>
        <w:t>proteger</w:t>
      </w:r>
      <w:r>
        <w:rPr>
          <w:color w:val="231F20"/>
          <w:spacing w:val="-24"/>
          <w:w w:val="105"/>
        </w:rPr>
        <w:t> </w:t>
      </w:r>
      <w:r>
        <w:rPr>
          <w:color w:val="231F20"/>
          <w:w w:val="105"/>
        </w:rPr>
        <w:t>a</w:t>
      </w:r>
      <w:r>
        <w:rPr>
          <w:color w:val="231F20"/>
          <w:spacing w:val="-24"/>
          <w:w w:val="105"/>
        </w:rPr>
        <w:t> </w:t>
      </w:r>
      <w:r>
        <w:rPr>
          <w:color w:val="231F20"/>
          <w:w w:val="105"/>
        </w:rPr>
        <w:t>las</w:t>
      </w:r>
      <w:r>
        <w:rPr>
          <w:color w:val="231F20"/>
          <w:spacing w:val="-24"/>
          <w:w w:val="105"/>
        </w:rPr>
        <w:t> </w:t>
      </w:r>
      <w:r>
        <w:rPr>
          <w:color w:val="231F20"/>
          <w:w w:val="105"/>
        </w:rPr>
        <w:t>poblaciones</w:t>
      </w:r>
      <w:r>
        <w:rPr>
          <w:color w:val="231F20"/>
          <w:spacing w:val="-24"/>
          <w:w w:val="105"/>
        </w:rPr>
        <w:t> </w:t>
      </w:r>
      <w:r>
        <w:rPr>
          <w:color w:val="231F20"/>
          <w:w w:val="105"/>
        </w:rPr>
        <w:t>de</w:t>
      </w:r>
      <w:r>
        <w:rPr>
          <w:color w:val="231F20"/>
          <w:spacing w:val="-24"/>
          <w:w w:val="105"/>
        </w:rPr>
        <w:t> </w:t>
      </w:r>
      <w:r>
        <w:rPr>
          <w:color w:val="231F20"/>
          <w:w w:val="105"/>
        </w:rPr>
        <w:t>estos</w:t>
      </w:r>
      <w:r>
        <w:rPr>
          <w:color w:val="231F20"/>
          <w:spacing w:val="-24"/>
          <w:w w:val="105"/>
        </w:rPr>
        <w:t> </w:t>
      </w:r>
      <w:r>
        <w:rPr>
          <w:color w:val="231F20"/>
          <w:w w:val="105"/>
        </w:rPr>
        <w:t>crímenes</w:t>
      </w:r>
      <w:r>
        <w:rPr>
          <w:color w:val="231F20"/>
          <w:spacing w:val="-24"/>
          <w:w w:val="105"/>
        </w:rPr>
        <w:t> </w:t>
      </w:r>
      <w:r>
        <w:rPr>
          <w:color w:val="231F20"/>
          <w:w w:val="105"/>
        </w:rPr>
        <w:t>en</w:t>
      </w:r>
      <w:r>
        <w:rPr>
          <w:color w:val="231F20"/>
          <w:spacing w:val="-24"/>
          <w:w w:val="105"/>
        </w:rPr>
        <w:t> </w:t>
      </w:r>
      <w:r>
        <w:rPr>
          <w:color w:val="231F20"/>
          <w:w w:val="105"/>
        </w:rPr>
        <w:t>formas</w:t>
      </w:r>
      <w:r>
        <w:rPr>
          <w:color w:val="231F20"/>
          <w:spacing w:val="-24"/>
          <w:w w:val="105"/>
        </w:rPr>
        <w:t> </w:t>
      </w:r>
      <w:r>
        <w:rPr>
          <w:color w:val="231F20"/>
          <w:w w:val="105"/>
        </w:rPr>
        <w:t>compatibles con</w:t>
      </w:r>
      <w:r>
        <w:rPr>
          <w:color w:val="231F20"/>
          <w:spacing w:val="-27"/>
          <w:w w:val="105"/>
        </w:rPr>
        <w:t> </w:t>
      </w:r>
      <w:r>
        <w:rPr>
          <w:color w:val="231F20"/>
          <w:w w:val="105"/>
        </w:rPr>
        <w:t>la</w:t>
      </w:r>
      <w:r>
        <w:rPr>
          <w:color w:val="231F20"/>
          <w:spacing w:val="-27"/>
          <w:w w:val="105"/>
        </w:rPr>
        <w:t> </w:t>
      </w:r>
      <w:r>
        <w:rPr>
          <w:color w:val="231F20"/>
          <w:w w:val="105"/>
        </w:rPr>
        <w:t>Carta</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Naciones</w:t>
      </w:r>
      <w:r>
        <w:rPr>
          <w:color w:val="231F20"/>
          <w:spacing w:val="-27"/>
          <w:w w:val="105"/>
        </w:rPr>
        <w:t> </w:t>
      </w:r>
      <w:r>
        <w:rPr>
          <w:color w:val="231F20"/>
          <w:w w:val="105"/>
        </w:rPr>
        <w:t>Unidas</w:t>
      </w:r>
      <w:r>
        <w:rPr>
          <w:color w:val="231F20"/>
          <w:w w:val="105"/>
          <w:position w:val="7"/>
          <w:sz w:val="12"/>
        </w:rPr>
        <w:t>19</w:t>
      </w:r>
      <w:r>
        <w:rPr>
          <w:color w:val="231F20"/>
          <w:w w:val="105"/>
        </w:rPr>
        <w:t>.</w:t>
      </w:r>
    </w:p>
    <w:p>
      <w:pPr>
        <w:pStyle w:val="BodyText"/>
        <w:spacing w:line="247" w:lineRule="auto"/>
        <w:ind w:left="103" w:right="115" w:firstLine="566"/>
        <w:jc w:val="both"/>
      </w:pPr>
      <w:r>
        <w:rPr>
          <w:color w:val="231F20"/>
          <w:spacing w:val="-8"/>
          <w:w w:val="105"/>
        </w:rPr>
        <w:t>Tal</w:t>
      </w:r>
      <w:r>
        <w:rPr>
          <w:color w:val="231F20"/>
          <w:spacing w:val="-13"/>
          <w:w w:val="105"/>
        </w:rPr>
        <w:t> </w:t>
      </w:r>
      <w:r>
        <w:rPr>
          <w:color w:val="231F20"/>
          <w:w w:val="105"/>
        </w:rPr>
        <w:t>vez</w:t>
      </w:r>
      <w:r>
        <w:rPr>
          <w:color w:val="231F20"/>
          <w:spacing w:val="-13"/>
          <w:w w:val="105"/>
        </w:rPr>
        <w:t> </w:t>
      </w:r>
      <w:r>
        <w:rPr>
          <w:color w:val="231F20"/>
          <w:w w:val="105"/>
        </w:rPr>
        <w:t>es</w:t>
      </w:r>
      <w:r>
        <w:rPr>
          <w:color w:val="231F20"/>
          <w:spacing w:val="-13"/>
          <w:w w:val="105"/>
        </w:rPr>
        <w:t> </w:t>
      </w:r>
      <w:r>
        <w:rPr>
          <w:color w:val="231F20"/>
          <w:w w:val="105"/>
        </w:rPr>
        <w:t>superfluo</w:t>
      </w:r>
      <w:r>
        <w:rPr>
          <w:color w:val="231F20"/>
          <w:spacing w:val="-13"/>
          <w:w w:val="105"/>
        </w:rPr>
        <w:t> </w:t>
      </w:r>
      <w:r>
        <w:rPr>
          <w:color w:val="231F20"/>
          <w:w w:val="105"/>
        </w:rPr>
        <w:t>subrayar</w:t>
      </w:r>
      <w:r>
        <w:rPr>
          <w:color w:val="231F20"/>
          <w:spacing w:val="-13"/>
          <w:w w:val="105"/>
        </w:rPr>
        <w:t> </w:t>
      </w:r>
      <w:r>
        <w:rPr>
          <w:color w:val="231F20"/>
          <w:w w:val="105"/>
        </w:rPr>
        <w:t>el</w:t>
      </w:r>
      <w:r>
        <w:rPr>
          <w:color w:val="231F20"/>
          <w:spacing w:val="-13"/>
          <w:w w:val="105"/>
        </w:rPr>
        <w:t> </w:t>
      </w:r>
      <w:r>
        <w:rPr>
          <w:color w:val="231F20"/>
          <w:w w:val="105"/>
        </w:rPr>
        <w:t>papel</w:t>
      </w:r>
      <w:r>
        <w:rPr>
          <w:color w:val="231F20"/>
          <w:spacing w:val="-13"/>
          <w:w w:val="105"/>
        </w:rPr>
        <w:t> </w:t>
      </w:r>
      <w:r>
        <w:rPr>
          <w:color w:val="231F20"/>
          <w:w w:val="105"/>
        </w:rPr>
        <w:t>decisivo</w:t>
      </w:r>
      <w:r>
        <w:rPr>
          <w:color w:val="231F20"/>
          <w:spacing w:val="-13"/>
          <w:w w:val="105"/>
        </w:rPr>
        <w:t> </w:t>
      </w:r>
      <w:r>
        <w:rPr>
          <w:color w:val="231F20"/>
          <w:w w:val="105"/>
        </w:rPr>
        <w:t>que</w:t>
      </w:r>
      <w:r>
        <w:rPr>
          <w:color w:val="231F20"/>
          <w:spacing w:val="-13"/>
          <w:w w:val="105"/>
        </w:rPr>
        <w:t> </w:t>
      </w:r>
      <w:r>
        <w:rPr>
          <w:color w:val="231F20"/>
          <w:w w:val="105"/>
        </w:rPr>
        <w:t>juega</w:t>
      </w:r>
      <w:r>
        <w:rPr>
          <w:color w:val="231F20"/>
          <w:spacing w:val="-13"/>
          <w:w w:val="105"/>
        </w:rPr>
        <w:t> </w:t>
      </w:r>
      <w:r>
        <w:rPr>
          <w:color w:val="231F20"/>
          <w:w w:val="105"/>
        </w:rPr>
        <w:t>el</w:t>
      </w:r>
      <w:r>
        <w:rPr>
          <w:color w:val="231F20"/>
          <w:spacing w:val="-13"/>
          <w:w w:val="105"/>
        </w:rPr>
        <w:t> </w:t>
      </w:r>
      <w:r>
        <w:rPr>
          <w:color w:val="231F20"/>
          <w:w w:val="105"/>
        </w:rPr>
        <w:t>amplio lenguaje</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derechos</w:t>
      </w:r>
      <w:r>
        <w:rPr>
          <w:color w:val="231F20"/>
          <w:spacing w:val="-30"/>
          <w:w w:val="105"/>
        </w:rPr>
        <w:t> </w:t>
      </w:r>
      <w:r>
        <w:rPr>
          <w:color w:val="231F20"/>
          <w:w w:val="105"/>
        </w:rPr>
        <w:t>humanos</w:t>
      </w:r>
      <w:r>
        <w:rPr>
          <w:color w:val="231F20"/>
          <w:spacing w:val="-30"/>
          <w:w w:val="105"/>
        </w:rPr>
        <w:t> </w:t>
      </w:r>
      <w:r>
        <w:rPr>
          <w:color w:val="231F20"/>
          <w:w w:val="105"/>
        </w:rPr>
        <w:t>en</w:t>
      </w:r>
      <w:r>
        <w:rPr>
          <w:color w:val="231F20"/>
          <w:spacing w:val="-30"/>
          <w:w w:val="105"/>
        </w:rPr>
        <w:t> </w:t>
      </w:r>
      <w:r>
        <w:rPr>
          <w:color w:val="231F20"/>
          <w:w w:val="105"/>
        </w:rPr>
        <w:t>este</w:t>
      </w:r>
      <w:r>
        <w:rPr>
          <w:color w:val="231F20"/>
          <w:spacing w:val="-30"/>
          <w:w w:val="105"/>
        </w:rPr>
        <w:t> </w:t>
      </w:r>
      <w:r>
        <w:rPr>
          <w:color w:val="231F20"/>
          <w:w w:val="105"/>
        </w:rPr>
        <w:t>proceso</w:t>
      </w:r>
      <w:r>
        <w:rPr>
          <w:color w:val="231F20"/>
          <w:spacing w:val="-30"/>
          <w:w w:val="105"/>
        </w:rPr>
        <w:t> </w:t>
      </w:r>
      <w:r>
        <w:rPr>
          <w:color w:val="231F20"/>
          <w:w w:val="105"/>
        </w:rPr>
        <w:t>de</w:t>
      </w:r>
      <w:r>
        <w:rPr>
          <w:color w:val="231F20"/>
          <w:spacing w:val="-30"/>
          <w:w w:val="105"/>
        </w:rPr>
        <w:t> </w:t>
      </w:r>
      <w:r>
        <w:rPr>
          <w:color w:val="231F20"/>
          <w:w w:val="105"/>
        </w:rPr>
        <w:t>reformulación</w:t>
      </w:r>
      <w:r>
        <w:rPr>
          <w:color w:val="231F20"/>
          <w:spacing w:val="-30"/>
          <w:w w:val="105"/>
        </w:rPr>
        <w:t> </w:t>
      </w:r>
      <w:r>
        <w:rPr>
          <w:color w:val="231F20"/>
          <w:w w:val="105"/>
        </w:rPr>
        <w:t>de</w:t>
      </w:r>
      <w:r>
        <w:rPr>
          <w:color w:val="231F20"/>
          <w:spacing w:val="-30"/>
          <w:w w:val="105"/>
        </w:rPr>
        <w:t> </w:t>
      </w:r>
      <w:r>
        <w:rPr>
          <w:color w:val="231F20"/>
          <w:w w:val="105"/>
        </w:rPr>
        <w:t>la tradicional</w:t>
      </w:r>
      <w:r>
        <w:rPr>
          <w:color w:val="231F20"/>
          <w:spacing w:val="-19"/>
          <w:w w:val="105"/>
        </w:rPr>
        <w:t> </w:t>
      </w:r>
      <w:r>
        <w:rPr>
          <w:color w:val="231F20"/>
          <w:w w:val="105"/>
        </w:rPr>
        <w:t>vision</w:t>
      </w:r>
      <w:r>
        <w:rPr>
          <w:color w:val="231F20"/>
          <w:spacing w:val="-19"/>
          <w:w w:val="105"/>
        </w:rPr>
        <w:t> </w:t>
      </w:r>
      <w:r>
        <w:rPr>
          <w:color w:val="231F20"/>
          <w:w w:val="105"/>
        </w:rPr>
        <w:t>Estado–céntrica</w:t>
      </w:r>
      <w:r>
        <w:rPr>
          <w:color w:val="231F20"/>
          <w:spacing w:val="-19"/>
          <w:w w:val="105"/>
        </w:rPr>
        <w:t> </w:t>
      </w:r>
      <w:r>
        <w:rPr>
          <w:color w:val="231F20"/>
          <w:w w:val="105"/>
        </w:rPr>
        <w:t>del</w:t>
      </w:r>
      <w:r>
        <w:rPr>
          <w:color w:val="231F20"/>
          <w:spacing w:val="-19"/>
          <w:w w:val="105"/>
        </w:rPr>
        <w:t> </w:t>
      </w:r>
      <w:r>
        <w:rPr>
          <w:color w:val="231F20"/>
          <w:w w:val="105"/>
        </w:rPr>
        <w:t>orden</w:t>
      </w:r>
      <w:r>
        <w:rPr>
          <w:color w:val="231F20"/>
          <w:spacing w:val="-19"/>
          <w:w w:val="105"/>
        </w:rPr>
        <w:t> </w:t>
      </w:r>
      <w:r>
        <w:rPr>
          <w:color w:val="231F20"/>
          <w:w w:val="105"/>
        </w:rPr>
        <w:t>internacional</w:t>
      </w:r>
      <w:r>
        <w:rPr>
          <w:color w:val="231F20"/>
          <w:w w:val="105"/>
          <w:position w:val="7"/>
          <w:sz w:val="12"/>
        </w:rPr>
        <w:t>20</w:t>
      </w:r>
      <w:r>
        <w:rPr>
          <w:color w:val="231F20"/>
          <w:w w:val="105"/>
        </w:rPr>
        <w:t>.</w:t>
      </w:r>
      <w:r>
        <w:rPr>
          <w:color w:val="231F20"/>
          <w:spacing w:val="-19"/>
          <w:w w:val="105"/>
        </w:rPr>
        <w:t> </w:t>
      </w:r>
      <w:r>
        <w:rPr>
          <w:color w:val="231F20"/>
          <w:w w:val="105"/>
        </w:rPr>
        <w:t>Para</w:t>
      </w:r>
      <w:r>
        <w:rPr>
          <w:color w:val="231F20"/>
          <w:spacing w:val="-19"/>
          <w:w w:val="105"/>
        </w:rPr>
        <w:t> </w:t>
      </w:r>
      <w:r>
        <w:rPr>
          <w:color w:val="231F20"/>
          <w:w w:val="105"/>
        </w:rPr>
        <w:t>quienes apoyan</w:t>
      </w:r>
      <w:r>
        <w:rPr>
          <w:color w:val="231F20"/>
          <w:spacing w:val="-9"/>
          <w:w w:val="105"/>
        </w:rPr>
        <w:t> </w:t>
      </w:r>
      <w:r>
        <w:rPr>
          <w:color w:val="231F20"/>
          <w:w w:val="105"/>
        </w:rPr>
        <w:t>una</w:t>
      </w:r>
      <w:r>
        <w:rPr>
          <w:color w:val="231F20"/>
          <w:spacing w:val="-9"/>
          <w:w w:val="105"/>
        </w:rPr>
        <w:t> </w:t>
      </w:r>
      <w:r>
        <w:rPr>
          <w:color w:val="231F20"/>
          <w:w w:val="105"/>
        </w:rPr>
        <w:t>aproximación</w:t>
      </w:r>
      <w:r>
        <w:rPr>
          <w:color w:val="231F20"/>
          <w:spacing w:val="-9"/>
          <w:w w:val="105"/>
        </w:rPr>
        <w:t> </w:t>
      </w:r>
      <w:r>
        <w:rPr>
          <w:color w:val="231F20"/>
          <w:w w:val="105"/>
        </w:rPr>
        <w:t>“universal”</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relaciones</w:t>
      </w:r>
      <w:r>
        <w:rPr>
          <w:color w:val="231F20"/>
          <w:spacing w:val="-9"/>
          <w:w w:val="105"/>
        </w:rPr>
        <w:t> </w:t>
      </w:r>
      <w:r>
        <w:rPr>
          <w:color w:val="231F20"/>
          <w:w w:val="105"/>
        </w:rPr>
        <w:t>entre</w:t>
      </w:r>
      <w:r>
        <w:rPr>
          <w:color w:val="231F20"/>
          <w:spacing w:val="-9"/>
          <w:w w:val="105"/>
        </w:rPr>
        <w:t> </w:t>
      </w:r>
      <w:r>
        <w:rPr>
          <w:color w:val="231F20"/>
          <w:w w:val="105"/>
        </w:rPr>
        <w:t>Estados,</w:t>
      </w:r>
      <w:r>
        <w:rPr>
          <w:color w:val="231F20"/>
          <w:spacing w:val="-9"/>
          <w:w w:val="105"/>
        </w:rPr>
        <w:t> </w:t>
      </w:r>
      <w:r>
        <w:rPr>
          <w:color w:val="231F20"/>
          <w:w w:val="105"/>
        </w:rPr>
        <w:t>el reconocimiento de límites en el principio de no injerencia característico del</w:t>
      </w:r>
      <w:r>
        <w:rPr>
          <w:color w:val="231F20"/>
          <w:spacing w:val="-11"/>
          <w:w w:val="105"/>
        </w:rPr>
        <w:t> </w:t>
      </w:r>
      <w:r>
        <w:rPr>
          <w:color w:val="231F20"/>
          <w:w w:val="105"/>
        </w:rPr>
        <w:t>régimen</w:t>
      </w:r>
      <w:r>
        <w:rPr>
          <w:color w:val="231F20"/>
          <w:spacing w:val="-11"/>
          <w:w w:val="105"/>
        </w:rPr>
        <w:t> </w:t>
      </w:r>
      <w:r>
        <w:rPr>
          <w:color w:val="231F20"/>
          <w:w w:val="105"/>
          <w:sz w:val="18"/>
        </w:rPr>
        <w:t>ONU</w:t>
      </w:r>
      <w:r>
        <w:rPr>
          <w:color w:val="231F20"/>
          <w:spacing w:val="-1"/>
          <w:w w:val="105"/>
          <w:sz w:val="18"/>
        </w:rPr>
        <w:t> </w:t>
      </w:r>
      <w:r>
        <w:rPr>
          <w:color w:val="231F20"/>
          <w:w w:val="105"/>
        </w:rPr>
        <w:t>concide,</w:t>
      </w:r>
      <w:r>
        <w:rPr>
          <w:color w:val="231F20"/>
          <w:spacing w:val="-11"/>
          <w:w w:val="105"/>
        </w:rPr>
        <w:t> </w:t>
      </w:r>
      <w:r>
        <w:rPr>
          <w:color w:val="231F20"/>
          <w:w w:val="105"/>
        </w:rPr>
        <w:t>en</w:t>
      </w:r>
      <w:r>
        <w:rPr>
          <w:color w:val="231F20"/>
          <w:spacing w:val="-11"/>
          <w:w w:val="105"/>
        </w:rPr>
        <w:t> </w:t>
      </w:r>
      <w:r>
        <w:rPr>
          <w:color w:val="231F20"/>
          <w:w w:val="105"/>
        </w:rPr>
        <w:t>efecto,</w:t>
      </w:r>
      <w:r>
        <w:rPr>
          <w:color w:val="231F20"/>
          <w:spacing w:val="-11"/>
          <w:w w:val="105"/>
        </w:rPr>
        <w:t> </w:t>
      </w:r>
      <w:r>
        <w:rPr>
          <w:color w:val="231F20"/>
          <w:w w:val="105"/>
        </w:rPr>
        <w:t>con</w:t>
      </w:r>
      <w:r>
        <w:rPr>
          <w:color w:val="231F20"/>
          <w:spacing w:val="-11"/>
          <w:w w:val="105"/>
        </w:rPr>
        <w:t> </w:t>
      </w:r>
      <w:r>
        <w:rPr>
          <w:color w:val="231F20"/>
          <w:w w:val="105"/>
        </w:rPr>
        <w:t>asumir</w:t>
      </w:r>
      <w:r>
        <w:rPr>
          <w:color w:val="231F20"/>
          <w:spacing w:val="-11"/>
          <w:w w:val="105"/>
        </w:rPr>
        <w:t> </w:t>
      </w:r>
      <w:r>
        <w:rPr>
          <w:color w:val="231F20"/>
          <w:w w:val="105"/>
        </w:rPr>
        <w:t>una</w:t>
      </w:r>
      <w:r>
        <w:rPr>
          <w:color w:val="231F20"/>
          <w:spacing w:val="-11"/>
          <w:w w:val="105"/>
        </w:rPr>
        <w:t> </w:t>
      </w:r>
      <w:r>
        <w:rPr>
          <w:color w:val="231F20"/>
          <w:w w:val="105"/>
        </w:rPr>
        <w:t>concepción</w:t>
      </w:r>
      <w:r>
        <w:rPr>
          <w:color w:val="231F20"/>
          <w:spacing w:val="-11"/>
          <w:w w:val="105"/>
        </w:rPr>
        <w:t> </w:t>
      </w:r>
      <w:r>
        <w:rPr>
          <w:color w:val="231F20"/>
          <w:w w:val="105"/>
        </w:rPr>
        <w:t>general de</w:t>
      </w:r>
      <w:r>
        <w:rPr>
          <w:color w:val="231F20"/>
          <w:spacing w:val="-18"/>
          <w:w w:val="105"/>
        </w:rPr>
        <w:t> </w:t>
      </w:r>
      <w:r>
        <w:rPr>
          <w:color w:val="231F20"/>
          <w:w w:val="105"/>
        </w:rPr>
        <w:t>la</w:t>
      </w:r>
      <w:r>
        <w:rPr>
          <w:color w:val="231F20"/>
          <w:spacing w:val="-18"/>
          <w:w w:val="105"/>
        </w:rPr>
        <w:t> </w:t>
      </w:r>
      <w:r>
        <w:rPr>
          <w:color w:val="231F20"/>
          <w:w w:val="105"/>
        </w:rPr>
        <w:t>justicia</w:t>
      </w:r>
      <w:r>
        <w:rPr>
          <w:color w:val="231F20"/>
          <w:spacing w:val="-18"/>
          <w:w w:val="105"/>
        </w:rPr>
        <w:t> </w:t>
      </w:r>
      <w:r>
        <w:rPr>
          <w:color w:val="231F20"/>
          <w:w w:val="105"/>
        </w:rPr>
        <w:t>política</w:t>
      </w:r>
      <w:r>
        <w:rPr>
          <w:color w:val="231F20"/>
          <w:spacing w:val="-18"/>
          <w:w w:val="105"/>
        </w:rPr>
        <w:t> </w:t>
      </w:r>
      <w:r>
        <w:rPr>
          <w:color w:val="231F20"/>
          <w:w w:val="105"/>
        </w:rPr>
        <w:t>de</w:t>
      </w:r>
      <w:r>
        <w:rPr>
          <w:color w:val="231F20"/>
          <w:spacing w:val="-18"/>
          <w:w w:val="105"/>
        </w:rPr>
        <w:t> </w:t>
      </w:r>
      <w:r>
        <w:rPr>
          <w:color w:val="231F20"/>
          <w:w w:val="105"/>
        </w:rPr>
        <w:t>evidente</w:t>
      </w:r>
      <w:r>
        <w:rPr>
          <w:color w:val="231F20"/>
          <w:spacing w:val="-18"/>
          <w:w w:val="105"/>
        </w:rPr>
        <w:t> </w:t>
      </w:r>
      <w:r>
        <w:rPr>
          <w:color w:val="231F20"/>
          <w:w w:val="105"/>
        </w:rPr>
        <w:t>origen</w:t>
      </w:r>
      <w:r>
        <w:rPr>
          <w:color w:val="231F20"/>
          <w:spacing w:val="-18"/>
          <w:w w:val="105"/>
        </w:rPr>
        <w:t> </w:t>
      </w:r>
      <w:r>
        <w:rPr>
          <w:color w:val="231F20"/>
          <w:w w:val="105"/>
        </w:rPr>
        <w:t>iusnaturalista.</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base</w:t>
      </w:r>
      <w:r>
        <w:rPr>
          <w:color w:val="231F20"/>
          <w:spacing w:val="-18"/>
          <w:w w:val="105"/>
        </w:rPr>
        <w:t> </w:t>
      </w:r>
      <w:r>
        <w:rPr>
          <w:color w:val="231F20"/>
          <w:w w:val="105"/>
        </w:rPr>
        <w:t>de</w:t>
      </w:r>
      <w:r>
        <w:rPr>
          <w:color w:val="231F20"/>
          <w:spacing w:val="-18"/>
          <w:w w:val="105"/>
        </w:rPr>
        <w:t> </w:t>
      </w:r>
      <w:r>
        <w:rPr>
          <w:color w:val="231F20"/>
          <w:w w:val="105"/>
        </w:rPr>
        <w:t>esta aproximación</w:t>
      </w:r>
      <w:r>
        <w:rPr>
          <w:color w:val="231F20"/>
          <w:spacing w:val="-44"/>
          <w:w w:val="105"/>
        </w:rPr>
        <w:t> </w:t>
      </w:r>
      <w:r>
        <w:rPr>
          <w:color w:val="231F20"/>
          <w:w w:val="105"/>
        </w:rPr>
        <w:t>se</w:t>
      </w:r>
      <w:r>
        <w:rPr>
          <w:color w:val="231F20"/>
          <w:spacing w:val="-44"/>
          <w:w w:val="105"/>
        </w:rPr>
        <w:t> </w:t>
      </w:r>
      <w:r>
        <w:rPr>
          <w:color w:val="231F20"/>
          <w:w w:val="105"/>
        </w:rPr>
        <w:t>ubica,</w:t>
      </w:r>
      <w:r>
        <w:rPr>
          <w:color w:val="231F20"/>
          <w:spacing w:val="-44"/>
          <w:w w:val="105"/>
        </w:rPr>
        <w:t> </w:t>
      </w:r>
      <w:r>
        <w:rPr>
          <w:color w:val="231F20"/>
          <w:w w:val="105"/>
        </w:rPr>
        <w:t>entonces,</w:t>
      </w:r>
      <w:r>
        <w:rPr>
          <w:color w:val="231F20"/>
          <w:spacing w:val="-44"/>
          <w:w w:val="105"/>
        </w:rPr>
        <w:t> </w:t>
      </w:r>
      <w:r>
        <w:rPr>
          <w:color w:val="231F20"/>
          <w:w w:val="105"/>
        </w:rPr>
        <w:t>la</w:t>
      </w:r>
      <w:r>
        <w:rPr>
          <w:color w:val="231F20"/>
          <w:spacing w:val="-44"/>
          <w:w w:val="105"/>
        </w:rPr>
        <w:t> </w:t>
      </w:r>
      <w:r>
        <w:rPr>
          <w:color w:val="231F20"/>
          <w:w w:val="105"/>
        </w:rPr>
        <w:t>convicción</w:t>
      </w:r>
      <w:r>
        <w:rPr>
          <w:color w:val="231F20"/>
          <w:spacing w:val="-44"/>
          <w:w w:val="105"/>
        </w:rPr>
        <w:t> </w:t>
      </w:r>
      <w:r>
        <w:rPr>
          <w:color w:val="231F20"/>
          <w:w w:val="105"/>
        </w:rPr>
        <w:t>—para</w:t>
      </w:r>
      <w:r>
        <w:rPr>
          <w:color w:val="231F20"/>
          <w:spacing w:val="-44"/>
          <w:w w:val="105"/>
        </w:rPr>
        <w:t> </w:t>
      </w:r>
      <w:r>
        <w:rPr>
          <w:color w:val="231F20"/>
          <w:w w:val="105"/>
        </w:rPr>
        <w:t>algunos</w:t>
      </w:r>
      <w:r>
        <w:rPr>
          <w:color w:val="231F20"/>
          <w:spacing w:val="-44"/>
          <w:w w:val="105"/>
        </w:rPr>
        <w:t> </w:t>
      </w:r>
      <w:r>
        <w:rPr>
          <w:color w:val="231F20"/>
          <w:w w:val="105"/>
        </w:rPr>
        <w:t>autores</w:t>
      </w:r>
      <w:r>
        <w:rPr>
          <w:color w:val="231F20"/>
          <w:spacing w:val="-44"/>
          <w:w w:val="105"/>
        </w:rPr>
        <w:t> </w:t>
      </w:r>
      <w:r>
        <w:rPr>
          <w:color w:val="231F20"/>
          <w:w w:val="105"/>
        </w:rPr>
        <w:t>am- pliamente</w:t>
      </w:r>
      <w:r>
        <w:rPr>
          <w:color w:val="231F20"/>
          <w:spacing w:val="-34"/>
          <w:w w:val="105"/>
        </w:rPr>
        <w:t> </w:t>
      </w:r>
      <w:r>
        <w:rPr>
          <w:color w:val="231F20"/>
          <w:w w:val="105"/>
        </w:rPr>
        <w:t>compartida—</w:t>
      </w:r>
      <w:r>
        <w:rPr>
          <w:color w:val="231F20"/>
          <w:spacing w:val="-34"/>
          <w:w w:val="105"/>
        </w:rPr>
        <w:t> </w:t>
      </w:r>
      <w:r>
        <w:rPr>
          <w:color w:val="231F20"/>
          <w:w w:val="105"/>
        </w:rPr>
        <w:t>de</w:t>
      </w:r>
      <w:r>
        <w:rPr>
          <w:color w:val="231F20"/>
          <w:spacing w:val="-34"/>
          <w:w w:val="105"/>
        </w:rPr>
        <w:t> </w:t>
      </w:r>
      <w:r>
        <w:rPr>
          <w:color w:val="231F20"/>
          <w:w w:val="105"/>
        </w:rPr>
        <w:t>que</w:t>
      </w:r>
      <w:r>
        <w:rPr>
          <w:color w:val="231F20"/>
          <w:spacing w:val="-34"/>
          <w:w w:val="105"/>
        </w:rPr>
        <w:t> </w:t>
      </w:r>
      <w:r>
        <w:rPr>
          <w:color w:val="231F20"/>
          <w:w w:val="105"/>
        </w:rPr>
        <w:t>en</w:t>
      </w:r>
      <w:r>
        <w:rPr>
          <w:color w:val="231F20"/>
          <w:spacing w:val="-34"/>
          <w:w w:val="105"/>
        </w:rPr>
        <w:t> </w:t>
      </w:r>
      <w:r>
        <w:rPr>
          <w:color w:val="231F20"/>
          <w:w w:val="105"/>
        </w:rPr>
        <w:t>su</w:t>
      </w:r>
      <w:r>
        <w:rPr>
          <w:color w:val="231F20"/>
          <w:spacing w:val="-34"/>
          <w:w w:val="105"/>
        </w:rPr>
        <w:t> </w:t>
      </w:r>
      <w:r>
        <w:rPr>
          <w:color w:val="231F20"/>
          <w:w w:val="105"/>
        </w:rPr>
        <w:t>función</w:t>
      </w:r>
      <w:r>
        <w:rPr>
          <w:color w:val="231F20"/>
          <w:spacing w:val="-34"/>
          <w:w w:val="105"/>
        </w:rPr>
        <w:t> </w:t>
      </w:r>
      <w:r>
        <w:rPr>
          <w:color w:val="231F20"/>
          <w:w w:val="105"/>
        </w:rPr>
        <w:t>ordinaria</w:t>
      </w:r>
      <w:r>
        <w:rPr>
          <w:color w:val="231F20"/>
          <w:spacing w:val="-34"/>
          <w:w w:val="105"/>
        </w:rPr>
        <w:t> </w:t>
      </w:r>
      <w:r>
        <w:rPr>
          <w:color w:val="231F20"/>
          <w:w w:val="105"/>
        </w:rPr>
        <w:t>los</w:t>
      </w:r>
      <w:r>
        <w:rPr>
          <w:color w:val="231F20"/>
          <w:spacing w:val="-34"/>
          <w:w w:val="105"/>
        </w:rPr>
        <w:t> </w:t>
      </w:r>
      <w:r>
        <w:rPr>
          <w:color w:val="231F20"/>
          <w:w w:val="105"/>
        </w:rPr>
        <w:t>Estados</w:t>
      </w:r>
      <w:r>
        <w:rPr>
          <w:color w:val="231F20"/>
          <w:spacing w:val="-34"/>
          <w:w w:val="105"/>
        </w:rPr>
        <w:t> </w:t>
      </w:r>
      <w:r>
        <w:rPr>
          <w:color w:val="231F20"/>
          <w:w w:val="105"/>
        </w:rPr>
        <w:t>tengan una</w:t>
      </w:r>
      <w:r>
        <w:rPr>
          <w:color w:val="231F20"/>
          <w:spacing w:val="-30"/>
          <w:w w:val="105"/>
        </w:rPr>
        <w:t> </w:t>
      </w:r>
      <w:r>
        <w:rPr>
          <w:color w:val="231F20"/>
          <w:w w:val="105"/>
        </w:rPr>
        <w:t>obligación</w:t>
      </w:r>
      <w:r>
        <w:rPr>
          <w:color w:val="231F20"/>
          <w:spacing w:val="-30"/>
          <w:w w:val="105"/>
        </w:rPr>
        <w:t> </w:t>
      </w:r>
      <w:r>
        <w:rPr>
          <w:color w:val="231F20"/>
          <w:w w:val="105"/>
        </w:rPr>
        <w:t>general</w:t>
      </w:r>
      <w:r>
        <w:rPr>
          <w:color w:val="231F20"/>
          <w:spacing w:val="-30"/>
          <w:w w:val="105"/>
        </w:rPr>
        <w:t> </w:t>
      </w:r>
      <w:r>
        <w:rPr>
          <w:color w:val="231F20"/>
          <w:w w:val="105"/>
        </w:rPr>
        <w:t>de</w:t>
      </w:r>
      <w:r>
        <w:rPr>
          <w:color w:val="231F20"/>
          <w:spacing w:val="-30"/>
          <w:w w:val="105"/>
        </w:rPr>
        <w:t> </w:t>
      </w:r>
      <w:r>
        <w:rPr>
          <w:color w:val="231F20"/>
          <w:w w:val="105"/>
        </w:rPr>
        <w:t>garantizar</w:t>
      </w:r>
      <w:r>
        <w:rPr>
          <w:color w:val="231F20"/>
          <w:spacing w:val="-30"/>
          <w:w w:val="105"/>
        </w:rPr>
        <w:t> </w:t>
      </w:r>
      <w:r>
        <w:rPr>
          <w:color w:val="231F20"/>
          <w:w w:val="105"/>
        </w:rPr>
        <w:t>a</w:t>
      </w:r>
      <w:r>
        <w:rPr>
          <w:color w:val="231F20"/>
          <w:spacing w:val="-30"/>
          <w:w w:val="105"/>
        </w:rPr>
        <w:t> </w:t>
      </w:r>
      <w:r>
        <w:rPr>
          <w:color w:val="231F20"/>
          <w:w w:val="105"/>
        </w:rPr>
        <w:t>sus</w:t>
      </w:r>
      <w:r>
        <w:rPr>
          <w:color w:val="231F20"/>
          <w:spacing w:val="-30"/>
          <w:w w:val="105"/>
        </w:rPr>
        <w:t> </w:t>
      </w:r>
      <w:r>
        <w:rPr>
          <w:color w:val="231F20"/>
          <w:w w:val="105"/>
        </w:rPr>
        <w:t>propios</w:t>
      </w:r>
      <w:r>
        <w:rPr>
          <w:color w:val="231F20"/>
          <w:spacing w:val="-30"/>
          <w:w w:val="105"/>
        </w:rPr>
        <w:t> </w:t>
      </w:r>
      <w:r>
        <w:rPr>
          <w:color w:val="231F20"/>
          <w:w w:val="105"/>
        </w:rPr>
        <w:t>ciudadanos</w:t>
      </w:r>
    </w:p>
    <w:p>
      <w:pPr>
        <w:pStyle w:val="BodyText"/>
        <w:spacing w:before="2"/>
        <w:rPr>
          <w:sz w:val="25"/>
        </w:rPr>
      </w:pPr>
      <w:r>
        <w:rPr/>
        <w:pict>
          <v:line style="position:absolute;mso-position-horizontal-relative:page;mso-position-vertical-relative:paragraph;z-index:7432;mso-wrap-distance-left:0;mso-wrap-distance-right:0" from="65.196899pt,17.306984pt" to="178.582899pt,17.306984pt" stroked="true" strokeweight=".3pt" strokecolor="#231f20">
            <w10:wrap type="topAndBottom"/>
          </v:line>
        </w:pict>
      </w:r>
    </w:p>
    <w:p>
      <w:pPr>
        <w:spacing w:line="204" w:lineRule="exact" w:before="9"/>
        <w:ind w:left="103" w:right="114" w:firstLine="0"/>
        <w:jc w:val="both"/>
        <w:rPr>
          <w:rFonts w:ascii="Calibri" w:hAnsi="Calibri"/>
          <w:sz w:val="17"/>
        </w:rPr>
      </w:pPr>
      <w:r>
        <w:rPr>
          <w:rFonts w:ascii="Calibri" w:hAnsi="Calibri"/>
          <w:color w:val="231F20"/>
          <w:w w:val="105"/>
          <w:position w:val="6"/>
          <w:sz w:val="10"/>
        </w:rPr>
        <w:t>19</w:t>
      </w:r>
      <w:r>
        <w:rPr>
          <w:rFonts w:ascii="Calibri" w:hAnsi="Calibri"/>
          <w:color w:val="231F20"/>
          <w:spacing w:val="-4"/>
          <w:w w:val="105"/>
          <w:position w:val="6"/>
          <w:sz w:val="10"/>
        </w:rPr>
        <w:t> </w:t>
      </w:r>
      <w:r>
        <w:rPr>
          <w:rFonts w:ascii="Calibri" w:hAnsi="Calibri"/>
          <w:color w:val="231F20"/>
          <w:w w:val="105"/>
          <w:sz w:val="17"/>
        </w:rPr>
        <w:t>A.</w:t>
      </w:r>
      <w:r>
        <w:rPr>
          <w:rFonts w:ascii="Calibri" w:hAnsi="Calibri"/>
          <w:color w:val="231F20"/>
          <w:spacing w:val="-20"/>
          <w:w w:val="105"/>
          <w:sz w:val="17"/>
        </w:rPr>
        <w:t> </w:t>
      </w:r>
      <w:r>
        <w:rPr>
          <w:rFonts w:ascii="Calibri" w:hAnsi="Calibri"/>
          <w:color w:val="231F20"/>
          <w:w w:val="105"/>
          <w:sz w:val="17"/>
        </w:rPr>
        <w:t>J.</w:t>
      </w:r>
      <w:r>
        <w:rPr>
          <w:rFonts w:ascii="Calibri" w:hAnsi="Calibri"/>
          <w:color w:val="231F20"/>
          <w:spacing w:val="-20"/>
          <w:w w:val="105"/>
          <w:sz w:val="17"/>
        </w:rPr>
        <w:t> </w:t>
      </w:r>
      <w:r>
        <w:rPr>
          <w:rFonts w:ascii="Calibri" w:hAnsi="Calibri"/>
          <w:color w:val="231F20"/>
          <w:w w:val="105"/>
          <w:sz w:val="17"/>
        </w:rPr>
        <w:t>Bellamy</w:t>
      </w:r>
      <w:r>
        <w:rPr>
          <w:rFonts w:ascii="Calibri" w:hAnsi="Calibri"/>
          <w:color w:val="231F20"/>
          <w:spacing w:val="-20"/>
          <w:w w:val="105"/>
          <w:sz w:val="17"/>
        </w:rPr>
        <w:t> </w:t>
      </w:r>
      <w:r>
        <w:rPr>
          <w:rFonts w:ascii="Calibri" w:hAnsi="Calibri"/>
          <w:color w:val="231F20"/>
          <w:w w:val="105"/>
          <w:sz w:val="17"/>
        </w:rPr>
        <w:t>and</w:t>
      </w:r>
      <w:r>
        <w:rPr>
          <w:rFonts w:ascii="Calibri" w:hAnsi="Calibri"/>
          <w:color w:val="231F20"/>
          <w:spacing w:val="-20"/>
          <w:w w:val="105"/>
          <w:sz w:val="17"/>
        </w:rPr>
        <w:t> </w:t>
      </w:r>
      <w:r>
        <w:rPr>
          <w:rFonts w:ascii="Calibri" w:hAnsi="Calibri"/>
          <w:color w:val="231F20"/>
          <w:spacing w:val="-10"/>
          <w:w w:val="105"/>
          <w:sz w:val="17"/>
        </w:rPr>
        <w:t>P.</w:t>
      </w:r>
      <w:r>
        <w:rPr>
          <w:rFonts w:ascii="Calibri" w:hAnsi="Calibri"/>
          <w:color w:val="231F20"/>
          <w:spacing w:val="-23"/>
          <w:w w:val="105"/>
          <w:sz w:val="17"/>
        </w:rPr>
        <w:t> </w:t>
      </w:r>
      <w:r>
        <w:rPr>
          <w:rFonts w:ascii="Calibri" w:hAnsi="Calibri"/>
          <w:color w:val="231F20"/>
          <w:w w:val="105"/>
          <w:sz w:val="17"/>
        </w:rPr>
        <w:t>Williams,</w:t>
      </w:r>
      <w:r>
        <w:rPr>
          <w:rFonts w:ascii="Calibri" w:hAnsi="Calibri"/>
          <w:color w:val="231F20"/>
          <w:spacing w:val="-20"/>
          <w:w w:val="105"/>
          <w:sz w:val="17"/>
        </w:rPr>
        <w:t> </w:t>
      </w:r>
      <w:r>
        <w:rPr>
          <w:rFonts w:ascii="Calibri" w:hAnsi="Calibri"/>
          <w:color w:val="231F20"/>
          <w:w w:val="105"/>
          <w:sz w:val="17"/>
        </w:rPr>
        <w:t>“On</w:t>
      </w:r>
      <w:r>
        <w:rPr>
          <w:rFonts w:ascii="Calibri" w:hAnsi="Calibri"/>
          <w:color w:val="231F20"/>
          <w:spacing w:val="-20"/>
          <w:w w:val="105"/>
          <w:sz w:val="17"/>
        </w:rPr>
        <w:t> </w:t>
      </w:r>
      <w:r>
        <w:rPr>
          <w:rFonts w:ascii="Calibri" w:hAnsi="Calibri"/>
          <w:color w:val="231F20"/>
          <w:w w:val="105"/>
          <w:sz w:val="17"/>
        </w:rPr>
        <w:t>the</w:t>
      </w:r>
      <w:r>
        <w:rPr>
          <w:rFonts w:ascii="Calibri" w:hAnsi="Calibri"/>
          <w:color w:val="231F20"/>
          <w:spacing w:val="-20"/>
          <w:w w:val="105"/>
          <w:sz w:val="17"/>
        </w:rPr>
        <w:t> </w:t>
      </w:r>
      <w:r>
        <w:rPr>
          <w:rFonts w:ascii="Calibri" w:hAnsi="Calibri"/>
          <w:color w:val="231F20"/>
          <w:w w:val="105"/>
          <w:sz w:val="17"/>
        </w:rPr>
        <w:t>limits</w:t>
      </w:r>
      <w:r>
        <w:rPr>
          <w:rFonts w:ascii="Calibri" w:hAnsi="Calibri"/>
          <w:color w:val="231F20"/>
          <w:spacing w:val="-20"/>
          <w:w w:val="105"/>
          <w:sz w:val="17"/>
        </w:rPr>
        <w:t> </w:t>
      </w:r>
      <w:r>
        <w:rPr>
          <w:rFonts w:ascii="Calibri" w:hAnsi="Calibri"/>
          <w:color w:val="231F20"/>
          <w:w w:val="105"/>
          <w:sz w:val="17"/>
        </w:rPr>
        <w:t>of</w:t>
      </w:r>
      <w:r>
        <w:rPr>
          <w:rFonts w:ascii="Calibri" w:hAnsi="Calibri"/>
          <w:color w:val="231F20"/>
          <w:spacing w:val="-20"/>
          <w:w w:val="105"/>
          <w:sz w:val="17"/>
        </w:rPr>
        <w:t> </w:t>
      </w:r>
      <w:r>
        <w:rPr>
          <w:rFonts w:ascii="Calibri" w:hAnsi="Calibri"/>
          <w:color w:val="231F20"/>
          <w:w w:val="105"/>
          <w:sz w:val="17"/>
        </w:rPr>
        <w:t>moral</w:t>
      </w:r>
      <w:r>
        <w:rPr>
          <w:rFonts w:ascii="Calibri" w:hAnsi="Calibri"/>
          <w:color w:val="231F20"/>
          <w:spacing w:val="-20"/>
          <w:w w:val="105"/>
          <w:sz w:val="17"/>
        </w:rPr>
        <w:t> </w:t>
      </w:r>
      <w:r>
        <w:rPr>
          <w:rFonts w:ascii="Calibri" w:hAnsi="Calibri"/>
          <w:color w:val="231F20"/>
          <w:w w:val="105"/>
          <w:sz w:val="17"/>
        </w:rPr>
        <w:t>hazard:</w:t>
      </w:r>
      <w:r>
        <w:rPr>
          <w:rFonts w:ascii="Calibri" w:hAnsi="Calibri"/>
          <w:color w:val="231F20"/>
          <w:spacing w:val="-23"/>
          <w:w w:val="105"/>
          <w:sz w:val="17"/>
        </w:rPr>
        <w:t> </w:t>
      </w:r>
      <w:r>
        <w:rPr>
          <w:rFonts w:ascii="Calibri" w:hAnsi="Calibri"/>
          <w:color w:val="231F20"/>
          <w:w w:val="105"/>
          <w:sz w:val="17"/>
        </w:rPr>
        <w:t>The</w:t>
      </w:r>
      <w:r>
        <w:rPr>
          <w:rFonts w:ascii="Calibri" w:hAnsi="Calibri"/>
          <w:color w:val="231F20"/>
          <w:spacing w:val="-20"/>
          <w:w w:val="105"/>
          <w:sz w:val="17"/>
        </w:rPr>
        <w:t> </w:t>
      </w:r>
      <w:r>
        <w:rPr>
          <w:rFonts w:ascii="Calibri" w:hAnsi="Calibri"/>
          <w:color w:val="231F20"/>
          <w:w w:val="105"/>
          <w:sz w:val="17"/>
        </w:rPr>
        <w:t>‘responsibility</w:t>
      </w:r>
      <w:r>
        <w:rPr>
          <w:rFonts w:ascii="Calibri" w:hAnsi="Calibri"/>
          <w:color w:val="231F20"/>
          <w:spacing w:val="-20"/>
          <w:w w:val="105"/>
          <w:sz w:val="17"/>
        </w:rPr>
        <w:t> </w:t>
      </w:r>
      <w:r>
        <w:rPr>
          <w:rFonts w:ascii="Calibri" w:hAnsi="Calibri"/>
          <w:color w:val="231F20"/>
          <w:w w:val="105"/>
          <w:sz w:val="17"/>
        </w:rPr>
        <w:t>to</w:t>
      </w:r>
      <w:r>
        <w:rPr>
          <w:rFonts w:ascii="Calibri" w:hAnsi="Calibri"/>
          <w:color w:val="231F20"/>
          <w:spacing w:val="-20"/>
          <w:w w:val="105"/>
          <w:sz w:val="17"/>
        </w:rPr>
        <w:t> </w:t>
      </w:r>
      <w:r>
        <w:rPr>
          <w:rFonts w:ascii="Calibri" w:hAnsi="Calibri"/>
          <w:color w:val="231F20"/>
          <w:w w:val="105"/>
          <w:sz w:val="17"/>
        </w:rPr>
        <w:t>protect’,</w:t>
      </w:r>
      <w:r>
        <w:rPr>
          <w:rFonts w:ascii="Calibri" w:hAnsi="Calibri"/>
          <w:color w:val="231F20"/>
          <w:spacing w:val="-20"/>
          <w:w w:val="105"/>
          <w:sz w:val="17"/>
        </w:rPr>
        <w:t> </w:t>
      </w:r>
      <w:r>
        <w:rPr>
          <w:rFonts w:ascii="Calibri" w:hAnsi="Calibri"/>
          <w:color w:val="231F20"/>
          <w:w w:val="105"/>
          <w:sz w:val="17"/>
        </w:rPr>
        <w:t>armed </w:t>
      </w:r>
      <w:r>
        <w:rPr>
          <w:rFonts w:ascii="Calibri" w:hAnsi="Calibri"/>
          <w:color w:val="231F20"/>
          <w:sz w:val="17"/>
        </w:rPr>
        <w:t>conflict</w:t>
      </w:r>
      <w:r>
        <w:rPr>
          <w:rFonts w:ascii="Calibri" w:hAnsi="Calibri"/>
          <w:color w:val="231F20"/>
          <w:spacing w:val="-3"/>
          <w:sz w:val="17"/>
        </w:rPr>
        <w:t> </w:t>
      </w:r>
      <w:r>
        <w:rPr>
          <w:rFonts w:ascii="Calibri" w:hAnsi="Calibri"/>
          <w:color w:val="231F20"/>
          <w:sz w:val="17"/>
        </w:rPr>
        <w:t>and</w:t>
      </w:r>
      <w:r>
        <w:rPr>
          <w:rFonts w:ascii="Calibri" w:hAnsi="Calibri"/>
          <w:color w:val="231F20"/>
          <w:spacing w:val="-3"/>
          <w:sz w:val="17"/>
        </w:rPr>
        <w:t> </w:t>
      </w:r>
      <w:r>
        <w:rPr>
          <w:rFonts w:ascii="Calibri" w:hAnsi="Calibri"/>
          <w:color w:val="231F20"/>
          <w:sz w:val="17"/>
        </w:rPr>
        <w:t>mass</w:t>
      </w:r>
      <w:r>
        <w:rPr>
          <w:rFonts w:ascii="Calibri" w:hAnsi="Calibri"/>
          <w:color w:val="231F20"/>
          <w:spacing w:val="-3"/>
          <w:sz w:val="17"/>
        </w:rPr>
        <w:t> </w:t>
      </w:r>
      <w:r>
        <w:rPr>
          <w:rFonts w:ascii="Calibri" w:hAnsi="Calibri"/>
          <w:color w:val="231F20"/>
          <w:sz w:val="17"/>
        </w:rPr>
        <w:t>atrocities”,</w:t>
      </w:r>
      <w:r>
        <w:rPr>
          <w:rFonts w:ascii="Calibri" w:hAnsi="Calibri"/>
          <w:color w:val="231F20"/>
          <w:spacing w:val="-3"/>
          <w:sz w:val="17"/>
        </w:rPr>
        <w:t> </w:t>
      </w:r>
      <w:r>
        <w:rPr>
          <w:rFonts w:ascii="Calibri" w:hAnsi="Calibri"/>
          <w:i/>
          <w:color w:val="231F20"/>
          <w:sz w:val="17"/>
        </w:rPr>
        <w:t>European</w:t>
      </w:r>
      <w:r>
        <w:rPr>
          <w:rFonts w:ascii="Calibri" w:hAnsi="Calibri"/>
          <w:i/>
          <w:color w:val="231F20"/>
          <w:spacing w:val="-4"/>
          <w:sz w:val="17"/>
        </w:rPr>
        <w:t> </w:t>
      </w:r>
      <w:r>
        <w:rPr>
          <w:rFonts w:ascii="Calibri" w:hAnsi="Calibri"/>
          <w:i/>
          <w:color w:val="231F20"/>
          <w:sz w:val="17"/>
        </w:rPr>
        <w:t>Journal</w:t>
      </w:r>
      <w:r>
        <w:rPr>
          <w:rFonts w:ascii="Calibri" w:hAnsi="Calibri"/>
          <w:i/>
          <w:color w:val="231F20"/>
          <w:spacing w:val="-4"/>
          <w:sz w:val="17"/>
        </w:rPr>
        <w:t> </w:t>
      </w:r>
      <w:r>
        <w:rPr>
          <w:rFonts w:ascii="Calibri" w:hAnsi="Calibri"/>
          <w:i/>
          <w:color w:val="231F20"/>
          <w:sz w:val="17"/>
        </w:rPr>
        <w:t>of</w:t>
      </w:r>
      <w:r>
        <w:rPr>
          <w:rFonts w:ascii="Calibri" w:hAnsi="Calibri"/>
          <w:i/>
          <w:color w:val="231F20"/>
          <w:spacing w:val="-4"/>
          <w:sz w:val="17"/>
        </w:rPr>
        <w:t> </w:t>
      </w:r>
      <w:r>
        <w:rPr>
          <w:rFonts w:ascii="Calibri" w:hAnsi="Calibri"/>
          <w:i/>
          <w:color w:val="231F20"/>
          <w:sz w:val="17"/>
        </w:rPr>
        <w:t>International</w:t>
      </w:r>
      <w:r>
        <w:rPr>
          <w:rFonts w:ascii="Calibri" w:hAnsi="Calibri"/>
          <w:i/>
          <w:color w:val="231F20"/>
          <w:spacing w:val="-4"/>
          <w:sz w:val="17"/>
        </w:rPr>
        <w:t> </w:t>
      </w:r>
      <w:r>
        <w:rPr>
          <w:rFonts w:ascii="Calibri" w:hAnsi="Calibri"/>
          <w:i/>
          <w:color w:val="231F20"/>
          <w:sz w:val="17"/>
        </w:rPr>
        <w:t>Relations</w:t>
      </w:r>
      <w:r>
        <w:rPr>
          <w:rFonts w:ascii="Calibri" w:hAnsi="Calibri"/>
          <w:color w:val="231F20"/>
          <w:sz w:val="17"/>
        </w:rPr>
        <w:t>,</w:t>
      </w:r>
      <w:r>
        <w:rPr>
          <w:rFonts w:ascii="Calibri" w:hAnsi="Calibri"/>
          <w:color w:val="231F20"/>
          <w:spacing w:val="-3"/>
          <w:sz w:val="17"/>
        </w:rPr>
        <w:t> </w:t>
      </w:r>
      <w:r>
        <w:rPr>
          <w:rFonts w:ascii="Calibri" w:hAnsi="Calibri"/>
          <w:color w:val="231F20"/>
          <w:sz w:val="17"/>
        </w:rPr>
        <w:t>18,</w:t>
      </w:r>
      <w:r>
        <w:rPr>
          <w:rFonts w:ascii="Calibri" w:hAnsi="Calibri"/>
          <w:color w:val="231F20"/>
          <w:spacing w:val="-3"/>
          <w:sz w:val="17"/>
        </w:rPr>
        <w:t> </w:t>
      </w:r>
      <w:r>
        <w:rPr>
          <w:rFonts w:ascii="Calibri" w:hAnsi="Calibri"/>
          <w:color w:val="231F20"/>
          <w:sz w:val="17"/>
        </w:rPr>
        <w:t>2012,</w:t>
      </w:r>
      <w:r>
        <w:rPr>
          <w:rFonts w:ascii="Calibri" w:hAnsi="Calibri"/>
          <w:color w:val="231F20"/>
          <w:spacing w:val="-3"/>
          <w:sz w:val="17"/>
        </w:rPr>
        <w:t> </w:t>
      </w:r>
      <w:r>
        <w:rPr>
          <w:rFonts w:ascii="Calibri" w:hAnsi="Calibri"/>
          <w:color w:val="231F20"/>
          <w:sz w:val="17"/>
        </w:rPr>
        <w:t>pp.</w:t>
      </w:r>
      <w:r>
        <w:rPr>
          <w:rFonts w:ascii="Calibri" w:hAnsi="Calibri"/>
          <w:color w:val="231F20"/>
          <w:spacing w:val="-3"/>
          <w:sz w:val="17"/>
        </w:rPr>
        <w:t> </w:t>
      </w:r>
      <w:r>
        <w:rPr>
          <w:rFonts w:ascii="Calibri" w:hAnsi="Calibri"/>
          <w:color w:val="231F20"/>
          <w:sz w:val="17"/>
        </w:rPr>
        <w:t>531–532.</w:t>
      </w:r>
      <w:r>
        <w:rPr>
          <w:rFonts w:ascii="Calibri" w:hAnsi="Calibri"/>
          <w:color w:val="231F20"/>
          <w:spacing w:val="-3"/>
          <w:sz w:val="17"/>
        </w:rPr>
        <w:t> </w:t>
      </w:r>
      <w:r>
        <w:rPr>
          <w:rFonts w:ascii="Calibri" w:hAnsi="Calibri"/>
          <w:i/>
          <w:color w:val="231F20"/>
          <w:spacing w:val="-6"/>
          <w:sz w:val="17"/>
        </w:rPr>
        <w:t>Cfr. </w:t>
      </w:r>
      <w:r>
        <w:rPr>
          <w:rFonts w:ascii="Calibri" w:hAnsi="Calibri"/>
          <w:color w:val="231F20"/>
          <w:w w:val="105"/>
          <w:sz w:val="17"/>
        </w:rPr>
        <w:t>UN</w:t>
      </w:r>
      <w:r>
        <w:rPr>
          <w:rFonts w:ascii="Calibri" w:hAnsi="Calibri"/>
          <w:color w:val="231F20"/>
          <w:spacing w:val="-6"/>
          <w:w w:val="105"/>
          <w:sz w:val="17"/>
        </w:rPr>
        <w:t> </w:t>
      </w:r>
      <w:r>
        <w:rPr>
          <w:rFonts w:ascii="Calibri" w:hAnsi="Calibri"/>
          <w:color w:val="231F20"/>
          <w:w w:val="105"/>
          <w:sz w:val="17"/>
        </w:rPr>
        <w:t>GAOR,</w:t>
      </w:r>
      <w:r>
        <w:rPr>
          <w:rFonts w:ascii="Calibri" w:hAnsi="Calibri"/>
          <w:color w:val="231F20"/>
          <w:spacing w:val="-6"/>
          <w:w w:val="105"/>
          <w:sz w:val="17"/>
        </w:rPr>
        <w:t> </w:t>
      </w:r>
      <w:r>
        <w:rPr>
          <w:rFonts w:ascii="Calibri" w:hAnsi="Calibri"/>
          <w:color w:val="231F20"/>
          <w:w w:val="105"/>
          <w:sz w:val="17"/>
        </w:rPr>
        <w:t>Sixtieth</w:t>
      </w:r>
      <w:r>
        <w:rPr>
          <w:rFonts w:ascii="Calibri" w:hAnsi="Calibri"/>
          <w:color w:val="231F20"/>
          <w:spacing w:val="-6"/>
          <w:w w:val="105"/>
          <w:sz w:val="17"/>
        </w:rPr>
        <w:t> </w:t>
      </w:r>
      <w:r>
        <w:rPr>
          <w:rFonts w:ascii="Calibri" w:hAnsi="Calibri"/>
          <w:color w:val="231F20"/>
          <w:w w:val="105"/>
          <w:sz w:val="17"/>
        </w:rPr>
        <w:t>Session,</w:t>
      </w:r>
      <w:r>
        <w:rPr>
          <w:rFonts w:ascii="Calibri" w:hAnsi="Calibri"/>
          <w:color w:val="231F20"/>
          <w:spacing w:val="-6"/>
          <w:w w:val="105"/>
          <w:sz w:val="17"/>
        </w:rPr>
        <w:t> </w:t>
      </w:r>
      <w:r>
        <w:rPr>
          <w:rFonts w:ascii="Calibri" w:hAnsi="Calibri"/>
          <w:color w:val="231F20"/>
          <w:w w:val="105"/>
          <w:sz w:val="17"/>
        </w:rPr>
        <w:t>8th</w:t>
      </w:r>
      <w:r>
        <w:rPr>
          <w:rFonts w:ascii="Calibri" w:hAnsi="Calibri"/>
          <w:color w:val="231F20"/>
          <w:spacing w:val="-6"/>
          <w:w w:val="105"/>
          <w:sz w:val="17"/>
        </w:rPr>
        <w:t> </w:t>
      </w:r>
      <w:r>
        <w:rPr>
          <w:rFonts w:ascii="Calibri" w:hAnsi="Calibri"/>
          <w:color w:val="231F20"/>
          <w:w w:val="105"/>
          <w:sz w:val="17"/>
        </w:rPr>
        <w:t>plen.</w:t>
      </w:r>
      <w:r>
        <w:rPr>
          <w:rFonts w:ascii="Calibri" w:hAnsi="Calibri"/>
          <w:color w:val="231F20"/>
          <w:spacing w:val="-6"/>
          <w:w w:val="105"/>
          <w:sz w:val="17"/>
        </w:rPr>
        <w:t> </w:t>
      </w:r>
      <w:r>
        <w:rPr>
          <w:rFonts w:ascii="Calibri" w:hAnsi="Calibri"/>
          <w:color w:val="231F20"/>
          <w:w w:val="105"/>
          <w:sz w:val="17"/>
        </w:rPr>
        <w:t>mtg.,</w:t>
      </w:r>
      <w:r>
        <w:rPr>
          <w:rFonts w:ascii="Calibri" w:hAnsi="Calibri"/>
          <w:color w:val="231F20"/>
          <w:spacing w:val="-6"/>
          <w:w w:val="105"/>
          <w:sz w:val="17"/>
        </w:rPr>
        <w:t> </w:t>
      </w:r>
      <w:r>
        <w:rPr>
          <w:rFonts w:ascii="Calibri" w:hAnsi="Calibri"/>
          <w:color w:val="231F20"/>
          <w:w w:val="105"/>
          <w:sz w:val="17"/>
        </w:rPr>
        <w:t>UN</w:t>
      </w:r>
      <w:r>
        <w:rPr>
          <w:rFonts w:ascii="Calibri" w:hAnsi="Calibri"/>
          <w:color w:val="231F20"/>
          <w:spacing w:val="-6"/>
          <w:w w:val="105"/>
          <w:sz w:val="17"/>
        </w:rPr>
        <w:t> </w:t>
      </w:r>
      <w:r>
        <w:rPr>
          <w:rFonts w:ascii="Calibri" w:hAnsi="Calibri"/>
          <w:color w:val="231F20"/>
          <w:w w:val="105"/>
          <w:sz w:val="17"/>
        </w:rPr>
        <w:t>Doc.</w:t>
      </w:r>
      <w:r>
        <w:rPr>
          <w:rFonts w:ascii="Calibri" w:hAnsi="Calibri"/>
          <w:color w:val="231F20"/>
          <w:spacing w:val="-6"/>
          <w:w w:val="105"/>
          <w:sz w:val="17"/>
        </w:rPr>
        <w:t> </w:t>
      </w:r>
      <w:r>
        <w:rPr>
          <w:rFonts w:ascii="Calibri" w:hAnsi="Calibri"/>
          <w:color w:val="231F20"/>
          <w:w w:val="105"/>
          <w:sz w:val="17"/>
        </w:rPr>
        <w:t>A/RES/60/1,</w:t>
      </w:r>
      <w:r>
        <w:rPr>
          <w:rFonts w:ascii="Calibri" w:hAnsi="Calibri"/>
          <w:color w:val="231F20"/>
          <w:spacing w:val="-6"/>
          <w:w w:val="105"/>
          <w:sz w:val="17"/>
        </w:rPr>
        <w:t> </w:t>
      </w:r>
      <w:r>
        <w:rPr>
          <w:rFonts w:ascii="Calibri" w:hAnsi="Calibri"/>
          <w:color w:val="231F20"/>
          <w:w w:val="105"/>
          <w:sz w:val="17"/>
        </w:rPr>
        <w:t>paras.</w:t>
      </w:r>
      <w:r>
        <w:rPr>
          <w:rFonts w:ascii="Calibri" w:hAnsi="Calibri"/>
          <w:color w:val="231F20"/>
          <w:spacing w:val="-6"/>
          <w:w w:val="105"/>
          <w:sz w:val="17"/>
        </w:rPr>
        <w:t> </w:t>
      </w:r>
      <w:r>
        <w:rPr>
          <w:rFonts w:ascii="Calibri" w:hAnsi="Calibri"/>
          <w:color w:val="231F20"/>
          <w:w w:val="105"/>
          <w:sz w:val="17"/>
        </w:rPr>
        <w:t>138</w:t>
      </w:r>
      <w:r>
        <w:rPr>
          <w:rFonts w:ascii="Calibri" w:hAnsi="Calibri"/>
          <w:color w:val="231F20"/>
          <w:spacing w:val="-6"/>
          <w:w w:val="105"/>
          <w:sz w:val="17"/>
        </w:rPr>
        <w:t> </w:t>
      </w:r>
      <w:r>
        <w:rPr>
          <w:rFonts w:ascii="Calibri" w:hAnsi="Calibri"/>
          <w:color w:val="231F20"/>
          <w:w w:val="105"/>
          <w:sz w:val="17"/>
        </w:rPr>
        <w:t>and</w:t>
      </w:r>
      <w:r>
        <w:rPr>
          <w:rFonts w:ascii="Calibri" w:hAnsi="Calibri"/>
          <w:color w:val="231F20"/>
          <w:spacing w:val="-6"/>
          <w:w w:val="105"/>
          <w:sz w:val="17"/>
        </w:rPr>
        <w:t> </w:t>
      </w:r>
      <w:r>
        <w:rPr>
          <w:rFonts w:ascii="Calibri" w:hAnsi="Calibri"/>
          <w:color w:val="231F20"/>
          <w:w w:val="105"/>
          <w:sz w:val="17"/>
        </w:rPr>
        <w:t>139</w:t>
      </w:r>
      <w:r>
        <w:rPr>
          <w:rFonts w:ascii="Calibri" w:hAnsi="Calibri"/>
          <w:color w:val="231F20"/>
          <w:spacing w:val="-6"/>
          <w:w w:val="105"/>
          <w:sz w:val="17"/>
        </w:rPr>
        <w:t> </w:t>
      </w:r>
      <w:r>
        <w:rPr>
          <w:rFonts w:ascii="Calibri" w:hAnsi="Calibri"/>
          <w:color w:val="231F20"/>
          <w:w w:val="105"/>
          <w:sz w:val="17"/>
        </w:rPr>
        <w:t>(October</w:t>
      </w:r>
      <w:r>
        <w:rPr>
          <w:rFonts w:ascii="Calibri" w:hAnsi="Calibri"/>
          <w:color w:val="231F20"/>
          <w:spacing w:val="-6"/>
          <w:w w:val="105"/>
          <w:sz w:val="17"/>
        </w:rPr>
        <w:t> </w:t>
      </w:r>
      <w:r>
        <w:rPr>
          <w:rFonts w:ascii="Calibri" w:hAnsi="Calibri"/>
          <w:color w:val="231F20"/>
          <w:spacing w:val="-2"/>
          <w:w w:val="105"/>
          <w:sz w:val="17"/>
        </w:rPr>
        <w:t>24, </w:t>
      </w:r>
      <w:r>
        <w:rPr>
          <w:rFonts w:ascii="Calibri" w:hAnsi="Calibri"/>
          <w:color w:val="231F20"/>
          <w:w w:val="105"/>
          <w:sz w:val="17"/>
        </w:rPr>
        <w:t>2005), disponible en: </w:t>
      </w:r>
      <w:hyperlink r:id="rId48">
        <w:r>
          <w:rPr>
            <w:rFonts w:ascii="Calibri" w:hAnsi="Calibri"/>
            <w:color w:val="231F20"/>
            <w:w w:val="105"/>
            <w:sz w:val="17"/>
          </w:rPr>
          <w:t>http://daccessdds.un.org/doc/UNDOC/GEN/</w:t>
        </w:r>
      </w:hyperlink>
      <w:r>
        <w:rPr>
          <w:rFonts w:ascii="Calibri" w:hAnsi="Calibri"/>
          <w:color w:val="231F20"/>
          <w:spacing w:val="-27"/>
          <w:w w:val="105"/>
          <w:sz w:val="17"/>
        </w:rPr>
        <w:t> </w:t>
      </w:r>
      <w:r>
        <w:rPr>
          <w:rFonts w:ascii="Calibri" w:hAnsi="Calibri"/>
          <w:color w:val="231F20"/>
          <w:w w:val="105"/>
          <w:sz w:val="17"/>
        </w:rPr>
        <w:t>N05/487/60/PDF/N0548760. </w:t>
      </w:r>
      <w:r>
        <w:rPr>
          <w:rFonts w:ascii="Calibri" w:hAnsi="Calibri"/>
          <w:color w:val="231F20"/>
          <w:spacing w:val="2"/>
          <w:w w:val="105"/>
          <w:sz w:val="17"/>
        </w:rPr>
        <w:t>pdf? </w:t>
      </w:r>
      <w:r>
        <w:rPr>
          <w:rFonts w:ascii="Calibri" w:hAnsi="Calibri"/>
          <w:color w:val="231F20"/>
          <w:w w:val="105"/>
          <w:sz w:val="17"/>
        </w:rPr>
        <w:t>OpenElement: </w:t>
      </w:r>
      <w:r>
        <w:rPr>
          <w:rFonts w:ascii="Calibri" w:hAnsi="Calibri"/>
          <w:i/>
          <w:color w:val="231F20"/>
          <w:w w:val="105"/>
          <w:sz w:val="17"/>
        </w:rPr>
        <w:t>“</w:t>
      </w:r>
      <w:r>
        <w:rPr>
          <w:rFonts w:ascii="Calibri" w:hAnsi="Calibri"/>
          <w:color w:val="231F20"/>
          <w:w w:val="105"/>
          <w:sz w:val="17"/>
        </w:rPr>
        <w:t>138. Each individual State has the responsibility to protect its populations from</w:t>
      </w:r>
      <w:r>
        <w:rPr>
          <w:rFonts w:ascii="Calibri" w:hAnsi="Calibri"/>
          <w:color w:val="231F20"/>
          <w:spacing w:val="-5"/>
          <w:w w:val="105"/>
          <w:sz w:val="17"/>
        </w:rPr>
        <w:t> </w:t>
      </w:r>
      <w:r>
        <w:rPr>
          <w:rFonts w:ascii="Calibri" w:hAnsi="Calibri"/>
          <w:color w:val="231F20"/>
          <w:w w:val="105"/>
          <w:sz w:val="17"/>
        </w:rPr>
        <w:t>genocide,</w:t>
      </w:r>
      <w:r>
        <w:rPr>
          <w:rFonts w:ascii="Calibri" w:hAnsi="Calibri"/>
          <w:color w:val="231F20"/>
          <w:spacing w:val="-7"/>
          <w:w w:val="105"/>
          <w:sz w:val="17"/>
        </w:rPr>
        <w:t> </w:t>
      </w:r>
      <w:r>
        <w:rPr>
          <w:rFonts w:ascii="Calibri" w:hAnsi="Calibri"/>
          <w:color w:val="231F20"/>
          <w:w w:val="105"/>
          <w:sz w:val="17"/>
        </w:rPr>
        <w:t>war</w:t>
      </w:r>
      <w:r>
        <w:rPr>
          <w:rFonts w:ascii="Calibri" w:hAnsi="Calibri"/>
          <w:color w:val="231F20"/>
          <w:spacing w:val="-5"/>
          <w:w w:val="105"/>
          <w:sz w:val="17"/>
        </w:rPr>
        <w:t> </w:t>
      </w:r>
      <w:r>
        <w:rPr>
          <w:rFonts w:ascii="Calibri" w:hAnsi="Calibri"/>
          <w:color w:val="231F20"/>
          <w:w w:val="105"/>
          <w:sz w:val="17"/>
        </w:rPr>
        <w:t>crimes,</w:t>
      </w:r>
      <w:r>
        <w:rPr>
          <w:rFonts w:ascii="Calibri" w:hAnsi="Calibri"/>
          <w:color w:val="231F20"/>
          <w:spacing w:val="-5"/>
          <w:w w:val="105"/>
          <w:sz w:val="17"/>
        </w:rPr>
        <w:t> </w:t>
      </w:r>
      <w:r>
        <w:rPr>
          <w:rFonts w:ascii="Calibri" w:hAnsi="Calibri"/>
          <w:color w:val="231F20"/>
          <w:w w:val="105"/>
          <w:sz w:val="17"/>
        </w:rPr>
        <w:t>ethnic</w:t>
      </w:r>
      <w:r>
        <w:rPr>
          <w:rFonts w:ascii="Calibri" w:hAnsi="Calibri"/>
          <w:color w:val="231F20"/>
          <w:spacing w:val="-5"/>
          <w:w w:val="105"/>
          <w:sz w:val="17"/>
        </w:rPr>
        <w:t> </w:t>
      </w:r>
      <w:r>
        <w:rPr>
          <w:rFonts w:ascii="Calibri" w:hAnsi="Calibri"/>
          <w:color w:val="231F20"/>
          <w:w w:val="105"/>
          <w:sz w:val="17"/>
        </w:rPr>
        <w:t>cleansing</w:t>
      </w:r>
      <w:r>
        <w:rPr>
          <w:rFonts w:ascii="Calibri" w:hAnsi="Calibri"/>
          <w:color w:val="231F20"/>
          <w:spacing w:val="-5"/>
          <w:w w:val="105"/>
          <w:sz w:val="17"/>
        </w:rPr>
        <w:t> </w:t>
      </w:r>
      <w:r>
        <w:rPr>
          <w:rFonts w:ascii="Calibri" w:hAnsi="Calibri"/>
          <w:color w:val="231F20"/>
          <w:w w:val="105"/>
          <w:sz w:val="17"/>
        </w:rPr>
        <w:t>and</w:t>
      </w:r>
      <w:r>
        <w:rPr>
          <w:rFonts w:ascii="Calibri" w:hAnsi="Calibri"/>
          <w:color w:val="231F20"/>
          <w:spacing w:val="-5"/>
          <w:w w:val="105"/>
          <w:sz w:val="17"/>
        </w:rPr>
        <w:t> </w:t>
      </w:r>
      <w:r>
        <w:rPr>
          <w:rFonts w:ascii="Calibri" w:hAnsi="Calibri"/>
          <w:color w:val="231F20"/>
          <w:w w:val="105"/>
          <w:sz w:val="17"/>
        </w:rPr>
        <w:t>crimes</w:t>
      </w:r>
      <w:r>
        <w:rPr>
          <w:rFonts w:ascii="Calibri" w:hAnsi="Calibri"/>
          <w:color w:val="231F20"/>
          <w:spacing w:val="-5"/>
          <w:w w:val="105"/>
          <w:sz w:val="17"/>
        </w:rPr>
        <w:t> </w:t>
      </w:r>
      <w:r>
        <w:rPr>
          <w:rFonts w:ascii="Calibri" w:hAnsi="Calibri"/>
          <w:color w:val="231F20"/>
          <w:w w:val="105"/>
          <w:sz w:val="17"/>
        </w:rPr>
        <w:t>against</w:t>
      </w:r>
      <w:r>
        <w:rPr>
          <w:rFonts w:ascii="Calibri" w:hAnsi="Calibri"/>
          <w:color w:val="231F20"/>
          <w:spacing w:val="-5"/>
          <w:w w:val="105"/>
          <w:sz w:val="17"/>
        </w:rPr>
        <w:t> </w:t>
      </w:r>
      <w:r>
        <w:rPr>
          <w:rFonts w:ascii="Calibri" w:hAnsi="Calibri"/>
          <w:color w:val="231F20"/>
          <w:w w:val="105"/>
          <w:sz w:val="17"/>
        </w:rPr>
        <w:t>humanity.</w:t>
      </w:r>
      <w:r>
        <w:rPr>
          <w:rFonts w:ascii="Calibri" w:hAnsi="Calibri"/>
          <w:color w:val="231F20"/>
          <w:spacing w:val="-8"/>
          <w:w w:val="105"/>
          <w:sz w:val="17"/>
        </w:rPr>
        <w:t> </w:t>
      </w:r>
      <w:r>
        <w:rPr>
          <w:rFonts w:ascii="Calibri" w:hAnsi="Calibri"/>
          <w:color w:val="231F20"/>
          <w:w w:val="105"/>
          <w:sz w:val="17"/>
        </w:rPr>
        <w:t>This</w:t>
      </w:r>
      <w:r>
        <w:rPr>
          <w:rFonts w:ascii="Calibri" w:hAnsi="Calibri"/>
          <w:color w:val="231F20"/>
          <w:spacing w:val="-5"/>
          <w:w w:val="105"/>
          <w:sz w:val="17"/>
        </w:rPr>
        <w:t> </w:t>
      </w:r>
      <w:r>
        <w:rPr>
          <w:rFonts w:ascii="Calibri" w:hAnsi="Calibri"/>
          <w:color w:val="231F20"/>
          <w:w w:val="105"/>
          <w:sz w:val="17"/>
        </w:rPr>
        <w:t>responsibility</w:t>
      </w:r>
      <w:r>
        <w:rPr>
          <w:rFonts w:ascii="Calibri" w:hAnsi="Calibri"/>
          <w:color w:val="231F20"/>
          <w:spacing w:val="-5"/>
          <w:w w:val="105"/>
          <w:sz w:val="17"/>
        </w:rPr>
        <w:t> </w:t>
      </w:r>
      <w:r>
        <w:rPr>
          <w:rFonts w:ascii="Calibri" w:hAnsi="Calibri"/>
          <w:color w:val="231F20"/>
          <w:w w:val="105"/>
          <w:sz w:val="17"/>
        </w:rPr>
        <w:t>en- tails</w:t>
      </w:r>
      <w:r>
        <w:rPr>
          <w:rFonts w:ascii="Calibri" w:hAnsi="Calibri"/>
          <w:color w:val="231F20"/>
          <w:spacing w:val="-15"/>
          <w:w w:val="105"/>
          <w:sz w:val="17"/>
        </w:rPr>
        <w:t> </w:t>
      </w:r>
      <w:r>
        <w:rPr>
          <w:rFonts w:ascii="Calibri" w:hAnsi="Calibri"/>
          <w:color w:val="231F20"/>
          <w:w w:val="105"/>
          <w:sz w:val="17"/>
        </w:rPr>
        <w:t>the</w:t>
      </w:r>
      <w:r>
        <w:rPr>
          <w:rFonts w:ascii="Calibri" w:hAnsi="Calibri"/>
          <w:color w:val="231F20"/>
          <w:spacing w:val="-15"/>
          <w:w w:val="105"/>
          <w:sz w:val="17"/>
        </w:rPr>
        <w:t> </w:t>
      </w:r>
      <w:r>
        <w:rPr>
          <w:rFonts w:ascii="Calibri" w:hAnsi="Calibri"/>
          <w:color w:val="231F20"/>
          <w:w w:val="105"/>
          <w:sz w:val="17"/>
        </w:rPr>
        <w:t>prevention</w:t>
      </w:r>
      <w:r>
        <w:rPr>
          <w:rFonts w:ascii="Calibri" w:hAnsi="Calibri"/>
          <w:color w:val="231F20"/>
          <w:spacing w:val="-15"/>
          <w:w w:val="105"/>
          <w:sz w:val="17"/>
        </w:rPr>
        <w:t> </w:t>
      </w:r>
      <w:r>
        <w:rPr>
          <w:rFonts w:ascii="Calibri" w:hAnsi="Calibri"/>
          <w:color w:val="231F20"/>
          <w:w w:val="105"/>
          <w:sz w:val="17"/>
        </w:rPr>
        <w:t>of</w:t>
      </w:r>
      <w:r>
        <w:rPr>
          <w:rFonts w:ascii="Calibri" w:hAnsi="Calibri"/>
          <w:color w:val="231F20"/>
          <w:spacing w:val="-15"/>
          <w:w w:val="105"/>
          <w:sz w:val="17"/>
        </w:rPr>
        <w:t> </w:t>
      </w:r>
      <w:r>
        <w:rPr>
          <w:rFonts w:ascii="Calibri" w:hAnsi="Calibri"/>
          <w:color w:val="231F20"/>
          <w:w w:val="105"/>
          <w:sz w:val="17"/>
        </w:rPr>
        <w:t>such</w:t>
      </w:r>
      <w:r>
        <w:rPr>
          <w:rFonts w:ascii="Calibri" w:hAnsi="Calibri"/>
          <w:color w:val="231F20"/>
          <w:spacing w:val="-15"/>
          <w:w w:val="105"/>
          <w:sz w:val="17"/>
        </w:rPr>
        <w:t> </w:t>
      </w:r>
      <w:r>
        <w:rPr>
          <w:rFonts w:ascii="Calibri" w:hAnsi="Calibri"/>
          <w:color w:val="231F20"/>
          <w:w w:val="105"/>
          <w:sz w:val="17"/>
        </w:rPr>
        <w:t>crimes,</w:t>
      </w:r>
      <w:r>
        <w:rPr>
          <w:rFonts w:ascii="Calibri" w:hAnsi="Calibri"/>
          <w:color w:val="231F20"/>
          <w:spacing w:val="-15"/>
          <w:w w:val="105"/>
          <w:sz w:val="17"/>
        </w:rPr>
        <w:t> </w:t>
      </w:r>
      <w:r>
        <w:rPr>
          <w:rFonts w:ascii="Calibri" w:hAnsi="Calibri"/>
          <w:color w:val="231F20"/>
          <w:w w:val="105"/>
          <w:sz w:val="17"/>
        </w:rPr>
        <w:t>including</w:t>
      </w:r>
      <w:r>
        <w:rPr>
          <w:rFonts w:ascii="Calibri" w:hAnsi="Calibri"/>
          <w:color w:val="231F20"/>
          <w:spacing w:val="-15"/>
          <w:w w:val="105"/>
          <w:sz w:val="17"/>
        </w:rPr>
        <w:t> </w:t>
      </w:r>
      <w:r>
        <w:rPr>
          <w:rFonts w:ascii="Calibri" w:hAnsi="Calibri"/>
          <w:color w:val="231F20"/>
          <w:w w:val="105"/>
          <w:sz w:val="17"/>
        </w:rPr>
        <w:t>their</w:t>
      </w:r>
      <w:r>
        <w:rPr>
          <w:rFonts w:ascii="Calibri" w:hAnsi="Calibri"/>
          <w:color w:val="231F20"/>
          <w:spacing w:val="-15"/>
          <w:w w:val="105"/>
          <w:sz w:val="17"/>
        </w:rPr>
        <w:t> </w:t>
      </w:r>
      <w:r>
        <w:rPr>
          <w:rFonts w:ascii="Calibri" w:hAnsi="Calibri"/>
          <w:color w:val="231F20"/>
          <w:w w:val="105"/>
          <w:sz w:val="17"/>
        </w:rPr>
        <w:t>incitement,</w:t>
      </w:r>
      <w:r>
        <w:rPr>
          <w:rFonts w:ascii="Calibri" w:hAnsi="Calibri"/>
          <w:color w:val="231F20"/>
          <w:spacing w:val="-15"/>
          <w:w w:val="105"/>
          <w:sz w:val="17"/>
        </w:rPr>
        <w:t> </w:t>
      </w:r>
      <w:r>
        <w:rPr>
          <w:rFonts w:ascii="Calibri" w:hAnsi="Calibri"/>
          <w:color w:val="231F20"/>
          <w:w w:val="105"/>
          <w:sz w:val="17"/>
        </w:rPr>
        <w:t>through</w:t>
      </w:r>
      <w:r>
        <w:rPr>
          <w:rFonts w:ascii="Calibri" w:hAnsi="Calibri"/>
          <w:color w:val="231F20"/>
          <w:spacing w:val="-15"/>
          <w:w w:val="105"/>
          <w:sz w:val="17"/>
        </w:rPr>
        <w:t> </w:t>
      </w:r>
      <w:r>
        <w:rPr>
          <w:rFonts w:ascii="Calibri" w:hAnsi="Calibri"/>
          <w:color w:val="231F20"/>
          <w:w w:val="105"/>
          <w:sz w:val="17"/>
        </w:rPr>
        <w:t>appropriate</w:t>
      </w:r>
      <w:r>
        <w:rPr>
          <w:rFonts w:ascii="Calibri" w:hAnsi="Calibri"/>
          <w:color w:val="231F20"/>
          <w:spacing w:val="-15"/>
          <w:w w:val="105"/>
          <w:sz w:val="17"/>
        </w:rPr>
        <w:t> </w:t>
      </w:r>
      <w:r>
        <w:rPr>
          <w:rFonts w:ascii="Calibri" w:hAnsi="Calibri"/>
          <w:color w:val="231F20"/>
          <w:w w:val="105"/>
          <w:sz w:val="17"/>
        </w:rPr>
        <w:t>and</w:t>
      </w:r>
      <w:r>
        <w:rPr>
          <w:rFonts w:ascii="Calibri" w:hAnsi="Calibri"/>
          <w:color w:val="231F20"/>
          <w:spacing w:val="-15"/>
          <w:w w:val="105"/>
          <w:sz w:val="17"/>
        </w:rPr>
        <w:t> </w:t>
      </w:r>
      <w:r>
        <w:rPr>
          <w:rFonts w:ascii="Calibri" w:hAnsi="Calibri"/>
          <w:color w:val="231F20"/>
          <w:w w:val="105"/>
          <w:sz w:val="17"/>
        </w:rPr>
        <w:t>necessary means.</w:t>
      </w:r>
      <w:r>
        <w:rPr>
          <w:rFonts w:ascii="Calibri" w:hAnsi="Calibri"/>
          <w:color w:val="231F20"/>
          <w:spacing w:val="-15"/>
          <w:w w:val="105"/>
          <w:sz w:val="17"/>
        </w:rPr>
        <w:t> </w:t>
      </w:r>
      <w:r>
        <w:rPr>
          <w:rFonts w:ascii="Calibri" w:hAnsi="Calibri"/>
          <w:color w:val="231F20"/>
          <w:spacing w:val="-3"/>
          <w:w w:val="105"/>
          <w:sz w:val="17"/>
        </w:rPr>
        <w:t>We</w:t>
      </w:r>
      <w:r>
        <w:rPr>
          <w:rFonts w:ascii="Calibri" w:hAnsi="Calibri"/>
          <w:color w:val="231F20"/>
          <w:spacing w:val="-11"/>
          <w:w w:val="105"/>
          <w:sz w:val="17"/>
        </w:rPr>
        <w:t> </w:t>
      </w:r>
      <w:r>
        <w:rPr>
          <w:rFonts w:ascii="Calibri" w:hAnsi="Calibri"/>
          <w:color w:val="231F20"/>
          <w:w w:val="105"/>
          <w:sz w:val="17"/>
        </w:rPr>
        <w:t>accept</w:t>
      </w:r>
      <w:r>
        <w:rPr>
          <w:rFonts w:ascii="Calibri" w:hAnsi="Calibri"/>
          <w:color w:val="231F20"/>
          <w:spacing w:val="-11"/>
          <w:w w:val="105"/>
          <w:sz w:val="17"/>
        </w:rPr>
        <w:t> </w:t>
      </w:r>
      <w:r>
        <w:rPr>
          <w:rFonts w:ascii="Calibri" w:hAnsi="Calibri"/>
          <w:color w:val="231F20"/>
          <w:w w:val="105"/>
          <w:sz w:val="17"/>
        </w:rPr>
        <w:t>that</w:t>
      </w:r>
      <w:r>
        <w:rPr>
          <w:rFonts w:ascii="Calibri" w:hAnsi="Calibri"/>
          <w:color w:val="231F20"/>
          <w:spacing w:val="-11"/>
          <w:w w:val="105"/>
          <w:sz w:val="17"/>
        </w:rPr>
        <w:t> </w:t>
      </w:r>
      <w:r>
        <w:rPr>
          <w:rFonts w:ascii="Calibri" w:hAnsi="Calibri"/>
          <w:color w:val="231F20"/>
          <w:w w:val="105"/>
          <w:sz w:val="17"/>
        </w:rPr>
        <w:t>responsibility</w:t>
      </w:r>
      <w:r>
        <w:rPr>
          <w:rFonts w:ascii="Calibri" w:hAnsi="Calibri"/>
          <w:color w:val="231F20"/>
          <w:spacing w:val="-11"/>
          <w:w w:val="105"/>
          <w:sz w:val="17"/>
        </w:rPr>
        <w:t> </w:t>
      </w:r>
      <w:r>
        <w:rPr>
          <w:rFonts w:ascii="Calibri" w:hAnsi="Calibri"/>
          <w:color w:val="231F20"/>
          <w:w w:val="105"/>
          <w:sz w:val="17"/>
        </w:rPr>
        <w:t>and</w:t>
      </w:r>
      <w:r>
        <w:rPr>
          <w:rFonts w:ascii="Calibri" w:hAnsi="Calibri"/>
          <w:color w:val="231F20"/>
          <w:spacing w:val="-13"/>
          <w:w w:val="105"/>
          <w:sz w:val="17"/>
        </w:rPr>
        <w:t> </w:t>
      </w:r>
      <w:r>
        <w:rPr>
          <w:rFonts w:ascii="Calibri" w:hAnsi="Calibri"/>
          <w:color w:val="231F20"/>
          <w:w w:val="105"/>
          <w:sz w:val="17"/>
        </w:rPr>
        <w:t>will</w:t>
      </w:r>
      <w:r>
        <w:rPr>
          <w:rFonts w:ascii="Calibri" w:hAnsi="Calibri"/>
          <w:color w:val="231F20"/>
          <w:spacing w:val="-11"/>
          <w:w w:val="105"/>
          <w:sz w:val="17"/>
        </w:rPr>
        <w:t> </w:t>
      </w:r>
      <w:r>
        <w:rPr>
          <w:rFonts w:ascii="Calibri" w:hAnsi="Calibri"/>
          <w:color w:val="231F20"/>
          <w:w w:val="105"/>
          <w:sz w:val="17"/>
        </w:rPr>
        <w:t>act</w:t>
      </w:r>
      <w:r>
        <w:rPr>
          <w:rFonts w:ascii="Calibri" w:hAnsi="Calibri"/>
          <w:color w:val="231F20"/>
          <w:spacing w:val="-11"/>
          <w:w w:val="105"/>
          <w:sz w:val="17"/>
        </w:rPr>
        <w:t> </w:t>
      </w:r>
      <w:r>
        <w:rPr>
          <w:rFonts w:ascii="Calibri" w:hAnsi="Calibri"/>
          <w:color w:val="231F20"/>
          <w:w w:val="105"/>
          <w:sz w:val="17"/>
        </w:rPr>
        <w:t>in</w:t>
      </w:r>
      <w:r>
        <w:rPr>
          <w:rFonts w:ascii="Calibri" w:hAnsi="Calibri"/>
          <w:color w:val="231F20"/>
          <w:spacing w:val="-11"/>
          <w:w w:val="105"/>
          <w:sz w:val="17"/>
        </w:rPr>
        <w:t> </w:t>
      </w:r>
      <w:r>
        <w:rPr>
          <w:rFonts w:ascii="Calibri" w:hAnsi="Calibri"/>
          <w:color w:val="231F20"/>
          <w:w w:val="105"/>
          <w:sz w:val="17"/>
        </w:rPr>
        <w:t>accordance</w:t>
      </w:r>
      <w:r>
        <w:rPr>
          <w:rFonts w:ascii="Calibri" w:hAnsi="Calibri"/>
          <w:color w:val="231F20"/>
          <w:spacing w:val="-13"/>
          <w:w w:val="105"/>
          <w:sz w:val="17"/>
        </w:rPr>
        <w:t> </w:t>
      </w:r>
      <w:r>
        <w:rPr>
          <w:rFonts w:ascii="Calibri" w:hAnsi="Calibri"/>
          <w:color w:val="231F20"/>
          <w:w w:val="105"/>
          <w:sz w:val="17"/>
        </w:rPr>
        <w:t>with</w:t>
      </w:r>
      <w:r>
        <w:rPr>
          <w:rFonts w:ascii="Calibri" w:hAnsi="Calibri"/>
          <w:color w:val="231F20"/>
          <w:spacing w:val="-11"/>
          <w:w w:val="105"/>
          <w:sz w:val="17"/>
        </w:rPr>
        <w:t> </w:t>
      </w:r>
      <w:r>
        <w:rPr>
          <w:rFonts w:ascii="Calibri" w:hAnsi="Calibri"/>
          <w:color w:val="231F20"/>
          <w:w w:val="105"/>
          <w:sz w:val="17"/>
        </w:rPr>
        <w:t>it.</w:t>
      </w:r>
      <w:r>
        <w:rPr>
          <w:rFonts w:ascii="Calibri" w:hAnsi="Calibri"/>
          <w:color w:val="231F20"/>
          <w:spacing w:val="-14"/>
          <w:w w:val="105"/>
          <w:sz w:val="17"/>
        </w:rPr>
        <w:t> </w:t>
      </w:r>
      <w:r>
        <w:rPr>
          <w:rFonts w:ascii="Calibri" w:hAnsi="Calibri"/>
          <w:color w:val="231F20"/>
          <w:w w:val="105"/>
          <w:sz w:val="17"/>
        </w:rPr>
        <w:t>The</w:t>
      </w:r>
      <w:r>
        <w:rPr>
          <w:rFonts w:ascii="Calibri" w:hAnsi="Calibri"/>
          <w:color w:val="231F20"/>
          <w:spacing w:val="-11"/>
          <w:w w:val="105"/>
          <w:sz w:val="17"/>
        </w:rPr>
        <w:t> </w:t>
      </w:r>
      <w:r>
        <w:rPr>
          <w:rFonts w:ascii="Calibri" w:hAnsi="Calibri"/>
          <w:color w:val="231F20"/>
          <w:w w:val="105"/>
          <w:sz w:val="17"/>
        </w:rPr>
        <w:t>international</w:t>
      </w:r>
      <w:r>
        <w:rPr>
          <w:rFonts w:ascii="Calibri" w:hAnsi="Calibri"/>
          <w:color w:val="231F20"/>
          <w:spacing w:val="-11"/>
          <w:w w:val="105"/>
          <w:sz w:val="17"/>
        </w:rPr>
        <w:t> </w:t>
      </w:r>
      <w:r>
        <w:rPr>
          <w:rFonts w:ascii="Calibri" w:hAnsi="Calibri"/>
          <w:color w:val="231F20"/>
          <w:w w:val="105"/>
          <w:sz w:val="17"/>
        </w:rPr>
        <w:t>commu- nity</w:t>
      </w:r>
      <w:r>
        <w:rPr>
          <w:rFonts w:ascii="Calibri" w:hAnsi="Calibri"/>
          <w:color w:val="231F20"/>
          <w:spacing w:val="-7"/>
          <w:w w:val="105"/>
          <w:sz w:val="17"/>
        </w:rPr>
        <w:t> </w:t>
      </w:r>
      <w:r>
        <w:rPr>
          <w:rFonts w:ascii="Calibri" w:hAnsi="Calibri"/>
          <w:color w:val="231F20"/>
          <w:w w:val="105"/>
          <w:sz w:val="17"/>
        </w:rPr>
        <w:t>should,</w:t>
      </w:r>
      <w:r>
        <w:rPr>
          <w:rFonts w:ascii="Calibri" w:hAnsi="Calibri"/>
          <w:color w:val="231F20"/>
          <w:spacing w:val="-7"/>
          <w:w w:val="105"/>
          <w:sz w:val="17"/>
        </w:rPr>
        <w:t> </w:t>
      </w:r>
      <w:r>
        <w:rPr>
          <w:rFonts w:ascii="Calibri" w:hAnsi="Calibri"/>
          <w:color w:val="231F20"/>
          <w:w w:val="105"/>
          <w:sz w:val="17"/>
        </w:rPr>
        <w:t>as</w:t>
      </w:r>
      <w:r>
        <w:rPr>
          <w:rFonts w:ascii="Calibri" w:hAnsi="Calibri"/>
          <w:color w:val="231F20"/>
          <w:spacing w:val="-7"/>
          <w:w w:val="105"/>
          <w:sz w:val="17"/>
        </w:rPr>
        <w:t> </w:t>
      </w:r>
      <w:r>
        <w:rPr>
          <w:rFonts w:ascii="Calibri" w:hAnsi="Calibri"/>
          <w:color w:val="231F20"/>
          <w:w w:val="105"/>
          <w:sz w:val="17"/>
        </w:rPr>
        <w:t>appropriate,</w:t>
      </w:r>
      <w:r>
        <w:rPr>
          <w:rFonts w:ascii="Calibri" w:hAnsi="Calibri"/>
          <w:color w:val="231F20"/>
          <w:spacing w:val="-7"/>
          <w:w w:val="105"/>
          <w:sz w:val="17"/>
        </w:rPr>
        <w:t> </w:t>
      </w:r>
      <w:r>
        <w:rPr>
          <w:rFonts w:ascii="Calibri" w:hAnsi="Calibri"/>
          <w:color w:val="231F20"/>
          <w:w w:val="105"/>
          <w:sz w:val="17"/>
        </w:rPr>
        <w:t>encourage</w:t>
      </w:r>
      <w:r>
        <w:rPr>
          <w:rFonts w:ascii="Calibri" w:hAnsi="Calibri"/>
          <w:color w:val="231F20"/>
          <w:spacing w:val="-7"/>
          <w:w w:val="105"/>
          <w:sz w:val="17"/>
        </w:rPr>
        <w:t> </w:t>
      </w:r>
      <w:r>
        <w:rPr>
          <w:rFonts w:ascii="Calibri" w:hAnsi="Calibri"/>
          <w:color w:val="231F20"/>
          <w:w w:val="105"/>
          <w:sz w:val="17"/>
        </w:rPr>
        <w:t>and</w:t>
      </w:r>
      <w:r>
        <w:rPr>
          <w:rFonts w:ascii="Calibri" w:hAnsi="Calibri"/>
          <w:color w:val="231F20"/>
          <w:spacing w:val="-7"/>
          <w:w w:val="105"/>
          <w:sz w:val="17"/>
        </w:rPr>
        <w:t> </w:t>
      </w:r>
      <w:r>
        <w:rPr>
          <w:rFonts w:ascii="Calibri" w:hAnsi="Calibri"/>
          <w:color w:val="231F20"/>
          <w:w w:val="105"/>
          <w:sz w:val="17"/>
        </w:rPr>
        <w:t>help</w:t>
      </w:r>
      <w:r>
        <w:rPr>
          <w:rFonts w:ascii="Calibri" w:hAnsi="Calibri"/>
          <w:color w:val="231F20"/>
          <w:spacing w:val="-7"/>
          <w:w w:val="105"/>
          <w:sz w:val="17"/>
        </w:rPr>
        <w:t> </w:t>
      </w:r>
      <w:r>
        <w:rPr>
          <w:rFonts w:ascii="Calibri" w:hAnsi="Calibri"/>
          <w:color w:val="231F20"/>
          <w:w w:val="105"/>
          <w:sz w:val="17"/>
        </w:rPr>
        <w:t>states</w:t>
      </w:r>
      <w:r>
        <w:rPr>
          <w:rFonts w:ascii="Calibri" w:hAnsi="Calibri"/>
          <w:color w:val="231F20"/>
          <w:spacing w:val="-7"/>
          <w:w w:val="105"/>
          <w:sz w:val="17"/>
        </w:rPr>
        <w:t> </w:t>
      </w:r>
      <w:r>
        <w:rPr>
          <w:rFonts w:ascii="Calibri" w:hAnsi="Calibri"/>
          <w:color w:val="231F20"/>
          <w:w w:val="105"/>
          <w:sz w:val="17"/>
        </w:rPr>
        <w:t>to</w:t>
      </w:r>
      <w:r>
        <w:rPr>
          <w:rFonts w:ascii="Calibri" w:hAnsi="Calibri"/>
          <w:color w:val="231F20"/>
          <w:spacing w:val="-7"/>
          <w:w w:val="105"/>
          <w:sz w:val="17"/>
        </w:rPr>
        <w:t> </w:t>
      </w:r>
      <w:r>
        <w:rPr>
          <w:rFonts w:ascii="Calibri" w:hAnsi="Calibri"/>
          <w:color w:val="231F20"/>
          <w:w w:val="105"/>
          <w:sz w:val="17"/>
        </w:rPr>
        <w:t>exercise</w:t>
      </w:r>
      <w:r>
        <w:rPr>
          <w:rFonts w:ascii="Calibri" w:hAnsi="Calibri"/>
          <w:color w:val="231F20"/>
          <w:spacing w:val="-7"/>
          <w:w w:val="105"/>
          <w:sz w:val="17"/>
        </w:rPr>
        <w:t> </w:t>
      </w:r>
      <w:r>
        <w:rPr>
          <w:rFonts w:ascii="Calibri" w:hAnsi="Calibri"/>
          <w:color w:val="231F20"/>
          <w:w w:val="105"/>
          <w:sz w:val="17"/>
        </w:rPr>
        <w:t>this</w:t>
      </w:r>
      <w:r>
        <w:rPr>
          <w:rFonts w:ascii="Calibri" w:hAnsi="Calibri"/>
          <w:color w:val="231F20"/>
          <w:spacing w:val="-7"/>
          <w:w w:val="105"/>
          <w:sz w:val="17"/>
        </w:rPr>
        <w:t> </w:t>
      </w:r>
      <w:r>
        <w:rPr>
          <w:rFonts w:ascii="Calibri" w:hAnsi="Calibri"/>
          <w:color w:val="231F20"/>
          <w:w w:val="105"/>
          <w:sz w:val="17"/>
        </w:rPr>
        <w:t>responsibility</w:t>
      </w:r>
      <w:r>
        <w:rPr>
          <w:rFonts w:ascii="Calibri" w:hAnsi="Calibri"/>
          <w:color w:val="231F20"/>
          <w:spacing w:val="-7"/>
          <w:w w:val="105"/>
          <w:sz w:val="17"/>
        </w:rPr>
        <w:t> </w:t>
      </w:r>
      <w:r>
        <w:rPr>
          <w:rFonts w:ascii="Calibri" w:hAnsi="Calibri"/>
          <w:color w:val="231F20"/>
          <w:w w:val="105"/>
          <w:sz w:val="17"/>
        </w:rPr>
        <w:t>and</w:t>
      </w:r>
      <w:r>
        <w:rPr>
          <w:rFonts w:ascii="Calibri" w:hAnsi="Calibri"/>
          <w:color w:val="231F20"/>
          <w:spacing w:val="-7"/>
          <w:w w:val="105"/>
          <w:sz w:val="17"/>
        </w:rPr>
        <w:t> </w:t>
      </w:r>
      <w:r>
        <w:rPr>
          <w:rFonts w:ascii="Calibri" w:hAnsi="Calibri"/>
          <w:color w:val="231F20"/>
          <w:w w:val="105"/>
          <w:sz w:val="17"/>
        </w:rPr>
        <w:t>support the</w:t>
      </w:r>
      <w:r>
        <w:rPr>
          <w:rFonts w:ascii="Calibri" w:hAnsi="Calibri"/>
          <w:color w:val="231F20"/>
          <w:spacing w:val="-11"/>
          <w:w w:val="105"/>
          <w:sz w:val="17"/>
        </w:rPr>
        <w:t> </w:t>
      </w:r>
      <w:r>
        <w:rPr>
          <w:rFonts w:ascii="Calibri" w:hAnsi="Calibri"/>
          <w:color w:val="231F20"/>
          <w:w w:val="105"/>
          <w:sz w:val="17"/>
        </w:rPr>
        <w:t>United</w:t>
      </w:r>
      <w:r>
        <w:rPr>
          <w:rFonts w:ascii="Calibri" w:hAnsi="Calibri"/>
          <w:color w:val="231F20"/>
          <w:spacing w:val="-11"/>
          <w:w w:val="105"/>
          <w:sz w:val="17"/>
        </w:rPr>
        <w:t> </w:t>
      </w:r>
      <w:r>
        <w:rPr>
          <w:rFonts w:ascii="Calibri" w:hAnsi="Calibri"/>
          <w:color w:val="231F20"/>
          <w:w w:val="105"/>
          <w:sz w:val="17"/>
        </w:rPr>
        <w:t>Nations</w:t>
      </w:r>
      <w:r>
        <w:rPr>
          <w:rFonts w:ascii="Calibri" w:hAnsi="Calibri"/>
          <w:color w:val="231F20"/>
          <w:spacing w:val="-11"/>
          <w:w w:val="105"/>
          <w:sz w:val="17"/>
        </w:rPr>
        <w:t> </w:t>
      </w:r>
      <w:r>
        <w:rPr>
          <w:rFonts w:ascii="Calibri" w:hAnsi="Calibri"/>
          <w:color w:val="231F20"/>
          <w:w w:val="105"/>
          <w:sz w:val="17"/>
        </w:rPr>
        <w:t>in</w:t>
      </w:r>
      <w:r>
        <w:rPr>
          <w:rFonts w:ascii="Calibri" w:hAnsi="Calibri"/>
          <w:color w:val="231F20"/>
          <w:spacing w:val="-11"/>
          <w:w w:val="105"/>
          <w:sz w:val="17"/>
        </w:rPr>
        <w:t> </w:t>
      </w:r>
      <w:r>
        <w:rPr>
          <w:rFonts w:ascii="Calibri" w:hAnsi="Calibri"/>
          <w:color w:val="231F20"/>
          <w:w w:val="105"/>
          <w:sz w:val="17"/>
        </w:rPr>
        <w:t>establishing</w:t>
      </w:r>
      <w:r>
        <w:rPr>
          <w:rFonts w:ascii="Calibri" w:hAnsi="Calibri"/>
          <w:color w:val="231F20"/>
          <w:spacing w:val="-11"/>
          <w:w w:val="105"/>
          <w:sz w:val="17"/>
        </w:rPr>
        <w:t> </w:t>
      </w:r>
      <w:r>
        <w:rPr>
          <w:rFonts w:ascii="Calibri" w:hAnsi="Calibri"/>
          <w:color w:val="231F20"/>
          <w:w w:val="105"/>
          <w:sz w:val="17"/>
        </w:rPr>
        <w:t>an</w:t>
      </w:r>
      <w:r>
        <w:rPr>
          <w:rFonts w:ascii="Calibri" w:hAnsi="Calibri"/>
          <w:color w:val="231F20"/>
          <w:spacing w:val="-11"/>
          <w:w w:val="105"/>
          <w:sz w:val="17"/>
        </w:rPr>
        <w:t> </w:t>
      </w:r>
      <w:r>
        <w:rPr>
          <w:rFonts w:ascii="Calibri" w:hAnsi="Calibri"/>
          <w:color w:val="231F20"/>
          <w:w w:val="105"/>
          <w:sz w:val="17"/>
        </w:rPr>
        <w:t>early</w:t>
      </w:r>
      <w:r>
        <w:rPr>
          <w:rFonts w:ascii="Calibri" w:hAnsi="Calibri"/>
          <w:color w:val="231F20"/>
          <w:spacing w:val="-12"/>
          <w:w w:val="105"/>
          <w:sz w:val="17"/>
        </w:rPr>
        <w:t> </w:t>
      </w:r>
      <w:r>
        <w:rPr>
          <w:rFonts w:ascii="Calibri" w:hAnsi="Calibri"/>
          <w:color w:val="231F20"/>
          <w:w w:val="105"/>
          <w:sz w:val="17"/>
        </w:rPr>
        <w:t>warning</w:t>
      </w:r>
      <w:r>
        <w:rPr>
          <w:rFonts w:ascii="Calibri" w:hAnsi="Calibri"/>
          <w:color w:val="231F20"/>
          <w:spacing w:val="-11"/>
          <w:w w:val="105"/>
          <w:sz w:val="17"/>
        </w:rPr>
        <w:t> </w:t>
      </w:r>
      <w:r>
        <w:rPr>
          <w:rFonts w:ascii="Calibri" w:hAnsi="Calibri"/>
          <w:color w:val="231F20"/>
          <w:w w:val="105"/>
          <w:sz w:val="17"/>
        </w:rPr>
        <w:t>capability.</w:t>
      </w:r>
      <w:r>
        <w:rPr>
          <w:rFonts w:ascii="Calibri" w:hAnsi="Calibri"/>
          <w:color w:val="231F20"/>
          <w:spacing w:val="-11"/>
          <w:w w:val="105"/>
          <w:sz w:val="17"/>
        </w:rPr>
        <w:t> </w:t>
      </w:r>
      <w:r>
        <w:rPr>
          <w:rFonts w:ascii="Calibri" w:hAnsi="Calibri"/>
          <w:color w:val="231F20"/>
          <w:w w:val="105"/>
          <w:sz w:val="17"/>
        </w:rPr>
        <w:t>139.</w:t>
      </w:r>
      <w:r>
        <w:rPr>
          <w:rFonts w:ascii="Calibri" w:hAnsi="Calibri"/>
          <w:color w:val="231F20"/>
          <w:spacing w:val="-13"/>
          <w:w w:val="105"/>
          <w:sz w:val="17"/>
        </w:rPr>
        <w:t> </w:t>
      </w:r>
      <w:r>
        <w:rPr>
          <w:rFonts w:ascii="Calibri" w:hAnsi="Calibri"/>
          <w:color w:val="231F20"/>
          <w:w w:val="105"/>
          <w:sz w:val="17"/>
        </w:rPr>
        <w:t>The</w:t>
      </w:r>
      <w:r>
        <w:rPr>
          <w:rFonts w:ascii="Calibri" w:hAnsi="Calibri"/>
          <w:color w:val="231F20"/>
          <w:spacing w:val="-11"/>
          <w:w w:val="105"/>
          <w:sz w:val="17"/>
        </w:rPr>
        <w:t> </w:t>
      </w:r>
      <w:r>
        <w:rPr>
          <w:rFonts w:ascii="Calibri" w:hAnsi="Calibri"/>
          <w:color w:val="231F20"/>
          <w:w w:val="105"/>
          <w:sz w:val="17"/>
        </w:rPr>
        <w:t>international</w:t>
      </w:r>
      <w:r>
        <w:rPr>
          <w:rFonts w:ascii="Calibri" w:hAnsi="Calibri"/>
          <w:color w:val="231F20"/>
          <w:spacing w:val="-11"/>
          <w:w w:val="105"/>
          <w:sz w:val="17"/>
        </w:rPr>
        <w:t> </w:t>
      </w:r>
      <w:r>
        <w:rPr>
          <w:rFonts w:ascii="Calibri" w:hAnsi="Calibri"/>
          <w:color w:val="231F20"/>
          <w:w w:val="105"/>
          <w:sz w:val="17"/>
        </w:rPr>
        <w:t>community, through</w:t>
      </w:r>
      <w:r>
        <w:rPr>
          <w:rFonts w:ascii="Calibri" w:hAnsi="Calibri"/>
          <w:color w:val="231F20"/>
          <w:spacing w:val="-7"/>
          <w:w w:val="105"/>
          <w:sz w:val="17"/>
        </w:rPr>
        <w:t> </w:t>
      </w:r>
      <w:r>
        <w:rPr>
          <w:rFonts w:ascii="Calibri" w:hAnsi="Calibri"/>
          <w:color w:val="231F20"/>
          <w:w w:val="105"/>
          <w:sz w:val="17"/>
        </w:rPr>
        <w:t>the</w:t>
      </w:r>
      <w:r>
        <w:rPr>
          <w:rFonts w:ascii="Calibri" w:hAnsi="Calibri"/>
          <w:color w:val="231F20"/>
          <w:spacing w:val="-7"/>
          <w:w w:val="105"/>
          <w:sz w:val="17"/>
        </w:rPr>
        <w:t> </w:t>
      </w:r>
      <w:r>
        <w:rPr>
          <w:rFonts w:ascii="Calibri" w:hAnsi="Calibri"/>
          <w:color w:val="231F20"/>
          <w:w w:val="105"/>
          <w:sz w:val="17"/>
        </w:rPr>
        <w:t>United</w:t>
      </w:r>
      <w:r>
        <w:rPr>
          <w:rFonts w:ascii="Calibri" w:hAnsi="Calibri"/>
          <w:color w:val="231F20"/>
          <w:spacing w:val="-7"/>
          <w:w w:val="105"/>
          <w:sz w:val="17"/>
        </w:rPr>
        <w:t> </w:t>
      </w:r>
      <w:r>
        <w:rPr>
          <w:rFonts w:ascii="Calibri" w:hAnsi="Calibri"/>
          <w:color w:val="231F20"/>
          <w:w w:val="105"/>
          <w:sz w:val="17"/>
        </w:rPr>
        <w:t>Nations,</w:t>
      </w:r>
      <w:r>
        <w:rPr>
          <w:rFonts w:ascii="Calibri" w:hAnsi="Calibri"/>
          <w:color w:val="231F20"/>
          <w:spacing w:val="-7"/>
          <w:w w:val="105"/>
          <w:sz w:val="17"/>
        </w:rPr>
        <w:t> </w:t>
      </w:r>
      <w:r>
        <w:rPr>
          <w:rFonts w:ascii="Calibri" w:hAnsi="Calibri"/>
          <w:color w:val="231F20"/>
          <w:w w:val="105"/>
          <w:sz w:val="17"/>
        </w:rPr>
        <w:t>also</w:t>
      </w:r>
      <w:r>
        <w:rPr>
          <w:rFonts w:ascii="Calibri" w:hAnsi="Calibri"/>
          <w:color w:val="231F20"/>
          <w:spacing w:val="-7"/>
          <w:w w:val="105"/>
          <w:sz w:val="17"/>
        </w:rPr>
        <w:t> </w:t>
      </w:r>
      <w:r>
        <w:rPr>
          <w:rFonts w:ascii="Calibri" w:hAnsi="Calibri"/>
          <w:color w:val="231F20"/>
          <w:w w:val="105"/>
          <w:sz w:val="17"/>
        </w:rPr>
        <w:t>has</w:t>
      </w:r>
      <w:r>
        <w:rPr>
          <w:rFonts w:ascii="Calibri" w:hAnsi="Calibri"/>
          <w:color w:val="231F20"/>
          <w:spacing w:val="-7"/>
          <w:w w:val="105"/>
          <w:sz w:val="17"/>
        </w:rPr>
        <w:t> </w:t>
      </w:r>
      <w:r>
        <w:rPr>
          <w:rFonts w:ascii="Calibri" w:hAnsi="Calibri"/>
          <w:color w:val="231F20"/>
          <w:w w:val="105"/>
          <w:sz w:val="17"/>
        </w:rPr>
        <w:t>the</w:t>
      </w:r>
      <w:r>
        <w:rPr>
          <w:rFonts w:ascii="Calibri" w:hAnsi="Calibri"/>
          <w:color w:val="231F20"/>
          <w:spacing w:val="-7"/>
          <w:w w:val="105"/>
          <w:sz w:val="17"/>
        </w:rPr>
        <w:t> </w:t>
      </w:r>
      <w:r>
        <w:rPr>
          <w:rFonts w:ascii="Calibri" w:hAnsi="Calibri"/>
          <w:color w:val="231F20"/>
          <w:w w:val="105"/>
          <w:sz w:val="17"/>
        </w:rPr>
        <w:t>responsibility</w:t>
      </w:r>
      <w:r>
        <w:rPr>
          <w:rFonts w:ascii="Calibri" w:hAnsi="Calibri"/>
          <w:color w:val="231F20"/>
          <w:spacing w:val="-7"/>
          <w:w w:val="105"/>
          <w:sz w:val="17"/>
        </w:rPr>
        <w:t> </w:t>
      </w:r>
      <w:r>
        <w:rPr>
          <w:rFonts w:ascii="Calibri" w:hAnsi="Calibri"/>
          <w:color w:val="231F20"/>
          <w:w w:val="105"/>
          <w:sz w:val="17"/>
        </w:rPr>
        <w:t>to</w:t>
      </w:r>
      <w:r>
        <w:rPr>
          <w:rFonts w:ascii="Calibri" w:hAnsi="Calibri"/>
          <w:color w:val="231F20"/>
          <w:spacing w:val="-7"/>
          <w:w w:val="105"/>
          <w:sz w:val="17"/>
        </w:rPr>
        <w:t> </w:t>
      </w:r>
      <w:r>
        <w:rPr>
          <w:rFonts w:ascii="Calibri" w:hAnsi="Calibri"/>
          <w:color w:val="231F20"/>
          <w:w w:val="105"/>
          <w:sz w:val="17"/>
        </w:rPr>
        <w:t>use</w:t>
      </w:r>
      <w:r>
        <w:rPr>
          <w:rFonts w:ascii="Calibri" w:hAnsi="Calibri"/>
          <w:color w:val="231F20"/>
          <w:spacing w:val="-7"/>
          <w:w w:val="105"/>
          <w:sz w:val="17"/>
        </w:rPr>
        <w:t> </w:t>
      </w:r>
      <w:r>
        <w:rPr>
          <w:rFonts w:ascii="Calibri" w:hAnsi="Calibri"/>
          <w:color w:val="231F20"/>
          <w:w w:val="105"/>
          <w:sz w:val="17"/>
        </w:rPr>
        <w:t>appropriate</w:t>
      </w:r>
      <w:r>
        <w:rPr>
          <w:rFonts w:ascii="Calibri" w:hAnsi="Calibri"/>
          <w:color w:val="231F20"/>
          <w:spacing w:val="-7"/>
          <w:w w:val="105"/>
          <w:sz w:val="17"/>
        </w:rPr>
        <w:t> </w:t>
      </w:r>
      <w:r>
        <w:rPr>
          <w:rFonts w:ascii="Calibri" w:hAnsi="Calibri"/>
          <w:color w:val="231F20"/>
          <w:w w:val="105"/>
          <w:sz w:val="17"/>
        </w:rPr>
        <w:t>diplomatic,</w:t>
      </w:r>
      <w:r>
        <w:rPr>
          <w:rFonts w:ascii="Calibri" w:hAnsi="Calibri"/>
          <w:color w:val="231F20"/>
          <w:spacing w:val="-7"/>
          <w:w w:val="105"/>
          <w:sz w:val="17"/>
        </w:rPr>
        <w:t> </w:t>
      </w:r>
      <w:r>
        <w:rPr>
          <w:rFonts w:ascii="Calibri" w:hAnsi="Calibri"/>
          <w:color w:val="231F20"/>
          <w:w w:val="105"/>
          <w:sz w:val="17"/>
        </w:rPr>
        <w:t>humanita- rian and other peaceful means, in accordance with Chapters </w:t>
      </w:r>
      <w:r>
        <w:rPr>
          <w:rFonts w:ascii="Calibri" w:hAnsi="Calibri"/>
          <w:color w:val="231F20"/>
          <w:w w:val="105"/>
          <w:sz w:val="15"/>
        </w:rPr>
        <w:t>VI </w:t>
      </w:r>
      <w:r>
        <w:rPr>
          <w:rFonts w:ascii="Calibri" w:hAnsi="Calibri"/>
          <w:color w:val="231F20"/>
          <w:w w:val="105"/>
          <w:sz w:val="17"/>
        </w:rPr>
        <w:t>and </w:t>
      </w:r>
      <w:r>
        <w:rPr>
          <w:rFonts w:ascii="Calibri" w:hAnsi="Calibri"/>
          <w:color w:val="231F20"/>
          <w:w w:val="105"/>
          <w:sz w:val="15"/>
        </w:rPr>
        <w:t>VIII </w:t>
      </w:r>
      <w:r>
        <w:rPr>
          <w:rFonts w:ascii="Calibri" w:hAnsi="Calibri"/>
          <w:color w:val="231F20"/>
          <w:w w:val="105"/>
          <w:sz w:val="17"/>
        </w:rPr>
        <w:t>of the Charter, to help</w:t>
      </w:r>
      <w:r>
        <w:rPr>
          <w:rFonts w:ascii="Calibri" w:hAnsi="Calibri"/>
          <w:color w:val="231F20"/>
          <w:spacing w:val="-27"/>
          <w:w w:val="105"/>
          <w:sz w:val="17"/>
        </w:rPr>
        <w:t> </w:t>
      </w:r>
      <w:r>
        <w:rPr>
          <w:rFonts w:ascii="Calibri" w:hAnsi="Calibri"/>
          <w:color w:val="231F20"/>
          <w:w w:val="105"/>
          <w:sz w:val="17"/>
        </w:rPr>
        <w:t>to protect</w:t>
      </w:r>
      <w:r>
        <w:rPr>
          <w:rFonts w:ascii="Calibri" w:hAnsi="Calibri"/>
          <w:color w:val="231F20"/>
          <w:spacing w:val="-9"/>
          <w:w w:val="105"/>
          <w:sz w:val="17"/>
        </w:rPr>
        <w:t> </w:t>
      </w:r>
      <w:r>
        <w:rPr>
          <w:rFonts w:ascii="Calibri" w:hAnsi="Calibri"/>
          <w:color w:val="231F20"/>
          <w:w w:val="105"/>
          <w:sz w:val="17"/>
        </w:rPr>
        <w:t>populations</w:t>
      </w:r>
      <w:r>
        <w:rPr>
          <w:rFonts w:ascii="Calibri" w:hAnsi="Calibri"/>
          <w:color w:val="231F20"/>
          <w:spacing w:val="-9"/>
          <w:w w:val="105"/>
          <w:sz w:val="17"/>
        </w:rPr>
        <w:t> </w:t>
      </w:r>
      <w:r>
        <w:rPr>
          <w:rFonts w:ascii="Calibri" w:hAnsi="Calibri"/>
          <w:color w:val="231F20"/>
          <w:w w:val="105"/>
          <w:sz w:val="17"/>
        </w:rPr>
        <w:t>from</w:t>
      </w:r>
      <w:r>
        <w:rPr>
          <w:rFonts w:ascii="Calibri" w:hAnsi="Calibri"/>
          <w:color w:val="231F20"/>
          <w:spacing w:val="-9"/>
          <w:w w:val="105"/>
          <w:sz w:val="17"/>
        </w:rPr>
        <w:t> </w:t>
      </w:r>
      <w:r>
        <w:rPr>
          <w:rFonts w:ascii="Calibri" w:hAnsi="Calibri"/>
          <w:color w:val="231F20"/>
          <w:w w:val="105"/>
          <w:sz w:val="17"/>
        </w:rPr>
        <w:t>genocide,</w:t>
      </w:r>
      <w:r>
        <w:rPr>
          <w:rFonts w:ascii="Calibri" w:hAnsi="Calibri"/>
          <w:color w:val="231F20"/>
          <w:spacing w:val="-10"/>
          <w:w w:val="105"/>
          <w:sz w:val="17"/>
        </w:rPr>
        <w:t> </w:t>
      </w:r>
      <w:r>
        <w:rPr>
          <w:rFonts w:ascii="Calibri" w:hAnsi="Calibri"/>
          <w:color w:val="231F20"/>
          <w:w w:val="105"/>
          <w:sz w:val="17"/>
        </w:rPr>
        <w:t>war</w:t>
      </w:r>
      <w:r>
        <w:rPr>
          <w:rFonts w:ascii="Calibri" w:hAnsi="Calibri"/>
          <w:color w:val="231F20"/>
          <w:spacing w:val="-9"/>
          <w:w w:val="105"/>
          <w:sz w:val="17"/>
        </w:rPr>
        <w:t> </w:t>
      </w:r>
      <w:r>
        <w:rPr>
          <w:rFonts w:ascii="Calibri" w:hAnsi="Calibri"/>
          <w:color w:val="231F20"/>
          <w:w w:val="105"/>
          <w:sz w:val="17"/>
        </w:rPr>
        <w:t>crimes,</w:t>
      </w:r>
      <w:r>
        <w:rPr>
          <w:rFonts w:ascii="Calibri" w:hAnsi="Calibri"/>
          <w:color w:val="231F20"/>
          <w:spacing w:val="-9"/>
          <w:w w:val="105"/>
          <w:sz w:val="17"/>
        </w:rPr>
        <w:t> </w:t>
      </w:r>
      <w:r>
        <w:rPr>
          <w:rFonts w:ascii="Calibri" w:hAnsi="Calibri"/>
          <w:color w:val="231F20"/>
          <w:w w:val="105"/>
          <w:sz w:val="17"/>
        </w:rPr>
        <w:t>ethnic</w:t>
      </w:r>
      <w:r>
        <w:rPr>
          <w:rFonts w:ascii="Calibri" w:hAnsi="Calibri"/>
          <w:color w:val="231F20"/>
          <w:spacing w:val="-9"/>
          <w:w w:val="105"/>
          <w:sz w:val="17"/>
        </w:rPr>
        <w:t> </w:t>
      </w:r>
      <w:r>
        <w:rPr>
          <w:rFonts w:ascii="Calibri" w:hAnsi="Calibri"/>
          <w:color w:val="231F20"/>
          <w:w w:val="105"/>
          <w:sz w:val="17"/>
        </w:rPr>
        <w:t>cleansing</w:t>
      </w:r>
      <w:r>
        <w:rPr>
          <w:rFonts w:ascii="Calibri" w:hAnsi="Calibri"/>
          <w:color w:val="231F20"/>
          <w:spacing w:val="-9"/>
          <w:w w:val="105"/>
          <w:sz w:val="17"/>
        </w:rPr>
        <w:t> </w:t>
      </w:r>
      <w:r>
        <w:rPr>
          <w:rFonts w:ascii="Calibri" w:hAnsi="Calibri"/>
          <w:color w:val="231F20"/>
          <w:w w:val="105"/>
          <w:sz w:val="17"/>
        </w:rPr>
        <w:t>and</w:t>
      </w:r>
      <w:r>
        <w:rPr>
          <w:rFonts w:ascii="Calibri" w:hAnsi="Calibri"/>
          <w:color w:val="231F20"/>
          <w:spacing w:val="-9"/>
          <w:w w:val="105"/>
          <w:sz w:val="17"/>
        </w:rPr>
        <w:t> </w:t>
      </w:r>
      <w:r>
        <w:rPr>
          <w:rFonts w:ascii="Calibri" w:hAnsi="Calibri"/>
          <w:color w:val="231F20"/>
          <w:w w:val="105"/>
          <w:sz w:val="17"/>
        </w:rPr>
        <w:t>crimes</w:t>
      </w:r>
      <w:r>
        <w:rPr>
          <w:rFonts w:ascii="Calibri" w:hAnsi="Calibri"/>
          <w:color w:val="231F20"/>
          <w:spacing w:val="-9"/>
          <w:w w:val="105"/>
          <w:sz w:val="17"/>
        </w:rPr>
        <w:t> </w:t>
      </w:r>
      <w:r>
        <w:rPr>
          <w:rFonts w:ascii="Calibri" w:hAnsi="Calibri"/>
          <w:color w:val="231F20"/>
          <w:w w:val="105"/>
          <w:sz w:val="17"/>
        </w:rPr>
        <w:t>against</w:t>
      </w:r>
      <w:r>
        <w:rPr>
          <w:rFonts w:ascii="Calibri" w:hAnsi="Calibri"/>
          <w:color w:val="231F20"/>
          <w:spacing w:val="-9"/>
          <w:w w:val="105"/>
          <w:sz w:val="17"/>
        </w:rPr>
        <w:t> </w:t>
      </w:r>
      <w:r>
        <w:rPr>
          <w:rFonts w:ascii="Calibri" w:hAnsi="Calibri"/>
          <w:color w:val="231F20"/>
          <w:w w:val="105"/>
          <w:sz w:val="17"/>
        </w:rPr>
        <w:t>humanity.</w:t>
      </w:r>
      <w:r>
        <w:rPr>
          <w:rFonts w:ascii="Calibri" w:hAnsi="Calibri"/>
          <w:color w:val="231F20"/>
          <w:spacing w:val="-9"/>
          <w:w w:val="105"/>
          <w:sz w:val="17"/>
        </w:rPr>
        <w:t> </w:t>
      </w:r>
      <w:r>
        <w:rPr>
          <w:rFonts w:ascii="Calibri" w:hAnsi="Calibri"/>
          <w:color w:val="231F20"/>
          <w:w w:val="105"/>
          <w:sz w:val="17"/>
        </w:rPr>
        <w:t>In this</w:t>
      </w:r>
      <w:r>
        <w:rPr>
          <w:rFonts w:ascii="Calibri" w:hAnsi="Calibri"/>
          <w:color w:val="231F20"/>
          <w:spacing w:val="-3"/>
          <w:w w:val="105"/>
          <w:sz w:val="17"/>
        </w:rPr>
        <w:t> </w:t>
      </w:r>
      <w:r>
        <w:rPr>
          <w:rFonts w:ascii="Calibri" w:hAnsi="Calibri"/>
          <w:color w:val="231F20"/>
          <w:w w:val="105"/>
          <w:sz w:val="17"/>
        </w:rPr>
        <w:t>context,</w:t>
      </w:r>
      <w:r>
        <w:rPr>
          <w:rFonts w:ascii="Calibri" w:hAnsi="Calibri"/>
          <w:color w:val="231F20"/>
          <w:spacing w:val="-5"/>
          <w:w w:val="105"/>
          <w:sz w:val="17"/>
        </w:rPr>
        <w:t> </w:t>
      </w:r>
      <w:r>
        <w:rPr>
          <w:rFonts w:ascii="Calibri" w:hAnsi="Calibri"/>
          <w:color w:val="231F20"/>
          <w:w w:val="105"/>
          <w:sz w:val="17"/>
        </w:rPr>
        <w:t>we</w:t>
      </w:r>
      <w:r>
        <w:rPr>
          <w:rFonts w:ascii="Calibri" w:hAnsi="Calibri"/>
          <w:color w:val="231F20"/>
          <w:spacing w:val="-3"/>
          <w:w w:val="105"/>
          <w:sz w:val="17"/>
        </w:rPr>
        <w:t> </w:t>
      </w:r>
      <w:r>
        <w:rPr>
          <w:rFonts w:ascii="Calibri" w:hAnsi="Calibri"/>
          <w:color w:val="231F20"/>
          <w:w w:val="105"/>
          <w:sz w:val="17"/>
        </w:rPr>
        <w:t>are</w:t>
      </w:r>
      <w:r>
        <w:rPr>
          <w:rFonts w:ascii="Calibri" w:hAnsi="Calibri"/>
          <w:color w:val="231F20"/>
          <w:spacing w:val="-3"/>
          <w:w w:val="105"/>
          <w:sz w:val="17"/>
        </w:rPr>
        <w:t> </w:t>
      </w:r>
      <w:r>
        <w:rPr>
          <w:rFonts w:ascii="Calibri" w:hAnsi="Calibri"/>
          <w:color w:val="231F20"/>
          <w:w w:val="105"/>
          <w:sz w:val="17"/>
        </w:rPr>
        <w:t>prepared</w:t>
      </w:r>
      <w:r>
        <w:rPr>
          <w:rFonts w:ascii="Calibri" w:hAnsi="Calibri"/>
          <w:color w:val="231F20"/>
          <w:spacing w:val="-3"/>
          <w:w w:val="105"/>
          <w:sz w:val="17"/>
        </w:rPr>
        <w:t> </w:t>
      </w:r>
      <w:r>
        <w:rPr>
          <w:rFonts w:ascii="Calibri" w:hAnsi="Calibri"/>
          <w:color w:val="231F20"/>
          <w:w w:val="105"/>
          <w:sz w:val="17"/>
        </w:rPr>
        <w:t>to</w:t>
      </w:r>
      <w:r>
        <w:rPr>
          <w:rFonts w:ascii="Calibri" w:hAnsi="Calibri"/>
          <w:color w:val="231F20"/>
          <w:spacing w:val="-3"/>
          <w:w w:val="105"/>
          <w:sz w:val="17"/>
        </w:rPr>
        <w:t> </w:t>
      </w:r>
      <w:r>
        <w:rPr>
          <w:rFonts w:ascii="Calibri" w:hAnsi="Calibri"/>
          <w:color w:val="231F20"/>
          <w:w w:val="105"/>
          <w:sz w:val="17"/>
        </w:rPr>
        <w:t>take</w:t>
      </w:r>
      <w:r>
        <w:rPr>
          <w:rFonts w:ascii="Calibri" w:hAnsi="Calibri"/>
          <w:color w:val="231F20"/>
          <w:spacing w:val="-3"/>
          <w:w w:val="105"/>
          <w:sz w:val="17"/>
        </w:rPr>
        <w:t> </w:t>
      </w:r>
      <w:r>
        <w:rPr>
          <w:rFonts w:ascii="Calibri" w:hAnsi="Calibri"/>
          <w:color w:val="231F20"/>
          <w:w w:val="105"/>
          <w:sz w:val="17"/>
        </w:rPr>
        <w:t>collective</w:t>
      </w:r>
      <w:r>
        <w:rPr>
          <w:rFonts w:ascii="Calibri" w:hAnsi="Calibri"/>
          <w:color w:val="231F20"/>
          <w:spacing w:val="-3"/>
          <w:w w:val="105"/>
          <w:sz w:val="17"/>
        </w:rPr>
        <w:t> </w:t>
      </w:r>
      <w:r>
        <w:rPr>
          <w:rFonts w:ascii="Calibri" w:hAnsi="Calibri"/>
          <w:color w:val="231F20"/>
          <w:w w:val="105"/>
          <w:sz w:val="17"/>
        </w:rPr>
        <w:t>action,</w:t>
      </w:r>
      <w:r>
        <w:rPr>
          <w:rFonts w:ascii="Calibri" w:hAnsi="Calibri"/>
          <w:color w:val="231F20"/>
          <w:spacing w:val="-3"/>
          <w:w w:val="105"/>
          <w:sz w:val="17"/>
        </w:rPr>
        <w:t> </w:t>
      </w:r>
      <w:r>
        <w:rPr>
          <w:rFonts w:ascii="Calibri" w:hAnsi="Calibri"/>
          <w:color w:val="231F20"/>
          <w:w w:val="105"/>
          <w:sz w:val="17"/>
        </w:rPr>
        <w:t>in</w:t>
      </w:r>
      <w:r>
        <w:rPr>
          <w:rFonts w:ascii="Calibri" w:hAnsi="Calibri"/>
          <w:color w:val="231F20"/>
          <w:spacing w:val="-3"/>
          <w:w w:val="105"/>
          <w:sz w:val="17"/>
        </w:rPr>
        <w:t> </w:t>
      </w:r>
      <w:r>
        <w:rPr>
          <w:rFonts w:ascii="Calibri" w:hAnsi="Calibri"/>
          <w:color w:val="231F20"/>
          <w:w w:val="105"/>
          <w:sz w:val="17"/>
        </w:rPr>
        <w:t>a</w:t>
      </w:r>
      <w:r>
        <w:rPr>
          <w:rFonts w:ascii="Calibri" w:hAnsi="Calibri"/>
          <w:color w:val="231F20"/>
          <w:spacing w:val="-3"/>
          <w:w w:val="105"/>
          <w:sz w:val="17"/>
        </w:rPr>
        <w:t> </w:t>
      </w:r>
      <w:r>
        <w:rPr>
          <w:rFonts w:ascii="Calibri" w:hAnsi="Calibri"/>
          <w:color w:val="231F20"/>
          <w:w w:val="105"/>
          <w:sz w:val="17"/>
        </w:rPr>
        <w:t>timely</w:t>
      </w:r>
      <w:r>
        <w:rPr>
          <w:rFonts w:ascii="Calibri" w:hAnsi="Calibri"/>
          <w:color w:val="231F20"/>
          <w:spacing w:val="-3"/>
          <w:w w:val="105"/>
          <w:sz w:val="17"/>
        </w:rPr>
        <w:t> </w:t>
      </w:r>
      <w:r>
        <w:rPr>
          <w:rFonts w:ascii="Calibri" w:hAnsi="Calibri"/>
          <w:color w:val="231F20"/>
          <w:w w:val="105"/>
          <w:sz w:val="17"/>
        </w:rPr>
        <w:t>and</w:t>
      </w:r>
      <w:r>
        <w:rPr>
          <w:rFonts w:ascii="Calibri" w:hAnsi="Calibri"/>
          <w:color w:val="231F20"/>
          <w:spacing w:val="-3"/>
          <w:w w:val="105"/>
          <w:sz w:val="17"/>
        </w:rPr>
        <w:t> </w:t>
      </w:r>
      <w:r>
        <w:rPr>
          <w:rFonts w:ascii="Calibri" w:hAnsi="Calibri"/>
          <w:color w:val="231F20"/>
          <w:w w:val="105"/>
          <w:sz w:val="17"/>
        </w:rPr>
        <w:t>decisive</w:t>
      </w:r>
      <w:r>
        <w:rPr>
          <w:rFonts w:ascii="Calibri" w:hAnsi="Calibri"/>
          <w:color w:val="231F20"/>
          <w:spacing w:val="-3"/>
          <w:w w:val="105"/>
          <w:sz w:val="17"/>
        </w:rPr>
        <w:t> </w:t>
      </w:r>
      <w:r>
        <w:rPr>
          <w:rFonts w:ascii="Calibri" w:hAnsi="Calibri"/>
          <w:color w:val="231F20"/>
          <w:w w:val="105"/>
          <w:sz w:val="17"/>
        </w:rPr>
        <w:t>manner,</w:t>
      </w:r>
      <w:r>
        <w:rPr>
          <w:rFonts w:ascii="Calibri" w:hAnsi="Calibri"/>
          <w:color w:val="231F20"/>
          <w:spacing w:val="-3"/>
          <w:w w:val="105"/>
          <w:sz w:val="17"/>
        </w:rPr>
        <w:t> </w:t>
      </w:r>
      <w:r>
        <w:rPr>
          <w:rFonts w:ascii="Calibri" w:hAnsi="Calibri"/>
          <w:color w:val="231F20"/>
          <w:w w:val="105"/>
          <w:sz w:val="17"/>
        </w:rPr>
        <w:t>through the</w:t>
      </w:r>
      <w:r>
        <w:rPr>
          <w:rFonts w:ascii="Calibri" w:hAnsi="Calibri"/>
          <w:color w:val="231F20"/>
          <w:spacing w:val="-19"/>
          <w:w w:val="105"/>
          <w:sz w:val="17"/>
        </w:rPr>
        <w:t> </w:t>
      </w:r>
      <w:r>
        <w:rPr>
          <w:rFonts w:ascii="Calibri" w:hAnsi="Calibri"/>
          <w:color w:val="231F20"/>
          <w:w w:val="105"/>
          <w:sz w:val="17"/>
        </w:rPr>
        <w:t>Security</w:t>
      </w:r>
      <w:r>
        <w:rPr>
          <w:rFonts w:ascii="Calibri" w:hAnsi="Calibri"/>
          <w:color w:val="231F20"/>
          <w:spacing w:val="-19"/>
          <w:w w:val="105"/>
          <w:sz w:val="17"/>
        </w:rPr>
        <w:t> </w:t>
      </w:r>
      <w:r>
        <w:rPr>
          <w:rFonts w:ascii="Calibri" w:hAnsi="Calibri"/>
          <w:color w:val="231F20"/>
          <w:w w:val="105"/>
          <w:sz w:val="17"/>
        </w:rPr>
        <w:t>Council,</w:t>
      </w:r>
      <w:r>
        <w:rPr>
          <w:rFonts w:ascii="Calibri" w:hAnsi="Calibri"/>
          <w:color w:val="231F20"/>
          <w:spacing w:val="-19"/>
          <w:w w:val="105"/>
          <w:sz w:val="17"/>
        </w:rPr>
        <w:t> </w:t>
      </w:r>
      <w:r>
        <w:rPr>
          <w:rFonts w:ascii="Calibri" w:hAnsi="Calibri"/>
          <w:color w:val="231F20"/>
          <w:w w:val="105"/>
          <w:sz w:val="17"/>
        </w:rPr>
        <w:t>in</w:t>
      </w:r>
      <w:r>
        <w:rPr>
          <w:rFonts w:ascii="Calibri" w:hAnsi="Calibri"/>
          <w:color w:val="231F20"/>
          <w:spacing w:val="-19"/>
          <w:w w:val="105"/>
          <w:sz w:val="17"/>
        </w:rPr>
        <w:t> </w:t>
      </w:r>
      <w:r>
        <w:rPr>
          <w:rFonts w:ascii="Calibri" w:hAnsi="Calibri"/>
          <w:color w:val="231F20"/>
          <w:w w:val="105"/>
          <w:sz w:val="17"/>
        </w:rPr>
        <w:t>accordance</w:t>
      </w:r>
      <w:r>
        <w:rPr>
          <w:rFonts w:ascii="Calibri" w:hAnsi="Calibri"/>
          <w:color w:val="231F20"/>
          <w:spacing w:val="-20"/>
          <w:w w:val="105"/>
          <w:sz w:val="17"/>
        </w:rPr>
        <w:t> </w:t>
      </w:r>
      <w:r>
        <w:rPr>
          <w:rFonts w:ascii="Calibri" w:hAnsi="Calibri"/>
          <w:color w:val="231F20"/>
          <w:w w:val="105"/>
          <w:sz w:val="17"/>
        </w:rPr>
        <w:t>with</w:t>
      </w:r>
      <w:r>
        <w:rPr>
          <w:rFonts w:ascii="Calibri" w:hAnsi="Calibri"/>
          <w:color w:val="231F20"/>
          <w:spacing w:val="-19"/>
          <w:w w:val="105"/>
          <w:sz w:val="17"/>
        </w:rPr>
        <w:t> </w:t>
      </w:r>
      <w:r>
        <w:rPr>
          <w:rFonts w:ascii="Calibri" w:hAnsi="Calibri"/>
          <w:color w:val="231F20"/>
          <w:w w:val="105"/>
          <w:sz w:val="17"/>
        </w:rPr>
        <w:t>the</w:t>
      </w:r>
      <w:r>
        <w:rPr>
          <w:rFonts w:ascii="Calibri" w:hAnsi="Calibri"/>
          <w:color w:val="231F20"/>
          <w:spacing w:val="-19"/>
          <w:w w:val="105"/>
          <w:sz w:val="17"/>
        </w:rPr>
        <w:t> </w:t>
      </w:r>
      <w:r>
        <w:rPr>
          <w:rFonts w:ascii="Calibri" w:hAnsi="Calibri"/>
          <w:color w:val="231F20"/>
          <w:w w:val="105"/>
          <w:sz w:val="17"/>
        </w:rPr>
        <w:t>Charter,</w:t>
      </w:r>
      <w:r>
        <w:rPr>
          <w:rFonts w:ascii="Calibri" w:hAnsi="Calibri"/>
          <w:color w:val="231F20"/>
          <w:spacing w:val="-19"/>
          <w:w w:val="105"/>
          <w:sz w:val="17"/>
        </w:rPr>
        <w:t> </w:t>
      </w:r>
      <w:r>
        <w:rPr>
          <w:rFonts w:ascii="Calibri" w:hAnsi="Calibri"/>
          <w:color w:val="231F20"/>
          <w:w w:val="105"/>
          <w:sz w:val="17"/>
        </w:rPr>
        <w:t>including</w:t>
      </w:r>
      <w:r>
        <w:rPr>
          <w:rFonts w:ascii="Calibri" w:hAnsi="Calibri"/>
          <w:color w:val="231F20"/>
          <w:spacing w:val="-19"/>
          <w:w w:val="105"/>
          <w:sz w:val="17"/>
        </w:rPr>
        <w:t> </w:t>
      </w:r>
      <w:r>
        <w:rPr>
          <w:rFonts w:ascii="Calibri" w:hAnsi="Calibri"/>
          <w:color w:val="231F20"/>
          <w:w w:val="105"/>
          <w:sz w:val="17"/>
        </w:rPr>
        <w:t>Chapter</w:t>
      </w:r>
      <w:r>
        <w:rPr>
          <w:rFonts w:ascii="Calibri" w:hAnsi="Calibri"/>
          <w:color w:val="231F20"/>
          <w:spacing w:val="-18"/>
          <w:w w:val="105"/>
          <w:sz w:val="17"/>
        </w:rPr>
        <w:t> </w:t>
      </w:r>
      <w:r>
        <w:rPr>
          <w:rFonts w:ascii="Calibri" w:hAnsi="Calibri"/>
          <w:color w:val="231F20"/>
          <w:w w:val="105"/>
          <w:sz w:val="15"/>
        </w:rPr>
        <w:t>VII</w:t>
      </w:r>
      <w:r>
        <w:rPr>
          <w:rFonts w:ascii="Calibri" w:hAnsi="Calibri"/>
          <w:color w:val="231F20"/>
          <w:w w:val="105"/>
          <w:sz w:val="17"/>
        </w:rPr>
        <w:t>,</w:t>
      </w:r>
      <w:r>
        <w:rPr>
          <w:rFonts w:ascii="Calibri" w:hAnsi="Calibri"/>
          <w:color w:val="231F20"/>
          <w:spacing w:val="-19"/>
          <w:w w:val="105"/>
          <w:sz w:val="17"/>
        </w:rPr>
        <w:t> </w:t>
      </w:r>
      <w:r>
        <w:rPr>
          <w:rFonts w:ascii="Calibri" w:hAnsi="Calibri"/>
          <w:color w:val="231F20"/>
          <w:w w:val="105"/>
          <w:sz w:val="17"/>
        </w:rPr>
        <w:t>on</w:t>
      </w:r>
      <w:r>
        <w:rPr>
          <w:rFonts w:ascii="Calibri" w:hAnsi="Calibri"/>
          <w:color w:val="231F20"/>
          <w:spacing w:val="-19"/>
          <w:w w:val="105"/>
          <w:sz w:val="17"/>
        </w:rPr>
        <w:t> </w:t>
      </w:r>
      <w:r>
        <w:rPr>
          <w:rFonts w:ascii="Calibri" w:hAnsi="Calibri"/>
          <w:color w:val="231F20"/>
          <w:w w:val="105"/>
          <w:sz w:val="17"/>
        </w:rPr>
        <w:t>a</w:t>
      </w:r>
      <w:r>
        <w:rPr>
          <w:rFonts w:ascii="Calibri" w:hAnsi="Calibri"/>
          <w:color w:val="231F20"/>
          <w:spacing w:val="-19"/>
          <w:w w:val="105"/>
          <w:sz w:val="17"/>
        </w:rPr>
        <w:t> </w:t>
      </w:r>
      <w:r>
        <w:rPr>
          <w:rFonts w:ascii="Calibri" w:hAnsi="Calibri"/>
          <w:color w:val="231F20"/>
          <w:w w:val="105"/>
          <w:sz w:val="17"/>
        </w:rPr>
        <w:t>case–by–case</w:t>
      </w:r>
      <w:r>
        <w:rPr>
          <w:rFonts w:ascii="Calibri" w:hAnsi="Calibri"/>
          <w:color w:val="231F20"/>
          <w:spacing w:val="-19"/>
          <w:w w:val="105"/>
          <w:sz w:val="17"/>
        </w:rPr>
        <w:t> </w:t>
      </w:r>
      <w:r>
        <w:rPr>
          <w:rFonts w:ascii="Calibri" w:hAnsi="Calibri"/>
          <w:color w:val="231F20"/>
          <w:w w:val="105"/>
          <w:sz w:val="17"/>
        </w:rPr>
        <w:t>basis and</w:t>
      </w:r>
      <w:r>
        <w:rPr>
          <w:rFonts w:ascii="Calibri" w:hAnsi="Calibri"/>
          <w:color w:val="231F20"/>
          <w:spacing w:val="-16"/>
          <w:w w:val="105"/>
          <w:sz w:val="17"/>
        </w:rPr>
        <w:t> </w:t>
      </w:r>
      <w:r>
        <w:rPr>
          <w:rFonts w:ascii="Calibri" w:hAnsi="Calibri"/>
          <w:color w:val="231F20"/>
          <w:w w:val="105"/>
          <w:sz w:val="17"/>
        </w:rPr>
        <w:t>in</w:t>
      </w:r>
      <w:r>
        <w:rPr>
          <w:rFonts w:ascii="Calibri" w:hAnsi="Calibri"/>
          <w:color w:val="231F20"/>
          <w:spacing w:val="-16"/>
          <w:w w:val="105"/>
          <w:sz w:val="17"/>
        </w:rPr>
        <w:t> </w:t>
      </w:r>
      <w:r>
        <w:rPr>
          <w:rFonts w:ascii="Calibri" w:hAnsi="Calibri"/>
          <w:color w:val="231F20"/>
          <w:w w:val="105"/>
          <w:sz w:val="17"/>
        </w:rPr>
        <w:t>cooperation</w:t>
      </w:r>
      <w:r>
        <w:rPr>
          <w:rFonts w:ascii="Calibri" w:hAnsi="Calibri"/>
          <w:color w:val="231F20"/>
          <w:spacing w:val="-17"/>
          <w:w w:val="105"/>
          <w:sz w:val="17"/>
        </w:rPr>
        <w:t> </w:t>
      </w:r>
      <w:r>
        <w:rPr>
          <w:rFonts w:ascii="Calibri" w:hAnsi="Calibri"/>
          <w:color w:val="231F20"/>
          <w:w w:val="105"/>
          <w:sz w:val="17"/>
        </w:rPr>
        <w:t>with</w:t>
      </w:r>
      <w:r>
        <w:rPr>
          <w:rFonts w:ascii="Calibri" w:hAnsi="Calibri"/>
          <w:color w:val="231F20"/>
          <w:spacing w:val="-16"/>
          <w:w w:val="105"/>
          <w:sz w:val="17"/>
        </w:rPr>
        <w:t> </w:t>
      </w:r>
      <w:r>
        <w:rPr>
          <w:rFonts w:ascii="Calibri" w:hAnsi="Calibri"/>
          <w:color w:val="231F20"/>
          <w:w w:val="105"/>
          <w:sz w:val="17"/>
        </w:rPr>
        <w:t>relevant</w:t>
      </w:r>
      <w:r>
        <w:rPr>
          <w:rFonts w:ascii="Calibri" w:hAnsi="Calibri"/>
          <w:color w:val="231F20"/>
          <w:spacing w:val="-16"/>
          <w:w w:val="105"/>
          <w:sz w:val="17"/>
        </w:rPr>
        <w:t> </w:t>
      </w:r>
      <w:r>
        <w:rPr>
          <w:rFonts w:ascii="Calibri" w:hAnsi="Calibri"/>
          <w:color w:val="231F20"/>
          <w:w w:val="105"/>
          <w:sz w:val="17"/>
        </w:rPr>
        <w:t>regional</w:t>
      </w:r>
      <w:r>
        <w:rPr>
          <w:rFonts w:ascii="Calibri" w:hAnsi="Calibri"/>
          <w:color w:val="231F20"/>
          <w:spacing w:val="-16"/>
          <w:w w:val="105"/>
          <w:sz w:val="17"/>
        </w:rPr>
        <w:t> </w:t>
      </w:r>
      <w:r>
        <w:rPr>
          <w:rFonts w:ascii="Calibri" w:hAnsi="Calibri"/>
          <w:color w:val="231F20"/>
          <w:w w:val="105"/>
          <w:sz w:val="17"/>
        </w:rPr>
        <w:t>organizations</w:t>
      </w:r>
      <w:r>
        <w:rPr>
          <w:rFonts w:ascii="Calibri" w:hAnsi="Calibri"/>
          <w:color w:val="231F20"/>
          <w:spacing w:val="-16"/>
          <w:w w:val="105"/>
          <w:sz w:val="17"/>
        </w:rPr>
        <w:t> </w:t>
      </w:r>
      <w:r>
        <w:rPr>
          <w:rFonts w:ascii="Calibri" w:hAnsi="Calibri"/>
          <w:color w:val="231F20"/>
          <w:w w:val="105"/>
          <w:sz w:val="17"/>
        </w:rPr>
        <w:t>as</w:t>
      </w:r>
      <w:r>
        <w:rPr>
          <w:rFonts w:ascii="Calibri" w:hAnsi="Calibri"/>
          <w:color w:val="231F20"/>
          <w:spacing w:val="-16"/>
          <w:w w:val="105"/>
          <w:sz w:val="17"/>
        </w:rPr>
        <w:t> </w:t>
      </w:r>
      <w:r>
        <w:rPr>
          <w:rFonts w:ascii="Calibri" w:hAnsi="Calibri"/>
          <w:color w:val="231F20"/>
          <w:w w:val="105"/>
          <w:sz w:val="17"/>
        </w:rPr>
        <w:t>appropriate,</w:t>
      </w:r>
      <w:r>
        <w:rPr>
          <w:rFonts w:ascii="Calibri" w:hAnsi="Calibri"/>
          <w:color w:val="231F20"/>
          <w:spacing w:val="-16"/>
          <w:w w:val="105"/>
          <w:sz w:val="17"/>
        </w:rPr>
        <w:t> </w:t>
      </w:r>
      <w:r>
        <w:rPr>
          <w:rFonts w:ascii="Calibri" w:hAnsi="Calibri"/>
          <w:color w:val="231F20"/>
          <w:w w:val="105"/>
          <w:sz w:val="17"/>
        </w:rPr>
        <w:t>should</w:t>
      </w:r>
      <w:r>
        <w:rPr>
          <w:rFonts w:ascii="Calibri" w:hAnsi="Calibri"/>
          <w:color w:val="231F20"/>
          <w:spacing w:val="-16"/>
          <w:w w:val="105"/>
          <w:sz w:val="17"/>
        </w:rPr>
        <w:t> </w:t>
      </w:r>
      <w:r>
        <w:rPr>
          <w:rFonts w:ascii="Calibri" w:hAnsi="Calibri"/>
          <w:color w:val="231F20"/>
          <w:w w:val="105"/>
          <w:sz w:val="17"/>
        </w:rPr>
        <w:t>peaceful</w:t>
      </w:r>
      <w:r>
        <w:rPr>
          <w:rFonts w:ascii="Calibri" w:hAnsi="Calibri"/>
          <w:color w:val="231F20"/>
          <w:spacing w:val="-16"/>
          <w:w w:val="105"/>
          <w:sz w:val="17"/>
        </w:rPr>
        <w:t> </w:t>
      </w:r>
      <w:r>
        <w:rPr>
          <w:rFonts w:ascii="Calibri" w:hAnsi="Calibri"/>
          <w:color w:val="231F20"/>
          <w:w w:val="105"/>
          <w:sz w:val="17"/>
        </w:rPr>
        <w:t>means</w:t>
      </w:r>
      <w:r>
        <w:rPr>
          <w:rFonts w:ascii="Calibri" w:hAnsi="Calibri"/>
          <w:color w:val="231F20"/>
          <w:spacing w:val="-16"/>
          <w:w w:val="105"/>
          <w:sz w:val="17"/>
        </w:rPr>
        <w:t> </w:t>
      </w:r>
      <w:r>
        <w:rPr>
          <w:rFonts w:ascii="Calibri" w:hAnsi="Calibri"/>
          <w:color w:val="231F20"/>
          <w:w w:val="105"/>
          <w:sz w:val="17"/>
        </w:rPr>
        <w:t>be inadequate</w:t>
      </w:r>
      <w:r>
        <w:rPr>
          <w:rFonts w:ascii="Calibri" w:hAnsi="Calibri"/>
          <w:color w:val="231F20"/>
          <w:spacing w:val="-13"/>
          <w:w w:val="105"/>
          <w:sz w:val="17"/>
        </w:rPr>
        <w:t> </w:t>
      </w:r>
      <w:r>
        <w:rPr>
          <w:rFonts w:ascii="Calibri" w:hAnsi="Calibri"/>
          <w:color w:val="231F20"/>
          <w:w w:val="105"/>
          <w:sz w:val="17"/>
        </w:rPr>
        <w:t>and</w:t>
      </w:r>
      <w:r>
        <w:rPr>
          <w:rFonts w:ascii="Calibri" w:hAnsi="Calibri"/>
          <w:color w:val="231F20"/>
          <w:spacing w:val="-13"/>
          <w:w w:val="105"/>
          <w:sz w:val="17"/>
        </w:rPr>
        <w:t> </w:t>
      </w:r>
      <w:r>
        <w:rPr>
          <w:rFonts w:ascii="Calibri" w:hAnsi="Calibri"/>
          <w:color w:val="231F20"/>
          <w:w w:val="105"/>
          <w:sz w:val="17"/>
        </w:rPr>
        <w:t>national</w:t>
      </w:r>
      <w:r>
        <w:rPr>
          <w:rFonts w:ascii="Calibri" w:hAnsi="Calibri"/>
          <w:color w:val="231F20"/>
          <w:spacing w:val="-13"/>
          <w:w w:val="105"/>
          <w:sz w:val="17"/>
        </w:rPr>
        <w:t> </w:t>
      </w:r>
      <w:r>
        <w:rPr>
          <w:rFonts w:ascii="Calibri" w:hAnsi="Calibri"/>
          <w:color w:val="231F20"/>
          <w:w w:val="105"/>
          <w:sz w:val="17"/>
        </w:rPr>
        <w:t>authorities</w:t>
      </w:r>
      <w:r>
        <w:rPr>
          <w:rFonts w:ascii="Calibri" w:hAnsi="Calibri"/>
          <w:color w:val="231F20"/>
          <w:spacing w:val="-13"/>
          <w:w w:val="105"/>
          <w:sz w:val="17"/>
        </w:rPr>
        <w:t> </w:t>
      </w:r>
      <w:r>
        <w:rPr>
          <w:rFonts w:ascii="Calibri" w:hAnsi="Calibri"/>
          <w:color w:val="231F20"/>
          <w:w w:val="105"/>
          <w:sz w:val="17"/>
        </w:rPr>
        <w:t>are</w:t>
      </w:r>
      <w:r>
        <w:rPr>
          <w:rFonts w:ascii="Calibri" w:hAnsi="Calibri"/>
          <w:color w:val="231F20"/>
          <w:spacing w:val="-13"/>
          <w:w w:val="105"/>
          <w:sz w:val="17"/>
        </w:rPr>
        <w:t> </w:t>
      </w:r>
      <w:r>
        <w:rPr>
          <w:rFonts w:ascii="Calibri" w:hAnsi="Calibri"/>
          <w:color w:val="231F20"/>
          <w:w w:val="105"/>
          <w:sz w:val="17"/>
        </w:rPr>
        <w:t>manifestly</w:t>
      </w:r>
      <w:r>
        <w:rPr>
          <w:rFonts w:ascii="Calibri" w:hAnsi="Calibri"/>
          <w:color w:val="231F20"/>
          <w:spacing w:val="-13"/>
          <w:w w:val="105"/>
          <w:sz w:val="17"/>
        </w:rPr>
        <w:t> </w:t>
      </w:r>
      <w:r>
        <w:rPr>
          <w:rFonts w:ascii="Calibri" w:hAnsi="Calibri"/>
          <w:color w:val="231F20"/>
          <w:w w:val="105"/>
          <w:sz w:val="17"/>
        </w:rPr>
        <w:t>failing</w:t>
      </w:r>
      <w:r>
        <w:rPr>
          <w:rFonts w:ascii="Calibri" w:hAnsi="Calibri"/>
          <w:color w:val="231F20"/>
          <w:spacing w:val="-13"/>
          <w:w w:val="105"/>
          <w:sz w:val="17"/>
        </w:rPr>
        <w:t> </w:t>
      </w:r>
      <w:r>
        <w:rPr>
          <w:rFonts w:ascii="Calibri" w:hAnsi="Calibri"/>
          <w:color w:val="231F20"/>
          <w:w w:val="105"/>
          <w:sz w:val="17"/>
        </w:rPr>
        <w:t>to</w:t>
      </w:r>
      <w:r>
        <w:rPr>
          <w:rFonts w:ascii="Calibri" w:hAnsi="Calibri"/>
          <w:color w:val="231F20"/>
          <w:spacing w:val="-13"/>
          <w:w w:val="105"/>
          <w:sz w:val="17"/>
        </w:rPr>
        <w:t> </w:t>
      </w:r>
      <w:r>
        <w:rPr>
          <w:rFonts w:ascii="Calibri" w:hAnsi="Calibri"/>
          <w:color w:val="231F20"/>
          <w:w w:val="105"/>
          <w:sz w:val="17"/>
        </w:rPr>
        <w:t>protect</w:t>
      </w:r>
      <w:r>
        <w:rPr>
          <w:rFonts w:ascii="Calibri" w:hAnsi="Calibri"/>
          <w:color w:val="231F20"/>
          <w:spacing w:val="-13"/>
          <w:w w:val="105"/>
          <w:sz w:val="17"/>
        </w:rPr>
        <w:t> </w:t>
      </w:r>
      <w:r>
        <w:rPr>
          <w:rFonts w:ascii="Calibri" w:hAnsi="Calibri"/>
          <w:color w:val="231F20"/>
          <w:w w:val="105"/>
          <w:sz w:val="17"/>
        </w:rPr>
        <w:t>their</w:t>
      </w:r>
      <w:r>
        <w:rPr>
          <w:rFonts w:ascii="Calibri" w:hAnsi="Calibri"/>
          <w:color w:val="231F20"/>
          <w:spacing w:val="-13"/>
          <w:w w:val="105"/>
          <w:sz w:val="17"/>
        </w:rPr>
        <w:t> </w:t>
      </w:r>
      <w:r>
        <w:rPr>
          <w:rFonts w:ascii="Calibri" w:hAnsi="Calibri"/>
          <w:color w:val="231F20"/>
          <w:w w:val="105"/>
          <w:sz w:val="17"/>
        </w:rPr>
        <w:t>populations</w:t>
      </w:r>
      <w:r>
        <w:rPr>
          <w:rFonts w:ascii="Calibri" w:hAnsi="Calibri"/>
          <w:color w:val="231F20"/>
          <w:spacing w:val="-13"/>
          <w:w w:val="105"/>
          <w:sz w:val="17"/>
        </w:rPr>
        <w:t> </w:t>
      </w:r>
      <w:r>
        <w:rPr>
          <w:rFonts w:ascii="Calibri" w:hAnsi="Calibri"/>
          <w:color w:val="231F20"/>
          <w:w w:val="105"/>
          <w:sz w:val="17"/>
        </w:rPr>
        <w:t>from</w:t>
      </w:r>
      <w:r>
        <w:rPr>
          <w:rFonts w:ascii="Calibri" w:hAnsi="Calibri"/>
          <w:color w:val="231F20"/>
          <w:spacing w:val="-13"/>
          <w:w w:val="105"/>
          <w:sz w:val="17"/>
        </w:rPr>
        <w:t> </w:t>
      </w:r>
      <w:r>
        <w:rPr>
          <w:rFonts w:ascii="Calibri" w:hAnsi="Calibri"/>
          <w:color w:val="231F20"/>
          <w:w w:val="105"/>
          <w:sz w:val="17"/>
        </w:rPr>
        <w:t>geno- cide,</w:t>
      </w:r>
      <w:r>
        <w:rPr>
          <w:rFonts w:ascii="Calibri" w:hAnsi="Calibri"/>
          <w:color w:val="231F20"/>
          <w:spacing w:val="-19"/>
          <w:w w:val="105"/>
          <w:sz w:val="17"/>
        </w:rPr>
        <w:t> </w:t>
      </w:r>
      <w:r>
        <w:rPr>
          <w:rFonts w:ascii="Calibri" w:hAnsi="Calibri"/>
          <w:color w:val="231F20"/>
          <w:w w:val="105"/>
          <w:sz w:val="17"/>
        </w:rPr>
        <w:t>war</w:t>
      </w:r>
      <w:r>
        <w:rPr>
          <w:rFonts w:ascii="Calibri" w:hAnsi="Calibri"/>
          <w:color w:val="231F20"/>
          <w:spacing w:val="-18"/>
          <w:w w:val="105"/>
          <w:sz w:val="17"/>
        </w:rPr>
        <w:t> </w:t>
      </w:r>
      <w:r>
        <w:rPr>
          <w:rFonts w:ascii="Calibri" w:hAnsi="Calibri"/>
          <w:color w:val="231F20"/>
          <w:w w:val="105"/>
          <w:sz w:val="17"/>
        </w:rPr>
        <w:t>crimes,</w:t>
      </w:r>
      <w:r>
        <w:rPr>
          <w:rFonts w:ascii="Calibri" w:hAnsi="Calibri"/>
          <w:color w:val="231F20"/>
          <w:spacing w:val="-18"/>
          <w:w w:val="105"/>
          <w:sz w:val="17"/>
        </w:rPr>
        <w:t> </w:t>
      </w:r>
      <w:r>
        <w:rPr>
          <w:rFonts w:ascii="Calibri" w:hAnsi="Calibri"/>
          <w:color w:val="231F20"/>
          <w:w w:val="105"/>
          <w:sz w:val="17"/>
        </w:rPr>
        <w:t>ethnic</w:t>
      </w:r>
      <w:r>
        <w:rPr>
          <w:rFonts w:ascii="Calibri" w:hAnsi="Calibri"/>
          <w:color w:val="231F20"/>
          <w:spacing w:val="-18"/>
          <w:w w:val="105"/>
          <w:sz w:val="17"/>
        </w:rPr>
        <w:t> </w:t>
      </w:r>
      <w:r>
        <w:rPr>
          <w:rFonts w:ascii="Calibri" w:hAnsi="Calibri"/>
          <w:color w:val="231F20"/>
          <w:w w:val="105"/>
          <w:sz w:val="17"/>
        </w:rPr>
        <w:t>cleansing</w:t>
      </w:r>
      <w:r>
        <w:rPr>
          <w:rFonts w:ascii="Calibri" w:hAnsi="Calibri"/>
          <w:color w:val="231F20"/>
          <w:spacing w:val="-18"/>
          <w:w w:val="105"/>
          <w:sz w:val="17"/>
        </w:rPr>
        <w:t> </w:t>
      </w:r>
      <w:r>
        <w:rPr>
          <w:rFonts w:ascii="Calibri" w:hAnsi="Calibri"/>
          <w:color w:val="231F20"/>
          <w:w w:val="105"/>
          <w:sz w:val="17"/>
        </w:rPr>
        <w:t>and</w:t>
      </w:r>
      <w:r>
        <w:rPr>
          <w:rFonts w:ascii="Calibri" w:hAnsi="Calibri"/>
          <w:color w:val="231F20"/>
          <w:spacing w:val="-18"/>
          <w:w w:val="105"/>
          <w:sz w:val="17"/>
        </w:rPr>
        <w:t> </w:t>
      </w:r>
      <w:r>
        <w:rPr>
          <w:rFonts w:ascii="Calibri" w:hAnsi="Calibri"/>
          <w:color w:val="231F20"/>
          <w:w w:val="105"/>
          <w:sz w:val="17"/>
        </w:rPr>
        <w:t>crimes</w:t>
      </w:r>
      <w:r>
        <w:rPr>
          <w:rFonts w:ascii="Calibri" w:hAnsi="Calibri"/>
          <w:color w:val="231F20"/>
          <w:spacing w:val="-18"/>
          <w:w w:val="105"/>
          <w:sz w:val="17"/>
        </w:rPr>
        <w:t> </w:t>
      </w:r>
      <w:r>
        <w:rPr>
          <w:rFonts w:ascii="Calibri" w:hAnsi="Calibri"/>
          <w:color w:val="231F20"/>
          <w:w w:val="105"/>
          <w:sz w:val="17"/>
        </w:rPr>
        <w:t>against</w:t>
      </w:r>
      <w:r>
        <w:rPr>
          <w:rFonts w:ascii="Calibri" w:hAnsi="Calibri"/>
          <w:color w:val="231F20"/>
          <w:spacing w:val="-18"/>
          <w:w w:val="105"/>
          <w:sz w:val="17"/>
        </w:rPr>
        <w:t> </w:t>
      </w:r>
      <w:r>
        <w:rPr>
          <w:rFonts w:ascii="Calibri" w:hAnsi="Calibri"/>
          <w:color w:val="231F20"/>
          <w:w w:val="105"/>
          <w:sz w:val="17"/>
        </w:rPr>
        <w:t>humanity.</w:t>
      </w:r>
      <w:r>
        <w:rPr>
          <w:rFonts w:ascii="Calibri" w:hAnsi="Calibri"/>
          <w:color w:val="231F20"/>
          <w:spacing w:val="-21"/>
          <w:w w:val="105"/>
          <w:sz w:val="17"/>
        </w:rPr>
        <w:t> </w:t>
      </w:r>
      <w:r>
        <w:rPr>
          <w:rFonts w:ascii="Calibri" w:hAnsi="Calibri"/>
          <w:color w:val="231F20"/>
          <w:spacing w:val="-3"/>
          <w:w w:val="105"/>
          <w:sz w:val="17"/>
        </w:rPr>
        <w:t>We</w:t>
      </w:r>
      <w:r>
        <w:rPr>
          <w:rFonts w:ascii="Calibri" w:hAnsi="Calibri"/>
          <w:color w:val="231F20"/>
          <w:spacing w:val="-18"/>
          <w:w w:val="105"/>
          <w:sz w:val="17"/>
        </w:rPr>
        <w:t> </w:t>
      </w:r>
      <w:r>
        <w:rPr>
          <w:rFonts w:ascii="Calibri" w:hAnsi="Calibri"/>
          <w:color w:val="231F20"/>
          <w:w w:val="105"/>
          <w:sz w:val="17"/>
        </w:rPr>
        <w:t>stress</w:t>
      </w:r>
      <w:r>
        <w:rPr>
          <w:rFonts w:ascii="Calibri" w:hAnsi="Calibri"/>
          <w:color w:val="231F20"/>
          <w:spacing w:val="-18"/>
          <w:w w:val="105"/>
          <w:sz w:val="17"/>
        </w:rPr>
        <w:t> </w:t>
      </w:r>
      <w:r>
        <w:rPr>
          <w:rFonts w:ascii="Calibri" w:hAnsi="Calibri"/>
          <w:color w:val="231F20"/>
          <w:w w:val="105"/>
          <w:sz w:val="17"/>
        </w:rPr>
        <w:t>the</w:t>
      </w:r>
      <w:r>
        <w:rPr>
          <w:rFonts w:ascii="Calibri" w:hAnsi="Calibri"/>
          <w:color w:val="231F20"/>
          <w:spacing w:val="-18"/>
          <w:w w:val="105"/>
          <w:sz w:val="17"/>
        </w:rPr>
        <w:t> </w:t>
      </w:r>
      <w:r>
        <w:rPr>
          <w:rFonts w:ascii="Calibri" w:hAnsi="Calibri"/>
          <w:color w:val="231F20"/>
          <w:w w:val="105"/>
          <w:sz w:val="17"/>
        </w:rPr>
        <w:t>need</w:t>
      </w:r>
      <w:r>
        <w:rPr>
          <w:rFonts w:ascii="Calibri" w:hAnsi="Calibri"/>
          <w:color w:val="231F20"/>
          <w:spacing w:val="-18"/>
          <w:w w:val="105"/>
          <w:sz w:val="17"/>
        </w:rPr>
        <w:t> </w:t>
      </w:r>
      <w:r>
        <w:rPr>
          <w:rFonts w:ascii="Calibri" w:hAnsi="Calibri"/>
          <w:color w:val="231F20"/>
          <w:w w:val="105"/>
          <w:sz w:val="17"/>
        </w:rPr>
        <w:t>for</w:t>
      </w:r>
      <w:r>
        <w:rPr>
          <w:rFonts w:ascii="Calibri" w:hAnsi="Calibri"/>
          <w:color w:val="231F20"/>
          <w:spacing w:val="-18"/>
          <w:w w:val="105"/>
          <w:sz w:val="17"/>
        </w:rPr>
        <w:t> </w:t>
      </w:r>
      <w:r>
        <w:rPr>
          <w:rFonts w:ascii="Calibri" w:hAnsi="Calibri"/>
          <w:color w:val="231F20"/>
          <w:w w:val="105"/>
          <w:sz w:val="17"/>
        </w:rPr>
        <w:t>the</w:t>
      </w:r>
      <w:r>
        <w:rPr>
          <w:rFonts w:ascii="Calibri" w:hAnsi="Calibri"/>
          <w:color w:val="231F20"/>
          <w:spacing w:val="-18"/>
          <w:w w:val="105"/>
          <w:sz w:val="17"/>
        </w:rPr>
        <w:t> </w:t>
      </w:r>
      <w:r>
        <w:rPr>
          <w:rFonts w:ascii="Calibri" w:hAnsi="Calibri"/>
          <w:color w:val="231F20"/>
          <w:w w:val="105"/>
          <w:sz w:val="17"/>
        </w:rPr>
        <w:t>General Assembly to continue consideration of the responsibility to protect populations from genocide, war</w:t>
      </w:r>
      <w:r>
        <w:rPr>
          <w:rFonts w:ascii="Calibri" w:hAnsi="Calibri"/>
          <w:color w:val="231F20"/>
          <w:spacing w:val="-15"/>
          <w:w w:val="105"/>
          <w:sz w:val="17"/>
        </w:rPr>
        <w:t> </w:t>
      </w:r>
      <w:r>
        <w:rPr>
          <w:rFonts w:ascii="Calibri" w:hAnsi="Calibri"/>
          <w:color w:val="231F20"/>
          <w:w w:val="105"/>
          <w:sz w:val="17"/>
        </w:rPr>
        <w:t>crimes,</w:t>
      </w:r>
      <w:r>
        <w:rPr>
          <w:rFonts w:ascii="Calibri" w:hAnsi="Calibri"/>
          <w:color w:val="231F20"/>
          <w:spacing w:val="-15"/>
          <w:w w:val="105"/>
          <w:sz w:val="17"/>
        </w:rPr>
        <w:t> </w:t>
      </w:r>
      <w:r>
        <w:rPr>
          <w:rFonts w:ascii="Calibri" w:hAnsi="Calibri"/>
          <w:color w:val="231F20"/>
          <w:w w:val="105"/>
          <w:sz w:val="17"/>
        </w:rPr>
        <w:t>ethnic</w:t>
      </w:r>
      <w:r>
        <w:rPr>
          <w:rFonts w:ascii="Calibri" w:hAnsi="Calibri"/>
          <w:color w:val="231F20"/>
          <w:spacing w:val="-15"/>
          <w:w w:val="105"/>
          <w:sz w:val="17"/>
        </w:rPr>
        <w:t> </w:t>
      </w:r>
      <w:r>
        <w:rPr>
          <w:rFonts w:ascii="Calibri" w:hAnsi="Calibri"/>
          <w:color w:val="231F20"/>
          <w:w w:val="105"/>
          <w:sz w:val="17"/>
        </w:rPr>
        <w:t>cleansing</w:t>
      </w:r>
      <w:r>
        <w:rPr>
          <w:rFonts w:ascii="Calibri" w:hAnsi="Calibri"/>
          <w:color w:val="231F20"/>
          <w:spacing w:val="-15"/>
          <w:w w:val="105"/>
          <w:sz w:val="17"/>
        </w:rPr>
        <w:t> </w:t>
      </w:r>
      <w:r>
        <w:rPr>
          <w:rFonts w:ascii="Calibri" w:hAnsi="Calibri"/>
          <w:color w:val="231F20"/>
          <w:w w:val="105"/>
          <w:sz w:val="17"/>
        </w:rPr>
        <w:t>and</w:t>
      </w:r>
      <w:r>
        <w:rPr>
          <w:rFonts w:ascii="Calibri" w:hAnsi="Calibri"/>
          <w:color w:val="231F20"/>
          <w:spacing w:val="-15"/>
          <w:w w:val="105"/>
          <w:sz w:val="17"/>
        </w:rPr>
        <w:t> </w:t>
      </w:r>
      <w:r>
        <w:rPr>
          <w:rFonts w:ascii="Calibri" w:hAnsi="Calibri"/>
          <w:color w:val="231F20"/>
          <w:w w:val="105"/>
          <w:sz w:val="17"/>
        </w:rPr>
        <w:t>crimes</w:t>
      </w:r>
      <w:r>
        <w:rPr>
          <w:rFonts w:ascii="Calibri" w:hAnsi="Calibri"/>
          <w:color w:val="231F20"/>
          <w:spacing w:val="-15"/>
          <w:w w:val="105"/>
          <w:sz w:val="17"/>
        </w:rPr>
        <w:t> </w:t>
      </w:r>
      <w:r>
        <w:rPr>
          <w:rFonts w:ascii="Calibri" w:hAnsi="Calibri"/>
          <w:color w:val="231F20"/>
          <w:w w:val="105"/>
          <w:sz w:val="17"/>
        </w:rPr>
        <w:t>against</w:t>
      </w:r>
      <w:r>
        <w:rPr>
          <w:rFonts w:ascii="Calibri" w:hAnsi="Calibri"/>
          <w:color w:val="231F20"/>
          <w:spacing w:val="-15"/>
          <w:w w:val="105"/>
          <w:sz w:val="17"/>
        </w:rPr>
        <w:t> </w:t>
      </w:r>
      <w:r>
        <w:rPr>
          <w:rFonts w:ascii="Calibri" w:hAnsi="Calibri"/>
          <w:color w:val="231F20"/>
          <w:w w:val="105"/>
          <w:sz w:val="17"/>
        </w:rPr>
        <w:t>humanity</w:t>
      </w:r>
      <w:r>
        <w:rPr>
          <w:rFonts w:ascii="Calibri" w:hAnsi="Calibri"/>
          <w:color w:val="231F20"/>
          <w:spacing w:val="-15"/>
          <w:w w:val="105"/>
          <w:sz w:val="17"/>
        </w:rPr>
        <w:t> </w:t>
      </w:r>
      <w:r>
        <w:rPr>
          <w:rFonts w:ascii="Calibri" w:hAnsi="Calibri"/>
          <w:color w:val="231F20"/>
          <w:w w:val="105"/>
          <w:sz w:val="17"/>
        </w:rPr>
        <w:t>and</w:t>
      </w:r>
      <w:r>
        <w:rPr>
          <w:rFonts w:ascii="Calibri" w:hAnsi="Calibri"/>
          <w:color w:val="231F20"/>
          <w:spacing w:val="-15"/>
          <w:w w:val="105"/>
          <w:sz w:val="17"/>
        </w:rPr>
        <w:t> </w:t>
      </w:r>
      <w:r>
        <w:rPr>
          <w:rFonts w:ascii="Calibri" w:hAnsi="Calibri"/>
          <w:color w:val="231F20"/>
          <w:w w:val="105"/>
          <w:sz w:val="17"/>
        </w:rPr>
        <w:t>its</w:t>
      </w:r>
      <w:r>
        <w:rPr>
          <w:rFonts w:ascii="Calibri" w:hAnsi="Calibri"/>
          <w:color w:val="231F20"/>
          <w:spacing w:val="-15"/>
          <w:w w:val="105"/>
          <w:sz w:val="17"/>
        </w:rPr>
        <w:t> </w:t>
      </w:r>
      <w:r>
        <w:rPr>
          <w:rFonts w:ascii="Calibri" w:hAnsi="Calibri"/>
          <w:color w:val="231F20"/>
          <w:w w:val="105"/>
          <w:sz w:val="17"/>
        </w:rPr>
        <w:t>implications,</w:t>
      </w:r>
      <w:r>
        <w:rPr>
          <w:rFonts w:ascii="Calibri" w:hAnsi="Calibri"/>
          <w:color w:val="231F20"/>
          <w:spacing w:val="-15"/>
          <w:w w:val="105"/>
          <w:sz w:val="17"/>
        </w:rPr>
        <w:t> </w:t>
      </w:r>
      <w:r>
        <w:rPr>
          <w:rFonts w:ascii="Calibri" w:hAnsi="Calibri"/>
          <w:color w:val="231F20"/>
          <w:w w:val="105"/>
          <w:sz w:val="17"/>
        </w:rPr>
        <w:t>bearing</w:t>
      </w:r>
      <w:r>
        <w:rPr>
          <w:rFonts w:ascii="Calibri" w:hAnsi="Calibri"/>
          <w:color w:val="231F20"/>
          <w:spacing w:val="-15"/>
          <w:w w:val="105"/>
          <w:sz w:val="17"/>
        </w:rPr>
        <w:t> </w:t>
      </w:r>
      <w:r>
        <w:rPr>
          <w:rFonts w:ascii="Calibri" w:hAnsi="Calibri"/>
          <w:color w:val="231F20"/>
          <w:w w:val="105"/>
          <w:sz w:val="17"/>
        </w:rPr>
        <w:t>in</w:t>
      </w:r>
      <w:r>
        <w:rPr>
          <w:rFonts w:ascii="Calibri" w:hAnsi="Calibri"/>
          <w:color w:val="231F20"/>
          <w:spacing w:val="-15"/>
          <w:w w:val="105"/>
          <w:sz w:val="17"/>
        </w:rPr>
        <w:t> </w:t>
      </w:r>
      <w:r>
        <w:rPr>
          <w:rFonts w:ascii="Calibri" w:hAnsi="Calibri"/>
          <w:color w:val="231F20"/>
          <w:w w:val="105"/>
          <w:sz w:val="17"/>
        </w:rPr>
        <w:t>mind</w:t>
      </w:r>
      <w:r>
        <w:rPr>
          <w:rFonts w:ascii="Calibri" w:hAnsi="Calibri"/>
          <w:color w:val="231F20"/>
          <w:spacing w:val="-15"/>
          <w:w w:val="105"/>
          <w:sz w:val="17"/>
        </w:rPr>
        <w:t> </w:t>
      </w:r>
      <w:r>
        <w:rPr>
          <w:rFonts w:ascii="Calibri" w:hAnsi="Calibri"/>
          <w:color w:val="231F20"/>
          <w:w w:val="105"/>
          <w:sz w:val="17"/>
        </w:rPr>
        <w:t>the principles</w:t>
      </w:r>
      <w:r>
        <w:rPr>
          <w:rFonts w:ascii="Calibri" w:hAnsi="Calibri"/>
          <w:color w:val="231F20"/>
          <w:spacing w:val="-9"/>
          <w:w w:val="105"/>
          <w:sz w:val="17"/>
        </w:rPr>
        <w:t> </w:t>
      </w:r>
      <w:r>
        <w:rPr>
          <w:rFonts w:ascii="Calibri" w:hAnsi="Calibri"/>
          <w:color w:val="231F20"/>
          <w:w w:val="105"/>
          <w:sz w:val="17"/>
        </w:rPr>
        <w:t>of</w:t>
      </w:r>
      <w:r>
        <w:rPr>
          <w:rFonts w:ascii="Calibri" w:hAnsi="Calibri"/>
          <w:color w:val="231F20"/>
          <w:spacing w:val="-9"/>
          <w:w w:val="105"/>
          <w:sz w:val="17"/>
        </w:rPr>
        <w:t> </w:t>
      </w:r>
      <w:r>
        <w:rPr>
          <w:rFonts w:ascii="Calibri" w:hAnsi="Calibri"/>
          <w:color w:val="231F20"/>
          <w:w w:val="105"/>
          <w:sz w:val="17"/>
        </w:rPr>
        <w:t>the</w:t>
      </w:r>
      <w:r>
        <w:rPr>
          <w:rFonts w:ascii="Calibri" w:hAnsi="Calibri"/>
          <w:color w:val="231F20"/>
          <w:spacing w:val="-9"/>
          <w:w w:val="105"/>
          <w:sz w:val="17"/>
        </w:rPr>
        <w:t> </w:t>
      </w:r>
      <w:r>
        <w:rPr>
          <w:rFonts w:ascii="Calibri" w:hAnsi="Calibri"/>
          <w:color w:val="231F20"/>
          <w:w w:val="105"/>
          <w:sz w:val="17"/>
        </w:rPr>
        <w:t>Charter</w:t>
      </w:r>
      <w:r>
        <w:rPr>
          <w:rFonts w:ascii="Calibri" w:hAnsi="Calibri"/>
          <w:color w:val="231F20"/>
          <w:spacing w:val="-9"/>
          <w:w w:val="105"/>
          <w:sz w:val="17"/>
        </w:rPr>
        <w:t> </w:t>
      </w:r>
      <w:r>
        <w:rPr>
          <w:rFonts w:ascii="Calibri" w:hAnsi="Calibri"/>
          <w:color w:val="231F20"/>
          <w:w w:val="105"/>
          <w:sz w:val="17"/>
        </w:rPr>
        <w:t>and</w:t>
      </w:r>
      <w:r>
        <w:rPr>
          <w:rFonts w:ascii="Calibri" w:hAnsi="Calibri"/>
          <w:color w:val="231F20"/>
          <w:spacing w:val="-9"/>
          <w:w w:val="105"/>
          <w:sz w:val="17"/>
        </w:rPr>
        <w:t> </w:t>
      </w:r>
      <w:r>
        <w:rPr>
          <w:rFonts w:ascii="Calibri" w:hAnsi="Calibri"/>
          <w:color w:val="231F20"/>
          <w:w w:val="105"/>
          <w:sz w:val="17"/>
        </w:rPr>
        <w:t>international</w:t>
      </w:r>
      <w:r>
        <w:rPr>
          <w:rFonts w:ascii="Calibri" w:hAnsi="Calibri"/>
          <w:color w:val="231F20"/>
          <w:spacing w:val="-9"/>
          <w:w w:val="105"/>
          <w:sz w:val="17"/>
        </w:rPr>
        <w:t> </w:t>
      </w:r>
      <w:r>
        <w:rPr>
          <w:rFonts w:ascii="Calibri" w:hAnsi="Calibri"/>
          <w:color w:val="231F20"/>
          <w:w w:val="105"/>
          <w:sz w:val="17"/>
        </w:rPr>
        <w:t>law.</w:t>
      </w:r>
      <w:r>
        <w:rPr>
          <w:rFonts w:ascii="Calibri" w:hAnsi="Calibri"/>
          <w:color w:val="231F20"/>
          <w:spacing w:val="-13"/>
          <w:w w:val="105"/>
          <w:sz w:val="17"/>
        </w:rPr>
        <w:t> </w:t>
      </w:r>
      <w:r>
        <w:rPr>
          <w:rFonts w:ascii="Calibri" w:hAnsi="Calibri"/>
          <w:color w:val="231F20"/>
          <w:spacing w:val="-3"/>
          <w:w w:val="105"/>
          <w:sz w:val="17"/>
        </w:rPr>
        <w:t>We</w:t>
      </w:r>
      <w:r>
        <w:rPr>
          <w:rFonts w:ascii="Calibri" w:hAnsi="Calibri"/>
          <w:color w:val="231F20"/>
          <w:spacing w:val="-9"/>
          <w:w w:val="105"/>
          <w:sz w:val="17"/>
        </w:rPr>
        <w:t> </w:t>
      </w:r>
      <w:r>
        <w:rPr>
          <w:rFonts w:ascii="Calibri" w:hAnsi="Calibri"/>
          <w:color w:val="231F20"/>
          <w:w w:val="105"/>
          <w:sz w:val="17"/>
        </w:rPr>
        <w:t>also</w:t>
      </w:r>
      <w:r>
        <w:rPr>
          <w:rFonts w:ascii="Calibri" w:hAnsi="Calibri"/>
          <w:color w:val="231F20"/>
          <w:spacing w:val="-9"/>
          <w:w w:val="105"/>
          <w:sz w:val="17"/>
        </w:rPr>
        <w:t> </w:t>
      </w:r>
      <w:r>
        <w:rPr>
          <w:rFonts w:ascii="Calibri" w:hAnsi="Calibri"/>
          <w:color w:val="231F20"/>
          <w:w w:val="105"/>
          <w:sz w:val="17"/>
        </w:rPr>
        <w:t>intend</w:t>
      </w:r>
      <w:r>
        <w:rPr>
          <w:rFonts w:ascii="Calibri" w:hAnsi="Calibri"/>
          <w:color w:val="231F20"/>
          <w:spacing w:val="-9"/>
          <w:w w:val="105"/>
          <w:sz w:val="17"/>
        </w:rPr>
        <w:t> </w:t>
      </w:r>
      <w:r>
        <w:rPr>
          <w:rFonts w:ascii="Calibri" w:hAnsi="Calibri"/>
          <w:color w:val="231F20"/>
          <w:w w:val="105"/>
          <w:sz w:val="17"/>
        </w:rPr>
        <w:t>to</w:t>
      </w:r>
      <w:r>
        <w:rPr>
          <w:rFonts w:ascii="Calibri" w:hAnsi="Calibri"/>
          <w:color w:val="231F20"/>
          <w:spacing w:val="-9"/>
          <w:w w:val="105"/>
          <w:sz w:val="17"/>
        </w:rPr>
        <w:t> </w:t>
      </w:r>
      <w:r>
        <w:rPr>
          <w:rFonts w:ascii="Calibri" w:hAnsi="Calibri"/>
          <w:color w:val="231F20"/>
          <w:w w:val="105"/>
          <w:sz w:val="17"/>
        </w:rPr>
        <w:t>commit</w:t>
      </w:r>
      <w:r>
        <w:rPr>
          <w:rFonts w:ascii="Calibri" w:hAnsi="Calibri"/>
          <w:color w:val="231F20"/>
          <w:spacing w:val="-9"/>
          <w:w w:val="105"/>
          <w:sz w:val="17"/>
        </w:rPr>
        <w:t> </w:t>
      </w:r>
      <w:r>
        <w:rPr>
          <w:rFonts w:ascii="Calibri" w:hAnsi="Calibri"/>
          <w:color w:val="231F20"/>
          <w:w w:val="105"/>
          <w:sz w:val="17"/>
        </w:rPr>
        <w:t>ourselves,</w:t>
      </w:r>
      <w:r>
        <w:rPr>
          <w:rFonts w:ascii="Calibri" w:hAnsi="Calibri"/>
          <w:color w:val="231F20"/>
          <w:spacing w:val="-9"/>
          <w:w w:val="105"/>
          <w:sz w:val="17"/>
        </w:rPr>
        <w:t> </w:t>
      </w:r>
      <w:r>
        <w:rPr>
          <w:rFonts w:ascii="Calibri" w:hAnsi="Calibri"/>
          <w:color w:val="231F20"/>
          <w:w w:val="105"/>
          <w:sz w:val="17"/>
        </w:rPr>
        <w:t>as</w:t>
      </w:r>
      <w:r>
        <w:rPr>
          <w:rFonts w:ascii="Calibri" w:hAnsi="Calibri"/>
          <w:color w:val="231F20"/>
          <w:spacing w:val="-9"/>
          <w:w w:val="105"/>
          <w:sz w:val="17"/>
        </w:rPr>
        <w:t> </w:t>
      </w:r>
      <w:r>
        <w:rPr>
          <w:rFonts w:ascii="Calibri" w:hAnsi="Calibri"/>
          <w:color w:val="231F20"/>
          <w:w w:val="105"/>
          <w:sz w:val="17"/>
        </w:rPr>
        <w:t>necessary and</w:t>
      </w:r>
      <w:r>
        <w:rPr>
          <w:rFonts w:ascii="Calibri" w:hAnsi="Calibri"/>
          <w:color w:val="231F20"/>
          <w:spacing w:val="-8"/>
          <w:w w:val="105"/>
          <w:sz w:val="17"/>
        </w:rPr>
        <w:t> </w:t>
      </w:r>
      <w:r>
        <w:rPr>
          <w:rFonts w:ascii="Calibri" w:hAnsi="Calibri"/>
          <w:color w:val="231F20"/>
          <w:w w:val="105"/>
          <w:sz w:val="17"/>
        </w:rPr>
        <w:t>appropriate,</w:t>
      </w:r>
      <w:r>
        <w:rPr>
          <w:rFonts w:ascii="Calibri" w:hAnsi="Calibri"/>
          <w:color w:val="231F20"/>
          <w:spacing w:val="-8"/>
          <w:w w:val="105"/>
          <w:sz w:val="17"/>
        </w:rPr>
        <w:t> </w:t>
      </w:r>
      <w:r>
        <w:rPr>
          <w:rFonts w:ascii="Calibri" w:hAnsi="Calibri"/>
          <w:color w:val="231F20"/>
          <w:w w:val="105"/>
          <w:sz w:val="17"/>
        </w:rPr>
        <w:t>to</w:t>
      </w:r>
      <w:r>
        <w:rPr>
          <w:rFonts w:ascii="Calibri" w:hAnsi="Calibri"/>
          <w:color w:val="231F20"/>
          <w:spacing w:val="-8"/>
          <w:w w:val="105"/>
          <w:sz w:val="17"/>
        </w:rPr>
        <w:t> </w:t>
      </w:r>
      <w:r>
        <w:rPr>
          <w:rFonts w:ascii="Calibri" w:hAnsi="Calibri"/>
          <w:color w:val="231F20"/>
          <w:w w:val="105"/>
          <w:sz w:val="17"/>
        </w:rPr>
        <w:t>helping</w:t>
      </w:r>
      <w:r>
        <w:rPr>
          <w:rFonts w:ascii="Calibri" w:hAnsi="Calibri"/>
          <w:color w:val="231F20"/>
          <w:spacing w:val="-8"/>
          <w:w w:val="105"/>
          <w:sz w:val="17"/>
        </w:rPr>
        <w:t> </w:t>
      </w:r>
      <w:r>
        <w:rPr>
          <w:rFonts w:ascii="Calibri" w:hAnsi="Calibri"/>
          <w:color w:val="231F20"/>
          <w:w w:val="105"/>
          <w:sz w:val="17"/>
        </w:rPr>
        <w:t>states</w:t>
      </w:r>
      <w:r>
        <w:rPr>
          <w:rFonts w:ascii="Calibri" w:hAnsi="Calibri"/>
          <w:color w:val="231F20"/>
          <w:spacing w:val="-8"/>
          <w:w w:val="105"/>
          <w:sz w:val="17"/>
        </w:rPr>
        <w:t> </w:t>
      </w:r>
      <w:r>
        <w:rPr>
          <w:rFonts w:ascii="Calibri" w:hAnsi="Calibri"/>
          <w:color w:val="231F20"/>
          <w:w w:val="105"/>
          <w:sz w:val="17"/>
        </w:rPr>
        <w:t>build</w:t>
      </w:r>
      <w:r>
        <w:rPr>
          <w:rFonts w:ascii="Calibri" w:hAnsi="Calibri"/>
          <w:color w:val="231F20"/>
          <w:spacing w:val="-8"/>
          <w:w w:val="105"/>
          <w:sz w:val="17"/>
        </w:rPr>
        <w:t> </w:t>
      </w:r>
      <w:r>
        <w:rPr>
          <w:rFonts w:ascii="Calibri" w:hAnsi="Calibri"/>
          <w:color w:val="231F20"/>
          <w:w w:val="105"/>
          <w:sz w:val="17"/>
        </w:rPr>
        <w:t>capacity</w:t>
      </w:r>
      <w:r>
        <w:rPr>
          <w:rFonts w:ascii="Calibri" w:hAnsi="Calibri"/>
          <w:color w:val="231F20"/>
          <w:spacing w:val="-8"/>
          <w:w w:val="105"/>
          <w:sz w:val="17"/>
        </w:rPr>
        <w:t> </w:t>
      </w:r>
      <w:r>
        <w:rPr>
          <w:rFonts w:ascii="Calibri" w:hAnsi="Calibri"/>
          <w:color w:val="231F20"/>
          <w:w w:val="105"/>
          <w:sz w:val="17"/>
        </w:rPr>
        <w:t>to</w:t>
      </w:r>
      <w:r>
        <w:rPr>
          <w:rFonts w:ascii="Calibri" w:hAnsi="Calibri"/>
          <w:color w:val="231F20"/>
          <w:spacing w:val="-8"/>
          <w:w w:val="105"/>
          <w:sz w:val="17"/>
        </w:rPr>
        <w:t> </w:t>
      </w:r>
      <w:r>
        <w:rPr>
          <w:rFonts w:ascii="Calibri" w:hAnsi="Calibri"/>
          <w:color w:val="231F20"/>
          <w:w w:val="105"/>
          <w:sz w:val="17"/>
        </w:rPr>
        <w:t>protect</w:t>
      </w:r>
      <w:r>
        <w:rPr>
          <w:rFonts w:ascii="Calibri" w:hAnsi="Calibri"/>
          <w:color w:val="231F20"/>
          <w:spacing w:val="-8"/>
          <w:w w:val="105"/>
          <w:sz w:val="17"/>
        </w:rPr>
        <w:t> </w:t>
      </w:r>
      <w:r>
        <w:rPr>
          <w:rFonts w:ascii="Calibri" w:hAnsi="Calibri"/>
          <w:color w:val="231F20"/>
          <w:w w:val="105"/>
          <w:sz w:val="17"/>
        </w:rPr>
        <w:t>their</w:t>
      </w:r>
      <w:r>
        <w:rPr>
          <w:rFonts w:ascii="Calibri" w:hAnsi="Calibri"/>
          <w:color w:val="231F20"/>
          <w:spacing w:val="-8"/>
          <w:w w:val="105"/>
          <w:sz w:val="17"/>
        </w:rPr>
        <w:t> </w:t>
      </w:r>
      <w:r>
        <w:rPr>
          <w:rFonts w:ascii="Calibri" w:hAnsi="Calibri"/>
          <w:color w:val="231F20"/>
          <w:w w:val="105"/>
          <w:sz w:val="17"/>
        </w:rPr>
        <w:t>populations</w:t>
      </w:r>
      <w:r>
        <w:rPr>
          <w:rFonts w:ascii="Calibri" w:hAnsi="Calibri"/>
          <w:color w:val="231F20"/>
          <w:spacing w:val="-8"/>
          <w:w w:val="105"/>
          <w:sz w:val="17"/>
        </w:rPr>
        <w:t> </w:t>
      </w:r>
      <w:r>
        <w:rPr>
          <w:rFonts w:ascii="Calibri" w:hAnsi="Calibri"/>
          <w:color w:val="231F20"/>
          <w:w w:val="105"/>
          <w:sz w:val="17"/>
        </w:rPr>
        <w:t>from</w:t>
      </w:r>
      <w:r>
        <w:rPr>
          <w:rFonts w:ascii="Calibri" w:hAnsi="Calibri"/>
          <w:color w:val="231F20"/>
          <w:spacing w:val="-8"/>
          <w:w w:val="105"/>
          <w:sz w:val="17"/>
        </w:rPr>
        <w:t> </w:t>
      </w:r>
      <w:r>
        <w:rPr>
          <w:rFonts w:ascii="Calibri" w:hAnsi="Calibri"/>
          <w:color w:val="231F20"/>
          <w:w w:val="105"/>
          <w:sz w:val="17"/>
        </w:rPr>
        <w:t>genocide,</w:t>
      </w:r>
      <w:r>
        <w:rPr>
          <w:rFonts w:ascii="Calibri" w:hAnsi="Calibri"/>
          <w:color w:val="231F20"/>
          <w:spacing w:val="-10"/>
          <w:w w:val="105"/>
          <w:sz w:val="17"/>
        </w:rPr>
        <w:t> </w:t>
      </w:r>
      <w:r>
        <w:rPr>
          <w:rFonts w:ascii="Calibri" w:hAnsi="Calibri"/>
          <w:color w:val="231F20"/>
          <w:w w:val="105"/>
          <w:sz w:val="17"/>
        </w:rPr>
        <w:t>war crimes,</w:t>
      </w:r>
      <w:r>
        <w:rPr>
          <w:rFonts w:ascii="Calibri" w:hAnsi="Calibri"/>
          <w:color w:val="231F20"/>
          <w:spacing w:val="-17"/>
          <w:w w:val="105"/>
          <w:sz w:val="17"/>
        </w:rPr>
        <w:t> </w:t>
      </w:r>
      <w:r>
        <w:rPr>
          <w:rFonts w:ascii="Calibri" w:hAnsi="Calibri"/>
          <w:color w:val="231F20"/>
          <w:w w:val="105"/>
          <w:sz w:val="17"/>
        </w:rPr>
        <w:t>ethnic</w:t>
      </w:r>
      <w:r>
        <w:rPr>
          <w:rFonts w:ascii="Calibri" w:hAnsi="Calibri"/>
          <w:color w:val="231F20"/>
          <w:spacing w:val="-17"/>
          <w:w w:val="105"/>
          <w:sz w:val="17"/>
        </w:rPr>
        <w:t> </w:t>
      </w:r>
      <w:r>
        <w:rPr>
          <w:rFonts w:ascii="Calibri" w:hAnsi="Calibri"/>
          <w:color w:val="231F20"/>
          <w:w w:val="105"/>
          <w:sz w:val="17"/>
        </w:rPr>
        <w:t>cleansing</w:t>
      </w:r>
      <w:r>
        <w:rPr>
          <w:rFonts w:ascii="Calibri" w:hAnsi="Calibri"/>
          <w:color w:val="231F20"/>
          <w:spacing w:val="-17"/>
          <w:w w:val="105"/>
          <w:sz w:val="17"/>
        </w:rPr>
        <w:t> </w:t>
      </w:r>
      <w:r>
        <w:rPr>
          <w:rFonts w:ascii="Calibri" w:hAnsi="Calibri"/>
          <w:color w:val="231F20"/>
          <w:w w:val="105"/>
          <w:sz w:val="17"/>
        </w:rPr>
        <w:t>and</w:t>
      </w:r>
      <w:r>
        <w:rPr>
          <w:rFonts w:ascii="Calibri" w:hAnsi="Calibri"/>
          <w:color w:val="231F20"/>
          <w:spacing w:val="-17"/>
          <w:w w:val="105"/>
          <w:sz w:val="17"/>
        </w:rPr>
        <w:t> </w:t>
      </w:r>
      <w:r>
        <w:rPr>
          <w:rFonts w:ascii="Calibri" w:hAnsi="Calibri"/>
          <w:color w:val="231F20"/>
          <w:w w:val="105"/>
          <w:sz w:val="17"/>
        </w:rPr>
        <w:t>crimes</w:t>
      </w:r>
      <w:r>
        <w:rPr>
          <w:rFonts w:ascii="Calibri" w:hAnsi="Calibri"/>
          <w:color w:val="231F20"/>
          <w:spacing w:val="-17"/>
          <w:w w:val="105"/>
          <w:sz w:val="17"/>
        </w:rPr>
        <w:t> </w:t>
      </w:r>
      <w:r>
        <w:rPr>
          <w:rFonts w:ascii="Calibri" w:hAnsi="Calibri"/>
          <w:color w:val="231F20"/>
          <w:w w:val="105"/>
          <w:sz w:val="17"/>
        </w:rPr>
        <w:t>against</w:t>
      </w:r>
      <w:r>
        <w:rPr>
          <w:rFonts w:ascii="Calibri" w:hAnsi="Calibri"/>
          <w:color w:val="231F20"/>
          <w:spacing w:val="-17"/>
          <w:w w:val="105"/>
          <w:sz w:val="17"/>
        </w:rPr>
        <w:t> </w:t>
      </w:r>
      <w:r>
        <w:rPr>
          <w:rFonts w:ascii="Calibri" w:hAnsi="Calibri"/>
          <w:color w:val="231F20"/>
          <w:w w:val="105"/>
          <w:sz w:val="17"/>
        </w:rPr>
        <w:t>humanity</w:t>
      </w:r>
      <w:r>
        <w:rPr>
          <w:rFonts w:ascii="Calibri" w:hAnsi="Calibri"/>
          <w:color w:val="231F20"/>
          <w:spacing w:val="-17"/>
          <w:w w:val="105"/>
          <w:sz w:val="17"/>
        </w:rPr>
        <w:t> </w:t>
      </w:r>
      <w:r>
        <w:rPr>
          <w:rFonts w:ascii="Calibri" w:hAnsi="Calibri"/>
          <w:color w:val="231F20"/>
          <w:w w:val="105"/>
          <w:sz w:val="17"/>
        </w:rPr>
        <w:t>and</w:t>
      </w:r>
      <w:r>
        <w:rPr>
          <w:rFonts w:ascii="Calibri" w:hAnsi="Calibri"/>
          <w:color w:val="231F20"/>
          <w:spacing w:val="-17"/>
          <w:w w:val="105"/>
          <w:sz w:val="17"/>
        </w:rPr>
        <w:t> </w:t>
      </w:r>
      <w:r>
        <w:rPr>
          <w:rFonts w:ascii="Calibri" w:hAnsi="Calibri"/>
          <w:color w:val="231F20"/>
          <w:w w:val="105"/>
          <w:sz w:val="17"/>
        </w:rPr>
        <w:t>to</w:t>
      </w:r>
      <w:r>
        <w:rPr>
          <w:rFonts w:ascii="Calibri" w:hAnsi="Calibri"/>
          <w:color w:val="231F20"/>
          <w:spacing w:val="-17"/>
          <w:w w:val="105"/>
          <w:sz w:val="17"/>
        </w:rPr>
        <w:t> </w:t>
      </w:r>
      <w:r>
        <w:rPr>
          <w:rFonts w:ascii="Calibri" w:hAnsi="Calibri"/>
          <w:color w:val="231F20"/>
          <w:w w:val="105"/>
          <w:sz w:val="17"/>
        </w:rPr>
        <w:t>assisting</w:t>
      </w:r>
      <w:r>
        <w:rPr>
          <w:rFonts w:ascii="Calibri" w:hAnsi="Calibri"/>
          <w:color w:val="231F20"/>
          <w:spacing w:val="-17"/>
          <w:w w:val="105"/>
          <w:sz w:val="17"/>
        </w:rPr>
        <w:t> </w:t>
      </w:r>
      <w:r>
        <w:rPr>
          <w:rFonts w:ascii="Calibri" w:hAnsi="Calibri"/>
          <w:color w:val="231F20"/>
          <w:w w:val="105"/>
          <w:sz w:val="17"/>
        </w:rPr>
        <w:t>those</w:t>
      </w:r>
      <w:r>
        <w:rPr>
          <w:rFonts w:ascii="Calibri" w:hAnsi="Calibri"/>
          <w:color w:val="231F20"/>
          <w:spacing w:val="-19"/>
          <w:w w:val="105"/>
          <w:sz w:val="17"/>
        </w:rPr>
        <w:t> </w:t>
      </w:r>
      <w:r>
        <w:rPr>
          <w:rFonts w:ascii="Calibri" w:hAnsi="Calibri"/>
          <w:color w:val="231F20"/>
          <w:w w:val="105"/>
          <w:sz w:val="17"/>
        </w:rPr>
        <w:t>which</w:t>
      </w:r>
      <w:r>
        <w:rPr>
          <w:rFonts w:ascii="Calibri" w:hAnsi="Calibri"/>
          <w:color w:val="231F20"/>
          <w:spacing w:val="-17"/>
          <w:w w:val="105"/>
          <w:sz w:val="17"/>
        </w:rPr>
        <w:t> </w:t>
      </w:r>
      <w:r>
        <w:rPr>
          <w:rFonts w:ascii="Calibri" w:hAnsi="Calibri"/>
          <w:color w:val="231F20"/>
          <w:w w:val="105"/>
          <w:sz w:val="17"/>
        </w:rPr>
        <w:t>are</w:t>
      </w:r>
      <w:r>
        <w:rPr>
          <w:rFonts w:ascii="Calibri" w:hAnsi="Calibri"/>
          <w:color w:val="231F20"/>
          <w:spacing w:val="-17"/>
          <w:w w:val="105"/>
          <w:sz w:val="17"/>
        </w:rPr>
        <w:t> </w:t>
      </w:r>
      <w:r>
        <w:rPr>
          <w:rFonts w:ascii="Calibri" w:hAnsi="Calibri"/>
          <w:color w:val="231F20"/>
          <w:w w:val="105"/>
          <w:sz w:val="17"/>
        </w:rPr>
        <w:t>under</w:t>
      </w:r>
      <w:r>
        <w:rPr>
          <w:rFonts w:ascii="Calibri" w:hAnsi="Calibri"/>
          <w:color w:val="231F20"/>
          <w:spacing w:val="-17"/>
          <w:w w:val="105"/>
          <w:sz w:val="17"/>
        </w:rPr>
        <w:t> </w:t>
      </w:r>
      <w:r>
        <w:rPr>
          <w:rFonts w:ascii="Calibri" w:hAnsi="Calibri"/>
          <w:color w:val="231F20"/>
          <w:w w:val="105"/>
          <w:sz w:val="17"/>
        </w:rPr>
        <w:t>stress before</w:t>
      </w:r>
      <w:r>
        <w:rPr>
          <w:rFonts w:ascii="Calibri" w:hAnsi="Calibri"/>
          <w:color w:val="231F20"/>
          <w:spacing w:val="-16"/>
          <w:w w:val="105"/>
          <w:sz w:val="17"/>
        </w:rPr>
        <w:t> </w:t>
      </w:r>
      <w:r>
        <w:rPr>
          <w:rFonts w:ascii="Calibri" w:hAnsi="Calibri"/>
          <w:color w:val="231F20"/>
          <w:w w:val="105"/>
          <w:sz w:val="17"/>
        </w:rPr>
        <w:t>crises</w:t>
      </w:r>
      <w:r>
        <w:rPr>
          <w:rFonts w:ascii="Calibri" w:hAnsi="Calibri"/>
          <w:color w:val="231F20"/>
          <w:spacing w:val="-16"/>
          <w:w w:val="105"/>
          <w:sz w:val="17"/>
        </w:rPr>
        <w:t> </w:t>
      </w:r>
      <w:r>
        <w:rPr>
          <w:rFonts w:ascii="Calibri" w:hAnsi="Calibri"/>
          <w:color w:val="231F20"/>
          <w:w w:val="105"/>
          <w:sz w:val="17"/>
        </w:rPr>
        <w:t>and</w:t>
      </w:r>
      <w:r>
        <w:rPr>
          <w:rFonts w:ascii="Calibri" w:hAnsi="Calibri"/>
          <w:color w:val="231F20"/>
          <w:spacing w:val="-16"/>
          <w:w w:val="105"/>
          <w:sz w:val="17"/>
        </w:rPr>
        <w:t> </w:t>
      </w:r>
      <w:r>
        <w:rPr>
          <w:rFonts w:ascii="Calibri" w:hAnsi="Calibri"/>
          <w:color w:val="231F20"/>
          <w:w w:val="105"/>
          <w:sz w:val="17"/>
        </w:rPr>
        <w:t>conflicts</w:t>
      </w:r>
      <w:r>
        <w:rPr>
          <w:rFonts w:ascii="Calibri" w:hAnsi="Calibri"/>
          <w:color w:val="231F20"/>
          <w:spacing w:val="-16"/>
          <w:w w:val="105"/>
          <w:sz w:val="17"/>
        </w:rPr>
        <w:t> </w:t>
      </w:r>
      <w:r>
        <w:rPr>
          <w:rFonts w:ascii="Calibri" w:hAnsi="Calibri"/>
          <w:color w:val="231F20"/>
          <w:w w:val="105"/>
          <w:sz w:val="17"/>
        </w:rPr>
        <w:t>break</w:t>
      </w:r>
      <w:r>
        <w:rPr>
          <w:rFonts w:ascii="Calibri" w:hAnsi="Calibri"/>
          <w:color w:val="231F20"/>
          <w:spacing w:val="-16"/>
          <w:w w:val="105"/>
          <w:sz w:val="17"/>
        </w:rPr>
        <w:t> </w:t>
      </w:r>
      <w:r>
        <w:rPr>
          <w:rFonts w:ascii="Calibri" w:hAnsi="Calibri"/>
          <w:color w:val="231F20"/>
          <w:spacing w:val="-4"/>
          <w:w w:val="105"/>
          <w:sz w:val="17"/>
        </w:rPr>
        <w:t>out”.</w:t>
      </w:r>
    </w:p>
    <w:p>
      <w:pPr>
        <w:spacing w:line="204" w:lineRule="exact" w:before="0"/>
        <w:ind w:left="103" w:right="114" w:firstLine="0"/>
        <w:jc w:val="both"/>
        <w:rPr>
          <w:rFonts w:ascii="Calibri" w:hAnsi="Calibri"/>
          <w:sz w:val="17"/>
        </w:rPr>
      </w:pPr>
      <w:r>
        <w:rPr>
          <w:rFonts w:ascii="Calibri" w:hAnsi="Calibri"/>
          <w:color w:val="231F20"/>
          <w:position w:val="6"/>
          <w:sz w:val="10"/>
        </w:rPr>
        <w:t>20 </w:t>
      </w:r>
      <w:r>
        <w:rPr>
          <w:rFonts w:ascii="Calibri" w:hAnsi="Calibri"/>
          <w:color w:val="231F20"/>
          <w:sz w:val="17"/>
        </w:rPr>
        <w:t>UN GAOR, Sixtieth Session, pp. 13–14. Sobre el tema véase también D. M. Mednicoff, “Humane wars? International law, Just War theory and contemporary armed humanitarian intervention”,  </w:t>
      </w:r>
      <w:r>
        <w:rPr>
          <w:rFonts w:ascii="Calibri" w:hAnsi="Calibri"/>
          <w:i/>
          <w:color w:val="231F20"/>
          <w:sz w:val="17"/>
        </w:rPr>
        <w:t>Law, Culture and the Humanities</w:t>
      </w:r>
      <w:r>
        <w:rPr>
          <w:rFonts w:ascii="Calibri" w:hAnsi="Calibri"/>
          <w:color w:val="231F20"/>
          <w:sz w:val="17"/>
        </w:rPr>
        <w:t>, no. 2, 2006, pp. 373–398, in part. p.</w:t>
      </w:r>
      <w:r>
        <w:rPr>
          <w:rFonts w:ascii="Calibri" w:hAnsi="Calibri"/>
          <w:color w:val="231F20"/>
          <w:spacing w:val="-9"/>
          <w:sz w:val="17"/>
        </w:rPr>
        <w:t> </w:t>
      </w:r>
      <w:r>
        <w:rPr>
          <w:rFonts w:ascii="Calibri" w:hAnsi="Calibri"/>
          <w:color w:val="231F20"/>
          <w:sz w:val="17"/>
        </w:rPr>
        <w:t>382.</w:t>
      </w:r>
    </w:p>
    <w:p>
      <w:pPr>
        <w:pStyle w:val="BodyText"/>
        <w:rPr>
          <w:rFonts w:ascii="Calibri"/>
          <w:sz w:val="20"/>
        </w:rPr>
      </w:pPr>
    </w:p>
    <w:p>
      <w:pPr>
        <w:pStyle w:val="BodyText"/>
        <w:spacing w:before="1"/>
        <w:rPr>
          <w:rFonts w:ascii="Calibri"/>
          <w:sz w:val="28"/>
        </w:rPr>
      </w:pPr>
    </w:p>
    <w:p>
      <w:pPr>
        <w:tabs>
          <w:tab w:pos="1331" w:val="left" w:leader="none"/>
        </w:tabs>
        <w:spacing w:before="69"/>
        <w:ind w:left="226" w:right="0" w:firstLine="0"/>
        <w:jc w:val="left"/>
        <w:rPr>
          <w:rFonts w:ascii="Calibri"/>
          <w:sz w:val="16"/>
        </w:rPr>
      </w:pPr>
      <w:r>
        <w:rPr/>
        <w:pict>
          <v:group style="position:absolute;margin-left:98.787804pt;margin-top:-3.308812pt;width:20.4pt;height:43pt;mso-position-horizontal-relative:page;mso-position-vertical-relative:paragraph;z-index:-167944" coordorigin="1976,-66" coordsize="408,860">
            <v:line style="position:absolute" from="2225,73" to="2225,789" stroked="true" strokeweight=".35pt" strokecolor="#231f20"/>
            <v:shape style="position:absolute;left:2193;top:-13;width:190;height:445" type="#_x0000_t75" stroked="false">
              <v:imagedata r:id="rId40" o:title=""/>
            </v:shape>
            <v:shape style="position:absolute;left:1976;top:-66;width:250;height:502" type="#_x0000_t75" stroked="false">
              <v:imagedata r:id="rId41" o:title=""/>
            </v:shape>
            <w10:wrap type="none"/>
          </v:group>
        </w:pict>
      </w:r>
      <w:r>
        <w:rPr>
          <w:rFonts w:ascii="Arial"/>
          <w:color w:val="414042"/>
          <w:w w:val="105"/>
          <w:position w:val="-4"/>
          <w:sz w:val="20"/>
        </w:rPr>
        <w:t>146</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182"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750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ASUNTOS</w:t>
      </w:r>
      <w:r>
        <w:rPr>
          <w:rFonts w:ascii="Lucida Sans Unicode" w:hAnsi="Lucida Sans Unicode"/>
          <w:color w:val="6D6E71"/>
          <w:spacing w:val="-30"/>
          <w:w w:val="95"/>
          <w:sz w:val="14"/>
        </w:rPr>
        <w:t> </w:t>
      </w:r>
      <w:r>
        <w:rPr>
          <w:rFonts w:ascii="Lucida Sans Unicode" w:hAnsi="Lucida Sans Unicode"/>
          <w:color w:val="6D6E71"/>
          <w:w w:val="95"/>
          <w:sz w:val="14"/>
        </w:rPr>
        <w:t>DE</w:t>
      </w:r>
      <w:r>
        <w:rPr>
          <w:rFonts w:ascii="Lucida Sans Unicode" w:hAnsi="Lucida Sans Unicode"/>
          <w:color w:val="6D6E71"/>
          <w:spacing w:val="-30"/>
          <w:w w:val="95"/>
          <w:sz w:val="14"/>
        </w:rPr>
        <w:t> </w:t>
      </w:r>
      <w:r>
        <w:rPr>
          <w:rFonts w:ascii="Lucida Sans Unicode" w:hAnsi="Lucida Sans Unicode"/>
          <w:color w:val="6D6E71"/>
          <w:w w:val="95"/>
          <w:sz w:val="14"/>
        </w:rPr>
        <w:t>FRONTERA.</w:t>
      </w:r>
      <w:r>
        <w:rPr>
          <w:rFonts w:ascii="Lucida Sans Unicode" w:hAnsi="Lucida Sans Unicode"/>
          <w:color w:val="6D6E71"/>
          <w:spacing w:val="-30"/>
          <w:w w:val="95"/>
          <w:sz w:val="14"/>
        </w:rPr>
        <w:t> </w:t>
      </w:r>
      <w:r>
        <w:rPr>
          <w:rFonts w:ascii="Lucida Sans Unicode" w:hAnsi="Lucida Sans Unicode"/>
          <w:color w:val="6D6E71"/>
          <w:w w:val="95"/>
          <w:sz w:val="14"/>
        </w:rPr>
        <w:t>SOBERANÍA</w:t>
      </w:r>
      <w:r>
        <w:rPr>
          <w:rFonts w:ascii="Lucida Sans Unicode" w:hAnsi="Lucida Sans Unicode"/>
          <w:color w:val="6D6E71"/>
          <w:spacing w:val="-30"/>
          <w:w w:val="95"/>
          <w:sz w:val="14"/>
        </w:rPr>
        <w:t> </w:t>
      </w:r>
      <w:r>
        <w:rPr>
          <w:rFonts w:ascii="Lucida Sans Unicode" w:hAnsi="Lucida Sans Unicode"/>
          <w:color w:val="6D6E71"/>
          <w:w w:val="95"/>
          <w:sz w:val="14"/>
        </w:rPr>
        <w:t>TERRITORIAL</w:t>
      </w:r>
      <w:r>
        <w:rPr>
          <w:rFonts w:ascii="Lucida Sans Unicode" w:hAnsi="Lucida Sans Unicode"/>
          <w:color w:val="6D6E71"/>
          <w:spacing w:val="-30"/>
          <w:w w:val="95"/>
          <w:sz w:val="14"/>
        </w:rPr>
        <w:t> </w:t>
      </w:r>
      <w:r>
        <w:rPr>
          <w:rFonts w:ascii="Lucida Sans Unicode" w:hAnsi="Lucida Sans Unicode"/>
          <w:color w:val="6D6E71"/>
          <w:w w:val="95"/>
          <w:sz w:val="14"/>
        </w:rPr>
        <w:t>Y</w:t>
      </w:r>
      <w:r>
        <w:rPr>
          <w:rFonts w:ascii="Lucida Sans Unicode" w:hAnsi="Lucida Sans Unicode"/>
          <w:color w:val="6D6E71"/>
          <w:spacing w:val="-30"/>
          <w:w w:val="95"/>
          <w:sz w:val="14"/>
        </w:rPr>
        <w:t> </w:t>
      </w:r>
      <w:r>
        <w:rPr>
          <w:rFonts w:ascii="Lucida Sans Unicode" w:hAnsi="Lucida Sans Unicode"/>
          <w:color w:val="6D6E71"/>
          <w:w w:val="95"/>
          <w:sz w:val="14"/>
        </w:rPr>
        <w:t>ORDEN</w:t>
      </w:r>
      <w:r>
        <w:rPr>
          <w:rFonts w:ascii="Lucida Sans Unicode" w:hAnsi="Lucida Sans Unicode"/>
          <w:color w:val="6D6E71"/>
          <w:spacing w:val="-30"/>
          <w:w w:val="95"/>
          <w:sz w:val="14"/>
        </w:rPr>
        <w:t> </w:t>
      </w:r>
      <w:r>
        <w:rPr>
          <w:rFonts w:ascii="Lucida Sans Unicode" w:hAnsi="Lucida Sans Unicode"/>
          <w:color w:val="6D6E71"/>
          <w:w w:val="95"/>
          <w:sz w:val="14"/>
        </w:rPr>
        <w:t>GLOBAL</w:t>
      </w:r>
      <w:r>
        <w:rPr>
          <w:rFonts w:ascii="Lucida Sans Unicode" w:hAnsi="Lucida Sans Unicode"/>
          <w:color w:val="6D6E71"/>
          <w:spacing w:val="-30"/>
          <w:w w:val="95"/>
          <w:sz w:val="14"/>
        </w:rPr>
        <w:t> </w:t>
      </w:r>
      <w:r>
        <w:rPr>
          <w:rFonts w:ascii="Lucida Sans Unicode" w:hAnsi="Lucida Sans Unicode"/>
          <w:color w:val="6D6E71"/>
          <w:w w:val="95"/>
          <w:sz w:val="14"/>
        </w:rPr>
        <w:t>EN</w:t>
      </w:r>
      <w:r>
        <w:rPr>
          <w:rFonts w:ascii="Lucida Sans Unicode" w:hAnsi="Lucida Sans Unicode"/>
          <w:color w:val="6D6E71"/>
          <w:spacing w:val="-30"/>
          <w:w w:val="95"/>
          <w:sz w:val="14"/>
        </w:rPr>
        <w:t> </w:t>
      </w:r>
      <w:r>
        <w:rPr>
          <w:rFonts w:ascii="Lucida Sans Unicode" w:hAnsi="Lucida Sans Unicode"/>
          <w:color w:val="6D6E71"/>
          <w:w w:val="95"/>
          <w:sz w:val="14"/>
        </w:rPr>
        <w:t>EL</w:t>
      </w:r>
      <w:r>
        <w:rPr>
          <w:rFonts w:ascii="Lucida Sans Unicode" w:hAnsi="Lucida Sans Unicode"/>
          <w:color w:val="6D6E71"/>
          <w:spacing w:val="-30"/>
          <w:w w:val="95"/>
          <w:sz w:val="14"/>
        </w:rPr>
        <w:t> </w:t>
      </w:r>
      <w:r>
        <w:rPr>
          <w:rFonts w:ascii="Lucida Sans Unicode" w:hAnsi="Lucida Sans Unicode"/>
          <w:color w:val="6D6E71"/>
          <w:w w:val="95"/>
          <w:sz w:val="14"/>
        </w:rPr>
        <w:t>DEBATE</w:t>
      </w:r>
    </w:p>
    <w:p>
      <w:pPr>
        <w:spacing w:line="198" w:lineRule="exact" w:before="0"/>
        <w:ind w:left="2963" w:right="-13" w:firstLine="0"/>
        <w:jc w:val="left"/>
        <w:rPr>
          <w:rFonts w:ascii="Lucida Sans Unicode" w:hAnsi="Lucida Sans Unicode"/>
          <w:sz w:val="14"/>
        </w:rPr>
      </w:pPr>
      <w:r>
        <w:rPr>
          <w:rFonts w:ascii="Lucida Sans Unicode" w:hAnsi="Lucida Sans Unicode"/>
          <w:color w:val="6D6E71"/>
          <w:w w:val="90"/>
          <w:sz w:val="14"/>
        </w:rPr>
        <w:t>SOBRE EL “NUEVO INTERVENCIONISMO</w:t>
      </w:r>
      <w:r>
        <w:rPr>
          <w:rFonts w:ascii="Lucida Sans Unicode" w:hAnsi="Lucida Sans Unicode"/>
          <w:color w:val="6D6E71"/>
          <w:spacing w:val="-25"/>
          <w:w w:val="90"/>
          <w:sz w:val="14"/>
        </w:rPr>
        <w:t> </w:t>
      </w:r>
      <w:r>
        <w:rPr>
          <w:rFonts w:ascii="Lucida Sans Unicode" w:hAnsi="Lucida Sans Unicode"/>
          <w:color w:val="6D6E71"/>
          <w:w w:val="90"/>
          <w:sz w:val="14"/>
        </w:rPr>
        <w:t>HUMANITARIO”</w:t>
      </w:r>
    </w:p>
    <w:p>
      <w:pPr>
        <w:spacing w:before="59"/>
        <w:ind w:left="338" w:right="0" w:firstLine="0"/>
        <w:jc w:val="left"/>
        <w:rPr>
          <w:rFonts w:ascii="Arial"/>
          <w:sz w:val="20"/>
        </w:rPr>
      </w:pPr>
      <w:r>
        <w:rPr/>
        <w:br w:type="column"/>
      </w:r>
      <w:r>
        <w:rPr>
          <w:rFonts w:ascii="Arial"/>
          <w:color w:val="414042"/>
          <w:sz w:val="20"/>
        </w:rPr>
        <w:t>147</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1"/>
        <w:rPr>
          <w:rFonts w:ascii="Arial"/>
          <w:sz w:val="16"/>
        </w:rPr>
      </w:pPr>
    </w:p>
    <w:p>
      <w:pPr>
        <w:spacing w:line="220" w:lineRule="exact" w:before="63"/>
        <w:ind w:left="1534" w:right="101" w:firstLine="0"/>
        <w:jc w:val="both"/>
        <w:rPr>
          <w:sz w:val="19"/>
        </w:rPr>
      </w:pPr>
      <w:r>
        <w:rPr>
          <w:color w:val="231F20"/>
          <w:sz w:val="19"/>
        </w:rPr>
        <w:t>algunos derechos básicos o fundamentales que son considerados necesarios</w:t>
      </w:r>
      <w:r>
        <w:rPr>
          <w:color w:val="231F20"/>
          <w:spacing w:val="-23"/>
          <w:sz w:val="19"/>
        </w:rPr>
        <w:t> </w:t>
      </w:r>
      <w:r>
        <w:rPr>
          <w:color w:val="231F20"/>
          <w:sz w:val="19"/>
        </w:rPr>
        <w:t>para</w:t>
      </w:r>
      <w:r>
        <w:rPr>
          <w:color w:val="231F20"/>
          <w:spacing w:val="-23"/>
          <w:sz w:val="19"/>
        </w:rPr>
        <w:t> </w:t>
      </w:r>
      <w:r>
        <w:rPr>
          <w:color w:val="231F20"/>
          <w:sz w:val="19"/>
        </w:rPr>
        <w:t>su</w:t>
      </w:r>
      <w:r>
        <w:rPr>
          <w:color w:val="231F20"/>
          <w:spacing w:val="-23"/>
          <w:sz w:val="19"/>
        </w:rPr>
        <w:t> </w:t>
      </w:r>
      <w:r>
        <w:rPr>
          <w:color w:val="231F20"/>
          <w:sz w:val="19"/>
        </w:rPr>
        <w:t>existencia</w:t>
      </w:r>
      <w:r>
        <w:rPr>
          <w:color w:val="231F20"/>
          <w:spacing w:val="-23"/>
          <w:sz w:val="19"/>
        </w:rPr>
        <w:t> </w:t>
      </w:r>
      <w:r>
        <w:rPr>
          <w:color w:val="231F20"/>
          <w:sz w:val="19"/>
        </w:rPr>
        <w:t>y</w:t>
      </w:r>
      <w:r>
        <w:rPr>
          <w:color w:val="231F20"/>
          <w:spacing w:val="-23"/>
          <w:sz w:val="19"/>
        </w:rPr>
        <w:t> </w:t>
      </w:r>
      <w:r>
        <w:rPr>
          <w:color w:val="231F20"/>
          <w:sz w:val="19"/>
        </w:rPr>
        <w:t>para</w:t>
      </w:r>
      <w:r>
        <w:rPr>
          <w:color w:val="231F20"/>
          <w:spacing w:val="-23"/>
          <w:sz w:val="19"/>
        </w:rPr>
        <w:t> </w:t>
      </w:r>
      <w:r>
        <w:rPr>
          <w:color w:val="231F20"/>
          <w:sz w:val="19"/>
        </w:rPr>
        <w:t>mantener</w:t>
      </w:r>
      <w:r>
        <w:rPr>
          <w:color w:val="231F20"/>
          <w:spacing w:val="-23"/>
          <w:sz w:val="19"/>
        </w:rPr>
        <w:t> </w:t>
      </w:r>
      <w:r>
        <w:rPr>
          <w:color w:val="231F20"/>
          <w:sz w:val="19"/>
        </w:rPr>
        <w:t>relaciones</w:t>
      </w:r>
      <w:r>
        <w:rPr>
          <w:color w:val="231F20"/>
          <w:spacing w:val="-23"/>
          <w:sz w:val="19"/>
        </w:rPr>
        <w:t> </w:t>
      </w:r>
      <w:r>
        <w:rPr>
          <w:color w:val="231F20"/>
          <w:sz w:val="19"/>
        </w:rPr>
        <w:t>amistosas entre las naciones. Se sostiene además que estos derechos son esenciales</w:t>
      </w:r>
      <w:r>
        <w:rPr>
          <w:color w:val="231F20"/>
          <w:spacing w:val="-11"/>
          <w:sz w:val="19"/>
        </w:rPr>
        <w:t> </w:t>
      </w:r>
      <w:r>
        <w:rPr>
          <w:color w:val="231F20"/>
          <w:sz w:val="19"/>
        </w:rPr>
        <w:t>y</w:t>
      </w:r>
      <w:r>
        <w:rPr>
          <w:color w:val="231F20"/>
          <w:spacing w:val="-11"/>
          <w:sz w:val="19"/>
        </w:rPr>
        <w:t> </w:t>
      </w:r>
      <w:r>
        <w:rPr>
          <w:color w:val="231F20"/>
          <w:sz w:val="19"/>
        </w:rPr>
        <w:t>universales</w:t>
      </w:r>
      <w:r>
        <w:rPr>
          <w:color w:val="231F20"/>
          <w:spacing w:val="-11"/>
          <w:sz w:val="19"/>
        </w:rPr>
        <w:t> </w:t>
      </w:r>
      <w:r>
        <w:rPr>
          <w:color w:val="231F20"/>
          <w:sz w:val="19"/>
        </w:rPr>
        <w:t>y</w:t>
      </w:r>
      <w:r>
        <w:rPr>
          <w:color w:val="231F20"/>
          <w:spacing w:val="-11"/>
          <w:sz w:val="19"/>
        </w:rPr>
        <w:t> </w:t>
      </w:r>
      <w:r>
        <w:rPr>
          <w:color w:val="231F20"/>
          <w:sz w:val="19"/>
        </w:rPr>
        <w:t>tienen</w:t>
      </w:r>
      <w:r>
        <w:rPr>
          <w:color w:val="231F20"/>
          <w:spacing w:val="-11"/>
          <w:sz w:val="19"/>
        </w:rPr>
        <w:t> </w:t>
      </w:r>
      <w:r>
        <w:rPr>
          <w:color w:val="231F20"/>
          <w:sz w:val="19"/>
        </w:rPr>
        <w:t>tal</w:t>
      </w:r>
      <w:r>
        <w:rPr>
          <w:color w:val="231F20"/>
          <w:spacing w:val="-11"/>
          <w:sz w:val="19"/>
        </w:rPr>
        <w:t> </w:t>
      </w:r>
      <w:r>
        <w:rPr>
          <w:color w:val="231F20"/>
          <w:sz w:val="19"/>
        </w:rPr>
        <w:t>relevancia</w:t>
      </w:r>
      <w:r>
        <w:rPr>
          <w:color w:val="231F20"/>
          <w:spacing w:val="-11"/>
          <w:sz w:val="19"/>
        </w:rPr>
        <w:t> </w:t>
      </w:r>
      <w:r>
        <w:rPr>
          <w:color w:val="231F20"/>
          <w:sz w:val="19"/>
        </w:rPr>
        <w:t>para</w:t>
      </w:r>
      <w:r>
        <w:rPr>
          <w:color w:val="231F20"/>
          <w:spacing w:val="-11"/>
          <w:sz w:val="19"/>
        </w:rPr>
        <w:t> </w:t>
      </w:r>
      <w:r>
        <w:rPr>
          <w:color w:val="231F20"/>
          <w:sz w:val="19"/>
        </w:rPr>
        <w:t>la</w:t>
      </w:r>
      <w:r>
        <w:rPr>
          <w:color w:val="231F20"/>
          <w:spacing w:val="-11"/>
          <w:sz w:val="19"/>
        </w:rPr>
        <w:t> </w:t>
      </w:r>
      <w:r>
        <w:rPr>
          <w:color w:val="231F20"/>
          <w:sz w:val="19"/>
        </w:rPr>
        <w:t>persona</w:t>
      </w:r>
      <w:r>
        <w:rPr>
          <w:color w:val="231F20"/>
          <w:spacing w:val="-11"/>
          <w:sz w:val="19"/>
        </w:rPr>
        <w:t> </w:t>
      </w:r>
      <w:r>
        <w:rPr>
          <w:color w:val="231F20"/>
          <w:sz w:val="19"/>
        </w:rPr>
        <w:t>hu- mana que las violaciones cometidas por cada Estado no pueden ser ignoradas por los demás. Asumir esto autorizaría la interven- ción de otros Estados, en caso de una flagrante negativa de tales derechos por parte de un Estado hacia sus propios</w:t>
      </w:r>
      <w:r>
        <w:rPr>
          <w:color w:val="231F20"/>
          <w:spacing w:val="-16"/>
          <w:sz w:val="19"/>
        </w:rPr>
        <w:t> </w:t>
      </w:r>
      <w:r>
        <w:rPr>
          <w:color w:val="231F20"/>
          <w:sz w:val="19"/>
        </w:rPr>
        <w:t>ciudadanos</w:t>
      </w:r>
      <w:r>
        <w:rPr>
          <w:color w:val="231F20"/>
          <w:position w:val="7"/>
          <w:sz w:val="11"/>
        </w:rPr>
        <w:t>21</w:t>
      </w:r>
      <w:r>
        <w:rPr>
          <w:color w:val="231F20"/>
          <w:sz w:val="19"/>
        </w:rPr>
        <w:t>.</w:t>
      </w:r>
    </w:p>
    <w:p>
      <w:pPr>
        <w:pStyle w:val="BodyText"/>
        <w:spacing w:before="11"/>
        <w:rPr>
          <w:sz w:val="23"/>
        </w:rPr>
      </w:pPr>
    </w:p>
    <w:p>
      <w:pPr>
        <w:pStyle w:val="BodyText"/>
        <w:spacing w:line="247" w:lineRule="auto"/>
        <w:ind w:left="117" w:right="100"/>
        <w:jc w:val="both"/>
      </w:pPr>
      <w:r>
        <w:rPr>
          <w:color w:val="231F20"/>
        </w:rPr>
        <w:t>Según este acuerdo, la teoría y la práctica de la intervención humanitaria, delineada progresivamente en las últimas dos décadas, más represen- tarían, por lo tanto, el interesante síntoma de una </w:t>
      </w:r>
      <w:r>
        <w:rPr>
          <w:rFonts w:ascii="Arial" w:hAnsi="Arial"/>
          <w:i/>
          <w:color w:val="231F20"/>
        </w:rPr>
        <w:t>gran  transformación  </w:t>
      </w:r>
      <w:r>
        <w:rPr>
          <w:color w:val="231F20"/>
        </w:rPr>
        <w:t>en marcha en el mundo contemporáneo: el surgimiento de una forma de sociedad internacional caracterizada por una directa asunción de respon- sabilidad en la protección de los más elementales derechos humanos y  por lo tanto capaces de promover una definitiva democratización de la  vida</w:t>
      </w:r>
      <w:r>
        <w:rPr>
          <w:color w:val="231F20"/>
          <w:spacing w:val="19"/>
        </w:rPr>
        <w:t> </w:t>
      </w:r>
      <w:r>
        <w:rPr>
          <w:color w:val="231F20"/>
        </w:rPr>
        <w:t>internacional</w:t>
      </w:r>
      <w:r>
        <w:rPr>
          <w:color w:val="231F20"/>
          <w:position w:val="7"/>
          <w:sz w:val="12"/>
        </w:rPr>
        <w:t>22</w:t>
      </w:r>
      <w:r>
        <w:rPr>
          <w:color w:val="231F20"/>
        </w:rPr>
        <w:t>.</w:t>
      </w:r>
    </w:p>
    <w:p>
      <w:pPr>
        <w:pStyle w:val="BodyText"/>
        <w:spacing w:line="247" w:lineRule="auto"/>
        <w:ind w:left="117" w:right="101" w:firstLine="566"/>
        <w:jc w:val="both"/>
      </w:pPr>
      <w:r>
        <w:rPr>
          <w:color w:val="231F20"/>
          <w:w w:val="105"/>
        </w:rPr>
        <w:t>Como</w:t>
      </w:r>
      <w:r>
        <w:rPr>
          <w:color w:val="231F20"/>
          <w:spacing w:val="-16"/>
          <w:w w:val="105"/>
        </w:rPr>
        <w:t> </w:t>
      </w:r>
      <w:r>
        <w:rPr>
          <w:color w:val="231F20"/>
          <w:w w:val="105"/>
        </w:rPr>
        <w:t>escribió</w:t>
      </w:r>
      <w:r>
        <w:rPr>
          <w:color w:val="231F20"/>
          <w:spacing w:val="-16"/>
          <w:w w:val="105"/>
        </w:rPr>
        <w:t> </w:t>
      </w:r>
      <w:r>
        <w:rPr>
          <w:color w:val="231F20"/>
          <w:w w:val="105"/>
        </w:rPr>
        <w:t>Seyla</w:t>
      </w:r>
      <w:r>
        <w:rPr>
          <w:color w:val="231F20"/>
          <w:spacing w:val="-16"/>
          <w:w w:val="105"/>
        </w:rPr>
        <w:t> </w:t>
      </w:r>
      <w:r>
        <w:rPr>
          <w:color w:val="231F20"/>
          <w:w w:val="105"/>
        </w:rPr>
        <w:t>Benhabib,</w:t>
      </w:r>
      <w:r>
        <w:rPr>
          <w:color w:val="231F20"/>
          <w:spacing w:val="-16"/>
          <w:w w:val="105"/>
        </w:rPr>
        <w:t> </w:t>
      </w:r>
      <w:r>
        <w:rPr>
          <w:color w:val="231F20"/>
          <w:w w:val="105"/>
        </w:rPr>
        <w:t>“independientemente</w:t>
      </w:r>
      <w:r>
        <w:rPr>
          <w:color w:val="231F20"/>
          <w:spacing w:val="-16"/>
          <w:w w:val="105"/>
        </w:rPr>
        <w:t> </w:t>
      </w:r>
      <w:r>
        <w:rPr>
          <w:color w:val="231F20"/>
          <w:w w:val="105"/>
        </w:rPr>
        <w:t>de</w:t>
      </w:r>
      <w:r>
        <w:rPr>
          <w:color w:val="231F20"/>
          <w:spacing w:val="-16"/>
          <w:w w:val="105"/>
        </w:rPr>
        <w:t> </w:t>
      </w:r>
      <w:r>
        <w:rPr>
          <w:color w:val="231F20"/>
          <w:w w:val="105"/>
        </w:rPr>
        <w:t>cuánto</w:t>
      </w:r>
      <w:r>
        <w:rPr>
          <w:color w:val="231F20"/>
          <w:spacing w:val="-16"/>
          <w:w w:val="105"/>
        </w:rPr>
        <w:t> </w:t>
      </w:r>
      <w:r>
        <w:rPr>
          <w:color w:val="231F20"/>
          <w:w w:val="105"/>
        </w:rPr>
        <w:t>su interpretación</w:t>
      </w:r>
      <w:r>
        <w:rPr>
          <w:color w:val="231F20"/>
          <w:spacing w:val="-31"/>
          <w:w w:val="105"/>
        </w:rPr>
        <w:t> </w:t>
      </w:r>
      <w:r>
        <w:rPr>
          <w:color w:val="231F20"/>
          <w:w w:val="105"/>
        </w:rPr>
        <w:t>y</w:t>
      </w:r>
      <w:r>
        <w:rPr>
          <w:color w:val="231F20"/>
          <w:spacing w:val="-31"/>
          <w:w w:val="105"/>
        </w:rPr>
        <w:t> </w:t>
      </w:r>
      <w:r>
        <w:rPr>
          <w:color w:val="231F20"/>
          <w:w w:val="105"/>
        </w:rPr>
        <w:t>su</w:t>
      </w:r>
      <w:r>
        <w:rPr>
          <w:color w:val="231F20"/>
          <w:spacing w:val="-31"/>
          <w:w w:val="105"/>
        </w:rPr>
        <w:t> </w:t>
      </w:r>
      <w:r>
        <w:rPr>
          <w:color w:val="231F20"/>
          <w:w w:val="105"/>
        </w:rPr>
        <w:t>aplicación</w:t>
      </w:r>
      <w:r>
        <w:rPr>
          <w:color w:val="231F20"/>
          <w:spacing w:val="-31"/>
          <w:w w:val="105"/>
        </w:rPr>
        <w:t> </w:t>
      </w:r>
      <w:r>
        <w:rPr>
          <w:color w:val="231F20"/>
          <w:w w:val="105"/>
        </w:rPr>
        <w:t>puedan</w:t>
      </w:r>
      <w:r>
        <w:rPr>
          <w:color w:val="231F20"/>
          <w:spacing w:val="-31"/>
          <w:w w:val="105"/>
        </w:rPr>
        <w:t> </w:t>
      </w:r>
      <w:r>
        <w:rPr>
          <w:color w:val="231F20"/>
          <w:w w:val="105"/>
        </w:rPr>
        <w:t>ser</w:t>
      </w:r>
      <w:r>
        <w:rPr>
          <w:color w:val="231F20"/>
          <w:spacing w:val="-31"/>
          <w:w w:val="105"/>
        </w:rPr>
        <w:t> </w:t>
      </w:r>
      <w:r>
        <w:rPr>
          <w:color w:val="231F20"/>
          <w:w w:val="105"/>
        </w:rPr>
        <w:t>controversiales”,</w:t>
      </w:r>
      <w:r>
        <w:rPr>
          <w:color w:val="231F20"/>
          <w:spacing w:val="-31"/>
          <w:w w:val="105"/>
        </w:rPr>
        <w:t> </w:t>
      </w:r>
      <w:r>
        <w:rPr>
          <w:color w:val="231F20"/>
          <w:w w:val="105"/>
        </w:rPr>
        <w:t>intervenciones de</w:t>
      </w:r>
      <w:r>
        <w:rPr>
          <w:color w:val="231F20"/>
          <w:spacing w:val="-19"/>
          <w:w w:val="105"/>
        </w:rPr>
        <w:t> </w:t>
      </w:r>
      <w:r>
        <w:rPr>
          <w:color w:val="231F20"/>
          <w:w w:val="105"/>
        </w:rPr>
        <w:t>este</w:t>
      </w:r>
      <w:r>
        <w:rPr>
          <w:color w:val="231F20"/>
          <w:spacing w:val="-19"/>
          <w:w w:val="105"/>
        </w:rPr>
        <w:t> </w:t>
      </w:r>
      <w:r>
        <w:rPr>
          <w:color w:val="231F20"/>
          <w:w w:val="105"/>
        </w:rPr>
        <w:t>tipo</w:t>
      </w:r>
      <w:r>
        <w:rPr>
          <w:color w:val="231F20"/>
          <w:spacing w:val="-19"/>
          <w:w w:val="105"/>
        </w:rPr>
        <w:t> </w:t>
      </w:r>
      <w:r>
        <w:rPr>
          <w:color w:val="231F20"/>
          <w:w w:val="105"/>
        </w:rPr>
        <w:t>se</w:t>
      </w:r>
      <w:r>
        <w:rPr>
          <w:color w:val="231F20"/>
          <w:spacing w:val="-19"/>
          <w:w w:val="105"/>
        </w:rPr>
        <w:t> </w:t>
      </w:r>
      <w:r>
        <w:rPr>
          <w:color w:val="231F20"/>
          <w:w w:val="105"/>
        </w:rPr>
        <w:t>basan,</w:t>
      </w:r>
      <w:r>
        <w:rPr>
          <w:color w:val="231F20"/>
          <w:spacing w:val="-19"/>
          <w:w w:val="105"/>
        </w:rPr>
        <w:t> </w:t>
      </w:r>
      <w:r>
        <w:rPr>
          <w:color w:val="231F20"/>
          <w:w w:val="105"/>
        </w:rPr>
        <w:t>efectivamente,</w:t>
      </w:r>
      <w:r>
        <w:rPr>
          <w:color w:val="231F20"/>
          <w:spacing w:val="-19"/>
          <w:w w:val="105"/>
        </w:rPr>
        <w:t> </w:t>
      </w:r>
      <w:r>
        <w:rPr>
          <w:color w:val="231F20"/>
          <w:w w:val="105"/>
        </w:rPr>
        <w:t>en</w:t>
      </w:r>
      <w:r>
        <w:rPr>
          <w:color w:val="231F20"/>
          <w:spacing w:val="-19"/>
          <w:w w:val="105"/>
        </w:rPr>
        <w:t> </w:t>
      </w:r>
      <w:r>
        <w:rPr>
          <w:color w:val="231F20"/>
          <w:w w:val="105"/>
        </w:rPr>
        <w:t>un</w:t>
      </w:r>
      <w:r>
        <w:rPr>
          <w:color w:val="231F20"/>
          <w:spacing w:val="-19"/>
          <w:w w:val="105"/>
        </w:rPr>
        <w:t> </w:t>
      </w:r>
      <w:r>
        <w:rPr>
          <w:color w:val="231F20"/>
          <w:w w:val="105"/>
        </w:rPr>
        <w:t>“consenso</w:t>
      </w:r>
      <w:r>
        <w:rPr>
          <w:color w:val="231F20"/>
          <w:spacing w:val="-19"/>
          <w:w w:val="105"/>
        </w:rPr>
        <w:t> </w:t>
      </w:r>
      <w:r>
        <w:rPr>
          <w:color w:val="231F20"/>
          <w:w w:val="105"/>
        </w:rPr>
        <w:t>creciente</w:t>
      </w:r>
      <w:r>
        <w:rPr>
          <w:color w:val="231F20"/>
          <w:spacing w:val="-19"/>
          <w:w w:val="105"/>
        </w:rPr>
        <w:t> </w:t>
      </w:r>
      <w:r>
        <w:rPr>
          <w:color w:val="231F20"/>
          <w:w w:val="105"/>
        </w:rPr>
        <w:t>sobre</w:t>
      </w:r>
      <w:r>
        <w:rPr>
          <w:color w:val="231F20"/>
          <w:spacing w:val="-19"/>
          <w:w w:val="105"/>
        </w:rPr>
        <w:t> </w:t>
      </w:r>
      <w:r>
        <w:rPr>
          <w:color w:val="231F20"/>
          <w:w w:val="105"/>
        </w:rPr>
        <w:t>el hecho</w:t>
      </w:r>
      <w:r>
        <w:rPr>
          <w:color w:val="231F20"/>
          <w:spacing w:val="-21"/>
          <w:w w:val="105"/>
        </w:rPr>
        <w:t> </w:t>
      </w:r>
      <w:r>
        <w:rPr>
          <w:color w:val="231F20"/>
          <w:w w:val="105"/>
        </w:rPr>
        <w:t>de</w:t>
      </w:r>
      <w:r>
        <w:rPr>
          <w:color w:val="231F20"/>
          <w:spacing w:val="-21"/>
          <w:w w:val="105"/>
        </w:rPr>
        <w:t> </w:t>
      </w:r>
      <w:r>
        <w:rPr>
          <w:color w:val="231F20"/>
          <w:w w:val="105"/>
        </w:rPr>
        <w:t>que</w:t>
      </w:r>
      <w:r>
        <w:rPr>
          <w:color w:val="231F20"/>
          <w:spacing w:val="-21"/>
          <w:w w:val="105"/>
        </w:rPr>
        <w:t> </w:t>
      </w:r>
      <w:r>
        <w:rPr>
          <w:color w:val="231F20"/>
          <w:w w:val="105"/>
        </w:rPr>
        <w:t>la</w:t>
      </w:r>
      <w:r>
        <w:rPr>
          <w:color w:val="231F20"/>
          <w:spacing w:val="-21"/>
          <w:w w:val="105"/>
        </w:rPr>
        <w:t> </w:t>
      </w:r>
      <w:r>
        <w:rPr>
          <w:color w:val="231F20"/>
          <w:w w:val="105"/>
        </w:rPr>
        <w:t>soberanía</w:t>
      </w:r>
      <w:r>
        <w:rPr>
          <w:color w:val="231F20"/>
          <w:spacing w:val="-21"/>
          <w:w w:val="105"/>
        </w:rPr>
        <w:t> </w:t>
      </w:r>
      <w:r>
        <w:rPr>
          <w:color w:val="231F20"/>
          <w:w w:val="105"/>
        </w:rPr>
        <w:t>del</w:t>
      </w:r>
      <w:r>
        <w:rPr>
          <w:color w:val="231F20"/>
          <w:spacing w:val="-21"/>
          <w:w w:val="105"/>
        </w:rPr>
        <w:t> </w:t>
      </w:r>
      <w:r>
        <w:rPr>
          <w:color w:val="231F20"/>
          <w:w w:val="105"/>
        </w:rPr>
        <w:t>Estado</w:t>
      </w:r>
      <w:r>
        <w:rPr>
          <w:color w:val="231F20"/>
          <w:spacing w:val="-21"/>
          <w:w w:val="105"/>
        </w:rPr>
        <w:t> </w:t>
      </w:r>
      <w:r>
        <w:rPr>
          <w:color w:val="231F20"/>
          <w:w w:val="105"/>
        </w:rPr>
        <w:t>al</w:t>
      </w:r>
      <w:r>
        <w:rPr>
          <w:color w:val="231F20"/>
          <w:spacing w:val="-21"/>
          <w:w w:val="105"/>
        </w:rPr>
        <w:t> </w:t>
      </w:r>
      <w:r>
        <w:rPr>
          <w:color w:val="231F20"/>
          <w:w w:val="105"/>
        </w:rPr>
        <w:t>disponer</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vida,</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libertad 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propiedad</w:t>
      </w:r>
      <w:r>
        <w:rPr>
          <w:color w:val="231F20"/>
          <w:spacing w:val="-5"/>
          <w:w w:val="105"/>
        </w:rPr>
        <w:t> </w:t>
      </w:r>
      <w:r>
        <w:rPr>
          <w:color w:val="231F20"/>
          <w:w w:val="105"/>
        </w:rPr>
        <w:t>de</w:t>
      </w:r>
      <w:r>
        <w:rPr>
          <w:color w:val="231F20"/>
          <w:spacing w:val="-5"/>
          <w:w w:val="105"/>
        </w:rPr>
        <w:t> </w:t>
      </w:r>
      <w:r>
        <w:rPr>
          <w:color w:val="231F20"/>
          <w:w w:val="105"/>
        </w:rPr>
        <w:t>sus</w:t>
      </w:r>
      <w:r>
        <w:rPr>
          <w:color w:val="231F20"/>
          <w:spacing w:val="-5"/>
          <w:w w:val="105"/>
        </w:rPr>
        <w:t> </w:t>
      </w:r>
      <w:r>
        <w:rPr>
          <w:color w:val="231F20"/>
          <w:w w:val="105"/>
        </w:rPr>
        <w:t>ciudadanos</w:t>
      </w:r>
      <w:r>
        <w:rPr>
          <w:color w:val="231F20"/>
          <w:spacing w:val="-5"/>
          <w:w w:val="105"/>
        </w:rPr>
        <w:t> </w:t>
      </w:r>
      <w:r>
        <w:rPr>
          <w:color w:val="231F20"/>
          <w:w w:val="105"/>
        </w:rPr>
        <w:t>o</w:t>
      </w:r>
      <w:r>
        <w:rPr>
          <w:color w:val="231F20"/>
          <w:spacing w:val="-5"/>
          <w:w w:val="105"/>
        </w:rPr>
        <w:t> </w:t>
      </w:r>
      <w:r>
        <w:rPr>
          <w:color w:val="231F20"/>
          <w:w w:val="105"/>
        </w:rPr>
        <w:t>residentes</w:t>
      </w:r>
      <w:r>
        <w:rPr>
          <w:color w:val="231F20"/>
          <w:spacing w:val="-5"/>
          <w:w w:val="105"/>
        </w:rPr>
        <w:t> </w:t>
      </w:r>
      <w:r>
        <w:rPr>
          <w:color w:val="231F20"/>
          <w:w w:val="105"/>
        </w:rPr>
        <w:t>no</w:t>
      </w:r>
      <w:r>
        <w:rPr>
          <w:color w:val="231F20"/>
          <w:spacing w:val="-5"/>
          <w:w w:val="105"/>
        </w:rPr>
        <w:t> </w:t>
      </w:r>
      <w:r>
        <w:rPr>
          <w:color w:val="231F20"/>
          <w:w w:val="105"/>
        </w:rPr>
        <w:t>es</w:t>
      </w:r>
      <w:r>
        <w:rPr>
          <w:color w:val="231F20"/>
          <w:spacing w:val="-5"/>
          <w:w w:val="105"/>
        </w:rPr>
        <w:t> </w:t>
      </w:r>
      <w:r>
        <w:rPr>
          <w:color w:val="231F20"/>
          <w:w w:val="105"/>
        </w:rPr>
        <w:t>incondicional</w:t>
      </w:r>
      <w:r>
        <w:rPr>
          <w:color w:val="231F20"/>
          <w:spacing w:val="-5"/>
          <w:w w:val="105"/>
        </w:rPr>
        <w:t> </w:t>
      </w:r>
      <w:r>
        <w:rPr>
          <w:color w:val="231F20"/>
          <w:w w:val="105"/>
        </w:rPr>
        <w:t>ni ilimitada”</w:t>
      </w:r>
      <w:r>
        <w:rPr>
          <w:color w:val="231F20"/>
          <w:w w:val="105"/>
          <w:position w:val="7"/>
          <w:sz w:val="12"/>
        </w:rPr>
        <w:t>23</w:t>
      </w:r>
      <w:r>
        <w:rPr>
          <w:color w:val="231F20"/>
          <w:w w:val="105"/>
        </w:rPr>
        <w:t>. Desde este punto de vista, el ámbito teórico–práctico de la intervención</w:t>
      </w:r>
      <w:r>
        <w:rPr>
          <w:color w:val="231F20"/>
          <w:spacing w:val="-9"/>
          <w:w w:val="105"/>
        </w:rPr>
        <w:t> </w:t>
      </w:r>
      <w:r>
        <w:rPr>
          <w:color w:val="231F20"/>
          <w:w w:val="105"/>
        </w:rPr>
        <w:t>humanitaria</w:t>
      </w:r>
      <w:r>
        <w:rPr>
          <w:color w:val="231F20"/>
          <w:spacing w:val="-9"/>
          <w:w w:val="105"/>
        </w:rPr>
        <w:t> </w:t>
      </w:r>
      <w:r>
        <w:rPr>
          <w:color w:val="231F20"/>
          <w:w w:val="105"/>
        </w:rPr>
        <w:t>representa</w:t>
      </w:r>
      <w:r>
        <w:rPr>
          <w:color w:val="231F20"/>
          <w:spacing w:val="-9"/>
          <w:w w:val="105"/>
        </w:rPr>
        <w:t> </w:t>
      </w:r>
      <w:r>
        <w:rPr>
          <w:color w:val="231F20"/>
          <w:w w:val="105"/>
        </w:rPr>
        <w:t>una</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áreas</w:t>
      </w:r>
      <w:r>
        <w:rPr>
          <w:color w:val="231F20"/>
          <w:spacing w:val="-9"/>
          <w:w w:val="105"/>
        </w:rPr>
        <w:t> </w:t>
      </w:r>
      <w:r>
        <w:rPr>
          <w:color w:val="231F20"/>
          <w:w w:val="105"/>
        </w:rPr>
        <w:t>en</w:t>
      </w:r>
      <w:r>
        <w:rPr>
          <w:color w:val="231F20"/>
          <w:spacing w:val="-9"/>
          <w:w w:val="105"/>
        </w:rPr>
        <w:t> </w:t>
      </w:r>
      <w:r>
        <w:rPr>
          <w:color w:val="231F20"/>
          <w:w w:val="105"/>
        </w:rPr>
        <w:t>que</w:t>
      </w:r>
      <w:r>
        <w:rPr>
          <w:color w:val="231F20"/>
          <w:spacing w:val="-9"/>
          <w:w w:val="105"/>
        </w:rPr>
        <w:t> </w:t>
      </w:r>
      <w:r>
        <w:rPr>
          <w:color w:val="231F20"/>
          <w:w w:val="105"/>
        </w:rPr>
        <w:t>más</w:t>
      </w:r>
      <w:r>
        <w:rPr>
          <w:color w:val="231F20"/>
          <w:spacing w:val="-9"/>
          <w:w w:val="105"/>
        </w:rPr>
        <w:t> </w:t>
      </w:r>
      <w:r>
        <w:rPr>
          <w:color w:val="231F20"/>
          <w:w w:val="105"/>
        </w:rPr>
        <w:t>clara- mente</w:t>
      </w:r>
      <w:r>
        <w:rPr>
          <w:color w:val="231F20"/>
          <w:spacing w:val="-20"/>
          <w:w w:val="105"/>
        </w:rPr>
        <w:t> </w:t>
      </w:r>
      <w:r>
        <w:rPr>
          <w:color w:val="231F20"/>
          <w:w w:val="105"/>
        </w:rPr>
        <w:t>parece</w:t>
      </w:r>
      <w:r>
        <w:rPr>
          <w:color w:val="231F20"/>
          <w:spacing w:val="-20"/>
          <w:w w:val="105"/>
        </w:rPr>
        <w:t> </w:t>
      </w:r>
      <w:r>
        <w:rPr>
          <w:color w:val="231F20"/>
          <w:w w:val="105"/>
        </w:rPr>
        <w:t>surgir</w:t>
      </w:r>
      <w:r>
        <w:rPr>
          <w:color w:val="231F20"/>
          <w:spacing w:val="-20"/>
          <w:w w:val="105"/>
        </w:rPr>
        <w:t> </w:t>
      </w:r>
      <w:r>
        <w:rPr>
          <w:color w:val="231F20"/>
          <w:w w:val="105"/>
        </w:rPr>
        <w:t>un</w:t>
      </w:r>
      <w:r>
        <w:rPr>
          <w:color w:val="231F20"/>
          <w:spacing w:val="-20"/>
          <w:w w:val="105"/>
        </w:rPr>
        <w:t> </w:t>
      </w:r>
      <w:r>
        <w:rPr>
          <w:color w:val="231F20"/>
          <w:w w:val="105"/>
        </w:rPr>
        <w:t>auténtico</w:t>
      </w:r>
      <w:r>
        <w:rPr>
          <w:color w:val="231F20"/>
          <w:spacing w:val="-20"/>
          <w:w w:val="105"/>
        </w:rPr>
        <w:t> </w:t>
      </w:r>
      <w:r>
        <w:rPr>
          <w:color w:val="231F20"/>
          <w:w w:val="105"/>
        </w:rPr>
        <w:t>“régimen</w:t>
      </w:r>
      <w:r>
        <w:rPr>
          <w:color w:val="231F20"/>
          <w:spacing w:val="-20"/>
          <w:w w:val="105"/>
        </w:rPr>
        <w:t> </w:t>
      </w:r>
      <w:r>
        <w:rPr>
          <w:color w:val="231F20"/>
          <w:w w:val="105"/>
        </w:rPr>
        <w:t>internacional</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derechos humanos”</w:t>
      </w:r>
      <w:r>
        <w:rPr>
          <w:color w:val="231F20"/>
          <w:w w:val="105"/>
          <w:position w:val="7"/>
          <w:sz w:val="12"/>
        </w:rPr>
        <w:t>24</w:t>
      </w:r>
      <w:r>
        <w:rPr>
          <w:color w:val="231F20"/>
          <w:w w:val="105"/>
        </w:rPr>
        <w:t>,</w:t>
      </w:r>
      <w:r>
        <w:rPr>
          <w:color w:val="231F20"/>
          <w:spacing w:val="-50"/>
          <w:w w:val="105"/>
        </w:rPr>
        <w:t> </w:t>
      </w:r>
      <w:r>
        <w:rPr>
          <w:color w:val="231F20"/>
          <w:w w:val="105"/>
        </w:rPr>
        <w:t>basado</w:t>
      </w:r>
      <w:r>
        <w:rPr>
          <w:color w:val="231F20"/>
          <w:spacing w:val="-50"/>
          <w:w w:val="105"/>
        </w:rPr>
        <w:t> </w:t>
      </w:r>
      <w:r>
        <w:rPr>
          <w:color w:val="231F20"/>
          <w:w w:val="105"/>
        </w:rPr>
        <w:t>en</w:t>
      </w:r>
      <w:r>
        <w:rPr>
          <w:color w:val="231F20"/>
          <w:spacing w:val="-50"/>
          <w:w w:val="105"/>
        </w:rPr>
        <w:t> </w:t>
      </w:r>
      <w:r>
        <w:rPr>
          <w:color w:val="231F20"/>
          <w:w w:val="105"/>
        </w:rPr>
        <w:t>una</w:t>
      </w:r>
      <w:r>
        <w:rPr>
          <w:color w:val="231F20"/>
          <w:spacing w:val="-50"/>
          <w:w w:val="105"/>
        </w:rPr>
        <w:t> </w:t>
      </w:r>
      <w:r>
        <w:rPr>
          <w:color w:val="231F20"/>
          <w:w w:val="105"/>
        </w:rPr>
        <w:t>nueva</w:t>
      </w:r>
      <w:r>
        <w:rPr>
          <w:color w:val="231F20"/>
          <w:spacing w:val="-50"/>
          <w:w w:val="105"/>
        </w:rPr>
        <w:t> </w:t>
      </w:r>
      <w:r>
        <w:rPr>
          <w:color w:val="231F20"/>
          <w:w w:val="105"/>
        </w:rPr>
        <w:t>forma</w:t>
      </w:r>
      <w:r>
        <w:rPr>
          <w:color w:val="231F20"/>
          <w:spacing w:val="-50"/>
          <w:w w:val="105"/>
        </w:rPr>
        <w:t> </w:t>
      </w:r>
      <w:r>
        <w:rPr>
          <w:color w:val="231F20"/>
          <w:w w:val="105"/>
        </w:rPr>
        <w:t>de</w:t>
      </w:r>
      <w:r>
        <w:rPr>
          <w:color w:val="231F20"/>
          <w:spacing w:val="-50"/>
          <w:w w:val="105"/>
        </w:rPr>
        <w:t> </w:t>
      </w:r>
      <w:r>
        <w:rPr>
          <w:rFonts w:ascii="Arial" w:hAnsi="Arial"/>
          <w:i/>
          <w:color w:val="231F20"/>
          <w:w w:val="105"/>
        </w:rPr>
        <w:t>responsabilidad</w:t>
      </w:r>
      <w:r>
        <w:rPr>
          <w:rFonts w:ascii="Arial" w:hAnsi="Arial"/>
          <w:i/>
          <w:color w:val="231F20"/>
          <w:spacing w:val="-42"/>
          <w:w w:val="105"/>
        </w:rPr>
        <w:t> </w:t>
      </w:r>
      <w:r>
        <w:rPr>
          <w:rFonts w:ascii="Arial" w:hAnsi="Arial"/>
          <w:i/>
          <w:color w:val="231F20"/>
          <w:w w:val="105"/>
        </w:rPr>
        <w:t>cosmopolítica </w:t>
      </w:r>
      <w:r>
        <w:rPr>
          <w:color w:val="231F20"/>
          <w:w w:val="105"/>
        </w:rPr>
        <w:t>que</w:t>
      </w:r>
      <w:r>
        <w:rPr>
          <w:color w:val="231F20"/>
          <w:spacing w:val="-19"/>
          <w:w w:val="105"/>
        </w:rPr>
        <w:t> </w:t>
      </w:r>
      <w:r>
        <w:rPr>
          <w:color w:val="231F20"/>
          <w:w w:val="105"/>
        </w:rPr>
        <w:t>“borra</w:t>
      </w:r>
      <w:r>
        <w:rPr>
          <w:color w:val="231F20"/>
          <w:spacing w:val="-19"/>
          <w:w w:val="105"/>
        </w:rPr>
        <w:t> </w:t>
      </w:r>
      <w:r>
        <w:rPr>
          <w:color w:val="231F20"/>
          <w:w w:val="105"/>
        </w:rPr>
        <w:t>las</w:t>
      </w:r>
      <w:r>
        <w:rPr>
          <w:color w:val="231F20"/>
          <w:spacing w:val="-19"/>
          <w:w w:val="105"/>
        </w:rPr>
        <w:t> </w:t>
      </w:r>
      <w:r>
        <w:rPr>
          <w:color w:val="231F20"/>
          <w:w w:val="105"/>
        </w:rPr>
        <w:t>fronteras</w:t>
      </w:r>
      <w:r>
        <w:rPr>
          <w:color w:val="231F20"/>
          <w:spacing w:val="-19"/>
          <w:w w:val="105"/>
        </w:rPr>
        <w:t> </w:t>
      </w:r>
      <w:r>
        <w:rPr>
          <w:color w:val="231F20"/>
          <w:w w:val="105"/>
        </w:rPr>
        <w:t>entre</w:t>
      </w:r>
      <w:r>
        <w:rPr>
          <w:color w:val="231F20"/>
          <w:spacing w:val="-19"/>
          <w:w w:val="105"/>
        </w:rPr>
        <w:t> </w:t>
      </w:r>
      <w:r>
        <w:rPr>
          <w:color w:val="231F20"/>
          <w:w w:val="105"/>
        </w:rPr>
        <w:t>interior</w:t>
      </w:r>
      <w:r>
        <w:rPr>
          <w:color w:val="231F20"/>
          <w:spacing w:val="-19"/>
          <w:w w:val="105"/>
        </w:rPr>
        <w:t> </w:t>
      </w:r>
      <w:r>
        <w:rPr>
          <w:color w:val="231F20"/>
          <w:w w:val="105"/>
        </w:rPr>
        <w:t>y</w:t>
      </w:r>
      <w:r>
        <w:rPr>
          <w:color w:val="231F20"/>
          <w:spacing w:val="-19"/>
          <w:w w:val="105"/>
        </w:rPr>
        <w:t> </w:t>
      </w:r>
      <w:r>
        <w:rPr>
          <w:color w:val="231F20"/>
          <w:w w:val="105"/>
        </w:rPr>
        <w:t>exterior</w:t>
      </w:r>
      <w:r>
        <w:rPr>
          <w:color w:val="231F20"/>
          <w:spacing w:val="-19"/>
          <w:w w:val="105"/>
        </w:rPr>
        <w:t> </w:t>
      </w:r>
      <w:r>
        <w:rPr>
          <w:color w:val="231F20"/>
          <w:w w:val="105"/>
        </w:rPr>
        <w:t>y</w:t>
      </w:r>
      <w:r>
        <w:rPr>
          <w:color w:val="231F20"/>
          <w:spacing w:val="-19"/>
          <w:w w:val="105"/>
        </w:rPr>
        <w:t> </w:t>
      </w:r>
      <w:r>
        <w:rPr>
          <w:color w:val="231F20"/>
          <w:w w:val="105"/>
        </w:rPr>
        <w:t>presenta</w:t>
      </w:r>
      <w:r>
        <w:rPr>
          <w:color w:val="231F20"/>
          <w:spacing w:val="-19"/>
          <w:w w:val="105"/>
        </w:rPr>
        <w:t> </w:t>
      </w:r>
      <w:r>
        <w:rPr>
          <w:color w:val="231F20"/>
          <w:w w:val="105"/>
        </w:rPr>
        <w:t>interrogantes</w:t>
      </w:r>
    </w:p>
    <w:p>
      <w:pPr>
        <w:pStyle w:val="BodyText"/>
        <w:rPr>
          <w:sz w:val="20"/>
        </w:rPr>
      </w:pPr>
    </w:p>
    <w:p>
      <w:pPr>
        <w:pStyle w:val="BodyText"/>
        <w:spacing w:before="6"/>
        <w:rPr>
          <w:sz w:val="12"/>
        </w:rPr>
      </w:pPr>
      <w:r>
        <w:rPr/>
        <w:pict>
          <v:line style="position:absolute;mso-position-horizontal-relative:page;mso-position-vertical-relative:paragraph;z-index:7480;mso-wrap-distance-left:0;mso-wrap-distance-right:0" from="70.866096pt,9.663486pt" to="184.252096pt,9.663486pt" stroked="true" strokeweight=".3pt" strokecolor="#231f20">
            <w10:wrap type="topAndBottom"/>
          </v:line>
        </w:pict>
      </w:r>
    </w:p>
    <w:p>
      <w:pPr>
        <w:spacing w:line="204" w:lineRule="exact" w:before="8"/>
        <w:ind w:left="117" w:right="101" w:firstLine="0"/>
        <w:jc w:val="both"/>
        <w:rPr>
          <w:rFonts w:ascii="Calibri" w:hAnsi="Calibri"/>
          <w:sz w:val="17"/>
        </w:rPr>
      </w:pPr>
      <w:r>
        <w:rPr>
          <w:rFonts w:ascii="Calibri" w:hAnsi="Calibri"/>
          <w:color w:val="231F20"/>
          <w:w w:val="105"/>
          <w:position w:val="6"/>
          <w:sz w:val="10"/>
        </w:rPr>
        <w:t>21 </w:t>
      </w:r>
      <w:r>
        <w:rPr>
          <w:rFonts w:ascii="Calibri" w:hAnsi="Calibri"/>
          <w:color w:val="231F20"/>
          <w:spacing w:val="-7"/>
          <w:w w:val="105"/>
          <w:sz w:val="17"/>
        </w:rPr>
        <w:t>F.</w:t>
      </w:r>
      <w:r>
        <w:rPr>
          <w:rFonts w:ascii="Calibri" w:hAnsi="Calibri"/>
          <w:color w:val="231F20"/>
          <w:spacing w:val="-16"/>
          <w:w w:val="105"/>
          <w:sz w:val="17"/>
        </w:rPr>
        <w:t> </w:t>
      </w:r>
      <w:r>
        <w:rPr>
          <w:rFonts w:ascii="Calibri" w:hAnsi="Calibri"/>
          <w:color w:val="231F20"/>
          <w:w w:val="105"/>
          <w:sz w:val="17"/>
        </w:rPr>
        <w:t>K.</w:t>
      </w:r>
      <w:r>
        <w:rPr>
          <w:rFonts w:ascii="Calibri" w:hAnsi="Calibri"/>
          <w:color w:val="231F20"/>
          <w:spacing w:val="-16"/>
          <w:w w:val="105"/>
          <w:sz w:val="17"/>
        </w:rPr>
        <w:t> </w:t>
      </w:r>
      <w:r>
        <w:rPr>
          <w:rFonts w:ascii="Calibri" w:hAnsi="Calibri"/>
          <w:color w:val="231F20"/>
          <w:w w:val="105"/>
          <w:sz w:val="17"/>
        </w:rPr>
        <w:t>Abiew,</w:t>
      </w:r>
      <w:r>
        <w:rPr>
          <w:rFonts w:ascii="Calibri" w:hAnsi="Calibri"/>
          <w:color w:val="231F20"/>
          <w:spacing w:val="-17"/>
          <w:w w:val="105"/>
          <w:sz w:val="17"/>
        </w:rPr>
        <w:t> </w:t>
      </w:r>
      <w:r>
        <w:rPr>
          <w:rFonts w:ascii="Calibri" w:hAnsi="Calibri"/>
          <w:i/>
          <w:color w:val="231F20"/>
          <w:w w:val="105"/>
          <w:sz w:val="17"/>
        </w:rPr>
        <w:t>The</w:t>
      </w:r>
      <w:r>
        <w:rPr>
          <w:rFonts w:ascii="Calibri" w:hAnsi="Calibri"/>
          <w:i/>
          <w:color w:val="231F20"/>
          <w:spacing w:val="-17"/>
          <w:w w:val="105"/>
          <w:sz w:val="17"/>
        </w:rPr>
        <w:t> </w:t>
      </w:r>
      <w:r>
        <w:rPr>
          <w:rFonts w:ascii="Calibri" w:hAnsi="Calibri"/>
          <w:i/>
          <w:color w:val="231F20"/>
          <w:w w:val="105"/>
          <w:sz w:val="17"/>
        </w:rPr>
        <w:t>Evolution</w:t>
      </w:r>
      <w:r>
        <w:rPr>
          <w:rFonts w:ascii="Calibri" w:hAnsi="Calibri"/>
          <w:i/>
          <w:color w:val="231F20"/>
          <w:spacing w:val="-17"/>
          <w:w w:val="105"/>
          <w:sz w:val="17"/>
        </w:rPr>
        <w:t> </w:t>
      </w:r>
      <w:r>
        <w:rPr>
          <w:rFonts w:ascii="Calibri" w:hAnsi="Calibri"/>
          <w:i/>
          <w:color w:val="231F20"/>
          <w:w w:val="105"/>
          <w:sz w:val="17"/>
        </w:rPr>
        <w:t>of</w:t>
      </w:r>
      <w:r>
        <w:rPr>
          <w:rFonts w:ascii="Calibri" w:hAnsi="Calibri"/>
          <w:i/>
          <w:color w:val="231F20"/>
          <w:spacing w:val="-17"/>
          <w:w w:val="105"/>
          <w:sz w:val="17"/>
        </w:rPr>
        <w:t> </w:t>
      </w:r>
      <w:r>
        <w:rPr>
          <w:rFonts w:ascii="Calibri" w:hAnsi="Calibri"/>
          <w:i/>
          <w:color w:val="231F20"/>
          <w:w w:val="105"/>
          <w:sz w:val="17"/>
        </w:rPr>
        <w:t>the</w:t>
      </w:r>
      <w:r>
        <w:rPr>
          <w:rFonts w:ascii="Calibri" w:hAnsi="Calibri"/>
          <w:i/>
          <w:color w:val="231F20"/>
          <w:spacing w:val="-17"/>
          <w:w w:val="105"/>
          <w:sz w:val="17"/>
        </w:rPr>
        <w:t> </w:t>
      </w:r>
      <w:r>
        <w:rPr>
          <w:rFonts w:ascii="Calibri" w:hAnsi="Calibri"/>
          <w:i/>
          <w:color w:val="231F20"/>
          <w:w w:val="105"/>
          <w:sz w:val="17"/>
        </w:rPr>
        <w:t>Doctrine</w:t>
      </w:r>
      <w:r>
        <w:rPr>
          <w:rFonts w:ascii="Calibri" w:hAnsi="Calibri"/>
          <w:i/>
          <w:color w:val="231F20"/>
          <w:spacing w:val="-17"/>
          <w:w w:val="105"/>
          <w:sz w:val="17"/>
        </w:rPr>
        <w:t> </w:t>
      </w:r>
      <w:r>
        <w:rPr>
          <w:rFonts w:ascii="Calibri" w:hAnsi="Calibri"/>
          <w:i/>
          <w:color w:val="231F20"/>
          <w:w w:val="105"/>
          <w:sz w:val="17"/>
        </w:rPr>
        <w:t>and</w:t>
      </w:r>
      <w:r>
        <w:rPr>
          <w:rFonts w:ascii="Calibri" w:hAnsi="Calibri"/>
          <w:i/>
          <w:color w:val="231F20"/>
          <w:spacing w:val="-17"/>
          <w:w w:val="105"/>
          <w:sz w:val="17"/>
        </w:rPr>
        <w:t> </w:t>
      </w:r>
      <w:r>
        <w:rPr>
          <w:rFonts w:ascii="Calibri" w:hAnsi="Calibri"/>
          <w:i/>
          <w:color w:val="231F20"/>
          <w:w w:val="105"/>
          <w:sz w:val="17"/>
        </w:rPr>
        <w:t>Practice</w:t>
      </w:r>
      <w:r>
        <w:rPr>
          <w:rFonts w:ascii="Calibri" w:hAnsi="Calibri"/>
          <w:i/>
          <w:color w:val="231F20"/>
          <w:spacing w:val="-17"/>
          <w:w w:val="105"/>
          <w:sz w:val="17"/>
        </w:rPr>
        <w:t> </w:t>
      </w:r>
      <w:r>
        <w:rPr>
          <w:rFonts w:ascii="Calibri" w:hAnsi="Calibri"/>
          <w:i/>
          <w:color w:val="231F20"/>
          <w:w w:val="105"/>
          <w:sz w:val="17"/>
        </w:rPr>
        <w:t>of</w:t>
      </w:r>
      <w:r>
        <w:rPr>
          <w:rFonts w:ascii="Calibri" w:hAnsi="Calibri"/>
          <w:i/>
          <w:color w:val="231F20"/>
          <w:spacing w:val="-17"/>
          <w:w w:val="105"/>
          <w:sz w:val="17"/>
        </w:rPr>
        <w:t> </w:t>
      </w:r>
      <w:r>
        <w:rPr>
          <w:rFonts w:ascii="Calibri" w:hAnsi="Calibri"/>
          <w:i/>
          <w:color w:val="231F20"/>
          <w:w w:val="105"/>
          <w:sz w:val="17"/>
        </w:rPr>
        <w:t>Humanitarian</w:t>
      </w:r>
      <w:r>
        <w:rPr>
          <w:rFonts w:ascii="Calibri" w:hAnsi="Calibri"/>
          <w:i/>
          <w:color w:val="231F20"/>
          <w:spacing w:val="-17"/>
          <w:w w:val="105"/>
          <w:sz w:val="17"/>
        </w:rPr>
        <w:t> </w:t>
      </w:r>
      <w:r>
        <w:rPr>
          <w:rFonts w:ascii="Calibri" w:hAnsi="Calibri"/>
          <w:i/>
          <w:color w:val="231F20"/>
          <w:w w:val="105"/>
          <w:sz w:val="17"/>
        </w:rPr>
        <w:t>Intervention</w:t>
      </w:r>
      <w:r>
        <w:rPr>
          <w:rFonts w:ascii="Calibri" w:hAnsi="Calibri"/>
          <w:color w:val="231F20"/>
          <w:w w:val="105"/>
          <w:sz w:val="17"/>
        </w:rPr>
        <w:t>,</w:t>
      </w:r>
      <w:r>
        <w:rPr>
          <w:rFonts w:ascii="Calibri" w:hAnsi="Calibri"/>
          <w:color w:val="231F20"/>
          <w:spacing w:val="-18"/>
          <w:w w:val="105"/>
          <w:sz w:val="17"/>
        </w:rPr>
        <w:t> </w:t>
      </w:r>
      <w:r>
        <w:rPr>
          <w:rFonts w:ascii="Calibri" w:hAnsi="Calibri"/>
          <w:color w:val="231F20"/>
          <w:w w:val="105"/>
          <w:sz w:val="17"/>
        </w:rPr>
        <w:t>The</w:t>
      </w:r>
      <w:r>
        <w:rPr>
          <w:rFonts w:ascii="Calibri" w:hAnsi="Calibri"/>
          <w:color w:val="231F20"/>
          <w:spacing w:val="-16"/>
          <w:w w:val="105"/>
          <w:sz w:val="17"/>
        </w:rPr>
        <w:t> </w:t>
      </w:r>
      <w:r>
        <w:rPr>
          <w:rFonts w:ascii="Calibri" w:hAnsi="Calibri"/>
          <w:color w:val="231F20"/>
          <w:w w:val="105"/>
          <w:sz w:val="17"/>
        </w:rPr>
        <w:t>Hague– London–Boston,</w:t>
      </w:r>
      <w:r>
        <w:rPr>
          <w:rFonts w:ascii="Calibri" w:hAnsi="Calibri"/>
          <w:color w:val="231F20"/>
          <w:spacing w:val="-20"/>
          <w:w w:val="105"/>
          <w:sz w:val="17"/>
        </w:rPr>
        <w:t> </w:t>
      </w:r>
      <w:r>
        <w:rPr>
          <w:rFonts w:ascii="Calibri" w:hAnsi="Calibri"/>
          <w:color w:val="231F20"/>
          <w:w w:val="105"/>
          <w:sz w:val="17"/>
        </w:rPr>
        <w:t>Kluwer</w:t>
      </w:r>
      <w:r>
        <w:rPr>
          <w:rFonts w:ascii="Calibri" w:hAnsi="Calibri"/>
          <w:color w:val="231F20"/>
          <w:spacing w:val="-20"/>
          <w:w w:val="105"/>
          <w:sz w:val="17"/>
        </w:rPr>
        <w:t> </w:t>
      </w:r>
      <w:r>
        <w:rPr>
          <w:rFonts w:ascii="Calibri" w:hAnsi="Calibri"/>
          <w:color w:val="231F20"/>
          <w:w w:val="105"/>
          <w:sz w:val="17"/>
        </w:rPr>
        <w:t>Law</w:t>
      </w:r>
      <w:r>
        <w:rPr>
          <w:rFonts w:ascii="Calibri" w:hAnsi="Calibri"/>
          <w:color w:val="231F20"/>
          <w:spacing w:val="-20"/>
          <w:w w:val="105"/>
          <w:sz w:val="17"/>
        </w:rPr>
        <w:t> </w:t>
      </w:r>
      <w:r>
        <w:rPr>
          <w:rFonts w:ascii="Calibri" w:hAnsi="Calibri"/>
          <w:color w:val="231F20"/>
          <w:w w:val="105"/>
          <w:sz w:val="17"/>
        </w:rPr>
        <w:t>International,</w:t>
      </w:r>
      <w:r>
        <w:rPr>
          <w:rFonts w:ascii="Calibri" w:hAnsi="Calibri"/>
          <w:color w:val="231F20"/>
          <w:spacing w:val="-20"/>
          <w:w w:val="105"/>
          <w:sz w:val="17"/>
        </w:rPr>
        <w:t> </w:t>
      </w:r>
      <w:r>
        <w:rPr>
          <w:rFonts w:ascii="Calibri" w:hAnsi="Calibri"/>
          <w:color w:val="231F20"/>
          <w:w w:val="105"/>
          <w:sz w:val="17"/>
        </w:rPr>
        <w:t>1999,</w:t>
      </w:r>
      <w:r>
        <w:rPr>
          <w:rFonts w:ascii="Calibri" w:hAnsi="Calibri"/>
          <w:color w:val="231F20"/>
          <w:spacing w:val="-20"/>
          <w:w w:val="105"/>
          <w:sz w:val="17"/>
        </w:rPr>
        <w:t> </w:t>
      </w:r>
      <w:r>
        <w:rPr>
          <w:rFonts w:ascii="Calibri" w:hAnsi="Calibri"/>
          <w:color w:val="231F20"/>
          <w:w w:val="105"/>
          <w:sz w:val="17"/>
        </w:rPr>
        <w:t>p.</w:t>
      </w:r>
      <w:r>
        <w:rPr>
          <w:rFonts w:ascii="Calibri" w:hAnsi="Calibri"/>
          <w:color w:val="231F20"/>
          <w:spacing w:val="-20"/>
          <w:w w:val="105"/>
          <w:sz w:val="17"/>
        </w:rPr>
        <w:t> </w:t>
      </w:r>
      <w:r>
        <w:rPr>
          <w:rFonts w:ascii="Calibri" w:hAnsi="Calibri"/>
          <w:color w:val="231F20"/>
          <w:w w:val="105"/>
          <w:sz w:val="17"/>
        </w:rPr>
        <w:t>30.</w:t>
      </w:r>
    </w:p>
    <w:p>
      <w:pPr>
        <w:spacing w:line="204" w:lineRule="exact" w:before="0"/>
        <w:ind w:left="117" w:right="101" w:firstLine="0"/>
        <w:jc w:val="both"/>
        <w:rPr>
          <w:rFonts w:ascii="Calibri"/>
          <w:sz w:val="17"/>
        </w:rPr>
      </w:pPr>
      <w:r>
        <w:rPr>
          <w:rFonts w:ascii="Calibri"/>
          <w:color w:val="231F20"/>
          <w:position w:val="6"/>
          <w:sz w:val="10"/>
        </w:rPr>
        <w:t>22 </w:t>
      </w:r>
      <w:r>
        <w:rPr>
          <w:rFonts w:ascii="Calibri"/>
          <w:color w:val="231F20"/>
          <w:sz w:val="17"/>
        </w:rPr>
        <w:t>L. Bonanate, </w:t>
      </w:r>
      <w:r>
        <w:rPr>
          <w:rFonts w:ascii="Calibri"/>
          <w:i/>
          <w:color w:val="231F20"/>
          <w:sz w:val="17"/>
        </w:rPr>
        <w:t>Prefazione </w:t>
      </w:r>
      <w:r>
        <w:rPr>
          <w:rFonts w:ascii="Calibri"/>
          <w:color w:val="231F20"/>
          <w:sz w:val="17"/>
        </w:rPr>
        <w:t>a </w:t>
      </w:r>
      <w:r>
        <w:rPr>
          <w:rFonts w:ascii="Calibri"/>
          <w:color w:val="231F20"/>
          <w:spacing w:val="-10"/>
          <w:sz w:val="17"/>
        </w:rPr>
        <w:t>P. </w:t>
      </w:r>
      <w:r>
        <w:rPr>
          <w:rFonts w:ascii="Calibri"/>
          <w:color w:val="231F20"/>
          <w:sz w:val="17"/>
        </w:rPr>
        <w:t>M. Defarges, </w:t>
      </w:r>
      <w:r>
        <w:rPr>
          <w:rFonts w:ascii="Calibri"/>
          <w:i/>
          <w:color w:val="231F20"/>
          <w:sz w:val="17"/>
        </w:rPr>
        <w:t>Legittime interferenze. Il diritto di ingerenza dopo il</w:t>
      </w:r>
      <w:r>
        <w:rPr>
          <w:rFonts w:ascii="Calibri"/>
          <w:i/>
          <w:color w:val="231F20"/>
          <w:spacing w:val="-21"/>
          <w:sz w:val="17"/>
        </w:rPr>
        <w:t> </w:t>
      </w:r>
      <w:r>
        <w:rPr>
          <w:rFonts w:ascii="Calibri"/>
          <w:i/>
          <w:color w:val="231F20"/>
          <w:sz w:val="17"/>
        </w:rPr>
        <w:t>2001</w:t>
      </w:r>
      <w:r>
        <w:rPr>
          <w:rFonts w:ascii="Calibri"/>
          <w:color w:val="231F20"/>
          <w:sz w:val="17"/>
        </w:rPr>
        <w:t>, Milano, Bruno Mondadori, 2008, p. </w:t>
      </w:r>
      <w:r>
        <w:rPr>
          <w:rFonts w:ascii="Calibri"/>
          <w:color w:val="231F20"/>
          <w:spacing w:val="15"/>
          <w:sz w:val="17"/>
        </w:rPr>
        <w:t> </w:t>
      </w:r>
      <w:r>
        <w:rPr>
          <w:rFonts w:ascii="Calibri"/>
          <w:color w:val="231F20"/>
          <w:sz w:val="15"/>
        </w:rPr>
        <w:t>XIX</w:t>
      </w:r>
      <w:r>
        <w:rPr>
          <w:rFonts w:ascii="Calibri"/>
          <w:color w:val="231F20"/>
          <w:sz w:val="17"/>
        </w:rPr>
        <w:t>.</w:t>
      </w:r>
    </w:p>
    <w:p>
      <w:pPr>
        <w:spacing w:line="204" w:lineRule="exact" w:before="0"/>
        <w:ind w:left="117" w:right="101" w:firstLine="0"/>
        <w:jc w:val="both"/>
        <w:rPr>
          <w:rFonts w:ascii="Calibri" w:hAnsi="Calibri"/>
          <w:sz w:val="17"/>
        </w:rPr>
      </w:pPr>
      <w:r>
        <w:rPr>
          <w:rFonts w:ascii="Calibri" w:hAnsi="Calibri"/>
          <w:color w:val="231F20"/>
          <w:position w:val="6"/>
          <w:sz w:val="10"/>
        </w:rPr>
        <w:t>23 </w:t>
      </w:r>
      <w:r>
        <w:rPr>
          <w:rFonts w:ascii="Calibri" w:hAnsi="Calibri"/>
          <w:color w:val="231F20"/>
          <w:sz w:val="17"/>
        </w:rPr>
        <w:t>S. Benhabib, </w:t>
      </w:r>
      <w:r>
        <w:rPr>
          <w:rFonts w:ascii="Calibri" w:hAnsi="Calibri"/>
          <w:i/>
          <w:color w:val="231F20"/>
          <w:sz w:val="17"/>
        </w:rPr>
        <w:t>Another Cosmopolitanism</w:t>
      </w:r>
      <w:r>
        <w:rPr>
          <w:rFonts w:ascii="Calibri" w:hAnsi="Calibri"/>
          <w:color w:val="231F20"/>
          <w:sz w:val="17"/>
        </w:rPr>
        <w:t>, Oxford, Oxford University Press, 2006 (trad. it. parz. </w:t>
      </w:r>
      <w:r>
        <w:rPr>
          <w:rFonts w:ascii="Calibri" w:hAnsi="Calibri"/>
          <w:i/>
          <w:color w:val="231F20"/>
          <w:sz w:val="17"/>
        </w:rPr>
        <w:t>Ci- </w:t>
      </w:r>
      <w:r>
        <w:rPr>
          <w:rFonts w:ascii="Calibri" w:hAnsi="Calibri"/>
          <w:i/>
          <w:color w:val="231F20"/>
          <w:sz w:val="17"/>
        </w:rPr>
        <w:t>ttadini globali. Cosmopolitismo e democrazia</w:t>
      </w:r>
      <w:r>
        <w:rPr>
          <w:rFonts w:ascii="Calibri" w:hAnsi="Calibri"/>
          <w:color w:val="231F20"/>
          <w:sz w:val="17"/>
        </w:rPr>
        <w:t>, Bologna, il Mulino, 2008, pp. 41–42). Pero sobre el tema</w:t>
      </w:r>
      <w:r>
        <w:rPr>
          <w:rFonts w:ascii="Calibri" w:hAnsi="Calibri"/>
          <w:color w:val="231F20"/>
          <w:spacing w:val="-8"/>
          <w:sz w:val="17"/>
        </w:rPr>
        <w:t> </w:t>
      </w:r>
      <w:r>
        <w:rPr>
          <w:rFonts w:ascii="Calibri" w:hAnsi="Calibri"/>
          <w:color w:val="231F20"/>
          <w:sz w:val="17"/>
        </w:rPr>
        <w:t>véase</w:t>
      </w:r>
      <w:r>
        <w:rPr>
          <w:rFonts w:ascii="Calibri" w:hAnsi="Calibri"/>
          <w:color w:val="231F20"/>
          <w:spacing w:val="-5"/>
          <w:sz w:val="17"/>
        </w:rPr>
        <w:t> </w:t>
      </w:r>
      <w:r>
        <w:rPr>
          <w:rFonts w:ascii="Calibri" w:hAnsi="Calibri"/>
          <w:color w:val="231F20"/>
          <w:sz w:val="17"/>
        </w:rPr>
        <w:t>también</w:t>
      </w:r>
      <w:r>
        <w:rPr>
          <w:rFonts w:ascii="Calibri" w:hAnsi="Calibri"/>
          <w:color w:val="231F20"/>
          <w:spacing w:val="-5"/>
          <w:sz w:val="17"/>
        </w:rPr>
        <w:t> </w:t>
      </w:r>
      <w:r>
        <w:rPr>
          <w:rFonts w:ascii="Calibri" w:hAnsi="Calibri"/>
          <w:color w:val="231F20"/>
          <w:sz w:val="17"/>
        </w:rPr>
        <w:t>S.</w:t>
      </w:r>
      <w:r>
        <w:rPr>
          <w:rFonts w:ascii="Calibri" w:hAnsi="Calibri"/>
          <w:color w:val="231F20"/>
          <w:spacing w:val="-5"/>
          <w:sz w:val="17"/>
        </w:rPr>
        <w:t> </w:t>
      </w:r>
      <w:r>
        <w:rPr>
          <w:rFonts w:ascii="Calibri" w:hAnsi="Calibri"/>
          <w:color w:val="231F20"/>
          <w:sz w:val="17"/>
        </w:rPr>
        <w:t>Benhabib,</w:t>
      </w:r>
      <w:r>
        <w:rPr>
          <w:rFonts w:ascii="Calibri" w:hAnsi="Calibri"/>
          <w:color w:val="231F20"/>
          <w:spacing w:val="-5"/>
          <w:sz w:val="17"/>
        </w:rPr>
        <w:t> </w:t>
      </w:r>
      <w:r>
        <w:rPr>
          <w:rFonts w:ascii="Calibri" w:hAnsi="Calibri"/>
          <w:i/>
          <w:color w:val="231F20"/>
          <w:sz w:val="17"/>
        </w:rPr>
        <w:t>The</w:t>
      </w:r>
      <w:r>
        <w:rPr>
          <w:rFonts w:ascii="Calibri" w:hAnsi="Calibri"/>
          <w:i/>
          <w:color w:val="231F20"/>
          <w:spacing w:val="-6"/>
          <w:sz w:val="17"/>
        </w:rPr>
        <w:t> </w:t>
      </w:r>
      <w:r>
        <w:rPr>
          <w:rFonts w:ascii="Calibri" w:hAnsi="Calibri"/>
          <w:i/>
          <w:color w:val="231F20"/>
          <w:sz w:val="17"/>
        </w:rPr>
        <w:t>Rights</w:t>
      </w:r>
      <w:r>
        <w:rPr>
          <w:rFonts w:ascii="Calibri" w:hAnsi="Calibri"/>
          <w:i/>
          <w:color w:val="231F20"/>
          <w:spacing w:val="-6"/>
          <w:sz w:val="17"/>
        </w:rPr>
        <w:t> </w:t>
      </w:r>
      <w:r>
        <w:rPr>
          <w:rFonts w:ascii="Calibri" w:hAnsi="Calibri"/>
          <w:i/>
          <w:color w:val="231F20"/>
          <w:sz w:val="17"/>
        </w:rPr>
        <w:t>of</w:t>
      </w:r>
      <w:r>
        <w:rPr>
          <w:rFonts w:ascii="Calibri" w:hAnsi="Calibri"/>
          <w:i/>
          <w:color w:val="231F20"/>
          <w:spacing w:val="-6"/>
          <w:sz w:val="17"/>
        </w:rPr>
        <w:t> </w:t>
      </w:r>
      <w:r>
        <w:rPr>
          <w:rFonts w:ascii="Calibri" w:hAnsi="Calibri"/>
          <w:i/>
          <w:color w:val="231F20"/>
          <w:sz w:val="17"/>
        </w:rPr>
        <w:t>the</w:t>
      </w:r>
      <w:r>
        <w:rPr>
          <w:rFonts w:ascii="Calibri" w:hAnsi="Calibri"/>
          <w:i/>
          <w:color w:val="231F20"/>
          <w:spacing w:val="-6"/>
          <w:sz w:val="17"/>
        </w:rPr>
        <w:t> </w:t>
      </w:r>
      <w:r>
        <w:rPr>
          <w:rFonts w:ascii="Calibri" w:hAnsi="Calibri"/>
          <w:i/>
          <w:color w:val="231F20"/>
          <w:sz w:val="17"/>
        </w:rPr>
        <w:t>Others.</w:t>
      </w:r>
      <w:r>
        <w:rPr>
          <w:rFonts w:ascii="Calibri" w:hAnsi="Calibri"/>
          <w:i/>
          <w:color w:val="231F20"/>
          <w:spacing w:val="-6"/>
          <w:sz w:val="17"/>
        </w:rPr>
        <w:t> </w:t>
      </w:r>
      <w:r>
        <w:rPr>
          <w:rFonts w:ascii="Calibri" w:hAnsi="Calibri"/>
          <w:i/>
          <w:color w:val="231F20"/>
          <w:sz w:val="17"/>
        </w:rPr>
        <w:t>Aliens,</w:t>
      </w:r>
      <w:r>
        <w:rPr>
          <w:rFonts w:ascii="Calibri" w:hAnsi="Calibri"/>
          <w:i/>
          <w:color w:val="231F20"/>
          <w:spacing w:val="-6"/>
          <w:sz w:val="17"/>
        </w:rPr>
        <w:t> </w:t>
      </w:r>
      <w:r>
        <w:rPr>
          <w:rFonts w:ascii="Calibri" w:hAnsi="Calibri"/>
          <w:i/>
          <w:color w:val="231F20"/>
          <w:sz w:val="17"/>
        </w:rPr>
        <w:t>Residents</w:t>
      </w:r>
      <w:r>
        <w:rPr>
          <w:rFonts w:ascii="Calibri" w:hAnsi="Calibri"/>
          <w:i/>
          <w:color w:val="231F20"/>
          <w:spacing w:val="-6"/>
          <w:sz w:val="17"/>
        </w:rPr>
        <w:t> </w:t>
      </w:r>
      <w:r>
        <w:rPr>
          <w:rFonts w:ascii="Calibri" w:hAnsi="Calibri"/>
          <w:i/>
          <w:color w:val="231F20"/>
          <w:sz w:val="17"/>
        </w:rPr>
        <w:t>and</w:t>
      </w:r>
      <w:r>
        <w:rPr>
          <w:rFonts w:ascii="Calibri" w:hAnsi="Calibri"/>
          <w:i/>
          <w:color w:val="231F20"/>
          <w:spacing w:val="-6"/>
          <w:sz w:val="17"/>
        </w:rPr>
        <w:t> </w:t>
      </w:r>
      <w:r>
        <w:rPr>
          <w:rFonts w:ascii="Calibri" w:hAnsi="Calibri"/>
          <w:i/>
          <w:color w:val="231F20"/>
          <w:sz w:val="17"/>
        </w:rPr>
        <w:t>Citizens</w:t>
      </w:r>
      <w:r>
        <w:rPr>
          <w:rFonts w:ascii="Calibri" w:hAnsi="Calibri"/>
          <w:color w:val="231F20"/>
          <w:sz w:val="17"/>
        </w:rPr>
        <w:t>,</w:t>
      </w:r>
      <w:r>
        <w:rPr>
          <w:rFonts w:ascii="Calibri" w:hAnsi="Calibri"/>
          <w:color w:val="231F20"/>
          <w:spacing w:val="-5"/>
          <w:sz w:val="17"/>
        </w:rPr>
        <w:t> </w:t>
      </w:r>
      <w:r>
        <w:rPr>
          <w:rFonts w:ascii="Calibri" w:hAnsi="Calibri"/>
          <w:color w:val="231F20"/>
          <w:sz w:val="17"/>
        </w:rPr>
        <w:t>Cambridge, Cambridge University Press, 2004 (trad. it. </w:t>
      </w:r>
      <w:r>
        <w:rPr>
          <w:rFonts w:ascii="Calibri" w:hAnsi="Calibri"/>
          <w:i/>
          <w:color w:val="231F20"/>
          <w:sz w:val="17"/>
        </w:rPr>
        <w:t>I diritti degli altri. Stranieri, residenti, cittadini</w:t>
      </w:r>
      <w:r>
        <w:rPr>
          <w:rFonts w:ascii="Calibri" w:hAnsi="Calibri"/>
          <w:color w:val="231F20"/>
          <w:sz w:val="17"/>
        </w:rPr>
        <w:t>, Milano, Cortina, </w:t>
      </w:r>
      <w:r>
        <w:rPr>
          <w:rFonts w:ascii="Calibri" w:hAnsi="Calibri"/>
          <w:color w:val="231F20"/>
          <w:spacing w:val="2"/>
          <w:sz w:val="17"/>
        </w:rPr>
        <w:t> </w:t>
      </w:r>
      <w:r>
        <w:rPr>
          <w:rFonts w:ascii="Calibri" w:hAnsi="Calibri"/>
          <w:color w:val="231F20"/>
          <w:sz w:val="17"/>
        </w:rPr>
        <w:t>2006.</w:t>
      </w:r>
    </w:p>
    <w:p>
      <w:pPr>
        <w:spacing w:line="204" w:lineRule="exact" w:before="0"/>
        <w:ind w:left="117" w:right="101" w:firstLine="0"/>
        <w:jc w:val="both"/>
        <w:rPr>
          <w:rFonts w:ascii="Calibri" w:hAnsi="Calibri"/>
          <w:sz w:val="17"/>
        </w:rPr>
      </w:pPr>
      <w:r>
        <w:rPr>
          <w:rFonts w:ascii="Calibri" w:hAnsi="Calibri"/>
          <w:color w:val="231F20"/>
          <w:w w:val="105"/>
          <w:position w:val="6"/>
          <w:sz w:val="10"/>
        </w:rPr>
        <w:t>24</w:t>
      </w:r>
      <w:r>
        <w:rPr>
          <w:rFonts w:ascii="Calibri" w:hAnsi="Calibri"/>
          <w:color w:val="231F20"/>
          <w:spacing w:val="10"/>
          <w:w w:val="105"/>
          <w:position w:val="6"/>
          <w:sz w:val="10"/>
        </w:rPr>
        <w:t> </w:t>
      </w:r>
      <w:r>
        <w:rPr>
          <w:rFonts w:ascii="Calibri" w:hAnsi="Calibri"/>
          <w:color w:val="231F20"/>
          <w:w w:val="105"/>
          <w:sz w:val="17"/>
        </w:rPr>
        <w:t>Benhabib,</w:t>
      </w:r>
      <w:r>
        <w:rPr>
          <w:rFonts w:ascii="Calibri" w:hAnsi="Calibri"/>
          <w:color w:val="231F20"/>
          <w:spacing w:val="-7"/>
          <w:w w:val="105"/>
          <w:sz w:val="17"/>
        </w:rPr>
        <w:t> </w:t>
      </w:r>
      <w:r>
        <w:rPr>
          <w:rFonts w:ascii="Calibri" w:hAnsi="Calibri"/>
          <w:i/>
          <w:color w:val="231F20"/>
          <w:w w:val="105"/>
          <w:sz w:val="17"/>
        </w:rPr>
        <w:t>Cittadini</w:t>
      </w:r>
      <w:r>
        <w:rPr>
          <w:rFonts w:ascii="Calibri" w:hAnsi="Calibri"/>
          <w:i/>
          <w:color w:val="231F20"/>
          <w:spacing w:val="-8"/>
          <w:w w:val="105"/>
          <w:sz w:val="17"/>
        </w:rPr>
        <w:t> </w:t>
      </w:r>
      <w:r>
        <w:rPr>
          <w:rFonts w:ascii="Calibri" w:hAnsi="Calibri"/>
          <w:i/>
          <w:color w:val="231F20"/>
          <w:w w:val="105"/>
          <w:sz w:val="17"/>
        </w:rPr>
        <w:t>globali</w:t>
      </w:r>
      <w:r>
        <w:rPr>
          <w:rFonts w:ascii="Calibri" w:hAnsi="Calibri"/>
          <w:color w:val="231F20"/>
          <w:w w:val="105"/>
          <w:sz w:val="17"/>
        </w:rPr>
        <w:t>,</w:t>
      </w:r>
      <w:r>
        <w:rPr>
          <w:rFonts w:ascii="Calibri" w:hAnsi="Calibri"/>
          <w:color w:val="231F20"/>
          <w:spacing w:val="-7"/>
          <w:w w:val="105"/>
          <w:sz w:val="17"/>
        </w:rPr>
        <w:t> </w:t>
      </w:r>
      <w:r>
        <w:rPr>
          <w:rFonts w:ascii="Calibri" w:hAnsi="Calibri"/>
          <w:color w:val="231F20"/>
          <w:w w:val="105"/>
          <w:sz w:val="17"/>
        </w:rPr>
        <w:t>p.</w:t>
      </w:r>
      <w:r>
        <w:rPr>
          <w:rFonts w:ascii="Calibri" w:hAnsi="Calibri"/>
          <w:color w:val="231F20"/>
          <w:spacing w:val="-7"/>
          <w:w w:val="105"/>
          <w:sz w:val="17"/>
        </w:rPr>
        <w:t> </w:t>
      </w:r>
      <w:r>
        <w:rPr>
          <w:rFonts w:ascii="Calibri" w:hAnsi="Calibri"/>
          <w:color w:val="231F20"/>
          <w:spacing w:val="-5"/>
          <w:w w:val="105"/>
          <w:sz w:val="17"/>
        </w:rPr>
        <w:t>17.</w:t>
      </w:r>
      <w:r>
        <w:rPr>
          <w:rFonts w:ascii="Calibri" w:hAnsi="Calibri"/>
          <w:color w:val="231F20"/>
          <w:spacing w:val="-7"/>
          <w:w w:val="105"/>
          <w:sz w:val="17"/>
        </w:rPr>
        <w:t> </w:t>
      </w:r>
      <w:r>
        <w:rPr>
          <w:rFonts w:ascii="Calibri" w:hAnsi="Calibri"/>
          <w:color w:val="231F20"/>
          <w:w w:val="105"/>
          <w:sz w:val="17"/>
        </w:rPr>
        <w:t>Los</w:t>
      </w:r>
      <w:r>
        <w:rPr>
          <w:rFonts w:ascii="Calibri" w:hAnsi="Calibri"/>
          <w:color w:val="231F20"/>
          <w:spacing w:val="-7"/>
          <w:w w:val="105"/>
          <w:sz w:val="17"/>
        </w:rPr>
        <w:t> </w:t>
      </w:r>
      <w:r>
        <w:rPr>
          <w:rFonts w:ascii="Calibri" w:hAnsi="Calibri"/>
          <w:color w:val="231F20"/>
          <w:w w:val="105"/>
          <w:sz w:val="17"/>
        </w:rPr>
        <w:t>demás</w:t>
      </w:r>
      <w:r>
        <w:rPr>
          <w:rFonts w:ascii="Calibri" w:hAnsi="Calibri"/>
          <w:color w:val="231F20"/>
          <w:spacing w:val="-7"/>
          <w:w w:val="105"/>
          <w:sz w:val="17"/>
        </w:rPr>
        <w:t> </w:t>
      </w:r>
      <w:r>
        <w:rPr>
          <w:rFonts w:ascii="Calibri" w:hAnsi="Calibri"/>
          <w:color w:val="231F20"/>
          <w:w w:val="105"/>
          <w:sz w:val="17"/>
        </w:rPr>
        <w:t>ámbitos</w:t>
      </w:r>
      <w:r>
        <w:rPr>
          <w:rFonts w:ascii="Calibri" w:hAnsi="Calibri"/>
          <w:color w:val="231F20"/>
          <w:spacing w:val="-7"/>
          <w:w w:val="105"/>
          <w:sz w:val="17"/>
        </w:rPr>
        <w:t> </w:t>
      </w:r>
      <w:r>
        <w:rPr>
          <w:rFonts w:ascii="Calibri" w:hAnsi="Calibri"/>
          <w:color w:val="231F20"/>
          <w:w w:val="105"/>
          <w:sz w:val="17"/>
        </w:rPr>
        <w:t>en</w:t>
      </w:r>
      <w:r>
        <w:rPr>
          <w:rFonts w:ascii="Calibri" w:hAnsi="Calibri"/>
          <w:color w:val="231F20"/>
          <w:spacing w:val="-7"/>
          <w:w w:val="105"/>
          <w:sz w:val="17"/>
        </w:rPr>
        <w:t> </w:t>
      </w:r>
      <w:r>
        <w:rPr>
          <w:rFonts w:ascii="Calibri" w:hAnsi="Calibri"/>
          <w:color w:val="231F20"/>
          <w:w w:val="105"/>
          <w:sz w:val="17"/>
        </w:rPr>
        <w:t>que</w:t>
      </w:r>
      <w:r>
        <w:rPr>
          <w:rFonts w:ascii="Calibri" w:hAnsi="Calibri"/>
          <w:color w:val="231F20"/>
          <w:spacing w:val="-7"/>
          <w:w w:val="105"/>
          <w:sz w:val="17"/>
        </w:rPr>
        <w:t> </w:t>
      </w:r>
      <w:r>
        <w:rPr>
          <w:rFonts w:ascii="Calibri" w:hAnsi="Calibri"/>
          <w:color w:val="231F20"/>
          <w:w w:val="105"/>
          <w:sz w:val="17"/>
        </w:rPr>
        <w:t>“las</w:t>
      </w:r>
      <w:r>
        <w:rPr>
          <w:rFonts w:ascii="Calibri" w:hAnsi="Calibri"/>
          <w:color w:val="231F20"/>
          <w:spacing w:val="-7"/>
          <w:w w:val="105"/>
          <w:sz w:val="17"/>
        </w:rPr>
        <w:t> </w:t>
      </w:r>
      <w:r>
        <w:rPr>
          <w:rFonts w:ascii="Calibri" w:hAnsi="Calibri"/>
          <w:color w:val="231F20"/>
          <w:w w:val="105"/>
          <w:sz w:val="17"/>
        </w:rPr>
        <w:t>normas</w:t>
      </w:r>
      <w:r>
        <w:rPr>
          <w:rFonts w:ascii="Calibri" w:hAnsi="Calibri"/>
          <w:color w:val="231F20"/>
          <w:spacing w:val="-7"/>
          <w:w w:val="105"/>
          <w:sz w:val="17"/>
        </w:rPr>
        <w:t> </w:t>
      </w:r>
      <w:r>
        <w:rPr>
          <w:rFonts w:ascii="Calibri" w:hAnsi="Calibri"/>
          <w:color w:val="231F20"/>
          <w:w w:val="105"/>
          <w:sz w:val="17"/>
        </w:rPr>
        <w:t>internacionales</w:t>
      </w:r>
      <w:r>
        <w:rPr>
          <w:rFonts w:ascii="Calibri" w:hAnsi="Calibri"/>
          <w:color w:val="231F20"/>
          <w:spacing w:val="-7"/>
          <w:w w:val="105"/>
          <w:sz w:val="17"/>
        </w:rPr>
        <w:t> </w:t>
      </w:r>
      <w:r>
        <w:rPr>
          <w:rFonts w:ascii="Calibri" w:hAnsi="Calibri"/>
          <w:color w:val="231F20"/>
          <w:w w:val="105"/>
          <w:sz w:val="17"/>
        </w:rPr>
        <w:t>sobre derechos</w:t>
      </w:r>
      <w:r>
        <w:rPr>
          <w:rFonts w:ascii="Calibri" w:hAnsi="Calibri"/>
          <w:color w:val="231F20"/>
          <w:spacing w:val="-20"/>
          <w:w w:val="105"/>
          <w:sz w:val="17"/>
        </w:rPr>
        <w:t> </w:t>
      </w:r>
      <w:r>
        <w:rPr>
          <w:rFonts w:ascii="Calibri" w:hAnsi="Calibri"/>
          <w:color w:val="231F20"/>
          <w:w w:val="105"/>
          <w:sz w:val="17"/>
        </w:rPr>
        <w:t>humanos</w:t>
      </w:r>
      <w:r>
        <w:rPr>
          <w:rFonts w:ascii="Calibri" w:hAnsi="Calibri"/>
          <w:color w:val="231F20"/>
          <w:spacing w:val="-20"/>
          <w:w w:val="105"/>
          <w:sz w:val="17"/>
        </w:rPr>
        <w:t> </w:t>
      </w:r>
      <w:r>
        <w:rPr>
          <w:rFonts w:ascii="Calibri" w:hAnsi="Calibri"/>
          <w:color w:val="231F20"/>
          <w:w w:val="105"/>
          <w:sz w:val="17"/>
        </w:rPr>
        <w:t>están</w:t>
      </w:r>
      <w:r>
        <w:rPr>
          <w:rFonts w:ascii="Calibri" w:hAnsi="Calibri"/>
          <w:color w:val="231F20"/>
          <w:spacing w:val="-20"/>
          <w:w w:val="105"/>
          <w:sz w:val="17"/>
        </w:rPr>
        <w:t> </w:t>
      </w:r>
      <w:r>
        <w:rPr>
          <w:rFonts w:ascii="Calibri" w:hAnsi="Calibri"/>
          <w:color w:val="231F20"/>
          <w:w w:val="105"/>
          <w:sz w:val="17"/>
        </w:rPr>
        <w:t>instituyendo</w:t>
      </w:r>
      <w:r>
        <w:rPr>
          <w:rFonts w:ascii="Calibri" w:hAnsi="Calibri"/>
          <w:color w:val="231F20"/>
          <w:spacing w:val="-20"/>
          <w:w w:val="105"/>
          <w:sz w:val="17"/>
        </w:rPr>
        <w:t> </w:t>
      </w:r>
      <w:r>
        <w:rPr>
          <w:rFonts w:ascii="Calibri" w:hAnsi="Calibri"/>
          <w:color w:val="231F20"/>
          <w:w w:val="105"/>
          <w:sz w:val="17"/>
        </w:rPr>
        <w:t>líneas</w:t>
      </w:r>
      <w:r>
        <w:rPr>
          <w:rFonts w:ascii="Calibri" w:hAnsi="Calibri"/>
          <w:color w:val="231F20"/>
          <w:spacing w:val="-20"/>
          <w:w w:val="105"/>
          <w:sz w:val="17"/>
        </w:rPr>
        <w:t> </w:t>
      </w:r>
      <w:r>
        <w:rPr>
          <w:rFonts w:ascii="Calibri" w:hAnsi="Calibri"/>
          <w:color w:val="231F20"/>
          <w:w w:val="105"/>
          <w:sz w:val="17"/>
        </w:rPr>
        <w:t>guía</w:t>
      </w:r>
      <w:r>
        <w:rPr>
          <w:rFonts w:ascii="Calibri" w:hAnsi="Calibri"/>
          <w:color w:val="231F20"/>
          <w:spacing w:val="-22"/>
          <w:w w:val="105"/>
          <w:sz w:val="17"/>
        </w:rPr>
        <w:t> </w:t>
      </w:r>
      <w:r>
        <w:rPr>
          <w:rFonts w:ascii="Calibri" w:hAnsi="Calibri"/>
          <w:color w:val="231F20"/>
          <w:w w:val="105"/>
          <w:sz w:val="17"/>
        </w:rPr>
        <w:t>vinculantes</w:t>
      </w:r>
      <w:r>
        <w:rPr>
          <w:rFonts w:ascii="Calibri" w:hAnsi="Calibri"/>
          <w:color w:val="231F20"/>
          <w:spacing w:val="-20"/>
          <w:w w:val="105"/>
          <w:sz w:val="17"/>
        </w:rPr>
        <w:t> </w:t>
      </w:r>
      <w:r>
        <w:rPr>
          <w:rFonts w:ascii="Calibri" w:hAnsi="Calibri"/>
          <w:color w:val="231F20"/>
          <w:w w:val="105"/>
          <w:sz w:val="17"/>
        </w:rPr>
        <w:t>para</w:t>
      </w:r>
      <w:r>
        <w:rPr>
          <w:rFonts w:ascii="Calibri" w:hAnsi="Calibri"/>
          <w:color w:val="231F20"/>
          <w:spacing w:val="-20"/>
          <w:w w:val="105"/>
          <w:sz w:val="17"/>
        </w:rPr>
        <w:t> </w:t>
      </w:r>
      <w:r>
        <w:rPr>
          <w:rFonts w:ascii="Calibri" w:hAnsi="Calibri"/>
          <w:color w:val="231F20"/>
          <w:w w:val="105"/>
          <w:sz w:val="17"/>
        </w:rPr>
        <w:t>la</w:t>
      </w:r>
      <w:r>
        <w:rPr>
          <w:rFonts w:ascii="Calibri" w:hAnsi="Calibri"/>
          <w:color w:val="231F20"/>
          <w:spacing w:val="-22"/>
          <w:w w:val="105"/>
          <w:sz w:val="17"/>
        </w:rPr>
        <w:t> </w:t>
      </w:r>
      <w:r>
        <w:rPr>
          <w:rFonts w:ascii="Calibri" w:hAnsi="Calibri"/>
          <w:color w:val="231F20"/>
          <w:w w:val="105"/>
          <w:sz w:val="17"/>
        </w:rPr>
        <w:t>voluntad</w:t>
      </w:r>
      <w:r>
        <w:rPr>
          <w:rFonts w:ascii="Calibri" w:hAnsi="Calibri"/>
          <w:color w:val="231F20"/>
          <w:spacing w:val="-20"/>
          <w:w w:val="105"/>
          <w:sz w:val="17"/>
        </w:rPr>
        <w:t> </w:t>
      </w:r>
      <w:r>
        <w:rPr>
          <w:rFonts w:ascii="Calibri" w:hAnsi="Calibri"/>
          <w:color w:val="231F20"/>
          <w:w w:val="105"/>
          <w:sz w:val="17"/>
        </w:rPr>
        <w:t>de</w:t>
      </w:r>
      <w:r>
        <w:rPr>
          <w:rFonts w:ascii="Calibri" w:hAnsi="Calibri"/>
          <w:color w:val="231F20"/>
          <w:spacing w:val="-20"/>
          <w:w w:val="105"/>
          <w:sz w:val="17"/>
        </w:rPr>
        <w:t> </w:t>
      </w:r>
      <w:r>
        <w:rPr>
          <w:rFonts w:ascii="Calibri" w:hAnsi="Calibri"/>
          <w:color w:val="231F20"/>
          <w:w w:val="105"/>
          <w:sz w:val="17"/>
        </w:rPr>
        <w:t>los</w:t>
      </w:r>
      <w:r>
        <w:rPr>
          <w:rFonts w:ascii="Calibri" w:hAnsi="Calibri"/>
          <w:color w:val="231F20"/>
          <w:spacing w:val="-20"/>
          <w:w w:val="105"/>
          <w:sz w:val="17"/>
        </w:rPr>
        <w:t> </w:t>
      </w:r>
      <w:r>
        <w:rPr>
          <w:rFonts w:ascii="Calibri" w:hAnsi="Calibri"/>
          <w:color w:val="231F20"/>
          <w:w w:val="105"/>
          <w:sz w:val="17"/>
        </w:rPr>
        <w:t>estados</w:t>
      </w:r>
      <w:r>
        <w:rPr>
          <w:rFonts w:ascii="Calibri" w:hAnsi="Calibri"/>
          <w:color w:val="231F20"/>
          <w:spacing w:val="-20"/>
          <w:w w:val="105"/>
          <w:sz w:val="17"/>
        </w:rPr>
        <w:t> </w:t>
      </w:r>
      <w:r>
        <w:rPr>
          <w:rFonts w:ascii="Calibri" w:hAnsi="Calibri"/>
          <w:color w:val="231F20"/>
          <w:w w:val="105"/>
          <w:sz w:val="17"/>
        </w:rPr>
        <w:t>sobe- ranos”</w:t>
      </w:r>
      <w:r>
        <w:rPr>
          <w:rFonts w:ascii="Calibri" w:hAnsi="Calibri"/>
          <w:color w:val="231F20"/>
          <w:spacing w:val="-21"/>
          <w:w w:val="105"/>
          <w:sz w:val="17"/>
        </w:rPr>
        <w:t> </w:t>
      </w:r>
      <w:r>
        <w:rPr>
          <w:rFonts w:ascii="Calibri" w:hAnsi="Calibri"/>
          <w:color w:val="231F20"/>
          <w:w w:val="105"/>
          <w:sz w:val="17"/>
        </w:rPr>
        <w:t>son,</w:t>
      </w:r>
      <w:r>
        <w:rPr>
          <w:rFonts w:ascii="Calibri" w:hAnsi="Calibri"/>
          <w:color w:val="231F20"/>
          <w:spacing w:val="-21"/>
          <w:w w:val="105"/>
          <w:sz w:val="17"/>
        </w:rPr>
        <w:t> </w:t>
      </w:r>
      <w:r>
        <w:rPr>
          <w:rFonts w:ascii="Calibri" w:hAnsi="Calibri"/>
          <w:color w:val="231F20"/>
          <w:w w:val="105"/>
          <w:sz w:val="17"/>
        </w:rPr>
        <w:t>según</w:t>
      </w:r>
      <w:r>
        <w:rPr>
          <w:rFonts w:ascii="Calibri" w:hAnsi="Calibri"/>
          <w:color w:val="231F20"/>
          <w:spacing w:val="-21"/>
          <w:w w:val="105"/>
          <w:sz w:val="17"/>
        </w:rPr>
        <w:t> </w:t>
      </w:r>
      <w:r>
        <w:rPr>
          <w:rFonts w:ascii="Calibri" w:hAnsi="Calibri"/>
          <w:color w:val="231F20"/>
          <w:w w:val="105"/>
          <w:sz w:val="17"/>
        </w:rPr>
        <w:t>Benhabib,</w:t>
      </w:r>
      <w:r>
        <w:rPr>
          <w:rFonts w:ascii="Calibri" w:hAnsi="Calibri"/>
          <w:color w:val="231F20"/>
          <w:spacing w:val="-21"/>
          <w:w w:val="105"/>
          <w:sz w:val="17"/>
        </w:rPr>
        <w:t> </w:t>
      </w:r>
      <w:r>
        <w:rPr>
          <w:rFonts w:ascii="Calibri" w:hAnsi="Calibri"/>
          <w:color w:val="231F20"/>
          <w:w w:val="105"/>
          <w:sz w:val="17"/>
        </w:rPr>
        <w:t>los</w:t>
      </w:r>
      <w:r>
        <w:rPr>
          <w:rFonts w:ascii="Calibri" w:hAnsi="Calibri"/>
          <w:color w:val="231F20"/>
          <w:spacing w:val="-21"/>
          <w:w w:val="105"/>
          <w:sz w:val="17"/>
        </w:rPr>
        <w:t> </w:t>
      </w:r>
      <w:r>
        <w:rPr>
          <w:rFonts w:ascii="Calibri" w:hAnsi="Calibri"/>
          <w:color w:val="231F20"/>
          <w:w w:val="105"/>
          <w:sz w:val="17"/>
        </w:rPr>
        <w:t>de</w:t>
      </w:r>
      <w:r>
        <w:rPr>
          <w:rFonts w:ascii="Calibri" w:hAnsi="Calibri"/>
          <w:color w:val="231F20"/>
          <w:spacing w:val="-21"/>
          <w:w w:val="105"/>
          <w:sz w:val="17"/>
        </w:rPr>
        <w:t> </w:t>
      </w:r>
      <w:r>
        <w:rPr>
          <w:rFonts w:ascii="Calibri" w:hAnsi="Calibri"/>
          <w:color w:val="231F20"/>
          <w:w w:val="105"/>
          <w:sz w:val="17"/>
        </w:rPr>
        <w:t>los</w:t>
      </w:r>
      <w:r>
        <w:rPr>
          <w:rFonts w:ascii="Calibri" w:hAnsi="Calibri"/>
          <w:color w:val="231F20"/>
          <w:spacing w:val="-21"/>
          <w:w w:val="105"/>
          <w:sz w:val="17"/>
        </w:rPr>
        <w:t> </w:t>
      </w:r>
      <w:r>
        <w:rPr>
          <w:rFonts w:ascii="Calibri" w:hAnsi="Calibri"/>
          <w:i/>
          <w:color w:val="231F20"/>
          <w:w w:val="105"/>
          <w:sz w:val="17"/>
        </w:rPr>
        <w:t>crímenes</w:t>
      </w:r>
      <w:r>
        <w:rPr>
          <w:rFonts w:ascii="Calibri" w:hAnsi="Calibri"/>
          <w:i/>
          <w:color w:val="231F20"/>
          <w:spacing w:val="-21"/>
          <w:w w:val="105"/>
          <w:sz w:val="17"/>
        </w:rPr>
        <w:t> </w:t>
      </w:r>
      <w:r>
        <w:rPr>
          <w:rFonts w:ascii="Calibri" w:hAnsi="Calibri"/>
          <w:i/>
          <w:color w:val="231F20"/>
          <w:w w:val="105"/>
          <w:sz w:val="17"/>
        </w:rPr>
        <w:t>contra</w:t>
      </w:r>
      <w:r>
        <w:rPr>
          <w:rFonts w:ascii="Calibri" w:hAnsi="Calibri"/>
          <w:i/>
          <w:color w:val="231F20"/>
          <w:spacing w:val="-21"/>
          <w:w w:val="105"/>
          <w:sz w:val="17"/>
        </w:rPr>
        <w:t> </w:t>
      </w:r>
      <w:r>
        <w:rPr>
          <w:rFonts w:ascii="Calibri" w:hAnsi="Calibri"/>
          <w:i/>
          <w:color w:val="231F20"/>
          <w:w w:val="105"/>
          <w:sz w:val="17"/>
        </w:rPr>
        <w:t>la</w:t>
      </w:r>
      <w:r>
        <w:rPr>
          <w:rFonts w:ascii="Calibri" w:hAnsi="Calibri"/>
          <w:i/>
          <w:color w:val="231F20"/>
          <w:spacing w:val="-21"/>
          <w:w w:val="105"/>
          <w:sz w:val="17"/>
        </w:rPr>
        <w:t> </w:t>
      </w:r>
      <w:r>
        <w:rPr>
          <w:rFonts w:ascii="Calibri" w:hAnsi="Calibri"/>
          <w:i/>
          <w:color w:val="231F20"/>
          <w:w w:val="105"/>
          <w:sz w:val="17"/>
        </w:rPr>
        <w:t>humanidad</w:t>
      </w:r>
      <w:r>
        <w:rPr>
          <w:rFonts w:ascii="Calibri" w:hAnsi="Calibri"/>
          <w:color w:val="231F20"/>
          <w:w w:val="105"/>
          <w:sz w:val="17"/>
        </w:rPr>
        <w:t>,</w:t>
      </w:r>
      <w:r>
        <w:rPr>
          <w:rFonts w:ascii="Calibri" w:hAnsi="Calibri"/>
          <w:color w:val="231F20"/>
          <w:spacing w:val="-22"/>
          <w:w w:val="105"/>
          <w:sz w:val="17"/>
        </w:rPr>
        <w:t> </w:t>
      </w:r>
      <w:r>
        <w:rPr>
          <w:rFonts w:ascii="Calibri" w:hAnsi="Calibri"/>
          <w:color w:val="231F20"/>
          <w:w w:val="105"/>
          <w:sz w:val="17"/>
        </w:rPr>
        <w:t>y</w:t>
      </w:r>
      <w:r>
        <w:rPr>
          <w:rFonts w:ascii="Calibri" w:hAnsi="Calibri"/>
          <w:color w:val="231F20"/>
          <w:spacing w:val="-21"/>
          <w:w w:val="105"/>
          <w:sz w:val="17"/>
        </w:rPr>
        <w:t> </w:t>
      </w:r>
      <w:r>
        <w:rPr>
          <w:rFonts w:ascii="Calibri" w:hAnsi="Calibri"/>
          <w:color w:val="231F20"/>
          <w:w w:val="105"/>
          <w:sz w:val="17"/>
        </w:rPr>
        <w:t>las</w:t>
      </w:r>
      <w:r>
        <w:rPr>
          <w:rFonts w:ascii="Calibri" w:hAnsi="Calibri"/>
          <w:color w:val="231F20"/>
          <w:spacing w:val="-21"/>
          <w:w w:val="105"/>
          <w:sz w:val="17"/>
        </w:rPr>
        <w:t> </w:t>
      </w:r>
      <w:r>
        <w:rPr>
          <w:rFonts w:ascii="Calibri" w:hAnsi="Calibri"/>
          <w:i/>
          <w:color w:val="231F20"/>
          <w:w w:val="105"/>
          <w:sz w:val="17"/>
        </w:rPr>
        <w:t>migraciones</w:t>
      </w:r>
      <w:r>
        <w:rPr>
          <w:rFonts w:ascii="Calibri" w:hAnsi="Calibri"/>
          <w:i/>
          <w:color w:val="231F20"/>
          <w:spacing w:val="-21"/>
          <w:w w:val="105"/>
          <w:sz w:val="17"/>
        </w:rPr>
        <w:t> </w:t>
      </w:r>
      <w:r>
        <w:rPr>
          <w:rFonts w:ascii="Calibri" w:hAnsi="Calibri"/>
          <w:i/>
          <w:color w:val="231F20"/>
          <w:w w:val="105"/>
          <w:sz w:val="17"/>
        </w:rPr>
        <w:t>transnacio- </w:t>
      </w:r>
      <w:r>
        <w:rPr>
          <w:rFonts w:ascii="Calibri" w:hAnsi="Calibri"/>
          <w:i/>
          <w:color w:val="231F20"/>
          <w:w w:val="105"/>
          <w:sz w:val="17"/>
        </w:rPr>
        <w:t>nales</w:t>
      </w:r>
      <w:r>
        <w:rPr>
          <w:rFonts w:ascii="Calibri" w:hAnsi="Calibri"/>
          <w:color w:val="231F20"/>
          <w:w w:val="105"/>
          <w:sz w:val="17"/>
        </w:rPr>
        <w:t>:</w:t>
      </w:r>
      <w:r>
        <w:rPr>
          <w:rFonts w:ascii="Calibri" w:hAnsi="Calibri"/>
          <w:color w:val="231F20"/>
          <w:spacing w:val="-17"/>
          <w:w w:val="105"/>
          <w:sz w:val="17"/>
        </w:rPr>
        <w:t> </w:t>
      </w:r>
      <w:r>
        <w:rPr>
          <w:rFonts w:ascii="Calibri" w:hAnsi="Calibri"/>
          <w:color w:val="231F20"/>
          <w:w w:val="105"/>
          <w:sz w:val="17"/>
        </w:rPr>
        <w:t>“Las</w:t>
      </w:r>
      <w:r>
        <w:rPr>
          <w:rFonts w:ascii="Calibri" w:hAnsi="Calibri"/>
          <w:color w:val="231F20"/>
          <w:spacing w:val="-17"/>
          <w:w w:val="105"/>
          <w:sz w:val="17"/>
        </w:rPr>
        <w:t> </w:t>
      </w:r>
      <w:r>
        <w:rPr>
          <w:rFonts w:ascii="Calibri" w:hAnsi="Calibri"/>
          <w:color w:val="231F20"/>
          <w:w w:val="105"/>
          <w:sz w:val="17"/>
        </w:rPr>
        <w:t>intervenciones</w:t>
      </w:r>
      <w:r>
        <w:rPr>
          <w:rFonts w:ascii="Calibri" w:hAnsi="Calibri"/>
          <w:color w:val="231F20"/>
          <w:spacing w:val="-17"/>
          <w:w w:val="105"/>
          <w:sz w:val="17"/>
        </w:rPr>
        <w:t> </w:t>
      </w:r>
      <w:r>
        <w:rPr>
          <w:rFonts w:ascii="Calibri" w:hAnsi="Calibri"/>
          <w:color w:val="231F20"/>
          <w:w w:val="105"/>
          <w:sz w:val="17"/>
        </w:rPr>
        <w:t>humanitarias</w:t>
      </w:r>
      <w:r>
        <w:rPr>
          <w:rFonts w:ascii="Calibri" w:hAnsi="Calibri"/>
          <w:color w:val="231F20"/>
          <w:spacing w:val="-17"/>
          <w:w w:val="105"/>
          <w:sz w:val="17"/>
        </w:rPr>
        <w:t> </w:t>
      </w:r>
      <w:r>
        <w:rPr>
          <w:rFonts w:ascii="Calibri" w:hAnsi="Calibri"/>
          <w:color w:val="231F20"/>
          <w:w w:val="105"/>
          <w:sz w:val="17"/>
        </w:rPr>
        <w:t>tienen</w:t>
      </w:r>
      <w:r>
        <w:rPr>
          <w:rFonts w:ascii="Calibri" w:hAnsi="Calibri"/>
          <w:color w:val="231F20"/>
          <w:spacing w:val="-17"/>
          <w:w w:val="105"/>
          <w:sz w:val="17"/>
        </w:rPr>
        <w:t> </w:t>
      </w:r>
      <w:r>
        <w:rPr>
          <w:rFonts w:ascii="Calibri" w:hAnsi="Calibri"/>
          <w:color w:val="231F20"/>
          <w:w w:val="105"/>
          <w:sz w:val="17"/>
        </w:rPr>
        <w:t>que</w:t>
      </w:r>
      <w:r>
        <w:rPr>
          <w:rFonts w:ascii="Calibri" w:hAnsi="Calibri"/>
          <w:color w:val="231F20"/>
          <w:spacing w:val="-18"/>
          <w:w w:val="105"/>
          <w:sz w:val="17"/>
        </w:rPr>
        <w:t> </w:t>
      </w:r>
      <w:r>
        <w:rPr>
          <w:rFonts w:ascii="Calibri" w:hAnsi="Calibri"/>
          <w:color w:val="231F20"/>
          <w:w w:val="105"/>
          <w:sz w:val="17"/>
        </w:rPr>
        <w:t>ver</w:t>
      </w:r>
      <w:r>
        <w:rPr>
          <w:rFonts w:ascii="Calibri" w:hAnsi="Calibri"/>
          <w:color w:val="231F20"/>
          <w:spacing w:val="-17"/>
          <w:w w:val="105"/>
          <w:sz w:val="17"/>
        </w:rPr>
        <w:t> </w:t>
      </w:r>
      <w:r>
        <w:rPr>
          <w:rFonts w:ascii="Calibri" w:hAnsi="Calibri"/>
          <w:color w:val="231F20"/>
          <w:w w:val="105"/>
          <w:sz w:val="17"/>
        </w:rPr>
        <w:t>con</w:t>
      </w:r>
      <w:r>
        <w:rPr>
          <w:rFonts w:ascii="Calibri" w:hAnsi="Calibri"/>
          <w:color w:val="231F20"/>
          <w:spacing w:val="-17"/>
          <w:w w:val="105"/>
          <w:sz w:val="17"/>
        </w:rPr>
        <w:t> </w:t>
      </w:r>
      <w:r>
        <w:rPr>
          <w:rFonts w:ascii="Calibri" w:hAnsi="Calibri"/>
          <w:color w:val="231F20"/>
          <w:w w:val="105"/>
          <w:sz w:val="17"/>
        </w:rPr>
        <w:t>el</w:t>
      </w:r>
      <w:r>
        <w:rPr>
          <w:rFonts w:ascii="Calibri" w:hAnsi="Calibri"/>
          <w:color w:val="231F20"/>
          <w:spacing w:val="-17"/>
          <w:w w:val="105"/>
          <w:sz w:val="17"/>
        </w:rPr>
        <w:t> </w:t>
      </w:r>
      <w:r>
        <w:rPr>
          <w:rFonts w:ascii="Calibri" w:hAnsi="Calibri"/>
          <w:color w:val="231F20"/>
          <w:w w:val="105"/>
          <w:sz w:val="17"/>
        </w:rPr>
        <w:t>trato</w:t>
      </w:r>
      <w:r>
        <w:rPr>
          <w:rFonts w:ascii="Calibri" w:hAnsi="Calibri"/>
          <w:color w:val="231F20"/>
          <w:spacing w:val="-17"/>
          <w:w w:val="105"/>
          <w:sz w:val="17"/>
        </w:rPr>
        <w:t> </w:t>
      </w:r>
      <w:r>
        <w:rPr>
          <w:rFonts w:ascii="Calibri" w:hAnsi="Calibri"/>
          <w:color w:val="231F20"/>
          <w:w w:val="105"/>
          <w:sz w:val="17"/>
        </w:rPr>
        <w:t>reservado</w:t>
      </w:r>
      <w:r>
        <w:rPr>
          <w:rFonts w:ascii="Calibri" w:hAnsi="Calibri"/>
          <w:color w:val="231F20"/>
          <w:spacing w:val="-17"/>
          <w:w w:val="105"/>
          <w:sz w:val="17"/>
        </w:rPr>
        <w:t> </w:t>
      </w:r>
      <w:r>
        <w:rPr>
          <w:rFonts w:ascii="Calibri" w:hAnsi="Calibri"/>
          <w:color w:val="231F20"/>
          <w:w w:val="105"/>
          <w:sz w:val="17"/>
        </w:rPr>
        <w:t>por</w:t>
      </w:r>
      <w:r>
        <w:rPr>
          <w:rFonts w:ascii="Calibri" w:hAnsi="Calibri"/>
          <w:color w:val="231F20"/>
          <w:spacing w:val="-17"/>
          <w:w w:val="105"/>
          <w:sz w:val="17"/>
        </w:rPr>
        <w:t> </w:t>
      </w:r>
      <w:r>
        <w:rPr>
          <w:rFonts w:ascii="Calibri" w:hAnsi="Calibri"/>
          <w:color w:val="231F20"/>
          <w:w w:val="105"/>
          <w:sz w:val="17"/>
        </w:rPr>
        <w:t>los</w:t>
      </w:r>
      <w:r>
        <w:rPr>
          <w:rFonts w:ascii="Calibri" w:hAnsi="Calibri"/>
          <w:color w:val="231F20"/>
          <w:spacing w:val="-17"/>
          <w:w w:val="105"/>
          <w:sz w:val="17"/>
        </w:rPr>
        <w:t> </w:t>
      </w:r>
      <w:r>
        <w:rPr>
          <w:rFonts w:ascii="Calibri" w:hAnsi="Calibri"/>
          <w:color w:val="231F20"/>
          <w:w w:val="105"/>
          <w:sz w:val="17"/>
        </w:rPr>
        <w:t>Estados</w:t>
      </w:r>
      <w:r>
        <w:rPr>
          <w:rFonts w:ascii="Calibri" w:hAnsi="Calibri"/>
          <w:color w:val="231F20"/>
          <w:spacing w:val="-17"/>
          <w:w w:val="105"/>
          <w:sz w:val="17"/>
        </w:rPr>
        <w:t> </w:t>
      </w:r>
      <w:r>
        <w:rPr>
          <w:rFonts w:ascii="Calibri" w:hAnsi="Calibri"/>
          <w:color w:val="231F20"/>
          <w:w w:val="105"/>
          <w:sz w:val="17"/>
        </w:rPr>
        <w:t>a</w:t>
      </w:r>
      <w:r>
        <w:rPr>
          <w:rFonts w:ascii="Calibri" w:hAnsi="Calibri"/>
          <w:color w:val="231F20"/>
          <w:spacing w:val="-17"/>
          <w:w w:val="105"/>
          <w:sz w:val="17"/>
        </w:rPr>
        <w:t> </w:t>
      </w:r>
      <w:r>
        <w:rPr>
          <w:rFonts w:ascii="Calibri" w:hAnsi="Calibri"/>
          <w:color w:val="231F20"/>
          <w:w w:val="105"/>
          <w:sz w:val="17"/>
        </w:rPr>
        <w:t>sus ciudadanos</w:t>
      </w:r>
      <w:r>
        <w:rPr>
          <w:rFonts w:ascii="Calibri" w:hAnsi="Calibri"/>
          <w:color w:val="231F20"/>
          <w:spacing w:val="-18"/>
          <w:w w:val="105"/>
          <w:sz w:val="17"/>
        </w:rPr>
        <w:t> </w:t>
      </w:r>
      <w:r>
        <w:rPr>
          <w:rFonts w:ascii="Calibri" w:hAnsi="Calibri"/>
          <w:color w:val="231F20"/>
          <w:w w:val="105"/>
          <w:sz w:val="17"/>
        </w:rPr>
        <w:t>o</w:t>
      </w:r>
      <w:r>
        <w:rPr>
          <w:rFonts w:ascii="Calibri" w:hAnsi="Calibri"/>
          <w:color w:val="231F20"/>
          <w:spacing w:val="-18"/>
          <w:w w:val="105"/>
          <w:sz w:val="17"/>
        </w:rPr>
        <w:t> </w:t>
      </w:r>
      <w:r>
        <w:rPr>
          <w:rFonts w:ascii="Calibri" w:hAnsi="Calibri"/>
          <w:color w:val="231F20"/>
          <w:w w:val="105"/>
          <w:sz w:val="17"/>
        </w:rPr>
        <w:t>residentes;</w:t>
      </w:r>
      <w:r>
        <w:rPr>
          <w:rFonts w:ascii="Calibri" w:hAnsi="Calibri"/>
          <w:color w:val="231F20"/>
          <w:spacing w:val="-18"/>
          <w:w w:val="105"/>
          <w:sz w:val="17"/>
        </w:rPr>
        <w:t> </w:t>
      </w:r>
      <w:r>
        <w:rPr>
          <w:rFonts w:ascii="Calibri" w:hAnsi="Calibri"/>
          <w:color w:val="231F20"/>
          <w:w w:val="105"/>
          <w:sz w:val="17"/>
        </w:rPr>
        <w:t>los</w:t>
      </w:r>
      <w:r>
        <w:rPr>
          <w:rFonts w:ascii="Calibri" w:hAnsi="Calibri"/>
          <w:color w:val="231F20"/>
          <w:spacing w:val="-18"/>
          <w:w w:val="105"/>
          <w:sz w:val="17"/>
        </w:rPr>
        <w:t> </w:t>
      </w:r>
      <w:r>
        <w:rPr>
          <w:rFonts w:ascii="Calibri" w:hAnsi="Calibri"/>
          <w:i/>
          <w:color w:val="231F20"/>
          <w:w w:val="105"/>
          <w:sz w:val="17"/>
        </w:rPr>
        <w:t>crímenes</w:t>
      </w:r>
      <w:r>
        <w:rPr>
          <w:rFonts w:ascii="Calibri" w:hAnsi="Calibri"/>
          <w:i/>
          <w:color w:val="231F20"/>
          <w:spacing w:val="-18"/>
          <w:w w:val="105"/>
          <w:sz w:val="17"/>
        </w:rPr>
        <w:t> </w:t>
      </w:r>
      <w:r>
        <w:rPr>
          <w:rFonts w:ascii="Calibri" w:hAnsi="Calibri"/>
          <w:i/>
          <w:color w:val="231F20"/>
          <w:w w:val="105"/>
          <w:sz w:val="17"/>
        </w:rPr>
        <w:t>contra</w:t>
      </w:r>
      <w:r>
        <w:rPr>
          <w:rFonts w:ascii="Calibri" w:hAnsi="Calibri"/>
          <w:i/>
          <w:color w:val="231F20"/>
          <w:spacing w:val="-18"/>
          <w:w w:val="105"/>
          <w:sz w:val="17"/>
        </w:rPr>
        <w:t> </w:t>
      </w:r>
      <w:r>
        <w:rPr>
          <w:rFonts w:ascii="Calibri" w:hAnsi="Calibri"/>
          <w:i/>
          <w:color w:val="231F20"/>
          <w:w w:val="105"/>
          <w:sz w:val="17"/>
        </w:rPr>
        <w:t>la</w:t>
      </w:r>
      <w:r>
        <w:rPr>
          <w:rFonts w:ascii="Calibri" w:hAnsi="Calibri"/>
          <w:i/>
          <w:color w:val="231F20"/>
          <w:spacing w:val="-18"/>
          <w:w w:val="105"/>
          <w:sz w:val="17"/>
        </w:rPr>
        <w:t> </w:t>
      </w:r>
      <w:r>
        <w:rPr>
          <w:rFonts w:ascii="Calibri" w:hAnsi="Calibri"/>
          <w:i/>
          <w:color w:val="231F20"/>
          <w:w w:val="105"/>
          <w:sz w:val="17"/>
        </w:rPr>
        <w:t>humanidad</w:t>
      </w:r>
      <w:r>
        <w:rPr>
          <w:rFonts w:ascii="Calibri" w:hAnsi="Calibri"/>
          <w:i/>
          <w:color w:val="231F20"/>
          <w:spacing w:val="-19"/>
          <w:w w:val="105"/>
          <w:sz w:val="17"/>
        </w:rPr>
        <w:t> </w:t>
      </w:r>
      <w:r>
        <w:rPr>
          <w:rFonts w:ascii="Calibri" w:hAnsi="Calibri"/>
          <w:color w:val="231F20"/>
          <w:w w:val="105"/>
          <w:sz w:val="17"/>
        </w:rPr>
        <w:t>y</w:t>
      </w:r>
      <w:r>
        <w:rPr>
          <w:rFonts w:ascii="Calibri" w:hAnsi="Calibri"/>
          <w:color w:val="231F20"/>
          <w:spacing w:val="-18"/>
          <w:w w:val="105"/>
          <w:sz w:val="17"/>
        </w:rPr>
        <w:t> </w:t>
      </w:r>
      <w:r>
        <w:rPr>
          <w:rFonts w:ascii="Calibri" w:hAnsi="Calibri"/>
          <w:color w:val="231F20"/>
          <w:w w:val="105"/>
          <w:sz w:val="17"/>
        </w:rPr>
        <w:t>los</w:t>
      </w:r>
      <w:r>
        <w:rPr>
          <w:rFonts w:ascii="Calibri" w:hAnsi="Calibri"/>
          <w:color w:val="231F20"/>
          <w:spacing w:val="-18"/>
          <w:w w:val="105"/>
          <w:sz w:val="17"/>
        </w:rPr>
        <w:t> </w:t>
      </w:r>
      <w:r>
        <w:rPr>
          <w:rFonts w:ascii="Calibri" w:hAnsi="Calibri"/>
          <w:i/>
          <w:color w:val="231F20"/>
          <w:w w:val="105"/>
          <w:sz w:val="17"/>
        </w:rPr>
        <w:t>crímenes</w:t>
      </w:r>
      <w:r>
        <w:rPr>
          <w:rFonts w:ascii="Calibri" w:hAnsi="Calibri"/>
          <w:i/>
          <w:color w:val="231F20"/>
          <w:spacing w:val="-18"/>
          <w:w w:val="105"/>
          <w:sz w:val="17"/>
        </w:rPr>
        <w:t> </w:t>
      </w:r>
      <w:r>
        <w:rPr>
          <w:rFonts w:ascii="Calibri" w:hAnsi="Calibri"/>
          <w:i/>
          <w:color w:val="231F20"/>
          <w:w w:val="105"/>
          <w:sz w:val="17"/>
        </w:rPr>
        <w:t>de</w:t>
      </w:r>
      <w:r>
        <w:rPr>
          <w:rFonts w:ascii="Calibri" w:hAnsi="Calibri"/>
          <w:i/>
          <w:color w:val="231F20"/>
          <w:spacing w:val="-18"/>
          <w:w w:val="105"/>
          <w:sz w:val="17"/>
        </w:rPr>
        <w:t> </w:t>
      </w:r>
      <w:r>
        <w:rPr>
          <w:rFonts w:ascii="Calibri" w:hAnsi="Calibri"/>
          <w:i/>
          <w:color w:val="231F20"/>
          <w:w w:val="105"/>
          <w:sz w:val="17"/>
        </w:rPr>
        <w:t>guerra</w:t>
      </w:r>
      <w:r>
        <w:rPr>
          <w:rFonts w:ascii="Calibri" w:hAnsi="Calibri"/>
          <w:i/>
          <w:color w:val="231F20"/>
          <w:spacing w:val="-18"/>
          <w:w w:val="105"/>
          <w:sz w:val="17"/>
        </w:rPr>
        <w:t> </w:t>
      </w:r>
      <w:r>
        <w:rPr>
          <w:rFonts w:ascii="Calibri" w:hAnsi="Calibri"/>
          <w:color w:val="231F20"/>
          <w:w w:val="105"/>
          <w:sz w:val="17"/>
        </w:rPr>
        <w:t>tienen</w:t>
      </w:r>
      <w:r>
        <w:rPr>
          <w:rFonts w:ascii="Calibri" w:hAnsi="Calibri"/>
          <w:color w:val="231F20"/>
          <w:spacing w:val="-18"/>
          <w:w w:val="105"/>
          <w:sz w:val="17"/>
        </w:rPr>
        <w:t> </w:t>
      </w:r>
      <w:r>
        <w:rPr>
          <w:rFonts w:ascii="Calibri" w:hAnsi="Calibri"/>
          <w:color w:val="231F20"/>
          <w:w w:val="105"/>
          <w:sz w:val="17"/>
        </w:rPr>
        <w:t>que</w:t>
      </w:r>
      <w:r>
        <w:rPr>
          <w:rFonts w:ascii="Calibri" w:hAnsi="Calibri"/>
          <w:color w:val="231F20"/>
          <w:spacing w:val="-20"/>
          <w:w w:val="105"/>
          <w:sz w:val="17"/>
        </w:rPr>
        <w:t> </w:t>
      </w:r>
      <w:r>
        <w:rPr>
          <w:rFonts w:ascii="Calibri" w:hAnsi="Calibri"/>
          <w:color w:val="231F20"/>
          <w:w w:val="105"/>
          <w:sz w:val="17"/>
        </w:rPr>
        <w:t>ver con</w:t>
      </w:r>
      <w:r>
        <w:rPr>
          <w:rFonts w:ascii="Calibri" w:hAnsi="Calibri"/>
          <w:color w:val="231F20"/>
          <w:spacing w:val="-21"/>
          <w:w w:val="105"/>
          <w:sz w:val="17"/>
        </w:rPr>
        <w:t> </w:t>
      </w:r>
      <w:r>
        <w:rPr>
          <w:rFonts w:ascii="Calibri" w:hAnsi="Calibri"/>
          <w:color w:val="231F20"/>
          <w:w w:val="105"/>
          <w:sz w:val="17"/>
        </w:rPr>
        <w:t>relaciones</w:t>
      </w:r>
      <w:r>
        <w:rPr>
          <w:rFonts w:ascii="Calibri" w:hAnsi="Calibri"/>
          <w:color w:val="231F20"/>
          <w:spacing w:val="-21"/>
          <w:w w:val="105"/>
          <w:sz w:val="17"/>
        </w:rPr>
        <w:t> </w:t>
      </w:r>
      <w:r>
        <w:rPr>
          <w:rFonts w:ascii="Calibri" w:hAnsi="Calibri"/>
          <w:color w:val="231F20"/>
          <w:w w:val="105"/>
          <w:sz w:val="17"/>
        </w:rPr>
        <w:t>entre</w:t>
      </w:r>
      <w:r>
        <w:rPr>
          <w:rFonts w:ascii="Calibri" w:hAnsi="Calibri"/>
          <w:color w:val="231F20"/>
          <w:spacing w:val="-21"/>
          <w:w w:val="105"/>
          <w:sz w:val="17"/>
        </w:rPr>
        <w:t> </w:t>
      </w:r>
      <w:r>
        <w:rPr>
          <w:rFonts w:ascii="Calibri" w:hAnsi="Calibri"/>
          <w:color w:val="231F20"/>
          <w:w w:val="105"/>
          <w:sz w:val="17"/>
        </w:rPr>
        <w:t>enemigos</w:t>
      </w:r>
      <w:r>
        <w:rPr>
          <w:rFonts w:ascii="Calibri" w:hAnsi="Calibri"/>
          <w:color w:val="231F20"/>
          <w:spacing w:val="-21"/>
          <w:w w:val="105"/>
          <w:sz w:val="17"/>
        </w:rPr>
        <w:t> </w:t>
      </w:r>
      <w:r>
        <w:rPr>
          <w:rFonts w:ascii="Calibri" w:hAnsi="Calibri"/>
          <w:color w:val="231F20"/>
          <w:w w:val="105"/>
          <w:sz w:val="17"/>
        </w:rPr>
        <w:t>o</w:t>
      </w:r>
      <w:r>
        <w:rPr>
          <w:rFonts w:ascii="Calibri" w:hAnsi="Calibri"/>
          <w:color w:val="231F20"/>
          <w:spacing w:val="-21"/>
          <w:w w:val="105"/>
          <w:sz w:val="17"/>
        </w:rPr>
        <w:t> </w:t>
      </w:r>
      <w:r>
        <w:rPr>
          <w:rFonts w:ascii="Calibri" w:hAnsi="Calibri"/>
          <w:color w:val="231F20"/>
          <w:w w:val="105"/>
          <w:sz w:val="17"/>
        </w:rPr>
        <w:t>contendientes</w:t>
      </w:r>
      <w:r>
        <w:rPr>
          <w:rFonts w:ascii="Calibri" w:hAnsi="Calibri"/>
          <w:color w:val="231F20"/>
          <w:spacing w:val="-21"/>
          <w:w w:val="105"/>
          <w:sz w:val="17"/>
        </w:rPr>
        <w:t> </w:t>
      </w:r>
      <w:r>
        <w:rPr>
          <w:rFonts w:ascii="Calibri" w:hAnsi="Calibri"/>
          <w:color w:val="231F20"/>
          <w:w w:val="105"/>
          <w:sz w:val="17"/>
        </w:rPr>
        <w:t>en</w:t>
      </w:r>
      <w:r>
        <w:rPr>
          <w:rFonts w:ascii="Calibri" w:hAnsi="Calibri"/>
          <w:color w:val="231F20"/>
          <w:spacing w:val="-21"/>
          <w:w w:val="105"/>
          <w:sz w:val="17"/>
        </w:rPr>
        <w:t> </w:t>
      </w:r>
      <w:r>
        <w:rPr>
          <w:rFonts w:ascii="Calibri" w:hAnsi="Calibri"/>
          <w:color w:val="231F20"/>
          <w:w w:val="105"/>
          <w:sz w:val="17"/>
        </w:rPr>
        <w:t>contextos</w:t>
      </w:r>
      <w:r>
        <w:rPr>
          <w:rFonts w:ascii="Calibri" w:hAnsi="Calibri"/>
          <w:color w:val="231F20"/>
          <w:spacing w:val="-22"/>
          <w:w w:val="105"/>
          <w:sz w:val="17"/>
        </w:rPr>
        <w:t> </w:t>
      </w:r>
      <w:r>
        <w:rPr>
          <w:rFonts w:ascii="Calibri" w:hAnsi="Calibri"/>
          <w:color w:val="231F20"/>
          <w:w w:val="105"/>
          <w:sz w:val="17"/>
        </w:rPr>
        <w:t>ya</w:t>
      </w:r>
      <w:r>
        <w:rPr>
          <w:rFonts w:ascii="Calibri" w:hAnsi="Calibri"/>
          <w:color w:val="231F20"/>
          <w:spacing w:val="-21"/>
          <w:w w:val="105"/>
          <w:sz w:val="17"/>
        </w:rPr>
        <w:t> </w:t>
      </w:r>
      <w:r>
        <w:rPr>
          <w:rFonts w:ascii="Calibri" w:hAnsi="Calibri"/>
          <w:color w:val="231F20"/>
          <w:w w:val="105"/>
          <w:sz w:val="17"/>
        </w:rPr>
        <w:t>sea</w:t>
      </w:r>
      <w:r>
        <w:rPr>
          <w:rFonts w:ascii="Calibri" w:hAnsi="Calibri"/>
          <w:color w:val="231F20"/>
          <w:spacing w:val="-21"/>
          <w:w w:val="105"/>
          <w:sz w:val="17"/>
        </w:rPr>
        <w:t> </w:t>
      </w:r>
      <w:r>
        <w:rPr>
          <w:rFonts w:ascii="Calibri" w:hAnsi="Calibri"/>
          <w:color w:val="231F20"/>
          <w:w w:val="105"/>
          <w:sz w:val="17"/>
        </w:rPr>
        <w:t>nacionales</w:t>
      </w:r>
      <w:r>
        <w:rPr>
          <w:rFonts w:ascii="Calibri" w:hAnsi="Calibri"/>
          <w:color w:val="231F20"/>
          <w:spacing w:val="-21"/>
          <w:w w:val="105"/>
          <w:sz w:val="17"/>
        </w:rPr>
        <w:t> </w:t>
      </w:r>
      <w:r>
        <w:rPr>
          <w:rFonts w:ascii="Calibri" w:hAnsi="Calibri"/>
          <w:color w:val="231F20"/>
          <w:w w:val="105"/>
          <w:sz w:val="17"/>
        </w:rPr>
        <w:t>o</w:t>
      </w:r>
      <w:r>
        <w:rPr>
          <w:rFonts w:ascii="Calibri" w:hAnsi="Calibri"/>
          <w:color w:val="231F20"/>
          <w:spacing w:val="-21"/>
          <w:w w:val="105"/>
          <w:sz w:val="17"/>
        </w:rPr>
        <w:t> </w:t>
      </w:r>
      <w:r>
        <w:rPr>
          <w:rFonts w:ascii="Calibri" w:hAnsi="Calibri"/>
          <w:color w:val="231F20"/>
          <w:w w:val="105"/>
          <w:sz w:val="17"/>
        </w:rPr>
        <w:t>extraterritoriales. Las migraciones transnacionales, al contrario, tienen que ver con los derechos de los individuos no</w:t>
      </w:r>
      <w:r>
        <w:rPr>
          <w:rFonts w:ascii="Calibri" w:hAnsi="Calibri"/>
          <w:color w:val="231F20"/>
          <w:spacing w:val="-16"/>
          <w:w w:val="105"/>
          <w:sz w:val="17"/>
        </w:rPr>
        <w:t> </w:t>
      </w:r>
      <w:r>
        <w:rPr>
          <w:rFonts w:ascii="Calibri" w:hAnsi="Calibri"/>
          <w:color w:val="231F20"/>
          <w:w w:val="105"/>
          <w:sz w:val="17"/>
        </w:rPr>
        <w:t>como</w:t>
      </w:r>
      <w:r>
        <w:rPr>
          <w:rFonts w:ascii="Calibri" w:hAnsi="Calibri"/>
          <w:color w:val="231F20"/>
          <w:spacing w:val="-16"/>
          <w:w w:val="105"/>
          <w:sz w:val="17"/>
        </w:rPr>
        <w:t> </w:t>
      </w:r>
      <w:r>
        <w:rPr>
          <w:rFonts w:ascii="Calibri" w:hAnsi="Calibri"/>
          <w:color w:val="231F20"/>
          <w:w w:val="105"/>
          <w:sz w:val="17"/>
        </w:rPr>
        <w:t>miembros</w:t>
      </w:r>
      <w:r>
        <w:rPr>
          <w:rFonts w:ascii="Calibri" w:hAnsi="Calibri"/>
          <w:color w:val="231F20"/>
          <w:spacing w:val="-16"/>
          <w:w w:val="105"/>
          <w:sz w:val="17"/>
        </w:rPr>
        <w:t> </w:t>
      </w:r>
      <w:r>
        <w:rPr>
          <w:rFonts w:ascii="Calibri" w:hAnsi="Calibri"/>
          <w:color w:val="231F20"/>
          <w:w w:val="105"/>
          <w:sz w:val="17"/>
        </w:rPr>
        <w:t>de</w:t>
      </w:r>
      <w:r>
        <w:rPr>
          <w:rFonts w:ascii="Calibri" w:hAnsi="Calibri"/>
          <w:color w:val="231F20"/>
          <w:spacing w:val="-16"/>
          <w:w w:val="105"/>
          <w:sz w:val="17"/>
        </w:rPr>
        <w:t> </w:t>
      </w:r>
      <w:r>
        <w:rPr>
          <w:rFonts w:ascii="Calibri" w:hAnsi="Calibri"/>
          <w:color w:val="231F20"/>
          <w:w w:val="105"/>
          <w:sz w:val="17"/>
        </w:rPr>
        <w:t>concretas</w:t>
      </w:r>
      <w:r>
        <w:rPr>
          <w:rFonts w:ascii="Calibri" w:hAnsi="Calibri"/>
          <w:color w:val="231F20"/>
          <w:spacing w:val="-16"/>
          <w:w w:val="105"/>
          <w:sz w:val="17"/>
        </w:rPr>
        <w:t> </w:t>
      </w:r>
      <w:r>
        <w:rPr>
          <w:rFonts w:ascii="Calibri" w:hAnsi="Calibri"/>
          <w:color w:val="231F20"/>
          <w:w w:val="105"/>
          <w:sz w:val="17"/>
        </w:rPr>
        <w:t>comunidades</w:t>
      </w:r>
      <w:r>
        <w:rPr>
          <w:rFonts w:ascii="Calibri" w:hAnsi="Calibri"/>
          <w:color w:val="231F20"/>
          <w:spacing w:val="-16"/>
          <w:w w:val="105"/>
          <w:sz w:val="17"/>
        </w:rPr>
        <w:t> </w:t>
      </w:r>
      <w:r>
        <w:rPr>
          <w:rFonts w:ascii="Calibri" w:hAnsi="Calibri"/>
          <w:color w:val="231F20"/>
          <w:w w:val="105"/>
          <w:sz w:val="17"/>
        </w:rPr>
        <w:t>circunscritas,</w:t>
      </w:r>
      <w:r>
        <w:rPr>
          <w:rFonts w:ascii="Calibri" w:hAnsi="Calibri"/>
          <w:color w:val="231F20"/>
          <w:spacing w:val="-16"/>
          <w:w w:val="105"/>
          <w:sz w:val="17"/>
        </w:rPr>
        <w:t> </w:t>
      </w:r>
      <w:r>
        <w:rPr>
          <w:rFonts w:ascii="Calibri" w:hAnsi="Calibri"/>
          <w:color w:val="231F20"/>
          <w:w w:val="105"/>
          <w:sz w:val="17"/>
        </w:rPr>
        <w:t>sino</w:t>
      </w:r>
      <w:r>
        <w:rPr>
          <w:rFonts w:ascii="Calibri" w:hAnsi="Calibri"/>
          <w:color w:val="231F20"/>
          <w:spacing w:val="-16"/>
          <w:w w:val="105"/>
          <w:sz w:val="17"/>
        </w:rPr>
        <w:t> </w:t>
      </w:r>
      <w:r>
        <w:rPr>
          <w:rFonts w:ascii="Calibri" w:hAnsi="Calibri"/>
          <w:i/>
          <w:color w:val="231F20"/>
          <w:w w:val="105"/>
          <w:sz w:val="17"/>
        </w:rPr>
        <w:t>simpliciter</w:t>
      </w:r>
      <w:r>
        <w:rPr>
          <w:rFonts w:ascii="Calibri" w:hAnsi="Calibri"/>
          <w:i/>
          <w:color w:val="231F20"/>
          <w:spacing w:val="-16"/>
          <w:w w:val="105"/>
          <w:sz w:val="17"/>
        </w:rPr>
        <w:t> </w:t>
      </w:r>
      <w:r>
        <w:rPr>
          <w:rFonts w:ascii="Calibri" w:hAnsi="Calibri"/>
          <w:color w:val="231F20"/>
          <w:w w:val="105"/>
          <w:sz w:val="17"/>
        </w:rPr>
        <w:t>como</w:t>
      </w:r>
      <w:r>
        <w:rPr>
          <w:rFonts w:ascii="Calibri" w:hAnsi="Calibri"/>
          <w:color w:val="231F20"/>
          <w:spacing w:val="-16"/>
          <w:w w:val="105"/>
          <w:sz w:val="17"/>
        </w:rPr>
        <w:t> </w:t>
      </w:r>
      <w:r>
        <w:rPr>
          <w:rFonts w:ascii="Calibri" w:hAnsi="Calibri"/>
          <w:color w:val="231F20"/>
          <w:w w:val="105"/>
          <w:sz w:val="17"/>
        </w:rPr>
        <w:t>seres</w:t>
      </w:r>
      <w:r>
        <w:rPr>
          <w:rFonts w:ascii="Calibri" w:hAnsi="Calibri"/>
          <w:color w:val="231F20"/>
          <w:spacing w:val="-16"/>
          <w:w w:val="105"/>
          <w:sz w:val="17"/>
        </w:rPr>
        <w:t> </w:t>
      </w:r>
      <w:r>
        <w:rPr>
          <w:rFonts w:ascii="Calibri" w:hAnsi="Calibri"/>
          <w:color w:val="231F20"/>
          <w:w w:val="105"/>
          <w:sz w:val="17"/>
        </w:rPr>
        <w:t>humanos que</w:t>
      </w:r>
      <w:r>
        <w:rPr>
          <w:rFonts w:ascii="Calibri" w:hAnsi="Calibri"/>
          <w:color w:val="231F20"/>
          <w:spacing w:val="-21"/>
          <w:w w:val="105"/>
          <w:sz w:val="17"/>
        </w:rPr>
        <w:t> </w:t>
      </w:r>
      <w:r>
        <w:rPr>
          <w:rFonts w:ascii="Calibri" w:hAnsi="Calibri"/>
          <w:color w:val="231F20"/>
          <w:w w:val="105"/>
          <w:sz w:val="17"/>
        </w:rPr>
        <w:t>están</w:t>
      </w:r>
      <w:r>
        <w:rPr>
          <w:rFonts w:ascii="Calibri" w:hAnsi="Calibri"/>
          <w:color w:val="231F20"/>
          <w:spacing w:val="-21"/>
          <w:w w:val="105"/>
          <w:sz w:val="17"/>
        </w:rPr>
        <w:t> </w:t>
      </w:r>
      <w:r>
        <w:rPr>
          <w:rFonts w:ascii="Calibri" w:hAnsi="Calibri"/>
          <w:color w:val="231F20"/>
          <w:w w:val="105"/>
          <w:sz w:val="17"/>
        </w:rPr>
        <w:t>en</w:t>
      </w:r>
      <w:r>
        <w:rPr>
          <w:rFonts w:ascii="Calibri" w:hAnsi="Calibri"/>
          <w:color w:val="231F20"/>
          <w:spacing w:val="-21"/>
          <w:w w:val="105"/>
          <w:sz w:val="17"/>
        </w:rPr>
        <w:t> </w:t>
      </w:r>
      <w:r>
        <w:rPr>
          <w:rFonts w:ascii="Calibri" w:hAnsi="Calibri"/>
          <w:color w:val="231F20"/>
          <w:w w:val="105"/>
          <w:sz w:val="17"/>
        </w:rPr>
        <w:t>contacto</w:t>
      </w:r>
      <w:r>
        <w:rPr>
          <w:rFonts w:ascii="Calibri" w:hAnsi="Calibri"/>
          <w:color w:val="231F20"/>
          <w:spacing w:val="-21"/>
          <w:w w:val="105"/>
          <w:sz w:val="17"/>
        </w:rPr>
        <w:t> </w:t>
      </w:r>
      <w:r>
        <w:rPr>
          <w:rFonts w:ascii="Calibri" w:hAnsi="Calibri"/>
          <w:color w:val="231F20"/>
          <w:w w:val="105"/>
          <w:sz w:val="17"/>
        </w:rPr>
        <w:t>con</w:t>
      </w:r>
      <w:r>
        <w:rPr>
          <w:rFonts w:ascii="Calibri" w:hAnsi="Calibri"/>
          <w:color w:val="231F20"/>
          <w:spacing w:val="-21"/>
          <w:w w:val="105"/>
          <w:sz w:val="17"/>
        </w:rPr>
        <w:t> </w:t>
      </w:r>
      <w:r>
        <w:rPr>
          <w:rFonts w:ascii="Calibri" w:hAnsi="Calibri"/>
          <w:color w:val="231F20"/>
          <w:w w:val="105"/>
          <w:sz w:val="17"/>
        </w:rPr>
        <w:t>comunidades</w:t>
      </w:r>
      <w:r>
        <w:rPr>
          <w:rFonts w:ascii="Calibri" w:hAnsi="Calibri"/>
          <w:color w:val="231F20"/>
          <w:spacing w:val="-21"/>
          <w:w w:val="105"/>
          <w:sz w:val="17"/>
        </w:rPr>
        <w:t> </w:t>
      </w:r>
      <w:r>
        <w:rPr>
          <w:rFonts w:ascii="Calibri" w:hAnsi="Calibri"/>
          <w:color w:val="231F20"/>
          <w:w w:val="105"/>
          <w:sz w:val="17"/>
        </w:rPr>
        <w:t>territorialmente</w:t>
      </w:r>
      <w:r>
        <w:rPr>
          <w:rFonts w:ascii="Calibri" w:hAnsi="Calibri"/>
          <w:color w:val="231F20"/>
          <w:spacing w:val="-21"/>
          <w:w w:val="105"/>
          <w:sz w:val="17"/>
        </w:rPr>
        <w:t> </w:t>
      </w:r>
      <w:r>
        <w:rPr>
          <w:rFonts w:ascii="Calibri" w:hAnsi="Calibri"/>
          <w:color w:val="231F20"/>
          <w:w w:val="105"/>
          <w:sz w:val="17"/>
        </w:rPr>
        <w:t>delimitadas,</w:t>
      </w:r>
      <w:r>
        <w:rPr>
          <w:rFonts w:ascii="Calibri" w:hAnsi="Calibri"/>
          <w:color w:val="231F20"/>
          <w:spacing w:val="-21"/>
          <w:w w:val="105"/>
          <w:sz w:val="17"/>
        </w:rPr>
        <w:t> </w:t>
      </w:r>
      <w:r>
        <w:rPr>
          <w:rFonts w:ascii="Calibri" w:hAnsi="Calibri"/>
          <w:color w:val="231F20"/>
          <w:w w:val="105"/>
          <w:sz w:val="17"/>
        </w:rPr>
        <w:t>buscan</w:t>
      </w:r>
      <w:r>
        <w:rPr>
          <w:rFonts w:ascii="Calibri" w:hAnsi="Calibri"/>
          <w:color w:val="231F20"/>
          <w:spacing w:val="-21"/>
          <w:w w:val="105"/>
          <w:sz w:val="17"/>
        </w:rPr>
        <w:t> </w:t>
      </w:r>
      <w:r>
        <w:rPr>
          <w:rFonts w:ascii="Calibri" w:hAnsi="Calibri"/>
          <w:color w:val="231F20"/>
          <w:w w:val="105"/>
          <w:sz w:val="17"/>
        </w:rPr>
        <w:t>entrar</w:t>
      </w:r>
      <w:r>
        <w:rPr>
          <w:rFonts w:ascii="Calibri" w:hAnsi="Calibri"/>
          <w:color w:val="231F20"/>
          <w:spacing w:val="-21"/>
          <w:w w:val="105"/>
          <w:sz w:val="17"/>
        </w:rPr>
        <w:t> </w:t>
      </w:r>
      <w:r>
        <w:rPr>
          <w:rFonts w:ascii="Calibri" w:hAnsi="Calibri"/>
          <w:color w:val="231F20"/>
          <w:w w:val="105"/>
          <w:sz w:val="17"/>
        </w:rPr>
        <w:t>o</w:t>
      </w:r>
      <w:r>
        <w:rPr>
          <w:rFonts w:ascii="Calibri" w:hAnsi="Calibri"/>
          <w:color w:val="231F20"/>
          <w:spacing w:val="-21"/>
          <w:w w:val="105"/>
          <w:sz w:val="17"/>
        </w:rPr>
        <w:t> </w:t>
      </w:r>
      <w:r>
        <w:rPr>
          <w:rFonts w:ascii="Calibri" w:hAnsi="Calibri"/>
          <w:color w:val="231F20"/>
          <w:w w:val="105"/>
          <w:sz w:val="17"/>
        </w:rPr>
        <w:t>ambicionan </w:t>
      </w:r>
      <w:r>
        <w:rPr>
          <w:rFonts w:ascii="Calibri" w:hAnsi="Calibri"/>
          <w:color w:val="231F20"/>
          <w:sz w:val="17"/>
        </w:rPr>
        <w:t>convertirse en</w:t>
      </w:r>
      <w:r>
        <w:rPr>
          <w:rFonts w:ascii="Calibri" w:hAnsi="Calibri"/>
          <w:color w:val="231F20"/>
          <w:spacing w:val="11"/>
          <w:sz w:val="17"/>
        </w:rPr>
        <w:t> </w:t>
      </w:r>
      <w:r>
        <w:rPr>
          <w:rFonts w:ascii="Calibri" w:hAnsi="Calibri"/>
          <w:color w:val="231F20"/>
          <w:sz w:val="17"/>
        </w:rPr>
        <w:t>miembros”.</w:t>
      </w:r>
    </w:p>
    <w:p>
      <w:pPr>
        <w:spacing w:after="0" w:line="204" w:lineRule="exact"/>
        <w:jc w:val="both"/>
        <w:rPr>
          <w:rFonts w:ascii="Calibri" w:hAnsi="Calibri"/>
          <w:sz w:val="17"/>
        </w:rPr>
        <w:sectPr>
          <w:type w:val="continuous"/>
          <w:pgSz w:w="9640" w:h="13890"/>
          <w:pgMar w:top="0" w:bottom="0" w:left="1300" w:right="1200"/>
        </w:sectPr>
      </w:pPr>
    </w:p>
    <w:p>
      <w:pPr>
        <w:pStyle w:val="BodyText"/>
        <w:spacing w:line="247" w:lineRule="auto" w:before="107"/>
        <w:ind w:left="103" w:right="115"/>
        <w:jc w:val="both"/>
      </w:pPr>
      <w:r>
        <w:rPr>
          <w:color w:val="231F20"/>
          <w:w w:val="105"/>
        </w:rPr>
        <w:t>sobre</w:t>
      </w:r>
      <w:r>
        <w:rPr>
          <w:color w:val="231F20"/>
          <w:spacing w:val="-25"/>
          <w:w w:val="105"/>
        </w:rPr>
        <w:t> </w:t>
      </w:r>
      <w:r>
        <w:rPr>
          <w:color w:val="231F20"/>
          <w:w w:val="105"/>
        </w:rPr>
        <w:t>la</w:t>
      </w:r>
      <w:r>
        <w:rPr>
          <w:color w:val="231F20"/>
          <w:spacing w:val="-25"/>
          <w:w w:val="105"/>
        </w:rPr>
        <w:t> </w:t>
      </w:r>
      <w:r>
        <w:rPr>
          <w:color w:val="231F20"/>
          <w:w w:val="105"/>
        </w:rPr>
        <w:t>legitimidad</w:t>
      </w:r>
      <w:r>
        <w:rPr>
          <w:color w:val="231F20"/>
          <w:spacing w:val="-25"/>
          <w:w w:val="105"/>
        </w:rPr>
        <w:t> </w:t>
      </w:r>
      <w:r>
        <w:rPr>
          <w:color w:val="231F20"/>
          <w:w w:val="105"/>
        </w:rPr>
        <w:t>del</w:t>
      </w:r>
      <w:r>
        <w:rPr>
          <w:color w:val="231F20"/>
          <w:spacing w:val="-25"/>
          <w:w w:val="105"/>
        </w:rPr>
        <w:t> </w:t>
      </w:r>
      <w:r>
        <w:rPr>
          <w:color w:val="231F20"/>
          <w:w w:val="105"/>
        </w:rPr>
        <w:t>actuar</w:t>
      </w:r>
      <w:r>
        <w:rPr>
          <w:color w:val="231F20"/>
          <w:spacing w:val="-25"/>
          <w:w w:val="105"/>
        </w:rPr>
        <w:t> </w:t>
      </w:r>
      <w:r>
        <w:rPr>
          <w:color w:val="231F20"/>
          <w:w w:val="105"/>
        </w:rPr>
        <w:t>del</w:t>
      </w:r>
      <w:r>
        <w:rPr>
          <w:color w:val="231F20"/>
          <w:spacing w:val="-25"/>
          <w:w w:val="105"/>
        </w:rPr>
        <w:t> </w:t>
      </w:r>
      <w:r>
        <w:rPr>
          <w:color w:val="231F20"/>
          <w:w w:val="105"/>
        </w:rPr>
        <w:t>Estado</w:t>
      </w:r>
      <w:r>
        <w:rPr>
          <w:color w:val="231F20"/>
          <w:spacing w:val="-25"/>
          <w:w w:val="105"/>
        </w:rPr>
        <w:t> </w:t>
      </w:r>
      <w:r>
        <w:rPr>
          <w:color w:val="231F20"/>
          <w:w w:val="105"/>
        </w:rPr>
        <w:t>ya</w:t>
      </w:r>
      <w:r>
        <w:rPr>
          <w:color w:val="231F20"/>
          <w:spacing w:val="-25"/>
          <w:w w:val="105"/>
        </w:rPr>
        <w:t> </w:t>
      </w:r>
      <w:r>
        <w:rPr>
          <w:color w:val="231F20"/>
          <w:w w:val="105"/>
        </w:rPr>
        <w:t>sea</w:t>
      </w:r>
      <w:r>
        <w:rPr>
          <w:color w:val="231F20"/>
          <w:spacing w:val="-25"/>
          <w:w w:val="105"/>
        </w:rPr>
        <w:t> </w:t>
      </w:r>
      <w:r>
        <w:rPr>
          <w:color w:val="231F20"/>
          <w:w w:val="105"/>
        </w:rPr>
        <w:t>en</w:t>
      </w:r>
      <w:r>
        <w:rPr>
          <w:color w:val="231F20"/>
          <w:spacing w:val="-25"/>
          <w:w w:val="105"/>
        </w:rPr>
        <w:t> </w:t>
      </w:r>
      <w:r>
        <w:rPr>
          <w:color w:val="231F20"/>
          <w:w w:val="105"/>
        </w:rPr>
        <w:t>su</w:t>
      </w:r>
      <w:r>
        <w:rPr>
          <w:color w:val="231F20"/>
          <w:spacing w:val="-25"/>
          <w:w w:val="105"/>
        </w:rPr>
        <w:t> </w:t>
      </w:r>
      <w:r>
        <w:rPr>
          <w:color w:val="231F20"/>
          <w:w w:val="105"/>
        </w:rPr>
        <w:t>interior</w:t>
      </w:r>
      <w:r>
        <w:rPr>
          <w:color w:val="231F20"/>
          <w:spacing w:val="-25"/>
          <w:w w:val="105"/>
        </w:rPr>
        <w:t> </w:t>
      </w:r>
      <w:r>
        <w:rPr>
          <w:color w:val="231F20"/>
          <w:w w:val="105"/>
        </w:rPr>
        <w:t>como</w:t>
      </w:r>
      <w:r>
        <w:rPr>
          <w:color w:val="231F20"/>
          <w:spacing w:val="-25"/>
          <w:w w:val="105"/>
        </w:rPr>
        <w:t> </w:t>
      </w:r>
      <w:r>
        <w:rPr>
          <w:color w:val="231F20"/>
          <w:w w:val="105"/>
        </w:rPr>
        <w:t>en</w:t>
      </w:r>
      <w:r>
        <w:rPr>
          <w:color w:val="231F20"/>
          <w:spacing w:val="-25"/>
          <w:w w:val="105"/>
        </w:rPr>
        <w:t> </w:t>
      </w:r>
      <w:r>
        <w:rPr>
          <w:color w:val="231F20"/>
          <w:w w:val="105"/>
        </w:rPr>
        <w:t>su relación con el exterior”</w:t>
      </w:r>
      <w:r>
        <w:rPr>
          <w:color w:val="231F20"/>
          <w:w w:val="105"/>
          <w:position w:val="7"/>
          <w:sz w:val="12"/>
        </w:rPr>
        <w:t>25</w:t>
      </w:r>
      <w:r>
        <w:rPr>
          <w:color w:val="231F20"/>
          <w:w w:val="105"/>
        </w:rPr>
        <w:t>. Con esto, el tradicional sistema de</w:t>
      </w:r>
      <w:r>
        <w:rPr>
          <w:color w:val="231F20"/>
          <w:spacing w:val="-44"/>
          <w:w w:val="105"/>
        </w:rPr>
        <w:t> </w:t>
      </w:r>
      <w:r>
        <w:rPr>
          <w:color w:val="231F20"/>
          <w:w w:val="105"/>
        </w:rPr>
        <w:t>relaciones internacionales</w:t>
      </w:r>
      <w:r>
        <w:rPr>
          <w:color w:val="231F20"/>
          <w:spacing w:val="-18"/>
          <w:w w:val="105"/>
        </w:rPr>
        <w:t> </w:t>
      </w:r>
      <w:r>
        <w:rPr>
          <w:color w:val="231F20"/>
          <w:w w:val="105"/>
        </w:rPr>
        <w:t>centrado</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”soberanía</w:t>
      </w:r>
      <w:r>
        <w:rPr>
          <w:color w:val="231F20"/>
          <w:spacing w:val="-18"/>
          <w:w w:val="105"/>
        </w:rPr>
        <w:t> </w:t>
      </w:r>
      <w:r>
        <w:rPr>
          <w:color w:val="231F20"/>
          <w:w w:val="105"/>
        </w:rPr>
        <w:t>westfaliana”</w:t>
      </w:r>
      <w:r>
        <w:rPr>
          <w:color w:val="231F20"/>
          <w:spacing w:val="-18"/>
          <w:w w:val="105"/>
        </w:rPr>
        <w:t> </w:t>
      </w:r>
      <w:r>
        <w:rPr>
          <w:color w:val="231F20"/>
          <w:w w:val="105"/>
        </w:rPr>
        <w:t>parece</w:t>
      </w:r>
      <w:r>
        <w:rPr>
          <w:color w:val="231F20"/>
          <w:spacing w:val="-18"/>
          <w:w w:val="105"/>
        </w:rPr>
        <w:t> </w:t>
      </w:r>
      <w:r>
        <w:rPr>
          <w:color w:val="231F20"/>
          <w:w w:val="105"/>
        </w:rPr>
        <w:t>realmente abrir paso al revolucionario orden jurídico cosmopolítico propuesto por Kant</w:t>
      </w:r>
      <w:r>
        <w:rPr>
          <w:color w:val="231F20"/>
          <w:spacing w:val="-40"/>
          <w:w w:val="105"/>
        </w:rPr>
        <w:t> </w:t>
      </w:r>
      <w:r>
        <w:rPr>
          <w:color w:val="231F20"/>
          <w:w w:val="105"/>
        </w:rPr>
        <w:t>en</w:t>
      </w:r>
      <w:r>
        <w:rPr>
          <w:color w:val="231F20"/>
          <w:spacing w:val="-40"/>
          <w:w w:val="105"/>
        </w:rPr>
        <w:t> </w:t>
      </w:r>
      <w:r>
        <w:rPr>
          <w:color w:val="231F20"/>
          <w:w w:val="105"/>
        </w:rPr>
        <w:t>algunas</w:t>
      </w:r>
      <w:r>
        <w:rPr>
          <w:color w:val="231F20"/>
          <w:spacing w:val="-40"/>
          <w:w w:val="105"/>
        </w:rPr>
        <w:t> </w:t>
      </w:r>
      <w:r>
        <w:rPr>
          <w:color w:val="231F20"/>
          <w:w w:val="105"/>
        </w:rPr>
        <w:t>célebres</w:t>
      </w:r>
      <w:r>
        <w:rPr>
          <w:color w:val="231F20"/>
          <w:spacing w:val="-40"/>
          <w:w w:val="105"/>
        </w:rPr>
        <w:t> </w:t>
      </w:r>
      <w:r>
        <w:rPr>
          <w:color w:val="231F20"/>
          <w:w w:val="105"/>
        </w:rPr>
        <w:t>páginas</w:t>
      </w:r>
      <w:r>
        <w:rPr>
          <w:color w:val="231F20"/>
          <w:spacing w:val="-40"/>
          <w:w w:val="105"/>
        </w:rPr>
        <w:t> </w:t>
      </w:r>
      <w:r>
        <w:rPr>
          <w:color w:val="231F20"/>
          <w:w w:val="105"/>
        </w:rPr>
        <w:t>del</w:t>
      </w:r>
      <w:r>
        <w:rPr>
          <w:color w:val="231F20"/>
          <w:spacing w:val="-40"/>
          <w:w w:val="105"/>
        </w:rPr>
        <w:t> </w:t>
      </w:r>
      <w:r>
        <w:rPr>
          <w:color w:val="231F20"/>
          <w:w w:val="105"/>
        </w:rPr>
        <w:t>ensayo</w:t>
      </w:r>
      <w:r>
        <w:rPr>
          <w:color w:val="231F20"/>
          <w:spacing w:val="-40"/>
          <w:w w:val="105"/>
        </w:rPr>
        <w:t> </w:t>
      </w:r>
      <w:r>
        <w:rPr>
          <w:rFonts w:ascii="Arial" w:hAnsi="Arial"/>
          <w:i/>
          <w:color w:val="231F20"/>
          <w:w w:val="105"/>
        </w:rPr>
        <w:t>Zum</w:t>
      </w:r>
      <w:r>
        <w:rPr>
          <w:rFonts w:ascii="Arial" w:hAnsi="Arial"/>
          <w:i/>
          <w:color w:val="231F20"/>
          <w:spacing w:val="-32"/>
          <w:w w:val="105"/>
        </w:rPr>
        <w:t> </w:t>
      </w:r>
      <w:r>
        <w:rPr>
          <w:rFonts w:ascii="Arial" w:hAnsi="Arial"/>
          <w:i/>
          <w:color w:val="231F20"/>
          <w:w w:val="105"/>
        </w:rPr>
        <w:t>ewigen</w:t>
      </w:r>
      <w:r>
        <w:rPr>
          <w:rFonts w:ascii="Arial" w:hAnsi="Arial"/>
          <w:i/>
          <w:color w:val="231F20"/>
          <w:spacing w:val="-32"/>
          <w:w w:val="105"/>
        </w:rPr>
        <w:t> </w:t>
      </w:r>
      <w:r>
        <w:rPr>
          <w:rFonts w:ascii="Arial" w:hAnsi="Arial"/>
          <w:i/>
          <w:color w:val="231F20"/>
          <w:w w:val="105"/>
        </w:rPr>
        <w:t>Frieden</w:t>
      </w:r>
      <w:r>
        <w:rPr>
          <w:color w:val="231F20"/>
          <w:w w:val="105"/>
          <w:position w:val="7"/>
          <w:sz w:val="12"/>
        </w:rPr>
        <w:t>26</w:t>
      </w:r>
      <w:r>
        <w:rPr>
          <w:color w:val="231F20"/>
          <w:w w:val="105"/>
        </w:rPr>
        <w:t>:</w:t>
      </w:r>
      <w:r>
        <w:rPr>
          <w:color w:val="231F20"/>
          <w:spacing w:val="-40"/>
          <w:w w:val="105"/>
        </w:rPr>
        <w:t> </w:t>
      </w:r>
      <w:r>
        <w:rPr>
          <w:color w:val="231F20"/>
          <w:w w:val="105"/>
        </w:rPr>
        <w:t>un</w:t>
      </w:r>
      <w:r>
        <w:rPr>
          <w:color w:val="231F20"/>
          <w:spacing w:val="-40"/>
          <w:w w:val="105"/>
        </w:rPr>
        <w:t> </w:t>
      </w:r>
      <w:r>
        <w:rPr>
          <w:color w:val="231F20"/>
          <w:w w:val="105"/>
        </w:rPr>
        <w:t>es- pacio</w:t>
      </w:r>
      <w:r>
        <w:rPr>
          <w:color w:val="231F20"/>
          <w:spacing w:val="-27"/>
          <w:w w:val="105"/>
        </w:rPr>
        <w:t> </w:t>
      </w:r>
      <w:r>
        <w:rPr>
          <w:color w:val="231F20"/>
          <w:w w:val="105"/>
        </w:rPr>
        <w:t>global</w:t>
      </w:r>
      <w:r>
        <w:rPr>
          <w:color w:val="231F20"/>
          <w:spacing w:val="-27"/>
          <w:w w:val="105"/>
        </w:rPr>
        <w:t> </w:t>
      </w:r>
      <w:r>
        <w:rPr>
          <w:color w:val="231F20"/>
          <w:w w:val="105"/>
        </w:rPr>
        <w:t>de</w:t>
      </w:r>
      <w:r>
        <w:rPr>
          <w:color w:val="231F20"/>
          <w:spacing w:val="-27"/>
          <w:w w:val="105"/>
        </w:rPr>
        <w:t> </w:t>
      </w:r>
      <w:r>
        <w:rPr>
          <w:color w:val="231F20"/>
          <w:w w:val="105"/>
        </w:rPr>
        <w:t>relaciones</w:t>
      </w:r>
      <w:r>
        <w:rPr>
          <w:color w:val="231F20"/>
          <w:spacing w:val="-27"/>
          <w:w w:val="105"/>
        </w:rPr>
        <w:t> </w:t>
      </w:r>
      <w:r>
        <w:rPr>
          <w:color w:val="231F20"/>
          <w:w w:val="105"/>
        </w:rPr>
        <w:t>intersubjetivas</w:t>
      </w:r>
      <w:r>
        <w:rPr>
          <w:color w:val="231F20"/>
          <w:spacing w:val="-27"/>
          <w:w w:val="105"/>
        </w:rPr>
        <w:t> </w:t>
      </w:r>
      <w:r>
        <w:rPr>
          <w:color w:val="231F20"/>
          <w:w w:val="105"/>
        </w:rPr>
        <w:t>basado</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reconocimiento</w:t>
      </w:r>
      <w:r>
        <w:rPr>
          <w:color w:val="231F20"/>
          <w:spacing w:val="-27"/>
          <w:w w:val="105"/>
        </w:rPr>
        <w:t> </w:t>
      </w:r>
      <w:r>
        <w:rPr>
          <w:color w:val="231F20"/>
          <w:w w:val="105"/>
        </w:rPr>
        <w:t>de derechos</w:t>
      </w:r>
      <w:r>
        <w:rPr>
          <w:color w:val="231F20"/>
          <w:spacing w:val="-47"/>
          <w:w w:val="105"/>
        </w:rPr>
        <w:t> </w:t>
      </w:r>
      <w:r>
        <w:rPr>
          <w:color w:val="231F20"/>
          <w:w w:val="105"/>
        </w:rPr>
        <w:t>individuales</w:t>
      </w:r>
      <w:r>
        <w:rPr>
          <w:color w:val="231F20"/>
          <w:spacing w:val="-47"/>
          <w:w w:val="105"/>
        </w:rPr>
        <w:t> </w:t>
      </w:r>
      <w:r>
        <w:rPr>
          <w:color w:val="231F20"/>
          <w:w w:val="105"/>
        </w:rPr>
        <w:t>universales,</w:t>
      </w:r>
      <w:r>
        <w:rPr>
          <w:color w:val="231F20"/>
          <w:spacing w:val="-47"/>
          <w:w w:val="105"/>
        </w:rPr>
        <w:t> </w:t>
      </w:r>
      <w:r>
        <w:rPr>
          <w:color w:val="231F20"/>
          <w:w w:val="105"/>
        </w:rPr>
        <w:t>vinculantes</w:t>
      </w:r>
      <w:r>
        <w:rPr>
          <w:color w:val="231F20"/>
          <w:spacing w:val="-47"/>
          <w:w w:val="105"/>
        </w:rPr>
        <w:t> </w:t>
      </w:r>
      <w:r>
        <w:rPr>
          <w:color w:val="231F20"/>
          <w:w w:val="105"/>
        </w:rPr>
        <w:t>también</w:t>
      </w:r>
      <w:r>
        <w:rPr>
          <w:color w:val="231F20"/>
          <w:spacing w:val="-47"/>
          <w:w w:val="105"/>
        </w:rPr>
        <w:t> </w:t>
      </w:r>
      <w:r>
        <w:rPr>
          <w:color w:val="231F20"/>
          <w:w w:val="105"/>
        </w:rPr>
        <w:t>frente</w:t>
      </w:r>
      <w:r>
        <w:rPr>
          <w:color w:val="231F20"/>
          <w:spacing w:val="-47"/>
          <w:w w:val="105"/>
        </w:rPr>
        <w:t> </w:t>
      </w:r>
      <w:r>
        <w:rPr>
          <w:color w:val="231F20"/>
          <w:w w:val="105"/>
        </w:rPr>
        <w:t>a</w:t>
      </w:r>
      <w:r>
        <w:rPr>
          <w:color w:val="231F20"/>
          <w:spacing w:val="-47"/>
          <w:w w:val="105"/>
        </w:rPr>
        <w:t> </w:t>
      </w:r>
      <w:r>
        <w:rPr>
          <w:color w:val="231F20"/>
          <w:w w:val="105"/>
        </w:rPr>
        <w:t>los</w:t>
      </w:r>
      <w:r>
        <w:rPr>
          <w:color w:val="231F20"/>
          <w:spacing w:val="-47"/>
          <w:w w:val="105"/>
        </w:rPr>
        <w:t> </w:t>
      </w:r>
      <w:r>
        <w:rPr>
          <w:color w:val="231F20"/>
          <w:w w:val="105"/>
        </w:rPr>
        <w:t>Estados y</w:t>
      </w:r>
      <w:r>
        <w:rPr>
          <w:color w:val="231F20"/>
          <w:spacing w:val="-39"/>
          <w:w w:val="105"/>
        </w:rPr>
        <w:t> </w:t>
      </w:r>
      <w:r>
        <w:rPr>
          <w:color w:val="231F20"/>
          <w:w w:val="105"/>
        </w:rPr>
        <w:t>capaces</w:t>
      </w:r>
      <w:r>
        <w:rPr>
          <w:color w:val="231F20"/>
          <w:spacing w:val="-39"/>
          <w:w w:val="105"/>
        </w:rPr>
        <w:t> </w:t>
      </w:r>
      <w:r>
        <w:rPr>
          <w:color w:val="231F20"/>
          <w:w w:val="105"/>
        </w:rPr>
        <w:t>de</w:t>
      </w:r>
      <w:r>
        <w:rPr>
          <w:color w:val="231F20"/>
          <w:spacing w:val="-39"/>
          <w:w w:val="105"/>
        </w:rPr>
        <w:t> </w:t>
      </w:r>
      <w:r>
        <w:rPr>
          <w:color w:val="231F20"/>
          <w:w w:val="105"/>
        </w:rPr>
        <w:t>oponerse</w:t>
      </w:r>
      <w:r>
        <w:rPr>
          <w:color w:val="231F20"/>
          <w:spacing w:val="-39"/>
          <w:w w:val="105"/>
        </w:rPr>
        <w:t> </w:t>
      </w:r>
      <w:r>
        <w:rPr>
          <w:color w:val="231F20"/>
          <w:w w:val="105"/>
        </w:rPr>
        <w:t>a</w:t>
      </w:r>
      <w:r>
        <w:rPr>
          <w:color w:val="231F20"/>
          <w:spacing w:val="-39"/>
          <w:w w:val="105"/>
        </w:rPr>
        <w:t> </w:t>
      </w:r>
      <w:r>
        <w:rPr>
          <w:color w:val="231F20"/>
          <w:w w:val="105"/>
        </w:rPr>
        <w:t>ellos,</w:t>
      </w:r>
      <w:r>
        <w:rPr>
          <w:color w:val="231F20"/>
          <w:spacing w:val="-39"/>
          <w:w w:val="105"/>
        </w:rPr>
        <w:t> </w:t>
      </w:r>
      <w:r>
        <w:rPr>
          <w:color w:val="231F20"/>
          <w:w w:val="105"/>
        </w:rPr>
        <w:t>si</w:t>
      </w:r>
      <w:r>
        <w:rPr>
          <w:color w:val="231F20"/>
          <w:spacing w:val="-39"/>
          <w:w w:val="105"/>
        </w:rPr>
        <w:t> </w:t>
      </w:r>
      <w:r>
        <w:rPr>
          <w:color w:val="231F20"/>
          <w:w w:val="105"/>
        </w:rPr>
        <w:t>es</w:t>
      </w:r>
      <w:r>
        <w:rPr>
          <w:color w:val="231F20"/>
          <w:spacing w:val="-39"/>
          <w:w w:val="105"/>
        </w:rPr>
        <w:t> </w:t>
      </w:r>
      <w:r>
        <w:rPr>
          <w:color w:val="231F20"/>
          <w:w w:val="105"/>
        </w:rPr>
        <w:t>necesario</w:t>
      </w:r>
      <w:r>
        <w:rPr>
          <w:color w:val="231F20"/>
          <w:spacing w:val="-39"/>
          <w:w w:val="105"/>
        </w:rPr>
        <w:t> </w:t>
      </w:r>
      <w:r>
        <w:rPr>
          <w:color w:val="231F20"/>
          <w:w w:val="105"/>
        </w:rPr>
        <w:t>a</w:t>
      </w:r>
      <w:r>
        <w:rPr>
          <w:color w:val="231F20"/>
          <w:spacing w:val="-39"/>
          <w:w w:val="105"/>
        </w:rPr>
        <w:t> </w:t>
      </w:r>
      <w:r>
        <w:rPr>
          <w:color w:val="231F20"/>
          <w:w w:val="105"/>
        </w:rPr>
        <w:t>través</w:t>
      </w:r>
      <w:r>
        <w:rPr>
          <w:color w:val="231F20"/>
          <w:spacing w:val="-39"/>
          <w:w w:val="105"/>
        </w:rPr>
        <w:t> </w:t>
      </w:r>
      <w:r>
        <w:rPr>
          <w:color w:val="231F20"/>
          <w:w w:val="105"/>
        </w:rPr>
        <w:t>del</w:t>
      </w:r>
      <w:r>
        <w:rPr>
          <w:color w:val="231F20"/>
          <w:spacing w:val="-39"/>
          <w:w w:val="105"/>
        </w:rPr>
        <w:t> </w:t>
      </w:r>
      <w:r>
        <w:rPr>
          <w:color w:val="231F20"/>
          <w:w w:val="105"/>
        </w:rPr>
        <w:t>uso</w:t>
      </w:r>
      <w:r>
        <w:rPr>
          <w:color w:val="231F20"/>
          <w:spacing w:val="-39"/>
          <w:w w:val="105"/>
        </w:rPr>
        <w:t> </w:t>
      </w:r>
      <w:r>
        <w:rPr>
          <w:color w:val="231F20"/>
          <w:w w:val="105"/>
        </w:rPr>
        <w:t>de</w:t>
      </w:r>
      <w:r>
        <w:rPr>
          <w:color w:val="231F20"/>
          <w:spacing w:val="-39"/>
          <w:w w:val="105"/>
        </w:rPr>
        <w:t> </w:t>
      </w:r>
      <w:r>
        <w:rPr>
          <w:color w:val="231F20"/>
          <w:w w:val="105"/>
        </w:rPr>
        <w:t>la</w:t>
      </w:r>
      <w:r>
        <w:rPr>
          <w:color w:val="231F20"/>
          <w:spacing w:val="-39"/>
          <w:w w:val="105"/>
        </w:rPr>
        <w:t> </w:t>
      </w:r>
      <w:r>
        <w:rPr>
          <w:color w:val="231F20"/>
          <w:w w:val="105"/>
        </w:rPr>
        <w:t>fuerza</w:t>
      </w:r>
      <w:r>
        <w:rPr>
          <w:color w:val="231F20"/>
          <w:w w:val="105"/>
          <w:position w:val="7"/>
          <w:sz w:val="12"/>
        </w:rPr>
        <w:t>27</w:t>
      </w:r>
      <w:r>
        <w:rPr>
          <w:color w:val="231F20"/>
          <w:w w:val="105"/>
        </w:rPr>
        <w:t>. No</w:t>
      </w:r>
      <w:r>
        <w:rPr>
          <w:color w:val="231F20"/>
          <w:spacing w:val="-42"/>
          <w:w w:val="105"/>
        </w:rPr>
        <w:t> </w:t>
      </w:r>
      <w:r>
        <w:rPr>
          <w:color w:val="231F20"/>
          <w:w w:val="105"/>
        </w:rPr>
        <w:t>es</w:t>
      </w:r>
      <w:r>
        <w:rPr>
          <w:color w:val="231F20"/>
          <w:spacing w:val="-42"/>
          <w:w w:val="105"/>
        </w:rPr>
        <w:t> </w:t>
      </w:r>
      <w:r>
        <w:rPr>
          <w:color w:val="231F20"/>
          <w:w w:val="105"/>
        </w:rPr>
        <w:t>sorprendente,</w:t>
      </w:r>
      <w:r>
        <w:rPr>
          <w:color w:val="231F20"/>
          <w:spacing w:val="-42"/>
          <w:w w:val="105"/>
        </w:rPr>
        <w:t> </w:t>
      </w:r>
      <w:r>
        <w:rPr>
          <w:color w:val="231F20"/>
          <w:w w:val="105"/>
        </w:rPr>
        <w:t>entonces,</w:t>
      </w:r>
      <w:r>
        <w:rPr>
          <w:color w:val="231F20"/>
          <w:spacing w:val="-42"/>
          <w:w w:val="105"/>
        </w:rPr>
        <w:t> </w:t>
      </w:r>
      <w:r>
        <w:rPr>
          <w:color w:val="231F20"/>
          <w:w w:val="105"/>
        </w:rPr>
        <w:t>que</w:t>
      </w:r>
      <w:r>
        <w:rPr>
          <w:color w:val="231F20"/>
          <w:spacing w:val="-42"/>
          <w:w w:val="105"/>
        </w:rPr>
        <w:t> </w:t>
      </w:r>
      <w:r>
        <w:rPr>
          <w:color w:val="231F20"/>
          <w:w w:val="105"/>
        </w:rPr>
        <w:t>en</w:t>
      </w:r>
      <w:r>
        <w:rPr>
          <w:color w:val="231F20"/>
          <w:spacing w:val="-42"/>
          <w:w w:val="105"/>
        </w:rPr>
        <w:t> </w:t>
      </w:r>
      <w:r>
        <w:rPr>
          <w:color w:val="231F20"/>
          <w:w w:val="105"/>
        </w:rPr>
        <w:t>el</w:t>
      </w:r>
      <w:r>
        <w:rPr>
          <w:color w:val="231F20"/>
          <w:spacing w:val="-42"/>
          <w:w w:val="105"/>
        </w:rPr>
        <w:t> </w:t>
      </w:r>
      <w:r>
        <w:rPr>
          <w:color w:val="231F20"/>
          <w:w w:val="105"/>
        </w:rPr>
        <w:t>más</w:t>
      </w:r>
      <w:r>
        <w:rPr>
          <w:color w:val="231F20"/>
          <w:spacing w:val="-42"/>
          <w:w w:val="105"/>
        </w:rPr>
        <w:t> </w:t>
      </w:r>
      <w:r>
        <w:rPr>
          <w:color w:val="231F20"/>
          <w:w w:val="105"/>
        </w:rPr>
        <w:t>reciente</w:t>
      </w:r>
      <w:r>
        <w:rPr>
          <w:color w:val="231F20"/>
          <w:spacing w:val="-42"/>
          <w:w w:val="105"/>
        </w:rPr>
        <w:t> </w:t>
      </w:r>
      <w:r>
        <w:rPr>
          <w:color w:val="231F20"/>
          <w:w w:val="105"/>
        </w:rPr>
        <w:t>debate</w:t>
      </w:r>
      <w:r>
        <w:rPr>
          <w:color w:val="231F20"/>
          <w:spacing w:val="-42"/>
          <w:w w:val="105"/>
        </w:rPr>
        <w:t> </w:t>
      </w:r>
      <w:r>
        <w:rPr>
          <w:color w:val="231F20"/>
          <w:w w:val="105"/>
        </w:rPr>
        <w:t>jurídico</w:t>
      </w:r>
      <w:r>
        <w:rPr>
          <w:color w:val="231F20"/>
          <w:spacing w:val="-42"/>
          <w:w w:val="105"/>
        </w:rPr>
        <w:t> </w:t>
      </w:r>
      <w:r>
        <w:rPr>
          <w:color w:val="231F20"/>
          <w:w w:val="105"/>
        </w:rPr>
        <w:t>inter- nacional</w:t>
      </w:r>
      <w:r>
        <w:rPr>
          <w:color w:val="231F20"/>
          <w:spacing w:val="-28"/>
          <w:w w:val="105"/>
        </w:rPr>
        <w:t> </w:t>
      </w:r>
      <w:r>
        <w:rPr>
          <w:color w:val="231F20"/>
          <w:w w:val="105"/>
        </w:rPr>
        <w:t>sobre</w:t>
      </w:r>
      <w:r>
        <w:rPr>
          <w:color w:val="231F20"/>
          <w:spacing w:val="-28"/>
          <w:w w:val="105"/>
        </w:rPr>
        <w:t> </w:t>
      </w:r>
      <w:r>
        <w:rPr>
          <w:color w:val="231F20"/>
          <w:w w:val="105"/>
        </w:rPr>
        <w:t>el</w:t>
      </w:r>
      <w:r>
        <w:rPr>
          <w:color w:val="231F20"/>
          <w:spacing w:val="-28"/>
          <w:w w:val="105"/>
        </w:rPr>
        <w:t> </w:t>
      </w:r>
      <w:r>
        <w:rPr>
          <w:color w:val="231F20"/>
          <w:w w:val="105"/>
        </w:rPr>
        <w:t>tema,</w:t>
      </w:r>
      <w:r>
        <w:rPr>
          <w:color w:val="231F20"/>
          <w:spacing w:val="-28"/>
          <w:w w:val="105"/>
        </w:rPr>
        <w:t> </w:t>
      </w:r>
      <w:r>
        <w:rPr>
          <w:color w:val="231F20"/>
          <w:w w:val="105"/>
        </w:rPr>
        <w:t>los</w:t>
      </w:r>
      <w:r>
        <w:rPr>
          <w:color w:val="231F20"/>
          <w:spacing w:val="-28"/>
          <w:w w:val="105"/>
        </w:rPr>
        <w:t> </w:t>
      </w:r>
      <w:r>
        <w:rPr>
          <w:color w:val="231F20"/>
          <w:w w:val="105"/>
        </w:rPr>
        <w:t>más</w:t>
      </w:r>
      <w:r>
        <w:rPr>
          <w:color w:val="231F20"/>
          <w:spacing w:val="-28"/>
          <w:w w:val="105"/>
        </w:rPr>
        <w:t> </w:t>
      </w:r>
      <w:r>
        <w:rPr>
          <w:color w:val="231F20"/>
          <w:w w:val="105"/>
        </w:rPr>
        <w:t>radicales</w:t>
      </w:r>
      <w:r>
        <w:rPr>
          <w:color w:val="231F20"/>
          <w:spacing w:val="-28"/>
          <w:w w:val="105"/>
        </w:rPr>
        <w:t> </w:t>
      </w:r>
      <w:r>
        <w:rPr>
          <w:color w:val="231F20"/>
          <w:w w:val="105"/>
        </w:rPr>
        <w:t>partidarios</w:t>
      </w:r>
      <w:r>
        <w:rPr>
          <w:color w:val="231F20"/>
          <w:spacing w:val="-28"/>
          <w:w w:val="105"/>
        </w:rPr>
        <w:t> </w:t>
      </w:r>
      <w:r>
        <w:rPr>
          <w:color w:val="231F20"/>
          <w:w w:val="105"/>
        </w:rPr>
        <w:t>de</w:t>
      </w:r>
      <w:r>
        <w:rPr>
          <w:color w:val="231F20"/>
          <w:spacing w:val="-28"/>
          <w:w w:val="105"/>
        </w:rPr>
        <w:t> </w:t>
      </w:r>
      <w:r>
        <w:rPr>
          <w:color w:val="231F20"/>
          <w:w w:val="105"/>
        </w:rPr>
        <w:t>una</w:t>
      </w:r>
      <w:r>
        <w:rPr>
          <w:color w:val="231F20"/>
          <w:spacing w:val="-28"/>
          <w:w w:val="105"/>
        </w:rPr>
        <w:t> </w:t>
      </w:r>
      <w:r>
        <w:rPr>
          <w:color w:val="231F20"/>
          <w:w w:val="105"/>
        </w:rPr>
        <w:t>aproximación cosmopolítica</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protección</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derechos</w:t>
      </w:r>
      <w:r>
        <w:rPr>
          <w:color w:val="231F20"/>
          <w:spacing w:val="-21"/>
          <w:w w:val="105"/>
        </w:rPr>
        <w:t> </w:t>
      </w:r>
      <w:r>
        <w:rPr>
          <w:color w:val="231F20"/>
          <w:w w:val="105"/>
        </w:rPr>
        <w:t>humanos</w:t>
      </w:r>
      <w:r>
        <w:rPr>
          <w:color w:val="231F20"/>
          <w:spacing w:val="-21"/>
          <w:w w:val="105"/>
        </w:rPr>
        <w:t> </w:t>
      </w:r>
      <w:r>
        <w:rPr>
          <w:color w:val="231F20"/>
          <w:w w:val="105"/>
        </w:rPr>
        <w:t>—a</w:t>
      </w:r>
      <w:r>
        <w:rPr>
          <w:color w:val="231F20"/>
          <w:spacing w:val="-21"/>
          <w:w w:val="105"/>
        </w:rPr>
        <w:t> </w:t>
      </w:r>
      <w:r>
        <w:rPr>
          <w:color w:val="231F20"/>
          <w:w w:val="105"/>
        </w:rPr>
        <w:t>quienes</w:t>
      </w:r>
      <w:r>
        <w:rPr>
          <w:color w:val="231F20"/>
          <w:spacing w:val="-21"/>
          <w:w w:val="105"/>
        </w:rPr>
        <w:t> </w:t>
      </w:r>
      <w:r>
        <w:rPr>
          <w:color w:val="231F20"/>
          <w:w w:val="105"/>
        </w:rPr>
        <w:t>Anne Orford</w:t>
      </w:r>
      <w:r>
        <w:rPr>
          <w:color w:val="231F20"/>
          <w:spacing w:val="-14"/>
          <w:w w:val="105"/>
        </w:rPr>
        <w:t> </w:t>
      </w:r>
      <w:r>
        <w:rPr>
          <w:color w:val="231F20"/>
          <w:w w:val="105"/>
        </w:rPr>
        <w:t>definó</w:t>
      </w:r>
      <w:r>
        <w:rPr>
          <w:color w:val="231F20"/>
          <w:spacing w:val="-14"/>
          <w:w w:val="105"/>
        </w:rPr>
        <w:t> </w:t>
      </w:r>
      <w:r>
        <w:rPr>
          <w:color w:val="231F20"/>
          <w:w w:val="105"/>
        </w:rPr>
        <w:t>como</w:t>
      </w:r>
      <w:r>
        <w:rPr>
          <w:color w:val="231F20"/>
          <w:spacing w:val="-14"/>
          <w:w w:val="105"/>
        </w:rPr>
        <w:t> </w:t>
      </w:r>
      <w:r>
        <w:rPr>
          <w:color w:val="231F20"/>
          <w:w w:val="105"/>
        </w:rPr>
        <w:t>“new</w:t>
      </w:r>
      <w:r>
        <w:rPr>
          <w:color w:val="231F20"/>
          <w:spacing w:val="-14"/>
          <w:w w:val="105"/>
        </w:rPr>
        <w:t> </w:t>
      </w:r>
      <w:r>
        <w:rPr>
          <w:color w:val="231F20"/>
          <w:w w:val="105"/>
        </w:rPr>
        <w:t>human</w:t>
      </w:r>
      <w:r>
        <w:rPr>
          <w:color w:val="231F20"/>
          <w:spacing w:val="-14"/>
          <w:w w:val="105"/>
        </w:rPr>
        <w:t> </w:t>
      </w:r>
      <w:r>
        <w:rPr>
          <w:color w:val="231F20"/>
          <w:w w:val="105"/>
        </w:rPr>
        <w:t>rights</w:t>
      </w:r>
      <w:r>
        <w:rPr>
          <w:color w:val="231F20"/>
          <w:spacing w:val="-14"/>
          <w:w w:val="105"/>
        </w:rPr>
        <w:t> </w:t>
      </w:r>
      <w:r>
        <w:rPr>
          <w:color w:val="231F20"/>
          <w:w w:val="105"/>
        </w:rPr>
        <w:t>Warriors”</w:t>
      </w:r>
      <w:r>
        <w:rPr>
          <w:color w:val="231F20"/>
          <w:w w:val="105"/>
          <w:position w:val="7"/>
          <w:sz w:val="12"/>
        </w:rPr>
        <w:t>28</w:t>
      </w:r>
      <w:r>
        <w:rPr>
          <w:color w:val="231F20"/>
          <w:w w:val="105"/>
        </w:rPr>
        <w:t>—</w:t>
      </w:r>
      <w:r>
        <w:rPr>
          <w:color w:val="231F20"/>
          <w:spacing w:val="-14"/>
          <w:w w:val="105"/>
        </w:rPr>
        <w:t> </w:t>
      </w:r>
      <w:r>
        <w:rPr>
          <w:color w:val="231F20"/>
          <w:w w:val="105"/>
        </w:rPr>
        <w:t>hayan</w:t>
      </w:r>
      <w:r>
        <w:rPr>
          <w:color w:val="231F20"/>
          <w:spacing w:val="-14"/>
          <w:w w:val="105"/>
        </w:rPr>
        <w:t> </w:t>
      </w:r>
      <w:r>
        <w:rPr>
          <w:color w:val="231F20"/>
          <w:w w:val="105"/>
        </w:rPr>
        <w:t>podido</w:t>
      </w:r>
      <w:r>
        <w:rPr>
          <w:color w:val="231F20"/>
          <w:spacing w:val="-14"/>
          <w:w w:val="105"/>
        </w:rPr>
        <w:t> </w:t>
      </w:r>
      <w:r>
        <w:rPr>
          <w:color w:val="231F20"/>
          <w:w w:val="105"/>
        </w:rPr>
        <w:t>cele- brar</w:t>
      </w:r>
      <w:r>
        <w:rPr>
          <w:color w:val="231F20"/>
          <w:spacing w:val="-19"/>
          <w:w w:val="105"/>
        </w:rPr>
        <w:t> </w:t>
      </w:r>
      <w:r>
        <w:rPr>
          <w:color w:val="231F20"/>
          <w:w w:val="105"/>
        </w:rPr>
        <w:t>el</w:t>
      </w:r>
      <w:r>
        <w:rPr>
          <w:color w:val="231F20"/>
          <w:spacing w:val="-18"/>
          <w:w w:val="105"/>
        </w:rPr>
        <w:t> </w:t>
      </w:r>
      <w:r>
        <w:rPr>
          <w:color w:val="231F20"/>
          <w:w w:val="105"/>
        </w:rPr>
        <w:t>“cambio</w:t>
      </w:r>
      <w:r>
        <w:rPr>
          <w:color w:val="231F20"/>
          <w:spacing w:val="-19"/>
          <w:w w:val="105"/>
        </w:rPr>
        <w:t> </w:t>
      </w:r>
      <w:r>
        <w:rPr>
          <w:color w:val="231F20"/>
          <w:w w:val="105"/>
        </w:rPr>
        <w:t>humanitario”</w:t>
      </w:r>
      <w:r>
        <w:rPr>
          <w:color w:val="231F20"/>
          <w:spacing w:val="-19"/>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política</w:t>
      </w:r>
      <w:r>
        <w:rPr>
          <w:color w:val="231F20"/>
          <w:spacing w:val="-18"/>
          <w:w w:val="105"/>
        </w:rPr>
        <w:t> </w:t>
      </w:r>
      <w:r>
        <w:rPr>
          <w:color w:val="231F20"/>
          <w:w w:val="105"/>
        </w:rPr>
        <w:t>internacional</w:t>
      </w:r>
      <w:r>
        <w:rPr>
          <w:color w:val="231F20"/>
          <w:spacing w:val="-18"/>
          <w:w w:val="105"/>
        </w:rPr>
        <w:t> </w:t>
      </w:r>
      <w:r>
        <w:rPr>
          <w:color w:val="231F20"/>
          <w:w w:val="105"/>
        </w:rPr>
        <w:t>como</w:t>
      </w:r>
      <w:r>
        <w:rPr>
          <w:color w:val="231F20"/>
          <w:spacing w:val="-18"/>
          <w:w w:val="105"/>
        </w:rPr>
        <w:t> </w:t>
      </w:r>
      <w:r>
        <w:rPr>
          <w:color w:val="231F20"/>
          <w:w w:val="105"/>
        </w:rPr>
        <w:t>el</w:t>
      </w:r>
      <w:r>
        <w:rPr>
          <w:color w:val="231F20"/>
          <w:spacing w:val="-18"/>
          <w:w w:val="105"/>
        </w:rPr>
        <w:t> </w:t>
      </w:r>
      <w:r>
        <w:rPr>
          <w:color w:val="231F20"/>
          <w:w w:val="105"/>
        </w:rPr>
        <w:t>inicio</w:t>
      </w:r>
      <w:r>
        <w:rPr>
          <w:color w:val="231F20"/>
          <w:spacing w:val="-18"/>
          <w:w w:val="105"/>
        </w:rPr>
        <w:t> </w:t>
      </w:r>
      <w:r>
        <w:rPr>
          <w:color w:val="231F20"/>
          <w:w w:val="105"/>
        </w:rPr>
        <w:t>de una</w:t>
      </w:r>
      <w:r>
        <w:rPr>
          <w:color w:val="231F20"/>
          <w:spacing w:val="-34"/>
          <w:w w:val="105"/>
        </w:rPr>
        <w:t> </w:t>
      </w:r>
      <w:r>
        <w:rPr>
          <w:color w:val="231F20"/>
          <w:w w:val="105"/>
        </w:rPr>
        <w:t>“third</w:t>
      </w:r>
      <w:r>
        <w:rPr>
          <w:color w:val="231F20"/>
          <w:spacing w:val="-34"/>
          <w:w w:val="105"/>
        </w:rPr>
        <w:t> </w:t>
      </w:r>
      <w:r>
        <w:rPr>
          <w:color w:val="231F20"/>
          <w:w w:val="105"/>
        </w:rPr>
        <w:t>age</w:t>
      </w:r>
      <w:r>
        <w:rPr>
          <w:color w:val="231F20"/>
          <w:spacing w:val="-34"/>
          <w:w w:val="105"/>
        </w:rPr>
        <w:t> </w:t>
      </w:r>
      <w:r>
        <w:rPr>
          <w:color w:val="231F20"/>
          <w:w w:val="105"/>
        </w:rPr>
        <w:t>of</w:t>
      </w:r>
      <w:r>
        <w:rPr>
          <w:color w:val="231F20"/>
          <w:spacing w:val="-34"/>
          <w:w w:val="105"/>
        </w:rPr>
        <w:t> </w:t>
      </w:r>
      <w:r>
        <w:rPr>
          <w:color w:val="231F20"/>
          <w:w w:val="105"/>
        </w:rPr>
        <w:t>human</w:t>
      </w:r>
      <w:r>
        <w:rPr>
          <w:color w:val="231F20"/>
          <w:spacing w:val="-34"/>
          <w:w w:val="105"/>
        </w:rPr>
        <w:t> </w:t>
      </w:r>
      <w:r>
        <w:rPr>
          <w:color w:val="231F20"/>
          <w:w w:val="105"/>
        </w:rPr>
        <w:t>rights”,</w:t>
      </w:r>
      <w:r>
        <w:rPr>
          <w:color w:val="231F20"/>
          <w:spacing w:val="-34"/>
          <w:w w:val="105"/>
        </w:rPr>
        <w:t> </w:t>
      </w:r>
      <w:r>
        <w:rPr>
          <w:color w:val="231F20"/>
          <w:w w:val="105"/>
        </w:rPr>
        <w:t>la</w:t>
      </w:r>
      <w:r>
        <w:rPr>
          <w:color w:val="231F20"/>
          <w:spacing w:val="-34"/>
          <w:w w:val="105"/>
        </w:rPr>
        <w:t> </w:t>
      </w:r>
      <w:r>
        <w:rPr>
          <w:color w:val="231F20"/>
          <w:w w:val="105"/>
        </w:rPr>
        <w:t>época</w:t>
      </w:r>
      <w:r>
        <w:rPr>
          <w:color w:val="231F20"/>
          <w:spacing w:val="-34"/>
          <w:w w:val="105"/>
        </w:rPr>
        <w:t> </w:t>
      </w:r>
      <w:r>
        <w:rPr>
          <w:color w:val="231F20"/>
          <w:w w:val="105"/>
        </w:rPr>
        <w:t>del</w:t>
      </w:r>
      <w:r>
        <w:rPr>
          <w:color w:val="231F20"/>
          <w:spacing w:val="-34"/>
          <w:w w:val="105"/>
        </w:rPr>
        <w:t> </w:t>
      </w:r>
      <w:r>
        <w:rPr>
          <w:color w:val="231F20"/>
          <w:w w:val="105"/>
        </w:rPr>
        <w:t>“human</w:t>
      </w:r>
      <w:r>
        <w:rPr>
          <w:color w:val="231F20"/>
          <w:spacing w:val="-34"/>
          <w:w w:val="105"/>
        </w:rPr>
        <w:t> </w:t>
      </w:r>
      <w:r>
        <w:rPr>
          <w:color w:val="231F20"/>
          <w:w w:val="105"/>
        </w:rPr>
        <w:t>rights</w:t>
      </w:r>
      <w:r>
        <w:rPr>
          <w:color w:val="231F20"/>
          <w:spacing w:val="-34"/>
          <w:w w:val="105"/>
        </w:rPr>
        <w:t> </w:t>
      </w:r>
      <w:r>
        <w:rPr>
          <w:color w:val="231F20"/>
          <w:w w:val="105"/>
        </w:rPr>
        <w:t>enforcement”. Para</w:t>
      </w:r>
      <w:r>
        <w:rPr>
          <w:color w:val="231F20"/>
          <w:spacing w:val="-35"/>
          <w:w w:val="105"/>
        </w:rPr>
        <w:t> </w:t>
      </w:r>
      <w:r>
        <w:rPr>
          <w:color w:val="231F20"/>
          <w:w w:val="105"/>
        </w:rPr>
        <w:t>esos</w:t>
      </w:r>
      <w:r>
        <w:rPr>
          <w:color w:val="231F20"/>
          <w:spacing w:val="-35"/>
          <w:w w:val="105"/>
        </w:rPr>
        <w:t> </w:t>
      </w:r>
      <w:r>
        <w:rPr>
          <w:color w:val="231F20"/>
          <w:w w:val="105"/>
        </w:rPr>
        <w:t>autores,</w:t>
      </w:r>
      <w:r>
        <w:rPr>
          <w:color w:val="231F20"/>
          <w:spacing w:val="-35"/>
          <w:w w:val="105"/>
        </w:rPr>
        <w:t> </w:t>
      </w:r>
      <w:r>
        <w:rPr>
          <w:color w:val="231F20"/>
          <w:w w:val="105"/>
        </w:rPr>
        <w:t>es</w:t>
      </w:r>
      <w:r>
        <w:rPr>
          <w:color w:val="231F20"/>
          <w:spacing w:val="-35"/>
          <w:w w:val="105"/>
        </w:rPr>
        <w:t> </w:t>
      </w:r>
      <w:r>
        <w:rPr>
          <w:color w:val="231F20"/>
          <w:w w:val="105"/>
        </w:rPr>
        <w:t>precisamente</w:t>
      </w:r>
      <w:r>
        <w:rPr>
          <w:color w:val="231F20"/>
          <w:spacing w:val="-35"/>
          <w:w w:val="105"/>
        </w:rPr>
        <w:t> </w:t>
      </w:r>
      <w:r>
        <w:rPr>
          <w:color w:val="231F20"/>
          <w:w w:val="105"/>
        </w:rPr>
        <w:t>en</w:t>
      </w:r>
      <w:r>
        <w:rPr>
          <w:color w:val="231F20"/>
          <w:spacing w:val="-35"/>
          <w:w w:val="105"/>
        </w:rPr>
        <w:t> </w:t>
      </w:r>
      <w:r>
        <w:rPr>
          <w:color w:val="231F20"/>
          <w:w w:val="105"/>
        </w:rPr>
        <w:t>este</w:t>
      </w:r>
      <w:r>
        <w:rPr>
          <w:color w:val="231F20"/>
          <w:spacing w:val="-35"/>
          <w:w w:val="105"/>
        </w:rPr>
        <w:t> </w:t>
      </w:r>
      <w:r>
        <w:rPr>
          <w:color w:val="231F20"/>
          <w:w w:val="105"/>
        </w:rPr>
        <w:t>nivel</w:t>
      </w:r>
      <w:r>
        <w:rPr>
          <w:color w:val="231F20"/>
          <w:spacing w:val="-35"/>
          <w:w w:val="105"/>
        </w:rPr>
        <w:t> </w:t>
      </w:r>
      <w:r>
        <w:rPr>
          <w:color w:val="231F20"/>
          <w:w w:val="105"/>
        </w:rPr>
        <w:t>que</w:t>
      </w:r>
      <w:r>
        <w:rPr>
          <w:color w:val="231F20"/>
          <w:spacing w:val="-35"/>
          <w:w w:val="105"/>
        </w:rPr>
        <w:t> </w:t>
      </w:r>
      <w:r>
        <w:rPr>
          <w:color w:val="231F20"/>
          <w:w w:val="105"/>
        </w:rPr>
        <w:t>ocurre</w:t>
      </w:r>
      <w:r>
        <w:rPr>
          <w:color w:val="231F20"/>
          <w:spacing w:val="-35"/>
          <w:w w:val="105"/>
        </w:rPr>
        <w:t> </w:t>
      </w:r>
      <w:r>
        <w:rPr>
          <w:color w:val="231F20"/>
          <w:w w:val="105"/>
        </w:rPr>
        <w:t>el</w:t>
      </w:r>
      <w:r>
        <w:rPr>
          <w:color w:val="231F20"/>
          <w:spacing w:val="-35"/>
          <w:w w:val="105"/>
        </w:rPr>
        <w:t> </w:t>
      </w:r>
      <w:r>
        <w:rPr>
          <w:color w:val="231F20"/>
          <w:w w:val="105"/>
        </w:rPr>
        <w:t>cambio</w:t>
      </w:r>
      <w:r>
        <w:rPr>
          <w:color w:val="231F20"/>
          <w:spacing w:val="-35"/>
          <w:w w:val="105"/>
        </w:rPr>
        <w:t> </w:t>
      </w:r>
      <w:r>
        <w:rPr>
          <w:color w:val="231F20"/>
          <w:w w:val="105"/>
        </w:rPr>
        <w:t>más significativo</w:t>
      </w:r>
      <w:r>
        <w:rPr>
          <w:color w:val="231F20"/>
          <w:spacing w:val="-25"/>
          <w:w w:val="105"/>
        </w:rPr>
        <w:t> </w:t>
      </w:r>
      <w:r>
        <w:rPr>
          <w:color w:val="231F20"/>
          <w:w w:val="105"/>
        </w:rPr>
        <w:t>experimentado</w:t>
      </w:r>
      <w:r>
        <w:rPr>
          <w:color w:val="231F20"/>
          <w:spacing w:val="-25"/>
          <w:w w:val="105"/>
        </w:rPr>
        <w:t> </w:t>
      </w:r>
      <w:r>
        <w:rPr>
          <w:color w:val="231F20"/>
          <w:w w:val="105"/>
        </w:rPr>
        <w:t>por</w:t>
      </w:r>
      <w:r>
        <w:rPr>
          <w:color w:val="231F20"/>
          <w:spacing w:val="-25"/>
          <w:w w:val="105"/>
        </w:rPr>
        <w:t> </w:t>
      </w:r>
      <w:r>
        <w:rPr>
          <w:color w:val="231F20"/>
          <w:w w:val="105"/>
        </w:rPr>
        <w:t>el</w:t>
      </w:r>
      <w:r>
        <w:rPr>
          <w:color w:val="231F20"/>
          <w:spacing w:val="-25"/>
          <w:w w:val="105"/>
        </w:rPr>
        <w:t> </w:t>
      </w:r>
      <w:r>
        <w:rPr>
          <w:color w:val="231F20"/>
          <w:w w:val="105"/>
        </w:rPr>
        <w:t>movimiento</w:t>
      </w:r>
      <w:r>
        <w:rPr>
          <w:color w:val="231F20"/>
          <w:spacing w:val="-25"/>
          <w:w w:val="105"/>
        </w:rPr>
        <w:t> </w:t>
      </w:r>
      <w:r>
        <w:rPr>
          <w:color w:val="231F20"/>
          <w:w w:val="105"/>
        </w:rPr>
        <w:t>por</w:t>
      </w:r>
      <w:r>
        <w:rPr>
          <w:color w:val="231F20"/>
          <w:spacing w:val="-25"/>
          <w:w w:val="105"/>
        </w:rPr>
        <w:t> </w:t>
      </w:r>
      <w:r>
        <w:rPr>
          <w:color w:val="231F20"/>
          <w:w w:val="105"/>
        </w:rPr>
        <w:t>los</w:t>
      </w:r>
      <w:r>
        <w:rPr>
          <w:color w:val="231F20"/>
          <w:spacing w:val="-25"/>
          <w:w w:val="105"/>
        </w:rPr>
        <w:t> </w:t>
      </w:r>
      <w:r>
        <w:rPr>
          <w:color w:val="231F20"/>
          <w:w w:val="105"/>
        </w:rPr>
        <w:t>derechos</w:t>
      </w:r>
      <w:r>
        <w:rPr>
          <w:color w:val="231F20"/>
          <w:spacing w:val="-25"/>
          <w:w w:val="105"/>
        </w:rPr>
        <w:t> </w:t>
      </w:r>
      <w:r>
        <w:rPr>
          <w:color w:val="231F20"/>
          <w:w w:val="105"/>
        </w:rPr>
        <w:t>humanos en</w:t>
      </w:r>
      <w:r>
        <w:rPr>
          <w:color w:val="231F20"/>
          <w:spacing w:val="-27"/>
          <w:w w:val="105"/>
        </w:rPr>
        <w:t> </w:t>
      </w:r>
      <w:r>
        <w:rPr>
          <w:color w:val="231F20"/>
          <w:w w:val="105"/>
        </w:rPr>
        <w:t>el</w:t>
      </w:r>
      <w:r>
        <w:rPr>
          <w:color w:val="231F20"/>
          <w:spacing w:val="-27"/>
          <w:w w:val="105"/>
        </w:rPr>
        <w:t> </w:t>
      </w:r>
      <w:r>
        <w:rPr>
          <w:color w:val="231F20"/>
          <w:w w:val="105"/>
        </w:rPr>
        <w:t>paso</w:t>
      </w:r>
      <w:r>
        <w:rPr>
          <w:color w:val="231F20"/>
          <w:spacing w:val="-27"/>
          <w:w w:val="105"/>
        </w:rPr>
        <w:t> </w:t>
      </w:r>
      <w:r>
        <w:rPr>
          <w:color w:val="231F20"/>
          <w:w w:val="105"/>
        </w:rPr>
        <w:t>al</w:t>
      </w:r>
      <w:r>
        <w:rPr>
          <w:color w:val="231F20"/>
          <w:spacing w:val="-27"/>
          <w:w w:val="105"/>
        </w:rPr>
        <w:t> </w:t>
      </w:r>
      <w:r>
        <w:rPr>
          <w:color w:val="231F20"/>
          <w:w w:val="105"/>
        </w:rPr>
        <w:t>nuevo</w:t>
      </w:r>
      <w:r>
        <w:rPr>
          <w:color w:val="231F20"/>
          <w:spacing w:val="-27"/>
          <w:w w:val="105"/>
        </w:rPr>
        <w:t> </w:t>
      </w:r>
      <w:r>
        <w:rPr>
          <w:color w:val="231F20"/>
          <w:w w:val="105"/>
        </w:rPr>
        <w:t>siglo,</w:t>
      </w:r>
      <w:r>
        <w:rPr>
          <w:color w:val="231F20"/>
          <w:spacing w:val="-27"/>
          <w:w w:val="105"/>
        </w:rPr>
        <w:t> </w:t>
      </w:r>
      <w:r>
        <w:rPr>
          <w:color w:val="231F20"/>
          <w:w w:val="105"/>
        </w:rPr>
        <w:t>es</w:t>
      </w:r>
      <w:r>
        <w:rPr>
          <w:color w:val="231F20"/>
          <w:spacing w:val="-27"/>
          <w:w w:val="105"/>
        </w:rPr>
        <w:t> </w:t>
      </w:r>
      <w:r>
        <w:rPr>
          <w:color w:val="231F20"/>
          <w:spacing w:val="-4"/>
          <w:w w:val="105"/>
        </w:rPr>
        <w:t>decir,</w:t>
      </w:r>
      <w:r>
        <w:rPr>
          <w:color w:val="231F20"/>
          <w:spacing w:val="-27"/>
          <w:w w:val="105"/>
        </w:rPr>
        <w:t> </w:t>
      </w:r>
      <w:r>
        <w:rPr>
          <w:color w:val="231F20"/>
          <w:w w:val="105"/>
        </w:rPr>
        <w:t>su</w:t>
      </w:r>
      <w:r>
        <w:rPr>
          <w:color w:val="231F20"/>
          <w:spacing w:val="-27"/>
          <w:w w:val="105"/>
        </w:rPr>
        <w:t> </w:t>
      </w:r>
      <w:r>
        <w:rPr>
          <w:color w:val="231F20"/>
          <w:w w:val="105"/>
        </w:rPr>
        <w:t>capacidad</w:t>
      </w:r>
      <w:r>
        <w:rPr>
          <w:color w:val="231F20"/>
          <w:spacing w:val="-27"/>
          <w:w w:val="105"/>
        </w:rPr>
        <w:t> </w:t>
      </w:r>
      <w:r>
        <w:rPr>
          <w:color w:val="231F20"/>
          <w:w w:val="105"/>
        </w:rPr>
        <w:t>de</w:t>
      </w:r>
      <w:r>
        <w:rPr>
          <w:color w:val="231F20"/>
          <w:spacing w:val="-27"/>
          <w:w w:val="105"/>
        </w:rPr>
        <w:t> </w:t>
      </w:r>
      <w:r>
        <w:rPr>
          <w:color w:val="231F20"/>
          <w:w w:val="105"/>
        </w:rPr>
        <w:t>ir</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w w:val="105"/>
        </w:rPr>
        <w:t>ofensiva:</w:t>
      </w:r>
    </w:p>
    <w:p>
      <w:pPr>
        <w:pStyle w:val="BodyText"/>
        <w:spacing w:before="10"/>
        <w:rPr>
          <w:sz w:val="22"/>
        </w:rPr>
      </w:pPr>
    </w:p>
    <w:p>
      <w:pPr>
        <w:spacing w:line="220" w:lineRule="exact" w:before="1"/>
        <w:ind w:left="1521" w:right="115" w:firstLine="0"/>
        <w:jc w:val="both"/>
        <w:rPr>
          <w:sz w:val="19"/>
        </w:rPr>
      </w:pPr>
      <w:r>
        <w:rPr>
          <w:color w:val="231F20"/>
          <w:sz w:val="19"/>
        </w:rPr>
        <w:t>The</w:t>
      </w:r>
      <w:r>
        <w:rPr>
          <w:color w:val="231F20"/>
          <w:spacing w:val="-13"/>
          <w:sz w:val="19"/>
        </w:rPr>
        <w:t> </w:t>
      </w:r>
      <w:r>
        <w:rPr>
          <w:color w:val="231F20"/>
          <w:sz w:val="19"/>
        </w:rPr>
        <w:t>past</w:t>
      </w:r>
      <w:r>
        <w:rPr>
          <w:color w:val="231F20"/>
          <w:spacing w:val="-13"/>
          <w:sz w:val="19"/>
        </w:rPr>
        <w:t> </w:t>
      </w:r>
      <w:r>
        <w:rPr>
          <w:color w:val="231F20"/>
          <w:sz w:val="19"/>
        </w:rPr>
        <w:t>has</w:t>
      </w:r>
      <w:r>
        <w:rPr>
          <w:color w:val="231F20"/>
          <w:spacing w:val="-13"/>
          <w:sz w:val="19"/>
        </w:rPr>
        <w:t> </w:t>
      </w:r>
      <w:r>
        <w:rPr>
          <w:color w:val="231F20"/>
          <w:sz w:val="19"/>
        </w:rPr>
        <w:t>been</w:t>
      </w:r>
      <w:r>
        <w:rPr>
          <w:color w:val="231F20"/>
          <w:spacing w:val="-13"/>
          <w:sz w:val="19"/>
        </w:rPr>
        <w:t> </w:t>
      </w:r>
      <w:r>
        <w:rPr>
          <w:color w:val="231F20"/>
          <w:sz w:val="19"/>
        </w:rPr>
        <w:t>a</w:t>
      </w:r>
      <w:r>
        <w:rPr>
          <w:color w:val="231F20"/>
          <w:spacing w:val="-13"/>
          <w:sz w:val="19"/>
        </w:rPr>
        <w:t> </w:t>
      </w:r>
      <w:r>
        <w:rPr>
          <w:color w:val="231F20"/>
          <w:sz w:val="19"/>
        </w:rPr>
        <w:t>matter</w:t>
      </w:r>
      <w:r>
        <w:rPr>
          <w:color w:val="231F20"/>
          <w:spacing w:val="-13"/>
          <w:sz w:val="19"/>
        </w:rPr>
        <w:t> </w:t>
      </w:r>
      <w:r>
        <w:rPr>
          <w:color w:val="231F20"/>
          <w:sz w:val="19"/>
        </w:rPr>
        <w:t>of</w:t>
      </w:r>
      <w:r>
        <w:rPr>
          <w:color w:val="231F20"/>
          <w:spacing w:val="-13"/>
          <w:sz w:val="19"/>
        </w:rPr>
        <w:t> </w:t>
      </w:r>
      <w:r>
        <w:rPr>
          <w:color w:val="231F20"/>
          <w:sz w:val="19"/>
        </w:rPr>
        <w:t>pleading</w:t>
      </w:r>
      <w:r>
        <w:rPr>
          <w:color w:val="231F20"/>
          <w:spacing w:val="-13"/>
          <w:sz w:val="19"/>
        </w:rPr>
        <w:t> </w:t>
      </w:r>
      <w:r>
        <w:rPr>
          <w:color w:val="231F20"/>
          <w:sz w:val="19"/>
        </w:rPr>
        <w:t>with</w:t>
      </w:r>
      <w:r>
        <w:rPr>
          <w:color w:val="231F20"/>
          <w:spacing w:val="-13"/>
          <w:sz w:val="19"/>
        </w:rPr>
        <w:t> </w:t>
      </w:r>
      <w:r>
        <w:rPr>
          <w:color w:val="231F20"/>
          <w:sz w:val="19"/>
        </w:rPr>
        <w:t>tyrants,</w:t>
      </w:r>
      <w:r>
        <w:rPr>
          <w:color w:val="231F20"/>
          <w:spacing w:val="-13"/>
          <w:sz w:val="19"/>
        </w:rPr>
        <w:t> </w:t>
      </w:r>
      <w:r>
        <w:rPr>
          <w:color w:val="231F20"/>
          <w:sz w:val="19"/>
        </w:rPr>
        <w:t>writing</w:t>
      </w:r>
      <w:r>
        <w:rPr>
          <w:color w:val="231F20"/>
          <w:spacing w:val="-13"/>
          <w:sz w:val="19"/>
        </w:rPr>
        <w:t> </w:t>
      </w:r>
      <w:r>
        <w:rPr>
          <w:color w:val="231F20"/>
          <w:sz w:val="19"/>
        </w:rPr>
        <w:t>letters and sending missions to beg them not to act </w:t>
      </w:r>
      <w:r>
        <w:rPr>
          <w:color w:val="231F20"/>
          <w:spacing w:val="-3"/>
          <w:sz w:val="19"/>
        </w:rPr>
        <w:t>cruelly. </w:t>
      </w:r>
      <w:r>
        <w:rPr>
          <w:color w:val="231F20"/>
          <w:sz w:val="19"/>
        </w:rPr>
        <w:t>That will not be necessary if there is a possibility that they can be deterred, by threats of humanitarian or </w:t>
      </w:r>
      <w:r>
        <w:rPr>
          <w:color w:val="231F20"/>
          <w:sz w:val="16"/>
        </w:rPr>
        <w:t>UN </w:t>
      </w:r>
      <w:r>
        <w:rPr>
          <w:color w:val="231F20"/>
          <w:sz w:val="19"/>
        </w:rPr>
        <w:t>intervention or with the nemesis in the form of the international Criminal Court. Human rights dis- course will in the future be less pious and less ‘politically correct’. We</w:t>
      </w:r>
      <w:r>
        <w:rPr>
          <w:color w:val="231F20"/>
          <w:spacing w:val="-9"/>
          <w:sz w:val="19"/>
        </w:rPr>
        <w:t> </w:t>
      </w:r>
      <w:r>
        <w:rPr>
          <w:color w:val="231F20"/>
          <w:sz w:val="19"/>
        </w:rPr>
        <w:t>will</w:t>
      </w:r>
      <w:r>
        <w:rPr>
          <w:color w:val="231F20"/>
          <w:spacing w:val="-9"/>
          <w:sz w:val="19"/>
        </w:rPr>
        <w:t> </w:t>
      </w:r>
      <w:r>
        <w:rPr>
          <w:color w:val="231F20"/>
          <w:sz w:val="19"/>
        </w:rPr>
        <w:t>call</w:t>
      </w:r>
      <w:r>
        <w:rPr>
          <w:color w:val="231F20"/>
          <w:spacing w:val="-9"/>
          <w:sz w:val="19"/>
        </w:rPr>
        <w:t> </w:t>
      </w:r>
      <w:r>
        <w:rPr>
          <w:color w:val="231F20"/>
          <w:sz w:val="19"/>
        </w:rPr>
        <w:t>a</w:t>
      </w:r>
      <w:r>
        <w:rPr>
          <w:color w:val="231F20"/>
          <w:spacing w:val="-9"/>
          <w:sz w:val="19"/>
        </w:rPr>
        <w:t> </w:t>
      </w:r>
      <w:r>
        <w:rPr>
          <w:color w:val="231F20"/>
          <w:sz w:val="19"/>
        </w:rPr>
        <w:t>savage</w:t>
      </w:r>
      <w:r>
        <w:rPr>
          <w:color w:val="231F20"/>
          <w:spacing w:val="-9"/>
          <w:sz w:val="19"/>
        </w:rPr>
        <w:t> </w:t>
      </w:r>
      <w:r>
        <w:rPr>
          <w:color w:val="231F20"/>
          <w:sz w:val="19"/>
        </w:rPr>
        <w:t>a</w:t>
      </w:r>
      <w:r>
        <w:rPr>
          <w:color w:val="231F20"/>
          <w:spacing w:val="-9"/>
          <w:sz w:val="19"/>
        </w:rPr>
        <w:t> </w:t>
      </w:r>
      <w:r>
        <w:rPr>
          <w:color w:val="231F20"/>
          <w:sz w:val="19"/>
        </w:rPr>
        <w:t>savage,</w:t>
      </w:r>
      <w:r>
        <w:rPr>
          <w:color w:val="231F20"/>
          <w:spacing w:val="-9"/>
          <w:sz w:val="19"/>
        </w:rPr>
        <w:t> </w:t>
      </w:r>
      <w:r>
        <w:rPr>
          <w:color w:val="231F20"/>
          <w:sz w:val="19"/>
        </w:rPr>
        <w:t>whether</w:t>
      </w:r>
      <w:r>
        <w:rPr>
          <w:color w:val="231F20"/>
          <w:spacing w:val="-9"/>
          <w:sz w:val="19"/>
        </w:rPr>
        <w:t> </w:t>
      </w:r>
      <w:r>
        <w:rPr>
          <w:color w:val="231F20"/>
          <w:sz w:val="19"/>
        </w:rPr>
        <w:t>or</w:t>
      </w:r>
      <w:r>
        <w:rPr>
          <w:color w:val="231F20"/>
          <w:spacing w:val="-9"/>
          <w:sz w:val="19"/>
        </w:rPr>
        <w:t> </w:t>
      </w:r>
      <w:r>
        <w:rPr>
          <w:color w:val="231F20"/>
          <w:sz w:val="19"/>
        </w:rPr>
        <w:t>not</w:t>
      </w:r>
      <w:r>
        <w:rPr>
          <w:color w:val="231F20"/>
          <w:spacing w:val="-9"/>
          <w:sz w:val="19"/>
        </w:rPr>
        <w:t> </w:t>
      </w:r>
      <w:r>
        <w:rPr>
          <w:color w:val="231F20"/>
          <w:sz w:val="19"/>
        </w:rPr>
        <w:t>he</w:t>
      </w:r>
      <w:r>
        <w:rPr>
          <w:color w:val="231F20"/>
          <w:spacing w:val="-9"/>
          <w:sz w:val="19"/>
        </w:rPr>
        <w:t> </w:t>
      </w:r>
      <w:r>
        <w:rPr>
          <w:color w:val="231F20"/>
          <w:sz w:val="19"/>
        </w:rPr>
        <w:t>or</w:t>
      </w:r>
      <w:r>
        <w:rPr>
          <w:color w:val="231F20"/>
          <w:spacing w:val="-9"/>
          <w:sz w:val="19"/>
        </w:rPr>
        <w:t> </w:t>
      </w:r>
      <w:r>
        <w:rPr>
          <w:color w:val="231F20"/>
          <w:sz w:val="19"/>
        </w:rPr>
        <w:t>she</w:t>
      </w:r>
      <w:r>
        <w:rPr>
          <w:color w:val="231F20"/>
          <w:spacing w:val="-9"/>
          <w:sz w:val="19"/>
        </w:rPr>
        <w:t> </w:t>
      </w:r>
      <w:r>
        <w:rPr>
          <w:color w:val="231F20"/>
          <w:sz w:val="19"/>
        </w:rPr>
        <w:t>is</w:t>
      </w:r>
      <w:r>
        <w:rPr>
          <w:color w:val="231F20"/>
          <w:spacing w:val="-9"/>
          <w:sz w:val="19"/>
        </w:rPr>
        <w:t> </w:t>
      </w:r>
      <w:r>
        <w:rPr>
          <w:color w:val="231F20"/>
          <w:sz w:val="19"/>
        </w:rPr>
        <w:t>black</w:t>
      </w:r>
      <w:r>
        <w:rPr>
          <w:color w:val="231F20"/>
          <w:position w:val="7"/>
          <w:sz w:val="11"/>
        </w:rPr>
        <w:t>29</w:t>
      </w:r>
      <w:r>
        <w:rPr>
          <w:color w:val="231F20"/>
          <w:sz w:val="19"/>
        </w:rPr>
        <w:t>.</w:t>
      </w:r>
    </w:p>
    <w:p>
      <w:pPr>
        <w:pStyle w:val="BodyText"/>
        <w:rPr>
          <w:sz w:val="20"/>
        </w:rPr>
      </w:pPr>
    </w:p>
    <w:p>
      <w:pPr>
        <w:pStyle w:val="BodyText"/>
        <w:spacing w:before="6"/>
        <w:rPr>
          <w:sz w:val="28"/>
        </w:rPr>
      </w:pPr>
    </w:p>
    <w:p>
      <w:pPr>
        <w:spacing w:before="0"/>
        <w:ind w:left="103" w:right="0" w:firstLine="0"/>
        <w:jc w:val="both"/>
        <w:rPr>
          <w:rFonts w:ascii="Arial"/>
          <w:i/>
          <w:sz w:val="21"/>
        </w:rPr>
      </w:pPr>
      <w:r>
        <w:rPr>
          <w:rFonts w:ascii="Arial"/>
          <w:i/>
          <w:color w:val="231F20"/>
          <w:sz w:val="21"/>
        </w:rPr>
        <w:t>Las paradojas del intervencionismo</w:t>
      </w:r>
    </w:p>
    <w:p>
      <w:pPr>
        <w:pStyle w:val="BodyText"/>
        <w:rPr>
          <w:rFonts w:ascii="Arial"/>
          <w:i/>
          <w:sz w:val="20"/>
        </w:rPr>
      </w:pPr>
    </w:p>
    <w:p>
      <w:pPr>
        <w:pStyle w:val="BodyText"/>
        <w:spacing w:line="244" w:lineRule="auto" w:before="172"/>
        <w:ind w:left="103" w:right="115"/>
        <w:jc w:val="both"/>
      </w:pP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debate</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últimos</w:t>
      </w:r>
      <w:r>
        <w:rPr>
          <w:color w:val="231F20"/>
          <w:spacing w:val="-23"/>
          <w:w w:val="105"/>
        </w:rPr>
        <w:t> </w:t>
      </w:r>
      <w:r>
        <w:rPr>
          <w:color w:val="231F20"/>
          <w:w w:val="105"/>
        </w:rPr>
        <w:t>años</w:t>
      </w:r>
      <w:r>
        <w:rPr>
          <w:color w:val="231F20"/>
          <w:spacing w:val="-23"/>
          <w:w w:val="105"/>
        </w:rPr>
        <w:t> </w:t>
      </w:r>
      <w:r>
        <w:rPr>
          <w:color w:val="231F20"/>
          <w:w w:val="105"/>
        </w:rPr>
        <w:t>no</w:t>
      </w:r>
      <w:r>
        <w:rPr>
          <w:color w:val="231F20"/>
          <w:spacing w:val="-23"/>
          <w:w w:val="105"/>
        </w:rPr>
        <w:t> </w:t>
      </w:r>
      <w:r>
        <w:rPr>
          <w:color w:val="231F20"/>
          <w:w w:val="105"/>
        </w:rPr>
        <w:t>han</w:t>
      </w:r>
      <w:r>
        <w:rPr>
          <w:color w:val="231F20"/>
          <w:spacing w:val="-23"/>
          <w:w w:val="105"/>
        </w:rPr>
        <w:t> </w:t>
      </w:r>
      <w:r>
        <w:rPr>
          <w:color w:val="231F20"/>
          <w:w w:val="105"/>
        </w:rPr>
        <w:t>faltado</w:t>
      </w:r>
      <w:r>
        <w:rPr>
          <w:color w:val="231F20"/>
          <w:spacing w:val="-23"/>
          <w:w w:val="105"/>
        </w:rPr>
        <w:t> </w:t>
      </w:r>
      <w:r>
        <w:rPr>
          <w:color w:val="231F20"/>
          <w:w w:val="105"/>
        </w:rPr>
        <w:t>fuertes</w:t>
      </w:r>
      <w:r>
        <w:rPr>
          <w:color w:val="231F20"/>
          <w:spacing w:val="-23"/>
          <w:w w:val="105"/>
        </w:rPr>
        <w:t> </w:t>
      </w:r>
      <w:r>
        <w:rPr>
          <w:color w:val="231F20"/>
          <w:w w:val="105"/>
        </w:rPr>
        <w:t>tomas</w:t>
      </w:r>
      <w:r>
        <w:rPr>
          <w:color w:val="231F20"/>
          <w:spacing w:val="-23"/>
          <w:w w:val="105"/>
        </w:rPr>
        <w:t> </w:t>
      </w:r>
      <w:r>
        <w:rPr>
          <w:color w:val="231F20"/>
          <w:w w:val="105"/>
        </w:rPr>
        <w:t>de</w:t>
      </w:r>
      <w:r>
        <w:rPr>
          <w:color w:val="231F20"/>
          <w:spacing w:val="-23"/>
          <w:w w:val="105"/>
        </w:rPr>
        <w:t> </w:t>
      </w:r>
      <w:r>
        <w:rPr>
          <w:color w:val="231F20"/>
          <w:w w:val="105"/>
        </w:rPr>
        <w:t>posición contra las inquietantes ambigüedades propias de este modelo de </w:t>
      </w:r>
      <w:r>
        <w:rPr>
          <w:rFonts w:ascii="Arial" w:hAnsi="Arial"/>
          <w:i/>
          <w:color w:val="231F20"/>
          <w:w w:val="105"/>
        </w:rPr>
        <w:t>inter- </w:t>
      </w:r>
      <w:r>
        <w:rPr>
          <w:rFonts w:ascii="Arial" w:hAnsi="Arial"/>
          <w:i/>
          <w:color w:val="231F20"/>
          <w:w w:val="105"/>
        </w:rPr>
        <w:t>vencionismo</w:t>
      </w:r>
      <w:r>
        <w:rPr>
          <w:rFonts w:ascii="Arial" w:hAnsi="Arial"/>
          <w:i/>
          <w:color w:val="231F20"/>
          <w:spacing w:val="-25"/>
          <w:w w:val="105"/>
        </w:rPr>
        <w:t> </w:t>
      </w:r>
      <w:r>
        <w:rPr>
          <w:rFonts w:ascii="Arial" w:hAnsi="Arial"/>
          <w:i/>
          <w:color w:val="231F20"/>
          <w:w w:val="105"/>
        </w:rPr>
        <w:t>humanitario</w:t>
      </w:r>
      <w:r>
        <w:rPr>
          <w:color w:val="231F20"/>
          <w:w w:val="105"/>
        </w:rPr>
        <w:t>.</w:t>
      </w:r>
      <w:r>
        <w:rPr>
          <w:color w:val="231F20"/>
          <w:spacing w:val="-33"/>
          <w:w w:val="105"/>
        </w:rPr>
        <w:t> </w:t>
      </w:r>
      <w:r>
        <w:rPr>
          <w:color w:val="231F20"/>
          <w:w w:val="105"/>
        </w:rPr>
        <w:t>En</w:t>
      </w:r>
      <w:r>
        <w:rPr>
          <w:color w:val="231F20"/>
          <w:spacing w:val="-33"/>
          <w:w w:val="105"/>
        </w:rPr>
        <w:t> </w:t>
      </w:r>
      <w:r>
        <w:rPr>
          <w:color w:val="231F20"/>
          <w:w w:val="105"/>
        </w:rPr>
        <w:t>este</w:t>
      </w:r>
      <w:r>
        <w:rPr>
          <w:color w:val="231F20"/>
          <w:spacing w:val="-33"/>
          <w:w w:val="105"/>
        </w:rPr>
        <w:t> </w:t>
      </w:r>
      <w:r>
        <w:rPr>
          <w:color w:val="231F20"/>
          <w:w w:val="105"/>
        </w:rPr>
        <w:t>momento</w:t>
      </w:r>
      <w:r>
        <w:rPr>
          <w:color w:val="231F20"/>
          <w:spacing w:val="-33"/>
          <w:w w:val="105"/>
        </w:rPr>
        <w:t> </w:t>
      </w:r>
      <w:r>
        <w:rPr>
          <w:color w:val="231F20"/>
          <w:w w:val="105"/>
        </w:rPr>
        <w:t>no</w:t>
      </w:r>
      <w:r>
        <w:rPr>
          <w:color w:val="231F20"/>
          <w:spacing w:val="-33"/>
          <w:w w:val="105"/>
        </w:rPr>
        <w:t> </w:t>
      </w:r>
      <w:r>
        <w:rPr>
          <w:color w:val="231F20"/>
          <w:w w:val="105"/>
        </w:rPr>
        <w:t>es</w:t>
      </w:r>
      <w:r>
        <w:rPr>
          <w:color w:val="231F20"/>
          <w:spacing w:val="-33"/>
          <w:w w:val="105"/>
        </w:rPr>
        <w:t> </w:t>
      </w:r>
      <w:r>
        <w:rPr>
          <w:color w:val="231F20"/>
          <w:w w:val="105"/>
        </w:rPr>
        <w:t>posible</w:t>
      </w:r>
      <w:r>
        <w:rPr>
          <w:color w:val="231F20"/>
          <w:spacing w:val="-33"/>
          <w:w w:val="105"/>
        </w:rPr>
        <w:t> </w:t>
      </w:r>
      <w:r>
        <w:rPr>
          <w:color w:val="231F20"/>
          <w:w w:val="105"/>
        </w:rPr>
        <w:t>detallar</w:t>
      </w:r>
      <w:r>
        <w:rPr>
          <w:color w:val="231F20"/>
          <w:spacing w:val="-33"/>
          <w:w w:val="105"/>
        </w:rPr>
        <w:t> </w:t>
      </w:r>
      <w:r>
        <w:rPr>
          <w:color w:val="231F20"/>
          <w:w w:val="105"/>
        </w:rPr>
        <w:t>los</w:t>
      </w:r>
      <w:r>
        <w:rPr>
          <w:color w:val="231F20"/>
          <w:spacing w:val="-33"/>
          <w:w w:val="105"/>
        </w:rPr>
        <w:t> </w:t>
      </w:r>
      <w:r>
        <w:rPr>
          <w:color w:val="231F20"/>
          <w:w w:val="105"/>
        </w:rPr>
        <w:t>pro-</w:t>
      </w:r>
    </w:p>
    <w:p>
      <w:pPr>
        <w:pStyle w:val="BodyText"/>
        <w:spacing w:before="4"/>
        <w:rPr>
          <w:sz w:val="26"/>
        </w:rPr>
      </w:pPr>
      <w:r>
        <w:rPr/>
        <w:pict>
          <v:line style="position:absolute;mso-position-horizontal-relative:page;mso-position-vertical-relative:paragraph;z-index:7528;mso-wrap-distance-left:0;mso-wrap-distance-right:0" from="65.1968pt,18.014pt" to="178.5828pt,18.014pt" stroked="true" strokeweight=".3pt" strokecolor="#231f20">
            <w10:wrap type="topAndBottom"/>
          </v:line>
        </w:pict>
      </w:r>
    </w:p>
    <w:p>
      <w:pPr>
        <w:spacing w:line="206" w:lineRule="exact" w:before="10"/>
        <w:ind w:left="103" w:right="0" w:firstLine="0"/>
        <w:jc w:val="both"/>
        <w:rPr>
          <w:rFonts w:ascii="Calibri" w:hAnsi="Calibri"/>
          <w:sz w:val="17"/>
        </w:rPr>
      </w:pPr>
      <w:r>
        <w:rPr>
          <w:rFonts w:ascii="Calibri" w:hAnsi="Calibri"/>
          <w:color w:val="231F20"/>
          <w:position w:val="6"/>
          <w:sz w:val="10"/>
        </w:rPr>
        <w:t>25  </w:t>
      </w:r>
      <w:r>
        <w:rPr>
          <w:rFonts w:ascii="Calibri" w:hAnsi="Calibri"/>
          <w:color w:val="231F20"/>
          <w:sz w:val="17"/>
        </w:rPr>
        <w:t>Beck, </w:t>
      </w:r>
      <w:r>
        <w:rPr>
          <w:rFonts w:ascii="Calibri" w:hAnsi="Calibri"/>
          <w:i/>
          <w:color w:val="231F20"/>
          <w:sz w:val="17"/>
        </w:rPr>
        <w:t>Lo sguardo cosmopolita</w:t>
      </w:r>
      <w:r>
        <w:rPr>
          <w:rFonts w:ascii="Calibri" w:hAnsi="Calibri"/>
          <w:color w:val="231F20"/>
          <w:sz w:val="17"/>
        </w:rPr>
        <w:t>, pp. 179–180.</w:t>
      </w:r>
    </w:p>
    <w:p>
      <w:pPr>
        <w:spacing w:line="235" w:lineRule="auto" w:before="1"/>
        <w:ind w:left="103" w:right="115" w:firstLine="0"/>
        <w:jc w:val="both"/>
        <w:rPr>
          <w:rFonts w:ascii="Calibri" w:hAnsi="Calibri"/>
          <w:sz w:val="17"/>
        </w:rPr>
      </w:pPr>
      <w:r>
        <w:rPr>
          <w:rFonts w:ascii="Calibri" w:hAnsi="Calibri"/>
          <w:color w:val="231F20"/>
          <w:position w:val="6"/>
          <w:sz w:val="10"/>
        </w:rPr>
        <w:t>26 </w:t>
      </w:r>
      <w:r>
        <w:rPr>
          <w:rFonts w:ascii="Calibri" w:hAnsi="Calibri"/>
          <w:color w:val="231F20"/>
          <w:sz w:val="17"/>
        </w:rPr>
        <w:t>Benhabib, </w:t>
      </w:r>
      <w:r>
        <w:rPr>
          <w:rFonts w:ascii="Calibri" w:hAnsi="Calibri"/>
          <w:i/>
          <w:color w:val="231F20"/>
          <w:sz w:val="17"/>
        </w:rPr>
        <w:t>Cittadini globali</w:t>
      </w:r>
      <w:r>
        <w:rPr>
          <w:rFonts w:ascii="Calibri" w:hAnsi="Calibri"/>
          <w:color w:val="231F20"/>
          <w:sz w:val="17"/>
        </w:rPr>
        <w:t>, pp. 21–32. La referencia es, obviamente, al </w:t>
      </w:r>
      <w:r>
        <w:rPr>
          <w:rFonts w:ascii="Calibri" w:hAnsi="Calibri"/>
          <w:i/>
          <w:color w:val="231F20"/>
          <w:spacing w:val="-3"/>
          <w:sz w:val="17"/>
        </w:rPr>
        <w:t>Tercer </w:t>
      </w:r>
      <w:r>
        <w:rPr>
          <w:rFonts w:ascii="Calibri" w:hAnsi="Calibri"/>
          <w:i/>
          <w:color w:val="231F20"/>
          <w:sz w:val="17"/>
        </w:rPr>
        <w:t>artículo definitivo </w:t>
      </w:r>
      <w:r>
        <w:rPr>
          <w:rFonts w:ascii="Calibri" w:hAnsi="Calibri"/>
          <w:i/>
          <w:color w:val="231F20"/>
          <w:sz w:val="17"/>
        </w:rPr>
        <w:t>para la paz perpetua</w:t>
      </w:r>
      <w:r>
        <w:rPr>
          <w:rFonts w:ascii="Calibri" w:hAnsi="Calibri"/>
          <w:color w:val="231F20"/>
          <w:sz w:val="17"/>
        </w:rPr>
        <w:t>, que señala: “el derecho cosmopolítico debe limitarse a las condiciones de la hospitalidad </w:t>
      </w:r>
      <w:r>
        <w:rPr>
          <w:rFonts w:ascii="Calibri" w:hAnsi="Calibri"/>
          <w:color w:val="231F20"/>
          <w:spacing w:val="-3"/>
          <w:sz w:val="17"/>
        </w:rPr>
        <w:t>universal”. </w:t>
      </w:r>
      <w:r>
        <w:rPr>
          <w:rFonts w:ascii="Calibri" w:hAnsi="Calibri"/>
          <w:i/>
          <w:color w:val="231F20"/>
          <w:spacing w:val="-4"/>
          <w:sz w:val="17"/>
        </w:rPr>
        <w:t>Cfr. </w:t>
      </w:r>
      <w:r>
        <w:rPr>
          <w:rFonts w:ascii="Calibri" w:hAnsi="Calibri"/>
          <w:color w:val="231F20"/>
          <w:sz w:val="17"/>
        </w:rPr>
        <w:t>I. Kant, </w:t>
      </w:r>
      <w:r>
        <w:rPr>
          <w:rFonts w:ascii="Calibri" w:hAnsi="Calibri"/>
          <w:i/>
          <w:color w:val="231F20"/>
          <w:sz w:val="17"/>
        </w:rPr>
        <w:t>Per la pace perpetua</w:t>
      </w:r>
      <w:r>
        <w:rPr>
          <w:rFonts w:ascii="Calibri" w:hAnsi="Calibri"/>
          <w:color w:val="231F20"/>
          <w:sz w:val="17"/>
        </w:rPr>
        <w:t>, Milano, Feltrinelli, 2003, pp. 65–68. Sobre el sistema general de la reflexión kantiana y sobre las ambivalencias constructivas me permito  hacer referencias a L. Scuccimarra</w:t>
      </w:r>
      <w:r>
        <w:rPr>
          <w:rFonts w:ascii="Calibri" w:hAnsi="Calibri"/>
          <w:i/>
          <w:color w:val="231F20"/>
          <w:sz w:val="17"/>
        </w:rPr>
        <w:t>, I confini del mondo. Storia del cosmopolitismo dall’Antichità al </w:t>
      </w:r>
      <w:r>
        <w:rPr>
          <w:rFonts w:ascii="Calibri" w:hAnsi="Calibri"/>
          <w:i/>
          <w:color w:val="231F20"/>
          <w:sz w:val="17"/>
        </w:rPr>
        <w:t>Settecento</w:t>
      </w:r>
      <w:r>
        <w:rPr>
          <w:rFonts w:ascii="Calibri" w:hAnsi="Calibri"/>
          <w:color w:val="231F20"/>
          <w:sz w:val="17"/>
        </w:rPr>
        <w:t>, Bologna, il Mulino, 2006, pp. </w:t>
      </w:r>
      <w:r>
        <w:rPr>
          <w:rFonts w:ascii="Calibri" w:hAnsi="Calibri"/>
          <w:color w:val="231F20"/>
          <w:spacing w:val="9"/>
          <w:sz w:val="17"/>
        </w:rPr>
        <w:t> </w:t>
      </w:r>
      <w:r>
        <w:rPr>
          <w:rFonts w:ascii="Calibri" w:hAnsi="Calibri"/>
          <w:color w:val="231F20"/>
          <w:sz w:val="17"/>
        </w:rPr>
        <w:t>395–396.</w:t>
      </w:r>
    </w:p>
    <w:p>
      <w:pPr>
        <w:spacing w:line="203" w:lineRule="exact" w:before="0"/>
        <w:ind w:left="103" w:right="0" w:firstLine="0"/>
        <w:jc w:val="both"/>
        <w:rPr>
          <w:rFonts w:ascii="Calibri"/>
          <w:sz w:val="17"/>
        </w:rPr>
      </w:pPr>
      <w:r>
        <w:rPr>
          <w:rFonts w:ascii="Calibri"/>
          <w:color w:val="231F20"/>
          <w:position w:val="6"/>
          <w:sz w:val="10"/>
        </w:rPr>
        <w:t>27 </w:t>
      </w:r>
      <w:r>
        <w:rPr>
          <w:rFonts w:ascii="Calibri"/>
          <w:color w:val="231F20"/>
          <w:sz w:val="17"/>
        </w:rPr>
        <w:t>Beck, </w:t>
      </w:r>
      <w:r>
        <w:rPr>
          <w:rFonts w:ascii="Calibri"/>
          <w:i/>
          <w:color w:val="231F20"/>
          <w:sz w:val="17"/>
        </w:rPr>
        <w:t>Lo sguardo cosmopolita</w:t>
      </w:r>
      <w:r>
        <w:rPr>
          <w:rFonts w:ascii="Calibri"/>
          <w:color w:val="231F20"/>
          <w:sz w:val="17"/>
        </w:rPr>
        <w:t>, p. 179.</w:t>
      </w:r>
    </w:p>
    <w:p>
      <w:pPr>
        <w:spacing w:line="235" w:lineRule="auto" w:before="1"/>
        <w:ind w:left="103" w:right="115" w:firstLine="0"/>
        <w:jc w:val="both"/>
        <w:rPr>
          <w:rFonts w:ascii="Calibri"/>
          <w:sz w:val="17"/>
        </w:rPr>
      </w:pPr>
      <w:r>
        <w:rPr>
          <w:rFonts w:ascii="Calibri"/>
          <w:color w:val="231F20"/>
          <w:position w:val="6"/>
          <w:sz w:val="10"/>
        </w:rPr>
        <w:t>28 </w:t>
      </w:r>
      <w:r>
        <w:rPr>
          <w:rFonts w:ascii="Calibri"/>
          <w:color w:val="231F20"/>
          <w:sz w:val="17"/>
        </w:rPr>
        <w:t>A. Orford, </w:t>
      </w:r>
      <w:r>
        <w:rPr>
          <w:rFonts w:ascii="Calibri"/>
          <w:i/>
          <w:color w:val="231F20"/>
          <w:sz w:val="17"/>
        </w:rPr>
        <w:t>Reading Humanitarian Intervention. Human Rights and the Use of Force in International </w:t>
      </w:r>
      <w:r>
        <w:rPr>
          <w:rFonts w:ascii="Calibri"/>
          <w:i/>
          <w:color w:val="231F20"/>
          <w:sz w:val="17"/>
        </w:rPr>
        <w:t>Law</w:t>
      </w:r>
      <w:r>
        <w:rPr>
          <w:rFonts w:ascii="Calibri"/>
          <w:color w:val="231F20"/>
          <w:sz w:val="17"/>
        </w:rPr>
        <w:t>, Cambridge, Cambridge University Press, 2003, p.  6.</w:t>
      </w:r>
    </w:p>
    <w:p>
      <w:pPr>
        <w:spacing w:line="235" w:lineRule="auto" w:before="0"/>
        <w:ind w:left="103" w:right="115" w:firstLine="0"/>
        <w:jc w:val="both"/>
        <w:rPr>
          <w:rFonts w:ascii="Calibri"/>
          <w:sz w:val="17"/>
        </w:rPr>
      </w:pPr>
      <w:r>
        <w:rPr>
          <w:rFonts w:ascii="Calibri"/>
          <w:color w:val="231F20"/>
          <w:position w:val="6"/>
          <w:sz w:val="10"/>
        </w:rPr>
        <w:t>29 </w:t>
      </w:r>
      <w:r>
        <w:rPr>
          <w:rFonts w:ascii="Calibri"/>
          <w:color w:val="231F20"/>
          <w:sz w:val="17"/>
        </w:rPr>
        <w:t>G. Robertson, </w:t>
      </w:r>
      <w:r>
        <w:rPr>
          <w:rFonts w:ascii="Calibri"/>
          <w:i/>
          <w:color w:val="231F20"/>
          <w:sz w:val="17"/>
        </w:rPr>
        <w:t>Crimes against Humanity. The Struggle for Global Justice</w:t>
      </w:r>
      <w:r>
        <w:rPr>
          <w:rFonts w:ascii="Calibri"/>
          <w:color w:val="231F20"/>
          <w:sz w:val="17"/>
        </w:rPr>
        <w:t>, New York, New Press, 1999, p. 453.</w:t>
      </w:r>
    </w:p>
    <w:p>
      <w:pPr>
        <w:pStyle w:val="BodyText"/>
        <w:rPr>
          <w:rFonts w:ascii="Calibri"/>
          <w:sz w:val="20"/>
        </w:rPr>
      </w:pPr>
    </w:p>
    <w:p>
      <w:pPr>
        <w:pStyle w:val="BodyText"/>
        <w:spacing w:before="10"/>
        <w:rPr>
          <w:rFonts w:ascii="Calibri"/>
          <w:sz w:val="27"/>
        </w:rPr>
      </w:pPr>
    </w:p>
    <w:p>
      <w:pPr>
        <w:tabs>
          <w:tab w:pos="1331" w:val="left" w:leader="none"/>
        </w:tabs>
        <w:spacing w:before="68"/>
        <w:ind w:left="226" w:right="0" w:firstLine="0"/>
        <w:jc w:val="left"/>
        <w:rPr>
          <w:rFonts w:ascii="Calibri"/>
          <w:sz w:val="16"/>
        </w:rPr>
      </w:pPr>
      <w:r>
        <w:rPr/>
        <w:pict>
          <v:group style="position:absolute;margin-left:98.787804pt;margin-top:-3.358812pt;width:20.4pt;height:43pt;mso-position-horizontal-relative:page;mso-position-vertical-relative:paragraph;z-index:-167848"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w w:val="105"/>
          <w:position w:val="-4"/>
          <w:sz w:val="20"/>
        </w:rPr>
        <w:t>148</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182"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760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ASUNTOS</w:t>
      </w:r>
      <w:r>
        <w:rPr>
          <w:rFonts w:ascii="Lucida Sans Unicode" w:hAnsi="Lucida Sans Unicode"/>
          <w:color w:val="6D6E71"/>
          <w:spacing w:val="-30"/>
          <w:w w:val="95"/>
          <w:sz w:val="14"/>
        </w:rPr>
        <w:t> </w:t>
      </w:r>
      <w:r>
        <w:rPr>
          <w:rFonts w:ascii="Lucida Sans Unicode" w:hAnsi="Lucida Sans Unicode"/>
          <w:color w:val="6D6E71"/>
          <w:w w:val="95"/>
          <w:sz w:val="14"/>
        </w:rPr>
        <w:t>DE</w:t>
      </w:r>
      <w:r>
        <w:rPr>
          <w:rFonts w:ascii="Lucida Sans Unicode" w:hAnsi="Lucida Sans Unicode"/>
          <w:color w:val="6D6E71"/>
          <w:spacing w:val="-30"/>
          <w:w w:val="95"/>
          <w:sz w:val="14"/>
        </w:rPr>
        <w:t> </w:t>
      </w:r>
      <w:r>
        <w:rPr>
          <w:rFonts w:ascii="Lucida Sans Unicode" w:hAnsi="Lucida Sans Unicode"/>
          <w:color w:val="6D6E71"/>
          <w:w w:val="95"/>
          <w:sz w:val="14"/>
        </w:rPr>
        <w:t>FRONTERA.</w:t>
      </w:r>
      <w:r>
        <w:rPr>
          <w:rFonts w:ascii="Lucida Sans Unicode" w:hAnsi="Lucida Sans Unicode"/>
          <w:color w:val="6D6E71"/>
          <w:spacing w:val="-30"/>
          <w:w w:val="95"/>
          <w:sz w:val="14"/>
        </w:rPr>
        <w:t> </w:t>
      </w:r>
      <w:r>
        <w:rPr>
          <w:rFonts w:ascii="Lucida Sans Unicode" w:hAnsi="Lucida Sans Unicode"/>
          <w:color w:val="6D6E71"/>
          <w:w w:val="95"/>
          <w:sz w:val="14"/>
        </w:rPr>
        <w:t>SOBERANÍA</w:t>
      </w:r>
      <w:r>
        <w:rPr>
          <w:rFonts w:ascii="Lucida Sans Unicode" w:hAnsi="Lucida Sans Unicode"/>
          <w:color w:val="6D6E71"/>
          <w:spacing w:val="-30"/>
          <w:w w:val="95"/>
          <w:sz w:val="14"/>
        </w:rPr>
        <w:t> </w:t>
      </w:r>
      <w:r>
        <w:rPr>
          <w:rFonts w:ascii="Lucida Sans Unicode" w:hAnsi="Lucida Sans Unicode"/>
          <w:color w:val="6D6E71"/>
          <w:w w:val="95"/>
          <w:sz w:val="14"/>
        </w:rPr>
        <w:t>TERRITORIAL</w:t>
      </w:r>
      <w:r>
        <w:rPr>
          <w:rFonts w:ascii="Lucida Sans Unicode" w:hAnsi="Lucida Sans Unicode"/>
          <w:color w:val="6D6E71"/>
          <w:spacing w:val="-30"/>
          <w:w w:val="95"/>
          <w:sz w:val="14"/>
        </w:rPr>
        <w:t> </w:t>
      </w:r>
      <w:r>
        <w:rPr>
          <w:rFonts w:ascii="Lucida Sans Unicode" w:hAnsi="Lucida Sans Unicode"/>
          <w:color w:val="6D6E71"/>
          <w:w w:val="95"/>
          <w:sz w:val="14"/>
        </w:rPr>
        <w:t>Y</w:t>
      </w:r>
      <w:r>
        <w:rPr>
          <w:rFonts w:ascii="Lucida Sans Unicode" w:hAnsi="Lucida Sans Unicode"/>
          <w:color w:val="6D6E71"/>
          <w:spacing w:val="-30"/>
          <w:w w:val="95"/>
          <w:sz w:val="14"/>
        </w:rPr>
        <w:t> </w:t>
      </w:r>
      <w:r>
        <w:rPr>
          <w:rFonts w:ascii="Lucida Sans Unicode" w:hAnsi="Lucida Sans Unicode"/>
          <w:color w:val="6D6E71"/>
          <w:w w:val="95"/>
          <w:sz w:val="14"/>
        </w:rPr>
        <w:t>ORDEN</w:t>
      </w:r>
      <w:r>
        <w:rPr>
          <w:rFonts w:ascii="Lucida Sans Unicode" w:hAnsi="Lucida Sans Unicode"/>
          <w:color w:val="6D6E71"/>
          <w:spacing w:val="-30"/>
          <w:w w:val="95"/>
          <w:sz w:val="14"/>
        </w:rPr>
        <w:t> </w:t>
      </w:r>
      <w:r>
        <w:rPr>
          <w:rFonts w:ascii="Lucida Sans Unicode" w:hAnsi="Lucida Sans Unicode"/>
          <w:color w:val="6D6E71"/>
          <w:w w:val="95"/>
          <w:sz w:val="14"/>
        </w:rPr>
        <w:t>GLOBAL</w:t>
      </w:r>
      <w:r>
        <w:rPr>
          <w:rFonts w:ascii="Lucida Sans Unicode" w:hAnsi="Lucida Sans Unicode"/>
          <w:color w:val="6D6E71"/>
          <w:spacing w:val="-30"/>
          <w:w w:val="95"/>
          <w:sz w:val="14"/>
        </w:rPr>
        <w:t> </w:t>
      </w:r>
      <w:r>
        <w:rPr>
          <w:rFonts w:ascii="Lucida Sans Unicode" w:hAnsi="Lucida Sans Unicode"/>
          <w:color w:val="6D6E71"/>
          <w:w w:val="95"/>
          <w:sz w:val="14"/>
        </w:rPr>
        <w:t>EN</w:t>
      </w:r>
      <w:r>
        <w:rPr>
          <w:rFonts w:ascii="Lucida Sans Unicode" w:hAnsi="Lucida Sans Unicode"/>
          <w:color w:val="6D6E71"/>
          <w:spacing w:val="-30"/>
          <w:w w:val="95"/>
          <w:sz w:val="14"/>
        </w:rPr>
        <w:t> </w:t>
      </w:r>
      <w:r>
        <w:rPr>
          <w:rFonts w:ascii="Lucida Sans Unicode" w:hAnsi="Lucida Sans Unicode"/>
          <w:color w:val="6D6E71"/>
          <w:w w:val="95"/>
          <w:sz w:val="14"/>
        </w:rPr>
        <w:t>EL</w:t>
      </w:r>
      <w:r>
        <w:rPr>
          <w:rFonts w:ascii="Lucida Sans Unicode" w:hAnsi="Lucida Sans Unicode"/>
          <w:color w:val="6D6E71"/>
          <w:spacing w:val="-30"/>
          <w:w w:val="95"/>
          <w:sz w:val="14"/>
        </w:rPr>
        <w:t> </w:t>
      </w:r>
      <w:r>
        <w:rPr>
          <w:rFonts w:ascii="Lucida Sans Unicode" w:hAnsi="Lucida Sans Unicode"/>
          <w:color w:val="6D6E71"/>
          <w:w w:val="95"/>
          <w:sz w:val="14"/>
        </w:rPr>
        <w:t>DEBATE</w:t>
      </w:r>
    </w:p>
    <w:p>
      <w:pPr>
        <w:spacing w:line="198" w:lineRule="exact" w:before="0"/>
        <w:ind w:left="2963" w:right="-13" w:firstLine="0"/>
        <w:jc w:val="left"/>
        <w:rPr>
          <w:rFonts w:ascii="Lucida Sans Unicode" w:hAnsi="Lucida Sans Unicode"/>
          <w:sz w:val="14"/>
        </w:rPr>
      </w:pPr>
      <w:r>
        <w:rPr>
          <w:rFonts w:ascii="Lucida Sans Unicode" w:hAnsi="Lucida Sans Unicode"/>
          <w:color w:val="6D6E71"/>
          <w:w w:val="90"/>
          <w:sz w:val="14"/>
        </w:rPr>
        <w:t>SOBRE EL “NUEVO INTERVENCIONISMO</w:t>
      </w:r>
      <w:r>
        <w:rPr>
          <w:rFonts w:ascii="Lucida Sans Unicode" w:hAnsi="Lucida Sans Unicode"/>
          <w:color w:val="6D6E71"/>
          <w:spacing w:val="-25"/>
          <w:w w:val="90"/>
          <w:sz w:val="14"/>
        </w:rPr>
        <w:t> </w:t>
      </w:r>
      <w:r>
        <w:rPr>
          <w:rFonts w:ascii="Lucida Sans Unicode" w:hAnsi="Lucida Sans Unicode"/>
          <w:color w:val="6D6E71"/>
          <w:w w:val="90"/>
          <w:sz w:val="14"/>
        </w:rPr>
        <w:t>HUMANITARIO”</w:t>
      </w:r>
    </w:p>
    <w:p>
      <w:pPr>
        <w:spacing w:before="59"/>
        <w:ind w:left="338" w:right="0" w:firstLine="0"/>
        <w:jc w:val="left"/>
        <w:rPr>
          <w:rFonts w:ascii="Arial"/>
          <w:sz w:val="20"/>
        </w:rPr>
      </w:pPr>
      <w:r>
        <w:rPr/>
        <w:br w:type="column"/>
      </w:r>
      <w:r>
        <w:rPr>
          <w:rFonts w:ascii="Arial"/>
          <w:color w:val="414042"/>
          <w:sz w:val="20"/>
        </w:rPr>
        <w:t>149</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6"/>
        <w:rPr>
          <w:rFonts w:ascii="Arial"/>
          <w:sz w:val="16"/>
        </w:rPr>
      </w:pPr>
    </w:p>
    <w:p>
      <w:pPr>
        <w:pStyle w:val="BodyText"/>
        <w:spacing w:line="244" w:lineRule="auto" w:before="44"/>
        <w:ind w:left="117" w:right="101"/>
        <w:jc w:val="both"/>
      </w:pPr>
      <w:r>
        <w:rPr>
          <w:color w:val="231F20"/>
        </w:rPr>
        <w:t>blemas específicos de orden jurídico expuestos por todas las partes para poner en duda su legitimidad</w:t>
      </w:r>
      <w:r>
        <w:rPr>
          <w:color w:val="231F20"/>
          <w:position w:val="7"/>
          <w:sz w:val="12"/>
        </w:rPr>
        <w:t>30</w:t>
      </w:r>
      <w:r>
        <w:rPr>
          <w:color w:val="231F20"/>
        </w:rPr>
        <w:t>. A este respecto, me limitaré solamente a citar la </w:t>
      </w:r>
      <w:r>
        <w:rPr>
          <w:rFonts w:ascii="Arial" w:hAnsi="Arial"/>
          <w:i/>
          <w:color w:val="231F20"/>
        </w:rPr>
        <w:t>objeción estructural </w:t>
      </w:r>
      <w:r>
        <w:rPr>
          <w:color w:val="231F20"/>
        </w:rPr>
        <w:t>propuesta por aquellos que lamentan la abso- luta incompatibilidad de tal acercamiento con los actuales órdenes jurídi- co–institucionales de la sociedad internacional.</w:t>
      </w:r>
    </w:p>
    <w:p>
      <w:pPr>
        <w:pStyle w:val="BodyText"/>
        <w:spacing w:line="247" w:lineRule="auto" w:before="1"/>
        <w:ind w:left="117" w:right="101" w:firstLine="566"/>
        <w:jc w:val="both"/>
      </w:pPr>
      <w:r>
        <w:rPr>
          <w:color w:val="231F20"/>
        </w:rPr>
        <w:t>Como ha subrayado Danilo Zolo, uno de los más feroces críticos del modelo en discusión, en la medida en que tiende a “negar desde la raíz   la soberanía de los Estados en nombre de una concepción  </w:t>
      </w:r>
      <w:r>
        <w:rPr>
          <w:color w:val="231F20"/>
          <w:spacing w:val="48"/>
        </w:rPr>
        <w:t> </w:t>
      </w:r>
      <w:r>
        <w:rPr>
          <w:color w:val="231F20"/>
        </w:rPr>
        <w:t>universalística</w:t>
      </w:r>
    </w:p>
    <w:p>
      <w:pPr>
        <w:pStyle w:val="BodyText"/>
        <w:spacing w:line="247" w:lineRule="auto"/>
        <w:ind w:left="117" w:right="100"/>
        <w:jc w:val="both"/>
      </w:pPr>
      <w:r>
        <w:rPr>
          <w:color w:val="231F20"/>
        </w:rPr>
        <w:t>—cosmopolítica— del derecho y de las instituciones internacionales”, la prospectiva humanitaria, tomada en serio aunque sea mínimamente,</w:t>
      </w:r>
      <w:r>
        <w:rPr>
          <w:color w:val="231F20"/>
          <w:spacing w:val="-38"/>
        </w:rPr>
        <w:t> </w:t>
      </w:r>
      <w:r>
        <w:rPr>
          <w:color w:val="231F20"/>
        </w:rPr>
        <w:t>exigi- ría que el ordenamiento internacional vigente, basado en el particularismo de las relaciones entre los gobiernos, abriera paso a un verdadero “</w:t>
      </w:r>
      <w:r>
        <w:rPr>
          <w:rFonts w:ascii="Arial" w:hAnsi="Arial"/>
          <w:i/>
          <w:color w:val="231F20"/>
        </w:rPr>
        <w:t>glo- </w:t>
      </w:r>
      <w:r>
        <w:rPr>
          <w:rFonts w:ascii="Arial" w:hAnsi="Arial"/>
          <w:i/>
          <w:color w:val="231F20"/>
        </w:rPr>
        <w:t>bal humanitarian regime</w:t>
      </w:r>
      <w:r>
        <w:rPr>
          <w:color w:val="231F20"/>
        </w:rPr>
        <w:t>”, “una especie de </w:t>
      </w:r>
      <w:r>
        <w:rPr>
          <w:rFonts w:ascii="Arial" w:hAnsi="Arial"/>
          <w:i/>
          <w:color w:val="231F20"/>
        </w:rPr>
        <w:t>civitas maxima </w:t>
      </w:r>
      <w:r>
        <w:rPr>
          <w:color w:val="231F20"/>
        </w:rPr>
        <w:t>políticamente unificada”, capaz de garantizar el efectivo goce de una subjetividad de Derecho internacional a todos los seres humanos y no solamente a los Es- tados</w:t>
      </w:r>
      <w:r>
        <w:rPr>
          <w:color w:val="231F20"/>
          <w:position w:val="7"/>
          <w:sz w:val="12"/>
        </w:rPr>
        <w:t>31</w:t>
      </w:r>
      <w:r>
        <w:rPr>
          <w:color w:val="231F20"/>
        </w:rPr>
        <w:t>. Incluida en un orden de relaciones internacionales todavía sólida- mente centrado en el particularismo estatal, ésta permanece sujeta a las intrínsecas dinámicas decisionales de cada Estado, terminando por coexis- tir con formas más o menos crudas de “política de los intereses”</w:t>
      </w:r>
      <w:r>
        <w:rPr>
          <w:color w:val="231F20"/>
          <w:position w:val="7"/>
          <w:sz w:val="12"/>
        </w:rPr>
        <w:t>32</w:t>
      </w:r>
      <w:r>
        <w:rPr>
          <w:color w:val="231F20"/>
        </w:rPr>
        <w:t>. Aún más, al proponer de nuevo una relación no mediada entre ejercicio de la fuerza y los principios de justicia, la lógica del intervencionismo humanita- rio se ha revelado particularmente funcional para las estrategias del nuevo “</w:t>
      </w:r>
      <w:r>
        <w:rPr>
          <w:rFonts w:ascii="Arial" w:hAnsi="Arial"/>
          <w:i/>
          <w:color w:val="231F20"/>
        </w:rPr>
        <w:t>global hegemon</w:t>
      </w:r>
      <w:r>
        <w:rPr>
          <w:color w:val="231F20"/>
        </w:rPr>
        <w:t>” surgido en el ocaso del orden bipolar</w:t>
      </w:r>
      <w:r>
        <w:rPr>
          <w:color w:val="231F20"/>
          <w:position w:val="7"/>
          <w:sz w:val="12"/>
        </w:rPr>
        <w:t>33 </w:t>
      </w:r>
      <w:r>
        <w:rPr>
          <w:color w:val="231F20"/>
        </w:rPr>
        <w:t>del mundo; esto ha favorecido el nacimiento de un “monopolio cosmopolítico de la moral, del Derecho y de la violencia” en manos de los Estados Unidos y de sus aliados, abriendo paso de esta manera no a la eliminación de la dimensión tradicional de la soberanía de los Estados, sino a una unilateral —y decidi- damente  desequilibrada—</w:t>
      </w:r>
      <w:r>
        <w:rPr>
          <w:color w:val="231F20"/>
          <w:spacing w:val="29"/>
        </w:rPr>
        <w:t> </w:t>
      </w:r>
      <w:r>
        <w:rPr>
          <w:color w:val="231F20"/>
        </w:rPr>
        <w:t>redistribución</w:t>
      </w:r>
      <w:r>
        <w:rPr>
          <w:color w:val="231F20"/>
          <w:position w:val="7"/>
          <w:sz w:val="12"/>
        </w:rPr>
        <w:t>34</w:t>
      </w:r>
      <w:r>
        <w:rPr>
          <w:color w:val="231F20"/>
        </w:rPr>
        <w:t>.</w:t>
      </w:r>
    </w:p>
    <w:p>
      <w:pPr>
        <w:pStyle w:val="BodyText"/>
        <w:spacing w:line="244" w:lineRule="auto"/>
        <w:ind w:left="117" w:right="101" w:firstLine="566"/>
        <w:jc w:val="both"/>
      </w:pPr>
      <w:r>
        <w:rPr>
          <w:color w:val="231F20"/>
        </w:rPr>
        <w:t>Frente a la profunda ambivalencia de este horizonte normativo, sus- pendido entre el cielo de una moral universalística de los derechos huma- nos y la tierra de una “</w:t>
      </w:r>
      <w:r>
        <w:rPr>
          <w:rFonts w:ascii="Arial" w:hAnsi="Arial"/>
          <w:i/>
          <w:color w:val="231F20"/>
        </w:rPr>
        <w:t>realpolitik in humanitarian clothes</w:t>
      </w:r>
      <w:r>
        <w:rPr>
          <w:color w:val="231F20"/>
          <w:position w:val="7"/>
          <w:sz w:val="12"/>
        </w:rPr>
        <w:t>35</w:t>
      </w:r>
      <w:r>
        <w:rPr>
          <w:color w:val="231F20"/>
        </w:rPr>
        <w:t>, no todos los protagonistas del debate parecen dispuestos a hacerse cargo de los</w:t>
      </w:r>
      <w:r>
        <w:rPr>
          <w:color w:val="231F20"/>
          <w:spacing w:val="-16"/>
        </w:rPr>
        <w:t> </w:t>
      </w:r>
      <w:r>
        <w:rPr>
          <w:color w:val="231F20"/>
        </w:rPr>
        <w:t>costos</w:t>
      </w:r>
    </w:p>
    <w:p>
      <w:pPr>
        <w:pStyle w:val="BodyText"/>
        <w:spacing w:before="5"/>
        <w:rPr>
          <w:sz w:val="20"/>
        </w:rPr>
      </w:pPr>
      <w:r>
        <w:rPr/>
        <w:pict>
          <v:line style="position:absolute;mso-position-horizontal-relative:page;mso-position-vertical-relative:paragraph;z-index:7576;mso-wrap-distance-left:0;mso-wrap-distance-right:0" from="70.866203pt,14.433723pt" to="184.252203pt,14.433723pt" stroked="true" strokeweight=".3pt" strokecolor="#231f20">
            <w10:wrap type="topAndBottom"/>
          </v:line>
        </w:pict>
      </w:r>
    </w:p>
    <w:p>
      <w:pPr>
        <w:spacing w:line="204" w:lineRule="exact" w:before="9"/>
        <w:ind w:left="117" w:right="101" w:firstLine="0"/>
        <w:jc w:val="both"/>
        <w:rPr>
          <w:rFonts w:ascii="Calibri" w:hAnsi="Calibri"/>
          <w:sz w:val="17"/>
        </w:rPr>
      </w:pPr>
      <w:r>
        <w:rPr>
          <w:rFonts w:ascii="Calibri" w:hAnsi="Calibri"/>
          <w:color w:val="231F20"/>
          <w:position w:val="6"/>
          <w:sz w:val="10"/>
        </w:rPr>
        <w:t>30 </w:t>
      </w:r>
      <w:r>
        <w:rPr>
          <w:rFonts w:ascii="Calibri" w:hAnsi="Calibri"/>
          <w:color w:val="231F20"/>
          <w:sz w:val="17"/>
        </w:rPr>
        <w:t>Sobre este aspecto del debate, véase S. Chesterman, </w:t>
      </w:r>
      <w:r>
        <w:rPr>
          <w:rFonts w:ascii="Calibri" w:hAnsi="Calibri"/>
          <w:i/>
          <w:color w:val="231F20"/>
          <w:sz w:val="17"/>
        </w:rPr>
        <w:t>Just Wars or Just Peace: Humanitarian Inter- </w:t>
      </w:r>
      <w:r>
        <w:rPr>
          <w:rFonts w:ascii="Calibri" w:hAnsi="Calibri"/>
          <w:i/>
          <w:color w:val="231F20"/>
          <w:sz w:val="17"/>
        </w:rPr>
        <w:t>vention and International Law</w:t>
      </w:r>
      <w:r>
        <w:rPr>
          <w:rFonts w:ascii="Calibri" w:hAnsi="Calibri"/>
          <w:color w:val="231F20"/>
          <w:sz w:val="17"/>
        </w:rPr>
        <w:t>, Oxford, Oxford University Press,  2002.</w:t>
      </w:r>
    </w:p>
    <w:p>
      <w:pPr>
        <w:spacing w:line="206" w:lineRule="exact" w:before="1"/>
        <w:ind w:left="117" w:right="0" w:firstLine="0"/>
        <w:jc w:val="both"/>
        <w:rPr>
          <w:rFonts w:ascii="Calibri"/>
          <w:sz w:val="17"/>
        </w:rPr>
      </w:pPr>
      <w:r>
        <w:rPr>
          <w:rFonts w:ascii="Calibri"/>
          <w:color w:val="231F20"/>
          <w:position w:val="6"/>
          <w:sz w:val="10"/>
        </w:rPr>
        <w:t>31 </w:t>
      </w:r>
      <w:r>
        <w:rPr>
          <w:rFonts w:ascii="Calibri"/>
          <w:color w:val="231F20"/>
          <w:sz w:val="17"/>
        </w:rPr>
        <w:t>Zolo, </w:t>
      </w:r>
      <w:r>
        <w:rPr>
          <w:rFonts w:ascii="Calibri"/>
          <w:i/>
          <w:color w:val="231F20"/>
          <w:sz w:val="17"/>
        </w:rPr>
        <w:t>La giustizia dei vincitori</w:t>
      </w:r>
      <w:r>
        <w:rPr>
          <w:rFonts w:ascii="Calibri"/>
          <w:color w:val="231F20"/>
          <w:sz w:val="17"/>
        </w:rPr>
        <w:t>, p. 61.</w:t>
      </w:r>
    </w:p>
    <w:p>
      <w:pPr>
        <w:spacing w:line="235" w:lineRule="auto" w:before="1"/>
        <w:ind w:left="117" w:right="101" w:firstLine="0"/>
        <w:jc w:val="both"/>
        <w:rPr>
          <w:rFonts w:ascii="Calibri" w:hAnsi="Calibri"/>
          <w:sz w:val="17"/>
        </w:rPr>
      </w:pPr>
      <w:r>
        <w:rPr>
          <w:rFonts w:ascii="Calibri" w:hAnsi="Calibri"/>
          <w:color w:val="231F20"/>
          <w:position w:val="6"/>
          <w:sz w:val="10"/>
        </w:rPr>
        <w:t>32 </w:t>
      </w:r>
      <w:r>
        <w:rPr>
          <w:rFonts w:ascii="Calibri" w:hAnsi="Calibri"/>
          <w:color w:val="231F20"/>
          <w:sz w:val="17"/>
        </w:rPr>
        <w:t>H. Köchler, </w:t>
      </w:r>
      <w:r>
        <w:rPr>
          <w:rFonts w:ascii="Calibri" w:hAnsi="Calibri"/>
          <w:i/>
          <w:color w:val="231F20"/>
          <w:sz w:val="17"/>
        </w:rPr>
        <w:t>The Concept of Humanitarian Intervention in the Context of Modern Power Politics. Is </w:t>
      </w:r>
      <w:r>
        <w:rPr>
          <w:rFonts w:ascii="Calibri" w:hAnsi="Calibri"/>
          <w:i/>
          <w:color w:val="231F20"/>
          <w:sz w:val="17"/>
        </w:rPr>
        <w:t>the</w:t>
      </w:r>
      <w:r>
        <w:rPr>
          <w:rFonts w:ascii="Calibri" w:hAnsi="Calibri"/>
          <w:i/>
          <w:color w:val="231F20"/>
          <w:spacing w:val="-5"/>
          <w:sz w:val="17"/>
        </w:rPr>
        <w:t> </w:t>
      </w:r>
      <w:r>
        <w:rPr>
          <w:rFonts w:ascii="Calibri" w:hAnsi="Calibri"/>
          <w:i/>
          <w:color w:val="231F20"/>
          <w:sz w:val="17"/>
        </w:rPr>
        <w:t>Revival</w:t>
      </w:r>
      <w:r>
        <w:rPr>
          <w:rFonts w:ascii="Calibri" w:hAnsi="Calibri"/>
          <w:i/>
          <w:color w:val="231F20"/>
          <w:spacing w:val="-5"/>
          <w:sz w:val="17"/>
        </w:rPr>
        <w:t> </w:t>
      </w:r>
      <w:r>
        <w:rPr>
          <w:rFonts w:ascii="Calibri" w:hAnsi="Calibri"/>
          <w:i/>
          <w:color w:val="231F20"/>
          <w:sz w:val="17"/>
        </w:rPr>
        <w:t>of</w:t>
      </w:r>
      <w:r>
        <w:rPr>
          <w:rFonts w:ascii="Calibri" w:hAnsi="Calibri"/>
          <w:i/>
          <w:color w:val="231F20"/>
          <w:spacing w:val="-5"/>
          <w:sz w:val="17"/>
        </w:rPr>
        <w:t> </w:t>
      </w:r>
      <w:r>
        <w:rPr>
          <w:rFonts w:ascii="Calibri" w:hAnsi="Calibri"/>
          <w:i/>
          <w:color w:val="231F20"/>
          <w:sz w:val="17"/>
        </w:rPr>
        <w:t>the</w:t>
      </w:r>
      <w:r>
        <w:rPr>
          <w:rFonts w:ascii="Calibri" w:hAnsi="Calibri"/>
          <w:i/>
          <w:color w:val="231F20"/>
          <w:spacing w:val="-5"/>
          <w:sz w:val="17"/>
        </w:rPr>
        <w:t> </w:t>
      </w:r>
      <w:r>
        <w:rPr>
          <w:rFonts w:ascii="Calibri" w:hAnsi="Calibri"/>
          <w:i/>
          <w:color w:val="231F20"/>
          <w:sz w:val="17"/>
        </w:rPr>
        <w:t>Doctrine</w:t>
      </w:r>
      <w:r>
        <w:rPr>
          <w:rFonts w:ascii="Calibri" w:hAnsi="Calibri"/>
          <w:i/>
          <w:color w:val="231F20"/>
          <w:spacing w:val="-5"/>
          <w:sz w:val="17"/>
        </w:rPr>
        <w:t> </w:t>
      </w:r>
      <w:r>
        <w:rPr>
          <w:rFonts w:ascii="Calibri" w:hAnsi="Calibri"/>
          <w:i/>
          <w:color w:val="231F20"/>
          <w:sz w:val="17"/>
        </w:rPr>
        <w:t>of</w:t>
      </w:r>
      <w:r>
        <w:rPr>
          <w:rFonts w:ascii="Calibri" w:hAnsi="Calibri"/>
          <w:i/>
          <w:color w:val="231F20"/>
          <w:spacing w:val="-5"/>
          <w:sz w:val="17"/>
        </w:rPr>
        <w:t> </w:t>
      </w:r>
      <w:r>
        <w:rPr>
          <w:rFonts w:ascii="Calibri" w:hAnsi="Calibri"/>
          <w:i/>
          <w:color w:val="231F20"/>
          <w:sz w:val="17"/>
        </w:rPr>
        <w:t>“Just</w:t>
      </w:r>
      <w:r>
        <w:rPr>
          <w:rFonts w:ascii="Calibri" w:hAnsi="Calibri"/>
          <w:i/>
          <w:color w:val="231F20"/>
          <w:spacing w:val="-7"/>
          <w:sz w:val="17"/>
        </w:rPr>
        <w:t> </w:t>
      </w:r>
      <w:r>
        <w:rPr>
          <w:rFonts w:ascii="Calibri" w:hAnsi="Calibri"/>
          <w:i/>
          <w:color w:val="231F20"/>
          <w:sz w:val="17"/>
        </w:rPr>
        <w:t>War”</w:t>
      </w:r>
      <w:r>
        <w:rPr>
          <w:rFonts w:ascii="Calibri" w:hAnsi="Calibri"/>
          <w:i/>
          <w:color w:val="231F20"/>
          <w:spacing w:val="-5"/>
          <w:sz w:val="17"/>
        </w:rPr>
        <w:t> </w:t>
      </w:r>
      <w:r>
        <w:rPr>
          <w:rFonts w:ascii="Calibri" w:hAnsi="Calibri"/>
          <w:i/>
          <w:color w:val="231F20"/>
          <w:sz w:val="17"/>
        </w:rPr>
        <w:t>Compatible</w:t>
      </w:r>
      <w:r>
        <w:rPr>
          <w:rFonts w:ascii="Calibri" w:hAnsi="Calibri"/>
          <w:i/>
          <w:color w:val="231F20"/>
          <w:spacing w:val="-7"/>
          <w:sz w:val="17"/>
        </w:rPr>
        <w:t> </w:t>
      </w:r>
      <w:r>
        <w:rPr>
          <w:rFonts w:ascii="Calibri" w:hAnsi="Calibri"/>
          <w:i/>
          <w:color w:val="231F20"/>
          <w:sz w:val="17"/>
        </w:rPr>
        <w:t>with</w:t>
      </w:r>
      <w:r>
        <w:rPr>
          <w:rFonts w:ascii="Calibri" w:hAnsi="Calibri"/>
          <w:i/>
          <w:color w:val="231F20"/>
          <w:spacing w:val="-5"/>
          <w:sz w:val="17"/>
        </w:rPr>
        <w:t> </w:t>
      </w:r>
      <w:r>
        <w:rPr>
          <w:rFonts w:ascii="Calibri" w:hAnsi="Calibri"/>
          <w:i/>
          <w:color w:val="231F20"/>
          <w:sz w:val="17"/>
        </w:rPr>
        <w:t>the</w:t>
      </w:r>
      <w:r>
        <w:rPr>
          <w:rFonts w:ascii="Calibri" w:hAnsi="Calibri"/>
          <w:i/>
          <w:color w:val="231F20"/>
          <w:spacing w:val="-5"/>
          <w:sz w:val="17"/>
        </w:rPr>
        <w:t> </w:t>
      </w:r>
      <w:r>
        <w:rPr>
          <w:rFonts w:ascii="Calibri" w:hAnsi="Calibri"/>
          <w:i/>
          <w:color w:val="231F20"/>
          <w:sz w:val="17"/>
        </w:rPr>
        <w:t>International</w:t>
      </w:r>
      <w:r>
        <w:rPr>
          <w:rFonts w:ascii="Calibri" w:hAnsi="Calibri"/>
          <w:i/>
          <w:color w:val="231F20"/>
          <w:spacing w:val="-5"/>
          <w:sz w:val="17"/>
        </w:rPr>
        <w:t> </w:t>
      </w:r>
      <w:r>
        <w:rPr>
          <w:rFonts w:ascii="Calibri" w:hAnsi="Calibri"/>
          <w:i/>
          <w:color w:val="231F20"/>
          <w:sz w:val="17"/>
        </w:rPr>
        <w:t>Rule</w:t>
      </w:r>
      <w:r>
        <w:rPr>
          <w:rFonts w:ascii="Calibri" w:hAnsi="Calibri"/>
          <w:i/>
          <w:color w:val="231F20"/>
          <w:spacing w:val="-5"/>
          <w:sz w:val="17"/>
        </w:rPr>
        <w:t> </w:t>
      </w:r>
      <w:r>
        <w:rPr>
          <w:rFonts w:ascii="Calibri" w:hAnsi="Calibri"/>
          <w:i/>
          <w:color w:val="231F20"/>
          <w:sz w:val="17"/>
        </w:rPr>
        <w:t>of</w:t>
      </w:r>
      <w:r>
        <w:rPr>
          <w:rFonts w:ascii="Calibri" w:hAnsi="Calibri"/>
          <w:i/>
          <w:color w:val="231F20"/>
          <w:spacing w:val="-5"/>
          <w:sz w:val="17"/>
        </w:rPr>
        <w:t> </w:t>
      </w:r>
      <w:r>
        <w:rPr>
          <w:rFonts w:ascii="Calibri" w:hAnsi="Calibri"/>
          <w:i/>
          <w:color w:val="231F20"/>
          <w:sz w:val="17"/>
        </w:rPr>
        <w:t>Law?</w:t>
      </w:r>
      <w:r>
        <w:rPr>
          <w:rFonts w:ascii="Calibri" w:hAnsi="Calibri"/>
          <w:color w:val="231F20"/>
          <w:sz w:val="17"/>
        </w:rPr>
        <w:t>,</w:t>
      </w:r>
      <w:r>
        <w:rPr>
          <w:rFonts w:ascii="Calibri" w:hAnsi="Calibri"/>
          <w:color w:val="231F20"/>
          <w:spacing w:val="-10"/>
          <w:sz w:val="17"/>
        </w:rPr>
        <w:t> </w:t>
      </w:r>
      <w:r>
        <w:rPr>
          <w:rFonts w:ascii="Calibri" w:hAnsi="Calibri"/>
          <w:color w:val="231F20"/>
          <w:sz w:val="17"/>
        </w:rPr>
        <w:t>Vienna,</w:t>
      </w:r>
      <w:r>
        <w:rPr>
          <w:rFonts w:ascii="Calibri" w:hAnsi="Calibri"/>
          <w:color w:val="231F20"/>
          <w:spacing w:val="-4"/>
          <w:sz w:val="17"/>
        </w:rPr>
        <w:t> </w:t>
      </w:r>
      <w:r>
        <w:rPr>
          <w:rFonts w:ascii="Calibri" w:hAnsi="Calibri"/>
          <w:color w:val="231F20"/>
          <w:sz w:val="17"/>
        </w:rPr>
        <w:t>IPO, 2001, pp.</w:t>
      </w:r>
      <w:r>
        <w:rPr>
          <w:rFonts w:ascii="Calibri" w:hAnsi="Calibri"/>
          <w:color w:val="231F20"/>
          <w:spacing w:val="-20"/>
          <w:sz w:val="17"/>
        </w:rPr>
        <w:t> </w:t>
      </w:r>
      <w:r>
        <w:rPr>
          <w:rFonts w:ascii="Calibri" w:hAnsi="Calibri"/>
          <w:color w:val="231F20"/>
          <w:sz w:val="17"/>
        </w:rPr>
        <w:t>53–54.</w:t>
      </w:r>
    </w:p>
    <w:p>
      <w:pPr>
        <w:spacing w:line="235" w:lineRule="auto" w:before="0"/>
        <w:ind w:left="117" w:right="101" w:firstLine="0"/>
        <w:jc w:val="both"/>
        <w:rPr>
          <w:rFonts w:ascii="Calibri" w:hAnsi="Calibri"/>
          <w:sz w:val="17"/>
        </w:rPr>
      </w:pPr>
      <w:r>
        <w:rPr>
          <w:rFonts w:ascii="Calibri" w:hAnsi="Calibri"/>
          <w:color w:val="231F20"/>
          <w:position w:val="6"/>
          <w:sz w:val="10"/>
        </w:rPr>
        <w:t>33 </w:t>
      </w:r>
      <w:r>
        <w:rPr>
          <w:rFonts w:ascii="Calibri" w:hAnsi="Calibri"/>
          <w:color w:val="231F20"/>
          <w:sz w:val="17"/>
        </w:rPr>
        <w:t>Köchler, </w:t>
      </w:r>
      <w:r>
        <w:rPr>
          <w:rFonts w:ascii="Calibri" w:hAnsi="Calibri"/>
          <w:i/>
          <w:color w:val="231F20"/>
          <w:sz w:val="17"/>
        </w:rPr>
        <w:t>The Concept of Humanitarian Intervention in the Context of Modern Power Politics. Is the </w:t>
      </w:r>
      <w:r>
        <w:rPr>
          <w:rFonts w:ascii="Calibri" w:hAnsi="Calibri"/>
          <w:i/>
          <w:color w:val="231F20"/>
          <w:sz w:val="17"/>
        </w:rPr>
        <w:t>Revival</w:t>
      </w:r>
      <w:r>
        <w:rPr>
          <w:rFonts w:ascii="Calibri" w:hAnsi="Calibri"/>
          <w:i/>
          <w:color w:val="231F20"/>
          <w:spacing w:val="-8"/>
          <w:sz w:val="17"/>
        </w:rPr>
        <w:t> </w:t>
      </w:r>
      <w:r>
        <w:rPr>
          <w:rFonts w:ascii="Calibri" w:hAnsi="Calibri"/>
          <w:i/>
          <w:color w:val="231F20"/>
          <w:sz w:val="17"/>
        </w:rPr>
        <w:t>of</w:t>
      </w:r>
      <w:r>
        <w:rPr>
          <w:rFonts w:ascii="Calibri" w:hAnsi="Calibri"/>
          <w:i/>
          <w:color w:val="231F20"/>
          <w:spacing w:val="-8"/>
          <w:sz w:val="17"/>
        </w:rPr>
        <w:t> </w:t>
      </w:r>
      <w:r>
        <w:rPr>
          <w:rFonts w:ascii="Calibri" w:hAnsi="Calibri"/>
          <w:i/>
          <w:color w:val="231F20"/>
          <w:sz w:val="17"/>
        </w:rPr>
        <w:t>the</w:t>
      </w:r>
      <w:r>
        <w:rPr>
          <w:rFonts w:ascii="Calibri" w:hAnsi="Calibri"/>
          <w:i/>
          <w:color w:val="231F20"/>
          <w:spacing w:val="-8"/>
          <w:sz w:val="17"/>
        </w:rPr>
        <w:t> </w:t>
      </w:r>
      <w:r>
        <w:rPr>
          <w:rFonts w:ascii="Calibri" w:hAnsi="Calibri"/>
          <w:i/>
          <w:color w:val="231F20"/>
          <w:sz w:val="17"/>
        </w:rPr>
        <w:t>Doctrine</w:t>
      </w:r>
      <w:r>
        <w:rPr>
          <w:rFonts w:ascii="Calibri" w:hAnsi="Calibri"/>
          <w:i/>
          <w:color w:val="231F20"/>
          <w:spacing w:val="-8"/>
          <w:sz w:val="17"/>
        </w:rPr>
        <w:t> </w:t>
      </w:r>
      <w:r>
        <w:rPr>
          <w:rFonts w:ascii="Calibri" w:hAnsi="Calibri"/>
          <w:i/>
          <w:color w:val="231F20"/>
          <w:sz w:val="17"/>
        </w:rPr>
        <w:t>of</w:t>
      </w:r>
      <w:r>
        <w:rPr>
          <w:rFonts w:ascii="Calibri" w:hAnsi="Calibri"/>
          <w:i/>
          <w:color w:val="231F20"/>
          <w:spacing w:val="-8"/>
          <w:sz w:val="17"/>
        </w:rPr>
        <w:t> </w:t>
      </w:r>
      <w:r>
        <w:rPr>
          <w:rFonts w:ascii="Calibri" w:hAnsi="Calibri"/>
          <w:i/>
          <w:color w:val="231F20"/>
          <w:sz w:val="17"/>
        </w:rPr>
        <w:t>“Just</w:t>
      </w:r>
      <w:r>
        <w:rPr>
          <w:rFonts w:ascii="Calibri" w:hAnsi="Calibri"/>
          <w:i/>
          <w:color w:val="231F20"/>
          <w:spacing w:val="-10"/>
          <w:sz w:val="17"/>
        </w:rPr>
        <w:t> </w:t>
      </w:r>
      <w:r>
        <w:rPr>
          <w:rFonts w:ascii="Calibri" w:hAnsi="Calibri"/>
          <w:i/>
          <w:color w:val="231F20"/>
          <w:sz w:val="17"/>
        </w:rPr>
        <w:t>War”</w:t>
      </w:r>
      <w:r>
        <w:rPr>
          <w:rFonts w:ascii="Calibri" w:hAnsi="Calibri"/>
          <w:i/>
          <w:color w:val="231F20"/>
          <w:spacing w:val="-8"/>
          <w:sz w:val="17"/>
        </w:rPr>
        <w:t> </w:t>
      </w:r>
      <w:r>
        <w:rPr>
          <w:rFonts w:ascii="Calibri" w:hAnsi="Calibri"/>
          <w:i/>
          <w:color w:val="231F20"/>
          <w:sz w:val="17"/>
        </w:rPr>
        <w:t>Compatible</w:t>
      </w:r>
      <w:r>
        <w:rPr>
          <w:rFonts w:ascii="Calibri" w:hAnsi="Calibri"/>
          <w:i/>
          <w:color w:val="231F20"/>
          <w:spacing w:val="-10"/>
          <w:sz w:val="17"/>
        </w:rPr>
        <w:t> </w:t>
      </w:r>
      <w:r>
        <w:rPr>
          <w:rFonts w:ascii="Calibri" w:hAnsi="Calibri"/>
          <w:i/>
          <w:color w:val="231F20"/>
          <w:sz w:val="17"/>
        </w:rPr>
        <w:t>with</w:t>
      </w:r>
      <w:r>
        <w:rPr>
          <w:rFonts w:ascii="Calibri" w:hAnsi="Calibri"/>
          <w:i/>
          <w:color w:val="231F20"/>
          <w:spacing w:val="-8"/>
          <w:sz w:val="17"/>
        </w:rPr>
        <w:t> </w:t>
      </w:r>
      <w:r>
        <w:rPr>
          <w:rFonts w:ascii="Calibri" w:hAnsi="Calibri"/>
          <w:i/>
          <w:color w:val="231F20"/>
          <w:sz w:val="17"/>
        </w:rPr>
        <w:t>the</w:t>
      </w:r>
      <w:r>
        <w:rPr>
          <w:rFonts w:ascii="Calibri" w:hAnsi="Calibri"/>
          <w:i/>
          <w:color w:val="231F20"/>
          <w:spacing w:val="-8"/>
          <w:sz w:val="17"/>
        </w:rPr>
        <w:t> </w:t>
      </w:r>
      <w:r>
        <w:rPr>
          <w:rFonts w:ascii="Calibri" w:hAnsi="Calibri"/>
          <w:i/>
          <w:color w:val="231F20"/>
          <w:sz w:val="17"/>
        </w:rPr>
        <w:t>International</w:t>
      </w:r>
      <w:r>
        <w:rPr>
          <w:rFonts w:ascii="Calibri" w:hAnsi="Calibri"/>
          <w:i/>
          <w:color w:val="231F20"/>
          <w:spacing w:val="-8"/>
          <w:sz w:val="17"/>
        </w:rPr>
        <w:t> </w:t>
      </w:r>
      <w:r>
        <w:rPr>
          <w:rFonts w:ascii="Calibri" w:hAnsi="Calibri"/>
          <w:i/>
          <w:color w:val="231F20"/>
          <w:sz w:val="17"/>
        </w:rPr>
        <w:t>Rule</w:t>
      </w:r>
      <w:r>
        <w:rPr>
          <w:rFonts w:ascii="Calibri" w:hAnsi="Calibri"/>
          <w:i/>
          <w:color w:val="231F20"/>
          <w:spacing w:val="-8"/>
          <w:sz w:val="17"/>
        </w:rPr>
        <w:t> </w:t>
      </w:r>
      <w:r>
        <w:rPr>
          <w:rFonts w:ascii="Calibri" w:hAnsi="Calibri"/>
          <w:i/>
          <w:color w:val="231F20"/>
          <w:sz w:val="17"/>
        </w:rPr>
        <w:t>of</w:t>
      </w:r>
      <w:r>
        <w:rPr>
          <w:rFonts w:ascii="Calibri" w:hAnsi="Calibri"/>
          <w:i/>
          <w:color w:val="231F20"/>
          <w:spacing w:val="-8"/>
          <w:sz w:val="17"/>
        </w:rPr>
        <w:t> </w:t>
      </w:r>
      <w:r>
        <w:rPr>
          <w:rFonts w:ascii="Calibri" w:hAnsi="Calibri"/>
          <w:i/>
          <w:color w:val="231F20"/>
          <w:sz w:val="17"/>
        </w:rPr>
        <w:t>Law?</w:t>
      </w:r>
      <w:r>
        <w:rPr>
          <w:rFonts w:ascii="Calibri" w:hAnsi="Calibri"/>
          <w:color w:val="231F20"/>
          <w:sz w:val="17"/>
        </w:rPr>
        <w:t>,</w:t>
      </w:r>
      <w:r>
        <w:rPr>
          <w:rFonts w:ascii="Calibri" w:hAnsi="Calibri"/>
          <w:color w:val="231F20"/>
          <w:spacing w:val="-7"/>
          <w:sz w:val="17"/>
        </w:rPr>
        <w:t> </w:t>
      </w:r>
      <w:r>
        <w:rPr>
          <w:rFonts w:ascii="Calibri" w:hAnsi="Calibri"/>
          <w:color w:val="231F20"/>
          <w:sz w:val="17"/>
        </w:rPr>
        <w:t>p.</w:t>
      </w:r>
      <w:r>
        <w:rPr>
          <w:rFonts w:ascii="Calibri" w:hAnsi="Calibri"/>
          <w:color w:val="231F20"/>
          <w:spacing w:val="-7"/>
          <w:sz w:val="17"/>
        </w:rPr>
        <w:t> </w:t>
      </w:r>
      <w:r>
        <w:rPr>
          <w:rFonts w:ascii="Calibri" w:hAnsi="Calibri"/>
          <w:color w:val="231F20"/>
          <w:sz w:val="17"/>
        </w:rPr>
        <w:t>29;</w:t>
      </w:r>
      <w:r>
        <w:rPr>
          <w:rFonts w:ascii="Calibri" w:hAnsi="Calibri"/>
          <w:color w:val="231F20"/>
          <w:spacing w:val="-7"/>
          <w:sz w:val="17"/>
        </w:rPr>
        <w:t> </w:t>
      </w:r>
      <w:r>
        <w:rPr>
          <w:rFonts w:ascii="Calibri" w:hAnsi="Calibri"/>
          <w:color w:val="231F20"/>
          <w:sz w:val="17"/>
        </w:rPr>
        <w:t>J.</w:t>
      </w:r>
      <w:r>
        <w:rPr>
          <w:rFonts w:ascii="Calibri" w:hAnsi="Calibri"/>
          <w:color w:val="231F20"/>
          <w:spacing w:val="-7"/>
          <w:sz w:val="17"/>
        </w:rPr>
        <w:t> </w:t>
      </w:r>
      <w:r>
        <w:rPr>
          <w:rFonts w:ascii="Calibri" w:hAnsi="Calibri"/>
          <w:color w:val="231F20"/>
          <w:sz w:val="17"/>
        </w:rPr>
        <w:t>Brunnée y S. J. Toope, “Slouching </w:t>
      </w:r>
      <w:r>
        <w:rPr>
          <w:rFonts w:ascii="Calibri" w:hAnsi="Calibri"/>
          <w:color w:val="231F20"/>
          <w:spacing w:val="-3"/>
          <w:sz w:val="17"/>
        </w:rPr>
        <w:t>Towards </w:t>
      </w:r>
      <w:r>
        <w:rPr>
          <w:rFonts w:ascii="Calibri" w:hAnsi="Calibri"/>
          <w:color w:val="231F20"/>
          <w:sz w:val="17"/>
        </w:rPr>
        <w:t>New ‘Just’ Wars: The Hegemon after September 11th”, </w:t>
      </w:r>
      <w:r>
        <w:rPr>
          <w:rFonts w:ascii="Calibri" w:hAnsi="Calibri"/>
          <w:i/>
          <w:color w:val="231F20"/>
          <w:sz w:val="17"/>
        </w:rPr>
        <w:t>Internatio- </w:t>
      </w:r>
      <w:r>
        <w:rPr>
          <w:rFonts w:ascii="Calibri" w:hAnsi="Calibri"/>
          <w:i/>
          <w:color w:val="231F20"/>
          <w:sz w:val="17"/>
        </w:rPr>
        <w:t>nal Relations</w:t>
      </w:r>
      <w:r>
        <w:rPr>
          <w:rFonts w:ascii="Calibri" w:hAnsi="Calibri"/>
          <w:color w:val="231F20"/>
          <w:sz w:val="17"/>
        </w:rPr>
        <w:t>, 2004, no.18, 4, pp.</w:t>
      </w:r>
      <w:r>
        <w:rPr>
          <w:rFonts w:ascii="Calibri" w:hAnsi="Calibri"/>
          <w:color w:val="231F20"/>
          <w:spacing w:val="-12"/>
          <w:sz w:val="17"/>
        </w:rPr>
        <w:t> </w:t>
      </w:r>
      <w:r>
        <w:rPr>
          <w:rFonts w:ascii="Calibri" w:hAnsi="Calibri"/>
          <w:color w:val="231F20"/>
          <w:sz w:val="17"/>
        </w:rPr>
        <w:t>405–423.</w:t>
      </w:r>
    </w:p>
    <w:p>
      <w:pPr>
        <w:spacing w:line="203" w:lineRule="exact" w:before="0"/>
        <w:ind w:left="117" w:right="0" w:firstLine="0"/>
        <w:jc w:val="both"/>
        <w:rPr>
          <w:rFonts w:ascii="Calibri" w:hAnsi="Calibri"/>
          <w:sz w:val="17"/>
        </w:rPr>
      </w:pPr>
      <w:r>
        <w:rPr>
          <w:rFonts w:ascii="Calibri" w:hAnsi="Calibri"/>
          <w:color w:val="231F20"/>
          <w:position w:val="6"/>
          <w:sz w:val="10"/>
        </w:rPr>
        <w:t>34 </w:t>
      </w:r>
      <w:r>
        <w:rPr>
          <w:rFonts w:ascii="Calibri" w:hAnsi="Calibri"/>
          <w:color w:val="231F20"/>
          <w:sz w:val="17"/>
        </w:rPr>
        <w:t>Beck, </w:t>
      </w:r>
      <w:r>
        <w:rPr>
          <w:rFonts w:ascii="Calibri" w:hAnsi="Calibri"/>
          <w:i/>
          <w:color w:val="231F20"/>
          <w:sz w:val="17"/>
        </w:rPr>
        <w:t>Lo sguardo cosmopolita</w:t>
      </w:r>
      <w:r>
        <w:rPr>
          <w:rFonts w:ascii="Calibri" w:hAnsi="Calibri"/>
          <w:color w:val="231F20"/>
          <w:sz w:val="17"/>
        </w:rPr>
        <w:t>, pp. 187–188.</w:t>
      </w:r>
    </w:p>
    <w:p>
      <w:pPr>
        <w:spacing w:line="206" w:lineRule="exact" w:before="0"/>
        <w:ind w:left="117" w:right="0" w:firstLine="0"/>
        <w:jc w:val="both"/>
        <w:rPr>
          <w:rFonts w:ascii="Calibri" w:hAnsi="Calibri"/>
          <w:sz w:val="17"/>
        </w:rPr>
      </w:pPr>
      <w:r>
        <w:rPr>
          <w:rFonts w:ascii="Calibri" w:hAnsi="Calibri"/>
          <w:color w:val="231F20"/>
          <w:position w:val="6"/>
          <w:sz w:val="10"/>
        </w:rPr>
        <w:t>35  </w:t>
      </w:r>
      <w:r>
        <w:rPr>
          <w:rFonts w:ascii="Calibri" w:hAnsi="Calibri"/>
          <w:color w:val="231F20"/>
          <w:sz w:val="17"/>
        </w:rPr>
        <w:t>Köchler, </w:t>
      </w:r>
      <w:r>
        <w:rPr>
          <w:rFonts w:ascii="Calibri" w:hAnsi="Calibri"/>
          <w:i/>
          <w:color w:val="231F20"/>
          <w:sz w:val="17"/>
        </w:rPr>
        <w:t>The Concept of Humanitarian Intervention</w:t>
      </w:r>
      <w:r>
        <w:rPr>
          <w:rFonts w:ascii="Calibri" w:hAnsi="Calibri"/>
          <w:color w:val="231F20"/>
          <w:sz w:val="17"/>
        </w:rPr>
        <w:t>, p. 40.</w:t>
      </w:r>
    </w:p>
    <w:p>
      <w:pPr>
        <w:spacing w:after="0" w:line="206" w:lineRule="exact"/>
        <w:jc w:val="both"/>
        <w:rPr>
          <w:rFonts w:ascii="Calibri" w:hAnsi="Calibri"/>
          <w:sz w:val="17"/>
        </w:rPr>
        <w:sectPr>
          <w:type w:val="continuous"/>
          <w:pgSz w:w="9640" w:h="13890"/>
          <w:pgMar w:top="0" w:bottom="0" w:left="1300" w:right="1200"/>
        </w:sectPr>
      </w:pPr>
    </w:p>
    <w:p>
      <w:pPr>
        <w:pStyle w:val="BodyText"/>
        <w:spacing w:line="247" w:lineRule="auto" w:before="107"/>
        <w:ind w:left="103" w:right="115"/>
        <w:jc w:val="both"/>
      </w:pPr>
      <w:r>
        <w:rPr>
          <w:color w:val="231F20"/>
        </w:rPr>
        <w:t>de un lento y fatigoso proceso de aprendizaje colectivo que en el campo de las relaciones internacionales debería finalmente conducir de la política de poder clásica a un estado de ciudadanía cosmopolítica</w:t>
      </w:r>
      <w:r>
        <w:rPr>
          <w:color w:val="231F20"/>
          <w:position w:val="7"/>
          <w:sz w:val="12"/>
        </w:rPr>
        <w:t>36</w:t>
      </w:r>
      <w:r>
        <w:rPr>
          <w:color w:val="231F20"/>
        </w:rPr>
        <w:t>. Por el contra- rio, a los evidentes dilemas del “nuevo humanitarismo militar”</w:t>
      </w:r>
      <w:r>
        <w:rPr>
          <w:color w:val="231F20"/>
          <w:position w:val="7"/>
          <w:sz w:val="12"/>
        </w:rPr>
        <w:t>37 </w:t>
      </w:r>
      <w:r>
        <w:rPr>
          <w:color w:val="231F20"/>
        </w:rPr>
        <w:t>muchos autores han respondido retomando las consolidadas certezas de una</w:t>
      </w:r>
      <w:r>
        <w:rPr>
          <w:color w:val="231F20"/>
          <w:spacing w:val="-30"/>
        </w:rPr>
        <w:t> </w:t>
      </w:r>
      <w:r>
        <w:rPr>
          <w:color w:val="231F20"/>
        </w:rPr>
        <w:t>visión “plural” del orden internacional, decididamente más ligadas a los funda- mentos conceptuales e institucionales del tradicional sistema Westfalia, de vez</w:t>
      </w:r>
      <w:r>
        <w:rPr>
          <w:color w:val="231F20"/>
          <w:spacing w:val="-6"/>
        </w:rPr>
        <w:t> </w:t>
      </w:r>
      <w:r>
        <w:rPr>
          <w:color w:val="231F20"/>
        </w:rPr>
        <w:t>en</w:t>
      </w:r>
      <w:r>
        <w:rPr>
          <w:color w:val="231F20"/>
          <w:spacing w:val="-6"/>
        </w:rPr>
        <w:t> </w:t>
      </w:r>
      <w:r>
        <w:rPr>
          <w:color w:val="231F20"/>
        </w:rPr>
        <w:t>cuando</w:t>
      </w:r>
      <w:r>
        <w:rPr>
          <w:color w:val="231F20"/>
          <w:spacing w:val="-6"/>
        </w:rPr>
        <w:t> </w:t>
      </w:r>
      <w:r>
        <w:rPr>
          <w:color w:val="231F20"/>
        </w:rPr>
        <w:t>releídos</w:t>
      </w:r>
      <w:r>
        <w:rPr>
          <w:color w:val="231F20"/>
          <w:spacing w:val="-6"/>
        </w:rPr>
        <w:t> </w:t>
      </w:r>
      <w:r>
        <w:rPr>
          <w:color w:val="231F20"/>
        </w:rPr>
        <w:t>en</w:t>
      </w:r>
      <w:r>
        <w:rPr>
          <w:color w:val="231F20"/>
          <w:spacing w:val="-6"/>
        </w:rPr>
        <w:t> </w:t>
      </w:r>
      <w:r>
        <w:rPr>
          <w:color w:val="231F20"/>
        </w:rPr>
        <w:t>clave</w:t>
      </w:r>
      <w:r>
        <w:rPr>
          <w:color w:val="231F20"/>
          <w:spacing w:val="-6"/>
        </w:rPr>
        <w:t> </w:t>
      </w:r>
      <w:r>
        <w:rPr>
          <w:color w:val="231F20"/>
        </w:rPr>
        <w:t>nacional–democrática</w:t>
      </w:r>
      <w:r>
        <w:rPr>
          <w:color w:val="231F20"/>
          <w:spacing w:val="-6"/>
        </w:rPr>
        <w:t> </w:t>
      </w:r>
      <w:r>
        <w:rPr>
          <w:color w:val="231F20"/>
        </w:rPr>
        <w:t>o</w:t>
      </w:r>
      <w:r>
        <w:rPr>
          <w:color w:val="231F20"/>
          <w:spacing w:val="-6"/>
        </w:rPr>
        <w:t> </w:t>
      </w:r>
      <w:r>
        <w:rPr>
          <w:color w:val="231F20"/>
        </w:rPr>
        <w:t>hasta</w:t>
      </w:r>
      <w:r>
        <w:rPr>
          <w:color w:val="231F20"/>
          <w:spacing w:val="-6"/>
        </w:rPr>
        <w:t> </w:t>
      </w:r>
      <w:r>
        <w:rPr>
          <w:color w:val="231F20"/>
        </w:rPr>
        <w:t>abiertamen- te</w:t>
      </w:r>
      <w:r>
        <w:rPr>
          <w:color w:val="231F20"/>
          <w:spacing w:val="29"/>
        </w:rPr>
        <w:t> </w:t>
      </w:r>
      <w:r>
        <w:rPr>
          <w:color w:val="231F20"/>
        </w:rPr>
        <w:t>postcolonial</w:t>
      </w:r>
      <w:r>
        <w:rPr>
          <w:color w:val="231F20"/>
          <w:position w:val="7"/>
          <w:sz w:val="12"/>
        </w:rPr>
        <w:t>38</w:t>
      </w:r>
      <w:r>
        <w:rPr>
          <w:color w:val="231F20"/>
        </w:rPr>
        <w:t>.</w:t>
      </w:r>
    </w:p>
    <w:p>
      <w:pPr>
        <w:pStyle w:val="BodyText"/>
        <w:spacing w:line="247" w:lineRule="auto"/>
        <w:ind w:left="103" w:right="115" w:firstLine="566"/>
        <w:jc w:val="both"/>
      </w:pPr>
      <w:r>
        <w:rPr>
          <w:color w:val="231F20"/>
        </w:rPr>
        <w:t>En esta línea de profundización teórica, la cuestión–clave de la se- gunda modernidad es precisamente “volver compatibles las intervencio- nes transnacionales que protegen los derechos subjetivos, con la diver- sidad de las culturas, con la identidad y la dignidad de los pueblos, con   la integridad de las estructuras jurídico–políticas de las cuales éstos sean libremente dotados”</w:t>
      </w:r>
      <w:r>
        <w:rPr>
          <w:color w:val="231F20"/>
          <w:position w:val="7"/>
          <w:sz w:val="12"/>
        </w:rPr>
        <w:t>39</w:t>
      </w:r>
      <w:r>
        <w:rPr>
          <w:color w:val="231F20"/>
        </w:rPr>
        <w:t>. Y en esta prospectiva la misma “ideología humani- taria”, en la medida en que se propone como el principio de  </w:t>
      </w:r>
      <w:r>
        <w:rPr>
          <w:color w:val="231F20"/>
          <w:spacing w:val="55"/>
        </w:rPr>
        <w:t> </w:t>
      </w:r>
      <w:r>
        <w:rPr>
          <w:color w:val="231F20"/>
        </w:rPr>
        <w:t>legitimación</w:t>
      </w:r>
    </w:p>
    <w:p>
      <w:pPr>
        <w:pStyle w:val="BodyText"/>
        <w:spacing w:before="10"/>
        <w:rPr>
          <w:sz w:val="26"/>
        </w:rPr>
      </w:pPr>
      <w:r>
        <w:rPr/>
        <w:pict>
          <v:line style="position:absolute;mso-position-horizontal-relative:page;mso-position-vertical-relative:paragraph;z-index:7624;mso-wrap-distance-left:0;mso-wrap-distance-right:0" from="65.1968pt,18.306984pt" to="178.5828pt,18.306984pt" stroked="true" strokeweight=".3pt" strokecolor="#231f20">
            <w10:wrap type="topAndBottom"/>
          </v:line>
        </w:pict>
      </w:r>
    </w:p>
    <w:p>
      <w:pPr>
        <w:spacing w:line="204" w:lineRule="exact" w:before="9"/>
        <w:ind w:left="103" w:right="114" w:firstLine="0"/>
        <w:jc w:val="both"/>
        <w:rPr>
          <w:rFonts w:ascii="Calibri" w:hAnsi="Calibri"/>
          <w:sz w:val="17"/>
        </w:rPr>
      </w:pPr>
      <w:r>
        <w:rPr>
          <w:rFonts w:ascii="Calibri" w:hAnsi="Calibri"/>
          <w:color w:val="231F20"/>
          <w:w w:val="105"/>
          <w:position w:val="6"/>
          <w:sz w:val="10"/>
        </w:rPr>
        <w:t>36 </w:t>
      </w:r>
      <w:r>
        <w:rPr>
          <w:rFonts w:ascii="Calibri" w:hAnsi="Calibri"/>
          <w:color w:val="231F20"/>
          <w:w w:val="105"/>
          <w:sz w:val="17"/>
        </w:rPr>
        <w:t>La referencia es, naturalmente, a las reflexiones desarrolladas por J. Habermas en el ensayo “Bestialität</w:t>
      </w:r>
      <w:r>
        <w:rPr>
          <w:rFonts w:ascii="Calibri" w:hAnsi="Calibri"/>
          <w:color w:val="231F20"/>
          <w:spacing w:val="-12"/>
          <w:w w:val="105"/>
          <w:sz w:val="17"/>
        </w:rPr>
        <w:t> </w:t>
      </w:r>
      <w:r>
        <w:rPr>
          <w:rFonts w:ascii="Calibri" w:hAnsi="Calibri"/>
          <w:color w:val="231F20"/>
          <w:w w:val="105"/>
          <w:sz w:val="17"/>
        </w:rPr>
        <w:t>und</w:t>
      </w:r>
      <w:r>
        <w:rPr>
          <w:rFonts w:ascii="Calibri" w:hAnsi="Calibri"/>
          <w:color w:val="231F20"/>
          <w:spacing w:val="-12"/>
          <w:w w:val="105"/>
          <w:sz w:val="17"/>
        </w:rPr>
        <w:t> </w:t>
      </w:r>
      <w:r>
        <w:rPr>
          <w:rFonts w:ascii="Calibri" w:hAnsi="Calibri"/>
          <w:color w:val="231F20"/>
          <w:w w:val="105"/>
          <w:sz w:val="17"/>
        </w:rPr>
        <w:t>Humanität.</w:t>
      </w:r>
      <w:r>
        <w:rPr>
          <w:rFonts w:ascii="Calibri" w:hAnsi="Calibri"/>
          <w:color w:val="231F20"/>
          <w:spacing w:val="-12"/>
          <w:w w:val="105"/>
          <w:sz w:val="17"/>
        </w:rPr>
        <w:t> </w:t>
      </w:r>
      <w:r>
        <w:rPr>
          <w:rFonts w:ascii="Calibri" w:hAnsi="Calibri"/>
          <w:color w:val="231F20"/>
          <w:w w:val="105"/>
          <w:sz w:val="17"/>
        </w:rPr>
        <w:t>Ein</w:t>
      </w:r>
      <w:r>
        <w:rPr>
          <w:rFonts w:ascii="Calibri" w:hAnsi="Calibri"/>
          <w:color w:val="231F20"/>
          <w:spacing w:val="-12"/>
          <w:w w:val="105"/>
          <w:sz w:val="17"/>
        </w:rPr>
        <w:t> </w:t>
      </w:r>
      <w:r>
        <w:rPr>
          <w:rFonts w:ascii="Calibri" w:hAnsi="Calibri"/>
          <w:color w:val="231F20"/>
          <w:w w:val="105"/>
          <w:sz w:val="17"/>
        </w:rPr>
        <w:t>Krieg</w:t>
      </w:r>
      <w:r>
        <w:rPr>
          <w:rFonts w:ascii="Calibri" w:hAnsi="Calibri"/>
          <w:color w:val="231F20"/>
          <w:spacing w:val="-12"/>
          <w:w w:val="105"/>
          <w:sz w:val="17"/>
        </w:rPr>
        <w:t> </w:t>
      </w:r>
      <w:r>
        <w:rPr>
          <w:rFonts w:ascii="Calibri" w:hAnsi="Calibri"/>
          <w:color w:val="231F20"/>
          <w:w w:val="105"/>
          <w:sz w:val="17"/>
        </w:rPr>
        <w:t>an</w:t>
      </w:r>
      <w:r>
        <w:rPr>
          <w:rFonts w:ascii="Calibri" w:hAnsi="Calibri"/>
          <w:color w:val="231F20"/>
          <w:spacing w:val="-12"/>
          <w:w w:val="105"/>
          <w:sz w:val="17"/>
        </w:rPr>
        <w:t> </w:t>
      </w:r>
      <w:r>
        <w:rPr>
          <w:rFonts w:ascii="Calibri" w:hAnsi="Calibri"/>
          <w:color w:val="231F20"/>
          <w:w w:val="105"/>
          <w:sz w:val="17"/>
        </w:rPr>
        <w:t>der</w:t>
      </w:r>
      <w:r>
        <w:rPr>
          <w:rFonts w:ascii="Calibri" w:hAnsi="Calibri"/>
          <w:color w:val="231F20"/>
          <w:spacing w:val="-12"/>
          <w:w w:val="105"/>
          <w:sz w:val="17"/>
        </w:rPr>
        <w:t> </w:t>
      </w:r>
      <w:r>
        <w:rPr>
          <w:rFonts w:ascii="Calibri" w:hAnsi="Calibri"/>
          <w:color w:val="231F20"/>
          <w:w w:val="105"/>
          <w:sz w:val="17"/>
        </w:rPr>
        <w:t>Grenze</w:t>
      </w:r>
      <w:r>
        <w:rPr>
          <w:rFonts w:ascii="Calibri" w:hAnsi="Calibri"/>
          <w:color w:val="231F20"/>
          <w:spacing w:val="-12"/>
          <w:w w:val="105"/>
          <w:sz w:val="17"/>
        </w:rPr>
        <w:t> </w:t>
      </w:r>
      <w:r>
        <w:rPr>
          <w:rFonts w:ascii="Calibri" w:hAnsi="Calibri"/>
          <w:color w:val="231F20"/>
          <w:w w:val="105"/>
          <w:sz w:val="17"/>
        </w:rPr>
        <w:t>zwischen</w:t>
      </w:r>
      <w:r>
        <w:rPr>
          <w:rFonts w:ascii="Calibri" w:hAnsi="Calibri"/>
          <w:color w:val="231F20"/>
          <w:spacing w:val="-12"/>
          <w:w w:val="105"/>
          <w:sz w:val="17"/>
        </w:rPr>
        <w:t> </w:t>
      </w:r>
      <w:r>
        <w:rPr>
          <w:rFonts w:ascii="Calibri" w:hAnsi="Calibri"/>
          <w:color w:val="231F20"/>
          <w:w w:val="105"/>
          <w:sz w:val="17"/>
        </w:rPr>
        <w:t>Recht</w:t>
      </w:r>
      <w:r>
        <w:rPr>
          <w:rFonts w:ascii="Calibri" w:hAnsi="Calibri"/>
          <w:color w:val="231F20"/>
          <w:spacing w:val="-12"/>
          <w:w w:val="105"/>
          <w:sz w:val="17"/>
        </w:rPr>
        <w:t> </w:t>
      </w:r>
      <w:r>
        <w:rPr>
          <w:rFonts w:ascii="Calibri" w:hAnsi="Calibri"/>
          <w:color w:val="231F20"/>
          <w:w w:val="105"/>
          <w:sz w:val="17"/>
        </w:rPr>
        <w:t>und</w:t>
      </w:r>
      <w:r>
        <w:rPr>
          <w:rFonts w:ascii="Calibri" w:hAnsi="Calibri"/>
          <w:color w:val="231F20"/>
          <w:spacing w:val="-12"/>
          <w:w w:val="105"/>
          <w:sz w:val="17"/>
        </w:rPr>
        <w:t> </w:t>
      </w:r>
      <w:r>
        <w:rPr>
          <w:rFonts w:ascii="Calibri" w:hAnsi="Calibri"/>
          <w:color w:val="231F20"/>
          <w:w w:val="105"/>
          <w:sz w:val="17"/>
        </w:rPr>
        <w:t>Moral”,</w:t>
      </w:r>
      <w:r>
        <w:rPr>
          <w:rFonts w:ascii="Calibri" w:hAnsi="Calibri"/>
          <w:color w:val="231F20"/>
          <w:spacing w:val="-13"/>
          <w:w w:val="105"/>
          <w:sz w:val="17"/>
        </w:rPr>
        <w:t> </w:t>
      </w:r>
      <w:r>
        <w:rPr>
          <w:rFonts w:ascii="Calibri" w:hAnsi="Calibri"/>
          <w:i/>
          <w:color w:val="231F20"/>
          <w:w w:val="105"/>
          <w:sz w:val="17"/>
        </w:rPr>
        <w:t>Die</w:t>
      </w:r>
      <w:r>
        <w:rPr>
          <w:rFonts w:ascii="Calibri" w:hAnsi="Calibri"/>
          <w:i/>
          <w:color w:val="231F20"/>
          <w:spacing w:val="-13"/>
          <w:w w:val="105"/>
          <w:sz w:val="17"/>
        </w:rPr>
        <w:t> </w:t>
      </w:r>
      <w:r>
        <w:rPr>
          <w:rFonts w:ascii="Calibri" w:hAnsi="Calibri"/>
          <w:i/>
          <w:color w:val="231F20"/>
          <w:w w:val="105"/>
          <w:sz w:val="17"/>
        </w:rPr>
        <w:t>Zeit</w:t>
      </w:r>
      <w:r>
        <w:rPr>
          <w:rFonts w:ascii="Calibri" w:hAnsi="Calibri"/>
          <w:color w:val="231F20"/>
          <w:w w:val="105"/>
          <w:sz w:val="17"/>
        </w:rPr>
        <w:t>,</w:t>
      </w:r>
      <w:r>
        <w:rPr>
          <w:rFonts w:ascii="Calibri" w:hAnsi="Calibri"/>
          <w:color w:val="231F20"/>
          <w:spacing w:val="-12"/>
          <w:w w:val="105"/>
          <w:sz w:val="17"/>
        </w:rPr>
        <w:t> </w:t>
      </w:r>
      <w:r>
        <w:rPr>
          <w:rFonts w:ascii="Calibri" w:hAnsi="Calibri"/>
          <w:color w:val="231F20"/>
          <w:w w:val="105"/>
          <w:sz w:val="17"/>
        </w:rPr>
        <w:t>18,</w:t>
      </w:r>
      <w:r>
        <w:rPr>
          <w:rFonts w:ascii="Calibri" w:hAnsi="Calibri"/>
          <w:color w:val="231F20"/>
          <w:spacing w:val="-12"/>
          <w:w w:val="105"/>
          <w:sz w:val="17"/>
        </w:rPr>
        <w:t> </w:t>
      </w:r>
      <w:r>
        <w:rPr>
          <w:rFonts w:ascii="Calibri" w:hAnsi="Calibri"/>
          <w:color w:val="231F20"/>
          <w:w w:val="105"/>
          <w:sz w:val="17"/>
        </w:rPr>
        <w:t>1999 (trad.</w:t>
      </w:r>
      <w:r>
        <w:rPr>
          <w:rFonts w:ascii="Calibri" w:hAnsi="Calibri"/>
          <w:color w:val="231F20"/>
          <w:spacing w:val="-20"/>
          <w:w w:val="105"/>
          <w:sz w:val="17"/>
        </w:rPr>
        <w:t> </w:t>
      </w:r>
      <w:r>
        <w:rPr>
          <w:rFonts w:ascii="Calibri" w:hAnsi="Calibri"/>
          <w:color w:val="231F20"/>
          <w:w w:val="105"/>
          <w:sz w:val="17"/>
        </w:rPr>
        <w:t>it.</w:t>
      </w:r>
      <w:r>
        <w:rPr>
          <w:rFonts w:ascii="Calibri" w:hAnsi="Calibri"/>
          <w:color w:val="231F20"/>
          <w:spacing w:val="-20"/>
          <w:w w:val="105"/>
          <w:sz w:val="17"/>
        </w:rPr>
        <w:t> </w:t>
      </w:r>
      <w:r>
        <w:rPr>
          <w:rFonts w:ascii="Calibri" w:hAnsi="Calibri"/>
          <w:i/>
          <w:color w:val="231F20"/>
          <w:w w:val="105"/>
          <w:sz w:val="17"/>
        </w:rPr>
        <w:t>Umanità</w:t>
      </w:r>
      <w:r>
        <w:rPr>
          <w:rFonts w:ascii="Calibri" w:hAnsi="Calibri"/>
          <w:i/>
          <w:color w:val="231F20"/>
          <w:spacing w:val="-21"/>
          <w:w w:val="105"/>
          <w:sz w:val="17"/>
        </w:rPr>
        <w:t> </w:t>
      </w:r>
      <w:r>
        <w:rPr>
          <w:rFonts w:ascii="Calibri" w:hAnsi="Calibri"/>
          <w:i/>
          <w:color w:val="231F20"/>
          <w:w w:val="105"/>
          <w:sz w:val="17"/>
        </w:rPr>
        <w:t>e</w:t>
      </w:r>
      <w:r>
        <w:rPr>
          <w:rFonts w:ascii="Calibri" w:hAnsi="Calibri"/>
          <w:i/>
          <w:color w:val="231F20"/>
          <w:spacing w:val="-21"/>
          <w:w w:val="105"/>
          <w:sz w:val="17"/>
        </w:rPr>
        <w:t> </w:t>
      </w:r>
      <w:r>
        <w:rPr>
          <w:rFonts w:ascii="Calibri" w:hAnsi="Calibri"/>
          <w:i/>
          <w:color w:val="231F20"/>
          <w:w w:val="105"/>
          <w:sz w:val="17"/>
        </w:rPr>
        <w:t>bestialità:</w:t>
      </w:r>
      <w:r>
        <w:rPr>
          <w:rFonts w:ascii="Calibri" w:hAnsi="Calibri"/>
          <w:i/>
          <w:color w:val="231F20"/>
          <w:spacing w:val="-21"/>
          <w:w w:val="105"/>
          <w:sz w:val="17"/>
        </w:rPr>
        <w:t> </w:t>
      </w:r>
      <w:r>
        <w:rPr>
          <w:rFonts w:ascii="Calibri" w:hAnsi="Calibri"/>
          <w:i/>
          <w:color w:val="231F20"/>
          <w:w w:val="105"/>
          <w:sz w:val="17"/>
        </w:rPr>
        <w:t>una</w:t>
      </w:r>
      <w:r>
        <w:rPr>
          <w:rFonts w:ascii="Calibri" w:hAnsi="Calibri"/>
          <w:i/>
          <w:color w:val="231F20"/>
          <w:spacing w:val="-21"/>
          <w:w w:val="105"/>
          <w:sz w:val="17"/>
        </w:rPr>
        <w:t> </w:t>
      </w:r>
      <w:r>
        <w:rPr>
          <w:rFonts w:ascii="Calibri" w:hAnsi="Calibri"/>
          <w:i/>
          <w:color w:val="231F20"/>
          <w:w w:val="105"/>
          <w:sz w:val="17"/>
        </w:rPr>
        <w:t>guerra</w:t>
      </w:r>
      <w:r>
        <w:rPr>
          <w:rFonts w:ascii="Calibri" w:hAnsi="Calibri"/>
          <w:i/>
          <w:color w:val="231F20"/>
          <w:spacing w:val="-21"/>
          <w:w w:val="105"/>
          <w:sz w:val="17"/>
        </w:rPr>
        <w:t> </w:t>
      </w:r>
      <w:r>
        <w:rPr>
          <w:rFonts w:ascii="Calibri" w:hAnsi="Calibri"/>
          <w:i/>
          <w:color w:val="231F20"/>
          <w:w w:val="105"/>
          <w:sz w:val="17"/>
        </w:rPr>
        <w:t>ai</w:t>
      </w:r>
      <w:r>
        <w:rPr>
          <w:rFonts w:ascii="Calibri" w:hAnsi="Calibri"/>
          <w:i/>
          <w:color w:val="231F20"/>
          <w:spacing w:val="-21"/>
          <w:w w:val="105"/>
          <w:sz w:val="17"/>
        </w:rPr>
        <w:t> </w:t>
      </w:r>
      <w:r>
        <w:rPr>
          <w:rFonts w:ascii="Calibri" w:hAnsi="Calibri"/>
          <w:i/>
          <w:color w:val="231F20"/>
          <w:w w:val="105"/>
          <w:sz w:val="17"/>
        </w:rPr>
        <w:t>confine</w:t>
      </w:r>
      <w:r>
        <w:rPr>
          <w:rFonts w:ascii="Calibri" w:hAnsi="Calibri"/>
          <w:i/>
          <w:color w:val="231F20"/>
          <w:spacing w:val="-21"/>
          <w:w w:val="105"/>
          <w:sz w:val="17"/>
        </w:rPr>
        <w:t> </w:t>
      </w:r>
      <w:r>
        <w:rPr>
          <w:rFonts w:ascii="Calibri" w:hAnsi="Calibri"/>
          <w:i/>
          <w:color w:val="231F20"/>
          <w:w w:val="105"/>
          <w:sz w:val="17"/>
        </w:rPr>
        <w:t>tra</w:t>
      </w:r>
      <w:r>
        <w:rPr>
          <w:rFonts w:ascii="Calibri" w:hAnsi="Calibri"/>
          <w:i/>
          <w:color w:val="231F20"/>
          <w:spacing w:val="-21"/>
          <w:w w:val="105"/>
          <w:sz w:val="17"/>
        </w:rPr>
        <w:t> </w:t>
      </w:r>
      <w:r>
        <w:rPr>
          <w:rFonts w:ascii="Calibri" w:hAnsi="Calibri"/>
          <w:i/>
          <w:color w:val="231F20"/>
          <w:w w:val="105"/>
          <w:sz w:val="17"/>
        </w:rPr>
        <w:t>diritto</w:t>
      </w:r>
      <w:r>
        <w:rPr>
          <w:rFonts w:ascii="Calibri" w:hAnsi="Calibri"/>
          <w:i/>
          <w:color w:val="231F20"/>
          <w:spacing w:val="-21"/>
          <w:w w:val="105"/>
          <w:sz w:val="17"/>
        </w:rPr>
        <w:t> </w:t>
      </w:r>
      <w:r>
        <w:rPr>
          <w:rFonts w:ascii="Calibri" w:hAnsi="Calibri"/>
          <w:i/>
          <w:color w:val="231F20"/>
          <w:w w:val="105"/>
          <w:sz w:val="17"/>
        </w:rPr>
        <w:t>e</w:t>
      </w:r>
      <w:r>
        <w:rPr>
          <w:rFonts w:ascii="Calibri" w:hAnsi="Calibri"/>
          <w:i/>
          <w:color w:val="231F20"/>
          <w:spacing w:val="-21"/>
          <w:w w:val="105"/>
          <w:sz w:val="17"/>
        </w:rPr>
        <w:t> </w:t>
      </w:r>
      <w:r>
        <w:rPr>
          <w:rFonts w:ascii="Calibri" w:hAnsi="Calibri"/>
          <w:i/>
          <w:color w:val="231F20"/>
          <w:w w:val="105"/>
          <w:sz w:val="17"/>
        </w:rPr>
        <w:t>morale</w:t>
      </w:r>
      <w:r>
        <w:rPr>
          <w:rFonts w:ascii="Calibri" w:hAnsi="Calibri"/>
          <w:color w:val="231F20"/>
          <w:w w:val="105"/>
          <w:sz w:val="17"/>
        </w:rPr>
        <w:t>,</w:t>
      </w:r>
      <w:r>
        <w:rPr>
          <w:rFonts w:ascii="Calibri" w:hAnsi="Calibri"/>
          <w:color w:val="231F20"/>
          <w:spacing w:val="-20"/>
          <w:w w:val="105"/>
          <w:sz w:val="17"/>
        </w:rPr>
        <w:t> </w:t>
      </w:r>
      <w:r>
        <w:rPr>
          <w:rFonts w:ascii="Calibri" w:hAnsi="Calibri"/>
          <w:color w:val="231F20"/>
          <w:w w:val="105"/>
          <w:sz w:val="17"/>
        </w:rPr>
        <w:t>in</w:t>
      </w:r>
      <w:r>
        <w:rPr>
          <w:rFonts w:ascii="Calibri" w:hAnsi="Calibri"/>
          <w:color w:val="231F20"/>
          <w:spacing w:val="-20"/>
          <w:w w:val="105"/>
          <w:sz w:val="17"/>
        </w:rPr>
        <w:t> </w:t>
      </w:r>
      <w:r>
        <w:rPr>
          <w:rFonts w:ascii="Calibri" w:hAnsi="Calibri"/>
          <w:color w:val="231F20"/>
          <w:spacing w:val="-4"/>
          <w:w w:val="105"/>
          <w:sz w:val="17"/>
        </w:rPr>
        <w:t>AA.VV.,</w:t>
      </w:r>
      <w:r>
        <w:rPr>
          <w:rFonts w:ascii="Calibri" w:hAnsi="Calibri"/>
          <w:color w:val="231F20"/>
          <w:spacing w:val="-20"/>
          <w:w w:val="105"/>
          <w:sz w:val="17"/>
        </w:rPr>
        <w:t> </w:t>
      </w:r>
      <w:r>
        <w:rPr>
          <w:rFonts w:ascii="Calibri" w:hAnsi="Calibri"/>
          <w:i/>
          <w:color w:val="231F20"/>
          <w:spacing w:val="-3"/>
          <w:w w:val="105"/>
          <w:sz w:val="17"/>
        </w:rPr>
        <w:t>L’ultima</w:t>
      </w:r>
      <w:r>
        <w:rPr>
          <w:rFonts w:ascii="Calibri" w:hAnsi="Calibri"/>
          <w:i/>
          <w:color w:val="231F20"/>
          <w:spacing w:val="-21"/>
          <w:w w:val="105"/>
          <w:sz w:val="17"/>
        </w:rPr>
        <w:t> </w:t>
      </w:r>
      <w:r>
        <w:rPr>
          <w:rFonts w:ascii="Calibri" w:hAnsi="Calibri"/>
          <w:i/>
          <w:color w:val="231F20"/>
          <w:w w:val="105"/>
          <w:sz w:val="17"/>
        </w:rPr>
        <w:t>crociata? </w:t>
      </w:r>
      <w:r>
        <w:rPr>
          <w:rFonts w:ascii="Calibri" w:hAnsi="Calibri"/>
          <w:i/>
          <w:color w:val="231F20"/>
          <w:w w:val="105"/>
          <w:sz w:val="17"/>
        </w:rPr>
        <w:t>Ragioni</w:t>
      </w:r>
      <w:r>
        <w:rPr>
          <w:rFonts w:ascii="Calibri" w:hAnsi="Calibri"/>
          <w:i/>
          <w:color w:val="231F20"/>
          <w:spacing w:val="-3"/>
          <w:w w:val="105"/>
          <w:sz w:val="17"/>
        </w:rPr>
        <w:t> </w:t>
      </w:r>
      <w:r>
        <w:rPr>
          <w:rFonts w:ascii="Calibri" w:hAnsi="Calibri"/>
          <w:i/>
          <w:color w:val="231F20"/>
          <w:w w:val="105"/>
          <w:sz w:val="17"/>
        </w:rPr>
        <w:t>e</w:t>
      </w:r>
      <w:r>
        <w:rPr>
          <w:rFonts w:ascii="Calibri" w:hAnsi="Calibri"/>
          <w:i/>
          <w:color w:val="231F20"/>
          <w:spacing w:val="-3"/>
          <w:w w:val="105"/>
          <w:sz w:val="17"/>
        </w:rPr>
        <w:t> </w:t>
      </w:r>
      <w:r>
        <w:rPr>
          <w:rFonts w:ascii="Calibri" w:hAnsi="Calibri"/>
          <w:i/>
          <w:color w:val="231F20"/>
          <w:w w:val="105"/>
          <w:sz w:val="17"/>
        </w:rPr>
        <w:t>torti</w:t>
      </w:r>
      <w:r>
        <w:rPr>
          <w:rFonts w:ascii="Calibri" w:hAnsi="Calibri"/>
          <w:i/>
          <w:color w:val="231F20"/>
          <w:spacing w:val="-3"/>
          <w:w w:val="105"/>
          <w:sz w:val="17"/>
        </w:rPr>
        <w:t> </w:t>
      </w:r>
      <w:r>
        <w:rPr>
          <w:rFonts w:ascii="Calibri" w:hAnsi="Calibri"/>
          <w:i/>
          <w:color w:val="231F20"/>
          <w:w w:val="105"/>
          <w:sz w:val="17"/>
        </w:rPr>
        <w:t>di</w:t>
      </w:r>
      <w:r>
        <w:rPr>
          <w:rFonts w:ascii="Calibri" w:hAnsi="Calibri"/>
          <w:i/>
          <w:color w:val="231F20"/>
          <w:spacing w:val="-3"/>
          <w:w w:val="105"/>
          <w:sz w:val="17"/>
        </w:rPr>
        <w:t> </w:t>
      </w:r>
      <w:r>
        <w:rPr>
          <w:rFonts w:ascii="Calibri" w:hAnsi="Calibri"/>
          <w:i/>
          <w:color w:val="231F20"/>
          <w:w w:val="105"/>
          <w:sz w:val="17"/>
        </w:rPr>
        <w:t>una</w:t>
      </w:r>
      <w:r>
        <w:rPr>
          <w:rFonts w:ascii="Calibri" w:hAnsi="Calibri"/>
          <w:i/>
          <w:color w:val="231F20"/>
          <w:spacing w:val="-3"/>
          <w:w w:val="105"/>
          <w:sz w:val="17"/>
        </w:rPr>
        <w:t> </w:t>
      </w:r>
      <w:r>
        <w:rPr>
          <w:rFonts w:ascii="Calibri" w:hAnsi="Calibri"/>
          <w:i/>
          <w:color w:val="231F20"/>
          <w:w w:val="105"/>
          <w:sz w:val="17"/>
        </w:rPr>
        <w:t>guerra</w:t>
      </w:r>
      <w:r>
        <w:rPr>
          <w:rFonts w:ascii="Calibri" w:hAnsi="Calibri"/>
          <w:i/>
          <w:color w:val="231F20"/>
          <w:spacing w:val="-3"/>
          <w:w w:val="105"/>
          <w:sz w:val="17"/>
        </w:rPr>
        <w:t> </w:t>
      </w:r>
      <w:r>
        <w:rPr>
          <w:rFonts w:ascii="Calibri" w:hAnsi="Calibri"/>
          <w:i/>
          <w:color w:val="231F20"/>
          <w:w w:val="105"/>
          <w:sz w:val="17"/>
        </w:rPr>
        <w:t>giusta</w:t>
      </w:r>
      <w:r>
        <w:rPr>
          <w:rFonts w:ascii="Calibri" w:hAnsi="Calibri"/>
          <w:color w:val="231F20"/>
          <w:w w:val="105"/>
          <w:sz w:val="17"/>
        </w:rPr>
        <w:t>,</w:t>
      </w:r>
      <w:r>
        <w:rPr>
          <w:rFonts w:ascii="Calibri" w:hAnsi="Calibri"/>
          <w:color w:val="231F20"/>
          <w:spacing w:val="-2"/>
          <w:w w:val="105"/>
          <w:sz w:val="17"/>
        </w:rPr>
        <w:t> </w:t>
      </w:r>
      <w:r>
        <w:rPr>
          <w:rFonts w:ascii="Calibri" w:hAnsi="Calibri"/>
          <w:color w:val="231F20"/>
          <w:w w:val="105"/>
          <w:sz w:val="17"/>
        </w:rPr>
        <w:t>Roma,</w:t>
      </w:r>
      <w:r>
        <w:rPr>
          <w:rFonts w:ascii="Calibri" w:hAnsi="Calibri"/>
          <w:color w:val="231F20"/>
          <w:spacing w:val="-2"/>
          <w:w w:val="105"/>
          <w:sz w:val="17"/>
        </w:rPr>
        <w:t> </w:t>
      </w:r>
      <w:r>
        <w:rPr>
          <w:rFonts w:ascii="Calibri" w:hAnsi="Calibri"/>
          <w:color w:val="231F20"/>
          <w:w w:val="105"/>
          <w:sz w:val="17"/>
        </w:rPr>
        <w:t>Reset,</w:t>
      </w:r>
      <w:r>
        <w:rPr>
          <w:rFonts w:ascii="Calibri" w:hAnsi="Calibri"/>
          <w:color w:val="231F20"/>
          <w:spacing w:val="-2"/>
          <w:w w:val="105"/>
          <w:sz w:val="17"/>
        </w:rPr>
        <w:t> </w:t>
      </w:r>
      <w:r>
        <w:rPr>
          <w:rFonts w:ascii="Calibri" w:hAnsi="Calibri"/>
          <w:color w:val="231F20"/>
          <w:w w:val="105"/>
          <w:sz w:val="17"/>
        </w:rPr>
        <w:t>1999,</w:t>
      </w:r>
      <w:r>
        <w:rPr>
          <w:rFonts w:ascii="Calibri" w:hAnsi="Calibri"/>
          <w:color w:val="231F20"/>
          <w:spacing w:val="-2"/>
          <w:w w:val="105"/>
          <w:sz w:val="17"/>
        </w:rPr>
        <w:t> </w:t>
      </w:r>
      <w:r>
        <w:rPr>
          <w:rFonts w:ascii="Calibri" w:hAnsi="Calibri"/>
          <w:color w:val="231F20"/>
          <w:w w:val="105"/>
          <w:sz w:val="17"/>
        </w:rPr>
        <w:t>pp.</w:t>
      </w:r>
      <w:r>
        <w:rPr>
          <w:rFonts w:ascii="Calibri" w:hAnsi="Calibri"/>
          <w:color w:val="231F20"/>
          <w:spacing w:val="-2"/>
          <w:w w:val="105"/>
          <w:sz w:val="17"/>
        </w:rPr>
        <w:t> </w:t>
      </w:r>
      <w:r>
        <w:rPr>
          <w:rFonts w:ascii="Calibri" w:hAnsi="Calibri"/>
          <w:color w:val="231F20"/>
          <w:w w:val="105"/>
          <w:sz w:val="17"/>
        </w:rPr>
        <w:t>74–75).</w:t>
      </w:r>
      <w:r>
        <w:rPr>
          <w:rFonts w:ascii="Calibri" w:hAnsi="Calibri"/>
          <w:color w:val="231F20"/>
          <w:spacing w:val="-2"/>
          <w:w w:val="105"/>
          <w:sz w:val="17"/>
        </w:rPr>
        <w:t> </w:t>
      </w:r>
      <w:r>
        <w:rPr>
          <w:rFonts w:ascii="Calibri" w:hAnsi="Calibri"/>
          <w:color w:val="231F20"/>
          <w:w w:val="105"/>
          <w:sz w:val="17"/>
        </w:rPr>
        <w:t>Como</w:t>
      </w:r>
      <w:r>
        <w:rPr>
          <w:rFonts w:ascii="Calibri" w:hAnsi="Calibri"/>
          <w:color w:val="231F20"/>
          <w:spacing w:val="-2"/>
          <w:w w:val="105"/>
          <w:sz w:val="17"/>
        </w:rPr>
        <w:t> </w:t>
      </w:r>
      <w:r>
        <w:rPr>
          <w:rFonts w:ascii="Calibri" w:hAnsi="Calibri"/>
          <w:color w:val="231F20"/>
          <w:w w:val="105"/>
          <w:sz w:val="17"/>
        </w:rPr>
        <w:t>subraya</w:t>
      </w:r>
      <w:r>
        <w:rPr>
          <w:rFonts w:ascii="Calibri" w:hAnsi="Calibri"/>
          <w:color w:val="231F20"/>
          <w:spacing w:val="-2"/>
          <w:w w:val="105"/>
          <w:sz w:val="17"/>
        </w:rPr>
        <w:t> </w:t>
      </w:r>
      <w:r>
        <w:rPr>
          <w:rFonts w:ascii="Calibri" w:hAnsi="Calibri"/>
          <w:color w:val="231F20"/>
          <w:w w:val="105"/>
          <w:sz w:val="17"/>
        </w:rPr>
        <w:t>Habermas,</w:t>
      </w:r>
      <w:r>
        <w:rPr>
          <w:rFonts w:ascii="Calibri" w:hAnsi="Calibri"/>
          <w:color w:val="231F20"/>
          <w:spacing w:val="-2"/>
          <w:w w:val="105"/>
          <w:sz w:val="17"/>
        </w:rPr>
        <w:t> </w:t>
      </w:r>
      <w:r>
        <w:rPr>
          <w:rFonts w:ascii="Calibri" w:hAnsi="Calibri"/>
          <w:color w:val="231F20"/>
          <w:w w:val="105"/>
          <w:sz w:val="17"/>
        </w:rPr>
        <w:t>la institucionalización</w:t>
      </w:r>
      <w:r>
        <w:rPr>
          <w:rFonts w:ascii="Calibri" w:hAnsi="Calibri"/>
          <w:color w:val="231F20"/>
          <w:spacing w:val="-14"/>
          <w:w w:val="105"/>
          <w:sz w:val="17"/>
        </w:rPr>
        <w:t> </w:t>
      </w:r>
      <w:r>
        <w:rPr>
          <w:rFonts w:ascii="Calibri" w:hAnsi="Calibri"/>
          <w:color w:val="231F20"/>
          <w:w w:val="105"/>
          <w:sz w:val="17"/>
        </w:rPr>
        <w:t>de</w:t>
      </w:r>
      <w:r>
        <w:rPr>
          <w:rFonts w:ascii="Calibri" w:hAnsi="Calibri"/>
          <w:color w:val="231F20"/>
          <w:spacing w:val="-14"/>
          <w:w w:val="105"/>
          <w:sz w:val="17"/>
        </w:rPr>
        <w:t> </w:t>
      </w:r>
      <w:r>
        <w:rPr>
          <w:rFonts w:ascii="Calibri" w:hAnsi="Calibri"/>
          <w:color w:val="231F20"/>
          <w:w w:val="105"/>
          <w:sz w:val="17"/>
        </w:rPr>
        <w:t>procedimientos</w:t>
      </w:r>
      <w:r>
        <w:rPr>
          <w:rFonts w:ascii="Calibri" w:hAnsi="Calibri"/>
          <w:color w:val="231F20"/>
          <w:spacing w:val="-14"/>
          <w:w w:val="105"/>
          <w:sz w:val="17"/>
        </w:rPr>
        <w:t> </w:t>
      </w:r>
      <w:r>
        <w:rPr>
          <w:rFonts w:ascii="Calibri" w:hAnsi="Calibri"/>
          <w:color w:val="231F20"/>
          <w:w w:val="105"/>
          <w:sz w:val="17"/>
        </w:rPr>
        <w:t>consolidados</w:t>
      </w:r>
      <w:r>
        <w:rPr>
          <w:rFonts w:ascii="Calibri" w:hAnsi="Calibri"/>
          <w:color w:val="231F20"/>
          <w:spacing w:val="-14"/>
          <w:w w:val="105"/>
          <w:sz w:val="17"/>
        </w:rPr>
        <w:t> </w:t>
      </w:r>
      <w:r>
        <w:rPr>
          <w:rFonts w:ascii="Calibri" w:hAnsi="Calibri"/>
          <w:color w:val="231F20"/>
          <w:w w:val="105"/>
          <w:sz w:val="17"/>
        </w:rPr>
        <w:t>de</w:t>
      </w:r>
      <w:r>
        <w:rPr>
          <w:rFonts w:ascii="Calibri" w:hAnsi="Calibri"/>
          <w:color w:val="231F20"/>
          <w:spacing w:val="-14"/>
          <w:w w:val="105"/>
          <w:sz w:val="17"/>
        </w:rPr>
        <w:t> </w:t>
      </w:r>
      <w:r>
        <w:rPr>
          <w:rFonts w:ascii="Calibri" w:hAnsi="Calibri"/>
          <w:color w:val="231F20"/>
          <w:w w:val="105"/>
          <w:sz w:val="17"/>
        </w:rPr>
        <w:t>solución</w:t>
      </w:r>
      <w:r>
        <w:rPr>
          <w:rFonts w:ascii="Calibri" w:hAnsi="Calibri"/>
          <w:color w:val="231F20"/>
          <w:spacing w:val="-14"/>
          <w:w w:val="105"/>
          <w:sz w:val="17"/>
        </w:rPr>
        <w:t> </w:t>
      </w:r>
      <w:r>
        <w:rPr>
          <w:rFonts w:ascii="Calibri" w:hAnsi="Calibri"/>
          <w:color w:val="231F20"/>
          <w:w w:val="105"/>
          <w:sz w:val="17"/>
        </w:rPr>
        <w:t>de</w:t>
      </w:r>
      <w:r>
        <w:rPr>
          <w:rFonts w:ascii="Calibri" w:hAnsi="Calibri"/>
          <w:color w:val="231F20"/>
          <w:spacing w:val="-14"/>
          <w:w w:val="105"/>
          <w:sz w:val="17"/>
        </w:rPr>
        <w:t> </w:t>
      </w:r>
      <w:r>
        <w:rPr>
          <w:rFonts w:ascii="Calibri" w:hAnsi="Calibri"/>
          <w:color w:val="231F20"/>
          <w:w w:val="105"/>
          <w:sz w:val="17"/>
        </w:rPr>
        <w:t>conflictos,</w:t>
      </w:r>
      <w:r>
        <w:rPr>
          <w:rFonts w:ascii="Calibri" w:hAnsi="Calibri"/>
          <w:color w:val="231F20"/>
          <w:spacing w:val="-14"/>
          <w:w w:val="105"/>
          <w:sz w:val="17"/>
        </w:rPr>
        <w:t> </w:t>
      </w:r>
      <w:r>
        <w:rPr>
          <w:rFonts w:ascii="Calibri" w:hAnsi="Calibri"/>
          <w:color w:val="231F20"/>
          <w:w w:val="105"/>
          <w:sz w:val="17"/>
        </w:rPr>
        <w:t>capaz</w:t>
      </w:r>
      <w:r>
        <w:rPr>
          <w:rFonts w:ascii="Calibri" w:hAnsi="Calibri"/>
          <w:color w:val="231F20"/>
          <w:spacing w:val="-14"/>
          <w:w w:val="105"/>
          <w:sz w:val="17"/>
        </w:rPr>
        <w:t> </w:t>
      </w:r>
      <w:r>
        <w:rPr>
          <w:rFonts w:ascii="Calibri" w:hAnsi="Calibri"/>
          <w:color w:val="231F20"/>
          <w:w w:val="105"/>
          <w:sz w:val="17"/>
        </w:rPr>
        <w:t>de</w:t>
      </w:r>
      <w:r>
        <w:rPr>
          <w:rFonts w:ascii="Calibri" w:hAnsi="Calibri"/>
          <w:color w:val="231F20"/>
          <w:spacing w:val="-14"/>
          <w:w w:val="105"/>
          <w:sz w:val="17"/>
        </w:rPr>
        <w:t> </w:t>
      </w:r>
      <w:r>
        <w:rPr>
          <w:rFonts w:ascii="Calibri" w:hAnsi="Calibri"/>
          <w:color w:val="231F20"/>
          <w:w w:val="105"/>
          <w:sz w:val="17"/>
        </w:rPr>
        <w:t>disminuir el tratamiento legal de las violaciones de los derechos humanos al estado “institución jurídica” que actualmente lo caracteriza, puede ser imaginado también “no obstante el monopolio de la violencia de un Estado y un gobierno mundiales”, a través de la consecuente transformación de las</w:t>
      </w:r>
      <w:r>
        <w:rPr>
          <w:rFonts w:ascii="Calibri" w:hAnsi="Calibri"/>
          <w:color w:val="231F20"/>
          <w:spacing w:val="-19"/>
          <w:w w:val="105"/>
          <w:sz w:val="17"/>
        </w:rPr>
        <w:t> </w:t>
      </w:r>
      <w:r>
        <w:rPr>
          <w:rFonts w:ascii="Calibri" w:hAnsi="Calibri"/>
          <w:color w:val="231F20"/>
          <w:w w:val="105"/>
          <w:sz w:val="17"/>
        </w:rPr>
        <w:t>Naciones</w:t>
      </w:r>
      <w:r>
        <w:rPr>
          <w:rFonts w:ascii="Calibri" w:hAnsi="Calibri"/>
          <w:color w:val="231F20"/>
          <w:spacing w:val="-19"/>
          <w:w w:val="105"/>
          <w:sz w:val="17"/>
        </w:rPr>
        <w:t> </w:t>
      </w:r>
      <w:r>
        <w:rPr>
          <w:rFonts w:ascii="Calibri" w:hAnsi="Calibri"/>
          <w:color w:val="231F20"/>
          <w:w w:val="105"/>
          <w:sz w:val="17"/>
        </w:rPr>
        <w:t>Unidas</w:t>
      </w:r>
      <w:r>
        <w:rPr>
          <w:rFonts w:ascii="Calibri" w:hAnsi="Calibri"/>
          <w:color w:val="231F20"/>
          <w:spacing w:val="-19"/>
          <w:w w:val="105"/>
          <w:sz w:val="17"/>
        </w:rPr>
        <w:t> </w:t>
      </w:r>
      <w:r>
        <w:rPr>
          <w:rFonts w:ascii="Calibri" w:hAnsi="Calibri"/>
          <w:color w:val="231F20"/>
          <w:w w:val="105"/>
          <w:sz w:val="17"/>
        </w:rPr>
        <w:t>en</w:t>
      </w:r>
      <w:r>
        <w:rPr>
          <w:rFonts w:ascii="Calibri" w:hAnsi="Calibri"/>
          <w:color w:val="231F20"/>
          <w:spacing w:val="-19"/>
          <w:w w:val="105"/>
          <w:sz w:val="17"/>
        </w:rPr>
        <w:t> </w:t>
      </w:r>
      <w:r>
        <w:rPr>
          <w:rFonts w:ascii="Calibri" w:hAnsi="Calibri"/>
          <w:color w:val="231F20"/>
          <w:w w:val="105"/>
          <w:sz w:val="17"/>
        </w:rPr>
        <w:t>una</w:t>
      </w:r>
      <w:r>
        <w:rPr>
          <w:rFonts w:ascii="Calibri" w:hAnsi="Calibri"/>
          <w:color w:val="231F20"/>
          <w:spacing w:val="-19"/>
          <w:w w:val="105"/>
          <w:sz w:val="17"/>
        </w:rPr>
        <w:t> </w:t>
      </w:r>
      <w:r>
        <w:rPr>
          <w:rFonts w:ascii="Calibri" w:hAnsi="Calibri"/>
          <w:color w:val="231F20"/>
          <w:w w:val="105"/>
          <w:sz w:val="17"/>
        </w:rPr>
        <w:t>forma</w:t>
      </w:r>
      <w:r>
        <w:rPr>
          <w:rFonts w:ascii="Calibri" w:hAnsi="Calibri"/>
          <w:color w:val="231F20"/>
          <w:spacing w:val="-19"/>
          <w:w w:val="105"/>
          <w:sz w:val="17"/>
        </w:rPr>
        <w:t> </w:t>
      </w:r>
      <w:r>
        <w:rPr>
          <w:rFonts w:ascii="Calibri" w:hAnsi="Calibri"/>
          <w:color w:val="231F20"/>
          <w:w w:val="105"/>
          <w:sz w:val="17"/>
        </w:rPr>
        <w:t>de</w:t>
      </w:r>
      <w:r>
        <w:rPr>
          <w:rFonts w:ascii="Calibri" w:hAnsi="Calibri"/>
          <w:color w:val="231F20"/>
          <w:spacing w:val="-21"/>
          <w:w w:val="105"/>
          <w:sz w:val="17"/>
        </w:rPr>
        <w:t> </w:t>
      </w:r>
      <w:r>
        <w:rPr>
          <w:rFonts w:ascii="Calibri" w:hAnsi="Calibri"/>
          <w:color w:val="231F20"/>
          <w:w w:val="105"/>
          <w:sz w:val="17"/>
        </w:rPr>
        <w:t>verdadera</w:t>
      </w:r>
      <w:r>
        <w:rPr>
          <w:rFonts w:ascii="Calibri" w:hAnsi="Calibri"/>
          <w:color w:val="231F20"/>
          <w:spacing w:val="-19"/>
          <w:w w:val="105"/>
          <w:sz w:val="17"/>
        </w:rPr>
        <w:t> </w:t>
      </w:r>
      <w:r>
        <w:rPr>
          <w:rFonts w:ascii="Calibri" w:hAnsi="Calibri"/>
          <w:color w:val="231F20"/>
          <w:w w:val="105"/>
          <w:sz w:val="17"/>
        </w:rPr>
        <w:t>“democracia</w:t>
      </w:r>
      <w:r>
        <w:rPr>
          <w:rFonts w:ascii="Calibri" w:hAnsi="Calibri"/>
          <w:color w:val="231F20"/>
          <w:spacing w:val="-19"/>
          <w:w w:val="105"/>
          <w:sz w:val="17"/>
        </w:rPr>
        <w:t> </w:t>
      </w:r>
      <w:r>
        <w:rPr>
          <w:rFonts w:ascii="Calibri" w:hAnsi="Calibri"/>
          <w:color w:val="231F20"/>
          <w:w w:val="105"/>
          <w:sz w:val="17"/>
        </w:rPr>
        <w:t>cosmopolítica”:</w:t>
      </w:r>
      <w:r>
        <w:rPr>
          <w:rFonts w:ascii="Calibri" w:hAnsi="Calibri"/>
          <w:color w:val="231F20"/>
          <w:spacing w:val="-19"/>
          <w:w w:val="105"/>
          <w:sz w:val="17"/>
        </w:rPr>
        <w:t> </w:t>
      </w:r>
      <w:r>
        <w:rPr>
          <w:rFonts w:ascii="Calibri" w:hAnsi="Calibri"/>
          <w:color w:val="231F20"/>
          <w:w w:val="105"/>
          <w:sz w:val="17"/>
        </w:rPr>
        <w:t>un</w:t>
      </w:r>
      <w:r>
        <w:rPr>
          <w:rFonts w:ascii="Calibri" w:hAnsi="Calibri"/>
          <w:color w:val="231F20"/>
          <w:spacing w:val="-19"/>
          <w:w w:val="105"/>
          <w:sz w:val="17"/>
        </w:rPr>
        <w:t> </w:t>
      </w:r>
      <w:r>
        <w:rPr>
          <w:rFonts w:ascii="Calibri" w:hAnsi="Calibri"/>
          <w:color w:val="231F20"/>
          <w:w w:val="105"/>
          <w:sz w:val="17"/>
        </w:rPr>
        <w:t>paso,</w:t>
      </w:r>
      <w:r>
        <w:rPr>
          <w:rFonts w:ascii="Calibri" w:hAnsi="Calibri"/>
          <w:color w:val="231F20"/>
          <w:spacing w:val="-19"/>
          <w:w w:val="105"/>
          <w:sz w:val="17"/>
        </w:rPr>
        <w:t> </w:t>
      </w:r>
      <w:r>
        <w:rPr>
          <w:rFonts w:ascii="Calibri" w:hAnsi="Calibri"/>
          <w:color w:val="231F20"/>
          <w:w w:val="105"/>
          <w:sz w:val="17"/>
        </w:rPr>
        <w:t>este,</w:t>
      </w:r>
      <w:r>
        <w:rPr>
          <w:rFonts w:ascii="Calibri" w:hAnsi="Calibri"/>
          <w:color w:val="231F20"/>
          <w:spacing w:val="-19"/>
          <w:w w:val="105"/>
          <w:sz w:val="17"/>
        </w:rPr>
        <w:t> </w:t>
      </w:r>
      <w:r>
        <w:rPr>
          <w:rFonts w:ascii="Calibri" w:hAnsi="Calibri"/>
          <w:color w:val="231F20"/>
          <w:w w:val="105"/>
          <w:sz w:val="17"/>
        </w:rPr>
        <w:t>para</w:t>
      </w:r>
      <w:r>
        <w:rPr>
          <w:rFonts w:ascii="Calibri" w:hAnsi="Calibri"/>
          <w:color w:val="231F20"/>
          <w:spacing w:val="-19"/>
          <w:w w:val="105"/>
          <w:sz w:val="17"/>
        </w:rPr>
        <w:t> </w:t>
      </w:r>
      <w:r>
        <w:rPr>
          <w:rFonts w:ascii="Calibri" w:hAnsi="Calibri"/>
          <w:color w:val="231F20"/>
          <w:w w:val="105"/>
          <w:sz w:val="17"/>
        </w:rPr>
        <w:t>el cual</w:t>
      </w:r>
      <w:r>
        <w:rPr>
          <w:rFonts w:ascii="Calibri" w:hAnsi="Calibri"/>
          <w:color w:val="231F20"/>
          <w:spacing w:val="-17"/>
          <w:w w:val="105"/>
          <w:sz w:val="17"/>
        </w:rPr>
        <w:t> </w:t>
      </w:r>
      <w:r>
        <w:rPr>
          <w:rFonts w:ascii="Calibri" w:hAnsi="Calibri"/>
          <w:color w:val="231F20"/>
          <w:w w:val="105"/>
          <w:sz w:val="17"/>
        </w:rPr>
        <w:t>es</w:t>
      </w:r>
      <w:r>
        <w:rPr>
          <w:rFonts w:ascii="Calibri" w:hAnsi="Calibri"/>
          <w:color w:val="231F20"/>
          <w:spacing w:val="-17"/>
          <w:w w:val="105"/>
          <w:sz w:val="17"/>
        </w:rPr>
        <w:t> </w:t>
      </w:r>
      <w:r>
        <w:rPr>
          <w:rFonts w:ascii="Calibri" w:hAnsi="Calibri"/>
          <w:color w:val="231F20"/>
          <w:w w:val="105"/>
          <w:sz w:val="17"/>
        </w:rPr>
        <w:t>necesario</w:t>
      </w:r>
      <w:r>
        <w:rPr>
          <w:rFonts w:ascii="Calibri" w:hAnsi="Calibri"/>
          <w:color w:val="231F20"/>
          <w:spacing w:val="-17"/>
          <w:w w:val="105"/>
          <w:sz w:val="17"/>
        </w:rPr>
        <w:t> </w:t>
      </w:r>
      <w:r>
        <w:rPr>
          <w:rFonts w:ascii="Calibri" w:hAnsi="Calibri"/>
          <w:color w:val="231F20"/>
          <w:w w:val="105"/>
          <w:sz w:val="17"/>
        </w:rPr>
        <w:t>por</w:t>
      </w:r>
      <w:r>
        <w:rPr>
          <w:rFonts w:ascii="Calibri" w:hAnsi="Calibri"/>
          <w:color w:val="231F20"/>
          <w:spacing w:val="-17"/>
          <w:w w:val="105"/>
          <w:sz w:val="17"/>
        </w:rPr>
        <w:t> </w:t>
      </w:r>
      <w:r>
        <w:rPr>
          <w:rFonts w:ascii="Calibri" w:hAnsi="Calibri"/>
          <w:color w:val="231F20"/>
          <w:w w:val="105"/>
          <w:sz w:val="17"/>
        </w:rPr>
        <w:t>lo</w:t>
      </w:r>
      <w:r>
        <w:rPr>
          <w:rFonts w:ascii="Calibri" w:hAnsi="Calibri"/>
          <w:color w:val="231F20"/>
          <w:spacing w:val="-17"/>
          <w:w w:val="105"/>
          <w:sz w:val="17"/>
        </w:rPr>
        <w:t> </w:t>
      </w:r>
      <w:r>
        <w:rPr>
          <w:rFonts w:ascii="Calibri" w:hAnsi="Calibri"/>
          <w:color w:val="231F20"/>
          <w:w w:val="105"/>
          <w:sz w:val="17"/>
        </w:rPr>
        <w:t>menos</w:t>
      </w:r>
      <w:r>
        <w:rPr>
          <w:rFonts w:ascii="Calibri" w:hAnsi="Calibri"/>
          <w:color w:val="231F20"/>
          <w:spacing w:val="-17"/>
          <w:w w:val="105"/>
          <w:sz w:val="17"/>
        </w:rPr>
        <w:t> </w:t>
      </w:r>
      <w:r>
        <w:rPr>
          <w:rFonts w:ascii="Calibri" w:hAnsi="Calibri"/>
          <w:color w:val="231F20"/>
          <w:w w:val="105"/>
          <w:sz w:val="17"/>
        </w:rPr>
        <w:t>un</w:t>
      </w:r>
      <w:r>
        <w:rPr>
          <w:rFonts w:ascii="Calibri" w:hAnsi="Calibri"/>
          <w:color w:val="231F20"/>
          <w:spacing w:val="-17"/>
          <w:w w:val="105"/>
          <w:sz w:val="17"/>
        </w:rPr>
        <w:t> </w:t>
      </w:r>
      <w:r>
        <w:rPr>
          <w:rFonts w:ascii="Calibri" w:hAnsi="Calibri"/>
          <w:color w:val="231F20"/>
          <w:w w:val="105"/>
          <w:sz w:val="17"/>
        </w:rPr>
        <w:t>Consejo</w:t>
      </w:r>
      <w:r>
        <w:rPr>
          <w:rFonts w:ascii="Calibri" w:hAnsi="Calibri"/>
          <w:color w:val="231F20"/>
          <w:spacing w:val="-17"/>
          <w:w w:val="105"/>
          <w:sz w:val="17"/>
        </w:rPr>
        <w:t> </w:t>
      </w:r>
      <w:r>
        <w:rPr>
          <w:rFonts w:ascii="Calibri" w:hAnsi="Calibri"/>
          <w:color w:val="231F20"/>
          <w:w w:val="105"/>
          <w:sz w:val="17"/>
        </w:rPr>
        <w:t>de</w:t>
      </w:r>
      <w:r>
        <w:rPr>
          <w:rFonts w:ascii="Calibri" w:hAnsi="Calibri"/>
          <w:color w:val="231F20"/>
          <w:spacing w:val="-17"/>
          <w:w w:val="105"/>
          <w:sz w:val="17"/>
        </w:rPr>
        <w:t> </w:t>
      </w:r>
      <w:r>
        <w:rPr>
          <w:rFonts w:ascii="Calibri" w:hAnsi="Calibri"/>
          <w:color w:val="231F20"/>
          <w:w w:val="105"/>
          <w:sz w:val="17"/>
        </w:rPr>
        <w:t>Seguridad</w:t>
      </w:r>
      <w:r>
        <w:rPr>
          <w:rFonts w:ascii="Calibri" w:hAnsi="Calibri"/>
          <w:color w:val="231F20"/>
          <w:spacing w:val="-17"/>
          <w:w w:val="105"/>
          <w:sz w:val="17"/>
        </w:rPr>
        <w:t> </w:t>
      </w:r>
      <w:r>
        <w:rPr>
          <w:rFonts w:ascii="Calibri" w:hAnsi="Calibri"/>
          <w:color w:val="231F20"/>
          <w:w w:val="105"/>
          <w:sz w:val="17"/>
        </w:rPr>
        <w:t>que</w:t>
      </w:r>
      <w:r>
        <w:rPr>
          <w:rFonts w:ascii="Calibri" w:hAnsi="Calibri"/>
          <w:color w:val="231F20"/>
          <w:spacing w:val="-17"/>
          <w:w w:val="105"/>
          <w:sz w:val="17"/>
        </w:rPr>
        <w:t> </w:t>
      </w:r>
      <w:r>
        <w:rPr>
          <w:rFonts w:ascii="Calibri" w:hAnsi="Calibri"/>
          <w:color w:val="231F20"/>
          <w:w w:val="105"/>
          <w:sz w:val="17"/>
        </w:rPr>
        <w:t>funcione,</w:t>
      </w:r>
      <w:r>
        <w:rPr>
          <w:rFonts w:ascii="Calibri" w:hAnsi="Calibri"/>
          <w:color w:val="231F20"/>
          <w:spacing w:val="-17"/>
          <w:w w:val="105"/>
          <w:sz w:val="17"/>
        </w:rPr>
        <w:t> </w:t>
      </w:r>
      <w:r>
        <w:rPr>
          <w:rFonts w:ascii="Calibri" w:hAnsi="Calibri"/>
          <w:color w:val="231F20"/>
          <w:w w:val="105"/>
          <w:sz w:val="17"/>
        </w:rPr>
        <w:t>la</w:t>
      </w:r>
      <w:r>
        <w:rPr>
          <w:rFonts w:ascii="Calibri" w:hAnsi="Calibri"/>
          <w:color w:val="231F20"/>
          <w:spacing w:val="-17"/>
          <w:w w:val="105"/>
          <w:sz w:val="17"/>
        </w:rPr>
        <w:t> </w:t>
      </w:r>
      <w:r>
        <w:rPr>
          <w:rFonts w:ascii="Calibri" w:hAnsi="Calibri"/>
          <w:color w:val="231F20"/>
          <w:w w:val="105"/>
          <w:sz w:val="17"/>
        </w:rPr>
        <w:t>jurisprudencia</w:t>
      </w:r>
      <w:r>
        <w:rPr>
          <w:rFonts w:ascii="Calibri" w:hAnsi="Calibri"/>
          <w:color w:val="231F20"/>
          <w:spacing w:val="-18"/>
          <w:w w:val="105"/>
          <w:sz w:val="17"/>
        </w:rPr>
        <w:t> </w:t>
      </w:r>
      <w:r>
        <w:rPr>
          <w:rFonts w:ascii="Calibri" w:hAnsi="Calibri"/>
          <w:color w:val="231F20"/>
          <w:w w:val="105"/>
          <w:sz w:val="17"/>
        </w:rPr>
        <w:t>vinculante de</w:t>
      </w:r>
      <w:r>
        <w:rPr>
          <w:rFonts w:ascii="Calibri" w:hAnsi="Calibri"/>
          <w:color w:val="231F20"/>
          <w:spacing w:val="-18"/>
          <w:w w:val="105"/>
          <w:sz w:val="17"/>
        </w:rPr>
        <w:t> </w:t>
      </w:r>
      <w:r>
        <w:rPr>
          <w:rFonts w:ascii="Calibri" w:hAnsi="Calibri"/>
          <w:color w:val="231F20"/>
          <w:w w:val="105"/>
          <w:sz w:val="17"/>
        </w:rPr>
        <w:t>una</w:t>
      </w:r>
      <w:r>
        <w:rPr>
          <w:rFonts w:ascii="Calibri" w:hAnsi="Calibri"/>
          <w:color w:val="231F20"/>
          <w:spacing w:val="-18"/>
          <w:w w:val="105"/>
          <w:sz w:val="17"/>
        </w:rPr>
        <w:t> </w:t>
      </w:r>
      <w:r>
        <w:rPr>
          <w:rFonts w:ascii="Calibri" w:hAnsi="Calibri"/>
          <w:color w:val="231F20"/>
          <w:w w:val="105"/>
          <w:sz w:val="17"/>
        </w:rPr>
        <w:t>corte</w:t>
      </w:r>
      <w:r>
        <w:rPr>
          <w:rFonts w:ascii="Calibri" w:hAnsi="Calibri"/>
          <w:color w:val="231F20"/>
          <w:spacing w:val="-18"/>
          <w:w w:val="105"/>
          <w:sz w:val="17"/>
        </w:rPr>
        <w:t> </w:t>
      </w:r>
      <w:r>
        <w:rPr>
          <w:rFonts w:ascii="Calibri" w:hAnsi="Calibri"/>
          <w:color w:val="231F20"/>
          <w:w w:val="105"/>
          <w:sz w:val="17"/>
        </w:rPr>
        <w:t>de</w:t>
      </w:r>
      <w:r>
        <w:rPr>
          <w:rFonts w:ascii="Calibri" w:hAnsi="Calibri"/>
          <w:color w:val="231F20"/>
          <w:spacing w:val="-18"/>
          <w:w w:val="105"/>
          <w:sz w:val="17"/>
        </w:rPr>
        <w:t> </w:t>
      </w:r>
      <w:r>
        <w:rPr>
          <w:rFonts w:ascii="Calibri" w:hAnsi="Calibri"/>
          <w:color w:val="231F20"/>
          <w:w w:val="105"/>
          <w:sz w:val="17"/>
        </w:rPr>
        <w:t>justicia</w:t>
      </w:r>
      <w:r>
        <w:rPr>
          <w:rFonts w:ascii="Calibri" w:hAnsi="Calibri"/>
          <w:color w:val="231F20"/>
          <w:spacing w:val="-18"/>
          <w:w w:val="105"/>
          <w:sz w:val="17"/>
        </w:rPr>
        <w:t> </w:t>
      </w:r>
      <w:r>
        <w:rPr>
          <w:rFonts w:ascii="Calibri" w:hAnsi="Calibri"/>
          <w:color w:val="231F20"/>
          <w:w w:val="105"/>
          <w:sz w:val="17"/>
        </w:rPr>
        <w:t>internacional</w:t>
      </w:r>
      <w:r>
        <w:rPr>
          <w:rFonts w:ascii="Calibri" w:hAnsi="Calibri"/>
          <w:color w:val="231F20"/>
          <w:spacing w:val="-19"/>
          <w:w w:val="105"/>
          <w:sz w:val="17"/>
        </w:rPr>
        <w:t> </w:t>
      </w:r>
      <w:r>
        <w:rPr>
          <w:rFonts w:ascii="Calibri" w:hAnsi="Calibri"/>
          <w:color w:val="231F20"/>
          <w:w w:val="105"/>
          <w:sz w:val="17"/>
        </w:rPr>
        <w:t>y</w:t>
      </w:r>
      <w:r>
        <w:rPr>
          <w:rFonts w:ascii="Calibri" w:hAnsi="Calibri"/>
          <w:color w:val="231F20"/>
          <w:spacing w:val="-18"/>
          <w:w w:val="105"/>
          <w:sz w:val="17"/>
        </w:rPr>
        <w:t> </w:t>
      </w:r>
      <w:r>
        <w:rPr>
          <w:rFonts w:ascii="Calibri" w:hAnsi="Calibri"/>
          <w:color w:val="231F20"/>
          <w:w w:val="105"/>
          <w:sz w:val="17"/>
        </w:rPr>
        <w:t>la</w:t>
      </w:r>
      <w:r>
        <w:rPr>
          <w:rFonts w:ascii="Calibri" w:hAnsi="Calibri"/>
          <w:color w:val="231F20"/>
          <w:spacing w:val="-18"/>
          <w:w w:val="105"/>
          <w:sz w:val="17"/>
        </w:rPr>
        <w:t> </w:t>
      </w:r>
      <w:r>
        <w:rPr>
          <w:rFonts w:ascii="Calibri" w:hAnsi="Calibri"/>
          <w:color w:val="231F20"/>
          <w:w w:val="105"/>
          <w:sz w:val="17"/>
        </w:rPr>
        <w:t>integración</w:t>
      </w:r>
      <w:r>
        <w:rPr>
          <w:rFonts w:ascii="Calibri" w:hAnsi="Calibri"/>
          <w:color w:val="231F20"/>
          <w:spacing w:val="-18"/>
          <w:w w:val="105"/>
          <w:sz w:val="17"/>
        </w:rPr>
        <w:t> </w:t>
      </w:r>
      <w:r>
        <w:rPr>
          <w:rFonts w:ascii="Calibri" w:hAnsi="Calibri"/>
          <w:color w:val="231F20"/>
          <w:w w:val="105"/>
          <w:sz w:val="17"/>
        </w:rPr>
        <w:t>de</w:t>
      </w:r>
      <w:r>
        <w:rPr>
          <w:rFonts w:ascii="Calibri" w:hAnsi="Calibri"/>
          <w:color w:val="231F20"/>
          <w:spacing w:val="-18"/>
          <w:w w:val="105"/>
          <w:sz w:val="17"/>
        </w:rPr>
        <w:t> </w:t>
      </w:r>
      <w:r>
        <w:rPr>
          <w:rFonts w:ascii="Calibri" w:hAnsi="Calibri"/>
          <w:color w:val="231F20"/>
          <w:w w:val="105"/>
          <w:sz w:val="17"/>
        </w:rPr>
        <w:t>la</w:t>
      </w:r>
      <w:r>
        <w:rPr>
          <w:rFonts w:ascii="Calibri" w:hAnsi="Calibri"/>
          <w:color w:val="231F20"/>
          <w:spacing w:val="-18"/>
          <w:w w:val="105"/>
          <w:sz w:val="17"/>
        </w:rPr>
        <w:t> </w:t>
      </w:r>
      <w:r>
        <w:rPr>
          <w:rFonts w:ascii="Calibri" w:hAnsi="Calibri"/>
          <w:color w:val="231F20"/>
          <w:w w:val="105"/>
          <w:sz w:val="17"/>
        </w:rPr>
        <w:t>Asamblea</w:t>
      </w:r>
      <w:r>
        <w:rPr>
          <w:rFonts w:ascii="Calibri" w:hAnsi="Calibri"/>
          <w:color w:val="231F20"/>
          <w:spacing w:val="-18"/>
          <w:w w:val="105"/>
          <w:sz w:val="17"/>
        </w:rPr>
        <w:t> </w:t>
      </w:r>
      <w:r>
        <w:rPr>
          <w:rFonts w:ascii="Calibri" w:hAnsi="Calibri"/>
          <w:color w:val="231F20"/>
          <w:w w:val="105"/>
          <w:sz w:val="17"/>
        </w:rPr>
        <w:t>general</w:t>
      </w:r>
      <w:r>
        <w:rPr>
          <w:rFonts w:ascii="Calibri" w:hAnsi="Calibri"/>
          <w:color w:val="231F20"/>
          <w:spacing w:val="-18"/>
          <w:w w:val="105"/>
          <w:sz w:val="17"/>
        </w:rPr>
        <w:t> </w:t>
      </w:r>
      <w:r>
        <w:rPr>
          <w:rFonts w:ascii="Calibri" w:hAnsi="Calibri"/>
          <w:color w:val="231F20"/>
          <w:w w:val="105"/>
          <w:sz w:val="17"/>
        </w:rPr>
        <w:t>de</w:t>
      </w:r>
      <w:r>
        <w:rPr>
          <w:rFonts w:ascii="Calibri" w:hAnsi="Calibri"/>
          <w:color w:val="231F20"/>
          <w:spacing w:val="-18"/>
          <w:w w:val="105"/>
          <w:sz w:val="17"/>
        </w:rPr>
        <w:t> </w:t>
      </w:r>
      <w:r>
        <w:rPr>
          <w:rFonts w:ascii="Calibri" w:hAnsi="Calibri"/>
          <w:color w:val="231F20"/>
          <w:w w:val="105"/>
          <w:sz w:val="17"/>
        </w:rPr>
        <w:t>los</w:t>
      </w:r>
      <w:r>
        <w:rPr>
          <w:rFonts w:ascii="Calibri" w:hAnsi="Calibri"/>
          <w:color w:val="231F20"/>
          <w:spacing w:val="-18"/>
          <w:w w:val="105"/>
          <w:sz w:val="17"/>
        </w:rPr>
        <w:t> </w:t>
      </w:r>
      <w:r>
        <w:rPr>
          <w:rFonts w:ascii="Calibri" w:hAnsi="Calibri"/>
          <w:color w:val="231F20"/>
          <w:w w:val="105"/>
          <w:sz w:val="17"/>
        </w:rPr>
        <w:t>representantes de</w:t>
      </w:r>
      <w:r>
        <w:rPr>
          <w:rFonts w:ascii="Calibri" w:hAnsi="Calibri"/>
          <w:color w:val="231F20"/>
          <w:spacing w:val="-6"/>
          <w:w w:val="105"/>
          <w:sz w:val="17"/>
        </w:rPr>
        <w:t> </w:t>
      </w:r>
      <w:r>
        <w:rPr>
          <w:rFonts w:ascii="Calibri" w:hAnsi="Calibri"/>
          <w:color w:val="231F20"/>
          <w:w w:val="105"/>
          <w:sz w:val="17"/>
        </w:rPr>
        <w:t>gobiernos</w:t>
      </w:r>
      <w:r>
        <w:rPr>
          <w:rFonts w:ascii="Calibri" w:hAnsi="Calibri"/>
          <w:color w:val="231F20"/>
          <w:spacing w:val="-6"/>
          <w:w w:val="105"/>
          <w:sz w:val="17"/>
        </w:rPr>
        <w:t> </w:t>
      </w:r>
      <w:r>
        <w:rPr>
          <w:rFonts w:ascii="Calibri" w:hAnsi="Calibri"/>
          <w:color w:val="231F20"/>
          <w:w w:val="105"/>
          <w:sz w:val="17"/>
        </w:rPr>
        <w:t>con</w:t>
      </w:r>
      <w:r>
        <w:rPr>
          <w:rFonts w:ascii="Calibri" w:hAnsi="Calibri"/>
          <w:color w:val="231F20"/>
          <w:spacing w:val="-6"/>
          <w:w w:val="105"/>
          <w:sz w:val="17"/>
        </w:rPr>
        <w:t> </w:t>
      </w:r>
      <w:r>
        <w:rPr>
          <w:rFonts w:ascii="Calibri" w:hAnsi="Calibri"/>
          <w:color w:val="231F20"/>
          <w:w w:val="105"/>
          <w:sz w:val="17"/>
        </w:rPr>
        <w:t>un</w:t>
      </w:r>
      <w:r>
        <w:rPr>
          <w:rFonts w:ascii="Calibri" w:hAnsi="Calibri"/>
          <w:color w:val="231F20"/>
          <w:spacing w:val="-6"/>
          <w:w w:val="105"/>
          <w:sz w:val="17"/>
        </w:rPr>
        <w:t> </w:t>
      </w:r>
      <w:r>
        <w:rPr>
          <w:rFonts w:ascii="Calibri" w:hAnsi="Calibri"/>
          <w:color w:val="231F20"/>
          <w:w w:val="105"/>
          <w:sz w:val="17"/>
        </w:rPr>
        <w:t>“segundo</w:t>
      </w:r>
      <w:r>
        <w:rPr>
          <w:rFonts w:ascii="Calibri" w:hAnsi="Calibri"/>
          <w:color w:val="231F20"/>
          <w:spacing w:val="-6"/>
          <w:w w:val="105"/>
          <w:sz w:val="17"/>
        </w:rPr>
        <w:t> </w:t>
      </w:r>
      <w:r>
        <w:rPr>
          <w:rFonts w:ascii="Calibri" w:hAnsi="Calibri"/>
          <w:color w:val="231F20"/>
          <w:w w:val="105"/>
          <w:sz w:val="17"/>
        </w:rPr>
        <w:t>nivel”</w:t>
      </w:r>
      <w:r>
        <w:rPr>
          <w:rFonts w:ascii="Calibri" w:hAnsi="Calibri"/>
          <w:color w:val="231F20"/>
          <w:spacing w:val="-6"/>
          <w:w w:val="105"/>
          <w:sz w:val="17"/>
        </w:rPr>
        <w:t> </w:t>
      </w:r>
      <w:r>
        <w:rPr>
          <w:rFonts w:ascii="Calibri" w:hAnsi="Calibri"/>
          <w:color w:val="231F20"/>
          <w:w w:val="105"/>
          <w:sz w:val="17"/>
        </w:rPr>
        <w:t>de</w:t>
      </w:r>
      <w:r>
        <w:rPr>
          <w:rFonts w:ascii="Calibri" w:hAnsi="Calibri"/>
          <w:color w:val="231F20"/>
          <w:spacing w:val="-6"/>
          <w:w w:val="105"/>
          <w:sz w:val="17"/>
        </w:rPr>
        <w:t> </w:t>
      </w:r>
      <w:r>
        <w:rPr>
          <w:rFonts w:ascii="Calibri" w:hAnsi="Calibri"/>
          <w:color w:val="231F20"/>
          <w:w w:val="105"/>
          <w:sz w:val="17"/>
        </w:rPr>
        <w:t>representación</w:t>
      </w:r>
      <w:r>
        <w:rPr>
          <w:rFonts w:ascii="Calibri" w:hAnsi="Calibri"/>
          <w:color w:val="231F20"/>
          <w:spacing w:val="-6"/>
          <w:w w:val="105"/>
          <w:sz w:val="17"/>
        </w:rPr>
        <w:t> </w:t>
      </w:r>
      <w:r>
        <w:rPr>
          <w:rFonts w:ascii="Calibri" w:hAnsi="Calibri"/>
          <w:color w:val="231F20"/>
          <w:w w:val="105"/>
          <w:sz w:val="17"/>
        </w:rPr>
        <w:t>de</w:t>
      </w:r>
      <w:r>
        <w:rPr>
          <w:rFonts w:ascii="Calibri" w:hAnsi="Calibri"/>
          <w:color w:val="231F20"/>
          <w:spacing w:val="-6"/>
          <w:w w:val="105"/>
          <w:sz w:val="17"/>
        </w:rPr>
        <w:t> </w:t>
      </w:r>
      <w:r>
        <w:rPr>
          <w:rFonts w:ascii="Calibri" w:hAnsi="Calibri"/>
          <w:color w:val="231F20"/>
          <w:w w:val="105"/>
          <w:sz w:val="17"/>
        </w:rPr>
        <w:t>los</w:t>
      </w:r>
      <w:r>
        <w:rPr>
          <w:rFonts w:ascii="Calibri" w:hAnsi="Calibri"/>
          <w:color w:val="231F20"/>
          <w:spacing w:val="-6"/>
          <w:w w:val="105"/>
          <w:sz w:val="17"/>
        </w:rPr>
        <w:t> </w:t>
      </w:r>
      <w:r>
        <w:rPr>
          <w:rFonts w:ascii="Calibri" w:hAnsi="Calibri"/>
          <w:color w:val="231F20"/>
          <w:w w:val="105"/>
          <w:sz w:val="17"/>
        </w:rPr>
        <w:t>ciudadanos”.</w:t>
      </w:r>
      <w:r>
        <w:rPr>
          <w:rFonts w:ascii="Calibri" w:hAnsi="Calibri"/>
          <w:color w:val="231F20"/>
          <w:spacing w:val="-6"/>
          <w:w w:val="105"/>
          <w:sz w:val="17"/>
        </w:rPr>
        <w:t> </w:t>
      </w:r>
      <w:r>
        <w:rPr>
          <w:rFonts w:ascii="Calibri" w:hAnsi="Calibri"/>
          <w:color w:val="231F20"/>
          <w:w w:val="105"/>
          <w:sz w:val="17"/>
        </w:rPr>
        <w:t>Sobre</w:t>
      </w:r>
      <w:r>
        <w:rPr>
          <w:rFonts w:ascii="Calibri" w:hAnsi="Calibri"/>
          <w:color w:val="231F20"/>
          <w:spacing w:val="-6"/>
          <w:w w:val="105"/>
          <w:sz w:val="17"/>
        </w:rPr>
        <w:t> </w:t>
      </w:r>
      <w:r>
        <w:rPr>
          <w:rFonts w:ascii="Calibri" w:hAnsi="Calibri"/>
          <w:color w:val="231F20"/>
          <w:w w:val="105"/>
          <w:sz w:val="17"/>
        </w:rPr>
        <w:t>el</w:t>
      </w:r>
      <w:r>
        <w:rPr>
          <w:rFonts w:ascii="Calibri" w:hAnsi="Calibri"/>
          <w:color w:val="231F20"/>
          <w:spacing w:val="-6"/>
          <w:w w:val="105"/>
          <w:sz w:val="17"/>
        </w:rPr>
        <w:t> </w:t>
      </w:r>
      <w:r>
        <w:rPr>
          <w:rFonts w:ascii="Calibri" w:hAnsi="Calibri"/>
          <w:color w:val="231F20"/>
          <w:w w:val="105"/>
          <w:sz w:val="17"/>
        </w:rPr>
        <w:t>tema</w:t>
      </w:r>
      <w:r>
        <w:rPr>
          <w:rFonts w:ascii="Calibri" w:hAnsi="Calibri"/>
          <w:color w:val="231F20"/>
          <w:spacing w:val="-8"/>
          <w:w w:val="105"/>
          <w:sz w:val="17"/>
        </w:rPr>
        <w:t> </w:t>
      </w:r>
      <w:r>
        <w:rPr>
          <w:rFonts w:ascii="Calibri" w:hAnsi="Calibri"/>
          <w:color w:val="231F20"/>
          <w:w w:val="105"/>
          <w:sz w:val="17"/>
        </w:rPr>
        <w:t>véase también J. Habermas, “Kants Idee des Ewigen Friedens–aus dem historischen Abstand von 200 Jahre”,</w:t>
      </w:r>
      <w:r>
        <w:rPr>
          <w:rFonts w:ascii="Calibri" w:hAnsi="Calibri"/>
          <w:color w:val="231F20"/>
          <w:spacing w:val="-17"/>
          <w:w w:val="105"/>
          <w:sz w:val="17"/>
        </w:rPr>
        <w:t> </w:t>
      </w:r>
      <w:r>
        <w:rPr>
          <w:rFonts w:ascii="Calibri" w:hAnsi="Calibri"/>
          <w:color w:val="231F20"/>
          <w:w w:val="105"/>
          <w:sz w:val="17"/>
        </w:rPr>
        <w:t>en</w:t>
      </w:r>
      <w:r>
        <w:rPr>
          <w:rFonts w:ascii="Calibri" w:hAnsi="Calibri"/>
          <w:color w:val="231F20"/>
          <w:spacing w:val="-17"/>
          <w:w w:val="105"/>
          <w:sz w:val="17"/>
        </w:rPr>
        <w:t> </w:t>
      </w:r>
      <w:r>
        <w:rPr>
          <w:rFonts w:ascii="Calibri" w:hAnsi="Calibri"/>
          <w:color w:val="231F20"/>
          <w:w w:val="105"/>
          <w:sz w:val="17"/>
        </w:rPr>
        <w:t>J.</w:t>
      </w:r>
      <w:r>
        <w:rPr>
          <w:rFonts w:ascii="Calibri" w:hAnsi="Calibri"/>
          <w:color w:val="231F20"/>
          <w:spacing w:val="-17"/>
          <w:w w:val="105"/>
          <w:sz w:val="17"/>
        </w:rPr>
        <w:t> </w:t>
      </w:r>
      <w:r>
        <w:rPr>
          <w:rFonts w:ascii="Calibri" w:hAnsi="Calibri"/>
          <w:color w:val="231F20"/>
          <w:w w:val="105"/>
          <w:sz w:val="17"/>
        </w:rPr>
        <w:t>Habermas,</w:t>
      </w:r>
      <w:r>
        <w:rPr>
          <w:rFonts w:ascii="Calibri" w:hAnsi="Calibri"/>
          <w:color w:val="231F20"/>
          <w:spacing w:val="-17"/>
          <w:w w:val="105"/>
          <w:sz w:val="17"/>
        </w:rPr>
        <w:t> </w:t>
      </w:r>
      <w:r>
        <w:rPr>
          <w:rFonts w:ascii="Calibri" w:hAnsi="Calibri"/>
          <w:i/>
          <w:color w:val="231F20"/>
          <w:w w:val="105"/>
          <w:sz w:val="17"/>
        </w:rPr>
        <w:t>Die</w:t>
      </w:r>
      <w:r>
        <w:rPr>
          <w:rFonts w:ascii="Calibri" w:hAnsi="Calibri"/>
          <w:i/>
          <w:color w:val="231F20"/>
          <w:spacing w:val="-18"/>
          <w:w w:val="105"/>
          <w:sz w:val="17"/>
        </w:rPr>
        <w:t> </w:t>
      </w:r>
      <w:r>
        <w:rPr>
          <w:rFonts w:ascii="Calibri" w:hAnsi="Calibri"/>
          <w:i/>
          <w:color w:val="231F20"/>
          <w:w w:val="105"/>
          <w:sz w:val="17"/>
        </w:rPr>
        <w:t>Einbeziehung</w:t>
      </w:r>
      <w:r>
        <w:rPr>
          <w:rFonts w:ascii="Calibri" w:hAnsi="Calibri"/>
          <w:i/>
          <w:color w:val="231F20"/>
          <w:spacing w:val="-18"/>
          <w:w w:val="105"/>
          <w:sz w:val="17"/>
        </w:rPr>
        <w:t> </w:t>
      </w:r>
      <w:r>
        <w:rPr>
          <w:rFonts w:ascii="Calibri" w:hAnsi="Calibri"/>
          <w:i/>
          <w:color w:val="231F20"/>
          <w:w w:val="105"/>
          <w:sz w:val="17"/>
        </w:rPr>
        <w:t>des</w:t>
      </w:r>
      <w:r>
        <w:rPr>
          <w:rFonts w:ascii="Calibri" w:hAnsi="Calibri"/>
          <w:i/>
          <w:color w:val="231F20"/>
          <w:spacing w:val="-18"/>
          <w:w w:val="105"/>
          <w:sz w:val="17"/>
        </w:rPr>
        <w:t> </w:t>
      </w:r>
      <w:r>
        <w:rPr>
          <w:rFonts w:ascii="Calibri" w:hAnsi="Calibri"/>
          <w:i/>
          <w:color w:val="231F20"/>
          <w:w w:val="105"/>
          <w:sz w:val="17"/>
        </w:rPr>
        <w:t>Anderen</w:t>
      </w:r>
      <w:r>
        <w:rPr>
          <w:rFonts w:ascii="Calibri" w:hAnsi="Calibri"/>
          <w:color w:val="231F20"/>
          <w:w w:val="105"/>
          <w:sz w:val="17"/>
        </w:rPr>
        <w:t>,</w:t>
      </w:r>
      <w:r>
        <w:rPr>
          <w:rFonts w:ascii="Calibri" w:hAnsi="Calibri"/>
          <w:color w:val="231F20"/>
          <w:spacing w:val="-17"/>
          <w:w w:val="105"/>
          <w:sz w:val="17"/>
        </w:rPr>
        <w:t> </w:t>
      </w:r>
      <w:r>
        <w:rPr>
          <w:rFonts w:ascii="Calibri" w:hAnsi="Calibri"/>
          <w:color w:val="231F20"/>
          <w:w w:val="105"/>
          <w:sz w:val="17"/>
        </w:rPr>
        <w:t>Frankfurt</w:t>
      </w:r>
      <w:r>
        <w:rPr>
          <w:rFonts w:ascii="Calibri" w:hAnsi="Calibri"/>
          <w:color w:val="231F20"/>
          <w:spacing w:val="-17"/>
          <w:w w:val="105"/>
          <w:sz w:val="17"/>
        </w:rPr>
        <w:t> </w:t>
      </w:r>
      <w:r>
        <w:rPr>
          <w:rFonts w:ascii="Calibri" w:hAnsi="Calibri"/>
          <w:color w:val="231F20"/>
          <w:w w:val="105"/>
          <w:sz w:val="17"/>
        </w:rPr>
        <w:t>a.</w:t>
      </w:r>
      <w:r>
        <w:rPr>
          <w:rFonts w:ascii="Calibri" w:hAnsi="Calibri"/>
          <w:color w:val="231F20"/>
          <w:spacing w:val="-17"/>
          <w:w w:val="105"/>
          <w:sz w:val="17"/>
        </w:rPr>
        <w:t> </w:t>
      </w:r>
      <w:r>
        <w:rPr>
          <w:rFonts w:ascii="Calibri" w:hAnsi="Calibri"/>
          <w:color w:val="231F20"/>
          <w:w w:val="105"/>
          <w:sz w:val="17"/>
        </w:rPr>
        <w:t>Main,</w:t>
      </w:r>
      <w:r>
        <w:rPr>
          <w:rFonts w:ascii="Calibri" w:hAnsi="Calibri"/>
          <w:color w:val="231F20"/>
          <w:spacing w:val="-17"/>
          <w:w w:val="105"/>
          <w:sz w:val="17"/>
        </w:rPr>
        <w:t> </w:t>
      </w:r>
      <w:r>
        <w:rPr>
          <w:rFonts w:ascii="Calibri" w:hAnsi="Calibri"/>
          <w:color w:val="231F20"/>
          <w:w w:val="105"/>
          <w:sz w:val="17"/>
        </w:rPr>
        <w:t>Suhrkamp,</w:t>
      </w:r>
      <w:r>
        <w:rPr>
          <w:rFonts w:ascii="Calibri" w:hAnsi="Calibri"/>
          <w:color w:val="231F20"/>
          <w:spacing w:val="-17"/>
          <w:w w:val="105"/>
          <w:sz w:val="17"/>
        </w:rPr>
        <w:t> </w:t>
      </w:r>
      <w:r>
        <w:rPr>
          <w:rFonts w:ascii="Calibri" w:hAnsi="Calibri"/>
          <w:color w:val="231F20"/>
          <w:w w:val="105"/>
          <w:sz w:val="17"/>
        </w:rPr>
        <w:t>1996</w:t>
      </w:r>
      <w:r>
        <w:rPr>
          <w:rFonts w:ascii="Calibri" w:hAnsi="Calibri"/>
          <w:color w:val="231F20"/>
          <w:spacing w:val="-17"/>
          <w:w w:val="105"/>
          <w:sz w:val="17"/>
        </w:rPr>
        <w:t> </w:t>
      </w:r>
      <w:r>
        <w:rPr>
          <w:rFonts w:ascii="Calibri" w:hAnsi="Calibri"/>
          <w:color w:val="231F20"/>
          <w:w w:val="105"/>
          <w:sz w:val="17"/>
        </w:rPr>
        <w:t>(trad.</w:t>
      </w:r>
      <w:r>
        <w:rPr>
          <w:rFonts w:ascii="Calibri" w:hAnsi="Calibri"/>
          <w:color w:val="231F20"/>
          <w:spacing w:val="-17"/>
          <w:w w:val="105"/>
          <w:sz w:val="17"/>
        </w:rPr>
        <w:t> </w:t>
      </w:r>
      <w:r>
        <w:rPr>
          <w:rFonts w:ascii="Calibri" w:hAnsi="Calibri"/>
          <w:color w:val="231F20"/>
          <w:w w:val="105"/>
          <w:sz w:val="17"/>
        </w:rPr>
        <w:t>it. </w:t>
      </w:r>
      <w:r>
        <w:rPr>
          <w:rFonts w:ascii="Calibri" w:hAnsi="Calibri"/>
          <w:i/>
          <w:color w:val="231F20"/>
          <w:spacing w:val="-4"/>
          <w:w w:val="105"/>
          <w:sz w:val="17"/>
        </w:rPr>
        <w:t>L’idea</w:t>
      </w:r>
      <w:r>
        <w:rPr>
          <w:rFonts w:ascii="Calibri" w:hAnsi="Calibri"/>
          <w:i/>
          <w:color w:val="231F20"/>
          <w:spacing w:val="-17"/>
          <w:w w:val="105"/>
          <w:sz w:val="17"/>
        </w:rPr>
        <w:t> </w:t>
      </w:r>
      <w:r>
        <w:rPr>
          <w:rFonts w:ascii="Calibri" w:hAnsi="Calibri"/>
          <w:i/>
          <w:color w:val="231F20"/>
          <w:w w:val="105"/>
          <w:sz w:val="17"/>
        </w:rPr>
        <w:t>kantiana</w:t>
      </w:r>
      <w:r>
        <w:rPr>
          <w:rFonts w:ascii="Calibri" w:hAnsi="Calibri"/>
          <w:i/>
          <w:color w:val="231F20"/>
          <w:spacing w:val="-17"/>
          <w:w w:val="105"/>
          <w:sz w:val="17"/>
        </w:rPr>
        <w:t> </w:t>
      </w:r>
      <w:r>
        <w:rPr>
          <w:rFonts w:ascii="Calibri" w:hAnsi="Calibri"/>
          <w:i/>
          <w:color w:val="231F20"/>
          <w:w w:val="105"/>
          <w:sz w:val="17"/>
        </w:rPr>
        <w:t>della</w:t>
      </w:r>
      <w:r>
        <w:rPr>
          <w:rFonts w:ascii="Calibri" w:hAnsi="Calibri"/>
          <w:i/>
          <w:color w:val="231F20"/>
          <w:spacing w:val="-17"/>
          <w:w w:val="105"/>
          <w:sz w:val="17"/>
        </w:rPr>
        <w:t> </w:t>
      </w:r>
      <w:r>
        <w:rPr>
          <w:rFonts w:ascii="Calibri" w:hAnsi="Calibri"/>
          <w:i/>
          <w:color w:val="231F20"/>
          <w:w w:val="105"/>
          <w:sz w:val="17"/>
        </w:rPr>
        <w:t>pace</w:t>
      </w:r>
      <w:r>
        <w:rPr>
          <w:rFonts w:ascii="Calibri" w:hAnsi="Calibri"/>
          <w:i/>
          <w:color w:val="231F20"/>
          <w:spacing w:val="-17"/>
          <w:w w:val="105"/>
          <w:sz w:val="17"/>
        </w:rPr>
        <w:t> </w:t>
      </w:r>
      <w:r>
        <w:rPr>
          <w:rFonts w:ascii="Calibri" w:hAnsi="Calibri"/>
          <w:i/>
          <w:color w:val="231F20"/>
          <w:w w:val="105"/>
          <w:sz w:val="17"/>
        </w:rPr>
        <w:t>perpetua,</w:t>
      </w:r>
      <w:r>
        <w:rPr>
          <w:rFonts w:ascii="Calibri" w:hAnsi="Calibri"/>
          <w:i/>
          <w:color w:val="231F20"/>
          <w:spacing w:val="-17"/>
          <w:w w:val="105"/>
          <w:sz w:val="17"/>
        </w:rPr>
        <w:t> </w:t>
      </w:r>
      <w:r>
        <w:rPr>
          <w:rFonts w:ascii="Calibri" w:hAnsi="Calibri"/>
          <w:i/>
          <w:color w:val="231F20"/>
          <w:w w:val="105"/>
          <w:sz w:val="17"/>
        </w:rPr>
        <w:t>due</w:t>
      </w:r>
      <w:r>
        <w:rPr>
          <w:rFonts w:ascii="Calibri" w:hAnsi="Calibri"/>
          <w:i/>
          <w:color w:val="231F20"/>
          <w:spacing w:val="-17"/>
          <w:w w:val="105"/>
          <w:sz w:val="17"/>
        </w:rPr>
        <w:t> </w:t>
      </w:r>
      <w:r>
        <w:rPr>
          <w:rFonts w:ascii="Calibri" w:hAnsi="Calibri"/>
          <w:i/>
          <w:color w:val="231F20"/>
          <w:w w:val="105"/>
          <w:sz w:val="17"/>
        </w:rPr>
        <w:t>secoli</w:t>
      </w:r>
      <w:r>
        <w:rPr>
          <w:rFonts w:ascii="Calibri" w:hAnsi="Calibri"/>
          <w:i/>
          <w:color w:val="231F20"/>
          <w:spacing w:val="-17"/>
          <w:w w:val="105"/>
          <w:sz w:val="17"/>
        </w:rPr>
        <w:t> </w:t>
      </w:r>
      <w:r>
        <w:rPr>
          <w:rFonts w:ascii="Calibri" w:hAnsi="Calibri"/>
          <w:i/>
          <w:color w:val="231F20"/>
          <w:w w:val="105"/>
          <w:sz w:val="17"/>
        </w:rPr>
        <w:t>dopo</w:t>
      </w:r>
      <w:r>
        <w:rPr>
          <w:rFonts w:ascii="Calibri" w:hAnsi="Calibri"/>
          <w:color w:val="231F20"/>
          <w:w w:val="105"/>
          <w:sz w:val="17"/>
        </w:rPr>
        <w:t>,</w:t>
      </w:r>
      <w:r>
        <w:rPr>
          <w:rFonts w:ascii="Calibri" w:hAnsi="Calibri"/>
          <w:color w:val="231F20"/>
          <w:spacing w:val="-17"/>
          <w:w w:val="105"/>
          <w:sz w:val="17"/>
        </w:rPr>
        <w:t> </w:t>
      </w:r>
      <w:r>
        <w:rPr>
          <w:rFonts w:ascii="Calibri" w:hAnsi="Calibri"/>
          <w:color w:val="231F20"/>
          <w:w w:val="105"/>
          <w:sz w:val="17"/>
        </w:rPr>
        <w:t>en</w:t>
      </w:r>
      <w:r>
        <w:rPr>
          <w:rFonts w:ascii="Calibri" w:hAnsi="Calibri"/>
          <w:color w:val="231F20"/>
          <w:spacing w:val="-17"/>
          <w:w w:val="105"/>
          <w:sz w:val="17"/>
        </w:rPr>
        <w:t> </w:t>
      </w:r>
      <w:r>
        <w:rPr>
          <w:rFonts w:ascii="Calibri" w:hAnsi="Calibri"/>
          <w:color w:val="231F20"/>
          <w:w w:val="105"/>
          <w:sz w:val="17"/>
        </w:rPr>
        <w:t>Idem,</w:t>
      </w:r>
      <w:r>
        <w:rPr>
          <w:rFonts w:ascii="Calibri" w:hAnsi="Calibri"/>
          <w:color w:val="231F20"/>
          <w:spacing w:val="-17"/>
          <w:w w:val="105"/>
          <w:sz w:val="17"/>
        </w:rPr>
        <w:t> </w:t>
      </w:r>
      <w:r>
        <w:rPr>
          <w:rFonts w:ascii="Calibri" w:hAnsi="Calibri"/>
          <w:i/>
          <w:color w:val="231F20"/>
          <w:w w:val="105"/>
          <w:sz w:val="17"/>
        </w:rPr>
        <w:t>L’inclusione</w:t>
      </w:r>
      <w:r>
        <w:rPr>
          <w:rFonts w:ascii="Calibri" w:hAnsi="Calibri"/>
          <w:i/>
          <w:color w:val="231F20"/>
          <w:spacing w:val="-17"/>
          <w:w w:val="105"/>
          <w:sz w:val="17"/>
        </w:rPr>
        <w:t> </w:t>
      </w:r>
      <w:r>
        <w:rPr>
          <w:rFonts w:ascii="Calibri" w:hAnsi="Calibri"/>
          <w:i/>
          <w:color w:val="231F20"/>
          <w:w w:val="105"/>
          <w:sz w:val="17"/>
        </w:rPr>
        <w:t>dell’altro.</w:t>
      </w:r>
      <w:r>
        <w:rPr>
          <w:rFonts w:ascii="Calibri" w:hAnsi="Calibri"/>
          <w:i/>
          <w:color w:val="231F20"/>
          <w:spacing w:val="-17"/>
          <w:w w:val="105"/>
          <w:sz w:val="17"/>
        </w:rPr>
        <w:t> </w:t>
      </w:r>
      <w:r>
        <w:rPr>
          <w:rFonts w:ascii="Calibri" w:hAnsi="Calibri"/>
          <w:i/>
          <w:color w:val="231F20"/>
          <w:w w:val="105"/>
          <w:sz w:val="17"/>
        </w:rPr>
        <w:t>Studi</w:t>
      </w:r>
      <w:r>
        <w:rPr>
          <w:rFonts w:ascii="Calibri" w:hAnsi="Calibri"/>
          <w:i/>
          <w:color w:val="231F20"/>
          <w:spacing w:val="-17"/>
          <w:w w:val="105"/>
          <w:sz w:val="17"/>
        </w:rPr>
        <w:t> </w:t>
      </w:r>
      <w:r>
        <w:rPr>
          <w:rFonts w:ascii="Calibri" w:hAnsi="Calibri"/>
          <w:i/>
          <w:color w:val="231F20"/>
          <w:w w:val="105"/>
          <w:sz w:val="17"/>
        </w:rPr>
        <w:t>di</w:t>
      </w:r>
      <w:r>
        <w:rPr>
          <w:rFonts w:ascii="Calibri" w:hAnsi="Calibri"/>
          <w:i/>
          <w:color w:val="231F20"/>
          <w:spacing w:val="-17"/>
          <w:w w:val="105"/>
          <w:sz w:val="17"/>
        </w:rPr>
        <w:t> </w:t>
      </w:r>
      <w:r>
        <w:rPr>
          <w:rFonts w:ascii="Calibri" w:hAnsi="Calibri"/>
          <w:i/>
          <w:color w:val="231F20"/>
          <w:w w:val="105"/>
          <w:sz w:val="17"/>
        </w:rPr>
        <w:t>teoria </w:t>
      </w:r>
      <w:r>
        <w:rPr>
          <w:rFonts w:ascii="Calibri" w:hAnsi="Calibri"/>
          <w:i/>
          <w:color w:val="231F20"/>
          <w:sz w:val="17"/>
        </w:rPr>
        <w:t>politica</w:t>
      </w:r>
      <w:r>
        <w:rPr>
          <w:rFonts w:ascii="Calibri" w:hAnsi="Calibri"/>
          <w:color w:val="231F20"/>
          <w:sz w:val="17"/>
        </w:rPr>
        <w:t>,</w:t>
      </w:r>
      <w:r>
        <w:rPr>
          <w:rFonts w:ascii="Calibri" w:hAnsi="Calibri"/>
          <w:color w:val="231F20"/>
          <w:spacing w:val="-14"/>
          <w:sz w:val="17"/>
        </w:rPr>
        <w:t> </w:t>
      </w:r>
      <w:r>
        <w:rPr>
          <w:rFonts w:ascii="Calibri" w:hAnsi="Calibri"/>
          <w:color w:val="231F20"/>
          <w:sz w:val="17"/>
        </w:rPr>
        <w:t>Milano,</w:t>
      </w:r>
      <w:r>
        <w:rPr>
          <w:rFonts w:ascii="Calibri" w:hAnsi="Calibri"/>
          <w:color w:val="231F20"/>
          <w:spacing w:val="-14"/>
          <w:sz w:val="17"/>
        </w:rPr>
        <w:t> </w:t>
      </w:r>
      <w:r>
        <w:rPr>
          <w:rFonts w:ascii="Calibri" w:hAnsi="Calibri"/>
          <w:color w:val="231F20"/>
          <w:sz w:val="17"/>
        </w:rPr>
        <w:t>Feltrinelli,</w:t>
      </w:r>
      <w:r>
        <w:rPr>
          <w:rFonts w:ascii="Calibri" w:hAnsi="Calibri"/>
          <w:color w:val="231F20"/>
          <w:spacing w:val="-14"/>
          <w:sz w:val="17"/>
        </w:rPr>
        <w:t> </w:t>
      </w:r>
      <w:r>
        <w:rPr>
          <w:rFonts w:ascii="Calibri" w:hAnsi="Calibri"/>
          <w:color w:val="231F20"/>
          <w:sz w:val="17"/>
        </w:rPr>
        <w:t>Milano,</w:t>
      </w:r>
      <w:r>
        <w:rPr>
          <w:rFonts w:ascii="Calibri" w:hAnsi="Calibri"/>
          <w:color w:val="231F20"/>
          <w:spacing w:val="-14"/>
          <w:sz w:val="17"/>
        </w:rPr>
        <w:t> </w:t>
      </w:r>
      <w:r>
        <w:rPr>
          <w:rFonts w:ascii="Calibri" w:hAnsi="Calibri"/>
          <w:color w:val="231F20"/>
          <w:sz w:val="17"/>
        </w:rPr>
        <w:t>1998,</w:t>
      </w:r>
      <w:r>
        <w:rPr>
          <w:rFonts w:ascii="Calibri" w:hAnsi="Calibri"/>
          <w:color w:val="231F20"/>
          <w:spacing w:val="-14"/>
          <w:sz w:val="17"/>
        </w:rPr>
        <w:t> </w:t>
      </w:r>
      <w:r>
        <w:rPr>
          <w:rFonts w:ascii="Calibri" w:hAnsi="Calibri"/>
          <w:color w:val="231F20"/>
          <w:sz w:val="17"/>
        </w:rPr>
        <w:t>pp.</w:t>
      </w:r>
      <w:r>
        <w:rPr>
          <w:rFonts w:ascii="Calibri" w:hAnsi="Calibri"/>
          <w:color w:val="231F20"/>
          <w:spacing w:val="-14"/>
          <w:sz w:val="17"/>
        </w:rPr>
        <w:t> </w:t>
      </w:r>
      <w:r>
        <w:rPr>
          <w:rFonts w:ascii="Calibri" w:hAnsi="Calibri"/>
          <w:color w:val="231F20"/>
          <w:sz w:val="17"/>
        </w:rPr>
        <w:t>177–178).</w:t>
      </w:r>
    </w:p>
    <w:p>
      <w:pPr>
        <w:spacing w:line="204" w:lineRule="exact" w:before="0"/>
        <w:ind w:left="103" w:right="115" w:firstLine="0"/>
        <w:jc w:val="both"/>
        <w:rPr>
          <w:rFonts w:ascii="Calibri"/>
          <w:sz w:val="17"/>
        </w:rPr>
      </w:pPr>
      <w:r>
        <w:rPr>
          <w:rFonts w:ascii="Calibri"/>
          <w:color w:val="231F20"/>
          <w:position w:val="6"/>
          <w:sz w:val="10"/>
        </w:rPr>
        <w:t>37 </w:t>
      </w:r>
      <w:r>
        <w:rPr>
          <w:rFonts w:ascii="Calibri"/>
          <w:color w:val="231F20"/>
          <w:sz w:val="17"/>
        </w:rPr>
        <w:t>N. Chomsky, </w:t>
      </w:r>
      <w:r>
        <w:rPr>
          <w:rFonts w:ascii="Calibri"/>
          <w:i/>
          <w:color w:val="231F20"/>
          <w:sz w:val="17"/>
        </w:rPr>
        <w:t>The New Military Humanism: Lessons from Kosovo</w:t>
      </w:r>
      <w:r>
        <w:rPr>
          <w:rFonts w:ascii="Calibri"/>
          <w:color w:val="231F20"/>
          <w:sz w:val="17"/>
        </w:rPr>
        <w:t>, London, Pluto, 1999 (trad. it. </w:t>
      </w:r>
      <w:r>
        <w:rPr>
          <w:rFonts w:ascii="Calibri"/>
          <w:i/>
          <w:color w:val="231F20"/>
          <w:sz w:val="17"/>
        </w:rPr>
        <w:t>Il </w:t>
      </w:r>
      <w:r>
        <w:rPr>
          <w:rFonts w:ascii="Calibri"/>
          <w:i/>
          <w:color w:val="231F20"/>
          <w:sz w:val="17"/>
        </w:rPr>
        <w:t>nuovo umanesimo militare. Lezioni dal Kosovo</w:t>
      </w:r>
      <w:r>
        <w:rPr>
          <w:rFonts w:ascii="Calibri"/>
          <w:color w:val="231F20"/>
          <w:sz w:val="17"/>
        </w:rPr>
        <w:t>, Trieste, Asterios, 2000).</w:t>
      </w:r>
    </w:p>
    <w:p>
      <w:pPr>
        <w:spacing w:line="204" w:lineRule="exact" w:before="0"/>
        <w:ind w:left="103" w:right="115" w:firstLine="0"/>
        <w:jc w:val="both"/>
        <w:rPr>
          <w:rFonts w:ascii="Calibri" w:hAnsi="Calibri"/>
          <w:sz w:val="17"/>
        </w:rPr>
      </w:pPr>
      <w:r>
        <w:rPr>
          <w:rFonts w:ascii="Calibri" w:hAnsi="Calibri"/>
          <w:color w:val="231F20"/>
          <w:position w:val="6"/>
          <w:sz w:val="10"/>
        </w:rPr>
        <w:t>38 </w:t>
      </w:r>
      <w:r>
        <w:rPr>
          <w:rFonts w:ascii="Calibri" w:hAnsi="Calibri"/>
          <w:color w:val="231F20"/>
          <w:sz w:val="17"/>
        </w:rPr>
        <w:t>J. M. Welsch, “Taking Consequences Seriously: Objections to Humanitarian Intervention”, J. M. Welsch (Ed.), </w:t>
      </w:r>
      <w:r>
        <w:rPr>
          <w:rFonts w:ascii="Calibri" w:hAnsi="Calibri"/>
          <w:i/>
          <w:color w:val="231F20"/>
          <w:sz w:val="17"/>
        </w:rPr>
        <w:t>Humanitarian Intervention and International Relations</w:t>
      </w:r>
      <w:r>
        <w:rPr>
          <w:rFonts w:ascii="Calibri" w:hAnsi="Calibri"/>
          <w:color w:val="231F20"/>
          <w:sz w:val="17"/>
        </w:rPr>
        <w:t>, Oxford, UP. 2004, pp. 64–65. Para una radical version postcolonial de la aproximación pluralista véase M. Ayoob, “Inequality and Theorizing in International Relations: The Case for Subaltern Realism”, </w:t>
      </w:r>
      <w:r>
        <w:rPr>
          <w:rFonts w:ascii="Calibri" w:hAnsi="Calibri"/>
          <w:i/>
          <w:color w:val="231F20"/>
          <w:sz w:val="17"/>
        </w:rPr>
        <w:t>International Studies Review</w:t>
      </w:r>
      <w:r>
        <w:rPr>
          <w:rFonts w:ascii="Calibri" w:hAnsi="Calibri"/>
          <w:color w:val="231F20"/>
          <w:sz w:val="17"/>
        </w:rPr>
        <w:t>, vol. 4, 3, 2002, pp. 27–48.</w:t>
      </w:r>
    </w:p>
    <w:p>
      <w:pPr>
        <w:spacing w:line="204" w:lineRule="exact" w:before="0"/>
        <w:ind w:left="103" w:right="114" w:firstLine="0"/>
        <w:jc w:val="both"/>
        <w:rPr>
          <w:rFonts w:ascii="Calibri" w:hAnsi="Calibri"/>
          <w:sz w:val="17"/>
        </w:rPr>
      </w:pPr>
      <w:r>
        <w:rPr>
          <w:rFonts w:ascii="Calibri" w:hAnsi="Calibri"/>
          <w:color w:val="231F20"/>
          <w:w w:val="105"/>
          <w:position w:val="6"/>
          <w:sz w:val="10"/>
        </w:rPr>
        <w:t>39</w:t>
      </w:r>
      <w:r>
        <w:rPr>
          <w:rFonts w:ascii="Calibri" w:hAnsi="Calibri"/>
          <w:color w:val="231F20"/>
          <w:spacing w:val="6"/>
          <w:w w:val="105"/>
          <w:position w:val="6"/>
          <w:sz w:val="10"/>
        </w:rPr>
        <w:t> </w:t>
      </w:r>
      <w:r>
        <w:rPr>
          <w:rFonts w:ascii="Calibri" w:hAnsi="Calibri"/>
          <w:color w:val="231F20"/>
          <w:w w:val="105"/>
          <w:sz w:val="17"/>
        </w:rPr>
        <w:t>Zolo,</w:t>
      </w:r>
      <w:r>
        <w:rPr>
          <w:rFonts w:ascii="Calibri" w:hAnsi="Calibri"/>
          <w:color w:val="231F20"/>
          <w:spacing w:val="-11"/>
          <w:w w:val="105"/>
          <w:sz w:val="17"/>
        </w:rPr>
        <w:t> </w:t>
      </w:r>
      <w:r>
        <w:rPr>
          <w:rFonts w:ascii="Calibri" w:hAnsi="Calibri"/>
          <w:i/>
          <w:color w:val="231F20"/>
          <w:w w:val="105"/>
          <w:sz w:val="17"/>
        </w:rPr>
        <w:t>La</w:t>
      </w:r>
      <w:r>
        <w:rPr>
          <w:rFonts w:ascii="Calibri" w:hAnsi="Calibri"/>
          <w:i/>
          <w:color w:val="231F20"/>
          <w:spacing w:val="-11"/>
          <w:w w:val="105"/>
          <w:sz w:val="17"/>
        </w:rPr>
        <w:t> </w:t>
      </w:r>
      <w:r>
        <w:rPr>
          <w:rFonts w:ascii="Calibri" w:hAnsi="Calibri"/>
          <w:i/>
          <w:color w:val="231F20"/>
          <w:w w:val="105"/>
          <w:sz w:val="17"/>
        </w:rPr>
        <w:t>giustizia</w:t>
      </w:r>
      <w:r>
        <w:rPr>
          <w:rFonts w:ascii="Calibri" w:hAnsi="Calibri"/>
          <w:i/>
          <w:color w:val="231F20"/>
          <w:spacing w:val="-11"/>
          <w:w w:val="105"/>
          <w:sz w:val="17"/>
        </w:rPr>
        <w:t> </w:t>
      </w:r>
      <w:r>
        <w:rPr>
          <w:rFonts w:ascii="Calibri" w:hAnsi="Calibri"/>
          <w:i/>
          <w:color w:val="231F20"/>
          <w:w w:val="105"/>
          <w:sz w:val="17"/>
        </w:rPr>
        <w:t>dei</w:t>
      </w:r>
      <w:r>
        <w:rPr>
          <w:rFonts w:ascii="Calibri" w:hAnsi="Calibri"/>
          <w:i/>
          <w:color w:val="231F20"/>
          <w:spacing w:val="-14"/>
          <w:w w:val="105"/>
          <w:sz w:val="17"/>
        </w:rPr>
        <w:t> </w:t>
      </w:r>
      <w:r>
        <w:rPr>
          <w:rFonts w:ascii="Calibri" w:hAnsi="Calibri"/>
          <w:i/>
          <w:color w:val="231F20"/>
          <w:w w:val="105"/>
          <w:sz w:val="17"/>
        </w:rPr>
        <w:t>vincitori</w:t>
      </w:r>
      <w:r>
        <w:rPr>
          <w:rFonts w:ascii="Calibri" w:hAnsi="Calibri"/>
          <w:color w:val="231F20"/>
          <w:w w:val="105"/>
          <w:sz w:val="17"/>
        </w:rPr>
        <w:t>,</w:t>
      </w:r>
      <w:r>
        <w:rPr>
          <w:rFonts w:ascii="Calibri" w:hAnsi="Calibri"/>
          <w:color w:val="231F20"/>
          <w:spacing w:val="-11"/>
          <w:w w:val="105"/>
          <w:sz w:val="17"/>
        </w:rPr>
        <w:t> </w:t>
      </w:r>
      <w:r>
        <w:rPr>
          <w:rFonts w:ascii="Calibri" w:hAnsi="Calibri"/>
          <w:color w:val="231F20"/>
          <w:w w:val="105"/>
          <w:sz w:val="17"/>
        </w:rPr>
        <w:t>p.</w:t>
      </w:r>
      <w:r>
        <w:rPr>
          <w:rFonts w:ascii="Calibri" w:hAnsi="Calibri"/>
          <w:color w:val="231F20"/>
          <w:spacing w:val="-11"/>
          <w:w w:val="105"/>
          <w:sz w:val="17"/>
        </w:rPr>
        <w:t> </w:t>
      </w:r>
      <w:r>
        <w:rPr>
          <w:rFonts w:ascii="Calibri" w:hAnsi="Calibri"/>
          <w:color w:val="231F20"/>
          <w:w w:val="105"/>
          <w:sz w:val="17"/>
        </w:rPr>
        <w:t>66.</w:t>
      </w:r>
      <w:r>
        <w:rPr>
          <w:rFonts w:ascii="Calibri" w:hAnsi="Calibri"/>
          <w:color w:val="231F20"/>
          <w:spacing w:val="-11"/>
          <w:w w:val="105"/>
          <w:sz w:val="17"/>
        </w:rPr>
        <w:t> </w:t>
      </w:r>
      <w:r>
        <w:rPr>
          <w:rFonts w:ascii="Calibri" w:hAnsi="Calibri"/>
          <w:color w:val="231F20"/>
          <w:w w:val="105"/>
          <w:sz w:val="17"/>
        </w:rPr>
        <w:t>Como</w:t>
      </w:r>
      <w:r>
        <w:rPr>
          <w:rFonts w:ascii="Calibri" w:hAnsi="Calibri"/>
          <w:color w:val="231F20"/>
          <w:spacing w:val="-11"/>
          <w:w w:val="105"/>
          <w:sz w:val="17"/>
        </w:rPr>
        <w:t> </w:t>
      </w:r>
      <w:r>
        <w:rPr>
          <w:rFonts w:ascii="Calibri" w:hAnsi="Calibri"/>
          <w:color w:val="231F20"/>
          <w:w w:val="105"/>
          <w:sz w:val="17"/>
        </w:rPr>
        <w:t>es</w:t>
      </w:r>
      <w:r>
        <w:rPr>
          <w:rFonts w:ascii="Calibri" w:hAnsi="Calibri"/>
          <w:color w:val="231F20"/>
          <w:spacing w:val="-11"/>
          <w:w w:val="105"/>
          <w:sz w:val="17"/>
        </w:rPr>
        <w:t> </w:t>
      </w:r>
      <w:r>
        <w:rPr>
          <w:rFonts w:ascii="Calibri" w:hAnsi="Calibri"/>
          <w:color w:val="231F20"/>
          <w:w w:val="105"/>
          <w:sz w:val="17"/>
        </w:rPr>
        <w:t>evidente,</w:t>
      </w:r>
      <w:r>
        <w:rPr>
          <w:rFonts w:ascii="Calibri" w:hAnsi="Calibri"/>
          <w:color w:val="231F20"/>
          <w:spacing w:val="-11"/>
          <w:w w:val="105"/>
          <w:sz w:val="17"/>
        </w:rPr>
        <w:t> </w:t>
      </w:r>
      <w:r>
        <w:rPr>
          <w:rFonts w:ascii="Calibri" w:hAnsi="Calibri"/>
          <w:color w:val="231F20"/>
          <w:w w:val="105"/>
          <w:sz w:val="17"/>
        </w:rPr>
        <w:t>en</w:t>
      </w:r>
      <w:r>
        <w:rPr>
          <w:rFonts w:ascii="Calibri" w:hAnsi="Calibri"/>
          <w:color w:val="231F20"/>
          <w:spacing w:val="-11"/>
          <w:w w:val="105"/>
          <w:sz w:val="17"/>
        </w:rPr>
        <w:t> </w:t>
      </w:r>
      <w:r>
        <w:rPr>
          <w:rFonts w:ascii="Calibri" w:hAnsi="Calibri"/>
          <w:color w:val="231F20"/>
          <w:w w:val="105"/>
          <w:sz w:val="17"/>
        </w:rPr>
        <w:t>este</w:t>
      </w:r>
      <w:r>
        <w:rPr>
          <w:rFonts w:ascii="Calibri" w:hAnsi="Calibri"/>
          <w:color w:val="231F20"/>
          <w:spacing w:val="-11"/>
          <w:w w:val="105"/>
          <w:sz w:val="17"/>
        </w:rPr>
        <w:t> </w:t>
      </w:r>
      <w:r>
        <w:rPr>
          <w:rFonts w:ascii="Calibri" w:hAnsi="Calibri"/>
          <w:color w:val="231F20"/>
          <w:w w:val="105"/>
          <w:sz w:val="17"/>
        </w:rPr>
        <w:t>nivel</w:t>
      </w:r>
      <w:r>
        <w:rPr>
          <w:rFonts w:ascii="Calibri" w:hAnsi="Calibri"/>
          <w:color w:val="231F20"/>
          <w:spacing w:val="-11"/>
          <w:w w:val="105"/>
          <w:sz w:val="17"/>
        </w:rPr>
        <w:t> </w:t>
      </w:r>
      <w:r>
        <w:rPr>
          <w:rFonts w:ascii="Calibri" w:hAnsi="Calibri"/>
          <w:color w:val="231F20"/>
          <w:w w:val="105"/>
          <w:sz w:val="17"/>
        </w:rPr>
        <w:t>los</w:t>
      </w:r>
      <w:r>
        <w:rPr>
          <w:rFonts w:ascii="Calibri" w:hAnsi="Calibri"/>
          <w:color w:val="231F20"/>
          <w:spacing w:val="-11"/>
          <w:w w:val="105"/>
          <w:sz w:val="17"/>
        </w:rPr>
        <w:t> </w:t>
      </w:r>
      <w:r>
        <w:rPr>
          <w:rFonts w:ascii="Calibri" w:hAnsi="Calibri"/>
          <w:color w:val="231F20"/>
          <w:w w:val="105"/>
          <w:sz w:val="17"/>
        </w:rPr>
        <w:t>dilemas</w:t>
      </w:r>
      <w:r>
        <w:rPr>
          <w:rFonts w:ascii="Calibri" w:hAnsi="Calibri"/>
          <w:color w:val="231F20"/>
          <w:spacing w:val="-11"/>
          <w:w w:val="105"/>
          <w:sz w:val="17"/>
        </w:rPr>
        <w:t> </w:t>
      </w:r>
      <w:r>
        <w:rPr>
          <w:rFonts w:ascii="Calibri" w:hAnsi="Calibri"/>
          <w:color w:val="231F20"/>
          <w:w w:val="105"/>
          <w:sz w:val="17"/>
        </w:rPr>
        <w:t>del</w:t>
      </w:r>
      <w:r>
        <w:rPr>
          <w:rFonts w:ascii="Calibri" w:hAnsi="Calibri"/>
          <w:color w:val="231F20"/>
          <w:spacing w:val="-11"/>
          <w:w w:val="105"/>
          <w:sz w:val="17"/>
        </w:rPr>
        <w:t> </w:t>
      </w:r>
      <w:r>
        <w:rPr>
          <w:rFonts w:ascii="Calibri" w:hAnsi="Calibri"/>
          <w:color w:val="231F20"/>
          <w:w w:val="105"/>
          <w:sz w:val="17"/>
        </w:rPr>
        <w:t>intervencio- nismo</w:t>
      </w:r>
      <w:r>
        <w:rPr>
          <w:rFonts w:ascii="Calibri" w:hAnsi="Calibri"/>
          <w:color w:val="231F20"/>
          <w:spacing w:val="-4"/>
          <w:w w:val="105"/>
          <w:sz w:val="17"/>
        </w:rPr>
        <w:t> </w:t>
      </w:r>
      <w:r>
        <w:rPr>
          <w:rFonts w:ascii="Calibri" w:hAnsi="Calibri"/>
          <w:color w:val="231F20"/>
          <w:w w:val="105"/>
          <w:sz w:val="17"/>
        </w:rPr>
        <w:t>humanitario</w:t>
      </w:r>
      <w:r>
        <w:rPr>
          <w:rFonts w:ascii="Calibri" w:hAnsi="Calibri"/>
          <w:color w:val="231F20"/>
          <w:spacing w:val="-4"/>
          <w:w w:val="105"/>
          <w:sz w:val="17"/>
        </w:rPr>
        <w:t> </w:t>
      </w:r>
      <w:r>
        <w:rPr>
          <w:rFonts w:ascii="Calibri" w:hAnsi="Calibri"/>
          <w:color w:val="231F20"/>
          <w:w w:val="105"/>
          <w:sz w:val="17"/>
        </w:rPr>
        <w:t>se</w:t>
      </w:r>
      <w:r>
        <w:rPr>
          <w:rFonts w:ascii="Calibri" w:hAnsi="Calibri"/>
          <w:color w:val="231F20"/>
          <w:spacing w:val="-4"/>
          <w:w w:val="105"/>
          <w:sz w:val="17"/>
        </w:rPr>
        <w:t> </w:t>
      </w:r>
      <w:r>
        <w:rPr>
          <w:rFonts w:ascii="Calibri" w:hAnsi="Calibri"/>
          <w:color w:val="231F20"/>
          <w:w w:val="105"/>
          <w:sz w:val="17"/>
        </w:rPr>
        <w:t>entrelazan</w:t>
      </w:r>
      <w:r>
        <w:rPr>
          <w:rFonts w:ascii="Calibri" w:hAnsi="Calibri"/>
          <w:color w:val="231F20"/>
          <w:spacing w:val="-4"/>
          <w:w w:val="105"/>
          <w:sz w:val="17"/>
        </w:rPr>
        <w:t> </w:t>
      </w:r>
      <w:r>
        <w:rPr>
          <w:rFonts w:ascii="Calibri" w:hAnsi="Calibri"/>
          <w:color w:val="231F20"/>
          <w:w w:val="105"/>
          <w:sz w:val="17"/>
        </w:rPr>
        <w:t>estrechamente</w:t>
      </w:r>
      <w:r>
        <w:rPr>
          <w:rFonts w:ascii="Calibri" w:hAnsi="Calibri"/>
          <w:color w:val="231F20"/>
          <w:spacing w:val="-4"/>
          <w:w w:val="105"/>
          <w:sz w:val="17"/>
        </w:rPr>
        <w:t> </w:t>
      </w:r>
      <w:r>
        <w:rPr>
          <w:rFonts w:ascii="Calibri" w:hAnsi="Calibri"/>
          <w:color w:val="231F20"/>
          <w:w w:val="105"/>
          <w:sz w:val="17"/>
        </w:rPr>
        <w:t>con</w:t>
      </w:r>
      <w:r>
        <w:rPr>
          <w:rFonts w:ascii="Calibri" w:hAnsi="Calibri"/>
          <w:color w:val="231F20"/>
          <w:spacing w:val="-4"/>
          <w:w w:val="105"/>
          <w:sz w:val="17"/>
        </w:rPr>
        <w:t> </w:t>
      </w:r>
      <w:r>
        <w:rPr>
          <w:rFonts w:ascii="Calibri" w:hAnsi="Calibri"/>
          <w:color w:val="231F20"/>
          <w:w w:val="105"/>
          <w:sz w:val="17"/>
        </w:rPr>
        <w:t>la</w:t>
      </w:r>
      <w:r>
        <w:rPr>
          <w:rFonts w:ascii="Calibri" w:hAnsi="Calibri"/>
          <w:color w:val="231F20"/>
          <w:spacing w:val="-4"/>
          <w:w w:val="105"/>
          <w:sz w:val="17"/>
        </w:rPr>
        <w:t> </w:t>
      </w:r>
      <w:r>
        <w:rPr>
          <w:rFonts w:ascii="Calibri" w:hAnsi="Calibri"/>
          <w:color w:val="231F20"/>
          <w:w w:val="105"/>
          <w:sz w:val="17"/>
        </w:rPr>
        <w:t>más</w:t>
      </w:r>
      <w:r>
        <w:rPr>
          <w:rFonts w:ascii="Calibri" w:hAnsi="Calibri"/>
          <w:color w:val="231F20"/>
          <w:spacing w:val="-4"/>
          <w:w w:val="105"/>
          <w:sz w:val="17"/>
        </w:rPr>
        <w:t> </w:t>
      </w:r>
      <w:r>
        <w:rPr>
          <w:rFonts w:ascii="Calibri" w:hAnsi="Calibri"/>
          <w:color w:val="231F20"/>
          <w:w w:val="105"/>
          <w:sz w:val="17"/>
        </w:rPr>
        <w:t>general</w:t>
      </w:r>
      <w:r>
        <w:rPr>
          <w:rFonts w:ascii="Calibri" w:hAnsi="Calibri"/>
          <w:color w:val="231F20"/>
          <w:spacing w:val="-4"/>
          <w:w w:val="105"/>
          <w:sz w:val="17"/>
        </w:rPr>
        <w:t> </w:t>
      </w:r>
      <w:r>
        <w:rPr>
          <w:rFonts w:ascii="Calibri" w:hAnsi="Calibri"/>
          <w:color w:val="231F20"/>
          <w:w w:val="105"/>
          <w:sz w:val="17"/>
        </w:rPr>
        <w:t>disputa</w:t>
      </w:r>
      <w:r>
        <w:rPr>
          <w:rFonts w:ascii="Calibri" w:hAnsi="Calibri"/>
          <w:color w:val="231F20"/>
          <w:spacing w:val="-4"/>
          <w:w w:val="105"/>
          <w:sz w:val="17"/>
        </w:rPr>
        <w:t> </w:t>
      </w:r>
      <w:r>
        <w:rPr>
          <w:rFonts w:ascii="Calibri" w:hAnsi="Calibri"/>
          <w:color w:val="231F20"/>
          <w:w w:val="105"/>
          <w:sz w:val="17"/>
        </w:rPr>
        <w:t>“filosófica”</w:t>
      </w:r>
      <w:r>
        <w:rPr>
          <w:rFonts w:ascii="Calibri" w:hAnsi="Calibri"/>
          <w:color w:val="231F20"/>
          <w:spacing w:val="-4"/>
          <w:w w:val="105"/>
          <w:sz w:val="17"/>
        </w:rPr>
        <w:t> </w:t>
      </w:r>
      <w:r>
        <w:rPr>
          <w:rFonts w:ascii="Calibri" w:hAnsi="Calibri"/>
          <w:color w:val="231F20"/>
          <w:w w:val="105"/>
          <w:sz w:val="17"/>
        </w:rPr>
        <w:t>sobre</w:t>
      </w:r>
      <w:r>
        <w:rPr>
          <w:rFonts w:ascii="Calibri" w:hAnsi="Calibri"/>
          <w:color w:val="231F20"/>
          <w:spacing w:val="-4"/>
          <w:w w:val="105"/>
          <w:sz w:val="17"/>
        </w:rPr>
        <w:t> </w:t>
      </w:r>
      <w:r>
        <w:rPr>
          <w:rFonts w:ascii="Calibri" w:hAnsi="Calibri"/>
          <w:color w:val="231F20"/>
          <w:w w:val="105"/>
          <w:sz w:val="17"/>
        </w:rPr>
        <w:t>la universalidad</w:t>
      </w:r>
      <w:r>
        <w:rPr>
          <w:rFonts w:ascii="Calibri" w:hAnsi="Calibri"/>
          <w:color w:val="231F20"/>
          <w:spacing w:val="-6"/>
          <w:w w:val="105"/>
          <w:sz w:val="17"/>
        </w:rPr>
        <w:t> </w:t>
      </w:r>
      <w:r>
        <w:rPr>
          <w:rFonts w:ascii="Calibri" w:hAnsi="Calibri"/>
          <w:color w:val="231F20"/>
          <w:w w:val="105"/>
          <w:sz w:val="17"/>
        </w:rPr>
        <w:t>de</w:t>
      </w:r>
      <w:r>
        <w:rPr>
          <w:rFonts w:ascii="Calibri" w:hAnsi="Calibri"/>
          <w:color w:val="231F20"/>
          <w:spacing w:val="-6"/>
          <w:w w:val="105"/>
          <w:sz w:val="17"/>
        </w:rPr>
        <w:t> </w:t>
      </w:r>
      <w:r>
        <w:rPr>
          <w:rFonts w:ascii="Calibri" w:hAnsi="Calibri"/>
          <w:color w:val="231F20"/>
          <w:w w:val="105"/>
          <w:sz w:val="17"/>
        </w:rPr>
        <w:t>los</w:t>
      </w:r>
      <w:r>
        <w:rPr>
          <w:rFonts w:ascii="Calibri" w:hAnsi="Calibri"/>
          <w:color w:val="231F20"/>
          <w:spacing w:val="-6"/>
          <w:w w:val="105"/>
          <w:sz w:val="17"/>
        </w:rPr>
        <w:t> </w:t>
      </w:r>
      <w:r>
        <w:rPr>
          <w:rFonts w:ascii="Calibri" w:hAnsi="Calibri"/>
          <w:color w:val="231F20"/>
          <w:w w:val="105"/>
          <w:sz w:val="17"/>
        </w:rPr>
        <w:t>derechos</w:t>
      </w:r>
      <w:r>
        <w:rPr>
          <w:rFonts w:ascii="Calibri" w:hAnsi="Calibri"/>
          <w:color w:val="231F20"/>
          <w:spacing w:val="-6"/>
          <w:w w:val="105"/>
          <w:sz w:val="17"/>
        </w:rPr>
        <w:t> </w:t>
      </w:r>
      <w:r>
        <w:rPr>
          <w:rFonts w:ascii="Calibri" w:hAnsi="Calibri"/>
          <w:color w:val="231F20"/>
          <w:w w:val="105"/>
          <w:sz w:val="17"/>
        </w:rPr>
        <w:t>del</w:t>
      </w:r>
      <w:r>
        <w:rPr>
          <w:rFonts w:ascii="Calibri" w:hAnsi="Calibri"/>
          <w:color w:val="231F20"/>
          <w:spacing w:val="-6"/>
          <w:w w:val="105"/>
          <w:sz w:val="17"/>
        </w:rPr>
        <w:t> </w:t>
      </w:r>
      <w:r>
        <w:rPr>
          <w:rFonts w:ascii="Calibri" w:hAnsi="Calibri"/>
          <w:color w:val="231F20"/>
          <w:w w:val="105"/>
          <w:sz w:val="17"/>
        </w:rPr>
        <w:t>hombre.</w:t>
      </w:r>
      <w:r>
        <w:rPr>
          <w:rFonts w:ascii="Calibri" w:hAnsi="Calibri"/>
          <w:color w:val="231F20"/>
          <w:spacing w:val="-6"/>
          <w:w w:val="105"/>
          <w:sz w:val="17"/>
        </w:rPr>
        <w:t> </w:t>
      </w:r>
      <w:r>
        <w:rPr>
          <w:rFonts w:ascii="Calibri" w:hAnsi="Calibri"/>
          <w:color w:val="231F20"/>
          <w:w w:val="105"/>
          <w:sz w:val="17"/>
        </w:rPr>
        <w:t>Como</w:t>
      </w:r>
      <w:r>
        <w:rPr>
          <w:rFonts w:ascii="Calibri" w:hAnsi="Calibri"/>
          <w:color w:val="231F20"/>
          <w:spacing w:val="-6"/>
          <w:w w:val="105"/>
          <w:sz w:val="17"/>
        </w:rPr>
        <w:t> </w:t>
      </w:r>
      <w:r>
        <w:rPr>
          <w:rFonts w:ascii="Calibri" w:hAnsi="Calibri"/>
          <w:color w:val="231F20"/>
          <w:w w:val="105"/>
          <w:sz w:val="17"/>
        </w:rPr>
        <w:t>recuerda</w:t>
      </w:r>
      <w:r>
        <w:rPr>
          <w:rFonts w:ascii="Calibri" w:hAnsi="Calibri"/>
          <w:color w:val="231F20"/>
          <w:spacing w:val="-6"/>
          <w:w w:val="105"/>
          <w:sz w:val="17"/>
        </w:rPr>
        <w:t> </w:t>
      </w:r>
      <w:r>
        <w:rPr>
          <w:rFonts w:ascii="Calibri" w:hAnsi="Calibri"/>
          <w:color w:val="231F20"/>
          <w:w w:val="105"/>
          <w:sz w:val="17"/>
        </w:rPr>
        <w:t>Zolo,</w:t>
      </w:r>
      <w:r>
        <w:rPr>
          <w:rFonts w:ascii="Calibri" w:hAnsi="Calibri"/>
          <w:color w:val="231F20"/>
          <w:spacing w:val="-6"/>
          <w:w w:val="105"/>
          <w:sz w:val="17"/>
        </w:rPr>
        <w:t> </w:t>
      </w:r>
      <w:r>
        <w:rPr>
          <w:rFonts w:ascii="Calibri" w:hAnsi="Calibri"/>
          <w:i/>
          <w:color w:val="231F20"/>
          <w:w w:val="105"/>
          <w:sz w:val="17"/>
        </w:rPr>
        <w:t>La</w:t>
      </w:r>
      <w:r>
        <w:rPr>
          <w:rFonts w:ascii="Calibri" w:hAnsi="Calibri"/>
          <w:i/>
          <w:color w:val="231F20"/>
          <w:spacing w:val="-8"/>
          <w:w w:val="105"/>
          <w:sz w:val="17"/>
        </w:rPr>
        <w:t> </w:t>
      </w:r>
      <w:r>
        <w:rPr>
          <w:rFonts w:ascii="Calibri" w:hAnsi="Calibri"/>
          <w:i/>
          <w:color w:val="231F20"/>
          <w:w w:val="105"/>
          <w:sz w:val="17"/>
        </w:rPr>
        <w:t>giustizia</w:t>
      </w:r>
      <w:r>
        <w:rPr>
          <w:rFonts w:ascii="Calibri" w:hAnsi="Calibri"/>
          <w:i/>
          <w:color w:val="231F20"/>
          <w:spacing w:val="-8"/>
          <w:w w:val="105"/>
          <w:sz w:val="17"/>
        </w:rPr>
        <w:t> </w:t>
      </w:r>
      <w:r>
        <w:rPr>
          <w:rFonts w:ascii="Calibri" w:hAnsi="Calibri"/>
          <w:i/>
          <w:color w:val="231F20"/>
          <w:w w:val="105"/>
          <w:sz w:val="17"/>
        </w:rPr>
        <w:t>dei</w:t>
      </w:r>
      <w:r>
        <w:rPr>
          <w:rFonts w:ascii="Calibri" w:hAnsi="Calibri"/>
          <w:i/>
          <w:color w:val="231F20"/>
          <w:spacing w:val="-9"/>
          <w:w w:val="105"/>
          <w:sz w:val="17"/>
        </w:rPr>
        <w:t> </w:t>
      </w:r>
      <w:r>
        <w:rPr>
          <w:rFonts w:ascii="Calibri" w:hAnsi="Calibri"/>
          <w:i/>
          <w:color w:val="231F20"/>
          <w:w w:val="105"/>
          <w:sz w:val="17"/>
        </w:rPr>
        <w:t>vincitori</w:t>
      </w:r>
      <w:r>
        <w:rPr>
          <w:rFonts w:ascii="Calibri" w:hAnsi="Calibri"/>
          <w:color w:val="231F20"/>
          <w:w w:val="105"/>
          <w:sz w:val="17"/>
        </w:rPr>
        <w:t>,</w:t>
      </w:r>
      <w:r>
        <w:rPr>
          <w:rFonts w:ascii="Calibri" w:hAnsi="Calibri"/>
          <w:color w:val="231F20"/>
          <w:spacing w:val="-6"/>
          <w:w w:val="105"/>
          <w:sz w:val="17"/>
        </w:rPr>
        <w:t> </w:t>
      </w:r>
      <w:r>
        <w:rPr>
          <w:rFonts w:ascii="Calibri" w:hAnsi="Calibri"/>
          <w:color w:val="231F20"/>
          <w:w w:val="105"/>
          <w:sz w:val="17"/>
        </w:rPr>
        <w:t>p.</w:t>
      </w:r>
      <w:r>
        <w:rPr>
          <w:rFonts w:ascii="Calibri" w:hAnsi="Calibri"/>
          <w:color w:val="231F20"/>
          <w:spacing w:val="-6"/>
          <w:w w:val="105"/>
          <w:sz w:val="17"/>
        </w:rPr>
        <w:t> </w:t>
      </w:r>
      <w:r>
        <w:rPr>
          <w:rFonts w:ascii="Calibri" w:hAnsi="Calibri"/>
          <w:color w:val="231F20"/>
          <w:w w:val="105"/>
          <w:sz w:val="17"/>
        </w:rPr>
        <w:t>65,</w:t>
      </w:r>
      <w:r>
        <w:rPr>
          <w:rFonts w:ascii="Calibri" w:hAnsi="Calibri"/>
          <w:color w:val="231F20"/>
          <w:spacing w:val="-6"/>
          <w:w w:val="105"/>
          <w:sz w:val="17"/>
        </w:rPr>
        <w:t> </w:t>
      </w:r>
      <w:r>
        <w:rPr>
          <w:rFonts w:ascii="Calibri" w:hAnsi="Calibri"/>
          <w:color w:val="231F20"/>
          <w:w w:val="105"/>
          <w:sz w:val="17"/>
        </w:rPr>
        <w:t>la discusión</w:t>
      </w:r>
      <w:r>
        <w:rPr>
          <w:rFonts w:ascii="Calibri" w:hAnsi="Calibri"/>
          <w:color w:val="231F20"/>
          <w:spacing w:val="-7"/>
          <w:w w:val="105"/>
          <w:sz w:val="17"/>
        </w:rPr>
        <w:t> </w:t>
      </w:r>
      <w:r>
        <w:rPr>
          <w:rFonts w:ascii="Calibri" w:hAnsi="Calibri"/>
          <w:color w:val="231F20"/>
          <w:w w:val="105"/>
          <w:sz w:val="17"/>
        </w:rPr>
        <w:t>en</w:t>
      </w:r>
      <w:r>
        <w:rPr>
          <w:rFonts w:ascii="Calibri" w:hAnsi="Calibri"/>
          <w:color w:val="231F20"/>
          <w:spacing w:val="-6"/>
          <w:w w:val="105"/>
          <w:sz w:val="17"/>
        </w:rPr>
        <w:t> </w:t>
      </w:r>
      <w:r>
        <w:rPr>
          <w:rFonts w:ascii="Calibri" w:hAnsi="Calibri"/>
          <w:color w:val="231F20"/>
          <w:w w:val="105"/>
          <w:sz w:val="17"/>
        </w:rPr>
        <w:t>curso</w:t>
      </w:r>
      <w:r>
        <w:rPr>
          <w:rFonts w:ascii="Calibri" w:hAnsi="Calibri"/>
          <w:color w:val="231F20"/>
          <w:spacing w:val="-6"/>
          <w:w w:val="105"/>
          <w:sz w:val="17"/>
        </w:rPr>
        <w:t> </w:t>
      </w:r>
      <w:r>
        <w:rPr>
          <w:rFonts w:ascii="Calibri" w:hAnsi="Calibri"/>
          <w:color w:val="231F20"/>
          <w:w w:val="105"/>
          <w:sz w:val="17"/>
        </w:rPr>
        <w:t>“tiene</w:t>
      </w:r>
      <w:r>
        <w:rPr>
          <w:rFonts w:ascii="Calibri" w:hAnsi="Calibri"/>
          <w:color w:val="231F20"/>
          <w:spacing w:val="-7"/>
          <w:w w:val="105"/>
          <w:sz w:val="17"/>
        </w:rPr>
        <w:t> </w:t>
      </w:r>
      <w:r>
        <w:rPr>
          <w:rFonts w:ascii="Calibri" w:hAnsi="Calibri"/>
          <w:color w:val="231F20"/>
          <w:w w:val="105"/>
          <w:sz w:val="17"/>
        </w:rPr>
        <w:t>que</w:t>
      </w:r>
      <w:r>
        <w:rPr>
          <w:rFonts w:ascii="Calibri" w:hAnsi="Calibri"/>
          <w:color w:val="231F20"/>
          <w:spacing w:val="-8"/>
          <w:w w:val="105"/>
          <w:sz w:val="17"/>
        </w:rPr>
        <w:t> </w:t>
      </w:r>
      <w:r>
        <w:rPr>
          <w:rFonts w:ascii="Calibri" w:hAnsi="Calibri"/>
          <w:color w:val="231F20"/>
          <w:w w:val="105"/>
          <w:sz w:val="17"/>
        </w:rPr>
        <w:t>ver</w:t>
      </w:r>
      <w:r>
        <w:rPr>
          <w:rFonts w:ascii="Calibri" w:hAnsi="Calibri"/>
          <w:color w:val="231F20"/>
          <w:spacing w:val="-7"/>
          <w:w w:val="105"/>
          <w:sz w:val="17"/>
        </w:rPr>
        <w:t> </w:t>
      </w:r>
      <w:r>
        <w:rPr>
          <w:rFonts w:ascii="Calibri" w:hAnsi="Calibri"/>
          <w:color w:val="231F20"/>
          <w:w w:val="105"/>
          <w:sz w:val="17"/>
        </w:rPr>
        <w:t>en</w:t>
      </w:r>
      <w:r>
        <w:rPr>
          <w:rFonts w:ascii="Calibri" w:hAnsi="Calibri"/>
          <w:color w:val="231F20"/>
          <w:spacing w:val="-6"/>
          <w:w w:val="105"/>
          <w:sz w:val="17"/>
        </w:rPr>
        <w:t> </w:t>
      </w:r>
      <w:r>
        <w:rPr>
          <w:rFonts w:ascii="Calibri" w:hAnsi="Calibri"/>
          <w:color w:val="231F20"/>
          <w:w w:val="105"/>
          <w:sz w:val="17"/>
        </w:rPr>
        <w:t>particular</w:t>
      </w:r>
      <w:r>
        <w:rPr>
          <w:rFonts w:ascii="Calibri" w:hAnsi="Calibri"/>
          <w:color w:val="231F20"/>
          <w:spacing w:val="-6"/>
          <w:w w:val="105"/>
          <w:sz w:val="17"/>
        </w:rPr>
        <w:t> </w:t>
      </w:r>
      <w:r>
        <w:rPr>
          <w:rFonts w:ascii="Calibri" w:hAnsi="Calibri"/>
          <w:color w:val="231F20"/>
          <w:w w:val="105"/>
          <w:sz w:val="17"/>
        </w:rPr>
        <w:t>con</w:t>
      </w:r>
      <w:r>
        <w:rPr>
          <w:rFonts w:ascii="Calibri" w:hAnsi="Calibri"/>
          <w:color w:val="231F20"/>
          <w:spacing w:val="-7"/>
          <w:w w:val="105"/>
          <w:sz w:val="17"/>
        </w:rPr>
        <w:t> </w:t>
      </w:r>
      <w:r>
        <w:rPr>
          <w:rFonts w:ascii="Calibri" w:hAnsi="Calibri"/>
          <w:color w:val="231F20"/>
          <w:w w:val="105"/>
          <w:sz w:val="17"/>
        </w:rPr>
        <w:t>la</w:t>
      </w:r>
      <w:r>
        <w:rPr>
          <w:rFonts w:ascii="Calibri" w:hAnsi="Calibri"/>
          <w:color w:val="231F20"/>
          <w:spacing w:val="-6"/>
          <w:w w:val="105"/>
          <w:sz w:val="17"/>
        </w:rPr>
        <w:t> </w:t>
      </w:r>
      <w:r>
        <w:rPr>
          <w:rFonts w:ascii="Calibri" w:hAnsi="Calibri"/>
          <w:color w:val="231F20"/>
          <w:w w:val="105"/>
          <w:sz w:val="17"/>
        </w:rPr>
        <w:t>relación</w:t>
      </w:r>
      <w:r>
        <w:rPr>
          <w:rFonts w:ascii="Calibri" w:hAnsi="Calibri"/>
          <w:color w:val="231F20"/>
          <w:spacing w:val="-7"/>
          <w:w w:val="105"/>
          <w:sz w:val="17"/>
        </w:rPr>
        <w:t> </w:t>
      </w:r>
      <w:r>
        <w:rPr>
          <w:rFonts w:ascii="Calibri" w:hAnsi="Calibri"/>
          <w:color w:val="231F20"/>
          <w:w w:val="105"/>
          <w:sz w:val="17"/>
        </w:rPr>
        <w:t>entre</w:t>
      </w:r>
      <w:r>
        <w:rPr>
          <w:rFonts w:ascii="Calibri" w:hAnsi="Calibri"/>
          <w:color w:val="231F20"/>
          <w:spacing w:val="-6"/>
          <w:w w:val="105"/>
          <w:sz w:val="17"/>
        </w:rPr>
        <w:t> </w:t>
      </w:r>
      <w:r>
        <w:rPr>
          <w:rFonts w:ascii="Calibri" w:hAnsi="Calibri"/>
          <w:color w:val="231F20"/>
          <w:w w:val="105"/>
          <w:sz w:val="17"/>
        </w:rPr>
        <w:t>la</w:t>
      </w:r>
      <w:r>
        <w:rPr>
          <w:rFonts w:ascii="Calibri" w:hAnsi="Calibri"/>
          <w:color w:val="231F20"/>
          <w:spacing w:val="-7"/>
          <w:w w:val="105"/>
          <w:sz w:val="17"/>
        </w:rPr>
        <w:t> </w:t>
      </w:r>
      <w:r>
        <w:rPr>
          <w:rFonts w:ascii="Calibri" w:hAnsi="Calibri"/>
          <w:color w:val="231F20"/>
          <w:w w:val="105"/>
          <w:sz w:val="17"/>
        </w:rPr>
        <w:t>filosofía</w:t>
      </w:r>
      <w:r>
        <w:rPr>
          <w:rFonts w:ascii="Calibri" w:hAnsi="Calibri"/>
          <w:color w:val="231F20"/>
          <w:spacing w:val="-6"/>
          <w:w w:val="105"/>
          <w:sz w:val="17"/>
        </w:rPr>
        <w:t> </w:t>
      </w:r>
      <w:r>
        <w:rPr>
          <w:rFonts w:ascii="Calibri" w:hAnsi="Calibri"/>
          <w:color w:val="231F20"/>
          <w:w w:val="105"/>
          <w:sz w:val="17"/>
        </w:rPr>
        <w:t>individualísta</w:t>
      </w:r>
      <w:r>
        <w:rPr>
          <w:rFonts w:ascii="Calibri" w:hAnsi="Calibri"/>
          <w:color w:val="231F20"/>
          <w:spacing w:val="-7"/>
          <w:w w:val="105"/>
          <w:sz w:val="17"/>
        </w:rPr>
        <w:t> </w:t>
      </w:r>
      <w:r>
        <w:rPr>
          <w:rFonts w:ascii="Calibri" w:hAnsi="Calibri"/>
          <w:color w:val="231F20"/>
          <w:w w:val="105"/>
          <w:sz w:val="17"/>
        </w:rPr>
        <w:t>que está</w:t>
      </w:r>
      <w:r>
        <w:rPr>
          <w:rFonts w:ascii="Calibri" w:hAnsi="Calibri"/>
          <w:color w:val="231F20"/>
          <w:spacing w:val="-20"/>
          <w:w w:val="105"/>
          <w:sz w:val="17"/>
        </w:rPr>
        <w:t> </w:t>
      </w:r>
      <w:r>
        <w:rPr>
          <w:rFonts w:ascii="Calibri" w:hAnsi="Calibri"/>
          <w:color w:val="231F20"/>
          <w:w w:val="105"/>
          <w:sz w:val="17"/>
        </w:rPr>
        <w:t>debajo</w:t>
      </w:r>
      <w:r>
        <w:rPr>
          <w:rFonts w:ascii="Calibri" w:hAnsi="Calibri"/>
          <w:color w:val="231F20"/>
          <w:spacing w:val="-20"/>
          <w:w w:val="105"/>
          <w:sz w:val="17"/>
        </w:rPr>
        <w:t> </w:t>
      </w:r>
      <w:r>
        <w:rPr>
          <w:rFonts w:ascii="Calibri" w:hAnsi="Calibri"/>
          <w:color w:val="231F20"/>
          <w:w w:val="105"/>
          <w:sz w:val="17"/>
        </w:rPr>
        <w:t>de</w:t>
      </w:r>
      <w:r>
        <w:rPr>
          <w:rFonts w:ascii="Calibri" w:hAnsi="Calibri"/>
          <w:color w:val="231F20"/>
          <w:spacing w:val="-20"/>
          <w:w w:val="105"/>
          <w:sz w:val="17"/>
        </w:rPr>
        <w:t> </w:t>
      </w:r>
      <w:r>
        <w:rPr>
          <w:rFonts w:ascii="Calibri" w:hAnsi="Calibri"/>
          <w:color w:val="231F20"/>
          <w:w w:val="105"/>
          <w:sz w:val="17"/>
        </w:rPr>
        <w:t>la</w:t>
      </w:r>
      <w:r>
        <w:rPr>
          <w:rFonts w:ascii="Calibri" w:hAnsi="Calibri"/>
          <w:color w:val="231F20"/>
          <w:spacing w:val="-20"/>
          <w:w w:val="105"/>
          <w:sz w:val="17"/>
        </w:rPr>
        <w:t> </w:t>
      </w:r>
      <w:r>
        <w:rPr>
          <w:rFonts w:ascii="Calibri" w:hAnsi="Calibri"/>
          <w:color w:val="231F20"/>
          <w:w w:val="105"/>
          <w:sz w:val="17"/>
        </w:rPr>
        <w:t>doctrina</w:t>
      </w:r>
      <w:r>
        <w:rPr>
          <w:rFonts w:ascii="Calibri" w:hAnsi="Calibri"/>
          <w:color w:val="231F20"/>
          <w:spacing w:val="-20"/>
          <w:w w:val="105"/>
          <w:sz w:val="17"/>
        </w:rPr>
        <w:t> </w:t>
      </w:r>
      <w:r>
        <w:rPr>
          <w:rFonts w:ascii="Calibri" w:hAnsi="Calibri"/>
          <w:color w:val="231F20"/>
          <w:w w:val="105"/>
          <w:sz w:val="17"/>
        </w:rPr>
        <w:t>occidental</w:t>
      </w:r>
      <w:r>
        <w:rPr>
          <w:rFonts w:ascii="Calibri" w:hAnsi="Calibri"/>
          <w:color w:val="231F20"/>
          <w:spacing w:val="-20"/>
          <w:w w:val="105"/>
          <w:sz w:val="17"/>
        </w:rPr>
        <w:t> </w:t>
      </w:r>
      <w:r>
        <w:rPr>
          <w:rFonts w:ascii="Calibri" w:hAnsi="Calibri"/>
          <w:color w:val="231F20"/>
          <w:w w:val="105"/>
          <w:sz w:val="17"/>
        </w:rPr>
        <w:t>de</w:t>
      </w:r>
      <w:r>
        <w:rPr>
          <w:rFonts w:ascii="Calibri" w:hAnsi="Calibri"/>
          <w:color w:val="231F20"/>
          <w:spacing w:val="-20"/>
          <w:w w:val="105"/>
          <w:sz w:val="17"/>
        </w:rPr>
        <w:t> </w:t>
      </w:r>
      <w:r>
        <w:rPr>
          <w:rFonts w:ascii="Calibri" w:hAnsi="Calibri"/>
          <w:color w:val="231F20"/>
          <w:w w:val="105"/>
          <w:sz w:val="17"/>
        </w:rPr>
        <w:t>os</w:t>
      </w:r>
      <w:r>
        <w:rPr>
          <w:rFonts w:ascii="Calibri" w:hAnsi="Calibri"/>
          <w:color w:val="231F20"/>
          <w:spacing w:val="-20"/>
          <w:w w:val="105"/>
          <w:sz w:val="17"/>
        </w:rPr>
        <w:t> </w:t>
      </w:r>
      <w:r>
        <w:rPr>
          <w:rFonts w:ascii="Calibri" w:hAnsi="Calibri"/>
          <w:color w:val="231F20"/>
          <w:w w:val="105"/>
          <w:sz w:val="17"/>
        </w:rPr>
        <w:t>derechos</w:t>
      </w:r>
      <w:r>
        <w:rPr>
          <w:rFonts w:ascii="Calibri" w:hAnsi="Calibri"/>
          <w:color w:val="231F20"/>
          <w:spacing w:val="-20"/>
          <w:w w:val="105"/>
          <w:sz w:val="17"/>
        </w:rPr>
        <w:t> </w:t>
      </w:r>
      <w:r>
        <w:rPr>
          <w:rFonts w:ascii="Calibri" w:hAnsi="Calibri"/>
          <w:color w:val="231F20"/>
          <w:w w:val="105"/>
          <w:sz w:val="17"/>
        </w:rPr>
        <w:t>del</w:t>
      </w:r>
      <w:r>
        <w:rPr>
          <w:rFonts w:ascii="Calibri" w:hAnsi="Calibri"/>
          <w:color w:val="231F20"/>
          <w:spacing w:val="-20"/>
          <w:w w:val="105"/>
          <w:sz w:val="17"/>
        </w:rPr>
        <w:t> </w:t>
      </w:r>
      <w:r>
        <w:rPr>
          <w:rFonts w:ascii="Calibri" w:hAnsi="Calibri"/>
          <w:color w:val="231F20"/>
          <w:w w:val="105"/>
          <w:sz w:val="17"/>
        </w:rPr>
        <w:t>hombre,</w:t>
      </w:r>
      <w:r>
        <w:rPr>
          <w:rFonts w:ascii="Calibri" w:hAnsi="Calibri"/>
          <w:color w:val="231F20"/>
          <w:spacing w:val="-20"/>
          <w:w w:val="105"/>
          <w:sz w:val="17"/>
        </w:rPr>
        <w:t> </w:t>
      </w:r>
      <w:r>
        <w:rPr>
          <w:rFonts w:ascii="Calibri" w:hAnsi="Calibri"/>
          <w:color w:val="231F20"/>
          <w:w w:val="105"/>
          <w:sz w:val="17"/>
        </w:rPr>
        <w:t>por</w:t>
      </w:r>
      <w:r>
        <w:rPr>
          <w:rFonts w:ascii="Calibri" w:hAnsi="Calibri"/>
          <w:color w:val="231F20"/>
          <w:spacing w:val="-20"/>
          <w:w w:val="105"/>
          <w:sz w:val="17"/>
        </w:rPr>
        <w:t> </w:t>
      </w:r>
      <w:r>
        <w:rPr>
          <w:rFonts w:ascii="Calibri" w:hAnsi="Calibri"/>
          <w:color w:val="231F20"/>
          <w:w w:val="105"/>
          <w:sz w:val="17"/>
        </w:rPr>
        <w:t>una</w:t>
      </w:r>
      <w:r>
        <w:rPr>
          <w:rFonts w:ascii="Calibri" w:hAnsi="Calibri"/>
          <w:color w:val="231F20"/>
          <w:spacing w:val="-20"/>
          <w:w w:val="105"/>
          <w:sz w:val="17"/>
        </w:rPr>
        <w:t> </w:t>
      </w:r>
      <w:r>
        <w:rPr>
          <w:rFonts w:ascii="Calibri" w:hAnsi="Calibri"/>
          <w:color w:val="231F20"/>
          <w:w w:val="105"/>
          <w:sz w:val="17"/>
        </w:rPr>
        <w:t>parte</w:t>
      </w:r>
      <w:r>
        <w:rPr>
          <w:rFonts w:ascii="Calibri" w:hAnsi="Calibri"/>
          <w:color w:val="231F20"/>
          <w:spacing w:val="-21"/>
          <w:w w:val="105"/>
          <w:sz w:val="17"/>
        </w:rPr>
        <w:t> </w:t>
      </w:r>
      <w:r>
        <w:rPr>
          <w:rFonts w:ascii="Calibri" w:hAnsi="Calibri"/>
          <w:color w:val="231F20"/>
          <w:w w:val="105"/>
          <w:sz w:val="17"/>
        </w:rPr>
        <w:t>y</w:t>
      </w:r>
      <w:r>
        <w:rPr>
          <w:rFonts w:ascii="Calibri" w:hAnsi="Calibri"/>
          <w:color w:val="231F20"/>
          <w:spacing w:val="-20"/>
          <w:w w:val="105"/>
          <w:sz w:val="17"/>
        </w:rPr>
        <w:t> </w:t>
      </w:r>
      <w:r>
        <w:rPr>
          <w:rFonts w:ascii="Calibri" w:hAnsi="Calibri"/>
          <w:color w:val="231F20"/>
          <w:w w:val="105"/>
          <w:sz w:val="17"/>
        </w:rPr>
        <w:t>por</w:t>
      </w:r>
      <w:r>
        <w:rPr>
          <w:rFonts w:ascii="Calibri" w:hAnsi="Calibri"/>
          <w:color w:val="231F20"/>
          <w:spacing w:val="-20"/>
          <w:w w:val="105"/>
          <w:sz w:val="17"/>
        </w:rPr>
        <w:t> </w:t>
      </w:r>
      <w:r>
        <w:rPr>
          <w:rFonts w:ascii="Calibri" w:hAnsi="Calibri"/>
          <w:color w:val="231F20"/>
          <w:w w:val="105"/>
          <w:sz w:val="17"/>
        </w:rPr>
        <w:t>otra,</w:t>
      </w:r>
      <w:r>
        <w:rPr>
          <w:rFonts w:ascii="Calibri" w:hAnsi="Calibri"/>
          <w:color w:val="231F20"/>
          <w:spacing w:val="-20"/>
          <w:w w:val="105"/>
          <w:sz w:val="17"/>
        </w:rPr>
        <w:t> </w:t>
      </w:r>
      <w:r>
        <w:rPr>
          <w:rFonts w:ascii="Calibri" w:hAnsi="Calibri"/>
          <w:color w:val="231F20"/>
          <w:w w:val="105"/>
          <w:sz w:val="17"/>
        </w:rPr>
        <w:t>la</w:t>
      </w:r>
      <w:r>
        <w:rPr>
          <w:rFonts w:ascii="Calibri" w:hAnsi="Calibri"/>
          <w:color w:val="231F20"/>
          <w:spacing w:val="-20"/>
          <w:w w:val="105"/>
          <w:sz w:val="17"/>
        </w:rPr>
        <w:t> </w:t>
      </w:r>
      <w:r>
        <w:rPr>
          <w:rFonts w:ascii="Calibri" w:hAnsi="Calibri"/>
          <w:color w:val="231F20"/>
          <w:w w:val="105"/>
          <w:sz w:val="17"/>
        </w:rPr>
        <w:t>amplia gama</w:t>
      </w:r>
      <w:r>
        <w:rPr>
          <w:rFonts w:ascii="Calibri" w:hAnsi="Calibri"/>
          <w:color w:val="231F20"/>
          <w:spacing w:val="-18"/>
          <w:w w:val="105"/>
          <w:sz w:val="17"/>
        </w:rPr>
        <w:t> </w:t>
      </w:r>
      <w:r>
        <w:rPr>
          <w:rFonts w:ascii="Calibri" w:hAnsi="Calibri"/>
          <w:color w:val="231F20"/>
          <w:w w:val="105"/>
          <w:sz w:val="17"/>
        </w:rPr>
        <w:t>de</w:t>
      </w:r>
      <w:r>
        <w:rPr>
          <w:rFonts w:ascii="Calibri" w:hAnsi="Calibri"/>
          <w:color w:val="231F20"/>
          <w:spacing w:val="-18"/>
          <w:w w:val="105"/>
          <w:sz w:val="17"/>
        </w:rPr>
        <w:t> </w:t>
      </w:r>
      <w:r>
        <w:rPr>
          <w:rFonts w:ascii="Calibri" w:hAnsi="Calibri"/>
          <w:color w:val="231F20"/>
          <w:w w:val="105"/>
          <w:sz w:val="17"/>
        </w:rPr>
        <w:t>civilización</w:t>
      </w:r>
      <w:r>
        <w:rPr>
          <w:rFonts w:ascii="Calibri" w:hAnsi="Calibri"/>
          <w:color w:val="231F20"/>
          <w:spacing w:val="-19"/>
          <w:w w:val="105"/>
          <w:sz w:val="17"/>
        </w:rPr>
        <w:t> </w:t>
      </w:r>
      <w:r>
        <w:rPr>
          <w:rFonts w:ascii="Calibri" w:hAnsi="Calibri"/>
          <w:color w:val="231F20"/>
          <w:w w:val="105"/>
          <w:sz w:val="17"/>
        </w:rPr>
        <w:t>y</w:t>
      </w:r>
      <w:r>
        <w:rPr>
          <w:rFonts w:ascii="Calibri" w:hAnsi="Calibri"/>
          <w:color w:val="231F20"/>
          <w:spacing w:val="-18"/>
          <w:w w:val="105"/>
          <w:sz w:val="17"/>
        </w:rPr>
        <w:t> </w:t>
      </w:r>
      <w:r>
        <w:rPr>
          <w:rFonts w:ascii="Calibri" w:hAnsi="Calibri"/>
          <w:color w:val="231F20"/>
          <w:w w:val="105"/>
          <w:sz w:val="17"/>
        </w:rPr>
        <w:t>cultura</w:t>
      </w:r>
      <w:r>
        <w:rPr>
          <w:rFonts w:ascii="Calibri" w:hAnsi="Calibri"/>
          <w:color w:val="231F20"/>
          <w:spacing w:val="-18"/>
          <w:w w:val="105"/>
          <w:sz w:val="17"/>
        </w:rPr>
        <w:t> </w:t>
      </w:r>
      <w:r>
        <w:rPr>
          <w:rFonts w:ascii="Calibri" w:hAnsi="Calibri"/>
          <w:color w:val="231F20"/>
          <w:w w:val="105"/>
          <w:sz w:val="17"/>
        </w:rPr>
        <w:t>cuyos</w:t>
      </w:r>
      <w:r>
        <w:rPr>
          <w:rFonts w:ascii="Calibri" w:hAnsi="Calibri"/>
          <w:color w:val="231F20"/>
          <w:spacing w:val="-20"/>
          <w:w w:val="105"/>
          <w:sz w:val="17"/>
        </w:rPr>
        <w:t> </w:t>
      </w:r>
      <w:r>
        <w:rPr>
          <w:rFonts w:ascii="Calibri" w:hAnsi="Calibri"/>
          <w:color w:val="231F20"/>
          <w:w w:val="105"/>
          <w:sz w:val="17"/>
        </w:rPr>
        <w:t>valores</w:t>
      </w:r>
      <w:r>
        <w:rPr>
          <w:rFonts w:ascii="Calibri" w:hAnsi="Calibri"/>
          <w:color w:val="231F20"/>
          <w:spacing w:val="-18"/>
          <w:w w:val="105"/>
          <w:sz w:val="17"/>
        </w:rPr>
        <w:t> </w:t>
      </w:r>
      <w:r>
        <w:rPr>
          <w:rFonts w:ascii="Calibri" w:hAnsi="Calibri"/>
          <w:color w:val="231F20"/>
          <w:w w:val="105"/>
          <w:sz w:val="17"/>
        </w:rPr>
        <w:t>están</w:t>
      </w:r>
      <w:r>
        <w:rPr>
          <w:rFonts w:ascii="Calibri" w:hAnsi="Calibri"/>
          <w:color w:val="231F20"/>
          <w:spacing w:val="-18"/>
          <w:w w:val="105"/>
          <w:sz w:val="17"/>
        </w:rPr>
        <w:t> </w:t>
      </w:r>
      <w:r>
        <w:rPr>
          <w:rFonts w:ascii="Calibri" w:hAnsi="Calibri"/>
          <w:color w:val="231F20"/>
          <w:w w:val="105"/>
          <w:sz w:val="17"/>
        </w:rPr>
        <w:t>muy</w:t>
      </w:r>
      <w:r>
        <w:rPr>
          <w:rFonts w:ascii="Calibri" w:hAnsi="Calibri"/>
          <w:color w:val="231F20"/>
          <w:spacing w:val="-18"/>
          <w:w w:val="105"/>
          <w:sz w:val="17"/>
        </w:rPr>
        <w:t> </w:t>
      </w:r>
      <w:r>
        <w:rPr>
          <w:rFonts w:ascii="Calibri" w:hAnsi="Calibri"/>
          <w:color w:val="231F20"/>
          <w:w w:val="105"/>
          <w:sz w:val="17"/>
        </w:rPr>
        <w:t>lejos</w:t>
      </w:r>
      <w:r>
        <w:rPr>
          <w:rFonts w:ascii="Calibri" w:hAnsi="Calibri"/>
          <w:color w:val="231F20"/>
          <w:spacing w:val="-18"/>
          <w:w w:val="105"/>
          <w:sz w:val="17"/>
        </w:rPr>
        <w:t> </w:t>
      </w:r>
      <w:r>
        <w:rPr>
          <w:rFonts w:ascii="Calibri" w:hAnsi="Calibri"/>
          <w:color w:val="231F20"/>
          <w:w w:val="105"/>
          <w:sz w:val="17"/>
        </w:rPr>
        <w:t>de</w:t>
      </w:r>
      <w:r>
        <w:rPr>
          <w:rFonts w:ascii="Calibri" w:hAnsi="Calibri"/>
          <w:color w:val="231F20"/>
          <w:spacing w:val="-18"/>
          <w:w w:val="105"/>
          <w:sz w:val="17"/>
        </w:rPr>
        <w:t> </w:t>
      </w:r>
      <w:r>
        <w:rPr>
          <w:rFonts w:ascii="Calibri" w:hAnsi="Calibri"/>
          <w:color w:val="231F20"/>
          <w:w w:val="105"/>
          <w:sz w:val="17"/>
        </w:rPr>
        <w:t>aquellos</w:t>
      </w:r>
      <w:r>
        <w:rPr>
          <w:rFonts w:ascii="Calibri" w:hAnsi="Calibri"/>
          <w:color w:val="231F20"/>
          <w:spacing w:val="-18"/>
          <w:w w:val="105"/>
          <w:sz w:val="17"/>
        </w:rPr>
        <w:t> </w:t>
      </w:r>
      <w:r>
        <w:rPr>
          <w:rFonts w:ascii="Calibri" w:hAnsi="Calibri"/>
          <w:color w:val="231F20"/>
          <w:w w:val="105"/>
          <w:sz w:val="17"/>
        </w:rPr>
        <w:t>occidentales.</w:t>
      </w:r>
      <w:r>
        <w:rPr>
          <w:rFonts w:ascii="Calibri" w:hAnsi="Calibri"/>
          <w:color w:val="231F20"/>
          <w:spacing w:val="-18"/>
          <w:w w:val="105"/>
          <w:sz w:val="17"/>
        </w:rPr>
        <w:t> </w:t>
      </w:r>
      <w:r>
        <w:rPr>
          <w:rFonts w:ascii="Calibri" w:hAnsi="Calibri"/>
          <w:color w:val="231F20"/>
          <w:w w:val="105"/>
          <w:sz w:val="17"/>
        </w:rPr>
        <w:t>Hay</w:t>
      </w:r>
      <w:r>
        <w:rPr>
          <w:rFonts w:ascii="Calibri" w:hAnsi="Calibri"/>
          <w:color w:val="231F20"/>
          <w:spacing w:val="-18"/>
          <w:w w:val="105"/>
          <w:sz w:val="17"/>
        </w:rPr>
        <w:t> </w:t>
      </w:r>
      <w:r>
        <w:rPr>
          <w:rFonts w:ascii="Calibri" w:hAnsi="Calibri"/>
          <w:color w:val="231F20"/>
          <w:w w:val="105"/>
          <w:sz w:val="17"/>
        </w:rPr>
        <w:t>que</w:t>
      </w:r>
      <w:r>
        <w:rPr>
          <w:rFonts w:ascii="Calibri" w:hAnsi="Calibri"/>
          <w:color w:val="231F20"/>
          <w:spacing w:val="-18"/>
          <w:w w:val="105"/>
          <w:sz w:val="17"/>
        </w:rPr>
        <w:t> </w:t>
      </w:r>
      <w:r>
        <w:rPr>
          <w:rFonts w:ascii="Calibri" w:hAnsi="Calibri"/>
          <w:color w:val="231F20"/>
          <w:w w:val="105"/>
          <w:sz w:val="17"/>
        </w:rPr>
        <w:t>pen- </w:t>
      </w:r>
      <w:r>
        <w:rPr>
          <w:rFonts w:ascii="Calibri" w:hAnsi="Calibri"/>
          <w:color w:val="231F20"/>
          <w:spacing w:val="-3"/>
          <w:w w:val="105"/>
          <w:sz w:val="17"/>
        </w:rPr>
        <w:t>sar,</w:t>
      </w:r>
      <w:r>
        <w:rPr>
          <w:rFonts w:ascii="Calibri" w:hAnsi="Calibri"/>
          <w:color w:val="231F20"/>
          <w:spacing w:val="-14"/>
          <w:w w:val="105"/>
          <w:sz w:val="17"/>
        </w:rPr>
        <w:t> </w:t>
      </w:r>
      <w:r>
        <w:rPr>
          <w:rFonts w:ascii="Calibri" w:hAnsi="Calibri"/>
          <w:color w:val="231F20"/>
          <w:w w:val="105"/>
          <w:sz w:val="17"/>
        </w:rPr>
        <w:t>en</w:t>
      </w:r>
      <w:r>
        <w:rPr>
          <w:rFonts w:ascii="Calibri" w:hAnsi="Calibri"/>
          <w:color w:val="231F20"/>
          <w:spacing w:val="-14"/>
          <w:w w:val="105"/>
          <w:sz w:val="17"/>
        </w:rPr>
        <w:t> </w:t>
      </w:r>
      <w:r>
        <w:rPr>
          <w:rFonts w:ascii="Calibri" w:hAnsi="Calibri"/>
          <w:color w:val="231F20"/>
          <w:w w:val="105"/>
          <w:sz w:val="17"/>
        </w:rPr>
        <w:t>particular,</w:t>
      </w:r>
      <w:r>
        <w:rPr>
          <w:rFonts w:ascii="Calibri" w:hAnsi="Calibri"/>
          <w:color w:val="231F20"/>
          <w:spacing w:val="-14"/>
          <w:w w:val="105"/>
          <w:sz w:val="17"/>
        </w:rPr>
        <w:t> </w:t>
      </w:r>
      <w:r>
        <w:rPr>
          <w:rFonts w:ascii="Calibri" w:hAnsi="Calibri"/>
          <w:color w:val="231F20"/>
          <w:w w:val="105"/>
          <w:sz w:val="17"/>
        </w:rPr>
        <w:t>en</w:t>
      </w:r>
      <w:r>
        <w:rPr>
          <w:rFonts w:ascii="Calibri" w:hAnsi="Calibri"/>
          <w:color w:val="231F20"/>
          <w:spacing w:val="-14"/>
          <w:w w:val="105"/>
          <w:sz w:val="17"/>
        </w:rPr>
        <w:t> </w:t>
      </w:r>
      <w:r>
        <w:rPr>
          <w:rFonts w:ascii="Calibri" w:hAnsi="Calibri"/>
          <w:color w:val="231F20"/>
          <w:w w:val="105"/>
          <w:sz w:val="17"/>
        </w:rPr>
        <w:t>los</w:t>
      </w:r>
      <w:r>
        <w:rPr>
          <w:rFonts w:ascii="Calibri" w:hAnsi="Calibri"/>
          <w:color w:val="231F20"/>
          <w:spacing w:val="-14"/>
          <w:w w:val="105"/>
          <w:sz w:val="17"/>
        </w:rPr>
        <w:t> </w:t>
      </w:r>
      <w:r>
        <w:rPr>
          <w:rFonts w:ascii="Calibri" w:hAnsi="Calibri"/>
          <w:color w:val="231F20"/>
          <w:w w:val="105"/>
          <w:sz w:val="17"/>
        </w:rPr>
        <w:t>países</w:t>
      </w:r>
      <w:r>
        <w:rPr>
          <w:rFonts w:ascii="Calibri" w:hAnsi="Calibri"/>
          <w:color w:val="231F20"/>
          <w:spacing w:val="-14"/>
          <w:w w:val="105"/>
          <w:sz w:val="17"/>
        </w:rPr>
        <w:t> </w:t>
      </w:r>
      <w:r>
        <w:rPr>
          <w:rFonts w:ascii="Calibri" w:hAnsi="Calibri"/>
          <w:color w:val="231F20"/>
          <w:w w:val="105"/>
          <w:sz w:val="17"/>
        </w:rPr>
        <w:t>del</w:t>
      </w:r>
      <w:r>
        <w:rPr>
          <w:rFonts w:ascii="Calibri" w:hAnsi="Calibri"/>
          <w:color w:val="231F20"/>
          <w:spacing w:val="-14"/>
          <w:w w:val="105"/>
          <w:sz w:val="17"/>
        </w:rPr>
        <w:t> </w:t>
      </w:r>
      <w:r>
        <w:rPr>
          <w:rFonts w:ascii="Calibri" w:hAnsi="Calibri"/>
          <w:color w:val="231F20"/>
          <w:w w:val="105"/>
          <w:sz w:val="17"/>
        </w:rPr>
        <w:t>sudeste</w:t>
      </w:r>
      <w:r>
        <w:rPr>
          <w:rFonts w:ascii="Calibri" w:hAnsi="Calibri"/>
          <w:color w:val="231F20"/>
          <w:spacing w:val="-16"/>
          <w:w w:val="105"/>
          <w:sz w:val="17"/>
        </w:rPr>
        <w:t> </w:t>
      </w:r>
      <w:r>
        <w:rPr>
          <w:rFonts w:ascii="Calibri" w:hAnsi="Calibri"/>
          <w:color w:val="231F20"/>
          <w:w w:val="105"/>
          <w:sz w:val="17"/>
        </w:rPr>
        <w:t>y</w:t>
      </w:r>
      <w:r>
        <w:rPr>
          <w:rFonts w:ascii="Calibri" w:hAnsi="Calibri"/>
          <w:color w:val="231F20"/>
          <w:spacing w:val="-14"/>
          <w:w w:val="105"/>
          <w:sz w:val="17"/>
        </w:rPr>
        <w:t> </w:t>
      </w:r>
      <w:r>
        <w:rPr>
          <w:rFonts w:ascii="Calibri" w:hAnsi="Calibri"/>
          <w:color w:val="231F20"/>
          <w:w w:val="105"/>
          <w:sz w:val="17"/>
        </w:rPr>
        <w:t>noreste</w:t>
      </w:r>
      <w:r>
        <w:rPr>
          <w:rFonts w:ascii="Calibri" w:hAnsi="Calibri"/>
          <w:color w:val="231F20"/>
          <w:spacing w:val="-14"/>
          <w:w w:val="105"/>
          <w:sz w:val="17"/>
        </w:rPr>
        <w:t> </w:t>
      </w:r>
      <w:r>
        <w:rPr>
          <w:rFonts w:ascii="Calibri" w:hAnsi="Calibri"/>
          <w:color w:val="231F20"/>
          <w:w w:val="105"/>
          <w:sz w:val="17"/>
        </w:rPr>
        <w:t>asiático,</w:t>
      </w:r>
      <w:r>
        <w:rPr>
          <w:rFonts w:ascii="Calibri" w:hAnsi="Calibri"/>
          <w:color w:val="231F20"/>
          <w:spacing w:val="-14"/>
          <w:w w:val="105"/>
          <w:sz w:val="17"/>
        </w:rPr>
        <w:t> </w:t>
      </w:r>
      <w:r>
        <w:rPr>
          <w:rFonts w:ascii="Calibri" w:hAnsi="Calibri"/>
          <w:color w:val="231F20"/>
          <w:w w:val="105"/>
          <w:sz w:val="17"/>
        </w:rPr>
        <w:t>donde</w:t>
      </w:r>
      <w:r>
        <w:rPr>
          <w:rFonts w:ascii="Calibri" w:hAnsi="Calibri"/>
          <w:color w:val="231F20"/>
          <w:spacing w:val="-14"/>
          <w:w w:val="105"/>
          <w:sz w:val="17"/>
        </w:rPr>
        <w:t> </w:t>
      </w:r>
      <w:r>
        <w:rPr>
          <w:rFonts w:ascii="Calibri" w:hAnsi="Calibri"/>
          <w:color w:val="231F20"/>
          <w:w w:val="105"/>
          <w:sz w:val="17"/>
        </w:rPr>
        <w:t>prevalece</w:t>
      </w:r>
      <w:r>
        <w:rPr>
          <w:rFonts w:ascii="Calibri" w:hAnsi="Calibri"/>
          <w:color w:val="231F20"/>
          <w:spacing w:val="-14"/>
          <w:w w:val="105"/>
          <w:sz w:val="17"/>
        </w:rPr>
        <w:t> </w:t>
      </w:r>
      <w:r>
        <w:rPr>
          <w:rFonts w:ascii="Calibri" w:hAnsi="Calibri"/>
          <w:color w:val="231F20"/>
          <w:w w:val="105"/>
          <w:sz w:val="17"/>
        </w:rPr>
        <w:t>la</w:t>
      </w:r>
      <w:r>
        <w:rPr>
          <w:rFonts w:ascii="Calibri" w:hAnsi="Calibri"/>
          <w:color w:val="231F20"/>
          <w:spacing w:val="-14"/>
          <w:w w:val="105"/>
          <w:sz w:val="17"/>
        </w:rPr>
        <w:t> </w:t>
      </w:r>
      <w:r>
        <w:rPr>
          <w:rFonts w:ascii="Calibri" w:hAnsi="Calibri"/>
          <w:color w:val="231F20"/>
          <w:w w:val="105"/>
          <w:sz w:val="17"/>
        </w:rPr>
        <w:t>cultura</w:t>
      </w:r>
      <w:r>
        <w:rPr>
          <w:rFonts w:ascii="Calibri" w:hAnsi="Calibri"/>
          <w:color w:val="231F20"/>
          <w:spacing w:val="-14"/>
          <w:w w:val="105"/>
          <w:sz w:val="17"/>
        </w:rPr>
        <w:t> </w:t>
      </w:r>
      <w:r>
        <w:rPr>
          <w:rFonts w:ascii="Calibri" w:hAnsi="Calibri"/>
          <w:color w:val="231F20"/>
          <w:w w:val="105"/>
          <w:sz w:val="17"/>
        </w:rPr>
        <w:t>confucia- na,</w:t>
      </w:r>
      <w:r>
        <w:rPr>
          <w:rFonts w:ascii="Calibri" w:hAnsi="Calibri"/>
          <w:color w:val="231F20"/>
          <w:spacing w:val="-12"/>
          <w:w w:val="105"/>
          <w:sz w:val="17"/>
        </w:rPr>
        <w:t> </w:t>
      </w:r>
      <w:r>
        <w:rPr>
          <w:rFonts w:ascii="Calibri" w:hAnsi="Calibri"/>
          <w:color w:val="231F20"/>
          <w:w w:val="105"/>
          <w:sz w:val="17"/>
        </w:rPr>
        <w:t>o</w:t>
      </w:r>
      <w:r>
        <w:rPr>
          <w:rFonts w:ascii="Calibri" w:hAnsi="Calibri"/>
          <w:color w:val="231F20"/>
          <w:spacing w:val="-12"/>
          <w:w w:val="105"/>
          <w:sz w:val="17"/>
        </w:rPr>
        <w:t> </w:t>
      </w:r>
      <w:r>
        <w:rPr>
          <w:rFonts w:ascii="Calibri" w:hAnsi="Calibri"/>
          <w:color w:val="231F20"/>
          <w:w w:val="105"/>
          <w:sz w:val="17"/>
        </w:rPr>
        <w:t>en</w:t>
      </w:r>
      <w:r>
        <w:rPr>
          <w:rFonts w:ascii="Calibri" w:hAnsi="Calibri"/>
          <w:color w:val="231F20"/>
          <w:spacing w:val="-12"/>
          <w:w w:val="105"/>
          <w:sz w:val="17"/>
        </w:rPr>
        <w:t> </w:t>
      </w:r>
      <w:r>
        <w:rPr>
          <w:rFonts w:ascii="Calibri" w:hAnsi="Calibri"/>
          <w:color w:val="231F20"/>
          <w:w w:val="105"/>
          <w:sz w:val="17"/>
        </w:rPr>
        <w:t>el</w:t>
      </w:r>
      <w:r>
        <w:rPr>
          <w:rFonts w:ascii="Calibri" w:hAnsi="Calibri"/>
          <w:color w:val="231F20"/>
          <w:spacing w:val="-12"/>
          <w:w w:val="105"/>
          <w:sz w:val="17"/>
        </w:rPr>
        <w:t> </w:t>
      </w:r>
      <w:r>
        <w:rPr>
          <w:rFonts w:ascii="Calibri" w:hAnsi="Calibri"/>
          <w:color w:val="231F20"/>
          <w:w w:val="105"/>
          <w:sz w:val="17"/>
        </w:rPr>
        <w:t>África</w:t>
      </w:r>
      <w:r>
        <w:rPr>
          <w:rFonts w:ascii="Calibri" w:hAnsi="Calibri"/>
          <w:color w:val="231F20"/>
          <w:spacing w:val="-12"/>
          <w:w w:val="105"/>
          <w:sz w:val="17"/>
        </w:rPr>
        <w:t> </w:t>
      </w:r>
      <w:r>
        <w:rPr>
          <w:rFonts w:ascii="Calibri" w:hAnsi="Calibri"/>
          <w:color w:val="231F20"/>
          <w:w w:val="105"/>
          <w:sz w:val="17"/>
        </w:rPr>
        <w:t>subsahariana</w:t>
      </w:r>
      <w:r>
        <w:rPr>
          <w:rFonts w:ascii="Calibri" w:hAnsi="Calibri"/>
          <w:color w:val="231F20"/>
          <w:spacing w:val="-14"/>
          <w:w w:val="105"/>
          <w:sz w:val="17"/>
        </w:rPr>
        <w:t> </w:t>
      </w:r>
      <w:r>
        <w:rPr>
          <w:rFonts w:ascii="Calibri" w:hAnsi="Calibri"/>
          <w:color w:val="231F20"/>
          <w:spacing w:val="-5"/>
          <w:w w:val="105"/>
          <w:sz w:val="17"/>
        </w:rPr>
        <w:t>y,</w:t>
      </w:r>
      <w:r>
        <w:rPr>
          <w:rFonts w:ascii="Calibri" w:hAnsi="Calibri"/>
          <w:color w:val="231F20"/>
          <w:spacing w:val="-12"/>
          <w:w w:val="105"/>
          <w:sz w:val="17"/>
        </w:rPr>
        <w:t> </w:t>
      </w:r>
      <w:r>
        <w:rPr>
          <w:rFonts w:ascii="Calibri" w:hAnsi="Calibri"/>
          <w:color w:val="231F20"/>
          <w:w w:val="105"/>
          <w:sz w:val="17"/>
        </w:rPr>
        <w:t>obviamente,</w:t>
      </w:r>
      <w:r>
        <w:rPr>
          <w:rFonts w:ascii="Calibri" w:hAnsi="Calibri"/>
          <w:color w:val="231F20"/>
          <w:spacing w:val="-12"/>
          <w:w w:val="105"/>
          <w:sz w:val="17"/>
        </w:rPr>
        <w:t> </w:t>
      </w:r>
      <w:r>
        <w:rPr>
          <w:rFonts w:ascii="Calibri" w:hAnsi="Calibri"/>
          <w:color w:val="231F20"/>
          <w:w w:val="105"/>
          <w:sz w:val="17"/>
        </w:rPr>
        <w:t>en</w:t>
      </w:r>
      <w:r>
        <w:rPr>
          <w:rFonts w:ascii="Calibri" w:hAnsi="Calibri"/>
          <w:color w:val="231F20"/>
          <w:spacing w:val="-12"/>
          <w:w w:val="105"/>
          <w:sz w:val="17"/>
        </w:rPr>
        <w:t> </w:t>
      </w:r>
      <w:r>
        <w:rPr>
          <w:rFonts w:ascii="Calibri" w:hAnsi="Calibri"/>
          <w:color w:val="231F20"/>
          <w:w w:val="105"/>
          <w:sz w:val="17"/>
        </w:rPr>
        <w:t>el</w:t>
      </w:r>
      <w:r>
        <w:rPr>
          <w:rFonts w:ascii="Calibri" w:hAnsi="Calibri"/>
          <w:color w:val="231F20"/>
          <w:spacing w:val="-12"/>
          <w:w w:val="105"/>
          <w:sz w:val="17"/>
        </w:rPr>
        <w:t> </w:t>
      </w:r>
      <w:r>
        <w:rPr>
          <w:rFonts w:ascii="Calibri" w:hAnsi="Calibri"/>
          <w:color w:val="231F20"/>
          <w:w w:val="105"/>
          <w:sz w:val="17"/>
        </w:rPr>
        <w:t>mundo</w:t>
      </w:r>
      <w:r>
        <w:rPr>
          <w:rFonts w:ascii="Calibri" w:hAnsi="Calibri"/>
          <w:color w:val="231F20"/>
          <w:spacing w:val="-12"/>
          <w:w w:val="105"/>
          <w:sz w:val="17"/>
        </w:rPr>
        <w:t> </w:t>
      </w:r>
      <w:r>
        <w:rPr>
          <w:rFonts w:ascii="Calibri" w:hAnsi="Calibri"/>
          <w:color w:val="231F20"/>
          <w:w w:val="105"/>
          <w:sz w:val="17"/>
        </w:rPr>
        <w:t>islámico.</w:t>
      </w:r>
      <w:r>
        <w:rPr>
          <w:rFonts w:ascii="Calibri" w:hAnsi="Calibri"/>
          <w:color w:val="231F20"/>
          <w:spacing w:val="-12"/>
          <w:w w:val="105"/>
          <w:sz w:val="17"/>
        </w:rPr>
        <w:t> </w:t>
      </w:r>
      <w:r>
        <w:rPr>
          <w:rFonts w:ascii="Calibri" w:hAnsi="Calibri"/>
          <w:color w:val="231F20"/>
          <w:w w:val="105"/>
          <w:sz w:val="17"/>
        </w:rPr>
        <w:t>Al</w:t>
      </w:r>
      <w:r>
        <w:rPr>
          <w:rFonts w:ascii="Calibri" w:hAnsi="Calibri"/>
          <w:color w:val="231F20"/>
          <w:spacing w:val="-12"/>
          <w:w w:val="105"/>
          <w:sz w:val="17"/>
        </w:rPr>
        <w:t> </w:t>
      </w:r>
      <w:r>
        <w:rPr>
          <w:rFonts w:ascii="Calibri" w:hAnsi="Calibri"/>
          <w:color w:val="231F20"/>
          <w:w w:val="105"/>
          <w:sz w:val="17"/>
        </w:rPr>
        <w:t>respecto,</w:t>
      </w:r>
      <w:r>
        <w:rPr>
          <w:rFonts w:ascii="Calibri" w:hAnsi="Calibri"/>
          <w:color w:val="231F20"/>
          <w:spacing w:val="-14"/>
          <w:w w:val="105"/>
          <w:sz w:val="17"/>
        </w:rPr>
        <w:t> </w:t>
      </w:r>
      <w:r>
        <w:rPr>
          <w:rFonts w:ascii="Calibri" w:hAnsi="Calibri"/>
          <w:color w:val="231F20"/>
          <w:w w:val="105"/>
          <w:sz w:val="17"/>
        </w:rPr>
        <w:t>véase</w:t>
      </w:r>
      <w:r>
        <w:rPr>
          <w:rFonts w:ascii="Calibri" w:hAnsi="Calibri"/>
          <w:color w:val="231F20"/>
          <w:spacing w:val="-12"/>
          <w:w w:val="105"/>
          <w:sz w:val="17"/>
        </w:rPr>
        <w:t> </w:t>
      </w:r>
      <w:r>
        <w:rPr>
          <w:rFonts w:ascii="Calibri" w:hAnsi="Calibri"/>
          <w:color w:val="231F20"/>
          <w:w w:val="105"/>
          <w:sz w:val="17"/>
        </w:rPr>
        <w:t>L.</w:t>
      </w:r>
      <w:r>
        <w:rPr>
          <w:rFonts w:ascii="Calibri" w:hAnsi="Calibri"/>
          <w:color w:val="231F20"/>
          <w:spacing w:val="-12"/>
          <w:w w:val="105"/>
          <w:sz w:val="17"/>
        </w:rPr>
        <w:t> </w:t>
      </w:r>
      <w:r>
        <w:rPr>
          <w:rFonts w:ascii="Calibri" w:hAnsi="Calibri"/>
          <w:color w:val="231F20"/>
          <w:w w:val="105"/>
          <w:sz w:val="17"/>
        </w:rPr>
        <w:t>Baccelli, </w:t>
      </w:r>
      <w:r>
        <w:rPr>
          <w:rFonts w:ascii="Calibri" w:hAnsi="Calibri"/>
          <w:i/>
          <w:color w:val="231F20"/>
          <w:sz w:val="17"/>
        </w:rPr>
        <w:t>I</w:t>
      </w:r>
      <w:r>
        <w:rPr>
          <w:rFonts w:ascii="Calibri" w:hAnsi="Calibri"/>
          <w:i/>
          <w:color w:val="231F20"/>
          <w:spacing w:val="-8"/>
          <w:sz w:val="17"/>
        </w:rPr>
        <w:t> </w:t>
      </w:r>
      <w:r>
        <w:rPr>
          <w:rFonts w:ascii="Calibri" w:hAnsi="Calibri"/>
          <w:i/>
          <w:color w:val="231F20"/>
          <w:sz w:val="17"/>
        </w:rPr>
        <w:t>diritti</w:t>
      </w:r>
      <w:r>
        <w:rPr>
          <w:rFonts w:ascii="Calibri" w:hAnsi="Calibri"/>
          <w:i/>
          <w:color w:val="231F20"/>
          <w:spacing w:val="-8"/>
          <w:sz w:val="17"/>
        </w:rPr>
        <w:t> </w:t>
      </w:r>
      <w:r>
        <w:rPr>
          <w:rFonts w:ascii="Calibri" w:hAnsi="Calibri"/>
          <w:i/>
          <w:color w:val="231F20"/>
          <w:sz w:val="17"/>
        </w:rPr>
        <w:t>dei</w:t>
      </w:r>
      <w:r>
        <w:rPr>
          <w:rFonts w:ascii="Calibri" w:hAnsi="Calibri"/>
          <w:i/>
          <w:color w:val="231F20"/>
          <w:spacing w:val="-8"/>
          <w:sz w:val="17"/>
        </w:rPr>
        <w:t> </w:t>
      </w:r>
      <w:r>
        <w:rPr>
          <w:rFonts w:ascii="Calibri" w:hAnsi="Calibri"/>
          <w:i/>
          <w:color w:val="231F20"/>
          <w:sz w:val="17"/>
        </w:rPr>
        <w:t>popoli.</w:t>
      </w:r>
      <w:r>
        <w:rPr>
          <w:rFonts w:ascii="Calibri" w:hAnsi="Calibri"/>
          <w:i/>
          <w:color w:val="231F20"/>
          <w:spacing w:val="-8"/>
          <w:sz w:val="17"/>
        </w:rPr>
        <w:t> </w:t>
      </w:r>
      <w:r>
        <w:rPr>
          <w:rFonts w:ascii="Calibri" w:hAnsi="Calibri"/>
          <w:i/>
          <w:color w:val="231F20"/>
          <w:sz w:val="17"/>
        </w:rPr>
        <w:t>Universalismo</w:t>
      </w:r>
      <w:r>
        <w:rPr>
          <w:rFonts w:ascii="Calibri" w:hAnsi="Calibri"/>
          <w:i/>
          <w:color w:val="231F20"/>
          <w:spacing w:val="-8"/>
          <w:sz w:val="17"/>
        </w:rPr>
        <w:t> </w:t>
      </w:r>
      <w:r>
        <w:rPr>
          <w:rFonts w:ascii="Calibri" w:hAnsi="Calibri"/>
          <w:i/>
          <w:color w:val="231F20"/>
          <w:sz w:val="17"/>
        </w:rPr>
        <w:t>e</w:t>
      </w:r>
      <w:r>
        <w:rPr>
          <w:rFonts w:ascii="Calibri" w:hAnsi="Calibri"/>
          <w:i/>
          <w:color w:val="231F20"/>
          <w:spacing w:val="-8"/>
          <w:sz w:val="17"/>
        </w:rPr>
        <w:t> </w:t>
      </w:r>
      <w:r>
        <w:rPr>
          <w:rFonts w:ascii="Calibri" w:hAnsi="Calibri"/>
          <w:i/>
          <w:color w:val="231F20"/>
          <w:sz w:val="17"/>
        </w:rPr>
        <w:t>differenze</w:t>
      </w:r>
      <w:r>
        <w:rPr>
          <w:rFonts w:ascii="Calibri" w:hAnsi="Calibri"/>
          <w:i/>
          <w:color w:val="231F20"/>
          <w:spacing w:val="-8"/>
          <w:sz w:val="17"/>
        </w:rPr>
        <w:t> </w:t>
      </w:r>
      <w:r>
        <w:rPr>
          <w:rFonts w:ascii="Calibri" w:hAnsi="Calibri"/>
          <w:i/>
          <w:color w:val="231F20"/>
          <w:sz w:val="17"/>
        </w:rPr>
        <w:t>culturali</w:t>
      </w:r>
      <w:r>
        <w:rPr>
          <w:rFonts w:ascii="Calibri" w:hAnsi="Calibri"/>
          <w:color w:val="231F20"/>
          <w:sz w:val="17"/>
        </w:rPr>
        <w:t>,</w:t>
      </w:r>
      <w:r>
        <w:rPr>
          <w:rFonts w:ascii="Calibri" w:hAnsi="Calibri"/>
          <w:color w:val="231F20"/>
          <w:spacing w:val="-7"/>
          <w:sz w:val="17"/>
        </w:rPr>
        <w:t> </w:t>
      </w:r>
      <w:r>
        <w:rPr>
          <w:rFonts w:ascii="Calibri" w:hAnsi="Calibri"/>
          <w:color w:val="231F20"/>
          <w:sz w:val="17"/>
        </w:rPr>
        <w:t>Roma–Bari,</w:t>
      </w:r>
      <w:r>
        <w:rPr>
          <w:rFonts w:ascii="Calibri" w:hAnsi="Calibri"/>
          <w:color w:val="231F20"/>
          <w:spacing w:val="-7"/>
          <w:sz w:val="17"/>
        </w:rPr>
        <w:t> </w:t>
      </w:r>
      <w:r>
        <w:rPr>
          <w:rFonts w:ascii="Calibri" w:hAnsi="Calibri"/>
          <w:color w:val="231F20"/>
          <w:sz w:val="17"/>
        </w:rPr>
        <w:t>Laterza,</w:t>
      </w:r>
      <w:r>
        <w:rPr>
          <w:rFonts w:ascii="Calibri" w:hAnsi="Calibri"/>
          <w:color w:val="231F20"/>
          <w:spacing w:val="-7"/>
          <w:sz w:val="17"/>
        </w:rPr>
        <w:t> </w:t>
      </w:r>
      <w:r>
        <w:rPr>
          <w:rFonts w:ascii="Calibri" w:hAnsi="Calibri"/>
          <w:color w:val="231F20"/>
          <w:sz w:val="17"/>
        </w:rPr>
        <w:t>2009,</w:t>
      </w:r>
      <w:r>
        <w:rPr>
          <w:rFonts w:ascii="Calibri" w:hAnsi="Calibri"/>
          <w:color w:val="231F20"/>
          <w:spacing w:val="-7"/>
          <w:sz w:val="17"/>
        </w:rPr>
        <w:t> </w:t>
      </w:r>
      <w:r>
        <w:rPr>
          <w:rFonts w:ascii="Calibri" w:hAnsi="Calibri"/>
          <w:color w:val="231F20"/>
          <w:sz w:val="17"/>
        </w:rPr>
        <w:t>en</w:t>
      </w:r>
      <w:r>
        <w:rPr>
          <w:rFonts w:ascii="Calibri" w:hAnsi="Calibri"/>
          <w:color w:val="231F20"/>
          <w:spacing w:val="-7"/>
          <w:sz w:val="17"/>
        </w:rPr>
        <w:t> </w:t>
      </w:r>
      <w:r>
        <w:rPr>
          <w:rFonts w:ascii="Calibri" w:hAnsi="Calibri"/>
          <w:color w:val="231F20"/>
          <w:sz w:val="17"/>
        </w:rPr>
        <w:t>part.</w:t>
      </w:r>
      <w:r>
        <w:rPr>
          <w:rFonts w:ascii="Calibri" w:hAnsi="Calibri"/>
          <w:color w:val="231F20"/>
          <w:spacing w:val="-7"/>
          <w:sz w:val="17"/>
        </w:rPr>
        <w:t> </w:t>
      </w:r>
      <w:r>
        <w:rPr>
          <w:rFonts w:ascii="Calibri" w:hAnsi="Calibri"/>
          <w:color w:val="231F20"/>
          <w:sz w:val="17"/>
        </w:rPr>
        <w:t>pp.</w:t>
      </w:r>
      <w:r>
        <w:rPr>
          <w:rFonts w:ascii="Calibri" w:hAnsi="Calibri"/>
          <w:color w:val="231F20"/>
          <w:spacing w:val="-7"/>
          <w:sz w:val="17"/>
        </w:rPr>
        <w:t> </w:t>
      </w:r>
      <w:r>
        <w:rPr>
          <w:rFonts w:ascii="Calibri" w:hAnsi="Calibri"/>
          <w:color w:val="231F20"/>
          <w:sz w:val="17"/>
        </w:rPr>
        <w:t>64–123.</w:t>
      </w:r>
    </w:p>
    <w:p>
      <w:pPr>
        <w:pStyle w:val="BodyText"/>
        <w:rPr>
          <w:rFonts w:ascii="Calibri"/>
          <w:sz w:val="20"/>
        </w:rPr>
      </w:pPr>
    </w:p>
    <w:p>
      <w:pPr>
        <w:pStyle w:val="BodyText"/>
        <w:spacing w:before="1"/>
        <w:rPr>
          <w:rFonts w:ascii="Calibri"/>
          <w:sz w:val="28"/>
        </w:rPr>
      </w:pPr>
    </w:p>
    <w:p>
      <w:pPr>
        <w:tabs>
          <w:tab w:pos="1331" w:val="left" w:leader="none"/>
        </w:tabs>
        <w:spacing w:before="69"/>
        <w:ind w:left="226" w:right="0" w:firstLine="0"/>
        <w:jc w:val="left"/>
        <w:rPr>
          <w:rFonts w:ascii="Calibri"/>
          <w:sz w:val="16"/>
        </w:rPr>
      </w:pPr>
      <w:r>
        <w:rPr/>
        <w:pict>
          <v:group style="position:absolute;margin-left:98.787804pt;margin-top:-3.308812pt;width:20.4pt;height:43pt;mso-position-horizontal-relative:page;mso-position-vertical-relative:paragraph;z-index:-167752" coordorigin="1976,-66" coordsize="408,860">
            <v:line style="position:absolute" from="2225,73" to="2225,789" stroked="true" strokeweight=".35pt" strokecolor="#231f20"/>
            <v:shape style="position:absolute;left:2193;top:-13;width:190;height:445" type="#_x0000_t75" stroked="false">
              <v:imagedata r:id="rId40" o:title=""/>
            </v:shape>
            <v:shape style="position:absolute;left:1976;top:-66;width:250;height:502" type="#_x0000_t75" stroked="false">
              <v:imagedata r:id="rId41" o:title=""/>
            </v:shape>
            <w10:wrap type="none"/>
          </v:group>
        </w:pict>
      </w:r>
      <w:r>
        <w:rPr>
          <w:rFonts w:ascii="Arial"/>
          <w:color w:val="414042"/>
          <w:w w:val="105"/>
          <w:position w:val="-4"/>
          <w:sz w:val="20"/>
        </w:rPr>
        <w:t>150</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182"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769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ASUNTOS</w:t>
      </w:r>
      <w:r>
        <w:rPr>
          <w:rFonts w:ascii="Lucida Sans Unicode" w:hAnsi="Lucida Sans Unicode"/>
          <w:color w:val="6D6E71"/>
          <w:spacing w:val="-30"/>
          <w:w w:val="95"/>
          <w:sz w:val="14"/>
        </w:rPr>
        <w:t> </w:t>
      </w:r>
      <w:r>
        <w:rPr>
          <w:rFonts w:ascii="Lucida Sans Unicode" w:hAnsi="Lucida Sans Unicode"/>
          <w:color w:val="6D6E71"/>
          <w:w w:val="95"/>
          <w:sz w:val="14"/>
        </w:rPr>
        <w:t>DE</w:t>
      </w:r>
      <w:r>
        <w:rPr>
          <w:rFonts w:ascii="Lucida Sans Unicode" w:hAnsi="Lucida Sans Unicode"/>
          <w:color w:val="6D6E71"/>
          <w:spacing w:val="-30"/>
          <w:w w:val="95"/>
          <w:sz w:val="14"/>
        </w:rPr>
        <w:t> </w:t>
      </w:r>
      <w:r>
        <w:rPr>
          <w:rFonts w:ascii="Lucida Sans Unicode" w:hAnsi="Lucida Sans Unicode"/>
          <w:color w:val="6D6E71"/>
          <w:w w:val="95"/>
          <w:sz w:val="14"/>
        </w:rPr>
        <w:t>FRONTERA.</w:t>
      </w:r>
      <w:r>
        <w:rPr>
          <w:rFonts w:ascii="Lucida Sans Unicode" w:hAnsi="Lucida Sans Unicode"/>
          <w:color w:val="6D6E71"/>
          <w:spacing w:val="-30"/>
          <w:w w:val="95"/>
          <w:sz w:val="14"/>
        </w:rPr>
        <w:t> </w:t>
      </w:r>
      <w:r>
        <w:rPr>
          <w:rFonts w:ascii="Lucida Sans Unicode" w:hAnsi="Lucida Sans Unicode"/>
          <w:color w:val="6D6E71"/>
          <w:w w:val="95"/>
          <w:sz w:val="14"/>
        </w:rPr>
        <w:t>SOBERANÍA</w:t>
      </w:r>
      <w:r>
        <w:rPr>
          <w:rFonts w:ascii="Lucida Sans Unicode" w:hAnsi="Lucida Sans Unicode"/>
          <w:color w:val="6D6E71"/>
          <w:spacing w:val="-30"/>
          <w:w w:val="95"/>
          <w:sz w:val="14"/>
        </w:rPr>
        <w:t> </w:t>
      </w:r>
      <w:r>
        <w:rPr>
          <w:rFonts w:ascii="Lucida Sans Unicode" w:hAnsi="Lucida Sans Unicode"/>
          <w:color w:val="6D6E71"/>
          <w:w w:val="95"/>
          <w:sz w:val="14"/>
        </w:rPr>
        <w:t>TERRITORIAL</w:t>
      </w:r>
      <w:r>
        <w:rPr>
          <w:rFonts w:ascii="Lucida Sans Unicode" w:hAnsi="Lucida Sans Unicode"/>
          <w:color w:val="6D6E71"/>
          <w:spacing w:val="-30"/>
          <w:w w:val="95"/>
          <w:sz w:val="14"/>
        </w:rPr>
        <w:t> </w:t>
      </w:r>
      <w:r>
        <w:rPr>
          <w:rFonts w:ascii="Lucida Sans Unicode" w:hAnsi="Lucida Sans Unicode"/>
          <w:color w:val="6D6E71"/>
          <w:w w:val="95"/>
          <w:sz w:val="14"/>
        </w:rPr>
        <w:t>Y</w:t>
      </w:r>
      <w:r>
        <w:rPr>
          <w:rFonts w:ascii="Lucida Sans Unicode" w:hAnsi="Lucida Sans Unicode"/>
          <w:color w:val="6D6E71"/>
          <w:spacing w:val="-30"/>
          <w:w w:val="95"/>
          <w:sz w:val="14"/>
        </w:rPr>
        <w:t> </w:t>
      </w:r>
      <w:r>
        <w:rPr>
          <w:rFonts w:ascii="Lucida Sans Unicode" w:hAnsi="Lucida Sans Unicode"/>
          <w:color w:val="6D6E71"/>
          <w:w w:val="95"/>
          <w:sz w:val="14"/>
        </w:rPr>
        <w:t>ORDEN</w:t>
      </w:r>
      <w:r>
        <w:rPr>
          <w:rFonts w:ascii="Lucida Sans Unicode" w:hAnsi="Lucida Sans Unicode"/>
          <w:color w:val="6D6E71"/>
          <w:spacing w:val="-30"/>
          <w:w w:val="95"/>
          <w:sz w:val="14"/>
        </w:rPr>
        <w:t> </w:t>
      </w:r>
      <w:r>
        <w:rPr>
          <w:rFonts w:ascii="Lucida Sans Unicode" w:hAnsi="Lucida Sans Unicode"/>
          <w:color w:val="6D6E71"/>
          <w:w w:val="95"/>
          <w:sz w:val="14"/>
        </w:rPr>
        <w:t>GLOBAL</w:t>
      </w:r>
      <w:r>
        <w:rPr>
          <w:rFonts w:ascii="Lucida Sans Unicode" w:hAnsi="Lucida Sans Unicode"/>
          <w:color w:val="6D6E71"/>
          <w:spacing w:val="-30"/>
          <w:w w:val="95"/>
          <w:sz w:val="14"/>
        </w:rPr>
        <w:t> </w:t>
      </w:r>
      <w:r>
        <w:rPr>
          <w:rFonts w:ascii="Lucida Sans Unicode" w:hAnsi="Lucida Sans Unicode"/>
          <w:color w:val="6D6E71"/>
          <w:w w:val="95"/>
          <w:sz w:val="14"/>
        </w:rPr>
        <w:t>EN</w:t>
      </w:r>
      <w:r>
        <w:rPr>
          <w:rFonts w:ascii="Lucida Sans Unicode" w:hAnsi="Lucida Sans Unicode"/>
          <w:color w:val="6D6E71"/>
          <w:spacing w:val="-30"/>
          <w:w w:val="95"/>
          <w:sz w:val="14"/>
        </w:rPr>
        <w:t> </w:t>
      </w:r>
      <w:r>
        <w:rPr>
          <w:rFonts w:ascii="Lucida Sans Unicode" w:hAnsi="Lucida Sans Unicode"/>
          <w:color w:val="6D6E71"/>
          <w:w w:val="95"/>
          <w:sz w:val="14"/>
        </w:rPr>
        <w:t>EL</w:t>
      </w:r>
      <w:r>
        <w:rPr>
          <w:rFonts w:ascii="Lucida Sans Unicode" w:hAnsi="Lucida Sans Unicode"/>
          <w:color w:val="6D6E71"/>
          <w:spacing w:val="-30"/>
          <w:w w:val="95"/>
          <w:sz w:val="14"/>
        </w:rPr>
        <w:t> </w:t>
      </w:r>
      <w:r>
        <w:rPr>
          <w:rFonts w:ascii="Lucida Sans Unicode" w:hAnsi="Lucida Sans Unicode"/>
          <w:color w:val="6D6E71"/>
          <w:w w:val="95"/>
          <w:sz w:val="14"/>
        </w:rPr>
        <w:t>DEBATE</w:t>
      </w:r>
    </w:p>
    <w:p>
      <w:pPr>
        <w:spacing w:line="198" w:lineRule="exact" w:before="0"/>
        <w:ind w:left="2963" w:right="-13" w:firstLine="0"/>
        <w:jc w:val="left"/>
        <w:rPr>
          <w:rFonts w:ascii="Lucida Sans Unicode" w:hAnsi="Lucida Sans Unicode"/>
          <w:sz w:val="14"/>
        </w:rPr>
      </w:pPr>
      <w:r>
        <w:rPr>
          <w:rFonts w:ascii="Lucida Sans Unicode" w:hAnsi="Lucida Sans Unicode"/>
          <w:color w:val="6D6E71"/>
          <w:w w:val="90"/>
          <w:sz w:val="14"/>
        </w:rPr>
        <w:t>SOBRE EL “NUEVO INTERVENCIONISMO</w:t>
      </w:r>
      <w:r>
        <w:rPr>
          <w:rFonts w:ascii="Lucida Sans Unicode" w:hAnsi="Lucida Sans Unicode"/>
          <w:color w:val="6D6E71"/>
          <w:spacing w:val="-25"/>
          <w:w w:val="90"/>
          <w:sz w:val="14"/>
        </w:rPr>
        <w:t> </w:t>
      </w:r>
      <w:r>
        <w:rPr>
          <w:rFonts w:ascii="Lucida Sans Unicode" w:hAnsi="Lucida Sans Unicode"/>
          <w:color w:val="6D6E71"/>
          <w:w w:val="90"/>
          <w:sz w:val="14"/>
        </w:rPr>
        <w:t>HUMANITARIO”</w:t>
      </w:r>
    </w:p>
    <w:p>
      <w:pPr>
        <w:spacing w:before="59"/>
        <w:ind w:left="338" w:right="0" w:firstLine="0"/>
        <w:jc w:val="left"/>
        <w:rPr>
          <w:rFonts w:ascii="Arial"/>
          <w:sz w:val="20"/>
        </w:rPr>
      </w:pPr>
      <w:r>
        <w:rPr/>
        <w:br w:type="column"/>
      </w:r>
      <w:r>
        <w:rPr>
          <w:rFonts w:ascii="Arial"/>
          <w:color w:val="414042"/>
          <w:sz w:val="20"/>
        </w:rPr>
        <w:t>151</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6"/>
        <w:rPr>
          <w:rFonts w:ascii="Arial"/>
          <w:sz w:val="16"/>
        </w:rPr>
      </w:pPr>
    </w:p>
    <w:p>
      <w:pPr>
        <w:pStyle w:val="BodyText"/>
        <w:spacing w:line="244" w:lineRule="auto" w:before="44"/>
        <w:ind w:left="117" w:right="101"/>
        <w:jc w:val="both"/>
      </w:pPr>
      <w:r>
        <w:rPr>
          <w:color w:val="231F20"/>
        </w:rPr>
        <w:t>de</w:t>
      </w:r>
      <w:r>
        <w:rPr>
          <w:color w:val="231F20"/>
          <w:spacing w:val="-6"/>
        </w:rPr>
        <w:t> </w:t>
      </w:r>
      <w:r>
        <w:rPr>
          <w:color w:val="231F20"/>
        </w:rPr>
        <w:t>una</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intervencionismo</w:t>
      </w:r>
      <w:r>
        <w:rPr>
          <w:color w:val="231F20"/>
          <w:spacing w:val="-6"/>
        </w:rPr>
        <w:t> </w:t>
      </w:r>
      <w:r>
        <w:rPr>
          <w:color w:val="231F20"/>
        </w:rPr>
        <w:t>militar</w:t>
      </w:r>
      <w:r>
        <w:rPr>
          <w:color w:val="231F20"/>
          <w:spacing w:val="-6"/>
        </w:rPr>
        <w:t> </w:t>
      </w:r>
      <w:r>
        <w:rPr>
          <w:color w:val="231F20"/>
        </w:rPr>
        <w:t>sin</w:t>
      </w:r>
      <w:r>
        <w:rPr>
          <w:color w:val="231F20"/>
          <w:spacing w:val="-6"/>
        </w:rPr>
        <w:t> </w:t>
      </w:r>
      <w:r>
        <w:rPr>
          <w:color w:val="231F20"/>
        </w:rPr>
        <w:t>límites</w:t>
      </w:r>
      <w:r>
        <w:rPr>
          <w:color w:val="231F20"/>
          <w:spacing w:val="-6"/>
        </w:rPr>
        <w:t> </w:t>
      </w:r>
      <w:r>
        <w:rPr>
          <w:color w:val="231F20"/>
        </w:rPr>
        <w:t>y</w:t>
      </w:r>
      <w:r>
        <w:rPr>
          <w:color w:val="231F20"/>
          <w:spacing w:val="-6"/>
        </w:rPr>
        <w:t> </w:t>
      </w:r>
      <w:r>
        <w:rPr>
          <w:color w:val="231F20"/>
        </w:rPr>
        <w:t>carente</w:t>
      </w:r>
      <w:r>
        <w:rPr>
          <w:color w:val="231F20"/>
          <w:spacing w:val="-6"/>
        </w:rPr>
        <w:t> </w:t>
      </w:r>
      <w:r>
        <w:rPr>
          <w:color w:val="231F20"/>
        </w:rPr>
        <w:t>de</w:t>
      </w:r>
      <w:r>
        <w:rPr>
          <w:color w:val="231F20"/>
          <w:spacing w:val="-6"/>
        </w:rPr>
        <w:t> </w:t>
      </w:r>
      <w:r>
        <w:rPr>
          <w:color w:val="231F20"/>
        </w:rPr>
        <w:t>mediacio- nes, termina por asumir los rasgos inquietantes de un intolerable “engaño ético–jurídico”, una verdadera “impostura”</w:t>
      </w:r>
      <w:r>
        <w:rPr>
          <w:color w:val="231F20"/>
          <w:position w:val="7"/>
          <w:sz w:val="12"/>
        </w:rPr>
        <w:t>40</w:t>
      </w:r>
      <w:r>
        <w:rPr>
          <w:color w:val="231F20"/>
        </w:rPr>
        <w:t>, peculiarmente funcional para las lógicas de una </w:t>
      </w:r>
      <w:r>
        <w:rPr>
          <w:rFonts w:ascii="Arial" w:hAnsi="Arial"/>
          <w:i/>
          <w:color w:val="231F20"/>
        </w:rPr>
        <w:t>política absoluta </w:t>
      </w:r>
      <w:r>
        <w:rPr>
          <w:color w:val="231F20"/>
        </w:rPr>
        <w:t>que se considera exenta de la obliga- ción de la discusión argumentativa y de la búsqueda del compromiso con todo lo que tiene que ver con el ejercicio del</w:t>
      </w:r>
      <w:r>
        <w:rPr>
          <w:color w:val="231F20"/>
          <w:spacing w:val="53"/>
        </w:rPr>
        <w:t> </w:t>
      </w:r>
      <w:r>
        <w:rPr>
          <w:color w:val="231F20"/>
        </w:rPr>
        <w:t>poder</w:t>
      </w:r>
      <w:r>
        <w:rPr>
          <w:color w:val="231F20"/>
          <w:position w:val="7"/>
          <w:sz w:val="12"/>
        </w:rPr>
        <w:t>41</w:t>
      </w:r>
      <w:r>
        <w:rPr>
          <w:color w:val="231F20"/>
        </w:rPr>
        <w:t>.</w:t>
      </w:r>
    </w:p>
    <w:p>
      <w:pPr>
        <w:pStyle w:val="BodyText"/>
        <w:spacing w:line="247" w:lineRule="auto" w:before="1"/>
        <w:ind w:left="117" w:right="101" w:firstLine="566"/>
        <w:jc w:val="both"/>
      </w:pPr>
      <w:r>
        <w:rPr>
          <w:color w:val="231F20"/>
          <w:w w:val="105"/>
        </w:rPr>
        <w:t>Apenas es necesario remarcar el papel jugado en tal dirección de discurso</w:t>
      </w:r>
      <w:r>
        <w:rPr>
          <w:color w:val="231F20"/>
          <w:spacing w:val="-33"/>
          <w:w w:val="105"/>
        </w:rPr>
        <w:t> </w:t>
      </w:r>
      <w:r>
        <w:rPr>
          <w:color w:val="231F20"/>
          <w:w w:val="105"/>
        </w:rPr>
        <w:t>por</w:t>
      </w:r>
      <w:r>
        <w:rPr>
          <w:color w:val="231F20"/>
          <w:spacing w:val="-33"/>
          <w:w w:val="105"/>
        </w:rPr>
        <w:t> </w:t>
      </w:r>
      <w:r>
        <w:rPr>
          <w:color w:val="231F20"/>
          <w:w w:val="105"/>
        </w:rPr>
        <w:t>las</w:t>
      </w:r>
      <w:r>
        <w:rPr>
          <w:color w:val="231F20"/>
          <w:spacing w:val="-33"/>
          <w:w w:val="105"/>
        </w:rPr>
        <w:t> </w:t>
      </w:r>
      <w:r>
        <w:rPr>
          <w:color w:val="231F20"/>
          <w:w w:val="105"/>
        </w:rPr>
        <w:t>tesis</w:t>
      </w:r>
      <w:r>
        <w:rPr>
          <w:color w:val="231F20"/>
          <w:spacing w:val="-33"/>
          <w:w w:val="105"/>
        </w:rPr>
        <w:t> </w:t>
      </w:r>
      <w:r>
        <w:rPr>
          <w:color w:val="231F20"/>
          <w:w w:val="105"/>
        </w:rPr>
        <w:t>de</w:t>
      </w:r>
      <w:r>
        <w:rPr>
          <w:color w:val="231F20"/>
          <w:spacing w:val="-33"/>
          <w:w w:val="105"/>
        </w:rPr>
        <w:t> </w:t>
      </w:r>
      <w:r>
        <w:rPr>
          <w:color w:val="231F20"/>
          <w:w w:val="105"/>
        </w:rPr>
        <w:t>Carl</w:t>
      </w:r>
      <w:r>
        <w:rPr>
          <w:color w:val="231F20"/>
          <w:spacing w:val="-33"/>
          <w:w w:val="105"/>
        </w:rPr>
        <w:t> </w:t>
      </w:r>
      <w:r>
        <w:rPr>
          <w:color w:val="231F20"/>
          <w:w w:val="105"/>
        </w:rPr>
        <w:t>Schmitt,</w:t>
      </w:r>
      <w:r>
        <w:rPr>
          <w:color w:val="231F20"/>
          <w:spacing w:val="-33"/>
          <w:w w:val="105"/>
        </w:rPr>
        <w:t> </w:t>
      </w:r>
      <w:r>
        <w:rPr>
          <w:color w:val="231F20"/>
          <w:w w:val="105"/>
        </w:rPr>
        <w:t>el</w:t>
      </w:r>
      <w:r>
        <w:rPr>
          <w:color w:val="231F20"/>
          <w:spacing w:val="-33"/>
          <w:w w:val="105"/>
        </w:rPr>
        <w:t> </w:t>
      </w:r>
      <w:r>
        <w:rPr>
          <w:color w:val="231F20"/>
          <w:w w:val="105"/>
        </w:rPr>
        <w:t>más</w:t>
      </w:r>
      <w:r>
        <w:rPr>
          <w:color w:val="231F20"/>
          <w:spacing w:val="-33"/>
          <w:w w:val="105"/>
        </w:rPr>
        <w:t> </w:t>
      </w:r>
      <w:r>
        <w:rPr>
          <w:color w:val="231F20"/>
          <w:w w:val="105"/>
        </w:rPr>
        <w:t>célebre</w:t>
      </w:r>
      <w:r>
        <w:rPr>
          <w:color w:val="231F20"/>
          <w:spacing w:val="-33"/>
          <w:w w:val="105"/>
        </w:rPr>
        <w:t> </w:t>
      </w:r>
      <w:r>
        <w:rPr>
          <w:color w:val="231F20"/>
          <w:w w:val="105"/>
        </w:rPr>
        <w:t>y</w:t>
      </w:r>
      <w:r>
        <w:rPr>
          <w:color w:val="231F20"/>
          <w:spacing w:val="-33"/>
          <w:w w:val="105"/>
        </w:rPr>
        <w:t> </w:t>
      </w:r>
      <w:r>
        <w:rPr>
          <w:color w:val="231F20"/>
          <w:w w:val="105"/>
        </w:rPr>
        <w:t>discutido</w:t>
      </w:r>
      <w:r>
        <w:rPr>
          <w:color w:val="231F20"/>
          <w:spacing w:val="-33"/>
          <w:w w:val="105"/>
        </w:rPr>
        <w:t> </w:t>
      </w:r>
      <w:r>
        <w:rPr>
          <w:color w:val="231F20"/>
          <w:w w:val="105"/>
        </w:rPr>
        <w:t>exponente del</w:t>
      </w:r>
      <w:r>
        <w:rPr>
          <w:color w:val="231F20"/>
          <w:spacing w:val="-7"/>
          <w:w w:val="105"/>
        </w:rPr>
        <w:t> </w:t>
      </w:r>
      <w:r>
        <w:rPr>
          <w:color w:val="231F20"/>
          <w:w w:val="105"/>
        </w:rPr>
        <w:t>realismo</w:t>
      </w:r>
      <w:r>
        <w:rPr>
          <w:color w:val="231F20"/>
          <w:spacing w:val="-7"/>
          <w:w w:val="105"/>
        </w:rPr>
        <w:t> </w:t>
      </w:r>
      <w:r>
        <w:rPr>
          <w:color w:val="231F20"/>
          <w:w w:val="105"/>
        </w:rPr>
        <w:t>político</w:t>
      </w:r>
      <w:r>
        <w:rPr>
          <w:color w:val="231F20"/>
          <w:spacing w:val="-7"/>
          <w:w w:val="105"/>
        </w:rPr>
        <w:t> </w:t>
      </w:r>
      <w:r>
        <w:rPr>
          <w:color w:val="231F20"/>
          <w:w w:val="105"/>
        </w:rPr>
        <w:t>del</w:t>
      </w:r>
      <w:r>
        <w:rPr>
          <w:color w:val="231F20"/>
          <w:spacing w:val="-7"/>
          <w:w w:val="105"/>
        </w:rPr>
        <w:t> </w:t>
      </w:r>
      <w:r>
        <w:rPr>
          <w:color w:val="231F20"/>
          <w:w w:val="105"/>
        </w:rPr>
        <w:t>siglo</w:t>
      </w:r>
      <w:r>
        <w:rPr>
          <w:color w:val="231F20"/>
          <w:spacing w:val="-7"/>
          <w:w w:val="105"/>
        </w:rPr>
        <w:t> </w:t>
      </w:r>
      <w:r>
        <w:rPr>
          <w:color w:val="231F20"/>
          <w:w w:val="105"/>
          <w:sz w:val="18"/>
        </w:rPr>
        <w:t>XX</w:t>
      </w:r>
      <w:r>
        <w:rPr>
          <w:color w:val="231F20"/>
          <w:w w:val="105"/>
        </w:rPr>
        <w:t>,</w:t>
      </w:r>
      <w:r>
        <w:rPr>
          <w:color w:val="231F20"/>
          <w:spacing w:val="-7"/>
          <w:w w:val="105"/>
        </w:rPr>
        <w:t> </w:t>
      </w:r>
      <w:r>
        <w:rPr>
          <w:color w:val="231F20"/>
          <w:w w:val="105"/>
        </w:rPr>
        <w:t>protagonista</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últimos</w:t>
      </w:r>
      <w:r>
        <w:rPr>
          <w:color w:val="231F20"/>
          <w:spacing w:val="-7"/>
          <w:w w:val="105"/>
        </w:rPr>
        <w:t> </w:t>
      </w:r>
      <w:r>
        <w:rPr>
          <w:color w:val="231F20"/>
          <w:w w:val="105"/>
        </w:rPr>
        <w:t>años</w:t>
      </w:r>
      <w:r>
        <w:rPr>
          <w:color w:val="231F20"/>
          <w:spacing w:val="-7"/>
          <w:w w:val="105"/>
        </w:rPr>
        <w:t> </w:t>
      </w:r>
      <w:r>
        <w:rPr>
          <w:color w:val="231F20"/>
          <w:w w:val="105"/>
        </w:rPr>
        <w:t>de</w:t>
      </w:r>
      <w:r>
        <w:rPr>
          <w:color w:val="231F20"/>
          <w:spacing w:val="-7"/>
          <w:w w:val="105"/>
        </w:rPr>
        <w:t> </w:t>
      </w:r>
      <w:r>
        <w:rPr>
          <w:color w:val="231F20"/>
          <w:w w:val="105"/>
        </w:rPr>
        <w:t>un improviso y desde muchos ángulos inesperado “regreso” también en el campo</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estudios</w:t>
      </w:r>
      <w:r>
        <w:rPr>
          <w:color w:val="231F20"/>
          <w:spacing w:val="-26"/>
          <w:w w:val="105"/>
        </w:rPr>
        <w:t> </w:t>
      </w:r>
      <w:r>
        <w:rPr>
          <w:color w:val="231F20"/>
          <w:w w:val="105"/>
        </w:rPr>
        <w:t>internacionales</w:t>
      </w:r>
      <w:r>
        <w:rPr>
          <w:color w:val="231F20"/>
          <w:w w:val="105"/>
          <w:position w:val="7"/>
          <w:sz w:val="12"/>
        </w:rPr>
        <w:t>42</w:t>
      </w:r>
      <w:r>
        <w:rPr>
          <w:color w:val="231F20"/>
          <w:w w:val="105"/>
        </w:rPr>
        <w:t>.</w:t>
      </w:r>
      <w:r>
        <w:rPr>
          <w:color w:val="231F20"/>
          <w:spacing w:val="-26"/>
          <w:w w:val="105"/>
        </w:rPr>
        <w:t> </w:t>
      </w:r>
      <w:r>
        <w:rPr>
          <w:color w:val="231F20"/>
          <w:w w:val="105"/>
        </w:rPr>
        <w:t>Como</w:t>
      </w:r>
      <w:r>
        <w:rPr>
          <w:color w:val="231F20"/>
          <w:spacing w:val="-26"/>
          <w:w w:val="105"/>
        </w:rPr>
        <w:t> </w:t>
      </w:r>
      <w:r>
        <w:rPr>
          <w:color w:val="231F20"/>
          <w:w w:val="105"/>
        </w:rPr>
        <w:t>ha</w:t>
      </w:r>
      <w:r>
        <w:rPr>
          <w:color w:val="231F20"/>
          <w:spacing w:val="-26"/>
          <w:w w:val="105"/>
        </w:rPr>
        <w:t> </w:t>
      </w:r>
      <w:r>
        <w:rPr>
          <w:color w:val="231F20"/>
          <w:w w:val="105"/>
        </w:rPr>
        <w:t>sido</w:t>
      </w:r>
      <w:r>
        <w:rPr>
          <w:color w:val="231F20"/>
          <w:spacing w:val="-26"/>
          <w:w w:val="105"/>
        </w:rPr>
        <w:t> </w:t>
      </w:r>
      <w:r>
        <w:rPr>
          <w:color w:val="231F20"/>
          <w:w w:val="105"/>
        </w:rPr>
        <w:t>subrayado,</w:t>
      </w:r>
      <w:r>
        <w:rPr>
          <w:color w:val="231F20"/>
          <w:spacing w:val="-26"/>
          <w:w w:val="105"/>
        </w:rPr>
        <w:t> </w:t>
      </w:r>
      <w:r>
        <w:rPr>
          <w:color w:val="231F20"/>
          <w:w w:val="105"/>
        </w:rPr>
        <w:t>es</w:t>
      </w:r>
      <w:r>
        <w:rPr>
          <w:color w:val="231F20"/>
          <w:spacing w:val="-26"/>
          <w:w w:val="105"/>
        </w:rPr>
        <w:t> </w:t>
      </w:r>
      <w:r>
        <w:rPr>
          <w:color w:val="231F20"/>
          <w:w w:val="105"/>
        </w:rPr>
        <w:t>pre- cisamente</w:t>
      </w:r>
      <w:r>
        <w:rPr>
          <w:color w:val="231F20"/>
          <w:spacing w:val="-33"/>
          <w:w w:val="105"/>
        </w:rPr>
        <w:t> </w:t>
      </w:r>
      <w:r>
        <w:rPr>
          <w:color w:val="231F20"/>
          <w:w w:val="105"/>
        </w:rPr>
        <w:t>en</w:t>
      </w:r>
      <w:r>
        <w:rPr>
          <w:color w:val="231F20"/>
          <w:spacing w:val="-33"/>
          <w:w w:val="105"/>
        </w:rPr>
        <w:t> </w:t>
      </w:r>
      <w:r>
        <w:rPr>
          <w:color w:val="231F20"/>
          <w:w w:val="105"/>
        </w:rPr>
        <w:t>el</w:t>
      </w:r>
      <w:r>
        <w:rPr>
          <w:color w:val="231F20"/>
          <w:spacing w:val="-33"/>
          <w:w w:val="105"/>
        </w:rPr>
        <w:t> </w:t>
      </w:r>
      <w:r>
        <w:rPr>
          <w:color w:val="231F20"/>
          <w:w w:val="105"/>
        </w:rPr>
        <w:t>pensamiento</w:t>
      </w:r>
      <w:r>
        <w:rPr>
          <w:color w:val="231F20"/>
          <w:spacing w:val="-33"/>
          <w:w w:val="105"/>
        </w:rPr>
        <w:t> </w:t>
      </w:r>
      <w:r>
        <w:rPr>
          <w:color w:val="231F20"/>
          <w:w w:val="105"/>
        </w:rPr>
        <w:t>schmitiano</w:t>
      </w:r>
      <w:r>
        <w:rPr>
          <w:color w:val="231F20"/>
          <w:spacing w:val="-33"/>
          <w:w w:val="105"/>
        </w:rPr>
        <w:t> </w:t>
      </w:r>
      <w:r>
        <w:rPr>
          <w:color w:val="231F20"/>
          <w:w w:val="105"/>
        </w:rPr>
        <w:t>donde</w:t>
      </w:r>
      <w:r>
        <w:rPr>
          <w:color w:val="231F20"/>
          <w:spacing w:val="-33"/>
          <w:w w:val="105"/>
        </w:rPr>
        <w:t> </w:t>
      </w:r>
      <w:r>
        <w:rPr>
          <w:color w:val="231F20"/>
          <w:w w:val="105"/>
        </w:rPr>
        <w:t>se</w:t>
      </w:r>
      <w:r>
        <w:rPr>
          <w:color w:val="231F20"/>
          <w:spacing w:val="-33"/>
          <w:w w:val="105"/>
        </w:rPr>
        <w:t> </w:t>
      </w:r>
      <w:r>
        <w:rPr>
          <w:color w:val="231F20"/>
          <w:w w:val="105"/>
        </w:rPr>
        <w:t>puede</w:t>
      </w:r>
      <w:r>
        <w:rPr>
          <w:color w:val="231F20"/>
          <w:spacing w:val="-33"/>
          <w:w w:val="105"/>
        </w:rPr>
        <w:t> </w:t>
      </w:r>
      <w:r>
        <w:rPr>
          <w:color w:val="231F20"/>
          <w:w w:val="105"/>
        </w:rPr>
        <w:t>encontrar</w:t>
      </w:r>
      <w:r>
        <w:rPr>
          <w:color w:val="231F20"/>
          <w:spacing w:val="-33"/>
          <w:w w:val="105"/>
        </w:rPr>
        <w:t> </w:t>
      </w:r>
      <w:r>
        <w:rPr>
          <w:color w:val="231F20"/>
          <w:w w:val="105"/>
        </w:rPr>
        <w:t>enun- ciada</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modo</w:t>
      </w:r>
      <w:r>
        <w:rPr>
          <w:color w:val="231F20"/>
          <w:spacing w:val="-22"/>
          <w:w w:val="105"/>
        </w:rPr>
        <w:t> </w:t>
      </w:r>
      <w:r>
        <w:rPr>
          <w:color w:val="231F20"/>
          <w:w w:val="105"/>
        </w:rPr>
        <w:t>más</w:t>
      </w:r>
      <w:r>
        <w:rPr>
          <w:color w:val="231F20"/>
          <w:spacing w:val="-22"/>
          <w:w w:val="105"/>
        </w:rPr>
        <w:t> </w:t>
      </w:r>
      <w:r>
        <w:rPr>
          <w:color w:val="231F20"/>
          <w:w w:val="105"/>
        </w:rPr>
        <w:t>específico,</w:t>
      </w:r>
      <w:r>
        <w:rPr>
          <w:color w:val="231F20"/>
          <w:spacing w:val="-22"/>
          <w:w w:val="105"/>
        </w:rPr>
        <w:t> </w:t>
      </w:r>
      <w:r>
        <w:rPr>
          <w:color w:val="231F20"/>
          <w:w w:val="105"/>
        </w:rPr>
        <w:t>la</w:t>
      </w:r>
      <w:r>
        <w:rPr>
          <w:color w:val="231F20"/>
          <w:spacing w:val="-22"/>
          <w:w w:val="105"/>
        </w:rPr>
        <w:t> </w:t>
      </w:r>
      <w:r>
        <w:rPr>
          <w:color w:val="231F20"/>
          <w:w w:val="105"/>
        </w:rPr>
        <w:t>duda</w:t>
      </w:r>
      <w:r>
        <w:rPr>
          <w:color w:val="231F20"/>
          <w:spacing w:val="-22"/>
          <w:w w:val="105"/>
        </w:rPr>
        <w:t> </w:t>
      </w:r>
      <w:r>
        <w:rPr>
          <w:color w:val="231F20"/>
          <w:w w:val="105"/>
        </w:rPr>
        <w:t>realista</w:t>
      </w:r>
      <w:r>
        <w:rPr>
          <w:color w:val="231F20"/>
          <w:spacing w:val="-22"/>
          <w:w w:val="105"/>
        </w:rPr>
        <w:t> </w:t>
      </w:r>
      <w:r>
        <w:rPr>
          <w:color w:val="231F20"/>
          <w:w w:val="105"/>
        </w:rPr>
        <w:t>contra</w:t>
      </w:r>
      <w:r>
        <w:rPr>
          <w:color w:val="231F20"/>
          <w:spacing w:val="-22"/>
          <w:w w:val="105"/>
        </w:rPr>
        <w:t> </w:t>
      </w:r>
      <w:r>
        <w:rPr>
          <w:color w:val="231F20"/>
          <w:w w:val="105"/>
        </w:rPr>
        <w:t>cualquier</w:t>
      </w:r>
      <w:r>
        <w:rPr>
          <w:color w:val="231F20"/>
          <w:spacing w:val="-22"/>
          <w:w w:val="105"/>
        </w:rPr>
        <w:t> </w:t>
      </w:r>
      <w:r>
        <w:rPr>
          <w:color w:val="231F20"/>
          <w:w w:val="105"/>
        </w:rPr>
        <w:t>intento de</w:t>
      </w:r>
      <w:r>
        <w:rPr>
          <w:color w:val="231F20"/>
          <w:spacing w:val="-15"/>
          <w:w w:val="105"/>
        </w:rPr>
        <w:t> </w:t>
      </w:r>
      <w:r>
        <w:rPr>
          <w:color w:val="231F20"/>
          <w:w w:val="105"/>
        </w:rPr>
        <w:t>cortar</w:t>
      </w:r>
      <w:r>
        <w:rPr>
          <w:color w:val="231F20"/>
          <w:spacing w:val="-15"/>
          <w:w w:val="105"/>
        </w:rPr>
        <w:t> </w:t>
      </w:r>
      <w:r>
        <w:rPr>
          <w:color w:val="231F20"/>
          <w:w w:val="105"/>
        </w:rPr>
        <w:t>“horizontalmente</w:t>
      </w:r>
      <w:r>
        <w:rPr>
          <w:color w:val="231F20"/>
          <w:spacing w:val="-15"/>
          <w:w w:val="105"/>
        </w:rPr>
        <w:t> </w:t>
      </w:r>
      <w:r>
        <w:rPr>
          <w:color w:val="231F20"/>
          <w:w w:val="105"/>
        </w:rPr>
        <w:t>la</w:t>
      </w:r>
      <w:r>
        <w:rPr>
          <w:color w:val="231F20"/>
          <w:spacing w:val="-15"/>
          <w:w w:val="105"/>
        </w:rPr>
        <w:t> </w:t>
      </w:r>
      <w:r>
        <w:rPr>
          <w:color w:val="231F20"/>
          <w:w w:val="105"/>
        </w:rPr>
        <w:t>soberanía</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Estados</w:t>
      </w:r>
      <w:r>
        <w:rPr>
          <w:color w:val="231F20"/>
          <w:spacing w:val="-15"/>
          <w:w w:val="105"/>
        </w:rPr>
        <w:t> </w:t>
      </w:r>
      <w:r>
        <w:rPr>
          <w:color w:val="231F20"/>
          <w:w w:val="105"/>
        </w:rPr>
        <w:t>en</w:t>
      </w:r>
      <w:r>
        <w:rPr>
          <w:color w:val="231F20"/>
          <w:spacing w:val="-15"/>
          <w:w w:val="105"/>
        </w:rPr>
        <w:t> </w:t>
      </w:r>
      <w:r>
        <w:rPr>
          <w:color w:val="231F20"/>
          <w:w w:val="105"/>
        </w:rPr>
        <w:t>nombre</w:t>
      </w:r>
      <w:r>
        <w:rPr>
          <w:color w:val="231F20"/>
          <w:spacing w:val="-15"/>
          <w:w w:val="105"/>
        </w:rPr>
        <w:t> </w:t>
      </w:r>
      <w:r>
        <w:rPr>
          <w:color w:val="231F20"/>
          <w:w w:val="105"/>
        </w:rPr>
        <w:t>de</w:t>
      </w:r>
      <w:r>
        <w:rPr>
          <w:color w:val="231F20"/>
          <w:spacing w:val="-15"/>
          <w:w w:val="105"/>
        </w:rPr>
        <w:t> </w:t>
      </w:r>
      <w:r>
        <w:rPr>
          <w:color w:val="231F20"/>
          <w:w w:val="105"/>
        </w:rPr>
        <w:t>los </w:t>
      </w:r>
      <w:r>
        <w:rPr>
          <w:color w:val="231F20"/>
        </w:rPr>
        <w:t>imperativos universales de una presunta moral</w:t>
      </w:r>
      <w:r>
        <w:rPr>
          <w:color w:val="231F20"/>
          <w:spacing w:val="-26"/>
        </w:rPr>
        <w:t> </w:t>
      </w:r>
      <w:r>
        <w:rPr>
          <w:color w:val="231F20"/>
        </w:rPr>
        <w:t>humanitaria”</w:t>
      </w:r>
      <w:r>
        <w:rPr>
          <w:color w:val="231F20"/>
          <w:position w:val="7"/>
          <w:sz w:val="12"/>
        </w:rPr>
        <w:t>43</w:t>
      </w:r>
      <w:r>
        <w:rPr>
          <w:color w:val="231F20"/>
        </w:rPr>
        <w:t>.</w:t>
      </w:r>
    </w:p>
    <w:p>
      <w:pPr>
        <w:pStyle w:val="BodyText"/>
        <w:spacing w:line="247" w:lineRule="auto"/>
        <w:ind w:left="117" w:right="101" w:firstLine="566"/>
        <w:jc w:val="both"/>
      </w:pPr>
      <w:r>
        <w:rPr>
          <w:color w:val="231F20"/>
        </w:rPr>
        <w:t>En el panorama de su concesión anti–normativista de lo “político”, las guerras combatidas en nombre de la humanidad —así como aquellas realizadas en nombre de la justicia, de la paz, del progreso o de la civili- zación— no son otra cosa que conflictos ideológicamente radicalizados,  en los cuales un Estado busca obtener una superioridad moral sobre sus adversarios, apoderándose de un “concepto universal para poder identifi- carse con éste (a costa de su enemigo)”, según una dinámica que Schmitt considera peculiarmente acorde con los fines de la “expansión imperialis- ta”</w:t>
      </w:r>
      <w:r>
        <w:rPr>
          <w:color w:val="231F20"/>
          <w:position w:val="7"/>
          <w:sz w:val="12"/>
        </w:rPr>
        <w:t>44</w:t>
      </w:r>
      <w:r>
        <w:rPr>
          <w:color w:val="231F20"/>
        </w:rPr>
        <w:t>.</w:t>
      </w:r>
      <w:r>
        <w:rPr>
          <w:color w:val="231F20"/>
          <w:spacing w:val="-8"/>
        </w:rPr>
        <w:t> </w:t>
      </w:r>
      <w:r>
        <w:rPr>
          <w:color w:val="231F20"/>
        </w:rPr>
        <w:t>Desde</w:t>
      </w:r>
      <w:r>
        <w:rPr>
          <w:color w:val="231F20"/>
          <w:spacing w:val="-8"/>
        </w:rPr>
        <w:t> </w:t>
      </w:r>
      <w:r>
        <w:rPr>
          <w:color w:val="231F20"/>
        </w:rPr>
        <w:t>el</w:t>
      </w:r>
      <w:r>
        <w:rPr>
          <w:color w:val="231F20"/>
          <w:spacing w:val="-8"/>
        </w:rPr>
        <w:t> </w:t>
      </w:r>
      <w:r>
        <w:rPr>
          <w:color w:val="231F20"/>
        </w:rPr>
        <w:t>punto</w:t>
      </w:r>
      <w:r>
        <w:rPr>
          <w:color w:val="231F20"/>
          <w:spacing w:val="-8"/>
        </w:rPr>
        <w:t> </w:t>
      </w:r>
      <w:r>
        <w:rPr>
          <w:color w:val="231F20"/>
        </w:rPr>
        <w:t>de</w:t>
      </w:r>
      <w:r>
        <w:rPr>
          <w:color w:val="231F20"/>
          <w:spacing w:val="-8"/>
        </w:rPr>
        <w:t> </w:t>
      </w:r>
      <w:r>
        <w:rPr>
          <w:color w:val="231F20"/>
        </w:rPr>
        <w:t>vista</w:t>
      </w:r>
      <w:r>
        <w:rPr>
          <w:color w:val="231F20"/>
          <w:spacing w:val="-8"/>
        </w:rPr>
        <w:t> </w:t>
      </w:r>
      <w:r>
        <w:rPr>
          <w:color w:val="231F20"/>
        </w:rPr>
        <w:t>schmitiano,</w:t>
      </w:r>
      <w:r>
        <w:rPr>
          <w:color w:val="231F20"/>
          <w:spacing w:val="-8"/>
        </w:rPr>
        <w:t> </w:t>
      </w:r>
      <w:r>
        <w:rPr>
          <w:color w:val="231F20"/>
        </w:rPr>
        <w:t>los</w:t>
      </w:r>
      <w:r>
        <w:rPr>
          <w:color w:val="231F20"/>
          <w:spacing w:val="-8"/>
        </w:rPr>
        <w:t> </w:t>
      </w:r>
      <w:r>
        <w:rPr>
          <w:color w:val="231F20"/>
        </w:rPr>
        <w:t>resultados</w:t>
      </w:r>
      <w:r>
        <w:rPr>
          <w:color w:val="231F20"/>
          <w:spacing w:val="-8"/>
        </w:rPr>
        <w:t> </w:t>
      </w:r>
      <w:r>
        <w:rPr>
          <w:color w:val="231F20"/>
        </w:rPr>
        <w:t>de</w:t>
      </w:r>
      <w:r>
        <w:rPr>
          <w:color w:val="231F20"/>
          <w:spacing w:val="-8"/>
        </w:rPr>
        <w:t> </w:t>
      </w:r>
      <w:r>
        <w:rPr>
          <w:color w:val="231F20"/>
        </w:rPr>
        <w:t>este</w:t>
      </w:r>
      <w:r>
        <w:rPr>
          <w:color w:val="231F20"/>
          <w:spacing w:val="-8"/>
        </w:rPr>
        <w:t> </w:t>
      </w:r>
      <w:r>
        <w:rPr>
          <w:color w:val="231F20"/>
        </w:rPr>
        <w:t>proceso</w:t>
      </w:r>
      <w:r>
        <w:rPr>
          <w:color w:val="231F20"/>
          <w:spacing w:val="-8"/>
        </w:rPr>
        <w:t> </w:t>
      </w:r>
      <w:r>
        <w:rPr>
          <w:color w:val="231F20"/>
        </w:rPr>
        <w:t>de transvaloración del conflicto son de tal magnitud que alteran irreversible- mente todo el contexto de las relaciones</w:t>
      </w:r>
      <w:r>
        <w:rPr>
          <w:color w:val="231F20"/>
          <w:spacing w:val="51"/>
        </w:rPr>
        <w:t> </w:t>
      </w:r>
      <w:r>
        <w:rPr>
          <w:color w:val="231F20"/>
        </w:rPr>
        <w:t>políticas.</w:t>
      </w:r>
    </w:p>
    <w:p>
      <w:pPr>
        <w:pStyle w:val="BodyText"/>
        <w:spacing w:line="247" w:lineRule="auto"/>
        <w:ind w:left="117" w:right="101" w:firstLine="566"/>
        <w:jc w:val="both"/>
      </w:pPr>
      <w:r>
        <w:rPr>
          <w:color w:val="231F20"/>
        </w:rPr>
        <w:t>Por su misma estructura semántica, la noción de “humanidad” re- sulta, en efecto, dotada de una polémica tan acentuada que abre la   con-</w:t>
      </w:r>
    </w:p>
    <w:p>
      <w:pPr>
        <w:pStyle w:val="BodyText"/>
        <w:spacing w:before="10"/>
      </w:pPr>
      <w:r>
        <w:rPr/>
        <w:pict>
          <v:line style="position:absolute;mso-position-horizontal-relative:page;mso-position-vertical-relative:paragraph;z-index:7672;mso-wrap-distance-left:0;mso-wrap-distance-right:0" from="70.866096pt,15.306985pt" to="184.252096pt,15.306985pt" stroked="true" strokeweight=".3pt" strokecolor="#231f20">
            <w10:wrap type="topAndBottom"/>
          </v:line>
        </w:pict>
      </w:r>
    </w:p>
    <w:p>
      <w:pPr>
        <w:spacing w:line="204" w:lineRule="exact" w:before="9"/>
        <w:ind w:left="117" w:right="101" w:firstLine="0"/>
        <w:jc w:val="both"/>
        <w:rPr>
          <w:rFonts w:ascii="Calibri" w:hAnsi="Calibri"/>
          <w:sz w:val="17"/>
        </w:rPr>
      </w:pPr>
      <w:r>
        <w:rPr>
          <w:rFonts w:ascii="Calibri" w:hAnsi="Calibri"/>
          <w:color w:val="231F20"/>
          <w:position w:val="6"/>
          <w:sz w:val="10"/>
        </w:rPr>
        <w:t>40</w:t>
      </w:r>
      <w:r>
        <w:rPr>
          <w:rFonts w:ascii="Calibri" w:hAnsi="Calibri"/>
          <w:color w:val="231F20"/>
          <w:spacing w:val="11"/>
          <w:position w:val="6"/>
          <w:sz w:val="10"/>
        </w:rPr>
        <w:t> </w:t>
      </w:r>
      <w:r>
        <w:rPr>
          <w:rFonts w:ascii="Calibri" w:hAnsi="Calibri"/>
          <w:color w:val="231F20"/>
          <w:sz w:val="17"/>
        </w:rPr>
        <w:t>Zolo,</w:t>
      </w:r>
      <w:r>
        <w:rPr>
          <w:rFonts w:ascii="Calibri" w:hAnsi="Calibri"/>
          <w:color w:val="231F20"/>
          <w:spacing w:val="-5"/>
          <w:sz w:val="17"/>
        </w:rPr>
        <w:t> </w:t>
      </w:r>
      <w:r>
        <w:rPr>
          <w:rFonts w:ascii="Calibri" w:hAnsi="Calibri"/>
          <w:i/>
          <w:color w:val="231F20"/>
          <w:sz w:val="17"/>
        </w:rPr>
        <w:t>La</w:t>
      </w:r>
      <w:r>
        <w:rPr>
          <w:rFonts w:ascii="Calibri" w:hAnsi="Calibri"/>
          <w:i/>
          <w:color w:val="231F20"/>
          <w:spacing w:val="-5"/>
          <w:sz w:val="17"/>
        </w:rPr>
        <w:t> </w:t>
      </w:r>
      <w:r>
        <w:rPr>
          <w:rFonts w:ascii="Calibri" w:hAnsi="Calibri"/>
          <w:i/>
          <w:color w:val="231F20"/>
          <w:sz w:val="17"/>
        </w:rPr>
        <w:t>giustizia</w:t>
      </w:r>
      <w:r>
        <w:rPr>
          <w:rFonts w:ascii="Calibri" w:hAnsi="Calibri"/>
          <w:i/>
          <w:color w:val="231F20"/>
          <w:spacing w:val="-5"/>
          <w:sz w:val="17"/>
        </w:rPr>
        <w:t> </w:t>
      </w:r>
      <w:r>
        <w:rPr>
          <w:rFonts w:ascii="Calibri" w:hAnsi="Calibri"/>
          <w:i/>
          <w:color w:val="231F20"/>
          <w:sz w:val="17"/>
        </w:rPr>
        <w:t>dei</w:t>
      </w:r>
      <w:r>
        <w:rPr>
          <w:rFonts w:ascii="Calibri" w:hAnsi="Calibri"/>
          <w:i/>
          <w:color w:val="231F20"/>
          <w:spacing w:val="-8"/>
          <w:sz w:val="17"/>
        </w:rPr>
        <w:t> </w:t>
      </w:r>
      <w:r>
        <w:rPr>
          <w:rFonts w:ascii="Calibri" w:hAnsi="Calibri"/>
          <w:i/>
          <w:color w:val="231F20"/>
          <w:sz w:val="17"/>
        </w:rPr>
        <w:t>vincitori</w:t>
      </w:r>
      <w:r>
        <w:rPr>
          <w:rFonts w:ascii="Calibri" w:hAnsi="Calibri"/>
          <w:color w:val="231F20"/>
          <w:sz w:val="17"/>
        </w:rPr>
        <w:t>,</w:t>
      </w:r>
      <w:r>
        <w:rPr>
          <w:rFonts w:ascii="Calibri" w:hAnsi="Calibri"/>
          <w:color w:val="231F20"/>
          <w:spacing w:val="-5"/>
          <w:sz w:val="17"/>
        </w:rPr>
        <w:t> </w:t>
      </w:r>
      <w:r>
        <w:rPr>
          <w:rFonts w:ascii="Calibri" w:hAnsi="Calibri"/>
          <w:color w:val="231F20"/>
          <w:sz w:val="17"/>
        </w:rPr>
        <w:t>p.</w:t>
      </w:r>
      <w:r>
        <w:rPr>
          <w:rFonts w:ascii="Calibri" w:hAnsi="Calibri"/>
          <w:color w:val="231F20"/>
          <w:spacing w:val="-5"/>
          <w:sz w:val="17"/>
        </w:rPr>
        <w:t> 67. </w:t>
      </w:r>
      <w:r>
        <w:rPr>
          <w:rFonts w:ascii="Calibri" w:hAnsi="Calibri"/>
          <w:color w:val="231F20"/>
          <w:sz w:val="17"/>
        </w:rPr>
        <w:t>Sobre</w:t>
      </w:r>
      <w:r>
        <w:rPr>
          <w:rFonts w:ascii="Calibri" w:hAnsi="Calibri"/>
          <w:color w:val="231F20"/>
          <w:spacing w:val="-5"/>
          <w:sz w:val="17"/>
        </w:rPr>
        <w:t> </w:t>
      </w:r>
      <w:r>
        <w:rPr>
          <w:rFonts w:ascii="Calibri" w:hAnsi="Calibri"/>
          <w:color w:val="231F20"/>
          <w:sz w:val="17"/>
        </w:rPr>
        <w:t>el</w:t>
      </w:r>
      <w:r>
        <w:rPr>
          <w:rFonts w:ascii="Calibri" w:hAnsi="Calibri"/>
          <w:color w:val="231F20"/>
          <w:spacing w:val="-5"/>
          <w:sz w:val="17"/>
        </w:rPr>
        <w:t> </w:t>
      </w:r>
      <w:r>
        <w:rPr>
          <w:rFonts w:ascii="Calibri" w:hAnsi="Calibri"/>
          <w:color w:val="231F20"/>
          <w:sz w:val="17"/>
        </w:rPr>
        <w:t>tema</w:t>
      </w:r>
      <w:r>
        <w:rPr>
          <w:rFonts w:ascii="Calibri" w:hAnsi="Calibri"/>
          <w:color w:val="231F20"/>
          <w:spacing w:val="-7"/>
          <w:sz w:val="17"/>
        </w:rPr>
        <w:t> </w:t>
      </w:r>
      <w:r>
        <w:rPr>
          <w:rFonts w:ascii="Calibri" w:hAnsi="Calibri"/>
          <w:color w:val="231F20"/>
          <w:sz w:val="17"/>
        </w:rPr>
        <w:t>véase</w:t>
      </w:r>
      <w:r>
        <w:rPr>
          <w:rFonts w:ascii="Calibri" w:hAnsi="Calibri"/>
          <w:color w:val="231F20"/>
          <w:spacing w:val="-5"/>
          <w:sz w:val="17"/>
        </w:rPr>
        <w:t> </w:t>
      </w:r>
      <w:r>
        <w:rPr>
          <w:rFonts w:ascii="Calibri" w:hAnsi="Calibri"/>
          <w:color w:val="231F20"/>
          <w:sz w:val="17"/>
        </w:rPr>
        <w:t>también</w:t>
      </w:r>
      <w:r>
        <w:rPr>
          <w:rFonts w:ascii="Calibri" w:hAnsi="Calibri"/>
          <w:color w:val="231F20"/>
          <w:spacing w:val="-5"/>
          <w:sz w:val="17"/>
        </w:rPr>
        <w:t> </w:t>
      </w:r>
      <w:r>
        <w:rPr>
          <w:rFonts w:ascii="Calibri" w:hAnsi="Calibri"/>
          <w:color w:val="231F20"/>
          <w:sz w:val="17"/>
        </w:rPr>
        <w:t>D.</w:t>
      </w:r>
      <w:r>
        <w:rPr>
          <w:rFonts w:ascii="Calibri" w:hAnsi="Calibri"/>
          <w:color w:val="231F20"/>
          <w:spacing w:val="-5"/>
          <w:sz w:val="17"/>
        </w:rPr>
        <w:t> </w:t>
      </w:r>
      <w:r>
        <w:rPr>
          <w:rFonts w:ascii="Calibri" w:hAnsi="Calibri"/>
          <w:color w:val="231F20"/>
          <w:sz w:val="17"/>
        </w:rPr>
        <w:t>Zolo,</w:t>
      </w:r>
      <w:r>
        <w:rPr>
          <w:rFonts w:ascii="Calibri" w:hAnsi="Calibri"/>
          <w:color w:val="231F20"/>
          <w:spacing w:val="-5"/>
          <w:sz w:val="17"/>
        </w:rPr>
        <w:t> </w:t>
      </w:r>
      <w:r>
        <w:rPr>
          <w:rFonts w:ascii="Calibri" w:hAnsi="Calibri"/>
          <w:i/>
          <w:color w:val="231F20"/>
          <w:sz w:val="17"/>
        </w:rPr>
        <w:t>Chi</w:t>
      </w:r>
      <w:r>
        <w:rPr>
          <w:rFonts w:ascii="Calibri" w:hAnsi="Calibri"/>
          <w:i/>
          <w:color w:val="231F20"/>
          <w:spacing w:val="-5"/>
          <w:sz w:val="17"/>
        </w:rPr>
        <w:t> </w:t>
      </w:r>
      <w:r>
        <w:rPr>
          <w:rFonts w:ascii="Calibri" w:hAnsi="Calibri"/>
          <w:i/>
          <w:color w:val="231F20"/>
          <w:sz w:val="17"/>
        </w:rPr>
        <w:t>dice</w:t>
      </w:r>
      <w:r>
        <w:rPr>
          <w:rFonts w:ascii="Calibri" w:hAnsi="Calibri"/>
          <w:i/>
          <w:color w:val="231F20"/>
          <w:spacing w:val="-5"/>
          <w:sz w:val="17"/>
        </w:rPr>
        <w:t> </w:t>
      </w:r>
      <w:r>
        <w:rPr>
          <w:rFonts w:ascii="Calibri" w:hAnsi="Calibri"/>
          <w:i/>
          <w:color w:val="231F20"/>
          <w:sz w:val="17"/>
        </w:rPr>
        <w:t>umanità.</w:t>
      </w:r>
      <w:r>
        <w:rPr>
          <w:rFonts w:ascii="Calibri" w:hAnsi="Calibri"/>
          <w:i/>
          <w:color w:val="231F20"/>
          <w:spacing w:val="-5"/>
          <w:sz w:val="17"/>
        </w:rPr>
        <w:t> </w:t>
      </w:r>
      <w:r>
        <w:rPr>
          <w:rFonts w:ascii="Calibri" w:hAnsi="Calibri"/>
          <w:i/>
          <w:color w:val="231F20"/>
          <w:sz w:val="17"/>
        </w:rPr>
        <w:t>Guerra, </w:t>
      </w:r>
      <w:r>
        <w:rPr>
          <w:rFonts w:ascii="Calibri" w:hAnsi="Calibri"/>
          <w:i/>
          <w:color w:val="231F20"/>
          <w:sz w:val="17"/>
        </w:rPr>
        <w:t>diritto</w:t>
      </w:r>
      <w:r>
        <w:rPr>
          <w:rFonts w:ascii="Calibri" w:hAnsi="Calibri"/>
          <w:i/>
          <w:color w:val="231F20"/>
          <w:spacing w:val="-6"/>
          <w:sz w:val="17"/>
        </w:rPr>
        <w:t> </w:t>
      </w:r>
      <w:r>
        <w:rPr>
          <w:rFonts w:ascii="Calibri" w:hAnsi="Calibri"/>
          <w:i/>
          <w:color w:val="231F20"/>
          <w:sz w:val="17"/>
        </w:rPr>
        <w:t>e</w:t>
      </w:r>
      <w:r>
        <w:rPr>
          <w:rFonts w:ascii="Calibri" w:hAnsi="Calibri"/>
          <w:i/>
          <w:color w:val="231F20"/>
          <w:spacing w:val="-6"/>
          <w:sz w:val="17"/>
        </w:rPr>
        <w:t> </w:t>
      </w:r>
      <w:r>
        <w:rPr>
          <w:rFonts w:ascii="Calibri" w:hAnsi="Calibri"/>
          <w:i/>
          <w:color w:val="231F20"/>
          <w:sz w:val="17"/>
        </w:rPr>
        <w:t>ordine</w:t>
      </w:r>
      <w:r>
        <w:rPr>
          <w:rFonts w:ascii="Calibri" w:hAnsi="Calibri"/>
          <w:i/>
          <w:color w:val="231F20"/>
          <w:spacing w:val="-6"/>
          <w:sz w:val="17"/>
        </w:rPr>
        <w:t> </w:t>
      </w:r>
      <w:r>
        <w:rPr>
          <w:rFonts w:ascii="Calibri" w:hAnsi="Calibri"/>
          <w:i/>
          <w:color w:val="231F20"/>
          <w:sz w:val="17"/>
        </w:rPr>
        <w:t>globale</w:t>
      </w:r>
      <w:r>
        <w:rPr>
          <w:rFonts w:ascii="Calibri" w:hAnsi="Calibri"/>
          <w:color w:val="231F20"/>
          <w:sz w:val="17"/>
        </w:rPr>
        <w:t>,</w:t>
      </w:r>
      <w:r>
        <w:rPr>
          <w:rFonts w:ascii="Calibri" w:hAnsi="Calibri"/>
          <w:color w:val="231F20"/>
          <w:spacing w:val="-9"/>
          <w:sz w:val="17"/>
        </w:rPr>
        <w:t> </w:t>
      </w:r>
      <w:r>
        <w:rPr>
          <w:rFonts w:ascii="Calibri" w:hAnsi="Calibri"/>
          <w:color w:val="231F20"/>
          <w:sz w:val="17"/>
        </w:rPr>
        <w:t>Torino,</w:t>
      </w:r>
      <w:r>
        <w:rPr>
          <w:rFonts w:ascii="Calibri" w:hAnsi="Calibri"/>
          <w:color w:val="231F20"/>
          <w:spacing w:val="-5"/>
          <w:sz w:val="17"/>
        </w:rPr>
        <w:t> </w:t>
      </w:r>
      <w:r>
        <w:rPr>
          <w:rFonts w:ascii="Calibri" w:hAnsi="Calibri"/>
          <w:color w:val="231F20"/>
          <w:sz w:val="17"/>
        </w:rPr>
        <w:t>Einaudi,</w:t>
      </w:r>
      <w:r>
        <w:rPr>
          <w:rFonts w:ascii="Calibri" w:hAnsi="Calibri"/>
          <w:color w:val="231F20"/>
          <w:spacing w:val="-5"/>
          <w:sz w:val="17"/>
        </w:rPr>
        <w:t> </w:t>
      </w:r>
      <w:r>
        <w:rPr>
          <w:rFonts w:ascii="Calibri" w:hAnsi="Calibri"/>
          <w:color w:val="231F20"/>
          <w:sz w:val="17"/>
        </w:rPr>
        <w:t>2000,</w:t>
      </w:r>
      <w:r>
        <w:rPr>
          <w:rFonts w:ascii="Calibri" w:hAnsi="Calibri"/>
          <w:color w:val="231F20"/>
          <w:spacing w:val="-5"/>
          <w:sz w:val="17"/>
        </w:rPr>
        <w:t> </w:t>
      </w:r>
      <w:r>
        <w:rPr>
          <w:rFonts w:ascii="Calibri" w:hAnsi="Calibri"/>
          <w:color w:val="231F20"/>
          <w:sz w:val="17"/>
        </w:rPr>
        <w:t>pp.</w:t>
      </w:r>
      <w:r>
        <w:rPr>
          <w:rFonts w:ascii="Calibri" w:hAnsi="Calibri"/>
          <w:color w:val="231F20"/>
          <w:spacing w:val="-5"/>
          <w:sz w:val="17"/>
        </w:rPr>
        <w:t> </w:t>
      </w:r>
      <w:r>
        <w:rPr>
          <w:rFonts w:ascii="Calibri" w:hAnsi="Calibri"/>
          <w:color w:val="231F20"/>
          <w:spacing w:val="-3"/>
          <w:sz w:val="17"/>
        </w:rPr>
        <w:t>106–107.</w:t>
      </w:r>
    </w:p>
    <w:p>
      <w:pPr>
        <w:spacing w:line="206" w:lineRule="exact" w:before="1"/>
        <w:ind w:left="117" w:right="0" w:firstLine="0"/>
        <w:jc w:val="both"/>
        <w:rPr>
          <w:rFonts w:ascii="Calibri" w:hAnsi="Calibri"/>
          <w:sz w:val="17"/>
        </w:rPr>
      </w:pPr>
      <w:r>
        <w:rPr>
          <w:rFonts w:ascii="Calibri" w:hAnsi="Calibri"/>
          <w:color w:val="231F20"/>
          <w:position w:val="6"/>
          <w:sz w:val="10"/>
        </w:rPr>
        <w:t>41  </w:t>
      </w:r>
      <w:r>
        <w:rPr>
          <w:rFonts w:ascii="Calibri" w:hAnsi="Calibri"/>
          <w:color w:val="231F20"/>
          <w:sz w:val="17"/>
        </w:rPr>
        <w:t>Köchler, </w:t>
      </w:r>
      <w:r>
        <w:rPr>
          <w:rFonts w:ascii="Calibri" w:hAnsi="Calibri"/>
          <w:i/>
          <w:color w:val="231F20"/>
          <w:sz w:val="17"/>
        </w:rPr>
        <w:t>The Concept of Humanitarian Intervention</w:t>
      </w:r>
      <w:r>
        <w:rPr>
          <w:rFonts w:ascii="Calibri" w:hAnsi="Calibri"/>
          <w:color w:val="231F20"/>
          <w:sz w:val="17"/>
        </w:rPr>
        <w:t>, pp. 29–30.</w:t>
      </w:r>
    </w:p>
    <w:p>
      <w:pPr>
        <w:spacing w:line="235" w:lineRule="auto" w:before="1"/>
        <w:ind w:left="117" w:right="101" w:firstLine="0"/>
        <w:jc w:val="both"/>
        <w:rPr>
          <w:rFonts w:ascii="Calibri" w:hAnsi="Calibri"/>
          <w:sz w:val="17"/>
        </w:rPr>
      </w:pPr>
      <w:r>
        <w:rPr>
          <w:rFonts w:ascii="Calibri" w:hAnsi="Calibri"/>
          <w:color w:val="231F20"/>
          <w:position w:val="6"/>
          <w:sz w:val="10"/>
        </w:rPr>
        <w:t>42 </w:t>
      </w:r>
      <w:r>
        <w:rPr>
          <w:rFonts w:ascii="Calibri" w:hAnsi="Calibri"/>
          <w:color w:val="231F20"/>
          <w:sz w:val="17"/>
        </w:rPr>
        <w:t>D. Chandler, “The Revival of Carl Schmitt in International Relations: The Last Refuge of Critical Theorists?”,</w:t>
      </w:r>
      <w:r>
        <w:rPr>
          <w:rFonts w:ascii="Calibri" w:hAnsi="Calibri"/>
          <w:color w:val="231F20"/>
          <w:spacing w:val="-5"/>
          <w:sz w:val="17"/>
        </w:rPr>
        <w:t> </w:t>
      </w:r>
      <w:r>
        <w:rPr>
          <w:rFonts w:ascii="Calibri" w:hAnsi="Calibri"/>
          <w:i/>
          <w:color w:val="231F20"/>
          <w:sz w:val="17"/>
        </w:rPr>
        <w:t>Millennium:</w:t>
      </w:r>
      <w:r>
        <w:rPr>
          <w:rFonts w:ascii="Calibri" w:hAnsi="Calibri"/>
          <w:i/>
          <w:color w:val="231F20"/>
          <w:spacing w:val="-5"/>
          <w:sz w:val="17"/>
        </w:rPr>
        <w:t> </w:t>
      </w:r>
      <w:r>
        <w:rPr>
          <w:rFonts w:ascii="Calibri" w:hAnsi="Calibri"/>
          <w:i/>
          <w:color w:val="231F20"/>
          <w:sz w:val="17"/>
        </w:rPr>
        <w:t>Journal</w:t>
      </w:r>
      <w:r>
        <w:rPr>
          <w:rFonts w:ascii="Calibri" w:hAnsi="Calibri"/>
          <w:i/>
          <w:color w:val="231F20"/>
          <w:spacing w:val="-5"/>
          <w:sz w:val="17"/>
        </w:rPr>
        <w:t> </w:t>
      </w:r>
      <w:r>
        <w:rPr>
          <w:rFonts w:ascii="Calibri" w:hAnsi="Calibri"/>
          <w:i/>
          <w:color w:val="231F20"/>
          <w:sz w:val="17"/>
        </w:rPr>
        <w:t>of</w:t>
      </w:r>
      <w:r>
        <w:rPr>
          <w:rFonts w:ascii="Calibri" w:hAnsi="Calibri"/>
          <w:i/>
          <w:color w:val="231F20"/>
          <w:spacing w:val="-5"/>
          <w:sz w:val="17"/>
        </w:rPr>
        <w:t> </w:t>
      </w:r>
      <w:r>
        <w:rPr>
          <w:rFonts w:ascii="Calibri" w:hAnsi="Calibri"/>
          <w:i/>
          <w:color w:val="231F20"/>
          <w:sz w:val="17"/>
        </w:rPr>
        <w:t>International</w:t>
      </w:r>
      <w:r>
        <w:rPr>
          <w:rFonts w:ascii="Calibri" w:hAnsi="Calibri"/>
          <w:i/>
          <w:color w:val="231F20"/>
          <w:spacing w:val="-5"/>
          <w:sz w:val="17"/>
        </w:rPr>
        <w:t> </w:t>
      </w:r>
      <w:r>
        <w:rPr>
          <w:rFonts w:ascii="Calibri" w:hAnsi="Calibri"/>
          <w:i/>
          <w:color w:val="231F20"/>
          <w:sz w:val="17"/>
        </w:rPr>
        <w:t>Studies</w:t>
      </w:r>
      <w:r>
        <w:rPr>
          <w:rFonts w:ascii="Calibri" w:hAnsi="Calibri"/>
          <w:color w:val="231F20"/>
          <w:sz w:val="17"/>
        </w:rPr>
        <w:t>,</w:t>
      </w:r>
      <w:r>
        <w:rPr>
          <w:rFonts w:ascii="Calibri" w:hAnsi="Calibri"/>
          <w:color w:val="231F20"/>
          <w:spacing w:val="-5"/>
          <w:sz w:val="17"/>
        </w:rPr>
        <w:t> </w:t>
      </w:r>
      <w:r>
        <w:rPr>
          <w:rFonts w:ascii="Calibri" w:hAnsi="Calibri"/>
          <w:color w:val="231F20"/>
          <w:sz w:val="17"/>
        </w:rPr>
        <w:t>no.</w:t>
      </w:r>
      <w:r>
        <w:rPr>
          <w:rFonts w:ascii="Calibri" w:hAnsi="Calibri"/>
          <w:color w:val="231F20"/>
          <w:spacing w:val="-5"/>
          <w:sz w:val="17"/>
        </w:rPr>
        <w:t> </w:t>
      </w:r>
      <w:r>
        <w:rPr>
          <w:rFonts w:ascii="Calibri" w:hAnsi="Calibri"/>
          <w:color w:val="231F20"/>
          <w:sz w:val="17"/>
        </w:rPr>
        <w:t>1,</w:t>
      </w:r>
      <w:r>
        <w:rPr>
          <w:rFonts w:ascii="Calibri" w:hAnsi="Calibri"/>
          <w:color w:val="231F20"/>
          <w:spacing w:val="-5"/>
          <w:sz w:val="17"/>
        </w:rPr>
        <w:t> </w:t>
      </w:r>
      <w:r>
        <w:rPr>
          <w:rFonts w:ascii="Calibri" w:hAnsi="Calibri"/>
          <w:color w:val="231F20"/>
          <w:sz w:val="17"/>
        </w:rPr>
        <w:t>2008,</w:t>
      </w:r>
      <w:r>
        <w:rPr>
          <w:rFonts w:ascii="Calibri" w:hAnsi="Calibri"/>
          <w:color w:val="231F20"/>
          <w:spacing w:val="-5"/>
          <w:sz w:val="17"/>
        </w:rPr>
        <w:t> </w:t>
      </w:r>
      <w:r>
        <w:rPr>
          <w:rFonts w:ascii="Calibri" w:hAnsi="Calibri"/>
          <w:color w:val="231F20"/>
          <w:sz w:val="17"/>
        </w:rPr>
        <w:t>pp.</w:t>
      </w:r>
      <w:r>
        <w:rPr>
          <w:rFonts w:ascii="Calibri" w:hAnsi="Calibri"/>
          <w:color w:val="231F20"/>
          <w:spacing w:val="-5"/>
          <w:sz w:val="17"/>
        </w:rPr>
        <w:t> </w:t>
      </w:r>
      <w:r>
        <w:rPr>
          <w:rFonts w:ascii="Calibri" w:hAnsi="Calibri"/>
          <w:color w:val="231F20"/>
          <w:sz w:val="17"/>
        </w:rPr>
        <w:t>27–48.</w:t>
      </w:r>
      <w:r>
        <w:rPr>
          <w:rFonts w:ascii="Calibri" w:hAnsi="Calibri"/>
          <w:color w:val="231F20"/>
          <w:spacing w:val="-5"/>
          <w:sz w:val="17"/>
        </w:rPr>
        <w:t> </w:t>
      </w:r>
      <w:r>
        <w:rPr>
          <w:rFonts w:ascii="Calibri" w:hAnsi="Calibri"/>
          <w:color w:val="231F20"/>
          <w:sz w:val="17"/>
        </w:rPr>
        <w:t>Sobre</w:t>
      </w:r>
      <w:r>
        <w:rPr>
          <w:rFonts w:ascii="Calibri" w:hAnsi="Calibri"/>
          <w:color w:val="231F20"/>
          <w:spacing w:val="-5"/>
          <w:sz w:val="17"/>
        </w:rPr>
        <w:t> </w:t>
      </w:r>
      <w:r>
        <w:rPr>
          <w:rFonts w:ascii="Calibri" w:hAnsi="Calibri"/>
          <w:color w:val="231F20"/>
          <w:sz w:val="17"/>
        </w:rPr>
        <w:t>el</w:t>
      </w:r>
      <w:r>
        <w:rPr>
          <w:rFonts w:ascii="Calibri" w:hAnsi="Calibri"/>
          <w:color w:val="231F20"/>
          <w:spacing w:val="-5"/>
          <w:sz w:val="17"/>
        </w:rPr>
        <w:t> </w:t>
      </w:r>
      <w:r>
        <w:rPr>
          <w:rFonts w:ascii="Calibri" w:hAnsi="Calibri"/>
          <w:color w:val="231F20"/>
          <w:sz w:val="17"/>
        </w:rPr>
        <w:t>tema</w:t>
      </w:r>
      <w:r>
        <w:rPr>
          <w:rFonts w:ascii="Calibri" w:hAnsi="Calibri"/>
          <w:color w:val="231F20"/>
          <w:spacing w:val="-7"/>
          <w:sz w:val="17"/>
        </w:rPr>
        <w:t> </w:t>
      </w:r>
      <w:r>
        <w:rPr>
          <w:rFonts w:ascii="Calibri" w:hAnsi="Calibri"/>
          <w:color w:val="231F20"/>
          <w:sz w:val="17"/>
        </w:rPr>
        <w:t>véase también, más en general, J. McCormick, “Political Theory and Political Theology: The Second Wave of Carl Schmitt”, </w:t>
      </w:r>
      <w:r>
        <w:rPr>
          <w:rFonts w:ascii="Calibri" w:hAnsi="Calibri"/>
          <w:i/>
          <w:color w:val="231F20"/>
          <w:sz w:val="17"/>
        </w:rPr>
        <w:t>Political Theory</w:t>
      </w:r>
      <w:r>
        <w:rPr>
          <w:rFonts w:ascii="Calibri" w:hAnsi="Calibri"/>
          <w:color w:val="231F20"/>
          <w:sz w:val="17"/>
        </w:rPr>
        <w:t>, no. 6, 1998, pp. 830–854; C. Galli, “Schmitt e </w:t>
      </w:r>
      <w:r>
        <w:rPr>
          <w:rFonts w:ascii="Calibri" w:hAnsi="Calibri"/>
          <w:color w:val="231F20"/>
          <w:spacing w:val="-3"/>
          <w:sz w:val="17"/>
        </w:rPr>
        <w:t>l’età </w:t>
      </w:r>
      <w:r>
        <w:rPr>
          <w:rFonts w:ascii="Calibri" w:hAnsi="Calibri"/>
          <w:color w:val="231F20"/>
          <w:sz w:val="17"/>
        </w:rPr>
        <w:t>gobale”, en C. Galli, </w:t>
      </w:r>
      <w:r>
        <w:rPr>
          <w:rFonts w:ascii="Calibri" w:hAnsi="Calibri"/>
          <w:i/>
          <w:color w:val="231F20"/>
          <w:sz w:val="17"/>
        </w:rPr>
        <w:t>Lo sguardo di Giano. Saggi su Carl Schmitt</w:t>
      </w:r>
      <w:r>
        <w:rPr>
          <w:rFonts w:ascii="Calibri" w:hAnsi="Calibri"/>
          <w:color w:val="231F20"/>
          <w:sz w:val="17"/>
        </w:rPr>
        <w:t>, Bologna, il Mulino, 2009, pp.</w:t>
      </w:r>
      <w:r>
        <w:rPr>
          <w:rFonts w:ascii="Calibri" w:hAnsi="Calibri"/>
          <w:color w:val="231F20"/>
          <w:spacing w:val="-7"/>
          <w:sz w:val="17"/>
        </w:rPr>
        <w:t> </w:t>
      </w:r>
      <w:r>
        <w:rPr>
          <w:rFonts w:ascii="Calibri" w:hAnsi="Calibri"/>
          <w:color w:val="231F20"/>
          <w:sz w:val="17"/>
        </w:rPr>
        <w:t>129–172.</w:t>
      </w:r>
    </w:p>
    <w:p>
      <w:pPr>
        <w:spacing w:line="203" w:lineRule="exact" w:before="0"/>
        <w:ind w:left="117" w:right="0" w:firstLine="0"/>
        <w:jc w:val="both"/>
        <w:rPr>
          <w:rFonts w:ascii="Calibri" w:hAnsi="Calibri"/>
          <w:sz w:val="17"/>
        </w:rPr>
      </w:pPr>
      <w:r>
        <w:rPr>
          <w:rFonts w:ascii="Calibri" w:hAnsi="Calibri"/>
          <w:color w:val="231F20"/>
          <w:position w:val="6"/>
          <w:sz w:val="10"/>
        </w:rPr>
        <w:t>43 </w:t>
      </w:r>
      <w:r>
        <w:rPr>
          <w:rFonts w:ascii="Calibri" w:hAnsi="Calibri"/>
          <w:color w:val="231F20"/>
          <w:sz w:val="17"/>
        </w:rPr>
        <w:t>Habermas, </w:t>
      </w:r>
      <w:r>
        <w:rPr>
          <w:rFonts w:ascii="Calibri" w:hAnsi="Calibri"/>
          <w:i/>
          <w:color w:val="231F20"/>
          <w:sz w:val="17"/>
        </w:rPr>
        <w:t>L’idea kantiana della pace perpetua, due secoli dopo</w:t>
      </w:r>
      <w:r>
        <w:rPr>
          <w:rFonts w:ascii="Calibri" w:hAnsi="Calibri"/>
          <w:color w:val="231F20"/>
          <w:sz w:val="17"/>
        </w:rPr>
        <w:t>, pp. 200–201.</w:t>
      </w:r>
    </w:p>
    <w:p>
      <w:pPr>
        <w:spacing w:line="235" w:lineRule="auto" w:before="1"/>
        <w:ind w:left="117" w:right="101" w:firstLine="0"/>
        <w:jc w:val="both"/>
        <w:rPr>
          <w:rFonts w:ascii="Calibri" w:hAnsi="Calibri"/>
          <w:sz w:val="17"/>
        </w:rPr>
      </w:pPr>
      <w:r>
        <w:rPr>
          <w:rFonts w:ascii="Calibri" w:hAnsi="Calibri"/>
          <w:color w:val="231F20"/>
          <w:w w:val="105"/>
          <w:position w:val="6"/>
          <w:sz w:val="10"/>
        </w:rPr>
        <w:t>44 </w:t>
      </w:r>
      <w:r>
        <w:rPr>
          <w:rFonts w:ascii="Calibri" w:hAnsi="Calibri"/>
          <w:color w:val="231F20"/>
          <w:w w:val="105"/>
          <w:sz w:val="17"/>
        </w:rPr>
        <w:t>C. Schmitt, </w:t>
      </w:r>
      <w:r>
        <w:rPr>
          <w:rFonts w:ascii="Calibri" w:hAnsi="Calibri"/>
          <w:i/>
          <w:color w:val="231F20"/>
          <w:w w:val="105"/>
          <w:sz w:val="17"/>
        </w:rPr>
        <w:t>Der Begriff des Politischen</w:t>
      </w:r>
      <w:r>
        <w:rPr>
          <w:rFonts w:ascii="Calibri" w:hAnsi="Calibri"/>
          <w:color w:val="231F20"/>
          <w:w w:val="105"/>
          <w:sz w:val="17"/>
        </w:rPr>
        <w:t>, Berlin, Duncker &amp; Humblot, 1932 (trad. it. </w:t>
      </w:r>
      <w:r>
        <w:rPr>
          <w:rFonts w:ascii="Calibri" w:hAnsi="Calibri"/>
          <w:i/>
          <w:color w:val="231F20"/>
          <w:w w:val="105"/>
          <w:sz w:val="17"/>
        </w:rPr>
        <w:t>Il concetto di </w:t>
      </w:r>
      <w:r>
        <w:rPr>
          <w:rFonts w:ascii="Calibri" w:hAnsi="Calibri"/>
          <w:i/>
          <w:color w:val="231F20"/>
          <w:w w:val="105"/>
          <w:sz w:val="17"/>
        </w:rPr>
        <w:t>‘politico’</w:t>
      </w:r>
      <w:r>
        <w:rPr>
          <w:rFonts w:ascii="Calibri" w:hAnsi="Calibri"/>
          <w:color w:val="231F20"/>
          <w:w w:val="105"/>
          <w:sz w:val="17"/>
        </w:rPr>
        <w:t>,</w:t>
      </w:r>
      <w:r>
        <w:rPr>
          <w:rFonts w:ascii="Calibri" w:hAnsi="Calibri"/>
          <w:color w:val="231F20"/>
          <w:spacing w:val="-31"/>
          <w:w w:val="105"/>
          <w:sz w:val="17"/>
        </w:rPr>
        <w:t> </w:t>
      </w:r>
      <w:r>
        <w:rPr>
          <w:rFonts w:ascii="Calibri" w:hAnsi="Calibri"/>
          <w:color w:val="231F20"/>
          <w:w w:val="105"/>
          <w:sz w:val="17"/>
        </w:rPr>
        <w:t>en</w:t>
      </w:r>
      <w:r>
        <w:rPr>
          <w:rFonts w:ascii="Calibri" w:hAnsi="Calibri"/>
          <w:color w:val="231F20"/>
          <w:spacing w:val="-31"/>
          <w:w w:val="105"/>
          <w:sz w:val="17"/>
        </w:rPr>
        <w:t> </w:t>
      </w:r>
      <w:r>
        <w:rPr>
          <w:rFonts w:ascii="Calibri" w:hAnsi="Calibri"/>
          <w:color w:val="231F20"/>
          <w:w w:val="105"/>
          <w:sz w:val="17"/>
        </w:rPr>
        <w:t>Carl</w:t>
      </w:r>
      <w:r>
        <w:rPr>
          <w:rFonts w:ascii="Calibri" w:hAnsi="Calibri"/>
          <w:color w:val="231F20"/>
          <w:spacing w:val="-31"/>
          <w:w w:val="105"/>
          <w:sz w:val="17"/>
        </w:rPr>
        <w:t> </w:t>
      </w:r>
      <w:r>
        <w:rPr>
          <w:rFonts w:ascii="Calibri" w:hAnsi="Calibri"/>
          <w:color w:val="231F20"/>
          <w:w w:val="105"/>
          <w:sz w:val="17"/>
        </w:rPr>
        <w:t>Schmitt,</w:t>
      </w:r>
      <w:r>
        <w:rPr>
          <w:rFonts w:ascii="Calibri" w:hAnsi="Calibri"/>
          <w:color w:val="231F20"/>
          <w:spacing w:val="-31"/>
          <w:w w:val="105"/>
          <w:sz w:val="17"/>
        </w:rPr>
        <w:t> </w:t>
      </w:r>
      <w:r>
        <w:rPr>
          <w:rFonts w:ascii="Calibri" w:hAnsi="Calibri"/>
          <w:i/>
          <w:color w:val="231F20"/>
          <w:w w:val="105"/>
          <w:sz w:val="17"/>
        </w:rPr>
        <w:t>Le</w:t>
      </w:r>
      <w:r>
        <w:rPr>
          <w:rFonts w:ascii="Calibri" w:hAnsi="Calibri"/>
          <w:i/>
          <w:color w:val="231F20"/>
          <w:spacing w:val="-31"/>
          <w:w w:val="105"/>
          <w:sz w:val="17"/>
        </w:rPr>
        <w:t> </w:t>
      </w:r>
      <w:r>
        <w:rPr>
          <w:rFonts w:ascii="Calibri" w:hAnsi="Calibri"/>
          <w:i/>
          <w:color w:val="231F20"/>
          <w:w w:val="105"/>
          <w:sz w:val="17"/>
        </w:rPr>
        <w:t>categorie</w:t>
      </w:r>
      <w:r>
        <w:rPr>
          <w:rFonts w:ascii="Calibri" w:hAnsi="Calibri"/>
          <w:i/>
          <w:color w:val="231F20"/>
          <w:spacing w:val="-31"/>
          <w:w w:val="105"/>
          <w:sz w:val="17"/>
        </w:rPr>
        <w:t> </w:t>
      </w:r>
      <w:r>
        <w:rPr>
          <w:rFonts w:ascii="Calibri" w:hAnsi="Calibri"/>
          <w:i/>
          <w:color w:val="231F20"/>
          <w:w w:val="105"/>
          <w:sz w:val="17"/>
        </w:rPr>
        <w:t>del</w:t>
      </w:r>
      <w:r>
        <w:rPr>
          <w:rFonts w:ascii="Calibri" w:hAnsi="Calibri"/>
          <w:i/>
          <w:color w:val="231F20"/>
          <w:spacing w:val="-31"/>
          <w:w w:val="105"/>
          <w:sz w:val="17"/>
        </w:rPr>
        <w:t> </w:t>
      </w:r>
      <w:r>
        <w:rPr>
          <w:rFonts w:ascii="Calibri" w:hAnsi="Calibri"/>
          <w:color w:val="231F20"/>
          <w:w w:val="105"/>
          <w:sz w:val="17"/>
        </w:rPr>
        <w:t>“</w:t>
      </w:r>
      <w:r>
        <w:rPr>
          <w:rFonts w:ascii="Calibri" w:hAnsi="Calibri"/>
          <w:i/>
          <w:color w:val="231F20"/>
          <w:w w:val="105"/>
          <w:sz w:val="17"/>
        </w:rPr>
        <w:t>politico</w:t>
      </w:r>
      <w:r>
        <w:rPr>
          <w:rFonts w:ascii="Calibri" w:hAnsi="Calibri"/>
          <w:color w:val="231F20"/>
          <w:w w:val="105"/>
          <w:sz w:val="17"/>
        </w:rPr>
        <w:t>”,</w:t>
      </w:r>
      <w:r>
        <w:rPr>
          <w:rFonts w:ascii="Calibri" w:hAnsi="Calibri"/>
          <w:color w:val="231F20"/>
          <w:spacing w:val="-31"/>
          <w:w w:val="105"/>
          <w:sz w:val="17"/>
        </w:rPr>
        <w:t> </w:t>
      </w:r>
      <w:r>
        <w:rPr>
          <w:rFonts w:ascii="Calibri" w:hAnsi="Calibri"/>
          <w:color w:val="231F20"/>
          <w:w w:val="105"/>
          <w:sz w:val="17"/>
        </w:rPr>
        <w:t>Bologna,</w:t>
      </w:r>
      <w:r>
        <w:rPr>
          <w:rFonts w:ascii="Calibri" w:hAnsi="Calibri"/>
          <w:color w:val="231F20"/>
          <w:spacing w:val="-31"/>
          <w:w w:val="105"/>
          <w:sz w:val="17"/>
        </w:rPr>
        <w:t> </w:t>
      </w:r>
      <w:r>
        <w:rPr>
          <w:rFonts w:ascii="Calibri" w:hAnsi="Calibri"/>
          <w:color w:val="231F20"/>
          <w:w w:val="105"/>
          <w:sz w:val="17"/>
        </w:rPr>
        <w:t>il</w:t>
      </w:r>
      <w:r>
        <w:rPr>
          <w:rFonts w:ascii="Calibri" w:hAnsi="Calibri"/>
          <w:color w:val="231F20"/>
          <w:spacing w:val="-31"/>
          <w:w w:val="105"/>
          <w:sz w:val="17"/>
        </w:rPr>
        <w:t> </w:t>
      </w:r>
      <w:r>
        <w:rPr>
          <w:rFonts w:ascii="Calibri" w:hAnsi="Calibri"/>
          <w:color w:val="231F20"/>
          <w:w w:val="105"/>
          <w:sz w:val="17"/>
        </w:rPr>
        <w:t>Mulino,</w:t>
      </w:r>
      <w:r>
        <w:rPr>
          <w:rFonts w:ascii="Calibri" w:hAnsi="Calibri"/>
          <w:color w:val="231F20"/>
          <w:spacing w:val="-31"/>
          <w:w w:val="105"/>
          <w:sz w:val="17"/>
        </w:rPr>
        <w:t> </w:t>
      </w:r>
      <w:r>
        <w:rPr>
          <w:rFonts w:ascii="Calibri" w:hAnsi="Calibri"/>
          <w:color w:val="231F20"/>
          <w:w w:val="105"/>
          <w:sz w:val="17"/>
        </w:rPr>
        <w:t>1972,</w:t>
      </w:r>
      <w:r>
        <w:rPr>
          <w:rFonts w:ascii="Calibri" w:hAnsi="Calibri"/>
          <w:color w:val="231F20"/>
          <w:spacing w:val="-31"/>
          <w:w w:val="105"/>
          <w:sz w:val="17"/>
        </w:rPr>
        <w:t> </w:t>
      </w:r>
      <w:r>
        <w:rPr>
          <w:rFonts w:ascii="Calibri" w:hAnsi="Calibri"/>
          <w:color w:val="231F20"/>
          <w:w w:val="105"/>
          <w:sz w:val="17"/>
        </w:rPr>
        <w:t>p.</w:t>
      </w:r>
      <w:r>
        <w:rPr>
          <w:rFonts w:ascii="Calibri" w:hAnsi="Calibri"/>
          <w:color w:val="231F20"/>
          <w:spacing w:val="-31"/>
          <w:w w:val="105"/>
          <w:sz w:val="17"/>
        </w:rPr>
        <w:t> </w:t>
      </w:r>
      <w:r>
        <w:rPr>
          <w:rFonts w:ascii="Calibri" w:hAnsi="Calibri"/>
          <w:color w:val="231F20"/>
          <w:w w:val="105"/>
          <w:sz w:val="17"/>
        </w:rPr>
        <w:t>139).</w:t>
      </w:r>
      <w:r>
        <w:rPr>
          <w:rFonts w:ascii="Calibri" w:hAnsi="Calibri"/>
          <w:color w:val="231F20"/>
          <w:spacing w:val="-32"/>
          <w:w w:val="105"/>
          <w:sz w:val="17"/>
        </w:rPr>
        <w:t> </w:t>
      </w:r>
      <w:r>
        <w:rPr>
          <w:rFonts w:ascii="Calibri" w:hAnsi="Calibri"/>
          <w:color w:val="231F20"/>
          <w:w w:val="105"/>
          <w:sz w:val="17"/>
        </w:rPr>
        <w:t>Y</w:t>
      </w:r>
      <w:r>
        <w:rPr>
          <w:rFonts w:ascii="Calibri" w:hAnsi="Calibri"/>
          <w:color w:val="231F20"/>
          <w:spacing w:val="-31"/>
          <w:w w:val="105"/>
          <w:sz w:val="17"/>
        </w:rPr>
        <w:t> </w:t>
      </w:r>
      <w:r>
        <w:rPr>
          <w:rFonts w:ascii="Calibri" w:hAnsi="Calibri"/>
          <w:color w:val="231F20"/>
          <w:w w:val="105"/>
          <w:sz w:val="17"/>
        </w:rPr>
        <w:t>también,</w:t>
      </w:r>
      <w:r>
        <w:rPr>
          <w:rFonts w:ascii="Calibri" w:hAnsi="Calibri"/>
          <w:color w:val="231F20"/>
          <w:spacing w:val="-31"/>
          <w:w w:val="105"/>
          <w:sz w:val="17"/>
        </w:rPr>
        <w:t> </w:t>
      </w:r>
      <w:r>
        <w:rPr>
          <w:rFonts w:ascii="Calibri" w:hAnsi="Calibri"/>
          <w:color w:val="231F20"/>
          <w:w w:val="105"/>
          <w:sz w:val="17"/>
        </w:rPr>
        <w:t>Sch- mitt,</w:t>
      </w:r>
      <w:r>
        <w:rPr>
          <w:rFonts w:ascii="Calibri" w:hAnsi="Calibri"/>
          <w:color w:val="231F20"/>
          <w:spacing w:val="-18"/>
          <w:w w:val="105"/>
          <w:sz w:val="17"/>
        </w:rPr>
        <w:t> </w:t>
      </w:r>
      <w:r>
        <w:rPr>
          <w:rFonts w:ascii="Calibri" w:hAnsi="Calibri"/>
          <w:i/>
          <w:color w:val="231F20"/>
          <w:w w:val="105"/>
          <w:sz w:val="17"/>
        </w:rPr>
        <w:t>Le</w:t>
      </w:r>
      <w:r>
        <w:rPr>
          <w:rFonts w:ascii="Calibri" w:hAnsi="Calibri"/>
          <w:i/>
          <w:color w:val="231F20"/>
          <w:spacing w:val="-19"/>
          <w:w w:val="105"/>
          <w:sz w:val="17"/>
        </w:rPr>
        <w:t> </w:t>
      </w:r>
      <w:r>
        <w:rPr>
          <w:rFonts w:ascii="Calibri" w:hAnsi="Calibri"/>
          <w:i/>
          <w:color w:val="231F20"/>
          <w:w w:val="105"/>
          <w:sz w:val="17"/>
        </w:rPr>
        <w:t>categorie</w:t>
      </w:r>
      <w:r>
        <w:rPr>
          <w:rFonts w:ascii="Calibri" w:hAnsi="Calibri"/>
          <w:i/>
          <w:color w:val="231F20"/>
          <w:spacing w:val="-19"/>
          <w:w w:val="105"/>
          <w:sz w:val="17"/>
        </w:rPr>
        <w:t> </w:t>
      </w:r>
      <w:r>
        <w:rPr>
          <w:rFonts w:ascii="Calibri" w:hAnsi="Calibri"/>
          <w:i/>
          <w:color w:val="231F20"/>
          <w:w w:val="105"/>
          <w:sz w:val="17"/>
        </w:rPr>
        <w:t>del</w:t>
      </w:r>
      <w:r>
        <w:rPr>
          <w:rFonts w:ascii="Calibri" w:hAnsi="Calibri"/>
          <w:i/>
          <w:color w:val="231F20"/>
          <w:spacing w:val="-19"/>
          <w:w w:val="105"/>
          <w:sz w:val="17"/>
        </w:rPr>
        <w:t> </w:t>
      </w:r>
      <w:r>
        <w:rPr>
          <w:rFonts w:ascii="Calibri" w:hAnsi="Calibri"/>
          <w:color w:val="231F20"/>
          <w:w w:val="105"/>
          <w:sz w:val="17"/>
        </w:rPr>
        <w:t>“</w:t>
      </w:r>
      <w:r>
        <w:rPr>
          <w:rFonts w:ascii="Calibri" w:hAnsi="Calibri"/>
          <w:i/>
          <w:color w:val="231F20"/>
          <w:w w:val="105"/>
          <w:sz w:val="17"/>
        </w:rPr>
        <w:t>politico</w:t>
      </w:r>
      <w:r>
        <w:rPr>
          <w:rFonts w:ascii="Calibri" w:hAnsi="Calibri"/>
          <w:color w:val="231F20"/>
          <w:w w:val="105"/>
          <w:sz w:val="17"/>
        </w:rPr>
        <w:t>”,</w:t>
      </w:r>
      <w:r>
        <w:rPr>
          <w:rFonts w:ascii="Calibri" w:hAnsi="Calibri"/>
          <w:color w:val="231F20"/>
          <w:spacing w:val="-18"/>
          <w:w w:val="105"/>
          <w:sz w:val="17"/>
        </w:rPr>
        <w:t> </w:t>
      </w:r>
      <w:r>
        <w:rPr>
          <w:rFonts w:ascii="Calibri" w:hAnsi="Calibri"/>
          <w:color w:val="231F20"/>
          <w:w w:val="105"/>
          <w:sz w:val="17"/>
        </w:rPr>
        <w:t>p.</w:t>
      </w:r>
      <w:r>
        <w:rPr>
          <w:rFonts w:ascii="Calibri" w:hAnsi="Calibri"/>
          <w:color w:val="231F20"/>
          <w:spacing w:val="-18"/>
          <w:w w:val="105"/>
          <w:sz w:val="17"/>
        </w:rPr>
        <w:t> </w:t>
      </w:r>
      <w:r>
        <w:rPr>
          <w:rFonts w:ascii="Calibri" w:hAnsi="Calibri"/>
          <w:color w:val="231F20"/>
          <w:w w:val="105"/>
          <w:sz w:val="17"/>
        </w:rPr>
        <w:t>153:</w:t>
      </w:r>
      <w:r>
        <w:rPr>
          <w:rFonts w:ascii="Calibri" w:hAnsi="Calibri"/>
          <w:color w:val="231F20"/>
          <w:spacing w:val="-18"/>
          <w:w w:val="105"/>
          <w:sz w:val="17"/>
        </w:rPr>
        <w:t> </w:t>
      </w:r>
      <w:r>
        <w:rPr>
          <w:rFonts w:ascii="Calibri" w:hAnsi="Calibri"/>
          <w:color w:val="231F20"/>
          <w:w w:val="105"/>
          <w:sz w:val="17"/>
        </w:rPr>
        <w:t>“el</w:t>
      </w:r>
      <w:r>
        <w:rPr>
          <w:rFonts w:ascii="Calibri" w:hAnsi="Calibri"/>
          <w:color w:val="231F20"/>
          <w:spacing w:val="-18"/>
          <w:w w:val="105"/>
          <w:sz w:val="17"/>
        </w:rPr>
        <w:t> </w:t>
      </w:r>
      <w:r>
        <w:rPr>
          <w:rFonts w:ascii="Calibri" w:hAnsi="Calibri"/>
          <w:color w:val="231F20"/>
          <w:w w:val="105"/>
          <w:sz w:val="17"/>
        </w:rPr>
        <w:t>pensamiento</w:t>
      </w:r>
      <w:r>
        <w:rPr>
          <w:rFonts w:ascii="Calibri" w:hAnsi="Calibri"/>
          <w:color w:val="231F20"/>
          <w:spacing w:val="-18"/>
          <w:w w:val="105"/>
          <w:sz w:val="17"/>
        </w:rPr>
        <w:t> </w:t>
      </w:r>
      <w:r>
        <w:rPr>
          <w:rFonts w:ascii="Calibri" w:hAnsi="Calibri"/>
          <w:color w:val="231F20"/>
          <w:w w:val="105"/>
          <w:sz w:val="17"/>
        </w:rPr>
        <w:t>político</w:t>
      </w:r>
      <w:r>
        <w:rPr>
          <w:rFonts w:ascii="Calibri" w:hAnsi="Calibri"/>
          <w:color w:val="231F20"/>
          <w:spacing w:val="-18"/>
          <w:w w:val="105"/>
          <w:sz w:val="17"/>
        </w:rPr>
        <w:t> </w:t>
      </w:r>
      <w:r>
        <w:rPr>
          <w:rFonts w:ascii="Calibri" w:hAnsi="Calibri"/>
          <w:color w:val="231F20"/>
          <w:w w:val="105"/>
          <w:sz w:val="17"/>
        </w:rPr>
        <w:t>aquí</w:t>
      </w:r>
      <w:r>
        <w:rPr>
          <w:rFonts w:ascii="Calibri" w:hAnsi="Calibri"/>
          <w:color w:val="231F20"/>
          <w:spacing w:val="-18"/>
          <w:w w:val="105"/>
          <w:sz w:val="17"/>
        </w:rPr>
        <w:t> </w:t>
      </w:r>
      <w:r>
        <w:rPr>
          <w:rFonts w:ascii="Calibri" w:hAnsi="Calibri"/>
          <w:color w:val="231F20"/>
          <w:w w:val="105"/>
          <w:sz w:val="17"/>
        </w:rPr>
        <w:t>no</w:t>
      </w:r>
      <w:r>
        <w:rPr>
          <w:rFonts w:ascii="Calibri" w:hAnsi="Calibri"/>
          <w:color w:val="231F20"/>
          <w:spacing w:val="-18"/>
          <w:w w:val="105"/>
          <w:sz w:val="17"/>
        </w:rPr>
        <w:t> </w:t>
      </w:r>
      <w:r>
        <w:rPr>
          <w:rFonts w:ascii="Calibri" w:hAnsi="Calibri"/>
          <w:color w:val="231F20"/>
          <w:w w:val="105"/>
          <w:sz w:val="17"/>
        </w:rPr>
        <w:t>se</w:t>
      </w:r>
      <w:r>
        <w:rPr>
          <w:rFonts w:ascii="Calibri" w:hAnsi="Calibri"/>
          <w:color w:val="231F20"/>
          <w:spacing w:val="-18"/>
          <w:w w:val="105"/>
          <w:sz w:val="17"/>
        </w:rPr>
        <w:t> </w:t>
      </w:r>
      <w:r>
        <w:rPr>
          <w:rFonts w:ascii="Calibri" w:hAnsi="Calibri"/>
          <w:color w:val="231F20"/>
          <w:w w:val="105"/>
          <w:sz w:val="17"/>
        </w:rPr>
        <w:t>pone</w:t>
      </w:r>
      <w:r>
        <w:rPr>
          <w:rFonts w:ascii="Calibri" w:hAnsi="Calibri"/>
          <w:color w:val="231F20"/>
          <w:spacing w:val="-18"/>
          <w:w w:val="105"/>
          <w:sz w:val="17"/>
        </w:rPr>
        <w:t> </w:t>
      </w:r>
      <w:r>
        <w:rPr>
          <w:rFonts w:ascii="Calibri" w:hAnsi="Calibri"/>
          <w:color w:val="231F20"/>
          <w:w w:val="105"/>
          <w:sz w:val="17"/>
        </w:rPr>
        <w:t>en</w:t>
      </w:r>
      <w:r>
        <w:rPr>
          <w:rFonts w:ascii="Calibri" w:hAnsi="Calibri"/>
          <w:color w:val="231F20"/>
          <w:spacing w:val="-18"/>
          <w:w w:val="105"/>
          <w:sz w:val="17"/>
        </w:rPr>
        <w:t> </w:t>
      </w:r>
      <w:r>
        <w:rPr>
          <w:rFonts w:ascii="Calibri" w:hAnsi="Calibri"/>
          <w:color w:val="231F20"/>
          <w:w w:val="105"/>
          <w:sz w:val="17"/>
        </w:rPr>
        <w:t>discusión,</w:t>
      </w:r>
      <w:r>
        <w:rPr>
          <w:rFonts w:ascii="Calibri" w:hAnsi="Calibri"/>
          <w:color w:val="231F20"/>
          <w:spacing w:val="-18"/>
          <w:w w:val="105"/>
          <w:sz w:val="17"/>
        </w:rPr>
        <w:t> </w:t>
      </w:r>
      <w:r>
        <w:rPr>
          <w:rFonts w:ascii="Calibri" w:hAnsi="Calibri"/>
          <w:color w:val="231F20"/>
          <w:w w:val="105"/>
          <w:sz w:val="17"/>
        </w:rPr>
        <w:t>en</w:t>
      </w:r>
      <w:r>
        <w:rPr>
          <w:rFonts w:ascii="Calibri" w:hAnsi="Calibri"/>
          <w:color w:val="231F20"/>
          <w:spacing w:val="-18"/>
          <w:w w:val="105"/>
          <w:sz w:val="17"/>
        </w:rPr>
        <w:t> </w:t>
      </w:r>
      <w:r>
        <w:rPr>
          <w:rFonts w:ascii="Calibri" w:hAnsi="Calibri"/>
          <w:color w:val="231F20"/>
          <w:w w:val="105"/>
          <w:sz w:val="17"/>
        </w:rPr>
        <w:t>la autonomía</w:t>
      </w:r>
      <w:r>
        <w:rPr>
          <w:rFonts w:ascii="Calibri" w:hAnsi="Calibri"/>
          <w:color w:val="231F20"/>
          <w:spacing w:val="-22"/>
          <w:w w:val="105"/>
          <w:sz w:val="17"/>
        </w:rPr>
        <w:t> </w:t>
      </w:r>
      <w:r>
        <w:rPr>
          <w:rFonts w:ascii="Calibri" w:hAnsi="Calibri"/>
          <w:color w:val="231F20"/>
          <w:w w:val="105"/>
          <w:sz w:val="17"/>
        </w:rPr>
        <w:t>y</w:t>
      </w:r>
      <w:r>
        <w:rPr>
          <w:rFonts w:ascii="Calibri" w:hAnsi="Calibri"/>
          <w:color w:val="231F20"/>
          <w:spacing w:val="-21"/>
          <w:w w:val="105"/>
          <w:sz w:val="17"/>
        </w:rPr>
        <w:t> </w:t>
      </w:r>
      <w:r>
        <w:rPr>
          <w:rFonts w:ascii="Calibri" w:hAnsi="Calibri"/>
          <w:color w:val="231F20"/>
          <w:w w:val="105"/>
          <w:sz w:val="17"/>
        </w:rPr>
        <w:t>en</w:t>
      </w:r>
      <w:r>
        <w:rPr>
          <w:rFonts w:ascii="Calibri" w:hAnsi="Calibri"/>
          <w:color w:val="231F20"/>
          <w:spacing w:val="-21"/>
          <w:w w:val="105"/>
          <w:sz w:val="17"/>
        </w:rPr>
        <w:t> </w:t>
      </w:r>
      <w:r>
        <w:rPr>
          <w:rFonts w:ascii="Calibri" w:hAnsi="Calibri"/>
          <w:color w:val="231F20"/>
          <w:w w:val="105"/>
          <w:sz w:val="17"/>
        </w:rPr>
        <w:t>el</w:t>
      </w:r>
      <w:r>
        <w:rPr>
          <w:rFonts w:ascii="Calibri" w:hAnsi="Calibri"/>
          <w:color w:val="231F20"/>
          <w:spacing w:val="-21"/>
          <w:w w:val="105"/>
          <w:sz w:val="17"/>
        </w:rPr>
        <w:t> </w:t>
      </w:r>
      <w:r>
        <w:rPr>
          <w:rFonts w:ascii="Calibri" w:hAnsi="Calibri"/>
          <w:color w:val="231F20"/>
          <w:w w:val="105"/>
          <w:sz w:val="17"/>
        </w:rPr>
        <w:t>cierre</w:t>
      </w:r>
      <w:r>
        <w:rPr>
          <w:rFonts w:ascii="Calibri" w:hAnsi="Calibri"/>
          <w:color w:val="231F20"/>
          <w:spacing w:val="-21"/>
          <w:w w:val="105"/>
          <w:sz w:val="17"/>
        </w:rPr>
        <w:t> </w:t>
      </w:r>
      <w:r>
        <w:rPr>
          <w:rFonts w:ascii="Calibri" w:hAnsi="Calibri"/>
          <w:color w:val="231F20"/>
          <w:w w:val="105"/>
          <w:sz w:val="17"/>
        </w:rPr>
        <w:t>de</w:t>
      </w:r>
      <w:r>
        <w:rPr>
          <w:rFonts w:ascii="Calibri" w:hAnsi="Calibri"/>
          <w:color w:val="231F20"/>
          <w:spacing w:val="-21"/>
          <w:w w:val="105"/>
          <w:sz w:val="17"/>
        </w:rPr>
        <w:t> </w:t>
      </w:r>
      <w:r>
        <w:rPr>
          <w:rFonts w:ascii="Calibri" w:hAnsi="Calibri"/>
          <w:color w:val="231F20"/>
          <w:w w:val="105"/>
          <w:sz w:val="17"/>
        </w:rPr>
        <w:t>su</w:t>
      </w:r>
      <w:r>
        <w:rPr>
          <w:rFonts w:ascii="Calibri" w:hAnsi="Calibri"/>
          <w:color w:val="231F20"/>
          <w:spacing w:val="-21"/>
          <w:w w:val="105"/>
          <w:sz w:val="17"/>
        </w:rPr>
        <w:t> </w:t>
      </w:r>
      <w:r>
        <w:rPr>
          <w:rFonts w:ascii="Calibri" w:hAnsi="Calibri"/>
          <w:color w:val="231F20"/>
          <w:w w:val="105"/>
          <w:sz w:val="17"/>
        </w:rPr>
        <w:t>propia</w:t>
      </w:r>
      <w:r>
        <w:rPr>
          <w:rFonts w:ascii="Calibri" w:hAnsi="Calibri"/>
          <w:color w:val="231F20"/>
          <w:spacing w:val="-21"/>
          <w:w w:val="105"/>
          <w:sz w:val="17"/>
        </w:rPr>
        <w:t> </w:t>
      </w:r>
      <w:r>
        <w:rPr>
          <w:rFonts w:ascii="Calibri" w:hAnsi="Calibri"/>
          <w:color w:val="231F20"/>
          <w:w w:val="105"/>
          <w:sz w:val="17"/>
        </w:rPr>
        <w:t>esfera,</w:t>
      </w:r>
      <w:r>
        <w:rPr>
          <w:rFonts w:ascii="Calibri" w:hAnsi="Calibri"/>
          <w:color w:val="231F20"/>
          <w:spacing w:val="-21"/>
          <w:w w:val="105"/>
          <w:sz w:val="17"/>
        </w:rPr>
        <w:t> </w:t>
      </w:r>
      <w:r>
        <w:rPr>
          <w:rFonts w:ascii="Calibri" w:hAnsi="Calibri"/>
          <w:color w:val="231F20"/>
          <w:w w:val="105"/>
          <w:sz w:val="17"/>
        </w:rPr>
        <w:t>porque</w:t>
      </w:r>
      <w:r>
        <w:rPr>
          <w:rFonts w:ascii="Calibri" w:hAnsi="Calibri"/>
          <w:color w:val="231F20"/>
          <w:spacing w:val="-21"/>
          <w:w w:val="105"/>
          <w:sz w:val="17"/>
        </w:rPr>
        <w:t> </w:t>
      </w:r>
      <w:r>
        <w:rPr>
          <w:rFonts w:ascii="Calibri" w:hAnsi="Calibri"/>
          <w:color w:val="231F20"/>
          <w:w w:val="105"/>
          <w:sz w:val="17"/>
        </w:rPr>
        <w:t>hay</w:t>
      </w:r>
      <w:r>
        <w:rPr>
          <w:rFonts w:ascii="Calibri" w:hAnsi="Calibri"/>
          <w:color w:val="231F20"/>
          <w:spacing w:val="-21"/>
          <w:w w:val="105"/>
          <w:sz w:val="17"/>
        </w:rPr>
        <w:t> </w:t>
      </w:r>
      <w:r>
        <w:rPr>
          <w:rFonts w:ascii="Calibri" w:hAnsi="Calibri"/>
          <w:color w:val="231F20"/>
          <w:w w:val="105"/>
          <w:sz w:val="17"/>
        </w:rPr>
        <w:t>siempre</w:t>
      </w:r>
      <w:r>
        <w:rPr>
          <w:rFonts w:ascii="Calibri" w:hAnsi="Calibri"/>
          <w:color w:val="231F20"/>
          <w:spacing w:val="-21"/>
          <w:w w:val="105"/>
          <w:sz w:val="17"/>
        </w:rPr>
        <w:t> </w:t>
      </w:r>
      <w:r>
        <w:rPr>
          <w:rFonts w:ascii="Calibri" w:hAnsi="Calibri"/>
          <w:color w:val="231F20"/>
          <w:w w:val="105"/>
          <w:sz w:val="17"/>
        </w:rPr>
        <w:t>grupos</w:t>
      </w:r>
      <w:r>
        <w:rPr>
          <w:rFonts w:ascii="Calibri" w:hAnsi="Calibri"/>
          <w:color w:val="231F20"/>
          <w:spacing w:val="-21"/>
          <w:w w:val="105"/>
          <w:sz w:val="17"/>
        </w:rPr>
        <w:t> </w:t>
      </w:r>
      <w:r>
        <w:rPr>
          <w:rFonts w:ascii="Calibri" w:hAnsi="Calibri"/>
          <w:color w:val="231F20"/>
          <w:w w:val="105"/>
          <w:sz w:val="17"/>
        </w:rPr>
        <w:t>concretos</w:t>
      </w:r>
      <w:r>
        <w:rPr>
          <w:rFonts w:ascii="Calibri" w:hAnsi="Calibri"/>
          <w:color w:val="231F20"/>
          <w:spacing w:val="-21"/>
          <w:w w:val="105"/>
          <w:sz w:val="17"/>
        </w:rPr>
        <w:t> </w:t>
      </w:r>
      <w:r>
        <w:rPr>
          <w:rFonts w:ascii="Calibri" w:hAnsi="Calibri"/>
          <w:color w:val="231F20"/>
          <w:w w:val="105"/>
          <w:sz w:val="17"/>
        </w:rPr>
        <w:t>de</w:t>
      </w:r>
      <w:r>
        <w:rPr>
          <w:rFonts w:ascii="Calibri" w:hAnsi="Calibri"/>
          <w:color w:val="231F20"/>
          <w:spacing w:val="-21"/>
          <w:w w:val="105"/>
          <w:sz w:val="17"/>
        </w:rPr>
        <w:t> </w:t>
      </w:r>
      <w:r>
        <w:rPr>
          <w:rFonts w:ascii="Calibri" w:hAnsi="Calibri"/>
          <w:color w:val="231F20"/>
          <w:w w:val="105"/>
          <w:sz w:val="17"/>
        </w:rPr>
        <w:t>hombres</w:t>
      </w:r>
      <w:r>
        <w:rPr>
          <w:rFonts w:ascii="Calibri" w:hAnsi="Calibri"/>
          <w:color w:val="231F20"/>
          <w:spacing w:val="-21"/>
          <w:w w:val="105"/>
          <w:sz w:val="17"/>
        </w:rPr>
        <w:t> </w:t>
      </w:r>
      <w:r>
        <w:rPr>
          <w:rFonts w:ascii="Calibri" w:hAnsi="Calibri"/>
          <w:color w:val="231F20"/>
          <w:w w:val="105"/>
          <w:sz w:val="17"/>
        </w:rPr>
        <w:t>que en</w:t>
      </w:r>
      <w:r>
        <w:rPr>
          <w:rFonts w:ascii="Calibri" w:hAnsi="Calibri"/>
          <w:color w:val="231F20"/>
          <w:spacing w:val="-11"/>
          <w:w w:val="105"/>
          <w:sz w:val="17"/>
        </w:rPr>
        <w:t> </w:t>
      </w:r>
      <w:r>
        <w:rPr>
          <w:rFonts w:ascii="Calibri" w:hAnsi="Calibri"/>
          <w:color w:val="231F20"/>
          <w:w w:val="105"/>
          <w:sz w:val="17"/>
        </w:rPr>
        <w:t>nombre</w:t>
      </w:r>
      <w:r>
        <w:rPr>
          <w:rFonts w:ascii="Calibri" w:hAnsi="Calibri"/>
          <w:color w:val="231F20"/>
          <w:spacing w:val="-11"/>
          <w:w w:val="105"/>
          <w:sz w:val="17"/>
        </w:rPr>
        <w:t> </w:t>
      </w:r>
      <w:r>
        <w:rPr>
          <w:rFonts w:ascii="Calibri" w:hAnsi="Calibri"/>
          <w:color w:val="231F20"/>
          <w:w w:val="105"/>
          <w:sz w:val="17"/>
        </w:rPr>
        <w:t>del</w:t>
      </w:r>
      <w:r>
        <w:rPr>
          <w:rFonts w:ascii="Calibri" w:hAnsi="Calibri"/>
          <w:color w:val="231F20"/>
          <w:spacing w:val="-11"/>
          <w:w w:val="105"/>
          <w:sz w:val="17"/>
        </w:rPr>
        <w:t> </w:t>
      </w:r>
      <w:r>
        <w:rPr>
          <w:rFonts w:ascii="Calibri" w:hAnsi="Calibri"/>
          <w:color w:val="231F20"/>
          <w:w w:val="105"/>
          <w:sz w:val="17"/>
        </w:rPr>
        <w:t>“Derecho”</w:t>
      </w:r>
      <w:r>
        <w:rPr>
          <w:rFonts w:ascii="Calibri" w:hAnsi="Calibri"/>
          <w:color w:val="231F20"/>
          <w:spacing w:val="-11"/>
          <w:w w:val="105"/>
          <w:sz w:val="17"/>
        </w:rPr>
        <w:t> </w:t>
      </w:r>
      <w:r>
        <w:rPr>
          <w:rFonts w:ascii="Calibri" w:hAnsi="Calibri"/>
          <w:color w:val="231F20"/>
          <w:w w:val="105"/>
          <w:sz w:val="17"/>
        </w:rPr>
        <w:t>o</w:t>
      </w:r>
      <w:r>
        <w:rPr>
          <w:rFonts w:ascii="Calibri" w:hAnsi="Calibri"/>
          <w:color w:val="231F20"/>
          <w:spacing w:val="-11"/>
          <w:w w:val="105"/>
          <w:sz w:val="17"/>
        </w:rPr>
        <w:t> </w:t>
      </w:r>
      <w:r>
        <w:rPr>
          <w:rFonts w:ascii="Calibri" w:hAnsi="Calibri"/>
          <w:color w:val="231F20"/>
          <w:w w:val="105"/>
          <w:sz w:val="17"/>
        </w:rPr>
        <w:t>“de</w:t>
      </w:r>
      <w:r>
        <w:rPr>
          <w:rFonts w:ascii="Calibri" w:hAnsi="Calibri"/>
          <w:color w:val="231F20"/>
          <w:spacing w:val="-11"/>
          <w:w w:val="105"/>
          <w:sz w:val="17"/>
        </w:rPr>
        <w:t> </w:t>
      </w:r>
      <w:r>
        <w:rPr>
          <w:rFonts w:ascii="Calibri" w:hAnsi="Calibri"/>
          <w:color w:val="231F20"/>
          <w:w w:val="105"/>
          <w:sz w:val="17"/>
        </w:rPr>
        <w:t>la</w:t>
      </w:r>
      <w:r>
        <w:rPr>
          <w:rFonts w:ascii="Calibri" w:hAnsi="Calibri"/>
          <w:color w:val="231F20"/>
          <w:spacing w:val="-11"/>
          <w:w w:val="105"/>
          <w:sz w:val="17"/>
        </w:rPr>
        <w:t> </w:t>
      </w:r>
      <w:r>
        <w:rPr>
          <w:rFonts w:ascii="Calibri" w:hAnsi="Calibri"/>
          <w:color w:val="231F20"/>
          <w:w w:val="105"/>
          <w:sz w:val="17"/>
        </w:rPr>
        <w:t>humanidad”</w:t>
      </w:r>
      <w:r>
        <w:rPr>
          <w:rFonts w:ascii="Calibri" w:hAnsi="Calibri"/>
          <w:color w:val="231F20"/>
          <w:spacing w:val="-11"/>
          <w:w w:val="105"/>
          <w:sz w:val="17"/>
        </w:rPr>
        <w:t> </w:t>
      </w:r>
      <w:r>
        <w:rPr>
          <w:rFonts w:ascii="Calibri" w:hAnsi="Calibri"/>
          <w:color w:val="231F20"/>
          <w:w w:val="105"/>
          <w:sz w:val="17"/>
        </w:rPr>
        <w:t>o</w:t>
      </w:r>
      <w:r>
        <w:rPr>
          <w:rFonts w:ascii="Calibri" w:hAnsi="Calibri"/>
          <w:color w:val="231F20"/>
          <w:spacing w:val="-11"/>
          <w:w w:val="105"/>
          <w:sz w:val="17"/>
        </w:rPr>
        <w:t> </w:t>
      </w:r>
      <w:r>
        <w:rPr>
          <w:rFonts w:ascii="Calibri" w:hAnsi="Calibri"/>
          <w:color w:val="231F20"/>
          <w:w w:val="105"/>
          <w:sz w:val="17"/>
        </w:rPr>
        <w:t>del</w:t>
      </w:r>
      <w:r>
        <w:rPr>
          <w:rFonts w:ascii="Calibri" w:hAnsi="Calibri"/>
          <w:color w:val="231F20"/>
          <w:spacing w:val="-11"/>
          <w:w w:val="105"/>
          <w:sz w:val="17"/>
        </w:rPr>
        <w:t> </w:t>
      </w:r>
      <w:r>
        <w:rPr>
          <w:rFonts w:ascii="Calibri" w:hAnsi="Calibri"/>
          <w:color w:val="231F20"/>
          <w:w w:val="105"/>
          <w:sz w:val="17"/>
        </w:rPr>
        <w:t>“orden”</w:t>
      </w:r>
      <w:r>
        <w:rPr>
          <w:rFonts w:ascii="Calibri" w:hAnsi="Calibri"/>
          <w:color w:val="231F20"/>
          <w:spacing w:val="-11"/>
          <w:w w:val="105"/>
          <w:sz w:val="17"/>
        </w:rPr>
        <w:t> </w:t>
      </w:r>
      <w:r>
        <w:rPr>
          <w:rFonts w:ascii="Calibri" w:hAnsi="Calibri"/>
          <w:color w:val="231F20"/>
          <w:w w:val="105"/>
          <w:sz w:val="17"/>
        </w:rPr>
        <w:t>o</w:t>
      </w:r>
      <w:r>
        <w:rPr>
          <w:rFonts w:ascii="Calibri" w:hAnsi="Calibri"/>
          <w:color w:val="231F20"/>
          <w:spacing w:val="-11"/>
          <w:w w:val="105"/>
          <w:sz w:val="17"/>
        </w:rPr>
        <w:t> </w:t>
      </w:r>
      <w:r>
        <w:rPr>
          <w:rFonts w:ascii="Calibri" w:hAnsi="Calibri"/>
          <w:color w:val="231F20"/>
          <w:w w:val="105"/>
          <w:sz w:val="17"/>
        </w:rPr>
        <w:t>de</w:t>
      </w:r>
      <w:r>
        <w:rPr>
          <w:rFonts w:ascii="Calibri" w:hAnsi="Calibri"/>
          <w:color w:val="231F20"/>
          <w:spacing w:val="-11"/>
          <w:w w:val="105"/>
          <w:sz w:val="17"/>
        </w:rPr>
        <w:t> </w:t>
      </w:r>
      <w:r>
        <w:rPr>
          <w:rFonts w:ascii="Calibri" w:hAnsi="Calibri"/>
          <w:color w:val="231F20"/>
          <w:w w:val="105"/>
          <w:sz w:val="17"/>
        </w:rPr>
        <w:t>la</w:t>
      </w:r>
      <w:r>
        <w:rPr>
          <w:rFonts w:ascii="Calibri" w:hAnsi="Calibri"/>
          <w:color w:val="231F20"/>
          <w:spacing w:val="-11"/>
          <w:w w:val="105"/>
          <w:sz w:val="17"/>
        </w:rPr>
        <w:t> </w:t>
      </w:r>
      <w:r>
        <w:rPr>
          <w:rFonts w:ascii="Calibri" w:hAnsi="Calibri"/>
          <w:color w:val="231F20"/>
          <w:w w:val="105"/>
          <w:sz w:val="17"/>
        </w:rPr>
        <w:t>“paz”</w:t>
      </w:r>
      <w:r>
        <w:rPr>
          <w:rFonts w:ascii="Calibri" w:hAnsi="Calibri"/>
          <w:color w:val="231F20"/>
          <w:spacing w:val="-11"/>
          <w:w w:val="105"/>
          <w:sz w:val="17"/>
        </w:rPr>
        <w:t> </w:t>
      </w:r>
      <w:r>
        <w:rPr>
          <w:rFonts w:ascii="Calibri" w:hAnsi="Calibri"/>
          <w:color w:val="231F20"/>
          <w:w w:val="105"/>
          <w:sz w:val="17"/>
        </w:rPr>
        <w:t>combaten</w:t>
      </w:r>
      <w:r>
        <w:rPr>
          <w:rFonts w:ascii="Calibri" w:hAnsi="Calibri"/>
          <w:color w:val="231F20"/>
          <w:spacing w:val="-11"/>
          <w:w w:val="105"/>
          <w:sz w:val="17"/>
        </w:rPr>
        <w:t> </w:t>
      </w:r>
      <w:r>
        <w:rPr>
          <w:rFonts w:ascii="Calibri" w:hAnsi="Calibri"/>
          <w:color w:val="231F20"/>
          <w:w w:val="105"/>
          <w:sz w:val="17"/>
        </w:rPr>
        <w:t>contra</w:t>
      </w:r>
      <w:r>
        <w:rPr>
          <w:rFonts w:ascii="Calibri" w:hAnsi="Calibri"/>
          <w:color w:val="231F20"/>
          <w:spacing w:val="-11"/>
          <w:w w:val="105"/>
          <w:sz w:val="17"/>
        </w:rPr>
        <w:t> </w:t>
      </w:r>
      <w:r>
        <w:rPr>
          <w:rFonts w:ascii="Calibri" w:hAnsi="Calibri"/>
          <w:color w:val="231F20"/>
          <w:w w:val="105"/>
          <w:sz w:val="17"/>
        </w:rPr>
        <w:t>otros grupos</w:t>
      </w:r>
      <w:r>
        <w:rPr>
          <w:rFonts w:ascii="Calibri" w:hAnsi="Calibri"/>
          <w:color w:val="231F20"/>
          <w:spacing w:val="-18"/>
          <w:w w:val="105"/>
          <w:sz w:val="17"/>
        </w:rPr>
        <w:t> </w:t>
      </w:r>
      <w:r>
        <w:rPr>
          <w:rFonts w:ascii="Calibri" w:hAnsi="Calibri"/>
          <w:color w:val="231F20"/>
          <w:w w:val="105"/>
          <w:sz w:val="17"/>
        </w:rPr>
        <w:t>concretos</w:t>
      </w:r>
      <w:r>
        <w:rPr>
          <w:rFonts w:ascii="Calibri" w:hAnsi="Calibri"/>
          <w:color w:val="231F20"/>
          <w:spacing w:val="-18"/>
          <w:w w:val="105"/>
          <w:sz w:val="17"/>
        </w:rPr>
        <w:t> </w:t>
      </w:r>
      <w:r>
        <w:rPr>
          <w:rFonts w:ascii="Calibri" w:hAnsi="Calibri"/>
          <w:color w:val="231F20"/>
          <w:w w:val="105"/>
          <w:sz w:val="17"/>
        </w:rPr>
        <w:t>de</w:t>
      </w:r>
      <w:r>
        <w:rPr>
          <w:rFonts w:ascii="Calibri" w:hAnsi="Calibri"/>
          <w:color w:val="231F20"/>
          <w:spacing w:val="-18"/>
          <w:w w:val="105"/>
          <w:sz w:val="17"/>
        </w:rPr>
        <w:t> </w:t>
      </w:r>
      <w:r>
        <w:rPr>
          <w:rFonts w:ascii="Calibri" w:hAnsi="Calibri"/>
          <w:color w:val="231F20"/>
          <w:w w:val="105"/>
          <w:sz w:val="17"/>
        </w:rPr>
        <w:t>hombres</w:t>
      </w:r>
      <w:r>
        <w:rPr>
          <w:rFonts w:ascii="Calibri" w:hAnsi="Calibri"/>
          <w:color w:val="231F20"/>
          <w:spacing w:val="-18"/>
          <w:w w:val="105"/>
          <w:sz w:val="17"/>
        </w:rPr>
        <w:t> </w:t>
      </w:r>
      <w:r>
        <w:rPr>
          <w:rFonts w:ascii="Calibri" w:hAnsi="Calibri"/>
          <w:color w:val="231F20"/>
          <w:w w:val="105"/>
          <w:sz w:val="17"/>
        </w:rPr>
        <w:t>y</w:t>
      </w:r>
      <w:r>
        <w:rPr>
          <w:rFonts w:ascii="Calibri" w:hAnsi="Calibri"/>
          <w:color w:val="231F20"/>
          <w:spacing w:val="-18"/>
          <w:w w:val="105"/>
          <w:sz w:val="17"/>
        </w:rPr>
        <w:t> </w:t>
      </w:r>
      <w:r>
        <w:rPr>
          <w:rFonts w:ascii="Calibri" w:hAnsi="Calibri"/>
          <w:color w:val="231F20"/>
          <w:w w:val="105"/>
          <w:sz w:val="17"/>
        </w:rPr>
        <w:t>el</w:t>
      </w:r>
      <w:r>
        <w:rPr>
          <w:rFonts w:ascii="Calibri" w:hAnsi="Calibri"/>
          <w:color w:val="231F20"/>
          <w:spacing w:val="-18"/>
          <w:w w:val="105"/>
          <w:sz w:val="17"/>
        </w:rPr>
        <w:t> </w:t>
      </w:r>
      <w:r>
        <w:rPr>
          <w:rFonts w:ascii="Calibri" w:hAnsi="Calibri"/>
          <w:color w:val="231F20"/>
          <w:w w:val="105"/>
          <w:sz w:val="17"/>
        </w:rPr>
        <w:t>observador</w:t>
      </w:r>
      <w:r>
        <w:rPr>
          <w:rFonts w:ascii="Calibri" w:hAnsi="Calibri"/>
          <w:color w:val="231F20"/>
          <w:spacing w:val="-18"/>
          <w:w w:val="105"/>
          <w:sz w:val="17"/>
        </w:rPr>
        <w:t> </w:t>
      </w:r>
      <w:r>
        <w:rPr>
          <w:rFonts w:ascii="Calibri" w:hAnsi="Calibri"/>
          <w:color w:val="231F20"/>
          <w:w w:val="105"/>
          <w:sz w:val="17"/>
        </w:rPr>
        <w:t>de</w:t>
      </w:r>
      <w:r>
        <w:rPr>
          <w:rFonts w:ascii="Calibri" w:hAnsi="Calibri"/>
          <w:color w:val="231F20"/>
          <w:spacing w:val="-18"/>
          <w:w w:val="105"/>
          <w:sz w:val="17"/>
        </w:rPr>
        <w:t> </w:t>
      </w:r>
      <w:r>
        <w:rPr>
          <w:rFonts w:ascii="Calibri" w:hAnsi="Calibri"/>
          <w:color w:val="231F20"/>
          <w:w w:val="105"/>
          <w:sz w:val="17"/>
        </w:rPr>
        <w:t>los</w:t>
      </w:r>
      <w:r>
        <w:rPr>
          <w:rFonts w:ascii="Calibri" w:hAnsi="Calibri"/>
          <w:color w:val="231F20"/>
          <w:spacing w:val="-18"/>
          <w:w w:val="105"/>
          <w:sz w:val="17"/>
        </w:rPr>
        <w:t> </w:t>
      </w:r>
      <w:r>
        <w:rPr>
          <w:rFonts w:ascii="Calibri" w:hAnsi="Calibri"/>
          <w:color w:val="231F20"/>
          <w:w w:val="105"/>
          <w:sz w:val="17"/>
        </w:rPr>
        <w:t>fenómenos</w:t>
      </w:r>
      <w:r>
        <w:rPr>
          <w:rFonts w:ascii="Calibri" w:hAnsi="Calibri"/>
          <w:color w:val="231F20"/>
          <w:spacing w:val="-18"/>
          <w:w w:val="105"/>
          <w:sz w:val="17"/>
        </w:rPr>
        <w:t> </w:t>
      </w:r>
      <w:r>
        <w:rPr>
          <w:rFonts w:ascii="Calibri" w:hAnsi="Calibri"/>
          <w:color w:val="231F20"/>
          <w:w w:val="105"/>
          <w:sz w:val="17"/>
        </w:rPr>
        <w:t>políticos,</w:t>
      </w:r>
      <w:r>
        <w:rPr>
          <w:rFonts w:ascii="Calibri" w:hAnsi="Calibri"/>
          <w:color w:val="231F20"/>
          <w:spacing w:val="-18"/>
          <w:w w:val="105"/>
          <w:sz w:val="17"/>
        </w:rPr>
        <w:t> </w:t>
      </w:r>
      <w:r>
        <w:rPr>
          <w:rFonts w:ascii="Calibri" w:hAnsi="Calibri"/>
          <w:color w:val="231F20"/>
          <w:w w:val="105"/>
          <w:sz w:val="17"/>
        </w:rPr>
        <w:t>si</w:t>
      </w:r>
      <w:r>
        <w:rPr>
          <w:rFonts w:ascii="Calibri" w:hAnsi="Calibri"/>
          <w:color w:val="231F20"/>
          <w:spacing w:val="-18"/>
          <w:w w:val="105"/>
          <w:sz w:val="17"/>
        </w:rPr>
        <w:t> </w:t>
      </w:r>
      <w:r>
        <w:rPr>
          <w:rFonts w:ascii="Calibri" w:hAnsi="Calibri"/>
          <w:color w:val="231F20"/>
          <w:w w:val="105"/>
          <w:sz w:val="17"/>
        </w:rPr>
        <w:t>permanece</w:t>
      </w:r>
      <w:r>
        <w:rPr>
          <w:rFonts w:ascii="Calibri" w:hAnsi="Calibri"/>
          <w:color w:val="231F20"/>
          <w:spacing w:val="-18"/>
          <w:w w:val="105"/>
          <w:sz w:val="17"/>
        </w:rPr>
        <w:t> </w:t>
      </w:r>
      <w:r>
        <w:rPr>
          <w:rFonts w:ascii="Calibri" w:hAnsi="Calibri"/>
          <w:color w:val="231F20"/>
          <w:w w:val="105"/>
          <w:sz w:val="17"/>
        </w:rPr>
        <w:t>congruen- te</w:t>
      </w:r>
      <w:r>
        <w:rPr>
          <w:rFonts w:ascii="Calibri" w:hAnsi="Calibri"/>
          <w:color w:val="231F20"/>
          <w:spacing w:val="-21"/>
          <w:w w:val="105"/>
          <w:sz w:val="17"/>
        </w:rPr>
        <w:t> </w:t>
      </w:r>
      <w:r>
        <w:rPr>
          <w:rFonts w:ascii="Calibri" w:hAnsi="Calibri"/>
          <w:color w:val="231F20"/>
          <w:w w:val="105"/>
          <w:sz w:val="17"/>
        </w:rPr>
        <w:t>con</w:t>
      </w:r>
      <w:r>
        <w:rPr>
          <w:rFonts w:ascii="Calibri" w:hAnsi="Calibri"/>
          <w:color w:val="231F20"/>
          <w:spacing w:val="-21"/>
          <w:w w:val="105"/>
          <w:sz w:val="17"/>
        </w:rPr>
        <w:t> </w:t>
      </w:r>
      <w:r>
        <w:rPr>
          <w:rFonts w:ascii="Calibri" w:hAnsi="Calibri"/>
          <w:color w:val="231F20"/>
          <w:w w:val="105"/>
          <w:sz w:val="17"/>
        </w:rPr>
        <w:t>su</w:t>
      </w:r>
      <w:r>
        <w:rPr>
          <w:rFonts w:ascii="Calibri" w:hAnsi="Calibri"/>
          <w:color w:val="231F20"/>
          <w:spacing w:val="-21"/>
          <w:w w:val="105"/>
          <w:sz w:val="17"/>
        </w:rPr>
        <w:t> </w:t>
      </w:r>
      <w:r>
        <w:rPr>
          <w:rFonts w:ascii="Calibri" w:hAnsi="Calibri"/>
          <w:color w:val="231F20"/>
          <w:w w:val="105"/>
          <w:sz w:val="17"/>
        </w:rPr>
        <w:t>pensamiento</w:t>
      </w:r>
      <w:r>
        <w:rPr>
          <w:rFonts w:ascii="Calibri" w:hAnsi="Calibri"/>
          <w:color w:val="231F20"/>
          <w:spacing w:val="-21"/>
          <w:w w:val="105"/>
          <w:sz w:val="17"/>
        </w:rPr>
        <w:t> </w:t>
      </w:r>
      <w:r>
        <w:rPr>
          <w:rFonts w:ascii="Calibri" w:hAnsi="Calibri"/>
          <w:color w:val="231F20"/>
          <w:w w:val="105"/>
          <w:sz w:val="17"/>
        </w:rPr>
        <w:t>político,</w:t>
      </w:r>
      <w:r>
        <w:rPr>
          <w:rFonts w:ascii="Calibri" w:hAnsi="Calibri"/>
          <w:color w:val="231F20"/>
          <w:spacing w:val="-21"/>
          <w:w w:val="105"/>
          <w:sz w:val="17"/>
        </w:rPr>
        <w:t> </w:t>
      </w:r>
      <w:r>
        <w:rPr>
          <w:rFonts w:ascii="Calibri" w:hAnsi="Calibri"/>
          <w:color w:val="231F20"/>
          <w:w w:val="105"/>
          <w:sz w:val="17"/>
        </w:rPr>
        <w:t>puede</w:t>
      </w:r>
      <w:r>
        <w:rPr>
          <w:rFonts w:ascii="Calibri" w:hAnsi="Calibri"/>
          <w:color w:val="231F20"/>
          <w:spacing w:val="-21"/>
          <w:w w:val="105"/>
          <w:sz w:val="17"/>
        </w:rPr>
        <w:t> </w:t>
      </w:r>
      <w:r>
        <w:rPr>
          <w:rFonts w:ascii="Calibri" w:hAnsi="Calibri"/>
          <w:color w:val="231F20"/>
          <w:w w:val="105"/>
          <w:sz w:val="17"/>
        </w:rPr>
        <w:t>reconocer</w:t>
      </w:r>
      <w:r>
        <w:rPr>
          <w:rFonts w:ascii="Calibri" w:hAnsi="Calibri"/>
          <w:color w:val="231F20"/>
          <w:spacing w:val="-21"/>
          <w:w w:val="105"/>
          <w:sz w:val="17"/>
        </w:rPr>
        <w:t> </w:t>
      </w:r>
      <w:r>
        <w:rPr>
          <w:rFonts w:ascii="Calibri" w:hAnsi="Calibri"/>
          <w:color w:val="231F20"/>
          <w:w w:val="105"/>
          <w:sz w:val="17"/>
        </w:rPr>
        <w:t>siembre</w:t>
      </w:r>
      <w:r>
        <w:rPr>
          <w:rFonts w:ascii="Calibri" w:hAnsi="Calibri"/>
          <w:color w:val="231F20"/>
          <w:spacing w:val="-21"/>
          <w:w w:val="105"/>
          <w:sz w:val="17"/>
        </w:rPr>
        <w:t> </w:t>
      </w:r>
      <w:r>
        <w:rPr>
          <w:rFonts w:ascii="Calibri" w:hAnsi="Calibri"/>
          <w:color w:val="231F20"/>
          <w:w w:val="105"/>
          <w:sz w:val="17"/>
        </w:rPr>
        <w:t>aun</w:t>
      </w:r>
      <w:r>
        <w:rPr>
          <w:rFonts w:ascii="Calibri" w:hAnsi="Calibri"/>
          <w:color w:val="231F20"/>
          <w:spacing w:val="-21"/>
          <w:w w:val="105"/>
          <w:sz w:val="17"/>
        </w:rPr>
        <w:t> </w:t>
      </w:r>
      <w:r>
        <w:rPr>
          <w:rFonts w:ascii="Calibri" w:hAnsi="Calibri"/>
          <w:color w:val="231F20"/>
          <w:w w:val="105"/>
          <w:sz w:val="17"/>
        </w:rPr>
        <w:t>en</w:t>
      </w:r>
      <w:r>
        <w:rPr>
          <w:rFonts w:ascii="Calibri" w:hAnsi="Calibri"/>
          <w:color w:val="231F20"/>
          <w:spacing w:val="-21"/>
          <w:w w:val="105"/>
          <w:sz w:val="17"/>
        </w:rPr>
        <w:t> </w:t>
      </w:r>
      <w:r>
        <w:rPr>
          <w:rFonts w:ascii="Calibri" w:hAnsi="Calibri"/>
          <w:color w:val="231F20"/>
          <w:w w:val="105"/>
          <w:sz w:val="17"/>
        </w:rPr>
        <w:t>la</w:t>
      </w:r>
      <w:r>
        <w:rPr>
          <w:rFonts w:ascii="Calibri" w:hAnsi="Calibri"/>
          <w:color w:val="231F20"/>
          <w:spacing w:val="-21"/>
          <w:w w:val="105"/>
          <w:sz w:val="17"/>
        </w:rPr>
        <w:t> </w:t>
      </w:r>
      <w:r>
        <w:rPr>
          <w:rFonts w:ascii="Calibri" w:hAnsi="Calibri"/>
          <w:color w:val="231F20"/>
          <w:w w:val="105"/>
          <w:sz w:val="17"/>
        </w:rPr>
        <w:t>condena</w:t>
      </w:r>
      <w:r>
        <w:rPr>
          <w:rFonts w:ascii="Calibri" w:hAnsi="Calibri"/>
          <w:color w:val="231F20"/>
          <w:spacing w:val="-21"/>
          <w:w w:val="105"/>
          <w:sz w:val="17"/>
        </w:rPr>
        <w:t> </w:t>
      </w:r>
      <w:r>
        <w:rPr>
          <w:rFonts w:ascii="Calibri" w:hAnsi="Calibri"/>
          <w:color w:val="231F20"/>
          <w:w w:val="105"/>
          <w:sz w:val="17"/>
        </w:rPr>
        <w:t>de</w:t>
      </w:r>
      <w:r>
        <w:rPr>
          <w:rFonts w:ascii="Calibri" w:hAnsi="Calibri"/>
          <w:color w:val="231F20"/>
          <w:spacing w:val="-21"/>
          <w:w w:val="105"/>
          <w:sz w:val="17"/>
        </w:rPr>
        <w:t> </w:t>
      </w:r>
      <w:r>
        <w:rPr>
          <w:rFonts w:ascii="Calibri" w:hAnsi="Calibri"/>
          <w:color w:val="231F20"/>
          <w:w w:val="105"/>
          <w:sz w:val="17"/>
        </w:rPr>
        <w:t>la</w:t>
      </w:r>
      <w:r>
        <w:rPr>
          <w:rFonts w:ascii="Calibri" w:hAnsi="Calibri"/>
          <w:color w:val="231F20"/>
          <w:spacing w:val="-21"/>
          <w:w w:val="105"/>
          <w:sz w:val="17"/>
        </w:rPr>
        <w:t> </w:t>
      </w:r>
      <w:r>
        <w:rPr>
          <w:rFonts w:ascii="Calibri" w:hAnsi="Calibri"/>
          <w:color w:val="231F20"/>
          <w:w w:val="105"/>
          <w:sz w:val="17"/>
        </w:rPr>
        <w:t>inmoralidad</w:t>
      </w:r>
      <w:r>
        <w:rPr>
          <w:rFonts w:ascii="Calibri" w:hAnsi="Calibri"/>
          <w:color w:val="231F20"/>
          <w:spacing w:val="-21"/>
          <w:w w:val="105"/>
          <w:sz w:val="17"/>
        </w:rPr>
        <w:t> </w:t>
      </w:r>
      <w:r>
        <w:rPr>
          <w:rFonts w:ascii="Calibri" w:hAnsi="Calibri"/>
          <w:color w:val="231F20"/>
          <w:w w:val="105"/>
          <w:sz w:val="17"/>
        </w:rPr>
        <w:t>y</w:t>
      </w:r>
      <w:r>
        <w:rPr>
          <w:rFonts w:ascii="Calibri" w:hAnsi="Calibri"/>
          <w:color w:val="231F20"/>
          <w:spacing w:val="-21"/>
          <w:w w:val="105"/>
          <w:sz w:val="17"/>
        </w:rPr>
        <w:t> </w:t>
      </w:r>
      <w:r>
        <w:rPr>
          <w:rFonts w:ascii="Calibri" w:hAnsi="Calibri"/>
          <w:color w:val="231F20"/>
          <w:w w:val="105"/>
          <w:sz w:val="17"/>
        </w:rPr>
        <w:t>del cinismo</w:t>
      </w:r>
      <w:r>
        <w:rPr>
          <w:rFonts w:ascii="Calibri" w:hAnsi="Calibri"/>
          <w:color w:val="231F20"/>
          <w:spacing w:val="-13"/>
          <w:w w:val="105"/>
          <w:sz w:val="17"/>
        </w:rPr>
        <w:t> </w:t>
      </w:r>
      <w:r>
        <w:rPr>
          <w:rFonts w:ascii="Calibri" w:hAnsi="Calibri"/>
          <w:color w:val="231F20"/>
          <w:w w:val="105"/>
          <w:sz w:val="17"/>
        </w:rPr>
        <w:t>sólo</w:t>
      </w:r>
      <w:r>
        <w:rPr>
          <w:rFonts w:ascii="Calibri" w:hAnsi="Calibri"/>
          <w:color w:val="231F20"/>
          <w:spacing w:val="-13"/>
          <w:w w:val="105"/>
          <w:sz w:val="17"/>
        </w:rPr>
        <w:t> </w:t>
      </w:r>
      <w:r>
        <w:rPr>
          <w:rFonts w:ascii="Calibri" w:hAnsi="Calibri"/>
          <w:color w:val="231F20"/>
          <w:w w:val="105"/>
          <w:sz w:val="17"/>
        </w:rPr>
        <w:t>un</w:t>
      </w:r>
      <w:r>
        <w:rPr>
          <w:rFonts w:ascii="Calibri" w:hAnsi="Calibri"/>
          <w:color w:val="231F20"/>
          <w:spacing w:val="-13"/>
          <w:w w:val="105"/>
          <w:sz w:val="17"/>
        </w:rPr>
        <w:t> </w:t>
      </w:r>
      <w:r>
        <w:rPr>
          <w:rFonts w:ascii="Calibri" w:hAnsi="Calibri"/>
          <w:color w:val="231F20"/>
          <w:w w:val="105"/>
          <w:sz w:val="17"/>
        </w:rPr>
        <w:t>instrumento</w:t>
      </w:r>
      <w:r>
        <w:rPr>
          <w:rFonts w:ascii="Calibri" w:hAnsi="Calibri"/>
          <w:color w:val="231F20"/>
          <w:spacing w:val="-13"/>
          <w:w w:val="105"/>
          <w:sz w:val="17"/>
        </w:rPr>
        <w:t> </w:t>
      </w:r>
      <w:r>
        <w:rPr>
          <w:rFonts w:ascii="Calibri" w:hAnsi="Calibri"/>
          <w:color w:val="231F20"/>
          <w:w w:val="105"/>
          <w:sz w:val="17"/>
        </w:rPr>
        <w:t>político</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hombres</w:t>
      </w:r>
      <w:r>
        <w:rPr>
          <w:rFonts w:ascii="Calibri" w:hAnsi="Calibri"/>
          <w:color w:val="231F20"/>
          <w:spacing w:val="-13"/>
          <w:w w:val="105"/>
          <w:sz w:val="17"/>
        </w:rPr>
        <w:t> </w:t>
      </w:r>
      <w:r>
        <w:rPr>
          <w:rFonts w:ascii="Calibri" w:hAnsi="Calibri"/>
          <w:color w:val="231F20"/>
          <w:w w:val="105"/>
          <w:sz w:val="17"/>
        </w:rPr>
        <w:t>concretamente</w:t>
      </w:r>
      <w:r>
        <w:rPr>
          <w:rFonts w:ascii="Calibri" w:hAnsi="Calibri"/>
          <w:color w:val="231F20"/>
          <w:spacing w:val="-13"/>
          <w:w w:val="105"/>
          <w:sz w:val="17"/>
        </w:rPr>
        <w:t> </w:t>
      </w:r>
      <w:r>
        <w:rPr>
          <w:rFonts w:ascii="Calibri" w:hAnsi="Calibri"/>
          <w:color w:val="231F20"/>
          <w:w w:val="105"/>
          <w:sz w:val="17"/>
        </w:rPr>
        <w:t>en</w:t>
      </w:r>
      <w:r>
        <w:rPr>
          <w:rFonts w:ascii="Calibri" w:hAnsi="Calibri"/>
          <w:color w:val="231F20"/>
          <w:spacing w:val="-13"/>
          <w:w w:val="105"/>
          <w:sz w:val="17"/>
        </w:rPr>
        <w:t> </w:t>
      </w:r>
      <w:r>
        <w:rPr>
          <w:rFonts w:ascii="Calibri" w:hAnsi="Calibri"/>
          <w:color w:val="231F20"/>
          <w:spacing w:val="-4"/>
          <w:w w:val="105"/>
          <w:sz w:val="17"/>
        </w:rPr>
        <w:t>lucha”.</w:t>
      </w:r>
    </w:p>
    <w:p>
      <w:pPr>
        <w:spacing w:after="0" w:line="235" w:lineRule="auto"/>
        <w:jc w:val="both"/>
        <w:rPr>
          <w:rFonts w:ascii="Calibri" w:hAnsi="Calibri"/>
          <w:sz w:val="17"/>
        </w:rPr>
        <w:sectPr>
          <w:type w:val="continuous"/>
          <w:pgSz w:w="9640" w:h="13890"/>
          <w:pgMar w:top="0" w:bottom="0" w:left="1300" w:right="1200"/>
        </w:sectPr>
      </w:pPr>
    </w:p>
    <w:p>
      <w:pPr>
        <w:pStyle w:val="BodyText"/>
        <w:spacing w:line="244" w:lineRule="auto" w:before="107"/>
        <w:ind w:left="103" w:right="115"/>
        <w:jc w:val="both"/>
      </w:pPr>
      <w:r>
        <w:rPr>
          <w:color w:val="231F20"/>
        </w:rPr>
        <w:t>frontación entre los Estados con el riesgo de la más profunda asimetría y discriminación; tal y como como Schmitt anota en el ensayo </w:t>
      </w:r>
      <w:r>
        <w:rPr>
          <w:rFonts w:ascii="Arial" w:hAnsi="Arial"/>
          <w:i/>
          <w:color w:val="231F20"/>
        </w:rPr>
        <w:t>Der Begriff </w:t>
      </w:r>
      <w:r>
        <w:rPr>
          <w:rFonts w:ascii="Arial" w:hAnsi="Arial"/>
          <w:i/>
          <w:color w:val="231F20"/>
        </w:rPr>
        <w:t>des Politischen</w:t>
      </w:r>
      <w:r>
        <w:rPr>
          <w:color w:val="231F20"/>
        </w:rPr>
        <w:t>, “proclamar el concepto de humanidad, nombrar a la hu- manidad, monopolizar esta palabra” tiene como consecuencia la “terrible pretensión” de quitar al propio enemigo la calidad misma de “hombre”,  de declararlo “</w:t>
      </w:r>
      <w:r>
        <w:rPr>
          <w:rFonts w:ascii="Arial" w:hAnsi="Arial"/>
          <w:i/>
          <w:color w:val="231F20"/>
        </w:rPr>
        <w:t>hors–la</w:t>
      </w:r>
      <w:r>
        <w:rPr>
          <w:color w:val="231F20"/>
        </w:rPr>
        <w:t>–</w:t>
      </w:r>
      <w:r>
        <w:rPr>
          <w:rFonts w:ascii="Arial" w:hAnsi="Arial"/>
          <w:i/>
          <w:color w:val="231F20"/>
        </w:rPr>
        <w:t>loi </w:t>
      </w:r>
      <w:r>
        <w:rPr>
          <w:color w:val="231F20"/>
        </w:rPr>
        <w:t>y </w:t>
      </w:r>
      <w:r>
        <w:rPr>
          <w:rFonts w:ascii="Arial" w:hAnsi="Arial"/>
          <w:i/>
          <w:color w:val="231F20"/>
        </w:rPr>
        <w:t>hors l’humanité</w:t>
      </w:r>
      <w:r>
        <w:rPr>
          <w:rFonts w:ascii="Calibri" w:hAnsi="Calibri"/>
          <w:i/>
          <w:color w:val="231F20"/>
        </w:rPr>
        <w:t>”</w:t>
      </w:r>
      <w:r>
        <w:rPr>
          <w:color w:val="231F20"/>
        </w:rPr>
        <w:t>, llevando la guerra contra él hasta la más “extrema inhumanidad”</w:t>
      </w:r>
      <w:r>
        <w:rPr>
          <w:color w:val="231F20"/>
          <w:position w:val="7"/>
          <w:sz w:val="12"/>
        </w:rPr>
        <w:t>45</w:t>
      </w:r>
      <w:r>
        <w:rPr>
          <w:color w:val="231F20"/>
        </w:rPr>
        <w:t>. Esta dinámica, en sus resultados radicalmente discriminatorios, parece encontrar un contrapunto peculiar- mente conforme con el progresivo aumento de la potencia destructiva      a disposición de los beligerantes</w:t>
      </w:r>
      <w:r>
        <w:rPr>
          <w:color w:val="231F20"/>
          <w:position w:val="7"/>
          <w:sz w:val="12"/>
        </w:rPr>
        <w:t>46</w:t>
      </w:r>
      <w:r>
        <w:rPr>
          <w:color w:val="231F20"/>
        </w:rPr>
        <w:t>, hasta los escandalosos extremos de aquella guerra punitiva con elevado nivel tecnológico descrita en una céle- bre página del volumen </w:t>
      </w:r>
      <w:r>
        <w:rPr>
          <w:rFonts w:ascii="Arial" w:hAnsi="Arial"/>
          <w:i/>
          <w:color w:val="231F20"/>
        </w:rPr>
        <w:t>Der Nomos der</w:t>
      </w:r>
      <w:r>
        <w:rPr>
          <w:rFonts w:ascii="Arial" w:hAnsi="Arial"/>
          <w:i/>
          <w:color w:val="231F20"/>
          <w:spacing w:val="10"/>
        </w:rPr>
        <w:t> </w:t>
      </w:r>
      <w:r>
        <w:rPr>
          <w:rFonts w:ascii="Arial" w:hAnsi="Arial"/>
          <w:i/>
          <w:color w:val="231F20"/>
        </w:rPr>
        <w:t>Erde</w:t>
      </w:r>
      <w:r>
        <w:rPr>
          <w:color w:val="231F20"/>
        </w:rPr>
        <w:t>:</w:t>
      </w:r>
    </w:p>
    <w:p>
      <w:pPr>
        <w:pStyle w:val="BodyText"/>
        <w:rPr>
          <w:sz w:val="23"/>
        </w:rPr>
      </w:pPr>
    </w:p>
    <w:p>
      <w:pPr>
        <w:spacing w:line="220" w:lineRule="exact" w:before="0"/>
        <w:ind w:left="1521" w:right="115" w:firstLine="0"/>
        <w:jc w:val="both"/>
        <w:rPr>
          <w:sz w:val="19"/>
        </w:rPr>
      </w:pPr>
      <w:r>
        <w:rPr>
          <w:color w:val="231F20"/>
          <w:sz w:val="19"/>
        </w:rPr>
        <w:t>La discriminación del enemigo como un criminal y la contempo- ránea implicación de la </w:t>
      </w:r>
      <w:r>
        <w:rPr>
          <w:rFonts w:ascii="Arial" w:hAnsi="Arial"/>
          <w:i/>
          <w:color w:val="231F20"/>
          <w:sz w:val="19"/>
        </w:rPr>
        <w:t>justa causa </w:t>
      </w:r>
      <w:r>
        <w:rPr>
          <w:color w:val="231F20"/>
          <w:sz w:val="19"/>
        </w:rPr>
        <w:t>van a la par con la potencia- ción de los medios de destrucción y con la erradicación espacial del teatro de guerra: la potenciación de los medios técnicos de destrucción abre el abismo de una discriminación jurídica y moral igualmente destructiva […] el bombardero o el avión de ataque mientras sobrevuelan usan sus propias armas contra la población enemiga verticalmente, como San Jorge usaba su lanza contra el dragón. En la medida en que cada guerra se transforma en ac- ción policiaca contra los perturbadores de la paz, criminales y elementos nocivos, debe también potenciarse la justificación   de</w:t>
      </w:r>
    </w:p>
    <w:p>
      <w:pPr>
        <w:pStyle w:val="BodyText"/>
        <w:rPr>
          <w:sz w:val="20"/>
        </w:rPr>
      </w:pPr>
    </w:p>
    <w:p>
      <w:pPr>
        <w:pStyle w:val="BodyText"/>
        <w:spacing w:before="8"/>
      </w:pPr>
      <w:r>
        <w:rPr/>
        <w:pict>
          <v:line style="position:absolute;mso-position-horizontal-relative:page;mso-position-vertical-relative:paragraph;z-index:7720;mso-wrap-distance-left:0;mso-wrap-distance-right:0" from="65.196899pt,15.212401pt" to="178.582899pt,15.212401pt" stroked="true" strokeweight=".3pt" strokecolor="#231f20">
            <w10:wrap type="topAndBottom"/>
          </v:line>
        </w:pict>
      </w:r>
    </w:p>
    <w:p>
      <w:pPr>
        <w:spacing w:line="206" w:lineRule="exact" w:before="10"/>
        <w:ind w:left="103" w:right="0" w:firstLine="0"/>
        <w:jc w:val="both"/>
        <w:rPr>
          <w:rFonts w:ascii="Calibri" w:hAnsi="Calibri"/>
          <w:sz w:val="17"/>
        </w:rPr>
      </w:pPr>
      <w:r>
        <w:rPr>
          <w:rFonts w:ascii="Calibri" w:hAnsi="Calibri"/>
          <w:color w:val="231F20"/>
          <w:w w:val="105"/>
          <w:position w:val="6"/>
          <w:sz w:val="10"/>
        </w:rPr>
        <w:t>45</w:t>
      </w:r>
      <w:r>
        <w:rPr>
          <w:rFonts w:ascii="Calibri" w:hAnsi="Calibri"/>
          <w:color w:val="231F20"/>
          <w:spacing w:val="-8"/>
          <w:w w:val="105"/>
          <w:position w:val="6"/>
          <w:sz w:val="10"/>
        </w:rPr>
        <w:t> </w:t>
      </w:r>
      <w:r>
        <w:rPr>
          <w:rFonts w:ascii="Calibri" w:hAnsi="Calibri"/>
          <w:color w:val="231F20"/>
          <w:w w:val="105"/>
          <w:sz w:val="17"/>
        </w:rPr>
        <w:t>Schmitt,</w:t>
      </w:r>
      <w:r>
        <w:rPr>
          <w:rFonts w:ascii="Calibri" w:hAnsi="Calibri"/>
          <w:color w:val="231F20"/>
          <w:spacing w:val="-13"/>
          <w:w w:val="105"/>
          <w:sz w:val="17"/>
        </w:rPr>
        <w:t> </w:t>
      </w:r>
      <w:r>
        <w:rPr>
          <w:rFonts w:ascii="Calibri" w:hAnsi="Calibri"/>
          <w:i/>
          <w:color w:val="231F20"/>
          <w:w w:val="105"/>
          <w:sz w:val="17"/>
        </w:rPr>
        <w:t>Il</w:t>
      </w:r>
      <w:r>
        <w:rPr>
          <w:rFonts w:ascii="Calibri" w:hAnsi="Calibri"/>
          <w:i/>
          <w:color w:val="231F20"/>
          <w:spacing w:val="-13"/>
          <w:w w:val="105"/>
          <w:sz w:val="17"/>
        </w:rPr>
        <w:t> </w:t>
      </w:r>
      <w:r>
        <w:rPr>
          <w:rFonts w:ascii="Calibri" w:hAnsi="Calibri"/>
          <w:i/>
          <w:color w:val="231F20"/>
          <w:w w:val="105"/>
          <w:sz w:val="17"/>
        </w:rPr>
        <w:t>concetto</w:t>
      </w:r>
      <w:r>
        <w:rPr>
          <w:rFonts w:ascii="Calibri" w:hAnsi="Calibri"/>
          <w:i/>
          <w:color w:val="231F20"/>
          <w:spacing w:val="-13"/>
          <w:w w:val="105"/>
          <w:sz w:val="17"/>
        </w:rPr>
        <w:t> </w:t>
      </w:r>
      <w:r>
        <w:rPr>
          <w:rFonts w:ascii="Calibri" w:hAnsi="Calibri"/>
          <w:i/>
          <w:color w:val="231F20"/>
          <w:w w:val="105"/>
          <w:sz w:val="17"/>
        </w:rPr>
        <w:t>del</w:t>
      </w:r>
      <w:r>
        <w:rPr>
          <w:rFonts w:ascii="Calibri" w:hAnsi="Calibri"/>
          <w:i/>
          <w:color w:val="231F20"/>
          <w:spacing w:val="-13"/>
          <w:w w:val="105"/>
          <w:sz w:val="17"/>
        </w:rPr>
        <w:t> </w:t>
      </w:r>
      <w:r>
        <w:rPr>
          <w:rFonts w:ascii="Calibri" w:hAnsi="Calibri"/>
          <w:i/>
          <w:color w:val="231F20"/>
          <w:w w:val="105"/>
          <w:sz w:val="17"/>
        </w:rPr>
        <w:t>politico</w:t>
      </w:r>
      <w:r>
        <w:rPr>
          <w:rFonts w:ascii="Calibri" w:hAnsi="Calibri"/>
          <w:color w:val="231F20"/>
          <w:w w:val="105"/>
          <w:sz w:val="17"/>
        </w:rPr>
        <w:t>,</w:t>
      </w:r>
      <w:r>
        <w:rPr>
          <w:rFonts w:ascii="Calibri" w:hAnsi="Calibri"/>
          <w:color w:val="231F20"/>
          <w:spacing w:val="-13"/>
          <w:w w:val="105"/>
          <w:sz w:val="17"/>
        </w:rPr>
        <w:t> </w:t>
      </w:r>
      <w:r>
        <w:rPr>
          <w:rFonts w:ascii="Calibri" w:hAnsi="Calibri"/>
          <w:color w:val="231F20"/>
          <w:w w:val="105"/>
          <w:sz w:val="17"/>
        </w:rPr>
        <w:t>p.</w:t>
      </w:r>
      <w:r>
        <w:rPr>
          <w:rFonts w:ascii="Calibri" w:hAnsi="Calibri"/>
          <w:color w:val="231F20"/>
          <w:spacing w:val="-13"/>
          <w:w w:val="105"/>
          <w:sz w:val="17"/>
        </w:rPr>
        <w:t> </w:t>
      </w:r>
      <w:r>
        <w:rPr>
          <w:rFonts w:ascii="Calibri" w:hAnsi="Calibri"/>
          <w:color w:val="231F20"/>
          <w:w w:val="105"/>
          <w:sz w:val="17"/>
        </w:rPr>
        <w:t>139.</w:t>
      </w:r>
      <w:r>
        <w:rPr>
          <w:rFonts w:ascii="Calibri" w:hAnsi="Calibri"/>
          <w:color w:val="231F20"/>
          <w:spacing w:val="-13"/>
          <w:w w:val="105"/>
          <w:sz w:val="17"/>
        </w:rPr>
        <w:t> </w:t>
      </w:r>
      <w:r>
        <w:rPr>
          <w:rFonts w:ascii="Calibri" w:hAnsi="Calibri"/>
          <w:color w:val="231F20"/>
          <w:w w:val="105"/>
          <w:sz w:val="17"/>
        </w:rPr>
        <w:t>Para</w:t>
      </w:r>
      <w:r>
        <w:rPr>
          <w:rFonts w:ascii="Calibri" w:hAnsi="Calibri"/>
          <w:color w:val="231F20"/>
          <w:spacing w:val="-13"/>
          <w:w w:val="105"/>
          <w:sz w:val="17"/>
        </w:rPr>
        <w:t> </w:t>
      </w:r>
      <w:r>
        <w:rPr>
          <w:rFonts w:ascii="Calibri" w:hAnsi="Calibri"/>
          <w:color w:val="231F20"/>
          <w:w w:val="105"/>
          <w:sz w:val="17"/>
        </w:rPr>
        <w:t>una</w:t>
      </w:r>
      <w:r>
        <w:rPr>
          <w:rFonts w:ascii="Calibri" w:hAnsi="Calibri"/>
          <w:color w:val="231F20"/>
          <w:spacing w:val="-15"/>
          <w:w w:val="105"/>
          <w:sz w:val="17"/>
        </w:rPr>
        <w:t> </w:t>
      </w:r>
      <w:r>
        <w:rPr>
          <w:rFonts w:ascii="Calibri" w:hAnsi="Calibri"/>
          <w:color w:val="231F20"/>
          <w:w w:val="105"/>
          <w:sz w:val="17"/>
        </w:rPr>
        <w:t>versión</w:t>
      </w:r>
      <w:r>
        <w:rPr>
          <w:rFonts w:ascii="Calibri" w:hAnsi="Calibri"/>
          <w:color w:val="231F20"/>
          <w:spacing w:val="-13"/>
          <w:w w:val="105"/>
          <w:sz w:val="17"/>
        </w:rPr>
        <w:t> </w:t>
      </w:r>
      <w:r>
        <w:rPr>
          <w:rFonts w:ascii="Calibri" w:hAnsi="Calibri"/>
          <w:color w:val="231F20"/>
          <w:w w:val="105"/>
          <w:sz w:val="17"/>
        </w:rPr>
        <w:t>más</w:t>
      </w:r>
      <w:r>
        <w:rPr>
          <w:rFonts w:ascii="Calibri" w:hAnsi="Calibri"/>
          <w:color w:val="231F20"/>
          <w:spacing w:val="-13"/>
          <w:w w:val="105"/>
          <w:sz w:val="17"/>
        </w:rPr>
        <w:t> </w:t>
      </w:r>
      <w:r>
        <w:rPr>
          <w:rFonts w:ascii="Calibri" w:hAnsi="Calibri"/>
          <w:color w:val="231F20"/>
          <w:w w:val="105"/>
          <w:sz w:val="17"/>
        </w:rPr>
        <w:t>argumentada</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este</w:t>
      </w:r>
      <w:r>
        <w:rPr>
          <w:rFonts w:ascii="Calibri" w:hAnsi="Calibri"/>
          <w:color w:val="231F20"/>
          <w:spacing w:val="-13"/>
          <w:w w:val="105"/>
          <w:sz w:val="17"/>
        </w:rPr>
        <w:t> </w:t>
      </w:r>
      <w:r>
        <w:rPr>
          <w:rFonts w:ascii="Calibri" w:hAnsi="Calibri"/>
          <w:color w:val="231F20"/>
          <w:w w:val="105"/>
          <w:sz w:val="17"/>
        </w:rPr>
        <w:t>asunto</w:t>
      </w:r>
      <w:r>
        <w:rPr>
          <w:rFonts w:ascii="Calibri" w:hAnsi="Calibri"/>
          <w:color w:val="231F20"/>
          <w:spacing w:val="-15"/>
          <w:w w:val="105"/>
          <w:sz w:val="17"/>
        </w:rPr>
        <w:t> </w:t>
      </w:r>
      <w:r>
        <w:rPr>
          <w:rFonts w:ascii="Calibri" w:hAnsi="Calibri"/>
          <w:color w:val="231F20"/>
          <w:w w:val="105"/>
          <w:sz w:val="17"/>
        </w:rPr>
        <w:t>véase</w:t>
      </w:r>
    </w:p>
    <w:p>
      <w:pPr>
        <w:pStyle w:val="ListParagraph"/>
        <w:numPr>
          <w:ilvl w:val="0"/>
          <w:numId w:val="6"/>
        </w:numPr>
        <w:tabs>
          <w:tab w:pos="305" w:val="left" w:leader="none"/>
        </w:tabs>
        <w:spacing w:line="235" w:lineRule="auto" w:before="1" w:after="0"/>
        <w:ind w:left="103" w:right="114" w:firstLine="0"/>
        <w:jc w:val="both"/>
        <w:rPr>
          <w:rFonts w:ascii="Calibri" w:hAnsi="Calibri"/>
          <w:sz w:val="17"/>
        </w:rPr>
      </w:pPr>
      <w:r>
        <w:rPr>
          <w:rFonts w:ascii="Calibri" w:hAnsi="Calibri"/>
          <w:color w:val="231F20"/>
          <w:w w:val="105"/>
          <w:sz w:val="17"/>
        </w:rPr>
        <w:t>Schmitt, “Staatsethik und pluralistischer Staat (1930)”, </w:t>
      </w:r>
      <w:r>
        <w:rPr>
          <w:rFonts w:ascii="Calibri" w:hAnsi="Calibri"/>
          <w:i/>
          <w:color w:val="231F20"/>
          <w:w w:val="105"/>
          <w:sz w:val="17"/>
        </w:rPr>
        <w:t>Positionen und Begriffe im Kampf mit </w:t>
      </w:r>
      <w:r>
        <w:rPr>
          <w:rFonts w:ascii="Calibri" w:hAnsi="Calibri"/>
          <w:i/>
          <w:color w:val="231F20"/>
          <w:w w:val="105"/>
          <w:sz w:val="17"/>
        </w:rPr>
        <w:t>Weimar</w:t>
      </w:r>
      <w:r>
        <w:rPr>
          <w:rFonts w:ascii="Calibri" w:hAnsi="Calibri"/>
          <w:i/>
          <w:color w:val="231F20"/>
          <w:spacing w:val="-22"/>
          <w:w w:val="105"/>
          <w:sz w:val="17"/>
        </w:rPr>
        <w:t> </w:t>
      </w:r>
      <w:r>
        <w:rPr>
          <w:rFonts w:ascii="Calibri" w:hAnsi="Calibri"/>
          <w:i/>
          <w:color w:val="231F20"/>
          <w:w w:val="105"/>
          <w:sz w:val="17"/>
        </w:rPr>
        <w:t>–</w:t>
      </w:r>
      <w:r>
        <w:rPr>
          <w:rFonts w:ascii="Calibri" w:hAnsi="Calibri"/>
          <w:i/>
          <w:color w:val="231F20"/>
          <w:spacing w:val="-22"/>
          <w:w w:val="105"/>
          <w:sz w:val="17"/>
        </w:rPr>
        <w:t> </w:t>
      </w:r>
      <w:r>
        <w:rPr>
          <w:rFonts w:ascii="Calibri" w:hAnsi="Calibri"/>
          <w:i/>
          <w:color w:val="231F20"/>
          <w:w w:val="105"/>
          <w:sz w:val="17"/>
        </w:rPr>
        <w:t>Genf</w:t>
      </w:r>
      <w:r>
        <w:rPr>
          <w:rFonts w:ascii="Calibri" w:hAnsi="Calibri"/>
          <w:i/>
          <w:color w:val="231F20"/>
          <w:spacing w:val="-22"/>
          <w:w w:val="105"/>
          <w:sz w:val="17"/>
        </w:rPr>
        <w:t> </w:t>
      </w:r>
      <w:r>
        <w:rPr>
          <w:rFonts w:ascii="Calibri" w:hAnsi="Calibri"/>
          <w:i/>
          <w:color w:val="231F20"/>
          <w:w w:val="105"/>
          <w:sz w:val="17"/>
        </w:rPr>
        <w:t>–</w:t>
      </w:r>
      <w:r>
        <w:rPr>
          <w:rFonts w:ascii="Calibri" w:hAnsi="Calibri"/>
          <w:i/>
          <w:color w:val="231F20"/>
          <w:spacing w:val="-23"/>
          <w:w w:val="105"/>
          <w:sz w:val="17"/>
        </w:rPr>
        <w:t> </w:t>
      </w:r>
      <w:r>
        <w:rPr>
          <w:rFonts w:ascii="Calibri" w:hAnsi="Calibri"/>
          <w:i/>
          <w:color w:val="231F20"/>
          <w:w w:val="105"/>
          <w:sz w:val="17"/>
        </w:rPr>
        <w:t>Versailles</w:t>
      </w:r>
      <w:r>
        <w:rPr>
          <w:rFonts w:ascii="Calibri" w:hAnsi="Calibri"/>
          <w:i/>
          <w:color w:val="231F20"/>
          <w:spacing w:val="-22"/>
          <w:w w:val="105"/>
          <w:sz w:val="17"/>
        </w:rPr>
        <w:t> </w:t>
      </w:r>
      <w:r>
        <w:rPr>
          <w:rFonts w:ascii="Calibri" w:hAnsi="Calibri"/>
          <w:i/>
          <w:color w:val="231F20"/>
          <w:w w:val="105"/>
          <w:sz w:val="17"/>
        </w:rPr>
        <w:t>1929</w:t>
      </w:r>
      <w:r>
        <w:rPr>
          <w:rFonts w:ascii="Calibri" w:hAnsi="Calibri"/>
          <w:color w:val="231F20"/>
          <w:w w:val="105"/>
          <w:sz w:val="17"/>
        </w:rPr>
        <w:t>–</w:t>
      </w:r>
      <w:r>
        <w:rPr>
          <w:rFonts w:ascii="Calibri" w:hAnsi="Calibri"/>
          <w:i/>
          <w:color w:val="231F20"/>
          <w:w w:val="105"/>
          <w:sz w:val="17"/>
        </w:rPr>
        <w:t>1939</w:t>
      </w:r>
      <w:r>
        <w:rPr>
          <w:rFonts w:ascii="Calibri" w:hAnsi="Calibri"/>
          <w:color w:val="231F20"/>
          <w:w w:val="105"/>
          <w:sz w:val="17"/>
        </w:rPr>
        <w:t>,</w:t>
      </w:r>
      <w:r>
        <w:rPr>
          <w:rFonts w:ascii="Calibri" w:hAnsi="Calibri"/>
          <w:color w:val="231F20"/>
          <w:spacing w:val="-21"/>
          <w:w w:val="105"/>
          <w:sz w:val="17"/>
        </w:rPr>
        <w:t> </w:t>
      </w:r>
      <w:r>
        <w:rPr>
          <w:rFonts w:ascii="Calibri" w:hAnsi="Calibri"/>
          <w:color w:val="231F20"/>
          <w:w w:val="105"/>
          <w:sz w:val="17"/>
        </w:rPr>
        <w:t>Berlin,</w:t>
      </w:r>
      <w:r>
        <w:rPr>
          <w:rFonts w:ascii="Calibri" w:hAnsi="Calibri"/>
          <w:color w:val="231F20"/>
          <w:spacing w:val="-21"/>
          <w:w w:val="105"/>
          <w:sz w:val="17"/>
        </w:rPr>
        <w:t> </w:t>
      </w:r>
      <w:r>
        <w:rPr>
          <w:rFonts w:ascii="Calibri" w:hAnsi="Calibri"/>
          <w:color w:val="231F20"/>
          <w:w w:val="105"/>
          <w:sz w:val="17"/>
        </w:rPr>
        <w:t>Duncker</w:t>
      </w:r>
      <w:r>
        <w:rPr>
          <w:rFonts w:ascii="Calibri" w:hAnsi="Calibri"/>
          <w:color w:val="231F20"/>
          <w:spacing w:val="-21"/>
          <w:w w:val="105"/>
          <w:sz w:val="17"/>
        </w:rPr>
        <w:t> </w:t>
      </w:r>
      <w:r>
        <w:rPr>
          <w:rFonts w:ascii="Calibri" w:hAnsi="Calibri"/>
          <w:color w:val="231F20"/>
          <w:w w:val="105"/>
          <w:sz w:val="17"/>
        </w:rPr>
        <w:t>&amp;</w:t>
      </w:r>
      <w:r>
        <w:rPr>
          <w:rFonts w:ascii="Calibri" w:hAnsi="Calibri"/>
          <w:color w:val="231F20"/>
          <w:spacing w:val="-21"/>
          <w:w w:val="105"/>
          <w:sz w:val="17"/>
        </w:rPr>
        <w:t> </w:t>
      </w:r>
      <w:r>
        <w:rPr>
          <w:rFonts w:ascii="Calibri" w:hAnsi="Calibri"/>
          <w:color w:val="231F20"/>
          <w:w w:val="105"/>
          <w:sz w:val="17"/>
        </w:rPr>
        <w:t>Humblot,</w:t>
      </w:r>
      <w:r>
        <w:rPr>
          <w:rFonts w:ascii="Calibri" w:hAnsi="Calibri"/>
          <w:color w:val="231F20"/>
          <w:spacing w:val="-21"/>
          <w:w w:val="105"/>
          <w:sz w:val="17"/>
        </w:rPr>
        <w:t> </w:t>
      </w:r>
      <w:r>
        <w:rPr>
          <w:rFonts w:ascii="Calibri" w:hAnsi="Calibri"/>
          <w:color w:val="231F20"/>
          <w:w w:val="105"/>
          <w:sz w:val="17"/>
        </w:rPr>
        <w:t>1988,</w:t>
      </w:r>
      <w:r>
        <w:rPr>
          <w:rFonts w:ascii="Calibri" w:hAnsi="Calibri"/>
          <w:color w:val="231F20"/>
          <w:spacing w:val="-21"/>
          <w:w w:val="105"/>
          <w:sz w:val="17"/>
        </w:rPr>
        <w:t> </w:t>
      </w:r>
      <w:r>
        <w:rPr>
          <w:rFonts w:ascii="Calibri" w:hAnsi="Calibri"/>
          <w:color w:val="231F20"/>
          <w:w w:val="105"/>
          <w:sz w:val="17"/>
        </w:rPr>
        <w:t>p.</w:t>
      </w:r>
      <w:r>
        <w:rPr>
          <w:rFonts w:ascii="Calibri" w:hAnsi="Calibri"/>
          <w:color w:val="231F20"/>
          <w:spacing w:val="-21"/>
          <w:w w:val="105"/>
          <w:sz w:val="17"/>
        </w:rPr>
        <w:t> </w:t>
      </w:r>
      <w:r>
        <w:rPr>
          <w:rFonts w:ascii="Calibri" w:hAnsi="Calibri"/>
          <w:color w:val="231F20"/>
          <w:w w:val="105"/>
          <w:sz w:val="17"/>
        </w:rPr>
        <w:t>143:</w:t>
      </w:r>
      <w:r>
        <w:rPr>
          <w:rFonts w:ascii="Calibri" w:hAnsi="Calibri"/>
          <w:color w:val="231F20"/>
          <w:spacing w:val="-21"/>
          <w:w w:val="105"/>
          <w:sz w:val="17"/>
        </w:rPr>
        <w:t> </w:t>
      </w:r>
      <w:r>
        <w:rPr>
          <w:rFonts w:ascii="Calibri" w:hAnsi="Calibri"/>
          <w:color w:val="231F20"/>
          <w:w w:val="105"/>
          <w:sz w:val="17"/>
        </w:rPr>
        <w:t>“Sólo</w:t>
      </w:r>
      <w:r>
        <w:rPr>
          <w:rFonts w:ascii="Calibri" w:hAnsi="Calibri"/>
          <w:color w:val="231F20"/>
          <w:spacing w:val="-21"/>
          <w:w w:val="105"/>
          <w:sz w:val="17"/>
        </w:rPr>
        <w:t> </w:t>
      </w:r>
      <w:r>
        <w:rPr>
          <w:rFonts w:ascii="Calibri" w:hAnsi="Calibri"/>
          <w:color w:val="231F20"/>
          <w:w w:val="105"/>
          <w:sz w:val="17"/>
        </w:rPr>
        <w:t>cuando</w:t>
      </w:r>
      <w:r>
        <w:rPr>
          <w:rFonts w:ascii="Calibri" w:hAnsi="Calibri"/>
          <w:color w:val="231F20"/>
          <w:spacing w:val="-21"/>
          <w:w w:val="105"/>
          <w:sz w:val="17"/>
        </w:rPr>
        <w:t> </w:t>
      </w:r>
      <w:r>
        <w:rPr>
          <w:rFonts w:ascii="Calibri" w:hAnsi="Calibri"/>
          <w:color w:val="231F20"/>
          <w:w w:val="105"/>
          <w:sz w:val="17"/>
        </w:rPr>
        <w:t>con- ceptos</w:t>
      </w:r>
      <w:r>
        <w:rPr>
          <w:rFonts w:ascii="Calibri" w:hAnsi="Calibri"/>
          <w:color w:val="231F20"/>
          <w:spacing w:val="-12"/>
          <w:w w:val="105"/>
          <w:sz w:val="17"/>
        </w:rPr>
        <w:t> </w:t>
      </w:r>
      <w:r>
        <w:rPr>
          <w:rFonts w:ascii="Calibri" w:hAnsi="Calibri"/>
          <w:color w:val="231F20"/>
          <w:w w:val="105"/>
          <w:sz w:val="17"/>
        </w:rPr>
        <w:t>supremos</w:t>
      </w:r>
      <w:r>
        <w:rPr>
          <w:rFonts w:ascii="Calibri" w:hAnsi="Calibri"/>
          <w:color w:val="231F20"/>
          <w:spacing w:val="-14"/>
          <w:w w:val="105"/>
          <w:sz w:val="17"/>
        </w:rPr>
        <w:t> </w:t>
      </w:r>
      <w:r>
        <w:rPr>
          <w:rFonts w:ascii="Calibri" w:hAnsi="Calibri"/>
          <w:color w:val="231F20"/>
          <w:w w:val="105"/>
          <w:sz w:val="17"/>
        </w:rPr>
        <w:t>y</w:t>
      </w:r>
      <w:r>
        <w:rPr>
          <w:rFonts w:ascii="Calibri" w:hAnsi="Calibri"/>
          <w:color w:val="231F20"/>
          <w:spacing w:val="-12"/>
          <w:w w:val="105"/>
          <w:sz w:val="17"/>
        </w:rPr>
        <w:t> </w:t>
      </w:r>
      <w:r>
        <w:rPr>
          <w:rFonts w:ascii="Calibri" w:hAnsi="Calibri"/>
          <w:color w:val="231F20"/>
          <w:w w:val="105"/>
          <w:sz w:val="17"/>
        </w:rPr>
        <w:t>universales</w:t>
      </w:r>
      <w:r>
        <w:rPr>
          <w:rFonts w:ascii="Calibri" w:hAnsi="Calibri"/>
          <w:color w:val="231F20"/>
          <w:spacing w:val="-12"/>
          <w:w w:val="105"/>
          <w:sz w:val="17"/>
        </w:rPr>
        <w:t> </w:t>
      </w:r>
      <w:r>
        <w:rPr>
          <w:rFonts w:ascii="Calibri" w:hAnsi="Calibri"/>
          <w:color w:val="231F20"/>
          <w:w w:val="105"/>
          <w:sz w:val="17"/>
        </w:rPr>
        <w:t>como</w:t>
      </w:r>
      <w:r>
        <w:rPr>
          <w:rFonts w:ascii="Calibri" w:hAnsi="Calibri"/>
          <w:color w:val="231F20"/>
          <w:spacing w:val="-12"/>
          <w:w w:val="105"/>
          <w:sz w:val="17"/>
        </w:rPr>
        <w:t> </w:t>
      </w:r>
      <w:r>
        <w:rPr>
          <w:rFonts w:ascii="Calibri" w:hAnsi="Calibri"/>
          <w:color w:val="231F20"/>
          <w:w w:val="105"/>
          <w:sz w:val="17"/>
        </w:rPr>
        <w:t>humanidad</w:t>
      </w:r>
      <w:r>
        <w:rPr>
          <w:rFonts w:ascii="Calibri" w:hAnsi="Calibri"/>
          <w:color w:val="231F20"/>
          <w:spacing w:val="-12"/>
          <w:w w:val="105"/>
          <w:sz w:val="17"/>
        </w:rPr>
        <w:t> </w:t>
      </w:r>
      <w:r>
        <w:rPr>
          <w:rFonts w:ascii="Calibri" w:hAnsi="Calibri"/>
          <w:color w:val="231F20"/>
          <w:w w:val="105"/>
          <w:sz w:val="17"/>
        </w:rPr>
        <w:t>son</w:t>
      </w:r>
      <w:r>
        <w:rPr>
          <w:rFonts w:ascii="Calibri" w:hAnsi="Calibri"/>
          <w:color w:val="231F20"/>
          <w:spacing w:val="-12"/>
          <w:w w:val="105"/>
          <w:sz w:val="17"/>
        </w:rPr>
        <w:t> </w:t>
      </w:r>
      <w:r>
        <w:rPr>
          <w:rFonts w:ascii="Calibri" w:hAnsi="Calibri"/>
          <w:color w:val="231F20"/>
          <w:w w:val="105"/>
          <w:sz w:val="17"/>
        </w:rPr>
        <w:t>utilizados</w:t>
      </w:r>
      <w:r>
        <w:rPr>
          <w:rFonts w:ascii="Calibri" w:hAnsi="Calibri"/>
          <w:color w:val="231F20"/>
          <w:spacing w:val="-12"/>
          <w:w w:val="105"/>
          <w:sz w:val="17"/>
        </w:rPr>
        <w:t> </w:t>
      </w:r>
      <w:r>
        <w:rPr>
          <w:rFonts w:ascii="Calibri" w:hAnsi="Calibri"/>
          <w:color w:val="231F20"/>
          <w:w w:val="105"/>
          <w:sz w:val="17"/>
        </w:rPr>
        <w:t>políticamente</w:t>
      </w:r>
      <w:r>
        <w:rPr>
          <w:rFonts w:ascii="Calibri" w:hAnsi="Calibri"/>
          <w:color w:val="231F20"/>
          <w:spacing w:val="-12"/>
          <w:w w:val="105"/>
          <w:sz w:val="17"/>
        </w:rPr>
        <w:t> </w:t>
      </w:r>
      <w:r>
        <w:rPr>
          <w:rFonts w:ascii="Calibri" w:hAnsi="Calibri"/>
          <w:color w:val="231F20"/>
          <w:w w:val="105"/>
          <w:sz w:val="17"/>
        </w:rPr>
        <w:t>para</w:t>
      </w:r>
      <w:r>
        <w:rPr>
          <w:rFonts w:ascii="Calibri" w:hAnsi="Calibri"/>
          <w:color w:val="231F20"/>
          <w:spacing w:val="-12"/>
          <w:w w:val="105"/>
          <w:sz w:val="17"/>
        </w:rPr>
        <w:t> </w:t>
      </w:r>
      <w:r>
        <w:rPr>
          <w:rFonts w:ascii="Calibri" w:hAnsi="Calibri"/>
          <w:color w:val="231F20"/>
          <w:w w:val="105"/>
          <w:sz w:val="17"/>
        </w:rPr>
        <w:t>identificar</w:t>
      </w:r>
      <w:r>
        <w:rPr>
          <w:rFonts w:ascii="Calibri" w:hAnsi="Calibri"/>
          <w:color w:val="231F20"/>
          <w:spacing w:val="-12"/>
          <w:w w:val="105"/>
          <w:sz w:val="17"/>
        </w:rPr>
        <w:t> </w:t>
      </w:r>
      <w:r>
        <w:rPr>
          <w:rFonts w:ascii="Calibri" w:hAnsi="Calibri"/>
          <w:color w:val="231F20"/>
          <w:w w:val="105"/>
          <w:sz w:val="17"/>
        </w:rPr>
        <w:t>con ellos</w:t>
      </w:r>
      <w:r>
        <w:rPr>
          <w:rFonts w:ascii="Calibri" w:hAnsi="Calibri"/>
          <w:color w:val="231F20"/>
          <w:spacing w:val="-13"/>
          <w:w w:val="105"/>
          <w:sz w:val="17"/>
        </w:rPr>
        <w:t> </w:t>
      </w:r>
      <w:r>
        <w:rPr>
          <w:rFonts w:ascii="Calibri" w:hAnsi="Calibri"/>
          <w:color w:val="231F20"/>
          <w:w w:val="105"/>
          <w:sz w:val="17"/>
        </w:rPr>
        <w:t>un</w:t>
      </w:r>
      <w:r>
        <w:rPr>
          <w:rFonts w:ascii="Calibri" w:hAnsi="Calibri"/>
          <w:color w:val="231F20"/>
          <w:spacing w:val="-13"/>
          <w:w w:val="105"/>
          <w:sz w:val="17"/>
        </w:rPr>
        <w:t> </w:t>
      </w:r>
      <w:r>
        <w:rPr>
          <w:rFonts w:ascii="Calibri" w:hAnsi="Calibri"/>
          <w:color w:val="231F20"/>
          <w:w w:val="105"/>
          <w:sz w:val="17"/>
        </w:rPr>
        <w:t>único</w:t>
      </w:r>
      <w:r>
        <w:rPr>
          <w:rFonts w:ascii="Calibri" w:hAnsi="Calibri"/>
          <w:color w:val="231F20"/>
          <w:spacing w:val="-13"/>
          <w:w w:val="105"/>
          <w:sz w:val="17"/>
        </w:rPr>
        <w:t> </w:t>
      </w:r>
      <w:r>
        <w:rPr>
          <w:rFonts w:ascii="Calibri" w:hAnsi="Calibri"/>
          <w:color w:val="231F20"/>
          <w:w w:val="105"/>
          <w:sz w:val="17"/>
        </w:rPr>
        <w:t>pueblo</w:t>
      </w:r>
      <w:r>
        <w:rPr>
          <w:rFonts w:ascii="Calibri" w:hAnsi="Calibri"/>
          <w:color w:val="231F20"/>
          <w:spacing w:val="-13"/>
          <w:w w:val="105"/>
          <w:sz w:val="17"/>
        </w:rPr>
        <w:t> </w:t>
      </w:r>
      <w:r>
        <w:rPr>
          <w:rFonts w:ascii="Calibri" w:hAnsi="Calibri"/>
          <w:color w:val="231F20"/>
          <w:w w:val="105"/>
          <w:sz w:val="17"/>
        </w:rPr>
        <w:t>o</w:t>
      </w:r>
      <w:r>
        <w:rPr>
          <w:rFonts w:ascii="Calibri" w:hAnsi="Calibri"/>
          <w:color w:val="231F20"/>
          <w:spacing w:val="-13"/>
          <w:w w:val="105"/>
          <w:sz w:val="17"/>
        </w:rPr>
        <w:t> </w:t>
      </w:r>
      <w:r>
        <w:rPr>
          <w:rFonts w:ascii="Calibri" w:hAnsi="Calibri"/>
          <w:color w:val="231F20"/>
          <w:w w:val="105"/>
          <w:sz w:val="17"/>
        </w:rPr>
        <w:t>una</w:t>
      </w:r>
      <w:r>
        <w:rPr>
          <w:rFonts w:ascii="Calibri" w:hAnsi="Calibri"/>
          <w:color w:val="231F20"/>
          <w:spacing w:val="-13"/>
          <w:w w:val="105"/>
          <w:sz w:val="17"/>
        </w:rPr>
        <w:t> </w:t>
      </w:r>
      <w:r>
        <w:rPr>
          <w:rFonts w:ascii="Calibri" w:hAnsi="Calibri"/>
          <w:color w:val="231F20"/>
          <w:w w:val="105"/>
          <w:sz w:val="17"/>
        </w:rPr>
        <w:t>determinada</w:t>
      </w:r>
      <w:r>
        <w:rPr>
          <w:rFonts w:ascii="Calibri" w:hAnsi="Calibri"/>
          <w:color w:val="231F20"/>
          <w:spacing w:val="-13"/>
          <w:w w:val="105"/>
          <w:sz w:val="17"/>
        </w:rPr>
        <w:t> </w:t>
      </w:r>
      <w:r>
        <w:rPr>
          <w:rFonts w:ascii="Calibri" w:hAnsi="Calibri"/>
          <w:color w:val="231F20"/>
          <w:w w:val="105"/>
          <w:sz w:val="17"/>
        </w:rPr>
        <w:t>organización</w:t>
      </w:r>
      <w:r>
        <w:rPr>
          <w:rFonts w:ascii="Calibri" w:hAnsi="Calibri"/>
          <w:color w:val="231F20"/>
          <w:spacing w:val="-13"/>
          <w:w w:val="105"/>
          <w:sz w:val="17"/>
        </w:rPr>
        <w:t> </w:t>
      </w:r>
      <w:r>
        <w:rPr>
          <w:rFonts w:ascii="Calibri" w:hAnsi="Calibri"/>
          <w:color w:val="231F20"/>
          <w:w w:val="105"/>
          <w:sz w:val="17"/>
        </w:rPr>
        <w:t>social,</w:t>
      </w:r>
      <w:r>
        <w:rPr>
          <w:rFonts w:ascii="Calibri" w:hAnsi="Calibri"/>
          <w:color w:val="231F20"/>
          <w:spacing w:val="-13"/>
          <w:w w:val="105"/>
          <w:sz w:val="17"/>
        </w:rPr>
        <w:t> </w:t>
      </w:r>
      <w:r>
        <w:rPr>
          <w:rFonts w:ascii="Calibri" w:hAnsi="Calibri"/>
          <w:color w:val="231F20"/>
          <w:w w:val="105"/>
          <w:sz w:val="17"/>
        </w:rPr>
        <w:t>surge</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posibilidad</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una</w:t>
      </w:r>
      <w:r>
        <w:rPr>
          <w:rFonts w:ascii="Calibri" w:hAnsi="Calibri"/>
          <w:color w:val="231F20"/>
          <w:spacing w:val="-13"/>
          <w:w w:val="105"/>
          <w:sz w:val="17"/>
        </w:rPr>
        <w:t> </w:t>
      </w:r>
      <w:r>
        <w:rPr>
          <w:rFonts w:ascii="Calibri" w:hAnsi="Calibri"/>
          <w:color w:val="231F20"/>
          <w:w w:val="105"/>
          <w:sz w:val="17"/>
        </w:rPr>
        <w:t>peligrosa expansión</w:t>
      </w:r>
      <w:r>
        <w:rPr>
          <w:rFonts w:ascii="Calibri" w:hAnsi="Calibri"/>
          <w:color w:val="231F20"/>
          <w:spacing w:val="-18"/>
          <w:w w:val="105"/>
          <w:sz w:val="17"/>
        </w:rPr>
        <w:t> </w:t>
      </w:r>
      <w:r>
        <w:rPr>
          <w:rFonts w:ascii="Calibri" w:hAnsi="Calibri"/>
          <w:color w:val="231F20"/>
          <w:w w:val="105"/>
          <w:sz w:val="17"/>
        </w:rPr>
        <w:t>y</w:t>
      </w:r>
      <w:r>
        <w:rPr>
          <w:rFonts w:ascii="Calibri" w:hAnsi="Calibri"/>
          <w:color w:val="231F20"/>
          <w:spacing w:val="-17"/>
          <w:w w:val="105"/>
          <w:sz w:val="17"/>
        </w:rPr>
        <w:t> </w:t>
      </w:r>
      <w:r>
        <w:rPr>
          <w:rFonts w:ascii="Calibri" w:hAnsi="Calibri"/>
          <w:color w:val="231F20"/>
          <w:w w:val="105"/>
          <w:sz w:val="17"/>
        </w:rPr>
        <w:t>de</w:t>
      </w:r>
      <w:r>
        <w:rPr>
          <w:rFonts w:ascii="Calibri" w:hAnsi="Calibri"/>
          <w:color w:val="231F20"/>
          <w:spacing w:val="-17"/>
          <w:w w:val="105"/>
          <w:sz w:val="17"/>
        </w:rPr>
        <w:t> </w:t>
      </w:r>
      <w:r>
        <w:rPr>
          <w:rFonts w:ascii="Calibri" w:hAnsi="Calibri"/>
          <w:color w:val="231F20"/>
          <w:w w:val="105"/>
          <w:sz w:val="17"/>
        </w:rPr>
        <w:t>un</w:t>
      </w:r>
      <w:r>
        <w:rPr>
          <w:rFonts w:ascii="Calibri" w:hAnsi="Calibri"/>
          <w:color w:val="231F20"/>
          <w:spacing w:val="-17"/>
          <w:w w:val="105"/>
          <w:sz w:val="17"/>
        </w:rPr>
        <w:t> </w:t>
      </w:r>
      <w:r>
        <w:rPr>
          <w:rFonts w:ascii="Calibri" w:hAnsi="Calibri"/>
          <w:color w:val="231F20"/>
          <w:w w:val="105"/>
          <w:sz w:val="17"/>
        </w:rPr>
        <w:t>imperialismo</w:t>
      </w:r>
      <w:r>
        <w:rPr>
          <w:rFonts w:ascii="Calibri" w:hAnsi="Calibri"/>
          <w:color w:val="231F20"/>
          <w:spacing w:val="-17"/>
          <w:w w:val="105"/>
          <w:sz w:val="17"/>
        </w:rPr>
        <w:t> </w:t>
      </w:r>
      <w:r>
        <w:rPr>
          <w:rFonts w:ascii="Calibri" w:hAnsi="Calibri"/>
          <w:color w:val="231F20"/>
          <w:spacing w:val="-3"/>
          <w:w w:val="105"/>
          <w:sz w:val="17"/>
        </w:rPr>
        <w:t>asesino”.</w:t>
      </w:r>
    </w:p>
    <w:p>
      <w:pPr>
        <w:spacing w:line="235" w:lineRule="auto" w:before="0"/>
        <w:ind w:left="103" w:right="114" w:firstLine="0"/>
        <w:jc w:val="both"/>
        <w:rPr>
          <w:rFonts w:ascii="Calibri" w:hAnsi="Calibri"/>
          <w:sz w:val="17"/>
        </w:rPr>
      </w:pPr>
      <w:r>
        <w:rPr>
          <w:rFonts w:ascii="Calibri" w:hAnsi="Calibri"/>
          <w:color w:val="231F20"/>
          <w:w w:val="105"/>
          <w:position w:val="6"/>
          <w:sz w:val="10"/>
        </w:rPr>
        <w:t>46</w:t>
      </w:r>
      <w:r>
        <w:rPr>
          <w:rFonts w:ascii="Calibri" w:hAnsi="Calibri"/>
          <w:color w:val="231F20"/>
          <w:spacing w:val="7"/>
          <w:w w:val="105"/>
          <w:position w:val="6"/>
          <w:sz w:val="10"/>
        </w:rPr>
        <w:t> </w:t>
      </w:r>
      <w:r>
        <w:rPr>
          <w:rFonts w:ascii="Calibri" w:hAnsi="Calibri"/>
          <w:color w:val="231F20"/>
          <w:w w:val="105"/>
          <w:sz w:val="17"/>
        </w:rPr>
        <w:t>Como</w:t>
      </w:r>
      <w:r>
        <w:rPr>
          <w:rFonts w:ascii="Calibri" w:hAnsi="Calibri"/>
          <w:color w:val="231F20"/>
          <w:spacing w:val="-11"/>
          <w:w w:val="105"/>
          <w:sz w:val="17"/>
        </w:rPr>
        <w:t> </w:t>
      </w:r>
      <w:r>
        <w:rPr>
          <w:rFonts w:ascii="Calibri" w:hAnsi="Calibri"/>
          <w:color w:val="231F20"/>
          <w:w w:val="105"/>
          <w:sz w:val="17"/>
        </w:rPr>
        <w:t>anota</w:t>
      </w:r>
      <w:r>
        <w:rPr>
          <w:rFonts w:ascii="Calibri" w:hAnsi="Calibri"/>
          <w:color w:val="231F20"/>
          <w:spacing w:val="-11"/>
          <w:w w:val="105"/>
          <w:sz w:val="17"/>
        </w:rPr>
        <w:t> </w:t>
      </w:r>
      <w:r>
        <w:rPr>
          <w:rFonts w:ascii="Calibri" w:hAnsi="Calibri"/>
          <w:color w:val="231F20"/>
          <w:w w:val="105"/>
          <w:sz w:val="17"/>
        </w:rPr>
        <w:t>Schmitt,</w:t>
      </w:r>
      <w:r>
        <w:rPr>
          <w:rFonts w:ascii="Calibri" w:hAnsi="Calibri"/>
          <w:color w:val="231F20"/>
          <w:spacing w:val="-11"/>
          <w:w w:val="105"/>
          <w:sz w:val="17"/>
        </w:rPr>
        <w:t> </w:t>
      </w:r>
      <w:r>
        <w:rPr>
          <w:rFonts w:ascii="Calibri" w:hAnsi="Calibri"/>
          <w:i/>
          <w:color w:val="231F20"/>
          <w:w w:val="105"/>
          <w:sz w:val="17"/>
        </w:rPr>
        <w:t>El</w:t>
      </w:r>
      <w:r>
        <w:rPr>
          <w:rFonts w:ascii="Calibri" w:hAnsi="Calibri"/>
          <w:i/>
          <w:color w:val="231F20"/>
          <w:spacing w:val="-11"/>
          <w:w w:val="105"/>
          <w:sz w:val="17"/>
        </w:rPr>
        <w:t> </w:t>
      </w:r>
      <w:r>
        <w:rPr>
          <w:rFonts w:ascii="Calibri" w:hAnsi="Calibri"/>
          <w:i/>
          <w:color w:val="231F20"/>
          <w:w w:val="105"/>
          <w:sz w:val="17"/>
        </w:rPr>
        <w:t>concepto</w:t>
      </w:r>
      <w:r>
        <w:rPr>
          <w:rFonts w:ascii="Calibri" w:hAnsi="Calibri"/>
          <w:i/>
          <w:color w:val="231F20"/>
          <w:spacing w:val="-11"/>
          <w:w w:val="105"/>
          <w:sz w:val="17"/>
        </w:rPr>
        <w:t> </w:t>
      </w:r>
      <w:r>
        <w:rPr>
          <w:rFonts w:ascii="Calibri" w:hAnsi="Calibri"/>
          <w:i/>
          <w:color w:val="231F20"/>
          <w:w w:val="105"/>
          <w:sz w:val="17"/>
        </w:rPr>
        <w:t>de</w:t>
      </w:r>
      <w:r>
        <w:rPr>
          <w:rFonts w:ascii="Calibri" w:hAnsi="Calibri"/>
          <w:i/>
          <w:color w:val="231F20"/>
          <w:spacing w:val="-11"/>
          <w:w w:val="105"/>
          <w:sz w:val="17"/>
        </w:rPr>
        <w:t> </w:t>
      </w:r>
      <w:r>
        <w:rPr>
          <w:rFonts w:ascii="Calibri" w:hAnsi="Calibri"/>
          <w:i/>
          <w:color w:val="231F20"/>
          <w:w w:val="105"/>
          <w:sz w:val="17"/>
        </w:rPr>
        <w:t>‘político’</w:t>
      </w:r>
      <w:r>
        <w:rPr>
          <w:rFonts w:ascii="Calibri" w:hAnsi="Calibri"/>
          <w:color w:val="231F20"/>
          <w:w w:val="105"/>
          <w:sz w:val="17"/>
        </w:rPr>
        <w:t>,</w:t>
      </w:r>
      <w:r>
        <w:rPr>
          <w:rFonts w:ascii="Calibri" w:hAnsi="Calibri"/>
          <w:color w:val="231F20"/>
          <w:spacing w:val="-11"/>
          <w:w w:val="105"/>
          <w:sz w:val="17"/>
        </w:rPr>
        <w:t> </w:t>
      </w:r>
      <w:r>
        <w:rPr>
          <w:rFonts w:ascii="Calibri" w:hAnsi="Calibri"/>
          <w:color w:val="231F20"/>
          <w:w w:val="105"/>
          <w:sz w:val="17"/>
        </w:rPr>
        <w:t>pp.</w:t>
      </w:r>
      <w:r>
        <w:rPr>
          <w:rFonts w:ascii="Calibri" w:hAnsi="Calibri"/>
          <w:color w:val="231F20"/>
          <w:spacing w:val="-11"/>
          <w:w w:val="105"/>
          <w:sz w:val="17"/>
        </w:rPr>
        <w:t> </w:t>
      </w:r>
      <w:r>
        <w:rPr>
          <w:rFonts w:ascii="Calibri" w:hAnsi="Calibri"/>
          <w:color w:val="231F20"/>
          <w:w w:val="105"/>
          <w:sz w:val="17"/>
        </w:rPr>
        <w:t>164–165,</w:t>
      </w:r>
      <w:r>
        <w:rPr>
          <w:rFonts w:ascii="Calibri" w:hAnsi="Calibri"/>
          <w:color w:val="231F20"/>
          <w:spacing w:val="-11"/>
          <w:w w:val="105"/>
          <w:sz w:val="17"/>
        </w:rPr>
        <w:t> </w:t>
      </w:r>
      <w:r>
        <w:rPr>
          <w:rFonts w:ascii="Calibri" w:hAnsi="Calibri"/>
          <w:color w:val="231F20"/>
          <w:w w:val="105"/>
          <w:sz w:val="17"/>
        </w:rPr>
        <w:t>no</w:t>
      </w:r>
      <w:r>
        <w:rPr>
          <w:rFonts w:ascii="Calibri" w:hAnsi="Calibri"/>
          <w:color w:val="231F20"/>
          <w:spacing w:val="-11"/>
          <w:w w:val="105"/>
          <w:sz w:val="17"/>
        </w:rPr>
        <w:t> </w:t>
      </w:r>
      <w:r>
        <w:rPr>
          <w:rFonts w:ascii="Calibri" w:hAnsi="Calibri"/>
          <w:color w:val="231F20"/>
          <w:w w:val="105"/>
          <w:sz w:val="17"/>
        </w:rPr>
        <w:t>obstante</w:t>
      </w:r>
      <w:r>
        <w:rPr>
          <w:rFonts w:ascii="Calibri" w:hAnsi="Calibri"/>
          <w:color w:val="231F20"/>
          <w:spacing w:val="-11"/>
          <w:w w:val="105"/>
          <w:sz w:val="17"/>
        </w:rPr>
        <w:t> </w:t>
      </w:r>
      <w:r>
        <w:rPr>
          <w:rFonts w:ascii="Calibri" w:hAnsi="Calibri"/>
          <w:color w:val="231F20"/>
          <w:w w:val="105"/>
          <w:sz w:val="17"/>
        </w:rPr>
        <w:t>su</w:t>
      </w:r>
      <w:r>
        <w:rPr>
          <w:rFonts w:ascii="Calibri" w:hAnsi="Calibri"/>
          <w:color w:val="231F20"/>
          <w:spacing w:val="-11"/>
          <w:w w:val="105"/>
          <w:sz w:val="17"/>
        </w:rPr>
        <w:t> </w:t>
      </w:r>
      <w:r>
        <w:rPr>
          <w:rFonts w:ascii="Calibri" w:hAnsi="Calibri"/>
          <w:color w:val="231F20"/>
          <w:w w:val="105"/>
          <w:sz w:val="17"/>
        </w:rPr>
        <w:t>“terminología</w:t>
      </w:r>
      <w:r>
        <w:rPr>
          <w:rFonts w:ascii="Calibri" w:hAnsi="Calibri"/>
          <w:color w:val="231F20"/>
          <w:spacing w:val="-11"/>
          <w:w w:val="105"/>
          <w:sz w:val="17"/>
        </w:rPr>
        <w:t> </w:t>
      </w:r>
      <w:r>
        <w:rPr>
          <w:rFonts w:ascii="Calibri" w:hAnsi="Calibri"/>
          <w:color w:val="231F20"/>
          <w:w w:val="105"/>
          <w:sz w:val="17"/>
        </w:rPr>
        <w:t>esen- cialmente</w:t>
      </w:r>
      <w:r>
        <w:rPr>
          <w:rFonts w:ascii="Calibri" w:hAnsi="Calibri"/>
          <w:color w:val="231F20"/>
          <w:spacing w:val="-17"/>
          <w:w w:val="105"/>
          <w:sz w:val="17"/>
        </w:rPr>
        <w:t> </w:t>
      </w:r>
      <w:r>
        <w:rPr>
          <w:rFonts w:ascii="Calibri" w:hAnsi="Calibri"/>
          <w:color w:val="231F20"/>
          <w:w w:val="105"/>
          <w:sz w:val="17"/>
        </w:rPr>
        <w:t>no</w:t>
      </w:r>
      <w:r>
        <w:rPr>
          <w:rFonts w:ascii="Calibri" w:hAnsi="Calibri"/>
          <w:color w:val="231F20"/>
          <w:spacing w:val="-17"/>
          <w:w w:val="105"/>
          <w:sz w:val="17"/>
        </w:rPr>
        <w:t> </w:t>
      </w:r>
      <w:r>
        <w:rPr>
          <w:rFonts w:ascii="Calibri" w:hAnsi="Calibri"/>
          <w:color w:val="231F20"/>
          <w:w w:val="105"/>
          <w:sz w:val="17"/>
        </w:rPr>
        <w:t>belicosa”,</w:t>
      </w:r>
      <w:r>
        <w:rPr>
          <w:rFonts w:ascii="Calibri" w:hAnsi="Calibri"/>
          <w:color w:val="231F20"/>
          <w:spacing w:val="-17"/>
          <w:w w:val="105"/>
          <w:sz w:val="17"/>
        </w:rPr>
        <w:t> </w:t>
      </w:r>
      <w:r>
        <w:rPr>
          <w:rFonts w:ascii="Calibri" w:hAnsi="Calibri"/>
          <w:color w:val="231F20"/>
          <w:w w:val="105"/>
          <w:sz w:val="17"/>
        </w:rPr>
        <w:t>el</w:t>
      </w:r>
      <w:r>
        <w:rPr>
          <w:rFonts w:ascii="Calibri" w:hAnsi="Calibri"/>
          <w:color w:val="231F20"/>
          <w:spacing w:val="-17"/>
          <w:w w:val="105"/>
          <w:sz w:val="17"/>
        </w:rPr>
        <w:t> </w:t>
      </w:r>
      <w:r>
        <w:rPr>
          <w:rFonts w:ascii="Calibri" w:hAnsi="Calibri"/>
          <w:color w:val="231F20"/>
          <w:w w:val="105"/>
          <w:sz w:val="17"/>
        </w:rPr>
        <w:t>nuevo</w:t>
      </w:r>
      <w:r>
        <w:rPr>
          <w:rFonts w:ascii="Calibri" w:hAnsi="Calibri"/>
          <w:color w:val="231F20"/>
          <w:spacing w:val="-17"/>
          <w:w w:val="105"/>
          <w:sz w:val="17"/>
        </w:rPr>
        <w:t> </w:t>
      </w:r>
      <w:r>
        <w:rPr>
          <w:rFonts w:ascii="Calibri" w:hAnsi="Calibri"/>
          <w:color w:val="231F20"/>
          <w:w w:val="105"/>
          <w:sz w:val="17"/>
        </w:rPr>
        <w:t>imperialismo</w:t>
      </w:r>
      <w:r>
        <w:rPr>
          <w:rFonts w:ascii="Calibri" w:hAnsi="Calibri"/>
          <w:color w:val="231F20"/>
          <w:spacing w:val="-17"/>
          <w:w w:val="105"/>
          <w:sz w:val="17"/>
        </w:rPr>
        <w:t> </w:t>
      </w:r>
      <w:r>
        <w:rPr>
          <w:rFonts w:ascii="Calibri" w:hAnsi="Calibri"/>
          <w:color w:val="231F20"/>
          <w:w w:val="105"/>
          <w:sz w:val="17"/>
        </w:rPr>
        <w:t>ético–económico</w:t>
      </w:r>
      <w:r>
        <w:rPr>
          <w:rFonts w:ascii="Calibri" w:hAnsi="Calibri"/>
          <w:color w:val="231F20"/>
          <w:spacing w:val="-17"/>
          <w:w w:val="105"/>
          <w:sz w:val="17"/>
        </w:rPr>
        <w:t> </w:t>
      </w:r>
      <w:r>
        <w:rPr>
          <w:rFonts w:ascii="Calibri" w:hAnsi="Calibri"/>
          <w:color w:val="231F20"/>
          <w:w w:val="105"/>
          <w:sz w:val="17"/>
        </w:rPr>
        <w:t>surgido</w:t>
      </w:r>
      <w:r>
        <w:rPr>
          <w:rFonts w:ascii="Calibri" w:hAnsi="Calibri"/>
          <w:color w:val="231F20"/>
          <w:spacing w:val="-17"/>
          <w:w w:val="105"/>
          <w:sz w:val="17"/>
        </w:rPr>
        <w:t> </w:t>
      </w:r>
      <w:r>
        <w:rPr>
          <w:rFonts w:ascii="Calibri" w:hAnsi="Calibri"/>
          <w:color w:val="231F20"/>
          <w:w w:val="105"/>
          <w:sz w:val="17"/>
        </w:rPr>
        <w:t>del</w:t>
      </w:r>
      <w:r>
        <w:rPr>
          <w:rFonts w:ascii="Calibri" w:hAnsi="Calibri"/>
          <w:color w:val="231F20"/>
          <w:spacing w:val="-17"/>
          <w:w w:val="105"/>
          <w:sz w:val="17"/>
        </w:rPr>
        <w:t> </w:t>
      </w:r>
      <w:r>
        <w:rPr>
          <w:rFonts w:ascii="Calibri" w:hAnsi="Calibri"/>
          <w:color w:val="231F20"/>
          <w:w w:val="105"/>
          <w:sz w:val="17"/>
        </w:rPr>
        <w:t>primer</w:t>
      </w:r>
      <w:r>
        <w:rPr>
          <w:rFonts w:ascii="Calibri" w:hAnsi="Calibri"/>
          <w:color w:val="231F20"/>
          <w:spacing w:val="-17"/>
          <w:w w:val="105"/>
          <w:sz w:val="17"/>
        </w:rPr>
        <w:t> </w:t>
      </w:r>
      <w:r>
        <w:rPr>
          <w:rFonts w:ascii="Calibri" w:hAnsi="Calibri"/>
          <w:color w:val="231F20"/>
          <w:w w:val="105"/>
          <w:sz w:val="17"/>
        </w:rPr>
        <w:t>conflicto</w:t>
      </w:r>
      <w:r>
        <w:rPr>
          <w:rFonts w:ascii="Calibri" w:hAnsi="Calibri"/>
          <w:color w:val="231F20"/>
          <w:spacing w:val="-17"/>
          <w:w w:val="105"/>
          <w:sz w:val="17"/>
        </w:rPr>
        <w:t> </w:t>
      </w:r>
      <w:r>
        <w:rPr>
          <w:rFonts w:ascii="Calibri" w:hAnsi="Calibri"/>
          <w:color w:val="231F20"/>
          <w:w w:val="105"/>
          <w:sz w:val="17"/>
        </w:rPr>
        <w:t>mun- dial</w:t>
      </w:r>
      <w:r>
        <w:rPr>
          <w:rFonts w:ascii="Calibri" w:hAnsi="Calibri"/>
          <w:color w:val="231F20"/>
          <w:spacing w:val="-13"/>
          <w:w w:val="105"/>
          <w:sz w:val="17"/>
        </w:rPr>
        <w:t> </w:t>
      </w:r>
      <w:r>
        <w:rPr>
          <w:rFonts w:ascii="Calibri" w:hAnsi="Calibri"/>
          <w:color w:val="231F20"/>
          <w:w w:val="105"/>
          <w:sz w:val="17"/>
        </w:rPr>
        <w:t>dispone</w:t>
      </w:r>
      <w:r>
        <w:rPr>
          <w:rFonts w:ascii="Calibri" w:hAnsi="Calibri"/>
          <w:color w:val="231F20"/>
          <w:spacing w:val="-13"/>
          <w:w w:val="105"/>
          <w:sz w:val="17"/>
        </w:rPr>
        <w:t> </w:t>
      </w:r>
      <w:r>
        <w:rPr>
          <w:rFonts w:ascii="Calibri" w:hAnsi="Calibri"/>
          <w:color w:val="231F20"/>
          <w:w w:val="105"/>
          <w:sz w:val="17"/>
        </w:rPr>
        <w:t>“todavía</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instrumentos</w:t>
      </w:r>
      <w:r>
        <w:rPr>
          <w:rFonts w:ascii="Calibri" w:hAnsi="Calibri"/>
          <w:color w:val="231F20"/>
          <w:spacing w:val="-13"/>
          <w:w w:val="105"/>
          <w:sz w:val="17"/>
        </w:rPr>
        <w:t> </w:t>
      </w:r>
      <w:r>
        <w:rPr>
          <w:rFonts w:ascii="Calibri" w:hAnsi="Calibri"/>
          <w:color w:val="231F20"/>
          <w:w w:val="105"/>
          <w:sz w:val="17"/>
        </w:rPr>
        <w:t>técnicos</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muerte</w:t>
      </w:r>
      <w:r>
        <w:rPr>
          <w:rFonts w:ascii="Calibri" w:hAnsi="Calibri"/>
          <w:color w:val="231F20"/>
          <w:spacing w:val="-13"/>
          <w:w w:val="105"/>
          <w:sz w:val="17"/>
        </w:rPr>
        <w:t> </w:t>
      </w:r>
      <w:r>
        <w:rPr>
          <w:rFonts w:ascii="Calibri" w:hAnsi="Calibri"/>
          <w:color w:val="231F20"/>
          <w:w w:val="105"/>
          <w:sz w:val="17"/>
        </w:rPr>
        <w:t>física</w:t>
      </w:r>
      <w:r>
        <w:rPr>
          <w:rFonts w:ascii="Calibri" w:hAnsi="Calibri"/>
          <w:color w:val="231F20"/>
          <w:spacing w:val="-15"/>
          <w:w w:val="105"/>
          <w:sz w:val="17"/>
        </w:rPr>
        <w:t> </w:t>
      </w:r>
      <w:r>
        <w:rPr>
          <w:rFonts w:ascii="Calibri" w:hAnsi="Calibri"/>
          <w:color w:val="231F20"/>
          <w:w w:val="105"/>
          <w:sz w:val="17"/>
        </w:rPr>
        <w:t>violenta,</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armas</w:t>
      </w:r>
      <w:r>
        <w:rPr>
          <w:rFonts w:ascii="Calibri" w:hAnsi="Calibri"/>
          <w:color w:val="231F20"/>
          <w:spacing w:val="-13"/>
          <w:w w:val="105"/>
          <w:sz w:val="17"/>
        </w:rPr>
        <w:t> </w:t>
      </w:r>
      <w:r>
        <w:rPr>
          <w:rFonts w:ascii="Calibri" w:hAnsi="Calibri"/>
          <w:color w:val="231F20"/>
          <w:w w:val="105"/>
          <w:sz w:val="17"/>
        </w:rPr>
        <w:t>modernas</w:t>
      </w:r>
      <w:r>
        <w:rPr>
          <w:rFonts w:ascii="Calibri" w:hAnsi="Calibri"/>
          <w:color w:val="231F20"/>
          <w:spacing w:val="-13"/>
          <w:w w:val="105"/>
          <w:sz w:val="17"/>
        </w:rPr>
        <w:t> </w:t>
      </w:r>
      <w:r>
        <w:rPr>
          <w:rFonts w:ascii="Calibri" w:hAnsi="Calibri"/>
          <w:color w:val="231F20"/>
          <w:w w:val="105"/>
          <w:sz w:val="17"/>
        </w:rPr>
        <w:t>téc- nicamente</w:t>
      </w:r>
      <w:r>
        <w:rPr>
          <w:rFonts w:ascii="Calibri" w:hAnsi="Calibri"/>
          <w:color w:val="231F20"/>
          <w:spacing w:val="-6"/>
          <w:w w:val="105"/>
          <w:sz w:val="17"/>
        </w:rPr>
        <w:t> </w:t>
      </w:r>
      <w:r>
        <w:rPr>
          <w:rFonts w:ascii="Calibri" w:hAnsi="Calibri"/>
          <w:color w:val="231F20"/>
          <w:w w:val="105"/>
          <w:sz w:val="17"/>
        </w:rPr>
        <w:t>perfectas,</w:t>
      </w:r>
      <w:r>
        <w:rPr>
          <w:rFonts w:ascii="Calibri" w:hAnsi="Calibri"/>
          <w:color w:val="231F20"/>
          <w:spacing w:val="-6"/>
          <w:w w:val="105"/>
          <w:sz w:val="17"/>
        </w:rPr>
        <w:t> </w:t>
      </w:r>
      <w:r>
        <w:rPr>
          <w:rFonts w:ascii="Calibri" w:hAnsi="Calibri"/>
          <w:color w:val="231F20"/>
          <w:w w:val="105"/>
          <w:sz w:val="17"/>
        </w:rPr>
        <w:t>que</w:t>
      </w:r>
      <w:r>
        <w:rPr>
          <w:rFonts w:ascii="Calibri" w:hAnsi="Calibri"/>
          <w:color w:val="231F20"/>
          <w:spacing w:val="-6"/>
          <w:w w:val="105"/>
          <w:sz w:val="17"/>
        </w:rPr>
        <w:t> </w:t>
      </w:r>
      <w:r>
        <w:rPr>
          <w:rFonts w:ascii="Calibri" w:hAnsi="Calibri"/>
          <w:color w:val="231F20"/>
          <w:w w:val="105"/>
          <w:sz w:val="17"/>
        </w:rPr>
        <w:t>se</w:t>
      </w:r>
      <w:r>
        <w:rPr>
          <w:rFonts w:ascii="Calibri" w:hAnsi="Calibri"/>
          <w:color w:val="231F20"/>
          <w:spacing w:val="-6"/>
          <w:w w:val="105"/>
          <w:sz w:val="17"/>
        </w:rPr>
        <w:t> </w:t>
      </w:r>
      <w:r>
        <w:rPr>
          <w:rFonts w:ascii="Calibri" w:hAnsi="Calibri"/>
          <w:color w:val="231F20"/>
          <w:w w:val="105"/>
          <w:sz w:val="17"/>
        </w:rPr>
        <w:t>han</w:t>
      </w:r>
      <w:r>
        <w:rPr>
          <w:rFonts w:ascii="Calibri" w:hAnsi="Calibri"/>
          <w:color w:val="231F20"/>
          <w:spacing w:val="-8"/>
          <w:w w:val="105"/>
          <w:sz w:val="17"/>
        </w:rPr>
        <w:t> </w:t>
      </w:r>
      <w:r>
        <w:rPr>
          <w:rFonts w:ascii="Calibri" w:hAnsi="Calibri"/>
          <w:color w:val="231F20"/>
          <w:w w:val="105"/>
          <w:sz w:val="17"/>
        </w:rPr>
        <w:t>vuelto</w:t>
      </w:r>
      <w:r>
        <w:rPr>
          <w:rFonts w:ascii="Calibri" w:hAnsi="Calibri"/>
          <w:color w:val="231F20"/>
          <w:spacing w:val="-6"/>
          <w:w w:val="105"/>
          <w:sz w:val="17"/>
        </w:rPr>
        <w:t> </w:t>
      </w:r>
      <w:r>
        <w:rPr>
          <w:rFonts w:ascii="Calibri" w:hAnsi="Calibri"/>
          <w:color w:val="231F20"/>
          <w:w w:val="105"/>
          <w:sz w:val="17"/>
        </w:rPr>
        <w:t>de</w:t>
      </w:r>
      <w:r>
        <w:rPr>
          <w:rFonts w:ascii="Calibri" w:hAnsi="Calibri"/>
          <w:color w:val="231F20"/>
          <w:spacing w:val="-6"/>
          <w:w w:val="105"/>
          <w:sz w:val="17"/>
        </w:rPr>
        <w:t> </w:t>
      </w:r>
      <w:r>
        <w:rPr>
          <w:rFonts w:ascii="Calibri" w:hAnsi="Calibri"/>
          <w:color w:val="231F20"/>
          <w:w w:val="105"/>
          <w:sz w:val="17"/>
        </w:rPr>
        <w:t>una</w:t>
      </w:r>
      <w:r>
        <w:rPr>
          <w:rFonts w:ascii="Calibri" w:hAnsi="Calibri"/>
          <w:color w:val="231F20"/>
          <w:spacing w:val="-6"/>
          <w:w w:val="105"/>
          <w:sz w:val="17"/>
        </w:rPr>
        <w:t> </w:t>
      </w:r>
      <w:r>
        <w:rPr>
          <w:rFonts w:ascii="Calibri" w:hAnsi="Calibri"/>
          <w:color w:val="231F20"/>
          <w:w w:val="105"/>
          <w:sz w:val="17"/>
        </w:rPr>
        <w:t>inaudita</w:t>
      </w:r>
      <w:r>
        <w:rPr>
          <w:rFonts w:ascii="Calibri" w:hAnsi="Calibri"/>
          <w:color w:val="231F20"/>
          <w:spacing w:val="-6"/>
          <w:w w:val="105"/>
          <w:sz w:val="17"/>
        </w:rPr>
        <w:t> </w:t>
      </w:r>
      <w:r>
        <w:rPr>
          <w:rFonts w:ascii="Calibri" w:hAnsi="Calibri"/>
          <w:color w:val="231F20"/>
          <w:w w:val="105"/>
          <w:sz w:val="17"/>
        </w:rPr>
        <w:t>utilidad,</w:t>
      </w:r>
      <w:r>
        <w:rPr>
          <w:rFonts w:ascii="Calibri" w:hAnsi="Calibri"/>
          <w:color w:val="231F20"/>
          <w:spacing w:val="-6"/>
          <w:w w:val="105"/>
          <w:sz w:val="17"/>
        </w:rPr>
        <w:t> </w:t>
      </w:r>
      <w:r>
        <w:rPr>
          <w:rFonts w:ascii="Calibri" w:hAnsi="Calibri"/>
          <w:color w:val="231F20"/>
          <w:w w:val="105"/>
          <w:sz w:val="17"/>
        </w:rPr>
        <w:t>a</w:t>
      </w:r>
      <w:r>
        <w:rPr>
          <w:rFonts w:ascii="Calibri" w:hAnsi="Calibri"/>
          <w:color w:val="231F20"/>
          <w:spacing w:val="-6"/>
          <w:w w:val="105"/>
          <w:sz w:val="17"/>
        </w:rPr>
        <w:t> </w:t>
      </w:r>
      <w:r>
        <w:rPr>
          <w:rFonts w:ascii="Calibri" w:hAnsi="Calibri"/>
          <w:color w:val="231F20"/>
          <w:w w:val="105"/>
          <w:sz w:val="17"/>
        </w:rPr>
        <w:t>través</w:t>
      </w:r>
      <w:r>
        <w:rPr>
          <w:rFonts w:ascii="Calibri" w:hAnsi="Calibri"/>
          <w:color w:val="231F20"/>
          <w:spacing w:val="-6"/>
          <w:w w:val="105"/>
          <w:sz w:val="17"/>
        </w:rPr>
        <w:t> </w:t>
      </w:r>
      <w:r>
        <w:rPr>
          <w:rFonts w:ascii="Calibri" w:hAnsi="Calibri"/>
          <w:color w:val="231F20"/>
          <w:w w:val="105"/>
          <w:sz w:val="17"/>
        </w:rPr>
        <w:t>del</w:t>
      </w:r>
      <w:r>
        <w:rPr>
          <w:rFonts w:ascii="Calibri" w:hAnsi="Calibri"/>
          <w:color w:val="231F20"/>
          <w:spacing w:val="-6"/>
          <w:w w:val="105"/>
          <w:sz w:val="17"/>
        </w:rPr>
        <w:t> </w:t>
      </w:r>
      <w:r>
        <w:rPr>
          <w:rFonts w:ascii="Calibri" w:hAnsi="Calibri"/>
          <w:color w:val="231F20"/>
          <w:w w:val="105"/>
          <w:sz w:val="17"/>
        </w:rPr>
        <w:t>empleo</w:t>
      </w:r>
      <w:r>
        <w:rPr>
          <w:rFonts w:ascii="Calibri" w:hAnsi="Calibri"/>
          <w:color w:val="231F20"/>
          <w:spacing w:val="-6"/>
          <w:w w:val="105"/>
          <w:sz w:val="17"/>
        </w:rPr>
        <w:t> </w:t>
      </w:r>
      <w:r>
        <w:rPr>
          <w:rFonts w:ascii="Calibri" w:hAnsi="Calibri"/>
          <w:color w:val="231F20"/>
          <w:w w:val="105"/>
          <w:sz w:val="17"/>
        </w:rPr>
        <w:t>de</w:t>
      </w:r>
      <w:r>
        <w:rPr>
          <w:rFonts w:ascii="Calibri" w:hAnsi="Calibri"/>
          <w:color w:val="231F20"/>
          <w:spacing w:val="-6"/>
          <w:w w:val="105"/>
          <w:sz w:val="17"/>
        </w:rPr>
        <w:t> </w:t>
      </w:r>
      <w:r>
        <w:rPr>
          <w:rFonts w:ascii="Calibri" w:hAnsi="Calibri"/>
          <w:color w:val="231F20"/>
          <w:w w:val="105"/>
          <w:sz w:val="17"/>
        </w:rPr>
        <w:t>capital</w:t>
      </w:r>
      <w:r>
        <w:rPr>
          <w:rFonts w:ascii="Calibri" w:hAnsi="Calibri"/>
          <w:color w:val="231F20"/>
          <w:spacing w:val="-6"/>
          <w:w w:val="105"/>
          <w:sz w:val="17"/>
        </w:rPr>
        <w:t> </w:t>
      </w:r>
      <w:r>
        <w:rPr>
          <w:rFonts w:ascii="Calibri" w:hAnsi="Calibri"/>
          <w:color w:val="231F20"/>
          <w:w w:val="105"/>
          <w:sz w:val="17"/>
        </w:rPr>
        <w:t>e inteligencia</w:t>
      </w:r>
      <w:r>
        <w:rPr>
          <w:rFonts w:ascii="Calibri" w:hAnsi="Calibri"/>
          <w:color w:val="231F20"/>
          <w:spacing w:val="-13"/>
          <w:w w:val="105"/>
          <w:sz w:val="17"/>
        </w:rPr>
        <w:t> </w:t>
      </w:r>
      <w:r>
        <w:rPr>
          <w:rFonts w:ascii="Calibri" w:hAnsi="Calibri"/>
          <w:color w:val="231F20"/>
          <w:w w:val="105"/>
          <w:sz w:val="17"/>
        </w:rPr>
        <w:t>para</w:t>
      </w:r>
      <w:r>
        <w:rPr>
          <w:rFonts w:ascii="Calibri" w:hAnsi="Calibri"/>
          <w:color w:val="231F20"/>
          <w:spacing w:val="-13"/>
          <w:w w:val="105"/>
          <w:sz w:val="17"/>
        </w:rPr>
        <w:t> </w:t>
      </w:r>
      <w:r>
        <w:rPr>
          <w:rFonts w:ascii="Calibri" w:hAnsi="Calibri"/>
          <w:color w:val="231F20"/>
          <w:w w:val="105"/>
          <w:sz w:val="17"/>
        </w:rPr>
        <w:t>ser</w:t>
      </w:r>
      <w:r>
        <w:rPr>
          <w:rFonts w:ascii="Calibri" w:hAnsi="Calibri"/>
          <w:color w:val="231F20"/>
          <w:spacing w:val="-13"/>
          <w:w w:val="105"/>
          <w:sz w:val="17"/>
        </w:rPr>
        <w:t> </w:t>
      </w:r>
      <w:r>
        <w:rPr>
          <w:rFonts w:ascii="Calibri" w:hAnsi="Calibri"/>
          <w:color w:val="231F20"/>
          <w:w w:val="105"/>
          <w:sz w:val="17"/>
        </w:rPr>
        <w:t>realmente</w:t>
      </w:r>
      <w:r>
        <w:rPr>
          <w:rFonts w:ascii="Calibri" w:hAnsi="Calibri"/>
          <w:color w:val="231F20"/>
          <w:spacing w:val="-13"/>
          <w:w w:val="105"/>
          <w:sz w:val="17"/>
        </w:rPr>
        <w:t> </w:t>
      </w:r>
      <w:r>
        <w:rPr>
          <w:rFonts w:ascii="Calibri" w:hAnsi="Calibri"/>
          <w:color w:val="231F20"/>
          <w:w w:val="105"/>
          <w:sz w:val="17"/>
        </w:rPr>
        <w:t>usadas</w:t>
      </w:r>
      <w:r>
        <w:rPr>
          <w:rFonts w:ascii="Calibri" w:hAnsi="Calibri"/>
          <w:color w:val="231F20"/>
          <w:spacing w:val="-13"/>
          <w:w w:val="105"/>
          <w:sz w:val="17"/>
        </w:rPr>
        <w:t> </w:t>
      </w:r>
      <w:r>
        <w:rPr>
          <w:rFonts w:ascii="Calibri" w:hAnsi="Calibri"/>
          <w:color w:val="231F20"/>
          <w:w w:val="105"/>
          <w:sz w:val="17"/>
        </w:rPr>
        <w:t>en</w:t>
      </w:r>
      <w:r>
        <w:rPr>
          <w:rFonts w:ascii="Calibri" w:hAnsi="Calibri"/>
          <w:color w:val="231F20"/>
          <w:spacing w:val="-13"/>
          <w:w w:val="105"/>
          <w:sz w:val="17"/>
        </w:rPr>
        <w:t> </w:t>
      </w:r>
      <w:r>
        <w:rPr>
          <w:rFonts w:ascii="Calibri" w:hAnsi="Calibri"/>
          <w:color w:val="231F20"/>
          <w:w w:val="105"/>
          <w:sz w:val="17"/>
        </w:rPr>
        <w:t>caso</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necesidad.</w:t>
      </w:r>
      <w:r>
        <w:rPr>
          <w:rFonts w:ascii="Calibri" w:hAnsi="Calibri"/>
          <w:color w:val="231F20"/>
          <w:spacing w:val="-13"/>
          <w:w w:val="105"/>
          <w:sz w:val="17"/>
        </w:rPr>
        <w:t> </w:t>
      </w:r>
      <w:r>
        <w:rPr>
          <w:rFonts w:ascii="Calibri" w:hAnsi="Calibri"/>
          <w:color w:val="231F20"/>
          <w:w w:val="105"/>
          <w:sz w:val="17"/>
        </w:rPr>
        <w:t>Para</w:t>
      </w:r>
      <w:r>
        <w:rPr>
          <w:rFonts w:ascii="Calibri" w:hAnsi="Calibri"/>
          <w:color w:val="231F20"/>
          <w:spacing w:val="-13"/>
          <w:w w:val="105"/>
          <w:sz w:val="17"/>
        </w:rPr>
        <w:t> </w:t>
      </w:r>
      <w:r>
        <w:rPr>
          <w:rFonts w:ascii="Calibri" w:hAnsi="Calibri"/>
          <w:color w:val="231F20"/>
          <w:w w:val="105"/>
          <w:sz w:val="17"/>
        </w:rPr>
        <w:t>el</w:t>
      </w:r>
      <w:r>
        <w:rPr>
          <w:rFonts w:ascii="Calibri" w:hAnsi="Calibri"/>
          <w:color w:val="231F20"/>
          <w:spacing w:val="-13"/>
          <w:w w:val="105"/>
          <w:sz w:val="17"/>
        </w:rPr>
        <w:t> </w:t>
      </w:r>
      <w:r>
        <w:rPr>
          <w:rFonts w:ascii="Calibri" w:hAnsi="Calibri"/>
          <w:color w:val="231F20"/>
          <w:w w:val="105"/>
          <w:sz w:val="17"/>
        </w:rPr>
        <w:t>uso</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estos</w:t>
      </w:r>
      <w:r>
        <w:rPr>
          <w:rFonts w:ascii="Calibri" w:hAnsi="Calibri"/>
          <w:color w:val="231F20"/>
          <w:spacing w:val="-13"/>
          <w:w w:val="105"/>
          <w:sz w:val="17"/>
        </w:rPr>
        <w:t> </w:t>
      </w:r>
      <w:r>
        <w:rPr>
          <w:rFonts w:ascii="Calibri" w:hAnsi="Calibri"/>
          <w:color w:val="231F20"/>
          <w:w w:val="105"/>
          <w:sz w:val="17"/>
        </w:rPr>
        <w:t>instrumentos</w:t>
      </w:r>
      <w:r>
        <w:rPr>
          <w:rFonts w:ascii="Calibri" w:hAnsi="Calibri"/>
          <w:color w:val="231F20"/>
          <w:spacing w:val="-13"/>
          <w:w w:val="105"/>
          <w:sz w:val="17"/>
        </w:rPr>
        <w:t> </w:t>
      </w:r>
      <w:r>
        <w:rPr>
          <w:rFonts w:ascii="Calibri" w:hAnsi="Calibri"/>
          <w:color w:val="231F20"/>
          <w:w w:val="105"/>
          <w:sz w:val="17"/>
        </w:rPr>
        <w:t>se está</w:t>
      </w:r>
      <w:r>
        <w:rPr>
          <w:rFonts w:ascii="Calibri" w:hAnsi="Calibri"/>
          <w:color w:val="231F20"/>
          <w:spacing w:val="-10"/>
          <w:w w:val="105"/>
          <w:sz w:val="17"/>
        </w:rPr>
        <w:t> </w:t>
      </w:r>
      <w:r>
        <w:rPr>
          <w:rFonts w:ascii="Calibri" w:hAnsi="Calibri"/>
          <w:color w:val="231F20"/>
          <w:w w:val="105"/>
          <w:sz w:val="17"/>
        </w:rPr>
        <w:t>formando</w:t>
      </w:r>
      <w:r>
        <w:rPr>
          <w:rFonts w:ascii="Calibri" w:hAnsi="Calibri"/>
          <w:color w:val="231F20"/>
          <w:spacing w:val="-10"/>
          <w:w w:val="105"/>
          <w:sz w:val="17"/>
        </w:rPr>
        <w:t> </w:t>
      </w:r>
      <w:r>
        <w:rPr>
          <w:rFonts w:ascii="Calibri" w:hAnsi="Calibri"/>
          <w:color w:val="231F20"/>
          <w:w w:val="105"/>
          <w:sz w:val="17"/>
        </w:rPr>
        <w:t>en</w:t>
      </w:r>
      <w:r>
        <w:rPr>
          <w:rFonts w:ascii="Calibri" w:hAnsi="Calibri"/>
          <w:color w:val="231F20"/>
          <w:spacing w:val="-10"/>
          <w:w w:val="105"/>
          <w:sz w:val="17"/>
        </w:rPr>
        <w:t> </w:t>
      </w:r>
      <w:r>
        <w:rPr>
          <w:rFonts w:ascii="Calibri" w:hAnsi="Calibri"/>
          <w:color w:val="231F20"/>
          <w:w w:val="105"/>
          <w:sz w:val="17"/>
        </w:rPr>
        <w:t>otra</w:t>
      </w:r>
      <w:r>
        <w:rPr>
          <w:rFonts w:ascii="Calibri" w:hAnsi="Calibri"/>
          <w:color w:val="231F20"/>
          <w:spacing w:val="-10"/>
          <w:w w:val="105"/>
          <w:sz w:val="17"/>
        </w:rPr>
        <w:t> </w:t>
      </w:r>
      <w:r>
        <w:rPr>
          <w:rFonts w:ascii="Calibri" w:hAnsi="Calibri"/>
          <w:color w:val="231F20"/>
          <w:w w:val="105"/>
          <w:sz w:val="17"/>
        </w:rPr>
        <w:t>parte</w:t>
      </w:r>
      <w:r>
        <w:rPr>
          <w:rFonts w:ascii="Calibri" w:hAnsi="Calibri"/>
          <w:color w:val="231F20"/>
          <w:spacing w:val="-10"/>
          <w:w w:val="105"/>
          <w:sz w:val="17"/>
        </w:rPr>
        <w:t> </w:t>
      </w:r>
      <w:r>
        <w:rPr>
          <w:rFonts w:ascii="Calibri" w:hAnsi="Calibri"/>
          <w:color w:val="231F20"/>
          <w:w w:val="105"/>
          <w:sz w:val="17"/>
        </w:rPr>
        <w:t>un</w:t>
      </w:r>
      <w:r>
        <w:rPr>
          <w:rFonts w:ascii="Calibri" w:hAnsi="Calibri"/>
          <w:color w:val="231F20"/>
          <w:spacing w:val="-12"/>
          <w:w w:val="105"/>
          <w:sz w:val="17"/>
        </w:rPr>
        <w:t> </w:t>
      </w:r>
      <w:r>
        <w:rPr>
          <w:rFonts w:ascii="Calibri" w:hAnsi="Calibri"/>
          <w:color w:val="231F20"/>
          <w:w w:val="105"/>
          <w:sz w:val="17"/>
        </w:rPr>
        <w:t>vocabulario</w:t>
      </w:r>
      <w:r>
        <w:rPr>
          <w:rFonts w:ascii="Calibri" w:hAnsi="Calibri"/>
          <w:color w:val="231F20"/>
          <w:spacing w:val="-10"/>
          <w:w w:val="105"/>
          <w:sz w:val="17"/>
        </w:rPr>
        <w:t> </w:t>
      </w:r>
      <w:r>
        <w:rPr>
          <w:rFonts w:ascii="Calibri" w:hAnsi="Calibri"/>
          <w:color w:val="231F20"/>
          <w:w w:val="105"/>
          <w:sz w:val="17"/>
        </w:rPr>
        <w:t>nuevo</w:t>
      </w:r>
      <w:r>
        <w:rPr>
          <w:rFonts w:ascii="Calibri" w:hAnsi="Calibri"/>
          <w:color w:val="231F20"/>
          <w:spacing w:val="-10"/>
          <w:w w:val="105"/>
          <w:sz w:val="17"/>
        </w:rPr>
        <w:t> </w:t>
      </w:r>
      <w:r>
        <w:rPr>
          <w:rFonts w:ascii="Calibri" w:hAnsi="Calibri"/>
          <w:color w:val="231F20"/>
          <w:w w:val="105"/>
          <w:sz w:val="17"/>
        </w:rPr>
        <w:t>esencialmente</w:t>
      </w:r>
      <w:r>
        <w:rPr>
          <w:rFonts w:ascii="Calibri" w:hAnsi="Calibri"/>
          <w:color w:val="231F20"/>
          <w:spacing w:val="-10"/>
          <w:w w:val="105"/>
          <w:sz w:val="17"/>
        </w:rPr>
        <w:t> </w:t>
      </w:r>
      <w:r>
        <w:rPr>
          <w:rFonts w:ascii="Calibri" w:hAnsi="Calibri"/>
          <w:color w:val="231F20"/>
          <w:w w:val="105"/>
          <w:sz w:val="17"/>
        </w:rPr>
        <w:t>pacifista</w:t>
      </w:r>
      <w:r>
        <w:rPr>
          <w:rFonts w:ascii="Calibri" w:hAnsi="Calibri"/>
          <w:color w:val="231F20"/>
          <w:spacing w:val="-10"/>
          <w:w w:val="105"/>
          <w:sz w:val="17"/>
        </w:rPr>
        <w:t> </w:t>
      </w:r>
      <w:r>
        <w:rPr>
          <w:rFonts w:ascii="Calibri" w:hAnsi="Calibri"/>
          <w:color w:val="231F20"/>
          <w:w w:val="105"/>
          <w:sz w:val="17"/>
        </w:rPr>
        <w:t>que</w:t>
      </w:r>
      <w:r>
        <w:rPr>
          <w:rFonts w:ascii="Calibri" w:hAnsi="Calibri"/>
          <w:color w:val="231F20"/>
          <w:spacing w:val="-10"/>
          <w:w w:val="105"/>
          <w:sz w:val="17"/>
        </w:rPr>
        <w:t> </w:t>
      </w:r>
      <w:r>
        <w:rPr>
          <w:rFonts w:ascii="Calibri" w:hAnsi="Calibri"/>
          <w:color w:val="231F20"/>
          <w:w w:val="105"/>
          <w:sz w:val="17"/>
        </w:rPr>
        <w:t>no</w:t>
      </w:r>
      <w:r>
        <w:rPr>
          <w:rFonts w:ascii="Calibri" w:hAnsi="Calibri"/>
          <w:color w:val="231F20"/>
          <w:spacing w:val="-10"/>
          <w:w w:val="105"/>
          <w:sz w:val="17"/>
        </w:rPr>
        <w:t> </w:t>
      </w:r>
      <w:r>
        <w:rPr>
          <w:rFonts w:ascii="Calibri" w:hAnsi="Calibri"/>
          <w:color w:val="231F20"/>
          <w:w w:val="105"/>
          <w:sz w:val="17"/>
        </w:rPr>
        <w:t>conoce</w:t>
      </w:r>
      <w:r>
        <w:rPr>
          <w:rFonts w:ascii="Calibri" w:hAnsi="Calibri"/>
          <w:color w:val="231F20"/>
          <w:spacing w:val="-10"/>
          <w:w w:val="105"/>
          <w:sz w:val="17"/>
        </w:rPr>
        <w:t> </w:t>
      </w:r>
      <w:r>
        <w:rPr>
          <w:rFonts w:ascii="Calibri" w:hAnsi="Calibri"/>
          <w:color w:val="231F20"/>
          <w:w w:val="105"/>
          <w:sz w:val="17"/>
        </w:rPr>
        <w:t>la</w:t>
      </w:r>
      <w:r>
        <w:rPr>
          <w:rFonts w:ascii="Calibri" w:hAnsi="Calibri"/>
          <w:color w:val="231F20"/>
          <w:spacing w:val="-10"/>
          <w:w w:val="105"/>
          <w:sz w:val="17"/>
        </w:rPr>
        <w:t> </w:t>
      </w:r>
      <w:r>
        <w:rPr>
          <w:rFonts w:ascii="Calibri" w:hAnsi="Calibri"/>
          <w:color w:val="231F20"/>
          <w:w w:val="105"/>
          <w:sz w:val="17"/>
        </w:rPr>
        <w:t>gue- rra,</w:t>
      </w:r>
      <w:r>
        <w:rPr>
          <w:rFonts w:ascii="Calibri" w:hAnsi="Calibri"/>
          <w:color w:val="231F20"/>
          <w:spacing w:val="-24"/>
          <w:w w:val="105"/>
          <w:sz w:val="17"/>
        </w:rPr>
        <w:t> </w:t>
      </w:r>
      <w:r>
        <w:rPr>
          <w:rFonts w:ascii="Calibri" w:hAnsi="Calibri"/>
          <w:color w:val="231F20"/>
          <w:w w:val="105"/>
          <w:sz w:val="17"/>
        </w:rPr>
        <w:t>sino</w:t>
      </w:r>
      <w:r>
        <w:rPr>
          <w:rFonts w:ascii="Calibri" w:hAnsi="Calibri"/>
          <w:color w:val="231F20"/>
          <w:spacing w:val="-24"/>
          <w:w w:val="105"/>
          <w:sz w:val="17"/>
        </w:rPr>
        <w:t> </w:t>
      </w:r>
      <w:r>
        <w:rPr>
          <w:rFonts w:ascii="Calibri" w:hAnsi="Calibri"/>
          <w:color w:val="231F20"/>
          <w:w w:val="105"/>
          <w:sz w:val="17"/>
        </w:rPr>
        <w:t>sólo</w:t>
      </w:r>
      <w:r>
        <w:rPr>
          <w:rFonts w:ascii="Calibri" w:hAnsi="Calibri"/>
          <w:color w:val="231F20"/>
          <w:spacing w:val="-24"/>
          <w:w w:val="105"/>
          <w:sz w:val="17"/>
        </w:rPr>
        <w:t> </w:t>
      </w:r>
      <w:r>
        <w:rPr>
          <w:rFonts w:ascii="Calibri" w:hAnsi="Calibri"/>
          <w:color w:val="231F20"/>
          <w:w w:val="105"/>
          <w:sz w:val="17"/>
        </w:rPr>
        <w:t>ejecuciones,</w:t>
      </w:r>
      <w:r>
        <w:rPr>
          <w:rFonts w:ascii="Calibri" w:hAnsi="Calibri"/>
          <w:color w:val="231F20"/>
          <w:spacing w:val="-24"/>
          <w:w w:val="105"/>
          <w:sz w:val="17"/>
        </w:rPr>
        <w:t> </w:t>
      </w:r>
      <w:r>
        <w:rPr>
          <w:rFonts w:ascii="Calibri" w:hAnsi="Calibri"/>
          <w:color w:val="231F20"/>
          <w:w w:val="105"/>
          <w:sz w:val="17"/>
        </w:rPr>
        <w:t>sanciones,</w:t>
      </w:r>
      <w:r>
        <w:rPr>
          <w:rFonts w:ascii="Calibri" w:hAnsi="Calibri"/>
          <w:color w:val="231F20"/>
          <w:spacing w:val="-24"/>
          <w:w w:val="105"/>
          <w:sz w:val="17"/>
        </w:rPr>
        <w:t> </w:t>
      </w:r>
      <w:r>
        <w:rPr>
          <w:rFonts w:ascii="Calibri" w:hAnsi="Calibri"/>
          <w:color w:val="231F20"/>
          <w:w w:val="105"/>
          <w:sz w:val="17"/>
        </w:rPr>
        <w:t>expediciones</w:t>
      </w:r>
      <w:r>
        <w:rPr>
          <w:rFonts w:ascii="Calibri" w:hAnsi="Calibri"/>
          <w:color w:val="231F20"/>
          <w:spacing w:val="-24"/>
          <w:w w:val="105"/>
          <w:sz w:val="17"/>
        </w:rPr>
        <w:t> </w:t>
      </w:r>
      <w:r>
        <w:rPr>
          <w:rFonts w:ascii="Calibri" w:hAnsi="Calibri"/>
          <w:color w:val="231F20"/>
          <w:w w:val="105"/>
          <w:sz w:val="17"/>
        </w:rPr>
        <w:t>de</w:t>
      </w:r>
      <w:r>
        <w:rPr>
          <w:rFonts w:ascii="Calibri" w:hAnsi="Calibri"/>
          <w:color w:val="231F20"/>
          <w:spacing w:val="-24"/>
          <w:w w:val="105"/>
          <w:sz w:val="17"/>
        </w:rPr>
        <w:t> </w:t>
      </w:r>
      <w:r>
        <w:rPr>
          <w:rFonts w:ascii="Calibri" w:hAnsi="Calibri"/>
          <w:color w:val="231F20"/>
          <w:w w:val="105"/>
          <w:sz w:val="17"/>
        </w:rPr>
        <w:t>castigo,</w:t>
      </w:r>
      <w:r>
        <w:rPr>
          <w:rFonts w:ascii="Calibri" w:hAnsi="Calibri"/>
          <w:color w:val="231F20"/>
          <w:spacing w:val="-24"/>
          <w:w w:val="105"/>
          <w:sz w:val="17"/>
        </w:rPr>
        <w:t> </w:t>
      </w:r>
      <w:r>
        <w:rPr>
          <w:rFonts w:ascii="Calibri" w:hAnsi="Calibri"/>
          <w:color w:val="231F20"/>
          <w:w w:val="105"/>
          <w:sz w:val="17"/>
        </w:rPr>
        <w:t>pacificaciones,</w:t>
      </w:r>
      <w:r>
        <w:rPr>
          <w:rFonts w:ascii="Calibri" w:hAnsi="Calibri"/>
          <w:color w:val="231F20"/>
          <w:spacing w:val="-24"/>
          <w:w w:val="105"/>
          <w:sz w:val="17"/>
        </w:rPr>
        <w:t> </w:t>
      </w:r>
      <w:r>
        <w:rPr>
          <w:rFonts w:ascii="Calibri" w:hAnsi="Calibri"/>
          <w:color w:val="231F20"/>
          <w:w w:val="105"/>
          <w:sz w:val="17"/>
        </w:rPr>
        <w:t>defensa</w:t>
      </w:r>
      <w:r>
        <w:rPr>
          <w:rFonts w:ascii="Calibri" w:hAnsi="Calibri"/>
          <w:color w:val="231F20"/>
          <w:spacing w:val="-24"/>
          <w:w w:val="105"/>
          <w:sz w:val="17"/>
        </w:rPr>
        <w:t> </w:t>
      </w:r>
      <w:r>
        <w:rPr>
          <w:rFonts w:ascii="Calibri" w:hAnsi="Calibri"/>
          <w:color w:val="231F20"/>
          <w:w w:val="105"/>
          <w:sz w:val="17"/>
        </w:rPr>
        <w:t>de</w:t>
      </w:r>
      <w:r>
        <w:rPr>
          <w:rFonts w:ascii="Calibri" w:hAnsi="Calibri"/>
          <w:color w:val="231F20"/>
          <w:spacing w:val="-24"/>
          <w:w w:val="105"/>
          <w:sz w:val="17"/>
        </w:rPr>
        <w:t> </w:t>
      </w:r>
      <w:r>
        <w:rPr>
          <w:rFonts w:ascii="Calibri" w:hAnsi="Calibri"/>
          <w:color w:val="231F20"/>
          <w:w w:val="105"/>
          <w:sz w:val="17"/>
        </w:rPr>
        <w:t>los</w:t>
      </w:r>
      <w:r>
        <w:rPr>
          <w:rFonts w:ascii="Calibri" w:hAnsi="Calibri"/>
          <w:color w:val="231F20"/>
          <w:spacing w:val="-24"/>
          <w:w w:val="105"/>
          <w:sz w:val="17"/>
        </w:rPr>
        <w:t> </w:t>
      </w:r>
      <w:r>
        <w:rPr>
          <w:rFonts w:ascii="Calibri" w:hAnsi="Calibri"/>
          <w:color w:val="231F20"/>
          <w:w w:val="105"/>
          <w:sz w:val="17"/>
        </w:rPr>
        <w:t>tratan- tes,</w:t>
      </w:r>
      <w:r>
        <w:rPr>
          <w:rFonts w:ascii="Calibri" w:hAnsi="Calibri"/>
          <w:color w:val="231F20"/>
          <w:spacing w:val="-21"/>
          <w:w w:val="105"/>
          <w:sz w:val="17"/>
        </w:rPr>
        <w:t> </w:t>
      </w:r>
      <w:r>
        <w:rPr>
          <w:rFonts w:ascii="Calibri" w:hAnsi="Calibri"/>
          <w:color w:val="231F20"/>
          <w:w w:val="105"/>
          <w:sz w:val="17"/>
        </w:rPr>
        <w:t>policía</w:t>
      </w:r>
      <w:r>
        <w:rPr>
          <w:rFonts w:ascii="Calibri" w:hAnsi="Calibri"/>
          <w:color w:val="231F20"/>
          <w:spacing w:val="-21"/>
          <w:w w:val="105"/>
          <w:sz w:val="17"/>
        </w:rPr>
        <w:t> </w:t>
      </w:r>
      <w:r>
        <w:rPr>
          <w:rFonts w:ascii="Calibri" w:hAnsi="Calibri"/>
          <w:color w:val="231F20"/>
          <w:w w:val="105"/>
          <w:sz w:val="17"/>
        </w:rPr>
        <w:t>internacional,</w:t>
      </w:r>
      <w:r>
        <w:rPr>
          <w:rFonts w:ascii="Calibri" w:hAnsi="Calibri"/>
          <w:color w:val="231F20"/>
          <w:spacing w:val="-21"/>
          <w:w w:val="105"/>
          <w:sz w:val="17"/>
        </w:rPr>
        <w:t> </w:t>
      </w:r>
      <w:r>
        <w:rPr>
          <w:rFonts w:ascii="Calibri" w:hAnsi="Calibri"/>
          <w:color w:val="231F20"/>
          <w:w w:val="105"/>
          <w:sz w:val="17"/>
        </w:rPr>
        <w:t>medidas</w:t>
      </w:r>
      <w:r>
        <w:rPr>
          <w:rFonts w:ascii="Calibri" w:hAnsi="Calibri"/>
          <w:color w:val="231F20"/>
          <w:spacing w:val="-21"/>
          <w:w w:val="105"/>
          <w:sz w:val="17"/>
        </w:rPr>
        <w:t> </w:t>
      </w:r>
      <w:r>
        <w:rPr>
          <w:rFonts w:ascii="Calibri" w:hAnsi="Calibri"/>
          <w:color w:val="231F20"/>
          <w:w w:val="105"/>
          <w:sz w:val="17"/>
        </w:rPr>
        <w:t>para</w:t>
      </w:r>
      <w:r>
        <w:rPr>
          <w:rFonts w:ascii="Calibri" w:hAnsi="Calibri"/>
          <w:color w:val="231F20"/>
          <w:spacing w:val="-21"/>
          <w:w w:val="105"/>
          <w:sz w:val="17"/>
        </w:rPr>
        <w:t> </w:t>
      </w:r>
      <w:r>
        <w:rPr>
          <w:rFonts w:ascii="Calibri" w:hAnsi="Calibri"/>
          <w:color w:val="231F20"/>
          <w:w w:val="105"/>
          <w:sz w:val="17"/>
        </w:rPr>
        <w:t>preservar</w:t>
      </w:r>
      <w:r>
        <w:rPr>
          <w:rFonts w:ascii="Calibri" w:hAnsi="Calibri"/>
          <w:color w:val="231F20"/>
          <w:spacing w:val="-21"/>
          <w:w w:val="105"/>
          <w:sz w:val="17"/>
        </w:rPr>
        <w:t> </w:t>
      </w:r>
      <w:r>
        <w:rPr>
          <w:rFonts w:ascii="Calibri" w:hAnsi="Calibri"/>
          <w:color w:val="231F20"/>
          <w:w w:val="105"/>
          <w:sz w:val="17"/>
        </w:rPr>
        <w:t>la</w:t>
      </w:r>
      <w:r>
        <w:rPr>
          <w:rFonts w:ascii="Calibri" w:hAnsi="Calibri"/>
          <w:color w:val="231F20"/>
          <w:spacing w:val="-21"/>
          <w:w w:val="105"/>
          <w:sz w:val="17"/>
        </w:rPr>
        <w:t> </w:t>
      </w:r>
      <w:r>
        <w:rPr>
          <w:rFonts w:ascii="Calibri" w:hAnsi="Calibri"/>
          <w:color w:val="231F20"/>
          <w:w w:val="105"/>
          <w:sz w:val="17"/>
        </w:rPr>
        <w:t>paz.</w:t>
      </w:r>
      <w:r>
        <w:rPr>
          <w:rFonts w:ascii="Calibri" w:hAnsi="Calibri"/>
          <w:color w:val="231F20"/>
          <w:spacing w:val="-21"/>
          <w:w w:val="105"/>
          <w:sz w:val="17"/>
        </w:rPr>
        <w:t> </w:t>
      </w:r>
      <w:r>
        <w:rPr>
          <w:rFonts w:ascii="Calibri" w:hAnsi="Calibri"/>
          <w:color w:val="231F20"/>
          <w:w w:val="105"/>
          <w:sz w:val="17"/>
        </w:rPr>
        <w:t>El</w:t>
      </w:r>
      <w:r>
        <w:rPr>
          <w:rFonts w:ascii="Calibri" w:hAnsi="Calibri"/>
          <w:color w:val="231F20"/>
          <w:spacing w:val="-21"/>
          <w:w w:val="105"/>
          <w:sz w:val="17"/>
        </w:rPr>
        <w:t> </w:t>
      </w:r>
      <w:r>
        <w:rPr>
          <w:rFonts w:ascii="Calibri" w:hAnsi="Calibri"/>
          <w:color w:val="231F20"/>
          <w:w w:val="105"/>
          <w:sz w:val="17"/>
        </w:rPr>
        <w:t>adversario</w:t>
      </w:r>
      <w:r>
        <w:rPr>
          <w:rFonts w:ascii="Calibri" w:hAnsi="Calibri"/>
          <w:color w:val="231F20"/>
          <w:spacing w:val="-22"/>
          <w:w w:val="105"/>
          <w:sz w:val="17"/>
        </w:rPr>
        <w:t> </w:t>
      </w:r>
      <w:r>
        <w:rPr>
          <w:rFonts w:ascii="Calibri" w:hAnsi="Calibri"/>
          <w:color w:val="231F20"/>
          <w:w w:val="105"/>
          <w:sz w:val="17"/>
        </w:rPr>
        <w:t>ya</w:t>
      </w:r>
      <w:r>
        <w:rPr>
          <w:rFonts w:ascii="Calibri" w:hAnsi="Calibri"/>
          <w:color w:val="231F20"/>
          <w:spacing w:val="-21"/>
          <w:w w:val="105"/>
          <w:sz w:val="17"/>
        </w:rPr>
        <w:t> </w:t>
      </w:r>
      <w:r>
        <w:rPr>
          <w:rFonts w:ascii="Calibri" w:hAnsi="Calibri"/>
          <w:color w:val="231F20"/>
          <w:w w:val="105"/>
          <w:sz w:val="17"/>
        </w:rPr>
        <w:t>no</w:t>
      </w:r>
      <w:r>
        <w:rPr>
          <w:rFonts w:ascii="Calibri" w:hAnsi="Calibri"/>
          <w:color w:val="231F20"/>
          <w:spacing w:val="-21"/>
          <w:w w:val="105"/>
          <w:sz w:val="17"/>
        </w:rPr>
        <w:t> </w:t>
      </w:r>
      <w:r>
        <w:rPr>
          <w:rFonts w:ascii="Calibri" w:hAnsi="Calibri"/>
          <w:color w:val="231F20"/>
          <w:w w:val="105"/>
          <w:sz w:val="17"/>
        </w:rPr>
        <w:t>se</w:t>
      </w:r>
      <w:r>
        <w:rPr>
          <w:rFonts w:ascii="Calibri" w:hAnsi="Calibri"/>
          <w:color w:val="231F20"/>
          <w:spacing w:val="-21"/>
          <w:w w:val="105"/>
          <w:sz w:val="17"/>
        </w:rPr>
        <w:t> </w:t>
      </w:r>
      <w:r>
        <w:rPr>
          <w:rFonts w:ascii="Calibri" w:hAnsi="Calibri"/>
          <w:color w:val="231F20"/>
          <w:w w:val="105"/>
          <w:sz w:val="17"/>
        </w:rPr>
        <w:t>llama</w:t>
      </w:r>
      <w:r>
        <w:rPr>
          <w:rFonts w:ascii="Calibri" w:hAnsi="Calibri"/>
          <w:color w:val="231F20"/>
          <w:spacing w:val="-21"/>
          <w:w w:val="105"/>
          <w:sz w:val="17"/>
        </w:rPr>
        <w:t> </w:t>
      </w:r>
      <w:r>
        <w:rPr>
          <w:rFonts w:ascii="Calibri" w:hAnsi="Calibri"/>
          <w:color w:val="231F20"/>
          <w:w w:val="105"/>
          <w:sz w:val="17"/>
        </w:rPr>
        <w:t>enemigo,</w:t>
      </w:r>
      <w:r>
        <w:rPr>
          <w:rFonts w:ascii="Calibri" w:hAnsi="Calibri"/>
          <w:color w:val="231F20"/>
          <w:spacing w:val="-21"/>
          <w:w w:val="105"/>
          <w:sz w:val="17"/>
        </w:rPr>
        <w:t> </w:t>
      </w:r>
      <w:r>
        <w:rPr>
          <w:rFonts w:ascii="Calibri" w:hAnsi="Calibri"/>
          <w:color w:val="231F20"/>
          <w:w w:val="105"/>
          <w:sz w:val="17"/>
        </w:rPr>
        <w:t>pero por</w:t>
      </w:r>
      <w:r>
        <w:rPr>
          <w:rFonts w:ascii="Calibri" w:hAnsi="Calibri"/>
          <w:color w:val="231F20"/>
          <w:spacing w:val="-8"/>
          <w:w w:val="105"/>
          <w:sz w:val="17"/>
        </w:rPr>
        <w:t> </w:t>
      </w:r>
      <w:r>
        <w:rPr>
          <w:rFonts w:ascii="Calibri" w:hAnsi="Calibri"/>
          <w:color w:val="231F20"/>
          <w:w w:val="105"/>
          <w:sz w:val="17"/>
        </w:rPr>
        <w:t>esto</w:t>
      </w:r>
      <w:r>
        <w:rPr>
          <w:rFonts w:ascii="Calibri" w:hAnsi="Calibri"/>
          <w:color w:val="231F20"/>
          <w:spacing w:val="-10"/>
          <w:w w:val="105"/>
          <w:sz w:val="17"/>
        </w:rPr>
        <w:t> </w:t>
      </w:r>
      <w:r>
        <w:rPr>
          <w:rFonts w:ascii="Calibri" w:hAnsi="Calibri"/>
          <w:color w:val="231F20"/>
          <w:w w:val="105"/>
          <w:sz w:val="17"/>
        </w:rPr>
        <w:t>viene</w:t>
      </w:r>
      <w:r>
        <w:rPr>
          <w:rFonts w:ascii="Calibri" w:hAnsi="Calibri"/>
          <w:color w:val="231F20"/>
          <w:spacing w:val="-8"/>
          <w:w w:val="105"/>
          <w:sz w:val="17"/>
        </w:rPr>
        <w:t> </w:t>
      </w:r>
      <w:r>
        <w:rPr>
          <w:rFonts w:ascii="Calibri" w:hAnsi="Calibri"/>
          <w:color w:val="231F20"/>
          <w:w w:val="105"/>
          <w:sz w:val="17"/>
        </w:rPr>
        <w:t>puesto</w:t>
      </w:r>
      <w:r>
        <w:rPr>
          <w:rFonts w:ascii="Calibri" w:hAnsi="Calibri"/>
          <w:color w:val="231F20"/>
          <w:spacing w:val="-8"/>
          <w:w w:val="105"/>
          <w:sz w:val="17"/>
        </w:rPr>
        <w:t> </w:t>
      </w:r>
      <w:r>
        <w:rPr>
          <w:rFonts w:ascii="Calibri" w:hAnsi="Calibri"/>
          <w:color w:val="231F20"/>
          <w:w w:val="105"/>
          <w:sz w:val="17"/>
        </w:rPr>
        <w:t>como</w:t>
      </w:r>
      <w:r>
        <w:rPr>
          <w:rFonts w:ascii="Calibri" w:hAnsi="Calibri"/>
          <w:color w:val="231F20"/>
          <w:spacing w:val="-10"/>
          <w:w w:val="105"/>
          <w:sz w:val="17"/>
        </w:rPr>
        <w:t> </w:t>
      </w:r>
      <w:r>
        <w:rPr>
          <w:rFonts w:ascii="Calibri" w:hAnsi="Calibri"/>
          <w:color w:val="231F20"/>
          <w:w w:val="105"/>
          <w:sz w:val="17"/>
        </w:rPr>
        <w:t>violador</w:t>
      </w:r>
      <w:r>
        <w:rPr>
          <w:rFonts w:ascii="Calibri" w:hAnsi="Calibri"/>
          <w:color w:val="231F20"/>
          <w:spacing w:val="-10"/>
          <w:w w:val="105"/>
          <w:sz w:val="17"/>
        </w:rPr>
        <w:t> </w:t>
      </w:r>
      <w:r>
        <w:rPr>
          <w:rFonts w:ascii="Calibri" w:hAnsi="Calibri"/>
          <w:color w:val="231F20"/>
          <w:w w:val="105"/>
          <w:sz w:val="17"/>
        </w:rPr>
        <w:t>y</w:t>
      </w:r>
      <w:r>
        <w:rPr>
          <w:rFonts w:ascii="Calibri" w:hAnsi="Calibri"/>
          <w:color w:val="231F20"/>
          <w:spacing w:val="-8"/>
          <w:w w:val="105"/>
          <w:sz w:val="17"/>
        </w:rPr>
        <w:t> </w:t>
      </w:r>
      <w:r>
        <w:rPr>
          <w:rFonts w:ascii="Calibri" w:hAnsi="Calibri"/>
          <w:color w:val="231F20"/>
          <w:w w:val="105"/>
          <w:sz w:val="17"/>
        </w:rPr>
        <w:t>perturbador</w:t>
      </w:r>
      <w:r>
        <w:rPr>
          <w:rFonts w:ascii="Calibri" w:hAnsi="Calibri"/>
          <w:color w:val="231F20"/>
          <w:spacing w:val="-8"/>
          <w:w w:val="105"/>
          <w:sz w:val="17"/>
        </w:rPr>
        <w:t> </w:t>
      </w:r>
      <w:r>
        <w:rPr>
          <w:rFonts w:ascii="Calibri" w:hAnsi="Calibri"/>
          <w:color w:val="231F20"/>
          <w:w w:val="105"/>
          <w:sz w:val="17"/>
        </w:rPr>
        <w:t>de</w:t>
      </w:r>
      <w:r>
        <w:rPr>
          <w:rFonts w:ascii="Calibri" w:hAnsi="Calibri"/>
          <w:color w:val="231F20"/>
          <w:spacing w:val="-8"/>
          <w:w w:val="105"/>
          <w:sz w:val="17"/>
        </w:rPr>
        <w:t> </w:t>
      </w:r>
      <w:r>
        <w:rPr>
          <w:rFonts w:ascii="Calibri" w:hAnsi="Calibri"/>
          <w:color w:val="231F20"/>
          <w:w w:val="105"/>
          <w:sz w:val="17"/>
        </w:rPr>
        <w:t>la</w:t>
      </w:r>
      <w:r>
        <w:rPr>
          <w:rFonts w:ascii="Calibri" w:hAnsi="Calibri"/>
          <w:color w:val="231F20"/>
          <w:spacing w:val="-8"/>
          <w:w w:val="105"/>
          <w:sz w:val="17"/>
        </w:rPr>
        <w:t> </w:t>
      </w:r>
      <w:r>
        <w:rPr>
          <w:rFonts w:ascii="Calibri" w:hAnsi="Calibri"/>
          <w:color w:val="231F20"/>
          <w:w w:val="105"/>
          <w:sz w:val="17"/>
        </w:rPr>
        <w:t>paz,</w:t>
      </w:r>
      <w:r>
        <w:rPr>
          <w:rFonts w:ascii="Calibri" w:hAnsi="Calibri"/>
          <w:color w:val="231F20"/>
          <w:spacing w:val="-8"/>
          <w:w w:val="105"/>
          <w:sz w:val="17"/>
        </w:rPr>
        <w:t> </w:t>
      </w:r>
      <w:r>
        <w:rPr>
          <w:rFonts w:ascii="Calibri" w:hAnsi="Calibri"/>
          <w:i/>
          <w:color w:val="231F20"/>
          <w:w w:val="105"/>
          <w:sz w:val="17"/>
        </w:rPr>
        <w:t>hors</w:t>
      </w:r>
      <w:r>
        <w:rPr>
          <w:rFonts w:ascii="Calibri" w:hAnsi="Calibri"/>
          <w:color w:val="231F20"/>
          <w:w w:val="105"/>
          <w:sz w:val="17"/>
        </w:rPr>
        <w:t>–</w:t>
      </w:r>
      <w:r>
        <w:rPr>
          <w:rFonts w:ascii="Calibri" w:hAnsi="Calibri"/>
          <w:i/>
          <w:color w:val="231F20"/>
          <w:w w:val="105"/>
          <w:sz w:val="17"/>
        </w:rPr>
        <w:t>la</w:t>
      </w:r>
      <w:r>
        <w:rPr>
          <w:rFonts w:ascii="Calibri" w:hAnsi="Calibri"/>
          <w:color w:val="231F20"/>
          <w:w w:val="105"/>
          <w:sz w:val="17"/>
        </w:rPr>
        <w:t>–</w:t>
      </w:r>
      <w:r>
        <w:rPr>
          <w:rFonts w:ascii="Calibri" w:hAnsi="Calibri"/>
          <w:i/>
          <w:color w:val="231F20"/>
          <w:w w:val="105"/>
          <w:sz w:val="17"/>
        </w:rPr>
        <w:t>loi</w:t>
      </w:r>
      <w:r>
        <w:rPr>
          <w:rFonts w:ascii="Calibri" w:hAnsi="Calibri"/>
          <w:i/>
          <w:color w:val="231F20"/>
          <w:spacing w:val="-10"/>
          <w:w w:val="105"/>
          <w:sz w:val="17"/>
        </w:rPr>
        <w:t> </w:t>
      </w:r>
      <w:r>
        <w:rPr>
          <w:rFonts w:ascii="Calibri" w:hAnsi="Calibri"/>
          <w:color w:val="231F20"/>
          <w:w w:val="105"/>
          <w:sz w:val="17"/>
        </w:rPr>
        <w:t>y</w:t>
      </w:r>
      <w:r>
        <w:rPr>
          <w:rFonts w:ascii="Calibri" w:hAnsi="Calibri"/>
          <w:color w:val="231F20"/>
          <w:spacing w:val="-8"/>
          <w:w w:val="105"/>
          <w:sz w:val="17"/>
        </w:rPr>
        <w:t> </w:t>
      </w:r>
      <w:r>
        <w:rPr>
          <w:rFonts w:ascii="Calibri" w:hAnsi="Calibri"/>
          <w:i/>
          <w:color w:val="231F20"/>
          <w:w w:val="105"/>
          <w:sz w:val="17"/>
        </w:rPr>
        <w:t>hors</w:t>
      </w:r>
      <w:r>
        <w:rPr>
          <w:rFonts w:ascii="Calibri" w:hAnsi="Calibri"/>
          <w:i/>
          <w:color w:val="231F20"/>
          <w:spacing w:val="-9"/>
          <w:w w:val="105"/>
          <w:sz w:val="17"/>
        </w:rPr>
        <w:t> </w:t>
      </w:r>
      <w:r>
        <w:rPr>
          <w:rFonts w:ascii="Calibri" w:hAnsi="Calibri"/>
          <w:i/>
          <w:color w:val="231F20"/>
          <w:w w:val="105"/>
          <w:sz w:val="17"/>
        </w:rPr>
        <w:t>l’humanité</w:t>
      </w:r>
      <w:r>
        <w:rPr>
          <w:rFonts w:ascii="Calibri" w:hAnsi="Calibri"/>
          <w:color w:val="231F20"/>
          <w:w w:val="105"/>
          <w:sz w:val="17"/>
        </w:rPr>
        <w:t>,</w:t>
      </w:r>
      <w:r>
        <w:rPr>
          <w:rFonts w:ascii="Calibri" w:hAnsi="Calibri"/>
          <w:color w:val="231F20"/>
          <w:spacing w:val="-10"/>
          <w:w w:val="105"/>
          <w:sz w:val="17"/>
        </w:rPr>
        <w:t> </w:t>
      </w:r>
      <w:r>
        <w:rPr>
          <w:rFonts w:ascii="Calibri" w:hAnsi="Calibri"/>
          <w:color w:val="231F20"/>
          <w:w w:val="105"/>
          <w:sz w:val="17"/>
        </w:rPr>
        <w:t>y</w:t>
      </w:r>
      <w:r>
        <w:rPr>
          <w:rFonts w:ascii="Calibri" w:hAnsi="Calibri"/>
          <w:color w:val="231F20"/>
          <w:spacing w:val="-8"/>
          <w:w w:val="105"/>
          <w:sz w:val="17"/>
        </w:rPr>
        <w:t> </w:t>
      </w:r>
      <w:r>
        <w:rPr>
          <w:rFonts w:ascii="Calibri" w:hAnsi="Calibri"/>
          <w:color w:val="231F20"/>
          <w:w w:val="105"/>
          <w:sz w:val="17"/>
        </w:rPr>
        <w:t>una guerra</w:t>
      </w:r>
      <w:r>
        <w:rPr>
          <w:rFonts w:ascii="Calibri" w:hAnsi="Calibri"/>
          <w:color w:val="231F20"/>
          <w:spacing w:val="-17"/>
          <w:w w:val="105"/>
          <w:sz w:val="17"/>
        </w:rPr>
        <w:t> </w:t>
      </w:r>
      <w:r>
        <w:rPr>
          <w:rFonts w:ascii="Calibri" w:hAnsi="Calibri"/>
          <w:color w:val="231F20"/>
          <w:w w:val="105"/>
          <w:sz w:val="17"/>
        </w:rPr>
        <w:t>realizada</w:t>
      </w:r>
      <w:r>
        <w:rPr>
          <w:rFonts w:ascii="Calibri" w:hAnsi="Calibri"/>
          <w:color w:val="231F20"/>
          <w:spacing w:val="-17"/>
          <w:w w:val="105"/>
          <w:sz w:val="17"/>
        </w:rPr>
        <w:t> </w:t>
      </w:r>
      <w:r>
        <w:rPr>
          <w:rFonts w:ascii="Calibri" w:hAnsi="Calibri"/>
          <w:color w:val="231F20"/>
          <w:w w:val="105"/>
          <w:sz w:val="17"/>
        </w:rPr>
        <w:t>para</w:t>
      </w:r>
      <w:r>
        <w:rPr>
          <w:rFonts w:ascii="Calibri" w:hAnsi="Calibri"/>
          <w:color w:val="231F20"/>
          <w:spacing w:val="-17"/>
          <w:w w:val="105"/>
          <w:sz w:val="17"/>
        </w:rPr>
        <w:t> </w:t>
      </w:r>
      <w:r>
        <w:rPr>
          <w:rFonts w:ascii="Calibri" w:hAnsi="Calibri"/>
          <w:color w:val="231F20"/>
          <w:w w:val="105"/>
          <w:sz w:val="17"/>
        </w:rPr>
        <w:t>mantener</w:t>
      </w:r>
      <w:r>
        <w:rPr>
          <w:rFonts w:ascii="Calibri" w:hAnsi="Calibri"/>
          <w:color w:val="231F20"/>
          <w:spacing w:val="-17"/>
          <w:w w:val="105"/>
          <w:sz w:val="17"/>
        </w:rPr>
        <w:t> </w:t>
      </w:r>
      <w:r>
        <w:rPr>
          <w:rFonts w:ascii="Calibri" w:hAnsi="Calibri"/>
          <w:color w:val="231F20"/>
          <w:w w:val="105"/>
          <w:sz w:val="17"/>
        </w:rPr>
        <w:t>o</w:t>
      </w:r>
      <w:r>
        <w:rPr>
          <w:rFonts w:ascii="Calibri" w:hAnsi="Calibri"/>
          <w:color w:val="231F20"/>
          <w:spacing w:val="-17"/>
          <w:w w:val="105"/>
          <w:sz w:val="17"/>
        </w:rPr>
        <w:t> </w:t>
      </w:r>
      <w:r>
        <w:rPr>
          <w:rFonts w:ascii="Calibri" w:hAnsi="Calibri"/>
          <w:color w:val="231F20"/>
          <w:w w:val="105"/>
          <w:sz w:val="17"/>
        </w:rPr>
        <w:t>alargar</w:t>
      </w:r>
      <w:r>
        <w:rPr>
          <w:rFonts w:ascii="Calibri" w:hAnsi="Calibri"/>
          <w:color w:val="231F20"/>
          <w:spacing w:val="-17"/>
          <w:w w:val="105"/>
          <w:sz w:val="17"/>
        </w:rPr>
        <w:t> </w:t>
      </w:r>
      <w:r>
        <w:rPr>
          <w:rFonts w:ascii="Calibri" w:hAnsi="Calibri"/>
          <w:color w:val="231F20"/>
          <w:w w:val="105"/>
          <w:sz w:val="17"/>
        </w:rPr>
        <w:t>las</w:t>
      </w:r>
      <w:r>
        <w:rPr>
          <w:rFonts w:ascii="Calibri" w:hAnsi="Calibri"/>
          <w:color w:val="231F20"/>
          <w:spacing w:val="-17"/>
          <w:w w:val="105"/>
          <w:sz w:val="17"/>
        </w:rPr>
        <w:t> </w:t>
      </w:r>
      <w:r>
        <w:rPr>
          <w:rFonts w:ascii="Calibri" w:hAnsi="Calibri"/>
          <w:color w:val="231F20"/>
          <w:w w:val="105"/>
          <w:sz w:val="17"/>
        </w:rPr>
        <w:t>posiciones</w:t>
      </w:r>
      <w:r>
        <w:rPr>
          <w:rFonts w:ascii="Calibri" w:hAnsi="Calibri"/>
          <w:color w:val="231F20"/>
          <w:spacing w:val="-17"/>
          <w:w w:val="105"/>
          <w:sz w:val="17"/>
        </w:rPr>
        <w:t> </w:t>
      </w:r>
      <w:r>
        <w:rPr>
          <w:rFonts w:ascii="Calibri" w:hAnsi="Calibri"/>
          <w:color w:val="231F20"/>
          <w:w w:val="105"/>
          <w:sz w:val="17"/>
        </w:rPr>
        <w:t>economicistas</w:t>
      </w:r>
      <w:r>
        <w:rPr>
          <w:rFonts w:ascii="Calibri" w:hAnsi="Calibri"/>
          <w:color w:val="231F20"/>
          <w:spacing w:val="-17"/>
          <w:w w:val="105"/>
          <w:sz w:val="17"/>
        </w:rPr>
        <w:t> </w:t>
      </w:r>
      <w:r>
        <w:rPr>
          <w:rFonts w:ascii="Calibri" w:hAnsi="Calibri"/>
          <w:color w:val="231F20"/>
          <w:w w:val="105"/>
          <w:sz w:val="17"/>
        </w:rPr>
        <w:t>de</w:t>
      </w:r>
      <w:r>
        <w:rPr>
          <w:rFonts w:ascii="Calibri" w:hAnsi="Calibri"/>
          <w:color w:val="231F20"/>
          <w:spacing w:val="-17"/>
          <w:w w:val="105"/>
          <w:sz w:val="17"/>
        </w:rPr>
        <w:t> </w:t>
      </w:r>
      <w:r>
        <w:rPr>
          <w:rFonts w:ascii="Calibri" w:hAnsi="Calibri"/>
          <w:color w:val="231F20"/>
          <w:w w:val="105"/>
          <w:sz w:val="17"/>
        </w:rPr>
        <w:t>poder</w:t>
      </w:r>
      <w:r>
        <w:rPr>
          <w:rFonts w:ascii="Calibri" w:hAnsi="Calibri"/>
          <w:color w:val="231F20"/>
          <w:spacing w:val="-17"/>
          <w:w w:val="105"/>
          <w:sz w:val="17"/>
        </w:rPr>
        <w:t> </w:t>
      </w:r>
      <w:r>
        <w:rPr>
          <w:rFonts w:ascii="Calibri" w:hAnsi="Calibri"/>
          <w:color w:val="231F20"/>
          <w:w w:val="105"/>
          <w:sz w:val="17"/>
        </w:rPr>
        <w:t>debe</w:t>
      </w:r>
      <w:r>
        <w:rPr>
          <w:rFonts w:ascii="Calibri" w:hAnsi="Calibri"/>
          <w:color w:val="231F20"/>
          <w:spacing w:val="-17"/>
          <w:w w:val="105"/>
          <w:sz w:val="17"/>
        </w:rPr>
        <w:t> </w:t>
      </w:r>
      <w:r>
        <w:rPr>
          <w:rFonts w:ascii="Calibri" w:hAnsi="Calibri"/>
          <w:color w:val="231F20"/>
          <w:w w:val="105"/>
          <w:sz w:val="17"/>
        </w:rPr>
        <w:t>ser</w:t>
      </w:r>
      <w:r>
        <w:rPr>
          <w:rFonts w:ascii="Calibri" w:hAnsi="Calibri"/>
          <w:color w:val="231F20"/>
          <w:spacing w:val="-17"/>
          <w:w w:val="105"/>
          <w:sz w:val="17"/>
        </w:rPr>
        <w:t> </w:t>
      </w:r>
      <w:r>
        <w:rPr>
          <w:rFonts w:ascii="Calibri" w:hAnsi="Calibri"/>
          <w:color w:val="231F20"/>
          <w:w w:val="105"/>
          <w:sz w:val="17"/>
        </w:rPr>
        <w:t>transfor- mada,</w:t>
      </w:r>
      <w:r>
        <w:rPr>
          <w:rFonts w:ascii="Calibri" w:hAnsi="Calibri"/>
          <w:color w:val="231F20"/>
          <w:spacing w:val="-13"/>
          <w:w w:val="105"/>
          <w:sz w:val="17"/>
        </w:rPr>
        <w:t> </w:t>
      </w:r>
      <w:r>
        <w:rPr>
          <w:rFonts w:ascii="Calibri" w:hAnsi="Calibri"/>
          <w:color w:val="231F20"/>
          <w:w w:val="105"/>
          <w:sz w:val="17"/>
        </w:rPr>
        <w:t>recurriendo</w:t>
      </w:r>
      <w:r>
        <w:rPr>
          <w:rFonts w:ascii="Calibri" w:hAnsi="Calibri"/>
          <w:color w:val="231F20"/>
          <w:spacing w:val="-13"/>
          <w:w w:val="105"/>
          <w:sz w:val="17"/>
        </w:rPr>
        <w:t> </w:t>
      </w:r>
      <w:r>
        <w:rPr>
          <w:rFonts w:ascii="Calibri" w:hAnsi="Calibri"/>
          <w:color w:val="231F20"/>
          <w:w w:val="105"/>
          <w:sz w:val="17"/>
        </w:rPr>
        <w:t>a</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propaganda,</w:t>
      </w:r>
      <w:r>
        <w:rPr>
          <w:rFonts w:ascii="Calibri" w:hAnsi="Calibri"/>
          <w:color w:val="231F20"/>
          <w:spacing w:val="-13"/>
          <w:w w:val="105"/>
          <w:sz w:val="17"/>
        </w:rPr>
        <w:t> </w:t>
      </w:r>
      <w:r>
        <w:rPr>
          <w:rFonts w:ascii="Calibri" w:hAnsi="Calibri"/>
          <w:color w:val="231F20"/>
          <w:w w:val="105"/>
          <w:sz w:val="17"/>
        </w:rPr>
        <w:t>en</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“cruzada”</w:t>
      </w:r>
      <w:r>
        <w:rPr>
          <w:rFonts w:ascii="Calibri" w:hAnsi="Calibri"/>
          <w:color w:val="231F20"/>
          <w:spacing w:val="-14"/>
          <w:w w:val="105"/>
          <w:sz w:val="17"/>
        </w:rPr>
        <w:t> </w:t>
      </w:r>
      <w:r>
        <w:rPr>
          <w:rFonts w:ascii="Calibri" w:hAnsi="Calibri"/>
          <w:color w:val="231F20"/>
          <w:w w:val="105"/>
          <w:sz w:val="17"/>
        </w:rPr>
        <w:t>y</w:t>
      </w:r>
      <w:r>
        <w:rPr>
          <w:rFonts w:ascii="Calibri" w:hAnsi="Calibri"/>
          <w:color w:val="231F20"/>
          <w:spacing w:val="-13"/>
          <w:w w:val="105"/>
          <w:sz w:val="17"/>
        </w:rPr>
        <w:t> </w:t>
      </w:r>
      <w:r>
        <w:rPr>
          <w:rFonts w:ascii="Calibri" w:hAnsi="Calibri"/>
          <w:color w:val="231F20"/>
          <w:w w:val="105"/>
          <w:sz w:val="17"/>
        </w:rPr>
        <w:t>en</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última</w:t>
      </w:r>
      <w:r>
        <w:rPr>
          <w:rFonts w:ascii="Calibri" w:hAnsi="Calibri"/>
          <w:color w:val="231F20"/>
          <w:spacing w:val="-13"/>
          <w:w w:val="105"/>
          <w:sz w:val="17"/>
        </w:rPr>
        <w:t> </w:t>
      </w:r>
      <w:r>
        <w:rPr>
          <w:rFonts w:ascii="Calibri" w:hAnsi="Calibri"/>
          <w:color w:val="231F20"/>
          <w:w w:val="105"/>
          <w:sz w:val="17"/>
        </w:rPr>
        <w:t>guerra</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humanidad”.</w:t>
      </w:r>
      <w:r>
        <w:rPr>
          <w:rFonts w:ascii="Calibri" w:hAnsi="Calibri"/>
          <w:color w:val="231F20"/>
          <w:spacing w:val="-13"/>
          <w:w w:val="105"/>
          <w:sz w:val="17"/>
        </w:rPr>
        <w:t> </w:t>
      </w:r>
      <w:r>
        <w:rPr>
          <w:rFonts w:ascii="Calibri" w:hAnsi="Calibri"/>
          <w:color w:val="231F20"/>
          <w:w w:val="105"/>
          <w:sz w:val="17"/>
        </w:rPr>
        <w:t>Sobre este</w:t>
      </w:r>
      <w:r>
        <w:rPr>
          <w:rFonts w:ascii="Calibri" w:hAnsi="Calibri"/>
          <w:color w:val="231F20"/>
          <w:spacing w:val="-19"/>
          <w:w w:val="105"/>
          <w:sz w:val="17"/>
        </w:rPr>
        <w:t> </w:t>
      </w:r>
      <w:r>
        <w:rPr>
          <w:rFonts w:ascii="Calibri" w:hAnsi="Calibri"/>
          <w:color w:val="231F20"/>
          <w:w w:val="105"/>
          <w:sz w:val="17"/>
        </w:rPr>
        <w:t>punto</w:t>
      </w:r>
      <w:r>
        <w:rPr>
          <w:rFonts w:ascii="Calibri" w:hAnsi="Calibri"/>
          <w:color w:val="231F20"/>
          <w:spacing w:val="-22"/>
          <w:w w:val="105"/>
          <w:sz w:val="17"/>
        </w:rPr>
        <w:t> </w:t>
      </w:r>
      <w:r>
        <w:rPr>
          <w:rFonts w:ascii="Calibri" w:hAnsi="Calibri"/>
          <w:color w:val="231F20"/>
          <w:w w:val="105"/>
          <w:sz w:val="17"/>
        </w:rPr>
        <w:t>véase</w:t>
      </w:r>
      <w:r>
        <w:rPr>
          <w:rFonts w:ascii="Calibri" w:hAnsi="Calibri"/>
          <w:color w:val="231F20"/>
          <w:spacing w:val="-19"/>
          <w:w w:val="105"/>
          <w:sz w:val="17"/>
        </w:rPr>
        <w:t> </w:t>
      </w:r>
      <w:r>
        <w:rPr>
          <w:rFonts w:ascii="Calibri" w:hAnsi="Calibri"/>
          <w:color w:val="231F20"/>
          <w:w w:val="105"/>
          <w:sz w:val="17"/>
        </w:rPr>
        <w:t>también</w:t>
      </w:r>
      <w:r>
        <w:rPr>
          <w:rFonts w:ascii="Calibri" w:hAnsi="Calibri"/>
          <w:color w:val="231F20"/>
          <w:spacing w:val="-19"/>
          <w:w w:val="105"/>
          <w:sz w:val="17"/>
        </w:rPr>
        <w:t> </w:t>
      </w:r>
      <w:r>
        <w:rPr>
          <w:rFonts w:ascii="Calibri" w:hAnsi="Calibri"/>
          <w:color w:val="231F20"/>
          <w:w w:val="105"/>
          <w:sz w:val="17"/>
        </w:rPr>
        <w:t>C.</w:t>
      </w:r>
      <w:r>
        <w:rPr>
          <w:rFonts w:ascii="Calibri" w:hAnsi="Calibri"/>
          <w:color w:val="231F20"/>
          <w:spacing w:val="-19"/>
          <w:w w:val="105"/>
          <w:sz w:val="17"/>
        </w:rPr>
        <w:t> </w:t>
      </w:r>
      <w:r>
        <w:rPr>
          <w:rFonts w:ascii="Calibri" w:hAnsi="Calibri"/>
          <w:color w:val="231F20"/>
          <w:w w:val="105"/>
          <w:sz w:val="17"/>
        </w:rPr>
        <w:t>Schmitt,</w:t>
      </w:r>
      <w:r>
        <w:rPr>
          <w:rFonts w:ascii="Calibri" w:hAnsi="Calibri"/>
          <w:color w:val="231F20"/>
          <w:spacing w:val="-19"/>
          <w:w w:val="105"/>
          <w:sz w:val="17"/>
        </w:rPr>
        <w:t> </w:t>
      </w:r>
      <w:r>
        <w:rPr>
          <w:rFonts w:ascii="Calibri" w:hAnsi="Calibri"/>
          <w:color w:val="231F20"/>
          <w:w w:val="105"/>
          <w:sz w:val="17"/>
        </w:rPr>
        <w:t>“Das</w:t>
      </w:r>
      <w:r>
        <w:rPr>
          <w:rFonts w:ascii="Calibri" w:hAnsi="Calibri"/>
          <w:color w:val="231F20"/>
          <w:spacing w:val="-19"/>
          <w:w w:val="105"/>
          <w:sz w:val="17"/>
        </w:rPr>
        <w:t> </w:t>
      </w:r>
      <w:r>
        <w:rPr>
          <w:rFonts w:ascii="Calibri" w:hAnsi="Calibri"/>
          <w:color w:val="231F20"/>
          <w:w w:val="105"/>
          <w:sz w:val="17"/>
        </w:rPr>
        <w:t>Zeitalter</w:t>
      </w:r>
      <w:r>
        <w:rPr>
          <w:rFonts w:ascii="Calibri" w:hAnsi="Calibri"/>
          <w:color w:val="231F20"/>
          <w:spacing w:val="-19"/>
          <w:w w:val="105"/>
          <w:sz w:val="17"/>
        </w:rPr>
        <w:t> </w:t>
      </w:r>
      <w:r>
        <w:rPr>
          <w:rFonts w:ascii="Calibri" w:hAnsi="Calibri"/>
          <w:color w:val="231F20"/>
          <w:w w:val="105"/>
          <w:sz w:val="17"/>
        </w:rPr>
        <w:t>der</w:t>
      </w:r>
      <w:r>
        <w:rPr>
          <w:rFonts w:ascii="Calibri" w:hAnsi="Calibri"/>
          <w:color w:val="231F20"/>
          <w:spacing w:val="-19"/>
          <w:w w:val="105"/>
          <w:sz w:val="17"/>
        </w:rPr>
        <w:t> </w:t>
      </w:r>
      <w:r>
        <w:rPr>
          <w:rFonts w:ascii="Calibri" w:hAnsi="Calibri"/>
          <w:color w:val="231F20"/>
          <w:w w:val="105"/>
          <w:sz w:val="17"/>
        </w:rPr>
        <w:t>Neutralisierungen</w:t>
      </w:r>
      <w:r>
        <w:rPr>
          <w:rFonts w:ascii="Calibri" w:hAnsi="Calibri"/>
          <w:color w:val="231F20"/>
          <w:spacing w:val="-19"/>
          <w:w w:val="105"/>
          <w:sz w:val="17"/>
        </w:rPr>
        <w:t> </w:t>
      </w:r>
      <w:r>
        <w:rPr>
          <w:rFonts w:ascii="Calibri" w:hAnsi="Calibri"/>
          <w:color w:val="231F20"/>
          <w:w w:val="105"/>
          <w:sz w:val="17"/>
        </w:rPr>
        <w:t>und</w:t>
      </w:r>
      <w:r>
        <w:rPr>
          <w:rFonts w:ascii="Calibri" w:hAnsi="Calibri"/>
          <w:color w:val="231F20"/>
          <w:spacing w:val="-19"/>
          <w:w w:val="105"/>
          <w:sz w:val="17"/>
        </w:rPr>
        <w:t> </w:t>
      </w:r>
      <w:r>
        <w:rPr>
          <w:rFonts w:ascii="Calibri" w:hAnsi="Calibri"/>
          <w:color w:val="231F20"/>
          <w:w w:val="105"/>
          <w:sz w:val="17"/>
        </w:rPr>
        <w:t>Entpolitisierungen” (1929),</w:t>
      </w:r>
      <w:r>
        <w:rPr>
          <w:rFonts w:ascii="Calibri" w:hAnsi="Calibri"/>
          <w:color w:val="231F20"/>
          <w:spacing w:val="-28"/>
          <w:w w:val="105"/>
          <w:sz w:val="17"/>
        </w:rPr>
        <w:t> </w:t>
      </w:r>
      <w:r>
        <w:rPr>
          <w:rFonts w:ascii="Calibri" w:hAnsi="Calibri"/>
          <w:i/>
          <w:color w:val="231F20"/>
          <w:w w:val="105"/>
          <w:sz w:val="17"/>
        </w:rPr>
        <w:t>Der</w:t>
      </w:r>
      <w:r>
        <w:rPr>
          <w:rFonts w:ascii="Calibri" w:hAnsi="Calibri"/>
          <w:i/>
          <w:color w:val="231F20"/>
          <w:spacing w:val="-28"/>
          <w:w w:val="105"/>
          <w:sz w:val="17"/>
        </w:rPr>
        <w:t> </w:t>
      </w:r>
      <w:r>
        <w:rPr>
          <w:rFonts w:ascii="Calibri" w:hAnsi="Calibri"/>
          <w:i/>
          <w:color w:val="231F20"/>
          <w:w w:val="105"/>
          <w:sz w:val="17"/>
        </w:rPr>
        <w:t>Begriff</w:t>
      </w:r>
      <w:r>
        <w:rPr>
          <w:rFonts w:ascii="Calibri" w:hAnsi="Calibri"/>
          <w:i/>
          <w:color w:val="231F20"/>
          <w:spacing w:val="-28"/>
          <w:w w:val="105"/>
          <w:sz w:val="17"/>
        </w:rPr>
        <w:t> </w:t>
      </w:r>
      <w:r>
        <w:rPr>
          <w:rFonts w:ascii="Calibri" w:hAnsi="Calibri"/>
          <w:i/>
          <w:color w:val="231F20"/>
          <w:w w:val="105"/>
          <w:sz w:val="17"/>
        </w:rPr>
        <w:t>des</w:t>
      </w:r>
      <w:r>
        <w:rPr>
          <w:rFonts w:ascii="Calibri" w:hAnsi="Calibri"/>
          <w:i/>
          <w:color w:val="231F20"/>
          <w:spacing w:val="-28"/>
          <w:w w:val="105"/>
          <w:sz w:val="17"/>
        </w:rPr>
        <w:t> </w:t>
      </w:r>
      <w:r>
        <w:rPr>
          <w:rFonts w:ascii="Calibri" w:hAnsi="Calibri"/>
          <w:i/>
          <w:color w:val="231F20"/>
          <w:w w:val="105"/>
          <w:sz w:val="17"/>
        </w:rPr>
        <w:t>Politischen</w:t>
      </w:r>
      <w:r>
        <w:rPr>
          <w:rFonts w:ascii="Calibri" w:hAnsi="Calibri"/>
          <w:color w:val="231F20"/>
          <w:w w:val="105"/>
          <w:sz w:val="17"/>
        </w:rPr>
        <w:t>,</w:t>
      </w:r>
      <w:r>
        <w:rPr>
          <w:rFonts w:ascii="Calibri" w:hAnsi="Calibri"/>
          <w:color w:val="231F20"/>
          <w:spacing w:val="-28"/>
          <w:w w:val="105"/>
          <w:sz w:val="17"/>
        </w:rPr>
        <w:t> </w:t>
      </w:r>
      <w:r>
        <w:rPr>
          <w:rFonts w:ascii="Calibri" w:hAnsi="Calibri"/>
          <w:color w:val="231F20"/>
          <w:w w:val="105"/>
          <w:sz w:val="17"/>
        </w:rPr>
        <w:t>(trad.</w:t>
      </w:r>
      <w:r>
        <w:rPr>
          <w:rFonts w:ascii="Calibri" w:hAnsi="Calibri"/>
          <w:color w:val="231F20"/>
          <w:spacing w:val="-28"/>
          <w:w w:val="105"/>
          <w:sz w:val="17"/>
        </w:rPr>
        <w:t> </w:t>
      </w:r>
      <w:r>
        <w:rPr>
          <w:rFonts w:ascii="Calibri" w:hAnsi="Calibri"/>
          <w:color w:val="231F20"/>
          <w:w w:val="105"/>
          <w:sz w:val="17"/>
        </w:rPr>
        <w:t>it.</w:t>
      </w:r>
      <w:r>
        <w:rPr>
          <w:rFonts w:ascii="Calibri" w:hAnsi="Calibri"/>
          <w:color w:val="231F20"/>
          <w:spacing w:val="-28"/>
          <w:w w:val="105"/>
          <w:sz w:val="17"/>
        </w:rPr>
        <w:t> </w:t>
      </w:r>
      <w:r>
        <w:rPr>
          <w:rFonts w:ascii="Calibri" w:hAnsi="Calibri"/>
          <w:i/>
          <w:color w:val="231F20"/>
          <w:spacing w:val="-5"/>
          <w:w w:val="105"/>
          <w:sz w:val="17"/>
        </w:rPr>
        <w:t>L’epoca</w:t>
      </w:r>
      <w:r>
        <w:rPr>
          <w:rFonts w:ascii="Calibri" w:hAnsi="Calibri"/>
          <w:i/>
          <w:color w:val="231F20"/>
          <w:spacing w:val="-28"/>
          <w:w w:val="105"/>
          <w:sz w:val="17"/>
        </w:rPr>
        <w:t> </w:t>
      </w:r>
      <w:r>
        <w:rPr>
          <w:rFonts w:ascii="Calibri" w:hAnsi="Calibri"/>
          <w:i/>
          <w:color w:val="231F20"/>
          <w:w w:val="105"/>
          <w:sz w:val="17"/>
        </w:rPr>
        <w:t>delle</w:t>
      </w:r>
      <w:r>
        <w:rPr>
          <w:rFonts w:ascii="Calibri" w:hAnsi="Calibri"/>
          <w:i/>
          <w:color w:val="231F20"/>
          <w:spacing w:val="-28"/>
          <w:w w:val="105"/>
          <w:sz w:val="17"/>
        </w:rPr>
        <w:t> </w:t>
      </w:r>
      <w:r>
        <w:rPr>
          <w:rFonts w:ascii="Calibri" w:hAnsi="Calibri"/>
          <w:i/>
          <w:color w:val="231F20"/>
          <w:w w:val="105"/>
          <w:sz w:val="17"/>
        </w:rPr>
        <w:t>neutralizzazioni</w:t>
      </w:r>
      <w:r>
        <w:rPr>
          <w:rFonts w:ascii="Calibri" w:hAnsi="Calibri"/>
          <w:i/>
          <w:color w:val="231F20"/>
          <w:spacing w:val="-28"/>
          <w:w w:val="105"/>
          <w:sz w:val="17"/>
        </w:rPr>
        <w:t> </w:t>
      </w:r>
      <w:r>
        <w:rPr>
          <w:rFonts w:ascii="Calibri" w:hAnsi="Calibri"/>
          <w:i/>
          <w:color w:val="231F20"/>
          <w:w w:val="105"/>
          <w:sz w:val="17"/>
        </w:rPr>
        <w:t>e</w:t>
      </w:r>
      <w:r>
        <w:rPr>
          <w:rFonts w:ascii="Calibri" w:hAnsi="Calibri"/>
          <w:i/>
          <w:color w:val="231F20"/>
          <w:spacing w:val="-28"/>
          <w:w w:val="105"/>
          <w:sz w:val="17"/>
        </w:rPr>
        <w:t> </w:t>
      </w:r>
      <w:r>
        <w:rPr>
          <w:rFonts w:ascii="Calibri" w:hAnsi="Calibri"/>
          <w:i/>
          <w:color w:val="231F20"/>
          <w:w w:val="105"/>
          <w:sz w:val="17"/>
        </w:rPr>
        <w:t>delle</w:t>
      </w:r>
      <w:r>
        <w:rPr>
          <w:rFonts w:ascii="Calibri" w:hAnsi="Calibri"/>
          <w:i/>
          <w:color w:val="231F20"/>
          <w:spacing w:val="-28"/>
          <w:w w:val="105"/>
          <w:sz w:val="17"/>
        </w:rPr>
        <w:t> </w:t>
      </w:r>
      <w:r>
        <w:rPr>
          <w:rFonts w:ascii="Calibri" w:hAnsi="Calibri"/>
          <w:i/>
          <w:color w:val="231F20"/>
          <w:w w:val="105"/>
          <w:sz w:val="17"/>
        </w:rPr>
        <w:t>spoliticizazioni</w:t>
      </w:r>
      <w:r>
        <w:rPr>
          <w:rFonts w:ascii="Calibri" w:hAnsi="Calibri"/>
          <w:color w:val="231F20"/>
          <w:w w:val="105"/>
          <w:sz w:val="17"/>
        </w:rPr>
        <w:t>,</w:t>
      </w:r>
      <w:r>
        <w:rPr>
          <w:rFonts w:ascii="Calibri" w:hAnsi="Calibri"/>
          <w:color w:val="231F20"/>
          <w:spacing w:val="-28"/>
          <w:w w:val="105"/>
          <w:sz w:val="17"/>
        </w:rPr>
        <w:t> </w:t>
      </w:r>
      <w:r>
        <w:rPr>
          <w:rFonts w:ascii="Calibri" w:hAnsi="Calibri"/>
          <w:color w:val="231F20"/>
          <w:w w:val="105"/>
          <w:sz w:val="17"/>
        </w:rPr>
        <w:t>en</w:t>
      </w:r>
      <w:r>
        <w:rPr>
          <w:rFonts w:ascii="Calibri" w:hAnsi="Calibri"/>
          <w:color w:val="231F20"/>
          <w:spacing w:val="-28"/>
          <w:w w:val="105"/>
          <w:sz w:val="17"/>
        </w:rPr>
        <w:t> </w:t>
      </w:r>
      <w:r>
        <w:rPr>
          <w:rFonts w:ascii="Calibri" w:hAnsi="Calibri"/>
          <w:i/>
          <w:color w:val="231F20"/>
          <w:w w:val="105"/>
          <w:sz w:val="17"/>
        </w:rPr>
        <w:t>Le </w:t>
      </w:r>
      <w:r>
        <w:rPr>
          <w:rFonts w:ascii="Calibri" w:hAnsi="Calibri"/>
          <w:i/>
          <w:color w:val="231F20"/>
          <w:w w:val="105"/>
          <w:sz w:val="17"/>
        </w:rPr>
        <w:t>categorie</w:t>
      </w:r>
      <w:r>
        <w:rPr>
          <w:rFonts w:ascii="Calibri" w:hAnsi="Calibri"/>
          <w:i/>
          <w:color w:val="231F20"/>
          <w:spacing w:val="-15"/>
          <w:w w:val="105"/>
          <w:sz w:val="17"/>
        </w:rPr>
        <w:t> </w:t>
      </w:r>
      <w:r>
        <w:rPr>
          <w:rFonts w:ascii="Calibri" w:hAnsi="Calibri"/>
          <w:i/>
          <w:color w:val="231F20"/>
          <w:w w:val="105"/>
          <w:sz w:val="17"/>
        </w:rPr>
        <w:t>del</w:t>
      </w:r>
      <w:r>
        <w:rPr>
          <w:rFonts w:ascii="Calibri" w:hAnsi="Calibri"/>
          <w:i/>
          <w:color w:val="231F20"/>
          <w:spacing w:val="-15"/>
          <w:w w:val="105"/>
          <w:sz w:val="17"/>
        </w:rPr>
        <w:t> </w:t>
      </w:r>
      <w:r>
        <w:rPr>
          <w:rFonts w:ascii="Calibri" w:hAnsi="Calibri"/>
          <w:i/>
          <w:color w:val="231F20"/>
          <w:w w:val="105"/>
          <w:sz w:val="17"/>
        </w:rPr>
        <w:t>politico</w:t>
      </w:r>
      <w:r>
        <w:rPr>
          <w:rFonts w:ascii="Calibri" w:hAnsi="Calibri"/>
          <w:color w:val="231F20"/>
          <w:w w:val="105"/>
          <w:sz w:val="17"/>
        </w:rPr>
        <w:t>,</w:t>
      </w:r>
      <w:r>
        <w:rPr>
          <w:rFonts w:ascii="Calibri" w:hAnsi="Calibri"/>
          <w:color w:val="231F20"/>
          <w:spacing w:val="-15"/>
          <w:w w:val="105"/>
          <w:sz w:val="17"/>
        </w:rPr>
        <w:t> </w:t>
      </w:r>
      <w:r>
        <w:rPr>
          <w:rFonts w:ascii="Calibri" w:hAnsi="Calibri"/>
          <w:color w:val="231F20"/>
          <w:w w:val="105"/>
          <w:sz w:val="17"/>
        </w:rPr>
        <w:t>cit.,</w:t>
      </w:r>
      <w:r>
        <w:rPr>
          <w:rFonts w:ascii="Calibri" w:hAnsi="Calibri"/>
          <w:color w:val="231F20"/>
          <w:spacing w:val="-15"/>
          <w:w w:val="105"/>
          <w:sz w:val="17"/>
        </w:rPr>
        <w:t> </w:t>
      </w:r>
      <w:r>
        <w:rPr>
          <w:rFonts w:ascii="Calibri" w:hAnsi="Calibri"/>
          <w:color w:val="231F20"/>
          <w:w w:val="105"/>
          <w:sz w:val="17"/>
        </w:rPr>
        <w:t>pp.</w:t>
      </w:r>
      <w:r>
        <w:rPr>
          <w:rFonts w:ascii="Calibri" w:hAnsi="Calibri"/>
          <w:color w:val="231F20"/>
          <w:spacing w:val="-15"/>
          <w:w w:val="105"/>
          <w:sz w:val="17"/>
        </w:rPr>
        <w:t> </w:t>
      </w:r>
      <w:r>
        <w:rPr>
          <w:rFonts w:ascii="Calibri" w:hAnsi="Calibri"/>
          <w:color w:val="231F20"/>
          <w:w w:val="105"/>
          <w:sz w:val="17"/>
        </w:rPr>
        <w:t>167–183,</w:t>
      </w:r>
      <w:r>
        <w:rPr>
          <w:rFonts w:ascii="Calibri" w:hAnsi="Calibri"/>
          <w:color w:val="231F20"/>
          <w:spacing w:val="-15"/>
          <w:w w:val="105"/>
          <w:sz w:val="17"/>
        </w:rPr>
        <w:t> </w:t>
      </w:r>
      <w:r>
        <w:rPr>
          <w:rFonts w:ascii="Calibri" w:hAnsi="Calibri"/>
          <w:color w:val="231F20"/>
          <w:w w:val="105"/>
          <w:sz w:val="17"/>
        </w:rPr>
        <w:t>in</w:t>
      </w:r>
      <w:r>
        <w:rPr>
          <w:rFonts w:ascii="Calibri" w:hAnsi="Calibri"/>
          <w:color w:val="231F20"/>
          <w:spacing w:val="-15"/>
          <w:w w:val="105"/>
          <w:sz w:val="17"/>
        </w:rPr>
        <w:t> </w:t>
      </w:r>
      <w:r>
        <w:rPr>
          <w:rFonts w:ascii="Calibri" w:hAnsi="Calibri"/>
          <w:color w:val="231F20"/>
          <w:w w:val="105"/>
          <w:sz w:val="17"/>
        </w:rPr>
        <w:t>part.</w:t>
      </w:r>
      <w:r>
        <w:rPr>
          <w:rFonts w:ascii="Calibri" w:hAnsi="Calibri"/>
          <w:color w:val="231F20"/>
          <w:spacing w:val="-15"/>
          <w:w w:val="105"/>
          <w:sz w:val="17"/>
        </w:rPr>
        <w:t> </w:t>
      </w:r>
      <w:r>
        <w:rPr>
          <w:rFonts w:ascii="Calibri" w:hAnsi="Calibri"/>
          <w:color w:val="231F20"/>
          <w:w w:val="105"/>
          <w:sz w:val="17"/>
        </w:rPr>
        <w:t>p.</w:t>
      </w:r>
      <w:r>
        <w:rPr>
          <w:rFonts w:ascii="Calibri" w:hAnsi="Calibri"/>
          <w:color w:val="231F20"/>
          <w:spacing w:val="-15"/>
          <w:w w:val="105"/>
          <w:sz w:val="17"/>
        </w:rPr>
        <w:t> </w:t>
      </w:r>
      <w:r>
        <w:rPr>
          <w:rFonts w:ascii="Calibri" w:hAnsi="Calibri"/>
          <w:color w:val="231F20"/>
          <w:w w:val="105"/>
          <w:sz w:val="17"/>
        </w:rPr>
        <w:t>182):</w:t>
      </w:r>
      <w:r>
        <w:rPr>
          <w:rFonts w:ascii="Calibri" w:hAnsi="Calibri"/>
          <w:color w:val="231F20"/>
          <w:spacing w:val="-15"/>
          <w:w w:val="105"/>
          <w:sz w:val="17"/>
        </w:rPr>
        <w:t> </w:t>
      </w:r>
      <w:r>
        <w:rPr>
          <w:rFonts w:ascii="Calibri" w:hAnsi="Calibri"/>
          <w:color w:val="231F20"/>
          <w:w w:val="105"/>
          <w:sz w:val="17"/>
        </w:rPr>
        <w:t>“Ya</w:t>
      </w:r>
      <w:r>
        <w:rPr>
          <w:rFonts w:ascii="Calibri" w:hAnsi="Calibri"/>
          <w:color w:val="231F20"/>
          <w:spacing w:val="-15"/>
          <w:w w:val="105"/>
          <w:sz w:val="17"/>
        </w:rPr>
        <w:t> </w:t>
      </w:r>
      <w:r>
        <w:rPr>
          <w:rFonts w:ascii="Calibri" w:hAnsi="Calibri"/>
          <w:color w:val="231F20"/>
          <w:w w:val="105"/>
          <w:sz w:val="17"/>
        </w:rPr>
        <w:t>conocemos</w:t>
      </w:r>
      <w:r>
        <w:rPr>
          <w:rFonts w:ascii="Calibri" w:hAnsi="Calibri"/>
          <w:color w:val="231F20"/>
          <w:spacing w:val="-15"/>
          <w:w w:val="105"/>
          <w:sz w:val="17"/>
        </w:rPr>
        <w:t> </w:t>
      </w:r>
      <w:r>
        <w:rPr>
          <w:rFonts w:ascii="Calibri" w:hAnsi="Calibri"/>
          <w:color w:val="231F20"/>
          <w:w w:val="105"/>
          <w:sz w:val="17"/>
        </w:rPr>
        <w:t>la</w:t>
      </w:r>
      <w:r>
        <w:rPr>
          <w:rFonts w:ascii="Calibri" w:hAnsi="Calibri"/>
          <w:color w:val="231F20"/>
          <w:spacing w:val="-15"/>
          <w:w w:val="105"/>
          <w:sz w:val="17"/>
        </w:rPr>
        <w:t> </w:t>
      </w:r>
      <w:r>
        <w:rPr>
          <w:rFonts w:ascii="Calibri" w:hAnsi="Calibri"/>
          <w:color w:val="231F20"/>
          <w:w w:val="105"/>
          <w:sz w:val="17"/>
        </w:rPr>
        <w:t>ley</w:t>
      </w:r>
      <w:r>
        <w:rPr>
          <w:rFonts w:ascii="Calibri" w:hAnsi="Calibri"/>
          <w:color w:val="231F20"/>
          <w:spacing w:val="-15"/>
          <w:w w:val="105"/>
          <w:sz w:val="17"/>
        </w:rPr>
        <w:t> </w:t>
      </w:r>
      <w:r>
        <w:rPr>
          <w:rFonts w:ascii="Calibri" w:hAnsi="Calibri"/>
          <w:color w:val="231F20"/>
          <w:w w:val="105"/>
          <w:sz w:val="17"/>
        </w:rPr>
        <w:t>secreta</w:t>
      </w:r>
      <w:r>
        <w:rPr>
          <w:rFonts w:ascii="Calibri" w:hAnsi="Calibri"/>
          <w:color w:val="231F20"/>
          <w:spacing w:val="-15"/>
          <w:w w:val="105"/>
          <w:sz w:val="17"/>
        </w:rPr>
        <w:t> </w:t>
      </w:r>
      <w:r>
        <w:rPr>
          <w:rFonts w:ascii="Calibri" w:hAnsi="Calibri"/>
          <w:color w:val="231F20"/>
          <w:w w:val="105"/>
          <w:sz w:val="17"/>
        </w:rPr>
        <w:t>de</w:t>
      </w:r>
      <w:r>
        <w:rPr>
          <w:rFonts w:ascii="Calibri" w:hAnsi="Calibri"/>
          <w:color w:val="231F20"/>
          <w:spacing w:val="-15"/>
          <w:w w:val="105"/>
          <w:sz w:val="17"/>
        </w:rPr>
        <w:t> </w:t>
      </w:r>
      <w:r>
        <w:rPr>
          <w:rFonts w:ascii="Calibri" w:hAnsi="Calibri"/>
          <w:color w:val="231F20"/>
          <w:w w:val="105"/>
          <w:sz w:val="17"/>
        </w:rPr>
        <w:t>este</w:t>
      </w:r>
      <w:r>
        <w:rPr>
          <w:rFonts w:ascii="Calibri" w:hAnsi="Calibri"/>
          <w:color w:val="231F20"/>
          <w:spacing w:val="-16"/>
          <w:w w:val="105"/>
          <w:sz w:val="17"/>
        </w:rPr>
        <w:t> </w:t>
      </w:r>
      <w:r>
        <w:rPr>
          <w:rFonts w:ascii="Calibri" w:hAnsi="Calibri"/>
          <w:color w:val="231F20"/>
          <w:w w:val="105"/>
          <w:sz w:val="17"/>
        </w:rPr>
        <w:t>voca- bulario</w:t>
      </w:r>
      <w:r>
        <w:rPr>
          <w:rFonts w:ascii="Calibri" w:hAnsi="Calibri"/>
          <w:color w:val="231F20"/>
          <w:spacing w:val="-10"/>
          <w:w w:val="105"/>
          <w:sz w:val="17"/>
        </w:rPr>
        <w:t> </w:t>
      </w:r>
      <w:r>
        <w:rPr>
          <w:rFonts w:ascii="Calibri" w:hAnsi="Calibri"/>
          <w:color w:val="231F20"/>
          <w:w w:val="105"/>
          <w:sz w:val="17"/>
        </w:rPr>
        <w:t>y</w:t>
      </w:r>
      <w:r>
        <w:rPr>
          <w:rFonts w:ascii="Calibri" w:hAnsi="Calibri"/>
          <w:color w:val="231F20"/>
          <w:spacing w:val="-10"/>
          <w:w w:val="105"/>
          <w:sz w:val="17"/>
        </w:rPr>
        <w:t> </w:t>
      </w:r>
      <w:r>
        <w:rPr>
          <w:rFonts w:ascii="Calibri" w:hAnsi="Calibri"/>
          <w:color w:val="231F20"/>
          <w:w w:val="105"/>
          <w:sz w:val="17"/>
        </w:rPr>
        <w:t>sabemos</w:t>
      </w:r>
      <w:r>
        <w:rPr>
          <w:rFonts w:ascii="Calibri" w:hAnsi="Calibri"/>
          <w:color w:val="231F20"/>
          <w:spacing w:val="-10"/>
          <w:w w:val="105"/>
          <w:sz w:val="17"/>
        </w:rPr>
        <w:t> </w:t>
      </w:r>
      <w:r>
        <w:rPr>
          <w:rFonts w:ascii="Calibri" w:hAnsi="Calibri"/>
          <w:color w:val="231F20"/>
          <w:w w:val="105"/>
          <w:sz w:val="17"/>
        </w:rPr>
        <w:t>que</w:t>
      </w:r>
      <w:r>
        <w:rPr>
          <w:rFonts w:ascii="Calibri" w:hAnsi="Calibri"/>
          <w:color w:val="231F20"/>
          <w:spacing w:val="-10"/>
          <w:w w:val="105"/>
          <w:sz w:val="17"/>
        </w:rPr>
        <w:t> </w:t>
      </w:r>
      <w:r>
        <w:rPr>
          <w:rFonts w:ascii="Calibri" w:hAnsi="Calibri"/>
          <w:color w:val="231F20"/>
          <w:w w:val="105"/>
          <w:sz w:val="17"/>
        </w:rPr>
        <w:t>hoy</w:t>
      </w:r>
      <w:r>
        <w:rPr>
          <w:rFonts w:ascii="Calibri" w:hAnsi="Calibri"/>
          <w:color w:val="231F20"/>
          <w:spacing w:val="-10"/>
          <w:w w:val="105"/>
          <w:sz w:val="17"/>
        </w:rPr>
        <w:t> </w:t>
      </w:r>
      <w:r>
        <w:rPr>
          <w:rFonts w:ascii="Calibri" w:hAnsi="Calibri"/>
          <w:color w:val="231F20"/>
          <w:w w:val="105"/>
          <w:sz w:val="17"/>
        </w:rPr>
        <w:t>la</w:t>
      </w:r>
      <w:r>
        <w:rPr>
          <w:rFonts w:ascii="Calibri" w:hAnsi="Calibri"/>
          <w:color w:val="231F20"/>
          <w:spacing w:val="-10"/>
          <w:w w:val="105"/>
          <w:sz w:val="17"/>
        </w:rPr>
        <w:t> </w:t>
      </w:r>
      <w:r>
        <w:rPr>
          <w:rFonts w:ascii="Calibri" w:hAnsi="Calibri"/>
          <w:color w:val="231F20"/>
          <w:w w:val="105"/>
          <w:sz w:val="17"/>
        </w:rPr>
        <w:t>guerra</w:t>
      </w:r>
      <w:r>
        <w:rPr>
          <w:rFonts w:ascii="Calibri" w:hAnsi="Calibri"/>
          <w:color w:val="231F20"/>
          <w:spacing w:val="-10"/>
          <w:w w:val="105"/>
          <w:sz w:val="17"/>
        </w:rPr>
        <w:t> </w:t>
      </w:r>
      <w:r>
        <w:rPr>
          <w:rFonts w:ascii="Calibri" w:hAnsi="Calibri"/>
          <w:color w:val="231F20"/>
          <w:w w:val="105"/>
          <w:sz w:val="17"/>
        </w:rPr>
        <w:t>más</w:t>
      </w:r>
      <w:r>
        <w:rPr>
          <w:rFonts w:ascii="Calibri" w:hAnsi="Calibri"/>
          <w:color w:val="231F20"/>
          <w:spacing w:val="-10"/>
          <w:w w:val="105"/>
          <w:sz w:val="17"/>
        </w:rPr>
        <w:t> </w:t>
      </w:r>
      <w:r>
        <w:rPr>
          <w:rFonts w:ascii="Calibri" w:hAnsi="Calibri"/>
          <w:color w:val="231F20"/>
          <w:w w:val="105"/>
          <w:sz w:val="17"/>
        </w:rPr>
        <w:t>terrible</w:t>
      </w:r>
      <w:r>
        <w:rPr>
          <w:rFonts w:ascii="Calibri" w:hAnsi="Calibri"/>
          <w:color w:val="231F20"/>
          <w:spacing w:val="-10"/>
          <w:w w:val="105"/>
          <w:sz w:val="17"/>
        </w:rPr>
        <w:t> </w:t>
      </w:r>
      <w:r>
        <w:rPr>
          <w:rFonts w:ascii="Calibri" w:hAnsi="Calibri"/>
          <w:color w:val="231F20"/>
          <w:w w:val="105"/>
          <w:sz w:val="17"/>
        </w:rPr>
        <w:t>puede</w:t>
      </w:r>
      <w:r>
        <w:rPr>
          <w:rFonts w:ascii="Calibri" w:hAnsi="Calibri"/>
          <w:color w:val="231F20"/>
          <w:spacing w:val="-10"/>
          <w:w w:val="105"/>
          <w:sz w:val="17"/>
        </w:rPr>
        <w:t> </w:t>
      </w:r>
      <w:r>
        <w:rPr>
          <w:rFonts w:ascii="Calibri" w:hAnsi="Calibri"/>
          <w:color w:val="231F20"/>
          <w:w w:val="105"/>
          <w:sz w:val="17"/>
        </w:rPr>
        <w:t>ser</w:t>
      </w:r>
      <w:r>
        <w:rPr>
          <w:rFonts w:ascii="Calibri" w:hAnsi="Calibri"/>
          <w:color w:val="231F20"/>
          <w:spacing w:val="-10"/>
          <w:w w:val="105"/>
          <w:sz w:val="17"/>
        </w:rPr>
        <w:t> </w:t>
      </w:r>
      <w:r>
        <w:rPr>
          <w:rFonts w:ascii="Calibri" w:hAnsi="Calibri"/>
          <w:color w:val="231F20"/>
          <w:w w:val="105"/>
          <w:sz w:val="17"/>
        </w:rPr>
        <w:t>realizada</w:t>
      </w:r>
      <w:r>
        <w:rPr>
          <w:rFonts w:ascii="Calibri" w:hAnsi="Calibri"/>
          <w:color w:val="231F20"/>
          <w:spacing w:val="-10"/>
          <w:w w:val="105"/>
          <w:sz w:val="17"/>
        </w:rPr>
        <w:t> </w:t>
      </w:r>
      <w:r>
        <w:rPr>
          <w:rFonts w:ascii="Calibri" w:hAnsi="Calibri"/>
          <w:color w:val="231F20"/>
          <w:w w:val="105"/>
          <w:sz w:val="17"/>
        </w:rPr>
        <w:t>sólo</w:t>
      </w:r>
      <w:r>
        <w:rPr>
          <w:rFonts w:ascii="Calibri" w:hAnsi="Calibri"/>
          <w:color w:val="231F20"/>
          <w:spacing w:val="-10"/>
          <w:w w:val="105"/>
          <w:sz w:val="17"/>
        </w:rPr>
        <w:t> </w:t>
      </w:r>
      <w:r>
        <w:rPr>
          <w:rFonts w:ascii="Calibri" w:hAnsi="Calibri"/>
          <w:color w:val="231F20"/>
          <w:w w:val="105"/>
          <w:sz w:val="17"/>
        </w:rPr>
        <w:t>en</w:t>
      </w:r>
      <w:r>
        <w:rPr>
          <w:rFonts w:ascii="Calibri" w:hAnsi="Calibri"/>
          <w:color w:val="231F20"/>
          <w:spacing w:val="-10"/>
          <w:w w:val="105"/>
          <w:sz w:val="17"/>
        </w:rPr>
        <w:t> </w:t>
      </w:r>
      <w:r>
        <w:rPr>
          <w:rFonts w:ascii="Calibri" w:hAnsi="Calibri"/>
          <w:color w:val="231F20"/>
          <w:w w:val="105"/>
          <w:sz w:val="17"/>
        </w:rPr>
        <w:t>nombre</w:t>
      </w:r>
      <w:r>
        <w:rPr>
          <w:rFonts w:ascii="Calibri" w:hAnsi="Calibri"/>
          <w:color w:val="231F20"/>
          <w:spacing w:val="-10"/>
          <w:w w:val="105"/>
          <w:sz w:val="17"/>
        </w:rPr>
        <w:t> </w:t>
      </w:r>
      <w:r>
        <w:rPr>
          <w:rFonts w:ascii="Calibri" w:hAnsi="Calibri"/>
          <w:color w:val="231F20"/>
          <w:w w:val="105"/>
          <w:sz w:val="17"/>
        </w:rPr>
        <w:t>de</w:t>
      </w:r>
      <w:r>
        <w:rPr>
          <w:rFonts w:ascii="Calibri" w:hAnsi="Calibri"/>
          <w:color w:val="231F20"/>
          <w:spacing w:val="-10"/>
          <w:w w:val="105"/>
          <w:sz w:val="17"/>
        </w:rPr>
        <w:t> </w:t>
      </w:r>
      <w:r>
        <w:rPr>
          <w:rFonts w:ascii="Calibri" w:hAnsi="Calibri"/>
          <w:color w:val="231F20"/>
          <w:w w:val="105"/>
          <w:sz w:val="17"/>
        </w:rPr>
        <w:t>la</w:t>
      </w:r>
      <w:r>
        <w:rPr>
          <w:rFonts w:ascii="Calibri" w:hAnsi="Calibri"/>
          <w:color w:val="231F20"/>
          <w:spacing w:val="-10"/>
          <w:w w:val="105"/>
          <w:sz w:val="17"/>
        </w:rPr>
        <w:t> </w:t>
      </w:r>
      <w:r>
        <w:rPr>
          <w:rFonts w:ascii="Calibri" w:hAnsi="Calibri"/>
          <w:color w:val="231F20"/>
          <w:w w:val="105"/>
          <w:sz w:val="17"/>
        </w:rPr>
        <w:t>paz,</w:t>
      </w:r>
      <w:r>
        <w:rPr>
          <w:rFonts w:ascii="Calibri" w:hAnsi="Calibri"/>
          <w:color w:val="231F20"/>
          <w:spacing w:val="-10"/>
          <w:w w:val="105"/>
          <w:sz w:val="17"/>
        </w:rPr>
        <w:t> </w:t>
      </w:r>
      <w:r>
        <w:rPr>
          <w:rFonts w:ascii="Calibri" w:hAnsi="Calibri"/>
          <w:color w:val="231F20"/>
          <w:w w:val="105"/>
          <w:sz w:val="17"/>
        </w:rPr>
        <w:t>la opresión más espeluznante sólo en nombre de la libertad y la inhumanidad más abierta sólo en nombre</w:t>
      </w:r>
      <w:r>
        <w:rPr>
          <w:rFonts w:ascii="Calibri" w:hAnsi="Calibri"/>
          <w:color w:val="231F20"/>
          <w:spacing w:val="-27"/>
          <w:w w:val="105"/>
          <w:sz w:val="17"/>
        </w:rPr>
        <w:t> </w:t>
      </w:r>
      <w:r>
        <w:rPr>
          <w:rFonts w:ascii="Calibri" w:hAnsi="Calibri"/>
          <w:color w:val="231F20"/>
          <w:w w:val="105"/>
          <w:sz w:val="17"/>
        </w:rPr>
        <w:t>de</w:t>
      </w:r>
      <w:r>
        <w:rPr>
          <w:rFonts w:ascii="Calibri" w:hAnsi="Calibri"/>
          <w:color w:val="231F20"/>
          <w:spacing w:val="-27"/>
          <w:w w:val="105"/>
          <w:sz w:val="17"/>
        </w:rPr>
        <w:t> </w:t>
      </w:r>
      <w:r>
        <w:rPr>
          <w:rFonts w:ascii="Calibri" w:hAnsi="Calibri"/>
          <w:color w:val="231F20"/>
          <w:w w:val="105"/>
          <w:sz w:val="17"/>
        </w:rPr>
        <w:t>la</w:t>
      </w:r>
      <w:r>
        <w:rPr>
          <w:rFonts w:ascii="Calibri" w:hAnsi="Calibri"/>
          <w:color w:val="231F20"/>
          <w:spacing w:val="-27"/>
          <w:w w:val="105"/>
          <w:sz w:val="17"/>
        </w:rPr>
        <w:t> </w:t>
      </w:r>
      <w:r>
        <w:rPr>
          <w:rFonts w:ascii="Calibri" w:hAnsi="Calibri"/>
          <w:color w:val="231F20"/>
          <w:w w:val="105"/>
          <w:sz w:val="17"/>
        </w:rPr>
        <w:t>humanidad”.</w:t>
      </w:r>
    </w:p>
    <w:p>
      <w:pPr>
        <w:pStyle w:val="BodyText"/>
        <w:rPr>
          <w:rFonts w:ascii="Calibri"/>
          <w:sz w:val="20"/>
        </w:rPr>
      </w:pPr>
    </w:p>
    <w:p>
      <w:pPr>
        <w:pStyle w:val="BodyText"/>
        <w:spacing w:before="10"/>
        <w:rPr>
          <w:rFonts w:ascii="Calibri"/>
          <w:sz w:val="27"/>
        </w:rPr>
      </w:pPr>
    </w:p>
    <w:p>
      <w:pPr>
        <w:tabs>
          <w:tab w:pos="1331" w:val="left" w:leader="none"/>
        </w:tabs>
        <w:spacing w:before="68"/>
        <w:ind w:left="226" w:right="0" w:firstLine="0"/>
        <w:jc w:val="left"/>
        <w:rPr>
          <w:rFonts w:ascii="Calibri"/>
          <w:sz w:val="16"/>
        </w:rPr>
      </w:pPr>
      <w:r>
        <w:rPr/>
        <w:pict>
          <v:group style="position:absolute;margin-left:98.787804pt;margin-top:-3.358812pt;width:20.4pt;height:43pt;mso-position-horizontal-relative:page;mso-position-vertical-relative:paragraph;z-index:-167656"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w w:val="105"/>
          <w:position w:val="-4"/>
          <w:sz w:val="20"/>
        </w:rPr>
        <w:t>152</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182"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779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ASUNTOS</w:t>
      </w:r>
      <w:r>
        <w:rPr>
          <w:rFonts w:ascii="Lucida Sans Unicode" w:hAnsi="Lucida Sans Unicode"/>
          <w:color w:val="6D6E71"/>
          <w:spacing w:val="-30"/>
          <w:w w:val="95"/>
          <w:sz w:val="14"/>
        </w:rPr>
        <w:t> </w:t>
      </w:r>
      <w:r>
        <w:rPr>
          <w:rFonts w:ascii="Lucida Sans Unicode" w:hAnsi="Lucida Sans Unicode"/>
          <w:color w:val="6D6E71"/>
          <w:w w:val="95"/>
          <w:sz w:val="14"/>
        </w:rPr>
        <w:t>DE</w:t>
      </w:r>
      <w:r>
        <w:rPr>
          <w:rFonts w:ascii="Lucida Sans Unicode" w:hAnsi="Lucida Sans Unicode"/>
          <w:color w:val="6D6E71"/>
          <w:spacing w:val="-30"/>
          <w:w w:val="95"/>
          <w:sz w:val="14"/>
        </w:rPr>
        <w:t> </w:t>
      </w:r>
      <w:r>
        <w:rPr>
          <w:rFonts w:ascii="Lucida Sans Unicode" w:hAnsi="Lucida Sans Unicode"/>
          <w:color w:val="6D6E71"/>
          <w:w w:val="95"/>
          <w:sz w:val="14"/>
        </w:rPr>
        <w:t>FRONTERA.</w:t>
      </w:r>
      <w:r>
        <w:rPr>
          <w:rFonts w:ascii="Lucida Sans Unicode" w:hAnsi="Lucida Sans Unicode"/>
          <w:color w:val="6D6E71"/>
          <w:spacing w:val="-30"/>
          <w:w w:val="95"/>
          <w:sz w:val="14"/>
        </w:rPr>
        <w:t> </w:t>
      </w:r>
      <w:r>
        <w:rPr>
          <w:rFonts w:ascii="Lucida Sans Unicode" w:hAnsi="Lucida Sans Unicode"/>
          <w:color w:val="6D6E71"/>
          <w:w w:val="95"/>
          <w:sz w:val="14"/>
        </w:rPr>
        <w:t>SOBERANÍA</w:t>
      </w:r>
      <w:r>
        <w:rPr>
          <w:rFonts w:ascii="Lucida Sans Unicode" w:hAnsi="Lucida Sans Unicode"/>
          <w:color w:val="6D6E71"/>
          <w:spacing w:val="-30"/>
          <w:w w:val="95"/>
          <w:sz w:val="14"/>
        </w:rPr>
        <w:t> </w:t>
      </w:r>
      <w:r>
        <w:rPr>
          <w:rFonts w:ascii="Lucida Sans Unicode" w:hAnsi="Lucida Sans Unicode"/>
          <w:color w:val="6D6E71"/>
          <w:w w:val="95"/>
          <w:sz w:val="14"/>
        </w:rPr>
        <w:t>TERRITORIAL</w:t>
      </w:r>
      <w:r>
        <w:rPr>
          <w:rFonts w:ascii="Lucida Sans Unicode" w:hAnsi="Lucida Sans Unicode"/>
          <w:color w:val="6D6E71"/>
          <w:spacing w:val="-30"/>
          <w:w w:val="95"/>
          <w:sz w:val="14"/>
        </w:rPr>
        <w:t> </w:t>
      </w:r>
      <w:r>
        <w:rPr>
          <w:rFonts w:ascii="Lucida Sans Unicode" w:hAnsi="Lucida Sans Unicode"/>
          <w:color w:val="6D6E71"/>
          <w:w w:val="95"/>
          <w:sz w:val="14"/>
        </w:rPr>
        <w:t>Y</w:t>
      </w:r>
      <w:r>
        <w:rPr>
          <w:rFonts w:ascii="Lucida Sans Unicode" w:hAnsi="Lucida Sans Unicode"/>
          <w:color w:val="6D6E71"/>
          <w:spacing w:val="-30"/>
          <w:w w:val="95"/>
          <w:sz w:val="14"/>
        </w:rPr>
        <w:t> </w:t>
      </w:r>
      <w:r>
        <w:rPr>
          <w:rFonts w:ascii="Lucida Sans Unicode" w:hAnsi="Lucida Sans Unicode"/>
          <w:color w:val="6D6E71"/>
          <w:w w:val="95"/>
          <w:sz w:val="14"/>
        </w:rPr>
        <w:t>ORDEN</w:t>
      </w:r>
      <w:r>
        <w:rPr>
          <w:rFonts w:ascii="Lucida Sans Unicode" w:hAnsi="Lucida Sans Unicode"/>
          <w:color w:val="6D6E71"/>
          <w:spacing w:val="-30"/>
          <w:w w:val="95"/>
          <w:sz w:val="14"/>
        </w:rPr>
        <w:t> </w:t>
      </w:r>
      <w:r>
        <w:rPr>
          <w:rFonts w:ascii="Lucida Sans Unicode" w:hAnsi="Lucida Sans Unicode"/>
          <w:color w:val="6D6E71"/>
          <w:w w:val="95"/>
          <w:sz w:val="14"/>
        </w:rPr>
        <w:t>GLOBAL</w:t>
      </w:r>
      <w:r>
        <w:rPr>
          <w:rFonts w:ascii="Lucida Sans Unicode" w:hAnsi="Lucida Sans Unicode"/>
          <w:color w:val="6D6E71"/>
          <w:spacing w:val="-30"/>
          <w:w w:val="95"/>
          <w:sz w:val="14"/>
        </w:rPr>
        <w:t> </w:t>
      </w:r>
      <w:r>
        <w:rPr>
          <w:rFonts w:ascii="Lucida Sans Unicode" w:hAnsi="Lucida Sans Unicode"/>
          <w:color w:val="6D6E71"/>
          <w:w w:val="95"/>
          <w:sz w:val="14"/>
        </w:rPr>
        <w:t>EN</w:t>
      </w:r>
      <w:r>
        <w:rPr>
          <w:rFonts w:ascii="Lucida Sans Unicode" w:hAnsi="Lucida Sans Unicode"/>
          <w:color w:val="6D6E71"/>
          <w:spacing w:val="-30"/>
          <w:w w:val="95"/>
          <w:sz w:val="14"/>
        </w:rPr>
        <w:t> </w:t>
      </w:r>
      <w:r>
        <w:rPr>
          <w:rFonts w:ascii="Lucida Sans Unicode" w:hAnsi="Lucida Sans Unicode"/>
          <w:color w:val="6D6E71"/>
          <w:w w:val="95"/>
          <w:sz w:val="14"/>
        </w:rPr>
        <w:t>EL</w:t>
      </w:r>
      <w:r>
        <w:rPr>
          <w:rFonts w:ascii="Lucida Sans Unicode" w:hAnsi="Lucida Sans Unicode"/>
          <w:color w:val="6D6E71"/>
          <w:spacing w:val="-30"/>
          <w:w w:val="95"/>
          <w:sz w:val="14"/>
        </w:rPr>
        <w:t> </w:t>
      </w:r>
      <w:r>
        <w:rPr>
          <w:rFonts w:ascii="Lucida Sans Unicode" w:hAnsi="Lucida Sans Unicode"/>
          <w:color w:val="6D6E71"/>
          <w:w w:val="95"/>
          <w:sz w:val="14"/>
        </w:rPr>
        <w:t>DEBATE</w:t>
      </w:r>
    </w:p>
    <w:p>
      <w:pPr>
        <w:spacing w:line="198" w:lineRule="exact" w:before="0"/>
        <w:ind w:left="2963" w:right="-13" w:firstLine="0"/>
        <w:jc w:val="left"/>
        <w:rPr>
          <w:rFonts w:ascii="Lucida Sans Unicode" w:hAnsi="Lucida Sans Unicode"/>
          <w:sz w:val="14"/>
        </w:rPr>
      </w:pPr>
      <w:r>
        <w:rPr>
          <w:rFonts w:ascii="Lucida Sans Unicode" w:hAnsi="Lucida Sans Unicode"/>
          <w:color w:val="6D6E71"/>
          <w:w w:val="90"/>
          <w:sz w:val="14"/>
        </w:rPr>
        <w:t>SOBRE EL “NUEVO INTERVENCIONISMO</w:t>
      </w:r>
      <w:r>
        <w:rPr>
          <w:rFonts w:ascii="Lucida Sans Unicode" w:hAnsi="Lucida Sans Unicode"/>
          <w:color w:val="6D6E71"/>
          <w:spacing w:val="-25"/>
          <w:w w:val="90"/>
          <w:sz w:val="14"/>
        </w:rPr>
        <w:t> </w:t>
      </w:r>
      <w:r>
        <w:rPr>
          <w:rFonts w:ascii="Lucida Sans Unicode" w:hAnsi="Lucida Sans Unicode"/>
          <w:color w:val="6D6E71"/>
          <w:w w:val="90"/>
          <w:sz w:val="14"/>
        </w:rPr>
        <w:t>HUMANITARIO”</w:t>
      </w:r>
    </w:p>
    <w:p>
      <w:pPr>
        <w:spacing w:before="59"/>
        <w:ind w:left="338" w:right="0" w:firstLine="0"/>
        <w:jc w:val="left"/>
        <w:rPr>
          <w:rFonts w:ascii="Arial"/>
          <w:sz w:val="20"/>
        </w:rPr>
      </w:pPr>
      <w:r>
        <w:rPr/>
        <w:br w:type="column"/>
      </w:r>
      <w:r>
        <w:rPr>
          <w:rFonts w:ascii="Arial"/>
          <w:color w:val="414042"/>
          <w:sz w:val="20"/>
        </w:rPr>
        <w:t>153</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1"/>
        <w:rPr>
          <w:rFonts w:ascii="Arial"/>
          <w:sz w:val="16"/>
        </w:rPr>
      </w:pPr>
    </w:p>
    <w:p>
      <w:pPr>
        <w:spacing w:line="220" w:lineRule="exact" w:before="63"/>
        <w:ind w:left="1534" w:right="104" w:firstLine="0"/>
        <w:jc w:val="left"/>
        <w:rPr>
          <w:sz w:val="19"/>
        </w:rPr>
      </w:pPr>
      <w:r>
        <w:rPr>
          <w:color w:val="231F20"/>
          <w:sz w:val="19"/>
        </w:rPr>
        <w:t>este </w:t>
      </w:r>
      <w:r>
        <w:rPr>
          <w:rFonts w:ascii="Arial" w:hAnsi="Arial"/>
          <w:i/>
          <w:color w:val="231F20"/>
          <w:sz w:val="19"/>
        </w:rPr>
        <w:t>police bombing</w:t>
      </w:r>
      <w:r>
        <w:rPr>
          <w:color w:val="231F20"/>
          <w:sz w:val="19"/>
        </w:rPr>
        <w:t>. Así, se obliga a empujar la discriminación del adversario hacia enormes dimensiones</w:t>
      </w:r>
      <w:r>
        <w:rPr>
          <w:color w:val="231F20"/>
          <w:position w:val="7"/>
          <w:sz w:val="11"/>
        </w:rPr>
        <w:t>47</w:t>
      </w:r>
      <w:r>
        <w:rPr>
          <w:color w:val="231F20"/>
          <w:sz w:val="19"/>
        </w:rPr>
        <w:t>.</w:t>
      </w:r>
    </w:p>
    <w:p>
      <w:pPr>
        <w:pStyle w:val="BodyText"/>
        <w:spacing w:before="11"/>
        <w:rPr>
          <w:sz w:val="23"/>
        </w:rPr>
      </w:pPr>
    </w:p>
    <w:p>
      <w:pPr>
        <w:pStyle w:val="BodyText"/>
        <w:spacing w:line="247" w:lineRule="auto"/>
        <w:ind w:left="117" w:right="101"/>
        <w:jc w:val="both"/>
      </w:pPr>
      <w:r>
        <w:rPr>
          <w:color w:val="231F20"/>
          <w:w w:val="105"/>
        </w:rPr>
        <w:t>Son</w:t>
      </w:r>
      <w:r>
        <w:rPr>
          <w:color w:val="231F20"/>
          <w:spacing w:val="-12"/>
          <w:w w:val="105"/>
        </w:rPr>
        <w:t> </w:t>
      </w:r>
      <w:r>
        <w:rPr>
          <w:color w:val="231F20"/>
          <w:w w:val="105"/>
        </w:rPr>
        <w:t>justamente</w:t>
      </w:r>
      <w:r>
        <w:rPr>
          <w:color w:val="231F20"/>
          <w:spacing w:val="-12"/>
          <w:w w:val="105"/>
        </w:rPr>
        <w:t> </w:t>
      </w:r>
      <w:r>
        <w:rPr>
          <w:color w:val="231F20"/>
          <w:w w:val="105"/>
        </w:rPr>
        <w:t>estas</w:t>
      </w:r>
      <w:r>
        <w:rPr>
          <w:color w:val="231F20"/>
          <w:spacing w:val="-12"/>
          <w:w w:val="105"/>
        </w:rPr>
        <w:t> </w:t>
      </w:r>
      <w:r>
        <w:rPr>
          <w:color w:val="231F20"/>
          <w:w w:val="105"/>
        </w:rPr>
        <w:t>líneas</w:t>
      </w:r>
      <w:r>
        <w:rPr>
          <w:color w:val="231F20"/>
          <w:spacing w:val="-12"/>
          <w:w w:val="105"/>
        </w:rPr>
        <w:t> </w:t>
      </w:r>
      <w:r>
        <w:rPr>
          <w:color w:val="231F20"/>
          <w:w w:val="105"/>
        </w:rPr>
        <w:t>de</w:t>
      </w:r>
      <w:r>
        <w:rPr>
          <w:color w:val="231F20"/>
          <w:spacing w:val="-12"/>
          <w:w w:val="105"/>
        </w:rPr>
        <w:t> </w:t>
      </w:r>
      <w:r>
        <w:rPr>
          <w:color w:val="231F20"/>
          <w:w w:val="105"/>
        </w:rPr>
        <w:t>deconstrucción</w:t>
      </w:r>
      <w:r>
        <w:rPr>
          <w:color w:val="231F20"/>
          <w:spacing w:val="-12"/>
          <w:w w:val="105"/>
        </w:rPr>
        <w:t> </w:t>
      </w:r>
      <w:r>
        <w:rPr>
          <w:color w:val="231F20"/>
          <w:w w:val="105"/>
        </w:rPr>
        <w:t>crítica,</w:t>
      </w:r>
      <w:r>
        <w:rPr>
          <w:color w:val="231F20"/>
          <w:spacing w:val="-12"/>
          <w:w w:val="105"/>
        </w:rPr>
        <w:t> </w:t>
      </w:r>
      <w:r>
        <w:rPr>
          <w:color w:val="231F20"/>
          <w:w w:val="105"/>
        </w:rPr>
        <w:t>que</w:t>
      </w:r>
      <w:r>
        <w:rPr>
          <w:color w:val="231F20"/>
          <w:spacing w:val="-12"/>
          <w:w w:val="105"/>
        </w:rPr>
        <w:t> </w:t>
      </w:r>
      <w:r>
        <w:rPr>
          <w:color w:val="231F20"/>
          <w:w w:val="105"/>
        </w:rPr>
        <w:t>encontramos más</w:t>
      </w:r>
      <w:r>
        <w:rPr>
          <w:color w:val="231F20"/>
          <w:spacing w:val="-28"/>
          <w:w w:val="105"/>
        </w:rPr>
        <w:t> </w:t>
      </w:r>
      <w:r>
        <w:rPr>
          <w:color w:val="231F20"/>
          <w:w w:val="105"/>
        </w:rPr>
        <w:t>o</w:t>
      </w:r>
      <w:r>
        <w:rPr>
          <w:color w:val="231F20"/>
          <w:spacing w:val="-28"/>
          <w:w w:val="105"/>
        </w:rPr>
        <w:t> </w:t>
      </w:r>
      <w:r>
        <w:rPr>
          <w:color w:val="231F20"/>
          <w:w w:val="105"/>
        </w:rPr>
        <w:t>menos</w:t>
      </w:r>
      <w:r>
        <w:rPr>
          <w:color w:val="231F20"/>
          <w:spacing w:val="-28"/>
          <w:w w:val="105"/>
        </w:rPr>
        <w:t> </w:t>
      </w:r>
      <w:r>
        <w:rPr>
          <w:color w:val="231F20"/>
          <w:w w:val="105"/>
        </w:rPr>
        <w:t>explícitamente</w:t>
      </w:r>
      <w:r>
        <w:rPr>
          <w:color w:val="231F20"/>
          <w:spacing w:val="-28"/>
          <w:w w:val="105"/>
        </w:rPr>
        <w:t> </w:t>
      </w:r>
      <w:r>
        <w:rPr>
          <w:color w:val="231F20"/>
          <w:w w:val="105"/>
        </w:rPr>
        <w:t>citadas</w:t>
      </w:r>
      <w:r>
        <w:rPr>
          <w:color w:val="231F20"/>
          <w:spacing w:val="-28"/>
          <w:w w:val="105"/>
        </w:rPr>
        <w:t> </w:t>
      </w:r>
      <w:r>
        <w:rPr>
          <w:color w:val="231F20"/>
          <w:w w:val="105"/>
        </w:rPr>
        <w:t>en</w:t>
      </w:r>
      <w:r>
        <w:rPr>
          <w:color w:val="231F20"/>
          <w:spacing w:val="-28"/>
          <w:w w:val="105"/>
        </w:rPr>
        <w:t> </w:t>
      </w:r>
      <w:r>
        <w:rPr>
          <w:color w:val="231F20"/>
          <w:w w:val="105"/>
        </w:rPr>
        <w:t>las</w:t>
      </w:r>
      <w:r>
        <w:rPr>
          <w:color w:val="231F20"/>
          <w:spacing w:val="-28"/>
          <w:w w:val="105"/>
        </w:rPr>
        <w:t> </w:t>
      </w:r>
      <w:r>
        <w:rPr>
          <w:color w:val="231F20"/>
          <w:w w:val="105"/>
        </w:rPr>
        <w:t>muchas</w:t>
      </w:r>
      <w:r>
        <w:rPr>
          <w:color w:val="231F20"/>
          <w:spacing w:val="-28"/>
          <w:w w:val="105"/>
        </w:rPr>
        <w:t> </w:t>
      </w:r>
      <w:r>
        <w:rPr>
          <w:color w:val="231F20"/>
          <w:w w:val="105"/>
        </w:rPr>
        <w:t>reflexiones</w:t>
      </w:r>
      <w:r>
        <w:rPr>
          <w:color w:val="231F20"/>
          <w:spacing w:val="-28"/>
          <w:w w:val="105"/>
        </w:rPr>
        <w:t> </w:t>
      </w:r>
      <w:r>
        <w:rPr>
          <w:color w:val="231F20"/>
          <w:w w:val="105"/>
        </w:rPr>
        <w:t>de</w:t>
      </w:r>
      <w:r>
        <w:rPr>
          <w:color w:val="231F20"/>
          <w:spacing w:val="-28"/>
          <w:w w:val="105"/>
        </w:rPr>
        <w:t> </w:t>
      </w:r>
      <w:r>
        <w:rPr>
          <w:color w:val="231F20"/>
          <w:w w:val="105"/>
        </w:rPr>
        <w:t>inspira- ción</w:t>
      </w:r>
      <w:r>
        <w:rPr>
          <w:color w:val="231F20"/>
          <w:spacing w:val="-25"/>
          <w:w w:val="105"/>
        </w:rPr>
        <w:t> </w:t>
      </w:r>
      <w:r>
        <w:rPr>
          <w:color w:val="231F20"/>
          <w:w w:val="105"/>
        </w:rPr>
        <w:t>“realista”,</w:t>
      </w:r>
      <w:r>
        <w:rPr>
          <w:color w:val="231F20"/>
          <w:spacing w:val="-25"/>
          <w:w w:val="105"/>
        </w:rPr>
        <w:t> </w:t>
      </w:r>
      <w:r>
        <w:rPr>
          <w:color w:val="231F20"/>
          <w:w w:val="105"/>
        </w:rPr>
        <w:t>las</w:t>
      </w:r>
      <w:r>
        <w:rPr>
          <w:color w:val="231F20"/>
          <w:spacing w:val="-25"/>
          <w:w w:val="105"/>
        </w:rPr>
        <w:t> </w:t>
      </w:r>
      <w:r>
        <w:rPr>
          <w:color w:val="231F20"/>
          <w:w w:val="105"/>
        </w:rPr>
        <w:t>que</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curso</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últimos</w:t>
      </w:r>
      <w:r>
        <w:rPr>
          <w:color w:val="231F20"/>
          <w:spacing w:val="-25"/>
          <w:w w:val="105"/>
        </w:rPr>
        <w:t> </w:t>
      </w:r>
      <w:r>
        <w:rPr>
          <w:color w:val="231F20"/>
          <w:w w:val="105"/>
        </w:rPr>
        <w:t>años</w:t>
      </w:r>
      <w:r>
        <w:rPr>
          <w:color w:val="231F20"/>
          <w:spacing w:val="-25"/>
          <w:w w:val="105"/>
        </w:rPr>
        <w:t> </w:t>
      </w:r>
      <w:r>
        <w:rPr>
          <w:color w:val="231F20"/>
          <w:w w:val="105"/>
        </w:rPr>
        <w:t>se</w:t>
      </w:r>
      <w:r>
        <w:rPr>
          <w:color w:val="231F20"/>
          <w:spacing w:val="-25"/>
          <w:w w:val="105"/>
        </w:rPr>
        <w:t> </w:t>
      </w:r>
      <w:r>
        <w:rPr>
          <w:color w:val="231F20"/>
          <w:w w:val="105"/>
        </w:rPr>
        <w:t>han</w:t>
      </w:r>
      <w:r>
        <w:rPr>
          <w:color w:val="231F20"/>
          <w:spacing w:val="-25"/>
          <w:w w:val="105"/>
        </w:rPr>
        <w:t> </w:t>
      </w:r>
      <w:r>
        <w:rPr>
          <w:color w:val="231F20"/>
          <w:w w:val="105"/>
        </w:rPr>
        <w:t>concentrado en</w:t>
      </w:r>
      <w:r>
        <w:rPr>
          <w:color w:val="231F20"/>
          <w:spacing w:val="-42"/>
          <w:w w:val="105"/>
        </w:rPr>
        <w:t> </w:t>
      </w:r>
      <w:r>
        <w:rPr>
          <w:color w:val="231F20"/>
          <w:w w:val="105"/>
        </w:rPr>
        <w:t>el</w:t>
      </w:r>
      <w:r>
        <w:rPr>
          <w:color w:val="231F20"/>
          <w:spacing w:val="-42"/>
          <w:w w:val="105"/>
        </w:rPr>
        <w:t> </w:t>
      </w:r>
      <w:r>
        <w:rPr>
          <w:color w:val="231F20"/>
          <w:w w:val="105"/>
        </w:rPr>
        <w:t>paradigma</w:t>
      </w:r>
      <w:r>
        <w:rPr>
          <w:color w:val="231F20"/>
          <w:spacing w:val="-42"/>
          <w:w w:val="105"/>
        </w:rPr>
        <w:t> </w:t>
      </w:r>
      <w:r>
        <w:rPr>
          <w:color w:val="231F20"/>
          <w:w w:val="105"/>
        </w:rPr>
        <w:t>del</w:t>
      </w:r>
      <w:r>
        <w:rPr>
          <w:color w:val="231F20"/>
          <w:spacing w:val="-42"/>
          <w:w w:val="105"/>
        </w:rPr>
        <w:t> </w:t>
      </w:r>
      <w:r>
        <w:rPr>
          <w:color w:val="231F20"/>
          <w:w w:val="105"/>
        </w:rPr>
        <w:t>intervencionismo</w:t>
      </w:r>
      <w:r>
        <w:rPr>
          <w:color w:val="231F20"/>
          <w:spacing w:val="-42"/>
          <w:w w:val="105"/>
        </w:rPr>
        <w:t> </w:t>
      </w:r>
      <w:r>
        <w:rPr>
          <w:color w:val="231F20"/>
          <w:w w:val="105"/>
        </w:rPr>
        <w:t>humanitario.</w:t>
      </w:r>
      <w:r>
        <w:rPr>
          <w:color w:val="231F20"/>
          <w:spacing w:val="-42"/>
          <w:w w:val="105"/>
        </w:rPr>
        <w:t> </w:t>
      </w:r>
      <w:r>
        <w:rPr>
          <w:color w:val="231F20"/>
          <w:w w:val="105"/>
        </w:rPr>
        <w:t>Como</w:t>
      </w:r>
      <w:r>
        <w:rPr>
          <w:color w:val="231F20"/>
          <w:spacing w:val="-42"/>
          <w:w w:val="105"/>
        </w:rPr>
        <w:t> </w:t>
      </w:r>
      <w:r>
        <w:rPr>
          <w:color w:val="231F20"/>
          <w:w w:val="105"/>
        </w:rPr>
        <w:t>se</w:t>
      </w:r>
      <w:r>
        <w:rPr>
          <w:color w:val="231F20"/>
          <w:spacing w:val="-42"/>
          <w:w w:val="105"/>
        </w:rPr>
        <w:t> </w:t>
      </w:r>
      <w:r>
        <w:rPr>
          <w:color w:val="231F20"/>
          <w:w w:val="105"/>
        </w:rPr>
        <w:t>ha</w:t>
      </w:r>
      <w:r>
        <w:rPr>
          <w:color w:val="231F20"/>
          <w:spacing w:val="-42"/>
          <w:w w:val="105"/>
        </w:rPr>
        <w:t> </w:t>
      </w:r>
      <w:r>
        <w:rPr>
          <w:color w:val="231F20"/>
          <w:w w:val="105"/>
        </w:rPr>
        <w:t>subrayado, aplicadas</w:t>
      </w:r>
      <w:r>
        <w:rPr>
          <w:color w:val="231F20"/>
          <w:spacing w:val="-7"/>
          <w:w w:val="105"/>
        </w:rPr>
        <w:t> </w:t>
      </w:r>
      <w:r>
        <w:rPr>
          <w:color w:val="231F20"/>
          <w:w w:val="105"/>
        </w:rPr>
        <w:t>a</w:t>
      </w:r>
      <w:r>
        <w:rPr>
          <w:color w:val="231F20"/>
          <w:spacing w:val="-7"/>
          <w:w w:val="105"/>
        </w:rPr>
        <w:t> </w:t>
      </w:r>
      <w:r>
        <w:rPr>
          <w:color w:val="231F20"/>
          <w:w w:val="105"/>
        </w:rPr>
        <w:t>eventos</w:t>
      </w:r>
      <w:r>
        <w:rPr>
          <w:color w:val="231F20"/>
          <w:spacing w:val="-7"/>
          <w:w w:val="105"/>
        </w:rPr>
        <w:t> </w:t>
      </w:r>
      <w:r>
        <w:rPr>
          <w:color w:val="231F20"/>
          <w:w w:val="105"/>
        </w:rPr>
        <w:t>contemporáneos,</w:t>
      </w:r>
      <w:r>
        <w:rPr>
          <w:color w:val="231F20"/>
          <w:spacing w:val="-7"/>
          <w:w w:val="105"/>
        </w:rPr>
        <w:t> </w:t>
      </w:r>
      <w:r>
        <w:rPr>
          <w:color w:val="231F20"/>
          <w:w w:val="105"/>
        </w:rPr>
        <w:t>las</w:t>
      </w:r>
      <w:r>
        <w:rPr>
          <w:color w:val="231F20"/>
          <w:spacing w:val="-7"/>
          <w:w w:val="105"/>
        </w:rPr>
        <w:t> </w:t>
      </w:r>
      <w:r>
        <w:rPr>
          <w:color w:val="231F20"/>
          <w:w w:val="105"/>
        </w:rPr>
        <w:t>provocadoras</w:t>
      </w:r>
      <w:r>
        <w:rPr>
          <w:color w:val="231F20"/>
          <w:spacing w:val="-7"/>
          <w:w w:val="105"/>
        </w:rPr>
        <w:t> </w:t>
      </w:r>
      <w:r>
        <w:rPr>
          <w:color w:val="231F20"/>
          <w:w w:val="105"/>
        </w:rPr>
        <w:t>tesis</w:t>
      </w:r>
      <w:r>
        <w:rPr>
          <w:color w:val="231F20"/>
          <w:spacing w:val="-7"/>
          <w:w w:val="105"/>
        </w:rPr>
        <w:t> </w:t>
      </w:r>
      <w:r>
        <w:rPr>
          <w:color w:val="231F20"/>
          <w:w w:val="105"/>
        </w:rPr>
        <w:t>de</w:t>
      </w:r>
      <w:r>
        <w:rPr>
          <w:color w:val="231F20"/>
          <w:spacing w:val="-7"/>
          <w:w w:val="105"/>
        </w:rPr>
        <w:t> </w:t>
      </w:r>
      <w:r>
        <w:rPr>
          <w:color w:val="231F20"/>
          <w:w w:val="105"/>
        </w:rPr>
        <w:t>Schmitt aparecen</w:t>
      </w:r>
      <w:r>
        <w:rPr>
          <w:color w:val="231F20"/>
          <w:spacing w:val="-26"/>
          <w:w w:val="105"/>
        </w:rPr>
        <w:t> </w:t>
      </w:r>
      <w:r>
        <w:rPr>
          <w:color w:val="231F20"/>
          <w:w w:val="105"/>
        </w:rPr>
        <w:t>dotadas</w:t>
      </w:r>
      <w:r>
        <w:rPr>
          <w:color w:val="231F20"/>
          <w:spacing w:val="-26"/>
          <w:w w:val="105"/>
        </w:rPr>
        <w:t> </w:t>
      </w:r>
      <w:r>
        <w:rPr>
          <w:color w:val="231F20"/>
          <w:w w:val="105"/>
        </w:rPr>
        <w:t>todavía</w:t>
      </w:r>
      <w:r>
        <w:rPr>
          <w:color w:val="231F20"/>
          <w:spacing w:val="-26"/>
          <w:w w:val="105"/>
        </w:rPr>
        <w:t> </w:t>
      </w:r>
      <w:r>
        <w:rPr>
          <w:color w:val="231F20"/>
          <w:w w:val="105"/>
        </w:rPr>
        <w:t>de</w:t>
      </w:r>
      <w:r>
        <w:rPr>
          <w:color w:val="231F20"/>
          <w:spacing w:val="-26"/>
          <w:w w:val="105"/>
        </w:rPr>
        <w:t> </w:t>
      </w:r>
      <w:r>
        <w:rPr>
          <w:color w:val="231F20"/>
          <w:w w:val="105"/>
        </w:rPr>
        <w:t>una</w:t>
      </w:r>
      <w:r>
        <w:rPr>
          <w:color w:val="231F20"/>
          <w:spacing w:val="-26"/>
          <w:w w:val="105"/>
        </w:rPr>
        <w:t> </w:t>
      </w:r>
      <w:r>
        <w:rPr>
          <w:color w:val="231F20"/>
          <w:w w:val="105"/>
        </w:rPr>
        <w:t>sorprendente</w:t>
      </w:r>
      <w:r>
        <w:rPr>
          <w:color w:val="231F20"/>
          <w:spacing w:val="-26"/>
          <w:w w:val="105"/>
        </w:rPr>
        <w:t> </w:t>
      </w:r>
      <w:r>
        <w:rPr>
          <w:color w:val="231F20"/>
          <w:w w:val="105"/>
        </w:rPr>
        <w:t>“fuerza</w:t>
      </w:r>
      <w:r>
        <w:rPr>
          <w:color w:val="231F20"/>
          <w:spacing w:val="-26"/>
          <w:w w:val="105"/>
        </w:rPr>
        <w:t> </w:t>
      </w:r>
      <w:r>
        <w:rPr>
          <w:color w:val="231F20"/>
          <w:w w:val="105"/>
        </w:rPr>
        <w:t>expresiva”,</w:t>
      </w:r>
      <w:r>
        <w:rPr>
          <w:color w:val="231F20"/>
          <w:spacing w:val="-26"/>
          <w:w w:val="105"/>
        </w:rPr>
        <w:t> </w:t>
      </w:r>
      <w:r>
        <w:rPr>
          <w:color w:val="231F20"/>
          <w:w w:val="105"/>
        </w:rPr>
        <w:t>capaz de</w:t>
      </w:r>
      <w:r>
        <w:rPr>
          <w:color w:val="231F20"/>
          <w:spacing w:val="-49"/>
          <w:w w:val="105"/>
        </w:rPr>
        <w:t> </w:t>
      </w:r>
      <w:r>
        <w:rPr>
          <w:color w:val="231F20"/>
          <w:w w:val="105"/>
        </w:rPr>
        <w:t>abrir</w:t>
      </w:r>
      <w:r>
        <w:rPr>
          <w:color w:val="231F20"/>
          <w:spacing w:val="-49"/>
          <w:w w:val="105"/>
        </w:rPr>
        <w:t> </w:t>
      </w:r>
      <w:r>
        <w:rPr>
          <w:color w:val="231F20"/>
          <w:w w:val="105"/>
        </w:rPr>
        <w:t>imprevistos</w:t>
      </w:r>
      <w:r>
        <w:rPr>
          <w:color w:val="231F20"/>
          <w:spacing w:val="-49"/>
          <w:w w:val="105"/>
        </w:rPr>
        <w:t> </w:t>
      </w:r>
      <w:r>
        <w:rPr>
          <w:color w:val="231F20"/>
          <w:w w:val="105"/>
        </w:rPr>
        <w:t>atisbos</w:t>
      </w:r>
      <w:r>
        <w:rPr>
          <w:color w:val="231F20"/>
          <w:spacing w:val="-49"/>
          <w:w w:val="105"/>
        </w:rPr>
        <w:t> </w:t>
      </w:r>
      <w:r>
        <w:rPr>
          <w:color w:val="231F20"/>
          <w:w w:val="105"/>
        </w:rPr>
        <w:t>de</w:t>
      </w:r>
      <w:r>
        <w:rPr>
          <w:color w:val="231F20"/>
          <w:spacing w:val="-49"/>
          <w:w w:val="105"/>
        </w:rPr>
        <w:t> </w:t>
      </w:r>
      <w:r>
        <w:rPr>
          <w:color w:val="231F20"/>
          <w:w w:val="105"/>
        </w:rPr>
        <w:t>inteligibilidad</w:t>
      </w:r>
      <w:r>
        <w:rPr>
          <w:color w:val="231F20"/>
          <w:spacing w:val="-49"/>
          <w:w w:val="105"/>
        </w:rPr>
        <w:t> </w:t>
      </w:r>
      <w:r>
        <w:rPr>
          <w:color w:val="231F20"/>
          <w:w w:val="105"/>
        </w:rPr>
        <w:t>sobre</w:t>
      </w:r>
      <w:r>
        <w:rPr>
          <w:color w:val="231F20"/>
          <w:spacing w:val="-49"/>
          <w:w w:val="105"/>
        </w:rPr>
        <w:t> </w:t>
      </w:r>
      <w:r>
        <w:rPr>
          <w:color w:val="231F20"/>
          <w:w w:val="105"/>
        </w:rPr>
        <w:t>las</w:t>
      </w:r>
      <w:r>
        <w:rPr>
          <w:color w:val="231F20"/>
          <w:spacing w:val="-49"/>
          <w:w w:val="105"/>
        </w:rPr>
        <w:t> </w:t>
      </w:r>
      <w:r>
        <w:rPr>
          <w:color w:val="231F20"/>
          <w:w w:val="105"/>
        </w:rPr>
        <w:t>más</w:t>
      </w:r>
      <w:r>
        <w:rPr>
          <w:color w:val="231F20"/>
          <w:spacing w:val="-49"/>
          <w:w w:val="105"/>
        </w:rPr>
        <w:t> </w:t>
      </w:r>
      <w:r>
        <w:rPr>
          <w:color w:val="231F20"/>
          <w:w w:val="105"/>
        </w:rPr>
        <w:t>profundas</w:t>
      </w:r>
      <w:r>
        <w:rPr>
          <w:color w:val="231F20"/>
          <w:spacing w:val="-49"/>
          <w:w w:val="105"/>
        </w:rPr>
        <w:t> </w:t>
      </w:r>
      <w:r>
        <w:rPr>
          <w:color w:val="231F20"/>
          <w:w w:val="105"/>
        </w:rPr>
        <w:t>trans- formaciones</w:t>
      </w:r>
      <w:r>
        <w:rPr>
          <w:color w:val="231F20"/>
          <w:spacing w:val="-47"/>
          <w:w w:val="105"/>
        </w:rPr>
        <w:t> </w:t>
      </w:r>
      <w:r>
        <w:rPr>
          <w:color w:val="231F20"/>
          <w:w w:val="105"/>
        </w:rPr>
        <w:t>en</w:t>
      </w:r>
      <w:r>
        <w:rPr>
          <w:color w:val="231F20"/>
          <w:spacing w:val="-47"/>
          <w:w w:val="105"/>
        </w:rPr>
        <w:t> </w:t>
      </w:r>
      <w:r>
        <w:rPr>
          <w:color w:val="231F20"/>
          <w:w w:val="105"/>
        </w:rPr>
        <w:t>las</w:t>
      </w:r>
      <w:r>
        <w:rPr>
          <w:color w:val="231F20"/>
          <w:spacing w:val="-47"/>
          <w:w w:val="105"/>
        </w:rPr>
        <w:t> </w:t>
      </w:r>
      <w:r>
        <w:rPr>
          <w:color w:val="231F20"/>
          <w:w w:val="105"/>
        </w:rPr>
        <w:t>estructuras</w:t>
      </w:r>
      <w:r>
        <w:rPr>
          <w:color w:val="231F20"/>
          <w:spacing w:val="-47"/>
          <w:w w:val="105"/>
        </w:rPr>
        <w:t> </w:t>
      </w:r>
      <w:r>
        <w:rPr>
          <w:color w:val="231F20"/>
          <w:w w:val="105"/>
        </w:rPr>
        <w:t>normativas</w:t>
      </w:r>
      <w:r>
        <w:rPr>
          <w:color w:val="231F20"/>
          <w:spacing w:val="-47"/>
          <w:w w:val="105"/>
        </w:rPr>
        <w:t> </w:t>
      </w:r>
      <w:r>
        <w:rPr>
          <w:color w:val="231F20"/>
          <w:w w:val="105"/>
        </w:rPr>
        <w:t>de</w:t>
      </w:r>
      <w:r>
        <w:rPr>
          <w:color w:val="231F20"/>
          <w:spacing w:val="-47"/>
          <w:w w:val="105"/>
        </w:rPr>
        <w:t> </w:t>
      </w:r>
      <w:r>
        <w:rPr>
          <w:color w:val="231F20"/>
          <w:w w:val="105"/>
        </w:rPr>
        <w:t>la</w:t>
      </w:r>
      <w:r>
        <w:rPr>
          <w:color w:val="231F20"/>
          <w:spacing w:val="-47"/>
          <w:w w:val="105"/>
        </w:rPr>
        <w:t> </w:t>
      </w:r>
      <w:r>
        <w:rPr>
          <w:color w:val="231F20"/>
          <w:w w:val="105"/>
        </w:rPr>
        <w:t>sociedad</w:t>
      </w:r>
      <w:r>
        <w:rPr>
          <w:color w:val="231F20"/>
          <w:spacing w:val="-47"/>
          <w:w w:val="105"/>
        </w:rPr>
        <w:t> </w:t>
      </w:r>
      <w:r>
        <w:rPr>
          <w:color w:val="231F20"/>
          <w:w w:val="105"/>
        </w:rPr>
        <w:t>internacional</w:t>
      </w:r>
      <w:r>
        <w:rPr>
          <w:color w:val="231F20"/>
          <w:w w:val="105"/>
          <w:position w:val="7"/>
          <w:sz w:val="12"/>
        </w:rPr>
        <w:t>48</w:t>
      </w:r>
      <w:r>
        <w:rPr>
          <w:color w:val="231F20"/>
          <w:w w:val="105"/>
        </w:rPr>
        <w:t>.</w:t>
      </w:r>
      <w:r>
        <w:rPr>
          <w:color w:val="231F20"/>
          <w:spacing w:val="-47"/>
          <w:w w:val="105"/>
        </w:rPr>
        <w:t> </w:t>
      </w:r>
      <w:r>
        <w:rPr>
          <w:color w:val="231F20"/>
          <w:w w:val="105"/>
        </w:rPr>
        <w:t>Al afrontar</w:t>
      </w:r>
      <w:r>
        <w:rPr>
          <w:color w:val="231F20"/>
          <w:spacing w:val="-6"/>
          <w:w w:val="105"/>
        </w:rPr>
        <w:t> </w:t>
      </w:r>
      <w:r>
        <w:rPr>
          <w:color w:val="231F20"/>
          <w:w w:val="105"/>
        </w:rPr>
        <w:t>los</w:t>
      </w:r>
      <w:r>
        <w:rPr>
          <w:color w:val="231F20"/>
          <w:spacing w:val="-6"/>
          <w:w w:val="105"/>
        </w:rPr>
        <w:t> </w:t>
      </w:r>
      <w:r>
        <w:rPr>
          <w:color w:val="231F20"/>
          <w:w w:val="105"/>
        </w:rPr>
        <w:t>complejos</w:t>
      </w:r>
      <w:r>
        <w:rPr>
          <w:color w:val="231F20"/>
          <w:spacing w:val="-6"/>
          <w:w w:val="105"/>
        </w:rPr>
        <w:t> </w:t>
      </w:r>
      <w:r>
        <w:rPr>
          <w:color w:val="231F20"/>
          <w:w w:val="105"/>
        </w:rPr>
        <w:t>nodos</w:t>
      </w:r>
      <w:r>
        <w:rPr>
          <w:color w:val="231F20"/>
          <w:spacing w:val="-6"/>
          <w:w w:val="105"/>
        </w:rPr>
        <w:t> </w:t>
      </w:r>
      <w:r>
        <w:rPr>
          <w:color w:val="231F20"/>
          <w:w w:val="105"/>
        </w:rPr>
        <w:t>ético–políticos</w:t>
      </w:r>
      <w:r>
        <w:rPr>
          <w:color w:val="231F20"/>
          <w:spacing w:val="-6"/>
          <w:w w:val="105"/>
        </w:rPr>
        <w:t> </w:t>
      </w:r>
      <w:r>
        <w:rPr>
          <w:color w:val="231F20"/>
          <w:w w:val="105"/>
        </w:rPr>
        <w:t>conectados</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práctica</w:t>
      </w:r>
      <w:r>
        <w:rPr>
          <w:color w:val="231F20"/>
          <w:spacing w:val="-6"/>
          <w:w w:val="105"/>
        </w:rPr>
        <w:t> </w:t>
      </w:r>
      <w:r>
        <w:rPr>
          <w:color w:val="231F20"/>
          <w:w w:val="105"/>
        </w:rPr>
        <w:t>de la</w:t>
      </w:r>
      <w:r>
        <w:rPr>
          <w:color w:val="231F20"/>
          <w:spacing w:val="-30"/>
          <w:w w:val="105"/>
        </w:rPr>
        <w:t> </w:t>
      </w:r>
      <w:r>
        <w:rPr>
          <w:color w:val="231F20"/>
          <w:w w:val="105"/>
        </w:rPr>
        <w:t>intervención</w:t>
      </w:r>
      <w:r>
        <w:rPr>
          <w:color w:val="231F20"/>
          <w:spacing w:val="-30"/>
          <w:w w:val="105"/>
        </w:rPr>
        <w:t> </w:t>
      </w:r>
      <w:r>
        <w:rPr>
          <w:color w:val="231F20"/>
          <w:w w:val="105"/>
        </w:rPr>
        <w:t>humanitaria,</w:t>
      </w:r>
      <w:r>
        <w:rPr>
          <w:color w:val="231F20"/>
          <w:spacing w:val="-30"/>
          <w:w w:val="105"/>
        </w:rPr>
        <w:t> </w:t>
      </w:r>
      <w:r>
        <w:rPr>
          <w:color w:val="231F20"/>
          <w:w w:val="105"/>
        </w:rPr>
        <w:t>varios</w:t>
      </w:r>
      <w:r>
        <w:rPr>
          <w:color w:val="231F20"/>
          <w:spacing w:val="-30"/>
          <w:w w:val="105"/>
        </w:rPr>
        <w:t> </w:t>
      </w:r>
      <w:r>
        <w:rPr>
          <w:color w:val="231F20"/>
          <w:w w:val="105"/>
        </w:rPr>
        <w:t>autores</w:t>
      </w:r>
      <w:r>
        <w:rPr>
          <w:color w:val="231F20"/>
          <w:spacing w:val="-30"/>
          <w:w w:val="105"/>
        </w:rPr>
        <w:t> </w:t>
      </w:r>
      <w:r>
        <w:rPr>
          <w:color w:val="231F20"/>
          <w:w w:val="105"/>
        </w:rPr>
        <w:t>han</w:t>
      </w:r>
      <w:r>
        <w:rPr>
          <w:color w:val="231F20"/>
          <w:spacing w:val="-30"/>
          <w:w w:val="105"/>
        </w:rPr>
        <w:t> </w:t>
      </w:r>
      <w:r>
        <w:rPr>
          <w:color w:val="231F20"/>
          <w:w w:val="105"/>
        </w:rPr>
        <w:t>considerado</w:t>
      </w:r>
      <w:r>
        <w:rPr>
          <w:color w:val="231F20"/>
          <w:spacing w:val="-30"/>
          <w:w w:val="105"/>
        </w:rPr>
        <w:t> </w:t>
      </w:r>
      <w:r>
        <w:rPr>
          <w:color w:val="231F20"/>
          <w:w w:val="105"/>
        </w:rPr>
        <w:t>oportuno</w:t>
      </w:r>
      <w:r>
        <w:rPr>
          <w:color w:val="231F20"/>
          <w:spacing w:val="-30"/>
          <w:w w:val="105"/>
        </w:rPr>
        <w:t> </w:t>
      </w:r>
      <w:r>
        <w:rPr>
          <w:color w:val="231F20"/>
          <w:w w:val="105"/>
        </w:rPr>
        <w:t>de- jarse</w:t>
      </w:r>
      <w:r>
        <w:rPr>
          <w:color w:val="231F20"/>
          <w:spacing w:val="-35"/>
          <w:w w:val="105"/>
        </w:rPr>
        <w:t> </w:t>
      </w:r>
      <w:r>
        <w:rPr>
          <w:color w:val="231F20"/>
          <w:w w:val="105"/>
        </w:rPr>
        <w:t>guiar</w:t>
      </w:r>
      <w:r>
        <w:rPr>
          <w:color w:val="231F20"/>
          <w:spacing w:val="-35"/>
          <w:w w:val="105"/>
        </w:rPr>
        <w:t> </w:t>
      </w:r>
      <w:r>
        <w:rPr>
          <w:color w:val="231F20"/>
          <w:w w:val="105"/>
        </w:rPr>
        <w:t>por</w:t>
      </w:r>
      <w:r>
        <w:rPr>
          <w:color w:val="231F20"/>
          <w:spacing w:val="-35"/>
          <w:w w:val="105"/>
        </w:rPr>
        <w:t> </w:t>
      </w:r>
      <w:r>
        <w:rPr>
          <w:color w:val="231F20"/>
          <w:w w:val="105"/>
        </w:rPr>
        <w:t>el</w:t>
      </w:r>
      <w:r>
        <w:rPr>
          <w:color w:val="231F20"/>
          <w:spacing w:val="-35"/>
          <w:w w:val="105"/>
        </w:rPr>
        <w:t> </w:t>
      </w:r>
      <w:r>
        <w:rPr>
          <w:color w:val="231F20"/>
          <w:w w:val="105"/>
        </w:rPr>
        <w:t>radical</w:t>
      </w:r>
      <w:r>
        <w:rPr>
          <w:color w:val="231F20"/>
          <w:spacing w:val="-35"/>
          <w:w w:val="105"/>
        </w:rPr>
        <w:t> </w:t>
      </w:r>
      <w:r>
        <w:rPr>
          <w:color w:val="231F20"/>
          <w:w w:val="105"/>
        </w:rPr>
        <w:t>principio</w:t>
      </w:r>
      <w:r>
        <w:rPr>
          <w:color w:val="231F20"/>
          <w:spacing w:val="-35"/>
          <w:w w:val="105"/>
        </w:rPr>
        <w:t> </w:t>
      </w:r>
      <w:r>
        <w:rPr>
          <w:color w:val="231F20"/>
          <w:w w:val="105"/>
        </w:rPr>
        <w:t>schmitiano</w:t>
      </w:r>
      <w:r>
        <w:rPr>
          <w:color w:val="231F20"/>
          <w:spacing w:val="-35"/>
          <w:w w:val="105"/>
        </w:rPr>
        <w:t> </w:t>
      </w:r>
      <w:r>
        <w:rPr>
          <w:color w:val="231F20"/>
          <w:w w:val="105"/>
        </w:rPr>
        <w:t>frente</w:t>
      </w:r>
      <w:r>
        <w:rPr>
          <w:color w:val="231F20"/>
          <w:spacing w:val="-35"/>
          <w:w w:val="105"/>
        </w:rPr>
        <w:t> </w:t>
      </w:r>
      <w:r>
        <w:rPr>
          <w:color w:val="231F20"/>
          <w:w w:val="105"/>
        </w:rPr>
        <w:t>a</w:t>
      </w:r>
      <w:r>
        <w:rPr>
          <w:color w:val="231F20"/>
          <w:spacing w:val="-35"/>
          <w:w w:val="105"/>
        </w:rPr>
        <w:t> </w:t>
      </w:r>
      <w:r>
        <w:rPr>
          <w:color w:val="231F20"/>
          <w:w w:val="105"/>
        </w:rPr>
        <w:t>cada</w:t>
      </w:r>
      <w:r>
        <w:rPr>
          <w:color w:val="231F20"/>
          <w:spacing w:val="-35"/>
          <w:w w:val="105"/>
        </w:rPr>
        <w:t> </w:t>
      </w:r>
      <w:r>
        <w:rPr>
          <w:color w:val="231F20"/>
          <w:w w:val="105"/>
        </w:rPr>
        <w:t>transvaloración moral del contexto —en sí muy poco idealista— de las relaciones entre los</w:t>
      </w:r>
      <w:r>
        <w:rPr>
          <w:color w:val="231F20"/>
          <w:spacing w:val="-35"/>
          <w:w w:val="105"/>
        </w:rPr>
        <w:t> </w:t>
      </w:r>
      <w:r>
        <w:rPr>
          <w:color w:val="231F20"/>
          <w:w w:val="105"/>
        </w:rPr>
        <w:t>Estados:</w:t>
      </w:r>
      <w:r>
        <w:rPr>
          <w:color w:val="231F20"/>
          <w:spacing w:val="-35"/>
          <w:w w:val="105"/>
        </w:rPr>
        <w:t> </w:t>
      </w:r>
      <w:r>
        <w:rPr>
          <w:color w:val="231F20"/>
          <w:w w:val="105"/>
        </w:rPr>
        <w:t>“quien</w:t>
      </w:r>
      <w:r>
        <w:rPr>
          <w:color w:val="231F20"/>
          <w:spacing w:val="-35"/>
          <w:w w:val="105"/>
        </w:rPr>
        <w:t> </w:t>
      </w:r>
      <w:r>
        <w:rPr>
          <w:color w:val="231F20"/>
          <w:w w:val="105"/>
        </w:rPr>
        <w:t>habla</w:t>
      </w:r>
      <w:r>
        <w:rPr>
          <w:color w:val="231F20"/>
          <w:spacing w:val="-35"/>
          <w:w w:val="105"/>
        </w:rPr>
        <w:t> </w:t>
      </w:r>
      <w:r>
        <w:rPr>
          <w:color w:val="231F20"/>
          <w:w w:val="105"/>
        </w:rPr>
        <w:t>de</w:t>
      </w:r>
      <w:r>
        <w:rPr>
          <w:color w:val="231F20"/>
          <w:spacing w:val="-35"/>
          <w:w w:val="105"/>
        </w:rPr>
        <w:t> </w:t>
      </w:r>
      <w:r>
        <w:rPr>
          <w:color w:val="231F20"/>
          <w:w w:val="105"/>
        </w:rPr>
        <w:t>humanidad,</w:t>
      </w:r>
      <w:r>
        <w:rPr>
          <w:color w:val="231F20"/>
          <w:spacing w:val="-35"/>
          <w:w w:val="105"/>
        </w:rPr>
        <w:t> </w:t>
      </w:r>
      <w:r>
        <w:rPr>
          <w:color w:val="231F20"/>
          <w:w w:val="105"/>
        </w:rPr>
        <w:t>quiere</w:t>
      </w:r>
      <w:r>
        <w:rPr>
          <w:color w:val="231F20"/>
          <w:spacing w:val="-35"/>
          <w:w w:val="105"/>
        </w:rPr>
        <w:t> </w:t>
      </w:r>
      <w:r>
        <w:rPr>
          <w:color w:val="231F20"/>
          <w:w w:val="105"/>
        </w:rPr>
        <w:t>engañarlos”</w:t>
      </w:r>
      <w:r>
        <w:rPr>
          <w:color w:val="231F20"/>
          <w:w w:val="105"/>
          <w:position w:val="7"/>
          <w:sz w:val="12"/>
        </w:rPr>
        <w:t>49</w:t>
      </w:r>
      <w:r>
        <w:rPr>
          <w:color w:val="231F20"/>
          <w:w w:val="105"/>
        </w:rPr>
        <w:t>.</w:t>
      </w:r>
      <w:r>
        <w:rPr>
          <w:color w:val="231F20"/>
          <w:spacing w:val="-35"/>
          <w:w w:val="105"/>
        </w:rPr>
        <w:t> </w:t>
      </w:r>
      <w:r>
        <w:rPr>
          <w:color w:val="231F20"/>
          <w:w w:val="105"/>
        </w:rPr>
        <w:t>Según</w:t>
      </w:r>
      <w:r>
        <w:rPr>
          <w:color w:val="231F20"/>
          <w:spacing w:val="-35"/>
          <w:w w:val="105"/>
        </w:rPr>
        <w:t> </w:t>
      </w:r>
      <w:r>
        <w:rPr>
          <w:color w:val="231F20"/>
          <w:w w:val="105"/>
        </w:rPr>
        <w:t>esta postura,</w:t>
      </w:r>
      <w:r>
        <w:rPr>
          <w:color w:val="231F20"/>
          <w:spacing w:val="-31"/>
          <w:w w:val="105"/>
        </w:rPr>
        <w:t> </w:t>
      </w:r>
      <w:r>
        <w:rPr>
          <w:color w:val="231F20"/>
          <w:w w:val="105"/>
        </w:rPr>
        <w:t>la</w:t>
      </w:r>
      <w:r>
        <w:rPr>
          <w:color w:val="231F20"/>
          <w:spacing w:val="-31"/>
          <w:w w:val="105"/>
        </w:rPr>
        <w:t> </w:t>
      </w:r>
      <w:r>
        <w:rPr>
          <w:color w:val="231F20"/>
          <w:w w:val="105"/>
        </w:rPr>
        <w:t>calificación</w:t>
      </w:r>
      <w:r>
        <w:rPr>
          <w:color w:val="231F20"/>
          <w:spacing w:val="-31"/>
          <w:w w:val="105"/>
        </w:rPr>
        <w:t> </w:t>
      </w:r>
      <w:r>
        <w:rPr>
          <w:color w:val="231F20"/>
          <w:w w:val="105"/>
        </w:rPr>
        <w:t>de</w:t>
      </w:r>
      <w:r>
        <w:rPr>
          <w:color w:val="231F20"/>
          <w:spacing w:val="-31"/>
          <w:w w:val="105"/>
        </w:rPr>
        <w:t> </w:t>
      </w:r>
      <w:r>
        <w:rPr>
          <w:color w:val="231F20"/>
          <w:w w:val="105"/>
        </w:rPr>
        <w:t>una</w:t>
      </w:r>
      <w:r>
        <w:rPr>
          <w:color w:val="231F20"/>
          <w:spacing w:val="-31"/>
          <w:w w:val="105"/>
        </w:rPr>
        <w:t> </w:t>
      </w:r>
      <w:r>
        <w:rPr>
          <w:color w:val="231F20"/>
          <w:w w:val="105"/>
        </w:rPr>
        <w:t>acción</w:t>
      </w:r>
      <w:r>
        <w:rPr>
          <w:color w:val="231F20"/>
          <w:spacing w:val="-31"/>
          <w:w w:val="105"/>
        </w:rPr>
        <w:t> </w:t>
      </w:r>
      <w:r>
        <w:rPr>
          <w:color w:val="231F20"/>
          <w:w w:val="105"/>
        </w:rPr>
        <w:t>bélica</w:t>
      </w:r>
      <w:r>
        <w:rPr>
          <w:color w:val="231F20"/>
          <w:spacing w:val="-31"/>
          <w:w w:val="105"/>
        </w:rPr>
        <w:t> </w:t>
      </w:r>
      <w:r>
        <w:rPr>
          <w:color w:val="231F20"/>
          <w:w w:val="105"/>
        </w:rPr>
        <w:t>como</w:t>
      </w:r>
      <w:r>
        <w:rPr>
          <w:color w:val="231F20"/>
          <w:spacing w:val="-31"/>
          <w:w w:val="105"/>
        </w:rPr>
        <w:t> </w:t>
      </w:r>
      <w:r>
        <w:rPr>
          <w:color w:val="231F20"/>
          <w:w w:val="105"/>
        </w:rPr>
        <w:t>“intervención</w:t>
      </w:r>
      <w:r>
        <w:rPr>
          <w:color w:val="231F20"/>
          <w:spacing w:val="-31"/>
          <w:w w:val="105"/>
        </w:rPr>
        <w:t> </w:t>
      </w:r>
      <w:r>
        <w:rPr>
          <w:color w:val="231F20"/>
          <w:w w:val="105"/>
        </w:rPr>
        <w:t>humanita- ria”</w:t>
      </w:r>
      <w:r>
        <w:rPr>
          <w:color w:val="231F20"/>
          <w:spacing w:val="-28"/>
          <w:w w:val="105"/>
        </w:rPr>
        <w:t> </w:t>
      </w:r>
      <w:r>
        <w:rPr>
          <w:color w:val="231F20"/>
          <w:w w:val="105"/>
        </w:rPr>
        <w:t>es</w:t>
      </w:r>
      <w:r>
        <w:rPr>
          <w:color w:val="231F20"/>
          <w:spacing w:val="-28"/>
          <w:w w:val="105"/>
        </w:rPr>
        <w:t> </w:t>
      </w:r>
      <w:r>
        <w:rPr>
          <w:color w:val="231F20"/>
          <w:w w:val="105"/>
        </w:rPr>
        <w:t>un</w:t>
      </w:r>
      <w:r>
        <w:rPr>
          <w:color w:val="231F20"/>
          <w:spacing w:val="-28"/>
          <w:w w:val="105"/>
        </w:rPr>
        <w:t> </w:t>
      </w:r>
      <w:r>
        <w:rPr>
          <w:color w:val="231F20"/>
          <w:w w:val="105"/>
        </w:rPr>
        <w:t>“típico</w:t>
      </w:r>
      <w:r>
        <w:rPr>
          <w:color w:val="231F20"/>
          <w:spacing w:val="-28"/>
          <w:w w:val="105"/>
        </w:rPr>
        <w:t> </w:t>
      </w:r>
      <w:r>
        <w:rPr>
          <w:color w:val="231F20"/>
          <w:w w:val="105"/>
        </w:rPr>
        <w:t>instrumento</w:t>
      </w:r>
      <w:r>
        <w:rPr>
          <w:color w:val="231F20"/>
          <w:spacing w:val="-28"/>
          <w:w w:val="105"/>
        </w:rPr>
        <w:t> </w:t>
      </w:r>
      <w:r>
        <w:rPr>
          <w:color w:val="231F20"/>
          <w:w w:val="105"/>
        </w:rPr>
        <w:t>de</w:t>
      </w:r>
      <w:r>
        <w:rPr>
          <w:color w:val="231F20"/>
          <w:spacing w:val="-28"/>
          <w:w w:val="105"/>
        </w:rPr>
        <w:t> </w:t>
      </w:r>
      <w:r>
        <w:rPr>
          <w:color w:val="231F20"/>
          <w:w w:val="105"/>
        </w:rPr>
        <w:t>autolegitimación</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guerra</w:t>
      </w:r>
      <w:r>
        <w:rPr>
          <w:color w:val="231F20"/>
          <w:spacing w:val="-28"/>
          <w:w w:val="105"/>
        </w:rPr>
        <w:t> </w:t>
      </w:r>
      <w:r>
        <w:rPr>
          <w:color w:val="231F20"/>
          <w:w w:val="105"/>
        </w:rPr>
        <w:t>de</w:t>
      </w:r>
      <w:r>
        <w:rPr>
          <w:color w:val="231F20"/>
          <w:spacing w:val="-28"/>
          <w:w w:val="105"/>
        </w:rPr>
        <w:t> </w:t>
      </w:r>
      <w:r>
        <w:rPr>
          <w:color w:val="231F20"/>
          <w:w w:val="105"/>
        </w:rPr>
        <w:t>parte</w:t>
      </w:r>
      <w:r>
        <w:rPr>
          <w:color w:val="231F20"/>
          <w:spacing w:val="-28"/>
          <w:w w:val="105"/>
        </w:rPr>
        <w:t> </w:t>
      </w:r>
      <w:r>
        <w:rPr>
          <w:color w:val="231F20"/>
          <w:w w:val="105"/>
        </w:rPr>
        <w:t>de quien</w:t>
      </w:r>
      <w:r>
        <w:rPr>
          <w:color w:val="231F20"/>
          <w:spacing w:val="-27"/>
          <w:w w:val="105"/>
        </w:rPr>
        <w:t> </w:t>
      </w:r>
      <w:r>
        <w:rPr>
          <w:color w:val="231F20"/>
          <w:w w:val="105"/>
        </w:rPr>
        <w:t>está</w:t>
      </w:r>
      <w:r>
        <w:rPr>
          <w:color w:val="231F20"/>
          <w:spacing w:val="-27"/>
          <w:w w:val="105"/>
        </w:rPr>
        <w:t> </w:t>
      </w:r>
      <w:r>
        <w:rPr>
          <w:color w:val="231F20"/>
          <w:w w:val="105"/>
        </w:rPr>
        <w:t>combatiendo</w:t>
      </w:r>
      <w:r>
        <w:rPr>
          <w:color w:val="231F20"/>
          <w:spacing w:val="-27"/>
          <w:w w:val="105"/>
        </w:rPr>
        <w:t> </w:t>
      </w:r>
      <w:r>
        <w:rPr>
          <w:color w:val="231F20"/>
          <w:w w:val="105"/>
        </w:rPr>
        <w:t>en</w:t>
      </w:r>
      <w:r>
        <w:rPr>
          <w:color w:val="231F20"/>
          <w:spacing w:val="-27"/>
          <w:w w:val="105"/>
        </w:rPr>
        <w:t> </w:t>
      </w:r>
      <w:r>
        <w:rPr>
          <w:color w:val="231F20"/>
          <w:w w:val="105"/>
        </w:rPr>
        <w:t>ella”.</w:t>
      </w:r>
      <w:r>
        <w:rPr>
          <w:color w:val="231F20"/>
          <w:spacing w:val="-27"/>
          <w:w w:val="105"/>
        </w:rPr>
        <w:t> </w:t>
      </w:r>
      <w:r>
        <w:rPr>
          <w:color w:val="231F20"/>
          <w:w w:val="105"/>
        </w:rPr>
        <w:t>Ésta</w:t>
      </w:r>
      <w:r>
        <w:rPr>
          <w:color w:val="231F20"/>
          <w:spacing w:val="-27"/>
          <w:w w:val="105"/>
        </w:rPr>
        <w:t> </w:t>
      </w:r>
      <w:r>
        <w:rPr>
          <w:color w:val="231F20"/>
          <w:w w:val="105"/>
        </w:rPr>
        <w:t>corresponde,</w:t>
      </w:r>
      <w:r>
        <w:rPr>
          <w:color w:val="231F20"/>
          <w:spacing w:val="-27"/>
          <w:w w:val="105"/>
        </w:rPr>
        <w:t> </w:t>
      </w:r>
      <w:r>
        <w:rPr>
          <w:color w:val="231F20"/>
          <w:w w:val="105"/>
        </w:rPr>
        <w:t>pues,</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w w:val="105"/>
        </w:rPr>
        <w:t>tradicional necesidad</w:t>
      </w:r>
      <w:r>
        <w:rPr>
          <w:color w:val="231F20"/>
          <w:spacing w:val="-32"/>
          <w:w w:val="105"/>
        </w:rPr>
        <w:t> </w:t>
      </w:r>
      <w:r>
        <w:rPr>
          <w:color w:val="231F20"/>
          <w:w w:val="105"/>
        </w:rPr>
        <w:t>de</w:t>
      </w:r>
      <w:r>
        <w:rPr>
          <w:color w:val="231F20"/>
          <w:spacing w:val="-32"/>
          <w:w w:val="105"/>
        </w:rPr>
        <w:t> </w:t>
      </w:r>
      <w:r>
        <w:rPr>
          <w:color w:val="231F20"/>
          <w:w w:val="105"/>
        </w:rPr>
        <w:t>legitimar</w:t>
      </w:r>
      <w:r>
        <w:rPr>
          <w:color w:val="231F20"/>
          <w:spacing w:val="-32"/>
          <w:w w:val="105"/>
        </w:rPr>
        <w:t> </w:t>
      </w:r>
      <w:r>
        <w:rPr>
          <w:color w:val="231F20"/>
          <w:w w:val="105"/>
        </w:rPr>
        <w:t>la</w:t>
      </w:r>
      <w:r>
        <w:rPr>
          <w:color w:val="231F20"/>
          <w:spacing w:val="-32"/>
          <w:w w:val="105"/>
        </w:rPr>
        <w:t> </w:t>
      </w:r>
      <w:r>
        <w:rPr>
          <w:color w:val="231F20"/>
          <w:w w:val="105"/>
        </w:rPr>
        <w:t>propia</w:t>
      </w:r>
      <w:r>
        <w:rPr>
          <w:color w:val="231F20"/>
          <w:spacing w:val="-32"/>
          <w:w w:val="105"/>
        </w:rPr>
        <w:t> </w:t>
      </w:r>
      <w:r>
        <w:rPr>
          <w:color w:val="231F20"/>
          <w:w w:val="105"/>
        </w:rPr>
        <w:t>guerra</w:t>
      </w:r>
      <w:r>
        <w:rPr>
          <w:color w:val="231F20"/>
          <w:spacing w:val="-32"/>
          <w:w w:val="105"/>
        </w:rPr>
        <w:t> </w:t>
      </w:r>
      <w:r>
        <w:rPr>
          <w:color w:val="231F20"/>
          <w:w w:val="105"/>
        </w:rPr>
        <w:t>como</w:t>
      </w:r>
      <w:r>
        <w:rPr>
          <w:color w:val="231F20"/>
          <w:spacing w:val="-31"/>
          <w:w w:val="105"/>
        </w:rPr>
        <w:t> </w:t>
      </w:r>
      <w:r>
        <w:rPr>
          <w:rFonts w:ascii="Arial" w:hAnsi="Arial"/>
          <w:i/>
          <w:color w:val="231F20"/>
          <w:w w:val="105"/>
        </w:rPr>
        <w:t>iustum</w:t>
      </w:r>
      <w:r>
        <w:rPr>
          <w:rFonts w:ascii="Arial" w:hAnsi="Arial"/>
          <w:i/>
          <w:color w:val="231F20"/>
          <w:spacing w:val="-24"/>
          <w:w w:val="105"/>
        </w:rPr>
        <w:t> </w:t>
      </w:r>
      <w:r>
        <w:rPr>
          <w:rFonts w:ascii="Arial" w:hAnsi="Arial"/>
          <w:i/>
          <w:color w:val="231F20"/>
          <w:w w:val="105"/>
        </w:rPr>
        <w:t>bellum</w:t>
      </w:r>
      <w:r>
        <w:rPr>
          <w:rFonts w:ascii="Arial" w:hAnsi="Arial"/>
          <w:i/>
          <w:color w:val="231F20"/>
          <w:spacing w:val="-24"/>
          <w:w w:val="105"/>
        </w:rPr>
        <w:t> </w:t>
      </w:r>
      <w:r>
        <w:rPr>
          <w:color w:val="231F20"/>
          <w:w w:val="105"/>
        </w:rPr>
        <w:t>y</w:t>
      </w:r>
      <w:r>
        <w:rPr>
          <w:color w:val="231F20"/>
          <w:spacing w:val="-32"/>
          <w:w w:val="105"/>
        </w:rPr>
        <w:t> </w:t>
      </w:r>
      <w:r>
        <w:rPr>
          <w:color w:val="231F20"/>
          <w:w w:val="105"/>
        </w:rPr>
        <w:t>de</w:t>
      </w:r>
      <w:r>
        <w:rPr>
          <w:color w:val="231F20"/>
          <w:spacing w:val="-32"/>
          <w:w w:val="105"/>
        </w:rPr>
        <w:t> </w:t>
      </w:r>
      <w:r>
        <w:rPr>
          <w:color w:val="231F20"/>
          <w:w w:val="105"/>
        </w:rPr>
        <w:t>etiquetar al propio adversario como </w:t>
      </w:r>
      <w:r>
        <w:rPr>
          <w:rFonts w:ascii="Arial" w:hAnsi="Arial"/>
          <w:i/>
          <w:color w:val="231F20"/>
          <w:w w:val="105"/>
        </w:rPr>
        <w:t>iniustus hostis</w:t>
      </w:r>
      <w:r>
        <w:rPr>
          <w:color w:val="231F20"/>
          <w:w w:val="105"/>
        </w:rPr>
        <w:t>”, con todas las</w:t>
      </w:r>
      <w:r>
        <w:rPr>
          <w:color w:val="231F20"/>
          <w:spacing w:val="-16"/>
          <w:w w:val="105"/>
        </w:rPr>
        <w:t> </w:t>
      </w:r>
      <w:r>
        <w:rPr>
          <w:color w:val="231F20"/>
          <w:w w:val="105"/>
        </w:rPr>
        <w:t>consecuencias del caso —en tal sentido es, por lo tanto, “parte de la guerra misma”, “un</w:t>
      </w:r>
      <w:r>
        <w:rPr>
          <w:color w:val="231F20"/>
          <w:spacing w:val="-7"/>
          <w:w w:val="105"/>
        </w:rPr>
        <w:t> </w:t>
      </w:r>
      <w:r>
        <w:rPr>
          <w:color w:val="231F20"/>
          <w:w w:val="105"/>
        </w:rPr>
        <w:t>instrumento</w:t>
      </w:r>
      <w:r>
        <w:rPr>
          <w:color w:val="231F20"/>
          <w:spacing w:val="-7"/>
          <w:w w:val="105"/>
        </w:rPr>
        <w:t> </w:t>
      </w:r>
      <w:r>
        <w:rPr>
          <w:color w:val="231F20"/>
          <w:w w:val="105"/>
        </w:rPr>
        <w:t>de</w:t>
      </w:r>
      <w:r>
        <w:rPr>
          <w:color w:val="231F20"/>
          <w:spacing w:val="-7"/>
          <w:w w:val="105"/>
        </w:rPr>
        <w:t> </w:t>
      </w:r>
      <w:r>
        <w:rPr>
          <w:color w:val="231F20"/>
          <w:w w:val="105"/>
        </w:rPr>
        <w:t>estrategia</w:t>
      </w:r>
      <w:r>
        <w:rPr>
          <w:color w:val="231F20"/>
          <w:spacing w:val="-7"/>
          <w:w w:val="105"/>
        </w:rPr>
        <w:t> </w:t>
      </w:r>
      <w:r>
        <w:rPr>
          <w:color w:val="231F20"/>
          <w:w w:val="105"/>
        </w:rPr>
        <w:t>militar</w:t>
      </w:r>
      <w:r>
        <w:rPr>
          <w:color w:val="231F20"/>
          <w:spacing w:val="-7"/>
          <w:w w:val="105"/>
        </w:rPr>
        <w:t> </w:t>
      </w:r>
      <w:r>
        <w:rPr>
          <w:color w:val="231F20"/>
          <w:w w:val="105"/>
        </w:rPr>
        <w:t>dirigido</w:t>
      </w:r>
      <w:r>
        <w:rPr>
          <w:color w:val="231F20"/>
          <w:spacing w:val="-7"/>
          <w:w w:val="105"/>
        </w:rPr>
        <w:t> </w:t>
      </w:r>
      <w:r>
        <w:rPr>
          <w:color w:val="231F20"/>
          <w:w w:val="105"/>
        </w:rPr>
        <w:t>a</w:t>
      </w:r>
      <w:r>
        <w:rPr>
          <w:color w:val="231F20"/>
          <w:spacing w:val="-7"/>
          <w:w w:val="105"/>
        </w:rPr>
        <w:t> </w:t>
      </w:r>
      <w:r>
        <w:rPr>
          <w:color w:val="231F20"/>
          <w:w w:val="105"/>
        </w:rPr>
        <w:t>obtener</w:t>
      </w:r>
      <w:r>
        <w:rPr>
          <w:color w:val="231F20"/>
          <w:spacing w:val="-7"/>
          <w:w w:val="105"/>
        </w:rPr>
        <w:t> </w:t>
      </w:r>
      <w:r>
        <w:rPr>
          <w:color w:val="231F20"/>
          <w:w w:val="105"/>
        </w:rPr>
        <w:t>la</w:t>
      </w:r>
      <w:r>
        <w:rPr>
          <w:color w:val="231F20"/>
          <w:spacing w:val="-7"/>
          <w:w w:val="105"/>
        </w:rPr>
        <w:t> </w:t>
      </w:r>
      <w:r>
        <w:rPr>
          <w:color w:val="231F20"/>
          <w:w w:val="105"/>
        </w:rPr>
        <w:t>victoria</w:t>
      </w:r>
      <w:r>
        <w:rPr>
          <w:color w:val="231F20"/>
          <w:spacing w:val="-7"/>
          <w:w w:val="105"/>
        </w:rPr>
        <w:t> </w:t>
      </w:r>
      <w:r>
        <w:rPr>
          <w:color w:val="231F20"/>
          <w:w w:val="105"/>
        </w:rPr>
        <w:t>sobre el</w:t>
      </w:r>
      <w:r>
        <w:rPr>
          <w:color w:val="231F20"/>
          <w:spacing w:val="-26"/>
          <w:w w:val="105"/>
        </w:rPr>
        <w:t> </w:t>
      </w:r>
      <w:r>
        <w:rPr>
          <w:color w:val="231F20"/>
          <w:w w:val="105"/>
        </w:rPr>
        <w:t>enemigo”</w:t>
      </w:r>
      <w:r>
        <w:rPr>
          <w:color w:val="231F20"/>
          <w:w w:val="105"/>
          <w:position w:val="7"/>
          <w:sz w:val="12"/>
        </w:rPr>
        <w:t>50</w:t>
      </w:r>
      <w:r>
        <w:rPr>
          <w:color w:val="231F20"/>
          <w:w w:val="105"/>
        </w:rPr>
        <w:t>.</w:t>
      </w:r>
      <w:r>
        <w:rPr>
          <w:color w:val="231F20"/>
          <w:spacing w:val="-26"/>
          <w:w w:val="105"/>
        </w:rPr>
        <w:t> </w:t>
      </w:r>
      <w:r>
        <w:rPr>
          <w:color w:val="231F20"/>
          <w:w w:val="105"/>
        </w:rPr>
        <w:t>Aún</w:t>
      </w:r>
      <w:r>
        <w:rPr>
          <w:color w:val="231F20"/>
          <w:spacing w:val="-26"/>
          <w:w w:val="105"/>
        </w:rPr>
        <w:t> </w:t>
      </w:r>
      <w:r>
        <w:rPr>
          <w:color w:val="231F20"/>
          <w:w w:val="105"/>
        </w:rPr>
        <w:t>más:</w:t>
      </w:r>
      <w:r>
        <w:rPr>
          <w:color w:val="231F20"/>
          <w:spacing w:val="-26"/>
          <w:w w:val="105"/>
        </w:rPr>
        <w:t> </w:t>
      </w:r>
      <w:r>
        <w:rPr>
          <w:color w:val="231F20"/>
          <w:w w:val="105"/>
        </w:rPr>
        <w:t>aquello</w:t>
      </w:r>
      <w:r>
        <w:rPr>
          <w:color w:val="231F20"/>
          <w:spacing w:val="-26"/>
          <w:w w:val="105"/>
        </w:rPr>
        <w:t> </w:t>
      </w:r>
      <w:r>
        <w:rPr>
          <w:color w:val="231F20"/>
          <w:w w:val="105"/>
        </w:rPr>
        <w:t>a</w:t>
      </w:r>
      <w:r>
        <w:rPr>
          <w:color w:val="231F20"/>
          <w:spacing w:val="-26"/>
          <w:w w:val="105"/>
        </w:rPr>
        <w:t> </w:t>
      </w:r>
      <w:r>
        <w:rPr>
          <w:color w:val="231F20"/>
          <w:w w:val="105"/>
        </w:rPr>
        <w:t>lo</w:t>
      </w:r>
      <w:r>
        <w:rPr>
          <w:color w:val="231F20"/>
          <w:spacing w:val="-26"/>
          <w:w w:val="105"/>
        </w:rPr>
        <w:t> </w:t>
      </w:r>
      <w:r>
        <w:rPr>
          <w:color w:val="231F20"/>
          <w:w w:val="105"/>
        </w:rPr>
        <w:t>que</w:t>
      </w:r>
      <w:r>
        <w:rPr>
          <w:color w:val="231F20"/>
          <w:spacing w:val="-26"/>
          <w:w w:val="105"/>
        </w:rPr>
        <w:t> </w:t>
      </w:r>
      <w:r>
        <w:rPr>
          <w:color w:val="231F20"/>
          <w:w w:val="105"/>
        </w:rPr>
        <w:t>nos</w:t>
      </w:r>
      <w:r>
        <w:rPr>
          <w:color w:val="231F20"/>
          <w:spacing w:val="-26"/>
          <w:w w:val="105"/>
        </w:rPr>
        <w:t> </w:t>
      </w:r>
      <w:r>
        <w:rPr>
          <w:color w:val="231F20"/>
          <w:w w:val="105"/>
        </w:rPr>
        <w:t>enfrentamos</w:t>
      </w:r>
      <w:r>
        <w:rPr>
          <w:color w:val="231F20"/>
          <w:spacing w:val="-26"/>
          <w:w w:val="105"/>
        </w:rPr>
        <w:t> </w:t>
      </w:r>
      <w:r>
        <w:rPr>
          <w:color w:val="231F20"/>
          <w:w w:val="105"/>
        </w:rPr>
        <w:t>en</w:t>
      </w:r>
      <w:r>
        <w:rPr>
          <w:color w:val="231F20"/>
          <w:spacing w:val="-26"/>
          <w:w w:val="105"/>
        </w:rPr>
        <w:t> </w:t>
      </w:r>
      <w:r>
        <w:rPr>
          <w:color w:val="231F20"/>
          <w:w w:val="105"/>
        </w:rPr>
        <w:t>este</w:t>
      </w:r>
      <w:r>
        <w:rPr>
          <w:color w:val="231F20"/>
          <w:spacing w:val="-26"/>
          <w:w w:val="105"/>
        </w:rPr>
        <w:t> </w:t>
      </w:r>
      <w:r>
        <w:rPr>
          <w:color w:val="231F20"/>
          <w:w w:val="105"/>
        </w:rPr>
        <w:t>caso</w:t>
      </w:r>
      <w:r>
        <w:rPr>
          <w:color w:val="231F20"/>
          <w:spacing w:val="-26"/>
          <w:w w:val="105"/>
        </w:rPr>
        <w:t> </w:t>
      </w:r>
      <w:r>
        <w:rPr>
          <w:color w:val="231F20"/>
          <w:w w:val="105"/>
        </w:rPr>
        <w:t>es el</w:t>
      </w:r>
      <w:r>
        <w:rPr>
          <w:color w:val="231F20"/>
          <w:spacing w:val="-14"/>
          <w:w w:val="105"/>
        </w:rPr>
        <w:t> </w:t>
      </w:r>
      <w:r>
        <w:rPr>
          <w:color w:val="231F20"/>
          <w:w w:val="105"/>
        </w:rPr>
        <w:t>intento</w:t>
      </w:r>
      <w:r>
        <w:rPr>
          <w:color w:val="231F20"/>
          <w:spacing w:val="-14"/>
          <w:w w:val="105"/>
        </w:rPr>
        <w:t> </w:t>
      </w:r>
      <w:r>
        <w:rPr>
          <w:color w:val="231F20"/>
          <w:w w:val="105"/>
        </w:rPr>
        <w:t>de</w:t>
      </w:r>
      <w:r>
        <w:rPr>
          <w:color w:val="231F20"/>
          <w:spacing w:val="-14"/>
          <w:w w:val="105"/>
        </w:rPr>
        <w:t> </w:t>
      </w:r>
      <w:r>
        <w:rPr>
          <w:color w:val="231F20"/>
          <w:w w:val="105"/>
        </w:rPr>
        <w:t>reclasificar</w:t>
      </w:r>
      <w:r>
        <w:rPr>
          <w:color w:val="231F20"/>
          <w:spacing w:val="-14"/>
          <w:w w:val="105"/>
        </w:rPr>
        <w:t> </w:t>
      </w:r>
      <w:r>
        <w:rPr>
          <w:color w:val="231F20"/>
          <w:w w:val="105"/>
        </w:rPr>
        <w:t>el</w:t>
      </w:r>
      <w:r>
        <w:rPr>
          <w:color w:val="231F20"/>
          <w:spacing w:val="-14"/>
          <w:w w:val="105"/>
        </w:rPr>
        <w:t> </w:t>
      </w:r>
      <w:r>
        <w:rPr>
          <w:color w:val="231F20"/>
          <w:w w:val="105"/>
        </w:rPr>
        <w:t>universo</w:t>
      </w:r>
      <w:r>
        <w:rPr>
          <w:color w:val="231F20"/>
          <w:spacing w:val="-14"/>
          <w:w w:val="105"/>
        </w:rPr>
        <w:t> </w:t>
      </w:r>
      <w:r>
        <w:rPr>
          <w:color w:val="231F20"/>
          <w:w w:val="105"/>
        </w:rPr>
        <w:t>entero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fuerza</w:t>
      </w:r>
      <w:r>
        <w:rPr>
          <w:color w:val="231F20"/>
          <w:spacing w:val="-14"/>
          <w:w w:val="105"/>
        </w:rPr>
        <w:t> </w:t>
      </w:r>
      <w:r>
        <w:rPr>
          <w:color w:val="231F20"/>
          <w:spacing w:val="-3"/>
          <w:w w:val="105"/>
        </w:rPr>
        <w:t>militar,</w:t>
      </w:r>
      <w:r>
        <w:rPr>
          <w:color w:val="231F20"/>
          <w:spacing w:val="-14"/>
          <w:w w:val="105"/>
        </w:rPr>
        <w:t> </w:t>
      </w:r>
      <w:r>
        <w:rPr>
          <w:color w:val="231F20"/>
          <w:w w:val="105"/>
        </w:rPr>
        <w:t>partiendo de</w:t>
      </w:r>
      <w:r>
        <w:rPr>
          <w:color w:val="231F20"/>
          <w:spacing w:val="-15"/>
          <w:w w:val="105"/>
        </w:rPr>
        <w:t> </w:t>
      </w:r>
      <w:r>
        <w:rPr>
          <w:color w:val="231F20"/>
          <w:w w:val="105"/>
        </w:rPr>
        <w:t>la</w:t>
      </w:r>
      <w:r>
        <w:rPr>
          <w:color w:val="231F20"/>
          <w:spacing w:val="-15"/>
          <w:w w:val="105"/>
        </w:rPr>
        <w:t> </w:t>
      </w:r>
      <w:r>
        <w:rPr>
          <w:color w:val="231F20"/>
          <w:w w:val="105"/>
        </w:rPr>
        <w:t>distinción</w:t>
      </w:r>
      <w:r>
        <w:rPr>
          <w:color w:val="231F20"/>
          <w:spacing w:val="-15"/>
          <w:w w:val="105"/>
        </w:rPr>
        <w:t> </w:t>
      </w:r>
      <w:r>
        <w:rPr>
          <w:color w:val="231F20"/>
          <w:w w:val="105"/>
        </w:rPr>
        <w:t>—en</w:t>
      </w:r>
      <w:r>
        <w:rPr>
          <w:color w:val="231F20"/>
          <w:spacing w:val="-15"/>
          <w:w w:val="105"/>
        </w:rPr>
        <w:t> </w:t>
      </w:r>
      <w:r>
        <w:rPr>
          <w:color w:val="231F20"/>
          <w:w w:val="105"/>
        </w:rPr>
        <w:t>sí</w:t>
      </w:r>
      <w:r>
        <w:rPr>
          <w:color w:val="231F20"/>
          <w:spacing w:val="-15"/>
          <w:w w:val="105"/>
        </w:rPr>
        <w:t> </w:t>
      </w:r>
      <w:r>
        <w:rPr>
          <w:color w:val="231F20"/>
          <w:w w:val="105"/>
        </w:rPr>
        <w:t>misma</w:t>
      </w:r>
      <w:r>
        <w:rPr>
          <w:color w:val="231F20"/>
          <w:spacing w:val="-15"/>
          <w:w w:val="105"/>
        </w:rPr>
        <w:t> </w:t>
      </w:r>
      <w:r>
        <w:rPr>
          <w:color w:val="231F20"/>
          <w:w w:val="105"/>
        </w:rPr>
        <w:t>del</w:t>
      </w:r>
      <w:r>
        <w:rPr>
          <w:color w:val="231F20"/>
          <w:spacing w:val="-15"/>
          <w:w w:val="105"/>
        </w:rPr>
        <w:t> </w:t>
      </w:r>
      <w:r>
        <w:rPr>
          <w:color w:val="231F20"/>
          <w:w w:val="105"/>
        </w:rPr>
        <w:t>todo</w:t>
      </w:r>
      <w:r>
        <w:rPr>
          <w:color w:val="231F20"/>
          <w:spacing w:val="-15"/>
          <w:w w:val="105"/>
        </w:rPr>
        <w:t> </w:t>
      </w:r>
      <w:r>
        <w:rPr>
          <w:color w:val="231F20"/>
          <w:w w:val="105"/>
        </w:rPr>
        <w:t>arbitraria—</w:t>
      </w:r>
      <w:r>
        <w:rPr>
          <w:color w:val="231F20"/>
          <w:spacing w:val="-15"/>
          <w:w w:val="105"/>
        </w:rPr>
        <w:t> </w:t>
      </w:r>
      <w:r>
        <w:rPr>
          <w:color w:val="231F20"/>
          <w:w w:val="105"/>
        </w:rPr>
        <w:t>entre</w:t>
      </w:r>
      <w:r>
        <w:rPr>
          <w:color w:val="231F20"/>
          <w:spacing w:val="-15"/>
          <w:w w:val="105"/>
        </w:rPr>
        <w:t> </w:t>
      </w:r>
      <w:r>
        <w:rPr>
          <w:color w:val="231F20"/>
          <w:w w:val="105"/>
        </w:rPr>
        <w:t>actos</w:t>
      </w:r>
      <w:r>
        <w:rPr>
          <w:color w:val="231F20"/>
          <w:spacing w:val="-15"/>
          <w:w w:val="105"/>
        </w:rPr>
        <w:t> </w:t>
      </w:r>
      <w:r>
        <w:rPr>
          <w:color w:val="231F20"/>
          <w:w w:val="105"/>
        </w:rPr>
        <w:t>de</w:t>
      </w:r>
      <w:r>
        <w:rPr>
          <w:color w:val="231F20"/>
          <w:spacing w:val="-15"/>
          <w:w w:val="105"/>
        </w:rPr>
        <w:t> </w:t>
      </w:r>
      <w:r>
        <w:rPr>
          <w:color w:val="231F20"/>
          <w:w w:val="105"/>
        </w:rPr>
        <w:t>violen-</w:t>
      </w:r>
    </w:p>
    <w:p>
      <w:pPr>
        <w:pStyle w:val="BodyText"/>
        <w:spacing w:before="3"/>
        <w:rPr>
          <w:sz w:val="17"/>
        </w:rPr>
      </w:pPr>
      <w:r>
        <w:rPr/>
        <w:pict>
          <v:line style="position:absolute;mso-position-horizontal-relative:page;mso-position-vertical-relative:paragraph;z-index:7768;mso-wrap-distance-left:0;mso-wrap-distance-right:0" from="70.866096pt,12.533797pt" to="184.252096pt,12.533797pt" stroked="true" strokeweight=".3pt" strokecolor="#231f20">
            <w10:wrap type="topAndBottom"/>
          </v:line>
        </w:pict>
      </w:r>
    </w:p>
    <w:p>
      <w:pPr>
        <w:spacing w:line="204" w:lineRule="exact" w:before="9"/>
        <w:ind w:left="117" w:right="101" w:firstLine="0"/>
        <w:jc w:val="both"/>
        <w:rPr>
          <w:rFonts w:ascii="Calibri" w:hAnsi="Calibri"/>
          <w:sz w:val="17"/>
        </w:rPr>
      </w:pPr>
      <w:r>
        <w:rPr>
          <w:rFonts w:ascii="Calibri" w:hAnsi="Calibri"/>
          <w:color w:val="231F20"/>
          <w:position w:val="6"/>
          <w:sz w:val="10"/>
        </w:rPr>
        <w:t>47</w:t>
      </w:r>
      <w:r>
        <w:rPr>
          <w:rFonts w:ascii="Calibri" w:hAnsi="Calibri"/>
          <w:color w:val="231F20"/>
          <w:spacing w:val="10"/>
          <w:position w:val="6"/>
          <w:sz w:val="10"/>
        </w:rPr>
        <w:t> </w:t>
      </w:r>
      <w:r>
        <w:rPr>
          <w:rFonts w:ascii="Calibri" w:hAnsi="Calibri"/>
          <w:color w:val="231F20"/>
          <w:sz w:val="17"/>
        </w:rPr>
        <w:t>C.</w:t>
      </w:r>
      <w:r>
        <w:rPr>
          <w:rFonts w:ascii="Calibri" w:hAnsi="Calibri"/>
          <w:color w:val="231F20"/>
          <w:spacing w:val="-6"/>
          <w:sz w:val="17"/>
        </w:rPr>
        <w:t> </w:t>
      </w:r>
      <w:r>
        <w:rPr>
          <w:rFonts w:ascii="Calibri" w:hAnsi="Calibri"/>
          <w:color w:val="231F20"/>
          <w:sz w:val="17"/>
        </w:rPr>
        <w:t>Schmitt,</w:t>
      </w:r>
      <w:r>
        <w:rPr>
          <w:rFonts w:ascii="Calibri" w:hAnsi="Calibri"/>
          <w:color w:val="231F20"/>
          <w:spacing w:val="-5"/>
          <w:sz w:val="17"/>
        </w:rPr>
        <w:t> </w:t>
      </w:r>
      <w:r>
        <w:rPr>
          <w:rFonts w:ascii="Calibri" w:hAnsi="Calibri"/>
          <w:i/>
          <w:color w:val="231F20"/>
          <w:sz w:val="17"/>
        </w:rPr>
        <w:t>Der</w:t>
      </w:r>
      <w:r>
        <w:rPr>
          <w:rFonts w:ascii="Calibri" w:hAnsi="Calibri"/>
          <w:i/>
          <w:color w:val="231F20"/>
          <w:spacing w:val="-6"/>
          <w:sz w:val="17"/>
        </w:rPr>
        <w:t> </w:t>
      </w:r>
      <w:r>
        <w:rPr>
          <w:rFonts w:ascii="Calibri" w:hAnsi="Calibri"/>
          <w:i/>
          <w:color w:val="231F20"/>
          <w:sz w:val="17"/>
        </w:rPr>
        <w:t>Nomos</w:t>
      </w:r>
      <w:r>
        <w:rPr>
          <w:rFonts w:ascii="Calibri" w:hAnsi="Calibri"/>
          <w:i/>
          <w:color w:val="231F20"/>
          <w:spacing w:val="-6"/>
          <w:sz w:val="17"/>
        </w:rPr>
        <w:t> </w:t>
      </w:r>
      <w:r>
        <w:rPr>
          <w:rFonts w:ascii="Calibri" w:hAnsi="Calibri"/>
          <w:i/>
          <w:color w:val="231F20"/>
          <w:sz w:val="17"/>
        </w:rPr>
        <w:t>der</w:t>
      </w:r>
      <w:r>
        <w:rPr>
          <w:rFonts w:ascii="Calibri" w:hAnsi="Calibri"/>
          <w:i/>
          <w:color w:val="231F20"/>
          <w:spacing w:val="-6"/>
          <w:sz w:val="17"/>
        </w:rPr>
        <w:t> </w:t>
      </w:r>
      <w:r>
        <w:rPr>
          <w:rFonts w:ascii="Calibri" w:hAnsi="Calibri"/>
          <w:i/>
          <w:color w:val="231F20"/>
          <w:sz w:val="17"/>
        </w:rPr>
        <w:t>Erde</w:t>
      </w:r>
      <w:r>
        <w:rPr>
          <w:rFonts w:ascii="Calibri" w:hAnsi="Calibri"/>
          <w:i/>
          <w:color w:val="231F20"/>
          <w:spacing w:val="-6"/>
          <w:sz w:val="17"/>
        </w:rPr>
        <w:t> </w:t>
      </w:r>
      <w:r>
        <w:rPr>
          <w:rFonts w:ascii="Calibri" w:hAnsi="Calibri"/>
          <w:i/>
          <w:color w:val="231F20"/>
          <w:sz w:val="17"/>
        </w:rPr>
        <w:t>im</w:t>
      </w:r>
      <w:r>
        <w:rPr>
          <w:rFonts w:ascii="Calibri" w:hAnsi="Calibri"/>
          <w:i/>
          <w:color w:val="231F20"/>
          <w:spacing w:val="-9"/>
          <w:sz w:val="17"/>
        </w:rPr>
        <w:t> </w:t>
      </w:r>
      <w:r>
        <w:rPr>
          <w:rFonts w:ascii="Calibri" w:hAnsi="Calibri"/>
          <w:i/>
          <w:color w:val="231F20"/>
          <w:sz w:val="17"/>
        </w:rPr>
        <w:t>Völkerrecht</w:t>
      </w:r>
      <w:r>
        <w:rPr>
          <w:rFonts w:ascii="Calibri" w:hAnsi="Calibri"/>
          <w:i/>
          <w:color w:val="231F20"/>
          <w:spacing w:val="-6"/>
          <w:sz w:val="17"/>
        </w:rPr>
        <w:t> </w:t>
      </w:r>
      <w:r>
        <w:rPr>
          <w:rFonts w:ascii="Calibri" w:hAnsi="Calibri"/>
          <w:i/>
          <w:color w:val="231F20"/>
          <w:sz w:val="17"/>
        </w:rPr>
        <w:t>des</w:t>
      </w:r>
      <w:r>
        <w:rPr>
          <w:rFonts w:ascii="Calibri" w:hAnsi="Calibri"/>
          <w:i/>
          <w:color w:val="231F20"/>
          <w:spacing w:val="-6"/>
          <w:sz w:val="17"/>
        </w:rPr>
        <w:t> </w:t>
      </w:r>
      <w:r>
        <w:rPr>
          <w:rFonts w:ascii="Calibri" w:hAnsi="Calibri"/>
          <w:i/>
          <w:color w:val="231F20"/>
          <w:sz w:val="17"/>
        </w:rPr>
        <w:t>Jus</w:t>
      </w:r>
      <w:r>
        <w:rPr>
          <w:rFonts w:ascii="Calibri" w:hAnsi="Calibri"/>
          <w:i/>
          <w:color w:val="231F20"/>
          <w:spacing w:val="-6"/>
          <w:sz w:val="17"/>
        </w:rPr>
        <w:t> </w:t>
      </w:r>
      <w:r>
        <w:rPr>
          <w:rFonts w:ascii="Calibri" w:hAnsi="Calibri"/>
          <w:i/>
          <w:color w:val="231F20"/>
          <w:sz w:val="17"/>
        </w:rPr>
        <w:t>Publicum</w:t>
      </w:r>
      <w:r>
        <w:rPr>
          <w:rFonts w:ascii="Calibri" w:hAnsi="Calibri"/>
          <w:i/>
          <w:color w:val="231F20"/>
          <w:spacing w:val="-6"/>
          <w:sz w:val="17"/>
        </w:rPr>
        <w:t> </w:t>
      </w:r>
      <w:r>
        <w:rPr>
          <w:rFonts w:ascii="Calibri" w:hAnsi="Calibri"/>
          <w:i/>
          <w:color w:val="231F20"/>
          <w:sz w:val="17"/>
        </w:rPr>
        <w:t>Europeum</w:t>
      </w:r>
      <w:r>
        <w:rPr>
          <w:rFonts w:ascii="Calibri" w:hAnsi="Calibri"/>
          <w:color w:val="231F20"/>
          <w:sz w:val="17"/>
        </w:rPr>
        <w:t>,</w:t>
      </w:r>
      <w:r>
        <w:rPr>
          <w:rFonts w:ascii="Calibri" w:hAnsi="Calibri"/>
          <w:color w:val="231F20"/>
          <w:spacing w:val="-6"/>
          <w:sz w:val="17"/>
        </w:rPr>
        <w:t> </w:t>
      </w:r>
      <w:r>
        <w:rPr>
          <w:rFonts w:ascii="Calibri" w:hAnsi="Calibri"/>
          <w:color w:val="231F20"/>
          <w:sz w:val="17"/>
        </w:rPr>
        <w:t>Berlin,</w:t>
      </w:r>
      <w:r>
        <w:rPr>
          <w:rFonts w:ascii="Calibri" w:hAnsi="Calibri"/>
          <w:color w:val="231F20"/>
          <w:spacing w:val="-6"/>
          <w:sz w:val="17"/>
        </w:rPr>
        <w:t> </w:t>
      </w:r>
      <w:r>
        <w:rPr>
          <w:rFonts w:ascii="Calibri" w:hAnsi="Calibri"/>
          <w:color w:val="231F20"/>
          <w:sz w:val="17"/>
        </w:rPr>
        <w:t>Duncker</w:t>
      </w:r>
      <w:r>
        <w:rPr>
          <w:rFonts w:ascii="Calibri" w:hAnsi="Calibri"/>
          <w:color w:val="231F20"/>
          <w:spacing w:val="-6"/>
          <w:sz w:val="17"/>
        </w:rPr>
        <w:t> </w:t>
      </w:r>
      <w:r>
        <w:rPr>
          <w:rFonts w:ascii="Calibri" w:hAnsi="Calibri"/>
          <w:color w:val="231F20"/>
          <w:sz w:val="17"/>
        </w:rPr>
        <w:t>&amp;</w:t>
      </w:r>
      <w:r>
        <w:rPr>
          <w:rFonts w:ascii="Calibri" w:hAnsi="Calibri"/>
          <w:color w:val="231F20"/>
          <w:spacing w:val="-6"/>
          <w:sz w:val="17"/>
        </w:rPr>
        <w:t> </w:t>
      </w:r>
      <w:r>
        <w:rPr>
          <w:rFonts w:ascii="Calibri" w:hAnsi="Calibri"/>
          <w:color w:val="231F20"/>
          <w:sz w:val="17"/>
        </w:rPr>
        <w:t>Hum- blot, </w:t>
      </w:r>
      <w:r>
        <w:rPr>
          <w:rFonts w:ascii="Calibri" w:hAnsi="Calibri"/>
          <w:color w:val="231F20"/>
          <w:spacing w:val="-3"/>
          <w:sz w:val="17"/>
        </w:rPr>
        <w:t>1974 </w:t>
      </w:r>
      <w:r>
        <w:rPr>
          <w:rFonts w:ascii="Calibri" w:hAnsi="Calibri"/>
          <w:color w:val="231F20"/>
          <w:sz w:val="17"/>
        </w:rPr>
        <w:t>(trad. it. </w:t>
      </w:r>
      <w:r>
        <w:rPr>
          <w:rFonts w:ascii="Calibri" w:hAnsi="Calibri"/>
          <w:i/>
          <w:color w:val="231F20"/>
          <w:sz w:val="17"/>
        </w:rPr>
        <w:t>Il nomos della terra nel diritto internazionale dello </w:t>
      </w:r>
      <w:r>
        <w:rPr>
          <w:rFonts w:ascii="Calibri" w:hAnsi="Calibri"/>
          <w:color w:val="231F20"/>
          <w:sz w:val="17"/>
        </w:rPr>
        <w:t>“</w:t>
      </w:r>
      <w:r>
        <w:rPr>
          <w:rFonts w:ascii="Calibri" w:hAnsi="Calibri"/>
          <w:i/>
          <w:color w:val="231F20"/>
          <w:sz w:val="17"/>
        </w:rPr>
        <w:t>Jus publicum europeum</w:t>
      </w:r>
      <w:r>
        <w:rPr>
          <w:rFonts w:ascii="Calibri" w:hAnsi="Calibri"/>
          <w:color w:val="231F20"/>
          <w:sz w:val="17"/>
        </w:rPr>
        <w:t>”, Mi- lano, Adelphi, 1991, p.</w:t>
      </w:r>
      <w:r>
        <w:rPr>
          <w:rFonts w:ascii="Calibri" w:hAnsi="Calibri"/>
          <w:color w:val="231F20"/>
          <w:spacing w:val="-15"/>
          <w:sz w:val="17"/>
        </w:rPr>
        <w:t> </w:t>
      </w:r>
      <w:r>
        <w:rPr>
          <w:rFonts w:ascii="Calibri" w:hAnsi="Calibri"/>
          <w:color w:val="231F20"/>
          <w:sz w:val="17"/>
        </w:rPr>
        <w:t>430).</w:t>
      </w:r>
    </w:p>
    <w:p>
      <w:pPr>
        <w:spacing w:line="204" w:lineRule="exact" w:before="0"/>
        <w:ind w:left="117" w:right="101" w:firstLine="0"/>
        <w:jc w:val="both"/>
        <w:rPr>
          <w:rFonts w:ascii="Calibri" w:hAnsi="Calibri"/>
          <w:sz w:val="17"/>
        </w:rPr>
      </w:pPr>
      <w:r>
        <w:rPr>
          <w:rFonts w:ascii="Calibri" w:hAnsi="Calibri"/>
          <w:color w:val="231F20"/>
          <w:w w:val="105"/>
          <w:position w:val="6"/>
          <w:sz w:val="10"/>
        </w:rPr>
        <w:t>48</w:t>
      </w:r>
      <w:r>
        <w:rPr>
          <w:rFonts w:ascii="Calibri" w:hAnsi="Calibri"/>
          <w:color w:val="231F20"/>
          <w:spacing w:val="1"/>
          <w:w w:val="105"/>
          <w:position w:val="6"/>
          <w:sz w:val="10"/>
        </w:rPr>
        <w:t> </w:t>
      </w:r>
      <w:r>
        <w:rPr>
          <w:rFonts w:ascii="Calibri" w:hAnsi="Calibri"/>
          <w:color w:val="231F20"/>
          <w:w w:val="105"/>
          <w:sz w:val="17"/>
        </w:rPr>
        <w:t>M.</w:t>
      </w:r>
      <w:r>
        <w:rPr>
          <w:rFonts w:ascii="Calibri" w:hAnsi="Calibri"/>
          <w:color w:val="231F20"/>
          <w:spacing w:val="-16"/>
          <w:w w:val="105"/>
          <w:sz w:val="17"/>
        </w:rPr>
        <w:t> </w:t>
      </w:r>
      <w:r>
        <w:rPr>
          <w:rFonts w:ascii="Calibri" w:hAnsi="Calibri"/>
          <w:color w:val="231F20"/>
          <w:w w:val="105"/>
          <w:sz w:val="17"/>
        </w:rPr>
        <w:t>Koskenniemi,</w:t>
      </w:r>
      <w:r>
        <w:rPr>
          <w:rFonts w:ascii="Calibri" w:hAnsi="Calibri"/>
          <w:color w:val="231F20"/>
          <w:spacing w:val="-16"/>
          <w:w w:val="105"/>
          <w:sz w:val="17"/>
        </w:rPr>
        <w:t> </w:t>
      </w:r>
      <w:r>
        <w:rPr>
          <w:rFonts w:ascii="Calibri" w:hAnsi="Calibri"/>
          <w:color w:val="231F20"/>
          <w:w w:val="105"/>
          <w:sz w:val="17"/>
        </w:rPr>
        <w:t>“International</w:t>
      </w:r>
      <w:r>
        <w:rPr>
          <w:rFonts w:ascii="Calibri" w:hAnsi="Calibri"/>
          <w:color w:val="231F20"/>
          <w:spacing w:val="-16"/>
          <w:w w:val="105"/>
          <w:sz w:val="17"/>
        </w:rPr>
        <w:t> </w:t>
      </w:r>
      <w:r>
        <w:rPr>
          <w:rFonts w:ascii="Calibri" w:hAnsi="Calibri"/>
          <w:color w:val="231F20"/>
          <w:w w:val="105"/>
          <w:sz w:val="17"/>
        </w:rPr>
        <w:t>Law</w:t>
      </w:r>
      <w:r>
        <w:rPr>
          <w:rFonts w:ascii="Calibri" w:hAnsi="Calibri"/>
          <w:color w:val="231F20"/>
          <w:spacing w:val="-16"/>
          <w:w w:val="105"/>
          <w:sz w:val="17"/>
        </w:rPr>
        <w:t> </w:t>
      </w:r>
      <w:r>
        <w:rPr>
          <w:rFonts w:ascii="Calibri" w:hAnsi="Calibri"/>
          <w:color w:val="231F20"/>
          <w:w w:val="105"/>
          <w:sz w:val="17"/>
        </w:rPr>
        <w:t>as</w:t>
      </w:r>
      <w:r>
        <w:rPr>
          <w:rFonts w:ascii="Calibri" w:hAnsi="Calibri"/>
          <w:color w:val="231F20"/>
          <w:spacing w:val="-16"/>
          <w:w w:val="105"/>
          <w:sz w:val="17"/>
        </w:rPr>
        <w:t> </w:t>
      </w:r>
      <w:r>
        <w:rPr>
          <w:rFonts w:ascii="Calibri" w:hAnsi="Calibri"/>
          <w:color w:val="231F20"/>
          <w:w w:val="105"/>
          <w:sz w:val="17"/>
        </w:rPr>
        <w:t>Political</w:t>
      </w:r>
      <w:r>
        <w:rPr>
          <w:rFonts w:ascii="Calibri" w:hAnsi="Calibri"/>
          <w:color w:val="231F20"/>
          <w:spacing w:val="-19"/>
          <w:w w:val="105"/>
          <w:sz w:val="17"/>
        </w:rPr>
        <w:t> </w:t>
      </w:r>
      <w:r>
        <w:rPr>
          <w:rFonts w:ascii="Calibri" w:hAnsi="Calibri"/>
          <w:color w:val="231F20"/>
          <w:w w:val="105"/>
          <w:sz w:val="17"/>
        </w:rPr>
        <w:t>Theology:</w:t>
      </w:r>
      <w:r>
        <w:rPr>
          <w:rFonts w:ascii="Calibri" w:hAnsi="Calibri"/>
          <w:color w:val="231F20"/>
          <w:spacing w:val="-16"/>
          <w:w w:val="105"/>
          <w:sz w:val="17"/>
        </w:rPr>
        <w:t> </w:t>
      </w:r>
      <w:r>
        <w:rPr>
          <w:rFonts w:ascii="Calibri" w:hAnsi="Calibri"/>
          <w:color w:val="231F20"/>
          <w:w w:val="105"/>
          <w:sz w:val="17"/>
        </w:rPr>
        <w:t>How</w:t>
      </w:r>
      <w:r>
        <w:rPr>
          <w:rFonts w:ascii="Calibri" w:hAnsi="Calibri"/>
          <w:color w:val="231F20"/>
          <w:spacing w:val="-16"/>
          <w:w w:val="105"/>
          <w:sz w:val="17"/>
        </w:rPr>
        <w:t> </w:t>
      </w:r>
      <w:r>
        <w:rPr>
          <w:rFonts w:ascii="Calibri" w:hAnsi="Calibri"/>
          <w:color w:val="231F20"/>
          <w:w w:val="105"/>
          <w:sz w:val="17"/>
        </w:rPr>
        <w:t>to</w:t>
      </w:r>
      <w:r>
        <w:rPr>
          <w:rFonts w:ascii="Calibri" w:hAnsi="Calibri"/>
          <w:color w:val="231F20"/>
          <w:spacing w:val="-16"/>
          <w:w w:val="105"/>
          <w:sz w:val="17"/>
        </w:rPr>
        <w:t> </w:t>
      </w:r>
      <w:r>
        <w:rPr>
          <w:rFonts w:ascii="Calibri" w:hAnsi="Calibri"/>
          <w:color w:val="231F20"/>
          <w:w w:val="105"/>
          <w:sz w:val="17"/>
        </w:rPr>
        <w:t>Read</w:t>
      </w:r>
      <w:r>
        <w:rPr>
          <w:rFonts w:ascii="Calibri" w:hAnsi="Calibri"/>
          <w:color w:val="231F20"/>
          <w:spacing w:val="-16"/>
          <w:w w:val="105"/>
          <w:sz w:val="17"/>
        </w:rPr>
        <w:t> </w:t>
      </w:r>
      <w:r>
        <w:rPr>
          <w:rFonts w:ascii="Calibri" w:hAnsi="Calibri"/>
          <w:color w:val="231F20"/>
          <w:w w:val="105"/>
          <w:sz w:val="17"/>
        </w:rPr>
        <w:t>Nomos</w:t>
      </w:r>
      <w:r>
        <w:rPr>
          <w:rFonts w:ascii="Calibri" w:hAnsi="Calibri"/>
          <w:color w:val="231F20"/>
          <w:spacing w:val="-16"/>
          <w:w w:val="105"/>
          <w:sz w:val="17"/>
        </w:rPr>
        <w:t> </w:t>
      </w:r>
      <w:r>
        <w:rPr>
          <w:rFonts w:ascii="Calibri" w:hAnsi="Calibri"/>
          <w:color w:val="231F20"/>
          <w:w w:val="105"/>
          <w:sz w:val="17"/>
        </w:rPr>
        <w:t>der</w:t>
      </w:r>
      <w:r>
        <w:rPr>
          <w:rFonts w:ascii="Calibri" w:hAnsi="Calibri"/>
          <w:color w:val="231F20"/>
          <w:spacing w:val="-16"/>
          <w:w w:val="105"/>
          <w:sz w:val="17"/>
        </w:rPr>
        <w:t> </w:t>
      </w:r>
      <w:r>
        <w:rPr>
          <w:rFonts w:ascii="Calibri" w:hAnsi="Calibri"/>
          <w:color w:val="231F20"/>
          <w:w w:val="105"/>
          <w:sz w:val="17"/>
        </w:rPr>
        <w:t>Erde?”,</w:t>
      </w:r>
      <w:r>
        <w:rPr>
          <w:rFonts w:ascii="Calibri" w:hAnsi="Calibri"/>
          <w:color w:val="231F20"/>
          <w:spacing w:val="-17"/>
          <w:w w:val="105"/>
          <w:sz w:val="17"/>
        </w:rPr>
        <w:t> </w:t>
      </w:r>
      <w:r>
        <w:rPr>
          <w:rFonts w:ascii="Calibri" w:hAnsi="Calibri"/>
          <w:i/>
          <w:color w:val="231F20"/>
          <w:w w:val="105"/>
          <w:sz w:val="17"/>
        </w:rPr>
        <w:t>Cons- </w:t>
      </w:r>
      <w:r>
        <w:rPr>
          <w:rFonts w:ascii="Calibri" w:hAnsi="Calibri"/>
          <w:i/>
          <w:color w:val="231F20"/>
          <w:sz w:val="17"/>
        </w:rPr>
        <w:t>tellations</w:t>
      </w:r>
      <w:r>
        <w:rPr>
          <w:rFonts w:ascii="Calibri" w:hAnsi="Calibri"/>
          <w:color w:val="231F20"/>
          <w:sz w:val="17"/>
        </w:rPr>
        <w:t>,</w:t>
      </w:r>
      <w:r>
        <w:rPr>
          <w:rFonts w:ascii="Calibri" w:hAnsi="Calibri"/>
          <w:color w:val="231F20"/>
          <w:spacing w:val="-8"/>
          <w:sz w:val="17"/>
        </w:rPr>
        <w:t> </w:t>
      </w:r>
      <w:r>
        <w:rPr>
          <w:rFonts w:ascii="Calibri" w:hAnsi="Calibri"/>
          <w:color w:val="231F20"/>
          <w:sz w:val="17"/>
        </w:rPr>
        <w:t>no.</w:t>
      </w:r>
      <w:r>
        <w:rPr>
          <w:rFonts w:ascii="Calibri" w:hAnsi="Calibri"/>
          <w:color w:val="231F20"/>
          <w:spacing w:val="-8"/>
          <w:sz w:val="17"/>
        </w:rPr>
        <w:t> </w:t>
      </w:r>
      <w:r>
        <w:rPr>
          <w:rFonts w:ascii="Calibri" w:hAnsi="Calibri"/>
          <w:color w:val="231F20"/>
          <w:sz w:val="17"/>
        </w:rPr>
        <w:t>4,</w:t>
      </w:r>
      <w:r>
        <w:rPr>
          <w:rFonts w:ascii="Calibri" w:hAnsi="Calibri"/>
          <w:color w:val="231F20"/>
          <w:spacing w:val="-8"/>
          <w:sz w:val="17"/>
        </w:rPr>
        <w:t> </w:t>
      </w:r>
      <w:r>
        <w:rPr>
          <w:rFonts w:ascii="Calibri" w:hAnsi="Calibri"/>
          <w:color w:val="231F20"/>
          <w:sz w:val="17"/>
        </w:rPr>
        <w:t>2004,</w:t>
      </w:r>
      <w:r>
        <w:rPr>
          <w:rFonts w:ascii="Calibri" w:hAnsi="Calibri"/>
          <w:color w:val="231F20"/>
          <w:spacing w:val="-8"/>
          <w:sz w:val="17"/>
        </w:rPr>
        <w:t> </w:t>
      </w:r>
      <w:r>
        <w:rPr>
          <w:rFonts w:ascii="Calibri" w:hAnsi="Calibri"/>
          <w:color w:val="231F20"/>
          <w:sz w:val="17"/>
        </w:rPr>
        <w:t>pp.</w:t>
      </w:r>
      <w:r>
        <w:rPr>
          <w:rFonts w:ascii="Calibri" w:hAnsi="Calibri"/>
          <w:color w:val="231F20"/>
          <w:spacing w:val="-8"/>
          <w:sz w:val="17"/>
        </w:rPr>
        <w:t> </w:t>
      </w:r>
      <w:r>
        <w:rPr>
          <w:rFonts w:ascii="Calibri" w:hAnsi="Calibri"/>
          <w:color w:val="231F20"/>
          <w:sz w:val="17"/>
        </w:rPr>
        <w:t>492–511,</w:t>
      </w:r>
      <w:r>
        <w:rPr>
          <w:rFonts w:ascii="Calibri" w:hAnsi="Calibri"/>
          <w:color w:val="231F20"/>
          <w:spacing w:val="-8"/>
          <w:sz w:val="17"/>
        </w:rPr>
        <w:t> </w:t>
      </w:r>
      <w:r>
        <w:rPr>
          <w:rFonts w:ascii="Calibri" w:hAnsi="Calibri"/>
          <w:color w:val="231F20"/>
          <w:sz w:val="17"/>
        </w:rPr>
        <w:t>p.</w:t>
      </w:r>
      <w:r>
        <w:rPr>
          <w:rFonts w:ascii="Calibri" w:hAnsi="Calibri"/>
          <w:color w:val="231F20"/>
          <w:spacing w:val="-8"/>
          <w:sz w:val="17"/>
        </w:rPr>
        <w:t> </w:t>
      </w:r>
      <w:r>
        <w:rPr>
          <w:rFonts w:ascii="Calibri" w:hAnsi="Calibri"/>
          <w:color w:val="231F20"/>
          <w:sz w:val="17"/>
        </w:rPr>
        <w:t>493.</w:t>
      </w:r>
    </w:p>
    <w:p>
      <w:pPr>
        <w:spacing w:line="206" w:lineRule="exact" w:before="1"/>
        <w:ind w:left="117" w:right="0" w:firstLine="0"/>
        <w:jc w:val="both"/>
        <w:rPr>
          <w:rFonts w:ascii="Calibri" w:hAnsi="Calibri"/>
          <w:sz w:val="17"/>
        </w:rPr>
      </w:pPr>
      <w:r>
        <w:rPr>
          <w:rFonts w:ascii="Calibri" w:hAnsi="Calibri"/>
          <w:color w:val="231F20"/>
          <w:w w:val="105"/>
          <w:position w:val="6"/>
          <w:sz w:val="10"/>
        </w:rPr>
        <w:t>49</w:t>
      </w:r>
      <w:r>
        <w:rPr>
          <w:rFonts w:ascii="Calibri" w:hAnsi="Calibri"/>
          <w:color w:val="231F20"/>
          <w:spacing w:val="1"/>
          <w:w w:val="105"/>
          <w:position w:val="6"/>
          <w:sz w:val="10"/>
        </w:rPr>
        <w:t> </w:t>
      </w:r>
      <w:r>
        <w:rPr>
          <w:rFonts w:ascii="Calibri" w:hAnsi="Calibri"/>
          <w:color w:val="231F20"/>
          <w:w w:val="105"/>
          <w:sz w:val="17"/>
        </w:rPr>
        <w:t>Schmitt,</w:t>
      </w:r>
      <w:r>
        <w:rPr>
          <w:rFonts w:ascii="Calibri" w:hAnsi="Calibri"/>
          <w:color w:val="231F20"/>
          <w:spacing w:val="-16"/>
          <w:w w:val="105"/>
          <w:sz w:val="17"/>
        </w:rPr>
        <w:t> </w:t>
      </w:r>
      <w:r>
        <w:rPr>
          <w:rFonts w:ascii="Calibri" w:hAnsi="Calibri"/>
          <w:i/>
          <w:color w:val="231F20"/>
          <w:w w:val="105"/>
          <w:sz w:val="17"/>
        </w:rPr>
        <w:t>Il</w:t>
      </w:r>
      <w:r>
        <w:rPr>
          <w:rFonts w:ascii="Calibri" w:hAnsi="Calibri"/>
          <w:i/>
          <w:color w:val="231F20"/>
          <w:spacing w:val="-16"/>
          <w:w w:val="105"/>
          <w:sz w:val="17"/>
        </w:rPr>
        <w:t> </w:t>
      </w:r>
      <w:r>
        <w:rPr>
          <w:rFonts w:ascii="Calibri" w:hAnsi="Calibri"/>
          <w:i/>
          <w:color w:val="231F20"/>
          <w:w w:val="105"/>
          <w:sz w:val="17"/>
        </w:rPr>
        <w:t>concetto</w:t>
      </w:r>
      <w:r>
        <w:rPr>
          <w:rFonts w:ascii="Calibri" w:hAnsi="Calibri"/>
          <w:i/>
          <w:color w:val="231F20"/>
          <w:spacing w:val="-16"/>
          <w:w w:val="105"/>
          <w:sz w:val="17"/>
        </w:rPr>
        <w:t> </w:t>
      </w:r>
      <w:r>
        <w:rPr>
          <w:rFonts w:ascii="Calibri" w:hAnsi="Calibri"/>
          <w:i/>
          <w:color w:val="231F20"/>
          <w:w w:val="105"/>
          <w:sz w:val="17"/>
        </w:rPr>
        <w:t>di</w:t>
      </w:r>
      <w:r>
        <w:rPr>
          <w:rFonts w:ascii="Calibri" w:hAnsi="Calibri"/>
          <w:i/>
          <w:color w:val="231F20"/>
          <w:spacing w:val="-16"/>
          <w:w w:val="105"/>
          <w:sz w:val="17"/>
        </w:rPr>
        <w:t> </w:t>
      </w:r>
      <w:r>
        <w:rPr>
          <w:rFonts w:ascii="Calibri" w:hAnsi="Calibri"/>
          <w:i/>
          <w:color w:val="231F20"/>
          <w:w w:val="105"/>
          <w:sz w:val="17"/>
        </w:rPr>
        <w:t>‘politico’</w:t>
      </w:r>
      <w:r>
        <w:rPr>
          <w:rFonts w:ascii="Calibri" w:hAnsi="Calibri"/>
          <w:color w:val="231F20"/>
          <w:w w:val="105"/>
          <w:sz w:val="17"/>
        </w:rPr>
        <w:t>,</w:t>
      </w:r>
      <w:r>
        <w:rPr>
          <w:rFonts w:ascii="Calibri" w:hAnsi="Calibri"/>
          <w:color w:val="231F20"/>
          <w:spacing w:val="-16"/>
          <w:w w:val="105"/>
          <w:sz w:val="17"/>
        </w:rPr>
        <w:t> </w:t>
      </w:r>
      <w:r>
        <w:rPr>
          <w:rFonts w:ascii="Calibri" w:hAnsi="Calibri"/>
          <w:color w:val="231F20"/>
          <w:w w:val="105"/>
          <w:sz w:val="17"/>
        </w:rPr>
        <w:t>p.</w:t>
      </w:r>
      <w:r>
        <w:rPr>
          <w:rFonts w:ascii="Calibri" w:hAnsi="Calibri"/>
          <w:color w:val="231F20"/>
          <w:spacing w:val="-16"/>
          <w:w w:val="105"/>
          <w:sz w:val="17"/>
        </w:rPr>
        <w:t> </w:t>
      </w:r>
      <w:r>
        <w:rPr>
          <w:rFonts w:ascii="Calibri" w:hAnsi="Calibri"/>
          <w:color w:val="231F20"/>
          <w:w w:val="105"/>
          <w:sz w:val="17"/>
        </w:rPr>
        <w:t>139;</w:t>
      </w:r>
      <w:r>
        <w:rPr>
          <w:rFonts w:ascii="Calibri" w:hAnsi="Calibri"/>
          <w:color w:val="231F20"/>
          <w:spacing w:val="-16"/>
          <w:w w:val="105"/>
          <w:sz w:val="17"/>
        </w:rPr>
        <w:t> </w:t>
      </w:r>
      <w:r>
        <w:rPr>
          <w:rFonts w:ascii="Calibri" w:hAnsi="Calibri"/>
          <w:color w:val="231F20"/>
          <w:w w:val="105"/>
          <w:sz w:val="17"/>
        </w:rPr>
        <w:t>Schmitt,</w:t>
      </w:r>
      <w:r>
        <w:rPr>
          <w:rFonts w:ascii="Calibri" w:hAnsi="Calibri"/>
          <w:color w:val="231F20"/>
          <w:spacing w:val="-16"/>
          <w:w w:val="105"/>
          <w:sz w:val="17"/>
        </w:rPr>
        <w:t> </w:t>
      </w:r>
      <w:r>
        <w:rPr>
          <w:rFonts w:ascii="Calibri" w:hAnsi="Calibri"/>
          <w:color w:val="231F20"/>
          <w:w w:val="105"/>
          <w:sz w:val="17"/>
        </w:rPr>
        <w:t>“Staatsethik</w:t>
      </w:r>
      <w:r>
        <w:rPr>
          <w:rFonts w:ascii="Calibri" w:hAnsi="Calibri"/>
          <w:color w:val="231F20"/>
          <w:spacing w:val="-16"/>
          <w:w w:val="105"/>
          <w:sz w:val="17"/>
        </w:rPr>
        <w:t> </w:t>
      </w:r>
      <w:r>
        <w:rPr>
          <w:rFonts w:ascii="Calibri" w:hAnsi="Calibri"/>
          <w:color w:val="231F20"/>
          <w:w w:val="105"/>
          <w:sz w:val="17"/>
        </w:rPr>
        <w:t>und</w:t>
      </w:r>
      <w:r>
        <w:rPr>
          <w:rFonts w:ascii="Calibri" w:hAnsi="Calibri"/>
          <w:color w:val="231F20"/>
          <w:spacing w:val="-16"/>
          <w:w w:val="105"/>
          <w:sz w:val="17"/>
        </w:rPr>
        <w:t> </w:t>
      </w:r>
      <w:r>
        <w:rPr>
          <w:rFonts w:ascii="Calibri" w:hAnsi="Calibri"/>
          <w:color w:val="231F20"/>
          <w:w w:val="105"/>
          <w:sz w:val="17"/>
        </w:rPr>
        <w:t>pluralistischer</w:t>
      </w:r>
      <w:r>
        <w:rPr>
          <w:rFonts w:ascii="Calibri" w:hAnsi="Calibri"/>
          <w:color w:val="231F20"/>
          <w:spacing w:val="-16"/>
          <w:w w:val="105"/>
          <w:sz w:val="17"/>
        </w:rPr>
        <w:t> </w:t>
      </w:r>
      <w:r>
        <w:rPr>
          <w:rFonts w:ascii="Calibri" w:hAnsi="Calibri"/>
          <w:color w:val="231F20"/>
          <w:w w:val="105"/>
          <w:sz w:val="17"/>
        </w:rPr>
        <w:t>Staat</w:t>
      </w:r>
      <w:r>
        <w:rPr>
          <w:rFonts w:ascii="Calibri" w:hAnsi="Calibri"/>
          <w:color w:val="231F20"/>
          <w:spacing w:val="-16"/>
          <w:w w:val="105"/>
          <w:sz w:val="17"/>
        </w:rPr>
        <w:t> </w:t>
      </w:r>
      <w:r>
        <w:rPr>
          <w:rFonts w:ascii="Calibri" w:hAnsi="Calibri"/>
          <w:color w:val="231F20"/>
          <w:w w:val="105"/>
          <w:sz w:val="17"/>
        </w:rPr>
        <w:t>(1930)”,</w:t>
      </w:r>
      <w:r>
        <w:rPr>
          <w:rFonts w:ascii="Calibri" w:hAnsi="Calibri"/>
          <w:color w:val="231F20"/>
          <w:spacing w:val="-16"/>
          <w:w w:val="105"/>
          <w:sz w:val="17"/>
        </w:rPr>
        <w:t> </w:t>
      </w:r>
      <w:r>
        <w:rPr>
          <w:rFonts w:ascii="Calibri" w:hAnsi="Calibri"/>
          <w:color w:val="231F20"/>
          <w:w w:val="105"/>
          <w:sz w:val="17"/>
        </w:rPr>
        <w:t>p.</w:t>
      </w:r>
    </w:p>
    <w:p>
      <w:pPr>
        <w:spacing w:line="235" w:lineRule="auto" w:before="1"/>
        <w:ind w:left="117" w:right="101" w:firstLine="0"/>
        <w:jc w:val="both"/>
        <w:rPr>
          <w:rFonts w:ascii="Calibri" w:hAnsi="Calibri"/>
          <w:sz w:val="17"/>
        </w:rPr>
      </w:pPr>
      <w:r>
        <w:rPr>
          <w:rFonts w:ascii="Calibri" w:hAnsi="Calibri"/>
          <w:color w:val="231F20"/>
          <w:sz w:val="17"/>
        </w:rPr>
        <w:t>143. Para una demostración eficaz del papel asumido por el </w:t>
      </w:r>
      <w:r>
        <w:rPr>
          <w:rFonts w:ascii="Calibri" w:hAnsi="Calibri"/>
          <w:i/>
          <w:color w:val="231F20"/>
          <w:sz w:val="17"/>
        </w:rPr>
        <w:t>diktum </w:t>
      </w:r>
      <w:r>
        <w:rPr>
          <w:rFonts w:ascii="Calibri" w:hAnsi="Calibri"/>
          <w:color w:val="231F20"/>
          <w:sz w:val="17"/>
        </w:rPr>
        <w:t>schmitiano en el más reciente debate sobre el intervencionismo humanitario véase D. Zolo, </w:t>
      </w:r>
      <w:r>
        <w:rPr>
          <w:rFonts w:ascii="Calibri" w:hAnsi="Calibri"/>
          <w:i/>
          <w:color w:val="231F20"/>
          <w:sz w:val="17"/>
        </w:rPr>
        <w:t>Chi dice umanità. Guerra, diritto e </w:t>
      </w:r>
      <w:r>
        <w:rPr>
          <w:rFonts w:ascii="Calibri" w:hAnsi="Calibri"/>
          <w:i/>
          <w:color w:val="231F20"/>
          <w:sz w:val="17"/>
        </w:rPr>
        <w:t>ordine globale</w:t>
      </w:r>
      <w:r>
        <w:rPr>
          <w:rFonts w:ascii="Calibri" w:hAnsi="Calibri"/>
          <w:color w:val="231F20"/>
          <w:sz w:val="17"/>
        </w:rPr>
        <w:t>, Torino, Einaudi, 2000, pp. 42–48. Para una evaluación más general de la “Schmitt– Renaissance” en ese contexto discursivo véase por lo menos a G. Ananiadis, </w:t>
      </w:r>
      <w:r>
        <w:rPr>
          <w:rFonts w:ascii="Calibri" w:hAnsi="Calibri"/>
          <w:i/>
          <w:color w:val="231F20"/>
          <w:sz w:val="17"/>
        </w:rPr>
        <w:t>Carl Schmitt on Kosovo, </w:t>
      </w:r>
      <w:r>
        <w:rPr>
          <w:rFonts w:ascii="Calibri" w:hAnsi="Calibri"/>
          <w:i/>
          <w:color w:val="231F20"/>
          <w:sz w:val="17"/>
        </w:rPr>
        <w:t>or, Taking War Seriously</w:t>
      </w:r>
      <w:r>
        <w:rPr>
          <w:rFonts w:ascii="Calibri" w:hAnsi="Calibri"/>
          <w:color w:val="231F20"/>
          <w:sz w:val="17"/>
        </w:rPr>
        <w:t>, D.I. Bjelić y O. Savić (Eds.), </w:t>
      </w:r>
      <w:r>
        <w:rPr>
          <w:rFonts w:ascii="Calibri" w:hAnsi="Calibri"/>
          <w:i/>
          <w:color w:val="231F20"/>
          <w:sz w:val="17"/>
        </w:rPr>
        <w:t>Balkan as Metaphor. Between Globalization and </w:t>
      </w:r>
      <w:r>
        <w:rPr>
          <w:rFonts w:ascii="Calibri" w:hAnsi="Calibri"/>
          <w:i/>
          <w:color w:val="231F20"/>
          <w:sz w:val="17"/>
        </w:rPr>
        <w:t>Fragmentation</w:t>
      </w:r>
      <w:r>
        <w:rPr>
          <w:rFonts w:ascii="Calibri" w:hAnsi="Calibri"/>
          <w:color w:val="231F20"/>
          <w:sz w:val="17"/>
        </w:rPr>
        <w:t>, Cambridge (MA), MIT Press, pp. 117–161; W. Rasch, “A Just War? Or Just a War?: Habermas and the Cosmopolitan Orthodoxy”, </w:t>
      </w:r>
      <w:r>
        <w:rPr>
          <w:rFonts w:ascii="Calibri" w:hAnsi="Calibri"/>
          <w:i/>
          <w:color w:val="231F20"/>
          <w:sz w:val="17"/>
        </w:rPr>
        <w:t>Cardozo Law Review</w:t>
      </w:r>
      <w:r>
        <w:rPr>
          <w:rFonts w:ascii="Calibri" w:hAnsi="Calibri"/>
          <w:color w:val="231F20"/>
          <w:sz w:val="17"/>
        </w:rPr>
        <w:t>, no. 21, 2000, pp. 1665–1684; P. Stirk, “Carl Schmitt, the Law of Occupation, and the Iraq War”, </w:t>
      </w:r>
      <w:r>
        <w:rPr>
          <w:rFonts w:ascii="Calibri" w:hAnsi="Calibri"/>
          <w:i/>
          <w:color w:val="231F20"/>
          <w:sz w:val="17"/>
        </w:rPr>
        <w:t>Constellations</w:t>
      </w:r>
      <w:r>
        <w:rPr>
          <w:rFonts w:ascii="Calibri" w:hAnsi="Calibri"/>
          <w:color w:val="231F20"/>
          <w:sz w:val="17"/>
        </w:rPr>
        <w:t>, no. 11, 4, 2004, pp. 527–536; L. Odysseos y F. Petito (Eds.), </w:t>
      </w:r>
      <w:r>
        <w:rPr>
          <w:rFonts w:ascii="Calibri" w:hAnsi="Calibri"/>
          <w:i/>
          <w:color w:val="231F20"/>
          <w:sz w:val="17"/>
        </w:rPr>
        <w:t>The International Political Thought of Carl Schmitt. Terror, </w:t>
      </w:r>
      <w:r>
        <w:rPr>
          <w:rFonts w:ascii="Calibri" w:hAnsi="Calibri"/>
          <w:i/>
          <w:color w:val="231F20"/>
          <w:sz w:val="17"/>
        </w:rPr>
        <w:t>liberal war and the crisis of global order</w:t>
      </w:r>
      <w:r>
        <w:rPr>
          <w:rFonts w:ascii="Calibri" w:hAnsi="Calibri"/>
          <w:color w:val="231F20"/>
          <w:sz w:val="17"/>
        </w:rPr>
        <w:t>, Oxon, Routledge, 2007.</w:t>
      </w:r>
    </w:p>
    <w:p>
      <w:pPr>
        <w:spacing w:line="235" w:lineRule="auto" w:before="0"/>
        <w:ind w:left="117" w:right="101" w:firstLine="0"/>
        <w:jc w:val="both"/>
        <w:rPr>
          <w:rFonts w:ascii="Calibri" w:hAnsi="Calibri"/>
          <w:sz w:val="17"/>
        </w:rPr>
      </w:pPr>
      <w:r>
        <w:rPr>
          <w:rFonts w:ascii="Calibri" w:hAnsi="Calibri"/>
          <w:color w:val="231F20"/>
          <w:position w:val="6"/>
          <w:sz w:val="10"/>
        </w:rPr>
        <w:t>50 </w:t>
      </w:r>
      <w:r>
        <w:rPr>
          <w:rFonts w:ascii="Calibri" w:hAnsi="Calibri"/>
          <w:color w:val="231F20"/>
          <w:sz w:val="17"/>
        </w:rPr>
        <w:t>Zolo, </w:t>
      </w:r>
      <w:r>
        <w:rPr>
          <w:rFonts w:ascii="Calibri" w:hAnsi="Calibri"/>
          <w:i/>
          <w:color w:val="231F20"/>
          <w:sz w:val="17"/>
        </w:rPr>
        <w:t>Chi dice umanità</w:t>
      </w:r>
      <w:r>
        <w:rPr>
          <w:rFonts w:ascii="Calibri" w:hAnsi="Calibri"/>
          <w:color w:val="231F20"/>
          <w:sz w:val="17"/>
        </w:rPr>
        <w:t>, p. 43. Sobre la noción de “guerra humanitaria” como la más reciente reencarnación de la tradicional doctrina de la guerra justa véase también K. Booth, “Ten Flaws of Just Wars”, K. Booth (Ed.), </w:t>
      </w:r>
      <w:r>
        <w:rPr>
          <w:rFonts w:ascii="Calibri" w:hAnsi="Calibri"/>
          <w:i/>
          <w:color w:val="231F20"/>
          <w:sz w:val="17"/>
        </w:rPr>
        <w:t>The Kosovo </w:t>
      </w:r>
      <w:r>
        <w:rPr>
          <w:rFonts w:ascii="Calibri" w:hAnsi="Calibri"/>
          <w:i/>
          <w:color w:val="231F20"/>
          <w:spacing w:val="-3"/>
          <w:sz w:val="17"/>
        </w:rPr>
        <w:t>Tragedy. </w:t>
      </w:r>
      <w:r>
        <w:rPr>
          <w:rFonts w:ascii="Calibri" w:hAnsi="Calibri"/>
          <w:i/>
          <w:color w:val="231F20"/>
          <w:sz w:val="17"/>
        </w:rPr>
        <w:t>The Human Rights Dimensions</w:t>
      </w:r>
      <w:r>
        <w:rPr>
          <w:rFonts w:ascii="Calibri" w:hAnsi="Calibri"/>
          <w:color w:val="231F20"/>
          <w:sz w:val="17"/>
        </w:rPr>
        <w:t>, Abingdon–New York, Frank Cass, 2001, pp. 314–323.</w:t>
      </w:r>
    </w:p>
    <w:p>
      <w:pPr>
        <w:spacing w:after="0" w:line="235" w:lineRule="auto"/>
        <w:jc w:val="both"/>
        <w:rPr>
          <w:rFonts w:ascii="Calibri" w:hAnsi="Calibri"/>
          <w:sz w:val="17"/>
        </w:rPr>
        <w:sectPr>
          <w:type w:val="continuous"/>
          <w:pgSz w:w="9640" w:h="13890"/>
          <w:pgMar w:top="0" w:bottom="0" w:left="1300" w:right="1200"/>
        </w:sectPr>
      </w:pPr>
    </w:p>
    <w:p>
      <w:pPr>
        <w:pStyle w:val="BodyText"/>
        <w:spacing w:line="247" w:lineRule="auto" w:before="107"/>
        <w:ind w:left="103" w:right="115"/>
        <w:jc w:val="both"/>
      </w:pPr>
      <w:r>
        <w:rPr>
          <w:color w:val="231F20"/>
          <w:w w:val="105"/>
        </w:rPr>
        <w:t>cia</w:t>
      </w:r>
      <w:r>
        <w:rPr>
          <w:color w:val="231F20"/>
          <w:spacing w:val="-23"/>
          <w:w w:val="105"/>
        </w:rPr>
        <w:t> </w:t>
      </w:r>
      <w:r>
        <w:rPr>
          <w:color w:val="231F20"/>
          <w:w w:val="105"/>
        </w:rPr>
        <w:t>“criminal”</w:t>
      </w:r>
      <w:r>
        <w:rPr>
          <w:color w:val="231F20"/>
          <w:spacing w:val="-23"/>
          <w:w w:val="105"/>
        </w:rPr>
        <w:t> </w:t>
      </w:r>
      <w:r>
        <w:rPr>
          <w:color w:val="231F20"/>
          <w:w w:val="105"/>
        </w:rPr>
        <w:t>e</w:t>
      </w:r>
      <w:r>
        <w:rPr>
          <w:color w:val="231F20"/>
          <w:spacing w:val="-23"/>
          <w:w w:val="105"/>
        </w:rPr>
        <w:t> </w:t>
      </w:r>
      <w:r>
        <w:rPr>
          <w:color w:val="231F20"/>
          <w:w w:val="105"/>
        </w:rPr>
        <w:t>“inhumana”</w:t>
      </w:r>
      <w:r>
        <w:rPr>
          <w:color w:val="231F20"/>
          <w:spacing w:val="-23"/>
          <w:w w:val="105"/>
        </w:rPr>
        <w:t> </w:t>
      </w:r>
      <w:r>
        <w:rPr>
          <w:color w:val="231F20"/>
          <w:w w:val="105"/>
        </w:rPr>
        <w:t>y</w:t>
      </w:r>
      <w:r>
        <w:rPr>
          <w:color w:val="231F20"/>
          <w:spacing w:val="-23"/>
          <w:w w:val="105"/>
        </w:rPr>
        <w:t> </w:t>
      </w:r>
      <w:r>
        <w:rPr>
          <w:color w:val="231F20"/>
          <w:w w:val="105"/>
        </w:rPr>
        <w:t>legítimas</w:t>
      </w:r>
      <w:r>
        <w:rPr>
          <w:color w:val="231F20"/>
          <w:spacing w:val="-23"/>
          <w:w w:val="105"/>
        </w:rPr>
        <w:t> </w:t>
      </w:r>
      <w:r>
        <w:rPr>
          <w:color w:val="231F20"/>
          <w:w w:val="105"/>
        </w:rPr>
        <w:t>medidas</w:t>
      </w:r>
      <w:r>
        <w:rPr>
          <w:color w:val="231F20"/>
          <w:spacing w:val="-23"/>
          <w:w w:val="105"/>
        </w:rPr>
        <w:t> </w:t>
      </w:r>
      <w:r>
        <w:rPr>
          <w:color w:val="231F20"/>
          <w:w w:val="105"/>
        </w:rPr>
        <w:t>coercitivas,</w:t>
      </w:r>
      <w:r>
        <w:rPr>
          <w:color w:val="231F20"/>
          <w:spacing w:val="-23"/>
          <w:w w:val="105"/>
        </w:rPr>
        <w:t> </w:t>
      </w:r>
      <w:r>
        <w:rPr>
          <w:color w:val="231F20"/>
          <w:w w:val="105"/>
        </w:rPr>
        <w:t>comparables a</w:t>
      </w:r>
      <w:r>
        <w:rPr>
          <w:color w:val="231F20"/>
          <w:spacing w:val="-9"/>
          <w:w w:val="105"/>
        </w:rPr>
        <w:t> </w:t>
      </w:r>
      <w:r>
        <w:rPr>
          <w:color w:val="231F20"/>
          <w:w w:val="105"/>
        </w:rPr>
        <w:t>verdaderas</w:t>
      </w:r>
      <w:r>
        <w:rPr>
          <w:color w:val="231F20"/>
          <w:spacing w:val="-9"/>
          <w:w w:val="105"/>
        </w:rPr>
        <w:t> </w:t>
      </w:r>
      <w:r>
        <w:rPr>
          <w:color w:val="231F20"/>
          <w:w w:val="105"/>
        </w:rPr>
        <w:t>operaciones</w:t>
      </w:r>
      <w:r>
        <w:rPr>
          <w:color w:val="231F20"/>
          <w:spacing w:val="-9"/>
          <w:w w:val="105"/>
        </w:rPr>
        <w:t> </w:t>
      </w:r>
      <w:r>
        <w:rPr>
          <w:color w:val="231F20"/>
          <w:w w:val="105"/>
        </w:rPr>
        <w:t>de</w:t>
      </w:r>
      <w:r>
        <w:rPr>
          <w:color w:val="231F20"/>
          <w:spacing w:val="-9"/>
          <w:w w:val="105"/>
        </w:rPr>
        <w:t> </w:t>
      </w:r>
      <w:r>
        <w:rPr>
          <w:color w:val="231F20"/>
          <w:w w:val="105"/>
        </w:rPr>
        <w:t>“policía</w:t>
      </w:r>
      <w:r>
        <w:rPr>
          <w:color w:val="231F20"/>
          <w:spacing w:val="-9"/>
          <w:w w:val="105"/>
        </w:rPr>
        <w:t> </w:t>
      </w:r>
      <w:r>
        <w:rPr>
          <w:color w:val="231F20"/>
          <w:w w:val="105"/>
        </w:rPr>
        <w:t>internacional”</w:t>
      </w:r>
      <w:r>
        <w:rPr>
          <w:color w:val="231F20"/>
          <w:w w:val="105"/>
          <w:position w:val="7"/>
          <w:sz w:val="12"/>
        </w:rPr>
        <w:t>51</w:t>
      </w:r>
      <w:r>
        <w:rPr>
          <w:color w:val="231F20"/>
          <w:w w:val="105"/>
        </w:rPr>
        <w:t>:</w:t>
      </w:r>
      <w:r>
        <w:rPr>
          <w:color w:val="231F20"/>
          <w:spacing w:val="-8"/>
          <w:w w:val="105"/>
        </w:rPr>
        <w:t> </w:t>
      </w:r>
      <w:r>
        <w:rPr>
          <w:color w:val="231F20"/>
          <w:w w:val="105"/>
        </w:rPr>
        <w:t>una</w:t>
      </w:r>
      <w:r>
        <w:rPr>
          <w:color w:val="231F20"/>
          <w:spacing w:val="-8"/>
          <w:w w:val="105"/>
        </w:rPr>
        <w:t> </w:t>
      </w:r>
      <w:r>
        <w:rPr>
          <w:color w:val="231F20"/>
          <w:w w:val="105"/>
        </w:rPr>
        <w:t>aproximación excesivamente</w:t>
      </w:r>
      <w:r>
        <w:rPr>
          <w:color w:val="231F20"/>
          <w:spacing w:val="-27"/>
          <w:w w:val="105"/>
        </w:rPr>
        <w:t> </w:t>
      </w:r>
      <w:r>
        <w:rPr>
          <w:rFonts w:ascii="Arial" w:hAnsi="Arial"/>
          <w:i/>
          <w:color w:val="231F20"/>
          <w:w w:val="105"/>
        </w:rPr>
        <w:t>imperial</w:t>
      </w:r>
      <w:r>
        <w:rPr>
          <w:color w:val="231F20"/>
          <w:w w:val="105"/>
        </w:rPr>
        <w:t>,</w:t>
      </w:r>
      <w:r>
        <w:rPr>
          <w:color w:val="231F20"/>
          <w:spacing w:val="-27"/>
          <w:w w:val="105"/>
        </w:rPr>
        <w:t> </w:t>
      </w:r>
      <w:r>
        <w:rPr>
          <w:color w:val="231F20"/>
          <w:w w:val="105"/>
        </w:rPr>
        <w:t>en</w:t>
      </w:r>
      <w:r>
        <w:rPr>
          <w:color w:val="231F20"/>
          <w:spacing w:val="-27"/>
          <w:w w:val="105"/>
        </w:rPr>
        <w:t> </w:t>
      </w:r>
      <w:r>
        <w:rPr>
          <w:color w:val="231F20"/>
          <w:w w:val="105"/>
        </w:rPr>
        <w:t>que</w:t>
      </w:r>
      <w:r>
        <w:rPr>
          <w:color w:val="231F20"/>
          <w:spacing w:val="-27"/>
          <w:w w:val="105"/>
        </w:rPr>
        <w:t> </w:t>
      </w:r>
      <w:r>
        <w:rPr>
          <w:color w:val="231F20"/>
          <w:w w:val="105"/>
        </w:rPr>
        <w:t>la</w:t>
      </w:r>
      <w:r>
        <w:rPr>
          <w:color w:val="231F20"/>
          <w:spacing w:val="-27"/>
          <w:w w:val="105"/>
        </w:rPr>
        <w:t> </w:t>
      </w:r>
      <w:r>
        <w:rPr>
          <w:color w:val="231F20"/>
          <w:w w:val="105"/>
        </w:rPr>
        <w:t>guerra</w:t>
      </w:r>
      <w:r>
        <w:rPr>
          <w:color w:val="231F20"/>
          <w:spacing w:val="-27"/>
          <w:w w:val="105"/>
        </w:rPr>
        <w:t> </w:t>
      </w:r>
      <w:r>
        <w:rPr>
          <w:color w:val="231F20"/>
          <w:w w:val="105"/>
        </w:rPr>
        <w:t>encuentra</w:t>
      </w:r>
      <w:r>
        <w:rPr>
          <w:color w:val="231F20"/>
          <w:spacing w:val="-27"/>
          <w:w w:val="105"/>
        </w:rPr>
        <w:t> </w:t>
      </w:r>
      <w:r>
        <w:rPr>
          <w:color w:val="231F20"/>
          <w:w w:val="105"/>
        </w:rPr>
        <w:t>justificación</w:t>
      </w:r>
      <w:r>
        <w:rPr>
          <w:color w:val="231F20"/>
          <w:spacing w:val="-27"/>
          <w:w w:val="105"/>
        </w:rPr>
        <w:t> </w:t>
      </w:r>
      <w:r>
        <w:rPr>
          <w:color w:val="231F20"/>
          <w:w w:val="105"/>
        </w:rPr>
        <w:t>ya</w:t>
      </w:r>
      <w:r>
        <w:rPr>
          <w:color w:val="231F20"/>
          <w:spacing w:val="-27"/>
          <w:w w:val="105"/>
        </w:rPr>
        <w:t> </w:t>
      </w:r>
      <w:r>
        <w:rPr>
          <w:color w:val="231F20"/>
          <w:w w:val="105"/>
        </w:rPr>
        <w:t>no</w:t>
      </w:r>
      <w:r>
        <w:rPr>
          <w:color w:val="231F20"/>
          <w:spacing w:val="-27"/>
          <w:w w:val="105"/>
        </w:rPr>
        <w:t> </w:t>
      </w:r>
      <w:r>
        <w:rPr>
          <w:color w:val="231F20"/>
          <w:w w:val="105"/>
        </w:rPr>
        <w:t>en virtud</w:t>
      </w:r>
      <w:r>
        <w:rPr>
          <w:color w:val="231F20"/>
          <w:spacing w:val="-10"/>
          <w:w w:val="105"/>
        </w:rPr>
        <w:t> </w:t>
      </w:r>
      <w:r>
        <w:rPr>
          <w:color w:val="231F20"/>
          <w:w w:val="105"/>
        </w:rPr>
        <w:t>de</w:t>
      </w:r>
      <w:r>
        <w:rPr>
          <w:color w:val="231F20"/>
          <w:spacing w:val="-10"/>
          <w:w w:val="105"/>
        </w:rPr>
        <w:t> </w:t>
      </w:r>
      <w:r>
        <w:rPr>
          <w:color w:val="231F20"/>
          <w:w w:val="105"/>
        </w:rPr>
        <w:t>“intereses</w:t>
      </w:r>
      <w:r>
        <w:rPr>
          <w:color w:val="231F20"/>
          <w:spacing w:val="-10"/>
          <w:w w:val="105"/>
        </w:rPr>
        <w:t> </w:t>
      </w:r>
      <w:r>
        <w:rPr>
          <w:color w:val="231F20"/>
          <w:w w:val="105"/>
        </w:rPr>
        <w:t>de</w:t>
      </w:r>
      <w:r>
        <w:rPr>
          <w:color w:val="231F20"/>
          <w:spacing w:val="-10"/>
          <w:w w:val="105"/>
        </w:rPr>
        <w:t> </w:t>
      </w:r>
      <w:r>
        <w:rPr>
          <w:color w:val="231F20"/>
          <w:w w:val="105"/>
        </w:rPr>
        <w:t>alguna</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partes</w:t>
      </w:r>
      <w:r>
        <w:rPr>
          <w:color w:val="231F20"/>
          <w:spacing w:val="-10"/>
          <w:w w:val="105"/>
        </w:rPr>
        <w:t> </w:t>
      </w:r>
      <w:r>
        <w:rPr>
          <w:color w:val="231F20"/>
          <w:w w:val="105"/>
        </w:rPr>
        <w:t>o</w:t>
      </w:r>
      <w:r>
        <w:rPr>
          <w:color w:val="231F20"/>
          <w:spacing w:val="-10"/>
          <w:w w:val="105"/>
        </w:rPr>
        <w:t> </w:t>
      </w:r>
      <w:r>
        <w:rPr>
          <w:color w:val="231F20"/>
          <w:w w:val="105"/>
        </w:rPr>
        <w:t>de</w:t>
      </w:r>
      <w:r>
        <w:rPr>
          <w:color w:val="231F20"/>
          <w:spacing w:val="-10"/>
          <w:w w:val="105"/>
        </w:rPr>
        <w:t> </w:t>
      </w:r>
      <w:r>
        <w:rPr>
          <w:color w:val="231F20"/>
          <w:w w:val="105"/>
        </w:rPr>
        <w:t>objetivos</w:t>
      </w:r>
      <w:r>
        <w:rPr>
          <w:color w:val="231F20"/>
          <w:spacing w:val="-10"/>
          <w:w w:val="105"/>
        </w:rPr>
        <w:t> </w:t>
      </w:r>
      <w:r>
        <w:rPr>
          <w:color w:val="231F20"/>
          <w:w w:val="105"/>
        </w:rPr>
        <w:t>particulares”, sino</w:t>
      </w:r>
      <w:r>
        <w:rPr>
          <w:color w:val="231F20"/>
          <w:spacing w:val="-24"/>
          <w:w w:val="105"/>
        </w:rPr>
        <w:t> </w:t>
      </w:r>
      <w:r>
        <w:rPr>
          <w:color w:val="231F20"/>
          <w:w w:val="105"/>
        </w:rPr>
        <w:t>de</w:t>
      </w:r>
      <w:r>
        <w:rPr>
          <w:color w:val="231F20"/>
          <w:spacing w:val="-25"/>
          <w:w w:val="105"/>
        </w:rPr>
        <w:t> </w:t>
      </w:r>
      <w:r>
        <w:rPr>
          <w:color w:val="231F20"/>
          <w:w w:val="105"/>
        </w:rPr>
        <w:t>“un</w:t>
      </w:r>
      <w:r>
        <w:rPr>
          <w:color w:val="231F20"/>
          <w:spacing w:val="-24"/>
          <w:w w:val="105"/>
        </w:rPr>
        <w:t> </w:t>
      </w:r>
      <w:r>
        <w:rPr>
          <w:color w:val="231F20"/>
          <w:w w:val="105"/>
        </w:rPr>
        <w:t>punto</w:t>
      </w:r>
      <w:r>
        <w:rPr>
          <w:color w:val="231F20"/>
          <w:spacing w:val="-24"/>
          <w:w w:val="105"/>
        </w:rPr>
        <w:t> </w:t>
      </w:r>
      <w:r>
        <w:rPr>
          <w:color w:val="231F20"/>
          <w:w w:val="105"/>
        </w:rPr>
        <w:t>de</w:t>
      </w:r>
      <w:r>
        <w:rPr>
          <w:color w:val="231F20"/>
          <w:spacing w:val="-25"/>
          <w:w w:val="105"/>
        </w:rPr>
        <w:t> </w:t>
      </w:r>
      <w:r>
        <w:rPr>
          <w:color w:val="231F20"/>
          <w:w w:val="105"/>
        </w:rPr>
        <w:t>vista</w:t>
      </w:r>
      <w:r>
        <w:rPr>
          <w:color w:val="231F20"/>
          <w:spacing w:val="-24"/>
          <w:w w:val="105"/>
        </w:rPr>
        <w:t> </w:t>
      </w:r>
      <w:r>
        <w:rPr>
          <w:color w:val="231F20"/>
          <w:w w:val="105"/>
        </w:rPr>
        <w:t>superior</w:t>
      </w:r>
      <w:r>
        <w:rPr>
          <w:color w:val="231F20"/>
          <w:spacing w:val="-25"/>
          <w:w w:val="105"/>
        </w:rPr>
        <w:t> </w:t>
      </w:r>
      <w:r>
        <w:rPr>
          <w:color w:val="231F20"/>
          <w:w w:val="105"/>
        </w:rPr>
        <w:t>e</w:t>
      </w:r>
      <w:r>
        <w:rPr>
          <w:color w:val="231F20"/>
          <w:spacing w:val="-24"/>
          <w:w w:val="105"/>
        </w:rPr>
        <w:t> </w:t>
      </w:r>
      <w:r>
        <w:rPr>
          <w:color w:val="231F20"/>
          <w:w w:val="105"/>
        </w:rPr>
        <w:t>imparcial,</w:t>
      </w:r>
      <w:r>
        <w:rPr>
          <w:color w:val="231F20"/>
          <w:spacing w:val="-24"/>
          <w:w w:val="105"/>
        </w:rPr>
        <w:t> </w:t>
      </w:r>
      <w:r>
        <w:rPr>
          <w:color w:val="231F20"/>
          <w:w w:val="105"/>
        </w:rPr>
        <w:t>en</w:t>
      </w:r>
      <w:r>
        <w:rPr>
          <w:color w:val="231F20"/>
          <w:spacing w:val="-24"/>
          <w:w w:val="105"/>
        </w:rPr>
        <w:t> </w:t>
      </w:r>
      <w:r>
        <w:rPr>
          <w:color w:val="231F20"/>
          <w:w w:val="105"/>
        </w:rPr>
        <w:t>nombre</w:t>
      </w:r>
      <w:r>
        <w:rPr>
          <w:color w:val="231F20"/>
          <w:spacing w:val="-24"/>
          <w:w w:val="105"/>
        </w:rPr>
        <w:t> </w:t>
      </w:r>
      <w:r>
        <w:rPr>
          <w:color w:val="231F20"/>
          <w:w w:val="105"/>
        </w:rPr>
        <w:t>de</w:t>
      </w:r>
      <w:r>
        <w:rPr>
          <w:color w:val="231F20"/>
          <w:spacing w:val="-25"/>
          <w:w w:val="105"/>
        </w:rPr>
        <w:t> </w:t>
      </w:r>
      <w:r>
        <w:rPr>
          <w:color w:val="231F20"/>
          <w:w w:val="105"/>
        </w:rPr>
        <w:t>valores</w:t>
      </w:r>
      <w:r>
        <w:rPr>
          <w:color w:val="231F20"/>
          <w:spacing w:val="-24"/>
          <w:w w:val="105"/>
        </w:rPr>
        <w:t> </w:t>
      </w:r>
      <w:r>
        <w:rPr>
          <w:color w:val="231F20"/>
          <w:w w:val="105"/>
        </w:rPr>
        <w:t>que se</w:t>
      </w:r>
      <w:r>
        <w:rPr>
          <w:color w:val="231F20"/>
          <w:spacing w:val="-33"/>
          <w:w w:val="105"/>
        </w:rPr>
        <w:t> </w:t>
      </w:r>
      <w:r>
        <w:rPr>
          <w:color w:val="231F20"/>
          <w:w w:val="105"/>
        </w:rPr>
        <w:t>consideran</w:t>
      </w:r>
      <w:r>
        <w:rPr>
          <w:color w:val="231F20"/>
          <w:spacing w:val="-33"/>
          <w:w w:val="105"/>
        </w:rPr>
        <w:t> </w:t>
      </w:r>
      <w:r>
        <w:rPr>
          <w:color w:val="231F20"/>
          <w:w w:val="105"/>
        </w:rPr>
        <w:t>compartidos</w:t>
      </w:r>
      <w:r>
        <w:rPr>
          <w:color w:val="231F20"/>
          <w:spacing w:val="-33"/>
          <w:w w:val="105"/>
        </w:rPr>
        <w:t> </w:t>
      </w:r>
      <w:r>
        <w:rPr>
          <w:color w:val="231F20"/>
          <w:w w:val="105"/>
        </w:rPr>
        <w:t>por</w:t>
      </w:r>
      <w:r>
        <w:rPr>
          <w:color w:val="231F20"/>
          <w:spacing w:val="-33"/>
          <w:w w:val="105"/>
        </w:rPr>
        <w:t> </w:t>
      </w:r>
      <w:r>
        <w:rPr>
          <w:color w:val="231F20"/>
          <w:w w:val="105"/>
        </w:rPr>
        <w:t>la</w:t>
      </w:r>
      <w:r>
        <w:rPr>
          <w:color w:val="231F20"/>
          <w:spacing w:val="-33"/>
          <w:w w:val="105"/>
        </w:rPr>
        <w:t> </w:t>
      </w:r>
      <w:r>
        <w:rPr>
          <w:color w:val="231F20"/>
          <w:w w:val="105"/>
        </w:rPr>
        <w:t>humanidad</w:t>
      </w:r>
      <w:r>
        <w:rPr>
          <w:color w:val="231F20"/>
          <w:spacing w:val="-33"/>
          <w:w w:val="105"/>
        </w:rPr>
        <w:t> </w:t>
      </w:r>
      <w:r>
        <w:rPr>
          <w:color w:val="231F20"/>
          <w:w w:val="105"/>
        </w:rPr>
        <w:t>entera”</w:t>
      </w:r>
      <w:r>
        <w:rPr>
          <w:color w:val="231F20"/>
          <w:spacing w:val="-33"/>
          <w:w w:val="105"/>
        </w:rPr>
        <w:t> </w:t>
      </w:r>
      <w:r>
        <w:rPr>
          <w:color w:val="231F20"/>
          <w:w w:val="105"/>
        </w:rPr>
        <w:t>—como</w:t>
      </w:r>
      <w:r>
        <w:rPr>
          <w:color w:val="231F20"/>
          <w:spacing w:val="-33"/>
          <w:w w:val="105"/>
        </w:rPr>
        <w:t> </w:t>
      </w:r>
      <w:r>
        <w:rPr>
          <w:color w:val="231F20"/>
          <w:w w:val="105"/>
        </w:rPr>
        <w:t>instrumento principal,</w:t>
      </w:r>
      <w:r>
        <w:rPr>
          <w:color w:val="231F20"/>
          <w:spacing w:val="-12"/>
          <w:w w:val="105"/>
        </w:rPr>
        <w:t> </w:t>
      </w:r>
      <w:r>
        <w:rPr>
          <w:color w:val="231F20"/>
          <w:w w:val="105"/>
        </w:rPr>
        <w:t>es</w:t>
      </w:r>
      <w:r>
        <w:rPr>
          <w:color w:val="231F20"/>
          <w:spacing w:val="-12"/>
          <w:w w:val="105"/>
        </w:rPr>
        <w:t> </w:t>
      </w:r>
      <w:r>
        <w:rPr>
          <w:color w:val="231F20"/>
          <w:w w:val="105"/>
        </w:rPr>
        <w:t>decir</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tutela</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derechos</w:t>
      </w:r>
      <w:r>
        <w:rPr>
          <w:color w:val="231F20"/>
          <w:spacing w:val="-12"/>
          <w:w w:val="105"/>
        </w:rPr>
        <w:t> </w:t>
      </w:r>
      <w:r>
        <w:rPr>
          <w:color w:val="231F20"/>
          <w:w w:val="105"/>
        </w:rPr>
        <w:t>del</w:t>
      </w:r>
      <w:r>
        <w:rPr>
          <w:color w:val="231F20"/>
          <w:spacing w:val="-12"/>
          <w:w w:val="105"/>
        </w:rPr>
        <w:t> </w:t>
      </w:r>
      <w:r>
        <w:rPr>
          <w:color w:val="231F20"/>
          <w:w w:val="105"/>
        </w:rPr>
        <w:t>hombre,</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expan- sión</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libertad,</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democratización</w:t>
      </w:r>
      <w:r>
        <w:rPr>
          <w:color w:val="231F20"/>
          <w:spacing w:val="-26"/>
          <w:w w:val="105"/>
        </w:rPr>
        <w:t> </w:t>
      </w:r>
      <w:r>
        <w:rPr>
          <w:color w:val="231F20"/>
          <w:w w:val="105"/>
        </w:rPr>
        <w:t>del</w:t>
      </w:r>
      <w:r>
        <w:rPr>
          <w:color w:val="231F20"/>
          <w:spacing w:val="-26"/>
          <w:w w:val="105"/>
        </w:rPr>
        <w:t> </w:t>
      </w:r>
      <w:r>
        <w:rPr>
          <w:color w:val="231F20"/>
          <w:w w:val="105"/>
        </w:rPr>
        <w:t>mundo,</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seguridad</w:t>
      </w:r>
      <w:r>
        <w:rPr>
          <w:color w:val="231F20"/>
          <w:spacing w:val="-26"/>
          <w:w w:val="105"/>
        </w:rPr>
        <w:t> </w:t>
      </w:r>
      <w:r>
        <w:rPr>
          <w:color w:val="231F20"/>
          <w:w w:val="105"/>
        </w:rPr>
        <w:t>y</w:t>
      </w:r>
      <w:r>
        <w:rPr>
          <w:color w:val="231F20"/>
          <w:spacing w:val="-26"/>
          <w:w w:val="105"/>
        </w:rPr>
        <w:t> </w:t>
      </w:r>
      <w:r>
        <w:rPr>
          <w:color w:val="231F20"/>
          <w:w w:val="105"/>
        </w:rPr>
        <w:t>del bienestar</w:t>
      </w:r>
      <w:r>
        <w:rPr>
          <w:color w:val="231F20"/>
          <w:spacing w:val="-21"/>
          <w:w w:val="105"/>
        </w:rPr>
        <w:t> </w:t>
      </w:r>
      <w:r>
        <w:rPr>
          <w:color w:val="231F20"/>
          <w:w w:val="105"/>
        </w:rPr>
        <w:t>de</w:t>
      </w:r>
      <w:r>
        <w:rPr>
          <w:color w:val="231F20"/>
          <w:spacing w:val="-21"/>
          <w:w w:val="105"/>
        </w:rPr>
        <w:t> </w:t>
      </w:r>
      <w:r>
        <w:rPr>
          <w:color w:val="231F20"/>
          <w:w w:val="105"/>
        </w:rPr>
        <w:t>todos</w:t>
      </w:r>
      <w:r>
        <w:rPr>
          <w:color w:val="231F20"/>
          <w:spacing w:val="-21"/>
          <w:w w:val="105"/>
        </w:rPr>
        <w:t> </w:t>
      </w:r>
      <w:r>
        <w:rPr>
          <w:color w:val="231F20"/>
          <w:w w:val="105"/>
        </w:rPr>
        <w:t>los</w:t>
      </w:r>
      <w:r>
        <w:rPr>
          <w:color w:val="231F20"/>
          <w:spacing w:val="-21"/>
          <w:w w:val="105"/>
        </w:rPr>
        <w:t> </w:t>
      </w:r>
      <w:r>
        <w:rPr>
          <w:color w:val="231F20"/>
          <w:w w:val="105"/>
        </w:rPr>
        <w:t>pueblos”</w:t>
      </w:r>
      <w:r>
        <w:rPr>
          <w:color w:val="231F20"/>
          <w:w w:val="105"/>
          <w:position w:val="7"/>
          <w:sz w:val="12"/>
        </w:rPr>
        <w:t>52</w:t>
      </w:r>
      <w:r>
        <w:rPr>
          <w:color w:val="231F20"/>
          <w:w w:val="105"/>
        </w:rPr>
        <w:t>.</w:t>
      </w:r>
    </w:p>
    <w:p>
      <w:pPr>
        <w:pStyle w:val="BodyText"/>
        <w:spacing w:line="247" w:lineRule="auto"/>
        <w:ind w:left="103" w:right="115" w:firstLine="566"/>
        <w:jc w:val="both"/>
      </w:pPr>
      <w:r>
        <w:rPr>
          <w:color w:val="231F20"/>
          <w:w w:val="105"/>
        </w:rPr>
        <w:t>Con</w:t>
      </w:r>
      <w:r>
        <w:rPr>
          <w:color w:val="231F20"/>
          <w:spacing w:val="-32"/>
          <w:w w:val="105"/>
        </w:rPr>
        <w:t> </w:t>
      </w:r>
      <w:r>
        <w:rPr>
          <w:color w:val="231F20"/>
          <w:w w:val="105"/>
        </w:rPr>
        <w:t>base</w:t>
      </w:r>
      <w:r>
        <w:rPr>
          <w:color w:val="231F20"/>
          <w:spacing w:val="-32"/>
          <w:w w:val="105"/>
        </w:rPr>
        <w:t> </w:t>
      </w:r>
      <w:r>
        <w:rPr>
          <w:color w:val="231F20"/>
          <w:w w:val="105"/>
        </w:rPr>
        <w:t>en</w:t>
      </w:r>
      <w:r>
        <w:rPr>
          <w:color w:val="231F20"/>
          <w:spacing w:val="-32"/>
          <w:w w:val="105"/>
        </w:rPr>
        <w:t> </w:t>
      </w:r>
      <w:r>
        <w:rPr>
          <w:color w:val="231F20"/>
          <w:w w:val="105"/>
        </w:rPr>
        <w:t>tales</w:t>
      </w:r>
      <w:r>
        <w:rPr>
          <w:color w:val="231F20"/>
          <w:spacing w:val="-32"/>
          <w:w w:val="105"/>
        </w:rPr>
        <w:t> </w:t>
      </w:r>
      <w:r>
        <w:rPr>
          <w:color w:val="231F20"/>
          <w:w w:val="105"/>
        </w:rPr>
        <w:t>consideraciones,</w:t>
      </w:r>
      <w:r>
        <w:rPr>
          <w:color w:val="231F20"/>
          <w:spacing w:val="-32"/>
          <w:w w:val="105"/>
        </w:rPr>
        <w:t> </w:t>
      </w:r>
      <w:r>
        <w:rPr>
          <w:color w:val="231F20"/>
          <w:w w:val="105"/>
        </w:rPr>
        <w:t>diversos</w:t>
      </w:r>
      <w:r>
        <w:rPr>
          <w:color w:val="231F20"/>
          <w:spacing w:val="-32"/>
          <w:w w:val="105"/>
        </w:rPr>
        <w:t> </w:t>
      </w:r>
      <w:r>
        <w:rPr>
          <w:color w:val="231F20"/>
          <w:w w:val="105"/>
        </w:rPr>
        <w:t>autores</w:t>
      </w:r>
      <w:r>
        <w:rPr>
          <w:color w:val="231F20"/>
          <w:spacing w:val="-32"/>
          <w:w w:val="105"/>
        </w:rPr>
        <w:t> </w:t>
      </w:r>
      <w:r>
        <w:rPr>
          <w:color w:val="231F20"/>
          <w:w w:val="105"/>
        </w:rPr>
        <w:t>creyeron</w:t>
      </w:r>
      <w:r>
        <w:rPr>
          <w:color w:val="231F20"/>
          <w:spacing w:val="-32"/>
          <w:w w:val="105"/>
        </w:rPr>
        <w:t> </w:t>
      </w:r>
      <w:r>
        <w:rPr>
          <w:color w:val="231F20"/>
          <w:w w:val="105"/>
        </w:rPr>
        <w:t>poder identificar</w:t>
      </w:r>
      <w:r>
        <w:rPr>
          <w:color w:val="231F20"/>
          <w:spacing w:val="-14"/>
          <w:w w:val="105"/>
        </w:rPr>
        <w:t> </w:t>
      </w:r>
      <w:r>
        <w:rPr>
          <w:color w:val="231F20"/>
          <w:w w:val="105"/>
        </w:rPr>
        <w:t>precisamente</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doctrina</w:t>
      </w:r>
      <w:r>
        <w:rPr>
          <w:color w:val="231F20"/>
          <w:spacing w:val="-14"/>
          <w:w w:val="105"/>
        </w:rPr>
        <w:t> </w:t>
      </w:r>
      <w:r>
        <w:rPr>
          <w:color w:val="231F20"/>
          <w:w w:val="105"/>
        </w:rPr>
        <w:t>del</w:t>
      </w:r>
      <w:r>
        <w:rPr>
          <w:color w:val="231F20"/>
          <w:spacing w:val="-14"/>
          <w:w w:val="105"/>
        </w:rPr>
        <w:t> </w:t>
      </w:r>
      <w:r>
        <w:rPr>
          <w:color w:val="231F20"/>
          <w:w w:val="105"/>
        </w:rPr>
        <w:t>intervencionismo</w:t>
      </w:r>
      <w:r>
        <w:rPr>
          <w:color w:val="231F20"/>
          <w:spacing w:val="-14"/>
          <w:w w:val="105"/>
        </w:rPr>
        <w:t> </w:t>
      </w:r>
      <w:r>
        <w:rPr>
          <w:color w:val="231F20"/>
          <w:w w:val="105"/>
        </w:rPr>
        <w:t>humanitario la</w:t>
      </w:r>
      <w:r>
        <w:rPr>
          <w:color w:val="231F20"/>
          <w:spacing w:val="-41"/>
          <w:w w:val="105"/>
        </w:rPr>
        <w:t> </w:t>
      </w:r>
      <w:r>
        <w:rPr>
          <w:color w:val="231F20"/>
          <w:w w:val="105"/>
        </w:rPr>
        <w:t>más</w:t>
      </w:r>
      <w:r>
        <w:rPr>
          <w:color w:val="231F20"/>
          <w:spacing w:val="-41"/>
          <w:w w:val="105"/>
        </w:rPr>
        <w:t> </w:t>
      </w:r>
      <w:r>
        <w:rPr>
          <w:color w:val="231F20"/>
          <w:w w:val="105"/>
        </w:rPr>
        <w:t>característica</w:t>
      </w:r>
      <w:r>
        <w:rPr>
          <w:color w:val="231F20"/>
          <w:spacing w:val="-41"/>
          <w:w w:val="105"/>
        </w:rPr>
        <w:t> </w:t>
      </w:r>
      <w:r>
        <w:rPr>
          <w:color w:val="231F20"/>
          <w:w w:val="105"/>
        </w:rPr>
        <w:t>sobreestructura</w:t>
      </w:r>
      <w:r>
        <w:rPr>
          <w:color w:val="231F20"/>
          <w:spacing w:val="-41"/>
          <w:w w:val="105"/>
        </w:rPr>
        <w:t> </w:t>
      </w:r>
      <w:r>
        <w:rPr>
          <w:color w:val="231F20"/>
          <w:w w:val="105"/>
        </w:rPr>
        <w:t>ideológico–discursiva</w:t>
      </w:r>
      <w:r>
        <w:rPr>
          <w:color w:val="231F20"/>
          <w:spacing w:val="-41"/>
          <w:w w:val="105"/>
        </w:rPr>
        <w:t> </w:t>
      </w:r>
      <w:r>
        <w:rPr>
          <w:color w:val="231F20"/>
          <w:w w:val="105"/>
        </w:rPr>
        <w:t>de</w:t>
      </w:r>
      <w:r>
        <w:rPr>
          <w:color w:val="231F20"/>
          <w:spacing w:val="-41"/>
          <w:w w:val="105"/>
        </w:rPr>
        <w:t> </w:t>
      </w:r>
      <w:r>
        <w:rPr>
          <w:color w:val="231F20"/>
          <w:w w:val="105"/>
        </w:rPr>
        <w:t>un</w:t>
      </w:r>
      <w:r>
        <w:rPr>
          <w:color w:val="231F20"/>
          <w:spacing w:val="-41"/>
          <w:w w:val="105"/>
        </w:rPr>
        <w:t> </w:t>
      </w:r>
      <w:r>
        <w:rPr>
          <w:color w:val="231F20"/>
          <w:w w:val="105"/>
        </w:rPr>
        <w:t>“new</w:t>
      </w:r>
      <w:r>
        <w:rPr>
          <w:color w:val="231F20"/>
          <w:spacing w:val="-41"/>
          <w:w w:val="105"/>
        </w:rPr>
        <w:t> </w:t>
      </w:r>
      <w:r>
        <w:rPr>
          <w:color w:val="231F20"/>
          <w:w w:val="105"/>
        </w:rPr>
        <w:t>im- perial</w:t>
      </w:r>
      <w:r>
        <w:rPr>
          <w:color w:val="231F20"/>
          <w:spacing w:val="-5"/>
          <w:w w:val="105"/>
        </w:rPr>
        <w:t> </w:t>
      </w:r>
      <w:r>
        <w:rPr>
          <w:color w:val="231F20"/>
          <w:w w:val="105"/>
        </w:rPr>
        <w:t>order”</w:t>
      </w:r>
      <w:r>
        <w:rPr>
          <w:color w:val="231F20"/>
          <w:spacing w:val="-5"/>
          <w:w w:val="105"/>
        </w:rPr>
        <w:t> </w:t>
      </w:r>
      <w:r>
        <w:rPr>
          <w:color w:val="231F20"/>
          <w:w w:val="105"/>
        </w:rPr>
        <w:t>surgido</w:t>
      </w:r>
      <w:r>
        <w:rPr>
          <w:color w:val="231F20"/>
          <w:spacing w:val="-5"/>
          <w:w w:val="105"/>
        </w:rPr>
        <w:t> </w:t>
      </w:r>
      <w:r>
        <w:rPr>
          <w:color w:val="231F20"/>
          <w:w w:val="105"/>
        </w:rPr>
        <w:t>sobre</w:t>
      </w:r>
      <w:r>
        <w:rPr>
          <w:color w:val="231F20"/>
          <w:spacing w:val="-5"/>
          <w:w w:val="105"/>
        </w:rPr>
        <w:t> </w:t>
      </w:r>
      <w:r>
        <w:rPr>
          <w:color w:val="231F20"/>
          <w:w w:val="105"/>
        </w:rPr>
        <w:t>los</w:t>
      </w:r>
      <w:r>
        <w:rPr>
          <w:color w:val="231F20"/>
          <w:spacing w:val="-5"/>
          <w:w w:val="105"/>
        </w:rPr>
        <w:t> </w:t>
      </w:r>
      <w:r>
        <w:rPr>
          <w:color w:val="231F20"/>
          <w:w w:val="105"/>
        </w:rPr>
        <w:t>vestigios</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tradicional</w:t>
      </w:r>
      <w:r>
        <w:rPr>
          <w:color w:val="231F20"/>
          <w:spacing w:val="-5"/>
          <w:w w:val="105"/>
        </w:rPr>
        <w:t> </w:t>
      </w:r>
      <w:r>
        <w:rPr>
          <w:color w:val="231F20"/>
          <w:w w:val="105"/>
        </w:rPr>
        <w:t>sociedad</w:t>
      </w:r>
      <w:r>
        <w:rPr>
          <w:color w:val="231F20"/>
          <w:spacing w:val="-5"/>
          <w:w w:val="105"/>
        </w:rPr>
        <w:t> </w:t>
      </w:r>
      <w:r>
        <w:rPr>
          <w:color w:val="231F20"/>
          <w:w w:val="105"/>
        </w:rPr>
        <w:t>inter- nacional</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Estados:</w:t>
      </w:r>
      <w:r>
        <w:rPr>
          <w:color w:val="231F20"/>
          <w:spacing w:val="-13"/>
          <w:w w:val="105"/>
        </w:rPr>
        <w:t> </w:t>
      </w:r>
      <w:r>
        <w:rPr>
          <w:color w:val="231F20"/>
          <w:w w:val="105"/>
        </w:rPr>
        <w:t>la</w:t>
      </w:r>
      <w:r>
        <w:rPr>
          <w:color w:val="231F20"/>
          <w:spacing w:val="-13"/>
          <w:w w:val="105"/>
        </w:rPr>
        <w:t> </w:t>
      </w:r>
      <w:r>
        <w:rPr>
          <w:color w:val="231F20"/>
          <w:w w:val="105"/>
        </w:rPr>
        <w:t>privilegiada</w:t>
      </w:r>
      <w:r>
        <w:rPr>
          <w:color w:val="231F20"/>
          <w:spacing w:val="-13"/>
          <w:w w:val="105"/>
        </w:rPr>
        <w:t> </w:t>
      </w:r>
      <w:r>
        <w:rPr>
          <w:color w:val="231F20"/>
          <w:w w:val="105"/>
        </w:rPr>
        <w:t>base</w:t>
      </w:r>
      <w:r>
        <w:rPr>
          <w:color w:val="231F20"/>
          <w:spacing w:val="-13"/>
          <w:w w:val="105"/>
        </w:rPr>
        <w:t> </w:t>
      </w:r>
      <w:r>
        <w:rPr>
          <w:color w:val="231F20"/>
          <w:w w:val="105"/>
        </w:rPr>
        <w:t>de</w:t>
      </w:r>
      <w:r>
        <w:rPr>
          <w:color w:val="231F20"/>
          <w:spacing w:val="-13"/>
          <w:w w:val="105"/>
        </w:rPr>
        <w:t> </w:t>
      </w:r>
      <w:r>
        <w:rPr>
          <w:color w:val="231F20"/>
          <w:w w:val="105"/>
        </w:rPr>
        <w:t>legitimación,</w:t>
      </w:r>
      <w:r>
        <w:rPr>
          <w:color w:val="231F20"/>
          <w:spacing w:val="-13"/>
          <w:w w:val="105"/>
        </w:rPr>
        <w:t> </w:t>
      </w:r>
      <w:r>
        <w:rPr>
          <w:color w:val="231F20"/>
          <w:w w:val="105"/>
        </w:rPr>
        <w:t>es</w:t>
      </w:r>
      <w:r>
        <w:rPr>
          <w:color w:val="231F20"/>
          <w:spacing w:val="-13"/>
          <w:w w:val="105"/>
        </w:rPr>
        <w:t> </w:t>
      </w:r>
      <w:r>
        <w:rPr>
          <w:color w:val="231F20"/>
          <w:spacing w:val="-4"/>
          <w:w w:val="105"/>
        </w:rPr>
        <w:t>decir,</w:t>
      </w:r>
      <w:r>
        <w:rPr>
          <w:color w:val="231F20"/>
          <w:spacing w:val="-13"/>
          <w:w w:val="105"/>
        </w:rPr>
        <w:t> </w:t>
      </w:r>
      <w:r>
        <w:rPr>
          <w:color w:val="231F20"/>
          <w:w w:val="105"/>
        </w:rPr>
        <w:t>un sistema</w:t>
      </w:r>
      <w:r>
        <w:rPr>
          <w:color w:val="231F20"/>
          <w:spacing w:val="-23"/>
          <w:w w:val="105"/>
        </w:rPr>
        <w:t> </w:t>
      </w:r>
      <w:r>
        <w:rPr>
          <w:color w:val="231F20"/>
          <w:w w:val="105"/>
        </w:rPr>
        <w:t>de</w:t>
      </w:r>
      <w:r>
        <w:rPr>
          <w:color w:val="231F20"/>
          <w:spacing w:val="-23"/>
          <w:w w:val="105"/>
        </w:rPr>
        <w:t> </w:t>
      </w:r>
      <w:r>
        <w:rPr>
          <w:color w:val="231F20"/>
          <w:w w:val="105"/>
        </w:rPr>
        <w:t>dominio</w:t>
      </w:r>
      <w:r>
        <w:rPr>
          <w:color w:val="231F20"/>
          <w:spacing w:val="-23"/>
          <w:w w:val="105"/>
        </w:rPr>
        <w:t> </w:t>
      </w:r>
      <w:r>
        <w:rPr>
          <w:color w:val="231F20"/>
          <w:w w:val="105"/>
        </w:rPr>
        <w:t>global</w:t>
      </w:r>
      <w:r>
        <w:rPr>
          <w:color w:val="231F20"/>
          <w:spacing w:val="-23"/>
          <w:w w:val="105"/>
        </w:rPr>
        <w:t> </w:t>
      </w:r>
      <w:r>
        <w:rPr>
          <w:color w:val="231F20"/>
          <w:w w:val="105"/>
        </w:rPr>
        <w:t>centrado</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rehabilitación</w:t>
      </w:r>
      <w:r>
        <w:rPr>
          <w:color w:val="231F20"/>
          <w:spacing w:val="-23"/>
          <w:w w:val="105"/>
        </w:rPr>
        <w:t> </w:t>
      </w:r>
      <w:r>
        <w:rPr>
          <w:color w:val="231F20"/>
          <w:w w:val="105"/>
        </w:rPr>
        <w:t>del</w:t>
      </w:r>
      <w:r>
        <w:rPr>
          <w:color w:val="231F20"/>
          <w:spacing w:val="-23"/>
          <w:w w:val="105"/>
        </w:rPr>
        <w:t> </w:t>
      </w:r>
      <w:r>
        <w:rPr>
          <w:color w:val="231F20"/>
          <w:w w:val="105"/>
        </w:rPr>
        <w:t>uso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spacing w:val="-3"/>
          <w:w w:val="105"/>
        </w:rPr>
        <w:t>fuer- </w:t>
      </w:r>
      <w:r>
        <w:rPr>
          <w:color w:val="231F20"/>
          <w:w w:val="105"/>
        </w:rPr>
        <w:t>za</w:t>
      </w:r>
      <w:r>
        <w:rPr>
          <w:color w:val="231F20"/>
          <w:spacing w:val="-10"/>
          <w:w w:val="105"/>
        </w:rPr>
        <w:t> </w:t>
      </w:r>
      <w:r>
        <w:rPr>
          <w:color w:val="231F20"/>
          <w:w w:val="105"/>
        </w:rPr>
        <w:t>como</w:t>
      </w:r>
      <w:r>
        <w:rPr>
          <w:color w:val="231F20"/>
          <w:spacing w:val="-10"/>
          <w:w w:val="105"/>
        </w:rPr>
        <w:t> </w:t>
      </w:r>
      <w:r>
        <w:rPr>
          <w:color w:val="231F20"/>
          <w:w w:val="105"/>
        </w:rPr>
        <w:t>instrumento</w:t>
      </w:r>
      <w:r>
        <w:rPr>
          <w:color w:val="231F20"/>
          <w:spacing w:val="-10"/>
          <w:w w:val="105"/>
        </w:rPr>
        <w:t> </w:t>
      </w:r>
      <w:r>
        <w:rPr>
          <w:color w:val="231F20"/>
          <w:w w:val="105"/>
        </w:rPr>
        <w:t>ordinario</w:t>
      </w:r>
      <w:r>
        <w:rPr>
          <w:color w:val="231F20"/>
          <w:spacing w:val="-10"/>
          <w:w w:val="105"/>
        </w:rPr>
        <w:t> </w:t>
      </w:r>
      <w:r>
        <w:rPr>
          <w:color w:val="231F20"/>
          <w:w w:val="105"/>
        </w:rPr>
        <w:t>de</w:t>
      </w:r>
      <w:r>
        <w:rPr>
          <w:color w:val="231F20"/>
          <w:spacing w:val="-10"/>
          <w:w w:val="105"/>
        </w:rPr>
        <w:t> </w:t>
      </w:r>
      <w:r>
        <w:rPr>
          <w:color w:val="231F20"/>
          <w:w w:val="105"/>
        </w:rPr>
        <w:t>política</w:t>
      </w:r>
      <w:r>
        <w:rPr>
          <w:color w:val="231F20"/>
          <w:spacing w:val="-10"/>
          <w:w w:val="105"/>
        </w:rPr>
        <w:t> </w:t>
      </w:r>
      <w:r>
        <w:rPr>
          <w:color w:val="231F20"/>
          <w:w w:val="105"/>
        </w:rPr>
        <w:t>internacional.</w:t>
      </w:r>
      <w:r>
        <w:rPr>
          <w:color w:val="231F20"/>
          <w:spacing w:val="-10"/>
          <w:w w:val="105"/>
        </w:rPr>
        <w:t> </w:t>
      </w:r>
      <w:r>
        <w:rPr>
          <w:color w:val="231F20"/>
          <w:w w:val="105"/>
        </w:rPr>
        <w:t>De</w:t>
      </w:r>
      <w:r>
        <w:rPr>
          <w:color w:val="231F20"/>
          <w:spacing w:val="-10"/>
          <w:w w:val="105"/>
        </w:rPr>
        <w:t> </w:t>
      </w:r>
      <w:r>
        <w:rPr>
          <w:color w:val="231F20"/>
          <w:w w:val="105"/>
        </w:rPr>
        <w:t>acuerdo</w:t>
      </w:r>
      <w:r>
        <w:rPr>
          <w:color w:val="231F20"/>
          <w:spacing w:val="-10"/>
          <w:w w:val="105"/>
        </w:rPr>
        <w:t> </w:t>
      </w:r>
      <w:r>
        <w:rPr>
          <w:color w:val="231F20"/>
          <w:w w:val="105"/>
        </w:rPr>
        <w:t>con esta</w:t>
      </w:r>
      <w:r>
        <w:rPr>
          <w:color w:val="231F20"/>
          <w:spacing w:val="-32"/>
          <w:w w:val="105"/>
        </w:rPr>
        <w:t> </w:t>
      </w:r>
      <w:r>
        <w:rPr>
          <w:color w:val="231F20"/>
          <w:w w:val="105"/>
        </w:rPr>
        <w:t>lectura,</w:t>
      </w:r>
      <w:r>
        <w:rPr>
          <w:color w:val="231F20"/>
          <w:spacing w:val="-32"/>
          <w:w w:val="105"/>
        </w:rPr>
        <w:t> </w:t>
      </w:r>
      <w:r>
        <w:rPr>
          <w:color w:val="231F20"/>
          <w:w w:val="105"/>
        </w:rPr>
        <w:t>es</w:t>
      </w:r>
      <w:r>
        <w:rPr>
          <w:color w:val="231F20"/>
          <w:spacing w:val="-32"/>
          <w:w w:val="105"/>
        </w:rPr>
        <w:t> </w:t>
      </w:r>
      <w:r>
        <w:rPr>
          <w:color w:val="231F20"/>
          <w:w w:val="105"/>
        </w:rPr>
        <w:t>a</w:t>
      </w:r>
      <w:r>
        <w:rPr>
          <w:color w:val="231F20"/>
          <w:spacing w:val="-32"/>
          <w:w w:val="105"/>
        </w:rPr>
        <w:t> </w:t>
      </w:r>
      <w:r>
        <w:rPr>
          <w:color w:val="231F20"/>
          <w:w w:val="105"/>
        </w:rPr>
        <w:t>través</w:t>
      </w:r>
      <w:r>
        <w:rPr>
          <w:color w:val="231F20"/>
          <w:spacing w:val="-32"/>
          <w:w w:val="105"/>
        </w:rPr>
        <w:t> </w:t>
      </w:r>
      <w:r>
        <w:rPr>
          <w:color w:val="231F20"/>
          <w:w w:val="105"/>
        </w:rPr>
        <w:t>de</w:t>
      </w:r>
      <w:r>
        <w:rPr>
          <w:color w:val="231F20"/>
          <w:spacing w:val="-32"/>
          <w:w w:val="105"/>
        </w:rPr>
        <w:t> </w:t>
      </w:r>
      <w:r>
        <w:rPr>
          <w:color w:val="231F20"/>
          <w:w w:val="105"/>
        </w:rPr>
        <w:t>esta</w:t>
      </w:r>
      <w:r>
        <w:rPr>
          <w:color w:val="231F20"/>
          <w:spacing w:val="-32"/>
          <w:w w:val="105"/>
        </w:rPr>
        <w:t> </w:t>
      </w:r>
      <w:r>
        <w:rPr>
          <w:color w:val="231F20"/>
          <w:w w:val="105"/>
        </w:rPr>
        <w:t>constelación</w:t>
      </w:r>
      <w:r>
        <w:rPr>
          <w:color w:val="231F20"/>
          <w:spacing w:val="-32"/>
          <w:w w:val="105"/>
        </w:rPr>
        <w:t> </w:t>
      </w:r>
      <w:r>
        <w:rPr>
          <w:color w:val="231F20"/>
          <w:w w:val="105"/>
        </w:rPr>
        <w:t>retórica</w:t>
      </w:r>
      <w:r>
        <w:rPr>
          <w:color w:val="231F20"/>
          <w:spacing w:val="-32"/>
          <w:w w:val="105"/>
        </w:rPr>
        <w:t> </w:t>
      </w:r>
      <w:r>
        <w:rPr>
          <w:color w:val="231F20"/>
          <w:w w:val="105"/>
        </w:rPr>
        <w:t>y</w:t>
      </w:r>
      <w:r>
        <w:rPr>
          <w:color w:val="231F20"/>
          <w:spacing w:val="-32"/>
          <w:w w:val="105"/>
        </w:rPr>
        <w:t> </w:t>
      </w:r>
      <w:r>
        <w:rPr>
          <w:color w:val="231F20"/>
          <w:w w:val="105"/>
        </w:rPr>
        <w:t>argumentativa</w:t>
      </w:r>
      <w:r>
        <w:rPr>
          <w:color w:val="231F20"/>
          <w:spacing w:val="-32"/>
          <w:w w:val="105"/>
        </w:rPr>
        <w:t> </w:t>
      </w:r>
      <w:r>
        <w:rPr>
          <w:color w:val="231F20"/>
          <w:w w:val="105"/>
        </w:rPr>
        <w:t>que “en</w:t>
      </w:r>
      <w:r>
        <w:rPr>
          <w:color w:val="231F20"/>
          <w:spacing w:val="-45"/>
          <w:w w:val="105"/>
        </w:rPr>
        <w:t> </w:t>
      </w:r>
      <w:r>
        <w:rPr>
          <w:color w:val="231F20"/>
          <w:w w:val="105"/>
        </w:rPr>
        <w:t>una</w:t>
      </w:r>
      <w:r>
        <w:rPr>
          <w:color w:val="231F20"/>
          <w:spacing w:val="-45"/>
          <w:w w:val="105"/>
        </w:rPr>
        <w:t> </w:t>
      </w:r>
      <w:r>
        <w:rPr>
          <w:color w:val="231F20"/>
          <w:w w:val="105"/>
        </w:rPr>
        <w:t>forma</w:t>
      </w:r>
      <w:r>
        <w:rPr>
          <w:color w:val="231F20"/>
          <w:spacing w:val="-45"/>
          <w:w w:val="105"/>
        </w:rPr>
        <w:t> </w:t>
      </w:r>
      <w:r>
        <w:rPr>
          <w:color w:val="231F20"/>
          <w:w w:val="105"/>
        </w:rPr>
        <w:t>casi</w:t>
      </w:r>
      <w:r>
        <w:rPr>
          <w:color w:val="231F20"/>
          <w:spacing w:val="-45"/>
          <w:w w:val="105"/>
        </w:rPr>
        <w:t> </w:t>
      </w:r>
      <w:r>
        <w:rPr>
          <w:color w:val="231F20"/>
          <w:w w:val="105"/>
        </w:rPr>
        <w:t>religiosa”,</w:t>
      </w:r>
      <w:r>
        <w:rPr>
          <w:color w:val="231F20"/>
          <w:spacing w:val="-45"/>
          <w:w w:val="105"/>
        </w:rPr>
        <w:t> </w:t>
      </w:r>
      <w:r>
        <w:rPr>
          <w:color w:val="231F20"/>
          <w:w w:val="105"/>
        </w:rPr>
        <w:t>un</w:t>
      </w:r>
      <w:r>
        <w:rPr>
          <w:color w:val="231F20"/>
          <w:spacing w:val="-45"/>
          <w:w w:val="105"/>
        </w:rPr>
        <w:t> </w:t>
      </w:r>
      <w:r>
        <w:rPr>
          <w:color w:val="231F20"/>
          <w:w w:val="105"/>
        </w:rPr>
        <w:t>sistema</w:t>
      </w:r>
      <w:r>
        <w:rPr>
          <w:color w:val="231F20"/>
          <w:spacing w:val="-45"/>
          <w:w w:val="105"/>
        </w:rPr>
        <w:t> </w:t>
      </w:r>
      <w:r>
        <w:rPr>
          <w:color w:val="231F20"/>
          <w:w w:val="105"/>
        </w:rPr>
        <w:t>de</w:t>
      </w:r>
      <w:r>
        <w:rPr>
          <w:color w:val="231F20"/>
          <w:spacing w:val="-45"/>
          <w:w w:val="105"/>
        </w:rPr>
        <w:t> </w:t>
      </w:r>
      <w:r>
        <w:rPr>
          <w:color w:val="231F20"/>
          <w:w w:val="105"/>
        </w:rPr>
        <w:t>normas</w:t>
      </w:r>
      <w:r>
        <w:rPr>
          <w:color w:val="231F20"/>
          <w:spacing w:val="-45"/>
          <w:w w:val="105"/>
        </w:rPr>
        <w:t> </w:t>
      </w:r>
      <w:r>
        <w:rPr>
          <w:color w:val="231F20"/>
          <w:w w:val="105"/>
        </w:rPr>
        <w:t>jurídicas</w:t>
      </w:r>
      <w:r>
        <w:rPr>
          <w:color w:val="231F20"/>
          <w:spacing w:val="-45"/>
          <w:w w:val="105"/>
        </w:rPr>
        <w:t> </w:t>
      </w:r>
      <w:r>
        <w:rPr>
          <w:color w:val="231F20"/>
          <w:w w:val="105"/>
        </w:rPr>
        <w:t>generalmente compartidas</w:t>
      </w:r>
      <w:r>
        <w:rPr>
          <w:color w:val="231F20"/>
          <w:spacing w:val="-16"/>
          <w:w w:val="105"/>
        </w:rPr>
        <w:t> </w:t>
      </w:r>
      <w:r>
        <w:rPr>
          <w:color w:val="231F20"/>
          <w:w w:val="105"/>
        </w:rPr>
        <w:t>ha</w:t>
      </w:r>
      <w:r>
        <w:rPr>
          <w:color w:val="231F20"/>
          <w:spacing w:val="-16"/>
          <w:w w:val="105"/>
        </w:rPr>
        <w:t> </w:t>
      </w:r>
      <w:r>
        <w:rPr>
          <w:color w:val="231F20"/>
          <w:w w:val="105"/>
        </w:rPr>
        <w:t>sido</w:t>
      </w:r>
      <w:r>
        <w:rPr>
          <w:color w:val="231F20"/>
          <w:spacing w:val="-16"/>
          <w:w w:val="105"/>
        </w:rPr>
        <w:t> </w:t>
      </w:r>
      <w:r>
        <w:rPr>
          <w:color w:val="231F20"/>
          <w:w w:val="105"/>
        </w:rPr>
        <w:t>sustituido</w:t>
      </w:r>
      <w:r>
        <w:rPr>
          <w:color w:val="231F20"/>
          <w:spacing w:val="-16"/>
          <w:w w:val="105"/>
        </w:rPr>
        <w:t> </w:t>
      </w:r>
      <w:r>
        <w:rPr>
          <w:color w:val="231F20"/>
          <w:w w:val="105"/>
        </w:rPr>
        <w:t>progresivamente</w:t>
      </w:r>
      <w:r>
        <w:rPr>
          <w:color w:val="231F20"/>
          <w:spacing w:val="-16"/>
          <w:w w:val="105"/>
        </w:rPr>
        <w:t> </w:t>
      </w:r>
      <w:r>
        <w:rPr>
          <w:color w:val="231F20"/>
          <w:w w:val="105"/>
        </w:rPr>
        <w:t>por</w:t>
      </w:r>
      <w:r>
        <w:rPr>
          <w:color w:val="231F20"/>
          <w:spacing w:val="-16"/>
          <w:w w:val="105"/>
        </w:rPr>
        <w:t> </w:t>
      </w:r>
      <w:r>
        <w:rPr>
          <w:color w:val="231F20"/>
          <w:w w:val="105"/>
        </w:rPr>
        <w:t>una</w:t>
      </w:r>
      <w:r>
        <w:rPr>
          <w:color w:val="231F20"/>
          <w:spacing w:val="-16"/>
          <w:w w:val="105"/>
        </w:rPr>
        <w:t> </w:t>
      </w:r>
      <w:r>
        <w:rPr>
          <w:color w:val="231F20"/>
          <w:w w:val="105"/>
        </w:rPr>
        <w:t>constelación</w:t>
      </w:r>
      <w:r>
        <w:rPr>
          <w:color w:val="231F20"/>
          <w:spacing w:val="-16"/>
          <w:w w:val="105"/>
        </w:rPr>
        <w:t> </w:t>
      </w:r>
      <w:r>
        <w:rPr>
          <w:color w:val="231F20"/>
          <w:w w:val="105"/>
        </w:rPr>
        <w:t>de humo,</w:t>
      </w:r>
      <w:r>
        <w:rPr>
          <w:color w:val="231F20"/>
          <w:spacing w:val="-15"/>
          <w:w w:val="105"/>
        </w:rPr>
        <w:t> </w:t>
      </w:r>
      <w:r>
        <w:rPr>
          <w:color w:val="231F20"/>
          <w:w w:val="105"/>
        </w:rPr>
        <w:t>hecha</w:t>
      </w:r>
      <w:r>
        <w:rPr>
          <w:color w:val="231F20"/>
          <w:spacing w:val="-15"/>
          <w:w w:val="105"/>
        </w:rPr>
        <w:t> </w:t>
      </w:r>
      <w:r>
        <w:rPr>
          <w:color w:val="231F20"/>
          <w:w w:val="105"/>
        </w:rPr>
        <w:t>de</w:t>
      </w:r>
      <w:r>
        <w:rPr>
          <w:color w:val="231F20"/>
          <w:spacing w:val="-15"/>
          <w:w w:val="105"/>
        </w:rPr>
        <w:t> </w:t>
      </w:r>
      <w:r>
        <w:rPr>
          <w:color w:val="231F20"/>
          <w:w w:val="105"/>
        </w:rPr>
        <w:t>principios</w:t>
      </w:r>
      <w:r>
        <w:rPr>
          <w:color w:val="231F20"/>
          <w:spacing w:val="-15"/>
          <w:w w:val="105"/>
        </w:rPr>
        <w:t> </w:t>
      </w:r>
      <w:r>
        <w:rPr>
          <w:color w:val="231F20"/>
          <w:w w:val="105"/>
        </w:rPr>
        <w:t>morales</w:t>
      </w:r>
      <w:r>
        <w:rPr>
          <w:color w:val="231F20"/>
          <w:spacing w:val="-15"/>
          <w:w w:val="105"/>
        </w:rPr>
        <w:t> </w:t>
      </w:r>
      <w:r>
        <w:rPr>
          <w:color w:val="231F20"/>
          <w:w w:val="105"/>
        </w:rPr>
        <w:t>superiores,</w:t>
      </w:r>
      <w:r>
        <w:rPr>
          <w:color w:val="231F20"/>
          <w:spacing w:val="-15"/>
          <w:w w:val="105"/>
        </w:rPr>
        <w:t> </w:t>
      </w:r>
      <w:r>
        <w:rPr>
          <w:color w:val="231F20"/>
          <w:w w:val="105"/>
        </w:rPr>
        <w:t>capaces</w:t>
      </w:r>
      <w:r>
        <w:rPr>
          <w:color w:val="231F20"/>
          <w:spacing w:val="-15"/>
          <w:w w:val="105"/>
        </w:rPr>
        <w:t> </w:t>
      </w:r>
      <w:r>
        <w:rPr>
          <w:color w:val="231F20"/>
          <w:w w:val="105"/>
        </w:rPr>
        <w:t>de</w:t>
      </w:r>
      <w:r>
        <w:rPr>
          <w:color w:val="231F20"/>
          <w:spacing w:val="-15"/>
          <w:w w:val="105"/>
        </w:rPr>
        <w:t> </w:t>
      </w:r>
      <w:r>
        <w:rPr>
          <w:color w:val="231F20"/>
          <w:w w:val="105"/>
        </w:rPr>
        <w:t>legitimar</w:t>
      </w:r>
      <w:r>
        <w:rPr>
          <w:color w:val="231F20"/>
          <w:spacing w:val="-15"/>
          <w:w w:val="105"/>
        </w:rPr>
        <w:t> </w:t>
      </w:r>
      <w:r>
        <w:rPr>
          <w:color w:val="231F20"/>
          <w:w w:val="105"/>
        </w:rPr>
        <w:t>“ac- ciones</w:t>
      </w:r>
      <w:r>
        <w:rPr>
          <w:color w:val="231F20"/>
          <w:spacing w:val="-35"/>
          <w:w w:val="105"/>
        </w:rPr>
        <w:t> </w:t>
      </w:r>
      <w:r>
        <w:rPr>
          <w:color w:val="231F20"/>
          <w:w w:val="105"/>
        </w:rPr>
        <w:t>que</w:t>
      </w:r>
      <w:r>
        <w:rPr>
          <w:color w:val="231F20"/>
          <w:spacing w:val="-35"/>
          <w:w w:val="105"/>
        </w:rPr>
        <w:t> </w:t>
      </w:r>
      <w:r>
        <w:rPr>
          <w:color w:val="231F20"/>
          <w:w w:val="105"/>
        </w:rPr>
        <w:t>de</w:t>
      </w:r>
      <w:r>
        <w:rPr>
          <w:color w:val="231F20"/>
          <w:spacing w:val="-35"/>
          <w:w w:val="105"/>
        </w:rPr>
        <w:t> </w:t>
      </w:r>
      <w:r>
        <w:rPr>
          <w:color w:val="231F20"/>
          <w:w w:val="105"/>
        </w:rPr>
        <w:t>otra</w:t>
      </w:r>
      <w:r>
        <w:rPr>
          <w:color w:val="231F20"/>
          <w:spacing w:val="-35"/>
          <w:w w:val="105"/>
        </w:rPr>
        <w:t> </w:t>
      </w:r>
      <w:r>
        <w:rPr>
          <w:color w:val="231F20"/>
          <w:w w:val="105"/>
        </w:rPr>
        <w:t>manera</w:t>
      </w:r>
      <w:r>
        <w:rPr>
          <w:color w:val="231F20"/>
          <w:spacing w:val="-35"/>
          <w:w w:val="105"/>
        </w:rPr>
        <w:t> </w:t>
      </w:r>
      <w:r>
        <w:rPr>
          <w:color w:val="231F20"/>
          <w:w w:val="105"/>
        </w:rPr>
        <w:t>deberían</w:t>
      </w:r>
      <w:r>
        <w:rPr>
          <w:color w:val="231F20"/>
          <w:spacing w:val="-35"/>
          <w:w w:val="105"/>
        </w:rPr>
        <w:t> </w:t>
      </w:r>
      <w:r>
        <w:rPr>
          <w:color w:val="231F20"/>
          <w:w w:val="105"/>
        </w:rPr>
        <w:t>ser</w:t>
      </w:r>
      <w:r>
        <w:rPr>
          <w:color w:val="231F20"/>
          <w:spacing w:val="-35"/>
          <w:w w:val="105"/>
        </w:rPr>
        <w:t> </w:t>
      </w:r>
      <w:r>
        <w:rPr>
          <w:color w:val="231F20"/>
          <w:w w:val="105"/>
        </w:rPr>
        <w:t>calificadas</w:t>
      </w:r>
      <w:r>
        <w:rPr>
          <w:color w:val="231F20"/>
          <w:spacing w:val="-35"/>
          <w:w w:val="105"/>
        </w:rPr>
        <w:t> </w:t>
      </w:r>
      <w:r>
        <w:rPr>
          <w:color w:val="231F20"/>
          <w:w w:val="105"/>
        </w:rPr>
        <w:t>como</w:t>
      </w:r>
      <w:r>
        <w:rPr>
          <w:color w:val="231F20"/>
          <w:spacing w:val="-35"/>
          <w:w w:val="105"/>
        </w:rPr>
        <w:t> </w:t>
      </w:r>
      <w:r>
        <w:rPr>
          <w:color w:val="231F20"/>
          <w:w w:val="105"/>
        </w:rPr>
        <w:t>crímenes</w:t>
      </w:r>
      <w:r>
        <w:rPr>
          <w:color w:val="231F20"/>
          <w:spacing w:val="-35"/>
          <w:w w:val="105"/>
        </w:rPr>
        <w:t> </w:t>
      </w:r>
      <w:r>
        <w:rPr>
          <w:color w:val="231F20"/>
          <w:w w:val="105"/>
        </w:rPr>
        <w:t>de</w:t>
      </w:r>
      <w:r>
        <w:rPr>
          <w:color w:val="231F20"/>
          <w:spacing w:val="-35"/>
          <w:w w:val="105"/>
        </w:rPr>
        <w:t> </w:t>
      </w:r>
      <w:r>
        <w:rPr>
          <w:color w:val="231F20"/>
          <w:w w:val="105"/>
        </w:rPr>
        <w:t>gue- rra”</w:t>
      </w:r>
      <w:r>
        <w:rPr>
          <w:color w:val="231F20"/>
          <w:w w:val="105"/>
          <w:position w:val="7"/>
          <w:sz w:val="12"/>
        </w:rPr>
        <w:t>53</w:t>
      </w:r>
      <w:r>
        <w:rPr>
          <w:color w:val="231F20"/>
          <w:w w:val="105"/>
        </w:rPr>
        <w:t>.</w:t>
      </w:r>
      <w:r>
        <w:rPr>
          <w:color w:val="231F20"/>
          <w:spacing w:val="-22"/>
          <w:w w:val="105"/>
        </w:rPr>
        <w:t> </w:t>
      </w:r>
      <w:r>
        <w:rPr>
          <w:color w:val="231F20"/>
          <w:w w:val="105"/>
        </w:rPr>
        <w:t>Esta</w:t>
      </w:r>
      <w:r>
        <w:rPr>
          <w:color w:val="231F20"/>
          <w:spacing w:val="-22"/>
          <w:w w:val="105"/>
        </w:rPr>
        <w:t> </w:t>
      </w:r>
      <w:r>
        <w:rPr>
          <w:color w:val="231F20"/>
          <w:w w:val="105"/>
        </w:rPr>
        <w:t>estrategia</w:t>
      </w:r>
      <w:r>
        <w:rPr>
          <w:color w:val="231F20"/>
          <w:spacing w:val="-22"/>
          <w:w w:val="105"/>
        </w:rPr>
        <w:t> </w:t>
      </w:r>
      <w:r>
        <w:rPr>
          <w:color w:val="231F20"/>
          <w:w w:val="105"/>
        </w:rPr>
        <w:t>—como</w:t>
      </w:r>
      <w:r>
        <w:rPr>
          <w:color w:val="231F20"/>
          <w:spacing w:val="-22"/>
          <w:w w:val="105"/>
        </w:rPr>
        <w:t> </w:t>
      </w:r>
      <w:r>
        <w:rPr>
          <w:color w:val="231F20"/>
          <w:w w:val="105"/>
        </w:rPr>
        <w:t>ya</w:t>
      </w:r>
      <w:r>
        <w:rPr>
          <w:color w:val="231F20"/>
          <w:spacing w:val="-22"/>
          <w:w w:val="105"/>
        </w:rPr>
        <w:t> </w:t>
      </w:r>
      <w:r>
        <w:rPr>
          <w:color w:val="231F20"/>
          <w:w w:val="105"/>
        </w:rPr>
        <w:t>ha</w:t>
      </w:r>
      <w:r>
        <w:rPr>
          <w:color w:val="231F20"/>
          <w:spacing w:val="-22"/>
          <w:w w:val="105"/>
        </w:rPr>
        <w:t> </w:t>
      </w:r>
      <w:r>
        <w:rPr>
          <w:color w:val="231F20"/>
          <w:w w:val="105"/>
        </w:rPr>
        <w:t>sido</w:t>
      </w:r>
      <w:r>
        <w:rPr>
          <w:color w:val="231F20"/>
          <w:spacing w:val="-22"/>
          <w:w w:val="105"/>
        </w:rPr>
        <w:t> </w:t>
      </w:r>
      <w:r>
        <w:rPr>
          <w:color w:val="231F20"/>
          <w:w w:val="105"/>
        </w:rPr>
        <w:t>subrayado—</w:t>
      </w:r>
      <w:r>
        <w:rPr>
          <w:color w:val="231F20"/>
          <w:spacing w:val="-22"/>
          <w:w w:val="105"/>
        </w:rPr>
        <w:t> </w:t>
      </w:r>
      <w:r>
        <w:rPr>
          <w:color w:val="231F20"/>
          <w:w w:val="105"/>
        </w:rPr>
        <w:t>implica</w:t>
      </w:r>
      <w:r>
        <w:rPr>
          <w:color w:val="231F20"/>
          <w:spacing w:val="-22"/>
          <w:w w:val="105"/>
        </w:rPr>
        <w:t> </w:t>
      </w:r>
      <w:r>
        <w:rPr>
          <w:color w:val="231F20"/>
          <w:w w:val="105"/>
        </w:rPr>
        <w:t>una</w:t>
      </w:r>
      <w:r>
        <w:rPr>
          <w:color w:val="231F20"/>
          <w:spacing w:val="-22"/>
          <w:w w:val="105"/>
        </w:rPr>
        <w:t> </w:t>
      </w:r>
      <w:r>
        <w:rPr>
          <w:color w:val="231F20"/>
          <w:w w:val="105"/>
        </w:rPr>
        <w:t>aproxi- mación</w:t>
      </w:r>
      <w:r>
        <w:rPr>
          <w:color w:val="231F20"/>
          <w:spacing w:val="-27"/>
          <w:w w:val="105"/>
        </w:rPr>
        <w:t> </w:t>
      </w:r>
      <w:r>
        <w:rPr>
          <w:color w:val="231F20"/>
          <w:w w:val="105"/>
        </w:rPr>
        <w:t>abiertamente</w:t>
      </w:r>
      <w:r>
        <w:rPr>
          <w:color w:val="231F20"/>
          <w:spacing w:val="-27"/>
          <w:w w:val="105"/>
        </w:rPr>
        <w:t> </w:t>
      </w:r>
      <w:r>
        <w:rPr>
          <w:color w:val="231F20"/>
          <w:w w:val="105"/>
        </w:rPr>
        <w:t>desigual,</w:t>
      </w:r>
      <w:r>
        <w:rPr>
          <w:color w:val="231F20"/>
          <w:spacing w:val="-27"/>
          <w:w w:val="105"/>
        </w:rPr>
        <w:t> </w:t>
      </w:r>
      <w:r>
        <w:rPr>
          <w:color w:val="231F20"/>
          <w:w w:val="105"/>
        </w:rPr>
        <w:t>incluso</w:t>
      </w:r>
      <w:r>
        <w:rPr>
          <w:color w:val="231F20"/>
          <w:spacing w:val="-27"/>
          <w:w w:val="105"/>
        </w:rPr>
        <w:t> </w:t>
      </w:r>
      <w:r>
        <w:rPr>
          <w:color w:val="231F20"/>
          <w:w w:val="105"/>
        </w:rPr>
        <w:t>“racista”</w:t>
      </w:r>
      <w:r>
        <w:rPr>
          <w:color w:val="231F20"/>
          <w:w w:val="105"/>
          <w:position w:val="7"/>
          <w:sz w:val="12"/>
        </w:rPr>
        <w:t>54</w:t>
      </w:r>
      <w:r>
        <w:rPr>
          <w:color w:val="231F20"/>
          <w:w w:val="105"/>
        </w:rPr>
        <w:t>,</w:t>
      </w:r>
      <w:r>
        <w:rPr>
          <w:color w:val="231F20"/>
          <w:spacing w:val="-27"/>
          <w:w w:val="105"/>
        </w:rPr>
        <w:t> </w:t>
      </w:r>
      <w:r>
        <w:rPr>
          <w:color w:val="231F20"/>
          <w:w w:val="105"/>
        </w:rPr>
        <w:t>frente</w:t>
      </w:r>
      <w:r>
        <w:rPr>
          <w:color w:val="231F20"/>
          <w:spacing w:val="-27"/>
          <w:w w:val="105"/>
        </w:rPr>
        <w:t> </w:t>
      </w:r>
      <w:r>
        <w:rPr>
          <w:color w:val="231F20"/>
          <w:w w:val="105"/>
        </w:rPr>
        <w:t>a</w:t>
      </w:r>
      <w:r>
        <w:rPr>
          <w:color w:val="231F20"/>
          <w:spacing w:val="-27"/>
          <w:w w:val="105"/>
        </w:rPr>
        <w:t> </w:t>
      </w:r>
      <w:r>
        <w:rPr>
          <w:color w:val="231F20"/>
          <w:w w:val="105"/>
        </w:rPr>
        <w:t>una</w:t>
      </w:r>
      <w:r>
        <w:rPr>
          <w:color w:val="231F20"/>
          <w:spacing w:val="-27"/>
          <w:w w:val="105"/>
        </w:rPr>
        <w:t> </w:t>
      </w:r>
      <w:r>
        <w:rPr>
          <w:color w:val="231F20"/>
          <w:w w:val="105"/>
        </w:rPr>
        <w:t>gran</w:t>
      </w:r>
      <w:r>
        <w:rPr>
          <w:color w:val="231F20"/>
          <w:spacing w:val="-27"/>
          <w:w w:val="105"/>
        </w:rPr>
        <w:t> </w:t>
      </w:r>
      <w:r>
        <w:rPr>
          <w:color w:val="231F20"/>
          <w:w w:val="105"/>
        </w:rPr>
        <w:t>parte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r>
        <w:rPr/>
        <w:pict>
          <v:line style="position:absolute;mso-position-horizontal-relative:page;mso-position-vertical-relative:paragraph;z-index:7816;mso-wrap-distance-left:0;mso-wrap-distance-right:0" from="65.196899pt,18.085209pt" to="178.582899pt,18.085209pt" stroked="true" strokeweight=".3pt" strokecolor="#231f20">
            <w10:wrap type="topAndBottom"/>
          </v:line>
        </w:pict>
      </w:r>
    </w:p>
    <w:p>
      <w:pPr>
        <w:spacing w:line="204" w:lineRule="exact" w:before="8"/>
        <w:ind w:left="103" w:right="115" w:firstLine="0"/>
        <w:jc w:val="left"/>
        <w:rPr>
          <w:rFonts w:ascii="Calibri" w:hAnsi="Calibri"/>
          <w:sz w:val="17"/>
        </w:rPr>
      </w:pPr>
      <w:r>
        <w:rPr>
          <w:rFonts w:ascii="Calibri" w:hAnsi="Calibri"/>
          <w:color w:val="231F20"/>
          <w:position w:val="6"/>
          <w:sz w:val="10"/>
        </w:rPr>
        <w:t>51 </w:t>
      </w:r>
      <w:r>
        <w:rPr>
          <w:rFonts w:ascii="Calibri" w:hAnsi="Calibri"/>
          <w:color w:val="231F20"/>
          <w:sz w:val="17"/>
        </w:rPr>
        <w:t>Axtmann, </w:t>
      </w:r>
      <w:r>
        <w:rPr>
          <w:rFonts w:ascii="Calibri" w:hAnsi="Calibri"/>
          <w:i/>
          <w:color w:val="231F20"/>
          <w:sz w:val="17"/>
        </w:rPr>
        <w:t>Carl Schmitt on International Politics</w:t>
      </w:r>
      <w:r>
        <w:rPr>
          <w:rFonts w:ascii="Calibri" w:hAnsi="Calibri"/>
          <w:color w:val="231F20"/>
          <w:sz w:val="17"/>
        </w:rPr>
        <w:t>, p. 538. Acerca de este punto véase J. Isensee, “Weltpolizei für Menschenrechte”, en </w:t>
      </w:r>
      <w:r>
        <w:rPr>
          <w:rFonts w:ascii="Calibri" w:hAnsi="Calibri"/>
          <w:i/>
          <w:color w:val="231F20"/>
          <w:sz w:val="17"/>
        </w:rPr>
        <w:t>Juristenzeitung</w:t>
      </w:r>
      <w:r>
        <w:rPr>
          <w:rFonts w:ascii="Calibri" w:hAnsi="Calibri"/>
          <w:color w:val="231F20"/>
          <w:sz w:val="17"/>
        </w:rPr>
        <w:t>, 1995, p. 429: “Desde que existen las inter- venciones militares [la idea de humanidad] ha siempre prestado servicio desde las más diversas banderas ideológicas, subordinándose por ejemplo —a partir de los siglos </w:t>
      </w:r>
      <w:r>
        <w:rPr>
          <w:rFonts w:ascii="Calibri" w:hAnsi="Calibri"/>
          <w:color w:val="231F20"/>
          <w:sz w:val="15"/>
        </w:rPr>
        <w:t>XVII </w:t>
      </w:r>
      <w:r>
        <w:rPr>
          <w:rFonts w:ascii="Calibri" w:hAnsi="Calibri"/>
          <w:color w:val="231F20"/>
          <w:sz w:val="17"/>
        </w:rPr>
        <w:t>y </w:t>
      </w:r>
      <w:r>
        <w:rPr>
          <w:rFonts w:ascii="Calibri" w:hAnsi="Calibri"/>
          <w:color w:val="231F20"/>
          <w:sz w:val="15"/>
        </w:rPr>
        <w:t>XVIII</w:t>
      </w:r>
      <w:r>
        <w:rPr>
          <w:rFonts w:ascii="Calibri" w:hAnsi="Calibri"/>
          <w:color w:val="231F20"/>
          <w:sz w:val="17"/>
        </w:rPr>
        <w:t>— a las ideolo- gías confesionales monárquicas, jacobinas, a los principios humanitarios, a la revolución socialista mundial. Ahora toca a los derechos del hombre y a la democracia. En la larga historia de las inter- venciones militares, la ideología ha siempre servido para enmascarar los intereses de poder perse- guidos por los atacantes y a consagrar la eficacia de la intervención con el velo de la legitimidad”.    </w:t>
      </w:r>
      <w:r>
        <w:rPr>
          <w:rFonts w:ascii="Calibri" w:hAnsi="Calibri"/>
          <w:color w:val="231F20"/>
          <w:position w:val="6"/>
          <w:sz w:val="10"/>
        </w:rPr>
        <w:t>52 </w:t>
      </w:r>
      <w:r>
        <w:rPr>
          <w:rFonts w:ascii="Calibri" w:hAnsi="Calibri"/>
          <w:color w:val="231F20"/>
          <w:sz w:val="17"/>
        </w:rPr>
        <w:t>Zolo, </w:t>
      </w:r>
      <w:r>
        <w:rPr>
          <w:rFonts w:ascii="Calibri" w:hAnsi="Calibri"/>
          <w:i/>
          <w:color w:val="231F20"/>
          <w:sz w:val="17"/>
        </w:rPr>
        <w:t>La giustizia dei vincitori, </w:t>
      </w:r>
      <w:r>
        <w:rPr>
          <w:rFonts w:ascii="Calibri" w:hAnsi="Calibri"/>
          <w:color w:val="231F20"/>
          <w:sz w:val="17"/>
        </w:rPr>
        <w:t>p. 100, 126. Sobre el peculiar “paradigma imperial” que es el presu- puesto de esta interpretación del intervencionismo humanitario véase Zolo, </w:t>
      </w:r>
      <w:r>
        <w:rPr>
          <w:rFonts w:ascii="Calibri" w:hAnsi="Calibri"/>
          <w:i/>
          <w:color w:val="231F20"/>
          <w:sz w:val="17"/>
        </w:rPr>
        <w:t>La giustizia dei vincito- </w:t>
      </w:r>
      <w:r>
        <w:rPr>
          <w:rFonts w:ascii="Calibri" w:hAnsi="Calibri"/>
          <w:i/>
          <w:color w:val="231F20"/>
          <w:sz w:val="17"/>
        </w:rPr>
        <w:t>ri</w:t>
      </w:r>
      <w:r>
        <w:rPr>
          <w:rFonts w:ascii="Calibri" w:hAnsi="Calibri"/>
          <w:color w:val="231F20"/>
          <w:sz w:val="17"/>
        </w:rPr>
        <w:t>, pp. 112–113. Respecto a la influencia ejercida por el pensamiento schmitiano también sobre esta específica directriz del debate consultar D. Zolo, “The re–emerging notion of Empire and the in- fluence of Carl Schmitt’s thought”, </w:t>
      </w:r>
      <w:r>
        <w:rPr>
          <w:rFonts w:ascii="Calibri" w:hAnsi="Calibri"/>
          <w:i/>
          <w:color w:val="231F20"/>
          <w:sz w:val="17"/>
        </w:rPr>
        <w:t>The International Political Thought of Carl Schmitt</w:t>
      </w:r>
      <w:r>
        <w:rPr>
          <w:rFonts w:ascii="Calibri" w:hAnsi="Calibri"/>
          <w:color w:val="231F20"/>
          <w:sz w:val="17"/>
        </w:rPr>
        <w:t>, pp. 154–165. </w:t>
      </w:r>
      <w:r>
        <w:rPr>
          <w:rFonts w:ascii="Calibri" w:hAnsi="Calibri"/>
          <w:color w:val="231F20"/>
          <w:position w:val="6"/>
          <w:sz w:val="10"/>
        </w:rPr>
        <w:t>53  </w:t>
      </w:r>
      <w:r>
        <w:rPr>
          <w:rFonts w:ascii="Calibri" w:hAnsi="Calibri"/>
          <w:color w:val="231F20"/>
          <w:sz w:val="17"/>
        </w:rPr>
        <w:t>Köchler, </w:t>
      </w:r>
      <w:r>
        <w:rPr>
          <w:rFonts w:ascii="Calibri" w:hAnsi="Calibri"/>
          <w:i/>
          <w:color w:val="231F20"/>
          <w:sz w:val="17"/>
        </w:rPr>
        <w:t>The Concept of Humanitarian Intervention</w:t>
      </w:r>
      <w:r>
        <w:rPr>
          <w:rFonts w:ascii="Calibri" w:hAnsi="Calibri"/>
          <w:color w:val="231F20"/>
          <w:sz w:val="17"/>
        </w:rPr>
        <w:t>, p.</w:t>
      </w:r>
      <w:r>
        <w:rPr>
          <w:rFonts w:ascii="Calibri" w:hAnsi="Calibri"/>
          <w:color w:val="231F20"/>
          <w:spacing w:val="9"/>
          <w:sz w:val="17"/>
        </w:rPr>
        <w:t> </w:t>
      </w:r>
      <w:r>
        <w:rPr>
          <w:rFonts w:ascii="Calibri" w:hAnsi="Calibri"/>
          <w:color w:val="231F20"/>
          <w:sz w:val="17"/>
        </w:rPr>
        <w:t>30.</w:t>
      </w:r>
    </w:p>
    <w:p>
      <w:pPr>
        <w:spacing w:line="204" w:lineRule="exact" w:before="0"/>
        <w:ind w:left="103" w:right="0" w:firstLine="0"/>
        <w:jc w:val="left"/>
        <w:rPr>
          <w:rFonts w:ascii="Calibri" w:hAnsi="Calibri"/>
          <w:sz w:val="17"/>
        </w:rPr>
      </w:pPr>
      <w:r>
        <w:rPr>
          <w:rFonts w:ascii="Calibri" w:hAnsi="Calibri"/>
          <w:color w:val="231F20"/>
          <w:position w:val="6"/>
          <w:sz w:val="10"/>
        </w:rPr>
        <w:t>54 </w:t>
      </w:r>
      <w:r>
        <w:rPr>
          <w:rFonts w:ascii="Calibri" w:hAnsi="Calibri"/>
          <w:color w:val="231F20"/>
          <w:sz w:val="17"/>
        </w:rPr>
        <w:t>D. Johnstone, </w:t>
      </w:r>
      <w:r>
        <w:rPr>
          <w:rFonts w:ascii="Calibri" w:hAnsi="Calibri"/>
          <w:i/>
          <w:color w:val="231F20"/>
          <w:sz w:val="17"/>
        </w:rPr>
        <w:t>Humanitarian War: Making the Crime Fit the Punishment</w:t>
      </w:r>
      <w:r>
        <w:rPr>
          <w:rFonts w:ascii="Calibri" w:hAnsi="Calibri"/>
          <w:color w:val="231F20"/>
          <w:sz w:val="17"/>
        </w:rPr>
        <w:t>, citado en Köchler, </w:t>
      </w:r>
      <w:r>
        <w:rPr>
          <w:rFonts w:ascii="Calibri" w:hAnsi="Calibri"/>
          <w:i/>
          <w:color w:val="231F20"/>
          <w:sz w:val="17"/>
        </w:rPr>
        <w:t>The </w:t>
      </w:r>
      <w:r>
        <w:rPr>
          <w:rFonts w:ascii="Calibri" w:hAnsi="Calibri"/>
          <w:i/>
          <w:color w:val="231F20"/>
          <w:sz w:val="17"/>
        </w:rPr>
        <w:t>Concept of Humanitarian Intervention</w:t>
      </w:r>
      <w:r>
        <w:rPr>
          <w:rFonts w:ascii="Calibri" w:hAnsi="Calibri"/>
          <w:color w:val="231F20"/>
          <w:sz w:val="17"/>
        </w:rPr>
        <w:t>, p. 32.</w:t>
      </w:r>
    </w:p>
    <w:p>
      <w:pPr>
        <w:pStyle w:val="BodyText"/>
        <w:rPr>
          <w:rFonts w:ascii="Calibri"/>
          <w:sz w:val="20"/>
        </w:rPr>
      </w:pPr>
    </w:p>
    <w:p>
      <w:pPr>
        <w:pStyle w:val="BodyText"/>
        <w:spacing w:before="1"/>
        <w:rPr>
          <w:rFonts w:ascii="Calibri"/>
          <w:sz w:val="28"/>
        </w:rPr>
      </w:pPr>
    </w:p>
    <w:p>
      <w:pPr>
        <w:tabs>
          <w:tab w:pos="1331" w:val="left" w:leader="none"/>
        </w:tabs>
        <w:spacing w:before="69"/>
        <w:ind w:left="226" w:right="0" w:firstLine="0"/>
        <w:jc w:val="left"/>
        <w:rPr>
          <w:rFonts w:ascii="Calibri"/>
          <w:sz w:val="16"/>
        </w:rPr>
      </w:pPr>
      <w:r>
        <w:rPr/>
        <w:pict>
          <v:group style="position:absolute;margin-left:98.787804pt;margin-top:-3.308812pt;width:20.4pt;height:43pt;mso-position-horizontal-relative:page;mso-position-vertical-relative:paragraph;z-index:-167560" coordorigin="1976,-66" coordsize="408,860">
            <v:line style="position:absolute" from="2225,73" to="2225,789" stroked="true" strokeweight=".35pt" strokecolor="#231f20"/>
            <v:shape style="position:absolute;left:2193;top:-13;width:190;height:445" type="#_x0000_t75" stroked="false">
              <v:imagedata r:id="rId40" o:title=""/>
            </v:shape>
            <v:shape style="position:absolute;left:1976;top:-66;width:250;height:502" type="#_x0000_t75" stroked="false">
              <v:imagedata r:id="rId41" o:title=""/>
            </v:shape>
            <w10:wrap type="none"/>
          </v:group>
        </w:pict>
      </w:r>
      <w:r>
        <w:rPr>
          <w:rFonts w:ascii="Arial"/>
          <w:color w:val="414042"/>
          <w:w w:val="105"/>
          <w:position w:val="-4"/>
          <w:sz w:val="20"/>
        </w:rPr>
        <w:t>154</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182"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788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ASUNTOS</w:t>
      </w:r>
      <w:r>
        <w:rPr>
          <w:rFonts w:ascii="Lucida Sans Unicode" w:hAnsi="Lucida Sans Unicode"/>
          <w:color w:val="6D6E71"/>
          <w:spacing w:val="-30"/>
          <w:w w:val="95"/>
          <w:sz w:val="14"/>
        </w:rPr>
        <w:t> </w:t>
      </w:r>
      <w:r>
        <w:rPr>
          <w:rFonts w:ascii="Lucida Sans Unicode" w:hAnsi="Lucida Sans Unicode"/>
          <w:color w:val="6D6E71"/>
          <w:w w:val="95"/>
          <w:sz w:val="14"/>
        </w:rPr>
        <w:t>DE</w:t>
      </w:r>
      <w:r>
        <w:rPr>
          <w:rFonts w:ascii="Lucida Sans Unicode" w:hAnsi="Lucida Sans Unicode"/>
          <w:color w:val="6D6E71"/>
          <w:spacing w:val="-30"/>
          <w:w w:val="95"/>
          <w:sz w:val="14"/>
        </w:rPr>
        <w:t> </w:t>
      </w:r>
      <w:r>
        <w:rPr>
          <w:rFonts w:ascii="Lucida Sans Unicode" w:hAnsi="Lucida Sans Unicode"/>
          <w:color w:val="6D6E71"/>
          <w:w w:val="95"/>
          <w:sz w:val="14"/>
        </w:rPr>
        <w:t>FRONTERA.</w:t>
      </w:r>
      <w:r>
        <w:rPr>
          <w:rFonts w:ascii="Lucida Sans Unicode" w:hAnsi="Lucida Sans Unicode"/>
          <w:color w:val="6D6E71"/>
          <w:spacing w:val="-30"/>
          <w:w w:val="95"/>
          <w:sz w:val="14"/>
        </w:rPr>
        <w:t> </w:t>
      </w:r>
      <w:r>
        <w:rPr>
          <w:rFonts w:ascii="Lucida Sans Unicode" w:hAnsi="Lucida Sans Unicode"/>
          <w:color w:val="6D6E71"/>
          <w:w w:val="95"/>
          <w:sz w:val="14"/>
        </w:rPr>
        <w:t>SOBERANÍA</w:t>
      </w:r>
      <w:r>
        <w:rPr>
          <w:rFonts w:ascii="Lucida Sans Unicode" w:hAnsi="Lucida Sans Unicode"/>
          <w:color w:val="6D6E71"/>
          <w:spacing w:val="-30"/>
          <w:w w:val="95"/>
          <w:sz w:val="14"/>
        </w:rPr>
        <w:t> </w:t>
      </w:r>
      <w:r>
        <w:rPr>
          <w:rFonts w:ascii="Lucida Sans Unicode" w:hAnsi="Lucida Sans Unicode"/>
          <w:color w:val="6D6E71"/>
          <w:w w:val="95"/>
          <w:sz w:val="14"/>
        </w:rPr>
        <w:t>TERRITORIAL</w:t>
      </w:r>
      <w:r>
        <w:rPr>
          <w:rFonts w:ascii="Lucida Sans Unicode" w:hAnsi="Lucida Sans Unicode"/>
          <w:color w:val="6D6E71"/>
          <w:spacing w:val="-30"/>
          <w:w w:val="95"/>
          <w:sz w:val="14"/>
        </w:rPr>
        <w:t> </w:t>
      </w:r>
      <w:r>
        <w:rPr>
          <w:rFonts w:ascii="Lucida Sans Unicode" w:hAnsi="Lucida Sans Unicode"/>
          <w:color w:val="6D6E71"/>
          <w:w w:val="95"/>
          <w:sz w:val="14"/>
        </w:rPr>
        <w:t>Y</w:t>
      </w:r>
      <w:r>
        <w:rPr>
          <w:rFonts w:ascii="Lucida Sans Unicode" w:hAnsi="Lucida Sans Unicode"/>
          <w:color w:val="6D6E71"/>
          <w:spacing w:val="-30"/>
          <w:w w:val="95"/>
          <w:sz w:val="14"/>
        </w:rPr>
        <w:t> </w:t>
      </w:r>
      <w:r>
        <w:rPr>
          <w:rFonts w:ascii="Lucida Sans Unicode" w:hAnsi="Lucida Sans Unicode"/>
          <w:color w:val="6D6E71"/>
          <w:w w:val="95"/>
          <w:sz w:val="14"/>
        </w:rPr>
        <w:t>ORDEN</w:t>
      </w:r>
      <w:r>
        <w:rPr>
          <w:rFonts w:ascii="Lucida Sans Unicode" w:hAnsi="Lucida Sans Unicode"/>
          <w:color w:val="6D6E71"/>
          <w:spacing w:val="-30"/>
          <w:w w:val="95"/>
          <w:sz w:val="14"/>
        </w:rPr>
        <w:t> </w:t>
      </w:r>
      <w:r>
        <w:rPr>
          <w:rFonts w:ascii="Lucida Sans Unicode" w:hAnsi="Lucida Sans Unicode"/>
          <w:color w:val="6D6E71"/>
          <w:w w:val="95"/>
          <w:sz w:val="14"/>
        </w:rPr>
        <w:t>GLOBAL</w:t>
      </w:r>
      <w:r>
        <w:rPr>
          <w:rFonts w:ascii="Lucida Sans Unicode" w:hAnsi="Lucida Sans Unicode"/>
          <w:color w:val="6D6E71"/>
          <w:spacing w:val="-30"/>
          <w:w w:val="95"/>
          <w:sz w:val="14"/>
        </w:rPr>
        <w:t> </w:t>
      </w:r>
      <w:r>
        <w:rPr>
          <w:rFonts w:ascii="Lucida Sans Unicode" w:hAnsi="Lucida Sans Unicode"/>
          <w:color w:val="6D6E71"/>
          <w:w w:val="95"/>
          <w:sz w:val="14"/>
        </w:rPr>
        <w:t>EN</w:t>
      </w:r>
      <w:r>
        <w:rPr>
          <w:rFonts w:ascii="Lucida Sans Unicode" w:hAnsi="Lucida Sans Unicode"/>
          <w:color w:val="6D6E71"/>
          <w:spacing w:val="-30"/>
          <w:w w:val="95"/>
          <w:sz w:val="14"/>
        </w:rPr>
        <w:t> </w:t>
      </w:r>
      <w:r>
        <w:rPr>
          <w:rFonts w:ascii="Lucida Sans Unicode" w:hAnsi="Lucida Sans Unicode"/>
          <w:color w:val="6D6E71"/>
          <w:w w:val="95"/>
          <w:sz w:val="14"/>
        </w:rPr>
        <w:t>EL</w:t>
      </w:r>
      <w:r>
        <w:rPr>
          <w:rFonts w:ascii="Lucida Sans Unicode" w:hAnsi="Lucida Sans Unicode"/>
          <w:color w:val="6D6E71"/>
          <w:spacing w:val="-30"/>
          <w:w w:val="95"/>
          <w:sz w:val="14"/>
        </w:rPr>
        <w:t> </w:t>
      </w:r>
      <w:r>
        <w:rPr>
          <w:rFonts w:ascii="Lucida Sans Unicode" w:hAnsi="Lucida Sans Unicode"/>
          <w:color w:val="6D6E71"/>
          <w:w w:val="95"/>
          <w:sz w:val="14"/>
        </w:rPr>
        <w:t>DEBATE</w:t>
      </w:r>
    </w:p>
    <w:p>
      <w:pPr>
        <w:spacing w:line="198" w:lineRule="exact" w:before="0"/>
        <w:ind w:left="2963" w:right="-13" w:firstLine="0"/>
        <w:jc w:val="left"/>
        <w:rPr>
          <w:rFonts w:ascii="Lucida Sans Unicode" w:hAnsi="Lucida Sans Unicode"/>
          <w:sz w:val="14"/>
        </w:rPr>
      </w:pPr>
      <w:r>
        <w:rPr>
          <w:rFonts w:ascii="Lucida Sans Unicode" w:hAnsi="Lucida Sans Unicode"/>
          <w:color w:val="6D6E71"/>
          <w:w w:val="90"/>
          <w:sz w:val="14"/>
        </w:rPr>
        <w:t>SOBRE EL “NUEVO INTERVENCIONISMO</w:t>
      </w:r>
      <w:r>
        <w:rPr>
          <w:rFonts w:ascii="Lucida Sans Unicode" w:hAnsi="Lucida Sans Unicode"/>
          <w:color w:val="6D6E71"/>
          <w:spacing w:val="-25"/>
          <w:w w:val="90"/>
          <w:sz w:val="14"/>
        </w:rPr>
        <w:t> </w:t>
      </w:r>
      <w:r>
        <w:rPr>
          <w:rFonts w:ascii="Lucida Sans Unicode" w:hAnsi="Lucida Sans Unicode"/>
          <w:color w:val="6D6E71"/>
          <w:w w:val="90"/>
          <w:sz w:val="14"/>
        </w:rPr>
        <w:t>HUMANITARIO”</w:t>
      </w:r>
    </w:p>
    <w:p>
      <w:pPr>
        <w:spacing w:before="59"/>
        <w:ind w:left="338" w:right="0" w:firstLine="0"/>
        <w:jc w:val="left"/>
        <w:rPr>
          <w:rFonts w:ascii="Arial"/>
          <w:sz w:val="20"/>
        </w:rPr>
      </w:pPr>
      <w:r>
        <w:rPr/>
        <w:br w:type="column"/>
      </w:r>
      <w:r>
        <w:rPr>
          <w:rFonts w:ascii="Arial"/>
          <w:color w:val="414042"/>
          <w:sz w:val="20"/>
        </w:rPr>
        <w:t>155</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rPr>
          <w:rFonts w:ascii="Arial"/>
          <w:sz w:val="16"/>
        </w:rPr>
      </w:pPr>
    </w:p>
    <w:p>
      <w:pPr>
        <w:pStyle w:val="BodyText"/>
        <w:spacing w:line="247" w:lineRule="auto" w:before="50"/>
        <w:ind w:left="117" w:right="102"/>
        <w:jc w:val="both"/>
      </w:pPr>
      <w:r>
        <w:rPr>
          <w:color w:val="231F20"/>
          <w:w w:val="105"/>
        </w:rPr>
        <w:t>de</w:t>
      </w:r>
      <w:r>
        <w:rPr>
          <w:color w:val="231F20"/>
          <w:spacing w:val="-31"/>
          <w:w w:val="105"/>
        </w:rPr>
        <w:t> </w:t>
      </w:r>
      <w:r>
        <w:rPr>
          <w:color w:val="231F20"/>
          <w:w w:val="105"/>
        </w:rPr>
        <w:t>los</w:t>
      </w:r>
      <w:r>
        <w:rPr>
          <w:color w:val="231F20"/>
          <w:spacing w:val="-31"/>
          <w:w w:val="105"/>
        </w:rPr>
        <w:t> </w:t>
      </w:r>
      <w:r>
        <w:rPr>
          <w:color w:val="231F20"/>
          <w:w w:val="105"/>
        </w:rPr>
        <w:t>Estados</w:t>
      </w:r>
      <w:r>
        <w:rPr>
          <w:color w:val="231F20"/>
          <w:spacing w:val="-31"/>
          <w:w w:val="105"/>
        </w:rPr>
        <w:t> </w:t>
      </w:r>
      <w:r>
        <w:rPr>
          <w:color w:val="231F20"/>
          <w:w w:val="105"/>
        </w:rPr>
        <w:t>existentes</w:t>
      </w:r>
      <w:r>
        <w:rPr>
          <w:color w:val="231F20"/>
          <w:w w:val="105"/>
          <w:position w:val="7"/>
          <w:sz w:val="12"/>
        </w:rPr>
        <w:t>55</w:t>
      </w:r>
      <w:r>
        <w:rPr>
          <w:color w:val="231F20"/>
          <w:w w:val="105"/>
        </w:rPr>
        <w:t>,</w:t>
      </w:r>
      <w:r>
        <w:rPr>
          <w:color w:val="231F20"/>
          <w:spacing w:val="-31"/>
          <w:w w:val="105"/>
        </w:rPr>
        <w:t> </w:t>
      </w:r>
      <w:r>
        <w:rPr>
          <w:color w:val="231F20"/>
          <w:w w:val="105"/>
        </w:rPr>
        <w:t>reabriendo</w:t>
      </w:r>
      <w:r>
        <w:rPr>
          <w:color w:val="231F20"/>
          <w:spacing w:val="-31"/>
          <w:w w:val="105"/>
        </w:rPr>
        <w:t> </w:t>
      </w:r>
      <w:r>
        <w:rPr>
          <w:color w:val="231F20"/>
          <w:w w:val="105"/>
        </w:rPr>
        <w:t>paso</w:t>
      </w:r>
      <w:r>
        <w:rPr>
          <w:color w:val="231F20"/>
          <w:spacing w:val="-31"/>
          <w:w w:val="105"/>
        </w:rPr>
        <w:t> </w:t>
      </w:r>
      <w:r>
        <w:rPr>
          <w:color w:val="231F20"/>
          <w:w w:val="105"/>
        </w:rPr>
        <w:t>no</w:t>
      </w:r>
      <w:r>
        <w:rPr>
          <w:color w:val="231F20"/>
          <w:spacing w:val="-31"/>
          <w:w w:val="105"/>
        </w:rPr>
        <w:t> </w:t>
      </w:r>
      <w:r>
        <w:rPr>
          <w:color w:val="231F20"/>
          <w:w w:val="105"/>
        </w:rPr>
        <w:t>casualmente</w:t>
      </w:r>
      <w:r>
        <w:rPr>
          <w:color w:val="231F20"/>
          <w:spacing w:val="-31"/>
          <w:w w:val="105"/>
        </w:rPr>
        <w:t> </w:t>
      </w:r>
      <w:r>
        <w:rPr>
          <w:color w:val="231F20"/>
          <w:w w:val="105"/>
        </w:rPr>
        <w:t>al</w:t>
      </w:r>
      <w:r>
        <w:rPr>
          <w:color w:val="231F20"/>
          <w:spacing w:val="-31"/>
          <w:w w:val="105"/>
        </w:rPr>
        <w:t> </w:t>
      </w:r>
      <w:r>
        <w:rPr>
          <w:color w:val="231F20"/>
          <w:w w:val="105"/>
        </w:rPr>
        <w:t>tradicional sistema</w:t>
      </w:r>
      <w:r>
        <w:rPr>
          <w:color w:val="231F20"/>
          <w:spacing w:val="-42"/>
          <w:w w:val="105"/>
        </w:rPr>
        <w:t> </w:t>
      </w:r>
      <w:r>
        <w:rPr>
          <w:color w:val="231F20"/>
          <w:w w:val="105"/>
        </w:rPr>
        <w:t>dualista</w:t>
      </w:r>
      <w:r>
        <w:rPr>
          <w:color w:val="231F20"/>
          <w:spacing w:val="-42"/>
          <w:w w:val="105"/>
        </w:rPr>
        <w:t> </w:t>
      </w:r>
      <w:r>
        <w:rPr>
          <w:color w:val="231F20"/>
          <w:w w:val="105"/>
        </w:rPr>
        <w:t>que</w:t>
      </w:r>
      <w:r>
        <w:rPr>
          <w:color w:val="231F20"/>
          <w:spacing w:val="-42"/>
          <w:w w:val="105"/>
        </w:rPr>
        <w:t> </w:t>
      </w:r>
      <w:r>
        <w:rPr>
          <w:color w:val="231F20"/>
          <w:w w:val="105"/>
        </w:rPr>
        <w:t>caracteriza</w:t>
      </w:r>
      <w:r>
        <w:rPr>
          <w:color w:val="231F20"/>
          <w:spacing w:val="-42"/>
          <w:w w:val="105"/>
        </w:rPr>
        <w:t> </w:t>
      </w:r>
      <w:r>
        <w:rPr>
          <w:color w:val="231F20"/>
          <w:w w:val="105"/>
        </w:rPr>
        <w:t>el</w:t>
      </w:r>
      <w:r>
        <w:rPr>
          <w:color w:val="231F20"/>
          <w:spacing w:val="-42"/>
          <w:w w:val="105"/>
        </w:rPr>
        <w:t> </w:t>
      </w:r>
      <w:r>
        <w:rPr>
          <w:color w:val="231F20"/>
          <w:w w:val="105"/>
        </w:rPr>
        <w:t>cosmopolitismo</w:t>
      </w:r>
      <w:r>
        <w:rPr>
          <w:color w:val="231F20"/>
          <w:spacing w:val="-42"/>
          <w:w w:val="105"/>
        </w:rPr>
        <w:t> </w:t>
      </w:r>
      <w:r>
        <w:rPr>
          <w:color w:val="231F20"/>
          <w:w w:val="105"/>
        </w:rPr>
        <w:t>colonial</w:t>
      </w:r>
      <w:r>
        <w:rPr>
          <w:color w:val="231F20"/>
          <w:w w:val="105"/>
          <w:position w:val="7"/>
          <w:sz w:val="12"/>
        </w:rPr>
        <w:t>56</w:t>
      </w:r>
      <w:r>
        <w:rPr>
          <w:color w:val="231F20"/>
          <w:w w:val="105"/>
        </w:rPr>
        <w:t>:</w:t>
      </w:r>
    </w:p>
    <w:p>
      <w:pPr>
        <w:pStyle w:val="BodyText"/>
        <w:spacing w:before="10"/>
        <w:rPr>
          <w:sz w:val="22"/>
        </w:rPr>
      </w:pPr>
    </w:p>
    <w:p>
      <w:pPr>
        <w:spacing w:line="220" w:lineRule="exact" w:before="1"/>
        <w:ind w:left="1534" w:right="101" w:firstLine="0"/>
        <w:jc w:val="both"/>
        <w:rPr>
          <w:sz w:val="19"/>
        </w:rPr>
      </w:pPr>
      <w:r>
        <w:rPr>
          <w:color w:val="231F20"/>
          <w:sz w:val="19"/>
        </w:rPr>
        <w:t>In the old literature of empire, humanitarianism was invoked to justify the supposed responsibility of an imperial power operating at the margins of the civilized world to uphold the standards of civilized morality by suppressing cannibalism, human sacrifice, and</w:t>
      </w:r>
      <w:r>
        <w:rPr>
          <w:color w:val="231F20"/>
          <w:spacing w:val="-7"/>
          <w:sz w:val="19"/>
        </w:rPr>
        <w:t> </w:t>
      </w:r>
      <w:r>
        <w:rPr>
          <w:color w:val="231F20"/>
          <w:sz w:val="19"/>
        </w:rPr>
        <w:t>other</w:t>
      </w:r>
      <w:r>
        <w:rPr>
          <w:color w:val="231F20"/>
          <w:spacing w:val="-7"/>
          <w:sz w:val="19"/>
        </w:rPr>
        <w:t> </w:t>
      </w:r>
      <w:r>
        <w:rPr>
          <w:color w:val="231F20"/>
          <w:sz w:val="19"/>
        </w:rPr>
        <w:t>barbaric</w:t>
      </w:r>
      <w:r>
        <w:rPr>
          <w:color w:val="231F20"/>
          <w:spacing w:val="-7"/>
          <w:sz w:val="19"/>
        </w:rPr>
        <w:t> </w:t>
      </w:r>
      <w:r>
        <w:rPr>
          <w:color w:val="231F20"/>
          <w:sz w:val="19"/>
        </w:rPr>
        <w:t>practices.</w:t>
      </w:r>
      <w:r>
        <w:rPr>
          <w:color w:val="231F20"/>
          <w:spacing w:val="-7"/>
          <w:sz w:val="19"/>
        </w:rPr>
        <w:t> </w:t>
      </w:r>
      <w:r>
        <w:rPr>
          <w:color w:val="231F20"/>
          <w:sz w:val="19"/>
        </w:rPr>
        <w:t>In</w:t>
      </w:r>
      <w:r>
        <w:rPr>
          <w:color w:val="231F20"/>
          <w:spacing w:val="-7"/>
          <w:sz w:val="19"/>
        </w:rPr>
        <w:t> </w:t>
      </w:r>
      <w:r>
        <w:rPr>
          <w:color w:val="231F20"/>
          <w:spacing w:val="-4"/>
          <w:sz w:val="19"/>
        </w:rPr>
        <w:t>today’s</w:t>
      </w:r>
      <w:r>
        <w:rPr>
          <w:color w:val="231F20"/>
          <w:spacing w:val="-7"/>
          <w:sz w:val="19"/>
        </w:rPr>
        <w:t> </w:t>
      </w:r>
      <w:r>
        <w:rPr>
          <w:color w:val="231F20"/>
          <w:sz w:val="19"/>
        </w:rPr>
        <w:t>rhetoric</w:t>
      </w:r>
      <w:r>
        <w:rPr>
          <w:color w:val="231F20"/>
          <w:spacing w:val="-7"/>
          <w:sz w:val="19"/>
        </w:rPr>
        <w:t> </w:t>
      </w:r>
      <w:r>
        <w:rPr>
          <w:color w:val="231F20"/>
          <w:sz w:val="19"/>
        </w:rPr>
        <w:t>of</w:t>
      </w:r>
      <w:r>
        <w:rPr>
          <w:color w:val="231F20"/>
          <w:spacing w:val="-7"/>
          <w:sz w:val="19"/>
        </w:rPr>
        <w:t> </w:t>
      </w:r>
      <w:r>
        <w:rPr>
          <w:color w:val="231F20"/>
          <w:sz w:val="19"/>
        </w:rPr>
        <w:t>empire,</w:t>
      </w:r>
      <w:r>
        <w:rPr>
          <w:color w:val="231F20"/>
          <w:spacing w:val="-7"/>
          <w:sz w:val="19"/>
        </w:rPr>
        <w:t> </w:t>
      </w:r>
      <w:r>
        <w:rPr>
          <w:color w:val="231F20"/>
          <w:sz w:val="19"/>
        </w:rPr>
        <w:t>it</w:t>
      </w:r>
      <w:r>
        <w:rPr>
          <w:color w:val="231F20"/>
          <w:spacing w:val="-7"/>
          <w:sz w:val="19"/>
        </w:rPr>
        <w:t> </w:t>
      </w:r>
      <w:r>
        <w:rPr>
          <w:color w:val="231F20"/>
          <w:sz w:val="19"/>
        </w:rPr>
        <w:t>is</w:t>
      </w:r>
      <w:r>
        <w:rPr>
          <w:color w:val="231F20"/>
          <w:spacing w:val="-7"/>
          <w:sz w:val="19"/>
        </w:rPr>
        <w:t> </w:t>
      </w:r>
      <w:r>
        <w:rPr>
          <w:color w:val="231F20"/>
          <w:sz w:val="19"/>
        </w:rPr>
        <w:t>the barbarity of tyranny and terrorism that threaten these standards and</w:t>
      </w:r>
      <w:r>
        <w:rPr>
          <w:color w:val="231F20"/>
          <w:spacing w:val="-13"/>
          <w:sz w:val="19"/>
        </w:rPr>
        <w:t> </w:t>
      </w:r>
      <w:r>
        <w:rPr>
          <w:color w:val="231F20"/>
          <w:sz w:val="19"/>
        </w:rPr>
        <w:t>that</w:t>
      </w:r>
      <w:r>
        <w:rPr>
          <w:color w:val="231F20"/>
          <w:spacing w:val="-13"/>
          <w:sz w:val="19"/>
        </w:rPr>
        <w:t> </w:t>
      </w:r>
      <w:r>
        <w:rPr>
          <w:color w:val="231F20"/>
          <w:sz w:val="19"/>
        </w:rPr>
        <w:t>must</w:t>
      </w:r>
      <w:r>
        <w:rPr>
          <w:color w:val="231F20"/>
          <w:spacing w:val="-13"/>
          <w:sz w:val="19"/>
        </w:rPr>
        <w:t> </w:t>
      </w:r>
      <w:r>
        <w:rPr>
          <w:color w:val="231F20"/>
          <w:sz w:val="19"/>
        </w:rPr>
        <w:t>be</w:t>
      </w:r>
      <w:r>
        <w:rPr>
          <w:color w:val="231F20"/>
          <w:spacing w:val="-13"/>
          <w:sz w:val="19"/>
        </w:rPr>
        <w:t> </w:t>
      </w:r>
      <w:r>
        <w:rPr>
          <w:color w:val="231F20"/>
          <w:sz w:val="19"/>
        </w:rPr>
        <w:t>countered,</w:t>
      </w:r>
      <w:r>
        <w:rPr>
          <w:color w:val="231F20"/>
          <w:spacing w:val="-13"/>
          <w:sz w:val="19"/>
        </w:rPr>
        <w:t> </w:t>
      </w:r>
      <w:r>
        <w:rPr>
          <w:color w:val="231F20"/>
          <w:sz w:val="19"/>
        </w:rPr>
        <w:t>in</w:t>
      </w:r>
      <w:r>
        <w:rPr>
          <w:color w:val="231F20"/>
          <w:spacing w:val="-13"/>
          <w:sz w:val="19"/>
        </w:rPr>
        <w:t> </w:t>
      </w:r>
      <w:r>
        <w:rPr>
          <w:color w:val="231F20"/>
          <w:sz w:val="19"/>
        </w:rPr>
        <w:t>the</w:t>
      </w:r>
      <w:r>
        <w:rPr>
          <w:color w:val="231F20"/>
          <w:spacing w:val="-13"/>
          <w:sz w:val="19"/>
        </w:rPr>
        <w:t> </w:t>
      </w:r>
      <w:r>
        <w:rPr>
          <w:color w:val="231F20"/>
          <w:sz w:val="19"/>
        </w:rPr>
        <w:t>name</w:t>
      </w:r>
      <w:r>
        <w:rPr>
          <w:color w:val="231F20"/>
          <w:spacing w:val="-13"/>
          <w:sz w:val="19"/>
        </w:rPr>
        <w:t> </w:t>
      </w:r>
      <w:r>
        <w:rPr>
          <w:color w:val="231F20"/>
          <w:sz w:val="19"/>
        </w:rPr>
        <w:t>of</w:t>
      </w:r>
      <w:r>
        <w:rPr>
          <w:color w:val="231F20"/>
          <w:spacing w:val="-13"/>
          <w:sz w:val="19"/>
        </w:rPr>
        <w:t> </w:t>
      </w:r>
      <w:r>
        <w:rPr>
          <w:color w:val="231F20"/>
          <w:sz w:val="19"/>
        </w:rPr>
        <w:t>humanity,</w:t>
      </w:r>
      <w:r>
        <w:rPr>
          <w:color w:val="231F20"/>
          <w:spacing w:val="-13"/>
          <w:sz w:val="19"/>
        </w:rPr>
        <w:t> </w:t>
      </w:r>
      <w:r>
        <w:rPr>
          <w:color w:val="231F20"/>
          <w:sz w:val="19"/>
        </w:rPr>
        <w:t>by</w:t>
      </w:r>
      <w:r>
        <w:rPr>
          <w:color w:val="231F20"/>
          <w:spacing w:val="-13"/>
          <w:sz w:val="19"/>
        </w:rPr>
        <w:t> </w:t>
      </w:r>
      <w:r>
        <w:rPr>
          <w:color w:val="231F20"/>
          <w:sz w:val="19"/>
        </w:rPr>
        <w:t>the</w:t>
      </w:r>
      <w:r>
        <w:rPr>
          <w:color w:val="231F20"/>
          <w:spacing w:val="-13"/>
          <w:sz w:val="19"/>
        </w:rPr>
        <w:t> </w:t>
      </w:r>
      <w:r>
        <w:rPr>
          <w:color w:val="231F20"/>
          <w:spacing w:val="-3"/>
          <w:sz w:val="19"/>
        </w:rPr>
        <w:t>exer- </w:t>
      </w:r>
      <w:r>
        <w:rPr>
          <w:color w:val="231F20"/>
          <w:sz w:val="19"/>
        </w:rPr>
        <w:t>cise</w:t>
      </w:r>
      <w:r>
        <w:rPr>
          <w:color w:val="231F20"/>
          <w:spacing w:val="-7"/>
          <w:sz w:val="19"/>
        </w:rPr>
        <w:t> </w:t>
      </w:r>
      <w:r>
        <w:rPr>
          <w:color w:val="231F20"/>
          <w:sz w:val="19"/>
        </w:rPr>
        <w:t>of</w:t>
      </w:r>
      <w:r>
        <w:rPr>
          <w:color w:val="231F20"/>
          <w:spacing w:val="-7"/>
          <w:sz w:val="19"/>
        </w:rPr>
        <w:t> </w:t>
      </w:r>
      <w:r>
        <w:rPr>
          <w:color w:val="231F20"/>
          <w:sz w:val="19"/>
        </w:rPr>
        <w:t>imperial</w:t>
      </w:r>
      <w:r>
        <w:rPr>
          <w:color w:val="231F20"/>
          <w:spacing w:val="-7"/>
          <w:sz w:val="19"/>
        </w:rPr>
        <w:t> </w:t>
      </w:r>
      <w:r>
        <w:rPr>
          <w:color w:val="231F20"/>
          <w:spacing w:val="-3"/>
          <w:sz w:val="19"/>
        </w:rPr>
        <w:t>power.</w:t>
      </w:r>
      <w:r>
        <w:rPr>
          <w:color w:val="231F20"/>
          <w:spacing w:val="-7"/>
          <w:sz w:val="19"/>
        </w:rPr>
        <w:t> </w:t>
      </w:r>
      <w:r>
        <w:rPr>
          <w:color w:val="231F20"/>
          <w:sz w:val="19"/>
        </w:rPr>
        <w:t>In</w:t>
      </w:r>
      <w:r>
        <w:rPr>
          <w:color w:val="231F20"/>
          <w:spacing w:val="-7"/>
          <w:sz w:val="19"/>
        </w:rPr>
        <w:t> </w:t>
      </w:r>
      <w:r>
        <w:rPr>
          <w:color w:val="231F20"/>
          <w:sz w:val="19"/>
        </w:rPr>
        <w:t>the</w:t>
      </w:r>
      <w:r>
        <w:rPr>
          <w:color w:val="231F20"/>
          <w:spacing w:val="-7"/>
          <w:sz w:val="19"/>
        </w:rPr>
        <w:t> </w:t>
      </w:r>
      <w:r>
        <w:rPr>
          <w:color w:val="231F20"/>
          <w:sz w:val="19"/>
        </w:rPr>
        <w:t>old</w:t>
      </w:r>
      <w:r>
        <w:rPr>
          <w:color w:val="231F20"/>
          <w:spacing w:val="-7"/>
          <w:sz w:val="19"/>
        </w:rPr>
        <w:t> </w:t>
      </w:r>
      <w:r>
        <w:rPr>
          <w:color w:val="231F20"/>
          <w:sz w:val="19"/>
        </w:rPr>
        <w:t>literature</w:t>
      </w:r>
      <w:r>
        <w:rPr>
          <w:color w:val="231F20"/>
          <w:spacing w:val="-7"/>
          <w:sz w:val="19"/>
        </w:rPr>
        <w:t> </w:t>
      </w:r>
      <w:r>
        <w:rPr>
          <w:color w:val="231F20"/>
          <w:sz w:val="19"/>
        </w:rPr>
        <w:t>of</w:t>
      </w:r>
      <w:r>
        <w:rPr>
          <w:color w:val="231F20"/>
          <w:spacing w:val="-7"/>
          <w:sz w:val="19"/>
        </w:rPr>
        <w:t> </w:t>
      </w:r>
      <w:r>
        <w:rPr>
          <w:color w:val="231F20"/>
          <w:sz w:val="19"/>
        </w:rPr>
        <w:t>empire,</w:t>
      </w:r>
      <w:r>
        <w:rPr>
          <w:color w:val="231F20"/>
          <w:spacing w:val="-7"/>
          <w:sz w:val="19"/>
        </w:rPr>
        <w:t> </w:t>
      </w:r>
      <w:r>
        <w:rPr>
          <w:color w:val="231F20"/>
          <w:sz w:val="19"/>
        </w:rPr>
        <w:t>colonial</w:t>
      </w:r>
      <w:r>
        <w:rPr>
          <w:color w:val="231F20"/>
          <w:spacing w:val="-7"/>
          <w:sz w:val="19"/>
        </w:rPr>
        <w:t> </w:t>
      </w:r>
      <w:r>
        <w:rPr>
          <w:color w:val="231F20"/>
          <w:sz w:val="19"/>
        </w:rPr>
        <w:t>rule was rationalized as providing backward peoples the benefits of civilization: public </w:t>
      </w:r>
      <w:r>
        <w:rPr>
          <w:color w:val="231F20"/>
          <w:spacing w:val="-4"/>
          <w:sz w:val="19"/>
        </w:rPr>
        <w:t>order, </w:t>
      </w:r>
      <w:r>
        <w:rPr>
          <w:color w:val="231F20"/>
          <w:sz w:val="19"/>
        </w:rPr>
        <w:t>public health, modern communications, economic development, and eventually constitutional rule. The new literature of empire rationalizes intervention in similar terms. Most of the old justifications for empire are close to the surface</w:t>
      </w:r>
      <w:r>
        <w:rPr>
          <w:color w:val="231F20"/>
          <w:spacing w:val="-37"/>
          <w:sz w:val="19"/>
        </w:rPr>
        <w:t> </w:t>
      </w:r>
      <w:r>
        <w:rPr>
          <w:color w:val="231F20"/>
          <w:sz w:val="19"/>
        </w:rPr>
        <w:t>in current understandings of </w:t>
      </w:r>
      <w:r>
        <w:rPr>
          <w:color w:val="231F20"/>
          <w:spacing w:val="-3"/>
          <w:sz w:val="19"/>
        </w:rPr>
        <w:t>America’s</w:t>
      </w:r>
      <w:r>
        <w:rPr>
          <w:color w:val="231F20"/>
          <w:spacing w:val="19"/>
          <w:sz w:val="19"/>
        </w:rPr>
        <w:t> </w:t>
      </w:r>
      <w:r>
        <w:rPr>
          <w:color w:val="231F20"/>
          <w:sz w:val="19"/>
        </w:rPr>
        <w:t>mission</w:t>
      </w:r>
      <w:r>
        <w:rPr>
          <w:color w:val="231F20"/>
          <w:position w:val="7"/>
          <w:sz w:val="11"/>
        </w:rPr>
        <w:t>57</w:t>
      </w:r>
      <w:r>
        <w:rPr>
          <w:color w:val="231F20"/>
          <w:sz w:val="19"/>
        </w:rPr>
        <w:t>.</w:t>
      </w:r>
    </w:p>
    <w:p>
      <w:pPr>
        <w:pStyle w:val="BodyText"/>
        <w:spacing w:before="11"/>
        <w:rPr>
          <w:sz w:val="23"/>
        </w:rPr>
      </w:pPr>
    </w:p>
    <w:p>
      <w:pPr>
        <w:pStyle w:val="BodyText"/>
        <w:spacing w:line="247" w:lineRule="auto"/>
        <w:ind w:left="117" w:right="101"/>
        <w:jc w:val="both"/>
      </w:pPr>
      <w:r>
        <w:rPr>
          <w:color w:val="231F20"/>
        </w:rPr>
        <w:t>Vista desde esta perspectiva, la </w:t>
      </w:r>
      <w:r>
        <w:rPr>
          <w:rFonts w:ascii="Arial" w:hAnsi="Arial"/>
          <w:i/>
          <w:color w:val="231F20"/>
        </w:rPr>
        <w:t>excepción humanitaria </w:t>
      </w:r>
      <w:r>
        <w:rPr>
          <w:color w:val="231F20"/>
        </w:rPr>
        <w:t>no se puede re- ducir a una momentánea y limitada suspensión de las reglas del Derecho Internacional,</w:t>
      </w:r>
      <w:r>
        <w:rPr>
          <w:color w:val="231F20"/>
          <w:spacing w:val="-13"/>
        </w:rPr>
        <w:t> </w:t>
      </w:r>
      <w:r>
        <w:rPr>
          <w:color w:val="231F20"/>
        </w:rPr>
        <w:t>en</w:t>
      </w:r>
      <w:r>
        <w:rPr>
          <w:color w:val="231F20"/>
          <w:spacing w:val="-13"/>
        </w:rPr>
        <w:t> </w:t>
      </w:r>
      <w:r>
        <w:rPr>
          <w:color w:val="231F20"/>
        </w:rPr>
        <w:t>función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reafirmación</w:t>
      </w:r>
      <w:r>
        <w:rPr>
          <w:color w:val="231F20"/>
          <w:spacing w:val="-13"/>
        </w:rPr>
        <w:t> </w:t>
      </w:r>
      <w:r>
        <w:rPr>
          <w:color w:val="231F20"/>
        </w:rPr>
        <w:t>de</w:t>
      </w:r>
      <w:r>
        <w:rPr>
          <w:color w:val="231F20"/>
          <w:spacing w:val="-13"/>
        </w:rPr>
        <w:t> </w:t>
      </w:r>
      <w:r>
        <w:rPr>
          <w:color w:val="231F20"/>
        </w:rPr>
        <w:t>sus</w:t>
      </w:r>
      <w:r>
        <w:rPr>
          <w:color w:val="231F20"/>
          <w:spacing w:val="-13"/>
        </w:rPr>
        <w:t> </w:t>
      </w:r>
      <w:r>
        <w:rPr>
          <w:color w:val="231F20"/>
        </w:rPr>
        <w:t>reconocidos</w:t>
      </w:r>
      <w:r>
        <w:rPr>
          <w:color w:val="231F20"/>
          <w:spacing w:val="-13"/>
        </w:rPr>
        <w:t> </w:t>
      </w:r>
      <w:r>
        <w:rPr>
          <w:color w:val="231F20"/>
        </w:rPr>
        <w:t>valores</w:t>
      </w:r>
      <w:r>
        <w:rPr>
          <w:color w:val="231F20"/>
          <w:spacing w:val="-13"/>
        </w:rPr>
        <w:t> </w:t>
      </w:r>
      <w:r>
        <w:rPr>
          <w:color w:val="231F20"/>
        </w:rPr>
        <w:t>fun- damentales. Al contrario, ésta se convierte en la expresión de un proceso de erosión sistemática de los fundamentos mismos de la legalidad inter- nacional, que coincide con el surgimiento de un “poder imperial también en sentido normativo”, en sí mismo “incompatible ya sea con el carácter general de la </w:t>
      </w:r>
      <w:r>
        <w:rPr>
          <w:color w:val="231F20"/>
          <w:spacing w:val="-5"/>
        </w:rPr>
        <w:t>ley, </w:t>
      </w:r>
      <w:r>
        <w:rPr>
          <w:color w:val="231F20"/>
        </w:rPr>
        <w:t>que con la igualdad jurídica de los sujetos del ordena- miento internacional”</w:t>
      </w:r>
      <w:r>
        <w:rPr>
          <w:color w:val="231F20"/>
          <w:position w:val="7"/>
          <w:sz w:val="12"/>
        </w:rPr>
        <w:t>58</w:t>
      </w:r>
      <w:r>
        <w:rPr>
          <w:color w:val="231F20"/>
        </w:rPr>
        <w:t>. No es sorprendente, por lo tanto, que en tal </w:t>
      </w:r>
      <w:r>
        <w:rPr>
          <w:color w:val="231F20"/>
          <w:spacing w:val="53"/>
        </w:rPr>
        <w:t> </w:t>
      </w:r>
      <w:r>
        <w:rPr>
          <w:color w:val="231F20"/>
        </w:rPr>
        <w:t>con-</w:t>
      </w:r>
    </w:p>
    <w:p>
      <w:pPr>
        <w:pStyle w:val="BodyText"/>
        <w:rPr>
          <w:sz w:val="20"/>
        </w:rPr>
      </w:pPr>
    </w:p>
    <w:p>
      <w:pPr>
        <w:pStyle w:val="BodyText"/>
        <w:spacing w:before="2"/>
        <w:rPr>
          <w:sz w:val="15"/>
        </w:rPr>
      </w:pPr>
      <w:r>
        <w:rPr/>
        <w:pict>
          <v:line style="position:absolute;mso-position-horizontal-relative:page;mso-position-vertical-relative:paragraph;z-index:7864;mso-wrap-distance-left:0;mso-wrap-distance-right:0" from="70.866096pt,11.290175pt" to="184.252096pt,11.290175pt" stroked="true" strokeweight=".3pt" strokecolor="#231f20">
            <w10:wrap type="topAndBottom"/>
          </v:line>
        </w:pict>
      </w:r>
    </w:p>
    <w:p>
      <w:pPr>
        <w:spacing w:line="204" w:lineRule="exact" w:before="9"/>
        <w:ind w:left="117" w:right="101" w:firstLine="0"/>
        <w:jc w:val="both"/>
        <w:rPr>
          <w:rFonts w:ascii="Calibri" w:hAnsi="Calibri"/>
          <w:sz w:val="17"/>
        </w:rPr>
      </w:pPr>
      <w:r>
        <w:rPr>
          <w:rFonts w:ascii="Calibri" w:hAnsi="Calibri"/>
          <w:color w:val="231F20"/>
          <w:w w:val="105"/>
          <w:position w:val="6"/>
          <w:sz w:val="10"/>
        </w:rPr>
        <w:t>55 </w:t>
      </w:r>
      <w:r>
        <w:rPr>
          <w:rFonts w:ascii="Calibri" w:hAnsi="Calibri"/>
          <w:color w:val="231F20"/>
          <w:w w:val="105"/>
          <w:sz w:val="17"/>
        </w:rPr>
        <w:t>Köchler, p. 32, 38: </w:t>
      </w:r>
      <w:r>
        <w:rPr>
          <w:rFonts w:ascii="Calibri" w:hAnsi="Calibri"/>
          <w:color w:val="231F20"/>
          <w:spacing w:val="-10"/>
          <w:w w:val="105"/>
          <w:sz w:val="17"/>
        </w:rPr>
        <w:t>“A </w:t>
      </w:r>
      <w:r>
        <w:rPr>
          <w:rFonts w:ascii="Calibri" w:hAnsi="Calibri"/>
          <w:color w:val="231F20"/>
          <w:w w:val="105"/>
          <w:sz w:val="17"/>
        </w:rPr>
        <w:t>causa de la nueva doctrina de la Guerra justa, se han creado dos clases (categorías)</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estados:</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los</w:t>
      </w:r>
      <w:r>
        <w:rPr>
          <w:rFonts w:ascii="Calibri" w:hAnsi="Calibri"/>
          <w:color w:val="231F20"/>
          <w:spacing w:val="-13"/>
          <w:w w:val="105"/>
          <w:sz w:val="17"/>
        </w:rPr>
        <w:t> </w:t>
      </w:r>
      <w:r>
        <w:rPr>
          <w:rFonts w:ascii="Calibri" w:hAnsi="Calibri"/>
          <w:color w:val="231F20"/>
          <w:w w:val="105"/>
          <w:sz w:val="17"/>
        </w:rPr>
        <w:t>Estados</w:t>
      </w:r>
      <w:r>
        <w:rPr>
          <w:rFonts w:ascii="Calibri" w:hAnsi="Calibri"/>
          <w:color w:val="231F20"/>
          <w:spacing w:val="-13"/>
          <w:w w:val="105"/>
          <w:sz w:val="17"/>
        </w:rPr>
        <w:t> </w:t>
      </w:r>
      <w:r>
        <w:rPr>
          <w:rFonts w:ascii="Calibri" w:hAnsi="Calibri"/>
          <w:color w:val="231F20"/>
          <w:w w:val="105"/>
          <w:sz w:val="17"/>
        </w:rPr>
        <w:t>imperiales</w:t>
      </w:r>
      <w:r>
        <w:rPr>
          <w:rFonts w:ascii="Calibri" w:hAnsi="Calibri"/>
          <w:color w:val="231F20"/>
          <w:spacing w:val="-13"/>
          <w:w w:val="105"/>
          <w:sz w:val="17"/>
        </w:rPr>
        <w:t> </w:t>
      </w:r>
      <w:r>
        <w:rPr>
          <w:rFonts w:ascii="Calibri" w:hAnsi="Calibri"/>
          <w:color w:val="231F20"/>
          <w:w w:val="105"/>
          <w:sz w:val="17"/>
        </w:rPr>
        <w:t>(o</w:t>
      </w:r>
      <w:r>
        <w:rPr>
          <w:rFonts w:ascii="Calibri" w:hAnsi="Calibri"/>
          <w:color w:val="231F20"/>
          <w:spacing w:val="-13"/>
          <w:w w:val="105"/>
          <w:sz w:val="17"/>
        </w:rPr>
        <w:t> </w:t>
      </w:r>
      <w:r>
        <w:rPr>
          <w:rFonts w:ascii="Calibri" w:hAnsi="Calibri"/>
          <w:color w:val="231F20"/>
          <w:w w:val="105"/>
          <w:sz w:val="17"/>
        </w:rPr>
        <w:t>superiores)</w:t>
      </w:r>
      <w:r>
        <w:rPr>
          <w:rFonts w:ascii="Calibri" w:hAnsi="Calibri"/>
          <w:color w:val="231F20"/>
          <w:spacing w:val="-14"/>
          <w:w w:val="105"/>
          <w:sz w:val="17"/>
        </w:rPr>
        <w:t> </w:t>
      </w:r>
      <w:r>
        <w:rPr>
          <w:rFonts w:ascii="Calibri" w:hAnsi="Calibri"/>
          <w:color w:val="231F20"/>
          <w:w w:val="105"/>
          <w:sz w:val="17"/>
        </w:rPr>
        <w:t>y</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los</w:t>
      </w:r>
      <w:r>
        <w:rPr>
          <w:rFonts w:ascii="Calibri" w:hAnsi="Calibri"/>
          <w:color w:val="231F20"/>
          <w:spacing w:val="-13"/>
          <w:w w:val="105"/>
          <w:sz w:val="17"/>
        </w:rPr>
        <w:t> </w:t>
      </w:r>
      <w:r>
        <w:rPr>
          <w:rFonts w:ascii="Calibri" w:hAnsi="Calibri"/>
          <w:color w:val="231F20"/>
          <w:w w:val="105"/>
          <w:sz w:val="17"/>
        </w:rPr>
        <w:t>Estados</w:t>
      </w:r>
      <w:r>
        <w:rPr>
          <w:rFonts w:ascii="Calibri" w:hAnsi="Calibri"/>
          <w:color w:val="231F20"/>
          <w:spacing w:val="-13"/>
          <w:w w:val="105"/>
          <w:sz w:val="17"/>
        </w:rPr>
        <w:t> </w:t>
      </w:r>
      <w:r>
        <w:rPr>
          <w:rFonts w:ascii="Calibri" w:hAnsi="Calibri"/>
          <w:color w:val="231F20"/>
          <w:w w:val="105"/>
          <w:sz w:val="17"/>
        </w:rPr>
        <w:t>“inferiores”. La</w:t>
      </w:r>
      <w:r>
        <w:rPr>
          <w:rFonts w:ascii="Calibri" w:hAnsi="Calibri"/>
          <w:color w:val="231F20"/>
          <w:spacing w:val="-20"/>
          <w:w w:val="105"/>
          <w:sz w:val="17"/>
        </w:rPr>
        <w:t> </w:t>
      </w:r>
      <w:r>
        <w:rPr>
          <w:rFonts w:ascii="Calibri" w:hAnsi="Calibri"/>
          <w:color w:val="231F20"/>
          <w:w w:val="105"/>
          <w:sz w:val="17"/>
        </w:rPr>
        <w:t>primera</w:t>
      </w:r>
      <w:r>
        <w:rPr>
          <w:rFonts w:ascii="Calibri" w:hAnsi="Calibri"/>
          <w:color w:val="231F20"/>
          <w:spacing w:val="-20"/>
          <w:w w:val="105"/>
          <w:sz w:val="17"/>
        </w:rPr>
        <w:t> </w:t>
      </w:r>
      <w:r>
        <w:rPr>
          <w:rFonts w:ascii="Calibri" w:hAnsi="Calibri"/>
          <w:color w:val="231F20"/>
          <w:w w:val="105"/>
          <w:sz w:val="17"/>
        </w:rPr>
        <w:t>se</w:t>
      </w:r>
      <w:r>
        <w:rPr>
          <w:rFonts w:ascii="Calibri" w:hAnsi="Calibri"/>
          <w:color w:val="231F20"/>
          <w:spacing w:val="-20"/>
          <w:w w:val="105"/>
          <w:sz w:val="17"/>
        </w:rPr>
        <w:t> </w:t>
      </w:r>
      <w:r>
        <w:rPr>
          <w:rFonts w:ascii="Calibri" w:hAnsi="Calibri"/>
          <w:color w:val="231F20"/>
          <w:w w:val="105"/>
          <w:sz w:val="17"/>
        </w:rPr>
        <w:t>refiere</w:t>
      </w:r>
      <w:r>
        <w:rPr>
          <w:rFonts w:ascii="Calibri" w:hAnsi="Calibri"/>
          <w:color w:val="231F20"/>
          <w:spacing w:val="-20"/>
          <w:w w:val="105"/>
          <w:sz w:val="17"/>
        </w:rPr>
        <w:t> </w:t>
      </w:r>
      <w:r>
        <w:rPr>
          <w:rFonts w:ascii="Calibri" w:hAnsi="Calibri"/>
          <w:color w:val="231F20"/>
          <w:w w:val="105"/>
          <w:sz w:val="17"/>
        </w:rPr>
        <w:t>a</w:t>
      </w:r>
      <w:r>
        <w:rPr>
          <w:rFonts w:ascii="Calibri" w:hAnsi="Calibri"/>
          <w:color w:val="231F20"/>
          <w:spacing w:val="-20"/>
          <w:w w:val="105"/>
          <w:sz w:val="17"/>
        </w:rPr>
        <w:t> </w:t>
      </w:r>
      <w:r>
        <w:rPr>
          <w:rFonts w:ascii="Calibri" w:hAnsi="Calibri"/>
          <w:color w:val="231F20"/>
          <w:w w:val="105"/>
          <w:sz w:val="17"/>
        </w:rPr>
        <w:t>un</w:t>
      </w:r>
      <w:r>
        <w:rPr>
          <w:rFonts w:ascii="Calibri" w:hAnsi="Calibri"/>
          <w:color w:val="231F20"/>
          <w:spacing w:val="-20"/>
          <w:w w:val="105"/>
          <w:sz w:val="17"/>
        </w:rPr>
        <w:t> </w:t>
      </w:r>
      <w:r>
        <w:rPr>
          <w:rFonts w:ascii="Calibri" w:hAnsi="Calibri"/>
          <w:color w:val="231F20"/>
          <w:w w:val="105"/>
          <w:sz w:val="17"/>
        </w:rPr>
        <w:t>estatus</w:t>
      </w:r>
      <w:r>
        <w:rPr>
          <w:rFonts w:ascii="Calibri" w:hAnsi="Calibri"/>
          <w:color w:val="231F20"/>
          <w:spacing w:val="-20"/>
          <w:w w:val="105"/>
          <w:sz w:val="17"/>
        </w:rPr>
        <w:t> </w:t>
      </w:r>
      <w:r>
        <w:rPr>
          <w:rFonts w:ascii="Calibri" w:hAnsi="Calibri"/>
          <w:color w:val="231F20"/>
          <w:w w:val="105"/>
          <w:sz w:val="17"/>
        </w:rPr>
        <w:t>de</w:t>
      </w:r>
      <w:r>
        <w:rPr>
          <w:rFonts w:ascii="Calibri" w:hAnsi="Calibri"/>
          <w:color w:val="231F20"/>
          <w:spacing w:val="-20"/>
          <w:w w:val="105"/>
          <w:sz w:val="17"/>
        </w:rPr>
        <w:t> </w:t>
      </w:r>
      <w:r>
        <w:rPr>
          <w:rFonts w:ascii="Calibri" w:hAnsi="Calibri"/>
          <w:color w:val="231F20"/>
          <w:w w:val="105"/>
          <w:sz w:val="17"/>
        </w:rPr>
        <w:t>superioridad</w:t>
      </w:r>
      <w:r>
        <w:rPr>
          <w:rFonts w:ascii="Calibri" w:hAnsi="Calibri"/>
          <w:color w:val="231F20"/>
          <w:spacing w:val="-20"/>
          <w:w w:val="105"/>
          <w:sz w:val="17"/>
        </w:rPr>
        <w:t> </w:t>
      </w:r>
      <w:r>
        <w:rPr>
          <w:rFonts w:ascii="Calibri" w:hAnsi="Calibri"/>
          <w:color w:val="231F20"/>
          <w:w w:val="105"/>
          <w:sz w:val="17"/>
        </w:rPr>
        <w:t>moral</w:t>
      </w:r>
      <w:r>
        <w:rPr>
          <w:rFonts w:ascii="Calibri" w:hAnsi="Calibri"/>
          <w:color w:val="231F20"/>
          <w:spacing w:val="-20"/>
          <w:w w:val="105"/>
          <w:sz w:val="17"/>
        </w:rPr>
        <w:t> </w:t>
      </w:r>
      <w:r>
        <w:rPr>
          <w:rFonts w:ascii="Calibri" w:hAnsi="Calibri"/>
          <w:color w:val="231F20"/>
          <w:w w:val="105"/>
          <w:sz w:val="17"/>
        </w:rPr>
        <w:t>—y</w:t>
      </w:r>
      <w:r>
        <w:rPr>
          <w:rFonts w:ascii="Calibri" w:hAnsi="Calibri"/>
          <w:color w:val="231F20"/>
          <w:spacing w:val="-20"/>
          <w:w w:val="105"/>
          <w:sz w:val="17"/>
        </w:rPr>
        <w:t> </w:t>
      </w:r>
      <w:r>
        <w:rPr>
          <w:rFonts w:ascii="Calibri" w:hAnsi="Calibri"/>
          <w:color w:val="231F20"/>
          <w:w w:val="105"/>
          <w:sz w:val="17"/>
        </w:rPr>
        <w:t>supremacía</w:t>
      </w:r>
      <w:r>
        <w:rPr>
          <w:rFonts w:ascii="Calibri" w:hAnsi="Calibri"/>
          <w:color w:val="231F20"/>
          <w:spacing w:val="-20"/>
          <w:w w:val="105"/>
          <w:sz w:val="17"/>
        </w:rPr>
        <w:t> </w:t>
      </w:r>
      <w:r>
        <w:rPr>
          <w:rFonts w:ascii="Calibri" w:hAnsi="Calibri"/>
          <w:color w:val="231F20"/>
          <w:w w:val="105"/>
          <w:sz w:val="17"/>
        </w:rPr>
        <w:t>ideológica—</w:t>
      </w:r>
      <w:r>
        <w:rPr>
          <w:rFonts w:ascii="Calibri" w:hAnsi="Calibri"/>
          <w:color w:val="231F20"/>
          <w:spacing w:val="-20"/>
          <w:w w:val="105"/>
          <w:sz w:val="17"/>
        </w:rPr>
        <w:t> </w:t>
      </w:r>
      <w:r>
        <w:rPr>
          <w:rFonts w:ascii="Calibri" w:hAnsi="Calibri"/>
          <w:color w:val="231F20"/>
          <w:w w:val="105"/>
          <w:sz w:val="17"/>
        </w:rPr>
        <w:t>incluyendo</w:t>
      </w:r>
      <w:r>
        <w:rPr>
          <w:rFonts w:ascii="Calibri" w:hAnsi="Calibri"/>
          <w:color w:val="231F20"/>
          <w:spacing w:val="-20"/>
          <w:w w:val="105"/>
          <w:sz w:val="17"/>
        </w:rPr>
        <w:t> </w:t>
      </w:r>
      <w:r>
        <w:rPr>
          <w:rFonts w:ascii="Calibri" w:hAnsi="Calibri"/>
          <w:color w:val="231F20"/>
          <w:w w:val="105"/>
          <w:sz w:val="17"/>
        </w:rPr>
        <w:t>el derecho</w:t>
      </w:r>
      <w:r>
        <w:rPr>
          <w:rFonts w:ascii="Calibri" w:hAnsi="Calibri"/>
          <w:color w:val="231F20"/>
          <w:spacing w:val="-14"/>
          <w:w w:val="105"/>
          <w:sz w:val="17"/>
        </w:rPr>
        <w:t> </w:t>
      </w:r>
      <w:r>
        <w:rPr>
          <w:rFonts w:ascii="Calibri" w:hAnsi="Calibri"/>
          <w:color w:val="231F20"/>
          <w:w w:val="105"/>
          <w:sz w:val="17"/>
        </w:rPr>
        <w:t>de</w:t>
      </w:r>
      <w:r>
        <w:rPr>
          <w:rFonts w:ascii="Calibri" w:hAnsi="Calibri"/>
          <w:color w:val="231F20"/>
          <w:spacing w:val="-14"/>
          <w:w w:val="105"/>
          <w:sz w:val="17"/>
        </w:rPr>
        <w:t> </w:t>
      </w:r>
      <w:r>
        <w:rPr>
          <w:rFonts w:ascii="Calibri" w:hAnsi="Calibri"/>
          <w:color w:val="231F20"/>
          <w:w w:val="105"/>
          <w:sz w:val="17"/>
        </w:rPr>
        <w:t>definir</w:t>
      </w:r>
      <w:r>
        <w:rPr>
          <w:rFonts w:ascii="Calibri" w:hAnsi="Calibri"/>
          <w:color w:val="231F20"/>
          <w:spacing w:val="-14"/>
          <w:w w:val="105"/>
          <w:sz w:val="17"/>
        </w:rPr>
        <w:t> </w:t>
      </w:r>
      <w:r>
        <w:rPr>
          <w:rFonts w:ascii="Calibri" w:hAnsi="Calibri"/>
          <w:color w:val="231F20"/>
          <w:w w:val="105"/>
          <w:sz w:val="17"/>
        </w:rPr>
        <w:t>criterios</w:t>
      </w:r>
      <w:r>
        <w:rPr>
          <w:rFonts w:ascii="Calibri" w:hAnsi="Calibri"/>
          <w:color w:val="231F20"/>
          <w:spacing w:val="-14"/>
          <w:w w:val="105"/>
          <w:sz w:val="17"/>
        </w:rPr>
        <w:t> </w:t>
      </w:r>
      <w:r>
        <w:rPr>
          <w:rFonts w:ascii="Calibri" w:hAnsi="Calibri"/>
          <w:color w:val="231F20"/>
          <w:w w:val="105"/>
          <w:sz w:val="17"/>
        </w:rPr>
        <w:t>morales</w:t>
      </w:r>
      <w:r>
        <w:rPr>
          <w:rFonts w:ascii="Calibri" w:hAnsi="Calibri"/>
          <w:color w:val="231F20"/>
          <w:spacing w:val="-14"/>
          <w:w w:val="105"/>
          <w:sz w:val="17"/>
        </w:rPr>
        <w:t> </w:t>
      </w:r>
      <w:r>
        <w:rPr>
          <w:rFonts w:ascii="Calibri" w:hAnsi="Calibri"/>
          <w:color w:val="231F20"/>
          <w:w w:val="105"/>
          <w:sz w:val="17"/>
        </w:rPr>
        <w:t>para</w:t>
      </w:r>
      <w:r>
        <w:rPr>
          <w:rFonts w:ascii="Calibri" w:hAnsi="Calibri"/>
          <w:color w:val="231F20"/>
          <w:spacing w:val="-14"/>
          <w:w w:val="105"/>
          <w:sz w:val="17"/>
        </w:rPr>
        <w:t> </w:t>
      </w:r>
      <w:r>
        <w:rPr>
          <w:rFonts w:ascii="Calibri" w:hAnsi="Calibri"/>
          <w:color w:val="231F20"/>
          <w:w w:val="105"/>
          <w:sz w:val="17"/>
        </w:rPr>
        <w:t>el</w:t>
      </w:r>
      <w:r>
        <w:rPr>
          <w:rFonts w:ascii="Calibri" w:hAnsi="Calibri"/>
          <w:color w:val="231F20"/>
          <w:spacing w:val="-14"/>
          <w:w w:val="105"/>
          <w:sz w:val="17"/>
        </w:rPr>
        <w:t> </w:t>
      </w:r>
      <w:r>
        <w:rPr>
          <w:rFonts w:ascii="Calibri" w:hAnsi="Calibri"/>
          <w:color w:val="231F20"/>
          <w:w w:val="105"/>
          <w:sz w:val="17"/>
        </w:rPr>
        <w:t>uso</w:t>
      </w:r>
      <w:r>
        <w:rPr>
          <w:rFonts w:ascii="Calibri" w:hAnsi="Calibri"/>
          <w:color w:val="231F20"/>
          <w:spacing w:val="-14"/>
          <w:w w:val="105"/>
          <w:sz w:val="17"/>
        </w:rPr>
        <w:t> </w:t>
      </w:r>
      <w:r>
        <w:rPr>
          <w:rFonts w:ascii="Calibri" w:hAnsi="Calibri"/>
          <w:color w:val="231F20"/>
          <w:w w:val="105"/>
          <w:sz w:val="17"/>
        </w:rPr>
        <w:t>de</w:t>
      </w:r>
      <w:r>
        <w:rPr>
          <w:rFonts w:ascii="Calibri" w:hAnsi="Calibri"/>
          <w:color w:val="231F20"/>
          <w:spacing w:val="-14"/>
          <w:w w:val="105"/>
          <w:sz w:val="17"/>
        </w:rPr>
        <w:t> </w:t>
      </w:r>
      <w:r>
        <w:rPr>
          <w:rFonts w:ascii="Calibri" w:hAnsi="Calibri"/>
          <w:color w:val="231F20"/>
          <w:w w:val="105"/>
          <w:sz w:val="17"/>
        </w:rPr>
        <w:t>la</w:t>
      </w:r>
      <w:r>
        <w:rPr>
          <w:rFonts w:ascii="Calibri" w:hAnsi="Calibri"/>
          <w:color w:val="231F20"/>
          <w:spacing w:val="-14"/>
          <w:w w:val="105"/>
          <w:sz w:val="17"/>
        </w:rPr>
        <w:t> </w:t>
      </w:r>
      <w:r>
        <w:rPr>
          <w:rFonts w:ascii="Calibri" w:hAnsi="Calibri"/>
          <w:color w:val="231F20"/>
          <w:w w:val="105"/>
          <w:sz w:val="17"/>
        </w:rPr>
        <w:t>fuerza.</w:t>
      </w:r>
      <w:r>
        <w:rPr>
          <w:rFonts w:ascii="Calibri" w:hAnsi="Calibri"/>
          <w:color w:val="231F20"/>
          <w:spacing w:val="-14"/>
          <w:w w:val="105"/>
          <w:sz w:val="17"/>
        </w:rPr>
        <w:t> </w:t>
      </w:r>
      <w:r>
        <w:rPr>
          <w:rFonts w:ascii="Calibri" w:hAnsi="Calibri"/>
          <w:color w:val="231F20"/>
          <w:w w:val="105"/>
          <w:sz w:val="17"/>
        </w:rPr>
        <w:t>Hasta</w:t>
      </w:r>
      <w:r>
        <w:rPr>
          <w:rFonts w:ascii="Calibri" w:hAnsi="Calibri"/>
          <w:color w:val="231F20"/>
          <w:spacing w:val="-14"/>
          <w:w w:val="105"/>
          <w:sz w:val="17"/>
        </w:rPr>
        <w:t> </w:t>
      </w:r>
      <w:r>
        <w:rPr>
          <w:rFonts w:ascii="Calibri" w:hAnsi="Calibri"/>
          <w:color w:val="231F20"/>
          <w:w w:val="105"/>
          <w:sz w:val="17"/>
        </w:rPr>
        <w:t>un</w:t>
      </w:r>
      <w:r>
        <w:rPr>
          <w:rFonts w:ascii="Calibri" w:hAnsi="Calibri"/>
          <w:color w:val="231F20"/>
          <w:spacing w:val="-14"/>
          <w:w w:val="105"/>
          <w:sz w:val="17"/>
        </w:rPr>
        <w:t> </w:t>
      </w:r>
      <w:r>
        <w:rPr>
          <w:rFonts w:ascii="Calibri" w:hAnsi="Calibri"/>
          <w:color w:val="231F20"/>
          <w:w w:val="105"/>
          <w:sz w:val="17"/>
        </w:rPr>
        <w:t>reciente</w:t>
      </w:r>
      <w:r>
        <w:rPr>
          <w:rFonts w:ascii="Calibri" w:hAnsi="Calibri"/>
          <w:color w:val="231F20"/>
          <w:spacing w:val="-14"/>
          <w:w w:val="105"/>
          <w:sz w:val="17"/>
        </w:rPr>
        <w:t> </w:t>
      </w:r>
      <w:r>
        <w:rPr>
          <w:rFonts w:ascii="Calibri" w:hAnsi="Calibri"/>
          <w:color w:val="231F20"/>
          <w:w w:val="105"/>
          <w:sz w:val="17"/>
        </w:rPr>
        <w:t>cambio</w:t>
      </w:r>
      <w:r>
        <w:rPr>
          <w:rFonts w:ascii="Calibri" w:hAnsi="Calibri"/>
          <w:color w:val="231F20"/>
          <w:spacing w:val="-14"/>
          <w:w w:val="105"/>
          <w:sz w:val="17"/>
        </w:rPr>
        <w:t> </w:t>
      </w:r>
      <w:r>
        <w:rPr>
          <w:rFonts w:ascii="Calibri" w:hAnsi="Calibri"/>
          <w:color w:val="231F20"/>
          <w:w w:val="105"/>
          <w:sz w:val="17"/>
        </w:rPr>
        <w:t>en</w:t>
      </w:r>
      <w:r>
        <w:rPr>
          <w:rFonts w:ascii="Calibri" w:hAnsi="Calibri"/>
          <w:color w:val="231F20"/>
          <w:spacing w:val="-14"/>
          <w:w w:val="105"/>
          <w:sz w:val="17"/>
        </w:rPr>
        <w:t> </w:t>
      </w:r>
      <w:r>
        <w:rPr>
          <w:rFonts w:ascii="Calibri" w:hAnsi="Calibri"/>
          <w:color w:val="231F20"/>
          <w:w w:val="105"/>
          <w:sz w:val="17"/>
        </w:rPr>
        <w:t>la</w:t>
      </w:r>
      <w:r>
        <w:rPr>
          <w:rFonts w:ascii="Calibri" w:hAnsi="Calibri"/>
          <w:color w:val="231F20"/>
          <w:spacing w:val="-14"/>
          <w:w w:val="105"/>
          <w:sz w:val="17"/>
        </w:rPr>
        <w:t> </w:t>
      </w:r>
      <w:r>
        <w:rPr>
          <w:rFonts w:ascii="Calibri" w:hAnsi="Calibri"/>
          <w:color w:val="231F20"/>
          <w:w w:val="105"/>
          <w:sz w:val="17"/>
        </w:rPr>
        <w:t>termi- nología</w:t>
      </w:r>
      <w:r>
        <w:rPr>
          <w:rFonts w:ascii="Calibri" w:hAnsi="Calibri"/>
          <w:color w:val="231F20"/>
          <w:spacing w:val="-15"/>
          <w:w w:val="105"/>
          <w:sz w:val="17"/>
        </w:rPr>
        <w:t> </w:t>
      </w:r>
      <w:r>
        <w:rPr>
          <w:rFonts w:ascii="Calibri" w:hAnsi="Calibri"/>
          <w:color w:val="231F20"/>
          <w:w w:val="105"/>
          <w:sz w:val="17"/>
        </w:rPr>
        <w:t>de</w:t>
      </w:r>
      <w:r>
        <w:rPr>
          <w:rFonts w:ascii="Calibri" w:hAnsi="Calibri"/>
          <w:color w:val="231F20"/>
          <w:spacing w:val="-15"/>
          <w:w w:val="105"/>
          <w:sz w:val="17"/>
        </w:rPr>
        <w:t> </w:t>
      </w:r>
      <w:r>
        <w:rPr>
          <w:rFonts w:ascii="Calibri" w:hAnsi="Calibri"/>
          <w:color w:val="231F20"/>
          <w:w w:val="105"/>
          <w:sz w:val="17"/>
        </w:rPr>
        <w:t>la</w:t>
      </w:r>
      <w:r>
        <w:rPr>
          <w:rFonts w:ascii="Calibri" w:hAnsi="Calibri"/>
          <w:color w:val="231F20"/>
          <w:spacing w:val="-15"/>
          <w:w w:val="105"/>
          <w:sz w:val="17"/>
        </w:rPr>
        <w:t> </w:t>
      </w:r>
      <w:r>
        <w:rPr>
          <w:rFonts w:ascii="Calibri" w:hAnsi="Calibri"/>
          <w:color w:val="231F20"/>
          <w:w w:val="105"/>
          <w:sz w:val="17"/>
        </w:rPr>
        <w:t>diplomacia</w:t>
      </w:r>
      <w:r>
        <w:rPr>
          <w:rFonts w:ascii="Calibri" w:hAnsi="Calibri"/>
          <w:color w:val="231F20"/>
          <w:spacing w:val="-15"/>
          <w:w w:val="105"/>
          <w:sz w:val="17"/>
        </w:rPr>
        <w:t> </w:t>
      </w:r>
      <w:r>
        <w:rPr>
          <w:rFonts w:ascii="Calibri" w:hAnsi="Calibri"/>
          <w:color w:val="231F20"/>
          <w:w w:val="105"/>
          <w:sz w:val="17"/>
        </w:rPr>
        <w:t>estadunidense,</w:t>
      </w:r>
      <w:r>
        <w:rPr>
          <w:rFonts w:ascii="Calibri" w:hAnsi="Calibri"/>
          <w:color w:val="231F20"/>
          <w:spacing w:val="-15"/>
          <w:w w:val="105"/>
          <w:sz w:val="17"/>
        </w:rPr>
        <w:t> </w:t>
      </w:r>
      <w:r>
        <w:rPr>
          <w:rFonts w:ascii="Calibri" w:hAnsi="Calibri"/>
          <w:color w:val="231F20"/>
          <w:w w:val="105"/>
          <w:sz w:val="17"/>
        </w:rPr>
        <w:t>a</w:t>
      </w:r>
      <w:r>
        <w:rPr>
          <w:rFonts w:ascii="Calibri" w:hAnsi="Calibri"/>
          <w:color w:val="231F20"/>
          <w:spacing w:val="-15"/>
          <w:w w:val="105"/>
          <w:sz w:val="17"/>
        </w:rPr>
        <w:t> </w:t>
      </w:r>
      <w:r>
        <w:rPr>
          <w:rFonts w:ascii="Calibri" w:hAnsi="Calibri"/>
          <w:color w:val="231F20"/>
          <w:w w:val="105"/>
          <w:sz w:val="17"/>
        </w:rPr>
        <w:t>los</w:t>
      </w:r>
      <w:r>
        <w:rPr>
          <w:rFonts w:ascii="Calibri" w:hAnsi="Calibri"/>
          <w:color w:val="231F20"/>
          <w:spacing w:val="-15"/>
          <w:w w:val="105"/>
          <w:sz w:val="17"/>
        </w:rPr>
        <w:t> </w:t>
      </w:r>
      <w:r>
        <w:rPr>
          <w:rFonts w:ascii="Calibri" w:hAnsi="Calibri"/>
          <w:color w:val="231F20"/>
          <w:w w:val="105"/>
          <w:sz w:val="17"/>
        </w:rPr>
        <w:t>segundos</w:t>
      </w:r>
      <w:r>
        <w:rPr>
          <w:rFonts w:ascii="Calibri" w:hAnsi="Calibri"/>
          <w:color w:val="231F20"/>
          <w:spacing w:val="-15"/>
          <w:w w:val="105"/>
          <w:sz w:val="17"/>
        </w:rPr>
        <w:t> </w:t>
      </w:r>
      <w:r>
        <w:rPr>
          <w:rFonts w:ascii="Calibri" w:hAnsi="Calibri"/>
          <w:color w:val="231F20"/>
          <w:w w:val="105"/>
          <w:sz w:val="17"/>
        </w:rPr>
        <w:t>se</w:t>
      </w:r>
      <w:r>
        <w:rPr>
          <w:rFonts w:ascii="Calibri" w:hAnsi="Calibri"/>
          <w:color w:val="231F20"/>
          <w:spacing w:val="-15"/>
          <w:w w:val="105"/>
          <w:sz w:val="17"/>
        </w:rPr>
        <w:t> </w:t>
      </w:r>
      <w:r>
        <w:rPr>
          <w:rFonts w:ascii="Calibri" w:hAnsi="Calibri"/>
          <w:color w:val="231F20"/>
          <w:w w:val="105"/>
          <w:sz w:val="17"/>
        </w:rPr>
        <w:t>hacía</w:t>
      </w:r>
      <w:r>
        <w:rPr>
          <w:rFonts w:ascii="Calibri" w:hAnsi="Calibri"/>
          <w:color w:val="231F20"/>
          <w:spacing w:val="-15"/>
          <w:w w:val="105"/>
          <w:sz w:val="17"/>
        </w:rPr>
        <w:t> </w:t>
      </w:r>
      <w:r>
        <w:rPr>
          <w:rFonts w:ascii="Calibri" w:hAnsi="Calibri"/>
          <w:color w:val="231F20"/>
          <w:w w:val="105"/>
          <w:sz w:val="17"/>
        </w:rPr>
        <w:t>frecuentemente</w:t>
      </w:r>
      <w:r>
        <w:rPr>
          <w:rFonts w:ascii="Calibri" w:hAnsi="Calibri"/>
          <w:color w:val="231F20"/>
          <w:spacing w:val="-15"/>
          <w:w w:val="105"/>
          <w:sz w:val="17"/>
        </w:rPr>
        <w:t> </w:t>
      </w:r>
      <w:r>
        <w:rPr>
          <w:rFonts w:ascii="Calibri" w:hAnsi="Calibri"/>
          <w:color w:val="231F20"/>
          <w:w w:val="105"/>
          <w:sz w:val="17"/>
        </w:rPr>
        <w:t>referencia</w:t>
      </w:r>
      <w:r>
        <w:rPr>
          <w:rFonts w:ascii="Calibri" w:hAnsi="Calibri"/>
          <w:color w:val="231F20"/>
          <w:spacing w:val="-15"/>
          <w:w w:val="105"/>
          <w:sz w:val="17"/>
        </w:rPr>
        <w:t> </w:t>
      </w:r>
      <w:r>
        <w:rPr>
          <w:rFonts w:ascii="Calibri" w:hAnsi="Calibri"/>
          <w:color w:val="231F20"/>
          <w:w w:val="105"/>
          <w:sz w:val="17"/>
        </w:rPr>
        <w:t>con</w:t>
      </w:r>
      <w:r>
        <w:rPr>
          <w:rFonts w:ascii="Calibri" w:hAnsi="Calibri"/>
          <w:color w:val="231F20"/>
          <w:spacing w:val="-15"/>
          <w:w w:val="105"/>
          <w:sz w:val="17"/>
        </w:rPr>
        <w:t> </w:t>
      </w:r>
      <w:r>
        <w:rPr>
          <w:rFonts w:ascii="Calibri" w:hAnsi="Calibri"/>
          <w:color w:val="231F20"/>
          <w:w w:val="105"/>
          <w:sz w:val="17"/>
        </w:rPr>
        <w:t>el término</w:t>
      </w:r>
      <w:r>
        <w:rPr>
          <w:rFonts w:ascii="Calibri" w:hAnsi="Calibri"/>
          <w:color w:val="231F20"/>
          <w:spacing w:val="-20"/>
          <w:w w:val="105"/>
          <w:sz w:val="17"/>
        </w:rPr>
        <w:t> </w:t>
      </w:r>
      <w:r>
        <w:rPr>
          <w:rFonts w:ascii="Calibri" w:hAnsi="Calibri"/>
          <w:color w:val="231F20"/>
          <w:w w:val="105"/>
          <w:sz w:val="17"/>
        </w:rPr>
        <w:t>de</w:t>
      </w:r>
      <w:r>
        <w:rPr>
          <w:rFonts w:ascii="Calibri" w:hAnsi="Calibri"/>
          <w:color w:val="231F20"/>
          <w:spacing w:val="-20"/>
          <w:w w:val="105"/>
          <w:sz w:val="17"/>
        </w:rPr>
        <w:t> </w:t>
      </w:r>
      <w:r>
        <w:rPr>
          <w:rFonts w:ascii="Calibri" w:hAnsi="Calibri"/>
          <w:color w:val="231F20"/>
          <w:w w:val="105"/>
          <w:sz w:val="17"/>
        </w:rPr>
        <w:t>“Estados</w:t>
      </w:r>
      <w:r>
        <w:rPr>
          <w:rFonts w:ascii="Calibri" w:hAnsi="Calibri"/>
          <w:color w:val="231F20"/>
          <w:spacing w:val="-20"/>
          <w:w w:val="105"/>
          <w:sz w:val="17"/>
        </w:rPr>
        <w:t> </w:t>
      </w:r>
      <w:r>
        <w:rPr>
          <w:rFonts w:ascii="Calibri" w:hAnsi="Calibri"/>
          <w:color w:val="231F20"/>
          <w:w w:val="105"/>
          <w:sz w:val="17"/>
        </w:rPr>
        <w:t>canallas”.</w:t>
      </w:r>
      <w:r>
        <w:rPr>
          <w:rFonts w:ascii="Calibri" w:hAnsi="Calibri"/>
          <w:color w:val="231F20"/>
          <w:spacing w:val="-20"/>
          <w:w w:val="105"/>
          <w:sz w:val="17"/>
        </w:rPr>
        <w:t> </w:t>
      </w:r>
      <w:r>
        <w:rPr>
          <w:rFonts w:ascii="Calibri" w:hAnsi="Calibri"/>
          <w:color w:val="231F20"/>
          <w:w w:val="105"/>
          <w:sz w:val="17"/>
        </w:rPr>
        <w:t>Éstos</w:t>
      </w:r>
      <w:r>
        <w:rPr>
          <w:rFonts w:ascii="Calibri" w:hAnsi="Calibri"/>
          <w:color w:val="231F20"/>
          <w:spacing w:val="-20"/>
          <w:w w:val="105"/>
          <w:sz w:val="17"/>
        </w:rPr>
        <w:t> </w:t>
      </w:r>
      <w:r>
        <w:rPr>
          <w:rFonts w:ascii="Calibri" w:hAnsi="Calibri"/>
          <w:color w:val="231F20"/>
          <w:w w:val="105"/>
          <w:sz w:val="17"/>
        </w:rPr>
        <w:t>pertenecen</w:t>
      </w:r>
      <w:r>
        <w:rPr>
          <w:rFonts w:ascii="Calibri" w:hAnsi="Calibri"/>
          <w:color w:val="231F20"/>
          <w:spacing w:val="-20"/>
          <w:w w:val="105"/>
          <w:sz w:val="17"/>
        </w:rPr>
        <w:t> </w:t>
      </w:r>
      <w:r>
        <w:rPr>
          <w:rFonts w:ascii="Calibri" w:hAnsi="Calibri"/>
          <w:color w:val="231F20"/>
          <w:w w:val="105"/>
          <w:sz w:val="17"/>
        </w:rPr>
        <w:t>en</w:t>
      </w:r>
      <w:r>
        <w:rPr>
          <w:rFonts w:ascii="Calibri" w:hAnsi="Calibri"/>
          <w:color w:val="231F20"/>
          <w:spacing w:val="-20"/>
          <w:w w:val="105"/>
          <w:sz w:val="17"/>
        </w:rPr>
        <w:t> </w:t>
      </w:r>
      <w:r>
        <w:rPr>
          <w:rFonts w:ascii="Calibri" w:hAnsi="Calibri"/>
          <w:color w:val="231F20"/>
          <w:w w:val="105"/>
          <w:sz w:val="17"/>
        </w:rPr>
        <w:t>su</w:t>
      </w:r>
      <w:r>
        <w:rPr>
          <w:rFonts w:ascii="Calibri" w:hAnsi="Calibri"/>
          <w:color w:val="231F20"/>
          <w:spacing w:val="-20"/>
          <w:w w:val="105"/>
          <w:sz w:val="17"/>
        </w:rPr>
        <w:t> </w:t>
      </w:r>
      <w:r>
        <w:rPr>
          <w:rFonts w:ascii="Calibri" w:hAnsi="Calibri"/>
          <w:color w:val="231F20"/>
          <w:w w:val="105"/>
          <w:sz w:val="17"/>
        </w:rPr>
        <w:t>mayoría</w:t>
      </w:r>
      <w:r>
        <w:rPr>
          <w:rFonts w:ascii="Calibri" w:hAnsi="Calibri"/>
          <w:color w:val="231F20"/>
          <w:spacing w:val="-20"/>
          <w:w w:val="105"/>
          <w:sz w:val="17"/>
        </w:rPr>
        <w:t> </w:t>
      </w:r>
      <w:r>
        <w:rPr>
          <w:rFonts w:ascii="Calibri" w:hAnsi="Calibri"/>
          <w:color w:val="231F20"/>
          <w:w w:val="105"/>
          <w:sz w:val="17"/>
        </w:rPr>
        <w:t>al</w:t>
      </w:r>
      <w:r>
        <w:rPr>
          <w:rFonts w:ascii="Calibri" w:hAnsi="Calibri"/>
          <w:color w:val="231F20"/>
          <w:spacing w:val="-22"/>
          <w:w w:val="105"/>
          <w:sz w:val="17"/>
        </w:rPr>
        <w:t> </w:t>
      </w:r>
      <w:r>
        <w:rPr>
          <w:rFonts w:ascii="Calibri" w:hAnsi="Calibri"/>
          <w:color w:val="231F20"/>
          <w:spacing w:val="-3"/>
          <w:w w:val="105"/>
          <w:sz w:val="17"/>
        </w:rPr>
        <w:t>Tercer</w:t>
      </w:r>
      <w:r>
        <w:rPr>
          <w:rFonts w:ascii="Calibri" w:hAnsi="Calibri"/>
          <w:color w:val="231F20"/>
          <w:spacing w:val="-20"/>
          <w:w w:val="105"/>
          <w:sz w:val="17"/>
        </w:rPr>
        <w:t> </w:t>
      </w:r>
      <w:r>
        <w:rPr>
          <w:rFonts w:ascii="Calibri" w:hAnsi="Calibri"/>
          <w:color w:val="231F20"/>
          <w:w w:val="105"/>
          <w:sz w:val="17"/>
        </w:rPr>
        <w:t>Mundo.</w:t>
      </w:r>
      <w:r>
        <w:rPr>
          <w:rFonts w:ascii="Calibri" w:hAnsi="Calibri"/>
          <w:color w:val="231F20"/>
          <w:spacing w:val="-20"/>
          <w:w w:val="105"/>
          <w:sz w:val="17"/>
        </w:rPr>
        <w:t> </w:t>
      </w:r>
      <w:r>
        <w:rPr>
          <w:rFonts w:ascii="Calibri" w:hAnsi="Calibri"/>
          <w:color w:val="231F20"/>
          <w:w w:val="105"/>
          <w:sz w:val="17"/>
        </w:rPr>
        <w:t>Los</w:t>
      </w:r>
      <w:r>
        <w:rPr>
          <w:rFonts w:ascii="Calibri" w:hAnsi="Calibri"/>
          <w:color w:val="231F20"/>
          <w:spacing w:val="-20"/>
          <w:w w:val="105"/>
          <w:sz w:val="17"/>
        </w:rPr>
        <w:t> </w:t>
      </w:r>
      <w:r>
        <w:rPr>
          <w:rFonts w:ascii="Calibri" w:hAnsi="Calibri"/>
          <w:color w:val="231F20"/>
          <w:w w:val="105"/>
          <w:sz w:val="17"/>
        </w:rPr>
        <w:t>Estados</w:t>
      </w:r>
      <w:r>
        <w:rPr>
          <w:rFonts w:ascii="Calibri" w:hAnsi="Calibri"/>
          <w:color w:val="231F20"/>
          <w:spacing w:val="-20"/>
          <w:w w:val="105"/>
          <w:sz w:val="17"/>
        </w:rPr>
        <w:t> </w:t>
      </w:r>
      <w:r>
        <w:rPr>
          <w:rFonts w:ascii="Calibri" w:hAnsi="Calibri"/>
          <w:color w:val="231F20"/>
          <w:w w:val="105"/>
          <w:sz w:val="17"/>
        </w:rPr>
        <w:t>impe- riales</w:t>
      </w:r>
      <w:r>
        <w:rPr>
          <w:rFonts w:ascii="Calibri" w:hAnsi="Calibri"/>
          <w:color w:val="231F20"/>
          <w:spacing w:val="-19"/>
          <w:w w:val="105"/>
          <w:sz w:val="17"/>
        </w:rPr>
        <w:t> </w:t>
      </w:r>
      <w:r>
        <w:rPr>
          <w:rFonts w:ascii="Calibri" w:hAnsi="Calibri"/>
          <w:color w:val="231F20"/>
          <w:w w:val="105"/>
          <w:sz w:val="17"/>
        </w:rPr>
        <w:t>sustituyen</w:t>
      </w:r>
      <w:r>
        <w:rPr>
          <w:rFonts w:ascii="Calibri" w:hAnsi="Calibri"/>
          <w:color w:val="231F20"/>
          <w:spacing w:val="-19"/>
          <w:w w:val="105"/>
          <w:sz w:val="17"/>
        </w:rPr>
        <w:t> </w:t>
      </w:r>
      <w:r>
        <w:rPr>
          <w:rFonts w:ascii="Calibri" w:hAnsi="Calibri"/>
          <w:color w:val="231F20"/>
          <w:w w:val="105"/>
          <w:sz w:val="17"/>
        </w:rPr>
        <w:t>el</w:t>
      </w:r>
      <w:r>
        <w:rPr>
          <w:rFonts w:ascii="Calibri" w:hAnsi="Calibri"/>
          <w:color w:val="231F20"/>
          <w:spacing w:val="-19"/>
          <w:w w:val="105"/>
          <w:sz w:val="17"/>
        </w:rPr>
        <w:t> </w:t>
      </w:r>
      <w:r>
        <w:rPr>
          <w:rFonts w:ascii="Calibri" w:hAnsi="Calibri"/>
          <w:color w:val="231F20"/>
          <w:w w:val="105"/>
          <w:sz w:val="17"/>
        </w:rPr>
        <w:t>principio</w:t>
      </w:r>
      <w:r>
        <w:rPr>
          <w:rFonts w:ascii="Calibri" w:hAnsi="Calibri"/>
          <w:color w:val="231F20"/>
          <w:spacing w:val="-19"/>
          <w:w w:val="105"/>
          <w:sz w:val="17"/>
        </w:rPr>
        <w:t> </w:t>
      </w:r>
      <w:r>
        <w:rPr>
          <w:rFonts w:ascii="Calibri" w:hAnsi="Calibri"/>
          <w:color w:val="231F20"/>
          <w:w w:val="105"/>
          <w:sz w:val="17"/>
        </w:rPr>
        <w:t>de</w:t>
      </w:r>
      <w:r>
        <w:rPr>
          <w:rFonts w:ascii="Calibri" w:hAnsi="Calibri"/>
          <w:color w:val="231F20"/>
          <w:spacing w:val="-19"/>
          <w:w w:val="105"/>
          <w:sz w:val="17"/>
        </w:rPr>
        <w:t> </w:t>
      </w:r>
      <w:r>
        <w:rPr>
          <w:rFonts w:ascii="Calibri" w:hAnsi="Calibri"/>
          <w:color w:val="231F20"/>
          <w:w w:val="105"/>
          <w:sz w:val="17"/>
        </w:rPr>
        <w:t>no</w:t>
      </w:r>
      <w:r>
        <w:rPr>
          <w:rFonts w:ascii="Calibri" w:hAnsi="Calibri"/>
          <w:color w:val="231F20"/>
          <w:spacing w:val="-19"/>
          <w:w w:val="105"/>
          <w:sz w:val="17"/>
        </w:rPr>
        <w:t> </w:t>
      </w:r>
      <w:r>
        <w:rPr>
          <w:rFonts w:ascii="Calibri" w:hAnsi="Calibri"/>
          <w:color w:val="231F20"/>
          <w:w w:val="105"/>
          <w:sz w:val="17"/>
        </w:rPr>
        <w:t>emplear</w:t>
      </w:r>
      <w:r>
        <w:rPr>
          <w:rFonts w:ascii="Calibri" w:hAnsi="Calibri"/>
          <w:color w:val="231F20"/>
          <w:spacing w:val="-19"/>
          <w:w w:val="105"/>
          <w:sz w:val="17"/>
        </w:rPr>
        <w:t> </w:t>
      </w:r>
      <w:r>
        <w:rPr>
          <w:rFonts w:ascii="Calibri" w:hAnsi="Calibri"/>
          <w:color w:val="231F20"/>
          <w:w w:val="105"/>
          <w:sz w:val="17"/>
        </w:rPr>
        <w:t>la</w:t>
      </w:r>
      <w:r>
        <w:rPr>
          <w:rFonts w:ascii="Calibri" w:hAnsi="Calibri"/>
          <w:color w:val="231F20"/>
          <w:spacing w:val="-19"/>
          <w:w w:val="105"/>
          <w:sz w:val="17"/>
        </w:rPr>
        <w:t> </w:t>
      </w:r>
      <w:r>
        <w:rPr>
          <w:rFonts w:ascii="Calibri" w:hAnsi="Calibri"/>
          <w:color w:val="231F20"/>
          <w:w w:val="105"/>
          <w:sz w:val="17"/>
        </w:rPr>
        <w:t>fuerza</w:t>
      </w:r>
      <w:r>
        <w:rPr>
          <w:rFonts w:ascii="Calibri" w:hAnsi="Calibri"/>
          <w:color w:val="231F20"/>
          <w:spacing w:val="-19"/>
          <w:w w:val="105"/>
          <w:sz w:val="17"/>
        </w:rPr>
        <w:t> </w:t>
      </w:r>
      <w:r>
        <w:rPr>
          <w:rFonts w:ascii="Calibri" w:hAnsi="Calibri"/>
          <w:color w:val="231F20"/>
          <w:w w:val="105"/>
          <w:sz w:val="17"/>
        </w:rPr>
        <w:t>con</w:t>
      </w:r>
      <w:r>
        <w:rPr>
          <w:rFonts w:ascii="Calibri" w:hAnsi="Calibri"/>
          <w:color w:val="231F20"/>
          <w:spacing w:val="-19"/>
          <w:w w:val="105"/>
          <w:sz w:val="17"/>
        </w:rPr>
        <w:t> </w:t>
      </w:r>
      <w:r>
        <w:rPr>
          <w:rFonts w:ascii="Calibri" w:hAnsi="Calibri"/>
          <w:color w:val="231F20"/>
          <w:w w:val="105"/>
          <w:sz w:val="17"/>
        </w:rPr>
        <w:t>un</w:t>
      </w:r>
      <w:r>
        <w:rPr>
          <w:rFonts w:ascii="Calibri" w:hAnsi="Calibri"/>
          <w:color w:val="231F20"/>
          <w:spacing w:val="-19"/>
          <w:w w:val="105"/>
          <w:sz w:val="17"/>
        </w:rPr>
        <w:t> </w:t>
      </w:r>
      <w:r>
        <w:rPr>
          <w:rFonts w:ascii="Calibri" w:hAnsi="Calibri"/>
          <w:i/>
          <w:color w:val="231F20"/>
          <w:w w:val="105"/>
          <w:sz w:val="17"/>
        </w:rPr>
        <w:t>derecho</w:t>
      </w:r>
      <w:r>
        <w:rPr>
          <w:rFonts w:ascii="Calibri" w:hAnsi="Calibri"/>
          <w:i/>
          <w:color w:val="231F20"/>
          <w:spacing w:val="-19"/>
          <w:w w:val="105"/>
          <w:sz w:val="17"/>
        </w:rPr>
        <w:t> </w:t>
      </w:r>
      <w:r>
        <w:rPr>
          <w:rFonts w:ascii="Calibri" w:hAnsi="Calibri"/>
          <w:color w:val="231F20"/>
          <w:w w:val="105"/>
          <w:sz w:val="17"/>
        </w:rPr>
        <w:t>(en</w:t>
      </w:r>
      <w:r>
        <w:rPr>
          <w:rFonts w:ascii="Calibri" w:hAnsi="Calibri"/>
          <w:color w:val="231F20"/>
          <w:spacing w:val="-19"/>
          <w:w w:val="105"/>
          <w:sz w:val="17"/>
        </w:rPr>
        <w:t> </w:t>
      </w:r>
      <w:r>
        <w:rPr>
          <w:rFonts w:ascii="Calibri" w:hAnsi="Calibri"/>
          <w:color w:val="231F20"/>
          <w:w w:val="105"/>
          <w:sz w:val="17"/>
        </w:rPr>
        <w:t>algunos</w:t>
      </w:r>
      <w:r>
        <w:rPr>
          <w:rFonts w:ascii="Calibri" w:hAnsi="Calibri"/>
          <w:color w:val="231F20"/>
          <w:spacing w:val="-19"/>
          <w:w w:val="105"/>
          <w:sz w:val="17"/>
        </w:rPr>
        <w:t> </w:t>
      </w:r>
      <w:r>
        <w:rPr>
          <w:rFonts w:ascii="Calibri" w:hAnsi="Calibri"/>
          <w:color w:val="231F20"/>
          <w:w w:val="105"/>
          <w:sz w:val="17"/>
        </w:rPr>
        <w:t>casos</w:t>
      </w:r>
      <w:r>
        <w:rPr>
          <w:rFonts w:ascii="Calibri" w:hAnsi="Calibri"/>
          <w:color w:val="231F20"/>
          <w:spacing w:val="-19"/>
          <w:w w:val="105"/>
          <w:sz w:val="17"/>
        </w:rPr>
        <w:t> </w:t>
      </w:r>
      <w:r>
        <w:rPr>
          <w:rFonts w:ascii="Calibri" w:hAnsi="Calibri"/>
          <w:color w:val="231F20"/>
          <w:w w:val="105"/>
          <w:sz w:val="17"/>
        </w:rPr>
        <w:t>considerado incluso</w:t>
      </w:r>
      <w:r>
        <w:rPr>
          <w:rFonts w:ascii="Calibri" w:hAnsi="Calibri"/>
          <w:color w:val="231F20"/>
          <w:spacing w:val="-16"/>
          <w:w w:val="105"/>
          <w:sz w:val="17"/>
        </w:rPr>
        <w:t> </w:t>
      </w:r>
      <w:r>
        <w:rPr>
          <w:rFonts w:ascii="Calibri" w:hAnsi="Calibri"/>
          <w:color w:val="231F20"/>
          <w:w w:val="105"/>
          <w:sz w:val="17"/>
        </w:rPr>
        <w:t>equivalente</w:t>
      </w:r>
      <w:r>
        <w:rPr>
          <w:rFonts w:ascii="Calibri" w:hAnsi="Calibri"/>
          <w:color w:val="231F20"/>
          <w:spacing w:val="-16"/>
          <w:w w:val="105"/>
          <w:sz w:val="17"/>
        </w:rPr>
        <w:t> </w:t>
      </w:r>
      <w:r>
        <w:rPr>
          <w:rFonts w:ascii="Calibri" w:hAnsi="Calibri"/>
          <w:color w:val="231F20"/>
          <w:w w:val="105"/>
          <w:sz w:val="17"/>
        </w:rPr>
        <w:t>a</w:t>
      </w:r>
      <w:r>
        <w:rPr>
          <w:rFonts w:ascii="Calibri" w:hAnsi="Calibri"/>
          <w:color w:val="231F20"/>
          <w:spacing w:val="-16"/>
          <w:w w:val="105"/>
          <w:sz w:val="17"/>
        </w:rPr>
        <w:t> </w:t>
      </w:r>
      <w:r>
        <w:rPr>
          <w:rFonts w:ascii="Calibri" w:hAnsi="Calibri"/>
          <w:color w:val="231F20"/>
          <w:w w:val="105"/>
          <w:sz w:val="17"/>
        </w:rPr>
        <w:t>un</w:t>
      </w:r>
      <w:r>
        <w:rPr>
          <w:rFonts w:ascii="Calibri" w:hAnsi="Calibri"/>
          <w:color w:val="231F20"/>
          <w:spacing w:val="-16"/>
          <w:w w:val="105"/>
          <w:sz w:val="17"/>
        </w:rPr>
        <w:t> </w:t>
      </w:r>
      <w:r>
        <w:rPr>
          <w:rFonts w:ascii="Calibri" w:hAnsi="Calibri"/>
          <w:i/>
          <w:color w:val="231F20"/>
          <w:w w:val="105"/>
          <w:sz w:val="17"/>
        </w:rPr>
        <w:t>deber</w:t>
      </w:r>
      <w:r>
        <w:rPr>
          <w:rFonts w:ascii="Calibri" w:hAnsi="Calibri"/>
          <w:color w:val="231F20"/>
          <w:w w:val="105"/>
          <w:sz w:val="17"/>
        </w:rPr>
        <w:t>)</w:t>
      </w:r>
      <w:r>
        <w:rPr>
          <w:rFonts w:ascii="Calibri" w:hAnsi="Calibri"/>
          <w:color w:val="231F20"/>
          <w:spacing w:val="-16"/>
          <w:w w:val="105"/>
          <w:sz w:val="17"/>
        </w:rPr>
        <w:t> </w:t>
      </w:r>
      <w:r>
        <w:rPr>
          <w:rFonts w:ascii="Calibri" w:hAnsi="Calibri"/>
          <w:i/>
          <w:color w:val="231F20"/>
          <w:w w:val="105"/>
          <w:sz w:val="17"/>
        </w:rPr>
        <w:t>de</w:t>
      </w:r>
      <w:r>
        <w:rPr>
          <w:rFonts w:ascii="Calibri" w:hAnsi="Calibri"/>
          <w:i/>
          <w:color w:val="231F20"/>
          <w:spacing w:val="-17"/>
          <w:w w:val="105"/>
          <w:sz w:val="17"/>
        </w:rPr>
        <w:t> </w:t>
      </w:r>
      <w:r>
        <w:rPr>
          <w:rFonts w:ascii="Calibri" w:hAnsi="Calibri"/>
          <w:i/>
          <w:color w:val="231F20"/>
          <w:w w:val="105"/>
          <w:sz w:val="17"/>
        </w:rPr>
        <w:t>intervenir</w:t>
      </w:r>
      <w:r>
        <w:rPr>
          <w:rFonts w:ascii="Calibri" w:hAnsi="Calibri"/>
          <w:color w:val="231F20"/>
          <w:w w:val="105"/>
          <w:sz w:val="17"/>
        </w:rPr>
        <w:t>,</w:t>
      </w:r>
      <w:r>
        <w:rPr>
          <w:rFonts w:ascii="Calibri" w:hAnsi="Calibri"/>
          <w:color w:val="231F20"/>
          <w:spacing w:val="-16"/>
          <w:w w:val="105"/>
          <w:sz w:val="17"/>
        </w:rPr>
        <w:t> </w:t>
      </w:r>
      <w:r>
        <w:rPr>
          <w:rFonts w:ascii="Calibri" w:hAnsi="Calibri"/>
          <w:color w:val="231F20"/>
          <w:w w:val="105"/>
          <w:sz w:val="17"/>
        </w:rPr>
        <w:t>sustituyendo</w:t>
      </w:r>
      <w:r>
        <w:rPr>
          <w:rFonts w:ascii="Calibri" w:hAnsi="Calibri"/>
          <w:color w:val="231F20"/>
          <w:spacing w:val="-16"/>
          <w:w w:val="105"/>
          <w:sz w:val="17"/>
        </w:rPr>
        <w:t> </w:t>
      </w:r>
      <w:r>
        <w:rPr>
          <w:rFonts w:ascii="Calibri" w:hAnsi="Calibri"/>
          <w:color w:val="231F20"/>
          <w:w w:val="105"/>
          <w:sz w:val="17"/>
        </w:rPr>
        <w:t>así</w:t>
      </w:r>
      <w:r>
        <w:rPr>
          <w:rFonts w:ascii="Calibri" w:hAnsi="Calibri"/>
          <w:color w:val="231F20"/>
          <w:spacing w:val="-16"/>
          <w:w w:val="105"/>
          <w:sz w:val="17"/>
        </w:rPr>
        <w:t> </w:t>
      </w:r>
      <w:r>
        <w:rPr>
          <w:rFonts w:ascii="Calibri" w:hAnsi="Calibri"/>
          <w:color w:val="231F20"/>
          <w:w w:val="105"/>
          <w:sz w:val="17"/>
        </w:rPr>
        <w:t>la</w:t>
      </w:r>
      <w:r>
        <w:rPr>
          <w:rFonts w:ascii="Calibri" w:hAnsi="Calibri"/>
          <w:color w:val="231F20"/>
          <w:spacing w:val="-16"/>
          <w:w w:val="105"/>
          <w:sz w:val="17"/>
        </w:rPr>
        <w:t> </w:t>
      </w:r>
      <w:r>
        <w:rPr>
          <w:rFonts w:ascii="Calibri" w:hAnsi="Calibri"/>
          <w:color w:val="231F20"/>
          <w:w w:val="105"/>
          <w:sz w:val="17"/>
        </w:rPr>
        <w:t>precedente</w:t>
      </w:r>
      <w:r>
        <w:rPr>
          <w:rFonts w:ascii="Calibri" w:hAnsi="Calibri"/>
          <w:color w:val="231F20"/>
          <w:spacing w:val="-16"/>
          <w:w w:val="105"/>
          <w:sz w:val="17"/>
        </w:rPr>
        <w:t> </w:t>
      </w:r>
      <w:r>
        <w:rPr>
          <w:rFonts w:ascii="Calibri" w:hAnsi="Calibri"/>
          <w:color w:val="231F20"/>
          <w:w w:val="105"/>
          <w:sz w:val="17"/>
        </w:rPr>
        <w:t>legitimación</w:t>
      </w:r>
      <w:r>
        <w:rPr>
          <w:rFonts w:ascii="Calibri" w:hAnsi="Calibri"/>
          <w:color w:val="231F20"/>
          <w:spacing w:val="-16"/>
          <w:w w:val="105"/>
          <w:sz w:val="17"/>
        </w:rPr>
        <w:t> </w:t>
      </w:r>
      <w:r>
        <w:rPr>
          <w:rFonts w:ascii="Calibri" w:hAnsi="Calibri"/>
          <w:color w:val="231F20"/>
          <w:w w:val="105"/>
          <w:sz w:val="17"/>
        </w:rPr>
        <w:t>religiosa con un discurso “secular” sobre los derechos humanos. Aún así en la realidad, este derecho de intervenir</w:t>
      </w:r>
      <w:r>
        <w:rPr>
          <w:rFonts w:ascii="Calibri" w:hAnsi="Calibri"/>
          <w:color w:val="231F20"/>
          <w:spacing w:val="-16"/>
          <w:w w:val="105"/>
          <w:sz w:val="17"/>
        </w:rPr>
        <w:t> </w:t>
      </w:r>
      <w:r>
        <w:rPr>
          <w:rFonts w:ascii="Calibri" w:hAnsi="Calibri"/>
          <w:color w:val="231F20"/>
          <w:w w:val="105"/>
          <w:sz w:val="17"/>
        </w:rPr>
        <w:t>se</w:t>
      </w:r>
      <w:r>
        <w:rPr>
          <w:rFonts w:ascii="Calibri" w:hAnsi="Calibri"/>
          <w:color w:val="231F20"/>
          <w:spacing w:val="-16"/>
          <w:w w:val="105"/>
          <w:sz w:val="17"/>
        </w:rPr>
        <w:t> </w:t>
      </w:r>
      <w:r>
        <w:rPr>
          <w:rFonts w:ascii="Calibri" w:hAnsi="Calibri"/>
          <w:color w:val="231F20"/>
          <w:w w:val="105"/>
          <w:sz w:val="17"/>
        </w:rPr>
        <w:t>basa</w:t>
      </w:r>
      <w:r>
        <w:rPr>
          <w:rFonts w:ascii="Calibri" w:hAnsi="Calibri"/>
          <w:color w:val="231F20"/>
          <w:spacing w:val="-16"/>
          <w:w w:val="105"/>
          <w:sz w:val="17"/>
        </w:rPr>
        <w:t> </w:t>
      </w:r>
      <w:r>
        <w:rPr>
          <w:rFonts w:ascii="Calibri" w:hAnsi="Calibri"/>
          <w:color w:val="231F20"/>
          <w:w w:val="105"/>
          <w:sz w:val="17"/>
        </w:rPr>
        <w:t>solamente</w:t>
      </w:r>
      <w:r>
        <w:rPr>
          <w:rFonts w:ascii="Calibri" w:hAnsi="Calibri"/>
          <w:color w:val="231F20"/>
          <w:spacing w:val="-16"/>
          <w:w w:val="105"/>
          <w:sz w:val="17"/>
        </w:rPr>
        <w:t> </w:t>
      </w:r>
      <w:r>
        <w:rPr>
          <w:rFonts w:ascii="Calibri" w:hAnsi="Calibri"/>
          <w:color w:val="231F20"/>
          <w:w w:val="105"/>
          <w:sz w:val="17"/>
        </w:rPr>
        <w:t>en</w:t>
      </w:r>
      <w:r>
        <w:rPr>
          <w:rFonts w:ascii="Calibri" w:hAnsi="Calibri"/>
          <w:color w:val="231F20"/>
          <w:spacing w:val="-16"/>
          <w:w w:val="105"/>
          <w:sz w:val="17"/>
        </w:rPr>
        <w:t> </w:t>
      </w:r>
      <w:r>
        <w:rPr>
          <w:rFonts w:ascii="Calibri" w:hAnsi="Calibri"/>
          <w:color w:val="231F20"/>
          <w:w w:val="105"/>
          <w:sz w:val="17"/>
        </w:rPr>
        <w:t>el</w:t>
      </w:r>
      <w:r>
        <w:rPr>
          <w:rFonts w:ascii="Calibri" w:hAnsi="Calibri"/>
          <w:color w:val="231F20"/>
          <w:spacing w:val="-16"/>
          <w:w w:val="105"/>
          <w:sz w:val="17"/>
        </w:rPr>
        <w:t> </w:t>
      </w:r>
      <w:r>
        <w:rPr>
          <w:rFonts w:ascii="Calibri" w:hAnsi="Calibri"/>
          <w:color w:val="231F20"/>
          <w:w w:val="105"/>
          <w:sz w:val="17"/>
        </w:rPr>
        <w:t>poder</w:t>
      </w:r>
      <w:r>
        <w:rPr>
          <w:rFonts w:ascii="Calibri" w:hAnsi="Calibri"/>
          <w:color w:val="231F20"/>
          <w:spacing w:val="-16"/>
          <w:w w:val="105"/>
          <w:sz w:val="17"/>
        </w:rPr>
        <w:t> </w:t>
      </w:r>
      <w:r>
        <w:rPr>
          <w:rFonts w:ascii="Calibri" w:hAnsi="Calibri"/>
          <w:color w:val="231F20"/>
          <w:w w:val="105"/>
          <w:sz w:val="17"/>
        </w:rPr>
        <w:t>superior</w:t>
      </w:r>
      <w:r>
        <w:rPr>
          <w:rFonts w:ascii="Calibri" w:hAnsi="Calibri"/>
          <w:color w:val="231F20"/>
          <w:spacing w:val="-16"/>
          <w:w w:val="105"/>
          <w:sz w:val="17"/>
        </w:rPr>
        <w:t> </w:t>
      </w:r>
      <w:r>
        <w:rPr>
          <w:rFonts w:ascii="Calibri" w:hAnsi="Calibri"/>
          <w:color w:val="231F20"/>
          <w:w w:val="105"/>
          <w:sz w:val="17"/>
        </w:rPr>
        <w:t>de</w:t>
      </w:r>
      <w:r>
        <w:rPr>
          <w:rFonts w:ascii="Calibri" w:hAnsi="Calibri"/>
          <w:color w:val="231F20"/>
          <w:spacing w:val="-16"/>
          <w:w w:val="105"/>
          <w:sz w:val="17"/>
        </w:rPr>
        <w:t> </w:t>
      </w:r>
      <w:r>
        <w:rPr>
          <w:rFonts w:ascii="Calibri" w:hAnsi="Calibri"/>
          <w:color w:val="231F20"/>
          <w:w w:val="105"/>
          <w:sz w:val="17"/>
        </w:rPr>
        <w:t>los</w:t>
      </w:r>
      <w:r>
        <w:rPr>
          <w:rFonts w:ascii="Calibri" w:hAnsi="Calibri"/>
          <w:color w:val="231F20"/>
          <w:spacing w:val="-16"/>
          <w:w w:val="105"/>
          <w:sz w:val="17"/>
        </w:rPr>
        <w:t> </w:t>
      </w:r>
      <w:r>
        <w:rPr>
          <w:rFonts w:ascii="Calibri" w:hAnsi="Calibri"/>
          <w:color w:val="231F20"/>
          <w:w w:val="105"/>
          <w:sz w:val="17"/>
        </w:rPr>
        <w:t>Estados</w:t>
      </w:r>
      <w:r>
        <w:rPr>
          <w:rFonts w:ascii="Calibri" w:hAnsi="Calibri"/>
          <w:color w:val="231F20"/>
          <w:spacing w:val="-16"/>
          <w:w w:val="105"/>
          <w:sz w:val="17"/>
        </w:rPr>
        <w:t> </w:t>
      </w:r>
      <w:r>
        <w:rPr>
          <w:rFonts w:ascii="Calibri" w:hAnsi="Calibri"/>
          <w:color w:val="231F20"/>
          <w:w w:val="105"/>
          <w:sz w:val="17"/>
        </w:rPr>
        <w:t>imperiales,</w:t>
      </w:r>
      <w:r>
        <w:rPr>
          <w:rFonts w:ascii="Calibri" w:hAnsi="Calibri"/>
          <w:color w:val="231F20"/>
          <w:spacing w:val="-16"/>
          <w:w w:val="105"/>
          <w:sz w:val="17"/>
        </w:rPr>
        <w:t> </w:t>
      </w:r>
      <w:r>
        <w:rPr>
          <w:rFonts w:ascii="Calibri" w:hAnsi="Calibri"/>
          <w:color w:val="231F20"/>
          <w:w w:val="105"/>
          <w:sz w:val="17"/>
        </w:rPr>
        <w:t>lo</w:t>
      </w:r>
      <w:r>
        <w:rPr>
          <w:rFonts w:ascii="Calibri" w:hAnsi="Calibri"/>
          <w:color w:val="231F20"/>
          <w:spacing w:val="-16"/>
          <w:w w:val="105"/>
          <w:sz w:val="17"/>
        </w:rPr>
        <w:t> </w:t>
      </w:r>
      <w:r>
        <w:rPr>
          <w:rFonts w:ascii="Calibri" w:hAnsi="Calibri"/>
          <w:color w:val="231F20"/>
          <w:w w:val="105"/>
          <w:sz w:val="17"/>
        </w:rPr>
        <w:t>que</w:t>
      </w:r>
      <w:r>
        <w:rPr>
          <w:rFonts w:ascii="Calibri" w:hAnsi="Calibri"/>
          <w:color w:val="231F20"/>
          <w:spacing w:val="-16"/>
          <w:w w:val="105"/>
          <w:sz w:val="17"/>
        </w:rPr>
        <w:t> </w:t>
      </w:r>
      <w:r>
        <w:rPr>
          <w:rFonts w:ascii="Calibri" w:hAnsi="Calibri"/>
          <w:color w:val="231F20"/>
          <w:w w:val="105"/>
          <w:sz w:val="17"/>
        </w:rPr>
        <w:t>no</w:t>
      </w:r>
      <w:r>
        <w:rPr>
          <w:rFonts w:ascii="Calibri" w:hAnsi="Calibri"/>
          <w:color w:val="231F20"/>
          <w:spacing w:val="-16"/>
          <w:w w:val="105"/>
          <w:sz w:val="17"/>
        </w:rPr>
        <w:t> </w:t>
      </w:r>
      <w:r>
        <w:rPr>
          <w:rFonts w:ascii="Calibri" w:hAnsi="Calibri"/>
          <w:color w:val="231F20"/>
          <w:w w:val="105"/>
          <w:sz w:val="17"/>
        </w:rPr>
        <w:t>tiene</w:t>
      </w:r>
      <w:r>
        <w:rPr>
          <w:rFonts w:ascii="Calibri" w:hAnsi="Calibri"/>
          <w:color w:val="231F20"/>
          <w:spacing w:val="-16"/>
          <w:w w:val="105"/>
          <w:sz w:val="17"/>
        </w:rPr>
        <w:t> </w:t>
      </w:r>
      <w:r>
        <w:rPr>
          <w:rFonts w:ascii="Calibri" w:hAnsi="Calibri"/>
          <w:color w:val="231F20"/>
          <w:w w:val="105"/>
          <w:sz w:val="17"/>
        </w:rPr>
        <w:t>funda- mentos</w:t>
      </w:r>
      <w:r>
        <w:rPr>
          <w:rFonts w:ascii="Calibri" w:hAnsi="Calibri"/>
          <w:color w:val="231F20"/>
          <w:spacing w:val="-15"/>
          <w:w w:val="105"/>
          <w:sz w:val="17"/>
        </w:rPr>
        <w:t> </w:t>
      </w:r>
      <w:r>
        <w:rPr>
          <w:rFonts w:ascii="Calibri" w:hAnsi="Calibri"/>
          <w:color w:val="231F20"/>
          <w:w w:val="105"/>
          <w:sz w:val="17"/>
        </w:rPr>
        <w:t>jurídicos”.</w:t>
      </w:r>
      <w:r>
        <w:rPr>
          <w:rFonts w:ascii="Calibri" w:hAnsi="Calibri"/>
          <w:color w:val="231F20"/>
          <w:spacing w:val="-15"/>
          <w:w w:val="105"/>
          <w:sz w:val="17"/>
        </w:rPr>
        <w:t> </w:t>
      </w:r>
      <w:r>
        <w:rPr>
          <w:rFonts w:ascii="Calibri" w:hAnsi="Calibri"/>
          <w:color w:val="231F20"/>
          <w:w w:val="105"/>
          <w:sz w:val="17"/>
        </w:rPr>
        <w:t>Para</w:t>
      </w:r>
      <w:r>
        <w:rPr>
          <w:rFonts w:ascii="Calibri" w:hAnsi="Calibri"/>
          <w:color w:val="231F20"/>
          <w:spacing w:val="-15"/>
          <w:w w:val="105"/>
          <w:sz w:val="17"/>
        </w:rPr>
        <w:t> </w:t>
      </w:r>
      <w:r>
        <w:rPr>
          <w:rFonts w:ascii="Calibri" w:hAnsi="Calibri"/>
          <w:color w:val="231F20"/>
          <w:w w:val="105"/>
          <w:sz w:val="17"/>
        </w:rPr>
        <w:t>una</w:t>
      </w:r>
      <w:r>
        <w:rPr>
          <w:rFonts w:ascii="Calibri" w:hAnsi="Calibri"/>
          <w:color w:val="231F20"/>
          <w:spacing w:val="-15"/>
          <w:w w:val="105"/>
          <w:sz w:val="17"/>
        </w:rPr>
        <w:t> </w:t>
      </w:r>
      <w:r>
        <w:rPr>
          <w:rFonts w:ascii="Calibri" w:hAnsi="Calibri"/>
          <w:color w:val="231F20"/>
          <w:w w:val="105"/>
          <w:sz w:val="17"/>
        </w:rPr>
        <w:t>eficaz</w:t>
      </w:r>
      <w:r>
        <w:rPr>
          <w:rFonts w:ascii="Calibri" w:hAnsi="Calibri"/>
          <w:color w:val="231F20"/>
          <w:spacing w:val="-15"/>
          <w:w w:val="105"/>
          <w:sz w:val="17"/>
        </w:rPr>
        <w:t> </w:t>
      </w:r>
      <w:r>
        <w:rPr>
          <w:rFonts w:ascii="Calibri" w:hAnsi="Calibri"/>
          <w:color w:val="231F20"/>
          <w:w w:val="105"/>
          <w:sz w:val="17"/>
        </w:rPr>
        <w:t>crítica</w:t>
      </w:r>
      <w:r>
        <w:rPr>
          <w:rFonts w:ascii="Calibri" w:hAnsi="Calibri"/>
          <w:color w:val="231F20"/>
          <w:spacing w:val="-15"/>
          <w:w w:val="105"/>
          <w:sz w:val="17"/>
        </w:rPr>
        <w:t> </w:t>
      </w:r>
      <w:r>
        <w:rPr>
          <w:rFonts w:ascii="Calibri" w:hAnsi="Calibri"/>
          <w:color w:val="231F20"/>
          <w:w w:val="105"/>
          <w:sz w:val="17"/>
        </w:rPr>
        <w:t>del</w:t>
      </w:r>
      <w:r>
        <w:rPr>
          <w:rFonts w:ascii="Calibri" w:hAnsi="Calibri"/>
          <w:color w:val="231F20"/>
          <w:spacing w:val="-15"/>
          <w:w w:val="105"/>
          <w:sz w:val="17"/>
        </w:rPr>
        <w:t> </w:t>
      </w:r>
      <w:r>
        <w:rPr>
          <w:rFonts w:ascii="Calibri" w:hAnsi="Calibri"/>
          <w:color w:val="231F20"/>
          <w:w w:val="105"/>
          <w:sz w:val="17"/>
        </w:rPr>
        <w:t>carácter</w:t>
      </w:r>
      <w:r>
        <w:rPr>
          <w:rFonts w:ascii="Calibri" w:hAnsi="Calibri"/>
          <w:color w:val="231F20"/>
          <w:spacing w:val="-15"/>
          <w:w w:val="105"/>
          <w:sz w:val="17"/>
        </w:rPr>
        <w:t> </w:t>
      </w:r>
      <w:r>
        <w:rPr>
          <w:rFonts w:ascii="Calibri" w:hAnsi="Calibri"/>
          <w:color w:val="231F20"/>
          <w:w w:val="105"/>
          <w:sz w:val="17"/>
        </w:rPr>
        <w:t>neocolonial</w:t>
      </w:r>
      <w:r>
        <w:rPr>
          <w:rFonts w:ascii="Calibri" w:hAnsi="Calibri"/>
          <w:color w:val="231F20"/>
          <w:spacing w:val="-15"/>
          <w:w w:val="105"/>
          <w:sz w:val="17"/>
        </w:rPr>
        <w:t> </w:t>
      </w:r>
      <w:r>
        <w:rPr>
          <w:rFonts w:ascii="Calibri" w:hAnsi="Calibri"/>
          <w:color w:val="231F20"/>
          <w:w w:val="105"/>
          <w:sz w:val="17"/>
        </w:rPr>
        <w:t>de</w:t>
      </w:r>
      <w:r>
        <w:rPr>
          <w:rFonts w:ascii="Calibri" w:hAnsi="Calibri"/>
          <w:color w:val="231F20"/>
          <w:spacing w:val="-15"/>
          <w:w w:val="105"/>
          <w:sz w:val="17"/>
        </w:rPr>
        <w:t> </w:t>
      </w:r>
      <w:r>
        <w:rPr>
          <w:rFonts w:ascii="Calibri" w:hAnsi="Calibri"/>
          <w:color w:val="231F20"/>
          <w:w w:val="105"/>
          <w:sz w:val="17"/>
        </w:rPr>
        <w:t>este</w:t>
      </w:r>
      <w:r>
        <w:rPr>
          <w:rFonts w:ascii="Calibri" w:hAnsi="Calibri"/>
          <w:color w:val="231F20"/>
          <w:spacing w:val="-15"/>
          <w:w w:val="105"/>
          <w:sz w:val="17"/>
        </w:rPr>
        <w:t> </w:t>
      </w:r>
      <w:r>
        <w:rPr>
          <w:rFonts w:ascii="Calibri" w:hAnsi="Calibri"/>
          <w:color w:val="231F20"/>
          <w:w w:val="105"/>
          <w:sz w:val="17"/>
        </w:rPr>
        <w:t>nuevo</w:t>
      </w:r>
      <w:r>
        <w:rPr>
          <w:rFonts w:ascii="Calibri" w:hAnsi="Calibri"/>
          <w:color w:val="231F20"/>
          <w:spacing w:val="-15"/>
          <w:w w:val="105"/>
          <w:sz w:val="17"/>
        </w:rPr>
        <w:t> </w:t>
      </w:r>
      <w:r>
        <w:rPr>
          <w:rFonts w:ascii="Calibri" w:hAnsi="Calibri"/>
          <w:color w:val="231F20"/>
          <w:w w:val="105"/>
          <w:sz w:val="17"/>
        </w:rPr>
        <w:t>intervencionismo humanitario</w:t>
      </w:r>
      <w:r>
        <w:rPr>
          <w:rFonts w:ascii="Calibri" w:hAnsi="Calibri"/>
          <w:color w:val="231F20"/>
          <w:spacing w:val="-25"/>
          <w:w w:val="105"/>
          <w:sz w:val="17"/>
        </w:rPr>
        <w:t> </w:t>
      </w:r>
      <w:r>
        <w:rPr>
          <w:rFonts w:ascii="Calibri" w:hAnsi="Calibri"/>
          <w:color w:val="231F20"/>
          <w:w w:val="105"/>
          <w:sz w:val="17"/>
        </w:rPr>
        <w:t>véase</w:t>
      </w:r>
      <w:r>
        <w:rPr>
          <w:rFonts w:ascii="Calibri" w:hAnsi="Calibri"/>
          <w:color w:val="231F20"/>
          <w:spacing w:val="-24"/>
          <w:w w:val="105"/>
          <w:sz w:val="17"/>
        </w:rPr>
        <w:t> </w:t>
      </w:r>
      <w:r>
        <w:rPr>
          <w:rFonts w:ascii="Calibri" w:hAnsi="Calibri"/>
          <w:color w:val="231F20"/>
          <w:w w:val="105"/>
          <w:sz w:val="17"/>
        </w:rPr>
        <w:t>también</w:t>
      </w:r>
      <w:r>
        <w:rPr>
          <w:rFonts w:ascii="Calibri" w:hAnsi="Calibri"/>
          <w:color w:val="231F20"/>
          <w:spacing w:val="-24"/>
          <w:w w:val="105"/>
          <w:sz w:val="17"/>
        </w:rPr>
        <w:t> </w:t>
      </w:r>
      <w:r>
        <w:rPr>
          <w:rFonts w:ascii="Calibri" w:hAnsi="Calibri"/>
          <w:color w:val="231F20"/>
          <w:w w:val="105"/>
          <w:sz w:val="17"/>
        </w:rPr>
        <w:t>Chandler,</w:t>
      </w:r>
      <w:r>
        <w:rPr>
          <w:rFonts w:ascii="Calibri" w:hAnsi="Calibri"/>
          <w:color w:val="231F20"/>
          <w:spacing w:val="-24"/>
          <w:w w:val="105"/>
          <w:sz w:val="17"/>
        </w:rPr>
        <w:t> </w:t>
      </w:r>
      <w:r>
        <w:rPr>
          <w:rFonts w:ascii="Calibri" w:hAnsi="Calibri"/>
          <w:i/>
          <w:color w:val="231F20"/>
          <w:w w:val="105"/>
          <w:sz w:val="17"/>
        </w:rPr>
        <w:t>From</w:t>
      </w:r>
      <w:r>
        <w:rPr>
          <w:rFonts w:ascii="Calibri" w:hAnsi="Calibri"/>
          <w:i/>
          <w:color w:val="231F20"/>
          <w:spacing w:val="-24"/>
          <w:w w:val="105"/>
          <w:sz w:val="17"/>
        </w:rPr>
        <w:t> </w:t>
      </w:r>
      <w:r>
        <w:rPr>
          <w:rFonts w:ascii="Calibri" w:hAnsi="Calibri"/>
          <w:i/>
          <w:color w:val="231F20"/>
          <w:w w:val="105"/>
          <w:sz w:val="17"/>
        </w:rPr>
        <w:t>Kosovo</w:t>
      </w:r>
      <w:r>
        <w:rPr>
          <w:rFonts w:ascii="Calibri" w:hAnsi="Calibri"/>
          <w:i/>
          <w:color w:val="231F20"/>
          <w:spacing w:val="-24"/>
          <w:w w:val="105"/>
          <w:sz w:val="17"/>
        </w:rPr>
        <w:t> </w:t>
      </w:r>
      <w:r>
        <w:rPr>
          <w:rFonts w:ascii="Calibri" w:hAnsi="Calibri"/>
          <w:i/>
          <w:color w:val="231F20"/>
          <w:w w:val="105"/>
          <w:sz w:val="17"/>
        </w:rPr>
        <w:t>to</w:t>
      </w:r>
      <w:r>
        <w:rPr>
          <w:rFonts w:ascii="Calibri" w:hAnsi="Calibri"/>
          <w:i/>
          <w:color w:val="231F20"/>
          <w:spacing w:val="-24"/>
          <w:w w:val="105"/>
          <w:sz w:val="17"/>
        </w:rPr>
        <w:t> </w:t>
      </w:r>
      <w:r>
        <w:rPr>
          <w:rFonts w:ascii="Calibri" w:hAnsi="Calibri"/>
          <w:i/>
          <w:color w:val="231F20"/>
          <w:w w:val="105"/>
          <w:sz w:val="17"/>
        </w:rPr>
        <w:t>Kabul</w:t>
      </w:r>
      <w:r>
        <w:rPr>
          <w:rFonts w:ascii="Calibri" w:hAnsi="Calibri"/>
          <w:color w:val="231F20"/>
          <w:w w:val="105"/>
          <w:sz w:val="17"/>
        </w:rPr>
        <w:t>.</w:t>
      </w:r>
    </w:p>
    <w:p>
      <w:pPr>
        <w:spacing w:line="204" w:lineRule="exact" w:before="0"/>
        <w:ind w:left="117" w:right="101" w:firstLine="0"/>
        <w:jc w:val="both"/>
        <w:rPr>
          <w:rFonts w:ascii="Calibri" w:hAnsi="Calibri"/>
          <w:sz w:val="17"/>
        </w:rPr>
      </w:pPr>
      <w:r>
        <w:rPr>
          <w:rFonts w:ascii="Calibri" w:hAnsi="Calibri"/>
          <w:color w:val="231F20"/>
          <w:w w:val="105"/>
          <w:position w:val="6"/>
          <w:sz w:val="10"/>
        </w:rPr>
        <w:t>56 </w:t>
      </w:r>
      <w:r>
        <w:rPr>
          <w:rFonts w:ascii="Calibri" w:hAnsi="Calibri"/>
          <w:color w:val="231F20"/>
          <w:w w:val="105"/>
          <w:sz w:val="17"/>
        </w:rPr>
        <w:t>R.</w:t>
      </w:r>
      <w:r>
        <w:rPr>
          <w:rFonts w:ascii="Calibri" w:hAnsi="Calibri"/>
          <w:color w:val="231F20"/>
          <w:spacing w:val="-17"/>
          <w:w w:val="105"/>
          <w:sz w:val="17"/>
        </w:rPr>
        <w:t> </w:t>
      </w:r>
      <w:r>
        <w:rPr>
          <w:rFonts w:ascii="Calibri" w:hAnsi="Calibri"/>
          <w:color w:val="231F20"/>
          <w:w w:val="105"/>
          <w:sz w:val="17"/>
        </w:rPr>
        <w:t>Koselleck,</w:t>
      </w:r>
      <w:r>
        <w:rPr>
          <w:rFonts w:ascii="Calibri" w:hAnsi="Calibri"/>
          <w:color w:val="231F20"/>
          <w:spacing w:val="-17"/>
          <w:w w:val="105"/>
          <w:sz w:val="17"/>
        </w:rPr>
        <w:t> </w:t>
      </w:r>
      <w:r>
        <w:rPr>
          <w:rFonts w:ascii="Calibri" w:hAnsi="Calibri"/>
          <w:color w:val="231F20"/>
          <w:w w:val="105"/>
          <w:sz w:val="17"/>
        </w:rPr>
        <w:t>“Zur</w:t>
      </w:r>
      <w:r>
        <w:rPr>
          <w:rFonts w:ascii="Calibri" w:hAnsi="Calibri"/>
          <w:color w:val="231F20"/>
          <w:spacing w:val="-17"/>
          <w:w w:val="105"/>
          <w:sz w:val="17"/>
        </w:rPr>
        <w:t> </w:t>
      </w:r>
      <w:r>
        <w:rPr>
          <w:rFonts w:ascii="Calibri" w:hAnsi="Calibri"/>
          <w:color w:val="231F20"/>
          <w:w w:val="105"/>
          <w:sz w:val="17"/>
        </w:rPr>
        <w:t>historisch–politischen</w:t>
      </w:r>
      <w:r>
        <w:rPr>
          <w:rFonts w:ascii="Calibri" w:hAnsi="Calibri"/>
          <w:color w:val="231F20"/>
          <w:spacing w:val="-17"/>
          <w:w w:val="105"/>
          <w:sz w:val="17"/>
        </w:rPr>
        <w:t> </w:t>
      </w:r>
      <w:r>
        <w:rPr>
          <w:rFonts w:ascii="Calibri" w:hAnsi="Calibri"/>
          <w:color w:val="231F20"/>
          <w:w w:val="105"/>
          <w:sz w:val="17"/>
        </w:rPr>
        <w:t>semantik</w:t>
      </w:r>
      <w:r>
        <w:rPr>
          <w:rFonts w:ascii="Calibri" w:hAnsi="Calibri"/>
          <w:color w:val="231F20"/>
          <w:spacing w:val="-17"/>
          <w:w w:val="105"/>
          <w:sz w:val="17"/>
        </w:rPr>
        <w:t> </w:t>
      </w:r>
      <w:r>
        <w:rPr>
          <w:rFonts w:ascii="Calibri" w:hAnsi="Calibri"/>
          <w:color w:val="231F20"/>
          <w:w w:val="105"/>
          <w:sz w:val="17"/>
        </w:rPr>
        <w:t>asymmetrischer</w:t>
      </w:r>
      <w:r>
        <w:rPr>
          <w:rFonts w:ascii="Calibri" w:hAnsi="Calibri"/>
          <w:color w:val="231F20"/>
          <w:spacing w:val="-17"/>
          <w:w w:val="105"/>
          <w:sz w:val="17"/>
        </w:rPr>
        <w:t> </w:t>
      </w:r>
      <w:r>
        <w:rPr>
          <w:rFonts w:ascii="Calibri" w:hAnsi="Calibri"/>
          <w:color w:val="231F20"/>
          <w:w w:val="105"/>
          <w:sz w:val="17"/>
        </w:rPr>
        <w:t>Gegenbegriffe”,</w:t>
      </w:r>
      <w:r>
        <w:rPr>
          <w:rFonts w:ascii="Calibri" w:hAnsi="Calibri"/>
          <w:color w:val="231F20"/>
          <w:spacing w:val="-17"/>
          <w:w w:val="105"/>
          <w:sz w:val="17"/>
        </w:rPr>
        <w:t> </w:t>
      </w:r>
      <w:r>
        <w:rPr>
          <w:rFonts w:ascii="Calibri" w:hAnsi="Calibri"/>
          <w:i/>
          <w:color w:val="231F20"/>
          <w:w w:val="105"/>
          <w:sz w:val="17"/>
        </w:rPr>
        <w:t>Vergangene </w:t>
      </w:r>
      <w:r>
        <w:rPr>
          <w:rFonts w:ascii="Calibri" w:hAnsi="Calibri"/>
          <w:i/>
          <w:color w:val="231F20"/>
          <w:w w:val="105"/>
          <w:sz w:val="17"/>
        </w:rPr>
        <w:t>Zukunft.</w:t>
      </w:r>
      <w:r>
        <w:rPr>
          <w:rFonts w:ascii="Calibri" w:hAnsi="Calibri"/>
          <w:i/>
          <w:color w:val="231F20"/>
          <w:spacing w:val="-17"/>
          <w:w w:val="105"/>
          <w:sz w:val="17"/>
        </w:rPr>
        <w:t> </w:t>
      </w:r>
      <w:r>
        <w:rPr>
          <w:rFonts w:ascii="Calibri" w:hAnsi="Calibri"/>
          <w:i/>
          <w:color w:val="231F20"/>
          <w:w w:val="105"/>
          <w:sz w:val="17"/>
        </w:rPr>
        <w:t>Zur</w:t>
      </w:r>
      <w:r>
        <w:rPr>
          <w:rFonts w:ascii="Calibri" w:hAnsi="Calibri"/>
          <w:i/>
          <w:color w:val="231F20"/>
          <w:spacing w:val="-17"/>
          <w:w w:val="105"/>
          <w:sz w:val="17"/>
        </w:rPr>
        <w:t> </w:t>
      </w:r>
      <w:r>
        <w:rPr>
          <w:rFonts w:ascii="Calibri" w:hAnsi="Calibri"/>
          <w:i/>
          <w:color w:val="231F20"/>
          <w:w w:val="105"/>
          <w:sz w:val="17"/>
        </w:rPr>
        <w:t>Semantik</w:t>
      </w:r>
      <w:r>
        <w:rPr>
          <w:rFonts w:ascii="Calibri" w:hAnsi="Calibri"/>
          <w:i/>
          <w:color w:val="231F20"/>
          <w:spacing w:val="-17"/>
          <w:w w:val="105"/>
          <w:sz w:val="17"/>
        </w:rPr>
        <w:t> </w:t>
      </w:r>
      <w:r>
        <w:rPr>
          <w:rFonts w:ascii="Calibri" w:hAnsi="Calibri"/>
          <w:i/>
          <w:color w:val="231F20"/>
          <w:w w:val="105"/>
          <w:sz w:val="17"/>
        </w:rPr>
        <w:t>geschichtlicher</w:t>
      </w:r>
      <w:r>
        <w:rPr>
          <w:rFonts w:ascii="Calibri" w:hAnsi="Calibri"/>
          <w:i/>
          <w:color w:val="231F20"/>
          <w:spacing w:val="-17"/>
          <w:w w:val="105"/>
          <w:sz w:val="17"/>
        </w:rPr>
        <w:t> </w:t>
      </w:r>
      <w:r>
        <w:rPr>
          <w:rFonts w:ascii="Calibri" w:hAnsi="Calibri"/>
          <w:i/>
          <w:color w:val="231F20"/>
          <w:w w:val="105"/>
          <w:sz w:val="17"/>
        </w:rPr>
        <w:t>Zeiten</w:t>
      </w:r>
      <w:r>
        <w:rPr>
          <w:rFonts w:ascii="Calibri" w:hAnsi="Calibri"/>
          <w:color w:val="231F20"/>
          <w:w w:val="105"/>
          <w:sz w:val="17"/>
        </w:rPr>
        <w:t>,</w:t>
      </w:r>
      <w:r>
        <w:rPr>
          <w:rFonts w:ascii="Calibri" w:hAnsi="Calibri"/>
          <w:color w:val="231F20"/>
          <w:spacing w:val="-16"/>
          <w:w w:val="105"/>
          <w:sz w:val="17"/>
        </w:rPr>
        <w:t> </w:t>
      </w:r>
      <w:r>
        <w:rPr>
          <w:rFonts w:ascii="Calibri" w:hAnsi="Calibri"/>
          <w:color w:val="231F20"/>
          <w:w w:val="105"/>
          <w:sz w:val="17"/>
        </w:rPr>
        <w:t>Frankfurt</w:t>
      </w:r>
      <w:r>
        <w:rPr>
          <w:rFonts w:ascii="Calibri" w:hAnsi="Calibri"/>
          <w:color w:val="231F20"/>
          <w:spacing w:val="-16"/>
          <w:w w:val="105"/>
          <w:sz w:val="17"/>
        </w:rPr>
        <w:t> </w:t>
      </w:r>
      <w:r>
        <w:rPr>
          <w:rFonts w:ascii="Calibri" w:hAnsi="Calibri"/>
          <w:color w:val="231F20"/>
          <w:w w:val="105"/>
          <w:sz w:val="17"/>
        </w:rPr>
        <w:t>a.</w:t>
      </w:r>
      <w:r>
        <w:rPr>
          <w:rFonts w:ascii="Calibri" w:hAnsi="Calibri"/>
          <w:color w:val="231F20"/>
          <w:spacing w:val="-16"/>
          <w:w w:val="105"/>
          <w:sz w:val="17"/>
        </w:rPr>
        <w:t> </w:t>
      </w:r>
      <w:r>
        <w:rPr>
          <w:rFonts w:ascii="Calibri" w:hAnsi="Calibri"/>
          <w:color w:val="231F20"/>
          <w:w w:val="105"/>
          <w:sz w:val="17"/>
        </w:rPr>
        <w:t>Main,</w:t>
      </w:r>
      <w:r>
        <w:rPr>
          <w:rFonts w:ascii="Calibri" w:hAnsi="Calibri"/>
          <w:color w:val="231F20"/>
          <w:spacing w:val="-16"/>
          <w:w w:val="105"/>
          <w:sz w:val="17"/>
        </w:rPr>
        <w:t> </w:t>
      </w:r>
      <w:r>
        <w:rPr>
          <w:rFonts w:ascii="Calibri" w:hAnsi="Calibri"/>
          <w:color w:val="231F20"/>
          <w:w w:val="105"/>
          <w:sz w:val="17"/>
        </w:rPr>
        <w:t>Suhrkamp,</w:t>
      </w:r>
      <w:r>
        <w:rPr>
          <w:rFonts w:ascii="Calibri" w:hAnsi="Calibri"/>
          <w:color w:val="231F20"/>
          <w:spacing w:val="-16"/>
          <w:w w:val="105"/>
          <w:sz w:val="17"/>
        </w:rPr>
        <w:t> </w:t>
      </w:r>
      <w:r>
        <w:rPr>
          <w:rFonts w:ascii="Calibri" w:hAnsi="Calibri"/>
          <w:color w:val="231F20"/>
          <w:w w:val="105"/>
          <w:sz w:val="17"/>
        </w:rPr>
        <w:t>1979</w:t>
      </w:r>
      <w:r>
        <w:rPr>
          <w:rFonts w:ascii="Calibri" w:hAnsi="Calibri"/>
          <w:color w:val="231F20"/>
          <w:spacing w:val="-16"/>
          <w:w w:val="105"/>
          <w:sz w:val="17"/>
        </w:rPr>
        <w:t> </w:t>
      </w:r>
      <w:r>
        <w:rPr>
          <w:rFonts w:ascii="Calibri" w:hAnsi="Calibri"/>
          <w:color w:val="231F20"/>
          <w:w w:val="105"/>
          <w:sz w:val="17"/>
        </w:rPr>
        <w:t>(trad.</w:t>
      </w:r>
      <w:r>
        <w:rPr>
          <w:rFonts w:ascii="Calibri" w:hAnsi="Calibri"/>
          <w:color w:val="231F20"/>
          <w:spacing w:val="-16"/>
          <w:w w:val="105"/>
          <w:sz w:val="17"/>
        </w:rPr>
        <w:t> </w:t>
      </w:r>
      <w:r>
        <w:rPr>
          <w:rFonts w:ascii="Calibri" w:hAnsi="Calibri"/>
          <w:color w:val="231F20"/>
          <w:w w:val="105"/>
          <w:sz w:val="17"/>
        </w:rPr>
        <w:t>it.</w:t>
      </w:r>
      <w:r>
        <w:rPr>
          <w:rFonts w:ascii="Calibri" w:hAnsi="Calibri"/>
          <w:color w:val="231F20"/>
          <w:spacing w:val="-16"/>
          <w:w w:val="105"/>
          <w:sz w:val="17"/>
        </w:rPr>
        <w:t> </w:t>
      </w:r>
      <w:r>
        <w:rPr>
          <w:rFonts w:ascii="Calibri" w:hAnsi="Calibri"/>
          <w:i/>
          <w:color w:val="231F20"/>
          <w:w w:val="105"/>
          <w:sz w:val="17"/>
        </w:rPr>
        <w:t>Para</w:t>
      </w:r>
      <w:r>
        <w:rPr>
          <w:rFonts w:ascii="Calibri" w:hAnsi="Calibri"/>
          <w:i/>
          <w:color w:val="231F20"/>
          <w:spacing w:val="-17"/>
          <w:w w:val="105"/>
          <w:sz w:val="17"/>
        </w:rPr>
        <w:t> </w:t>
      </w:r>
      <w:r>
        <w:rPr>
          <w:rFonts w:ascii="Calibri" w:hAnsi="Calibri"/>
          <w:i/>
          <w:color w:val="231F20"/>
          <w:w w:val="105"/>
          <w:sz w:val="17"/>
        </w:rPr>
        <w:t>una </w:t>
      </w:r>
      <w:r>
        <w:rPr>
          <w:rFonts w:ascii="Calibri" w:hAnsi="Calibri"/>
          <w:i/>
          <w:color w:val="231F20"/>
          <w:w w:val="105"/>
          <w:sz w:val="17"/>
        </w:rPr>
        <w:t>semántica</w:t>
      </w:r>
      <w:r>
        <w:rPr>
          <w:rFonts w:ascii="Calibri" w:hAnsi="Calibri"/>
          <w:i/>
          <w:color w:val="231F20"/>
          <w:spacing w:val="-27"/>
          <w:w w:val="105"/>
          <w:sz w:val="17"/>
        </w:rPr>
        <w:t> </w:t>
      </w:r>
      <w:r>
        <w:rPr>
          <w:rFonts w:ascii="Calibri" w:hAnsi="Calibri"/>
          <w:i/>
          <w:color w:val="231F20"/>
          <w:w w:val="105"/>
          <w:sz w:val="17"/>
        </w:rPr>
        <w:t>histórico</w:t>
      </w:r>
      <w:r>
        <w:rPr>
          <w:rFonts w:ascii="Calibri" w:hAnsi="Calibri"/>
          <w:color w:val="231F20"/>
          <w:w w:val="105"/>
          <w:sz w:val="17"/>
        </w:rPr>
        <w:t>–</w:t>
      </w:r>
      <w:r>
        <w:rPr>
          <w:rFonts w:ascii="Calibri" w:hAnsi="Calibri"/>
          <w:i/>
          <w:color w:val="231F20"/>
          <w:w w:val="105"/>
          <w:sz w:val="17"/>
        </w:rPr>
        <w:t>poíitica</w:t>
      </w:r>
      <w:r>
        <w:rPr>
          <w:rFonts w:ascii="Calibri" w:hAnsi="Calibri"/>
          <w:i/>
          <w:color w:val="231F20"/>
          <w:spacing w:val="-27"/>
          <w:w w:val="105"/>
          <w:sz w:val="17"/>
        </w:rPr>
        <w:t> </w:t>
      </w:r>
      <w:r>
        <w:rPr>
          <w:rFonts w:ascii="Calibri" w:hAnsi="Calibri"/>
          <w:i/>
          <w:color w:val="231F20"/>
          <w:w w:val="105"/>
          <w:sz w:val="17"/>
        </w:rPr>
        <w:t>de</w:t>
      </w:r>
      <w:r>
        <w:rPr>
          <w:rFonts w:ascii="Calibri" w:hAnsi="Calibri"/>
          <w:i/>
          <w:color w:val="231F20"/>
          <w:spacing w:val="-27"/>
          <w:w w:val="105"/>
          <w:sz w:val="17"/>
        </w:rPr>
        <w:t> </w:t>
      </w:r>
      <w:r>
        <w:rPr>
          <w:rFonts w:ascii="Calibri" w:hAnsi="Calibri"/>
          <w:i/>
          <w:color w:val="231F20"/>
          <w:w w:val="105"/>
          <w:sz w:val="17"/>
        </w:rPr>
        <w:t>algunos</w:t>
      </w:r>
      <w:r>
        <w:rPr>
          <w:rFonts w:ascii="Calibri" w:hAnsi="Calibri"/>
          <w:i/>
          <w:color w:val="231F20"/>
          <w:spacing w:val="-27"/>
          <w:w w:val="105"/>
          <w:sz w:val="17"/>
        </w:rPr>
        <w:t> </w:t>
      </w:r>
      <w:r>
        <w:rPr>
          <w:rFonts w:ascii="Calibri" w:hAnsi="Calibri"/>
          <w:i/>
          <w:color w:val="231F20"/>
          <w:w w:val="105"/>
          <w:sz w:val="17"/>
        </w:rPr>
        <w:t>conceptos</w:t>
      </w:r>
      <w:r>
        <w:rPr>
          <w:rFonts w:ascii="Calibri" w:hAnsi="Calibri"/>
          <w:i/>
          <w:color w:val="231F20"/>
          <w:spacing w:val="-27"/>
          <w:w w:val="105"/>
          <w:sz w:val="17"/>
        </w:rPr>
        <w:t> </w:t>
      </w:r>
      <w:r>
        <w:rPr>
          <w:rFonts w:ascii="Calibri" w:hAnsi="Calibri"/>
          <w:i/>
          <w:color w:val="231F20"/>
          <w:w w:val="105"/>
          <w:sz w:val="17"/>
        </w:rPr>
        <w:t>antiéticos</w:t>
      </w:r>
      <w:r>
        <w:rPr>
          <w:rFonts w:ascii="Calibri" w:hAnsi="Calibri"/>
          <w:i/>
          <w:color w:val="231F20"/>
          <w:spacing w:val="-27"/>
          <w:w w:val="105"/>
          <w:sz w:val="17"/>
        </w:rPr>
        <w:t> </w:t>
      </w:r>
      <w:r>
        <w:rPr>
          <w:rFonts w:ascii="Calibri" w:hAnsi="Calibri"/>
          <w:i/>
          <w:color w:val="231F20"/>
          <w:w w:val="105"/>
          <w:sz w:val="17"/>
        </w:rPr>
        <w:t>asimétrico</w:t>
      </w:r>
      <w:r>
        <w:rPr>
          <w:rFonts w:ascii="Calibri" w:hAnsi="Calibri"/>
          <w:color w:val="231F20"/>
          <w:w w:val="105"/>
          <w:sz w:val="17"/>
        </w:rPr>
        <w:t>,</w:t>
      </w:r>
      <w:r>
        <w:rPr>
          <w:rFonts w:ascii="Calibri" w:hAnsi="Calibri"/>
          <w:color w:val="231F20"/>
          <w:spacing w:val="-26"/>
          <w:w w:val="105"/>
          <w:sz w:val="17"/>
        </w:rPr>
        <w:t> </w:t>
      </w:r>
      <w:r>
        <w:rPr>
          <w:rFonts w:ascii="Calibri" w:hAnsi="Calibri"/>
          <w:color w:val="231F20"/>
          <w:w w:val="105"/>
          <w:sz w:val="17"/>
        </w:rPr>
        <w:t>en</w:t>
      </w:r>
      <w:r>
        <w:rPr>
          <w:rFonts w:ascii="Calibri" w:hAnsi="Calibri"/>
          <w:color w:val="231F20"/>
          <w:spacing w:val="-26"/>
          <w:w w:val="105"/>
          <w:sz w:val="17"/>
        </w:rPr>
        <w:t> </w:t>
      </w:r>
      <w:r>
        <w:rPr>
          <w:rFonts w:ascii="Calibri" w:hAnsi="Calibri"/>
          <w:i/>
          <w:color w:val="231F20"/>
          <w:w w:val="105"/>
          <w:sz w:val="17"/>
        </w:rPr>
        <w:t>Futuro</w:t>
      </w:r>
      <w:r>
        <w:rPr>
          <w:rFonts w:ascii="Calibri" w:hAnsi="Calibri"/>
          <w:i/>
          <w:color w:val="231F20"/>
          <w:spacing w:val="-27"/>
          <w:w w:val="105"/>
          <w:sz w:val="17"/>
        </w:rPr>
        <w:t> </w:t>
      </w:r>
      <w:r>
        <w:rPr>
          <w:rFonts w:ascii="Calibri" w:hAnsi="Calibri"/>
          <w:i/>
          <w:color w:val="231F20"/>
          <w:w w:val="105"/>
          <w:sz w:val="17"/>
        </w:rPr>
        <w:t>passato.</w:t>
      </w:r>
      <w:r>
        <w:rPr>
          <w:rFonts w:ascii="Calibri" w:hAnsi="Calibri"/>
          <w:i/>
          <w:color w:val="231F20"/>
          <w:spacing w:val="-27"/>
          <w:w w:val="105"/>
          <w:sz w:val="17"/>
        </w:rPr>
        <w:t> </w:t>
      </w:r>
      <w:r>
        <w:rPr>
          <w:rFonts w:ascii="Calibri" w:hAnsi="Calibri"/>
          <w:i/>
          <w:color w:val="231F20"/>
          <w:w w:val="105"/>
          <w:sz w:val="17"/>
        </w:rPr>
        <w:t>Per</w:t>
      </w:r>
      <w:r>
        <w:rPr>
          <w:rFonts w:ascii="Calibri" w:hAnsi="Calibri"/>
          <w:i/>
          <w:color w:val="231F20"/>
          <w:spacing w:val="-27"/>
          <w:w w:val="105"/>
          <w:sz w:val="17"/>
        </w:rPr>
        <w:t> </w:t>
      </w:r>
      <w:r>
        <w:rPr>
          <w:rFonts w:ascii="Calibri" w:hAnsi="Calibri"/>
          <w:i/>
          <w:color w:val="231F20"/>
          <w:w w:val="105"/>
          <w:sz w:val="17"/>
        </w:rPr>
        <w:t>una </w:t>
      </w:r>
      <w:r>
        <w:rPr>
          <w:rFonts w:ascii="Calibri" w:hAnsi="Calibri"/>
          <w:i/>
          <w:color w:val="231F20"/>
          <w:sz w:val="17"/>
        </w:rPr>
        <w:t>semantica</w:t>
      </w:r>
      <w:r>
        <w:rPr>
          <w:rFonts w:ascii="Calibri" w:hAnsi="Calibri"/>
          <w:i/>
          <w:color w:val="231F20"/>
          <w:spacing w:val="-12"/>
          <w:sz w:val="17"/>
        </w:rPr>
        <w:t> </w:t>
      </w:r>
      <w:r>
        <w:rPr>
          <w:rFonts w:ascii="Calibri" w:hAnsi="Calibri"/>
          <w:i/>
          <w:color w:val="231F20"/>
          <w:sz w:val="17"/>
        </w:rPr>
        <w:t>dei</w:t>
      </w:r>
      <w:r>
        <w:rPr>
          <w:rFonts w:ascii="Calibri" w:hAnsi="Calibri"/>
          <w:i/>
          <w:color w:val="231F20"/>
          <w:spacing w:val="-12"/>
          <w:sz w:val="17"/>
        </w:rPr>
        <w:t> </w:t>
      </w:r>
      <w:r>
        <w:rPr>
          <w:rFonts w:ascii="Calibri" w:hAnsi="Calibri"/>
          <w:i/>
          <w:color w:val="231F20"/>
          <w:sz w:val="17"/>
        </w:rPr>
        <w:t>tempi</w:t>
      </w:r>
      <w:r>
        <w:rPr>
          <w:rFonts w:ascii="Calibri" w:hAnsi="Calibri"/>
          <w:i/>
          <w:color w:val="231F20"/>
          <w:spacing w:val="-12"/>
          <w:sz w:val="17"/>
        </w:rPr>
        <w:t> </w:t>
      </w:r>
      <w:r>
        <w:rPr>
          <w:rFonts w:ascii="Calibri" w:hAnsi="Calibri"/>
          <w:i/>
          <w:color w:val="231F20"/>
          <w:sz w:val="17"/>
        </w:rPr>
        <w:t>storici</w:t>
      </w:r>
      <w:r>
        <w:rPr>
          <w:rFonts w:ascii="Calibri" w:hAnsi="Calibri"/>
          <w:color w:val="231F20"/>
          <w:sz w:val="17"/>
        </w:rPr>
        <w:t>,</w:t>
      </w:r>
      <w:r>
        <w:rPr>
          <w:rFonts w:ascii="Calibri" w:hAnsi="Calibri"/>
          <w:color w:val="231F20"/>
          <w:spacing w:val="-12"/>
          <w:sz w:val="17"/>
        </w:rPr>
        <w:t> </w:t>
      </w:r>
      <w:r>
        <w:rPr>
          <w:rFonts w:ascii="Calibri" w:hAnsi="Calibri"/>
          <w:color w:val="231F20"/>
          <w:sz w:val="17"/>
        </w:rPr>
        <w:t>Genova,</w:t>
      </w:r>
      <w:r>
        <w:rPr>
          <w:rFonts w:ascii="Calibri" w:hAnsi="Calibri"/>
          <w:color w:val="231F20"/>
          <w:spacing w:val="-12"/>
          <w:sz w:val="17"/>
        </w:rPr>
        <w:t> </w:t>
      </w:r>
      <w:r>
        <w:rPr>
          <w:rFonts w:ascii="Calibri" w:hAnsi="Calibri"/>
          <w:color w:val="231F20"/>
          <w:sz w:val="17"/>
        </w:rPr>
        <w:t>Marietti,</w:t>
      </w:r>
      <w:r>
        <w:rPr>
          <w:rFonts w:ascii="Calibri" w:hAnsi="Calibri"/>
          <w:color w:val="231F20"/>
          <w:spacing w:val="-12"/>
          <w:sz w:val="17"/>
        </w:rPr>
        <w:t> </w:t>
      </w:r>
      <w:r>
        <w:rPr>
          <w:rFonts w:ascii="Calibri" w:hAnsi="Calibri"/>
          <w:color w:val="231F20"/>
          <w:sz w:val="17"/>
        </w:rPr>
        <w:t>1986,</w:t>
      </w:r>
      <w:r>
        <w:rPr>
          <w:rFonts w:ascii="Calibri" w:hAnsi="Calibri"/>
          <w:color w:val="231F20"/>
          <w:spacing w:val="-12"/>
          <w:sz w:val="17"/>
        </w:rPr>
        <w:t> </w:t>
      </w:r>
      <w:r>
        <w:rPr>
          <w:rFonts w:ascii="Calibri" w:hAnsi="Calibri"/>
          <w:color w:val="231F20"/>
          <w:sz w:val="17"/>
        </w:rPr>
        <w:t>pp.</w:t>
      </w:r>
      <w:r>
        <w:rPr>
          <w:rFonts w:ascii="Calibri" w:hAnsi="Calibri"/>
          <w:color w:val="231F20"/>
          <w:spacing w:val="-12"/>
          <w:sz w:val="17"/>
        </w:rPr>
        <w:t> </w:t>
      </w:r>
      <w:r>
        <w:rPr>
          <w:rFonts w:ascii="Calibri" w:hAnsi="Calibri"/>
          <w:color w:val="231F20"/>
          <w:sz w:val="17"/>
        </w:rPr>
        <w:t>181–189).</w:t>
      </w:r>
    </w:p>
    <w:p>
      <w:pPr>
        <w:spacing w:line="206" w:lineRule="exact" w:before="1"/>
        <w:ind w:left="117" w:right="0" w:firstLine="0"/>
        <w:jc w:val="both"/>
        <w:rPr>
          <w:rFonts w:ascii="Calibri" w:hAnsi="Calibri"/>
          <w:sz w:val="17"/>
        </w:rPr>
      </w:pPr>
      <w:r>
        <w:rPr>
          <w:rFonts w:ascii="Calibri" w:hAnsi="Calibri"/>
          <w:color w:val="231F20"/>
          <w:position w:val="6"/>
          <w:sz w:val="10"/>
        </w:rPr>
        <w:t>57  </w:t>
      </w:r>
      <w:r>
        <w:rPr>
          <w:rFonts w:ascii="Calibri" w:hAnsi="Calibri"/>
          <w:color w:val="231F20"/>
          <w:sz w:val="17"/>
        </w:rPr>
        <w:t>T. Nardin, “Humanitarian Imperialism”, </w:t>
      </w:r>
      <w:r>
        <w:rPr>
          <w:rFonts w:ascii="Calibri" w:hAnsi="Calibri"/>
          <w:i/>
          <w:color w:val="231F20"/>
          <w:sz w:val="17"/>
        </w:rPr>
        <w:t>Ethics &amp; International Relations</w:t>
      </w:r>
      <w:r>
        <w:rPr>
          <w:rFonts w:ascii="Calibri" w:hAnsi="Calibri"/>
          <w:color w:val="231F20"/>
          <w:sz w:val="17"/>
        </w:rPr>
        <w:t>, 19, 2, 2005, p. 25.</w:t>
      </w:r>
    </w:p>
    <w:p>
      <w:pPr>
        <w:spacing w:line="235" w:lineRule="auto" w:before="1"/>
        <w:ind w:left="117" w:right="102" w:firstLine="0"/>
        <w:jc w:val="both"/>
        <w:rPr>
          <w:rFonts w:ascii="Calibri" w:hAnsi="Calibri"/>
          <w:sz w:val="17"/>
        </w:rPr>
      </w:pPr>
      <w:r>
        <w:rPr>
          <w:rFonts w:ascii="Calibri" w:hAnsi="Calibri"/>
          <w:color w:val="231F20"/>
          <w:w w:val="105"/>
          <w:position w:val="6"/>
          <w:sz w:val="10"/>
        </w:rPr>
        <w:t>58</w:t>
      </w:r>
      <w:r>
        <w:rPr>
          <w:rFonts w:ascii="Calibri" w:hAnsi="Calibri"/>
          <w:color w:val="231F20"/>
          <w:spacing w:val="-1"/>
          <w:w w:val="105"/>
          <w:position w:val="6"/>
          <w:sz w:val="10"/>
        </w:rPr>
        <w:t> </w:t>
      </w:r>
      <w:r>
        <w:rPr>
          <w:rFonts w:ascii="Calibri" w:hAnsi="Calibri"/>
          <w:color w:val="231F20"/>
          <w:w w:val="105"/>
          <w:sz w:val="17"/>
        </w:rPr>
        <w:t>Zolo,</w:t>
      </w:r>
      <w:r>
        <w:rPr>
          <w:rFonts w:ascii="Calibri" w:hAnsi="Calibri"/>
          <w:color w:val="231F20"/>
          <w:spacing w:val="-18"/>
          <w:w w:val="105"/>
          <w:sz w:val="17"/>
        </w:rPr>
        <w:t> </w:t>
      </w:r>
      <w:r>
        <w:rPr>
          <w:rFonts w:ascii="Calibri" w:hAnsi="Calibri"/>
          <w:i/>
          <w:color w:val="231F20"/>
          <w:w w:val="105"/>
          <w:sz w:val="17"/>
        </w:rPr>
        <w:t>La</w:t>
      </w:r>
      <w:r>
        <w:rPr>
          <w:rFonts w:ascii="Calibri" w:hAnsi="Calibri"/>
          <w:i/>
          <w:color w:val="231F20"/>
          <w:spacing w:val="-18"/>
          <w:w w:val="105"/>
          <w:sz w:val="17"/>
        </w:rPr>
        <w:t> </w:t>
      </w:r>
      <w:r>
        <w:rPr>
          <w:rFonts w:ascii="Calibri" w:hAnsi="Calibri"/>
          <w:i/>
          <w:color w:val="231F20"/>
          <w:w w:val="105"/>
          <w:sz w:val="17"/>
        </w:rPr>
        <w:t>giustizia</w:t>
      </w:r>
      <w:r>
        <w:rPr>
          <w:rFonts w:ascii="Calibri" w:hAnsi="Calibri"/>
          <w:i/>
          <w:color w:val="231F20"/>
          <w:spacing w:val="-18"/>
          <w:w w:val="105"/>
          <w:sz w:val="17"/>
        </w:rPr>
        <w:t> </w:t>
      </w:r>
      <w:r>
        <w:rPr>
          <w:rFonts w:ascii="Calibri" w:hAnsi="Calibri"/>
          <w:i/>
          <w:color w:val="231F20"/>
          <w:w w:val="105"/>
          <w:sz w:val="17"/>
        </w:rPr>
        <w:t>dei</w:t>
      </w:r>
      <w:r>
        <w:rPr>
          <w:rFonts w:ascii="Calibri" w:hAnsi="Calibri"/>
          <w:i/>
          <w:color w:val="231F20"/>
          <w:spacing w:val="-19"/>
          <w:w w:val="105"/>
          <w:sz w:val="17"/>
        </w:rPr>
        <w:t> </w:t>
      </w:r>
      <w:r>
        <w:rPr>
          <w:rFonts w:ascii="Calibri" w:hAnsi="Calibri"/>
          <w:i/>
          <w:color w:val="231F20"/>
          <w:w w:val="105"/>
          <w:sz w:val="17"/>
        </w:rPr>
        <w:t>vincitori</w:t>
      </w:r>
      <w:r>
        <w:rPr>
          <w:rFonts w:ascii="Calibri" w:hAnsi="Calibri"/>
          <w:color w:val="231F20"/>
          <w:w w:val="105"/>
          <w:sz w:val="17"/>
        </w:rPr>
        <w:t>,</w:t>
      </w:r>
      <w:r>
        <w:rPr>
          <w:rFonts w:ascii="Calibri" w:hAnsi="Calibri"/>
          <w:color w:val="231F20"/>
          <w:spacing w:val="-18"/>
          <w:w w:val="105"/>
          <w:sz w:val="17"/>
        </w:rPr>
        <w:t> </w:t>
      </w:r>
      <w:r>
        <w:rPr>
          <w:rFonts w:ascii="Calibri" w:hAnsi="Calibri"/>
          <w:color w:val="231F20"/>
          <w:w w:val="105"/>
          <w:sz w:val="17"/>
        </w:rPr>
        <w:t>pp.</w:t>
      </w:r>
      <w:r>
        <w:rPr>
          <w:rFonts w:ascii="Calibri" w:hAnsi="Calibri"/>
          <w:color w:val="231F20"/>
          <w:spacing w:val="-18"/>
          <w:w w:val="105"/>
          <w:sz w:val="17"/>
        </w:rPr>
        <w:t> </w:t>
      </w:r>
      <w:r>
        <w:rPr>
          <w:rFonts w:ascii="Calibri" w:hAnsi="Calibri"/>
          <w:color w:val="231F20"/>
          <w:w w:val="105"/>
          <w:sz w:val="17"/>
        </w:rPr>
        <w:t>125–126.</w:t>
      </w:r>
      <w:r>
        <w:rPr>
          <w:rFonts w:ascii="Calibri" w:hAnsi="Calibri"/>
          <w:color w:val="231F20"/>
          <w:spacing w:val="-18"/>
          <w:w w:val="105"/>
          <w:sz w:val="17"/>
        </w:rPr>
        <w:t> </w:t>
      </w:r>
      <w:r>
        <w:rPr>
          <w:rFonts w:ascii="Calibri" w:hAnsi="Calibri"/>
          <w:color w:val="231F20"/>
          <w:w w:val="105"/>
          <w:sz w:val="17"/>
        </w:rPr>
        <w:t>Según</w:t>
      </w:r>
      <w:r>
        <w:rPr>
          <w:rFonts w:ascii="Calibri" w:hAnsi="Calibri"/>
          <w:color w:val="231F20"/>
          <w:spacing w:val="-18"/>
          <w:w w:val="105"/>
          <w:sz w:val="17"/>
        </w:rPr>
        <w:t> </w:t>
      </w:r>
      <w:r>
        <w:rPr>
          <w:rFonts w:ascii="Calibri" w:hAnsi="Calibri"/>
          <w:color w:val="231F20"/>
          <w:w w:val="105"/>
          <w:sz w:val="17"/>
        </w:rPr>
        <w:t>esta</w:t>
      </w:r>
      <w:r>
        <w:rPr>
          <w:rFonts w:ascii="Calibri" w:hAnsi="Calibri"/>
          <w:color w:val="231F20"/>
          <w:spacing w:val="-18"/>
          <w:w w:val="105"/>
          <w:sz w:val="17"/>
        </w:rPr>
        <w:t> </w:t>
      </w:r>
      <w:r>
        <w:rPr>
          <w:rFonts w:ascii="Calibri" w:hAnsi="Calibri"/>
          <w:color w:val="231F20"/>
          <w:w w:val="105"/>
          <w:sz w:val="17"/>
        </w:rPr>
        <w:t>lectura,</w:t>
      </w:r>
      <w:r>
        <w:rPr>
          <w:rFonts w:ascii="Calibri" w:hAnsi="Calibri"/>
          <w:color w:val="231F20"/>
          <w:spacing w:val="-18"/>
          <w:w w:val="105"/>
          <w:sz w:val="17"/>
        </w:rPr>
        <w:t> </w:t>
      </w:r>
      <w:r>
        <w:rPr>
          <w:rFonts w:ascii="Calibri" w:hAnsi="Calibri"/>
          <w:color w:val="231F20"/>
          <w:w w:val="105"/>
          <w:sz w:val="17"/>
        </w:rPr>
        <w:t>un</w:t>
      </w:r>
      <w:r>
        <w:rPr>
          <w:rFonts w:ascii="Calibri" w:hAnsi="Calibri"/>
          <w:color w:val="231F20"/>
          <w:spacing w:val="-18"/>
          <w:w w:val="105"/>
          <w:sz w:val="17"/>
        </w:rPr>
        <w:t> </w:t>
      </w:r>
      <w:r>
        <w:rPr>
          <w:rFonts w:ascii="Calibri" w:hAnsi="Calibri"/>
          <w:color w:val="231F20"/>
          <w:w w:val="105"/>
          <w:sz w:val="17"/>
        </w:rPr>
        <w:t>poder</w:t>
      </w:r>
      <w:r>
        <w:rPr>
          <w:rFonts w:ascii="Calibri" w:hAnsi="Calibri"/>
          <w:color w:val="231F20"/>
          <w:spacing w:val="-18"/>
          <w:w w:val="105"/>
          <w:sz w:val="17"/>
        </w:rPr>
        <w:t> </w:t>
      </w:r>
      <w:r>
        <w:rPr>
          <w:rFonts w:ascii="Calibri" w:hAnsi="Calibri"/>
          <w:color w:val="231F20"/>
          <w:w w:val="105"/>
          <w:sz w:val="17"/>
        </w:rPr>
        <w:t>imperial</w:t>
      </w:r>
      <w:r>
        <w:rPr>
          <w:rFonts w:ascii="Calibri" w:hAnsi="Calibri"/>
          <w:color w:val="231F20"/>
          <w:spacing w:val="-18"/>
          <w:w w:val="105"/>
          <w:sz w:val="17"/>
        </w:rPr>
        <w:t> </w:t>
      </w:r>
      <w:r>
        <w:rPr>
          <w:rFonts w:ascii="Calibri" w:hAnsi="Calibri"/>
          <w:color w:val="231F20"/>
          <w:w w:val="105"/>
          <w:sz w:val="17"/>
        </w:rPr>
        <w:t>es</w:t>
      </w:r>
      <w:r>
        <w:rPr>
          <w:rFonts w:ascii="Calibri" w:hAnsi="Calibri"/>
          <w:color w:val="231F20"/>
          <w:spacing w:val="-18"/>
          <w:w w:val="105"/>
          <w:sz w:val="17"/>
        </w:rPr>
        <w:t> </w:t>
      </w:r>
      <w:r>
        <w:rPr>
          <w:rFonts w:ascii="Calibri" w:hAnsi="Calibri"/>
          <w:color w:val="231F20"/>
          <w:w w:val="105"/>
          <w:sz w:val="17"/>
        </w:rPr>
        <w:t>por</w:t>
      </w:r>
      <w:r>
        <w:rPr>
          <w:rFonts w:ascii="Calibri" w:hAnsi="Calibri"/>
          <w:color w:val="231F20"/>
          <w:spacing w:val="-18"/>
          <w:w w:val="105"/>
          <w:sz w:val="17"/>
        </w:rPr>
        <w:t> </w:t>
      </w:r>
      <w:r>
        <w:rPr>
          <w:rFonts w:ascii="Calibri" w:hAnsi="Calibri"/>
          <w:color w:val="231F20"/>
          <w:w w:val="105"/>
          <w:sz w:val="17"/>
        </w:rPr>
        <w:t>principio l</w:t>
      </w:r>
      <w:r>
        <w:rPr>
          <w:rFonts w:ascii="Calibri" w:hAnsi="Calibri"/>
          <w:i/>
          <w:color w:val="231F20"/>
          <w:w w:val="105"/>
          <w:sz w:val="17"/>
        </w:rPr>
        <w:t>egibus</w:t>
      </w:r>
      <w:r>
        <w:rPr>
          <w:rFonts w:ascii="Calibri" w:hAnsi="Calibri"/>
          <w:i/>
          <w:color w:val="231F20"/>
          <w:spacing w:val="-7"/>
          <w:w w:val="105"/>
          <w:sz w:val="17"/>
        </w:rPr>
        <w:t> </w:t>
      </w:r>
      <w:r>
        <w:rPr>
          <w:rFonts w:ascii="Calibri" w:hAnsi="Calibri"/>
          <w:i/>
          <w:color w:val="231F20"/>
          <w:w w:val="105"/>
          <w:sz w:val="17"/>
        </w:rPr>
        <w:t>solutus</w:t>
      </w:r>
      <w:r>
        <w:rPr>
          <w:rFonts w:ascii="Calibri" w:hAnsi="Calibri"/>
          <w:color w:val="231F20"/>
          <w:w w:val="105"/>
          <w:sz w:val="17"/>
        </w:rPr>
        <w:t>:</w:t>
      </w:r>
      <w:r>
        <w:rPr>
          <w:rFonts w:ascii="Calibri" w:hAnsi="Calibri"/>
          <w:color w:val="231F20"/>
          <w:spacing w:val="-6"/>
          <w:w w:val="105"/>
          <w:sz w:val="17"/>
        </w:rPr>
        <w:t> </w:t>
      </w:r>
      <w:r>
        <w:rPr>
          <w:rFonts w:ascii="Calibri" w:hAnsi="Calibri"/>
          <w:color w:val="231F20"/>
          <w:spacing w:val="-3"/>
          <w:w w:val="105"/>
          <w:sz w:val="17"/>
        </w:rPr>
        <w:t>“el</w:t>
      </w:r>
      <w:r>
        <w:rPr>
          <w:rFonts w:ascii="Calibri" w:hAnsi="Calibri"/>
          <w:color w:val="231F20"/>
          <w:spacing w:val="-6"/>
          <w:w w:val="105"/>
          <w:sz w:val="17"/>
        </w:rPr>
        <w:t> </w:t>
      </w:r>
      <w:r>
        <w:rPr>
          <w:rFonts w:ascii="Calibri" w:hAnsi="Calibri"/>
          <w:color w:val="231F20"/>
          <w:w w:val="105"/>
          <w:sz w:val="17"/>
        </w:rPr>
        <w:t>emperador</w:t>
      </w:r>
      <w:r>
        <w:rPr>
          <w:rFonts w:ascii="Calibri" w:hAnsi="Calibri"/>
          <w:color w:val="231F20"/>
          <w:spacing w:val="-6"/>
          <w:w w:val="105"/>
          <w:sz w:val="17"/>
        </w:rPr>
        <w:t> </w:t>
      </w:r>
      <w:r>
        <w:rPr>
          <w:rFonts w:ascii="Calibri" w:hAnsi="Calibri"/>
          <w:color w:val="231F20"/>
          <w:w w:val="105"/>
          <w:sz w:val="17"/>
        </w:rPr>
        <w:t>decide</w:t>
      </w:r>
      <w:r>
        <w:rPr>
          <w:rFonts w:ascii="Calibri" w:hAnsi="Calibri"/>
          <w:color w:val="231F20"/>
          <w:spacing w:val="-6"/>
          <w:w w:val="105"/>
          <w:sz w:val="17"/>
        </w:rPr>
        <w:t> </w:t>
      </w:r>
      <w:r>
        <w:rPr>
          <w:rFonts w:ascii="Calibri" w:hAnsi="Calibri"/>
          <w:color w:val="231F20"/>
          <w:w w:val="105"/>
          <w:sz w:val="17"/>
        </w:rPr>
        <w:t>a</w:t>
      </w:r>
      <w:r>
        <w:rPr>
          <w:rFonts w:ascii="Calibri" w:hAnsi="Calibri"/>
          <w:color w:val="231F20"/>
          <w:spacing w:val="-8"/>
          <w:w w:val="105"/>
          <w:sz w:val="17"/>
        </w:rPr>
        <w:t> </w:t>
      </w:r>
      <w:r>
        <w:rPr>
          <w:rFonts w:ascii="Calibri" w:hAnsi="Calibri"/>
          <w:color w:val="231F20"/>
          <w:w w:val="105"/>
          <w:sz w:val="17"/>
        </w:rPr>
        <w:t>veces</w:t>
      </w:r>
      <w:r>
        <w:rPr>
          <w:rFonts w:ascii="Calibri" w:hAnsi="Calibri"/>
          <w:color w:val="231F20"/>
          <w:spacing w:val="-6"/>
          <w:w w:val="105"/>
          <w:sz w:val="17"/>
        </w:rPr>
        <w:t> </w:t>
      </w:r>
      <w:r>
        <w:rPr>
          <w:rFonts w:ascii="Calibri" w:hAnsi="Calibri"/>
          <w:color w:val="231F20"/>
          <w:w w:val="105"/>
          <w:sz w:val="17"/>
        </w:rPr>
        <w:t>sobre</w:t>
      </w:r>
      <w:r>
        <w:rPr>
          <w:rFonts w:ascii="Calibri" w:hAnsi="Calibri"/>
          <w:color w:val="231F20"/>
          <w:spacing w:val="-6"/>
          <w:w w:val="105"/>
          <w:sz w:val="17"/>
        </w:rPr>
        <w:t> </w:t>
      </w:r>
      <w:r>
        <w:rPr>
          <w:rFonts w:ascii="Calibri" w:hAnsi="Calibri"/>
          <w:color w:val="231F20"/>
          <w:w w:val="105"/>
          <w:sz w:val="17"/>
        </w:rPr>
        <w:t>los</w:t>
      </w:r>
      <w:r>
        <w:rPr>
          <w:rFonts w:ascii="Calibri" w:hAnsi="Calibri"/>
          <w:color w:val="231F20"/>
          <w:spacing w:val="-6"/>
          <w:w w:val="105"/>
          <w:sz w:val="17"/>
        </w:rPr>
        <w:t> </w:t>
      </w:r>
      <w:r>
        <w:rPr>
          <w:rFonts w:ascii="Calibri" w:hAnsi="Calibri"/>
          <w:color w:val="231F20"/>
          <w:w w:val="105"/>
          <w:sz w:val="17"/>
        </w:rPr>
        <w:t>casos</w:t>
      </w:r>
      <w:r>
        <w:rPr>
          <w:rFonts w:ascii="Calibri" w:hAnsi="Calibri"/>
          <w:color w:val="231F20"/>
          <w:spacing w:val="-6"/>
          <w:w w:val="105"/>
          <w:sz w:val="17"/>
        </w:rPr>
        <w:t> </w:t>
      </w:r>
      <w:r>
        <w:rPr>
          <w:rFonts w:ascii="Calibri" w:hAnsi="Calibri"/>
          <w:color w:val="231F20"/>
          <w:w w:val="105"/>
          <w:sz w:val="17"/>
        </w:rPr>
        <w:t>particulares,</w:t>
      </w:r>
      <w:r>
        <w:rPr>
          <w:rFonts w:ascii="Calibri" w:hAnsi="Calibri"/>
          <w:color w:val="231F20"/>
          <w:spacing w:val="-6"/>
          <w:w w:val="105"/>
          <w:sz w:val="17"/>
        </w:rPr>
        <w:t> </w:t>
      </w:r>
      <w:r>
        <w:rPr>
          <w:rFonts w:ascii="Calibri" w:hAnsi="Calibri"/>
          <w:color w:val="231F20"/>
          <w:w w:val="105"/>
          <w:sz w:val="17"/>
        </w:rPr>
        <w:t>pero</w:t>
      </w:r>
      <w:r>
        <w:rPr>
          <w:rFonts w:ascii="Calibri" w:hAnsi="Calibri"/>
          <w:color w:val="231F20"/>
          <w:spacing w:val="-6"/>
          <w:w w:val="105"/>
          <w:sz w:val="17"/>
        </w:rPr>
        <w:t> </w:t>
      </w:r>
      <w:r>
        <w:rPr>
          <w:rFonts w:ascii="Calibri" w:hAnsi="Calibri"/>
          <w:color w:val="231F20"/>
          <w:w w:val="105"/>
          <w:sz w:val="17"/>
        </w:rPr>
        <w:t>no</w:t>
      </w:r>
      <w:r>
        <w:rPr>
          <w:rFonts w:ascii="Calibri" w:hAnsi="Calibri"/>
          <w:color w:val="231F20"/>
          <w:spacing w:val="-6"/>
          <w:w w:val="105"/>
          <w:sz w:val="17"/>
        </w:rPr>
        <w:t> </w:t>
      </w:r>
      <w:r>
        <w:rPr>
          <w:rFonts w:ascii="Calibri" w:hAnsi="Calibri"/>
          <w:color w:val="231F20"/>
          <w:w w:val="105"/>
          <w:sz w:val="17"/>
        </w:rPr>
        <w:t>fija</w:t>
      </w:r>
      <w:r>
        <w:rPr>
          <w:rFonts w:ascii="Calibri" w:hAnsi="Calibri"/>
          <w:color w:val="231F20"/>
          <w:spacing w:val="-6"/>
          <w:w w:val="105"/>
          <w:sz w:val="17"/>
        </w:rPr>
        <w:t> </w:t>
      </w:r>
      <w:r>
        <w:rPr>
          <w:rFonts w:ascii="Calibri" w:hAnsi="Calibri"/>
          <w:color w:val="231F20"/>
          <w:w w:val="105"/>
          <w:sz w:val="17"/>
        </w:rPr>
        <w:t>principios normativos</w:t>
      </w:r>
      <w:r>
        <w:rPr>
          <w:rFonts w:ascii="Calibri" w:hAnsi="Calibri"/>
          <w:color w:val="231F20"/>
          <w:spacing w:val="-19"/>
          <w:w w:val="105"/>
          <w:sz w:val="17"/>
        </w:rPr>
        <w:t> </w:t>
      </w:r>
      <w:r>
        <w:rPr>
          <w:rFonts w:ascii="Calibri" w:hAnsi="Calibri"/>
          <w:color w:val="231F20"/>
          <w:w w:val="105"/>
          <w:sz w:val="17"/>
        </w:rPr>
        <w:t>de</w:t>
      </w:r>
      <w:r>
        <w:rPr>
          <w:rFonts w:ascii="Calibri" w:hAnsi="Calibri"/>
          <w:color w:val="231F20"/>
          <w:spacing w:val="-19"/>
          <w:w w:val="105"/>
          <w:sz w:val="17"/>
        </w:rPr>
        <w:t> </w:t>
      </w:r>
      <w:r>
        <w:rPr>
          <w:rFonts w:ascii="Calibri" w:hAnsi="Calibri"/>
          <w:color w:val="231F20"/>
          <w:w w:val="105"/>
          <w:sz w:val="17"/>
        </w:rPr>
        <w:t>carácter</w:t>
      </w:r>
      <w:r>
        <w:rPr>
          <w:rFonts w:ascii="Calibri" w:hAnsi="Calibri"/>
          <w:color w:val="231F20"/>
          <w:spacing w:val="-19"/>
          <w:w w:val="105"/>
          <w:sz w:val="17"/>
        </w:rPr>
        <w:t> </w:t>
      </w:r>
      <w:r>
        <w:rPr>
          <w:rFonts w:ascii="Calibri" w:hAnsi="Calibri"/>
          <w:color w:val="231F20"/>
          <w:w w:val="105"/>
          <w:sz w:val="17"/>
        </w:rPr>
        <w:t>absoluto</w:t>
      </w:r>
      <w:r>
        <w:rPr>
          <w:rFonts w:ascii="Calibri" w:hAnsi="Calibri"/>
          <w:color w:val="231F20"/>
          <w:spacing w:val="-19"/>
          <w:w w:val="105"/>
          <w:sz w:val="17"/>
        </w:rPr>
        <w:t> </w:t>
      </w:r>
      <w:r>
        <w:rPr>
          <w:rFonts w:ascii="Calibri" w:hAnsi="Calibri"/>
          <w:color w:val="231F20"/>
          <w:w w:val="105"/>
          <w:sz w:val="17"/>
        </w:rPr>
        <w:t>ni</w:t>
      </w:r>
      <w:r>
        <w:rPr>
          <w:rFonts w:ascii="Calibri" w:hAnsi="Calibri"/>
          <w:color w:val="231F20"/>
          <w:spacing w:val="-19"/>
          <w:w w:val="105"/>
          <w:sz w:val="17"/>
        </w:rPr>
        <w:t> </w:t>
      </w:r>
      <w:r>
        <w:rPr>
          <w:rFonts w:ascii="Calibri" w:hAnsi="Calibri"/>
          <w:color w:val="231F20"/>
          <w:w w:val="105"/>
          <w:sz w:val="17"/>
        </w:rPr>
        <w:t>se</w:t>
      </w:r>
      <w:r>
        <w:rPr>
          <w:rFonts w:ascii="Calibri" w:hAnsi="Calibri"/>
          <w:color w:val="231F20"/>
          <w:spacing w:val="-19"/>
          <w:w w:val="105"/>
          <w:sz w:val="17"/>
        </w:rPr>
        <w:t> </w:t>
      </w:r>
      <w:r>
        <w:rPr>
          <w:rFonts w:ascii="Calibri" w:hAnsi="Calibri"/>
          <w:color w:val="231F20"/>
          <w:w w:val="105"/>
          <w:sz w:val="17"/>
        </w:rPr>
        <w:t>compromete</w:t>
      </w:r>
      <w:r>
        <w:rPr>
          <w:rFonts w:ascii="Calibri" w:hAnsi="Calibri"/>
          <w:color w:val="231F20"/>
          <w:spacing w:val="-19"/>
          <w:w w:val="105"/>
          <w:sz w:val="17"/>
        </w:rPr>
        <w:t> </w:t>
      </w:r>
      <w:r>
        <w:rPr>
          <w:rFonts w:ascii="Calibri" w:hAnsi="Calibri"/>
          <w:color w:val="231F20"/>
          <w:w w:val="105"/>
          <w:sz w:val="17"/>
        </w:rPr>
        <w:t>al</w:t>
      </w:r>
      <w:r>
        <w:rPr>
          <w:rFonts w:ascii="Calibri" w:hAnsi="Calibri"/>
          <w:color w:val="231F20"/>
          <w:spacing w:val="-19"/>
          <w:w w:val="105"/>
          <w:sz w:val="17"/>
        </w:rPr>
        <w:t> </w:t>
      </w:r>
      <w:r>
        <w:rPr>
          <w:rFonts w:ascii="Calibri" w:hAnsi="Calibri"/>
          <w:color w:val="231F20"/>
          <w:w w:val="105"/>
          <w:sz w:val="17"/>
        </w:rPr>
        <w:t>respeto</w:t>
      </w:r>
      <w:r>
        <w:rPr>
          <w:rFonts w:ascii="Calibri" w:hAnsi="Calibri"/>
          <w:color w:val="231F20"/>
          <w:spacing w:val="-19"/>
          <w:w w:val="105"/>
          <w:sz w:val="17"/>
        </w:rPr>
        <w:t> </w:t>
      </w:r>
      <w:r>
        <w:rPr>
          <w:rFonts w:ascii="Calibri" w:hAnsi="Calibri"/>
          <w:color w:val="231F20"/>
          <w:w w:val="105"/>
          <w:sz w:val="17"/>
        </w:rPr>
        <w:t>de</w:t>
      </w:r>
      <w:r>
        <w:rPr>
          <w:rFonts w:ascii="Calibri" w:hAnsi="Calibri"/>
          <w:color w:val="231F20"/>
          <w:spacing w:val="-19"/>
          <w:w w:val="105"/>
          <w:sz w:val="17"/>
        </w:rPr>
        <w:t> </w:t>
      </w:r>
      <w:r>
        <w:rPr>
          <w:rFonts w:ascii="Calibri" w:hAnsi="Calibri"/>
          <w:color w:val="231F20"/>
          <w:w w:val="105"/>
          <w:sz w:val="17"/>
        </w:rPr>
        <w:t>las</w:t>
      </w:r>
      <w:r>
        <w:rPr>
          <w:rFonts w:ascii="Calibri" w:hAnsi="Calibri"/>
          <w:color w:val="231F20"/>
          <w:spacing w:val="-19"/>
          <w:w w:val="105"/>
          <w:sz w:val="17"/>
        </w:rPr>
        <w:t> </w:t>
      </w:r>
      <w:r>
        <w:rPr>
          <w:rFonts w:ascii="Calibri" w:hAnsi="Calibri"/>
          <w:color w:val="231F20"/>
          <w:w w:val="105"/>
          <w:sz w:val="17"/>
        </w:rPr>
        <w:t>reglas</w:t>
      </w:r>
      <w:r>
        <w:rPr>
          <w:rFonts w:ascii="Calibri" w:hAnsi="Calibri"/>
          <w:color w:val="231F20"/>
          <w:spacing w:val="-19"/>
          <w:w w:val="105"/>
          <w:sz w:val="17"/>
        </w:rPr>
        <w:t> </w:t>
      </w:r>
      <w:r>
        <w:rPr>
          <w:rFonts w:ascii="Calibri" w:hAnsi="Calibri"/>
          <w:color w:val="231F20"/>
          <w:spacing w:val="-3"/>
          <w:w w:val="105"/>
          <w:sz w:val="17"/>
        </w:rPr>
        <w:t>generales”.</w:t>
      </w:r>
    </w:p>
    <w:p>
      <w:pPr>
        <w:spacing w:after="0" w:line="235" w:lineRule="auto"/>
        <w:jc w:val="both"/>
        <w:rPr>
          <w:rFonts w:ascii="Calibri" w:hAnsi="Calibri"/>
          <w:sz w:val="17"/>
        </w:rPr>
        <w:sectPr>
          <w:type w:val="continuous"/>
          <w:pgSz w:w="9640" w:h="13890"/>
          <w:pgMar w:top="0" w:bottom="0" w:left="1300" w:right="1200"/>
        </w:sectPr>
      </w:pPr>
    </w:p>
    <w:p>
      <w:pPr>
        <w:pStyle w:val="BodyText"/>
        <w:spacing w:line="244" w:lineRule="auto" w:before="107"/>
        <w:ind w:left="103" w:right="115"/>
        <w:jc w:val="both"/>
      </w:pPr>
      <w:r>
        <w:rPr>
          <w:color w:val="231F20"/>
        </w:rPr>
        <w:t>texto discursivo la dimensión misma de la “excepción” termine por asumir una auténtica valencia constitutiva, proponiéndose como una especie de variante internacionalística híbrida de aquel </w:t>
      </w:r>
      <w:r>
        <w:rPr>
          <w:rFonts w:ascii="Arial" w:hAnsi="Arial"/>
          <w:i/>
          <w:color w:val="231F20"/>
        </w:rPr>
        <w:t>Ausnahmezustand </w:t>
      </w:r>
      <w:r>
        <w:rPr>
          <w:color w:val="231F20"/>
        </w:rPr>
        <w:t>teorizado por Schmitt en algunos célebres pasajes de su </w:t>
      </w:r>
      <w:r>
        <w:rPr>
          <w:rFonts w:ascii="Arial" w:hAnsi="Arial"/>
          <w:i/>
          <w:color w:val="231F20"/>
        </w:rPr>
        <w:t>Politische Theologie</w:t>
      </w:r>
      <w:r>
        <w:rPr>
          <w:color w:val="231F20"/>
          <w:position w:val="7"/>
          <w:sz w:val="12"/>
        </w:rPr>
        <w:t>59</w:t>
      </w:r>
      <w:r>
        <w:rPr>
          <w:color w:val="231F20"/>
        </w:rPr>
        <w:t>.</w:t>
      </w:r>
    </w:p>
    <w:p>
      <w:pPr>
        <w:pStyle w:val="BodyText"/>
        <w:spacing w:line="244" w:lineRule="auto"/>
        <w:ind w:left="103" w:right="115" w:firstLine="566"/>
        <w:jc w:val="both"/>
      </w:pPr>
      <w:r>
        <w:rPr>
          <w:color w:val="231F20"/>
          <w:w w:val="105"/>
        </w:rPr>
        <w:t>La</w:t>
      </w:r>
      <w:r>
        <w:rPr>
          <w:color w:val="231F20"/>
          <w:spacing w:val="-23"/>
          <w:w w:val="105"/>
        </w:rPr>
        <w:t> </w:t>
      </w:r>
      <w:r>
        <w:rPr>
          <w:color w:val="231F20"/>
          <w:w w:val="105"/>
        </w:rPr>
        <w:t>diferencia</w:t>
      </w:r>
      <w:r>
        <w:rPr>
          <w:color w:val="231F20"/>
          <w:spacing w:val="-23"/>
          <w:w w:val="105"/>
        </w:rPr>
        <w:t> </w:t>
      </w:r>
      <w:r>
        <w:rPr>
          <w:color w:val="231F20"/>
          <w:w w:val="105"/>
        </w:rPr>
        <w:t>es</w:t>
      </w:r>
      <w:r>
        <w:rPr>
          <w:color w:val="231F20"/>
          <w:spacing w:val="-23"/>
          <w:w w:val="105"/>
        </w:rPr>
        <w:t> </w:t>
      </w:r>
      <w:r>
        <w:rPr>
          <w:color w:val="231F20"/>
          <w:w w:val="105"/>
        </w:rPr>
        <w:t>que</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modelo</w:t>
      </w:r>
      <w:r>
        <w:rPr>
          <w:color w:val="231F20"/>
          <w:spacing w:val="-23"/>
          <w:w w:val="105"/>
        </w:rPr>
        <w:t> </w:t>
      </w:r>
      <w:r>
        <w:rPr>
          <w:color w:val="231F20"/>
          <w:w w:val="105"/>
        </w:rPr>
        <w:t>schmittiano</w:t>
      </w:r>
      <w:r>
        <w:rPr>
          <w:color w:val="231F20"/>
          <w:spacing w:val="-23"/>
          <w:w w:val="105"/>
        </w:rPr>
        <w:t> </w:t>
      </w:r>
      <w:r>
        <w:rPr>
          <w:color w:val="231F20"/>
          <w:w w:val="105"/>
        </w:rPr>
        <w:t>original</w:t>
      </w:r>
      <w:r>
        <w:rPr>
          <w:color w:val="231F20"/>
          <w:spacing w:val="-23"/>
          <w:w w:val="105"/>
        </w:rPr>
        <w:t> </w:t>
      </w:r>
      <w:r>
        <w:rPr>
          <w:color w:val="231F20"/>
          <w:w w:val="105"/>
        </w:rPr>
        <w:t>el</w:t>
      </w:r>
      <w:r>
        <w:rPr>
          <w:color w:val="231F20"/>
          <w:spacing w:val="-23"/>
          <w:w w:val="105"/>
        </w:rPr>
        <w:t> </w:t>
      </w:r>
      <w:r>
        <w:rPr>
          <w:color w:val="231F20"/>
          <w:w w:val="105"/>
        </w:rPr>
        <w:t>“estado</w:t>
      </w:r>
      <w:r>
        <w:rPr>
          <w:color w:val="231F20"/>
          <w:spacing w:val="-23"/>
          <w:w w:val="105"/>
        </w:rPr>
        <w:t> </w:t>
      </w:r>
      <w:r>
        <w:rPr>
          <w:color w:val="231F20"/>
          <w:w w:val="105"/>
        </w:rPr>
        <w:t>de excepción”</w:t>
      </w:r>
      <w:r>
        <w:rPr>
          <w:color w:val="231F20"/>
          <w:spacing w:val="-16"/>
          <w:w w:val="105"/>
        </w:rPr>
        <w:t> </w:t>
      </w:r>
      <w:r>
        <w:rPr>
          <w:color w:val="231F20"/>
          <w:w w:val="105"/>
        </w:rPr>
        <w:t>del</w:t>
      </w:r>
      <w:r>
        <w:rPr>
          <w:color w:val="231F20"/>
          <w:spacing w:val="-16"/>
          <w:w w:val="105"/>
        </w:rPr>
        <w:t> </w:t>
      </w:r>
      <w:r>
        <w:rPr>
          <w:color w:val="231F20"/>
          <w:w w:val="105"/>
        </w:rPr>
        <w:t>que</w:t>
      </w:r>
      <w:r>
        <w:rPr>
          <w:color w:val="231F20"/>
          <w:spacing w:val="-16"/>
          <w:w w:val="105"/>
        </w:rPr>
        <w:t> </w:t>
      </w:r>
      <w:r>
        <w:rPr>
          <w:color w:val="231F20"/>
          <w:w w:val="105"/>
        </w:rPr>
        <w:t>hablan</w:t>
      </w:r>
      <w:r>
        <w:rPr>
          <w:color w:val="231F20"/>
          <w:spacing w:val="-16"/>
          <w:w w:val="105"/>
        </w:rPr>
        <w:t> </w:t>
      </w:r>
      <w:r>
        <w:rPr>
          <w:color w:val="231F20"/>
          <w:w w:val="105"/>
        </w:rPr>
        <w:t>estos</w:t>
      </w:r>
      <w:r>
        <w:rPr>
          <w:color w:val="231F20"/>
          <w:spacing w:val="-16"/>
          <w:w w:val="105"/>
        </w:rPr>
        <w:t> </w:t>
      </w:r>
      <w:r>
        <w:rPr>
          <w:color w:val="231F20"/>
          <w:w w:val="105"/>
        </w:rPr>
        <w:t>autores</w:t>
      </w:r>
      <w:r>
        <w:rPr>
          <w:color w:val="231F20"/>
          <w:spacing w:val="-16"/>
          <w:w w:val="105"/>
        </w:rPr>
        <w:t> </w:t>
      </w:r>
      <w:r>
        <w:rPr>
          <w:color w:val="231F20"/>
          <w:w w:val="105"/>
        </w:rPr>
        <w:t>representa</w:t>
      </w:r>
      <w:r>
        <w:rPr>
          <w:color w:val="231F20"/>
          <w:spacing w:val="-16"/>
          <w:w w:val="105"/>
        </w:rPr>
        <w:t> </w:t>
      </w:r>
      <w:r>
        <w:rPr>
          <w:color w:val="231F20"/>
          <w:w w:val="105"/>
        </w:rPr>
        <w:t>un</w:t>
      </w:r>
      <w:r>
        <w:rPr>
          <w:color w:val="231F20"/>
          <w:spacing w:val="-16"/>
          <w:w w:val="105"/>
        </w:rPr>
        <w:t> </w:t>
      </w:r>
      <w:r>
        <w:rPr>
          <w:color w:val="231F20"/>
          <w:w w:val="105"/>
        </w:rPr>
        <w:t>“carácter</w:t>
      </w:r>
      <w:r>
        <w:rPr>
          <w:color w:val="231F20"/>
          <w:spacing w:val="-16"/>
          <w:w w:val="105"/>
        </w:rPr>
        <w:t> </w:t>
      </w:r>
      <w:r>
        <w:rPr>
          <w:color w:val="231F20"/>
          <w:w w:val="105"/>
        </w:rPr>
        <w:t>perma- nente del paisaje político” de la sociedad global, al interior y al exterior de</w:t>
      </w:r>
      <w:r>
        <w:rPr>
          <w:color w:val="231F20"/>
          <w:spacing w:val="-20"/>
          <w:w w:val="105"/>
        </w:rPr>
        <w:t> </w:t>
      </w:r>
      <w:r>
        <w:rPr>
          <w:color w:val="231F20"/>
          <w:w w:val="105"/>
        </w:rPr>
        <w:t>cada</w:t>
      </w:r>
      <w:r>
        <w:rPr>
          <w:color w:val="231F20"/>
          <w:spacing w:val="-20"/>
          <w:w w:val="105"/>
        </w:rPr>
        <w:t> </w:t>
      </w:r>
      <w:r>
        <w:rPr>
          <w:color w:val="231F20"/>
          <w:w w:val="105"/>
        </w:rPr>
        <w:t>Estado</w:t>
      </w:r>
      <w:r>
        <w:rPr>
          <w:color w:val="231F20"/>
          <w:spacing w:val="-20"/>
          <w:w w:val="105"/>
        </w:rPr>
        <w:t> </w:t>
      </w:r>
      <w:r>
        <w:rPr>
          <w:color w:val="231F20"/>
          <w:w w:val="105"/>
        </w:rPr>
        <w:t>—es</w:t>
      </w:r>
      <w:r>
        <w:rPr>
          <w:color w:val="231F20"/>
          <w:spacing w:val="-20"/>
          <w:w w:val="105"/>
        </w:rPr>
        <w:t> </w:t>
      </w:r>
      <w:r>
        <w:rPr>
          <w:color w:val="231F20"/>
          <w:spacing w:val="-4"/>
          <w:w w:val="105"/>
        </w:rPr>
        <w:t>decir,</w:t>
      </w:r>
      <w:r>
        <w:rPr>
          <w:color w:val="231F20"/>
          <w:spacing w:val="-20"/>
          <w:w w:val="105"/>
        </w:rPr>
        <w:t> </w:t>
      </w:r>
      <w:r>
        <w:rPr>
          <w:color w:val="231F20"/>
          <w:w w:val="105"/>
        </w:rPr>
        <w:t>esto</w:t>
      </w:r>
      <w:r>
        <w:rPr>
          <w:color w:val="231F20"/>
          <w:spacing w:val="-20"/>
          <w:w w:val="105"/>
        </w:rPr>
        <w:t> </w:t>
      </w:r>
      <w:r>
        <w:rPr>
          <w:color w:val="231F20"/>
          <w:w w:val="105"/>
        </w:rPr>
        <w:t>se</w:t>
      </w:r>
      <w:r>
        <w:rPr>
          <w:color w:val="231F20"/>
          <w:spacing w:val="-20"/>
          <w:w w:val="105"/>
        </w:rPr>
        <w:t> </w:t>
      </w:r>
      <w:r>
        <w:rPr>
          <w:color w:val="231F20"/>
          <w:w w:val="105"/>
        </w:rPr>
        <w:t>manifiesta</w:t>
      </w:r>
      <w:r>
        <w:rPr>
          <w:color w:val="231F20"/>
          <w:spacing w:val="-20"/>
          <w:w w:val="105"/>
        </w:rPr>
        <w:t> </w:t>
      </w:r>
      <w:r>
        <w:rPr>
          <w:color w:val="231F20"/>
          <w:w w:val="105"/>
        </w:rPr>
        <w:t>como</w:t>
      </w:r>
      <w:r>
        <w:rPr>
          <w:color w:val="231F20"/>
          <w:spacing w:val="-20"/>
          <w:w w:val="105"/>
        </w:rPr>
        <w:t> </w:t>
      </w:r>
      <w:r>
        <w:rPr>
          <w:color w:val="231F20"/>
          <w:w w:val="105"/>
        </w:rPr>
        <w:t>una</w:t>
      </w:r>
      <w:r>
        <w:rPr>
          <w:color w:val="231F20"/>
          <w:spacing w:val="-20"/>
          <w:w w:val="105"/>
        </w:rPr>
        <w:t> </w:t>
      </w:r>
      <w:r>
        <w:rPr>
          <w:color w:val="231F20"/>
          <w:w w:val="105"/>
        </w:rPr>
        <w:t>condición</w:t>
      </w:r>
      <w:r>
        <w:rPr>
          <w:color w:val="231F20"/>
          <w:spacing w:val="-20"/>
          <w:w w:val="105"/>
        </w:rPr>
        <w:t> </w:t>
      </w:r>
      <w:r>
        <w:rPr>
          <w:rFonts w:ascii="Arial" w:hAnsi="Arial"/>
          <w:i/>
          <w:color w:val="231F20"/>
          <w:w w:val="105"/>
        </w:rPr>
        <w:t>normal </w:t>
      </w:r>
      <w:r>
        <w:rPr>
          <w:color w:val="231F20"/>
          <w:w w:val="105"/>
        </w:rPr>
        <w:t>del</w:t>
      </w:r>
      <w:r>
        <w:rPr>
          <w:color w:val="231F20"/>
          <w:spacing w:val="-26"/>
          <w:w w:val="105"/>
        </w:rPr>
        <w:t> </w:t>
      </w:r>
      <w:r>
        <w:rPr>
          <w:rFonts w:ascii="Calibri" w:hAnsi="Calibri"/>
          <w:i/>
          <w:color w:val="231F20"/>
          <w:w w:val="105"/>
        </w:rPr>
        <w:t>“</w:t>
      </w:r>
      <w:r>
        <w:rPr>
          <w:color w:val="231F20"/>
          <w:w w:val="105"/>
        </w:rPr>
        <w:t>new</w:t>
      </w:r>
      <w:r>
        <w:rPr>
          <w:color w:val="231F20"/>
          <w:spacing w:val="-26"/>
          <w:w w:val="105"/>
        </w:rPr>
        <w:t> </w:t>
      </w:r>
      <w:r>
        <w:rPr>
          <w:color w:val="231F20"/>
          <w:w w:val="105"/>
        </w:rPr>
        <w:t>global</w:t>
      </w:r>
      <w:r>
        <w:rPr>
          <w:color w:val="231F20"/>
          <w:spacing w:val="-26"/>
          <w:w w:val="105"/>
        </w:rPr>
        <w:t> </w:t>
      </w:r>
      <w:r>
        <w:rPr>
          <w:color w:val="231F20"/>
          <w:w w:val="105"/>
        </w:rPr>
        <w:t>order”</w:t>
      </w:r>
      <w:r>
        <w:rPr>
          <w:color w:val="231F20"/>
          <w:spacing w:val="-26"/>
          <w:w w:val="105"/>
        </w:rPr>
        <w:t> </w:t>
      </w:r>
      <w:r>
        <w:rPr>
          <w:color w:val="231F20"/>
          <w:w w:val="105"/>
        </w:rPr>
        <w:t>evidenciado</w:t>
      </w:r>
      <w:r>
        <w:rPr>
          <w:color w:val="231F20"/>
          <w:spacing w:val="-26"/>
          <w:w w:val="105"/>
        </w:rPr>
        <w:t> </w:t>
      </w:r>
      <w:r>
        <w:rPr>
          <w:color w:val="231F20"/>
          <w:w w:val="105"/>
        </w:rPr>
        <w:t>por</w:t>
      </w:r>
      <w:r>
        <w:rPr>
          <w:color w:val="231F20"/>
          <w:spacing w:val="-26"/>
          <w:w w:val="105"/>
        </w:rPr>
        <w:t> </w:t>
      </w:r>
      <w:r>
        <w:rPr>
          <w:color w:val="231F20"/>
          <w:w w:val="105"/>
        </w:rPr>
        <w:t>la</w:t>
      </w:r>
      <w:r>
        <w:rPr>
          <w:color w:val="231F20"/>
          <w:spacing w:val="-26"/>
          <w:w w:val="105"/>
        </w:rPr>
        <w:t> </w:t>
      </w:r>
      <w:r>
        <w:rPr>
          <w:color w:val="231F20"/>
          <w:w w:val="105"/>
        </w:rPr>
        <w:t>crisis</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estabilización</w:t>
      </w:r>
      <w:r>
        <w:rPr>
          <w:color w:val="231F20"/>
          <w:spacing w:val="-26"/>
          <w:w w:val="105"/>
        </w:rPr>
        <w:t> </w:t>
      </w:r>
      <w:r>
        <w:rPr>
          <w:color w:val="231F20"/>
          <w:w w:val="105"/>
        </w:rPr>
        <w:t>bipolar del</w:t>
      </w:r>
      <w:r>
        <w:rPr>
          <w:color w:val="231F20"/>
          <w:spacing w:val="-10"/>
          <w:w w:val="105"/>
        </w:rPr>
        <w:t> </w:t>
      </w:r>
      <w:r>
        <w:rPr>
          <w:color w:val="231F20"/>
          <w:w w:val="105"/>
        </w:rPr>
        <w:t>mundo</w:t>
      </w:r>
      <w:r>
        <w:rPr>
          <w:color w:val="231F20"/>
          <w:w w:val="105"/>
          <w:position w:val="7"/>
          <w:sz w:val="12"/>
        </w:rPr>
        <w:t>60</w:t>
      </w:r>
      <w:r>
        <w:rPr>
          <w:color w:val="231F20"/>
          <w:w w:val="105"/>
        </w:rPr>
        <w:t>.</w:t>
      </w:r>
      <w:r>
        <w:rPr>
          <w:color w:val="231F20"/>
          <w:spacing w:val="-10"/>
          <w:w w:val="105"/>
        </w:rPr>
        <w:t> </w:t>
      </w:r>
      <w:r>
        <w:rPr>
          <w:color w:val="231F20"/>
          <w:w w:val="105"/>
        </w:rPr>
        <w:t>Como</w:t>
      </w:r>
      <w:r>
        <w:rPr>
          <w:color w:val="231F20"/>
          <w:spacing w:val="-10"/>
          <w:w w:val="105"/>
        </w:rPr>
        <w:t> </w:t>
      </w:r>
      <w:r>
        <w:rPr>
          <w:color w:val="231F20"/>
          <w:w w:val="105"/>
        </w:rPr>
        <w:t>explican</w:t>
      </w:r>
      <w:r>
        <w:rPr>
          <w:color w:val="231F20"/>
          <w:spacing w:val="-10"/>
          <w:w w:val="105"/>
        </w:rPr>
        <w:t> </w:t>
      </w:r>
      <w:r>
        <w:rPr>
          <w:color w:val="231F20"/>
          <w:w w:val="105"/>
        </w:rPr>
        <w:t>Hardt</w:t>
      </w:r>
      <w:r>
        <w:rPr>
          <w:color w:val="231F20"/>
          <w:spacing w:val="-10"/>
          <w:w w:val="105"/>
        </w:rPr>
        <w:t> </w:t>
      </w:r>
      <w:r>
        <w:rPr>
          <w:color w:val="231F20"/>
          <w:w w:val="105"/>
        </w:rPr>
        <w:t>y</w:t>
      </w:r>
      <w:r>
        <w:rPr>
          <w:color w:val="231F20"/>
          <w:spacing w:val="-10"/>
          <w:w w:val="105"/>
        </w:rPr>
        <w:t> </w:t>
      </w:r>
      <w:r>
        <w:rPr>
          <w:color w:val="231F20"/>
          <w:w w:val="105"/>
        </w:rPr>
        <w:t>Negri,</w:t>
      </w:r>
      <w:r>
        <w:rPr>
          <w:color w:val="231F20"/>
          <w:spacing w:val="-10"/>
          <w:w w:val="105"/>
        </w:rPr>
        <w:t> </w:t>
      </w:r>
      <w:r>
        <w:rPr>
          <w:color w:val="231F20"/>
          <w:w w:val="105"/>
        </w:rPr>
        <w:t>que</w:t>
      </w:r>
      <w:r>
        <w:rPr>
          <w:color w:val="231F20"/>
          <w:spacing w:val="-10"/>
          <w:w w:val="105"/>
        </w:rPr>
        <w:t> </w:t>
      </w:r>
      <w:r>
        <w:rPr>
          <w:color w:val="231F20"/>
          <w:w w:val="105"/>
        </w:rPr>
        <w:t>están</w:t>
      </w:r>
      <w:r>
        <w:rPr>
          <w:color w:val="231F20"/>
          <w:spacing w:val="-10"/>
          <w:w w:val="105"/>
        </w:rPr>
        <w:t> </w:t>
      </w:r>
      <w:r>
        <w:rPr>
          <w:color w:val="231F20"/>
          <w:w w:val="105"/>
        </w:rPr>
        <w:t>entre</w:t>
      </w:r>
      <w:r>
        <w:rPr>
          <w:color w:val="231F20"/>
          <w:spacing w:val="-10"/>
          <w:w w:val="105"/>
        </w:rPr>
        <w:t> </w:t>
      </w:r>
      <w:r>
        <w:rPr>
          <w:color w:val="231F20"/>
          <w:w w:val="105"/>
        </w:rPr>
        <w:t>los</w:t>
      </w:r>
      <w:r>
        <w:rPr>
          <w:color w:val="231F20"/>
          <w:spacing w:val="-10"/>
          <w:w w:val="105"/>
        </w:rPr>
        <w:t> </w:t>
      </w:r>
      <w:r>
        <w:rPr>
          <w:color w:val="231F20"/>
          <w:w w:val="105"/>
        </w:rPr>
        <w:t>primeros en</w:t>
      </w:r>
      <w:r>
        <w:rPr>
          <w:color w:val="231F20"/>
          <w:spacing w:val="-40"/>
          <w:w w:val="105"/>
        </w:rPr>
        <w:t> </w:t>
      </w:r>
      <w:r>
        <w:rPr>
          <w:color w:val="231F20"/>
          <w:w w:val="105"/>
        </w:rPr>
        <w:t>proponer</w:t>
      </w:r>
      <w:r>
        <w:rPr>
          <w:color w:val="231F20"/>
          <w:spacing w:val="-40"/>
          <w:w w:val="105"/>
        </w:rPr>
        <w:t> </w:t>
      </w:r>
      <w:r>
        <w:rPr>
          <w:color w:val="231F20"/>
          <w:w w:val="105"/>
        </w:rPr>
        <w:t>una</w:t>
      </w:r>
      <w:r>
        <w:rPr>
          <w:color w:val="231F20"/>
          <w:spacing w:val="-40"/>
          <w:w w:val="105"/>
        </w:rPr>
        <w:t> </w:t>
      </w:r>
      <w:r>
        <w:rPr>
          <w:color w:val="231F20"/>
          <w:w w:val="105"/>
        </w:rPr>
        <w:t>lectura</w:t>
      </w:r>
      <w:r>
        <w:rPr>
          <w:color w:val="231F20"/>
          <w:spacing w:val="-40"/>
          <w:w w:val="105"/>
        </w:rPr>
        <w:t> </w:t>
      </w:r>
      <w:r>
        <w:rPr>
          <w:color w:val="231F20"/>
          <w:w w:val="105"/>
        </w:rPr>
        <w:t>constituyente</w:t>
      </w:r>
      <w:r>
        <w:rPr>
          <w:color w:val="231F20"/>
          <w:spacing w:val="-40"/>
          <w:w w:val="105"/>
        </w:rPr>
        <w:t> </w:t>
      </w:r>
      <w:r>
        <w:rPr>
          <w:color w:val="231F20"/>
          <w:w w:val="105"/>
        </w:rPr>
        <w:t>de</w:t>
      </w:r>
      <w:r>
        <w:rPr>
          <w:color w:val="231F20"/>
          <w:spacing w:val="-40"/>
          <w:w w:val="105"/>
        </w:rPr>
        <w:t> </w:t>
      </w:r>
      <w:r>
        <w:rPr>
          <w:color w:val="231F20"/>
          <w:w w:val="105"/>
        </w:rPr>
        <w:t>la</w:t>
      </w:r>
      <w:r>
        <w:rPr>
          <w:color w:val="231F20"/>
          <w:spacing w:val="-40"/>
          <w:w w:val="105"/>
        </w:rPr>
        <w:t> </w:t>
      </w:r>
      <w:r>
        <w:rPr>
          <w:color w:val="231F20"/>
          <w:w w:val="105"/>
        </w:rPr>
        <w:t>injerencia</w:t>
      </w:r>
      <w:r>
        <w:rPr>
          <w:color w:val="231F20"/>
          <w:spacing w:val="-40"/>
          <w:w w:val="105"/>
        </w:rPr>
        <w:t> </w:t>
      </w:r>
      <w:r>
        <w:rPr>
          <w:color w:val="231F20"/>
          <w:w w:val="105"/>
        </w:rPr>
        <w:t>humanitaria,</w:t>
      </w:r>
      <w:r>
        <w:rPr>
          <w:color w:val="231F20"/>
          <w:spacing w:val="-40"/>
          <w:w w:val="105"/>
        </w:rPr>
        <w:t> </w:t>
      </w:r>
      <w:r>
        <w:rPr>
          <w:color w:val="231F20"/>
          <w:w w:val="105"/>
        </w:rPr>
        <w:t>es</w:t>
      </w:r>
      <w:r>
        <w:rPr>
          <w:color w:val="231F20"/>
          <w:spacing w:val="-40"/>
          <w:w w:val="105"/>
        </w:rPr>
        <w:t> </w:t>
      </w:r>
      <w:r>
        <w:rPr>
          <w:color w:val="231F20"/>
          <w:w w:val="105"/>
        </w:rPr>
        <w:t>pre- cisamente</w:t>
      </w:r>
      <w:r>
        <w:rPr>
          <w:color w:val="231F20"/>
          <w:spacing w:val="-13"/>
          <w:w w:val="105"/>
        </w:rPr>
        <w:t> </w:t>
      </w:r>
      <w:r>
        <w:rPr>
          <w:color w:val="231F20"/>
          <w:w w:val="105"/>
        </w:rPr>
        <w:t>a</w:t>
      </w:r>
      <w:r>
        <w:rPr>
          <w:color w:val="231F20"/>
          <w:spacing w:val="-13"/>
          <w:w w:val="105"/>
        </w:rPr>
        <w:t> </w:t>
      </w:r>
      <w:r>
        <w:rPr>
          <w:color w:val="231F20"/>
          <w:w w:val="105"/>
        </w:rPr>
        <w:t>través</w:t>
      </w:r>
      <w:r>
        <w:rPr>
          <w:color w:val="231F20"/>
          <w:spacing w:val="-13"/>
          <w:w w:val="105"/>
        </w:rPr>
        <w:t> </w:t>
      </w:r>
      <w:r>
        <w:rPr>
          <w:color w:val="231F20"/>
          <w:w w:val="105"/>
        </w:rPr>
        <w:t>de</w:t>
      </w:r>
      <w:r>
        <w:rPr>
          <w:color w:val="231F20"/>
          <w:spacing w:val="-13"/>
          <w:w w:val="105"/>
        </w:rPr>
        <w:t> </w:t>
      </w:r>
      <w:r>
        <w:rPr>
          <w:color w:val="231F20"/>
          <w:w w:val="105"/>
        </w:rPr>
        <w:t>imponer</w:t>
      </w:r>
      <w:r>
        <w:rPr>
          <w:color w:val="231F20"/>
          <w:spacing w:val="-13"/>
          <w:w w:val="105"/>
        </w:rPr>
        <w:t> </w:t>
      </w:r>
      <w:r>
        <w:rPr>
          <w:color w:val="231F20"/>
          <w:w w:val="105"/>
        </w:rPr>
        <w:t>“un</w:t>
      </w:r>
      <w:r>
        <w:rPr>
          <w:color w:val="231F20"/>
          <w:spacing w:val="-13"/>
          <w:w w:val="105"/>
        </w:rPr>
        <w:t> </w:t>
      </w:r>
      <w:r>
        <w:rPr>
          <w:color w:val="231F20"/>
          <w:w w:val="105"/>
        </w:rPr>
        <w:t>estado</w:t>
      </w:r>
      <w:r>
        <w:rPr>
          <w:color w:val="231F20"/>
          <w:spacing w:val="-13"/>
          <w:w w:val="105"/>
        </w:rPr>
        <w:t> </w:t>
      </w:r>
      <w:r>
        <w:rPr>
          <w:color w:val="231F20"/>
          <w:w w:val="105"/>
        </w:rPr>
        <w:t>permanente</w:t>
      </w:r>
      <w:r>
        <w:rPr>
          <w:color w:val="231F20"/>
          <w:spacing w:val="-13"/>
          <w:w w:val="105"/>
        </w:rPr>
        <w:t> </w:t>
      </w:r>
      <w:r>
        <w:rPr>
          <w:color w:val="231F20"/>
          <w:w w:val="105"/>
        </w:rPr>
        <w:t>de</w:t>
      </w:r>
      <w:r>
        <w:rPr>
          <w:color w:val="231F20"/>
          <w:spacing w:val="-13"/>
          <w:w w:val="105"/>
        </w:rPr>
        <w:t> </w:t>
      </w:r>
      <w:r>
        <w:rPr>
          <w:color w:val="231F20"/>
          <w:w w:val="105"/>
        </w:rPr>
        <w:t>emergencia</w:t>
      </w:r>
      <w:r>
        <w:rPr>
          <w:color w:val="231F20"/>
          <w:spacing w:val="-13"/>
          <w:w w:val="105"/>
        </w:rPr>
        <w:t> </w:t>
      </w:r>
      <w:r>
        <w:rPr>
          <w:color w:val="231F20"/>
          <w:w w:val="105"/>
        </w:rPr>
        <w:t>y excepción</w:t>
      </w:r>
      <w:r>
        <w:rPr>
          <w:color w:val="231F20"/>
          <w:spacing w:val="-34"/>
          <w:w w:val="105"/>
        </w:rPr>
        <w:t> </w:t>
      </w:r>
      <w:r>
        <w:rPr>
          <w:color w:val="231F20"/>
          <w:w w:val="105"/>
        </w:rPr>
        <w:t>justificado</w:t>
      </w:r>
      <w:r>
        <w:rPr>
          <w:color w:val="231F20"/>
          <w:spacing w:val="-34"/>
          <w:w w:val="105"/>
        </w:rPr>
        <w:t> </w:t>
      </w:r>
      <w:r>
        <w:rPr>
          <w:color w:val="231F20"/>
          <w:w w:val="105"/>
        </w:rPr>
        <w:t>por</w:t>
      </w:r>
      <w:r>
        <w:rPr>
          <w:color w:val="231F20"/>
          <w:spacing w:val="-34"/>
          <w:w w:val="105"/>
        </w:rPr>
        <w:t> </w:t>
      </w:r>
      <w:r>
        <w:rPr>
          <w:color w:val="231F20"/>
          <w:w w:val="105"/>
        </w:rPr>
        <w:t>el</w:t>
      </w:r>
      <w:r>
        <w:rPr>
          <w:color w:val="231F20"/>
          <w:spacing w:val="-34"/>
          <w:w w:val="105"/>
        </w:rPr>
        <w:t> </w:t>
      </w:r>
      <w:r>
        <w:rPr>
          <w:color w:val="231F20"/>
          <w:w w:val="105"/>
        </w:rPr>
        <w:t>llamado</w:t>
      </w:r>
      <w:r>
        <w:rPr>
          <w:color w:val="231F20"/>
          <w:spacing w:val="-34"/>
          <w:w w:val="105"/>
        </w:rPr>
        <w:t> </w:t>
      </w:r>
      <w:r>
        <w:rPr>
          <w:color w:val="231F20"/>
          <w:w w:val="105"/>
        </w:rPr>
        <w:t>de</w:t>
      </w:r>
      <w:r>
        <w:rPr>
          <w:color w:val="231F20"/>
          <w:spacing w:val="-32"/>
          <w:w w:val="105"/>
        </w:rPr>
        <w:t> </w:t>
      </w:r>
      <w:r>
        <w:rPr>
          <w:rFonts w:ascii="Arial" w:hAnsi="Arial"/>
          <w:i/>
          <w:color w:val="231F20"/>
          <w:w w:val="105"/>
        </w:rPr>
        <w:t>fundamentales</w:t>
      </w:r>
      <w:r>
        <w:rPr>
          <w:rFonts w:ascii="Arial" w:hAnsi="Arial"/>
          <w:i/>
          <w:color w:val="231F20"/>
          <w:spacing w:val="-27"/>
          <w:w w:val="105"/>
        </w:rPr>
        <w:t> </w:t>
      </w:r>
      <w:r>
        <w:rPr>
          <w:rFonts w:ascii="Arial" w:hAnsi="Arial"/>
          <w:i/>
          <w:color w:val="231F20"/>
          <w:w w:val="105"/>
        </w:rPr>
        <w:t>valores</w:t>
      </w:r>
      <w:r>
        <w:rPr>
          <w:rFonts w:ascii="Arial" w:hAnsi="Arial"/>
          <w:i/>
          <w:color w:val="231F20"/>
          <w:spacing w:val="-27"/>
          <w:w w:val="105"/>
        </w:rPr>
        <w:t> </w:t>
      </w:r>
      <w:r>
        <w:rPr>
          <w:rFonts w:ascii="Arial" w:hAnsi="Arial"/>
          <w:i/>
          <w:color w:val="231F20"/>
          <w:w w:val="105"/>
        </w:rPr>
        <w:t>de</w:t>
      </w:r>
      <w:r>
        <w:rPr>
          <w:rFonts w:ascii="Arial" w:hAnsi="Arial"/>
          <w:i/>
          <w:color w:val="231F20"/>
          <w:spacing w:val="-27"/>
          <w:w w:val="105"/>
        </w:rPr>
        <w:t> </w:t>
      </w:r>
      <w:r>
        <w:rPr>
          <w:rFonts w:ascii="Arial" w:hAnsi="Arial"/>
          <w:i/>
          <w:color w:val="231F20"/>
          <w:w w:val="105"/>
        </w:rPr>
        <w:t>justicia</w:t>
      </w:r>
      <w:r>
        <w:rPr>
          <w:color w:val="231F20"/>
          <w:w w:val="105"/>
        </w:rPr>
        <w:t>” que</w:t>
      </w:r>
      <w:r>
        <w:rPr>
          <w:color w:val="231F20"/>
          <w:spacing w:val="-29"/>
          <w:w w:val="105"/>
        </w:rPr>
        <w:t> </w:t>
      </w:r>
      <w:r>
        <w:rPr>
          <w:color w:val="231F20"/>
          <w:w w:val="105"/>
        </w:rPr>
        <w:t>el</w:t>
      </w:r>
      <w:r>
        <w:rPr>
          <w:color w:val="231F20"/>
          <w:spacing w:val="-29"/>
          <w:w w:val="105"/>
        </w:rPr>
        <w:t> </w:t>
      </w:r>
      <w:r>
        <w:rPr>
          <w:color w:val="231F20"/>
          <w:w w:val="105"/>
        </w:rPr>
        <w:t>“nuevo</w:t>
      </w:r>
      <w:r>
        <w:rPr>
          <w:color w:val="231F20"/>
          <w:spacing w:val="-29"/>
          <w:w w:val="105"/>
        </w:rPr>
        <w:t> </w:t>
      </w:r>
      <w:r>
        <w:rPr>
          <w:color w:val="231F20"/>
          <w:w w:val="105"/>
        </w:rPr>
        <w:t>orden</w:t>
      </w:r>
      <w:r>
        <w:rPr>
          <w:color w:val="231F20"/>
          <w:spacing w:val="-29"/>
          <w:w w:val="105"/>
        </w:rPr>
        <w:t> </w:t>
      </w:r>
      <w:r>
        <w:rPr>
          <w:color w:val="231F20"/>
          <w:w w:val="105"/>
        </w:rPr>
        <w:t>planetario”</w:t>
      </w:r>
      <w:r>
        <w:rPr>
          <w:color w:val="231F20"/>
          <w:spacing w:val="-29"/>
          <w:w w:val="105"/>
        </w:rPr>
        <w:t> </w:t>
      </w:r>
      <w:r>
        <w:rPr>
          <w:color w:val="231F20"/>
          <w:w w:val="105"/>
        </w:rPr>
        <w:t>consolida,</w:t>
      </w:r>
      <w:r>
        <w:rPr>
          <w:color w:val="231F20"/>
          <w:spacing w:val="-29"/>
          <w:w w:val="105"/>
        </w:rPr>
        <w:t> </w:t>
      </w:r>
      <w:r>
        <w:rPr>
          <w:color w:val="231F20"/>
          <w:w w:val="105"/>
        </w:rPr>
        <w:t>en</w:t>
      </w:r>
      <w:r>
        <w:rPr>
          <w:color w:val="231F20"/>
          <w:spacing w:val="-29"/>
          <w:w w:val="105"/>
        </w:rPr>
        <w:t> </w:t>
      </w:r>
      <w:r>
        <w:rPr>
          <w:color w:val="231F20"/>
          <w:w w:val="105"/>
        </w:rPr>
        <w:t>efecto,</w:t>
      </w:r>
      <w:r>
        <w:rPr>
          <w:color w:val="231F20"/>
          <w:spacing w:val="-29"/>
          <w:w w:val="105"/>
        </w:rPr>
        <w:t> </w:t>
      </w:r>
      <w:r>
        <w:rPr>
          <w:color w:val="231F20"/>
          <w:w w:val="105"/>
        </w:rPr>
        <w:t>su</w:t>
      </w:r>
      <w:r>
        <w:rPr>
          <w:color w:val="231F20"/>
          <w:spacing w:val="-29"/>
          <w:w w:val="105"/>
        </w:rPr>
        <w:t> </w:t>
      </w:r>
      <w:r>
        <w:rPr>
          <w:color w:val="231F20"/>
          <w:w w:val="105"/>
        </w:rPr>
        <w:t>peculiar</w:t>
      </w:r>
      <w:r>
        <w:rPr>
          <w:color w:val="231F20"/>
          <w:spacing w:val="-29"/>
          <w:w w:val="105"/>
        </w:rPr>
        <w:t> </w:t>
      </w:r>
      <w:r>
        <w:rPr>
          <w:color w:val="231F20"/>
          <w:w w:val="105"/>
        </w:rPr>
        <w:t>máquina administrativa,</w:t>
      </w:r>
      <w:r>
        <w:rPr>
          <w:color w:val="231F20"/>
          <w:spacing w:val="-23"/>
          <w:w w:val="105"/>
        </w:rPr>
        <w:t> </w:t>
      </w:r>
      <w:r>
        <w:rPr>
          <w:color w:val="231F20"/>
          <w:w w:val="105"/>
        </w:rPr>
        <w:t>produciendo</w:t>
      </w:r>
      <w:r>
        <w:rPr>
          <w:color w:val="231F20"/>
          <w:spacing w:val="-23"/>
          <w:w w:val="105"/>
        </w:rPr>
        <w:t> </w:t>
      </w:r>
      <w:r>
        <w:rPr>
          <w:color w:val="231F20"/>
          <w:w w:val="105"/>
        </w:rPr>
        <w:t>“nuevas</w:t>
      </w:r>
      <w:r>
        <w:rPr>
          <w:color w:val="231F20"/>
          <w:spacing w:val="-23"/>
          <w:w w:val="105"/>
        </w:rPr>
        <w:t> </w:t>
      </w:r>
      <w:r>
        <w:rPr>
          <w:color w:val="231F20"/>
          <w:w w:val="105"/>
        </w:rPr>
        <w:t>jerarquías</w:t>
      </w:r>
      <w:r>
        <w:rPr>
          <w:color w:val="231F20"/>
          <w:spacing w:val="-23"/>
          <w:w w:val="105"/>
        </w:rPr>
        <w:t> </w:t>
      </w:r>
      <w:r>
        <w:rPr>
          <w:color w:val="231F20"/>
          <w:w w:val="105"/>
        </w:rPr>
        <w:t>de</w:t>
      </w:r>
      <w:r>
        <w:rPr>
          <w:color w:val="231F20"/>
          <w:spacing w:val="-23"/>
          <w:w w:val="105"/>
        </w:rPr>
        <w:t> </w:t>
      </w:r>
      <w:r>
        <w:rPr>
          <w:color w:val="231F20"/>
          <w:w w:val="105"/>
        </w:rPr>
        <w:t>mando</w:t>
      </w:r>
      <w:r>
        <w:rPr>
          <w:color w:val="231F20"/>
          <w:spacing w:val="-23"/>
          <w:w w:val="105"/>
        </w:rPr>
        <w:t> </w:t>
      </w:r>
      <w:r>
        <w:rPr>
          <w:color w:val="231F20"/>
          <w:w w:val="105"/>
        </w:rPr>
        <w:t>que</w:t>
      </w:r>
      <w:r>
        <w:rPr>
          <w:color w:val="231F20"/>
          <w:spacing w:val="-23"/>
          <w:w w:val="105"/>
        </w:rPr>
        <w:t> </w:t>
      </w:r>
      <w:r>
        <w:rPr>
          <w:color w:val="231F20"/>
          <w:w w:val="105"/>
        </w:rPr>
        <w:t>operan</w:t>
      </w:r>
      <w:r>
        <w:rPr>
          <w:color w:val="231F20"/>
          <w:spacing w:val="-23"/>
          <w:w w:val="105"/>
        </w:rPr>
        <w:t> </w:t>
      </w:r>
      <w:r>
        <w:rPr>
          <w:color w:val="231F20"/>
          <w:w w:val="105"/>
        </w:rPr>
        <w:t>en el</w:t>
      </w:r>
      <w:r>
        <w:rPr>
          <w:color w:val="231F20"/>
          <w:spacing w:val="-24"/>
          <w:w w:val="105"/>
        </w:rPr>
        <w:t> </w:t>
      </w:r>
      <w:r>
        <w:rPr>
          <w:color w:val="231F20"/>
          <w:w w:val="105"/>
        </w:rPr>
        <w:t>espacio</w:t>
      </w:r>
      <w:r>
        <w:rPr>
          <w:color w:val="231F20"/>
          <w:spacing w:val="-24"/>
          <w:w w:val="105"/>
        </w:rPr>
        <w:t> </w:t>
      </w:r>
      <w:r>
        <w:rPr>
          <w:color w:val="231F20"/>
          <w:w w:val="105"/>
        </w:rPr>
        <w:t>global”;</w:t>
      </w:r>
      <w:r>
        <w:rPr>
          <w:color w:val="231F20"/>
          <w:spacing w:val="-24"/>
          <w:w w:val="105"/>
        </w:rPr>
        <w:t> </w:t>
      </w:r>
      <w:r>
        <w:rPr>
          <w:color w:val="231F20"/>
          <w:w w:val="105"/>
        </w:rPr>
        <w:t>y</w:t>
      </w:r>
      <w:r>
        <w:rPr>
          <w:color w:val="231F20"/>
          <w:spacing w:val="-24"/>
          <w:w w:val="105"/>
        </w:rPr>
        <w:t> </w:t>
      </w:r>
      <w:r>
        <w:rPr>
          <w:color w:val="231F20"/>
          <w:w w:val="105"/>
        </w:rPr>
        <w:t>lo</w:t>
      </w:r>
      <w:r>
        <w:rPr>
          <w:color w:val="231F20"/>
          <w:spacing w:val="-24"/>
          <w:w w:val="105"/>
        </w:rPr>
        <w:t> </w:t>
      </w:r>
      <w:r>
        <w:rPr>
          <w:color w:val="231F20"/>
          <w:w w:val="105"/>
        </w:rPr>
        <w:t>que</w:t>
      </w:r>
      <w:r>
        <w:rPr>
          <w:color w:val="231F20"/>
          <w:spacing w:val="-24"/>
          <w:w w:val="105"/>
        </w:rPr>
        <w:t> </w:t>
      </w:r>
      <w:r>
        <w:rPr>
          <w:color w:val="231F20"/>
          <w:w w:val="105"/>
        </w:rPr>
        <w:t>resulta</w:t>
      </w:r>
      <w:r>
        <w:rPr>
          <w:color w:val="231F20"/>
          <w:spacing w:val="-24"/>
          <w:w w:val="105"/>
        </w:rPr>
        <w:t> </w:t>
      </w:r>
      <w:r>
        <w:rPr>
          <w:color w:val="231F20"/>
          <w:w w:val="105"/>
        </w:rPr>
        <w:t>es</w:t>
      </w:r>
      <w:r>
        <w:rPr>
          <w:color w:val="231F20"/>
          <w:spacing w:val="-24"/>
          <w:w w:val="105"/>
        </w:rPr>
        <w:t> </w:t>
      </w:r>
      <w:r>
        <w:rPr>
          <w:color w:val="231F20"/>
          <w:w w:val="105"/>
        </w:rPr>
        <w:t>“un</w:t>
      </w:r>
      <w:r>
        <w:rPr>
          <w:color w:val="231F20"/>
          <w:spacing w:val="-24"/>
          <w:w w:val="105"/>
        </w:rPr>
        <w:t> </w:t>
      </w:r>
      <w:r>
        <w:rPr>
          <w:color w:val="231F20"/>
          <w:w w:val="105"/>
        </w:rPr>
        <w:t>aparato</w:t>
      </w:r>
      <w:r>
        <w:rPr>
          <w:color w:val="231F20"/>
          <w:spacing w:val="-24"/>
          <w:w w:val="105"/>
        </w:rPr>
        <w:t> </w:t>
      </w:r>
      <w:r>
        <w:rPr>
          <w:color w:val="231F20"/>
          <w:w w:val="105"/>
        </w:rPr>
        <w:t>de</w:t>
      </w:r>
      <w:r>
        <w:rPr>
          <w:color w:val="231F20"/>
          <w:spacing w:val="-24"/>
          <w:w w:val="105"/>
        </w:rPr>
        <w:t> </w:t>
      </w:r>
      <w:r>
        <w:rPr>
          <w:color w:val="231F20"/>
          <w:w w:val="105"/>
        </w:rPr>
        <w:t>poder</w:t>
      </w:r>
      <w:r>
        <w:rPr>
          <w:color w:val="231F20"/>
          <w:spacing w:val="-24"/>
          <w:w w:val="105"/>
        </w:rPr>
        <w:t> </w:t>
      </w:r>
      <w:r>
        <w:rPr>
          <w:color w:val="231F20"/>
          <w:w w:val="105"/>
        </w:rPr>
        <w:t>descentraliza- do</w:t>
      </w:r>
      <w:r>
        <w:rPr>
          <w:color w:val="231F20"/>
          <w:spacing w:val="-18"/>
          <w:w w:val="105"/>
        </w:rPr>
        <w:t> </w:t>
      </w:r>
      <w:r>
        <w:rPr>
          <w:color w:val="231F20"/>
          <w:w w:val="105"/>
        </w:rPr>
        <w:t>y</w:t>
      </w:r>
      <w:r>
        <w:rPr>
          <w:color w:val="231F20"/>
          <w:spacing w:val="-18"/>
          <w:w w:val="105"/>
        </w:rPr>
        <w:t> </w:t>
      </w:r>
      <w:r>
        <w:rPr>
          <w:color w:val="231F20"/>
          <w:w w:val="105"/>
        </w:rPr>
        <w:t>desterritorializado</w:t>
      </w:r>
      <w:r>
        <w:rPr>
          <w:color w:val="231F20"/>
          <w:spacing w:val="-18"/>
          <w:w w:val="105"/>
        </w:rPr>
        <w:t> </w:t>
      </w:r>
      <w:r>
        <w:rPr>
          <w:color w:val="231F20"/>
          <w:w w:val="105"/>
        </w:rPr>
        <w:t>que</w:t>
      </w:r>
      <w:r>
        <w:rPr>
          <w:color w:val="231F20"/>
          <w:spacing w:val="-18"/>
          <w:w w:val="105"/>
        </w:rPr>
        <w:t> </w:t>
      </w:r>
      <w:r>
        <w:rPr>
          <w:color w:val="231F20"/>
          <w:w w:val="105"/>
        </w:rPr>
        <w:t>progresivamente</w:t>
      </w:r>
      <w:r>
        <w:rPr>
          <w:color w:val="231F20"/>
          <w:spacing w:val="-18"/>
          <w:w w:val="105"/>
        </w:rPr>
        <w:t> </w:t>
      </w:r>
      <w:r>
        <w:rPr>
          <w:color w:val="231F20"/>
          <w:w w:val="105"/>
        </w:rPr>
        <w:t>incorpora</w:t>
      </w:r>
      <w:r>
        <w:rPr>
          <w:color w:val="231F20"/>
          <w:spacing w:val="-18"/>
          <w:w w:val="105"/>
        </w:rPr>
        <w:t> </w:t>
      </w:r>
      <w:r>
        <w:rPr>
          <w:color w:val="231F20"/>
          <w:w w:val="105"/>
        </w:rPr>
        <w:t>el</w:t>
      </w:r>
      <w:r>
        <w:rPr>
          <w:color w:val="231F20"/>
          <w:spacing w:val="-18"/>
          <w:w w:val="105"/>
        </w:rPr>
        <w:t> </w:t>
      </w:r>
      <w:r>
        <w:rPr>
          <w:color w:val="231F20"/>
          <w:w w:val="105"/>
        </w:rPr>
        <w:t>entero</w:t>
      </w:r>
      <w:r>
        <w:rPr>
          <w:color w:val="231F20"/>
          <w:spacing w:val="-18"/>
          <w:w w:val="105"/>
        </w:rPr>
        <w:t> </w:t>
      </w:r>
      <w:r>
        <w:rPr>
          <w:color w:val="231F20"/>
          <w:w w:val="105"/>
        </w:rPr>
        <w:t>espacio mundial</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interior</w:t>
      </w:r>
      <w:r>
        <w:rPr>
          <w:color w:val="231F20"/>
          <w:spacing w:val="-5"/>
          <w:w w:val="105"/>
        </w:rPr>
        <w:t> </w:t>
      </w:r>
      <w:r>
        <w:rPr>
          <w:color w:val="231F20"/>
          <w:w w:val="105"/>
        </w:rPr>
        <w:t>de</w:t>
      </w:r>
      <w:r>
        <w:rPr>
          <w:color w:val="231F20"/>
          <w:spacing w:val="-5"/>
          <w:w w:val="105"/>
        </w:rPr>
        <w:t> </w:t>
      </w:r>
      <w:r>
        <w:rPr>
          <w:color w:val="231F20"/>
          <w:w w:val="105"/>
        </w:rPr>
        <w:t>sus</w:t>
      </w:r>
      <w:r>
        <w:rPr>
          <w:color w:val="231F20"/>
          <w:spacing w:val="-5"/>
          <w:w w:val="105"/>
        </w:rPr>
        <w:t> </w:t>
      </w:r>
      <w:r>
        <w:rPr>
          <w:color w:val="231F20"/>
          <w:w w:val="105"/>
        </w:rPr>
        <w:t>fronteras</w:t>
      </w:r>
      <w:r>
        <w:rPr>
          <w:color w:val="231F20"/>
          <w:spacing w:val="-5"/>
          <w:w w:val="105"/>
        </w:rPr>
        <w:t> </w:t>
      </w:r>
      <w:r>
        <w:rPr>
          <w:color w:val="231F20"/>
          <w:w w:val="105"/>
        </w:rPr>
        <w:t>abiertas</w:t>
      </w:r>
      <w:r>
        <w:rPr>
          <w:color w:val="231F20"/>
          <w:spacing w:val="-5"/>
          <w:w w:val="105"/>
        </w:rPr>
        <w:t> </w:t>
      </w:r>
      <w:r>
        <w:rPr>
          <w:color w:val="231F20"/>
          <w:w w:val="105"/>
        </w:rPr>
        <w:t>en</w:t>
      </w:r>
      <w:r>
        <w:rPr>
          <w:color w:val="231F20"/>
          <w:spacing w:val="-5"/>
          <w:w w:val="105"/>
        </w:rPr>
        <w:t> </w:t>
      </w:r>
      <w:r>
        <w:rPr>
          <w:color w:val="231F20"/>
          <w:w w:val="105"/>
        </w:rPr>
        <w:t>continua</w:t>
      </w:r>
      <w:r>
        <w:rPr>
          <w:color w:val="231F20"/>
          <w:spacing w:val="-5"/>
          <w:w w:val="105"/>
        </w:rPr>
        <w:t> </w:t>
      </w:r>
      <w:r>
        <w:rPr>
          <w:color w:val="231F20"/>
          <w:w w:val="105"/>
        </w:rPr>
        <w:t>expansion”, radicalizando al mismo tiempo “la coincidencia del elemento ético y del jurídico</w:t>
      </w:r>
      <w:r>
        <w:rPr>
          <w:color w:val="231F20"/>
          <w:spacing w:val="-43"/>
          <w:w w:val="105"/>
        </w:rPr>
        <w:t> </w:t>
      </w:r>
      <w:r>
        <w:rPr>
          <w:color w:val="231F20"/>
          <w:w w:val="105"/>
        </w:rPr>
        <w:t>asumidos</w:t>
      </w:r>
      <w:r>
        <w:rPr>
          <w:color w:val="231F20"/>
          <w:spacing w:val="-43"/>
          <w:w w:val="105"/>
        </w:rPr>
        <w:t> </w:t>
      </w:r>
      <w:r>
        <w:rPr>
          <w:color w:val="231F20"/>
          <w:w w:val="105"/>
        </w:rPr>
        <w:t>en</w:t>
      </w:r>
      <w:r>
        <w:rPr>
          <w:color w:val="231F20"/>
          <w:spacing w:val="-43"/>
          <w:w w:val="105"/>
        </w:rPr>
        <w:t> </w:t>
      </w:r>
      <w:r>
        <w:rPr>
          <w:color w:val="231F20"/>
          <w:w w:val="105"/>
        </w:rPr>
        <w:t>su</w:t>
      </w:r>
      <w:r>
        <w:rPr>
          <w:color w:val="231F20"/>
          <w:spacing w:val="-43"/>
          <w:w w:val="105"/>
        </w:rPr>
        <w:t> </w:t>
      </w:r>
      <w:r>
        <w:rPr>
          <w:color w:val="231F20"/>
          <w:w w:val="105"/>
        </w:rPr>
        <w:t>universalidad”</w:t>
      </w:r>
      <w:r>
        <w:rPr>
          <w:color w:val="231F20"/>
          <w:w w:val="105"/>
          <w:position w:val="7"/>
          <w:sz w:val="12"/>
        </w:rPr>
        <w:t>61</w:t>
      </w:r>
      <w:r>
        <w:rPr>
          <w:color w:val="231F20"/>
          <w:w w:val="105"/>
        </w:rPr>
        <w:t>.</w:t>
      </w:r>
    </w:p>
    <w:p>
      <w:pPr>
        <w:pStyle w:val="BodyText"/>
        <w:spacing w:before="5"/>
        <w:rPr>
          <w:sz w:val="24"/>
        </w:rPr>
      </w:pPr>
    </w:p>
    <w:p>
      <w:pPr>
        <w:spacing w:before="0"/>
        <w:ind w:left="103" w:right="0" w:firstLine="0"/>
        <w:jc w:val="both"/>
        <w:rPr>
          <w:rFonts w:ascii="Calibri"/>
          <w:i/>
          <w:sz w:val="21"/>
        </w:rPr>
      </w:pPr>
      <w:r>
        <w:rPr>
          <w:rFonts w:ascii="Calibri"/>
          <w:i/>
          <w:color w:val="231F20"/>
          <w:w w:val="110"/>
          <w:sz w:val="21"/>
        </w:rPr>
        <w:t>Solidaridad postnacional: una agenda para el nuevo siglo</w:t>
      </w:r>
    </w:p>
    <w:p>
      <w:pPr>
        <w:pStyle w:val="BodyText"/>
        <w:rPr>
          <w:rFonts w:ascii="Calibri"/>
          <w:i/>
          <w:sz w:val="20"/>
        </w:rPr>
      </w:pPr>
    </w:p>
    <w:p>
      <w:pPr>
        <w:pStyle w:val="BodyText"/>
        <w:spacing w:line="247" w:lineRule="auto" w:before="146"/>
        <w:ind w:left="103" w:right="115"/>
        <w:jc w:val="both"/>
      </w:pPr>
      <w:r>
        <w:rPr>
          <w:color w:val="231F20"/>
        </w:rPr>
        <w:t>Habría mucho por decir sobre una forma de “neorrealismo” político, que en nombre del comprensible rechazo hacia cada retórica humanitaria ins- trumental, parece querer cerrarle la puerta a la posibilidad misma de una nueva discusión de las bases morales del espacio de las relaciones inter- nacionales. Y también habría mucho por </w:t>
      </w:r>
      <w:r>
        <w:rPr>
          <w:color w:val="231F20"/>
          <w:spacing w:val="-4"/>
        </w:rPr>
        <w:t>decir, </w:t>
      </w:r>
      <w:r>
        <w:rPr>
          <w:color w:val="231F20"/>
        </w:rPr>
        <w:t>sobre todo, acerca de las intolerables simplificaciones hermenéuticas presentes en la base de esta desenvuelta  recuperación  de  la  prospectiva  schmitiana:  ¿cómo</w:t>
      </w:r>
      <w:r>
        <w:rPr>
          <w:color w:val="231F20"/>
          <w:spacing w:val="-2"/>
        </w:rPr>
        <w:t> </w:t>
      </w:r>
      <w:r>
        <w:rPr>
          <w:color w:val="231F20"/>
        </w:rPr>
        <w:t>ignorar</w:t>
      </w:r>
    </w:p>
    <w:p>
      <w:pPr>
        <w:pStyle w:val="BodyText"/>
        <w:rPr>
          <w:sz w:val="20"/>
        </w:rPr>
      </w:pPr>
    </w:p>
    <w:p>
      <w:pPr>
        <w:pStyle w:val="BodyText"/>
        <w:spacing w:before="1"/>
        <w:rPr>
          <w:sz w:val="13"/>
        </w:rPr>
      </w:pPr>
      <w:r>
        <w:rPr/>
        <w:pict>
          <v:line style="position:absolute;mso-position-horizontal-relative:page;mso-position-vertical-relative:paragraph;z-index:7912;mso-wrap-distance-left:0;mso-wrap-distance-right:0" from="65.1968pt,10.020864pt" to="178.5828pt,10.020864pt" stroked="true" strokeweight=".3pt" strokecolor="#231f20">
            <w10:wrap type="topAndBottom"/>
          </v:line>
        </w:pict>
      </w:r>
    </w:p>
    <w:p>
      <w:pPr>
        <w:spacing w:line="204" w:lineRule="exact" w:before="8"/>
        <w:ind w:left="103" w:right="114" w:firstLine="0"/>
        <w:jc w:val="both"/>
        <w:rPr>
          <w:rFonts w:ascii="Calibri" w:hAnsi="Calibri"/>
          <w:sz w:val="17"/>
        </w:rPr>
      </w:pPr>
      <w:r>
        <w:rPr>
          <w:rFonts w:ascii="Calibri" w:hAnsi="Calibri"/>
          <w:color w:val="231F20"/>
          <w:position w:val="6"/>
          <w:sz w:val="10"/>
        </w:rPr>
        <w:t>59 </w:t>
      </w:r>
      <w:r>
        <w:rPr>
          <w:rFonts w:ascii="Calibri" w:hAnsi="Calibri"/>
          <w:color w:val="231F20"/>
          <w:sz w:val="17"/>
        </w:rPr>
        <w:t>C. Schmitt, </w:t>
      </w:r>
      <w:r>
        <w:rPr>
          <w:rFonts w:ascii="Calibri" w:hAnsi="Calibri"/>
          <w:i/>
          <w:color w:val="231F20"/>
          <w:sz w:val="17"/>
        </w:rPr>
        <w:t>Politische Teologie. Vier Kapitel zur Lehre der Souveranität</w:t>
      </w:r>
      <w:r>
        <w:rPr>
          <w:rFonts w:ascii="Calibri" w:hAnsi="Calibri"/>
          <w:color w:val="231F20"/>
          <w:sz w:val="17"/>
        </w:rPr>
        <w:t>, München–Leipzig, Duncker &amp;</w:t>
      </w:r>
      <w:r>
        <w:rPr>
          <w:rFonts w:ascii="Calibri" w:hAnsi="Calibri"/>
          <w:color w:val="231F20"/>
          <w:spacing w:val="-7"/>
          <w:sz w:val="17"/>
        </w:rPr>
        <w:t> </w:t>
      </w:r>
      <w:r>
        <w:rPr>
          <w:rFonts w:ascii="Calibri" w:hAnsi="Calibri"/>
          <w:color w:val="231F20"/>
          <w:sz w:val="17"/>
        </w:rPr>
        <w:t>Humblot,</w:t>
      </w:r>
      <w:r>
        <w:rPr>
          <w:rFonts w:ascii="Calibri" w:hAnsi="Calibri"/>
          <w:color w:val="231F20"/>
          <w:spacing w:val="-7"/>
          <w:sz w:val="17"/>
        </w:rPr>
        <w:t> </w:t>
      </w:r>
      <w:r>
        <w:rPr>
          <w:rFonts w:ascii="Calibri" w:hAnsi="Calibri"/>
          <w:color w:val="231F20"/>
          <w:sz w:val="17"/>
        </w:rPr>
        <w:t>1922</w:t>
      </w:r>
      <w:r>
        <w:rPr>
          <w:rFonts w:ascii="Calibri" w:hAnsi="Calibri"/>
          <w:color w:val="231F20"/>
          <w:spacing w:val="-7"/>
          <w:sz w:val="17"/>
        </w:rPr>
        <w:t> </w:t>
      </w:r>
      <w:r>
        <w:rPr>
          <w:rFonts w:ascii="Calibri" w:hAnsi="Calibri"/>
          <w:color w:val="231F20"/>
          <w:sz w:val="17"/>
        </w:rPr>
        <w:t>(trad.</w:t>
      </w:r>
      <w:r>
        <w:rPr>
          <w:rFonts w:ascii="Calibri" w:hAnsi="Calibri"/>
          <w:color w:val="231F20"/>
          <w:spacing w:val="-7"/>
          <w:sz w:val="17"/>
        </w:rPr>
        <w:t> </w:t>
      </w:r>
      <w:r>
        <w:rPr>
          <w:rFonts w:ascii="Calibri" w:hAnsi="Calibri"/>
          <w:color w:val="231F20"/>
          <w:sz w:val="17"/>
        </w:rPr>
        <w:t>it.,</w:t>
      </w:r>
      <w:r>
        <w:rPr>
          <w:rFonts w:ascii="Calibri" w:hAnsi="Calibri"/>
          <w:color w:val="231F20"/>
          <w:spacing w:val="-7"/>
          <w:sz w:val="17"/>
        </w:rPr>
        <w:t> </w:t>
      </w:r>
      <w:r>
        <w:rPr>
          <w:rFonts w:ascii="Calibri" w:hAnsi="Calibri"/>
          <w:i/>
          <w:color w:val="231F20"/>
          <w:sz w:val="17"/>
        </w:rPr>
        <w:t>Teologia</w:t>
      </w:r>
      <w:r>
        <w:rPr>
          <w:rFonts w:ascii="Calibri" w:hAnsi="Calibri"/>
          <w:i/>
          <w:color w:val="231F20"/>
          <w:spacing w:val="-7"/>
          <w:sz w:val="17"/>
        </w:rPr>
        <w:t> </w:t>
      </w:r>
      <w:r>
        <w:rPr>
          <w:rFonts w:ascii="Calibri" w:hAnsi="Calibri"/>
          <w:i/>
          <w:color w:val="231F20"/>
          <w:sz w:val="17"/>
        </w:rPr>
        <w:t>politica:</w:t>
      </w:r>
      <w:r>
        <w:rPr>
          <w:rFonts w:ascii="Calibri" w:hAnsi="Calibri"/>
          <w:i/>
          <w:color w:val="231F20"/>
          <w:spacing w:val="-7"/>
          <w:sz w:val="17"/>
        </w:rPr>
        <w:t> </w:t>
      </w:r>
      <w:r>
        <w:rPr>
          <w:rFonts w:ascii="Calibri" w:hAnsi="Calibri"/>
          <w:i/>
          <w:color w:val="231F20"/>
          <w:sz w:val="17"/>
        </w:rPr>
        <w:t>quattro</w:t>
      </w:r>
      <w:r>
        <w:rPr>
          <w:rFonts w:ascii="Calibri" w:hAnsi="Calibri"/>
          <w:i/>
          <w:color w:val="231F20"/>
          <w:spacing w:val="-7"/>
          <w:sz w:val="17"/>
        </w:rPr>
        <w:t> </w:t>
      </w:r>
      <w:r>
        <w:rPr>
          <w:rFonts w:ascii="Calibri" w:hAnsi="Calibri"/>
          <w:i/>
          <w:color w:val="231F20"/>
          <w:sz w:val="17"/>
        </w:rPr>
        <w:t>capitoli</w:t>
      </w:r>
      <w:r>
        <w:rPr>
          <w:rFonts w:ascii="Calibri" w:hAnsi="Calibri"/>
          <w:i/>
          <w:color w:val="231F20"/>
          <w:spacing w:val="-7"/>
          <w:sz w:val="17"/>
        </w:rPr>
        <w:t> </w:t>
      </w:r>
      <w:r>
        <w:rPr>
          <w:rFonts w:ascii="Calibri" w:hAnsi="Calibri"/>
          <w:i/>
          <w:color w:val="231F20"/>
          <w:sz w:val="17"/>
        </w:rPr>
        <w:t>sulla</w:t>
      </w:r>
      <w:r>
        <w:rPr>
          <w:rFonts w:ascii="Calibri" w:hAnsi="Calibri"/>
          <w:i/>
          <w:color w:val="231F20"/>
          <w:spacing w:val="-7"/>
          <w:sz w:val="17"/>
        </w:rPr>
        <w:t> </w:t>
      </w:r>
      <w:r>
        <w:rPr>
          <w:rFonts w:ascii="Calibri" w:hAnsi="Calibri"/>
          <w:i/>
          <w:color w:val="231F20"/>
          <w:sz w:val="17"/>
        </w:rPr>
        <w:t>dottrina</w:t>
      </w:r>
      <w:r>
        <w:rPr>
          <w:rFonts w:ascii="Calibri" w:hAnsi="Calibri"/>
          <w:i/>
          <w:color w:val="231F20"/>
          <w:spacing w:val="-7"/>
          <w:sz w:val="17"/>
        </w:rPr>
        <w:t> </w:t>
      </w:r>
      <w:r>
        <w:rPr>
          <w:rFonts w:ascii="Calibri" w:hAnsi="Calibri"/>
          <w:i/>
          <w:color w:val="231F20"/>
          <w:sz w:val="17"/>
        </w:rPr>
        <w:t>della</w:t>
      </w:r>
      <w:r>
        <w:rPr>
          <w:rFonts w:ascii="Calibri" w:hAnsi="Calibri"/>
          <w:i/>
          <w:color w:val="231F20"/>
          <w:spacing w:val="-7"/>
          <w:sz w:val="17"/>
        </w:rPr>
        <w:t> </w:t>
      </w:r>
      <w:r>
        <w:rPr>
          <w:rFonts w:ascii="Calibri" w:hAnsi="Calibri"/>
          <w:i/>
          <w:color w:val="231F20"/>
          <w:sz w:val="17"/>
        </w:rPr>
        <w:t>sovranità</w:t>
      </w:r>
      <w:r>
        <w:rPr>
          <w:rFonts w:ascii="Calibri" w:hAnsi="Calibri"/>
          <w:color w:val="231F20"/>
          <w:sz w:val="17"/>
        </w:rPr>
        <w:t>,</w:t>
      </w:r>
      <w:r>
        <w:rPr>
          <w:rFonts w:ascii="Calibri" w:hAnsi="Calibri"/>
          <w:color w:val="231F20"/>
          <w:spacing w:val="-7"/>
          <w:sz w:val="17"/>
        </w:rPr>
        <w:t> </w:t>
      </w:r>
      <w:r>
        <w:rPr>
          <w:rFonts w:ascii="Calibri" w:hAnsi="Calibri"/>
          <w:color w:val="231F20"/>
          <w:sz w:val="17"/>
        </w:rPr>
        <w:t>in</w:t>
      </w:r>
      <w:r>
        <w:rPr>
          <w:rFonts w:ascii="Calibri" w:hAnsi="Calibri"/>
          <w:color w:val="231F20"/>
          <w:spacing w:val="-7"/>
          <w:sz w:val="17"/>
        </w:rPr>
        <w:t> </w:t>
      </w:r>
      <w:r>
        <w:rPr>
          <w:rFonts w:ascii="Calibri" w:hAnsi="Calibri"/>
          <w:color w:val="231F20"/>
          <w:sz w:val="17"/>
        </w:rPr>
        <w:t>Idem,</w:t>
      </w:r>
      <w:r>
        <w:rPr>
          <w:rFonts w:ascii="Calibri" w:hAnsi="Calibri"/>
          <w:color w:val="231F20"/>
          <w:spacing w:val="-7"/>
          <w:sz w:val="17"/>
        </w:rPr>
        <w:t> </w:t>
      </w:r>
      <w:r>
        <w:rPr>
          <w:rFonts w:ascii="Calibri" w:hAnsi="Calibri"/>
          <w:i/>
          <w:color w:val="231F20"/>
          <w:sz w:val="17"/>
        </w:rPr>
        <w:t>Le </w:t>
      </w:r>
      <w:r>
        <w:rPr>
          <w:rFonts w:ascii="Calibri" w:hAnsi="Calibri"/>
          <w:i/>
          <w:color w:val="231F20"/>
          <w:sz w:val="17"/>
        </w:rPr>
        <w:t>categorie del politico, </w:t>
      </w:r>
      <w:r>
        <w:rPr>
          <w:rFonts w:ascii="Calibri" w:hAnsi="Calibri"/>
          <w:color w:val="231F20"/>
          <w:sz w:val="17"/>
        </w:rPr>
        <w:t>pp. 33–34). Sobre este aspecto de la teoría política schmitiana véase C. Galli, </w:t>
      </w:r>
      <w:r>
        <w:rPr>
          <w:rFonts w:ascii="Calibri" w:hAnsi="Calibri"/>
          <w:i/>
          <w:color w:val="231F20"/>
          <w:sz w:val="17"/>
        </w:rPr>
        <w:t>Genealogia della politica. Carl Schmitt e la crisi del pensiero politico moderno</w:t>
      </w:r>
      <w:r>
        <w:rPr>
          <w:rFonts w:ascii="Calibri" w:hAnsi="Calibri"/>
          <w:color w:val="231F20"/>
          <w:sz w:val="17"/>
        </w:rPr>
        <w:t>, Bologna, il Mulino, </w:t>
      </w:r>
      <w:r>
        <w:rPr>
          <w:rFonts w:ascii="Calibri" w:hAnsi="Calibri"/>
          <w:color w:val="231F20"/>
          <w:w w:val="95"/>
          <w:sz w:val="17"/>
        </w:rPr>
        <w:t>1996, pp.</w:t>
      </w:r>
      <w:r>
        <w:rPr>
          <w:rFonts w:ascii="Calibri" w:hAnsi="Calibri"/>
          <w:color w:val="231F20"/>
          <w:spacing w:val="-20"/>
          <w:w w:val="95"/>
          <w:sz w:val="17"/>
        </w:rPr>
        <w:t> </w:t>
      </w:r>
      <w:r>
        <w:rPr>
          <w:rFonts w:ascii="Calibri" w:hAnsi="Calibri"/>
          <w:color w:val="231F20"/>
          <w:w w:val="95"/>
          <w:sz w:val="17"/>
        </w:rPr>
        <w:t>331–347.</w:t>
      </w:r>
    </w:p>
    <w:p>
      <w:pPr>
        <w:spacing w:line="204" w:lineRule="exact" w:before="0"/>
        <w:ind w:left="103" w:right="114" w:firstLine="0"/>
        <w:jc w:val="both"/>
        <w:rPr>
          <w:rFonts w:ascii="Calibri" w:hAnsi="Calibri"/>
          <w:sz w:val="17"/>
        </w:rPr>
      </w:pPr>
      <w:r>
        <w:rPr>
          <w:rFonts w:ascii="Calibri" w:hAnsi="Calibri"/>
          <w:color w:val="231F20"/>
          <w:w w:val="105"/>
          <w:position w:val="6"/>
          <w:sz w:val="10"/>
        </w:rPr>
        <w:t>60</w:t>
      </w:r>
      <w:r>
        <w:rPr>
          <w:rFonts w:ascii="Calibri" w:hAnsi="Calibri"/>
          <w:color w:val="231F20"/>
          <w:spacing w:val="2"/>
          <w:w w:val="105"/>
          <w:position w:val="6"/>
          <w:sz w:val="10"/>
        </w:rPr>
        <w:t> </w:t>
      </w:r>
      <w:r>
        <w:rPr>
          <w:rFonts w:ascii="Calibri" w:hAnsi="Calibri"/>
          <w:color w:val="231F20"/>
          <w:w w:val="105"/>
          <w:sz w:val="17"/>
        </w:rPr>
        <w:t>M.</w:t>
      </w:r>
      <w:r>
        <w:rPr>
          <w:rFonts w:ascii="Calibri" w:hAnsi="Calibri"/>
          <w:color w:val="231F20"/>
          <w:spacing w:val="-14"/>
          <w:w w:val="105"/>
          <w:sz w:val="17"/>
        </w:rPr>
        <w:t> </w:t>
      </w:r>
      <w:r>
        <w:rPr>
          <w:rFonts w:ascii="Calibri" w:hAnsi="Calibri"/>
          <w:color w:val="231F20"/>
          <w:w w:val="105"/>
          <w:sz w:val="17"/>
        </w:rPr>
        <w:t>Neocleous,</w:t>
      </w:r>
      <w:r>
        <w:rPr>
          <w:rFonts w:ascii="Calibri" w:hAnsi="Calibri"/>
          <w:color w:val="231F20"/>
          <w:spacing w:val="-14"/>
          <w:w w:val="105"/>
          <w:sz w:val="17"/>
        </w:rPr>
        <w:t> </w:t>
      </w:r>
      <w:r>
        <w:rPr>
          <w:rFonts w:ascii="Calibri" w:hAnsi="Calibri"/>
          <w:i/>
          <w:color w:val="231F20"/>
          <w:w w:val="105"/>
          <w:sz w:val="17"/>
        </w:rPr>
        <w:t>Critique</w:t>
      </w:r>
      <w:r>
        <w:rPr>
          <w:rFonts w:ascii="Calibri" w:hAnsi="Calibri"/>
          <w:i/>
          <w:color w:val="231F20"/>
          <w:spacing w:val="-15"/>
          <w:w w:val="105"/>
          <w:sz w:val="17"/>
        </w:rPr>
        <w:t> </w:t>
      </w:r>
      <w:r>
        <w:rPr>
          <w:rFonts w:ascii="Calibri" w:hAnsi="Calibri"/>
          <w:i/>
          <w:color w:val="231F20"/>
          <w:w w:val="105"/>
          <w:sz w:val="17"/>
        </w:rPr>
        <w:t>of</w:t>
      </w:r>
      <w:r>
        <w:rPr>
          <w:rFonts w:ascii="Calibri" w:hAnsi="Calibri"/>
          <w:i/>
          <w:color w:val="231F20"/>
          <w:spacing w:val="-15"/>
          <w:w w:val="105"/>
          <w:sz w:val="17"/>
        </w:rPr>
        <w:t> </w:t>
      </w:r>
      <w:r>
        <w:rPr>
          <w:rFonts w:ascii="Calibri" w:hAnsi="Calibri"/>
          <w:i/>
          <w:color w:val="231F20"/>
          <w:w w:val="105"/>
          <w:sz w:val="17"/>
        </w:rPr>
        <w:t>security</w:t>
      </w:r>
      <w:r>
        <w:rPr>
          <w:rFonts w:ascii="Calibri" w:hAnsi="Calibri"/>
          <w:color w:val="231F20"/>
          <w:w w:val="105"/>
          <w:sz w:val="17"/>
        </w:rPr>
        <w:t>,</w:t>
      </w:r>
      <w:r>
        <w:rPr>
          <w:rFonts w:ascii="Calibri" w:hAnsi="Calibri"/>
          <w:color w:val="231F20"/>
          <w:spacing w:val="-14"/>
          <w:w w:val="105"/>
          <w:sz w:val="17"/>
        </w:rPr>
        <w:t> </w:t>
      </w:r>
      <w:r>
        <w:rPr>
          <w:rFonts w:ascii="Calibri" w:hAnsi="Calibri"/>
          <w:color w:val="231F20"/>
          <w:w w:val="105"/>
          <w:sz w:val="17"/>
        </w:rPr>
        <w:t>Edimburgh,</w:t>
      </w:r>
      <w:r>
        <w:rPr>
          <w:rFonts w:ascii="Calibri" w:hAnsi="Calibri"/>
          <w:color w:val="231F20"/>
          <w:spacing w:val="-14"/>
          <w:w w:val="105"/>
          <w:sz w:val="17"/>
        </w:rPr>
        <w:t> </w:t>
      </w:r>
      <w:r>
        <w:rPr>
          <w:rFonts w:ascii="Calibri" w:hAnsi="Calibri"/>
          <w:color w:val="231F20"/>
          <w:w w:val="105"/>
          <w:sz w:val="17"/>
        </w:rPr>
        <w:t>Edimburgh</w:t>
      </w:r>
      <w:r>
        <w:rPr>
          <w:rFonts w:ascii="Calibri" w:hAnsi="Calibri"/>
          <w:color w:val="231F20"/>
          <w:spacing w:val="-14"/>
          <w:w w:val="105"/>
          <w:sz w:val="17"/>
        </w:rPr>
        <w:t> </w:t>
      </w:r>
      <w:r>
        <w:rPr>
          <w:rFonts w:ascii="Calibri" w:hAnsi="Calibri"/>
          <w:color w:val="231F20"/>
          <w:w w:val="105"/>
          <w:sz w:val="17"/>
        </w:rPr>
        <w:t>University</w:t>
      </w:r>
      <w:r>
        <w:rPr>
          <w:rFonts w:ascii="Calibri" w:hAnsi="Calibri"/>
          <w:color w:val="231F20"/>
          <w:spacing w:val="-14"/>
          <w:w w:val="105"/>
          <w:sz w:val="17"/>
        </w:rPr>
        <w:t> </w:t>
      </w:r>
      <w:r>
        <w:rPr>
          <w:rFonts w:ascii="Calibri" w:hAnsi="Calibri"/>
          <w:color w:val="231F20"/>
          <w:w w:val="105"/>
          <w:sz w:val="17"/>
        </w:rPr>
        <w:t>Press,</w:t>
      </w:r>
      <w:r>
        <w:rPr>
          <w:rFonts w:ascii="Calibri" w:hAnsi="Calibri"/>
          <w:color w:val="231F20"/>
          <w:spacing w:val="-14"/>
          <w:w w:val="105"/>
          <w:sz w:val="17"/>
        </w:rPr>
        <w:t> </w:t>
      </w:r>
      <w:r>
        <w:rPr>
          <w:rFonts w:ascii="Calibri" w:hAnsi="Calibri"/>
          <w:color w:val="231F20"/>
          <w:w w:val="105"/>
          <w:sz w:val="17"/>
        </w:rPr>
        <w:t>2008,</w:t>
      </w:r>
      <w:r>
        <w:rPr>
          <w:rFonts w:ascii="Calibri" w:hAnsi="Calibri"/>
          <w:color w:val="231F20"/>
          <w:spacing w:val="-14"/>
          <w:w w:val="105"/>
          <w:sz w:val="17"/>
        </w:rPr>
        <w:t> </w:t>
      </w:r>
      <w:r>
        <w:rPr>
          <w:rFonts w:ascii="Calibri" w:hAnsi="Calibri"/>
          <w:color w:val="231F20"/>
          <w:w w:val="105"/>
          <w:sz w:val="17"/>
        </w:rPr>
        <w:t>p.</w:t>
      </w:r>
      <w:r>
        <w:rPr>
          <w:rFonts w:ascii="Calibri" w:hAnsi="Calibri"/>
          <w:color w:val="231F20"/>
          <w:spacing w:val="-14"/>
          <w:w w:val="105"/>
          <w:sz w:val="17"/>
        </w:rPr>
        <w:t> </w:t>
      </w:r>
      <w:r>
        <w:rPr>
          <w:rFonts w:ascii="Calibri" w:hAnsi="Calibri"/>
          <w:color w:val="231F20"/>
          <w:w w:val="105"/>
          <w:sz w:val="17"/>
        </w:rPr>
        <w:t>40.</w:t>
      </w:r>
      <w:r>
        <w:rPr>
          <w:rFonts w:ascii="Calibri" w:hAnsi="Calibri"/>
          <w:color w:val="231F20"/>
          <w:spacing w:val="-14"/>
          <w:w w:val="105"/>
          <w:sz w:val="17"/>
        </w:rPr>
        <w:t> </w:t>
      </w:r>
      <w:r>
        <w:rPr>
          <w:rFonts w:ascii="Calibri" w:hAnsi="Calibri"/>
          <w:color w:val="231F20"/>
          <w:w w:val="105"/>
          <w:sz w:val="17"/>
        </w:rPr>
        <w:t>Sobre</w:t>
      </w:r>
      <w:r>
        <w:rPr>
          <w:rFonts w:ascii="Calibri" w:hAnsi="Calibri"/>
          <w:color w:val="231F20"/>
          <w:spacing w:val="-14"/>
          <w:w w:val="105"/>
          <w:sz w:val="17"/>
        </w:rPr>
        <w:t> </w:t>
      </w:r>
      <w:r>
        <w:rPr>
          <w:rFonts w:ascii="Calibri" w:hAnsi="Calibri"/>
          <w:color w:val="231F20"/>
          <w:w w:val="105"/>
          <w:sz w:val="17"/>
        </w:rPr>
        <w:t>el proceso</w:t>
      </w:r>
      <w:r>
        <w:rPr>
          <w:rFonts w:ascii="Calibri" w:hAnsi="Calibri"/>
          <w:color w:val="231F20"/>
          <w:spacing w:val="-12"/>
          <w:w w:val="105"/>
          <w:sz w:val="17"/>
        </w:rPr>
        <w:t> </w:t>
      </w:r>
      <w:r>
        <w:rPr>
          <w:rFonts w:ascii="Calibri" w:hAnsi="Calibri"/>
          <w:color w:val="231F20"/>
          <w:w w:val="105"/>
          <w:sz w:val="17"/>
        </w:rPr>
        <w:t>de</w:t>
      </w:r>
      <w:r>
        <w:rPr>
          <w:rFonts w:ascii="Calibri" w:hAnsi="Calibri"/>
          <w:color w:val="231F20"/>
          <w:spacing w:val="-12"/>
          <w:w w:val="105"/>
          <w:sz w:val="17"/>
        </w:rPr>
        <w:t> </w:t>
      </w:r>
      <w:r>
        <w:rPr>
          <w:rFonts w:ascii="Calibri" w:hAnsi="Calibri"/>
          <w:color w:val="231F20"/>
          <w:w w:val="105"/>
          <w:sz w:val="17"/>
        </w:rPr>
        <w:t>“normalización”</w:t>
      </w:r>
      <w:r>
        <w:rPr>
          <w:rFonts w:ascii="Calibri" w:hAnsi="Calibri"/>
          <w:color w:val="231F20"/>
          <w:spacing w:val="-12"/>
          <w:w w:val="105"/>
          <w:sz w:val="17"/>
        </w:rPr>
        <w:t> </w:t>
      </w:r>
      <w:r>
        <w:rPr>
          <w:rFonts w:ascii="Calibri" w:hAnsi="Calibri"/>
          <w:color w:val="231F20"/>
          <w:w w:val="105"/>
          <w:sz w:val="17"/>
        </w:rPr>
        <w:t>del</w:t>
      </w:r>
      <w:r>
        <w:rPr>
          <w:rFonts w:ascii="Calibri" w:hAnsi="Calibri"/>
          <w:color w:val="231F20"/>
          <w:spacing w:val="-12"/>
          <w:w w:val="105"/>
          <w:sz w:val="17"/>
        </w:rPr>
        <w:t> </w:t>
      </w:r>
      <w:r>
        <w:rPr>
          <w:rFonts w:ascii="Calibri" w:hAnsi="Calibri"/>
          <w:color w:val="231F20"/>
          <w:w w:val="105"/>
          <w:sz w:val="17"/>
        </w:rPr>
        <w:t>paradigma</w:t>
      </w:r>
      <w:r>
        <w:rPr>
          <w:rFonts w:ascii="Calibri" w:hAnsi="Calibri"/>
          <w:color w:val="231F20"/>
          <w:spacing w:val="-12"/>
          <w:w w:val="105"/>
          <w:sz w:val="17"/>
        </w:rPr>
        <w:t> </w:t>
      </w:r>
      <w:r>
        <w:rPr>
          <w:rFonts w:ascii="Calibri" w:hAnsi="Calibri"/>
          <w:color w:val="231F20"/>
          <w:w w:val="105"/>
          <w:sz w:val="17"/>
        </w:rPr>
        <w:t>schmitiano</w:t>
      </w:r>
      <w:r>
        <w:rPr>
          <w:rFonts w:ascii="Calibri" w:hAnsi="Calibri"/>
          <w:color w:val="231F20"/>
          <w:spacing w:val="-12"/>
          <w:w w:val="105"/>
          <w:sz w:val="17"/>
        </w:rPr>
        <w:t> </w:t>
      </w:r>
      <w:r>
        <w:rPr>
          <w:rFonts w:ascii="Calibri" w:hAnsi="Calibri"/>
          <w:color w:val="231F20"/>
          <w:w w:val="105"/>
          <w:sz w:val="17"/>
        </w:rPr>
        <w:t>de</w:t>
      </w:r>
      <w:r>
        <w:rPr>
          <w:rFonts w:ascii="Calibri" w:hAnsi="Calibri"/>
          <w:color w:val="231F20"/>
          <w:spacing w:val="-12"/>
          <w:w w:val="105"/>
          <w:sz w:val="17"/>
        </w:rPr>
        <w:t> </w:t>
      </w:r>
      <w:r>
        <w:rPr>
          <w:rFonts w:ascii="Calibri" w:hAnsi="Calibri"/>
          <w:color w:val="231F20"/>
          <w:w w:val="105"/>
          <w:sz w:val="17"/>
        </w:rPr>
        <w:t>la</w:t>
      </w:r>
      <w:r>
        <w:rPr>
          <w:rFonts w:ascii="Calibri" w:hAnsi="Calibri"/>
          <w:color w:val="231F20"/>
          <w:spacing w:val="-12"/>
          <w:w w:val="105"/>
          <w:sz w:val="17"/>
        </w:rPr>
        <w:t> </w:t>
      </w:r>
      <w:r>
        <w:rPr>
          <w:rFonts w:ascii="Calibri" w:hAnsi="Calibri"/>
          <w:color w:val="231F20"/>
          <w:w w:val="105"/>
          <w:sz w:val="17"/>
        </w:rPr>
        <w:t>excepción</w:t>
      </w:r>
      <w:r>
        <w:rPr>
          <w:rFonts w:ascii="Calibri" w:hAnsi="Calibri"/>
          <w:color w:val="231F20"/>
          <w:spacing w:val="-12"/>
          <w:w w:val="105"/>
          <w:sz w:val="17"/>
        </w:rPr>
        <w:t> </w:t>
      </w:r>
      <w:r>
        <w:rPr>
          <w:rFonts w:ascii="Calibri" w:hAnsi="Calibri"/>
          <w:color w:val="231F20"/>
          <w:w w:val="105"/>
          <w:sz w:val="17"/>
        </w:rPr>
        <w:t>que</w:t>
      </w:r>
      <w:r>
        <w:rPr>
          <w:rFonts w:ascii="Calibri" w:hAnsi="Calibri"/>
          <w:color w:val="231F20"/>
          <w:spacing w:val="-12"/>
          <w:w w:val="105"/>
          <w:sz w:val="17"/>
        </w:rPr>
        <w:t> </w:t>
      </w:r>
      <w:r>
        <w:rPr>
          <w:rFonts w:ascii="Calibri" w:hAnsi="Calibri"/>
          <w:color w:val="231F20"/>
          <w:w w:val="105"/>
          <w:sz w:val="17"/>
        </w:rPr>
        <w:t>caracteriza</w:t>
      </w:r>
      <w:r>
        <w:rPr>
          <w:rFonts w:ascii="Calibri" w:hAnsi="Calibri"/>
          <w:color w:val="231F20"/>
          <w:spacing w:val="-12"/>
          <w:w w:val="105"/>
          <w:sz w:val="17"/>
        </w:rPr>
        <w:t> </w:t>
      </w:r>
      <w:r>
        <w:rPr>
          <w:rFonts w:ascii="Calibri" w:hAnsi="Calibri"/>
          <w:color w:val="231F20"/>
          <w:w w:val="105"/>
          <w:sz w:val="17"/>
        </w:rPr>
        <w:t>el</w:t>
      </w:r>
      <w:r>
        <w:rPr>
          <w:rFonts w:ascii="Calibri" w:hAnsi="Calibri"/>
          <w:color w:val="231F20"/>
          <w:spacing w:val="-12"/>
          <w:w w:val="105"/>
          <w:sz w:val="17"/>
        </w:rPr>
        <w:t> </w:t>
      </w:r>
      <w:r>
        <w:rPr>
          <w:rFonts w:ascii="Calibri" w:hAnsi="Calibri"/>
          <w:color w:val="231F20"/>
          <w:w w:val="105"/>
          <w:sz w:val="17"/>
        </w:rPr>
        <w:t>reciente debate</w:t>
      </w:r>
      <w:r>
        <w:rPr>
          <w:rFonts w:ascii="Calibri" w:hAnsi="Calibri"/>
          <w:color w:val="231F20"/>
          <w:spacing w:val="-3"/>
          <w:w w:val="105"/>
          <w:sz w:val="17"/>
        </w:rPr>
        <w:t> </w:t>
      </w:r>
      <w:r>
        <w:rPr>
          <w:rFonts w:ascii="Calibri" w:hAnsi="Calibri"/>
          <w:color w:val="231F20"/>
          <w:w w:val="105"/>
          <w:sz w:val="17"/>
        </w:rPr>
        <w:t>sobre</w:t>
      </w:r>
      <w:r>
        <w:rPr>
          <w:rFonts w:ascii="Calibri" w:hAnsi="Calibri"/>
          <w:color w:val="231F20"/>
          <w:spacing w:val="-3"/>
          <w:w w:val="105"/>
          <w:sz w:val="17"/>
        </w:rPr>
        <w:t> </w:t>
      </w:r>
      <w:r>
        <w:rPr>
          <w:rFonts w:ascii="Calibri" w:hAnsi="Calibri"/>
          <w:color w:val="231F20"/>
          <w:w w:val="105"/>
          <w:sz w:val="17"/>
        </w:rPr>
        <w:t>el</w:t>
      </w:r>
      <w:r>
        <w:rPr>
          <w:rFonts w:ascii="Calibri" w:hAnsi="Calibri"/>
          <w:color w:val="231F20"/>
          <w:spacing w:val="-3"/>
          <w:w w:val="105"/>
          <w:sz w:val="17"/>
        </w:rPr>
        <w:t> </w:t>
      </w:r>
      <w:r>
        <w:rPr>
          <w:rFonts w:ascii="Calibri" w:hAnsi="Calibri"/>
          <w:color w:val="231F20"/>
          <w:w w:val="105"/>
          <w:sz w:val="17"/>
        </w:rPr>
        <w:t>“new</w:t>
      </w:r>
      <w:r>
        <w:rPr>
          <w:rFonts w:ascii="Calibri" w:hAnsi="Calibri"/>
          <w:color w:val="231F20"/>
          <w:spacing w:val="-3"/>
          <w:w w:val="105"/>
          <w:sz w:val="17"/>
        </w:rPr>
        <w:t> </w:t>
      </w:r>
      <w:r>
        <w:rPr>
          <w:rFonts w:ascii="Calibri" w:hAnsi="Calibri"/>
          <w:color w:val="231F20"/>
          <w:w w:val="105"/>
          <w:sz w:val="17"/>
        </w:rPr>
        <w:t>global</w:t>
      </w:r>
      <w:r>
        <w:rPr>
          <w:rFonts w:ascii="Calibri" w:hAnsi="Calibri"/>
          <w:color w:val="231F20"/>
          <w:spacing w:val="-3"/>
          <w:w w:val="105"/>
          <w:sz w:val="17"/>
        </w:rPr>
        <w:t> </w:t>
      </w:r>
      <w:r>
        <w:rPr>
          <w:rFonts w:ascii="Calibri" w:hAnsi="Calibri"/>
          <w:color w:val="231F20"/>
          <w:w w:val="105"/>
          <w:sz w:val="17"/>
        </w:rPr>
        <w:t>order”</w:t>
      </w:r>
      <w:r>
        <w:rPr>
          <w:rFonts w:ascii="Calibri" w:hAnsi="Calibri"/>
          <w:color w:val="231F20"/>
          <w:spacing w:val="-5"/>
          <w:w w:val="105"/>
          <w:sz w:val="17"/>
        </w:rPr>
        <w:t> </w:t>
      </w:r>
      <w:r>
        <w:rPr>
          <w:rFonts w:ascii="Calibri" w:hAnsi="Calibri"/>
          <w:color w:val="231F20"/>
          <w:w w:val="105"/>
          <w:sz w:val="17"/>
        </w:rPr>
        <w:t>véase</w:t>
      </w:r>
      <w:r>
        <w:rPr>
          <w:rFonts w:ascii="Calibri" w:hAnsi="Calibri"/>
          <w:color w:val="231F20"/>
          <w:spacing w:val="-3"/>
          <w:w w:val="105"/>
          <w:sz w:val="17"/>
        </w:rPr>
        <w:t> </w:t>
      </w:r>
      <w:r>
        <w:rPr>
          <w:rFonts w:ascii="Calibri" w:hAnsi="Calibri"/>
          <w:color w:val="231F20"/>
          <w:w w:val="105"/>
          <w:sz w:val="17"/>
        </w:rPr>
        <w:t>por</w:t>
      </w:r>
      <w:r>
        <w:rPr>
          <w:rFonts w:ascii="Calibri" w:hAnsi="Calibri"/>
          <w:color w:val="231F20"/>
          <w:spacing w:val="-3"/>
          <w:w w:val="105"/>
          <w:sz w:val="17"/>
        </w:rPr>
        <w:t> </w:t>
      </w:r>
      <w:r>
        <w:rPr>
          <w:rFonts w:ascii="Calibri" w:hAnsi="Calibri"/>
          <w:color w:val="231F20"/>
          <w:w w:val="105"/>
          <w:sz w:val="17"/>
        </w:rPr>
        <w:t>lo</w:t>
      </w:r>
      <w:r>
        <w:rPr>
          <w:rFonts w:ascii="Calibri" w:hAnsi="Calibri"/>
          <w:color w:val="231F20"/>
          <w:spacing w:val="-3"/>
          <w:w w:val="105"/>
          <w:sz w:val="17"/>
        </w:rPr>
        <w:t> </w:t>
      </w:r>
      <w:r>
        <w:rPr>
          <w:rFonts w:ascii="Calibri" w:hAnsi="Calibri"/>
          <w:color w:val="231F20"/>
          <w:w w:val="105"/>
          <w:sz w:val="17"/>
        </w:rPr>
        <w:t>menos</w:t>
      </w:r>
      <w:r>
        <w:rPr>
          <w:rFonts w:ascii="Calibri" w:hAnsi="Calibri"/>
          <w:color w:val="231F20"/>
          <w:spacing w:val="-3"/>
          <w:w w:val="105"/>
          <w:sz w:val="17"/>
        </w:rPr>
        <w:t> </w:t>
      </w:r>
      <w:r>
        <w:rPr>
          <w:rFonts w:ascii="Calibri" w:hAnsi="Calibri"/>
          <w:color w:val="231F20"/>
          <w:w w:val="105"/>
          <w:sz w:val="17"/>
        </w:rPr>
        <w:t>A.</w:t>
      </w:r>
      <w:r>
        <w:rPr>
          <w:rFonts w:ascii="Calibri" w:hAnsi="Calibri"/>
          <w:color w:val="231F20"/>
          <w:spacing w:val="-3"/>
          <w:w w:val="105"/>
          <w:sz w:val="17"/>
        </w:rPr>
        <w:t> </w:t>
      </w:r>
      <w:r>
        <w:rPr>
          <w:rFonts w:ascii="Calibri" w:hAnsi="Calibri"/>
          <w:color w:val="231F20"/>
          <w:w w:val="105"/>
          <w:sz w:val="17"/>
        </w:rPr>
        <w:t>de</w:t>
      </w:r>
      <w:r>
        <w:rPr>
          <w:rFonts w:ascii="Calibri" w:hAnsi="Calibri"/>
          <w:color w:val="231F20"/>
          <w:spacing w:val="-3"/>
          <w:w w:val="105"/>
          <w:sz w:val="17"/>
        </w:rPr>
        <w:t> </w:t>
      </w:r>
      <w:r>
        <w:rPr>
          <w:rFonts w:ascii="Calibri" w:hAnsi="Calibri"/>
          <w:color w:val="231F20"/>
          <w:w w:val="105"/>
          <w:sz w:val="17"/>
        </w:rPr>
        <w:t>Benoist,</w:t>
      </w:r>
      <w:r>
        <w:rPr>
          <w:rFonts w:ascii="Calibri" w:hAnsi="Calibri"/>
          <w:color w:val="231F20"/>
          <w:spacing w:val="-3"/>
          <w:w w:val="105"/>
          <w:sz w:val="17"/>
        </w:rPr>
        <w:t> </w:t>
      </w:r>
      <w:r>
        <w:rPr>
          <w:rFonts w:ascii="Calibri" w:hAnsi="Calibri"/>
          <w:color w:val="231F20"/>
          <w:w w:val="105"/>
          <w:sz w:val="17"/>
        </w:rPr>
        <w:t>“Global</w:t>
      </w:r>
      <w:r>
        <w:rPr>
          <w:rFonts w:ascii="Calibri" w:hAnsi="Calibri"/>
          <w:color w:val="231F20"/>
          <w:spacing w:val="-3"/>
          <w:w w:val="105"/>
          <w:sz w:val="17"/>
        </w:rPr>
        <w:t> </w:t>
      </w:r>
      <w:r>
        <w:rPr>
          <w:rFonts w:ascii="Calibri" w:hAnsi="Calibri"/>
          <w:color w:val="231F20"/>
          <w:w w:val="105"/>
          <w:sz w:val="17"/>
        </w:rPr>
        <w:t>terrorism</w:t>
      </w:r>
      <w:r>
        <w:rPr>
          <w:rFonts w:ascii="Calibri" w:hAnsi="Calibri"/>
          <w:color w:val="231F20"/>
          <w:spacing w:val="-3"/>
          <w:w w:val="105"/>
          <w:sz w:val="17"/>
        </w:rPr>
        <w:t> </w:t>
      </w:r>
      <w:r>
        <w:rPr>
          <w:rFonts w:ascii="Calibri" w:hAnsi="Calibri"/>
          <w:color w:val="231F20"/>
          <w:w w:val="105"/>
          <w:sz w:val="17"/>
        </w:rPr>
        <w:t>and</w:t>
      </w:r>
      <w:r>
        <w:rPr>
          <w:rFonts w:ascii="Calibri" w:hAnsi="Calibri"/>
          <w:color w:val="231F20"/>
          <w:spacing w:val="-3"/>
          <w:w w:val="105"/>
          <w:sz w:val="17"/>
        </w:rPr>
        <w:t> </w:t>
      </w:r>
      <w:r>
        <w:rPr>
          <w:rFonts w:ascii="Calibri" w:hAnsi="Calibri"/>
          <w:color w:val="231F20"/>
          <w:w w:val="105"/>
          <w:sz w:val="17"/>
        </w:rPr>
        <w:t>the state of permanent exception: the significance of Carl Schmitt’s thought today”, </w:t>
      </w:r>
      <w:r>
        <w:rPr>
          <w:rFonts w:ascii="Calibri" w:hAnsi="Calibri"/>
          <w:i/>
          <w:color w:val="231F20"/>
          <w:w w:val="105"/>
          <w:sz w:val="17"/>
        </w:rPr>
        <w:t>The Internatio- </w:t>
      </w:r>
      <w:r>
        <w:rPr>
          <w:rFonts w:ascii="Calibri" w:hAnsi="Calibri"/>
          <w:i/>
          <w:color w:val="231F20"/>
          <w:w w:val="105"/>
          <w:sz w:val="17"/>
        </w:rPr>
        <w:t>nal</w:t>
      </w:r>
      <w:r>
        <w:rPr>
          <w:rFonts w:ascii="Calibri" w:hAnsi="Calibri"/>
          <w:i/>
          <w:color w:val="231F20"/>
          <w:spacing w:val="-26"/>
          <w:w w:val="105"/>
          <w:sz w:val="17"/>
        </w:rPr>
        <w:t> </w:t>
      </w:r>
      <w:r>
        <w:rPr>
          <w:rFonts w:ascii="Calibri" w:hAnsi="Calibri"/>
          <w:i/>
          <w:color w:val="231F20"/>
          <w:w w:val="105"/>
          <w:sz w:val="17"/>
        </w:rPr>
        <w:t>Political</w:t>
      </w:r>
      <w:r>
        <w:rPr>
          <w:rFonts w:ascii="Calibri" w:hAnsi="Calibri"/>
          <w:i/>
          <w:color w:val="231F20"/>
          <w:spacing w:val="-27"/>
          <w:w w:val="105"/>
          <w:sz w:val="17"/>
        </w:rPr>
        <w:t> </w:t>
      </w:r>
      <w:r>
        <w:rPr>
          <w:rFonts w:ascii="Calibri" w:hAnsi="Calibri"/>
          <w:i/>
          <w:color w:val="231F20"/>
          <w:w w:val="105"/>
          <w:sz w:val="17"/>
        </w:rPr>
        <w:t>Thought</w:t>
      </w:r>
      <w:r>
        <w:rPr>
          <w:rFonts w:ascii="Calibri" w:hAnsi="Calibri"/>
          <w:i/>
          <w:color w:val="231F20"/>
          <w:spacing w:val="-26"/>
          <w:w w:val="105"/>
          <w:sz w:val="17"/>
        </w:rPr>
        <w:t> </w:t>
      </w:r>
      <w:r>
        <w:rPr>
          <w:rFonts w:ascii="Calibri" w:hAnsi="Calibri"/>
          <w:i/>
          <w:color w:val="231F20"/>
          <w:w w:val="105"/>
          <w:sz w:val="17"/>
        </w:rPr>
        <w:t>of</w:t>
      </w:r>
      <w:r>
        <w:rPr>
          <w:rFonts w:ascii="Calibri" w:hAnsi="Calibri"/>
          <w:i/>
          <w:color w:val="231F20"/>
          <w:spacing w:val="-26"/>
          <w:w w:val="105"/>
          <w:sz w:val="17"/>
        </w:rPr>
        <w:t> </w:t>
      </w:r>
      <w:r>
        <w:rPr>
          <w:rFonts w:ascii="Calibri" w:hAnsi="Calibri"/>
          <w:i/>
          <w:color w:val="231F20"/>
          <w:w w:val="105"/>
          <w:sz w:val="17"/>
        </w:rPr>
        <w:t>Carl</w:t>
      </w:r>
      <w:r>
        <w:rPr>
          <w:rFonts w:ascii="Calibri" w:hAnsi="Calibri"/>
          <w:i/>
          <w:color w:val="231F20"/>
          <w:spacing w:val="-26"/>
          <w:w w:val="105"/>
          <w:sz w:val="17"/>
        </w:rPr>
        <w:t> </w:t>
      </w:r>
      <w:r>
        <w:rPr>
          <w:rFonts w:ascii="Calibri" w:hAnsi="Calibri"/>
          <w:i/>
          <w:color w:val="231F20"/>
          <w:w w:val="105"/>
          <w:sz w:val="17"/>
        </w:rPr>
        <w:t>Schmitt</w:t>
      </w:r>
      <w:r>
        <w:rPr>
          <w:rFonts w:ascii="Calibri" w:hAnsi="Calibri"/>
          <w:color w:val="231F20"/>
          <w:w w:val="105"/>
          <w:sz w:val="17"/>
        </w:rPr>
        <w:t>,</w:t>
      </w:r>
      <w:r>
        <w:rPr>
          <w:rFonts w:ascii="Calibri" w:hAnsi="Calibri"/>
          <w:color w:val="231F20"/>
          <w:spacing w:val="-25"/>
          <w:w w:val="105"/>
          <w:sz w:val="17"/>
        </w:rPr>
        <w:t> </w:t>
      </w:r>
      <w:r>
        <w:rPr>
          <w:rFonts w:ascii="Calibri" w:hAnsi="Calibri"/>
          <w:color w:val="231F20"/>
          <w:w w:val="105"/>
          <w:sz w:val="17"/>
        </w:rPr>
        <w:t>pp.</w:t>
      </w:r>
      <w:r>
        <w:rPr>
          <w:rFonts w:ascii="Calibri" w:hAnsi="Calibri"/>
          <w:color w:val="231F20"/>
          <w:spacing w:val="-25"/>
          <w:w w:val="105"/>
          <w:sz w:val="17"/>
        </w:rPr>
        <w:t> </w:t>
      </w:r>
      <w:r>
        <w:rPr>
          <w:rFonts w:ascii="Calibri" w:hAnsi="Calibri"/>
          <w:color w:val="231F20"/>
          <w:w w:val="105"/>
          <w:sz w:val="17"/>
        </w:rPr>
        <w:t>73–95;</w:t>
      </w:r>
      <w:r>
        <w:rPr>
          <w:rFonts w:ascii="Calibri" w:hAnsi="Calibri"/>
          <w:color w:val="231F20"/>
          <w:spacing w:val="-25"/>
          <w:w w:val="105"/>
          <w:sz w:val="17"/>
        </w:rPr>
        <w:t> </w:t>
      </w:r>
      <w:r>
        <w:rPr>
          <w:rFonts w:ascii="Calibri" w:hAnsi="Calibri"/>
          <w:color w:val="231F20"/>
          <w:w w:val="105"/>
          <w:sz w:val="17"/>
        </w:rPr>
        <w:t>J.</w:t>
      </w:r>
      <w:r>
        <w:rPr>
          <w:rFonts w:ascii="Calibri" w:hAnsi="Calibri"/>
          <w:color w:val="231F20"/>
          <w:spacing w:val="-25"/>
          <w:w w:val="105"/>
          <w:sz w:val="17"/>
        </w:rPr>
        <w:t> </w:t>
      </w:r>
      <w:r>
        <w:rPr>
          <w:rFonts w:ascii="Calibri" w:hAnsi="Calibri"/>
          <w:color w:val="231F20"/>
          <w:w w:val="105"/>
          <w:sz w:val="17"/>
        </w:rPr>
        <w:t>Monod,</w:t>
      </w:r>
      <w:r>
        <w:rPr>
          <w:rFonts w:ascii="Calibri" w:hAnsi="Calibri"/>
          <w:color w:val="231F20"/>
          <w:spacing w:val="-25"/>
          <w:w w:val="105"/>
          <w:sz w:val="17"/>
        </w:rPr>
        <w:t> </w:t>
      </w:r>
      <w:r>
        <w:rPr>
          <w:rFonts w:ascii="Calibri" w:hAnsi="Calibri"/>
          <w:i/>
          <w:color w:val="231F20"/>
          <w:w w:val="105"/>
          <w:sz w:val="17"/>
        </w:rPr>
        <w:t>Penser</w:t>
      </w:r>
      <w:r>
        <w:rPr>
          <w:rFonts w:ascii="Calibri" w:hAnsi="Calibri"/>
          <w:i/>
          <w:color w:val="231F20"/>
          <w:spacing w:val="-26"/>
          <w:w w:val="105"/>
          <w:sz w:val="17"/>
        </w:rPr>
        <w:t> </w:t>
      </w:r>
      <w:r>
        <w:rPr>
          <w:rFonts w:ascii="Calibri" w:hAnsi="Calibri"/>
          <w:i/>
          <w:color w:val="231F20"/>
          <w:spacing w:val="-4"/>
          <w:w w:val="105"/>
          <w:sz w:val="17"/>
        </w:rPr>
        <w:t>L’ennemi,</w:t>
      </w:r>
      <w:r>
        <w:rPr>
          <w:rFonts w:ascii="Calibri" w:hAnsi="Calibri"/>
          <w:i/>
          <w:color w:val="231F20"/>
          <w:spacing w:val="-26"/>
          <w:w w:val="105"/>
          <w:sz w:val="17"/>
        </w:rPr>
        <w:t> </w:t>
      </w:r>
      <w:r>
        <w:rPr>
          <w:rFonts w:ascii="Calibri" w:hAnsi="Calibri"/>
          <w:i/>
          <w:color w:val="231F20"/>
          <w:w w:val="105"/>
          <w:sz w:val="17"/>
        </w:rPr>
        <w:t>affronter</w:t>
      </w:r>
      <w:r>
        <w:rPr>
          <w:rFonts w:ascii="Calibri" w:hAnsi="Calibri"/>
          <w:i/>
          <w:color w:val="231F20"/>
          <w:spacing w:val="-26"/>
          <w:w w:val="105"/>
          <w:sz w:val="17"/>
        </w:rPr>
        <w:t> </w:t>
      </w:r>
      <w:r>
        <w:rPr>
          <w:rFonts w:ascii="Calibri" w:hAnsi="Calibri"/>
          <w:i/>
          <w:color w:val="231F20"/>
          <w:w w:val="105"/>
          <w:sz w:val="17"/>
        </w:rPr>
        <w:t>l’exception.</w:t>
      </w:r>
      <w:r>
        <w:rPr>
          <w:rFonts w:ascii="Calibri" w:hAnsi="Calibri"/>
          <w:i/>
          <w:color w:val="231F20"/>
          <w:spacing w:val="-26"/>
          <w:w w:val="105"/>
          <w:sz w:val="17"/>
        </w:rPr>
        <w:t> </w:t>
      </w:r>
      <w:r>
        <w:rPr>
          <w:rFonts w:ascii="Calibri" w:hAnsi="Calibri"/>
          <w:i/>
          <w:color w:val="231F20"/>
          <w:w w:val="105"/>
          <w:sz w:val="17"/>
        </w:rPr>
        <w:t>Ré- </w:t>
      </w:r>
      <w:r>
        <w:rPr>
          <w:rFonts w:ascii="Calibri" w:hAnsi="Calibri"/>
          <w:i/>
          <w:color w:val="231F20"/>
          <w:sz w:val="17"/>
        </w:rPr>
        <w:t>flexions</w:t>
      </w:r>
      <w:r>
        <w:rPr>
          <w:rFonts w:ascii="Calibri" w:hAnsi="Calibri"/>
          <w:i/>
          <w:color w:val="231F20"/>
          <w:spacing w:val="-5"/>
          <w:sz w:val="17"/>
        </w:rPr>
        <w:t> </w:t>
      </w:r>
      <w:r>
        <w:rPr>
          <w:rFonts w:ascii="Calibri" w:hAnsi="Calibri"/>
          <w:i/>
          <w:color w:val="231F20"/>
          <w:sz w:val="17"/>
        </w:rPr>
        <w:t>critiques</w:t>
      </w:r>
      <w:r>
        <w:rPr>
          <w:rFonts w:ascii="Calibri" w:hAnsi="Calibri"/>
          <w:i/>
          <w:color w:val="231F20"/>
          <w:spacing w:val="-5"/>
          <w:sz w:val="17"/>
        </w:rPr>
        <w:t> </w:t>
      </w:r>
      <w:r>
        <w:rPr>
          <w:rFonts w:ascii="Calibri" w:hAnsi="Calibri"/>
          <w:i/>
          <w:color w:val="231F20"/>
          <w:sz w:val="17"/>
        </w:rPr>
        <w:t>sur</w:t>
      </w:r>
      <w:r>
        <w:rPr>
          <w:rFonts w:ascii="Calibri" w:hAnsi="Calibri"/>
          <w:i/>
          <w:color w:val="231F20"/>
          <w:spacing w:val="-5"/>
          <w:sz w:val="17"/>
        </w:rPr>
        <w:t> </w:t>
      </w:r>
      <w:r>
        <w:rPr>
          <w:rFonts w:ascii="Calibri" w:hAnsi="Calibri"/>
          <w:i/>
          <w:color w:val="231F20"/>
          <w:sz w:val="17"/>
        </w:rPr>
        <w:t>l’actualité</w:t>
      </w:r>
      <w:r>
        <w:rPr>
          <w:rFonts w:ascii="Calibri" w:hAnsi="Calibri"/>
          <w:i/>
          <w:color w:val="231F20"/>
          <w:spacing w:val="-5"/>
          <w:sz w:val="17"/>
        </w:rPr>
        <w:t> </w:t>
      </w:r>
      <w:r>
        <w:rPr>
          <w:rFonts w:ascii="Calibri" w:hAnsi="Calibri"/>
          <w:i/>
          <w:color w:val="231F20"/>
          <w:sz w:val="17"/>
        </w:rPr>
        <w:t>de</w:t>
      </w:r>
      <w:r>
        <w:rPr>
          <w:rFonts w:ascii="Calibri" w:hAnsi="Calibri"/>
          <w:i/>
          <w:color w:val="231F20"/>
          <w:spacing w:val="-5"/>
          <w:sz w:val="17"/>
        </w:rPr>
        <w:t> </w:t>
      </w:r>
      <w:r>
        <w:rPr>
          <w:rFonts w:ascii="Calibri" w:hAnsi="Calibri"/>
          <w:i/>
          <w:color w:val="231F20"/>
          <w:sz w:val="17"/>
        </w:rPr>
        <w:t>Carl</w:t>
      </w:r>
      <w:r>
        <w:rPr>
          <w:rFonts w:ascii="Calibri" w:hAnsi="Calibri"/>
          <w:i/>
          <w:color w:val="231F20"/>
          <w:spacing w:val="-5"/>
          <w:sz w:val="17"/>
        </w:rPr>
        <w:t> </w:t>
      </w:r>
      <w:r>
        <w:rPr>
          <w:rFonts w:ascii="Calibri" w:hAnsi="Calibri"/>
          <w:i/>
          <w:color w:val="231F20"/>
          <w:sz w:val="17"/>
        </w:rPr>
        <w:t>Schmitt</w:t>
      </w:r>
      <w:r>
        <w:rPr>
          <w:rFonts w:ascii="Calibri" w:hAnsi="Calibri"/>
          <w:color w:val="231F20"/>
          <w:sz w:val="17"/>
        </w:rPr>
        <w:t>,</w:t>
      </w:r>
      <w:r>
        <w:rPr>
          <w:rFonts w:ascii="Calibri" w:hAnsi="Calibri"/>
          <w:color w:val="231F20"/>
          <w:spacing w:val="-4"/>
          <w:sz w:val="17"/>
        </w:rPr>
        <w:t> </w:t>
      </w:r>
      <w:r>
        <w:rPr>
          <w:rFonts w:ascii="Calibri" w:hAnsi="Calibri"/>
          <w:color w:val="231F20"/>
          <w:sz w:val="17"/>
        </w:rPr>
        <w:t>Paris,</w:t>
      </w:r>
      <w:r>
        <w:rPr>
          <w:rFonts w:ascii="Calibri" w:hAnsi="Calibri"/>
          <w:color w:val="231F20"/>
          <w:spacing w:val="-4"/>
          <w:sz w:val="17"/>
        </w:rPr>
        <w:t> </w:t>
      </w:r>
      <w:r>
        <w:rPr>
          <w:rFonts w:ascii="Calibri" w:hAnsi="Calibri"/>
          <w:color w:val="231F20"/>
          <w:sz w:val="17"/>
        </w:rPr>
        <w:t>La</w:t>
      </w:r>
      <w:r>
        <w:rPr>
          <w:rFonts w:ascii="Calibri" w:hAnsi="Calibri"/>
          <w:color w:val="231F20"/>
          <w:spacing w:val="-4"/>
          <w:sz w:val="17"/>
        </w:rPr>
        <w:t> </w:t>
      </w:r>
      <w:r>
        <w:rPr>
          <w:rFonts w:ascii="Calibri" w:hAnsi="Calibri"/>
          <w:color w:val="231F20"/>
          <w:sz w:val="17"/>
        </w:rPr>
        <w:t>Découverte,</w:t>
      </w:r>
      <w:r>
        <w:rPr>
          <w:rFonts w:ascii="Calibri" w:hAnsi="Calibri"/>
          <w:color w:val="231F20"/>
          <w:spacing w:val="-4"/>
          <w:sz w:val="17"/>
        </w:rPr>
        <w:t> </w:t>
      </w:r>
      <w:r>
        <w:rPr>
          <w:rFonts w:ascii="Calibri" w:hAnsi="Calibri"/>
          <w:color w:val="231F20"/>
          <w:sz w:val="17"/>
        </w:rPr>
        <w:t>2006,</w:t>
      </w:r>
      <w:r>
        <w:rPr>
          <w:rFonts w:ascii="Calibri" w:hAnsi="Calibri"/>
          <w:color w:val="231F20"/>
          <w:spacing w:val="-4"/>
          <w:sz w:val="17"/>
        </w:rPr>
        <w:t> </w:t>
      </w:r>
      <w:r>
        <w:rPr>
          <w:rFonts w:ascii="Calibri" w:hAnsi="Calibri"/>
          <w:color w:val="231F20"/>
          <w:sz w:val="17"/>
        </w:rPr>
        <w:t>pp.</w:t>
      </w:r>
      <w:r>
        <w:rPr>
          <w:rFonts w:ascii="Calibri" w:hAnsi="Calibri"/>
          <w:color w:val="231F20"/>
          <w:spacing w:val="-4"/>
          <w:sz w:val="17"/>
        </w:rPr>
        <w:t> </w:t>
      </w:r>
      <w:r>
        <w:rPr>
          <w:rFonts w:ascii="Calibri" w:hAnsi="Calibri"/>
          <w:color w:val="231F20"/>
          <w:sz w:val="17"/>
        </w:rPr>
        <w:t>71–120.</w:t>
      </w:r>
    </w:p>
    <w:p>
      <w:pPr>
        <w:spacing w:line="206" w:lineRule="exact" w:before="1"/>
        <w:ind w:left="103" w:right="0" w:firstLine="0"/>
        <w:jc w:val="both"/>
        <w:rPr>
          <w:rFonts w:ascii="Calibri"/>
          <w:sz w:val="17"/>
        </w:rPr>
      </w:pPr>
      <w:r>
        <w:rPr>
          <w:rFonts w:ascii="Calibri"/>
          <w:color w:val="231F20"/>
          <w:position w:val="6"/>
          <w:sz w:val="10"/>
        </w:rPr>
        <w:t>61  </w:t>
      </w:r>
      <w:r>
        <w:rPr>
          <w:rFonts w:ascii="Calibri"/>
          <w:color w:val="231F20"/>
          <w:sz w:val="17"/>
        </w:rPr>
        <w:t>M. Hardt y A. Negri, </w:t>
      </w:r>
      <w:r>
        <w:rPr>
          <w:rFonts w:ascii="Calibri"/>
          <w:i/>
          <w:color w:val="231F20"/>
          <w:sz w:val="17"/>
        </w:rPr>
        <w:t>Empire</w:t>
      </w:r>
      <w:r>
        <w:rPr>
          <w:rFonts w:ascii="Calibri"/>
          <w:color w:val="231F20"/>
          <w:sz w:val="17"/>
        </w:rPr>
        <w:t>, Harvard University Press, 2000 (trad. it. Impero. Il nuovo ordine della</w:t>
      </w:r>
    </w:p>
    <w:p>
      <w:pPr>
        <w:spacing w:line="206" w:lineRule="exact" w:before="0"/>
        <w:ind w:left="103" w:right="0" w:firstLine="0"/>
        <w:jc w:val="both"/>
        <w:rPr>
          <w:rFonts w:ascii="Calibri" w:hAnsi="Calibri"/>
          <w:sz w:val="17"/>
        </w:rPr>
      </w:pPr>
      <w:r>
        <w:rPr>
          <w:rFonts w:ascii="Calibri" w:hAnsi="Calibri"/>
          <w:i/>
          <w:color w:val="231F20"/>
          <w:sz w:val="17"/>
        </w:rPr>
        <w:t>globalizzazione</w:t>
      </w:r>
      <w:r>
        <w:rPr>
          <w:rFonts w:ascii="Calibri" w:hAnsi="Calibri"/>
          <w:color w:val="231F20"/>
          <w:sz w:val="17"/>
        </w:rPr>
        <w:t>, Milano, Rizzoli, 2002, pp. 23–24).</w:t>
      </w:r>
    </w:p>
    <w:p>
      <w:pPr>
        <w:pStyle w:val="BodyText"/>
        <w:rPr>
          <w:rFonts w:ascii="Calibri"/>
          <w:sz w:val="20"/>
        </w:rPr>
      </w:pPr>
    </w:p>
    <w:p>
      <w:pPr>
        <w:pStyle w:val="BodyText"/>
        <w:spacing w:before="9"/>
        <w:rPr>
          <w:rFonts w:ascii="Calibri"/>
          <w:sz w:val="27"/>
        </w:rPr>
      </w:pPr>
    </w:p>
    <w:p>
      <w:pPr>
        <w:tabs>
          <w:tab w:pos="1331" w:val="left" w:leader="none"/>
        </w:tabs>
        <w:spacing w:before="68"/>
        <w:ind w:left="226" w:right="0" w:firstLine="0"/>
        <w:jc w:val="left"/>
        <w:rPr>
          <w:rFonts w:ascii="Calibri"/>
          <w:sz w:val="16"/>
        </w:rPr>
      </w:pPr>
      <w:r>
        <w:rPr/>
        <w:pict>
          <v:group style="position:absolute;margin-left:98.787804pt;margin-top:-3.358812pt;width:20.4pt;height:43pt;mso-position-horizontal-relative:page;mso-position-vertical-relative:paragraph;z-index:-167464"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w w:val="105"/>
          <w:position w:val="-4"/>
          <w:sz w:val="20"/>
        </w:rPr>
        <w:t>156</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182"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798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ASUNTOS</w:t>
      </w:r>
      <w:r>
        <w:rPr>
          <w:rFonts w:ascii="Lucida Sans Unicode" w:hAnsi="Lucida Sans Unicode"/>
          <w:color w:val="6D6E71"/>
          <w:spacing w:val="-30"/>
          <w:w w:val="95"/>
          <w:sz w:val="14"/>
        </w:rPr>
        <w:t> </w:t>
      </w:r>
      <w:r>
        <w:rPr>
          <w:rFonts w:ascii="Lucida Sans Unicode" w:hAnsi="Lucida Sans Unicode"/>
          <w:color w:val="6D6E71"/>
          <w:w w:val="95"/>
          <w:sz w:val="14"/>
        </w:rPr>
        <w:t>DE</w:t>
      </w:r>
      <w:r>
        <w:rPr>
          <w:rFonts w:ascii="Lucida Sans Unicode" w:hAnsi="Lucida Sans Unicode"/>
          <w:color w:val="6D6E71"/>
          <w:spacing w:val="-30"/>
          <w:w w:val="95"/>
          <w:sz w:val="14"/>
        </w:rPr>
        <w:t> </w:t>
      </w:r>
      <w:r>
        <w:rPr>
          <w:rFonts w:ascii="Lucida Sans Unicode" w:hAnsi="Lucida Sans Unicode"/>
          <w:color w:val="6D6E71"/>
          <w:w w:val="95"/>
          <w:sz w:val="14"/>
        </w:rPr>
        <w:t>FRONTERA.</w:t>
      </w:r>
      <w:r>
        <w:rPr>
          <w:rFonts w:ascii="Lucida Sans Unicode" w:hAnsi="Lucida Sans Unicode"/>
          <w:color w:val="6D6E71"/>
          <w:spacing w:val="-30"/>
          <w:w w:val="95"/>
          <w:sz w:val="14"/>
        </w:rPr>
        <w:t> </w:t>
      </w:r>
      <w:r>
        <w:rPr>
          <w:rFonts w:ascii="Lucida Sans Unicode" w:hAnsi="Lucida Sans Unicode"/>
          <w:color w:val="6D6E71"/>
          <w:w w:val="95"/>
          <w:sz w:val="14"/>
        </w:rPr>
        <w:t>SOBERANÍA</w:t>
      </w:r>
      <w:r>
        <w:rPr>
          <w:rFonts w:ascii="Lucida Sans Unicode" w:hAnsi="Lucida Sans Unicode"/>
          <w:color w:val="6D6E71"/>
          <w:spacing w:val="-30"/>
          <w:w w:val="95"/>
          <w:sz w:val="14"/>
        </w:rPr>
        <w:t> </w:t>
      </w:r>
      <w:r>
        <w:rPr>
          <w:rFonts w:ascii="Lucida Sans Unicode" w:hAnsi="Lucida Sans Unicode"/>
          <w:color w:val="6D6E71"/>
          <w:w w:val="95"/>
          <w:sz w:val="14"/>
        </w:rPr>
        <w:t>TERRITORIAL</w:t>
      </w:r>
      <w:r>
        <w:rPr>
          <w:rFonts w:ascii="Lucida Sans Unicode" w:hAnsi="Lucida Sans Unicode"/>
          <w:color w:val="6D6E71"/>
          <w:spacing w:val="-30"/>
          <w:w w:val="95"/>
          <w:sz w:val="14"/>
        </w:rPr>
        <w:t> </w:t>
      </w:r>
      <w:r>
        <w:rPr>
          <w:rFonts w:ascii="Lucida Sans Unicode" w:hAnsi="Lucida Sans Unicode"/>
          <w:color w:val="6D6E71"/>
          <w:w w:val="95"/>
          <w:sz w:val="14"/>
        </w:rPr>
        <w:t>Y</w:t>
      </w:r>
      <w:r>
        <w:rPr>
          <w:rFonts w:ascii="Lucida Sans Unicode" w:hAnsi="Lucida Sans Unicode"/>
          <w:color w:val="6D6E71"/>
          <w:spacing w:val="-30"/>
          <w:w w:val="95"/>
          <w:sz w:val="14"/>
        </w:rPr>
        <w:t> </w:t>
      </w:r>
      <w:r>
        <w:rPr>
          <w:rFonts w:ascii="Lucida Sans Unicode" w:hAnsi="Lucida Sans Unicode"/>
          <w:color w:val="6D6E71"/>
          <w:w w:val="95"/>
          <w:sz w:val="14"/>
        </w:rPr>
        <w:t>ORDEN</w:t>
      </w:r>
      <w:r>
        <w:rPr>
          <w:rFonts w:ascii="Lucida Sans Unicode" w:hAnsi="Lucida Sans Unicode"/>
          <w:color w:val="6D6E71"/>
          <w:spacing w:val="-30"/>
          <w:w w:val="95"/>
          <w:sz w:val="14"/>
        </w:rPr>
        <w:t> </w:t>
      </w:r>
      <w:r>
        <w:rPr>
          <w:rFonts w:ascii="Lucida Sans Unicode" w:hAnsi="Lucida Sans Unicode"/>
          <w:color w:val="6D6E71"/>
          <w:w w:val="95"/>
          <w:sz w:val="14"/>
        </w:rPr>
        <w:t>GLOBAL</w:t>
      </w:r>
      <w:r>
        <w:rPr>
          <w:rFonts w:ascii="Lucida Sans Unicode" w:hAnsi="Lucida Sans Unicode"/>
          <w:color w:val="6D6E71"/>
          <w:spacing w:val="-30"/>
          <w:w w:val="95"/>
          <w:sz w:val="14"/>
        </w:rPr>
        <w:t> </w:t>
      </w:r>
      <w:r>
        <w:rPr>
          <w:rFonts w:ascii="Lucida Sans Unicode" w:hAnsi="Lucida Sans Unicode"/>
          <w:color w:val="6D6E71"/>
          <w:w w:val="95"/>
          <w:sz w:val="14"/>
        </w:rPr>
        <w:t>EN</w:t>
      </w:r>
      <w:r>
        <w:rPr>
          <w:rFonts w:ascii="Lucida Sans Unicode" w:hAnsi="Lucida Sans Unicode"/>
          <w:color w:val="6D6E71"/>
          <w:spacing w:val="-30"/>
          <w:w w:val="95"/>
          <w:sz w:val="14"/>
        </w:rPr>
        <w:t> </w:t>
      </w:r>
      <w:r>
        <w:rPr>
          <w:rFonts w:ascii="Lucida Sans Unicode" w:hAnsi="Lucida Sans Unicode"/>
          <w:color w:val="6D6E71"/>
          <w:w w:val="95"/>
          <w:sz w:val="14"/>
        </w:rPr>
        <w:t>EL</w:t>
      </w:r>
      <w:r>
        <w:rPr>
          <w:rFonts w:ascii="Lucida Sans Unicode" w:hAnsi="Lucida Sans Unicode"/>
          <w:color w:val="6D6E71"/>
          <w:spacing w:val="-30"/>
          <w:w w:val="95"/>
          <w:sz w:val="14"/>
        </w:rPr>
        <w:t> </w:t>
      </w:r>
      <w:r>
        <w:rPr>
          <w:rFonts w:ascii="Lucida Sans Unicode" w:hAnsi="Lucida Sans Unicode"/>
          <w:color w:val="6D6E71"/>
          <w:w w:val="95"/>
          <w:sz w:val="14"/>
        </w:rPr>
        <w:t>DEBATE</w:t>
      </w:r>
    </w:p>
    <w:p>
      <w:pPr>
        <w:spacing w:line="198" w:lineRule="exact" w:before="0"/>
        <w:ind w:left="2963" w:right="-13" w:firstLine="0"/>
        <w:jc w:val="left"/>
        <w:rPr>
          <w:rFonts w:ascii="Lucida Sans Unicode" w:hAnsi="Lucida Sans Unicode"/>
          <w:sz w:val="14"/>
        </w:rPr>
      </w:pPr>
      <w:r>
        <w:rPr>
          <w:rFonts w:ascii="Lucida Sans Unicode" w:hAnsi="Lucida Sans Unicode"/>
          <w:color w:val="6D6E71"/>
          <w:w w:val="90"/>
          <w:sz w:val="14"/>
        </w:rPr>
        <w:t>SOBRE EL “NUEVO INTERVENCIONISMO</w:t>
      </w:r>
      <w:r>
        <w:rPr>
          <w:rFonts w:ascii="Lucida Sans Unicode" w:hAnsi="Lucida Sans Unicode"/>
          <w:color w:val="6D6E71"/>
          <w:spacing w:val="-25"/>
          <w:w w:val="90"/>
          <w:sz w:val="14"/>
        </w:rPr>
        <w:t> </w:t>
      </w:r>
      <w:r>
        <w:rPr>
          <w:rFonts w:ascii="Lucida Sans Unicode" w:hAnsi="Lucida Sans Unicode"/>
          <w:color w:val="6D6E71"/>
          <w:w w:val="90"/>
          <w:sz w:val="14"/>
        </w:rPr>
        <w:t>HUMANITARIO”</w:t>
      </w:r>
    </w:p>
    <w:p>
      <w:pPr>
        <w:spacing w:before="59"/>
        <w:ind w:left="338" w:right="0" w:firstLine="0"/>
        <w:jc w:val="left"/>
        <w:rPr>
          <w:rFonts w:ascii="Arial"/>
          <w:sz w:val="20"/>
        </w:rPr>
      </w:pPr>
      <w:r>
        <w:rPr/>
        <w:br w:type="column"/>
      </w:r>
      <w:r>
        <w:rPr>
          <w:rFonts w:ascii="Arial"/>
          <w:color w:val="414042"/>
          <w:sz w:val="20"/>
        </w:rPr>
        <w:t>157</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6"/>
        <w:rPr>
          <w:rFonts w:ascii="Arial"/>
          <w:sz w:val="16"/>
        </w:rPr>
      </w:pPr>
    </w:p>
    <w:p>
      <w:pPr>
        <w:pStyle w:val="BodyText"/>
        <w:spacing w:line="247" w:lineRule="auto" w:before="44"/>
        <w:ind w:left="117" w:right="101"/>
        <w:jc w:val="both"/>
      </w:pPr>
      <w:r>
        <w:rPr>
          <w:color w:val="231F20"/>
          <w:w w:val="105"/>
        </w:rPr>
        <w:t>precisamente</w:t>
      </w:r>
      <w:r>
        <w:rPr>
          <w:color w:val="231F20"/>
          <w:spacing w:val="-48"/>
          <w:w w:val="105"/>
        </w:rPr>
        <w:t> </w:t>
      </w:r>
      <w:r>
        <w:rPr>
          <w:color w:val="231F20"/>
          <w:w w:val="105"/>
        </w:rPr>
        <w:t>las</w:t>
      </w:r>
      <w:r>
        <w:rPr>
          <w:color w:val="231F20"/>
          <w:spacing w:val="-48"/>
          <w:w w:val="105"/>
        </w:rPr>
        <w:t> </w:t>
      </w:r>
      <w:r>
        <w:rPr>
          <w:color w:val="231F20"/>
          <w:w w:val="105"/>
        </w:rPr>
        <w:t>pesadas</w:t>
      </w:r>
      <w:r>
        <w:rPr>
          <w:color w:val="231F20"/>
          <w:spacing w:val="-48"/>
          <w:w w:val="105"/>
        </w:rPr>
        <w:t> </w:t>
      </w:r>
      <w:r>
        <w:rPr>
          <w:color w:val="231F20"/>
          <w:w w:val="105"/>
        </w:rPr>
        <w:t>hipotecas</w:t>
      </w:r>
      <w:r>
        <w:rPr>
          <w:color w:val="231F20"/>
          <w:spacing w:val="-48"/>
          <w:w w:val="105"/>
        </w:rPr>
        <w:t> </w:t>
      </w:r>
      <w:r>
        <w:rPr>
          <w:color w:val="231F20"/>
          <w:w w:val="105"/>
        </w:rPr>
        <w:t>teóricas,</w:t>
      </w:r>
      <w:r>
        <w:rPr>
          <w:color w:val="231F20"/>
          <w:spacing w:val="-48"/>
          <w:w w:val="105"/>
        </w:rPr>
        <w:t> </w:t>
      </w:r>
      <w:r>
        <w:rPr>
          <w:color w:val="231F20"/>
          <w:w w:val="105"/>
        </w:rPr>
        <w:t>historiográficas</w:t>
      </w:r>
      <w:r>
        <w:rPr>
          <w:color w:val="231F20"/>
          <w:spacing w:val="-48"/>
          <w:w w:val="105"/>
        </w:rPr>
        <w:t> </w:t>
      </w:r>
      <w:r>
        <w:rPr>
          <w:color w:val="231F20"/>
          <w:w w:val="105"/>
        </w:rPr>
        <w:t>e</w:t>
      </w:r>
      <w:r>
        <w:rPr>
          <w:color w:val="231F20"/>
          <w:spacing w:val="-48"/>
          <w:w w:val="105"/>
        </w:rPr>
        <w:t> </w:t>
      </w:r>
      <w:r>
        <w:rPr>
          <w:color w:val="231F20"/>
          <w:w w:val="105"/>
        </w:rPr>
        <w:t>ideológico– culturales</w:t>
      </w:r>
      <w:r>
        <w:rPr>
          <w:color w:val="231F20"/>
          <w:spacing w:val="-31"/>
          <w:w w:val="105"/>
        </w:rPr>
        <w:t> </w:t>
      </w:r>
      <w:r>
        <w:rPr>
          <w:color w:val="231F20"/>
          <w:w w:val="105"/>
        </w:rPr>
        <w:t>que</w:t>
      </w:r>
      <w:r>
        <w:rPr>
          <w:color w:val="231F20"/>
          <w:spacing w:val="-31"/>
          <w:w w:val="105"/>
        </w:rPr>
        <w:t> </w:t>
      </w:r>
      <w:r>
        <w:rPr>
          <w:color w:val="231F20"/>
          <w:w w:val="105"/>
        </w:rPr>
        <w:t>sostienen</w:t>
      </w:r>
      <w:r>
        <w:rPr>
          <w:color w:val="231F20"/>
          <w:spacing w:val="-31"/>
          <w:w w:val="105"/>
        </w:rPr>
        <w:t> </w:t>
      </w:r>
      <w:r>
        <w:rPr>
          <w:color w:val="231F20"/>
          <w:w w:val="105"/>
        </w:rPr>
        <w:t>—y</w:t>
      </w:r>
      <w:r>
        <w:rPr>
          <w:color w:val="231F20"/>
          <w:spacing w:val="-31"/>
          <w:w w:val="105"/>
        </w:rPr>
        <w:t> </w:t>
      </w:r>
      <w:r>
        <w:rPr>
          <w:color w:val="231F20"/>
          <w:w w:val="105"/>
        </w:rPr>
        <w:t>condicionan—</w:t>
      </w:r>
      <w:r>
        <w:rPr>
          <w:color w:val="231F20"/>
          <w:spacing w:val="-31"/>
          <w:w w:val="105"/>
        </w:rPr>
        <w:t> </w:t>
      </w:r>
      <w:r>
        <w:rPr>
          <w:color w:val="231F20"/>
          <w:w w:val="105"/>
        </w:rPr>
        <w:t>la</w:t>
      </w:r>
      <w:r>
        <w:rPr>
          <w:color w:val="231F20"/>
          <w:spacing w:val="-31"/>
          <w:w w:val="105"/>
        </w:rPr>
        <w:t> </w:t>
      </w:r>
      <w:r>
        <w:rPr>
          <w:color w:val="231F20"/>
          <w:w w:val="105"/>
        </w:rPr>
        <w:t>vibrante</w:t>
      </w:r>
      <w:r>
        <w:rPr>
          <w:color w:val="231F20"/>
          <w:spacing w:val="-31"/>
          <w:w w:val="105"/>
        </w:rPr>
        <w:t> </w:t>
      </w:r>
      <w:r>
        <w:rPr>
          <w:color w:val="231F20"/>
          <w:w w:val="105"/>
        </w:rPr>
        <w:t>crítica</w:t>
      </w:r>
      <w:r>
        <w:rPr>
          <w:color w:val="231F20"/>
          <w:spacing w:val="-31"/>
          <w:w w:val="105"/>
        </w:rPr>
        <w:t> </w:t>
      </w:r>
      <w:r>
        <w:rPr>
          <w:color w:val="231F20"/>
          <w:w w:val="105"/>
        </w:rPr>
        <w:t>de</w:t>
      </w:r>
      <w:r>
        <w:rPr>
          <w:color w:val="231F20"/>
          <w:spacing w:val="-31"/>
          <w:w w:val="105"/>
        </w:rPr>
        <w:t> </w:t>
      </w:r>
      <w:r>
        <w:rPr>
          <w:color w:val="231F20"/>
          <w:w w:val="105"/>
        </w:rPr>
        <w:t>Schmitt</w:t>
      </w:r>
      <w:r>
        <w:rPr>
          <w:color w:val="231F20"/>
          <w:spacing w:val="-31"/>
          <w:w w:val="105"/>
        </w:rPr>
        <w:t> </w:t>
      </w:r>
      <w:r>
        <w:rPr>
          <w:color w:val="231F20"/>
          <w:w w:val="105"/>
        </w:rPr>
        <w:t>al universalismo</w:t>
      </w:r>
      <w:r>
        <w:rPr>
          <w:color w:val="231F20"/>
          <w:spacing w:val="-18"/>
          <w:w w:val="105"/>
        </w:rPr>
        <w:t> </w:t>
      </w:r>
      <w:r>
        <w:rPr>
          <w:color w:val="231F20"/>
          <w:w w:val="105"/>
        </w:rPr>
        <w:t>humanitario?</w:t>
      </w:r>
      <w:r>
        <w:rPr>
          <w:color w:val="231F20"/>
          <w:w w:val="105"/>
          <w:position w:val="7"/>
          <w:sz w:val="12"/>
        </w:rPr>
        <w:t>62</w:t>
      </w:r>
      <w:r>
        <w:rPr>
          <w:color w:val="231F20"/>
          <w:spacing w:val="12"/>
          <w:w w:val="105"/>
          <w:position w:val="7"/>
          <w:sz w:val="12"/>
        </w:rPr>
        <w:t> </w:t>
      </w:r>
      <w:r>
        <w:rPr>
          <w:color w:val="231F20"/>
          <w:spacing w:val="-4"/>
          <w:w w:val="105"/>
        </w:rPr>
        <w:t>También</w:t>
      </w:r>
      <w:r>
        <w:rPr>
          <w:color w:val="231F20"/>
          <w:spacing w:val="-18"/>
          <w:w w:val="105"/>
        </w:rPr>
        <w:t> </w:t>
      </w:r>
      <w:r>
        <w:rPr>
          <w:color w:val="231F20"/>
          <w:w w:val="105"/>
        </w:rPr>
        <w:t>bajo</w:t>
      </w:r>
      <w:r>
        <w:rPr>
          <w:color w:val="231F20"/>
          <w:spacing w:val="-18"/>
          <w:w w:val="105"/>
        </w:rPr>
        <w:t> </w:t>
      </w:r>
      <w:r>
        <w:rPr>
          <w:color w:val="231F20"/>
          <w:w w:val="105"/>
        </w:rPr>
        <w:t>este</w:t>
      </w:r>
      <w:r>
        <w:rPr>
          <w:color w:val="231F20"/>
          <w:spacing w:val="-17"/>
          <w:w w:val="105"/>
        </w:rPr>
        <w:t> </w:t>
      </w:r>
      <w:r>
        <w:rPr>
          <w:color w:val="231F20"/>
          <w:w w:val="105"/>
        </w:rPr>
        <w:t>perfil,</w:t>
      </w:r>
      <w:r>
        <w:rPr>
          <w:color w:val="231F20"/>
          <w:spacing w:val="-18"/>
          <w:w w:val="105"/>
        </w:rPr>
        <w:t> </w:t>
      </w:r>
      <w:r>
        <w:rPr>
          <w:color w:val="231F20"/>
          <w:w w:val="105"/>
        </w:rPr>
        <w:t>lo</w:t>
      </w:r>
      <w:r>
        <w:rPr>
          <w:color w:val="231F20"/>
          <w:spacing w:val="-17"/>
          <w:w w:val="105"/>
        </w:rPr>
        <w:t> </w:t>
      </w:r>
      <w:r>
        <w:rPr>
          <w:color w:val="231F20"/>
          <w:w w:val="105"/>
        </w:rPr>
        <w:t>que</w:t>
      </w:r>
      <w:r>
        <w:rPr>
          <w:color w:val="231F20"/>
          <w:spacing w:val="-18"/>
          <w:w w:val="105"/>
        </w:rPr>
        <w:t> </w:t>
      </w:r>
      <w:r>
        <w:rPr>
          <w:color w:val="231F20"/>
          <w:w w:val="105"/>
        </w:rPr>
        <w:t>la</w:t>
      </w:r>
      <w:r>
        <w:rPr>
          <w:color w:val="231F20"/>
          <w:spacing w:val="-17"/>
          <w:w w:val="105"/>
        </w:rPr>
        <w:t> </w:t>
      </w:r>
      <w:r>
        <w:rPr>
          <w:color w:val="231F20"/>
          <w:w w:val="105"/>
        </w:rPr>
        <w:t>reflexión schmitiana</w:t>
      </w:r>
      <w:r>
        <w:rPr>
          <w:color w:val="231F20"/>
          <w:spacing w:val="-23"/>
          <w:w w:val="105"/>
        </w:rPr>
        <w:t> </w:t>
      </w:r>
      <w:r>
        <w:rPr>
          <w:color w:val="231F20"/>
          <w:w w:val="105"/>
        </w:rPr>
        <w:t>ofrece</w:t>
      </w:r>
      <w:r>
        <w:rPr>
          <w:color w:val="231F20"/>
          <w:spacing w:val="-23"/>
          <w:w w:val="105"/>
        </w:rPr>
        <w:t> </w:t>
      </w:r>
      <w:r>
        <w:rPr>
          <w:color w:val="231F20"/>
          <w:w w:val="105"/>
        </w:rPr>
        <w:t>a</w:t>
      </w:r>
      <w:r>
        <w:rPr>
          <w:color w:val="231F20"/>
          <w:spacing w:val="-23"/>
          <w:w w:val="105"/>
        </w:rPr>
        <w:t> </w:t>
      </w:r>
      <w:r>
        <w:rPr>
          <w:color w:val="231F20"/>
          <w:w w:val="105"/>
        </w:rPr>
        <w:t>sus</w:t>
      </w:r>
      <w:r>
        <w:rPr>
          <w:color w:val="231F20"/>
          <w:spacing w:val="-23"/>
          <w:w w:val="105"/>
        </w:rPr>
        <w:t> </w:t>
      </w:r>
      <w:r>
        <w:rPr>
          <w:color w:val="231F20"/>
          <w:w w:val="105"/>
        </w:rPr>
        <w:t>discípulos</w:t>
      </w:r>
      <w:r>
        <w:rPr>
          <w:color w:val="231F20"/>
          <w:spacing w:val="-23"/>
          <w:w w:val="105"/>
        </w:rPr>
        <w:t> </w:t>
      </w:r>
      <w:r>
        <w:rPr>
          <w:color w:val="231F20"/>
          <w:w w:val="105"/>
        </w:rPr>
        <w:t>contemporáneos</w:t>
      </w:r>
      <w:r>
        <w:rPr>
          <w:color w:val="231F20"/>
          <w:spacing w:val="-23"/>
          <w:w w:val="105"/>
        </w:rPr>
        <w:t> </w:t>
      </w:r>
      <w:r>
        <w:rPr>
          <w:color w:val="231F20"/>
          <w:w w:val="105"/>
        </w:rPr>
        <w:t>es</w:t>
      </w:r>
      <w:r>
        <w:rPr>
          <w:color w:val="231F20"/>
          <w:spacing w:val="-23"/>
          <w:w w:val="105"/>
        </w:rPr>
        <w:t> </w:t>
      </w:r>
      <w:r>
        <w:rPr>
          <w:color w:val="231F20"/>
          <w:w w:val="105"/>
        </w:rPr>
        <w:t>una</w:t>
      </w:r>
      <w:r>
        <w:rPr>
          <w:color w:val="231F20"/>
          <w:spacing w:val="-23"/>
          <w:w w:val="105"/>
        </w:rPr>
        <w:t> </w:t>
      </w:r>
      <w:r>
        <w:rPr>
          <w:color w:val="231F20"/>
          <w:w w:val="105"/>
        </w:rPr>
        <w:t>“coherente</w:t>
      </w:r>
      <w:r>
        <w:rPr>
          <w:color w:val="231F20"/>
          <w:spacing w:val="-23"/>
          <w:w w:val="105"/>
        </w:rPr>
        <w:t> </w:t>
      </w:r>
      <w:r>
        <w:rPr>
          <w:color w:val="231F20"/>
          <w:w w:val="105"/>
        </w:rPr>
        <w:t>vi- sión</w:t>
      </w:r>
      <w:r>
        <w:rPr>
          <w:color w:val="231F20"/>
          <w:spacing w:val="-13"/>
          <w:w w:val="105"/>
        </w:rPr>
        <w:t> </w:t>
      </w:r>
      <w:r>
        <w:rPr>
          <w:color w:val="231F20"/>
          <w:w w:val="105"/>
        </w:rPr>
        <w:t>del</w:t>
      </w:r>
      <w:r>
        <w:rPr>
          <w:color w:val="231F20"/>
          <w:spacing w:val="-13"/>
          <w:w w:val="105"/>
        </w:rPr>
        <w:t> </w:t>
      </w:r>
      <w:r>
        <w:rPr>
          <w:color w:val="231F20"/>
          <w:w w:val="105"/>
        </w:rPr>
        <w:t>mundo”,</w:t>
      </w:r>
      <w:r>
        <w:rPr>
          <w:color w:val="231F20"/>
          <w:spacing w:val="-13"/>
          <w:w w:val="105"/>
        </w:rPr>
        <w:t> </w:t>
      </w:r>
      <w:r>
        <w:rPr>
          <w:color w:val="231F20"/>
          <w:w w:val="105"/>
        </w:rPr>
        <w:t>un</w:t>
      </w:r>
      <w:r>
        <w:rPr>
          <w:color w:val="231F20"/>
          <w:spacing w:val="-13"/>
          <w:w w:val="105"/>
        </w:rPr>
        <w:t> </w:t>
      </w:r>
      <w:r>
        <w:rPr>
          <w:color w:val="231F20"/>
          <w:w w:val="105"/>
        </w:rPr>
        <w:t>“completo”</w:t>
      </w:r>
      <w:r>
        <w:rPr>
          <w:color w:val="231F20"/>
          <w:spacing w:val="-13"/>
          <w:w w:val="105"/>
        </w:rPr>
        <w:t> </w:t>
      </w:r>
      <w:r>
        <w:rPr>
          <w:color w:val="231F20"/>
          <w:w w:val="105"/>
        </w:rPr>
        <w:t>marco</w:t>
      </w:r>
      <w:r>
        <w:rPr>
          <w:color w:val="231F20"/>
          <w:spacing w:val="-13"/>
          <w:w w:val="105"/>
        </w:rPr>
        <w:t> </w:t>
      </w:r>
      <w:r>
        <w:rPr>
          <w:color w:val="231F20"/>
          <w:w w:val="105"/>
        </w:rPr>
        <w:t>interpretativo</w:t>
      </w:r>
      <w:r>
        <w:rPr>
          <w:color w:val="231F20"/>
          <w:spacing w:val="-13"/>
          <w:w w:val="105"/>
        </w:rPr>
        <w:t> </w:t>
      </w:r>
      <w:r>
        <w:rPr>
          <w:color w:val="231F20"/>
          <w:w w:val="105"/>
        </w:rPr>
        <w:t>y</w:t>
      </w:r>
      <w:r>
        <w:rPr>
          <w:color w:val="231F20"/>
          <w:spacing w:val="-13"/>
          <w:w w:val="105"/>
        </w:rPr>
        <w:t> </w:t>
      </w:r>
      <w:r>
        <w:rPr>
          <w:color w:val="231F20"/>
          <w:w w:val="105"/>
        </w:rPr>
        <w:t>evaluativo</w:t>
      </w:r>
      <w:r>
        <w:rPr>
          <w:color w:val="231F20"/>
          <w:w w:val="105"/>
          <w:position w:val="7"/>
          <w:sz w:val="12"/>
        </w:rPr>
        <w:t>63</w:t>
      </w:r>
      <w:r>
        <w:rPr>
          <w:color w:val="231F20"/>
          <w:w w:val="105"/>
        </w:rPr>
        <w:t>,</w:t>
      </w:r>
      <w:r>
        <w:rPr>
          <w:color w:val="231F20"/>
          <w:spacing w:val="-13"/>
          <w:w w:val="105"/>
        </w:rPr>
        <w:t> </w:t>
      </w:r>
      <w:r>
        <w:rPr>
          <w:color w:val="231F20"/>
          <w:w w:val="105"/>
        </w:rPr>
        <w:t>rígi- damente</w:t>
      </w:r>
      <w:r>
        <w:rPr>
          <w:color w:val="231F20"/>
          <w:spacing w:val="-10"/>
          <w:w w:val="105"/>
        </w:rPr>
        <w:t> </w:t>
      </w:r>
      <w:r>
        <w:rPr>
          <w:color w:val="231F20"/>
          <w:w w:val="105"/>
        </w:rPr>
        <w:t>definido</w:t>
      </w:r>
      <w:r>
        <w:rPr>
          <w:color w:val="231F20"/>
          <w:spacing w:val="-10"/>
          <w:w w:val="105"/>
        </w:rPr>
        <w:t> </w:t>
      </w:r>
      <w:r>
        <w:rPr>
          <w:color w:val="231F20"/>
          <w:w w:val="105"/>
        </w:rPr>
        <w:t>en</w:t>
      </w:r>
      <w:r>
        <w:rPr>
          <w:color w:val="231F20"/>
          <w:spacing w:val="-10"/>
          <w:w w:val="105"/>
        </w:rPr>
        <w:t> </w:t>
      </w:r>
      <w:r>
        <w:rPr>
          <w:color w:val="231F20"/>
          <w:w w:val="105"/>
        </w:rPr>
        <w:t>sus</w:t>
      </w:r>
      <w:r>
        <w:rPr>
          <w:color w:val="231F20"/>
          <w:spacing w:val="-10"/>
          <w:w w:val="105"/>
        </w:rPr>
        <w:t> </w:t>
      </w:r>
      <w:r>
        <w:rPr>
          <w:color w:val="231F20"/>
          <w:w w:val="105"/>
        </w:rPr>
        <w:t>mismos</w:t>
      </w:r>
      <w:r>
        <w:rPr>
          <w:color w:val="231F20"/>
          <w:spacing w:val="-10"/>
          <w:w w:val="105"/>
        </w:rPr>
        <w:t> </w:t>
      </w:r>
      <w:r>
        <w:rPr>
          <w:color w:val="231F20"/>
          <w:w w:val="105"/>
        </w:rPr>
        <w:t>presupuestos</w:t>
      </w:r>
      <w:r>
        <w:rPr>
          <w:color w:val="231F20"/>
          <w:spacing w:val="-10"/>
          <w:w w:val="105"/>
        </w:rPr>
        <w:t> </w:t>
      </w:r>
      <w:r>
        <w:rPr>
          <w:color w:val="231F20"/>
          <w:w w:val="105"/>
        </w:rPr>
        <w:t>de</w:t>
      </w:r>
      <w:r>
        <w:rPr>
          <w:color w:val="231F20"/>
          <w:spacing w:val="-10"/>
          <w:w w:val="105"/>
        </w:rPr>
        <w:t> </w:t>
      </w:r>
      <w:r>
        <w:rPr>
          <w:color w:val="231F20"/>
          <w:w w:val="105"/>
        </w:rPr>
        <w:t>sentido:</w:t>
      </w:r>
      <w:r>
        <w:rPr>
          <w:color w:val="231F20"/>
          <w:spacing w:val="-10"/>
          <w:w w:val="105"/>
        </w:rPr>
        <w:t> </w:t>
      </w:r>
      <w:r>
        <w:rPr>
          <w:color w:val="231F20"/>
          <w:w w:val="105"/>
        </w:rPr>
        <w:t>si</w:t>
      </w:r>
      <w:r>
        <w:rPr>
          <w:color w:val="231F20"/>
          <w:spacing w:val="-10"/>
          <w:w w:val="105"/>
        </w:rPr>
        <w:t> </w:t>
      </w:r>
      <w:r>
        <w:rPr>
          <w:color w:val="231F20"/>
          <w:w w:val="105"/>
        </w:rPr>
        <w:t>es</w:t>
      </w:r>
      <w:r>
        <w:rPr>
          <w:color w:val="231F20"/>
          <w:spacing w:val="-10"/>
          <w:w w:val="105"/>
        </w:rPr>
        <w:t> </w:t>
      </w:r>
      <w:r>
        <w:rPr>
          <w:color w:val="231F20"/>
          <w:w w:val="105"/>
        </w:rPr>
        <w:t>verdad, por</w:t>
      </w:r>
      <w:r>
        <w:rPr>
          <w:color w:val="231F20"/>
          <w:spacing w:val="-24"/>
          <w:w w:val="105"/>
        </w:rPr>
        <w:t> </w:t>
      </w:r>
      <w:r>
        <w:rPr>
          <w:color w:val="231F20"/>
          <w:w w:val="105"/>
        </w:rPr>
        <w:t>lo</w:t>
      </w:r>
      <w:r>
        <w:rPr>
          <w:color w:val="231F20"/>
          <w:spacing w:val="-24"/>
          <w:w w:val="105"/>
        </w:rPr>
        <w:t> </w:t>
      </w:r>
      <w:r>
        <w:rPr>
          <w:color w:val="231F20"/>
          <w:w w:val="105"/>
        </w:rPr>
        <w:t>tanto,</w:t>
      </w:r>
      <w:r>
        <w:rPr>
          <w:color w:val="231F20"/>
          <w:spacing w:val="-24"/>
          <w:w w:val="105"/>
        </w:rPr>
        <w:t> </w:t>
      </w:r>
      <w:r>
        <w:rPr>
          <w:color w:val="231F20"/>
          <w:w w:val="105"/>
        </w:rPr>
        <w:t>que</w:t>
      </w:r>
      <w:r>
        <w:rPr>
          <w:color w:val="231F20"/>
          <w:spacing w:val="-24"/>
          <w:w w:val="105"/>
        </w:rPr>
        <w:t> </w:t>
      </w:r>
      <w:r>
        <w:rPr>
          <w:color w:val="231F20"/>
          <w:w w:val="105"/>
        </w:rPr>
        <w:t>no</w:t>
      </w:r>
      <w:r>
        <w:rPr>
          <w:color w:val="231F20"/>
          <w:spacing w:val="-24"/>
          <w:w w:val="105"/>
        </w:rPr>
        <w:t> </w:t>
      </w:r>
      <w:r>
        <w:rPr>
          <w:color w:val="231F20"/>
          <w:w w:val="105"/>
        </w:rPr>
        <w:t>es</w:t>
      </w:r>
      <w:r>
        <w:rPr>
          <w:color w:val="231F20"/>
          <w:spacing w:val="-24"/>
          <w:w w:val="105"/>
        </w:rPr>
        <w:t> </w:t>
      </w:r>
      <w:r>
        <w:rPr>
          <w:color w:val="231F20"/>
          <w:w w:val="105"/>
        </w:rPr>
        <w:t>necesario</w:t>
      </w:r>
      <w:r>
        <w:rPr>
          <w:color w:val="231F20"/>
          <w:spacing w:val="-24"/>
          <w:w w:val="105"/>
        </w:rPr>
        <w:t> </w:t>
      </w:r>
      <w:r>
        <w:rPr>
          <w:color w:val="231F20"/>
          <w:w w:val="105"/>
        </w:rPr>
        <w:t>adherirse</w:t>
      </w:r>
      <w:r>
        <w:rPr>
          <w:color w:val="231F20"/>
          <w:spacing w:val="-24"/>
          <w:w w:val="105"/>
        </w:rPr>
        <w:t> </w:t>
      </w:r>
      <w:r>
        <w:rPr>
          <w:color w:val="231F20"/>
          <w:w w:val="105"/>
        </w:rPr>
        <w:t>completamente</w:t>
      </w:r>
      <w:r>
        <w:rPr>
          <w:color w:val="231F20"/>
          <w:spacing w:val="-24"/>
          <w:w w:val="105"/>
        </w:rPr>
        <w:t> </w:t>
      </w:r>
      <w:r>
        <w:rPr>
          <w:color w:val="231F20"/>
          <w:w w:val="105"/>
        </w:rPr>
        <w:t>al</w:t>
      </w:r>
      <w:r>
        <w:rPr>
          <w:color w:val="231F20"/>
          <w:spacing w:val="-24"/>
          <w:w w:val="105"/>
        </w:rPr>
        <w:t> </w:t>
      </w:r>
      <w:r>
        <w:rPr>
          <w:color w:val="231F20"/>
          <w:w w:val="105"/>
        </w:rPr>
        <w:t>“radical</w:t>
      </w:r>
      <w:r>
        <w:rPr>
          <w:color w:val="231F20"/>
          <w:spacing w:val="-24"/>
          <w:w w:val="105"/>
        </w:rPr>
        <w:t> </w:t>
      </w:r>
      <w:r>
        <w:rPr>
          <w:color w:val="231F20"/>
          <w:w w:val="105"/>
        </w:rPr>
        <w:t>an- tihumanismo”</w:t>
      </w:r>
      <w:r>
        <w:rPr>
          <w:color w:val="231F20"/>
          <w:spacing w:val="-27"/>
          <w:w w:val="105"/>
        </w:rPr>
        <w:t> </w:t>
      </w:r>
      <w:r>
        <w:rPr>
          <w:color w:val="231F20"/>
          <w:w w:val="105"/>
        </w:rPr>
        <w:t>de</w:t>
      </w:r>
      <w:r>
        <w:rPr>
          <w:color w:val="231F20"/>
          <w:spacing w:val="-27"/>
          <w:w w:val="105"/>
        </w:rPr>
        <w:t> </w:t>
      </w:r>
      <w:r>
        <w:rPr>
          <w:color w:val="231F20"/>
          <w:w w:val="105"/>
        </w:rPr>
        <w:t>Schmitt</w:t>
      </w:r>
      <w:r>
        <w:rPr>
          <w:color w:val="231F20"/>
          <w:spacing w:val="-27"/>
          <w:w w:val="105"/>
        </w:rPr>
        <w:t> </w:t>
      </w:r>
      <w:r>
        <w:rPr>
          <w:color w:val="231F20"/>
          <w:w w:val="105"/>
        </w:rPr>
        <w:t>“para</w:t>
      </w:r>
      <w:r>
        <w:rPr>
          <w:color w:val="231F20"/>
          <w:spacing w:val="-27"/>
          <w:w w:val="105"/>
        </w:rPr>
        <w:t> </w:t>
      </w:r>
      <w:r>
        <w:rPr>
          <w:color w:val="231F20"/>
          <w:w w:val="105"/>
        </w:rPr>
        <w:t>desconfiar</w:t>
      </w:r>
      <w:r>
        <w:rPr>
          <w:color w:val="231F20"/>
          <w:spacing w:val="-27"/>
          <w:w w:val="105"/>
        </w:rPr>
        <w:t> </w:t>
      </w:r>
      <w:r>
        <w:rPr>
          <w:color w:val="231F20"/>
          <w:w w:val="105"/>
        </w:rPr>
        <w:t>de</w:t>
      </w:r>
      <w:r>
        <w:rPr>
          <w:color w:val="231F20"/>
          <w:spacing w:val="-27"/>
          <w:w w:val="105"/>
        </w:rPr>
        <w:t> </w:t>
      </w:r>
      <w:r>
        <w:rPr>
          <w:color w:val="231F20"/>
          <w:w w:val="105"/>
        </w:rPr>
        <w:t>quien</w:t>
      </w:r>
      <w:r>
        <w:rPr>
          <w:color w:val="231F20"/>
          <w:spacing w:val="-27"/>
          <w:w w:val="105"/>
        </w:rPr>
        <w:t> </w:t>
      </w:r>
      <w:r>
        <w:rPr>
          <w:color w:val="231F20"/>
          <w:w w:val="105"/>
        </w:rPr>
        <w:t>usa</w:t>
      </w:r>
      <w:r>
        <w:rPr>
          <w:color w:val="231F20"/>
          <w:spacing w:val="-27"/>
          <w:w w:val="105"/>
        </w:rPr>
        <w:t> </w:t>
      </w:r>
      <w:r>
        <w:rPr>
          <w:color w:val="231F20"/>
          <w:w w:val="105"/>
        </w:rPr>
        <w:t>la</w:t>
      </w:r>
      <w:r>
        <w:rPr>
          <w:color w:val="231F20"/>
          <w:spacing w:val="-27"/>
          <w:w w:val="105"/>
        </w:rPr>
        <w:t> </w:t>
      </w:r>
      <w:r>
        <w:rPr>
          <w:color w:val="231F20"/>
          <w:w w:val="105"/>
        </w:rPr>
        <w:t>palabra</w:t>
      </w:r>
      <w:r>
        <w:rPr>
          <w:color w:val="231F20"/>
          <w:spacing w:val="-27"/>
          <w:w w:val="105"/>
        </w:rPr>
        <w:t> </w:t>
      </w:r>
      <w:r>
        <w:rPr>
          <w:color w:val="231F20"/>
          <w:w w:val="105"/>
        </w:rPr>
        <w:t>‘huma- nidad’</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contexto</w:t>
      </w:r>
      <w:r>
        <w:rPr>
          <w:color w:val="231F20"/>
          <w:spacing w:val="-26"/>
          <w:w w:val="105"/>
        </w:rPr>
        <w:t> </w:t>
      </w:r>
      <w:r>
        <w:rPr>
          <w:color w:val="231F20"/>
          <w:w w:val="105"/>
        </w:rPr>
        <w:t>de</w:t>
      </w:r>
      <w:r>
        <w:rPr>
          <w:color w:val="231F20"/>
          <w:spacing w:val="-26"/>
          <w:w w:val="105"/>
        </w:rPr>
        <w:t> </w:t>
      </w:r>
      <w:r>
        <w:rPr>
          <w:color w:val="231F20"/>
          <w:w w:val="105"/>
        </w:rPr>
        <w:t>una</w:t>
      </w:r>
      <w:r>
        <w:rPr>
          <w:color w:val="231F20"/>
          <w:spacing w:val="-26"/>
          <w:w w:val="105"/>
        </w:rPr>
        <w:t> </w:t>
      </w:r>
      <w:r>
        <w:rPr>
          <w:color w:val="231F20"/>
          <w:w w:val="105"/>
        </w:rPr>
        <w:t>guerra”</w:t>
      </w:r>
      <w:r>
        <w:rPr>
          <w:color w:val="231F20"/>
          <w:w w:val="105"/>
          <w:position w:val="7"/>
          <w:sz w:val="12"/>
        </w:rPr>
        <w:t>64</w:t>
      </w:r>
      <w:r>
        <w:rPr>
          <w:color w:val="231F20"/>
          <w:w w:val="105"/>
        </w:rPr>
        <w:t>,</w:t>
      </w:r>
      <w:r>
        <w:rPr>
          <w:color w:val="231F20"/>
          <w:spacing w:val="-26"/>
          <w:w w:val="105"/>
        </w:rPr>
        <w:t> </w:t>
      </w:r>
      <w:r>
        <w:rPr>
          <w:color w:val="231F20"/>
          <w:w w:val="105"/>
        </w:rPr>
        <w:t>también</w:t>
      </w:r>
      <w:r>
        <w:rPr>
          <w:color w:val="231F20"/>
          <w:spacing w:val="-26"/>
          <w:w w:val="105"/>
        </w:rPr>
        <w:t> </w:t>
      </w:r>
      <w:r>
        <w:rPr>
          <w:color w:val="231F20"/>
          <w:w w:val="105"/>
        </w:rPr>
        <w:t>es</w:t>
      </w:r>
      <w:r>
        <w:rPr>
          <w:color w:val="231F20"/>
          <w:spacing w:val="-26"/>
          <w:w w:val="105"/>
        </w:rPr>
        <w:t> </w:t>
      </w:r>
      <w:r>
        <w:rPr>
          <w:color w:val="231F20"/>
          <w:w w:val="105"/>
        </w:rPr>
        <w:t>cierto</w:t>
      </w:r>
      <w:r>
        <w:rPr>
          <w:color w:val="231F20"/>
          <w:spacing w:val="-26"/>
          <w:w w:val="105"/>
        </w:rPr>
        <w:t> </w:t>
      </w:r>
      <w:r>
        <w:rPr>
          <w:color w:val="231F20"/>
          <w:w w:val="105"/>
        </w:rPr>
        <w:t>que</w:t>
      </w:r>
      <w:r>
        <w:rPr>
          <w:color w:val="231F20"/>
          <w:spacing w:val="-26"/>
          <w:w w:val="105"/>
        </w:rPr>
        <w:t> </w:t>
      </w:r>
      <w:r>
        <w:rPr>
          <w:color w:val="231F20"/>
          <w:w w:val="105"/>
        </w:rPr>
        <w:t>tal</w:t>
      </w:r>
      <w:r>
        <w:rPr>
          <w:color w:val="231F20"/>
          <w:spacing w:val="-26"/>
          <w:w w:val="105"/>
        </w:rPr>
        <w:t> </w:t>
      </w:r>
      <w:r>
        <w:rPr>
          <w:color w:val="231F20"/>
          <w:w w:val="105"/>
        </w:rPr>
        <w:t>sospecha puede</w:t>
      </w:r>
      <w:r>
        <w:rPr>
          <w:color w:val="231F20"/>
          <w:spacing w:val="-24"/>
          <w:w w:val="105"/>
        </w:rPr>
        <w:t> </w:t>
      </w:r>
      <w:r>
        <w:rPr>
          <w:color w:val="231F20"/>
          <w:w w:val="105"/>
        </w:rPr>
        <w:t>asumir</w:t>
      </w:r>
      <w:r>
        <w:rPr>
          <w:color w:val="231F20"/>
          <w:spacing w:val="-24"/>
          <w:w w:val="105"/>
        </w:rPr>
        <w:t> </w:t>
      </w:r>
      <w:r>
        <w:rPr>
          <w:color w:val="231F20"/>
          <w:w w:val="105"/>
        </w:rPr>
        <w:t>la</w:t>
      </w:r>
      <w:r>
        <w:rPr>
          <w:color w:val="231F20"/>
          <w:spacing w:val="-24"/>
          <w:w w:val="105"/>
        </w:rPr>
        <w:t> </w:t>
      </w:r>
      <w:r>
        <w:rPr>
          <w:color w:val="231F20"/>
          <w:w w:val="105"/>
        </w:rPr>
        <w:t>forma</w:t>
      </w:r>
      <w:r>
        <w:rPr>
          <w:color w:val="231F20"/>
          <w:spacing w:val="-24"/>
          <w:w w:val="105"/>
        </w:rPr>
        <w:t> </w:t>
      </w:r>
      <w:r>
        <w:rPr>
          <w:color w:val="231F20"/>
          <w:w w:val="105"/>
        </w:rPr>
        <w:t>“radical”</w:t>
      </w:r>
      <w:r>
        <w:rPr>
          <w:color w:val="231F20"/>
          <w:spacing w:val="-24"/>
          <w:w w:val="105"/>
        </w:rPr>
        <w:t> </w:t>
      </w:r>
      <w:r>
        <w:rPr>
          <w:color w:val="231F20"/>
          <w:w w:val="105"/>
        </w:rPr>
        <w:t>de</w:t>
      </w:r>
      <w:r>
        <w:rPr>
          <w:color w:val="231F20"/>
          <w:spacing w:val="-24"/>
          <w:w w:val="105"/>
        </w:rPr>
        <w:t> </w:t>
      </w:r>
      <w:r>
        <w:rPr>
          <w:color w:val="231F20"/>
          <w:w w:val="105"/>
        </w:rPr>
        <w:t>una</w:t>
      </w:r>
      <w:r>
        <w:rPr>
          <w:color w:val="231F20"/>
          <w:spacing w:val="-24"/>
          <w:w w:val="105"/>
        </w:rPr>
        <w:t> </w:t>
      </w:r>
      <w:r>
        <w:rPr>
          <w:color w:val="231F20"/>
          <w:w w:val="105"/>
        </w:rPr>
        <w:t>crítica</w:t>
      </w:r>
      <w:r>
        <w:rPr>
          <w:color w:val="231F20"/>
          <w:spacing w:val="-24"/>
          <w:w w:val="105"/>
        </w:rPr>
        <w:t> </w:t>
      </w:r>
      <w:r>
        <w:rPr>
          <w:color w:val="231F20"/>
          <w:w w:val="105"/>
        </w:rPr>
        <w:t>generalizada</w:t>
      </w:r>
      <w:r>
        <w:rPr>
          <w:color w:val="231F20"/>
          <w:spacing w:val="-24"/>
          <w:w w:val="105"/>
        </w:rPr>
        <w:t> </w:t>
      </w:r>
      <w:r>
        <w:rPr>
          <w:color w:val="231F20"/>
          <w:w w:val="105"/>
        </w:rPr>
        <w:t>al</w:t>
      </w:r>
      <w:r>
        <w:rPr>
          <w:color w:val="231F20"/>
          <w:spacing w:val="-24"/>
          <w:w w:val="105"/>
        </w:rPr>
        <w:t> </w:t>
      </w:r>
      <w:r>
        <w:rPr>
          <w:color w:val="231F20"/>
          <w:w w:val="105"/>
        </w:rPr>
        <w:t>universalis- mo</w:t>
      </w:r>
      <w:r>
        <w:rPr>
          <w:color w:val="231F20"/>
          <w:spacing w:val="-29"/>
          <w:w w:val="105"/>
        </w:rPr>
        <w:t> </w:t>
      </w:r>
      <w:r>
        <w:rPr>
          <w:color w:val="231F20"/>
          <w:w w:val="105"/>
        </w:rPr>
        <w:t>humanitario</w:t>
      </w:r>
      <w:r>
        <w:rPr>
          <w:color w:val="231F20"/>
          <w:spacing w:val="-29"/>
          <w:w w:val="105"/>
        </w:rPr>
        <w:t> </w:t>
      </w:r>
      <w:r>
        <w:rPr>
          <w:color w:val="231F20"/>
          <w:w w:val="105"/>
        </w:rPr>
        <w:t>sólo</w:t>
      </w:r>
      <w:r>
        <w:rPr>
          <w:color w:val="231F20"/>
          <w:spacing w:val="-29"/>
          <w:w w:val="105"/>
        </w:rPr>
        <w:t> </w:t>
      </w:r>
      <w:r>
        <w:rPr>
          <w:color w:val="231F20"/>
          <w:w w:val="105"/>
        </w:rPr>
        <w:t>a</w:t>
      </w:r>
      <w:r>
        <w:rPr>
          <w:color w:val="231F20"/>
          <w:spacing w:val="-29"/>
          <w:w w:val="105"/>
        </w:rPr>
        <w:t> </w:t>
      </w:r>
      <w:r>
        <w:rPr>
          <w:color w:val="231F20"/>
          <w:w w:val="105"/>
        </w:rPr>
        <w:t>cambio</w:t>
      </w:r>
      <w:r>
        <w:rPr>
          <w:color w:val="231F20"/>
          <w:spacing w:val="-29"/>
          <w:w w:val="105"/>
        </w:rPr>
        <w:t> </w:t>
      </w:r>
      <w:r>
        <w:rPr>
          <w:color w:val="231F20"/>
          <w:w w:val="105"/>
        </w:rPr>
        <w:t>de</w:t>
      </w:r>
      <w:r>
        <w:rPr>
          <w:color w:val="231F20"/>
          <w:spacing w:val="-29"/>
          <w:w w:val="105"/>
        </w:rPr>
        <w:t> </w:t>
      </w:r>
      <w:r>
        <w:rPr>
          <w:color w:val="231F20"/>
          <w:w w:val="105"/>
        </w:rPr>
        <w:t>una</w:t>
      </w:r>
      <w:r>
        <w:rPr>
          <w:color w:val="231F20"/>
          <w:spacing w:val="-29"/>
          <w:w w:val="105"/>
        </w:rPr>
        <w:t> </w:t>
      </w:r>
      <w:r>
        <w:rPr>
          <w:color w:val="231F20"/>
          <w:w w:val="105"/>
        </w:rPr>
        <w:t>adhesión</w:t>
      </w:r>
      <w:r>
        <w:rPr>
          <w:color w:val="231F20"/>
          <w:spacing w:val="-29"/>
          <w:w w:val="105"/>
        </w:rPr>
        <w:t> </w:t>
      </w:r>
      <w:r>
        <w:rPr>
          <w:color w:val="231F20"/>
          <w:w w:val="105"/>
        </w:rPr>
        <w:t>más</w:t>
      </w:r>
      <w:r>
        <w:rPr>
          <w:color w:val="231F20"/>
          <w:spacing w:val="-29"/>
          <w:w w:val="105"/>
        </w:rPr>
        <w:t> </w:t>
      </w:r>
      <w:r>
        <w:rPr>
          <w:color w:val="231F20"/>
          <w:w w:val="105"/>
        </w:rPr>
        <w:t>o</w:t>
      </w:r>
      <w:r>
        <w:rPr>
          <w:color w:val="231F20"/>
          <w:spacing w:val="-29"/>
          <w:w w:val="105"/>
        </w:rPr>
        <w:t> </w:t>
      </w:r>
      <w:r>
        <w:rPr>
          <w:color w:val="231F20"/>
          <w:w w:val="105"/>
        </w:rPr>
        <w:t>menos</w:t>
      </w:r>
      <w:r>
        <w:rPr>
          <w:color w:val="231F20"/>
          <w:spacing w:val="-29"/>
          <w:w w:val="105"/>
        </w:rPr>
        <w:t> </w:t>
      </w:r>
      <w:r>
        <w:rPr>
          <w:color w:val="231F20"/>
          <w:w w:val="105"/>
        </w:rPr>
        <w:t>consciente</w:t>
      </w:r>
      <w:r>
        <w:rPr>
          <w:color w:val="231F20"/>
          <w:spacing w:val="-29"/>
          <w:w w:val="105"/>
        </w:rPr>
        <w:t> </w:t>
      </w:r>
      <w:r>
        <w:rPr>
          <w:color w:val="231F20"/>
          <w:w w:val="105"/>
        </w:rPr>
        <w:t>a la</w:t>
      </w:r>
      <w:r>
        <w:rPr>
          <w:color w:val="231F20"/>
          <w:spacing w:val="-18"/>
          <w:w w:val="105"/>
        </w:rPr>
        <w:t> </w:t>
      </w:r>
      <w:r>
        <w:rPr>
          <w:color w:val="231F20"/>
          <w:w w:val="105"/>
        </w:rPr>
        <w:t>comprometedora</w:t>
      </w:r>
      <w:r>
        <w:rPr>
          <w:color w:val="231F20"/>
          <w:spacing w:val="-18"/>
          <w:w w:val="105"/>
        </w:rPr>
        <w:t> </w:t>
      </w:r>
      <w:r>
        <w:rPr>
          <w:color w:val="231F20"/>
          <w:w w:val="105"/>
        </w:rPr>
        <w:t>concepción</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autonomía</w:t>
      </w:r>
      <w:r>
        <w:rPr>
          <w:color w:val="231F20"/>
          <w:spacing w:val="-18"/>
          <w:w w:val="105"/>
        </w:rPr>
        <w:t> </w:t>
      </w:r>
      <w:r>
        <w:rPr>
          <w:color w:val="231F20"/>
          <w:w w:val="105"/>
        </w:rPr>
        <w:t>de</w:t>
      </w:r>
      <w:r>
        <w:rPr>
          <w:color w:val="231F20"/>
          <w:spacing w:val="-18"/>
          <w:w w:val="105"/>
        </w:rPr>
        <w:t> </w:t>
      </w:r>
      <w:r>
        <w:rPr>
          <w:color w:val="231F20"/>
          <w:w w:val="105"/>
        </w:rPr>
        <w:t>lo</w:t>
      </w:r>
      <w:r>
        <w:rPr>
          <w:color w:val="231F20"/>
          <w:spacing w:val="-18"/>
          <w:w w:val="105"/>
        </w:rPr>
        <w:t> </w:t>
      </w:r>
      <w:r>
        <w:rPr>
          <w:color w:val="231F20"/>
          <w:w w:val="105"/>
        </w:rPr>
        <w:t>político”</w:t>
      </w:r>
      <w:r>
        <w:rPr>
          <w:color w:val="231F20"/>
          <w:spacing w:val="-18"/>
          <w:w w:val="105"/>
        </w:rPr>
        <w:t> </w:t>
      </w:r>
      <w:r>
        <w:rPr>
          <w:color w:val="231F20"/>
          <w:w w:val="105"/>
        </w:rPr>
        <w:t>puesta</w:t>
      </w:r>
      <w:r>
        <w:rPr>
          <w:color w:val="231F20"/>
          <w:spacing w:val="-18"/>
          <w:w w:val="105"/>
        </w:rPr>
        <w:t> </w:t>
      </w:r>
      <w:r>
        <w:rPr>
          <w:color w:val="231F20"/>
          <w:w w:val="105"/>
        </w:rPr>
        <w:t>en la</w:t>
      </w:r>
      <w:r>
        <w:rPr>
          <w:color w:val="231F20"/>
          <w:spacing w:val="-26"/>
          <w:w w:val="105"/>
        </w:rPr>
        <w:t> </w:t>
      </w:r>
      <w:r>
        <w:rPr>
          <w:color w:val="231F20"/>
          <w:w w:val="105"/>
        </w:rPr>
        <w:t>base</w:t>
      </w:r>
      <w:r>
        <w:rPr>
          <w:color w:val="231F20"/>
          <w:spacing w:val="-26"/>
          <w:w w:val="105"/>
        </w:rPr>
        <w:t> </w:t>
      </w:r>
      <w:r>
        <w:rPr>
          <w:color w:val="231F20"/>
          <w:w w:val="105"/>
        </w:rPr>
        <w:t>de</w:t>
      </w:r>
      <w:r>
        <w:rPr>
          <w:color w:val="231F20"/>
          <w:spacing w:val="-26"/>
          <w:w w:val="105"/>
        </w:rPr>
        <w:t> </w:t>
      </w:r>
      <w:r>
        <w:rPr>
          <w:color w:val="231F20"/>
          <w:w w:val="105"/>
        </w:rPr>
        <w:t>toda</w:t>
      </w:r>
      <w:r>
        <w:rPr>
          <w:color w:val="231F20"/>
          <w:spacing w:val="-26"/>
          <w:w w:val="105"/>
        </w:rPr>
        <w:t> </w:t>
      </w:r>
      <w:r>
        <w:rPr>
          <w:color w:val="231F20"/>
          <w:w w:val="105"/>
        </w:rPr>
        <w:t>su</w:t>
      </w:r>
      <w:r>
        <w:rPr>
          <w:color w:val="231F20"/>
          <w:spacing w:val="-26"/>
          <w:w w:val="105"/>
        </w:rPr>
        <w:t> </w:t>
      </w:r>
      <w:r>
        <w:rPr>
          <w:color w:val="231F20"/>
          <w:w w:val="105"/>
        </w:rPr>
        <w:t>teoría.</w:t>
      </w:r>
    </w:p>
    <w:p>
      <w:pPr>
        <w:pStyle w:val="BodyText"/>
        <w:spacing w:line="247" w:lineRule="auto"/>
        <w:ind w:left="117" w:right="101" w:firstLine="566"/>
        <w:jc w:val="both"/>
      </w:pPr>
      <w:r>
        <w:rPr>
          <w:color w:val="231F20"/>
        </w:rPr>
        <w:t>Como escribió Chris Brown, desde este punto de vista, lo que Sch- mitt propone a través de su peculiar forma de realismo político es un </w:t>
      </w:r>
      <w:r>
        <w:rPr>
          <w:color w:val="231F20"/>
          <w:spacing w:val="-3"/>
        </w:rPr>
        <w:t>ver- </w:t>
      </w:r>
      <w:r>
        <w:rPr>
          <w:color w:val="231F20"/>
        </w:rPr>
        <w:t>dadero </w:t>
      </w:r>
      <w:r>
        <w:rPr>
          <w:rFonts w:ascii="Arial" w:hAnsi="Arial"/>
          <w:i/>
          <w:color w:val="231F20"/>
        </w:rPr>
        <w:t>pacto con el diablo</w:t>
      </w:r>
      <w:r>
        <w:rPr>
          <w:color w:val="231F20"/>
        </w:rPr>
        <w:t>: “acepten el hecho de que la violencia es sim- plemente parte de la existencia humana —olviden el intento de exigir que la violencia sea justificada— y a cambio tendrán un mundo en el que ésta será</w:t>
      </w:r>
      <w:r>
        <w:rPr>
          <w:color w:val="231F20"/>
          <w:spacing w:val="-14"/>
        </w:rPr>
        <w:t> </w:t>
      </w:r>
      <w:r>
        <w:rPr>
          <w:color w:val="231F20"/>
        </w:rPr>
        <w:t>efectivamente</w:t>
      </w:r>
      <w:r>
        <w:rPr>
          <w:color w:val="231F20"/>
          <w:spacing w:val="-14"/>
        </w:rPr>
        <w:t> </w:t>
      </w:r>
      <w:r>
        <w:rPr>
          <w:color w:val="231F20"/>
        </w:rPr>
        <w:t>más</w:t>
      </w:r>
      <w:r>
        <w:rPr>
          <w:color w:val="231F20"/>
          <w:spacing w:val="-14"/>
        </w:rPr>
        <w:t> </w:t>
      </w:r>
      <w:r>
        <w:rPr>
          <w:color w:val="231F20"/>
        </w:rPr>
        <w:t>controlada</w:t>
      </w:r>
      <w:r>
        <w:rPr>
          <w:color w:val="231F20"/>
          <w:spacing w:val="-14"/>
        </w:rPr>
        <w:t> </w:t>
      </w:r>
      <w:r>
        <w:rPr>
          <w:color w:val="231F20"/>
        </w:rPr>
        <w:t>y</w:t>
      </w:r>
      <w:r>
        <w:rPr>
          <w:color w:val="231F20"/>
          <w:spacing w:val="-14"/>
        </w:rPr>
        <w:t> </w:t>
      </w:r>
      <w:r>
        <w:rPr>
          <w:color w:val="231F20"/>
        </w:rPr>
        <w:t>menos</w:t>
      </w:r>
      <w:r>
        <w:rPr>
          <w:color w:val="231F20"/>
          <w:spacing w:val="-14"/>
        </w:rPr>
        <w:t> </w:t>
      </w:r>
      <w:r>
        <w:rPr>
          <w:color w:val="231F20"/>
        </w:rPr>
        <w:t>peligrosa</w:t>
      </w:r>
      <w:r>
        <w:rPr>
          <w:color w:val="231F20"/>
          <w:spacing w:val="-14"/>
        </w:rPr>
        <w:t> </w:t>
      </w:r>
      <w:r>
        <w:rPr>
          <w:color w:val="231F20"/>
        </w:rPr>
        <w:t>para</w:t>
      </w:r>
      <w:r>
        <w:rPr>
          <w:color w:val="231F20"/>
          <w:spacing w:val="-14"/>
        </w:rPr>
        <w:t> </w:t>
      </w:r>
      <w:r>
        <w:rPr>
          <w:color w:val="231F20"/>
        </w:rPr>
        <w:t>la</w:t>
      </w:r>
      <w:r>
        <w:rPr>
          <w:color w:val="231F20"/>
          <w:spacing w:val="-14"/>
        </w:rPr>
        <w:t> </w:t>
      </w:r>
      <w:r>
        <w:rPr>
          <w:color w:val="231F20"/>
        </w:rPr>
        <w:t>existencia</w:t>
      </w:r>
      <w:r>
        <w:rPr>
          <w:color w:val="231F20"/>
          <w:spacing w:val="-14"/>
        </w:rPr>
        <w:t> </w:t>
      </w:r>
      <w:r>
        <w:rPr>
          <w:color w:val="231F20"/>
        </w:rPr>
        <w:t>hu- mana de lo que sería de otra manera”</w:t>
      </w:r>
      <w:r>
        <w:rPr>
          <w:color w:val="231F20"/>
          <w:position w:val="7"/>
          <w:sz w:val="12"/>
        </w:rPr>
        <w:t>65</w:t>
      </w:r>
      <w:r>
        <w:rPr>
          <w:color w:val="231F20"/>
        </w:rPr>
        <w:t>. Pero apropiarse de esta posición significa aceptar el principio de que el uso de la fuerza en política no se justifique</w:t>
      </w:r>
      <w:r>
        <w:rPr>
          <w:color w:val="231F20"/>
          <w:spacing w:val="-9"/>
        </w:rPr>
        <w:t> </w:t>
      </w:r>
      <w:r>
        <w:rPr>
          <w:color w:val="231F20"/>
        </w:rPr>
        <w:t>jamás</w:t>
      </w:r>
      <w:r>
        <w:rPr>
          <w:color w:val="231F20"/>
          <w:spacing w:val="-9"/>
        </w:rPr>
        <w:t> </w:t>
      </w:r>
      <w:r>
        <w:rPr>
          <w:color w:val="231F20"/>
        </w:rPr>
        <w:t>en</w:t>
      </w:r>
      <w:r>
        <w:rPr>
          <w:color w:val="231F20"/>
          <w:spacing w:val="-9"/>
        </w:rPr>
        <w:t> </w:t>
      </w:r>
      <w:r>
        <w:rPr>
          <w:color w:val="231F20"/>
        </w:rPr>
        <w:t>términos</w:t>
      </w:r>
      <w:r>
        <w:rPr>
          <w:color w:val="231F20"/>
          <w:spacing w:val="-9"/>
        </w:rPr>
        <w:t> </w:t>
      </w:r>
      <w:r>
        <w:rPr>
          <w:color w:val="231F20"/>
        </w:rPr>
        <w:t>morales.</w:t>
      </w:r>
      <w:r>
        <w:rPr>
          <w:color w:val="231F20"/>
          <w:spacing w:val="-9"/>
        </w:rPr>
        <w:t> </w:t>
      </w:r>
      <w:r>
        <w:rPr>
          <w:color w:val="231F20"/>
        </w:rPr>
        <w:t>Es</w:t>
      </w:r>
      <w:r>
        <w:rPr>
          <w:color w:val="231F20"/>
          <w:spacing w:val="-9"/>
        </w:rPr>
        <w:t> </w:t>
      </w:r>
      <w:r>
        <w:rPr>
          <w:color w:val="231F20"/>
        </w:rPr>
        <w:t>más:</w:t>
      </w:r>
      <w:r>
        <w:rPr>
          <w:color w:val="231F20"/>
          <w:spacing w:val="-9"/>
        </w:rPr>
        <w:t> </w:t>
      </w:r>
      <w:r>
        <w:rPr>
          <w:color w:val="231F20"/>
        </w:rPr>
        <w:t>admitir</w:t>
      </w:r>
      <w:r>
        <w:rPr>
          <w:color w:val="231F20"/>
          <w:spacing w:val="-9"/>
        </w:rPr>
        <w:t> </w:t>
      </w:r>
      <w:r>
        <w:rPr>
          <w:color w:val="231F20"/>
        </w:rPr>
        <w:t>que</w:t>
      </w:r>
      <w:r>
        <w:rPr>
          <w:color w:val="231F20"/>
          <w:spacing w:val="-9"/>
        </w:rPr>
        <w:t> </w:t>
      </w:r>
      <w:r>
        <w:rPr>
          <w:color w:val="231F20"/>
        </w:rPr>
        <w:t>“cualquier</w:t>
      </w:r>
      <w:r>
        <w:rPr>
          <w:color w:val="231F20"/>
          <w:spacing w:val="-9"/>
        </w:rPr>
        <w:t> </w:t>
      </w:r>
      <w:r>
        <w:rPr>
          <w:color w:val="231F20"/>
        </w:rPr>
        <w:t>inten- to de controlar y limitar el papel de la violencia en los asuntos humanos</w:t>
      </w:r>
      <w:r>
        <w:rPr>
          <w:color w:val="231F20"/>
          <w:spacing w:val="-20"/>
        </w:rPr>
        <w:t> </w:t>
      </w:r>
      <w:r>
        <w:rPr>
          <w:color w:val="231F20"/>
        </w:rPr>
        <w:t>es necesariamente fútil y contraproducente, […] una posición normativa que merece ser</w:t>
      </w:r>
      <w:r>
        <w:rPr>
          <w:color w:val="231F20"/>
          <w:spacing w:val="4"/>
        </w:rPr>
        <w:t> </w:t>
      </w:r>
      <w:r>
        <w:rPr>
          <w:color w:val="231F20"/>
        </w:rPr>
        <w:t>rechazada”</w:t>
      </w:r>
      <w:r>
        <w:rPr>
          <w:color w:val="231F20"/>
          <w:position w:val="7"/>
          <w:sz w:val="12"/>
        </w:rPr>
        <w:t>66</w:t>
      </w:r>
      <w:r>
        <w:rPr>
          <w:color w:val="231F20"/>
        </w:rPr>
        <w:t>.</w:t>
      </w:r>
    </w:p>
    <w:p>
      <w:pPr>
        <w:pStyle w:val="BodyText"/>
        <w:spacing w:line="247" w:lineRule="auto"/>
        <w:ind w:left="117" w:right="101" w:firstLine="566"/>
        <w:jc w:val="both"/>
      </w:pPr>
      <w:r>
        <w:rPr>
          <w:color w:val="231F20"/>
        </w:rPr>
        <w:t>Como en el aparato teórico schmitiano original, también en las </w:t>
      </w:r>
      <w:r>
        <w:rPr>
          <w:color w:val="231F20"/>
          <w:spacing w:val="-2"/>
        </w:rPr>
        <w:t>más </w:t>
      </w:r>
      <w:r>
        <w:rPr>
          <w:color w:val="231F20"/>
          <w:spacing w:val="-3"/>
        </w:rPr>
        <w:t>recientes  </w:t>
      </w:r>
      <w:r>
        <w:rPr>
          <w:color w:val="231F20"/>
        </w:rPr>
        <w:t>concepciones “neorrealistas” del intervencionismo humanitario  el </w:t>
      </w:r>
      <w:r>
        <w:rPr>
          <w:color w:val="231F20"/>
          <w:spacing w:val="-3"/>
        </w:rPr>
        <w:t>rechazo </w:t>
      </w:r>
      <w:r>
        <w:rPr>
          <w:color w:val="231F20"/>
        </w:rPr>
        <w:t>a una moralización del contexto de las </w:t>
      </w:r>
      <w:r>
        <w:rPr>
          <w:color w:val="231F20"/>
          <w:spacing w:val="-3"/>
        </w:rPr>
        <w:t>relaciones </w:t>
      </w:r>
      <w:r>
        <w:rPr>
          <w:color w:val="231F20"/>
        </w:rPr>
        <w:t>internaciona- les tiende a unirse íntimamente con una decidida defensa de la</w:t>
      </w:r>
      <w:r>
        <w:rPr>
          <w:color w:val="231F20"/>
          <w:spacing w:val="55"/>
        </w:rPr>
        <w:t> </w:t>
      </w:r>
      <w:r>
        <w:rPr>
          <w:color w:val="231F20"/>
        </w:rPr>
        <w:t>soberanía</w:t>
      </w:r>
    </w:p>
    <w:p>
      <w:pPr>
        <w:pStyle w:val="BodyText"/>
        <w:rPr>
          <w:sz w:val="20"/>
        </w:rPr>
      </w:pPr>
    </w:p>
    <w:p>
      <w:pPr>
        <w:pStyle w:val="BodyText"/>
        <w:spacing w:before="1"/>
        <w:rPr>
          <w:sz w:val="14"/>
        </w:rPr>
      </w:pPr>
      <w:r>
        <w:rPr/>
        <w:pict>
          <v:line style="position:absolute;mso-position-horizontal-relative:page;mso-position-vertical-relative:paragraph;z-index:7960;mso-wrap-distance-left:0;mso-wrap-distance-right:0" from="70.866203pt,10.636672pt" to="184.252203pt,10.636672pt" stroked="true" strokeweight=".3pt" strokecolor="#231f20">
            <w10:wrap type="topAndBottom"/>
          </v:line>
        </w:pict>
      </w:r>
    </w:p>
    <w:p>
      <w:pPr>
        <w:spacing w:line="204" w:lineRule="exact" w:before="9"/>
        <w:ind w:left="117" w:right="101" w:firstLine="0"/>
        <w:jc w:val="both"/>
        <w:rPr>
          <w:rFonts w:ascii="Calibri" w:hAnsi="Calibri"/>
          <w:sz w:val="17"/>
        </w:rPr>
      </w:pPr>
      <w:r>
        <w:rPr>
          <w:rFonts w:ascii="Calibri" w:hAnsi="Calibri"/>
          <w:color w:val="231F20"/>
          <w:w w:val="105"/>
          <w:position w:val="6"/>
          <w:sz w:val="10"/>
        </w:rPr>
        <w:t>62</w:t>
      </w:r>
      <w:r>
        <w:rPr>
          <w:rFonts w:ascii="Calibri" w:hAnsi="Calibri"/>
          <w:color w:val="231F20"/>
          <w:spacing w:val="7"/>
          <w:w w:val="105"/>
          <w:position w:val="6"/>
          <w:sz w:val="10"/>
        </w:rPr>
        <w:t> </w:t>
      </w:r>
      <w:r>
        <w:rPr>
          <w:rFonts w:ascii="Calibri" w:hAnsi="Calibri"/>
          <w:color w:val="231F20"/>
          <w:w w:val="105"/>
          <w:sz w:val="17"/>
        </w:rPr>
        <w:t>Sobre</w:t>
      </w:r>
      <w:r>
        <w:rPr>
          <w:rFonts w:ascii="Calibri" w:hAnsi="Calibri"/>
          <w:color w:val="231F20"/>
          <w:spacing w:val="-10"/>
          <w:w w:val="105"/>
          <w:sz w:val="17"/>
        </w:rPr>
        <w:t> </w:t>
      </w:r>
      <w:r>
        <w:rPr>
          <w:rFonts w:ascii="Calibri" w:hAnsi="Calibri"/>
          <w:color w:val="231F20"/>
          <w:w w:val="105"/>
          <w:sz w:val="17"/>
        </w:rPr>
        <w:t>este</w:t>
      </w:r>
      <w:r>
        <w:rPr>
          <w:rFonts w:ascii="Calibri" w:hAnsi="Calibri"/>
          <w:color w:val="231F20"/>
          <w:spacing w:val="-10"/>
          <w:w w:val="105"/>
          <w:sz w:val="17"/>
        </w:rPr>
        <w:t> </w:t>
      </w:r>
      <w:r>
        <w:rPr>
          <w:rFonts w:ascii="Calibri" w:hAnsi="Calibri"/>
          <w:color w:val="231F20"/>
          <w:w w:val="105"/>
          <w:sz w:val="17"/>
        </w:rPr>
        <w:t>aspecto</w:t>
      </w:r>
      <w:r>
        <w:rPr>
          <w:rFonts w:ascii="Calibri" w:hAnsi="Calibri"/>
          <w:color w:val="231F20"/>
          <w:spacing w:val="-10"/>
          <w:w w:val="105"/>
          <w:sz w:val="17"/>
        </w:rPr>
        <w:t> </w:t>
      </w:r>
      <w:r>
        <w:rPr>
          <w:rFonts w:ascii="Calibri" w:hAnsi="Calibri"/>
          <w:color w:val="231F20"/>
          <w:w w:val="105"/>
          <w:sz w:val="17"/>
        </w:rPr>
        <w:t>condicionante</w:t>
      </w:r>
      <w:r>
        <w:rPr>
          <w:rFonts w:ascii="Calibri" w:hAnsi="Calibri"/>
          <w:color w:val="231F20"/>
          <w:spacing w:val="-10"/>
          <w:w w:val="105"/>
          <w:sz w:val="17"/>
        </w:rPr>
        <w:t> </w:t>
      </w:r>
      <w:r>
        <w:rPr>
          <w:rFonts w:ascii="Calibri" w:hAnsi="Calibri"/>
          <w:color w:val="231F20"/>
          <w:w w:val="105"/>
          <w:sz w:val="17"/>
        </w:rPr>
        <w:t>del</w:t>
      </w:r>
      <w:r>
        <w:rPr>
          <w:rFonts w:ascii="Calibri" w:hAnsi="Calibri"/>
          <w:color w:val="231F20"/>
          <w:spacing w:val="-10"/>
          <w:w w:val="105"/>
          <w:sz w:val="17"/>
        </w:rPr>
        <w:t> </w:t>
      </w:r>
      <w:r>
        <w:rPr>
          <w:rFonts w:ascii="Calibri" w:hAnsi="Calibri"/>
          <w:color w:val="231F20"/>
          <w:w w:val="105"/>
          <w:sz w:val="17"/>
        </w:rPr>
        <w:t>antiuniversalismo</w:t>
      </w:r>
      <w:r>
        <w:rPr>
          <w:rFonts w:ascii="Calibri" w:hAnsi="Calibri"/>
          <w:color w:val="231F20"/>
          <w:spacing w:val="-10"/>
          <w:w w:val="105"/>
          <w:sz w:val="17"/>
        </w:rPr>
        <w:t> </w:t>
      </w:r>
      <w:r>
        <w:rPr>
          <w:rFonts w:ascii="Calibri" w:hAnsi="Calibri"/>
          <w:color w:val="231F20"/>
          <w:w w:val="105"/>
          <w:sz w:val="17"/>
        </w:rPr>
        <w:t>schmitiano</w:t>
      </w:r>
      <w:r>
        <w:rPr>
          <w:rFonts w:ascii="Calibri" w:hAnsi="Calibri"/>
          <w:color w:val="231F20"/>
          <w:spacing w:val="-11"/>
          <w:w w:val="105"/>
          <w:sz w:val="17"/>
        </w:rPr>
        <w:t> </w:t>
      </w:r>
      <w:r>
        <w:rPr>
          <w:rFonts w:ascii="Calibri" w:hAnsi="Calibri"/>
          <w:color w:val="231F20"/>
          <w:w w:val="105"/>
          <w:sz w:val="17"/>
        </w:rPr>
        <w:t>y</w:t>
      </w:r>
      <w:r>
        <w:rPr>
          <w:rFonts w:ascii="Calibri" w:hAnsi="Calibri"/>
          <w:color w:val="231F20"/>
          <w:spacing w:val="-10"/>
          <w:w w:val="105"/>
          <w:sz w:val="17"/>
        </w:rPr>
        <w:t> </w:t>
      </w:r>
      <w:r>
        <w:rPr>
          <w:rFonts w:ascii="Calibri" w:hAnsi="Calibri"/>
          <w:color w:val="231F20"/>
          <w:w w:val="105"/>
          <w:sz w:val="17"/>
        </w:rPr>
        <w:t>sobre</w:t>
      </w:r>
      <w:r>
        <w:rPr>
          <w:rFonts w:ascii="Calibri" w:hAnsi="Calibri"/>
          <w:color w:val="231F20"/>
          <w:spacing w:val="-10"/>
          <w:w w:val="105"/>
          <w:sz w:val="17"/>
        </w:rPr>
        <w:t> </w:t>
      </w:r>
      <w:r>
        <w:rPr>
          <w:rFonts w:ascii="Calibri" w:hAnsi="Calibri"/>
          <w:color w:val="231F20"/>
          <w:w w:val="105"/>
          <w:sz w:val="17"/>
        </w:rPr>
        <w:t>las</w:t>
      </w:r>
      <w:r>
        <w:rPr>
          <w:rFonts w:ascii="Calibri" w:hAnsi="Calibri"/>
          <w:color w:val="231F20"/>
          <w:spacing w:val="-10"/>
          <w:w w:val="105"/>
          <w:sz w:val="17"/>
        </w:rPr>
        <w:t> </w:t>
      </w:r>
      <w:r>
        <w:rPr>
          <w:rFonts w:ascii="Calibri" w:hAnsi="Calibri"/>
          <w:color w:val="231F20"/>
          <w:w w:val="105"/>
          <w:sz w:val="17"/>
        </w:rPr>
        <w:t>dificultades</w:t>
      </w:r>
      <w:r>
        <w:rPr>
          <w:rFonts w:ascii="Calibri" w:hAnsi="Calibri"/>
          <w:color w:val="231F20"/>
          <w:spacing w:val="-10"/>
          <w:w w:val="105"/>
          <w:sz w:val="17"/>
        </w:rPr>
        <w:t> </w:t>
      </w:r>
      <w:r>
        <w:rPr>
          <w:rFonts w:ascii="Calibri" w:hAnsi="Calibri"/>
          <w:color w:val="231F20"/>
          <w:w w:val="105"/>
          <w:sz w:val="17"/>
        </w:rPr>
        <w:t>que éste</w:t>
      </w:r>
      <w:r>
        <w:rPr>
          <w:rFonts w:ascii="Calibri" w:hAnsi="Calibri"/>
          <w:color w:val="231F20"/>
          <w:spacing w:val="-25"/>
          <w:w w:val="105"/>
          <w:sz w:val="17"/>
        </w:rPr>
        <w:t> </w:t>
      </w:r>
      <w:r>
        <w:rPr>
          <w:rFonts w:ascii="Calibri" w:hAnsi="Calibri"/>
          <w:color w:val="231F20"/>
          <w:w w:val="105"/>
          <w:sz w:val="17"/>
        </w:rPr>
        <w:t>pone</w:t>
      </w:r>
      <w:r>
        <w:rPr>
          <w:rFonts w:ascii="Calibri" w:hAnsi="Calibri"/>
          <w:color w:val="231F20"/>
          <w:spacing w:val="-25"/>
          <w:w w:val="105"/>
          <w:sz w:val="17"/>
        </w:rPr>
        <w:t> </w:t>
      </w:r>
      <w:r>
        <w:rPr>
          <w:rFonts w:ascii="Calibri" w:hAnsi="Calibri"/>
          <w:color w:val="231F20"/>
          <w:w w:val="105"/>
          <w:sz w:val="17"/>
        </w:rPr>
        <w:t>a</w:t>
      </w:r>
      <w:r>
        <w:rPr>
          <w:rFonts w:ascii="Calibri" w:hAnsi="Calibri"/>
          <w:color w:val="231F20"/>
          <w:spacing w:val="-25"/>
          <w:w w:val="105"/>
          <w:sz w:val="17"/>
        </w:rPr>
        <w:t> </w:t>
      </w:r>
      <w:r>
        <w:rPr>
          <w:rFonts w:ascii="Calibri" w:hAnsi="Calibri"/>
          <w:color w:val="231F20"/>
          <w:w w:val="105"/>
          <w:sz w:val="17"/>
        </w:rPr>
        <w:t>su</w:t>
      </w:r>
      <w:r>
        <w:rPr>
          <w:rFonts w:ascii="Calibri" w:hAnsi="Calibri"/>
          <w:color w:val="231F20"/>
          <w:spacing w:val="-25"/>
          <w:w w:val="105"/>
          <w:sz w:val="17"/>
        </w:rPr>
        <w:t> </w:t>
      </w:r>
      <w:r>
        <w:rPr>
          <w:rFonts w:ascii="Calibri" w:hAnsi="Calibri"/>
          <w:color w:val="231F20"/>
          <w:w w:val="105"/>
          <w:sz w:val="17"/>
        </w:rPr>
        <w:t>recuperación</w:t>
      </w:r>
      <w:r>
        <w:rPr>
          <w:rFonts w:ascii="Calibri" w:hAnsi="Calibri"/>
          <w:color w:val="231F20"/>
          <w:spacing w:val="-25"/>
          <w:w w:val="105"/>
          <w:sz w:val="17"/>
        </w:rPr>
        <w:t> </w:t>
      </w:r>
      <w:r>
        <w:rPr>
          <w:rFonts w:ascii="Calibri" w:hAnsi="Calibri"/>
          <w:color w:val="231F20"/>
          <w:w w:val="105"/>
          <w:sz w:val="17"/>
        </w:rPr>
        <w:t>contemporánea,</w:t>
      </w:r>
      <w:r>
        <w:rPr>
          <w:rFonts w:ascii="Calibri" w:hAnsi="Calibri"/>
          <w:color w:val="231F20"/>
          <w:spacing w:val="-27"/>
          <w:w w:val="105"/>
          <w:sz w:val="17"/>
        </w:rPr>
        <w:t> </w:t>
      </w:r>
      <w:r>
        <w:rPr>
          <w:rFonts w:ascii="Calibri" w:hAnsi="Calibri"/>
          <w:color w:val="231F20"/>
          <w:w w:val="105"/>
          <w:sz w:val="17"/>
        </w:rPr>
        <w:t>véase</w:t>
      </w:r>
      <w:r>
        <w:rPr>
          <w:rFonts w:ascii="Calibri" w:hAnsi="Calibri"/>
          <w:color w:val="231F20"/>
          <w:spacing w:val="-25"/>
          <w:w w:val="105"/>
          <w:sz w:val="17"/>
        </w:rPr>
        <w:t> </w:t>
      </w:r>
      <w:r>
        <w:rPr>
          <w:rFonts w:ascii="Calibri" w:hAnsi="Calibri"/>
          <w:color w:val="231F20"/>
          <w:w w:val="105"/>
          <w:sz w:val="17"/>
        </w:rPr>
        <w:t>Axtmann,</w:t>
      </w:r>
      <w:r>
        <w:rPr>
          <w:rFonts w:ascii="Calibri" w:hAnsi="Calibri"/>
          <w:color w:val="231F20"/>
          <w:spacing w:val="-25"/>
          <w:w w:val="105"/>
          <w:sz w:val="17"/>
        </w:rPr>
        <w:t> </w:t>
      </w:r>
      <w:r>
        <w:rPr>
          <w:rFonts w:ascii="Calibri" w:hAnsi="Calibri"/>
          <w:i/>
          <w:color w:val="231F20"/>
          <w:w w:val="105"/>
          <w:sz w:val="17"/>
        </w:rPr>
        <w:t>Humanity</w:t>
      </w:r>
      <w:r>
        <w:rPr>
          <w:rFonts w:ascii="Calibri" w:hAnsi="Calibri"/>
          <w:i/>
          <w:color w:val="231F20"/>
          <w:spacing w:val="-26"/>
          <w:w w:val="105"/>
          <w:sz w:val="17"/>
        </w:rPr>
        <w:t> </w:t>
      </w:r>
      <w:r>
        <w:rPr>
          <w:rFonts w:ascii="Calibri" w:hAnsi="Calibri"/>
          <w:i/>
          <w:color w:val="231F20"/>
          <w:w w:val="105"/>
          <w:sz w:val="17"/>
        </w:rPr>
        <w:t>or</w:t>
      </w:r>
      <w:r>
        <w:rPr>
          <w:rFonts w:ascii="Calibri" w:hAnsi="Calibri"/>
          <w:i/>
          <w:color w:val="231F20"/>
          <w:spacing w:val="-26"/>
          <w:w w:val="105"/>
          <w:sz w:val="17"/>
        </w:rPr>
        <w:t> </w:t>
      </w:r>
      <w:r>
        <w:rPr>
          <w:rFonts w:ascii="Calibri" w:hAnsi="Calibri"/>
          <w:i/>
          <w:color w:val="231F20"/>
          <w:w w:val="105"/>
          <w:sz w:val="17"/>
        </w:rPr>
        <w:t>Enmity?</w:t>
      </w:r>
      <w:r>
        <w:rPr>
          <w:rFonts w:ascii="Calibri" w:hAnsi="Calibri"/>
          <w:color w:val="231F20"/>
          <w:w w:val="105"/>
          <w:sz w:val="17"/>
        </w:rPr>
        <w:t>;</w:t>
      </w:r>
      <w:r>
        <w:rPr>
          <w:rFonts w:ascii="Calibri" w:hAnsi="Calibri"/>
          <w:color w:val="231F20"/>
          <w:spacing w:val="-25"/>
          <w:w w:val="105"/>
          <w:sz w:val="17"/>
        </w:rPr>
        <w:t> </w:t>
      </w:r>
      <w:r>
        <w:rPr>
          <w:rFonts w:ascii="Calibri" w:hAnsi="Calibri"/>
          <w:color w:val="231F20"/>
          <w:w w:val="105"/>
          <w:sz w:val="17"/>
        </w:rPr>
        <w:t>Chandler,</w:t>
      </w:r>
      <w:r>
        <w:rPr>
          <w:rFonts w:ascii="Calibri" w:hAnsi="Calibri"/>
          <w:color w:val="231F20"/>
          <w:spacing w:val="-25"/>
          <w:w w:val="105"/>
          <w:sz w:val="17"/>
        </w:rPr>
        <w:t> </w:t>
      </w:r>
      <w:r>
        <w:rPr>
          <w:rFonts w:ascii="Calibri" w:hAnsi="Calibri"/>
          <w:color w:val="231F20"/>
          <w:w w:val="105"/>
          <w:sz w:val="17"/>
        </w:rPr>
        <w:t>“The Revival</w:t>
      </w:r>
      <w:r>
        <w:rPr>
          <w:rFonts w:ascii="Calibri" w:hAnsi="Calibri"/>
          <w:color w:val="231F20"/>
          <w:spacing w:val="-4"/>
          <w:w w:val="105"/>
          <w:sz w:val="17"/>
        </w:rPr>
        <w:t> </w:t>
      </w:r>
      <w:r>
        <w:rPr>
          <w:rFonts w:ascii="Calibri" w:hAnsi="Calibri"/>
          <w:color w:val="231F20"/>
          <w:w w:val="105"/>
          <w:sz w:val="17"/>
        </w:rPr>
        <w:t>of</w:t>
      </w:r>
      <w:r>
        <w:rPr>
          <w:rFonts w:ascii="Calibri" w:hAnsi="Calibri"/>
          <w:color w:val="231F20"/>
          <w:spacing w:val="-4"/>
          <w:w w:val="105"/>
          <w:sz w:val="17"/>
        </w:rPr>
        <w:t> </w:t>
      </w:r>
      <w:r>
        <w:rPr>
          <w:rFonts w:ascii="Calibri" w:hAnsi="Calibri"/>
          <w:color w:val="231F20"/>
          <w:w w:val="105"/>
          <w:sz w:val="17"/>
        </w:rPr>
        <w:t>Carl</w:t>
      </w:r>
      <w:r>
        <w:rPr>
          <w:rFonts w:ascii="Calibri" w:hAnsi="Calibri"/>
          <w:color w:val="231F20"/>
          <w:spacing w:val="-4"/>
          <w:w w:val="105"/>
          <w:sz w:val="17"/>
        </w:rPr>
        <w:t> </w:t>
      </w:r>
      <w:r>
        <w:rPr>
          <w:rFonts w:ascii="Calibri" w:hAnsi="Calibri"/>
          <w:color w:val="231F20"/>
          <w:w w:val="105"/>
          <w:sz w:val="17"/>
        </w:rPr>
        <w:t>Schmitt</w:t>
      </w:r>
      <w:r>
        <w:rPr>
          <w:rFonts w:ascii="Calibri" w:hAnsi="Calibri"/>
          <w:color w:val="231F20"/>
          <w:spacing w:val="-4"/>
          <w:w w:val="105"/>
          <w:sz w:val="17"/>
        </w:rPr>
        <w:t> </w:t>
      </w:r>
      <w:r>
        <w:rPr>
          <w:rFonts w:ascii="Calibri" w:hAnsi="Calibri"/>
          <w:color w:val="231F20"/>
          <w:w w:val="105"/>
          <w:sz w:val="17"/>
        </w:rPr>
        <w:t>in</w:t>
      </w:r>
      <w:r>
        <w:rPr>
          <w:rFonts w:ascii="Calibri" w:hAnsi="Calibri"/>
          <w:color w:val="231F20"/>
          <w:spacing w:val="-4"/>
          <w:w w:val="105"/>
          <w:sz w:val="17"/>
        </w:rPr>
        <w:t> </w:t>
      </w:r>
      <w:r>
        <w:rPr>
          <w:rFonts w:ascii="Calibri" w:hAnsi="Calibri"/>
          <w:color w:val="231F20"/>
          <w:w w:val="105"/>
          <w:sz w:val="17"/>
        </w:rPr>
        <w:t>International</w:t>
      </w:r>
      <w:r>
        <w:rPr>
          <w:rFonts w:ascii="Calibri" w:hAnsi="Calibri"/>
          <w:color w:val="231F20"/>
          <w:spacing w:val="-4"/>
          <w:w w:val="105"/>
          <w:sz w:val="17"/>
        </w:rPr>
        <w:t> </w:t>
      </w:r>
      <w:r>
        <w:rPr>
          <w:rFonts w:ascii="Calibri" w:hAnsi="Calibri"/>
          <w:color w:val="231F20"/>
          <w:w w:val="105"/>
          <w:sz w:val="17"/>
        </w:rPr>
        <w:t>Relations”,</w:t>
      </w:r>
      <w:r>
        <w:rPr>
          <w:rFonts w:ascii="Calibri" w:hAnsi="Calibri"/>
          <w:color w:val="231F20"/>
          <w:spacing w:val="-4"/>
          <w:w w:val="105"/>
          <w:sz w:val="17"/>
        </w:rPr>
        <w:t> </w:t>
      </w:r>
      <w:r>
        <w:rPr>
          <w:rFonts w:ascii="Calibri" w:hAnsi="Calibri"/>
          <w:color w:val="231F20"/>
          <w:w w:val="105"/>
          <w:sz w:val="17"/>
        </w:rPr>
        <w:t>pp.</w:t>
      </w:r>
      <w:r>
        <w:rPr>
          <w:rFonts w:ascii="Calibri" w:hAnsi="Calibri"/>
          <w:color w:val="231F20"/>
          <w:spacing w:val="-4"/>
          <w:w w:val="105"/>
          <w:sz w:val="17"/>
        </w:rPr>
        <w:t> </w:t>
      </w:r>
      <w:r>
        <w:rPr>
          <w:rFonts w:ascii="Calibri" w:hAnsi="Calibri"/>
          <w:color w:val="231F20"/>
          <w:w w:val="105"/>
          <w:sz w:val="17"/>
        </w:rPr>
        <w:t>37–38.;</w:t>
      </w:r>
      <w:r>
        <w:rPr>
          <w:rFonts w:ascii="Calibri" w:hAnsi="Calibri"/>
          <w:color w:val="231F20"/>
          <w:spacing w:val="-4"/>
          <w:w w:val="105"/>
          <w:sz w:val="17"/>
        </w:rPr>
        <w:t> </w:t>
      </w:r>
      <w:r>
        <w:rPr>
          <w:rFonts w:ascii="Calibri" w:hAnsi="Calibri"/>
          <w:color w:val="231F20"/>
          <w:w w:val="105"/>
          <w:sz w:val="17"/>
        </w:rPr>
        <w:t>Ch.</w:t>
      </w:r>
      <w:r>
        <w:rPr>
          <w:rFonts w:ascii="Calibri" w:hAnsi="Calibri"/>
          <w:color w:val="231F20"/>
          <w:spacing w:val="-4"/>
          <w:w w:val="105"/>
          <w:sz w:val="17"/>
        </w:rPr>
        <w:t> </w:t>
      </w:r>
      <w:r>
        <w:rPr>
          <w:rFonts w:ascii="Calibri" w:hAnsi="Calibri"/>
          <w:color w:val="231F20"/>
          <w:w w:val="105"/>
          <w:sz w:val="17"/>
        </w:rPr>
        <w:t>Brown,</w:t>
      </w:r>
      <w:r>
        <w:rPr>
          <w:rFonts w:ascii="Calibri" w:hAnsi="Calibri"/>
          <w:color w:val="231F20"/>
          <w:spacing w:val="-4"/>
          <w:w w:val="105"/>
          <w:sz w:val="17"/>
        </w:rPr>
        <w:t> </w:t>
      </w:r>
      <w:r>
        <w:rPr>
          <w:rFonts w:ascii="Calibri" w:hAnsi="Calibri"/>
          <w:color w:val="231F20"/>
          <w:w w:val="105"/>
          <w:sz w:val="17"/>
        </w:rPr>
        <w:t>“From</w:t>
      </w:r>
      <w:r>
        <w:rPr>
          <w:rFonts w:ascii="Calibri" w:hAnsi="Calibri"/>
          <w:color w:val="231F20"/>
          <w:spacing w:val="-4"/>
          <w:w w:val="105"/>
          <w:sz w:val="17"/>
        </w:rPr>
        <w:t> </w:t>
      </w:r>
      <w:r>
        <w:rPr>
          <w:rFonts w:ascii="Calibri" w:hAnsi="Calibri"/>
          <w:color w:val="231F20"/>
          <w:w w:val="105"/>
          <w:sz w:val="17"/>
        </w:rPr>
        <w:t>humanized</w:t>
      </w:r>
      <w:r>
        <w:rPr>
          <w:rFonts w:ascii="Calibri" w:hAnsi="Calibri"/>
          <w:color w:val="231F20"/>
          <w:spacing w:val="-5"/>
          <w:w w:val="105"/>
          <w:sz w:val="17"/>
        </w:rPr>
        <w:t> </w:t>
      </w:r>
      <w:r>
        <w:rPr>
          <w:rFonts w:ascii="Calibri" w:hAnsi="Calibri"/>
          <w:color w:val="231F20"/>
          <w:w w:val="105"/>
          <w:sz w:val="17"/>
        </w:rPr>
        <w:t>war to</w:t>
      </w:r>
      <w:r>
        <w:rPr>
          <w:rFonts w:ascii="Calibri" w:hAnsi="Calibri"/>
          <w:color w:val="231F20"/>
          <w:spacing w:val="-8"/>
          <w:w w:val="105"/>
          <w:sz w:val="17"/>
        </w:rPr>
        <w:t> </w:t>
      </w:r>
      <w:r>
        <w:rPr>
          <w:rFonts w:ascii="Calibri" w:hAnsi="Calibri"/>
          <w:color w:val="231F20"/>
          <w:w w:val="105"/>
          <w:sz w:val="17"/>
        </w:rPr>
        <w:t>humanitarian</w:t>
      </w:r>
      <w:r>
        <w:rPr>
          <w:rFonts w:ascii="Calibri" w:hAnsi="Calibri"/>
          <w:color w:val="231F20"/>
          <w:spacing w:val="-8"/>
          <w:w w:val="105"/>
          <w:sz w:val="17"/>
        </w:rPr>
        <w:t> </w:t>
      </w:r>
      <w:r>
        <w:rPr>
          <w:rFonts w:ascii="Calibri" w:hAnsi="Calibri"/>
          <w:color w:val="231F20"/>
          <w:w w:val="105"/>
          <w:sz w:val="17"/>
        </w:rPr>
        <w:t>intervention:</w:t>
      </w:r>
      <w:r>
        <w:rPr>
          <w:rFonts w:ascii="Calibri" w:hAnsi="Calibri"/>
          <w:color w:val="231F20"/>
          <w:spacing w:val="-8"/>
          <w:w w:val="105"/>
          <w:sz w:val="17"/>
        </w:rPr>
        <w:t> </w:t>
      </w:r>
      <w:r>
        <w:rPr>
          <w:rFonts w:ascii="Calibri" w:hAnsi="Calibri"/>
          <w:color w:val="231F20"/>
          <w:w w:val="105"/>
          <w:sz w:val="17"/>
        </w:rPr>
        <w:t>Carl</w:t>
      </w:r>
      <w:r>
        <w:rPr>
          <w:rFonts w:ascii="Calibri" w:hAnsi="Calibri"/>
          <w:color w:val="231F20"/>
          <w:spacing w:val="-8"/>
          <w:w w:val="105"/>
          <w:sz w:val="17"/>
        </w:rPr>
        <w:t> </w:t>
      </w:r>
      <w:r>
        <w:rPr>
          <w:rFonts w:ascii="Calibri" w:hAnsi="Calibri"/>
          <w:color w:val="231F20"/>
          <w:w w:val="105"/>
          <w:sz w:val="17"/>
        </w:rPr>
        <w:t>Schmitt’s</w:t>
      </w:r>
      <w:r>
        <w:rPr>
          <w:rFonts w:ascii="Calibri" w:hAnsi="Calibri"/>
          <w:color w:val="231F20"/>
          <w:spacing w:val="-8"/>
          <w:w w:val="105"/>
          <w:sz w:val="17"/>
        </w:rPr>
        <w:t> </w:t>
      </w:r>
      <w:r>
        <w:rPr>
          <w:rFonts w:ascii="Calibri" w:hAnsi="Calibri"/>
          <w:color w:val="231F20"/>
          <w:w w:val="105"/>
          <w:sz w:val="17"/>
        </w:rPr>
        <w:t>critique</w:t>
      </w:r>
      <w:r>
        <w:rPr>
          <w:rFonts w:ascii="Calibri" w:hAnsi="Calibri"/>
          <w:color w:val="231F20"/>
          <w:spacing w:val="-8"/>
          <w:w w:val="105"/>
          <w:sz w:val="17"/>
        </w:rPr>
        <w:t> </w:t>
      </w:r>
      <w:r>
        <w:rPr>
          <w:rFonts w:ascii="Calibri" w:hAnsi="Calibri"/>
          <w:color w:val="231F20"/>
          <w:w w:val="105"/>
          <w:sz w:val="17"/>
        </w:rPr>
        <w:t>of</w:t>
      </w:r>
      <w:r>
        <w:rPr>
          <w:rFonts w:ascii="Calibri" w:hAnsi="Calibri"/>
          <w:color w:val="231F20"/>
          <w:spacing w:val="-8"/>
          <w:w w:val="105"/>
          <w:sz w:val="17"/>
        </w:rPr>
        <w:t> </w:t>
      </w:r>
      <w:r>
        <w:rPr>
          <w:rFonts w:ascii="Calibri" w:hAnsi="Calibri"/>
          <w:color w:val="231F20"/>
          <w:w w:val="105"/>
          <w:sz w:val="17"/>
        </w:rPr>
        <w:t>the</w:t>
      </w:r>
      <w:r>
        <w:rPr>
          <w:rFonts w:ascii="Calibri" w:hAnsi="Calibri"/>
          <w:color w:val="231F20"/>
          <w:spacing w:val="-8"/>
          <w:w w:val="105"/>
          <w:sz w:val="17"/>
        </w:rPr>
        <w:t> </w:t>
      </w:r>
      <w:r>
        <w:rPr>
          <w:rFonts w:ascii="Calibri" w:hAnsi="Calibri"/>
          <w:color w:val="231F20"/>
          <w:w w:val="105"/>
          <w:sz w:val="17"/>
        </w:rPr>
        <w:t>Just</w:t>
      </w:r>
      <w:r>
        <w:rPr>
          <w:rFonts w:ascii="Calibri" w:hAnsi="Calibri"/>
          <w:color w:val="231F20"/>
          <w:spacing w:val="-11"/>
          <w:w w:val="105"/>
          <w:sz w:val="17"/>
        </w:rPr>
        <w:t> </w:t>
      </w:r>
      <w:r>
        <w:rPr>
          <w:rFonts w:ascii="Calibri" w:hAnsi="Calibri"/>
          <w:color w:val="231F20"/>
          <w:w w:val="105"/>
          <w:sz w:val="17"/>
        </w:rPr>
        <w:t>War</w:t>
      </w:r>
      <w:r>
        <w:rPr>
          <w:rFonts w:ascii="Calibri" w:hAnsi="Calibri"/>
          <w:color w:val="231F20"/>
          <w:spacing w:val="-8"/>
          <w:w w:val="105"/>
          <w:sz w:val="17"/>
        </w:rPr>
        <w:t> </w:t>
      </w:r>
      <w:r>
        <w:rPr>
          <w:rFonts w:ascii="Calibri" w:hAnsi="Calibri"/>
          <w:color w:val="231F20"/>
          <w:w w:val="105"/>
          <w:sz w:val="17"/>
        </w:rPr>
        <w:t>tradition”,</w:t>
      </w:r>
      <w:r>
        <w:rPr>
          <w:rFonts w:ascii="Calibri" w:hAnsi="Calibri"/>
          <w:color w:val="231F20"/>
          <w:spacing w:val="-8"/>
          <w:w w:val="105"/>
          <w:sz w:val="17"/>
        </w:rPr>
        <w:t> </w:t>
      </w:r>
      <w:r>
        <w:rPr>
          <w:rFonts w:ascii="Calibri" w:hAnsi="Calibri"/>
          <w:i/>
          <w:color w:val="231F20"/>
          <w:w w:val="105"/>
          <w:sz w:val="17"/>
        </w:rPr>
        <w:t>The</w:t>
      </w:r>
      <w:r>
        <w:rPr>
          <w:rFonts w:ascii="Calibri" w:hAnsi="Calibri"/>
          <w:i/>
          <w:color w:val="231F20"/>
          <w:spacing w:val="-9"/>
          <w:w w:val="105"/>
          <w:sz w:val="17"/>
        </w:rPr>
        <w:t> </w:t>
      </w:r>
      <w:r>
        <w:rPr>
          <w:rFonts w:ascii="Calibri" w:hAnsi="Calibri"/>
          <w:i/>
          <w:color w:val="231F20"/>
          <w:w w:val="105"/>
          <w:sz w:val="17"/>
        </w:rPr>
        <w:t>International </w:t>
      </w:r>
      <w:r>
        <w:rPr>
          <w:rFonts w:ascii="Calibri" w:hAnsi="Calibri"/>
          <w:i/>
          <w:color w:val="231F20"/>
          <w:w w:val="105"/>
          <w:sz w:val="17"/>
        </w:rPr>
        <w:t>Political</w:t>
      </w:r>
      <w:r>
        <w:rPr>
          <w:rFonts w:ascii="Calibri" w:hAnsi="Calibri"/>
          <w:i/>
          <w:color w:val="231F20"/>
          <w:spacing w:val="-19"/>
          <w:w w:val="105"/>
          <w:sz w:val="17"/>
        </w:rPr>
        <w:t> </w:t>
      </w:r>
      <w:r>
        <w:rPr>
          <w:rFonts w:ascii="Calibri" w:hAnsi="Calibri"/>
          <w:i/>
          <w:color w:val="231F20"/>
          <w:w w:val="105"/>
          <w:sz w:val="17"/>
        </w:rPr>
        <w:t>Thought</w:t>
      </w:r>
      <w:r>
        <w:rPr>
          <w:rFonts w:ascii="Calibri" w:hAnsi="Calibri"/>
          <w:i/>
          <w:color w:val="231F20"/>
          <w:spacing w:val="-17"/>
          <w:w w:val="105"/>
          <w:sz w:val="17"/>
        </w:rPr>
        <w:t> </w:t>
      </w:r>
      <w:r>
        <w:rPr>
          <w:rFonts w:ascii="Calibri" w:hAnsi="Calibri"/>
          <w:i/>
          <w:color w:val="231F20"/>
          <w:w w:val="105"/>
          <w:sz w:val="17"/>
        </w:rPr>
        <w:t>of</w:t>
      </w:r>
      <w:r>
        <w:rPr>
          <w:rFonts w:ascii="Calibri" w:hAnsi="Calibri"/>
          <w:i/>
          <w:color w:val="231F20"/>
          <w:spacing w:val="-17"/>
          <w:w w:val="105"/>
          <w:sz w:val="17"/>
        </w:rPr>
        <w:t> </w:t>
      </w:r>
      <w:r>
        <w:rPr>
          <w:rFonts w:ascii="Calibri" w:hAnsi="Calibri"/>
          <w:i/>
          <w:color w:val="231F20"/>
          <w:w w:val="105"/>
          <w:sz w:val="17"/>
        </w:rPr>
        <w:t>Carl</w:t>
      </w:r>
      <w:r>
        <w:rPr>
          <w:rFonts w:ascii="Calibri" w:hAnsi="Calibri"/>
          <w:i/>
          <w:color w:val="231F20"/>
          <w:spacing w:val="-17"/>
          <w:w w:val="105"/>
          <w:sz w:val="17"/>
        </w:rPr>
        <w:t> </w:t>
      </w:r>
      <w:r>
        <w:rPr>
          <w:rFonts w:ascii="Calibri" w:hAnsi="Calibri"/>
          <w:i/>
          <w:color w:val="231F20"/>
          <w:w w:val="105"/>
          <w:sz w:val="17"/>
        </w:rPr>
        <w:t>Schmitt</w:t>
      </w:r>
      <w:r>
        <w:rPr>
          <w:rFonts w:ascii="Calibri" w:hAnsi="Calibri"/>
          <w:color w:val="231F20"/>
          <w:w w:val="105"/>
          <w:sz w:val="17"/>
        </w:rPr>
        <w:t>,</w:t>
      </w:r>
      <w:r>
        <w:rPr>
          <w:rFonts w:ascii="Calibri" w:hAnsi="Calibri"/>
          <w:color w:val="231F20"/>
          <w:spacing w:val="-17"/>
          <w:w w:val="105"/>
          <w:sz w:val="17"/>
        </w:rPr>
        <w:t> </w:t>
      </w:r>
      <w:r>
        <w:rPr>
          <w:rFonts w:ascii="Calibri" w:hAnsi="Calibri"/>
          <w:color w:val="231F20"/>
          <w:w w:val="105"/>
          <w:sz w:val="17"/>
        </w:rPr>
        <w:t>pp.</w:t>
      </w:r>
      <w:r>
        <w:rPr>
          <w:rFonts w:ascii="Calibri" w:hAnsi="Calibri"/>
          <w:color w:val="231F20"/>
          <w:spacing w:val="-17"/>
          <w:w w:val="105"/>
          <w:sz w:val="17"/>
        </w:rPr>
        <w:t> </w:t>
      </w:r>
      <w:r>
        <w:rPr>
          <w:rFonts w:ascii="Calibri" w:hAnsi="Calibri"/>
          <w:color w:val="231F20"/>
          <w:w w:val="105"/>
          <w:sz w:val="17"/>
        </w:rPr>
        <w:t>56–69;</w:t>
      </w:r>
      <w:r>
        <w:rPr>
          <w:rFonts w:ascii="Calibri" w:hAnsi="Calibri"/>
          <w:color w:val="231F20"/>
          <w:spacing w:val="-17"/>
          <w:w w:val="105"/>
          <w:sz w:val="17"/>
        </w:rPr>
        <w:t> </w:t>
      </w:r>
      <w:r>
        <w:rPr>
          <w:rFonts w:ascii="Calibri" w:hAnsi="Calibri"/>
          <w:color w:val="231F20"/>
          <w:w w:val="105"/>
          <w:sz w:val="17"/>
        </w:rPr>
        <w:t>J.</w:t>
      </w:r>
      <w:r>
        <w:rPr>
          <w:rFonts w:ascii="Calibri" w:hAnsi="Calibri"/>
          <w:color w:val="231F20"/>
          <w:spacing w:val="-17"/>
          <w:w w:val="105"/>
          <w:sz w:val="17"/>
        </w:rPr>
        <w:t> </w:t>
      </w:r>
      <w:r>
        <w:rPr>
          <w:rFonts w:ascii="Calibri" w:hAnsi="Calibri"/>
          <w:color w:val="231F20"/>
          <w:w w:val="105"/>
          <w:sz w:val="17"/>
        </w:rPr>
        <w:t>Huymans,</w:t>
      </w:r>
      <w:r>
        <w:rPr>
          <w:rFonts w:ascii="Calibri" w:hAnsi="Calibri"/>
          <w:color w:val="231F20"/>
          <w:spacing w:val="-17"/>
          <w:w w:val="105"/>
          <w:sz w:val="17"/>
        </w:rPr>
        <w:t> </w:t>
      </w:r>
      <w:r>
        <w:rPr>
          <w:rFonts w:ascii="Calibri" w:hAnsi="Calibri"/>
          <w:color w:val="231F20"/>
          <w:w w:val="105"/>
          <w:sz w:val="17"/>
        </w:rPr>
        <w:t>“Know</w:t>
      </w:r>
      <w:r>
        <w:rPr>
          <w:rFonts w:ascii="Calibri" w:hAnsi="Calibri"/>
          <w:color w:val="231F20"/>
          <w:spacing w:val="-18"/>
          <w:w w:val="105"/>
          <w:sz w:val="17"/>
        </w:rPr>
        <w:t> </w:t>
      </w:r>
      <w:r>
        <w:rPr>
          <w:rFonts w:ascii="Calibri" w:hAnsi="Calibri"/>
          <w:color w:val="231F20"/>
          <w:w w:val="105"/>
          <w:sz w:val="17"/>
        </w:rPr>
        <w:t>your</w:t>
      </w:r>
      <w:r>
        <w:rPr>
          <w:rFonts w:ascii="Calibri" w:hAnsi="Calibri"/>
          <w:color w:val="231F20"/>
          <w:spacing w:val="-17"/>
          <w:w w:val="105"/>
          <w:sz w:val="17"/>
        </w:rPr>
        <w:t> </w:t>
      </w:r>
      <w:r>
        <w:rPr>
          <w:rFonts w:ascii="Calibri" w:hAnsi="Calibri"/>
          <w:color w:val="231F20"/>
          <w:w w:val="105"/>
          <w:sz w:val="17"/>
        </w:rPr>
        <w:t>Schmitt:</w:t>
      </w:r>
      <w:r>
        <w:rPr>
          <w:rFonts w:ascii="Calibri" w:hAnsi="Calibri"/>
          <w:color w:val="231F20"/>
          <w:spacing w:val="-17"/>
          <w:w w:val="105"/>
          <w:sz w:val="17"/>
        </w:rPr>
        <w:t> </w:t>
      </w:r>
      <w:r>
        <w:rPr>
          <w:rFonts w:ascii="Calibri" w:hAnsi="Calibri"/>
          <w:color w:val="231F20"/>
          <w:w w:val="105"/>
          <w:sz w:val="17"/>
        </w:rPr>
        <w:t>A</w:t>
      </w:r>
      <w:r>
        <w:rPr>
          <w:rFonts w:ascii="Calibri" w:hAnsi="Calibri"/>
          <w:color w:val="231F20"/>
          <w:spacing w:val="-17"/>
          <w:w w:val="105"/>
          <w:sz w:val="17"/>
        </w:rPr>
        <w:t> </w:t>
      </w:r>
      <w:r>
        <w:rPr>
          <w:rFonts w:ascii="Calibri" w:hAnsi="Calibri"/>
          <w:color w:val="231F20"/>
          <w:w w:val="105"/>
          <w:sz w:val="17"/>
        </w:rPr>
        <w:t>Godfather</w:t>
      </w:r>
      <w:r>
        <w:rPr>
          <w:rFonts w:ascii="Calibri" w:hAnsi="Calibri"/>
          <w:color w:val="231F20"/>
          <w:spacing w:val="-17"/>
          <w:w w:val="105"/>
          <w:sz w:val="17"/>
        </w:rPr>
        <w:t> </w:t>
      </w:r>
      <w:r>
        <w:rPr>
          <w:rFonts w:ascii="Calibri" w:hAnsi="Calibri"/>
          <w:color w:val="231F20"/>
          <w:w w:val="105"/>
          <w:sz w:val="17"/>
        </w:rPr>
        <w:t>of</w:t>
      </w:r>
      <w:r>
        <w:rPr>
          <w:rFonts w:ascii="Calibri" w:hAnsi="Calibri"/>
          <w:color w:val="231F20"/>
          <w:spacing w:val="-19"/>
          <w:w w:val="105"/>
          <w:sz w:val="17"/>
        </w:rPr>
        <w:t> </w:t>
      </w:r>
      <w:r>
        <w:rPr>
          <w:rFonts w:ascii="Calibri" w:hAnsi="Calibri"/>
          <w:color w:val="231F20"/>
          <w:spacing w:val="-3"/>
          <w:w w:val="105"/>
          <w:sz w:val="17"/>
        </w:rPr>
        <w:t>Truth </w:t>
      </w:r>
      <w:r>
        <w:rPr>
          <w:rFonts w:ascii="Calibri" w:hAnsi="Calibri"/>
          <w:color w:val="231F20"/>
          <w:w w:val="105"/>
          <w:sz w:val="17"/>
        </w:rPr>
        <w:t>and</w:t>
      </w:r>
      <w:r>
        <w:rPr>
          <w:rFonts w:ascii="Calibri" w:hAnsi="Calibri"/>
          <w:color w:val="231F20"/>
          <w:spacing w:val="-23"/>
          <w:w w:val="105"/>
          <w:sz w:val="17"/>
        </w:rPr>
        <w:t> </w:t>
      </w:r>
      <w:r>
        <w:rPr>
          <w:rFonts w:ascii="Calibri" w:hAnsi="Calibri"/>
          <w:color w:val="231F20"/>
          <w:w w:val="105"/>
          <w:sz w:val="17"/>
        </w:rPr>
        <w:t>the</w:t>
      </w:r>
      <w:r>
        <w:rPr>
          <w:rFonts w:ascii="Calibri" w:hAnsi="Calibri"/>
          <w:color w:val="231F20"/>
          <w:spacing w:val="-23"/>
          <w:w w:val="105"/>
          <w:sz w:val="17"/>
        </w:rPr>
        <w:t> </w:t>
      </w:r>
      <w:r>
        <w:rPr>
          <w:rFonts w:ascii="Calibri" w:hAnsi="Calibri"/>
          <w:color w:val="231F20"/>
          <w:w w:val="105"/>
          <w:sz w:val="17"/>
        </w:rPr>
        <w:t>Spectre</w:t>
      </w:r>
      <w:r>
        <w:rPr>
          <w:rFonts w:ascii="Calibri" w:hAnsi="Calibri"/>
          <w:color w:val="231F20"/>
          <w:spacing w:val="-23"/>
          <w:w w:val="105"/>
          <w:sz w:val="17"/>
        </w:rPr>
        <w:t> </w:t>
      </w:r>
      <w:r>
        <w:rPr>
          <w:rFonts w:ascii="Calibri" w:hAnsi="Calibri"/>
          <w:color w:val="231F20"/>
          <w:w w:val="105"/>
          <w:sz w:val="17"/>
        </w:rPr>
        <w:t>of</w:t>
      </w:r>
      <w:r>
        <w:rPr>
          <w:rFonts w:ascii="Calibri" w:hAnsi="Calibri"/>
          <w:color w:val="231F20"/>
          <w:spacing w:val="-23"/>
          <w:w w:val="105"/>
          <w:sz w:val="17"/>
        </w:rPr>
        <w:t> </w:t>
      </w:r>
      <w:r>
        <w:rPr>
          <w:rFonts w:ascii="Calibri" w:hAnsi="Calibri"/>
          <w:color w:val="231F20"/>
          <w:w w:val="105"/>
          <w:sz w:val="17"/>
        </w:rPr>
        <w:t>Nazism”,</w:t>
      </w:r>
      <w:r>
        <w:rPr>
          <w:rFonts w:ascii="Calibri" w:hAnsi="Calibri"/>
          <w:color w:val="231F20"/>
          <w:spacing w:val="-24"/>
          <w:w w:val="105"/>
          <w:sz w:val="17"/>
        </w:rPr>
        <w:t> </w:t>
      </w:r>
      <w:r>
        <w:rPr>
          <w:rFonts w:ascii="Calibri" w:hAnsi="Calibri"/>
          <w:i/>
          <w:color w:val="231F20"/>
          <w:w w:val="105"/>
          <w:sz w:val="17"/>
        </w:rPr>
        <w:t>Review</w:t>
      </w:r>
      <w:r>
        <w:rPr>
          <w:rFonts w:ascii="Calibri" w:hAnsi="Calibri"/>
          <w:i/>
          <w:color w:val="231F20"/>
          <w:spacing w:val="-24"/>
          <w:w w:val="105"/>
          <w:sz w:val="17"/>
        </w:rPr>
        <w:t> </w:t>
      </w:r>
      <w:r>
        <w:rPr>
          <w:rFonts w:ascii="Calibri" w:hAnsi="Calibri"/>
          <w:i/>
          <w:color w:val="231F20"/>
          <w:w w:val="105"/>
          <w:sz w:val="17"/>
        </w:rPr>
        <w:t>of</w:t>
      </w:r>
      <w:r>
        <w:rPr>
          <w:rFonts w:ascii="Calibri" w:hAnsi="Calibri"/>
          <w:i/>
          <w:color w:val="231F20"/>
          <w:spacing w:val="-24"/>
          <w:w w:val="105"/>
          <w:sz w:val="17"/>
        </w:rPr>
        <w:t> </w:t>
      </w:r>
      <w:r>
        <w:rPr>
          <w:rFonts w:ascii="Calibri" w:hAnsi="Calibri"/>
          <w:i/>
          <w:color w:val="231F20"/>
          <w:w w:val="105"/>
          <w:sz w:val="17"/>
        </w:rPr>
        <w:t>International</w:t>
      </w:r>
      <w:r>
        <w:rPr>
          <w:rFonts w:ascii="Calibri" w:hAnsi="Calibri"/>
          <w:i/>
          <w:color w:val="231F20"/>
          <w:spacing w:val="-24"/>
          <w:w w:val="105"/>
          <w:sz w:val="17"/>
        </w:rPr>
        <w:t> </w:t>
      </w:r>
      <w:r>
        <w:rPr>
          <w:rFonts w:ascii="Calibri" w:hAnsi="Calibri"/>
          <w:i/>
          <w:color w:val="231F20"/>
          <w:w w:val="105"/>
          <w:sz w:val="17"/>
        </w:rPr>
        <w:t>Studies</w:t>
      </w:r>
      <w:r>
        <w:rPr>
          <w:rFonts w:ascii="Calibri" w:hAnsi="Calibri"/>
          <w:color w:val="231F20"/>
          <w:w w:val="105"/>
          <w:sz w:val="17"/>
        </w:rPr>
        <w:t>,</w:t>
      </w:r>
      <w:r>
        <w:rPr>
          <w:rFonts w:ascii="Calibri" w:hAnsi="Calibri"/>
          <w:color w:val="231F20"/>
          <w:spacing w:val="-23"/>
          <w:w w:val="105"/>
          <w:sz w:val="17"/>
        </w:rPr>
        <w:t> </w:t>
      </w:r>
      <w:r>
        <w:rPr>
          <w:rFonts w:ascii="Calibri" w:hAnsi="Calibri"/>
          <w:color w:val="231F20"/>
          <w:w w:val="105"/>
          <w:sz w:val="17"/>
        </w:rPr>
        <w:t>no.</w:t>
      </w:r>
      <w:r>
        <w:rPr>
          <w:rFonts w:ascii="Calibri" w:hAnsi="Calibri"/>
          <w:color w:val="231F20"/>
          <w:spacing w:val="-23"/>
          <w:w w:val="105"/>
          <w:sz w:val="17"/>
        </w:rPr>
        <w:t> </w:t>
      </w:r>
      <w:r>
        <w:rPr>
          <w:rFonts w:ascii="Calibri" w:hAnsi="Calibri"/>
          <w:color w:val="231F20"/>
          <w:w w:val="105"/>
          <w:sz w:val="17"/>
        </w:rPr>
        <w:t>2,</w:t>
      </w:r>
      <w:r>
        <w:rPr>
          <w:rFonts w:ascii="Calibri" w:hAnsi="Calibri"/>
          <w:color w:val="231F20"/>
          <w:spacing w:val="-23"/>
          <w:w w:val="105"/>
          <w:sz w:val="17"/>
        </w:rPr>
        <w:t> </w:t>
      </w:r>
      <w:r>
        <w:rPr>
          <w:rFonts w:ascii="Calibri" w:hAnsi="Calibri"/>
          <w:color w:val="231F20"/>
          <w:w w:val="105"/>
          <w:sz w:val="17"/>
        </w:rPr>
        <w:t>1999,</w:t>
      </w:r>
      <w:r>
        <w:rPr>
          <w:rFonts w:ascii="Calibri" w:hAnsi="Calibri"/>
          <w:color w:val="231F20"/>
          <w:spacing w:val="-23"/>
          <w:w w:val="105"/>
          <w:sz w:val="17"/>
        </w:rPr>
        <w:t> </w:t>
      </w:r>
      <w:r>
        <w:rPr>
          <w:rFonts w:ascii="Calibri" w:hAnsi="Calibri"/>
          <w:color w:val="231F20"/>
          <w:w w:val="105"/>
          <w:sz w:val="17"/>
        </w:rPr>
        <w:t>pp.</w:t>
      </w:r>
      <w:r>
        <w:rPr>
          <w:rFonts w:ascii="Calibri" w:hAnsi="Calibri"/>
          <w:color w:val="231F20"/>
          <w:spacing w:val="-23"/>
          <w:w w:val="105"/>
          <w:sz w:val="17"/>
        </w:rPr>
        <w:t> </w:t>
      </w:r>
      <w:r>
        <w:rPr>
          <w:rFonts w:ascii="Calibri" w:hAnsi="Calibri"/>
          <w:color w:val="231F20"/>
          <w:w w:val="105"/>
          <w:sz w:val="17"/>
        </w:rPr>
        <w:t>323–328.</w:t>
      </w:r>
      <w:r>
        <w:rPr>
          <w:rFonts w:ascii="Calibri" w:hAnsi="Calibri"/>
          <w:color w:val="231F20"/>
          <w:spacing w:val="-23"/>
          <w:w w:val="105"/>
          <w:sz w:val="17"/>
        </w:rPr>
        <w:t> </w:t>
      </w:r>
      <w:r>
        <w:rPr>
          <w:rFonts w:ascii="Calibri" w:hAnsi="Calibri"/>
          <w:color w:val="231F20"/>
          <w:w w:val="105"/>
          <w:sz w:val="17"/>
        </w:rPr>
        <w:t>Sobre</w:t>
      </w:r>
      <w:r>
        <w:rPr>
          <w:rFonts w:ascii="Calibri" w:hAnsi="Calibri"/>
          <w:color w:val="231F20"/>
          <w:spacing w:val="-23"/>
          <w:w w:val="105"/>
          <w:sz w:val="17"/>
        </w:rPr>
        <w:t> </w:t>
      </w:r>
      <w:r>
        <w:rPr>
          <w:rFonts w:ascii="Calibri" w:hAnsi="Calibri"/>
          <w:color w:val="231F20"/>
          <w:w w:val="105"/>
          <w:sz w:val="17"/>
        </w:rPr>
        <w:t>la</w:t>
      </w:r>
      <w:r>
        <w:rPr>
          <w:rFonts w:ascii="Calibri" w:hAnsi="Calibri"/>
          <w:color w:val="231F20"/>
          <w:spacing w:val="-23"/>
          <w:w w:val="105"/>
          <w:sz w:val="17"/>
        </w:rPr>
        <w:t> </w:t>
      </w:r>
      <w:r>
        <w:rPr>
          <w:rFonts w:ascii="Calibri" w:hAnsi="Calibri"/>
          <w:color w:val="231F20"/>
          <w:w w:val="105"/>
          <w:sz w:val="17"/>
        </w:rPr>
        <w:t>“par- cialidad” del sistema teórico, argumentativo y narrativas de Schmitt y sobre la discutibilidad de cada</w:t>
      </w:r>
      <w:r>
        <w:rPr>
          <w:rFonts w:ascii="Calibri" w:hAnsi="Calibri"/>
          <w:color w:val="231F20"/>
          <w:spacing w:val="-19"/>
          <w:w w:val="105"/>
          <w:sz w:val="17"/>
        </w:rPr>
        <w:t> </w:t>
      </w:r>
      <w:r>
        <w:rPr>
          <w:rFonts w:ascii="Calibri" w:hAnsi="Calibri"/>
          <w:color w:val="231F20"/>
          <w:w w:val="105"/>
          <w:sz w:val="17"/>
        </w:rPr>
        <w:t>una</w:t>
      </w:r>
      <w:r>
        <w:rPr>
          <w:rFonts w:ascii="Calibri" w:hAnsi="Calibri"/>
          <w:color w:val="231F20"/>
          <w:spacing w:val="-19"/>
          <w:w w:val="105"/>
          <w:sz w:val="17"/>
        </w:rPr>
        <w:t> </w:t>
      </w:r>
      <w:r>
        <w:rPr>
          <w:rFonts w:ascii="Calibri" w:hAnsi="Calibri"/>
          <w:color w:val="231F20"/>
          <w:w w:val="105"/>
          <w:sz w:val="17"/>
        </w:rPr>
        <w:t>de</w:t>
      </w:r>
      <w:r>
        <w:rPr>
          <w:rFonts w:ascii="Calibri" w:hAnsi="Calibri"/>
          <w:color w:val="231F20"/>
          <w:spacing w:val="-19"/>
          <w:w w:val="105"/>
          <w:sz w:val="17"/>
        </w:rPr>
        <w:t> </w:t>
      </w:r>
      <w:r>
        <w:rPr>
          <w:rFonts w:ascii="Calibri" w:hAnsi="Calibri"/>
          <w:color w:val="231F20"/>
          <w:w w:val="105"/>
          <w:sz w:val="17"/>
        </w:rPr>
        <w:t>sus</w:t>
      </w:r>
      <w:r>
        <w:rPr>
          <w:rFonts w:ascii="Calibri" w:hAnsi="Calibri"/>
          <w:color w:val="231F20"/>
          <w:spacing w:val="-19"/>
          <w:w w:val="105"/>
          <w:sz w:val="17"/>
        </w:rPr>
        <w:t> </w:t>
      </w:r>
      <w:r>
        <w:rPr>
          <w:rFonts w:ascii="Calibri" w:hAnsi="Calibri"/>
          <w:color w:val="231F20"/>
          <w:w w:val="105"/>
          <w:sz w:val="17"/>
        </w:rPr>
        <w:t>aproblemáticas</w:t>
      </w:r>
      <w:r>
        <w:rPr>
          <w:rFonts w:ascii="Calibri" w:hAnsi="Calibri"/>
          <w:color w:val="231F20"/>
          <w:spacing w:val="-19"/>
          <w:w w:val="105"/>
          <w:sz w:val="17"/>
        </w:rPr>
        <w:t> </w:t>
      </w:r>
      <w:r>
        <w:rPr>
          <w:rFonts w:ascii="Calibri" w:hAnsi="Calibri"/>
          <w:color w:val="231F20"/>
          <w:w w:val="105"/>
          <w:sz w:val="17"/>
        </w:rPr>
        <w:t>actualizaciones</w:t>
      </w:r>
      <w:r>
        <w:rPr>
          <w:rFonts w:ascii="Calibri" w:hAnsi="Calibri"/>
          <w:color w:val="231F20"/>
          <w:spacing w:val="-21"/>
          <w:w w:val="105"/>
          <w:sz w:val="17"/>
        </w:rPr>
        <w:t> </w:t>
      </w:r>
      <w:r>
        <w:rPr>
          <w:rFonts w:ascii="Calibri" w:hAnsi="Calibri"/>
          <w:color w:val="231F20"/>
          <w:w w:val="105"/>
          <w:sz w:val="17"/>
        </w:rPr>
        <w:t>véase</w:t>
      </w:r>
      <w:r>
        <w:rPr>
          <w:rFonts w:ascii="Calibri" w:hAnsi="Calibri"/>
          <w:color w:val="231F20"/>
          <w:spacing w:val="-19"/>
          <w:w w:val="105"/>
          <w:sz w:val="17"/>
        </w:rPr>
        <w:t> </w:t>
      </w:r>
      <w:r>
        <w:rPr>
          <w:rFonts w:ascii="Calibri" w:hAnsi="Calibri"/>
          <w:color w:val="231F20"/>
          <w:w w:val="105"/>
          <w:sz w:val="17"/>
        </w:rPr>
        <w:t>más</w:t>
      </w:r>
      <w:r>
        <w:rPr>
          <w:rFonts w:ascii="Calibri" w:hAnsi="Calibri"/>
          <w:color w:val="231F20"/>
          <w:spacing w:val="-19"/>
          <w:w w:val="105"/>
          <w:sz w:val="17"/>
        </w:rPr>
        <w:t> </w:t>
      </w:r>
      <w:r>
        <w:rPr>
          <w:rFonts w:ascii="Calibri" w:hAnsi="Calibri"/>
          <w:color w:val="231F20"/>
          <w:w w:val="105"/>
          <w:sz w:val="17"/>
        </w:rPr>
        <w:t>en</w:t>
      </w:r>
      <w:r>
        <w:rPr>
          <w:rFonts w:ascii="Calibri" w:hAnsi="Calibri"/>
          <w:color w:val="231F20"/>
          <w:spacing w:val="-19"/>
          <w:w w:val="105"/>
          <w:sz w:val="17"/>
        </w:rPr>
        <w:t> </w:t>
      </w:r>
      <w:r>
        <w:rPr>
          <w:rFonts w:ascii="Calibri" w:hAnsi="Calibri"/>
          <w:color w:val="231F20"/>
          <w:w w:val="105"/>
          <w:sz w:val="17"/>
        </w:rPr>
        <w:t>general</w:t>
      </w:r>
      <w:r>
        <w:rPr>
          <w:rFonts w:ascii="Calibri" w:hAnsi="Calibri"/>
          <w:color w:val="231F20"/>
          <w:spacing w:val="3"/>
          <w:w w:val="105"/>
          <w:sz w:val="17"/>
        </w:rPr>
        <w:t> </w:t>
      </w:r>
      <w:r>
        <w:rPr>
          <w:rFonts w:ascii="Calibri" w:hAnsi="Calibri"/>
          <w:color w:val="231F20"/>
          <w:w w:val="105"/>
          <w:sz w:val="17"/>
        </w:rPr>
        <w:t>Galli,</w:t>
      </w:r>
      <w:r>
        <w:rPr>
          <w:rFonts w:ascii="Calibri" w:hAnsi="Calibri"/>
          <w:color w:val="231F20"/>
          <w:spacing w:val="-19"/>
          <w:w w:val="105"/>
          <w:sz w:val="17"/>
        </w:rPr>
        <w:t> </w:t>
      </w:r>
      <w:r>
        <w:rPr>
          <w:rFonts w:ascii="Calibri" w:hAnsi="Calibri"/>
          <w:i/>
          <w:color w:val="231F20"/>
          <w:w w:val="105"/>
          <w:sz w:val="17"/>
        </w:rPr>
        <w:t>Schmitt</w:t>
      </w:r>
      <w:r>
        <w:rPr>
          <w:rFonts w:ascii="Calibri" w:hAnsi="Calibri"/>
          <w:i/>
          <w:color w:val="231F20"/>
          <w:spacing w:val="-19"/>
          <w:w w:val="105"/>
          <w:sz w:val="17"/>
        </w:rPr>
        <w:t> </w:t>
      </w:r>
      <w:r>
        <w:rPr>
          <w:rFonts w:ascii="Calibri" w:hAnsi="Calibri"/>
          <w:i/>
          <w:color w:val="231F20"/>
          <w:w w:val="105"/>
          <w:sz w:val="17"/>
        </w:rPr>
        <w:t>e</w:t>
      </w:r>
      <w:r>
        <w:rPr>
          <w:rFonts w:ascii="Calibri" w:hAnsi="Calibri"/>
          <w:i/>
          <w:color w:val="231F20"/>
          <w:spacing w:val="-19"/>
          <w:w w:val="105"/>
          <w:sz w:val="17"/>
        </w:rPr>
        <w:t> </w:t>
      </w:r>
      <w:r>
        <w:rPr>
          <w:rFonts w:ascii="Calibri" w:hAnsi="Calibri"/>
          <w:i/>
          <w:color w:val="231F20"/>
          <w:w w:val="105"/>
          <w:sz w:val="17"/>
        </w:rPr>
        <w:t>l’età</w:t>
      </w:r>
      <w:r>
        <w:rPr>
          <w:rFonts w:ascii="Calibri" w:hAnsi="Calibri"/>
          <w:i/>
          <w:color w:val="231F20"/>
          <w:spacing w:val="-19"/>
          <w:w w:val="105"/>
          <w:sz w:val="17"/>
        </w:rPr>
        <w:t> </w:t>
      </w:r>
      <w:r>
        <w:rPr>
          <w:rFonts w:ascii="Calibri" w:hAnsi="Calibri"/>
          <w:i/>
          <w:color w:val="231F20"/>
          <w:w w:val="105"/>
          <w:sz w:val="17"/>
        </w:rPr>
        <w:t>globale</w:t>
      </w:r>
      <w:r>
        <w:rPr>
          <w:rFonts w:ascii="Calibri" w:hAnsi="Calibri"/>
          <w:color w:val="231F20"/>
          <w:w w:val="105"/>
          <w:sz w:val="17"/>
        </w:rPr>
        <w:t>. </w:t>
      </w:r>
      <w:r>
        <w:rPr>
          <w:rFonts w:ascii="Calibri" w:hAnsi="Calibri"/>
          <w:color w:val="231F20"/>
          <w:w w:val="105"/>
          <w:position w:val="6"/>
          <w:sz w:val="10"/>
        </w:rPr>
        <w:t>63</w:t>
      </w:r>
      <w:r>
        <w:rPr>
          <w:rFonts w:ascii="Calibri" w:hAnsi="Calibri"/>
          <w:color w:val="231F20"/>
          <w:spacing w:val="-1"/>
          <w:w w:val="105"/>
          <w:position w:val="6"/>
          <w:sz w:val="10"/>
        </w:rPr>
        <w:t> </w:t>
      </w:r>
      <w:r>
        <w:rPr>
          <w:rFonts w:ascii="Calibri" w:hAnsi="Calibri"/>
          <w:color w:val="231F20"/>
          <w:w w:val="105"/>
          <w:sz w:val="17"/>
        </w:rPr>
        <w:t>Brown,</w:t>
      </w:r>
      <w:r>
        <w:rPr>
          <w:rFonts w:ascii="Calibri" w:hAnsi="Calibri"/>
          <w:color w:val="231F20"/>
          <w:spacing w:val="-18"/>
          <w:w w:val="105"/>
          <w:sz w:val="17"/>
        </w:rPr>
        <w:t> </w:t>
      </w:r>
      <w:r>
        <w:rPr>
          <w:rFonts w:ascii="Calibri" w:hAnsi="Calibri"/>
          <w:color w:val="231F20"/>
          <w:w w:val="105"/>
          <w:sz w:val="17"/>
        </w:rPr>
        <w:t>“From</w:t>
      </w:r>
      <w:r>
        <w:rPr>
          <w:rFonts w:ascii="Calibri" w:hAnsi="Calibri"/>
          <w:color w:val="231F20"/>
          <w:spacing w:val="-18"/>
          <w:w w:val="105"/>
          <w:sz w:val="17"/>
        </w:rPr>
        <w:t> </w:t>
      </w:r>
      <w:r>
        <w:rPr>
          <w:rFonts w:ascii="Calibri" w:hAnsi="Calibri"/>
          <w:color w:val="231F20"/>
          <w:w w:val="105"/>
          <w:sz w:val="17"/>
        </w:rPr>
        <w:t>humanized</w:t>
      </w:r>
      <w:r>
        <w:rPr>
          <w:rFonts w:ascii="Calibri" w:hAnsi="Calibri"/>
          <w:color w:val="231F20"/>
          <w:spacing w:val="-19"/>
          <w:w w:val="105"/>
          <w:sz w:val="17"/>
        </w:rPr>
        <w:t> </w:t>
      </w:r>
      <w:r>
        <w:rPr>
          <w:rFonts w:ascii="Calibri" w:hAnsi="Calibri"/>
          <w:color w:val="231F20"/>
          <w:w w:val="105"/>
          <w:sz w:val="17"/>
        </w:rPr>
        <w:t>war</w:t>
      </w:r>
      <w:r>
        <w:rPr>
          <w:rFonts w:ascii="Calibri" w:hAnsi="Calibri"/>
          <w:color w:val="231F20"/>
          <w:spacing w:val="-18"/>
          <w:w w:val="105"/>
          <w:sz w:val="17"/>
        </w:rPr>
        <w:t> </w:t>
      </w:r>
      <w:r>
        <w:rPr>
          <w:rFonts w:ascii="Calibri" w:hAnsi="Calibri"/>
          <w:color w:val="231F20"/>
          <w:w w:val="105"/>
          <w:sz w:val="17"/>
        </w:rPr>
        <w:t>to</w:t>
      </w:r>
      <w:r>
        <w:rPr>
          <w:rFonts w:ascii="Calibri" w:hAnsi="Calibri"/>
          <w:color w:val="231F20"/>
          <w:spacing w:val="-18"/>
          <w:w w:val="105"/>
          <w:sz w:val="17"/>
        </w:rPr>
        <w:t> </w:t>
      </w:r>
      <w:r>
        <w:rPr>
          <w:rFonts w:ascii="Calibri" w:hAnsi="Calibri"/>
          <w:color w:val="231F20"/>
          <w:w w:val="105"/>
          <w:sz w:val="17"/>
        </w:rPr>
        <w:t>humanitarian</w:t>
      </w:r>
      <w:r>
        <w:rPr>
          <w:rFonts w:ascii="Calibri" w:hAnsi="Calibri"/>
          <w:color w:val="231F20"/>
          <w:spacing w:val="-18"/>
          <w:w w:val="105"/>
          <w:sz w:val="17"/>
        </w:rPr>
        <w:t> </w:t>
      </w:r>
      <w:r>
        <w:rPr>
          <w:rFonts w:ascii="Calibri" w:hAnsi="Calibri"/>
          <w:color w:val="231F20"/>
          <w:w w:val="105"/>
          <w:sz w:val="17"/>
        </w:rPr>
        <w:t>intervention”,</w:t>
      </w:r>
      <w:r>
        <w:rPr>
          <w:rFonts w:ascii="Calibri" w:hAnsi="Calibri"/>
          <w:color w:val="231F20"/>
          <w:spacing w:val="-18"/>
          <w:w w:val="105"/>
          <w:sz w:val="17"/>
        </w:rPr>
        <w:t> </w:t>
      </w:r>
      <w:r>
        <w:rPr>
          <w:rFonts w:ascii="Calibri" w:hAnsi="Calibri"/>
          <w:color w:val="231F20"/>
          <w:w w:val="105"/>
          <w:sz w:val="17"/>
        </w:rPr>
        <w:t>p.</w:t>
      </w:r>
      <w:r>
        <w:rPr>
          <w:rFonts w:ascii="Calibri" w:hAnsi="Calibri"/>
          <w:color w:val="231F20"/>
          <w:spacing w:val="-18"/>
          <w:w w:val="105"/>
          <w:sz w:val="17"/>
        </w:rPr>
        <w:t> </w:t>
      </w:r>
      <w:r>
        <w:rPr>
          <w:rFonts w:ascii="Calibri" w:hAnsi="Calibri"/>
          <w:color w:val="231F20"/>
          <w:w w:val="105"/>
          <w:sz w:val="17"/>
        </w:rPr>
        <w:t>66.</w:t>
      </w:r>
    </w:p>
    <w:p>
      <w:pPr>
        <w:spacing w:line="204" w:lineRule="exact" w:before="0"/>
        <w:ind w:left="117" w:right="101" w:firstLine="0"/>
        <w:jc w:val="both"/>
        <w:rPr>
          <w:rFonts w:ascii="Calibri" w:hAnsi="Calibri"/>
          <w:sz w:val="17"/>
        </w:rPr>
      </w:pPr>
      <w:r>
        <w:rPr>
          <w:rFonts w:ascii="Calibri" w:hAnsi="Calibri"/>
          <w:color w:val="231F20"/>
          <w:w w:val="105"/>
          <w:position w:val="6"/>
          <w:sz w:val="10"/>
        </w:rPr>
        <w:t>64</w:t>
      </w:r>
      <w:r>
        <w:rPr>
          <w:rFonts w:ascii="Calibri" w:hAnsi="Calibri"/>
          <w:color w:val="231F20"/>
          <w:spacing w:val="-2"/>
          <w:w w:val="105"/>
          <w:position w:val="6"/>
          <w:sz w:val="10"/>
        </w:rPr>
        <w:t> </w:t>
      </w:r>
      <w:r>
        <w:rPr>
          <w:rFonts w:ascii="Calibri" w:hAnsi="Calibri"/>
          <w:color w:val="231F20"/>
          <w:w w:val="105"/>
          <w:sz w:val="17"/>
        </w:rPr>
        <w:t>Zolo,</w:t>
      </w:r>
      <w:r>
        <w:rPr>
          <w:rFonts w:ascii="Calibri" w:hAnsi="Calibri"/>
          <w:color w:val="231F20"/>
          <w:spacing w:val="-18"/>
          <w:w w:val="105"/>
          <w:sz w:val="17"/>
        </w:rPr>
        <w:t> </w:t>
      </w:r>
      <w:r>
        <w:rPr>
          <w:rFonts w:ascii="Calibri" w:hAnsi="Calibri"/>
          <w:i/>
          <w:color w:val="231F20"/>
          <w:w w:val="105"/>
          <w:sz w:val="17"/>
        </w:rPr>
        <w:t>Chi</w:t>
      </w:r>
      <w:r>
        <w:rPr>
          <w:rFonts w:ascii="Calibri" w:hAnsi="Calibri"/>
          <w:i/>
          <w:color w:val="231F20"/>
          <w:spacing w:val="-19"/>
          <w:w w:val="105"/>
          <w:sz w:val="17"/>
        </w:rPr>
        <w:t> </w:t>
      </w:r>
      <w:r>
        <w:rPr>
          <w:rFonts w:ascii="Calibri" w:hAnsi="Calibri"/>
          <w:i/>
          <w:color w:val="231F20"/>
          <w:w w:val="105"/>
          <w:sz w:val="17"/>
        </w:rPr>
        <w:t>dice</w:t>
      </w:r>
      <w:r>
        <w:rPr>
          <w:rFonts w:ascii="Calibri" w:hAnsi="Calibri"/>
          <w:i/>
          <w:color w:val="231F20"/>
          <w:spacing w:val="-19"/>
          <w:w w:val="105"/>
          <w:sz w:val="17"/>
        </w:rPr>
        <w:t> </w:t>
      </w:r>
      <w:r>
        <w:rPr>
          <w:rFonts w:ascii="Calibri" w:hAnsi="Calibri"/>
          <w:i/>
          <w:color w:val="231F20"/>
          <w:w w:val="105"/>
          <w:sz w:val="17"/>
        </w:rPr>
        <w:t>umanità</w:t>
      </w:r>
      <w:r>
        <w:rPr>
          <w:rFonts w:ascii="Calibri" w:hAnsi="Calibri"/>
          <w:color w:val="231F20"/>
          <w:w w:val="105"/>
          <w:sz w:val="17"/>
        </w:rPr>
        <w:t>,</w:t>
      </w:r>
      <w:r>
        <w:rPr>
          <w:rFonts w:ascii="Calibri" w:hAnsi="Calibri"/>
          <w:color w:val="231F20"/>
          <w:spacing w:val="-18"/>
          <w:w w:val="105"/>
          <w:sz w:val="17"/>
        </w:rPr>
        <w:t> </w:t>
      </w:r>
      <w:r>
        <w:rPr>
          <w:rFonts w:ascii="Calibri" w:hAnsi="Calibri"/>
          <w:color w:val="231F20"/>
          <w:w w:val="105"/>
          <w:sz w:val="17"/>
        </w:rPr>
        <w:t>p.</w:t>
      </w:r>
      <w:r>
        <w:rPr>
          <w:rFonts w:ascii="Calibri" w:hAnsi="Calibri"/>
          <w:color w:val="231F20"/>
          <w:spacing w:val="-18"/>
          <w:w w:val="105"/>
          <w:sz w:val="17"/>
        </w:rPr>
        <w:t> </w:t>
      </w:r>
      <w:r>
        <w:rPr>
          <w:rFonts w:ascii="Calibri" w:hAnsi="Calibri"/>
          <w:color w:val="231F20"/>
          <w:w w:val="105"/>
          <w:sz w:val="17"/>
        </w:rPr>
        <w:t>44.</w:t>
      </w:r>
      <w:r>
        <w:rPr>
          <w:rFonts w:ascii="Calibri" w:hAnsi="Calibri"/>
          <w:color w:val="231F20"/>
          <w:spacing w:val="-18"/>
          <w:w w:val="105"/>
          <w:sz w:val="17"/>
        </w:rPr>
        <w:t> </w:t>
      </w:r>
      <w:r>
        <w:rPr>
          <w:rFonts w:ascii="Calibri" w:hAnsi="Calibri"/>
          <w:color w:val="231F20"/>
          <w:w w:val="105"/>
          <w:sz w:val="17"/>
        </w:rPr>
        <w:t>Sobre</w:t>
      </w:r>
      <w:r>
        <w:rPr>
          <w:rFonts w:ascii="Calibri" w:hAnsi="Calibri"/>
          <w:color w:val="231F20"/>
          <w:spacing w:val="-18"/>
          <w:w w:val="105"/>
          <w:sz w:val="17"/>
        </w:rPr>
        <w:t> </w:t>
      </w:r>
      <w:r>
        <w:rPr>
          <w:rFonts w:ascii="Calibri" w:hAnsi="Calibri"/>
          <w:color w:val="231F20"/>
          <w:w w:val="105"/>
          <w:sz w:val="17"/>
        </w:rPr>
        <w:t>el</w:t>
      </w:r>
      <w:r>
        <w:rPr>
          <w:rFonts w:ascii="Calibri" w:hAnsi="Calibri"/>
          <w:color w:val="231F20"/>
          <w:spacing w:val="-18"/>
          <w:w w:val="105"/>
          <w:sz w:val="17"/>
        </w:rPr>
        <w:t> </w:t>
      </w:r>
      <w:r>
        <w:rPr>
          <w:rFonts w:ascii="Calibri" w:hAnsi="Calibri"/>
          <w:color w:val="231F20"/>
          <w:w w:val="105"/>
          <w:sz w:val="17"/>
        </w:rPr>
        <w:t>tema</w:t>
      </w:r>
      <w:r>
        <w:rPr>
          <w:rFonts w:ascii="Calibri" w:hAnsi="Calibri"/>
          <w:color w:val="231F20"/>
          <w:spacing w:val="-20"/>
          <w:w w:val="105"/>
          <w:sz w:val="17"/>
        </w:rPr>
        <w:t> </w:t>
      </w:r>
      <w:r>
        <w:rPr>
          <w:rFonts w:ascii="Calibri" w:hAnsi="Calibri"/>
          <w:color w:val="231F20"/>
          <w:w w:val="105"/>
          <w:sz w:val="17"/>
        </w:rPr>
        <w:t>véase</w:t>
      </w:r>
      <w:r>
        <w:rPr>
          <w:rFonts w:ascii="Calibri" w:hAnsi="Calibri"/>
          <w:color w:val="231F20"/>
          <w:spacing w:val="-18"/>
          <w:w w:val="105"/>
          <w:sz w:val="17"/>
        </w:rPr>
        <w:t> </w:t>
      </w:r>
      <w:r>
        <w:rPr>
          <w:rFonts w:ascii="Calibri" w:hAnsi="Calibri"/>
          <w:color w:val="231F20"/>
          <w:w w:val="105"/>
          <w:sz w:val="17"/>
        </w:rPr>
        <w:t>también</w:t>
      </w:r>
      <w:r>
        <w:rPr>
          <w:rFonts w:ascii="Calibri" w:hAnsi="Calibri"/>
          <w:color w:val="231F20"/>
          <w:spacing w:val="-18"/>
          <w:w w:val="105"/>
          <w:sz w:val="17"/>
        </w:rPr>
        <w:t> </w:t>
      </w:r>
      <w:r>
        <w:rPr>
          <w:rFonts w:ascii="Calibri" w:hAnsi="Calibri"/>
          <w:color w:val="231F20"/>
          <w:w w:val="105"/>
          <w:sz w:val="17"/>
        </w:rPr>
        <w:t>J.</w:t>
      </w:r>
      <w:r>
        <w:rPr>
          <w:rFonts w:ascii="Calibri" w:hAnsi="Calibri"/>
          <w:color w:val="231F20"/>
          <w:spacing w:val="-18"/>
          <w:w w:val="105"/>
          <w:sz w:val="17"/>
        </w:rPr>
        <w:t> </w:t>
      </w:r>
      <w:r>
        <w:rPr>
          <w:rFonts w:ascii="Calibri" w:hAnsi="Calibri"/>
          <w:color w:val="231F20"/>
          <w:w w:val="105"/>
          <w:sz w:val="17"/>
        </w:rPr>
        <w:t>Isensee,</w:t>
      </w:r>
      <w:r>
        <w:rPr>
          <w:rFonts w:ascii="Calibri" w:hAnsi="Calibri"/>
          <w:color w:val="231F20"/>
          <w:spacing w:val="-18"/>
          <w:w w:val="105"/>
          <w:sz w:val="17"/>
        </w:rPr>
        <w:t> </w:t>
      </w:r>
      <w:r>
        <w:rPr>
          <w:rFonts w:ascii="Calibri" w:hAnsi="Calibri"/>
          <w:color w:val="231F20"/>
          <w:w w:val="105"/>
          <w:sz w:val="17"/>
        </w:rPr>
        <w:t>“Weltpolizei</w:t>
      </w:r>
      <w:r>
        <w:rPr>
          <w:rFonts w:ascii="Calibri" w:hAnsi="Calibri"/>
          <w:color w:val="231F20"/>
          <w:spacing w:val="-18"/>
          <w:w w:val="105"/>
          <w:sz w:val="17"/>
        </w:rPr>
        <w:t> </w:t>
      </w:r>
      <w:r>
        <w:rPr>
          <w:rFonts w:ascii="Calibri" w:hAnsi="Calibri"/>
          <w:color w:val="231F20"/>
          <w:w w:val="105"/>
          <w:sz w:val="17"/>
        </w:rPr>
        <w:t>für</w:t>
      </w:r>
      <w:r>
        <w:rPr>
          <w:rFonts w:ascii="Calibri" w:hAnsi="Calibri"/>
          <w:color w:val="231F20"/>
          <w:spacing w:val="-18"/>
          <w:w w:val="105"/>
          <w:sz w:val="17"/>
        </w:rPr>
        <w:t> </w:t>
      </w:r>
      <w:r>
        <w:rPr>
          <w:rFonts w:ascii="Calibri" w:hAnsi="Calibri"/>
          <w:color w:val="231F20"/>
          <w:w w:val="105"/>
          <w:sz w:val="17"/>
        </w:rPr>
        <w:t>Menschen- </w:t>
      </w:r>
      <w:r>
        <w:rPr>
          <w:rFonts w:ascii="Calibri" w:hAnsi="Calibri"/>
          <w:color w:val="231F20"/>
          <w:sz w:val="17"/>
        </w:rPr>
        <w:t>rechte”,</w:t>
      </w:r>
      <w:r>
        <w:rPr>
          <w:rFonts w:ascii="Calibri" w:hAnsi="Calibri"/>
          <w:color w:val="231F20"/>
          <w:spacing w:val="-9"/>
          <w:sz w:val="17"/>
        </w:rPr>
        <w:t> </w:t>
      </w:r>
      <w:r>
        <w:rPr>
          <w:rFonts w:ascii="Calibri" w:hAnsi="Calibri"/>
          <w:color w:val="231F20"/>
          <w:sz w:val="17"/>
        </w:rPr>
        <w:t>J</w:t>
      </w:r>
      <w:r>
        <w:rPr>
          <w:rFonts w:ascii="Calibri" w:hAnsi="Calibri"/>
          <w:i/>
          <w:color w:val="231F20"/>
          <w:sz w:val="17"/>
        </w:rPr>
        <w:t>uristische</w:t>
      </w:r>
      <w:r>
        <w:rPr>
          <w:rFonts w:ascii="Calibri" w:hAnsi="Calibri"/>
          <w:i/>
          <w:color w:val="231F20"/>
          <w:spacing w:val="-10"/>
          <w:sz w:val="17"/>
        </w:rPr>
        <w:t> </w:t>
      </w:r>
      <w:r>
        <w:rPr>
          <w:rFonts w:ascii="Calibri" w:hAnsi="Calibri"/>
          <w:i/>
          <w:color w:val="231F20"/>
          <w:sz w:val="17"/>
        </w:rPr>
        <w:t>Zeitung</w:t>
      </w:r>
      <w:r>
        <w:rPr>
          <w:rFonts w:ascii="Calibri" w:hAnsi="Calibri"/>
          <w:color w:val="231F20"/>
          <w:sz w:val="17"/>
        </w:rPr>
        <w:t>,</w:t>
      </w:r>
      <w:r>
        <w:rPr>
          <w:rFonts w:ascii="Calibri" w:hAnsi="Calibri"/>
          <w:color w:val="231F20"/>
          <w:spacing w:val="-9"/>
          <w:sz w:val="17"/>
        </w:rPr>
        <w:t> </w:t>
      </w:r>
      <w:r>
        <w:rPr>
          <w:rFonts w:ascii="Calibri" w:hAnsi="Calibri"/>
          <w:color w:val="231F20"/>
          <w:sz w:val="17"/>
        </w:rPr>
        <w:t>1995,</w:t>
      </w:r>
      <w:r>
        <w:rPr>
          <w:rFonts w:ascii="Calibri" w:hAnsi="Calibri"/>
          <w:color w:val="231F20"/>
          <w:spacing w:val="-9"/>
          <w:sz w:val="17"/>
        </w:rPr>
        <w:t> </w:t>
      </w:r>
      <w:r>
        <w:rPr>
          <w:rFonts w:ascii="Calibri" w:hAnsi="Calibri"/>
          <w:color w:val="231F20"/>
          <w:sz w:val="17"/>
        </w:rPr>
        <w:t>p.</w:t>
      </w:r>
      <w:r>
        <w:rPr>
          <w:rFonts w:ascii="Calibri" w:hAnsi="Calibri"/>
          <w:color w:val="231F20"/>
          <w:spacing w:val="-9"/>
          <w:sz w:val="17"/>
        </w:rPr>
        <w:t> </w:t>
      </w:r>
      <w:r>
        <w:rPr>
          <w:rFonts w:ascii="Calibri" w:hAnsi="Calibri"/>
          <w:color w:val="231F20"/>
          <w:sz w:val="17"/>
        </w:rPr>
        <w:t>429.</w:t>
      </w:r>
    </w:p>
    <w:p>
      <w:pPr>
        <w:spacing w:line="206" w:lineRule="exact" w:before="1"/>
        <w:ind w:left="117" w:right="0" w:firstLine="0"/>
        <w:jc w:val="both"/>
        <w:rPr>
          <w:rFonts w:ascii="Calibri" w:hAnsi="Calibri"/>
          <w:sz w:val="17"/>
        </w:rPr>
      </w:pPr>
      <w:r>
        <w:rPr>
          <w:rFonts w:ascii="Calibri" w:hAnsi="Calibri"/>
          <w:color w:val="231F20"/>
          <w:w w:val="105"/>
          <w:position w:val="6"/>
          <w:sz w:val="10"/>
        </w:rPr>
        <w:t>65 </w:t>
      </w:r>
      <w:r>
        <w:rPr>
          <w:rFonts w:ascii="Calibri" w:hAnsi="Calibri"/>
          <w:color w:val="231F20"/>
          <w:w w:val="105"/>
          <w:sz w:val="17"/>
        </w:rPr>
        <w:t>Brown, “From humanized war to humanitarian intervention”, p. 66.</w:t>
      </w:r>
    </w:p>
    <w:p>
      <w:pPr>
        <w:spacing w:line="235" w:lineRule="auto" w:before="1"/>
        <w:ind w:left="117" w:right="101" w:firstLine="0"/>
        <w:jc w:val="both"/>
        <w:rPr>
          <w:rFonts w:ascii="Calibri" w:hAnsi="Calibri"/>
          <w:sz w:val="17"/>
        </w:rPr>
      </w:pPr>
      <w:r>
        <w:rPr>
          <w:rFonts w:ascii="Calibri" w:hAnsi="Calibri"/>
          <w:color w:val="231F20"/>
          <w:w w:val="105"/>
          <w:position w:val="6"/>
          <w:sz w:val="10"/>
        </w:rPr>
        <w:t>66</w:t>
      </w:r>
      <w:r>
        <w:rPr>
          <w:rFonts w:ascii="Calibri" w:hAnsi="Calibri"/>
          <w:color w:val="231F20"/>
          <w:spacing w:val="7"/>
          <w:w w:val="105"/>
          <w:position w:val="6"/>
          <w:sz w:val="10"/>
        </w:rPr>
        <w:t> </w:t>
      </w:r>
      <w:r>
        <w:rPr>
          <w:rFonts w:ascii="Calibri" w:hAnsi="Calibri"/>
          <w:color w:val="231F20"/>
          <w:w w:val="105"/>
          <w:sz w:val="17"/>
        </w:rPr>
        <w:t>Brown,</w:t>
      </w:r>
      <w:r>
        <w:rPr>
          <w:rFonts w:ascii="Calibri" w:hAnsi="Calibri"/>
          <w:color w:val="231F20"/>
          <w:spacing w:val="-9"/>
          <w:w w:val="105"/>
          <w:sz w:val="17"/>
        </w:rPr>
        <w:t> </w:t>
      </w:r>
      <w:r>
        <w:rPr>
          <w:rFonts w:ascii="Calibri" w:hAnsi="Calibri"/>
          <w:color w:val="231F20"/>
          <w:w w:val="105"/>
          <w:sz w:val="17"/>
        </w:rPr>
        <w:t>“From</w:t>
      </w:r>
      <w:r>
        <w:rPr>
          <w:rFonts w:ascii="Calibri" w:hAnsi="Calibri"/>
          <w:color w:val="231F20"/>
          <w:spacing w:val="-9"/>
          <w:w w:val="105"/>
          <w:sz w:val="17"/>
        </w:rPr>
        <w:t> </w:t>
      </w:r>
      <w:r>
        <w:rPr>
          <w:rFonts w:ascii="Calibri" w:hAnsi="Calibri"/>
          <w:color w:val="231F20"/>
          <w:w w:val="105"/>
          <w:sz w:val="17"/>
        </w:rPr>
        <w:t>humanized</w:t>
      </w:r>
      <w:r>
        <w:rPr>
          <w:rFonts w:ascii="Calibri" w:hAnsi="Calibri"/>
          <w:color w:val="231F20"/>
          <w:spacing w:val="-11"/>
          <w:w w:val="105"/>
          <w:sz w:val="17"/>
        </w:rPr>
        <w:t> </w:t>
      </w:r>
      <w:r>
        <w:rPr>
          <w:rFonts w:ascii="Calibri" w:hAnsi="Calibri"/>
          <w:color w:val="231F20"/>
          <w:w w:val="105"/>
          <w:sz w:val="17"/>
        </w:rPr>
        <w:t>war</w:t>
      </w:r>
      <w:r>
        <w:rPr>
          <w:rFonts w:ascii="Calibri" w:hAnsi="Calibri"/>
          <w:color w:val="231F20"/>
          <w:spacing w:val="-9"/>
          <w:w w:val="105"/>
          <w:sz w:val="17"/>
        </w:rPr>
        <w:t> </w:t>
      </w:r>
      <w:r>
        <w:rPr>
          <w:rFonts w:ascii="Calibri" w:hAnsi="Calibri"/>
          <w:color w:val="231F20"/>
          <w:w w:val="105"/>
          <w:sz w:val="17"/>
        </w:rPr>
        <w:t>to</w:t>
      </w:r>
      <w:r>
        <w:rPr>
          <w:rFonts w:ascii="Calibri" w:hAnsi="Calibri"/>
          <w:color w:val="231F20"/>
          <w:spacing w:val="-9"/>
          <w:w w:val="105"/>
          <w:sz w:val="17"/>
        </w:rPr>
        <w:t> </w:t>
      </w:r>
      <w:r>
        <w:rPr>
          <w:rFonts w:ascii="Calibri" w:hAnsi="Calibri"/>
          <w:color w:val="231F20"/>
          <w:w w:val="105"/>
          <w:sz w:val="17"/>
        </w:rPr>
        <w:t>humanitarian</w:t>
      </w:r>
      <w:r>
        <w:rPr>
          <w:rFonts w:ascii="Calibri" w:hAnsi="Calibri"/>
          <w:color w:val="231F20"/>
          <w:spacing w:val="-9"/>
          <w:w w:val="105"/>
          <w:sz w:val="17"/>
        </w:rPr>
        <w:t> </w:t>
      </w:r>
      <w:r>
        <w:rPr>
          <w:rFonts w:ascii="Calibri" w:hAnsi="Calibri"/>
          <w:color w:val="231F20"/>
          <w:w w:val="105"/>
          <w:sz w:val="17"/>
        </w:rPr>
        <w:t>intervention,</w:t>
      </w:r>
      <w:r>
        <w:rPr>
          <w:rFonts w:ascii="Calibri" w:hAnsi="Calibri"/>
          <w:color w:val="231F20"/>
          <w:spacing w:val="-9"/>
          <w:w w:val="105"/>
          <w:sz w:val="17"/>
        </w:rPr>
        <w:t> </w:t>
      </w:r>
      <w:r>
        <w:rPr>
          <w:rFonts w:ascii="Calibri" w:hAnsi="Calibri"/>
          <w:color w:val="231F20"/>
          <w:w w:val="105"/>
          <w:sz w:val="17"/>
        </w:rPr>
        <w:t>p.</w:t>
      </w:r>
      <w:r>
        <w:rPr>
          <w:rFonts w:ascii="Calibri" w:hAnsi="Calibri"/>
          <w:color w:val="231F20"/>
          <w:spacing w:val="-9"/>
          <w:w w:val="105"/>
          <w:sz w:val="17"/>
        </w:rPr>
        <w:t> </w:t>
      </w:r>
      <w:r>
        <w:rPr>
          <w:rFonts w:ascii="Calibri" w:hAnsi="Calibri"/>
          <w:color w:val="231F20"/>
          <w:spacing w:val="-5"/>
          <w:w w:val="105"/>
          <w:sz w:val="17"/>
        </w:rPr>
        <w:t>67.</w:t>
      </w:r>
      <w:r>
        <w:rPr>
          <w:rFonts w:ascii="Calibri" w:hAnsi="Calibri"/>
          <w:color w:val="231F20"/>
          <w:spacing w:val="-9"/>
          <w:w w:val="105"/>
          <w:sz w:val="17"/>
        </w:rPr>
        <w:t> </w:t>
      </w:r>
      <w:r>
        <w:rPr>
          <w:rFonts w:ascii="Calibri" w:hAnsi="Calibri"/>
          <w:color w:val="231F20"/>
          <w:w w:val="105"/>
          <w:sz w:val="17"/>
        </w:rPr>
        <w:t>Pero</w:t>
      </w:r>
      <w:r>
        <w:rPr>
          <w:rFonts w:ascii="Calibri" w:hAnsi="Calibri"/>
          <w:color w:val="231F20"/>
          <w:spacing w:val="-9"/>
          <w:w w:val="105"/>
          <w:sz w:val="17"/>
        </w:rPr>
        <w:t> </w:t>
      </w:r>
      <w:r>
        <w:rPr>
          <w:rFonts w:ascii="Calibri" w:hAnsi="Calibri"/>
          <w:color w:val="231F20"/>
          <w:w w:val="105"/>
          <w:sz w:val="17"/>
        </w:rPr>
        <w:t>sobre</w:t>
      </w:r>
      <w:r>
        <w:rPr>
          <w:rFonts w:ascii="Calibri" w:hAnsi="Calibri"/>
          <w:color w:val="231F20"/>
          <w:spacing w:val="-9"/>
          <w:w w:val="105"/>
          <w:sz w:val="17"/>
        </w:rPr>
        <w:t> </w:t>
      </w:r>
      <w:r>
        <w:rPr>
          <w:rFonts w:ascii="Calibri" w:hAnsi="Calibri"/>
          <w:color w:val="231F20"/>
          <w:w w:val="105"/>
          <w:sz w:val="17"/>
        </w:rPr>
        <w:t>el</w:t>
      </w:r>
      <w:r>
        <w:rPr>
          <w:rFonts w:ascii="Calibri" w:hAnsi="Calibri"/>
          <w:color w:val="231F20"/>
          <w:spacing w:val="-9"/>
          <w:w w:val="105"/>
          <w:sz w:val="17"/>
        </w:rPr>
        <w:t> </w:t>
      </w:r>
      <w:r>
        <w:rPr>
          <w:rFonts w:ascii="Calibri" w:hAnsi="Calibri"/>
          <w:color w:val="231F20"/>
          <w:w w:val="105"/>
          <w:sz w:val="17"/>
        </w:rPr>
        <w:t>tema,</w:t>
      </w:r>
      <w:r>
        <w:rPr>
          <w:rFonts w:ascii="Calibri" w:hAnsi="Calibri"/>
          <w:color w:val="231F20"/>
          <w:spacing w:val="-11"/>
          <w:w w:val="105"/>
          <w:sz w:val="17"/>
        </w:rPr>
        <w:t> </w:t>
      </w:r>
      <w:r>
        <w:rPr>
          <w:rFonts w:ascii="Calibri" w:hAnsi="Calibri"/>
          <w:color w:val="231F20"/>
          <w:w w:val="105"/>
          <w:sz w:val="17"/>
        </w:rPr>
        <w:t>véase</w:t>
      </w:r>
      <w:r>
        <w:rPr>
          <w:rFonts w:ascii="Calibri" w:hAnsi="Calibri"/>
          <w:color w:val="231F20"/>
          <w:spacing w:val="-9"/>
          <w:w w:val="105"/>
          <w:sz w:val="17"/>
        </w:rPr>
        <w:t> </w:t>
      </w:r>
      <w:r>
        <w:rPr>
          <w:rFonts w:ascii="Calibri" w:hAnsi="Calibri"/>
          <w:color w:val="231F20"/>
          <w:w w:val="105"/>
          <w:sz w:val="17"/>
        </w:rPr>
        <w:t>R. Devetak,</w:t>
      </w:r>
      <w:r>
        <w:rPr>
          <w:rFonts w:ascii="Calibri" w:hAnsi="Calibri"/>
          <w:color w:val="231F20"/>
          <w:spacing w:val="-16"/>
          <w:w w:val="105"/>
          <w:sz w:val="17"/>
        </w:rPr>
        <w:t> </w:t>
      </w:r>
      <w:r>
        <w:rPr>
          <w:rFonts w:ascii="Calibri" w:hAnsi="Calibri"/>
          <w:color w:val="231F20"/>
          <w:w w:val="105"/>
          <w:sz w:val="17"/>
        </w:rPr>
        <w:t>“Between</w:t>
      </w:r>
      <w:r>
        <w:rPr>
          <w:rFonts w:ascii="Calibri" w:hAnsi="Calibri"/>
          <w:color w:val="231F20"/>
          <w:spacing w:val="-16"/>
          <w:w w:val="105"/>
          <w:sz w:val="17"/>
        </w:rPr>
        <w:t> </w:t>
      </w:r>
      <w:r>
        <w:rPr>
          <w:rFonts w:ascii="Calibri" w:hAnsi="Calibri"/>
          <w:color w:val="231F20"/>
          <w:w w:val="105"/>
          <w:sz w:val="17"/>
        </w:rPr>
        <w:t>Kant</w:t>
      </w:r>
      <w:r>
        <w:rPr>
          <w:rFonts w:ascii="Calibri" w:hAnsi="Calibri"/>
          <w:color w:val="231F20"/>
          <w:spacing w:val="-16"/>
          <w:w w:val="105"/>
          <w:sz w:val="17"/>
        </w:rPr>
        <w:t> </w:t>
      </w:r>
      <w:r>
        <w:rPr>
          <w:rFonts w:ascii="Calibri" w:hAnsi="Calibri"/>
          <w:color w:val="231F20"/>
          <w:w w:val="105"/>
          <w:sz w:val="17"/>
        </w:rPr>
        <w:t>and</w:t>
      </w:r>
      <w:r>
        <w:rPr>
          <w:rFonts w:ascii="Calibri" w:hAnsi="Calibri"/>
          <w:color w:val="231F20"/>
          <w:spacing w:val="-16"/>
          <w:w w:val="105"/>
          <w:sz w:val="17"/>
        </w:rPr>
        <w:t> </w:t>
      </w:r>
      <w:r>
        <w:rPr>
          <w:rFonts w:ascii="Calibri" w:hAnsi="Calibri"/>
          <w:color w:val="231F20"/>
          <w:w w:val="105"/>
          <w:sz w:val="17"/>
        </w:rPr>
        <w:t>Pufendorf:</w:t>
      </w:r>
      <w:r>
        <w:rPr>
          <w:rFonts w:ascii="Calibri" w:hAnsi="Calibri"/>
          <w:color w:val="231F20"/>
          <w:spacing w:val="-16"/>
          <w:w w:val="105"/>
          <w:sz w:val="17"/>
        </w:rPr>
        <w:t> </w:t>
      </w:r>
      <w:r>
        <w:rPr>
          <w:rFonts w:ascii="Calibri" w:hAnsi="Calibri"/>
          <w:color w:val="231F20"/>
          <w:w w:val="105"/>
          <w:sz w:val="17"/>
        </w:rPr>
        <w:t>humanitarian</w:t>
      </w:r>
      <w:r>
        <w:rPr>
          <w:rFonts w:ascii="Calibri" w:hAnsi="Calibri"/>
          <w:color w:val="231F20"/>
          <w:spacing w:val="-16"/>
          <w:w w:val="105"/>
          <w:sz w:val="17"/>
        </w:rPr>
        <w:t> </w:t>
      </w:r>
      <w:r>
        <w:rPr>
          <w:rFonts w:ascii="Calibri" w:hAnsi="Calibri"/>
          <w:color w:val="231F20"/>
          <w:w w:val="105"/>
          <w:sz w:val="17"/>
        </w:rPr>
        <w:t>intervention,</w:t>
      </w:r>
      <w:r>
        <w:rPr>
          <w:rFonts w:ascii="Calibri" w:hAnsi="Calibri"/>
          <w:color w:val="231F20"/>
          <w:spacing w:val="-16"/>
          <w:w w:val="105"/>
          <w:sz w:val="17"/>
        </w:rPr>
        <w:t> </w:t>
      </w:r>
      <w:r>
        <w:rPr>
          <w:rFonts w:ascii="Calibri" w:hAnsi="Calibri"/>
          <w:color w:val="231F20"/>
          <w:w w:val="105"/>
          <w:sz w:val="17"/>
        </w:rPr>
        <w:t>statist</w:t>
      </w:r>
      <w:r>
        <w:rPr>
          <w:rFonts w:ascii="Calibri" w:hAnsi="Calibri"/>
          <w:color w:val="231F20"/>
          <w:spacing w:val="-16"/>
          <w:w w:val="105"/>
          <w:sz w:val="17"/>
        </w:rPr>
        <w:t> </w:t>
      </w:r>
      <w:r>
        <w:rPr>
          <w:rFonts w:ascii="Calibri" w:hAnsi="Calibri"/>
          <w:color w:val="231F20"/>
          <w:w w:val="105"/>
          <w:sz w:val="17"/>
        </w:rPr>
        <w:t>anti–cosmopolitanism </w:t>
      </w:r>
      <w:r>
        <w:rPr>
          <w:rFonts w:ascii="Calibri" w:hAnsi="Calibri"/>
          <w:color w:val="231F20"/>
          <w:sz w:val="17"/>
        </w:rPr>
        <w:t>and critical international theory”, </w:t>
      </w:r>
      <w:r>
        <w:rPr>
          <w:rFonts w:ascii="Calibri" w:hAnsi="Calibri"/>
          <w:i/>
          <w:color w:val="231F20"/>
          <w:sz w:val="17"/>
        </w:rPr>
        <w:t>Review of International Studies</w:t>
      </w:r>
      <w:r>
        <w:rPr>
          <w:rFonts w:ascii="Calibri" w:hAnsi="Calibri"/>
          <w:color w:val="231F20"/>
          <w:sz w:val="17"/>
        </w:rPr>
        <w:t>, 33, </w:t>
      </w:r>
      <w:r>
        <w:rPr>
          <w:rFonts w:ascii="Calibri" w:hAnsi="Calibri"/>
          <w:color w:val="231F20"/>
          <w:spacing w:val="-3"/>
          <w:sz w:val="17"/>
        </w:rPr>
        <w:t>2007, </w:t>
      </w:r>
      <w:r>
        <w:rPr>
          <w:rFonts w:ascii="Calibri" w:hAnsi="Calibri"/>
          <w:color w:val="231F20"/>
          <w:sz w:val="17"/>
        </w:rPr>
        <w:t>pp.</w:t>
      </w:r>
      <w:r>
        <w:rPr>
          <w:rFonts w:ascii="Calibri" w:hAnsi="Calibri"/>
          <w:color w:val="231F20"/>
          <w:spacing w:val="-14"/>
          <w:sz w:val="17"/>
        </w:rPr>
        <w:t> </w:t>
      </w:r>
      <w:r>
        <w:rPr>
          <w:rFonts w:ascii="Calibri" w:hAnsi="Calibri"/>
          <w:color w:val="231F20"/>
          <w:sz w:val="17"/>
        </w:rPr>
        <w:t>168–169.</w:t>
      </w:r>
    </w:p>
    <w:p>
      <w:pPr>
        <w:spacing w:after="0" w:line="235" w:lineRule="auto"/>
        <w:jc w:val="both"/>
        <w:rPr>
          <w:rFonts w:ascii="Calibri" w:hAnsi="Calibri"/>
          <w:sz w:val="17"/>
        </w:rPr>
        <w:sectPr>
          <w:type w:val="continuous"/>
          <w:pgSz w:w="9640" w:h="13890"/>
          <w:pgMar w:top="0" w:bottom="0" w:left="1300" w:right="1200"/>
        </w:sectPr>
      </w:pPr>
    </w:p>
    <w:p>
      <w:pPr>
        <w:pStyle w:val="BodyText"/>
        <w:spacing w:line="247" w:lineRule="auto" w:before="107"/>
        <w:ind w:left="64" w:right="113"/>
        <w:jc w:val="right"/>
      </w:pPr>
      <w:r>
        <w:rPr>
          <w:color w:val="231F20"/>
          <w:w w:val="105"/>
        </w:rPr>
        <w:t>estatal</w:t>
      </w:r>
      <w:r>
        <w:rPr>
          <w:color w:val="231F20"/>
          <w:spacing w:val="-10"/>
          <w:w w:val="105"/>
        </w:rPr>
        <w:t> </w:t>
      </w:r>
      <w:r>
        <w:rPr>
          <w:color w:val="231F20"/>
          <w:w w:val="105"/>
        </w:rPr>
        <w:t>como</w:t>
      </w:r>
      <w:r>
        <w:rPr>
          <w:color w:val="231F20"/>
          <w:spacing w:val="-10"/>
          <w:w w:val="105"/>
        </w:rPr>
        <w:t> </w:t>
      </w:r>
      <w:r>
        <w:rPr>
          <w:color w:val="231F20"/>
          <w:w w:val="105"/>
        </w:rPr>
        <w:t>“principio</w:t>
      </w:r>
      <w:r>
        <w:rPr>
          <w:color w:val="231F20"/>
          <w:spacing w:val="-10"/>
          <w:w w:val="105"/>
        </w:rPr>
        <w:t> </w:t>
      </w:r>
      <w:r>
        <w:rPr>
          <w:color w:val="231F20"/>
          <w:w w:val="105"/>
        </w:rPr>
        <w:t>absoluto”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política</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debe</w:t>
      </w:r>
      <w:r>
        <w:rPr>
          <w:color w:val="231F20"/>
          <w:spacing w:val="-10"/>
          <w:w w:val="105"/>
        </w:rPr>
        <w:t> </w:t>
      </w:r>
      <w:r>
        <w:rPr>
          <w:color w:val="231F20"/>
          <w:w w:val="105"/>
        </w:rPr>
        <w:t>sostener</w:t>
      </w:r>
      <w:r>
        <w:rPr>
          <w:color w:val="231F20"/>
          <w:spacing w:val="-10"/>
          <w:w w:val="105"/>
        </w:rPr>
        <w:t> </w:t>
      </w:r>
      <w:r>
        <w:rPr>
          <w:color w:val="231F20"/>
          <w:w w:val="105"/>
        </w:rPr>
        <w:t>in-</w:t>
      </w:r>
      <w:r>
        <w:rPr>
          <w:color w:val="231F20"/>
          <w:w w:val="91"/>
        </w:rPr>
        <w:t> </w:t>
      </w:r>
      <w:r>
        <w:rPr>
          <w:color w:val="231F20"/>
          <w:w w:val="105"/>
        </w:rPr>
        <w:t>condicionalmente,</w:t>
      </w:r>
      <w:r>
        <w:rPr>
          <w:color w:val="231F20"/>
          <w:spacing w:val="-49"/>
          <w:w w:val="105"/>
        </w:rPr>
        <w:t> </w:t>
      </w:r>
      <w:r>
        <w:rPr>
          <w:color w:val="231F20"/>
          <w:w w:val="105"/>
        </w:rPr>
        <w:t>sin</w:t>
      </w:r>
      <w:r>
        <w:rPr>
          <w:color w:val="231F20"/>
          <w:spacing w:val="-49"/>
          <w:w w:val="105"/>
        </w:rPr>
        <w:t> </w:t>
      </w:r>
      <w:r>
        <w:rPr>
          <w:color w:val="231F20"/>
          <w:w w:val="105"/>
        </w:rPr>
        <w:t>importar</w:t>
      </w:r>
      <w:r>
        <w:rPr>
          <w:color w:val="231F20"/>
          <w:spacing w:val="-49"/>
          <w:w w:val="105"/>
        </w:rPr>
        <w:t> </w:t>
      </w:r>
      <w:r>
        <w:rPr>
          <w:color w:val="231F20"/>
          <w:w w:val="105"/>
        </w:rPr>
        <w:t>las</w:t>
      </w:r>
      <w:r>
        <w:rPr>
          <w:color w:val="231F20"/>
          <w:spacing w:val="-49"/>
          <w:w w:val="105"/>
        </w:rPr>
        <w:t> </w:t>
      </w:r>
      <w:r>
        <w:rPr>
          <w:color w:val="231F20"/>
          <w:w w:val="105"/>
        </w:rPr>
        <w:t>modalidades</w:t>
      </w:r>
      <w:r>
        <w:rPr>
          <w:color w:val="231F20"/>
          <w:spacing w:val="-49"/>
          <w:w w:val="105"/>
        </w:rPr>
        <w:t> </w:t>
      </w:r>
      <w:r>
        <w:rPr>
          <w:color w:val="231F20"/>
          <w:spacing w:val="-3"/>
          <w:w w:val="105"/>
        </w:rPr>
        <w:t>concretas</w:t>
      </w:r>
      <w:r>
        <w:rPr>
          <w:color w:val="231F20"/>
          <w:spacing w:val="-49"/>
          <w:w w:val="105"/>
        </w:rPr>
        <w:t> </w:t>
      </w:r>
      <w:r>
        <w:rPr>
          <w:color w:val="231F20"/>
          <w:w w:val="105"/>
        </w:rPr>
        <w:t>de</w:t>
      </w:r>
      <w:r>
        <w:rPr>
          <w:color w:val="231F20"/>
          <w:spacing w:val="-49"/>
          <w:w w:val="105"/>
        </w:rPr>
        <w:t> </w:t>
      </w:r>
      <w:r>
        <w:rPr>
          <w:color w:val="231F20"/>
          <w:w w:val="105"/>
        </w:rPr>
        <w:t>su</w:t>
      </w:r>
      <w:r>
        <w:rPr>
          <w:color w:val="231F20"/>
          <w:spacing w:val="-49"/>
          <w:w w:val="105"/>
        </w:rPr>
        <w:t> </w:t>
      </w:r>
      <w:r>
        <w:rPr>
          <w:color w:val="231F20"/>
          <w:w w:val="105"/>
        </w:rPr>
        <w:t>ejercicio</w:t>
      </w:r>
      <w:r>
        <w:rPr>
          <w:color w:val="231F20"/>
          <w:w w:val="105"/>
          <w:position w:val="7"/>
          <w:sz w:val="12"/>
        </w:rPr>
        <w:t>67</w:t>
      </w:r>
      <w:r>
        <w:rPr>
          <w:color w:val="231F20"/>
          <w:w w:val="105"/>
        </w:rPr>
        <w:t>.</w:t>
      </w:r>
      <w:r>
        <w:rPr>
          <w:color w:val="231F20"/>
          <w:w w:val="85"/>
        </w:rPr>
        <w:t> </w:t>
      </w:r>
      <w:r>
        <w:rPr>
          <w:color w:val="231F20"/>
          <w:w w:val="105"/>
        </w:rPr>
        <w:t>Para</w:t>
      </w:r>
      <w:r>
        <w:rPr>
          <w:color w:val="231F20"/>
          <w:spacing w:val="-36"/>
          <w:w w:val="105"/>
        </w:rPr>
        <w:t> </w:t>
      </w:r>
      <w:r>
        <w:rPr>
          <w:color w:val="231F20"/>
          <w:w w:val="105"/>
        </w:rPr>
        <w:t>los</w:t>
      </w:r>
      <w:r>
        <w:rPr>
          <w:color w:val="231F20"/>
          <w:spacing w:val="-36"/>
          <w:w w:val="105"/>
        </w:rPr>
        <w:t> </w:t>
      </w:r>
      <w:r>
        <w:rPr>
          <w:color w:val="231F20"/>
          <w:w w:val="105"/>
        </w:rPr>
        <w:t>exponentes</w:t>
      </w:r>
      <w:r>
        <w:rPr>
          <w:color w:val="231F20"/>
          <w:spacing w:val="-36"/>
          <w:w w:val="105"/>
        </w:rPr>
        <w:t> </w:t>
      </w:r>
      <w:r>
        <w:rPr>
          <w:color w:val="231F20"/>
          <w:w w:val="105"/>
        </w:rPr>
        <w:t>de</w:t>
      </w:r>
      <w:r>
        <w:rPr>
          <w:color w:val="231F20"/>
          <w:spacing w:val="-36"/>
          <w:w w:val="105"/>
        </w:rPr>
        <w:t> </w:t>
      </w:r>
      <w:r>
        <w:rPr>
          <w:color w:val="231F20"/>
          <w:w w:val="105"/>
        </w:rPr>
        <w:t>esta</w:t>
      </w:r>
      <w:r>
        <w:rPr>
          <w:color w:val="231F20"/>
          <w:spacing w:val="-36"/>
          <w:w w:val="105"/>
        </w:rPr>
        <w:t> </w:t>
      </w:r>
      <w:r>
        <w:rPr>
          <w:color w:val="231F20"/>
          <w:w w:val="105"/>
        </w:rPr>
        <w:t>forma</w:t>
      </w:r>
      <w:r>
        <w:rPr>
          <w:color w:val="231F20"/>
          <w:spacing w:val="-36"/>
          <w:w w:val="105"/>
        </w:rPr>
        <w:t> </w:t>
      </w:r>
      <w:r>
        <w:rPr>
          <w:color w:val="231F20"/>
          <w:w w:val="105"/>
        </w:rPr>
        <w:t>de</w:t>
      </w:r>
      <w:r>
        <w:rPr>
          <w:color w:val="231F20"/>
          <w:spacing w:val="-36"/>
          <w:w w:val="105"/>
        </w:rPr>
        <w:t> </w:t>
      </w:r>
      <w:r>
        <w:rPr>
          <w:color w:val="231F20"/>
          <w:w w:val="105"/>
        </w:rPr>
        <w:t>pensamiento</w:t>
      </w:r>
      <w:r>
        <w:rPr>
          <w:color w:val="231F20"/>
          <w:spacing w:val="-36"/>
          <w:w w:val="105"/>
        </w:rPr>
        <w:t> </w:t>
      </w:r>
      <w:r>
        <w:rPr>
          <w:color w:val="231F20"/>
          <w:w w:val="105"/>
        </w:rPr>
        <w:t>crítico</w:t>
      </w:r>
      <w:r>
        <w:rPr>
          <w:color w:val="231F20"/>
          <w:spacing w:val="-36"/>
          <w:w w:val="105"/>
        </w:rPr>
        <w:t> </w:t>
      </w:r>
      <w:r>
        <w:rPr>
          <w:color w:val="231F20"/>
          <w:w w:val="105"/>
        </w:rPr>
        <w:t>—con</w:t>
      </w:r>
      <w:r>
        <w:rPr>
          <w:color w:val="231F20"/>
          <w:spacing w:val="-36"/>
          <w:w w:val="105"/>
        </w:rPr>
        <w:t> </w:t>
      </w:r>
      <w:r>
        <w:rPr>
          <w:color w:val="231F20"/>
          <w:w w:val="105"/>
        </w:rPr>
        <w:t>pocas</w:t>
      </w:r>
      <w:r>
        <w:rPr>
          <w:color w:val="231F20"/>
          <w:spacing w:val="-36"/>
          <w:w w:val="105"/>
        </w:rPr>
        <w:t> </w:t>
      </w:r>
      <w:r>
        <w:rPr>
          <w:color w:val="231F20"/>
          <w:w w:val="105"/>
        </w:rPr>
        <w:t>ex-</w:t>
      </w:r>
      <w:r>
        <w:rPr>
          <w:color w:val="231F20"/>
          <w:w w:val="91"/>
        </w:rPr>
        <w:t> </w:t>
      </w:r>
      <w:r>
        <w:rPr>
          <w:color w:val="231F20"/>
          <w:w w:val="105"/>
        </w:rPr>
        <w:t>cepciones,</w:t>
      </w:r>
      <w:r>
        <w:rPr>
          <w:color w:val="231F20"/>
          <w:spacing w:val="-45"/>
          <w:w w:val="105"/>
        </w:rPr>
        <w:t> </w:t>
      </w:r>
      <w:r>
        <w:rPr>
          <w:color w:val="231F20"/>
          <w:spacing w:val="-3"/>
          <w:w w:val="105"/>
        </w:rPr>
        <w:t>pero</w:t>
      </w:r>
      <w:r>
        <w:rPr>
          <w:color w:val="231F20"/>
          <w:spacing w:val="-45"/>
          <w:w w:val="105"/>
        </w:rPr>
        <w:t> </w:t>
      </w:r>
      <w:r>
        <w:rPr>
          <w:color w:val="231F20"/>
          <w:w w:val="105"/>
        </w:rPr>
        <w:t>la</w:t>
      </w:r>
      <w:r>
        <w:rPr>
          <w:color w:val="231F20"/>
          <w:spacing w:val="-45"/>
          <w:w w:val="105"/>
        </w:rPr>
        <w:t> </w:t>
      </w:r>
      <w:r>
        <w:rPr>
          <w:color w:val="231F20"/>
          <w:w w:val="105"/>
        </w:rPr>
        <w:t>mayoría</w:t>
      </w:r>
      <w:r>
        <w:rPr>
          <w:color w:val="231F20"/>
          <w:spacing w:val="-45"/>
          <w:w w:val="105"/>
        </w:rPr>
        <w:t> </w:t>
      </w:r>
      <w:r>
        <w:rPr>
          <w:color w:val="231F20"/>
          <w:w w:val="105"/>
        </w:rPr>
        <w:t>apegados</w:t>
      </w:r>
      <w:r>
        <w:rPr>
          <w:color w:val="231F20"/>
          <w:spacing w:val="-45"/>
          <w:w w:val="105"/>
        </w:rPr>
        <w:t> </w:t>
      </w:r>
      <w:r>
        <w:rPr>
          <w:color w:val="231F20"/>
          <w:w w:val="105"/>
        </w:rPr>
        <w:t>al</w:t>
      </w:r>
      <w:r>
        <w:rPr>
          <w:color w:val="231F20"/>
          <w:spacing w:val="-45"/>
          <w:w w:val="105"/>
        </w:rPr>
        <w:t> </w:t>
      </w:r>
      <w:r>
        <w:rPr>
          <w:color w:val="231F20"/>
          <w:w w:val="105"/>
        </w:rPr>
        <w:t>teóricamente</w:t>
      </w:r>
      <w:r>
        <w:rPr>
          <w:color w:val="231F20"/>
          <w:spacing w:val="-45"/>
          <w:w w:val="105"/>
        </w:rPr>
        <w:t> </w:t>
      </w:r>
      <w:r>
        <w:rPr>
          <w:color w:val="231F20"/>
          <w:w w:val="105"/>
        </w:rPr>
        <w:t>más</w:t>
      </w:r>
      <w:r>
        <w:rPr>
          <w:color w:val="231F20"/>
          <w:spacing w:val="-45"/>
          <w:w w:val="105"/>
        </w:rPr>
        <w:t> </w:t>
      </w:r>
      <w:r>
        <w:rPr>
          <w:color w:val="231F20"/>
          <w:w w:val="105"/>
        </w:rPr>
        <w:t>creativo</w:t>
      </w:r>
      <w:r>
        <w:rPr>
          <w:color w:val="231F20"/>
          <w:spacing w:val="-45"/>
          <w:w w:val="105"/>
        </w:rPr>
        <w:t> </w:t>
      </w:r>
      <w:r>
        <w:rPr>
          <w:color w:val="231F20"/>
          <w:w w:val="105"/>
        </w:rPr>
        <w:t>“schmi-</w:t>
      </w:r>
      <w:r>
        <w:rPr>
          <w:color w:val="231F20"/>
          <w:w w:val="91"/>
        </w:rPr>
        <w:t> </w:t>
      </w:r>
      <w:r>
        <w:rPr>
          <w:color w:val="231F20"/>
          <w:w w:val="105"/>
        </w:rPr>
        <w:t>tt–marxismo”</w:t>
      </w:r>
      <w:r>
        <w:rPr>
          <w:color w:val="231F20"/>
          <w:spacing w:val="-44"/>
          <w:w w:val="105"/>
        </w:rPr>
        <w:t> </w:t>
      </w:r>
      <w:r>
        <w:rPr>
          <w:color w:val="231F20"/>
          <w:w w:val="105"/>
        </w:rPr>
        <w:t>contemporáneo</w:t>
      </w:r>
      <w:r>
        <w:rPr>
          <w:color w:val="231F20"/>
          <w:w w:val="105"/>
          <w:position w:val="7"/>
          <w:sz w:val="12"/>
        </w:rPr>
        <w:t>68</w:t>
      </w:r>
      <w:r>
        <w:rPr>
          <w:color w:val="231F20"/>
          <w:w w:val="105"/>
        </w:rPr>
        <w:t>—</w:t>
      </w:r>
      <w:r>
        <w:rPr>
          <w:color w:val="231F20"/>
          <w:spacing w:val="-44"/>
          <w:w w:val="105"/>
        </w:rPr>
        <w:t> </w:t>
      </w:r>
      <w:r>
        <w:rPr>
          <w:color w:val="231F20"/>
          <w:w w:val="105"/>
        </w:rPr>
        <w:t>el</w:t>
      </w:r>
      <w:r>
        <w:rPr>
          <w:color w:val="231F20"/>
          <w:spacing w:val="-44"/>
          <w:w w:val="105"/>
        </w:rPr>
        <w:t> </w:t>
      </w:r>
      <w:r>
        <w:rPr>
          <w:color w:val="231F20"/>
          <w:w w:val="105"/>
        </w:rPr>
        <w:t>mantenimiento</w:t>
      </w:r>
      <w:r>
        <w:rPr>
          <w:color w:val="231F20"/>
          <w:spacing w:val="-44"/>
          <w:w w:val="105"/>
        </w:rPr>
        <w:t> </w:t>
      </w:r>
      <w:r>
        <w:rPr>
          <w:color w:val="231F20"/>
          <w:w w:val="105"/>
        </w:rPr>
        <w:t>de</w:t>
      </w:r>
      <w:r>
        <w:rPr>
          <w:color w:val="231F20"/>
          <w:spacing w:val="-44"/>
          <w:w w:val="105"/>
        </w:rPr>
        <w:t> </w:t>
      </w:r>
      <w:r>
        <w:rPr>
          <w:color w:val="231F20"/>
          <w:w w:val="105"/>
        </w:rPr>
        <w:t>un</w:t>
      </w:r>
      <w:r>
        <w:rPr>
          <w:color w:val="231F20"/>
          <w:spacing w:val="-44"/>
          <w:w w:val="105"/>
        </w:rPr>
        <w:t> </w:t>
      </w:r>
      <w:r>
        <w:rPr>
          <w:color w:val="231F20"/>
          <w:w w:val="105"/>
        </w:rPr>
        <w:t>modelo</w:t>
      </w:r>
      <w:r>
        <w:rPr>
          <w:color w:val="231F20"/>
          <w:spacing w:val="-44"/>
          <w:w w:val="105"/>
        </w:rPr>
        <w:t> </w:t>
      </w:r>
      <w:r>
        <w:rPr>
          <w:color w:val="231F20"/>
          <w:w w:val="105"/>
        </w:rPr>
        <w:t>“plural”</w:t>
      </w:r>
      <w:r>
        <w:rPr>
          <w:color w:val="231F20"/>
          <w:w w:val="129"/>
        </w:rPr>
        <w:t> </w:t>
      </w:r>
      <w:r>
        <w:rPr>
          <w:color w:val="231F20"/>
          <w:w w:val="105"/>
        </w:rPr>
        <w:t>de</w:t>
      </w:r>
      <w:r>
        <w:rPr>
          <w:color w:val="231F20"/>
          <w:spacing w:val="-34"/>
          <w:w w:val="105"/>
        </w:rPr>
        <w:t> </w:t>
      </w:r>
      <w:r>
        <w:rPr>
          <w:color w:val="231F20"/>
          <w:w w:val="105"/>
        </w:rPr>
        <w:t>esta</w:t>
      </w:r>
      <w:r>
        <w:rPr>
          <w:color w:val="231F20"/>
          <w:spacing w:val="-34"/>
          <w:w w:val="105"/>
        </w:rPr>
        <w:t> </w:t>
      </w:r>
      <w:r>
        <w:rPr>
          <w:color w:val="231F20"/>
          <w:w w:val="105"/>
        </w:rPr>
        <w:t>sociedad</w:t>
      </w:r>
      <w:r>
        <w:rPr>
          <w:color w:val="231F20"/>
          <w:spacing w:val="-34"/>
          <w:w w:val="105"/>
        </w:rPr>
        <w:t> </w:t>
      </w:r>
      <w:r>
        <w:rPr>
          <w:color w:val="231F20"/>
          <w:w w:val="105"/>
        </w:rPr>
        <w:t>internacional,</w:t>
      </w:r>
      <w:r>
        <w:rPr>
          <w:color w:val="231F20"/>
          <w:spacing w:val="-34"/>
          <w:w w:val="105"/>
        </w:rPr>
        <w:t> </w:t>
      </w:r>
      <w:r>
        <w:rPr>
          <w:color w:val="231F20"/>
          <w:w w:val="105"/>
        </w:rPr>
        <w:t>basado</w:t>
      </w:r>
      <w:r>
        <w:rPr>
          <w:color w:val="231F20"/>
          <w:spacing w:val="-34"/>
          <w:w w:val="105"/>
        </w:rPr>
        <w:t> </w:t>
      </w:r>
      <w:r>
        <w:rPr>
          <w:color w:val="231F20"/>
          <w:w w:val="105"/>
        </w:rPr>
        <w:t>en</w:t>
      </w:r>
      <w:r>
        <w:rPr>
          <w:color w:val="231F20"/>
          <w:spacing w:val="-34"/>
          <w:w w:val="105"/>
        </w:rPr>
        <w:t> </w:t>
      </w:r>
      <w:r>
        <w:rPr>
          <w:color w:val="231F20"/>
          <w:w w:val="105"/>
        </w:rPr>
        <w:t>el</w:t>
      </w:r>
      <w:r>
        <w:rPr>
          <w:color w:val="231F20"/>
          <w:spacing w:val="-34"/>
          <w:w w:val="105"/>
        </w:rPr>
        <w:t> </w:t>
      </w:r>
      <w:r>
        <w:rPr>
          <w:color w:val="231F20"/>
          <w:spacing w:val="-3"/>
          <w:w w:val="105"/>
        </w:rPr>
        <w:t>reconocimiento</w:t>
      </w:r>
      <w:r>
        <w:rPr>
          <w:color w:val="231F20"/>
          <w:spacing w:val="-34"/>
          <w:w w:val="105"/>
        </w:rPr>
        <w:t> </w:t>
      </w:r>
      <w:r>
        <w:rPr>
          <w:color w:val="231F20"/>
          <w:w w:val="105"/>
        </w:rPr>
        <w:t>de</w:t>
      </w:r>
      <w:r>
        <w:rPr>
          <w:color w:val="231F20"/>
          <w:spacing w:val="-34"/>
          <w:w w:val="105"/>
        </w:rPr>
        <w:t> </w:t>
      </w:r>
      <w:r>
        <w:rPr>
          <w:color w:val="231F20"/>
          <w:w w:val="105"/>
        </w:rPr>
        <w:t>una</w:t>
      </w:r>
      <w:r>
        <w:rPr>
          <w:color w:val="231F20"/>
          <w:spacing w:val="-34"/>
          <w:w w:val="105"/>
        </w:rPr>
        <w:t> </w:t>
      </w:r>
      <w:r>
        <w:rPr>
          <w:color w:val="231F20"/>
          <w:spacing w:val="-2"/>
          <w:w w:val="105"/>
        </w:rPr>
        <w:t>esfera</w:t>
      </w:r>
      <w:r>
        <w:rPr>
          <w:color w:val="231F20"/>
          <w:spacing w:val="-2"/>
          <w:w w:val="99"/>
        </w:rPr>
        <w:t> </w:t>
      </w:r>
      <w:r>
        <w:rPr>
          <w:color w:val="231F20"/>
          <w:w w:val="105"/>
        </w:rPr>
        <w:t>intangible</w:t>
      </w:r>
      <w:r>
        <w:rPr>
          <w:color w:val="231F20"/>
          <w:spacing w:val="-30"/>
          <w:w w:val="105"/>
        </w:rPr>
        <w:t> </w:t>
      </w:r>
      <w:r>
        <w:rPr>
          <w:color w:val="231F20"/>
          <w:w w:val="105"/>
        </w:rPr>
        <w:t>de</w:t>
      </w:r>
      <w:r>
        <w:rPr>
          <w:color w:val="231F20"/>
          <w:spacing w:val="-30"/>
          <w:w w:val="105"/>
        </w:rPr>
        <w:t> </w:t>
      </w:r>
      <w:r>
        <w:rPr>
          <w:color w:val="231F20"/>
          <w:w w:val="105"/>
        </w:rPr>
        <w:t>soberanía</w:t>
      </w:r>
      <w:r>
        <w:rPr>
          <w:color w:val="231F20"/>
          <w:spacing w:val="-30"/>
          <w:w w:val="105"/>
        </w:rPr>
        <w:t> </w:t>
      </w:r>
      <w:r>
        <w:rPr>
          <w:color w:val="231F20"/>
          <w:w w:val="105"/>
        </w:rPr>
        <w:t>territorial</w:t>
      </w:r>
      <w:r>
        <w:rPr>
          <w:color w:val="231F20"/>
          <w:spacing w:val="-30"/>
          <w:w w:val="105"/>
        </w:rPr>
        <w:t> </w:t>
      </w:r>
      <w:r>
        <w:rPr>
          <w:color w:val="231F20"/>
          <w:w w:val="105"/>
        </w:rPr>
        <w:t>y</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w w:val="105"/>
        </w:rPr>
        <w:t>principio</w:t>
      </w:r>
      <w:r>
        <w:rPr>
          <w:color w:val="231F20"/>
          <w:spacing w:val="-30"/>
          <w:w w:val="105"/>
        </w:rPr>
        <w:t> </w:t>
      </w:r>
      <w:r>
        <w:rPr>
          <w:color w:val="231F20"/>
          <w:w w:val="105"/>
        </w:rPr>
        <w:t>de</w:t>
      </w:r>
      <w:r>
        <w:rPr>
          <w:color w:val="231F20"/>
          <w:spacing w:val="-30"/>
          <w:w w:val="105"/>
        </w:rPr>
        <w:t> </w:t>
      </w:r>
      <w:r>
        <w:rPr>
          <w:color w:val="231F20"/>
          <w:w w:val="105"/>
        </w:rPr>
        <w:t>no</w:t>
      </w:r>
      <w:r>
        <w:rPr>
          <w:color w:val="231F20"/>
          <w:spacing w:val="-30"/>
          <w:w w:val="105"/>
        </w:rPr>
        <w:t> </w:t>
      </w:r>
      <w:r>
        <w:rPr>
          <w:color w:val="231F20"/>
          <w:spacing w:val="-3"/>
          <w:w w:val="105"/>
        </w:rPr>
        <w:t>injerencia,</w:t>
      </w:r>
      <w:r>
        <w:rPr>
          <w:color w:val="231F20"/>
          <w:spacing w:val="-30"/>
          <w:w w:val="105"/>
        </w:rPr>
        <w:t> </w:t>
      </w:r>
      <w:r>
        <w:rPr>
          <w:color w:val="231F20"/>
          <w:spacing w:val="-3"/>
          <w:w w:val="105"/>
        </w:rPr>
        <w:t>parece</w:t>
      </w:r>
      <w:r>
        <w:rPr>
          <w:color w:val="231F20"/>
          <w:spacing w:val="-2"/>
          <w:w w:val="105"/>
        </w:rPr>
        <w:t> </w:t>
      </w:r>
      <w:r>
        <w:rPr>
          <w:color w:val="231F20"/>
          <w:w w:val="105"/>
        </w:rPr>
        <w:t>constituir</w:t>
      </w:r>
      <w:r>
        <w:rPr>
          <w:color w:val="231F20"/>
          <w:spacing w:val="-20"/>
          <w:w w:val="105"/>
        </w:rPr>
        <w:t> </w:t>
      </w:r>
      <w:r>
        <w:rPr>
          <w:color w:val="231F20"/>
          <w:w w:val="105"/>
        </w:rPr>
        <w:t>una</w:t>
      </w:r>
      <w:r>
        <w:rPr>
          <w:color w:val="231F20"/>
          <w:spacing w:val="-20"/>
          <w:w w:val="105"/>
        </w:rPr>
        <w:t> </w:t>
      </w:r>
      <w:r>
        <w:rPr>
          <w:color w:val="231F20"/>
          <w:w w:val="105"/>
        </w:rPr>
        <w:t>asunción</w:t>
      </w:r>
      <w:r>
        <w:rPr>
          <w:color w:val="231F20"/>
          <w:spacing w:val="-20"/>
          <w:w w:val="105"/>
        </w:rPr>
        <w:t> </w:t>
      </w:r>
      <w:r>
        <w:rPr>
          <w:color w:val="231F20"/>
          <w:spacing w:val="-3"/>
          <w:w w:val="105"/>
        </w:rPr>
        <w:t>irrenunciable</w:t>
      </w:r>
      <w:r>
        <w:rPr>
          <w:color w:val="231F20"/>
          <w:spacing w:val="-20"/>
          <w:w w:val="105"/>
        </w:rPr>
        <w:t> </w:t>
      </w:r>
      <w:r>
        <w:rPr>
          <w:color w:val="231F20"/>
          <w:w w:val="105"/>
        </w:rPr>
        <w:t>para</w:t>
      </w:r>
      <w:r>
        <w:rPr>
          <w:color w:val="231F20"/>
          <w:spacing w:val="-20"/>
          <w:w w:val="105"/>
        </w:rPr>
        <w:t> </w:t>
      </w:r>
      <w:r>
        <w:rPr>
          <w:color w:val="231F20"/>
          <w:w w:val="105"/>
        </w:rPr>
        <w:t>el</w:t>
      </w:r>
      <w:r>
        <w:rPr>
          <w:color w:val="231F20"/>
          <w:spacing w:val="-20"/>
          <w:w w:val="105"/>
        </w:rPr>
        <w:t> </w:t>
      </w:r>
      <w:r>
        <w:rPr>
          <w:color w:val="231F20"/>
          <w:spacing w:val="-3"/>
          <w:w w:val="105"/>
        </w:rPr>
        <w:t>ejercicio</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spacing w:val="-3"/>
          <w:w w:val="105"/>
        </w:rPr>
        <w:t>derechos</w:t>
      </w:r>
      <w:r>
        <w:rPr>
          <w:color w:val="231F20"/>
          <w:spacing w:val="-20"/>
          <w:w w:val="105"/>
        </w:rPr>
        <w:t> </w:t>
      </w:r>
      <w:r>
        <w:rPr>
          <w:color w:val="231F20"/>
          <w:w w:val="105"/>
        </w:rPr>
        <w:t>de-</w:t>
      </w:r>
      <w:r>
        <w:rPr>
          <w:color w:val="231F20"/>
          <w:w w:val="91"/>
        </w:rPr>
        <w:t> </w:t>
      </w:r>
      <w:r>
        <w:rPr>
          <w:color w:val="231F20"/>
          <w:w w:val="105"/>
        </w:rPr>
        <w:t>mocráticos</w:t>
      </w:r>
      <w:r>
        <w:rPr>
          <w:color w:val="231F20"/>
          <w:spacing w:val="-31"/>
          <w:w w:val="105"/>
        </w:rPr>
        <w:t> </w:t>
      </w:r>
      <w:r>
        <w:rPr>
          <w:color w:val="231F20"/>
          <w:w w:val="105"/>
        </w:rPr>
        <w:t>de</w:t>
      </w:r>
      <w:r>
        <w:rPr>
          <w:color w:val="231F20"/>
          <w:spacing w:val="-31"/>
          <w:w w:val="105"/>
        </w:rPr>
        <w:t> </w:t>
      </w:r>
      <w:r>
        <w:rPr>
          <w:color w:val="231F20"/>
          <w:w w:val="105"/>
        </w:rPr>
        <w:t>autogobierno</w:t>
      </w:r>
      <w:r>
        <w:rPr>
          <w:color w:val="231F20"/>
          <w:spacing w:val="-31"/>
          <w:w w:val="105"/>
        </w:rPr>
        <w:t> </w:t>
      </w:r>
      <w:r>
        <w:rPr>
          <w:color w:val="231F20"/>
          <w:w w:val="105"/>
        </w:rPr>
        <w:t>de</w:t>
      </w:r>
      <w:r>
        <w:rPr>
          <w:color w:val="231F20"/>
          <w:spacing w:val="-31"/>
          <w:w w:val="105"/>
        </w:rPr>
        <w:t> </w:t>
      </w:r>
      <w:r>
        <w:rPr>
          <w:color w:val="231F20"/>
          <w:w w:val="105"/>
        </w:rPr>
        <w:t>parte</w:t>
      </w:r>
      <w:r>
        <w:rPr>
          <w:color w:val="231F20"/>
          <w:spacing w:val="-31"/>
          <w:w w:val="105"/>
        </w:rPr>
        <w:t> </w:t>
      </w:r>
      <w:r>
        <w:rPr>
          <w:color w:val="231F20"/>
          <w:w w:val="105"/>
        </w:rPr>
        <w:t>de</w:t>
      </w:r>
      <w:r>
        <w:rPr>
          <w:color w:val="231F20"/>
          <w:spacing w:val="-31"/>
          <w:w w:val="105"/>
        </w:rPr>
        <w:t> </w:t>
      </w:r>
      <w:r>
        <w:rPr>
          <w:color w:val="231F20"/>
          <w:w w:val="105"/>
        </w:rPr>
        <w:t>los</w:t>
      </w:r>
      <w:r>
        <w:rPr>
          <w:color w:val="231F20"/>
          <w:spacing w:val="-31"/>
          <w:w w:val="105"/>
        </w:rPr>
        <w:t> </w:t>
      </w:r>
      <w:r>
        <w:rPr>
          <w:color w:val="231F20"/>
          <w:w w:val="105"/>
        </w:rPr>
        <w:t>ciudadanos</w:t>
      </w:r>
      <w:r>
        <w:rPr>
          <w:color w:val="231F20"/>
          <w:spacing w:val="-31"/>
          <w:w w:val="105"/>
        </w:rPr>
        <w:t> </w:t>
      </w:r>
      <w:r>
        <w:rPr>
          <w:color w:val="231F20"/>
          <w:w w:val="105"/>
        </w:rPr>
        <w:t>de</w:t>
      </w:r>
      <w:r>
        <w:rPr>
          <w:color w:val="231F20"/>
          <w:spacing w:val="-31"/>
          <w:w w:val="105"/>
        </w:rPr>
        <w:t> </w:t>
      </w:r>
      <w:r>
        <w:rPr>
          <w:color w:val="231F20"/>
          <w:w w:val="105"/>
        </w:rPr>
        <w:t>todos</w:t>
      </w:r>
      <w:r>
        <w:rPr>
          <w:color w:val="231F20"/>
          <w:spacing w:val="-31"/>
          <w:w w:val="105"/>
        </w:rPr>
        <w:t> </w:t>
      </w:r>
      <w:r>
        <w:rPr>
          <w:color w:val="231F20"/>
          <w:w w:val="105"/>
        </w:rPr>
        <w:t>los</w:t>
      </w:r>
      <w:r>
        <w:rPr>
          <w:color w:val="231F20"/>
          <w:spacing w:val="-31"/>
          <w:w w:val="105"/>
        </w:rPr>
        <w:t> </w:t>
      </w:r>
      <w:r>
        <w:rPr>
          <w:color w:val="231F20"/>
          <w:w w:val="105"/>
        </w:rPr>
        <w:t>Esta-</w:t>
      </w:r>
      <w:r>
        <w:rPr>
          <w:color w:val="231F20"/>
          <w:w w:val="91"/>
        </w:rPr>
        <w:t> </w:t>
      </w:r>
      <w:r>
        <w:rPr>
          <w:color w:val="231F20"/>
          <w:w w:val="105"/>
        </w:rPr>
        <w:t>dos,</w:t>
      </w:r>
      <w:r>
        <w:rPr>
          <w:color w:val="231F20"/>
          <w:spacing w:val="-22"/>
          <w:w w:val="105"/>
        </w:rPr>
        <w:t> </w:t>
      </w:r>
      <w:r>
        <w:rPr>
          <w:color w:val="231F20"/>
          <w:w w:val="105"/>
        </w:rPr>
        <w:t>incluidos</w:t>
      </w:r>
      <w:r>
        <w:rPr>
          <w:color w:val="231F20"/>
          <w:spacing w:val="-22"/>
          <w:w w:val="105"/>
        </w:rPr>
        <w:t> </w:t>
      </w:r>
      <w:r>
        <w:rPr>
          <w:color w:val="231F20"/>
          <w:w w:val="105"/>
        </w:rPr>
        <w:t>los</w:t>
      </w:r>
      <w:r>
        <w:rPr>
          <w:color w:val="231F20"/>
          <w:spacing w:val="-22"/>
          <w:w w:val="105"/>
        </w:rPr>
        <w:t> </w:t>
      </w:r>
      <w:r>
        <w:rPr>
          <w:color w:val="231F20"/>
          <w:w w:val="105"/>
        </w:rPr>
        <w:t>más</w:t>
      </w:r>
      <w:r>
        <w:rPr>
          <w:color w:val="231F20"/>
          <w:spacing w:val="-22"/>
          <w:w w:val="105"/>
        </w:rPr>
        <w:t> </w:t>
      </w:r>
      <w:r>
        <w:rPr>
          <w:color w:val="231F20"/>
          <w:w w:val="105"/>
        </w:rPr>
        <w:t>débiles</w:t>
      </w:r>
      <w:r>
        <w:rPr>
          <w:color w:val="231F20"/>
          <w:spacing w:val="-22"/>
          <w:w w:val="105"/>
        </w:rPr>
        <w:t> </w:t>
      </w:r>
      <w:r>
        <w:rPr>
          <w:color w:val="231F20"/>
          <w:w w:val="105"/>
        </w:rPr>
        <w:t>y</w:t>
      </w:r>
      <w:r>
        <w:rPr>
          <w:color w:val="231F20"/>
          <w:spacing w:val="-22"/>
          <w:w w:val="105"/>
        </w:rPr>
        <w:t> </w:t>
      </w:r>
      <w:r>
        <w:rPr>
          <w:color w:val="231F20"/>
          <w:w w:val="105"/>
        </w:rPr>
        <w:t>periféricos</w:t>
      </w:r>
      <w:r>
        <w:rPr>
          <w:color w:val="231F20"/>
          <w:w w:val="105"/>
          <w:position w:val="7"/>
          <w:sz w:val="12"/>
        </w:rPr>
        <w:t>69</w:t>
      </w:r>
      <w:r>
        <w:rPr>
          <w:color w:val="231F20"/>
          <w:w w:val="105"/>
        </w:rPr>
        <w:t>.</w:t>
      </w:r>
      <w:r>
        <w:rPr>
          <w:color w:val="231F20"/>
          <w:spacing w:val="-22"/>
          <w:w w:val="105"/>
        </w:rPr>
        <w:t> </w:t>
      </w:r>
      <w:r>
        <w:rPr>
          <w:color w:val="231F20"/>
          <w:w w:val="105"/>
        </w:rPr>
        <w:t>En</w:t>
      </w:r>
      <w:r>
        <w:rPr>
          <w:color w:val="231F20"/>
          <w:spacing w:val="-22"/>
          <w:w w:val="105"/>
        </w:rPr>
        <w:t> </w:t>
      </w:r>
      <w:r>
        <w:rPr>
          <w:color w:val="231F20"/>
          <w:w w:val="105"/>
        </w:rPr>
        <w:t>cambio,</w:t>
      </w:r>
      <w:r>
        <w:rPr>
          <w:color w:val="231F20"/>
          <w:spacing w:val="-22"/>
          <w:w w:val="105"/>
        </w:rPr>
        <w:t> </w:t>
      </w:r>
      <w:r>
        <w:rPr>
          <w:color w:val="231F20"/>
          <w:w w:val="105"/>
        </w:rPr>
        <w:t>la</w:t>
      </w:r>
      <w:r>
        <w:rPr>
          <w:color w:val="231F20"/>
          <w:spacing w:val="-22"/>
          <w:w w:val="105"/>
        </w:rPr>
        <w:t> </w:t>
      </w:r>
      <w:r>
        <w:rPr>
          <w:color w:val="231F20"/>
          <w:w w:val="105"/>
        </w:rPr>
        <w:t>imposición</w:t>
      </w:r>
      <w:r>
        <w:rPr>
          <w:color w:val="231F20"/>
          <w:spacing w:val="-22"/>
          <w:w w:val="105"/>
        </w:rPr>
        <w:t> </w:t>
      </w:r>
      <w:r>
        <w:rPr>
          <w:color w:val="231F20"/>
          <w:w w:val="105"/>
        </w:rPr>
        <w:t>de</w:t>
      </w:r>
      <w:r>
        <w:rPr>
          <w:color w:val="231F20"/>
          <w:spacing w:val="-2"/>
          <w:w w:val="108"/>
        </w:rPr>
        <w:t> </w:t>
      </w:r>
      <w:r>
        <w:rPr>
          <w:color w:val="231F20"/>
          <w:w w:val="105"/>
        </w:rPr>
        <w:t>un</w:t>
      </w:r>
      <w:r>
        <w:rPr>
          <w:color w:val="231F20"/>
          <w:spacing w:val="-20"/>
          <w:w w:val="105"/>
        </w:rPr>
        <w:t> </w:t>
      </w:r>
      <w:r>
        <w:rPr>
          <w:color w:val="231F20"/>
          <w:w w:val="105"/>
        </w:rPr>
        <w:t>“cosmopolitan</w:t>
      </w:r>
      <w:r>
        <w:rPr>
          <w:color w:val="231F20"/>
          <w:spacing w:val="-20"/>
          <w:w w:val="105"/>
        </w:rPr>
        <w:t> </w:t>
      </w:r>
      <w:r>
        <w:rPr>
          <w:color w:val="231F20"/>
          <w:spacing w:val="-3"/>
          <w:w w:val="105"/>
        </w:rPr>
        <w:t>regime”</w:t>
      </w:r>
      <w:r>
        <w:rPr>
          <w:color w:val="231F20"/>
          <w:spacing w:val="-20"/>
          <w:w w:val="105"/>
        </w:rPr>
        <w:t> </w:t>
      </w:r>
      <w:r>
        <w:rPr>
          <w:color w:val="231F20"/>
          <w:w w:val="105"/>
        </w:rPr>
        <w:t>de</w:t>
      </w:r>
      <w:r>
        <w:rPr>
          <w:color w:val="231F20"/>
          <w:spacing w:val="-20"/>
          <w:w w:val="105"/>
        </w:rPr>
        <w:t> </w:t>
      </w:r>
      <w:r>
        <w:rPr>
          <w:color w:val="231F20"/>
          <w:spacing w:val="-3"/>
          <w:w w:val="105"/>
        </w:rPr>
        <w:t>protección</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spacing w:val="-3"/>
          <w:w w:val="105"/>
        </w:rPr>
        <w:t>derechos</w:t>
      </w:r>
      <w:r>
        <w:rPr>
          <w:color w:val="231F20"/>
          <w:spacing w:val="-20"/>
          <w:w w:val="105"/>
        </w:rPr>
        <w:t> </w:t>
      </w:r>
      <w:r>
        <w:rPr>
          <w:color w:val="231F20"/>
          <w:w w:val="105"/>
        </w:rPr>
        <w:t>humanos</w:t>
      </w:r>
      <w:r>
        <w:rPr>
          <w:color w:val="231F20"/>
          <w:spacing w:val="-20"/>
          <w:w w:val="105"/>
        </w:rPr>
        <w:t> </w:t>
      </w:r>
      <w:r>
        <w:rPr>
          <w:color w:val="231F20"/>
          <w:w w:val="105"/>
        </w:rPr>
        <w:t>abriría</w:t>
      </w:r>
      <w:r>
        <w:rPr>
          <w:color w:val="231F20"/>
          <w:spacing w:val="-2"/>
          <w:w w:val="100"/>
        </w:rPr>
        <w:t> </w:t>
      </w:r>
      <w:r>
        <w:rPr>
          <w:color w:val="231F20"/>
          <w:w w:val="105"/>
        </w:rPr>
        <w:t>paso</w:t>
      </w:r>
      <w:r>
        <w:rPr>
          <w:color w:val="231F20"/>
          <w:spacing w:val="-41"/>
          <w:w w:val="105"/>
        </w:rPr>
        <w:t> </w:t>
      </w:r>
      <w:r>
        <w:rPr>
          <w:color w:val="231F20"/>
          <w:w w:val="105"/>
        </w:rPr>
        <w:t>a</w:t>
      </w:r>
      <w:r>
        <w:rPr>
          <w:color w:val="231F20"/>
          <w:spacing w:val="-41"/>
          <w:w w:val="105"/>
        </w:rPr>
        <w:t> </w:t>
      </w:r>
      <w:r>
        <w:rPr>
          <w:color w:val="231F20"/>
          <w:w w:val="105"/>
        </w:rPr>
        <w:t>una</w:t>
      </w:r>
      <w:r>
        <w:rPr>
          <w:color w:val="231F20"/>
          <w:spacing w:val="-41"/>
          <w:w w:val="105"/>
        </w:rPr>
        <w:t> </w:t>
      </w:r>
      <w:r>
        <w:rPr>
          <w:color w:val="231F20"/>
          <w:spacing w:val="-3"/>
          <w:w w:val="105"/>
        </w:rPr>
        <w:t>progresiva</w:t>
      </w:r>
      <w:r>
        <w:rPr>
          <w:color w:val="231F20"/>
          <w:spacing w:val="-41"/>
          <w:w w:val="105"/>
        </w:rPr>
        <w:t> </w:t>
      </w:r>
      <w:r>
        <w:rPr>
          <w:color w:val="231F20"/>
          <w:w w:val="105"/>
        </w:rPr>
        <w:t>ausencia</w:t>
      </w:r>
      <w:r>
        <w:rPr>
          <w:color w:val="231F20"/>
          <w:spacing w:val="-41"/>
          <w:w w:val="105"/>
        </w:rPr>
        <w:t> </w:t>
      </w:r>
      <w:r>
        <w:rPr>
          <w:color w:val="231F20"/>
          <w:w w:val="105"/>
        </w:rPr>
        <w:t>de</w:t>
      </w:r>
      <w:r>
        <w:rPr>
          <w:color w:val="231F20"/>
          <w:spacing w:val="-41"/>
          <w:w w:val="105"/>
        </w:rPr>
        <w:t> </w:t>
      </w:r>
      <w:r>
        <w:rPr>
          <w:color w:val="231F20"/>
          <w:w w:val="105"/>
        </w:rPr>
        <w:t>las</w:t>
      </w:r>
      <w:r>
        <w:rPr>
          <w:color w:val="231F20"/>
          <w:spacing w:val="-41"/>
          <w:w w:val="105"/>
        </w:rPr>
        <w:t> </w:t>
      </w:r>
      <w:r>
        <w:rPr>
          <w:color w:val="231F20"/>
          <w:w w:val="105"/>
        </w:rPr>
        <w:t>formas</w:t>
      </w:r>
      <w:r>
        <w:rPr>
          <w:color w:val="231F20"/>
          <w:spacing w:val="-41"/>
          <w:w w:val="105"/>
        </w:rPr>
        <w:t> </w:t>
      </w:r>
      <w:r>
        <w:rPr>
          <w:color w:val="231F20"/>
          <w:w w:val="105"/>
        </w:rPr>
        <w:t>territorializadas</w:t>
      </w:r>
      <w:r>
        <w:rPr>
          <w:color w:val="231F20"/>
          <w:spacing w:val="-41"/>
          <w:w w:val="105"/>
        </w:rPr>
        <w:t> </w:t>
      </w:r>
      <w:r>
        <w:rPr>
          <w:color w:val="231F20"/>
          <w:w w:val="105"/>
        </w:rPr>
        <w:t>de</w:t>
      </w:r>
      <w:r>
        <w:rPr>
          <w:color w:val="231F20"/>
          <w:spacing w:val="-41"/>
          <w:w w:val="105"/>
        </w:rPr>
        <w:t> </w:t>
      </w:r>
      <w:r>
        <w:rPr>
          <w:color w:val="231F20"/>
          <w:w w:val="105"/>
        </w:rPr>
        <w:t>democra-</w:t>
      </w:r>
      <w:r>
        <w:rPr>
          <w:color w:val="231F20"/>
          <w:w w:val="91"/>
        </w:rPr>
        <w:t> </w:t>
      </w:r>
      <w:r>
        <w:rPr>
          <w:color w:val="231F20"/>
          <w:w w:val="105"/>
        </w:rPr>
        <w:t>cia</w:t>
      </w:r>
      <w:r>
        <w:rPr>
          <w:color w:val="231F20"/>
          <w:spacing w:val="-45"/>
          <w:w w:val="105"/>
        </w:rPr>
        <w:t> </w:t>
      </w:r>
      <w:r>
        <w:rPr>
          <w:color w:val="231F20"/>
          <w:spacing w:val="-3"/>
          <w:w w:val="105"/>
        </w:rPr>
        <w:t>representativa</w:t>
      </w:r>
      <w:r>
        <w:rPr>
          <w:color w:val="231F20"/>
          <w:spacing w:val="-45"/>
          <w:w w:val="105"/>
        </w:rPr>
        <w:t> </w:t>
      </w:r>
      <w:r>
        <w:rPr>
          <w:color w:val="231F20"/>
          <w:w w:val="105"/>
        </w:rPr>
        <w:t>—las</w:t>
      </w:r>
      <w:r>
        <w:rPr>
          <w:color w:val="231F20"/>
          <w:spacing w:val="-45"/>
          <w:w w:val="105"/>
        </w:rPr>
        <w:t> </w:t>
      </w:r>
      <w:r>
        <w:rPr>
          <w:color w:val="231F20"/>
          <w:w w:val="105"/>
        </w:rPr>
        <w:t>únicas</w:t>
      </w:r>
      <w:r>
        <w:rPr>
          <w:color w:val="231F20"/>
          <w:spacing w:val="-45"/>
          <w:w w:val="105"/>
        </w:rPr>
        <w:t> </w:t>
      </w:r>
      <w:r>
        <w:rPr>
          <w:color w:val="231F20"/>
          <w:spacing w:val="-3"/>
          <w:w w:val="105"/>
        </w:rPr>
        <w:t>concretamente</w:t>
      </w:r>
      <w:r>
        <w:rPr>
          <w:color w:val="231F20"/>
          <w:spacing w:val="-45"/>
          <w:w w:val="105"/>
        </w:rPr>
        <w:t> </w:t>
      </w:r>
      <w:r>
        <w:rPr>
          <w:color w:val="231F20"/>
          <w:w w:val="105"/>
        </w:rPr>
        <w:t>practicables</w:t>
      </w:r>
      <w:r>
        <w:rPr>
          <w:color w:val="231F20"/>
          <w:spacing w:val="-45"/>
          <w:w w:val="105"/>
        </w:rPr>
        <w:t> </w:t>
      </w:r>
      <w:r>
        <w:rPr>
          <w:color w:val="231F20"/>
          <w:w w:val="105"/>
        </w:rPr>
        <w:t>en</w:t>
      </w:r>
      <w:r>
        <w:rPr>
          <w:color w:val="231F20"/>
          <w:spacing w:val="-45"/>
          <w:w w:val="105"/>
        </w:rPr>
        <w:t> </w:t>
      </w:r>
      <w:r>
        <w:rPr>
          <w:color w:val="231F20"/>
          <w:w w:val="105"/>
        </w:rPr>
        <w:t>un</w:t>
      </w:r>
      <w:r>
        <w:rPr>
          <w:color w:val="231F20"/>
          <w:spacing w:val="-45"/>
          <w:w w:val="105"/>
        </w:rPr>
        <w:t> </w:t>
      </w:r>
      <w:r>
        <w:rPr>
          <w:color w:val="231F20"/>
          <w:w w:val="105"/>
        </w:rPr>
        <w:t>mundo</w:t>
      </w:r>
      <w:r>
        <w:rPr>
          <w:color w:val="231F20"/>
          <w:spacing w:val="-45"/>
          <w:w w:val="105"/>
        </w:rPr>
        <w:t> </w:t>
      </w:r>
      <w:r>
        <w:rPr>
          <w:color w:val="231F20"/>
          <w:w w:val="105"/>
        </w:rPr>
        <w:t>de</w:t>
      </w:r>
      <w:r>
        <w:rPr>
          <w:color w:val="231F20"/>
          <w:spacing w:val="-2"/>
          <w:w w:val="108"/>
        </w:rPr>
        <w:t> </w:t>
      </w:r>
      <w:r>
        <w:rPr>
          <w:color w:val="231F20"/>
          <w:w w:val="105"/>
        </w:rPr>
        <w:t>estados–naciones—</w:t>
      </w:r>
      <w:r>
        <w:rPr>
          <w:color w:val="231F20"/>
          <w:spacing w:val="-44"/>
          <w:w w:val="105"/>
        </w:rPr>
        <w:t> </w:t>
      </w:r>
      <w:r>
        <w:rPr>
          <w:color w:val="231F20"/>
          <w:w w:val="105"/>
        </w:rPr>
        <w:t>que</w:t>
      </w:r>
      <w:r>
        <w:rPr>
          <w:color w:val="231F20"/>
          <w:spacing w:val="-44"/>
          <w:w w:val="105"/>
        </w:rPr>
        <w:t> </w:t>
      </w:r>
      <w:r>
        <w:rPr>
          <w:color w:val="231F20"/>
          <w:spacing w:val="-3"/>
          <w:w w:val="105"/>
        </w:rPr>
        <w:t>presagia</w:t>
      </w:r>
      <w:r>
        <w:rPr>
          <w:color w:val="231F20"/>
          <w:spacing w:val="-44"/>
          <w:w w:val="105"/>
        </w:rPr>
        <w:t> </w:t>
      </w:r>
      <w:r>
        <w:rPr>
          <w:color w:val="231F20"/>
          <w:w w:val="105"/>
        </w:rPr>
        <w:t>la</w:t>
      </w:r>
      <w:r>
        <w:rPr>
          <w:color w:val="231F20"/>
          <w:spacing w:val="-44"/>
          <w:w w:val="105"/>
        </w:rPr>
        <w:t> </w:t>
      </w:r>
      <w:r>
        <w:rPr>
          <w:color w:val="231F20"/>
          <w:w w:val="105"/>
        </w:rPr>
        <w:t>institución</w:t>
      </w:r>
      <w:r>
        <w:rPr>
          <w:color w:val="231F20"/>
          <w:spacing w:val="-44"/>
          <w:w w:val="105"/>
        </w:rPr>
        <w:t> </w:t>
      </w:r>
      <w:r>
        <w:rPr>
          <w:color w:val="231F20"/>
          <w:w w:val="105"/>
        </w:rPr>
        <w:t>de</w:t>
      </w:r>
      <w:r>
        <w:rPr>
          <w:color w:val="231F20"/>
          <w:spacing w:val="-44"/>
          <w:w w:val="105"/>
        </w:rPr>
        <w:t> </w:t>
      </w:r>
      <w:r>
        <w:rPr>
          <w:color w:val="231F20"/>
          <w:w w:val="105"/>
        </w:rPr>
        <w:t>un</w:t>
      </w:r>
      <w:r>
        <w:rPr>
          <w:color w:val="231F20"/>
          <w:spacing w:val="-44"/>
          <w:w w:val="105"/>
        </w:rPr>
        <w:t> </w:t>
      </w:r>
      <w:r>
        <w:rPr>
          <w:color w:val="231F20"/>
          <w:w w:val="105"/>
        </w:rPr>
        <w:t>auténtico</w:t>
      </w:r>
      <w:r>
        <w:rPr>
          <w:color w:val="231F20"/>
          <w:spacing w:val="-44"/>
          <w:w w:val="105"/>
        </w:rPr>
        <w:t> </w:t>
      </w:r>
      <w:r>
        <w:rPr>
          <w:color w:val="231F20"/>
          <w:spacing w:val="-3"/>
          <w:w w:val="105"/>
        </w:rPr>
        <w:t>“directorio”</w:t>
      </w:r>
      <w:r>
        <w:rPr>
          <w:color w:val="231F20"/>
          <w:spacing w:val="-2"/>
          <w:w w:val="107"/>
        </w:rPr>
        <w:t> </w:t>
      </w:r>
      <w:r>
        <w:rPr>
          <w:color w:val="231F20"/>
          <w:w w:val="105"/>
        </w:rPr>
        <w:t>global.</w:t>
      </w:r>
      <w:r>
        <w:rPr>
          <w:color w:val="231F20"/>
          <w:spacing w:val="-23"/>
          <w:w w:val="105"/>
        </w:rPr>
        <w:t> </w:t>
      </w:r>
      <w:r>
        <w:rPr>
          <w:color w:val="231F20"/>
          <w:w w:val="105"/>
        </w:rPr>
        <w:t>En</w:t>
      </w:r>
      <w:r>
        <w:rPr>
          <w:color w:val="231F20"/>
          <w:spacing w:val="-23"/>
          <w:w w:val="105"/>
        </w:rPr>
        <w:t> </w:t>
      </w:r>
      <w:r>
        <w:rPr>
          <w:color w:val="231F20"/>
          <w:w w:val="105"/>
        </w:rPr>
        <w:t>esta</w:t>
      </w:r>
      <w:r>
        <w:rPr>
          <w:color w:val="231F20"/>
          <w:spacing w:val="-23"/>
          <w:w w:val="105"/>
        </w:rPr>
        <w:t> </w:t>
      </w:r>
      <w:r>
        <w:rPr>
          <w:color w:val="231F20"/>
          <w:spacing w:val="-3"/>
          <w:w w:val="105"/>
        </w:rPr>
        <w:t>propuesta,</w:t>
      </w:r>
      <w:r>
        <w:rPr>
          <w:color w:val="231F20"/>
          <w:spacing w:val="-23"/>
          <w:w w:val="105"/>
        </w:rPr>
        <w:t> </w:t>
      </w:r>
      <w:r>
        <w:rPr>
          <w:color w:val="231F20"/>
          <w:w w:val="105"/>
        </w:rPr>
        <w:t>la</w:t>
      </w:r>
      <w:r>
        <w:rPr>
          <w:color w:val="231F20"/>
          <w:spacing w:val="-23"/>
          <w:w w:val="105"/>
        </w:rPr>
        <w:t> </w:t>
      </w:r>
      <w:r>
        <w:rPr>
          <w:color w:val="231F20"/>
          <w:w w:val="105"/>
        </w:rPr>
        <w:t>defensa</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spacing w:val="-3"/>
          <w:w w:val="105"/>
        </w:rPr>
        <w:t>valores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democracia</w:t>
      </w:r>
      <w:r>
        <w:rPr>
          <w:color w:val="231F20"/>
          <w:spacing w:val="-23"/>
          <w:w w:val="105"/>
        </w:rPr>
        <w:t> </w:t>
      </w:r>
      <w:r>
        <w:rPr>
          <w:color w:val="231F20"/>
          <w:w w:val="105"/>
        </w:rPr>
        <w:t>y</w:t>
      </w:r>
      <w:r>
        <w:rPr>
          <w:color w:val="231F20"/>
          <w:spacing w:val="-23"/>
          <w:w w:val="105"/>
        </w:rPr>
        <w:t> </w:t>
      </w:r>
      <w:r>
        <w:rPr>
          <w:color w:val="231F20"/>
          <w:w w:val="105"/>
        </w:rPr>
        <w:t>de</w:t>
      </w:r>
      <w:r>
        <w:rPr>
          <w:color w:val="231F20"/>
          <w:spacing w:val="-2"/>
          <w:w w:val="108"/>
        </w:rPr>
        <w:t> </w:t>
      </w:r>
      <w:r>
        <w:rPr>
          <w:color w:val="231F20"/>
          <w:w w:val="105"/>
        </w:rPr>
        <w:t>la</w:t>
      </w:r>
      <w:r>
        <w:rPr>
          <w:color w:val="231F20"/>
          <w:spacing w:val="-35"/>
          <w:w w:val="105"/>
        </w:rPr>
        <w:t> </w:t>
      </w:r>
      <w:r>
        <w:rPr>
          <w:color w:val="231F20"/>
          <w:w w:val="105"/>
        </w:rPr>
        <w:t>autodeterminación</w:t>
      </w:r>
      <w:r>
        <w:rPr>
          <w:color w:val="231F20"/>
          <w:spacing w:val="-35"/>
          <w:w w:val="105"/>
        </w:rPr>
        <w:t> </w:t>
      </w:r>
      <w:r>
        <w:rPr>
          <w:color w:val="231F20"/>
          <w:w w:val="105"/>
        </w:rPr>
        <w:t>política</w:t>
      </w:r>
      <w:r>
        <w:rPr>
          <w:color w:val="231F20"/>
          <w:spacing w:val="-35"/>
          <w:w w:val="105"/>
        </w:rPr>
        <w:t> </w:t>
      </w:r>
      <w:r>
        <w:rPr>
          <w:color w:val="231F20"/>
          <w:w w:val="105"/>
        </w:rPr>
        <w:t>pasa,</w:t>
      </w:r>
      <w:r>
        <w:rPr>
          <w:color w:val="231F20"/>
          <w:spacing w:val="-35"/>
          <w:w w:val="105"/>
        </w:rPr>
        <w:t> </w:t>
      </w:r>
      <w:r>
        <w:rPr>
          <w:color w:val="231F20"/>
          <w:w w:val="105"/>
        </w:rPr>
        <w:t>entonces,</w:t>
      </w:r>
      <w:r>
        <w:rPr>
          <w:color w:val="231F20"/>
          <w:spacing w:val="-35"/>
          <w:w w:val="105"/>
        </w:rPr>
        <w:t> </w:t>
      </w:r>
      <w:r>
        <w:rPr>
          <w:color w:val="231F20"/>
          <w:w w:val="105"/>
        </w:rPr>
        <w:t>por</w:t>
      </w:r>
      <w:r>
        <w:rPr>
          <w:color w:val="231F20"/>
          <w:spacing w:val="-35"/>
          <w:w w:val="105"/>
        </w:rPr>
        <w:t> </w:t>
      </w:r>
      <w:r>
        <w:rPr>
          <w:color w:val="231F20"/>
          <w:w w:val="105"/>
        </w:rPr>
        <w:t>el</w:t>
      </w:r>
      <w:r>
        <w:rPr>
          <w:color w:val="231F20"/>
          <w:spacing w:val="-35"/>
          <w:w w:val="105"/>
        </w:rPr>
        <w:t> </w:t>
      </w:r>
      <w:r>
        <w:rPr>
          <w:color w:val="231F20"/>
          <w:w w:val="105"/>
        </w:rPr>
        <w:t>mantenimiento</w:t>
      </w:r>
      <w:r>
        <w:rPr>
          <w:color w:val="231F20"/>
          <w:spacing w:val="-35"/>
          <w:w w:val="105"/>
        </w:rPr>
        <w:t> </w:t>
      </w:r>
      <w:r>
        <w:rPr>
          <w:color w:val="231F20"/>
          <w:w w:val="105"/>
        </w:rPr>
        <w:t>de</w:t>
      </w:r>
      <w:r>
        <w:rPr>
          <w:color w:val="231F20"/>
          <w:spacing w:val="-35"/>
          <w:w w:val="105"/>
        </w:rPr>
        <w:t> </w:t>
      </w:r>
      <w:r>
        <w:rPr>
          <w:color w:val="231F20"/>
          <w:spacing w:val="-2"/>
          <w:w w:val="105"/>
        </w:rPr>
        <w:t>los</w:t>
      </w:r>
      <w:r>
        <w:rPr>
          <w:color w:val="231F20"/>
          <w:spacing w:val="-2"/>
          <w:w w:val="103"/>
        </w:rPr>
        <w:t> </w:t>
      </w:r>
      <w:r>
        <w:rPr>
          <w:color w:val="231F20"/>
          <w:w w:val="105"/>
        </w:rPr>
        <w:t>“viejos</w:t>
      </w:r>
      <w:r>
        <w:rPr>
          <w:color w:val="231F20"/>
          <w:spacing w:val="-40"/>
          <w:w w:val="105"/>
        </w:rPr>
        <w:t> </w:t>
      </w:r>
      <w:r>
        <w:rPr>
          <w:color w:val="231F20"/>
          <w:spacing w:val="-3"/>
          <w:w w:val="105"/>
        </w:rPr>
        <w:t>derechos”</w:t>
      </w:r>
      <w:r>
        <w:rPr>
          <w:color w:val="231F20"/>
          <w:spacing w:val="-40"/>
          <w:w w:val="105"/>
        </w:rPr>
        <w:t> </w:t>
      </w:r>
      <w:r>
        <w:rPr>
          <w:color w:val="231F20"/>
          <w:w w:val="105"/>
        </w:rPr>
        <w:t>de</w:t>
      </w:r>
      <w:r>
        <w:rPr>
          <w:color w:val="231F20"/>
          <w:spacing w:val="-40"/>
          <w:w w:val="105"/>
        </w:rPr>
        <w:t> </w:t>
      </w:r>
      <w:r>
        <w:rPr>
          <w:color w:val="231F20"/>
          <w:w w:val="105"/>
        </w:rPr>
        <w:t>la</w:t>
      </w:r>
      <w:r>
        <w:rPr>
          <w:color w:val="231F20"/>
          <w:spacing w:val="-40"/>
          <w:w w:val="105"/>
        </w:rPr>
        <w:t> </w:t>
      </w:r>
      <w:r>
        <w:rPr>
          <w:color w:val="231F20"/>
          <w:w w:val="105"/>
        </w:rPr>
        <w:t>soberanía</w:t>
      </w:r>
      <w:r>
        <w:rPr>
          <w:color w:val="231F20"/>
          <w:spacing w:val="-40"/>
          <w:w w:val="105"/>
        </w:rPr>
        <w:t> </w:t>
      </w:r>
      <w:r>
        <w:rPr>
          <w:color w:val="231F20"/>
          <w:w w:val="105"/>
        </w:rPr>
        <w:t>territorial</w:t>
      </w:r>
      <w:r>
        <w:rPr>
          <w:color w:val="231F20"/>
          <w:w w:val="105"/>
          <w:position w:val="7"/>
          <w:sz w:val="12"/>
        </w:rPr>
        <w:t>70</w:t>
      </w:r>
      <w:r>
        <w:rPr>
          <w:color w:val="231F20"/>
          <w:spacing w:val="-11"/>
          <w:w w:val="105"/>
          <w:position w:val="7"/>
          <w:sz w:val="12"/>
        </w:rPr>
        <w:t> </w:t>
      </w:r>
      <w:r>
        <w:rPr>
          <w:color w:val="231F20"/>
          <w:w w:val="105"/>
        </w:rPr>
        <w:t>además</w:t>
      </w:r>
      <w:r>
        <w:rPr>
          <w:color w:val="231F20"/>
          <w:spacing w:val="-40"/>
          <w:w w:val="105"/>
        </w:rPr>
        <w:t> </w:t>
      </w:r>
      <w:r>
        <w:rPr>
          <w:color w:val="231F20"/>
          <w:w w:val="105"/>
        </w:rPr>
        <w:t>de</w:t>
      </w:r>
      <w:r>
        <w:rPr>
          <w:color w:val="231F20"/>
          <w:spacing w:val="-40"/>
          <w:w w:val="105"/>
        </w:rPr>
        <w:t> </w:t>
      </w:r>
      <w:r>
        <w:rPr>
          <w:color w:val="231F20"/>
          <w:w w:val="105"/>
        </w:rPr>
        <w:t>esa</w:t>
      </w:r>
      <w:r>
        <w:rPr>
          <w:color w:val="231F20"/>
          <w:spacing w:val="-40"/>
          <w:w w:val="105"/>
        </w:rPr>
        <w:t> </w:t>
      </w:r>
      <w:r>
        <w:rPr>
          <w:color w:val="231F20"/>
          <w:w w:val="105"/>
        </w:rPr>
        <w:t>opción</w:t>
      </w:r>
      <w:r>
        <w:rPr>
          <w:color w:val="231F20"/>
          <w:spacing w:val="-40"/>
          <w:w w:val="105"/>
        </w:rPr>
        <w:t> </w:t>
      </w:r>
      <w:r>
        <w:rPr>
          <w:color w:val="231F20"/>
          <w:w w:val="105"/>
        </w:rPr>
        <w:t>se</w:t>
      </w:r>
      <w:r>
        <w:rPr>
          <w:color w:val="231F20"/>
          <w:spacing w:val="-40"/>
          <w:w w:val="105"/>
        </w:rPr>
        <w:t> </w:t>
      </w:r>
      <w:r>
        <w:rPr>
          <w:color w:val="231F20"/>
          <w:spacing w:val="-3"/>
          <w:w w:val="105"/>
        </w:rPr>
        <w:t>abre</w:t>
      </w:r>
      <w:r>
        <w:rPr>
          <w:color w:val="231F20"/>
          <w:w w:val="105"/>
        </w:rPr>
        <w:t> </w:t>
      </w:r>
      <w:r>
        <w:rPr>
          <w:color w:val="231F20"/>
          <w:w w:val="105"/>
        </w:rPr>
        <w:t>la</w:t>
      </w:r>
      <w:r>
        <w:rPr>
          <w:color w:val="231F20"/>
          <w:spacing w:val="-48"/>
          <w:w w:val="105"/>
        </w:rPr>
        <w:t> </w:t>
      </w:r>
      <w:r>
        <w:rPr>
          <w:color w:val="231F20"/>
          <w:w w:val="105"/>
        </w:rPr>
        <w:t>inquietante</w:t>
      </w:r>
      <w:r>
        <w:rPr>
          <w:color w:val="231F20"/>
          <w:spacing w:val="-48"/>
          <w:w w:val="105"/>
        </w:rPr>
        <w:t> </w:t>
      </w:r>
      <w:r>
        <w:rPr>
          <w:color w:val="231F20"/>
          <w:spacing w:val="-3"/>
          <w:w w:val="105"/>
        </w:rPr>
        <w:t>propuesta</w:t>
      </w:r>
      <w:r>
        <w:rPr>
          <w:color w:val="231F20"/>
          <w:spacing w:val="-48"/>
          <w:w w:val="105"/>
        </w:rPr>
        <w:t> </w:t>
      </w:r>
      <w:r>
        <w:rPr>
          <w:color w:val="231F20"/>
          <w:w w:val="105"/>
        </w:rPr>
        <w:t>de</w:t>
      </w:r>
      <w:r>
        <w:rPr>
          <w:color w:val="231F20"/>
          <w:spacing w:val="-48"/>
          <w:w w:val="105"/>
        </w:rPr>
        <w:t> </w:t>
      </w:r>
      <w:r>
        <w:rPr>
          <w:color w:val="231F20"/>
          <w:w w:val="105"/>
        </w:rPr>
        <w:t>un</w:t>
      </w:r>
      <w:r>
        <w:rPr>
          <w:color w:val="231F20"/>
          <w:spacing w:val="-48"/>
          <w:w w:val="105"/>
        </w:rPr>
        <w:t> </w:t>
      </w:r>
      <w:r>
        <w:rPr>
          <w:color w:val="231F20"/>
          <w:w w:val="105"/>
        </w:rPr>
        <w:t>mundo</w:t>
      </w:r>
      <w:r>
        <w:rPr>
          <w:color w:val="231F20"/>
          <w:spacing w:val="-48"/>
          <w:w w:val="105"/>
        </w:rPr>
        <w:t> </w:t>
      </w:r>
      <w:r>
        <w:rPr>
          <w:color w:val="231F20"/>
          <w:w w:val="105"/>
        </w:rPr>
        <w:t>de</w:t>
      </w:r>
      <w:r>
        <w:rPr>
          <w:color w:val="231F20"/>
          <w:spacing w:val="-48"/>
          <w:w w:val="105"/>
        </w:rPr>
        <w:t> </w:t>
      </w:r>
      <w:r>
        <w:rPr>
          <w:rFonts w:ascii="Arial" w:hAnsi="Arial"/>
          <w:i/>
          <w:color w:val="231F20"/>
          <w:spacing w:val="-3"/>
          <w:w w:val="105"/>
        </w:rPr>
        <w:t>derechos</w:t>
      </w:r>
      <w:r>
        <w:rPr>
          <w:rFonts w:ascii="Arial" w:hAnsi="Arial"/>
          <w:i/>
          <w:color w:val="231F20"/>
          <w:spacing w:val="-40"/>
          <w:w w:val="105"/>
        </w:rPr>
        <w:t> </w:t>
      </w:r>
      <w:r>
        <w:rPr>
          <w:rFonts w:ascii="Arial" w:hAnsi="Arial"/>
          <w:i/>
          <w:color w:val="231F20"/>
          <w:w w:val="105"/>
        </w:rPr>
        <w:t>sin</w:t>
      </w:r>
      <w:r>
        <w:rPr>
          <w:rFonts w:ascii="Arial" w:hAnsi="Arial"/>
          <w:i/>
          <w:color w:val="231F20"/>
          <w:spacing w:val="-40"/>
          <w:w w:val="105"/>
        </w:rPr>
        <w:t> </w:t>
      </w:r>
      <w:r>
        <w:rPr>
          <w:rFonts w:ascii="Arial" w:hAnsi="Arial"/>
          <w:i/>
          <w:color w:val="231F20"/>
          <w:w w:val="105"/>
        </w:rPr>
        <w:t>ciudadanía</w:t>
      </w:r>
      <w:r>
        <w:rPr>
          <w:color w:val="231F20"/>
          <w:w w:val="105"/>
        </w:rPr>
        <w:t>,</w:t>
      </w:r>
      <w:r>
        <w:rPr>
          <w:color w:val="231F20"/>
          <w:spacing w:val="-48"/>
          <w:w w:val="105"/>
        </w:rPr>
        <w:t> </w:t>
      </w:r>
      <w:r>
        <w:rPr>
          <w:color w:val="231F20"/>
          <w:w w:val="105"/>
        </w:rPr>
        <w:t>de</w:t>
      </w:r>
      <w:r>
        <w:rPr>
          <w:color w:val="231F20"/>
          <w:spacing w:val="-48"/>
          <w:w w:val="105"/>
        </w:rPr>
        <w:t> </w:t>
      </w:r>
      <w:r>
        <w:rPr>
          <w:color w:val="231F20"/>
          <w:w w:val="105"/>
        </w:rPr>
        <w:t>algu-</w:t>
      </w:r>
      <w:r>
        <w:rPr>
          <w:color w:val="231F20"/>
          <w:w w:val="91"/>
        </w:rPr>
        <w:t> </w:t>
      </w:r>
      <w:r>
        <w:rPr>
          <w:color w:val="231F20"/>
          <w:w w:val="105"/>
        </w:rPr>
        <w:t>na</w:t>
      </w:r>
      <w:r>
        <w:rPr>
          <w:color w:val="231F20"/>
          <w:spacing w:val="-54"/>
          <w:w w:val="105"/>
        </w:rPr>
        <w:t> </w:t>
      </w:r>
      <w:r>
        <w:rPr>
          <w:color w:val="231F20"/>
          <w:w w:val="105"/>
        </w:rPr>
        <w:t>forma</w:t>
      </w:r>
      <w:r>
        <w:rPr>
          <w:color w:val="231F20"/>
          <w:spacing w:val="-54"/>
          <w:w w:val="105"/>
        </w:rPr>
        <w:t> </w:t>
      </w:r>
      <w:r>
        <w:rPr>
          <w:color w:val="231F20"/>
          <w:spacing w:val="-3"/>
          <w:w w:val="105"/>
        </w:rPr>
        <w:t>prefigurado</w:t>
      </w:r>
      <w:r>
        <w:rPr>
          <w:color w:val="231F20"/>
          <w:spacing w:val="-54"/>
          <w:w w:val="105"/>
        </w:rPr>
        <w:t> </w:t>
      </w:r>
      <w:r>
        <w:rPr>
          <w:color w:val="231F20"/>
          <w:w w:val="105"/>
        </w:rPr>
        <w:t>en</w:t>
      </w:r>
      <w:r>
        <w:rPr>
          <w:color w:val="231F20"/>
          <w:spacing w:val="-54"/>
          <w:w w:val="105"/>
        </w:rPr>
        <w:t> </w:t>
      </w:r>
      <w:r>
        <w:rPr>
          <w:color w:val="231F20"/>
          <w:w w:val="105"/>
        </w:rPr>
        <w:t>la</w:t>
      </w:r>
      <w:r>
        <w:rPr>
          <w:color w:val="231F20"/>
          <w:spacing w:val="-54"/>
          <w:w w:val="105"/>
        </w:rPr>
        <w:t> </w:t>
      </w:r>
      <w:r>
        <w:rPr>
          <w:color w:val="231F20"/>
          <w:w w:val="105"/>
        </w:rPr>
        <w:t>espectral</w:t>
      </w:r>
      <w:r>
        <w:rPr>
          <w:color w:val="231F20"/>
          <w:spacing w:val="-54"/>
          <w:w w:val="105"/>
        </w:rPr>
        <w:t> </w:t>
      </w:r>
      <w:r>
        <w:rPr>
          <w:color w:val="231F20"/>
          <w:w w:val="105"/>
        </w:rPr>
        <w:t>inconsistencia</w:t>
      </w:r>
      <w:r>
        <w:rPr>
          <w:color w:val="231F20"/>
          <w:spacing w:val="-54"/>
          <w:w w:val="105"/>
        </w:rPr>
        <w:t> </w:t>
      </w:r>
      <w:r>
        <w:rPr>
          <w:color w:val="231F20"/>
          <w:w w:val="105"/>
        </w:rPr>
        <w:t>del</w:t>
      </w:r>
      <w:r>
        <w:rPr>
          <w:color w:val="231F20"/>
          <w:spacing w:val="-54"/>
          <w:w w:val="105"/>
        </w:rPr>
        <w:t> </w:t>
      </w:r>
      <w:r>
        <w:rPr>
          <w:color w:val="231F20"/>
          <w:w w:val="105"/>
        </w:rPr>
        <w:t>nuevo</w:t>
      </w:r>
      <w:r>
        <w:rPr>
          <w:color w:val="231F20"/>
          <w:spacing w:val="-54"/>
          <w:w w:val="105"/>
        </w:rPr>
        <w:t> </w:t>
      </w:r>
      <w:r>
        <w:rPr>
          <w:color w:val="231F20"/>
          <w:w w:val="105"/>
        </w:rPr>
        <w:t>“sujeto</w:t>
      </w:r>
      <w:r>
        <w:rPr>
          <w:color w:val="231F20"/>
          <w:spacing w:val="-54"/>
          <w:w w:val="105"/>
        </w:rPr>
        <w:t> </w:t>
      </w:r>
      <w:r>
        <w:rPr>
          <w:color w:val="231F20"/>
          <w:w w:val="105"/>
        </w:rPr>
        <w:t>huma-</w:t>
      </w:r>
      <w:r>
        <w:rPr>
          <w:color w:val="231F20"/>
          <w:w w:val="91"/>
        </w:rPr>
        <w:t> </w:t>
      </w:r>
      <w:r>
        <w:rPr>
          <w:color w:val="231F20"/>
          <w:w w:val="105"/>
        </w:rPr>
        <w:t>no</w:t>
      </w:r>
      <w:r>
        <w:rPr>
          <w:color w:val="231F20"/>
          <w:spacing w:val="-37"/>
          <w:w w:val="105"/>
        </w:rPr>
        <w:t> </w:t>
      </w:r>
      <w:r>
        <w:rPr>
          <w:color w:val="231F20"/>
          <w:w w:val="105"/>
        </w:rPr>
        <w:t>universal</w:t>
      </w:r>
      <w:r>
        <w:rPr>
          <w:color w:val="231F20"/>
          <w:spacing w:val="-37"/>
          <w:w w:val="105"/>
        </w:rPr>
        <w:t> </w:t>
      </w:r>
      <w:r>
        <w:rPr>
          <w:color w:val="231F20"/>
          <w:w w:val="105"/>
        </w:rPr>
        <w:t>de</w:t>
      </w:r>
      <w:r>
        <w:rPr>
          <w:color w:val="231F20"/>
          <w:spacing w:val="-37"/>
          <w:w w:val="105"/>
        </w:rPr>
        <w:t> </w:t>
      </w:r>
      <w:r>
        <w:rPr>
          <w:color w:val="231F20"/>
          <w:w w:val="105"/>
        </w:rPr>
        <w:t>los</w:t>
      </w:r>
      <w:r>
        <w:rPr>
          <w:color w:val="231F20"/>
          <w:spacing w:val="-37"/>
          <w:w w:val="105"/>
        </w:rPr>
        <w:t> </w:t>
      </w:r>
      <w:r>
        <w:rPr>
          <w:color w:val="231F20"/>
          <w:spacing w:val="-3"/>
          <w:w w:val="105"/>
        </w:rPr>
        <w:t>derechos</w:t>
      </w:r>
      <w:r>
        <w:rPr>
          <w:color w:val="231F20"/>
          <w:spacing w:val="-37"/>
          <w:w w:val="105"/>
        </w:rPr>
        <w:t> </w:t>
      </w:r>
      <w:r>
        <w:rPr>
          <w:color w:val="231F20"/>
          <w:w w:val="105"/>
        </w:rPr>
        <w:t>cosmopolíticos”</w:t>
      </w:r>
      <w:r>
        <w:rPr>
          <w:color w:val="231F20"/>
          <w:spacing w:val="-37"/>
          <w:w w:val="105"/>
        </w:rPr>
        <w:t> </w:t>
      </w:r>
      <w:r>
        <w:rPr>
          <w:color w:val="231F20"/>
          <w:w w:val="105"/>
        </w:rPr>
        <w:t>descrito</w:t>
      </w:r>
      <w:r>
        <w:rPr>
          <w:color w:val="231F20"/>
          <w:spacing w:val="-37"/>
          <w:w w:val="105"/>
        </w:rPr>
        <w:t> </w:t>
      </w:r>
      <w:r>
        <w:rPr>
          <w:color w:val="231F20"/>
          <w:w w:val="105"/>
        </w:rPr>
        <w:t>por</w:t>
      </w:r>
      <w:r>
        <w:rPr>
          <w:color w:val="231F20"/>
          <w:spacing w:val="-37"/>
          <w:w w:val="105"/>
        </w:rPr>
        <w:t> </w:t>
      </w:r>
      <w:r>
        <w:rPr>
          <w:color w:val="231F20"/>
          <w:w w:val="105"/>
        </w:rPr>
        <w:t>David</w:t>
      </w:r>
      <w:r>
        <w:rPr>
          <w:color w:val="231F20"/>
          <w:spacing w:val="-37"/>
          <w:w w:val="105"/>
        </w:rPr>
        <w:t> </w:t>
      </w:r>
      <w:r>
        <w:rPr>
          <w:color w:val="231F20"/>
          <w:w w:val="105"/>
        </w:rPr>
        <w:t>Chandler:</w:t>
      </w:r>
    </w:p>
    <w:p>
      <w:pPr>
        <w:pStyle w:val="BodyText"/>
        <w:spacing w:before="10"/>
        <w:rPr>
          <w:sz w:val="22"/>
        </w:rPr>
      </w:pPr>
    </w:p>
    <w:p>
      <w:pPr>
        <w:spacing w:line="220" w:lineRule="exact" w:before="1"/>
        <w:ind w:left="1521" w:right="113" w:firstLine="0"/>
        <w:jc w:val="both"/>
        <w:rPr>
          <w:sz w:val="19"/>
        </w:rPr>
      </w:pPr>
      <w:r>
        <w:rPr>
          <w:color w:val="231F20"/>
          <w:w w:val="105"/>
          <w:sz w:val="19"/>
        </w:rPr>
        <w:t>los nuevos derechos de los ciudadanos cosmopolíticos que se agregan</w:t>
      </w:r>
      <w:r>
        <w:rPr>
          <w:color w:val="231F20"/>
          <w:spacing w:val="-11"/>
          <w:w w:val="105"/>
          <w:sz w:val="19"/>
        </w:rPr>
        <w:t> </w:t>
      </w:r>
      <w:r>
        <w:rPr>
          <w:color w:val="231F20"/>
          <w:w w:val="105"/>
          <w:sz w:val="19"/>
        </w:rPr>
        <w:t>a</w:t>
      </w:r>
      <w:r>
        <w:rPr>
          <w:color w:val="231F20"/>
          <w:spacing w:val="-11"/>
          <w:w w:val="105"/>
          <w:sz w:val="19"/>
        </w:rPr>
        <w:t> </w:t>
      </w:r>
      <w:r>
        <w:rPr>
          <w:color w:val="231F20"/>
          <w:w w:val="105"/>
          <w:sz w:val="19"/>
        </w:rPr>
        <w:t>sus</w:t>
      </w:r>
      <w:r>
        <w:rPr>
          <w:color w:val="231F20"/>
          <w:spacing w:val="-11"/>
          <w:w w:val="105"/>
          <w:sz w:val="19"/>
        </w:rPr>
        <w:t> </w:t>
      </w:r>
      <w:r>
        <w:rPr>
          <w:color w:val="231F20"/>
          <w:w w:val="105"/>
          <w:sz w:val="19"/>
        </w:rPr>
        <w:t>derechos</w:t>
      </w:r>
      <w:r>
        <w:rPr>
          <w:color w:val="231F20"/>
          <w:spacing w:val="-11"/>
          <w:w w:val="105"/>
          <w:sz w:val="19"/>
        </w:rPr>
        <w:t> </w:t>
      </w:r>
      <w:r>
        <w:rPr>
          <w:color w:val="231F20"/>
          <w:w w:val="105"/>
          <w:sz w:val="19"/>
        </w:rPr>
        <w:t>de</w:t>
      </w:r>
      <w:r>
        <w:rPr>
          <w:color w:val="231F20"/>
          <w:spacing w:val="-11"/>
          <w:w w:val="105"/>
          <w:sz w:val="19"/>
        </w:rPr>
        <w:t> </w:t>
      </w:r>
      <w:r>
        <w:rPr>
          <w:color w:val="231F20"/>
          <w:w w:val="105"/>
          <w:sz w:val="19"/>
        </w:rPr>
        <w:t>ciudadanía</w:t>
      </w:r>
      <w:r>
        <w:rPr>
          <w:color w:val="231F20"/>
          <w:spacing w:val="-11"/>
          <w:w w:val="105"/>
          <w:sz w:val="19"/>
        </w:rPr>
        <w:t> </w:t>
      </w:r>
      <w:r>
        <w:rPr>
          <w:color w:val="231F20"/>
          <w:w w:val="105"/>
          <w:sz w:val="19"/>
        </w:rPr>
        <w:t>territorial,</w:t>
      </w:r>
      <w:r>
        <w:rPr>
          <w:color w:val="231F20"/>
          <w:spacing w:val="-11"/>
          <w:w w:val="105"/>
          <w:sz w:val="19"/>
        </w:rPr>
        <w:t> </w:t>
      </w:r>
      <w:r>
        <w:rPr>
          <w:color w:val="231F20"/>
          <w:w w:val="105"/>
          <w:sz w:val="19"/>
        </w:rPr>
        <w:t>no</w:t>
      </w:r>
      <w:r>
        <w:rPr>
          <w:color w:val="231F20"/>
          <w:spacing w:val="-11"/>
          <w:w w:val="105"/>
          <w:sz w:val="19"/>
        </w:rPr>
        <w:t> </w:t>
      </w:r>
      <w:r>
        <w:rPr>
          <w:color w:val="231F20"/>
          <w:w w:val="105"/>
          <w:sz w:val="19"/>
        </w:rPr>
        <w:t>se</w:t>
      </w:r>
      <w:r>
        <w:rPr>
          <w:color w:val="231F20"/>
          <w:spacing w:val="-11"/>
          <w:w w:val="105"/>
          <w:sz w:val="19"/>
        </w:rPr>
        <w:t> </w:t>
      </w:r>
      <w:r>
        <w:rPr>
          <w:color w:val="231F20"/>
          <w:w w:val="105"/>
          <w:sz w:val="19"/>
        </w:rPr>
        <w:t>pueden actuar o ejercer en primera persona y bajo este aspecto cru- cial estos son altamente condicionales. Mientras puede existir el deber de proteger los nuevos derechos del ciudadano cos- mopolítico,</w:t>
      </w:r>
      <w:r>
        <w:rPr>
          <w:color w:val="231F20"/>
          <w:spacing w:val="-10"/>
          <w:w w:val="105"/>
          <w:sz w:val="19"/>
        </w:rPr>
        <w:t> </w:t>
      </w:r>
      <w:r>
        <w:rPr>
          <w:color w:val="231F20"/>
          <w:w w:val="105"/>
          <w:sz w:val="19"/>
        </w:rPr>
        <w:t>el</w:t>
      </w:r>
      <w:r>
        <w:rPr>
          <w:color w:val="231F20"/>
          <w:spacing w:val="-10"/>
          <w:w w:val="105"/>
          <w:sz w:val="19"/>
        </w:rPr>
        <w:t> </w:t>
      </w:r>
      <w:r>
        <w:rPr>
          <w:color w:val="231F20"/>
          <w:w w:val="105"/>
          <w:sz w:val="19"/>
        </w:rPr>
        <w:t>marco</w:t>
      </w:r>
      <w:r>
        <w:rPr>
          <w:color w:val="231F20"/>
          <w:spacing w:val="-10"/>
          <w:w w:val="105"/>
          <w:sz w:val="19"/>
        </w:rPr>
        <w:t> </w:t>
      </w:r>
      <w:r>
        <w:rPr>
          <w:color w:val="231F20"/>
          <w:w w:val="105"/>
          <w:sz w:val="19"/>
        </w:rPr>
        <w:t>cosmopolítico</w:t>
      </w:r>
      <w:r>
        <w:rPr>
          <w:color w:val="231F20"/>
          <w:spacing w:val="-10"/>
          <w:w w:val="105"/>
          <w:sz w:val="19"/>
        </w:rPr>
        <w:t> </w:t>
      </w:r>
      <w:r>
        <w:rPr>
          <w:color w:val="231F20"/>
          <w:w w:val="105"/>
          <w:sz w:val="19"/>
        </w:rPr>
        <w:t>no</w:t>
      </w:r>
      <w:r>
        <w:rPr>
          <w:color w:val="231F20"/>
          <w:spacing w:val="-9"/>
          <w:w w:val="105"/>
          <w:sz w:val="19"/>
        </w:rPr>
        <w:t> </w:t>
      </w:r>
      <w:r>
        <w:rPr>
          <w:color w:val="231F20"/>
          <w:w w:val="105"/>
          <w:sz w:val="19"/>
        </w:rPr>
        <w:t>ofrece</w:t>
      </w:r>
      <w:r>
        <w:rPr>
          <w:color w:val="231F20"/>
          <w:spacing w:val="-10"/>
          <w:w w:val="105"/>
          <w:sz w:val="19"/>
        </w:rPr>
        <w:t> </w:t>
      </w:r>
      <w:r>
        <w:rPr>
          <w:color w:val="231F20"/>
          <w:w w:val="105"/>
          <w:sz w:val="19"/>
        </w:rPr>
        <w:t>un</w:t>
      </w:r>
      <w:r>
        <w:rPr>
          <w:color w:val="231F20"/>
          <w:spacing w:val="-10"/>
          <w:w w:val="105"/>
          <w:sz w:val="19"/>
        </w:rPr>
        <w:t> </w:t>
      </w:r>
      <w:r>
        <w:rPr>
          <w:color w:val="231F20"/>
          <w:w w:val="105"/>
          <w:sz w:val="19"/>
        </w:rPr>
        <w:t>mecanismo</w:t>
      </w:r>
      <w:r>
        <w:rPr>
          <w:color w:val="231F20"/>
          <w:spacing w:val="-9"/>
          <w:w w:val="105"/>
          <w:sz w:val="19"/>
        </w:rPr>
        <w:t> </w:t>
      </w:r>
      <w:r>
        <w:rPr>
          <w:color w:val="231F20"/>
          <w:w w:val="105"/>
          <w:sz w:val="19"/>
        </w:rPr>
        <w:t>de </w:t>
      </w:r>
      <w:r>
        <w:rPr>
          <w:rFonts w:ascii="Arial" w:hAnsi="Arial"/>
          <w:i/>
          <w:color w:val="231F20"/>
          <w:w w:val="105"/>
          <w:sz w:val="19"/>
        </w:rPr>
        <w:t>accountability </w:t>
      </w:r>
      <w:r>
        <w:rPr>
          <w:color w:val="231F20"/>
          <w:w w:val="105"/>
          <w:sz w:val="19"/>
        </w:rPr>
        <w:t>para dar un contenido a estos derechos. No hay una</w:t>
      </w:r>
      <w:r>
        <w:rPr>
          <w:color w:val="231F20"/>
          <w:spacing w:val="-17"/>
          <w:w w:val="105"/>
          <w:sz w:val="19"/>
        </w:rPr>
        <w:t> </w:t>
      </w:r>
      <w:r>
        <w:rPr>
          <w:color w:val="231F20"/>
          <w:w w:val="105"/>
          <w:sz w:val="19"/>
        </w:rPr>
        <w:t>relación</w:t>
      </w:r>
      <w:r>
        <w:rPr>
          <w:color w:val="231F20"/>
          <w:spacing w:val="-17"/>
          <w:w w:val="105"/>
          <w:sz w:val="19"/>
        </w:rPr>
        <w:t> </w:t>
      </w:r>
      <w:r>
        <w:rPr>
          <w:color w:val="231F20"/>
          <w:w w:val="105"/>
          <w:sz w:val="19"/>
        </w:rPr>
        <w:t>entre</w:t>
      </w:r>
      <w:r>
        <w:rPr>
          <w:color w:val="231F20"/>
          <w:spacing w:val="-17"/>
          <w:w w:val="105"/>
          <w:sz w:val="19"/>
        </w:rPr>
        <w:t> </w:t>
      </w:r>
      <w:r>
        <w:rPr>
          <w:color w:val="231F20"/>
          <w:w w:val="105"/>
          <w:sz w:val="19"/>
        </w:rPr>
        <w:t>el</w:t>
      </w:r>
      <w:r>
        <w:rPr>
          <w:color w:val="231F20"/>
          <w:spacing w:val="-17"/>
          <w:w w:val="105"/>
          <w:sz w:val="19"/>
        </w:rPr>
        <w:t> </w:t>
      </w:r>
      <w:r>
        <w:rPr>
          <w:color w:val="231F20"/>
          <w:w w:val="105"/>
          <w:sz w:val="19"/>
        </w:rPr>
        <w:t>“derecho”</w:t>
      </w:r>
      <w:r>
        <w:rPr>
          <w:color w:val="231F20"/>
          <w:spacing w:val="-17"/>
          <w:w w:val="105"/>
          <w:sz w:val="19"/>
        </w:rPr>
        <w:t> </w:t>
      </w:r>
      <w:r>
        <w:rPr>
          <w:color w:val="231F20"/>
          <w:w w:val="105"/>
          <w:sz w:val="19"/>
        </w:rPr>
        <w:t>y</w:t>
      </w:r>
      <w:r>
        <w:rPr>
          <w:color w:val="231F20"/>
          <w:spacing w:val="-17"/>
          <w:w w:val="105"/>
          <w:sz w:val="19"/>
        </w:rPr>
        <w:t> </w:t>
      </w:r>
      <w:r>
        <w:rPr>
          <w:color w:val="231F20"/>
          <w:w w:val="105"/>
          <w:sz w:val="19"/>
        </w:rPr>
        <w:t>el</w:t>
      </w:r>
      <w:r>
        <w:rPr>
          <w:color w:val="231F20"/>
          <w:spacing w:val="-17"/>
          <w:w w:val="105"/>
          <w:sz w:val="19"/>
        </w:rPr>
        <w:t> </w:t>
      </w:r>
      <w:r>
        <w:rPr>
          <w:color w:val="231F20"/>
          <w:w w:val="105"/>
          <w:sz w:val="19"/>
        </w:rPr>
        <w:t>“deber”</w:t>
      </w:r>
      <w:r>
        <w:rPr>
          <w:color w:val="231F20"/>
          <w:spacing w:val="-17"/>
          <w:w w:val="105"/>
          <w:sz w:val="19"/>
        </w:rPr>
        <w:t> </w:t>
      </w:r>
      <w:r>
        <w:rPr>
          <w:color w:val="231F20"/>
          <w:w w:val="105"/>
          <w:sz w:val="19"/>
        </w:rPr>
        <w:t>de</w:t>
      </w:r>
      <w:r>
        <w:rPr>
          <w:color w:val="231F20"/>
          <w:spacing w:val="-17"/>
          <w:w w:val="105"/>
          <w:sz w:val="19"/>
        </w:rPr>
        <w:t> </w:t>
      </w:r>
      <w:r>
        <w:rPr>
          <w:color w:val="231F20"/>
          <w:w w:val="105"/>
          <w:sz w:val="19"/>
        </w:rPr>
        <w:t>su</w:t>
      </w:r>
      <w:r>
        <w:rPr>
          <w:color w:val="231F20"/>
          <w:spacing w:val="-17"/>
          <w:w w:val="105"/>
          <w:sz w:val="19"/>
        </w:rPr>
        <w:t> </w:t>
      </w:r>
      <w:r>
        <w:rPr>
          <w:color w:val="231F20"/>
          <w:w w:val="105"/>
          <w:sz w:val="19"/>
        </w:rPr>
        <w:t>situación.</w:t>
      </w:r>
      <w:r>
        <w:rPr>
          <w:color w:val="231F20"/>
          <w:spacing w:val="-17"/>
          <w:w w:val="105"/>
          <w:sz w:val="19"/>
        </w:rPr>
        <w:t> </w:t>
      </w:r>
      <w:r>
        <w:rPr>
          <w:color w:val="231F20"/>
          <w:w w:val="105"/>
          <w:sz w:val="19"/>
        </w:rPr>
        <w:t>Los derechos</w:t>
      </w:r>
      <w:r>
        <w:rPr>
          <w:color w:val="231F20"/>
          <w:spacing w:val="-16"/>
          <w:w w:val="105"/>
          <w:sz w:val="19"/>
        </w:rPr>
        <w:t> </w:t>
      </w:r>
      <w:r>
        <w:rPr>
          <w:color w:val="231F20"/>
          <w:w w:val="105"/>
          <w:sz w:val="19"/>
        </w:rPr>
        <w:t>adicionales</w:t>
      </w:r>
      <w:r>
        <w:rPr>
          <w:color w:val="231F20"/>
          <w:spacing w:val="-16"/>
          <w:w w:val="105"/>
          <w:sz w:val="19"/>
        </w:rPr>
        <w:t> </w:t>
      </w:r>
      <w:r>
        <w:rPr>
          <w:color w:val="231F20"/>
          <w:w w:val="105"/>
          <w:sz w:val="19"/>
        </w:rPr>
        <w:t>sostenidos</w:t>
      </w:r>
      <w:r>
        <w:rPr>
          <w:color w:val="231F20"/>
          <w:spacing w:val="-16"/>
          <w:w w:val="105"/>
          <w:sz w:val="19"/>
        </w:rPr>
        <w:t> </w:t>
      </w:r>
      <w:r>
        <w:rPr>
          <w:color w:val="231F20"/>
          <w:w w:val="105"/>
          <w:sz w:val="19"/>
        </w:rPr>
        <w:t>por</w:t>
      </w:r>
      <w:r>
        <w:rPr>
          <w:color w:val="231F20"/>
          <w:spacing w:val="-16"/>
          <w:w w:val="105"/>
          <w:sz w:val="19"/>
        </w:rPr>
        <w:t> </w:t>
      </w:r>
      <w:r>
        <w:rPr>
          <w:color w:val="231F20"/>
          <w:w w:val="105"/>
          <w:sz w:val="19"/>
        </w:rPr>
        <w:t>el</w:t>
      </w:r>
      <w:r>
        <w:rPr>
          <w:color w:val="231F20"/>
          <w:spacing w:val="-16"/>
          <w:w w:val="105"/>
          <w:sz w:val="19"/>
        </w:rPr>
        <w:t> </w:t>
      </w:r>
      <w:r>
        <w:rPr>
          <w:color w:val="231F20"/>
          <w:w w:val="105"/>
          <w:sz w:val="19"/>
        </w:rPr>
        <w:t>marco</w:t>
      </w:r>
      <w:r>
        <w:rPr>
          <w:color w:val="231F20"/>
          <w:spacing w:val="-16"/>
          <w:w w:val="105"/>
          <w:sz w:val="19"/>
        </w:rPr>
        <w:t> </w:t>
      </w:r>
      <w:r>
        <w:rPr>
          <w:color w:val="231F20"/>
          <w:w w:val="105"/>
          <w:sz w:val="19"/>
        </w:rPr>
        <w:t>de</w:t>
      </w:r>
      <w:r>
        <w:rPr>
          <w:color w:val="231F20"/>
          <w:spacing w:val="-16"/>
          <w:w w:val="105"/>
          <w:sz w:val="19"/>
        </w:rPr>
        <w:t> </w:t>
      </w:r>
      <w:r>
        <w:rPr>
          <w:color w:val="231F20"/>
          <w:w w:val="105"/>
          <w:sz w:val="19"/>
        </w:rPr>
        <w:t>la</w:t>
      </w:r>
      <w:r>
        <w:rPr>
          <w:color w:val="231F20"/>
          <w:spacing w:val="-16"/>
          <w:w w:val="105"/>
          <w:sz w:val="19"/>
        </w:rPr>
        <w:t> </w:t>
      </w:r>
      <w:r>
        <w:rPr>
          <w:color w:val="231F20"/>
          <w:w w:val="105"/>
          <w:sz w:val="19"/>
        </w:rPr>
        <w:t>cosmopolíti- ca</w:t>
      </w:r>
      <w:r>
        <w:rPr>
          <w:color w:val="231F20"/>
          <w:spacing w:val="-34"/>
          <w:w w:val="105"/>
          <w:sz w:val="19"/>
        </w:rPr>
        <w:t> </w:t>
      </w:r>
      <w:r>
        <w:rPr>
          <w:color w:val="231F20"/>
          <w:w w:val="105"/>
          <w:sz w:val="19"/>
        </w:rPr>
        <w:t>resultan</w:t>
      </w:r>
      <w:r>
        <w:rPr>
          <w:color w:val="231F20"/>
          <w:spacing w:val="-34"/>
          <w:w w:val="105"/>
          <w:sz w:val="19"/>
        </w:rPr>
        <w:t> </w:t>
      </w:r>
      <w:r>
        <w:rPr>
          <w:color w:val="231F20"/>
          <w:w w:val="105"/>
          <w:sz w:val="19"/>
        </w:rPr>
        <w:t>ser</w:t>
      </w:r>
      <w:r>
        <w:rPr>
          <w:color w:val="231F20"/>
          <w:spacing w:val="-34"/>
          <w:w w:val="105"/>
          <w:sz w:val="19"/>
        </w:rPr>
        <w:t> </w:t>
      </w:r>
      <w:r>
        <w:rPr>
          <w:color w:val="231F20"/>
          <w:w w:val="105"/>
          <w:sz w:val="19"/>
        </w:rPr>
        <w:t>una</w:t>
      </w:r>
      <w:r>
        <w:rPr>
          <w:color w:val="231F20"/>
          <w:spacing w:val="-34"/>
          <w:w w:val="105"/>
          <w:sz w:val="19"/>
        </w:rPr>
        <w:t> </w:t>
      </w:r>
      <w:r>
        <w:rPr>
          <w:color w:val="231F20"/>
          <w:w w:val="105"/>
          <w:sz w:val="19"/>
        </w:rPr>
        <w:t>quimera</w:t>
      </w:r>
      <w:r>
        <w:rPr>
          <w:color w:val="231F20"/>
          <w:w w:val="105"/>
          <w:position w:val="7"/>
          <w:sz w:val="11"/>
        </w:rPr>
        <w:t>71</w:t>
      </w:r>
      <w:r>
        <w:rPr>
          <w:color w:val="231F20"/>
          <w:w w:val="105"/>
          <w:sz w:val="19"/>
        </w:rPr>
        <w:t>.</w:t>
      </w:r>
    </w:p>
    <w:p>
      <w:pPr>
        <w:pStyle w:val="BodyText"/>
        <w:spacing w:before="11"/>
        <w:rPr>
          <w:sz w:val="23"/>
        </w:rPr>
      </w:pPr>
    </w:p>
    <w:p>
      <w:pPr>
        <w:pStyle w:val="BodyText"/>
        <w:spacing w:line="247" w:lineRule="auto"/>
        <w:ind w:left="64" w:right="115"/>
        <w:jc w:val="right"/>
      </w:pPr>
      <w:r>
        <w:rPr>
          <w:color w:val="231F20"/>
        </w:rPr>
        <w:t>En la base de este tipo de análisis </w:t>
      </w:r>
      <w:r>
        <w:rPr>
          <w:color w:val="231F20"/>
          <w:spacing w:val="-5"/>
        </w:rPr>
        <w:t>hay, </w:t>
      </w:r>
      <w:r>
        <w:rPr>
          <w:color w:val="231F20"/>
        </w:rPr>
        <w:t>evidentemente, la tendencia a pen-</w:t>
      </w:r>
      <w:r>
        <w:rPr>
          <w:color w:val="231F20"/>
          <w:w w:val="91"/>
        </w:rPr>
        <w:t> </w:t>
      </w:r>
      <w:r>
        <w:rPr>
          <w:color w:val="231F20"/>
        </w:rPr>
        <w:t>sar en la relación entre derechos humanos y soberanía estatal como  </w:t>
      </w:r>
      <w:r>
        <w:rPr>
          <w:color w:val="231F20"/>
          <w:spacing w:val="50"/>
        </w:rPr>
        <w:t> </w:t>
      </w:r>
      <w:r>
        <w:rPr>
          <w:color w:val="231F20"/>
        </w:rPr>
        <w:t>una</w:t>
      </w:r>
    </w:p>
    <w:p>
      <w:pPr>
        <w:pStyle w:val="BodyText"/>
        <w:spacing w:before="3"/>
        <w:rPr>
          <w:sz w:val="23"/>
        </w:rPr>
      </w:pPr>
      <w:r>
        <w:rPr/>
        <w:pict>
          <v:line style="position:absolute;mso-position-horizontal-relative:page;mso-position-vertical-relative:paragraph;z-index:8008;mso-wrap-distance-left:0;mso-wrap-distance-right:0" from="65.196899pt,16.160587pt" to="178.582899pt,16.160587pt" stroked="true" strokeweight=".3pt" strokecolor="#231f20">
            <w10:wrap type="topAndBottom"/>
          </v:line>
        </w:pict>
      </w:r>
    </w:p>
    <w:p>
      <w:pPr>
        <w:spacing w:line="204" w:lineRule="exact" w:before="8"/>
        <w:ind w:left="103" w:right="115" w:firstLine="0"/>
        <w:jc w:val="both"/>
        <w:rPr>
          <w:rFonts w:ascii="Calibri" w:hAnsi="Calibri"/>
          <w:sz w:val="17"/>
        </w:rPr>
      </w:pPr>
      <w:r>
        <w:rPr>
          <w:rFonts w:ascii="Calibri" w:hAnsi="Calibri"/>
          <w:color w:val="231F20"/>
          <w:w w:val="105"/>
          <w:position w:val="6"/>
          <w:sz w:val="10"/>
        </w:rPr>
        <w:t>67</w:t>
      </w:r>
      <w:r>
        <w:rPr>
          <w:rFonts w:ascii="Calibri" w:hAnsi="Calibri"/>
          <w:color w:val="231F20"/>
          <w:spacing w:val="9"/>
          <w:w w:val="105"/>
          <w:position w:val="6"/>
          <w:sz w:val="10"/>
        </w:rPr>
        <w:t> </w:t>
      </w:r>
      <w:r>
        <w:rPr>
          <w:rFonts w:ascii="Calibri" w:hAnsi="Calibri"/>
          <w:color w:val="231F20"/>
          <w:w w:val="105"/>
          <w:sz w:val="17"/>
        </w:rPr>
        <w:t>Devetak,</w:t>
      </w:r>
      <w:r>
        <w:rPr>
          <w:rFonts w:ascii="Calibri" w:hAnsi="Calibri"/>
          <w:color w:val="231F20"/>
          <w:spacing w:val="-7"/>
          <w:w w:val="105"/>
          <w:sz w:val="17"/>
        </w:rPr>
        <w:t> </w:t>
      </w:r>
      <w:r>
        <w:rPr>
          <w:rFonts w:ascii="Calibri" w:hAnsi="Calibri"/>
          <w:color w:val="231F20"/>
          <w:w w:val="105"/>
          <w:sz w:val="17"/>
        </w:rPr>
        <w:t>p.</w:t>
      </w:r>
      <w:r>
        <w:rPr>
          <w:rFonts w:ascii="Calibri" w:hAnsi="Calibri"/>
          <w:color w:val="231F20"/>
          <w:spacing w:val="-7"/>
          <w:w w:val="105"/>
          <w:sz w:val="17"/>
        </w:rPr>
        <w:t> </w:t>
      </w:r>
      <w:r>
        <w:rPr>
          <w:rFonts w:ascii="Calibri" w:hAnsi="Calibri"/>
          <w:color w:val="231F20"/>
          <w:w w:val="105"/>
          <w:sz w:val="17"/>
        </w:rPr>
        <w:t>160.</w:t>
      </w:r>
      <w:r>
        <w:rPr>
          <w:rFonts w:ascii="Calibri" w:hAnsi="Calibri"/>
          <w:color w:val="231F20"/>
          <w:spacing w:val="-7"/>
          <w:w w:val="105"/>
          <w:sz w:val="17"/>
        </w:rPr>
        <w:t> </w:t>
      </w:r>
      <w:r>
        <w:rPr>
          <w:rFonts w:ascii="Calibri" w:hAnsi="Calibri"/>
          <w:color w:val="231F20"/>
          <w:w w:val="105"/>
          <w:sz w:val="17"/>
        </w:rPr>
        <w:t>Sobre</w:t>
      </w:r>
      <w:r>
        <w:rPr>
          <w:rFonts w:ascii="Calibri" w:hAnsi="Calibri"/>
          <w:color w:val="231F20"/>
          <w:spacing w:val="-7"/>
          <w:w w:val="105"/>
          <w:sz w:val="17"/>
        </w:rPr>
        <w:t> </w:t>
      </w:r>
      <w:r>
        <w:rPr>
          <w:rFonts w:ascii="Calibri" w:hAnsi="Calibri"/>
          <w:color w:val="231F20"/>
          <w:w w:val="105"/>
          <w:sz w:val="17"/>
        </w:rPr>
        <w:t>las</w:t>
      </w:r>
      <w:r>
        <w:rPr>
          <w:rFonts w:ascii="Calibri" w:hAnsi="Calibri"/>
          <w:color w:val="231F20"/>
          <w:spacing w:val="-7"/>
          <w:w w:val="105"/>
          <w:sz w:val="17"/>
        </w:rPr>
        <w:t> </w:t>
      </w:r>
      <w:r>
        <w:rPr>
          <w:rFonts w:ascii="Calibri" w:hAnsi="Calibri"/>
          <w:color w:val="231F20"/>
          <w:w w:val="105"/>
          <w:sz w:val="17"/>
        </w:rPr>
        <w:t>relevantes</w:t>
      </w:r>
      <w:r>
        <w:rPr>
          <w:rFonts w:ascii="Calibri" w:hAnsi="Calibri"/>
          <w:color w:val="231F20"/>
          <w:spacing w:val="-7"/>
          <w:w w:val="105"/>
          <w:sz w:val="17"/>
        </w:rPr>
        <w:t> </w:t>
      </w:r>
      <w:r>
        <w:rPr>
          <w:rFonts w:ascii="Calibri" w:hAnsi="Calibri"/>
          <w:color w:val="231F20"/>
          <w:w w:val="105"/>
          <w:sz w:val="17"/>
        </w:rPr>
        <w:t>diferencias</w:t>
      </w:r>
      <w:r>
        <w:rPr>
          <w:rFonts w:ascii="Calibri" w:hAnsi="Calibri"/>
          <w:color w:val="231F20"/>
          <w:spacing w:val="-7"/>
          <w:w w:val="105"/>
          <w:sz w:val="17"/>
        </w:rPr>
        <w:t> </w:t>
      </w:r>
      <w:r>
        <w:rPr>
          <w:rFonts w:ascii="Calibri" w:hAnsi="Calibri"/>
          <w:color w:val="231F20"/>
          <w:w w:val="105"/>
          <w:sz w:val="17"/>
        </w:rPr>
        <w:t>existentes</w:t>
      </w:r>
      <w:r>
        <w:rPr>
          <w:rFonts w:ascii="Calibri" w:hAnsi="Calibri"/>
          <w:color w:val="231F20"/>
          <w:spacing w:val="-7"/>
          <w:w w:val="105"/>
          <w:sz w:val="17"/>
        </w:rPr>
        <w:t> </w:t>
      </w:r>
      <w:r>
        <w:rPr>
          <w:rFonts w:ascii="Calibri" w:hAnsi="Calibri"/>
          <w:color w:val="231F20"/>
          <w:w w:val="105"/>
          <w:sz w:val="17"/>
        </w:rPr>
        <w:t>entre</w:t>
      </w:r>
      <w:r>
        <w:rPr>
          <w:rFonts w:ascii="Calibri" w:hAnsi="Calibri"/>
          <w:color w:val="231F20"/>
          <w:spacing w:val="-7"/>
          <w:w w:val="105"/>
          <w:sz w:val="17"/>
        </w:rPr>
        <w:t> </w:t>
      </w:r>
      <w:r>
        <w:rPr>
          <w:rFonts w:ascii="Calibri" w:hAnsi="Calibri"/>
          <w:color w:val="231F20"/>
          <w:w w:val="105"/>
          <w:sz w:val="17"/>
        </w:rPr>
        <w:t>la</w:t>
      </w:r>
      <w:r>
        <w:rPr>
          <w:rFonts w:ascii="Calibri" w:hAnsi="Calibri"/>
          <w:color w:val="231F20"/>
          <w:spacing w:val="-7"/>
          <w:w w:val="105"/>
          <w:sz w:val="17"/>
        </w:rPr>
        <w:t> </w:t>
      </w:r>
      <w:r>
        <w:rPr>
          <w:rFonts w:ascii="Calibri" w:hAnsi="Calibri"/>
          <w:color w:val="231F20"/>
          <w:w w:val="105"/>
          <w:sz w:val="17"/>
        </w:rPr>
        <w:t>concepción</w:t>
      </w:r>
      <w:r>
        <w:rPr>
          <w:rFonts w:ascii="Calibri" w:hAnsi="Calibri"/>
          <w:color w:val="231F20"/>
          <w:spacing w:val="-7"/>
          <w:w w:val="105"/>
          <w:sz w:val="17"/>
        </w:rPr>
        <w:t> </w:t>
      </w:r>
      <w:r>
        <w:rPr>
          <w:rFonts w:ascii="Calibri" w:hAnsi="Calibri"/>
          <w:color w:val="231F20"/>
          <w:w w:val="105"/>
          <w:sz w:val="17"/>
        </w:rPr>
        <w:t>original</w:t>
      </w:r>
      <w:r>
        <w:rPr>
          <w:rFonts w:ascii="Calibri" w:hAnsi="Calibri"/>
          <w:color w:val="231F20"/>
          <w:spacing w:val="-7"/>
          <w:w w:val="105"/>
          <w:sz w:val="17"/>
        </w:rPr>
        <w:t> </w:t>
      </w:r>
      <w:r>
        <w:rPr>
          <w:rFonts w:ascii="Calibri" w:hAnsi="Calibri"/>
          <w:color w:val="231F20"/>
          <w:w w:val="105"/>
          <w:sz w:val="17"/>
        </w:rPr>
        <w:t>schmi- tiana de la soberanía y aquella de sus seguidores radicales, véase Chandler, “The Revival of Carl Schmitt”,</w:t>
      </w:r>
      <w:r>
        <w:rPr>
          <w:rFonts w:ascii="Calibri" w:hAnsi="Calibri"/>
          <w:color w:val="231F20"/>
          <w:spacing w:val="-18"/>
          <w:w w:val="105"/>
          <w:sz w:val="17"/>
        </w:rPr>
        <w:t> </w:t>
      </w:r>
      <w:r>
        <w:rPr>
          <w:rFonts w:ascii="Calibri" w:hAnsi="Calibri"/>
          <w:color w:val="231F20"/>
          <w:w w:val="105"/>
          <w:sz w:val="17"/>
        </w:rPr>
        <w:t>pp.</w:t>
      </w:r>
      <w:r>
        <w:rPr>
          <w:rFonts w:ascii="Calibri" w:hAnsi="Calibri"/>
          <w:color w:val="231F20"/>
          <w:spacing w:val="-18"/>
          <w:w w:val="105"/>
          <w:sz w:val="17"/>
        </w:rPr>
        <w:t> </w:t>
      </w:r>
      <w:r>
        <w:rPr>
          <w:rFonts w:ascii="Calibri" w:hAnsi="Calibri"/>
          <w:color w:val="231F20"/>
          <w:w w:val="105"/>
          <w:sz w:val="17"/>
        </w:rPr>
        <w:t>43–44.</w:t>
      </w:r>
    </w:p>
    <w:p>
      <w:pPr>
        <w:spacing w:line="206" w:lineRule="exact" w:before="1"/>
        <w:ind w:left="103" w:right="0" w:firstLine="0"/>
        <w:jc w:val="both"/>
        <w:rPr>
          <w:rFonts w:ascii="Calibri" w:hAnsi="Calibri"/>
          <w:sz w:val="17"/>
        </w:rPr>
      </w:pPr>
      <w:r>
        <w:rPr>
          <w:rFonts w:ascii="Calibri" w:hAnsi="Calibri"/>
          <w:color w:val="231F20"/>
          <w:position w:val="6"/>
          <w:sz w:val="10"/>
        </w:rPr>
        <w:t>68 </w:t>
      </w:r>
      <w:r>
        <w:rPr>
          <w:rFonts w:ascii="Calibri" w:hAnsi="Calibri"/>
          <w:color w:val="231F20"/>
          <w:sz w:val="17"/>
        </w:rPr>
        <w:t>Monod, </w:t>
      </w:r>
      <w:r>
        <w:rPr>
          <w:rFonts w:ascii="Calibri" w:hAnsi="Calibri"/>
          <w:i/>
          <w:color w:val="231F20"/>
          <w:sz w:val="17"/>
        </w:rPr>
        <w:t>Penser l’ennemi, affronter l’exception</w:t>
      </w:r>
      <w:r>
        <w:rPr>
          <w:rFonts w:ascii="Calibri" w:hAnsi="Calibri"/>
          <w:color w:val="231F20"/>
          <w:sz w:val="17"/>
        </w:rPr>
        <w:t>, pp. 95–96.</w:t>
      </w:r>
    </w:p>
    <w:p>
      <w:pPr>
        <w:spacing w:line="235" w:lineRule="auto" w:before="1"/>
        <w:ind w:left="103" w:right="115" w:firstLine="0"/>
        <w:jc w:val="both"/>
        <w:rPr>
          <w:rFonts w:ascii="Calibri" w:hAnsi="Calibri"/>
          <w:sz w:val="17"/>
        </w:rPr>
      </w:pPr>
      <w:r>
        <w:rPr>
          <w:rFonts w:ascii="Calibri" w:hAnsi="Calibri"/>
          <w:color w:val="231F20"/>
          <w:position w:val="6"/>
          <w:sz w:val="10"/>
        </w:rPr>
        <w:t>69 </w:t>
      </w:r>
      <w:r>
        <w:rPr>
          <w:rFonts w:ascii="Calibri" w:hAnsi="Calibri"/>
          <w:color w:val="231F20"/>
          <w:sz w:val="17"/>
        </w:rPr>
        <w:t>A. J. Bellamy, “Power, rules and argument: new approaches to humanitarian intervention”, </w:t>
      </w:r>
      <w:r>
        <w:rPr>
          <w:rFonts w:ascii="Calibri" w:hAnsi="Calibri"/>
          <w:i/>
          <w:color w:val="231F20"/>
          <w:sz w:val="17"/>
        </w:rPr>
        <w:t>Aus- </w:t>
      </w:r>
      <w:r>
        <w:rPr>
          <w:rFonts w:ascii="Calibri" w:hAnsi="Calibri"/>
          <w:i/>
          <w:color w:val="231F20"/>
          <w:sz w:val="17"/>
        </w:rPr>
        <w:t>tralian Journal of International Affairs</w:t>
      </w:r>
      <w:r>
        <w:rPr>
          <w:rFonts w:ascii="Calibri" w:hAnsi="Calibri"/>
          <w:color w:val="231F20"/>
          <w:sz w:val="17"/>
        </w:rPr>
        <w:t>, no. 3, 2003, pp. 499–512.</w:t>
      </w:r>
    </w:p>
    <w:p>
      <w:pPr>
        <w:spacing w:line="235" w:lineRule="auto" w:before="0"/>
        <w:ind w:left="103" w:right="115" w:firstLine="0"/>
        <w:jc w:val="both"/>
        <w:rPr>
          <w:rFonts w:ascii="Calibri"/>
          <w:sz w:val="17"/>
        </w:rPr>
      </w:pPr>
      <w:r>
        <w:rPr>
          <w:rFonts w:ascii="Calibri"/>
          <w:color w:val="231F20"/>
          <w:position w:val="6"/>
          <w:sz w:val="10"/>
        </w:rPr>
        <w:t>70 </w:t>
      </w:r>
      <w:r>
        <w:rPr>
          <w:rFonts w:ascii="Calibri"/>
          <w:color w:val="231F20"/>
          <w:sz w:val="17"/>
        </w:rPr>
        <w:t>C. Mouffe, </w:t>
      </w:r>
      <w:r>
        <w:rPr>
          <w:rFonts w:ascii="Calibri"/>
          <w:i/>
          <w:color w:val="231F20"/>
          <w:sz w:val="17"/>
        </w:rPr>
        <w:t>On the Political</w:t>
      </w:r>
      <w:r>
        <w:rPr>
          <w:rFonts w:ascii="Calibri"/>
          <w:color w:val="231F20"/>
          <w:sz w:val="17"/>
        </w:rPr>
        <w:t>, London, Routledge, 2005 (trad. it. </w:t>
      </w:r>
      <w:r>
        <w:rPr>
          <w:rFonts w:ascii="Calibri"/>
          <w:i/>
          <w:color w:val="231F20"/>
          <w:sz w:val="17"/>
        </w:rPr>
        <w:t>Sul politico</w:t>
      </w:r>
      <w:r>
        <w:rPr>
          <w:rFonts w:ascii="Calibri"/>
          <w:color w:val="231F20"/>
          <w:sz w:val="17"/>
        </w:rPr>
        <w:t>, Milano, Bruno Monda- dori, 2007, p. 116).</w:t>
      </w:r>
    </w:p>
    <w:p>
      <w:pPr>
        <w:spacing w:line="235" w:lineRule="auto" w:before="0"/>
        <w:ind w:left="103" w:right="115" w:firstLine="0"/>
        <w:jc w:val="both"/>
        <w:rPr>
          <w:rFonts w:ascii="Calibri" w:hAnsi="Calibri"/>
          <w:sz w:val="17"/>
        </w:rPr>
      </w:pPr>
      <w:r>
        <w:rPr>
          <w:rFonts w:ascii="Calibri" w:hAnsi="Calibri"/>
          <w:color w:val="231F20"/>
          <w:w w:val="105"/>
          <w:position w:val="6"/>
          <w:sz w:val="10"/>
        </w:rPr>
        <w:t>71</w:t>
      </w:r>
      <w:r>
        <w:rPr>
          <w:rFonts w:ascii="Calibri" w:hAnsi="Calibri"/>
          <w:color w:val="231F20"/>
          <w:spacing w:val="4"/>
          <w:w w:val="105"/>
          <w:position w:val="6"/>
          <w:sz w:val="10"/>
        </w:rPr>
        <w:t> </w:t>
      </w:r>
      <w:r>
        <w:rPr>
          <w:rFonts w:ascii="Calibri" w:hAnsi="Calibri"/>
          <w:color w:val="231F20"/>
          <w:w w:val="105"/>
          <w:sz w:val="17"/>
        </w:rPr>
        <w:t>D.</w:t>
      </w:r>
      <w:r>
        <w:rPr>
          <w:rFonts w:ascii="Calibri" w:hAnsi="Calibri"/>
          <w:color w:val="231F20"/>
          <w:spacing w:val="-13"/>
          <w:w w:val="105"/>
          <w:sz w:val="17"/>
        </w:rPr>
        <w:t> </w:t>
      </w:r>
      <w:r>
        <w:rPr>
          <w:rFonts w:ascii="Calibri" w:hAnsi="Calibri"/>
          <w:color w:val="231F20"/>
          <w:w w:val="105"/>
          <w:sz w:val="17"/>
        </w:rPr>
        <w:t>Chandler,</w:t>
      </w:r>
      <w:r>
        <w:rPr>
          <w:rFonts w:ascii="Calibri" w:hAnsi="Calibri"/>
          <w:color w:val="231F20"/>
          <w:spacing w:val="-13"/>
          <w:w w:val="105"/>
          <w:sz w:val="17"/>
        </w:rPr>
        <w:t> </w:t>
      </w:r>
      <w:r>
        <w:rPr>
          <w:rFonts w:ascii="Calibri" w:hAnsi="Calibri"/>
          <w:color w:val="231F20"/>
          <w:w w:val="105"/>
          <w:sz w:val="17"/>
        </w:rPr>
        <w:t>“New</w:t>
      </w:r>
      <w:r>
        <w:rPr>
          <w:rFonts w:ascii="Calibri" w:hAnsi="Calibri"/>
          <w:color w:val="231F20"/>
          <w:spacing w:val="-13"/>
          <w:w w:val="105"/>
          <w:sz w:val="17"/>
        </w:rPr>
        <w:t> </w:t>
      </w:r>
      <w:r>
        <w:rPr>
          <w:rFonts w:ascii="Calibri" w:hAnsi="Calibri"/>
          <w:color w:val="231F20"/>
          <w:w w:val="105"/>
          <w:sz w:val="17"/>
        </w:rPr>
        <w:t>Rights</w:t>
      </w:r>
      <w:r>
        <w:rPr>
          <w:rFonts w:ascii="Calibri" w:hAnsi="Calibri"/>
          <w:color w:val="231F20"/>
          <w:spacing w:val="-13"/>
          <w:w w:val="105"/>
          <w:sz w:val="17"/>
        </w:rPr>
        <w:t> </w:t>
      </w:r>
      <w:r>
        <w:rPr>
          <w:rFonts w:ascii="Calibri" w:hAnsi="Calibri"/>
          <w:color w:val="231F20"/>
          <w:w w:val="105"/>
          <w:sz w:val="17"/>
        </w:rPr>
        <w:t>for</w:t>
      </w:r>
      <w:r>
        <w:rPr>
          <w:rFonts w:ascii="Calibri" w:hAnsi="Calibri"/>
          <w:color w:val="231F20"/>
          <w:spacing w:val="-13"/>
          <w:w w:val="105"/>
          <w:sz w:val="17"/>
        </w:rPr>
        <w:t> </w:t>
      </w:r>
      <w:r>
        <w:rPr>
          <w:rFonts w:ascii="Calibri" w:hAnsi="Calibri"/>
          <w:color w:val="231F20"/>
          <w:w w:val="105"/>
          <w:sz w:val="17"/>
        </w:rPr>
        <w:t>Old?</w:t>
      </w:r>
      <w:r>
        <w:rPr>
          <w:rFonts w:ascii="Calibri" w:hAnsi="Calibri"/>
          <w:color w:val="231F20"/>
          <w:spacing w:val="-13"/>
          <w:w w:val="105"/>
          <w:sz w:val="17"/>
        </w:rPr>
        <w:t> </w:t>
      </w:r>
      <w:r>
        <w:rPr>
          <w:rFonts w:ascii="Calibri" w:hAnsi="Calibri"/>
          <w:color w:val="231F20"/>
          <w:w w:val="105"/>
          <w:sz w:val="17"/>
        </w:rPr>
        <w:t>Cosmopolitan</w:t>
      </w:r>
      <w:r>
        <w:rPr>
          <w:rFonts w:ascii="Calibri" w:hAnsi="Calibri"/>
          <w:color w:val="231F20"/>
          <w:spacing w:val="-13"/>
          <w:w w:val="105"/>
          <w:sz w:val="17"/>
        </w:rPr>
        <w:t> </w:t>
      </w:r>
      <w:r>
        <w:rPr>
          <w:rFonts w:ascii="Calibri" w:hAnsi="Calibri"/>
          <w:color w:val="231F20"/>
          <w:w w:val="105"/>
          <w:sz w:val="17"/>
        </w:rPr>
        <w:t>Citizenship</w:t>
      </w:r>
      <w:r>
        <w:rPr>
          <w:rFonts w:ascii="Calibri" w:hAnsi="Calibri"/>
          <w:color w:val="231F20"/>
          <w:spacing w:val="-13"/>
          <w:w w:val="105"/>
          <w:sz w:val="17"/>
        </w:rPr>
        <w:t> </w:t>
      </w:r>
      <w:r>
        <w:rPr>
          <w:rFonts w:ascii="Calibri" w:hAnsi="Calibri"/>
          <w:color w:val="231F20"/>
          <w:w w:val="105"/>
          <w:sz w:val="17"/>
        </w:rPr>
        <w:t>and</w:t>
      </w:r>
      <w:r>
        <w:rPr>
          <w:rFonts w:ascii="Calibri" w:hAnsi="Calibri"/>
          <w:color w:val="231F20"/>
          <w:spacing w:val="-13"/>
          <w:w w:val="105"/>
          <w:sz w:val="17"/>
        </w:rPr>
        <w:t> </w:t>
      </w:r>
      <w:r>
        <w:rPr>
          <w:rFonts w:ascii="Calibri" w:hAnsi="Calibri"/>
          <w:color w:val="231F20"/>
          <w:w w:val="105"/>
          <w:sz w:val="17"/>
        </w:rPr>
        <w:t>the</w:t>
      </w:r>
      <w:r>
        <w:rPr>
          <w:rFonts w:ascii="Calibri" w:hAnsi="Calibri"/>
          <w:color w:val="231F20"/>
          <w:spacing w:val="-13"/>
          <w:w w:val="105"/>
          <w:sz w:val="17"/>
        </w:rPr>
        <w:t> </w:t>
      </w:r>
      <w:r>
        <w:rPr>
          <w:rFonts w:ascii="Calibri" w:hAnsi="Calibri"/>
          <w:color w:val="231F20"/>
          <w:w w:val="105"/>
          <w:sz w:val="17"/>
        </w:rPr>
        <w:t>critique</w:t>
      </w:r>
      <w:r>
        <w:rPr>
          <w:rFonts w:ascii="Calibri" w:hAnsi="Calibri"/>
          <w:color w:val="231F20"/>
          <w:spacing w:val="-13"/>
          <w:w w:val="105"/>
          <w:sz w:val="17"/>
        </w:rPr>
        <w:t> </w:t>
      </w:r>
      <w:r>
        <w:rPr>
          <w:rFonts w:ascii="Calibri" w:hAnsi="Calibri"/>
          <w:color w:val="231F20"/>
          <w:w w:val="105"/>
          <w:sz w:val="17"/>
        </w:rPr>
        <w:t>of</w:t>
      </w:r>
      <w:r>
        <w:rPr>
          <w:rFonts w:ascii="Calibri" w:hAnsi="Calibri"/>
          <w:color w:val="231F20"/>
          <w:spacing w:val="-13"/>
          <w:w w:val="105"/>
          <w:sz w:val="17"/>
        </w:rPr>
        <w:t> </w:t>
      </w:r>
      <w:r>
        <w:rPr>
          <w:rFonts w:ascii="Calibri" w:hAnsi="Calibri"/>
          <w:color w:val="231F20"/>
          <w:w w:val="105"/>
          <w:sz w:val="17"/>
        </w:rPr>
        <w:t>State</w:t>
      </w:r>
      <w:r>
        <w:rPr>
          <w:rFonts w:ascii="Calibri" w:hAnsi="Calibri"/>
          <w:color w:val="231F20"/>
          <w:spacing w:val="-13"/>
          <w:w w:val="105"/>
          <w:sz w:val="17"/>
        </w:rPr>
        <w:t> </w:t>
      </w:r>
      <w:r>
        <w:rPr>
          <w:rFonts w:ascii="Calibri" w:hAnsi="Calibri"/>
          <w:color w:val="231F20"/>
          <w:w w:val="105"/>
          <w:sz w:val="17"/>
        </w:rPr>
        <w:t>Sovereign- ty”,</w:t>
      </w:r>
      <w:r>
        <w:rPr>
          <w:rFonts w:ascii="Calibri" w:hAnsi="Calibri"/>
          <w:color w:val="231F20"/>
          <w:spacing w:val="-17"/>
          <w:w w:val="105"/>
          <w:sz w:val="17"/>
        </w:rPr>
        <w:t> </w:t>
      </w:r>
      <w:r>
        <w:rPr>
          <w:rFonts w:ascii="Calibri" w:hAnsi="Calibri"/>
          <w:i/>
          <w:color w:val="231F20"/>
          <w:w w:val="105"/>
          <w:sz w:val="17"/>
        </w:rPr>
        <w:t>Political</w:t>
      </w:r>
      <w:r>
        <w:rPr>
          <w:rFonts w:ascii="Calibri" w:hAnsi="Calibri"/>
          <w:i/>
          <w:color w:val="231F20"/>
          <w:spacing w:val="-18"/>
          <w:w w:val="105"/>
          <w:sz w:val="17"/>
        </w:rPr>
        <w:t> </w:t>
      </w:r>
      <w:r>
        <w:rPr>
          <w:rFonts w:ascii="Calibri" w:hAnsi="Calibri"/>
          <w:i/>
          <w:color w:val="231F20"/>
          <w:w w:val="105"/>
          <w:sz w:val="17"/>
        </w:rPr>
        <w:t>Studies</w:t>
      </w:r>
      <w:r>
        <w:rPr>
          <w:rFonts w:ascii="Calibri" w:hAnsi="Calibri"/>
          <w:color w:val="231F20"/>
          <w:w w:val="105"/>
          <w:sz w:val="17"/>
        </w:rPr>
        <w:t>,</w:t>
      </w:r>
      <w:r>
        <w:rPr>
          <w:rFonts w:ascii="Calibri" w:hAnsi="Calibri"/>
          <w:color w:val="231F20"/>
          <w:spacing w:val="-19"/>
          <w:w w:val="105"/>
          <w:sz w:val="17"/>
        </w:rPr>
        <w:t> </w:t>
      </w:r>
      <w:r>
        <w:rPr>
          <w:rFonts w:ascii="Calibri" w:hAnsi="Calibri"/>
          <w:color w:val="231F20"/>
          <w:w w:val="105"/>
          <w:sz w:val="17"/>
        </w:rPr>
        <w:t>vol.</w:t>
      </w:r>
      <w:r>
        <w:rPr>
          <w:rFonts w:ascii="Calibri" w:hAnsi="Calibri"/>
          <w:color w:val="231F20"/>
          <w:spacing w:val="-17"/>
          <w:w w:val="105"/>
          <w:sz w:val="17"/>
        </w:rPr>
        <w:t> </w:t>
      </w:r>
      <w:r>
        <w:rPr>
          <w:rFonts w:ascii="Calibri" w:hAnsi="Calibri"/>
          <w:color w:val="231F20"/>
          <w:w w:val="105"/>
          <w:sz w:val="17"/>
        </w:rPr>
        <w:t>51,</w:t>
      </w:r>
      <w:r>
        <w:rPr>
          <w:rFonts w:ascii="Calibri" w:hAnsi="Calibri"/>
          <w:color w:val="231F20"/>
          <w:spacing w:val="-17"/>
          <w:w w:val="105"/>
          <w:sz w:val="17"/>
        </w:rPr>
        <w:t> </w:t>
      </w:r>
      <w:r>
        <w:rPr>
          <w:rFonts w:ascii="Calibri" w:hAnsi="Calibri"/>
          <w:color w:val="231F20"/>
          <w:w w:val="105"/>
          <w:sz w:val="17"/>
        </w:rPr>
        <w:t>2003,</w:t>
      </w:r>
      <w:r>
        <w:rPr>
          <w:rFonts w:ascii="Calibri" w:hAnsi="Calibri"/>
          <w:color w:val="231F20"/>
          <w:spacing w:val="-17"/>
          <w:w w:val="105"/>
          <w:sz w:val="17"/>
        </w:rPr>
        <w:t> </w:t>
      </w:r>
      <w:r>
        <w:rPr>
          <w:rFonts w:ascii="Calibri" w:hAnsi="Calibri"/>
          <w:color w:val="231F20"/>
          <w:w w:val="105"/>
          <w:sz w:val="17"/>
        </w:rPr>
        <w:t>pp.</w:t>
      </w:r>
      <w:r>
        <w:rPr>
          <w:rFonts w:ascii="Calibri" w:hAnsi="Calibri"/>
          <w:color w:val="231F20"/>
          <w:spacing w:val="-17"/>
          <w:w w:val="105"/>
          <w:sz w:val="17"/>
        </w:rPr>
        <w:t> </w:t>
      </w:r>
      <w:r>
        <w:rPr>
          <w:rFonts w:ascii="Calibri" w:hAnsi="Calibri"/>
          <w:color w:val="231F20"/>
          <w:w w:val="105"/>
          <w:sz w:val="17"/>
        </w:rPr>
        <w:t>332–349,</w:t>
      </w:r>
      <w:r>
        <w:rPr>
          <w:rFonts w:ascii="Calibri" w:hAnsi="Calibri"/>
          <w:color w:val="231F20"/>
          <w:spacing w:val="-17"/>
          <w:w w:val="105"/>
          <w:sz w:val="17"/>
        </w:rPr>
        <w:t> </w:t>
      </w:r>
      <w:r>
        <w:rPr>
          <w:rFonts w:ascii="Calibri" w:hAnsi="Calibri"/>
          <w:color w:val="231F20"/>
          <w:w w:val="105"/>
          <w:sz w:val="17"/>
        </w:rPr>
        <w:t>in</w:t>
      </w:r>
      <w:r>
        <w:rPr>
          <w:rFonts w:ascii="Calibri" w:hAnsi="Calibri"/>
          <w:color w:val="231F20"/>
          <w:spacing w:val="-17"/>
          <w:w w:val="105"/>
          <w:sz w:val="17"/>
        </w:rPr>
        <w:t> </w:t>
      </w:r>
      <w:r>
        <w:rPr>
          <w:rFonts w:ascii="Calibri" w:hAnsi="Calibri"/>
          <w:color w:val="231F20"/>
          <w:w w:val="105"/>
          <w:sz w:val="17"/>
        </w:rPr>
        <w:t>part.</w:t>
      </w:r>
      <w:r>
        <w:rPr>
          <w:rFonts w:ascii="Calibri" w:hAnsi="Calibri"/>
          <w:color w:val="231F20"/>
          <w:spacing w:val="-17"/>
          <w:w w:val="105"/>
          <w:sz w:val="17"/>
        </w:rPr>
        <w:t> </w:t>
      </w:r>
      <w:r>
        <w:rPr>
          <w:rFonts w:ascii="Calibri" w:hAnsi="Calibri"/>
          <w:color w:val="231F20"/>
          <w:w w:val="105"/>
          <w:sz w:val="17"/>
        </w:rPr>
        <w:t>pp.</w:t>
      </w:r>
      <w:r>
        <w:rPr>
          <w:rFonts w:ascii="Calibri" w:hAnsi="Calibri"/>
          <w:color w:val="231F20"/>
          <w:spacing w:val="-17"/>
          <w:w w:val="105"/>
          <w:sz w:val="17"/>
        </w:rPr>
        <w:t> </w:t>
      </w:r>
      <w:r>
        <w:rPr>
          <w:rFonts w:ascii="Calibri" w:hAnsi="Calibri"/>
          <w:color w:val="231F20"/>
          <w:w w:val="105"/>
          <w:sz w:val="17"/>
        </w:rPr>
        <w:t>342–343.</w:t>
      </w:r>
      <w:r>
        <w:rPr>
          <w:rFonts w:ascii="Calibri" w:hAnsi="Calibri"/>
          <w:color w:val="231F20"/>
          <w:spacing w:val="-17"/>
          <w:w w:val="105"/>
          <w:sz w:val="17"/>
        </w:rPr>
        <w:t> </w:t>
      </w:r>
      <w:r>
        <w:rPr>
          <w:rFonts w:ascii="Calibri" w:hAnsi="Calibri"/>
          <w:color w:val="231F20"/>
          <w:w w:val="105"/>
          <w:sz w:val="17"/>
        </w:rPr>
        <w:t>Sobre</w:t>
      </w:r>
      <w:r>
        <w:rPr>
          <w:rFonts w:ascii="Calibri" w:hAnsi="Calibri"/>
          <w:color w:val="231F20"/>
          <w:spacing w:val="-17"/>
          <w:w w:val="105"/>
          <w:sz w:val="17"/>
        </w:rPr>
        <w:t> </w:t>
      </w:r>
      <w:r>
        <w:rPr>
          <w:rFonts w:ascii="Calibri" w:hAnsi="Calibri"/>
          <w:color w:val="231F20"/>
          <w:w w:val="105"/>
          <w:sz w:val="17"/>
        </w:rPr>
        <w:t>el</w:t>
      </w:r>
      <w:r>
        <w:rPr>
          <w:rFonts w:ascii="Calibri" w:hAnsi="Calibri"/>
          <w:color w:val="231F20"/>
          <w:spacing w:val="-17"/>
          <w:w w:val="105"/>
          <w:sz w:val="17"/>
        </w:rPr>
        <w:t> </w:t>
      </w:r>
      <w:r>
        <w:rPr>
          <w:rFonts w:ascii="Calibri" w:hAnsi="Calibri"/>
          <w:color w:val="231F20"/>
          <w:w w:val="105"/>
          <w:sz w:val="17"/>
        </w:rPr>
        <w:t>tema</w:t>
      </w:r>
      <w:r>
        <w:rPr>
          <w:rFonts w:ascii="Calibri" w:hAnsi="Calibri"/>
          <w:color w:val="231F20"/>
          <w:spacing w:val="-19"/>
          <w:w w:val="105"/>
          <w:sz w:val="17"/>
        </w:rPr>
        <w:t> </w:t>
      </w:r>
      <w:r>
        <w:rPr>
          <w:rFonts w:ascii="Calibri" w:hAnsi="Calibri"/>
          <w:color w:val="231F20"/>
          <w:w w:val="105"/>
          <w:sz w:val="17"/>
        </w:rPr>
        <w:t>véase</w:t>
      </w:r>
      <w:r>
        <w:rPr>
          <w:rFonts w:ascii="Calibri" w:hAnsi="Calibri"/>
          <w:color w:val="231F20"/>
          <w:spacing w:val="-17"/>
          <w:w w:val="105"/>
          <w:sz w:val="17"/>
        </w:rPr>
        <w:t> </w:t>
      </w:r>
      <w:r>
        <w:rPr>
          <w:rFonts w:ascii="Calibri" w:hAnsi="Calibri"/>
          <w:color w:val="231F20"/>
          <w:w w:val="105"/>
          <w:sz w:val="17"/>
        </w:rPr>
        <w:t>también</w:t>
      </w:r>
    </w:p>
    <w:p>
      <w:pPr>
        <w:pStyle w:val="ListParagraph"/>
        <w:numPr>
          <w:ilvl w:val="0"/>
          <w:numId w:val="6"/>
        </w:numPr>
        <w:tabs>
          <w:tab w:pos="295" w:val="left" w:leader="none"/>
        </w:tabs>
        <w:spacing w:line="205" w:lineRule="exact" w:before="0" w:after="0"/>
        <w:ind w:left="294" w:right="0" w:hanging="191"/>
        <w:jc w:val="both"/>
        <w:rPr>
          <w:rFonts w:ascii="Calibri" w:hAnsi="Calibri"/>
          <w:sz w:val="17"/>
        </w:rPr>
      </w:pPr>
      <w:r>
        <w:rPr>
          <w:rFonts w:ascii="Calibri" w:hAnsi="Calibri"/>
          <w:color w:val="231F20"/>
          <w:sz w:val="17"/>
        </w:rPr>
        <w:t>Chandler,</w:t>
      </w:r>
      <w:r>
        <w:rPr>
          <w:rFonts w:ascii="Calibri" w:hAnsi="Calibri"/>
          <w:color w:val="231F20"/>
          <w:spacing w:val="-6"/>
          <w:sz w:val="17"/>
        </w:rPr>
        <w:t> </w:t>
      </w:r>
      <w:r>
        <w:rPr>
          <w:rFonts w:ascii="Calibri" w:hAnsi="Calibri"/>
          <w:i/>
          <w:color w:val="231F20"/>
          <w:sz w:val="17"/>
        </w:rPr>
        <w:t>From</w:t>
      </w:r>
      <w:r>
        <w:rPr>
          <w:rFonts w:ascii="Calibri" w:hAnsi="Calibri"/>
          <w:i/>
          <w:color w:val="231F20"/>
          <w:spacing w:val="-7"/>
          <w:sz w:val="17"/>
        </w:rPr>
        <w:t> </w:t>
      </w:r>
      <w:r>
        <w:rPr>
          <w:rFonts w:ascii="Calibri" w:hAnsi="Calibri"/>
          <w:i/>
          <w:color w:val="231F20"/>
          <w:sz w:val="17"/>
        </w:rPr>
        <w:t>Kosovo</w:t>
      </w:r>
      <w:r>
        <w:rPr>
          <w:rFonts w:ascii="Calibri" w:hAnsi="Calibri"/>
          <w:i/>
          <w:color w:val="231F20"/>
          <w:spacing w:val="-7"/>
          <w:sz w:val="17"/>
        </w:rPr>
        <w:t> </w:t>
      </w:r>
      <w:r>
        <w:rPr>
          <w:rFonts w:ascii="Calibri" w:hAnsi="Calibri"/>
          <w:i/>
          <w:color w:val="231F20"/>
          <w:sz w:val="17"/>
        </w:rPr>
        <w:t>to</w:t>
      </w:r>
      <w:r>
        <w:rPr>
          <w:rFonts w:ascii="Calibri" w:hAnsi="Calibri"/>
          <w:i/>
          <w:color w:val="231F20"/>
          <w:spacing w:val="-7"/>
          <w:sz w:val="17"/>
        </w:rPr>
        <w:t> </w:t>
      </w:r>
      <w:r>
        <w:rPr>
          <w:rFonts w:ascii="Calibri" w:hAnsi="Calibri"/>
          <w:i/>
          <w:color w:val="231F20"/>
          <w:sz w:val="17"/>
        </w:rPr>
        <w:t>Kabul</w:t>
      </w:r>
      <w:r>
        <w:rPr>
          <w:rFonts w:ascii="Calibri" w:hAnsi="Calibri"/>
          <w:color w:val="231F20"/>
          <w:sz w:val="17"/>
        </w:rPr>
        <w:t>,</w:t>
      </w:r>
      <w:r>
        <w:rPr>
          <w:rFonts w:ascii="Calibri" w:hAnsi="Calibri"/>
          <w:color w:val="231F20"/>
          <w:spacing w:val="-6"/>
          <w:sz w:val="17"/>
        </w:rPr>
        <w:t> </w:t>
      </w:r>
      <w:r>
        <w:rPr>
          <w:rFonts w:ascii="Calibri" w:hAnsi="Calibri"/>
          <w:color w:val="231F20"/>
          <w:sz w:val="17"/>
        </w:rPr>
        <w:t>London,</w:t>
      </w:r>
      <w:r>
        <w:rPr>
          <w:rFonts w:ascii="Calibri" w:hAnsi="Calibri"/>
          <w:color w:val="231F20"/>
          <w:spacing w:val="-6"/>
          <w:sz w:val="17"/>
        </w:rPr>
        <w:t> </w:t>
      </w:r>
      <w:r>
        <w:rPr>
          <w:rFonts w:ascii="Calibri" w:hAnsi="Calibri"/>
          <w:color w:val="231F20"/>
          <w:sz w:val="17"/>
        </w:rPr>
        <w:t>Pluto,</w:t>
      </w:r>
      <w:r>
        <w:rPr>
          <w:rFonts w:ascii="Calibri" w:hAnsi="Calibri"/>
          <w:color w:val="231F20"/>
          <w:spacing w:val="-6"/>
          <w:sz w:val="17"/>
        </w:rPr>
        <w:t> </w:t>
      </w:r>
      <w:r>
        <w:rPr>
          <w:rFonts w:ascii="Calibri" w:hAnsi="Calibri"/>
          <w:color w:val="231F20"/>
          <w:sz w:val="17"/>
        </w:rPr>
        <w:t>2002,</w:t>
      </w:r>
      <w:r>
        <w:rPr>
          <w:rFonts w:ascii="Calibri" w:hAnsi="Calibri"/>
          <w:color w:val="231F20"/>
          <w:spacing w:val="-6"/>
          <w:sz w:val="17"/>
        </w:rPr>
        <w:t> </w:t>
      </w:r>
      <w:r>
        <w:rPr>
          <w:rFonts w:ascii="Calibri" w:hAnsi="Calibri"/>
          <w:color w:val="231F20"/>
          <w:sz w:val="17"/>
        </w:rPr>
        <w:t>pp.</w:t>
      </w:r>
      <w:r>
        <w:rPr>
          <w:rFonts w:ascii="Calibri" w:hAnsi="Calibri"/>
          <w:color w:val="231F20"/>
          <w:spacing w:val="-6"/>
          <w:sz w:val="17"/>
        </w:rPr>
        <w:t> </w:t>
      </w:r>
      <w:r>
        <w:rPr>
          <w:rFonts w:ascii="Calibri" w:hAnsi="Calibri"/>
          <w:color w:val="231F20"/>
          <w:sz w:val="17"/>
        </w:rPr>
        <w:t>119–120.</w:t>
      </w:r>
    </w:p>
    <w:p>
      <w:pPr>
        <w:pStyle w:val="BodyText"/>
        <w:rPr>
          <w:rFonts w:ascii="Calibri"/>
          <w:sz w:val="20"/>
        </w:rPr>
      </w:pPr>
    </w:p>
    <w:p>
      <w:pPr>
        <w:pStyle w:val="BodyText"/>
        <w:spacing w:before="9"/>
        <w:rPr>
          <w:rFonts w:ascii="Calibri"/>
          <w:sz w:val="27"/>
        </w:rPr>
      </w:pPr>
    </w:p>
    <w:p>
      <w:pPr>
        <w:tabs>
          <w:tab w:pos="1331" w:val="left" w:leader="none"/>
        </w:tabs>
        <w:spacing w:before="68"/>
        <w:ind w:left="226" w:right="0" w:firstLine="0"/>
        <w:jc w:val="left"/>
        <w:rPr>
          <w:rFonts w:ascii="Calibri"/>
          <w:sz w:val="16"/>
        </w:rPr>
      </w:pPr>
      <w:r>
        <w:rPr/>
        <w:pict>
          <v:group style="position:absolute;margin-left:98.787804pt;margin-top:-3.358812pt;width:20.4pt;height:43pt;mso-position-horizontal-relative:page;mso-position-vertical-relative:paragraph;z-index:-167368"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w w:val="105"/>
          <w:position w:val="-4"/>
          <w:sz w:val="20"/>
        </w:rPr>
        <w:t>158</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182"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808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ASUNTOS</w:t>
      </w:r>
      <w:r>
        <w:rPr>
          <w:rFonts w:ascii="Lucida Sans Unicode" w:hAnsi="Lucida Sans Unicode"/>
          <w:color w:val="6D6E71"/>
          <w:spacing w:val="-30"/>
          <w:w w:val="95"/>
          <w:sz w:val="14"/>
        </w:rPr>
        <w:t> </w:t>
      </w:r>
      <w:r>
        <w:rPr>
          <w:rFonts w:ascii="Lucida Sans Unicode" w:hAnsi="Lucida Sans Unicode"/>
          <w:color w:val="6D6E71"/>
          <w:w w:val="95"/>
          <w:sz w:val="14"/>
        </w:rPr>
        <w:t>DE</w:t>
      </w:r>
      <w:r>
        <w:rPr>
          <w:rFonts w:ascii="Lucida Sans Unicode" w:hAnsi="Lucida Sans Unicode"/>
          <w:color w:val="6D6E71"/>
          <w:spacing w:val="-30"/>
          <w:w w:val="95"/>
          <w:sz w:val="14"/>
        </w:rPr>
        <w:t> </w:t>
      </w:r>
      <w:r>
        <w:rPr>
          <w:rFonts w:ascii="Lucida Sans Unicode" w:hAnsi="Lucida Sans Unicode"/>
          <w:color w:val="6D6E71"/>
          <w:w w:val="95"/>
          <w:sz w:val="14"/>
        </w:rPr>
        <w:t>FRONTERA.</w:t>
      </w:r>
      <w:r>
        <w:rPr>
          <w:rFonts w:ascii="Lucida Sans Unicode" w:hAnsi="Lucida Sans Unicode"/>
          <w:color w:val="6D6E71"/>
          <w:spacing w:val="-30"/>
          <w:w w:val="95"/>
          <w:sz w:val="14"/>
        </w:rPr>
        <w:t> </w:t>
      </w:r>
      <w:r>
        <w:rPr>
          <w:rFonts w:ascii="Lucida Sans Unicode" w:hAnsi="Lucida Sans Unicode"/>
          <w:color w:val="6D6E71"/>
          <w:w w:val="95"/>
          <w:sz w:val="14"/>
        </w:rPr>
        <w:t>SOBERANÍA</w:t>
      </w:r>
      <w:r>
        <w:rPr>
          <w:rFonts w:ascii="Lucida Sans Unicode" w:hAnsi="Lucida Sans Unicode"/>
          <w:color w:val="6D6E71"/>
          <w:spacing w:val="-30"/>
          <w:w w:val="95"/>
          <w:sz w:val="14"/>
        </w:rPr>
        <w:t> </w:t>
      </w:r>
      <w:r>
        <w:rPr>
          <w:rFonts w:ascii="Lucida Sans Unicode" w:hAnsi="Lucida Sans Unicode"/>
          <w:color w:val="6D6E71"/>
          <w:w w:val="95"/>
          <w:sz w:val="14"/>
        </w:rPr>
        <w:t>TERRITORIAL</w:t>
      </w:r>
      <w:r>
        <w:rPr>
          <w:rFonts w:ascii="Lucida Sans Unicode" w:hAnsi="Lucida Sans Unicode"/>
          <w:color w:val="6D6E71"/>
          <w:spacing w:val="-30"/>
          <w:w w:val="95"/>
          <w:sz w:val="14"/>
        </w:rPr>
        <w:t> </w:t>
      </w:r>
      <w:r>
        <w:rPr>
          <w:rFonts w:ascii="Lucida Sans Unicode" w:hAnsi="Lucida Sans Unicode"/>
          <w:color w:val="6D6E71"/>
          <w:w w:val="95"/>
          <w:sz w:val="14"/>
        </w:rPr>
        <w:t>Y</w:t>
      </w:r>
      <w:r>
        <w:rPr>
          <w:rFonts w:ascii="Lucida Sans Unicode" w:hAnsi="Lucida Sans Unicode"/>
          <w:color w:val="6D6E71"/>
          <w:spacing w:val="-30"/>
          <w:w w:val="95"/>
          <w:sz w:val="14"/>
        </w:rPr>
        <w:t> </w:t>
      </w:r>
      <w:r>
        <w:rPr>
          <w:rFonts w:ascii="Lucida Sans Unicode" w:hAnsi="Lucida Sans Unicode"/>
          <w:color w:val="6D6E71"/>
          <w:w w:val="95"/>
          <w:sz w:val="14"/>
        </w:rPr>
        <w:t>ORDEN</w:t>
      </w:r>
      <w:r>
        <w:rPr>
          <w:rFonts w:ascii="Lucida Sans Unicode" w:hAnsi="Lucida Sans Unicode"/>
          <w:color w:val="6D6E71"/>
          <w:spacing w:val="-30"/>
          <w:w w:val="95"/>
          <w:sz w:val="14"/>
        </w:rPr>
        <w:t> </w:t>
      </w:r>
      <w:r>
        <w:rPr>
          <w:rFonts w:ascii="Lucida Sans Unicode" w:hAnsi="Lucida Sans Unicode"/>
          <w:color w:val="6D6E71"/>
          <w:w w:val="95"/>
          <w:sz w:val="14"/>
        </w:rPr>
        <w:t>GLOBAL</w:t>
      </w:r>
      <w:r>
        <w:rPr>
          <w:rFonts w:ascii="Lucida Sans Unicode" w:hAnsi="Lucida Sans Unicode"/>
          <w:color w:val="6D6E71"/>
          <w:spacing w:val="-30"/>
          <w:w w:val="95"/>
          <w:sz w:val="14"/>
        </w:rPr>
        <w:t> </w:t>
      </w:r>
      <w:r>
        <w:rPr>
          <w:rFonts w:ascii="Lucida Sans Unicode" w:hAnsi="Lucida Sans Unicode"/>
          <w:color w:val="6D6E71"/>
          <w:w w:val="95"/>
          <w:sz w:val="14"/>
        </w:rPr>
        <w:t>EN</w:t>
      </w:r>
      <w:r>
        <w:rPr>
          <w:rFonts w:ascii="Lucida Sans Unicode" w:hAnsi="Lucida Sans Unicode"/>
          <w:color w:val="6D6E71"/>
          <w:spacing w:val="-30"/>
          <w:w w:val="95"/>
          <w:sz w:val="14"/>
        </w:rPr>
        <w:t> </w:t>
      </w:r>
      <w:r>
        <w:rPr>
          <w:rFonts w:ascii="Lucida Sans Unicode" w:hAnsi="Lucida Sans Unicode"/>
          <w:color w:val="6D6E71"/>
          <w:w w:val="95"/>
          <w:sz w:val="14"/>
        </w:rPr>
        <w:t>EL</w:t>
      </w:r>
      <w:r>
        <w:rPr>
          <w:rFonts w:ascii="Lucida Sans Unicode" w:hAnsi="Lucida Sans Unicode"/>
          <w:color w:val="6D6E71"/>
          <w:spacing w:val="-30"/>
          <w:w w:val="95"/>
          <w:sz w:val="14"/>
        </w:rPr>
        <w:t> </w:t>
      </w:r>
      <w:r>
        <w:rPr>
          <w:rFonts w:ascii="Lucida Sans Unicode" w:hAnsi="Lucida Sans Unicode"/>
          <w:color w:val="6D6E71"/>
          <w:w w:val="95"/>
          <w:sz w:val="14"/>
        </w:rPr>
        <w:t>DEBATE</w:t>
      </w:r>
    </w:p>
    <w:p>
      <w:pPr>
        <w:spacing w:line="198" w:lineRule="exact" w:before="0"/>
        <w:ind w:left="2963" w:right="-13" w:firstLine="0"/>
        <w:jc w:val="left"/>
        <w:rPr>
          <w:rFonts w:ascii="Lucida Sans Unicode" w:hAnsi="Lucida Sans Unicode"/>
          <w:sz w:val="14"/>
        </w:rPr>
      </w:pPr>
      <w:r>
        <w:rPr>
          <w:rFonts w:ascii="Lucida Sans Unicode" w:hAnsi="Lucida Sans Unicode"/>
          <w:color w:val="6D6E71"/>
          <w:w w:val="90"/>
          <w:sz w:val="14"/>
        </w:rPr>
        <w:t>SOBRE EL “NUEVO INTERVENCIONISMO</w:t>
      </w:r>
      <w:r>
        <w:rPr>
          <w:rFonts w:ascii="Lucida Sans Unicode" w:hAnsi="Lucida Sans Unicode"/>
          <w:color w:val="6D6E71"/>
          <w:spacing w:val="-25"/>
          <w:w w:val="90"/>
          <w:sz w:val="14"/>
        </w:rPr>
        <w:t> </w:t>
      </w:r>
      <w:r>
        <w:rPr>
          <w:rFonts w:ascii="Lucida Sans Unicode" w:hAnsi="Lucida Sans Unicode"/>
          <w:color w:val="6D6E71"/>
          <w:w w:val="90"/>
          <w:sz w:val="14"/>
        </w:rPr>
        <w:t>HUMANITARIO”</w:t>
      </w:r>
    </w:p>
    <w:p>
      <w:pPr>
        <w:spacing w:before="59"/>
        <w:ind w:left="338" w:right="0" w:firstLine="0"/>
        <w:jc w:val="left"/>
        <w:rPr>
          <w:rFonts w:ascii="Arial"/>
          <w:sz w:val="20"/>
        </w:rPr>
      </w:pPr>
      <w:r>
        <w:rPr/>
        <w:br w:type="column"/>
      </w:r>
      <w:r>
        <w:rPr>
          <w:rFonts w:ascii="Arial"/>
          <w:color w:val="414042"/>
          <w:sz w:val="20"/>
        </w:rPr>
        <w:t>159</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6"/>
        <w:rPr>
          <w:rFonts w:ascii="Arial"/>
          <w:sz w:val="16"/>
        </w:rPr>
      </w:pPr>
    </w:p>
    <w:p>
      <w:pPr>
        <w:pStyle w:val="BodyText"/>
        <w:spacing w:line="247" w:lineRule="auto" w:before="44"/>
        <w:ind w:left="117" w:right="101"/>
        <w:jc w:val="both"/>
      </w:pPr>
      <w:r>
        <w:rPr>
          <w:color w:val="231F20"/>
        </w:rPr>
        <w:t>rígida “oposición binaria” sustancialmente reconducible a la más profunda dicotomía entre moral y política</w:t>
      </w:r>
      <w:r>
        <w:rPr>
          <w:color w:val="231F20"/>
          <w:position w:val="7"/>
          <w:sz w:val="12"/>
        </w:rPr>
        <w:t>72</w:t>
      </w:r>
      <w:r>
        <w:rPr>
          <w:color w:val="231F20"/>
        </w:rPr>
        <w:t>. De acuerdo con este enfoque, hacer propia</w:t>
      </w:r>
      <w:r>
        <w:rPr>
          <w:color w:val="231F20"/>
          <w:spacing w:val="-10"/>
        </w:rPr>
        <w:t> </w:t>
      </w:r>
      <w:r>
        <w:rPr>
          <w:color w:val="231F20"/>
        </w:rPr>
        <w:t>la</w:t>
      </w:r>
      <w:r>
        <w:rPr>
          <w:color w:val="231F20"/>
          <w:spacing w:val="-10"/>
        </w:rPr>
        <w:t> </w:t>
      </w:r>
      <w:r>
        <w:rPr>
          <w:color w:val="231F20"/>
        </w:rPr>
        <w:t>propuesta</w:t>
      </w:r>
      <w:r>
        <w:rPr>
          <w:color w:val="231F20"/>
          <w:spacing w:val="-10"/>
        </w:rPr>
        <w:t> </w:t>
      </w:r>
      <w:r>
        <w:rPr>
          <w:color w:val="231F20"/>
        </w:rPr>
        <w:t>del</w:t>
      </w:r>
      <w:r>
        <w:rPr>
          <w:color w:val="231F20"/>
          <w:spacing w:val="-10"/>
        </w:rPr>
        <w:t> </w:t>
      </w:r>
      <w:r>
        <w:rPr>
          <w:color w:val="231F20"/>
        </w:rPr>
        <w:t>universalismo</w:t>
      </w:r>
      <w:r>
        <w:rPr>
          <w:color w:val="231F20"/>
          <w:spacing w:val="-10"/>
        </w:rPr>
        <w:t> </w:t>
      </w:r>
      <w:r>
        <w:rPr>
          <w:color w:val="231F20"/>
        </w:rPr>
        <w:t>humanitario</w:t>
      </w:r>
      <w:r>
        <w:rPr>
          <w:color w:val="231F20"/>
          <w:spacing w:val="-10"/>
        </w:rPr>
        <w:t> </w:t>
      </w:r>
      <w:r>
        <w:rPr>
          <w:color w:val="231F20"/>
        </w:rPr>
        <w:t>significa</w:t>
      </w:r>
      <w:r>
        <w:rPr>
          <w:color w:val="231F20"/>
          <w:spacing w:val="-10"/>
        </w:rPr>
        <w:t> </w:t>
      </w:r>
      <w:r>
        <w:rPr>
          <w:color w:val="231F20"/>
        </w:rPr>
        <w:t>cuestionar</w:t>
      </w:r>
      <w:r>
        <w:rPr>
          <w:color w:val="231F20"/>
          <w:spacing w:val="-10"/>
        </w:rPr>
        <w:t> </w:t>
      </w:r>
      <w:r>
        <w:rPr>
          <w:color w:val="231F20"/>
        </w:rPr>
        <w:t>com- pletamente la segmentada estructura espacial del ordenamiento “westfa- liano”, y con ella también el patrimonio de principios, valores y prácticas de autogobierno acumulado en su </w:t>
      </w:r>
      <w:r>
        <w:rPr>
          <w:color w:val="231F20"/>
          <w:spacing w:val="-3"/>
        </w:rPr>
        <w:t>interior. </w:t>
      </w:r>
      <w:r>
        <w:rPr>
          <w:color w:val="231F20"/>
        </w:rPr>
        <w:t>Querer detener ese patrimonio implica, por el contrario, la necesaria renuncia a cualquier pretensión de control del exterior al interior de las modalidades en que la soberanía es- tatal es concretamente ejercitada. Los partidarios de esta forma de “anti– cosmopolitismo estatal” son obligados a callar incluso frente los casos más extremos de violencia de Estado (o tolerada por el Estado): las víctimas</w:t>
      </w:r>
      <w:r>
        <w:rPr>
          <w:color w:val="231F20"/>
          <w:spacing w:val="-19"/>
        </w:rPr>
        <w:t> </w:t>
      </w:r>
      <w:r>
        <w:rPr>
          <w:color w:val="231F20"/>
        </w:rPr>
        <w:t>de esa violencia se transforman, así, en los “silenciosos restos de una política que no puede admitir otros derechos que aquellos ligados a los Estados soberanos”</w:t>
      </w:r>
      <w:r>
        <w:rPr>
          <w:color w:val="231F20"/>
          <w:position w:val="7"/>
          <w:sz w:val="12"/>
        </w:rPr>
        <w:t>73</w:t>
      </w:r>
      <w:r>
        <w:rPr>
          <w:color w:val="231F20"/>
        </w:rPr>
        <w:t>.</w:t>
      </w:r>
    </w:p>
    <w:p>
      <w:pPr>
        <w:pStyle w:val="BodyText"/>
        <w:spacing w:line="247" w:lineRule="auto"/>
        <w:ind w:left="117" w:right="101" w:firstLine="566"/>
        <w:jc w:val="both"/>
      </w:pPr>
      <w:r>
        <w:rPr>
          <w:color w:val="231F20"/>
          <w:w w:val="105"/>
        </w:rPr>
        <w:t>Es</w:t>
      </w:r>
      <w:r>
        <w:rPr>
          <w:color w:val="231F20"/>
          <w:spacing w:val="-34"/>
          <w:w w:val="105"/>
        </w:rPr>
        <w:t> </w:t>
      </w:r>
      <w:r>
        <w:rPr>
          <w:color w:val="231F20"/>
          <w:w w:val="105"/>
        </w:rPr>
        <w:t>también</w:t>
      </w:r>
      <w:r>
        <w:rPr>
          <w:color w:val="231F20"/>
          <w:spacing w:val="-34"/>
          <w:w w:val="105"/>
        </w:rPr>
        <w:t> </w:t>
      </w:r>
      <w:r>
        <w:rPr>
          <w:color w:val="231F20"/>
          <w:w w:val="105"/>
        </w:rPr>
        <w:t>en</w:t>
      </w:r>
      <w:r>
        <w:rPr>
          <w:color w:val="231F20"/>
          <w:spacing w:val="-34"/>
          <w:w w:val="105"/>
        </w:rPr>
        <w:t> </w:t>
      </w:r>
      <w:r>
        <w:rPr>
          <w:color w:val="231F20"/>
          <w:w w:val="105"/>
        </w:rPr>
        <w:t>respuesta</w:t>
      </w:r>
      <w:r>
        <w:rPr>
          <w:color w:val="231F20"/>
          <w:spacing w:val="-34"/>
          <w:w w:val="105"/>
        </w:rPr>
        <w:t> </w:t>
      </w:r>
      <w:r>
        <w:rPr>
          <w:color w:val="231F20"/>
          <w:w w:val="105"/>
        </w:rPr>
        <w:t>a</w:t>
      </w:r>
      <w:r>
        <w:rPr>
          <w:color w:val="231F20"/>
          <w:spacing w:val="-34"/>
          <w:w w:val="105"/>
        </w:rPr>
        <w:t> </w:t>
      </w:r>
      <w:r>
        <w:rPr>
          <w:color w:val="231F20"/>
          <w:w w:val="105"/>
        </w:rPr>
        <w:t>los</w:t>
      </w:r>
      <w:r>
        <w:rPr>
          <w:color w:val="231F20"/>
          <w:spacing w:val="-34"/>
          <w:w w:val="105"/>
        </w:rPr>
        <w:t> </w:t>
      </w:r>
      <w:r>
        <w:rPr>
          <w:color w:val="231F20"/>
          <w:w w:val="105"/>
        </w:rPr>
        <w:t>embarazosos</w:t>
      </w:r>
      <w:r>
        <w:rPr>
          <w:color w:val="231F20"/>
          <w:spacing w:val="-34"/>
          <w:w w:val="105"/>
        </w:rPr>
        <w:t> </w:t>
      </w:r>
      <w:r>
        <w:rPr>
          <w:color w:val="231F20"/>
          <w:w w:val="105"/>
        </w:rPr>
        <w:t>resultados</w:t>
      </w:r>
      <w:r>
        <w:rPr>
          <w:color w:val="231F20"/>
          <w:spacing w:val="-34"/>
          <w:w w:val="105"/>
        </w:rPr>
        <w:t> </w:t>
      </w:r>
      <w:r>
        <w:rPr>
          <w:color w:val="231F20"/>
          <w:w w:val="105"/>
        </w:rPr>
        <w:t>de</w:t>
      </w:r>
      <w:r>
        <w:rPr>
          <w:color w:val="231F20"/>
          <w:spacing w:val="-34"/>
          <w:w w:val="105"/>
        </w:rPr>
        <w:t> </w:t>
      </w:r>
      <w:r>
        <w:rPr>
          <w:color w:val="231F20"/>
          <w:w w:val="105"/>
        </w:rPr>
        <w:t>esta</w:t>
      </w:r>
      <w:r>
        <w:rPr>
          <w:color w:val="231F20"/>
          <w:spacing w:val="-34"/>
          <w:w w:val="105"/>
        </w:rPr>
        <w:t> </w:t>
      </w:r>
      <w:r>
        <w:rPr>
          <w:color w:val="231F20"/>
          <w:w w:val="105"/>
        </w:rPr>
        <w:t>para- dójica</w:t>
      </w:r>
      <w:r>
        <w:rPr>
          <w:color w:val="231F20"/>
          <w:spacing w:val="-6"/>
          <w:w w:val="105"/>
        </w:rPr>
        <w:t> </w:t>
      </w:r>
      <w:r>
        <w:rPr>
          <w:color w:val="231F20"/>
          <w:w w:val="105"/>
        </w:rPr>
        <w:t>línea</w:t>
      </w:r>
      <w:r>
        <w:rPr>
          <w:color w:val="231F20"/>
          <w:spacing w:val="-6"/>
          <w:w w:val="105"/>
        </w:rPr>
        <w:t> </w:t>
      </w:r>
      <w:r>
        <w:rPr>
          <w:color w:val="231F20"/>
          <w:w w:val="105"/>
        </w:rPr>
        <w:t>de</w:t>
      </w:r>
      <w:r>
        <w:rPr>
          <w:color w:val="231F20"/>
          <w:spacing w:val="-6"/>
          <w:w w:val="105"/>
        </w:rPr>
        <w:t> </w:t>
      </w:r>
      <w:r>
        <w:rPr>
          <w:color w:val="231F20"/>
          <w:w w:val="105"/>
        </w:rPr>
        <w:t>pensamiento</w:t>
      </w:r>
      <w:r>
        <w:rPr>
          <w:color w:val="231F20"/>
          <w:spacing w:val="-6"/>
          <w:w w:val="105"/>
        </w:rPr>
        <w:t> </w:t>
      </w:r>
      <w:r>
        <w:rPr>
          <w:color w:val="231F20"/>
          <w:w w:val="105"/>
        </w:rPr>
        <w:t>“anti–imperialista”,</w:t>
      </w:r>
      <w:r>
        <w:rPr>
          <w:color w:val="231F20"/>
          <w:spacing w:val="-6"/>
          <w:w w:val="105"/>
        </w:rPr>
        <w:t> </w:t>
      </w:r>
      <w:r>
        <w:rPr>
          <w:color w:val="231F20"/>
          <w:w w:val="105"/>
        </w:rPr>
        <w:t>que</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debate</w:t>
      </w:r>
      <w:r>
        <w:rPr>
          <w:color w:val="231F20"/>
          <w:spacing w:val="-6"/>
          <w:w w:val="105"/>
        </w:rPr>
        <w:t> </w:t>
      </w:r>
      <w:r>
        <w:rPr>
          <w:color w:val="231F20"/>
          <w:w w:val="105"/>
        </w:rPr>
        <w:t>de</w:t>
      </w:r>
      <w:r>
        <w:rPr>
          <w:color w:val="231F20"/>
          <w:spacing w:val="-6"/>
          <w:w w:val="105"/>
        </w:rPr>
        <w:t> </w:t>
      </w:r>
      <w:r>
        <w:rPr>
          <w:color w:val="231F20"/>
          <w:w w:val="105"/>
        </w:rPr>
        <w:t>los últimos</w:t>
      </w:r>
      <w:r>
        <w:rPr>
          <w:color w:val="231F20"/>
          <w:spacing w:val="-33"/>
          <w:w w:val="105"/>
        </w:rPr>
        <w:t> </w:t>
      </w:r>
      <w:r>
        <w:rPr>
          <w:color w:val="231F20"/>
          <w:w w:val="105"/>
        </w:rPr>
        <w:t>años</w:t>
      </w:r>
      <w:r>
        <w:rPr>
          <w:color w:val="231F20"/>
          <w:spacing w:val="-33"/>
          <w:w w:val="105"/>
        </w:rPr>
        <w:t> </w:t>
      </w:r>
      <w:r>
        <w:rPr>
          <w:color w:val="231F20"/>
          <w:w w:val="105"/>
        </w:rPr>
        <w:t>ha</w:t>
      </w:r>
      <w:r>
        <w:rPr>
          <w:color w:val="231F20"/>
          <w:spacing w:val="-33"/>
          <w:w w:val="105"/>
        </w:rPr>
        <w:t> </w:t>
      </w:r>
      <w:r>
        <w:rPr>
          <w:color w:val="231F20"/>
          <w:w w:val="105"/>
        </w:rPr>
        <w:t>tomado</w:t>
      </w:r>
      <w:r>
        <w:rPr>
          <w:color w:val="231F20"/>
          <w:spacing w:val="-33"/>
          <w:w w:val="105"/>
        </w:rPr>
        <w:t> </w:t>
      </w:r>
      <w:r>
        <w:rPr>
          <w:color w:val="231F20"/>
          <w:w w:val="105"/>
        </w:rPr>
        <w:t>forma</w:t>
      </w:r>
      <w:r>
        <w:rPr>
          <w:color w:val="231F20"/>
          <w:spacing w:val="-33"/>
          <w:w w:val="105"/>
        </w:rPr>
        <w:t> </w:t>
      </w:r>
      <w:r>
        <w:rPr>
          <w:color w:val="231F20"/>
          <w:w w:val="105"/>
        </w:rPr>
        <w:t>un</w:t>
      </w:r>
      <w:r>
        <w:rPr>
          <w:color w:val="231F20"/>
          <w:spacing w:val="-33"/>
          <w:w w:val="105"/>
        </w:rPr>
        <w:t> </w:t>
      </w:r>
      <w:r>
        <w:rPr>
          <w:color w:val="231F20"/>
          <w:w w:val="105"/>
        </w:rPr>
        <w:t>enfoque</w:t>
      </w:r>
      <w:r>
        <w:rPr>
          <w:color w:val="231F20"/>
          <w:spacing w:val="-33"/>
          <w:w w:val="105"/>
        </w:rPr>
        <w:t> </w:t>
      </w:r>
      <w:r>
        <w:rPr>
          <w:color w:val="231F20"/>
          <w:w w:val="105"/>
        </w:rPr>
        <w:t>conceptualmente</w:t>
      </w:r>
      <w:r>
        <w:rPr>
          <w:color w:val="231F20"/>
          <w:spacing w:val="-33"/>
          <w:w w:val="105"/>
        </w:rPr>
        <w:t> </w:t>
      </w:r>
      <w:r>
        <w:rPr>
          <w:color w:val="231F20"/>
          <w:w w:val="105"/>
        </w:rPr>
        <w:t>más</w:t>
      </w:r>
      <w:r>
        <w:rPr>
          <w:color w:val="231F20"/>
          <w:spacing w:val="-33"/>
          <w:w w:val="105"/>
        </w:rPr>
        <w:t> </w:t>
      </w:r>
      <w:r>
        <w:rPr>
          <w:color w:val="231F20"/>
          <w:w w:val="105"/>
        </w:rPr>
        <w:t>articula- do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dilemas</w:t>
      </w:r>
      <w:r>
        <w:rPr>
          <w:color w:val="231F20"/>
          <w:spacing w:val="-15"/>
          <w:w w:val="105"/>
        </w:rPr>
        <w:t> </w:t>
      </w:r>
      <w:r>
        <w:rPr>
          <w:color w:val="231F20"/>
          <w:w w:val="105"/>
        </w:rPr>
        <w:t>de</w:t>
      </w:r>
      <w:r>
        <w:rPr>
          <w:color w:val="231F20"/>
          <w:spacing w:val="-15"/>
          <w:w w:val="105"/>
        </w:rPr>
        <w:t> </w:t>
      </w:r>
      <w:r>
        <w:rPr>
          <w:color w:val="231F20"/>
          <w:w w:val="105"/>
        </w:rPr>
        <w:t>intervencionismo</w:t>
      </w:r>
      <w:r>
        <w:rPr>
          <w:color w:val="231F20"/>
          <w:spacing w:val="-15"/>
          <w:w w:val="105"/>
        </w:rPr>
        <w:t> </w:t>
      </w:r>
      <w:r>
        <w:rPr>
          <w:color w:val="231F20"/>
          <w:w w:val="105"/>
        </w:rPr>
        <w:t>humanitario,</w:t>
      </w:r>
      <w:r>
        <w:rPr>
          <w:color w:val="231F20"/>
          <w:spacing w:val="-15"/>
          <w:w w:val="105"/>
        </w:rPr>
        <w:t> </w:t>
      </w:r>
      <w:r>
        <w:rPr>
          <w:color w:val="231F20"/>
          <w:w w:val="105"/>
        </w:rPr>
        <w:t>centrado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siste- mático</w:t>
      </w:r>
      <w:r>
        <w:rPr>
          <w:color w:val="231F20"/>
          <w:spacing w:val="-17"/>
          <w:w w:val="105"/>
        </w:rPr>
        <w:t> </w:t>
      </w:r>
      <w:r>
        <w:rPr>
          <w:color w:val="231F20"/>
          <w:w w:val="105"/>
        </w:rPr>
        <w:t>cuestionamiento</w:t>
      </w:r>
      <w:r>
        <w:rPr>
          <w:color w:val="231F20"/>
          <w:spacing w:val="-17"/>
          <w:w w:val="105"/>
        </w:rPr>
        <w:t> </w:t>
      </w:r>
      <w:r>
        <w:rPr>
          <w:color w:val="231F20"/>
          <w:w w:val="105"/>
        </w:rPr>
        <w:t>del</w:t>
      </w:r>
      <w:r>
        <w:rPr>
          <w:color w:val="231F20"/>
          <w:spacing w:val="-17"/>
          <w:w w:val="105"/>
        </w:rPr>
        <w:t> </w:t>
      </w:r>
      <w:r>
        <w:rPr>
          <w:color w:val="231F20"/>
          <w:w w:val="105"/>
        </w:rPr>
        <w:t>monolítico</w:t>
      </w:r>
      <w:r>
        <w:rPr>
          <w:color w:val="231F20"/>
          <w:spacing w:val="-17"/>
          <w:w w:val="105"/>
        </w:rPr>
        <w:t> </w:t>
      </w:r>
      <w:r>
        <w:rPr>
          <w:color w:val="231F20"/>
          <w:w w:val="105"/>
        </w:rPr>
        <w:t>paradigma</w:t>
      </w:r>
      <w:r>
        <w:rPr>
          <w:color w:val="231F20"/>
          <w:spacing w:val="-17"/>
          <w:w w:val="105"/>
        </w:rPr>
        <w:t> </w:t>
      </w:r>
      <w:r>
        <w:rPr>
          <w:color w:val="231F20"/>
          <w:w w:val="105"/>
        </w:rPr>
        <w:t>de</w:t>
      </w:r>
      <w:r>
        <w:rPr>
          <w:color w:val="231F20"/>
          <w:spacing w:val="-17"/>
          <w:w w:val="105"/>
        </w:rPr>
        <w:t> </w:t>
      </w:r>
      <w:r>
        <w:rPr>
          <w:color w:val="231F20"/>
          <w:w w:val="105"/>
        </w:rPr>
        <w:t>soberanía</w:t>
      </w:r>
      <w:r>
        <w:rPr>
          <w:color w:val="231F20"/>
          <w:spacing w:val="-17"/>
          <w:w w:val="105"/>
        </w:rPr>
        <w:t> </w:t>
      </w:r>
      <w:r>
        <w:rPr>
          <w:color w:val="231F20"/>
          <w:w w:val="105"/>
        </w:rPr>
        <w:t>que</w:t>
      </w:r>
      <w:r>
        <w:rPr>
          <w:color w:val="231F20"/>
          <w:spacing w:val="-17"/>
          <w:w w:val="105"/>
        </w:rPr>
        <w:t> </w:t>
      </w:r>
      <w:r>
        <w:rPr>
          <w:color w:val="231F20"/>
          <w:w w:val="105"/>
        </w:rPr>
        <w:t>está en</w:t>
      </w:r>
      <w:r>
        <w:rPr>
          <w:color w:val="231F20"/>
          <w:spacing w:val="-26"/>
          <w:w w:val="105"/>
        </w:rPr>
        <w:t> </w:t>
      </w:r>
      <w:r>
        <w:rPr>
          <w:color w:val="231F20"/>
          <w:w w:val="105"/>
        </w:rPr>
        <w:t>la</w:t>
      </w:r>
      <w:r>
        <w:rPr>
          <w:color w:val="231F20"/>
          <w:spacing w:val="-26"/>
          <w:w w:val="105"/>
        </w:rPr>
        <w:t> </w:t>
      </w:r>
      <w:r>
        <w:rPr>
          <w:color w:val="231F20"/>
          <w:w w:val="105"/>
        </w:rPr>
        <w:t>base</w:t>
      </w:r>
      <w:r>
        <w:rPr>
          <w:color w:val="231F20"/>
          <w:spacing w:val="-26"/>
          <w:w w:val="105"/>
        </w:rPr>
        <w:t> </w:t>
      </w:r>
      <w:r>
        <w:rPr>
          <w:color w:val="231F20"/>
          <w:w w:val="105"/>
        </w:rPr>
        <w:t>del</w:t>
      </w:r>
      <w:r>
        <w:rPr>
          <w:color w:val="231F20"/>
          <w:spacing w:val="-26"/>
          <w:w w:val="105"/>
        </w:rPr>
        <w:t> </w:t>
      </w:r>
      <w:r>
        <w:rPr>
          <w:color w:val="231F20"/>
          <w:w w:val="105"/>
        </w:rPr>
        <w:t>discurso</w:t>
      </w:r>
      <w:r>
        <w:rPr>
          <w:color w:val="231F20"/>
          <w:spacing w:val="-26"/>
          <w:w w:val="105"/>
        </w:rPr>
        <w:t> </w:t>
      </w:r>
      <w:r>
        <w:rPr>
          <w:color w:val="231F20"/>
          <w:w w:val="105"/>
        </w:rPr>
        <w:t>político</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modernidad.</w:t>
      </w:r>
      <w:r>
        <w:rPr>
          <w:color w:val="231F20"/>
          <w:spacing w:val="-26"/>
          <w:w w:val="105"/>
        </w:rPr>
        <w:t> </w:t>
      </w:r>
      <w:r>
        <w:rPr>
          <w:color w:val="231F20"/>
          <w:w w:val="105"/>
        </w:rPr>
        <w:t>De</w:t>
      </w:r>
      <w:r>
        <w:rPr>
          <w:color w:val="231F20"/>
          <w:spacing w:val="-26"/>
          <w:w w:val="105"/>
        </w:rPr>
        <w:t> </w:t>
      </w:r>
      <w:r>
        <w:rPr>
          <w:color w:val="231F20"/>
          <w:w w:val="105"/>
        </w:rPr>
        <w:t>acuerdo</w:t>
      </w:r>
      <w:r>
        <w:rPr>
          <w:color w:val="231F20"/>
          <w:spacing w:val="-26"/>
          <w:w w:val="105"/>
        </w:rPr>
        <w:t> </w:t>
      </w:r>
      <w:r>
        <w:rPr>
          <w:color w:val="231F20"/>
          <w:w w:val="105"/>
        </w:rPr>
        <w:t>con</w:t>
      </w:r>
      <w:r>
        <w:rPr>
          <w:color w:val="231F20"/>
          <w:spacing w:val="-26"/>
          <w:w w:val="105"/>
        </w:rPr>
        <w:t> </w:t>
      </w:r>
      <w:r>
        <w:rPr>
          <w:color w:val="231F20"/>
          <w:w w:val="105"/>
        </w:rPr>
        <w:t>quienes sostienen</w:t>
      </w:r>
      <w:r>
        <w:rPr>
          <w:color w:val="231F20"/>
          <w:spacing w:val="-23"/>
          <w:w w:val="105"/>
        </w:rPr>
        <w:t> </w:t>
      </w:r>
      <w:r>
        <w:rPr>
          <w:color w:val="231F20"/>
          <w:w w:val="105"/>
        </w:rPr>
        <w:t>esta</w:t>
      </w:r>
      <w:r>
        <w:rPr>
          <w:color w:val="231F20"/>
          <w:spacing w:val="-23"/>
          <w:w w:val="105"/>
        </w:rPr>
        <w:t> </w:t>
      </w:r>
      <w:r>
        <w:rPr>
          <w:color w:val="231F20"/>
          <w:w w:val="105"/>
        </w:rPr>
        <w:t>propuesta,</w:t>
      </w:r>
      <w:r>
        <w:rPr>
          <w:color w:val="231F20"/>
          <w:spacing w:val="-23"/>
          <w:w w:val="105"/>
        </w:rPr>
        <w:t> </w:t>
      </w:r>
      <w:r>
        <w:rPr>
          <w:color w:val="231F20"/>
          <w:w w:val="105"/>
        </w:rPr>
        <w:t>las</w:t>
      </w:r>
      <w:r>
        <w:rPr>
          <w:color w:val="231F20"/>
          <w:spacing w:val="-23"/>
          <w:w w:val="105"/>
        </w:rPr>
        <w:t> </w:t>
      </w:r>
      <w:r>
        <w:rPr>
          <w:color w:val="231F20"/>
          <w:w w:val="105"/>
        </w:rPr>
        <w:t>complejas</w:t>
      </w:r>
      <w:r>
        <w:rPr>
          <w:color w:val="231F20"/>
          <w:spacing w:val="-23"/>
          <w:w w:val="105"/>
        </w:rPr>
        <w:t> </w:t>
      </w:r>
      <w:r>
        <w:rPr>
          <w:color w:val="231F20"/>
          <w:w w:val="105"/>
        </w:rPr>
        <w:t>cuestiones</w:t>
      </w:r>
      <w:r>
        <w:rPr>
          <w:color w:val="231F20"/>
          <w:spacing w:val="-23"/>
          <w:w w:val="105"/>
        </w:rPr>
        <w:t> </w:t>
      </w:r>
      <w:r>
        <w:rPr>
          <w:color w:val="231F20"/>
          <w:w w:val="105"/>
        </w:rPr>
        <w:t>jurídico–políticas</w:t>
      </w:r>
      <w:r>
        <w:rPr>
          <w:color w:val="231F20"/>
          <w:spacing w:val="-23"/>
          <w:w w:val="105"/>
        </w:rPr>
        <w:t> </w:t>
      </w:r>
      <w:r>
        <w:rPr>
          <w:color w:val="231F20"/>
          <w:w w:val="105"/>
        </w:rPr>
        <w:t>que hoy están en el centro de la discusión exigen que se ponga en marcha un renovado y más flexible sistema de categorías, capaz de dar cuenta adecuadamente</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múltiples</w:t>
      </w:r>
      <w:r>
        <w:rPr>
          <w:color w:val="231F20"/>
          <w:spacing w:val="-24"/>
          <w:w w:val="105"/>
        </w:rPr>
        <w:t> </w:t>
      </w:r>
      <w:r>
        <w:rPr>
          <w:color w:val="231F20"/>
          <w:w w:val="105"/>
        </w:rPr>
        <w:t>dinámicas</w:t>
      </w:r>
      <w:r>
        <w:rPr>
          <w:color w:val="231F20"/>
          <w:spacing w:val="-24"/>
          <w:w w:val="105"/>
        </w:rPr>
        <w:t> </w:t>
      </w:r>
      <w:r>
        <w:rPr>
          <w:color w:val="231F20"/>
          <w:w w:val="105"/>
        </w:rPr>
        <w:t>materiales</w:t>
      </w:r>
      <w:r>
        <w:rPr>
          <w:color w:val="231F20"/>
          <w:spacing w:val="-24"/>
          <w:w w:val="105"/>
        </w:rPr>
        <w:t> </w:t>
      </w:r>
      <w:r>
        <w:rPr>
          <w:color w:val="231F20"/>
          <w:w w:val="105"/>
        </w:rPr>
        <w:t>e</w:t>
      </w:r>
      <w:r>
        <w:rPr>
          <w:color w:val="231F20"/>
          <w:spacing w:val="-24"/>
          <w:w w:val="105"/>
        </w:rPr>
        <w:t> </w:t>
      </w:r>
      <w:r>
        <w:rPr>
          <w:color w:val="231F20"/>
          <w:w w:val="105"/>
        </w:rPr>
        <w:t>intelectuales</w:t>
      </w:r>
      <w:r>
        <w:rPr>
          <w:color w:val="231F20"/>
          <w:spacing w:val="-24"/>
          <w:w w:val="105"/>
        </w:rPr>
        <w:t> </w:t>
      </w:r>
      <w:r>
        <w:rPr>
          <w:color w:val="231F20"/>
          <w:w w:val="105"/>
        </w:rPr>
        <w:t>tra- dicionalmente</w:t>
      </w:r>
      <w:r>
        <w:rPr>
          <w:color w:val="231F20"/>
          <w:spacing w:val="-30"/>
          <w:w w:val="105"/>
        </w:rPr>
        <w:t> </w:t>
      </w:r>
      <w:r>
        <w:rPr>
          <w:color w:val="231F20"/>
          <w:w w:val="105"/>
        </w:rPr>
        <w:t>aproximadas</w:t>
      </w:r>
      <w:r>
        <w:rPr>
          <w:color w:val="231F20"/>
          <w:spacing w:val="-30"/>
          <w:w w:val="105"/>
        </w:rPr>
        <w:t> </w:t>
      </w:r>
      <w:r>
        <w:rPr>
          <w:color w:val="231F20"/>
          <w:w w:val="105"/>
        </w:rPr>
        <w:t>a</w:t>
      </w:r>
      <w:r>
        <w:rPr>
          <w:color w:val="231F20"/>
          <w:spacing w:val="-30"/>
          <w:w w:val="105"/>
        </w:rPr>
        <w:t> </w:t>
      </w:r>
      <w:r>
        <w:rPr>
          <w:color w:val="231F20"/>
          <w:w w:val="105"/>
        </w:rPr>
        <w:t>través</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consolidada</w:t>
      </w:r>
      <w:r>
        <w:rPr>
          <w:color w:val="231F20"/>
          <w:spacing w:val="-30"/>
          <w:w w:val="105"/>
        </w:rPr>
        <w:t> </w:t>
      </w:r>
      <w:r>
        <w:rPr>
          <w:color w:val="231F20"/>
          <w:w w:val="105"/>
        </w:rPr>
        <w:t>semántica</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so- beranía</w:t>
      </w:r>
      <w:r>
        <w:rPr>
          <w:color w:val="231F20"/>
          <w:spacing w:val="-31"/>
          <w:w w:val="105"/>
        </w:rPr>
        <w:t> </w:t>
      </w:r>
      <w:r>
        <w:rPr>
          <w:color w:val="231F20"/>
          <w:w w:val="105"/>
        </w:rPr>
        <w:t>nacional.</w:t>
      </w:r>
      <w:r>
        <w:rPr>
          <w:color w:val="231F20"/>
          <w:spacing w:val="-31"/>
          <w:w w:val="105"/>
        </w:rPr>
        <w:t> </w:t>
      </w:r>
      <w:r>
        <w:rPr>
          <w:color w:val="231F20"/>
          <w:w w:val="105"/>
        </w:rPr>
        <w:t>Como</w:t>
      </w:r>
      <w:r>
        <w:rPr>
          <w:color w:val="231F20"/>
          <w:spacing w:val="-31"/>
          <w:w w:val="105"/>
        </w:rPr>
        <w:t> </w:t>
      </w:r>
      <w:r>
        <w:rPr>
          <w:color w:val="231F20"/>
          <w:w w:val="105"/>
        </w:rPr>
        <w:t>ha</w:t>
      </w:r>
      <w:r>
        <w:rPr>
          <w:color w:val="231F20"/>
          <w:spacing w:val="-31"/>
          <w:w w:val="105"/>
        </w:rPr>
        <w:t> </w:t>
      </w:r>
      <w:r>
        <w:rPr>
          <w:color w:val="231F20"/>
          <w:w w:val="105"/>
        </w:rPr>
        <w:t>subrayado</w:t>
      </w:r>
      <w:r>
        <w:rPr>
          <w:color w:val="231F20"/>
          <w:spacing w:val="-31"/>
          <w:w w:val="105"/>
        </w:rPr>
        <w:t> </w:t>
      </w:r>
      <w:r>
        <w:rPr>
          <w:color w:val="231F20"/>
          <w:w w:val="105"/>
        </w:rPr>
        <w:t>Robert</w:t>
      </w:r>
      <w:r>
        <w:rPr>
          <w:color w:val="231F20"/>
          <w:spacing w:val="-31"/>
          <w:w w:val="105"/>
        </w:rPr>
        <w:t> </w:t>
      </w:r>
      <w:r>
        <w:rPr>
          <w:color w:val="231F20"/>
          <w:w w:val="105"/>
        </w:rPr>
        <w:t>O.</w:t>
      </w:r>
      <w:r>
        <w:rPr>
          <w:color w:val="231F20"/>
          <w:spacing w:val="-31"/>
          <w:w w:val="105"/>
        </w:rPr>
        <w:t> </w:t>
      </w:r>
      <w:r>
        <w:rPr>
          <w:color w:val="231F20"/>
          <w:w w:val="105"/>
        </w:rPr>
        <w:t>Keohane,</w:t>
      </w:r>
      <w:r>
        <w:rPr>
          <w:color w:val="231F20"/>
          <w:spacing w:val="-31"/>
          <w:w w:val="105"/>
        </w:rPr>
        <w:t> </w:t>
      </w:r>
      <w:r>
        <w:rPr>
          <w:color w:val="231F20"/>
          <w:w w:val="105"/>
        </w:rPr>
        <w:t>eso</w:t>
      </w:r>
      <w:r>
        <w:rPr>
          <w:color w:val="231F20"/>
          <w:spacing w:val="-31"/>
          <w:w w:val="105"/>
        </w:rPr>
        <w:t> </w:t>
      </w:r>
      <w:r>
        <w:rPr>
          <w:color w:val="231F20"/>
          <w:w w:val="105"/>
        </w:rPr>
        <w:t>no</w:t>
      </w:r>
      <w:r>
        <w:rPr>
          <w:color w:val="231F20"/>
          <w:spacing w:val="-31"/>
          <w:w w:val="105"/>
        </w:rPr>
        <w:t> </w:t>
      </w:r>
      <w:r>
        <w:rPr>
          <w:color w:val="231F20"/>
          <w:w w:val="105"/>
        </w:rPr>
        <w:t>significa ciertamente</w:t>
      </w:r>
      <w:r>
        <w:rPr>
          <w:color w:val="231F20"/>
          <w:spacing w:val="-22"/>
          <w:w w:val="105"/>
        </w:rPr>
        <w:t> </w:t>
      </w:r>
      <w:r>
        <w:rPr>
          <w:color w:val="231F20"/>
          <w:w w:val="105"/>
        </w:rPr>
        <w:t>que</w:t>
      </w:r>
      <w:r>
        <w:rPr>
          <w:color w:val="231F20"/>
          <w:spacing w:val="-22"/>
          <w:w w:val="105"/>
        </w:rPr>
        <w:t> </w:t>
      </w:r>
      <w:r>
        <w:rPr>
          <w:color w:val="231F20"/>
          <w:w w:val="105"/>
        </w:rPr>
        <w:t>“el</w:t>
      </w:r>
      <w:r>
        <w:rPr>
          <w:color w:val="231F20"/>
          <w:spacing w:val="-22"/>
          <w:w w:val="105"/>
        </w:rPr>
        <w:t> </w:t>
      </w:r>
      <w:r>
        <w:rPr>
          <w:color w:val="231F20"/>
          <w:w w:val="105"/>
        </w:rPr>
        <w:t>Estado</w:t>
      </w:r>
      <w:r>
        <w:rPr>
          <w:color w:val="231F20"/>
          <w:spacing w:val="-22"/>
          <w:w w:val="105"/>
        </w:rPr>
        <w:t> </w:t>
      </w:r>
      <w:r>
        <w:rPr>
          <w:color w:val="231F20"/>
          <w:w w:val="105"/>
        </w:rPr>
        <w:t>deba</w:t>
      </w:r>
      <w:r>
        <w:rPr>
          <w:color w:val="231F20"/>
          <w:spacing w:val="-22"/>
          <w:w w:val="105"/>
        </w:rPr>
        <w:t> </w:t>
      </w:r>
      <w:r>
        <w:rPr>
          <w:color w:val="231F20"/>
          <w:w w:val="105"/>
        </w:rPr>
        <w:t>ser</w:t>
      </w:r>
      <w:r>
        <w:rPr>
          <w:color w:val="231F20"/>
          <w:spacing w:val="-22"/>
          <w:w w:val="105"/>
        </w:rPr>
        <w:t> </w:t>
      </w:r>
      <w:r>
        <w:rPr>
          <w:color w:val="231F20"/>
          <w:w w:val="105"/>
        </w:rPr>
        <w:t>abandonado</w:t>
      </w:r>
      <w:r>
        <w:rPr>
          <w:color w:val="231F20"/>
          <w:spacing w:val="-22"/>
          <w:w w:val="105"/>
        </w:rPr>
        <w:t> </w:t>
      </w:r>
      <w:r>
        <w:rPr>
          <w:color w:val="231F20"/>
          <w:w w:val="105"/>
        </w:rPr>
        <w:t>o</w:t>
      </w:r>
      <w:r>
        <w:rPr>
          <w:color w:val="231F20"/>
          <w:spacing w:val="-22"/>
          <w:w w:val="105"/>
        </w:rPr>
        <w:t> </w:t>
      </w:r>
      <w:r>
        <w:rPr>
          <w:color w:val="231F20"/>
          <w:w w:val="105"/>
        </w:rPr>
        <w:t>la</w:t>
      </w:r>
      <w:r>
        <w:rPr>
          <w:color w:val="231F20"/>
          <w:spacing w:val="-22"/>
          <w:w w:val="105"/>
        </w:rPr>
        <w:t> </w:t>
      </w:r>
      <w:r>
        <w:rPr>
          <w:color w:val="231F20"/>
          <w:w w:val="105"/>
        </w:rPr>
        <w:t>soberanía</w:t>
      </w:r>
      <w:r>
        <w:rPr>
          <w:color w:val="231F20"/>
          <w:spacing w:val="-22"/>
          <w:w w:val="105"/>
        </w:rPr>
        <w:t> </w:t>
      </w:r>
      <w:r>
        <w:rPr>
          <w:color w:val="231F20"/>
          <w:w w:val="105"/>
        </w:rPr>
        <w:t>desacre- ditada como concepto”</w:t>
      </w:r>
      <w:r>
        <w:rPr>
          <w:color w:val="231F20"/>
          <w:w w:val="105"/>
          <w:position w:val="7"/>
          <w:sz w:val="12"/>
        </w:rPr>
        <w:t>74</w:t>
      </w:r>
      <w:r>
        <w:rPr>
          <w:color w:val="231F20"/>
          <w:w w:val="105"/>
        </w:rPr>
        <w:t>. </w:t>
      </w:r>
      <w:r>
        <w:rPr>
          <w:color w:val="231F20"/>
          <w:spacing w:val="-4"/>
          <w:w w:val="105"/>
        </w:rPr>
        <w:t>También </w:t>
      </w:r>
      <w:r>
        <w:rPr>
          <w:color w:val="231F20"/>
          <w:w w:val="105"/>
        </w:rPr>
        <w:t>en un mundo globalizado “el Estado permanece como la principal unidad de protección y acción colectiva”</w:t>
      </w:r>
      <w:r>
        <w:rPr>
          <w:color w:val="231F20"/>
          <w:spacing w:val="-17"/>
          <w:w w:val="105"/>
        </w:rPr>
        <w:t> </w:t>
      </w:r>
      <w:r>
        <w:rPr>
          <w:color w:val="231F20"/>
          <w:w w:val="105"/>
        </w:rPr>
        <w:t>y “la</w:t>
      </w:r>
      <w:r>
        <w:rPr>
          <w:color w:val="231F20"/>
          <w:spacing w:val="-35"/>
          <w:w w:val="105"/>
        </w:rPr>
        <w:t> </w:t>
      </w:r>
      <w:r>
        <w:rPr>
          <w:color w:val="231F20"/>
          <w:w w:val="105"/>
        </w:rPr>
        <w:t>soberanía</w:t>
      </w:r>
      <w:r>
        <w:rPr>
          <w:color w:val="231F20"/>
          <w:spacing w:val="-35"/>
          <w:w w:val="105"/>
        </w:rPr>
        <w:t> </w:t>
      </w:r>
      <w:r>
        <w:rPr>
          <w:color w:val="231F20"/>
          <w:w w:val="105"/>
        </w:rPr>
        <w:t>como</w:t>
      </w:r>
      <w:r>
        <w:rPr>
          <w:color w:val="231F20"/>
          <w:spacing w:val="-35"/>
          <w:w w:val="105"/>
        </w:rPr>
        <w:t> </w:t>
      </w:r>
      <w:r>
        <w:rPr>
          <w:color w:val="231F20"/>
          <w:w w:val="105"/>
        </w:rPr>
        <w:t>tal,</w:t>
      </w:r>
      <w:r>
        <w:rPr>
          <w:color w:val="231F20"/>
          <w:spacing w:val="-35"/>
          <w:w w:val="105"/>
        </w:rPr>
        <w:t> </w:t>
      </w:r>
      <w:r>
        <w:rPr>
          <w:color w:val="231F20"/>
          <w:w w:val="105"/>
        </w:rPr>
        <w:t>refleja</w:t>
      </w:r>
      <w:r>
        <w:rPr>
          <w:color w:val="231F20"/>
          <w:spacing w:val="-35"/>
          <w:w w:val="105"/>
        </w:rPr>
        <w:t> </w:t>
      </w:r>
      <w:r>
        <w:rPr>
          <w:color w:val="231F20"/>
          <w:w w:val="105"/>
        </w:rPr>
        <w:t>la</w:t>
      </w:r>
      <w:r>
        <w:rPr>
          <w:color w:val="231F20"/>
          <w:spacing w:val="-35"/>
          <w:w w:val="105"/>
        </w:rPr>
        <w:t> </w:t>
      </w:r>
      <w:r>
        <w:rPr>
          <w:color w:val="231F20"/>
          <w:w w:val="105"/>
        </w:rPr>
        <w:t>lealtad</w:t>
      </w:r>
      <w:r>
        <w:rPr>
          <w:color w:val="231F20"/>
          <w:spacing w:val="-35"/>
          <w:w w:val="105"/>
        </w:rPr>
        <w:t> </w:t>
      </w:r>
      <w:r>
        <w:rPr>
          <w:color w:val="231F20"/>
          <w:w w:val="105"/>
        </w:rPr>
        <w:t>que</w:t>
      </w:r>
      <w:r>
        <w:rPr>
          <w:color w:val="231F20"/>
          <w:spacing w:val="-35"/>
          <w:w w:val="105"/>
        </w:rPr>
        <w:t> </w:t>
      </w:r>
      <w:r>
        <w:rPr>
          <w:color w:val="231F20"/>
          <w:w w:val="105"/>
        </w:rPr>
        <w:t>la</w:t>
      </w:r>
      <w:r>
        <w:rPr>
          <w:color w:val="231F20"/>
          <w:spacing w:val="-35"/>
          <w:w w:val="105"/>
        </w:rPr>
        <w:t> </w:t>
      </w:r>
      <w:r>
        <w:rPr>
          <w:color w:val="231F20"/>
          <w:w w:val="105"/>
        </w:rPr>
        <w:t>mayor</w:t>
      </w:r>
      <w:r>
        <w:rPr>
          <w:color w:val="231F20"/>
          <w:spacing w:val="-35"/>
          <w:w w:val="105"/>
        </w:rPr>
        <w:t> </w:t>
      </w:r>
      <w:r>
        <w:rPr>
          <w:color w:val="231F20"/>
          <w:w w:val="105"/>
        </w:rPr>
        <w:t>parte</w:t>
      </w:r>
      <w:r>
        <w:rPr>
          <w:color w:val="231F20"/>
          <w:spacing w:val="-35"/>
          <w:w w:val="105"/>
        </w:rPr>
        <w:t> </w:t>
      </w:r>
      <w:r>
        <w:rPr>
          <w:color w:val="231F20"/>
          <w:w w:val="105"/>
        </w:rPr>
        <w:t>de</w:t>
      </w:r>
      <w:r>
        <w:rPr>
          <w:color w:val="231F20"/>
          <w:spacing w:val="-35"/>
          <w:w w:val="105"/>
        </w:rPr>
        <w:t> </w:t>
      </w:r>
      <w:r>
        <w:rPr>
          <w:color w:val="231F20"/>
          <w:w w:val="105"/>
        </w:rPr>
        <w:t>las</w:t>
      </w:r>
      <w:r>
        <w:rPr>
          <w:color w:val="231F20"/>
          <w:spacing w:val="-35"/>
          <w:w w:val="105"/>
        </w:rPr>
        <w:t> </w:t>
      </w:r>
      <w:r>
        <w:rPr>
          <w:color w:val="231F20"/>
          <w:w w:val="105"/>
        </w:rPr>
        <w:t>personas tienen hacia sus propios Estados”. El reto ante el que nos</w:t>
      </w:r>
      <w:r>
        <w:rPr>
          <w:color w:val="231F20"/>
          <w:spacing w:val="-9"/>
          <w:w w:val="105"/>
        </w:rPr>
        <w:t> </w:t>
      </w:r>
      <w:r>
        <w:rPr>
          <w:color w:val="231F20"/>
          <w:w w:val="105"/>
        </w:rPr>
        <w:t>encontramos es el de reconceptualizar “el Estado como una unidad política capaz de mantener</w:t>
      </w:r>
      <w:r>
        <w:rPr>
          <w:color w:val="231F20"/>
          <w:spacing w:val="-30"/>
          <w:w w:val="105"/>
        </w:rPr>
        <w:t> </w:t>
      </w:r>
      <w:r>
        <w:rPr>
          <w:color w:val="231F20"/>
          <w:w w:val="105"/>
        </w:rPr>
        <w:t>el</w:t>
      </w:r>
      <w:r>
        <w:rPr>
          <w:color w:val="231F20"/>
          <w:spacing w:val="-30"/>
          <w:w w:val="105"/>
        </w:rPr>
        <w:t> </w:t>
      </w:r>
      <w:r>
        <w:rPr>
          <w:color w:val="231F20"/>
          <w:w w:val="105"/>
        </w:rPr>
        <w:t>orden</w:t>
      </w:r>
      <w:r>
        <w:rPr>
          <w:color w:val="231F20"/>
          <w:spacing w:val="-30"/>
          <w:w w:val="105"/>
        </w:rPr>
        <w:t> </w:t>
      </w:r>
      <w:r>
        <w:rPr>
          <w:color w:val="231F20"/>
          <w:w w:val="105"/>
        </w:rPr>
        <w:t>interno</w:t>
      </w:r>
      <w:r>
        <w:rPr>
          <w:color w:val="231F20"/>
          <w:spacing w:val="-30"/>
          <w:w w:val="105"/>
        </w:rPr>
        <w:t> </w:t>
      </w:r>
      <w:r>
        <w:rPr>
          <w:color w:val="231F20"/>
          <w:w w:val="105"/>
        </w:rPr>
        <w:t>y</w:t>
      </w:r>
      <w:r>
        <w:rPr>
          <w:color w:val="231F20"/>
          <w:spacing w:val="-30"/>
          <w:w w:val="105"/>
        </w:rPr>
        <w:t> </w:t>
      </w:r>
      <w:r>
        <w:rPr>
          <w:color w:val="231F20"/>
          <w:w w:val="105"/>
        </w:rPr>
        <w:t>contemporáneamente</w:t>
      </w:r>
      <w:r>
        <w:rPr>
          <w:color w:val="231F20"/>
          <w:spacing w:val="-30"/>
          <w:w w:val="105"/>
        </w:rPr>
        <w:t> </w:t>
      </w:r>
      <w:r>
        <w:rPr>
          <w:color w:val="231F20"/>
          <w:w w:val="105"/>
        </w:rPr>
        <w:t>comprometerse</w:t>
      </w:r>
      <w:r>
        <w:rPr>
          <w:color w:val="231F20"/>
          <w:spacing w:val="-30"/>
          <w:w w:val="105"/>
        </w:rPr>
        <w:t> </w:t>
      </w:r>
      <w:r>
        <w:rPr>
          <w:color w:val="231F20"/>
          <w:w w:val="105"/>
        </w:rPr>
        <w:t>con</w:t>
      </w:r>
      <w:r>
        <w:rPr>
          <w:color w:val="231F20"/>
          <w:spacing w:val="-30"/>
          <w:w w:val="105"/>
        </w:rPr>
        <w:t> </w:t>
      </w:r>
      <w:r>
        <w:rPr>
          <w:color w:val="231F20"/>
          <w:w w:val="105"/>
        </w:rPr>
        <w:t>la cooperación</w:t>
      </w:r>
      <w:r>
        <w:rPr>
          <w:color w:val="231F20"/>
          <w:spacing w:val="-37"/>
          <w:w w:val="105"/>
        </w:rPr>
        <w:t> </w:t>
      </w:r>
      <w:r>
        <w:rPr>
          <w:color w:val="231F20"/>
          <w:w w:val="105"/>
        </w:rPr>
        <w:t>internacional,</w:t>
      </w:r>
      <w:r>
        <w:rPr>
          <w:color w:val="231F20"/>
          <w:spacing w:val="-37"/>
          <w:w w:val="105"/>
        </w:rPr>
        <w:t> </w:t>
      </w:r>
      <w:r>
        <w:rPr>
          <w:color w:val="231F20"/>
          <w:w w:val="105"/>
        </w:rPr>
        <w:t>sin</w:t>
      </w:r>
      <w:r>
        <w:rPr>
          <w:color w:val="231F20"/>
          <w:spacing w:val="-37"/>
          <w:w w:val="105"/>
        </w:rPr>
        <w:t> </w:t>
      </w:r>
      <w:r>
        <w:rPr>
          <w:color w:val="231F20"/>
          <w:w w:val="105"/>
        </w:rPr>
        <w:t>reivindicar</w:t>
      </w:r>
      <w:r>
        <w:rPr>
          <w:color w:val="231F20"/>
          <w:spacing w:val="-37"/>
          <w:w w:val="105"/>
        </w:rPr>
        <w:t> </w:t>
      </w:r>
      <w:r>
        <w:rPr>
          <w:color w:val="231F20"/>
          <w:w w:val="105"/>
        </w:rPr>
        <w:t>aquellos</w:t>
      </w:r>
      <w:r>
        <w:rPr>
          <w:color w:val="231F20"/>
          <w:spacing w:val="-37"/>
          <w:w w:val="105"/>
        </w:rPr>
        <w:t> </w:t>
      </w:r>
      <w:r>
        <w:rPr>
          <w:color w:val="231F20"/>
          <w:w w:val="105"/>
        </w:rPr>
        <w:t>derechos</w:t>
      </w:r>
      <w:r>
        <w:rPr>
          <w:color w:val="231F20"/>
          <w:spacing w:val="-37"/>
          <w:w w:val="105"/>
        </w:rPr>
        <w:t> </w:t>
      </w:r>
      <w:r>
        <w:rPr>
          <w:color w:val="231F20"/>
          <w:w w:val="105"/>
        </w:rPr>
        <w:t>absolutos</w:t>
      </w:r>
      <w:r>
        <w:rPr>
          <w:color w:val="231F20"/>
          <w:spacing w:val="-37"/>
          <w:w w:val="105"/>
        </w:rPr>
        <w:t> </w:t>
      </w:r>
      <w:r>
        <w:rPr>
          <w:color w:val="231F20"/>
          <w:w w:val="105"/>
        </w:rPr>
        <w:t>(…) tradicionalmente asociados con la soberanía” —este es un objetivo que presupone</w:t>
      </w:r>
      <w:r>
        <w:rPr>
          <w:color w:val="231F20"/>
          <w:spacing w:val="-16"/>
          <w:w w:val="105"/>
        </w:rPr>
        <w:t> </w:t>
      </w:r>
      <w:r>
        <w:rPr>
          <w:color w:val="231F20"/>
          <w:w w:val="105"/>
        </w:rPr>
        <w:t>superar</w:t>
      </w:r>
      <w:r>
        <w:rPr>
          <w:color w:val="231F20"/>
          <w:spacing w:val="-16"/>
          <w:w w:val="105"/>
        </w:rPr>
        <w:t> </w:t>
      </w:r>
      <w:r>
        <w:rPr>
          <w:color w:val="231F20"/>
          <w:w w:val="105"/>
        </w:rPr>
        <w:t>definitivamente</w:t>
      </w:r>
      <w:r>
        <w:rPr>
          <w:color w:val="231F20"/>
          <w:spacing w:val="-16"/>
          <w:w w:val="105"/>
        </w:rPr>
        <w:t> </w:t>
      </w:r>
      <w:r>
        <w:rPr>
          <w:color w:val="231F20"/>
          <w:w w:val="105"/>
        </w:rPr>
        <w:t>la</w:t>
      </w:r>
      <w:r>
        <w:rPr>
          <w:color w:val="231F20"/>
          <w:spacing w:val="-16"/>
          <w:w w:val="105"/>
        </w:rPr>
        <w:t> </w:t>
      </w:r>
      <w:r>
        <w:rPr>
          <w:color w:val="231F20"/>
          <w:w w:val="105"/>
        </w:rPr>
        <w:t>concepción</w:t>
      </w:r>
      <w:r>
        <w:rPr>
          <w:color w:val="231F20"/>
          <w:spacing w:val="-16"/>
          <w:w w:val="105"/>
        </w:rPr>
        <w:t> </w:t>
      </w:r>
      <w:r>
        <w:rPr>
          <w:color w:val="231F20"/>
          <w:w w:val="105"/>
        </w:rPr>
        <w:t>“monista”</w:t>
      </w:r>
      <w:r>
        <w:rPr>
          <w:color w:val="231F20"/>
          <w:spacing w:val="-16"/>
          <w:w w:val="105"/>
        </w:rPr>
        <w:t> </w:t>
      </w:r>
      <w:r>
        <w:rPr>
          <w:color w:val="231F20"/>
          <w:w w:val="105"/>
        </w:rPr>
        <w:t>y</w:t>
      </w:r>
      <w:r>
        <w:rPr>
          <w:color w:val="231F20"/>
          <w:spacing w:val="-16"/>
          <w:w w:val="105"/>
        </w:rPr>
        <w:t> </w:t>
      </w:r>
      <w:r>
        <w:rPr>
          <w:color w:val="231F20"/>
          <w:w w:val="105"/>
        </w:rPr>
        <w:t>“absoluta”</w:t>
      </w:r>
    </w:p>
    <w:p>
      <w:pPr>
        <w:pStyle w:val="BodyText"/>
        <w:rPr>
          <w:sz w:val="20"/>
        </w:rPr>
      </w:pPr>
    </w:p>
    <w:p>
      <w:pPr>
        <w:pStyle w:val="BodyText"/>
        <w:rPr>
          <w:sz w:val="20"/>
        </w:rPr>
      </w:pPr>
    </w:p>
    <w:p>
      <w:pPr>
        <w:pStyle w:val="BodyText"/>
        <w:spacing w:before="3"/>
        <w:rPr>
          <w:sz w:val="29"/>
        </w:rPr>
      </w:pPr>
      <w:r>
        <w:rPr/>
        <w:pict>
          <v:line style="position:absolute;mso-position-horizontal-relative:page;mso-position-vertical-relative:paragraph;z-index:8056;mso-wrap-distance-left:0;mso-wrap-distance-right:0" from="70.866096pt,19.766359pt" to="184.252096pt,19.766359pt" stroked="true" strokeweight=".3pt" strokecolor="#231f20">
            <w10:wrap type="topAndBottom"/>
          </v:line>
        </w:pict>
      </w:r>
    </w:p>
    <w:p>
      <w:pPr>
        <w:spacing w:line="206" w:lineRule="exact" w:before="10"/>
        <w:ind w:left="117" w:right="0" w:firstLine="0"/>
        <w:jc w:val="left"/>
        <w:rPr>
          <w:rFonts w:ascii="Calibri" w:hAnsi="Calibri"/>
          <w:sz w:val="17"/>
        </w:rPr>
      </w:pPr>
      <w:r>
        <w:rPr>
          <w:rFonts w:ascii="Calibri" w:hAnsi="Calibri"/>
          <w:color w:val="231F20"/>
          <w:position w:val="6"/>
          <w:sz w:val="10"/>
        </w:rPr>
        <w:t>72  </w:t>
      </w:r>
      <w:r>
        <w:rPr>
          <w:rFonts w:ascii="Calibri" w:hAnsi="Calibri"/>
          <w:color w:val="231F20"/>
          <w:sz w:val="17"/>
        </w:rPr>
        <w:t>Devetak, “Between Kant and Pufendorf”, p. 159.</w:t>
      </w:r>
    </w:p>
    <w:p>
      <w:pPr>
        <w:spacing w:line="204" w:lineRule="exact" w:before="0"/>
        <w:ind w:left="117" w:right="0" w:firstLine="0"/>
        <w:jc w:val="left"/>
        <w:rPr>
          <w:rFonts w:ascii="Calibri" w:hAnsi="Calibri"/>
          <w:sz w:val="17"/>
        </w:rPr>
      </w:pPr>
      <w:r>
        <w:rPr>
          <w:rFonts w:ascii="Calibri" w:hAnsi="Calibri"/>
          <w:color w:val="231F20"/>
          <w:position w:val="6"/>
          <w:sz w:val="10"/>
        </w:rPr>
        <w:t>73  </w:t>
      </w:r>
      <w:r>
        <w:rPr>
          <w:rFonts w:ascii="Calibri" w:hAnsi="Calibri"/>
          <w:color w:val="231F20"/>
          <w:sz w:val="17"/>
        </w:rPr>
        <w:t>Devetak, “Between Kant and Pufendorf”, p. 168.</w:t>
      </w:r>
    </w:p>
    <w:p>
      <w:pPr>
        <w:spacing w:line="235" w:lineRule="auto" w:before="1"/>
        <w:ind w:left="117" w:right="0" w:firstLine="0"/>
        <w:jc w:val="left"/>
        <w:rPr>
          <w:rFonts w:ascii="Calibri" w:hAnsi="Calibri"/>
          <w:sz w:val="17"/>
        </w:rPr>
      </w:pPr>
      <w:r>
        <w:rPr>
          <w:rFonts w:ascii="Calibri" w:hAnsi="Calibri"/>
          <w:color w:val="231F20"/>
          <w:position w:val="6"/>
          <w:sz w:val="10"/>
        </w:rPr>
        <w:t>74 </w:t>
      </w:r>
      <w:r>
        <w:rPr>
          <w:rFonts w:ascii="Calibri" w:hAnsi="Calibri"/>
          <w:color w:val="231F20"/>
          <w:sz w:val="17"/>
        </w:rPr>
        <w:t>Keohane, “Political authority after intervention: gradations in sovereignty”, </w:t>
      </w:r>
      <w:r>
        <w:rPr>
          <w:rFonts w:ascii="Calibri" w:hAnsi="Calibri"/>
          <w:i/>
          <w:color w:val="231F20"/>
          <w:sz w:val="17"/>
        </w:rPr>
        <w:t>Humanitarian Inter- </w:t>
      </w:r>
      <w:r>
        <w:rPr>
          <w:rFonts w:ascii="Calibri" w:hAnsi="Calibri"/>
          <w:i/>
          <w:color w:val="231F20"/>
          <w:sz w:val="17"/>
        </w:rPr>
        <w:t>vention</w:t>
      </w:r>
      <w:r>
        <w:rPr>
          <w:rFonts w:ascii="Calibri" w:hAnsi="Calibri"/>
          <w:color w:val="231F20"/>
          <w:sz w:val="17"/>
        </w:rPr>
        <w:t>, p. 277.</w:t>
      </w:r>
    </w:p>
    <w:p>
      <w:pPr>
        <w:spacing w:after="0" w:line="235" w:lineRule="auto"/>
        <w:jc w:val="left"/>
        <w:rPr>
          <w:rFonts w:ascii="Calibri" w:hAnsi="Calibri"/>
          <w:sz w:val="17"/>
        </w:rPr>
        <w:sectPr>
          <w:type w:val="continuous"/>
          <w:pgSz w:w="9640" w:h="13890"/>
          <w:pgMar w:top="0" w:bottom="0" w:left="1300" w:right="1200"/>
        </w:sectPr>
      </w:pPr>
    </w:p>
    <w:p>
      <w:pPr>
        <w:pStyle w:val="BodyText"/>
        <w:spacing w:line="247" w:lineRule="auto" w:before="107"/>
        <w:ind w:left="103" w:right="115"/>
        <w:jc w:val="both"/>
      </w:pPr>
      <w:r>
        <w:rPr>
          <w:color w:val="231F20"/>
        </w:rPr>
        <w:t>de la soberanía característica del “modelo Westfalia”, a favor de una ca- racterización “modular”, “graduada” y “relacional” del mismo concepto</w:t>
      </w:r>
      <w:r>
        <w:rPr>
          <w:color w:val="231F20"/>
          <w:position w:val="7"/>
          <w:sz w:val="12"/>
        </w:rPr>
        <w:t>75</w:t>
      </w:r>
      <w:r>
        <w:rPr>
          <w:color w:val="231F20"/>
        </w:rPr>
        <w:t>. Entre las elaboraciones teóricas que mejor expresan la concreta magnitud de</w:t>
      </w:r>
      <w:r>
        <w:rPr>
          <w:color w:val="231F20"/>
          <w:spacing w:val="-7"/>
        </w:rPr>
        <w:t> </w:t>
      </w:r>
      <w:r>
        <w:rPr>
          <w:color w:val="231F20"/>
        </w:rPr>
        <w:t>esta</w:t>
      </w:r>
      <w:r>
        <w:rPr>
          <w:color w:val="231F20"/>
          <w:spacing w:val="-7"/>
        </w:rPr>
        <w:t> </w:t>
      </w:r>
      <w:r>
        <w:rPr>
          <w:color w:val="231F20"/>
        </w:rPr>
        <w:t>“conceptual</w:t>
      </w:r>
      <w:r>
        <w:rPr>
          <w:color w:val="231F20"/>
          <w:spacing w:val="-7"/>
        </w:rPr>
        <w:t> </w:t>
      </w:r>
      <w:r>
        <w:rPr>
          <w:color w:val="231F20"/>
        </w:rPr>
        <w:t>departure</w:t>
      </w:r>
      <w:r>
        <w:rPr>
          <w:color w:val="231F20"/>
          <w:spacing w:val="-7"/>
        </w:rPr>
        <w:t> </w:t>
      </w:r>
      <w:r>
        <w:rPr>
          <w:color w:val="231F20"/>
        </w:rPr>
        <w:t>from</w:t>
      </w:r>
      <w:r>
        <w:rPr>
          <w:color w:val="231F20"/>
          <w:spacing w:val="-7"/>
        </w:rPr>
        <w:t> </w:t>
      </w:r>
      <w:r>
        <w:rPr>
          <w:color w:val="231F20"/>
        </w:rPr>
        <w:t>the</w:t>
      </w:r>
      <w:r>
        <w:rPr>
          <w:color w:val="231F20"/>
          <w:spacing w:val="-7"/>
        </w:rPr>
        <w:t> </w:t>
      </w:r>
      <w:r>
        <w:rPr>
          <w:color w:val="231F20"/>
        </w:rPr>
        <w:t>historical</w:t>
      </w:r>
      <w:r>
        <w:rPr>
          <w:color w:val="231F20"/>
          <w:spacing w:val="-7"/>
        </w:rPr>
        <w:t> </w:t>
      </w:r>
      <w:r>
        <w:rPr>
          <w:color w:val="231F20"/>
        </w:rPr>
        <w:t>and</w:t>
      </w:r>
      <w:r>
        <w:rPr>
          <w:color w:val="231F20"/>
          <w:spacing w:val="-7"/>
        </w:rPr>
        <w:t> </w:t>
      </w:r>
      <w:r>
        <w:rPr>
          <w:color w:val="231F20"/>
        </w:rPr>
        <w:t>discredited</w:t>
      </w:r>
      <w:r>
        <w:rPr>
          <w:color w:val="231F20"/>
          <w:spacing w:val="-7"/>
        </w:rPr>
        <w:t> </w:t>
      </w:r>
      <w:r>
        <w:rPr>
          <w:color w:val="231F20"/>
        </w:rPr>
        <w:t>Westpha- lian concept of sovereignty”</w:t>
      </w:r>
      <w:r>
        <w:rPr>
          <w:color w:val="231F20"/>
          <w:position w:val="7"/>
          <w:sz w:val="12"/>
        </w:rPr>
        <w:t>76</w:t>
      </w:r>
      <w:r>
        <w:rPr>
          <w:color w:val="231F20"/>
        </w:rPr>
        <w:t>, es posible sin duda citar la noción de “poo- led sovereignty”, ampliamente presente en el debate sobre las nuevas </w:t>
      </w:r>
      <w:r>
        <w:rPr>
          <w:color w:val="231F20"/>
          <w:spacing w:val="-3"/>
        </w:rPr>
        <w:t>for- </w:t>
      </w:r>
      <w:r>
        <w:rPr>
          <w:color w:val="231F20"/>
        </w:rPr>
        <w:t>mas de organización transnacional como la Unión Europea</w:t>
      </w:r>
      <w:r>
        <w:rPr>
          <w:color w:val="231F20"/>
          <w:position w:val="7"/>
          <w:sz w:val="12"/>
        </w:rPr>
        <w:t>77</w:t>
      </w:r>
      <w:r>
        <w:rPr>
          <w:color w:val="231F20"/>
        </w:rPr>
        <w:t>, la categoría de “complex sovereignty” utilizada por sociólogos y politólogos para dar cuenta de los cambios fundamentales en las modalidades de ejercicio del “gobierno” y de la “autoridad política” característicos de las sociedades contemporáneas</w:t>
      </w:r>
      <w:r>
        <w:rPr>
          <w:color w:val="231F20"/>
          <w:position w:val="7"/>
          <w:sz w:val="12"/>
        </w:rPr>
        <w:t>78</w:t>
      </w:r>
      <w:r>
        <w:rPr>
          <w:color w:val="231F20"/>
        </w:rPr>
        <w:t>, y sobre todo el modelo de “unbundled sovereignty”, propuesto por Stephen </w:t>
      </w:r>
      <w:r>
        <w:rPr>
          <w:color w:val="231F20"/>
          <w:spacing w:val="-3"/>
        </w:rPr>
        <w:t>Krasner, </w:t>
      </w:r>
      <w:r>
        <w:rPr>
          <w:color w:val="231F20"/>
        </w:rPr>
        <w:t>en explícita polémica con la “hipócrita” representación del orden internacional que ofrece, desde sus orígenes, la teoría política moderna</w:t>
      </w:r>
      <w:r>
        <w:rPr>
          <w:color w:val="231F20"/>
          <w:position w:val="7"/>
          <w:sz w:val="12"/>
        </w:rPr>
        <w:t>79</w:t>
      </w:r>
      <w:r>
        <w:rPr>
          <w:color w:val="231F20"/>
        </w:rPr>
        <w:t>. Según su influyente y discutida</w:t>
      </w:r>
      <w:r>
        <w:rPr>
          <w:color w:val="231F20"/>
          <w:position w:val="7"/>
          <w:sz w:val="12"/>
        </w:rPr>
        <w:t>80 </w:t>
      </w:r>
      <w:r>
        <w:rPr>
          <w:color w:val="231F20"/>
        </w:rPr>
        <w:t>interpretación, algunas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dificultades</w:t>
      </w:r>
      <w:r>
        <w:rPr>
          <w:color w:val="231F20"/>
          <w:spacing w:val="-7"/>
        </w:rPr>
        <w:t> </w:t>
      </w:r>
      <w:r>
        <w:rPr>
          <w:color w:val="231F20"/>
        </w:rPr>
        <w:t>constructivas</w:t>
      </w:r>
      <w:r>
        <w:rPr>
          <w:color w:val="231F20"/>
          <w:spacing w:val="-7"/>
        </w:rPr>
        <w:t> </w:t>
      </w:r>
      <w:r>
        <w:rPr>
          <w:color w:val="231F20"/>
        </w:rPr>
        <w:t>sin</w:t>
      </w:r>
      <w:r>
        <w:rPr>
          <w:color w:val="231F20"/>
          <w:spacing w:val="-7"/>
        </w:rPr>
        <w:t> </w:t>
      </w:r>
      <w:r>
        <w:rPr>
          <w:color w:val="231F20"/>
        </w:rPr>
        <w:t>solución</w:t>
      </w:r>
      <w:r>
        <w:rPr>
          <w:color w:val="231F20"/>
          <w:spacing w:val="-7"/>
        </w:rPr>
        <w:t> </w:t>
      </w:r>
      <w:r>
        <w:rPr>
          <w:color w:val="231F20"/>
        </w:rPr>
        <w:t>que</w:t>
      </w:r>
      <w:r>
        <w:rPr>
          <w:color w:val="231F20"/>
          <w:spacing w:val="-7"/>
        </w:rPr>
        <w:t> </w:t>
      </w:r>
      <w:r>
        <w:rPr>
          <w:color w:val="231F20"/>
        </w:rPr>
        <w:t>caracterizan</w:t>
      </w:r>
      <w:r>
        <w:rPr>
          <w:color w:val="231F20"/>
          <w:spacing w:val="-7"/>
        </w:rPr>
        <w:t> </w:t>
      </w:r>
      <w:r>
        <w:rPr>
          <w:color w:val="231F20"/>
        </w:rPr>
        <w:t>el</w:t>
      </w:r>
      <w:r>
        <w:rPr>
          <w:color w:val="231F20"/>
          <w:spacing w:val="-7"/>
        </w:rPr>
        <w:t> </w:t>
      </w:r>
      <w:r>
        <w:rPr>
          <w:color w:val="231F20"/>
          <w:spacing w:val="-4"/>
        </w:rPr>
        <w:t>or- </w:t>
      </w:r>
      <w:r>
        <w:rPr>
          <w:color w:val="231F20"/>
        </w:rPr>
        <w:t>den internacional contemporáneo son, en efecto, producto de una confusa semántica de la soberanía que utiliza esta noción para describir cuatro ca- racterísticas diferentes, “lógicamente distintas” de los Estados: su preten- sión de exclusividad, su estatus jurídico internacional, (independencia), su capacidad de controlar los flujos transfronterizos y sus estructuras</w:t>
      </w:r>
      <w:r>
        <w:rPr>
          <w:color w:val="231F20"/>
          <w:spacing w:val="-33"/>
        </w:rPr>
        <w:t> </w:t>
      </w:r>
      <w:r>
        <w:rPr>
          <w:color w:val="231F20"/>
        </w:rPr>
        <w:t>internas</w:t>
      </w:r>
    </w:p>
    <w:p>
      <w:pPr>
        <w:pStyle w:val="BodyText"/>
        <w:rPr>
          <w:sz w:val="20"/>
        </w:rPr>
      </w:pPr>
    </w:p>
    <w:p>
      <w:pPr>
        <w:pStyle w:val="BodyText"/>
        <w:spacing w:before="1"/>
        <w:rPr>
          <w:sz w:val="22"/>
        </w:rPr>
      </w:pPr>
      <w:r>
        <w:rPr/>
        <w:pict>
          <v:line style="position:absolute;mso-position-horizontal-relative:page;mso-position-vertical-relative:paragraph;z-index:8104;mso-wrap-distance-left:0;mso-wrap-distance-right:0" from="65.196899pt,15.436672pt" to="178.582899pt,15.436672pt" stroked="true" strokeweight=".3pt" strokecolor="#231f20">
            <w10:wrap type="topAndBottom"/>
          </v:line>
        </w:pict>
      </w:r>
    </w:p>
    <w:p>
      <w:pPr>
        <w:spacing w:line="206" w:lineRule="exact" w:before="10"/>
        <w:ind w:left="103" w:right="0" w:firstLine="0"/>
        <w:jc w:val="both"/>
        <w:rPr>
          <w:rFonts w:ascii="Calibri" w:hAnsi="Calibri"/>
          <w:sz w:val="17"/>
        </w:rPr>
      </w:pPr>
      <w:r>
        <w:rPr>
          <w:rFonts w:ascii="Calibri" w:hAnsi="Calibri"/>
          <w:color w:val="231F20"/>
          <w:sz w:val="17"/>
        </w:rPr>
        <w:t>75 Keohane, “Political authority after intervention: gradations in sovereignty”, pp.  282–283.</w:t>
      </w:r>
    </w:p>
    <w:p>
      <w:pPr>
        <w:spacing w:line="235" w:lineRule="auto" w:before="1"/>
        <w:ind w:left="103" w:right="115" w:firstLine="0"/>
        <w:jc w:val="both"/>
        <w:rPr>
          <w:rFonts w:ascii="Calibri" w:hAnsi="Calibri"/>
          <w:sz w:val="17"/>
        </w:rPr>
      </w:pPr>
      <w:r>
        <w:rPr>
          <w:rFonts w:ascii="Calibri" w:hAnsi="Calibri"/>
          <w:color w:val="231F20"/>
          <w:w w:val="105"/>
          <w:position w:val="6"/>
          <w:sz w:val="10"/>
        </w:rPr>
        <w:t>76</w:t>
      </w:r>
      <w:r>
        <w:rPr>
          <w:rFonts w:ascii="Calibri" w:hAnsi="Calibri"/>
          <w:color w:val="231F20"/>
          <w:spacing w:val="8"/>
          <w:w w:val="105"/>
          <w:position w:val="6"/>
          <w:sz w:val="10"/>
        </w:rPr>
        <w:t> </w:t>
      </w:r>
      <w:r>
        <w:rPr>
          <w:rFonts w:ascii="Calibri" w:hAnsi="Calibri"/>
          <w:color w:val="231F20"/>
          <w:w w:val="105"/>
          <w:sz w:val="17"/>
        </w:rPr>
        <w:t>J.</w:t>
      </w:r>
      <w:r>
        <w:rPr>
          <w:rFonts w:ascii="Calibri" w:hAnsi="Calibri"/>
          <w:color w:val="231F20"/>
          <w:spacing w:val="-9"/>
          <w:w w:val="105"/>
          <w:sz w:val="17"/>
        </w:rPr>
        <w:t> </w:t>
      </w:r>
      <w:r>
        <w:rPr>
          <w:rFonts w:ascii="Calibri" w:hAnsi="Calibri"/>
          <w:color w:val="231F20"/>
          <w:w w:val="105"/>
          <w:sz w:val="17"/>
        </w:rPr>
        <w:t>Mangala,</w:t>
      </w:r>
      <w:r>
        <w:rPr>
          <w:rFonts w:ascii="Calibri" w:hAnsi="Calibri"/>
          <w:color w:val="231F20"/>
          <w:spacing w:val="-9"/>
          <w:w w:val="105"/>
          <w:sz w:val="17"/>
        </w:rPr>
        <w:t> </w:t>
      </w:r>
      <w:r>
        <w:rPr>
          <w:rFonts w:ascii="Calibri" w:hAnsi="Calibri"/>
          <w:color w:val="231F20"/>
          <w:w w:val="105"/>
          <w:sz w:val="17"/>
        </w:rPr>
        <w:t>“State</w:t>
      </w:r>
      <w:r>
        <w:rPr>
          <w:rFonts w:ascii="Calibri" w:hAnsi="Calibri"/>
          <w:color w:val="231F20"/>
          <w:spacing w:val="-9"/>
          <w:w w:val="105"/>
          <w:sz w:val="17"/>
        </w:rPr>
        <w:t> </w:t>
      </w:r>
      <w:r>
        <w:rPr>
          <w:rFonts w:ascii="Calibri" w:hAnsi="Calibri"/>
          <w:color w:val="231F20"/>
          <w:w w:val="105"/>
          <w:sz w:val="17"/>
        </w:rPr>
        <w:t>Sovereignty</w:t>
      </w:r>
      <w:r>
        <w:rPr>
          <w:rFonts w:ascii="Calibri" w:hAnsi="Calibri"/>
          <w:color w:val="231F20"/>
          <w:spacing w:val="-9"/>
          <w:w w:val="105"/>
          <w:sz w:val="17"/>
        </w:rPr>
        <w:t> </w:t>
      </w:r>
      <w:r>
        <w:rPr>
          <w:rFonts w:ascii="Calibri" w:hAnsi="Calibri"/>
          <w:color w:val="231F20"/>
          <w:w w:val="105"/>
          <w:sz w:val="17"/>
        </w:rPr>
        <w:t>and</w:t>
      </w:r>
      <w:r>
        <w:rPr>
          <w:rFonts w:ascii="Calibri" w:hAnsi="Calibri"/>
          <w:color w:val="231F20"/>
          <w:spacing w:val="-9"/>
          <w:w w:val="105"/>
          <w:sz w:val="17"/>
        </w:rPr>
        <w:t> </w:t>
      </w:r>
      <w:r>
        <w:rPr>
          <w:rFonts w:ascii="Calibri" w:hAnsi="Calibri"/>
          <w:color w:val="231F20"/>
          <w:w w:val="105"/>
          <w:sz w:val="17"/>
        </w:rPr>
        <w:t>the</w:t>
      </w:r>
      <w:r>
        <w:rPr>
          <w:rFonts w:ascii="Calibri" w:hAnsi="Calibri"/>
          <w:color w:val="231F20"/>
          <w:spacing w:val="-9"/>
          <w:w w:val="105"/>
          <w:sz w:val="17"/>
        </w:rPr>
        <w:t> </w:t>
      </w:r>
      <w:r>
        <w:rPr>
          <w:rFonts w:ascii="Calibri" w:hAnsi="Calibri"/>
          <w:color w:val="231F20"/>
          <w:w w:val="105"/>
          <w:sz w:val="17"/>
        </w:rPr>
        <w:t>New</w:t>
      </w:r>
      <w:r>
        <w:rPr>
          <w:rFonts w:ascii="Calibri" w:hAnsi="Calibri"/>
          <w:color w:val="231F20"/>
          <w:spacing w:val="-9"/>
          <w:w w:val="105"/>
          <w:sz w:val="17"/>
        </w:rPr>
        <w:t> </w:t>
      </w:r>
      <w:r>
        <w:rPr>
          <w:rFonts w:ascii="Calibri" w:hAnsi="Calibri"/>
          <w:color w:val="231F20"/>
          <w:w w:val="105"/>
          <w:sz w:val="17"/>
        </w:rPr>
        <w:t>Globalization</w:t>
      </w:r>
      <w:r>
        <w:rPr>
          <w:rFonts w:ascii="Calibri" w:hAnsi="Calibri"/>
          <w:color w:val="231F20"/>
          <w:spacing w:val="-9"/>
          <w:w w:val="105"/>
          <w:sz w:val="17"/>
        </w:rPr>
        <w:t> </w:t>
      </w:r>
      <w:r>
        <w:rPr>
          <w:rFonts w:ascii="Calibri" w:hAnsi="Calibri"/>
          <w:color w:val="231F20"/>
          <w:w w:val="105"/>
          <w:sz w:val="17"/>
        </w:rPr>
        <w:t>in</w:t>
      </w:r>
      <w:r>
        <w:rPr>
          <w:rFonts w:ascii="Calibri" w:hAnsi="Calibri"/>
          <w:color w:val="231F20"/>
          <w:spacing w:val="-9"/>
          <w:w w:val="105"/>
          <w:sz w:val="17"/>
        </w:rPr>
        <w:t> </w:t>
      </w:r>
      <w:r>
        <w:rPr>
          <w:rFonts w:ascii="Calibri" w:hAnsi="Calibri"/>
          <w:color w:val="231F20"/>
          <w:w w:val="105"/>
          <w:sz w:val="17"/>
        </w:rPr>
        <w:t>Africa”,</w:t>
      </w:r>
      <w:r>
        <w:rPr>
          <w:rFonts w:ascii="Calibri" w:hAnsi="Calibri"/>
          <w:color w:val="231F20"/>
          <w:spacing w:val="-9"/>
          <w:w w:val="105"/>
          <w:sz w:val="17"/>
        </w:rPr>
        <w:t> </w:t>
      </w:r>
      <w:r>
        <w:rPr>
          <w:rFonts w:ascii="Calibri" w:hAnsi="Calibri"/>
          <w:color w:val="231F20"/>
          <w:w w:val="105"/>
          <w:sz w:val="17"/>
        </w:rPr>
        <w:t>G.</w:t>
      </w:r>
      <w:r>
        <w:rPr>
          <w:rFonts w:ascii="Calibri" w:hAnsi="Calibri"/>
          <w:color w:val="231F20"/>
          <w:spacing w:val="-9"/>
          <w:w w:val="105"/>
          <w:sz w:val="17"/>
        </w:rPr>
        <w:t> </w:t>
      </w:r>
      <w:r>
        <w:rPr>
          <w:rFonts w:ascii="Calibri" w:hAnsi="Calibri"/>
          <w:color w:val="231F20"/>
          <w:w w:val="105"/>
          <w:sz w:val="17"/>
        </w:rPr>
        <w:t>Klay</w:t>
      </w:r>
      <w:r>
        <w:rPr>
          <w:rFonts w:ascii="Calibri" w:hAnsi="Calibri"/>
          <w:color w:val="231F20"/>
          <w:spacing w:val="-9"/>
          <w:w w:val="105"/>
          <w:sz w:val="17"/>
        </w:rPr>
        <w:t> </w:t>
      </w:r>
      <w:r>
        <w:rPr>
          <w:rFonts w:ascii="Calibri" w:hAnsi="Calibri"/>
          <w:color w:val="231F20"/>
          <w:w w:val="105"/>
          <w:sz w:val="17"/>
        </w:rPr>
        <w:t>Kieh</w:t>
      </w:r>
      <w:r>
        <w:rPr>
          <w:rFonts w:ascii="Calibri" w:hAnsi="Calibri"/>
          <w:color w:val="231F20"/>
          <w:spacing w:val="-9"/>
          <w:w w:val="105"/>
          <w:sz w:val="17"/>
        </w:rPr>
        <w:t> </w:t>
      </w:r>
      <w:r>
        <w:rPr>
          <w:rFonts w:ascii="Calibri" w:hAnsi="Calibri"/>
          <w:color w:val="231F20"/>
          <w:spacing w:val="-4"/>
          <w:w w:val="105"/>
          <w:sz w:val="17"/>
        </w:rPr>
        <w:t>Jr.</w:t>
      </w:r>
      <w:r>
        <w:rPr>
          <w:rFonts w:ascii="Calibri" w:hAnsi="Calibri"/>
          <w:color w:val="231F20"/>
          <w:spacing w:val="-9"/>
          <w:w w:val="105"/>
          <w:sz w:val="17"/>
        </w:rPr>
        <w:t> </w:t>
      </w:r>
      <w:r>
        <w:rPr>
          <w:rFonts w:ascii="Calibri" w:hAnsi="Calibri"/>
          <w:color w:val="231F20"/>
          <w:w w:val="105"/>
          <w:sz w:val="17"/>
        </w:rPr>
        <w:t>(Ed.),</w:t>
      </w:r>
      <w:r>
        <w:rPr>
          <w:rFonts w:ascii="Calibri" w:hAnsi="Calibri"/>
          <w:color w:val="231F20"/>
          <w:spacing w:val="-9"/>
          <w:w w:val="105"/>
          <w:sz w:val="17"/>
        </w:rPr>
        <w:t> </w:t>
      </w:r>
      <w:r>
        <w:rPr>
          <w:rFonts w:ascii="Calibri" w:hAnsi="Calibri"/>
          <w:i/>
          <w:color w:val="231F20"/>
          <w:w w:val="105"/>
          <w:sz w:val="17"/>
        </w:rPr>
        <w:t>Africa </w:t>
      </w:r>
      <w:r>
        <w:rPr>
          <w:rFonts w:ascii="Calibri" w:hAnsi="Calibri"/>
          <w:i/>
          <w:color w:val="231F20"/>
          <w:w w:val="105"/>
          <w:sz w:val="17"/>
        </w:rPr>
        <w:t>and</w:t>
      </w:r>
      <w:r>
        <w:rPr>
          <w:rFonts w:ascii="Calibri" w:hAnsi="Calibri"/>
          <w:i/>
          <w:color w:val="231F20"/>
          <w:spacing w:val="-24"/>
          <w:w w:val="105"/>
          <w:sz w:val="17"/>
        </w:rPr>
        <w:t> </w:t>
      </w:r>
      <w:r>
        <w:rPr>
          <w:rFonts w:ascii="Calibri" w:hAnsi="Calibri"/>
          <w:i/>
          <w:color w:val="231F20"/>
          <w:w w:val="105"/>
          <w:sz w:val="17"/>
        </w:rPr>
        <w:t>the</w:t>
      </w:r>
      <w:r>
        <w:rPr>
          <w:rFonts w:ascii="Calibri" w:hAnsi="Calibri"/>
          <w:i/>
          <w:color w:val="231F20"/>
          <w:spacing w:val="-24"/>
          <w:w w:val="105"/>
          <w:sz w:val="17"/>
        </w:rPr>
        <w:t> </w:t>
      </w:r>
      <w:r>
        <w:rPr>
          <w:rFonts w:ascii="Calibri" w:hAnsi="Calibri"/>
          <w:i/>
          <w:color w:val="231F20"/>
          <w:w w:val="105"/>
          <w:sz w:val="17"/>
        </w:rPr>
        <w:t>New</w:t>
      </w:r>
      <w:r>
        <w:rPr>
          <w:rFonts w:ascii="Calibri" w:hAnsi="Calibri"/>
          <w:i/>
          <w:color w:val="231F20"/>
          <w:spacing w:val="-24"/>
          <w:w w:val="105"/>
          <w:sz w:val="17"/>
        </w:rPr>
        <w:t> </w:t>
      </w:r>
      <w:r>
        <w:rPr>
          <w:rFonts w:ascii="Calibri" w:hAnsi="Calibri"/>
          <w:i/>
          <w:color w:val="231F20"/>
          <w:w w:val="105"/>
          <w:sz w:val="17"/>
        </w:rPr>
        <w:t>Globalization</w:t>
      </w:r>
      <w:r>
        <w:rPr>
          <w:rFonts w:ascii="Calibri" w:hAnsi="Calibri"/>
          <w:color w:val="231F20"/>
          <w:w w:val="105"/>
          <w:sz w:val="17"/>
        </w:rPr>
        <w:t>,</w:t>
      </w:r>
      <w:r>
        <w:rPr>
          <w:rFonts w:ascii="Calibri" w:hAnsi="Calibri"/>
          <w:color w:val="231F20"/>
          <w:spacing w:val="-24"/>
          <w:w w:val="105"/>
          <w:sz w:val="17"/>
        </w:rPr>
        <w:t> </w:t>
      </w:r>
      <w:r>
        <w:rPr>
          <w:rFonts w:ascii="Calibri" w:hAnsi="Calibri"/>
          <w:color w:val="231F20"/>
          <w:w w:val="105"/>
          <w:sz w:val="17"/>
        </w:rPr>
        <w:t>Aldershot/Burlington,</w:t>
      </w:r>
      <w:r>
        <w:rPr>
          <w:rFonts w:ascii="Calibri" w:hAnsi="Calibri"/>
          <w:color w:val="231F20"/>
          <w:spacing w:val="-24"/>
          <w:w w:val="105"/>
          <w:sz w:val="17"/>
        </w:rPr>
        <w:t> </w:t>
      </w:r>
      <w:r>
        <w:rPr>
          <w:rFonts w:ascii="Calibri" w:hAnsi="Calibri"/>
          <w:color w:val="231F20"/>
          <w:w w:val="105"/>
          <w:sz w:val="17"/>
        </w:rPr>
        <w:t>2008,</w:t>
      </w:r>
      <w:r>
        <w:rPr>
          <w:rFonts w:ascii="Calibri" w:hAnsi="Calibri"/>
          <w:color w:val="231F20"/>
          <w:spacing w:val="-24"/>
          <w:w w:val="105"/>
          <w:sz w:val="17"/>
        </w:rPr>
        <w:t> </w:t>
      </w:r>
      <w:r>
        <w:rPr>
          <w:rFonts w:ascii="Calibri" w:hAnsi="Calibri"/>
          <w:color w:val="231F20"/>
          <w:w w:val="105"/>
          <w:sz w:val="17"/>
        </w:rPr>
        <w:t>p.</w:t>
      </w:r>
      <w:r>
        <w:rPr>
          <w:rFonts w:ascii="Calibri" w:hAnsi="Calibri"/>
          <w:color w:val="231F20"/>
          <w:spacing w:val="-24"/>
          <w:w w:val="105"/>
          <w:sz w:val="17"/>
        </w:rPr>
        <w:t> </w:t>
      </w:r>
      <w:r>
        <w:rPr>
          <w:rFonts w:ascii="Calibri" w:hAnsi="Calibri"/>
          <w:color w:val="231F20"/>
          <w:w w:val="105"/>
          <w:sz w:val="17"/>
        </w:rPr>
        <w:t>106.</w:t>
      </w:r>
      <w:r>
        <w:rPr>
          <w:rFonts w:ascii="Calibri" w:hAnsi="Calibri"/>
          <w:color w:val="231F20"/>
          <w:spacing w:val="-24"/>
          <w:w w:val="105"/>
          <w:sz w:val="17"/>
        </w:rPr>
        <w:t> </w:t>
      </w:r>
      <w:r>
        <w:rPr>
          <w:rFonts w:ascii="Calibri" w:hAnsi="Calibri"/>
          <w:color w:val="231F20"/>
          <w:w w:val="105"/>
          <w:sz w:val="17"/>
        </w:rPr>
        <w:t>Para</w:t>
      </w:r>
      <w:r>
        <w:rPr>
          <w:rFonts w:ascii="Calibri" w:hAnsi="Calibri"/>
          <w:color w:val="231F20"/>
          <w:spacing w:val="-24"/>
          <w:w w:val="105"/>
          <w:sz w:val="17"/>
        </w:rPr>
        <w:t> </w:t>
      </w:r>
      <w:r>
        <w:rPr>
          <w:rFonts w:ascii="Calibri" w:hAnsi="Calibri"/>
          <w:color w:val="231F20"/>
          <w:w w:val="105"/>
          <w:sz w:val="17"/>
        </w:rPr>
        <w:t>un</w:t>
      </w:r>
      <w:r>
        <w:rPr>
          <w:rFonts w:ascii="Calibri" w:hAnsi="Calibri"/>
          <w:color w:val="231F20"/>
          <w:spacing w:val="-24"/>
          <w:w w:val="105"/>
          <w:sz w:val="17"/>
        </w:rPr>
        <w:t> </w:t>
      </w:r>
      <w:r>
        <w:rPr>
          <w:rFonts w:ascii="Calibri" w:hAnsi="Calibri"/>
          <w:color w:val="231F20"/>
          <w:w w:val="105"/>
          <w:sz w:val="17"/>
        </w:rPr>
        <w:t>reconocimiento</w:t>
      </w:r>
      <w:r>
        <w:rPr>
          <w:rFonts w:ascii="Calibri" w:hAnsi="Calibri"/>
          <w:color w:val="231F20"/>
          <w:spacing w:val="-24"/>
          <w:w w:val="105"/>
          <w:sz w:val="17"/>
        </w:rPr>
        <w:t> </w:t>
      </w:r>
      <w:r>
        <w:rPr>
          <w:rFonts w:ascii="Calibri" w:hAnsi="Calibri"/>
          <w:color w:val="231F20"/>
          <w:w w:val="105"/>
          <w:sz w:val="17"/>
        </w:rPr>
        <w:t>exhaustivo del “léxico cada vez más coloquial” de la soberanía producto del reciente debate sobre el tema, véase</w:t>
      </w:r>
      <w:r>
        <w:rPr>
          <w:rFonts w:ascii="Calibri" w:hAnsi="Calibri"/>
          <w:color w:val="231F20"/>
          <w:spacing w:val="-11"/>
          <w:w w:val="105"/>
          <w:sz w:val="17"/>
        </w:rPr>
        <w:t> </w:t>
      </w:r>
      <w:r>
        <w:rPr>
          <w:rFonts w:ascii="Calibri" w:hAnsi="Calibri"/>
          <w:color w:val="231F20"/>
          <w:w w:val="105"/>
          <w:sz w:val="17"/>
        </w:rPr>
        <w:t>M.</w:t>
      </w:r>
      <w:r>
        <w:rPr>
          <w:rFonts w:ascii="Calibri" w:hAnsi="Calibri"/>
          <w:color w:val="231F20"/>
          <w:spacing w:val="-11"/>
          <w:w w:val="105"/>
          <w:sz w:val="17"/>
        </w:rPr>
        <w:t> </w:t>
      </w:r>
      <w:r>
        <w:rPr>
          <w:rFonts w:ascii="Calibri" w:hAnsi="Calibri"/>
          <w:color w:val="231F20"/>
          <w:w w:val="105"/>
          <w:sz w:val="17"/>
        </w:rPr>
        <w:t>Loughlin,</w:t>
      </w:r>
      <w:r>
        <w:rPr>
          <w:rFonts w:ascii="Calibri" w:hAnsi="Calibri"/>
          <w:color w:val="231F20"/>
          <w:spacing w:val="-11"/>
          <w:w w:val="105"/>
          <w:sz w:val="17"/>
        </w:rPr>
        <w:t> </w:t>
      </w:r>
      <w:r>
        <w:rPr>
          <w:rFonts w:ascii="Calibri" w:hAnsi="Calibri"/>
          <w:color w:val="231F20"/>
          <w:w w:val="105"/>
          <w:sz w:val="17"/>
        </w:rPr>
        <w:t>“Why</w:t>
      </w:r>
      <w:r>
        <w:rPr>
          <w:rFonts w:ascii="Calibri" w:hAnsi="Calibri"/>
          <w:color w:val="231F20"/>
          <w:spacing w:val="-11"/>
          <w:w w:val="105"/>
          <w:sz w:val="17"/>
        </w:rPr>
        <w:t> </w:t>
      </w:r>
      <w:r>
        <w:rPr>
          <w:rFonts w:ascii="Calibri" w:hAnsi="Calibri"/>
          <w:color w:val="231F20"/>
          <w:w w:val="105"/>
          <w:sz w:val="17"/>
        </w:rPr>
        <w:t>Sovereignty?”,</w:t>
      </w:r>
      <w:r>
        <w:rPr>
          <w:rFonts w:ascii="Calibri" w:hAnsi="Calibri"/>
          <w:color w:val="231F20"/>
          <w:spacing w:val="-11"/>
          <w:w w:val="105"/>
          <w:sz w:val="17"/>
        </w:rPr>
        <w:t> </w:t>
      </w:r>
      <w:r>
        <w:rPr>
          <w:rFonts w:ascii="Calibri" w:hAnsi="Calibri"/>
          <w:color w:val="231F20"/>
          <w:w w:val="105"/>
          <w:sz w:val="17"/>
        </w:rPr>
        <w:t>R.</w:t>
      </w:r>
      <w:r>
        <w:rPr>
          <w:rFonts w:ascii="Calibri" w:hAnsi="Calibri"/>
          <w:color w:val="231F20"/>
          <w:spacing w:val="-11"/>
          <w:w w:val="105"/>
          <w:sz w:val="17"/>
        </w:rPr>
        <w:t> </w:t>
      </w:r>
      <w:r>
        <w:rPr>
          <w:rFonts w:ascii="Calibri" w:hAnsi="Calibri"/>
          <w:color w:val="231F20"/>
          <w:w w:val="105"/>
          <w:sz w:val="17"/>
        </w:rPr>
        <w:t>Rawlings,</w:t>
      </w:r>
      <w:r>
        <w:rPr>
          <w:rFonts w:ascii="Calibri" w:hAnsi="Calibri"/>
          <w:color w:val="231F20"/>
          <w:spacing w:val="-11"/>
          <w:w w:val="105"/>
          <w:sz w:val="17"/>
        </w:rPr>
        <w:t> </w:t>
      </w:r>
      <w:r>
        <w:rPr>
          <w:rFonts w:ascii="Calibri" w:hAnsi="Calibri"/>
          <w:color w:val="231F20"/>
          <w:spacing w:val="-10"/>
          <w:w w:val="105"/>
          <w:sz w:val="17"/>
        </w:rPr>
        <w:t>P.</w:t>
      </w:r>
      <w:r>
        <w:rPr>
          <w:rFonts w:ascii="Calibri" w:hAnsi="Calibri"/>
          <w:color w:val="231F20"/>
          <w:spacing w:val="-11"/>
          <w:w w:val="105"/>
          <w:sz w:val="17"/>
        </w:rPr>
        <w:t> </w:t>
      </w:r>
      <w:r>
        <w:rPr>
          <w:rFonts w:ascii="Calibri" w:hAnsi="Calibri"/>
          <w:color w:val="231F20"/>
          <w:w w:val="105"/>
          <w:sz w:val="17"/>
        </w:rPr>
        <w:t>Leyland</w:t>
      </w:r>
      <w:r>
        <w:rPr>
          <w:rFonts w:ascii="Calibri" w:hAnsi="Calibri"/>
          <w:color w:val="231F20"/>
          <w:spacing w:val="-12"/>
          <w:w w:val="105"/>
          <w:sz w:val="17"/>
        </w:rPr>
        <w:t> </w:t>
      </w:r>
      <w:r>
        <w:rPr>
          <w:rFonts w:ascii="Calibri" w:hAnsi="Calibri"/>
          <w:color w:val="231F20"/>
          <w:w w:val="105"/>
          <w:sz w:val="17"/>
        </w:rPr>
        <w:t>y</w:t>
      </w:r>
      <w:r>
        <w:rPr>
          <w:rFonts w:ascii="Calibri" w:hAnsi="Calibri"/>
          <w:color w:val="231F20"/>
          <w:spacing w:val="-11"/>
          <w:w w:val="105"/>
          <w:sz w:val="17"/>
        </w:rPr>
        <w:t> </w:t>
      </w:r>
      <w:r>
        <w:rPr>
          <w:rFonts w:ascii="Calibri" w:hAnsi="Calibri"/>
          <w:color w:val="231F20"/>
          <w:w w:val="105"/>
          <w:sz w:val="17"/>
        </w:rPr>
        <w:t>A.</w:t>
      </w:r>
      <w:r>
        <w:rPr>
          <w:rFonts w:ascii="Calibri" w:hAnsi="Calibri"/>
          <w:color w:val="231F20"/>
          <w:spacing w:val="-14"/>
          <w:w w:val="105"/>
          <w:sz w:val="17"/>
        </w:rPr>
        <w:t> </w:t>
      </w:r>
      <w:r>
        <w:rPr>
          <w:rFonts w:ascii="Calibri" w:hAnsi="Calibri"/>
          <w:color w:val="231F20"/>
          <w:w w:val="105"/>
          <w:sz w:val="17"/>
        </w:rPr>
        <w:t>Young</w:t>
      </w:r>
      <w:r>
        <w:rPr>
          <w:rFonts w:ascii="Calibri" w:hAnsi="Calibri"/>
          <w:color w:val="231F20"/>
          <w:spacing w:val="-11"/>
          <w:w w:val="105"/>
          <w:sz w:val="17"/>
        </w:rPr>
        <w:t> </w:t>
      </w:r>
      <w:r>
        <w:rPr>
          <w:rFonts w:ascii="Calibri" w:hAnsi="Calibri"/>
          <w:color w:val="231F20"/>
          <w:w w:val="105"/>
          <w:sz w:val="17"/>
        </w:rPr>
        <w:t>(Eds.),</w:t>
      </w:r>
      <w:r>
        <w:rPr>
          <w:rFonts w:ascii="Calibri" w:hAnsi="Calibri"/>
          <w:color w:val="231F20"/>
          <w:spacing w:val="-11"/>
          <w:w w:val="105"/>
          <w:sz w:val="17"/>
        </w:rPr>
        <w:t> </w:t>
      </w:r>
      <w:r>
        <w:rPr>
          <w:rFonts w:ascii="Calibri" w:hAnsi="Calibri"/>
          <w:color w:val="231F20"/>
          <w:w w:val="105"/>
          <w:sz w:val="17"/>
        </w:rPr>
        <w:t>S</w:t>
      </w:r>
      <w:r>
        <w:rPr>
          <w:rFonts w:ascii="Calibri" w:hAnsi="Calibri"/>
          <w:i/>
          <w:color w:val="231F20"/>
          <w:w w:val="105"/>
          <w:sz w:val="17"/>
        </w:rPr>
        <w:t>overeignty</w:t>
      </w:r>
      <w:r>
        <w:rPr>
          <w:rFonts w:ascii="Calibri" w:hAnsi="Calibri"/>
          <w:i/>
          <w:color w:val="231F20"/>
          <w:spacing w:val="-11"/>
          <w:w w:val="105"/>
          <w:sz w:val="17"/>
        </w:rPr>
        <w:t> </w:t>
      </w:r>
      <w:r>
        <w:rPr>
          <w:rFonts w:ascii="Calibri" w:hAnsi="Calibri"/>
          <w:i/>
          <w:color w:val="231F20"/>
          <w:w w:val="105"/>
          <w:sz w:val="17"/>
        </w:rPr>
        <w:t>and </w:t>
      </w:r>
      <w:r>
        <w:rPr>
          <w:rFonts w:ascii="Calibri" w:hAnsi="Calibri"/>
          <w:i/>
          <w:color w:val="231F20"/>
          <w:w w:val="105"/>
          <w:sz w:val="17"/>
        </w:rPr>
        <w:t>the</w:t>
      </w:r>
      <w:r>
        <w:rPr>
          <w:rFonts w:ascii="Calibri" w:hAnsi="Calibri"/>
          <w:i/>
          <w:color w:val="231F20"/>
          <w:spacing w:val="-27"/>
          <w:w w:val="105"/>
          <w:sz w:val="17"/>
        </w:rPr>
        <w:t> </w:t>
      </w:r>
      <w:r>
        <w:rPr>
          <w:rFonts w:ascii="Calibri" w:hAnsi="Calibri"/>
          <w:i/>
          <w:color w:val="231F20"/>
          <w:w w:val="105"/>
          <w:sz w:val="17"/>
        </w:rPr>
        <w:t>Law:</w:t>
      </w:r>
      <w:r>
        <w:rPr>
          <w:rFonts w:ascii="Calibri" w:hAnsi="Calibri"/>
          <w:i/>
          <w:color w:val="231F20"/>
          <w:spacing w:val="-27"/>
          <w:w w:val="105"/>
          <w:sz w:val="17"/>
        </w:rPr>
        <w:t> </w:t>
      </w:r>
      <w:r>
        <w:rPr>
          <w:rFonts w:ascii="Calibri" w:hAnsi="Calibri"/>
          <w:i/>
          <w:color w:val="231F20"/>
          <w:w w:val="105"/>
          <w:sz w:val="17"/>
        </w:rPr>
        <w:t>Domestic,</w:t>
      </w:r>
      <w:r>
        <w:rPr>
          <w:rFonts w:ascii="Calibri" w:hAnsi="Calibri"/>
          <w:i/>
          <w:color w:val="231F20"/>
          <w:spacing w:val="-27"/>
          <w:w w:val="105"/>
          <w:sz w:val="17"/>
        </w:rPr>
        <w:t> </w:t>
      </w:r>
      <w:r>
        <w:rPr>
          <w:rFonts w:ascii="Calibri" w:hAnsi="Calibri"/>
          <w:i/>
          <w:color w:val="231F20"/>
          <w:w w:val="105"/>
          <w:sz w:val="17"/>
        </w:rPr>
        <w:t>European</w:t>
      </w:r>
      <w:r>
        <w:rPr>
          <w:rFonts w:ascii="Calibri" w:hAnsi="Calibri"/>
          <w:i/>
          <w:color w:val="231F20"/>
          <w:spacing w:val="-27"/>
          <w:w w:val="105"/>
          <w:sz w:val="17"/>
        </w:rPr>
        <w:t> </w:t>
      </w:r>
      <w:r>
        <w:rPr>
          <w:rFonts w:ascii="Calibri" w:hAnsi="Calibri"/>
          <w:i/>
          <w:color w:val="231F20"/>
          <w:w w:val="105"/>
          <w:sz w:val="17"/>
        </w:rPr>
        <w:t>and</w:t>
      </w:r>
      <w:r>
        <w:rPr>
          <w:rFonts w:ascii="Calibri" w:hAnsi="Calibri"/>
          <w:i/>
          <w:color w:val="231F20"/>
          <w:spacing w:val="-27"/>
          <w:w w:val="105"/>
          <w:sz w:val="17"/>
        </w:rPr>
        <w:t> </w:t>
      </w:r>
      <w:r>
        <w:rPr>
          <w:rFonts w:ascii="Calibri" w:hAnsi="Calibri"/>
          <w:i/>
          <w:color w:val="231F20"/>
          <w:w w:val="105"/>
          <w:sz w:val="17"/>
        </w:rPr>
        <w:t>International</w:t>
      </w:r>
      <w:r>
        <w:rPr>
          <w:rFonts w:ascii="Calibri" w:hAnsi="Calibri"/>
          <w:i/>
          <w:color w:val="231F20"/>
          <w:spacing w:val="-27"/>
          <w:w w:val="105"/>
          <w:sz w:val="17"/>
        </w:rPr>
        <w:t> </w:t>
      </w:r>
      <w:r>
        <w:rPr>
          <w:rFonts w:ascii="Calibri" w:hAnsi="Calibri"/>
          <w:i/>
          <w:color w:val="231F20"/>
          <w:w w:val="105"/>
          <w:sz w:val="17"/>
        </w:rPr>
        <w:t>Perspectives</w:t>
      </w:r>
      <w:r>
        <w:rPr>
          <w:rFonts w:ascii="Calibri" w:hAnsi="Calibri"/>
          <w:color w:val="231F20"/>
          <w:w w:val="105"/>
          <w:sz w:val="17"/>
        </w:rPr>
        <w:t>,</w:t>
      </w:r>
      <w:r>
        <w:rPr>
          <w:rFonts w:ascii="Calibri" w:hAnsi="Calibri"/>
          <w:color w:val="231F20"/>
          <w:spacing w:val="-26"/>
          <w:w w:val="105"/>
          <w:sz w:val="17"/>
        </w:rPr>
        <w:t> </w:t>
      </w:r>
      <w:r>
        <w:rPr>
          <w:rFonts w:ascii="Calibri" w:hAnsi="Calibri"/>
          <w:color w:val="231F20"/>
          <w:w w:val="105"/>
          <w:sz w:val="17"/>
        </w:rPr>
        <w:t>Oxford,</w:t>
      </w:r>
      <w:r>
        <w:rPr>
          <w:rFonts w:ascii="Calibri" w:hAnsi="Calibri"/>
          <w:color w:val="231F20"/>
          <w:spacing w:val="-26"/>
          <w:w w:val="105"/>
          <w:sz w:val="17"/>
        </w:rPr>
        <w:t> </w:t>
      </w:r>
      <w:r>
        <w:rPr>
          <w:rFonts w:ascii="Calibri" w:hAnsi="Calibri"/>
          <w:color w:val="231F20"/>
          <w:w w:val="105"/>
          <w:sz w:val="17"/>
        </w:rPr>
        <w:t>Oxford</w:t>
      </w:r>
      <w:r>
        <w:rPr>
          <w:rFonts w:ascii="Calibri" w:hAnsi="Calibri"/>
          <w:color w:val="231F20"/>
          <w:spacing w:val="-26"/>
          <w:w w:val="105"/>
          <w:sz w:val="17"/>
        </w:rPr>
        <w:t> </w:t>
      </w:r>
      <w:r>
        <w:rPr>
          <w:rFonts w:ascii="Calibri" w:hAnsi="Calibri"/>
          <w:color w:val="231F20"/>
          <w:w w:val="105"/>
          <w:sz w:val="17"/>
        </w:rPr>
        <w:t>University</w:t>
      </w:r>
      <w:r>
        <w:rPr>
          <w:rFonts w:ascii="Calibri" w:hAnsi="Calibri"/>
          <w:color w:val="231F20"/>
          <w:spacing w:val="-26"/>
          <w:w w:val="105"/>
          <w:sz w:val="17"/>
        </w:rPr>
        <w:t> </w:t>
      </w:r>
      <w:r>
        <w:rPr>
          <w:rFonts w:ascii="Calibri" w:hAnsi="Calibri"/>
          <w:color w:val="231F20"/>
          <w:w w:val="105"/>
          <w:sz w:val="17"/>
        </w:rPr>
        <w:t>Press,</w:t>
      </w:r>
      <w:r>
        <w:rPr>
          <w:rFonts w:ascii="Calibri" w:hAnsi="Calibri"/>
          <w:color w:val="231F20"/>
          <w:spacing w:val="-26"/>
          <w:w w:val="105"/>
          <w:sz w:val="17"/>
        </w:rPr>
        <w:t> </w:t>
      </w:r>
      <w:r>
        <w:rPr>
          <w:rFonts w:ascii="Calibri" w:hAnsi="Calibri"/>
          <w:color w:val="231F20"/>
          <w:w w:val="105"/>
          <w:sz w:val="17"/>
        </w:rPr>
        <w:t>2013, </w:t>
      </w:r>
      <w:r>
        <w:rPr>
          <w:rFonts w:ascii="Calibri" w:hAnsi="Calibri"/>
          <w:color w:val="231F20"/>
          <w:sz w:val="17"/>
        </w:rPr>
        <w:t>pp.</w:t>
      </w:r>
      <w:r>
        <w:rPr>
          <w:rFonts w:ascii="Calibri" w:hAnsi="Calibri"/>
          <w:color w:val="231F20"/>
          <w:spacing w:val="-5"/>
          <w:sz w:val="17"/>
        </w:rPr>
        <w:t> </w:t>
      </w:r>
      <w:r>
        <w:rPr>
          <w:rFonts w:ascii="Calibri" w:hAnsi="Calibri"/>
          <w:color w:val="231F20"/>
          <w:sz w:val="17"/>
        </w:rPr>
        <w:t>34–35.</w:t>
      </w:r>
    </w:p>
    <w:p>
      <w:pPr>
        <w:spacing w:line="235" w:lineRule="auto" w:before="0"/>
        <w:ind w:left="103" w:right="114" w:firstLine="0"/>
        <w:jc w:val="both"/>
        <w:rPr>
          <w:rFonts w:ascii="Calibri" w:hAnsi="Calibri"/>
          <w:sz w:val="17"/>
        </w:rPr>
      </w:pPr>
      <w:r>
        <w:rPr>
          <w:rFonts w:ascii="Calibri" w:hAnsi="Calibri"/>
          <w:color w:val="231F20"/>
          <w:position w:val="6"/>
          <w:sz w:val="10"/>
        </w:rPr>
        <w:t>77</w:t>
      </w:r>
      <w:r>
        <w:rPr>
          <w:rFonts w:ascii="Calibri" w:hAnsi="Calibri"/>
          <w:color w:val="231F20"/>
          <w:spacing w:val="12"/>
          <w:position w:val="6"/>
          <w:sz w:val="10"/>
        </w:rPr>
        <w:t> </w:t>
      </w:r>
      <w:r>
        <w:rPr>
          <w:rFonts w:ascii="Calibri" w:hAnsi="Calibri"/>
          <w:color w:val="231F20"/>
          <w:sz w:val="17"/>
        </w:rPr>
        <w:t>Para</w:t>
      </w:r>
      <w:r>
        <w:rPr>
          <w:rFonts w:ascii="Calibri" w:hAnsi="Calibri"/>
          <w:color w:val="231F20"/>
          <w:spacing w:val="-4"/>
          <w:sz w:val="17"/>
        </w:rPr>
        <w:t> </w:t>
      </w:r>
      <w:r>
        <w:rPr>
          <w:rFonts w:ascii="Calibri" w:hAnsi="Calibri"/>
          <w:color w:val="231F20"/>
          <w:sz w:val="17"/>
        </w:rPr>
        <w:t>una</w:t>
      </w:r>
      <w:r>
        <w:rPr>
          <w:rFonts w:ascii="Calibri" w:hAnsi="Calibri"/>
          <w:color w:val="231F20"/>
          <w:spacing w:val="-4"/>
          <w:sz w:val="17"/>
        </w:rPr>
        <w:t> </w:t>
      </w:r>
      <w:r>
        <w:rPr>
          <w:rFonts w:ascii="Calibri" w:hAnsi="Calibri"/>
          <w:color w:val="231F20"/>
          <w:sz w:val="17"/>
        </w:rPr>
        <w:t>ejemplificación</w:t>
      </w:r>
      <w:r>
        <w:rPr>
          <w:rFonts w:ascii="Calibri" w:hAnsi="Calibri"/>
          <w:color w:val="231F20"/>
          <w:spacing w:val="-4"/>
          <w:sz w:val="17"/>
        </w:rPr>
        <w:t> </w:t>
      </w:r>
      <w:r>
        <w:rPr>
          <w:rFonts w:ascii="Calibri" w:hAnsi="Calibri"/>
          <w:color w:val="231F20"/>
          <w:sz w:val="17"/>
        </w:rPr>
        <w:t>del</w:t>
      </w:r>
      <w:r>
        <w:rPr>
          <w:rFonts w:ascii="Calibri" w:hAnsi="Calibri"/>
          <w:color w:val="231F20"/>
          <w:spacing w:val="-4"/>
          <w:sz w:val="17"/>
        </w:rPr>
        <w:t> </w:t>
      </w:r>
      <w:r>
        <w:rPr>
          <w:rFonts w:ascii="Calibri" w:hAnsi="Calibri"/>
          <w:color w:val="231F20"/>
          <w:sz w:val="17"/>
        </w:rPr>
        <w:t>uso</w:t>
      </w:r>
      <w:r>
        <w:rPr>
          <w:rFonts w:ascii="Calibri" w:hAnsi="Calibri"/>
          <w:color w:val="231F20"/>
          <w:spacing w:val="-4"/>
          <w:sz w:val="17"/>
        </w:rPr>
        <w:t> </w:t>
      </w:r>
      <w:r>
        <w:rPr>
          <w:rFonts w:ascii="Calibri" w:hAnsi="Calibri"/>
          <w:color w:val="231F20"/>
          <w:sz w:val="17"/>
        </w:rPr>
        <w:t>de</w:t>
      </w:r>
      <w:r>
        <w:rPr>
          <w:rFonts w:ascii="Calibri" w:hAnsi="Calibri"/>
          <w:color w:val="231F20"/>
          <w:spacing w:val="-4"/>
          <w:sz w:val="17"/>
        </w:rPr>
        <w:t> </w:t>
      </w:r>
      <w:r>
        <w:rPr>
          <w:rFonts w:ascii="Calibri" w:hAnsi="Calibri"/>
          <w:color w:val="231F20"/>
          <w:sz w:val="17"/>
        </w:rPr>
        <w:t>la</w:t>
      </w:r>
      <w:r>
        <w:rPr>
          <w:rFonts w:ascii="Calibri" w:hAnsi="Calibri"/>
          <w:color w:val="231F20"/>
          <w:spacing w:val="-4"/>
          <w:sz w:val="17"/>
        </w:rPr>
        <w:t> </w:t>
      </w:r>
      <w:r>
        <w:rPr>
          <w:rFonts w:ascii="Calibri" w:hAnsi="Calibri"/>
          <w:color w:val="231F20"/>
          <w:sz w:val="17"/>
        </w:rPr>
        <w:t>categoría</w:t>
      </w:r>
      <w:r>
        <w:rPr>
          <w:rFonts w:ascii="Calibri" w:hAnsi="Calibri"/>
          <w:color w:val="231F20"/>
          <w:spacing w:val="-4"/>
          <w:sz w:val="17"/>
        </w:rPr>
        <w:t> </w:t>
      </w:r>
      <w:r>
        <w:rPr>
          <w:rFonts w:ascii="Calibri" w:hAnsi="Calibri"/>
          <w:color w:val="231F20"/>
          <w:sz w:val="17"/>
        </w:rPr>
        <w:t>en</w:t>
      </w:r>
      <w:r>
        <w:rPr>
          <w:rFonts w:ascii="Calibri" w:hAnsi="Calibri"/>
          <w:color w:val="231F20"/>
          <w:spacing w:val="-4"/>
          <w:sz w:val="17"/>
        </w:rPr>
        <w:t> </w:t>
      </w:r>
      <w:r>
        <w:rPr>
          <w:rFonts w:ascii="Calibri" w:hAnsi="Calibri"/>
          <w:color w:val="231F20"/>
          <w:sz w:val="17"/>
        </w:rPr>
        <w:t>el</w:t>
      </w:r>
      <w:r>
        <w:rPr>
          <w:rFonts w:ascii="Calibri" w:hAnsi="Calibri"/>
          <w:color w:val="231F20"/>
          <w:spacing w:val="-4"/>
          <w:sz w:val="17"/>
        </w:rPr>
        <w:t> </w:t>
      </w:r>
      <w:r>
        <w:rPr>
          <w:rFonts w:ascii="Calibri" w:hAnsi="Calibri"/>
          <w:color w:val="231F20"/>
          <w:sz w:val="17"/>
        </w:rPr>
        <w:t>debate</w:t>
      </w:r>
      <w:r>
        <w:rPr>
          <w:rFonts w:ascii="Calibri" w:hAnsi="Calibri"/>
          <w:color w:val="231F20"/>
          <w:spacing w:val="-4"/>
          <w:sz w:val="17"/>
        </w:rPr>
        <w:t> </w:t>
      </w:r>
      <w:r>
        <w:rPr>
          <w:rFonts w:ascii="Calibri" w:hAnsi="Calibri"/>
          <w:color w:val="231F20"/>
          <w:sz w:val="17"/>
        </w:rPr>
        <w:t>sobre</w:t>
      </w:r>
      <w:r>
        <w:rPr>
          <w:rFonts w:ascii="Calibri" w:hAnsi="Calibri"/>
          <w:color w:val="231F20"/>
          <w:spacing w:val="-4"/>
          <w:sz w:val="17"/>
        </w:rPr>
        <w:t> </w:t>
      </w:r>
      <w:r>
        <w:rPr>
          <w:rFonts w:ascii="Calibri" w:hAnsi="Calibri"/>
          <w:color w:val="231F20"/>
          <w:sz w:val="17"/>
        </w:rPr>
        <w:t>la</w:t>
      </w:r>
      <w:r>
        <w:rPr>
          <w:rFonts w:ascii="Calibri" w:hAnsi="Calibri"/>
          <w:color w:val="231F20"/>
          <w:spacing w:val="-4"/>
          <w:sz w:val="17"/>
        </w:rPr>
        <w:t> </w:t>
      </w:r>
      <w:r>
        <w:rPr>
          <w:rFonts w:ascii="Calibri" w:hAnsi="Calibri"/>
          <w:i/>
          <w:color w:val="231F20"/>
          <w:sz w:val="17"/>
        </w:rPr>
        <w:t>governance</w:t>
      </w:r>
      <w:r>
        <w:rPr>
          <w:rFonts w:ascii="Calibri" w:hAnsi="Calibri"/>
          <w:i/>
          <w:color w:val="231F20"/>
          <w:spacing w:val="-6"/>
          <w:sz w:val="17"/>
        </w:rPr>
        <w:t> </w:t>
      </w:r>
      <w:r>
        <w:rPr>
          <w:rFonts w:ascii="Calibri" w:hAnsi="Calibri"/>
          <w:color w:val="231F20"/>
          <w:sz w:val="17"/>
        </w:rPr>
        <w:t>europea</w:t>
      </w:r>
      <w:r>
        <w:rPr>
          <w:rFonts w:ascii="Calibri" w:hAnsi="Calibri"/>
          <w:color w:val="231F20"/>
          <w:spacing w:val="-7"/>
          <w:sz w:val="17"/>
        </w:rPr>
        <w:t> </w:t>
      </w:r>
      <w:r>
        <w:rPr>
          <w:rFonts w:ascii="Calibri" w:hAnsi="Calibri"/>
          <w:color w:val="231F20"/>
          <w:sz w:val="17"/>
        </w:rPr>
        <w:t>véase</w:t>
      </w:r>
      <w:r>
        <w:rPr>
          <w:rFonts w:ascii="Calibri" w:hAnsi="Calibri"/>
          <w:color w:val="231F20"/>
          <w:spacing w:val="-4"/>
          <w:sz w:val="17"/>
        </w:rPr>
        <w:t> </w:t>
      </w:r>
      <w:r>
        <w:rPr>
          <w:rFonts w:ascii="Calibri" w:hAnsi="Calibri"/>
          <w:color w:val="231F20"/>
          <w:sz w:val="17"/>
        </w:rPr>
        <w:t>B. De</w:t>
      </w:r>
      <w:r>
        <w:rPr>
          <w:rFonts w:ascii="Calibri" w:hAnsi="Calibri"/>
          <w:color w:val="231F20"/>
          <w:spacing w:val="10"/>
          <w:sz w:val="17"/>
        </w:rPr>
        <w:t> </w:t>
      </w:r>
      <w:r>
        <w:rPr>
          <w:rFonts w:ascii="Calibri" w:hAnsi="Calibri"/>
          <w:color w:val="231F20"/>
          <w:sz w:val="17"/>
        </w:rPr>
        <w:t>Witte,</w:t>
      </w:r>
      <w:r>
        <w:rPr>
          <w:rFonts w:ascii="Calibri" w:hAnsi="Calibri"/>
          <w:color w:val="231F20"/>
          <w:spacing w:val="15"/>
          <w:sz w:val="17"/>
        </w:rPr>
        <w:t> </w:t>
      </w:r>
      <w:r>
        <w:rPr>
          <w:rFonts w:ascii="Calibri" w:hAnsi="Calibri"/>
          <w:color w:val="231F20"/>
          <w:sz w:val="17"/>
        </w:rPr>
        <w:t>“Sovereignty</w:t>
      </w:r>
      <w:r>
        <w:rPr>
          <w:rFonts w:ascii="Calibri" w:hAnsi="Calibri"/>
          <w:color w:val="231F20"/>
          <w:spacing w:val="15"/>
          <w:sz w:val="17"/>
        </w:rPr>
        <w:t> </w:t>
      </w:r>
      <w:r>
        <w:rPr>
          <w:rFonts w:ascii="Calibri" w:hAnsi="Calibri"/>
          <w:color w:val="231F20"/>
          <w:sz w:val="17"/>
        </w:rPr>
        <w:t>and</w:t>
      </w:r>
      <w:r>
        <w:rPr>
          <w:rFonts w:ascii="Calibri" w:hAnsi="Calibri"/>
          <w:color w:val="231F20"/>
          <w:spacing w:val="15"/>
          <w:sz w:val="17"/>
        </w:rPr>
        <w:t> </w:t>
      </w:r>
      <w:r>
        <w:rPr>
          <w:rFonts w:ascii="Calibri" w:hAnsi="Calibri"/>
          <w:color w:val="231F20"/>
          <w:sz w:val="17"/>
        </w:rPr>
        <w:t>European</w:t>
      </w:r>
      <w:r>
        <w:rPr>
          <w:rFonts w:ascii="Calibri" w:hAnsi="Calibri"/>
          <w:color w:val="231F20"/>
          <w:spacing w:val="15"/>
          <w:sz w:val="17"/>
        </w:rPr>
        <w:t> </w:t>
      </w:r>
      <w:r>
        <w:rPr>
          <w:rFonts w:ascii="Calibri" w:hAnsi="Calibri"/>
          <w:color w:val="231F20"/>
          <w:sz w:val="17"/>
        </w:rPr>
        <w:t>Integration:</w:t>
      </w:r>
      <w:r>
        <w:rPr>
          <w:rFonts w:ascii="Calibri" w:hAnsi="Calibri"/>
          <w:color w:val="231F20"/>
          <w:spacing w:val="15"/>
          <w:sz w:val="17"/>
        </w:rPr>
        <w:t> </w:t>
      </w:r>
      <w:r>
        <w:rPr>
          <w:rFonts w:ascii="Calibri" w:hAnsi="Calibri"/>
          <w:color w:val="231F20"/>
          <w:sz w:val="17"/>
        </w:rPr>
        <w:t>the</w:t>
      </w:r>
      <w:r>
        <w:rPr>
          <w:rFonts w:ascii="Calibri" w:hAnsi="Calibri"/>
          <w:color w:val="231F20"/>
          <w:spacing w:val="10"/>
          <w:sz w:val="17"/>
        </w:rPr>
        <w:t> </w:t>
      </w:r>
      <w:r>
        <w:rPr>
          <w:rFonts w:ascii="Calibri" w:hAnsi="Calibri"/>
          <w:color w:val="231F20"/>
          <w:sz w:val="17"/>
        </w:rPr>
        <w:t>Weight</w:t>
      </w:r>
      <w:r>
        <w:rPr>
          <w:rFonts w:ascii="Calibri" w:hAnsi="Calibri"/>
          <w:color w:val="231F20"/>
          <w:spacing w:val="15"/>
          <w:sz w:val="17"/>
        </w:rPr>
        <w:t> </w:t>
      </w:r>
      <w:r>
        <w:rPr>
          <w:rFonts w:ascii="Calibri" w:hAnsi="Calibri"/>
          <w:color w:val="231F20"/>
          <w:sz w:val="17"/>
        </w:rPr>
        <w:t>of</w:t>
      </w:r>
      <w:r>
        <w:rPr>
          <w:rFonts w:ascii="Calibri" w:hAnsi="Calibri"/>
          <w:color w:val="231F20"/>
          <w:spacing w:val="15"/>
          <w:sz w:val="17"/>
        </w:rPr>
        <w:t> </w:t>
      </w:r>
      <w:r>
        <w:rPr>
          <w:rFonts w:ascii="Calibri" w:hAnsi="Calibri"/>
          <w:color w:val="231F20"/>
          <w:sz w:val="17"/>
        </w:rPr>
        <w:t>Legal</w:t>
      </w:r>
      <w:r>
        <w:rPr>
          <w:rFonts w:ascii="Calibri" w:hAnsi="Calibri"/>
          <w:color w:val="231F20"/>
          <w:spacing w:val="10"/>
          <w:sz w:val="17"/>
        </w:rPr>
        <w:t> </w:t>
      </w:r>
      <w:r>
        <w:rPr>
          <w:rFonts w:ascii="Calibri" w:hAnsi="Calibri"/>
          <w:color w:val="231F20"/>
          <w:spacing w:val="-3"/>
          <w:sz w:val="17"/>
        </w:rPr>
        <w:t>Tradition”,</w:t>
      </w:r>
      <w:r>
        <w:rPr>
          <w:rFonts w:ascii="Calibri" w:hAnsi="Calibri"/>
          <w:color w:val="231F20"/>
          <w:spacing w:val="15"/>
          <w:sz w:val="17"/>
        </w:rPr>
        <w:t> </w:t>
      </w:r>
      <w:r>
        <w:rPr>
          <w:rFonts w:ascii="Calibri" w:hAnsi="Calibri"/>
          <w:color w:val="231F20"/>
          <w:sz w:val="17"/>
        </w:rPr>
        <w:t>A.</w:t>
      </w:r>
      <w:r>
        <w:rPr>
          <w:rFonts w:ascii="Calibri" w:hAnsi="Calibri"/>
          <w:color w:val="231F20"/>
          <w:spacing w:val="15"/>
          <w:sz w:val="17"/>
        </w:rPr>
        <w:t> </w:t>
      </w:r>
      <w:r>
        <w:rPr>
          <w:rFonts w:ascii="Calibri" w:hAnsi="Calibri"/>
          <w:color w:val="231F20"/>
          <w:sz w:val="17"/>
        </w:rPr>
        <w:t>M.</w:t>
      </w:r>
      <w:r>
        <w:rPr>
          <w:rFonts w:ascii="Calibri" w:hAnsi="Calibri"/>
          <w:color w:val="231F20"/>
          <w:spacing w:val="15"/>
          <w:sz w:val="17"/>
        </w:rPr>
        <w:t> </w:t>
      </w:r>
      <w:r>
        <w:rPr>
          <w:rFonts w:ascii="Calibri" w:hAnsi="Calibri"/>
          <w:color w:val="231F20"/>
          <w:sz w:val="17"/>
        </w:rPr>
        <w:t>Slaughter,</w:t>
      </w:r>
    </w:p>
    <w:p>
      <w:pPr>
        <w:spacing w:line="235" w:lineRule="auto" w:before="0"/>
        <w:ind w:left="103" w:right="115" w:firstLine="0"/>
        <w:jc w:val="both"/>
        <w:rPr>
          <w:rFonts w:ascii="Calibri" w:hAnsi="Calibri"/>
          <w:sz w:val="17"/>
        </w:rPr>
      </w:pPr>
      <w:r>
        <w:rPr>
          <w:rFonts w:ascii="Calibri" w:hAnsi="Calibri"/>
          <w:color w:val="231F20"/>
          <w:w w:val="105"/>
          <w:sz w:val="17"/>
        </w:rPr>
        <w:t>A.</w:t>
      </w:r>
      <w:r>
        <w:rPr>
          <w:rFonts w:ascii="Calibri" w:hAnsi="Calibri"/>
          <w:color w:val="231F20"/>
          <w:spacing w:val="-7"/>
          <w:w w:val="105"/>
          <w:sz w:val="17"/>
        </w:rPr>
        <w:t> </w:t>
      </w:r>
      <w:r>
        <w:rPr>
          <w:rFonts w:ascii="Calibri" w:hAnsi="Calibri"/>
          <w:color w:val="231F20"/>
          <w:w w:val="105"/>
          <w:sz w:val="17"/>
        </w:rPr>
        <w:t>Stone</w:t>
      </w:r>
      <w:r>
        <w:rPr>
          <w:rFonts w:ascii="Calibri" w:hAnsi="Calibri"/>
          <w:color w:val="231F20"/>
          <w:spacing w:val="-7"/>
          <w:w w:val="105"/>
          <w:sz w:val="17"/>
        </w:rPr>
        <w:t> </w:t>
      </w:r>
      <w:r>
        <w:rPr>
          <w:rFonts w:ascii="Calibri" w:hAnsi="Calibri"/>
          <w:color w:val="231F20"/>
          <w:w w:val="105"/>
          <w:sz w:val="17"/>
        </w:rPr>
        <w:t>Sweet</w:t>
      </w:r>
      <w:r>
        <w:rPr>
          <w:rFonts w:ascii="Calibri" w:hAnsi="Calibri"/>
          <w:color w:val="231F20"/>
          <w:spacing w:val="-9"/>
          <w:w w:val="105"/>
          <w:sz w:val="17"/>
        </w:rPr>
        <w:t> </w:t>
      </w:r>
      <w:r>
        <w:rPr>
          <w:rFonts w:ascii="Calibri" w:hAnsi="Calibri"/>
          <w:color w:val="231F20"/>
          <w:w w:val="105"/>
          <w:sz w:val="17"/>
        </w:rPr>
        <w:t>y</w:t>
      </w:r>
      <w:r>
        <w:rPr>
          <w:rFonts w:ascii="Calibri" w:hAnsi="Calibri"/>
          <w:color w:val="231F20"/>
          <w:spacing w:val="-7"/>
          <w:w w:val="105"/>
          <w:sz w:val="17"/>
        </w:rPr>
        <w:t> </w:t>
      </w:r>
      <w:r>
        <w:rPr>
          <w:rFonts w:ascii="Calibri" w:hAnsi="Calibri"/>
          <w:color w:val="231F20"/>
          <w:w w:val="105"/>
          <w:sz w:val="17"/>
        </w:rPr>
        <w:t>J.</w:t>
      </w:r>
      <w:r>
        <w:rPr>
          <w:rFonts w:ascii="Calibri" w:hAnsi="Calibri"/>
          <w:color w:val="231F20"/>
          <w:spacing w:val="-7"/>
          <w:w w:val="105"/>
          <w:sz w:val="17"/>
        </w:rPr>
        <w:t> </w:t>
      </w:r>
      <w:r>
        <w:rPr>
          <w:rFonts w:ascii="Calibri" w:hAnsi="Calibri"/>
          <w:color w:val="231F20"/>
          <w:w w:val="105"/>
          <w:sz w:val="17"/>
        </w:rPr>
        <w:t>H.</w:t>
      </w:r>
      <w:r>
        <w:rPr>
          <w:rFonts w:ascii="Calibri" w:hAnsi="Calibri"/>
          <w:color w:val="231F20"/>
          <w:spacing w:val="-10"/>
          <w:w w:val="105"/>
          <w:sz w:val="17"/>
        </w:rPr>
        <w:t> </w:t>
      </w:r>
      <w:r>
        <w:rPr>
          <w:rFonts w:ascii="Calibri" w:hAnsi="Calibri"/>
          <w:color w:val="231F20"/>
          <w:w w:val="105"/>
          <w:sz w:val="17"/>
        </w:rPr>
        <w:t>Weiler</w:t>
      </w:r>
      <w:r>
        <w:rPr>
          <w:rFonts w:ascii="Calibri" w:hAnsi="Calibri"/>
          <w:color w:val="231F20"/>
          <w:spacing w:val="-7"/>
          <w:w w:val="105"/>
          <w:sz w:val="17"/>
        </w:rPr>
        <w:t> </w:t>
      </w:r>
      <w:r>
        <w:rPr>
          <w:rFonts w:ascii="Calibri" w:hAnsi="Calibri"/>
          <w:color w:val="231F20"/>
          <w:w w:val="105"/>
          <w:sz w:val="17"/>
        </w:rPr>
        <w:t>(Eds.),</w:t>
      </w:r>
      <w:r>
        <w:rPr>
          <w:rFonts w:ascii="Calibri" w:hAnsi="Calibri"/>
          <w:color w:val="231F20"/>
          <w:spacing w:val="-7"/>
          <w:w w:val="105"/>
          <w:sz w:val="17"/>
        </w:rPr>
        <w:t> </w:t>
      </w:r>
      <w:r>
        <w:rPr>
          <w:rFonts w:ascii="Calibri" w:hAnsi="Calibri"/>
          <w:i/>
          <w:color w:val="231F20"/>
          <w:w w:val="105"/>
          <w:sz w:val="17"/>
        </w:rPr>
        <w:t>The</w:t>
      </w:r>
      <w:r>
        <w:rPr>
          <w:rFonts w:ascii="Calibri" w:hAnsi="Calibri"/>
          <w:i/>
          <w:color w:val="231F20"/>
          <w:spacing w:val="-8"/>
          <w:w w:val="105"/>
          <w:sz w:val="17"/>
        </w:rPr>
        <w:t> </w:t>
      </w:r>
      <w:r>
        <w:rPr>
          <w:rFonts w:ascii="Calibri" w:hAnsi="Calibri"/>
          <w:i/>
          <w:color w:val="231F20"/>
          <w:w w:val="105"/>
          <w:sz w:val="17"/>
        </w:rPr>
        <w:t>European</w:t>
      </w:r>
      <w:r>
        <w:rPr>
          <w:rFonts w:ascii="Calibri" w:hAnsi="Calibri"/>
          <w:i/>
          <w:color w:val="231F20"/>
          <w:spacing w:val="-8"/>
          <w:w w:val="105"/>
          <w:sz w:val="17"/>
        </w:rPr>
        <w:t> </w:t>
      </w:r>
      <w:r>
        <w:rPr>
          <w:rFonts w:ascii="Calibri" w:hAnsi="Calibri"/>
          <w:i/>
          <w:color w:val="231F20"/>
          <w:w w:val="105"/>
          <w:sz w:val="17"/>
        </w:rPr>
        <w:t>Courts</w:t>
      </w:r>
      <w:r>
        <w:rPr>
          <w:rFonts w:ascii="Calibri" w:hAnsi="Calibri"/>
          <w:i/>
          <w:color w:val="231F20"/>
          <w:spacing w:val="-8"/>
          <w:w w:val="105"/>
          <w:sz w:val="17"/>
        </w:rPr>
        <w:t> </w:t>
      </w:r>
      <w:r>
        <w:rPr>
          <w:rFonts w:ascii="Calibri" w:hAnsi="Calibri"/>
          <w:i/>
          <w:color w:val="231F20"/>
          <w:w w:val="105"/>
          <w:sz w:val="17"/>
        </w:rPr>
        <w:t>and</w:t>
      </w:r>
      <w:r>
        <w:rPr>
          <w:rFonts w:ascii="Calibri" w:hAnsi="Calibri"/>
          <w:i/>
          <w:color w:val="231F20"/>
          <w:spacing w:val="-8"/>
          <w:w w:val="105"/>
          <w:sz w:val="17"/>
        </w:rPr>
        <w:t> </w:t>
      </w:r>
      <w:r>
        <w:rPr>
          <w:rFonts w:ascii="Calibri" w:hAnsi="Calibri"/>
          <w:i/>
          <w:color w:val="231F20"/>
          <w:w w:val="105"/>
          <w:sz w:val="17"/>
        </w:rPr>
        <w:t>National</w:t>
      </w:r>
      <w:r>
        <w:rPr>
          <w:rFonts w:ascii="Calibri" w:hAnsi="Calibri"/>
          <w:i/>
          <w:color w:val="231F20"/>
          <w:spacing w:val="-8"/>
          <w:w w:val="105"/>
          <w:sz w:val="17"/>
        </w:rPr>
        <w:t> </w:t>
      </w:r>
      <w:r>
        <w:rPr>
          <w:rFonts w:ascii="Calibri" w:hAnsi="Calibri"/>
          <w:i/>
          <w:color w:val="231F20"/>
          <w:w w:val="105"/>
          <w:sz w:val="17"/>
        </w:rPr>
        <w:t>Courts:</w:t>
      </w:r>
      <w:r>
        <w:rPr>
          <w:rFonts w:ascii="Calibri" w:hAnsi="Calibri"/>
          <w:i/>
          <w:color w:val="231F20"/>
          <w:spacing w:val="-8"/>
          <w:w w:val="105"/>
          <w:sz w:val="17"/>
        </w:rPr>
        <w:t> </w:t>
      </w:r>
      <w:r>
        <w:rPr>
          <w:rFonts w:ascii="Calibri" w:hAnsi="Calibri"/>
          <w:i/>
          <w:color w:val="231F20"/>
          <w:w w:val="105"/>
          <w:sz w:val="17"/>
        </w:rPr>
        <w:t>Doctrine</w:t>
      </w:r>
      <w:r>
        <w:rPr>
          <w:rFonts w:ascii="Calibri" w:hAnsi="Calibri"/>
          <w:i/>
          <w:color w:val="231F20"/>
          <w:spacing w:val="-8"/>
          <w:w w:val="105"/>
          <w:sz w:val="17"/>
        </w:rPr>
        <w:t> </w:t>
      </w:r>
      <w:r>
        <w:rPr>
          <w:rFonts w:ascii="Calibri" w:hAnsi="Calibri"/>
          <w:i/>
          <w:color w:val="231F20"/>
          <w:w w:val="105"/>
          <w:sz w:val="17"/>
        </w:rPr>
        <w:t>and</w:t>
      </w:r>
      <w:r>
        <w:rPr>
          <w:rFonts w:ascii="Calibri" w:hAnsi="Calibri"/>
          <w:i/>
          <w:color w:val="231F20"/>
          <w:spacing w:val="-8"/>
          <w:w w:val="105"/>
          <w:sz w:val="17"/>
        </w:rPr>
        <w:t> </w:t>
      </w:r>
      <w:r>
        <w:rPr>
          <w:rFonts w:ascii="Calibri" w:hAnsi="Calibri"/>
          <w:i/>
          <w:color w:val="231F20"/>
          <w:w w:val="105"/>
          <w:sz w:val="17"/>
        </w:rPr>
        <w:t>Juris- </w:t>
      </w:r>
      <w:r>
        <w:rPr>
          <w:rFonts w:ascii="Calibri" w:hAnsi="Calibri"/>
          <w:i/>
          <w:color w:val="231F20"/>
          <w:w w:val="105"/>
          <w:sz w:val="17"/>
        </w:rPr>
        <w:t>prudence</w:t>
      </w:r>
      <w:r>
        <w:rPr>
          <w:rFonts w:ascii="Calibri" w:hAnsi="Calibri"/>
          <w:color w:val="231F20"/>
          <w:w w:val="105"/>
          <w:sz w:val="17"/>
        </w:rPr>
        <w:t>,</w:t>
      </w:r>
      <w:r>
        <w:rPr>
          <w:rFonts w:ascii="Calibri" w:hAnsi="Calibri"/>
          <w:color w:val="231F20"/>
          <w:spacing w:val="-16"/>
          <w:w w:val="105"/>
          <w:sz w:val="17"/>
        </w:rPr>
        <w:t> </w:t>
      </w:r>
      <w:r>
        <w:rPr>
          <w:rFonts w:ascii="Calibri" w:hAnsi="Calibri"/>
          <w:color w:val="231F20"/>
          <w:w w:val="105"/>
          <w:sz w:val="17"/>
        </w:rPr>
        <w:t>1998</w:t>
      </w:r>
      <w:r>
        <w:rPr>
          <w:rFonts w:ascii="Calibri" w:hAnsi="Calibri"/>
          <w:color w:val="231F20"/>
          <w:spacing w:val="-16"/>
          <w:w w:val="105"/>
          <w:sz w:val="17"/>
        </w:rPr>
        <w:t> </w:t>
      </w:r>
      <w:r>
        <w:rPr>
          <w:rFonts w:ascii="Calibri" w:hAnsi="Calibri"/>
          <w:color w:val="231F20"/>
          <w:spacing w:val="-5"/>
          <w:w w:val="105"/>
          <w:sz w:val="17"/>
        </w:rPr>
        <w:t>y,</w:t>
      </w:r>
      <w:r>
        <w:rPr>
          <w:rFonts w:ascii="Calibri" w:hAnsi="Calibri"/>
          <w:color w:val="231F20"/>
          <w:spacing w:val="-16"/>
          <w:w w:val="105"/>
          <w:sz w:val="17"/>
        </w:rPr>
        <w:t> </w:t>
      </w:r>
      <w:r>
        <w:rPr>
          <w:rFonts w:ascii="Calibri" w:hAnsi="Calibri"/>
          <w:color w:val="231F20"/>
          <w:w w:val="105"/>
          <w:sz w:val="17"/>
        </w:rPr>
        <w:t>en</w:t>
      </w:r>
      <w:r>
        <w:rPr>
          <w:rFonts w:ascii="Calibri" w:hAnsi="Calibri"/>
          <w:color w:val="231F20"/>
          <w:spacing w:val="-16"/>
          <w:w w:val="105"/>
          <w:sz w:val="17"/>
        </w:rPr>
        <w:t> </w:t>
      </w:r>
      <w:r>
        <w:rPr>
          <w:rFonts w:ascii="Calibri" w:hAnsi="Calibri"/>
          <w:color w:val="231F20"/>
          <w:w w:val="105"/>
          <w:sz w:val="17"/>
        </w:rPr>
        <w:t>tenor</w:t>
      </w:r>
      <w:r>
        <w:rPr>
          <w:rFonts w:ascii="Calibri" w:hAnsi="Calibri"/>
          <w:color w:val="231F20"/>
          <w:spacing w:val="-16"/>
          <w:w w:val="105"/>
          <w:sz w:val="17"/>
        </w:rPr>
        <w:t> </w:t>
      </w:r>
      <w:r>
        <w:rPr>
          <w:rFonts w:ascii="Calibri" w:hAnsi="Calibri"/>
          <w:color w:val="231F20"/>
          <w:w w:val="105"/>
          <w:sz w:val="17"/>
        </w:rPr>
        <w:t>explícitamente</w:t>
      </w:r>
      <w:r>
        <w:rPr>
          <w:rFonts w:ascii="Calibri" w:hAnsi="Calibri"/>
          <w:color w:val="231F20"/>
          <w:spacing w:val="-16"/>
          <w:w w:val="105"/>
          <w:sz w:val="17"/>
        </w:rPr>
        <w:t> </w:t>
      </w:r>
      <w:r>
        <w:rPr>
          <w:rFonts w:ascii="Calibri" w:hAnsi="Calibri"/>
          <w:color w:val="231F20"/>
          <w:w w:val="105"/>
          <w:sz w:val="17"/>
        </w:rPr>
        <w:t>político,</w:t>
      </w:r>
      <w:r>
        <w:rPr>
          <w:rFonts w:ascii="Calibri" w:hAnsi="Calibri"/>
          <w:color w:val="231F20"/>
          <w:spacing w:val="-16"/>
          <w:w w:val="105"/>
          <w:sz w:val="17"/>
        </w:rPr>
        <w:t> </w:t>
      </w:r>
      <w:r>
        <w:rPr>
          <w:rFonts w:ascii="Calibri" w:hAnsi="Calibri"/>
          <w:color w:val="231F20"/>
          <w:w w:val="105"/>
          <w:sz w:val="17"/>
        </w:rPr>
        <w:t>J.</w:t>
      </w:r>
      <w:r>
        <w:rPr>
          <w:rFonts w:ascii="Calibri" w:hAnsi="Calibri"/>
          <w:color w:val="231F20"/>
          <w:spacing w:val="-16"/>
          <w:w w:val="105"/>
          <w:sz w:val="17"/>
        </w:rPr>
        <w:t> </w:t>
      </w:r>
      <w:r>
        <w:rPr>
          <w:rFonts w:ascii="Calibri" w:hAnsi="Calibri"/>
          <w:color w:val="231F20"/>
          <w:w w:val="105"/>
          <w:sz w:val="17"/>
        </w:rPr>
        <w:t>Delors,</w:t>
      </w:r>
      <w:r>
        <w:rPr>
          <w:rFonts w:ascii="Calibri" w:hAnsi="Calibri"/>
          <w:color w:val="231F20"/>
          <w:spacing w:val="-16"/>
          <w:w w:val="105"/>
          <w:sz w:val="17"/>
        </w:rPr>
        <w:t> </w:t>
      </w:r>
      <w:r>
        <w:rPr>
          <w:rFonts w:ascii="Calibri" w:hAnsi="Calibri"/>
          <w:color w:val="231F20"/>
          <w:w w:val="105"/>
          <w:sz w:val="17"/>
        </w:rPr>
        <w:t>“European</w:t>
      </w:r>
      <w:r>
        <w:rPr>
          <w:rFonts w:ascii="Calibri" w:hAnsi="Calibri"/>
          <w:color w:val="231F20"/>
          <w:spacing w:val="-16"/>
          <w:w w:val="105"/>
          <w:sz w:val="17"/>
        </w:rPr>
        <w:t> </w:t>
      </w:r>
      <w:r>
        <w:rPr>
          <w:rFonts w:ascii="Calibri" w:hAnsi="Calibri"/>
          <w:color w:val="231F20"/>
          <w:w w:val="105"/>
          <w:sz w:val="17"/>
        </w:rPr>
        <w:t>Integration</w:t>
      </w:r>
      <w:r>
        <w:rPr>
          <w:rFonts w:ascii="Calibri" w:hAnsi="Calibri"/>
          <w:color w:val="231F20"/>
          <w:spacing w:val="-16"/>
          <w:w w:val="105"/>
          <w:sz w:val="17"/>
        </w:rPr>
        <w:t> </w:t>
      </w:r>
      <w:r>
        <w:rPr>
          <w:rFonts w:ascii="Calibri" w:hAnsi="Calibri"/>
          <w:color w:val="231F20"/>
          <w:w w:val="105"/>
          <w:sz w:val="17"/>
        </w:rPr>
        <w:t>and</w:t>
      </w:r>
      <w:r>
        <w:rPr>
          <w:rFonts w:ascii="Calibri" w:hAnsi="Calibri"/>
          <w:color w:val="231F20"/>
          <w:spacing w:val="-16"/>
          <w:w w:val="105"/>
          <w:sz w:val="17"/>
        </w:rPr>
        <w:t> </w:t>
      </w:r>
      <w:r>
        <w:rPr>
          <w:rFonts w:ascii="Calibri" w:hAnsi="Calibri"/>
          <w:color w:val="231F20"/>
          <w:w w:val="105"/>
          <w:sz w:val="17"/>
        </w:rPr>
        <w:t>Security”, </w:t>
      </w:r>
      <w:r>
        <w:rPr>
          <w:rFonts w:ascii="Calibri" w:hAnsi="Calibri"/>
          <w:i/>
          <w:color w:val="231F20"/>
          <w:w w:val="105"/>
          <w:sz w:val="17"/>
        </w:rPr>
        <w:t>Security</w:t>
      </w:r>
      <w:r>
        <w:rPr>
          <w:rFonts w:ascii="Calibri" w:hAnsi="Calibri"/>
          <w:color w:val="231F20"/>
          <w:w w:val="105"/>
          <w:sz w:val="17"/>
        </w:rPr>
        <w:t>,</w:t>
      </w:r>
      <w:r>
        <w:rPr>
          <w:rFonts w:ascii="Calibri" w:hAnsi="Calibri"/>
          <w:color w:val="231F20"/>
          <w:spacing w:val="-31"/>
          <w:w w:val="105"/>
          <w:sz w:val="17"/>
        </w:rPr>
        <w:t> </w:t>
      </w:r>
      <w:r>
        <w:rPr>
          <w:rFonts w:ascii="Calibri" w:hAnsi="Calibri"/>
          <w:color w:val="231F20"/>
          <w:w w:val="105"/>
          <w:sz w:val="17"/>
        </w:rPr>
        <w:t>no.</w:t>
      </w:r>
      <w:r>
        <w:rPr>
          <w:rFonts w:ascii="Calibri" w:hAnsi="Calibri"/>
          <w:color w:val="231F20"/>
          <w:spacing w:val="-31"/>
          <w:w w:val="105"/>
          <w:sz w:val="17"/>
        </w:rPr>
        <w:t> </w:t>
      </w:r>
      <w:r>
        <w:rPr>
          <w:rFonts w:ascii="Calibri" w:hAnsi="Calibri"/>
          <w:color w:val="231F20"/>
          <w:w w:val="105"/>
          <w:sz w:val="17"/>
        </w:rPr>
        <w:t>33,</w:t>
      </w:r>
      <w:r>
        <w:rPr>
          <w:rFonts w:ascii="Calibri" w:hAnsi="Calibri"/>
          <w:color w:val="231F20"/>
          <w:spacing w:val="-31"/>
          <w:w w:val="105"/>
          <w:sz w:val="17"/>
        </w:rPr>
        <w:t> </w:t>
      </w:r>
      <w:r>
        <w:rPr>
          <w:rFonts w:ascii="Calibri" w:hAnsi="Calibri"/>
          <w:color w:val="231F20"/>
          <w:w w:val="105"/>
          <w:sz w:val="17"/>
        </w:rPr>
        <w:t>1991,</w:t>
      </w:r>
      <w:r>
        <w:rPr>
          <w:rFonts w:ascii="Calibri" w:hAnsi="Calibri"/>
          <w:color w:val="231F20"/>
          <w:spacing w:val="-31"/>
          <w:w w:val="105"/>
          <w:sz w:val="17"/>
        </w:rPr>
        <w:t> </w:t>
      </w:r>
      <w:r>
        <w:rPr>
          <w:rFonts w:ascii="Calibri" w:hAnsi="Calibri"/>
          <w:color w:val="231F20"/>
          <w:w w:val="105"/>
          <w:sz w:val="17"/>
        </w:rPr>
        <w:t>pp.</w:t>
      </w:r>
      <w:r>
        <w:rPr>
          <w:rFonts w:ascii="Calibri" w:hAnsi="Calibri"/>
          <w:color w:val="231F20"/>
          <w:spacing w:val="-31"/>
          <w:w w:val="105"/>
          <w:sz w:val="17"/>
        </w:rPr>
        <w:t> </w:t>
      </w:r>
      <w:r>
        <w:rPr>
          <w:rFonts w:ascii="Calibri" w:hAnsi="Calibri"/>
          <w:color w:val="231F20"/>
          <w:spacing w:val="-3"/>
          <w:w w:val="105"/>
          <w:sz w:val="17"/>
        </w:rPr>
        <w:t>99,</w:t>
      </w:r>
      <w:r>
        <w:rPr>
          <w:rFonts w:ascii="Calibri" w:hAnsi="Calibri"/>
          <w:color w:val="231F20"/>
          <w:spacing w:val="-31"/>
          <w:w w:val="105"/>
          <w:sz w:val="17"/>
        </w:rPr>
        <w:t> </w:t>
      </w:r>
      <w:r>
        <w:rPr>
          <w:rFonts w:ascii="Calibri" w:hAnsi="Calibri"/>
          <w:color w:val="231F20"/>
          <w:w w:val="105"/>
          <w:sz w:val="17"/>
        </w:rPr>
        <w:t>103.</w:t>
      </w:r>
      <w:r>
        <w:rPr>
          <w:rFonts w:ascii="Calibri" w:hAnsi="Calibri"/>
          <w:color w:val="231F20"/>
          <w:spacing w:val="-31"/>
          <w:w w:val="105"/>
          <w:sz w:val="17"/>
        </w:rPr>
        <w:t> </w:t>
      </w:r>
      <w:r>
        <w:rPr>
          <w:rFonts w:ascii="Calibri" w:hAnsi="Calibri"/>
          <w:color w:val="231F20"/>
          <w:w w:val="105"/>
          <w:sz w:val="17"/>
        </w:rPr>
        <w:t>Para</w:t>
      </w:r>
      <w:r>
        <w:rPr>
          <w:rFonts w:ascii="Calibri" w:hAnsi="Calibri"/>
          <w:color w:val="231F20"/>
          <w:spacing w:val="-31"/>
          <w:w w:val="105"/>
          <w:sz w:val="17"/>
        </w:rPr>
        <w:t> </w:t>
      </w:r>
      <w:r>
        <w:rPr>
          <w:rFonts w:ascii="Calibri" w:hAnsi="Calibri"/>
          <w:color w:val="231F20"/>
          <w:w w:val="105"/>
          <w:sz w:val="17"/>
        </w:rPr>
        <w:t>una</w:t>
      </w:r>
      <w:r>
        <w:rPr>
          <w:rFonts w:ascii="Calibri" w:hAnsi="Calibri"/>
          <w:color w:val="231F20"/>
          <w:spacing w:val="-31"/>
          <w:w w:val="105"/>
          <w:sz w:val="17"/>
        </w:rPr>
        <w:t> </w:t>
      </w:r>
      <w:r>
        <w:rPr>
          <w:rFonts w:ascii="Calibri" w:hAnsi="Calibri"/>
          <w:color w:val="231F20"/>
          <w:w w:val="105"/>
          <w:sz w:val="17"/>
        </w:rPr>
        <w:t>ampliación</w:t>
      </w:r>
      <w:r>
        <w:rPr>
          <w:rFonts w:ascii="Calibri" w:hAnsi="Calibri"/>
          <w:color w:val="231F20"/>
          <w:spacing w:val="-31"/>
          <w:w w:val="105"/>
          <w:sz w:val="17"/>
        </w:rPr>
        <w:t> </w:t>
      </w:r>
      <w:r>
        <w:rPr>
          <w:rFonts w:ascii="Calibri" w:hAnsi="Calibri"/>
          <w:color w:val="231F20"/>
          <w:w w:val="105"/>
          <w:sz w:val="17"/>
        </w:rPr>
        <w:t>sobre</w:t>
      </w:r>
      <w:r>
        <w:rPr>
          <w:rFonts w:ascii="Calibri" w:hAnsi="Calibri"/>
          <w:color w:val="231F20"/>
          <w:spacing w:val="-31"/>
          <w:w w:val="105"/>
          <w:sz w:val="17"/>
        </w:rPr>
        <w:t> </w:t>
      </w:r>
      <w:r>
        <w:rPr>
          <w:rFonts w:ascii="Calibri" w:hAnsi="Calibri"/>
          <w:color w:val="231F20"/>
          <w:w w:val="105"/>
          <w:sz w:val="17"/>
        </w:rPr>
        <w:t>los</w:t>
      </w:r>
      <w:r>
        <w:rPr>
          <w:rFonts w:ascii="Calibri" w:hAnsi="Calibri"/>
          <w:color w:val="231F20"/>
          <w:spacing w:val="-31"/>
          <w:w w:val="105"/>
          <w:sz w:val="17"/>
        </w:rPr>
        <w:t> </w:t>
      </w:r>
      <w:r>
        <w:rPr>
          <w:rFonts w:ascii="Calibri" w:hAnsi="Calibri"/>
          <w:color w:val="231F20"/>
          <w:w w:val="105"/>
          <w:sz w:val="17"/>
        </w:rPr>
        <w:t>ordenamientos</w:t>
      </w:r>
      <w:r>
        <w:rPr>
          <w:rFonts w:ascii="Calibri" w:hAnsi="Calibri"/>
          <w:color w:val="231F20"/>
          <w:spacing w:val="-31"/>
          <w:w w:val="105"/>
          <w:sz w:val="17"/>
        </w:rPr>
        <w:t> </w:t>
      </w:r>
      <w:r>
        <w:rPr>
          <w:rFonts w:ascii="Calibri" w:hAnsi="Calibri"/>
          <w:color w:val="231F20"/>
          <w:w w:val="105"/>
          <w:sz w:val="17"/>
        </w:rPr>
        <w:t>regionales</w:t>
      </w:r>
      <w:r>
        <w:rPr>
          <w:rFonts w:ascii="Calibri" w:hAnsi="Calibri"/>
          <w:color w:val="231F20"/>
          <w:spacing w:val="-31"/>
          <w:w w:val="105"/>
          <w:sz w:val="17"/>
        </w:rPr>
        <w:t> </w:t>
      </w:r>
      <w:r>
        <w:rPr>
          <w:rFonts w:ascii="Calibri" w:hAnsi="Calibri"/>
          <w:color w:val="231F20"/>
          <w:w w:val="105"/>
          <w:sz w:val="17"/>
        </w:rPr>
        <w:t>africanos </w:t>
      </w:r>
      <w:r>
        <w:rPr>
          <w:rFonts w:ascii="Calibri" w:hAnsi="Calibri"/>
          <w:i/>
          <w:color w:val="231F20"/>
          <w:spacing w:val="-4"/>
          <w:w w:val="105"/>
          <w:sz w:val="17"/>
        </w:rPr>
        <w:t>cfr.</w:t>
      </w:r>
      <w:r>
        <w:rPr>
          <w:rFonts w:ascii="Calibri" w:hAnsi="Calibri"/>
          <w:i/>
          <w:color w:val="231F20"/>
          <w:spacing w:val="-12"/>
          <w:w w:val="105"/>
          <w:sz w:val="17"/>
        </w:rPr>
        <w:t> </w:t>
      </w:r>
      <w:r>
        <w:rPr>
          <w:rFonts w:ascii="Calibri" w:hAnsi="Calibri"/>
          <w:color w:val="231F20"/>
          <w:w w:val="105"/>
          <w:sz w:val="17"/>
        </w:rPr>
        <w:t>J.</w:t>
      </w:r>
      <w:r>
        <w:rPr>
          <w:rFonts w:ascii="Calibri" w:hAnsi="Calibri"/>
          <w:color w:val="231F20"/>
          <w:spacing w:val="-12"/>
          <w:w w:val="105"/>
          <w:sz w:val="17"/>
        </w:rPr>
        <w:t> </w:t>
      </w:r>
      <w:r>
        <w:rPr>
          <w:rFonts w:ascii="Calibri" w:hAnsi="Calibri"/>
          <w:color w:val="231F20"/>
          <w:w w:val="105"/>
          <w:sz w:val="17"/>
        </w:rPr>
        <w:t>Mangala,</w:t>
      </w:r>
      <w:r>
        <w:rPr>
          <w:rFonts w:ascii="Calibri" w:hAnsi="Calibri"/>
          <w:color w:val="231F20"/>
          <w:spacing w:val="-12"/>
          <w:w w:val="105"/>
          <w:sz w:val="17"/>
        </w:rPr>
        <w:t> </w:t>
      </w:r>
      <w:r>
        <w:rPr>
          <w:rFonts w:ascii="Calibri" w:hAnsi="Calibri"/>
          <w:color w:val="231F20"/>
          <w:w w:val="105"/>
          <w:sz w:val="17"/>
        </w:rPr>
        <w:t>“State</w:t>
      </w:r>
      <w:r>
        <w:rPr>
          <w:rFonts w:ascii="Calibri" w:hAnsi="Calibri"/>
          <w:color w:val="231F20"/>
          <w:spacing w:val="-12"/>
          <w:w w:val="105"/>
          <w:sz w:val="17"/>
        </w:rPr>
        <w:t> </w:t>
      </w:r>
      <w:r>
        <w:rPr>
          <w:rFonts w:ascii="Calibri" w:hAnsi="Calibri"/>
          <w:color w:val="231F20"/>
          <w:w w:val="105"/>
          <w:sz w:val="17"/>
        </w:rPr>
        <w:t>Sovereignty</w:t>
      </w:r>
      <w:r>
        <w:rPr>
          <w:rFonts w:ascii="Calibri" w:hAnsi="Calibri"/>
          <w:color w:val="231F20"/>
          <w:spacing w:val="-12"/>
          <w:w w:val="105"/>
          <w:sz w:val="17"/>
        </w:rPr>
        <w:t> </w:t>
      </w:r>
      <w:r>
        <w:rPr>
          <w:rFonts w:ascii="Calibri" w:hAnsi="Calibri"/>
          <w:color w:val="231F20"/>
          <w:w w:val="105"/>
          <w:sz w:val="17"/>
        </w:rPr>
        <w:t>and</w:t>
      </w:r>
      <w:r>
        <w:rPr>
          <w:rFonts w:ascii="Calibri" w:hAnsi="Calibri"/>
          <w:color w:val="231F20"/>
          <w:spacing w:val="-12"/>
          <w:w w:val="105"/>
          <w:sz w:val="17"/>
        </w:rPr>
        <w:t> </w:t>
      </w:r>
      <w:r>
        <w:rPr>
          <w:rFonts w:ascii="Calibri" w:hAnsi="Calibri"/>
          <w:color w:val="231F20"/>
          <w:w w:val="105"/>
          <w:sz w:val="17"/>
        </w:rPr>
        <w:t>the</w:t>
      </w:r>
      <w:r>
        <w:rPr>
          <w:rFonts w:ascii="Calibri" w:hAnsi="Calibri"/>
          <w:color w:val="231F20"/>
          <w:spacing w:val="-12"/>
          <w:w w:val="105"/>
          <w:sz w:val="17"/>
        </w:rPr>
        <w:t> </w:t>
      </w:r>
      <w:r>
        <w:rPr>
          <w:rFonts w:ascii="Calibri" w:hAnsi="Calibri"/>
          <w:color w:val="231F20"/>
          <w:w w:val="105"/>
          <w:sz w:val="17"/>
        </w:rPr>
        <w:t>New</w:t>
      </w:r>
      <w:r>
        <w:rPr>
          <w:rFonts w:ascii="Calibri" w:hAnsi="Calibri"/>
          <w:color w:val="231F20"/>
          <w:spacing w:val="-12"/>
          <w:w w:val="105"/>
          <w:sz w:val="17"/>
        </w:rPr>
        <w:t> </w:t>
      </w:r>
      <w:r>
        <w:rPr>
          <w:rFonts w:ascii="Calibri" w:hAnsi="Calibri"/>
          <w:color w:val="231F20"/>
          <w:w w:val="105"/>
          <w:sz w:val="17"/>
        </w:rPr>
        <w:t>Globalization</w:t>
      </w:r>
      <w:r>
        <w:rPr>
          <w:rFonts w:ascii="Calibri" w:hAnsi="Calibri"/>
          <w:color w:val="231F20"/>
          <w:spacing w:val="-12"/>
          <w:w w:val="105"/>
          <w:sz w:val="17"/>
        </w:rPr>
        <w:t> </w:t>
      </w:r>
      <w:r>
        <w:rPr>
          <w:rFonts w:ascii="Calibri" w:hAnsi="Calibri"/>
          <w:color w:val="231F20"/>
          <w:w w:val="105"/>
          <w:sz w:val="17"/>
        </w:rPr>
        <w:t>en</w:t>
      </w:r>
      <w:r>
        <w:rPr>
          <w:rFonts w:ascii="Calibri" w:hAnsi="Calibri"/>
          <w:color w:val="231F20"/>
          <w:spacing w:val="-12"/>
          <w:w w:val="105"/>
          <w:sz w:val="17"/>
        </w:rPr>
        <w:t> </w:t>
      </w:r>
      <w:r>
        <w:rPr>
          <w:rFonts w:ascii="Calibri" w:hAnsi="Calibri"/>
          <w:color w:val="231F20"/>
          <w:w w:val="105"/>
          <w:sz w:val="17"/>
        </w:rPr>
        <w:t>Africa”,</w:t>
      </w:r>
      <w:r>
        <w:rPr>
          <w:rFonts w:ascii="Calibri" w:hAnsi="Calibri"/>
          <w:color w:val="231F20"/>
          <w:spacing w:val="-12"/>
          <w:w w:val="105"/>
          <w:sz w:val="17"/>
        </w:rPr>
        <w:t> </w:t>
      </w:r>
      <w:r>
        <w:rPr>
          <w:rFonts w:ascii="Calibri" w:hAnsi="Calibri"/>
          <w:color w:val="231F20"/>
          <w:w w:val="105"/>
          <w:sz w:val="17"/>
        </w:rPr>
        <w:t>pp.</w:t>
      </w:r>
      <w:r>
        <w:rPr>
          <w:rFonts w:ascii="Calibri" w:hAnsi="Calibri"/>
          <w:color w:val="231F20"/>
          <w:spacing w:val="-12"/>
          <w:w w:val="105"/>
          <w:sz w:val="17"/>
        </w:rPr>
        <w:t> </w:t>
      </w:r>
      <w:r>
        <w:rPr>
          <w:rFonts w:ascii="Calibri" w:hAnsi="Calibri"/>
          <w:color w:val="231F20"/>
          <w:w w:val="105"/>
          <w:sz w:val="17"/>
        </w:rPr>
        <w:t>97–98.</w:t>
      </w:r>
      <w:r>
        <w:rPr>
          <w:rFonts w:ascii="Calibri" w:hAnsi="Calibri"/>
          <w:color w:val="231F20"/>
          <w:spacing w:val="-12"/>
          <w:w w:val="105"/>
          <w:sz w:val="17"/>
        </w:rPr>
        <w:t> </w:t>
      </w:r>
      <w:r>
        <w:rPr>
          <w:rFonts w:ascii="Calibri" w:hAnsi="Calibri"/>
          <w:color w:val="231F20"/>
          <w:w w:val="105"/>
          <w:sz w:val="17"/>
        </w:rPr>
        <w:t>Sobre</w:t>
      </w:r>
      <w:r>
        <w:rPr>
          <w:rFonts w:ascii="Calibri" w:hAnsi="Calibri"/>
          <w:color w:val="231F20"/>
          <w:spacing w:val="-12"/>
          <w:w w:val="105"/>
          <w:sz w:val="17"/>
        </w:rPr>
        <w:t> </w:t>
      </w:r>
      <w:r>
        <w:rPr>
          <w:rFonts w:ascii="Calibri" w:hAnsi="Calibri"/>
          <w:color w:val="231F20"/>
          <w:w w:val="105"/>
          <w:sz w:val="17"/>
        </w:rPr>
        <w:t>el</w:t>
      </w:r>
      <w:r>
        <w:rPr>
          <w:rFonts w:ascii="Calibri" w:hAnsi="Calibri"/>
          <w:color w:val="231F20"/>
          <w:spacing w:val="-12"/>
          <w:w w:val="105"/>
          <w:sz w:val="17"/>
        </w:rPr>
        <w:t> </w:t>
      </w:r>
      <w:r>
        <w:rPr>
          <w:rFonts w:ascii="Calibri" w:hAnsi="Calibri"/>
          <w:color w:val="231F20"/>
          <w:w w:val="105"/>
          <w:sz w:val="17"/>
        </w:rPr>
        <w:t>tema véanse</w:t>
      </w:r>
      <w:r>
        <w:rPr>
          <w:rFonts w:ascii="Calibri" w:hAnsi="Calibri"/>
          <w:color w:val="231F20"/>
          <w:spacing w:val="-16"/>
          <w:w w:val="105"/>
          <w:sz w:val="17"/>
        </w:rPr>
        <w:t> </w:t>
      </w:r>
      <w:r>
        <w:rPr>
          <w:rFonts w:ascii="Calibri" w:hAnsi="Calibri"/>
          <w:color w:val="231F20"/>
          <w:w w:val="105"/>
          <w:sz w:val="17"/>
        </w:rPr>
        <w:t>las</w:t>
      </w:r>
      <w:r>
        <w:rPr>
          <w:rFonts w:ascii="Calibri" w:hAnsi="Calibri"/>
          <w:color w:val="231F20"/>
          <w:spacing w:val="-16"/>
          <w:w w:val="105"/>
          <w:sz w:val="17"/>
        </w:rPr>
        <w:t> </w:t>
      </w:r>
      <w:r>
        <w:rPr>
          <w:rFonts w:ascii="Calibri" w:hAnsi="Calibri"/>
          <w:color w:val="231F20"/>
          <w:w w:val="105"/>
          <w:sz w:val="17"/>
        </w:rPr>
        <w:t>observaciones</w:t>
      </w:r>
      <w:r>
        <w:rPr>
          <w:rFonts w:ascii="Calibri" w:hAnsi="Calibri"/>
          <w:color w:val="231F20"/>
          <w:spacing w:val="-16"/>
          <w:w w:val="105"/>
          <w:sz w:val="17"/>
        </w:rPr>
        <w:t> </w:t>
      </w:r>
      <w:r>
        <w:rPr>
          <w:rFonts w:ascii="Calibri" w:hAnsi="Calibri"/>
          <w:color w:val="231F20"/>
          <w:w w:val="105"/>
          <w:sz w:val="17"/>
        </w:rPr>
        <w:t>críticas</w:t>
      </w:r>
      <w:r>
        <w:rPr>
          <w:rFonts w:ascii="Calibri" w:hAnsi="Calibri"/>
          <w:color w:val="231F20"/>
          <w:spacing w:val="-16"/>
          <w:w w:val="105"/>
          <w:sz w:val="17"/>
        </w:rPr>
        <w:t> </w:t>
      </w:r>
      <w:r>
        <w:rPr>
          <w:rFonts w:ascii="Calibri" w:hAnsi="Calibri"/>
          <w:color w:val="231F20"/>
          <w:w w:val="105"/>
          <w:sz w:val="17"/>
        </w:rPr>
        <w:t>desarrolladas</w:t>
      </w:r>
      <w:r>
        <w:rPr>
          <w:rFonts w:ascii="Calibri" w:hAnsi="Calibri"/>
          <w:color w:val="231F20"/>
          <w:spacing w:val="-16"/>
          <w:w w:val="105"/>
          <w:sz w:val="17"/>
        </w:rPr>
        <w:t> </w:t>
      </w:r>
      <w:r>
        <w:rPr>
          <w:rFonts w:ascii="Calibri" w:hAnsi="Calibri"/>
          <w:color w:val="231F20"/>
          <w:w w:val="105"/>
          <w:sz w:val="17"/>
        </w:rPr>
        <w:t>en</w:t>
      </w:r>
      <w:r>
        <w:rPr>
          <w:rFonts w:ascii="Calibri" w:hAnsi="Calibri"/>
          <w:color w:val="231F20"/>
          <w:spacing w:val="-16"/>
          <w:w w:val="105"/>
          <w:sz w:val="17"/>
        </w:rPr>
        <w:t> </w:t>
      </w:r>
      <w:r>
        <w:rPr>
          <w:rFonts w:ascii="Calibri" w:hAnsi="Calibri"/>
          <w:color w:val="231F20"/>
          <w:w w:val="105"/>
          <w:sz w:val="17"/>
        </w:rPr>
        <w:t>especial</w:t>
      </w:r>
      <w:r>
        <w:rPr>
          <w:rFonts w:ascii="Calibri" w:hAnsi="Calibri"/>
          <w:color w:val="231F20"/>
          <w:spacing w:val="-16"/>
          <w:w w:val="105"/>
          <w:sz w:val="17"/>
        </w:rPr>
        <w:t> </w:t>
      </w:r>
      <w:r>
        <w:rPr>
          <w:rFonts w:ascii="Calibri" w:hAnsi="Calibri"/>
          <w:color w:val="231F20"/>
          <w:w w:val="105"/>
          <w:sz w:val="17"/>
        </w:rPr>
        <w:t>referencia</w:t>
      </w:r>
      <w:r>
        <w:rPr>
          <w:rFonts w:ascii="Calibri" w:hAnsi="Calibri"/>
          <w:color w:val="231F20"/>
          <w:spacing w:val="-16"/>
          <w:w w:val="105"/>
          <w:sz w:val="17"/>
        </w:rPr>
        <w:t> </w:t>
      </w:r>
      <w:r>
        <w:rPr>
          <w:rFonts w:ascii="Calibri" w:hAnsi="Calibri"/>
          <w:color w:val="231F20"/>
          <w:w w:val="105"/>
          <w:sz w:val="17"/>
        </w:rPr>
        <w:t>a</w:t>
      </w:r>
      <w:r>
        <w:rPr>
          <w:rFonts w:ascii="Calibri" w:hAnsi="Calibri"/>
          <w:color w:val="231F20"/>
          <w:spacing w:val="-16"/>
          <w:w w:val="105"/>
          <w:sz w:val="17"/>
        </w:rPr>
        <w:t> </w:t>
      </w:r>
      <w:r>
        <w:rPr>
          <w:rFonts w:ascii="Calibri" w:hAnsi="Calibri"/>
          <w:color w:val="231F20"/>
          <w:w w:val="105"/>
          <w:sz w:val="17"/>
        </w:rPr>
        <w:t>las</w:t>
      </w:r>
      <w:r>
        <w:rPr>
          <w:rFonts w:ascii="Calibri" w:hAnsi="Calibri"/>
          <w:color w:val="231F20"/>
          <w:spacing w:val="-16"/>
          <w:w w:val="105"/>
          <w:sz w:val="17"/>
        </w:rPr>
        <w:t> </w:t>
      </w:r>
      <w:r>
        <w:rPr>
          <w:rFonts w:ascii="Calibri" w:hAnsi="Calibri"/>
          <w:color w:val="231F20"/>
          <w:w w:val="105"/>
          <w:sz w:val="17"/>
        </w:rPr>
        <w:t>dinámicas</w:t>
      </w:r>
      <w:r>
        <w:rPr>
          <w:rFonts w:ascii="Calibri" w:hAnsi="Calibri"/>
          <w:color w:val="231F20"/>
          <w:spacing w:val="-16"/>
          <w:w w:val="105"/>
          <w:sz w:val="17"/>
        </w:rPr>
        <w:t> </w:t>
      </w:r>
      <w:r>
        <w:rPr>
          <w:rFonts w:ascii="Calibri" w:hAnsi="Calibri"/>
          <w:color w:val="231F20"/>
          <w:w w:val="105"/>
          <w:sz w:val="17"/>
        </w:rPr>
        <w:t>europeas</w:t>
      </w:r>
      <w:r>
        <w:rPr>
          <w:rFonts w:ascii="Calibri" w:hAnsi="Calibri"/>
          <w:color w:val="231F20"/>
          <w:spacing w:val="-16"/>
          <w:w w:val="105"/>
          <w:sz w:val="17"/>
        </w:rPr>
        <w:t> </w:t>
      </w:r>
      <w:r>
        <w:rPr>
          <w:rFonts w:ascii="Calibri" w:hAnsi="Calibri"/>
          <w:color w:val="231F20"/>
          <w:w w:val="105"/>
          <w:sz w:val="17"/>
        </w:rPr>
        <w:t>de</w:t>
      </w:r>
    </w:p>
    <w:p>
      <w:pPr>
        <w:spacing w:line="235" w:lineRule="auto" w:before="0"/>
        <w:ind w:left="103" w:right="115" w:firstLine="0"/>
        <w:jc w:val="both"/>
        <w:rPr>
          <w:rFonts w:ascii="Calibri" w:hAnsi="Calibri"/>
          <w:sz w:val="17"/>
        </w:rPr>
      </w:pPr>
      <w:r>
        <w:rPr>
          <w:rFonts w:ascii="Calibri" w:hAnsi="Calibri"/>
          <w:color w:val="231F20"/>
          <w:w w:val="105"/>
          <w:sz w:val="17"/>
        </w:rPr>
        <w:t>N.</w:t>
      </w:r>
      <w:r>
        <w:rPr>
          <w:rFonts w:ascii="Calibri" w:hAnsi="Calibri"/>
          <w:color w:val="231F20"/>
          <w:spacing w:val="-25"/>
          <w:w w:val="105"/>
          <w:sz w:val="17"/>
        </w:rPr>
        <w:t> </w:t>
      </w:r>
      <w:r>
        <w:rPr>
          <w:rFonts w:ascii="Calibri" w:hAnsi="Calibri"/>
          <w:color w:val="231F20"/>
          <w:w w:val="105"/>
          <w:sz w:val="17"/>
        </w:rPr>
        <w:t>Walker</w:t>
      </w:r>
      <w:r>
        <w:rPr>
          <w:rFonts w:ascii="Calibri" w:hAnsi="Calibri"/>
          <w:color w:val="231F20"/>
          <w:spacing w:val="-23"/>
          <w:w w:val="105"/>
          <w:sz w:val="17"/>
        </w:rPr>
        <w:t> </w:t>
      </w:r>
      <w:r>
        <w:rPr>
          <w:rFonts w:ascii="Calibri" w:hAnsi="Calibri"/>
          <w:color w:val="231F20"/>
          <w:w w:val="105"/>
          <w:sz w:val="17"/>
        </w:rPr>
        <w:t>en</w:t>
      </w:r>
      <w:r>
        <w:rPr>
          <w:rFonts w:ascii="Calibri" w:hAnsi="Calibri"/>
          <w:color w:val="231F20"/>
          <w:spacing w:val="-23"/>
          <w:w w:val="105"/>
          <w:sz w:val="17"/>
        </w:rPr>
        <w:t> </w:t>
      </w:r>
      <w:r>
        <w:rPr>
          <w:rFonts w:ascii="Calibri" w:hAnsi="Calibri"/>
          <w:color w:val="231F20"/>
          <w:w w:val="105"/>
          <w:sz w:val="17"/>
        </w:rPr>
        <w:t>su</w:t>
      </w:r>
      <w:r>
        <w:rPr>
          <w:rFonts w:ascii="Calibri" w:hAnsi="Calibri"/>
          <w:color w:val="231F20"/>
          <w:spacing w:val="-23"/>
          <w:w w:val="105"/>
          <w:sz w:val="17"/>
        </w:rPr>
        <w:t> </w:t>
      </w:r>
      <w:r>
        <w:rPr>
          <w:rFonts w:ascii="Calibri" w:hAnsi="Calibri"/>
          <w:color w:val="231F20"/>
          <w:w w:val="105"/>
          <w:sz w:val="17"/>
        </w:rPr>
        <w:t>ensayo</w:t>
      </w:r>
      <w:r>
        <w:rPr>
          <w:rFonts w:ascii="Calibri" w:hAnsi="Calibri"/>
          <w:color w:val="231F20"/>
          <w:spacing w:val="-23"/>
          <w:w w:val="105"/>
          <w:sz w:val="17"/>
        </w:rPr>
        <w:t> </w:t>
      </w:r>
      <w:r>
        <w:rPr>
          <w:rFonts w:ascii="Calibri" w:hAnsi="Calibri"/>
          <w:color w:val="231F20"/>
          <w:w w:val="105"/>
          <w:sz w:val="17"/>
        </w:rPr>
        <w:t>“Late</w:t>
      </w:r>
      <w:r>
        <w:rPr>
          <w:rFonts w:ascii="Calibri" w:hAnsi="Calibri"/>
          <w:color w:val="231F20"/>
          <w:spacing w:val="-23"/>
          <w:w w:val="105"/>
          <w:sz w:val="17"/>
        </w:rPr>
        <w:t> </w:t>
      </w:r>
      <w:r>
        <w:rPr>
          <w:rFonts w:ascii="Calibri" w:hAnsi="Calibri"/>
          <w:color w:val="231F20"/>
          <w:w w:val="105"/>
          <w:sz w:val="17"/>
        </w:rPr>
        <w:t>Sovereignty</w:t>
      </w:r>
      <w:r>
        <w:rPr>
          <w:rFonts w:ascii="Calibri" w:hAnsi="Calibri"/>
          <w:color w:val="231F20"/>
          <w:spacing w:val="-23"/>
          <w:w w:val="105"/>
          <w:sz w:val="17"/>
        </w:rPr>
        <w:t> </w:t>
      </w:r>
      <w:r>
        <w:rPr>
          <w:rFonts w:ascii="Calibri" w:hAnsi="Calibri"/>
          <w:color w:val="231F20"/>
          <w:w w:val="105"/>
          <w:sz w:val="17"/>
        </w:rPr>
        <w:t>in</w:t>
      </w:r>
      <w:r>
        <w:rPr>
          <w:rFonts w:ascii="Calibri" w:hAnsi="Calibri"/>
          <w:color w:val="231F20"/>
          <w:spacing w:val="-23"/>
          <w:w w:val="105"/>
          <w:sz w:val="17"/>
        </w:rPr>
        <w:t> </w:t>
      </w:r>
      <w:r>
        <w:rPr>
          <w:rFonts w:ascii="Calibri" w:hAnsi="Calibri"/>
          <w:color w:val="231F20"/>
          <w:w w:val="105"/>
          <w:sz w:val="17"/>
        </w:rPr>
        <w:t>the</w:t>
      </w:r>
      <w:r>
        <w:rPr>
          <w:rFonts w:ascii="Calibri" w:hAnsi="Calibri"/>
          <w:color w:val="231F20"/>
          <w:spacing w:val="-23"/>
          <w:w w:val="105"/>
          <w:sz w:val="17"/>
        </w:rPr>
        <w:t> </w:t>
      </w:r>
      <w:r>
        <w:rPr>
          <w:rFonts w:ascii="Calibri" w:hAnsi="Calibri"/>
          <w:color w:val="231F20"/>
          <w:w w:val="105"/>
          <w:sz w:val="17"/>
        </w:rPr>
        <w:t>European</w:t>
      </w:r>
      <w:r>
        <w:rPr>
          <w:rFonts w:ascii="Calibri" w:hAnsi="Calibri"/>
          <w:color w:val="231F20"/>
          <w:spacing w:val="-23"/>
          <w:w w:val="105"/>
          <w:sz w:val="17"/>
        </w:rPr>
        <w:t> </w:t>
      </w:r>
      <w:r>
        <w:rPr>
          <w:rFonts w:ascii="Calibri" w:hAnsi="Calibri"/>
          <w:color w:val="231F20"/>
          <w:w w:val="105"/>
          <w:sz w:val="17"/>
        </w:rPr>
        <w:t>Union”,</w:t>
      </w:r>
      <w:r>
        <w:rPr>
          <w:rFonts w:ascii="Calibri" w:hAnsi="Calibri"/>
          <w:color w:val="231F20"/>
          <w:spacing w:val="-23"/>
          <w:w w:val="105"/>
          <w:sz w:val="17"/>
        </w:rPr>
        <w:t> </w:t>
      </w:r>
      <w:r>
        <w:rPr>
          <w:rFonts w:ascii="Calibri" w:hAnsi="Calibri"/>
          <w:color w:val="231F20"/>
          <w:w w:val="105"/>
          <w:sz w:val="17"/>
        </w:rPr>
        <w:t>en</w:t>
      </w:r>
      <w:r>
        <w:rPr>
          <w:rFonts w:ascii="Calibri" w:hAnsi="Calibri"/>
          <w:color w:val="231F20"/>
          <w:spacing w:val="-23"/>
          <w:w w:val="105"/>
          <w:sz w:val="17"/>
        </w:rPr>
        <w:t> </w:t>
      </w:r>
      <w:r>
        <w:rPr>
          <w:rFonts w:ascii="Calibri" w:hAnsi="Calibri"/>
          <w:color w:val="231F20"/>
          <w:w w:val="105"/>
          <w:sz w:val="17"/>
        </w:rPr>
        <w:t>N.</w:t>
      </w:r>
      <w:r>
        <w:rPr>
          <w:rFonts w:ascii="Calibri" w:hAnsi="Calibri"/>
          <w:color w:val="231F20"/>
          <w:spacing w:val="-25"/>
          <w:w w:val="105"/>
          <w:sz w:val="17"/>
        </w:rPr>
        <w:t> </w:t>
      </w:r>
      <w:r>
        <w:rPr>
          <w:rFonts w:ascii="Calibri" w:hAnsi="Calibri"/>
          <w:color w:val="231F20"/>
          <w:w w:val="105"/>
          <w:sz w:val="17"/>
        </w:rPr>
        <w:t>Walker</w:t>
      </w:r>
      <w:r>
        <w:rPr>
          <w:rFonts w:ascii="Calibri" w:hAnsi="Calibri"/>
          <w:color w:val="231F20"/>
          <w:spacing w:val="-23"/>
          <w:w w:val="105"/>
          <w:sz w:val="17"/>
        </w:rPr>
        <w:t> </w:t>
      </w:r>
      <w:r>
        <w:rPr>
          <w:rFonts w:ascii="Calibri" w:hAnsi="Calibri"/>
          <w:color w:val="231F20"/>
          <w:w w:val="105"/>
          <w:sz w:val="17"/>
        </w:rPr>
        <w:t>(Ed.),</w:t>
      </w:r>
      <w:r>
        <w:rPr>
          <w:rFonts w:ascii="Calibri" w:hAnsi="Calibri"/>
          <w:color w:val="231F20"/>
          <w:spacing w:val="-23"/>
          <w:w w:val="105"/>
          <w:sz w:val="17"/>
        </w:rPr>
        <w:t> </w:t>
      </w:r>
      <w:r>
        <w:rPr>
          <w:rFonts w:ascii="Calibri" w:hAnsi="Calibri"/>
          <w:i/>
          <w:color w:val="231F20"/>
          <w:w w:val="105"/>
          <w:sz w:val="17"/>
        </w:rPr>
        <w:t>Sovereignty</w:t>
      </w:r>
      <w:r>
        <w:rPr>
          <w:rFonts w:ascii="Calibri" w:hAnsi="Calibri"/>
          <w:i/>
          <w:color w:val="231F20"/>
          <w:spacing w:val="-23"/>
          <w:w w:val="105"/>
          <w:sz w:val="17"/>
        </w:rPr>
        <w:t> </w:t>
      </w:r>
      <w:r>
        <w:rPr>
          <w:rFonts w:ascii="Calibri" w:hAnsi="Calibri"/>
          <w:i/>
          <w:color w:val="231F20"/>
          <w:w w:val="105"/>
          <w:sz w:val="17"/>
        </w:rPr>
        <w:t>in </w:t>
      </w:r>
      <w:r>
        <w:rPr>
          <w:rFonts w:ascii="Calibri" w:hAnsi="Calibri"/>
          <w:i/>
          <w:color w:val="231F20"/>
          <w:sz w:val="17"/>
        </w:rPr>
        <w:t>Transition</w:t>
      </w:r>
      <w:r>
        <w:rPr>
          <w:rFonts w:ascii="Calibri" w:hAnsi="Calibri"/>
          <w:color w:val="231F20"/>
          <w:sz w:val="17"/>
        </w:rPr>
        <w:t>, Oxford/Portland, Hart Publishing, 2003, pp.</w:t>
      </w:r>
      <w:r>
        <w:rPr>
          <w:rFonts w:ascii="Calibri" w:hAnsi="Calibri"/>
          <w:color w:val="231F20"/>
          <w:spacing w:val="9"/>
          <w:sz w:val="17"/>
        </w:rPr>
        <w:t> </w:t>
      </w:r>
      <w:r>
        <w:rPr>
          <w:rFonts w:ascii="Calibri" w:hAnsi="Calibri"/>
          <w:color w:val="231F20"/>
          <w:sz w:val="17"/>
        </w:rPr>
        <w:t>10–11.</w:t>
      </w:r>
    </w:p>
    <w:p>
      <w:pPr>
        <w:spacing w:line="235" w:lineRule="auto" w:before="0"/>
        <w:ind w:left="103" w:right="115" w:firstLine="0"/>
        <w:jc w:val="both"/>
        <w:rPr>
          <w:rFonts w:ascii="Calibri" w:hAnsi="Calibri"/>
          <w:sz w:val="17"/>
        </w:rPr>
      </w:pPr>
      <w:r>
        <w:rPr>
          <w:rFonts w:ascii="Calibri" w:hAnsi="Calibri"/>
          <w:color w:val="231F20"/>
          <w:position w:val="6"/>
          <w:sz w:val="10"/>
        </w:rPr>
        <w:t>78 </w:t>
      </w:r>
      <w:r>
        <w:rPr>
          <w:rFonts w:ascii="Calibri" w:hAnsi="Calibri"/>
          <w:color w:val="231F20"/>
          <w:sz w:val="17"/>
        </w:rPr>
        <w:t>L. </w:t>
      </w:r>
      <w:r>
        <w:rPr>
          <w:rFonts w:ascii="Calibri" w:hAnsi="Calibri"/>
          <w:color w:val="231F20"/>
          <w:spacing w:val="-6"/>
          <w:sz w:val="17"/>
        </w:rPr>
        <w:t>W. </w:t>
      </w:r>
      <w:r>
        <w:rPr>
          <w:rFonts w:ascii="Calibri" w:hAnsi="Calibri"/>
          <w:color w:val="231F20"/>
          <w:sz w:val="17"/>
        </w:rPr>
        <w:t>Pauly y E. Grande, “Reconstituting Political Authority: Sovereignty, Effectiveness, and Legi- timacy in a Transnational Order”, E. Grande y </w:t>
      </w:r>
      <w:r>
        <w:rPr>
          <w:rFonts w:ascii="Calibri" w:hAnsi="Calibri"/>
          <w:color w:val="231F20"/>
          <w:spacing w:val="-6"/>
          <w:sz w:val="17"/>
        </w:rPr>
        <w:t>L.W. </w:t>
      </w:r>
      <w:r>
        <w:rPr>
          <w:rFonts w:ascii="Calibri" w:hAnsi="Calibri"/>
          <w:color w:val="231F20"/>
          <w:sz w:val="17"/>
        </w:rPr>
        <w:t>Pauly (Eds.), </w:t>
      </w:r>
      <w:r>
        <w:rPr>
          <w:rFonts w:ascii="Calibri" w:hAnsi="Calibri"/>
          <w:i/>
          <w:color w:val="231F20"/>
          <w:sz w:val="17"/>
        </w:rPr>
        <w:t>Complex Sovereignty: Reconstituing </w:t>
      </w:r>
      <w:r>
        <w:rPr>
          <w:rFonts w:ascii="Calibri" w:hAnsi="Calibri"/>
          <w:i/>
          <w:color w:val="231F20"/>
          <w:sz w:val="17"/>
        </w:rPr>
        <w:t>Political</w:t>
      </w:r>
      <w:r>
        <w:rPr>
          <w:rFonts w:ascii="Calibri" w:hAnsi="Calibri"/>
          <w:i/>
          <w:color w:val="231F20"/>
          <w:spacing w:val="-6"/>
          <w:sz w:val="17"/>
        </w:rPr>
        <w:t> </w:t>
      </w:r>
      <w:r>
        <w:rPr>
          <w:rFonts w:ascii="Calibri" w:hAnsi="Calibri"/>
          <w:i/>
          <w:color w:val="231F20"/>
          <w:sz w:val="17"/>
        </w:rPr>
        <w:t>Authority</w:t>
      </w:r>
      <w:r>
        <w:rPr>
          <w:rFonts w:ascii="Calibri" w:hAnsi="Calibri"/>
          <w:i/>
          <w:color w:val="231F20"/>
          <w:spacing w:val="-6"/>
          <w:sz w:val="17"/>
        </w:rPr>
        <w:t> </w:t>
      </w:r>
      <w:r>
        <w:rPr>
          <w:rFonts w:ascii="Calibri" w:hAnsi="Calibri"/>
          <w:i/>
          <w:color w:val="231F20"/>
          <w:sz w:val="17"/>
        </w:rPr>
        <w:t>in</w:t>
      </w:r>
      <w:r>
        <w:rPr>
          <w:rFonts w:ascii="Calibri" w:hAnsi="Calibri"/>
          <w:i/>
          <w:color w:val="231F20"/>
          <w:spacing w:val="-6"/>
          <w:sz w:val="17"/>
        </w:rPr>
        <w:t> </w:t>
      </w:r>
      <w:r>
        <w:rPr>
          <w:rFonts w:ascii="Calibri" w:hAnsi="Calibri"/>
          <w:i/>
          <w:color w:val="231F20"/>
          <w:sz w:val="17"/>
        </w:rPr>
        <w:t>the</w:t>
      </w:r>
      <w:r>
        <w:rPr>
          <w:rFonts w:ascii="Calibri" w:hAnsi="Calibri"/>
          <w:i/>
          <w:color w:val="231F20"/>
          <w:spacing w:val="-9"/>
          <w:sz w:val="17"/>
        </w:rPr>
        <w:t> </w:t>
      </w:r>
      <w:r>
        <w:rPr>
          <w:rFonts w:ascii="Calibri" w:hAnsi="Calibri"/>
          <w:i/>
          <w:color w:val="231F20"/>
          <w:sz w:val="17"/>
        </w:rPr>
        <w:t>Twenty</w:t>
      </w:r>
      <w:r>
        <w:rPr>
          <w:rFonts w:ascii="Calibri" w:hAnsi="Calibri"/>
          <w:color w:val="231F20"/>
          <w:sz w:val="17"/>
        </w:rPr>
        <w:t>–</w:t>
      </w:r>
      <w:r>
        <w:rPr>
          <w:rFonts w:ascii="Calibri" w:hAnsi="Calibri"/>
          <w:i/>
          <w:color w:val="231F20"/>
          <w:sz w:val="17"/>
        </w:rPr>
        <w:t>first</w:t>
      </w:r>
      <w:r>
        <w:rPr>
          <w:rFonts w:ascii="Calibri" w:hAnsi="Calibri"/>
          <w:i/>
          <w:color w:val="231F20"/>
          <w:spacing w:val="-6"/>
          <w:sz w:val="17"/>
        </w:rPr>
        <w:t> </w:t>
      </w:r>
      <w:r>
        <w:rPr>
          <w:rFonts w:ascii="Calibri" w:hAnsi="Calibri"/>
          <w:i/>
          <w:color w:val="231F20"/>
          <w:sz w:val="17"/>
        </w:rPr>
        <w:t>Century</w:t>
      </w:r>
      <w:r>
        <w:rPr>
          <w:rFonts w:ascii="Calibri" w:hAnsi="Calibri"/>
          <w:color w:val="231F20"/>
          <w:sz w:val="17"/>
        </w:rPr>
        <w:t>,</w:t>
      </w:r>
      <w:r>
        <w:rPr>
          <w:rFonts w:ascii="Calibri" w:hAnsi="Calibri"/>
          <w:color w:val="231F20"/>
          <w:spacing w:val="-5"/>
          <w:sz w:val="17"/>
        </w:rPr>
        <w:t> </w:t>
      </w:r>
      <w:r>
        <w:rPr>
          <w:rFonts w:ascii="Calibri" w:hAnsi="Calibri"/>
          <w:color w:val="231F20"/>
          <w:sz w:val="17"/>
        </w:rPr>
        <w:t>University</w:t>
      </w:r>
      <w:r>
        <w:rPr>
          <w:rFonts w:ascii="Calibri" w:hAnsi="Calibri"/>
          <w:color w:val="231F20"/>
          <w:spacing w:val="-5"/>
          <w:sz w:val="17"/>
        </w:rPr>
        <w:t> </w:t>
      </w:r>
      <w:r>
        <w:rPr>
          <w:rFonts w:ascii="Calibri" w:hAnsi="Calibri"/>
          <w:color w:val="231F20"/>
          <w:sz w:val="17"/>
        </w:rPr>
        <w:t>of</w:t>
      </w:r>
      <w:r>
        <w:rPr>
          <w:rFonts w:ascii="Calibri" w:hAnsi="Calibri"/>
          <w:color w:val="231F20"/>
          <w:spacing w:val="-9"/>
          <w:sz w:val="17"/>
        </w:rPr>
        <w:t> </w:t>
      </w:r>
      <w:r>
        <w:rPr>
          <w:rFonts w:ascii="Calibri" w:hAnsi="Calibri"/>
          <w:color w:val="231F20"/>
          <w:sz w:val="17"/>
        </w:rPr>
        <w:t>Toronto</w:t>
      </w:r>
      <w:r>
        <w:rPr>
          <w:rFonts w:ascii="Calibri" w:hAnsi="Calibri"/>
          <w:color w:val="231F20"/>
          <w:spacing w:val="-5"/>
          <w:sz w:val="17"/>
        </w:rPr>
        <w:t> </w:t>
      </w:r>
      <w:r>
        <w:rPr>
          <w:rFonts w:ascii="Calibri" w:hAnsi="Calibri"/>
          <w:color w:val="231F20"/>
          <w:sz w:val="17"/>
        </w:rPr>
        <w:t>Press,</w:t>
      </w:r>
      <w:r>
        <w:rPr>
          <w:rFonts w:ascii="Calibri" w:hAnsi="Calibri"/>
          <w:color w:val="231F20"/>
          <w:spacing w:val="-5"/>
          <w:sz w:val="17"/>
        </w:rPr>
        <w:t> </w:t>
      </w:r>
      <w:r>
        <w:rPr>
          <w:rFonts w:ascii="Calibri" w:hAnsi="Calibri"/>
          <w:color w:val="231F20"/>
          <w:sz w:val="17"/>
        </w:rPr>
        <w:t>2005,</w:t>
      </w:r>
      <w:r>
        <w:rPr>
          <w:rFonts w:ascii="Calibri" w:hAnsi="Calibri"/>
          <w:color w:val="231F20"/>
          <w:spacing w:val="-5"/>
          <w:sz w:val="17"/>
        </w:rPr>
        <w:t> </w:t>
      </w:r>
      <w:r>
        <w:rPr>
          <w:rFonts w:ascii="Calibri" w:hAnsi="Calibri"/>
          <w:color w:val="231F20"/>
          <w:sz w:val="17"/>
        </w:rPr>
        <w:t>pp.</w:t>
      </w:r>
      <w:r>
        <w:rPr>
          <w:rFonts w:ascii="Calibri" w:hAnsi="Calibri"/>
          <w:color w:val="231F20"/>
          <w:spacing w:val="-5"/>
          <w:sz w:val="17"/>
        </w:rPr>
        <w:t> </w:t>
      </w:r>
      <w:r>
        <w:rPr>
          <w:rFonts w:ascii="Calibri" w:hAnsi="Calibri"/>
          <w:color w:val="231F20"/>
          <w:sz w:val="17"/>
        </w:rPr>
        <w:t>6–7;</w:t>
      </w:r>
      <w:r>
        <w:rPr>
          <w:rFonts w:ascii="Calibri" w:hAnsi="Calibri"/>
          <w:color w:val="231F20"/>
          <w:spacing w:val="-5"/>
          <w:sz w:val="17"/>
        </w:rPr>
        <w:t> </w:t>
      </w:r>
      <w:r>
        <w:rPr>
          <w:rFonts w:ascii="Calibri" w:hAnsi="Calibri"/>
          <w:color w:val="231F20"/>
          <w:sz w:val="17"/>
        </w:rPr>
        <w:t>K.</w:t>
      </w:r>
      <w:r>
        <w:rPr>
          <w:rFonts w:ascii="Calibri" w:hAnsi="Calibri"/>
          <w:color w:val="231F20"/>
          <w:spacing w:val="-5"/>
          <w:sz w:val="17"/>
        </w:rPr>
        <w:t> </w:t>
      </w:r>
      <w:r>
        <w:rPr>
          <w:rFonts w:ascii="Calibri" w:hAnsi="Calibri"/>
          <w:color w:val="231F20"/>
          <w:sz w:val="17"/>
        </w:rPr>
        <w:t>Jayasuri- ya,</w:t>
      </w:r>
      <w:r>
        <w:rPr>
          <w:rFonts w:ascii="Calibri" w:hAnsi="Calibri"/>
          <w:color w:val="231F20"/>
          <w:spacing w:val="-3"/>
          <w:sz w:val="17"/>
        </w:rPr>
        <w:t> </w:t>
      </w:r>
      <w:r>
        <w:rPr>
          <w:rFonts w:ascii="Calibri" w:hAnsi="Calibri"/>
          <w:i/>
          <w:color w:val="231F20"/>
          <w:sz w:val="17"/>
        </w:rPr>
        <w:t>Reconstituting</w:t>
      </w:r>
      <w:r>
        <w:rPr>
          <w:rFonts w:ascii="Calibri" w:hAnsi="Calibri"/>
          <w:i/>
          <w:color w:val="231F20"/>
          <w:spacing w:val="-3"/>
          <w:sz w:val="17"/>
        </w:rPr>
        <w:t> </w:t>
      </w:r>
      <w:r>
        <w:rPr>
          <w:rFonts w:ascii="Calibri" w:hAnsi="Calibri"/>
          <w:i/>
          <w:color w:val="231F20"/>
          <w:sz w:val="17"/>
        </w:rPr>
        <w:t>the</w:t>
      </w:r>
      <w:r>
        <w:rPr>
          <w:rFonts w:ascii="Calibri" w:hAnsi="Calibri"/>
          <w:i/>
          <w:color w:val="231F20"/>
          <w:spacing w:val="-3"/>
          <w:sz w:val="17"/>
        </w:rPr>
        <w:t> </w:t>
      </w:r>
      <w:r>
        <w:rPr>
          <w:rFonts w:ascii="Calibri" w:hAnsi="Calibri"/>
          <w:i/>
          <w:color w:val="231F20"/>
          <w:sz w:val="17"/>
        </w:rPr>
        <w:t>Global</w:t>
      </w:r>
      <w:r>
        <w:rPr>
          <w:rFonts w:ascii="Calibri" w:hAnsi="Calibri"/>
          <w:i/>
          <w:color w:val="231F20"/>
          <w:spacing w:val="-3"/>
          <w:sz w:val="17"/>
        </w:rPr>
        <w:t> </w:t>
      </w:r>
      <w:r>
        <w:rPr>
          <w:rFonts w:ascii="Calibri" w:hAnsi="Calibri"/>
          <w:i/>
          <w:color w:val="231F20"/>
          <w:sz w:val="17"/>
        </w:rPr>
        <w:t>Liberal</w:t>
      </w:r>
      <w:r>
        <w:rPr>
          <w:rFonts w:ascii="Calibri" w:hAnsi="Calibri"/>
          <w:i/>
          <w:color w:val="231F20"/>
          <w:spacing w:val="-3"/>
          <w:sz w:val="17"/>
        </w:rPr>
        <w:t> Order. </w:t>
      </w:r>
      <w:r>
        <w:rPr>
          <w:rFonts w:ascii="Calibri" w:hAnsi="Calibri"/>
          <w:i/>
          <w:color w:val="231F20"/>
          <w:sz w:val="17"/>
        </w:rPr>
        <w:t>Legitimacy</w:t>
      </w:r>
      <w:r>
        <w:rPr>
          <w:rFonts w:ascii="Calibri" w:hAnsi="Calibri"/>
          <w:i/>
          <w:color w:val="231F20"/>
          <w:spacing w:val="-3"/>
          <w:sz w:val="17"/>
        </w:rPr>
        <w:t> </w:t>
      </w:r>
      <w:r>
        <w:rPr>
          <w:rFonts w:ascii="Calibri" w:hAnsi="Calibri"/>
          <w:i/>
          <w:color w:val="231F20"/>
          <w:sz w:val="17"/>
        </w:rPr>
        <w:t>and</w:t>
      </w:r>
      <w:r>
        <w:rPr>
          <w:rFonts w:ascii="Calibri" w:hAnsi="Calibri"/>
          <w:i/>
          <w:color w:val="231F20"/>
          <w:spacing w:val="-3"/>
          <w:sz w:val="17"/>
        </w:rPr>
        <w:t> </w:t>
      </w:r>
      <w:r>
        <w:rPr>
          <w:rFonts w:ascii="Calibri" w:hAnsi="Calibri"/>
          <w:i/>
          <w:color w:val="231F20"/>
          <w:sz w:val="17"/>
        </w:rPr>
        <w:t>regulation</w:t>
      </w:r>
      <w:r>
        <w:rPr>
          <w:rFonts w:ascii="Calibri" w:hAnsi="Calibri"/>
          <w:color w:val="231F20"/>
          <w:sz w:val="17"/>
        </w:rPr>
        <w:t>,</w:t>
      </w:r>
      <w:r>
        <w:rPr>
          <w:rFonts w:ascii="Calibri" w:hAnsi="Calibri"/>
          <w:color w:val="231F20"/>
          <w:spacing w:val="-3"/>
          <w:sz w:val="17"/>
        </w:rPr>
        <w:t> </w:t>
      </w:r>
      <w:r>
        <w:rPr>
          <w:rFonts w:ascii="Calibri" w:hAnsi="Calibri"/>
          <w:color w:val="231F20"/>
          <w:sz w:val="17"/>
        </w:rPr>
        <w:t>London/New</w:t>
      </w:r>
      <w:r>
        <w:rPr>
          <w:rFonts w:ascii="Calibri" w:hAnsi="Calibri"/>
          <w:color w:val="231F20"/>
          <w:spacing w:val="-8"/>
          <w:sz w:val="17"/>
        </w:rPr>
        <w:t> </w:t>
      </w:r>
      <w:r>
        <w:rPr>
          <w:rFonts w:ascii="Calibri" w:hAnsi="Calibri"/>
          <w:color w:val="231F20"/>
          <w:sz w:val="17"/>
        </w:rPr>
        <w:t>York,</w:t>
      </w:r>
      <w:r>
        <w:rPr>
          <w:rFonts w:ascii="Calibri" w:hAnsi="Calibri"/>
          <w:color w:val="231F20"/>
          <w:spacing w:val="-3"/>
          <w:sz w:val="17"/>
        </w:rPr>
        <w:t> </w:t>
      </w:r>
      <w:r>
        <w:rPr>
          <w:rFonts w:ascii="Calibri" w:hAnsi="Calibri"/>
          <w:color w:val="231F20"/>
          <w:sz w:val="17"/>
        </w:rPr>
        <w:t>Routledge, 2005, pp.</w:t>
      </w:r>
      <w:r>
        <w:rPr>
          <w:rFonts w:ascii="Calibri" w:hAnsi="Calibri"/>
          <w:color w:val="231F20"/>
          <w:spacing w:val="17"/>
          <w:sz w:val="17"/>
        </w:rPr>
        <w:t> </w:t>
      </w:r>
      <w:r>
        <w:rPr>
          <w:rFonts w:ascii="Calibri" w:hAnsi="Calibri"/>
          <w:color w:val="231F20"/>
          <w:sz w:val="17"/>
        </w:rPr>
        <w:t>69–70.</w:t>
      </w:r>
    </w:p>
    <w:p>
      <w:pPr>
        <w:spacing w:line="235" w:lineRule="auto" w:before="0"/>
        <w:ind w:left="103" w:right="115" w:firstLine="0"/>
        <w:jc w:val="both"/>
        <w:rPr>
          <w:rFonts w:ascii="Calibri"/>
          <w:sz w:val="17"/>
        </w:rPr>
      </w:pPr>
      <w:r>
        <w:rPr>
          <w:rFonts w:ascii="Calibri"/>
          <w:color w:val="231F20"/>
          <w:position w:val="6"/>
          <w:sz w:val="10"/>
        </w:rPr>
        <w:t>79 </w:t>
      </w:r>
      <w:r>
        <w:rPr>
          <w:rFonts w:ascii="Calibri"/>
          <w:color w:val="231F20"/>
          <w:sz w:val="17"/>
        </w:rPr>
        <w:t>S. D. Krasner, </w:t>
      </w:r>
      <w:r>
        <w:rPr>
          <w:rFonts w:ascii="Calibri"/>
          <w:i/>
          <w:color w:val="231F20"/>
          <w:sz w:val="17"/>
        </w:rPr>
        <w:t>Sovereignty: Organised Hipocrisy</w:t>
      </w:r>
      <w:r>
        <w:rPr>
          <w:rFonts w:ascii="Calibri"/>
          <w:color w:val="231F20"/>
          <w:sz w:val="17"/>
        </w:rPr>
        <w:t>, Princeton, Princeton University Press, 1999; S. D. Krasner,</w:t>
      </w:r>
      <w:r>
        <w:rPr>
          <w:rFonts w:ascii="Calibri"/>
          <w:color w:val="231F20"/>
          <w:spacing w:val="-7"/>
          <w:sz w:val="17"/>
        </w:rPr>
        <w:t> </w:t>
      </w:r>
      <w:r>
        <w:rPr>
          <w:rFonts w:ascii="Calibri"/>
          <w:i/>
          <w:color w:val="231F20"/>
          <w:sz w:val="17"/>
        </w:rPr>
        <w:t>Power,</w:t>
      </w:r>
      <w:r>
        <w:rPr>
          <w:rFonts w:ascii="Calibri"/>
          <w:i/>
          <w:color w:val="231F20"/>
          <w:spacing w:val="-7"/>
          <w:sz w:val="17"/>
        </w:rPr>
        <w:t> </w:t>
      </w:r>
      <w:r>
        <w:rPr>
          <w:rFonts w:ascii="Calibri"/>
          <w:i/>
          <w:color w:val="231F20"/>
          <w:sz w:val="17"/>
        </w:rPr>
        <w:t>the</w:t>
      </w:r>
      <w:r>
        <w:rPr>
          <w:rFonts w:ascii="Calibri"/>
          <w:i/>
          <w:color w:val="231F20"/>
          <w:spacing w:val="-7"/>
          <w:sz w:val="17"/>
        </w:rPr>
        <w:t> </w:t>
      </w:r>
      <w:r>
        <w:rPr>
          <w:rFonts w:ascii="Calibri"/>
          <w:i/>
          <w:color w:val="231F20"/>
          <w:sz w:val="17"/>
        </w:rPr>
        <w:t>state</w:t>
      </w:r>
      <w:r>
        <w:rPr>
          <w:rFonts w:ascii="Calibri"/>
          <w:i/>
          <w:color w:val="231F20"/>
          <w:spacing w:val="-7"/>
          <w:sz w:val="17"/>
        </w:rPr>
        <w:t> </w:t>
      </w:r>
      <w:r>
        <w:rPr>
          <w:rFonts w:ascii="Calibri"/>
          <w:i/>
          <w:color w:val="231F20"/>
          <w:sz w:val="17"/>
        </w:rPr>
        <w:t>and</w:t>
      </w:r>
      <w:r>
        <w:rPr>
          <w:rFonts w:ascii="Calibri"/>
          <w:i/>
          <w:color w:val="231F20"/>
          <w:spacing w:val="-7"/>
          <w:sz w:val="17"/>
        </w:rPr>
        <w:t> </w:t>
      </w:r>
      <w:r>
        <w:rPr>
          <w:rFonts w:ascii="Calibri"/>
          <w:i/>
          <w:color w:val="231F20"/>
          <w:sz w:val="17"/>
        </w:rPr>
        <w:t>Sovereignty:</w:t>
      </w:r>
      <w:r>
        <w:rPr>
          <w:rFonts w:ascii="Calibri"/>
          <w:i/>
          <w:color w:val="231F20"/>
          <w:spacing w:val="-7"/>
          <w:sz w:val="17"/>
        </w:rPr>
        <w:t> </w:t>
      </w:r>
      <w:r>
        <w:rPr>
          <w:rFonts w:ascii="Calibri"/>
          <w:i/>
          <w:color w:val="231F20"/>
          <w:sz w:val="17"/>
        </w:rPr>
        <w:t>essays</w:t>
      </w:r>
      <w:r>
        <w:rPr>
          <w:rFonts w:ascii="Calibri"/>
          <w:i/>
          <w:color w:val="231F20"/>
          <w:spacing w:val="-7"/>
          <w:sz w:val="17"/>
        </w:rPr>
        <w:t> </w:t>
      </w:r>
      <w:r>
        <w:rPr>
          <w:rFonts w:ascii="Calibri"/>
          <w:i/>
          <w:color w:val="231F20"/>
          <w:sz w:val="17"/>
        </w:rPr>
        <w:t>on</w:t>
      </w:r>
      <w:r>
        <w:rPr>
          <w:rFonts w:ascii="Calibri"/>
          <w:i/>
          <w:color w:val="231F20"/>
          <w:spacing w:val="-7"/>
          <w:sz w:val="17"/>
        </w:rPr>
        <w:t> </w:t>
      </w:r>
      <w:r>
        <w:rPr>
          <w:rFonts w:ascii="Calibri"/>
          <w:i/>
          <w:color w:val="231F20"/>
          <w:sz w:val="17"/>
        </w:rPr>
        <w:t>international</w:t>
      </w:r>
      <w:r>
        <w:rPr>
          <w:rFonts w:ascii="Calibri"/>
          <w:i/>
          <w:color w:val="231F20"/>
          <w:spacing w:val="-7"/>
          <w:sz w:val="17"/>
        </w:rPr>
        <w:t> </w:t>
      </w:r>
      <w:r>
        <w:rPr>
          <w:rFonts w:ascii="Calibri"/>
          <w:i/>
          <w:color w:val="231F20"/>
          <w:sz w:val="17"/>
        </w:rPr>
        <w:t>relations</w:t>
      </w:r>
      <w:r>
        <w:rPr>
          <w:rFonts w:ascii="Calibri"/>
          <w:color w:val="231F20"/>
          <w:sz w:val="17"/>
        </w:rPr>
        <w:t>,</w:t>
      </w:r>
      <w:r>
        <w:rPr>
          <w:rFonts w:ascii="Calibri"/>
          <w:color w:val="231F20"/>
          <w:spacing w:val="-7"/>
          <w:sz w:val="17"/>
        </w:rPr>
        <w:t> </w:t>
      </w:r>
      <w:r>
        <w:rPr>
          <w:rFonts w:ascii="Calibri"/>
          <w:color w:val="231F20"/>
          <w:sz w:val="17"/>
        </w:rPr>
        <w:t>London/New</w:t>
      </w:r>
      <w:r>
        <w:rPr>
          <w:rFonts w:ascii="Calibri"/>
          <w:color w:val="231F20"/>
          <w:spacing w:val="-11"/>
          <w:sz w:val="17"/>
        </w:rPr>
        <w:t> </w:t>
      </w:r>
      <w:r>
        <w:rPr>
          <w:rFonts w:ascii="Calibri"/>
          <w:color w:val="231F20"/>
          <w:sz w:val="17"/>
        </w:rPr>
        <w:t>York,</w:t>
      </w:r>
      <w:r>
        <w:rPr>
          <w:rFonts w:ascii="Calibri"/>
          <w:color w:val="231F20"/>
          <w:spacing w:val="-7"/>
          <w:sz w:val="17"/>
        </w:rPr>
        <w:t> </w:t>
      </w:r>
      <w:r>
        <w:rPr>
          <w:rFonts w:ascii="Calibri"/>
          <w:color w:val="231F20"/>
          <w:sz w:val="17"/>
        </w:rPr>
        <w:t>Rout- ledge,</w:t>
      </w:r>
      <w:r>
        <w:rPr>
          <w:rFonts w:ascii="Calibri"/>
          <w:color w:val="231F20"/>
          <w:spacing w:val="21"/>
          <w:sz w:val="17"/>
        </w:rPr>
        <w:t> </w:t>
      </w:r>
      <w:r>
        <w:rPr>
          <w:rFonts w:ascii="Calibri"/>
          <w:color w:val="231F20"/>
          <w:sz w:val="17"/>
        </w:rPr>
        <w:t>2009.</w:t>
      </w:r>
    </w:p>
    <w:p>
      <w:pPr>
        <w:spacing w:line="235" w:lineRule="auto" w:before="0"/>
        <w:ind w:left="103" w:right="115" w:firstLine="0"/>
        <w:jc w:val="both"/>
        <w:rPr>
          <w:rFonts w:ascii="Calibri" w:hAnsi="Calibri"/>
          <w:sz w:val="17"/>
        </w:rPr>
      </w:pPr>
      <w:r>
        <w:rPr>
          <w:rFonts w:ascii="Calibri" w:hAnsi="Calibri"/>
          <w:color w:val="231F20"/>
          <w:position w:val="6"/>
          <w:sz w:val="10"/>
        </w:rPr>
        <w:t>80 </w:t>
      </w:r>
      <w:r>
        <w:rPr>
          <w:rFonts w:ascii="Calibri" w:hAnsi="Calibri"/>
          <w:color w:val="231F20"/>
          <w:sz w:val="17"/>
        </w:rPr>
        <w:t>M. Goodheart, </w:t>
      </w:r>
      <w:r>
        <w:rPr>
          <w:rFonts w:ascii="Calibri" w:hAnsi="Calibri"/>
          <w:i/>
          <w:color w:val="231F20"/>
          <w:sz w:val="17"/>
        </w:rPr>
        <w:t>Democracy as Human Rights. Freedom and Equality in the Age of Globalization</w:t>
      </w:r>
      <w:r>
        <w:rPr>
          <w:rFonts w:ascii="Calibri" w:hAnsi="Calibri"/>
          <w:color w:val="231F20"/>
          <w:sz w:val="17"/>
        </w:rPr>
        <w:t>, New York/London, Routledge, 2005, pp.  29–30.</w:t>
      </w:r>
    </w:p>
    <w:p>
      <w:pPr>
        <w:pStyle w:val="BodyText"/>
        <w:rPr>
          <w:rFonts w:ascii="Calibri"/>
          <w:sz w:val="20"/>
        </w:rPr>
      </w:pPr>
    </w:p>
    <w:p>
      <w:pPr>
        <w:pStyle w:val="BodyText"/>
        <w:spacing w:before="10"/>
        <w:rPr>
          <w:rFonts w:ascii="Calibri"/>
          <w:sz w:val="27"/>
        </w:rPr>
      </w:pPr>
    </w:p>
    <w:p>
      <w:pPr>
        <w:tabs>
          <w:tab w:pos="1331" w:val="left" w:leader="none"/>
        </w:tabs>
        <w:spacing w:before="68"/>
        <w:ind w:left="226" w:right="0" w:firstLine="0"/>
        <w:jc w:val="left"/>
        <w:rPr>
          <w:rFonts w:ascii="Calibri"/>
          <w:sz w:val="16"/>
        </w:rPr>
      </w:pPr>
      <w:r>
        <w:rPr/>
        <w:pict>
          <v:group style="position:absolute;margin-left:98.787804pt;margin-top:-3.358812pt;width:20.4pt;height:43pt;mso-position-horizontal-relative:page;mso-position-vertical-relative:paragraph;z-index:-167272" coordorigin="1976,-67" coordsize="408,860">
            <v:line style="position:absolute" from="2225,72" to="2225,788" stroked="true" strokeweight=".35pt" strokecolor="#231f20"/>
            <v:shape style="position:absolute;left:2193;top:-14;width:190;height:445" type="#_x0000_t75" stroked="false">
              <v:imagedata r:id="rId40" o:title=""/>
            </v:shape>
            <v:shape style="position:absolute;left:1976;top:-67;width:250;height:502" type="#_x0000_t75" stroked="false">
              <v:imagedata r:id="rId41" o:title=""/>
            </v:shape>
            <w10:wrap type="none"/>
          </v:group>
        </w:pict>
      </w:r>
      <w:r>
        <w:rPr>
          <w:rFonts w:ascii="Arial"/>
          <w:color w:val="414042"/>
          <w:w w:val="105"/>
          <w:position w:val="-4"/>
          <w:sz w:val="20"/>
        </w:rPr>
        <w:t>160</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182"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817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ASUNTOS</w:t>
      </w:r>
      <w:r>
        <w:rPr>
          <w:rFonts w:ascii="Lucida Sans Unicode" w:hAnsi="Lucida Sans Unicode"/>
          <w:color w:val="6D6E71"/>
          <w:spacing w:val="-30"/>
          <w:w w:val="95"/>
          <w:sz w:val="14"/>
        </w:rPr>
        <w:t> </w:t>
      </w:r>
      <w:r>
        <w:rPr>
          <w:rFonts w:ascii="Lucida Sans Unicode" w:hAnsi="Lucida Sans Unicode"/>
          <w:color w:val="6D6E71"/>
          <w:w w:val="95"/>
          <w:sz w:val="14"/>
        </w:rPr>
        <w:t>DE</w:t>
      </w:r>
      <w:r>
        <w:rPr>
          <w:rFonts w:ascii="Lucida Sans Unicode" w:hAnsi="Lucida Sans Unicode"/>
          <w:color w:val="6D6E71"/>
          <w:spacing w:val="-30"/>
          <w:w w:val="95"/>
          <w:sz w:val="14"/>
        </w:rPr>
        <w:t> </w:t>
      </w:r>
      <w:r>
        <w:rPr>
          <w:rFonts w:ascii="Lucida Sans Unicode" w:hAnsi="Lucida Sans Unicode"/>
          <w:color w:val="6D6E71"/>
          <w:w w:val="95"/>
          <w:sz w:val="14"/>
        </w:rPr>
        <w:t>FRONTERA.</w:t>
      </w:r>
      <w:r>
        <w:rPr>
          <w:rFonts w:ascii="Lucida Sans Unicode" w:hAnsi="Lucida Sans Unicode"/>
          <w:color w:val="6D6E71"/>
          <w:spacing w:val="-30"/>
          <w:w w:val="95"/>
          <w:sz w:val="14"/>
        </w:rPr>
        <w:t> </w:t>
      </w:r>
      <w:r>
        <w:rPr>
          <w:rFonts w:ascii="Lucida Sans Unicode" w:hAnsi="Lucida Sans Unicode"/>
          <w:color w:val="6D6E71"/>
          <w:w w:val="95"/>
          <w:sz w:val="14"/>
        </w:rPr>
        <w:t>SOBERANÍA</w:t>
      </w:r>
      <w:r>
        <w:rPr>
          <w:rFonts w:ascii="Lucida Sans Unicode" w:hAnsi="Lucida Sans Unicode"/>
          <w:color w:val="6D6E71"/>
          <w:spacing w:val="-30"/>
          <w:w w:val="95"/>
          <w:sz w:val="14"/>
        </w:rPr>
        <w:t> </w:t>
      </w:r>
      <w:r>
        <w:rPr>
          <w:rFonts w:ascii="Lucida Sans Unicode" w:hAnsi="Lucida Sans Unicode"/>
          <w:color w:val="6D6E71"/>
          <w:w w:val="95"/>
          <w:sz w:val="14"/>
        </w:rPr>
        <w:t>TERRITORIAL</w:t>
      </w:r>
      <w:r>
        <w:rPr>
          <w:rFonts w:ascii="Lucida Sans Unicode" w:hAnsi="Lucida Sans Unicode"/>
          <w:color w:val="6D6E71"/>
          <w:spacing w:val="-30"/>
          <w:w w:val="95"/>
          <w:sz w:val="14"/>
        </w:rPr>
        <w:t> </w:t>
      </w:r>
      <w:r>
        <w:rPr>
          <w:rFonts w:ascii="Lucida Sans Unicode" w:hAnsi="Lucida Sans Unicode"/>
          <w:color w:val="6D6E71"/>
          <w:w w:val="95"/>
          <w:sz w:val="14"/>
        </w:rPr>
        <w:t>Y</w:t>
      </w:r>
      <w:r>
        <w:rPr>
          <w:rFonts w:ascii="Lucida Sans Unicode" w:hAnsi="Lucida Sans Unicode"/>
          <w:color w:val="6D6E71"/>
          <w:spacing w:val="-30"/>
          <w:w w:val="95"/>
          <w:sz w:val="14"/>
        </w:rPr>
        <w:t> </w:t>
      </w:r>
      <w:r>
        <w:rPr>
          <w:rFonts w:ascii="Lucida Sans Unicode" w:hAnsi="Lucida Sans Unicode"/>
          <w:color w:val="6D6E71"/>
          <w:w w:val="95"/>
          <w:sz w:val="14"/>
        </w:rPr>
        <w:t>ORDEN</w:t>
      </w:r>
      <w:r>
        <w:rPr>
          <w:rFonts w:ascii="Lucida Sans Unicode" w:hAnsi="Lucida Sans Unicode"/>
          <w:color w:val="6D6E71"/>
          <w:spacing w:val="-30"/>
          <w:w w:val="95"/>
          <w:sz w:val="14"/>
        </w:rPr>
        <w:t> </w:t>
      </w:r>
      <w:r>
        <w:rPr>
          <w:rFonts w:ascii="Lucida Sans Unicode" w:hAnsi="Lucida Sans Unicode"/>
          <w:color w:val="6D6E71"/>
          <w:w w:val="95"/>
          <w:sz w:val="14"/>
        </w:rPr>
        <w:t>GLOBAL</w:t>
      </w:r>
      <w:r>
        <w:rPr>
          <w:rFonts w:ascii="Lucida Sans Unicode" w:hAnsi="Lucida Sans Unicode"/>
          <w:color w:val="6D6E71"/>
          <w:spacing w:val="-30"/>
          <w:w w:val="95"/>
          <w:sz w:val="14"/>
        </w:rPr>
        <w:t> </w:t>
      </w:r>
      <w:r>
        <w:rPr>
          <w:rFonts w:ascii="Lucida Sans Unicode" w:hAnsi="Lucida Sans Unicode"/>
          <w:color w:val="6D6E71"/>
          <w:w w:val="95"/>
          <w:sz w:val="14"/>
        </w:rPr>
        <w:t>EN</w:t>
      </w:r>
      <w:r>
        <w:rPr>
          <w:rFonts w:ascii="Lucida Sans Unicode" w:hAnsi="Lucida Sans Unicode"/>
          <w:color w:val="6D6E71"/>
          <w:spacing w:val="-30"/>
          <w:w w:val="95"/>
          <w:sz w:val="14"/>
        </w:rPr>
        <w:t> </w:t>
      </w:r>
      <w:r>
        <w:rPr>
          <w:rFonts w:ascii="Lucida Sans Unicode" w:hAnsi="Lucida Sans Unicode"/>
          <w:color w:val="6D6E71"/>
          <w:w w:val="95"/>
          <w:sz w:val="14"/>
        </w:rPr>
        <w:t>EL</w:t>
      </w:r>
      <w:r>
        <w:rPr>
          <w:rFonts w:ascii="Lucida Sans Unicode" w:hAnsi="Lucida Sans Unicode"/>
          <w:color w:val="6D6E71"/>
          <w:spacing w:val="-30"/>
          <w:w w:val="95"/>
          <w:sz w:val="14"/>
        </w:rPr>
        <w:t> </w:t>
      </w:r>
      <w:r>
        <w:rPr>
          <w:rFonts w:ascii="Lucida Sans Unicode" w:hAnsi="Lucida Sans Unicode"/>
          <w:color w:val="6D6E71"/>
          <w:w w:val="95"/>
          <w:sz w:val="14"/>
        </w:rPr>
        <w:t>DEBATE</w:t>
      </w:r>
    </w:p>
    <w:p>
      <w:pPr>
        <w:spacing w:line="198" w:lineRule="exact" w:before="0"/>
        <w:ind w:left="2963" w:right="-13" w:firstLine="0"/>
        <w:jc w:val="left"/>
        <w:rPr>
          <w:rFonts w:ascii="Lucida Sans Unicode" w:hAnsi="Lucida Sans Unicode"/>
          <w:sz w:val="14"/>
        </w:rPr>
      </w:pPr>
      <w:r>
        <w:rPr>
          <w:rFonts w:ascii="Lucida Sans Unicode" w:hAnsi="Lucida Sans Unicode"/>
          <w:color w:val="6D6E71"/>
          <w:w w:val="90"/>
          <w:sz w:val="14"/>
        </w:rPr>
        <w:t>SOBRE EL “NUEVO INTERVENCIONISMO</w:t>
      </w:r>
      <w:r>
        <w:rPr>
          <w:rFonts w:ascii="Lucida Sans Unicode" w:hAnsi="Lucida Sans Unicode"/>
          <w:color w:val="6D6E71"/>
          <w:spacing w:val="-25"/>
          <w:w w:val="90"/>
          <w:sz w:val="14"/>
        </w:rPr>
        <w:t> </w:t>
      </w:r>
      <w:r>
        <w:rPr>
          <w:rFonts w:ascii="Lucida Sans Unicode" w:hAnsi="Lucida Sans Unicode"/>
          <w:color w:val="6D6E71"/>
          <w:w w:val="90"/>
          <w:sz w:val="14"/>
        </w:rPr>
        <w:t>HUMANITARIO”</w:t>
      </w:r>
    </w:p>
    <w:p>
      <w:pPr>
        <w:spacing w:before="59"/>
        <w:ind w:left="338" w:right="0" w:firstLine="0"/>
        <w:jc w:val="left"/>
        <w:rPr>
          <w:rFonts w:ascii="Arial"/>
          <w:sz w:val="20"/>
        </w:rPr>
      </w:pPr>
      <w:r>
        <w:rPr/>
        <w:br w:type="column"/>
      </w:r>
      <w:r>
        <w:rPr>
          <w:rFonts w:ascii="Arial"/>
          <w:color w:val="414042"/>
          <w:sz w:val="20"/>
        </w:rPr>
        <w:t>161</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rPr>
          <w:rFonts w:ascii="Arial"/>
          <w:sz w:val="16"/>
        </w:rPr>
      </w:pPr>
    </w:p>
    <w:p>
      <w:pPr>
        <w:pStyle w:val="BodyText"/>
        <w:spacing w:line="247" w:lineRule="auto" w:before="50"/>
        <w:ind w:left="117" w:right="101"/>
        <w:jc w:val="both"/>
      </w:pPr>
      <w:r>
        <w:rPr>
          <w:color w:val="231F20"/>
          <w:w w:val="105"/>
        </w:rPr>
        <w:t>de</w:t>
      </w:r>
      <w:r>
        <w:rPr>
          <w:color w:val="231F20"/>
          <w:spacing w:val="-8"/>
          <w:w w:val="105"/>
        </w:rPr>
        <w:t> </w:t>
      </w:r>
      <w:r>
        <w:rPr>
          <w:color w:val="231F20"/>
          <w:w w:val="105"/>
        </w:rPr>
        <w:t>autoridad</w:t>
      </w:r>
      <w:r>
        <w:rPr>
          <w:color w:val="231F20"/>
          <w:w w:val="105"/>
          <w:position w:val="7"/>
          <w:sz w:val="12"/>
        </w:rPr>
        <w:t>81</w:t>
      </w:r>
      <w:r>
        <w:rPr>
          <w:color w:val="231F20"/>
          <w:w w:val="105"/>
        </w:rPr>
        <w:t>.</w:t>
      </w:r>
      <w:r>
        <w:rPr>
          <w:color w:val="231F20"/>
          <w:spacing w:val="-8"/>
          <w:w w:val="105"/>
        </w:rPr>
        <w:t> </w:t>
      </w:r>
      <w:r>
        <w:rPr>
          <w:color w:val="231F20"/>
          <w:w w:val="105"/>
        </w:rPr>
        <w:t>Para</w:t>
      </w:r>
      <w:r>
        <w:rPr>
          <w:color w:val="231F20"/>
          <w:spacing w:val="-8"/>
          <w:w w:val="105"/>
        </w:rPr>
        <w:t> </w:t>
      </w:r>
      <w:r>
        <w:rPr>
          <w:color w:val="231F20"/>
          <w:w w:val="105"/>
        </w:rPr>
        <w:t>recuperar</w:t>
      </w:r>
      <w:r>
        <w:rPr>
          <w:color w:val="231F20"/>
          <w:spacing w:val="-8"/>
          <w:w w:val="105"/>
        </w:rPr>
        <w:t> </w:t>
      </w:r>
      <w:r>
        <w:rPr>
          <w:color w:val="231F20"/>
          <w:w w:val="105"/>
        </w:rPr>
        <w:t>los</w:t>
      </w:r>
      <w:r>
        <w:rPr>
          <w:color w:val="231F20"/>
          <w:spacing w:val="-8"/>
          <w:w w:val="105"/>
        </w:rPr>
        <w:t> </w:t>
      </w:r>
      <w:r>
        <w:rPr>
          <w:color w:val="231F20"/>
          <w:w w:val="105"/>
        </w:rPr>
        <w:t>espacios</w:t>
      </w:r>
      <w:r>
        <w:rPr>
          <w:color w:val="231F20"/>
          <w:spacing w:val="-8"/>
          <w:w w:val="105"/>
        </w:rPr>
        <w:t> </w:t>
      </w:r>
      <w:r>
        <w:rPr>
          <w:color w:val="231F20"/>
          <w:w w:val="105"/>
        </w:rPr>
        <w:t>de</w:t>
      </w:r>
      <w:r>
        <w:rPr>
          <w:color w:val="231F20"/>
          <w:spacing w:val="-8"/>
          <w:w w:val="105"/>
        </w:rPr>
        <w:t> </w:t>
      </w:r>
      <w:r>
        <w:rPr>
          <w:color w:val="231F20"/>
          <w:w w:val="105"/>
        </w:rPr>
        <w:t>acción</w:t>
      </w:r>
      <w:r>
        <w:rPr>
          <w:color w:val="231F20"/>
          <w:spacing w:val="-8"/>
          <w:w w:val="105"/>
        </w:rPr>
        <w:t> </w:t>
      </w:r>
      <w:r>
        <w:rPr>
          <w:color w:val="231F20"/>
          <w:w w:val="105"/>
        </w:rPr>
        <w:t>política</w:t>
      </w:r>
      <w:r>
        <w:rPr>
          <w:color w:val="231F20"/>
          <w:spacing w:val="-8"/>
          <w:w w:val="105"/>
        </w:rPr>
        <w:t> </w:t>
      </w:r>
      <w:r>
        <w:rPr>
          <w:color w:val="231F20"/>
          <w:w w:val="105"/>
        </w:rPr>
        <w:t>respecto</w:t>
      </w:r>
      <w:r>
        <w:rPr>
          <w:color w:val="231F20"/>
          <w:spacing w:val="-8"/>
          <w:w w:val="105"/>
        </w:rPr>
        <w:t> </w:t>
      </w:r>
      <w:r>
        <w:rPr>
          <w:color w:val="231F20"/>
          <w:w w:val="105"/>
        </w:rPr>
        <w:t>a los</w:t>
      </w:r>
      <w:r>
        <w:rPr>
          <w:color w:val="231F20"/>
          <w:spacing w:val="-43"/>
          <w:w w:val="105"/>
        </w:rPr>
        <w:t> </w:t>
      </w:r>
      <w:r>
        <w:rPr>
          <w:color w:val="231F20"/>
          <w:w w:val="105"/>
        </w:rPr>
        <w:t>dilemas</w:t>
      </w:r>
      <w:r>
        <w:rPr>
          <w:color w:val="231F20"/>
          <w:spacing w:val="-43"/>
          <w:w w:val="105"/>
        </w:rPr>
        <w:t> </w:t>
      </w:r>
      <w:r>
        <w:rPr>
          <w:color w:val="231F20"/>
          <w:w w:val="105"/>
        </w:rPr>
        <w:t>cruciales</w:t>
      </w:r>
      <w:r>
        <w:rPr>
          <w:color w:val="231F20"/>
          <w:spacing w:val="-43"/>
          <w:w w:val="105"/>
        </w:rPr>
        <w:t> </w:t>
      </w:r>
      <w:r>
        <w:rPr>
          <w:color w:val="231F20"/>
          <w:w w:val="105"/>
        </w:rPr>
        <w:t>de</w:t>
      </w:r>
      <w:r>
        <w:rPr>
          <w:color w:val="231F20"/>
          <w:spacing w:val="-43"/>
          <w:w w:val="105"/>
        </w:rPr>
        <w:t> </w:t>
      </w:r>
      <w:r>
        <w:rPr>
          <w:color w:val="231F20"/>
          <w:w w:val="105"/>
        </w:rPr>
        <w:t>nuestro</w:t>
      </w:r>
      <w:r>
        <w:rPr>
          <w:color w:val="231F20"/>
          <w:spacing w:val="-43"/>
          <w:w w:val="105"/>
        </w:rPr>
        <w:t> </w:t>
      </w:r>
      <w:r>
        <w:rPr>
          <w:color w:val="231F20"/>
          <w:w w:val="105"/>
        </w:rPr>
        <w:t>presente</w:t>
      </w:r>
      <w:r>
        <w:rPr>
          <w:color w:val="231F20"/>
          <w:spacing w:val="-43"/>
          <w:w w:val="105"/>
        </w:rPr>
        <w:t> </w:t>
      </w:r>
      <w:r>
        <w:rPr>
          <w:color w:val="231F20"/>
          <w:w w:val="105"/>
        </w:rPr>
        <w:t>se</w:t>
      </w:r>
      <w:r>
        <w:rPr>
          <w:color w:val="231F20"/>
          <w:spacing w:val="-43"/>
          <w:w w:val="105"/>
        </w:rPr>
        <w:t> </w:t>
      </w:r>
      <w:r>
        <w:rPr>
          <w:color w:val="231F20"/>
          <w:w w:val="105"/>
        </w:rPr>
        <w:t>necesita,</w:t>
      </w:r>
      <w:r>
        <w:rPr>
          <w:color w:val="231F20"/>
          <w:spacing w:val="-43"/>
          <w:w w:val="105"/>
        </w:rPr>
        <w:t> </w:t>
      </w:r>
      <w:r>
        <w:rPr>
          <w:color w:val="231F20"/>
          <w:w w:val="105"/>
        </w:rPr>
        <w:t>entonces,</w:t>
      </w:r>
      <w:r>
        <w:rPr>
          <w:color w:val="231F20"/>
          <w:spacing w:val="-43"/>
          <w:w w:val="105"/>
        </w:rPr>
        <w:t> </w:t>
      </w:r>
      <w:r>
        <w:rPr>
          <w:color w:val="231F20"/>
          <w:w w:val="105"/>
        </w:rPr>
        <w:t>considerar de una vez por todas que, lejos de ser un “todo orgánico”, la</w:t>
      </w:r>
      <w:r>
        <w:rPr>
          <w:color w:val="231F20"/>
          <w:spacing w:val="-28"/>
          <w:w w:val="105"/>
        </w:rPr>
        <w:t> </w:t>
      </w:r>
      <w:r>
        <w:rPr>
          <w:color w:val="231F20"/>
          <w:w w:val="105"/>
        </w:rPr>
        <w:t>soberanía estatal</w:t>
      </w:r>
      <w:r>
        <w:rPr>
          <w:color w:val="231F20"/>
          <w:spacing w:val="-34"/>
          <w:w w:val="105"/>
        </w:rPr>
        <w:t> </w:t>
      </w:r>
      <w:r>
        <w:rPr>
          <w:color w:val="231F20"/>
          <w:w w:val="105"/>
        </w:rPr>
        <w:t>tiene</w:t>
      </w:r>
      <w:r>
        <w:rPr>
          <w:color w:val="231F20"/>
          <w:spacing w:val="-34"/>
          <w:w w:val="105"/>
        </w:rPr>
        <w:t> </w:t>
      </w:r>
      <w:r>
        <w:rPr>
          <w:color w:val="231F20"/>
          <w:w w:val="105"/>
        </w:rPr>
        <w:t>“diferentes</w:t>
      </w:r>
      <w:r>
        <w:rPr>
          <w:color w:val="231F20"/>
          <w:spacing w:val="-34"/>
          <w:w w:val="105"/>
        </w:rPr>
        <w:t> </w:t>
      </w:r>
      <w:r>
        <w:rPr>
          <w:color w:val="231F20"/>
          <w:w w:val="105"/>
        </w:rPr>
        <w:t>componentes”</w:t>
      </w:r>
      <w:r>
        <w:rPr>
          <w:color w:val="231F20"/>
          <w:spacing w:val="-34"/>
          <w:w w:val="105"/>
        </w:rPr>
        <w:t> </w:t>
      </w:r>
      <w:r>
        <w:rPr>
          <w:color w:val="231F20"/>
          <w:w w:val="105"/>
        </w:rPr>
        <w:t>que</w:t>
      </w:r>
      <w:r>
        <w:rPr>
          <w:color w:val="231F20"/>
          <w:spacing w:val="-34"/>
          <w:w w:val="105"/>
        </w:rPr>
        <w:t> </w:t>
      </w:r>
      <w:r>
        <w:rPr>
          <w:color w:val="231F20"/>
          <w:w w:val="105"/>
        </w:rPr>
        <w:t>en</w:t>
      </w:r>
      <w:r>
        <w:rPr>
          <w:color w:val="231F20"/>
          <w:spacing w:val="-34"/>
          <w:w w:val="105"/>
        </w:rPr>
        <w:t> </w:t>
      </w:r>
      <w:r>
        <w:rPr>
          <w:color w:val="231F20"/>
          <w:w w:val="105"/>
        </w:rPr>
        <w:t>su</w:t>
      </w:r>
      <w:r>
        <w:rPr>
          <w:color w:val="231F20"/>
          <w:spacing w:val="-34"/>
          <w:w w:val="105"/>
        </w:rPr>
        <w:t> </w:t>
      </w:r>
      <w:r>
        <w:rPr>
          <w:color w:val="231F20"/>
          <w:w w:val="105"/>
        </w:rPr>
        <w:t>incremento</w:t>
      </w:r>
      <w:r>
        <w:rPr>
          <w:color w:val="231F20"/>
          <w:spacing w:val="-34"/>
          <w:w w:val="105"/>
        </w:rPr>
        <w:t> </w:t>
      </w:r>
      <w:r>
        <w:rPr>
          <w:color w:val="231F20"/>
          <w:w w:val="105"/>
        </w:rPr>
        <w:t>funcional</w:t>
      </w:r>
      <w:r>
        <w:rPr>
          <w:color w:val="231F20"/>
          <w:spacing w:val="-34"/>
          <w:w w:val="105"/>
        </w:rPr>
        <w:t> </w:t>
      </w:r>
      <w:r>
        <w:rPr>
          <w:color w:val="231F20"/>
          <w:w w:val="105"/>
        </w:rPr>
        <w:t>no son</w:t>
      </w:r>
      <w:r>
        <w:rPr>
          <w:color w:val="231F20"/>
          <w:spacing w:val="-35"/>
          <w:w w:val="105"/>
        </w:rPr>
        <w:t> </w:t>
      </w:r>
      <w:r>
        <w:rPr>
          <w:color w:val="231F20"/>
          <w:w w:val="105"/>
        </w:rPr>
        <w:t>necesariamente</w:t>
      </w:r>
      <w:r>
        <w:rPr>
          <w:color w:val="231F20"/>
          <w:spacing w:val="-35"/>
          <w:w w:val="105"/>
        </w:rPr>
        <w:t> </w:t>
      </w:r>
      <w:r>
        <w:rPr>
          <w:color w:val="231F20"/>
          <w:w w:val="105"/>
        </w:rPr>
        <w:t>paralelos,</w:t>
      </w:r>
      <w:r>
        <w:rPr>
          <w:color w:val="231F20"/>
          <w:spacing w:val="-35"/>
          <w:w w:val="105"/>
        </w:rPr>
        <w:t> </w:t>
      </w:r>
      <w:r>
        <w:rPr>
          <w:color w:val="231F20"/>
          <w:w w:val="105"/>
        </w:rPr>
        <w:t>es</w:t>
      </w:r>
      <w:r>
        <w:rPr>
          <w:color w:val="231F20"/>
          <w:spacing w:val="-35"/>
          <w:w w:val="105"/>
        </w:rPr>
        <w:t> </w:t>
      </w:r>
      <w:r>
        <w:rPr>
          <w:color w:val="231F20"/>
          <w:w w:val="105"/>
        </w:rPr>
        <w:t>más,</w:t>
      </w:r>
      <w:r>
        <w:rPr>
          <w:color w:val="231F20"/>
          <w:spacing w:val="-35"/>
          <w:w w:val="105"/>
        </w:rPr>
        <w:t> </w:t>
      </w:r>
      <w:r>
        <w:rPr>
          <w:color w:val="231F20"/>
          <w:w w:val="105"/>
        </w:rPr>
        <w:t>que</w:t>
      </w:r>
      <w:r>
        <w:rPr>
          <w:color w:val="231F20"/>
          <w:spacing w:val="-35"/>
          <w:w w:val="105"/>
        </w:rPr>
        <w:t> </w:t>
      </w:r>
      <w:r>
        <w:rPr>
          <w:color w:val="231F20"/>
          <w:w w:val="105"/>
        </w:rPr>
        <w:t>poseer</w:t>
      </w:r>
      <w:r>
        <w:rPr>
          <w:color w:val="231F20"/>
          <w:spacing w:val="-35"/>
          <w:w w:val="105"/>
        </w:rPr>
        <w:t> </w:t>
      </w:r>
      <w:r>
        <w:rPr>
          <w:color w:val="231F20"/>
          <w:w w:val="105"/>
        </w:rPr>
        <w:t>un</w:t>
      </w:r>
      <w:r>
        <w:rPr>
          <w:color w:val="231F20"/>
          <w:spacing w:val="-35"/>
          <w:w w:val="105"/>
        </w:rPr>
        <w:t> </w:t>
      </w:r>
      <w:r>
        <w:rPr>
          <w:color w:val="231F20"/>
          <w:w w:val="105"/>
        </w:rPr>
        <w:t>“atributo</w:t>
      </w:r>
      <w:r>
        <w:rPr>
          <w:color w:val="231F20"/>
          <w:spacing w:val="-35"/>
          <w:w w:val="105"/>
        </w:rPr>
        <w:t> </w:t>
      </w:r>
      <w:r>
        <w:rPr>
          <w:color w:val="231F20"/>
          <w:w w:val="105"/>
        </w:rPr>
        <w:t>de</w:t>
      </w:r>
      <w:r>
        <w:rPr>
          <w:color w:val="231F20"/>
          <w:spacing w:val="-35"/>
          <w:w w:val="105"/>
        </w:rPr>
        <w:t> </w:t>
      </w:r>
      <w:r>
        <w:rPr>
          <w:color w:val="231F20"/>
          <w:w w:val="105"/>
        </w:rPr>
        <w:t>la</w:t>
      </w:r>
      <w:r>
        <w:rPr>
          <w:color w:val="231F20"/>
          <w:spacing w:val="-35"/>
          <w:w w:val="105"/>
        </w:rPr>
        <w:t> </w:t>
      </w:r>
      <w:r>
        <w:rPr>
          <w:color w:val="231F20"/>
          <w:w w:val="105"/>
        </w:rPr>
        <w:t>sobe- ranía”</w:t>
      </w:r>
      <w:r>
        <w:rPr>
          <w:color w:val="231F20"/>
          <w:spacing w:val="-32"/>
          <w:w w:val="105"/>
        </w:rPr>
        <w:t> </w:t>
      </w:r>
      <w:r>
        <w:rPr>
          <w:color w:val="231F20"/>
          <w:w w:val="105"/>
        </w:rPr>
        <w:t>no</w:t>
      </w:r>
      <w:r>
        <w:rPr>
          <w:color w:val="231F20"/>
          <w:spacing w:val="-32"/>
          <w:w w:val="105"/>
        </w:rPr>
        <w:t> </w:t>
      </w:r>
      <w:r>
        <w:rPr>
          <w:color w:val="231F20"/>
          <w:w w:val="105"/>
        </w:rPr>
        <w:t>significa</w:t>
      </w:r>
      <w:r>
        <w:rPr>
          <w:color w:val="231F20"/>
          <w:spacing w:val="-32"/>
          <w:w w:val="105"/>
        </w:rPr>
        <w:t> </w:t>
      </w:r>
      <w:r>
        <w:rPr>
          <w:color w:val="231F20"/>
          <w:w w:val="105"/>
        </w:rPr>
        <w:t>necesariamente</w:t>
      </w:r>
      <w:r>
        <w:rPr>
          <w:color w:val="231F20"/>
          <w:spacing w:val="-32"/>
          <w:w w:val="105"/>
        </w:rPr>
        <w:t> </w:t>
      </w:r>
      <w:r>
        <w:rPr>
          <w:color w:val="231F20"/>
          <w:w w:val="105"/>
        </w:rPr>
        <w:t>poseerlos</w:t>
      </w:r>
      <w:r>
        <w:rPr>
          <w:color w:val="231F20"/>
          <w:spacing w:val="-32"/>
          <w:w w:val="105"/>
        </w:rPr>
        <w:t> </w:t>
      </w:r>
      <w:r>
        <w:rPr>
          <w:color w:val="231F20"/>
          <w:w w:val="105"/>
        </w:rPr>
        <w:t>todos</w:t>
      </w:r>
      <w:r>
        <w:rPr>
          <w:color w:val="231F20"/>
          <w:spacing w:val="-32"/>
          <w:w w:val="105"/>
        </w:rPr>
        <w:t> </w:t>
      </w:r>
      <w:r>
        <w:rPr>
          <w:color w:val="231F20"/>
          <w:w w:val="105"/>
        </w:rPr>
        <w:t>y</w:t>
      </w:r>
      <w:r>
        <w:rPr>
          <w:color w:val="231F20"/>
          <w:spacing w:val="-32"/>
          <w:w w:val="105"/>
        </w:rPr>
        <w:t> </w:t>
      </w:r>
      <w:r>
        <w:rPr>
          <w:color w:val="231F20"/>
          <w:w w:val="105"/>
        </w:rPr>
        <w:t>que,</w:t>
      </w:r>
      <w:r>
        <w:rPr>
          <w:color w:val="231F20"/>
          <w:spacing w:val="-32"/>
          <w:w w:val="105"/>
        </w:rPr>
        <w:t> </w:t>
      </w:r>
      <w:r>
        <w:rPr>
          <w:color w:val="231F20"/>
          <w:w w:val="105"/>
        </w:rPr>
        <w:t>por</w:t>
      </w:r>
      <w:r>
        <w:rPr>
          <w:color w:val="231F20"/>
          <w:spacing w:val="-32"/>
          <w:w w:val="105"/>
        </w:rPr>
        <w:t> </w:t>
      </w:r>
      <w:r>
        <w:rPr>
          <w:color w:val="231F20"/>
          <w:w w:val="105"/>
        </w:rPr>
        <w:t>el</w:t>
      </w:r>
      <w:r>
        <w:rPr>
          <w:color w:val="231F20"/>
          <w:spacing w:val="-32"/>
          <w:w w:val="105"/>
        </w:rPr>
        <w:t> </w:t>
      </w:r>
      <w:r>
        <w:rPr>
          <w:color w:val="231F20"/>
          <w:w w:val="105"/>
        </w:rPr>
        <w:t>contrario, reforzar</w:t>
      </w:r>
      <w:r>
        <w:rPr>
          <w:color w:val="231F20"/>
          <w:spacing w:val="-30"/>
          <w:w w:val="105"/>
        </w:rPr>
        <w:t> </w:t>
      </w:r>
      <w:r>
        <w:rPr>
          <w:color w:val="231F20"/>
          <w:w w:val="105"/>
        </w:rPr>
        <w:t>el</w:t>
      </w:r>
      <w:r>
        <w:rPr>
          <w:color w:val="231F20"/>
          <w:spacing w:val="-30"/>
          <w:w w:val="105"/>
        </w:rPr>
        <w:t> </w:t>
      </w:r>
      <w:r>
        <w:rPr>
          <w:color w:val="231F20"/>
          <w:w w:val="105"/>
        </w:rPr>
        <w:t>ejercicio</w:t>
      </w:r>
      <w:r>
        <w:rPr>
          <w:color w:val="231F20"/>
          <w:spacing w:val="-30"/>
          <w:w w:val="105"/>
        </w:rPr>
        <w:t> </w:t>
      </w:r>
      <w:r>
        <w:rPr>
          <w:color w:val="231F20"/>
          <w:w w:val="105"/>
        </w:rPr>
        <w:t>de</w:t>
      </w:r>
      <w:r>
        <w:rPr>
          <w:color w:val="231F20"/>
          <w:spacing w:val="-30"/>
          <w:w w:val="105"/>
        </w:rPr>
        <w:t> </w:t>
      </w:r>
      <w:r>
        <w:rPr>
          <w:color w:val="231F20"/>
          <w:w w:val="105"/>
        </w:rPr>
        <w:t>un</w:t>
      </w:r>
      <w:r>
        <w:rPr>
          <w:color w:val="231F20"/>
          <w:spacing w:val="-30"/>
          <w:w w:val="105"/>
        </w:rPr>
        <w:t> </w:t>
      </w:r>
      <w:r>
        <w:rPr>
          <w:color w:val="231F20"/>
          <w:w w:val="105"/>
        </w:rPr>
        <w:t>cierto</w:t>
      </w:r>
      <w:r>
        <w:rPr>
          <w:color w:val="231F20"/>
          <w:spacing w:val="-30"/>
          <w:w w:val="105"/>
        </w:rPr>
        <w:t> </w:t>
      </w:r>
      <w:r>
        <w:rPr>
          <w:color w:val="231F20"/>
          <w:w w:val="105"/>
        </w:rPr>
        <w:t>tipo</w:t>
      </w:r>
      <w:r>
        <w:rPr>
          <w:color w:val="231F20"/>
          <w:spacing w:val="-30"/>
          <w:w w:val="105"/>
        </w:rPr>
        <w:t> </w:t>
      </w:r>
      <w:r>
        <w:rPr>
          <w:color w:val="231F20"/>
          <w:w w:val="105"/>
        </w:rPr>
        <w:t>de</w:t>
      </w:r>
      <w:r>
        <w:rPr>
          <w:color w:val="231F20"/>
          <w:spacing w:val="-30"/>
          <w:w w:val="105"/>
        </w:rPr>
        <w:t> </w:t>
      </w:r>
      <w:r>
        <w:rPr>
          <w:color w:val="231F20"/>
          <w:w w:val="105"/>
        </w:rPr>
        <w:t>soberanía</w:t>
      </w:r>
      <w:r>
        <w:rPr>
          <w:color w:val="231F20"/>
          <w:spacing w:val="-30"/>
          <w:w w:val="105"/>
        </w:rPr>
        <w:t> </w:t>
      </w:r>
      <w:r>
        <w:rPr>
          <w:color w:val="231F20"/>
          <w:w w:val="105"/>
        </w:rPr>
        <w:t>puede</w:t>
      </w:r>
      <w:r>
        <w:rPr>
          <w:color w:val="231F20"/>
          <w:spacing w:val="-30"/>
          <w:w w:val="105"/>
        </w:rPr>
        <w:t> </w:t>
      </w:r>
      <w:r>
        <w:rPr>
          <w:color w:val="231F20"/>
          <w:w w:val="105"/>
        </w:rPr>
        <w:t>incluso</w:t>
      </w:r>
      <w:r>
        <w:rPr>
          <w:color w:val="231F20"/>
          <w:spacing w:val="-30"/>
          <w:w w:val="105"/>
        </w:rPr>
        <w:t> </w:t>
      </w:r>
      <w:r>
        <w:rPr>
          <w:color w:val="231F20"/>
          <w:w w:val="105"/>
        </w:rPr>
        <w:t>contribuir a</w:t>
      </w:r>
      <w:r>
        <w:rPr>
          <w:color w:val="231F20"/>
          <w:spacing w:val="-20"/>
          <w:w w:val="105"/>
        </w:rPr>
        <w:t> </w:t>
      </w:r>
      <w:r>
        <w:rPr>
          <w:color w:val="231F20"/>
          <w:w w:val="105"/>
        </w:rPr>
        <w:t>debilitar</w:t>
      </w:r>
      <w:r>
        <w:rPr>
          <w:color w:val="231F20"/>
          <w:spacing w:val="-20"/>
          <w:w w:val="105"/>
        </w:rPr>
        <w:t> </w:t>
      </w:r>
      <w:r>
        <w:rPr>
          <w:color w:val="231F20"/>
          <w:w w:val="105"/>
        </w:rPr>
        <w:t>el</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demás</w:t>
      </w:r>
      <w:r>
        <w:rPr>
          <w:color w:val="231F20"/>
          <w:w w:val="105"/>
          <w:position w:val="7"/>
          <w:sz w:val="12"/>
        </w:rPr>
        <w:t>82</w:t>
      </w:r>
      <w:r>
        <w:rPr>
          <w:color w:val="231F20"/>
          <w:w w:val="105"/>
        </w:rPr>
        <w:t>.</w:t>
      </w:r>
      <w:r>
        <w:rPr>
          <w:color w:val="231F20"/>
          <w:spacing w:val="-20"/>
          <w:w w:val="105"/>
        </w:rPr>
        <w:t> </w:t>
      </w:r>
      <w:r>
        <w:rPr>
          <w:color w:val="231F20"/>
          <w:w w:val="105"/>
        </w:rPr>
        <w:t>Es</w:t>
      </w:r>
      <w:r>
        <w:rPr>
          <w:color w:val="231F20"/>
          <w:spacing w:val="-20"/>
          <w:w w:val="105"/>
        </w:rPr>
        <w:t> </w:t>
      </w:r>
      <w:r>
        <w:rPr>
          <w:color w:val="231F20"/>
          <w:w w:val="105"/>
        </w:rPr>
        <w:t>precisamente</w:t>
      </w:r>
      <w:r>
        <w:rPr>
          <w:color w:val="231F20"/>
          <w:spacing w:val="-20"/>
          <w:w w:val="105"/>
        </w:rPr>
        <w:t> </w:t>
      </w:r>
      <w:r>
        <w:rPr>
          <w:color w:val="231F20"/>
          <w:w w:val="105"/>
        </w:rPr>
        <w:t>por</w:t>
      </w:r>
      <w:r>
        <w:rPr>
          <w:color w:val="231F20"/>
          <w:spacing w:val="-20"/>
          <w:w w:val="105"/>
        </w:rPr>
        <w:t> </w:t>
      </w:r>
      <w:r>
        <w:rPr>
          <w:color w:val="231F20"/>
          <w:w w:val="105"/>
        </w:rPr>
        <w:t>este</w:t>
      </w:r>
      <w:r>
        <w:rPr>
          <w:color w:val="231F20"/>
          <w:spacing w:val="-20"/>
          <w:w w:val="105"/>
        </w:rPr>
        <w:t> </w:t>
      </w:r>
      <w:r>
        <w:rPr>
          <w:color w:val="231F20"/>
          <w:w w:val="105"/>
        </w:rPr>
        <w:t>motivo</w:t>
      </w:r>
      <w:r>
        <w:rPr>
          <w:color w:val="231F20"/>
          <w:spacing w:val="-20"/>
          <w:w w:val="105"/>
        </w:rPr>
        <w:t> </w:t>
      </w:r>
      <w:r>
        <w:rPr>
          <w:color w:val="231F20"/>
          <w:w w:val="105"/>
        </w:rPr>
        <w:t>que,</w:t>
      </w:r>
      <w:r>
        <w:rPr>
          <w:color w:val="231F20"/>
          <w:spacing w:val="-20"/>
          <w:w w:val="105"/>
        </w:rPr>
        <w:t> </w:t>
      </w:r>
      <w:r>
        <w:rPr>
          <w:color w:val="231F20"/>
          <w:w w:val="105"/>
        </w:rPr>
        <w:t>según </w:t>
      </w:r>
      <w:r>
        <w:rPr>
          <w:color w:val="231F20"/>
          <w:spacing w:val="-3"/>
          <w:w w:val="105"/>
        </w:rPr>
        <w:t>Krasner,</w:t>
      </w:r>
      <w:r>
        <w:rPr>
          <w:color w:val="231F20"/>
          <w:spacing w:val="-21"/>
          <w:w w:val="105"/>
        </w:rPr>
        <w:t> </w:t>
      </w:r>
      <w:r>
        <w:rPr>
          <w:color w:val="231F20"/>
          <w:w w:val="105"/>
        </w:rPr>
        <w:t>en</w:t>
      </w:r>
      <w:r>
        <w:rPr>
          <w:color w:val="231F20"/>
          <w:spacing w:val="-21"/>
          <w:w w:val="105"/>
        </w:rPr>
        <w:t> </w:t>
      </w:r>
      <w:r>
        <w:rPr>
          <w:color w:val="231F20"/>
          <w:w w:val="105"/>
        </w:rPr>
        <w:t>un</w:t>
      </w:r>
      <w:r>
        <w:rPr>
          <w:color w:val="231F20"/>
          <w:spacing w:val="-21"/>
          <w:w w:val="105"/>
        </w:rPr>
        <w:t> </w:t>
      </w:r>
      <w:r>
        <w:rPr>
          <w:color w:val="231F20"/>
          <w:w w:val="105"/>
        </w:rPr>
        <w:t>confuso</w:t>
      </w:r>
      <w:r>
        <w:rPr>
          <w:color w:val="231F20"/>
          <w:spacing w:val="-21"/>
          <w:w w:val="105"/>
        </w:rPr>
        <w:t> </w:t>
      </w:r>
      <w:r>
        <w:rPr>
          <w:color w:val="231F20"/>
          <w:w w:val="105"/>
        </w:rPr>
        <w:t>momento</w:t>
      </w:r>
      <w:r>
        <w:rPr>
          <w:color w:val="231F20"/>
          <w:spacing w:val="-21"/>
          <w:w w:val="105"/>
        </w:rPr>
        <w:t> </w:t>
      </w:r>
      <w:r>
        <w:rPr>
          <w:color w:val="231F20"/>
          <w:w w:val="105"/>
        </w:rPr>
        <w:t>de</w:t>
      </w:r>
      <w:r>
        <w:rPr>
          <w:color w:val="231F20"/>
          <w:spacing w:val="-21"/>
          <w:w w:val="105"/>
        </w:rPr>
        <w:t> </w:t>
      </w:r>
      <w:r>
        <w:rPr>
          <w:color w:val="231F20"/>
          <w:w w:val="105"/>
        </w:rPr>
        <w:t>cambio</w:t>
      </w:r>
      <w:r>
        <w:rPr>
          <w:color w:val="231F20"/>
          <w:spacing w:val="-21"/>
          <w:w w:val="105"/>
        </w:rPr>
        <w:t> </w:t>
      </w:r>
      <w:r>
        <w:rPr>
          <w:color w:val="231F20"/>
          <w:w w:val="105"/>
        </w:rPr>
        <w:t>como</w:t>
      </w:r>
      <w:r>
        <w:rPr>
          <w:color w:val="231F20"/>
          <w:spacing w:val="-21"/>
          <w:w w:val="105"/>
        </w:rPr>
        <w:t> </w:t>
      </w:r>
      <w:r>
        <w:rPr>
          <w:color w:val="231F20"/>
          <w:w w:val="105"/>
        </w:rPr>
        <w:t>el</w:t>
      </w:r>
      <w:r>
        <w:rPr>
          <w:color w:val="231F20"/>
          <w:spacing w:val="-21"/>
          <w:w w:val="105"/>
        </w:rPr>
        <w:t> </w:t>
      </w:r>
      <w:r>
        <w:rPr>
          <w:color w:val="231F20"/>
          <w:w w:val="105"/>
        </w:rPr>
        <w:t>que</w:t>
      </w:r>
      <w:r>
        <w:rPr>
          <w:color w:val="231F20"/>
          <w:spacing w:val="-21"/>
          <w:w w:val="105"/>
        </w:rPr>
        <w:t> </w:t>
      </w:r>
      <w:r>
        <w:rPr>
          <w:color w:val="231F20"/>
          <w:w w:val="105"/>
        </w:rPr>
        <w:t>estamos</w:t>
      </w:r>
      <w:r>
        <w:rPr>
          <w:color w:val="231F20"/>
          <w:spacing w:val="-21"/>
          <w:w w:val="105"/>
        </w:rPr>
        <w:t> </w:t>
      </w:r>
      <w:r>
        <w:rPr>
          <w:color w:val="231F20"/>
          <w:w w:val="105"/>
        </w:rPr>
        <w:t>vivien- do,</w:t>
      </w:r>
      <w:r>
        <w:rPr>
          <w:color w:val="231F20"/>
          <w:spacing w:val="-23"/>
          <w:w w:val="105"/>
        </w:rPr>
        <w:t> </w:t>
      </w:r>
      <w:r>
        <w:rPr>
          <w:color w:val="231F20"/>
          <w:w w:val="105"/>
        </w:rPr>
        <w:t>cualquier</w:t>
      </w:r>
      <w:r>
        <w:rPr>
          <w:color w:val="231F20"/>
          <w:spacing w:val="-23"/>
          <w:w w:val="105"/>
        </w:rPr>
        <w:t> </w:t>
      </w:r>
      <w:r>
        <w:rPr>
          <w:color w:val="231F20"/>
          <w:w w:val="105"/>
        </w:rPr>
        <w:t>afirmación</w:t>
      </w:r>
      <w:r>
        <w:rPr>
          <w:color w:val="231F20"/>
          <w:spacing w:val="-23"/>
          <w:w w:val="105"/>
        </w:rPr>
        <w:t> </w:t>
      </w:r>
      <w:r>
        <w:rPr>
          <w:color w:val="231F20"/>
          <w:w w:val="105"/>
        </w:rPr>
        <w:t>genérica</w:t>
      </w:r>
      <w:r>
        <w:rPr>
          <w:color w:val="231F20"/>
          <w:spacing w:val="-23"/>
          <w:w w:val="105"/>
        </w:rPr>
        <w:t> </w:t>
      </w:r>
      <w:r>
        <w:rPr>
          <w:color w:val="231F20"/>
          <w:w w:val="105"/>
        </w:rPr>
        <w:t>sobre</w:t>
      </w:r>
      <w:r>
        <w:rPr>
          <w:color w:val="231F20"/>
          <w:spacing w:val="-23"/>
          <w:w w:val="105"/>
        </w:rPr>
        <w:t> </w:t>
      </w:r>
      <w:r>
        <w:rPr>
          <w:color w:val="231F20"/>
          <w:w w:val="105"/>
        </w:rPr>
        <w:t>el</w:t>
      </w:r>
      <w:r>
        <w:rPr>
          <w:color w:val="231F20"/>
          <w:spacing w:val="-23"/>
          <w:w w:val="105"/>
        </w:rPr>
        <w:t> </w:t>
      </w:r>
      <w:r>
        <w:rPr>
          <w:color w:val="231F20"/>
          <w:w w:val="105"/>
        </w:rPr>
        <w:t>tema</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soberanía</w:t>
      </w:r>
      <w:r>
        <w:rPr>
          <w:color w:val="231F20"/>
          <w:spacing w:val="-23"/>
          <w:w w:val="105"/>
        </w:rPr>
        <w:t> </w:t>
      </w:r>
      <w:r>
        <w:rPr>
          <w:color w:val="231F20"/>
          <w:w w:val="105"/>
        </w:rPr>
        <w:t>no</w:t>
      </w:r>
      <w:r>
        <w:rPr>
          <w:color w:val="231F20"/>
          <w:spacing w:val="-23"/>
          <w:w w:val="105"/>
        </w:rPr>
        <w:t> </w:t>
      </w:r>
      <w:r>
        <w:rPr>
          <w:color w:val="231F20"/>
          <w:w w:val="105"/>
        </w:rPr>
        <w:t>puede ser</w:t>
      </w:r>
      <w:r>
        <w:rPr>
          <w:color w:val="231F20"/>
          <w:spacing w:val="-27"/>
          <w:w w:val="105"/>
        </w:rPr>
        <w:t> </w:t>
      </w:r>
      <w:r>
        <w:rPr>
          <w:color w:val="231F20"/>
          <w:w w:val="105"/>
        </w:rPr>
        <w:t>más</w:t>
      </w:r>
      <w:r>
        <w:rPr>
          <w:color w:val="231F20"/>
          <w:spacing w:val="-27"/>
          <w:w w:val="105"/>
        </w:rPr>
        <w:t> </w:t>
      </w:r>
      <w:r>
        <w:rPr>
          <w:color w:val="231F20"/>
          <w:w w:val="105"/>
        </w:rPr>
        <w:t>que</w:t>
      </w:r>
      <w:r>
        <w:rPr>
          <w:color w:val="231F20"/>
          <w:spacing w:val="-27"/>
          <w:w w:val="105"/>
        </w:rPr>
        <w:t> </w:t>
      </w:r>
      <w:r>
        <w:rPr>
          <w:color w:val="231F20"/>
          <w:w w:val="105"/>
        </w:rPr>
        <w:t>equívoca</w:t>
      </w:r>
      <w:r>
        <w:rPr>
          <w:color w:val="231F20"/>
          <w:spacing w:val="-27"/>
          <w:w w:val="105"/>
        </w:rPr>
        <w:t> </w:t>
      </w:r>
      <w:r>
        <w:rPr>
          <w:color w:val="231F20"/>
          <w:w w:val="105"/>
        </w:rPr>
        <w:t>y</w:t>
      </w:r>
      <w:r>
        <w:rPr>
          <w:color w:val="231F20"/>
          <w:spacing w:val="-27"/>
          <w:w w:val="105"/>
        </w:rPr>
        <w:t> </w:t>
      </w:r>
      <w:r>
        <w:rPr>
          <w:color w:val="231F20"/>
          <w:w w:val="105"/>
        </w:rPr>
        <w:t>dañina</w:t>
      </w:r>
      <w:r>
        <w:rPr>
          <w:color w:val="231F20"/>
          <w:spacing w:val="-27"/>
          <w:w w:val="105"/>
        </w:rPr>
        <w:t> </w:t>
      </w:r>
      <w:r>
        <w:rPr>
          <w:color w:val="231F20"/>
          <w:w w:val="105"/>
        </w:rPr>
        <w:t>y</w:t>
      </w:r>
      <w:r>
        <w:rPr>
          <w:color w:val="231F20"/>
          <w:spacing w:val="-27"/>
          <w:w w:val="105"/>
        </w:rPr>
        <w:t> </w:t>
      </w:r>
      <w:r>
        <w:rPr>
          <w:color w:val="231F20"/>
          <w:w w:val="105"/>
        </w:rPr>
        <w:t>esforzarse</w:t>
      </w:r>
      <w:r>
        <w:rPr>
          <w:color w:val="231F20"/>
          <w:spacing w:val="-27"/>
          <w:w w:val="105"/>
        </w:rPr>
        <w:t> </w:t>
      </w:r>
      <w:r>
        <w:rPr>
          <w:color w:val="231F20"/>
          <w:w w:val="105"/>
        </w:rPr>
        <w:t>en</w:t>
      </w:r>
      <w:r>
        <w:rPr>
          <w:color w:val="231F20"/>
          <w:spacing w:val="-27"/>
          <w:w w:val="105"/>
        </w:rPr>
        <w:t> </w:t>
      </w:r>
      <w:r>
        <w:rPr>
          <w:color w:val="231F20"/>
          <w:w w:val="105"/>
        </w:rPr>
        <w:t>“desagregar”</w:t>
      </w:r>
      <w:r>
        <w:rPr>
          <w:color w:val="231F20"/>
          <w:spacing w:val="-27"/>
          <w:w w:val="105"/>
        </w:rPr>
        <w:t> </w:t>
      </w:r>
      <w:r>
        <w:rPr>
          <w:color w:val="231F20"/>
          <w:w w:val="105"/>
        </w:rPr>
        <w:t>ese</w:t>
      </w:r>
      <w:r>
        <w:rPr>
          <w:color w:val="231F20"/>
          <w:spacing w:val="-27"/>
          <w:w w:val="105"/>
        </w:rPr>
        <w:t> </w:t>
      </w:r>
      <w:r>
        <w:rPr>
          <w:color w:val="231F20"/>
          <w:w w:val="105"/>
        </w:rPr>
        <w:t>grupo</w:t>
      </w:r>
      <w:r>
        <w:rPr>
          <w:color w:val="231F20"/>
          <w:spacing w:val="-27"/>
          <w:w w:val="105"/>
        </w:rPr>
        <w:t> </w:t>
      </w:r>
      <w:r>
        <w:rPr>
          <w:color w:val="231F20"/>
          <w:w w:val="105"/>
        </w:rPr>
        <w:t>de prerrogativas</w:t>
      </w:r>
      <w:r>
        <w:rPr>
          <w:color w:val="231F20"/>
          <w:spacing w:val="-45"/>
          <w:w w:val="105"/>
        </w:rPr>
        <w:t> </w:t>
      </w:r>
      <w:r>
        <w:rPr>
          <w:color w:val="231F20"/>
          <w:w w:val="105"/>
        </w:rPr>
        <w:t>y</w:t>
      </w:r>
      <w:r>
        <w:rPr>
          <w:color w:val="231F20"/>
          <w:spacing w:val="-45"/>
          <w:w w:val="105"/>
        </w:rPr>
        <w:t> </w:t>
      </w:r>
      <w:r>
        <w:rPr>
          <w:color w:val="231F20"/>
          <w:w w:val="105"/>
        </w:rPr>
        <w:t>funciones</w:t>
      </w:r>
      <w:r>
        <w:rPr>
          <w:color w:val="231F20"/>
          <w:spacing w:val="-45"/>
          <w:w w:val="105"/>
        </w:rPr>
        <w:t> </w:t>
      </w:r>
      <w:r>
        <w:rPr>
          <w:color w:val="231F20"/>
          <w:w w:val="105"/>
        </w:rPr>
        <w:t>que</w:t>
      </w:r>
      <w:r>
        <w:rPr>
          <w:color w:val="231F20"/>
          <w:spacing w:val="-45"/>
          <w:w w:val="105"/>
        </w:rPr>
        <w:t> </w:t>
      </w:r>
      <w:r>
        <w:rPr>
          <w:color w:val="231F20"/>
          <w:w w:val="105"/>
        </w:rPr>
        <w:t>estamos</w:t>
      </w:r>
      <w:r>
        <w:rPr>
          <w:color w:val="231F20"/>
          <w:spacing w:val="-45"/>
          <w:w w:val="105"/>
        </w:rPr>
        <w:t> </w:t>
      </w:r>
      <w:r>
        <w:rPr>
          <w:color w:val="231F20"/>
          <w:w w:val="105"/>
        </w:rPr>
        <w:t>acostumbrados</w:t>
      </w:r>
      <w:r>
        <w:rPr>
          <w:color w:val="231F20"/>
          <w:spacing w:val="-45"/>
          <w:w w:val="105"/>
        </w:rPr>
        <w:t> </w:t>
      </w:r>
      <w:r>
        <w:rPr>
          <w:color w:val="231F20"/>
          <w:w w:val="105"/>
        </w:rPr>
        <w:t>a</w:t>
      </w:r>
      <w:r>
        <w:rPr>
          <w:color w:val="231F20"/>
          <w:spacing w:val="-45"/>
          <w:w w:val="105"/>
        </w:rPr>
        <w:t> </w:t>
      </w:r>
      <w:r>
        <w:rPr>
          <w:color w:val="231F20"/>
          <w:w w:val="105"/>
        </w:rPr>
        <w:t>representar</w:t>
      </w:r>
      <w:r>
        <w:rPr>
          <w:color w:val="231F20"/>
          <w:spacing w:val="-45"/>
          <w:w w:val="105"/>
        </w:rPr>
        <w:t> </w:t>
      </w:r>
      <w:r>
        <w:rPr>
          <w:color w:val="231F20"/>
          <w:w w:val="105"/>
        </w:rPr>
        <w:t>como un</w:t>
      </w:r>
      <w:r>
        <w:rPr>
          <w:color w:val="231F20"/>
          <w:spacing w:val="-23"/>
          <w:w w:val="105"/>
        </w:rPr>
        <w:t> </w:t>
      </w:r>
      <w:r>
        <w:rPr>
          <w:color w:val="231F20"/>
          <w:w w:val="105"/>
        </w:rPr>
        <w:t>todo</w:t>
      </w:r>
      <w:r>
        <w:rPr>
          <w:color w:val="231F20"/>
          <w:spacing w:val="-23"/>
          <w:w w:val="105"/>
        </w:rPr>
        <w:t> </w:t>
      </w:r>
      <w:r>
        <w:rPr>
          <w:color w:val="231F20"/>
          <w:w w:val="105"/>
        </w:rPr>
        <w:t>omnicomprensivo</w:t>
      </w:r>
      <w:r>
        <w:rPr>
          <w:color w:val="231F20"/>
          <w:spacing w:val="-23"/>
          <w:w w:val="105"/>
        </w:rPr>
        <w:t> </w:t>
      </w:r>
      <w:r>
        <w:rPr>
          <w:color w:val="231F20"/>
          <w:w w:val="105"/>
        </w:rPr>
        <w:t>y</w:t>
      </w:r>
      <w:r>
        <w:rPr>
          <w:color w:val="231F20"/>
          <w:spacing w:val="-23"/>
          <w:w w:val="105"/>
        </w:rPr>
        <w:t> </w:t>
      </w:r>
      <w:r>
        <w:rPr>
          <w:color w:val="231F20"/>
          <w:w w:val="105"/>
        </w:rPr>
        <w:t>monolítico,</w:t>
      </w:r>
      <w:r>
        <w:rPr>
          <w:color w:val="231F20"/>
          <w:spacing w:val="-23"/>
          <w:w w:val="105"/>
        </w:rPr>
        <w:t> </w:t>
      </w:r>
      <w:r>
        <w:rPr>
          <w:color w:val="231F20"/>
          <w:w w:val="105"/>
        </w:rPr>
        <w:t>que</w:t>
      </w:r>
      <w:r>
        <w:rPr>
          <w:color w:val="231F20"/>
          <w:spacing w:val="-23"/>
          <w:w w:val="105"/>
        </w:rPr>
        <w:t> </w:t>
      </w:r>
      <w:r>
        <w:rPr>
          <w:color w:val="231F20"/>
          <w:w w:val="105"/>
        </w:rPr>
        <w:t>opera</w:t>
      </w:r>
      <w:r>
        <w:rPr>
          <w:color w:val="231F20"/>
          <w:spacing w:val="-23"/>
          <w:w w:val="105"/>
        </w:rPr>
        <w:t> </w:t>
      </w:r>
      <w:r>
        <w:rPr>
          <w:color w:val="231F20"/>
          <w:w w:val="105"/>
        </w:rPr>
        <w:t>con</w:t>
      </w:r>
      <w:r>
        <w:rPr>
          <w:color w:val="231F20"/>
          <w:spacing w:val="-23"/>
          <w:w w:val="105"/>
        </w:rPr>
        <w:t> </w:t>
      </w:r>
      <w:r>
        <w:rPr>
          <w:color w:val="231F20"/>
          <w:w w:val="105"/>
        </w:rPr>
        <w:t>base</w:t>
      </w:r>
      <w:r>
        <w:rPr>
          <w:color w:val="231F20"/>
          <w:spacing w:val="-23"/>
          <w:w w:val="105"/>
        </w:rPr>
        <w:t> </w:t>
      </w:r>
      <w:r>
        <w:rPr>
          <w:color w:val="231F20"/>
          <w:w w:val="105"/>
        </w:rPr>
        <w:t>en</w:t>
      </w:r>
      <w:r>
        <w:rPr>
          <w:color w:val="231F20"/>
          <w:spacing w:val="-23"/>
          <w:w w:val="105"/>
        </w:rPr>
        <w:t> </w:t>
      </w:r>
      <w:r>
        <w:rPr>
          <w:color w:val="231F20"/>
          <w:w w:val="105"/>
        </w:rPr>
        <w:t>una</w:t>
      </w:r>
      <w:r>
        <w:rPr>
          <w:color w:val="231F20"/>
          <w:spacing w:val="-23"/>
          <w:w w:val="105"/>
        </w:rPr>
        <w:t> </w:t>
      </w:r>
      <w:r>
        <w:rPr>
          <w:color w:val="231F20"/>
          <w:w w:val="105"/>
        </w:rPr>
        <w:t>rígida lógica</w:t>
      </w:r>
      <w:r>
        <w:rPr>
          <w:color w:val="231F20"/>
          <w:spacing w:val="-24"/>
          <w:w w:val="105"/>
        </w:rPr>
        <w:t> </w:t>
      </w:r>
      <w:r>
        <w:rPr>
          <w:color w:val="231F20"/>
          <w:w w:val="105"/>
        </w:rPr>
        <w:t>binaria,</w:t>
      </w:r>
      <w:r>
        <w:rPr>
          <w:color w:val="231F20"/>
          <w:spacing w:val="-24"/>
          <w:w w:val="105"/>
        </w:rPr>
        <w:t> </w:t>
      </w:r>
      <w:r>
        <w:rPr>
          <w:color w:val="231F20"/>
          <w:w w:val="105"/>
        </w:rPr>
        <w:t>podría</w:t>
      </w:r>
      <w:r>
        <w:rPr>
          <w:color w:val="231F20"/>
          <w:spacing w:val="-24"/>
          <w:w w:val="105"/>
        </w:rPr>
        <w:t> </w:t>
      </w:r>
      <w:r>
        <w:rPr>
          <w:color w:val="231F20"/>
          <w:w w:val="105"/>
        </w:rPr>
        <w:t>contribuir</w:t>
      </w:r>
      <w:r>
        <w:rPr>
          <w:color w:val="231F20"/>
          <w:spacing w:val="-24"/>
          <w:w w:val="105"/>
        </w:rPr>
        <w:t> </w:t>
      </w:r>
      <w:r>
        <w:rPr>
          <w:color w:val="231F20"/>
          <w:w w:val="105"/>
        </w:rPr>
        <w:t>a</w:t>
      </w:r>
      <w:r>
        <w:rPr>
          <w:color w:val="231F20"/>
          <w:spacing w:val="-24"/>
          <w:w w:val="105"/>
        </w:rPr>
        <w:t> </w:t>
      </w:r>
      <w:r>
        <w:rPr>
          <w:color w:val="231F20"/>
          <w:w w:val="105"/>
        </w:rPr>
        <w:t>disolver</w:t>
      </w:r>
      <w:r>
        <w:rPr>
          <w:color w:val="231F20"/>
          <w:spacing w:val="-24"/>
          <w:w w:val="105"/>
        </w:rPr>
        <w:t> </w:t>
      </w:r>
      <w:r>
        <w:rPr>
          <w:color w:val="231F20"/>
          <w:w w:val="105"/>
        </w:rPr>
        <w:t>muchas</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confusiones</w:t>
      </w:r>
      <w:r>
        <w:rPr>
          <w:color w:val="231F20"/>
          <w:spacing w:val="-24"/>
          <w:w w:val="105"/>
        </w:rPr>
        <w:t> </w:t>
      </w:r>
      <w:r>
        <w:rPr>
          <w:color w:val="231F20"/>
          <w:w w:val="105"/>
        </w:rPr>
        <w:t>y</w:t>
      </w:r>
      <w:r>
        <w:rPr>
          <w:color w:val="231F20"/>
          <w:spacing w:val="-24"/>
          <w:w w:val="105"/>
        </w:rPr>
        <w:t> </w:t>
      </w:r>
      <w:r>
        <w:rPr>
          <w:color w:val="231F20"/>
          <w:w w:val="105"/>
        </w:rPr>
        <w:t>de las</w:t>
      </w:r>
      <w:r>
        <w:rPr>
          <w:color w:val="231F20"/>
          <w:spacing w:val="-29"/>
          <w:w w:val="105"/>
        </w:rPr>
        <w:t> </w:t>
      </w:r>
      <w:r>
        <w:rPr>
          <w:color w:val="231F20"/>
          <w:w w:val="105"/>
        </w:rPr>
        <w:t>imprecisiones</w:t>
      </w:r>
      <w:r>
        <w:rPr>
          <w:color w:val="231F20"/>
          <w:spacing w:val="-29"/>
          <w:w w:val="105"/>
        </w:rPr>
        <w:t> </w:t>
      </w:r>
      <w:r>
        <w:rPr>
          <w:color w:val="231F20"/>
          <w:w w:val="105"/>
        </w:rPr>
        <w:t>que</w:t>
      </w:r>
      <w:r>
        <w:rPr>
          <w:color w:val="231F20"/>
          <w:spacing w:val="-29"/>
          <w:w w:val="105"/>
        </w:rPr>
        <w:t> </w:t>
      </w:r>
      <w:r>
        <w:rPr>
          <w:color w:val="231F20"/>
          <w:w w:val="105"/>
        </w:rPr>
        <w:t>hoy</w:t>
      </w:r>
      <w:r>
        <w:rPr>
          <w:color w:val="231F20"/>
          <w:spacing w:val="-29"/>
          <w:w w:val="105"/>
        </w:rPr>
        <w:t> </w:t>
      </w:r>
      <w:r>
        <w:rPr>
          <w:color w:val="231F20"/>
          <w:w w:val="105"/>
        </w:rPr>
        <w:t>caracterizan</w:t>
      </w:r>
      <w:r>
        <w:rPr>
          <w:color w:val="231F20"/>
          <w:spacing w:val="-29"/>
          <w:w w:val="105"/>
        </w:rPr>
        <w:t> </w:t>
      </w:r>
      <w:r>
        <w:rPr>
          <w:color w:val="231F20"/>
          <w:w w:val="105"/>
        </w:rPr>
        <w:t>el</w:t>
      </w:r>
      <w:r>
        <w:rPr>
          <w:color w:val="231F20"/>
          <w:spacing w:val="-29"/>
          <w:w w:val="105"/>
        </w:rPr>
        <w:t> </w:t>
      </w:r>
      <w:r>
        <w:rPr>
          <w:color w:val="231F20"/>
          <w:w w:val="105"/>
        </w:rPr>
        <w:t>debate</w:t>
      </w:r>
      <w:r>
        <w:rPr>
          <w:color w:val="231F20"/>
          <w:spacing w:val="-29"/>
          <w:w w:val="105"/>
        </w:rPr>
        <w:t> </w:t>
      </w:r>
      <w:r>
        <w:rPr>
          <w:color w:val="231F20"/>
          <w:w w:val="105"/>
        </w:rPr>
        <w:t>sobre</w:t>
      </w:r>
      <w:r>
        <w:rPr>
          <w:color w:val="231F20"/>
          <w:spacing w:val="-29"/>
          <w:w w:val="105"/>
        </w:rPr>
        <w:t> </w:t>
      </w:r>
      <w:r>
        <w:rPr>
          <w:color w:val="231F20"/>
          <w:w w:val="105"/>
        </w:rPr>
        <w:t>el</w:t>
      </w:r>
      <w:r>
        <w:rPr>
          <w:color w:val="231F20"/>
          <w:spacing w:val="-29"/>
          <w:w w:val="105"/>
        </w:rPr>
        <w:t> </w:t>
      </w:r>
      <w:r>
        <w:rPr>
          <w:color w:val="231F20"/>
          <w:w w:val="105"/>
        </w:rPr>
        <w:t>nuevo</w:t>
      </w:r>
      <w:r>
        <w:rPr>
          <w:color w:val="231F20"/>
          <w:spacing w:val="-29"/>
          <w:w w:val="105"/>
        </w:rPr>
        <w:t> </w:t>
      </w:r>
      <w:r>
        <w:rPr>
          <w:color w:val="231F20"/>
          <w:w w:val="105"/>
        </w:rPr>
        <w:t>orden</w:t>
      </w:r>
      <w:r>
        <w:rPr>
          <w:color w:val="231F20"/>
          <w:spacing w:val="-29"/>
          <w:w w:val="105"/>
        </w:rPr>
        <w:t> </w:t>
      </w:r>
      <w:r>
        <w:rPr>
          <w:color w:val="231F20"/>
          <w:w w:val="105"/>
        </w:rPr>
        <w:t>po- lítico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sociedad</w:t>
      </w:r>
      <w:r>
        <w:rPr>
          <w:color w:val="231F20"/>
          <w:spacing w:val="-15"/>
          <w:w w:val="105"/>
        </w:rPr>
        <w:t> </w:t>
      </w:r>
      <w:r>
        <w:rPr>
          <w:color w:val="231F20"/>
          <w:w w:val="105"/>
        </w:rPr>
        <w:t>global.</w:t>
      </w:r>
    </w:p>
    <w:p>
      <w:pPr>
        <w:pStyle w:val="BodyText"/>
        <w:spacing w:line="247" w:lineRule="auto"/>
        <w:ind w:left="117" w:right="101" w:firstLine="566"/>
        <w:jc w:val="both"/>
      </w:pPr>
      <w:r>
        <w:rPr>
          <w:color w:val="231F20"/>
        </w:rPr>
        <w:t>Como creo es evidente a partir de los pasos citados, el objetivo primario de estas nuevas y más complejas concepciones de la soberanía estatal es enfrentarse al laberíntico sistema autoritario y regulador carac- terístico de un mundo post–westfaliano, sin adherirse por ello a retóricas simplicadoras de la finalidad del Estado</w:t>
      </w:r>
      <w:r>
        <w:rPr>
          <w:color w:val="231F20"/>
          <w:position w:val="7"/>
          <w:sz w:val="12"/>
        </w:rPr>
        <w:t>83</w:t>
      </w:r>
      <w:r>
        <w:rPr>
          <w:color w:val="231F20"/>
        </w:rPr>
        <w:t>. Alejada del tradicional paradig- ma de soberanía, también la cuestión del intervencionismo humanitario   se revela, de esta forma, sujeto de nuevas y más fructíferas elaboraciones teóricas: no se dice, en efecto, que un debilitamiento de la soberanía del Estado hacia el exterior se traduzca automáticamente en una herida a los derechos de autogobierno de sus ciudadanos. En la realidad empírica, el </w:t>
      </w:r>
      <w:r>
        <w:rPr>
          <w:rFonts w:ascii="Arial" w:hAnsi="Arial"/>
          <w:i/>
          <w:color w:val="231F20"/>
        </w:rPr>
        <w:t>pueblo </w:t>
      </w:r>
      <w:r>
        <w:rPr>
          <w:color w:val="231F20"/>
        </w:rPr>
        <w:t>es siempre el producto eventual de formas de organización</w:t>
      </w:r>
      <w:r>
        <w:rPr>
          <w:color w:val="231F20"/>
          <w:spacing w:val="25"/>
        </w:rPr>
        <w:t> </w:t>
      </w:r>
      <w:r>
        <w:rPr>
          <w:color w:val="231F20"/>
        </w:rPr>
        <w:t>política</w:t>
      </w:r>
    </w:p>
    <w:p>
      <w:pPr>
        <w:pStyle w:val="BodyText"/>
        <w:spacing w:before="5"/>
        <w:rPr>
          <w:sz w:val="26"/>
        </w:rPr>
      </w:pPr>
      <w:r>
        <w:rPr/>
        <w:pict>
          <v:line style="position:absolute;mso-position-horizontal-relative:page;mso-position-vertical-relative:paragraph;z-index:8152;mso-wrap-distance-left:0;mso-wrap-distance-right:0" from="70.866096pt,18.048897pt" to="184.252096pt,18.048897pt" stroked="true" strokeweight=".3pt" strokecolor="#231f20">
            <w10:wrap type="topAndBottom"/>
          </v:line>
        </w:pict>
      </w:r>
    </w:p>
    <w:p>
      <w:pPr>
        <w:spacing w:line="204" w:lineRule="exact" w:before="8"/>
        <w:ind w:left="117" w:right="101" w:firstLine="0"/>
        <w:jc w:val="both"/>
        <w:rPr>
          <w:rFonts w:ascii="Calibri" w:hAnsi="Calibri"/>
          <w:sz w:val="17"/>
        </w:rPr>
      </w:pPr>
      <w:r>
        <w:rPr>
          <w:rFonts w:ascii="Calibri" w:hAnsi="Calibri"/>
          <w:color w:val="231F20"/>
          <w:w w:val="105"/>
          <w:position w:val="6"/>
          <w:sz w:val="10"/>
        </w:rPr>
        <w:t>81</w:t>
      </w:r>
      <w:r>
        <w:rPr>
          <w:rFonts w:ascii="Calibri" w:hAnsi="Calibri"/>
          <w:color w:val="231F20"/>
          <w:spacing w:val="1"/>
          <w:w w:val="105"/>
          <w:position w:val="6"/>
          <w:sz w:val="10"/>
        </w:rPr>
        <w:t> </w:t>
      </w:r>
      <w:r>
        <w:rPr>
          <w:rFonts w:ascii="Calibri" w:hAnsi="Calibri"/>
          <w:color w:val="231F20"/>
          <w:w w:val="105"/>
          <w:sz w:val="17"/>
        </w:rPr>
        <w:t>S.</w:t>
      </w:r>
      <w:r>
        <w:rPr>
          <w:rFonts w:ascii="Calibri" w:hAnsi="Calibri"/>
          <w:color w:val="231F20"/>
          <w:spacing w:val="-16"/>
          <w:w w:val="105"/>
          <w:sz w:val="17"/>
        </w:rPr>
        <w:t> </w:t>
      </w:r>
      <w:r>
        <w:rPr>
          <w:rFonts w:ascii="Calibri" w:hAnsi="Calibri"/>
          <w:color w:val="231F20"/>
          <w:w w:val="105"/>
          <w:sz w:val="17"/>
        </w:rPr>
        <w:t>D.</w:t>
      </w:r>
      <w:r>
        <w:rPr>
          <w:rFonts w:ascii="Calibri" w:hAnsi="Calibri"/>
          <w:color w:val="231F20"/>
          <w:spacing w:val="-16"/>
          <w:w w:val="105"/>
          <w:sz w:val="17"/>
        </w:rPr>
        <w:t> </w:t>
      </w:r>
      <w:r>
        <w:rPr>
          <w:rFonts w:ascii="Calibri" w:hAnsi="Calibri"/>
          <w:color w:val="231F20"/>
          <w:w w:val="105"/>
          <w:sz w:val="17"/>
        </w:rPr>
        <w:t>Krasner,</w:t>
      </w:r>
      <w:r>
        <w:rPr>
          <w:rFonts w:ascii="Calibri" w:hAnsi="Calibri"/>
          <w:color w:val="231F20"/>
          <w:spacing w:val="-16"/>
          <w:w w:val="105"/>
          <w:sz w:val="17"/>
        </w:rPr>
        <w:t> </w:t>
      </w:r>
      <w:r>
        <w:rPr>
          <w:rFonts w:ascii="Calibri" w:hAnsi="Calibri"/>
          <w:color w:val="231F20"/>
          <w:w w:val="105"/>
          <w:sz w:val="17"/>
        </w:rPr>
        <w:t>“Problematic</w:t>
      </w:r>
      <w:r>
        <w:rPr>
          <w:rFonts w:ascii="Calibri" w:hAnsi="Calibri"/>
          <w:color w:val="231F20"/>
          <w:spacing w:val="-16"/>
          <w:w w:val="105"/>
          <w:sz w:val="17"/>
        </w:rPr>
        <w:t> </w:t>
      </w:r>
      <w:r>
        <w:rPr>
          <w:rFonts w:ascii="Calibri" w:hAnsi="Calibri"/>
          <w:color w:val="231F20"/>
          <w:w w:val="105"/>
          <w:sz w:val="17"/>
        </w:rPr>
        <w:t>sovereignty”,</w:t>
      </w:r>
      <w:r>
        <w:rPr>
          <w:rFonts w:ascii="Calibri" w:hAnsi="Calibri"/>
          <w:color w:val="231F20"/>
          <w:spacing w:val="-16"/>
          <w:w w:val="105"/>
          <w:sz w:val="17"/>
        </w:rPr>
        <w:t> </w:t>
      </w:r>
      <w:r>
        <w:rPr>
          <w:rFonts w:ascii="Calibri" w:hAnsi="Calibri"/>
          <w:color w:val="231F20"/>
          <w:w w:val="105"/>
          <w:sz w:val="17"/>
        </w:rPr>
        <w:t>S.</w:t>
      </w:r>
      <w:r>
        <w:rPr>
          <w:rFonts w:ascii="Calibri" w:hAnsi="Calibri"/>
          <w:color w:val="231F20"/>
          <w:spacing w:val="-16"/>
          <w:w w:val="105"/>
          <w:sz w:val="17"/>
        </w:rPr>
        <w:t> </w:t>
      </w:r>
      <w:r>
        <w:rPr>
          <w:rFonts w:ascii="Calibri" w:hAnsi="Calibri"/>
          <w:color w:val="231F20"/>
          <w:w w:val="105"/>
          <w:sz w:val="17"/>
        </w:rPr>
        <w:t>D.</w:t>
      </w:r>
      <w:r>
        <w:rPr>
          <w:rFonts w:ascii="Calibri" w:hAnsi="Calibri"/>
          <w:color w:val="231F20"/>
          <w:spacing w:val="-16"/>
          <w:w w:val="105"/>
          <w:sz w:val="17"/>
        </w:rPr>
        <w:t> </w:t>
      </w:r>
      <w:r>
        <w:rPr>
          <w:rFonts w:ascii="Calibri" w:hAnsi="Calibri"/>
          <w:color w:val="231F20"/>
          <w:w w:val="105"/>
          <w:sz w:val="17"/>
        </w:rPr>
        <w:t>Krasner</w:t>
      </w:r>
      <w:r>
        <w:rPr>
          <w:rFonts w:ascii="Calibri" w:hAnsi="Calibri"/>
          <w:color w:val="231F20"/>
          <w:spacing w:val="-16"/>
          <w:w w:val="105"/>
          <w:sz w:val="17"/>
        </w:rPr>
        <w:t> </w:t>
      </w:r>
      <w:r>
        <w:rPr>
          <w:rFonts w:ascii="Calibri" w:hAnsi="Calibri"/>
          <w:color w:val="231F20"/>
          <w:w w:val="105"/>
          <w:sz w:val="17"/>
        </w:rPr>
        <w:t>(Ed.),</w:t>
      </w:r>
      <w:r>
        <w:rPr>
          <w:rFonts w:ascii="Calibri" w:hAnsi="Calibri"/>
          <w:color w:val="231F20"/>
          <w:spacing w:val="-16"/>
          <w:w w:val="105"/>
          <w:sz w:val="17"/>
        </w:rPr>
        <w:t> </w:t>
      </w:r>
      <w:r>
        <w:rPr>
          <w:rFonts w:ascii="Calibri" w:hAnsi="Calibri"/>
          <w:i/>
          <w:color w:val="231F20"/>
          <w:w w:val="105"/>
          <w:sz w:val="17"/>
        </w:rPr>
        <w:t>Problematic</w:t>
      </w:r>
      <w:r>
        <w:rPr>
          <w:rFonts w:ascii="Calibri" w:hAnsi="Calibri"/>
          <w:i/>
          <w:color w:val="231F20"/>
          <w:spacing w:val="-16"/>
          <w:w w:val="105"/>
          <w:sz w:val="17"/>
        </w:rPr>
        <w:t> </w:t>
      </w:r>
      <w:r>
        <w:rPr>
          <w:rFonts w:ascii="Calibri" w:hAnsi="Calibri"/>
          <w:i/>
          <w:color w:val="231F20"/>
          <w:w w:val="105"/>
          <w:sz w:val="17"/>
        </w:rPr>
        <w:t>Sovereignty.</w:t>
      </w:r>
      <w:r>
        <w:rPr>
          <w:rFonts w:ascii="Calibri" w:hAnsi="Calibri"/>
          <w:i/>
          <w:color w:val="231F20"/>
          <w:spacing w:val="-16"/>
          <w:w w:val="105"/>
          <w:sz w:val="17"/>
        </w:rPr>
        <w:t> </w:t>
      </w:r>
      <w:r>
        <w:rPr>
          <w:rFonts w:ascii="Calibri" w:hAnsi="Calibri"/>
          <w:i/>
          <w:color w:val="231F20"/>
          <w:w w:val="105"/>
          <w:sz w:val="17"/>
        </w:rPr>
        <w:t>Contested </w:t>
      </w:r>
      <w:r>
        <w:rPr>
          <w:rFonts w:ascii="Calibri" w:hAnsi="Calibri"/>
          <w:i/>
          <w:color w:val="231F20"/>
          <w:w w:val="105"/>
          <w:sz w:val="17"/>
        </w:rPr>
        <w:t>Rules</w:t>
      </w:r>
      <w:r>
        <w:rPr>
          <w:rFonts w:ascii="Calibri" w:hAnsi="Calibri"/>
          <w:i/>
          <w:color w:val="231F20"/>
          <w:spacing w:val="-27"/>
          <w:w w:val="105"/>
          <w:sz w:val="17"/>
        </w:rPr>
        <w:t> </w:t>
      </w:r>
      <w:r>
        <w:rPr>
          <w:rFonts w:ascii="Calibri" w:hAnsi="Calibri"/>
          <w:i/>
          <w:color w:val="231F20"/>
          <w:w w:val="105"/>
          <w:sz w:val="17"/>
        </w:rPr>
        <w:t>and</w:t>
      </w:r>
      <w:r>
        <w:rPr>
          <w:rFonts w:ascii="Calibri" w:hAnsi="Calibri"/>
          <w:i/>
          <w:color w:val="231F20"/>
          <w:spacing w:val="-27"/>
          <w:w w:val="105"/>
          <w:sz w:val="17"/>
        </w:rPr>
        <w:t> </w:t>
      </w:r>
      <w:r>
        <w:rPr>
          <w:rFonts w:ascii="Calibri" w:hAnsi="Calibri"/>
          <w:i/>
          <w:color w:val="231F20"/>
          <w:w w:val="105"/>
          <w:sz w:val="17"/>
        </w:rPr>
        <w:t>Political</w:t>
      </w:r>
      <w:r>
        <w:rPr>
          <w:rFonts w:ascii="Calibri" w:hAnsi="Calibri"/>
          <w:i/>
          <w:color w:val="231F20"/>
          <w:spacing w:val="-27"/>
          <w:w w:val="105"/>
          <w:sz w:val="17"/>
        </w:rPr>
        <w:t> </w:t>
      </w:r>
      <w:r>
        <w:rPr>
          <w:rFonts w:ascii="Calibri" w:hAnsi="Calibri"/>
          <w:i/>
          <w:color w:val="231F20"/>
          <w:w w:val="105"/>
          <w:sz w:val="17"/>
        </w:rPr>
        <w:t>Possibilities</w:t>
      </w:r>
      <w:r>
        <w:rPr>
          <w:rFonts w:ascii="Calibri" w:hAnsi="Calibri"/>
          <w:color w:val="231F20"/>
          <w:w w:val="105"/>
          <w:sz w:val="17"/>
        </w:rPr>
        <w:t>,</w:t>
      </w:r>
      <w:r>
        <w:rPr>
          <w:rFonts w:ascii="Calibri" w:hAnsi="Calibri"/>
          <w:color w:val="231F20"/>
          <w:spacing w:val="-27"/>
          <w:w w:val="105"/>
          <w:sz w:val="17"/>
        </w:rPr>
        <w:t> </w:t>
      </w:r>
      <w:r>
        <w:rPr>
          <w:rFonts w:ascii="Calibri" w:hAnsi="Calibri"/>
          <w:color w:val="231F20"/>
          <w:w w:val="105"/>
          <w:sz w:val="17"/>
        </w:rPr>
        <w:t>New</w:t>
      </w:r>
      <w:r>
        <w:rPr>
          <w:rFonts w:ascii="Calibri" w:hAnsi="Calibri"/>
          <w:color w:val="231F20"/>
          <w:spacing w:val="-28"/>
          <w:w w:val="105"/>
          <w:sz w:val="17"/>
        </w:rPr>
        <w:t> </w:t>
      </w:r>
      <w:r>
        <w:rPr>
          <w:rFonts w:ascii="Calibri" w:hAnsi="Calibri"/>
          <w:color w:val="231F20"/>
          <w:w w:val="105"/>
          <w:sz w:val="17"/>
        </w:rPr>
        <w:t>York,</w:t>
      </w:r>
      <w:r>
        <w:rPr>
          <w:rFonts w:ascii="Calibri" w:hAnsi="Calibri"/>
          <w:color w:val="231F20"/>
          <w:spacing w:val="-27"/>
          <w:w w:val="105"/>
          <w:sz w:val="17"/>
        </w:rPr>
        <w:t> </w:t>
      </w:r>
      <w:r>
        <w:rPr>
          <w:rFonts w:ascii="Calibri" w:hAnsi="Calibri"/>
          <w:color w:val="231F20"/>
          <w:w w:val="105"/>
          <w:sz w:val="17"/>
        </w:rPr>
        <w:t>Columbia</w:t>
      </w:r>
      <w:r>
        <w:rPr>
          <w:rFonts w:ascii="Calibri" w:hAnsi="Calibri"/>
          <w:color w:val="231F20"/>
          <w:spacing w:val="-27"/>
          <w:w w:val="105"/>
          <w:sz w:val="17"/>
        </w:rPr>
        <w:t> </w:t>
      </w:r>
      <w:r>
        <w:rPr>
          <w:rFonts w:ascii="Calibri" w:hAnsi="Calibri"/>
          <w:color w:val="231F20"/>
          <w:w w:val="105"/>
          <w:sz w:val="17"/>
        </w:rPr>
        <w:t>University</w:t>
      </w:r>
      <w:r>
        <w:rPr>
          <w:rFonts w:ascii="Calibri" w:hAnsi="Calibri"/>
          <w:color w:val="231F20"/>
          <w:spacing w:val="-27"/>
          <w:w w:val="105"/>
          <w:sz w:val="17"/>
        </w:rPr>
        <w:t> </w:t>
      </w:r>
      <w:r>
        <w:rPr>
          <w:rFonts w:ascii="Calibri" w:hAnsi="Calibri"/>
          <w:color w:val="231F20"/>
          <w:w w:val="105"/>
          <w:sz w:val="17"/>
        </w:rPr>
        <w:t>Press,</w:t>
      </w:r>
      <w:r>
        <w:rPr>
          <w:rFonts w:ascii="Calibri" w:hAnsi="Calibri"/>
          <w:color w:val="231F20"/>
          <w:spacing w:val="-27"/>
          <w:w w:val="105"/>
          <w:sz w:val="17"/>
        </w:rPr>
        <w:t> </w:t>
      </w:r>
      <w:r>
        <w:rPr>
          <w:rFonts w:ascii="Calibri" w:hAnsi="Calibri"/>
          <w:color w:val="231F20"/>
          <w:w w:val="105"/>
          <w:sz w:val="17"/>
        </w:rPr>
        <w:t>2001,</w:t>
      </w:r>
      <w:r>
        <w:rPr>
          <w:rFonts w:ascii="Calibri" w:hAnsi="Calibri"/>
          <w:color w:val="231F20"/>
          <w:spacing w:val="-27"/>
          <w:w w:val="105"/>
          <w:sz w:val="17"/>
        </w:rPr>
        <w:t> </w:t>
      </w:r>
      <w:r>
        <w:rPr>
          <w:rFonts w:ascii="Calibri" w:hAnsi="Calibri"/>
          <w:color w:val="231F20"/>
          <w:w w:val="105"/>
          <w:sz w:val="17"/>
        </w:rPr>
        <w:t>pp.</w:t>
      </w:r>
      <w:r>
        <w:rPr>
          <w:rFonts w:ascii="Calibri" w:hAnsi="Calibri"/>
          <w:color w:val="231F20"/>
          <w:spacing w:val="-27"/>
          <w:w w:val="105"/>
          <w:sz w:val="17"/>
        </w:rPr>
        <w:t> </w:t>
      </w:r>
      <w:r>
        <w:rPr>
          <w:rFonts w:ascii="Calibri" w:hAnsi="Calibri"/>
          <w:color w:val="231F20"/>
          <w:w w:val="105"/>
          <w:sz w:val="17"/>
        </w:rPr>
        <w:t>1–2.</w:t>
      </w:r>
      <w:r>
        <w:rPr>
          <w:rFonts w:ascii="Calibri" w:hAnsi="Calibri"/>
          <w:color w:val="231F20"/>
          <w:spacing w:val="-27"/>
          <w:w w:val="105"/>
          <w:sz w:val="17"/>
        </w:rPr>
        <w:t> </w:t>
      </w:r>
      <w:r>
        <w:rPr>
          <w:rFonts w:ascii="Calibri" w:hAnsi="Calibri"/>
          <w:color w:val="231F20"/>
          <w:w w:val="105"/>
          <w:sz w:val="17"/>
        </w:rPr>
        <w:t>Se</w:t>
      </w:r>
      <w:r>
        <w:rPr>
          <w:rFonts w:ascii="Calibri" w:hAnsi="Calibri"/>
          <w:color w:val="231F20"/>
          <w:spacing w:val="-27"/>
          <w:w w:val="105"/>
          <w:sz w:val="17"/>
        </w:rPr>
        <w:t> </w:t>
      </w:r>
      <w:r>
        <w:rPr>
          <w:rFonts w:ascii="Calibri" w:hAnsi="Calibri"/>
          <w:color w:val="231F20"/>
          <w:w w:val="105"/>
          <w:sz w:val="17"/>
        </w:rPr>
        <w:t>trata,</w:t>
      </w:r>
      <w:r>
        <w:rPr>
          <w:rFonts w:ascii="Calibri" w:hAnsi="Calibri"/>
          <w:color w:val="231F20"/>
          <w:spacing w:val="-27"/>
          <w:w w:val="105"/>
          <w:sz w:val="17"/>
        </w:rPr>
        <w:t> </w:t>
      </w:r>
      <w:r>
        <w:rPr>
          <w:rFonts w:ascii="Calibri" w:hAnsi="Calibri"/>
          <w:color w:val="231F20"/>
          <w:w w:val="105"/>
          <w:sz w:val="17"/>
        </w:rPr>
        <w:t>respec- tivamente,</w:t>
      </w:r>
      <w:r>
        <w:rPr>
          <w:rFonts w:ascii="Calibri" w:hAnsi="Calibri"/>
          <w:color w:val="231F20"/>
          <w:spacing w:val="-18"/>
          <w:w w:val="105"/>
          <w:sz w:val="17"/>
        </w:rPr>
        <w:t> </w:t>
      </w:r>
      <w:r>
        <w:rPr>
          <w:rFonts w:ascii="Calibri" w:hAnsi="Calibri"/>
          <w:color w:val="231F20"/>
          <w:w w:val="105"/>
          <w:sz w:val="17"/>
        </w:rPr>
        <w:t>de</w:t>
      </w:r>
      <w:r>
        <w:rPr>
          <w:rFonts w:ascii="Calibri" w:hAnsi="Calibri"/>
          <w:color w:val="231F20"/>
          <w:spacing w:val="-18"/>
          <w:w w:val="105"/>
          <w:sz w:val="17"/>
        </w:rPr>
        <w:t> </w:t>
      </w:r>
      <w:r>
        <w:rPr>
          <w:rFonts w:ascii="Calibri" w:hAnsi="Calibri"/>
          <w:color w:val="231F20"/>
          <w:w w:val="105"/>
          <w:sz w:val="17"/>
        </w:rPr>
        <w:t>la</w:t>
      </w:r>
      <w:r>
        <w:rPr>
          <w:rFonts w:ascii="Calibri" w:hAnsi="Calibri"/>
          <w:color w:val="231F20"/>
          <w:spacing w:val="-18"/>
          <w:w w:val="105"/>
          <w:sz w:val="17"/>
        </w:rPr>
        <w:t> </w:t>
      </w:r>
      <w:r>
        <w:rPr>
          <w:rFonts w:ascii="Calibri" w:hAnsi="Calibri"/>
          <w:color w:val="231F20"/>
          <w:w w:val="105"/>
          <w:sz w:val="17"/>
        </w:rPr>
        <w:t>“Westphalian</w:t>
      </w:r>
      <w:r>
        <w:rPr>
          <w:rFonts w:ascii="Calibri" w:hAnsi="Calibri"/>
          <w:color w:val="231F20"/>
          <w:spacing w:val="-18"/>
          <w:w w:val="105"/>
          <w:sz w:val="17"/>
        </w:rPr>
        <w:t> </w:t>
      </w:r>
      <w:r>
        <w:rPr>
          <w:rFonts w:ascii="Calibri" w:hAnsi="Calibri"/>
          <w:color w:val="231F20"/>
          <w:w w:val="105"/>
          <w:sz w:val="17"/>
        </w:rPr>
        <w:t>sovereignty”,</w:t>
      </w:r>
      <w:r>
        <w:rPr>
          <w:rFonts w:ascii="Calibri" w:hAnsi="Calibri"/>
          <w:color w:val="231F20"/>
          <w:spacing w:val="-18"/>
          <w:w w:val="105"/>
          <w:sz w:val="17"/>
        </w:rPr>
        <w:t> </w:t>
      </w:r>
      <w:r>
        <w:rPr>
          <w:rFonts w:ascii="Calibri" w:hAnsi="Calibri"/>
          <w:color w:val="231F20"/>
          <w:w w:val="105"/>
          <w:sz w:val="17"/>
        </w:rPr>
        <w:t>de</w:t>
      </w:r>
      <w:r>
        <w:rPr>
          <w:rFonts w:ascii="Calibri" w:hAnsi="Calibri"/>
          <w:color w:val="231F20"/>
          <w:spacing w:val="-18"/>
          <w:w w:val="105"/>
          <w:sz w:val="17"/>
        </w:rPr>
        <w:t> </w:t>
      </w:r>
      <w:r>
        <w:rPr>
          <w:rFonts w:ascii="Calibri" w:hAnsi="Calibri"/>
          <w:color w:val="231F20"/>
          <w:w w:val="105"/>
          <w:sz w:val="17"/>
        </w:rPr>
        <w:t>la</w:t>
      </w:r>
      <w:r>
        <w:rPr>
          <w:rFonts w:ascii="Calibri" w:hAnsi="Calibri"/>
          <w:color w:val="231F20"/>
          <w:spacing w:val="-18"/>
          <w:w w:val="105"/>
          <w:sz w:val="17"/>
        </w:rPr>
        <w:t> </w:t>
      </w:r>
      <w:r>
        <w:rPr>
          <w:rFonts w:ascii="Calibri" w:hAnsi="Calibri"/>
          <w:color w:val="231F20"/>
          <w:w w:val="105"/>
          <w:sz w:val="17"/>
        </w:rPr>
        <w:t>“international</w:t>
      </w:r>
      <w:r>
        <w:rPr>
          <w:rFonts w:ascii="Calibri" w:hAnsi="Calibri"/>
          <w:color w:val="231F20"/>
          <w:spacing w:val="-18"/>
          <w:w w:val="105"/>
          <w:sz w:val="17"/>
        </w:rPr>
        <w:t> </w:t>
      </w:r>
      <w:r>
        <w:rPr>
          <w:rFonts w:ascii="Calibri" w:hAnsi="Calibri"/>
          <w:color w:val="231F20"/>
          <w:w w:val="105"/>
          <w:sz w:val="17"/>
        </w:rPr>
        <w:t>legal</w:t>
      </w:r>
      <w:r>
        <w:rPr>
          <w:rFonts w:ascii="Calibri" w:hAnsi="Calibri"/>
          <w:color w:val="231F20"/>
          <w:spacing w:val="-18"/>
          <w:w w:val="105"/>
          <w:sz w:val="17"/>
        </w:rPr>
        <w:t> </w:t>
      </w:r>
      <w:r>
        <w:rPr>
          <w:rFonts w:ascii="Calibri" w:hAnsi="Calibri"/>
          <w:color w:val="231F20"/>
          <w:w w:val="105"/>
          <w:sz w:val="17"/>
        </w:rPr>
        <w:t>sovereignty”,</w:t>
      </w:r>
      <w:r>
        <w:rPr>
          <w:rFonts w:ascii="Calibri" w:hAnsi="Calibri"/>
          <w:color w:val="231F20"/>
          <w:spacing w:val="-18"/>
          <w:w w:val="105"/>
          <w:sz w:val="17"/>
        </w:rPr>
        <w:t> </w:t>
      </w:r>
      <w:r>
        <w:rPr>
          <w:rFonts w:ascii="Calibri" w:hAnsi="Calibri"/>
          <w:color w:val="231F20"/>
          <w:w w:val="105"/>
          <w:sz w:val="17"/>
        </w:rPr>
        <w:t>de</w:t>
      </w:r>
      <w:r>
        <w:rPr>
          <w:rFonts w:ascii="Calibri" w:hAnsi="Calibri"/>
          <w:color w:val="231F20"/>
          <w:spacing w:val="-18"/>
          <w:w w:val="105"/>
          <w:sz w:val="17"/>
        </w:rPr>
        <w:t> </w:t>
      </w:r>
      <w:r>
        <w:rPr>
          <w:rFonts w:ascii="Calibri" w:hAnsi="Calibri"/>
          <w:color w:val="231F20"/>
          <w:w w:val="105"/>
          <w:sz w:val="17"/>
        </w:rPr>
        <w:t>la</w:t>
      </w:r>
      <w:r>
        <w:rPr>
          <w:rFonts w:ascii="Calibri" w:hAnsi="Calibri"/>
          <w:color w:val="231F20"/>
          <w:spacing w:val="-18"/>
          <w:w w:val="105"/>
          <w:sz w:val="17"/>
        </w:rPr>
        <w:t> </w:t>
      </w:r>
      <w:r>
        <w:rPr>
          <w:rFonts w:ascii="Calibri" w:hAnsi="Calibri"/>
          <w:color w:val="231F20"/>
          <w:w w:val="105"/>
          <w:sz w:val="17"/>
        </w:rPr>
        <w:t>“interde- pendence</w:t>
      </w:r>
      <w:r>
        <w:rPr>
          <w:rFonts w:ascii="Calibri" w:hAnsi="Calibri"/>
          <w:color w:val="231F20"/>
          <w:spacing w:val="-28"/>
          <w:w w:val="105"/>
          <w:sz w:val="17"/>
        </w:rPr>
        <w:t> </w:t>
      </w:r>
      <w:r>
        <w:rPr>
          <w:rFonts w:ascii="Calibri" w:hAnsi="Calibri"/>
          <w:color w:val="231F20"/>
          <w:w w:val="105"/>
          <w:sz w:val="17"/>
        </w:rPr>
        <w:t>sovereignty”</w:t>
      </w:r>
      <w:r>
        <w:rPr>
          <w:rFonts w:ascii="Calibri" w:hAnsi="Calibri"/>
          <w:color w:val="231F20"/>
          <w:spacing w:val="-29"/>
          <w:w w:val="105"/>
          <w:sz w:val="17"/>
        </w:rPr>
        <w:t> </w:t>
      </w:r>
      <w:r>
        <w:rPr>
          <w:rFonts w:ascii="Calibri" w:hAnsi="Calibri"/>
          <w:color w:val="231F20"/>
          <w:w w:val="105"/>
          <w:sz w:val="17"/>
        </w:rPr>
        <w:t>y</w:t>
      </w:r>
      <w:r>
        <w:rPr>
          <w:rFonts w:ascii="Calibri" w:hAnsi="Calibri"/>
          <w:color w:val="231F20"/>
          <w:spacing w:val="-28"/>
          <w:w w:val="105"/>
          <w:sz w:val="17"/>
        </w:rPr>
        <w:t> </w:t>
      </w:r>
      <w:r>
        <w:rPr>
          <w:rFonts w:ascii="Calibri" w:hAnsi="Calibri"/>
          <w:color w:val="231F20"/>
          <w:w w:val="105"/>
          <w:sz w:val="17"/>
        </w:rPr>
        <w:t>de</w:t>
      </w:r>
      <w:r>
        <w:rPr>
          <w:rFonts w:ascii="Calibri" w:hAnsi="Calibri"/>
          <w:color w:val="231F20"/>
          <w:spacing w:val="-28"/>
          <w:w w:val="105"/>
          <w:sz w:val="17"/>
        </w:rPr>
        <w:t> </w:t>
      </w:r>
      <w:r>
        <w:rPr>
          <w:rFonts w:ascii="Calibri" w:hAnsi="Calibri"/>
          <w:color w:val="231F20"/>
          <w:w w:val="105"/>
          <w:sz w:val="17"/>
        </w:rPr>
        <w:t>la</w:t>
      </w:r>
      <w:r>
        <w:rPr>
          <w:rFonts w:ascii="Calibri" w:hAnsi="Calibri"/>
          <w:color w:val="231F20"/>
          <w:spacing w:val="-28"/>
          <w:w w:val="105"/>
          <w:sz w:val="17"/>
        </w:rPr>
        <w:t> </w:t>
      </w:r>
      <w:r>
        <w:rPr>
          <w:rFonts w:ascii="Calibri" w:hAnsi="Calibri"/>
          <w:color w:val="231F20"/>
          <w:w w:val="105"/>
          <w:sz w:val="17"/>
        </w:rPr>
        <w:t>“domestic</w:t>
      </w:r>
      <w:r>
        <w:rPr>
          <w:rFonts w:ascii="Calibri" w:hAnsi="Calibri"/>
          <w:color w:val="231F20"/>
          <w:spacing w:val="-28"/>
          <w:w w:val="105"/>
          <w:sz w:val="17"/>
        </w:rPr>
        <w:t> </w:t>
      </w:r>
      <w:r>
        <w:rPr>
          <w:rFonts w:ascii="Calibri" w:hAnsi="Calibri"/>
          <w:color w:val="231F20"/>
          <w:w w:val="105"/>
          <w:sz w:val="17"/>
        </w:rPr>
        <w:t>sovereignty”.</w:t>
      </w:r>
    </w:p>
    <w:p>
      <w:pPr>
        <w:spacing w:line="206" w:lineRule="exact" w:before="1"/>
        <w:ind w:left="117" w:right="0" w:firstLine="0"/>
        <w:jc w:val="both"/>
        <w:rPr>
          <w:rFonts w:ascii="Calibri" w:hAnsi="Calibri"/>
          <w:sz w:val="17"/>
        </w:rPr>
      </w:pPr>
      <w:r>
        <w:rPr>
          <w:rFonts w:ascii="Calibri" w:hAnsi="Calibri"/>
          <w:color w:val="231F20"/>
          <w:position w:val="6"/>
          <w:sz w:val="10"/>
        </w:rPr>
        <w:t>82  </w:t>
      </w:r>
      <w:r>
        <w:rPr>
          <w:rFonts w:ascii="Calibri" w:hAnsi="Calibri"/>
          <w:color w:val="231F20"/>
          <w:sz w:val="17"/>
        </w:rPr>
        <w:t>Krasner, “Problematic sovereignty”, p. 2.</w:t>
      </w:r>
    </w:p>
    <w:p>
      <w:pPr>
        <w:spacing w:line="235" w:lineRule="auto" w:before="1"/>
        <w:ind w:left="117" w:right="101" w:firstLine="0"/>
        <w:jc w:val="both"/>
        <w:rPr>
          <w:rFonts w:ascii="Calibri" w:hAnsi="Calibri"/>
          <w:sz w:val="17"/>
        </w:rPr>
      </w:pPr>
      <w:r>
        <w:rPr>
          <w:rFonts w:ascii="Calibri" w:hAnsi="Calibri"/>
          <w:color w:val="231F20"/>
          <w:w w:val="105"/>
          <w:position w:val="6"/>
          <w:sz w:val="10"/>
        </w:rPr>
        <w:t>83</w:t>
      </w:r>
      <w:r>
        <w:rPr>
          <w:rFonts w:ascii="Calibri" w:hAnsi="Calibri"/>
          <w:color w:val="231F20"/>
          <w:spacing w:val="-8"/>
          <w:w w:val="105"/>
          <w:position w:val="6"/>
          <w:sz w:val="10"/>
        </w:rPr>
        <w:t> </w:t>
      </w:r>
      <w:r>
        <w:rPr>
          <w:rFonts w:ascii="Calibri" w:hAnsi="Calibri"/>
          <w:color w:val="231F20"/>
          <w:w w:val="105"/>
          <w:sz w:val="17"/>
        </w:rPr>
        <w:t>Jayasuriya,</w:t>
      </w:r>
      <w:r>
        <w:rPr>
          <w:rFonts w:ascii="Calibri" w:hAnsi="Calibri"/>
          <w:color w:val="231F20"/>
          <w:spacing w:val="-25"/>
          <w:w w:val="105"/>
          <w:sz w:val="17"/>
        </w:rPr>
        <w:t> </w:t>
      </w:r>
      <w:r>
        <w:rPr>
          <w:rFonts w:ascii="Calibri" w:hAnsi="Calibri"/>
          <w:i/>
          <w:color w:val="231F20"/>
          <w:w w:val="105"/>
          <w:sz w:val="17"/>
        </w:rPr>
        <w:t>Reconstituting</w:t>
      </w:r>
      <w:r>
        <w:rPr>
          <w:rFonts w:ascii="Calibri" w:hAnsi="Calibri"/>
          <w:i/>
          <w:color w:val="231F20"/>
          <w:spacing w:val="-26"/>
          <w:w w:val="105"/>
          <w:sz w:val="17"/>
        </w:rPr>
        <w:t> </w:t>
      </w:r>
      <w:r>
        <w:rPr>
          <w:rFonts w:ascii="Calibri" w:hAnsi="Calibri"/>
          <w:i/>
          <w:color w:val="231F20"/>
          <w:w w:val="105"/>
          <w:sz w:val="17"/>
        </w:rPr>
        <w:t>the</w:t>
      </w:r>
      <w:r>
        <w:rPr>
          <w:rFonts w:ascii="Calibri" w:hAnsi="Calibri"/>
          <w:i/>
          <w:color w:val="231F20"/>
          <w:spacing w:val="-26"/>
          <w:w w:val="105"/>
          <w:sz w:val="17"/>
        </w:rPr>
        <w:t> </w:t>
      </w:r>
      <w:r>
        <w:rPr>
          <w:rFonts w:ascii="Calibri" w:hAnsi="Calibri"/>
          <w:i/>
          <w:color w:val="231F20"/>
          <w:w w:val="105"/>
          <w:sz w:val="17"/>
        </w:rPr>
        <w:t>Global</w:t>
      </w:r>
      <w:r>
        <w:rPr>
          <w:rFonts w:ascii="Calibri" w:hAnsi="Calibri"/>
          <w:i/>
          <w:color w:val="231F20"/>
          <w:spacing w:val="-26"/>
          <w:w w:val="105"/>
          <w:sz w:val="17"/>
        </w:rPr>
        <w:t> </w:t>
      </w:r>
      <w:r>
        <w:rPr>
          <w:rFonts w:ascii="Calibri" w:hAnsi="Calibri"/>
          <w:i/>
          <w:color w:val="231F20"/>
          <w:w w:val="105"/>
          <w:sz w:val="17"/>
        </w:rPr>
        <w:t>Liberal</w:t>
      </w:r>
      <w:r>
        <w:rPr>
          <w:rFonts w:ascii="Calibri" w:hAnsi="Calibri"/>
          <w:i/>
          <w:color w:val="231F20"/>
          <w:spacing w:val="-26"/>
          <w:w w:val="105"/>
          <w:sz w:val="17"/>
        </w:rPr>
        <w:t> </w:t>
      </w:r>
      <w:r>
        <w:rPr>
          <w:rFonts w:ascii="Calibri" w:hAnsi="Calibri"/>
          <w:i/>
          <w:color w:val="231F20"/>
          <w:w w:val="105"/>
          <w:sz w:val="17"/>
        </w:rPr>
        <w:t>Order</w:t>
      </w:r>
      <w:r>
        <w:rPr>
          <w:rFonts w:ascii="Calibri" w:hAnsi="Calibri"/>
          <w:color w:val="231F20"/>
          <w:w w:val="105"/>
          <w:sz w:val="17"/>
        </w:rPr>
        <w:t>,</w:t>
      </w:r>
      <w:r>
        <w:rPr>
          <w:rFonts w:ascii="Calibri" w:hAnsi="Calibri"/>
          <w:color w:val="231F20"/>
          <w:spacing w:val="-25"/>
          <w:w w:val="105"/>
          <w:sz w:val="17"/>
        </w:rPr>
        <w:t> </w:t>
      </w:r>
      <w:r>
        <w:rPr>
          <w:rFonts w:ascii="Calibri" w:hAnsi="Calibri"/>
          <w:color w:val="231F20"/>
          <w:w w:val="105"/>
          <w:sz w:val="17"/>
        </w:rPr>
        <w:t>pp.</w:t>
      </w:r>
      <w:r>
        <w:rPr>
          <w:rFonts w:ascii="Calibri" w:hAnsi="Calibri"/>
          <w:color w:val="231F20"/>
          <w:spacing w:val="-25"/>
          <w:w w:val="105"/>
          <w:sz w:val="17"/>
        </w:rPr>
        <w:t> </w:t>
      </w:r>
      <w:r>
        <w:rPr>
          <w:rFonts w:ascii="Calibri" w:hAnsi="Calibri"/>
          <w:color w:val="231F20"/>
          <w:w w:val="105"/>
          <w:sz w:val="17"/>
        </w:rPr>
        <w:t>69–70.</w:t>
      </w:r>
      <w:r>
        <w:rPr>
          <w:rFonts w:ascii="Calibri" w:hAnsi="Calibri"/>
          <w:color w:val="231F20"/>
          <w:spacing w:val="-25"/>
          <w:w w:val="105"/>
          <w:sz w:val="17"/>
        </w:rPr>
        <w:t> </w:t>
      </w:r>
      <w:r>
        <w:rPr>
          <w:rFonts w:ascii="Calibri" w:hAnsi="Calibri"/>
          <w:color w:val="231F20"/>
          <w:w w:val="105"/>
          <w:sz w:val="17"/>
        </w:rPr>
        <w:t>Como</w:t>
      </w:r>
      <w:r>
        <w:rPr>
          <w:rFonts w:ascii="Calibri" w:hAnsi="Calibri"/>
          <w:color w:val="231F20"/>
          <w:spacing w:val="-25"/>
          <w:w w:val="105"/>
          <w:sz w:val="17"/>
        </w:rPr>
        <w:t> </w:t>
      </w:r>
      <w:r>
        <w:rPr>
          <w:rFonts w:ascii="Calibri" w:hAnsi="Calibri"/>
          <w:color w:val="231F20"/>
          <w:w w:val="105"/>
          <w:sz w:val="17"/>
        </w:rPr>
        <w:t>recuerda</w:t>
      </w:r>
      <w:r>
        <w:rPr>
          <w:rFonts w:ascii="Calibri" w:hAnsi="Calibri"/>
          <w:color w:val="231F20"/>
          <w:spacing w:val="-25"/>
          <w:w w:val="105"/>
          <w:sz w:val="17"/>
        </w:rPr>
        <w:t> </w:t>
      </w:r>
      <w:r>
        <w:rPr>
          <w:rFonts w:ascii="Calibri" w:hAnsi="Calibri"/>
          <w:color w:val="231F20"/>
          <w:w w:val="105"/>
          <w:sz w:val="17"/>
        </w:rPr>
        <w:t>Keohane,</w:t>
      </w:r>
      <w:r>
        <w:rPr>
          <w:rFonts w:ascii="Calibri" w:hAnsi="Calibri"/>
          <w:color w:val="231F20"/>
          <w:spacing w:val="-25"/>
          <w:w w:val="105"/>
          <w:sz w:val="17"/>
        </w:rPr>
        <w:t> </w:t>
      </w:r>
      <w:r>
        <w:rPr>
          <w:rFonts w:ascii="Calibri" w:hAnsi="Calibri"/>
          <w:color w:val="231F20"/>
          <w:w w:val="105"/>
          <w:sz w:val="17"/>
        </w:rPr>
        <w:t>“Political authority</w:t>
      </w:r>
      <w:r>
        <w:rPr>
          <w:rFonts w:ascii="Calibri" w:hAnsi="Calibri"/>
          <w:color w:val="231F20"/>
          <w:spacing w:val="-18"/>
          <w:w w:val="105"/>
          <w:sz w:val="17"/>
        </w:rPr>
        <w:t> </w:t>
      </w:r>
      <w:r>
        <w:rPr>
          <w:rFonts w:ascii="Calibri" w:hAnsi="Calibri"/>
          <w:color w:val="231F20"/>
          <w:w w:val="105"/>
          <w:sz w:val="17"/>
        </w:rPr>
        <w:t>after</w:t>
      </w:r>
      <w:r>
        <w:rPr>
          <w:rFonts w:ascii="Calibri" w:hAnsi="Calibri"/>
          <w:color w:val="231F20"/>
          <w:spacing w:val="-18"/>
          <w:w w:val="105"/>
          <w:sz w:val="17"/>
        </w:rPr>
        <w:t> </w:t>
      </w:r>
      <w:r>
        <w:rPr>
          <w:rFonts w:ascii="Calibri" w:hAnsi="Calibri"/>
          <w:color w:val="231F20"/>
          <w:w w:val="105"/>
          <w:sz w:val="17"/>
        </w:rPr>
        <w:t>intervention”,</w:t>
      </w:r>
      <w:r>
        <w:rPr>
          <w:rFonts w:ascii="Calibri" w:hAnsi="Calibri"/>
          <w:color w:val="231F20"/>
          <w:spacing w:val="-18"/>
          <w:w w:val="105"/>
          <w:sz w:val="17"/>
        </w:rPr>
        <w:t> </w:t>
      </w:r>
      <w:r>
        <w:rPr>
          <w:rFonts w:ascii="Calibri" w:hAnsi="Calibri"/>
          <w:color w:val="231F20"/>
          <w:w w:val="105"/>
          <w:sz w:val="17"/>
        </w:rPr>
        <w:t>p.</w:t>
      </w:r>
      <w:r>
        <w:rPr>
          <w:rFonts w:ascii="Calibri" w:hAnsi="Calibri"/>
          <w:color w:val="231F20"/>
          <w:spacing w:val="5"/>
          <w:w w:val="105"/>
          <w:sz w:val="17"/>
        </w:rPr>
        <w:t> </w:t>
      </w:r>
      <w:r>
        <w:rPr>
          <w:rFonts w:ascii="Calibri" w:hAnsi="Calibri"/>
          <w:color w:val="231F20"/>
          <w:w w:val="105"/>
          <w:sz w:val="17"/>
        </w:rPr>
        <w:t>288,</w:t>
      </w:r>
      <w:r>
        <w:rPr>
          <w:rFonts w:ascii="Calibri" w:hAnsi="Calibri"/>
          <w:color w:val="231F20"/>
          <w:spacing w:val="-18"/>
          <w:w w:val="105"/>
          <w:sz w:val="17"/>
        </w:rPr>
        <w:t> </w:t>
      </w:r>
      <w:r>
        <w:rPr>
          <w:rFonts w:ascii="Calibri" w:hAnsi="Calibri"/>
          <w:color w:val="231F20"/>
          <w:w w:val="105"/>
          <w:sz w:val="17"/>
        </w:rPr>
        <w:t>en</w:t>
      </w:r>
      <w:r>
        <w:rPr>
          <w:rFonts w:ascii="Calibri" w:hAnsi="Calibri"/>
          <w:color w:val="231F20"/>
          <w:spacing w:val="-18"/>
          <w:w w:val="105"/>
          <w:sz w:val="17"/>
        </w:rPr>
        <w:t> </w:t>
      </w:r>
      <w:r>
        <w:rPr>
          <w:rFonts w:ascii="Calibri" w:hAnsi="Calibri"/>
          <w:color w:val="231F20"/>
          <w:w w:val="105"/>
          <w:sz w:val="17"/>
        </w:rPr>
        <w:t>esta</w:t>
      </w:r>
      <w:r>
        <w:rPr>
          <w:rFonts w:ascii="Calibri" w:hAnsi="Calibri"/>
          <w:color w:val="231F20"/>
          <w:spacing w:val="-18"/>
          <w:w w:val="105"/>
          <w:sz w:val="17"/>
        </w:rPr>
        <w:t> </w:t>
      </w:r>
      <w:r>
        <w:rPr>
          <w:rFonts w:ascii="Calibri" w:hAnsi="Calibri"/>
          <w:color w:val="231F20"/>
          <w:w w:val="105"/>
          <w:sz w:val="17"/>
        </w:rPr>
        <w:t>concepción,</w:t>
      </w:r>
      <w:r>
        <w:rPr>
          <w:rFonts w:ascii="Calibri" w:hAnsi="Calibri"/>
          <w:color w:val="231F20"/>
          <w:spacing w:val="-18"/>
          <w:w w:val="105"/>
          <w:sz w:val="17"/>
        </w:rPr>
        <w:t> </w:t>
      </w:r>
      <w:r>
        <w:rPr>
          <w:rFonts w:ascii="Calibri" w:hAnsi="Calibri"/>
          <w:color w:val="231F20"/>
          <w:w w:val="105"/>
          <w:sz w:val="17"/>
        </w:rPr>
        <w:t>en</w:t>
      </w:r>
      <w:r>
        <w:rPr>
          <w:rFonts w:ascii="Calibri" w:hAnsi="Calibri"/>
          <w:color w:val="231F20"/>
          <w:spacing w:val="-18"/>
          <w:w w:val="105"/>
          <w:sz w:val="17"/>
        </w:rPr>
        <w:t> </w:t>
      </w:r>
      <w:r>
        <w:rPr>
          <w:rFonts w:ascii="Calibri" w:hAnsi="Calibri"/>
          <w:color w:val="231F20"/>
          <w:w w:val="105"/>
          <w:sz w:val="17"/>
        </w:rPr>
        <w:t>efecto,</w:t>
      </w:r>
      <w:r>
        <w:rPr>
          <w:rFonts w:ascii="Calibri" w:hAnsi="Calibri"/>
          <w:color w:val="231F20"/>
          <w:spacing w:val="-18"/>
          <w:w w:val="105"/>
          <w:sz w:val="17"/>
        </w:rPr>
        <w:t> </w:t>
      </w:r>
      <w:r>
        <w:rPr>
          <w:rFonts w:ascii="Calibri" w:hAnsi="Calibri"/>
          <w:i/>
          <w:color w:val="231F20"/>
          <w:w w:val="105"/>
          <w:sz w:val="17"/>
        </w:rPr>
        <w:t>“</w:t>
      </w:r>
      <w:r>
        <w:rPr>
          <w:rFonts w:ascii="Calibri" w:hAnsi="Calibri"/>
          <w:color w:val="231F20"/>
          <w:w w:val="105"/>
          <w:sz w:val="17"/>
        </w:rPr>
        <w:t>external</w:t>
      </w:r>
      <w:r>
        <w:rPr>
          <w:rFonts w:ascii="Calibri" w:hAnsi="Calibri"/>
          <w:color w:val="231F20"/>
          <w:spacing w:val="-18"/>
          <w:w w:val="105"/>
          <w:sz w:val="17"/>
        </w:rPr>
        <w:t> </w:t>
      </w:r>
      <w:r>
        <w:rPr>
          <w:rFonts w:ascii="Calibri" w:hAnsi="Calibri"/>
          <w:color w:val="231F20"/>
          <w:w w:val="105"/>
          <w:sz w:val="17"/>
        </w:rPr>
        <w:t>authority</w:t>
      </w:r>
      <w:r>
        <w:rPr>
          <w:rFonts w:ascii="Calibri" w:hAnsi="Calibri"/>
          <w:color w:val="231F20"/>
          <w:spacing w:val="-18"/>
          <w:w w:val="105"/>
          <w:sz w:val="17"/>
        </w:rPr>
        <w:t> </w:t>
      </w:r>
      <w:r>
        <w:rPr>
          <w:rFonts w:ascii="Calibri" w:hAnsi="Calibri"/>
          <w:color w:val="231F20"/>
          <w:w w:val="105"/>
          <w:sz w:val="17"/>
        </w:rPr>
        <w:t>structures […] play some role in the decision–making process of all states, even the United States (as the dispute</w:t>
      </w:r>
      <w:r>
        <w:rPr>
          <w:rFonts w:ascii="Calibri" w:hAnsi="Calibri"/>
          <w:color w:val="231F20"/>
          <w:spacing w:val="-6"/>
          <w:w w:val="105"/>
          <w:sz w:val="17"/>
        </w:rPr>
        <w:t> </w:t>
      </w:r>
      <w:r>
        <w:rPr>
          <w:rFonts w:ascii="Calibri" w:hAnsi="Calibri"/>
          <w:color w:val="231F20"/>
          <w:w w:val="105"/>
          <w:sz w:val="17"/>
        </w:rPr>
        <w:t>settlement</w:t>
      </w:r>
      <w:r>
        <w:rPr>
          <w:rFonts w:ascii="Calibri" w:hAnsi="Calibri"/>
          <w:color w:val="231F20"/>
          <w:spacing w:val="-6"/>
          <w:w w:val="105"/>
          <w:sz w:val="17"/>
        </w:rPr>
        <w:t> </w:t>
      </w:r>
      <w:r>
        <w:rPr>
          <w:rFonts w:ascii="Calibri" w:hAnsi="Calibri"/>
          <w:color w:val="231F20"/>
          <w:w w:val="105"/>
          <w:sz w:val="17"/>
        </w:rPr>
        <w:t>process</w:t>
      </w:r>
      <w:r>
        <w:rPr>
          <w:rFonts w:ascii="Calibri" w:hAnsi="Calibri"/>
          <w:color w:val="231F20"/>
          <w:spacing w:val="-6"/>
          <w:w w:val="105"/>
          <w:sz w:val="17"/>
        </w:rPr>
        <w:t> </w:t>
      </w:r>
      <w:r>
        <w:rPr>
          <w:rFonts w:ascii="Calibri" w:hAnsi="Calibri"/>
          <w:color w:val="231F20"/>
          <w:w w:val="105"/>
          <w:sz w:val="17"/>
        </w:rPr>
        <w:t>of</w:t>
      </w:r>
      <w:r>
        <w:rPr>
          <w:rFonts w:ascii="Calibri" w:hAnsi="Calibri"/>
          <w:color w:val="231F20"/>
          <w:spacing w:val="-6"/>
          <w:w w:val="105"/>
          <w:sz w:val="17"/>
        </w:rPr>
        <w:t> </w:t>
      </w:r>
      <w:r>
        <w:rPr>
          <w:rFonts w:ascii="Calibri" w:hAnsi="Calibri"/>
          <w:color w:val="231F20"/>
          <w:w w:val="105"/>
          <w:sz w:val="17"/>
        </w:rPr>
        <w:t>the</w:t>
      </w:r>
      <w:r>
        <w:rPr>
          <w:rFonts w:ascii="Calibri" w:hAnsi="Calibri"/>
          <w:color w:val="231F20"/>
          <w:spacing w:val="-9"/>
          <w:w w:val="105"/>
          <w:sz w:val="17"/>
        </w:rPr>
        <w:t> </w:t>
      </w:r>
      <w:r>
        <w:rPr>
          <w:rFonts w:ascii="Calibri" w:hAnsi="Calibri"/>
          <w:color w:val="231F20"/>
          <w:w w:val="105"/>
          <w:sz w:val="17"/>
        </w:rPr>
        <w:t>WTO</w:t>
      </w:r>
      <w:r>
        <w:rPr>
          <w:rFonts w:ascii="Calibri" w:hAnsi="Calibri"/>
          <w:color w:val="231F20"/>
          <w:spacing w:val="-6"/>
          <w:w w:val="105"/>
          <w:sz w:val="17"/>
        </w:rPr>
        <w:t> </w:t>
      </w:r>
      <w:r>
        <w:rPr>
          <w:rFonts w:ascii="Calibri" w:hAnsi="Calibri"/>
          <w:color w:val="231F20"/>
          <w:w w:val="105"/>
          <w:sz w:val="17"/>
        </w:rPr>
        <w:t>shows).Where</w:t>
      </w:r>
      <w:r>
        <w:rPr>
          <w:rFonts w:ascii="Calibri" w:hAnsi="Calibri"/>
          <w:color w:val="231F20"/>
          <w:spacing w:val="-6"/>
          <w:w w:val="105"/>
          <w:sz w:val="17"/>
        </w:rPr>
        <w:t> </w:t>
      </w:r>
      <w:r>
        <w:rPr>
          <w:rFonts w:ascii="Calibri" w:hAnsi="Calibri"/>
          <w:color w:val="231F20"/>
          <w:w w:val="105"/>
          <w:sz w:val="17"/>
        </w:rPr>
        <w:t>strong</w:t>
      </w:r>
      <w:r>
        <w:rPr>
          <w:rFonts w:ascii="Calibri" w:hAnsi="Calibri"/>
          <w:color w:val="231F20"/>
          <w:spacing w:val="-6"/>
          <w:w w:val="105"/>
          <w:sz w:val="17"/>
        </w:rPr>
        <w:t> </w:t>
      </w:r>
      <w:r>
        <w:rPr>
          <w:rFonts w:ascii="Calibri" w:hAnsi="Calibri"/>
          <w:color w:val="231F20"/>
          <w:w w:val="105"/>
          <w:sz w:val="17"/>
        </w:rPr>
        <w:t>supranational</w:t>
      </w:r>
      <w:r>
        <w:rPr>
          <w:rFonts w:ascii="Calibri" w:hAnsi="Calibri"/>
          <w:color w:val="231F20"/>
          <w:spacing w:val="-6"/>
          <w:w w:val="105"/>
          <w:sz w:val="17"/>
        </w:rPr>
        <w:t> </w:t>
      </w:r>
      <w:r>
        <w:rPr>
          <w:rFonts w:ascii="Calibri" w:hAnsi="Calibri"/>
          <w:color w:val="231F20"/>
          <w:w w:val="105"/>
          <w:sz w:val="17"/>
        </w:rPr>
        <w:t>authority</w:t>
      </w:r>
      <w:r>
        <w:rPr>
          <w:rFonts w:ascii="Calibri" w:hAnsi="Calibri"/>
          <w:color w:val="231F20"/>
          <w:spacing w:val="-6"/>
          <w:w w:val="105"/>
          <w:sz w:val="17"/>
        </w:rPr>
        <w:t> </w:t>
      </w:r>
      <w:r>
        <w:rPr>
          <w:rFonts w:ascii="Calibri" w:hAnsi="Calibri"/>
          <w:color w:val="231F20"/>
          <w:w w:val="105"/>
          <w:sz w:val="17"/>
        </w:rPr>
        <w:t>structures exist,</w:t>
      </w:r>
      <w:r>
        <w:rPr>
          <w:rFonts w:ascii="Calibri" w:hAnsi="Calibri"/>
          <w:color w:val="231F20"/>
          <w:spacing w:val="-11"/>
          <w:w w:val="105"/>
          <w:sz w:val="17"/>
        </w:rPr>
        <w:t> </w:t>
      </w:r>
      <w:r>
        <w:rPr>
          <w:rFonts w:ascii="Calibri" w:hAnsi="Calibri"/>
          <w:color w:val="231F20"/>
          <w:w w:val="105"/>
          <w:sz w:val="17"/>
        </w:rPr>
        <w:t>states</w:t>
      </w:r>
      <w:r>
        <w:rPr>
          <w:rFonts w:ascii="Calibri" w:hAnsi="Calibri"/>
          <w:color w:val="231F20"/>
          <w:spacing w:val="-11"/>
          <w:w w:val="105"/>
          <w:sz w:val="17"/>
        </w:rPr>
        <w:t> </w:t>
      </w:r>
      <w:r>
        <w:rPr>
          <w:rFonts w:ascii="Calibri" w:hAnsi="Calibri"/>
          <w:color w:val="231F20"/>
          <w:w w:val="105"/>
          <w:sz w:val="17"/>
        </w:rPr>
        <w:t>can</w:t>
      </w:r>
      <w:r>
        <w:rPr>
          <w:rFonts w:ascii="Calibri" w:hAnsi="Calibri"/>
          <w:color w:val="231F20"/>
          <w:spacing w:val="-11"/>
          <w:w w:val="105"/>
          <w:sz w:val="17"/>
        </w:rPr>
        <w:t> </w:t>
      </w:r>
      <w:r>
        <w:rPr>
          <w:rFonts w:ascii="Calibri" w:hAnsi="Calibri"/>
          <w:color w:val="231F20"/>
          <w:w w:val="105"/>
          <w:sz w:val="17"/>
        </w:rPr>
        <w:t>afford</w:t>
      </w:r>
      <w:r>
        <w:rPr>
          <w:rFonts w:ascii="Calibri" w:hAnsi="Calibri"/>
          <w:color w:val="231F20"/>
          <w:spacing w:val="-11"/>
          <w:w w:val="105"/>
          <w:sz w:val="17"/>
        </w:rPr>
        <w:t> </w:t>
      </w:r>
      <w:r>
        <w:rPr>
          <w:rFonts w:ascii="Calibri" w:hAnsi="Calibri"/>
          <w:color w:val="231F20"/>
          <w:w w:val="105"/>
          <w:sz w:val="17"/>
        </w:rPr>
        <w:t>to</w:t>
      </w:r>
      <w:r>
        <w:rPr>
          <w:rFonts w:ascii="Calibri" w:hAnsi="Calibri"/>
          <w:color w:val="231F20"/>
          <w:spacing w:val="-11"/>
          <w:w w:val="105"/>
          <w:sz w:val="17"/>
        </w:rPr>
        <w:t> </w:t>
      </w:r>
      <w:r>
        <w:rPr>
          <w:rFonts w:ascii="Calibri" w:hAnsi="Calibri"/>
          <w:color w:val="231F20"/>
          <w:w w:val="105"/>
          <w:sz w:val="17"/>
        </w:rPr>
        <w:t>accept</w:t>
      </w:r>
      <w:r>
        <w:rPr>
          <w:rFonts w:ascii="Calibri" w:hAnsi="Calibri"/>
          <w:color w:val="231F20"/>
          <w:spacing w:val="-11"/>
          <w:w w:val="105"/>
          <w:sz w:val="17"/>
        </w:rPr>
        <w:t> </w:t>
      </w:r>
      <w:r>
        <w:rPr>
          <w:rFonts w:ascii="Calibri" w:hAnsi="Calibri"/>
          <w:color w:val="231F20"/>
          <w:w w:val="105"/>
          <w:sz w:val="17"/>
        </w:rPr>
        <w:t>less</w:t>
      </w:r>
      <w:r>
        <w:rPr>
          <w:rFonts w:ascii="Calibri" w:hAnsi="Calibri"/>
          <w:color w:val="231F20"/>
          <w:spacing w:val="-11"/>
          <w:w w:val="105"/>
          <w:sz w:val="17"/>
        </w:rPr>
        <w:t> </w:t>
      </w:r>
      <w:r>
        <w:rPr>
          <w:rFonts w:ascii="Calibri" w:hAnsi="Calibri"/>
          <w:color w:val="231F20"/>
          <w:w w:val="105"/>
          <w:sz w:val="17"/>
        </w:rPr>
        <w:t>external</w:t>
      </w:r>
      <w:r>
        <w:rPr>
          <w:rFonts w:ascii="Calibri" w:hAnsi="Calibri"/>
          <w:color w:val="231F20"/>
          <w:spacing w:val="-11"/>
          <w:w w:val="105"/>
          <w:sz w:val="17"/>
        </w:rPr>
        <w:t> </w:t>
      </w:r>
      <w:r>
        <w:rPr>
          <w:rFonts w:ascii="Calibri" w:hAnsi="Calibri"/>
          <w:color w:val="231F20"/>
          <w:w w:val="105"/>
          <w:sz w:val="17"/>
        </w:rPr>
        <w:t>sovereignty,</w:t>
      </w:r>
      <w:r>
        <w:rPr>
          <w:rFonts w:ascii="Calibri" w:hAnsi="Calibri"/>
          <w:color w:val="231F20"/>
          <w:spacing w:val="-11"/>
          <w:w w:val="105"/>
          <w:sz w:val="17"/>
        </w:rPr>
        <w:t> </w:t>
      </w:r>
      <w:r>
        <w:rPr>
          <w:rFonts w:ascii="Calibri" w:hAnsi="Calibri"/>
          <w:color w:val="231F20"/>
          <w:w w:val="105"/>
          <w:sz w:val="17"/>
        </w:rPr>
        <w:t>since</w:t>
      </w:r>
      <w:r>
        <w:rPr>
          <w:rFonts w:ascii="Calibri" w:hAnsi="Calibri"/>
          <w:color w:val="231F20"/>
          <w:spacing w:val="-11"/>
          <w:w w:val="105"/>
          <w:sz w:val="17"/>
        </w:rPr>
        <w:t> </w:t>
      </w:r>
      <w:r>
        <w:rPr>
          <w:rFonts w:ascii="Calibri" w:hAnsi="Calibri"/>
          <w:color w:val="231F20"/>
          <w:w w:val="105"/>
          <w:sz w:val="17"/>
        </w:rPr>
        <w:t>they</w:t>
      </w:r>
      <w:r>
        <w:rPr>
          <w:rFonts w:ascii="Calibri" w:hAnsi="Calibri"/>
          <w:color w:val="231F20"/>
          <w:spacing w:val="-11"/>
          <w:w w:val="105"/>
          <w:sz w:val="17"/>
        </w:rPr>
        <w:t> </w:t>
      </w:r>
      <w:r>
        <w:rPr>
          <w:rFonts w:ascii="Calibri" w:hAnsi="Calibri"/>
          <w:color w:val="231F20"/>
          <w:w w:val="105"/>
          <w:sz w:val="17"/>
        </w:rPr>
        <w:t>are</w:t>
      </w:r>
      <w:r>
        <w:rPr>
          <w:rFonts w:ascii="Calibri" w:hAnsi="Calibri"/>
          <w:color w:val="231F20"/>
          <w:spacing w:val="-11"/>
          <w:w w:val="105"/>
          <w:sz w:val="17"/>
        </w:rPr>
        <w:t> </w:t>
      </w:r>
      <w:r>
        <w:rPr>
          <w:rFonts w:ascii="Calibri" w:hAnsi="Calibri"/>
          <w:color w:val="231F20"/>
          <w:w w:val="105"/>
          <w:sz w:val="17"/>
        </w:rPr>
        <w:t>protected</w:t>
      </w:r>
      <w:r>
        <w:rPr>
          <w:rFonts w:ascii="Calibri" w:hAnsi="Calibri"/>
          <w:color w:val="231F20"/>
          <w:spacing w:val="-11"/>
          <w:w w:val="105"/>
          <w:sz w:val="17"/>
        </w:rPr>
        <w:t> </w:t>
      </w:r>
      <w:r>
        <w:rPr>
          <w:rFonts w:ascii="Calibri" w:hAnsi="Calibri"/>
          <w:color w:val="231F20"/>
          <w:w w:val="105"/>
          <w:sz w:val="17"/>
        </w:rPr>
        <w:t>by</w:t>
      </w:r>
      <w:r>
        <w:rPr>
          <w:rFonts w:ascii="Calibri" w:hAnsi="Calibri"/>
          <w:color w:val="231F20"/>
          <w:spacing w:val="-11"/>
          <w:w w:val="105"/>
          <w:sz w:val="17"/>
        </w:rPr>
        <w:t> </w:t>
      </w:r>
      <w:r>
        <w:rPr>
          <w:rFonts w:ascii="Calibri" w:hAnsi="Calibri"/>
          <w:color w:val="231F20"/>
          <w:w w:val="105"/>
          <w:sz w:val="17"/>
        </w:rPr>
        <w:t>their</w:t>
      </w:r>
      <w:r>
        <w:rPr>
          <w:rFonts w:ascii="Calibri" w:hAnsi="Calibri"/>
          <w:color w:val="231F20"/>
          <w:spacing w:val="-11"/>
          <w:w w:val="105"/>
          <w:sz w:val="17"/>
        </w:rPr>
        <w:t> </w:t>
      </w:r>
      <w:r>
        <w:rPr>
          <w:rFonts w:ascii="Calibri" w:hAnsi="Calibri"/>
          <w:color w:val="231F20"/>
          <w:w w:val="105"/>
          <w:sz w:val="17"/>
        </w:rPr>
        <w:t>parti- cipation</w:t>
      </w:r>
      <w:r>
        <w:rPr>
          <w:rFonts w:ascii="Calibri" w:hAnsi="Calibri"/>
          <w:color w:val="231F20"/>
          <w:spacing w:val="-12"/>
          <w:w w:val="105"/>
          <w:sz w:val="17"/>
        </w:rPr>
        <w:t> </w:t>
      </w:r>
      <w:r>
        <w:rPr>
          <w:rFonts w:ascii="Calibri" w:hAnsi="Calibri"/>
          <w:color w:val="231F20"/>
          <w:w w:val="105"/>
          <w:sz w:val="17"/>
        </w:rPr>
        <w:t>in</w:t>
      </w:r>
      <w:r>
        <w:rPr>
          <w:rFonts w:ascii="Calibri" w:hAnsi="Calibri"/>
          <w:color w:val="231F20"/>
          <w:spacing w:val="-12"/>
          <w:w w:val="105"/>
          <w:sz w:val="17"/>
        </w:rPr>
        <w:t> </w:t>
      </w:r>
      <w:r>
        <w:rPr>
          <w:rFonts w:ascii="Calibri" w:hAnsi="Calibri"/>
          <w:color w:val="231F20"/>
          <w:w w:val="105"/>
          <w:sz w:val="17"/>
        </w:rPr>
        <w:t>the</w:t>
      </w:r>
      <w:r>
        <w:rPr>
          <w:rFonts w:ascii="Calibri" w:hAnsi="Calibri"/>
          <w:color w:val="231F20"/>
          <w:spacing w:val="-12"/>
          <w:w w:val="105"/>
          <w:sz w:val="17"/>
        </w:rPr>
        <w:t> </w:t>
      </w:r>
      <w:r>
        <w:rPr>
          <w:rFonts w:ascii="Calibri" w:hAnsi="Calibri"/>
          <w:color w:val="231F20"/>
          <w:w w:val="105"/>
          <w:sz w:val="17"/>
        </w:rPr>
        <w:t>regional</w:t>
      </w:r>
      <w:r>
        <w:rPr>
          <w:rFonts w:ascii="Calibri" w:hAnsi="Calibri"/>
          <w:color w:val="231F20"/>
          <w:spacing w:val="-12"/>
          <w:w w:val="105"/>
          <w:sz w:val="17"/>
        </w:rPr>
        <w:t> </w:t>
      </w:r>
      <w:r>
        <w:rPr>
          <w:rFonts w:ascii="Calibri" w:hAnsi="Calibri"/>
          <w:color w:val="231F20"/>
          <w:w w:val="105"/>
          <w:sz w:val="17"/>
        </w:rPr>
        <w:t>structures,</w:t>
      </w:r>
      <w:r>
        <w:rPr>
          <w:rFonts w:ascii="Calibri" w:hAnsi="Calibri"/>
          <w:color w:val="231F20"/>
          <w:spacing w:val="-12"/>
          <w:w w:val="105"/>
          <w:sz w:val="17"/>
        </w:rPr>
        <w:t> </w:t>
      </w:r>
      <w:r>
        <w:rPr>
          <w:rFonts w:ascii="Calibri" w:hAnsi="Calibri"/>
          <w:color w:val="231F20"/>
          <w:w w:val="105"/>
          <w:sz w:val="17"/>
        </w:rPr>
        <w:t>and</w:t>
      </w:r>
      <w:r>
        <w:rPr>
          <w:rFonts w:ascii="Calibri" w:hAnsi="Calibri"/>
          <w:color w:val="231F20"/>
          <w:spacing w:val="-12"/>
          <w:w w:val="105"/>
          <w:sz w:val="17"/>
        </w:rPr>
        <w:t> </w:t>
      </w:r>
      <w:r>
        <w:rPr>
          <w:rFonts w:ascii="Calibri" w:hAnsi="Calibri"/>
          <w:color w:val="231F20"/>
          <w:w w:val="105"/>
          <w:sz w:val="17"/>
        </w:rPr>
        <w:t>by</w:t>
      </w:r>
      <w:r>
        <w:rPr>
          <w:rFonts w:ascii="Calibri" w:hAnsi="Calibri"/>
          <w:color w:val="231F20"/>
          <w:spacing w:val="-12"/>
          <w:w w:val="105"/>
          <w:sz w:val="17"/>
        </w:rPr>
        <w:t> </w:t>
      </w:r>
      <w:r>
        <w:rPr>
          <w:rFonts w:ascii="Calibri" w:hAnsi="Calibri"/>
          <w:color w:val="231F20"/>
          <w:w w:val="105"/>
          <w:sz w:val="17"/>
        </w:rPr>
        <w:t>the</w:t>
      </w:r>
      <w:r>
        <w:rPr>
          <w:rFonts w:ascii="Calibri" w:hAnsi="Calibri"/>
          <w:color w:val="231F20"/>
          <w:spacing w:val="-12"/>
          <w:w w:val="105"/>
          <w:sz w:val="17"/>
        </w:rPr>
        <w:t> </w:t>
      </w:r>
      <w:r>
        <w:rPr>
          <w:rFonts w:ascii="Calibri" w:hAnsi="Calibri"/>
          <w:color w:val="231F20"/>
          <w:w w:val="105"/>
          <w:sz w:val="17"/>
        </w:rPr>
        <w:t>constitutionalization</w:t>
      </w:r>
      <w:r>
        <w:rPr>
          <w:rFonts w:ascii="Calibri" w:hAnsi="Calibri"/>
          <w:color w:val="231F20"/>
          <w:spacing w:val="-12"/>
          <w:w w:val="105"/>
          <w:sz w:val="17"/>
        </w:rPr>
        <w:t> </w:t>
      </w:r>
      <w:r>
        <w:rPr>
          <w:rFonts w:ascii="Calibri" w:hAnsi="Calibri"/>
          <w:color w:val="231F20"/>
          <w:w w:val="105"/>
          <w:sz w:val="17"/>
        </w:rPr>
        <w:t>of</w:t>
      </w:r>
      <w:r>
        <w:rPr>
          <w:rFonts w:ascii="Calibri" w:hAnsi="Calibri"/>
          <w:color w:val="231F20"/>
          <w:spacing w:val="-12"/>
          <w:w w:val="105"/>
          <w:sz w:val="17"/>
        </w:rPr>
        <w:t> </w:t>
      </w:r>
      <w:r>
        <w:rPr>
          <w:rFonts w:ascii="Calibri" w:hAnsi="Calibri"/>
          <w:color w:val="231F20"/>
          <w:w w:val="105"/>
          <w:sz w:val="17"/>
        </w:rPr>
        <w:t>those</w:t>
      </w:r>
      <w:r>
        <w:rPr>
          <w:rFonts w:ascii="Calibri" w:hAnsi="Calibri"/>
          <w:color w:val="231F20"/>
          <w:spacing w:val="-12"/>
          <w:w w:val="105"/>
          <w:sz w:val="17"/>
        </w:rPr>
        <w:t> </w:t>
      </w:r>
      <w:r>
        <w:rPr>
          <w:rFonts w:ascii="Calibri" w:hAnsi="Calibri"/>
          <w:color w:val="231F20"/>
          <w:w w:val="105"/>
          <w:sz w:val="17"/>
        </w:rPr>
        <w:t>structures.</w:t>
      </w:r>
      <w:r>
        <w:rPr>
          <w:rFonts w:ascii="Calibri" w:hAnsi="Calibri"/>
          <w:color w:val="231F20"/>
          <w:spacing w:val="-12"/>
          <w:w w:val="105"/>
          <w:sz w:val="17"/>
        </w:rPr>
        <w:t> </w:t>
      </w:r>
      <w:r>
        <w:rPr>
          <w:rFonts w:ascii="Calibri" w:hAnsi="Calibri"/>
          <w:color w:val="231F20"/>
          <w:w w:val="105"/>
          <w:sz w:val="17"/>
        </w:rPr>
        <w:t>Accepting less</w:t>
      </w:r>
      <w:r>
        <w:rPr>
          <w:rFonts w:ascii="Calibri" w:hAnsi="Calibri"/>
          <w:color w:val="231F20"/>
          <w:spacing w:val="-12"/>
          <w:w w:val="105"/>
          <w:sz w:val="17"/>
        </w:rPr>
        <w:t> </w:t>
      </w:r>
      <w:r>
        <w:rPr>
          <w:rFonts w:ascii="Calibri" w:hAnsi="Calibri"/>
          <w:color w:val="231F20"/>
          <w:w w:val="105"/>
          <w:sz w:val="17"/>
        </w:rPr>
        <w:t>external</w:t>
      </w:r>
      <w:r>
        <w:rPr>
          <w:rFonts w:ascii="Calibri" w:hAnsi="Calibri"/>
          <w:color w:val="231F20"/>
          <w:spacing w:val="-12"/>
          <w:w w:val="105"/>
          <w:sz w:val="17"/>
        </w:rPr>
        <w:t> </w:t>
      </w:r>
      <w:r>
        <w:rPr>
          <w:rFonts w:ascii="Calibri" w:hAnsi="Calibri"/>
          <w:color w:val="231F20"/>
          <w:w w:val="105"/>
          <w:sz w:val="17"/>
        </w:rPr>
        <w:t>sovereignty</w:t>
      </w:r>
      <w:r>
        <w:rPr>
          <w:rFonts w:ascii="Calibri" w:hAnsi="Calibri"/>
          <w:color w:val="231F20"/>
          <w:spacing w:val="-12"/>
          <w:w w:val="105"/>
          <w:sz w:val="17"/>
        </w:rPr>
        <w:t> </w:t>
      </w:r>
      <w:r>
        <w:rPr>
          <w:rFonts w:ascii="Calibri" w:hAnsi="Calibri"/>
          <w:color w:val="231F20"/>
          <w:w w:val="105"/>
          <w:sz w:val="17"/>
        </w:rPr>
        <w:t>is</w:t>
      </w:r>
      <w:r>
        <w:rPr>
          <w:rFonts w:ascii="Calibri" w:hAnsi="Calibri"/>
          <w:color w:val="231F20"/>
          <w:spacing w:val="-12"/>
          <w:w w:val="105"/>
          <w:sz w:val="17"/>
        </w:rPr>
        <w:t> </w:t>
      </w:r>
      <w:r>
        <w:rPr>
          <w:rFonts w:ascii="Calibri" w:hAnsi="Calibri"/>
          <w:color w:val="231F20"/>
          <w:w w:val="105"/>
          <w:sz w:val="17"/>
        </w:rPr>
        <w:t>not,</w:t>
      </w:r>
      <w:r>
        <w:rPr>
          <w:rFonts w:ascii="Calibri" w:hAnsi="Calibri"/>
          <w:color w:val="231F20"/>
          <w:spacing w:val="-12"/>
          <w:w w:val="105"/>
          <w:sz w:val="17"/>
        </w:rPr>
        <w:t> </w:t>
      </w:r>
      <w:r>
        <w:rPr>
          <w:rFonts w:ascii="Calibri" w:hAnsi="Calibri"/>
          <w:color w:val="231F20"/>
          <w:w w:val="105"/>
          <w:sz w:val="17"/>
        </w:rPr>
        <w:t>therefore,</w:t>
      </w:r>
      <w:r>
        <w:rPr>
          <w:rFonts w:ascii="Calibri" w:hAnsi="Calibri"/>
          <w:color w:val="231F20"/>
          <w:spacing w:val="-12"/>
          <w:w w:val="105"/>
          <w:sz w:val="17"/>
        </w:rPr>
        <w:t> </w:t>
      </w:r>
      <w:r>
        <w:rPr>
          <w:rFonts w:ascii="Calibri" w:hAnsi="Calibri"/>
          <w:color w:val="231F20"/>
          <w:w w:val="105"/>
          <w:sz w:val="17"/>
        </w:rPr>
        <w:t>necessarily</w:t>
      </w:r>
      <w:r>
        <w:rPr>
          <w:rFonts w:ascii="Calibri" w:hAnsi="Calibri"/>
          <w:color w:val="231F20"/>
          <w:spacing w:val="-12"/>
          <w:w w:val="105"/>
          <w:sz w:val="17"/>
        </w:rPr>
        <w:t> </w:t>
      </w:r>
      <w:r>
        <w:rPr>
          <w:rFonts w:ascii="Calibri" w:hAnsi="Calibri"/>
          <w:color w:val="231F20"/>
          <w:w w:val="105"/>
          <w:sz w:val="17"/>
        </w:rPr>
        <w:t>a</w:t>
      </w:r>
      <w:r>
        <w:rPr>
          <w:rFonts w:ascii="Calibri" w:hAnsi="Calibri"/>
          <w:color w:val="231F20"/>
          <w:spacing w:val="-12"/>
          <w:w w:val="105"/>
          <w:sz w:val="17"/>
        </w:rPr>
        <w:t> </w:t>
      </w:r>
      <w:r>
        <w:rPr>
          <w:rFonts w:ascii="Calibri" w:hAnsi="Calibri"/>
          <w:color w:val="231F20"/>
          <w:w w:val="105"/>
          <w:sz w:val="17"/>
        </w:rPr>
        <w:t>mark</w:t>
      </w:r>
      <w:r>
        <w:rPr>
          <w:rFonts w:ascii="Calibri" w:hAnsi="Calibri"/>
          <w:color w:val="231F20"/>
          <w:spacing w:val="-12"/>
          <w:w w:val="105"/>
          <w:sz w:val="17"/>
        </w:rPr>
        <w:t> </w:t>
      </w:r>
      <w:r>
        <w:rPr>
          <w:rFonts w:ascii="Calibri" w:hAnsi="Calibri"/>
          <w:color w:val="231F20"/>
          <w:w w:val="105"/>
          <w:sz w:val="17"/>
        </w:rPr>
        <w:t>of</w:t>
      </w:r>
      <w:r>
        <w:rPr>
          <w:rFonts w:ascii="Calibri" w:hAnsi="Calibri"/>
          <w:color w:val="231F20"/>
          <w:spacing w:val="-13"/>
          <w:w w:val="105"/>
          <w:sz w:val="17"/>
        </w:rPr>
        <w:t> </w:t>
      </w:r>
      <w:r>
        <w:rPr>
          <w:rFonts w:ascii="Calibri" w:hAnsi="Calibri"/>
          <w:color w:val="231F20"/>
          <w:w w:val="105"/>
          <w:sz w:val="17"/>
        </w:rPr>
        <w:t>weakness.</w:t>
      </w:r>
      <w:r>
        <w:rPr>
          <w:rFonts w:ascii="Calibri" w:hAnsi="Calibri"/>
          <w:color w:val="231F20"/>
          <w:spacing w:val="-12"/>
          <w:w w:val="105"/>
          <w:sz w:val="17"/>
        </w:rPr>
        <w:t> </w:t>
      </w:r>
      <w:r>
        <w:rPr>
          <w:rFonts w:ascii="Calibri" w:hAnsi="Calibri"/>
          <w:color w:val="231F20"/>
          <w:w w:val="105"/>
          <w:sz w:val="17"/>
        </w:rPr>
        <w:t>On</w:t>
      </w:r>
      <w:r>
        <w:rPr>
          <w:rFonts w:ascii="Calibri" w:hAnsi="Calibri"/>
          <w:color w:val="231F20"/>
          <w:spacing w:val="-12"/>
          <w:w w:val="105"/>
          <w:sz w:val="17"/>
        </w:rPr>
        <w:t> </w:t>
      </w:r>
      <w:r>
        <w:rPr>
          <w:rFonts w:ascii="Calibri" w:hAnsi="Calibri"/>
          <w:color w:val="231F20"/>
          <w:w w:val="105"/>
          <w:sz w:val="17"/>
        </w:rPr>
        <w:t>the</w:t>
      </w:r>
      <w:r>
        <w:rPr>
          <w:rFonts w:ascii="Calibri" w:hAnsi="Calibri"/>
          <w:color w:val="231F20"/>
          <w:spacing w:val="-12"/>
          <w:w w:val="105"/>
          <w:sz w:val="17"/>
        </w:rPr>
        <w:t> </w:t>
      </w:r>
      <w:r>
        <w:rPr>
          <w:rFonts w:ascii="Calibri" w:hAnsi="Calibri"/>
          <w:color w:val="231F20"/>
          <w:w w:val="105"/>
          <w:sz w:val="17"/>
        </w:rPr>
        <w:t>contrary,</w:t>
      </w:r>
      <w:r>
        <w:rPr>
          <w:rFonts w:ascii="Calibri" w:hAnsi="Calibri"/>
          <w:color w:val="231F20"/>
          <w:spacing w:val="-12"/>
          <w:w w:val="105"/>
          <w:sz w:val="17"/>
        </w:rPr>
        <w:t> </w:t>
      </w:r>
      <w:r>
        <w:rPr>
          <w:rFonts w:ascii="Calibri" w:hAnsi="Calibri"/>
          <w:color w:val="231F20"/>
          <w:w w:val="105"/>
          <w:sz w:val="17"/>
        </w:rPr>
        <w:t>it</w:t>
      </w:r>
      <w:r>
        <w:rPr>
          <w:rFonts w:ascii="Calibri" w:hAnsi="Calibri"/>
          <w:color w:val="231F20"/>
          <w:spacing w:val="-12"/>
          <w:w w:val="105"/>
          <w:sz w:val="17"/>
        </w:rPr>
        <w:t> </w:t>
      </w:r>
      <w:r>
        <w:rPr>
          <w:rFonts w:ascii="Calibri" w:hAnsi="Calibri"/>
          <w:color w:val="231F20"/>
          <w:w w:val="105"/>
          <w:sz w:val="17"/>
        </w:rPr>
        <w:t>can be a mark of strength, and is entirely consistent with continuing international legal sovereignty and</w:t>
      </w:r>
      <w:r>
        <w:rPr>
          <w:rFonts w:ascii="Calibri" w:hAnsi="Calibri"/>
          <w:color w:val="231F20"/>
          <w:spacing w:val="-13"/>
          <w:w w:val="105"/>
          <w:sz w:val="17"/>
        </w:rPr>
        <w:t> </w:t>
      </w:r>
      <w:r>
        <w:rPr>
          <w:rFonts w:ascii="Calibri" w:hAnsi="Calibri"/>
          <w:color w:val="231F20"/>
          <w:w w:val="105"/>
          <w:sz w:val="17"/>
        </w:rPr>
        <w:t>domestic</w:t>
      </w:r>
      <w:r>
        <w:rPr>
          <w:rFonts w:ascii="Calibri" w:hAnsi="Calibri"/>
          <w:color w:val="231F20"/>
          <w:spacing w:val="-13"/>
          <w:w w:val="105"/>
          <w:sz w:val="17"/>
        </w:rPr>
        <w:t> </w:t>
      </w:r>
      <w:r>
        <w:rPr>
          <w:rFonts w:ascii="Calibri" w:hAnsi="Calibri"/>
          <w:color w:val="231F20"/>
          <w:w w:val="105"/>
          <w:sz w:val="17"/>
        </w:rPr>
        <w:t>sovereignty–the</w:t>
      </w:r>
      <w:r>
        <w:rPr>
          <w:rFonts w:ascii="Calibri" w:hAnsi="Calibri"/>
          <w:color w:val="231F20"/>
          <w:spacing w:val="-13"/>
          <w:w w:val="105"/>
          <w:sz w:val="17"/>
        </w:rPr>
        <w:t> </w:t>
      </w:r>
      <w:r>
        <w:rPr>
          <w:rFonts w:ascii="Calibri" w:hAnsi="Calibri"/>
          <w:color w:val="231F20"/>
          <w:w w:val="105"/>
          <w:sz w:val="17"/>
        </w:rPr>
        <w:t>maintenance</w:t>
      </w:r>
      <w:r>
        <w:rPr>
          <w:rFonts w:ascii="Calibri" w:hAnsi="Calibri"/>
          <w:color w:val="231F20"/>
          <w:spacing w:val="-13"/>
          <w:w w:val="105"/>
          <w:sz w:val="17"/>
        </w:rPr>
        <w:t> </w:t>
      </w:r>
      <w:r>
        <w:rPr>
          <w:rFonts w:ascii="Calibri" w:hAnsi="Calibri"/>
          <w:color w:val="231F20"/>
          <w:w w:val="105"/>
          <w:sz w:val="17"/>
        </w:rPr>
        <w:t>of</w:t>
      </w:r>
      <w:r>
        <w:rPr>
          <w:rFonts w:ascii="Calibri" w:hAnsi="Calibri"/>
          <w:color w:val="231F20"/>
          <w:spacing w:val="-13"/>
          <w:w w:val="105"/>
          <w:sz w:val="17"/>
        </w:rPr>
        <w:t> </w:t>
      </w:r>
      <w:r>
        <w:rPr>
          <w:rFonts w:ascii="Calibri" w:hAnsi="Calibri"/>
          <w:color w:val="231F20"/>
          <w:w w:val="105"/>
          <w:sz w:val="17"/>
        </w:rPr>
        <w:t>coherent,</w:t>
      </w:r>
      <w:r>
        <w:rPr>
          <w:rFonts w:ascii="Calibri" w:hAnsi="Calibri"/>
          <w:color w:val="231F20"/>
          <w:spacing w:val="-13"/>
          <w:w w:val="105"/>
          <w:sz w:val="17"/>
        </w:rPr>
        <w:t> </w:t>
      </w:r>
      <w:r>
        <w:rPr>
          <w:rFonts w:ascii="Calibri" w:hAnsi="Calibri"/>
          <w:color w:val="231F20"/>
          <w:w w:val="105"/>
          <w:sz w:val="17"/>
        </w:rPr>
        <w:t>purposive</w:t>
      </w:r>
      <w:r>
        <w:rPr>
          <w:rFonts w:ascii="Calibri" w:hAnsi="Calibri"/>
          <w:color w:val="231F20"/>
          <w:spacing w:val="-13"/>
          <w:w w:val="105"/>
          <w:sz w:val="17"/>
        </w:rPr>
        <w:t> </w:t>
      </w:r>
      <w:r>
        <w:rPr>
          <w:rFonts w:ascii="Calibri" w:hAnsi="Calibri"/>
          <w:color w:val="231F20"/>
          <w:w w:val="105"/>
          <w:sz w:val="17"/>
        </w:rPr>
        <w:t>ordering</w:t>
      </w:r>
      <w:r>
        <w:rPr>
          <w:rFonts w:ascii="Calibri" w:hAnsi="Calibri"/>
          <w:color w:val="231F20"/>
          <w:spacing w:val="-13"/>
          <w:w w:val="105"/>
          <w:sz w:val="17"/>
        </w:rPr>
        <w:t> </w:t>
      </w:r>
      <w:r>
        <w:rPr>
          <w:rFonts w:ascii="Calibri" w:hAnsi="Calibri"/>
          <w:color w:val="231F20"/>
          <w:w w:val="105"/>
          <w:sz w:val="17"/>
        </w:rPr>
        <w:t>of</w:t>
      </w:r>
      <w:r>
        <w:rPr>
          <w:rFonts w:ascii="Calibri" w:hAnsi="Calibri"/>
          <w:color w:val="231F20"/>
          <w:spacing w:val="-13"/>
          <w:w w:val="105"/>
          <w:sz w:val="17"/>
        </w:rPr>
        <w:t> </w:t>
      </w:r>
      <w:r>
        <w:rPr>
          <w:rFonts w:ascii="Calibri" w:hAnsi="Calibri"/>
          <w:color w:val="231F20"/>
          <w:w w:val="105"/>
          <w:sz w:val="17"/>
        </w:rPr>
        <w:t>internal</w:t>
      </w:r>
      <w:r>
        <w:rPr>
          <w:rFonts w:ascii="Calibri" w:hAnsi="Calibri"/>
          <w:color w:val="231F20"/>
          <w:spacing w:val="-13"/>
          <w:w w:val="105"/>
          <w:sz w:val="17"/>
        </w:rPr>
        <w:t> </w:t>
      </w:r>
      <w:r>
        <w:rPr>
          <w:rFonts w:ascii="Calibri" w:hAnsi="Calibri"/>
          <w:color w:val="231F20"/>
          <w:w w:val="105"/>
          <w:sz w:val="17"/>
        </w:rPr>
        <w:t>authority relationships”.</w:t>
      </w:r>
      <w:r>
        <w:rPr>
          <w:rFonts w:ascii="Calibri" w:hAnsi="Calibri"/>
          <w:color w:val="231F20"/>
          <w:spacing w:val="-9"/>
          <w:w w:val="105"/>
          <w:sz w:val="17"/>
        </w:rPr>
        <w:t> </w:t>
      </w:r>
      <w:r>
        <w:rPr>
          <w:rFonts w:ascii="Calibri" w:hAnsi="Calibri"/>
          <w:color w:val="231F20"/>
          <w:w w:val="105"/>
          <w:sz w:val="17"/>
        </w:rPr>
        <w:t>Para</w:t>
      </w:r>
      <w:r>
        <w:rPr>
          <w:rFonts w:ascii="Calibri" w:hAnsi="Calibri"/>
          <w:color w:val="231F20"/>
          <w:spacing w:val="-9"/>
          <w:w w:val="105"/>
          <w:sz w:val="17"/>
        </w:rPr>
        <w:t> </w:t>
      </w:r>
      <w:r>
        <w:rPr>
          <w:rFonts w:ascii="Calibri" w:hAnsi="Calibri"/>
          <w:color w:val="231F20"/>
          <w:w w:val="105"/>
          <w:sz w:val="17"/>
        </w:rPr>
        <w:t>una</w:t>
      </w:r>
      <w:r>
        <w:rPr>
          <w:rFonts w:ascii="Calibri" w:hAnsi="Calibri"/>
          <w:color w:val="231F20"/>
          <w:spacing w:val="-9"/>
          <w:w w:val="105"/>
          <w:sz w:val="17"/>
        </w:rPr>
        <w:t> </w:t>
      </w:r>
      <w:r>
        <w:rPr>
          <w:rFonts w:ascii="Calibri" w:hAnsi="Calibri"/>
          <w:color w:val="231F20"/>
          <w:w w:val="105"/>
          <w:sz w:val="17"/>
        </w:rPr>
        <w:t>panorámica</w:t>
      </w:r>
      <w:r>
        <w:rPr>
          <w:rFonts w:ascii="Calibri" w:hAnsi="Calibri"/>
          <w:color w:val="231F20"/>
          <w:spacing w:val="-9"/>
          <w:w w:val="105"/>
          <w:sz w:val="17"/>
        </w:rPr>
        <w:t> </w:t>
      </w:r>
      <w:r>
        <w:rPr>
          <w:rFonts w:ascii="Calibri" w:hAnsi="Calibri"/>
          <w:color w:val="231F20"/>
          <w:w w:val="105"/>
          <w:sz w:val="17"/>
        </w:rPr>
        <w:t>de</w:t>
      </w:r>
      <w:r>
        <w:rPr>
          <w:rFonts w:ascii="Calibri" w:hAnsi="Calibri"/>
          <w:color w:val="231F20"/>
          <w:spacing w:val="-9"/>
          <w:w w:val="105"/>
          <w:sz w:val="17"/>
        </w:rPr>
        <w:t> </w:t>
      </w:r>
      <w:r>
        <w:rPr>
          <w:rFonts w:ascii="Calibri" w:hAnsi="Calibri"/>
          <w:color w:val="231F20"/>
          <w:w w:val="105"/>
          <w:sz w:val="17"/>
        </w:rPr>
        <w:t>esta</w:t>
      </w:r>
      <w:r>
        <w:rPr>
          <w:rFonts w:ascii="Calibri" w:hAnsi="Calibri"/>
          <w:color w:val="231F20"/>
          <w:spacing w:val="-9"/>
          <w:w w:val="105"/>
          <w:sz w:val="17"/>
        </w:rPr>
        <w:t> </w:t>
      </w:r>
      <w:r>
        <w:rPr>
          <w:rFonts w:ascii="Calibri" w:hAnsi="Calibri"/>
          <w:color w:val="231F20"/>
          <w:w w:val="105"/>
          <w:sz w:val="17"/>
        </w:rPr>
        <w:t>directriz</w:t>
      </w:r>
      <w:r>
        <w:rPr>
          <w:rFonts w:ascii="Calibri" w:hAnsi="Calibri"/>
          <w:color w:val="231F20"/>
          <w:spacing w:val="-9"/>
          <w:w w:val="105"/>
          <w:sz w:val="17"/>
        </w:rPr>
        <w:t> </w:t>
      </w:r>
      <w:r>
        <w:rPr>
          <w:rFonts w:ascii="Calibri" w:hAnsi="Calibri"/>
          <w:color w:val="231F20"/>
          <w:w w:val="105"/>
          <w:sz w:val="17"/>
        </w:rPr>
        <w:t>del</w:t>
      </w:r>
      <w:r>
        <w:rPr>
          <w:rFonts w:ascii="Calibri" w:hAnsi="Calibri"/>
          <w:color w:val="231F20"/>
          <w:spacing w:val="-9"/>
          <w:w w:val="105"/>
          <w:sz w:val="17"/>
        </w:rPr>
        <w:t> </w:t>
      </w:r>
      <w:r>
        <w:rPr>
          <w:rFonts w:ascii="Calibri" w:hAnsi="Calibri"/>
          <w:color w:val="231F20"/>
          <w:w w:val="105"/>
          <w:sz w:val="17"/>
        </w:rPr>
        <w:t>debate,</w:t>
      </w:r>
      <w:r>
        <w:rPr>
          <w:rFonts w:ascii="Calibri" w:hAnsi="Calibri"/>
          <w:color w:val="231F20"/>
          <w:spacing w:val="-11"/>
          <w:w w:val="105"/>
          <w:sz w:val="17"/>
        </w:rPr>
        <w:t> </w:t>
      </w:r>
      <w:r>
        <w:rPr>
          <w:rFonts w:ascii="Calibri" w:hAnsi="Calibri"/>
          <w:color w:val="231F20"/>
          <w:w w:val="105"/>
          <w:sz w:val="17"/>
        </w:rPr>
        <w:t>véase</w:t>
      </w:r>
      <w:r>
        <w:rPr>
          <w:rFonts w:ascii="Calibri" w:hAnsi="Calibri"/>
          <w:color w:val="231F20"/>
          <w:spacing w:val="-9"/>
          <w:w w:val="105"/>
          <w:sz w:val="17"/>
        </w:rPr>
        <w:t> </w:t>
      </w:r>
      <w:r>
        <w:rPr>
          <w:rFonts w:ascii="Calibri" w:hAnsi="Calibri"/>
          <w:color w:val="231F20"/>
          <w:w w:val="105"/>
          <w:sz w:val="17"/>
        </w:rPr>
        <w:t>por</w:t>
      </w:r>
      <w:r>
        <w:rPr>
          <w:rFonts w:ascii="Calibri" w:hAnsi="Calibri"/>
          <w:color w:val="231F20"/>
          <w:spacing w:val="-9"/>
          <w:w w:val="105"/>
          <w:sz w:val="17"/>
        </w:rPr>
        <w:t> </w:t>
      </w:r>
      <w:r>
        <w:rPr>
          <w:rFonts w:ascii="Calibri" w:hAnsi="Calibri"/>
          <w:color w:val="231F20"/>
          <w:w w:val="105"/>
          <w:sz w:val="17"/>
        </w:rPr>
        <w:t>lo</w:t>
      </w:r>
      <w:r>
        <w:rPr>
          <w:rFonts w:ascii="Calibri" w:hAnsi="Calibri"/>
          <w:color w:val="231F20"/>
          <w:spacing w:val="-9"/>
          <w:w w:val="105"/>
          <w:sz w:val="17"/>
        </w:rPr>
        <w:t> </w:t>
      </w:r>
      <w:r>
        <w:rPr>
          <w:rFonts w:ascii="Calibri" w:hAnsi="Calibri"/>
          <w:color w:val="231F20"/>
          <w:w w:val="105"/>
          <w:sz w:val="17"/>
        </w:rPr>
        <w:t>menos</w:t>
      </w:r>
      <w:r>
        <w:rPr>
          <w:rFonts w:ascii="Calibri" w:hAnsi="Calibri"/>
          <w:color w:val="231F20"/>
          <w:spacing w:val="-12"/>
          <w:w w:val="105"/>
          <w:sz w:val="17"/>
        </w:rPr>
        <w:t> </w:t>
      </w:r>
      <w:r>
        <w:rPr>
          <w:rFonts w:ascii="Calibri" w:hAnsi="Calibri"/>
          <w:color w:val="231F20"/>
          <w:spacing w:val="-9"/>
          <w:w w:val="105"/>
          <w:sz w:val="17"/>
        </w:rPr>
        <w:t>T. </w:t>
      </w:r>
      <w:r>
        <w:rPr>
          <w:rFonts w:ascii="Calibri" w:hAnsi="Calibri"/>
          <w:color w:val="231F20"/>
          <w:w w:val="105"/>
          <w:sz w:val="17"/>
        </w:rPr>
        <w:t>Jacobsen, Ch.</w:t>
      </w:r>
      <w:r>
        <w:rPr>
          <w:rFonts w:ascii="Calibri" w:hAnsi="Calibri"/>
          <w:color w:val="231F20"/>
          <w:spacing w:val="-4"/>
          <w:w w:val="105"/>
          <w:sz w:val="17"/>
        </w:rPr>
        <w:t> </w:t>
      </w:r>
      <w:r>
        <w:rPr>
          <w:rFonts w:ascii="Calibri" w:hAnsi="Calibri"/>
          <w:color w:val="231F20"/>
          <w:w w:val="105"/>
          <w:sz w:val="17"/>
        </w:rPr>
        <w:t>Sampford</w:t>
      </w:r>
      <w:r>
        <w:rPr>
          <w:rFonts w:ascii="Calibri" w:hAnsi="Calibri"/>
          <w:color w:val="231F20"/>
          <w:spacing w:val="-5"/>
          <w:w w:val="105"/>
          <w:sz w:val="17"/>
        </w:rPr>
        <w:t> </w:t>
      </w:r>
      <w:r>
        <w:rPr>
          <w:rFonts w:ascii="Calibri" w:hAnsi="Calibri"/>
          <w:color w:val="231F20"/>
          <w:w w:val="105"/>
          <w:sz w:val="17"/>
        </w:rPr>
        <w:t>y</w:t>
      </w:r>
      <w:r>
        <w:rPr>
          <w:rFonts w:ascii="Calibri" w:hAnsi="Calibri"/>
          <w:color w:val="231F20"/>
          <w:spacing w:val="-4"/>
          <w:w w:val="105"/>
          <w:sz w:val="17"/>
        </w:rPr>
        <w:t> </w:t>
      </w:r>
      <w:r>
        <w:rPr>
          <w:rFonts w:ascii="Calibri" w:hAnsi="Calibri"/>
          <w:color w:val="231F20"/>
          <w:w w:val="105"/>
          <w:sz w:val="17"/>
        </w:rPr>
        <w:t>R.</w:t>
      </w:r>
      <w:r>
        <w:rPr>
          <w:rFonts w:ascii="Calibri" w:hAnsi="Calibri"/>
          <w:color w:val="231F20"/>
          <w:spacing w:val="-6"/>
          <w:w w:val="105"/>
          <w:sz w:val="17"/>
        </w:rPr>
        <w:t> </w:t>
      </w:r>
      <w:r>
        <w:rPr>
          <w:rFonts w:ascii="Calibri" w:hAnsi="Calibri"/>
          <w:color w:val="231F20"/>
          <w:w w:val="105"/>
          <w:sz w:val="17"/>
        </w:rPr>
        <w:t>Thakur</w:t>
      </w:r>
      <w:r>
        <w:rPr>
          <w:rFonts w:ascii="Calibri" w:hAnsi="Calibri"/>
          <w:color w:val="231F20"/>
          <w:spacing w:val="-4"/>
          <w:w w:val="105"/>
          <w:sz w:val="17"/>
        </w:rPr>
        <w:t> </w:t>
      </w:r>
      <w:r>
        <w:rPr>
          <w:rFonts w:ascii="Calibri" w:hAnsi="Calibri"/>
          <w:color w:val="231F20"/>
          <w:w w:val="105"/>
          <w:sz w:val="17"/>
        </w:rPr>
        <w:t>(Eds.),</w:t>
      </w:r>
      <w:r>
        <w:rPr>
          <w:rFonts w:ascii="Calibri" w:hAnsi="Calibri"/>
          <w:color w:val="231F20"/>
          <w:spacing w:val="-4"/>
          <w:w w:val="105"/>
          <w:sz w:val="17"/>
        </w:rPr>
        <w:t> </w:t>
      </w:r>
      <w:r>
        <w:rPr>
          <w:rFonts w:ascii="Calibri" w:hAnsi="Calibri"/>
          <w:i/>
          <w:color w:val="231F20"/>
          <w:w w:val="105"/>
          <w:sz w:val="17"/>
        </w:rPr>
        <w:t>Re</w:t>
      </w:r>
      <w:r>
        <w:rPr>
          <w:rFonts w:ascii="Calibri" w:hAnsi="Calibri"/>
          <w:color w:val="231F20"/>
          <w:w w:val="105"/>
          <w:sz w:val="17"/>
        </w:rPr>
        <w:t>–</w:t>
      </w:r>
      <w:r>
        <w:rPr>
          <w:rFonts w:ascii="Calibri" w:hAnsi="Calibri"/>
          <w:i/>
          <w:color w:val="231F20"/>
          <w:w w:val="105"/>
          <w:sz w:val="17"/>
        </w:rPr>
        <w:t>envisioning</w:t>
      </w:r>
      <w:r>
        <w:rPr>
          <w:rFonts w:ascii="Calibri" w:hAnsi="Calibri"/>
          <w:i/>
          <w:color w:val="231F20"/>
          <w:spacing w:val="-5"/>
          <w:w w:val="105"/>
          <w:sz w:val="17"/>
        </w:rPr>
        <w:t> </w:t>
      </w:r>
      <w:r>
        <w:rPr>
          <w:rFonts w:ascii="Calibri" w:hAnsi="Calibri"/>
          <w:i/>
          <w:color w:val="231F20"/>
          <w:w w:val="105"/>
          <w:sz w:val="17"/>
        </w:rPr>
        <w:t>Sovereignty.</w:t>
      </w:r>
      <w:r>
        <w:rPr>
          <w:rFonts w:ascii="Calibri" w:hAnsi="Calibri"/>
          <w:i/>
          <w:color w:val="231F20"/>
          <w:spacing w:val="-7"/>
          <w:w w:val="105"/>
          <w:sz w:val="17"/>
        </w:rPr>
        <w:t> </w:t>
      </w:r>
      <w:r>
        <w:rPr>
          <w:rFonts w:ascii="Calibri" w:hAnsi="Calibri"/>
          <w:i/>
          <w:color w:val="231F20"/>
          <w:w w:val="105"/>
          <w:sz w:val="17"/>
        </w:rPr>
        <w:t>The</w:t>
      </w:r>
      <w:r>
        <w:rPr>
          <w:rFonts w:ascii="Calibri" w:hAnsi="Calibri"/>
          <w:i/>
          <w:color w:val="231F20"/>
          <w:spacing w:val="-5"/>
          <w:w w:val="105"/>
          <w:sz w:val="17"/>
        </w:rPr>
        <w:t> </w:t>
      </w:r>
      <w:r>
        <w:rPr>
          <w:rFonts w:ascii="Calibri" w:hAnsi="Calibri"/>
          <w:i/>
          <w:color w:val="231F20"/>
          <w:w w:val="105"/>
          <w:sz w:val="17"/>
        </w:rPr>
        <w:t>End</w:t>
      </w:r>
      <w:r>
        <w:rPr>
          <w:rFonts w:ascii="Calibri" w:hAnsi="Calibri"/>
          <w:i/>
          <w:color w:val="231F20"/>
          <w:spacing w:val="-5"/>
          <w:w w:val="105"/>
          <w:sz w:val="17"/>
        </w:rPr>
        <w:t> </w:t>
      </w:r>
      <w:r>
        <w:rPr>
          <w:rFonts w:ascii="Calibri" w:hAnsi="Calibri"/>
          <w:i/>
          <w:color w:val="231F20"/>
          <w:w w:val="105"/>
          <w:sz w:val="17"/>
        </w:rPr>
        <w:t>of</w:t>
      </w:r>
      <w:r>
        <w:rPr>
          <w:rFonts w:ascii="Calibri" w:hAnsi="Calibri"/>
          <w:i/>
          <w:color w:val="231F20"/>
          <w:spacing w:val="-6"/>
          <w:w w:val="105"/>
          <w:sz w:val="17"/>
        </w:rPr>
        <w:t> </w:t>
      </w:r>
      <w:r>
        <w:rPr>
          <w:rFonts w:ascii="Calibri" w:hAnsi="Calibri"/>
          <w:i/>
          <w:color w:val="231F20"/>
          <w:w w:val="105"/>
          <w:sz w:val="17"/>
        </w:rPr>
        <w:t>Westphalia?</w:t>
      </w:r>
      <w:r>
        <w:rPr>
          <w:rFonts w:ascii="Calibri" w:hAnsi="Calibri"/>
          <w:color w:val="231F20"/>
          <w:w w:val="105"/>
          <w:sz w:val="17"/>
        </w:rPr>
        <w:t>,</w:t>
      </w:r>
      <w:r>
        <w:rPr>
          <w:rFonts w:ascii="Calibri" w:hAnsi="Calibri"/>
          <w:color w:val="231F20"/>
          <w:spacing w:val="-4"/>
          <w:w w:val="105"/>
          <w:sz w:val="17"/>
        </w:rPr>
        <w:t> </w:t>
      </w:r>
      <w:r>
        <w:rPr>
          <w:rFonts w:ascii="Calibri" w:hAnsi="Calibri"/>
          <w:color w:val="231F20"/>
          <w:w w:val="105"/>
          <w:sz w:val="17"/>
        </w:rPr>
        <w:t>Aldershot, Ashgate,</w:t>
      </w:r>
      <w:r>
        <w:rPr>
          <w:rFonts w:ascii="Calibri" w:hAnsi="Calibri"/>
          <w:color w:val="231F20"/>
          <w:spacing w:val="-8"/>
          <w:w w:val="105"/>
          <w:sz w:val="17"/>
        </w:rPr>
        <w:t> </w:t>
      </w:r>
      <w:r>
        <w:rPr>
          <w:rFonts w:ascii="Calibri" w:hAnsi="Calibri"/>
          <w:color w:val="231F20"/>
          <w:w w:val="105"/>
          <w:sz w:val="17"/>
        </w:rPr>
        <w:t>2008;</w:t>
      </w:r>
      <w:r>
        <w:rPr>
          <w:rFonts w:ascii="Calibri" w:hAnsi="Calibri"/>
          <w:color w:val="231F20"/>
          <w:spacing w:val="-8"/>
          <w:w w:val="105"/>
          <w:sz w:val="17"/>
        </w:rPr>
        <w:t> </w:t>
      </w:r>
      <w:r>
        <w:rPr>
          <w:rFonts w:ascii="Calibri" w:hAnsi="Calibri"/>
          <w:color w:val="231F20"/>
          <w:w w:val="105"/>
          <w:sz w:val="17"/>
        </w:rPr>
        <w:t>M.</w:t>
      </w:r>
      <w:r>
        <w:rPr>
          <w:rFonts w:ascii="Calibri" w:hAnsi="Calibri"/>
          <w:color w:val="231F20"/>
          <w:spacing w:val="-8"/>
          <w:w w:val="105"/>
          <w:sz w:val="17"/>
        </w:rPr>
        <w:t> </w:t>
      </w:r>
      <w:r>
        <w:rPr>
          <w:rFonts w:ascii="Calibri" w:hAnsi="Calibri"/>
          <w:color w:val="231F20"/>
          <w:w w:val="105"/>
          <w:sz w:val="17"/>
        </w:rPr>
        <w:t>Ricciardi,</w:t>
      </w:r>
      <w:r>
        <w:rPr>
          <w:rFonts w:ascii="Calibri" w:hAnsi="Calibri"/>
          <w:color w:val="231F20"/>
          <w:spacing w:val="-8"/>
          <w:w w:val="105"/>
          <w:sz w:val="17"/>
        </w:rPr>
        <w:t> </w:t>
      </w:r>
      <w:r>
        <w:rPr>
          <w:rFonts w:ascii="Calibri" w:hAnsi="Calibri"/>
          <w:color w:val="231F20"/>
          <w:w w:val="105"/>
          <w:sz w:val="17"/>
        </w:rPr>
        <w:t>“Dallo</w:t>
      </w:r>
      <w:r>
        <w:rPr>
          <w:rFonts w:ascii="Calibri" w:hAnsi="Calibri"/>
          <w:color w:val="231F20"/>
          <w:spacing w:val="-8"/>
          <w:w w:val="105"/>
          <w:sz w:val="17"/>
        </w:rPr>
        <w:t> </w:t>
      </w:r>
      <w:r>
        <w:rPr>
          <w:rFonts w:ascii="Calibri" w:hAnsi="Calibri"/>
          <w:color w:val="231F20"/>
          <w:w w:val="105"/>
          <w:sz w:val="17"/>
        </w:rPr>
        <w:t>Stato</w:t>
      </w:r>
      <w:r>
        <w:rPr>
          <w:rFonts w:ascii="Calibri" w:hAnsi="Calibri"/>
          <w:color w:val="231F20"/>
          <w:spacing w:val="-8"/>
          <w:w w:val="105"/>
          <w:sz w:val="17"/>
        </w:rPr>
        <w:t> </w:t>
      </w:r>
      <w:r>
        <w:rPr>
          <w:rFonts w:ascii="Calibri" w:hAnsi="Calibri"/>
          <w:color w:val="231F20"/>
          <w:w w:val="105"/>
          <w:sz w:val="17"/>
        </w:rPr>
        <w:t>modern</w:t>
      </w:r>
      <w:r>
        <w:rPr>
          <w:rFonts w:ascii="Calibri" w:hAnsi="Calibri"/>
          <w:color w:val="231F20"/>
          <w:spacing w:val="-8"/>
          <w:w w:val="105"/>
          <w:sz w:val="17"/>
        </w:rPr>
        <w:t> </w:t>
      </w:r>
      <w:r>
        <w:rPr>
          <w:rFonts w:ascii="Calibri" w:hAnsi="Calibri"/>
          <w:color w:val="231F20"/>
          <w:w w:val="105"/>
          <w:sz w:val="17"/>
        </w:rPr>
        <w:t>allo</w:t>
      </w:r>
      <w:r>
        <w:rPr>
          <w:rFonts w:ascii="Calibri" w:hAnsi="Calibri"/>
          <w:color w:val="231F20"/>
          <w:spacing w:val="-8"/>
          <w:w w:val="105"/>
          <w:sz w:val="17"/>
        </w:rPr>
        <w:t> </w:t>
      </w:r>
      <w:r>
        <w:rPr>
          <w:rFonts w:ascii="Calibri" w:hAnsi="Calibri"/>
          <w:color w:val="231F20"/>
          <w:w w:val="105"/>
          <w:sz w:val="17"/>
        </w:rPr>
        <w:t>Stato</w:t>
      </w:r>
      <w:r>
        <w:rPr>
          <w:rFonts w:ascii="Calibri" w:hAnsi="Calibri"/>
          <w:color w:val="231F20"/>
          <w:spacing w:val="-8"/>
          <w:w w:val="105"/>
          <w:sz w:val="17"/>
        </w:rPr>
        <w:t> </w:t>
      </w:r>
      <w:r>
        <w:rPr>
          <w:rFonts w:ascii="Calibri" w:hAnsi="Calibri"/>
          <w:color w:val="231F20"/>
          <w:w w:val="105"/>
          <w:sz w:val="17"/>
        </w:rPr>
        <w:t>globale.</w:t>
      </w:r>
      <w:r>
        <w:rPr>
          <w:rFonts w:ascii="Calibri" w:hAnsi="Calibri"/>
          <w:color w:val="231F20"/>
          <w:spacing w:val="-8"/>
          <w:w w:val="105"/>
          <w:sz w:val="17"/>
        </w:rPr>
        <w:t> </w:t>
      </w:r>
      <w:r>
        <w:rPr>
          <w:rFonts w:ascii="Calibri" w:hAnsi="Calibri"/>
          <w:color w:val="231F20"/>
          <w:w w:val="105"/>
          <w:sz w:val="17"/>
        </w:rPr>
        <w:t>Storia</w:t>
      </w:r>
      <w:r>
        <w:rPr>
          <w:rFonts w:ascii="Calibri" w:hAnsi="Calibri"/>
          <w:color w:val="231F20"/>
          <w:spacing w:val="-8"/>
          <w:w w:val="105"/>
          <w:sz w:val="17"/>
        </w:rPr>
        <w:t> </w:t>
      </w:r>
      <w:r>
        <w:rPr>
          <w:rFonts w:ascii="Calibri" w:hAnsi="Calibri"/>
          <w:color w:val="231F20"/>
          <w:w w:val="105"/>
          <w:sz w:val="17"/>
        </w:rPr>
        <w:t>e</w:t>
      </w:r>
      <w:r>
        <w:rPr>
          <w:rFonts w:ascii="Calibri" w:hAnsi="Calibri"/>
          <w:color w:val="231F20"/>
          <w:spacing w:val="-8"/>
          <w:w w:val="105"/>
          <w:sz w:val="17"/>
        </w:rPr>
        <w:t> </w:t>
      </w:r>
      <w:r>
        <w:rPr>
          <w:rFonts w:ascii="Calibri" w:hAnsi="Calibri"/>
          <w:color w:val="231F20"/>
          <w:w w:val="105"/>
          <w:sz w:val="17"/>
        </w:rPr>
        <w:t>trasformazione</w:t>
      </w:r>
      <w:r>
        <w:rPr>
          <w:rFonts w:ascii="Calibri" w:hAnsi="Calibri"/>
          <w:color w:val="231F20"/>
          <w:spacing w:val="-8"/>
          <w:w w:val="105"/>
          <w:sz w:val="17"/>
        </w:rPr>
        <w:t> </w:t>
      </w:r>
      <w:r>
        <w:rPr>
          <w:rFonts w:ascii="Calibri" w:hAnsi="Calibri"/>
          <w:color w:val="231F20"/>
          <w:w w:val="105"/>
          <w:sz w:val="17"/>
        </w:rPr>
        <w:t>di</w:t>
      </w:r>
      <w:r>
        <w:rPr>
          <w:rFonts w:ascii="Calibri" w:hAnsi="Calibri"/>
          <w:color w:val="231F20"/>
          <w:spacing w:val="-8"/>
          <w:w w:val="105"/>
          <w:sz w:val="17"/>
        </w:rPr>
        <w:t> </w:t>
      </w:r>
      <w:r>
        <w:rPr>
          <w:rFonts w:ascii="Calibri" w:hAnsi="Calibri"/>
          <w:color w:val="231F20"/>
          <w:w w:val="105"/>
          <w:sz w:val="17"/>
        </w:rPr>
        <w:t>un concetto”,</w:t>
      </w:r>
      <w:r>
        <w:rPr>
          <w:rFonts w:ascii="Calibri" w:hAnsi="Calibri"/>
          <w:color w:val="231F20"/>
          <w:spacing w:val="-22"/>
          <w:w w:val="105"/>
          <w:sz w:val="17"/>
        </w:rPr>
        <w:t> </w:t>
      </w:r>
      <w:r>
        <w:rPr>
          <w:rFonts w:ascii="Calibri" w:hAnsi="Calibri"/>
          <w:i/>
          <w:color w:val="231F20"/>
          <w:w w:val="105"/>
          <w:sz w:val="17"/>
        </w:rPr>
        <w:t>Scienza</w:t>
      </w:r>
      <w:r>
        <w:rPr>
          <w:rFonts w:ascii="Calibri" w:hAnsi="Calibri"/>
          <w:i/>
          <w:color w:val="231F20"/>
          <w:spacing w:val="-23"/>
          <w:w w:val="105"/>
          <w:sz w:val="17"/>
        </w:rPr>
        <w:t> </w:t>
      </w:r>
      <w:r>
        <w:rPr>
          <w:rFonts w:ascii="Calibri" w:hAnsi="Calibri"/>
          <w:i/>
          <w:color w:val="231F20"/>
          <w:w w:val="105"/>
          <w:sz w:val="17"/>
        </w:rPr>
        <w:t>&amp;</w:t>
      </w:r>
      <w:r>
        <w:rPr>
          <w:rFonts w:ascii="Calibri" w:hAnsi="Calibri"/>
          <w:i/>
          <w:color w:val="231F20"/>
          <w:spacing w:val="-23"/>
          <w:w w:val="105"/>
          <w:sz w:val="17"/>
        </w:rPr>
        <w:t> </w:t>
      </w:r>
      <w:r>
        <w:rPr>
          <w:rFonts w:ascii="Calibri" w:hAnsi="Calibri"/>
          <w:i/>
          <w:color w:val="231F20"/>
          <w:w w:val="105"/>
          <w:sz w:val="17"/>
        </w:rPr>
        <w:t>Politica</w:t>
      </w:r>
      <w:r>
        <w:rPr>
          <w:rFonts w:ascii="Calibri" w:hAnsi="Calibri"/>
          <w:color w:val="231F20"/>
          <w:w w:val="105"/>
          <w:sz w:val="17"/>
        </w:rPr>
        <w:t>,</w:t>
      </w:r>
      <w:r>
        <w:rPr>
          <w:rFonts w:ascii="Calibri" w:hAnsi="Calibri"/>
          <w:color w:val="231F20"/>
          <w:spacing w:val="-24"/>
          <w:w w:val="105"/>
          <w:sz w:val="17"/>
        </w:rPr>
        <w:t> </w:t>
      </w:r>
      <w:r>
        <w:rPr>
          <w:rFonts w:ascii="Calibri" w:hAnsi="Calibri"/>
          <w:color w:val="231F20"/>
          <w:w w:val="105"/>
          <w:sz w:val="17"/>
        </w:rPr>
        <w:t>vol.</w:t>
      </w:r>
      <w:r>
        <w:rPr>
          <w:rFonts w:ascii="Calibri" w:hAnsi="Calibri"/>
          <w:color w:val="231F20"/>
          <w:spacing w:val="-22"/>
          <w:w w:val="105"/>
          <w:sz w:val="17"/>
        </w:rPr>
        <w:t> </w:t>
      </w:r>
      <w:r>
        <w:rPr>
          <w:rFonts w:ascii="Calibri" w:hAnsi="Calibri"/>
          <w:color w:val="231F20"/>
          <w:w w:val="105"/>
          <w:sz w:val="15"/>
        </w:rPr>
        <w:t>XXV</w:t>
      </w:r>
      <w:r>
        <w:rPr>
          <w:rFonts w:ascii="Calibri" w:hAnsi="Calibri"/>
          <w:color w:val="231F20"/>
          <w:w w:val="105"/>
          <w:sz w:val="17"/>
        </w:rPr>
        <w:t>,</w:t>
      </w:r>
      <w:r>
        <w:rPr>
          <w:rFonts w:ascii="Calibri" w:hAnsi="Calibri"/>
          <w:color w:val="231F20"/>
          <w:spacing w:val="-22"/>
          <w:w w:val="105"/>
          <w:sz w:val="17"/>
        </w:rPr>
        <w:t> </w:t>
      </w:r>
      <w:r>
        <w:rPr>
          <w:rFonts w:ascii="Calibri" w:hAnsi="Calibri"/>
          <w:color w:val="231F20"/>
          <w:w w:val="105"/>
          <w:sz w:val="17"/>
        </w:rPr>
        <w:t>n.</w:t>
      </w:r>
      <w:r>
        <w:rPr>
          <w:rFonts w:ascii="Calibri" w:hAnsi="Calibri"/>
          <w:color w:val="231F20"/>
          <w:spacing w:val="-22"/>
          <w:w w:val="105"/>
          <w:sz w:val="17"/>
        </w:rPr>
        <w:t> </w:t>
      </w:r>
      <w:r>
        <w:rPr>
          <w:rFonts w:ascii="Calibri" w:hAnsi="Calibri"/>
          <w:color w:val="231F20"/>
          <w:w w:val="105"/>
          <w:sz w:val="17"/>
        </w:rPr>
        <w:t>48,</w:t>
      </w:r>
      <w:r>
        <w:rPr>
          <w:rFonts w:ascii="Calibri" w:hAnsi="Calibri"/>
          <w:color w:val="231F20"/>
          <w:spacing w:val="-22"/>
          <w:w w:val="105"/>
          <w:sz w:val="17"/>
        </w:rPr>
        <w:t> </w:t>
      </w:r>
      <w:r>
        <w:rPr>
          <w:rFonts w:ascii="Calibri" w:hAnsi="Calibri"/>
          <w:color w:val="231F20"/>
          <w:w w:val="105"/>
          <w:sz w:val="17"/>
        </w:rPr>
        <w:t>2013,</w:t>
      </w:r>
      <w:r>
        <w:rPr>
          <w:rFonts w:ascii="Calibri" w:hAnsi="Calibri"/>
          <w:color w:val="231F20"/>
          <w:spacing w:val="-22"/>
          <w:w w:val="105"/>
          <w:sz w:val="17"/>
        </w:rPr>
        <w:t> </w:t>
      </w:r>
      <w:r>
        <w:rPr>
          <w:rFonts w:ascii="Calibri" w:hAnsi="Calibri"/>
          <w:color w:val="231F20"/>
          <w:w w:val="105"/>
          <w:sz w:val="17"/>
        </w:rPr>
        <w:t>pp.</w:t>
      </w:r>
      <w:r>
        <w:rPr>
          <w:rFonts w:ascii="Calibri" w:hAnsi="Calibri"/>
          <w:color w:val="231F20"/>
          <w:spacing w:val="-22"/>
          <w:w w:val="105"/>
          <w:sz w:val="17"/>
        </w:rPr>
        <w:t> </w:t>
      </w:r>
      <w:r>
        <w:rPr>
          <w:rFonts w:ascii="Calibri" w:hAnsi="Calibri"/>
          <w:color w:val="231F20"/>
          <w:w w:val="105"/>
          <w:sz w:val="17"/>
        </w:rPr>
        <w:t>75–93.</w:t>
      </w:r>
    </w:p>
    <w:p>
      <w:pPr>
        <w:spacing w:after="0" w:line="235" w:lineRule="auto"/>
        <w:jc w:val="both"/>
        <w:rPr>
          <w:rFonts w:ascii="Calibri" w:hAnsi="Calibri"/>
          <w:sz w:val="17"/>
        </w:rPr>
        <w:sectPr>
          <w:type w:val="continuous"/>
          <w:pgSz w:w="9640" w:h="13890"/>
          <w:pgMar w:top="0" w:bottom="0" w:left="1300" w:right="1200"/>
        </w:sectPr>
      </w:pPr>
    </w:p>
    <w:p>
      <w:pPr>
        <w:pStyle w:val="BodyText"/>
        <w:spacing w:line="247" w:lineRule="auto" w:before="107"/>
        <w:ind w:left="103" w:right="114"/>
        <w:jc w:val="both"/>
      </w:pPr>
      <w:r>
        <w:rPr>
          <w:color w:val="231F20"/>
          <w:w w:val="105"/>
        </w:rPr>
        <w:t>y</w:t>
      </w:r>
      <w:r>
        <w:rPr>
          <w:color w:val="231F20"/>
          <w:spacing w:val="-14"/>
          <w:w w:val="105"/>
        </w:rPr>
        <w:t> </w:t>
      </w:r>
      <w:r>
        <w:rPr>
          <w:color w:val="231F20"/>
          <w:w w:val="105"/>
        </w:rPr>
        <w:t>de</w:t>
      </w:r>
      <w:r>
        <w:rPr>
          <w:color w:val="231F20"/>
          <w:spacing w:val="-14"/>
          <w:w w:val="105"/>
        </w:rPr>
        <w:t> </w:t>
      </w:r>
      <w:r>
        <w:rPr>
          <w:color w:val="231F20"/>
          <w:w w:val="105"/>
        </w:rPr>
        <w:t>estructuras</w:t>
      </w:r>
      <w:r>
        <w:rPr>
          <w:color w:val="231F20"/>
          <w:spacing w:val="-14"/>
          <w:w w:val="105"/>
        </w:rPr>
        <w:t> </w:t>
      </w:r>
      <w:r>
        <w:rPr>
          <w:color w:val="231F20"/>
          <w:w w:val="105"/>
        </w:rPr>
        <w:t>de</w:t>
      </w:r>
      <w:r>
        <w:rPr>
          <w:color w:val="231F20"/>
          <w:spacing w:val="-14"/>
          <w:w w:val="105"/>
        </w:rPr>
        <w:t> </w:t>
      </w:r>
      <w:r>
        <w:rPr>
          <w:color w:val="231F20"/>
          <w:w w:val="105"/>
        </w:rPr>
        <w:t>dominio,</w:t>
      </w:r>
      <w:r>
        <w:rPr>
          <w:color w:val="231F20"/>
          <w:spacing w:val="-14"/>
          <w:w w:val="105"/>
        </w:rPr>
        <w:t> </w:t>
      </w:r>
      <w:r>
        <w:rPr>
          <w:color w:val="231F20"/>
          <w:w w:val="105"/>
        </w:rPr>
        <w:t>que</w:t>
      </w:r>
      <w:r>
        <w:rPr>
          <w:color w:val="231F20"/>
          <w:spacing w:val="-14"/>
          <w:w w:val="105"/>
        </w:rPr>
        <w:t> </w:t>
      </w:r>
      <w:r>
        <w:rPr>
          <w:color w:val="231F20"/>
          <w:w w:val="105"/>
        </w:rPr>
        <w:t>lo</w:t>
      </w:r>
      <w:r>
        <w:rPr>
          <w:color w:val="231F20"/>
          <w:spacing w:val="-14"/>
          <w:w w:val="105"/>
        </w:rPr>
        <w:t> </w:t>
      </w:r>
      <w:r>
        <w:rPr>
          <w:color w:val="231F20"/>
          <w:w w:val="105"/>
        </w:rPr>
        <w:t>condicionan</w:t>
      </w:r>
      <w:r>
        <w:rPr>
          <w:color w:val="231F20"/>
          <w:spacing w:val="-14"/>
          <w:w w:val="105"/>
        </w:rPr>
        <w:t> </w:t>
      </w:r>
      <w:r>
        <w:rPr>
          <w:color w:val="231F20"/>
          <w:w w:val="105"/>
        </w:rPr>
        <w:t>a</w:t>
      </w:r>
      <w:r>
        <w:rPr>
          <w:color w:val="231F20"/>
          <w:spacing w:val="-14"/>
          <w:w w:val="105"/>
        </w:rPr>
        <w:t> </w:t>
      </w:r>
      <w:r>
        <w:rPr>
          <w:color w:val="231F20"/>
          <w:w w:val="105"/>
        </w:rPr>
        <w:t>sus</w:t>
      </w:r>
      <w:r>
        <w:rPr>
          <w:color w:val="231F20"/>
          <w:spacing w:val="-14"/>
          <w:w w:val="105"/>
        </w:rPr>
        <w:t> </w:t>
      </w:r>
      <w:r>
        <w:rPr>
          <w:color w:val="231F20"/>
          <w:w w:val="105"/>
        </w:rPr>
        <w:t>propias</w:t>
      </w:r>
      <w:r>
        <w:rPr>
          <w:color w:val="231F20"/>
          <w:spacing w:val="-14"/>
          <w:w w:val="105"/>
        </w:rPr>
        <w:t> </w:t>
      </w:r>
      <w:r>
        <w:rPr>
          <w:color w:val="231F20"/>
          <w:w w:val="105"/>
        </w:rPr>
        <w:t>posibilida- des</w:t>
      </w:r>
      <w:r>
        <w:rPr>
          <w:color w:val="231F20"/>
          <w:spacing w:val="-19"/>
          <w:w w:val="105"/>
        </w:rPr>
        <w:t> </w:t>
      </w:r>
      <w:r>
        <w:rPr>
          <w:color w:val="231F20"/>
          <w:w w:val="105"/>
        </w:rPr>
        <w:t>de</w:t>
      </w:r>
      <w:r>
        <w:rPr>
          <w:color w:val="231F20"/>
          <w:spacing w:val="-19"/>
          <w:w w:val="105"/>
        </w:rPr>
        <w:t> </w:t>
      </w:r>
      <w:r>
        <w:rPr>
          <w:color w:val="231F20"/>
          <w:w w:val="105"/>
        </w:rPr>
        <w:t>articulación</w:t>
      </w:r>
      <w:r>
        <w:rPr>
          <w:color w:val="231F20"/>
          <w:spacing w:val="-19"/>
          <w:w w:val="105"/>
        </w:rPr>
        <w:t> </w:t>
      </w:r>
      <w:r>
        <w:rPr>
          <w:color w:val="231F20"/>
          <w:w w:val="105"/>
        </w:rPr>
        <w:t>política.</w:t>
      </w:r>
      <w:r>
        <w:rPr>
          <w:color w:val="231F20"/>
          <w:spacing w:val="-19"/>
          <w:w w:val="105"/>
        </w:rPr>
        <w:t> </w:t>
      </w:r>
      <w:r>
        <w:rPr>
          <w:color w:val="231F20"/>
          <w:w w:val="105"/>
        </w:rPr>
        <w:t>Por</w:t>
      </w:r>
      <w:r>
        <w:rPr>
          <w:color w:val="231F20"/>
          <w:spacing w:val="-19"/>
          <w:w w:val="105"/>
        </w:rPr>
        <w:t> </w:t>
      </w:r>
      <w:r>
        <w:rPr>
          <w:color w:val="231F20"/>
          <w:w w:val="105"/>
        </w:rPr>
        <w:t>esto,</w:t>
      </w:r>
      <w:r>
        <w:rPr>
          <w:color w:val="231F20"/>
          <w:spacing w:val="-19"/>
          <w:w w:val="105"/>
        </w:rPr>
        <w:t> </w:t>
      </w:r>
      <w:r>
        <w:rPr>
          <w:color w:val="231F20"/>
          <w:w w:val="105"/>
        </w:rPr>
        <w:t>su</w:t>
      </w:r>
      <w:r>
        <w:rPr>
          <w:color w:val="231F20"/>
          <w:spacing w:val="-19"/>
          <w:w w:val="105"/>
        </w:rPr>
        <w:t> </w:t>
      </w:r>
      <w:r>
        <w:rPr>
          <w:color w:val="231F20"/>
          <w:w w:val="105"/>
        </w:rPr>
        <w:t>capacidad</w:t>
      </w:r>
      <w:r>
        <w:rPr>
          <w:color w:val="231F20"/>
          <w:spacing w:val="-19"/>
          <w:w w:val="105"/>
        </w:rPr>
        <w:t> </w:t>
      </w:r>
      <w:r>
        <w:rPr>
          <w:color w:val="231F20"/>
          <w:w w:val="105"/>
        </w:rPr>
        <w:t>de</w:t>
      </w:r>
      <w:r>
        <w:rPr>
          <w:color w:val="231F20"/>
          <w:spacing w:val="-19"/>
          <w:w w:val="105"/>
        </w:rPr>
        <w:t> </w:t>
      </w:r>
      <w:r>
        <w:rPr>
          <w:color w:val="231F20"/>
          <w:w w:val="105"/>
        </w:rPr>
        <w:t>autodeterminación puede</w:t>
      </w:r>
      <w:r>
        <w:rPr>
          <w:color w:val="231F20"/>
          <w:spacing w:val="-19"/>
          <w:w w:val="105"/>
        </w:rPr>
        <w:t> </w:t>
      </w:r>
      <w:r>
        <w:rPr>
          <w:color w:val="231F20"/>
          <w:w w:val="105"/>
        </w:rPr>
        <w:t>ser</w:t>
      </w:r>
      <w:r>
        <w:rPr>
          <w:color w:val="231F20"/>
          <w:spacing w:val="-19"/>
          <w:w w:val="105"/>
        </w:rPr>
        <w:t> </w:t>
      </w:r>
      <w:r>
        <w:rPr>
          <w:color w:val="231F20"/>
          <w:w w:val="105"/>
        </w:rPr>
        <w:t>limitada,</w:t>
      </w:r>
      <w:r>
        <w:rPr>
          <w:color w:val="231F20"/>
          <w:spacing w:val="-19"/>
          <w:w w:val="105"/>
        </w:rPr>
        <w:t> </w:t>
      </w:r>
      <w:r>
        <w:rPr>
          <w:color w:val="231F20"/>
          <w:w w:val="105"/>
        </w:rPr>
        <w:t>antes</w:t>
      </w:r>
      <w:r>
        <w:rPr>
          <w:color w:val="231F20"/>
          <w:spacing w:val="-19"/>
          <w:w w:val="105"/>
        </w:rPr>
        <w:t> </w:t>
      </w:r>
      <w:r>
        <w:rPr>
          <w:color w:val="231F20"/>
          <w:w w:val="105"/>
        </w:rPr>
        <w:t>que</w:t>
      </w:r>
      <w:r>
        <w:rPr>
          <w:color w:val="231F20"/>
          <w:spacing w:val="-19"/>
          <w:w w:val="105"/>
        </w:rPr>
        <w:t> </w:t>
      </w:r>
      <w:r>
        <w:rPr>
          <w:color w:val="231F20"/>
          <w:w w:val="105"/>
        </w:rPr>
        <w:t>por</w:t>
      </w:r>
      <w:r>
        <w:rPr>
          <w:color w:val="231F20"/>
          <w:spacing w:val="-19"/>
          <w:w w:val="105"/>
        </w:rPr>
        <w:t> </w:t>
      </w:r>
      <w:r>
        <w:rPr>
          <w:color w:val="231F20"/>
          <w:w w:val="105"/>
        </w:rPr>
        <w:t>las</w:t>
      </w:r>
      <w:r>
        <w:rPr>
          <w:color w:val="231F20"/>
          <w:spacing w:val="-19"/>
          <w:w w:val="105"/>
        </w:rPr>
        <w:t> </w:t>
      </w:r>
      <w:r>
        <w:rPr>
          <w:color w:val="231F20"/>
          <w:w w:val="105"/>
        </w:rPr>
        <w:t>injerencias</w:t>
      </w:r>
      <w:r>
        <w:rPr>
          <w:color w:val="231F20"/>
          <w:spacing w:val="-19"/>
          <w:w w:val="105"/>
        </w:rPr>
        <w:t> </w:t>
      </w:r>
      <w:r>
        <w:rPr>
          <w:color w:val="231F20"/>
          <w:w w:val="105"/>
        </w:rPr>
        <w:t>externas,</w:t>
      </w:r>
      <w:r>
        <w:rPr>
          <w:color w:val="231F20"/>
          <w:spacing w:val="-19"/>
          <w:w w:val="105"/>
        </w:rPr>
        <w:t> </w:t>
      </w:r>
      <w:r>
        <w:rPr>
          <w:color w:val="231F20"/>
          <w:w w:val="105"/>
        </w:rPr>
        <w:t>por</w:t>
      </w:r>
      <w:r>
        <w:rPr>
          <w:color w:val="231F20"/>
          <w:spacing w:val="-19"/>
          <w:w w:val="105"/>
        </w:rPr>
        <w:t> </w:t>
      </w:r>
      <w:r>
        <w:rPr>
          <w:color w:val="231F20"/>
          <w:w w:val="105"/>
        </w:rPr>
        <w:t>formas</w:t>
      </w:r>
      <w:r>
        <w:rPr>
          <w:color w:val="231F20"/>
          <w:spacing w:val="-19"/>
          <w:w w:val="105"/>
        </w:rPr>
        <w:t> </w:t>
      </w:r>
      <w:r>
        <w:rPr>
          <w:color w:val="231F20"/>
          <w:w w:val="105"/>
        </w:rPr>
        <w:t>de opresión</w:t>
      </w:r>
      <w:r>
        <w:rPr>
          <w:color w:val="231F20"/>
          <w:spacing w:val="-25"/>
          <w:w w:val="105"/>
        </w:rPr>
        <w:t> </w:t>
      </w:r>
      <w:r>
        <w:rPr>
          <w:color w:val="231F20"/>
          <w:w w:val="105"/>
        </w:rPr>
        <w:t>interna</w:t>
      </w:r>
      <w:r>
        <w:rPr>
          <w:color w:val="231F20"/>
          <w:spacing w:val="-25"/>
          <w:w w:val="105"/>
        </w:rPr>
        <w:t> </w:t>
      </w:r>
      <w:r>
        <w:rPr>
          <w:color w:val="231F20"/>
          <w:w w:val="105"/>
        </w:rPr>
        <w:t>que</w:t>
      </w:r>
      <w:r>
        <w:rPr>
          <w:color w:val="231F20"/>
          <w:spacing w:val="-25"/>
          <w:w w:val="105"/>
        </w:rPr>
        <w:t> </w:t>
      </w:r>
      <w:r>
        <w:rPr>
          <w:color w:val="231F20"/>
          <w:w w:val="105"/>
        </w:rPr>
        <w:t>“van</w:t>
      </w:r>
      <w:r>
        <w:rPr>
          <w:color w:val="231F20"/>
          <w:spacing w:val="-25"/>
          <w:w w:val="105"/>
        </w:rPr>
        <w:t> </w:t>
      </w:r>
      <w:r>
        <w:rPr>
          <w:color w:val="231F20"/>
          <w:w w:val="105"/>
        </w:rPr>
        <w:t>desde</w:t>
      </w:r>
      <w:r>
        <w:rPr>
          <w:color w:val="231F20"/>
          <w:spacing w:val="-25"/>
          <w:w w:val="105"/>
        </w:rPr>
        <w:t> </w:t>
      </w:r>
      <w:r>
        <w:rPr>
          <w:color w:val="231F20"/>
          <w:w w:val="105"/>
        </w:rPr>
        <w:t>la</w:t>
      </w:r>
      <w:r>
        <w:rPr>
          <w:color w:val="231F20"/>
          <w:spacing w:val="-25"/>
          <w:w w:val="105"/>
        </w:rPr>
        <w:t> </w:t>
      </w:r>
      <w:r>
        <w:rPr>
          <w:color w:val="231F20"/>
          <w:w w:val="105"/>
        </w:rPr>
        <w:t>sujeción</w:t>
      </w:r>
      <w:r>
        <w:rPr>
          <w:color w:val="231F20"/>
          <w:spacing w:val="-25"/>
          <w:w w:val="105"/>
        </w:rPr>
        <w:t> </w:t>
      </w:r>
      <w:r>
        <w:rPr>
          <w:color w:val="231F20"/>
          <w:w w:val="105"/>
        </w:rPr>
        <w:t>a</w:t>
      </w:r>
      <w:r>
        <w:rPr>
          <w:color w:val="231F20"/>
          <w:spacing w:val="-25"/>
          <w:w w:val="105"/>
        </w:rPr>
        <w:t> </w:t>
      </w:r>
      <w:r>
        <w:rPr>
          <w:color w:val="231F20"/>
          <w:w w:val="105"/>
        </w:rPr>
        <w:t>una</w:t>
      </w:r>
      <w:r>
        <w:rPr>
          <w:color w:val="231F20"/>
          <w:spacing w:val="-25"/>
          <w:w w:val="105"/>
        </w:rPr>
        <w:t> </w:t>
      </w:r>
      <w:r>
        <w:rPr>
          <w:color w:val="231F20"/>
          <w:w w:val="105"/>
        </w:rPr>
        <w:t>voluntad</w:t>
      </w:r>
      <w:r>
        <w:rPr>
          <w:color w:val="231F20"/>
          <w:spacing w:val="-25"/>
          <w:w w:val="105"/>
        </w:rPr>
        <w:t> </w:t>
      </w:r>
      <w:r>
        <w:rPr>
          <w:color w:val="231F20"/>
          <w:w w:val="105"/>
        </w:rPr>
        <w:t>dictatorial</w:t>
      </w:r>
      <w:r>
        <w:rPr>
          <w:color w:val="231F20"/>
          <w:spacing w:val="-25"/>
          <w:w w:val="105"/>
        </w:rPr>
        <w:t> </w:t>
      </w:r>
      <w:r>
        <w:rPr>
          <w:color w:val="231F20"/>
          <w:w w:val="105"/>
        </w:rPr>
        <w:t>ha- sta</w:t>
      </w:r>
      <w:r>
        <w:rPr>
          <w:color w:val="231F20"/>
          <w:spacing w:val="-8"/>
          <w:w w:val="105"/>
        </w:rPr>
        <w:t> </w:t>
      </w:r>
      <w:r>
        <w:rPr>
          <w:color w:val="231F20"/>
          <w:w w:val="105"/>
        </w:rPr>
        <w:t>la</w:t>
      </w:r>
      <w:r>
        <w:rPr>
          <w:color w:val="231F20"/>
          <w:spacing w:val="-8"/>
          <w:w w:val="105"/>
        </w:rPr>
        <w:t> </w:t>
      </w:r>
      <w:r>
        <w:rPr>
          <w:color w:val="231F20"/>
          <w:w w:val="105"/>
        </w:rPr>
        <w:t>guerra</w:t>
      </w:r>
      <w:r>
        <w:rPr>
          <w:color w:val="231F20"/>
          <w:spacing w:val="-8"/>
          <w:w w:val="105"/>
        </w:rPr>
        <w:t> </w:t>
      </w:r>
      <w:r>
        <w:rPr>
          <w:color w:val="231F20"/>
          <w:w w:val="105"/>
        </w:rPr>
        <w:t>civil,</w:t>
      </w:r>
      <w:r>
        <w:rPr>
          <w:color w:val="231F20"/>
          <w:spacing w:val="-8"/>
          <w:w w:val="105"/>
        </w:rPr>
        <w:t> </w:t>
      </w:r>
      <w:r>
        <w:rPr>
          <w:color w:val="231F20"/>
          <w:w w:val="105"/>
        </w:rPr>
        <w:t>desde</w:t>
      </w:r>
      <w:r>
        <w:rPr>
          <w:color w:val="231F20"/>
          <w:spacing w:val="-8"/>
          <w:w w:val="105"/>
        </w:rPr>
        <w:t> </w:t>
      </w:r>
      <w:r>
        <w:rPr>
          <w:color w:val="231F20"/>
          <w:w w:val="105"/>
        </w:rPr>
        <w:t>la</w:t>
      </w:r>
      <w:r>
        <w:rPr>
          <w:color w:val="231F20"/>
          <w:spacing w:val="-8"/>
          <w:w w:val="105"/>
        </w:rPr>
        <w:t> </w:t>
      </w:r>
      <w:r>
        <w:rPr>
          <w:color w:val="231F20"/>
          <w:w w:val="105"/>
        </w:rPr>
        <w:t>discriminación</w:t>
      </w:r>
      <w:r>
        <w:rPr>
          <w:color w:val="231F20"/>
          <w:spacing w:val="-8"/>
          <w:w w:val="105"/>
        </w:rPr>
        <w:t> </w:t>
      </w:r>
      <w:r>
        <w:rPr>
          <w:color w:val="231F20"/>
          <w:w w:val="105"/>
        </w:rPr>
        <w:t>hasta</w:t>
      </w:r>
      <w:r>
        <w:rPr>
          <w:color w:val="231F20"/>
          <w:spacing w:val="-8"/>
          <w:w w:val="105"/>
        </w:rPr>
        <w:t> </w:t>
      </w:r>
      <w:r>
        <w:rPr>
          <w:color w:val="231F20"/>
          <w:w w:val="105"/>
        </w:rPr>
        <w:t>el</w:t>
      </w:r>
      <w:r>
        <w:rPr>
          <w:color w:val="231F20"/>
          <w:spacing w:val="-8"/>
          <w:w w:val="105"/>
        </w:rPr>
        <w:t> </w:t>
      </w:r>
      <w:r>
        <w:rPr>
          <w:color w:val="231F20"/>
          <w:w w:val="105"/>
        </w:rPr>
        <w:t>genocidio”</w:t>
      </w:r>
      <w:r>
        <w:rPr>
          <w:color w:val="231F20"/>
          <w:w w:val="105"/>
          <w:position w:val="7"/>
          <w:sz w:val="12"/>
        </w:rPr>
        <w:t>84</w:t>
      </w:r>
      <w:r>
        <w:rPr>
          <w:color w:val="231F20"/>
          <w:w w:val="105"/>
        </w:rPr>
        <w:t>.</w:t>
      </w:r>
      <w:r>
        <w:rPr>
          <w:color w:val="231F20"/>
          <w:spacing w:val="-8"/>
          <w:w w:val="105"/>
        </w:rPr>
        <w:t> </w:t>
      </w:r>
      <w:r>
        <w:rPr>
          <w:color w:val="231F20"/>
          <w:w w:val="105"/>
        </w:rPr>
        <w:t>Es</w:t>
      </w:r>
      <w:r>
        <w:rPr>
          <w:color w:val="231F20"/>
          <w:spacing w:val="-8"/>
          <w:w w:val="105"/>
        </w:rPr>
        <w:t> </w:t>
      </w:r>
      <w:r>
        <w:rPr>
          <w:color w:val="231F20"/>
          <w:w w:val="105"/>
        </w:rPr>
        <w:t>posi- ble,</w:t>
      </w:r>
      <w:r>
        <w:rPr>
          <w:color w:val="231F20"/>
          <w:spacing w:val="-17"/>
          <w:w w:val="105"/>
        </w:rPr>
        <w:t> </w:t>
      </w:r>
      <w:r>
        <w:rPr>
          <w:color w:val="231F20"/>
          <w:w w:val="105"/>
        </w:rPr>
        <w:t>por</w:t>
      </w:r>
      <w:r>
        <w:rPr>
          <w:color w:val="231F20"/>
          <w:spacing w:val="-17"/>
          <w:w w:val="105"/>
        </w:rPr>
        <w:t> </w:t>
      </w:r>
      <w:r>
        <w:rPr>
          <w:color w:val="231F20"/>
          <w:w w:val="105"/>
        </w:rPr>
        <w:t>lo</w:t>
      </w:r>
      <w:r>
        <w:rPr>
          <w:color w:val="231F20"/>
          <w:spacing w:val="-17"/>
          <w:w w:val="105"/>
        </w:rPr>
        <w:t> </w:t>
      </w:r>
      <w:r>
        <w:rPr>
          <w:color w:val="231F20"/>
          <w:w w:val="105"/>
        </w:rPr>
        <w:t>tanto,</w:t>
      </w:r>
      <w:r>
        <w:rPr>
          <w:color w:val="231F20"/>
          <w:spacing w:val="-17"/>
          <w:w w:val="105"/>
        </w:rPr>
        <w:t> </w:t>
      </w:r>
      <w:r>
        <w:rPr>
          <w:color w:val="231F20"/>
          <w:w w:val="105"/>
        </w:rPr>
        <w:t>que</w:t>
      </w:r>
      <w:r>
        <w:rPr>
          <w:color w:val="231F20"/>
          <w:spacing w:val="-17"/>
          <w:w w:val="105"/>
        </w:rPr>
        <w:t> </w:t>
      </w:r>
      <w:r>
        <w:rPr>
          <w:color w:val="231F20"/>
          <w:w w:val="105"/>
        </w:rPr>
        <w:t>en</w:t>
      </w:r>
      <w:r>
        <w:rPr>
          <w:color w:val="231F20"/>
          <w:spacing w:val="-17"/>
          <w:w w:val="105"/>
        </w:rPr>
        <w:t> </w:t>
      </w:r>
      <w:r>
        <w:rPr>
          <w:color w:val="231F20"/>
          <w:w w:val="105"/>
        </w:rPr>
        <w:t>condiciones</w:t>
      </w:r>
      <w:r>
        <w:rPr>
          <w:color w:val="231F20"/>
          <w:spacing w:val="-17"/>
          <w:w w:val="105"/>
        </w:rPr>
        <w:t> </w:t>
      </w:r>
      <w:r>
        <w:rPr>
          <w:color w:val="231F20"/>
          <w:w w:val="105"/>
        </w:rPr>
        <w:t>de</w:t>
      </w:r>
      <w:r>
        <w:rPr>
          <w:color w:val="231F20"/>
          <w:spacing w:val="-17"/>
          <w:w w:val="105"/>
        </w:rPr>
        <w:t> </w:t>
      </w:r>
      <w:r>
        <w:rPr>
          <w:color w:val="231F20"/>
          <w:w w:val="105"/>
        </w:rPr>
        <w:t>extrema</w:t>
      </w:r>
      <w:r>
        <w:rPr>
          <w:color w:val="231F20"/>
          <w:spacing w:val="-17"/>
          <w:w w:val="105"/>
        </w:rPr>
        <w:t> </w:t>
      </w:r>
      <w:r>
        <w:rPr>
          <w:color w:val="231F20"/>
          <w:w w:val="105"/>
        </w:rPr>
        <w:t>crisis</w:t>
      </w:r>
      <w:r>
        <w:rPr>
          <w:color w:val="231F20"/>
          <w:spacing w:val="-17"/>
          <w:w w:val="105"/>
        </w:rPr>
        <w:t> </w:t>
      </w:r>
      <w:r>
        <w:rPr>
          <w:color w:val="231F20"/>
          <w:w w:val="105"/>
        </w:rPr>
        <w:t>político–militar</w:t>
      </w:r>
      <w:r>
        <w:rPr>
          <w:color w:val="231F20"/>
          <w:spacing w:val="-17"/>
          <w:w w:val="105"/>
        </w:rPr>
        <w:t> </w:t>
      </w:r>
      <w:r>
        <w:rPr>
          <w:color w:val="231F20"/>
          <w:w w:val="105"/>
        </w:rPr>
        <w:t>los ciudadanos de un Estado sean privados precisamente de su</w:t>
      </w:r>
      <w:r>
        <w:rPr>
          <w:color w:val="231F20"/>
          <w:spacing w:val="-19"/>
          <w:w w:val="105"/>
        </w:rPr>
        <w:t> </w:t>
      </w:r>
      <w:r>
        <w:rPr>
          <w:color w:val="231F20"/>
          <w:w w:val="105"/>
        </w:rPr>
        <w:t>“capacidad de</w:t>
      </w:r>
      <w:r>
        <w:rPr>
          <w:color w:val="231F20"/>
          <w:spacing w:val="-20"/>
          <w:w w:val="105"/>
        </w:rPr>
        <w:t> </w:t>
      </w:r>
      <w:r>
        <w:rPr>
          <w:color w:val="231F20"/>
          <w:w w:val="105"/>
        </w:rPr>
        <w:t>actuar</w:t>
      </w:r>
      <w:r>
        <w:rPr>
          <w:color w:val="231F20"/>
          <w:spacing w:val="-20"/>
          <w:w w:val="105"/>
        </w:rPr>
        <w:t> </w:t>
      </w:r>
      <w:r>
        <w:rPr>
          <w:color w:val="231F20"/>
          <w:w w:val="105"/>
        </w:rPr>
        <w:t>colectivamente”,</w:t>
      </w:r>
      <w:r>
        <w:rPr>
          <w:color w:val="231F20"/>
          <w:spacing w:val="-20"/>
          <w:w w:val="105"/>
        </w:rPr>
        <w:t> </w:t>
      </w:r>
      <w:r>
        <w:rPr>
          <w:color w:val="231F20"/>
          <w:w w:val="105"/>
        </w:rPr>
        <w:t>que</w:t>
      </w:r>
      <w:r>
        <w:rPr>
          <w:color w:val="231F20"/>
          <w:spacing w:val="-20"/>
          <w:w w:val="105"/>
        </w:rPr>
        <w:t> </w:t>
      </w:r>
      <w:r>
        <w:rPr>
          <w:color w:val="231F20"/>
          <w:w w:val="105"/>
        </w:rPr>
        <w:t>constituye</w:t>
      </w:r>
      <w:r>
        <w:rPr>
          <w:color w:val="231F20"/>
          <w:spacing w:val="-20"/>
          <w:w w:val="105"/>
        </w:rPr>
        <w:t> </w:t>
      </w:r>
      <w:r>
        <w:rPr>
          <w:color w:val="231F20"/>
          <w:w w:val="105"/>
        </w:rPr>
        <w:t>el</w:t>
      </w:r>
      <w:r>
        <w:rPr>
          <w:color w:val="231F20"/>
          <w:spacing w:val="-20"/>
          <w:w w:val="105"/>
        </w:rPr>
        <w:t> </w:t>
      </w:r>
      <w:r>
        <w:rPr>
          <w:color w:val="231F20"/>
          <w:w w:val="105"/>
        </w:rPr>
        <w:t>núcleo</w:t>
      </w:r>
      <w:r>
        <w:rPr>
          <w:color w:val="231F20"/>
          <w:spacing w:val="-20"/>
          <w:w w:val="105"/>
        </w:rPr>
        <w:t> </w:t>
      </w:r>
      <w:r>
        <w:rPr>
          <w:color w:val="231F20"/>
          <w:w w:val="105"/>
        </w:rPr>
        <w:t>de</w:t>
      </w:r>
      <w:r>
        <w:rPr>
          <w:color w:val="231F20"/>
          <w:spacing w:val="-20"/>
          <w:w w:val="105"/>
        </w:rPr>
        <w:t> </w:t>
      </w:r>
      <w:r>
        <w:rPr>
          <w:color w:val="231F20"/>
          <w:w w:val="105"/>
        </w:rPr>
        <w:t>cada</w:t>
      </w:r>
      <w:r>
        <w:rPr>
          <w:color w:val="231F20"/>
          <w:spacing w:val="-20"/>
          <w:w w:val="105"/>
        </w:rPr>
        <w:t> </w:t>
      </w:r>
      <w:r>
        <w:rPr>
          <w:color w:val="231F20"/>
          <w:w w:val="105"/>
        </w:rPr>
        <w:t>forma</w:t>
      </w:r>
      <w:r>
        <w:rPr>
          <w:color w:val="231F20"/>
          <w:spacing w:val="-20"/>
          <w:w w:val="105"/>
        </w:rPr>
        <w:t> </w:t>
      </w:r>
      <w:r>
        <w:rPr>
          <w:color w:val="231F20"/>
          <w:w w:val="105"/>
        </w:rPr>
        <w:t>exito- sa</w:t>
      </w:r>
      <w:r>
        <w:rPr>
          <w:color w:val="231F20"/>
          <w:spacing w:val="-24"/>
          <w:w w:val="105"/>
        </w:rPr>
        <w:t> </w:t>
      </w:r>
      <w:r>
        <w:rPr>
          <w:color w:val="231F20"/>
          <w:w w:val="105"/>
        </w:rPr>
        <w:t>de</w:t>
      </w:r>
      <w:r>
        <w:rPr>
          <w:color w:val="231F20"/>
          <w:spacing w:val="-24"/>
          <w:w w:val="105"/>
        </w:rPr>
        <w:t> </w:t>
      </w:r>
      <w:r>
        <w:rPr>
          <w:color w:val="231F20"/>
          <w:w w:val="105"/>
        </w:rPr>
        <w:t>ciudadanía</w:t>
      </w:r>
      <w:r>
        <w:rPr>
          <w:color w:val="231F20"/>
          <w:spacing w:val="-24"/>
          <w:w w:val="105"/>
        </w:rPr>
        <w:t> </w:t>
      </w:r>
      <w:r>
        <w:rPr>
          <w:color w:val="231F20"/>
          <w:w w:val="105"/>
        </w:rPr>
        <w:t>política</w:t>
      </w:r>
      <w:r>
        <w:rPr>
          <w:color w:val="231F20"/>
          <w:w w:val="105"/>
          <w:position w:val="7"/>
          <w:sz w:val="12"/>
        </w:rPr>
        <w:t>85</w:t>
      </w:r>
      <w:r>
        <w:rPr>
          <w:color w:val="231F20"/>
          <w:w w:val="105"/>
        </w:rPr>
        <w:t>.</w:t>
      </w:r>
      <w:r>
        <w:rPr>
          <w:color w:val="231F20"/>
          <w:spacing w:val="-24"/>
          <w:w w:val="105"/>
        </w:rPr>
        <w:t> </w:t>
      </w:r>
      <w:r>
        <w:rPr>
          <w:color w:val="231F20"/>
          <w:w w:val="105"/>
        </w:rPr>
        <w:t>En</w:t>
      </w:r>
      <w:r>
        <w:rPr>
          <w:color w:val="231F20"/>
          <w:spacing w:val="-24"/>
          <w:w w:val="105"/>
        </w:rPr>
        <w:t> </w:t>
      </w:r>
      <w:r>
        <w:rPr>
          <w:color w:val="231F20"/>
          <w:w w:val="105"/>
        </w:rPr>
        <w:t>tales</w:t>
      </w:r>
      <w:r>
        <w:rPr>
          <w:color w:val="231F20"/>
          <w:spacing w:val="-24"/>
          <w:w w:val="105"/>
        </w:rPr>
        <w:t> </w:t>
      </w:r>
      <w:r>
        <w:rPr>
          <w:color w:val="231F20"/>
          <w:w w:val="105"/>
        </w:rPr>
        <w:t>circunstancias,</w:t>
      </w:r>
      <w:r>
        <w:rPr>
          <w:color w:val="231F20"/>
          <w:spacing w:val="-24"/>
          <w:w w:val="105"/>
        </w:rPr>
        <w:t> </w:t>
      </w:r>
      <w:r>
        <w:rPr>
          <w:color w:val="231F20"/>
          <w:w w:val="105"/>
        </w:rPr>
        <w:t>la</w:t>
      </w:r>
      <w:r>
        <w:rPr>
          <w:color w:val="231F20"/>
          <w:spacing w:val="-24"/>
          <w:w w:val="105"/>
        </w:rPr>
        <w:t> </w:t>
      </w:r>
      <w:r>
        <w:rPr>
          <w:color w:val="231F20"/>
          <w:w w:val="105"/>
        </w:rPr>
        <w:t>introducción</w:t>
      </w:r>
      <w:r>
        <w:rPr>
          <w:color w:val="231F20"/>
          <w:spacing w:val="-24"/>
          <w:w w:val="105"/>
        </w:rPr>
        <w:t> </w:t>
      </w:r>
      <w:r>
        <w:rPr>
          <w:color w:val="231F20"/>
          <w:w w:val="105"/>
        </w:rPr>
        <w:t>de</w:t>
      </w:r>
      <w:r>
        <w:rPr>
          <w:color w:val="231F20"/>
          <w:spacing w:val="-24"/>
          <w:w w:val="105"/>
        </w:rPr>
        <w:t> </w:t>
      </w:r>
      <w:r>
        <w:rPr>
          <w:color w:val="231F20"/>
          <w:w w:val="105"/>
        </w:rPr>
        <w:t>una estructura</w:t>
      </w:r>
      <w:r>
        <w:rPr>
          <w:color w:val="231F20"/>
          <w:spacing w:val="-45"/>
          <w:w w:val="105"/>
        </w:rPr>
        <w:t> </w:t>
      </w:r>
      <w:r>
        <w:rPr>
          <w:color w:val="231F20"/>
          <w:w w:val="105"/>
        </w:rPr>
        <w:t>autoritaria</w:t>
      </w:r>
      <w:r>
        <w:rPr>
          <w:color w:val="231F20"/>
          <w:spacing w:val="-45"/>
          <w:w w:val="105"/>
        </w:rPr>
        <w:t> </w:t>
      </w:r>
      <w:r>
        <w:rPr>
          <w:color w:val="231F20"/>
          <w:w w:val="105"/>
        </w:rPr>
        <w:t>externa</w:t>
      </w:r>
      <w:r>
        <w:rPr>
          <w:color w:val="231F20"/>
          <w:spacing w:val="-45"/>
          <w:w w:val="105"/>
        </w:rPr>
        <w:t> </w:t>
      </w:r>
      <w:r>
        <w:rPr>
          <w:color w:val="231F20"/>
          <w:w w:val="105"/>
        </w:rPr>
        <w:t>puede</w:t>
      </w:r>
      <w:r>
        <w:rPr>
          <w:color w:val="231F20"/>
          <w:spacing w:val="-45"/>
          <w:w w:val="105"/>
        </w:rPr>
        <w:t> </w:t>
      </w:r>
      <w:r>
        <w:rPr>
          <w:color w:val="231F20"/>
          <w:w w:val="105"/>
        </w:rPr>
        <w:t>representar</w:t>
      </w:r>
      <w:r>
        <w:rPr>
          <w:color w:val="231F20"/>
          <w:spacing w:val="-45"/>
          <w:w w:val="105"/>
        </w:rPr>
        <w:t> </w:t>
      </w:r>
      <w:r>
        <w:rPr>
          <w:color w:val="231F20"/>
          <w:w w:val="105"/>
        </w:rPr>
        <w:t>una</w:t>
      </w:r>
      <w:r>
        <w:rPr>
          <w:color w:val="231F20"/>
          <w:spacing w:val="-45"/>
          <w:w w:val="105"/>
        </w:rPr>
        <w:t> </w:t>
      </w:r>
      <w:r>
        <w:rPr>
          <w:color w:val="231F20"/>
          <w:w w:val="105"/>
        </w:rPr>
        <w:t>contribución</w:t>
      </w:r>
      <w:r>
        <w:rPr>
          <w:color w:val="231F20"/>
          <w:spacing w:val="-45"/>
          <w:w w:val="105"/>
        </w:rPr>
        <w:t> </w:t>
      </w:r>
      <w:r>
        <w:rPr>
          <w:color w:val="231F20"/>
          <w:w w:val="105"/>
        </w:rPr>
        <w:t>decisiva para</w:t>
      </w:r>
      <w:r>
        <w:rPr>
          <w:color w:val="231F20"/>
          <w:spacing w:val="-33"/>
          <w:w w:val="105"/>
        </w:rPr>
        <w:t> </w:t>
      </w:r>
      <w:r>
        <w:rPr>
          <w:color w:val="231F20"/>
          <w:w w:val="105"/>
        </w:rPr>
        <w:t>la</w:t>
      </w:r>
      <w:r>
        <w:rPr>
          <w:color w:val="231F20"/>
          <w:spacing w:val="-33"/>
          <w:w w:val="105"/>
        </w:rPr>
        <w:t> </w:t>
      </w:r>
      <w:r>
        <w:rPr>
          <w:color w:val="231F20"/>
          <w:w w:val="105"/>
        </w:rPr>
        <w:t>refundación</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soberanía</w:t>
      </w:r>
      <w:r>
        <w:rPr>
          <w:color w:val="231F20"/>
          <w:spacing w:val="-33"/>
          <w:w w:val="105"/>
        </w:rPr>
        <w:t> </w:t>
      </w:r>
      <w:r>
        <w:rPr>
          <w:color w:val="231F20"/>
          <w:w w:val="105"/>
        </w:rPr>
        <w:t>interna,</w:t>
      </w:r>
      <w:r>
        <w:rPr>
          <w:color w:val="231F20"/>
          <w:spacing w:val="-33"/>
          <w:w w:val="105"/>
        </w:rPr>
        <w:t> </w:t>
      </w:r>
      <w:r>
        <w:rPr>
          <w:color w:val="231F20"/>
          <w:w w:val="105"/>
        </w:rPr>
        <w:t>en</w:t>
      </w:r>
      <w:r>
        <w:rPr>
          <w:color w:val="231F20"/>
          <w:spacing w:val="-33"/>
          <w:w w:val="105"/>
        </w:rPr>
        <w:t> </w:t>
      </w:r>
      <w:r>
        <w:rPr>
          <w:color w:val="231F20"/>
          <w:w w:val="105"/>
        </w:rPr>
        <w:t>la</w:t>
      </w:r>
      <w:r>
        <w:rPr>
          <w:color w:val="231F20"/>
          <w:spacing w:val="-33"/>
          <w:w w:val="105"/>
        </w:rPr>
        <w:t> </w:t>
      </w:r>
      <w:r>
        <w:rPr>
          <w:color w:val="231F20"/>
          <w:w w:val="105"/>
        </w:rPr>
        <w:t>medida</w:t>
      </w:r>
      <w:r>
        <w:rPr>
          <w:color w:val="231F20"/>
          <w:spacing w:val="-33"/>
          <w:w w:val="105"/>
        </w:rPr>
        <w:t> </w:t>
      </w:r>
      <w:r>
        <w:rPr>
          <w:color w:val="231F20"/>
          <w:w w:val="105"/>
        </w:rPr>
        <w:t>en</w:t>
      </w:r>
      <w:r>
        <w:rPr>
          <w:color w:val="231F20"/>
          <w:spacing w:val="-33"/>
          <w:w w:val="105"/>
        </w:rPr>
        <w:t> </w:t>
      </w:r>
      <w:r>
        <w:rPr>
          <w:color w:val="231F20"/>
          <w:w w:val="105"/>
        </w:rPr>
        <w:t>que</w:t>
      </w:r>
      <w:r>
        <w:rPr>
          <w:color w:val="231F20"/>
          <w:spacing w:val="-33"/>
          <w:w w:val="105"/>
        </w:rPr>
        <w:t> </w:t>
      </w:r>
      <w:r>
        <w:rPr>
          <w:color w:val="231F20"/>
          <w:w w:val="105"/>
        </w:rPr>
        <w:t>consiente efectivamente aumentar el </w:t>
      </w:r>
      <w:r>
        <w:rPr>
          <w:rFonts w:ascii="Arial" w:hAnsi="Arial"/>
          <w:i/>
          <w:color w:val="231F20"/>
          <w:w w:val="105"/>
        </w:rPr>
        <w:t>poder </w:t>
      </w:r>
      <w:r>
        <w:rPr>
          <w:color w:val="231F20"/>
          <w:w w:val="105"/>
        </w:rPr>
        <w:t>de los ciudadanos del Estado, lo que hace</w:t>
      </w:r>
      <w:r>
        <w:rPr>
          <w:color w:val="231F20"/>
          <w:spacing w:val="-34"/>
          <w:w w:val="105"/>
        </w:rPr>
        <w:t> </w:t>
      </w:r>
      <w:r>
        <w:rPr>
          <w:color w:val="231F20"/>
          <w:w w:val="105"/>
        </w:rPr>
        <w:t>posible</w:t>
      </w:r>
      <w:r>
        <w:rPr>
          <w:color w:val="231F20"/>
          <w:spacing w:val="-34"/>
          <w:w w:val="105"/>
        </w:rPr>
        <w:t> </w:t>
      </w:r>
      <w:r>
        <w:rPr>
          <w:color w:val="231F20"/>
          <w:w w:val="105"/>
        </w:rPr>
        <w:t>para</w:t>
      </w:r>
      <w:r>
        <w:rPr>
          <w:color w:val="231F20"/>
          <w:spacing w:val="-34"/>
          <w:w w:val="105"/>
        </w:rPr>
        <w:t> </w:t>
      </w:r>
      <w:r>
        <w:rPr>
          <w:color w:val="231F20"/>
          <w:w w:val="105"/>
        </w:rPr>
        <w:t>ellos</w:t>
      </w:r>
      <w:r>
        <w:rPr>
          <w:color w:val="231F20"/>
          <w:spacing w:val="-34"/>
          <w:w w:val="105"/>
        </w:rPr>
        <w:t> </w:t>
      </w:r>
      <w:r>
        <w:rPr>
          <w:color w:val="231F20"/>
          <w:w w:val="105"/>
        </w:rPr>
        <w:t>actuar</w:t>
      </w:r>
      <w:r>
        <w:rPr>
          <w:color w:val="231F20"/>
          <w:spacing w:val="-34"/>
          <w:w w:val="105"/>
        </w:rPr>
        <w:t> </w:t>
      </w:r>
      <w:r>
        <w:rPr>
          <w:color w:val="231F20"/>
          <w:w w:val="105"/>
        </w:rPr>
        <w:t>juntos</w:t>
      </w:r>
      <w:r>
        <w:rPr>
          <w:color w:val="231F20"/>
          <w:spacing w:val="-34"/>
          <w:w w:val="105"/>
        </w:rPr>
        <w:t> </w:t>
      </w:r>
      <w:r>
        <w:rPr>
          <w:color w:val="231F20"/>
          <w:w w:val="105"/>
        </w:rPr>
        <w:t>de</w:t>
      </w:r>
      <w:r>
        <w:rPr>
          <w:color w:val="231F20"/>
          <w:spacing w:val="-34"/>
          <w:w w:val="105"/>
        </w:rPr>
        <w:t> </w:t>
      </w:r>
      <w:r>
        <w:rPr>
          <w:color w:val="231F20"/>
          <w:w w:val="105"/>
        </w:rPr>
        <w:t>nuevo</w:t>
      </w:r>
      <w:r>
        <w:rPr>
          <w:color w:val="231F20"/>
          <w:w w:val="105"/>
          <w:position w:val="7"/>
          <w:sz w:val="12"/>
        </w:rPr>
        <w:t>86</w:t>
      </w:r>
      <w:r>
        <w:rPr>
          <w:color w:val="231F20"/>
          <w:w w:val="105"/>
        </w:rPr>
        <w:t>.</w:t>
      </w:r>
    </w:p>
    <w:p>
      <w:pPr>
        <w:pStyle w:val="BodyText"/>
        <w:spacing w:line="247" w:lineRule="auto"/>
        <w:ind w:left="103" w:right="115" w:firstLine="622"/>
        <w:jc w:val="both"/>
      </w:pPr>
      <w:r>
        <w:rPr>
          <w:color w:val="231F20"/>
        </w:rPr>
        <w:t>Como demuestran las líneas de </w:t>
      </w:r>
      <w:r>
        <w:rPr>
          <w:color w:val="231F20"/>
          <w:spacing w:val="-3"/>
        </w:rPr>
        <w:t>reflexión </w:t>
      </w:r>
      <w:r>
        <w:rPr>
          <w:color w:val="231F20"/>
        </w:rPr>
        <w:t>más innovadoras, </w:t>
      </w:r>
      <w:r>
        <w:rPr>
          <w:color w:val="231F20"/>
          <w:spacing w:val="-3"/>
        </w:rPr>
        <w:t>reciente- </w:t>
      </w:r>
      <w:r>
        <w:rPr>
          <w:color w:val="231F20"/>
        </w:rPr>
        <w:t>mente</w:t>
      </w:r>
      <w:r>
        <w:rPr>
          <w:color w:val="231F20"/>
          <w:spacing w:val="-18"/>
        </w:rPr>
        <w:t> </w:t>
      </w:r>
      <w:r>
        <w:rPr>
          <w:color w:val="231F20"/>
          <w:spacing w:val="-3"/>
        </w:rPr>
        <w:t>surgidas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teoría</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spacing w:val="-3"/>
        </w:rPr>
        <w:t>relaciones</w:t>
      </w:r>
      <w:r>
        <w:rPr>
          <w:color w:val="231F20"/>
          <w:spacing w:val="-18"/>
        </w:rPr>
        <w:t> </w:t>
      </w:r>
      <w:r>
        <w:rPr>
          <w:color w:val="231F20"/>
        </w:rPr>
        <w:t>internacionales,</w:t>
      </w:r>
      <w:r>
        <w:rPr>
          <w:color w:val="231F20"/>
          <w:spacing w:val="-18"/>
        </w:rPr>
        <w:t> </w:t>
      </w:r>
      <w:r>
        <w:rPr>
          <w:color w:val="231F20"/>
        </w:rPr>
        <w:t>en</w:t>
      </w:r>
      <w:r>
        <w:rPr>
          <w:color w:val="231F20"/>
          <w:spacing w:val="-18"/>
        </w:rPr>
        <w:t> </w:t>
      </w:r>
      <w:r>
        <w:rPr>
          <w:color w:val="231F20"/>
        </w:rPr>
        <w:t>un</w:t>
      </w:r>
      <w:r>
        <w:rPr>
          <w:color w:val="231F20"/>
          <w:spacing w:val="-18"/>
        </w:rPr>
        <w:t> </w:t>
      </w:r>
      <w:r>
        <w:rPr>
          <w:color w:val="231F20"/>
        </w:rPr>
        <w:t>contexto teórico de este tipo no </w:t>
      </w:r>
      <w:r>
        <w:rPr>
          <w:color w:val="231F20"/>
          <w:spacing w:val="-3"/>
        </w:rPr>
        <w:t>parece </w:t>
      </w:r>
      <w:r>
        <w:rPr>
          <w:color w:val="231F20"/>
        </w:rPr>
        <w:t>que haya lugar para una concepción “auto- </w:t>
      </w:r>
      <w:r>
        <w:rPr>
          <w:color w:val="231F20"/>
          <w:spacing w:val="-3"/>
        </w:rPr>
        <w:t>referencial” </w:t>
      </w:r>
      <w:r>
        <w:rPr>
          <w:color w:val="231F20"/>
        </w:rPr>
        <w:t>de la soberanía estatal, así como tampoco </w:t>
      </w:r>
      <w:r>
        <w:rPr>
          <w:color w:val="231F20"/>
          <w:spacing w:val="-3"/>
        </w:rPr>
        <w:t>parece </w:t>
      </w:r>
      <w:r>
        <w:rPr>
          <w:color w:val="231F20"/>
        </w:rPr>
        <w:t>que pueda caber</w:t>
      </w:r>
      <w:r>
        <w:rPr>
          <w:color w:val="231F20"/>
          <w:spacing w:val="-22"/>
        </w:rPr>
        <w:t> </w:t>
      </w:r>
      <w:r>
        <w:rPr>
          <w:color w:val="231F20"/>
        </w:rPr>
        <w:t>una</w:t>
      </w:r>
      <w:r>
        <w:rPr>
          <w:color w:val="231F20"/>
          <w:spacing w:val="-22"/>
        </w:rPr>
        <w:t> </w:t>
      </w:r>
      <w:r>
        <w:rPr>
          <w:color w:val="231F20"/>
        </w:rPr>
        <w:t>enunciación</w:t>
      </w:r>
      <w:r>
        <w:rPr>
          <w:color w:val="231F20"/>
          <w:spacing w:val="-22"/>
        </w:rPr>
        <w:t> </w:t>
      </w:r>
      <w:r>
        <w:rPr>
          <w:color w:val="231F20"/>
        </w:rPr>
        <w:t>abstracta</w:t>
      </w:r>
      <w:r>
        <w:rPr>
          <w:color w:val="231F20"/>
          <w:spacing w:val="-22"/>
        </w:rPr>
        <w:t> </w:t>
      </w:r>
      <w:r>
        <w:rPr>
          <w:color w:val="231F20"/>
        </w:rPr>
        <w:t>de</w:t>
      </w:r>
      <w:r>
        <w:rPr>
          <w:color w:val="231F20"/>
          <w:spacing w:val="-22"/>
        </w:rPr>
        <w:t> </w:t>
      </w:r>
      <w:r>
        <w:rPr>
          <w:color w:val="231F20"/>
        </w:rPr>
        <w:t>sus</w:t>
      </w:r>
      <w:r>
        <w:rPr>
          <w:color w:val="231F20"/>
          <w:spacing w:val="-22"/>
        </w:rPr>
        <w:t> </w:t>
      </w:r>
      <w:r>
        <w:rPr>
          <w:color w:val="231F20"/>
          <w:spacing w:val="-3"/>
        </w:rPr>
        <w:t>prerrogativas</w:t>
      </w:r>
      <w:r>
        <w:rPr>
          <w:color w:val="231F20"/>
          <w:spacing w:val="-22"/>
        </w:rPr>
        <w:t> </w:t>
      </w:r>
      <w:r>
        <w:rPr>
          <w:color w:val="231F20"/>
        </w:rPr>
        <w:t>jurídicas,</w:t>
      </w:r>
      <w:r>
        <w:rPr>
          <w:color w:val="231F20"/>
          <w:spacing w:val="-22"/>
        </w:rPr>
        <w:t> </w:t>
      </w:r>
      <w:r>
        <w:rPr>
          <w:color w:val="231F20"/>
          <w:spacing w:val="-2"/>
        </w:rPr>
        <w:t>desvinculada </w:t>
      </w:r>
      <w:r>
        <w:rPr>
          <w:color w:val="231F20"/>
        </w:rPr>
        <w:t>de los complejos </w:t>
      </w:r>
      <w:r>
        <w:rPr>
          <w:color w:val="231F20"/>
          <w:spacing w:val="-3"/>
        </w:rPr>
        <w:t>procesos </w:t>
      </w:r>
      <w:r>
        <w:rPr>
          <w:color w:val="231F20"/>
        </w:rPr>
        <w:t>de “interacción, </w:t>
      </w:r>
      <w:r>
        <w:rPr>
          <w:color w:val="231F20"/>
          <w:spacing w:val="-3"/>
        </w:rPr>
        <w:t>reconocimiento </w:t>
      </w:r>
      <w:r>
        <w:rPr>
          <w:color w:val="231F20"/>
        </w:rPr>
        <w:t>y legitimación”  a través de los cuales “los </w:t>
      </w:r>
      <w:r>
        <w:rPr>
          <w:color w:val="231F20"/>
          <w:spacing w:val="-3"/>
        </w:rPr>
        <w:t>derechos, </w:t>
      </w:r>
      <w:r>
        <w:rPr>
          <w:color w:val="231F20"/>
        </w:rPr>
        <w:t>incluidos aquellos de los Estados, </w:t>
      </w:r>
      <w:r>
        <w:rPr>
          <w:color w:val="231F20"/>
          <w:spacing w:val="-2"/>
        </w:rPr>
        <w:t>son </w:t>
      </w:r>
      <w:r>
        <w:rPr>
          <w:color w:val="231F20"/>
        </w:rPr>
        <w:t>socialmente e históricamente construidos</w:t>
      </w:r>
      <w:r>
        <w:rPr>
          <w:color w:val="231F20"/>
          <w:position w:val="7"/>
          <w:sz w:val="12"/>
        </w:rPr>
        <w:t>87</w:t>
      </w:r>
      <w:r>
        <w:rPr>
          <w:color w:val="231F20"/>
        </w:rPr>
        <w:t>. Por el contrario, todo </w:t>
      </w:r>
      <w:r>
        <w:rPr>
          <w:color w:val="231F20"/>
          <w:spacing w:val="-3"/>
        </w:rPr>
        <w:t>parece converger </w:t>
      </w:r>
      <w:r>
        <w:rPr>
          <w:color w:val="231F20"/>
        </w:rPr>
        <w:t>hacia un horizonte plural de </w:t>
      </w:r>
      <w:r>
        <w:rPr>
          <w:color w:val="231F20"/>
          <w:spacing w:val="-3"/>
        </w:rPr>
        <w:t>representaciones </w:t>
      </w:r>
      <w:r>
        <w:rPr>
          <w:color w:val="231F20"/>
        </w:rPr>
        <w:t>identitarias, ne- gociaciones políticas y prácticas sociales, en el cual el nexo soberanía po- </w:t>
      </w:r>
      <w:r>
        <w:rPr>
          <w:color w:val="231F20"/>
          <w:spacing w:val="-3"/>
        </w:rPr>
        <w:t>pular–derechos </w:t>
      </w:r>
      <w:r>
        <w:rPr>
          <w:color w:val="231F20"/>
        </w:rPr>
        <w:t>humanos </w:t>
      </w:r>
      <w:r>
        <w:rPr>
          <w:color w:val="231F20"/>
          <w:spacing w:val="-3"/>
        </w:rPr>
        <w:t>parece </w:t>
      </w:r>
      <w:r>
        <w:rPr>
          <w:color w:val="231F20"/>
        </w:rPr>
        <w:t>susceptible de nuevos y por el momento </w:t>
      </w:r>
      <w:r>
        <w:rPr>
          <w:color w:val="231F20"/>
          <w:spacing w:val="-3"/>
        </w:rPr>
        <w:t>imprevisibles </w:t>
      </w:r>
      <w:r>
        <w:rPr>
          <w:color w:val="231F20"/>
        </w:rPr>
        <w:t>desarrollos</w:t>
      </w:r>
      <w:r>
        <w:rPr>
          <w:color w:val="231F20"/>
          <w:position w:val="7"/>
          <w:sz w:val="12"/>
        </w:rPr>
        <w:t>88</w:t>
      </w:r>
      <w:r>
        <w:rPr>
          <w:color w:val="231F20"/>
        </w:rPr>
        <w:t>. En estas líneas obviamente no me es posible detallar este complejo y diversificado </w:t>
      </w:r>
      <w:r>
        <w:rPr>
          <w:color w:val="231F20"/>
          <w:spacing w:val="-3"/>
        </w:rPr>
        <w:t>proceso </w:t>
      </w:r>
      <w:r>
        <w:rPr>
          <w:color w:val="231F20"/>
        </w:rPr>
        <w:t>de </w:t>
      </w:r>
      <w:r>
        <w:rPr>
          <w:color w:val="231F20"/>
          <w:spacing w:val="-3"/>
        </w:rPr>
        <w:t>refundación </w:t>
      </w:r>
      <w:r>
        <w:rPr>
          <w:color w:val="231F20"/>
        </w:rPr>
        <w:t>epistémica y categorial. Al concluir el itinerario </w:t>
      </w:r>
      <w:r>
        <w:rPr>
          <w:color w:val="231F20"/>
          <w:spacing w:val="-3"/>
        </w:rPr>
        <w:t>propuesto </w:t>
      </w:r>
      <w:r>
        <w:rPr>
          <w:color w:val="231F20"/>
        </w:rPr>
        <w:t>en estas páginas, me limitaré a confirmar la </w:t>
      </w:r>
      <w:r>
        <w:rPr>
          <w:color w:val="231F20"/>
          <w:spacing w:val="-3"/>
        </w:rPr>
        <w:t>relevancia </w:t>
      </w:r>
      <w:r>
        <w:rPr>
          <w:color w:val="231F20"/>
        </w:rPr>
        <w:t>que esto asume para los fines de la elaboración de una concepción de la justicia política finalmente emancipada del </w:t>
      </w:r>
      <w:r>
        <w:rPr>
          <w:color w:val="231F20"/>
          <w:spacing w:val="-2"/>
        </w:rPr>
        <w:t>rígido </w:t>
      </w:r>
      <w:r>
        <w:rPr>
          <w:color w:val="231F20"/>
        </w:rPr>
        <w:t>dispositivo interno/externo que dejó como </w:t>
      </w:r>
      <w:r>
        <w:rPr>
          <w:color w:val="231F20"/>
          <w:spacing w:val="-3"/>
        </w:rPr>
        <w:t>herencia </w:t>
      </w:r>
      <w:r>
        <w:rPr>
          <w:color w:val="231F20"/>
        </w:rPr>
        <w:t>el pensamiento de  </w:t>
      </w:r>
      <w:r>
        <w:rPr>
          <w:color w:val="231F20"/>
          <w:spacing w:val="7"/>
        </w:rPr>
        <w:t> </w:t>
      </w:r>
      <w:r>
        <w:rPr>
          <w:color w:val="231F20"/>
        </w:rPr>
        <w:t>la</w:t>
      </w:r>
    </w:p>
    <w:p>
      <w:pPr>
        <w:pStyle w:val="BodyText"/>
        <w:spacing w:before="6"/>
        <w:rPr>
          <w:sz w:val="29"/>
        </w:rPr>
      </w:pPr>
      <w:r>
        <w:rPr/>
        <w:pict>
          <v:line style="position:absolute;mso-position-horizontal-relative:page;mso-position-vertical-relative:paragraph;z-index:8200;mso-wrap-distance-left:0;mso-wrap-distance-right:0" from="65.196899pt,19.906984pt" to="178.582899pt,19.906984pt" stroked="true" strokeweight=".3pt" strokecolor="#231f20">
            <w10:wrap type="topAndBottom"/>
          </v:line>
        </w:pict>
      </w:r>
    </w:p>
    <w:p>
      <w:pPr>
        <w:spacing w:line="204" w:lineRule="exact" w:before="8"/>
        <w:ind w:left="103" w:right="115" w:firstLine="0"/>
        <w:jc w:val="both"/>
        <w:rPr>
          <w:rFonts w:ascii="Calibri" w:hAnsi="Calibri"/>
          <w:sz w:val="17"/>
        </w:rPr>
      </w:pPr>
      <w:r>
        <w:rPr>
          <w:rFonts w:ascii="Calibri" w:hAnsi="Calibri"/>
          <w:color w:val="231F20"/>
          <w:w w:val="105"/>
          <w:position w:val="6"/>
          <w:sz w:val="10"/>
        </w:rPr>
        <w:t>84</w:t>
      </w:r>
      <w:r>
        <w:rPr>
          <w:rFonts w:ascii="Calibri" w:hAnsi="Calibri"/>
          <w:color w:val="231F20"/>
          <w:spacing w:val="-8"/>
          <w:w w:val="105"/>
          <w:position w:val="6"/>
          <w:sz w:val="10"/>
        </w:rPr>
        <w:t> </w:t>
      </w:r>
      <w:r>
        <w:rPr>
          <w:rFonts w:ascii="Calibri" w:hAnsi="Calibri"/>
          <w:color w:val="231F20"/>
          <w:spacing w:val="-6"/>
          <w:w w:val="105"/>
          <w:sz w:val="17"/>
        </w:rPr>
        <w:t>W.</w:t>
      </w:r>
      <w:r>
        <w:rPr>
          <w:rFonts w:ascii="Calibri" w:hAnsi="Calibri"/>
          <w:color w:val="231F20"/>
          <w:spacing w:val="-23"/>
          <w:w w:val="105"/>
          <w:sz w:val="17"/>
        </w:rPr>
        <w:t> </w:t>
      </w:r>
      <w:r>
        <w:rPr>
          <w:rFonts w:ascii="Calibri" w:hAnsi="Calibri"/>
          <w:color w:val="231F20"/>
          <w:w w:val="105"/>
          <w:sz w:val="17"/>
        </w:rPr>
        <w:t>Kersting,</w:t>
      </w:r>
      <w:r>
        <w:rPr>
          <w:rFonts w:ascii="Calibri" w:hAnsi="Calibri"/>
          <w:color w:val="231F20"/>
          <w:spacing w:val="-23"/>
          <w:w w:val="105"/>
          <w:sz w:val="17"/>
        </w:rPr>
        <w:t> </w:t>
      </w:r>
      <w:r>
        <w:rPr>
          <w:rFonts w:ascii="Calibri" w:hAnsi="Calibri"/>
          <w:color w:val="231F20"/>
          <w:w w:val="105"/>
          <w:sz w:val="17"/>
        </w:rPr>
        <w:t>“Bewaffnete</w:t>
      </w:r>
      <w:r>
        <w:rPr>
          <w:rFonts w:ascii="Calibri" w:hAnsi="Calibri"/>
          <w:color w:val="231F20"/>
          <w:spacing w:val="-23"/>
          <w:w w:val="105"/>
          <w:sz w:val="17"/>
        </w:rPr>
        <w:t> </w:t>
      </w:r>
      <w:r>
        <w:rPr>
          <w:rFonts w:ascii="Calibri" w:hAnsi="Calibri"/>
          <w:color w:val="231F20"/>
          <w:w w:val="105"/>
          <w:sz w:val="17"/>
        </w:rPr>
        <w:t>Intervention</w:t>
      </w:r>
      <w:r>
        <w:rPr>
          <w:rFonts w:ascii="Calibri" w:hAnsi="Calibri"/>
          <w:color w:val="231F20"/>
          <w:spacing w:val="-23"/>
          <w:w w:val="105"/>
          <w:sz w:val="17"/>
        </w:rPr>
        <w:t> </w:t>
      </w:r>
      <w:r>
        <w:rPr>
          <w:rFonts w:ascii="Calibri" w:hAnsi="Calibri"/>
          <w:color w:val="231F20"/>
          <w:w w:val="105"/>
          <w:sz w:val="17"/>
        </w:rPr>
        <w:t>als</w:t>
      </w:r>
      <w:r>
        <w:rPr>
          <w:rFonts w:ascii="Calibri" w:hAnsi="Calibri"/>
          <w:color w:val="231F20"/>
          <w:spacing w:val="-23"/>
          <w:w w:val="105"/>
          <w:sz w:val="17"/>
        </w:rPr>
        <w:t> </w:t>
      </w:r>
      <w:r>
        <w:rPr>
          <w:rFonts w:ascii="Calibri" w:hAnsi="Calibri"/>
          <w:color w:val="231F20"/>
          <w:w w:val="105"/>
          <w:sz w:val="17"/>
        </w:rPr>
        <w:t>Menschenrechtsschutz?”,</w:t>
      </w:r>
      <w:r>
        <w:rPr>
          <w:rFonts w:ascii="Calibri" w:hAnsi="Calibri"/>
          <w:color w:val="231F20"/>
          <w:spacing w:val="-23"/>
          <w:w w:val="105"/>
          <w:sz w:val="17"/>
        </w:rPr>
        <w:t> </w:t>
      </w:r>
      <w:r>
        <w:rPr>
          <w:rFonts w:ascii="Calibri" w:hAnsi="Calibri"/>
          <w:color w:val="231F20"/>
          <w:w w:val="105"/>
          <w:sz w:val="17"/>
        </w:rPr>
        <w:t>R.</w:t>
      </w:r>
      <w:r>
        <w:rPr>
          <w:rFonts w:ascii="Calibri" w:hAnsi="Calibri"/>
          <w:color w:val="231F20"/>
          <w:spacing w:val="-23"/>
          <w:w w:val="105"/>
          <w:sz w:val="17"/>
        </w:rPr>
        <w:t> </w:t>
      </w:r>
      <w:r>
        <w:rPr>
          <w:rFonts w:ascii="Calibri" w:hAnsi="Calibri"/>
          <w:color w:val="231F20"/>
          <w:w w:val="105"/>
          <w:sz w:val="17"/>
        </w:rPr>
        <w:t>Merkel</w:t>
      </w:r>
      <w:r>
        <w:rPr>
          <w:rFonts w:ascii="Calibri" w:hAnsi="Calibri"/>
          <w:color w:val="231F20"/>
          <w:spacing w:val="-23"/>
          <w:w w:val="105"/>
          <w:sz w:val="17"/>
        </w:rPr>
        <w:t> </w:t>
      </w:r>
      <w:r>
        <w:rPr>
          <w:rFonts w:ascii="Calibri" w:hAnsi="Calibri"/>
          <w:color w:val="231F20"/>
          <w:w w:val="105"/>
          <w:sz w:val="17"/>
        </w:rPr>
        <w:t>(Ed.),</w:t>
      </w:r>
      <w:r>
        <w:rPr>
          <w:rFonts w:ascii="Calibri" w:hAnsi="Calibri"/>
          <w:color w:val="231F20"/>
          <w:spacing w:val="-23"/>
          <w:w w:val="105"/>
          <w:sz w:val="17"/>
        </w:rPr>
        <w:t> </w:t>
      </w:r>
      <w:r>
        <w:rPr>
          <w:rFonts w:ascii="Calibri" w:hAnsi="Calibri"/>
          <w:i/>
          <w:color w:val="231F20"/>
          <w:w w:val="105"/>
          <w:sz w:val="17"/>
        </w:rPr>
        <w:t>Der</w:t>
      </w:r>
      <w:r>
        <w:rPr>
          <w:rFonts w:ascii="Calibri" w:hAnsi="Calibri"/>
          <w:i/>
          <w:color w:val="231F20"/>
          <w:spacing w:val="-23"/>
          <w:w w:val="105"/>
          <w:sz w:val="17"/>
        </w:rPr>
        <w:t> </w:t>
      </w:r>
      <w:r>
        <w:rPr>
          <w:rFonts w:ascii="Calibri" w:hAnsi="Calibri"/>
          <w:i/>
          <w:color w:val="231F20"/>
          <w:w w:val="105"/>
          <w:sz w:val="17"/>
        </w:rPr>
        <w:t>Kosovo</w:t>
      </w:r>
      <w:r>
        <w:rPr>
          <w:rFonts w:ascii="Calibri" w:hAnsi="Calibri"/>
          <w:color w:val="231F20"/>
          <w:w w:val="105"/>
          <w:sz w:val="17"/>
        </w:rPr>
        <w:t>– </w:t>
      </w:r>
      <w:r>
        <w:rPr>
          <w:rFonts w:ascii="Calibri" w:hAnsi="Calibri"/>
          <w:i/>
          <w:color w:val="231F20"/>
          <w:w w:val="105"/>
          <w:sz w:val="17"/>
        </w:rPr>
        <w:t>Krieg</w:t>
      </w:r>
      <w:r>
        <w:rPr>
          <w:rFonts w:ascii="Calibri" w:hAnsi="Calibri"/>
          <w:i/>
          <w:color w:val="231F20"/>
          <w:spacing w:val="-29"/>
          <w:w w:val="105"/>
          <w:sz w:val="17"/>
        </w:rPr>
        <w:t> </w:t>
      </w:r>
      <w:r>
        <w:rPr>
          <w:rFonts w:ascii="Calibri" w:hAnsi="Calibri"/>
          <w:i/>
          <w:color w:val="231F20"/>
          <w:w w:val="105"/>
          <w:sz w:val="17"/>
        </w:rPr>
        <w:t>und</w:t>
      </w:r>
      <w:r>
        <w:rPr>
          <w:rFonts w:ascii="Calibri" w:hAnsi="Calibri"/>
          <w:i/>
          <w:color w:val="231F20"/>
          <w:spacing w:val="-29"/>
          <w:w w:val="105"/>
          <w:sz w:val="17"/>
        </w:rPr>
        <w:t> </w:t>
      </w:r>
      <w:r>
        <w:rPr>
          <w:rFonts w:ascii="Calibri" w:hAnsi="Calibri"/>
          <w:i/>
          <w:color w:val="231F20"/>
          <w:w w:val="105"/>
          <w:sz w:val="17"/>
        </w:rPr>
        <w:t>das</w:t>
      </w:r>
      <w:r>
        <w:rPr>
          <w:rFonts w:ascii="Calibri" w:hAnsi="Calibri"/>
          <w:i/>
          <w:color w:val="231F20"/>
          <w:spacing w:val="-29"/>
          <w:w w:val="105"/>
          <w:sz w:val="17"/>
        </w:rPr>
        <w:t> </w:t>
      </w:r>
      <w:r>
        <w:rPr>
          <w:rFonts w:ascii="Calibri" w:hAnsi="Calibri"/>
          <w:i/>
          <w:color w:val="231F20"/>
          <w:w w:val="105"/>
          <w:sz w:val="17"/>
        </w:rPr>
        <w:t>Völkerrecht</w:t>
      </w:r>
      <w:r>
        <w:rPr>
          <w:rFonts w:ascii="Calibri" w:hAnsi="Calibri"/>
          <w:color w:val="231F20"/>
          <w:w w:val="105"/>
          <w:sz w:val="17"/>
        </w:rPr>
        <w:t>,</w:t>
      </w:r>
      <w:r>
        <w:rPr>
          <w:rFonts w:ascii="Calibri" w:hAnsi="Calibri"/>
          <w:color w:val="231F20"/>
          <w:spacing w:val="-28"/>
          <w:w w:val="105"/>
          <w:sz w:val="17"/>
        </w:rPr>
        <w:t> </w:t>
      </w:r>
      <w:r>
        <w:rPr>
          <w:rFonts w:ascii="Calibri" w:hAnsi="Calibri"/>
          <w:color w:val="231F20"/>
          <w:w w:val="105"/>
          <w:sz w:val="17"/>
        </w:rPr>
        <w:t>Frankfurt</w:t>
      </w:r>
      <w:r>
        <w:rPr>
          <w:rFonts w:ascii="Calibri" w:hAnsi="Calibri"/>
          <w:color w:val="231F20"/>
          <w:spacing w:val="-28"/>
          <w:w w:val="105"/>
          <w:sz w:val="17"/>
        </w:rPr>
        <w:t> </w:t>
      </w:r>
      <w:r>
        <w:rPr>
          <w:rFonts w:ascii="Calibri" w:hAnsi="Calibri"/>
          <w:color w:val="231F20"/>
          <w:w w:val="105"/>
          <w:sz w:val="17"/>
        </w:rPr>
        <w:t>a.</w:t>
      </w:r>
      <w:r>
        <w:rPr>
          <w:rFonts w:ascii="Calibri" w:hAnsi="Calibri"/>
          <w:color w:val="231F20"/>
          <w:spacing w:val="-28"/>
          <w:w w:val="105"/>
          <w:sz w:val="17"/>
        </w:rPr>
        <w:t> </w:t>
      </w:r>
      <w:r>
        <w:rPr>
          <w:rFonts w:ascii="Calibri" w:hAnsi="Calibri"/>
          <w:color w:val="231F20"/>
          <w:w w:val="105"/>
          <w:sz w:val="17"/>
        </w:rPr>
        <w:t>Main,</w:t>
      </w:r>
      <w:r>
        <w:rPr>
          <w:rFonts w:ascii="Calibri" w:hAnsi="Calibri"/>
          <w:color w:val="231F20"/>
          <w:spacing w:val="-28"/>
          <w:w w:val="105"/>
          <w:sz w:val="17"/>
        </w:rPr>
        <w:t> </w:t>
      </w:r>
      <w:r>
        <w:rPr>
          <w:rFonts w:ascii="Calibri" w:hAnsi="Calibri"/>
          <w:color w:val="231F20"/>
          <w:w w:val="105"/>
          <w:sz w:val="17"/>
        </w:rPr>
        <w:t>Suhrkamp,</w:t>
      </w:r>
      <w:r>
        <w:rPr>
          <w:rFonts w:ascii="Calibri" w:hAnsi="Calibri"/>
          <w:color w:val="231F20"/>
          <w:spacing w:val="-28"/>
          <w:w w:val="105"/>
          <w:sz w:val="17"/>
        </w:rPr>
        <w:t> </w:t>
      </w:r>
      <w:r>
        <w:rPr>
          <w:rFonts w:ascii="Calibri" w:hAnsi="Calibri"/>
          <w:color w:val="231F20"/>
          <w:w w:val="105"/>
          <w:sz w:val="17"/>
        </w:rPr>
        <w:t>2000,</w:t>
      </w:r>
      <w:r>
        <w:rPr>
          <w:rFonts w:ascii="Calibri" w:hAnsi="Calibri"/>
          <w:color w:val="231F20"/>
          <w:spacing w:val="-28"/>
          <w:w w:val="105"/>
          <w:sz w:val="17"/>
        </w:rPr>
        <w:t> </w:t>
      </w:r>
      <w:r>
        <w:rPr>
          <w:rFonts w:ascii="Calibri" w:hAnsi="Calibri"/>
          <w:color w:val="231F20"/>
          <w:w w:val="105"/>
          <w:sz w:val="17"/>
        </w:rPr>
        <w:t>pp.</w:t>
      </w:r>
      <w:r>
        <w:rPr>
          <w:rFonts w:ascii="Calibri" w:hAnsi="Calibri"/>
          <w:color w:val="231F20"/>
          <w:spacing w:val="-28"/>
          <w:w w:val="105"/>
          <w:sz w:val="17"/>
        </w:rPr>
        <w:t> </w:t>
      </w:r>
      <w:r>
        <w:rPr>
          <w:rFonts w:ascii="Calibri" w:hAnsi="Calibri"/>
          <w:color w:val="231F20"/>
          <w:w w:val="105"/>
          <w:sz w:val="17"/>
        </w:rPr>
        <w:t>187–231,</w:t>
      </w:r>
      <w:r>
        <w:rPr>
          <w:rFonts w:ascii="Calibri" w:hAnsi="Calibri"/>
          <w:color w:val="231F20"/>
          <w:spacing w:val="-28"/>
          <w:w w:val="105"/>
          <w:sz w:val="17"/>
        </w:rPr>
        <w:t> </w:t>
      </w:r>
      <w:r>
        <w:rPr>
          <w:rFonts w:ascii="Calibri" w:hAnsi="Calibri"/>
          <w:color w:val="231F20"/>
          <w:w w:val="105"/>
          <w:sz w:val="17"/>
        </w:rPr>
        <w:t>en</w:t>
      </w:r>
      <w:r>
        <w:rPr>
          <w:rFonts w:ascii="Calibri" w:hAnsi="Calibri"/>
          <w:color w:val="231F20"/>
          <w:spacing w:val="-28"/>
          <w:w w:val="105"/>
          <w:sz w:val="17"/>
        </w:rPr>
        <w:t> </w:t>
      </w:r>
      <w:r>
        <w:rPr>
          <w:rFonts w:ascii="Calibri" w:hAnsi="Calibri"/>
          <w:color w:val="231F20"/>
          <w:w w:val="105"/>
          <w:sz w:val="17"/>
        </w:rPr>
        <w:t>part.</w:t>
      </w:r>
      <w:r>
        <w:rPr>
          <w:rFonts w:ascii="Calibri" w:hAnsi="Calibri"/>
          <w:color w:val="231F20"/>
          <w:spacing w:val="-28"/>
          <w:w w:val="105"/>
          <w:sz w:val="17"/>
        </w:rPr>
        <w:t> </w:t>
      </w:r>
      <w:r>
        <w:rPr>
          <w:rFonts w:ascii="Calibri" w:hAnsi="Calibri"/>
          <w:color w:val="231F20"/>
          <w:w w:val="105"/>
          <w:sz w:val="17"/>
        </w:rPr>
        <w:t>p.</w:t>
      </w:r>
      <w:r>
        <w:rPr>
          <w:rFonts w:ascii="Calibri" w:hAnsi="Calibri"/>
          <w:color w:val="231F20"/>
          <w:spacing w:val="-28"/>
          <w:w w:val="105"/>
          <w:sz w:val="17"/>
        </w:rPr>
        <w:t> </w:t>
      </w:r>
      <w:r>
        <w:rPr>
          <w:rFonts w:ascii="Calibri" w:hAnsi="Calibri"/>
          <w:color w:val="231F20"/>
          <w:w w:val="105"/>
          <w:sz w:val="17"/>
        </w:rPr>
        <w:t>201.</w:t>
      </w:r>
    </w:p>
    <w:p>
      <w:pPr>
        <w:spacing w:line="204" w:lineRule="exact" w:before="0"/>
        <w:ind w:left="103" w:right="115" w:firstLine="0"/>
        <w:jc w:val="both"/>
        <w:rPr>
          <w:rFonts w:ascii="Calibri" w:hAnsi="Calibri"/>
          <w:sz w:val="17"/>
        </w:rPr>
      </w:pPr>
      <w:r>
        <w:rPr>
          <w:rFonts w:ascii="Calibri" w:hAnsi="Calibri"/>
          <w:color w:val="231F20"/>
          <w:position w:val="6"/>
          <w:sz w:val="10"/>
        </w:rPr>
        <w:t>85 </w:t>
      </w:r>
      <w:r>
        <w:rPr>
          <w:rFonts w:ascii="Calibri" w:hAnsi="Calibri"/>
          <w:i/>
          <w:color w:val="231F20"/>
          <w:spacing w:val="-4"/>
          <w:sz w:val="17"/>
        </w:rPr>
        <w:t>Cfr. </w:t>
      </w:r>
      <w:r>
        <w:rPr>
          <w:rFonts w:ascii="Calibri" w:hAnsi="Calibri"/>
          <w:color w:val="231F20"/>
          <w:spacing w:val="-10"/>
          <w:sz w:val="17"/>
        </w:rPr>
        <w:t>P. P. </w:t>
      </w:r>
      <w:r>
        <w:rPr>
          <w:rFonts w:ascii="Calibri" w:hAnsi="Calibri"/>
          <w:color w:val="231F20"/>
          <w:sz w:val="17"/>
        </w:rPr>
        <w:t>Portinaro, “Interventi umanitari e responsibility to protect. Formule nuove, vecchi pro- blema”,</w:t>
      </w:r>
      <w:r>
        <w:rPr>
          <w:rFonts w:ascii="Calibri" w:hAnsi="Calibri"/>
          <w:color w:val="231F20"/>
          <w:spacing w:val="-10"/>
          <w:sz w:val="17"/>
        </w:rPr>
        <w:t> </w:t>
      </w:r>
      <w:r>
        <w:rPr>
          <w:rFonts w:ascii="Calibri" w:hAnsi="Calibri"/>
          <w:color w:val="231F20"/>
          <w:spacing w:val="-7"/>
          <w:sz w:val="17"/>
        </w:rPr>
        <w:t>V.</w:t>
      </w:r>
      <w:r>
        <w:rPr>
          <w:rFonts w:ascii="Calibri" w:hAnsi="Calibri"/>
          <w:color w:val="231F20"/>
          <w:spacing w:val="-6"/>
          <w:sz w:val="17"/>
        </w:rPr>
        <w:t> </w:t>
      </w:r>
      <w:r>
        <w:rPr>
          <w:rFonts w:ascii="Calibri" w:hAnsi="Calibri"/>
          <w:color w:val="231F20"/>
          <w:sz w:val="17"/>
        </w:rPr>
        <w:t>Lavenia</w:t>
      </w:r>
      <w:r>
        <w:rPr>
          <w:rFonts w:ascii="Calibri" w:hAnsi="Calibri"/>
          <w:color w:val="231F20"/>
          <w:spacing w:val="-6"/>
          <w:sz w:val="17"/>
        </w:rPr>
        <w:t> </w:t>
      </w:r>
      <w:r>
        <w:rPr>
          <w:rFonts w:ascii="Calibri" w:hAnsi="Calibri"/>
          <w:color w:val="231F20"/>
          <w:sz w:val="17"/>
        </w:rPr>
        <w:t>(Ed.),</w:t>
      </w:r>
      <w:r>
        <w:rPr>
          <w:rFonts w:ascii="Calibri" w:hAnsi="Calibri"/>
          <w:color w:val="231F20"/>
          <w:spacing w:val="-6"/>
          <w:sz w:val="17"/>
        </w:rPr>
        <w:t> </w:t>
      </w:r>
      <w:r>
        <w:rPr>
          <w:rFonts w:ascii="Calibri" w:hAnsi="Calibri"/>
          <w:i/>
          <w:color w:val="231F20"/>
          <w:sz w:val="17"/>
        </w:rPr>
        <w:t>Alberico</w:t>
      </w:r>
      <w:r>
        <w:rPr>
          <w:rFonts w:ascii="Calibri" w:hAnsi="Calibri"/>
          <w:i/>
          <w:color w:val="231F20"/>
          <w:spacing w:val="-7"/>
          <w:sz w:val="17"/>
        </w:rPr>
        <w:t> </w:t>
      </w:r>
      <w:r>
        <w:rPr>
          <w:rFonts w:ascii="Calibri" w:hAnsi="Calibri"/>
          <w:i/>
          <w:color w:val="231F20"/>
          <w:sz w:val="17"/>
        </w:rPr>
        <w:t>Gentili.</w:t>
      </w:r>
      <w:r>
        <w:rPr>
          <w:rFonts w:ascii="Calibri" w:hAnsi="Calibri"/>
          <w:i/>
          <w:color w:val="231F20"/>
          <w:spacing w:val="-7"/>
          <w:sz w:val="17"/>
        </w:rPr>
        <w:t> </w:t>
      </w:r>
      <w:r>
        <w:rPr>
          <w:rFonts w:ascii="Calibri" w:hAnsi="Calibri"/>
          <w:color w:val="231F20"/>
          <w:sz w:val="17"/>
        </w:rPr>
        <w:t>“</w:t>
      </w:r>
      <w:r>
        <w:rPr>
          <w:rFonts w:ascii="Calibri" w:hAnsi="Calibri"/>
          <w:i/>
          <w:color w:val="231F20"/>
          <w:sz w:val="17"/>
        </w:rPr>
        <w:t>Responsibility</w:t>
      </w:r>
      <w:r>
        <w:rPr>
          <w:rFonts w:ascii="Calibri" w:hAnsi="Calibri"/>
          <w:i/>
          <w:color w:val="231F20"/>
          <w:spacing w:val="-7"/>
          <w:sz w:val="17"/>
        </w:rPr>
        <w:t> </w:t>
      </w:r>
      <w:r>
        <w:rPr>
          <w:rFonts w:ascii="Calibri" w:hAnsi="Calibri"/>
          <w:i/>
          <w:color w:val="231F20"/>
          <w:sz w:val="17"/>
        </w:rPr>
        <w:t>to</w:t>
      </w:r>
      <w:r>
        <w:rPr>
          <w:rFonts w:ascii="Calibri" w:hAnsi="Calibri"/>
          <w:i/>
          <w:color w:val="231F20"/>
          <w:spacing w:val="-7"/>
          <w:sz w:val="17"/>
        </w:rPr>
        <w:t> </w:t>
      </w:r>
      <w:r>
        <w:rPr>
          <w:rFonts w:ascii="Calibri" w:hAnsi="Calibri"/>
          <w:i/>
          <w:color w:val="231F20"/>
          <w:sz w:val="17"/>
        </w:rPr>
        <w:t>Protect</w:t>
      </w:r>
      <w:r>
        <w:rPr>
          <w:rFonts w:ascii="Calibri" w:hAnsi="Calibri"/>
          <w:color w:val="231F20"/>
          <w:sz w:val="17"/>
        </w:rPr>
        <w:t>”</w:t>
      </w:r>
      <w:r>
        <w:rPr>
          <w:rFonts w:ascii="Calibri" w:hAnsi="Calibri"/>
          <w:i/>
          <w:color w:val="231F20"/>
          <w:sz w:val="17"/>
        </w:rPr>
        <w:t>:</w:t>
      </w:r>
      <w:r>
        <w:rPr>
          <w:rFonts w:ascii="Calibri" w:hAnsi="Calibri"/>
          <w:i/>
          <w:color w:val="231F20"/>
          <w:spacing w:val="-7"/>
          <w:sz w:val="17"/>
        </w:rPr>
        <w:t> </w:t>
      </w:r>
      <w:r>
        <w:rPr>
          <w:rFonts w:ascii="Calibri" w:hAnsi="Calibri"/>
          <w:i/>
          <w:color w:val="231F20"/>
          <w:sz w:val="17"/>
        </w:rPr>
        <w:t>nuovi</w:t>
      </w:r>
      <w:r>
        <w:rPr>
          <w:rFonts w:ascii="Calibri" w:hAnsi="Calibri"/>
          <w:i/>
          <w:color w:val="231F20"/>
          <w:spacing w:val="-7"/>
          <w:sz w:val="17"/>
        </w:rPr>
        <w:t> </w:t>
      </w:r>
      <w:r>
        <w:rPr>
          <w:rFonts w:ascii="Calibri" w:hAnsi="Calibri"/>
          <w:i/>
          <w:color w:val="231F20"/>
          <w:sz w:val="17"/>
        </w:rPr>
        <w:t>orientamenti</w:t>
      </w:r>
      <w:r>
        <w:rPr>
          <w:rFonts w:ascii="Calibri" w:hAnsi="Calibri"/>
          <w:i/>
          <w:color w:val="231F20"/>
          <w:spacing w:val="-7"/>
          <w:sz w:val="17"/>
        </w:rPr>
        <w:t> </w:t>
      </w:r>
      <w:r>
        <w:rPr>
          <w:rFonts w:ascii="Calibri" w:hAnsi="Calibri"/>
          <w:i/>
          <w:color w:val="231F20"/>
          <w:sz w:val="17"/>
        </w:rPr>
        <w:t>su</w:t>
      </w:r>
      <w:r>
        <w:rPr>
          <w:rFonts w:ascii="Calibri" w:hAnsi="Calibri"/>
          <w:i/>
          <w:color w:val="231F20"/>
          <w:spacing w:val="-7"/>
          <w:sz w:val="17"/>
        </w:rPr>
        <w:t> </w:t>
      </w:r>
      <w:r>
        <w:rPr>
          <w:rFonts w:ascii="Calibri" w:hAnsi="Calibri"/>
          <w:i/>
          <w:color w:val="231F20"/>
          <w:sz w:val="17"/>
        </w:rPr>
        <w:t>intervento </w:t>
      </w:r>
      <w:r>
        <w:rPr>
          <w:rFonts w:ascii="Calibri" w:hAnsi="Calibri"/>
          <w:i/>
          <w:color w:val="231F20"/>
          <w:sz w:val="17"/>
        </w:rPr>
        <w:t>umanitario</w:t>
      </w:r>
      <w:r>
        <w:rPr>
          <w:rFonts w:ascii="Calibri" w:hAnsi="Calibri"/>
          <w:i/>
          <w:color w:val="231F20"/>
          <w:spacing w:val="-3"/>
          <w:sz w:val="17"/>
        </w:rPr>
        <w:t> </w:t>
      </w:r>
      <w:r>
        <w:rPr>
          <w:rFonts w:ascii="Calibri" w:hAnsi="Calibri"/>
          <w:i/>
          <w:color w:val="231F20"/>
          <w:sz w:val="17"/>
        </w:rPr>
        <w:t>e</w:t>
      </w:r>
      <w:r>
        <w:rPr>
          <w:rFonts w:ascii="Calibri" w:hAnsi="Calibri"/>
          <w:i/>
          <w:color w:val="231F20"/>
          <w:spacing w:val="-3"/>
          <w:sz w:val="17"/>
        </w:rPr>
        <w:t> </w:t>
      </w:r>
      <w:r>
        <w:rPr>
          <w:rFonts w:ascii="Calibri" w:hAnsi="Calibri"/>
          <w:i/>
          <w:color w:val="231F20"/>
          <w:sz w:val="17"/>
        </w:rPr>
        <w:t>ordine</w:t>
      </w:r>
      <w:r>
        <w:rPr>
          <w:rFonts w:ascii="Calibri" w:hAnsi="Calibri"/>
          <w:i/>
          <w:color w:val="231F20"/>
          <w:spacing w:val="-3"/>
          <w:sz w:val="17"/>
        </w:rPr>
        <w:t> </w:t>
      </w:r>
      <w:r>
        <w:rPr>
          <w:rFonts w:ascii="Calibri" w:hAnsi="Calibri"/>
          <w:i/>
          <w:color w:val="231F20"/>
          <w:sz w:val="17"/>
        </w:rPr>
        <w:t>internazionale</w:t>
      </w:r>
      <w:r>
        <w:rPr>
          <w:rFonts w:ascii="Calibri" w:hAnsi="Calibri"/>
          <w:color w:val="231F20"/>
          <w:sz w:val="17"/>
        </w:rPr>
        <w:t>,</w:t>
      </w:r>
      <w:r>
        <w:rPr>
          <w:rFonts w:ascii="Calibri" w:hAnsi="Calibri"/>
          <w:color w:val="231F20"/>
          <w:spacing w:val="-2"/>
          <w:sz w:val="17"/>
        </w:rPr>
        <w:t> </w:t>
      </w:r>
      <w:r>
        <w:rPr>
          <w:rFonts w:ascii="Calibri" w:hAnsi="Calibri"/>
          <w:color w:val="231F20"/>
          <w:sz w:val="17"/>
        </w:rPr>
        <w:t>Macerata,</w:t>
      </w:r>
      <w:r>
        <w:rPr>
          <w:rFonts w:ascii="Calibri" w:hAnsi="Calibri"/>
          <w:color w:val="231F20"/>
          <w:spacing w:val="-2"/>
          <w:sz w:val="17"/>
        </w:rPr>
        <w:t> </w:t>
      </w:r>
      <w:r>
        <w:rPr>
          <w:rFonts w:ascii="Calibri" w:hAnsi="Calibri"/>
          <w:color w:val="231F20"/>
          <w:sz w:val="15"/>
        </w:rPr>
        <w:t>EUM</w:t>
      </w:r>
      <w:r>
        <w:rPr>
          <w:rFonts w:ascii="Calibri" w:hAnsi="Calibri"/>
          <w:color w:val="231F20"/>
          <w:sz w:val="17"/>
        </w:rPr>
        <w:t>,</w:t>
      </w:r>
      <w:r>
        <w:rPr>
          <w:rFonts w:ascii="Calibri" w:hAnsi="Calibri"/>
          <w:color w:val="231F20"/>
          <w:spacing w:val="-2"/>
          <w:sz w:val="17"/>
        </w:rPr>
        <w:t> </w:t>
      </w:r>
      <w:r>
        <w:rPr>
          <w:rFonts w:ascii="Calibri" w:hAnsi="Calibri"/>
          <w:color w:val="231F20"/>
          <w:sz w:val="17"/>
        </w:rPr>
        <w:t>2015,</w:t>
      </w:r>
      <w:r>
        <w:rPr>
          <w:rFonts w:ascii="Calibri" w:hAnsi="Calibri"/>
          <w:color w:val="231F20"/>
          <w:spacing w:val="-2"/>
          <w:sz w:val="17"/>
        </w:rPr>
        <w:t> </w:t>
      </w:r>
      <w:r>
        <w:rPr>
          <w:rFonts w:ascii="Calibri" w:hAnsi="Calibri"/>
          <w:color w:val="231F20"/>
          <w:sz w:val="17"/>
        </w:rPr>
        <w:t>p.</w:t>
      </w:r>
      <w:r>
        <w:rPr>
          <w:rFonts w:ascii="Calibri" w:hAnsi="Calibri"/>
          <w:color w:val="231F20"/>
          <w:spacing w:val="-2"/>
          <w:sz w:val="17"/>
        </w:rPr>
        <w:t> </w:t>
      </w:r>
      <w:r>
        <w:rPr>
          <w:rFonts w:ascii="Calibri" w:hAnsi="Calibri"/>
          <w:color w:val="231F20"/>
          <w:sz w:val="17"/>
        </w:rPr>
        <w:t>123:</w:t>
      </w:r>
      <w:r>
        <w:rPr>
          <w:rFonts w:ascii="Calibri" w:hAnsi="Calibri"/>
          <w:color w:val="231F20"/>
          <w:spacing w:val="-2"/>
          <w:sz w:val="17"/>
        </w:rPr>
        <w:t> </w:t>
      </w:r>
      <w:r>
        <w:rPr>
          <w:rFonts w:ascii="Calibri" w:hAnsi="Calibri"/>
          <w:color w:val="231F20"/>
          <w:sz w:val="17"/>
        </w:rPr>
        <w:t>“El</w:t>
      </w:r>
      <w:r>
        <w:rPr>
          <w:rFonts w:ascii="Calibri" w:hAnsi="Calibri"/>
          <w:color w:val="231F20"/>
          <w:spacing w:val="-2"/>
          <w:sz w:val="17"/>
        </w:rPr>
        <w:t> </w:t>
      </w:r>
      <w:r>
        <w:rPr>
          <w:rFonts w:ascii="Calibri" w:hAnsi="Calibri"/>
          <w:color w:val="231F20"/>
          <w:sz w:val="17"/>
        </w:rPr>
        <w:t>hecho</w:t>
      </w:r>
      <w:r>
        <w:rPr>
          <w:rFonts w:ascii="Calibri" w:hAnsi="Calibri"/>
          <w:color w:val="231F20"/>
          <w:spacing w:val="-2"/>
          <w:sz w:val="17"/>
        </w:rPr>
        <w:t> </w:t>
      </w:r>
      <w:r>
        <w:rPr>
          <w:rFonts w:ascii="Calibri" w:hAnsi="Calibri"/>
          <w:color w:val="231F20"/>
          <w:sz w:val="17"/>
        </w:rPr>
        <w:t>es</w:t>
      </w:r>
      <w:r>
        <w:rPr>
          <w:rFonts w:ascii="Calibri" w:hAnsi="Calibri"/>
          <w:color w:val="231F20"/>
          <w:spacing w:val="-2"/>
          <w:sz w:val="17"/>
        </w:rPr>
        <w:t> </w:t>
      </w:r>
      <w:r>
        <w:rPr>
          <w:rFonts w:ascii="Calibri" w:hAnsi="Calibri"/>
          <w:color w:val="231F20"/>
          <w:sz w:val="17"/>
        </w:rPr>
        <w:t>que</w:t>
      </w:r>
      <w:r>
        <w:rPr>
          <w:rFonts w:ascii="Calibri" w:hAnsi="Calibri"/>
          <w:color w:val="231F20"/>
          <w:spacing w:val="-2"/>
          <w:sz w:val="17"/>
        </w:rPr>
        <w:t> </w:t>
      </w:r>
      <w:r>
        <w:rPr>
          <w:rFonts w:ascii="Calibri" w:hAnsi="Calibri"/>
          <w:color w:val="231F20"/>
          <w:sz w:val="17"/>
        </w:rPr>
        <w:t>en</w:t>
      </w:r>
      <w:r>
        <w:rPr>
          <w:rFonts w:ascii="Calibri" w:hAnsi="Calibri"/>
          <w:color w:val="231F20"/>
          <w:spacing w:val="-2"/>
          <w:sz w:val="17"/>
        </w:rPr>
        <w:t> </w:t>
      </w:r>
      <w:r>
        <w:rPr>
          <w:rFonts w:ascii="Calibri" w:hAnsi="Calibri"/>
          <w:color w:val="231F20"/>
          <w:sz w:val="17"/>
        </w:rPr>
        <w:t>las</w:t>
      </w:r>
      <w:r>
        <w:rPr>
          <w:rFonts w:ascii="Calibri" w:hAnsi="Calibri"/>
          <w:color w:val="231F20"/>
          <w:spacing w:val="-2"/>
          <w:sz w:val="17"/>
        </w:rPr>
        <w:t> </w:t>
      </w:r>
      <w:r>
        <w:rPr>
          <w:rFonts w:ascii="Calibri" w:hAnsi="Calibri"/>
          <w:color w:val="231F20"/>
          <w:sz w:val="17"/>
        </w:rPr>
        <w:t>situaciones en que se hace necesaria una intervención no hay </w:t>
      </w:r>
      <w:r>
        <w:rPr>
          <w:rFonts w:ascii="Calibri" w:hAnsi="Calibri"/>
          <w:i/>
          <w:color w:val="231F20"/>
          <w:sz w:val="17"/>
        </w:rPr>
        <w:t>un </w:t>
      </w:r>
      <w:r>
        <w:rPr>
          <w:rFonts w:ascii="Calibri" w:hAnsi="Calibri"/>
          <w:color w:val="231F20"/>
          <w:sz w:val="17"/>
        </w:rPr>
        <w:t>pueblo, sino grupos étnicos y religiosos que   se contraponen, es decir, sólo fragmentos de un pueblo, fieramente hostiles entre ellos y que en ausencia de una potencia ocupante tienden a terminar en una guerra  </w:t>
      </w:r>
      <w:r>
        <w:rPr>
          <w:rFonts w:ascii="Calibri" w:hAnsi="Calibri"/>
          <w:color w:val="231F20"/>
          <w:spacing w:val="5"/>
          <w:sz w:val="17"/>
        </w:rPr>
        <w:t> </w:t>
      </w:r>
      <w:r>
        <w:rPr>
          <w:rFonts w:ascii="Calibri" w:hAnsi="Calibri"/>
          <w:color w:val="231F20"/>
          <w:spacing w:val="-4"/>
          <w:sz w:val="17"/>
        </w:rPr>
        <w:t>civil”.</w:t>
      </w:r>
    </w:p>
    <w:p>
      <w:pPr>
        <w:spacing w:line="204" w:lineRule="exact" w:before="0"/>
        <w:ind w:left="103" w:right="116" w:firstLine="0"/>
        <w:jc w:val="both"/>
        <w:rPr>
          <w:rFonts w:ascii="Calibri" w:hAnsi="Calibri"/>
          <w:sz w:val="17"/>
        </w:rPr>
      </w:pPr>
      <w:r>
        <w:rPr>
          <w:rFonts w:ascii="Calibri" w:hAnsi="Calibri"/>
          <w:color w:val="231F20"/>
          <w:position w:val="6"/>
          <w:sz w:val="10"/>
        </w:rPr>
        <w:t>86 </w:t>
      </w:r>
      <w:r>
        <w:rPr>
          <w:rFonts w:ascii="Calibri" w:hAnsi="Calibri"/>
          <w:color w:val="231F20"/>
          <w:sz w:val="17"/>
        </w:rPr>
        <w:t>Keohane, “Political authority after intervention”, p. 281. Para una expresión eficaz de los últimos resultados de esta aproximación, véase A. Buchanan, </w:t>
      </w:r>
      <w:r>
        <w:rPr>
          <w:rFonts w:ascii="Calibri" w:hAnsi="Calibri"/>
          <w:i/>
          <w:color w:val="231F20"/>
          <w:sz w:val="17"/>
        </w:rPr>
        <w:t>Justice, Legitimacy and Self</w:t>
      </w:r>
      <w:r>
        <w:rPr>
          <w:rFonts w:ascii="Calibri" w:hAnsi="Calibri"/>
          <w:color w:val="231F20"/>
          <w:sz w:val="17"/>
        </w:rPr>
        <w:t>–</w:t>
      </w:r>
      <w:r>
        <w:rPr>
          <w:rFonts w:ascii="Calibri" w:hAnsi="Calibri"/>
          <w:i/>
          <w:color w:val="231F20"/>
          <w:sz w:val="17"/>
        </w:rPr>
        <w:t>Determination. </w:t>
      </w:r>
      <w:r>
        <w:rPr>
          <w:rFonts w:ascii="Calibri" w:hAnsi="Calibri"/>
          <w:i/>
          <w:color w:val="231F20"/>
          <w:sz w:val="17"/>
        </w:rPr>
        <w:t>Moral</w:t>
      </w:r>
      <w:r>
        <w:rPr>
          <w:rFonts w:ascii="Calibri" w:hAnsi="Calibri"/>
          <w:i/>
          <w:color w:val="231F20"/>
          <w:spacing w:val="-12"/>
          <w:sz w:val="17"/>
        </w:rPr>
        <w:t> </w:t>
      </w:r>
      <w:r>
        <w:rPr>
          <w:rFonts w:ascii="Calibri" w:hAnsi="Calibri"/>
          <w:i/>
          <w:color w:val="231F20"/>
          <w:sz w:val="17"/>
        </w:rPr>
        <w:t>Foundations</w:t>
      </w:r>
      <w:r>
        <w:rPr>
          <w:rFonts w:ascii="Calibri" w:hAnsi="Calibri"/>
          <w:i/>
          <w:color w:val="231F20"/>
          <w:spacing w:val="-12"/>
          <w:sz w:val="17"/>
        </w:rPr>
        <w:t> </w:t>
      </w:r>
      <w:r>
        <w:rPr>
          <w:rFonts w:ascii="Calibri" w:hAnsi="Calibri"/>
          <w:i/>
          <w:color w:val="231F20"/>
          <w:spacing w:val="-3"/>
          <w:sz w:val="17"/>
        </w:rPr>
        <w:t>for</w:t>
      </w:r>
      <w:r>
        <w:rPr>
          <w:rFonts w:ascii="Calibri" w:hAnsi="Calibri"/>
          <w:i/>
          <w:color w:val="231F20"/>
          <w:spacing w:val="-12"/>
          <w:sz w:val="17"/>
        </w:rPr>
        <w:t> </w:t>
      </w:r>
      <w:r>
        <w:rPr>
          <w:rFonts w:ascii="Calibri" w:hAnsi="Calibri"/>
          <w:i/>
          <w:color w:val="231F20"/>
          <w:sz w:val="17"/>
        </w:rPr>
        <w:t>International</w:t>
      </w:r>
      <w:r>
        <w:rPr>
          <w:rFonts w:ascii="Calibri" w:hAnsi="Calibri"/>
          <w:i/>
          <w:color w:val="231F20"/>
          <w:spacing w:val="-12"/>
          <w:sz w:val="17"/>
        </w:rPr>
        <w:t> </w:t>
      </w:r>
      <w:r>
        <w:rPr>
          <w:rFonts w:ascii="Calibri" w:hAnsi="Calibri"/>
          <w:i/>
          <w:color w:val="231F20"/>
          <w:sz w:val="17"/>
        </w:rPr>
        <w:t>Law</w:t>
      </w:r>
      <w:r>
        <w:rPr>
          <w:rFonts w:ascii="Calibri" w:hAnsi="Calibri"/>
          <w:color w:val="231F20"/>
          <w:sz w:val="17"/>
        </w:rPr>
        <w:t>,</w:t>
      </w:r>
      <w:r>
        <w:rPr>
          <w:rFonts w:ascii="Calibri" w:hAnsi="Calibri"/>
          <w:color w:val="231F20"/>
          <w:spacing w:val="-12"/>
          <w:sz w:val="17"/>
        </w:rPr>
        <w:t> </w:t>
      </w:r>
      <w:r>
        <w:rPr>
          <w:rFonts w:ascii="Calibri" w:hAnsi="Calibri"/>
          <w:color w:val="231F20"/>
          <w:sz w:val="17"/>
        </w:rPr>
        <w:t>Oxford,</w:t>
      </w:r>
      <w:r>
        <w:rPr>
          <w:rFonts w:ascii="Calibri" w:hAnsi="Calibri"/>
          <w:color w:val="231F20"/>
          <w:spacing w:val="-12"/>
          <w:sz w:val="17"/>
        </w:rPr>
        <w:t> </w:t>
      </w:r>
      <w:r>
        <w:rPr>
          <w:rFonts w:ascii="Calibri" w:hAnsi="Calibri"/>
          <w:color w:val="231F20"/>
          <w:sz w:val="17"/>
        </w:rPr>
        <w:t>Oxford</w:t>
      </w:r>
      <w:r>
        <w:rPr>
          <w:rFonts w:ascii="Calibri" w:hAnsi="Calibri"/>
          <w:color w:val="231F20"/>
          <w:spacing w:val="-12"/>
          <w:sz w:val="17"/>
        </w:rPr>
        <w:t> </w:t>
      </w:r>
      <w:r>
        <w:rPr>
          <w:rFonts w:ascii="Calibri" w:hAnsi="Calibri"/>
          <w:color w:val="231F20"/>
          <w:sz w:val="17"/>
        </w:rPr>
        <w:t>University</w:t>
      </w:r>
      <w:r>
        <w:rPr>
          <w:rFonts w:ascii="Calibri" w:hAnsi="Calibri"/>
          <w:color w:val="231F20"/>
          <w:spacing w:val="-12"/>
          <w:sz w:val="17"/>
        </w:rPr>
        <w:t> </w:t>
      </w:r>
      <w:r>
        <w:rPr>
          <w:rFonts w:ascii="Calibri" w:hAnsi="Calibri"/>
          <w:color w:val="231F20"/>
          <w:sz w:val="17"/>
        </w:rPr>
        <w:t>Press,</w:t>
      </w:r>
      <w:r>
        <w:rPr>
          <w:rFonts w:ascii="Calibri" w:hAnsi="Calibri"/>
          <w:color w:val="231F20"/>
          <w:spacing w:val="-12"/>
          <w:sz w:val="17"/>
        </w:rPr>
        <w:t> </w:t>
      </w:r>
      <w:r>
        <w:rPr>
          <w:rFonts w:ascii="Calibri" w:hAnsi="Calibri"/>
          <w:color w:val="231F20"/>
          <w:sz w:val="17"/>
        </w:rPr>
        <w:t>2004,</w:t>
      </w:r>
      <w:r>
        <w:rPr>
          <w:rFonts w:ascii="Calibri" w:hAnsi="Calibri"/>
          <w:color w:val="231F20"/>
          <w:spacing w:val="-12"/>
          <w:sz w:val="17"/>
        </w:rPr>
        <w:t> </w:t>
      </w:r>
      <w:r>
        <w:rPr>
          <w:rFonts w:ascii="Calibri" w:hAnsi="Calibri"/>
          <w:color w:val="231F20"/>
          <w:sz w:val="17"/>
        </w:rPr>
        <w:t>en</w:t>
      </w:r>
      <w:r>
        <w:rPr>
          <w:rFonts w:ascii="Calibri" w:hAnsi="Calibri"/>
          <w:color w:val="231F20"/>
          <w:spacing w:val="-12"/>
          <w:sz w:val="17"/>
        </w:rPr>
        <w:t> </w:t>
      </w:r>
      <w:r>
        <w:rPr>
          <w:rFonts w:ascii="Calibri" w:hAnsi="Calibri"/>
          <w:color w:val="231F20"/>
          <w:sz w:val="17"/>
        </w:rPr>
        <w:t>part.</w:t>
      </w:r>
      <w:r>
        <w:rPr>
          <w:rFonts w:ascii="Calibri" w:hAnsi="Calibri"/>
          <w:color w:val="231F20"/>
          <w:spacing w:val="-12"/>
          <w:sz w:val="17"/>
        </w:rPr>
        <w:t> </w:t>
      </w:r>
      <w:r>
        <w:rPr>
          <w:rFonts w:ascii="Calibri" w:hAnsi="Calibri"/>
          <w:color w:val="231F20"/>
          <w:sz w:val="17"/>
        </w:rPr>
        <w:t>pp.</w:t>
      </w:r>
      <w:r>
        <w:rPr>
          <w:rFonts w:ascii="Calibri" w:hAnsi="Calibri"/>
          <w:color w:val="231F20"/>
          <w:spacing w:val="-12"/>
          <w:sz w:val="17"/>
        </w:rPr>
        <w:t> </w:t>
      </w:r>
      <w:r>
        <w:rPr>
          <w:rFonts w:ascii="Calibri" w:hAnsi="Calibri"/>
          <w:color w:val="231F20"/>
          <w:sz w:val="17"/>
        </w:rPr>
        <w:t>261–262. </w:t>
      </w:r>
      <w:r>
        <w:rPr>
          <w:rFonts w:ascii="Calibri" w:hAnsi="Calibri"/>
          <w:color w:val="231F20"/>
          <w:position w:val="6"/>
          <w:sz w:val="10"/>
        </w:rPr>
        <w:t>87  </w:t>
      </w:r>
      <w:r>
        <w:rPr>
          <w:rFonts w:ascii="Calibri" w:hAnsi="Calibri"/>
          <w:color w:val="231F20"/>
          <w:sz w:val="17"/>
        </w:rPr>
        <w:t>Devetak, “Between Kant and Pufendorf”, p.</w:t>
      </w:r>
      <w:r>
        <w:rPr>
          <w:rFonts w:ascii="Calibri" w:hAnsi="Calibri"/>
          <w:color w:val="231F20"/>
          <w:spacing w:val="-5"/>
          <w:sz w:val="17"/>
        </w:rPr>
        <w:t> </w:t>
      </w:r>
      <w:r>
        <w:rPr>
          <w:rFonts w:ascii="Calibri" w:hAnsi="Calibri"/>
          <w:color w:val="231F20"/>
          <w:spacing w:val="-4"/>
          <w:sz w:val="17"/>
        </w:rPr>
        <w:t>167.</w:t>
      </w:r>
    </w:p>
    <w:p>
      <w:pPr>
        <w:spacing w:line="204" w:lineRule="exact" w:before="0"/>
        <w:ind w:left="103" w:right="115" w:firstLine="0"/>
        <w:jc w:val="both"/>
        <w:rPr>
          <w:rFonts w:ascii="Calibri" w:hAnsi="Calibri"/>
          <w:sz w:val="17"/>
        </w:rPr>
      </w:pPr>
      <w:r>
        <w:rPr>
          <w:rFonts w:ascii="Calibri" w:hAnsi="Calibri"/>
          <w:color w:val="231F20"/>
          <w:position w:val="6"/>
          <w:sz w:val="10"/>
        </w:rPr>
        <w:t>88 </w:t>
      </w:r>
      <w:r>
        <w:rPr>
          <w:rFonts w:ascii="Calibri" w:hAnsi="Calibri"/>
          <w:color w:val="231F20"/>
          <w:sz w:val="17"/>
        </w:rPr>
        <w:t>C. Reus–Smit, “Human Rights and the Social Construction of Sovereignty”, </w:t>
      </w:r>
      <w:r>
        <w:rPr>
          <w:rFonts w:ascii="Calibri" w:hAnsi="Calibri"/>
          <w:i/>
          <w:color w:val="231F20"/>
          <w:sz w:val="17"/>
        </w:rPr>
        <w:t>Review of Internatio- </w:t>
      </w:r>
      <w:r>
        <w:rPr>
          <w:rFonts w:ascii="Calibri" w:hAnsi="Calibri"/>
          <w:i/>
          <w:color w:val="231F20"/>
          <w:sz w:val="17"/>
        </w:rPr>
        <w:t>nal</w:t>
      </w:r>
      <w:r>
        <w:rPr>
          <w:rFonts w:ascii="Calibri" w:hAnsi="Calibri"/>
          <w:i/>
          <w:color w:val="231F20"/>
          <w:spacing w:val="-7"/>
          <w:sz w:val="17"/>
        </w:rPr>
        <w:t> </w:t>
      </w:r>
      <w:r>
        <w:rPr>
          <w:rFonts w:ascii="Calibri" w:hAnsi="Calibri"/>
          <w:i/>
          <w:color w:val="231F20"/>
          <w:sz w:val="17"/>
        </w:rPr>
        <w:t>Studies</w:t>
      </w:r>
      <w:r>
        <w:rPr>
          <w:rFonts w:ascii="Calibri" w:hAnsi="Calibri"/>
          <w:color w:val="231F20"/>
          <w:sz w:val="17"/>
        </w:rPr>
        <w:t>,</w:t>
      </w:r>
      <w:r>
        <w:rPr>
          <w:rFonts w:ascii="Calibri" w:hAnsi="Calibri"/>
          <w:color w:val="231F20"/>
          <w:spacing w:val="-9"/>
          <w:sz w:val="17"/>
        </w:rPr>
        <w:t> </w:t>
      </w:r>
      <w:r>
        <w:rPr>
          <w:rFonts w:ascii="Calibri" w:hAnsi="Calibri"/>
          <w:color w:val="231F20"/>
          <w:sz w:val="17"/>
        </w:rPr>
        <w:t>vol.</w:t>
      </w:r>
      <w:r>
        <w:rPr>
          <w:rFonts w:ascii="Calibri" w:hAnsi="Calibri"/>
          <w:color w:val="231F20"/>
          <w:spacing w:val="-7"/>
          <w:sz w:val="17"/>
        </w:rPr>
        <w:t> </w:t>
      </w:r>
      <w:r>
        <w:rPr>
          <w:rFonts w:ascii="Calibri" w:hAnsi="Calibri"/>
          <w:color w:val="231F20"/>
          <w:spacing w:val="-3"/>
          <w:sz w:val="17"/>
        </w:rPr>
        <w:t>27,</w:t>
      </w:r>
      <w:r>
        <w:rPr>
          <w:rFonts w:ascii="Calibri" w:hAnsi="Calibri"/>
          <w:color w:val="231F20"/>
          <w:spacing w:val="-7"/>
          <w:sz w:val="17"/>
        </w:rPr>
        <w:t> </w:t>
      </w:r>
      <w:r>
        <w:rPr>
          <w:rFonts w:ascii="Calibri" w:hAnsi="Calibri"/>
          <w:color w:val="231F20"/>
          <w:sz w:val="17"/>
        </w:rPr>
        <w:t>4,</w:t>
      </w:r>
      <w:r>
        <w:rPr>
          <w:rFonts w:ascii="Calibri" w:hAnsi="Calibri"/>
          <w:color w:val="231F20"/>
          <w:spacing w:val="-7"/>
          <w:sz w:val="17"/>
        </w:rPr>
        <w:t> </w:t>
      </w:r>
      <w:r>
        <w:rPr>
          <w:rFonts w:ascii="Calibri" w:hAnsi="Calibri"/>
          <w:color w:val="231F20"/>
          <w:sz w:val="17"/>
        </w:rPr>
        <w:t>2001.</w:t>
      </w:r>
    </w:p>
    <w:p>
      <w:pPr>
        <w:pStyle w:val="BodyText"/>
        <w:rPr>
          <w:rFonts w:ascii="Calibri"/>
          <w:sz w:val="20"/>
        </w:rPr>
      </w:pPr>
    </w:p>
    <w:p>
      <w:pPr>
        <w:pStyle w:val="BodyText"/>
        <w:spacing w:before="1"/>
        <w:rPr>
          <w:rFonts w:ascii="Calibri"/>
          <w:sz w:val="28"/>
        </w:rPr>
      </w:pPr>
    </w:p>
    <w:p>
      <w:pPr>
        <w:tabs>
          <w:tab w:pos="1331" w:val="left" w:leader="none"/>
        </w:tabs>
        <w:spacing w:before="69"/>
        <w:ind w:left="226" w:right="0" w:firstLine="0"/>
        <w:jc w:val="left"/>
        <w:rPr>
          <w:rFonts w:ascii="Calibri"/>
          <w:sz w:val="16"/>
        </w:rPr>
      </w:pPr>
      <w:r>
        <w:rPr/>
        <w:pict>
          <v:group style="position:absolute;margin-left:98.787804pt;margin-top:-3.308812pt;width:20.4pt;height:43pt;mso-position-horizontal-relative:page;mso-position-vertical-relative:paragraph;z-index:-167176" coordorigin="1976,-66" coordsize="408,860">
            <v:line style="position:absolute" from="2225,73" to="2225,789" stroked="true" strokeweight=".35pt" strokecolor="#231f20"/>
            <v:shape style="position:absolute;left:2193;top:-13;width:190;height:445" type="#_x0000_t75" stroked="false">
              <v:imagedata r:id="rId40" o:title=""/>
            </v:shape>
            <v:shape style="position:absolute;left:1976;top:-66;width:250;height:502" type="#_x0000_t75" stroked="false">
              <v:imagedata r:id="rId41" o:title=""/>
            </v:shape>
            <w10:wrap type="none"/>
          </v:group>
        </w:pict>
      </w:r>
      <w:r>
        <w:rPr>
          <w:rFonts w:ascii="Arial"/>
          <w:color w:val="414042"/>
          <w:w w:val="105"/>
          <w:position w:val="-4"/>
          <w:sz w:val="20"/>
        </w:rPr>
        <w:t>162</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1182"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824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ASUNTOS</w:t>
      </w:r>
      <w:r>
        <w:rPr>
          <w:rFonts w:ascii="Lucida Sans Unicode" w:hAnsi="Lucida Sans Unicode"/>
          <w:color w:val="6D6E71"/>
          <w:spacing w:val="-30"/>
          <w:w w:val="95"/>
          <w:sz w:val="14"/>
        </w:rPr>
        <w:t> </w:t>
      </w:r>
      <w:r>
        <w:rPr>
          <w:rFonts w:ascii="Lucida Sans Unicode" w:hAnsi="Lucida Sans Unicode"/>
          <w:color w:val="6D6E71"/>
          <w:w w:val="95"/>
          <w:sz w:val="14"/>
        </w:rPr>
        <w:t>DE</w:t>
      </w:r>
      <w:r>
        <w:rPr>
          <w:rFonts w:ascii="Lucida Sans Unicode" w:hAnsi="Lucida Sans Unicode"/>
          <w:color w:val="6D6E71"/>
          <w:spacing w:val="-30"/>
          <w:w w:val="95"/>
          <w:sz w:val="14"/>
        </w:rPr>
        <w:t> </w:t>
      </w:r>
      <w:r>
        <w:rPr>
          <w:rFonts w:ascii="Lucida Sans Unicode" w:hAnsi="Lucida Sans Unicode"/>
          <w:color w:val="6D6E71"/>
          <w:w w:val="95"/>
          <w:sz w:val="14"/>
        </w:rPr>
        <w:t>FRONTERA.</w:t>
      </w:r>
      <w:r>
        <w:rPr>
          <w:rFonts w:ascii="Lucida Sans Unicode" w:hAnsi="Lucida Sans Unicode"/>
          <w:color w:val="6D6E71"/>
          <w:spacing w:val="-30"/>
          <w:w w:val="95"/>
          <w:sz w:val="14"/>
        </w:rPr>
        <w:t> </w:t>
      </w:r>
      <w:r>
        <w:rPr>
          <w:rFonts w:ascii="Lucida Sans Unicode" w:hAnsi="Lucida Sans Unicode"/>
          <w:color w:val="6D6E71"/>
          <w:w w:val="95"/>
          <w:sz w:val="14"/>
        </w:rPr>
        <w:t>SOBERANÍA</w:t>
      </w:r>
      <w:r>
        <w:rPr>
          <w:rFonts w:ascii="Lucida Sans Unicode" w:hAnsi="Lucida Sans Unicode"/>
          <w:color w:val="6D6E71"/>
          <w:spacing w:val="-30"/>
          <w:w w:val="95"/>
          <w:sz w:val="14"/>
        </w:rPr>
        <w:t> </w:t>
      </w:r>
      <w:r>
        <w:rPr>
          <w:rFonts w:ascii="Lucida Sans Unicode" w:hAnsi="Lucida Sans Unicode"/>
          <w:color w:val="6D6E71"/>
          <w:w w:val="95"/>
          <w:sz w:val="14"/>
        </w:rPr>
        <w:t>TERRITORIAL</w:t>
      </w:r>
      <w:r>
        <w:rPr>
          <w:rFonts w:ascii="Lucida Sans Unicode" w:hAnsi="Lucida Sans Unicode"/>
          <w:color w:val="6D6E71"/>
          <w:spacing w:val="-30"/>
          <w:w w:val="95"/>
          <w:sz w:val="14"/>
        </w:rPr>
        <w:t> </w:t>
      </w:r>
      <w:r>
        <w:rPr>
          <w:rFonts w:ascii="Lucida Sans Unicode" w:hAnsi="Lucida Sans Unicode"/>
          <w:color w:val="6D6E71"/>
          <w:w w:val="95"/>
          <w:sz w:val="14"/>
        </w:rPr>
        <w:t>Y</w:t>
      </w:r>
      <w:r>
        <w:rPr>
          <w:rFonts w:ascii="Lucida Sans Unicode" w:hAnsi="Lucida Sans Unicode"/>
          <w:color w:val="6D6E71"/>
          <w:spacing w:val="-30"/>
          <w:w w:val="95"/>
          <w:sz w:val="14"/>
        </w:rPr>
        <w:t> </w:t>
      </w:r>
      <w:r>
        <w:rPr>
          <w:rFonts w:ascii="Lucida Sans Unicode" w:hAnsi="Lucida Sans Unicode"/>
          <w:color w:val="6D6E71"/>
          <w:w w:val="95"/>
          <w:sz w:val="14"/>
        </w:rPr>
        <w:t>ORDEN</w:t>
      </w:r>
      <w:r>
        <w:rPr>
          <w:rFonts w:ascii="Lucida Sans Unicode" w:hAnsi="Lucida Sans Unicode"/>
          <w:color w:val="6D6E71"/>
          <w:spacing w:val="-30"/>
          <w:w w:val="95"/>
          <w:sz w:val="14"/>
        </w:rPr>
        <w:t> </w:t>
      </w:r>
      <w:r>
        <w:rPr>
          <w:rFonts w:ascii="Lucida Sans Unicode" w:hAnsi="Lucida Sans Unicode"/>
          <w:color w:val="6D6E71"/>
          <w:w w:val="95"/>
          <w:sz w:val="14"/>
        </w:rPr>
        <w:t>GLOBAL</w:t>
      </w:r>
      <w:r>
        <w:rPr>
          <w:rFonts w:ascii="Lucida Sans Unicode" w:hAnsi="Lucida Sans Unicode"/>
          <w:color w:val="6D6E71"/>
          <w:spacing w:val="-30"/>
          <w:w w:val="95"/>
          <w:sz w:val="14"/>
        </w:rPr>
        <w:t> </w:t>
      </w:r>
      <w:r>
        <w:rPr>
          <w:rFonts w:ascii="Lucida Sans Unicode" w:hAnsi="Lucida Sans Unicode"/>
          <w:color w:val="6D6E71"/>
          <w:w w:val="95"/>
          <w:sz w:val="14"/>
        </w:rPr>
        <w:t>EN</w:t>
      </w:r>
      <w:r>
        <w:rPr>
          <w:rFonts w:ascii="Lucida Sans Unicode" w:hAnsi="Lucida Sans Unicode"/>
          <w:color w:val="6D6E71"/>
          <w:spacing w:val="-30"/>
          <w:w w:val="95"/>
          <w:sz w:val="14"/>
        </w:rPr>
        <w:t> </w:t>
      </w:r>
      <w:r>
        <w:rPr>
          <w:rFonts w:ascii="Lucida Sans Unicode" w:hAnsi="Lucida Sans Unicode"/>
          <w:color w:val="6D6E71"/>
          <w:w w:val="95"/>
          <w:sz w:val="14"/>
        </w:rPr>
        <w:t>EL</w:t>
      </w:r>
      <w:r>
        <w:rPr>
          <w:rFonts w:ascii="Lucida Sans Unicode" w:hAnsi="Lucida Sans Unicode"/>
          <w:color w:val="6D6E71"/>
          <w:spacing w:val="-30"/>
          <w:w w:val="95"/>
          <w:sz w:val="14"/>
        </w:rPr>
        <w:t> </w:t>
      </w:r>
      <w:r>
        <w:rPr>
          <w:rFonts w:ascii="Lucida Sans Unicode" w:hAnsi="Lucida Sans Unicode"/>
          <w:color w:val="6D6E71"/>
          <w:w w:val="95"/>
          <w:sz w:val="14"/>
        </w:rPr>
        <w:t>DEBATE</w:t>
      </w:r>
    </w:p>
    <w:p>
      <w:pPr>
        <w:spacing w:line="198" w:lineRule="exact" w:before="0"/>
        <w:ind w:left="2963" w:right="-13" w:firstLine="0"/>
        <w:jc w:val="left"/>
        <w:rPr>
          <w:rFonts w:ascii="Lucida Sans Unicode" w:hAnsi="Lucida Sans Unicode"/>
          <w:sz w:val="14"/>
        </w:rPr>
      </w:pPr>
      <w:r>
        <w:rPr>
          <w:rFonts w:ascii="Lucida Sans Unicode" w:hAnsi="Lucida Sans Unicode"/>
          <w:color w:val="6D6E71"/>
          <w:w w:val="90"/>
          <w:sz w:val="14"/>
        </w:rPr>
        <w:t>SOBRE EL “NUEVO INTERVENCIONISMO</w:t>
      </w:r>
      <w:r>
        <w:rPr>
          <w:rFonts w:ascii="Lucida Sans Unicode" w:hAnsi="Lucida Sans Unicode"/>
          <w:color w:val="6D6E71"/>
          <w:spacing w:val="-25"/>
          <w:w w:val="90"/>
          <w:sz w:val="14"/>
        </w:rPr>
        <w:t> </w:t>
      </w:r>
      <w:r>
        <w:rPr>
          <w:rFonts w:ascii="Lucida Sans Unicode" w:hAnsi="Lucida Sans Unicode"/>
          <w:color w:val="6D6E71"/>
          <w:w w:val="90"/>
          <w:sz w:val="14"/>
        </w:rPr>
        <w:t>HUMANITARIO”</w:t>
      </w:r>
    </w:p>
    <w:p>
      <w:pPr>
        <w:spacing w:before="59"/>
        <w:ind w:left="338" w:right="0" w:firstLine="0"/>
        <w:jc w:val="left"/>
        <w:rPr>
          <w:rFonts w:ascii="Arial"/>
          <w:sz w:val="20"/>
        </w:rPr>
      </w:pPr>
      <w:r>
        <w:rPr/>
        <w:br w:type="column"/>
      </w:r>
      <w:r>
        <w:rPr>
          <w:rFonts w:ascii="Arial"/>
          <w:color w:val="414042"/>
          <w:sz w:val="20"/>
        </w:rPr>
        <w:t>163</w:t>
      </w:r>
    </w:p>
    <w:p>
      <w:pPr>
        <w:spacing w:after="0"/>
        <w:jc w:val="left"/>
        <w:rPr>
          <w:rFonts w:ascii="Arial"/>
          <w:sz w:val="20"/>
        </w:rPr>
        <w:sectPr>
          <w:type w:val="continuous"/>
          <w:pgSz w:w="9640" w:h="13890"/>
          <w:pgMar w:top="0" w:bottom="0" w:left="1300" w:right="1200"/>
          <w:cols w:num="2" w:equalWidth="0">
            <w:col w:w="6261" w:space="40"/>
            <w:col w:w="839"/>
          </w:cols>
        </w:sectPr>
      </w:pPr>
    </w:p>
    <w:p>
      <w:pPr>
        <w:pStyle w:val="BodyText"/>
        <w:rPr>
          <w:rFonts w:ascii="Arial"/>
          <w:sz w:val="20"/>
        </w:rPr>
      </w:pPr>
    </w:p>
    <w:p>
      <w:pPr>
        <w:pStyle w:val="BodyText"/>
        <w:spacing w:before="6"/>
        <w:rPr>
          <w:rFonts w:ascii="Arial"/>
          <w:sz w:val="16"/>
        </w:rPr>
      </w:pPr>
    </w:p>
    <w:p>
      <w:pPr>
        <w:pStyle w:val="BodyText"/>
        <w:spacing w:line="244" w:lineRule="auto" w:before="44"/>
        <w:ind w:left="117" w:right="101"/>
        <w:jc w:val="both"/>
      </w:pPr>
      <w:r>
        <w:rPr>
          <w:color w:val="231F20"/>
        </w:rPr>
        <w:t>primera</w:t>
      </w:r>
      <w:r>
        <w:rPr>
          <w:color w:val="231F20"/>
          <w:spacing w:val="-19"/>
        </w:rPr>
        <w:t> </w:t>
      </w:r>
      <w:r>
        <w:rPr>
          <w:color w:val="231F20"/>
        </w:rPr>
        <w:t>edad</w:t>
      </w:r>
      <w:r>
        <w:rPr>
          <w:color w:val="231F20"/>
          <w:spacing w:val="-19"/>
        </w:rPr>
        <w:t> </w:t>
      </w:r>
      <w:r>
        <w:rPr>
          <w:color w:val="231F20"/>
        </w:rPr>
        <w:t>moderna.</w:t>
      </w:r>
      <w:r>
        <w:rPr>
          <w:color w:val="231F20"/>
          <w:spacing w:val="-19"/>
        </w:rPr>
        <w:t> </w:t>
      </w:r>
      <w:r>
        <w:rPr>
          <w:color w:val="231F20"/>
        </w:rPr>
        <w:t>Como</w:t>
      </w:r>
      <w:r>
        <w:rPr>
          <w:color w:val="231F20"/>
          <w:spacing w:val="-19"/>
        </w:rPr>
        <w:t> </w:t>
      </w:r>
      <w:r>
        <w:rPr>
          <w:color w:val="231F20"/>
        </w:rPr>
        <w:t>ha</w:t>
      </w:r>
      <w:r>
        <w:rPr>
          <w:color w:val="231F20"/>
          <w:spacing w:val="-19"/>
        </w:rPr>
        <w:t> </w:t>
      </w:r>
      <w:r>
        <w:rPr>
          <w:color w:val="231F20"/>
        </w:rPr>
        <w:t>escrito</w:t>
      </w:r>
      <w:r>
        <w:rPr>
          <w:color w:val="231F20"/>
          <w:spacing w:val="-19"/>
        </w:rPr>
        <w:t> </w:t>
      </w:r>
      <w:r>
        <w:rPr>
          <w:color w:val="231F20"/>
        </w:rPr>
        <w:t>Seyla</w:t>
      </w:r>
      <w:r>
        <w:rPr>
          <w:color w:val="231F20"/>
          <w:spacing w:val="-19"/>
        </w:rPr>
        <w:t> </w:t>
      </w:r>
      <w:r>
        <w:rPr>
          <w:color w:val="231F20"/>
        </w:rPr>
        <w:t>Benhabib,</w:t>
      </w:r>
      <w:r>
        <w:rPr>
          <w:color w:val="231F20"/>
          <w:spacing w:val="-19"/>
        </w:rPr>
        <w:t> </w:t>
      </w:r>
      <w:r>
        <w:rPr>
          <w:color w:val="231F20"/>
        </w:rPr>
        <w:t>es</w:t>
      </w:r>
      <w:r>
        <w:rPr>
          <w:color w:val="231F20"/>
          <w:spacing w:val="-19"/>
        </w:rPr>
        <w:t> </w:t>
      </w:r>
      <w:r>
        <w:rPr>
          <w:color w:val="231F20"/>
        </w:rPr>
        <w:t>en</w:t>
      </w:r>
      <w:r>
        <w:rPr>
          <w:color w:val="231F20"/>
          <w:spacing w:val="-19"/>
        </w:rPr>
        <w:t> </w:t>
      </w:r>
      <w:r>
        <w:rPr>
          <w:color w:val="231F20"/>
        </w:rPr>
        <w:t>primer</w:t>
      </w:r>
      <w:r>
        <w:rPr>
          <w:color w:val="231F20"/>
          <w:spacing w:val="-19"/>
        </w:rPr>
        <w:t> </w:t>
      </w:r>
      <w:r>
        <w:rPr>
          <w:color w:val="231F20"/>
        </w:rPr>
        <w:t>lugar en este nivel, en efecto, que se juega la decisiva partida para la construc- ción</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forma</w:t>
      </w:r>
      <w:r>
        <w:rPr>
          <w:color w:val="231F20"/>
          <w:spacing w:val="-13"/>
        </w:rPr>
        <w:t> </w:t>
      </w:r>
      <w:r>
        <w:rPr>
          <w:color w:val="231F20"/>
        </w:rPr>
        <w:t>de</w:t>
      </w:r>
      <w:r>
        <w:rPr>
          <w:color w:val="231F20"/>
          <w:spacing w:val="-13"/>
        </w:rPr>
        <w:t> </w:t>
      </w:r>
      <w:r>
        <w:rPr>
          <w:rFonts w:ascii="Arial" w:hAnsi="Arial"/>
          <w:i/>
          <w:color w:val="231F20"/>
        </w:rPr>
        <w:t>solidaridad</w:t>
      </w:r>
      <w:r>
        <w:rPr>
          <w:rFonts w:ascii="Arial" w:hAnsi="Arial"/>
          <w:i/>
          <w:color w:val="231F20"/>
          <w:spacing w:val="-7"/>
        </w:rPr>
        <w:t> </w:t>
      </w:r>
      <w:r>
        <w:rPr>
          <w:rFonts w:ascii="Arial" w:hAnsi="Arial"/>
          <w:i/>
          <w:color w:val="231F20"/>
        </w:rPr>
        <w:t>postnacional</w:t>
      </w:r>
      <w:r>
        <w:rPr>
          <w:color w:val="231F20"/>
        </w:rPr>
        <w:t>,</w:t>
      </w:r>
      <w:r>
        <w:rPr>
          <w:color w:val="231F20"/>
          <w:spacing w:val="-13"/>
        </w:rPr>
        <w:t> </w:t>
      </w:r>
      <w:r>
        <w:rPr>
          <w:color w:val="231F20"/>
        </w:rPr>
        <w:t>finalmente</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altura</w:t>
      </w:r>
      <w:r>
        <w:rPr>
          <w:color w:val="231F20"/>
          <w:spacing w:val="-13"/>
        </w:rPr>
        <w:t> </w:t>
      </w:r>
      <w:r>
        <w:rPr>
          <w:color w:val="231F20"/>
        </w:rPr>
        <w:t>de</w:t>
      </w:r>
      <w:r>
        <w:rPr>
          <w:color w:val="231F20"/>
          <w:spacing w:val="-13"/>
        </w:rPr>
        <w:t> </w:t>
      </w:r>
      <w:r>
        <w:rPr>
          <w:color w:val="231F20"/>
          <w:spacing w:val="-2"/>
        </w:rPr>
        <w:t>los </w:t>
      </w:r>
      <w:r>
        <w:rPr>
          <w:color w:val="231F20"/>
        </w:rPr>
        <w:t>grandes </w:t>
      </w:r>
      <w:r>
        <w:rPr>
          <w:color w:val="231F20"/>
          <w:spacing w:val="-3"/>
        </w:rPr>
        <w:t>retos </w:t>
      </w:r>
      <w:r>
        <w:rPr>
          <w:color w:val="231F20"/>
        </w:rPr>
        <w:t>de la época global. Y desde este punto de vista, también la cuestión</w:t>
      </w:r>
      <w:r>
        <w:rPr>
          <w:color w:val="231F20"/>
          <w:spacing w:val="-18"/>
        </w:rPr>
        <w:t> </w:t>
      </w:r>
      <w:r>
        <w:rPr>
          <w:color w:val="231F20"/>
        </w:rPr>
        <w:t>del</w:t>
      </w:r>
      <w:r>
        <w:rPr>
          <w:color w:val="231F20"/>
          <w:spacing w:val="-18"/>
        </w:rPr>
        <w:t> </w:t>
      </w:r>
      <w:r>
        <w:rPr>
          <w:rFonts w:ascii="Arial" w:hAnsi="Arial"/>
          <w:i/>
          <w:color w:val="231F20"/>
        </w:rPr>
        <w:t>intervencionismo</w:t>
      </w:r>
      <w:r>
        <w:rPr>
          <w:rFonts w:ascii="Arial" w:hAnsi="Arial"/>
          <w:i/>
          <w:color w:val="231F20"/>
          <w:spacing w:val="-11"/>
        </w:rPr>
        <w:t> </w:t>
      </w:r>
      <w:r>
        <w:rPr>
          <w:rFonts w:ascii="Arial" w:hAnsi="Arial"/>
          <w:i/>
          <w:color w:val="231F20"/>
        </w:rPr>
        <w:t>humanitario</w:t>
      </w:r>
      <w:r>
        <w:rPr>
          <w:color w:val="231F20"/>
        </w:rPr>
        <w:t>,</w:t>
      </w:r>
      <w:r>
        <w:rPr>
          <w:color w:val="231F20"/>
          <w:spacing w:val="-18"/>
        </w:rPr>
        <w:t> </w:t>
      </w:r>
      <w:r>
        <w:rPr>
          <w:color w:val="231F20"/>
        </w:rPr>
        <w:t>con</w:t>
      </w:r>
      <w:r>
        <w:rPr>
          <w:color w:val="231F20"/>
          <w:spacing w:val="-18"/>
        </w:rPr>
        <w:t> </w:t>
      </w:r>
      <w:r>
        <w:rPr>
          <w:color w:val="231F20"/>
        </w:rPr>
        <w:t>sus</w:t>
      </w:r>
      <w:r>
        <w:rPr>
          <w:color w:val="231F20"/>
          <w:spacing w:val="-18"/>
        </w:rPr>
        <w:t> </w:t>
      </w:r>
      <w:r>
        <w:rPr>
          <w:color w:val="231F20"/>
        </w:rPr>
        <w:t>dilemas</w:t>
      </w:r>
      <w:r>
        <w:rPr>
          <w:color w:val="231F20"/>
          <w:spacing w:val="-18"/>
        </w:rPr>
        <w:t> </w:t>
      </w:r>
      <w:r>
        <w:rPr>
          <w:color w:val="231F20"/>
        </w:rPr>
        <w:t>normativos</w:t>
      </w:r>
      <w:r>
        <w:rPr>
          <w:color w:val="231F20"/>
          <w:spacing w:val="-18"/>
        </w:rPr>
        <w:t> </w:t>
      </w:r>
      <w:r>
        <w:rPr>
          <w:color w:val="231F20"/>
          <w:spacing w:val="-2"/>
        </w:rPr>
        <w:t>aún </w:t>
      </w:r>
      <w:r>
        <w:rPr>
          <w:color w:val="231F20"/>
        </w:rPr>
        <w:t>no resueltos, puede </w:t>
      </w:r>
      <w:r>
        <w:rPr>
          <w:color w:val="231F20"/>
          <w:spacing w:val="-3"/>
        </w:rPr>
        <w:t>ofrecer </w:t>
      </w:r>
      <w:r>
        <w:rPr>
          <w:color w:val="231F20"/>
        </w:rPr>
        <w:t>un estímulo decisivo al cuestionamiento de al- gunas discutibles certezas ético–políticas que todavía contribuyen a hacer de</w:t>
      </w:r>
      <w:r>
        <w:rPr>
          <w:color w:val="231F20"/>
          <w:spacing w:val="-15"/>
        </w:rPr>
        <w:t> </w:t>
      </w:r>
      <w:r>
        <w:rPr>
          <w:color w:val="231F20"/>
        </w:rPr>
        <w:t>nuestra</w:t>
      </w:r>
      <w:r>
        <w:rPr>
          <w:color w:val="231F20"/>
          <w:spacing w:val="-15"/>
        </w:rPr>
        <w:t> </w:t>
      </w:r>
      <w:r>
        <w:rPr>
          <w:color w:val="231F20"/>
        </w:rPr>
        <w:t>existencia</w:t>
      </w:r>
      <w:r>
        <w:rPr>
          <w:color w:val="231F20"/>
          <w:spacing w:val="-15"/>
        </w:rPr>
        <w:t> </w:t>
      </w:r>
      <w:r>
        <w:rPr>
          <w:color w:val="231F20"/>
        </w:rPr>
        <w:t>una</w:t>
      </w:r>
      <w:r>
        <w:rPr>
          <w:color w:val="231F20"/>
          <w:spacing w:val="-15"/>
        </w:rPr>
        <w:t> </w:t>
      </w:r>
      <w:r>
        <w:rPr>
          <w:color w:val="231F20"/>
        </w:rPr>
        <w:t>mera</w:t>
      </w:r>
      <w:r>
        <w:rPr>
          <w:color w:val="231F20"/>
          <w:spacing w:val="-15"/>
        </w:rPr>
        <w:t> </w:t>
      </w:r>
      <w:r>
        <w:rPr>
          <w:color w:val="231F20"/>
        </w:rPr>
        <w:t>cuestión</w:t>
      </w:r>
      <w:r>
        <w:rPr>
          <w:color w:val="231F20"/>
          <w:spacing w:val="-15"/>
        </w:rPr>
        <w:t> </w:t>
      </w:r>
      <w:r>
        <w:rPr>
          <w:color w:val="231F20"/>
        </w:rPr>
        <w:t>de</w:t>
      </w:r>
      <w:r>
        <w:rPr>
          <w:color w:val="231F20"/>
          <w:spacing w:val="-15"/>
        </w:rPr>
        <w:t> </w:t>
      </w:r>
      <w:r>
        <w:rPr>
          <w:color w:val="231F20"/>
          <w:spacing w:val="-3"/>
        </w:rPr>
        <w:t>fronteras.</w:t>
      </w:r>
    </w:p>
    <w:p>
      <w:pPr>
        <w:spacing w:after="0" w:line="244" w:lineRule="auto"/>
        <w:jc w:val="both"/>
        <w:sectPr>
          <w:type w:val="continuous"/>
          <w:pgSz w:w="9640" w:h="13890"/>
          <w:pgMar w:top="0" w:bottom="0" w:left="1300" w:right="120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2265"/>
        <w:rPr>
          <w:rFonts w:ascii="Times New Roman"/>
          <w:sz w:val="20"/>
        </w:rPr>
      </w:pPr>
      <w:r>
        <w:rPr>
          <w:rFonts w:ascii="Times New Roman"/>
          <w:sz w:val="20"/>
        </w:rPr>
        <w:pict>
          <v:group style="width:126.85pt;height:68.55pt;mso-position-horizontal-relative:char;mso-position-vertical-relative:line" coordorigin="0,0" coordsize="2537,1371">
            <v:shape style="position:absolute;left:1;top:116;width:410;height:1203" type="#_x0000_t75" stroked="false">
              <v:imagedata r:id="rId49" o:title=""/>
            </v:shape>
            <v:shape style="position:absolute;left:1496;top:189;width:113;height:228" type="#_x0000_t75" stroked="false">
              <v:imagedata r:id="rId50" o:title=""/>
            </v:shape>
            <v:shape style="position:absolute;left:1039;top:244;width:391;height:336" type="#_x0000_t75" stroked="false">
              <v:imagedata r:id="rId51" o:title=""/>
            </v:shape>
            <v:shape style="position:absolute;left:0;top:109;width:1534;height:1252" type="#_x0000_t75" stroked="false">
              <v:imagedata r:id="rId52" o:title=""/>
            </v:shape>
            <v:shape style="position:absolute;left:628;top:819;width:374;height:396" type="#_x0000_t75" stroked="false">
              <v:imagedata r:id="rId53" o:title=""/>
            </v:shape>
            <v:shape style="position:absolute;left:467;top:109;width:654;height:1261" type="#_x0000_t75" stroked="false">
              <v:imagedata r:id="rId54" o:title=""/>
            </v:shape>
            <v:shape style="position:absolute;left:2092;top:24;width:419;height:554" type="#_x0000_t75" stroked="false">
              <v:imagedata r:id="rId55" o:title=""/>
            </v:shape>
            <v:shape style="position:absolute;left:2300;top:13;width:204;height:328" type="#_x0000_t75" stroked="false">
              <v:imagedata r:id="rId56" o:title=""/>
            </v:shape>
            <v:shape style="position:absolute;left:2092;top:735;width:443;height:491" type="#_x0000_t75" stroked="false">
              <v:imagedata r:id="rId57" o:title=""/>
            </v:shape>
            <v:shape style="position:absolute;left:2089;top:844;width:433;height:328" coordorigin="2089,844" coordsize="433,328" path="m2437,844l2420,845,2403,847,2387,851,2371,856,2355,862,2340,869,2324,877,2310,885,2295,894,2281,903,2268,913,2255,924,2242,935,2229,946,2217,957,2205,969,2193,981,2182,993,2170,1006,2159,1019,2149,1032,2138,1045,2128,1058,2118,1072,2108,1085,2099,1099,2089,1114,2090,1124,2091,1132,2091,1140,2092,1148,2092,1158,2093,1171,2098,1165,2097,1165,2093,1163,2097,1158,2097,1148,2097,1139,2097,1132,2097,1123,2096,1117,2095,1117,2096,1115,2097,1115,2105,1103,2114,1090,2124,1076,2134,1063,2145,1050,2155,1037,2166,1024,2177,1012,2188,999,2199,987,2211,975,2223,964,2235,952,2247,941,2260,931,2273,920,2286,910,2300,901,2314,892,2328,884,2343,876,2358,869,2373,863,2389,857,2405,853,2421,850,2437,848,2454,848,2484,848,2476,846,2465,844,2454,844,2437,844xm2097,1158l2093,1163,2097,1165,2097,1158xm2517,937l2476,938,2465,938,2373,943,2357,944,2341,945,2303,949,2292,950,2287,952,2284,953,2282,953,2281,954,2280,954,2279,955,2270,967,2223,1019,2180,1068,2137,1115,2115,1139,2104,1151,2097,1158,2097,1165,2098,1165,2105,1156,2111,1150,2139,1117,2171,1081,2182,1069,2226,1022,2270,974,2284,960,2284,960,2284,959,2284,959,2286,959,2288,958,2291,958,2304,956,2315,955,2406,948,2521,941,2521,939,2517,939,2517,937xm2096,1115l2095,1117,2096,1116,2096,1115xm2096,1116l2095,1117,2096,1117,2096,1116xm2097,1115l2096,1115,2096,1116,2097,1115xm2284,959l2284,959,2284,960,2284,959,2284,959xm2519,937l2517,937,2517,939,2519,937xm2521,937l2519,937,2517,939,2521,939,2521,937xm2484,848l2454,848,2465,848,2476,849,2487,851,2498,853,2508,856,2519,860,2517,913,2517,924,2517,937,2519,937,2521,937,2521,924,2519,860,2509,855,2498,852,2484,848xe" filled="true" fillcolor="#ffffff" stroked="false">
              <v:path arrowok="t"/>
              <v:fill type="solid"/>
            </v:shape>
            <v:shape style="position:absolute;left:1933;top:0;width:605;height:1305" coordorigin="1933,0" coordsize="605,1305" path="m2099,734l2074,734,2078,734,2081,734,2085,735,2088,735,2091,737,2091,737,2092,738,2092,738,2092,739,2092,759,2090,873,2089,896,2089,919,2088,942,2088,987,2088,1033,2088,1079,2090,1125,2091,1147,2092,1170,2093,1182,2094,1193,2095,1205,2096,1216,2097,1227,2099,1239,2101,1250,2103,1261,2105,1269,2106,1276,2109,1283,2111,1291,2114,1298,2119,1304,2119,1304,2115,1297,2112,1290,2110,1283,2108,1276,2106,1268,2105,1261,2103,1250,2101,1238,2100,1227,2099,1216,2098,1204,2097,1193,2096,1182,2095,1170,2095,1159,2094,1147,2094,1124,2093,1079,2093,1033,2093,987,2094,942,2095,919,2096,896,2096,873,2100,759,2100,738,2100,737,2100,735,2099,734xm2500,2l2497,2,2499,3,2497,3,2496,42,2496,134,2496,162,2497,242,2498,323,2502,483,2507,644,2513,804,2520,964,2528,1125,2536,1285,2537,1285,2526,964,2512,562,2509,476,2503,323,2501,242,2500,202,2499,182,2499,134,2499,89,2499,42,2500,2xm2500,0l2128,45,2114,89,2100,132,2087,175,2073,218,2060,260,2047,303,2034,346,2021,389,1996,476,1989,497,1983,519,1977,540,1971,562,1965,584,1960,605,1954,627,1949,649,1946,660,1943,671,1941,682,1939,693,1937,700,1936,708,1935,715,1934,719,1933,727,1933,730,1933,735,1933,743,1937,743,1960,742,1983,741,2006,739,2020,738,1942,738,1937,734,1941,734,1941,730,1942,724,1943,715,1944,709,1947,695,1950,684,1952,673,1955,662,1957,651,1963,629,1968,608,1974,586,1980,564,1992,521,2004,478,2017,435,2029,392,2042,349,2055,306,2081,220,2094,177,2110,122,2120,91,2132,50,2131,50,2133,48,2146,48,2497,3,2497,2,2500,2,2500,0xm1941,734l1937,734,1942,738,1941,734xm2062,726l2051,726,2039,727,2005,730,1983,732,1960,733,1941,734,1942,738,2020,738,2052,735,2063,734,2074,734,2099,734,2097,731,2095,730,2090,728,2088,727,2082,726,2078,726,2062,726xm2133,48l2131,50,2132,50,2133,48xm2132,50l2131,50,2132,50,2132,50xm2146,48l2133,48,2132,50,2146,48xm2497,2l2497,3,2499,3,2497,2xe" filled="true" fillcolor="#231f20" stroked="false">
              <v:path arrowok="t"/>
              <v:fill type="solid"/>
            </v:shape>
            <v:shape style="position:absolute;left:1471;top:191;width:485;height:1094" coordorigin="1471,191" coordsize="485,1094" path="m1530,191l1489,345,1471,510,1472,789,1489,1285,1849,1285,1842,1241,1827,1140,1811,1033,1804,970,1806,949,1823,935,1868,919,1956,894,1884,286,1622,218,1530,191xe" filled="true" fillcolor="#ffffff" stroked="false">
              <v:path arrowok="t"/>
              <v:fill type="solid"/>
            </v:shape>
            <v:shape style="position:absolute;left:1479;top:190;width:482;height:1096" coordorigin="1479,190" coordsize="482,1096" path="m1951,891l1940,894,1925,899,1910,904,1896,909,1881,915,1867,920,1853,927,1839,933,1829,938,1820,944,1812,951,1808,954,1804,958,1802,964,1801,966,1801,971,1801,973,1802,980,1802,985,1802,991,1807,1021,1808,1032,1810,1045,1819,1103,1828,1164,1849,1285,1850,1285,1823,1102,1815,1041,1813,1031,1812,1021,1811,1011,1808,990,1808,985,1808,980,1807,973,1807,969,1807,967,1808,966,1809,962,1813,959,1816,955,1824,949,1833,944,1842,939,1856,933,1870,927,1884,921,1898,916,1913,911,1927,907,1942,902,1957,898,1960,897,1960,894,1952,894,1951,891xm1529,190l1525,208,1521,225,1517,242,1511,275,1509,292,1507,304,1506,315,1504,326,1503,338,1501,349,1500,360,1499,372,1498,383,1497,395,1496,412,1494,429,1493,446,1491,463,1489,497,1487,531,1485,566,1484,600,1482,634,1482,651,1481,668,1480,737,1479,771,1479,788,1479,890,1479,927,1479,955,1479,977,1480,1011,1481,1045,1481,1079,1482,1114,1483,1148,1484,1182,1485,1216,1487,1251,1488,1285,1489,1285,1488,1251,1488,1216,1487,1182,1487,1148,1487,1114,1486,1079,1486,1045,1486,874,1486,805,1487,737,1489,668,1490,600,1491,565,1492,548,1493,514,1494,497,1496,463,1497,445,1498,428,1499,411,1501,383,1503,371,1504,360,1505,349,1506,337,1507,326,1509,315,1510,303,1512,289,1514,275,1517,259,1520,241,1524,224,1528,208,1531,193,1530,193,1532,192,1538,192,1529,190xm1955,890l1951,891,1952,894,1955,890xm1959,890l1955,890,1952,894,1960,894,1959,890xm1887,287l1880,287,1883,290,1880,290,1915,591,1951,891,1955,890,1959,890,1924,590,1887,290,1883,290,1880,289,1887,289,1887,287xm1880,287l1880,289,1883,290,1880,287xm1538,192l1532,192,1531,193,1739,251,1880,289,1880,287,1887,287,1887,284,1740,246,1538,192xm1532,192l1530,193,1531,193,1532,192xe" filled="true" fillcolor="#231f20" stroked="false">
              <v:path arrowok="t"/>
              <v:fill type="solid"/>
            </v:shape>
            <v:shape style="position:absolute;left:1494;top:189;width:420;height:339" type="#_x0000_t75" stroked="false">
              <v:imagedata r:id="rId58" o:title=""/>
            </v:shape>
            <v:shape style="position:absolute;left:1480;top:1023;width:364;height:246" type="#_x0000_t75" stroked="false">
              <v:imagedata r:id="rId59" o:title=""/>
            </v:shape>
            <v:shape style="position:absolute;left:1479;top:190;width:482;height:1096" coordorigin="1479,190" coordsize="482,1096" path="m1951,891l1940,894,1925,899,1910,904,1896,909,1881,915,1867,920,1853,927,1839,933,1829,938,1820,944,1812,951,1808,954,1804,958,1802,964,1801,966,1801,971,1801,973,1802,980,1802,985,1802,991,1807,1021,1808,1032,1810,1045,1819,1103,1828,1164,1849,1285,1850,1285,1823,1102,1815,1041,1813,1031,1812,1021,1811,1011,1808,990,1808,985,1808,980,1807,973,1807,969,1807,967,1808,966,1809,962,1813,959,1816,955,1824,949,1833,944,1842,939,1856,933,1870,927,1884,921,1898,916,1913,911,1927,907,1942,902,1957,898,1960,897,1960,894,1952,894,1951,891xm1529,190l1525,208,1521,225,1517,242,1511,275,1509,292,1507,304,1506,315,1504,326,1503,338,1501,349,1500,360,1499,372,1498,383,1497,395,1496,412,1494,429,1493,446,1491,463,1489,497,1487,531,1485,566,1484,600,1482,634,1482,651,1481,668,1480,737,1479,771,1479,788,1479,890,1479,927,1479,955,1479,977,1480,1011,1481,1045,1481,1079,1482,1114,1483,1148,1484,1182,1485,1216,1487,1251,1488,1285,1489,1285,1488,1251,1488,1216,1487,1182,1487,1148,1487,1114,1486,1079,1486,1045,1486,874,1486,805,1487,737,1489,668,1490,600,1491,565,1492,548,1493,514,1494,497,1496,463,1497,445,1498,428,1499,411,1501,383,1503,371,1504,360,1505,349,1506,337,1507,326,1509,315,1510,303,1512,289,1514,275,1517,259,1520,241,1524,224,1528,208,1531,193,1530,193,1532,192,1538,192,1529,190xm1955,890l1951,891,1952,894,1955,890xm1959,890l1955,890,1952,894,1960,894,1959,890xm1887,287l1880,287,1883,290,1880,290,1915,591,1951,891,1955,890,1959,890,1924,590,1887,290,1883,290,1880,289,1887,289,1887,287xm1880,287l1880,289,1883,290,1880,287xm1538,192l1532,192,1531,193,1739,251,1880,289,1880,287,1887,287,1887,284,1740,246,1538,192xm1532,192l1530,193,1531,193,1532,192xe" filled="true" fillcolor="#231f20" stroked="false">
              <v:path arrowok="t"/>
              <v:fill type="solid"/>
            </v:shape>
          </v:group>
        </w:pict>
      </w:r>
      <w:r>
        <w:rPr>
          <w:rFonts w:ascii="Times New Roman"/>
          <w:sz w:val="20"/>
        </w:rPr>
      </w:r>
    </w:p>
    <w:p>
      <w:pPr>
        <w:pStyle w:val="BodyText"/>
        <w:spacing w:before="4"/>
        <w:rPr>
          <w:rFonts w:ascii="Times New Roman"/>
          <w:sz w:val="15"/>
        </w:rPr>
      </w:pPr>
    </w:p>
    <w:p>
      <w:pPr>
        <w:spacing w:line="220" w:lineRule="exact" w:before="78"/>
        <w:ind w:left="2785" w:right="1860" w:hanging="801"/>
        <w:jc w:val="left"/>
        <w:rPr>
          <w:rFonts w:ascii="Palatino Linotype"/>
          <w:i/>
          <w:sz w:val="20"/>
        </w:rPr>
      </w:pPr>
      <w:r>
        <w:rPr>
          <w:rFonts w:ascii="Palatino Linotype"/>
          <w:i/>
          <w:color w:val="414042"/>
          <w:w w:val="105"/>
          <w:sz w:val="20"/>
        </w:rPr>
        <w:t>El</w:t>
      </w:r>
      <w:r>
        <w:rPr>
          <w:rFonts w:ascii="Palatino Linotype"/>
          <w:i/>
          <w:color w:val="414042"/>
          <w:spacing w:val="-12"/>
          <w:w w:val="105"/>
          <w:sz w:val="20"/>
        </w:rPr>
        <w:t> </w:t>
      </w:r>
      <w:r>
        <w:rPr>
          <w:rFonts w:ascii="Palatino Linotype"/>
          <w:i/>
          <w:color w:val="414042"/>
          <w:w w:val="105"/>
          <w:sz w:val="20"/>
        </w:rPr>
        <w:t>Estado</w:t>
      </w:r>
      <w:r>
        <w:rPr>
          <w:rFonts w:ascii="Palatino Linotype"/>
          <w:i/>
          <w:color w:val="414042"/>
          <w:spacing w:val="-12"/>
          <w:w w:val="105"/>
          <w:sz w:val="20"/>
        </w:rPr>
        <w:t> </w:t>
      </w:r>
      <w:r>
        <w:rPr>
          <w:rFonts w:ascii="Palatino Linotype"/>
          <w:i/>
          <w:color w:val="414042"/>
          <w:w w:val="105"/>
          <w:sz w:val="20"/>
        </w:rPr>
        <w:t>y</w:t>
      </w:r>
      <w:r>
        <w:rPr>
          <w:rFonts w:ascii="Palatino Linotype"/>
          <w:i/>
          <w:color w:val="414042"/>
          <w:spacing w:val="-12"/>
          <w:w w:val="105"/>
          <w:sz w:val="20"/>
        </w:rPr>
        <w:t> </w:t>
      </w:r>
      <w:r>
        <w:rPr>
          <w:rFonts w:ascii="Palatino Linotype"/>
          <w:i/>
          <w:color w:val="414042"/>
          <w:w w:val="105"/>
          <w:sz w:val="20"/>
        </w:rPr>
        <w:t>el</w:t>
      </w:r>
      <w:r>
        <w:rPr>
          <w:rFonts w:ascii="Palatino Linotype"/>
          <w:i/>
          <w:color w:val="414042"/>
          <w:spacing w:val="-12"/>
          <w:w w:val="105"/>
          <w:sz w:val="20"/>
        </w:rPr>
        <w:t> </w:t>
      </w:r>
      <w:r>
        <w:rPr>
          <w:rFonts w:ascii="Palatino Linotype"/>
          <w:i/>
          <w:color w:val="414042"/>
          <w:w w:val="105"/>
          <w:sz w:val="20"/>
        </w:rPr>
        <w:t>espacio</w:t>
      </w:r>
      <w:r>
        <w:rPr>
          <w:rFonts w:ascii="Palatino Linotype"/>
          <w:i/>
          <w:color w:val="414042"/>
          <w:spacing w:val="-12"/>
          <w:w w:val="105"/>
          <w:sz w:val="20"/>
        </w:rPr>
        <w:t> </w:t>
      </w:r>
      <w:r>
        <w:rPr>
          <w:rFonts w:ascii="Palatino Linotype"/>
          <w:i/>
          <w:color w:val="414042"/>
          <w:w w:val="105"/>
          <w:sz w:val="20"/>
        </w:rPr>
        <w:t>global.</w:t>
      </w:r>
      <w:r>
        <w:rPr>
          <w:rFonts w:ascii="Palatino Linotype"/>
          <w:i/>
          <w:color w:val="414042"/>
          <w:spacing w:val="-12"/>
          <w:w w:val="105"/>
          <w:sz w:val="20"/>
        </w:rPr>
        <w:t> </w:t>
      </w:r>
      <w:r>
        <w:rPr>
          <w:rFonts w:ascii="Palatino Linotype"/>
          <w:i/>
          <w:color w:val="414042"/>
          <w:w w:val="105"/>
          <w:sz w:val="20"/>
        </w:rPr>
        <w:t>Lo</w:t>
      </w:r>
      <w:r>
        <w:rPr>
          <w:rFonts w:ascii="Palatino Linotype"/>
          <w:i/>
          <w:color w:val="414042"/>
          <w:spacing w:val="-12"/>
          <w:w w:val="105"/>
          <w:sz w:val="20"/>
        </w:rPr>
        <w:t> </w:t>
      </w:r>
      <w:r>
        <w:rPr>
          <w:rFonts w:ascii="Palatino Linotype"/>
          <w:i/>
          <w:color w:val="414042"/>
          <w:w w:val="105"/>
          <w:sz w:val="20"/>
        </w:rPr>
        <w:t>Stato </w:t>
      </w:r>
      <w:r>
        <w:rPr>
          <w:rFonts w:ascii="Palatino Linotype"/>
          <w:i/>
          <w:color w:val="414042"/>
          <w:w w:val="105"/>
          <w:sz w:val="20"/>
        </w:rPr>
        <w:t>e lo spazio</w:t>
      </w:r>
      <w:r>
        <w:rPr>
          <w:rFonts w:ascii="Palatino Linotype"/>
          <w:i/>
          <w:color w:val="414042"/>
          <w:spacing w:val="-3"/>
          <w:w w:val="105"/>
          <w:sz w:val="20"/>
        </w:rPr>
        <w:t> </w:t>
      </w:r>
      <w:r>
        <w:rPr>
          <w:rFonts w:ascii="Palatino Linotype"/>
          <w:i/>
          <w:color w:val="414042"/>
          <w:w w:val="105"/>
          <w:sz w:val="20"/>
        </w:rPr>
        <w:t>globale</w:t>
      </w:r>
    </w:p>
    <w:p>
      <w:pPr>
        <w:spacing w:line="273" w:lineRule="auto" w:before="132"/>
        <w:ind w:left="1358" w:right="1243" w:firstLine="0"/>
        <w:jc w:val="both"/>
        <w:rPr>
          <w:rFonts w:ascii="Microsoft Sans Serif" w:hAnsi="Microsoft Sans Serif"/>
          <w:sz w:val="17"/>
        </w:rPr>
      </w:pPr>
      <w:r>
        <w:rPr>
          <w:rFonts w:ascii="Microsoft Sans Serif" w:hAnsi="Microsoft Sans Serif"/>
          <w:color w:val="231F20"/>
          <w:sz w:val="17"/>
        </w:rPr>
        <w:t>de</w:t>
      </w:r>
      <w:r>
        <w:rPr>
          <w:rFonts w:ascii="Microsoft Sans Serif" w:hAnsi="Microsoft Sans Serif"/>
          <w:color w:val="231F20"/>
          <w:spacing w:val="-15"/>
          <w:sz w:val="17"/>
        </w:rPr>
        <w:t> </w:t>
      </w:r>
      <w:r>
        <w:rPr>
          <w:rFonts w:ascii="Microsoft Sans Serif" w:hAnsi="Microsoft Sans Serif"/>
          <w:color w:val="231F20"/>
          <w:sz w:val="17"/>
        </w:rPr>
        <w:t>Jorge</w:t>
      </w:r>
      <w:r>
        <w:rPr>
          <w:rFonts w:ascii="Microsoft Sans Serif" w:hAnsi="Microsoft Sans Serif"/>
          <w:color w:val="231F20"/>
          <w:spacing w:val="-15"/>
          <w:sz w:val="17"/>
        </w:rPr>
        <w:t> </w:t>
      </w:r>
      <w:r>
        <w:rPr>
          <w:rFonts w:ascii="Microsoft Sans Serif" w:hAnsi="Microsoft Sans Serif"/>
          <w:color w:val="231F20"/>
          <w:sz w:val="17"/>
        </w:rPr>
        <w:t>Olvera</w:t>
      </w:r>
      <w:r>
        <w:rPr>
          <w:rFonts w:ascii="Microsoft Sans Serif" w:hAnsi="Microsoft Sans Serif"/>
          <w:color w:val="231F20"/>
          <w:spacing w:val="-15"/>
          <w:sz w:val="17"/>
        </w:rPr>
        <w:t> </w:t>
      </w:r>
      <w:r>
        <w:rPr>
          <w:rFonts w:ascii="Microsoft Sans Serif" w:hAnsi="Microsoft Sans Serif"/>
          <w:color w:val="231F20"/>
          <w:sz w:val="17"/>
        </w:rPr>
        <w:t>García</w:t>
      </w:r>
      <w:r>
        <w:rPr>
          <w:rFonts w:ascii="Microsoft Sans Serif" w:hAnsi="Microsoft Sans Serif"/>
          <w:color w:val="231F20"/>
          <w:spacing w:val="-15"/>
          <w:sz w:val="17"/>
        </w:rPr>
        <w:t> </w:t>
      </w:r>
      <w:r>
        <w:rPr>
          <w:rFonts w:ascii="Microsoft Sans Serif" w:hAnsi="Microsoft Sans Serif"/>
          <w:color w:val="231F20"/>
          <w:sz w:val="17"/>
        </w:rPr>
        <w:t>y</w:t>
      </w:r>
      <w:r>
        <w:rPr>
          <w:rFonts w:ascii="Microsoft Sans Serif" w:hAnsi="Microsoft Sans Serif"/>
          <w:color w:val="231F20"/>
          <w:spacing w:val="-15"/>
          <w:sz w:val="17"/>
        </w:rPr>
        <w:t> </w:t>
      </w:r>
      <w:r>
        <w:rPr>
          <w:rFonts w:ascii="Microsoft Sans Serif" w:hAnsi="Microsoft Sans Serif"/>
          <w:color w:val="231F20"/>
          <w:sz w:val="17"/>
        </w:rPr>
        <w:t>Maurizio</w:t>
      </w:r>
      <w:r>
        <w:rPr>
          <w:rFonts w:ascii="Microsoft Sans Serif" w:hAnsi="Microsoft Sans Serif"/>
          <w:color w:val="231F20"/>
          <w:spacing w:val="-15"/>
          <w:sz w:val="17"/>
        </w:rPr>
        <w:t> </w:t>
      </w:r>
      <w:r>
        <w:rPr>
          <w:rFonts w:ascii="Microsoft Sans Serif" w:hAnsi="Microsoft Sans Serif"/>
          <w:color w:val="231F20"/>
          <w:sz w:val="17"/>
        </w:rPr>
        <w:t>Ricciardi,</w:t>
      </w:r>
      <w:r>
        <w:rPr>
          <w:rFonts w:ascii="Microsoft Sans Serif" w:hAnsi="Microsoft Sans Serif"/>
          <w:color w:val="231F20"/>
          <w:spacing w:val="-15"/>
          <w:sz w:val="17"/>
        </w:rPr>
        <w:t> </w:t>
      </w:r>
      <w:r>
        <w:rPr>
          <w:rFonts w:ascii="Microsoft Sans Serif" w:hAnsi="Microsoft Sans Serif"/>
          <w:color w:val="231F20"/>
          <w:sz w:val="17"/>
        </w:rPr>
        <w:t>fue</w:t>
      </w:r>
      <w:r>
        <w:rPr>
          <w:rFonts w:ascii="Microsoft Sans Serif" w:hAnsi="Microsoft Sans Serif"/>
          <w:color w:val="231F20"/>
          <w:spacing w:val="-15"/>
          <w:sz w:val="17"/>
        </w:rPr>
        <w:t> </w:t>
      </w:r>
      <w:r>
        <w:rPr>
          <w:rFonts w:ascii="Microsoft Sans Serif" w:hAnsi="Microsoft Sans Serif"/>
          <w:color w:val="231F20"/>
          <w:sz w:val="17"/>
        </w:rPr>
        <w:t>impreso</w:t>
      </w:r>
      <w:r>
        <w:rPr>
          <w:rFonts w:ascii="Microsoft Sans Serif" w:hAnsi="Microsoft Sans Serif"/>
          <w:color w:val="231F20"/>
          <w:spacing w:val="-15"/>
          <w:sz w:val="17"/>
        </w:rPr>
        <w:t> </w:t>
      </w:r>
      <w:r>
        <w:rPr>
          <w:rFonts w:ascii="Microsoft Sans Serif" w:hAnsi="Microsoft Sans Serif"/>
          <w:color w:val="231F20"/>
          <w:sz w:val="17"/>
        </w:rPr>
        <w:t>en </w:t>
      </w:r>
      <w:r>
        <w:rPr>
          <w:rFonts w:ascii="Microsoft Sans Serif" w:hAnsi="Microsoft Sans Serif"/>
          <w:color w:val="231F20"/>
          <w:w w:val="95"/>
          <w:sz w:val="17"/>
        </w:rPr>
        <w:t>los</w:t>
      </w:r>
      <w:r>
        <w:rPr>
          <w:rFonts w:ascii="Microsoft Sans Serif" w:hAnsi="Microsoft Sans Serif"/>
          <w:color w:val="231F20"/>
          <w:spacing w:val="-12"/>
          <w:w w:val="95"/>
          <w:sz w:val="17"/>
        </w:rPr>
        <w:t> </w:t>
      </w:r>
      <w:r>
        <w:rPr>
          <w:rFonts w:ascii="Microsoft Sans Serif" w:hAnsi="Microsoft Sans Serif"/>
          <w:color w:val="231F20"/>
          <w:w w:val="95"/>
          <w:sz w:val="17"/>
        </w:rPr>
        <w:t>talleres</w:t>
      </w:r>
      <w:r>
        <w:rPr>
          <w:rFonts w:ascii="Microsoft Sans Serif" w:hAnsi="Microsoft Sans Serif"/>
          <w:color w:val="231F20"/>
          <w:spacing w:val="-12"/>
          <w:w w:val="95"/>
          <w:sz w:val="17"/>
        </w:rPr>
        <w:t> </w:t>
      </w:r>
      <w:r>
        <w:rPr>
          <w:rFonts w:ascii="Microsoft Sans Serif" w:hAnsi="Microsoft Sans Serif"/>
          <w:color w:val="231F20"/>
          <w:w w:val="95"/>
          <w:sz w:val="17"/>
        </w:rPr>
        <w:t>de</w:t>
      </w:r>
      <w:r>
        <w:rPr>
          <w:rFonts w:ascii="Microsoft Sans Serif" w:hAnsi="Microsoft Sans Serif"/>
          <w:color w:val="231F20"/>
          <w:spacing w:val="-12"/>
          <w:w w:val="95"/>
          <w:sz w:val="17"/>
        </w:rPr>
        <w:t> </w:t>
      </w:r>
      <w:r>
        <w:rPr>
          <w:rFonts w:ascii="Microsoft Sans Serif" w:hAnsi="Microsoft Sans Serif"/>
          <w:color w:val="231F20"/>
          <w:w w:val="95"/>
          <w:sz w:val="17"/>
        </w:rPr>
        <w:t>Editorial</w:t>
      </w:r>
      <w:r>
        <w:rPr>
          <w:rFonts w:ascii="Microsoft Sans Serif" w:hAnsi="Microsoft Sans Serif"/>
          <w:color w:val="231F20"/>
          <w:spacing w:val="-13"/>
          <w:w w:val="95"/>
          <w:sz w:val="17"/>
        </w:rPr>
        <w:t> </w:t>
      </w:r>
      <w:r>
        <w:rPr>
          <w:rFonts w:ascii="Microsoft Sans Serif" w:hAnsi="Microsoft Sans Serif"/>
          <w:color w:val="231F20"/>
          <w:w w:val="95"/>
          <w:sz w:val="16"/>
        </w:rPr>
        <w:t>CIGOME</w:t>
      </w:r>
      <w:r>
        <w:rPr>
          <w:rFonts w:ascii="Microsoft Sans Serif" w:hAnsi="Microsoft Sans Serif"/>
          <w:color w:val="231F20"/>
          <w:w w:val="95"/>
          <w:sz w:val="17"/>
        </w:rPr>
        <w:t>,</w:t>
      </w:r>
      <w:r>
        <w:rPr>
          <w:rFonts w:ascii="Microsoft Sans Serif" w:hAnsi="Microsoft Sans Serif"/>
          <w:color w:val="231F20"/>
          <w:spacing w:val="-12"/>
          <w:w w:val="95"/>
          <w:sz w:val="17"/>
        </w:rPr>
        <w:t> </w:t>
      </w:r>
      <w:r>
        <w:rPr>
          <w:rFonts w:ascii="Microsoft Sans Serif" w:hAnsi="Microsoft Sans Serif"/>
          <w:color w:val="231F20"/>
          <w:w w:val="95"/>
          <w:sz w:val="17"/>
        </w:rPr>
        <w:t>S.A.</w:t>
      </w:r>
      <w:r>
        <w:rPr>
          <w:rFonts w:ascii="Microsoft Sans Serif" w:hAnsi="Microsoft Sans Serif"/>
          <w:color w:val="231F20"/>
          <w:spacing w:val="-12"/>
          <w:w w:val="95"/>
          <w:sz w:val="17"/>
        </w:rPr>
        <w:t> </w:t>
      </w:r>
      <w:r>
        <w:rPr>
          <w:rFonts w:ascii="Microsoft Sans Serif" w:hAnsi="Microsoft Sans Serif"/>
          <w:color w:val="231F20"/>
          <w:w w:val="95"/>
          <w:sz w:val="17"/>
        </w:rPr>
        <w:t>de</w:t>
      </w:r>
      <w:r>
        <w:rPr>
          <w:rFonts w:ascii="Microsoft Sans Serif" w:hAnsi="Microsoft Sans Serif"/>
          <w:color w:val="231F20"/>
          <w:spacing w:val="-12"/>
          <w:w w:val="95"/>
          <w:sz w:val="17"/>
        </w:rPr>
        <w:t> </w:t>
      </w:r>
      <w:r>
        <w:rPr>
          <w:rFonts w:ascii="Microsoft Sans Serif" w:hAnsi="Microsoft Sans Serif"/>
          <w:color w:val="231F20"/>
          <w:spacing w:val="-6"/>
          <w:w w:val="95"/>
          <w:sz w:val="17"/>
        </w:rPr>
        <w:t>C.V.,</w:t>
      </w:r>
      <w:r>
        <w:rPr>
          <w:rFonts w:ascii="Microsoft Sans Serif" w:hAnsi="Microsoft Sans Serif"/>
          <w:color w:val="231F20"/>
          <w:spacing w:val="-12"/>
          <w:w w:val="95"/>
          <w:sz w:val="17"/>
        </w:rPr>
        <w:t> </w:t>
      </w:r>
      <w:r>
        <w:rPr>
          <w:rFonts w:ascii="Microsoft Sans Serif" w:hAnsi="Microsoft Sans Serif"/>
          <w:color w:val="231F20"/>
          <w:w w:val="95"/>
          <w:sz w:val="17"/>
        </w:rPr>
        <w:t>Vialidad</w:t>
      </w:r>
      <w:r>
        <w:rPr>
          <w:rFonts w:ascii="Microsoft Sans Serif" w:hAnsi="Microsoft Sans Serif"/>
          <w:color w:val="231F20"/>
          <w:spacing w:val="-12"/>
          <w:w w:val="95"/>
          <w:sz w:val="17"/>
        </w:rPr>
        <w:t> </w:t>
      </w:r>
      <w:r>
        <w:rPr>
          <w:rFonts w:ascii="Microsoft Sans Serif" w:hAnsi="Microsoft Sans Serif"/>
          <w:color w:val="231F20"/>
          <w:w w:val="95"/>
          <w:sz w:val="17"/>
        </w:rPr>
        <w:t>Alfredo </w:t>
      </w:r>
      <w:r>
        <w:rPr>
          <w:rFonts w:ascii="Microsoft Sans Serif" w:hAnsi="Microsoft Sans Serif"/>
          <w:color w:val="231F20"/>
          <w:sz w:val="17"/>
        </w:rPr>
        <w:t>del</w:t>
      </w:r>
      <w:r>
        <w:rPr>
          <w:rFonts w:ascii="Microsoft Sans Serif" w:hAnsi="Microsoft Sans Serif"/>
          <w:color w:val="231F20"/>
          <w:spacing w:val="-24"/>
          <w:sz w:val="17"/>
        </w:rPr>
        <w:t> </w:t>
      </w:r>
      <w:r>
        <w:rPr>
          <w:rFonts w:ascii="Microsoft Sans Serif" w:hAnsi="Microsoft Sans Serif"/>
          <w:color w:val="231F20"/>
          <w:spacing w:val="-3"/>
          <w:sz w:val="17"/>
        </w:rPr>
        <w:t>Mazo</w:t>
      </w:r>
      <w:r>
        <w:rPr>
          <w:rFonts w:ascii="Microsoft Sans Serif" w:hAnsi="Microsoft Sans Serif"/>
          <w:color w:val="231F20"/>
          <w:spacing w:val="-24"/>
          <w:sz w:val="17"/>
        </w:rPr>
        <w:t> </w:t>
      </w:r>
      <w:r>
        <w:rPr>
          <w:rFonts w:ascii="Microsoft Sans Serif" w:hAnsi="Microsoft Sans Serif"/>
          <w:color w:val="231F20"/>
          <w:spacing w:val="-3"/>
          <w:sz w:val="17"/>
        </w:rPr>
        <w:t>núm.</w:t>
      </w:r>
      <w:r>
        <w:rPr>
          <w:rFonts w:ascii="Microsoft Sans Serif" w:hAnsi="Microsoft Sans Serif"/>
          <w:color w:val="231F20"/>
          <w:spacing w:val="-24"/>
          <w:sz w:val="17"/>
        </w:rPr>
        <w:t> </w:t>
      </w:r>
      <w:r>
        <w:rPr>
          <w:rFonts w:ascii="Microsoft Sans Serif" w:hAnsi="Microsoft Sans Serif"/>
          <w:color w:val="231F20"/>
          <w:spacing w:val="-3"/>
          <w:sz w:val="17"/>
        </w:rPr>
        <w:t>1524,</w:t>
      </w:r>
      <w:r>
        <w:rPr>
          <w:rFonts w:ascii="Microsoft Sans Serif" w:hAnsi="Microsoft Sans Serif"/>
          <w:color w:val="231F20"/>
          <w:spacing w:val="-24"/>
          <w:sz w:val="17"/>
        </w:rPr>
        <w:t> </w:t>
      </w:r>
      <w:r>
        <w:rPr>
          <w:rFonts w:ascii="Microsoft Sans Serif" w:hAnsi="Microsoft Sans Serif"/>
          <w:color w:val="231F20"/>
          <w:sz w:val="17"/>
        </w:rPr>
        <w:t>ex.</w:t>
      </w:r>
      <w:r>
        <w:rPr>
          <w:rFonts w:ascii="Microsoft Sans Serif" w:hAnsi="Microsoft Sans Serif"/>
          <w:color w:val="231F20"/>
          <w:spacing w:val="-24"/>
          <w:sz w:val="17"/>
        </w:rPr>
        <w:t> </w:t>
      </w:r>
      <w:r>
        <w:rPr>
          <w:rFonts w:ascii="Microsoft Sans Serif" w:hAnsi="Microsoft Sans Serif"/>
          <w:color w:val="231F20"/>
          <w:spacing w:val="-3"/>
          <w:sz w:val="17"/>
        </w:rPr>
        <w:t>Hacienda</w:t>
      </w:r>
      <w:r>
        <w:rPr>
          <w:rFonts w:ascii="Microsoft Sans Serif" w:hAnsi="Microsoft Sans Serif"/>
          <w:color w:val="231F20"/>
          <w:spacing w:val="-24"/>
          <w:sz w:val="17"/>
        </w:rPr>
        <w:t> </w:t>
      </w:r>
      <w:r>
        <w:rPr>
          <w:rFonts w:ascii="Microsoft Sans Serif" w:hAnsi="Microsoft Sans Serif"/>
          <w:color w:val="231F20"/>
          <w:sz w:val="17"/>
        </w:rPr>
        <w:t>La</w:t>
      </w:r>
      <w:r>
        <w:rPr>
          <w:rFonts w:ascii="Microsoft Sans Serif" w:hAnsi="Microsoft Sans Serif"/>
          <w:color w:val="231F20"/>
          <w:spacing w:val="-24"/>
          <w:sz w:val="17"/>
        </w:rPr>
        <w:t> </w:t>
      </w:r>
      <w:r>
        <w:rPr>
          <w:rFonts w:ascii="Microsoft Sans Serif" w:hAnsi="Microsoft Sans Serif"/>
          <w:color w:val="231F20"/>
          <w:spacing w:val="-3"/>
          <w:sz w:val="17"/>
        </w:rPr>
        <w:t>Magdalena</w:t>
      </w:r>
      <w:r>
        <w:rPr>
          <w:rFonts w:ascii="Microsoft Sans Serif" w:hAnsi="Microsoft Sans Serif"/>
          <w:color w:val="231F20"/>
          <w:spacing w:val="-24"/>
          <w:sz w:val="17"/>
        </w:rPr>
        <w:t> </w:t>
      </w:r>
      <w:r>
        <w:rPr>
          <w:rFonts w:ascii="Microsoft Sans Serif" w:hAnsi="Microsoft Sans Serif"/>
          <w:color w:val="231F20"/>
          <w:spacing w:val="-9"/>
          <w:sz w:val="17"/>
        </w:rPr>
        <w:t>C.P.</w:t>
      </w:r>
      <w:r>
        <w:rPr>
          <w:rFonts w:ascii="Microsoft Sans Serif" w:hAnsi="Microsoft Sans Serif"/>
          <w:color w:val="231F20"/>
          <w:spacing w:val="-24"/>
          <w:sz w:val="17"/>
        </w:rPr>
        <w:t> </w:t>
      </w:r>
      <w:r>
        <w:rPr>
          <w:rFonts w:ascii="Microsoft Sans Serif" w:hAnsi="Microsoft Sans Serif"/>
          <w:color w:val="231F20"/>
          <w:spacing w:val="-3"/>
          <w:sz w:val="17"/>
        </w:rPr>
        <w:t>50010, Toluca,</w:t>
      </w:r>
      <w:r>
        <w:rPr>
          <w:rFonts w:ascii="Microsoft Sans Serif" w:hAnsi="Microsoft Sans Serif"/>
          <w:color w:val="231F20"/>
          <w:spacing w:val="-8"/>
          <w:sz w:val="17"/>
        </w:rPr>
        <w:t> </w:t>
      </w:r>
      <w:r>
        <w:rPr>
          <w:rFonts w:ascii="Microsoft Sans Serif" w:hAnsi="Microsoft Sans Serif"/>
          <w:color w:val="231F20"/>
          <w:sz w:val="17"/>
        </w:rPr>
        <w:t>México.</w:t>
      </w:r>
      <w:r>
        <w:rPr>
          <w:rFonts w:ascii="Microsoft Sans Serif" w:hAnsi="Microsoft Sans Serif"/>
          <w:color w:val="231F20"/>
          <w:spacing w:val="-8"/>
          <w:sz w:val="17"/>
        </w:rPr>
        <w:t> </w:t>
      </w:r>
      <w:r>
        <w:rPr>
          <w:rFonts w:ascii="Microsoft Sans Serif" w:hAnsi="Microsoft Sans Serif"/>
          <w:color w:val="231F20"/>
          <w:sz w:val="17"/>
        </w:rPr>
        <w:t>Su</w:t>
      </w:r>
      <w:r>
        <w:rPr>
          <w:rFonts w:ascii="Microsoft Sans Serif" w:hAnsi="Microsoft Sans Serif"/>
          <w:color w:val="231F20"/>
          <w:spacing w:val="-8"/>
          <w:sz w:val="17"/>
        </w:rPr>
        <w:t> </w:t>
      </w:r>
      <w:r>
        <w:rPr>
          <w:rFonts w:ascii="Microsoft Sans Serif" w:hAnsi="Microsoft Sans Serif"/>
          <w:color w:val="231F20"/>
          <w:sz w:val="17"/>
        </w:rPr>
        <w:t>edición</w:t>
      </w:r>
      <w:r>
        <w:rPr>
          <w:rFonts w:ascii="Microsoft Sans Serif" w:hAnsi="Microsoft Sans Serif"/>
          <w:color w:val="231F20"/>
          <w:spacing w:val="-8"/>
          <w:sz w:val="17"/>
        </w:rPr>
        <w:t> </w:t>
      </w:r>
      <w:r>
        <w:rPr>
          <w:rFonts w:ascii="Microsoft Sans Serif" w:hAnsi="Microsoft Sans Serif"/>
          <w:color w:val="231F20"/>
          <w:sz w:val="17"/>
        </w:rPr>
        <w:t>consta</w:t>
      </w:r>
      <w:r>
        <w:rPr>
          <w:rFonts w:ascii="Microsoft Sans Serif" w:hAnsi="Microsoft Sans Serif"/>
          <w:color w:val="231F20"/>
          <w:spacing w:val="-8"/>
          <w:sz w:val="17"/>
        </w:rPr>
        <w:t> </w:t>
      </w:r>
      <w:r>
        <w:rPr>
          <w:rFonts w:ascii="Microsoft Sans Serif" w:hAnsi="Microsoft Sans Serif"/>
          <w:color w:val="231F20"/>
          <w:sz w:val="17"/>
        </w:rPr>
        <w:t>de</w:t>
      </w:r>
      <w:r>
        <w:rPr>
          <w:rFonts w:ascii="Microsoft Sans Serif" w:hAnsi="Microsoft Sans Serif"/>
          <w:color w:val="231F20"/>
          <w:spacing w:val="-8"/>
          <w:sz w:val="17"/>
        </w:rPr>
        <w:t> </w:t>
      </w:r>
      <w:r>
        <w:rPr>
          <w:rFonts w:ascii="Microsoft Sans Serif" w:hAnsi="Microsoft Sans Serif"/>
          <w:color w:val="231F20"/>
          <w:sz w:val="17"/>
        </w:rPr>
        <w:t>1</w:t>
      </w:r>
      <w:r>
        <w:rPr>
          <w:rFonts w:ascii="Microsoft Sans Serif" w:hAnsi="Microsoft Sans Serif"/>
          <w:color w:val="231F20"/>
          <w:spacing w:val="-8"/>
          <w:sz w:val="17"/>
        </w:rPr>
        <w:t> </w:t>
      </w:r>
      <w:r>
        <w:rPr>
          <w:rFonts w:ascii="Microsoft Sans Serif" w:hAnsi="Microsoft Sans Serif"/>
          <w:color w:val="231F20"/>
          <w:sz w:val="17"/>
        </w:rPr>
        <w:t>000</w:t>
      </w:r>
      <w:r>
        <w:rPr>
          <w:rFonts w:ascii="Microsoft Sans Serif" w:hAnsi="Microsoft Sans Serif"/>
          <w:color w:val="231F20"/>
          <w:spacing w:val="-8"/>
          <w:sz w:val="17"/>
        </w:rPr>
        <w:t> </w:t>
      </w:r>
      <w:r>
        <w:rPr>
          <w:rFonts w:ascii="Microsoft Sans Serif" w:hAnsi="Microsoft Sans Serif"/>
          <w:color w:val="231F20"/>
          <w:sz w:val="17"/>
        </w:rPr>
        <w:t>ejemplares.</w:t>
      </w:r>
      <w:r>
        <w:rPr>
          <w:rFonts w:ascii="Microsoft Sans Serif" w:hAnsi="Microsoft Sans Serif"/>
          <w:color w:val="231F20"/>
          <w:spacing w:val="-8"/>
          <w:sz w:val="17"/>
        </w:rPr>
        <w:t> </w:t>
      </w:r>
      <w:r>
        <w:rPr>
          <w:rFonts w:ascii="Microsoft Sans Serif" w:hAnsi="Microsoft Sans Serif"/>
          <w:color w:val="231F20"/>
          <w:sz w:val="17"/>
        </w:rPr>
        <w:t>La </w:t>
      </w:r>
      <w:r>
        <w:rPr>
          <w:rFonts w:ascii="Microsoft Sans Serif" w:hAnsi="Microsoft Sans Serif"/>
          <w:color w:val="231F20"/>
          <w:spacing w:val="-3"/>
          <w:sz w:val="17"/>
        </w:rPr>
        <w:t>edición</w:t>
      </w:r>
      <w:r>
        <w:rPr>
          <w:rFonts w:ascii="Microsoft Sans Serif" w:hAnsi="Microsoft Sans Serif"/>
          <w:color w:val="231F20"/>
          <w:spacing w:val="-27"/>
          <w:sz w:val="17"/>
        </w:rPr>
        <w:t> </w:t>
      </w:r>
      <w:r>
        <w:rPr>
          <w:rFonts w:ascii="Microsoft Sans Serif" w:hAnsi="Microsoft Sans Serif"/>
          <w:color w:val="231F20"/>
          <w:spacing w:val="-3"/>
          <w:sz w:val="17"/>
        </w:rPr>
        <w:t>estuvo</w:t>
      </w:r>
      <w:r>
        <w:rPr>
          <w:rFonts w:ascii="Microsoft Sans Serif" w:hAnsi="Microsoft Sans Serif"/>
          <w:color w:val="231F20"/>
          <w:spacing w:val="-27"/>
          <w:sz w:val="17"/>
        </w:rPr>
        <w:t> </w:t>
      </w:r>
      <w:r>
        <w:rPr>
          <w:rFonts w:ascii="Microsoft Sans Serif" w:hAnsi="Microsoft Sans Serif"/>
          <w:color w:val="231F20"/>
          <w:sz w:val="17"/>
        </w:rPr>
        <w:t>a</w:t>
      </w:r>
      <w:r>
        <w:rPr>
          <w:rFonts w:ascii="Microsoft Sans Serif" w:hAnsi="Microsoft Sans Serif"/>
          <w:color w:val="231F20"/>
          <w:spacing w:val="-27"/>
          <w:sz w:val="17"/>
        </w:rPr>
        <w:t> </w:t>
      </w:r>
      <w:r>
        <w:rPr>
          <w:rFonts w:ascii="Microsoft Sans Serif" w:hAnsi="Microsoft Sans Serif"/>
          <w:color w:val="231F20"/>
          <w:spacing w:val="-3"/>
          <w:sz w:val="17"/>
        </w:rPr>
        <w:t>cargo</w:t>
      </w:r>
      <w:r>
        <w:rPr>
          <w:rFonts w:ascii="Microsoft Sans Serif" w:hAnsi="Microsoft Sans Serif"/>
          <w:color w:val="231F20"/>
          <w:spacing w:val="-27"/>
          <w:sz w:val="17"/>
        </w:rPr>
        <w:t> </w:t>
      </w:r>
      <w:r>
        <w:rPr>
          <w:rFonts w:ascii="Microsoft Sans Serif" w:hAnsi="Microsoft Sans Serif"/>
          <w:color w:val="231F20"/>
          <w:sz w:val="17"/>
        </w:rPr>
        <w:t>de</w:t>
      </w:r>
      <w:r>
        <w:rPr>
          <w:rFonts w:ascii="Microsoft Sans Serif" w:hAnsi="Microsoft Sans Serif"/>
          <w:color w:val="231F20"/>
          <w:spacing w:val="-27"/>
          <w:sz w:val="17"/>
        </w:rPr>
        <w:t> </w:t>
      </w:r>
      <w:r>
        <w:rPr>
          <w:rFonts w:ascii="Microsoft Sans Serif" w:hAnsi="Microsoft Sans Serif"/>
          <w:color w:val="231F20"/>
          <w:sz w:val="17"/>
        </w:rPr>
        <w:t>la</w:t>
      </w:r>
      <w:r>
        <w:rPr>
          <w:rFonts w:ascii="Microsoft Sans Serif" w:hAnsi="Microsoft Sans Serif"/>
          <w:color w:val="231F20"/>
          <w:spacing w:val="-27"/>
          <w:sz w:val="17"/>
        </w:rPr>
        <w:t> </w:t>
      </w:r>
      <w:r>
        <w:rPr>
          <w:rFonts w:ascii="Microsoft Sans Serif" w:hAnsi="Microsoft Sans Serif"/>
          <w:color w:val="231F20"/>
          <w:spacing w:val="-3"/>
          <w:sz w:val="17"/>
        </w:rPr>
        <w:t>Dirección</w:t>
      </w:r>
      <w:r>
        <w:rPr>
          <w:rFonts w:ascii="Microsoft Sans Serif" w:hAnsi="Microsoft Sans Serif"/>
          <w:color w:val="231F20"/>
          <w:spacing w:val="-27"/>
          <w:sz w:val="17"/>
        </w:rPr>
        <w:t> </w:t>
      </w:r>
      <w:r>
        <w:rPr>
          <w:rFonts w:ascii="Microsoft Sans Serif" w:hAnsi="Microsoft Sans Serif"/>
          <w:color w:val="231F20"/>
          <w:sz w:val="17"/>
        </w:rPr>
        <w:t>de</w:t>
      </w:r>
      <w:r>
        <w:rPr>
          <w:rFonts w:ascii="Microsoft Sans Serif" w:hAnsi="Microsoft Sans Serif"/>
          <w:color w:val="231F20"/>
          <w:spacing w:val="-27"/>
          <w:sz w:val="17"/>
        </w:rPr>
        <w:t> </w:t>
      </w:r>
      <w:r>
        <w:rPr>
          <w:rFonts w:ascii="Microsoft Sans Serif" w:hAnsi="Microsoft Sans Serif"/>
          <w:color w:val="231F20"/>
          <w:spacing w:val="-3"/>
          <w:sz w:val="17"/>
        </w:rPr>
        <w:t>Difusión</w:t>
      </w:r>
      <w:r>
        <w:rPr>
          <w:rFonts w:ascii="Microsoft Sans Serif" w:hAnsi="Microsoft Sans Serif"/>
          <w:color w:val="231F20"/>
          <w:spacing w:val="-27"/>
          <w:sz w:val="17"/>
        </w:rPr>
        <w:t> </w:t>
      </w:r>
      <w:r>
        <w:rPr>
          <w:rFonts w:ascii="Microsoft Sans Serif" w:hAnsi="Microsoft Sans Serif"/>
          <w:color w:val="231F20"/>
          <w:sz w:val="17"/>
        </w:rPr>
        <w:t>y</w:t>
      </w:r>
      <w:r>
        <w:rPr>
          <w:rFonts w:ascii="Microsoft Sans Serif" w:hAnsi="Microsoft Sans Serif"/>
          <w:color w:val="231F20"/>
          <w:spacing w:val="-27"/>
          <w:sz w:val="17"/>
        </w:rPr>
        <w:t> </w:t>
      </w:r>
      <w:r>
        <w:rPr>
          <w:rFonts w:ascii="Microsoft Sans Serif" w:hAnsi="Microsoft Sans Serif"/>
          <w:color w:val="231F20"/>
          <w:spacing w:val="-4"/>
          <w:sz w:val="17"/>
        </w:rPr>
        <w:t>Promoción </w:t>
      </w:r>
      <w:r>
        <w:rPr>
          <w:rFonts w:ascii="Microsoft Sans Serif" w:hAnsi="Microsoft Sans Serif"/>
          <w:color w:val="231F20"/>
          <w:sz w:val="17"/>
        </w:rPr>
        <w:t>de</w:t>
      </w:r>
      <w:r>
        <w:rPr>
          <w:rFonts w:ascii="Microsoft Sans Serif" w:hAnsi="Microsoft Sans Serif"/>
          <w:color w:val="231F20"/>
          <w:spacing w:val="-22"/>
          <w:sz w:val="17"/>
        </w:rPr>
        <w:t> </w:t>
      </w:r>
      <w:r>
        <w:rPr>
          <w:rFonts w:ascii="Microsoft Sans Serif" w:hAnsi="Microsoft Sans Serif"/>
          <w:color w:val="231F20"/>
          <w:sz w:val="17"/>
        </w:rPr>
        <w:t>la</w:t>
      </w:r>
      <w:r>
        <w:rPr>
          <w:rFonts w:ascii="Microsoft Sans Serif" w:hAnsi="Microsoft Sans Serif"/>
          <w:color w:val="231F20"/>
          <w:spacing w:val="-22"/>
          <w:sz w:val="17"/>
        </w:rPr>
        <w:t> </w:t>
      </w:r>
      <w:r>
        <w:rPr>
          <w:rFonts w:ascii="Microsoft Sans Serif" w:hAnsi="Microsoft Sans Serif"/>
          <w:color w:val="231F20"/>
          <w:sz w:val="17"/>
        </w:rPr>
        <w:t>Investigación</w:t>
      </w:r>
      <w:r>
        <w:rPr>
          <w:rFonts w:ascii="Microsoft Sans Serif" w:hAnsi="Microsoft Sans Serif"/>
          <w:color w:val="231F20"/>
          <w:spacing w:val="-22"/>
          <w:sz w:val="17"/>
        </w:rPr>
        <w:t> </w:t>
      </w:r>
      <w:r>
        <w:rPr>
          <w:rFonts w:ascii="Microsoft Sans Serif" w:hAnsi="Microsoft Sans Serif"/>
          <w:color w:val="231F20"/>
          <w:sz w:val="17"/>
        </w:rPr>
        <w:t>y</w:t>
      </w:r>
      <w:r>
        <w:rPr>
          <w:rFonts w:ascii="Microsoft Sans Serif" w:hAnsi="Microsoft Sans Serif"/>
          <w:color w:val="231F20"/>
          <w:spacing w:val="-22"/>
          <w:sz w:val="17"/>
        </w:rPr>
        <w:t> </w:t>
      </w:r>
      <w:r>
        <w:rPr>
          <w:rFonts w:ascii="Microsoft Sans Serif" w:hAnsi="Microsoft Sans Serif"/>
          <w:color w:val="231F20"/>
          <w:sz w:val="17"/>
        </w:rPr>
        <w:t>los</w:t>
      </w:r>
      <w:r>
        <w:rPr>
          <w:rFonts w:ascii="Microsoft Sans Serif" w:hAnsi="Microsoft Sans Serif"/>
          <w:color w:val="231F20"/>
          <w:spacing w:val="-22"/>
          <w:sz w:val="17"/>
        </w:rPr>
        <w:t> </w:t>
      </w:r>
      <w:r>
        <w:rPr>
          <w:rFonts w:ascii="Microsoft Sans Serif" w:hAnsi="Microsoft Sans Serif"/>
          <w:color w:val="231F20"/>
          <w:sz w:val="17"/>
        </w:rPr>
        <w:t>Estudios</w:t>
      </w:r>
      <w:r>
        <w:rPr>
          <w:rFonts w:ascii="Microsoft Sans Serif" w:hAnsi="Microsoft Sans Serif"/>
          <w:color w:val="231F20"/>
          <w:spacing w:val="-22"/>
          <w:sz w:val="17"/>
        </w:rPr>
        <w:t> </w:t>
      </w:r>
      <w:r>
        <w:rPr>
          <w:rFonts w:ascii="Microsoft Sans Serif" w:hAnsi="Microsoft Sans Serif"/>
          <w:color w:val="231F20"/>
          <w:sz w:val="17"/>
        </w:rPr>
        <w:t>Avanzados.</w:t>
      </w:r>
    </w:p>
    <w:p>
      <w:pPr>
        <w:pStyle w:val="BodyText"/>
        <w:spacing w:before="5"/>
        <w:rPr>
          <w:rFonts w:ascii="Microsoft Sans Serif"/>
          <w:sz w:val="19"/>
        </w:rPr>
      </w:pPr>
    </w:p>
    <w:p>
      <w:pPr>
        <w:spacing w:line="273" w:lineRule="auto" w:before="0"/>
        <w:ind w:left="1358" w:right="1243" w:firstLine="0"/>
        <w:jc w:val="both"/>
        <w:rPr>
          <w:rFonts w:ascii="Microsoft Sans Serif" w:hAnsi="Microsoft Sans Serif"/>
          <w:sz w:val="17"/>
        </w:rPr>
      </w:pPr>
      <w:r>
        <w:rPr>
          <w:rFonts w:ascii="Microsoft Sans Serif" w:hAnsi="Microsoft Sans Serif"/>
          <w:color w:val="231F20"/>
          <w:sz w:val="17"/>
        </w:rPr>
        <w:t>Diseño</w:t>
      </w:r>
      <w:r>
        <w:rPr>
          <w:rFonts w:ascii="Microsoft Sans Serif" w:hAnsi="Microsoft Sans Serif"/>
          <w:color w:val="231F20"/>
          <w:spacing w:val="-27"/>
          <w:sz w:val="17"/>
        </w:rPr>
        <w:t> </w:t>
      </w:r>
      <w:r>
        <w:rPr>
          <w:rFonts w:ascii="Microsoft Sans Serif" w:hAnsi="Microsoft Sans Serif"/>
          <w:color w:val="231F20"/>
          <w:sz w:val="17"/>
        </w:rPr>
        <w:t>de</w:t>
      </w:r>
      <w:r>
        <w:rPr>
          <w:rFonts w:ascii="Microsoft Sans Serif" w:hAnsi="Microsoft Sans Serif"/>
          <w:color w:val="231F20"/>
          <w:spacing w:val="-27"/>
          <w:sz w:val="17"/>
        </w:rPr>
        <w:t> </w:t>
      </w:r>
      <w:r>
        <w:rPr>
          <w:rFonts w:ascii="Microsoft Sans Serif" w:hAnsi="Microsoft Sans Serif"/>
          <w:color w:val="231F20"/>
          <w:sz w:val="17"/>
        </w:rPr>
        <w:t>forros</w:t>
      </w:r>
      <w:r>
        <w:rPr>
          <w:rFonts w:ascii="Microsoft Sans Serif" w:hAnsi="Microsoft Sans Serif"/>
          <w:color w:val="231F20"/>
          <w:spacing w:val="-27"/>
          <w:sz w:val="17"/>
        </w:rPr>
        <w:t> </w:t>
      </w:r>
      <w:r>
        <w:rPr>
          <w:rFonts w:ascii="Microsoft Sans Serif" w:hAnsi="Microsoft Sans Serif"/>
          <w:color w:val="231F20"/>
          <w:sz w:val="17"/>
        </w:rPr>
        <w:t>e</w:t>
      </w:r>
      <w:r>
        <w:rPr>
          <w:rFonts w:ascii="Microsoft Sans Serif" w:hAnsi="Microsoft Sans Serif"/>
          <w:color w:val="231F20"/>
          <w:spacing w:val="-27"/>
          <w:sz w:val="17"/>
        </w:rPr>
        <w:t> </w:t>
      </w:r>
      <w:r>
        <w:rPr>
          <w:rFonts w:ascii="Microsoft Sans Serif" w:hAnsi="Microsoft Sans Serif"/>
          <w:color w:val="231F20"/>
          <w:sz w:val="17"/>
        </w:rPr>
        <w:t>interiores:</w:t>
      </w:r>
      <w:r>
        <w:rPr>
          <w:rFonts w:ascii="Microsoft Sans Serif" w:hAnsi="Microsoft Sans Serif"/>
          <w:color w:val="231F20"/>
          <w:spacing w:val="-27"/>
          <w:sz w:val="17"/>
        </w:rPr>
        <w:t> </w:t>
      </w:r>
      <w:r>
        <w:rPr>
          <w:rFonts w:ascii="Microsoft Sans Serif" w:hAnsi="Microsoft Sans Serif"/>
          <w:color w:val="231F20"/>
          <w:sz w:val="17"/>
        </w:rPr>
        <w:t>Cristina</w:t>
      </w:r>
      <w:r>
        <w:rPr>
          <w:rFonts w:ascii="Microsoft Sans Serif" w:hAnsi="Microsoft Sans Serif"/>
          <w:color w:val="231F20"/>
          <w:spacing w:val="-27"/>
          <w:sz w:val="17"/>
        </w:rPr>
        <w:t> </w:t>
      </w:r>
      <w:r>
        <w:rPr>
          <w:rFonts w:ascii="Microsoft Sans Serif" w:hAnsi="Microsoft Sans Serif"/>
          <w:color w:val="231F20"/>
          <w:sz w:val="17"/>
        </w:rPr>
        <w:t>Mireles</w:t>
      </w:r>
      <w:r>
        <w:rPr>
          <w:rFonts w:ascii="Microsoft Sans Serif" w:hAnsi="Microsoft Sans Serif"/>
          <w:color w:val="231F20"/>
          <w:spacing w:val="-27"/>
          <w:sz w:val="17"/>
        </w:rPr>
        <w:t> </w:t>
      </w:r>
      <w:r>
        <w:rPr>
          <w:rFonts w:ascii="Microsoft Sans Serif" w:hAnsi="Microsoft Sans Serif"/>
          <w:color w:val="231F20"/>
          <w:sz w:val="17"/>
        </w:rPr>
        <w:t>Arriaga,</w:t>
      </w:r>
      <w:r>
        <w:rPr>
          <w:rFonts w:ascii="Microsoft Sans Serif" w:hAnsi="Microsoft Sans Serif"/>
          <w:color w:val="231F20"/>
          <w:spacing w:val="-27"/>
          <w:sz w:val="17"/>
        </w:rPr>
        <w:t> </w:t>
      </w:r>
      <w:r>
        <w:rPr>
          <w:rFonts w:ascii="Microsoft Sans Serif" w:hAnsi="Microsoft Sans Serif"/>
          <w:color w:val="231F20"/>
          <w:sz w:val="17"/>
        </w:rPr>
        <w:t>Nancy Huerta</w:t>
      </w:r>
      <w:r>
        <w:rPr>
          <w:rFonts w:ascii="Microsoft Sans Serif" w:hAnsi="Microsoft Sans Serif"/>
          <w:color w:val="231F20"/>
          <w:spacing w:val="-27"/>
          <w:sz w:val="17"/>
        </w:rPr>
        <w:t> </w:t>
      </w:r>
      <w:r>
        <w:rPr>
          <w:rFonts w:ascii="Microsoft Sans Serif" w:hAnsi="Microsoft Sans Serif"/>
          <w:color w:val="231F20"/>
          <w:sz w:val="17"/>
        </w:rPr>
        <w:t>Vázquez</w:t>
      </w:r>
      <w:r>
        <w:rPr>
          <w:rFonts w:ascii="Microsoft Sans Serif" w:hAnsi="Microsoft Sans Serif"/>
          <w:color w:val="231F20"/>
          <w:spacing w:val="-27"/>
          <w:sz w:val="17"/>
        </w:rPr>
        <w:t> </w:t>
      </w:r>
      <w:r>
        <w:rPr>
          <w:rFonts w:ascii="Microsoft Sans Serif" w:hAnsi="Microsoft Sans Serif"/>
          <w:color w:val="231F20"/>
          <w:sz w:val="17"/>
        </w:rPr>
        <w:t>y</w:t>
      </w:r>
      <w:r>
        <w:rPr>
          <w:rFonts w:ascii="Microsoft Sans Serif" w:hAnsi="Microsoft Sans Serif"/>
          <w:color w:val="231F20"/>
          <w:spacing w:val="-27"/>
          <w:sz w:val="17"/>
        </w:rPr>
        <w:t> </w:t>
      </w:r>
      <w:r>
        <w:rPr>
          <w:rFonts w:ascii="Microsoft Sans Serif" w:hAnsi="Microsoft Sans Serif"/>
          <w:color w:val="231F20"/>
          <w:sz w:val="17"/>
        </w:rPr>
        <w:t>Juan</w:t>
      </w:r>
      <w:r>
        <w:rPr>
          <w:rFonts w:ascii="Microsoft Sans Serif" w:hAnsi="Microsoft Sans Serif"/>
          <w:color w:val="231F20"/>
          <w:spacing w:val="-27"/>
          <w:sz w:val="17"/>
        </w:rPr>
        <w:t> </w:t>
      </w:r>
      <w:r>
        <w:rPr>
          <w:rFonts w:ascii="Microsoft Sans Serif" w:hAnsi="Microsoft Sans Serif"/>
          <w:color w:val="231F20"/>
          <w:sz w:val="17"/>
        </w:rPr>
        <w:t>Manuel</w:t>
      </w:r>
      <w:r>
        <w:rPr>
          <w:rFonts w:ascii="Microsoft Sans Serif" w:hAnsi="Microsoft Sans Serif"/>
          <w:color w:val="231F20"/>
          <w:spacing w:val="-27"/>
          <w:sz w:val="17"/>
        </w:rPr>
        <w:t> </w:t>
      </w:r>
      <w:r>
        <w:rPr>
          <w:rFonts w:ascii="Microsoft Sans Serif" w:hAnsi="Microsoft Sans Serif"/>
          <w:color w:val="231F20"/>
          <w:sz w:val="17"/>
        </w:rPr>
        <w:t>García</w:t>
      </w:r>
      <w:r>
        <w:rPr>
          <w:rFonts w:ascii="Microsoft Sans Serif" w:hAnsi="Microsoft Sans Serif"/>
          <w:color w:val="231F20"/>
          <w:spacing w:val="-27"/>
          <w:sz w:val="17"/>
        </w:rPr>
        <w:t> </w:t>
      </w:r>
      <w:r>
        <w:rPr>
          <w:rFonts w:ascii="Microsoft Sans Serif" w:hAnsi="Microsoft Sans Serif"/>
          <w:color w:val="231F20"/>
          <w:sz w:val="17"/>
        </w:rPr>
        <w:t>Guerrero</w:t>
      </w:r>
    </w:p>
    <w:p>
      <w:pPr>
        <w:spacing w:after="0" w:line="273" w:lineRule="auto"/>
        <w:jc w:val="both"/>
        <w:rPr>
          <w:rFonts w:ascii="Microsoft Sans Serif" w:hAnsi="Microsoft Sans Serif"/>
          <w:sz w:val="17"/>
        </w:rPr>
        <w:sectPr>
          <w:pgSz w:w="9640" w:h="13890"/>
          <w:pgMar w:top="130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ind w:right="-37"/>
        <w:rPr>
          <w:rFonts w:ascii="Times New Roman"/>
          <w:sz w:val="20"/>
        </w:rPr>
      </w:pPr>
      <w:r>
        <w:rPr>
          <w:rFonts w:ascii="Times New Roman"/>
          <w:sz w:val="20"/>
        </w:rPr>
        <w:drawing>
          <wp:inline distT="0" distB="0" distL="0" distR="0">
            <wp:extent cx="6133464" cy="8659368"/>
            <wp:effectExtent l="0" t="0" r="0" b="0"/>
            <wp:docPr id="15" name="image47.jpeg" descr=""/>
            <wp:cNvGraphicFramePr>
              <a:graphicFrameLocks noChangeAspect="1"/>
            </wp:cNvGraphicFramePr>
            <a:graphic>
              <a:graphicData uri="http://schemas.openxmlformats.org/drawingml/2006/picture">
                <pic:pic>
                  <pic:nvPicPr>
                    <pic:cNvPr id="16" name="image47.jpeg"/>
                    <pic:cNvPicPr/>
                  </pic:nvPicPr>
                  <pic:blipFill>
                    <a:blip r:embed="rId60" cstate="print"/>
                    <a:stretch>
                      <a:fillRect/>
                    </a:stretch>
                  </pic:blipFill>
                  <pic:spPr>
                    <a:xfrm>
                      <a:off x="0" y="0"/>
                      <a:ext cx="6133464" cy="8659368"/>
                    </a:xfrm>
                    <a:prstGeom prst="rect">
                      <a:avLst/>
                    </a:prstGeom>
                  </pic:spPr>
                </pic:pic>
              </a:graphicData>
            </a:graphic>
          </wp:inline>
        </w:drawing>
      </w:r>
      <w:r>
        <w:rPr>
          <w:rFonts w:ascii="Times New Roman"/>
          <w:sz w:val="20"/>
        </w:rPr>
      </w:r>
    </w:p>
    <w:p>
      <w:pPr>
        <w:spacing w:after="0"/>
        <w:rPr>
          <w:rFonts w:ascii="Times New Roman"/>
          <w:sz w:val="20"/>
        </w:rPr>
        <w:sectPr>
          <w:pgSz w:w="9670" w:h="13650"/>
          <w:pgMar w:top="0" w:bottom="0" w:left="0" w:right="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9"/>
        </w:rPr>
      </w:pPr>
    </w:p>
    <w:p>
      <w:pPr>
        <w:spacing w:line="540" w:lineRule="exact" w:before="4"/>
        <w:ind w:left="2834" w:right="5522" w:firstLine="0"/>
        <w:jc w:val="left"/>
        <w:rPr>
          <w:rFonts w:ascii="Times New Roman"/>
          <w:b/>
          <w:sz w:val="48"/>
        </w:rPr>
      </w:pPr>
      <w:r>
        <w:rPr/>
        <w:pict>
          <v:group style="position:absolute;margin-left:327.852997pt;margin-top:-115.254715pt;width:154.050pt;height:493.6pt;mso-position-horizontal-relative:page;mso-position-vertical-relative:paragraph;z-index:8320" coordorigin="6557,-2305" coordsize="3081,9872">
            <v:shape style="position:absolute;left:7319;top:-2252;width:2319;height:9818" type="#_x0000_t75" stroked="false">
              <v:imagedata r:id="rId8" o:title=""/>
            </v:shape>
            <v:shape style="position:absolute;left:8810;top:-2296;width:721;height:3805" coordorigin="8810,-2296" coordsize="721,3805" path="m9314,-2296l9082,-2248,8843,-1066,8810,-281,9025,460,9530,1509,9314,-2296xe" filled="true" fillcolor="#a9abae" stroked="false">
              <v:path arrowok="t"/>
              <v:fill type="solid"/>
            </v:shape>
            <v:shape style="position:absolute;left:8942;top:-2298;width:602;height:3856" coordorigin="8942,-2298" coordsize="602,3856" path="m9316,-2298l9081,-2254,9077,-2253,9076,-2249,9050,-2131,9044,-2102,9038,-2072,9032,-2043,9027,-2013,9006,-1894,9002,-1865,8997,-1835,8993,-1805,8989,-1775,8981,-1715,8974,-1655,8968,-1595,8962,-1535,8959,-1505,8957,-1472,8955,-1443,8953,-1415,8949,-1353,8948,-1324,8947,-1293,8943,-1173,8942,-1143,8942,-1083,8942,-992,8943,-931,8946,-868,8948,-811,8951,-750,8955,-690,8959,-630,8970,-509,8976,-449,8983,-389,8990,-329,8998,-269,9006,-210,9015,-150,9025,-90,9030,-60,9035,-31,9041,-1,9052,58,9058,88,9063,117,9070,147,9095,265,9123,382,9138,440,9153,499,9169,558,9185,615,9202,673,9219,730,9237,788,9256,845,9275,902,9294,959,9314,1015,9335,1072,9356,1128,9378,1184,9400,1240,9423,1295,9446,1350,9471,1405,9496,1460,9522,1514,9543,1557,9540,1510,9521,1510,9518,1460,9514,1450,9490,1396,9467,1341,9445,1286,9423,1230,9402,1174,9381,1118,9361,1062,9342,1005,9323,948,9304,891,9286,834,9269,777,9252,719,9236,662,9220,604,9204,546,9189,488,9175,430,9160,372,9134,255,9109,138,9103,109,9098,79,9093,50,9087,20,9082,-9,9077,-39,9072,-68,9067,-98,9057,-157,9048,-216,9040,-276,9031,-335,9018,-454,9011,-514,9006,-573,9000,-633,8996,-693,8988,-813,8984,-933,8982,-963,8981,-993,8981,-1023,8981,-1053,8980,-1083,8980,-1113,8980,-1143,8980,-1173,8982,-1294,8982,-1323,8983,-1354,8985,-1383,8988,-1445,8989,-1475,8991,-1502,8993,-1532,8998,-1592,9003,-1652,9008,-1712,9015,-1771,9018,-1801,9022,-1831,9025,-1861,9029,-1891,9047,-2009,9051,-2039,9056,-2069,9061,-2098,9087,-2241,9083,-2241,9088,-2246,9105,-2246,9312,-2293,9316,-2293,9316,-2298xm9518,1460l9521,1510,9539,1504,9518,1460xm9316,-2293l9312,-2293,9315,-2214,9324,-1977,9328,-1891,9331,-1820,9353,-1344,9378,-868,9382,-789,9386,-709,9391,-630,9396,-551,9400,-472,9410,-313,9415,-234,9421,-155,9432,4,9437,83,9442,162,9453,321,9459,400,9464,479,9469,558,9483,796,9487,856,9490,915,9494,975,9501,1113,9505,1193,9509,1272,9513,1351,9517,1430,9518,1460,9539,1504,9521,1510,9540,1510,9535,1429,9530,1350,9524,1271,9520,1192,9515,1112,9506,974,9503,914,9499,855,9484,557,9480,478,9476,399,9472,320,9465,161,9461,79,9458,-1,9451,-157,9447,-236,9443,-315,9435,-474,9431,-553,9426,-633,9422,-712,9418,-791,9413,-871,9383,-1346,9351,-1821,9346,-1900,9340,-1979,9334,-2058,9322,-2217,9316,-2293xm9088,-2246l9083,-2241,9088,-2242,9088,-2246xm9088,-2242l9083,-2241,9087,-2241,9088,-2242xm9105,-2246l9088,-2246,9088,-2242,9105,-2246xe" filled="true" fillcolor="#ffffff" stroked="false">
              <v:path arrowok="t"/>
              <v:fill type="solid"/>
            </v:shape>
            <v:shape style="position:absolute;left:7322;top:1803;width:1689;height:2056" coordorigin="7322,1803" coordsize="1689,2056" path="m8953,1803l8887,1805,8814,1813,8732,1829,8642,1855,8545,1893,8439,1945,8383,1976,8326,2013,8266,2053,8205,2099,8141,2149,8076,2205,8009,2266,7940,2333,7869,2406,7796,2485,7722,2571,7645,2664,7567,2764,7487,2871,7406,2986,7322,3108,7431,3859,7905,2836,8228,2281,8547,2002,9010,1805,8983,1804,8953,1803xe" filled="true" fillcolor="#bec0c2" stroked="false">
              <v:path arrowok="t"/>
              <v:fill type="solid"/>
            </v:shape>
            <v:shape style="position:absolute;left:7320;top:1784;width:1709;height:2094" coordorigin="7320,1784" coordsize="1709,2094" path="m8942,1784l8907,1785,8872,1787,8837,1791,8803,1795,8768,1801,8734,1808,8666,1825,8584,1854,8568,1860,8552,1867,8536,1874,8504,1888,8488,1895,8472,1903,8395,1945,8380,1953,8365,1962,8262,2029,8179,2093,8165,2104,8151,2114,8137,2125,8018,2229,7894,2353,7870,2379,7847,2405,7823,2431,7800,2457,7776,2483,7753,2510,7731,2537,7643,2646,7621,2674,7600,2702,7475,2872,7456,2901,7320,3107,7320,3107,7320,3109,7342,3297,7348,3344,7353,3391,7359,3438,7375,3561,7385,3636,7395,3711,7405,3786,7415,3862,7416,3867,7419,3872,7431,3878,7441,3874,7445,3866,7445,3866,7449,3857,7446,3857,7416,3852,7438,3805,7435,3782,7423,3707,7411,3632,7399,3557,7380,3435,7372,3388,7364,3342,7356,3295,7324,3109,7469,2911,7490,2883,7619,2718,7641,2691,7777,2532,7801,2506,7825,2481,7848,2456,7872,2430,7896,2405,7920,2380,8045,2260,8163,2159,8176,2148,8190,2138,8286,2066,8386,2000,8401,1992,8416,1984,8490,1943,8506,1936,8583,1901,8598,1894,8678,1866,8743,1848,8776,1841,8808,1835,8842,1830,8875,1827,8908,1824,8924,1824,8928,1821,9004,1787,9022,1787,9021,1787,8976,1785,8942,1784xm7438,3805l7416,3852,7446,3857,7438,3805xm8942,1823l8924,1824,8856,1861,8788,1907,8771,1919,8755,1931,8722,1956,8690,1982,8659,2009,8628,2037,8583,2079,8568,2093,8554,2108,8540,2123,8525,2138,8511,2152,8497,2167,8428,2244,8374,2307,8348,2338,8322,2370,8296,2403,8246,2468,8221,2501,8172,2567,8123,2634,8099,2668,8052,2736,8006,2804,7983,2839,7937,2908,7915,2942,7892,2977,7848,3047,7805,3118,7762,3189,7720,3261,7699,3297,7679,3333,7659,3369,7619,3442,7600,3479,7580,3515,7561,3552,7524,3627,7487,3701,7451,3776,7438,3805,7446,3857,7449,3857,7481,3792,7517,3717,7555,3643,7593,3570,7631,3497,7670,3423,7709,3351,7749,3278,7829,3133,7844,3107,7870,3062,7891,3026,7912,2990,7954,2919,7998,2849,8042,2779,8088,2711,8111,2676,8134,2643,8182,2575,8206,2542,8231,2509,8256,2477,8307,2412,8333,2380,8359,2349,8386,2317,8440,2256,8511,2182,8526,2168,8540,2154,8557,2138,8569,2125,8584,2111,8599,2097,8645,2057,8676,2031,8707,2005,8739,1981,8756,1969,8788,1945,8805,1934,8873,1891,8943,1854,9014,1824,9009,1824,8975,1823,8942,1823xm9009,1823l8942,1823,8975,1823,9009,1824,9009,1823xm9022,1787l9004,1787,9009,1824,9014,1824,9016,1823,9017,1823,9023,1820,9028,1814,9029,1796,9022,1787xm9004,1787l8928,1821,8924,1824,8942,1823,9009,1823,9004,1787xe" filled="true" fillcolor="#ffffff" stroked="false">
              <v:path arrowok="t"/>
              <v:fill type="solid"/>
            </v:shape>
            <v:shape style="position:absolute;left:7431;top:1806;width:2141;height:2054" coordorigin="7431,1806" coordsize="2141,2054" path="m9043,1806l8653,1859,8354,2090,7998,2693,7431,3859,7542,3730,7650,3609,7753,3495,7853,3388,7950,3288,8042,3196,8132,3109,8217,3029,8300,2956,8379,2888,8455,2826,8529,2769,8599,2717,8666,2671,8730,2629,8792,2591,8851,2558,8907,2529,8961,2504,9012,2482,9061,2464,9108,2449,9153,2437,9195,2427,9236,2420,9274,2415,9311,2412,9346,2411,9532,2411,9516,2400,9461,2352,9407,2294,9355,2230,9303,2162,9253,2092,9161,1958,9118,1898,9079,1847,9043,1806xm9532,2411l9346,2411,9379,2412,9411,2413,9441,2416,9470,2420,9497,2424,9523,2429,9572,2438,9532,2411xe" filled="true" fillcolor="#828486" stroked="false">
              <v:path arrowok="t"/>
              <v:fill type="solid"/>
            </v:shape>
            <v:shape style="position:absolute;left:7428;top:1799;width:2162;height:2063" coordorigin="7428,1799" coordsize="2162,2063" path="m7430,3861l7430,3861,7431,3861,7430,3861xm7432,3860l7431,3861,7431,3861,7431,3861,7432,3861,7432,3860xm7442,3842l7429,3858,7429,3858,7429,3860,7429,3861,7430,3861,7431,3861,7431,3861,7432,3860,7442,3842xm7429,3860l7429,3860,7430,3861,7429,3860xm9367,2393l9325,2393,9282,2395,9240,2400,9199,2407,9157,2415,9116,2426,9076,2438,9036,2452,8996,2467,8957,2483,8919,2500,8881,2519,8843,2538,8806,2558,8770,2579,8698,2623,8628,2670,8593,2695,8559,2720,8525,2745,8492,2771,8458,2796,8425,2823,8360,2877,8296,2932,8265,2960,8202,3017,8171,3046,8110,3104,8080,3134,8050,3164,7990,3224,7902,3315,7873,3346,7787,3439,7674,3566,7647,3598,7592,3662,7537,3727,7442,3842,7432,3860,7546,3735,7689,3580,7805,3458,7894,3367,8013,3248,8104,3161,8135,3132,8197,3075,8228,3047,8291,2992,8322,2964,8354,2937,8386,2910,8451,2857,8483,2831,8550,2780,8583,2755,8617,2731,8651,2707,8720,2661,8791,2618,8827,2597,8863,2577,8899,2557,8936,2539,8973,2522,9011,2506,9049,2491,9087,2477,9126,2465,9166,2454,9205,2446,9245,2439,9285,2434,9326,2431,9366,2430,9531,2430,9520,2423,9501,2407,9493,2406,9451,2399,9409,2395,9367,2393xm7429,3858l7428,3859,7428,3859,7429,3858xm9045,1799l9043,1799,9002,1804,8961,1814,8922,1827,8884,1843,8846,1861,8810,1882,8775,1904,8741,1928,8676,1979,8613,2034,8552,2092,8494,2151,8437,2213,8382,2276,8329,2341,8276,2407,8225,2473,8176,2541,8128,2610,8080,2680,8034,2750,7989,2821,7944,2892,7900,2964,7857,3036,7815,3109,7773,3182,7732,3256,7692,3330,7652,3404,7613,3479,7575,3554,7537,3629,7500,3705,7464,3781,7429,3858,7442,3842,7472,3786,7511,3711,7551,3637,7632,3490,7673,3417,7715,3344,7757,3271,7799,3198,7842,3126,7885,3054,7929,2983,7973,2911,8018,2841,8064,2770,8110,2701,8156,2631,8204,2562,8252,2494,8301,2427,8351,2360,8402,2294,8455,2230,8509,2167,8566,2106,8624,2047,8685,1992,8750,1940,8783,1916,8817,1894,8852,1873,8889,1854,8926,1839,8965,1826,9004,1817,9041,1813,9038,1811,9057,1811,9048,1801,9047,1799,9045,1799xm9531,2430l9366,2430,9407,2432,9447,2435,9488,2440,9528,2447,9569,2454,9569,2454,9576,2456,9582,2453,9564,2453,9531,2430xm9501,2407l9520,2423,9564,2453,9575,2422,9534,2413,9501,2407xm9057,1811l9038,1811,9044,1813,9041,1813,9056,1830,9072,1849,9088,1869,9103,1890,9119,1911,9134,1932,9148,1953,9163,1975,9221,2061,9250,2105,9280,2148,9310,2190,9341,2232,9373,2273,9407,2313,9442,2352,9479,2389,9501,2407,9534,2413,9575,2422,9564,2453,9582,2453,9582,2453,9586,2446,9590,2438,9587,2428,9579,2423,9558,2411,9538,2397,9518,2382,9499,2365,9480,2349,9462,2331,9444,2313,9426,2294,9392,2256,9360,2216,9328,2176,9297,2134,9266,2093,9236,2050,9146,1923,9130,1902,9115,1881,9099,1860,9083,1840,9066,1820,9057,1811xm9038,1811l9041,1813,9044,1813,9038,1811xe" filled="true" fillcolor="#ffffff" stroked="false">
              <v:path arrowok="t"/>
              <v:fill type="solid"/>
            </v:shape>
            <v:shape style="position:absolute;left:7801;top:-2167;width:1771;height:4609" coordorigin="7801,-2167" coordsize="1771,4609" path="m8731,-2167l8175,-2049,7801,-527,7822,448,8368,1297,9572,2442,9558,2178,9541,1897,9526,1674,9520,1582,8797,765,8474,103,8477,-758,8731,-2167xe" filled="true" fillcolor="#959799" stroked="false">
              <v:path arrowok="t"/>
              <v:fill type="solid"/>
            </v:shape>
            <v:shape style="position:absolute;left:8048;top:-2175;width:1535;height:4640" coordorigin="8048,-2175" coordsize="1535,4640" path="m8743,-2175l8729,-2175,8173,-2035,8154,-1955,8138,-1895,8123,-1815,8109,-1735,8097,-1655,8086,-1575,8077,-1515,8069,-1435,8063,-1355,8057,-1275,8053,-1195,8050,-1115,8048,-1035,8048,-955,8048,-875,8050,-815,8054,-735,8058,-655,8064,-575,8071,-495,8079,-415,8088,-335,8099,-255,8110,-195,8123,-115,8138,-35,8153,45,8170,125,8189,185,8208,265,8229,345,8252,425,8275,485,8300,565,8326,645,8354,705,8382,785,8412,845,8444,925,8476,985,8510,1065,8544,1125,8581,1205,8618,1265,8656,1325,8695,1405,8736,1465,8777,1525,8819,1585,8863,1665,8907,1725,8953,1785,8976,1805,8999,1845,9023,1865,9046,1905,9070,1925,9094,1965,9119,1985,9143,2025,9168,2045,9193,2085,9218,2105,9244,2125,9270,2165,9296,2185,9322,2225,9348,2245,9401,2305,9455,2345,9510,2405,9565,2465,9582,2465,9581,2445,9562,2445,9561,2427,9522,2385,9467,2345,9412,2285,9359,2245,9332,2205,9306,2185,9280,2145,9228,2105,9203,2065,9178,2045,9153,2005,9128,1985,9104,1945,9080,1925,9056,1885,9009,1825,8986,1805,8963,1765,8918,1705,8874,1645,8831,1585,8789,1525,8749,1465,8709,1385,8671,1325,8634,1265,8599,1185,8564,1125,8531,1045,8499,985,8467,905,8438,845,8409,765,8382,705,8356,625,8331,545,8307,485,8284,405,8263,325,8242,265,8223,185,8205,105,8189,25,8173,-35,8158,-115,8145,-195,8132,-275,8121,-355,8112,-415,8103,-495,8096,-575,8090,-655,8085,-735,8081,-815,8078,-895,8076,-955,8075,-1035,8076,-1115,8078,-1195,8081,-1275,8085,-1355,8090,-1435,8096,-1495,8104,-1575,8112,-1655,8122,-1735,8133,-1815,8146,-1895,8160,-1955,8177,-2035,8721,-2153,8722,-2155,8740,-2155,8743,-2175xm9561,2427l9562,2445,9578,2445,9561,2427xm9506,1601l9511,1685,9517,1765,9524,1845,9530,1945,9535,2025,9561,2427,9578,2445,9581,2445,9556,1945,9551,1845,9546,1765,9541,1685,9537,1605,9509,1605,9506,1601xm9505,1585l9506,1601,9509,1605,9505,1585xm9536,1585l9505,1585,9509,1605,9537,1605,9536,1585xm8740,-2155l8733,-2155,8721,-2153,8710,-2095,8698,-2035,8687,-1975,8677,-1915,8668,-1855,8659,-1795,8650,-1735,8643,-1675,8636,-1615,8630,-1535,8625,-1475,8620,-1415,8616,-1355,8613,-1295,8610,-1235,8609,-1175,8608,-1115,8608,-1035,8608,-975,8609,-915,8612,-855,8615,-795,8618,-735,8623,-675,8631,-595,8640,-515,8650,-435,8663,-335,8676,-255,8691,-175,8708,-95,8726,-15,8745,65,8766,145,8789,225,8813,305,8838,385,8866,465,8894,545,8924,625,8956,685,8989,765,9024,845,9060,925,9097,985,9136,1065,9177,1125,9219,1205,9252,1265,9285,1305,9320,1365,9355,1405,9392,1465,9429,1505,9468,1565,9506,1601,9505,1585,9531,1585,9492,1545,9455,1485,9418,1445,9383,1385,9349,1345,9315,1285,9282,1245,9250,1185,9209,1105,9170,1045,9131,965,9095,905,9059,825,9026,745,8993,665,8962,605,8933,525,8905,445,8879,365,8853,285,8830,205,8807,125,8786,45,8767,-35,8749,-115,8732,-195,8717,-275,8703,-355,8691,-435,8680,-515,8671,-595,8663,-675,8657,-735,8653,-795,8649,-855,8646,-915,8642,-1055,8642,-1115,8642,-1175,8643,-1235,8644,-1295,8646,-1355,8649,-1415,8653,-1475,8658,-1535,8663,-1595,8669,-1675,8675,-1735,8683,-1795,8691,-1855,8699,-1915,8709,-1975,8719,-2035,8729,-2095,8740,-2155xm8733,-2155l8722,-2155,8721,-2153,8733,-2155xe" filled="true" fillcolor="#ffffff" stroked="false">
              <v:path arrowok="t"/>
              <v:fill type="solid"/>
            </v:shape>
            <v:shape style="position:absolute;left:6557;top:-2305;width:3081;height:6308" coordorigin="6557,-2305" coordsize="3081,6308" path="m7114,1438l7081,1438,7097,1453,7083,1453,7220,2433,7228,2487,7246,2618,7279,2856,7317,3125,7356,3402,7393,3664,7415,3818,7433,3948,7441,4002,7377,3491,7330,3123,7296,2854,7275,2689,7257,2546,7249,2484,7242,2430,7115,1453,7097,1453,7083,1452,7115,1452,7114,1438xm9321,-2295l9307,-2295,9315,-2288,9307,-2287,9328,-1932,9347,-1568,9351,-1488,9356,-1407,9360,-1326,9364,-1245,9368,-1164,9372,-1083,9376,-999,9380,-922,9384,-841,9419,-114,9423,-32,9427,48,9431,129,9436,210,9449,452,9453,536,9457,614,9462,698,9466,775,9470,856,9475,937,9480,1018,9489,1179,9494,1260,9498,1341,9541,2068,9586,2795,9634,3521,9638,3521,9605,2793,9570,2066,9532,1339,9528,1258,9523,1177,9511,935,9506,854,9502,773,9497,692,9488,531,9480,393,9469,208,9465,127,9460,46,9455,-35,9450,-115,9405,-842,9400,-923,9395,-1004,9390,-1085,9385,-1165,9380,-1246,9375,-1327,9371,-1408,9366,-1488,9361,-1569,9340,-1933,9321,-2295xm7081,1438l7083,1452,7097,1453,7081,1438xm9321,-2305l7748,-1984,7745,-1977,7713,-1902,7680,-1828,7648,-1753,7616,-1678,7584,-1602,7552,-1527,7520,-1452,7489,-1377,7458,-1301,7427,-1226,7365,-1074,7335,-999,7304,-923,7274,-847,7244,-771,7214,-695,7184,-619,7155,-543,7126,-466,7096,-390,7067,-314,7041,-243,7015,-173,6989,-103,6964,-32,6938,38,6914,109,6889,180,6865,251,6841,322,6817,393,6793,465,6770,536,6754,590,6737,644,6721,698,6705,752,6689,806,6674,860,6659,915,6637,997,6630,1024,6624,1052,6617,1079,6611,1107,6605,1134,6599,1162,6593,1190,6582,1246,6573,1302,6566,1359,6559,1420,6557,1437,7083,1452,7081,1438,7114,1438,7111,1420,7101,1419,6598,1419,6579,1397,6600,1397,6604,1364,6612,1309,6622,1254,6633,1199,6638,1171,6644,1144,6650,1117,6657,1089,6663,1062,6670,1035,6677,1008,6698,926,6713,872,6728,818,6744,764,6760,711,6776,657,6793,603,6810,550,6835,472,6861,395,6887,317,6913,240,6940,163,6967,86,6994,9,7022,-68,7050,-145,7078,-221,7106,-298,7135,-374,7163,-451,7192,-527,7222,-603,7251,-679,7280,-756,7310,-832,7340,-908,7370,-983,7400,-1059,7430,-1135,7491,-1286,7553,-1438,7583,-1513,7614,-1589,7645,-1664,7677,-1739,7708,-1815,7740,-1890,7768,-1956,7761,-1956,7772,-1965,7801,-1965,9307,-2287,9307,-2295,9321,-2295,9321,-2305xm6579,1397l6598,1419,6600,1398,6579,1397xm6600,1398l6598,1419,7101,1419,6600,1398xm6600,1397l6579,1397,6600,1398,6600,1397xm7772,-1965l7761,-1956,7769,-1958,7772,-1965xm7769,-1958l7761,-1956,7768,-1956,7769,-1958xm7801,-1965l7772,-1965,7769,-1958,7801,-1965xm9307,-2295l9307,-2287,9315,-2288,9307,-2295xe" filled="true" fillcolor="#bcbec0" stroked="false">
              <v:path arrowok="t"/>
              <v:fill type="solid"/>
            </v:shape>
            <w10:wrap type="none"/>
          </v:group>
        </w:pict>
      </w:r>
      <w:r>
        <w:rPr>
          <w:rFonts w:ascii="Times New Roman"/>
          <w:b/>
          <w:color w:val="999B9E"/>
          <w:sz w:val="48"/>
        </w:rPr>
        <w:t>Lo Stato e lo spazio</w:t>
      </w:r>
    </w:p>
    <w:p>
      <w:pPr>
        <w:spacing w:line="536" w:lineRule="exact" w:before="0"/>
        <w:ind w:left="2834" w:right="5292" w:firstLine="0"/>
        <w:jc w:val="left"/>
        <w:rPr>
          <w:rFonts w:ascii="Times New Roman"/>
          <w:b/>
          <w:sz w:val="48"/>
        </w:rPr>
      </w:pPr>
      <w:r>
        <w:rPr/>
        <w:pict>
          <v:group style="position:absolute;margin-left:.0001pt;margin-top:102.566414pt;width:183.55pt;height:368.5pt;mso-position-horizontal-relative:page;mso-position-vertical-relative:paragraph;z-index:8296" coordorigin="0,2051" coordsize="3671,7370">
            <v:shape style="position:absolute;left:13;top:2051;width:1838;height:1655" type="#_x0000_t75" stroked="false">
              <v:imagedata r:id="rId6" o:title=""/>
            </v:shape>
            <v:shape style="position:absolute;left:21;top:3071;width:1729;height:3773" coordorigin="21,3071" coordsize="1729,3773" path="m110,3071l98,3097,71,3167,42,3272,21,3402,315,4563,593,5309,1017,5961,1750,6844,1744,6724,1728,6437,1709,6087,1692,5780,1179,5493,844,5115,537,4393,110,3071xe" filled="true" fillcolor="#7e8083" stroked="false">
              <v:path arrowok="t"/>
              <v:fill type="solid"/>
            </v:shape>
            <v:shape style="position:absolute;left:0;top:2052;width:3670;height:7369" type="#_x0000_t75" stroked="false">
              <v:imagedata r:id="rId7" o:title=""/>
            </v:shape>
            <w10:wrap type="none"/>
          </v:group>
        </w:pict>
      </w:r>
      <w:r>
        <w:rPr>
          <w:rFonts w:ascii="Times New Roman"/>
          <w:b/>
          <w:color w:val="999B9E"/>
          <w:sz w:val="48"/>
        </w:rPr>
        <w:t>globale</w:t>
      </w:r>
    </w:p>
    <w:p>
      <w:pPr>
        <w:spacing w:after="0" w:line="536" w:lineRule="exact"/>
        <w:jc w:val="left"/>
        <w:rPr>
          <w:rFonts w:ascii="Times New Roman"/>
          <w:sz w:val="48"/>
        </w:rPr>
        <w:sectPr>
          <w:pgSz w:w="9640" w:h="13890"/>
          <w:pgMar w:top="0" w:bottom="0" w:left="0" w:right="0"/>
        </w:sect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7"/>
        <w:rPr>
          <w:rFonts w:ascii="Times New Roman"/>
          <w:b/>
          <w:sz w:val="26"/>
        </w:rPr>
      </w:pPr>
    </w:p>
    <w:p>
      <w:pPr>
        <w:pStyle w:val="BodyText"/>
        <w:ind w:left="2853"/>
        <w:rPr>
          <w:rFonts w:ascii="Times New Roman"/>
          <w:sz w:val="20"/>
        </w:rPr>
      </w:pPr>
      <w:r>
        <w:rPr>
          <w:rFonts w:ascii="Times New Roman"/>
          <w:sz w:val="20"/>
        </w:rPr>
        <w:drawing>
          <wp:inline distT="0" distB="0" distL="0" distR="0">
            <wp:extent cx="542544" cy="542544"/>
            <wp:effectExtent l="0" t="0" r="0" b="0"/>
            <wp:docPr id="17" name="image48.png" descr=""/>
            <wp:cNvGraphicFramePr>
              <a:graphicFrameLocks noChangeAspect="1"/>
            </wp:cNvGraphicFramePr>
            <a:graphic>
              <a:graphicData uri="http://schemas.openxmlformats.org/drawingml/2006/picture">
                <pic:pic>
                  <pic:nvPicPr>
                    <pic:cNvPr id="18" name="image48.png"/>
                    <pic:cNvPicPr/>
                  </pic:nvPicPr>
                  <pic:blipFill>
                    <a:blip r:embed="rId61" cstate="print"/>
                    <a:stretch>
                      <a:fillRect/>
                    </a:stretch>
                  </pic:blipFill>
                  <pic:spPr>
                    <a:xfrm>
                      <a:off x="0" y="0"/>
                      <a:ext cx="542544" cy="542544"/>
                    </a:xfrm>
                    <a:prstGeom prst="rect">
                      <a:avLst/>
                    </a:prstGeom>
                  </pic:spPr>
                </pic:pic>
              </a:graphicData>
            </a:graphic>
          </wp:inline>
        </w:drawing>
      </w:r>
      <w:r>
        <w:rPr>
          <w:rFonts w:ascii="Times New Roman"/>
          <w:sz w:val="20"/>
        </w:rPr>
      </w:r>
    </w:p>
    <w:p>
      <w:pPr>
        <w:pStyle w:val="BodyText"/>
        <w:spacing w:before="2"/>
        <w:rPr>
          <w:rFonts w:ascii="Times New Roman"/>
          <w:b/>
          <w:sz w:val="13"/>
        </w:rPr>
      </w:pPr>
      <w:r>
        <w:rPr/>
        <w:pict>
          <v:group style="position:absolute;margin-left:174.394302pt;margin-top:12.787899pt;width:47.1pt;height:12.15pt;mso-position-horizontal-relative:page;mso-position-vertical-relative:paragraph;z-index:8344;mso-wrap-distance-left:0;mso-wrap-distance-right:0" coordorigin="3488,256" coordsize="942,243">
            <v:shape style="position:absolute;left:3488;top:256;width:644;height:230" type="#_x0000_t75" stroked="false">
              <v:imagedata r:id="rId10" o:title=""/>
            </v:shape>
            <v:shape style="position:absolute;left:4164;top:256;width:266;height:242" type="#_x0000_t75" stroked="false">
              <v:imagedata r:id="rId11" o:title=""/>
            </v:shape>
            <w10:wrap type="topAndBottom"/>
          </v:group>
        </w:pict>
      </w:r>
      <w:r>
        <w:rPr/>
        <w:pict>
          <v:line style="position:absolute;mso-position-horizontal-relative:page;mso-position-vertical-relative:paragraph;z-index:8368;mso-wrap-distance-left:0;mso-wrap-distance-right:0" from="226.898499pt,9.726699pt" to="226.898499pt,27.969699pt" stroked="true" strokeweight=".343pt" strokecolor="#58595b">
            <w10:wrap type="topAndBottom"/>
          </v:line>
        </w:pict>
      </w:r>
      <w:r>
        <w:rPr/>
        <w:drawing>
          <wp:anchor distT="0" distB="0" distL="0" distR="0" allowOverlap="1" layoutInCell="1" locked="0" behindDoc="0" simplePos="0" relativeHeight="8392">
            <wp:simplePos x="0" y="0"/>
            <wp:positionH relativeFrom="page">
              <wp:posOffset>2948834</wp:posOffset>
            </wp:positionH>
            <wp:positionV relativeFrom="paragraph">
              <wp:posOffset>164498</wp:posOffset>
            </wp:positionV>
            <wp:extent cx="713204" cy="136016"/>
            <wp:effectExtent l="0" t="0" r="0" b="0"/>
            <wp:wrapTopAndBottom/>
            <wp:docPr id="19" name="image8.png" descr=""/>
            <wp:cNvGraphicFramePr>
              <a:graphicFrameLocks noChangeAspect="1"/>
            </wp:cNvGraphicFramePr>
            <a:graphic>
              <a:graphicData uri="http://schemas.openxmlformats.org/drawingml/2006/picture">
                <pic:pic>
                  <pic:nvPicPr>
                    <pic:cNvPr id="20" name="image8.png"/>
                    <pic:cNvPicPr/>
                  </pic:nvPicPr>
                  <pic:blipFill>
                    <a:blip r:embed="rId12" cstate="print"/>
                    <a:stretch>
                      <a:fillRect/>
                    </a:stretch>
                  </pic:blipFill>
                  <pic:spPr>
                    <a:xfrm>
                      <a:off x="0" y="0"/>
                      <a:ext cx="713204" cy="136016"/>
                    </a:xfrm>
                    <a:prstGeom prst="rect">
                      <a:avLst/>
                    </a:prstGeom>
                  </pic:spPr>
                </pic:pic>
              </a:graphicData>
            </a:graphic>
          </wp:anchor>
        </w:drawing>
      </w:r>
    </w:p>
    <w:p>
      <w:pPr>
        <w:pStyle w:val="BodyText"/>
        <w:rPr>
          <w:rFonts w:ascii="Times New Roman"/>
          <w:b/>
          <w:sz w:val="20"/>
        </w:rPr>
      </w:pPr>
    </w:p>
    <w:p>
      <w:pPr>
        <w:pStyle w:val="BodyText"/>
        <w:spacing w:before="1"/>
        <w:rPr>
          <w:rFonts w:ascii="Times New Roman"/>
          <w:b/>
          <w:sz w:val="17"/>
        </w:rPr>
      </w:pPr>
    </w:p>
    <w:p>
      <w:pPr>
        <w:spacing w:line="182" w:lineRule="exact" w:before="1"/>
        <w:ind w:left="1306" w:right="1700" w:firstLine="0"/>
        <w:jc w:val="center"/>
        <w:rPr>
          <w:rFonts w:ascii="Arial" w:hAnsi="Arial"/>
          <w:sz w:val="16"/>
        </w:rPr>
      </w:pPr>
      <w:r>
        <w:rPr>
          <w:rFonts w:ascii="Arial" w:hAnsi="Arial"/>
          <w:color w:val="231F20"/>
          <w:sz w:val="16"/>
        </w:rPr>
        <w:t>Dr. en D. Jorge Olvera García</w:t>
      </w:r>
    </w:p>
    <w:p>
      <w:pPr>
        <w:spacing w:line="182" w:lineRule="exact" w:before="0"/>
        <w:ind w:left="1306" w:right="1700" w:firstLine="0"/>
        <w:jc w:val="center"/>
        <w:rPr>
          <w:rFonts w:ascii="Arial"/>
          <w:i/>
          <w:sz w:val="16"/>
        </w:rPr>
      </w:pPr>
      <w:r>
        <w:rPr>
          <w:rFonts w:ascii="Arial"/>
          <w:i/>
          <w:color w:val="231F20"/>
          <w:sz w:val="16"/>
        </w:rPr>
        <w:t>Rector</w:t>
      </w:r>
    </w:p>
    <w:p>
      <w:pPr>
        <w:pStyle w:val="BodyText"/>
        <w:spacing w:before="3"/>
        <w:rPr>
          <w:rFonts w:ascii="Arial"/>
          <w:i/>
          <w:sz w:val="15"/>
        </w:rPr>
      </w:pPr>
    </w:p>
    <w:p>
      <w:pPr>
        <w:spacing w:line="182" w:lineRule="exact" w:before="0"/>
        <w:ind w:left="1306" w:right="1700" w:firstLine="0"/>
        <w:jc w:val="center"/>
        <w:rPr>
          <w:rFonts w:ascii="Arial" w:hAnsi="Arial"/>
          <w:sz w:val="16"/>
        </w:rPr>
      </w:pPr>
      <w:r>
        <w:rPr>
          <w:rFonts w:ascii="Arial" w:hAnsi="Arial"/>
          <w:color w:val="231F20"/>
          <w:sz w:val="16"/>
        </w:rPr>
        <w:t>Dra. en Est. Lat. Ángeles Ma. del Rosario Pérez Bernal</w:t>
      </w:r>
    </w:p>
    <w:p>
      <w:pPr>
        <w:spacing w:line="182" w:lineRule="exact" w:before="0"/>
        <w:ind w:left="1306" w:right="1700" w:firstLine="0"/>
        <w:jc w:val="center"/>
        <w:rPr>
          <w:rFonts w:ascii="Arial" w:hAnsi="Arial"/>
          <w:i/>
          <w:sz w:val="16"/>
        </w:rPr>
      </w:pPr>
      <w:r>
        <w:rPr>
          <w:rFonts w:ascii="Arial" w:hAnsi="Arial"/>
          <w:i/>
          <w:color w:val="231F20"/>
          <w:sz w:val="16"/>
        </w:rPr>
        <w:t>Secretaria de Investigación y Estudios Avanzados</w:t>
      </w:r>
    </w:p>
    <w:p>
      <w:pPr>
        <w:pStyle w:val="BodyText"/>
        <w:spacing w:before="3"/>
        <w:rPr>
          <w:rFonts w:ascii="Arial"/>
          <w:i/>
          <w:sz w:val="15"/>
        </w:rPr>
      </w:pPr>
    </w:p>
    <w:p>
      <w:pPr>
        <w:spacing w:line="182" w:lineRule="exact" w:before="0"/>
        <w:ind w:left="1306" w:right="1700" w:firstLine="0"/>
        <w:jc w:val="center"/>
        <w:rPr>
          <w:rFonts w:ascii="Arial" w:hAnsi="Arial"/>
          <w:sz w:val="16"/>
        </w:rPr>
      </w:pPr>
      <w:r>
        <w:rPr>
          <w:rFonts w:ascii="Arial" w:hAnsi="Arial"/>
          <w:color w:val="231F20"/>
          <w:sz w:val="16"/>
        </w:rPr>
        <w:t>L. C. C. María del Socorro Castañeda Díaz</w:t>
      </w:r>
    </w:p>
    <w:p>
      <w:pPr>
        <w:spacing w:line="180" w:lineRule="exact" w:before="4"/>
        <w:ind w:left="1378" w:right="1772" w:firstLine="0"/>
        <w:jc w:val="center"/>
        <w:rPr>
          <w:rFonts w:ascii="Arial" w:hAnsi="Arial"/>
          <w:i/>
          <w:sz w:val="16"/>
        </w:rPr>
      </w:pPr>
      <w:r>
        <w:rPr>
          <w:rFonts w:ascii="Arial" w:hAnsi="Arial"/>
          <w:i/>
          <w:color w:val="231F20"/>
          <w:sz w:val="16"/>
        </w:rPr>
        <w:t>Directora de Difusión y Promoción de la Investigación </w:t>
      </w:r>
      <w:r>
        <w:rPr>
          <w:rFonts w:ascii="Arial" w:hAnsi="Arial"/>
          <w:i/>
          <w:color w:val="231F20"/>
          <w:sz w:val="16"/>
        </w:rPr>
        <w:t>y los Estudios Avanzados</w:t>
      </w:r>
    </w:p>
    <w:p>
      <w:pPr>
        <w:spacing w:after="0" w:line="180" w:lineRule="exact"/>
        <w:jc w:val="center"/>
        <w:rPr>
          <w:rFonts w:ascii="Arial" w:hAnsi="Arial"/>
          <w:sz w:val="16"/>
        </w:rPr>
        <w:sectPr>
          <w:pgSz w:w="9640" w:h="13890"/>
          <w:pgMar w:top="1300" w:bottom="280" w:left="1340" w:right="134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Heading1"/>
        <w:ind w:right="5200"/>
      </w:pPr>
      <w:r>
        <w:rPr/>
        <w:pict>
          <v:group style="position:absolute;margin-left:327.852997pt;margin-top:-126.988678pt;width:154.050pt;height:493.6pt;mso-position-horizontal-relative:page;mso-position-vertical-relative:paragraph;z-index:8464" coordorigin="6557,-2540" coordsize="3081,9872">
            <v:shape style="position:absolute;left:7322;top:950;width:1722;height:1924" coordorigin="7322,950" coordsize="1722,1924" path="m8648,950l8060,1106,7726,1358,7521,1887,7322,2874,7418,2742,7511,2620,7600,2507,7687,2402,7770,2305,7850,2216,7926,2134,8000,2060,8071,1992,8139,1931,8204,1876,8267,1827,8327,1783,8384,1745,8439,1711,8492,1682,8542,1657,8590,1636,8636,1619,8680,1605,8721,1593,8761,1585,8799,1578,8835,1574,8869,1571,8902,1570,8933,1569,9042,1569,9008,1526,8966,1468,8919,1399,8870,1324,8820,1244,8771,1164,8724,1086,8683,1014,8648,950xm9042,1569l8933,1569,8963,1570,9018,1571,9043,1571,9042,1569xe" filled="true" fillcolor="#e4e5e6" stroked="false">
              <v:path arrowok="t"/>
              <v:fill type="solid"/>
            </v:shape>
            <v:shape style="position:absolute;left:7319;top:943;width:1760;height:1938" coordorigin="7319,943" coordsize="1760,1938" path="m8652,943l8647,943,8574,963,8538,975,8468,1003,8456,1007,8434,1019,8400,1035,8377,1045,8366,1053,8300,1091,8237,1133,8222,1145,8177,1181,8147,1203,8090,1255,8063,1281,8036,1309,8009,1335,7983,1365,7958,1393,7933,1423,7909,1453,7897,1467,7885,1483,7873,1499,7862,1515,7851,1529,7839,1545,7828,1561,7817,1577,7775,1643,7765,1659,7745,1691,7735,1709,7725,1725,7715,1741,7687,1793,7678,1809,7669,1827,7643,1879,7626,1915,7610,1949,7594,1985,7578,2021,7563,2055,7548,2091,7533,2127,7519,2163,7505,2201,7491,2237,7478,2273,7454,2347,7430,2421,7408,2495,7387,2571,7377,2607,7368,2645,7359,2683,7350,2721,7342,2759,7334,2797,7327,2835,7320,2875,7319,2881,7333,2863,7327,2863,7345,2791,7364,2719,7385,2647,7406,2577,7429,2503,7454,2429,7479,2357,7506,2285,7520,2247,7534,2213,7548,2177,7563,2141,7578,2105,7593,2069,7609,2035,7624,1999,7641,1965,7657,1931,7675,1897,7692,1861,7710,1827,7728,1795,7746,1761,7765,1727,7784,1695,7794,1677,7804,1661,7844,1597,7887,1533,7908,1503,7954,1441,7977,1411,8001,1381,8026,1353,8077,1297,8103,1269,8158,1217,8231,1157,8246,1145,8307,1103,8372,1065,8388,1055,8439,1031,8450,1025,8461,1019,8473,1015,8508,1001,8578,977,8614,969,8645,960,8642,955,8660,955,8655,947,8652,943xm9008,1553l8869,1553,8834,1557,8816,1557,8798,1559,8781,1563,8763,1565,8729,1571,8694,1581,8677,1585,8660,1591,8643,1595,8626,1601,8560,1627,8528,1643,8512,1649,8464,1673,8433,1691,8373,1729,8358,1737,8343,1747,8314,1767,8257,1809,8242,1821,8228,1831,8214,1843,8201,1853,8146,1899,8119,1923,8093,1945,8067,1971,7990,2043,7964,2069,7843,2199,7819,2225,7796,2251,7773,2279,7750,2305,7704,2361,7681,2387,7658,2415,7528,2583,7506,2611,7327,2863,7333,2863,7521,2625,7544,2597,7567,2571,7589,2543,7680,2435,7774,2329,7797,2303,7820,2275,7844,2249,7868,2223,7967,2123,7991,2097,8017,2073,8043,2051,8068,2027,8094,2001,8119,1979,8146,1955,8173,1933,8226,1887,8240,1877,8253,1865,8267,1855,8366,1785,8380,1775,8395,1765,8425,1749,8454,1729,8484,1713,8560,1673,8576,1667,8639,1641,8655,1635,8671,1631,8688,1625,8737,1611,8770,1605,8787,1603,8804,1599,8871,1591,8905,1591,8939,1589,9078,1589,9074,1583,9030,1583,9008,1553xm8660,955l8642,955,8650,959,8645,960,8664,995,8708,1077,8731,1117,8824,1277,8836,1297,8849,1315,8861,1335,8873,1355,8923,1433,8929,1443,8935,1453,8942,1461,8948,1471,8976,1509,9030,1583,9043,1555,9009,1553,9050,1553,9001,1487,8974,1451,8967,1443,8961,1433,8954,1423,8948,1415,8883,1319,8870,1301,8858,1281,8845,1263,8747,1107,8735,1087,8660,955xm9050,1553l9009,1553,9043,1555,9030,1583,9074,1583,9056,1561,9050,1553xm8939,1551l8886,1553,8974,1553,8939,1551xm8642,955l8645,960,8650,959,8642,955xe" filled="true" fillcolor="#ffffff" stroked="false">
              <v:path arrowok="t"/>
              <v:fill type="solid"/>
            </v:shape>
            <v:shape style="position:absolute;left:8633;top:-2482;width:898;height:3817" coordorigin="8633,-2482" coordsize="898,3817" path="m9082,-2482l8737,-2403,8715,-2286,8695,-2170,8678,-2056,8664,-1942,8652,-1830,8644,-1719,8638,-1609,8634,-1501,8633,-1395,8634,-1289,8638,-1186,8643,-1083,8651,-983,8660,-884,8671,-787,8684,-691,8699,-597,8715,-505,8733,-414,8752,-326,8773,-239,8794,-154,8817,-72,8840,9,8865,88,8890,165,8916,240,8943,312,8970,383,8997,451,9025,517,9053,581,9082,642,9110,701,9138,758,9166,813,9222,914,9275,1005,9327,1086,9375,1157,9419,1216,9458,1264,9506,1315,9530,1334,9529,1313,9529,1290,9528,1269,9528,1254,9068,-216,8958,-1402,9021,-2194,9082,-2482xe" filled="true" fillcolor="#a0a2a4" stroked="false">
              <v:path arrowok="t"/>
              <v:fill type="solid"/>
            </v:shape>
            <v:shape style="position:absolute;left:8618;top:-2486;width:923;height:3840" coordorigin="8618,-2486" coordsize="923,3840" path="m9521,1350l9521,1354,9523,1351,9521,1350xm9090,-2466l9084,-2466,9073,-2464,9058,-2426,9044,-2366,9032,-2306,9020,-2246,9009,-2186,8999,-2126,8990,-2066,8982,-2006,8974,-1946,8967,-1886,8962,-1826,8956,-1766,8952,-1706,8948,-1646,8945,-1586,8942,-1526,8940,-1466,8939,-1406,8939,-1346,8939,-1286,8939,-1226,8941,-1166,8943,-1106,8946,-1046,8947,-1006,8949,-986,8951,-946,8953,-926,8955,-886,8957,-866,8960,-826,8963,-806,8974,-686,8993,-526,8997,-506,9001,-466,9010,-406,9014,-386,9019,-366,9046,-206,9070,-86,9082,-26,9096,34,9110,94,9124,134,9139,194,9154,254,9170,314,9187,374,9204,434,9221,494,9239,554,9258,594,9277,654,9297,714,9317,774,9338,834,9348,854,9358,874,9369,914,9380,934,9425,1054,9448,1114,9471,1154,9495,1214,9519,1274,9518,1274,9518,1294,9519,1314,9519,1319,9535,1334,9523,1351,9526,1354,9540,1354,9539,1334,9539,1314,9538,1294,9538,1254,9537,1254,9515,1214,9492,1154,9469,1094,9447,1034,9405,934,9395,894,9384,874,9374,854,9365,814,9345,754,9326,714,9307,654,9290,594,9281,554,9272,534,9263,514,9254,474,9222,354,9206,314,9191,254,9176,194,9161,134,9148,74,9134,14,9121,-46,9110,-106,9087,-226,9061,-366,9057,-386,9048,-446,9043,-486,9039,-506,9034,-546,9031,-566,9016,-686,9001,-846,8999,-866,8996,-906,8994,-926,8992,-966,8990,-986,8988,-1006,8986,-1046,8983,-1106,8981,-1166,8979,-1226,8978,-1286,8977,-1346,8977,-1406,8977,-1466,8978,-1526,8980,-1586,8982,-1646,8985,-1706,8989,-1766,8993,-1826,8998,-1886,9003,-1946,9010,-2006,9019,-2086,9030,-2166,9042,-2246,9056,-2306,9072,-2386,9090,-2466xm9519,1319l9520,1334,9521,1350,9523,1351,9535,1334,9519,1319xm9093,-2486l8736,-2386,8736,-2386,8718,-2306,8702,-2226,8687,-2146,8673,-2066,8661,-1986,8650,-1906,8644,-1846,8638,-1786,8632,-1726,8628,-1666,8624,-1586,8621,-1526,8619,-1466,8618,-1406,8618,-1326,8619,-1246,8622,-1166,8626,-1086,8632,-986,8639,-906,8647,-826,8657,-746,8669,-666,8682,-586,8696,-506,8712,-426,8730,-346,8749,-266,8769,-186,8791,-106,8814,-26,8839,54,8865,134,8892,214,8921,294,8951,374,8982,434,9014,514,9047,594,9082,674,9118,734,9155,814,9194,894,9234,954,9265,1014,9297,1074,9330,1114,9365,1174,9383,1194,9401,1214,9419,1234,9438,1274,9458,1294,9479,1314,9501,1334,9521,1350,9520,1334,9519,1319,9513,1314,9491,1294,9471,1274,9451,1254,9432,1234,9413,1214,9395,1174,9377,1154,9342,1114,9309,1054,9277,1014,9245,954,9205,874,9166,814,9129,734,9094,654,9060,594,9027,514,8996,434,8967,354,8939,274,8912,214,8887,134,8863,54,8840,-26,8818,-106,8798,-186,8780,-266,8762,-346,8746,-426,8734,-486,8723,-546,8713,-606,8704,-666,8696,-726,8687,-786,8680,-846,8673,-926,8666,-1006,8660,-1086,8655,-1166,8651,-1246,8649,-1326,8649,-1406,8649,-1486,8651,-1566,8654,-1666,8658,-1746,8664,-1826,8671,-1906,8677,-1966,8684,-2026,8691,-2086,8700,-2146,8708,-2206,8718,-2266,8728,-2326,8739,-2386,9073,-2464,9074,-2466,9090,-2466,9093,-2486xm9084,-2466l9074,-2466,9073,-2464,9084,-2466xe" filled="true" fillcolor="#ffffff" stroked="false">
              <v:path arrowok="t"/>
              <v:fill type="solid"/>
            </v:shape>
            <v:shape style="position:absolute;left:8810;top:-2531;width:721;height:3805" coordorigin="8810,-2531" coordsize="721,3805" path="m9314,-2531l9082,-2482,8843,-1301,8810,-516,9025,225,9530,1274,9314,-2531xe" filled="true" fillcolor="#a9abae" stroked="false">
              <v:path arrowok="t"/>
              <v:fill type="solid"/>
            </v:shape>
            <v:shape style="position:absolute;left:8942;top:-2533;width:602;height:3856" coordorigin="8942,-2533" coordsize="602,3856" path="m9316,-2533l9081,-2489,9077,-2488,9076,-2484,9050,-2366,9044,-2337,9038,-2307,9032,-2278,9027,-2248,9006,-2129,9002,-2099,8997,-2069,8993,-2039,8989,-2010,8981,-1950,8974,-1890,8968,-1830,8962,-1770,8959,-1740,8957,-1707,8955,-1677,8953,-1649,8949,-1587,8948,-1559,8947,-1527,8943,-1407,8942,-1378,8942,-1317,8942,-1226,8943,-1166,8946,-1103,8948,-1045,8951,-985,8955,-925,8959,-864,8970,-744,8976,-684,8983,-624,8990,-564,8998,-504,9006,-444,9015,-385,9025,-325,9030,-295,9035,-265,9041,-236,9052,-177,9058,-147,9063,-117,9070,-88,9095,30,9123,147,9138,206,9153,264,9169,323,9185,380,9202,438,9219,496,9237,553,9256,610,9275,667,9294,724,9314,781,9335,837,9356,893,9378,949,9400,1005,9423,1061,9446,1116,9471,1171,9496,1225,9522,1279,9543,1322,9540,1275,9521,1275,9518,1225,9514,1216,9490,1161,9467,1106,9445,1051,9423,995,9402,939,9381,883,9361,827,9342,770,9323,714,9304,657,9286,600,9269,542,9252,485,9236,427,9220,370,9204,312,9189,254,9175,196,9160,138,9134,21,9109,-97,9103,-126,9098,-155,9093,-185,9087,-214,9082,-244,9077,-273,9072,-303,9067,-333,9057,-392,9048,-451,9040,-510,9031,-570,9018,-689,9011,-748,9006,-808,9000,-868,8996,-928,8988,-1047,8984,-1167,8982,-1197,8981,-1227,8981,-1257,8981,-1287,8980,-1317,8980,-1347,8980,-1377,8980,-1408,8982,-1529,8982,-1557,8983,-1589,8985,-1617,8988,-1679,8989,-1709,8991,-1737,8993,-1767,8998,-1827,9003,-1887,9008,-1947,9015,-2006,9018,-2036,9022,-2066,9025,-2096,9029,-2125,9047,-2244,9051,-2274,9056,-2303,9061,-2333,9087,-2476,9083,-2476,9088,-2481,9105,-2481,9312,-2528,9316,-2528,9316,-2533xm9518,1225l9521,1275,9539,1270,9518,1225xm9316,-2528l9312,-2528,9315,-2449,9324,-2212,9328,-2125,9331,-2054,9353,-1578,9378,-1103,9382,-1023,9386,-944,9391,-864,9396,-785,9400,-706,9410,-548,9415,-469,9421,-389,9432,-231,9437,-152,9442,-72,9453,86,9459,165,9464,244,9469,324,9483,561,9487,621,9490,680,9494,740,9501,879,9505,958,9509,1037,9513,1116,9517,1196,9518,1225,9539,1270,9521,1275,9540,1275,9535,1195,9530,1115,9524,1036,9520,957,9515,878,9506,739,9503,680,9499,620,9484,322,9480,244,9476,164,9472,85,9465,-74,9461,-155,9458,-236,9451,-392,9447,-470,9443,-550,9435,-708,9431,-788,9426,-868,9422,-946,9418,-1026,9413,-1106,9383,-1580,9351,-2056,9346,-2135,9340,-2214,9334,-2293,9322,-2452,9316,-2528xm9088,-2481l9083,-2476,9088,-2477,9088,-2481xm9088,-2477l9083,-2476,9087,-2476,9088,-2477xm9105,-2481l9088,-2481,9088,-2477,9105,-2481xe" filled="true" fillcolor="#ffffff" stroked="false">
              <v:path arrowok="t"/>
              <v:fill type="solid"/>
            </v:shape>
            <v:shape style="position:absolute;left:7322;top:1569;width:1689;height:2056" coordorigin="7322,1569" coordsize="1689,2056" path="m8953,1569l8887,1571,8814,1579,8732,1595,8642,1620,8545,1658,8439,1710,8383,1742,8326,1778,8266,1818,8205,1864,8141,1914,8076,1970,8009,2031,7940,2098,7869,2171,7796,2251,7722,2337,7645,2429,7567,2529,7487,2636,7406,2751,7322,2874,7431,3624,7905,2601,8228,2046,8547,1767,9010,1571,8983,1569,8953,1569xe" filled="true" fillcolor="#bec0c2" stroked="false">
              <v:path arrowok="t"/>
              <v:fill type="solid"/>
            </v:shape>
            <v:shape style="position:absolute;left:7320;top:1550;width:1709;height:2094" coordorigin="7320,1550" coordsize="1709,2094" path="m8942,1550l8907,1550,8872,1553,8837,1556,8803,1561,8768,1567,8734,1573,8666,1591,8584,1619,8568,1625,8552,1632,8536,1640,8504,1654,8488,1661,8472,1668,8395,1710,8380,1719,8365,1728,8262,1795,8179,1858,8165,1869,8151,1880,8137,1891,8018,1994,7894,2118,7870,2144,7847,2170,7823,2196,7800,2222,7776,2248,7753,2275,7731,2302,7643,2411,7621,2439,7600,2467,7475,2637,7456,2667,7320,2872,7320,2873,7320,2874,7342,3062,7348,3109,7353,3157,7359,3204,7375,3326,7385,3401,7395,3476,7405,3552,7415,3627,7416,3632,7419,3637,7431,3643,7441,3640,7445,3632,7445,3631,7449,3622,7446,3622,7416,3617,7438,3570,7435,3547,7423,3472,7411,3397,7399,3322,7380,3200,7372,3154,7364,3107,7356,3060,7324,2874,7469,2677,7490,2649,7619,2484,7641,2456,7777,2297,7801,2272,7825,2246,7848,2221,7872,2196,7896,2170,7920,2145,8045,2026,8163,1924,8176,1913,8190,1903,8286,1831,8386,1766,8401,1757,8416,1749,8490,1708,8506,1701,8583,1666,8598,1659,8678,1631,8743,1614,8776,1607,8808,1601,8842,1596,8875,1592,8908,1589,8924,1589,8928,1586,9004,1553,9022,1553,9021,1552,8976,1550,8942,1550xm7438,3570l7416,3617,7446,3622,7438,3570xm8942,1588l8924,1589,8856,1626,8788,1672,8771,1684,8755,1696,8722,1721,8690,1748,8659,1774,8628,1802,8583,1844,8568,1859,8554,1873,8540,1888,8525,1903,8511,1918,8497,1932,8428,2009,8374,2072,8348,2104,8322,2136,8296,2168,8246,2233,8221,2266,8172,2333,8123,2399,8099,2433,8052,2501,8006,2570,7983,2604,7937,2673,7915,2708,7892,2743,7848,2813,7805,2883,7762,2954,7720,3026,7699,3062,7679,3098,7659,3134,7619,3207,7600,3244,7580,3281,7561,3318,7524,3392,7487,3467,7451,3542,7438,3570,7446,3622,7449,3622,7481,3557,7517,3483,7555,3409,7593,3335,7631,3262,7670,3189,7709,3116,7749,3043,7829,2899,7844,2872,7870,2827,7891,2791,7912,2756,7954,2685,7998,2614,8042,2545,8088,2476,8111,2442,8134,2408,8182,2340,8206,2307,8231,2274,8256,2242,8307,2177,8333,2145,8359,2114,8386,2083,8440,2021,8511,1947,8526,1933,8540,1919,8557,1903,8569,1890,8584,1876,8599,1863,8645,1822,8676,1796,8707,1771,8739,1746,8756,1734,8788,1711,8805,1699,8873,1656,8943,1619,9014,1590,9009,1590,8975,1589,8942,1588xm9009,1588l8942,1588,8975,1589,9009,1590,9009,1588xm9022,1553l9004,1553,9009,1590,9014,1589,9016,1588,9017,1588,9023,1585,9028,1579,9029,1561,9022,1553xm9004,1553l8928,1586,8924,1589,8942,1588,9009,1588,9004,1553xe" filled="true" fillcolor="#ffffff" stroked="false">
              <v:path arrowok="t"/>
              <v:fill type="solid"/>
            </v:shape>
            <v:shape style="position:absolute;left:7431;top:1571;width:2141;height:2054" coordorigin="7431,1571" coordsize="2141,2054" path="m9043,1571l8653,1624,8354,1856,7998,2458,7431,3624,7542,3495,7650,3374,7753,3260,7853,3153,7950,3054,8042,2961,8132,2875,8217,2795,8300,2721,8379,2653,8455,2591,8529,2534,8599,2482,8666,2436,8730,2394,8792,2357,8851,2324,8907,2295,8961,2269,9012,2248,9061,2229,9108,2214,9153,2202,9195,2193,9236,2186,9274,2181,9311,2178,9346,2177,9532,2177,9516,2166,9461,2117,9407,2059,9355,1995,9303,1927,9253,1857,9161,1723,9118,1663,9079,1612,9043,1571xm9532,2177l9346,2177,9379,2177,9411,2179,9441,2182,9470,2185,9497,2189,9523,2194,9572,2203,9532,2177xe" filled="true" fillcolor="#828486" stroked="false">
              <v:path arrowok="t"/>
              <v:fill type="solid"/>
            </v:shape>
            <v:shape style="position:absolute;left:7428;top:1564;width:2162;height:2063" coordorigin="7428,1564" coordsize="2162,2063" path="m7430,3626l7430,3627,7431,3627,7430,3626xm7432,3626l7431,3627,7431,3627,7431,3627,7432,3626,7432,3626xm7442,3608l7429,3623,7429,3624,7429,3625,7429,3626,7430,3626,7431,3627,7431,3627,7432,3626,7442,3608xm7429,3625l7429,3626,7430,3626,7429,3625xm9367,2158l9325,2158,9282,2161,9240,2165,9199,2172,9157,2181,9116,2191,9076,2203,9036,2217,8996,2232,8957,2248,8919,2266,8881,2284,8843,2303,8806,2323,8770,2344,8698,2389,8628,2436,8593,2460,8559,2485,8525,2510,8492,2536,8458,2562,8425,2588,8360,2642,8296,2697,8265,2725,8202,2782,8171,2811,8110,2870,8080,2899,8050,2929,7990,2989,7902,3080,7873,3111,7787,3204,7674,3331,7647,3363,7592,3427,7537,3492,7442,3608,7432,3626,7546,3500,7689,3345,7805,3223,7894,3133,8013,3014,8104,2926,8135,2897,8197,2841,8228,2812,8291,2757,8322,2729,8354,2702,8386,2675,8451,2622,8483,2596,8550,2545,8583,2521,8617,2496,8651,2472,8720,2426,8791,2383,8827,2362,8863,2342,8899,2323,8936,2305,8973,2287,9011,2271,9049,2256,9087,2242,9126,2230,9166,2220,9205,2211,9245,2204,9285,2199,9326,2196,9366,2196,9531,2196,9520,2188,9501,2172,9493,2171,9451,2165,9409,2160,9367,2158xm7429,3623l7428,3624,7428,3624,7429,3623xm9045,1564l9043,1564,9002,1569,8961,1579,8922,1592,8884,1608,8846,1627,8810,1647,8775,1670,8741,1693,8676,1745,8613,1799,8552,1857,8494,1917,8437,1978,8382,2042,8329,2106,8276,2172,8225,2239,8176,2307,8128,2375,8080,2445,8034,2515,7989,2586,7944,2657,7900,2729,7857,2802,7815,2874,7773,2947,7732,3021,7692,3095,7652,3169,7613,3244,7575,3319,7537,3395,7500,3471,7464,3547,7429,3623,7442,3608,7472,3551,7511,3477,7551,3403,7632,3255,7673,3182,7715,3109,7757,3036,7799,2964,7842,2891,7885,2819,7929,2748,7973,2677,8018,2606,8064,2536,8110,2466,8156,2396,8204,2328,8252,2260,8301,2192,8351,2125,8402,2060,8455,1995,8509,1932,8566,1871,8624,1813,8685,1757,8750,1706,8783,1682,8817,1659,8852,1638,8889,1620,8926,1604,8965,1592,9004,1583,9041,1578,9038,1576,9057,1576,9048,1566,9047,1565,9045,1564xm9531,2196l9366,2196,9407,2197,9447,2200,9488,2206,9528,2212,9569,2220,9569,2220,9576,2221,9582,2218,9564,2218,9531,2196xm9501,2172l9520,2188,9564,2218,9575,2187,9534,2179,9501,2172xm9057,1576l9038,1576,9044,1578,9041,1578,9056,1595,9072,1615,9088,1635,9103,1655,9119,1676,9134,1697,9148,1719,9163,1740,9221,1827,9250,1870,9280,1913,9310,1955,9341,1997,9373,2039,9407,2079,9442,2118,9479,2155,9501,2172,9534,2179,9575,2187,9564,2218,9582,2218,9582,2218,9586,2211,9590,2203,9587,2193,9579,2189,9558,2176,9538,2162,9518,2147,9499,2131,9480,2114,9462,2096,9444,2078,9426,2060,9392,2021,9360,1982,9328,1941,9297,1900,9266,1858,9236,1816,9146,1688,9130,1667,9115,1646,9099,1626,9083,1605,9066,1585,9057,1576xm9038,1576l9041,1578,9044,1578,9038,1576xe" filled="true" fillcolor="#ffffff" stroked="false">
              <v:path arrowok="t"/>
              <v:fill type="solid"/>
            </v:shape>
            <v:shape style="position:absolute;left:7801;top:-2402;width:1771;height:4609" coordorigin="7801,-2402" coordsize="1771,4609" path="m8731,-2402l8175,-2284,7801,-762,7822,213,8368,1062,9572,2207,9558,1943,9541,1662,9526,1439,9520,1348,8797,531,8474,-132,8477,-993,8731,-2402xe" filled="true" fillcolor="#959799" stroked="false">
              <v:path arrowok="t"/>
              <v:fill type="solid"/>
            </v:shape>
            <v:shape style="position:absolute;left:8048;top:-2410;width:1535;height:4640" coordorigin="8048,-2410" coordsize="1535,4640" path="m8743,-2410l8729,-2410,8173,-2270,8154,-2190,8138,-2130,8123,-2050,8109,-1970,8097,-1890,8086,-1810,8077,-1750,8069,-1670,8063,-1590,8057,-1510,8053,-1430,8050,-1350,8048,-1270,8048,-1190,8048,-1110,8050,-1050,8054,-970,8058,-890,8064,-810,8071,-730,8079,-650,8088,-570,8099,-490,8110,-430,8123,-350,8138,-270,8153,-190,8170,-110,8189,-50,8208,30,8229,110,8252,190,8275,250,8300,330,8326,410,8354,470,8382,550,8412,610,8444,690,8476,750,8510,830,8544,890,8581,970,8618,1030,8656,1090,8695,1170,8736,1230,8777,1290,8819,1350,8863,1430,8907,1490,8953,1550,8976,1570,8999,1610,9023,1630,9046,1670,9070,1690,9094,1730,9119,1750,9143,1790,9168,1810,9193,1850,9218,1870,9244,1890,9270,1930,9296,1950,9322,1990,9348,2010,9401,2070,9455,2110,9510,2170,9565,2230,9582,2230,9581,2210,9562,2210,9561,2192,9522,2150,9467,2110,9412,2050,9359,2010,9332,1970,9306,1950,9280,1910,9228,1870,9203,1830,9178,1810,9153,1770,9128,1750,9104,1710,9080,1690,9056,1650,9009,1590,8986,1570,8963,1530,8918,1470,8874,1410,8831,1350,8789,1290,8749,1230,8709,1150,8671,1090,8634,1030,8599,950,8564,890,8531,810,8499,750,8467,670,8438,610,8409,530,8382,470,8356,390,8331,310,8307,250,8284,170,8263,90,8242,30,8223,-50,8205,-130,8189,-210,8173,-270,8158,-350,8145,-430,8132,-510,8121,-590,8112,-650,8103,-730,8096,-810,8090,-890,8085,-970,8081,-1050,8078,-1130,8076,-1190,8075,-1270,8076,-1350,8078,-1430,8081,-1510,8085,-1590,8090,-1670,8096,-1730,8104,-1810,8112,-1890,8122,-1970,8133,-2050,8146,-2130,8160,-2190,8177,-2270,8721,-2388,8722,-2390,8740,-2390,8743,-2410xm9561,2192l9562,2210,9578,2210,9561,2192xm9506,1367l9511,1450,9517,1530,9524,1610,9530,1710,9535,1790,9561,2192,9578,2210,9581,2210,9556,1710,9551,1610,9546,1530,9541,1450,9537,1370,9509,1370,9506,1367xm9505,1350l9506,1367,9509,1370,9505,1350xm9536,1350l9505,1350,9509,1370,9537,1370,9536,1350xm8740,-2390l8733,-2390,8721,-2388,8710,-2330,8698,-2270,8687,-2210,8677,-2150,8668,-2090,8659,-2030,8650,-1970,8643,-1910,8636,-1850,8630,-1770,8625,-1710,8620,-1650,8616,-1590,8613,-1530,8610,-1470,8609,-1410,8608,-1350,8608,-1270,8608,-1210,8609,-1150,8612,-1090,8615,-1030,8618,-970,8623,-910,8631,-830,8640,-750,8650,-670,8663,-570,8676,-490,8691,-410,8708,-330,8726,-250,8745,-170,8766,-90,8789,-10,8813,70,8838,150,8866,230,8894,310,8924,390,8956,450,8989,530,9024,610,9060,690,9097,750,9136,830,9177,890,9219,970,9252,1030,9285,1070,9320,1130,9355,1170,9392,1230,9429,1270,9468,1330,9506,1367,9505,1350,9531,1350,9492,1310,9455,1250,9418,1210,9383,1150,9349,1110,9315,1050,9282,1010,9250,950,9209,870,9170,810,9131,730,9095,670,9059,590,9026,510,8993,430,8962,370,8933,290,8905,210,8879,130,8853,50,8830,-30,8807,-110,8786,-190,8767,-270,8749,-350,8732,-430,8717,-510,8703,-590,8691,-670,8680,-750,8671,-830,8663,-910,8657,-970,8653,-1030,8649,-1090,8646,-1150,8642,-1290,8642,-1350,8642,-1410,8643,-1470,8644,-1530,8646,-1590,8649,-1650,8653,-1710,8658,-1770,8663,-1830,8669,-1910,8675,-1970,8683,-2030,8691,-2090,8699,-2150,8709,-2210,8719,-2270,8729,-2330,8740,-2390xm8733,-2390l8722,-2390,8721,-2388,8733,-2390xe" filled="true" fillcolor="#ffffff" stroked="false">
              <v:path arrowok="t"/>
              <v:fill type="solid"/>
            </v:shape>
            <v:shape style="position:absolute;left:6557;top:-2540;width:3081;height:6308" coordorigin="6557,-2540" coordsize="3081,6308" path="m7114,1203l7081,1203,7097,1218,7083,1218,7220,2199,7228,2253,7246,2383,7279,2621,7317,2890,7356,3167,7393,3429,7415,3583,7433,3713,7441,3767,7377,3256,7330,2889,7296,2619,7275,2455,7257,2311,7249,2250,7242,2196,7115,1218,7097,1218,7083,1218,7115,1218,7114,1203xm9321,-2530l9307,-2530,9315,-2523,9307,-2521,9328,-2167,9347,-1803,9351,-1722,9356,-1641,9360,-1561,9364,-1480,9368,-1399,9372,-1318,9376,-1233,9380,-1157,9384,-1076,9419,-348,9423,-267,9427,-187,9431,-106,9436,-25,9449,217,9453,302,9457,379,9462,463,9466,541,9470,621,9475,702,9480,783,9489,944,9494,1025,9498,1106,9541,1833,9586,2560,9634,3286,9638,3286,9605,2559,9570,1831,9532,1104,9528,1023,9523,942,9511,700,9506,619,9502,538,9497,458,9488,296,9480,159,9469,-27,9465,-108,9460,-189,9455,-269,9450,-350,9405,-1077,9400,-1158,9395,-1238,9390,-1319,9385,-1400,9380,-1481,9375,-1562,9371,-1642,9366,-1723,9361,-1804,9340,-2167,9321,-2530xm7081,1203l7083,1218,7097,1218,7081,1203xm9321,-2540l7748,-2219,7745,-2212,7713,-2137,7680,-2062,7648,-1987,7616,-1912,7584,-1837,7552,-1762,7520,-1687,7489,-1611,7458,-1536,7427,-1460,7365,-1309,7335,-1233,7304,-1158,7274,-1082,7244,-1006,7214,-930,7184,-854,7155,-777,7126,-701,7096,-625,7067,-548,7041,-478,7015,-408,6989,-337,6964,-267,6938,-196,6914,-126,6889,-55,6865,16,6841,87,6817,159,6793,230,6770,302,6754,355,6737,409,6721,463,6705,517,6689,571,6674,626,6659,680,6637,762,6630,790,6624,817,6617,845,6611,872,6605,900,6599,928,6593,955,6582,1011,6573,1067,6566,1124,6559,1185,6557,1202,7083,1218,7081,1203,7114,1203,7111,1185,7101,1184,6598,1184,6579,1163,6600,1163,6604,1129,6612,1074,6622,1019,6633,964,6638,937,6644,909,6650,882,6657,855,6663,827,6670,800,6677,773,6698,692,6713,638,6728,584,6744,530,6760,476,6776,422,6793,369,6810,315,6835,238,6861,160,6887,83,6913,5,6940,-72,6967,-149,6994,-226,7022,-302,7050,-379,7078,-456,7106,-533,7135,-609,7163,-685,7192,-762,7222,-838,7251,-914,7280,-990,7310,-1066,7340,-1142,7370,-1218,7400,-1294,7430,-1370,7491,-1521,7553,-1672,7583,-1748,7614,-1823,7645,-1899,7677,-1974,7708,-2049,7740,-2125,7768,-2191,7761,-2191,7772,-2200,7801,-2200,9307,-2521,9307,-2530,9321,-2530,9321,-2540xm6579,1163l6598,1184,6600,1163,6579,1163xm6600,1163l6598,1184,7101,1184,6600,1163xm6600,1163l6579,1163,6600,1163,6600,1163xm7772,-2200l7761,-2191,7769,-2193,7772,-2200xm7769,-2193l7761,-2191,7768,-2191,7769,-2193xm7801,-2200l7772,-2200,7769,-2193,7801,-2200xm9307,-2530l9307,-2521,9315,-2523,9307,-2530xe" filled="true" fillcolor="#bcbec0" stroked="false">
              <v:path arrowok="t"/>
              <v:fill type="solid"/>
            </v:shape>
            <v:shape style="position:absolute;left:7574;top:2802;width:2064;height:4529" type="#_x0000_t75" stroked="false">
              <v:imagedata r:id="rId13" o:title=""/>
            </v:shape>
            <w10:wrap type="none"/>
          </v:group>
        </w:pict>
      </w:r>
      <w:r>
        <w:rPr>
          <w:color w:val="231F20"/>
        </w:rPr>
        <w:t>Lo Stato e lo spazio</w:t>
      </w:r>
    </w:p>
    <w:p>
      <w:pPr>
        <w:spacing w:line="626" w:lineRule="exact" w:before="0"/>
        <w:ind w:left="2834" w:right="4919" w:firstLine="0"/>
        <w:jc w:val="left"/>
        <w:rPr>
          <w:rFonts w:ascii="Times New Roman"/>
          <w:b/>
          <w:sz w:val="60"/>
        </w:rPr>
      </w:pPr>
      <w:r>
        <w:rPr>
          <w:rFonts w:ascii="Times New Roman"/>
          <w:b/>
          <w:color w:val="231F20"/>
          <w:sz w:val="60"/>
        </w:rPr>
        <w:t>globale</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Heading4"/>
        <w:spacing w:line="264" w:lineRule="exact" w:before="55"/>
        <w:ind w:left="2834" w:right="4919"/>
      </w:pPr>
      <w:r>
        <w:rPr/>
        <w:pict>
          <v:group style="position:absolute;margin-left:.0001pt;margin-top:-57.20549pt;width:183.55pt;height:368.5pt;mso-position-horizontal-relative:page;mso-position-vertical-relative:paragraph;z-index:-166912" coordorigin="0,-1144" coordsize="3671,7370">
            <v:shape style="position:absolute;left:13;top:-1144;width:1838;height:1655" type="#_x0000_t75" stroked="false">
              <v:imagedata r:id="rId6" o:title=""/>
            </v:shape>
            <v:shape style="position:absolute;left:21;top:-124;width:1729;height:3773" coordorigin="21,-124" coordsize="1729,3773" path="m110,-124l98,-99,71,-28,42,77,21,207,315,1368,593,2113,1017,2766,1750,3648,1744,3529,1728,3241,1709,2891,1692,2584,1179,2298,844,1920,537,1197,110,-124xe" filled="true" fillcolor="#7e8083" stroked="false">
              <v:path arrowok="t"/>
              <v:fill type="solid"/>
            </v:shape>
            <v:shape style="position:absolute;left:0;top:-1144;width:3670;height:7369" type="#_x0000_t75" stroked="false">
              <v:imagedata r:id="rId7" o:title=""/>
            </v:shape>
            <w10:wrap type="none"/>
          </v:group>
        </w:pict>
      </w:r>
      <w:r>
        <w:rPr>
          <w:color w:val="231F20"/>
        </w:rPr>
        <w:t>Jorge Olvera García Maurizio Ricciardi</w:t>
      </w:r>
    </w:p>
    <w:p>
      <w:pPr>
        <w:spacing w:before="110"/>
        <w:ind w:left="2834" w:right="5292" w:firstLine="0"/>
        <w:jc w:val="left"/>
        <w:rPr>
          <w:rFonts w:ascii="Calibri"/>
          <w:sz w:val="20"/>
        </w:rPr>
      </w:pPr>
      <w:r>
        <w:rPr>
          <w:rFonts w:ascii="Calibri"/>
          <w:color w:val="231F20"/>
          <w:w w:val="105"/>
          <w:sz w:val="20"/>
        </w:rPr>
        <w:t>Curatori</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23"/>
        </w:rPr>
      </w:pPr>
      <w:r>
        <w:rPr/>
        <w:pict>
          <v:group style="position:absolute;margin-left:234.391403pt;margin-top:16.304228pt;width:24.4pt;height:21.6pt;mso-position-horizontal-relative:page;mso-position-vertical-relative:paragraph;z-index:8416;mso-wrap-distance-left:0;mso-wrap-distance-right:0" coordorigin="4688,326" coordsize="488,432">
            <v:shape style="position:absolute;left:4721;top:335;width:422;height:67" type="#_x0000_t75" stroked="false">
              <v:imagedata r:id="rId14" o:title=""/>
            </v:shape>
            <v:shape style="position:absolute;left:4802;top:421;width:255;height:242" type="#_x0000_t75" stroked="false">
              <v:imagedata r:id="rId15" o:title=""/>
            </v:shape>
            <v:shape style="position:absolute;left:4688;top:326;width:488;height:432" type="#_x0000_t75" stroked="false">
              <v:imagedata r:id="rId16" o:title=""/>
            </v:shape>
            <w10:wrap type="topAndBottom"/>
          </v:group>
        </w:pict>
      </w:r>
      <w:r>
        <w:rPr/>
        <w:drawing>
          <wp:anchor distT="0" distB="0" distL="0" distR="0" allowOverlap="1" layoutInCell="1" locked="0" behindDoc="0" simplePos="0" relativeHeight="8440">
            <wp:simplePos x="0" y="0"/>
            <wp:positionH relativeFrom="page">
              <wp:posOffset>4291039</wp:posOffset>
            </wp:positionH>
            <wp:positionV relativeFrom="paragraph">
              <wp:posOffset>211565</wp:posOffset>
            </wp:positionV>
            <wp:extent cx="287284" cy="285750"/>
            <wp:effectExtent l="0" t="0" r="0" b="0"/>
            <wp:wrapTopAndBottom/>
            <wp:docPr id="21" name="image49.png" descr=""/>
            <wp:cNvGraphicFramePr>
              <a:graphicFrameLocks noChangeAspect="1"/>
            </wp:cNvGraphicFramePr>
            <a:graphic>
              <a:graphicData uri="http://schemas.openxmlformats.org/drawingml/2006/picture">
                <pic:pic>
                  <pic:nvPicPr>
                    <pic:cNvPr id="22" name="image49.png"/>
                    <pic:cNvPicPr/>
                  </pic:nvPicPr>
                  <pic:blipFill>
                    <a:blip r:embed="rId62" cstate="print"/>
                    <a:stretch>
                      <a:fillRect/>
                    </a:stretch>
                  </pic:blipFill>
                  <pic:spPr>
                    <a:xfrm>
                      <a:off x="0" y="0"/>
                      <a:ext cx="287284" cy="285750"/>
                    </a:xfrm>
                    <a:prstGeom prst="rect">
                      <a:avLst/>
                    </a:prstGeom>
                  </pic:spPr>
                </pic:pic>
              </a:graphicData>
            </a:graphic>
          </wp:anchor>
        </w:drawing>
      </w:r>
    </w:p>
    <w:p>
      <w:pPr>
        <w:tabs>
          <w:tab w:pos="6537" w:val="left" w:leader="none"/>
        </w:tabs>
        <w:spacing w:line="240" w:lineRule="auto"/>
        <w:ind w:left="4121" w:right="0" w:firstLine="0"/>
        <w:rPr>
          <w:rFonts w:ascii="Calibri"/>
          <w:sz w:val="20"/>
        </w:rPr>
      </w:pPr>
      <w:r>
        <w:rPr>
          <w:rFonts w:ascii="Calibri"/>
          <w:sz w:val="20"/>
        </w:rPr>
        <w:drawing>
          <wp:inline distT="0" distB="0" distL="0" distR="0">
            <wp:extent cx="472441" cy="166687"/>
            <wp:effectExtent l="0" t="0" r="0" b="0"/>
            <wp:docPr id="23" name="image14.png" descr=""/>
            <wp:cNvGraphicFramePr>
              <a:graphicFrameLocks noChangeAspect="1"/>
            </wp:cNvGraphicFramePr>
            <a:graphic>
              <a:graphicData uri="http://schemas.openxmlformats.org/drawingml/2006/picture">
                <pic:pic>
                  <pic:nvPicPr>
                    <pic:cNvPr id="24" name="image14.png"/>
                    <pic:cNvPicPr/>
                  </pic:nvPicPr>
                  <pic:blipFill>
                    <a:blip r:embed="rId18" cstate="print"/>
                    <a:stretch>
                      <a:fillRect/>
                    </a:stretch>
                  </pic:blipFill>
                  <pic:spPr>
                    <a:xfrm>
                      <a:off x="0" y="0"/>
                      <a:ext cx="472441" cy="166687"/>
                    </a:xfrm>
                    <a:prstGeom prst="rect">
                      <a:avLst/>
                    </a:prstGeom>
                  </pic:spPr>
                </pic:pic>
              </a:graphicData>
            </a:graphic>
          </wp:inline>
        </w:drawing>
      </w:r>
      <w:r>
        <w:rPr>
          <w:rFonts w:ascii="Calibri"/>
          <w:sz w:val="20"/>
        </w:rPr>
      </w:r>
      <w:r>
        <w:rPr>
          <w:rFonts w:ascii="Times New Roman"/>
          <w:spacing w:val="40"/>
          <w:sz w:val="15"/>
        </w:rPr>
        <w:t> </w:t>
      </w:r>
      <w:r>
        <w:rPr>
          <w:rFonts w:ascii="Calibri"/>
          <w:spacing w:val="40"/>
          <w:position w:val="6"/>
          <w:sz w:val="20"/>
        </w:rPr>
        <w:drawing>
          <wp:inline distT="0" distB="0" distL="0" distR="0">
            <wp:extent cx="503390" cy="96012"/>
            <wp:effectExtent l="0" t="0" r="0" b="0"/>
            <wp:docPr id="25" name="image15.png" descr=""/>
            <wp:cNvGraphicFramePr>
              <a:graphicFrameLocks noChangeAspect="1"/>
            </wp:cNvGraphicFramePr>
            <a:graphic>
              <a:graphicData uri="http://schemas.openxmlformats.org/drawingml/2006/picture">
                <pic:pic>
                  <pic:nvPicPr>
                    <pic:cNvPr id="26" name="image15.png"/>
                    <pic:cNvPicPr/>
                  </pic:nvPicPr>
                  <pic:blipFill>
                    <a:blip r:embed="rId19" cstate="print"/>
                    <a:stretch>
                      <a:fillRect/>
                    </a:stretch>
                  </pic:blipFill>
                  <pic:spPr>
                    <a:xfrm>
                      <a:off x="0" y="0"/>
                      <a:ext cx="503390" cy="96012"/>
                    </a:xfrm>
                    <a:prstGeom prst="rect">
                      <a:avLst/>
                    </a:prstGeom>
                  </pic:spPr>
                </pic:pic>
              </a:graphicData>
            </a:graphic>
          </wp:inline>
        </w:drawing>
      </w:r>
      <w:r>
        <w:rPr>
          <w:rFonts w:ascii="Calibri"/>
          <w:spacing w:val="40"/>
          <w:position w:val="6"/>
          <w:sz w:val="20"/>
        </w:rPr>
      </w:r>
      <w:r>
        <w:rPr>
          <w:rFonts w:ascii="Calibri"/>
          <w:spacing w:val="40"/>
          <w:position w:val="6"/>
          <w:sz w:val="20"/>
        </w:rPr>
        <w:tab/>
      </w:r>
      <w:r>
        <w:rPr>
          <w:rFonts w:ascii="Calibri"/>
          <w:spacing w:val="40"/>
          <w:position w:val="6"/>
          <w:sz w:val="20"/>
        </w:rPr>
        <w:drawing>
          <wp:inline distT="0" distB="0" distL="0" distR="0">
            <wp:extent cx="565655" cy="77724"/>
            <wp:effectExtent l="0" t="0" r="0" b="0"/>
            <wp:docPr id="27" name="image50.png" descr=""/>
            <wp:cNvGraphicFramePr>
              <a:graphicFrameLocks noChangeAspect="1"/>
            </wp:cNvGraphicFramePr>
            <a:graphic>
              <a:graphicData uri="http://schemas.openxmlformats.org/drawingml/2006/picture">
                <pic:pic>
                  <pic:nvPicPr>
                    <pic:cNvPr id="28" name="image50.png"/>
                    <pic:cNvPicPr/>
                  </pic:nvPicPr>
                  <pic:blipFill>
                    <a:blip r:embed="rId63" cstate="print"/>
                    <a:stretch>
                      <a:fillRect/>
                    </a:stretch>
                  </pic:blipFill>
                  <pic:spPr>
                    <a:xfrm>
                      <a:off x="0" y="0"/>
                      <a:ext cx="565655" cy="77724"/>
                    </a:xfrm>
                    <a:prstGeom prst="rect">
                      <a:avLst/>
                    </a:prstGeom>
                  </pic:spPr>
                </pic:pic>
              </a:graphicData>
            </a:graphic>
          </wp:inline>
        </w:drawing>
      </w:r>
      <w:r>
        <w:rPr>
          <w:rFonts w:ascii="Calibri"/>
          <w:spacing w:val="40"/>
          <w:position w:val="6"/>
          <w:sz w:val="20"/>
        </w:rPr>
      </w:r>
    </w:p>
    <w:p>
      <w:pPr>
        <w:spacing w:after="0" w:line="240" w:lineRule="auto"/>
        <w:rPr>
          <w:rFonts w:ascii="Calibri"/>
          <w:sz w:val="20"/>
        </w:rPr>
        <w:sectPr>
          <w:pgSz w:w="9640" w:h="13890"/>
          <w:pgMar w:top="0" w:bottom="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rPr>
      </w:pPr>
    </w:p>
    <w:p>
      <w:pPr>
        <w:pStyle w:val="BodyText"/>
        <w:ind w:left="960"/>
        <w:rPr>
          <w:rFonts w:ascii="Calibri"/>
          <w:sz w:val="20"/>
        </w:rPr>
      </w:pPr>
      <w:r>
        <w:rPr>
          <w:rFonts w:ascii="Calibri"/>
          <w:sz w:val="20"/>
        </w:rPr>
        <w:pict>
          <v:group style="width:117.75pt;height:63.6pt;mso-position-horizontal-relative:char;mso-position-vertical-relative:line" coordorigin="0,0" coordsize="2355,1272">
            <v:shape style="position:absolute;left:1;top:107;width:381;height:1116" type="#_x0000_t75" stroked="false">
              <v:imagedata r:id="rId21" o:title=""/>
            </v:shape>
            <v:shape style="position:absolute;left:1389;top:176;width:105;height:212" type="#_x0000_t75" stroked="false">
              <v:imagedata r:id="rId22" o:title=""/>
            </v:shape>
            <v:shape style="position:absolute;left:964;top:226;width:362;height:312" type="#_x0000_t75" stroked="false">
              <v:imagedata r:id="rId23" o:title=""/>
            </v:shape>
            <v:shape style="position:absolute;left:0;top:101;width:1424;height:1162" type="#_x0000_t75" stroked="false">
              <v:imagedata r:id="rId24" o:title=""/>
            </v:shape>
            <v:shape style="position:absolute;left:583;top:760;width:347;height:367" type="#_x0000_t75" stroked="false">
              <v:imagedata r:id="rId25" o:title=""/>
            </v:shape>
            <v:shape style="position:absolute;left:605;top:103;width:426;height:1166" type="#_x0000_t75" stroked="false">
              <v:imagedata r:id="rId26" o:title=""/>
            </v:shape>
            <v:shape style="position:absolute;left:583;top:875;width:337;height:396" type="#_x0000_t75" stroked="false">
              <v:imagedata r:id="rId27" o:title=""/>
            </v:shape>
            <v:shape style="position:absolute;left:433;top:101;width:608;height:1103" coordorigin="433,101" coordsize="608,1103" path="m978,103l975,103,977,105,975,105,979,172,985,283,988,344,999,551,1007,693,1021,929,1030,1067,1039,1204,1040,1204,1034,1066,1027,929,1014,688,1005,550,992,344,990,310,988,275,982,172,978,103xm543,810l536,810,539,813,537,813,571,1045,578,1092,592,1187,593,1186,580,1092,574,1045,543,813,539,813,537,813,543,813,543,810xm536,810l537,813,539,813,536,810xm978,101l668,162,650,202,632,242,615,281,598,320,582,359,565,399,549,439,534,478,526,498,518,518,511,538,503,558,496,579,489,599,482,619,475,639,469,660,465,670,462,680,459,690,456,701,453,711,448,728,447,735,445,742,443,749,442,756,438,774,436,784,435,795,433,806,433,810,537,813,536,810,543,810,542,806,540,806,441,806,437,802,442,802,442,796,444,785,446,775,449,758,451,751,453,744,454,737,456,730,458,723,461,713,464,703,470,682,473,672,476,662,483,642,497,601,511,561,526,521,541,481,557,442,573,402,589,362,605,323,622,283,638,244,655,205,672,167,670,167,672,166,678,166,975,105,975,103,978,103,978,101xm437,802l441,806,442,802,437,802xm442,802l441,806,540,806,442,802xm442,802l437,802,442,802,442,802xm672,166l670,167,672,167,672,166xm672,167l670,167,672,167,672,167xm678,166l672,166,672,167,678,166xm975,103l975,105,977,105,975,103xe" filled="true" fillcolor="#231f20" stroked="false">
              <v:path arrowok="t"/>
              <v:fill type="solid"/>
            </v:shape>
            <v:shape style="position:absolute;left:1942;top:49;width:387;height:487" coordorigin="1942,49" coordsize="387,487" path="m1978,49l1942,156,2005,356,2203,382,2328,536,2189,296,2049,296,1978,49xe" filled="true" fillcolor="#7f8083" stroked="false">
              <v:path arrowok="t"/>
              <v:fill type="solid"/>
            </v:shape>
            <v:shape style="position:absolute;left:1942;top:41;width:388;height:496" coordorigin="1942,41" coordsize="388,496" path="m2194,298l2186,298,2189,300,2187,300,2203,328,2222,359,2310,507,2318,522,2329,535,2327,537,2327,537,2329,535,2312,505,2226,353,2209,324,2194,298xm2207,383l2201,383,2202,384,2201,384,2248,441,2304,508,2327,537,2327,537,2318,522,2306,506,2251,438,2208,384,2202,384,2201,384,2208,384,2207,383xm2318,522l2327,537,2329,535,2318,522xm2201,383l2201,384,2202,384,2201,383xm1978,41l1959,102,1942,156,1956,207,1964,232,1987,307,2003,359,2079,369,2201,384,2201,383,2207,383,2204,379,2080,362,2023,355,2008,355,2006,353,2008,353,1992,305,1968,231,1959,206,1942,156,1962,103,1978,57,1976,50,1981,50,1978,41xm2006,353l2008,355,2008,353,2006,353xm2008,353l2008,355,2023,355,2008,353xm2008,353l2006,353,2008,353,2008,353xm1981,50l1976,50,1981,50,1978,57,1984,81,1993,112,2019,205,2027,235,2036,266,2046,300,2187,300,2186,298,2194,298,2193,295,2053,295,2049,292,2052,292,2035,233,2026,202,2013,156,1999,110,1990,79,1981,50xm2186,298l2187,300,2189,300,2186,298xm2049,292l2053,295,2052,292,2049,292xm2052,292l2053,295,2193,295,2191,292,2052,292xm2052,292l2049,292,2052,292,2052,292xm1976,50l1978,57,1981,50,1976,50xe" filled="true" fillcolor="#ffffff" stroked="false">
              <v:path arrowok="t"/>
              <v:fill type="solid"/>
            </v:shape>
            <v:shape style="position:absolute;left:1980;top:43;width:349;height:493" coordorigin="1980,43" coordsize="349,493" path="m1980,43l2049,296,2189,296,2328,536,2189,253,2102,227,2093,165,1980,43xe" filled="true" fillcolor="#dddfe0" stroked="false">
              <v:path arrowok="t"/>
              <v:fill type="solid"/>
            </v:shape>
            <v:shape style="position:absolute;left:1979;top:42;width:352;height:496" coordorigin="1979,42" coordsize="352,496" path="m2186,256l2220,326,2273,431,2294,474,2330,535,2326,537,2326,537,2330,535,2314,499,2296,464,2228,322,2195,257,2188,257,2186,256xm2294,474l2308,502,2326,537,2330,535,2294,474xm2192,297l2187,297,2189,298,2188,298,2214,342,2249,402,2292,477,2326,537,2308,502,2294,474,2251,400,2216,340,2192,297xm1979,42l1995,107,2016,186,2046,300,2188,298,2187,297,2192,297,2191,295,2052,295,2049,293,2052,293,2022,185,1999,106,1981,45,1982,45,1979,42xm2187,297l2188,298,2189,298,2187,297xm2049,293l2052,295,2052,293,2049,293xm2052,293l2052,295,2191,295,2190,294,2052,293xm2052,293l2049,293,2052,293,2052,293xm2185,255l2186,256,2188,257,2185,255xm2194,255l2185,255,2188,257,2195,257,2194,255xm2096,166l2089,166,2090,168,2090,168,2098,230,2186,256,2185,255,2194,255,2192,249,2113,226,2105,226,2103,223,2105,223,2096,168,2090,168,2090,167,2096,167,2096,166xm2103,223l2105,226,2105,224,2103,223xm2105,224l2105,226,2113,226,2105,224xm2105,223l2103,223,2105,224,2105,223xm2089,166l2090,167,2090,168,2089,166xm1982,45l1981,45,2021,91,2090,167,2089,166,2096,166,2096,164,2024,88,1982,45xe" filled="true" fillcolor="#ffffff" stroked="false">
              <v:path arrowok="t"/>
              <v:fill type="solid"/>
            </v:shape>
            <v:shape style="position:absolute;left:1980;top:35;width:345;height:493" coordorigin="1980,35" coordsize="345,493" path="m2049,35l1980,43,2093,165,2102,227,2189,253,2324,528,2324,418,2216,190,2135,190,2135,84,2049,35xe" filled="true" fillcolor="#caccce" stroked="false">
              <v:path arrowok="t"/>
              <v:fill type="solid"/>
            </v:shape>
            <v:shape style="position:absolute;left:1980;top:34;width:347;height:502" coordorigin="1980,34" coordsize="347,502" path="m2326,418l2323,418,2323,418,2323,418,2323,521,2326,527,2323,528,2322,528,2326,536,2326,418xm2193,254l2187,254,2188,255,2187,255,2220,323,2254,392,2322,528,2323,528,2323,521,2259,389,2225,320,2193,255,2188,255,2187,255,2193,255,2193,254xm2323,521l2323,528,2326,527,2323,521xm2323,418l2323,418,2323,418,2323,418xm2219,190l2214,190,2216,192,2215,192,2269,304,2297,361,2323,418,2323,418,2326,418,2325,418,2298,361,2271,303,2219,190xm2187,254l2187,255,2188,255,2187,254xm2095,166l2091,166,2091,167,2091,167,2099,229,2187,255,2187,254,2193,254,2191,251,2109,227,2104,227,2102,225,2104,225,2095,167,2091,167,2091,166,2095,166,2095,166xm2102,225l2104,227,2104,225,2102,225xm2104,225l2104,227,2109,227,2104,225xm2104,225l2102,225,2104,225,2104,225xm2133,85l2133,192,2215,192,2214,190,2219,190,2218,190,2137,190,2135,187,2137,187,2137,86,2134,86,2133,85xm2214,190l2215,192,2216,192,2214,190xm2135,187l2137,190,2137,187,2135,187xm2137,187l2137,190,2218,190,2217,187,2137,187xm2137,187l2135,187,2137,187,2137,187xm2091,166l2091,166,2091,167,2091,166xm2049,34l1980,43,2035,105,2091,166,2091,166,2095,166,2094,165,2037,104,1981,44,2049,37,2048,36,2053,36,2049,34xm2133,84l2133,85,2134,86,2133,84xm2137,84l2133,84,2134,86,2137,86,2137,84xm2053,36l2048,36,2049,37,2049,37,2133,85,2133,84,2137,84,2137,83,2053,36xm2048,36l2049,37,2049,37,2048,36xe" filled="true" fillcolor="#ffffff" stroked="false">
              <v:path arrowok="t"/>
              <v:fill type="solid"/>
            </v:shape>
            <v:shape style="position:absolute;left:2049;top:25;width:276;height:393" type="#_x0000_t75" stroked="false">
              <v:imagedata r:id="rId28" o:title=""/>
            </v:shape>
            <v:shape style="position:absolute;left:2048;top:23;width:280;height:406" coordorigin="2048,23" coordsize="280,406" path="m2323,311l2316,311,2316,312,2316,312,2318,338,2322,408,2326,417,2322,418,2322,418,2327,428,2325,364,2323,332,2323,312,2316,312,2316,312,2323,312,2323,311xm2220,191l2213,191,2216,193,2214,193,2255,276,2283,333,2303,376,2309,390,2316,404,2322,418,2322,418,2322,408,2312,389,2305,375,2285,332,2272,303,2258,275,2220,191xm2322,408l2322,418,2326,417,2322,408xm2316,311l2316,312,2316,312,2316,311xm2213,138l2251,203,2316,312,2316,311,2323,311,2323,310,2258,199,2223,138,2214,138,2213,138xm2138,84l2133,84,2134,86,2133,86,2132,110,2132,132,2132,193,2176,193,2214,193,2213,191,2220,191,2220,190,2139,190,2135,186,2139,186,2138,132,2138,110,2138,86,2134,86,2133,86,2138,86,2138,84xm2213,191l2214,193,2216,193,2213,191xm2139,186l2135,186,2139,190,2139,186xm2176,186l2139,186,2139,190,2220,190,2218,186,2176,186xm2213,137l2213,138,2214,138,2213,137xm2222,137l2213,137,2214,138,2223,138,2222,137xm2206,54l2199,54,2201,58,2198,58,2182,120,2213,138,2213,137,2222,137,2219,132,2197,119,2190,119,2189,115,2192,115,2205,58,2201,58,2199,57,2206,57,2206,54xm2189,115l2190,119,2191,116,2189,115xm2191,116l2190,119,2197,119,2191,116xm2192,115l2189,115,2191,116,2192,115xm2133,84l2133,86,2134,86,2133,84xm2135,23l2048,35,2091,61,2133,86,2133,84,2138,84,2138,83,2093,58,2050,36,2135,27,2134,27,2146,27,2135,23xm2199,54l2199,57,2201,58,2199,54xm2146,27l2134,27,2135,27,2135,27,2199,57,2199,54,2206,54,2207,53,2146,27xm2134,27l2135,27,2135,27,2134,27xe" filled="true" fillcolor="#ffffff" stroked="false">
              <v:path arrowok="t"/>
              <v:fill type="solid"/>
            </v:shape>
            <v:shape style="position:absolute;left:2134;top:12;width:189;height:304" type="#_x0000_t75" stroked="false">
              <v:imagedata r:id="rId29" o:title=""/>
            </v:shape>
            <v:shape style="position:absolute;left:1942;top:683;width:402;height:399" type="#_x0000_t75" stroked="false">
              <v:imagedata r:id="rId30" o:title=""/>
            </v:shape>
            <v:shape style="position:absolute;left:1944;top:936;width:408;height:200" coordorigin="1944,936" coordsize="408,200" path="m2349,1083l2232,1083,2293,1097,2352,1136,2349,1083xm2220,936l2137,945,2058,990,1944,1083,1944,1088,1944,1101,1945,1117,1946,1128,1947,1132,2129,1095,2232,1083,2349,1083,2346,1026,2342,950,2220,936xe" filled="true" fillcolor="#646668" stroked="false">
              <v:path arrowok="t"/>
              <v:fill type="solid"/>
            </v:shape>
            <v:shape style="position:absolute;left:1942;top:944;width:412;height:195" coordorigin="1942,944" coordsize="412,195" path="m2281,1107l2215,1107,2228,1108,2241,1108,2254,1109,2267,1110,2279,1112,2292,1114,2304,1117,2317,1120,2329,1124,2340,1130,2351,1137,2353,1138,2353,1136,2350,1136,2350,1133,2342,1127,2330,1122,2318,1117,2305,1113,2293,1110,2281,1107xm2350,1133l2350,1136,2353,1135,2350,1133xm2340,952l2346,1054,2349,1112,2350,1133,2353,1135,2350,1136,2353,1136,2352,1112,2349,1054,2346,953,2342,953,2340,952xm2297,944l2288,944,2270,945,2252,947,2243,948,2225,950,2216,951,2207,953,2199,955,2190,956,2172,961,2163,963,2155,965,2137,971,2129,974,2120,976,2112,980,2103,983,2095,987,2086,990,2078,994,2070,997,2046,1010,2030,1019,2022,1023,2015,1028,2007,1033,1996,1040,1985,1048,1977,1054,1970,1059,1963,1065,1956,1070,1949,1076,1942,1083,1943,1092,1943,1100,1944,1108,1945,1117,1947,1133,1952,1132,1947,1132,1946,1118,1946,1115,1946,1106,1946,1100,1945,1091,1945,1085,1945,1085,1945,1083,1946,1083,1952,1079,1959,1074,1966,1068,1973,1063,1980,1058,1988,1053,1999,1045,2010,1038,2018,1033,2026,1029,2034,1025,2049,1016,2073,1004,2082,1001,2090,997,2098,994,2106,991,2115,987,2123,984,2131,981,2140,978,2148,976,2157,973,2166,971,2174,969,2200,963,2209,961,2218,959,2227,958,2244,955,2253,954,2262,953,2271,953,2289,952,2298,951,2307,951,2339,951,2339,950,2345,950,2345,947,2334,946,2325,945,2307,944,2297,944xm2203,1100l2177,1101,2164,1101,2151,1102,2125,1104,2099,1106,2074,1109,2048,1113,2023,1117,1997,1121,1972,1126,1947,1132,1952,1132,1972,1128,1998,1125,2024,1121,2049,1118,2074,1115,2100,1112,2126,1110,2151,1109,2177,1108,2190,1107,2281,1107,2280,1107,2267,1105,2254,1104,2241,1102,2229,1101,2216,1101,2203,1100xm1945,1083l1945,1085,1945,1084,1945,1083xm1945,1084l1945,1085,1945,1085,1945,1084xm1946,1083l1945,1083,1945,1084,1946,1083xm2339,950l2340,952,2342,953,2339,950xm2345,950l2339,950,2342,953,2346,953,2345,950xm2339,951l2307,951,2324,951,2333,952,2340,952,2339,951xe" filled="true" fillcolor="#ffffff" stroked="false">
              <v:path arrowok="t"/>
              <v:fill type="solid"/>
            </v:shape>
            <v:shape style="position:absolute;left:1939;top:783;width:401;height:304" coordorigin="1939,783" coordsize="401,304" path="m2262,783l2246,784,2231,787,2215,790,2200,795,2186,800,2171,807,2157,814,2144,821,2130,830,2117,838,2105,848,2092,857,2081,868,2069,878,2057,889,2046,899,2035,911,2025,922,2014,934,2004,946,1994,958,1985,970,1975,982,1966,995,1957,1007,1948,1020,1939,1034,1940,1043,1941,1051,1941,1058,1942,1066,1942,1075,1942,1087,1947,1081,1947,1081,1943,1080,1947,1075,1947,1066,1946,1057,1946,1050,1946,1043,1945,1037,1945,1037,1945,1035,1946,1035,1953,1024,1962,1011,1971,999,1981,987,1990,974,2000,962,2010,951,2020,939,2031,928,2041,916,2052,905,2063,895,2074,884,2086,874,2098,864,2110,854,2122,845,2135,836,2148,828,2161,820,2174,813,2188,806,2202,801,2217,796,2232,792,2247,789,2262,787,2277,787,2305,787,2298,785,2288,784,2278,783,2262,783xm1947,1075l1943,1080,1947,1081,1947,1075xm2336,869l2288,871,2203,875,2188,876,2173,877,2138,880,2128,882,2123,883,2119,884,2118,885,2117,885,2116,885,2115,887,2110,893,2106,897,2103,901,2064,946,2024,991,1983,1035,1953,1068,1947,1075,1947,1081,1947,1081,1952,1075,1959,1067,1985,1037,2015,1004,2025,992,2066,948,2107,904,2119,891,2119,891,2120,890,2120,890,2124,889,2126,889,2138,887,2148,886,2218,881,2340,873,2340,871,2336,871,2336,869xm1945,1035l1945,1037,1945,1036,1945,1035xm1945,1036l1945,1037,1945,1037,1945,1036xm1946,1035l1945,1035,1945,1036,1946,1035xm2120,891l2119,891,2119,891,2120,891xm2120,890l2120,890,2120,891,2120,890,2120,890xm2338,869l2336,869,2336,871,2338,869xm2340,869l2338,869,2336,871,2340,871,2340,869xm2305,787l2277,787,2288,787,2298,788,2308,790,2318,792,2328,795,2337,798,2336,847,2336,857,2336,869,2338,869,2340,869,2340,857,2338,798,2328,794,2319,790,2305,787xe" filled="true" fillcolor="#ffffff" stroked="false">
              <v:path arrowok="t"/>
              <v:fill type="solid"/>
            </v:shape>
            <v:shape style="position:absolute;left:1794;top:0;width:561;height:1211" coordorigin="1794,0" coordsize="561,1211" path="m1948,681l1928,681,1932,681,1938,683,1941,684,1941,685,1942,685,1942,689,1942,704,1939,810,1939,832,1938,853,1938,874,1938,916,1938,959,1938,1001,1939,1044,1940,1065,1942,1086,1942,1097,1943,1107,1944,1118,1945,1129,1947,1139,1948,1150,1950,1160,1952,1171,1953,1178,1955,1184,1957,1191,1959,1198,1962,1205,1966,1210,1967,1210,1963,1204,1960,1198,1958,1191,1956,1184,1955,1177,1953,1170,1952,1160,1950,1149,1949,1139,1948,1128,1947,1118,1946,1107,1945,1097,1945,1086,1944,1075,1944,1065,1943,1044,1942,1001,1942,959,1943,916,1944,874,1944,853,1945,831,1946,810,1949,704,1949,685,1949,684,1949,682,1948,681xm2320,1l2318,1,2319,3,2318,3,2317,39,2316,41,2316,124,2317,150,2318,225,2319,299,2322,448,2327,597,2333,746,2339,895,2346,1044,2354,1193,2355,1193,2344,895,2331,522,2328,441,2323,299,2321,225,2320,188,2320,169,2319,113,2319,83,2319,39,2320,1xm2320,0l1975,41,1962,83,1949,122,1937,162,1924,202,1912,242,1900,282,1888,321,1876,361,1852,441,1846,461,1841,481,1835,501,1830,522,1824,542,1819,562,1814,582,1808,602,1806,612,1804,623,1801,633,1799,643,1798,650,1797,657,1795,664,1795,667,1794,674,1794,676,1794,682,1794,689,1798,689,1819,689,1841,688,1862,686,1874,685,1802,685,1798,681,1802,681,1802,676,1802,672,1804,664,1805,658,1807,645,1809,635,1812,624,1814,614,1817,604,1822,584,1827,564,1832,544,1838,524,1849,484,1860,444,1872,404,1883,364,1895,324,1907,284,1931,204,1943,164,1959,113,1967,84,1979,46,1977,46,1980,45,1992,45,2318,3,2318,1,2320,1,2320,0xm1802,681l1798,681,1802,685,1802,681xm1914,674l1903,674,1893,675,1861,678,1840,679,1819,681,1802,681,1802,685,1874,685,1904,682,1914,681,1928,681,1948,681,1946,679,1944,677,1942,676,1940,676,1938,675,1936,675,1932,674,1929,674,1914,674xm1980,45l1977,46,1979,46,1980,45xm1979,46l1977,46,1979,46,1979,46xm1992,45l1980,45,1979,46,1992,45xm2318,1l2318,3,2319,3,2318,1xe" filled="true" fillcolor="#231f20" stroked="false">
              <v:path arrowok="t"/>
              <v:fill type="solid"/>
            </v:shape>
            <v:shape style="position:absolute;left:1365;top:178;width:450;height:1015" coordorigin="1365,178" coordsize="450,1015" path="m1420,178l1382,320,1365,474,1366,733,1382,1193,1716,1193,1710,1151,1695,1058,1681,959,1674,900,1676,881,1692,867,1734,853,1815,830,1748,266,1506,202,1420,178xe" filled="true" fillcolor="#ffffff" stroked="false">
              <v:path arrowok="t"/>
              <v:fill type="solid"/>
            </v:shape>
            <v:shape style="position:absolute;left:1373;top:176;width:447;height:1017" coordorigin="1373,176" coordsize="447,1017" path="m1811,827l1800,830,1787,834,1773,839,1759,844,1746,849,1733,854,1719,860,1706,866,1698,871,1690,876,1682,882,1678,886,1675,889,1672,895,1671,897,1671,901,1671,903,1673,915,1673,919,1675,938,1677,948,1678,957,1680,970,1688,1023,1697,1080,1716,1193,1717,1193,1698,1065,1692,1023,1684,966,1683,957,1682,947,1681,938,1678,919,1678,914,1677,903,1677,899,1677,898,1678,897,1679,893,1682,890,1686,887,1693,881,1701,876,1709,872,1722,866,1735,860,1748,855,1762,850,1775,846,1789,841,1802,837,1819,832,1819,830,1811,830,1811,827xm1419,176l1419,179,1415,193,1411,209,1408,224,1403,256,1400,271,1399,282,1397,292,1396,303,1395,313,1394,324,1393,334,1391,345,1390,356,1389,366,1388,382,1387,398,1385,414,1384,430,1382,461,1380,493,1378,525,1377,557,1376,588,1375,604,1375,620,1373,684,1373,715,1373,854,1373,886,1373,906,1373,938,1374,970,1375,1002,1375,1034,1376,1065,1377,1097,1379,1129,1380,1161,1381,1193,1382,1193,1381,1161,1381,1129,1381,1097,1380,1065,1380,1034,1380,1002,1379,970,1379,811,1380,747,1380,684,1381,620,1383,556,1384,525,1385,509,1386,477,1387,461,1388,429,1389,413,1390,398,1391,382,1393,355,1395,345,1396,324,1398,313,1399,303,1400,292,1401,282,1403,268,1405,255,1408,240,1411,224,1414,208,1418,193,1421,179,1420,179,1422,178,1427,178,1419,176xm1814,826l1811,827,1811,830,1814,826xm1818,826l1814,826,1811,830,1819,830,1818,826xm1751,266l1745,266,1747,269,1745,269,1777,548,1811,827,1814,826,1818,826,1786,547,1752,269,1747,269,1745,268,1752,268,1751,266xm1745,266l1745,268,1747,269,1745,266xm1427,178l1422,178,1421,179,1614,233,1745,268,1745,266,1751,266,1751,263,1615,229,1427,178xm1422,178l1420,179,1421,179,1422,178xe" filled="true" fillcolor="#231f20" stroked="false">
              <v:path arrowok="t"/>
              <v:fill type="solid"/>
            </v:shape>
            <v:shape style="position:absolute;left:1386;top:175;width:390;height:314" type="#_x0000_t75" stroked="false">
              <v:imagedata r:id="rId31" o:title=""/>
            </v:shape>
            <v:shape style="position:absolute;left:1374;top:949;width:338;height:229" type="#_x0000_t75" stroked="false">
              <v:imagedata r:id="rId32" o:title=""/>
            </v:shape>
            <v:shape style="position:absolute;left:1373;top:176;width:447;height:1017" coordorigin="1373,176" coordsize="447,1017" path="m1811,827l1800,830,1787,834,1773,839,1759,844,1746,849,1733,854,1719,860,1706,866,1698,871,1690,876,1682,882,1678,886,1675,889,1672,895,1671,897,1671,901,1671,903,1673,915,1673,919,1675,938,1677,948,1678,957,1680,970,1688,1023,1697,1080,1716,1193,1717,1193,1698,1065,1692,1023,1684,966,1683,957,1682,947,1681,938,1678,919,1678,914,1677,903,1677,899,1677,898,1678,897,1679,893,1682,890,1686,887,1693,881,1701,876,1709,872,1722,866,1735,860,1748,855,1762,850,1775,846,1789,841,1802,837,1819,832,1819,830,1811,830,1811,827xm1419,176l1419,179,1415,193,1411,209,1408,224,1403,256,1400,271,1399,282,1397,292,1396,303,1395,313,1394,324,1393,334,1391,345,1390,356,1389,366,1388,382,1387,398,1385,414,1384,430,1382,461,1380,493,1378,525,1377,557,1376,588,1375,604,1375,620,1373,684,1373,715,1373,854,1373,886,1373,906,1373,938,1374,970,1375,1002,1375,1034,1376,1065,1377,1097,1379,1129,1380,1161,1381,1193,1382,1193,1381,1161,1381,1129,1381,1097,1380,1065,1380,1034,1380,1002,1379,970,1379,811,1380,747,1380,684,1381,620,1383,556,1384,525,1385,509,1386,477,1387,461,1388,429,1389,413,1390,398,1391,382,1393,355,1395,345,1396,324,1398,313,1399,303,1400,292,1401,282,1403,268,1405,255,1408,240,1411,224,1414,208,1418,193,1421,179,1420,179,1422,178,1427,178,1419,176xm1814,826l1811,827,1811,830,1814,826xm1818,826l1814,826,1811,830,1819,830,1818,826xm1751,266l1745,266,1747,269,1745,269,1777,548,1811,827,1814,826,1818,826,1786,547,1752,269,1747,269,1745,268,1752,268,1751,266xm1745,266l1745,268,1747,269,1745,266xm1427,178l1422,178,1421,179,1614,233,1745,268,1745,266,1751,266,1751,263,1615,229,1427,178xm1422,178l1420,179,1421,179,1422,178xe" filled="true" fillcolor="#231f20" stroked="false">
              <v:path arrowok="t"/>
              <v:fill type="solid"/>
            </v:shape>
          </v:group>
        </w:pict>
      </w:r>
      <w:r>
        <w:rPr>
          <w:rFonts w:ascii="Calibri"/>
          <w:sz w:val="20"/>
        </w:rPr>
      </w:r>
    </w:p>
    <w:p>
      <w:pPr>
        <w:pStyle w:val="BodyText"/>
        <w:spacing w:before="11"/>
        <w:rPr>
          <w:rFonts w:ascii="Calibri"/>
          <w:sz w:val="12"/>
        </w:rPr>
      </w:pPr>
    </w:p>
    <w:p>
      <w:pPr>
        <w:spacing w:before="50"/>
        <w:ind w:left="103" w:right="0" w:firstLine="0"/>
        <w:jc w:val="both"/>
        <w:rPr>
          <w:rFonts w:ascii="Palatino Linotype"/>
          <w:i/>
          <w:sz w:val="18"/>
        </w:rPr>
      </w:pPr>
      <w:r>
        <w:rPr>
          <w:rFonts w:ascii="Palatino Linotype"/>
          <w:i/>
          <w:color w:val="231F20"/>
          <w:w w:val="105"/>
          <w:sz w:val="18"/>
        </w:rPr>
        <w:t>El Estado y el espacio global. Lo Stato e lo spazio globale</w:t>
      </w:r>
    </w:p>
    <w:p>
      <w:pPr>
        <w:pStyle w:val="BodyText"/>
        <w:spacing w:before="7"/>
        <w:rPr>
          <w:rFonts w:ascii="Palatino Linotype"/>
          <w:i/>
          <w:sz w:val="13"/>
        </w:rPr>
      </w:pPr>
    </w:p>
    <w:p>
      <w:pPr>
        <w:spacing w:before="0"/>
        <w:ind w:left="103" w:right="0" w:firstLine="0"/>
        <w:jc w:val="both"/>
        <w:rPr>
          <w:rFonts w:ascii="Microsoft Sans Serif" w:hAnsi="Microsoft Sans Serif"/>
          <w:sz w:val="16"/>
        </w:rPr>
      </w:pPr>
      <w:r>
        <w:rPr>
          <w:rFonts w:ascii="Microsoft Sans Serif" w:hAnsi="Microsoft Sans Serif"/>
          <w:color w:val="231F20"/>
          <w:sz w:val="16"/>
        </w:rPr>
        <w:t>Traducción: María del Socorro Castañeda Díaz</w:t>
      </w:r>
    </w:p>
    <w:p>
      <w:pPr>
        <w:pStyle w:val="BodyText"/>
        <w:spacing w:before="10"/>
        <w:rPr>
          <w:rFonts w:ascii="Microsoft Sans Serif"/>
          <w:sz w:val="17"/>
        </w:rPr>
      </w:pPr>
    </w:p>
    <w:p>
      <w:pPr>
        <w:spacing w:line="508" w:lineRule="auto" w:before="0"/>
        <w:ind w:left="103" w:right="2834" w:firstLine="0"/>
        <w:jc w:val="both"/>
        <w:rPr>
          <w:rFonts w:ascii="Microsoft Sans Serif" w:hAnsi="Microsoft Sans Serif"/>
          <w:sz w:val="16"/>
        </w:rPr>
      </w:pPr>
      <w:r>
        <w:rPr>
          <w:rFonts w:ascii="Microsoft Sans Serif" w:hAnsi="Microsoft Sans Serif"/>
          <w:color w:val="231F20"/>
          <w:sz w:val="16"/>
        </w:rPr>
        <w:t>Libro</w:t>
      </w:r>
      <w:r>
        <w:rPr>
          <w:rFonts w:ascii="Microsoft Sans Serif" w:hAnsi="Microsoft Sans Serif"/>
          <w:color w:val="231F20"/>
          <w:spacing w:val="-28"/>
          <w:sz w:val="16"/>
        </w:rPr>
        <w:t> </w:t>
      </w:r>
      <w:r>
        <w:rPr>
          <w:rFonts w:ascii="Microsoft Sans Serif" w:hAnsi="Microsoft Sans Serif"/>
          <w:color w:val="231F20"/>
          <w:sz w:val="16"/>
        </w:rPr>
        <w:t>de</w:t>
      </w:r>
      <w:r>
        <w:rPr>
          <w:rFonts w:ascii="Microsoft Sans Serif" w:hAnsi="Microsoft Sans Serif"/>
          <w:color w:val="231F20"/>
          <w:spacing w:val="-28"/>
          <w:sz w:val="16"/>
        </w:rPr>
        <w:t> </w:t>
      </w:r>
      <w:r>
        <w:rPr>
          <w:rFonts w:ascii="Microsoft Sans Serif" w:hAnsi="Microsoft Sans Serif"/>
          <w:color w:val="231F20"/>
          <w:sz w:val="16"/>
        </w:rPr>
        <w:t>investigación</w:t>
      </w:r>
      <w:r>
        <w:rPr>
          <w:rFonts w:ascii="Microsoft Sans Serif" w:hAnsi="Microsoft Sans Serif"/>
          <w:color w:val="231F20"/>
          <w:spacing w:val="-28"/>
          <w:sz w:val="16"/>
        </w:rPr>
        <w:t> </w:t>
      </w:r>
      <w:r>
        <w:rPr>
          <w:rFonts w:ascii="Microsoft Sans Serif" w:hAnsi="Microsoft Sans Serif"/>
          <w:color w:val="231F20"/>
          <w:sz w:val="16"/>
        </w:rPr>
        <w:t>e</w:t>
      </w:r>
      <w:r>
        <w:rPr>
          <w:rFonts w:ascii="Microsoft Sans Serif" w:hAnsi="Microsoft Sans Serif"/>
          <w:color w:val="231F20"/>
          <w:spacing w:val="-28"/>
          <w:sz w:val="16"/>
        </w:rPr>
        <w:t> </w:t>
      </w:r>
      <w:r>
        <w:rPr>
          <w:rFonts w:ascii="Microsoft Sans Serif" w:hAnsi="Microsoft Sans Serif"/>
          <w:color w:val="231F20"/>
          <w:sz w:val="16"/>
        </w:rPr>
        <w:t>interés</w:t>
      </w:r>
      <w:r>
        <w:rPr>
          <w:rFonts w:ascii="Microsoft Sans Serif" w:hAnsi="Microsoft Sans Serif"/>
          <w:color w:val="231F20"/>
          <w:spacing w:val="-28"/>
          <w:sz w:val="16"/>
        </w:rPr>
        <w:t> </w:t>
      </w:r>
      <w:r>
        <w:rPr>
          <w:rFonts w:ascii="Microsoft Sans Serif" w:hAnsi="Microsoft Sans Serif"/>
          <w:color w:val="231F20"/>
          <w:sz w:val="16"/>
        </w:rPr>
        <w:t>académico</w:t>
      </w:r>
      <w:r>
        <w:rPr>
          <w:rFonts w:ascii="Microsoft Sans Serif" w:hAnsi="Microsoft Sans Serif"/>
          <w:color w:val="231F20"/>
          <w:spacing w:val="-28"/>
          <w:sz w:val="16"/>
        </w:rPr>
        <w:t> </w:t>
      </w:r>
      <w:r>
        <w:rPr>
          <w:rFonts w:ascii="Microsoft Sans Serif" w:hAnsi="Microsoft Sans Serif"/>
          <w:color w:val="231F20"/>
          <w:sz w:val="16"/>
        </w:rPr>
        <w:t>y</w:t>
      </w:r>
      <w:r>
        <w:rPr>
          <w:rFonts w:ascii="Microsoft Sans Serif" w:hAnsi="Microsoft Sans Serif"/>
          <w:color w:val="231F20"/>
          <w:spacing w:val="-28"/>
          <w:sz w:val="16"/>
        </w:rPr>
        <w:t> </w:t>
      </w:r>
      <w:r>
        <w:rPr>
          <w:rFonts w:ascii="Microsoft Sans Serif" w:hAnsi="Microsoft Sans Serif"/>
          <w:color w:val="231F20"/>
          <w:sz w:val="16"/>
        </w:rPr>
        <w:t>sin</w:t>
      </w:r>
      <w:r>
        <w:rPr>
          <w:rFonts w:ascii="Microsoft Sans Serif" w:hAnsi="Microsoft Sans Serif"/>
          <w:color w:val="231F20"/>
          <w:spacing w:val="-28"/>
          <w:sz w:val="16"/>
        </w:rPr>
        <w:t> </w:t>
      </w:r>
      <w:r>
        <w:rPr>
          <w:rFonts w:ascii="Microsoft Sans Serif" w:hAnsi="Microsoft Sans Serif"/>
          <w:color w:val="231F20"/>
          <w:sz w:val="16"/>
        </w:rPr>
        <w:t>fines</w:t>
      </w:r>
      <w:r>
        <w:rPr>
          <w:rFonts w:ascii="Microsoft Sans Serif" w:hAnsi="Microsoft Sans Serif"/>
          <w:color w:val="231F20"/>
          <w:spacing w:val="-28"/>
          <w:sz w:val="16"/>
        </w:rPr>
        <w:t> </w:t>
      </w:r>
      <w:r>
        <w:rPr>
          <w:rFonts w:ascii="Microsoft Sans Serif" w:hAnsi="Microsoft Sans Serif"/>
          <w:color w:val="231F20"/>
          <w:sz w:val="16"/>
        </w:rPr>
        <w:t>de</w:t>
      </w:r>
      <w:r>
        <w:rPr>
          <w:rFonts w:ascii="Microsoft Sans Serif" w:hAnsi="Microsoft Sans Serif"/>
          <w:color w:val="231F20"/>
          <w:spacing w:val="-28"/>
          <w:sz w:val="16"/>
        </w:rPr>
        <w:t> </w:t>
      </w:r>
      <w:r>
        <w:rPr>
          <w:rFonts w:ascii="Microsoft Sans Serif" w:hAnsi="Microsoft Sans Serif"/>
          <w:color w:val="231F20"/>
          <w:sz w:val="16"/>
        </w:rPr>
        <w:t>lucro. 1a</w:t>
      </w:r>
      <w:r>
        <w:rPr>
          <w:rFonts w:ascii="Microsoft Sans Serif" w:hAnsi="Microsoft Sans Serif"/>
          <w:color w:val="231F20"/>
          <w:spacing w:val="-14"/>
          <w:sz w:val="16"/>
        </w:rPr>
        <w:t> </w:t>
      </w:r>
      <w:r>
        <w:rPr>
          <w:rFonts w:ascii="Microsoft Sans Serif" w:hAnsi="Microsoft Sans Serif"/>
          <w:color w:val="231F20"/>
          <w:sz w:val="16"/>
        </w:rPr>
        <w:t>edición,</w:t>
      </w:r>
      <w:r>
        <w:rPr>
          <w:rFonts w:ascii="Microsoft Sans Serif" w:hAnsi="Microsoft Sans Serif"/>
          <w:color w:val="231F20"/>
          <w:spacing w:val="-14"/>
          <w:sz w:val="16"/>
        </w:rPr>
        <w:t> </w:t>
      </w:r>
      <w:r>
        <w:rPr>
          <w:rFonts w:ascii="Microsoft Sans Serif" w:hAnsi="Microsoft Sans Serif"/>
          <w:color w:val="231F20"/>
          <w:sz w:val="16"/>
        </w:rPr>
        <w:t>febrero</w:t>
      </w:r>
      <w:r>
        <w:rPr>
          <w:rFonts w:ascii="Microsoft Sans Serif" w:hAnsi="Microsoft Sans Serif"/>
          <w:color w:val="231F20"/>
          <w:spacing w:val="-14"/>
          <w:sz w:val="16"/>
        </w:rPr>
        <w:t> </w:t>
      </w:r>
      <w:r>
        <w:rPr>
          <w:rFonts w:ascii="Microsoft Sans Serif" w:hAnsi="Microsoft Sans Serif"/>
          <w:color w:val="231F20"/>
          <w:sz w:val="16"/>
        </w:rPr>
        <w:t>2016</w:t>
      </w:r>
    </w:p>
    <w:p>
      <w:pPr>
        <w:spacing w:line="181" w:lineRule="exact" w:before="0"/>
        <w:ind w:left="103" w:right="0" w:firstLine="0"/>
        <w:jc w:val="both"/>
        <w:rPr>
          <w:rFonts w:ascii="Arial" w:hAnsi="Arial"/>
          <w:sz w:val="16"/>
        </w:rPr>
      </w:pPr>
      <w:r>
        <w:rPr>
          <w:rFonts w:ascii="Arial" w:hAnsi="Arial"/>
          <w:color w:val="231F20"/>
          <w:w w:val="95"/>
          <w:sz w:val="16"/>
        </w:rPr>
        <w:t>ISBN:  978–607–422–695–9</w:t>
      </w:r>
    </w:p>
    <w:p>
      <w:pPr>
        <w:spacing w:line="254" w:lineRule="auto" w:before="124"/>
        <w:ind w:left="103" w:right="2825" w:firstLine="0"/>
        <w:jc w:val="both"/>
        <w:rPr>
          <w:rFonts w:ascii="Microsoft Sans Serif" w:hAnsi="Microsoft Sans Serif"/>
          <w:sz w:val="16"/>
        </w:rPr>
      </w:pPr>
      <w:r>
        <w:rPr>
          <w:rFonts w:ascii="Microsoft Sans Serif" w:hAnsi="Microsoft Sans Serif"/>
          <w:color w:val="231F20"/>
          <w:sz w:val="16"/>
        </w:rPr>
        <w:t>D.R. © Universidad Autónoma del Estado de México Instituto Literario núm. 100 Ote., Centro,     C.P.  50000,</w:t>
      </w:r>
    </w:p>
    <w:p>
      <w:pPr>
        <w:spacing w:line="254" w:lineRule="auto" w:before="0"/>
        <w:ind w:left="103" w:right="4998" w:firstLine="0"/>
        <w:jc w:val="left"/>
        <w:rPr>
          <w:rFonts w:ascii="Microsoft Sans Serif" w:hAnsi="Microsoft Sans Serif"/>
          <w:sz w:val="16"/>
        </w:rPr>
      </w:pPr>
      <w:r>
        <w:rPr>
          <w:rFonts w:ascii="Microsoft Sans Serif" w:hAnsi="Microsoft Sans Serif"/>
          <w:color w:val="231F20"/>
          <w:sz w:val="16"/>
        </w:rPr>
        <w:t>Toluca, México </w:t>
      </w:r>
      <w:hyperlink r:id="rId33">
        <w:r>
          <w:rPr>
            <w:rFonts w:ascii="Microsoft Sans Serif" w:hAnsi="Microsoft Sans Serif"/>
            <w:color w:val="231F20"/>
            <w:sz w:val="16"/>
          </w:rPr>
          <w:t>http://www.uaemex.mx</w:t>
        </w:r>
      </w:hyperlink>
    </w:p>
    <w:p>
      <w:pPr>
        <w:pStyle w:val="BodyText"/>
        <w:spacing w:before="10"/>
        <w:rPr>
          <w:rFonts w:ascii="Microsoft Sans Serif"/>
          <w:sz w:val="16"/>
        </w:rPr>
      </w:pPr>
    </w:p>
    <w:p>
      <w:pPr>
        <w:spacing w:line="254" w:lineRule="auto" w:before="1"/>
        <w:ind w:left="103" w:right="4998" w:firstLine="0"/>
        <w:jc w:val="left"/>
        <w:rPr>
          <w:rFonts w:ascii="Microsoft Sans Serif" w:hAnsi="Microsoft Sans Serif"/>
          <w:sz w:val="16"/>
        </w:rPr>
      </w:pPr>
      <w:r>
        <w:rPr>
          <w:rFonts w:ascii="Microsoft Sans Serif" w:hAnsi="Microsoft Sans Serif"/>
          <w:color w:val="231F20"/>
          <w:sz w:val="16"/>
        </w:rPr>
        <w:t>Impreso y hecho en México Printed and made in Mexico</w:t>
      </w:r>
    </w:p>
    <w:p>
      <w:pPr>
        <w:pStyle w:val="BodyText"/>
        <w:spacing w:before="10"/>
        <w:rPr>
          <w:rFonts w:ascii="Microsoft Sans Serif"/>
          <w:sz w:val="16"/>
        </w:rPr>
      </w:pPr>
    </w:p>
    <w:p>
      <w:pPr>
        <w:spacing w:line="254" w:lineRule="auto" w:before="1"/>
        <w:ind w:left="103" w:right="2831" w:firstLine="0"/>
        <w:jc w:val="both"/>
        <w:rPr>
          <w:rFonts w:ascii="Microsoft Sans Serif" w:hAnsi="Microsoft Sans Serif"/>
          <w:sz w:val="16"/>
        </w:rPr>
      </w:pPr>
      <w:r>
        <w:rPr>
          <w:rFonts w:ascii="Microsoft Sans Serif" w:hAnsi="Microsoft Sans Serif"/>
          <w:color w:val="231F20"/>
          <w:sz w:val="16"/>
        </w:rPr>
        <w:t>Uso</w:t>
      </w:r>
      <w:r>
        <w:rPr>
          <w:rFonts w:ascii="Microsoft Sans Serif" w:hAnsi="Microsoft Sans Serif"/>
          <w:color w:val="231F20"/>
          <w:spacing w:val="-27"/>
          <w:sz w:val="16"/>
        </w:rPr>
        <w:t> </w:t>
      </w:r>
      <w:r>
        <w:rPr>
          <w:rFonts w:ascii="Microsoft Sans Serif" w:hAnsi="Microsoft Sans Serif"/>
          <w:color w:val="231F20"/>
          <w:sz w:val="16"/>
        </w:rPr>
        <w:t>de</w:t>
      </w:r>
      <w:r>
        <w:rPr>
          <w:rFonts w:ascii="Microsoft Sans Serif" w:hAnsi="Microsoft Sans Serif"/>
          <w:color w:val="231F20"/>
          <w:spacing w:val="-27"/>
          <w:sz w:val="16"/>
        </w:rPr>
        <w:t> </w:t>
      </w:r>
      <w:r>
        <w:rPr>
          <w:rFonts w:ascii="Microsoft Sans Serif" w:hAnsi="Microsoft Sans Serif"/>
          <w:color w:val="231F20"/>
          <w:sz w:val="16"/>
        </w:rPr>
        <w:t>la</w:t>
      </w:r>
      <w:r>
        <w:rPr>
          <w:rFonts w:ascii="Microsoft Sans Serif" w:hAnsi="Microsoft Sans Serif"/>
          <w:color w:val="231F20"/>
          <w:spacing w:val="-27"/>
          <w:sz w:val="16"/>
        </w:rPr>
        <w:t> </w:t>
      </w:r>
      <w:r>
        <w:rPr>
          <w:rFonts w:ascii="Microsoft Sans Serif" w:hAnsi="Microsoft Sans Serif"/>
          <w:color w:val="231F20"/>
          <w:sz w:val="16"/>
        </w:rPr>
        <w:t>denominación</w:t>
      </w:r>
      <w:r>
        <w:rPr>
          <w:rFonts w:ascii="Microsoft Sans Serif" w:hAnsi="Microsoft Sans Serif"/>
          <w:color w:val="231F20"/>
          <w:spacing w:val="-27"/>
          <w:sz w:val="16"/>
        </w:rPr>
        <w:t> </w:t>
      </w:r>
      <w:r>
        <w:rPr>
          <w:rFonts w:ascii="Microsoft Sans Serif" w:hAnsi="Microsoft Sans Serif"/>
          <w:color w:val="231F20"/>
          <w:sz w:val="16"/>
        </w:rPr>
        <w:t>"Alma</w:t>
      </w:r>
      <w:r>
        <w:rPr>
          <w:rFonts w:ascii="Microsoft Sans Serif" w:hAnsi="Microsoft Sans Serif"/>
          <w:color w:val="231F20"/>
          <w:spacing w:val="-27"/>
          <w:sz w:val="16"/>
        </w:rPr>
        <w:t> </w:t>
      </w:r>
      <w:r>
        <w:rPr>
          <w:rFonts w:ascii="Microsoft Sans Serif" w:hAnsi="Microsoft Sans Serif"/>
          <w:color w:val="231F20"/>
          <w:sz w:val="16"/>
        </w:rPr>
        <w:t>Mater</w:t>
      </w:r>
      <w:r>
        <w:rPr>
          <w:rFonts w:ascii="Microsoft Sans Serif" w:hAnsi="Microsoft Sans Serif"/>
          <w:color w:val="231F20"/>
          <w:spacing w:val="-27"/>
          <w:sz w:val="16"/>
        </w:rPr>
        <w:t> </w:t>
      </w:r>
      <w:r>
        <w:rPr>
          <w:rFonts w:ascii="Microsoft Sans Serif" w:hAnsi="Microsoft Sans Serif"/>
          <w:color w:val="231F20"/>
          <w:sz w:val="16"/>
        </w:rPr>
        <w:t>Studiorum–Università</w:t>
      </w:r>
      <w:r>
        <w:rPr>
          <w:rFonts w:ascii="Microsoft Sans Serif" w:hAnsi="Microsoft Sans Serif"/>
          <w:color w:val="231F20"/>
          <w:spacing w:val="-27"/>
          <w:sz w:val="16"/>
        </w:rPr>
        <w:t> </w:t>
      </w:r>
      <w:r>
        <w:rPr>
          <w:rFonts w:ascii="Microsoft Sans Serif" w:hAnsi="Microsoft Sans Serif"/>
          <w:color w:val="231F20"/>
          <w:sz w:val="16"/>
        </w:rPr>
        <w:t>di </w:t>
      </w:r>
      <w:r>
        <w:rPr>
          <w:rFonts w:ascii="Microsoft Sans Serif" w:hAnsi="Microsoft Sans Serif"/>
          <w:color w:val="231F20"/>
          <w:w w:val="95"/>
          <w:sz w:val="16"/>
        </w:rPr>
        <w:t>Bologna"</w:t>
      </w:r>
      <w:r>
        <w:rPr>
          <w:rFonts w:ascii="Microsoft Sans Serif" w:hAnsi="Microsoft Sans Serif"/>
          <w:color w:val="231F20"/>
          <w:spacing w:val="-13"/>
          <w:w w:val="95"/>
          <w:sz w:val="16"/>
        </w:rPr>
        <w:t> </w:t>
      </w:r>
      <w:r>
        <w:rPr>
          <w:rFonts w:ascii="Microsoft Sans Serif" w:hAnsi="Microsoft Sans Serif"/>
          <w:color w:val="231F20"/>
          <w:w w:val="95"/>
          <w:sz w:val="16"/>
        </w:rPr>
        <w:t>autorizado</w:t>
      </w:r>
      <w:r>
        <w:rPr>
          <w:rFonts w:ascii="Microsoft Sans Serif" w:hAnsi="Microsoft Sans Serif"/>
          <w:color w:val="231F20"/>
          <w:spacing w:val="-13"/>
          <w:w w:val="95"/>
          <w:sz w:val="16"/>
        </w:rPr>
        <w:t> </w:t>
      </w:r>
      <w:r>
        <w:rPr>
          <w:rFonts w:ascii="Microsoft Sans Serif" w:hAnsi="Microsoft Sans Serif"/>
          <w:color w:val="231F20"/>
          <w:w w:val="95"/>
          <w:sz w:val="16"/>
        </w:rPr>
        <w:t>por</w:t>
      </w:r>
      <w:r>
        <w:rPr>
          <w:rFonts w:ascii="Microsoft Sans Serif" w:hAnsi="Microsoft Sans Serif"/>
          <w:color w:val="231F20"/>
          <w:spacing w:val="-13"/>
          <w:w w:val="95"/>
          <w:sz w:val="16"/>
        </w:rPr>
        <w:t> </w:t>
      </w:r>
      <w:r>
        <w:rPr>
          <w:rFonts w:ascii="Microsoft Sans Serif" w:hAnsi="Microsoft Sans Serif"/>
          <w:color w:val="231F20"/>
          <w:w w:val="95"/>
          <w:sz w:val="16"/>
        </w:rPr>
        <w:t>el</w:t>
      </w:r>
      <w:r>
        <w:rPr>
          <w:rFonts w:ascii="Microsoft Sans Serif" w:hAnsi="Microsoft Sans Serif"/>
          <w:color w:val="231F20"/>
          <w:spacing w:val="-13"/>
          <w:w w:val="95"/>
          <w:sz w:val="16"/>
        </w:rPr>
        <w:t> </w:t>
      </w:r>
      <w:r>
        <w:rPr>
          <w:rFonts w:ascii="Microsoft Sans Serif" w:hAnsi="Microsoft Sans Serif"/>
          <w:color w:val="231F20"/>
          <w:w w:val="95"/>
          <w:sz w:val="16"/>
        </w:rPr>
        <w:t>Ufficio</w:t>
      </w:r>
      <w:r>
        <w:rPr>
          <w:rFonts w:ascii="Microsoft Sans Serif" w:hAnsi="Microsoft Sans Serif"/>
          <w:color w:val="231F20"/>
          <w:spacing w:val="-13"/>
          <w:w w:val="95"/>
          <w:sz w:val="16"/>
        </w:rPr>
        <w:t> </w:t>
      </w:r>
      <w:r>
        <w:rPr>
          <w:rFonts w:ascii="Microsoft Sans Serif" w:hAnsi="Microsoft Sans Serif"/>
          <w:color w:val="231F20"/>
          <w:w w:val="95"/>
          <w:sz w:val="16"/>
        </w:rPr>
        <w:t>Comunicazione</w:t>
      </w:r>
      <w:r>
        <w:rPr>
          <w:rFonts w:ascii="Microsoft Sans Serif" w:hAnsi="Microsoft Sans Serif"/>
          <w:color w:val="231F20"/>
          <w:spacing w:val="-13"/>
          <w:w w:val="95"/>
          <w:sz w:val="16"/>
        </w:rPr>
        <w:t> </w:t>
      </w:r>
      <w:r>
        <w:rPr>
          <w:rFonts w:ascii="Microsoft Sans Serif" w:hAnsi="Microsoft Sans Serif"/>
          <w:color w:val="231F20"/>
          <w:w w:val="95"/>
          <w:sz w:val="16"/>
        </w:rPr>
        <w:t>Istituzionale– </w:t>
      </w:r>
      <w:r>
        <w:rPr>
          <w:rFonts w:ascii="Microsoft Sans Serif" w:hAnsi="Microsoft Sans Serif"/>
          <w:color w:val="231F20"/>
          <w:sz w:val="16"/>
        </w:rPr>
        <w:t>Unibo</w:t>
      </w:r>
      <w:r>
        <w:rPr>
          <w:rFonts w:ascii="Microsoft Sans Serif" w:hAnsi="Microsoft Sans Serif"/>
          <w:color w:val="231F20"/>
          <w:spacing w:val="-7"/>
          <w:sz w:val="16"/>
        </w:rPr>
        <w:t> </w:t>
      </w:r>
      <w:r>
        <w:rPr>
          <w:rFonts w:ascii="Microsoft Sans Serif" w:hAnsi="Microsoft Sans Serif"/>
          <w:color w:val="231F20"/>
          <w:sz w:val="16"/>
        </w:rPr>
        <w:t>el</w:t>
      </w:r>
      <w:r>
        <w:rPr>
          <w:rFonts w:ascii="Microsoft Sans Serif" w:hAnsi="Microsoft Sans Serif"/>
          <w:color w:val="231F20"/>
          <w:spacing w:val="-7"/>
          <w:sz w:val="16"/>
        </w:rPr>
        <w:t> </w:t>
      </w:r>
      <w:r>
        <w:rPr>
          <w:rFonts w:ascii="Microsoft Sans Serif" w:hAnsi="Microsoft Sans Serif"/>
          <w:color w:val="231F20"/>
          <w:sz w:val="16"/>
        </w:rPr>
        <w:t>21</w:t>
      </w:r>
      <w:r>
        <w:rPr>
          <w:rFonts w:ascii="Microsoft Sans Serif" w:hAnsi="Microsoft Sans Serif"/>
          <w:color w:val="231F20"/>
          <w:spacing w:val="-7"/>
          <w:sz w:val="16"/>
        </w:rPr>
        <w:t> </w:t>
      </w:r>
      <w:r>
        <w:rPr>
          <w:rFonts w:ascii="Microsoft Sans Serif" w:hAnsi="Microsoft Sans Serif"/>
          <w:color w:val="231F20"/>
          <w:sz w:val="16"/>
        </w:rPr>
        <w:t>de</w:t>
      </w:r>
      <w:r>
        <w:rPr>
          <w:rFonts w:ascii="Microsoft Sans Serif" w:hAnsi="Microsoft Sans Serif"/>
          <w:color w:val="231F20"/>
          <w:spacing w:val="-7"/>
          <w:sz w:val="16"/>
        </w:rPr>
        <w:t> </w:t>
      </w:r>
      <w:r>
        <w:rPr>
          <w:rFonts w:ascii="Microsoft Sans Serif" w:hAnsi="Microsoft Sans Serif"/>
          <w:color w:val="231F20"/>
          <w:sz w:val="16"/>
        </w:rPr>
        <w:t>enero</w:t>
      </w:r>
      <w:r>
        <w:rPr>
          <w:rFonts w:ascii="Microsoft Sans Serif" w:hAnsi="Microsoft Sans Serif"/>
          <w:color w:val="231F20"/>
          <w:spacing w:val="-7"/>
          <w:sz w:val="16"/>
        </w:rPr>
        <w:t> </w:t>
      </w:r>
      <w:r>
        <w:rPr>
          <w:rFonts w:ascii="Microsoft Sans Serif" w:hAnsi="Microsoft Sans Serif"/>
          <w:color w:val="231F20"/>
          <w:sz w:val="16"/>
        </w:rPr>
        <w:t>de</w:t>
      </w:r>
      <w:r>
        <w:rPr>
          <w:rFonts w:ascii="Microsoft Sans Serif" w:hAnsi="Microsoft Sans Serif"/>
          <w:color w:val="231F20"/>
          <w:spacing w:val="-7"/>
          <w:sz w:val="16"/>
        </w:rPr>
        <w:t> </w:t>
      </w:r>
      <w:r>
        <w:rPr>
          <w:rFonts w:ascii="Microsoft Sans Serif" w:hAnsi="Microsoft Sans Serif"/>
          <w:color w:val="231F20"/>
          <w:sz w:val="16"/>
        </w:rPr>
        <w:t>2016.</w:t>
      </w:r>
    </w:p>
    <w:p>
      <w:pPr>
        <w:pStyle w:val="BodyText"/>
        <w:spacing w:before="10"/>
        <w:rPr>
          <w:rFonts w:ascii="Microsoft Sans Serif"/>
          <w:sz w:val="16"/>
        </w:rPr>
      </w:pPr>
    </w:p>
    <w:p>
      <w:pPr>
        <w:spacing w:line="254" w:lineRule="auto" w:before="1"/>
        <w:ind w:left="103" w:right="2822" w:firstLine="0"/>
        <w:jc w:val="both"/>
        <w:rPr>
          <w:rFonts w:ascii="Microsoft Sans Serif" w:hAnsi="Microsoft Sans Serif"/>
          <w:sz w:val="16"/>
        </w:rPr>
      </w:pPr>
      <w:r>
        <w:rPr>
          <w:rFonts w:ascii="Microsoft Sans Serif" w:hAnsi="Microsoft Sans Serif"/>
          <w:color w:val="231F20"/>
          <w:spacing w:val="3"/>
          <w:sz w:val="16"/>
        </w:rPr>
        <w:t>El </w:t>
      </w:r>
      <w:r>
        <w:rPr>
          <w:rFonts w:ascii="Microsoft Sans Serif" w:hAnsi="Microsoft Sans Serif"/>
          <w:color w:val="231F20"/>
          <w:spacing w:val="5"/>
          <w:sz w:val="16"/>
        </w:rPr>
        <w:t>contenido </w:t>
      </w:r>
      <w:r>
        <w:rPr>
          <w:rFonts w:ascii="Microsoft Sans Serif" w:hAnsi="Microsoft Sans Serif"/>
          <w:color w:val="231F20"/>
          <w:spacing w:val="3"/>
          <w:sz w:val="16"/>
        </w:rPr>
        <w:t>de </w:t>
      </w:r>
      <w:r>
        <w:rPr>
          <w:rFonts w:ascii="Microsoft Sans Serif" w:hAnsi="Microsoft Sans Serif"/>
          <w:color w:val="231F20"/>
          <w:spacing w:val="4"/>
          <w:sz w:val="16"/>
        </w:rPr>
        <w:t>esta </w:t>
      </w:r>
      <w:r>
        <w:rPr>
          <w:rFonts w:ascii="Microsoft Sans Serif" w:hAnsi="Microsoft Sans Serif"/>
          <w:color w:val="231F20"/>
          <w:spacing w:val="5"/>
          <w:sz w:val="16"/>
        </w:rPr>
        <w:t>publicación </w:t>
      </w:r>
      <w:r>
        <w:rPr>
          <w:rFonts w:ascii="Microsoft Sans Serif" w:hAnsi="Microsoft Sans Serif"/>
          <w:color w:val="231F20"/>
          <w:spacing w:val="3"/>
          <w:sz w:val="16"/>
        </w:rPr>
        <w:t>es  </w:t>
      </w:r>
      <w:r>
        <w:rPr>
          <w:rFonts w:ascii="Microsoft Sans Serif" w:hAnsi="Microsoft Sans Serif"/>
          <w:color w:val="231F20"/>
          <w:spacing w:val="5"/>
          <w:sz w:val="16"/>
        </w:rPr>
        <w:t>responsabilidad  </w:t>
      </w:r>
      <w:r>
        <w:rPr>
          <w:rFonts w:ascii="Microsoft Sans Serif" w:hAnsi="Microsoft Sans Serif"/>
          <w:color w:val="231F20"/>
          <w:sz w:val="16"/>
        </w:rPr>
        <w:t>de los</w:t>
      </w:r>
      <w:r>
        <w:rPr>
          <w:rFonts w:ascii="Microsoft Sans Serif" w:hAnsi="Microsoft Sans Serif"/>
          <w:color w:val="231F20"/>
          <w:spacing w:val="-30"/>
          <w:sz w:val="16"/>
        </w:rPr>
        <w:t> </w:t>
      </w:r>
      <w:r>
        <w:rPr>
          <w:rFonts w:ascii="Microsoft Sans Serif" w:hAnsi="Microsoft Sans Serif"/>
          <w:color w:val="231F20"/>
          <w:sz w:val="16"/>
        </w:rPr>
        <w:t>autores.</w:t>
      </w:r>
    </w:p>
    <w:p>
      <w:pPr>
        <w:pStyle w:val="BodyText"/>
        <w:spacing w:before="10"/>
        <w:rPr>
          <w:rFonts w:ascii="Microsoft Sans Serif"/>
          <w:sz w:val="16"/>
        </w:rPr>
      </w:pPr>
    </w:p>
    <w:p>
      <w:pPr>
        <w:spacing w:line="254" w:lineRule="auto" w:before="1"/>
        <w:ind w:left="103" w:right="2830" w:firstLine="0"/>
        <w:jc w:val="both"/>
        <w:rPr>
          <w:rFonts w:ascii="Microsoft Sans Serif" w:hAnsi="Microsoft Sans Serif"/>
          <w:sz w:val="16"/>
        </w:rPr>
      </w:pPr>
      <w:r>
        <w:rPr>
          <w:rFonts w:ascii="Microsoft Sans Serif" w:hAnsi="Microsoft Sans Serif"/>
          <w:color w:val="231F20"/>
          <w:sz w:val="16"/>
        </w:rPr>
        <w:t>Queda</w:t>
      </w:r>
      <w:r>
        <w:rPr>
          <w:rFonts w:ascii="Microsoft Sans Serif" w:hAnsi="Microsoft Sans Serif"/>
          <w:color w:val="231F20"/>
          <w:spacing w:val="-18"/>
          <w:sz w:val="16"/>
        </w:rPr>
        <w:t> </w:t>
      </w:r>
      <w:r>
        <w:rPr>
          <w:rFonts w:ascii="Microsoft Sans Serif" w:hAnsi="Microsoft Sans Serif"/>
          <w:color w:val="231F20"/>
          <w:sz w:val="16"/>
        </w:rPr>
        <w:t>prohibida</w:t>
      </w:r>
      <w:r>
        <w:rPr>
          <w:rFonts w:ascii="Microsoft Sans Serif" w:hAnsi="Microsoft Sans Serif"/>
          <w:color w:val="231F20"/>
          <w:spacing w:val="-18"/>
          <w:sz w:val="16"/>
        </w:rPr>
        <w:t> </w:t>
      </w:r>
      <w:r>
        <w:rPr>
          <w:rFonts w:ascii="Microsoft Sans Serif" w:hAnsi="Microsoft Sans Serif"/>
          <w:color w:val="231F20"/>
          <w:sz w:val="16"/>
        </w:rPr>
        <w:t>la</w:t>
      </w:r>
      <w:r>
        <w:rPr>
          <w:rFonts w:ascii="Microsoft Sans Serif" w:hAnsi="Microsoft Sans Serif"/>
          <w:color w:val="231F20"/>
          <w:spacing w:val="-18"/>
          <w:sz w:val="16"/>
        </w:rPr>
        <w:t> </w:t>
      </w:r>
      <w:r>
        <w:rPr>
          <w:rFonts w:ascii="Microsoft Sans Serif" w:hAnsi="Microsoft Sans Serif"/>
          <w:color w:val="231F20"/>
          <w:sz w:val="16"/>
        </w:rPr>
        <w:t>reproducción</w:t>
      </w:r>
      <w:r>
        <w:rPr>
          <w:rFonts w:ascii="Microsoft Sans Serif" w:hAnsi="Microsoft Sans Serif"/>
          <w:color w:val="231F20"/>
          <w:spacing w:val="-18"/>
          <w:sz w:val="16"/>
        </w:rPr>
        <w:t> </w:t>
      </w:r>
      <w:r>
        <w:rPr>
          <w:rFonts w:ascii="Microsoft Sans Serif" w:hAnsi="Microsoft Sans Serif"/>
          <w:color w:val="231F20"/>
          <w:sz w:val="16"/>
        </w:rPr>
        <w:t>parcial</w:t>
      </w:r>
      <w:r>
        <w:rPr>
          <w:rFonts w:ascii="Microsoft Sans Serif" w:hAnsi="Microsoft Sans Serif"/>
          <w:color w:val="231F20"/>
          <w:spacing w:val="-18"/>
          <w:sz w:val="16"/>
        </w:rPr>
        <w:t> </w:t>
      </w:r>
      <w:r>
        <w:rPr>
          <w:rFonts w:ascii="Microsoft Sans Serif" w:hAnsi="Microsoft Sans Serif"/>
          <w:color w:val="231F20"/>
          <w:sz w:val="16"/>
        </w:rPr>
        <w:t>o</w:t>
      </w:r>
      <w:r>
        <w:rPr>
          <w:rFonts w:ascii="Microsoft Sans Serif" w:hAnsi="Microsoft Sans Serif"/>
          <w:color w:val="231F20"/>
          <w:spacing w:val="-18"/>
          <w:sz w:val="16"/>
        </w:rPr>
        <w:t> </w:t>
      </w:r>
      <w:r>
        <w:rPr>
          <w:rFonts w:ascii="Microsoft Sans Serif" w:hAnsi="Microsoft Sans Serif"/>
          <w:color w:val="231F20"/>
          <w:sz w:val="16"/>
        </w:rPr>
        <w:t>total</w:t>
      </w:r>
      <w:r>
        <w:rPr>
          <w:rFonts w:ascii="Microsoft Sans Serif" w:hAnsi="Microsoft Sans Serif"/>
          <w:color w:val="231F20"/>
          <w:spacing w:val="-18"/>
          <w:sz w:val="16"/>
        </w:rPr>
        <w:t> </w:t>
      </w:r>
      <w:r>
        <w:rPr>
          <w:rFonts w:ascii="Microsoft Sans Serif" w:hAnsi="Microsoft Sans Serif"/>
          <w:color w:val="231F20"/>
          <w:sz w:val="16"/>
        </w:rPr>
        <w:t>del</w:t>
      </w:r>
      <w:r>
        <w:rPr>
          <w:rFonts w:ascii="Microsoft Sans Serif" w:hAnsi="Microsoft Sans Serif"/>
          <w:color w:val="231F20"/>
          <w:spacing w:val="-18"/>
          <w:sz w:val="16"/>
        </w:rPr>
        <w:t> </w:t>
      </w:r>
      <w:r>
        <w:rPr>
          <w:rFonts w:ascii="Microsoft Sans Serif" w:hAnsi="Microsoft Sans Serif"/>
          <w:color w:val="231F20"/>
          <w:sz w:val="16"/>
        </w:rPr>
        <w:t>contenido de</w:t>
      </w:r>
      <w:r>
        <w:rPr>
          <w:rFonts w:ascii="Microsoft Sans Serif" w:hAnsi="Microsoft Sans Serif"/>
          <w:color w:val="231F20"/>
          <w:spacing w:val="-26"/>
          <w:sz w:val="16"/>
        </w:rPr>
        <w:t> </w:t>
      </w:r>
      <w:r>
        <w:rPr>
          <w:rFonts w:ascii="Microsoft Sans Serif" w:hAnsi="Microsoft Sans Serif"/>
          <w:color w:val="231F20"/>
          <w:sz w:val="16"/>
        </w:rPr>
        <w:t>la</w:t>
      </w:r>
      <w:r>
        <w:rPr>
          <w:rFonts w:ascii="Microsoft Sans Serif" w:hAnsi="Microsoft Sans Serif"/>
          <w:color w:val="231F20"/>
          <w:spacing w:val="-26"/>
          <w:sz w:val="16"/>
        </w:rPr>
        <w:t> </w:t>
      </w:r>
      <w:r>
        <w:rPr>
          <w:rFonts w:ascii="Microsoft Sans Serif" w:hAnsi="Microsoft Sans Serif"/>
          <w:color w:val="231F20"/>
          <w:spacing w:val="-3"/>
          <w:sz w:val="16"/>
        </w:rPr>
        <w:t>presente</w:t>
      </w:r>
      <w:r>
        <w:rPr>
          <w:rFonts w:ascii="Microsoft Sans Serif" w:hAnsi="Microsoft Sans Serif"/>
          <w:color w:val="231F20"/>
          <w:spacing w:val="-26"/>
          <w:sz w:val="16"/>
        </w:rPr>
        <w:t> </w:t>
      </w:r>
      <w:r>
        <w:rPr>
          <w:rFonts w:ascii="Microsoft Sans Serif" w:hAnsi="Microsoft Sans Serif"/>
          <w:color w:val="231F20"/>
          <w:sz w:val="16"/>
        </w:rPr>
        <w:t>obra,</w:t>
      </w:r>
      <w:r>
        <w:rPr>
          <w:rFonts w:ascii="Microsoft Sans Serif" w:hAnsi="Microsoft Sans Serif"/>
          <w:color w:val="231F20"/>
          <w:spacing w:val="-26"/>
          <w:sz w:val="16"/>
        </w:rPr>
        <w:t> </w:t>
      </w:r>
      <w:r>
        <w:rPr>
          <w:rFonts w:ascii="Microsoft Sans Serif" w:hAnsi="Microsoft Sans Serif"/>
          <w:color w:val="231F20"/>
          <w:sz w:val="16"/>
        </w:rPr>
        <w:t>sin</w:t>
      </w:r>
      <w:r>
        <w:rPr>
          <w:rFonts w:ascii="Microsoft Sans Serif" w:hAnsi="Microsoft Sans Serif"/>
          <w:color w:val="231F20"/>
          <w:spacing w:val="-26"/>
          <w:sz w:val="16"/>
        </w:rPr>
        <w:t> </w:t>
      </w:r>
      <w:r>
        <w:rPr>
          <w:rFonts w:ascii="Microsoft Sans Serif" w:hAnsi="Microsoft Sans Serif"/>
          <w:color w:val="231F20"/>
          <w:sz w:val="16"/>
        </w:rPr>
        <w:t>contar</w:t>
      </w:r>
      <w:r>
        <w:rPr>
          <w:rFonts w:ascii="Microsoft Sans Serif" w:hAnsi="Microsoft Sans Serif"/>
          <w:color w:val="231F20"/>
          <w:spacing w:val="-26"/>
          <w:sz w:val="16"/>
        </w:rPr>
        <w:t> </w:t>
      </w:r>
      <w:r>
        <w:rPr>
          <w:rFonts w:ascii="Microsoft Sans Serif" w:hAnsi="Microsoft Sans Serif"/>
          <w:color w:val="231F20"/>
          <w:spacing w:val="-3"/>
          <w:sz w:val="16"/>
        </w:rPr>
        <w:t>previamente</w:t>
      </w:r>
      <w:r>
        <w:rPr>
          <w:rFonts w:ascii="Microsoft Sans Serif" w:hAnsi="Microsoft Sans Serif"/>
          <w:color w:val="231F20"/>
          <w:spacing w:val="-26"/>
          <w:sz w:val="16"/>
        </w:rPr>
        <w:t> </w:t>
      </w:r>
      <w:r>
        <w:rPr>
          <w:rFonts w:ascii="Microsoft Sans Serif" w:hAnsi="Microsoft Sans Serif"/>
          <w:color w:val="231F20"/>
          <w:sz w:val="16"/>
        </w:rPr>
        <w:t>con</w:t>
      </w:r>
      <w:r>
        <w:rPr>
          <w:rFonts w:ascii="Microsoft Sans Serif" w:hAnsi="Microsoft Sans Serif"/>
          <w:color w:val="231F20"/>
          <w:spacing w:val="-26"/>
          <w:sz w:val="16"/>
        </w:rPr>
        <w:t> </w:t>
      </w:r>
      <w:r>
        <w:rPr>
          <w:rFonts w:ascii="Microsoft Sans Serif" w:hAnsi="Microsoft Sans Serif"/>
          <w:color w:val="231F20"/>
          <w:sz w:val="16"/>
        </w:rPr>
        <w:t>la</w:t>
      </w:r>
      <w:r>
        <w:rPr>
          <w:rFonts w:ascii="Microsoft Sans Serif" w:hAnsi="Microsoft Sans Serif"/>
          <w:color w:val="231F20"/>
          <w:spacing w:val="-26"/>
          <w:sz w:val="16"/>
        </w:rPr>
        <w:t> </w:t>
      </w:r>
      <w:r>
        <w:rPr>
          <w:rFonts w:ascii="Microsoft Sans Serif" w:hAnsi="Microsoft Sans Serif"/>
          <w:color w:val="231F20"/>
          <w:spacing w:val="-2"/>
          <w:sz w:val="16"/>
        </w:rPr>
        <w:t>autorización </w:t>
      </w:r>
      <w:r>
        <w:rPr>
          <w:rFonts w:ascii="Microsoft Sans Serif" w:hAnsi="Microsoft Sans Serif"/>
          <w:color w:val="231F20"/>
          <w:sz w:val="16"/>
        </w:rPr>
        <w:t>por escrito del titular de los derechos en términos de la</w:t>
      </w:r>
      <w:r>
        <w:rPr>
          <w:rFonts w:ascii="Microsoft Sans Serif" w:hAnsi="Microsoft Sans Serif"/>
          <w:color w:val="231F20"/>
          <w:spacing w:val="-20"/>
          <w:sz w:val="16"/>
        </w:rPr>
        <w:t> </w:t>
      </w:r>
      <w:r>
        <w:rPr>
          <w:rFonts w:ascii="Microsoft Sans Serif" w:hAnsi="Microsoft Sans Serif"/>
          <w:color w:val="231F20"/>
          <w:sz w:val="16"/>
        </w:rPr>
        <w:t>Ley Federal del Derecho de Autor y en su caso de los tratados </w:t>
      </w:r>
      <w:r>
        <w:rPr>
          <w:rFonts w:ascii="Microsoft Sans Serif" w:hAnsi="Microsoft Sans Serif"/>
          <w:color w:val="231F20"/>
          <w:w w:val="95"/>
          <w:sz w:val="16"/>
        </w:rPr>
        <w:t>internacionales</w:t>
      </w:r>
      <w:r>
        <w:rPr>
          <w:rFonts w:ascii="Microsoft Sans Serif" w:hAnsi="Microsoft Sans Serif"/>
          <w:color w:val="231F20"/>
          <w:spacing w:val="11"/>
          <w:w w:val="95"/>
          <w:sz w:val="16"/>
        </w:rPr>
        <w:t> </w:t>
      </w:r>
      <w:r>
        <w:rPr>
          <w:rFonts w:ascii="Microsoft Sans Serif" w:hAnsi="Microsoft Sans Serif"/>
          <w:color w:val="231F20"/>
          <w:w w:val="95"/>
          <w:sz w:val="16"/>
        </w:rPr>
        <w:t>aplicables.</w:t>
      </w:r>
    </w:p>
    <w:p>
      <w:pPr>
        <w:spacing w:after="0" w:line="254" w:lineRule="auto"/>
        <w:jc w:val="both"/>
        <w:rPr>
          <w:rFonts w:ascii="Microsoft Sans Serif" w:hAnsi="Microsoft Sans Serif"/>
          <w:sz w:val="16"/>
        </w:rPr>
        <w:sectPr>
          <w:pgSz w:w="9640" w:h="13890"/>
          <w:pgMar w:top="1300" w:bottom="280" w:left="1200" w:right="1340"/>
        </w:sectPr>
      </w:pPr>
    </w:p>
    <w:p>
      <w:pPr>
        <w:pStyle w:val="BodyText"/>
        <w:rPr>
          <w:rFonts w:ascii="Microsoft Sans Serif"/>
          <w:sz w:val="20"/>
        </w:rPr>
      </w:pPr>
    </w:p>
    <w:p>
      <w:pPr>
        <w:pStyle w:val="BodyText"/>
        <w:rPr>
          <w:rFonts w:ascii="Microsoft Sans Serif"/>
          <w:sz w:val="20"/>
        </w:rPr>
      </w:pPr>
    </w:p>
    <w:p>
      <w:pPr>
        <w:pStyle w:val="BodyText"/>
        <w:rPr>
          <w:rFonts w:ascii="Microsoft Sans Serif"/>
          <w:sz w:val="20"/>
        </w:rPr>
      </w:pPr>
    </w:p>
    <w:p>
      <w:pPr>
        <w:pStyle w:val="BodyText"/>
        <w:spacing w:before="10"/>
        <w:rPr>
          <w:rFonts w:ascii="Microsoft Sans Serif"/>
          <w:sz w:val="18"/>
        </w:rPr>
      </w:pPr>
    </w:p>
    <w:p>
      <w:pPr>
        <w:spacing w:line="420" w:lineRule="exact" w:before="0"/>
        <w:ind w:left="895" w:right="692" w:firstLine="0"/>
        <w:jc w:val="left"/>
        <w:rPr>
          <w:rFonts w:ascii="Lucida Sans Unicode"/>
          <w:sz w:val="28"/>
        </w:rPr>
      </w:pPr>
      <w:r>
        <w:rPr>
          <w:rFonts w:ascii="Lucida Sans Unicode"/>
          <w:color w:val="231F20"/>
          <w:w w:val="95"/>
          <w:sz w:val="28"/>
        </w:rPr>
        <w:t>Indice</w:t>
      </w:r>
    </w:p>
    <w:p>
      <w:pPr>
        <w:pStyle w:val="BodyText"/>
        <w:rPr>
          <w:rFonts w:ascii="Lucida Sans Unicode"/>
          <w:sz w:val="28"/>
        </w:rPr>
      </w:pPr>
    </w:p>
    <w:p>
      <w:pPr>
        <w:spacing w:after="0"/>
        <w:rPr>
          <w:rFonts w:ascii="Lucida Sans Unicode"/>
          <w:sz w:val="28"/>
        </w:rPr>
        <w:sectPr>
          <w:pgSz w:w="9640" w:h="13890"/>
          <w:pgMar w:top="1300" w:bottom="280" w:left="1340" w:right="1340"/>
        </w:sectPr>
      </w:pPr>
    </w:p>
    <w:p>
      <w:pPr>
        <w:tabs>
          <w:tab w:pos="1884" w:val="left" w:leader="none"/>
        </w:tabs>
        <w:spacing w:before="37"/>
        <w:ind w:left="1211" w:right="0" w:firstLine="0"/>
        <w:jc w:val="center"/>
        <w:rPr>
          <w:rFonts w:ascii="Calibri"/>
          <w:sz w:val="32"/>
        </w:rPr>
      </w:pPr>
      <w:r>
        <w:rPr/>
        <w:pict>
          <v:line style="position:absolute;mso-position-horizontal-relative:page;mso-position-vertical-relative:paragraph;z-index:-166816" from="136.667297pt,16.249300pt" to="136.667297pt,16.249300pt" stroked="true" strokeweight=".5pt" strokecolor="#231f20">
            <w10:wrap type="none"/>
          </v:line>
        </w:pict>
      </w:r>
      <w:r>
        <w:rPr/>
        <w:pict>
          <v:line style="position:absolute;mso-position-horizontal-relative:page;mso-position-vertical-relative:paragraph;z-index:8608" from="162.619293pt,16.249300pt" to="162.619293pt,16.249300pt" stroked="true" strokeweight=".5pt" strokecolor="#231f20">
            <w10:wrap type="none"/>
          </v:line>
        </w:pict>
      </w:r>
      <w:r>
        <w:rPr>
          <w:rFonts w:ascii="Calibri"/>
          <w:color w:val="414042"/>
          <w:spacing w:val="28"/>
          <w:w w:val="105"/>
          <w:sz w:val="32"/>
        </w:rPr>
        <w:t>9</w:t>
      </w:r>
      <w:r>
        <w:rPr>
          <w:rFonts w:ascii="Calibri"/>
          <w:color w:val="414042"/>
          <w:w w:val="95"/>
          <w:sz w:val="32"/>
          <w:u w:val="dotted" w:color="231F20"/>
        </w:rPr>
        <w:t> </w:t>
      </w:r>
      <w:r>
        <w:rPr>
          <w:rFonts w:ascii="Calibri"/>
          <w:color w:val="414042"/>
          <w:sz w:val="32"/>
          <w:u w:val="dotted" w:color="231F20"/>
        </w:rPr>
        <w:tab/>
      </w:r>
    </w:p>
    <w:p>
      <w:pPr>
        <w:tabs>
          <w:tab w:pos="1884" w:val="left" w:leader="none"/>
        </w:tabs>
        <w:spacing w:before="238"/>
        <w:ind w:left="1116" w:right="0" w:firstLine="0"/>
        <w:jc w:val="center"/>
        <w:rPr>
          <w:rFonts w:ascii="Calibri"/>
          <w:sz w:val="32"/>
        </w:rPr>
      </w:pPr>
      <w:r>
        <w:rPr/>
        <w:pict>
          <v:line style="position:absolute;mso-position-horizontal-relative:page;mso-position-vertical-relative:paragraph;z-index:-166864" from="136.667297pt,27.007769pt" to="136.667297pt,27.007769pt" stroked="true" strokeweight=".5pt" strokecolor="#231f20">
            <w10:wrap type="none"/>
          </v:line>
        </w:pict>
      </w:r>
      <w:r>
        <w:rPr/>
        <w:pict>
          <v:line style="position:absolute;mso-position-horizontal-relative:page;mso-position-vertical-relative:paragraph;z-index:8560" from="162.619293pt,27.007769pt" to="162.619293pt,27.007769pt" stroked="true" strokeweight=".5pt" strokecolor="#231f20">
            <w10:wrap type="none"/>
          </v:line>
        </w:pict>
      </w:r>
      <w:r>
        <w:rPr>
          <w:rFonts w:ascii="Calibri"/>
          <w:color w:val="414042"/>
          <w:w w:val="90"/>
          <w:sz w:val="32"/>
        </w:rPr>
        <w:t>15</w:t>
      </w:r>
      <w:r>
        <w:rPr>
          <w:rFonts w:ascii="Calibri"/>
          <w:color w:val="414042"/>
          <w:spacing w:val="-44"/>
          <w:sz w:val="32"/>
        </w:rPr>
        <w:t> </w:t>
      </w:r>
      <w:r>
        <w:rPr>
          <w:rFonts w:ascii="Calibri"/>
          <w:color w:val="414042"/>
          <w:w w:val="95"/>
          <w:sz w:val="32"/>
          <w:u w:val="dotted" w:color="231F20"/>
        </w:rPr>
        <w:t> </w:t>
      </w:r>
      <w:r>
        <w:rPr>
          <w:rFonts w:ascii="Calibri"/>
          <w:color w:val="414042"/>
          <w:sz w:val="32"/>
          <w:u w:val="dotted" w:color="231F20"/>
        </w:rPr>
        <w:tab/>
      </w:r>
    </w:p>
    <w:p>
      <w:pPr>
        <w:pStyle w:val="BodyText"/>
        <w:rPr>
          <w:rFonts w:ascii="Calibri"/>
          <w:sz w:val="32"/>
        </w:rPr>
      </w:pPr>
    </w:p>
    <w:p>
      <w:pPr>
        <w:pStyle w:val="BodyText"/>
        <w:rPr>
          <w:rFonts w:ascii="Calibri"/>
          <w:sz w:val="32"/>
        </w:rPr>
      </w:pPr>
    </w:p>
    <w:p>
      <w:pPr>
        <w:tabs>
          <w:tab w:pos="1909" w:val="left" w:leader="none"/>
        </w:tabs>
        <w:spacing w:before="265"/>
        <w:ind w:left="1069" w:right="0" w:firstLine="0"/>
        <w:jc w:val="center"/>
        <w:rPr>
          <w:rFonts w:ascii="Calibri"/>
          <w:sz w:val="32"/>
        </w:rPr>
      </w:pPr>
      <w:r>
        <w:rPr/>
        <w:pict>
          <v:line style="position:absolute;mso-position-horizontal-relative:page;mso-position-vertical-relative:paragraph;z-index:-166624" from="137.285995pt,27.324162pt" to="137.285995pt,27.324162pt" stroked="true" strokeweight=".5pt" strokecolor="#231f20">
            <w10:wrap type="none"/>
          </v:line>
        </w:pict>
      </w:r>
      <w:r>
        <w:rPr/>
        <w:pict>
          <v:line style="position:absolute;mso-position-horizontal-relative:page;mso-position-vertical-relative:paragraph;z-index:8800" from="163.238007pt,27.324162pt" to="163.238007pt,27.324162pt" stroked="true" strokeweight=".5pt" strokecolor="#231f20">
            <w10:wrap type="none"/>
          </v:line>
        </w:pict>
      </w:r>
      <w:r>
        <w:rPr>
          <w:rFonts w:ascii="Calibri"/>
          <w:color w:val="414042"/>
          <w:sz w:val="32"/>
        </w:rPr>
        <w:t>35</w:t>
      </w:r>
      <w:r>
        <w:rPr>
          <w:rFonts w:ascii="Calibri"/>
          <w:color w:val="414042"/>
          <w:spacing w:val="-18"/>
          <w:sz w:val="32"/>
        </w:rPr>
        <w:t> </w:t>
      </w:r>
      <w:r>
        <w:rPr>
          <w:rFonts w:ascii="Calibri"/>
          <w:color w:val="414042"/>
          <w:w w:val="95"/>
          <w:sz w:val="32"/>
          <w:u w:val="dotted" w:color="231F20"/>
        </w:rPr>
        <w:t> </w:t>
      </w:r>
      <w:r>
        <w:rPr>
          <w:rFonts w:ascii="Calibri"/>
          <w:color w:val="414042"/>
          <w:sz w:val="32"/>
          <w:u w:val="dotted" w:color="231F20"/>
        </w:rPr>
        <w:tab/>
      </w:r>
    </w:p>
    <w:p>
      <w:pPr>
        <w:pStyle w:val="BodyText"/>
        <w:rPr>
          <w:rFonts w:ascii="Calibri"/>
          <w:sz w:val="32"/>
        </w:rPr>
      </w:pPr>
    </w:p>
    <w:p>
      <w:pPr>
        <w:pStyle w:val="BodyText"/>
        <w:spacing w:before="5"/>
        <w:rPr>
          <w:rFonts w:ascii="Calibri"/>
          <w:sz w:val="28"/>
        </w:rPr>
      </w:pPr>
    </w:p>
    <w:p>
      <w:pPr>
        <w:tabs>
          <w:tab w:pos="1884" w:val="left" w:leader="none"/>
        </w:tabs>
        <w:spacing w:before="0"/>
        <w:ind w:left="1040" w:right="0" w:firstLine="0"/>
        <w:jc w:val="center"/>
        <w:rPr>
          <w:rFonts w:ascii="Calibri"/>
          <w:sz w:val="32"/>
        </w:rPr>
      </w:pPr>
      <w:r>
        <w:rPr/>
        <w:pict>
          <v:line style="position:absolute;mso-position-horizontal-relative:page;mso-position-vertical-relative:paragraph;z-index:-166576" from="136.667297pt,14.357869pt" to="136.667297pt,14.357869pt" stroked="true" strokeweight=".5pt" strokecolor="#231f20">
            <w10:wrap type="none"/>
          </v:line>
        </w:pict>
      </w:r>
      <w:r>
        <w:rPr/>
        <w:pict>
          <v:line style="position:absolute;mso-position-horizontal-relative:page;mso-position-vertical-relative:paragraph;z-index:8848" from="162.619293pt,14.357869pt" to="162.619293pt,14.357869pt" stroked="true" strokeweight=".5pt" strokecolor="#231f20">
            <w10:wrap type="none"/>
          </v:line>
        </w:pict>
      </w:r>
      <w:r>
        <w:rPr>
          <w:rFonts w:ascii="Calibri"/>
          <w:color w:val="414042"/>
          <w:sz w:val="32"/>
        </w:rPr>
        <w:t>59</w:t>
      </w:r>
      <w:r>
        <w:rPr>
          <w:rFonts w:ascii="Calibri"/>
          <w:color w:val="414042"/>
          <w:spacing w:val="-30"/>
          <w:sz w:val="32"/>
        </w:rPr>
        <w:t> </w:t>
      </w:r>
      <w:r>
        <w:rPr>
          <w:rFonts w:ascii="Calibri"/>
          <w:color w:val="414042"/>
          <w:w w:val="95"/>
          <w:sz w:val="32"/>
          <w:u w:val="dotted" w:color="231F20"/>
        </w:rPr>
        <w:t> </w:t>
      </w:r>
      <w:r>
        <w:rPr>
          <w:rFonts w:ascii="Calibri"/>
          <w:color w:val="414042"/>
          <w:sz w:val="32"/>
          <w:u w:val="dotted" w:color="231F20"/>
        </w:rPr>
        <w:tab/>
      </w:r>
    </w:p>
    <w:p>
      <w:pPr>
        <w:pStyle w:val="BodyText"/>
        <w:rPr>
          <w:rFonts w:ascii="Calibri"/>
          <w:sz w:val="32"/>
        </w:rPr>
      </w:pPr>
    </w:p>
    <w:p>
      <w:pPr>
        <w:pStyle w:val="BodyText"/>
        <w:rPr>
          <w:rFonts w:ascii="Calibri"/>
          <w:sz w:val="32"/>
        </w:rPr>
      </w:pPr>
    </w:p>
    <w:p>
      <w:pPr>
        <w:tabs>
          <w:tab w:pos="1825" w:val="left" w:leader="none"/>
        </w:tabs>
        <w:spacing w:before="228"/>
        <w:ind w:left="1021" w:right="0" w:firstLine="0"/>
        <w:jc w:val="center"/>
        <w:rPr>
          <w:rFonts w:ascii="Calibri"/>
          <w:sz w:val="32"/>
        </w:rPr>
      </w:pPr>
      <w:r>
        <w:rPr/>
        <w:pict>
          <v:line style="position:absolute;mso-position-horizontal-relative:page;mso-position-vertical-relative:paragraph;z-index:-166768" from="135.179092pt,26.466461pt" to="135.179092pt,26.466461pt" stroked="true" strokeweight=".5pt" strokecolor="#231f20">
            <w10:wrap type="none"/>
          </v:line>
        </w:pict>
      </w:r>
      <w:r>
        <w:rPr/>
        <w:pict>
          <v:line style="position:absolute;mso-position-horizontal-relative:page;mso-position-vertical-relative:paragraph;z-index:8656" from="161.131104pt,26.466461pt" to="161.131104pt,26.466461pt" stroked="true" strokeweight=".5pt" strokecolor="#231f20">
            <w10:wrap type="none"/>
          </v:line>
        </w:pict>
      </w:r>
      <w:r>
        <w:rPr>
          <w:rFonts w:ascii="Calibri"/>
          <w:color w:val="414042"/>
          <w:sz w:val="32"/>
        </w:rPr>
        <w:t>85</w:t>
      </w:r>
      <w:r>
        <w:rPr>
          <w:rFonts w:ascii="Calibri"/>
          <w:color w:val="414042"/>
          <w:w w:val="95"/>
          <w:sz w:val="32"/>
          <w:u w:val="dotted" w:color="231F20"/>
        </w:rPr>
        <w:t> </w:t>
      </w:r>
      <w:r>
        <w:rPr>
          <w:rFonts w:ascii="Calibri"/>
          <w:color w:val="414042"/>
          <w:sz w:val="32"/>
          <w:u w:val="dotted" w:color="231F20"/>
        </w:rPr>
        <w:tab/>
      </w:r>
    </w:p>
    <w:p>
      <w:pPr>
        <w:pStyle w:val="BodyText"/>
        <w:rPr>
          <w:rFonts w:ascii="Calibri"/>
          <w:sz w:val="32"/>
        </w:rPr>
      </w:pPr>
    </w:p>
    <w:p>
      <w:pPr>
        <w:pStyle w:val="BodyText"/>
        <w:spacing w:before="11"/>
        <w:rPr>
          <w:rFonts w:ascii="Calibri"/>
          <w:sz w:val="27"/>
        </w:rPr>
      </w:pPr>
    </w:p>
    <w:p>
      <w:pPr>
        <w:tabs>
          <w:tab w:pos="1825" w:val="left" w:leader="none"/>
        </w:tabs>
        <w:spacing w:before="0"/>
        <w:ind w:left="886" w:right="0" w:firstLine="0"/>
        <w:jc w:val="center"/>
        <w:rPr>
          <w:rFonts w:ascii="Calibri"/>
          <w:sz w:val="32"/>
        </w:rPr>
      </w:pPr>
      <w:r>
        <w:rPr/>
        <w:pict>
          <v:line style="position:absolute;mso-position-horizontal-relative:page;mso-position-vertical-relative:paragraph;z-index:-166720" from="135.179092pt,15.208074pt" to="135.179092pt,15.208074pt" stroked="true" strokeweight=".5pt" strokecolor="#231f20">
            <w10:wrap type="none"/>
          </v:line>
        </w:pict>
      </w:r>
      <w:r>
        <w:rPr/>
        <w:pict>
          <v:line style="position:absolute;mso-position-horizontal-relative:page;mso-position-vertical-relative:paragraph;z-index:8704" from="161.131104pt,15.208074pt" to="161.131104pt,15.208074pt" stroked="true" strokeweight=".5pt" strokecolor="#231f20">
            <w10:wrap type="none"/>
          </v:line>
        </w:pict>
      </w:r>
      <w:r>
        <w:rPr>
          <w:rFonts w:ascii="Calibri"/>
          <w:color w:val="414042"/>
          <w:sz w:val="32"/>
        </w:rPr>
        <w:t>109</w:t>
      </w:r>
      <w:r>
        <w:rPr>
          <w:rFonts w:ascii="Calibri"/>
          <w:color w:val="414042"/>
          <w:w w:val="95"/>
          <w:sz w:val="32"/>
          <w:u w:val="dotted" w:color="231F20"/>
        </w:rPr>
        <w:t> </w:t>
      </w:r>
      <w:r>
        <w:rPr>
          <w:rFonts w:ascii="Calibri"/>
          <w:color w:val="414042"/>
          <w:sz w:val="32"/>
          <w:u w:val="dotted" w:color="231F20"/>
        </w:rPr>
        <w:tab/>
      </w:r>
    </w:p>
    <w:p>
      <w:pPr>
        <w:pStyle w:val="BodyText"/>
        <w:rPr>
          <w:rFonts w:ascii="Calibri"/>
          <w:sz w:val="32"/>
        </w:rPr>
      </w:pPr>
    </w:p>
    <w:p>
      <w:pPr>
        <w:pStyle w:val="BodyText"/>
        <w:rPr>
          <w:rFonts w:ascii="Calibri"/>
          <w:sz w:val="32"/>
        </w:rPr>
      </w:pPr>
    </w:p>
    <w:p>
      <w:pPr>
        <w:pStyle w:val="BodyText"/>
        <w:spacing w:before="12"/>
        <w:rPr>
          <w:rFonts w:ascii="Calibri"/>
          <w:sz w:val="40"/>
        </w:rPr>
      </w:pPr>
    </w:p>
    <w:p>
      <w:pPr>
        <w:tabs>
          <w:tab w:pos="1825" w:val="left" w:leader="none"/>
        </w:tabs>
        <w:spacing w:before="0"/>
        <w:ind w:left="925" w:right="0" w:firstLine="0"/>
        <w:jc w:val="center"/>
        <w:rPr>
          <w:rFonts w:ascii="Calibri"/>
          <w:sz w:val="32"/>
        </w:rPr>
      </w:pPr>
      <w:r>
        <w:rPr/>
        <w:pict>
          <v:line style="position:absolute;mso-position-horizontal-relative:page;mso-position-vertical-relative:paragraph;z-index:-166672" from="135.179092pt,13.899168pt" to="135.179092pt,13.899168pt" stroked="true" strokeweight=".5pt" strokecolor="#231f20">
            <w10:wrap type="none"/>
          </v:line>
        </w:pict>
      </w:r>
      <w:r>
        <w:rPr/>
        <w:pict>
          <v:line style="position:absolute;mso-position-horizontal-relative:page;mso-position-vertical-relative:paragraph;z-index:8752" from="161.131104pt,13.899168pt" to="161.131104pt,13.899168pt" stroked="true" strokeweight=".5pt" strokecolor="#231f20">
            <w10:wrap type="none"/>
          </v:line>
        </w:pict>
      </w:r>
      <w:r>
        <w:rPr>
          <w:rFonts w:ascii="Calibri"/>
          <w:color w:val="414042"/>
          <w:sz w:val="32"/>
        </w:rPr>
        <w:t>129</w:t>
      </w:r>
      <w:r>
        <w:rPr>
          <w:rFonts w:ascii="Calibri"/>
          <w:color w:val="414042"/>
          <w:w w:val="95"/>
          <w:sz w:val="32"/>
          <w:u w:val="dotted" w:color="231F20"/>
        </w:rPr>
        <w:t> </w:t>
      </w:r>
      <w:r>
        <w:rPr>
          <w:rFonts w:ascii="Calibri"/>
          <w:color w:val="414042"/>
          <w:sz w:val="32"/>
          <w:u w:val="dotted" w:color="231F20"/>
        </w:rPr>
        <w:tab/>
      </w:r>
    </w:p>
    <w:p>
      <w:pPr>
        <w:pStyle w:val="Heading4"/>
        <w:spacing w:before="93"/>
        <w:ind w:right="1494"/>
        <w:rPr>
          <w:rFonts w:ascii="Lucida Sans Unicode"/>
        </w:rPr>
      </w:pPr>
      <w:r>
        <w:rPr/>
        <w:br w:type="column"/>
      </w:r>
      <w:r>
        <w:rPr>
          <w:rFonts w:ascii="Lucida Sans Unicode"/>
          <w:color w:val="6D6E71"/>
        </w:rPr>
        <w:t>I</w:t>
      </w:r>
      <w:r>
        <w:rPr>
          <w:rFonts w:ascii="Lucida Sans Unicode"/>
          <w:color w:val="231F20"/>
        </w:rPr>
        <w:t>NTRODUZIONE</w:t>
      </w:r>
    </w:p>
    <w:p>
      <w:pPr>
        <w:pStyle w:val="BodyText"/>
        <w:spacing w:before="8"/>
        <w:rPr>
          <w:rFonts w:ascii="Lucida Sans Unicode"/>
          <w:sz w:val="22"/>
        </w:rPr>
      </w:pPr>
    </w:p>
    <w:p>
      <w:pPr>
        <w:spacing w:line="196" w:lineRule="auto" w:before="0"/>
        <w:ind w:left="79" w:right="1494" w:firstLine="0"/>
        <w:jc w:val="left"/>
        <w:rPr>
          <w:rFonts w:ascii="Lucida Sans Unicode" w:hAnsi="Lucida Sans Unicode"/>
          <w:sz w:val="22"/>
        </w:rPr>
      </w:pPr>
      <w:r>
        <w:rPr>
          <w:rFonts w:ascii="Lucida Sans Unicode" w:hAnsi="Lucida Sans Unicode"/>
          <w:color w:val="231F20"/>
          <w:sz w:val="22"/>
        </w:rPr>
        <w:t>CAMBIAMENTO DI PARADIGMA </w:t>
      </w:r>
      <w:r>
        <w:rPr>
          <w:rFonts w:ascii="Lucida Sans Unicode" w:hAnsi="Lucida Sans Unicode"/>
          <w:color w:val="231F20"/>
          <w:w w:val="90"/>
          <w:sz w:val="22"/>
        </w:rPr>
        <w:t>GIURIDICO:</w:t>
      </w:r>
      <w:r>
        <w:rPr>
          <w:rFonts w:ascii="Lucida Sans Unicode" w:hAnsi="Lucida Sans Unicode"/>
          <w:color w:val="231F20"/>
          <w:spacing w:val="-29"/>
          <w:w w:val="90"/>
          <w:sz w:val="22"/>
        </w:rPr>
        <w:t> </w:t>
      </w:r>
      <w:r>
        <w:rPr>
          <w:rFonts w:ascii="Lucida Sans Unicode" w:hAnsi="Lucida Sans Unicode"/>
          <w:color w:val="231F20"/>
          <w:spacing w:val="-4"/>
          <w:w w:val="90"/>
          <w:sz w:val="22"/>
        </w:rPr>
        <w:t>L’11–S</w:t>
      </w:r>
      <w:r>
        <w:rPr>
          <w:rFonts w:ascii="Lucida Sans Unicode" w:hAnsi="Lucida Sans Unicode"/>
          <w:color w:val="231F20"/>
          <w:spacing w:val="-29"/>
          <w:w w:val="90"/>
          <w:sz w:val="22"/>
        </w:rPr>
        <w:t> </w:t>
      </w:r>
      <w:r>
        <w:rPr>
          <w:rFonts w:ascii="Lucida Sans Unicode" w:hAnsi="Lucida Sans Unicode"/>
          <w:color w:val="231F20"/>
          <w:w w:val="90"/>
          <w:sz w:val="22"/>
        </w:rPr>
        <w:t>E</w:t>
      </w:r>
      <w:r>
        <w:rPr>
          <w:rFonts w:ascii="Lucida Sans Unicode" w:hAnsi="Lucida Sans Unicode"/>
          <w:color w:val="231F20"/>
          <w:spacing w:val="-29"/>
          <w:w w:val="90"/>
          <w:sz w:val="22"/>
        </w:rPr>
        <w:t> </w:t>
      </w:r>
      <w:r>
        <w:rPr>
          <w:rFonts w:ascii="Lucida Sans Unicode" w:hAnsi="Lucida Sans Unicode"/>
          <w:color w:val="231F20"/>
          <w:w w:val="90"/>
          <w:sz w:val="22"/>
        </w:rPr>
        <w:t>LA</w:t>
      </w:r>
      <w:r>
        <w:rPr>
          <w:rFonts w:ascii="Lucida Sans Unicode" w:hAnsi="Lucida Sans Unicode"/>
          <w:color w:val="231F20"/>
          <w:spacing w:val="-29"/>
          <w:w w:val="90"/>
          <w:sz w:val="22"/>
        </w:rPr>
        <w:t> </w:t>
      </w:r>
      <w:r>
        <w:rPr>
          <w:rFonts w:ascii="Lucida Sans Unicode" w:hAnsi="Lucida Sans Unicode"/>
          <w:color w:val="231F20"/>
          <w:w w:val="90"/>
          <w:sz w:val="22"/>
        </w:rPr>
        <w:t>CRIMINALITÀ </w:t>
      </w:r>
      <w:r>
        <w:rPr>
          <w:rFonts w:ascii="Lucida Sans Unicode" w:hAnsi="Lucida Sans Unicode"/>
          <w:color w:val="231F20"/>
          <w:spacing w:val="-3"/>
          <w:w w:val="90"/>
          <w:sz w:val="22"/>
        </w:rPr>
        <w:t>ORGANIZZATA</w:t>
      </w:r>
      <w:r>
        <w:rPr>
          <w:rFonts w:ascii="Lucida Sans Unicode" w:hAnsi="Lucida Sans Unicode"/>
          <w:color w:val="231F20"/>
          <w:spacing w:val="-29"/>
          <w:w w:val="90"/>
          <w:sz w:val="22"/>
        </w:rPr>
        <w:t> </w:t>
      </w:r>
      <w:r>
        <w:rPr>
          <w:rFonts w:ascii="Lucida Sans Unicode" w:hAnsi="Lucida Sans Unicode"/>
          <w:color w:val="231F20"/>
          <w:w w:val="90"/>
          <w:sz w:val="22"/>
        </w:rPr>
        <w:t>IN</w:t>
      </w:r>
      <w:r>
        <w:rPr>
          <w:rFonts w:ascii="Lucida Sans Unicode" w:hAnsi="Lucida Sans Unicode"/>
          <w:color w:val="231F20"/>
          <w:spacing w:val="-29"/>
          <w:w w:val="90"/>
          <w:sz w:val="22"/>
        </w:rPr>
        <w:t> </w:t>
      </w:r>
      <w:r>
        <w:rPr>
          <w:rFonts w:ascii="Lucida Sans Unicode" w:hAnsi="Lucida Sans Unicode"/>
          <w:color w:val="231F20"/>
          <w:w w:val="90"/>
          <w:sz w:val="22"/>
        </w:rPr>
        <w:t>MESSICO</w:t>
      </w:r>
    </w:p>
    <w:p>
      <w:pPr>
        <w:spacing w:before="32"/>
        <w:ind w:left="79" w:right="1494" w:firstLine="0"/>
        <w:jc w:val="left"/>
        <w:rPr>
          <w:rFonts w:ascii="Calibri" w:hAnsi="Calibri"/>
          <w:sz w:val="22"/>
        </w:rPr>
      </w:pPr>
      <w:r>
        <w:rPr>
          <w:rFonts w:ascii="Calibri" w:hAnsi="Calibri"/>
          <w:color w:val="4C4D4F"/>
          <w:w w:val="105"/>
          <w:sz w:val="22"/>
        </w:rPr>
        <w:t>Jorge Olvera García</w:t>
      </w:r>
    </w:p>
    <w:p>
      <w:pPr>
        <w:pStyle w:val="BodyText"/>
        <w:spacing w:before="7"/>
        <w:rPr>
          <w:rFonts w:ascii="Calibri"/>
          <w:sz w:val="24"/>
        </w:rPr>
      </w:pPr>
    </w:p>
    <w:p>
      <w:pPr>
        <w:spacing w:line="187" w:lineRule="auto" w:before="0"/>
        <w:ind w:left="79" w:right="1394" w:firstLine="0"/>
        <w:jc w:val="left"/>
        <w:rPr>
          <w:rFonts w:ascii="Lucida Sans Unicode" w:hAnsi="Lucida Sans Unicode"/>
          <w:sz w:val="22"/>
        </w:rPr>
      </w:pPr>
      <w:r>
        <w:rPr>
          <w:rFonts w:ascii="Lucida Sans Unicode" w:hAnsi="Lucida Sans Unicode"/>
          <w:color w:val="231F20"/>
          <w:w w:val="90"/>
          <w:sz w:val="22"/>
        </w:rPr>
        <w:t>LO STATO GLOBALE E L’EVOLUZIONE DELLA SOVRANITÀ</w:t>
      </w:r>
    </w:p>
    <w:p>
      <w:pPr>
        <w:spacing w:before="35"/>
        <w:ind w:left="79" w:right="1494" w:firstLine="0"/>
        <w:jc w:val="left"/>
        <w:rPr>
          <w:rFonts w:ascii="Calibri"/>
          <w:sz w:val="22"/>
        </w:rPr>
      </w:pPr>
      <w:r>
        <w:rPr>
          <w:rFonts w:ascii="Calibri"/>
          <w:color w:val="4C4D4F"/>
          <w:w w:val="105"/>
          <w:sz w:val="22"/>
        </w:rPr>
        <w:t>Maurizio Ricciardi</w:t>
      </w:r>
    </w:p>
    <w:p>
      <w:pPr>
        <w:pStyle w:val="BodyText"/>
        <w:spacing w:before="7"/>
        <w:rPr>
          <w:rFonts w:ascii="Calibri"/>
          <w:sz w:val="24"/>
        </w:rPr>
      </w:pPr>
    </w:p>
    <w:p>
      <w:pPr>
        <w:spacing w:line="187" w:lineRule="auto" w:before="0"/>
        <w:ind w:left="79" w:right="1055" w:firstLine="0"/>
        <w:jc w:val="left"/>
        <w:rPr>
          <w:rFonts w:ascii="Lucida Sans Unicode"/>
          <w:sz w:val="22"/>
        </w:rPr>
      </w:pPr>
      <w:r>
        <w:rPr>
          <w:rFonts w:ascii="Lucida Sans Unicode"/>
          <w:color w:val="231F20"/>
          <w:sz w:val="22"/>
        </w:rPr>
        <w:t>NATURALIZZARE I PARADOSSI: UN </w:t>
      </w:r>
      <w:r>
        <w:rPr>
          <w:rFonts w:ascii="Lucida Sans Unicode"/>
          <w:color w:val="231F20"/>
          <w:w w:val="90"/>
          <w:sz w:val="22"/>
        </w:rPr>
        <w:t>APPROCCIO ALLA GLOBALIZZAZIONE DA </w:t>
      </w:r>
      <w:r>
        <w:rPr>
          <w:rFonts w:ascii="Lucida Sans Unicode"/>
          <w:color w:val="231F20"/>
          <w:w w:val="95"/>
          <w:sz w:val="22"/>
        </w:rPr>
        <w:t>GILLES DELEUZE</w:t>
      </w:r>
    </w:p>
    <w:p>
      <w:pPr>
        <w:spacing w:before="35"/>
        <w:ind w:left="79" w:right="1494" w:firstLine="0"/>
        <w:jc w:val="left"/>
        <w:rPr>
          <w:rFonts w:ascii="Calibri" w:hAnsi="Calibri"/>
          <w:sz w:val="22"/>
        </w:rPr>
      </w:pPr>
      <w:r>
        <w:rPr>
          <w:rFonts w:ascii="Calibri" w:hAnsi="Calibri"/>
          <w:color w:val="4C4D4F"/>
          <w:w w:val="105"/>
          <w:sz w:val="22"/>
        </w:rPr>
        <w:t>María Luisa Bacarlett Pérez</w:t>
      </w:r>
    </w:p>
    <w:p>
      <w:pPr>
        <w:pStyle w:val="BodyText"/>
        <w:spacing w:before="8"/>
        <w:rPr>
          <w:rFonts w:ascii="Calibri"/>
          <w:sz w:val="23"/>
        </w:rPr>
      </w:pPr>
    </w:p>
    <w:p>
      <w:pPr>
        <w:spacing w:line="187" w:lineRule="auto" w:before="0"/>
        <w:ind w:left="78" w:right="1055" w:firstLine="0"/>
        <w:jc w:val="left"/>
        <w:rPr>
          <w:rFonts w:ascii="Lucida Sans Unicode" w:hAnsi="Lucida Sans Unicode"/>
          <w:sz w:val="22"/>
        </w:rPr>
      </w:pPr>
      <w:r>
        <w:rPr>
          <w:rFonts w:ascii="Lucida Sans Unicode" w:hAnsi="Lucida Sans Unicode"/>
          <w:color w:val="231F20"/>
          <w:spacing w:val="-3"/>
          <w:w w:val="90"/>
          <w:sz w:val="22"/>
        </w:rPr>
        <w:t>LO</w:t>
      </w:r>
      <w:r>
        <w:rPr>
          <w:rFonts w:ascii="Lucida Sans Unicode" w:hAnsi="Lucida Sans Unicode"/>
          <w:color w:val="231F20"/>
          <w:spacing w:val="-24"/>
          <w:w w:val="90"/>
          <w:sz w:val="22"/>
        </w:rPr>
        <w:t> </w:t>
      </w:r>
      <w:r>
        <w:rPr>
          <w:rFonts w:ascii="Lucida Sans Unicode" w:hAnsi="Lucida Sans Unicode"/>
          <w:color w:val="231F20"/>
          <w:spacing w:val="-7"/>
          <w:w w:val="90"/>
          <w:sz w:val="22"/>
        </w:rPr>
        <w:t>STATO</w:t>
      </w:r>
      <w:r>
        <w:rPr>
          <w:rFonts w:ascii="Lucida Sans Unicode" w:hAnsi="Lucida Sans Unicode"/>
          <w:color w:val="231F20"/>
          <w:spacing w:val="-24"/>
          <w:w w:val="90"/>
          <w:sz w:val="22"/>
        </w:rPr>
        <w:t> </w:t>
      </w:r>
      <w:r>
        <w:rPr>
          <w:rFonts w:ascii="Lucida Sans Unicode" w:hAnsi="Lucida Sans Unicode"/>
          <w:color w:val="231F20"/>
          <w:w w:val="90"/>
          <w:sz w:val="22"/>
        </w:rPr>
        <w:t>MODERNO,</w:t>
      </w:r>
      <w:r>
        <w:rPr>
          <w:rFonts w:ascii="Lucida Sans Unicode" w:hAnsi="Lucida Sans Unicode"/>
          <w:color w:val="231F20"/>
          <w:spacing w:val="-24"/>
          <w:w w:val="90"/>
          <w:sz w:val="22"/>
        </w:rPr>
        <w:t> </w:t>
      </w:r>
      <w:r>
        <w:rPr>
          <w:rFonts w:ascii="Lucida Sans Unicode" w:hAnsi="Lucida Sans Unicode"/>
          <w:color w:val="231F20"/>
          <w:w w:val="90"/>
          <w:sz w:val="22"/>
        </w:rPr>
        <w:t>AL</w:t>
      </w:r>
      <w:r>
        <w:rPr>
          <w:rFonts w:ascii="Lucida Sans Unicode" w:hAnsi="Lucida Sans Unicode"/>
          <w:color w:val="231F20"/>
          <w:spacing w:val="-24"/>
          <w:w w:val="90"/>
          <w:sz w:val="22"/>
        </w:rPr>
        <w:t> </w:t>
      </w:r>
      <w:r>
        <w:rPr>
          <w:rFonts w:ascii="Lucida Sans Unicode" w:hAnsi="Lucida Sans Unicode"/>
          <w:color w:val="231F20"/>
          <w:w w:val="90"/>
          <w:sz w:val="22"/>
        </w:rPr>
        <w:t>GIORNO</w:t>
      </w:r>
      <w:r>
        <w:rPr>
          <w:rFonts w:ascii="Lucida Sans Unicode" w:hAnsi="Lucida Sans Unicode"/>
          <w:color w:val="231F20"/>
          <w:spacing w:val="-24"/>
          <w:w w:val="90"/>
          <w:sz w:val="22"/>
        </w:rPr>
        <w:t> </w:t>
      </w:r>
      <w:r>
        <w:rPr>
          <w:rFonts w:ascii="Lucida Sans Unicode" w:hAnsi="Lucida Sans Unicode"/>
          <w:color w:val="231F20"/>
          <w:w w:val="90"/>
          <w:sz w:val="22"/>
        </w:rPr>
        <w:t>D’OGGI E DI</w:t>
      </w:r>
      <w:r>
        <w:rPr>
          <w:rFonts w:ascii="Lucida Sans Unicode" w:hAnsi="Lucida Sans Unicode"/>
          <w:color w:val="231F20"/>
          <w:spacing w:val="-34"/>
          <w:w w:val="90"/>
          <w:sz w:val="22"/>
        </w:rPr>
        <w:t> </w:t>
      </w:r>
      <w:r>
        <w:rPr>
          <w:rFonts w:ascii="Lucida Sans Unicode" w:hAnsi="Lucida Sans Unicode"/>
          <w:color w:val="231F20"/>
          <w:w w:val="90"/>
          <w:sz w:val="22"/>
        </w:rPr>
        <w:t>DOMANI</w:t>
      </w:r>
    </w:p>
    <w:p>
      <w:pPr>
        <w:spacing w:before="35"/>
        <w:ind w:left="78" w:right="1494" w:firstLine="0"/>
        <w:jc w:val="left"/>
        <w:rPr>
          <w:rFonts w:ascii="Calibri"/>
          <w:sz w:val="22"/>
        </w:rPr>
      </w:pPr>
      <w:r>
        <w:rPr>
          <w:rFonts w:ascii="Calibri"/>
          <w:color w:val="4C4D4F"/>
          <w:w w:val="105"/>
          <w:sz w:val="22"/>
        </w:rPr>
        <w:t>Pierangelo Schiera</w:t>
      </w:r>
    </w:p>
    <w:p>
      <w:pPr>
        <w:pStyle w:val="BodyText"/>
        <w:spacing w:before="7"/>
        <w:rPr>
          <w:rFonts w:ascii="Calibri"/>
          <w:sz w:val="24"/>
        </w:rPr>
      </w:pPr>
    </w:p>
    <w:p>
      <w:pPr>
        <w:spacing w:line="187" w:lineRule="auto" w:before="0"/>
        <w:ind w:left="78" w:right="1055" w:firstLine="0"/>
        <w:jc w:val="left"/>
        <w:rPr>
          <w:rFonts w:ascii="Lucida Sans Unicode" w:hAnsi="Lucida Sans Unicode"/>
          <w:sz w:val="22"/>
        </w:rPr>
      </w:pPr>
      <w:r>
        <w:rPr>
          <w:rFonts w:ascii="Lucida Sans Unicode" w:hAnsi="Lucida Sans Unicode"/>
          <w:color w:val="231F20"/>
          <w:sz w:val="22"/>
        </w:rPr>
        <w:t>“L’ESTERNO È SEMPRE DENTRO”. </w:t>
      </w:r>
      <w:r>
        <w:rPr>
          <w:rFonts w:ascii="Lucida Sans Unicode" w:hAnsi="Lucida Sans Unicode"/>
          <w:color w:val="231F20"/>
          <w:w w:val="90"/>
          <w:sz w:val="22"/>
        </w:rPr>
        <w:t>TENSIONI E TRASFORMAZIONI RECENTI NELLO </w:t>
      </w:r>
      <w:r>
        <w:rPr>
          <w:rFonts w:ascii="Lucida Sans Unicode" w:hAnsi="Lucida Sans Unicode"/>
          <w:color w:val="231F20"/>
          <w:spacing w:val="-3"/>
          <w:w w:val="90"/>
          <w:sz w:val="22"/>
        </w:rPr>
        <w:t>SPAZIO </w:t>
      </w:r>
      <w:r>
        <w:rPr>
          <w:rFonts w:ascii="Lucida Sans Unicode" w:hAnsi="Lucida Sans Unicode"/>
          <w:color w:val="231F20"/>
          <w:w w:val="90"/>
          <w:sz w:val="22"/>
        </w:rPr>
        <w:t>POLITICO DELLO </w:t>
      </w:r>
      <w:r>
        <w:rPr>
          <w:rFonts w:ascii="Lucida Sans Unicode" w:hAnsi="Lucida Sans Unicode"/>
          <w:color w:val="231F20"/>
          <w:spacing w:val="-7"/>
          <w:w w:val="90"/>
          <w:sz w:val="22"/>
        </w:rPr>
        <w:t>STATO </w:t>
      </w:r>
      <w:r>
        <w:rPr>
          <w:rFonts w:ascii="Lucida Sans Unicode" w:hAnsi="Lucida Sans Unicode"/>
          <w:color w:val="231F20"/>
          <w:w w:val="90"/>
          <w:sz w:val="22"/>
        </w:rPr>
        <w:t>E LA DEMOCRAZIA</w:t>
      </w:r>
    </w:p>
    <w:p>
      <w:pPr>
        <w:spacing w:before="35"/>
        <w:ind w:left="78" w:right="1494" w:firstLine="0"/>
        <w:jc w:val="left"/>
        <w:rPr>
          <w:rFonts w:ascii="Calibri"/>
          <w:sz w:val="22"/>
        </w:rPr>
      </w:pPr>
      <w:r>
        <w:rPr>
          <w:rFonts w:ascii="Calibri"/>
          <w:color w:val="4C4D4F"/>
          <w:w w:val="105"/>
          <w:sz w:val="22"/>
        </w:rPr>
        <w:t>Israel Covarrubias</w:t>
      </w:r>
    </w:p>
    <w:p>
      <w:pPr>
        <w:pStyle w:val="BodyText"/>
        <w:spacing w:before="7"/>
        <w:rPr>
          <w:rFonts w:ascii="Calibri"/>
          <w:sz w:val="24"/>
        </w:rPr>
      </w:pPr>
    </w:p>
    <w:p>
      <w:pPr>
        <w:spacing w:line="187" w:lineRule="auto" w:before="0"/>
        <w:ind w:left="78" w:right="980" w:firstLine="0"/>
        <w:jc w:val="left"/>
        <w:rPr>
          <w:rFonts w:ascii="Lucida Sans Unicode" w:hAnsi="Lucida Sans Unicode"/>
          <w:sz w:val="22"/>
        </w:rPr>
      </w:pPr>
      <w:r>
        <w:rPr>
          <w:rFonts w:ascii="Lucida Sans Unicode" w:hAnsi="Lucida Sans Unicode"/>
          <w:color w:val="231F20"/>
          <w:sz w:val="22"/>
        </w:rPr>
        <w:t>QUESTIONI DI CONFINE. SOVRANITÀ </w:t>
      </w:r>
      <w:r>
        <w:rPr>
          <w:rFonts w:ascii="Lucida Sans Unicode" w:hAnsi="Lucida Sans Unicode"/>
          <w:color w:val="231F20"/>
          <w:w w:val="95"/>
          <w:sz w:val="22"/>
        </w:rPr>
        <w:t>TERRITORIALE E ORDINE GLOBALE NEL </w:t>
      </w:r>
      <w:r>
        <w:rPr>
          <w:rFonts w:ascii="Lucida Sans Unicode" w:hAnsi="Lucida Sans Unicode"/>
          <w:color w:val="231F20"/>
          <w:w w:val="90"/>
          <w:sz w:val="22"/>
        </w:rPr>
        <w:t>DIBATTITO SUL “NUOVO INTERVENTISMO </w:t>
      </w:r>
      <w:r>
        <w:rPr>
          <w:rFonts w:ascii="Lucida Sans Unicode" w:hAnsi="Lucida Sans Unicode"/>
          <w:color w:val="231F20"/>
          <w:sz w:val="22"/>
        </w:rPr>
        <w:t>UMANITARIO”</w:t>
      </w:r>
    </w:p>
    <w:p>
      <w:pPr>
        <w:spacing w:before="35"/>
        <w:ind w:left="78" w:right="1494" w:firstLine="0"/>
        <w:jc w:val="left"/>
        <w:rPr>
          <w:rFonts w:ascii="Calibri"/>
          <w:sz w:val="22"/>
        </w:rPr>
      </w:pPr>
      <w:r>
        <w:rPr>
          <w:rFonts w:ascii="Calibri"/>
          <w:color w:val="4C4D4F"/>
          <w:w w:val="105"/>
          <w:sz w:val="22"/>
        </w:rPr>
        <w:t>Luca Scuccimarra</w:t>
      </w:r>
    </w:p>
    <w:p>
      <w:pPr>
        <w:spacing w:after="0"/>
        <w:jc w:val="left"/>
        <w:rPr>
          <w:rFonts w:ascii="Calibri"/>
          <w:sz w:val="22"/>
        </w:rPr>
        <w:sectPr>
          <w:type w:val="continuous"/>
          <w:pgSz w:w="9640" w:h="13890"/>
          <w:pgMar w:top="0" w:bottom="0" w:left="1340" w:right="1340"/>
          <w:cols w:num="2" w:equalWidth="0">
            <w:col w:w="1910" w:space="40"/>
            <w:col w:w="5010"/>
          </w:cols>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spacing w:before="120"/>
        <w:ind w:left="117"/>
        <w:jc w:val="both"/>
        <w:rPr>
          <w:rFonts w:ascii="Trebuchet MS"/>
        </w:rPr>
      </w:pPr>
      <w:r>
        <w:rPr>
          <w:rFonts w:ascii="Trebuchet MS"/>
          <w:color w:val="231F20"/>
        </w:rPr>
        <w:t>Introduzione</w:t>
      </w:r>
    </w:p>
    <w:p>
      <w:pPr>
        <w:pStyle w:val="BodyText"/>
        <w:rPr>
          <w:rFonts w:ascii="Trebuchet MS"/>
          <w:sz w:val="20"/>
        </w:rPr>
      </w:pPr>
    </w:p>
    <w:p>
      <w:pPr>
        <w:pStyle w:val="BodyText"/>
        <w:spacing w:line="247" w:lineRule="auto" w:before="168"/>
        <w:ind w:left="117" w:right="118"/>
        <w:jc w:val="both"/>
      </w:pPr>
      <w:r>
        <w:rPr>
          <w:color w:val="231F20"/>
          <w:w w:val="105"/>
        </w:rPr>
        <w:t>Globalizzazione:</w:t>
      </w:r>
      <w:r>
        <w:rPr>
          <w:color w:val="231F20"/>
          <w:spacing w:val="-7"/>
          <w:w w:val="105"/>
        </w:rPr>
        <w:t> </w:t>
      </w:r>
      <w:r>
        <w:rPr>
          <w:color w:val="231F20"/>
          <w:w w:val="105"/>
        </w:rPr>
        <w:t>parola,</w:t>
      </w:r>
      <w:r>
        <w:rPr>
          <w:color w:val="231F20"/>
          <w:spacing w:val="-7"/>
          <w:w w:val="105"/>
        </w:rPr>
        <w:t> </w:t>
      </w:r>
      <w:r>
        <w:rPr>
          <w:color w:val="231F20"/>
          <w:w w:val="105"/>
        </w:rPr>
        <w:t>idea,</w:t>
      </w:r>
      <w:r>
        <w:rPr>
          <w:color w:val="231F20"/>
          <w:spacing w:val="-7"/>
          <w:w w:val="105"/>
        </w:rPr>
        <w:t> </w:t>
      </w:r>
      <w:r>
        <w:rPr>
          <w:color w:val="231F20"/>
          <w:w w:val="105"/>
        </w:rPr>
        <w:t>concetto,</w:t>
      </w:r>
      <w:r>
        <w:rPr>
          <w:color w:val="231F20"/>
          <w:spacing w:val="-7"/>
          <w:w w:val="105"/>
        </w:rPr>
        <w:t> </w:t>
      </w:r>
      <w:r>
        <w:rPr>
          <w:color w:val="231F20"/>
          <w:w w:val="105"/>
        </w:rPr>
        <w:t>stato</w:t>
      </w:r>
      <w:r>
        <w:rPr>
          <w:color w:val="231F20"/>
          <w:spacing w:val="-7"/>
          <w:w w:val="105"/>
        </w:rPr>
        <w:t> </w:t>
      </w:r>
      <w:r>
        <w:rPr>
          <w:color w:val="231F20"/>
          <w:w w:val="105"/>
        </w:rPr>
        <w:t>delle</w:t>
      </w:r>
      <w:r>
        <w:rPr>
          <w:color w:val="231F20"/>
          <w:spacing w:val="-7"/>
          <w:w w:val="105"/>
        </w:rPr>
        <w:t> </w:t>
      </w:r>
      <w:r>
        <w:rPr>
          <w:color w:val="231F20"/>
          <w:w w:val="105"/>
        </w:rPr>
        <w:t>cose:</w:t>
      </w:r>
      <w:r>
        <w:rPr>
          <w:color w:val="231F20"/>
          <w:spacing w:val="-7"/>
          <w:w w:val="105"/>
        </w:rPr>
        <w:t> </w:t>
      </w:r>
      <w:r>
        <w:rPr>
          <w:color w:val="231F20"/>
          <w:w w:val="105"/>
        </w:rPr>
        <w:t>dove</w:t>
      </w:r>
      <w:r>
        <w:rPr>
          <w:color w:val="231F20"/>
          <w:spacing w:val="-7"/>
          <w:w w:val="105"/>
        </w:rPr>
        <w:t> </w:t>
      </w:r>
      <w:r>
        <w:rPr>
          <w:color w:val="231F20"/>
          <w:w w:val="105"/>
        </w:rPr>
        <w:t>inserirla? Si</w:t>
      </w:r>
      <w:r>
        <w:rPr>
          <w:color w:val="231F20"/>
          <w:spacing w:val="-10"/>
          <w:w w:val="105"/>
        </w:rPr>
        <w:t> </w:t>
      </w:r>
      <w:r>
        <w:rPr>
          <w:color w:val="231F20"/>
          <w:w w:val="105"/>
        </w:rPr>
        <w:t>assomiglia</w:t>
      </w:r>
      <w:r>
        <w:rPr>
          <w:color w:val="231F20"/>
          <w:spacing w:val="-11"/>
          <w:w w:val="105"/>
        </w:rPr>
        <w:t> </w:t>
      </w:r>
      <w:r>
        <w:rPr>
          <w:color w:val="231F20"/>
          <w:w w:val="105"/>
        </w:rPr>
        <w:t>all’acqua</w:t>
      </w:r>
      <w:r>
        <w:rPr>
          <w:color w:val="231F20"/>
          <w:spacing w:val="-11"/>
          <w:w w:val="105"/>
        </w:rPr>
        <w:t> </w:t>
      </w:r>
      <w:r>
        <w:rPr>
          <w:color w:val="231F20"/>
          <w:w w:val="105"/>
        </w:rPr>
        <w:t>che</w:t>
      </w:r>
      <w:r>
        <w:rPr>
          <w:color w:val="231F20"/>
          <w:spacing w:val="-11"/>
          <w:w w:val="105"/>
        </w:rPr>
        <w:t> </w:t>
      </w:r>
      <w:r>
        <w:rPr>
          <w:color w:val="231F20"/>
          <w:w w:val="105"/>
        </w:rPr>
        <w:t>non</w:t>
      </w:r>
      <w:r>
        <w:rPr>
          <w:color w:val="231F20"/>
          <w:spacing w:val="-11"/>
          <w:w w:val="105"/>
        </w:rPr>
        <w:t> </w:t>
      </w:r>
      <w:r>
        <w:rPr>
          <w:color w:val="231F20"/>
          <w:w w:val="105"/>
        </w:rPr>
        <w:t>si</w:t>
      </w:r>
      <w:r>
        <w:rPr>
          <w:color w:val="231F20"/>
          <w:spacing w:val="-10"/>
          <w:w w:val="105"/>
        </w:rPr>
        <w:t> </w:t>
      </w:r>
      <w:r>
        <w:rPr>
          <w:color w:val="231F20"/>
          <w:w w:val="105"/>
        </w:rPr>
        <w:t>può</w:t>
      </w:r>
      <w:r>
        <w:rPr>
          <w:color w:val="231F20"/>
          <w:spacing w:val="-11"/>
          <w:w w:val="105"/>
        </w:rPr>
        <w:t> </w:t>
      </w:r>
      <w:r>
        <w:rPr>
          <w:color w:val="231F20"/>
          <w:w w:val="105"/>
        </w:rPr>
        <w:t>contenere</w:t>
      </w:r>
      <w:r>
        <w:rPr>
          <w:color w:val="231F20"/>
          <w:spacing w:val="-10"/>
          <w:w w:val="105"/>
        </w:rPr>
        <w:t> </w:t>
      </w:r>
      <w:r>
        <w:rPr>
          <w:color w:val="231F20"/>
          <w:w w:val="105"/>
        </w:rPr>
        <w:t>tra</w:t>
      </w:r>
      <w:r>
        <w:rPr>
          <w:color w:val="231F20"/>
          <w:spacing w:val="-11"/>
          <w:w w:val="105"/>
        </w:rPr>
        <w:t> </w:t>
      </w:r>
      <w:r>
        <w:rPr>
          <w:color w:val="231F20"/>
          <w:w w:val="105"/>
        </w:rPr>
        <w:t>le</w:t>
      </w:r>
      <w:r>
        <w:rPr>
          <w:color w:val="231F20"/>
          <w:spacing w:val="-11"/>
          <w:w w:val="105"/>
        </w:rPr>
        <w:t> </w:t>
      </w:r>
      <w:r>
        <w:rPr>
          <w:color w:val="231F20"/>
          <w:w w:val="105"/>
        </w:rPr>
        <w:t>mani,</w:t>
      </w:r>
      <w:r>
        <w:rPr>
          <w:color w:val="231F20"/>
          <w:spacing w:val="-10"/>
          <w:w w:val="105"/>
        </w:rPr>
        <w:t> </w:t>
      </w:r>
      <w:r>
        <w:rPr>
          <w:color w:val="231F20"/>
          <w:w w:val="105"/>
        </w:rPr>
        <w:t>che</w:t>
      </w:r>
      <w:r>
        <w:rPr>
          <w:color w:val="231F20"/>
          <w:spacing w:val="-11"/>
          <w:w w:val="105"/>
        </w:rPr>
        <w:t> </w:t>
      </w:r>
      <w:r>
        <w:rPr>
          <w:color w:val="231F20"/>
          <w:w w:val="105"/>
        </w:rPr>
        <w:t>scorre, si filtra e circola; ma la sua presenza è contundente nel mondo </w:t>
      </w:r>
      <w:r>
        <w:rPr>
          <w:color w:val="231F20"/>
          <w:spacing w:val="2"/>
          <w:w w:val="105"/>
        </w:rPr>
        <w:t>attuale </w:t>
      </w:r>
      <w:r>
        <w:rPr>
          <w:color w:val="231F20"/>
          <w:w w:val="105"/>
        </w:rPr>
        <w:t>e nei più nascosti spazi della vita quotidiana. Il suo principale alleato è evidentemente,</w:t>
      </w:r>
      <w:r>
        <w:rPr>
          <w:color w:val="231F20"/>
          <w:spacing w:val="-25"/>
          <w:w w:val="105"/>
        </w:rPr>
        <w:t> </w:t>
      </w:r>
      <w:r>
        <w:rPr>
          <w:color w:val="231F20"/>
          <w:w w:val="105"/>
        </w:rPr>
        <w:t>il</w:t>
      </w:r>
      <w:r>
        <w:rPr>
          <w:color w:val="231F20"/>
          <w:spacing w:val="-25"/>
          <w:w w:val="105"/>
        </w:rPr>
        <w:t> </w:t>
      </w:r>
      <w:r>
        <w:rPr>
          <w:color w:val="231F20"/>
          <w:w w:val="105"/>
        </w:rPr>
        <w:t>capitalismo.</w:t>
      </w:r>
      <w:r>
        <w:rPr>
          <w:color w:val="231F20"/>
          <w:spacing w:val="-25"/>
          <w:w w:val="105"/>
        </w:rPr>
        <w:t> </w:t>
      </w:r>
      <w:r>
        <w:rPr>
          <w:color w:val="231F20"/>
          <w:spacing w:val="-3"/>
          <w:w w:val="105"/>
        </w:rPr>
        <w:t>Vanno</w:t>
      </w:r>
      <w:r>
        <w:rPr>
          <w:color w:val="231F20"/>
          <w:spacing w:val="-25"/>
          <w:w w:val="105"/>
        </w:rPr>
        <w:t> </w:t>
      </w:r>
      <w:r>
        <w:rPr>
          <w:color w:val="231F20"/>
          <w:w w:val="105"/>
        </w:rPr>
        <w:t>mano</w:t>
      </w:r>
      <w:r>
        <w:rPr>
          <w:color w:val="231F20"/>
          <w:spacing w:val="-25"/>
          <w:w w:val="105"/>
        </w:rPr>
        <w:t> </w:t>
      </w:r>
      <w:r>
        <w:rPr>
          <w:color w:val="231F20"/>
          <w:w w:val="105"/>
        </w:rPr>
        <w:t>nella</w:t>
      </w:r>
      <w:r>
        <w:rPr>
          <w:color w:val="231F20"/>
          <w:spacing w:val="-25"/>
          <w:w w:val="105"/>
        </w:rPr>
        <w:t> </w:t>
      </w:r>
      <w:r>
        <w:rPr>
          <w:color w:val="231F20"/>
          <w:w w:val="105"/>
        </w:rPr>
        <w:t>mano</w:t>
      </w:r>
      <w:r>
        <w:rPr>
          <w:color w:val="231F20"/>
          <w:spacing w:val="-25"/>
          <w:w w:val="105"/>
        </w:rPr>
        <w:t> </w:t>
      </w:r>
      <w:r>
        <w:rPr>
          <w:color w:val="231F20"/>
          <w:w w:val="105"/>
        </w:rPr>
        <w:t>e</w:t>
      </w:r>
      <w:r>
        <w:rPr>
          <w:color w:val="231F20"/>
          <w:spacing w:val="-25"/>
          <w:w w:val="105"/>
        </w:rPr>
        <w:t> </w:t>
      </w:r>
      <w:r>
        <w:rPr>
          <w:color w:val="231F20"/>
          <w:w w:val="105"/>
        </w:rPr>
        <w:t>sono</w:t>
      </w:r>
      <w:r>
        <w:rPr>
          <w:color w:val="231F20"/>
          <w:spacing w:val="-25"/>
          <w:w w:val="105"/>
        </w:rPr>
        <w:t> </w:t>
      </w:r>
      <w:r>
        <w:rPr>
          <w:color w:val="231F20"/>
          <w:w w:val="105"/>
        </w:rPr>
        <w:t>in</w:t>
      </w:r>
      <w:r>
        <w:rPr>
          <w:color w:val="231F20"/>
          <w:spacing w:val="-25"/>
          <w:w w:val="105"/>
        </w:rPr>
        <w:t> </w:t>
      </w:r>
      <w:r>
        <w:rPr>
          <w:color w:val="231F20"/>
          <w:w w:val="105"/>
        </w:rPr>
        <w:t>costante retroazione.</w:t>
      </w:r>
      <w:r>
        <w:rPr>
          <w:color w:val="231F20"/>
          <w:spacing w:val="-53"/>
          <w:w w:val="105"/>
        </w:rPr>
        <w:t> </w:t>
      </w:r>
      <w:r>
        <w:rPr>
          <w:color w:val="231F20"/>
          <w:w w:val="105"/>
        </w:rPr>
        <w:t>Bisogna</w:t>
      </w:r>
      <w:r>
        <w:rPr>
          <w:color w:val="231F20"/>
          <w:spacing w:val="-53"/>
          <w:w w:val="105"/>
        </w:rPr>
        <w:t> </w:t>
      </w:r>
      <w:r>
        <w:rPr>
          <w:color w:val="231F20"/>
          <w:w w:val="105"/>
        </w:rPr>
        <w:t>ricordare,</w:t>
      </w:r>
      <w:r>
        <w:rPr>
          <w:color w:val="231F20"/>
          <w:spacing w:val="-53"/>
          <w:w w:val="105"/>
        </w:rPr>
        <w:t> </w:t>
      </w:r>
      <w:r>
        <w:rPr>
          <w:color w:val="231F20"/>
          <w:w w:val="105"/>
        </w:rPr>
        <w:t>non</w:t>
      </w:r>
      <w:r>
        <w:rPr>
          <w:color w:val="231F20"/>
          <w:spacing w:val="-53"/>
          <w:w w:val="105"/>
        </w:rPr>
        <w:t> </w:t>
      </w:r>
      <w:r>
        <w:rPr>
          <w:color w:val="231F20"/>
          <w:w w:val="105"/>
        </w:rPr>
        <w:t>ostante,</w:t>
      </w:r>
      <w:r>
        <w:rPr>
          <w:color w:val="231F20"/>
          <w:spacing w:val="-53"/>
          <w:w w:val="105"/>
        </w:rPr>
        <w:t> </w:t>
      </w:r>
      <w:r>
        <w:rPr>
          <w:color w:val="231F20"/>
          <w:w w:val="105"/>
        </w:rPr>
        <w:t>che</w:t>
      </w:r>
      <w:r>
        <w:rPr>
          <w:color w:val="231F20"/>
          <w:spacing w:val="-53"/>
          <w:w w:val="105"/>
        </w:rPr>
        <w:t> </w:t>
      </w:r>
      <w:r>
        <w:rPr>
          <w:color w:val="231F20"/>
          <w:w w:val="105"/>
        </w:rPr>
        <w:t>la</w:t>
      </w:r>
      <w:r>
        <w:rPr>
          <w:color w:val="231F20"/>
          <w:spacing w:val="-53"/>
          <w:w w:val="105"/>
        </w:rPr>
        <w:t> </w:t>
      </w:r>
      <w:r>
        <w:rPr>
          <w:color w:val="231F20"/>
          <w:w w:val="105"/>
        </w:rPr>
        <w:t>globalizzazione</w:t>
      </w:r>
      <w:r>
        <w:rPr>
          <w:color w:val="231F20"/>
          <w:spacing w:val="-52"/>
          <w:w w:val="105"/>
        </w:rPr>
        <w:t> </w:t>
      </w:r>
      <w:r>
        <w:rPr>
          <w:color w:val="231F20"/>
          <w:w w:val="105"/>
        </w:rPr>
        <w:t>è</w:t>
      </w:r>
      <w:r>
        <w:rPr>
          <w:color w:val="231F20"/>
          <w:spacing w:val="-53"/>
          <w:w w:val="105"/>
        </w:rPr>
        <w:t> </w:t>
      </w:r>
      <w:r>
        <w:rPr>
          <w:color w:val="231F20"/>
          <w:w w:val="105"/>
        </w:rPr>
        <w:t>esistita da</w:t>
      </w:r>
      <w:r>
        <w:rPr>
          <w:color w:val="231F20"/>
          <w:spacing w:val="-35"/>
          <w:w w:val="105"/>
        </w:rPr>
        <w:t> </w:t>
      </w:r>
      <w:r>
        <w:rPr>
          <w:color w:val="231F20"/>
          <w:w w:val="105"/>
        </w:rPr>
        <w:t>prima</w:t>
      </w:r>
      <w:r>
        <w:rPr>
          <w:color w:val="231F20"/>
          <w:spacing w:val="-35"/>
          <w:w w:val="105"/>
        </w:rPr>
        <w:t> </w:t>
      </w:r>
      <w:r>
        <w:rPr>
          <w:color w:val="231F20"/>
          <w:w w:val="105"/>
        </w:rPr>
        <w:t>dell’arrivo</w:t>
      </w:r>
      <w:r>
        <w:rPr>
          <w:color w:val="231F20"/>
          <w:spacing w:val="-35"/>
          <w:w w:val="105"/>
        </w:rPr>
        <w:t> </w:t>
      </w:r>
      <w:r>
        <w:rPr>
          <w:color w:val="231F20"/>
          <w:w w:val="105"/>
        </w:rPr>
        <w:t>di</w:t>
      </w:r>
      <w:r>
        <w:rPr>
          <w:color w:val="231F20"/>
          <w:spacing w:val="-35"/>
          <w:w w:val="105"/>
        </w:rPr>
        <w:t> </w:t>
      </w:r>
      <w:r>
        <w:rPr>
          <w:color w:val="231F20"/>
          <w:w w:val="105"/>
        </w:rPr>
        <w:t>questo</w:t>
      </w:r>
      <w:r>
        <w:rPr>
          <w:color w:val="231F20"/>
          <w:spacing w:val="-35"/>
          <w:w w:val="105"/>
        </w:rPr>
        <w:t> </w:t>
      </w:r>
      <w:r>
        <w:rPr>
          <w:color w:val="231F20"/>
          <w:w w:val="105"/>
        </w:rPr>
        <w:t>sistema</w:t>
      </w:r>
      <w:r>
        <w:rPr>
          <w:color w:val="231F20"/>
          <w:spacing w:val="-35"/>
          <w:w w:val="105"/>
        </w:rPr>
        <w:t> </w:t>
      </w:r>
      <w:r>
        <w:rPr>
          <w:color w:val="231F20"/>
          <w:w w:val="105"/>
        </w:rPr>
        <w:t>economico–politico.</w:t>
      </w:r>
      <w:r>
        <w:rPr>
          <w:color w:val="231F20"/>
          <w:spacing w:val="-35"/>
          <w:w w:val="105"/>
        </w:rPr>
        <w:t> </w:t>
      </w:r>
      <w:r>
        <w:rPr>
          <w:color w:val="231F20"/>
          <w:w w:val="105"/>
        </w:rPr>
        <w:t>Questo</w:t>
      </w:r>
      <w:r>
        <w:rPr>
          <w:color w:val="231F20"/>
          <w:spacing w:val="-35"/>
          <w:w w:val="105"/>
        </w:rPr>
        <w:t> </w:t>
      </w:r>
      <w:r>
        <w:rPr>
          <w:color w:val="231F20"/>
          <w:w w:val="105"/>
        </w:rPr>
        <w:t>impulso </w:t>
      </w:r>
      <w:r>
        <w:rPr>
          <w:color w:val="231F20"/>
          <w:spacing w:val="-3"/>
          <w:w w:val="105"/>
        </w:rPr>
        <w:t>all’espansione</w:t>
      </w:r>
      <w:r>
        <w:rPr>
          <w:color w:val="231F20"/>
          <w:spacing w:val="-46"/>
          <w:w w:val="105"/>
        </w:rPr>
        <w:t> </w:t>
      </w:r>
      <w:r>
        <w:rPr>
          <w:color w:val="231F20"/>
          <w:w w:val="105"/>
        </w:rPr>
        <w:t>e</w:t>
      </w:r>
      <w:r>
        <w:rPr>
          <w:color w:val="231F20"/>
          <w:spacing w:val="-46"/>
          <w:w w:val="105"/>
        </w:rPr>
        <w:t> </w:t>
      </w:r>
      <w:r>
        <w:rPr>
          <w:color w:val="231F20"/>
          <w:w w:val="105"/>
        </w:rPr>
        <w:t>la</w:t>
      </w:r>
      <w:r>
        <w:rPr>
          <w:color w:val="231F20"/>
          <w:spacing w:val="-46"/>
          <w:w w:val="105"/>
        </w:rPr>
        <w:t> </w:t>
      </w:r>
      <w:r>
        <w:rPr>
          <w:color w:val="231F20"/>
          <w:spacing w:val="-3"/>
          <w:w w:val="105"/>
        </w:rPr>
        <w:t>colonizzazione</w:t>
      </w:r>
      <w:r>
        <w:rPr>
          <w:color w:val="231F20"/>
          <w:spacing w:val="-46"/>
          <w:w w:val="105"/>
        </w:rPr>
        <w:t> </w:t>
      </w:r>
      <w:r>
        <w:rPr>
          <w:color w:val="231F20"/>
          <w:w w:val="105"/>
        </w:rPr>
        <w:t>da</w:t>
      </w:r>
      <w:r>
        <w:rPr>
          <w:color w:val="231F20"/>
          <w:spacing w:val="-46"/>
          <w:w w:val="105"/>
        </w:rPr>
        <w:t> </w:t>
      </w:r>
      <w:r>
        <w:rPr>
          <w:color w:val="231F20"/>
          <w:spacing w:val="-3"/>
          <w:w w:val="105"/>
        </w:rPr>
        <w:t>parte</w:t>
      </w:r>
      <w:r>
        <w:rPr>
          <w:color w:val="231F20"/>
          <w:spacing w:val="-46"/>
          <w:w w:val="105"/>
        </w:rPr>
        <w:t> </w:t>
      </w:r>
      <w:r>
        <w:rPr>
          <w:color w:val="231F20"/>
          <w:w w:val="105"/>
        </w:rPr>
        <w:t>di</w:t>
      </w:r>
      <w:r>
        <w:rPr>
          <w:color w:val="231F20"/>
          <w:spacing w:val="-46"/>
          <w:w w:val="105"/>
        </w:rPr>
        <w:t> </w:t>
      </w:r>
      <w:r>
        <w:rPr>
          <w:color w:val="231F20"/>
          <w:w w:val="105"/>
        </w:rPr>
        <w:t>una</w:t>
      </w:r>
      <w:r>
        <w:rPr>
          <w:color w:val="231F20"/>
          <w:spacing w:val="-46"/>
          <w:w w:val="105"/>
        </w:rPr>
        <w:t> </w:t>
      </w:r>
      <w:r>
        <w:rPr>
          <w:color w:val="231F20"/>
          <w:spacing w:val="-3"/>
          <w:w w:val="105"/>
        </w:rPr>
        <w:t>determinata</w:t>
      </w:r>
      <w:r>
        <w:rPr>
          <w:color w:val="231F20"/>
          <w:spacing w:val="-46"/>
          <w:w w:val="105"/>
        </w:rPr>
        <w:t> </w:t>
      </w:r>
      <w:r>
        <w:rPr>
          <w:color w:val="231F20"/>
          <w:spacing w:val="-3"/>
          <w:w w:val="105"/>
        </w:rPr>
        <w:t>cultura</w:t>
      </w:r>
      <w:r>
        <w:rPr>
          <w:color w:val="231F20"/>
          <w:spacing w:val="-46"/>
          <w:w w:val="105"/>
        </w:rPr>
        <w:t> </w:t>
      </w:r>
      <w:r>
        <w:rPr>
          <w:color w:val="231F20"/>
          <w:w w:val="105"/>
        </w:rPr>
        <w:t>o</w:t>
      </w:r>
      <w:r>
        <w:rPr>
          <w:color w:val="231F20"/>
          <w:spacing w:val="-46"/>
          <w:w w:val="105"/>
        </w:rPr>
        <w:t> </w:t>
      </w:r>
      <w:r>
        <w:rPr>
          <w:color w:val="231F20"/>
          <w:spacing w:val="-3"/>
          <w:w w:val="105"/>
        </w:rPr>
        <w:t>forma </w:t>
      </w:r>
      <w:r>
        <w:rPr>
          <w:color w:val="231F20"/>
          <w:w w:val="105"/>
        </w:rPr>
        <w:t>di</w:t>
      </w:r>
      <w:r>
        <w:rPr>
          <w:color w:val="231F20"/>
          <w:spacing w:val="-19"/>
          <w:w w:val="105"/>
        </w:rPr>
        <w:t> </w:t>
      </w:r>
      <w:r>
        <w:rPr>
          <w:color w:val="231F20"/>
          <w:w w:val="105"/>
        </w:rPr>
        <w:t>vita</w:t>
      </w:r>
      <w:r>
        <w:rPr>
          <w:color w:val="231F20"/>
          <w:spacing w:val="-19"/>
          <w:w w:val="105"/>
        </w:rPr>
        <w:t> </w:t>
      </w:r>
      <w:r>
        <w:rPr>
          <w:color w:val="231F20"/>
          <w:w w:val="105"/>
        </w:rPr>
        <w:t>verso</w:t>
      </w:r>
      <w:r>
        <w:rPr>
          <w:color w:val="231F20"/>
          <w:spacing w:val="-19"/>
          <w:w w:val="105"/>
        </w:rPr>
        <w:t> </w:t>
      </w:r>
      <w:r>
        <w:rPr>
          <w:color w:val="231F20"/>
          <w:w w:val="105"/>
        </w:rPr>
        <w:t>quello</w:t>
      </w:r>
      <w:r>
        <w:rPr>
          <w:color w:val="231F20"/>
          <w:spacing w:val="-19"/>
          <w:w w:val="105"/>
        </w:rPr>
        <w:t> </w:t>
      </w:r>
      <w:r>
        <w:rPr>
          <w:color w:val="231F20"/>
          <w:w w:val="105"/>
        </w:rPr>
        <w:t>che</w:t>
      </w:r>
      <w:r>
        <w:rPr>
          <w:color w:val="231F20"/>
          <w:spacing w:val="-19"/>
          <w:w w:val="105"/>
        </w:rPr>
        <w:t> </w:t>
      </w:r>
      <w:r>
        <w:rPr>
          <w:color w:val="231F20"/>
          <w:w w:val="105"/>
        </w:rPr>
        <w:t>le</w:t>
      </w:r>
      <w:r>
        <w:rPr>
          <w:color w:val="231F20"/>
          <w:spacing w:val="-19"/>
          <w:w w:val="105"/>
        </w:rPr>
        <w:t> </w:t>
      </w:r>
      <w:r>
        <w:rPr>
          <w:color w:val="231F20"/>
          <w:w w:val="105"/>
        </w:rPr>
        <w:t>sembra</w:t>
      </w:r>
      <w:r>
        <w:rPr>
          <w:color w:val="231F20"/>
          <w:spacing w:val="-19"/>
          <w:w w:val="105"/>
        </w:rPr>
        <w:t> </w:t>
      </w:r>
      <w:r>
        <w:rPr>
          <w:color w:val="231F20"/>
          <w:w w:val="105"/>
        </w:rPr>
        <w:t>differente;</w:t>
      </w:r>
      <w:r>
        <w:rPr>
          <w:color w:val="231F20"/>
          <w:spacing w:val="-19"/>
          <w:w w:val="105"/>
        </w:rPr>
        <w:t> </w:t>
      </w:r>
      <w:r>
        <w:rPr>
          <w:color w:val="231F20"/>
          <w:w w:val="105"/>
        </w:rPr>
        <w:t>è</w:t>
      </w:r>
      <w:r>
        <w:rPr>
          <w:color w:val="231F20"/>
          <w:spacing w:val="-19"/>
          <w:w w:val="105"/>
        </w:rPr>
        <w:t> </w:t>
      </w:r>
      <w:r>
        <w:rPr>
          <w:color w:val="231F20"/>
          <w:w w:val="105"/>
        </w:rPr>
        <w:t>stato</w:t>
      </w:r>
      <w:r>
        <w:rPr>
          <w:color w:val="231F20"/>
          <w:spacing w:val="-19"/>
          <w:w w:val="105"/>
        </w:rPr>
        <w:t> </w:t>
      </w:r>
      <w:r>
        <w:rPr>
          <w:color w:val="231F20"/>
          <w:w w:val="105"/>
        </w:rPr>
        <w:t>presente</w:t>
      </w:r>
      <w:r>
        <w:rPr>
          <w:color w:val="231F20"/>
          <w:spacing w:val="-19"/>
          <w:w w:val="105"/>
        </w:rPr>
        <w:t> </w:t>
      </w:r>
      <w:r>
        <w:rPr>
          <w:color w:val="231F20"/>
          <w:w w:val="105"/>
        </w:rPr>
        <w:t>dalle</w:t>
      </w:r>
      <w:r>
        <w:rPr>
          <w:color w:val="231F20"/>
          <w:spacing w:val="-19"/>
          <w:w w:val="105"/>
        </w:rPr>
        <w:t> </w:t>
      </w:r>
      <w:r>
        <w:rPr>
          <w:color w:val="231F20"/>
          <w:w w:val="105"/>
        </w:rPr>
        <w:t>civiltà più</w:t>
      </w:r>
      <w:r>
        <w:rPr>
          <w:color w:val="231F20"/>
          <w:spacing w:val="-23"/>
          <w:w w:val="105"/>
        </w:rPr>
        <w:t> </w:t>
      </w:r>
      <w:r>
        <w:rPr>
          <w:color w:val="231F20"/>
          <w:w w:val="105"/>
        </w:rPr>
        <w:t>primitive</w:t>
      </w:r>
      <w:r>
        <w:rPr>
          <w:color w:val="231F20"/>
          <w:spacing w:val="-23"/>
          <w:w w:val="105"/>
        </w:rPr>
        <w:t> </w:t>
      </w:r>
      <w:r>
        <w:rPr>
          <w:color w:val="231F20"/>
          <w:w w:val="105"/>
        </w:rPr>
        <w:t>che</w:t>
      </w:r>
      <w:r>
        <w:rPr>
          <w:color w:val="231F20"/>
          <w:spacing w:val="-23"/>
          <w:w w:val="105"/>
        </w:rPr>
        <w:t> </w:t>
      </w:r>
      <w:r>
        <w:rPr>
          <w:color w:val="231F20"/>
          <w:w w:val="105"/>
        </w:rPr>
        <w:t>si</w:t>
      </w:r>
      <w:r>
        <w:rPr>
          <w:color w:val="231F20"/>
          <w:spacing w:val="-23"/>
          <w:w w:val="105"/>
        </w:rPr>
        <w:t> </w:t>
      </w:r>
      <w:r>
        <w:rPr>
          <w:color w:val="231F20"/>
          <w:w w:val="105"/>
        </w:rPr>
        <w:t>regolavano</w:t>
      </w:r>
      <w:r>
        <w:rPr>
          <w:color w:val="231F20"/>
          <w:spacing w:val="-23"/>
          <w:w w:val="105"/>
        </w:rPr>
        <w:t> </w:t>
      </w:r>
      <w:r>
        <w:rPr>
          <w:color w:val="231F20"/>
          <w:w w:val="105"/>
        </w:rPr>
        <w:t>a</w:t>
      </w:r>
      <w:r>
        <w:rPr>
          <w:color w:val="231F20"/>
          <w:spacing w:val="-23"/>
          <w:w w:val="105"/>
        </w:rPr>
        <w:t> </w:t>
      </w:r>
      <w:r>
        <w:rPr>
          <w:color w:val="231F20"/>
          <w:w w:val="105"/>
        </w:rPr>
        <w:t>partire</w:t>
      </w:r>
      <w:r>
        <w:rPr>
          <w:color w:val="231F20"/>
          <w:spacing w:val="-23"/>
          <w:w w:val="105"/>
        </w:rPr>
        <w:t> </w:t>
      </w:r>
      <w:r>
        <w:rPr>
          <w:color w:val="231F20"/>
          <w:w w:val="105"/>
        </w:rPr>
        <w:t>da</w:t>
      </w:r>
      <w:r>
        <w:rPr>
          <w:color w:val="231F20"/>
          <w:spacing w:val="-23"/>
          <w:w w:val="105"/>
        </w:rPr>
        <w:t> </w:t>
      </w:r>
      <w:r>
        <w:rPr>
          <w:color w:val="231F20"/>
          <w:w w:val="105"/>
        </w:rPr>
        <w:t>diversi</w:t>
      </w:r>
      <w:r>
        <w:rPr>
          <w:color w:val="231F20"/>
          <w:spacing w:val="-23"/>
          <w:w w:val="105"/>
        </w:rPr>
        <w:t> </w:t>
      </w:r>
      <w:r>
        <w:rPr>
          <w:color w:val="231F20"/>
          <w:w w:val="105"/>
        </w:rPr>
        <w:t>sistemi</w:t>
      </w:r>
      <w:r>
        <w:rPr>
          <w:color w:val="231F20"/>
          <w:spacing w:val="-23"/>
          <w:w w:val="105"/>
        </w:rPr>
        <w:t> </w:t>
      </w:r>
      <w:r>
        <w:rPr>
          <w:color w:val="231F20"/>
          <w:w w:val="105"/>
        </w:rPr>
        <w:t>di</w:t>
      </w:r>
      <w:r>
        <w:rPr>
          <w:color w:val="231F20"/>
          <w:spacing w:val="-23"/>
          <w:w w:val="105"/>
        </w:rPr>
        <w:t> </w:t>
      </w:r>
      <w:r>
        <w:rPr>
          <w:color w:val="231F20"/>
          <w:w w:val="105"/>
        </w:rPr>
        <w:t>sfruttamento e</w:t>
      </w:r>
      <w:r>
        <w:rPr>
          <w:color w:val="231F20"/>
          <w:spacing w:val="-23"/>
          <w:w w:val="105"/>
        </w:rPr>
        <w:t> </w:t>
      </w:r>
      <w:r>
        <w:rPr>
          <w:color w:val="231F20"/>
          <w:w w:val="105"/>
        </w:rPr>
        <w:t>distribuzione</w:t>
      </w:r>
      <w:r>
        <w:rPr>
          <w:color w:val="231F20"/>
          <w:spacing w:val="-23"/>
          <w:w w:val="105"/>
        </w:rPr>
        <w:t> </w:t>
      </w:r>
      <w:r>
        <w:rPr>
          <w:color w:val="231F20"/>
          <w:w w:val="105"/>
        </w:rPr>
        <w:t>dei</w:t>
      </w:r>
      <w:r>
        <w:rPr>
          <w:color w:val="231F20"/>
          <w:spacing w:val="-23"/>
          <w:w w:val="105"/>
        </w:rPr>
        <w:t> </w:t>
      </w:r>
      <w:r>
        <w:rPr>
          <w:color w:val="231F20"/>
          <w:w w:val="105"/>
        </w:rPr>
        <w:t>beni.</w:t>
      </w:r>
      <w:r>
        <w:rPr>
          <w:color w:val="231F20"/>
          <w:spacing w:val="-23"/>
          <w:w w:val="105"/>
        </w:rPr>
        <w:t> </w:t>
      </w:r>
      <w:r>
        <w:rPr>
          <w:color w:val="231F20"/>
          <w:w w:val="105"/>
        </w:rPr>
        <w:t>Pensiamo,</w:t>
      </w:r>
      <w:r>
        <w:rPr>
          <w:color w:val="231F20"/>
          <w:spacing w:val="-23"/>
          <w:w w:val="105"/>
        </w:rPr>
        <w:t> </w:t>
      </w:r>
      <w:r>
        <w:rPr>
          <w:color w:val="231F20"/>
          <w:w w:val="105"/>
        </w:rPr>
        <w:t>senza</w:t>
      </w:r>
      <w:r>
        <w:rPr>
          <w:color w:val="231F20"/>
          <w:spacing w:val="-23"/>
          <w:w w:val="105"/>
        </w:rPr>
        <w:t> </w:t>
      </w:r>
      <w:r>
        <w:rPr>
          <w:color w:val="231F20"/>
          <w:w w:val="105"/>
        </w:rPr>
        <w:t>andare</w:t>
      </w:r>
      <w:r>
        <w:rPr>
          <w:color w:val="231F20"/>
          <w:spacing w:val="-23"/>
          <w:w w:val="105"/>
        </w:rPr>
        <w:t> </w:t>
      </w:r>
      <w:r>
        <w:rPr>
          <w:color w:val="231F20"/>
          <w:w w:val="105"/>
        </w:rPr>
        <w:t>oltre,</w:t>
      </w:r>
      <w:r>
        <w:rPr>
          <w:color w:val="231F20"/>
          <w:spacing w:val="-23"/>
          <w:w w:val="105"/>
        </w:rPr>
        <w:t> </w:t>
      </w:r>
      <w:r>
        <w:rPr>
          <w:color w:val="231F20"/>
          <w:w w:val="105"/>
        </w:rPr>
        <w:t>alla</w:t>
      </w:r>
      <w:r>
        <w:rPr>
          <w:color w:val="231F20"/>
          <w:spacing w:val="-23"/>
          <w:w w:val="105"/>
        </w:rPr>
        <w:t> </w:t>
      </w:r>
      <w:r>
        <w:rPr>
          <w:color w:val="231F20"/>
          <w:w w:val="105"/>
        </w:rPr>
        <w:t>cultura</w:t>
      </w:r>
      <w:r>
        <w:rPr>
          <w:color w:val="231F20"/>
          <w:spacing w:val="-23"/>
          <w:w w:val="105"/>
        </w:rPr>
        <w:t> </w:t>
      </w:r>
      <w:r>
        <w:rPr>
          <w:color w:val="231F20"/>
          <w:w w:val="105"/>
        </w:rPr>
        <w:t>azteca che,</w:t>
      </w:r>
      <w:r>
        <w:rPr>
          <w:color w:val="231F20"/>
          <w:spacing w:val="-28"/>
          <w:w w:val="105"/>
        </w:rPr>
        <w:t> </w:t>
      </w:r>
      <w:r>
        <w:rPr>
          <w:color w:val="231F20"/>
          <w:w w:val="105"/>
        </w:rPr>
        <w:t>nei</w:t>
      </w:r>
      <w:r>
        <w:rPr>
          <w:color w:val="231F20"/>
          <w:spacing w:val="-28"/>
          <w:w w:val="105"/>
        </w:rPr>
        <w:t> </w:t>
      </w:r>
      <w:r>
        <w:rPr>
          <w:color w:val="231F20"/>
          <w:w w:val="105"/>
        </w:rPr>
        <w:t>propri</w:t>
      </w:r>
      <w:r>
        <w:rPr>
          <w:color w:val="231F20"/>
          <w:spacing w:val="-28"/>
          <w:w w:val="105"/>
        </w:rPr>
        <w:t> </w:t>
      </w:r>
      <w:r>
        <w:rPr>
          <w:color w:val="231F20"/>
          <w:w w:val="105"/>
        </w:rPr>
        <w:t>termini,</w:t>
      </w:r>
      <w:r>
        <w:rPr>
          <w:color w:val="231F20"/>
          <w:spacing w:val="-28"/>
          <w:w w:val="105"/>
        </w:rPr>
        <w:t> </w:t>
      </w:r>
      <w:r>
        <w:rPr>
          <w:color w:val="231F20"/>
          <w:w w:val="105"/>
        </w:rPr>
        <w:t>aspirava</w:t>
      </w:r>
      <w:r>
        <w:rPr>
          <w:color w:val="231F20"/>
          <w:spacing w:val="-28"/>
          <w:w w:val="105"/>
        </w:rPr>
        <w:t> </w:t>
      </w:r>
      <w:r>
        <w:rPr>
          <w:color w:val="231F20"/>
          <w:w w:val="105"/>
        </w:rPr>
        <w:t>alla</w:t>
      </w:r>
      <w:r>
        <w:rPr>
          <w:color w:val="231F20"/>
          <w:spacing w:val="-28"/>
          <w:w w:val="105"/>
        </w:rPr>
        <w:t> </w:t>
      </w:r>
      <w:r>
        <w:rPr>
          <w:rFonts w:ascii="Arial" w:hAnsi="Arial"/>
          <w:i/>
          <w:color w:val="231F20"/>
          <w:w w:val="105"/>
        </w:rPr>
        <w:t>globalizzazione</w:t>
      </w:r>
      <w:r>
        <w:rPr>
          <w:rFonts w:ascii="Arial" w:hAnsi="Arial"/>
          <w:i/>
          <w:color w:val="231F20"/>
          <w:spacing w:val="-21"/>
          <w:w w:val="105"/>
        </w:rPr>
        <w:t> </w:t>
      </w:r>
      <w:r>
        <w:rPr>
          <w:color w:val="231F20"/>
          <w:w w:val="105"/>
        </w:rPr>
        <w:t>dei</w:t>
      </w:r>
      <w:r>
        <w:rPr>
          <w:color w:val="231F20"/>
          <w:spacing w:val="-28"/>
          <w:w w:val="105"/>
        </w:rPr>
        <w:t> </w:t>
      </w:r>
      <w:r>
        <w:rPr>
          <w:color w:val="231F20"/>
          <w:w w:val="105"/>
        </w:rPr>
        <w:t>suoi</w:t>
      </w:r>
      <w:r>
        <w:rPr>
          <w:color w:val="231F20"/>
          <w:spacing w:val="-28"/>
          <w:w w:val="105"/>
        </w:rPr>
        <w:t> </w:t>
      </w:r>
      <w:r>
        <w:rPr>
          <w:color w:val="231F20"/>
          <w:w w:val="105"/>
        </w:rPr>
        <w:t>valori</w:t>
      </w:r>
      <w:r>
        <w:rPr>
          <w:color w:val="231F20"/>
          <w:spacing w:val="-28"/>
          <w:w w:val="105"/>
        </w:rPr>
        <w:t> </w:t>
      </w:r>
      <w:r>
        <w:rPr>
          <w:color w:val="231F20"/>
          <w:w w:val="105"/>
        </w:rPr>
        <w:t>e</w:t>
      </w:r>
      <w:r>
        <w:rPr>
          <w:color w:val="231F20"/>
          <w:spacing w:val="-28"/>
          <w:w w:val="105"/>
        </w:rPr>
        <w:t> </w:t>
      </w:r>
      <w:r>
        <w:rPr>
          <w:color w:val="231F20"/>
          <w:w w:val="105"/>
        </w:rPr>
        <w:t>il</w:t>
      </w:r>
      <w:r>
        <w:rPr>
          <w:color w:val="231F20"/>
          <w:spacing w:val="-28"/>
          <w:w w:val="105"/>
        </w:rPr>
        <w:t> </w:t>
      </w:r>
      <w:r>
        <w:rPr>
          <w:color w:val="231F20"/>
          <w:w w:val="105"/>
        </w:rPr>
        <w:t>suo </w:t>
      </w:r>
      <w:r>
        <w:rPr>
          <w:color w:val="231F20"/>
          <w:spacing w:val="-3"/>
          <w:w w:val="105"/>
        </w:rPr>
        <w:t>sistema,</w:t>
      </w:r>
      <w:r>
        <w:rPr>
          <w:color w:val="231F20"/>
          <w:spacing w:val="-45"/>
          <w:w w:val="105"/>
        </w:rPr>
        <w:t> </w:t>
      </w:r>
      <w:r>
        <w:rPr>
          <w:color w:val="231F20"/>
          <w:spacing w:val="-3"/>
          <w:w w:val="105"/>
        </w:rPr>
        <w:t>cercando</w:t>
      </w:r>
      <w:r>
        <w:rPr>
          <w:color w:val="231F20"/>
          <w:spacing w:val="-45"/>
          <w:w w:val="105"/>
        </w:rPr>
        <w:t> </w:t>
      </w:r>
      <w:r>
        <w:rPr>
          <w:color w:val="231F20"/>
          <w:w w:val="105"/>
        </w:rPr>
        <w:t>di</w:t>
      </w:r>
      <w:r>
        <w:rPr>
          <w:color w:val="231F20"/>
          <w:spacing w:val="-45"/>
          <w:w w:val="105"/>
        </w:rPr>
        <w:t> </w:t>
      </w:r>
      <w:r>
        <w:rPr>
          <w:color w:val="231F20"/>
          <w:spacing w:val="-3"/>
          <w:w w:val="105"/>
        </w:rPr>
        <w:t>espandere</w:t>
      </w:r>
      <w:r>
        <w:rPr>
          <w:color w:val="231F20"/>
          <w:spacing w:val="-45"/>
          <w:w w:val="105"/>
        </w:rPr>
        <w:t> </w:t>
      </w:r>
      <w:r>
        <w:rPr>
          <w:color w:val="231F20"/>
          <w:w w:val="105"/>
        </w:rPr>
        <w:t>la</w:t>
      </w:r>
      <w:r>
        <w:rPr>
          <w:color w:val="231F20"/>
          <w:spacing w:val="-45"/>
          <w:w w:val="105"/>
        </w:rPr>
        <w:t> </w:t>
      </w:r>
      <w:r>
        <w:rPr>
          <w:color w:val="231F20"/>
          <w:w w:val="105"/>
        </w:rPr>
        <w:t>sua</w:t>
      </w:r>
      <w:r>
        <w:rPr>
          <w:color w:val="231F20"/>
          <w:spacing w:val="-45"/>
          <w:w w:val="105"/>
        </w:rPr>
        <w:t> </w:t>
      </w:r>
      <w:r>
        <w:rPr>
          <w:color w:val="231F20"/>
          <w:spacing w:val="-3"/>
          <w:w w:val="105"/>
        </w:rPr>
        <w:t>forma</w:t>
      </w:r>
      <w:r>
        <w:rPr>
          <w:color w:val="231F20"/>
          <w:spacing w:val="-45"/>
          <w:w w:val="105"/>
        </w:rPr>
        <w:t> </w:t>
      </w:r>
      <w:r>
        <w:rPr>
          <w:color w:val="231F20"/>
          <w:w w:val="105"/>
        </w:rPr>
        <w:t>di</w:t>
      </w:r>
      <w:r>
        <w:rPr>
          <w:color w:val="231F20"/>
          <w:spacing w:val="-45"/>
          <w:w w:val="105"/>
        </w:rPr>
        <w:t> </w:t>
      </w:r>
      <w:r>
        <w:rPr>
          <w:color w:val="231F20"/>
          <w:spacing w:val="-3"/>
          <w:w w:val="105"/>
        </w:rPr>
        <w:t>vita</w:t>
      </w:r>
      <w:r>
        <w:rPr>
          <w:color w:val="231F20"/>
          <w:spacing w:val="-45"/>
          <w:w w:val="105"/>
        </w:rPr>
        <w:t> </w:t>
      </w:r>
      <w:r>
        <w:rPr>
          <w:color w:val="231F20"/>
          <w:spacing w:val="-3"/>
          <w:w w:val="105"/>
        </w:rPr>
        <w:t>negli</w:t>
      </w:r>
      <w:r>
        <w:rPr>
          <w:color w:val="231F20"/>
          <w:spacing w:val="-45"/>
          <w:w w:val="105"/>
        </w:rPr>
        <w:t> </w:t>
      </w:r>
      <w:r>
        <w:rPr>
          <w:color w:val="231F20"/>
          <w:spacing w:val="-3"/>
          <w:w w:val="105"/>
        </w:rPr>
        <w:t>ambienti</w:t>
      </w:r>
      <w:r>
        <w:rPr>
          <w:color w:val="231F20"/>
          <w:spacing w:val="-45"/>
          <w:w w:val="105"/>
        </w:rPr>
        <w:t> </w:t>
      </w:r>
      <w:r>
        <w:rPr>
          <w:color w:val="231F20"/>
          <w:w w:val="105"/>
        </w:rPr>
        <w:t>più</w:t>
      </w:r>
      <w:r>
        <w:rPr>
          <w:color w:val="231F20"/>
          <w:spacing w:val="-45"/>
          <w:w w:val="105"/>
        </w:rPr>
        <w:t> </w:t>
      </w:r>
      <w:r>
        <w:rPr>
          <w:color w:val="231F20"/>
          <w:spacing w:val="-3"/>
          <w:w w:val="105"/>
        </w:rPr>
        <w:t>diversi: </w:t>
      </w:r>
      <w:r>
        <w:rPr>
          <w:color w:val="231F20"/>
          <w:w w:val="105"/>
        </w:rPr>
        <w:t>economico,</w:t>
      </w:r>
      <w:r>
        <w:rPr>
          <w:color w:val="231F20"/>
          <w:spacing w:val="-45"/>
          <w:w w:val="105"/>
        </w:rPr>
        <w:t> </w:t>
      </w:r>
      <w:r>
        <w:rPr>
          <w:color w:val="231F20"/>
          <w:w w:val="105"/>
        </w:rPr>
        <w:t>religioso,</w:t>
      </w:r>
      <w:r>
        <w:rPr>
          <w:color w:val="231F20"/>
          <w:spacing w:val="-45"/>
          <w:w w:val="105"/>
        </w:rPr>
        <w:t> </w:t>
      </w:r>
      <w:r>
        <w:rPr>
          <w:color w:val="231F20"/>
          <w:w w:val="105"/>
        </w:rPr>
        <w:t>tributario,</w:t>
      </w:r>
      <w:r>
        <w:rPr>
          <w:color w:val="231F20"/>
          <w:spacing w:val="-45"/>
          <w:w w:val="105"/>
        </w:rPr>
        <w:t> </w:t>
      </w:r>
      <w:r>
        <w:rPr>
          <w:color w:val="231F20"/>
          <w:w w:val="105"/>
        </w:rPr>
        <w:t>linguistico,</w:t>
      </w:r>
      <w:r>
        <w:rPr>
          <w:color w:val="231F20"/>
          <w:spacing w:val="-45"/>
          <w:w w:val="105"/>
        </w:rPr>
        <w:t> </w:t>
      </w:r>
      <w:r>
        <w:rPr>
          <w:color w:val="231F20"/>
          <w:w w:val="105"/>
        </w:rPr>
        <w:t>gastronomico,</w:t>
      </w:r>
      <w:r>
        <w:rPr>
          <w:color w:val="231F20"/>
          <w:spacing w:val="-45"/>
          <w:w w:val="105"/>
        </w:rPr>
        <w:t> </w:t>
      </w:r>
      <w:r>
        <w:rPr>
          <w:color w:val="231F20"/>
          <w:w w:val="105"/>
        </w:rPr>
        <w:t>ecc.</w:t>
      </w:r>
    </w:p>
    <w:p>
      <w:pPr>
        <w:pStyle w:val="BodyText"/>
        <w:spacing w:line="244" w:lineRule="auto"/>
        <w:ind w:left="117" w:right="121" w:firstLine="566"/>
        <w:jc w:val="both"/>
      </w:pPr>
      <w:r>
        <w:rPr>
          <w:color w:val="231F20"/>
          <w:w w:val="105"/>
        </w:rPr>
        <w:t>La</w:t>
      </w:r>
      <w:r>
        <w:rPr>
          <w:color w:val="231F20"/>
          <w:spacing w:val="-41"/>
          <w:w w:val="105"/>
        </w:rPr>
        <w:t> </w:t>
      </w:r>
      <w:r>
        <w:rPr>
          <w:color w:val="231F20"/>
          <w:w w:val="105"/>
        </w:rPr>
        <w:t>globalizzazione</w:t>
      </w:r>
      <w:r>
        <w:rPr>
          <w:color w:val="231F20"/>
          <w:spacing w:val="-41"/>
          <w:w w:val="105"/>
        </w:rPr>
        <w:t> </w:t>
      </w:r>
      <w:r>
        <w:rPr>
          <w:color w:val="231F20"/>
          <w:w w:val="105"/>
        </w:rPr>
        <w:t>tale</w:t>
      </w:r>
      <w:r>
        <w:rPr>
          <w:color w:val="231F20"/>
          <w:spacing w:val="-41"/>
          <w:w w:val="105"/>
        </w:rPr>
        <w:t> </w:t>
      </w:r>
      <w:r>
        <w:rPr>
          <w:color w:val="231F20"/>
          <w:w w:val="105"/>
        </w:rPr>
        <w:t>e</w:t>
      </w:r>
      <w:r>
        <w:rPr>
          <w:color w:val="231F20"/>
          <w:spacing w:val="-41"/>
          <w:w w:val="105"/>
        </w:rPr>
        <w:t> </w:t>
      </w:r>
      <w:r>
        <w:rPr>
          <w:color w:val="231F20"/>
          <w:w w:val="105"/>
        </w:rPr>
        <w:t>come</w:t>
      </w:r>
      <w:r>
        <w:rPr>
          <w:color w:val="231F20"/>
          <w:spacing w:val="-41"/>
          <w:w w:val="105"/>
        </w:rPr>
        <w:t> </w:t>
      </w:r>
      <w:r>
        <w:rPr>
          <w:color w:val="231F20"/>
          <w:w w:val="105"/>
        </w:rPr>
        <w:t>si</w:t>
      </w:r>
      <w:r>
        <w:rPr>
          <w:color w:val="231F20"/>
          <w:spacing w:val="-41"/>
          <w:w w:val="105"/>
        </w:rPr>
        <w:t> </w:t>
      </w:r>
      <w:r>
        <w:rPr>
          <w:color w:val="231F20"/>
          <w:w w:val="105"/>
        </w:rPr>
        <w:t>presenta</w:t>
      </w:r>
      <w:r>
        <w:rPr>
          <w:color w:val="231F20"/>
          <w:spacing w:val="-41"/>
          <w:w w:val="105"/>
        </w:rPr>
        <w:t> </w:t>
      </w:r>
      <w:r>
        <w:rPr>
          <w:color w:val="231F20"/>
          <w:w w:val="105"/>
        </w:rPr>
        <w:t>nel</w:t>
      </w:r>
      <w:r>
        <w:rPr>
          <w:color w:val="231F20"/>
          <w:spacing w:val="-41"/>
          <w:w w:val="105"/>
        </w:rPr>
        <w:t> </w:t>
      </w:r>
      <w:r>
        <w:rPr>
          <w:color w:val="231F20"/>
          <w:w w:val="105"/>
        </w:rPr>
        <w:t>mondo</w:t>
      </w:r>
      <w:r>
        <w:rPr>
          <w:color w:val="231F20"/>
          <w:spacing w:val="-41"/>
          <w:w w:val="105"/>
        </w:rPr>
        <w:t> </w:t>
      </w:r>
      <w:r>
        <w:rPr>
          <w:color w:val="231F20"/>
          <w:w w:val="105"/>
        </w:rPr>
        <w:t>attuale</w:t>
      </w:r>
      <w:r>
        <w:rPr>
          <w:color w:val="231F20"/>
          <w:spacing w:val="-41"/>
          <w:w w:val="105"/>
        </w:rPr>
        <w:t> </w:t>
      </w:r>
      <w:r>
        <w:rPr>
          <w:color w:val="231F20"/>
          <w:w w:val="105"/>
        </w:rPr>
        <w:t>non</w:t>
      </w:r>
      <w:r>
        <w:rPr>
          <w:color w:val="231F20"/>
          <w:spacing w:val="-41"/>
          <w:w w:val="105"/>
        </w:rPr>
        <w:t> </w:t>
      </w:r>
      <w:r>
        <w:rPr>
          <w:color w:val="231F20"/>
          <w:w w:val="105"/>
        </w:rPr>
        <w:t>può slegarsi</w:t>
      </w:r>
      <w:r>
        <w:rPr>
          <w:color w:val="231F20"/>
          <w:spacing w:val="-30"/>
          <w:w w:val="105"/>
        </w:rPr>
        <w:t> </w:t>
      </w:r>
      <w:r>
        <w:rPr>
          <w:color w:val="231F20"/>
          <w:w w:val="105"/>
        </w:rPr>
        <w:t>dal</w:t>
      </w:r>
      <w:r>
        <w:rPr>
          <w:color w:val="231F20"/>
          <w:spacing w:val="-30"/>
          <w:w w:val="105"/>
        </w:rPr>
        <w:t> </w:t>
      </w:r>
      <w:r>
        <w:rPr>
          <w:color w:val="231F20"/>
          <w:w w:val="105"/>
        </w:rPr>
        <w:t>capitalismo</w:t>
      </w:r>
      <w:r>
        <w:rPr>
          <w:color w:val="231F20"/>
          <w:spacing w:val="-30"/>
          <w:w w:val="105"/>
        </w:rPr>
        <w:t> </w:t>
      </w:r>
      <w:r>
        <w:rPr>
          <w:color w:val="231F20"/>
          <w:w w:val="105"/>
        </w:rPr>
        <w:t>come</w:t>
      </w:r>
      <w:r>
        <w:rPr>
          <w:color w:val="231F20"/>
          <w:spacing w:val="-30"/>
          <w:w w:val="105"/>
        </w:rPr>
        <w:t> </w:t>
      </w:r>
      <w:r>
        <w:rPr>
          <w:color w:val="231F20"/>
          <w:w w:val="105"/>
        </w:rPr>
        <w:t>sistema</w:t>
      </w:r>
      <w:r>
        <w:rPr>
          <w:color w:val="231F20"/>
          <w:spacing w:val="-30"/>
          <w:w w:val="105"/>
        </w:rPr>
        <w:t> </w:t>
      </w:r>
      <w:r>
        <w:rPr>
          <w:color w:val="231F20"/>
          <w:w w:val="105"/>
        </w:rPr>
        <w:t>economico</w:t>
      </w:r>
      <w:r>
        <w:rPr>
          <w:color w:val="231F20"/>
          <w:spacing w:val="-30"/>
          <w:w w:val="105"/>
        </w:rPr>
        <w:t> </w:t>
      </w:r>
      <w:r>
        <w:rPr>
          <w:color w:val="231F20"/>
          <w:w w:val="105"/>
        </w:rPr>
        <w:t>e</w:t>
      </w:r>
      <w:r>
        <w:rPr>
          <w:color w:val="231F20"/>
          <w:spacing w:val="-30"/>
          <w:w w:val="105"/>
        </w:rPr>
        <w:t> </w:t>
      </w:r>
      <w:r>
        <w:rPr>
          <w:color w:val="231F20"/>
          <w:w w:val="105"/>
        </w:rPr>
        <w:t>politico,</w:t>
      </w:r>
      <w:r>
        <w:rPr>
          <w:color w:val="231F20"/>
          <w:spacing w:val="-30"/>
          <w:w w:val="105"/>
        </w:rPr>
        <w:t> </w:t>
      </w:r>
      <w:r>
        <w:rPr>
          <w:color w:val="231F20"/>
          <w:w w:val="105"/>
        </w:rPr>
        <w:t>che</w:t>
      </w:r>
      <w:r>
        <w:rPr>
          <w:color w:val="231F20"/>
          <w:spacing w:val="-30"/>
          <w:w w:val="105"/>
        </w:rPr>
        <w:t> </w:t>
      </w:r>
      <w:r>
        <w:rPr>
          <w:color w:val="231F20"/>
          <w:w w:val="105"/>
        </w:rPr>
        <w:t>dall’inizio, tale</w:t>
      </w:r>
      <w:r>
        <w:rPr>
          <w:color w:val="231F20"/>
          <w:spacing w:val="-34"/>
          <w:w w:val="105"/>
        </w:rPr>
        <w:t> </w:t>
      </w:r>
      <w:r>
        <w:rPr>
          <w:color w:val="231F20"/>
          <w:w w:val="105"/>
        </w:rPr>
        <w:t>come</w:t>
      </w:r>
      <w:r>
        <w:rPr>
          <w:color w:val="231F20"/>
          <w:spacing w:val="-34"/>
          <w:w w:val="105"/>
        </w:rPr>
        <w:t> </w:t>
      </w:r>
      <w:r>
        <w:rPr>
          <w:color w:val="231F20"/>
          <w:w w:val="105"/>
        </w:rPr>
        <w:t>espongono</w:t>
      </w:r>
      <w:r>
        <w:rPr>
          <w:color w:val="231F20"/>
          <w:spacing w:val="-34"/>
          <w:w w:val="105"/>
        </w:rPr>
        <w:t> </w:t>
      </w:r>
      <w:r>
        <w:rPr>
          <w:color w:val="231F20"/>
          <w:w w:val="105"/>
        </w:rPr>
        <w:t>Karl</w:t>
      </w:r>
      <w:r>
        <w:rPr>
          <w:color w:val="231F20"/>
          <w:spacing w:val="-34"/>
          <w:w w:val="105"/>
        </w:rPr>
        <w:t> </w:t>
      </w:r>
      <w:r>
        <w:rPr>
          <w:color w:val="231F20"/>
          <w:w w:val="105"/>
        </w:rPr>
        <w:t>Marx</w:t>
      </w:r>
      <w:r>
        <w:rPr>
          <w:color w:val="231F20"/>
          <w:spacing w:val="-34"/>
          <w:w w:val="105"/>
        </w:rPr>
        <w:t> </w:t>
      </w:r>
      <w:r>
        <w:rPr>
          <w:color w:val="231F20"/>
          <w:w w:val="105"/>
        </w:rPr>
        <w:t>y</w:t>
      </w:r>
      <w:r>
        <w:rPr>
          <w:color w:val="231F20"/>
          <w:spacing w:val="-34"/>
          <w:w w:val="105"/>
        </w:rPr>
        <w:t> </w:t>
      </w:r>
      <w:r>
        <w:rPr>
          <w:color w:val="231F20"/>
          <w:w w:val="105"/>
        </w:rPr>
        <w:t>Friedrich</w:t>
      </w:r>
      <w:r>
        <w:rPr>
          <w:color w:val="231F20"/>
          <w:spacing w:val="-34"/>
          <w:w w:val="105"/>
        </w:rPr>
        <w:t> </w:t>
      </w:r>
      <w:r>
        <w:rPr>
          <w:color w:val="231F20"/>
          <w:w w:val="105"/>
        </w:rPr>
        <w:t>Engels</w:t>
      </w:r>
      <w:r>
        <w:rPr>
          <w:color w:val="231F20"/>
          <w:spacing w:val="-34"/>
          <w:w w:val="105"/>
        </w:rPr>
        <w:t> </w:t>
      </w:r>
      <w:r>
        <w:rPr>
          <w:color w:val="231F20"/>
          <w:w w:val="105"/>
        </w:rPr>
        <w:t>nel</w:t>
      </w:r>
      <w:r>
        <w:rPr>
          <w:color w:val="231F20"/>
          <w:spacing w:val="-34"/>
          <w:w w:val="105"/>
        </w:rPr>
        <w:t> </w:t>
      </w:r>
      <w:r>
        <w:rPr>
          <w:rFonts w:ascii="Arial" w:hAnsi="Arial"/>
          <w:i/>
          <w:color w:val="231F20"/>
          <w:w w:val="105"/>
        </w:rPr>
        <w:t>Manifesto</w:t>
      </w:r>
      <w:r>
        <w:rPr>
          <w:rFonts w:ascii="Arial" w:hAnsi="Arial"/>
          <w:i/>
          <w:color w:val="231F20"/>
          <w:spacing w:val="-26"/>
          <w:w w:val="105"/>
        </w:rPr>
        <w:t> </w:t>
      </w:r>
      <w:r>
        <w:rPr>
          <w:rFonts w:ascii="Arial" w:hAnsi="Arial"/>
          <w:i/>
          <w:color w:val="231F20"/>
          <w:w w:val="105"/>
        </w:rPr>
        <w:t>del</w:t>
      </w:r>
      <w:r>
        <w:rPr>
          <w:rFonts w:ascii="Arial" w:hAnsi="Arial"/>
          <w:i/>
          <w:color w:val="231F20"/>
          <w:spacing w:val="-26"/>
          <w:w w:val="105"/>
        </w:rPr>
        <w:t> </w:t>
      </w:r>
      <w:r>
        <w:rPr>
          <w:rFonts w:ascii="Arial" w:hAnsi="Arial"/>
          <w:i/>
          <w:color w:val="231F20"/>
          <w:w w:val="105"/>
        </w:rPr>
        <w:t>partito </w:t>
      </w:r>
      <w:r>
        <w:rPr>
          <w:rFonts w:ascii="Arial" w:hAnsi="Arial"/>
          <w:i/>
          <w:color w:val="231F20"/>
          <w:w w:val="105"/>
        </w:rPr>
        <w:t>comunista</w:t>
      </w:r>
      <w:r>
        <w:rPr>
          <w:color w:val="231F20"/>
          <w:w w:val="105"/>
        </w:rPr>
        <w:t>,</w:t>
      </w:r>
      <w:r>
        <w:rPr>
          <w:color w:val="231F20"/>
          <w:spacing w:val="-32"/>
          <w:w w:val="105"/>
        </w:rPr>
        <w:t> </w:t>
      </w:r>
      <w:r>
        <w:rPr>
          <w:color w:val="231F20"/>
          <w:w w:val="105"/>
        </w:rPr>
        <w:t>significò</w:t>
      </w:r>
      <w:r>
        <w:rPr>
          <w:color w:val="231F20"/>
          <w:spacing w:val="-32"/>
          <w:w w:val="105"/>
        </w:rPr>
        <w:t> </w:t>
      </w:r>
      <w:r>
        <w:rPr>
          <w:color w:val="231F20"/>
          <w:w w:val="105"/>
        </w:rPr>
        <w:t>l’espansione</w:t>
      </w:r>
      <w:r>
        <w:rPr>
          <w:color w:val="231F20"/>
          <w:spacing w:val="-32"/>
          <w:w w:val="105"/>
        </w:rPr>
        <w:t> </w:t>
      </w:r>
      <w:r>
        <w:rPr>
          <w:color w:val="231F20"/>
          <w:w w:val="105"/>
        </w:rPr>
        <w:t>ed</w:t>
      </w:r>
      <w:r>
        <w:rPr>
          <w:color w:val="231F20"/>
          <w:spacing w:val="-32"/>
          <w:w w:val="105"/>
        </w:rPr>
        <w:t> </w:t>
      </w:r>
      <w:r>
        <w:rPr>
          <w:color w:val="231F20"/>
          <w:w w:val="105"/>
        </w:rPr>
        <w:t>egemonia</w:t>
      </w:r>
      <w:r>
        <w:rPr>
          <w:color w:val="231F20"/>
          <w:spacing w:val="-32"/>
          <w:w w:val="105"/>
        </w:rPr>
        <w:t> </w:t>
      </w:r>
      <w:r>
        <w:rPr>
          <w:color w:val="231F20"/>
          <w:w w:val="105"/>
        </w:rPr>
        <w:t>di</w:t>
      </w:r>
      <w:r>
        <w:rPr>
          <w:color w:val="231F20"/>
          <w:spacing w:val="-32"/>
          <w:w w:val="105"/>
        </w:rPr>
        <w:t> </w:t>
      </w:r>
      <w:r>
        <w:rPr>
          <w:color w:val="231F20"/>
          <w:w w:val="105"/>
        </w:rPr>
        <w:t>una</w:t>
      </w:r>
      <w:r>
        <w:rPr>
          <w:color w:val="231F20"/>
          <w:spacing w:val="-32"/>
          <w:w w:val="105"/>
        </w:rPr>
        <w:t> </w:t>
      </w:r>
      <w:r>
        <w:rPr>
          <w:color w:val="231F20"/>
          <w:w w:val="105"/>
        </w:rPr>
        <w:t>nuova</w:t>
      </w:r>
      <w:r>
        <w:rPr>
          <w:color w:val="231F20"/>
          <w:spacing w:val="-32"/>
          <w:w w:val="105"/>
        </w:rPr>
        <w:t> </w:t>
      </w:r>
      <w:r>
        <w:rPr>
          <w:color w:val="231F20"/>
          <w:w w:val="105"/>
        </w:rPr>
        <w:t>classe</w:t>
      </w:r>
      <w:r>
        <w:rPr>
          <w:color w:val="231F20"/>
          <w:spacing w:val="-32"/>
          <w:w w:val="105"/>
        </w:rPr>
        <w:t> </w:t>
      </w:r>
      <w:r>
        <w:rPr>
          <w:color w:val="231F20"/>
          <w:w w:val="105"/>
        </w:rPr>
        <w:t>sociale</w:t>
      </w:r>
    </w:p>
    <w:p>
      <w:pPr>
        <w:pStyle w:val="BodyText"/>
        <w:spacing w:line="247" w:lineRule="auto"/>
        <w:ind w:left="117" w:right="120"/>
        <w:jc w:val="both"/>
      </w:pPr>
      <w:r>
        <w:rPr>
          <w:color w:val="231F20"/>
          <w:w w:val="105"/>
        </w:rPr>
        <w:t>—la</w:t>
      </w:r>
      <w:r>
        <w:rPr>
          <w:color w:val="231F20"/>
          <w:spacing w:val="-8"/>
          <w:w w:val="105"/>
        </w:rPr>
        <w:t> </w:t>
      </w:r>
      <w:r>
        <w:rPr>
          <w:color w:val="231F20"/>
          <w:w w:val="105"/>
        </w:rPr>
        <w:t>borghesia,</w:t>
      </w:r>
      <w:r>
        <w:rPr>
          <w:color w:val="231F20"/>
          <w:spacing w:val="-8"/>
          <w:w w:val="105"/>
        </w:rPr>
        <w:t> </w:t>
      </w:r>
      <w:r>
        <w:rPr>
          <w:color w:val="231F20"/>
          <w:w w:val="105"/>
        </w:rPr>
        <w:t>classe</w:t>
      </w:r>
      <w:r>
        <w:rPr>
          <w:color w:val="231F20"/>
          <w:spacing w:val="-8"/>
          <w:w w:val="105"/>
        </w:rPr>
        <w:t> </w:t>
      </w:r>
      <w:r>
        <w:rPr>
          <w:color w:val="231F20"/>
          <w:w w:val="105"/>
        </w:rPr>
        <w:t>che</w:t>
      </w:r>
      <w:r>
        <w:rPr>
          <w:color w:val="231F20"/>
          <w:spacing w:val="-8"/>
          <w:w w:val="105"/>
        </w:rPr>
        <w:t> </w:t>
      </w:r>
      <w:r>
        <w:rPr>
          <w:color w:val="231F20"/>
          <w:w w:val="105"/>
        </w:rPr>
        <w:t>fa</w:t>
      </w:r>
      <w:r>
        <w:rPr>
          <w:color w:val="231F20"/>
          <w:spacing w:val="-8"/>
          <w:w w:val="105"/>
        </w:rPr>
        <w:t> </w:t>
      </w:r>
      <w:r>
        <w:rPr>
          <w:color w:val="231F20"/>
          <w:w w:val="105"/>
        </w:rPr>
        <w:t>che</w:t>
      </w:r>
      <w:r>
        <w:rPr>
          <w:color w:val="231F20"/>
          <w:spacing w:val="-8"/>
          <w:w w:val="105"/>
        </w:rPr>
        <w:t> </w:t>
      </w:r>
      <w:r>
        <w:rPr>
          <w:color w:val="231F20"/>
          <w:w w:val="105"/>
        </w:rPr>
        <w:t>tutto</w:t>
      </w:r>
      <w:r>
        <w:rPr>
          <w:color w:val="231F20"/>
          <w:spacing w:val="-8"/>
          <w:w w:val="105"/>
        </w:rPr>
        <w:t> </w:t>
      </w:r>
      <w:r>
        <w:rPr>
          <w:color w:val="231F20"/>
          <w:w w:val="105"/>
        </w:rPr>
        <w:t>quello</w:t>
      </w:r>
      <w:r>
        <w:rPr>
          <w:color w:val="231F20"/>
          <w:spacing w:val="-8"/>
          <w:w w:val="105"/>
        </w:rPr>
        <w:t> </w:t>
      </w:r>
      <w:r>
        <w:rPr>
          <w:color w:val="231F20"/>
          <w:w w:val="105"/>
        </w:rPr>
        <w:t>che</w:t>
      </w:r>
      <w:r>
        <w:rPr>
          <w:color w:val="231F20"/>
          <w:spacing w:val="-9"/>
          <w:w w:val="105"/>
        </w:rPr>
        <w:t> </w:t>
      </w:r>
      <w:r>
        <w:rPr>
          <w:color w:val="231F20"/>
          <w:w w:val="105"/>
        </w:rPr>
        <w:t>è</w:t>
      </w:r>
      <w:r>
        <w:rPr>
          <w:color w:val="231F20"/>
          <w:spacing w:val="-8"/>
          <w:w w:val="105"/>
        </w:rPr>
        <w:t> </w:t>
      </w:r>
      <w:r>
        <w:rPr>
          <w:color w:val="231F20"/>
          <w:w w:val="105"/>
        </w:rPr>
        <w:t>solido</w:t>
      </w:r>
      <w:r>
        <w:rPr>
          <w:color w:val="231F20"/>
          <w:spacing w:val="-8"/>
          <w:w w:val="105"/>
        </w:rPr>
        <w:t> </w:t>
      </w:r>
      <w:r>
        <w:rPr>
          <w:color w:val="231F20"/>
          <w:w w:val="105"/>
        </w:rPr>
        <w:t>e</w:t>
      </w:r>
      <w:r>
        <w:rPr>
          <w:color w:val="231F20"/>
          <w:spacing w:val="-8"/>
          <w:w w:val="105"/>
        </w:rPr>
        <w:t> </w:t>
      </w:r>
      <w:r>
        <w:rPr>
          <w:color w:val="231F20"/>
          <w:w w:val="105"/>
        </w:rPr>
        <w:t>permanente si</w:t>
      </w:r>
      <w:r>
        <w:rPr>
          <w:color w:val="231F20"/>
          <w:spacing w:val="-18"/>
          <w:w w:val="105"/>
        </w:rPr>
        <w:t> </w:t>
      </w:r>
      <w:r>
        <w:rPr>
          <w:rFonts w:ascii="Arial" w:hAnsi="Arial"/>
          <w:i/>
          <w:color w:val="231F20"/>
          <w:w w:val="105"/>
        </w:rPr>
        <w:t>dissolva</w:t>
      </w:r>
      <w:r>
        <w:rPr>
          <w:rFonts w:ascii="Arial" w:hAnsi="Arial"/>
          <w:i/>
          <w:color w:val="231F20"/>
          <w:spacing w:val="-11"/>
          <w:w w:val="105"/>
        </w:rPr>
        <w:t> </w:t>
      </w:r>
      <w:r>
        <w:rPr>
          <w:rFonts w:ascii="Arial" w:hAnsi="Arial"/>
          <w:i/>
          <w:color w:val="231F20"/>
          <w:w w:val="105"/>
        </w:rPr>
        <w:t>nel</w:t>
      </w:r>
      <w:r>
        <w:rPr>
          <w:rFonts w:ascii="Arial" w:hAnsi="Arial"/>
          <w:i/>
          <w:color w:val="231F20"/>
          <w:spacing w:val="-11"/>
          <w:w w:val="105"/>
        </w:rPr>
        <w:t> </w:t>
      </w:r>
      <w:r>
        <w:rPr>
          <w:rFonts w:ascii="Arial" w:hAnsi="Arial"/>
          <w:i/>
          <w:color w:val="231F20"/>
          <w:w w:val="105"/>
        </w:rPr>
        <w:t>aria</w:t>
      </w:r>
      <w:r>
        <w:rPr>
          <w:rFonts w:ascii="Arial" w:hAnsi="Arial"/>
          <w:i/>
          <w:color w:val="231F20"/>
          <w:spacing w:val="-8"/>
          <w:w w:val="105"/>
        </w:rPr>
        <w:t> </w:t>
      </w:r>
      <w:r>
        <w:rPr>
          <w:color w:val="231F20"/>
          <w:w w:val="105"/>
        </w:rPr>
        <w:t>sotto</w:t>
      </w:r>
      <w:r>
        <w:rPr>
          <w:color w:val="231F20"/>
          <w:spacing w:val="-18"/>
          <w:w w:val="105"/>
        </w:rPr>
        <w:t> </w:t>
      </w:r>
      <w:r>
        <w:rPr>
          <w:color w:val="231F20"/>
          <w:w w:val="105"/>
        </w:rPr>
        <w:t>l’onda</w:t>
      </w:r>
      <w:r>
        <w:rPr>
          <w:color w:val="231F20"/>
          <w:spacing w:val="-18"/>
          <w:w w:val="105"/>
        </w:rPr>
        <w:t> </w:t>
      </w:r>
      <w:r>
        <w:rPr>
          <w:color w:val="231F20"/>
          <w:w w:val="105"/>
        </w:rPr>
        <w:t>della</w:t>
      </w:r>
      <w:r>
        <w:rPr>
          <w:color w:val="231F20"/>
          <w:spacing w:val="-18"/>
          <w:w w:val="105"/>
        </w:rPr>
        <w:t> </w:t>
      </w:r>
      <w:r>
        <w:rPr>
          <w:color w:val="231F20"/>
          <w:w w:val="105"/>
        </w:rPr>
        <w:t>produzione</w:t>
      </w:r>
      <w:r>
        <w:rPr>
          <w:color w:val="231F20"/>
          <w:spacing w:val="-18"/>
          <w:w w:val="105"/>
        </w:rPr>
        <w:t> </w:t>
      </w:r>
      <w:r>
        <w:rPr>
          <w:color w:val="231F20"/>
          <w:w w:val="105"/>
        </w:rPr>
        <w:t>e</w:t>
      </w:r>
      <w:r>
        <w:rPr>
          <w:color w:val="231F20"/>
          <w:spacing w:val="-18"/>
          <w:w w:val="105"/>
        </w:rPr>
        <w:t> </w:t>
      </w:r>
      <w:r>
        <w:rPr>
          <w:color w:val="231F20"/>
          <w:w w:val="105"/>
        </w:rPr>
        <w:t>del</w:t>
      </w:r>
      <w:r>
        <w:rPr>
          <w:color w:val="231F20"/>
          <w:spacing w:val="-18"/>
          <w:w w:val="105"/>
        </w:rPr>
        <w:t> </w:t>
      </w:r>
      <w:r>
        <w:rPr>
          <w:color w:val="231F20"/>
          <w:w w:val="105"/>
        </w:rPr>
        <w:t>consumismo—</w:t>
      </w:r>
      <w:r>
        <w:rPr>
          <w:color w:val="231F20"/>
          <w:spacing w:val="-18"/>
          <w:w w:val="105"/>
        </w:rPr>
        <w:t> </w:t>
      </w:r>
      <w:r>
        <w:rPr>
          <w:color w:val="231F20"/>
          <w:w w:val="105"/>
        </w:rPr>
        <w:t>che disseminava</w:t>
      </w:r>
      <w:r>
        <w:rPr>
          <w:color w:val="231F20"/>
          <w:spacing w:val="-34"/>
          <w:w w:val="105"/>
        </w:rPr>
        <w:t> </w:t>
      </w:r>
      <w:r>
        <w:rPr>
          <w:color w:val="231F20"/>
          <w:w w:val="105"/>
        </w:rPr>
        <w:t>la</w:t>
      </w:r>
      <w:r>
        <w:rPr>
          <w:color w:val="231F20"/>
          <w:spacing w:val="-34"/>
          <w:w w:val="105"/>
        </w:rPr>
        <w:t> </w:t>
      </w:r>
      <w:r>
        <w:rPr>
          <w:color w:val="231F20"/>
          <w:w w:val="105"/>
        </w:rPr>
        <w:t>sua</w:t>
      </w:r>
      <w:r>
        <w:rPr>
          <w:color w:val="231F20"/>
          <w:spacing w:val="-34"/>
          <w:w w:val="105"/>
        </w:rPr>
        <w:t> </w:t>
      </w:r>
      <w:r>
        <w:rPr>
          <w:color w:val="231F20"/>
          <w:w w:val="105"/>
        </w:rPr>
        <w:t>forma</w:t>
      </w:r>
      <w:r>
        <w:rPr>
          <w:color w:val="231F20"/>
          <w:spacing w:val="-34"/>
          <w:w w:val="105"/>
        </w:rPr>
        <w:t> </w:t>
      </w:r>
      <w:r>
        <w:rPr>
          <w:color w:val="231F20"/>
          <w:w w:val="105"/>
        </w:rPr>
        <w:t>di</w:t>
      </w:r>
      <w:r>
        <w:rPr>
          <w:color w:val="231F20"/>
          <w:spacing w:val="-34"/>
          <w:w w:val="105"/>
        </w:rPr>
        <w:t> </w:t>
      </w:r>
      <w:r>
        <w:rPr>
          <w:color w:val="231F20"/>
          <w:w w:val="105"/>
        </w:rPr>
        <w:t>vita</w:t>
      </w:r>
      <w:r>
        <w:rPr>
          <w:color w:val="231F20"/>
          <w:spacing w:val="-34"/>
          <w:w w:val="105"/>
        </w:rPr>
        <w:t> </w:t>
      </w:r>
      <w:r>
        <w:rPr>
          <w:color w:val="231F20"/>
          <w:w w:val="105"/>
        </w:rPr>
        <w:t>come</w:t>
      </w:r>
      <w:r>
        <w:rPr>
          <w:color w:val="231F20"/>
          <w:spacing w:val="-34"/>
          <w:w w:val="105"/>
        </w:rPr>
        <w:t> </w:t>
      </w:r>
      <w:r>
        <w:rPr>
          <w:color w:val="231F20"/>
          <w:w w:val="105"/>
        </w:rPr>
        <w:t>ideale</w:t>
      </w:r>
      <w:r>
        <w:rPr>
          <w:color w:val="231F20"/>
          <w:spacing w:val="-34"/>
          <w:w w:val="105"/>
        </w:rPr>
        <w:t> </w:t>
      </w:r>
      <w:r>
        <w:rPr>
          <w:color w:val="231F20"/>
          <w:w w:val="105"/>
        </w:rPr>
        <w:t>d’esistenza</w:t>
      </w:r>
      <w:r>
        <w:rPr>
          <w:color w:val="231F20"/>
          <w:spacing w:val="-34"/>
          <w:w w:val="105"/>
        </w:rPr>
        <w:t> </w:t>
      </w:r>
      <w:r>
        <w:rPr>
          <w:color w:val="231F20"/>
          <w:w w:val="105"/>
        </w:rPr>
        <w:t>nel</w:t>
      </w:r>
      <w:r>
        <w:rPr>
          <w:color w:val="231F20"/>
          <w:spacing w:val="-34"/>
          <w:w w:val="105"/>
        </w:rPr>
        <w:t> </w:t>
      </w:r>
      <w:r>
        <w:rPr>
          <w:color w:val="231F20"/>
          <w:w w:val="105"/>
        </w:rPr>
        <w:t>mondo</w:t>
      </w:r>
      <w:r>
        <w:rPr>
          <w:color w:val="231F20"/>
          <w:spacing w:val="-34"/>
          <w:w w:val="105"/>
        </w:rPr>
        <w:t> </w:t>
      </w:r>
      <w:r>
        <w:rPr>
          <w:color w:val="231F20"/>
          <w:w w:val="105"/>
        </w:rPr>
        <w:t>intero. La</w:t>
      </w:r>
      <w:r>
        <w:rPr>
          <w:color w:val="231F20"/>
          <w:spacing w:val="-46"/>
          <w:w w:val="105"/>
        </w:rPr>
        <w:t> </w:t>
      </w:r>
      <w:r>
        <w:rPr>
          <w:color w:val="231F20"/>
          <w:spacing w:val="-3"/>
          <w:w w:val="105"/>
        </w:rPr>
        <w:t>globalizzazione</w:t>
      </w:r>
      <w:r>
        <w:rPr>
          <w:color w:val="231F20"/>
          <w:spacing w:val="-46"/>
          <w:w w:val="105"/>
        </w:rPr>
        <w:t> </w:t>
      </w:r>
      <w:r>
        <w:rPr>
          <w:color w:val="231F20"/>
          <w:spacing w:val="-3"/>
          <w:w w:val="105"/>
        </w:rPr>
        <w:t>attuale</w:t>
      </w:r>
      <w:r>
        <w:rPr>
          <w:color w:val="231F20"/>
          <w:spacing w:val="-46"/>
          <w:w w:val="105"/>
        </w:rPr>
        <w:t> </w:t>
      </w:r>
      <w:r>
        <w:rPr>
          <w:color w:val="231F20"/>
          <w:w w:val="105"/>
        </w:rPr>
        <w:t>non</w:t>
      </w:r>
      <w:r>
        <w:rPr>
          <w:color w:val="231F20"/>
          <w:spacing w:val="-46"/>
          <w:w w:val="105"/>
        </w:rPr>
        <w:t> </w:t>
      </w:r>
      <w:r>
        <w:rPr>
          <w:color w:val="231F20"/>
          <w:w w:val="105"/>
        </w:rPr>
        <w:t>si</w:t>
      </w:r>
      <w:r>
        <w:rPr>
          <w:color w:val="231F20"/>
          <w:spacing w:val="-46"/>
          <w:w w:val="105"/>
        </w:rPr>
        <w:t> </w:t>
      </w:r>
      <w:r>
        <w:rPr>
          <w:color w:val="231F20"/>
          <w:w w:val="105"/>
        </w:rPr>
        <w:t>può</w:t>
      </w:r>
      <w:r>
        <w:rPr>
          <w:color w:val="231F20"/>
          <w:spacing w:val="-46"/>
          <w:w w:val="105"/>
        </w:rPr>
        <w:t> </w:t>
      </w:r>
      <w:r>
        <w:rPr>
          <w:color w:val="231F20"/>
          <w:spacing w:val="-3"/>
          <w:w w:val="105"/>
        </w:rPr>
        <w:t>capire</w:t>
      </w:r>
      <w:r>
        <w:rPr>
          <w:color w:val="231F20"/>
          <w:spacing w:val="-46"/>
          <w:w w:val="105"/>
        </w:rPr>
        <w:t> </w:t>
      </w:r>
      <w:r>
        <w:rPr>
          <w:color w:val="231F20"/>
          <w:spacing w:val="-3"/>
          <w:w w:val="105"/>
        </w:rPr>
        <w:t>senza</w:t>
      </w:r>
      <w:r>
        <w:rPr>
          <w:color w:val="231F20"/>
          <w:spacing w:val="-46"/>
          <w:w w:val="105"/>
        </w:rPr>
        <w:t> </w:t>
      </w:r>
      <w:r>
        <w:rPr>
          <w:color w:val="231F20"/>
          <w:spacing w:val="-3"/>
          <w:w w:val="105"/>
        </w:rPr>
        <w:t>considerare</w:t>
      </w:r>
      <w:r>
        <w:rPr>
          <w:color w:val="231F20"/>
          <w:spacing w:val="-46"/>
          <w:w w:val="105"/>
        </w:rPr>
        <w:t> </w:t>
      </w:r>
      <w:r>
        <w:rPr>
          <w:color w:val="231F20"/>
          <w:spacing w:val="-3"/>
          <w:w w:val="105"/>
        </w:rPr>
        <w:t>l’embricazione </w:t>
      </w:r>
      <w:r>
        <w:rPr>
          <w:color w:val="231F20"/>
          <w:w w:val="105"/>
        </w:rPr>
        <w:t>di</w:t>
      </w:r>
      <w:r>
        <w:rPr>
          <w:color w:val="231F20"/>
          <w:spacing w:val="-43"/>
          <w:w w:val="105"/>
        </w:rPr>
        <w:t> </w:t>
      </w:r>
      <w:r>
        <w:rPr>
          <w:color w:val="231F20"/>
          <w:w w:val="105"/>
        </w:rPr>
        <w:t>molteplici</w:t>
      </w:r>
      <w:r>
        <w:rPr>
          <w:color w:val="231F20"/>
          <w:spacing w:val="-43"/>
          <w:w w:val="105"/>
        </w:rPr>
        <w:t> </w:t>
      </w:r>
      <w:r>
        <w:rPr>
          <w:color w:val="231F20"/>
          <w:w w:val="105"/>
        </w:rPr>
        <w:t>fattori</w:t>
      </w:r>
      <w:r>
        <w:rPr>
          <w:color w:val="231F20"/>
          <w:spacing w:val="-43"/>
          <w:w w:val="105"/>
        </w:rPr>
        <w:t> </w:t>
      </w:r>
      <w:r>
        <w:rPr>
          <w:color w:val="231F20"/>
          <w:spacing w:val="-2"/>
          <w:w w:val="105"/>
        </w:rPr>
        <w:t>dietro</w:t>
      </w:r>
      <w:r>
        <w:rPr>
          <w:color w:val="231F20"/>
          <w:spacing w:val="-43"/>
          <w:w w:val="105"/>
        </w:rPr>
        <w:t> </w:t>
      </w:r>
      <w:r>
        <w:rPr>
          <w:color w:val="231F20"/>
          <w:w w:val="105"/>
        </w:rPr>
        <w:t>ai</w:t>
      </w:r>
      <w:r>
        <w:rPr>
          <w:color w:val="231F20"/>
          <w:spacing w:val="-43"/>
          <w:w w:val="105"/>
        </w:rPr>
        <w:t> </w:t>
      </w:r>
      <w:r>
        <w:rPr>
          <w:color w:val="231F20"/>
          <w:w w:val="105"/>
        </w:rPr>
        <w:t>quali</w:t>
      </w:r>
      <w:r>
        <w:rPr>
          <w:color w:val="231F20"/>
          <w:spacing w:val="-43"/>
          <w:w w:val="105"/>
        </w:rPr>
        <w:t> </w:t>
      </w:r>
      <w:r>
        <w:rPr>
          <w:color w:val="231F20"/>
          <w:w w:val="105"/>
        </w:rPr>
        <w:t>l’espansione</w:t>
      </w:r>
      <w:r>
        <w:rPr>
          <w:color w:val="231F20"/>
          <w:spacing w:val="-43"/>
          <w:w w:val="105"/>
        </w:rPr>
        <w:t> </w:t>
      </w:r>
      <w:r>
        <w:rPr>
          <w:color w:val="231F20"/>
          <w:w w:val="105"/>
        </w:rPr>
        <w:t>capitalista</w:t>
      </w:r>
      <w:r>
        <w:rPr>
          <w:color w:val="231F20"/>
          <w:spacing w:val="-43"/>
          <w:w w:val="105"/>
        </w:rPr>
        <w:t> </w:t>
      </w:r>
      <w:r>
        <w:rPr>
          <w:color w:val="231F20"/>
          <w:w w:val="105"/>
        </w:rPr>
        <w:t>gioca</w:t>
      </w:r>
      <w:r>
        <w:rPr>
          <w:color w:val="231F20"/>
          <w:spacing w:val="-43"/>
          <w:w w:val="105"/>
        </w:rPr>
        <w:t> </w:t>
      </w:r>
      <w:r>
        <w:rPr>
          <w:color w:val="231F20"/>
          <w:w w:val="105"/>
        </w:rPr>
        <w:t>il</w:t>
      </w:r>
      <w:r>
        <w:rPr>
          <w:color w:val="231F20"/>
          <w:spacing w:val="-43"/>
          <w:w w:val="105"/>
        </w:rPr>
        <w:t> </w:t>
      </w:r>
      <w:r>
        <w:rPr>
          <w:color w:val="231F20"/>
          <w:w w:val="105"/>
        </w:rPr>
        <w:t>ruolo</w:t>
      </w:r>
      <w:r>
        <w:rPr>
          <w:color w:val="231F20"/>
          <w:spacing w:val="-43"/>
          <w:w w:val="105"/>
        </w:rPr>
        <w:t> </w:t>
      </w:r>
      <w:r>
        <w:rPr>
          <w:color w:val="231F20"/>
          <w:w w:val="105"/>
        </w:rPr>
        <w:t>di</w:t>
      </w:r>
      <w:r>
        <w:rPr>
          <w:color w:val="231F20"/>
          <w:spacing w:val="-43"/>
          <w:w w:val="105"/>
        </w:rPr>
        <w:t> </w:t>
      </w:r>
      <w:r>
        <w:rPr>
          <w:color w:val="231F20"/>
          <w:w w:val="105"/>
        </w:rPr>
        <w:t>filo conduttore.</w:t>
      </w:r>
      <w:r>
        <w:rPr>
          <w:color w:val="231F20"/>
          <w:spacing w:val="-25"/>
          <w:w w:val="105"/>
        </w:rPr>
        <w:t> </w:t>
      </w:r>
      <w:r>
        <w:rPr>
          <w:color w:val="231F20"/>
          <w:w w:val="105"/>
        </w:rPr>
        <w:t>Gli</w:t>
      </w:r>
      <w:r>
        <w:rPr>
          <w:color w:val="231F20"/>
          <w:spacing w:val="-25"/>
          <w:w w:val="105"/>
        </w:rPr>
        <w:t> </w:t>
      </w:r>
      <w:r>
        <w:rPr>
          <w:color w:val="231F20"/>
          <w:w w:val="105"/>
        </w:rPr>
        <w:t>autori</w:t>
      </w:r>
      <w:r>
        <w:rPr>
          <w:color w:val="231F20"/>
          <w:spacing w:val="-25"/>
          <w:w w:val="105"/>
        </w:rPr>
        <w:t> </w:t>
      </w:r>
      <w:r>
        <w:rPr>
          <w:color w:val="231F20"/>
          <w:w w:val="105"/>
        </w:rPr>
        <w:t>dei</w:t>
      </w:r>
      <w:r>
        <w:rPr>
          <w:color w:val="231F20"/>
          <w:spacing w:val="-25"/>
          <w:w w:val="105"/>
        </w:rPr>
        <w:t> </w:t>
      </w:r>
      <w:r>
        <w:rPr>
          <w:color w:val="231F20"/>
          <w:w w:val="105"/>
        </w:rPr>
        <w:t>capitoli</w:t>
      </w:r>
      <w:r>
        <w:rPr>
          <w:color w:val="231F20"/>
          <w:spacing w:val="-25"/>
          <w:w w:val="105"/>
        </w:rPr>
        <w:t> </w:t>
      </w:r>
      <w:r>
        <w:rPr>
          <w:color w:val="231F20"/>
          <w:w w:val="105"/>
        </w:rPr>
        <w:t>del</w:t>
      </w:r>
      <w:r>
        <w:rPr>
          <w:color w:val="231F20"/>
          <w:spacing w:val="-25"/>
          <w:w w:val="105"/>
        </w:rPr>
        <w:t> </w:t>
      </w:r>
      <w:r>
        <w:rPr>
          <w:color w:val="231F20"/>
          <w:w w:val="105"/>
        </w:rPr>
        <w:t>presente</w:t>
      </w:r>
      <w:r>
        <w:rPr>
          <w:color w:val="231F20"/>
          <w:spacing w:val="-25"/>
          <w:w w:val="105"/>
        </w:rPr>
        <w:t> </w:t>
      </w:r>
      <w:r>
        <w:rPr>
          <w:color w:val="231F20"/>
          <w:w w:val="105"/>
        </w:rPr>
        <w:t>libro</w:t>
      </w:r>
      <w:r>
        <w:rPr>
          <w:color w:val="231F20"/>
          <w:spacing w:val="-25"/>
          <w:w w:val="105"/>
        </w:rPr>
        <w:t> </w:t>
      </w:r>
      <w:r>
        <w:rPr>
          <w:color w:val="231F20"/>
          <w:w w:val="105"/>
        </w:rPr>
        <w:t>cercano</w:t>
      </w:r>
      <w:r>
        <w:rPr>
          <w:color w:val="231F20"/>
          <w:spacing w:val="-25"/>
          <w:w w:val="105"/>
        </w:rPr>
        <w:t> </w:t>
      </w:r>
      <w:r>
        <w:rPr>
          <w:color w:val="231F20"/>
          <w:w w:val="105"/>
        </w:rPr>
        <w:t>di</w:t>
      </w:r>
      <w:r>
        <w:rPr>
          <w:color w:val="231F20"/>
          <w:spacing w:val="-25"/>
          <w:w w:val="105"/>
        </w:rPr>
        <w:t> </w:t>
      </w:r>
      <w:r>
        <w:rPr>
          <w:color w:val="231F20"/>
          <w:w w:val="105"/>
        </w:rPr>
        <w:t>mostrare</w:t>
      </w:r>
      <w:r>
        <w:rPr>
          <w:color w:val="231F20"/>
          <w:spacing w:val="-25"/>
          <w:w w:val="105"/>
        </w:rPr>
        <w:t> </w:t>
      </w:r>
      <w:r>
        <w:rPr>
          <w:color w:val="231F20"/>
          <w:w w:val="105"/>
        </w:rPr>
        <w:t>la complessità</w:t>
      </w:r>
      <w:r>
        <w:rPr>
          <w:color w:val="231F20"/>
          <w:spacing w:val="-34"/>
          <w:w w:val="105"/>
        </w:rPr>
        <w:t> </w:t>
      </w:r>
      <w:r>
        <w:rPr>
          <w:color w:val="231F20"/>
          <w:w w:val="105"/>
        </w:rPr>
        <w:t>di</w:t>
      </w:r>
      <w:r>
        <w:rPr>
          <w:color w:val="231F20"/>
          <w:spacing w:val="-34"/>
          <w:w w:val="105"/>
        </w:rPr>
        <w:t> </w:t>
      </w:r>
      <w:r>
        <w:rPr>
          <w:color w:val="231F20"/>
          <w:w w:val="105"/>
        </w:rPr>
        <w:t>tale</w:t>
      </w:r>
      <w:r>
        <w:rPr>
          <w:color w:val="231F20"/>
          <w:spacing w:val="-34"/>
          <w:w w:val="105"/>
        </w:rPr>
        <w:t> </w:t>
      </w:r>
      <w:r>
        <w:rPr>
          <w:color w:val="231F20"/>
          <w:w w:val="105"/>
        </w:rPr>
        <w:t>embricazione,</w:t>
      </w:r>
      <w:r>
        <w:rPr>
          <w:color w:val="231F20"/>
          <w:spacing w:val="-34"/>
          <w:w w:val="105"/>
        </w:rPr>
        <w:t> </w:t>
      </w:r>
      <w:r>
        <w:rPr>
          <w:color w:val="231F20"/>
          <w:w w:val="105"/>
        </w:rPr>
        <w:t>delle</w:t>
      </w:r>
      <w:r>
        <w:rPr>
          <w:color w:val="231F20"/>
          <w:spacing w:val="-34"/>
          <w:w w:val="105"/>
        </w:rPr>
        <w:t> </w:t>
      </w:r>
      <w:r>
        <w:rPr>
          <w:color w:val="231F20"/>
          <w:w w:val="105"/>
        </w:rPr>
        <w:t>sue</w:t>
      </w:r>
      <w:r>
        <w:rPr>
          <w:color w:val="231F20"/>
          <w:spacing w:val="-34"/>
          <w:w w:val="105"/>
        </w:rPr>
        <w:t> </w:t>
      </w:r>
      <w:r>
        <w:rPr>
          <w:color w:val="231F20"/>
          <w:w w:val="105"/>
        </w:rPr>
        <w:t>possibilità,</w:t>
      </w:r>
      <w:r>
        <w:rPr>
          <w:color w:val="231F20"/>
          <w:spacing w:val="-34"/>
          <w:w w:val="105"/>
        </w:rPr>
        <w:t> </w:t>
      </w:r>
      <w:r>
        <w:rPr>
          <w:color w:val="231F20"/>
          <w:w w:val="105"/>
        </w:rPr>
        <w:t>dei</w:t>
      </w:r>
      <w:r>
        <w:rPr>
          <w:color w:val="231F20"/>
          <w:spacing w:val="-34"/>
          <w:w w:val="105"/>
        </w:rPr>
        <w:t> </w:t>
      </w:r>
      <w:r>
        <w:rPr>
          <w:color w:val="231F20"/>
          <w:w w:val="105"/>
        </w:rPr>
        <w:t>limiti</w:t>
      </w:r>
      <w:r>
        <w:rPr>
          <w:color w:val="231F20"/>
          <w:spacing w:val="-34"/>
          <w:w w:val="105"/>
        </w:rPr>
        <w:t> </w:t>
      </w:r>
      <w:r>
        <w:rPr>
          <w:color w:val="231F20"/>
          <w:w w:val="105"/>
        </w:rPr>
        <w:t>che</w:t>
      </w:r>
      <w:r>
        <w:rPr>
          <w:color w:val="231F20"/>
          <w:spacing w:val="-34"/>
          <w:w w:val="105"/>
        </w:rPr>
        <w:t> </w:t>
      </w:r>
      <w:r>
        <w:rPr>
          <w:color w:val="231F20"/>
          <w:w w:val="105"/>
        </w:rPr>
        <w:t>ancora ci</w:t>
      </w:r>
      <w:r>
        <w:rPr>
          <w:color w:val="231F20"/>
          <w:spacing w:val="-22"/>
          <w:w w:val="105"/>
        </w:rPr>
        <w:t> </w:t>
      </w:r>
      <w:r>
        <w:rPr>
          <w:color w:val="231F20"/>
          <w:w w:val="105"/>
        </w:rPr>
        <w:t>sono</w:t>
      </w:r>
      <w:r>
        <w:rPr>
          <w:color w:val="231F20"/>
          <w:spacing w:val="-22"/>
          <w:w w:val="105"/>
        </w:rPr>
        <w:t> </w:t>
      </w:r>
      <w:r>
        <w:rPr>
          <w:color w:val="231F20"/>
          <w:w w:val="105"/>
        </w:rPr>
        <w:t>al</w:t>
      </w:r>
      <w:r>
        <w:rPr>
          <w:color w:val="231F20"/>
          <w:spacing w:val="-22"/>
          <w:w w:val="105"/>
        </w:rPr>
        <w:t> </w:t>
      </w:r>
      <w:r>
        <w:rPr>
          <w:color w:val="231F20"/>
          <w:w w:val="105"/>
        </w:rPr>
        <w:t>momento</w:t>
      </w:r>
      <w:r>
        <w:rPr>
          <w:color w:val="231F20"/>
          <w:spacing w:val="-22"/>
          <w:w w:val="105"/>
        </w:rPr>
        <w:t> </w:t>
      </w:r>
      <w:r>
        <w:rPr>
          <w:color w:val="231F20"/>
          <w:w w:val="105"/>
        </w:rPr>
        <w:t>di</w:t>
      </w:r>
      <w:r>
        <w:rPr>
          <w:color w:val="231F20"/>
          <w:spacing w:val="-22"/>
          <w:w w:val="105"/>
        </w:rPr>
        <w:t> </w:t>
      </w:r>
      <w:r>
        <w:rPr>
          <w:color w:val="231F20"/>
          <w:w w:val="105"/>
        </w:rPr>
        <w:t>rendere</w:t>
      </w:r>
      <w:r>
        <w:rPr>
          <w:color w:val="231F20"/>
          <w:spacing w:val="-22"/>
          <w:w w:val="105"/>
        </w:rPr>
        <w:t> </w:t>
      </w:r>
      <w:r>
        <w:rPr>
          <w:color w:val="231F20"/>
          <w:w w:val="105"/>
        </w:rPr>
        <w:t>conto</w:t>
      </w:r>
      <w:r>
        <w:rPr>
          <w:color w:val="231F20"/>
          <w:spacing w:val="-22"/>
          <w:w w:val="105"/>
        </w:rPr>
        <w:t> </w:t>
      </w:r>
      <w:r>
        <w:rPr>
          <w:color w:val="231F20"/>
          <w:w w:val="105"/>
        </w:rPr>
        <w:t>esatto</w:t>
      </w:r>
      <w:r>
        <w:rPr>
          <w:color w:val="231F20"/>
          <w:spacing w:val="-22"/>
          <w:w w:val="105"/>
        </w:rPr>
        <w:t> </w:t>
      </w:r>
      <w:r>
        <w:rPr>
          <w:color w:val="231F20"/>
          <w:w w:val="105"/>
        </w:rPr>
        <w:t>di</w:t>
      </w:r>
      <w:r>
        <w:rPr>
          <w:color w:val="231F20"/>
          <w:spacing w:val="-22"/>
          <w:w w:val="105"/>
        </w:rPr>
        <w:t> </w:t>
      </w:r>
      <w:r>
        <w:rPr>
          <w:color w:val="231F20"/>
          <w:w w:val="105"/>
        </w:rPr>
        <w:t>questo</w:t>
      </w:r>
      <w:r>
        <w:rPr>
          <w:color w:val="231F20"/>
          <w:spacing w:val="-22"/>
          <w:w w:val="105"/>
        </w:rPr>
        <w:t> </w:t>
      </w:r>
      <w:r>
        <w:rPr>
          <w:color w:val="231F20"/>
          <w:w w:val="105"/>
        </w:rPr>
        <w:t>fenomeno.</w:t>
      </w:r>
      <w:r>
        <w:rPr>
          <w:color w:val="231F20"/>
          <w:spacing w:val="-22"/>
          <w:w w:val="105"/>
        </w:rPr>
        <w:t> </w:t>
      </w:r>
      <w:r>
        <w:rPr>
          <w:color w:val="231F20"/>
          <w:w w:val="105"/>
        </w:rPr>
        <w:t>In</w:t>
      </w:r>
      <w:r>
        <w:rPr>
          <w:color w:val="231F20"/>
          <w:spacing w:val="-22"/>
          <w:w w:val="105"/>
        </w:rPr>
        <w:t> </w:t>
      </w:r>
      <w:r>
        <w:rPr>
          <w:color w:val="231F20"/>
          <w:w w:val="105"/>
        </w:rPr>
        <w:t>cerca di</w:t>
      </w:r>
      <w:r>
        <w:rPr>
          <w:color w:val="231F20"/>
          <w:spacing w:val="-19"/>
          <w:w w:val="105"/>
        </w:rPr>
        <w:t> </w:t>
      </w:r>
      <w:r>
        <w:rPr>
          <w:color w:val="231F20"/>
          <w:w w:val="105"/>
        </w:rPr>
        <w:t>capire</w:t>
      </w:r>
      <w:r>
        <w:rPr>
          <w:color w:val="231F20"/>
          <w:spacing w:val="-19"/>
          <w:w w:val="105"/>
        </w:rPr>
        <w:t> </w:t>
      </w:r>
      <w:r>
        <w:rPr>
          <w:color w:val="231F20"/>
          <w:w w:val="105"/>
        </w:rPr>
        <w:t>e</w:t>
      </w:r>
      <w:r>
        <w:rPr>
          <w:color w:val="231F20"/>
          <w:spacing w:val="-19"/>
          <w:w w:val="105"/>
        </w:rPr>
        <w:t> </w:t>
      </w:r>
      <w:r>
        <w:rPr>
          <w:color w:val="231F20"/>
          <w:w w:val="105"/>
        </w:rPr>
        <w:t>analizzare</w:t>
      </w:r>
      <w:r>
        <w:rPr>
          <w:color w:val="231F20"/>
          <w:spacing w:val="-19"/>
          <w:w w:val="105"/>
        </w:rPr>
        <w:t> </w:t>
      </w:r>
      <w:r>
        <w:rPr>
          <w:color w:val="231F20"/>
          <w:w w:val="105"/>
        </w:rPr>
        <w:t>un</w:t>
      </w:r>
      <w:r>
        <w:rPr>
          <w:color w:val="231F20"/>
          <w:spacing w:val="-19"/>
          <w:w w:val="105"/>
        </w:rPr>
        <w:t> </w:t>
      </w:r>
      <w:r>
        <w:rPr>
          <w:color w:val="231F20"/>
          <w:w w:val="105"/>
        </w:rPr>
        <w:t>fenomeno</w:t>
      </w:r>
      <w:r>
        <w:rPr>
          <w:color w:val="231F20"/>
          <w:spacing w:val="-19"/>
          <w:w w:val="105"/>
        </w:rPr>
        <w:t> </w:t>
      </w:r>
      <w:r>
        <w:rPr>
          <w:color w:val="231F20"/>
          <w:w w:val="105"/>
        </w:rPr>
        <w:t>così</w:t>
      </w:r>
      <w:r>
        <w:rPr>
          <w:color w:val="231F20"/>
          <w:spacing w:val="-19"/>
          <w:w w:val="105"/>
        </w:rPr>
        <w:t> </w:t>
      </w:r>
      <w:r>
        <w:rPr>
          <w:color w:val="231F20"/>
          <w:w w:val="105"/>
        </w:rPr>
        <w:t>attuale,</w:t>
      </w:r>
      <w:r>
        <w:rPr>
          <w:color w:val="231F20"/>
          <w:spacing w:val="-19"/>
          <w:w w:val="105"/>
        </w:rPr>
        <w:t> </w:t>
      </w:r>
      <w:r>
        <w:rPr>
          <w:color w:val="231F20"/>
          <w:w w:val="105"/>
        </w:rPr>
        <w:t>i</w:t>
      </w:r>
      <w:r>
        <w:rPr>
          <w:color w:val="231F20"/>
          <w:spacing w:val="-19"/>
          <w:w w:val="105"/>
        </w:rPr>
        <w:t> </w:t>
      </w:r>
      <w:r>
        <w:rPr>
          <w:color w:val="231F20"/>
          <w:w w:val="105"/>
        </w:rPr>
        <w:t>lavori</w:t>
      </w:r>
      <w:r>
        <w:rPr>
          <w:color w:val="231F20"/>
          <w:spacing w:val="-19"/>
          <w:w w:val="105"/>
        </w:rPr>
        <w:t> </w:t>
      </w:r>
      <w:r>
        <w:rPr>
          <w:color w:val="231F20"/>
          <w:w w:val="105"/>
        </w:rPr>
        <w:t>qui</w:t>
      </w:r>
      <w:r>
        <w:rPr>
          <w:color w:val="231F20"/>
          <w:spacing w:val="-19"/>
          <w:w w:val="105"/>
        </w:rPr>
        <w:t> </w:t>
      </w:r>
      <w:r>
        <w:rPr>
          <w:color w:val="231F20"/>
          <w:w w:val="105"/>
        </w:rPr>
        <w:t>riuniti</w:t>
      </w:r>
      <w:r>
        <w:rPr>
          <w:color w:val="231F20"/>
          <w:spacing w:val="-19"/>
          <w:w w:val="105"/>
        </w:rPr>
        <w:t> </w:t>
      </w:r>
      <w:r>
        <w:rPr>
          <w:color w:val="231F20"/>
          <w:w w:val="105"/>
        </w:rPr>
        <w:t>aiutano a</w:t>
      </w:r>
      <w:r>
        <w:rPr>
          <w:color w:val="231F20"/>
          <w:spacing w:val="-24"/>
          <w:w w:val="105"/>
        </w:rPr>
        <w:t> </w:t>
      </w:r>
      <w:r>
        <w:rPr>
          <w:color w:val="231F20"/>
          <w:w w:val="105"/>
        </w:rPr>
        <w:t>pensarlo</w:t>
      </w:r>
      <w:r>
        <w:rPr>
          <w:color w:val="231F20"/>
          <w:spacing w:val="-24"/>
          <w:w w:val="105"/>
        </w:rPr>
        <w:t> </w:t>
      </w:r>
      <w:r>
        <w:rPr>
          <w:color w:val="231F20"/>
          <w:w w:val="105"/>
        </w:rPr>
        <w:t>attraverso</w:t>
      </w:r>
      <w:r>
        <w:rPr>
          <w:color w:val="231F20"/>
          <w:spacing w:val="-24"/>
          <w:w w:val="105"/>
        </w:rPr>
        <w:t> </w:t>
      </w:r>
      <w:r>
        <w:rPr>
          <w:color w:val="231F20"/>
          <w:w w:val="105"/>
        </w:rPr>
        <w:t>le</w:t>
      </w:r>
      <w:r>
        <w:rPr>
          <w:color w:val="231F20"/>
          <w:spacing w:val="-24"/>
          <w:w w:val="105"/>
        </w:rPr>
        <w:t> </w:t>
      </w:r>
      <w:r>
        <w:rPr>
          <w:color w:val="231F20"/>
          <w:w w:val="105"/>
        </w:rPr>
        <w:t>più</w:t>
      </w:r>
      <w:r>
        <w:rPr>
          <w:color w:val="231F20"/>
          <w:spacing w:val="-24"/>
          <w:w w:val="105"/>
        </w:rPr>
        <w:t> </w:t>
      </w:r>
      <w:r>
        <w:rPr>
          <w:color w:val="231F20"/>
          <w:w w:val="105"/>
        </w:rPr>
        <w:t>diverse</w:t>
      </w:r>
      <w:r>
        <w:rPr>
          <w:color w:val="231F20"/>
          <w:spacing w:val="-24"/>
          <w:w w:val="105"/>
        </w:rPr>
        <w:t> </w:t>
      </w:r>
      <w:r>
        <w:rPr>
          <w:color w:val="231F20"/>
          <w:w w:val="105"/>
        </w:rPr>
        <w:t>sfumatture,</w:t>
      </w:r>
      <w:r>
        <w:rPr>
          <w:color w:val="231F20"/>
          <w:spacing w:val="-24"/>
          <w:w w:val="105"/>
        </w:rPr>
        <w:t> </w:t>
      </w:r>
      <w:r>
        <w:rPr>
          <w:color w:val="231F20"/>
          <w:w w:val="105"/>
        </w:rPr>
        <w:t>ma</w:t>
      </w:r>
      <w:r>
        <w:rPr>
          <w:color w:val="231F20"/>
          <w:spacing w:val="-24"/>
          <w:w w:val="105"/>
        </w:rPr>
        <w:t> </w:t>
      </w:r>
      <w:r>
        <w:rPr>
          <w:color w:val="231F20"/>
          <w:w w:val="105"/>
        </w:rPr>
        <w:t>privilegiando</w:t>
      </w:r>
      <w:r>
        <w:rPr>
          <w:color w:val="231F20"/>
          <w:spacing w:val="-24"/>
          <w:w w:val="105"/>
        </w:rPr>
        <w:t> </w:t>
      </w:r>
      <w:r>
        <w:rPr>
          <w:color w:val="231F20"/>
          <w:w w:val="105"/>
        </w:rPr>
        <w:t>la</w:t>
      </w:r>
      <w:r>
        <w:rPr>
          <w:color w:val="231F20"/>
          <w:spacing w:val="-24"/>
          <w:w w:val="105"/>
        </w:rPr>
        <w:t> </w:t>
      </w:r>
      <w:r>
        <w:rPr>
          <w:color w:val="231F20"/>
          <w:w w:val="105"/>
        </w:rPr>
        <w:t>figura dello</w:t>
      </w:r>
      <w:r>
        <w:rPr>
          <w:color w:val="231F20"/>
          <w:spacing w:val="-25"/>
          <w:w w:val="105"/>
        </w:rPr>
        <w:t> </w:t>
      </w:r>
      <w:r>
        <w:rPr>
          <w:color w:val="231F20"/>
          <w:w w:val="105"/>
        </w:rPr>
        <w:t>Stato,</w:t>
      </w:r>
      <w:r>
        <w:rPr>
          <w:color w:val="231F20"/>
          <w:spacing w:val="-25"/>
          <w:w w:val="105"/>
        </w:rPr>
        <w:t> </w:t>
      </w:r>
      <w:r>
        <w:rPr>
          <w:color w:val="231F20"/>
          <w:w w:val="105"/>
        </w:rPr>
        <w:t>il</w:t>
      </w:r>
      <w:r>
        <w:rPr>
          <w:color w:val="231F20"/>
          <w:spacing w:val="-25"/>
          <w:w w:val="105"/>
        </w:rPr>
        <w:t> </w:t>
      </w:r>
      <w:r>
        <w:rPr>
          <w:color w:val="231F20"/>
          <w:w w:val="105"/>
        </w:rPr>
        <w:t>Diritto</w:t>
      </w:r>
      <w:r>
        <w:rPr>
          <w:color w:val="231F20"/>
          <w:spacing w:val="-25"/>
          <w:w w:val="105"/>
        </w:rPr>
        <w:t> </w:t>
      </w:r>
      <w:r>
        <w:rPr>
          <w:color w:val="231F20"/>
          <w:w w:val="105"/>
        </w:rPr>
        <w:t>e</w:t>
      </w:r>
      <w:r>
        <w:rPr>
          <w:color w:val="231F20"/>
          <w:spacing w:val="-25"/>
          <w:w w:val="105"/>
        </w:rPr>
        <w:t> </w:t>
      </w:r>
      <w:r>
        <w:rPr>
          <w:color w:val="231F20"/>
          <w:w w:val="105"/>
        </w:rPr>
        <w:t>la</w:t>
      </w:r>
      <w:r>
        <w:rPr>
          <w:color w:val="231F20"/>
          <w:spacing w:val="-25"/>
          <w:w w:val="105"/>
        </w:rPr>
        <w:t> </w:t>
      </w:r>
      <w:r>
        <w:rPr>
          <w:color w:val="231F20"/>
          <w:w w:val="105"/>
        </w:rPr>
        <w:t>Filosofia.</w:t>
      </w:r>
    </w:p>
    <w:p>
      <w:pPr>
        <w:pStyle w:val="BodyText"/>
        <w:spacing w:line="247" w:lineRule="auto"/>
        <w:ind w:left="117" w:right="117" w:firstLine="566"/>
        <w:jc w:val="both"/>
      </w:pPr>
      <w:r>
        <w:rPr>
          <w:color w:val="231F20"/>
        </w:rPr>
        <w:t>Negli</w:t>
      </w:r>
      <w:r>
        <w:rPr>
          <w:color w:val="231F20"/>
          <w:spacing w:val="-14"/>
        </w:rPr>
        <w:t> </w:t>
      </w:r>
      <w:r>
        <w:rPr>
          <w:color w:val="231F20"/>
        </w:rPr>
        <w:t>anni</w:t>
      </w:r>
      <w:r>
        <w:rPr>
          <w:color w:val="231F20"/>
          <w:spacing w:val="-14"/>
        </w:rPr>
        <w:t> </w:t>
      </w:r>
      <w:r>
        <w:rPr>
          <w:color w:val="231F20"/>
        </w:rPr>
        <w:t>settanta</w:t>
      </w:r>
      <w:r>
        <w:rPr>
          <w:color w:val="231F20"/>
          <w:spacing w:val="-14"/>
        </w:rPr>
        <w:t> </w:t>
      </w:r>
      <w:r>
        <w:rPr>
          <w:color w:val="231F20"/>
        </w:rPr>
        <w:t>del</w:t>
      </w:r>
      <w:r>
        <w:rPr>
          <w:color w:val="231F20"/>
          <w:spacing w:val="-14"/>
        </w:rPr>
        <w:t> </w:t>
      </w:r>
      <w:r>
        <w:rPr>
          <w:color w:val="231F20"/>
        </w:rPr>
        <w:t>secolo</w:t>
      </w:r>
      <w:r>
        <w:rPr>
          <w:color w:val="231F20"/>
          <w:spacing w:val="-14"/>
        </w:rPr>
        <w:t> </w:t>
      </w:r>
      <w:r>
        <w:rPr>
          <w:color w:val="231F20"/>
          <w:sz w:val="18"/>
        </w:rPr>
        <w:t>XX</w:t>
      </w:r>
      <w:r>
        <w:rPr>
          <w:color w:val="231F20"/>
          <w:spacing w:val="-4"/>
          <w:sz w:val="18"/>
        </w:rPr>
        <w:t> </w:t>
      </w:r>
      <w:r>
        <w:rPr>
          <w:color w:val="231F20"/>
        </w:rPr>
        <w:t>ci</w:t>
      </w:r>
      <w:r>
        <w:rPr>
          <w:color w:val="231F20"/>
          <w:spacing w:val="-14"/>
        </w:rPr>
        <w:t> </w:t>
      </w:r>
      <w:r>
        <w:rPr>
          <w:color w:val="231F20"/>
        </w:rPr>
        <w:t>sono</w:t>
      </w:r>
      <w:r>
        <w:rPr>
          <w:color w:val="231F20"/>
          <w:spacing w:val="-14"/>
        </w:rPr>
        <w:t> </w:t>
      </w:r>
      <w:r>
        <w:rPr>
          <w:color w:val="231F20"/>
        </w:rPr>
        <w:t>stati</w:t>
      </w:r>
      <w:r>
        <w:rPr>
          <w:color w:val="231F20"/>
          <w:spacing w:val="-14"/>
        </w:rPr>
        <w:t> </w:t>
      </w:r>
      <w:r>
        <w:rPr>
          <w:color w:val="231F20"/>
        </w:rPr>
        <w:t>degli</w:t>
      </w:r>
      <w:r>
        <w:rPr>
          <w:color w:val="231F20"/>
          <w:spacing w:val="-14"/>
        </w:rPr>
        <w:t> </w:t>
      </w:r>
      <w:r>
        <w:rPr>
          <w:color w:val="231F20"/>
        </w:rPr>
        <w:t>eventi</w:t>
      </w:r>
      <w:r>
        <w:rPr>
          <w:color w:val="231F20"/>
          <w:spacing w:val="-14"/>
        </w:rPr>
        <w:t> </w:t>
      </w:r>
      <w:r>
        <w:rPr>
          <w:color w:val="231F20"/>
        </w:rPr>
        <w:t>drammatici, che hanno marcato in molti aspetti la configurazione di una buona parte del mondo; pensiamo ai movimenti studenteschi e alla loro irruzione come forza politica (Praga, Parigi, Città del Messico, San Francisco, tra altri), il risveglio</w:t>
      </w:r>
      <w:r>
        <w:rPr>
          <w:color w:val="231F20"/>
          <w:spacing w:val="-7"/>
        </w:rPr>
        <w:t> </w:t>
      </w:r>
      <w:r>
        <w:rPr>
          <w:color w:val="231F20"/>
        </w:rPr>
        <w:t>delle</w:t>
      </w:r>
      <w:r>
        <w:rPr>
          <w:color w:val="231F20"/>
          <w:spacing w:val="-7"/>
        </w:rPr>
        <w:t> </w:t>
      </w:r>
      <w:r>
        <w:rPr>
          <w:color w:val="231F20"/>
        </w:rPr>
        <w:t>coscienze</w:t>
      </w:r>
      <w:r>
        <w:rPr>
          <w:color w:val="231F20"/>
          <w:spacing w:val="-7"/>
        </w:rPr>
        <w:t> </w:t>
      </w:r>
      <w:r>
        <w:rPr>
          <w:color w:val="231F20"/>
        </w:rPr>
        <w:t>razziali</w:t>
      </w:r>
      <w:r>
        <w:rPr>
          <w:color w:val="231F20"/>
          <w:spacing w:val="-8"/>
        </w:rPr>
        <w:t> </w:t>
      </w:r>
      <w:r>
        <w:rPr>
          <w:color w:val="231F20"/>
        </w:rPr>
        <w:t>(post-coloniali),</w:t>
      </w:r>
      <w:r>
        <w:rPr>
          <w:color w:val="231F20"/>
          <w:spacing w:val="-7"/>
        </w:rPr>
        <w:t> </w:t>
      </w:r>
      <w:r>
        <w:rPr>
          <w:color w:val="231F20"/>
        </w:rPr>
        <w:t>il</w:t>
      </w:r>
      <w:r>
        <w:rPr>
          <w:color w:val="231F20"/>
          <w:spacing w:val="-7"/>
        </w:rPr>
        <w:t> </w:t>
      </w:r>
      <w:r>
        <w:rPr>
          <w:color w:val="231F20"/>
        </w:rPr>
        <w:t>puntellamento</w:t>
      </w:r>
      <w:r>
        <w:rPr>
          <w:color w:val="231F20"/>
          <w:spacing w:val="-8"/>
        </w:rPr>
        <w:t> </w:t>
      </w:r>
      <w:r>
        <w:rPr>
          <w:color w:val="231F20"/>
        </w:rPr>
        <w:t>del</w:t>
      </w:r>
      <w:r>
        <w:rPr>
          <w:color w:val="231F20"/>
          <w:spacing w:val="-7"/>
        </w:rPr>
        <w:t> </w:t>
      </w:r>
      <w:r>
        <w:rPr>
          <w:color w:val="231F20"/>
        </w:rPr>
        <w:t>potere dei mass media, l’auge della seconda onda femminista, la controcultura,  la sperimentazione con sostanze psicotrope, la ridefinizione del paradigma </w:t>
      </w:r>
      <w:r>
        <w:rPr>
          <w:color w:val="231F20"/>
          <w:spacing w:val="-3"/>
        </w:rPr>
        <w:t>binario</w:t>
      </w:r>
      <w:r>
        <w:rPr>
          <w:color w:val="231F20"/>
          <w:spacing w:val="-15"/>
        </w:rPr>
        <w:t> </w:t>
      </w:r>
      <w:r>
        <w:rPr>
          <w:color w:val="231F20"/>
        </w:rPr>
        <w:t>dei</w:t>
      </w:r>
      <w:r>
        <w:rPr>
          <w:color w:val="231F20"/>
          <w:spacing w:val="-15"/>
        </w:rPr>
        <w:t> </w:t>
      </w:r>
      <w:r>
        <w:rPr>
          <w:color w:val="231F20"/>
          <w:spacing w:val="-3"/>
        </w:rPr>
        <w:t>rapporti</w:t>
      </w:r>
      <w:r>
        <w:rPr>
          <w:color w:val="231F20"/>
          <w:spacing w:val="-15"/>
        </w:rPr>
        <w:t> </w:t>
      </w:r>
      <w:r>
        <w:rPr>
          <w:color w:val="231F20"/>
          <w:spacing w:val="-3"/>
        </w:rPr>
        <w:t>sessuali,</w:t>
      </w:r>
      <w:r>
        <w:rPr>
          <w:color w:val="231F20"/>
          <w:spacing w:val="-15"/>
        </w:rPr>
        <w:t> </w:t>
      </w:r>
      <w:r>
        <w:rPr>
          <w:color w:val="231F20"/>
          <w:spacing w:val="-3"/>
        </w:rPr>
        <w:t>ecc.</w:t>
      </w:r>
      <w:r>
        <w:rPr>
          <w:color w:val="231F20"/>
          <w:spacing w:val="-15"/>
        </w:rPr>
        <w:t> </w:t>
      </w:r>
      <w:r>
        <w:rPr>
          <w:color w:val="231F20"/>
          <w:spacing w:val="-7"/>
        </w:rPr>
        <w:t>Tutti</w:t>
      </w:r>
      <w:r>
        <w:rPr>
          <w:color w:val="231F20"/>
          <w:spacing w:val="-15"/>
        </w:rPr>
        <w:t> </w:t>
      </w:r>
      <w:r>
        <w:rPr>
          <w:color w:val="231F20"/>
          <w:spacing w:val="-3"/>
        </w:rPr>
        <w:t>questi</w:t>
      </w:r>
      <w:r>
        <w:rPr>
          <w:color w:val="231F20"/>
          <w:spacing w:val="-15"/>
        </w:rPr>
        <w:t> </w:t>
      </w:r>
      <w:r>
        <w:rPr>
          <w:color w:val="231F20"/>
          <w:spacing w:val="-3"/>
        </w:rPr>
        <w:t>fatti</w:t>
      </w:r>
      <w:r>
        <w:rPr>
          <w:color w:val="231F20"/>
          <w:spacing w:val="-15"/>
        </w:rPr>
        <w:t> </w:t>
      </w:r>
      <w:r>
        <w:rPr>
          <w:color w:val="231F20"/>
          <w:spacing w:val="-4"/>
        </w:rPr>
        <w:t>fecero</w:t>
      </w:r>
      <w:r>
        <w:rPr>
          <w:color w:val="231F20"/>
          <w:spacing w:val="-15"/>
        </w:rPr>
        <w:t> </w:t>
      </w:r>
      <w:r>
        <w:rPr>
          <w:color w:val="231F20"/>
          <w:spacing w:val="-3"/>
        </w:rPr>
        <w:t>evidente,</w:t>
      </w:r>
      <w:r>
        <w:rPr>
          <w:color w:val="231F20"/>
          <w:spacing w:val="-15"/>
        </w:rPr>
        <w:t> </w:t>
      </w:r>
      <w:r>
        <w:rPr>
          <w:color w:val="231F20"/>
        </w:rPr>
        <w:t>in</w:t>
      </w:r>
      <w:r>
        <w:rPr>
          <w:color w:val="231F20"/>
          <w:spacing w:val="-15"/>
        </w:rPr>
        <w:t> </w:t>
      </w:r>
      <w:r>
        <w:rPr>
          <w:color w:val="231F20"/>
        </w:rPr>
        <w:t>un</w:t>
      </w:r>
      <w:r>
        <w:rPr>
          <w:color w:val="231F20"/>
          <w:spacing w:val="-15"/>
        </w:rPr>
        <w:t> </w:t>
      </w:r>
      <w:r>
        <w:rPr>
          <w:color w:val="231F20"/>
          <w:spacing w:val="-3"/>
        </w:rPr>
        <w:t>modo </w:t>
      </w:r>
      <w:r>
        <w:rPr>
          <w:color w:val="231F20"/>
        </w:rPr>
        <w:t>o</w:t>
      </w:r>
      <w:r>
        <w:rPr>
          <w:color w:val="231F20"/>
          <w:spacing w:val="-16"/>
        </w:rPr>
        <w:t> </w:t>
      </w:r>
      <w:r>
        <w:rPr>
          <w:color w:val="231F20"/>
          <w:spacing w:val="-3"/>
        </w:rPr>
        <w:t>nell’altro,</w:t>
      </w:r>
      <w:r>
        <w:rPr>
          <w:color w:val="231F20"/>
          <w:spacing w:val="-16"/>
        </w:rPr>
        <w:t> </w:t>
      </w:r>
      <w:r>
        <w:rPr>
          <w:color w:val="231F20"/>
        </w:rPr>
        <w:t>il</w:t>
      </w:r>
      <w:r>
        <w:rPr>
          <w:color w:val="231F20"/>
          <w:spacing w:val="-16"/>
        </w:rPr>
        <w:t> </w:t>
      </w:r>
      <w:r>
        <w:rPr>
          <w:color w:val="231F20"/>
          <w:spacing w:val="-3"/>
        </w:rPr>
        <w:t>confronto,</w:t>
      </w:r>
      <w:r>
        <w:rPr>
          <w:color w:val="231F20"/>
          <w:spacing w:val="-16"/>
        </w:rPr>
        <w:t> </w:t>
      </w:r>
      <w:r>
        <w:rPr>
          <w:color w:val="231F20"/>
        </w:rPr>
        <w:t>da</w:t>
      </w:r>
      <w:r>
        <w:rPr>
          <w:color w:val="231F20"/>
          <w:spacing w:val="-16"/>
        </w:rPr>
        <w:t> </w:t>
      </w:r>
      <w:r>
        <w:rPr>
          <w:color w:val="231F20"/>
        </w:rPr>
        <w:t>una</w:t>
      </w:r>
      <w:r>
        <w:rPr>
          <w:color w:val="231F20"/>
          <w:spacing w:val="-16"/>
        </w:rPr>
        <w:t> </w:t>
      </w:r>
      <w:r>
        <w:rPr>
          <w:color w:val="231F20"/>
        </w:rPr>
        <w:t>parte,</w:t>
      </w:r>
      <w:r>
        <w:rPr>
          <w:color w:val="231F20"/>
          <w:spacing w:val="-16"/>
        </w:rPr>
        <w:t> </w:t>
      </w:r>
      <w:r>
        <w:rPr>
          <w:color w:val="231F20"/>
        </w:rPr>
        <w:t>di</w:t>
      </w:r>
      <w:r>
        <w:rPr>
          <w:color w:val="231F20"/>
          <w:spacing w:val="-16"/>
        </w:rPr>
        <w:t> </w:t>
      </w:r>
      <w:r>
        <w:rPr>
          <w:color w:val="231F20"/>
        </w:rPr>
        <w:t>posizioni</w:t>
      </w:r>
      <w:r>
        <w:rPr>
          <w:color w:val="231F20"/>
          <w:spacing w:val="-16"/>
        </w:rPr>
        <w:t> </w:t>
      </w:r>
      <w:r>
        <w:rPr>
          <w:color w:val="231F20"/>
        </w:rPr>
        <w:t>culturalmente</w:t>
      </w:r>
      <w:r>
        <w:rPr>
          <w:color w:val="231F20"/>
          <w:spacing w:val="-16"/>
        </w:rPr>
        <w:t> </w:t>
      </w:r>
      <w:r>
        <w:rPr>
          <w:color w:val="231F20"/>
        </w:rPr>
        <w:t>egemoniche e maggioritarie e dall’altra, pratiche che si sostentavano in prospettive più locali</w:t>
      </w:r>
      <w:r>
        <w:rPr>
          <w:color w:val="231F20"/>
          <w:spacing w:val="-13"/>
        </w:rPr>
        <w:t> </w:t>
      </w:r>
      <w:r>
        <w:rPr>
          <w:color w:val="231F20"/>
        </w:rPr>
        <w:t>e</w:t>
      </w:r>
      <w:r>
        <w:rPr>
          <w:color w:val="231F20"/>
          <w:spacing w:val="-13"/>
        </w:rPr>
        <w:t> </w:t>
      </w:r>
      <w:r>
        <w:rPr>
          <w:color w:val="231F20"/>
        </w:rPr>
        <w:t>non</w:t>
      </w:r>
      <w:r>
        <w:rPr>
          <w:color w:val="231F20"/>
          <w:spacing w:val="-13"/>
        </w:rPr>
        <w:t> </w:t>
      </w:r>
      <w:r>
        <w:rPr>
          <w:color w:val="231F20"/>
        </w:rPr>
        <w:t>egemoniche.</w:t>
      </w:r>
      <w:r>
        <w:rPr>
          <w:color w:val="231F20"/>
          <w:spacing w:val="-13"/>
        </w:rPr>
        <w:t> </w:t>
      </w:r>
      <w:r>
        <w:rPr>
          <w:color w:val="231F20"/>
        </w:rPr>
        <w:t>Comunque,</w:t>
      </w:r>
      <w:r>
        <w:rPr>
          <w:color w:val="231F20"/>
          <w:spacing w:val="-12"/>
        </w:rPr>
        <w:t> </w:t>
      </w:r>
      <w:r>
        <w:rPr>
          <w:color w:val="231F20"/>
        </w:rPr>
        <w:t>è</w:t>
      </w:r>
      <w:r>
        <w:rPr>
          <w:color w:val="231F20"/>
          <w:spacing w:val="-13"/>
        </w:rPr>
        <w:t> </w:t>
      </w:r>
      <w:r>
        <w:rPr>
          <w:color w:val="231F20"/>
        </w:rPr>
        <w:t>innegabile</w:t>
      </w:r>
      <w:r>
        <w:rPr>
          <w:color w:val="231F20"/>
          <w:spacing w:val="-13"/>
        </w:rPr>
        <w:t> </w:t>
      </w:r>
      <w:r>
        <w:rPr>
          <w:color w:val="231F20"/>
        </w:rPr>
        <w:t>che</w:t>
      </w:r>
      <w:r>
        <w:rPr>
          <w:color w:val="231F20"/>
          <w:spacing w:val="-13"/>
        </w:rPr>
        <w:t> </w:t>
      </w:r>
      <w:r>
        <w:rPr>
          <w:color w:val="231F20"/>
        </w:rPr>
        <w:t>ciò</w:t>
      </w:r>
      <w:r>
        <w:rPr>
          <w:color w:val="231F20"/>
          <w:spacing w:val="-13"/>
        </w:rPr>
        <w:t> </w:t>
      </w:r>
      <w:r>
        <w:rPr>
          <w:color w:val="231F20"/>
        </w:rPr>
        <w:t>che</w:t>
      </w:r>
      <w:r>
        <w:rPr>
          <w:color w:val="231F20"/>
          <w:spacing w:val="-13"/>
        </w:rPr>
        <w:t> </w:t>
      </w:r>
      <w:r>
        <w:rPr>
          <w:color w:val="231F20"/>
        </w:rPr>
        <w:t>in</w:t>
      </w:r>
      <w:r>
        <w:rPr>
          <w:color w:val="231F20"/>
          <w:spacing w:val="-13"/>
        </w:rPr>
        <w:t> </w:t>
      </w:r>
      <w:r>
        <w:rPr>
          <w:color w:val="231F20"/>
        </w:rPr>
        <w:t>quegli</w:t>
      </w:r>
      <w:r>
        <w:rPr>
          <w:color w:val="231F20"/>
          <w:spacing w:val="-13"/>
        </w:rPr>
        <w:t> </w:t>
      </w:r>
      <w:r>
        <w:rPr>
          <w:color w:val="231F20"/>
        </w:rPr>
        <w:t>anni</w:t>
      </w:r>
    </w:p>
    <w:p>
      <w:pPr>
        <w:spacing w:after="0" w:line="247" w:lineRule="auto"/>
        <w:jc w:val="both"/>
        <w:sectPr>
          <w:pgSz w:w="9640" w:h="13890"/>
          <w:pgMar w:top="1300" w:bottom="280" w:left="1300" w:right="1180"/>
        </w:sectPr>
      </w:pPr>
    </w:p>
    <w:p>
      <w:pPr>
        <w:pStyle w:val="BodyText"/>
        <w:spacing w:line="247" w:lineRule="auto" w:before="107"/>
        <w:ind w:left="103" w:right="114"/>
        <w:jc w:val="both"/>
      </w:pPr>
      <w:r>
        <w:rPr>
          <w:color w:val="231F20"/>
        </w:rPr>
        <w:t>risultò</w:t>
      </w:r>
      <w:r>
        <w:rPr>
          <w:color w:val="231F20"/>
          <w:spacing w:val="-18"/>
        </w:rPr>
        <w:t> </w:t>
      </w:r>
      <w:r>
        <w:rPr>
          <w:color w:val="231F20"/>
        </w:rPr>
        <w:t>rivoluzionario</w:t>
      </w:r>
      <w:r>
        <w:rPr>
          <w:color w:val="231F20"/>
          <w:spacing w:val="-18"/>
        </w:rPr>
        <w:t> </w:t>
      </w:r>
      <w:r>
        <w:rPr>
          <w:color w:val="231F20"/>
        </w:rPr>
        <w:t>e</w:t>
      </w:r>
      <w:r>
        <w:rPr>
          <w:color w:val="231F20"/>
          <w:spacing w:val="-18"/>
        </w:rPr>
        <w:t> </w:t>
      </w:r>
      <w:r>
        <w:rPr>
          <w:color w:val="231F20"/>
        </w:rPr>
        <w:t>destabilizzante,</w:t>
      </w:r>
      <w:r>
        <w:rPr>
          <w:color w:val="231F20"/>
          <w:spacing w:val="-18"/>
        </w:rPr>
        <w:t> </w:t>
      </w:r>
      <w:r>
        <w:rPr>
          <w:color w:val="231F20"/>
        </w:rPr>
        <w:t>col</w:t>
      </w:r>
      <w:r>
        <w:rPr>
          <w:color w:val="231F20"/>
          <w:spacing w:val="-18"/>
        </w:rPr>
        <w:t> </w:t>
      </w:r>
      <w:r>
        <w:rPr>
          <w:color w:val="231F20"/>
        </w:rPr>
        <w:t>tempo</w:t>
      </w:r>
      <w:r>
        <w:rPr>
          <w:color w:val="231F20"/>
          <w:spacing w:val="-18"/>
        </w:rPr>
        <w:t> </w:t>
      </w:r>
      <w:r>
        <w:rPr>
          <w:color w:val="231F20"/>
        </w:rPr>
        <w:t>fu</w:t>
      </w:r>
      <w:r>
        <w:rPr>
          <w:color w:val="231F20"/>
          <w:spacing w:val="-18"/>
        </w:rPr>
        <w:t> </w:t>
      </w:r>
      <w:r>
        <w:rPr>
          <w:color w:val="231F20"/>
          <w:spacing w:val="-3"/>
        </w:rPr>
        <w:t>ripreso</w:t>
      </w:r>
      <w:r>
        <w:rPr>
          <w:color w:val="231F20"/>
          <w:spacing w:val="-18"/>
        </w:rPr>
        <w:t> </w:t>
      </w:r>
      <w:r>
        <w:rPr>
          <w:color w:val="231F20"/>
        </w:rPr>
        <w:t>e</w:t>
      </w:r>
      <w:r>
        <w:rPr>
          <w:color w:val="231F20"/>
          <w:spacing w:val="-18"/>
        </w:rPr>
        <w:t> </w:t>
      </w:r>
      <w:r>
        <w:rPr>
          <w:color w:val="231F20"/>
          <w:spacing w:val="-3"/>
        </w:rPr>
        <w:t>introdotto</w:t>
      </w:r>
      <w:r>
        <w:rPr>
          <w:color w:val="231F20"/>
          <w:spacing w:val="-18"/>
        </w:rPr>
        <w:t> </w:t>
      </w:r>
      <w:r>
        <w:rPr>
          <w:color w:val="231F20"/>
        </w:rPr>
        <w:t>nella cultura</w:t>
      </w:r>
      <w:r>
        <w:rPr>
          <w:color w:val="231F20"/>
          <w:spacing w:val="-23"/>
        </w:rPr>
        <w:t> </w:t>
      </w:r>
      <w:r>
        <w:rPr>
          <w:color w:val="231F20"/>
        </w:rPr>
        <w:t>di</w:t>
      </w:r>
      <w:r>
        <w:rPr>
          <w:color w:val="231F20"/>
          <w:spacing w:val="-23"/>
        </w:rPr>
        <w:t> </w:t>
      </w:r>
      <w:r>
        <w:rPr>
          <w:color w:val="231F20"/>
        </w:rPr>
        <w:t>massa</w:t>
      </w:r>
      <w:r>
        <w:rPr>
          <w:color w:val="231F20"/>
          <w:spacing w:val="-23"/>
        </w:rPr>
        <w:t> </w:t>
      </w:r>
      <w:r>
        <w:rPr>
          <w:color w:val="231F20"/>
        </w:rPr>
        <w:t>e</w:t>
      </w:r>
      <w:r>
        <w:rPr>
          <w:color w:val="231F20"/>
          <w:spacing w:val="-23"/>
        </w:rPr>
        <w:t> </w:t>
      </w:r>
      <w:r>
        <w:rPr>
          <w:color w:val="231F20"/>
        </w:rPr>
        <w:t>nel</w:t>
      </w:r>
      <w:r>
        <w:rPr>
          <w:color w:val="231F20"/>
          <w:spacing w:val="-23"/>
        </w:rPr>
        <w:t> </w:t>
      </w:r>
      <w:r>
        <w:rPr>
          <w:color w:val="231F20"/>
        </w:rPr>
        <w:t>consumo.</w:t>
      </w:r>
      <w:r>
        <w:rPr>
          <w:color w:val="231F20"/>
          <w:spacing w:val="-23"/>
        </w:rPr>
        <w:t> </w:t>
      </w:r>
      <w:r>
        <w:rPr>
          <w:color w:val="231F20"/>
        </w:rPr>
        <w:t>Insomma,</w:t>
      </w:r>
      <w:r>
        <w:rPr>
          <w:color w:val="231F20"/>
          <w:spacing w:val="-23"/>
        </w:rPr>
        <w:t> </w:t>
      </w:r>
      <w:r>
        <w:rPr>
          <w:color w:val="231F20"/>
        </w:rPr>
        <w:t>quello</w:t>
      </w:r>
      <w:r>
        <w:rPr>
          <w:color w:val="231F20"/>
          <w:spacing w:val="-23"/>
        </w:rPr>
        <w:t> </w:t>
      </w:r>
      <w:r>
        <w:rPr>
          <w:color w:val="231F20"/>
        </w:rPr>
        <w:t>che</w:t>
      </w:r>
      <w:r>
        <w:rPr>
          <w:color w:val="231F20"/>
          <w:spacing w:val="-23"/>
        </w:rPr>
        <w:t> </w:t>
      </w:r>
      <w:r>
        <w:rPr>
          <w:color w:val="231F20"/>
        </w:rPr>
        <w:t>era</w:t>
      </w:r>
      <w:r>
        <w:rPr>
          <w:color w:val="231F20"/>
          <w:spacing w:val="-23"/>
        </w:rPr>
        <w:t> </w:t>
      </w:r>
      <w:r>
        <w:rPr>
          <w:color w:val="231F20"/>
        </w:rPr>
        <w:t>più</w:t>
      </w:r>
      <w:r>
        <w:rPr>
          <w:color w:val="231F20"/>
          <w:spacing w:val="-23"/>
        </w:rPr>
        <w:t> </w:t>
      </w:r>
      <w:r>
        <w:rPr>
          <w:color w:val="231F20"/>
          <w:spacing w:val="-3"/>
        </w:rPr>
        <w:t>controculturale </w:t>
      </w:r>
      <w:r>
        <w:rPr>
          <w:color w:val="231F20"/>
        </w:rPr>
        <w:t>finì</w:t>
      </w:r>
      <w:r>
        <w:rPr>
          <w:color w:val="231F20"/>
          <w:spacing w:val="-13"/>
        </w:rPr>
        <w:t> </w:t>
      </w:r>
      <w:r>
        <w:rPr>
          <w:color w:val="231F20"/>
        </w:rPr>
        <w:t>per</w:t>
      </w:r>
      <w:r>
        <w:rPr>
          <w:color w:val="231F20"/>
          <w:spacing w:val="-13"/>
        </w:rPr>
        <w:t> </w:t>
      </w:r>
      <w:r>
        <w:rPr>
          <w:color w:val="231F20"/>
          <w:spacing w:val="-4"/>
        </w:rPr>
        <w:t>diventare</w:t>
      </w:r>
      <w:r>
        <w:rPr>
          <w:color w:val="231F20"/>
          <w:spacing w:val="-13"/>
        </w:rPr>
        <w:t> </w:t>
      </w:r>
      <w:r>
        <w:rPr>
          <w:color w:val="231F20"/>
          <w:spacing w:val="-3"/>
        </w:rPr>
        <w:t>anche</w:t>
      </w:r>
      <w:r>
        <w:rPr>
          <w:color w:val="231F20"/>
          <w:spacing w:val="-13"/>
        </w:rPr>
        <w:t> </w:t>
      </w:r>
      <w:r>
        <w:rPr>
          <w:color w:val="231F20"/>
          <w:spacing w:val="-3"/>
        </w:rPr>
        <w:t>vendibile.</w:t>
      </w:r>
      <w:r>
        <w:rPr>
          <w:color w:val="231F20"/>
          <w:spacing w:val="-13"/>
        </w:rPr>
        <w:t> </w:t>
      </w:r>
      <w:r>
        <w:rPr>
          <w:color w:val="231F20"/>
          <w:spacing w:val="-4"/>
        </w:rPr>
        <w:t>Marchi,</w:t>
      </w:r>
      <w:r>
        <w:rPr>
          <w:color w:val="231F20"/>
          <w:spacing w:val="-13"/>
        </w:rPr>
        <w:t> </w:t>
      </w:r>
      <w:r>
        <w:rPr>
          <w:color w:val="231F20"/>
          <w:spacing w:val="-4"/>
        </w:rPr>
        <w:t>merce,</w:t>
      </w:r>
      <w:r>
        <w:rPr>
          <w:color w:val="231F20"/>
          <w:spacing w:val="-13"/>
        </w:rPr>
        <w:t> </w:t>
      </w:r>
      <w:r>
        <w:rPr>
          <w:color w:val="231F20"/>
          <w:spacing w:val="-4"/>
        </w:rPr>
        <w:t>prodotti,</w:t>
      </w:r>
      <w:r>
        <w:rPr>
          <w:color w:val="231F20"/>
          <w:spacing w:val="-13"/>
        </w:rPr>
        <w:t> </w:t>
      </w:r>
      <w:r>
        <w:rPr>
          <w:color w:val="231F20"/>
          <w:spacing w:val="-3"/>
        </w:rPr>
        <w:t>simboli,</w:t>
      </w:r>
      <w:r>
        <w:rPr>
          <w:color w:val="231F20"/>
          <w:spacing w:val="-13"/>
        </w:rPr>
        <w:t> </w:t>
      </w:r>
      <w:r>
        <w:rPr>
          <w:color w:val="231F20"/>
          <w:spacing w:val="-3"/>
        </w:rPr>
        <w:t>ecc.,</w:t>
      </w:r>
      <w:r>
        <w:rPr>
          <w:color w:val="231F20"/>
          <w:spacing w:val="-13"/>
        </w:rPr>
        <w:t> </w:t>
      </w:r>
      <w:r>
        <w:rPr>
          <w:color w:val="231F20"/>
          <w:spacing w:val="-3"/>
        </w:rPr>
        <w:t>sono </w:t>
      </w:r>
      <w:r>
        <w:rPr>
          <w:color w:val="231F20"/>
        </w:rPr>
        <w:t>alcuni</w:t>
      </w:r>
      <w:r>
        <w:rPr>
          <w:color w:val="231F20"/>
          <w:spacing w:val="-9"/>
        </w:rPr>
        <w:t> </w:t>
      </w:r>
      <w:r>
        <w:rPr>
          <w:color w:val="231F20"/>
        </w:rPr>
        <w:t>dei</w:t>
      </w:r>
      <w:r>
        <w:rPr>
          <w:color w:val="231F20"/>
          <w:spacing w:val="-9"/>
        </w:rPr>
        <w:t> </w:t>
      </w:r>
      <w:r>
        <w:rPr>
          <w:color w:val="231F20"/>
        </w:rPr>
        <w:t>meccanismi</w:t>
      </w:r>
      <w:r>
        <w:rPr>
          <w:color w:val="231F20"/>
          <w:spacing w:val="-9"/>
        </w:rPr>
        <w:t> </w:t>
      </w:r>
      <w:r>
        <w:rPr>
          <w:color w:val="231F20"/>
        </w:rPr>
        <w:t>con</w:t>
      </w:r>
      <w:r>
        <w:rPr>
          <w:color w:val="231F20"/>
          <w:spacing w:val="-9"/>
        </w:rPr>
        <w:t> </w:t>
      </w:r>
      <w:r>
        <w:rPr>
          <w:color w:val="231F20"/>
        </w:rPr>
        <w:t>cui</w:t>
      </w:r>
      <w:r>
        <w:rPr>
          <w:color w:val="231F20"/>
          <w:spacing w:val="-9"/>
        </w:rPr>
        <w:t> </w:t>
      </w:r>
      <w:r>
        <w:rPr>
          <w:color w:val="231F20"/>
        </w:rPr>
        <w:t>il</w:t>
      </w:r>
      <w:r>
        <w:rPr>
          <w:color w:val="231F20"/>
          <w:spacing w:val="-9"/>
        </w:rPr>
        <w:t> </w:t>
      </w:r>
      <w:r>
        <w:rPr>
          <w:color w:val="231F20"/>
        </w:rPr>
        <w:t>capitalismo</w:t>
      </w:r>
      <w:r>
        <w:rPr>
          <w:color w:val="231F20"/>
          <w:spacing w:val="-9"/>
        </w:rPr>
        <w:t> </w:t>
      </w:r>
      <w:r>
        <w:rPr>
          <w:color w:val="231F20"/>
        </w:rPr>
        <w:t>proietta</w:t>
      </w:r>
      <w:r>
        <w:rPr>
          <w:color w:val="231F20"/>
          <w:spacing w:val="-9"/>
        </w:rPr>
        <w:t> </w:t>
      </w:r>
      <w:r>
        <w:rPr>
          <w:color w:val="231F20"/>
        </w:rPr>
        <w:t>i</w:t>
      </w:r>
      <w:r>
        <w:rPr>
          <w:color w:val="231F20"/>
          <w:spacing w:val="-9"/>
        </w:rPr>
        <w:t> </w:t>
      </w:r>
      <w:r>
        <w:rPr>
          <w:color w:val="231F20"/>
        </w:rPr>
        <w:t>suoi</w:t>
      </w:r>
      <w:r>
        <w:rPr>
          <w:color w:val="231F20"/>
          <w:spacing w:val="-9"/>
        </w:rPr>
        <w:t> </w:t>
      </w:r>
      <w:r>
        <w:rPr>
          <w:color w:val="231F20"/>
        </w:rPr>
        <w:t>valori</w:t>
      </w:r>
      <w:r>
        <w:rPr>
          <w:color w:val="231F20"/>
          <w:spacing w:val="-9"/>
        </w:rPr>
        <w:t> </w:t>
      </w:r>
      <w:r>
        <w:rPr>
          <w:color w:val="231F20"/>
        </w:rPr>
        <w:t>e</w:t>
      </w:r>
      <w:r>
        <w:rPr>
          <w:color w:val="231F20"/>
          <w:spacing w:val="-9"/>
        </w:rPr>
        <w:t> </w:t>
      </w:r>
      <w:r>
        <w:rPr>
          <w:color w:val="231F20"/>
        </w:rPr>
        <w:t>introduce una</w:t>
      </w:r>
      <w:r>
        <w:rPr>
          <w:color w:val="231F20"/>
          <w:spacing w:val="-19"/>
        </w:rPr>
        <w:t> </w:t>
      </w:r>
      <w:r>
        <w:rPr>
          <w:color w:val="231F20"/>
        </w:rPr>
        <w:t>certa</w:t>
      </w:r>
      <w:r>
        <w:rPr>
          <w:color w:val="231F20"/>
          <w:spacing w:val="-19"/>
        </w:rPr>
        <w:t> </w:t>
      </w:r>
      <w:r>
        <w:rPr>
          <w:color w:val="231F20"/>
        </w:rPr>
        <w:t>ideologia</w:t>
      </w:r>
      <w:r>
        <w:rPr>
          <w:color w:val="231F20"/>
          <w:spacing w:val="-19"/>
        </w:rPr>
        <w:t> </w:t>
      </w:r>
      <w:r>
        <w:rPr>
          <w:color w:val="231F20"/>
        </w:rPr>
        <w:t>in</w:t>
      </w:r>
      <w:r>
        <w:rPr>
          <w:color w:val="231F20"/>
          <w:spacing w:val="-19"/>
        </w:rPr>
        <w:t> </w:t>
      </w:r>
      <w:r>
        <w:rPr>
          <w:color w:val="231F20"/>
        </w:rPr>
        <w:t>maniera</w:t>
      </w:r>
      <w:r>
        <w:rPr>
          <w:color w:val="231F20"/>
          <w:spacing w:val="-19"/>
        </w:rPr>
        <w:t> </w:t>
      </w:r>
      <w:r>
        <w:rPr>
          <w:color w:val="231F20"/>
        </w:rPr>
        <w:t>sottile</w:t>
      </w:r>
      <w:r>
        <w:rPr>
          <w:color w:val="231F20"/>
          <w:spacing w:val="-19"/>
        </w:rPr>
        <w:t> </w:t>
      </w:r>
      <w:r>
        <w:rPr>
          <w:color w:val="231F20"/>
        </w:rPr>
        <w:t>e</w:t>
      </w:r>
      <w:r>
        <w:rPr>
          <w:color w:val="231F20"/>
          <w:spacing w:val="-19"/>
        </w:rPr>
        <w:t> </w:t>
      </w:r>
      <w:r>
        <w:rPr>
          <w:color w:val="231F20"/>
        </w:rPr>
        <w:t>quasi</w:t>
      </w:r>
      <w:r>
        <w:rPr>
          <w:color w:val="231F20"/>
          <w:spacing w:val="-19"/>
        </w:rPr>
        <w:t> </w:t>
      </w:r>
      <w:r>
        <w:rPr>
          <w:color w:val="231F20"/>
          <w:spacing w:val="-3"/>
        </w:rPr>
        <w:t>impercettibile.</w:t>
      </w:r>
      <w:r>
        <w:rPr>
          <w:color w:val="231F20"/>
          <w:spacing w:val="-19"/>
        </w:rPr>
        <w:t> </w:t>
      </w:r>
      <w:r>
        <w:rPr>
          <w:color w:val="231F20"/>
        </w:rPr>
        <w:t>In</w:t>
      </w:r>
      <w:r>
        <w:rPr>
          <w:color w:val="231F20"/>
          <w:spacing w:val="-19"/>
        </w:rPr>
        <w:t> </w:t>
      </w:r>
      <w:r>
        <w:rPr>
          <w:color w:val="231F20"/>
        </w:rPr>
        <w:t>questo</w:t>
      </w:r>
      <w:r>
        <w:rPr>
          <w:color w:val="231F20"/>
          <w:spacing w:val="-19"/>
        </w:rPr>
        <w:t> </w:t>
      </w:r>
      <w:r>
        <w:rPr>
          <w:color w:val="231F20"/>
          <w:spacing w:val="-2"/>
        </w:rPr>
        <w:t>senso, </w:t>
      </w:r>
      <w:r>
        <w:rPr>
          <w:color w:val="231F20"/>
        </w:rPr>
        <w:t>è sommamente attuale il concetto di Althusser sulla ideologia come ciò</w:t>
      </w:r>
      <w:r>
        <w:rPr>
          <w:color w:val="231F20"/>
          <w:spacing w:val="-39"/>
        </w:rPr>
        <w:t> </w:t>
      </w:r>
      <w:r>
        <w:rPr>
          <w:color w:val="231F20"/>
        </w:rPr>
        <w:t>che </w:t>
      </w:r>
      <w:r>
        <w:rPr>
          <w:color w:val="231F20"/>
          <w:spacing w:val="-4"/>
        </w:rPr>
        <w:t>interpella</w:t>
      </w:r>
      <w:r>
        <w:rPr>
          <w:color w:val="231F20"/>
          <w:spacing w:val="-16"/>
        </w:rPr>
        <w:t> </w:t>
      </w:r>
      <w:r>
        <w:rPr>
          <w:color w:val="231F20"/>
        </w:rPr>
        <w:t>e</w:t>
      </w:r>
      <w:r>
        <w:rPr>
          <w:color w:val="231F20"/>
          <w:spacing w:val="-16"/>
        </w:rPr>
        <w:t> </w:t>
      </w:r>
      <w:r>
        <w:rPr>
          <w:color w:val="231F20"/>
          <w:spacing w:val="-4"/>
        </w:rPr>
        <w:t>convoca</w:t>
      </w:r>
      <w:r>
        <w:rPr>
          <w:color w:val="231F20"/>
          <w:spacing w:val="-16"/>
        </w:rPr>
        <w:t> </w:t>
      </w:r>
      <w:r>
        <w:rPr>
          <w:color w:val="231F20"/>
        </w:rPr>
        <w:t>a</w:t>
      </w:r>
      <w:r>
        <w:rPr>
          <w:color w:val="231F20"/>
          <w:spacing w:val="-16"/>
        </w:rPr>
        <w:t> </w:t>
      </w:r>
      <w:r>
        <w:rPr>
          <w:color w:val="231F20"/>
        </w:rPr>
        <w:t>un</w:t>
      </w:r>
      <w:r>
        <w:rPr>
          <w:color w:val="231F20"/>
          <w:spacing w:val="-16"/>
        </w:rPr>
        <w:t> </w:t>
      </w:r>
      <w:r>
        <w:rPr>
          <w:color w:val="231F20"/>
          <w:spacing w:val="-4"/>
        </w:rPr>
        <w:t>individuo</w:t>
      </w:r>
      <w:r>
        <w:rPr>
          <w:color w:val="231F20"/>
          <w:spacing w:val="-16"/>
        </w:rPr>
        <w:t> </w:t>
      </w:r>
      <w:r>
        <w:rPr>
          <w:color w:val="231F20"/>
          <w:spacing w:val="-4"/>
        </w:rPr>
        <w:t>libero</w:t>
      </w:r>
      <w:r>
        <w:rPr>
          <w:color w:val="231F20"/>
          <w:spacing w:val="-16"/>
        </w:rPr>
        <w:t> </w:t>
      </w:r>
      <w:r>
        <w:rPr>
          <w:color w:val="231F20"/>
          <w:spacing w:val="-4"/>
        </w:rPr>
        <w:t>perchè</w:t>
      </w:r>
      <w:r>
        <w:rPr>
          <w:color w:val="231F20"/>
          <w:spacing w:val="-16"/>
        </w:rPr>
        <w:t> </w:t>
      </w:r>
      <w:r>
        <w:rPr>
          <w:color w:val="231F20"/>
          <w:spacing w:val="-4"/>
        </w:rPr>
        <w:t>(apparentemente</w:t>
      </w:r>
      <w:r>
        <w:rPr>
          <w:color w:val="231F20"/>
          <w:spacing w:val="-16"/>
        </w:rPr>
        <w:t> </w:t>
      </w:r>
      <w:r>
        <w:rPr>
          <w:color w:val="231F20"/>
          <w:spacing w:val="-3"/>
        </w:rPr>
        <w:t>per</w:t>
      </w:r>
      <w:r>
        <w:rPr>
          <w:color w:val="231F20"/>
          <w:spacing w:val="-16"/>
        </w:rPr>
        <w:t> </w:t>
      </w:r>
      <w:r>
        <w:rPr>
          <w:color w:val="231F20"/>
          <w:spacing w:val="-4"/>
        </w:rPr>
        <w:t>volontà </w:t>
      </w:r>
      <w:r>
        <w:rPr>
          <w:color w:val="231F20"/>
        </w:rPr>
        <w:t>propria) accetti la propria soggezione</w:t>
      </w:r>
      <w:r>
        <w:rPr>
          <w:color w:val="231F20"/>
          <w:position w:val="7"/>
          <w:sz w:val="12"/>
        </w:rPr>
        <w:t>1</w:t>
      </w:r>
      <w:r>
        <w:rPr>
          <w:color w:val="231F20"/>
        </w:rPr>
        <w:t>. Il funzionamento dell’ideologia nel contesto</w:t>
      </w:r>
      <w:r>
        <w:rPr>
          <w:color w:val="231F20"/>
          <w:spacing w:val="-17"/>
        </w:rPr>
        <w:t> </w:t>
      </w:r>
      <w:r>
        <w:rPr>
          <w:color w:val="231F20"/>
        </w:rPr>
        <w:t>della</w:t>
      </w:r>
      <w:r>
        <w:rPr>
          <w:color w:val="231F20"/>
          <w:spacing w:val="-17"/>
        </w:rPr>
        <w:t> </w:t>
      </w:r>
      <w:r>
        <w:rPr>
          <w:color w:val="231F20"/>
        </w:rPr>
        <w:t>globalizzazione</w:t>
      </w:r>
      <w:r>
        <w:rPr>
          <w:color w:val="231F20"/>
          <w:spacing w:val="-17"/>
        </w:rPr>
        <w:t> </w:t>
      </w:r>
      <w:r>
        <w:rPr>
          <w:color w:val="231F20"/>
        </w:rPr>
        <w:t>si</w:t>
      </w:r>
      <w:r>
        <w:rPr>
          <w:color w:val="231F20"/>
          <w:spacing w:val="-17"/>
        </w:rPr>
        <w:t> </w:t>
      </w:r>
      <w:r>
        <w:rPr>
          <w:color w:val="231F20"/>
        </w:rPr>
        <w:t>spiega,</w:t>
      </w:r>
      <w:r>
        <w:rPr>
          <w:color w:val="231F20"/>
          <w:spacing w:val="-17"/>
        </w:rPr>
        <w:t> </w:t>
      </w:r>
      <w:r>
        <w:rPr>
          <w:color w:val="231F20"/>
        </w:rPr>
        <w:t>evocando</w:t>
      </w:r>
      <w:r>
        <w:rPr>
          <w:color w:val="231F20"/>
          <w:spacing w:val="-17"/>
        </w:rPr>
        <w:t> </w:t>
      </w:r>
      <w:r>
        <w:rPr>
          <w:color w:val="231F20"/>
        </w:rPr>
        <w:t>a</w:t>
      </w:r>
      <w:r>
        <w:rPr>
          <w:color w:val="231F20"/>
          <w:spacing w:val="-17"/>
        </w:rPr>
        <w:t> </w:t>
      </w:r>
      <w:r>
        <w:rPr>
          <w:color w:val="231F20"/>
        </w:rPr>
        <w:t>Žižek,</w:t>
      </w:r>
      <w:r>
        <w:rPr>
          <w:color w:val="231F20"/>
          <w:spacing w:val="-17"/>
        </w:rPr>
        <w:t> </w:t>
      </w:r>
      <w:r>
        <w:rPr>
          <w:color w:val="231F20"/>
        </w:rPr>
        <w:t>come</w:t>
      </w:r>
      <w:r>
        <w:rPr>
          <w:color w:val="231F20"/>
          <w:spacing w:val="-17"/>
        </w:rPr>
        <w:t> </w:t>
      </w:r>
      <w:r>
        <w:rPr>
          <w:color w:val="231F20"/>
          <w:spacing w:val="-2"/>
        </w:rPr>
        <w:t>un’illusione </w:t>
      </w:r>
      <w:r>
        <w:rPr>
          <w:color w:val="231F20"/>
        </w:rPr>
        <w:t>“consapevole”</w:t>
      </w:r>
      <w:r>
        <w:rPr>
          <w:color w:val="231F20"/>
          <w:spacing w:val="-14"/>
        </w:rPr>
        <w:t> </w:t>
      </w:r>
      <w:r>
        <w:rPr>
          <w:color w:val="231F20"/>
        </w:rPr>
        <w:t>della</w:t>
      </w:r>
      <w:r>
        <w:rPr>
          <w:color w:val="231F20"/>
          <w:spacing w:val="-14"/>
        </w:rPr>
        <w:t> </w:t>
      </w:r>
      <w:r>
        <w:rPr>
          <w:color w:val="231F20"/>
        </w:rPr>
        <w:t>sua</w:t>
      </w:r>
      <w:r>
        <w:rPr>
          <w:color w:val="231F20"/>
          <w:spacing w:val="-14"/>
        </w:rPr>
        <w:t> </w:t>
      </w:r>
      <w:r>
        <w:rPr>
          <w:color w:val="231F20"/>
        </w:rPr>
        <w:t>natura</w:t>
      </w:r>
      <w:r>
        <w:rPr>
          <w:color w:val="231F20"/>
          <w:spacing w:val="-14"/>
        </w:rPr>
        <w:t> </w:t>
      </w:r>
      <w:r>
        <w:rPr>
          <w:color w:val="231F20"/>
        </w:rPr>
        <w:t>illusoria,</w:t>
      </w:r>
      <w:r>
        <w:rPr>
          <w:color w:val="231F20"/>
          <w:spacing w:val="-14"/>
        </w:rPr>
        <w:t> </w:t>
      </w:r>
      <w:r>
        <w:rPr>
          <w:color w:val="231F20"/>
        </w:rPr>
        <w:t>e</w:t>
      </w:r>
      <w:r>
        <w:rPr>
          <w:color w:val="231F20"/>
          <w:spacing w:val="-14"/>
        </w:rPr>
        <w:t> </w:t>
      </w:r>
      <w:r>
        <w:rPr>
          <w:color w:val="231F20"/>
        </w:rPr>
        <w:t>per</w:t>
      </w:r>
      <w:r>
        <w:rPr>
          <w:color w:val="231F20"/>
          <w:spacing w:val="-14"/>
        </w:rPr>
        <w:t> </w:t>
      </w:r>
      <w:r>
        <w:rPr>
          <w:color w:val="231F20"/>
        </w:rPr>
        <w:t>questo</w:t>
      </w:r>
      <w:r>
        <w:rPr>
          <w:color w:val="231F20"/>
          <w:spacing w:val="-14"/>
        </w:rPr>
        <w:t> </w:t>
      </w:r>
      <w:r>
        <w:rPr>
          <w:color w:val="231F20"/>
        </w:rPr>
        <w:t>stesso</w:t>
      </w:r>
      <w:r>
        <w:rPr>
          <w:color w:val="231F20"/>
          <w:spacing w:val="-14"/>
        </w:rPr>
        <w:t> </w:t>
      </w:r>
      <w:r>
        <w:rPr>
          <w:color w:val="231F20"/>
        </w:rPr>
        <w:t>motivo</w:t>
      </w:r>
      <w:r>
        <w:rPr>
          <w:color w:val="231F20"/>
          <w:spacing w:val="-14"/>
        </w:rPr>
        <w:t> </w:t>
      </w:r>
      <w:r>
        <w:rPr>
          <w:color w:val="231F20"/>
        </w:rPr>
        <w:t>ci</w:t>
      </w:r>
      <w:r>
        <w:rPr>
          <w:color w:val="231F20"/>
          <w:spacing w:val="-14"/>
        </w:rPr>
        <w:t> </w:t>
      </w:r>
      <w:r>
        <w:rPr>
          <w:color w:val="231F20"/>
        </w:rPr>
        <w:t>porta ad attuare come se non fossimo consapevoli di</w:t>
      </w:r>
      <w:r>
        <w:rPr>
          <w:color w:val="231F20"/>
          <w:spacing w:val="12"/>
        </w:rPr>
        <w:t> </w:t>
      </w:r>
      <w:r>
        <w:rPr>
          <w:color w:val="231F20"/>
        </w:rPr>
        <w:t>ciò</w:t>
      </w:r>
      <w:r>
        <w:rPr>
          <w:color w:val="231F20"/>
          <w:position w:val="7"/>
          <w:sz w:val="12"/>
        </w:rPr>
        <w:t>2</w:t>
      </w:r>
      <w:r>
        <w:rPr>
          <w:color w:val="231F20"/>
        </w:rPr>
        <w:t>.</w:t>
      </w:r>
    </w:p>
    <w:p>
      <w:pPr>
        <w:pStyle w:val="BodyText"/>
        <w:spacing w:line="247" w:lineRule="auto"/>
        <w:ind w:left="103" w:right="113" w:firstLine="566"/>
        <w:jc w:val="both"/>
      </w:pPr>
      <w:r>
        <w:rPr>
          <w:color w:val="231F20"/>
          <w:w w:val="105"/>
        </w:rPr>
        <w:t>La</w:t>
      </w:r>
      <w:r>
        <w:rPr>
          <w:color w:val="231F20"/>
          <w:spacing w:val="-39"/>
          <w:w w:val="105"/>
        </w:rPr>
        <w:t> </w:t>
      </w:r>
      <w:r>
        <w:rPr>
          <w:color w:val="231F20"/>
          <w:spacing w:val="-3"/>
          <w:w w:val="105"/>
        </w:rPr>
        <w:t>complessità</w:t>
      </w:r>
      <w:r>
        <w:rPr>
          <w:color w:val="231F20"/>
          <w:spacing w:val="-39"/>
          <w:w w:val="105"/>
        </w:rPr>
        <w:t> </w:t>
      </w:r>
      <w:r>
        <w:rPr>
          <w:color w:val="231F20"/>
          <w:w w:val="105"/>
        </w:rPr>
        <w:t>del</w:t>
      </w:r>
      <w:r>
        <w:rPr>
          <w:color w:val="231F20"/>
          <w:spacing w:val="-39"/>
          <w:w w:val="105"/>
        </w:rPr>
        <w:t> </w:t>
      </w:r>
      <w:r>
        <w:rPr>
          <w:color w:val="231F20"/>
          <w:spacing w:val="-3"/>
          <w:w w:val="105"/>
        </w:rPr>
        <w:t>panorama</w:t>
      </w:r>
      <w:r>
        <w:rPr>
          <w:color w:val="231F20"/>
          <w:spacing w:val="-39"/>
          <w:w w:val="105"/>
        </w:rPr>
        <w:t> </w:t>
      </w:r>
      <w:r>
        <w:rPr>
          <w:color w:val="231F20"/>
          <w:w w:val="105"/>
        </w:rPr>
        <w:t>e</w:t>
      </w:r>
      <w:r>
        <w:rPr>
          <w:color w:val="231F20"/>
          <w:spacing w:val="-39"/>
          <w:w w:val="105"/>
        </w:rPr>
        <w:t> </w:t>
      </w:r>
      <w:r>
        <w:rPr>
          <w:color w:val="231F20"/>
          <w:spacing w:val="-3"/>
          <w:w w:val="105"/>
        </w:rPr>
        <w:t>l’embricazione</w:t>
      </w:r>
      <w:r>
        <w:rPr>
          <w:color w:val="231F20"/>
          <w:spacing w:val="-39"/>
          <w:w w:val="105"/>
        </w:rPr>
        <w:t> </w:t>
      </w:r>
      <w:r>
        <w:rPr>
          <w:color w:val="231F20"/>
          <w:w w:val="105"/>
        </w:rPr>
        <w:t>di</w:t>
      </w:r>
      <w:r>
        <w:rPr>
          <w:color w:val="231F20"/>
          <w:spacing w:val="-39"/>
          <w:w w:val="105"/>
        </w:rPr>
        <w:t> </w:t>
      </w:r>
      <w:r>
        <w:rPr>
          <w:color w:val="231F20"/>
          <w:spacing w:val="-3"/>
          <w:w w:val="105"/>
        </w:rPr>
        <w:t>elementi</w:t>
      </w:r>
      <w:r>
        <w:rPr>
          <w:color w:val="231F20"/>
          <w:spacing w:val="-39"/>
          <w:w w:val="105"/>
        </w:rPr>
        <w:t> </w:t>
      </w:r>
      <w:r>
        <w:rPr>
          <w:color w:val="231F20"/>
          <w:w w:val="105"/>
        </w:rPr>
        <w:t>di</w:t>
      </w:r>
      <w:r>
        <w:rPr>
          <w:color w:val="231F20"/>
          <w:spacing w:val="-39"/>
          <w:w w:val="105"/>
        </w:rPr>
        <w:t> </w:t>
      </w:r>
      <w:r>
        <w:rPr>
          <w:color w:val="231F20"/>
          <w:spacing w:val="-3"/>
          <w:w w:val="105"/>
        </w:rPr>
        <w:t>conio</w:t>
      </w:r>
      <w:r>
        <w:rPr>
          <w:color w:val="231F20"/>
          <w:spacing w:val="-39"/>
          <w:w w:val="105"/>
        </w:rPr>
        <w:t> </w:t>
      </w:r>
      <w:r>
        <w:rPr>
          <w:color w:val="231F20"/>
          <w:spacing w:val="-3"/>
          <w:w w:val="105"/>
        </w:rPr>
        <w:t>così </w:t>
      </w:r>
      <w:r>
        <w:rPr>
          <w:color w:val="231F20"/>
          <w:w w:val="105"/>
        </w:rPr>
        <w:t>diverso,</w:t>
      </w:r>
      <w:r>
        <w:rPr>
          <w:color w:val="231F20"/>
          <w:spacing w:val="-46"/>
          <w:w w:val="105"/>
        </w:rPr>
        <w:t> </w:t>
      </w:r>
      <w:r>
        <w:rPr>
          <w:color w:val="231F20"/>
          <w:w w:val="105"/>
        </w:rPr>
        <w:t>—politici,</w:t>
      </w:r>
      <w:r>
        <w:rPr>
          <w:color w:val="231F20"/>
          <w:spacing w:val="-46"/>
          <w:w w:val="105"/>
        </w:rPr>
        <w:t> </w:t>
      </w:r>
      <w:r>
        <w:rPr>
          <w:color w:val="231F20"/>
          <w:w w:val="105"/>
        </w:rPr>
        <w:t>economici,</w:t>
      </w:r>
      <w:r>
        <w:rPr>
          <w:color w:val="231F20"/>
          <w:spacing w:val="-46"/>
          <w:w w:val="105"/>
        </w:rPr>
        <w:t> </w:t>
      </w:r>
      <w:r>
        <w:rPr>
          <w:color w:val="231F20"/>
          <w:w w:val="105"/>
        </w:rPr>
        <w:t>culturali,</w:t>
      </w:r>
      <w:r>
        <w:rPr>
          <w:color w:val="231F20"/>
          <w:spacing w:val="-46"/>
          <w:w w:val="105"/>
        </w:rPr>
        <w:t> </w:t>
      </w:r>
      <w:r>
        <w:rPr>
          <w:color w:val="231F20"/>
          <w:w w:val="105"/>
        </w:rPr>
        <w:t>psicologici</w:t>
      </w:r>
      <w:r>
        <w:rPr>
          <w:color w:val="231F20"/>
          <w:spacing w:val="-46"/>
          <w:w w:val="105"/>
        </w:rPr>
        <w:t> </w:t>
      </w:r>
      <w:r>
        <w:rPr>
          <w:color w:val="231F20"/>
          <w:w w:val="105"/>
        </w:rPr>
        <w:t>e</w:t>
      </w:r>
      <w:r>
        <w:rPr>
          <w:color w:val="231F20"/>
          <w:spacing w:val="-46"/>
          <w:w w:val="105"/>
        </w:rPr>
        <w:t> </w:t>
      </w:r>
      <w:r>
        <w:rPr>
          <w:color w:val="231F20"/>
          <w:w w:val="105"/>
        </w:rPr>
        <w:t>sociologici,</w:t>
      </w:r>
      <w:r>
        <w:rPr>
          <w:color w:val="231F20"/>
          <w:spacing w:val="-46"/>
          <w:w w:val="105"/>
        </w:rPr>
        <w:t> </w:t>
      </w:r>
      <w:r>
        <w:rPr>
          <w:color w:val="231F20"/>
          <w:w w:val="105"/>
        </w:rPr>
        <w:t>tra</w:t>
      </w:r>
      <w:r>
        <w:rPr>
          <w:color w:val="231F20"/>
          <w:spacing w:val="-46"/>
          <w:w w:val="105"/>
        </w:rPr>
        <w:t> </w:t>
      </w:r>
      <w:r>
        <w:rPr>
          <w:color w:val="231F20"/>
          <w:w w:val="105"/>
        </w:rPr>
        <w:t>altri—</w:t>
      </w:r>
      <w:r>
        <w:rPr>
          <w:color w:val="231F20"/>
          <w:spacing w:val="-46"/>
          <w:w w:val="105"/>
        </w:rPr>
        <w:t> </w:t>
      </w:r>
      <w:r>
        <w:rPr>
          <w:color w:val="231F20"/>
          <w:w w:val="105"/>
        </w:rPr>
        <w:t>fa necessaria</w:t>
      </w:r>
      <w:r>
        <w:rPr>
          <w:color w:val="231F20"/>
          <w:spacing w:val="-48"/>
          <w:w w:val="105"/>
        </w:rPr>
        <w:t> </w:t>
      </w:r>
      <w:r>
        <w:rPr>
          <w:color w:val="231F20"/>
          <w:w w:val="105"/>
        </w:rPr>
        <w:t>la</w:t>
      </w:r>
      <w:r>
        <w:rPr>
          <w:color w:val="231F20"/>
          <w:spacing w:val="-48"/>
          <w:w w:val="105"/>
        </w:rPr>
        <w:t> </w:t>
      </w:r>
      <w:r>
        <w:rPr>
          <w:color w:val="231F20"/>
          <w:w w:val="105"/>
        </w:rPr>
        <w:t>congiunzione</w:t>
      </w:r>
      <w:r>
        <w:rPr>
          <w:color w:val="231F20"/>
          <w:spacing w:val="-48"/>
          <w:w w:val="105"/>
        </w:rPr>
        <w:t> </w:t>
      </w:r>
      <w:r>
        <w:rPr>
          <w:color w:val="231F20"/>
          <w:w w:val="105"/>
        </w:rPr>
        <w:t>di</w:t>
      </w:r>
      <w:r>
        <w:rPr>
          <w:color w:val="231F20"/>
          <w:spacing w:val="-48"/>
          <w:w w:val="105"/>
        </w:rPr>
        <w:t> </w:t>
      </w:r>
      <w:r>
        <w:rPr>
          <w:color w:val="231F20"/>
          <w:w w:val="105"/>
        </w:rPr>
        <w:t>diverse</w:t>
      </w:r>
      <w:r>
        <w:rPr>
          <w:color w:val="231F20"/>
          <w:spacing w:val="-48"/>
          <w:w w:val="105"/>
        </w:rPr>
        <w:t> </w:t>
      </w:r>
      <w:r>
        <w:rPr>
          <w:color w:val="231F20"/>
          <w:w w:val="105"/>
        </w:rPr>
        <w:t>prospettive,</w:t>
      </w:r>
      <w:r>
        <w:rPr>
          <w:color w:val="231F20"/>
          <w:spacing w:val="-48"/>
          <w:w w:val="105"/>
        </w:rPr>
        <w:t> </w:t>
      </w:r>
      <w:r>
        <w:rPr>
          <w:color w:val="231F20"/>
          <w:w w:val="105"/>
        </w:rPr>
        <w:t>non</w:t>
      </w:r>
      <w:r>
        <w:rPr>
          <w:color w:val="231F20"/>
          <w:spacing w:val="-48"/>
          <w:w w:val="105"/>
        </w:rPr>
        <w:t> </w:t>
      </w:r>
      <w:r>
        <w:rPr>
          <w:color w:val="231F20"/>
          <w:w w:val="105"/>
        </w:rPr>
        <w:t>sempre</w:t>
      </w:r>
      <w:r>
        <w:rPr>
          <w:color w:val="231F20"/>
          <w:spacing w:val="-48"/>
          <w:w w:val="105"/>
        </w:rPr>
        <w:t> </w:t>
      </w:r>
      <w:r>
        <w:rPr>
          <w:color w:val="231F20"/>
          <w:w w:val="105"/>
        </w:rPr>
        <w:t>concordanti, per</w:t>
      </w:r>
      <w:r>
        <w:rPr>
          <w:color w:val="231F20"/>
          <w:spacing w:val="-11"/>
          <w:w w:val="105"/>
        </w:rPr>
        <w:t> </w:t>
      </w:r>
      <w:r>
        <w:rPr>
          <w:color w:val="231F20"/>
          <w:w w:val="105"/>
        </w:rPr>
        <w:t>rendere</w:t>
      </w:r>
      <w:r>
        <w:rPr>
          <w:color w:val="231F20"/>
          <w:spacing w:val="-11"/>
          <w:w w:val="105"/>
        </w:rPr>
        <w:t> </w:t>
      </w:r>
      <w:r>
        <w:rPr>
          <w:color w:val="231F20"/>
          <w:w w:val="105"/>
        </w:rPr>
        <w:t>conto</w:t>
      </w:r>
      <w:r>
        <w:rPr>
          <w:color w:val="231F20"/>
          <w:spacing w:val="-11"/>
          <w:w w:val="105"/>
        </w:rPr>
        <w:t> </w:t>
      </w:r>
      <w:r>
        <w:rPr>
          <w:color w:val="231F20"/>
          <w:w w:val="105"/>
        </w:rPr>
        <w:t>del</w:t>
      </w:r>
      <w:r>
        <w:rPr>
          <w:color w:val="231F20"/>
          <w:spacing w:val="-11"/>
          <w:w w:val="105"/>
        </w:rPr>
        <w:t> </w:t>
      </w:r>
      <w:r>
        <w:rPr>
          <w:color w:val="231F20"/>
          <w:w w:val="105"/>
        </w:rPr>
        <w:t>nuovo</w:t>
      </w:r>
      <w:r>
        <w:rPr>
          <w:color w:val="231F20"/>
          <w:spacing w:val="-11"/>
          <w:w w:val="105"/>
        </w:rPr>
        <w:t> </w:t>
      </w:r>
      <w:r>
        <w:rPr>
          <w:color w:val="231F20"/>
          <w:w w:val="105"/>
        </w:rPr>
        <w:t>stato</w:t>
      </w:r>
      <w:r>
        <w:rPr>
          <w:color w:val="231F20"/>
          <w:spacing w:val="-11"/>
          <w:w w:val="105"/>
        </w:rPr>
        <w:t> </w:t>
      </w:r>
      <w:r>
        <w:rPr>
          <w:color w:val="231F20"/>
          <w:w w:val="105"/>
        </w:rPr>
        <w:t>delle</w:t>
      </w:r>
      <w:r>
        <w:rPr>
          <w:color w:val="231F20"/>
          <w:spacing w:val="-11"/>
          <w:w w:val="105"/>
        </w:rPr>
        <w:t> </w:t>
      </w:r>
      <w:r>
        <w:rPr>
          <w:color w:val="231F20"/>
          <w:w w:val="105"/>
        </w:rPr>
        <w:t>cose</w:t>
      </w:r>
      <w:r>
        <w:rPr>
          <w:color w:val="231F20"/>
          <w:spacing w:val="-11"/>
          <w:w w:val="105"/>
        </w:rPr>
        <w:t> </w:t>
      </w:r>
      <w:r>
        <w:rPr>
          <w:color w:val="231F20"/>
          <w:w w:val="105"/>
        </w:rPr>
        <w:t>e</w:t>
      </w:r>
      <w:r>
        <w:rPr>
          <w:color w:val="231F20"/>
          <w:spacing w:val="-11"/>
          <w:w w:val="105"/>
        </w:rPr>
        <w:t> </w:t>
      </w:r>
      <w:r>
        <w:rPr>
          <w:color w:val="231F20"/>
          <w:w w:val="105"/>
        </w:rPr>
        <w:t>dei</w:t>
      </w:r>
      <w:r>
        <w:rPr>
          <w:color w:val="231F20"/>
          <w:spacing w:val="-11"/>
          <w:w w:val="105"/>
        </w:rPr>
        <w:t> </w:t>
      </w:r>
      <w:r>
        <w:rPr>
          <w:color w:val="231F20"/>
          <w:w w:val="105"/>
        </w:rPr>
        <w:t>nuovi</w:t>
      </w:r>
      <w:r>
        <w:rPr>
          <w:color w:val="231F20"/>
          <w:spacing w:val="-11"/>
          <w:w w:val="105"/>
        </w:rPr>
        <w:t> </w:t>
      </w:r>
      <w:r>
        <w:rPr>
          <w:color w:val="231F20"/>
          <w:w w:val="105"/>
        </w:rPr>
        <w:t>ruoli</w:t>
      </w:r>
      <w:r>
        <w:rPr>
          <w:color w:val="231F20"/>
          <w:spacing w:val="-11"/>
          <w:w w:val="105"/>
        </w:rPr>
        <w:t> </w:t>
      </w:r>
      <w:r>
        <w:rPr>
          <w:color w:val="231F20"/>
          <w:w w:val="105"/>
        </w:rPr>
        <w:t>che</w:t>
      </w:r>
      <w:r>
        <w:rPr>
          <w:color w:val="231F20"/>
          <w:spacing w:val="-11"/>
          <w:w w:val="105"/>
        </w:rPr>
        <w:t> </w:t>
      </w:r>
      <w:r>
        <w:rPr>
          <w:color w:val="231F20"/>
          <w:w w:val="105"/>
        </w:rPr>
        <w:t>agenti tradizionali</w:t>
      </w:r>
      <w:r>
        <w:rPr>
          <w:color w:val="231F20"/>
          <w:spacing w:val="-52"/>
          <w:w w:val="105"/>
        </w:rPr>
        <w:t> </w:t>
      </w:r>
      <w:r>
        <w:rPr>
          <w:color w:val="231F20"/>
          <w:w w:val="105"/>
        </w:rPr>
        <w:t>si</w:t>
      </w:r>
      <w:r>
        <w:rPr>
          <w:color w:val="231F20"/>
          <w:spacing w:val="-52"/>
          <w:w w:val="105"/>
        </w:rPr>
        <w:t> </w:t>
      </w:r>
      <w:r>
        <w:rPr>
          <w:color w:val="231F20"/>
          <w:w w:val="105"/>
        </w:rPr>
        <w:t>vedono</w:t>
      </w:r>
      <w:r>
        <w:rPr>
          <w:color w:val="231F20"/>
          <w:spacing w:val="-52"/>
          <w:w w:val="105"/>
        </w:rPr>
        <w:t> </w:t>
      </w:r>
      <w:r>
        <w:rPr>
          <w:color w:val="231F20"/>
          <w:w w:val="105"/>
        </w:rPr>
        <w:t>obbligati</w:t>
      </w:r>
      <w:r>
        <w:rPr>
          <w:color w:val="231F20"/>
          <w:spacing w:val="-52"/>
          <w:w w:val="105"/>
        </w:rPr>
        <w:t> </w:t>
      </w:r>
      <w:r>
        <w:rPr>
          <w:color w:val="231F20"/>
          <w:w w:val="105"/>
        </w:rPr>
        <w:t>oggi</w:t>
      </w:r>
      <w:r>
        <w:rPr>
          <w:color w:val="231F20"/>
          <w:spacing w:val="-52"/>
          <w:w w:val="105"/>
        </w:rPr>
        <w:t> </w:t>
      </w:r>
      <w:r>
        <w:rPr>
          <w:color w:val="231F20"/>
          <w:w w:val="105"/>
        </w:rPr>
        <w:t>ad</w:t>
      </w:r>
      <w:r>
        <w:rPr>
          <w:color w:val="231F20"/>
          <w:spacing w:val="-52"/>
          <w:w w:val="105"/>
        </w:rPr>
        <w:t> </w:t>
      </w:r>
      <w:r>
        <w:rPr>
          <w:color w:val="231F20"/>
          <w:spacing w:val="-3"/>
          <w:w w:val="105"/>
        </w:rPr>
        <w:t>improvvisare.</w:t>
      </w:r>
      <w:r>
        <w:rPr>
          <w:color w:val="231F20"/>
          <w:spacing w:val="-52"/>
          <w:w w:val="105"/>
        </w:rPr>
        <w:t> </w:t>
      </w:r>
      <w:r>
        <w:rPr>
          <w:color w:val="231F20"/>
          <w:w w:val="105"/>
        </w:rPr>
        <w:t>Pensiamo,</w:t>
      </w:r>
      <w:r>
        <w:rPr>
          <w:color w:val="231F20"/>
          <w:spacing w:val="-52"/>
          <w:w w:val="105"/>
        </w:rPr>
        <w:t> </w:t>
      </w:r>
      <w:r>
        <w:rPr>
          <w:color w:val="231F20"/>
          <w:w w:val="105"/>
        </w:rPr>
        <w:t>ad</w:t>
      </w:r>
      <w:r>
        <w:rPr>
          <w:color w:val="231F20"/>
          <w:spacing w:val="-52"/>
          <w:w w:val="105"/>
        </w:rPr>
        <w:t> </w:t>
      </w:r>
      <w:r>
        <w:rPr>
          <w:color w:val="231F20"/>
          <w:w w:val="105"/>
        </w:rPr>
        <w:t>esempio, allo</w:t>
      </w:r>
      <w:r>
        <w:rPr>
          <w:color w:val="231F20"/>
          <w:spacing w:val="-35"/>
          <w:w w:val="105"/>
        </w:rPr>
        <w:t> </w:t>
      </w:r>
      <w:r>
        <w:rPr>
          <w:color w:val="231F20"/>
          <w:w w:val="105"/>
        </w:rPr>
        <w:t>Stato,</w:t>
      </w:r>
      <w:r>
        <w:rPr>
          <w:color w:val="231F20"/>
          <w:spacing w:val="-35"/>
          <w:w w:val="105"/>
        </w:rPr>
        <w:t> </w:t>
      </w:r>
      <w:r>
        <w:rPr>
          <w:color w:val="231F20"/>
          <w:w w:val="105"/>
        </w:rPr>
        <w:t>il</w:t>
      </w:r>
      <w:r>
        <w:rPr>
          <w:color w:val="231F20"/>
          <w:spacing w:val="-35"/>
          <w:w w:val="105"/>
        </w:rPr>
        <w:t> </w:t>
      </w:r>
      <w:r>
        <w:rPr>
          <w:color w:val="231F20"/>
          <w:w w:val="105"/>
        </w:rPr>
        <w:t>Diritto,</w:t>
      </w:r>
      <w:r>
        <w:rPr>
          <w:color w:val="231F20"/>
          <w:spacing w:val="-35"/>
          <w:w w:val="105"/>
        </w:rPr>
        <w:t> </w:t>
      </w:r>
      <w:r>
        <w:rPr>
          <w:color w:val="231F20"/>
          <w:w w:val="105"/>
        </w:rPr>
        <w:t>l’educazione,</w:t>
      </w:r>
      <w:r>
        <w:rPr>
          <w:color w:val="231F20"/>
          <w:spacing w:val="-35"/>
          <w:w w:val="105"/>
        </w:rPr>
        <w:t> </w:t>
      </w:r>
      <w:r>
        <w:rPr>
          <w:color w:val="231F20"/>
          <w:w w:val="105"/>
        </w:rPr>
        <w:t>l’esercito,</w:t>
      </w:r>
      <w:r>
        <w:rPr>
          <w:color w:val="231F20"/>
          <w:spacing w:val="-35"/>
          <w:w w:val="105"/>
        </w:rPr>
        <w:t> </w:t>
      </w:r>
      <w:r>
        <w:rPr>
          <w:color w:val="231F20"/>
          <w:w w:val="105"/>
        </w:rPr>
        <w:t>la</w:t>
      </w:r>
      <w:r>
        <w:rPr>
          <w:color w:val="231F20"/>
          <w:spacing w:val="-35"/>
          <w:w w:val="105"/>
        </w:rPr>
        <w:t> </w:t>
      </w:r>
      <w:r>
        <w:rPr>
          <w:color w:val="231F20"/>
          <w:w w:val="105"/>
        </w:rPr>
        <w:t>cultura,</w:t>
      </w:r>
      <w:r>
        <w:rPr>
          <w:color w:val="231F20"/>
          <w:spacing w:val="-35"/>
          <w:w w:val="105"/>
        </w:rPr>
        <w:t> </w:t>
      </w:r>
      <w:r>
        <w:rPr>
          <w:color w:val="231F20"/>
          <w:w w:val="105"/>
        </w:rPr>
        <w:t>ecc.</w:t>
      </w:r>
    </w:p>
    <w:p>
      <w:pPr>
        <w:pStyle w:val="BodyText"/>
        <w:spacing w:line="247" w:lineRule="auto"/>
        <w:ind w:left="103" w:right="106" w:firstLine="566"/>
        <w:jc w:val="both"/>
      </w:pPr>
      <w:r>
        <w:rPr>
          <w:color w:val="231F20"/>
          <w:spacing w:val="2"/>
        </w:rPr>
        <w:t>In </w:t>
      </w:r>
      <w:r>
        <w:rPr>
          <w:color w:val="231F20"/>
          <w:spacing w:val="3"/>
        </w:rPr>
        <w:t>tale </w:t>
      </w:r>
      <w:r>
        <w:rPr>
          <w:color w:val="231F20"/>
          <w:spacing w:val="4"/>
        </w:rPr>
        <w:t>prospettiva, l’articolo </w:t>
      </w:r>
      <w:r>
        <w:rPr>
          <w:color w:val="231F20"/>
          <w:spacing w:val="2"/>
        </w:rPr>
        <w:t>di </w:t>
      </w:r>
      <w:r>
        <w:rPr>
          <w:color w:val="231F20"/>
          <w:spacing w:val="3"/>
        </w:rPr>
        <w:t>Jorge </w:t>
      </w:r>
      <w:r>
        <w:rPr>
          <w:color w:val="231F20"/>
          <w:spacing w:val="4"/>
        </w:rPr>
        <w:t>Olvera </w:t>
      </w:r>
      <w:r>
        <w:rPr>
          <w:color w:val="231F20"/>
          <w:spacing w:val="3"/>
        </w:rPr>
        <w:t>García, </w:t>
      </w:r>
      <w:r>
        <w:rPr>
          <w:color w:val="231F20"/>
          <w:spacing w:val="5"/>
        </w:rPr>
        <w:t>intitolato </w:t>
      </w:r>
      <w:r>
        <w:rPr>
          <w:color w:val="231F20"/>
        </w:rPr>
        <w:t>“Cambiamento di paradigma giuridico: l’11–S e la criminalità organizzata in Messico</w:t>
      </w:r>
      <w:r>
        <w:rPr>
          <w:rFonts w:ascii="Arial" w:hAnsi="Arial"/>
          <w:color w:val="231F20"/>
        </w:rPr>
        <w:t>”</w:t>
      </w:r>
      <w:r>
        <w:rPr>
          <w:color w:val="231F20"/>
        </w:rPr>
        <w:t>, parla precisamente del nuovo ruolo dello Stato e del Diritto penale davanti alla riconfigurazione degli scenari internazionali e nazionali come</w:t>
      </w:r>
      <w:r>
        <w:rPr>
          <w:color w:val="231F20"/>
          <w:spacing w:val="-16"/>
        </w:rPr>
        <w:t> </w:t>
      </w:r>
      <w:r>
        <w:rPr>
          <w:color w:val="231F20"/>
        </w:rPr>
        <w:t>risultato</w:t>
      </w:r>
      <w:r>
        <w:rPr>
          <w:color w:val="231F20"/>
          <w:spacing w:val="-16"/>
        </w:rPr>
        <w:t> </w:t>
      </w:r>
      <w:r>
        <w:rPr>
          <w:color w:val="231F20"/>
        </w:rPr>
        <w:t>dell’onda</w:t>
      </w:r>
      <w:r>
        <w:rPr>
          <w:color w:val="231F20"/>
          <w:spacing w:val="-16"/>
        </w:rPr>
        <w:t> </w:t>
      </w:r>
      <w:r>
        <w:rPr>
          <w:color w:val="231F20"/>
          <w:spacing w:val="-3"/>
        </w:rPr>
        <w:t>terroristica</w:t>
      </w:r>
      <w:r>
        <w:rPr>
          <w:color w:val="231F20"/>
          <w:spacing w:val="-16"/>
        </w:rPr>
        <w:t> </w:t>
      </w:r>
      <w:r>
        <w:rPr>
          <w:color w:val="231F20"/>
        </w:rPr>
        <w:t>con</w:t>
      </w:r>
      <w:r>
        <w:rPr>
          <w:color w:val="231F20"/>
          <w:spacing w:val="-16"/>
        </w:rPr>
        <w:t> </w:t>
      </w:r>
      <w:r>
        <w:rPr>
          <w:color w:val="231F20"/>
        </w:rPr>
        <w:t>cui</w:t>
      </w:r>
      <w:r>
        <w:rPr>
          <w:color w:val="231F20"/>
          <w:spacing w:val="-16"/>
        </w:rPr>
        <w:t> </w:t>
      </w:r>
      <w:r>
        <w:rPr>
          <w:color w:val="231F20"/>
        </w:rPr>
        <w:t>iniziò</w:t>
      </w:r>
      <w:r>
        <w:rPr>
          <w:color w:val="231F20"/>
          <w:spacing w:val="-16"/>
        </w:rPr>
        <w:t> </w:t>
      </w:r>
      <w:r>
        <w:rPr>
          <w:color w:val="231F20"/>
        </w:rPr>
        <w:t>il</w:t>
      </w:r>
      <w:r>
        <w:rPr>
          <w:color w:val="231F20"/>
          <w:spacing w:val="-16"/>
        </w:rPr>
        <w:t> </w:t>
      </w:r>
      <w:r>
        <w:rPr>
          <w:color w:val="231F20"/>
        </w:rPr>
        <w:t>secolo</w:t>
      </w:r>
      <w:r>
        <w:rPr>
          <w:color w:val="231F20"/>
          <w:spacing w:val="-16"/>
        </w:rPr>
        <w:t> </w:t>
      </w:r>
      <w:r>
        <w:rPr>
          <w:color w:val="231F20"/>
          <w:sz w:val="18"/>
        </w:rPr>
        <w:t>XXI</w:t>
      </w:r>
      <w:r>
        <w:rPr>
          <w:color w:val="231F20"/>
          <w:spacing w:val="-6"/>
          <w:sz w:val="18"/>
        </w:rPr>
        <w:t> </w:t>
      </w:r>
      <w:r>
        <w:rPr>
          <w:color w:val="231F20"/>
        </w:rPr>
        <w:t>—in</w:t>
      </w:r>
      <w:r>
        <w:rPr>
          <w:color w:val="231F20"/>
          <w:spacing w:val="-16"/>
        </w:rPr>
        <w:t> </w:t>
      </w:r>
      <w:r>
        <w:rPr>
          <w:color w:val="231F20"/>
          <w:spacing w:val="-3"/>
        </w:rPr>
        <w:t>particulare </w:t>
      </w:r>
      <w:r>
        <w:rPr>
          <w:color w:val="231F20"/>
        </w:rPr>
        <w:t>l’attacco alle </w:t>
      </w:r>
      <w:r>
        <w:rPr>
          <w:color w:val="231F20"/>
          <w:spacing w:val="-5"/>
        </w:rPr>
        <w:t>Torri </w:t>
      </w:r>
      <w:r>
        <w:rPr>
          <w:color w:val="231F20"/>
        </w:rPr>
        <w:t>Gemelle in New </w:t>
      </w:r>
      <w:r>
        <w:rPr>
          <w:color w:val="231F20"/>
          <w:spacing w:val="-4"/>
        </w:rPr>
        <w:t>York, </w:t>
      </w:r>
      <w:r>
        <w:rPr>
          <w:color w:val="231F20"/>
        </w:rPr>
        <w:t>l’11 settembre 2001 (11–S)—, così come la crescente forza del narcotraffico in territorio messicano. Secondo </w:t>
      </w:r>
      <w:r>
        <w:rPr>
          <w:color w:val="231F20"/>
          <w:spacing w:val="-4"/>
        </w:rPr>
        <w:t>Olvera</w:t>
      </w:r>
      <w:r>
        <w:rPr>
          <w:color w:val="231F20"/>
          <w:spacing w:val="-11"/>
        </w:rPr>
        <w:t> </w:t>
      </w:r>
      <w:r>
        <w:rPr>
          <w:color w:val="231F20"/>
          <w:spacing w:val="-4"/>
        </w:rPr>
        <w:t>García,</w:t>
      </w:r>
      <w:r>
        <w:rPr>
          <w:color w:val="231F20"/>
          <w:spacing w:val="-11"/>
        </w:rPr>
        <w:t> </w:t>
      </w:r>
      <w:r>
        <w:rPr>
          <w:color w:val="231F20"/>
          <w:spacing w:val="-4"/>
        </w:rPr>
        <w:t>l’evento</w:t>
      </w:r>
      <w:r>
        <w:rPr>
          <w:color w:val="231F20"/>
          <w:spacing w:val="-11"/>
        </w:rPr>
        <w:t> </w:t>
      </w:r>
      <w:r>
        <w:rPr>
          <w:color w:val="231F20"/>
          <w:spacing w:val="-3"/>
        </w:rPr>
        <w:t>che</w:t>
      </w:r>
      <w:r>
        <w:rPr>
          <w:color w:val="231F20"/>
          <w:spacing w:val="-11"/>
        </w:rPr>
        <w:t> </w:t>
      </w:r>
      <w:r>
        <w:rPr>
          <w:color w:val="231F20"/>
          <w:spacing w:val="-4"/>
        </w:rPr>
        <w:t>occasionò</w:t>
      </w:r>
      <w:r>
        <w:rPr>
          <w:color w:val="231F20"/>
          <w:spacing w:val="-11"/>
        </w:rPr>
        <w:t> </w:t>
      </w:r>
      <w:r>
        <w:rPr>
          <w:color w:val="231F20"/>
        </w:rPr>
        <w:t>un</w:t>
      </w:r>
      <w:r>
        <w:rPr>
          <w:color w:val="231F20"/>
          <w:spacing w:val="-11"/>
        </w:rPr>
        <w:t> </w:t>
      </w:r>
      <w:r>
        <w:rPr>
          <w:color w:val="231F20"/>
          <w:spacing w:val="-4"/>
        </w:rPr>
        <w:t>cambiamento</w:t>
      </w:r>
      <w:r>
        <w:rPr>
          <w:color w:val="231F20"/>
          <w:spacing w:val="-11"/>
        </w:rPr>
        <w:t> </w:t>
      </w:r>
      <w:r>
        <w:rPr>
          <w:color w:val="231F20"/>
          <w:spacing w:val="-4"/>
        </w:rPr>
        <w:t>radicale</w:t>
      </w:r>
      <w:r>
        <w:rPr>
          <w:color w:val="231F20"/>
          <w:spacing w:val="-11"/>
        </w:rPr>
        <w:t> </w:t>
      </w:r>
      <w:r>
        <w:rPr>
          <w:color w:val="231F20"/>
          <w:spacing w:val="-3"/>
        </w:rPr>
        <w:t>del</w:t>
      </w:r>
      <w:r>
        <w:rPr>
          <w:color w:val="231F20"/>
          <w:spacing w:val="-11"/>
        </w:rPr>
        <w:t> </w:t>
      </w:r>
      <w:r>
        <w:rPr>
          <w:color w:val="231F20"/>
          <w:spacing w:val="-4"/>
        </w:rPr>
        <w:t>paradigma </w:t>
      </w:r>
      <w:r>
        <w:rPr>
          <w:color w:val="231F20"/>
        </w:rPr>
        <w:t>giuridico internazionale, del ruolo dello Stato e della giustificazione della guerra tra nazioni fu proprio l’11–S. Questo attacco terroristico inaugurò uno </w:t>
      </w:r>
      <w:r>
        <w:rPr>
          <w:color w:val="231F20"/>
          <w:spacing w:val="2"/>
        </w:rPr>
        <w:t>“stato </w:t>
      </w:r>
      <w:r>
        <w:rPr>
          <w:color w:val="231F20"/>
        </w:rPr>
        <w:t>di </w:t>
      </w:r>
      <w:r>
        <w:rPr>
          <w:color w:val="231F20"/>
          <w:spacing w:val="2"/>
        </w:rPr>
        <w:t>eccezione universale” </w:t>
      </w:r>
      <w:r>
        <w:rPr>
          <w:color w:val="231F20"/>
        </w:rPr>
        <w:t>che ha </w:t>
      </w:r>
      <w:r>
        <w:rPr>
          <w:color w:val="231F20"/>
          <w:spacing w:val="2"/>
        </w:rPr>
        <w:t>supposto </w:t>
      </w:r>
      <w:r>
        <w:rPr>
          <w:color w:val="231F20"/>
        </w:rPr>
        <w:t>“la </w:t>
      </w:r>
      <w:r>
        <w:rPr>
          <w:color w:val="231F20"/>
          <w:spacing w:val="3"/>
        </w:rPr>
        <w:t>sospensione </w:t>
      </w:r>
      <w:r>
        <w:rPr>
          <w:color w:val="231F20"/>
          <w:spacing w:val="2"/>
        </w:rPr>
        <w:t>individualizzata </w:t>
      </w:r>
      <w:r>
        <w:rPr>
          <w:color w:val="231F20"/>
        </w:rPr>
        <w:t>di </w:t>
      </w:r>
      <w:r>
        <w:rPr>
          <w:color w:val="231F20"/>
          <w:spacing w:val="2"/>
        </w:rPr>
        <w:t>diritti </w:t>
      </w:r>
      <w:r>
        <w:rPr>
          <w:color w:val="231F20"/>
        </w:rPr>
        <w:t>e </w:t>
      </w:r>
      <w:r>
        <w:rPr>
          <w:color w:val="231F20"/>
          <w:spacing w:val="2"/>
        </w:rPr>
        <w:t>garanzie”. </w:t>
      </w:r>
      <w:r>
        <w:rPr>
          <w:color w:val="231F20"/>
          <w:spacing w:val="-4"/>
        </w:rPr>
        <w:t>Tale </w:t>
      </w:r>
      <w:r>
        <w:rPr>
          <w:color w:val="231F20"/>
          <w:spacing w:val="2"/>
        </w:rPr>
        <w:t>stato </w:t>
      </w:r>
      <w:r>
        <w:rPr>
          <w:color w:val="231F20"/>
        </w:rPr>
        <w:t>di </w:t>
      </w:r>
      <w:r>
        <w:rPr>
          <w:color w:val="231F20"/>
          <w:spacing w:val="2"/>
        </w:rPr>
        <w:t>eccezione iniziò, </w:t>
      </w:r>
      <w:r>
        <w:rPr>
          <w:color w:val="231F20"/>
          <w:spacing w:val="3"/>
        </w:rPr>
        <w:t>nel </w:t>
      </w:r>
      <w:r>
        <w:rPr>
          <w:color w:val="231F20"/>
        </w:rPr>
        <w:t>caso specifico del Messico, con la lotta contro la criminalità organizata; il </w:t>
      </w:r>
      <w:r>
        <w:rPr>
          <w:color w:val="231F20"/>
          <w:spacing w:val="-3"/>
        </w:rPr>
        <w:t>paradosso </w:t>
      </w:r>
      <w:r>
        <w:rPr>
          <w:color w:val="231F20"/>
        </w:rPr>
        <w:t>che </w:t>
      </w:r>
      <w:r>
        <w:rPr>
          <w:color w:val="231F20"/>
          <w:spacing w:val="-3"/>
        </w:rPr>
        <w:t>l’autore percepisce </w:t>
      </w:r>
      <w:r>
        <w:rPr>
          <w:color w:val="231F20"/>
        </w:rPr>
        <w:t>e </w:t>
      </w:r>
      <w:r>
        <w:rPr>
          <w:color w:val="231F20"/>
          <w:spacing w:val="-3"/>
        </w:rPr>
        <w:t>analiza </w:t>
      </w:r>
      <w:r>
        <w:rPr>
          <w:color w:val="231F20"/>
        </w:rPr>
        <w:t>è che </w:t>
      </w:r>
      <w:r>
        <w:rPr>
          <w:color w:val="231F20"/>
          <w:spacing w:val="-3"/>
        </w:rPr>
        <w:t>diventa legittimo diminuire </w:t>
      </w:r>
      <w:r>
        <w:rPr>
          <w:color w:val="231F20"/>
        </w:rPr>
        <w:t>le garanzie dei cittadini con la finalità di garantire la sicurezza nazionale. Anche se il paradosso non si risolve in modo tagliente, il capitolo conclude con l’appello a prendere un tono critico e riflessivo, sopratutto da parte del pensiero giuridico attuale, davanti alla complessità del panorama che si presenta a livello internazionale e</w:t>
      </w:r>
      <w:r>
        <w:rPr>
          <w:color w:val="231F20"/>
          <w:spacing w:val="-5"/>
        </w:rPr>
        <w:t> </w:t>
      </w:r>
      <w:r>
        <w:rPr>
          <w:color w:val="231F20"/>
        </w:rPr>
        <w:t>nazionale.</w:t>
      </w:r>
    </w:p>
    <w:p>
      <w:pPr>
        <w:pStyle w:val="BodyText"/>
        <w:spacing w:line="247" w:lineRule="auto"/>
        <w:ind w:left="103" w:right="112" w:firstLine="566"/>
        <w:jc w:val="both"/>
      </w:pPr>
      <w:r>
        <w:rPr>
          <w:color w:val="231F20"/>
          <w:w w:val="105"/>
        </w:rPr>
        <w:t>Anche sul tema del ruolo dello Stato nel mondo globale, Maurizio Ricciardi</w:t>
      </w:r>
      <w:r>
        <w:rPr>
          <w:color w:val="231F20"/>
          <w:spacing w:val="-12"/>
          <w:w w:val="105"/>
        </w:rPr>
        <w:t> </w:t>
      </w:r>
      <w:r>
        <w:rPr>
          <w:color w:val="231F20"/>
          <w:w w:val="105"/>
        </w:rPr>
        <w:t>nel</w:t>
      </w:r>
      <w:r>
        <w:rPr>
          <w:color w:val="231F20"/>
          <w:spacing w:val="-12"/>
          <w:w w:val="105"/>
        </w:rPr>
        <w:t> </w:t>
      </w:r>
      <w:r>
        <w:rPr>
          <w:color w:val="231F20"/>
          <w:w w:val="105"/>
        </w:rPr>
        <w:t>suo</w:t>
      </w:r>
      <w:r>
        <w:rPr>
          <w:color w:val="231F20"/>
          <w:spacing w:val="-12"/>
          <w:w w:val="105"/>
        </w:rPr>
        <w:t> </w:t>
      </w:r>
      <w:r>
        <w:rPr>
          <w:color w:val="231F20"/>
          <w:w w:val="105"/>
        </w:rPr>
        <w:t>articolo</w:t>
      </w:r>
      <w:r>
        <w:rPr>
          <w:color w:val="231F20"/>
          <w:spacing w:val="-12"/>
          <w:w w:val="105"/>
        </w:rPr>
        <w:t> </w:t>
      </w:r>
      <w:r>
        <w:rPr>
          <w:color w:val="231F20"/>
          <w:w w:val="105"/>
        </w:rPr>
        <w:t>“Lo</w:t>
      </w:r>
      <w:r>
        <w:rPr>
          <w:color w:val="231F20"/>
          <w:spacing w:val="-12"/>
          <w:w w:val="105"/>
        </w:rPr>
        <w:t> </w:t>
      </w:r>
      <w:r>
        <w:rPr>
          <w:color w:val="231F20"/>
          <w:w w:val="105"/>
        </w:rPr>
        <w:t>Stato</w:t>
      </w:r>
      <w:r>
        <w:rPr>
          <w:color w:val="231F20"/>
          <w:spacing w:val="-12"/>
          <w:w w:val="105"/>
        </w:rPr>
        <w:t> </w:t>
      </w:r>
      <w:r>
        <w:rPr>
          <w:color w:val="231F20"/>
          <w:w w:val="105"/>
        </w:rPr>
        <w:t>globale</w:t>
      </w:r>
      <w:r>
        <w:rPr>
          <w:color w:val="231F20"/>
          <w:spacing w:val="-12"/>
          <w:w w:val="105"/>
        </w:rPr>
        <w:t> </w:t>
      </w:r>
      <w:r>
        <w:rPr>
          <w:color w:val="231F20"/>
          <w:w w:val="105"/>
        </w:rPr>
        <w:t>e</w:t>
      </w:r>
      <w:r>
        <w:rPr>
          <w:color w:val="231F20"/>
          <w:spacing w:val="-12"/>
          <w:w w:val="105"/>
        </w:rPr>
        <w:t> </w:t>
      </w:r>
      <w:r>
        <w:rPr>
          <w:color w:val="231F20"/>
          <w:w w:val="105"/>
        </w:rPr>
        <w:t>l’evoluzione</w:t>
      </w:r>
      <w:r>
        <w:rPr>
          <w:color w:val="231F20"/>
          <w:spacing w:val="-12"/>
          <w:w w:val="105"/>
        </w:rPr>
        <w:t> </w:t>
      </w:r>
      <w:r>
        <w:rPr>
          <w:color w:val="231F20"/>
          <w:w w:val="105"/>
        </w:rPr>
        <w:t>della</w:t>
      </w:r>
      <w:r>
        <w:rPr>
          <w:color w:val="231F20"/>
          <w:spacing w:val="-12"/>
          <w:w w:val="105"/>
        </w:rPr>
        <w:t> </w:t>
      </w:r>
      <w:r>
        <w:rPr>
          <w:color w:val="231F20"/>
          <w:w w:val="105"/>
        </w:rPr>
        <w:t>sovranità” riflette</w:t>
      </w:r>
      <w:r>
        <w:rPr>
          <w:color w:val="231F20"/>
          <w:spacing w:val="-39"/>
          <w:w w:val="105"/>
        </w:rPr>
        <w:t> </w:t>
      </w:r>
      <w:r>
        <w:rPr>
          <w:color w:val="231F20"/>
          <w:w w:val="105"/>
        </w:rPr>
        <w:t>sulla</w:t>
      </w:r>
      <w:r>
        <w:rPr>
          <w:color w:val="231F20"/>
          <w:spacing w:val="-39"/>
          <w:w w:val="105"/>
        </w:rPr>
        <w:t> </w:t>
      </w:r>
      <w:r>
        <w:rPr>
          <w:color w:val="231F20"/>
          <w:w w:val="105"/>
        </w:rPr>
        <w:t>possibilità</w:t>
      </w:r>
      <w:r>
        <w:rPr>
          <w:color w:val="231F20"/>
          <w:spacing w:val="-39"/>
          <w:w w:val="105"/>
        </w:rPr>
        <w:t> </w:t>
      </w:r>
      <w:r>
        <w:rPr>
          <w:color w:val="231F20"/>
          <w:w w:val="105"/>
        </w:rPr>
        <w:t>di</w:t>
      </w:r>
      <w:r>
        <w:rPr>
          <w:color w:val="231F20"/>
          <w:spacing w:val="-39"/>
          <w:w w:val="105"/>
        </w:rPr>
        <w:t> </w:t>
      </w:r>
      <w:r>
        <w:rPr>
          <w:color w:val="231F20"/>
          <w:w w:val="105"/>
        </w:rPr>
        <w:t>provare</w:t>
      </w:r>
      <w:r>
        <w:rPr>
          <w:color w:val="231F20"/>
          <w:spacing w:val="-39"/>
          <w:w w:val="105"/>
        </w:rPr>
        <w:t> </w:t>
      </w:r>
      <w:r>
        <w:rPr>
          <w:color w:val="231F20"/>
          <w:w w:val="105"/>
        </w:rPr>
        <w:t>probabili</w:t>
      </w:r>
      <w:r>
        <w:rPr>
          <w:color w:val="231F20"/>
          <w:spacing w:val="-39"/>
          <w:w w:val="105"/>
        </w:rPr>
        <w:t> </w:t>
      </w:r>
      <w:r>
        <w:rPr>
          <w:color w:val="231F20"/>
          <w:w w:val="105"/>
        </w:rPr>
        <w:t>“cure”</w:t>
      </w:r>
      <w:r>
        <w:rPr>
          <w:color w:val="231F20"/>
          <w:spacing w:val="-39"/>
          <w:w w:val="105"/>
        </w:rPr>
        <w:t> </w:t>
      </w:r>
      <w:r>
        <w:rPr>
          <w:color w:val="231F20"/>
          <w:w w:val="105"/>
        </w:rPr>
        <w:t>per</w:t>
      </w:r>
      <w:r>
        <w:rPr>
          <w:color w:val="231F20"/>
          <w:spacing w:val="-39"/>
          <w:w w:val="105"/>
        </w:rPr>
        <w:t> </w:t>
      </w:r>
      <w:r>
        <w:rPr>
          <w:color w:val="231F20"/>
          <w:w w:val="105"/>
        </w:rPr>
        <w:t>dirigere</w:t>
      </w:r>
      <w:r>
        <w:rPr>
          <w:color w:val="231F20"/>
          <w:spacing w:val="-39"/>
          <w:w w:val="105"/>
        </w:rPr>
        <w:t> </w:t>
      </w:r>
      <w:r>
        <w:rPr>
          <w:color w:val="231F20"/>
          <w:w w:val="105"/>
        </w:rPr>
        <w:t>l’azione</w:t>
      </w:r>
      <w:r>
        <w:rPr>
          <w:color w:val="231F20"/>
          <w:spacing w:val="-39"/>
          <w:w w:val="105"/>
        </w:rPr>
        <w:t> </w:t>
      </w:r>
      <w:r>
        <w:rPr>
          <w:color w:val="231F20"/>
          <w:w w:val="105"/>
        </w:rPr>
        <w:t>degli Stati,</w:t>
      </w:r>
      <w:r>
        <w:rPr>
          <w:color w:val="231F20"/>
          <w:spacing w:val="-44"/>
          <w:w w:val="105"/>
        </w:rPr>
        <w:t> </w:t>
      </w:r>
      <w:r>
        <w:rPr>
          <w:color w:val="231F20"/>
          <w:w w:val="105"/>
        </w:rPr>
        <w:t>perchè</w:t>
      </w:r>
      <w:r>
        <w:rPr>
          <w:color w:val="231F20"/>
          <w:spacing w:val="-44"/>
          <w:w w:val="105"/>
        </w:rPr>
        <w:t> </w:t>
      </w:r>
      <w:r>
        <w:rPr>
          <w:color w:val="231F20"/>
          <w:w w:val="105"/>
        </w:rPr>
        <w:t>essi</w:t>
      </w:r>
      <w:r>
        <w:rPr>
          <w:color w:val="231F20"/>
          <w:spacing w:val="-44"/>
          <w:w w:val="105"/>
        </w:rPr>
        <w:t> </w:t>
      </w:r>
      <w:r>
        <w:rPr>
          <w:color w:val="231F20"/>
          <w:w w:val="105"/>
        </w:rPr>
        <w:t>“amministrino</w:t>
      </w:r>
      <w:r>
        <w:rPr>
          <w:color w:val="231F20"/>
          <w:spacing w:val="-44"/>
          <w:w w:val="105"/>
        </w:rPr>
        <w:t> </w:t>
      </w:r>
      <w:r>
        <w:rPr>
          <w:color w:val="231F20"/>
          <w:w w:val="105"/>
        </w:rPr>
        <w:t>in</w:t>
      </w:r>
      <w:r>
        <w:rPr>
          <w:color w:val="231F20"/>
          <w:spacing w:val="-44"/>
          <w:w w:val="105"/>
        </w:rPr>
        <w:t> </w:t>
      </w:r>
      <w:r>
        <w:rPr>
          <w:color w:val="231F20"/>
          <w:w w:val="105"/>
        </w:rPr>
        <w:t>maniera</w:t>
      </w:r>
      <w:r>
        <w:rPr>
          <w:color w:val="231F20"/>
          <w:spacing w:val="-44"/>
          <w:w w:val="105"/>
        </w:rPr>
        <w:t> </w:t>
      </w:r>
      <w:r>
        <w:rPr>
          <w:color w:val="231F20"/>
          <w:w w:val="105"/>
        </w:rPr>
        <w:t>problematica</w:t>
      </w:r>
      <w:r>
        <w:rPr>
          <w:color w:val="231F20"/>
          <w:spacing w:val="-44"/>
          <w:w w:val="105"/>
        </w:rPr>
        <w:t> </w:t>
      </w:r>
      <w:r>
        <w:rPr>
          <w:color w:val="231F20"/>
          <w:w w:val="105"/>
        </w:rPr>
        <w:t>tanto</w:t>
      </w:r>
      <w:r>
        <w:rPr>
          <w:color w:val="231F20"/>
          <w:spacing w:val="-44"/>
          <w:w w:val="105"/>
        </w:rPr>
        <w:t> </w:t>
      </w:r>
      <w:r>
        <w:rPr>
          <w:color w:val="231F20"/>
          <w:w w:val="105"/>
        </w:rPr>
        <w:t>il</w:t>
      </w:r>
      <w:r>
        <w:rPr>
          <w:color w:val="231F20"/>
          <w:spacing w:val="-44"/>
          <w:w w:val="105"/>
        </w:rPr>
        <w:t> </w:t>
      </w:r>
      <w:r>
        <w:rPr>
          <w:color w:val="231F20"/>
          <w:w w:val="105"/>
        </w:rPr>
        <w:t>loro</w:t>
      </w:r>
      <w:r>
        <w:rPr>
          <w:color w:val="231F20"/>
          <w:spacing w:val="-44"/>
          <w:w w:val="105"/>
        </w:rPr>
        <w:t> </w:t>
      </w:r>
      <w:r>
        <w:rPr>
          <w:color w:val="231F20"/>
          <w:w w:val="105"/>
        </w:rPr>
        <w:t>spazio</w:t>
      </w:r>
    </w:p>
    <w:p>
      <w:pPr>
        <w:pStyle w:val="BodyText"/>
        <w:spacing w:before="11"/>
        <w:rPr>
          <w:sz w:val="16"/>
        </w:rPr>
      </w:pPr>
      <w:r>
        <w:rPr/>
        <w:pict>
          <v:line style="position:absolute;mso-position-horizontal-relative:page;mso-position-vertical-relative:paragraph;z-index:8872;mso-wrap-distance-left:0;mso-wrap-distance-right:0" from="65.196899pt,12.306985pt" to="178.582899pt,12.306985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position w:val="6"/>
          <w:sz w:val="10"/>
        </w:rPr>
        <w:t>1 </w:t>
      </w:r>
      <w:r>
        <w:rPr>
          <w:rFonts w:ascii="Calibri" w:hAnsi="Calibri"/>
          <w:color w:val="231F20"/>
          <w:sz w:val="17"/>
        </w:rPr>
        <w:t>L. Althusser, </w:t>
      </w:r>
      <w:r>
        <w:rPr>
          <w:rFonts w:ascii="Calibri" w:hAnsi="Calibri"/>
          <w:i/>
          <w:color w:val="231F20"/>
          <w:sz w:val="17"/>
        </w:rPr>
        <w:t>Ideología y aparatos ideológicos del estado</w:t>
      </w:r>
      <w:r>
        <w:rPr>
          <w:rFonts w:ascii="Calibri" w:hAnsi="Calibri"/>
          <w:color w:val="231F20"/>
          <w:sz w:val="17"/>
        </w:rPr>
        <w:t>, Medellín, Ediciones Pepe, 1980.</w:t>
      </w:r>
    </w:p>
    <w:p>
      <w:pPr>
        <w:spacing w:line="206" w:lineRule="exact" w:before="0"/>
        <w:ind w:left="103" w:right="0" w:firstLine="0"/>
        <w:jc w:val="left"/>
        <w:rPr>
          <w:rFonts w:ascii="Calibri" w:hAnsi="Calibri"/>
          <w:sz w:val="17"/>
        </w:rPr>
      </w:pPr>
      <w:r>
        <w:rPr>
          <w:rFonts w:ascii="Calibri" w:hAnsi="Calibri"/>
          <w:color w:val="231F20"/>
          <w:position w:val="6"/>
          <w:sz w:val="10"/>
        </w:rPr>
        <w:t>2  </w:t>
      </w:r>
      <w:r>
        <w:rPr>
          <w:rFonts w:ascii="Calibri" w:hAnsi="Calibri"/>
          <w:color w:val="231F20"/>
          <w:sz w:val="17"/>
        </w:rPr>
        <w:t>S. Žižek, </w:t>
      </w:r>
      <w:r>
        <w:rPr>
          <w:rFonts w:ascii="Calibri" w:hAnsi="Calibri"/>
          <w:i/>
          <w:color w:val="231F20"/>
          <w:sz w:val="17"/>
        </w:rPr>
        <w:t>El Sublime Objeto de la Ideología</w:t>
      </w:r>
      <w:r>
        <w:rPr>
          <w:rFonts w:ascii="Calibri" w:hAnsi="Calibri"/>
          <w:color w:val="231F20"/>
          <w:sz w:val="17"/>
        </w:rPr>
        <w:t>, México, D.F., Siglo XXI editores, 1992.</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6504"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10</w:t>
        <w:tab/>
      </w:r>
      <w:r>
        <w:rPr>
          <w:rFonts w:ascii="Calibri" w:hAnsi="Calibri"/>
          <w:color w:val="6D6E71"/>
          <w:w w:val="105"/>
          <w:sz w:val="16"/>
        </w:rPr>
        <w:t>Jorge</w:t>
      </w:r>
      <w:r>
        <w:rPr>
          <w:rFonts w:ascii="Calibri" w:hAnsi="Calibri"/>
          <w:color w:val="6D6E71"/>
          <w:spacing w:val="-25"/>
          <w:w w:val="105"/>
          <w:sz w:val="16"/>
        </w:rPr>
        <w:t> </w:t>
      </w:r>
      <w:r>
        <w:rPr>
          <w:rFonts w:ascii="Calibri" w:hAnsi="Calibri"/>
          <w:color w:val="6D6E71"/>
          <w:w w:val="105"/>
          <w:sz w:val="16"/>
        </w:rPr>
        <w:t>Olvera</w:t>
      </w:r>
      <w:r>
        <w:rPr>
          <w:rFonts w:ascii="Calibri" w:hAnsi="Calibri"/>
          <w:color w:val="6D6E71"/>
          <w:spacing w:val="-25"/>
          <w:w w:val="105"/>
          <w:sz w:val="16"/>
        </w:rPr>
        <w:t> </w:t>
      </w:r>
      <w:r>
        <w:rPr>
          <w:rFonts w:ascii="Calibri" w:hAnsi="Calibri"/>
          <w:color w:val="6D6E71"/>
          <w:w w:val="105"/>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1574" w:val="right" w:leader="none"/>
        </w:tabs>
        <w:spacing w:before="52"/>
        <w:ind w:left="90" w:right="239" w:firstLine="0"/>
        <w:jc w:val="right"/>
        <w:rPr>
          <w:rFonts w:ascii="Trebuchet MS"/>
          <w:sz w:val="20"/>
        </w:rPr>
      </w:pPr>
      <w:r>
        <w:rPr/>
        <w:pict>
          <v:group style="position:absolute;margin-left:383.821014pt;margin-top:-25.479271pt;width:8.65pt;height:41pt;mso-position-horizontal-relative:page;mso-position-vertical-relative:paragraph;z-index:-16648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color w:val="6D6E71"/>
          <w:sz w:val="14"/>
        </w:rPr>
        <w:t>INTRODUZIONE</w:t>
      </w:r>
      <w:r>
        <w:rPr>
          <w:rFonts w:ascii="Trebuchet MS"/>
          <w:color w:val="414042"/>
          <w:position w:val="-3"/>
          <w:sz w:val="20"/>
        </w:rPr>
        <w:tab/>
        <w:t>11</w:t>
      </w:r>
    </w:p>
    <w:p>
      <w:pPr>
        <w:pStyle w:val="BodyText"/>
        <w:rPr>
          <w:rFonts w:ascii="Trebuchet MS"/>
          <w:sz w:val="20"/>
        </w:rPr>
      </w:pPr>
    </w:p>
    <w:p>
      <w:pPr>
        <w:pStyle w:val="BodyText"/>
        <w:rPr>
          <w:rFonts w:ascii="Trebuchet MS"/>
          <w:sz w:val="20"/>
        </w:rPr>
      </w:pPr>
    </w:p>
    <w:p>
      <w:pPr>
        <w:pStyle w:val="BodyText"/>
        <w:spacing w:line="247" w:lineRule="auto" w:before="156"/>
        <w:ind w:left="117" w:right="116"/>
        <w:jc w:val="both"/>
      </w:pPr>
      <w:r>
        <w:rPr>
          <w:color w:val="231F20"/>
        </w:rPr>
        <w:t>interno come la loro relazione con gli spazi esterni”. Il problema dell’agire dello Stato si presenta perchè sebbene uno dei suoi maggiori indirizzi è neutralizzare ogni tipo di violenza, alla fine egli stesso la produce nei suoi differenti</w:t>
      </w:r>
      <w:r>
        <w:rPr>
          <w:color w:val="231F20"/>
          <w:spacing w:val="-13"/>
        </w:rPr>
        <w:t> </w:t>
      </w:r>
      <w:r>
        <w:rPr>
          <w:color w:val="231F20"/>
        </w:rPr>
        <w:t>momenti</w:t>
      </w:r>
      <w:r>
        <w:rPr>
          <w:color w:val="231F20"/>
          <w:spacing w:val="-13"/>
        </w:rPr>
        <w:t> </w:t>
      </w:r>
      <w:r>
        <w:rPr>
          <w:color w:val="231F20"/>
        </w:rPr>
        <w:t>d’azione.</w:t>
      </w:r>
      <w:r>
        <w:rPr>
          <w:color w:val="231F20"/>
          <w:spacing w:val="-13"/>
        </w:rPr>
        <w:t> </w:t>
      </w:r>
      <w:r>
        <w:rPr>
          <w:color w:val="231F20"/>
        </w:rPr>
        <w:t>Per</w:t>
      </w:r>
      <w:r>
        <w:rPr>
          <w:color w:val="231F20"/>
          <w:spacing w:val="-13"/>
        </w:rPr>
        <w:t> </w:t>
      </w:r>
      <w:r>
        <w:rPr>
          <w:color w:val="231F20"/>
        </w:rPr>
        <w:t>focalizzare</w:t>
      </w:r>
      <w:r>
        <w:rPr>
          <w:color w:val="231F20"/>
          <w:spacing w:val="-13"/>
        </w:rPr>
        <w:t> </w:t>
      </w:r>
      <w:r>
        <w:rPr>
          <w:color w:val="231F20"/>
        </w:rPr>
        <w:t>il</w:t>
      </w:r>
      <w:r>
        <w:rPr>
          <w:color w:val="231F20"/>
          <w:spacing w:val="-13"/>
        </w:rPr>
        <w:t> </w:t>
      </w:r>
      <w:r>
        <w:rPr>
          <w:color w:val="231F20"/>
        </w:rPr>
        <w:t>midollo</w:t>
      </w:r>
      <w:r>
        <w:rPr>
          <w:color w:val="231F20"/>
          <w:spacing w:val="-13"/>
        </w:rPr>
        <w:t> </w:t>
      </w:r>
      <w:r>
        <w:rPr>
          <w:color w:val="231F20"/>
        </w:rPr>
        <w:t>di</w:t>
      </w:r>
      <w:r>
        <w:rPr>
          <w:color w:val="231F20"/>
          <w:spacing w:val="-13"/>
        </w:rPr>
        <w:t> </w:t>
      </w:r>
      <w:r>
        <w:rPr>
          <w:color w:val="231F20"/>
        </w:rPr>
        <w:t>tale</w:t>
      </w:r>
      <w:r>
        <w:rPr>
          <w:color w:val="231F20"/>
          <w:spacing w:val="-13"/>
        </w:rPr>
        <w:t> </w:t>
      </w:r>
      <w:r>
        <w:rPr>
          <w:color w:val="231F20"/>
        </w:rPr>
        <w:t>contraddizione, l’autore realizza un’analisi dello Stato coloniale e post coloniale, portando la discussione all’attualità e al concetto di Stato globale; in particolare, si interroga se questo ha ancora un </w:t>
      </w:r>
      <w:r>
        <w:rPr>
          <w:rFonts w:ascii="Arial" w:hAnsi="Arial"/>
          <w:i/>
          <w:color w:val="231F20"/>
        </w:rPr>
        <w:t>significato condiviso </w:t>
      </w:r>
      <w:r>
        <w:rPr>
          <w:color w:val="231F20"/>
        </w:rPr>
        <w:t>col nuovo ruolo che gioca davanti alla globalizzazione. È innegabile che lo Stato ha sofferto trasformazioni radicali al passare dal suo status moderno a uno globale, il che ci porta a constatare che la sua storia, lontano dall’essere continua, è solcata</w:t>
      </w:r>
      <w:r>
        <w:rPr>
          <w:color w:val="231F20"/>
          <w:spacing w:val="-5"/>
        </w:rPr>
        <w:t> </w:t>
      </w:r>
      <w:r>
        <w:rPr>
          <w:color w:val="231F20"/>
        </w:rPr>
        <w:t>da</w:t>
      </w:r>
      <w:r>
        <w:rPr>
          <w:color w:val="231F20"/>
          <w:spacing w:val="-5"/>
        </w:rPr>
        <w:t> </w:t>
      </w:r>
      <w:r>
        <w:rPr>
          <w:color w:val="231F20"/>
        </w:rPr>
        <w:t>tagli</w:t>
      </w:r>
      <w:r>
        <w:rPr>
          <w:color w:val="231F20"/>
          <w:spacing w:val="-5"/>
        </w:rPr>
        <w:t> </w:t>
      </w:r>
      <w:r>
        <w:rPr>
          <w:color w:val="231F20"/>
        </w:rPr>
        <w:t>e</w:t>
      </w:r>
      <w:r>
        <w:rPr>
          <w:color w:val="231F20"/>
          <w:spacing w:val="-5"/>
        </w:rPr>
        <w:t> </w:t>
      </w:r>
      <w:r>
        <w:rPr>
          <w:color w:val="231F20"/>
        </w:rPr>
        <w:t>alterazioni</w:t>
      </w:r>
      <w:r>
        <w:rPr>
          <w:color w:val="231F20"/>
          <w:spacing w:val="-5"/>
        </w:rPr>
        <w:t> </w:t>
      </w:r>
      <w:r>
        <w:rPr>
          <w:color w:val="231F20"/>
        </w:rPr>
        <w:t>drastici.</w:t>
      </w:r>
      <w:r>
        <w:rPr>
          <w:color w:val="231F20"/>
          <w:spacing w:val="-5"/>
        </w:rPr>
        <w:t> </w:t>
      </w:r>
      <w:r>
        <w:rPr>
          <w:color w:val="231F20"/>
        </w:rPr>
        <w:t>Ad</w:t>
      </w:r>
      <w:r>
        <w:rPr>
          <w:color w:val="231F20"/>
          <w:spacing w:val="-5"/>
        </w:rPr>
        <w:t> </w:t>
      </w:r>
      <w:r>
        <w:rPr>
          <w:color w:val="231F20"/>
        </w:rPr>
        <w:t>esempio,</w:t>
      </w:r>
      <w:r>
        <w:rPr>
          <w:color w:val="231F20"/>
          <w:spacing w:val="-5"/>
        </w:rPr>
        <w:t> </w:t>
      </w:r>
      <w:r>
        <w:rPr>
          <w:color w:val="231F20"/>
        </w:rPr>
        <w:t>se</w:t>
      </w:r>
      <w:r>
        <w:rPr>
          <w:color w:val="231F20"/>
          <w:spacing w:val="-5"/>
        </w:rPr>
        <w:t> </w:t>
      </w:r>
      <w:r>
        <w:rPr>
          <w:color w:val="231F20"/>
        </w:rPr>
        <w:t>prima</w:t>
      </w:r>
      <w:r>
        <w:rPr>
          <w:color w:val="231F20"/>
          <w:spacing w:val="-5"/>
        </w:rPr>
        <w:t> </w:t>
      </w:r>
      <w:r>
        <w:rPr>
          <w:color w:val="231F20"/>
        </w:rPr>
        <w:t>il</w:t>
      </w:r>
      <w:r>
        <w:rPr>
          <w:color w:val="231F20"/>
          <w:spacing w:val="-5"/>
        </w:rPr>
        <w:t> </w:t>
      </w:r>
      <w:r>
        <w:rPr>
          <w:color w:val="231F20"/>
        </w:rPr>
        <w:t>“popolo</w:t>
      </w:r>
      <w:r>
        <w:rPr>
          <w:color w:val="231F20"/>
          <w:spacing w:val="-5"/>
        </w:rPr>
        <w:t> </w:t>
      </w:r>
      <w:r>
        <w:rPr>
          <w:color w:val="231F20"/>
        </w:rPr>
        <w:t>era</w:t>
      </w:r>
      <w:r>
        <w:rPr>
          <w:color w:val="231F20"/>
          <w:spacing w:val="-5"/>
        </w:rPr>
        <w:t> </w:t>
      </w:r>
      <w:r>
        <w:rPr>
          <w:color w:val="231F20"/>
        </w:rPr>
        <w:t>la soluzione sempre data all’enigma dello Stato democratico”, a partire dagli anni ottanta ha smesso di essere soggetto politico per diventare oggetto delle politiche di un governo ogni volta più estraneo agli ideali dello Stato democratico.</w:t>
      </w:r>
    </w:p>
    <w:p>
      <w:pPr>
        <w:pStyle w:val="BodyText"/>
        <w:spacing w:line="247" w:lineRule="auto"/>
        <w:ind w:left="117" w:right="113" w:firstLine="566"/>
        <w:jc w:val="both"/>
      </w:pPr>
      <w:r>
        <w:rPr>
          <w:color w:val="231F20"/>
          <w:w w:val="105"/>
        </w:rPr>
        <w:t>Nel</w:t>
      </w:r>
      <w:r>
        <w:rPr>
          <w:color w:val="231F20"/>
          <w:spacing w:val="-40"/>
          <w:w w:val="105"/>
        </w:rPr>
        <w:t> </w:t>
      </w:r>
      <w:r>
        <w:rPr>
          <w:color w:val="231F20"/>
          <w:spacing w:val="-3"/>
          <w:w w:val="105"/>
        </w:rPr>
        <w:t>saggio</w:t>
      </w:r>
      <w:r>
        <w:rPr>
          <w:color w:val="231F20"/>
          <w:spacing w:val="-40"/>
          <w:w w:val="105"/>
        </w:rPr>
        <w:t> </w:t>
      </w:r>
      <w:r>
        <w:rPr>
          <w:color w:val="231F20"/>
          <w:spacing w:val="-4"/>
          <w:w w:val="105"/>
        </w:rPr>
        <w:t>“Naturalizzare</w:t>
      </w:r>
      <w:r>
        <w:rPr>
          <w:color w:val="231F20"/>
          <w:spacing w:val="-40"/>
          <w:w w:val="105"/>
        </w:rPr>
        <w:t> </w:t>
      </w:r>
      <w:r>
        <w:rPr>
          <w:color w:val="231F20"/>
          <w:w w:val="105"/>
        </w:rPr>
        <w:t>i</w:t>
      </w:r>
      <w:r>
        <w:rPr>
          <w:color w:val="231F20"/>
          <w:spacing w:val="-40"/>
          <w:w w:val="105"/>
        </w:rPr>
        <w:t> </w:t>
      </w:r>
      <w:r>
        <w:rPr>
          <w:color w:val="231F20"/>
          <w:spacing w:val="-3"/>
          <w:w w:val="105"/>
        </w:rPr>
        <w:t>paradossi:</w:t>
      </w:r>
      <w:r>
        <w:rPr>
          <w:color w:val="231F20"/>
          <w:spacing w:val="-40"/>
          <w:w w:val="105"/>
        </w:rPr>
        <w:t> </w:t>
      </w:r>
      <w:r>
        <w:rPr>
          <w:color w:val="231F20"/>
          <w:w w:val="105"/>
        </w:rPr>
        <w:t>un</w:t>
      </w:r>
      <w:r>
        <w:rPr>
          <w:color w:val="231F20"/>
          <w:spacing w:val="-40"/>
          <w:w w:val="105"/>
        </w:rPr>
        <w:t> </w:t>
      </w:r>
      <w:r>
        <w:rPr>
          <w:color w:val="231F20"/>
          <w:spacing w:val="-4"/>
          <w:w w:val="105"/>
        </w:rPr>
        <w:t>approccio</w:t>
      </w:r>
      <w:r>
        <w:rPr>
          <w:color w:val="231F20"/>
          <w:spacing w:val="-40"/>
          <w:w w:val="105"/>
        </w:rPr>
        <w:t> </w:t>
      </w:r>
      <w:r>
        <w:rPr>
          <w:color w:val="231F20"/>
          <w:spacing w:val="-3"/>
          <w:w w:val="105"/>
        </w:rPr>
        <w:t>alla</w:t>
      </w:r>
      <w:r>
        <w:rPr>
          <w:color w:val="231F20"/>
          <w:spacing w:val="-40"/>
          <w:w w:val="105"/>
        </w:rPr>
        <w:t> </w:t>
      </w:r>
      <w:r>
        <w:rPr>
          <w:color w:val="231F20"/>
          <w:spacing w:val="-3"/>
          <w:w w:val="105"/>
        </w:rPr>
        <w:t>globalizzazione </w:t>
      </w:r>
      <w:r>
        <w:rPr>
          <w:color w:val="231F20"/>
          <w:w w:val="105"/>
        </w:rPr>
        <w:t>da</w:t>
      </w:r>
      <w:r>
        <w:rPr>
          <w:color w:val="231F20"/>
          <w:spacing w:val="-39"/>
          <w:w w:val="105"/>
        </w:rPr>
        <w:t> </w:t>
      </w:r>
      <w:r>
        <w:rPr>
          <w:color w:val="231F20"/>
          <w:w w:val="105"/>
        </w:rPr>
        <w:t>Gilles</w:t>
      </w:r>
      <w:r>
        <w:rPr>
          <w:color w:val="231F20"/>
          <w:spacing w:val="-39"/>
          <w:w w:val="105"/>
        </w:rPr>
        <w:t> </w:t>
      </w:r>
      <w:r>
        <w:rPr>
          <w:color w:val="231F20"/>
          <w:w w:val="105"/>
        </w:rPr>
        <w:t>Deleuze”,</w:t>
      </w:r>
      <w:r>
        <w:rPr>
          <w:color w:val="231F20"/>
          <w:spacing w:val="-39"/>
          <w:w w:val="105"/>
        </w:rPr>
        <w:t> </w:t>
      </w:r>
      <w:r>
        <w:rPr>
          <w:color w:val="231F20"/>
          <w:w w:val="105"/>
        </w:rPr>
        <w:t>María</w:t>
      </w:r>
      <w:r>
        <w:rPr>
          <w:color w:val="231F20"/>
          <w:spacing w:val="-39"/>
          <w:w w:val="105"/>
        </w:rPr>
        <w:t> </w:t>
      </w:r>
      <w:r>
        <w:rPr>
          <w:color w:val="231F20"/>
          <w:w w:val="105"/>
        </w:rPr>
        <w:t>Luisa</w:t>
      </w:r>
      <w:r>
        <w:rPr>
          <w:color w:val="231F20"/>
          <w:spacing w:val="-39"/>
          <w:w w:val="105"/>
        </w:rPr>
        <w:t> </w:t>
      </w:r>
      <w:r>
        <w:rPr>
          <w:color w:val="231F20"/>
          <w:w w:val="105"/>
        </w:rPr>
        <w:t>Bacarlett</w:t>
      </w:r>
      <w:r>
        <w:rPr>
          <w:color w:val="231F20"/>
          <w:spacing w:val="-39"/>
          <w:w w:val="105"/>
        </w:rPr>
        <w:t> </w:t>
      </w:r>
      <w:r>
        <w:rPr>
          <w:color w:val="231F20"/>
          <w:w w:val="105"/>
        </w:rPr>
        <w:t>Pérez</w:t>
      </w:r>
      <w:r>
        <w:rPr>
          <w:color w:val="231F20"/>
          <w:spacing w:val="-39"/>
          <w:w w:val="105"/>
        </w:rPr>
        <w:t> </w:t>
      </w:r>
      <w:r>
        <w:rPr>
          <w:color w:val="231F20"/>
          <w:w w:val="105"/>
        </w:rPr>
        <w:t>sottolinea</w:t>
      </w:r>
      <w:r>
        <w:rPr>
          <w:color w:val="231F20"/>
          <w:spacing w:val="-39"/>
          <w:w w:val="105"/>
        </w:rPr>
        <w:t> </w:t>
      </w:r>
      <w:r>
        <w:rPr>
          <w:color w:val="231F20"/>
          <w:w w:val="105"/>
        </w:rPr>
        <w:t>punti</w:t>
      </w:r>
      <w:r>
        <w:rPr>
          <w:color w:val="231F20"/>
          <w:spacing w:val="-39"/>
          <w:w w:val="105"/>
        </w:rPr>
        <w:t> </w:t>
      </w:r>
      <w:r>
        <w:rPr>
          <w:color w:val="231F20"/>
          <w:w w:val="105"/>
        </w:rPr>
        <w:t>interessanti </w:t>
      </w:r>
      <w:r>
        <w:rPr>
          <w:color w:val="231F20"/>
          <w:spacing w:val="3"/>
          <w:w w:val="105"/>
        </w:rPr>
        <w:t>sul </w:t>
      </w:r>
      <w:r>
        <w:rPr>
          <w:color w:val="231F20"/>
          <w:spacing w:val="4"/>
          <w:w w:val="105"/>
        </w:rPr>
        <w:t>paradosso intrinseco della globalizzazione, </w:t>
      </w:r>
      <w:r>
        <w:rPr>
          <w:color w:val="231F20"/>
          <w:spacing w:val="3"/>
          <w:w w:val="105"/>
        </w:rPr>
        <w:t>che </w:t>
      </w:r>
      <w:r>
        <w:rPr>
          <w:color w:val="231F20"/>
          <w:spacing w:val="2"/>
          <w:w w:val="105"/>
        </w:rPr>
        <w:t>si </w:t>
      </w:r>
      <w:r>
        <w:rPr>
          <w:color w:val="231F20"/>
          <w:spacing w:val="4"/>
          <w:w w:val="105"/>
        </w:rPr>
        <w:t>riassume </w:t>
      </w:r>
      <w:r>
        <w:rPr>
          <w:color w:val="231F20"/>
          <w:spacing w:val="5"/>
          <w:w w:val="105"/>
        </w:rPr>
        <w:t>nella </w:t>
      </w:r>
      <w:r>
        <w:rPr>
          <w:color w:val="231F20"/>
          <w:spacing w:val="2"/>
          <w:w w:val="105"/>
        </w:rPr>
        <w:t>dicotomia globale–locale. </w:t>
      </w:r>
      <w:r>
        <w:rPr>
          <w:color w:val="231F20"/>
          <w:w w:val="105"/>
        </w:rPr>
        <w:t>Non </w:t>
      </w:r>
      <w:r>
        <w:rPr>
          <w:color w:val="231F20"/>
          <w:spacing w:val="2"/>
          <w:w w:val="105"/>
        </w:rPr>
        <w:t>sono pochi </w:t>
      </w:r>
      <w:r>
        <w:rPr>
          <w:color w:val="231F20"/>
          <w:w w:val="105"/>
        </w:rPr>
        <w:t>gli </w:t>
      </w:r>
      <w:r>
        <w:rPr>
          <w:color w:val="231F20"/>
          <w:spacing w:val="2"/>
          <w:w w:val="105"/>
        </w:rPr>
        <w:t>autori </w:t>
      </w:r>
      <w:r>
        <w:rPr>
          <w:color w:val="231F20"/>
          <w:w w:val="105"/>
        </w:rPr>
        <w:t>che </w:t>
      </w:r>
      <w:r>
        <w:rPr>
          <w:color w:val="231F20"/>
          <w:spacing w:val="2"/>
          <w:w w:val="105"/>
        </w:rPr>
        <w:t>hanno anche </w:t>
      </w:r>
      <w:r>
        <w:rPr>
          <w:color w:val="231F20"/>
          <w:w w:val="105"/>
        </w:rPr>
        <w:t>sottolineato</w:t>
      </w:r>
      <w:r>
        <w:rPr>
          <w:color w:val="231F20"/>
          <w:spacing w:val="-42"/>
          <w:w w:val="105"/>
        </w:rPr>
        <w:t> </w:t>
      </w:r>
      <w:r>
        <w:rPr>
          <w:color w:val="231F20"/>
          <w:w w:val="105"/>
        </w:rPr>
        <w:t>il</w:t>
      </w:r>
      <w:r>
        <w:rPr>
          <w:color w:val="231F20"/>
          <w:spacing w:val="-42"/>
          <w:w w:val="105"/>
        </w:rPr>
        <w:t> </w:t>
      </w:r>
      <w:r>
        <w:rPr>
          <w:color w:val="231F20"/>
          <w:w w:val="105"/>
        </w:rPr>
        <w:t>carattere</w:t>
      </w:r>
      <w:r>
        <w:rPr>
          <w:color w:val="231F20"/>
          <w:spacing w:val="-42"/>
          <w:w w:val="105"/>
        </w:rPr>
        <w:t> </w:t>
      </w:r>
      <w:r>
        <w:rPr>
          <w:color w:val="231F20"/>
          <w:w w:val="105"/>
        </w:rPr>
        <w:t>paradossale</w:t>
      </w:r>
      <w:r>
        <w:rPr>
          <w:color w:val="231F20"/>
          <w:spacing w:val="-42"/>
          <w:w w:val="105"/>
        </w:rPr>
        <w:t> </w:t>
      </w:r>
      <w:r>
        <w:rPr>
          <w:color w:val="231F20"/>
          <w:w w:val="105"/>
        </w:rPr>
        <w:t>tra</w:t>
      </w:r>
      <w:r>
        <w:rPr>
          <w:color w:val="231F20"/>
          <w:spacing w:val="-42"/>
          <w:w w:val="105"/>
        </w:rPr>
        <w:t> </w:t>
      </w:r>
      <w:r>
        <w:rPr>
          <w:color w:val="231F20"/>
          <w:w w:val="105"/>
        </w:rPr>
        <w:t>la</w:t>
      </w:r>
      <w:r>
        <w:rPr>
          <w:color w:val="231F20"/>
          <w:spacing w:val="-42"/>
          <w:w w:val="105"/>
        </w:rPr>
        <w:t> </w:t>
      </w:r>
      <w:r>
        <w:rPr>
          <w:color w:val="231F20"/>
          <w:w w:val="105"/>
        </w:rPr>
        <w:t>forza</w:t>
      </w:r>
      <w:r>
        <w:rPr>
          <w:color w:val="231F20"/>
          <w:spacing w:val="-42"/>
          <w:w w:val="105"/>
        </w:rPr>
        <w:t> </w:t>
      </w:r>
      <w:r>
        <w:rPr>
          <w:color w:val="231F20"/>
          <w:w w:val="105"/>
        </w:rPr>
        <w:t>eterogeneizzante</w:t>
      </w:r>
      <w:r>
        <w:rPr>
          <w:color w:val="231F20"/>
          <w:spacing w:val="-42"/>
          <w:w w:val="105"/>
        </w:rPr>
        <w:t> </w:t>
      </w:r>
      <w:r>
        <w:rPr>
          <w:color w:val="231F20"/>
          <w:w w:val="105"/>
        </w:rPr>
        <w:t>del</w:t>
      </w:r>
      <w:r>
        <w:rPr>
          <w:color w:val="231F20"/>
          <w:spacing w:val="-42"/>
          <w:w w:val="105"/>
        </w:rPr>
        <w:t> </w:t>
      </w:r>
      <w:r>
        <w:rPr>
          <w:color w:val="231F20"/>
          <w:w w:val="105"/>
        </w:rPr>
        <w:t>locale e</w:t>
      </w:r>
      <w:r>
        <w:rPr>
          <w:color w:val="231F20"/>
          <w:spacing w:val="-22"/>
          <w:w w:val="105"/>
        </w:rPr>
        <w:t> </w:t>
      </w:r>
      <w:r>
        <w:rPr>
          <w:color w:val="231F20"/>
          <w:w w:val="105"/>
        </w:rPr>
        <w:t>quella</w:t>
      </w:r>
      <w:r>
        <w:rPr>
          <w:color w:val="231F20"/>
          <w:spacing w:val="-22"/>
          <w:w w:val="105"/>
        </w:rPr>
        <w:t> </w:t>
      </w:r>
      <w:r>
        <w:rPr>
          <w:color w:val="231F20"/>
          <w:w w:val="105"/>
        </w:rPr>
        <w:t>omogeneizzante</w:t>
      </w:r>
      <w:r>
        <w:rPr>
          <w:color w:val="231F20"/>
          <w:spacing w:val="-22"/>
          <w:w w:val="105"/>
        </w:rPr>
        <w:t> </w:t>
      </w:r>
      <w:r>
        <w:rPr>
          <w:color w:val="231F20"/>
          <w:w w:val="105"/>
        </w:rPr>
        <w:t>del</w:t>
      </w:r>
      <w:r>
        <w:rPr>
          <w:color w:val="231F20"/>
          <w:spacing w:val="-22"/>
          <w:w w:val="105"/>
        </w:rPr>
        <w:t> </w:t>
      </w:r>
      <w:r>
        <w:rPr>
          <w:color w:val="231F20"/>
          <w:w w:val="105"/>
        </w:rPr>
        <w:t>globale.</w:t>
      </w:r>
      <w:r>
        <w:rPr>
          <w:color w:val="231F20"/>
          <w:spacing w:val="-22"/>
          <w:w w:val="105"/>
        </w:rPr>
        <w:t> </w:t>
      </w:r>
      <w:r>
        <w:rPr>
          <w:color w:val="231F20"/>
          <w:spacing w:val="-3"/>
          <w:w w:val="105"/>
        </w:rPr>
        <w:t>L’autrice</w:t>
      </w:r>
      <w:r>
        <w:rPr>
          <w:color w:val="231F20"/>
          <w:spacing w:val="-22"/>
          <w:w w:val="105"/>
        </w:rPr>
        <w:t> </w:t>
      </w:r>
      <w:r>
        <w:rPr>
          <w:color w:val="231F20"/>
          <w:w w:val="105"/>
        </w:rPr>
        <w:t>identifica</w:t>
      </w:r>
      <w:r>
        <w:rPr>
          <w:color w:val="231F20"/>
          <w:spacing w:val="-22"/>
          <w:w w:val="105"/>
        </w:rPr>
        <w:t> </w:t>
      </w:r>
      <w:r>
        <w:rPr>
          <w:color w:val="231F20"/>
          <w:w w:val="105"/>
        </w:rPr>
        <w:t>cinque</w:t>
      </w:r>
      <w:r>
        <w:rPr>
          <w:color w:val="231F20"/>
          <w:spacing w:val="-22"/>
          <w:w w:val="105"/>
        </w:rPr>
        <w:t> </w:t>
      </w:r>
      <w:r>
        <w:rPr>
          <w:color w:val="231F20"/>
          <w:w w:val="105"/>
        </w:rPr>
        <w:t>paradossi centrali relazionati con la dicotomia globale–locale: omogeneizzazione– </w:t>
      </w:r>
      <w:r>
        <w:rPr>
          <w:color w:val="231F20"/>
          <w:spacing w:val="4"/>
        </w:rPr>
        <w:t>eterogeneizzazione, totalità–parzialità, finitezza–pluralità, </w:t>
      </w:r>
      <w:r>
        <w:rPr>
          <w:color w:val="231F20"/>
          <w:spacing w:val="5"/>
        </w:rPr>
        <w:t>origine–fine  </w:t>
      </w:r>
      <w:r>
        <w:rPr>
          <w:color w:val="231F20"/>
          <w:w w:val="105"/>
        </w:rPr>
        <w:t>e centro–margini. </w:t>
      </w:r>
      <w:r>
        <w:rPr>
          <w:color w:val="231F20"/>
          <w:spacing w:val="-4"/>
          <w:w w:val="105"/>
        </w:rPr>
        <w:t>Tali </w:t>
      </w:r>
      <w:r>
        <w:rPr>
          <w:color w:val="231F20"/>
          <w:w w:val="105"/>
        </w:rPr>
        <w:t>paradossi mettono a confronto due contrari che, </w:t>
      </w:r>
      <w:r>
        <w:rPr>
          <w:color w:val="231F20"/>
          <w:spacing w:val="-3"/>
          <w:w w:val="105"/>
        </w:rPr>
        <w:t>comunque,</w:t>
      </w:r>
      <w:r>
        <w:rPr>
          <w:color w:val="231F20"/>
          <w:spacing w:val="-41"/>
          <w:w w:val="105"/>
        </w:rPr>
        <w:t> </w:t>
      </w:r>
      <w:r>
        <w:rPr>
          <w:color w:val="231F20"/>
          <w:w w:val="105"/>
        </w:rPr>
        <w:t>si</w:t>
      </w:r>
      <w:r>
        <w:rPr>
          <w:color w:val="231F20"/>
          <w:spacing w:val="-41"/>
          <w:w w:val="105"/>
        </w:rPr>
        <w:t> </w:t>
      </w:r>
      <w:r>
        <w:rPr>
          <w:color w:val="231F20"/>
          <w:spacing w:val="-3"/>
          <w:w w:val="105"/>
        </w:rPr>
        <w:t>toccano</w:t>
      </w:r>
      <w:r>
        <w:rPr>
          <w:color w:val="231F20"/>
          <w:spacing w:val="-41"/>
          <w:w w:val="105"/>
        </w:rPr>
        <w:t> </w:t>
      </w:r>
      <w:r>
        <w:rPr>
          <w:color w:val="231F20"/>
          <w:w w:val="105"/>
        </w:rPr>
        <w:t>e</w:t>
      </w:r>
      <w:r>
        <w:rPr>
          <w:color w:val="231F20"/>
          <w:spacing w:val="-41"/>
          <w:w w:val="105"/>
        </w:rPr>
        <w:t> </w:t>
      </w:r>
      <w:r>
        <w:rPr>
          <w:color w:val="231F20"/>
          <w:w w:val="105"/>
        </w:rPr>
        <w:t>si</w:t>
      </w:r>
      <w:r>
        <w:rPr>
          <w:color w:val="231F20"/>
          <w:spacing w:val="-41"/>
          <w:w w:val="105"/>
        </w:rPr>
        <w:t> </w:t>
      </w:r>
      <w:r>
        <w:rPr>
          <w:color w:val="231F20"/>
          <w:spacing w:val="-3"/>
          <w:w w:val="105"/>
        </w:rPr>
        <w:t>completano,</w:t>
      </w:r>
      <w:r>
        <w:rPr>
          <w:color w:val="231F20"/>
          <w:spacing w:val="-41"/>
          <w:w w:val="105"/>
        </w:rPr>
        <w:t> </w:t>
      </w:r>
      <w:r>
        <w:rPr>
          <w:color w:val="231F20"/>
          <w:spacing w:val="-3"/>
          <w:w w:val="105"/>
        </w:rPr>
        <w:t>come</w:t>
      </w:r>
      <w:r>
        <w:rPr>
          <w:color w:val="231F20"/>
          <w:spacing w:val="-41"/>
          <w:w w:val="105"/>
        </w:rPr>
        <w:t> </w:t>
      </w:r>
      <w:r>
        <w:rPr>
          <w:color w:val="231F20"/>
          <w:spacing w:val="-3"/>
          <w:w w:val="105"/>
        </w:rPr>
        <w:t>dimostra</w:t>
      </w:r>
      <w:r>
        <w:rPr>
          <w:color w:val="231F20"/>
          <w:spacing w:val="-41"/>
          <w:w w:val="105"/>
        </w:rPr>
        <w:t> </w:t>
      </w:r>
      <w:r>
        <w:rPr>
          <w:color w:val="231F20"/>
          <w:w w:val="105"/>
        </w:rPr>
        <w:t>il</w:t>
      </w:r>
      <w:r>
        <w:rPr>
          <w:color w:val="231F20"/>
          <w:spacing w:val="-41"/>
          <w:w w:val="105"/>
        </w:rPr>
        <w:t> </w:t>
      </w:r>
      <w:r>
        <w:rPr>
          <w:color w:val="231F20"/>
          <w:spacing w:val="-3"/>
          <w:w w:val="105"/>
        </w:rPr>
        <w:t>neologismo</w:t>
      </w:r>
      <w:r>
        <w:rPr>
          <w:color w:val="231F20"/>
          <w:spacing w:val="-36"/>
          <w:w w:val="105"/>
        </w:rPr>
        <w:t> </w:t>
      </w:r>
      <w:r>
        <w:rPr>
          <w:rFonts w:ascii="Arial" w:hAnsi="Arial"/>
          <w:i/>
          <w:color w:val="231F20"/>
          <w:spacing w:val="-3"/>
          <w:w w:val="105"/>
        </w:rPr>
        <w:t>glocale</w:t>
      </w:r>
      <w:r>
        <w:rPr>
          <w:color w:val="231F20"/>
          <w:spacing w:val="-3"/>
          <w:w w:val="105"/>
        </w:rPr>
        <w:t>. </w:t>
      </w:r>
      <w:r>
        <w:rPr>
          <w:color w:val="231F20"/>
          <w:w w:val="105"/>
        </w:rPr>
        <w:t>Nonostante, l’intenzione dell’autrice è interrogarci se ridurre lo schema a due contrari che si completano non provoca in realtà</w:t>
      </w:r>
      <w:r>
        <w:rPr>
          <w:color w:val="231F20"/>
          <w:spacing w:val="-30"/>
          <w:w w:val="105"/>
        </w:rPr>
        <w:t> </w:t>
      </w:r>
      <w:r>
        <w:rPr>
          <w:color w:val="231F20"/>
          <w:w w:val="105"/>
        </w:rPr>
        <w:t>l’impoverimento della</w:t>
      </w:r>
      <w:r>
        <w:rPr>
          <w:color w:val="231F20"/>
          <w:spacing w:val="-19"/>
          <w:w w:val="105"/>
        </w:rPr>
        <w:t> </w:t>
      </w:r>
      <w:r>
        <w:rPr>
          <w:color w:val="231F20"/>
          <w:w w:val="105"/>
        </w:rPr>
        <w:t>forza</w:t>
      </w:r>
      <w:r>
        <w:rPr>
          <w:color w:val="231F20"/>
          <w:spacing w:val="-19"/>
          <w:w w:val="105"/>
        </w:rPr>
        <w:t> </w:t>
      </w:r>
      <w:r>
        <w:rPr>
          <w:color w:val="231F20"/>
          <w:w w:val="105"/>
        </w:rPr>
        <w:t>critica</w:t>
      </w:r>
      <w:r>
        <w:rPr>
          <w:color w:val="231F20"/>
          <w:spacing w:val="-19"/>
          <w:w w:val="105"/>
        </w:rPr>
        <w:t> </w:t>
      </w:r>
      <w:r>
        <w:rPr>
          <w:color w:val="231F20"/>
          <w:w w:val="105"/>
        </w:rPr>
        <w:t>del</w:t>
      </w:r>
      <w:r>
        <w:rPr>
          <w:color w:val="231F20"/>
          <w:spacing w:val="-19"/>
          <w:w w:val="105"/>
        </w:rPr>
        <w:t> </w:t>
      </w:r>
      <w:r>
        <w:rPr>
          <w:color w:val="231F20"/>
          <w:w w:val="105"/>
        </w:rPr>
        <w:t>paradosso.</w:t>
      </w:r>
      <w:r>
        <w:rPr>
          <w:color w:val="231F20"/>
          <w:spacing w:val="-19"/>
          <w:w w:val="105"/>
        </w:rPr>
        <w:t> </w:t>
      </w:r>
      <w:r>
        <w:rPr>
          <w:color w:val="231F20"/>
          <w:w w:val="105"/>
        </w:rPr>
        <w:t>Riprendendo</w:t>
      </w:r>
      <w:r>
        <w:rPr>
          <w:color w:val="231F20"/>
          <w:spacing w:val="-19"/>
          <w:w w:val="105"/>
        </w:rPr>
        <w:t> </w:t>
      </w:r>
      <w:r>
        <w:rPr>
          <w:color w:val="231F20"/>
          <w:w w:val="105"/>
        </w:rPr>
        <w:t>gli</w:t>
      </w:r>
      <w:r>
        <w:rPr>
          <w:color w:val="231F20"/>
          <w:spacing w:val="-19"/>
          <w:w w:val="105"/>
        </w:rPr>
        <w:t> </w:t>
      </w:r>
      <w:r>
        <w:rPr>
          <w:color w:val="231F20"/>
          <w:w w:val="105"/>
        </w:rPr>
        <w:t>autori</w:t>
      </w:r>
      <w:r>
        <w:rPr>
          <w:color w:val="231F20"/>
          <w:spacing w:val="-19"/>
          <w:w w:val="105"/>
        </w:rPr>
        <w:t> </w:t>
      </w:r>
      <w:r>
        <w:rPr>
          <w:color w:val="231F20"/>
          <w:w w:val="105"/>
        </w:rPr>
        <w:t>citati,</w:t>
      </w:r>
      <w:r>
        <w:rPr>
          <w:color w:val="231F20"/>
          <w:spacing w:val="-19"/>
          <w:w w:val="105"/>
        </w:rPr>
        <w:t> </w:t>
      </w:r>
      <w:r>
        <w:rPr>
          <w:color w:val="231F20"/>
          <w:w w:val="105"/>
        </w:rPr>
        <w:t>Bacarlett</w:t>
      </w:r>
      <w:r>
        <w:rPr>
          <w:color w:val="231F20"/>
          <w:spacing w:val="-19"/>
          <w:w w:val="105"/>
        </w:rPr>
        <w:t> </w:t>
      </w:r>
      <w:r>
        <w:rPr>
          <w:color w:val="231F20"/>
          <w:w w:val="105"/>
        </w:rPr>
        <w:t>ci invita</w:t>
      </w:r>
      <w:r>
        <w:rPr>
          <w:color w:val="231F20"/>
          <w:spacing w:val="-15"/>
          <w:w w:val="105"/>
        </w:rPr>
        <w:t> </w:t>
      </w:r>
      <w:r>
        <w:rPr>
          <w:color w:val="231F20"/>
          <w:w w:val="105"/>
        </w:rPr>
        <w:t>a</w:t>
      </w:r>
      <w:r>
        <w:rPr>
          <w:color w:val="231F20"/>
          <w:spacing w:val="-15"/>
          <w:w w:val="105"/>
        </w:rPr>
        <w:t> </w:t>
      </w:r>
      <w:r>
        <w:rPr>
          <w:color w:val="231F20"/>
          <w:w w:val="105"/>
        </w:rPr>
        <w:t>portare</w:t>
      </w:r>
      <w:r>
        <w:rPr>
          <w:color w:val="231F20"/>
          <w:spacing w:val="-15"/>
          <w:w w:val="105"/>
        </w:rPr>
        <w:t> </w:t>
      </w:r>
      <w:r>
        <w:rPr>
          <w:color w:val="231F20"/>
          <w:w w:val="105"/>
        </w:rPr>
        <w:t>i</w:t>
      </w:r>
      <w:r>
        <w:rPr>
          <w:color w:val="231F20"/>
          <w:spacing w:val="-15"/>
          <w:w w:val="105"/>
        </w:rPr>
        <w:t> </w:t>
      </w:r>
      <w:r>
        <w:rPr>
          <w:color w:val="231F20"/>
          <w:w w:val="105"/>
        </w:rPr>
        <w:t>paradossi</w:t>
      </w:r>
      <w:r>
        <w:rPr>
          <w:color w:val="231F20"/>
          <w:spacing w:val="-15"/>
          <w:w w:val="105"/>
        </w:rPr>
        <w:t> </w:t>
      </w:r>
      <w:r>
        <w:rPr>
          <w:color w:val="231F20"/>
          <w:w w:val="105"/>
        </w:rPr>
        <w:t>al</w:t>
      </w:r>
      <w:r>
        <w:rPr>
          <w:color w:val="231F20"/>
          <w:spacing w:val="-15"/>
          <w:w w:val="105"/>
        </w:rPr>
        <w:t> </w:t>
      </w:r>
      <w:r>
        <w:rPr>
          <w:color w:val="231F20"/>
          <w:w w:val="105"/>
        </w:rPr>
        <w:t>loro</w:t>
      </w:r>
      <w:r>
        <w:rPr>
          <w:color w:val="231F20"/>
          <w:spacing w:val="-15"/>
          <w:w w:val="105"/>
        </w:rPr>
        <w:t> </w:t>
      </w:r>
      <w:r>
        <w:rPr>
          <w:color w:val="231F20"/>
          <w:w w:val="105"/>
        </w:rPr>
        <w:t>limite,</w:t>
      </w:r>
      <w:r>
        <w:rPr>
          <w:color w:val="231F20"/>
          <w:spacing w:val="-15"/>
          <w:w w:val="105"/>
        </w:rPr>
        <w:t> </w:t>
      </w:r>
      <w:r>
        <w:rPr>
          <w:color w:val="231F20"/>
          <w:w w:val="105"/>
        </w:rPr>
        <w:t>a</w:t>
      </w:r>
      <w:r>
        <w:rPr>
          <w:color w:val="231F20"/>
          <w:spacing w:val="-15"/>
          <w:w w:val="105"/>
        </w:rPr>
        <w:t> </w:t>
      </w:r>
      <w:r>
        <w:rPr>
          <w:color w:val="231F20"/>
          <w:w w:val="105"/>
        </w:rPr>
        <w:t>non</w:t>
      </w:r>
      <w:r>
        <w:rPr>
          <w:color w:val="231F20"/>
          <w:spacing w:val="-15"/>
          <w:w w:val="105"/>
        </w:rPr>
        <w:t> </w:t>
      </w:r>
      <w:r>
        <w:rPr>
          <w:color w:val="231F20"/>
          <w:w w:val="105"/>
        </w:rPr>
        <w:t>cercare</w:t>
      </w:r>
      <w:r>
        <w:rPr>
          <w:color w:val="231F20"/>
          <w:spacing w:val="-15"/>
          <w:w w:val="105"/>
        </w:rPr>
        <w:t> </w:t>
      </w:r>
      <w:r>
        <w:rPr>
          <w:color w:val="231F20"/>
          <w:w w:val="105"/>
        </w:rPr>
        <w:t>di</w:t>
      </w:r>
      <w:r>
        <w:rPr>
          <w:color w:val="231F20"/>
          <w:spacing w:val="-15"/>
          <w:w w:val="105"/>
        </w:rPr>
        <w:t> </w:t>
      </w:r>
      <w:r>
        <w:rPr>
          <w:color w:val="231F20"/>
          <w:w w:val="105"/>
        </w:rPr>
        <w:t>ibridarli</w:t>
      </w:r>
      <w:r>
        <w:rPr>
          <w:color w:val="231F20"/>
          <w:spacing w:val="-15"/>
          <w:w w:val="105"/>
        </w:rPr>
        <w:t> </w:t>
      </w:r>
      <w:r>
        <w:rPr>
          <w:color w:val="231F20"/>
          <w:w w:val="105"/>
        </w:rPr>
        <w:t>oppure omogeneizzarli,</w:t>
      </w:r>
      <w:r>
        <w:rPr>
          <w:color w:val="231F20"/>
          <w:spacing w:val="-37"/>
          <w:w w:val="105"/>
        </w:rPr>
        <w:t> </w:t>
      </w:r>
      <w:r>
        <w:rPr>
          <w:color w:val="231F20"/>
          <w:w w:val="105"/>
        </w:rPr>
        <w:t>ma</w:t>
      </w:r>
      <w:r>
        <w:rPr>
          <w:color w:val="231F20"/>
          <w:spacing w:val="-37"/>
          <w:w w:val="105"/>
        </w:rPr>
        <w:t> </w:t>
      </w:r>
      <w:r>
        <w:rPr>
          <w:color w:val="231F20"/>
          <w:w w:val="105"/>
        </w:rPr>
        <w:t>a</w:t>
      </w:r>
      <w:r>
        <w:rPr>
          <w:color w:val="231F20"/>
          <w:spacing w:val="-37"/>
          <w:w w:val="105"/>
        </w:rPr>
        <w:t> </w:t>
      </w:r>
      <w:r>
        <w:rPr>
          <w:color w:val="231F20"/>
          <w:w w:val="105"/>
        </w:rPr>
        <w:t>raffermare</w:t>
      </w:r>
      <w:r>
        <w:rPr>
          <w:color w:val="231F20"/>
          <w:spacing w:val="-37"/>
          <w:w w:val="105"/>
        </w:rPr>
        <w:t> </w:t>
      </w:r>
      <w:r>
        <w:rPr>
          <w:color w:val="231F20"/>
          <w:w w:val="105"/>
        </w:rPr>
        <w:t>il</w:t>
      </w:r>
      <w:r>
        <w:rPr>
          <w:color w:val="231F20"/>
          <w:spacing w:val="-37"/>
          <w:w w:val="105"/>
        </w:rPr>
        <w:t> </w:t>
      </w:r>
      <w:r>
        <w:rPr>
          <w:color w:val="231F20"/>
          <w:w w:val="105"/>
        </w:rPr>
        <w:t>loro</w:t>
      </w:r>
      <w:r>
        <w:rPr>
          <w:color w:val="231F20"/>
          <w:spacing w:val="-37"/>
          <w:w w:val="105"/>
        </w:rPr>
        <w:t> </w:t>
      </w:r>
      <w:r>
        <w:rPr>
          <w:color w:val="231F20"/>
          <w:w w:val="105"/>
        </w:rPr>
        <w:t>carattere</w:t>
      </w:r>
      <w:r>
        <w:rPr>
          <w:color w:val="231F20"/>
          <w:spacing w:val="-37"/>
          <w:w w:val="105"/>
        </w:rPr>
        <w:t> </w:t>
      </w:r>
      <w:r>
        <w:rPr>
          <w:color w:val="231F20"/>
          <w:w w:val="105"/>
        </w:rPr>
        <w:t>indecidibile.</w:t>
      </w:r>
      <w:r>
        <w:rPr>
          <w:color w:val="231F20"/>
          <w:spacing w:val="-37"/>
          <w:w w:val="105"/>
        </w:rPr>
        <w:t> </w:t>
      </w:r>
      <w:r>
        <w:rPr>
          <w:color w:val="231F20"/>
          <w:w w:val="105"/>
        </w:rPr>
        <w:t>La</w:t>
      </w:r>
      <w:r>
        <w:rPr>
          <w:color w:val="231F20"/>
          <w:spacing w:val="-37"/>
          <w:w w:val="105"/>
        </w:rPr>
        <w:t> </w:t>
      </w:r>
      <w:r>
        <w:rPr>
          <w:color w:val="231F20"/>
          <w:w w:val="105"/>
        </w:rPr>
        <w:t>differenza radicale</w:t>
      </w:r>
      <w:r>
        <w:rPr>
          <w:color w:val="231F20"/>
          <w:spacing w:val="-37"/>
          <w:w w:val="105"/>
        </w:rPr>
        <w:t> </w:t>
      </w:r>
      <w:r>
        <w:rPr>
          <w:color w:val="231F20"/>
          <w:w w:val="105"/>
        </w:rPr>
        <w:t>non</w:t>
      </w:r>
      <w:r>
        <w:rPr>
          <w:color w:val="231F20"/>
          <w:spacing w:val="-37"/>
          <w:w w:val="105"/>
        </w:rPr>
        <w:t> </w:t>
      </w:r>
      <w:r>
        <w:rPr>
          <w:color w:val="231F20"/>
          <w:w w:val="105"/>
        </w:rPr>
        <w:t>nascerebbe</w:t>
      </w:r>
      <w:r>
        <w:rPr>
          <w:color w:val="231F20"/>
          <w:spacing w:val="-37"/>
          <w:w w:val="105"/>
        </w:rPr>
        <w:t> </w:t>
      </w:r>
      <w:r>
        <w:rPr>
          <w:color w:val="231F20"/>
          <w:w w:val="105"/>
        </w:rPr>
        <w:t>dentro</w:t>
      </w:r>
      <w:r>
        <w:rPr>
          <w:color w:val="231F20"/>
          <w:spacing w:val="-37"/>
          <w:w w:val="105"/>
        </w:rPr>
        <w:t> </w:t>
      </w:r>
      <w:r>
        <w:rPr>
          <w:color w:val="231F20"/>
          <w:w w:val="105"/>
        </w:rPr>
        <w:t>del</w:t>
      </w:r>
      <w:r>
        <w:rPr>
          <w:color w:val="231F20"/>
          <w:spacing w:val="-37"/>
          <w:w w:val="105"/>
        </w:rPr>
        <w:t> </w:t>
      </w:r>
      <w:r>
        <w:rPr>
          <w:color w:val="231F20"/>
          <w:w w:val="105"/>
        </w:rPr>
        <w:t>locale</w:t>
      </w:r>
      <w:r>
        <w:rPr>
          <w:color w:val="231F20"/>
          <w:spacing w:val="-37"/>
          <w:w w:val="105"/>
        </w:rPr>
        <w:t> </w:t>
      </w:r>
      <w:r>
        <w:rPr>
          <w:color w:val="231F20"/>
          <w:w w:val="105"/>
        </w:rPr>
        <w:t>neanche</w:t>
      </w:r>
      <w:r>
        <w:rPr>
          <w:color w:val="231F20"/>
          <w:spacing w:val="-37"/>
          <w:w w:val="105"/>
        </w:rPr>
        <w:t> </w:t>
      </w:r>
      <w:r>
        <w:rPr>
          <w:color w:val="231F20"/>
          <w:w w:val="105"/>
        </w:rPr>
        <w:t>nel</w:t>
      </w:r>
      <w:r>
        <w:rPr>
          <w:color w:val="231F20"/>
          <w:spacing w:val="-37"/>
          <w:w w:val="105"/>
        </w:rPr>
        <w:t> </w:t>
      </w:r>
      <w:r>
        <w:rPr>
          <w:color w:val="231F20"/>
          <w:w w:val="105"/>
        </w:rPr>
        <w:t>globale,</w:t>
      </w:r>
      <w:r>
        <w:rPr>
          <w:color w:val="231F20"/>
          <w:spacing w:val="-37"/>
          <w:w w:val="105"/>
        </w:rPr>
        <w:t> </w:t>
      </w:r>
      <w:r>
        <w:rPr>
          <w:color w:val="231F20"/>
          <w:w w:val="105"/>
        </w:rPr>
        <w:t>tantomeno in</w:t>
      </w:r>
      <w:r>
        <w:rPr>
          <w:color w:val="231F20"/>
          <w:spacing w:val="-32"/>
          <w:w w:val="105"/>
        </w:rPr>
        <w:t> </w:t>
      </w:r>
      <w:r>
        <w:rPr>
          <w:color w:val="231F20"/>
          <w:w w:val="105"/>
        </w:rPr>
        <w:t>un</w:t>
      </w:r>
      <w:r>
        <w:rPr>
          <w:color w:val="231F20"/>
          <w:spacing w:val="-32"/>
          <w:w w:val="105"/>
        </w:rPr>
        <w:t> </w:t>
      </w:r>
      <w:r>
        <w:rPr>
          <w:color w:val="231F20"/>
          <w:w w:val="105"/>
        </w:rPr>
        <w:t>ibrido</w:t>
      </w:r>
      <w:r>
        <w:rPr>
          <w:color w:val="231F20"/>
          <w:spacing w:val="-32"/>
          <w:w w:val="105"/>
        </w:rPr>
        <w:t> </w:t>
      </w:r>
      <w:r>
        <w:rPr>
          <w:color w:val="231F20"/>
          <w:w w:val="105"/>
        </w:rPr>
        <w:t>di</w:t>
      </w:r>
      <w:r>
        <w:rPr>
          <w:color w:val="231F20"/>
          <w:spacing w:val="-32"/>
          <w:w w:val="105"/>
        </w:rPr>
        <w:t> </w:t>
      </w:r>
      <w:r>
        <w:rPr>
          <w:color w:val="231F20"/>
          <w:w w:val="105"/>
        </w:rPr>
        <w:t>entrambi,</w:t>
      </w:r>
      <w:r>
        <w:rPr>
          <w:color w:val="231F20"/>
          <w:spacing w:val="-32"/>
          <w:w w:val="105"/>
        </w:rPr>
        <w:t> </w:t>
      </w:r>
      <w:r>
        <w:rPr>
          <w:color w:val="231F20"/>
          <w:w w:val="105"/>
        </w:rPr>
        <w:t>ma</w:t>
      </w:r>
      <w:r>
        <w:rPr>
          <w:color w:val="231F20"/>
          <w:spacing w:val="-32"/>
          <w:w w:val="105"/>
        </w:rPr>
        <w:t> </w:t>
      </w:r>
      <w:r>
        <w:rPr>
          <w:rFonts w:ascii="Arial" w:hAnsi="Arial"/>
          <w:i/>
          <w:color w:val="231F20"/>
          <w:w w:val="105"/>
        </w:rPr>
        <w:t>tra</w:t>
      </w:r>
      <w:r>
        <w:rPr>
          <w:rFonts w:ascii="Arial" w:hAnsi="Arial"/>
          <w:i/>
          <w:color w:val="231F20"/>
          <w:spacing w:val="-25"/>
          <w:w w:val="105"/>
        </w:rPr>
        <w:t> </w:t>
      </w:r>
      <w:r>
        <w:rPr>
          <w:color w:val="231F20"/>
          <w:w w:val="105"/>
        </w:rPr>
        <w:t>tutti</w:t>
      </w:r>
      <w:r>
        <w:rPr>
          <w:color w:val="231F20"/>
          <w:spacing w:val="-32"/>
          <w:w w:val="105"/>
        </w:rPr>
        <w:t> </w:t>
      </w:r>
      <w:r>
        <w:rPr>
          <w:color w:val="231F20"/>
          <w:w w:val="105"/>
        </w:rPr>
        <w:t>e</w:t>
      </w:r>
      <w:r>
        <w:rPr>
          <w:color w:val="231F20"/>
          <w:spacing w:val="-32"/>
          <w:w w:val="105"/>
        </w:rPr>
        <w:t> </w:t>
      </w:r>
      <w:r>
        <w:rPr>
          <w:color w:val="231F20"/>
          <w:w w:val="105"/>
        </w:rPr>
        <w:t>due,</w:t>
      </w:r>
      <w:r>
        <w:rPr>
          <w:color w:val="231F20"/>
          <w:spacing w:val="-32"/>
          <w:w w:val="105"/>
        </w:rPr>
        <w:t> </w:t>
      </w:r>
      <w:r>
        <w:rPr>
          <w:color w:val="231F20"/>
          <w:w w:val="105"/>
        </w:rPr>
        <w:t>in</w:t>
      </w:r>
      <w:r>
        <w:rPr>
          <w:color w:val="231F20"/>
          <w:spacing w:val="-32"/>
          <w:w w:val="105"/>
        </w:rPr>
        <w:t> </w:t>
      </w:r>
      <w:r>
        <w:rPr>
          <w:color w:val="231F20"/>
          <w:w w:val="105"/>
        </w:rPr>
        <w:t>una</w:t>
      </w:r>
      <w:r>
        <w:rPr>
          <w:color w:val="231F20"/>
          <w:spacing w:val="-32"/>
          <w:w w:val="105"/>
        </w:rPr>
        <w:t> </w:t>
      </w:r>
      <w:r>
        <w:rPr>
          <w:rFonts w:ascii="Arial" w:hAnsi="Arial"/>
          <w:i/>
          <w:color w:val="231F20"/>
          <w:w w:val="105"/>
        </w:rPr>
        <w:t>zona</w:t>
      </w:r>
      <w:r>
        <w:rPr>
          <w:rFonts w:ascii="Arial" w:hAnsi="Arial"/>
          <w:i/>
          <w:color w:val="231F20"/>
          <w:spacing w:val="-25"/>
          <w:w w:val="105"/>
        </w:rPr>
        <w:t> </w:t>
      </w:r>
      <w:r>
        <w:rPr>
          <w:rFonts w:ascii="Arial" w:hAnsi="Arial"/>
          <w:i/>
          <w:color w:val="231F20"/>
          <w:w w:val="105"/>
        </w:rPr>
        <w:t>di</w:t>
      </w:r>
      <w:r>
        <w:rPr>
          <w:rFonts w:ascii="Arial" w:hAnsi="Arial"/>
          <w:i/>
          <w:color w:val="231F20"/>
          <w:spacing w:val="-25"/>
          <w:w w:val="105"/>
        </w:rPr>
        <w:t> </w:t>
      </w:r>
      <w:r>
        <w:rPr>
          <w:rFonts w:ascii="Arial" w:hAnsi="Arial"/>
          <w:i/>
          <w:color w:val="231F20"/>
          <w:w w:val="105"/>
        </w:rPr>
        <w:t>indecidibilità</w:t>
      </w:r>
      <w:r>
        <w:rPr>
          <w:rFonts w:ascii="Arial" w:hAnsi="Arial"/>
          <w:i/>
          <w:color w:val="231F20"/>
          <w:spacing w:val="-25"/>
          <w:w w:val="105"/>
        </w:rPr>
        <w:t> </w:t>
      </w:r>
      <w:r>
        <w:rPr>
          <w:color w:val="231F20"/>
          <w:w w:val="105"/>
        </w:rPr>
        <w:t>tra</w:t>
      </w:r>
      <w:r>
        <w:rPr>
          <w:color w:val="231F20"/>
          <w:spacing w:val="-32"/>
          <w:w w:val="105"/>
        </w:rPr>
        <w:t> </w:t>
      </w:r>
      <w:r>
        <w:rPr>
          <w:color w:val="231F20"/>
          <w:w w:val="105"/>
        </w:rPr>
        <w:t>il locale</w:t>
      </w:r>
      <w:r>
        <w:rPr>
          <w:color w:val="231F20"/>
          <w:spacing w:val="-24"/>
          <w:w w:val="105"/>
        </w:rPr>
        <w:t> </w:t>
      </w:r>
      <w:r>
        <w:rPr>
          <w:color w:val="231F20"/>
          <w:w w:val="105"/>
        </w:rPr>
        <w:t>e</w:t>
      </w:r>
      <w:r>
        <w:rPr>
          <w:color w:val="231F20"/>
          <w:spacing w:val="-24"/>
          <w:w w:val="105"/>
        </w:rPr>
        <w:t> </w:t>
      </w:r>
      <w:r>
        <w:rPr>
          <w:color w:val="231F20"/>
          <w:w w:val="105"/>
        </w:rPr>
        <w:t>il</w:t>
      </w:r>
      <w:r>
        <w:rPr>
          <w:color w:val="231F20"/>
          <w:spacing w:val="-24"/>
          <w:w w:val="105"/>
        </w:rPr>
        <w:t> </w:t>
      </w:r>
      <w:r>
        <w:rPr>
          <w:color w:val="231F20"/>
          <w:w w:val="105"/>
        </w:rPr>
        <w:t>globale:</w:t>
      </w:r>
      <w:r>
        <w:rPr>
          <w:color w:val="231F20"/>
          <w:spacing w:val="-24"/>
          <w:w w:val="105"/>
        </w:rPr>
        <w:t> </w:t>
      </w:r>
      <w:r>
        <w:rPr>
          <w:color w:val="231F20"/>
          <w:w w:val="105"/>
        </w:rPr>
        <w:t>ne</w:t>
      </w:r>
      <w:r>
        <w:rPr>
          <w:color w:val="231F20"/>
          <w:spacing w:val="-24"/>
          <w:w w:val="105"/>
        </w:rPr>
        <w:t> </w:t>
      </w:r>
      <w:r>
        <w:rPr>
          <w:rFonts w:ascii="Arial" w:hAnsi="Arial"/>
          <w:i/>
          <w:color w:val="231F20"/>
          <w:w w:val="105"/>
        </w:rPr>
        <w:t>propriamente</w:t>
      </w:r>
      <w:r>
        <w:rPr>
          <w:rFonts w:ascii="Arial" w:hAnsi="Arial"/>
          <w:i/>
          <w:color w:val="231F20"/>
          <w:spacing w:val="-16"/>
          <w:w w:val="105"/>
        </w:rPr>
        <w:t> </w:t>
      </w:r>
      <w:r>
        <w:rPr>
          <w:color w:val="231F20"/>
          <w:w w:val="105"/>
        </w:rPr>
        <w:t>globali</w:t>
      </w:r>
      <w:r>
        <w:rPr>
          <w:color w:val="231F20"/>
          <w:spacing w:val="-24"/>
          <w:w w:val="105"/>
        </w:rPr>
        <w:t> </w:t>
      </w:r>
      <w:r>
        <w:rPr>
          <w:color w:val="231F20"/>
          <w:w w:val="105"/>
        </w:rPr>
        <w:t>ne</w:t>
      </w:r>
      <w:r>
        <w:rPr>
          <w:color w:val="231F20"/>
          <w:spacing w:val="-24"/>
          <w:w w:val="105"/>
        </w:rPr>
        <w:t> </w:t>
      </w:r>
      <w:r>
        <w:rPr>
          <w:rFonts w:ascii="Arial" w:hAnsi="Arial"/>
          <w:i/>
          <w:color w:val="231F20"/>
          <w:w w:val="105"/>
        </w:rPr>
        <w:t>propriamente</w:t>
      </w:r>
      <w:r>
        <w:rPr>
          <w:rFonts w:ascii="Arial" w:hAnsi="Arial"/>
          <w:i/>
          <w:color w:val="231F20"/>
          <w:spacing w:val="-16"/>
          <w:w w:val="105"/>
        </w:rPr>
        <w:t> </w:t>
      </w:r>
      <w:r>
        <w:rPr>
          <w:color w:val="231F20"/>
          <w:w w:val="105"/>
        </w:rPr>
        <w:t>locali.</w:t>
      </w:r>
    </w:p>
    <w:p>
      <w:pPr>
        <w:pStyle w:val="BodyText"/>
        <w:spacing w:line="247" w:lineRule="auto"/>
        <w:ind w:left="117" w:right="122" w:firstLine="566"/>
        <w:jc w:val="both"/>
      </w:pPr>
      <w:r>
        <w:rPr>
          <w:color w:val="231F20"/>
        </w:rPr>
        <w:t>Pierangelo Schiera, nel suo “Lo Stato moderno, al giorno d’oggi e    di domani”, riflette sullo Stato nella sua situazione attuale e il suo possibile </w:t>
      </w:r>
      <w:r>
        <w:rPr>
          <w:color w:val="231F20"/>
          <w:spacing w:val="-3"/>
        </w:rPr>
        <w:t>futuro.</w:t>
      </w:r>
      <w:r>
        <w:rPr>
          <w:color w:val="231F20"/>
          <w:spacing w:val="-19"/>
        </w:rPr>
        <w:t> </w:t>
      </w:r>
      <w:r>
        <w:rPr>
          <w:color w:val="231F20"/>
          <w:spacing w:val="-4"/>
        </w:rPr>
        <w:t>L’intenzione</w:t>
      </w:r>
      <w:r>
        <w:rPr>
          <w:color w:val="231F20"/>
          <w:spacing w:val="-19"/>
        </w:rPr>
        <w:t> </w:t>
      </w:r>
      <w:r>
        <w:rPr>
          <w:color w:val="231F20"/>
        </w:rPr>
        <w:t>dell’autore</w:t>
      </w:r>
      <w:r>
        <w:rPr>
          <w:color w:val="231F20"/>
          <w:spacing w:val="-19"/>
        </w:rPr>
        <w:t> </w:t>
      </w:r>
      <w:r>
        <w:rPr>
          <w:color w:val="231F20"/>
        </w:rPr>
        <w:t>non</w:t>
      </w:r>
      <w:r>
        <w:rPr>
          <w:color w:val="231F20"/>
          <w:spacing w:val="-17"/>
        </w:rPr>
        <w:t> </w:t>
      </w:r>
      <w:r>
        <w:rPr>
          <w:color w:val="231F20"/>
        </w:rPr>
        <w:t>è</w:t>
      </w:r>
      <w:r>
        <w:rPr>
          <w:color w:val="231F20"/>
          <w:spacing w:val="-18"/>
        </w:rPr>
        <w:t> </w:t>
      </w:r>
      <w:r>
        <w:rPr>
          <w:color w:val="231F20"/>
        </w:rPr>
        <w:t>stabilire</w:t>
      </w:r>
      <w:r>
        <w:rPr>
          <w:color w:val="231F20"/>
          <w:spacing w:val="-19"/>
        </w:rPr>
        <w:t> </w:t>
      </w:r>
      <w:r>
        <w:rPr>
          <w:color w:val="231F20"/>
        </w:rPr>
        <w:t>cosa</w:t>
      </w:r>
      <w:r>
        <w:rPr>
          <w:color w:val="231F20"/>
          <w:spacing w:val="-19"/>
        </w:rPr>
        <w:t> </w:t>
      </w:r>
      <w:r>
        <w:rPr>
          <w:color w:val="231F20"/>
        </w:rPr>
        <w:t>deve</w:t>
      </w:r>
      <w:r>
        <w:rPr>
          <w:color w:val="231F20"/>
          <w:spacing w:val="-19"/>
        </w:rPr>
        <w:t> </w:t>
      </w:r>
      <w:r>
        <w:rPr>
          <w:color w:val="231F20"/>
        </w:rPr>
        <w:t>farsi</w:t>
      </w:r>
      <w:r>
        <w:rPr>
          <w:color w:val="231F20"/>
          <w:spacing w:val="-19"/>
        </w:rPr>
        <w:t> </w:t>
      </w:r>
      <w:r>
        <w:rPr>
          <w:color w:val="231F20"/>
        </w:rPr>
        <w:t>o</w:t>
      </w:r>
      <w:r>
        <w:rPr>
          <w:color w:val="231F20"/>
          <w:spacing w:val="-19"/>
        </w:rPr>
        <w:t> </w:t>
      </w:r>
      <w:r>
        <w:rPr>
          <w:color w:val="231F20"/>
        </w:rPr>
        <w:t>no,</w:t>
      </w:r>
      <w:r>
        <w:rPr>
          <w:color w:val="231F20"/>
          <w:spacing w:val="-19"/>
        </w:rPr>
        <w:t> </w:t>
      </w:r>
      <w:r>
        <w:rPr>
          <w:color w:val="231F20"/>
        </w:rPr>
        <w:t>ma</w:t>
      </w:r>
      <w:r>
        <w:rPr>
          <w:color w:val="231F20"/>
          <w:spacing w:val="-19"/>
        </w:rPr>
        <w:t> </w:t>
      </w:r>
      <w:r>
        <w:rPr>
          <w:color w:val="231F20"/>
          <w:spacing w:val="-3"/>
        </w:rPr>
        <w:t>capire </w:t>
      </w:r>
      <w:r>
        <w:rPr>
          <w:color w:val="231F20"/>
        </w:rPr>
        <w:t>cos’è</w:t>
      </w:r>
      <w:r>
        <w:rPr>
          <w:color w:val="231F20"/>
          <w:spacing w:val="-13"/>
        </w:rPr>
        <w:t> </w:t>
      </w:r>
      <w:r>
        <w:rPr>
          <w:color w:val="231F20"/>
        </w:rPr>
        <w:t>probabile</w:t>
      </w:r>
      <w:r>
        <w:rPr>
          <w:color w:val="231F20"/>
          <w:spacing w:val="-13"/>
        </w:rPr>
        <w:t> </w:t>
      </w:r>
      <w:r>
        <w:rPr>
          <w:color w:val="231F20"/>
        </w:rPr>
        <w:t>che</w:t>
      </w:r>
      <w:r>
        <w:rPr>
          <w:color w:val="231F20"/>
          <w:spacing w:val="-13"/>
        </w:rPr>
        <w:t> </w:t>
      </w:r>
      <w:r>
        <w:rPr>
          <w:color w:val="231F20"/>
        </w:rPr>
        <w:t>accada</w:t>
      </w:r>
      <w:r>
        <w:rPr>
          <w:color w:val="231F20"/>
          <w:spacing w:val="-13"/>
        </w:rPr>
        <w:t> </w:t>
      </w:r>
      <w:r>
        <w:rPr>
          <w:color w:val="231F20"/>
        </w:rPr>
        <w:t>alla</w:t>
      </w:r>
      <w:r>
        <w:rPr>
          <w:color w:val="231F20"/>
          <w:spacing w:val="-13"/>
        </w:rPr>
        <w:t> </w:t>
      </w:r>
      <w:r>
        <w:rPr>
          <w:color w:val="231F20"/>
        </w:rPr>
        <w:t>luce</w:t>
      </w:r>
      <w:r>
        <w:rPr>
          <w:color w:val="231F20"/>
          <w:spacing w:val="-13"/>
        </w:rPr>
        <w:t> </w:t>
      </w:r>
      <w:r>
        <w:rPr>
          <w:color w:val="231F20"/>
        </w:rPr>
        <w:t>dei</w:t>
      </w:r>
      <w:r>
        <w:rPr>
          <w:color w:val="231F20"/>
          <w:spacing w:val="-13"/>
        </w:rPr>
        <w:t> </w:t>
      </w:r>
      <w:r>
        <w:rPr>
          <w:color w:val="231F20"/>
        </w:rPr>
        <w:t>fatti</w:t>
      </w:r>
      <w:r>
        <w:rPr>
          <w:color w:val="231F20"/>
          <w:spacing w:val="-13"/>
        </w:rPr>
        <w:t> </w:t>
      </w:r>
      <w:r>
        <w:rPr>
          <w:color w:val="231F20"/>
        </w:rPr>
        <w:t>attuali.</w:t>
      </w:r>
      <w:r>
        <w:rPr>
          <w:color w:val="231F20"/>
          <w:spacing w:val="-13"/>
        </w:rPr>
        <w:t> </w:t>
      </w:r>
      <w:r>
        <w:rPr>
          <w:color w:val="231F20"/>
        </w:rPr>
        <w:t>Per</w:t>
      </w:r>
      <w:r>
        <w:rPr>
          <w:color w:val="231F20"/>
          <w:spacing w:val="-13"/>
        </w:rPr>
        <w:t> </w:t>
      </w:r>
      <w:r>
        <w:rPr>
          <w:color w:val="231F20"/>
        </w:rPr>
        <w:t>questo,</w:t>
      </w:r>
      <w:r>
        <w:rPr>
          <w:color w:val="231F20"/>
          <w:spacing w:val="-18"/>
        </w:rPr>
        <w:t> </w:t>
      </w:r>
      <w:r>
        <w:rPr>
          <w:color w:val="231F20"/>
        </w:rPr>
        <w:t>è</w:t>
      </w:r>
      <w:r>
        <w:rPr>
          <w:color w:val="231F20"/>
          <w:spacing w:val="-13"/>
        </w:rPr>
        <w:t> </w:t>
      </w:r>
      <w:r>
        <w:rPr>
          <w:color w:val="231F20"/>
        </w:rPr>
        <w:t>imperioso problematizzare</w:t>
      </w:r>
      <w:r>
        <w:rPr>
          <w:color w:val="231F20"/>
          <w:spacing w:val="-12"/>
        </w:rPr>
        <w:t> </w:t>
      </w:r>
      <w:r>
        <w:rPr>
          <w:color w:val="231F20"/>
        </w:rPr>
        <w:t>la</w:t>
      </w:r>
      <w:r>
        <w:rPr>
          <w:color w:val="231F20"/>
          <w:spacing w:val="-12"/>
        </w:rPr>
        <w:t> </w:t>
      </w:r>
      <w:r>
        <w:rPr>
          <w:color w:val="231F20"/>
        </w:rPr>
        <w:t>relazione</w:t>
      </w:r>
      <w:r>
        <w:rPr>
          <w:color w:val="231F20"/>
          <w:spacing w:val="-12"/>
        </w:rPr>
        <w:t> </w:t>
      </w:r>
      <w:r>
        <w:rPr>
          <w:color w:val="231F20"/>
        </w:rPr>
        <w:t>tra</w:t>
      </w:r>
      <w:r>
        <w:rPr>
          <w:color w:val="231F20"/>
          <w:spacing w:val="-12"/>
        </w:rPr>
        <w:t> </w:t>
      </w:r>
      <w:r>
        <w:rPr>
          <w:color w:val="231F20"/>
        </w:rPr>
        <w:t>Diritto</w:t>
      </w:r>
      <w:r>
        <w:rPr>
          <w:color w:val="231F20"/>
          <w:spacing w:val="-12"/>
        </w:rPr>
        <w:t> </w:t>
      </w:r>
      <w:r>
        <w:rPr>
          <w:color w:val="231F20"/>
        </w:rPr>
        <w:t>e</w:t>
      </w:r>
      <w:r>
        <w:rPr>
          <w:color w:val="231F20"/>
          <w:spacing w:val="-12"/>
        </w:rPr>
        <w:t> </w:t>
      </w:r>
      <w:r>
        <w:rPr>
          <w:color w:val="231F20"/>
        </w:rPr>
        <w:t>Stato</w:t>
      </w:r>
      <w:r>
        <w:rPr>
          <w:color w:val="231F20"/>
          <w:spacing w:val="-12"/>
        </w:rPr>
        <w:t> </w:t>
      </w:r>
      <w:r>
        <w:rPr>
          <w:color w:val="231F20"/>
        </w:rPr>
        <w:t>e</w:t>
      </w:r>
      <w:r>
        <w:rPr>
          <w:color w:val="231F20"/>
          <w:spacing w:val="-12"/>
        </w:rPr>
        <w:t> </w:t>
      </w:r>
      <w:r>
        <w:rPr>
          <w:color w:val="231F20"/>
        </w:rPr>
        <w:t>chiederci</w:t>
      </w:r>
      <w:r>
        <w:rPr>
          <w:color w:val="231F20"/>
          <w:spacing w:val="-12"/>
        </w:rPr>
        <w:t> </w:t>
      </w:r>
      <w:r>
        <w:rPr>
          <w:color w:val="231F20"/>
        </w:rPr>
        <w:t>se</w:t>
      </w:r>
      <w:r>
        <w:rPr>
          <w:color w:val="231F20"/>
          <w:spacing w:val="-12"/>
        </w:rPr>
        <w:t> </w:t>
      </w:r>
      <w:r>
        <w:rPr>
          <w:color w:val="231F20"/>
        </w:rPr>
        <w:t>tra</w:t>
      </w:r>
      <w:r>
        <w:rPr>
          <w:color w:val="231F20"/>
          <w:spacing w:val="-12"/>
        </w:rPr>
        <w:t> </w:t>
      </w:r>
      <w:r>
        <w:rPr>
          <w:color w:val="231F20"/>
        </w:rPr>
        <w:t>i</w:t>
      </w:r>
      <w:r>
        <w:rPr>
          <w:color w:val="231F20"/>
          <w:spacing w:val="-12"/>
        </w:rPr>
        <w:t> </w:t>
      </w:r>
      <w:r>
        <w:rPr>
          <w:color w:val="231F20"/>
        </w:rPr>
        <w:t>due</w:t>
      </w:r>
      <w:r>
        <w:rPr>
          <w:color w:val="231F20"/>
          <w:spacing w:val="-12"/>
        </w:rPr>
        <w:t> </w:t>
      </w:r>
      <w:r>
        <w:rPr>
          <w:color w:val="231F20"/>
        </w:rPr>
        <w:t>c’è</w:t>
      </w:r>
      <w:r>
        <w:rPr>
          <w:color w:val="231F20"/>
          <w:spacing w:val="-12"/>
        </w:rPr>
        <w:t> </w:t>
      </w:r>
      <w:r>
        <w:rPr>
          <w:color w:val="231F20"/>
        </w:rPr>
        <w:t>un rapporto intrinseco o necessario. La storia ha dimostrato che la vita</w:t>
      </w:r>
      <w:r>
        <w:rPr>
          <w:color w:val="231F20"/>
          <w:spacing w:val="-19"/>
        </w:rPr>
        <w:t> </w:t>
      </w:r>
      <w:r>
        <w:rPr>
          <w:color w:val="231F20"/>
        </w:rPr>
        <w:t>sociale e i vincoli umani non si risolvono necessariamente in relazioni contrattuali e legali. Pensare al futuro dovrebbe essere un invito a riflettere su altre forme</w:t>
      </w:r>
      <w:r>
        <w:rPr>
          <w:color w:val="231F20"/>
          <w:spacing w:val="28"/>
        </w:rPr>
        <w:t> </w:t>
      </w:r>
      <w:r>
        <w:rPr>
          <w:color w:val="231F20"/>
        </w:rPr>
        <w:t>di</w:t>
      </w:r>
      <w:r>
        <w:rPr>
          <w:color w:val="231F20"/>
          <w:spacing w:val="28"/>
        </w:rPr>
        <w:t> </w:t>
      </w:r>
      <w:r>
        <w:rPr>
          <w:color w:val="231F20"/>
        </w:rPr>
        <w:t>relazione</w:t>
      </w:r>
      <w:r>
        <w:rPr>
          <w:color w:val="231F20"/>
          <w:spacing w:val="28"/>
        </w:rPr>
        <w:t> </w:t>
      </w:r>
      <w:r>
        <w:rPr>
          <w:color w:val="231F20"/>
        </w:rPr>
        <w:t>marcate</w:t>
      </w:r>
      <w:r>
        <w:rPr>
          <w:color w:val="231F20"/>
          <w:spacing w:val="28"/>
        </w:rPr>
        <w:t> </w:t>
      </w:r>
      <w:r>
        <w:rPr>
          <w:color w:val="231F20"/>
        </w:rPr>
        <w:t>forse</w:t>
      </w:r>
      <w:r>
        <w:rPr>
          <w:color w:val="231F20"/>
          <w:spacing w:val="28"/>
        </w:rPr>
        <w:t> </w:t>
      </w:r>
      <w:r>
        <w:rPr>
          <w:color w:val="231F20"/>
        </w:rPr>
        <w:t>dalla</w:t>
      </w:r>
      <w:r>
        <w:rPr>
          <w:color w:val="231F20"/>
          <w:spacing w:val="26"/>
        </w:rPr>
        <w:t> </w:t>
      </w:r>
      <w:r>
        <w:rPr>
          <w:rFonts w:ascii="Arial" w:hAnsi="Arial"/>
          <w:i/>
          <w:color w:val="231F20"/>
        </w:rPr>
        <w:t>filia</w:t>
      </w:r>
      <w:r>
        <w:rPr>
          <w:color w:val="231F20"/>
        </w:rPr>
        <w:t>,</w:t>
      </w:r>
      <w:r>
        <w:rPr>
          <w:color w:val="231F20"/>
          <w:spacing w:val="28"/>
        </w:rPr>
        <w:t> </w:t>
      </w:r>
      <w:r>
        <w:rPr>
          <w:color w:val="231F20"/>
        </w:rPr>
        <w:t>dal</w:t>
      </w:r>
      <w:r>
        <w:rPr>
          <w:color w:val="231F20"/>
          <w:spacing w:val="28"/>
        </w:rPr>
        <w:t> </w:t>
      </w:r>
      <w:r>
        <w:rPr>
          <w:color w:val="231F20"/>
        </w:rPr>
        <w:t>recupero</w:t>
      </w:r>
      <w:r>
        <w:rPr>
          <w:color w:val="231F20"/>
          <w:spacing w:val="28"/>
        </w:rPr>
        <w:t> </w:t>
      </w:r>
      <w:r>
        <w:rPr>
          <w:color w:val="231F20"/>
        </w:rPr>
        <w:t>di</w:t>
      </w:r>
      <w:r>
        <w:rPr>
          <w:color w:val="231F20"/>
          <w:spacing w:val="28"/>
        </w:rPr>
        <w:t> </w:t>
      </w:r>
      <w:r>
        <w:rPr>
          <w:color w:val="231F20"/>
        </w:rPr>
        <w:t>un</w:t>
      </w:r>
      <w:r>
        <w:rPr>
          <w:color w:val="231F20"/>
          <w:spacing w:val="28"/>
        </w:rPr>
        <w:t> </w:t>
      </w:r>
      <w:r>
        <w:rPr>
          <w:color w:val="231F20"/>
        </w:rPr>
        <w:t>marco</w:t>
      </w:r>
      <w:r>
        <w:rPr>
          <w:color w:val="231F20"/>
          <w:spacing w:val="28"/>
        </w:rPr>
        <w:t> </w:t>
      </w:r>
      <w:r>
        <w:rPr>
          <w:color w:val="231F20"/>
        </w:rPr>
        <w:t>di</w:t>
      </w:r>
    </w:p>
    <w:p>
      <w:pPr>
        <w:spacing w:after="0" w:line="247" w:lineRule="auto"/>
        <w:jc w:val="both"/>
        <w:sectPr>
          <w:pgSz w:w="9640" w:h="13890"/>
          <w:pgMar w:top="0" w:bottom="280" w:left="1300" w:right="1180"/>
        </w:sectPr>
      </w:pPr>
    </w:p>
    <w:p>
      <w:pPr>
        <w:pStyle w:val="BodyText"/>
        <w:spacing w:line="244" w:lineRule="auto" w:before="107"/>
        <w:ind w:left="103" w:right="114"/>
        <w:jc w:val="both"/>
      </w:pPr>
      <w:r>
        <w:rPr>
          <w:color w:val="231F20"/>
          <w:w w:val="105"/>
        </w:rPr>
        <w:t>amicizia,</w:t>
      </w:r>
      <w:r>
        <w:rPr>
          <w:color w:val="231F20"/>
          <w:spacing w:val="-24"/>
          <w:w w:val="105"/>
        </w:rPr>
        <w:t> </w:t>
      </w:r>
      <w:r>
        <w:rPr>
          <w:color w:val="231F20"/>
          <w:w w:val="105"/>
        </w:rPr>
        <w:t>capita</w:t>
      </w:r>
      <w:r>
        <w:rPr>
          <w:color w:val="231F20"/>
          <w:spacing w:val="-24"/>
          <w:w w:val="105"/>
        </w:rPr>
        <w:t> </w:t>
      </w:r>
      <w:r>
        <w:rPr>
          <w:color w:val="231F20"/>
          <w:w w:val="105"/>
        </w:rPr>
        <w:t>come</w:t>
      </w:r>
      <w:r>
        <w:rPr>
          <w:color w:val="231F20"/>
          <w:spacing w:val="-24"/>
          <w:w w:val="105"/>
        </w:rPr>
        <w:t> </w:t>
      </w:r>
      <w:r>
        <w:rPr>
          <w:color w:val="231F20"/>
          <w:w w:val="105"/>
        </w:rPr>
        <w:t>relazione</w:t>
      </w:r>
      <w:r>
        <w:rPr>
          <w:color w:val="231F20"/>
          <w:spacing w:val="-24"/>
          <w:w w:val="105"/>
        </w:rPr>
        <w:t> </w:t>
      </w:r>
      <w:r>
        <w:rPr>
          <w:color w:val="231F20"/>
          <w:w w:val="105"/>
        </w:rPr>
        <w:t>adeguata</w:t>
      </w:r>
      <w:r>
        <w:rPr>
          <w:color w:val="231F20"/>
          <w:spacing w:val="-24"/>
          <w:w w:val="105"/>
        </w:rPr>
        <w:t> </w:t>
      </w:r>
      <w:r>
        <w:rPr>
          <w:color w:val="231F20"/>
          <w:w w:val="105"/>
        </w:rPr>
        <w:t>(misura)</w:t>
      </w:r>
      <w:r>
        <w:rPr>
          <w:color w:val="231F20"/>
          <w:spacing w:val="-24"/>
          <w:w w:val="105"/>
        </w:rPr>
        <w:t> </w:t>
      </w:r>
      <w:r>
        <w:rPr>
          <w:color w:val="231F20"/>
          <w:w w:val="105"/>
        </w:rPr>
        <w:t>tra</w:t>
      </w:r>
      <w:r>
        <w:rPr>
          <w:color w:val="231F20"/>
          <w:spacing w:val="-24"/>
          <w:w w:val="105"/>
        </w:rPr>
        <w:t> </w:t>
      </w:r>
      <w:r>
        <w:rPr>
          <w:color w:val="231F20"/>
          <w:w w:val="105"/>
        </w:rPr>
        <w:t>inferiori</w:t>
      </w:r>
      <w:r>
        <w:rPr>
          <w:color w:val="231F20"/>
          <w:spacing w:val="-24"/>
          <w:w w:val="105"/>
        </w:rPr>
        <w:t> </w:t>
      </w:r>
      <w:r>
        <w:rPr>
          <w:color w:val="231F20"/>
          <w:w w:val="105"/>
        </w:rPr>
        <w:t>e</w:t>
      </w:r>
      <w:r>
        <w:rPr>
          <w:color w:val="231F20"/>
          <w:spacing w:val="-24"/>
          <w:w w:val="105"/>
        </w:rPr>
        <w:t> </w:t>
      </w:r>
      <w:r>
        <w:rPr>
          <w:color w:val="231F20"/>
          <w:w w:val="105"/>
        </w:rPr>
        <w:t>superiori in</w:t>
      </w:r>
      <w:r>
        <w:rPr>
          <w:color w:val="231F20"/>
          <w:spacing w:val="-28"/>
          <w:w w:val="105"/>
        </w:rPr>
        <w:t> </w:t>
      </w:r>
      <w:r>
        <w:rPr>
          <w:color w:val="231F20"/>
          <w:w w:val="105"/>
        </w:rPr>
        <w:t>un</w:t>
      </w:r>
      <w:r>
        <w:rPr>
          <w:color w:val="231F20"/>
          <w:spacing w:val="-28"/>
          <w:w w:val="105"/>
        </w:rPr>
        <w:t> </w:t>
      </w:r>
      <w:r>
        <w:rPr>
          <w:color w:val="231F20"/>
          <w:w w:val="105"/>
        </w:rPr>
        <w:t>quadro</w:t>
      </w:r>
      <w:r>
        <w:rPr>
          <w:color w:val="231F20"/>
          <w:spacing w:val="-28"/>
          <w:w w:val="105"/>
        </w:rPr>
        <w:t> </w:t>
      </w:r>
      <w:r>
        <w:rPr>
          <w:color w:val="231F20"/>
          <w:w w:val="105"/>
        </w:rPr>
        <w:t>di</w:t>
      </w:r>
      <w:r>
        <w:rPr>
          <w:color w:val="231F20"/>
          <w:spacing w:val="-28"/>
          <w:w w:val="105"/>
        </w:rPr>
        <w:t> </w:t>
      </w:r>
      <w:r>
        <w:rPr>
          <w:color w:val="231F20"/>
          <w:w w:val="105"/>
        </w:rPr>
        <w:t>dignità</w:t>
      </w:r>
      <w:r>
        <w:rPr>
          <w:color w:val="231F20"/>
          <w:spacing w:val="-28"/>
          <w:w w:val="105"/>
        </w:rPr>
        <w:t> </w:t>
      </w:r>
      <w:r>
        <w:rPr>
          <w:color w:val="231F20"/>
          <w:w w:val="105"/>
        </w:rPr>
        <w:t>e</w:t>
      </w:r>
      <w:r>
        <w:rPr>
          <w:color w:val="231F20"/>
          <w:spacing w:val="-28"/>
          <w:w w:val="105"/>
        </w:rPr>
        <w:t> </w:t>
      </w:r>
      <w:r>
        <w:rPr>
          <w:color w:val="231F20"/>
          <w:w w:val="105"/>
        </w:rPr>
        <w:t>libertà,</w:t>
      </w:r>
      <w:r>
        <w:rPr>
          <w:color w:val="231F20"/>
          <w:spacing w:val="-28"/>
          <w:w w:val="105"/>
        </w:rPr>
        <w:t> </w:t>
      </w:r>
      <w:r>
        <w:rPr>
          <w:color w:val="231F20"/>
          <w:w w:val="105"/>
        </w:rPr>
        <w:t>ma</w:t>
      </w:r>
      <w:r>
        <w:rPr>
          <w:color w:val="231F20"/>
          <w:spacing w:val="-28"/>
          <w:w w:val="105"/>
        </w:rPr>
        <w:t> </w:t>
      </w:r>
      <w:r>
        <w:rPr>
          <w:color w:val="231F20"/>
          <w:w w:val="105"/>
        </w:rPr>
        <w:t>soprattutto,</w:t>
      </w:r>
      <w:r>
        <w:rPr>
          <w:color w:val="231F20"/>
          <w:spacing w:val="-28"/>
          <w:w w:val="105"/>
        </w:rPr>
        <w:t> </w:t>
      </w:r>
      <w:r>
        <w:rPr>
          <w:color w:val="231F20"/>
          <w:w w:val="105"/>
        </w:rPr>
        <w:t>in</w:t>
      </w:r>
      <w:r>
        <w:rPr>
          <w:color w:val="231F20"/>
          <w:spacing w:val="-28"/>
          <w:w w:val="105"/>
        </w:rPr>
        <w:t> </w:t>
      </w:r>
      <w:r>
        <w:rPr>
          <w:color w:val="231F20"/>
          <w:w w:val="105"/>
        </w:rPr>
        <w:t>un</w:t>
      </w:r>
      <w:r>
        <w:rPr>
          <w:color w:val="231F20"/>
          <w:spacing w:val="-28"/>
          <w:w w:val="105"/>
        </w:rPr>
        <w:t> </w:t>
      </w:r>
      <w:r>
        <w:rPr>
          <w:color w:val="231F20"/>
          <w:w w:val="105"/>
        </w:rPr>
        <w:t>nuovo</w:t>
      </w:r>
      <w:r>
        <w:rPr>
          <w:color w:val="231F20"/>
          <w:spacing w:val="-28"/>
          <w:w w:val="105"/>
        </w:rPr>
        <w:t> </w:t>
      </w:r>
      <w:r>
        <w:rPr>
          <w:color w:val="231F20"/>
          <w:w w:val="105"/>
        </w:rPr>
        <w:t>paradigma</w:t>
      </w:r>
      <w:r>
        <w:rPr>
          <w:color w:val="231F20"/>
          <w:spacing w:val="-28"/>
          <w:w w:val="105"/>
        </w:rPr>
        <w:t> </w:t>
      </w:r>
      <w:r>
        <w:rPr>
          <w:color w:val="231F20"/>
          <w:w w:val="105"/>
        </w:rPr>
        <w:t>di </w:t>
      </w:r>
      <w:r>
        <w:rPr>
          <w:rFonts w:ascii="Arial" w:hAnsi="Arial"/>
          <w:i/>
          <w:color w:val="231F20"/>
          <w:w w:val="105"/>
        </w:rPr>
        <w:t>comunità.</w:t>
      </w:r>
      <w:r>
        <w:rPr>
          <w:rFonts w:ascii="Arial" w:hAnsi="Arial"/>
          <w:i/>
          <w:color w:val="231F20"/>
          <w:spacing w:val="-24"/>
          <w:w w:val="105"/>
        </w:rPr>
        <w:t> </w:t>
      </w:r>
      <w:r>
        <w:rPr>
          <w:color w:val="231F20"/>
          <w:w w:val="105"/>
        </w:rPr>
        <w:t>L’intenzione</w:t>
      </w:r>
      <w:r>
        <w:rPr>
          <w:color w:val="231F20"/>
          <w:spacing w:val="-31"/>
          <w:w w:val="105"/>
        </w:rPr>
        <w:t> </w:t>
      </w:r>
      <w:r>
        <w:rPr>
          <w:color w:val="231F20"/>
          <w:w w:val="105"/>
        </w:rPr>
        <w:t>finale</w:t>
      </w:r>
      <w:r>
        <w:rPr>
          <w:color w:val="231F20"/>
          <w:spacing w:val="-31"/>
          <w:w w:val="105"/>
        </w:rPr>
        <w:t> </w:t>
      </w:r>
      <w:r>
        <w:rPr>
          <w:color w:val="231F20"/>
          <w:w w:val="105"/>
        </w:rPr>
        <w:t>del</w:t>
      </w:r>
      <w:r>
        <w:rPr>
          <w:color w:val="231F20"/>
          <w:spacing w:val="-31"/>
          <w:w w:val="105"/>
        </w:rPr>
        <w:t> </w:t>
      </w:r>
      <w:r>
        <w:rPr>
          <w:color w:val="231F20"/>
          <w:w w:val="105"/>
        </w:rPr>
        <w:t>saggio</w:t>
      </w:r>
      <w:r>
        <w:rPr>
          <w:color w:val="231F20"/>
          <w:spacing w:val="-31"/>
          <w:w w:val="105"/>
        </w:rPr>
        <w:t> </w:t>
      </w:r>
      <w:r>
        <w:rPr>
          <w:color w:val="231F20"/>
          <w:w w:val="105"/>
        </w:rPr>
        <w:t>è</w:t>
      </w:r>
      <w:r>
        <w:rPr>
          <w:color w:val="231F20"/>
          <w:spacing w:val="-31"/>
          <w:w w:val="105"/>
        </w:rPr>
        <w:t> </w:t>
      </w:r>
      <w:r>
        <w:rPr>
          <w:color w:val="231F20"/>
          <w:w w:val="105"/>
        </w:rPr>
        <w:t>provocarci</w:t>
      </w:r>
      <w:r>
        <w:rPr>
          <w:color w:val="231F20"/>
          <w:spacing w:val="-31"/>
          <w:w w:val="105"/>
        </w:rPr>
        <w:t> </w:t>
      </w:r>
      <w:r>
        <w:rPr>
          <w:color w:val="231F20"/>
          <w:w w:val="105"/>
        </w:rPr>
        <w:t>a</w:t>
      </w:r>
      <w:r>
        <w:rPr>
          <w:color w:val="231F20"/>
          <w:spacing w:val="-31"/>
          <w:w w:val="105"/>
        </w:rPr>
        <w:t> </w:t>
      </w:r>
      <w:r>
        <w:rPr>
          <w:color w:val="231F20"/>
          <w:w w:val="105"/>
        </w:rPr>
        <w:t>riflettere</w:t>
      </w:r>
      <w:r>
        <w:rPr>
          <w:color w:val="231F20"/>
          <w:spacing w:val="-31"/>
          <w:w w:val="105"/>
        </w:rPr>
        <w:t> </w:t>
      </w:r>
      <w:r>
        <w:rPr>
          <w:color w:val="231F20"/>
          <w:w w:val="105"/>
        </w:rPr>
        <w:t>se</w:t>
      </w:r>
      <w:r>
        <w:rPr>
          <w:color w:val="231F20"/>
          <w:spacing w:val="-31"/>
          <w:w w:val="105"/>
        </w:rPr>
        <w:t> </w:t>
      </w:r>
      <w:r>
        <w:rPr>
          <w:color w:val="231F20"/>
          <w:w w:val="105"/>
        </w:rPr>
        <w:t>lo</w:t>
      </w:r>
      <w:r>
        <w:rPr>
          <w:color w:val="231F20"/>
          <w:spacing w:val="-31"/>
          <w:w w:val="105"/>
        </w:rPr>
        <w:t> </w:t>
      </w:r>
      <w:r>
        <w:rPr>
          <w:color w:val="231F20"/>
          <w:w w:val="105"/>
        </w:rPr>
        <w:t>Stato ha</w:t>
      </w:r>
      <w:r>
        <w:rPr>
          <w:color w:val="231F20"/>
          <w:spacing w:val="-32"/>
          <w:w w:val="105"/>
        </w:rPr>
        <w:t> </w:t>
      </w:r>
      <w:r>
        <w:rPr>
          <w:color w:val="231F20"/>
          <w:w w:val="105"/>
        </w:rPr>
        <w:t>un</w:t>
      </w:r>
      <w:r>
        <w:rPr>
          <w:color w:val="231F20"/>
          <w:spacing w:val="-32"/>
          <w:w w:val="105"/>
        </w:rPr>
        <w:t> </w:t>
      </w:r>
      <w:r>
        <w:rPr>
          <w:color w:val="231F20"/>
          <w:w w:val="105"/>
        </w:rPr>
        <w:t>carattere</w:t>
      </w:r>
      <w:r>
        <w:rPr>
          <w:color w:val="231F20"/>
          <w:spacing w:val="-32"/>
          <w:w w:val="105"/>
        </w:rPr>
        <w:t> </w:t>
      </w:r>
      <w:r>
        <w:rPr>
          <w:color w:val="231F20"/>
          <w:w w:val="105"/>
        </w:rPr>
        <w:t>ineluttabile</w:t>
      </w:r>
      <w:r>
        <w:rPr>
          <w:color w:val="231F20"/>
          <w:spacing w:val="-32"/>
          <w:w w:val="105"/>
        </w:rPr>
        <w:t> </w:t>
      </w:r>
      <w:r>
        <w:rPr>
          <w:color w:val="231F20"/>
          <w:w w:val="105"/>
        </w:rPr>
        <w:t>o</w:t>
      </w:r>
      <w:r>
        <w:rPr>
          <w:color w:val="231F20"/>
          <w:spacing w:val="-32"/>
          <w:w w:val="105"/>
        </w:rPr>
        <w:t> </w:t>
      </w:r>
      <w:r>
        <w:rPr>
          <w:color w:val="231F20"/>
          <w:w w:val="105"/>
        </w:rPr>
        <w:t>solo</w:t>
      </w:r>
      <w:r>
        <w:rPr>
          <w:color w:val="231F20"/>
          <w:spacing w:val="-32"/>
          <w:w w:val="105"/>
        </w:rPr>
        <w:t> </w:t>
      </w:r>
      <w:r>
        <w:rPr>
          <w:color w:val="231F20"/>
          <w:w w:val="105"/>
        </w:rPr>
        <w:t>circostanziale.</w:t>
      </w:r>
      <w:r>
        <w:rPr>
          <w:color w:val="231F20"/>
          <w:spacing w:val="-32"/>
          <w:w w:val="105"/>
        </w:rPr>
        <w:t> </w:t>
      </w:r>
      <w:r>
        <w:rPr>
          <w:color w:val="231F20"/>
          <w:w w:val="105"/>
        </w:rPr>
        <w:t>La</w:t>
      </w:r>
      <w:r>
        <w:rPr>
          <w:color w:val="231F20"/>
          <w:spacing w:val="-32"/>
          <w:w w:val="105"/>
        </w:rPr>
        <w:t> </w:t>
      </w:r>
      <w:r>
        <w:rPr>
          <w:color w:val="231F20"/>
          <w:w w:val="105"/>
        </w:rPr>
        <w:t>globalizzazione</w:t>
      </w:r>
      <w:r>
        <w:rPr>
          <w:color w:val="231F20"/>
          <w:spacing w:val="-32"/>
          <w:w w:val="105"/>
        </w:rPr>
        <w:t> </w:t>
      </w:r>
      <w:r>
        <w:rPr>
          <w:color w:val="231F20"/>
          <w:w w:val="105"/>
        </w:rPr>
        <w:t>e</w:t>
      </w:r>
      <w:r>
        <w:rPr>
          <w:color w:val="231F20"/>
          <w:spacing w:val="-32"/>
          <w:w w:val="105"/>
        </w:rPr>
        <w:t> </w:t>
      </w:r>
      <w:r>
        <w:rPr>
          <w:color w:val="231F20"/>
          <w:w w:val="105"/>
        </w:rPr>
        <w:t>tutto quello</w:t>
      </w:r>
      <w:r>
        <w:rPr>
          <w:color w:val="231F20"/>
          <w:spacing w:val="-7"/>
          <w:w w:val="105"/>
        </w:rPr>
        <w:t> </w:t>
      </w:r>
      <w:r>
        <w:rPr>
          <w:color w:val="231F20"/>
          <w:w w:val="105"/>
        </w:rPr>
        <w:t>che</w:t>
      </w:r>
      <w:r>
        <w:rPr>
          <w:color w:val="231F20"/>
          <w:spacing w:val="-7"/>
          <w:w w:val="105"/>
        </w:rPr>
        <w:t> </w:t>
      </w:r>
      <w:r>
        <w:rPr>
          <w:color w:val="231F20"/>
          <w:w w:val="105"/>
        </w:rPr>
        <w:t>essa</w:t>
      </w:r>
      <w:r>
        <w:rPr>
          <w:color w:val="231F20"/>
          <w:spacing w:val="-7"/>
          <w:w w:val="105"/>
        </w:rPr>
        <w:t> </w:t>
      </w:r>
      <w:r>
        <w:rPr>
          <w:color w:val="231F20"/>
          <w:w w:val="105"/>
        </w:rPr>
        <w:t>implica</w:t>
      </w:r>
      <w:r>
        <w:rPr>
          <w:color w:val="231F20"/>
          <w:spacing w:val="-7"/>
          <w:w w:val="105"/>
        </w:rPr>
        <w:t> </w:t>
      </w:r>
      <w:r>
        <w:rPr>
          <w:color w:val="231F20"/>
          <w:w w:val="105"/>
        </w:rPr>
        <w:t>è</w:t>
      </w:r>
      <w:r>
        <w:rPr>
          <w:color w:val="231F20"/>
          <w:spacing w:val="-7"/>
          <w:w w:val="105"/>
        </w:rPr>
        <w:t> </w:t>
      </w:r>
      <w:r>
        <w:rPr>
          <w:color w:val="231F20"/>
          <w:w w:val="105"/>
        </w:rPr>
        <w:t>precisamente</w:t>
      </w:r>
      <w:r>
        <w:rPr>
          <w:color w:val="231F20"/>
          <w:spacing w:val="-7"/>
          <w:w w:val="105"/>
        </w:rPr>
        <w:t> </w:t>
      </w:r>
      <w:r>
        <w:rPr>
          <w:color w:val="231F20"/>
          <w:w w:val="105"/>
        </w:rPr>
        <w:t>ciò</w:t>
      </w:r>
      <w:r>
        <w:rPr>
          <w:color w:val="231F20"/>
          <w:spacing w:val="-7"/>
          <w:w w:val="105"/>
        </w:rPr>
        <w:t> </w:t>
      </w:r>
      <w:r>
        <w:rPr>
          <w:color w:val="231F20"/>
          <w:w w:val="105"/>
        </w:rPr>
        <w:t>che</w:t>
      </w:r>
      <w:r>
        <w:rPr>
          <w:color w:val="231F20"/>
          <w:spacing w:val="-7"/>
          <w:w w:val="105"/>
        </w:rPr>
        <w:t> </w:t>
      </w:r>
      <w:r>
        <w:rPr>
          <w:color w:val="231F20"/>
          <w:w w:val="105"/>
        </w:rPr>
        <w:t>ha</w:t>
      </w:r>
      <w:r>
        <w:rPr>
          <w:color w:val="231F20"/>
          <w:spacing w:val="-7"/>
          <w:w w:val="105"/>
        </w:rPr>
        <w:t> </w:t>
      </w:r>
      <w:r>
        <w:rPr>
          <w:color w:val="231F20"/>
          <w:w w:val="105"/>
        </w:rPr>
        <w:t>messo</w:t>
      </w:r>
      <w:r>
        <w:rPr>
          <w:color w:val="231F20"/>
          <w:spacing w:val="-7"/>
          <w:w w:val="105"/>
        </w:rPr>
        <w:t> </w:t>
      </w:r>
      <w:r>
        <w:rPr>
          <w:color w:val="231F20"/>
          <w:w w:val="105"/>
        </w:rPr>
        <w:t>sul</w:t>
      </w:r>
      <w:r>
        <w:rPr>
          <w:color w:val="231F20"/>
          <w:spacing w:val="-7"/>
          <w:w w:val="105"/>
        </w:rPr>
        <w:t> </w:t>
      </w:r>
      <w:r>
        <w:rPr>
          <w:color w:val="231F20"/>
          <w:w w:val="105"/>
        </w:rPr>
        <w:t>tavolo</w:t>
      </w:r>
      <w:r>
        <w:rPr>
          <w:color w:val="231F20"/>
          <w:spacing w:val="-7"/>
          <w:w w:val="105"/>
        </w:rPr>
        <w:t> </w:t>
      </w:r>
      <w:r>
        <w:rPr>
          <w:color w:val="231F20"/>
          <w:w w:val="105"/>
        </w:rPr>
        <w:t>tale interrogante.</w:t>
      </w:r>
    </w:p>
    <w:p>
      <w:pPr>
        <w:pStyle w:val="BodyText"/>
        <w:spacing w:line="244" w:lineRule="auto" w:before="1"/>
        <w:ind w:left="103" w:right="110" w:firstLine="566"/>
        <w:jc w:val="both"/>
      </w:pPr>
      <w:r>
        <w:rPr>
          <w:color w:val="231F20"/>
        </w:rPr>
        <w:t>Da</w:t>
      </w:r>
      <w:r>
        <w:rPr>
          <w:color w:val="231F20"/>
          <w:spacing w:val="-25"/>
        </w:rPr>
        <w:t> </w:t>
      </w:r>
      <w:r>
        <w:rPr>
          <w:color w:val="231F20"/>
          <w:spacing w:val="-4"/>
        </w:rPr>
        <w:t>parte</w:t>
      </w:r>
      <w:r>
        <w:rPr>
          <w:color w:val="231F20"/>
          <w:spacing w:val="-25"/>
        </w:rPr>
        <w:t> </w:t>
      </w:r>
      <w:r>
        <w:rPr>
          <w:color w:val="231F20"/>
          <w:spacing w:val="-3"/>
        </w:rPr>
        <w:t>sua,</w:t>
      </w:r>
      <w:r>
        <w:rPr>
          <w:color w:val="231F20"/>
          <w:spacing w:val="-25"/>
        </w:rPr>
        <w:t> </w:t>
      </w:r>
      <w:r>
        <w:rPr>
          <w:color w:val="231F20"/>
          <w:spacing w:val="-4"/>
        </w:rPr>
        <w:t>Israel</w:t>
      </w:r>
      <w:r>
        <w:rPr>
          <w:color w:val="231F20"/>
          <w:spacing w:val="-25"/>
        </w:rPr>
        <w:t> </w:t>
      </w:r>
      <w:r>
        <w:rPr>
          <w:color w:val="231F20"/>
          <w:spacing w:val="-4"/>
        </w:rPr>
        <w:t>Covarrubias,</w:t>
      </w:r>
      <w:r>
        <w:rPr>
          <w:color w:val="231F20"/>
          <w:spacing w:val="-25"/>
        </w:rPr>
        <w:t> </w:t>
      </w:r>
      <w:r>
        <w:rPr>
          <w:color w:val="231F20"/>
        </w:rPr>
        <w:t>in</w:t>
      </w:r>
      <w:r>
        <w:rPr>
          <w:color w:val="231F20"/>
          <w:spacing w:val="-25"/>
        </w:rPr>
        <w:t> </w:t>
      </w:r>
      <w:r>
        <w:rPr>
          <w:color w:val="231F20"/>
          <w:spacing w:val="-6"/>
        </w:rPr>
        <w:t>“’L’esterno</w:t>
      </w:r>
      <w:r>
        <w:rPr>
          <w:color w:val="231F20"/>
          <w:spacing w:val="-28"/>
        </w:rPr>
        <w:t> </w:t>
      </w:r>
      <w:r>
        <w:rPr>
          <w:color w:val="231F20"/>
        </w:rPr>
        <w:t>è</w:t>
      </w:r>
      <w:r>
        <w:rPr>
          <w:color w:val="231F20"/>
          <w:spacing w:val="-25"/>
        </w:rPr>
        <w:t> </w:t>
      </w:r>
      <w:r>
        <w:rPr>
          <w:color w:val="231F20"/>
          <w:spacing w:val="-4"/>
        </w:rPr>
        <w:t>sempre</w:t>
      </w:r>
      <w:r>
        <w:rPr>
          <w:color w:val="231F20"/>
          <w:spacing w:val="-25"/>
        </w:rPr>
        <w:t> </w:t>
      </w:r>
      <w:r>
        <w:rPr>
          <w:color w:val="231F20"/>
          <w:spacing w:val="-4"/>
        </w:rPr>
        <w:t>dentro’.</w:t>
      </w:r>
      <w:r>
        <w:rPr>
          <w:color w:val="231F20"/>
          <w:spacing w:val="-25"/>
        </w:rPr>
        <w:t> </w:t>
      </w:r>
      <w:r>
        <w:rPr>
          <w:color w:val="231F20"/>
          <w:spacing w:val="-7"/>
        </w:rPr>
        <w:t>Tensioni </w:t>
      </w:r>
      <w:r>
        <w:rPr>
          <w:color w:val="231F20"/>
        </w:rPr>
        <w:t>e trasformazioni recenti nello spazio politico dello Stato e la democrazia”, tratta il ruolo dello Stato in un mondo globalizzato e le circostanze che lo destabilizzano. Anche qui il punto di partenza è un paradosso: quello dello sfasamento tra la riproduzione della vita sociale e il processo istituzionale di assicurazione del benessere. Questa contraddizione affronta, da </w:t>
      </w:r>
      <w:r>
        <w:rPr>
          <w:color w:val="231F20"/>
          <w:spacing w:val="2"/>
        </w:rPr>
        <w:t>una </w:t>
      </w:r>
      <w:r>
        <w:rPr>
          <w:color w:val="231F20"/>
        </w:rPr>
        <w:t>parte, l’esaurimento delle strutture di benessere e dall’altra, l’ascesa della democrazia come </w:t>
      </w:r>
      <w:r>
        <w:rPr>
          <w:rFonts w:ascii="Arial" w:hAnsi="Arial"/>
          <w:i/>
          <w:color w:val="231F20"/>
        </w:rPr>
        <w:t>forma globale </w:t>
      </w:r>
      <w:r>
        <w:rPr>
          <w:color w:val="231F20"/>
        </w:rPr>
        <w:t>di governo. In altri termini, mantenere l’ideale dello Stato democratico in una realtà sociale e politica dove non    è più possibile sostenere lo Stato di benessere, ha implicato l’emergenza  di un universo </w:t>
      </w:r>
      <w:r>
        <w:rPr>
          <w:rFonts w:ascii="Arial" w:hAnsi="Arial"/>
          <w:i/>
          <w:color w:val="231F20"/>
        </w:rPr>
        <w:t>infrastatale</w:t>
      </w:r>
      <w:r>
        <w:rPr>
          <w:color w:val="231F20"/>
        </w:rPr>
        <w:t>, che montato nella logica del segreto e della </w:t>
      </w:r>
      <w:r>
        <w:rPr>
          <w:color w:val="231F20"/>
          <w:spacing w:val="-3"/>
        </w:rPr>
        <w:t>clandestinità</w:t>
      </w:r>
      <w:r>
        <w:rPr>
          <w:color w:val="231F20"/>
          <w:spacing w:val="-14"/>
        </w:rPr>
        <w:t> </w:t>
      </w:r>
      <w:r>
        <w:rPr>
          <w:color w:val="231F20"/>
        </w:rPr>
        <w:t>ha</w:t>
      </w:r>
      <w:r>
        <w:rPr>
          <w:color w:val="231F20"/>
          <w:spacing w:val="-14"/>
        </w:rPr>
        <w:t> </w:t>
      </w:r>
      <w:r>
        <w:rPr>
          <w:color w:val="231F20"/>
          <w:spacing w:val="-3"/>
        </w:rPr>
        <w:t>finito</w:t>
      </w:r>
      <w:r>
        <w:rPr>
          <w:color w:val="231F20"/>
          <w:spacing w:val="-14"/>
        </w:rPr>
        <w:t> </w:t>
      </w:r>
      <w:r>
        <w:rPr>
          <w:color w:val="231F20"/>
        </w:rPr>
        <w:t>per</w:t>
      </w:r>
      <w:r>
        <w:rPr>
          <w:color w:val="231F20"/>
          <w:spacing w:val="-14"/>
        </w:rPr>
        <w:t> </w:t>
      </w:r>
      <w:r>
        <w:rPr>
          <w:color w:val="231F20"/>
          <w:spacing w:val="-4"/>
        </w:rPr>
        <w:t>produrre</w:t>
      </w:r>
      <w:r>
        <w:rPr>
          <w:color w:val="231F20"/>
          <w:spacing w:val="-14"/>
        </w:rPr>
        <w:t> </w:t>
      </w:r>
      <w:r>
        <w:rPr>
          <w:color w:val="231F20"/>
          <w:spacing w:val="-3"/>
        </w:rPr>
        <w:t>criminalità</w:t>
      </w:r>
      <w:r>
        <w:rPr>
          <w:color w:val="231F20"/>
          <w:spacing w:val="-14"/>
        </w:rPr>
        <w:t> </w:t>
      </w:r>
      <w:r>
        <w:rPr>
          <w:color w:val="231F20"/>
        </w:rPr>
        <w:t>e</w:t>
      </w:r>
      <w:r>
        <w:rPr>
          <w:color w:val="231F20"/>
          <w:spacing w:val="-14"/>
        </w:rPr>
        <w:t> </w:t>
      </w:r>
      <w:r>
        <w:rPr>
          <w:color w:val="231F20"/>
          <w:spacing w:val="-3"/>
        </w:rPr>
        <w:t>violenza.</w:t>
      </w:r>
      <w:r>
        <w:rPr>
          <w:color w:val="231F20"/>
          <w:spacing w:val="-14"/>
        </w:rPr>
        <w:t> </w:t>
      </w:r>
      <w:r>
        <w:rPr>
          <w:color w:val="231F20"/>
          <w:spacing w:val="-3"/>
        </w:rPr>
        <w:t>Nella</w:t>
      </w:r>
      <w:r>
        <w:rPr>
          <w:color w:val="231F20"/>
          <w:spacing w:val="-14"/>
        </w:rPr>
        <w:t> </w:t>
      </w:r>
      <w:r>
        <w:rPr>
          <w:color w:val="231F20"/>
          <w:spacing w:val="-3"/>
        </w:rPr>
        <w:t>configurazione </w:t>
      </w:r>
      <w:r>
        <w:rPr>
          <w:color w:val="231F20"/>
        </w:rPr>
        <w:t>di questa </w:t>
      </w:r>
      <w:r>
        <w:rPr>
          <w:rFonts w:ascii="Arial" w:hAnsi="Arial"/>
          <w:i/>
          <w:color w:val="231F20"/>
        </w:rPr>
        <w:t>sovranità criminale </w:t>
      </w:r>
      <w:r>
        <w:rPr>
          <w:color w:val="231F20"/>
        </w:rPr>
        <w:t>si ha dato luogo a un ambiente di crescente paura</w:t>
      </w:r>
      <w:r>
        <w:rPr>
          <w:color w:val="231F20"/>
          <w:spacing w:val="-6"/>
        </w:rPr>
        <w:t> </w:t>
      </w:r>
      <w:r>
        <w:rPr>
          <w:color w:val="231F20"/>
        </w:rPr>
        <w:t>e</w:t>
      </w:r>
      <w:r>
        <w:rPr>
          <w:color w:val="231F20"/>
          <w:spacing w:val="-6"/>
        </w:rPr>
        <w:t> </w:t>
      </w:r>
      <w:r>
        <w:rPr>
          <w:color w:val="231F20"/>
        </w:rPr>
        <w:t>insicurezza.</w:t>
      </w:r>
      <w:r>
        <w:rPr>
          <w:color w:val="231F20"/>
          <w:spacing w:val="-6"/>
        </w:rPr>
        <w:t> </w:t>
      </w:r>
      <w:r>
        <w:rPr>
          <w:color w:val="231F20"/>
        </w:rPr>
        <w:t>Di</w:t>
      </w:r>
      <w:r>
        <w:rPr>
          <w:color w:val="231F20"/>
          <w:spacing w:val="-6"/>
        </w:rPr>
        <w:t> </w:t>
      </w:r>
      <w:r>
        <w:rPr>
          <w:color w:val="231F20"/>
        </w:rPr>
        <w:t>fronte</w:t>
      </w:r>
      <w:r>
        <w:rPr>
          <w:color w:val="231F20"/>
          <w:spacing w:val="-6"/>
        </w:rPr>
        <w:t> </w:t>
      </w:r>
      <w:r>
        <w:rPr>
          <w:color w:val="231F20"/>
        </w:rPr>
        <w:t>a</w:t>
      </w:r>
      <w:r>
        <w:rPr>
          <w:color w:val="231F20"/>
          <w:spacing w:val="-6"/>
        </w:rPr>
        <w:t> </w:t>
      </w:r>
      <w:r>
        <w:rPr>
          <w:color w:val="231F20"/>
        </w:rPr>
        <w:t>questo</w:t>
      </w:r>
      <w:r>
        <w:rPr>
          <w:color w:val="231F20"/>
          <w:spacing w:val="-6"/>
        </w:rPr>
        <w:t> </w:t>
      </w:r>
      <w:r>
        <w:rPr>
          <w:color w:val="231F20"/>
        </w:rPr>
        <w:t>panorama,</w:t>
      </w:r>
      <w:r>
        <w:rPr>
          <w:color w:val="231F20"/>
          <w:spacing w:val="-6"/>
        </w:rPr>
        <w:t> </w:t>
      </w:r>
      <w:r>
        <w:rPr>
          <w:color w:val="231F20"/>
        </w:rPr>
        <w:t>è</w:t>
      </w:r>
      <w:r>
        <w:rPr>
          <w:color w:val="231F20"/>
          <w:spacing w:val="-6"/>
        </w:rPr>
        <w:t> </w:t>
      </w:r>
      <w:r>
        <w:rPr>
          <w:color w:val="231F20"/>
        </w:rPr>
        <w:t>necessaria</w:t>
      </w:r>
      <w:r>
        <w:rPr>
          <w:color w:val="231F20"/>
          <w:spacing w:val="-6"/>
        </w:rPr>
        <w:t> </w:t>
      </w:r>
      <w:r>
        <w:rPr>
          <w:color w:val="231F20"/>
        </w:rPr>
        <w:t>la</w:t>
      </w:r>
      <w:r>
        <w:rPr>
          <w:color w:val="231F20"/>
          <w:spacing w:val="-6"/>
        </w:rPr>
        <w:t> </w:t>
      </w:r>
      <w:r>
        <w:rPr>
          <w:color w:val="231F20"/>
        </w:rPr>
        <w:t>ricerca</w:t>
      </w:r>
      <w:r>
        <w:rPr>
          <w:color w:val="231F20"/>
          <w:spacing w:val="-6"/>
        </w:rPr>
        <w:t> </w:t>
      </w:r>
      <w:r>
        <w:rPr>
          <w:color w:val="231F20"/>
        </w:rPr>
        <w:t>di alternative</w:t>
      </w:r>
      <w:r>
        <w:rPr>
          <w:color w:val="231F20"/>
          <w:spacing w:val="-14"/>
        </w:rPr>
        <w:t> </w:t>
      </w:r>
      <w:r>
        <w:rPr>
          <w:color w:val="231F20"/>
        </w:rPr>
        <w:t>adeguate</w:t>
      </w:r>
      <w:r>
        <w:rPr>
          <w:color w:val="231F20"/>
          <w:spacing w:val="-14"/>
        </w:rPr>
        <w:t> </w:t>
      </w:r>
      <w:r>
        <w:rPr>
          <w:color w:val="231F20"/>
        </w:rPr>
        <w:t>per</w:t>
      </w:r>
      <w:r>
        <w:rPr>
          <w:color w:val="231F20"/>
          <w:spacing w:val="-14"/>
        </w:rPr>
        <w:t> </w:t>
      </w:r>
      <w:r>
        <w:rPr>
          <w:color w:val="231F20"/>
          <w:spacing w:val="-3"/>
        </w:rPr>
        <w:t>sostenere</w:t>
      </w:r>
      <w:r>
        <w:rPr>
          <w:color w:val="231F20"/>
          <w:spacing w:val="-14"/>
        </w:rPr>
        <w:t> </w:t>
      </w:r>
      <w:r>
        <w:rPr>
          <w:color w:val="231F20"/>
        </w:rPr>
        <w:t>l’ideale</w:t>
      </w:r>
      <w:r>
        <w:rPr>
          <w:color w:val="231F20"/>
          <w:spacing w:val="-14"/>
        </w:rPr>
        <w:t> </w:t>
      </w:r>
      <w:r>
        <w:rPr>
          <w:color w:val="231F20"/>
        </w:rPr>
        <w:t>democratico</w:t>
      </w:r>
      <w:r>
        <w:rPr>
          <w:color w:val="231F20"/>
          <w:spacing w:val="-14"/>
        </w:rPr>
        <w:t> </w:t>
      </w:r>
      <w:r>
        <w:rPr>
          <w:color w:val="231F20"/>
        </w:rPr>
        <w:t>basato</w:t>
      </w:r>
      <w:r>
        <w:rPr>
          <w:color w:val="231F20"/>
          <w:spacing w:val="-14"/>
        </w:rPr>
        <w:t> </w:t>
      </w:r>
      <w:r>
        <w:rPr>
          <w:color w:val="231F20"/>
        </w:rPr>
        <w:t>nella</w:t>
      </w:r>
      <w:r>
        <w:rPr>
          <w:color w:val="231F20"/>
          <w:spacing w:val="-14"/>
        </w:rPr>
        <w:t> </w:t>
      </w:r>
      <w:r>
        <w:rPr>
          <w:color w:val="231F20"/>
        </w:rPr>
        <w:t>política del benessere, già che nelle condizioni attuali potremo solo aspettare la generazione ogni volta più decisa di anomia e</w:t>
      </w:r>
      <w:r>
        <w:rPr>
          <w:color w:val="231F20"/>
          <w:spacing w:val="15"/>
        </w:rPr>
        <w:t> </w:t>
      </w:r>
      <w:r>
        <w:rPr>
          <w:color w:val="231F20"/>
        </w:rPr>
        <w:t>insicurezza.</w:t>
      </w:r>
    </w:p>
    <w:p>
      <w:pPr>
        <w:pStyle w:val="BodyText"/>
        <w:spacing w:line="247" w:lineRule="auto" w:before="1"/>
        <w:ind w:left="103" w:right="109" w:firstLine="566"/>
        <w:jc w:val="both"/>
      </w:pPr>
      <w:r>
        <w:rPr>
          <w:color w:val="231F20"/>
        </w:rPr>
        <w:t>Il lavoro “Questioni di confine. Sovanità terrritoriale e ordine globale nel dibattito sul ‘nuovo interventismo umanitario’”, di Luca Scuccimarra,  fa un percorso interessante sul tema della sovranità e le sue fondamenta </w:t>
      </w:r>
      <w:r>
        <w:rPr>
          <w:color w:val="231F20"/>
          <w:spacing w:val="2"/>
        </w:rPr>
        <w:t>normative. Considerando posizioni </w:t>
      </w:r>
      <w:r>
        <w:rPr>
          <w:color w:val="231F20"/>
        </w:rPr>
        <w:t>in pro e in contro, </w:t>
      </w:r>
      <w:r>
        <w:rPr>
          <w:color w:val="231F20"/>
          <w:spacing w:val="2"/>
        </w:rPr>
        <w:t>l’autore invita </w:t>
      </w:r>
      <w:r>
        <w:rPr>
          <w:color w:val="231F20"/>
        </w:rPr>
        <w:t>a riflettere sulla legittimità del interventismo da uno o più Stati su altro(i) quando la finalità è prevenire violazioni ai Diritti Umani, il che ha dentro   se anche un paradosso: la possibilità di violare il Diritto Internazionale o  di violare i diritti di alcuno per proteggere i diritti di altri. </w:t>
      </w:r>
      <w:r>
        <w:rPr>
          <w:color w:val="231F20"/>
          <w:spacing w:val="-6"/>
        </w:rPr>
        <w:t>Tale </w:t>
      </w:r>
      <w:r>
        <w:rPr>
          <w:color w:val="231F20"/>
        </w:rPr>
        <w:t>situazione contraddittoria è rappresentata in modo paradigmatico dall“interventismo </w:t>
      </w:r>
      <w:r>
        <w:rPr>
          <w:color w:val="231F20"/>
          <w:spacing w:val="2"/>
        </w:rPr>
        <w:t>umanitario”, perchè frequentemente </w:t>
      </w:r>
      <w:r>
        <w:rPr>
          <w:color w:val="231F20"/>
        </w:rPr>
        <w:t>è </w:t>
      </w:r>
      <w:r>
        <w:rPr>
          <w:color w:val="231F20"/>
          <w:spacing w:val="2"/>
        </w:rPr>
        <w:t>stato usato come pretesto </w:t>
      </w:r>
      <w:r>
        <w:rPr>
          <w:color w:val="231F20"/>
          <w:spacing w:val="3"/>
        </w:rPr>
        <w:t>per </w:t>
      </w:r>
      <w:r>
        <w:rPr>
          <w:color w:val="231F20"/>
        </w:rPr>
        <w:t>vulnerare la sovranità di altri paesi e intervenire armamentisticamente in essi, per cui dovrebbe piuttosto essere riconosciuto come “interventismo bellico”. Di fronte ai cambiamenti geopolitici che lo schema globale ha implicato, e dovuto alle complesse questioni giuridico–politiche che ha originato, si fa necessario oggi più che mai ripensare, criticare e rinnovare il nostro sistema di categorie rispetto alla sovranità</w:t>
      </w:r>
      <w:r>
        <w:rPr>
          <w:color w:val="231F20"/>
          <w:spacing w:val="-14"/>
        </w:rPr>
        <w:t> </w:t>
      </w:r>
      <w:r>
        <w:rPr>
          <w:color w:val="231F20"/>
        </w:rPr>
        <w:t>nazionale.</w:t>
      </w:r>
    </w:p>
    <w:p>
      <w:pPr>
        <w:pStyle w:val="BodyText"/>
        <w:spacing w:line="247" w:lineRule="auto"/>
        <w:ind w:left="103" w:right="112" w:firstLine="566"/>
        <w:jc w:val="both"/>
      </w:pPr>
      <w:r>
        <w:rPr>
          <w:color w:val="231F20"/>
          <w:spacing w:val="-3"/>
          <w:w w:val="105"/>
        </w:rPr>
        <w:t>Quello</w:t>
      </w:r>
      <w:r>
        <w:rPr>
          <w:color w:val="231F20"/>
          <w:spacing w:val="-39"/>
          <w:w w:val="105"/>
        </w:rPr>
        <w:t> </w:t>
      </w:r>
      <w:r>
        <w:rPr>
          <w:color w:val="231F20"/>
          <w:w w:val="105"/>
        </w:rPr>
        <w:t>che</w:t>
      </w:r>
      <w:r>
        <w:rPr>
          <w:color w:val="231F20"/>
          <w:spacing w:val="-39"/>
          <w:w w:val="105"/>
        </w:rPr>
        <w:t> </w:t>
      </w:r>
      <w:r>
        <w:rPr>
          <w:color w:val="231F20"/>
          <w:spacing w:val="-4"/>
          <w:w w:val="105"/>
        </w:rPr>
        <w:t>emerge</w:t>
      </w:r>
      <w:r>
        <w:rPr>
          <w:color w:val="231F20"/>
          <w:spacing w:val="-39"/>
          <w:w w:val="105"/>
        </w:rPr>
        <w:t> </w:t>
      </w:r>
      <w:r>
        <w:rPr>
          <w:color w:val="231F20"/>
          <w:spacing w:val="-3"/>
          <w:w w:val="105"/>
        </w:rPr>
        <w:t>nelle</w:t>
      </w:r>
      <w:r>
        <w:rPr>
          <w:color w:val="231F20"/>
          <w:spacing w:val="-39"/>
          <w:w w:val="105"/>
        </w:rPr>
        <w:t> </w:t>
      </w:r>
      <w:r>
        <w:rPr>
          <w:color w:val="231F20"/>
          <w:w w:val="105"/>
        </w:rPr>
        <w:t>sei</w:t>
      </w:r>
      <w:r>
        <w:rPr>
          <w:color w:val="231F20"/>
          <w:spacing w:val="-39"/>
          <w:w w:val="105"/>
        </w:rPr>
        <w:t> </w:t>
      </w:r>
      <w:r>
        <w:rPr>
          <w:color w:val="231F20"/>
          <w:spacing w:val="-3"/>
          <w:w w:val="105"/>
        </w:rPr>
        <w:t>collaborazioni</w:t>
      </w:r>
      <w:r>
        <w:rPr>
          <w:color w:val="231F20"/>
          <w:spacing w:val="-39"/>
          <w:w w:val="105"/>
        </w:rPr>
        <w:t> </w:t>
      </w:r>
      <w:r>
        <w:rPr>
          <w:color w:val="231F20"/>
          <w:w w:val="105"/>
        </w:rPr>
        <w:t>qui</w:t>
      </w:r>
      <w:r>
        <w:rPr>
          <w:color w:val="231F20"/>
          <w:spacing w:val="-39"/>
          <w:w w:val="105"/>
        </w:rPr>
        <w:t> </w:t>
      </w:r>
      <w:r>
        <w:rPr>
          <w:color w:val="231F20"/>
          <w:spacing w:val="-3"/>
          <w:w w:val="105"/>
        </w:rPr>
        <w:t>riunite</w:t>
      </w:r>
      <w:r>
        <w:rPr>
          <w:color w:val="231F20"/>
          <w:spacing w:val="-41"/>
          <w:w w:val="105"/>
        </w:rPr>
        <w:t> </w:t>
      </w:r>
      <w:r>
        <w:rPr>
          <w:color w:val="231F20"/>
          <w:w w:val="105"/>
        </w:rPr>
        <w:t>è</w:t>
      </w:r>
      <w:r>
        <w:rPr>
          <w:color w:val="231F20"/>
          <w:spacing w:val="-39"/>
          <w:w w:val="105"/>
        </w:rPr>
        <w:t> </w:t>
      </w:r>
      <w:r>
        <w:rPr>
          <w:color w:val="231F20"/>
          <w:spacing w:val="-3"/>
          <w:w w:val="105"/>
        </w:rPr>
        <w:t>l’identificazione </w:t>
      </w:r>
      <w:r>
        <w:rPr>
          <w:color w:val="231F20"/>
          <w:w w:val="105"/>
        </w:rPr>
        <w:t>di </w:t>
      </w:r>
      <w:r>
        <w:rPr>
          <w:color w:val="231F20"/>
          <w:spacing w:val="2"/>
          <w:w w:val="105"/>
        </w:rPr>
        <w:t>paradossi </w:t>
      </w:r>
      <w:r>
        <w:rPr>
          <w:color w:val="231F20"/>
          <w:w w:val="105"/>
        </w:rPr>
        <w:t>e </w:t>
      </w:r>
      <w:r>
        <w:rPr>
          <w:color w:val="231F20"/>
          <w:spacing w:val="2"/>
          <w:w w:val="105"/>
        </w:rPr>
        <w:t>contraddizioni inerenti alle condizioni politiche, </w:t>
      </w:r>
      <w:r>
        <w:rPr>
          <w:color w:val="231F20"/>
          <w:spacing w:val="3"/>
          <w:w w:val="105"/>
        </w:rPr>
        <w:t>sociali, </w:t>
      </w:r>
      <w:r>
        <w:rPr>
          <w:color w:val="231F20"/>
          <w:spacing w:val="-3"/>
          <w:w w:val="105"/>
        </w:rPr>
        <w:t>economiche</w:t>
      </w:r>
      <w:r>
        <w:rPr>
          <w:color w:val="231F20"/>
          <w:spacing w:val="-46"/>
          <w:w w:val="105"/>
        </w:rPr>
        <w:t> </w:t>
      </w:r>
      <w:r>
        <w:rPr>
          <w:color w:val="231F20"/>
          <w:w w:val="105"/>
        </w:rPr>
        <w:t>e</w:t>
      </w:r>
      <w:r>
        <w:rPr>
          <w:color w:val="231F20"/>
          <w:spacing w:val="-46"/>
          <w:w w:val="105"/>
        </w:rPr>
        <w:t> </w:t>
      </w:r>
      <w:r>
        <w:rPr>
          <w:color w:val="231F20"/>
          <w:spacing w:val="-3"/>
          <w:w w:val="105"/>
        </w:rPr>
        <w:t>culturali</w:t>
      </w:r>
      <w:r>
        <w:rPr>
          <w:color w:val="231F20"/>
          <w:spacing w:val="-46"/>
          <w:w w:val="105"/>
        </w:rPr>
        <w:t> </w:t>
      </w:r>
      <w:r>
        <w:rPr>
          <w:color w:val="231F20"/>
          <w:w w:val="105"/>
        </w:rPr>
        <w:t>del</w:t>
      </w:r>
      <w:r>
        <w:rPr>
          <w:color w:val="231F20"/>
          <w:spacing w:val="-46"/>
          <w:w w:val="105"/>
        </w:rPr>
        <w:t> </w:t>
      </w:r>
      <w:r>
        <w:rPr>
          <w:color w:val="231F20"/>
          <w:spacing w:val="-3"/>
          <w:w w:val="105"/>
        </w:rPr>
        <w:t>nostro</w:t>
      </w:r>
      <w:r>
        <w:rPr>
          <w:color w:val="231F20"/>
          <w:spacing w:val="-46"/>
          <w:w w:val="105"/>
        </w:rPr>
        <w:t> </w:t>
      </w:r>
      <w:r>
        <w:rPr>
          <w:color w:val="231F20"/>
          <w:spacing w:val="-3"/>
          <w:w w:val="105"/>
        </w:rPr>
        <w:t>esistere</w:t>
      </w:r>
      <w:r>
        <w:rPr>
          <w:color w:val="231F20"/>
          <w:spacing w:val="-46"/>
          <w:w w:val="105"/>
        </w:rPr>
        <w:t> </w:t>
      </w:r>
      <w:r>
        <w:rPr>
          <w:color w:val="231F20"/>
          <w:spacing w:val="-3"/>
          <w:w w:val="105"/>
        </w:rPr>
        <w:t>nell’era</w:t>
      </w:r>
      <w:r>
        <w:rPr>
          <w:color w:val="231F20"/>
          <w:spacing w:val="-46"/>
          <w:w w:val="105"/>
        </w:rPr>
        <w:t> </w:t>
      </w:r>
      <w:r>
        <w:rPr>
          <w:color w:val="231F20"/>
          <w:spacing w:val="-3"/>
          <w:w w:val="105"/>
        </w:rPr>
        <w:t>contemporanea:</w:t>
      </w:r>
      <w:r>
        <w:rPr>
          <w:color w:val="231F20"/>
          <w:spacing w:val="-46"/>
          <w:w w:val="105"/>
        </w:rPr>
        <w:t> </w:t>
      </w:r>
      <w:r>
        <w:rPr>
          <w:color w:val="231F20"/>
          <w:spacing w:val="-3"/>
          <w:w w:val="105"/>
        </w:rPr>
        <w:t>l’era</w:t>
      </w:r>
      <w:r>
        <w:rPr>
          <w:color w:val="231F20"/>
          <w:spacing w:val="-46"/>
          <w:w w:val="105"/>
        </w:rPr>
        <w:t> </w:t>
      </w:r>
      <w:r>
        <w:rPr>
          <w:color w:val="231F20"/>
          <w:spacing w:val="-3"/>
          <w:w w:val="105"/>
        </w:rPr>
        <w:t>della</w:t>
      </w:r>
    </w:p>
    <w:p>
      <w:pPr>
        <w:pStyle w:val="BodyText"/>
        <w:rPr>
          <w:sz w:val="20"/>
        </w:rPr>
      </w:pPr>
    </w:p>
    <w:p>
      <w:pPr>
        <w:pStyle w:val="BodyText"/>
        <w:rPr>
          <w:sz w:val="20"/>
        </w:rPr>
      </w:pPr>
    </w:p>
    <w:p>
      <w:pPr>
        <w:pStyle w:val="BodyText"/>
        <w:spacing w:before="2"/>
        <w:rPr>
          <w:sz w:val="23"/>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6456"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12</w:t>
        <w:tab/>
      </w:r>
      <w:r>
        <w:rPr>
          <w:rFonts w:ascii="Calibri" w:hAnsi="Calibri"/>
          <w:color w:val="6D6E71"/>
          <w:w w:val="105"/>
          <w:sz w:val="16"/>
        </w:rPr>
        <w:t>Jorge</w:t>
      </w:r>
      <w:r>
        <w:rPr>
          <w:rFonts w:ascii="Calibri" w:hAnsi="Calibri"/>
          <w:color w:val="6D6E71"/>
          <w:spacing w:val="-25"/>
          <w:w w:val="105"/>
          <w:sz w:val="16"/>
        </w:rPr>
        <w:t> </w:t>
      </w:r>
      <w:r>
        <w:rPr>
          <w:rFonts w:ascii="Calibri" w:hAnsi="Calibri"/>
          <w:color w:val="6D6E71"/>
          <w:w w:val="105"/>
          <w:sz w:val="16"/>
        </w:rPr>
        <w:t>Olvera</w:t>
      </w:r>
      <w:r>
        <w:rPr>
          <w:rFonts w:ascii="Calibri" w:hAnsi="Calibri"/>
          <w:color w:val="6D6E71"/>
          <w:spacing w:val="-25"/>
          <w:w w:val="105"/>
          <w:sz w:val="16"/>
        </w:rPr>
        <w:t> </w:t>
      </w:r>
      <w:r>
        <w:rPr>
          <w:rFonts w:ascii="Calibri" w:hAnsi="Calibri"/>
          <w:color w:val="6D6E71"/>
          <w:w w:val="105"/>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1574" w:val="right" w:leader="none"/>
        </w:tabs>
        <w:spacing w:before="52"/>
        <w:ind w:left="90" w:right="239" w:firstLine="0"/>
        <w:jc w:val="right"/>
        <w:rPr>
          <w:rFonts w:ascii="Trebuchet MS"/>
          <w:sz w:val="20"/>
        </w:rPr>
      </w:pPr>
      <w:r>
        <w:rPr/>
        <w:pict>
          <v:group style="position:absolute;margin-left:383.821014pt;margin-top:-25.479271pt;width:8.65pt;height:41pt;mso-position-horizontal-relative:page;mso-position-vertical-relative:paragraph;z-index:-16643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color w:val="6D6E71"/>
          <w:sz w:val="14"/>
        </w:rPr>
        <w:t>INTRODUZIONE</w:t>
      </w:r>
      <w:r>
        <w:rPr>
          <w:rFonts w:ascii="Trebuchet MS"/>
          <w:color w:val="414042"/>
          <w:position w:val="-3"/>
          <w:sz w:val="20"/>
        </w:rPr>
        <w:tab/>
        <w:t>13</w:t>
      </w:r>
    </w:p>
    <w:p>
      <w:pPr>
        <w:pStyle w:val="BodyText"/>
        <w:spacing w:line="247" w:lineRule="auto" w:before="621"/>
        <w:ind w:left="117" w:right="116"/>
        <w:jc w:val="both"/>
      </w:pPr>
      <w:r>
        <w:rPr>
          <w:color w:val="231F20"/>
        </w:rPr>
        <w:t>globalizzazione.</w:t>
      </w:r>
      <w:r>
        <w:rPr>
          <w:color w:val="231F20"/>
          <w:spacing w:val="-24"/>
        </w:rPr>
        <w:t> </w:t>
      </w:r>
      <w:r>
        <w:rPr>
          <w:color w:val="231F20"/>
        </w:rPr>
        <w:t>In</w:t>
      </w:r>
      <w:r>
        <w:rPr>
          <w:color w:val="231F20"/>
          <w:spacing w:val="-24"/>
        </w:rPr>
        <w:t> </w:t>
      </w:r>
      <w:r>
        <w:rPr>
          <w:color w:val="231F20"/>
        </w:rPr>
        <w:t>ciascuno</w:t>
      </w:r>
      <w:r>
        <w:rPr>
          <w:color w:val="231F20"/>
          <w:spacing w:val="-24"/>
        </w:rPr>
        <w:t> </w:t>
      </w:r>
      <w:r>
        <w:rPr>
          <w:color w:val="231F20"/>
        </w:rPr>
        <w:t>di</w:t>
      </w:r>
      <w:r>
        <w:rPr>
          <w:color w:val="231F20"/>
          <w:spacing w:val="-24"/>
        </w:rPr>
        <w:t> </w:t>
      </w:r>
      <w:r>
        <w:rPr>
          <w:color w:val="231F20"/>
        </w:rPr>
        <w:t>questi</w:t>
      </w:r>
      <w:r>
        <w:rPr>
          <w:color w:val="231F20"/>
          <w:spacing w:val="-24"/>
        </w:rPr>
        <w:t> </w:t>
      </w:r>
      <w:r>
        <w:rPr>
          <w:color w:val="231F20"/>
        </w:rPr>
        <w:t>ambiti</w:t>
      </w:r>
      <w:r>
        <w:rPr>
          <w:color w:val="231F20"/>
          <w:spacing w:val="-24"/>
        </w:rPr>
        <w:t> </w:t>
      </w:r>
      <w:r>
        <w:rPr>
          <w:color w:val="231F20"/>
        </w:rPr>
        <w:t>agiscono</w:t>
      </w:r>
      <w:r>
        <w:rPr>
          <w:color w:val="231F20"/>
          <w:spacing w:val="-24"/>
        </w:rPr>
        <w:t> </w:t>
      </w:r>
      <w:r>
        <w:rPr>
          <w:color w:val="231F20"/>
        </w:rPr>
        <w:t>forze</w:t>
      </w:r>
      <w:r>
        <w:rPr>
          <w:color w:val="231F20"/>
          <w:spacing w:val="-24"/>
        </w:rPr>
        <w:t> </w:t>
      </w:r>
      <w:r>
        <w:rPr>
          <w:color w:val="231F20"/>
        </w:rPr>
        <w:t>che</w:t>
      </w:r>
      <w:r>
        <w:rPr>
          <w:color w:val="231F20"/>
          <w:spacing w:val="-24"/>
        </w:rPr>
        <w:t> </w:t>
      </w:r>
      <w:r>
        <w:rPr>
          <w:color w:val="231F20"/>
        </w:rPr>
        <w:t>si</w:t>
      </w:r>
      <w:r>
        <w:rPr>
          <w:color w:val="231F20"/>
          <w:spacing w:val="-24"/>
        </w:rPr>
        <w:t> </w:t>
      </w:r>
      <w:r>
        <w:rPr>
          <w:color w:val="231F20"/>
        </w:rPr>
        <w:t>schiantano tra</w:t>
      </w:r>
      <w:r>
        <w:rPr>
          <w:color w:val="231F20"/>
          <w:spacing w:val="-16"/>
        </w:rPr>
        <w:t> </w:t>
      </w:r>
      <w:r>
        <w:rPr>
          <w:color w:val="231F20"/>
          <w:spacing w:val="-3"/>
        </w:rPr>
        <w:t>loro</w:t>
      </w:r>
      <w:r>
        <w:rPr>
          <w:color w:val="231F20"/>
          <w:spacing w:val="-16"/>
        </w:rPr>
        <w:t> </w:t>
      </w:r>
      <w:r>
        <w:rPr>
          <w:color w:val="231F20"/>
        </w:rPr>
        <w:t>e</w:t>
      </w:r>
      <w:r>
        <w:rPr>
          <w:color w:val="231F20"/>
          <w:spacing w:val="-16"/>
        </w:rPr>
        <w:t> </w:t>
      </w:r>
      <w:r>
        <w:rPr>
          <w:color w:val="231F20"/>
          <w:spacing w:val="-3"/>
        </w:rPr>
        <w:t>producono</w:t>
      </w:r>
      <w:r>
        <w:rPr>
          <w:color w:val="231F20"/>
          <w:spacing w:val="-16"/>
        </w:rPr>
        <w:t> </w:t>
      </w:r>
      <w:r>
        <w:rPr>
          <w:color w:val="231F20"/>
          <w:spacing w:val="-3"/>
        </w:rPr>
        <w:t>cortocircuiti</w:t>
      </w:r>
      <w:r>
        <w:rPr>
          <w:color w:val="231F20"/>
          <w:spacing w:val="-16"/>
        </w:rPr>
        <w:t> </w:t>
      </w:r>
      <w:r>
        <w:rPr>
          <w:color w:val="231F20"/>
        </w:rPr>
        <w:t>in</w:t>
      </w:r>
      <w:r>
        <w:rPr>
          <w:color w:val="231F20"/>
          <w:spacing w:val="-16"/>
        </w:rPr>
        <w:t> </w:t>
      </w:r>
      <w:r>
        <w:rPr>
          <w:color w:val="231F20"/>
        </w:rPr>
        <w:t>sistemi</w:t>
      </w:r>
      <w:r>
        <w:rPr>
          <w:color w:val="231F20"/>
          <w:spacing w:val="-16"/>
        </w:rPr>
        <w:t> </w:t>
      </w:r>
      <w:r>
        <w:rPr>
          <w:color w:val="231F20"/>
        </w:rPr>
        <w:t>e</w:t>
      </w:r>
      <w:r>
        <w:rPr>
          <w:color w:val="231F20"/>
          <w:spacing w:val="-16"/>
        </w:rPr>
        <w:t> </w:t>
      </w:r>
      <w:r>
        <w:rPr>
          <w:color w:val="231F20"/>
          <w:spacing w:val="-3"/>
        </w:rPr>
        <w:t>strutture</w:t>
      </w:r>
      <w:r>
        <w:rPr>
          <w:color w:val="231F20"/>
          <w:spacing w:val="-16"/>
        </w:rPr>
        <w:t> </w:t>
      </w:r>
      <w:r>
        <w:rPr>
          <w:color w:val="231F20"/>
        </w:rPr>
        <w:t>che</w:t>
      </w:r>
      <w:r>
        <w:rPr>
          <w:color w:val="231F20"/>
          <w:spacing w:val="-16"/>
        </w:rPr>
        <w:t> </w:t>
      </w:r>
      <w:r>
        <w:rPr>
          <w:color w:val="231F20"/>
        </w:rPr>
        <w:t>sembravano</w:t>
      </w:r>
      <w:r>
        <w:rPr>
          <w:color w:val="231F20"/>
          <w:spacing w:val="-16"/>
        </w:rPr>
        <w:t> </w:t>
      </w:r>
      <w:r>
        <w:rPr>
          <w:color w:val="231F20"/>
          <w:spacing w:val="-3"/>
        </w:rPr>
        <w:t>avere </w:t>
      </w:r>
      <w:r>
        <w:rPr>
          <w:color w:val="231F20"/>
        </w:rPr>
        <w:t>fondamenta</w:t>
      </w:r>
      <w:r>
        <w:rPr>
          <w:color w:val="231F20"/>
          <w:spacing w:val="-10"/>
        </w:rPr>
        <w:t> </w:t>
      </w:r>
      <w:r>
        <w:rPr>
          <w:color w:val="231F20"/>
        </w:rPr>
        <w:t>stabili.</w:t>
      </w:r>
      <w:r>
        <w:rPr>
          <w:color w:val="231F20"/>
          <w:spacing w:val="-10"/>
        </w:rPr>
        <w:t> </w:t>
      </w:r>
      <w:r>
        <w:rPr>
          <w:color w:val="231F20"/>
        </w:rPr>
        <w:t>Nonostante,</w:t>
      </w:r>
      <w:r>
        <w:rPr>
          <w:color w:val="231F20"/>
          <w:spacing w:val="-10"/>
        </w:rPr>
        <w:t> </w:t>
      </w:r>
      <w:r>
        <w:rPr>
          <w:color w:val="231F20"/>
        </w:rPr>
        <w:t>davanti</w:t>
      </w:r>
      <w:r>
        <w:rPr>
          <w:color w:val="231F20"/>
          <w:spacing w:val="-10"/>
        </w:rPr>
        <w:t> </w:t>
      </w:r>
      <w:r>
        <w:rPr>
          <w:color w:val="231F20"/>
        </w:rPr>
        <w:t>a</w:t>
      </w:r>
      <w:r>
        <w:rPr>
          <w:color w:val="231F20"/>
          <w:spacing w:val="-10"/>
        </w:rPr>
        <w:t> </w:t>
      </w:r>
      <w:r>
        <w:rPr>
          <w:color w:val="231F20"/>
        </w:rPr>
        <w:t>un</w:t>
      </w:r>
      <w:r>
        <w:rPr>
          <w:color w:val="231F20"/>
          <w:spacing w:val="-10"/>
        </w:rPr>
        <w:t> </w:t>
      </w:r>
      <w:r>
        <w:rPr>
          <w:color w:val="231F20"/>
        </w:rPr>
        <w:t>panorama</w:t>
      </w:r>
      <w:r>
        <w:rPr>
          <w:color w:val="231F20"/>
          <w:spacing w:val="-10"/>
        </w:rPr>
        <w:t> </w:t>
      </w:r>
      <w:r>
        <w:rPr>
          <w:color w:val="231F20"/>
        </w:rPr>
        <w:t>caratterizzato</w:t>
      </w:r>
      <w:r>
        <w:rPr>
          <w:color w:val="231F20"/>
          <w:spacing w:val="-10"/>
        </w:rPr>
        <w:t> </w:t>
      </w:r>
      <w:r>
        <w:rPr>
          <w:color w:val="231F20"/>
        </w:rPr>
        <w:t>dalla crescente instabilità e il cambiamento frenetico, gli autori delle riflessioni versate nel presente libro, espongono tanto problemi come paradossi,   ma anche lasciano sul tavolo un materiale di grande valore per riflettere criticamente sullo sconcerto </w:t>
      </w:r>
      <w:r>
        <w:rPr>
          <w:color w:val="231F20"/>
          <w:spacing w:val="1"/>
        </w:rPr>
        <w:t> </w:t>
      </w:r>
      <w:r>
        <w:rPr>
          <w:color w:val="231F20"/>
        </w:rPr>
        <w:t>contemporaneo.</w:t>
      </w:r>
    </w:p>
    <w:p>
      <w:pPr>
        <w:pStyle w:val="BodyText"/>
        <w:spacing w:before="259"/>
        <w:ind w:left="90" w:right="121"/>
        <w:jc w:val="right"/>
      </w:pPr>
      <w:r>
        <w:rPr>
          <w:color w:val="231F20"/>
          <w:w w:val="105"/>
        </w:rPr>
        <w:t>Jorge Olvera García</w:t>
      </w:r>
    </w:p>
    <w:p>
      <w:pPr>
        <w:spacing w:after="0"/>
        <w:jc w:val="right"/>
        <w:sectPr>
          <w:pgSz w:w="9640" w:h="13890"/>
          <w:pgMar w:top="0" w:bottom="280" w:left="1300" w:right="118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ind w:left="884"/>
        <w:rPr>
          <w:rFonts w:ascii="Times New Roman"/>
          <w:sz w:val="20"/>
        </w:rPr>
      </w:pPr>
      <w:r>
        <w:rPr/>
        <w:pict>
          <v:rect style="position:absolute;margin-left:1.021000pt;margin-top:-.000024pt;width:480.869pt;height:694.488pt;mso-position-horizontal-relative:page;mso-position-vertical-relative:page;z-index:-166384" filled="true" fillcolor="#6d6e71" stroked="false">
            <v:fill type="solid"/>
            <w10:wrap type="none"/>
          </v:rect>
        </w:pict>
      </w:r>
      <w:r>
        <w:rPr>
          <w:rFonts w:ascii="Times New Roman"/>
          <w:sz w:val="20"/>
        </w:rPr>
        <w:pict>
          <v:group style="width:259.5pt;height:425.1pt;mso-position-horizontal-relative:char;mso-position-vertical-relative:line" coordorigin="0,0" coordsize="5190,8502">
            <v:shape style="position:absolute;left:2843;top:633;width:2346;height:7869" type="#_x0000_t75" stroked="false">
              <v:imagedata r:id="rId64" o:title=""/>
            </v:shape>
            <v:shape style="position:absolute;left:2864;top:1653;width:1729;height:3773" coordorigin="2864,1653" coordsize="1729,3773" path="m2953,1653l2941,1678,2914,1749,2885,1854,2864,1984,3158,3145,3436,3890,3860,4543,4593,5425,4587,5306,4571,5018,4552,4668,4535,4361,4023,4075,3687,3697,3380,2974,2953,1653xe" filled="true" fillcolor="#7e8083" stroked="false">
              <v:path arrowok="t"/>
              <v:fill type="solid"/>
            </v:shape>
            <v:shape style="position:absolute;left:0;top:0;width:4665;height:6117" type="#_x0000_t75" stroked="false">
              <v:imagedata r:id="rId65" o:title=""/>
            </v:shape>
            <v:shape style="position:absolute;left:2253;top:9;width:721;height:3805" coordorigin="2253,9" coordsize="721,3805" path="m2757,9l2525,58,2286,1239,2253,2024,2468,2765,2973,3814,2757,9xe" filled="true" fillcolor="#a9abae" stroked="false">
              <v:path arrowok="t"/>
              <v:fill type="solid"/>
            </v:shape>
            <v:shape style="position:absolute;left:2385;top:7;width:602;height:3856" coordorigin="2385,7" coordsize="602,3856" path="m2759,7l2524,51,2520,52,2519,56,2493,174,2487,203,2481,233,2475,262,2470,292,2449,411,2444,441,2440,470,2436,500,2432,530,2424,590,2417,650,2411,710,2405,770,2402,800,2400,833,2398,863,2396,891,2392,952,2391,981,2390,1012,2386,1132,2385,1162,2385,1222,2385,1313,2386,1374,2389,1437,2391,1495,2394,1555,2398,1615,2402,1675,2413,1796,2419,1856,2426,1916,2433,1976,2441,2036,2449,2096,2458,2155,2468,2215,2473,2245,2478,2274,2484,2304,2495,2363,2501,2393,2506,2422,2513,2452,2538,2570,2566,2687,2581,2746,2596,2804,2612,2863,2628,2920,2645,2978,2662,3035,2680,3093,2698,3150,2718,3207,2737,3264,2757,3321,2778,3377,2799,3433,2821,3489,2843,3545,2866,3600,2889,3656,2913,3710,2939,3765,2965,3819,2986,3862,2983,3815,2964,3815,2961,3765,2957,3756,2933,3701,2910,3646,2888,3591,2866,3535,2845,3479,2824,3423,2804,3367,2785,3310,2766,3253,2747,3196,2729,3139,2712,3082,2695,3025,2679,2967,2663,2909,2647,2852,2632,2794,2618,2735,2603,2677,2577,2561,2552,2443,2546,2414,2541,2384,2535,2355,2530,2325,2525,2296,2519,2266,2515,2237,2510,2207,2500,2148,2491,2089,2483,2029,2474,1970,2460,1851,2454,1791,2449,1732,2443,1672,2439,1612,2431,1492,2427,1372,2425,1342,2424,1313,2424,1282,2424,1252,2423,1222,2423,1192,2422,1162,2423,1132,2425,1011,2425,982,2426,951,2428,923,2431,860,2432,830,2434,803,2436,773,2441,713,2446,653,2451,593,2458,534,2461,504,2465,474,2468,444,2472,414,2490,296,2494,266,2499,236,2504,207,2530,64,2526,64,2531,59,2548,59,2755,12,2759,12,2759,7xm2961,3765l2964,3815,2982,3810,2961,3765xm2759,12l2755,12,2758,91,2767,328,2771,414,2774,485,2796,961,2821,1437,2825,1516,2829,1596,2834,1675,2839,1754,2843,1834,2853,1992,2858,2071,2864,2150,2875,2309,2880,2388,2885,2467,2896,2626,2902,2705,2907,2784,2912,2863,2926,3101,2930,3161,2933,3220,2936,3280,2944,3418,2948,3498,2952,3577,2956,3656,2960,3736,2961,3765,2982,3810,2964,3815,2983,3815,2978,3735,2972,3655,2967,3576,2962,3497,2958,3418,2949,3279,2946,3219,2942,3160,2927,2862,2923,2783,2919,2704,2915,2625,2908,2466,2904,2384,2901,2304,2894,2148,2890,2069,2886,1990,2878,1831,2874,1752,2869,1672,2865,1594,2860,1514,2855,1434,2826,959,2794,484,2789,405,2783,326,2777,247,2765,88,2759,12xm2531,59l2526,64,2530,63,2531,59xm2530,63l2526,64,2530,64,2530,63xm2548,59l2531,59,2530,63,2548,59xe" filled="true" fillcolor="#ffffff" stroked="false">
              <v:path arrowok="t"/>
              <v:fill type="solid"/>
            </v:shape>
            <v:shape style="position:absolute;left:765;top:4108;width:1689;height:2056" coordorigin="765,4108" coordsize="1689,2056" path="m2396,4108l2330,4111,2257,4118,2175,4134,2085,4160,1988,4198,1882,4250,1826,4282,1769,4318,1709,4358,1648,4404,1584,4454,1519,4510,1452,4571,1383,4638,1312,4711,1239,4790,1165,4876,1088,4969,1010,5069,930,5176,848,5291,765,5413,874,6164,1348,5141,1671,4586,1990,4307,2453,4110,2425,4109,2396,4108xe" filled="true" fillcolor="#bec0c2" stroked="false">
              <v:path arrowok="t"/>
              <v:fill type="solid"/>
            </v:shape>
            <v:shape style="position:absolute;left:763;top:4090;width:1709;height:2094" coordorigin="763,4090" coordsize="1709,2094" path="m2385,4090l2350,4090,2315,4092,2280,4096,2246,4100,2211,4106,2177,4113,2109,4130,2027,4159,2010,4165,1994,4172,1978,4179,1946,4193,1931,4200,1915,4208,1838,4250,1823,4259,1808,4268,1705,4335,1622,4398,1608,4409,1594,4419,1580,4430,1461,4534,1337,4658,1313,4684,1290,4710,1266,4736,1243,4762,1219,4788,1196,4815,1174,4842,1086,4951,1064,4979,1043,5007,918,5177,899,5206,763,5412,763,5413,763,5414,785,5602,791,5649,796,5696,802,5743,818,5866,828,5941,838,6016,848,6092,858,6167,859,6172,862,6177,874,6183,884,6180,888,6171,888,6171,892,6162,889,6162,859,6157,881,6110,878,6087,866,6012,854,5937,842,5862,823,5740,815,5694,807,5647,799,5600,767,5414,912,5216,933,5188,1062,5023,1084,4996,1220,4837,1244,4812,1268,4786,1291,4761,1315,4736,1339,4710,1363,4685,1488,4565,1606,4464,1619,4453,1633,4443,1729,4371,1829,4306,1844,4297,1859,4289,1933,4248,1949,4241,2026,4206,2041,4199,2121,4171,2186,4153,2218,4146,2251,4140,2285,4135,2318,4132,2351,4129,2366,4129,2371,4126,2447,4093,2465,4093,2464,4092,2419,4090,2385,4090xm881,6110l859,6157,889,6162,881,6110xm2385,4128l2366,4129,2299,4166,2231,4212,2214,4224,2197,4236,2165,4261,2133,4287,2102,4314,2071,4342,2026,4384,2011,4398,1997,4413,1983,4428,1968,4443,1954,4457,1940,4472,1871,4549,1817,4612,1791,4644,1765,4676,1739,4708,1689,4773,1664,4806,1615,4872,1566,4939,1542,4973,1495,5041,1449,5110,1426,5144,1380,5213,1358,5247,1335,5282,1291,5352,1248,5423,1205,5494,1163,5566,1142,5602,1122,5638,1102,5674,1062,5747,1043,5784,1023,5821,1004,5858,967,5932,930,6006,894,6081,881,6110,889,6162,892,6162,924,6097,960,6022,998,5949,1036,5875,1074,5802,1113,5729,1152,5656,1192,5583,1272,5439,1287,5412,1313,5367,1334,5331,1355,5295,1397,5225,1441,5154,1485,5084,1531,5016,1554,4982,1577,4948,1625,4880,1649,4847,1674,4814,1699,4782,1750,4717,1776,4685,1802,4654,1829,4622,1883,4561,1954,4487,1968,4473,1983,4459,1999,4443,2012,4430,2027,4416,2042,4402,2088,4362,2119,4336,2150,4311,2182,4286,2199,4274,2231,4250,2248,4239,2316,4196,2386,4159,2456,4129,2452,4129,2418,4128,2385,4128xm2452,4128l2385,4128,2418,4128,2452,4129,2452,4128xm2465,4093l2447,4093,2452,4129,2456,4129,2459,4128,2460,4128,2466,4125,2471,4119,2472,4101,2465,4093xm2447,4093l2371,4126,2366,4129,2385,4128,2452,4128,2447,4093xe" filled="true" fillcolor="#ffffff" stroked="false">
              <v:path arrowok="t"/>
              <v:fill type="solid"/>
            </v:shape>
            <v:shape style="position:absolute;left:874;top:4111;width:2141;height:2054" coordorigin="874,4111" coordsize="2141,2054" path="m2486,4111l2096,4164,1797,4395,1440,4998,874,6164,985,6035,1092,5914,1196,5800,1296,5693,1392,5593,1485,5501,1575,5414,1660,5334,1743,5261,1822,5193,1898,5131,1971,5074,2042,5022,2109,4976,2173,4934,2235,4896,2294,4863,2350,4834,2404,4809,2455,4787,2504,4769,2551,4754,2596,4742,2638,4732,2679,4725,2717,4720,2754,4718,2789,4716,2975,4716,2959,4706,2904,4657,2850,4599,2797,4535,2746,4467,2696,4397,2604,4263,2561,4203,2522,4152,2486,4111xm2975,4716l2789,4716,2822,4717,2854,4719,2884,4721,2913,4725,2940,4729,2966,4734,3015,4743,2975,4716xe" filled="true" fillcolor="#828486" stroked="false">
              <v:path arrowok="t"/>
              <v:fill type="solid"/>
            </v:shape>
            <v:shape style="position:absolute;left:871;top:4104;width:2162;height:2063" coordorigin="871,4104" coordsize="2162,2063" path="m872,6166l873,6167,873,6166,872,6166xm875,6165l874,6166,873,6166,874,6167,875,6166,875,6165xm885,6147l872,6163,872,6163,872,6165,872,6166,872,6166,873,6166,874,6166,875,6165,885,6147xm872,6165l872,6166,872,6166,872,6165xm2810,4698l2768,4698,2725,4701,2683,4705,2642,4712,2600,4721,2559,4731,2519,4743,2479,4757,2439,4772,2400,4788,2362,4805,2324,4824,2286,4843,2249,4863,2213,4884,2141,4928,2071,4975,2036,5000,2002,5025,1968,5050,1934,5076,1901,5101,1868,5128,1803,5182,1739,5237,1708,5265,1645,5322,1614,5351,1553,5409,1523,5439,1493,5469,1433,5529,1345,5620,1316,5651,1230,5744,1117,5871,1090,5903,1035,5967,980,6032,885,6147,875,6165,988,6040,1132,5885,1248,5763,1337,5673,1456,5553,1547,5466,1578,5437,1639,5380,1671,5352,1733,5297,1765,5269,1797,5242,1829,5215,1894,5162,1926,5136,1993,5085,2026,5060,2060,5036,2094,5012,2163,4966,2234,4923,2269,4902,2306,4882,2342,4862,2379,4844,2416,4827,2454,4811,2492,4796,2530,4782,2569,4770,2609,4760,2648,4751,2688,4744,2728,4739,2769,4736,2809,4735,2974,4735,2963,4728,2944,4712,2936,4711,2894,4705,2852,4700,2810,4698xm872,6163l871,6164,871,6164,872,6163xm2488,4104l2486,4104,2444,4109,2404,4119,2365,4132,2327,4148,2289,4166,2253,4187,2218,4209,2184,4233,2119,4285,2056,4339,1995,4397,1937,4457,1880,4518,1825,4581,1772,4646,1719,4712,1668,4778,1619,4846,1571,4915,1523,4985,1477,5055,1432,5126,1387,5197,1343,5269,1300,5341,1258,5414,1216,5487,1175,5561,1135,5635,1095,5709,1056,5784,1018,5859,980,5934,943,6010,907,6087,872,6163,885,6147,915,6091,954,6016,994,5942,1075,5795,1116,5722,1158,5649,1200,5576,1242,5504,1285,5431,1328,5359,1372,5288,1416,5217,1461,5146,1507,5076,1553,5006,1599,4936,1647,4867,1695,4799,1744,4732,1794,4665,1845,4599,1898,4535,1952,4472,2008,4411,2067,4352,2128,4297,2193,4245,2226,4221,2260,4199,2295,4178,2332,4159,2369,4144,2407,4131,2447,4123,2483,4118,2481,4116,2500,4116,2491,4106,2489,4104,2488,4104xm2974,4735l2809,4735,2850,4737,2890,4740,2930,4745,2971,4752,3012,4760,3012,4760,3018,4761,3025,4758,3007,4758,2974,4735xm2944,4712l2963,4728,3007,4758,3017,4727,2977,4718,2944,4712xm2500,4116l2481,4116,2486,4118,2483,4118,2499,4135,2515,4154,2531,4175,2546,4195,2562,4216,2577,4237,2591,4259,2606,4280,2664,4367,2693,4410,2723,4453,2753,4495,2784,4537,2816,4578,2849,4619,2885,4657,2922,4694,2944,4712,2977,4718,3017,4727,3007,4758,3025,4758,3025,4758,3029,4751,3033,4743,3030,4733,3022,4728,3001,4716,2981,4702,2961,4687,2942,4671,2923,4654,2905,4636,2887,4618,2869,4599,2835,4561,2802,4521,2771,4481,2740,4439,2709,4398,2679,4355,2589,4228,2573,4207,2558,4186,2542,4165,2526,4145,2509,4125,2500,4116xm2481,4116l2483,4118,2486,4118,2481,4116xe" filled="true" fillcolor="#ffffff" stroked="false">
              <v:path arrowok="t"/>
              <v:fill type="solid"/>
            </v:shape>
            <v:shape style="position:absolute;left:1244;top:138;width:1771;height:4609" coordorigin="1244,138" coordsize="1771,4609" path="m2174,138l1618,256,1244,1778,1264,2753,1811,3602,3015,4747,3001,4483,2984,4202,2969,3979,2963,3887,2240,3071,1917,2408,1920,1547,2174,138xe" filled="true" fillcolor="#959799" stroked="false">
              <v:path arrowok="t"/>
              <v:fill type="solid"/>
            </v:shape>
            <v:shape style="position:absolute;left:1491;top:130;width:1535;height:4640" coordorigin="1491,130" coordsize="1535,4640" path="m2186,130l2172,130,1616,270,1597,350,1581,410,1566,490,1552,570,1540,650,1529,730,1520,790,1512,870,1506,950,1500,1030,1496,1110,1493,1190,1491,1270,1491,1350,1491,1430,1493,1490,1497,1570,1501,1650,1507,1730,1514,1810,1522,1890,1531,1970,1541,2050,1553,2110,1566,2190,1581,2270,1596,2350,1613,2430,1632,2490,1651,2570,1672,2650,1695,2730,1718,2790,1743,2870,1769,2950,1797,3010,1825,3090,1855,3150,1887,3230,1919,3290,1953,3370,1987,3430,2024,3510,2061,3570,2099,3630,2138,3710,2179,3770,2220,3830,2262,3890,2306,3970,2350,4030,2396,4090,2419,4110,2442,4150,2466,4170,2489,4210,2513,4230,2537,4270,2562,4290,2586,4330,2611,4350,2636,4390,2661,4410,2687,4430,2713,4470,2739,4490,2765,4530,2791,4550,2844,4610,2898,4650,2953,4710,3008,4770,3025,4770,3024,4750,3005,4750,3004,4732,2965,4690,2910,4650,2855,4590,2802,4550,2775,4510,2749,4490,2723,4450,2671,4410,2646,4370,2621,4350,2596,4310,2571,4290,2547,4250,2523,4230,2499,4190,2452,4130,2428,4110,2406,4070,2361,4010,2317,3950,2274,3890,2232,3830,2192,3770,2152,3690,2114,3630,2077,3570,2042,3490,2007,3430,1974,3350,1942,3290,1910,3210,1881,3150,1852,3070,1825,3010,1799,2930,1774,2850,1750,2790,1727,2710,1706,2630,1685,2570,1666,2490,1648,2410,1632,2330,1616,2270,1601,2190,1588,2110,1575,2030,1564,1950,1555,1890,1546,1810,1539,1730,1533,1650,1528,1570,1524,1490,1521,1410,1519,1350,1518,1270,1519,1190,1521,1110,1523,1030,1528,950,1533,870,1539,810,1547,730,1555,650,1565,570,1576,490,1589,410,1603,350,1620,270,2164,152,2165,150,2183,150,2186,130xm3004,4732l3005,4750,3021,4750,3004,4732xm2949,3906l2954,3990,2960,4070,2967,4150,2973,4250,2978,4330,3004,4732,3021,4750,3024,4750,2999,4250,2994,4150,2989,4070,2984,3990,2980,3910,2952,3910,2949,3906xm2947,3890l2949,3906,2952,3910,2947,3890xm2979,3890l2947,3890,2952,3910,2980,3910,2979,3890xm2183,150l2176,150,2164,152,2153,210,2141,270,2130,330,2120,390,2110,450,2102,510,2093,570,2086,630,2079,690,2073,770,2068,830,2063,890,2059,950,2056,1010,2053,1070,2052,1130,2051,1190,2051,1270,2051,1330,2052,1390,2055,1450,2057,1510,2061,1570,2066,1630,2074,1710,2083,1790,2093,1870,2105,1970,2119,2050,2134,2130,2151,2210,2169,2290,2188,2370,2209,2450,2232,2530,2256,2610,2281,2690,2308,2770,2337,2850,2367,2930,2399,2990,2432,3070,2467,3150,2503,3230,2540,3290,2579,3370,2620,3430,2662,3510,2695,3570,2728,3610,2763,3670,2798,3710,2835,3770,2872,3810,2911,3870,2949,3906,2947,3890,2974,3890,2935,3850,2898,3790,2861,3750,2826,3690,2791,3650,2758,3590,2725,3550,2693,3490,2652,3410,2613,3350,2574,3270,2538,3210,2502,3130,2469,3050,2436,2970,2405,2910,2376,2830,2348,2750,2322,2670,2296,2590,2272,2510,2250,2430,2229,2350,2209,2270,2191,2190,2175,2110,2160,2030,2146,1950,2134,1870,2123,1790,2114,1710,2106,1630,2100,1570,2096,1510,2092,1450,2089,1390,2085,1250,2085,1190,2085,1130,2085,1070,2087,1010,2089,950,2092,890,2096,830,2101,770,2106,710,2112,630,2118,570,2126,510,2134,450,2142,390,2152,330,2162,270,2172,210,2183,150xm2176,150l2165,150,2164,152,2176,150xe" filled="true" fillcolor="#ffffff" stroked="false">
              <v:path arrowok="t"/>
              <v:fill type="solid"/>
            </v:shape>
          </v:group>
        </w:pict>
      </w:r>
      <w:r>
        <w:rPr>
          <w:rFonts w:ascii="Times New Roman"/>
          <w:sz w:val="20"/>
        </w:rPr>
      </w:r>
    </w:p>
    <w:p>
      <w:pPr>
        <w:spacing w:line="187" w:lineRule="auto" w:before="22"/>
        <w:ind w:left="733" w:right="3001" w:firstLine="1027"/>
        <w:jc w:val="both"/>
        <w:rPr>
          <w:rFonts w:ascii="Lucida Sans Unicode" w:hAnsi="Lucida Sans Unicode"/>
          <w:sz w:val="28"/>
        </w:rPr>
      </w:pPr>
      <w:r>
        <w:rPr>
          <w:rFonts w:ascii="Lucida Sans Unicode" w:hAnsi="Lucida Sans Unicode"/>
          <w:color w:val="FFFFFF"/>
          <w:w w:val="90"/>
          <w:sz w:val="28"/>
        </w:rPr>
        <w:t>CAMBIAMENTO DI </w:t>
      </w:r>
      <w:r>
        <w:rPr>
          <w:rFonts w:ascii="Lucida Sans Unicode" w:hAnsi="Lucida Sans Unicode"/>
          <w:color w:val="FFFFFF"/>
          <w:w w:val="95"/>
          <w:sz w:val="28"/>
        </w:rPr>
        <w:t>PARADIftMA ftIURIDICO: </w:t>
      </w:r>
      <w:r>
        <w:rPr>
          <w:rFonts w:ascii="Lucida Sans Unicode" w:hAnsi="Lucida Sans Unicode"/>
          <w:color w:val="FFFFFF"/>
          <w:spacing w:val="-4"/>
          <w:w w:val="95"/>
          <w:sz w:val="28"/>
        </w:rPr>
        <w:t>L’11–S </w:t>
      </w:r>
      <w:r>
        <w:rPr>
          <w:rFonts w:ascii="Lucida Sans Unicode" w:hAnsi="Lucida Sans Unicode"/>
          <w:color w:val="FFFFFF"/>
          <w:w w:val="95"/>
          <w:sz w:val="28"/>
        </w:rPr>
        <w:t>E LA CRIMINALITÀ </w:t>
      </w:r>
      <w:r>
        <w:rPr>
          <w:rFonts w:ascii="Lucida Sans Unicode" w:hAnsi="Lucida Sans Unicode"/>
          <w:color w:val="FFFFFF"/>
          <w:spacing w:val="-3"/>
          <w:w w:val="90"/>
          <w:sz w:val="28"/>
        </w:rPr>
        <w:t>ORftANIZZATA </w:t>
      </w:r>
      <w:r>
        <w:rPr>
          <w:rFonts w:ascii="Lucida Sans Unicode" w:hAnsi="Lucida Sans Unicode"/>
          <w:color w:val="FFFFFF"/>
          <w:w w:val="90"/>
          <w:sz w:val="28"/>
        </w:rPr>
        <w:t>IN</w:t>
      </w:r>
      <w:r>
        <w:rPr>
          <w:rFonts w:ascii="Lucida Sans Unicode" w:hAnsi="Lucida Sans Unicode"/>
          <w:color w:val="FFFFFF"/>
          <w:spacing w:val="-15"/>
          <w:w w:val="90"/>
          <w:sz w:val="28"/>
        </w:rPr>
        <w:t> </w:t>
      </w:r>
      <w:r>
        <w:rPr>
          <w:rFonts w:ascii="Lucida Sans Unicode" w:hAnsi="Lucida Sans Unicode"/>
          <w:color w:val="FFFFFF"/>
          <w:w w:val="90"/>
          <w:sz w:val="28"/>
        </w:rPr>
        <w:t>MESSICO</w:t>
      </w:r>
    </w:p>
    <w:p>
      <w:pPr>
        <w:pStyle w:val="BodyText"/>
        <w:rPr>
          <w:rFonts w:ascii="Lucida Sans Unicode"/>
          <w:sz w:val="20"/>
        </w:rPr>
      </w:pPr>
    </w:p>
    <w:p>
      <w:pPr>
        <w:pStyle w:val="BodyText"/>
        <w:spacing w:before="5"/>
        <w:rPr>
          <w:rFonts w:ascii="Lucida Sans Unicode"/>
          <w:sz w:val="24"/>
        </w:rPr>
      </w:pPr>
    </w:p>
    <w:p>
      <w:pPr>
        <w:spacing w:before="45"/>
        <w:ind w:left="3954" w:right="692" w:firstLine="0"/>
        <w:jc w:val="left"/>
        <w:rPr>
          <w:rFonts w:ascii="Calibri" w:hAnsi="Calibri"/>
          <w:sz w:val="28"/>
        </w:rPr>
      </w:pPr>
      <w:r>
        <w:rPr>
          <w:rFonts w:ascii="Calibri" w:hAnsi="Calibri"/>
          <w:color w:val="FFFFFF"/>
          <w:sz w:val="28"/>
        </w:rPr>
        <w:t>Jorge Olvera García</w:t>
      </w:r>
    </w:p>
    <w:p>
      <w:pPr>
        <w:spacing w:after="0"/>
        <w:jc w:val="left"/>
        <w:rPr>
          <w:rFonts w:ascii="Calibri" w:hAnsi="Calibri"/>
          <w:sz w:val="28"/>
        </w:rPr>
        <w:sectPr>
          <w:pgSz w:w="9640" w:h="13890"/>
          <w:pgMar w:top="118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spacing w:line="228" w:lineRule="exact" w:before="101"/>
        <w:ind w:left="3518" w:right="101" w:firstLine="0"/>
        <w:jc w:val="both"/>
        <w:rPr>
          <w:rFonts w:ascii="Calibri" w:hAnsi="Calibri"/>
          <w:i/>
          <w:sz w:val="19"/>
        </w:rPr>
      </w:pPr>
      <w:r>
        <w:rPr>
          <w:rFonts w:ascii="Calibri" w:hAnsi="Calibri"/>
          <w:i/>
          <w:color w:val="231F20"/>
          <w:sz w:val="19"/>
        </w:rPr>
        <w:t>La</w:t>
      </w:r>
      <w:r>
        <w:rPr>
          <w:rFonts w:ascii="Calibri" w:hAnsi="Calibri"/>
          <w:i/>
          <w:color w:val="231F20"/>
          <w:spacing w:val="-21"/>
          <w:sz w:val="19"/>
        </w:rPr>
        <w:t> </w:t>
      </w:r>
      <w:r>
        <w:rPr>
          <w:rFonts w:ascii="Calibri" w:hAnsi="Calibri"/>
          <w:i/>
          <w:color w:val="231F20"/>
          <w:sz w:val="19"/>
        </w:rPr>
        <w:t>struttura</w:t>
      </w:r>
      <w:r>
        <w:rPr>
          <w:rFonts w:ascii="Calibri" w:hAnsi="Calibri"/>
          <w:i/>
          <w:color w:val="231F20"/>
          <w:spacing w:val="-21"/>
          <w:sz w:val="19"/>
        </w:rPr>
        <w:t> </w:t>
      </w:r>
      <w:r>
        <w:rPr>
          <w:rFonts w:ascii="Calibri" w:hAnsi="Calibri"/>
          <w:i/>
          <w:color w:val="231F20"/>
          <w:sz w:val="19"/>
        </w:rPr>
        <w:t>imperiale</w:t>
      </w:r>
      <w:r>
        <w:rPr>
          <w:rFonts w:ascii="Calibri" w:hAnsi="Calibri"/>
          <w:i/>
          <w:color w:val="231F20"/>
          <w:spacing w:val="-21"/>
          <w:sz w:val="19"/>
        </w:rPr>
        <w:t> </w:t>
      </w:r>
      <w:r>
        <w:rPr>
          <w:rFonts w:ascii="Calibri" w:hAnsi="Calibri"/>
          <w:i/>
          <w:color w:val="231F20"/>
          <w:sz w:val="19"/>
        </w:rPr>
        <w:t>e,</w:t>
      </w:r>
      <w:r>
        <w:rPr>
          <w:rFonts w:ascii="Calibri" w:hAnsi="Calibri"/>
          <w:i/>
          <w:color w:val="231F20"/>
          <w:spacing w:val="-21"/>
          <w:sz w:val="19"/>
        </w:rPr>
        <w:t> </w:t>
      </w:r>
      <w:r>
        <w:rPr>
          <w:rFonts w:ascii="Calibri" w:hAnsi="Calibri"/>
          <w:i/>
          <w:color w:val="231F20"/>
          <w:sz w:val="19"/>
        </w:rPr>
        <w:t>in</w:t>
      </w:r>
      <w:r>
        <w:rPr>
          <w:rFonts w:ascii="Calibri" w:hAnsi="Calibri"/>
          <w:i/>
          <w:color w:val="231F20"/>
          <w:spacing w:val="-21"/>
          <w:sz w:val="19"/>
        </w:rPr>
        <w:t> </w:t>
      </w:r>
      <w:r>
        <w:rPr>
          <w:rFonts w:ascii="Calibri" w:hAnsi="Calibri"/>
          <w:i/>
          <w:color w:val="231F20"/>
          <w:sz w:val="19"/>
        </w:rPr>
        <w:t>particolare,</w:t>
      </w:r>
      <w:r>
        <w:rPr>
          <w:rFonts w:ascii="Calibri" w:hAnsi="Calibri"/>
          <w:i/>
          <w:color w:val="231F20"/>
          <w:spacing w:val="-21"/>
          <w:sz w:val="19"/>
        </w:rPr>
        <w:t> </w:t>
      </w:r>
      <w:r>
        <w:rPr>
          <w:rFonts w:ascii="Calibri" w:hAnsi="Calibri"/>
          <w:i/>
          <w:color w:val="231F20"/>
          <w:sz w:val="19"/>
        </w:rPr>
        <w:t>il</w:t>
      </w:r>
      <w:r>
        <w:rPr>
          <w:rFonts w:ascii="Calibri" w:hAnsi="Calibri"/>
          <w:i/>
          <w:color w:val="231F20"/>
          <w:spacing w:val="-21"/>
          <w:sz w:val="19"/>
        </w:rPr>
        <w:t> </w:t>
      </w:r>
      <w:r>
        <w:rPr>
          <w:rFonts w:ascii="Calibri" w:hAnsi="Calibri"/>
          <w:i/>
          <w:color w:val="231F20"/>
          <w:sz w:val="19"/>
        </w:rPr>
        <w:t>potere </w:t>
      </w:r>
      <w:r>
        <w:rPr>
          <w:rFonts w:ascii="Calibri" w:hAnsi="Calibri"/>
          <w:i/>
          <w:color w:val="231F20"/>
          <w:sz w:val="19"/>
        </w:rPr>
        <w:t>militare di Washington, si conferma come un’esercizio unilaterale di volontà politica.  […] Dopo l’11 settembre, lo sviluppo della sovranità imperiale conosce una fortissima accelerazione.</w:t>
      </w:r>
    </w:p>
    <w:p>
      <w:pPr>
        <w:pStyle w:val="BodyText"/>
        <w:rPr>
          <w:rFonts w:ascii="Calibri"/>
          <w:i/>
          <w:sz w:val="14"/>
        </w:rPr>
      </w:pPr>
    </w:p>
    <w:p>
      <w:pPr>
        <w:spacing w:line="297" w:lineRule="auto" w:before="0"/>
        <w:ind w:left="3518" w:right="101" w:firstLine="0"/>
        <w:jc w:val="both"/>
        <w:rPr>
          <w:rFonts w:ascii="Calibri"/>
          <w:sz w:val="19"/>
        </w:rPr>
      </w:pPr>
      <w:r>
        <w:rPr>
          <w:rFonts w:ascii="Calibri"/>
          <w:i/>
          <w:color w:val="231F20"/>
          <w:sz w:val="19"/>
        </w:rPr>
        <w:t>La multitud y la guerra, </w:t>
      </w:r>
      <w:r>
        <w:rPr>
          <w:rFonts w:ascii="Calibri"/>
          <w:color w:val="231F20"/>
          <w:sz w:val="19"/>
        </w:rPr>
        <w:t>Michael Hardt e Toni Negri.</w:t>
      </w:r>
    </w:p>
    <w:p>
      <w:pPr>
        <w:pStyle w:val="BodyText"/>
        <w:spacing w:before="11"/>
        <w:rPr>
          <w:rFonts w:ascii="Calibri"/>
          <w:sz w:val="28"/>
        </w:rPr>
      </w:pPr>
    </w:p>
    <w:p>
      <w:pPr>
        <w:spacing w:before="57"/>
        <w:ind w:left="117" w:right="0" w:firstLine="0"/>
        <w:jc w:val="both"/>
        <w:rPr>
          <w:rFonts w:ascii="Arial"/>
          <w:i/>
          <w:sz w:val="21"/>
        </w:rPr>
      </w:pPr>
      <w:r>
        <w:rPr>
          <w:rFonts w:ascii="Arial"/>
          <w:i/>
          <w:color w:val="231F20"/>
          <w:w w:val="105"/>
          <w:sz w:val="21"/>
        </w:rPr>
        <w:t>Introduzione</w:t>
      </w:r>
    </w:p>
    <w:p>
      <w:pPr>
        <w:pStyle w:val="BodyText"/>
        <w:rPr>
          <w:rFonts w:ascii="Arial"/>
          <w:i/>
          <w:sz w:val="20"/>
        </w:rPr>
      </w:pPr>
    </w:p>
    <w:p>
      <w:pPr>
        <w:pStyle w:val="BodyText"/>
        <w:spacing w:line="247" w:lineRule="auto" w:before="172"/>
        <w:ind w:left="1180" w:right="101"/>
        <w:jc w:val="both"/>
      </w:pPr>
      <w:r>
        <w:rPr/>
        <w:pict>
          <v:shape style="position:absolute;margin-left:76.553596pt;margin-top:14.793837pt;width:42.5pt;height:51pt;mso-position-horizontal-relative:page;mso-position-vertical-relative:paragraph;z-index:9040"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sz w:val="102"/>
                    </w:rPr>
                    <w:t>G</w:t>
                  </w:r>
                </w:p>
              </w:txbxContent>
            </v:textbox>
            <w10:wrap type="none"/>
          </v:shape>
        </w:pict>
      </w:r>
      <w:r>
        <w:rPr>
          <w:color w:val="231F20"/>
          <w:w w:val="105"/>
        </w:rPr>
        <w:t>li</w:t>
      </w:r>
      <w:r>
        <w:rPr>
          <w:color w:val="231F20"/>
          <w:spacing w:val="-39"/>
          <w:w w:val="105"/>
        </w:rPr>
        <w:t> </w:t>
      </w:r>
      <w:r>
        <w:rPr>
          <w:color w:val="231F20"/>
          <w:w w:val="105"/>
        </w:rPr>
        <w:t>attentati</w:t>
      </w:r>
      <w:r>
        <w:rPr>
          <w:color w:val="231F20"/>
          <w:spacing w:val="-39"/>
          <w:w w:val="105"/>
        </w:rPr>
        <w:t> </w:t>
      </w:r>
      <w:r>
        <w:rPr>
          <w:color w:val="231F20"/>
          <w:w w:val="105"/>
        </w:rPr>
        <w:t>dell’11</w:t>
      </w:r>
      <w:r>
        <w:rPr>
          <w:color w:val="231F20"/>
          <w:spacing w:val="-39"/>
          <w:w w:val="105"/>
        </w:rPr>
        <w:t> </w:t>
      </w:r>
      <w:r>
        <w:rPr>
          <w:color w:val="231F20"/>
          <w:w w:val="105"/>
        </w:rPr>
        <w:t>settembre</w:t>
      </w:r>
      <w:r>
        <w:rPr>
          <w:color w:val="231F20"/>
          <w:spacing w:val="-39"/>
          <w:w w:val="105"/>
        </w:rPr>
        <w:t> </w:t>
      </w:r>
      <w:r>
        <w:rPr>
          <w:color w:val="231F20"/>
          <w:w w:val="105"/>
        </w:rPr>
        <w:t>2001</w:t>
      </w:r>
      <w:r>
        <w:rPr>
          <w:color w:val="231F20"/>
          <w:spacing w:val="-39"/>
          <w:w w:val="105"/>
        </w:rPr>
        <w:t> </w:t>
      </w:r>
      <w:r>
        <w:rPr>
          <w:color w:val="231F20"/>
          <w:w w:val="105"/>
        </w:rPr>
        <w:t>cambiarono</w:t>
      </w:r>
      <w:r>
        <w:rPr>
          <w:color w:val="231F20"/>
          <w:spacing w:val="-39"/>
          <w:w w:val="105"/>
        </w:rPr>
        <w:t> </w:t>
      </w:r>
      <w:r>
        <w:rPr>
          <w:color w:val="231F20"/>
          <w:w w:val="105"/>
        </w:rPr>
        <w:t>in</w:t>
      </w:r>
      <w:r>
        <w:rPr>
          <w:color w:val="231F20"/>
          <w:spacing w:val="-39"/>
          <w:w w:val="105"/>
        </w:rPr>
        <w:t> </w:t>
      </w:r>
      <w:r>
        <w:rPr>
          <w:color w:val="231F20"/>
          <w:w w:val="105"/>
        </w:rPr>
        <w:t>modo</w:t>
      </w:r>
      <w:r>
        <w:rPr>
          <w:color w:val="231F20"/>
          <w:spacing w:val="-39"/>
          <w:w w:val="105"/>
        </w:rPr>
        <w:t> </w:t>
      </w:r>
      <w:r>
        <w:rPr>
          <w:color w:val="231F20"/>
          <w:w w:val="105"/>
        </w:rPr>
        <w:t>radicale la</w:t>
      </w:r>
      <w:r>
        <w:rPr>
          <w:color w:val="231F20"/>
          <w:spacing w:val="-42"/>
          <w:w w:val="105"/>
        </w:rPr>
        <w:t> </w:t>
      </w:r>
      <w:r>
        <w:rPr>
          <w:color w:val="231F20"/>
          <w:w w:val="105"/>
        </w:rPr>
        <w:t>forma</w:t>
      </w:r>
      <w:r>
        <w:rPr>
          <w:color w:val="231F20"/>
          <w:spacing w:val="-42"/>
          <w:w w:val="105"/>
        </w:rPr>
        <w:t> </w:t>
      </w:r>
      <w:r>
        <w:rPr>
          <w:color w:val="231F20"/>
          <w:w w:val="105"/>
        </w:rPr>
        <w:t>di</w:t>
      </w:r>
      <w:r>
        <w:rPr>
          <w:color w:val="231F20"/>
          <w:spacing w:val="-42"/>
          <w:w w:val="105"/>
        </w:rPr>
        <w:t> </w:t>
      </w:r>
      <w:r>
        <w:rPr>
          <w:color w:val="231F20"/>
          <w:spacing w:val="-3"/>
          <w:w w:val="105"/>
        </w:rPr>
        <w:t>concepire</w:t>
      </w:r>
      <w:r>
        <w:rPr>
          <w:color w:val="231F20"/>
          <w:spacing w:val="-42"/>
          <w:w w:val="105"/>
        </w:rPr>
        <w:t> </w:t>
      </w:r>
      <w:r>
        <w:rPr>
          <w:color w:val="231F20"/>
          <w:w w:val="105"/>
        </w:rPr>
        <w:t>ed</w:t>
      </w:r>
      <w:r>
        <w:rPr>
          <w:color w:val="231F20"/>
          <w:spacing w:val="-42"/>
          <w:w w:val="105"/>
        </w:rPr>
        <w:t> </w:t>
      </w:r>
      <w:r>
        <w:rPr>
          <w:color w:val="231F20"/>
          <w:spacing w:val="-3"/>
          <w:w w:val="105"/>
        </w:rPr>
        <w:t>esercitare</w:t>
      </w:r>
      <w:r>
        <w:rPr>
          <w:color w:val="231F20"/>
          <w:spacing w:val="-42"/>
          <w:w w:val="105"/>
        </w:rPr>
        <w:t> </w:t>
      </w:r>
      <w:r>
        <w:rPr>
          <w:color w:val="231F20"/>
          <w:w w:val="105"/>
        </w:rPr>
        <w:t>la</w:t>
      </w:r>
      <w:r>
        <w:rPr>
          <w:color w:val="231F20"/>
          <w:spacing w:val="-42"/>
          <w:w w:val="105"/>
        </w:rPr>
        <w:t> </w:t>
      </w:r>
      <w:r>
        <w:rPr>
          <w:color w:val="231F20"/>
          <w:w w:val="105"/>
        </w:rPr>
        <w:t>legalità</w:t>
      </w:r>
      <w:r>
        <w:rPr>
          <w:color w:val="231F20"/>
          <w:spacing w:val="-42"/>
          <w:w w:val="105"/>
        </w:rPr>
        <w:t> </w:t>
      </w:r>
      <w:r>
        <w:rPr>
          <w:color w:val="231F20"/>
          <w:w w:val="105"/>
        </w:rPr>
        <w:t>da</w:t>
      </w:r>
      <w:r>
        <w:rPr>
          <w:color w:val="231F20"/>
          <w:spacing w:val="-42"/>
          <w:w w:val="105"/>
        </w:rPr>
        <w:t> </w:t>
      </w:r>
      <w:r>
        <w:rPr>
          <w:color w:val="231F20"/>
          <w:w w:val="105"/>
        </w:rPr>
        <w:t>parte</w:t>
      </w:r>
      <w:r>
        <w:rPr>
          <w:color w:val="231F20"/>
          <w:spacing w:val="-42"/>
          <w:w w:val="105"/>
        </w:rPr>
        <w:t> </w:t>
      </w:r>
      <w:r>
        <w:rPr>
          <w:color w:val="231F20"/>
          <w:w w:val="105"/>
        </w:rPr>
        <w:t>dello</w:t>
      </w:r>
      <w:r>
        <w:rPr>
          <w:color w:val="231F20"/>
          <w:spacing w:val="-42"/>
          <w:w w:val="105"/>
        </w:rPr>
        <w:t> </w:t>
      </w:r>
      <w:r>
        <w:rPr>
          <w:color w:val="231F20"/>
          <w:w w:val="105"/>
        </w:rPr>
        <w:t>Stato legislativo</w:t>
      </w:r>
      <w:r>
        <w:rPr>
          <w:color w:val="231F20"/>
          <w:spacing w:val="-17"/>
          <w:w w:val="105"/>
        </w:rPr>
        <w:t> </w:t>
      </w:r>
      <w:r>
        <w:rPr>
          <w:color w:val="231F20"/>
          <w:w w:val="105"/>
        </w:rPr>
        <w:t>di</w:t>
      </w:r>
      <w:r>
        <w:rPr>
          <w:color w:val="231F20"/>
          <w:spacing w:val="-17"/>
          <w:w w:val="105"/>
        </w:rPr>
        <w:t> </w:t>
      </w:r>
      <w:r>
        <w:rPr>
          <w:color w:val="231F20"/>
          <w:w w:val="105"/>
        </w:rPr>
        <w:t>diritto,</w:t>
      </w:r>
      <w:r>
        <w:rPr>
          <w:color w:val="231F20"/>
          <w:spacing w:val="-17"/>
          <w:w w:val="105"/>
        </w:rPr>
        <w:t> </w:t>
      </w:r>
      <w:r>
        <w:rPr>
          <w:color w:val="231F20"/>
          <w:w w:val="105"/>
        </w:rPr>
        <w:t>al</w:t>
      </w:r>
      <w:r>
        <w:rPr>
          <w:color w:val="231F20"/>
          <w:spacing w:val="-17"/>
          <w:w w:val="105"/>
        </w:rPr>
        <w:t> </w:t>
      </w:r>
      <w:r>
        <w:rPr>
          <w:color w:val="231F20"/>
          <w:w w:val="105"/>
        </w:rPr>
        <w:t>provocare</w:t>
      </w:r>
      <w:r>
        <w:rPr>
          <w:color w:val="231F20"/>
          <w:spacing w:val="-17"/>
          <w:w w:val="105"/>
        </w:rPr>
        <w:t> </w:t>
      </w:r>
      <w:r>
        <w:rPr>
          <w:color w:val="231F20"/>
          <w:w w:val="105"/>
        </w:rPr>
        <w:t>una</w:t>
      </w:r>
      <w:r>
        <w:rPr>
          <w:color w:val="231F20"/>
          <w:spacing w:val="-17"/>
          <w:w w:val="105"/>
        </w:rPr>
        <w:t> </w:t>
      </w:r>
      <w:r>
        <w:rPr>
          <w:color w:val="231F20"/>
          <w:w w:val="105"/>
        </w:rPr>
        <w:t>separazione</w:t>
      </w:r>
      <w:r>
        <w:rPr>
          <w:color w:val="231F20"/>
          <w:spacing w:val="-17"/>
          <w:w w:val="105"/>
        </w:rPr>
        <w:t> </w:t>
      </w:r>
      <w:r>
        <w:rPr>
          <w:color w:val="231F20"/>
          <w:w w:val="105"/>
        </w:rPr>
        <w:t>radicale</w:t>
      </w:r>
      <w:r>
        <w:rPr>
          <w:color w:val="231F20"/>
          <w:spacing w:val="-17"/>
          <w:w w:val="105"/>
        </w:rPr>
        <w:t> </w:t>
      </w:r>
      <w:r>
        <w:rPr>
          <w:color w:val="231F20"/>
          <w:w w:val="105"/>
        </w:rPr>
        <w:t>tra le</w:t>
      </w:r>
      <w:r>
        <w:rPr>
          <w:color w:val="231F20"/>
          <w:spacing w:val="-27"/>
          <w:w w:val="105"/>
        </w:rPr>
        <w:t> </w:t>
      </w:r>
      <w:r>
        <w:rPr>
          <w:color w:val="231F20"/>
          <w:w w:val="105"/>
        </w:rPr>
        <w:t>cose</w:t>
      </w:r>
      <w:r>
        <w:rPr>
          <w:color w:val="231F20"/>
          <w:spacing w:val="-27"/>
          <w:w w:val="105"/>
        </w:rPr>
        <w:t> </w:t>
      </w:r>
      <w:r>
        <w:rPr>
          <w:color w:val="231F20"/>
          <w:w w:val="105"/>
        </w:rPr>
        <w:t>valide</w:t>
      </w:r>
      <w:r>
        <w:rPr>
          <w:color w:val="231F20"/>
          <w:spacing w:val="-27"/>
          <w:w w:val="105"/>
        </w:rPr>
        <w:t> </w:t>
      </w:r>
      <w:r>
        <w:rPr>
          <w:color w:val="231F20"/>
          <w:w w:val="105"/>
        </w:rPr>
        <w:t>e</w:t>
      </w:r>
      <w:r>
        <w:rPr>
          <w:color w:val="231F20"/>
          <w:spacing w:val="-27"/>
          <w:w w:val="105"/>
        </w:rPr>
        <w:t> </w:t>
      </w:r>
      <w:r>
        <w:rPr>
          <w:color w:val="231F20"/>
          <w:w w:val="105"/>
        </w:rPr>
        <w:t>le</w:t>
      </w:r>
      <w:r>
        <w:rPr>
          <w:color w:val="231F20"/>
          <w:spacing w:val="-27"/>
          <w:w w:val="105"/>
        </w:rPr>
        <w:t> </w:t>
      </w:r>
      <w:r>
        <w:rPr>
          <w:color w:val="231F20"/>
          <w:w w:val="105"/>
        </w:rPr>
        <w:t>cose</w:t>
      </w:r>
      <w:r>
        <w:rPr>
          <w:color w:val="231F20"/>
          <w:spacing w:val="-27"/>
          <w:w w:val="105"/>
        </w:rPr>
        <w:t> </w:t>
      </w:r>
      <w:r>
        <w:rPr>
          <w:color w:val="231F20"/>
          <w:w w:val="105"/>
        </w:rPr>
        <w:t>giuste.</w:t>
      </w:r>
      <w:r>
        <w:rPr>
          <w:color w:val="231F20"/>
          <w:spacing w:val="-27"/>
          <w:w w:val="105"/>
        </w:rPr>
        <w:t> </w:t>
      </w:r>
      <w:r>
        <w:rPr>
          <w:color w:val="231F20"/>
          <w:w w:val="105"/>
        </w:rPr>
        <w:t>Come</w:t>
      </w:r>
      <w:r>
        <w:rPr>
          <w:color w:val="231F20"/>
          <w:spacing w:val="-27"/>
          <w:w w:val="105"/>
        </w:rPr>
        <w:t> </w:t>
      </w:r>
      <w:r>
        <w:rPr>
          <w:color w:val="231F20"/>
          <w:w w:val="105"/>
        </w:rPr>
        <w:t>già</w:t>
      </w:r>
      <w:r>
        <w:rPr>
          <w:color w:val="231F20"/>
          <w:spacing w:val="-27"/>
          <w:w w:val="105"/>
        </w:rPr>
        <w:t> </w:t>
      </w:r>
      <w:r>
        <w:rPr>
          <w:color w:val="231F20"/>
          <w:w w:val="105"/>
        </w:rPr>
        <w:t>espone</w:t>
      </w:r>
      <w:r>
        <w:rPr>
          <w:color w:val="231F20"/>
          <w:spacing w:val="-27"/>
          <w:w w:val="105"/>
        </w:rPr>
        <w:t> </w:t>
      </w:r>
      <w:r>
        <w:rPr>
          <w:color w:val="231F20"/>
          <w:w w:val="105"/>
        </w:rPr>
        <w:t>Luigi</w:t>
      </w:r>
      <w:r>
        <w:rPr>
          <w:color w:val="231F20"/>
          <w:spacing w:val="-27"/>
          <w:w w:val="105"/>
        </w:rPr>
        <w:t> </w:t>
      </w:r>
      <w:r>
        <w:rPr>
          <w:color w:val="231F20"/>
          <w:w w:val="105"/>
        </w:rPr>
        <w:t>Ferrajoli, </w:t>
      </w:r>
      <w:r>
        <w:rPr>
          <w:color w:val="231F20"/>
          <w:spacing w:val="-4"/>
          <w:w w:val="105"/>
        </w:rPr>
        <w:t>questo</w:t>
      </w:r>
      <w:r>
        <w:rPr>
          <w:color w:val="231F20"/>
          <w:spacing w:val="-49"/>
          <w:w w:val="105"/>
        </w:rPr>
        <w:t> </w:t>
      </w:r>
      <w:r>
        <w:rPr>
          <w:color w:val="231F20"/>
          <w:spacing w:val="-4"/>
          <w:w w:val="105"/>
        </w:rPr>
        <w:t>colpo</w:t>
      </w:r>
      <w:r>
        <w:rPr>
          <w:color w:val="231F20"/>
          <w:spacing w:val="-49"/>
          <w:w w:val="105"/>
        </w:rPr>
        <w:t> </w:t>
      </w:r>
      <w:r>
        <w:rPr>
          <w:color w:val="231F20"/>
          <w:spacing w:val="-4"/>
          <w:w w:val="105"/>
        </w:rPr>
        <w:t>frontale</w:t>
      </w:r>
      <w:r>
        <w:rPr>
          <w:color w:val="231F20"/>
          <w:spacing w:val="-49"/>
          <w:w w:val="105"/>
        </w:rPr>
        <w:t> </w:t>
      </w:r>
      <w:r>
        <w:rPr>
          <w:color w:val="231F20"/>
          <w:w w:val="105"/>
        </w:rPr>
        <w:t>ha</w:t>
      </w:r>
      <w:r>
        <w:rPr>
          <w:color w:val="231F20"/>
          <w:spacing w:val="-49"/>
          <w:w w:val="105"/>
        </w:rPr>
        <w:t> </w:t>
      </w:r>
      <w:r>
        <w:rPr>
          <w:color w:val="231F20"/>
          <w:spacing w:val="-4"/>
          <w:w w:val="105"/>
        </w:rPr>
        <w:t>provocato</w:t>
      </w:r>
      <w:r>
        <w:rPr>
          <w:color w:val="231F20"/>
          <w:spacing w:val="-49"/>
          <w:w w:val="105"/>
        </w:rPr>
        <w:t> </w:t>
      </w:r>
      <w:r>
        <w:rPr>
          <w:color w:val="231F20"/>
          <w:w w:val="105"/>
        </w:rPr>
        <w:t>un</w:t>
      </w:r>
      <w:r>
        <w:rPr>
          <w:color w:val="231F20"/>
          <w:spacing w:val="-49"/>
          <w:w w:val="105"/>
        </w:rPr>
        <w:t> </w:t>
      </w:r>
      <w:r>
        <w:rPr>
          <w:color w:val="231F20"/>
          <w:spacing w:val="-4"/>
          <w:w w:val="105"/>
        </w:rPr>
        <w:t>cambiamento</w:t>
      </w:r>
      <w:r>
        <w:rPr>
          <w:color w:val="231F20"/>
          <w:spacing w:val="-49"/>
          <w:w w:val="105"/>
        </w:rPr>
        <w:t> </w:t>
      </w:r>
      <w:r>
        <w:rPr>
          <w:color w:val="231F20"/>
          <w:w w:val="105"/>
        </w:rPr>
        <w:t>di</w:t>
      </w:r>
      <w:r>
        <w:rPr>
          <w:color w:val="231F20"/>
          <w:spacing w:val="-49"/>
          <w:w w:val="105"/>
        </w:rPr>
        <w:t> </w:t>
      </w:r>
      <w:r>
        <w:rPr>
          <w:color w:val="231F20"/>
          <w:spacing w:val="-4"/>
          <w:w w:val="105"/>
        </w:rPr>
        <w:t>paradigma</w:t>
      </w:r>
    </w:p>
    <w:p>
      <w:pPr>
        <w:pStyle w:val="BodyText"/>
        <w:spacing w:line="244" w:lineRule="auto"/>
        <w:ind w:left="117" w:right="99"/>
        <w:jc w:val="both"/>
      </w:pPr>
      <w:r>
        <w:rPr>
          <w:color w:val="231F20"/>
        </w:rPr>
        <w:t>giuridico nella forma di concepire lo Stato di diritto. Il </w:t>
      </w:r>
      <w:r>
        <w:rPr>
          <w:rFonts w:ascii="Arial" w:hAnsi="Arial"/>
          <w:i/>
          <w:color w:val="231F20"/>
        </w:rPr>
        <w:t>decisionismo</w:t>
      </w:r>
      <w:r>
        <w:rPr>
          <w:rFonts w:ascii="Arial" w:hAnsi="Arial"/>
          <w:i/>
          <w:color w:val="231F20"/>
          <w:spacing w:val="-24"/>
        </w:rPr>
        <w:t> </w:t>
      </w:r>
      <w:r>
        <w:rPr>
          <w:rFonts w:ascii="Arial" w:hAnsi="Arial"/>
          <w:i/>
          <w:color w:val="231F20"/>
        </w:rPr>
        <w:t>politico </w:t>
      </w:r>
      <w:r>
        <w:rPr>
          <w:color w:val="231F20"/>
        </w:rPr>
        <w:t>che fa capo al filosofo Carl Schmitt e il </w:t>
      </w:r>
      <w:r>
        <w:rPr>
          <w:rFonts w:ascii="Arial" w:hAnsi="Arial"/>
          <w:i/>
          <w:color w:val="231F20"/>
        </w:rPr>
        <w:t>Diritto penale del nemico </w:t>
      </w:r>
      <w:r>
        <w:rPr>
          <w:color w:val="231F20"/>
        </w:rPr>
        <w:t>(</w:t>
      </w:r>
      <w:r>
        <w:rPr>
          <w:color w:val="231F20"/>
          <w:sz w:val="18"/>
        </w:rPr>
        <w:t>DPN</w:t>
      </w:r>
      <w:r>
        <w:rPr>
          <w:color w:val="231F20"/>
        </w:rPr>
        <w:t>) (in tedesco, </w:t>
      </w:r>
      <w:r>
        <w:rPr>
          <w:rFonts w:ascii="Arial" w:hAnsi="Arial"/>
          <w:i/>
          <w:color w:val="231F20"/>
        </w:rPr>
        <w:t>Feindstrafrecht</w:t>
      </w:r>
      <w:r>
        <w:rPr>
          <w:color w:val="231F20"/>
        </w:rPr>
        <w:t>) di Günther Jakobs sono diventati il paradigma   di </w:t>
      </w:r>
      <w:r>
        <w:rPr>
          <w:color w:val="231F20"/>
          <w:spacing w:val="2"/>
        </w:rPr>
        <w:t>quello </w:t>
      </w:r>
      <w:r>
        <w:rPr>
          <w:color w:val="231F20"/>
        </w:rPr>
        <w:t>che </w:t>
      </w:r>
      <w:r>
        <w:rPr>
          <w:color w:val="231F20"/>
          <w:spacing w:val="2"/>
        </w:rPr>
        <w:t>oggi conosciamo come “lotta </w:t>
      </w:r>
      <w:r>
        <w:rPr>
          <w:color w:val="231F20"/>
        </w:rPr>
        <w:t>al </w:t>
      </w:r>
      <w:r>
        <w:rPr>
          <w:color w:val="231F20"/>
          <w:spacing w:val="2"/>
        </w:rPr>
        <w:t>terrorismo” </w:t>
      </w:r>
      <w:r>
        <w:rPr>
          <w:color w:val="231F20"/>
          <w:spacing w:val="3"/>
        </w:rPr>
        <w:t>nell’ambito </w:t>
      </w:r>
      <w:r>
        <w:rPr>
          <w:color w:val="231F20"/>
        </w:rPr>
        <w:t>internazionale</w:t>
      </w:r>
      <w:r>
        <w:rPr>
          <w:color w:val="231F20"/>
          <w:spacing w:val="-7"/>
        </w:rPr>
        <w:t> </w:t>
      </w:r>
      <w:r>
        <w:rPr>
          <w:color w:val="231F20"/>
        </w:rPr>
        <w:t>e</w:t>
      </w:r>
      <w:r>
        <w:rPr>
          <w:color w:val="231F20"/>
          <w:spacing w:val="-7"/>
        </w:rPr>
        <w:t> </w:t>
      </w:r>
      <w:r>
        <w:rPr>
          <w:color w:val="231F20"/>
        </w:rPr>
        <w:t>“lotta</w:t>
      </w:r>
      <w:r>
        <w:rPr>
          <w:color w:val="231F20"/>
          <w:spacing w:val="-7"/>
        </w:rPr>
        <w:t> </w:t>
      </w:r>
      <w:r>
        <w:rPr>
          <w:color w:val="231F20"/>
        </w:rPr>
        <w:t>alla</w:t>
      </w:r>
      <w:r>
        <w:rPr>
          <w:color w:val="231F20"/>
          <w:spacing w:val="-7"/>
        </w:rPr>
        <w:t> </w:t>
      </w:r>
      <w:r>
        <w:rPr>
          <w:color w:val="231F20"/>
        </w:rPr>
        <w:t>criminalità</w:t>
      </w:r>
      <w:r>
        <w:rPr>
          <w:color w:val="231F20"/>
          <w:spacing w:val="-7"/>
        </w:rPr>
        <w:t> </w:t>
      </w:r>
      <w:r>
        <w:rPr>
          <w:color w:val="231F20"/>
        </w:rPr>
        <w:t>organizzata”</w:t>
      </w:r>
      <w:r>
        <w:rPr>
          <w:color w:val="231F20"/>
          <w:spacing w:val="-7"/>
        </w:rPr>
        <w:t> </w:t>
      </w:r>
      <w:r>
        <w:rPr>
          <w:color w:val="231F20"/>
        </w:rPr>
        <w:t>nell’ambito</w:t>
      </w:r>
      <w:r>
        <w:rPr>
          <w:color w:val="231F20"/>
          <w:spacing w:val="-7"/>
        </w:rPr>
        <w:t> </w:t>
      </w:r>
      <w:r>
        <w:rPr>
          <w:color w:val="231F20"/>
        </w:rPr>
        <w:t>nazionale.</w:t>
      </w:r>
      <w:r>
        <w:rPr>
          <w:color w:val="231F20"/>
          <w:spacing w:val="-7"/>
        </w:rPr>
        <w:t> </w:t>
      </w:r>
      <w:r>
        <w:rPr>
          <w:color w:val="231F20"/>
        </w:rPr>
        <w:t>In Messico,</w:t>
      </w:r>
      <w:r>
        <w:rPr>
          <w:color w:val="231F20"/>
          <w:spacing w:val="-19"/>
        </w:rPr>
        <w:t> </w:t>
      </w:r>
      <w:r>
        <w:rPr>
          <w:color w:val="231F20"/>
        </w:rPr>
        <w:t>la</w:t>
      </w:r>
      <w:r>
        <w:rPr>
          <w:color w:val="231F20"/>
          <w:spacing w:val="-19"/>
        </w:rPr>
        <w:t> </w:t>
      </w:r>
      <w:r>
        <w:rPr>
          <w:color w:val="231F20"/>
        </w:rPr>
        <w:t>lotta</w:t>
      </w:r>
      <w:r>
        <w:rPr>
          <w:color w:val="231F20"/>
          <w:spacing w:val="-19"/>
        </w:rPr>
        <w:t> </w:t>
      </w:r>
      <w:r>
        <w:rPr>
          <w:color w:val="231F20"/>
        </w:rPr>
        <w:t>alla</w:t>
      </w:r>
      <w:r>
        <w:rPr>
          <w:color w:val="231F20"/>
          <w:spacing w:val="-19"/>
        </w:rPr>
        <w:t> </w:t>
      </w:r>
      <w:r>
        <w:rPr>
          <w:color w:val="231F20"/>
        </w:rPr>
        <w:t>criminalità</w:t>
      </w:r>
      <w:r>
        <w:rPr>
          <w:color w:val="231F20"/>
          <w:spacing w:val="-19"/>
        </w:rPr>
        <w:t> </w:t>
      </w:r>
      <w:r>
        <w:rPr>
          <w:color w:val="231F20"/>
        </w:rPr>
        <w:t>organizzata</w:t>
      </w:r>
      <w:r>
        <w:rPr>
          <w:color w:val="231F20"/>
          <w:spacing w:val="-19"/>
        </w:rPr>
        <w:t> </w:t>
      </w:r>
      <w:r>
        <w:rPr>
          <w:color w:val="231F20"/>
        </w:rPr>
        <w:t>ha</w:t>
      </w:r>
      <w:r>
        <w:rPr>
          <w:color w:val="231F20"/>
          <w:spacing w:val="-19"/>
        </w:rPr>
        <w:t> </w:t>
      </w:r>
      <w:r>
        <w:rPr>
          <w:color w:val="231F20"/>
        </w:rPr>
        <w:t>generato</w:t>
      </w:r>
      <w:r>
        <w:rPr>
          <w:color w:val="231F20"/>
          <w:spacing w:val="-19"/>
        </w:rPr>
        <w:t> </w:t>
      </w:r>
      <w:r>
        <w:rPr>
          <w:color w:val="231F20"/>
        </w:rPr>
        <w:t>una</w:t>
      </w:r>
      <w:r>
        <w:rPr>
          <w:color w:val="231F20"/>
          <w:spacing w:val="-19"/>
        </w:rPr>
        <w:t> </w:t>
      </w:r>
      <w:r>
        <w:rPr>
          <w:color w:val="231F20"/>
        </w:rPr>
        <w:t>serie</w:t>
      </w:r>
      <w:r>
        <w:rPr>
          <w:color w:val="231F20"/>
          <w:spacing w:val="-19"/>
        </w:rPr>
        <w:t> </w:t>
      </w:r>
      <w:r>
        <w:rPr>
          <w:color w:val="231F20"/>
        </w:rPr>
        <w:t>di</w:t>
      </w:r>
      <w:r>
        <w:rPr>
          <w:color w:val="231F20"/>
          <w:spacing w:val="-19"/>
        </w:rPr>
        <w:t> </w:t>
      </w:r>
      <w:r>
        <w:rPr>
          <w:color w:val="231F20"/>
        </w:rPr>
        <w:t>riforme costituzionali e al Codice Penale che si sono riflesse nella diminuzione</w:t>
      </w:r>
      <w:r>
        <w:rPr>
          <w:color w:val="231F20"/>
          <w:spacing w:val="-26"/>
        </w:rPr>
        <w:t> </w:t>
      </w:r>
      <w:r>
        <w:rPr>
          <w:color w:val="231F20"/>
        </w:rPr>
        <w:t>delle garanzie individuali e processuali dietro privilegiare la sicurezza nazionale. Detto panorama può vedersi come una delle forme che prende </w:t>
      </w:r>
      <w:r>
        <w:rPr>
          <w:color w:val="231F20"/>
          <w:spacing w:val="2"/>
        </w:rPr>
        <w:t>questa </w:t>
      </w:r>
      <w:r>
        <w:rPr>
          <w:color w:val="231F20"/>
        </w:rPr>
        <w:t>scissione tra quello che è valido e quello che è</w:t>
      </w:r>
      <w:r>
        <w:rPr>
          <w:color w:val="231F20"/>
          <w:spacing w:val="22"/>
        </w:rPr>
        <w:t> </w:t>
      </w:r>
      <w:r>
        <w:rPr>
          <w:color w:val="231F20"/>
        </w:rPr>
        <w:t>giusto.</w:t>
      </w:r>
    </w:p>
    <w:p>
      <w:pPr>
        <w:pStyle w:val="BodyText"/>
        <w:spacing w:line="244" w:lineRule="auto" w:before="1"/>
        <w:ind w:left="117" w:right="99" w:firstLine="566"/>
        <w:jc w:val="right"/>
      </w:pPr>
      <w:r>
        <w:rPr>
          <w:color w:val="231F20"/>
        </w:rPr>
        <w:t>Nel</w:t>
      </w:r>
      <w:r>
        <w:rPr>
          <w:color w:val="231F20"/>
          <w:spacing w:val="31"/>
        </w:rPr>
        <w:t> </w:t>
      </w:r>
      <w:r>
        <w:rPr>
          <w:color w:val="231F20"/>
        </w:rPr>
        <w:t>caso</w:t>
      </w:r>
      <w:r>
        <w:rPr>
          <w:color w:val="231F20"/>
          <w:spacing w:val="31"/>
        </w:rPr>
        <w:t> </w:t>
      </w:r>
      <w:r>
        <w:rPr>
          <w:color w:val="231F20"/>
        </w:rPr>
        <w:t>di</w:t>
      </w:r>
      <w:r>
        <w:rPr>
          <w:color w:val="231F20"/>
          <w:spacing w:val="31"/>
        </w:rPr>
        <w:t> </w:t>
      </w:r>
      <w:r>
        <w:rPr>
          <w:color w:val="231F20"/>
        </w:rPr>
        <w:t>Carl</w:t>
      </w:r>
      <w:r>
        <w:rPr>
          <w:color w:val="231F20"/>
          <w:spacing w:val="31"/>
        </w:rPr>
        <w:t> </w:t>
      </w:r>
      <w:r>
        <w:rPr>
          <w:color w:val="231F20"/>
        </w:rPr>
        <w:t>Schmitt</w:t>
      </w:r>
      <w:r>
        <w:rPr>
          <w:color w:val="231F20"/>
          <w:spacing w:val="31"/>
        </w:rPr>
        <w:t> </w:t>
      </w:r>
      <w:r>
        <w:rPr>
          <w:color w:val="231F20"/>
        </w:rPr>
        <w:t>—in</w:t>
      </w:r>
      <w:r>
        <w:rPr>
          <w:color w:val="231F20"/>
          <w:spacing w:val="31"/>
        </w:rPr>
        <w:t> </w:t>
      </w:r>
      <w:r>
        <w:rPr>
          <w:color w:val="231F20"/>
        </w:rPr>
        <w:t>sintonia</w:t>
      </w:r>
      <w:r>
        <w:rPr>
          <w:color w:val="231F20"/>
          <w:spacing w:val="31"/>
        </w:rPr>
        <w:t> </w:t>
      </w:r>
      <w:r>
        <w:rPr>
          <w:color w:val="231F20"/>
        </w:rPr>
        <w:t>con</w:t>
      </w:r>
      <w:r>
        <w:rPr>
          <w:color w:val="231F20"/>
          <w:spacing w:val="31"/>
        </w:rPr>
        <w:t> </w:t>
      </w:r>
      <w:r>
        <w:rPr>
          <w:color w:val="231F20"/>
        </w:rPr>
        <w:t>una</w:t>
      </w:r>
      <w:r>
        <w:rPr>
          <w:color w:val="231F20"/>
          <w:spacing w:val="31"/>
        </w:rPr>
        <w:t> </w:t>
      </w:r>
      <w:r>
        <w:rPr>
          <w:color w:val="231F20"/>
        </w:rPr>
        <w:t>idea</w:t>
      </w:r>
      <w:r>
        <w:rPr>
          <w:color w:val="231F20"/>
          <w:spacing w:val="31"/>
        </w:rPr>
        <w:t> </w:t>
      </w:r>
      <w:r>
        <w:rPr>
          <w:color w:val="231F20"/>
        </w:rPr>
        <w:t>cara</w:t>
      </w:r>
      <w:r>
        <w:rPr>
          <w:color w:val="231F20"/>
          <w:spacing w:val="31"/>
        </w:rPr>
        <w:t> </w:t>
      </w:r>
      <w:r>
        <w:rPr>
          <w:color w:val="231F20"/>
        </w:rPr>
        <w:t>a</w:t>
      </w:r>
      <w:r>
        <w:rPr>
          <w:color w:val="231F20"/>
          <w:spacing w:val="31"/>
        </w:rPr>
        <w:t> </w:t>
      </w:r>
      <w:r>
        <w:rPr>
          <w:color w:val="231F20"/>
        </w:rPr>
        <w:t>Walter</w:t>
      </w:r>
      <w:r>
        <w:rPr>
          <w:color w:val="231F20"/>
          <w:spacing w:val="2"/>
          <w:w w:val="100"/>
        </w:rPr>
        <w:t> </w:t>
      </w:r>
      <w:r>
        <w:rPr>
          <w:color w:val="231F20"/>
        </w:rPr>
        <w:t>Benjamin—,</w:t>
      </w:r>
      <w:r>
        <w:rPr>
          <w:color w:val="231F20"/>
          <w:spacing w:val="-12"/>
        </w:rPr>
        <w:t> </w:t>
      </w:r>
      <w:r>
        <w:rPr>
          <w:color w:val="231F20"/>
          <w:spacing w:val="-3"/>
        </w:rPr>
        <w:t>resta</w:t>
      </w:r>
      <w:r>
        <w:rPr>
          <w:color w:val="231F20"/>
          <w:spacing w:val="-12"/>
        </w:rPr>
        <w:t> </w:t>
      </w:r>
      <w:r>
        <w:rPr>
          <w:color w:val="231F20"/>
          <w:spacing w:val="-3"/>
        </w:rPr>
        <w:t>chiaro</w:t>
      </w:r>
      <w:r>
        <w:rPr>
          <w:color w:val="231F20"/>
          <w:spacing w:val="-12"/>
        </w:rPr>
        <w:t> </w:t>
      </w:r>
      <w:r>
        <w:rPr>
          <w:color w:val="231F20"/>
        </w:rPr>
        <w:t>che</w:t>
      </w:r>
      <w:r>
        <w:rPr>
          <w:color w:val="231F20"/>
          <w:spacing w:val="-12"/>
        </w:rPr>
        <w:t> </w:t>
      </w:r>
      <w:r>
        <w:rPr>
          <w:color w:val="231F20"/>
        </w:rPr>
        <w:t>dopo</w:t>
      </w:r>
      <w:r>
        <w:rPr>
          <w:color w:val="231F20"/>
          <w:spacing w:val="-12"/>
        </w:rPr>
        <w:t> </w:t>
      </w:r>
      <w:r>
        <w:rPr>
          <w:color w:val="231F20"/>
        </w:rPr>
        <w:t>l’11–S</w:t>
      </w:r>
      <w:r>
        <w:rPr>
          <w:color w:val="231F20"/>
          <w:spacing w:val="-12"/>
        </w:rPr>
        <w:t> </w:t>
      </w:r>
      <w:r>
        <w:rPr>
          <w:color w:val="231F20"/>
        </w:rPr>
        <w:t>i</w:t>
      </w:r>
      <w:r>
        <w:rPr>
          <w:color w:val="231F20"/>
          <w:spacing w:val="-12"/>
        </w:rPr>
        <w:t> </w:t>
      </w:r>
      <w:r>
        <w:rPr>
          <w:color w:val="231F20"/>
        </w:rPr>
        <w:t>termini</w:t>
      </w:r>
      <w:r>
        <w:rPr>
          <w:color w:val="231F20"/>
          <w:spacing w:val="-12"/>
        </w:rPr>
        <w:t> </w:t>
      </w:r>
      <w:r>
        <w:rPr>
          <w:color w:val="231F20"/>
        </w:rPr>
        <w:t>“guerra</w:t>
      </w:r>
      <w:r>
        <w:rPr>
          <w:color w:val="231F20"/>
          <w:spacing w:val="-12"/>
        </w:rPr>
        <w:t> </w:t>
      </w:r>
      <w:r>
        <w:rPr>
          <w:color w:val="231F20"/>
        </w:rPr>
        <w:t>giusta”</w:t>
      </w:r>
      <w:r>
        <w:rPr>
          <w:color w:val="231F20"/>
          <w:spacing w:val="-12"/>
        </w:rPr>
        <w:t> </w:t>
      </w:r>
      <w:r>
        <w:rPr>
          <w:color w:val="231F20"/>
        </w:rPr>
        <w:t>e</w:t>
      </w:r>
      <w:r>
        <w:rPr>
          <w:color w:val="231F20"/>
          <w:spacing w:val="-12"/>
        </w:rPr>
        <w:t> </w:t>
      </w:r>
      <w:r>
        <w:rPr>
          <w:color w:val="231F20"/>
        </w:rPr>
        <w:t>“guerra</w:t>
      </w:r>
      <w:r>
        <w:rPr>
          <w:color w:val="231F20"/>
          <w:spacing w:val="-2"/>
          <w:w w:val="104"/>
        </w:rPr>
        <w:t> </w:t>
      </w:r>
      <w:r>
        <w:rPr>
          <w:color w:val="231F20"/>
        </w:rPr>
        <w:t>preventiva” hanno evidenziato che viviamo in uno </w:t>
      </w:r>
      <w:r>
        <w:rPr>
          <w:rFonts w:ascii="Arial" w:hAnsi="Arial"/>
          <w:i/>
          <w:color w:val="231F20"/>
        </w:rPr>
        <w:t>stato di </w:t>
      </w:r>
      <w:r>
        <w:rPr>
          <w:rFonts w:ascii="Arial" w:hAnsi="Arial"/>
          <w:i/>
          <w:color w:val="231F20"/>
          <w:spacing w:val="4"/>
        </w:rPr>
        <w:t> </w:t>
      </w:r>
      <w:r>
        <w:rPr>
          <w:rFonts w:ascii="Arial" w:hAnsi="Arial"/>
          <w:i/>
          <w:color w:val="231F20"/>
        </w:rPr>
        <w:t>eccezione</w:t>
      </w:r>
      <w:r>
        <w:rPr>
          <w:rFonts w:ascii="Arial" w:hAnsi="Arial"/>
          <w:i/>
          <w:color w:val="231F20"/>
          <w:spacing w:val="24"/>
        </w:rPr>
        <w:t> </w:t>
      </w:r>
      <w:r>
        <w:rPr>
          <w:color w:val="231F20"/>
        </w:rPr>
        <w:t>che</w:t>
      </w:r>
      <w:r>
        <w:rPr>
          <w:color w:val="231F20"/>
          <w:spacing w:val="-1"/>
          <w:w w:val="103"/>
        </w:rPr>
        <w:t> </w:t>
      </w:r>
      <w:r>
        <w:rPr>
          <w:color w:val="231F20"/>
        </w:rPr>
        <w:t>è</w:t>
      </w:r>
      <w:r>
        <w:rPr>
          <w:color w:val="231F20"/>
          <w:spacing w:val="22"/>
        </w:rPr>
        <w:t> </w:t>
      </w:r>
      <w:r>
        <w:rPr>
          <w:color w:val="231F20"/>
        </w:rPr>
        <w:t>diventato la regola o, se si vuol vedere in un’altro modo, nel fare</w:t>
      </w:r>
      <w:r>
        <w:rPr>
          <w:color w:val="231F20"/>
          <w:spacing w:val="16"/>
        </w:rPr>
        <w:t> </w:t>
      </w:r>
      <w:r>
        <w:rPr>
          <w:color w:val="231F20"/>
        </w:rPr>
        <w:t>della</w:t>
      </w:r>
      <w:r>
        <w:rPr>
          <w:color w:val="231F20"/>
          <w:w w:val="100"/>
        </w:rPr>
        <w:t> </w:t>
      </w:r>
      <w:r>
        <w:rPr>
          <w:color w:val="231F20"/>
        </w:rPr>
        <w:t>sospensione della legge la garanzia dell’esistenza dello Stato di</w:t>
      </w:r>
      <w:r>
        <w:rPr>
          <w:color w:val="231F20"/>
          <w:spacing w:val="11"/>
        </w:rPr>
        <w:t> </w:t>
      </w:r>
      <w:r>
        <w:rPr>
          <w:color w:val="231F20"/>
        </w:rPr>
        <w:t>diritto.</w:t>
      </w:r>
      <w:r>
        <w:rPr>
          <w:color w:val="231F20"/>
          <w:spacing w:val="8"/>
        </w:rPr>
        <w:t> </w:t>
      </w:r>
      <w:r>
        <w:rPr>
          <w:color w:val="231F20"/>
        </w:rPr>
        <w:t>La</w:t>
      </w:r>
      <w:r>
        <w:rPr>
          <w:color w:val="231F20"/>
          <w:spacing w:val="-2"/>
          <w:w w:val="99"/>
        </w:rPr>
        <w:t> </w:t>
      </w:r>
      <w:r>
        <w:rPr>
          <w:color w:val="231F20"/>
        </w:rPr>
        <w:t>formulazione dell’idea di “guerra </w:t>
      </w:r>
      <w:r>
        <w:rPr>
          <w:color w:val="231F20"/>
          <w:spacing w:val="-2"/>
        </w:rPr>
        <w:t>preventiva”, </w:t>
      </w:r>
      <w:r>
        <w:rPr>
          <w:color w:val="231F20"/>
        </w:rPr>
        <w:t>che può </w:t>
      </w:r>
      <w:r>
        <w:rPr>
          <w:color w:val="231F20"/>
          <w:spacing w:val="-3"/>
        </w:rPr>
        <w:t>colpire</w:t>
      </w:r>
      <w:r>
        <w:rPr>
          <w:color w:val="231F20"/>
          <w:spacing w:val="2"/>
        </w:rPr>
        <w:t> </w:t>
      </w:r>
      <w:r>
        <w:rPr>
          <w:color w:val="231F20"/>
        </w:rPr>
        <w:t>quanti</w:t>
      </w:r>
      <w:r>
        <w:rPr>
          <w:color w:val="231F20"/>
          <w:spacing w:val="7"/>
        </w:rPr>
        <w:t> </w:t>
      </w:r>
      <w:r>
        <w:rPr>
          <w:color w:val="231F20"/>
        </w:rPr>
        <w:t>paesi</w:t>
      </w:r>
      <w:r>
        <w:rPr>
          <w:color w:val="231F20"/>
          <w:spacing w:val="-2"/>
          <w:w w:val="103"/>
        </w:rPr>
        <w:t> </w:t>
      </w:r>
      <w:r>
        <w:rPr>
          <w:color w:val="231F20"/>
          <w:spacing w:val="-3"/>
        </w:rPr>
        <w:t>creda </w:t>
      </w:r>
      <w:r>
        <w:rPr>
          <w:color w:val="231F20"/>
        </w:rPr>
        <w:t>opportuno l’interesse nazionale, assume, </w:t>
      </w:r>
      <w:r>
        <w:rPr>
          <w:rFonts w:ascii="Arial" w:hAnsi="Arial"/>
          <w:i/>
          <w:color w:val="231F20"/>
        </w:rPr>
        <w:t>di facto</w:t>
      </w:r>
      <w:r>
        <w:rPr>
          <w:color w:val="231F20"/>
        </w:rPr>
        <w:t>, la</w:t>
      </w:r>
      <w:r>
        <w:rPr>
          <w:color w:val="231F20"/>
          <w:spacing w:val="-4"/>
        </w:rPr>
        <w:t> </w:t>
      </w:r>
      <w:r>
        <w:rPr>
          <w:color w:val="231F20"/>
        </w:rPr>
        <w:t>tesi</w:t>
      </w:r>
      <w:r>
        <w:rPr>
          <w:color w:val="231F20"/>
          <w:spacing w:val="-2"/>
        </w:rPr>
        <w:t> </w:t>
      </w:r>
      <w:r>
        <w:rPr>
          <w:color w:val="231F20"/>
        </w:rPr>
        <w:t>schmittiana</w:t>
      </w:r>
      <w:r>
        <w:rPr>
          <w:color w:val="231F20"/>
          <w:spacing w:val="-2"/>
          <w:w w:val="99"/>
        </w:rPr>
        <w:t> </w:t>
      </w:r>
      <w:r>
        <w:rPr>
          <w:color w:val="231F20"/>
        </w:rPr>
        <w:t>secondo cui una </w:t>
      </w:r>
      <w:r>
        <w:rPr>
          <w:color w:val="231F20"/>
          <w:spacing w:val="-3"/>
        </w:rPr>
        <w:t>prescrizione </w:t>
      </w:r>
      <w:r>
        <w:rPr>
          <w:color w:val="231F20"/>
        </w:rPr>
        <w:t>giuridica si può stabilire solo a partire</w:t>
      </w:r>
      <w:r>
        <w:rPr>
          <w:color w:val="231F20"/>
          <w:spacing w:val="15"/>
        </w:rPr>
        <w:t> </w:t>
      </w:r>
      <w:r>
        <w:rPr>
          <w:color w:val="231F20"/>
        </w:rPr>
        <w:t>da</w:t>
      </w:r>
      <w:r>
        <w:rPr>
          <w:color w:val="231F20"/>
          <w:spacing w:val="1"/>
        </w:rPr>
        <w:t> </w:t>
      </w:r>
      <w:r>
        <w:rPr>
          <w:color w:val="231F20"/>
          <w:spacing w:val="-2"/>
        </w:rPr>
        <w:t>una</w:t>
      </w:r>
      <w:r>
        <w:rPr>
          <w:color w:val="231F20"/>
          <w:spacing w:val="-2"/>
          <w:w w:val="99"/>
        </w:rPr>
        <w:t> </w:t>
      </w:r>
      <w:r>
        <w:rPr>
          <w:color w:val="231F20"/>
        </w:rPr>
        <w:t>decisione</w:t>
      </w:r>
      <w:r>
        <w:rPr>
          <w:color w:val="231F20"/>
          <w:spacing w:val="-6"/>
        </w:rPr>
        <w:t> </w:t>
      </w:r>
      <w:r>
        <w:rPr>
          <w:color w:val="231F20"/>
        </w:rPr>
        <w:t>politica</w:t>
      </w:r>
      <w:r>
        <w:rPr>
          <w:color w:val="231F20"/>
          <w:spacing w:val="-6"/>
        </w:rPr>
        <w:t> </w:t>
      </w:r>
      <w:r>
        <w:rPr>
          <w:color w:val="231F20"/>
        </w:rPr>
        <w:t>assoluta.</w:t>
      </w:r>
      <w:r>
        <w:rPr>
          <w:color w:val="231F20"/>
          <w:spacing w:val="-6"/>
        </w:rPr>
        <w:t> </w:t>
      </w:r>
      <w:r>
        <w:rPr>
          <w:color w:val="231F20"/>
        </w:rPr>
        <w:t>La</w:t>
      </w:r>
      <w:r>
        <w:rPr>
          <w:color w:val="231F20"/>
          <w:spacing w:val="-6"/>
        </w:rPr>
        <w:t> </w:t>
      </w:r>
      <w:r>
        <w:rPr>
          <w:color w:val="231F20"/>
        </w:rPr>
        <w:t>situazione</w:t>
      </w:r>
      <w:r>
        <w:rPr>
          <w:color w:val="231F20"/>
          <w:spacing w:val="-6"/>
        </w:rPr>
        <w:t> </w:t>
      </w:r>
      <w:r>
        <w:rPr>
          <w:color w:val="231F20"/>
        </w:rPr>
        <w:t>del</w:t>
      </w:r>
      <w:r>
        <w:rPr>
          <w:color w:val="231F20"/>
          <w:spacing w:val="-6"/>
        </w:rPr>
        <w:t> </w:t>
      </w:r>
      <w:r>
        <w:rPr>
          <w:color w:val="231F20"/>
        </w:rPr>
        <w:t>Messico</w:t>
      </w:r>
      <w:r>
        <w:rPr>
          <w:color w:val="231F20"/>
          <w:spacing w:val="-6"/>
        </w:rPr>
        <w:t> </w:t>
      </w:r>
      <w:r>
        <w:rPr>
          <w:color w:val="231F20"/>
        </w:rPr>
        <w:t>di</w:t>
      </w:r>
      <w:r>
        <w:rPr>
          <w:color w:val="231F20"/>
          <w:spacing w:val="-6"/>
        </w:rPr>
        <w:t> </w:t>
      </w:r>
      <w:r>
        <w:rPr>
          <w:color w:val="231F20"/>
          <w:spacing w:val="-3"/>
        </w:rPr>
        <w:t>fronte</w:t>
      </w:r>
      <w:r>
        <w:rPr>
          <w:color w:val="231F20"/>
          <w:spacing w:val="-6"/>
        </w:rPr>
        <w:t> </w:t>
      </w:r>
      <w:r>
        <w:rPr>
          <w:color w:val="231F20"/>
        </w:rPr>
        <w:t>alla</w:t>
      </w:r>
      <w:r>
        <w:rPr>
          <w:color w:val="231F20"/>
          <w:spacing w:val="-6"/>
        </w:rPr>
        <w:t> </w:t>
      </w:r>
      <w:r>
        <w:rPr>
          <w:color w:val="231F20"/>
        </w:rPr>
        <w:t>lotta</w:t>
      </w:r>
      <w:r>
        <w:rPr>
          <w:color w:val="231F20"/>
          <w:spacing w:val="-6"/>
        </w:rPr>
        <w:t> </w:t>
      </w:r>
      <w:r>
        <w:rPr>
          <w:color w:val="231F20"/>
        </w:rPr>
        <w:t>alla</w:t>
      </w:r>
      <w:r>
        <w:rPr>
          <w:color w:val="231F20"/>
          <w:spacing w:val="-2"/>
          <w:w w:val="100"/>
        </w:rPr>
        <w:t> </w:t>
      </w:r>
      <w:r>
        <w:rPr>
          <w:color w:val="231F20"/>
        </w:rPr>
        <w:t>criminalità</w:t>
      </w:r>
      <w:r>
        <w:rPr>
          <w:color w:val="231F20"/>
          <w:spacing w:val="-12"/>
        </w:rPr>
        <w:t> </w:t>
      </w:r>
      <w:r>
        <w:rPr>
          <w:color w:val="231F20"/>
          <w:spacing w:val="-3"/>
        </w:rPr>
        <w:t>organizzata</w:t>
      </w:r>
      <w:r>
        <w:rPr>
          <w:color w:val="231F20"/>
          <w:spacing w:val="-16"/>
        </w:rPr>
        <w:t> </w:t>
      </w:r>
      <w:r>
        <w:rPr>
          <w:color w:val="231F20"/>
        </w:rPr>
        <w:t>non</w:t>
      </w:r>
      <w:r>
        <w:rPr>
          <w:color w:val="231F20"/>
          <w:spacing w:val="-16"/>
        </w:rPr>
        <w:t> </w:t>
      </w:r>
      <w:r>
        <w:rPr>
          <w:color w:val="231F20"/>
        </w:rPr>
        <w:t>è</w:t>
      </w:r>
      <w:r>
        <w:rPr>
          <w:color w:val="231F20"/>
          <w:spacing w:val="-16"/>
        </w:rPr>
        <w:t> </w:t>
      </w:r>
      <w:r>
        <w:rPr>
          <w:color w:val="231F20"/>
        </w:rPr>
        <w:t>tanto</w:t>
      </w:r>
      <w:r>
        <w:rPr>
          <w:color w:val="231F20"/>
          <w:spacing w:val="-16"/>
        </w:rPr>
        <w:t> </w:t>
      </w:r>
      <w:r>
        <w:rPr>
          <w:color w:val="231F20"/>
        </w:rPr>
        <w:t>diversa,</w:t>
      </w:r>
      <w:r>
        <w:rPr>
          <w:color w:val="231F20"/>
          <w:spacing w:val="-16"/>
        </w:rPr>
        <w:t> </w:t>
      </w:r>
      <w:r>
        <w:rPr>
          <w:color w:val="231F20"/>
        </w:rPr>
        <w:t>lì</w:t>
      </w:r>
      <w:r>
        <w:rPr>
          <w:color w:val="231F20"/>
          <w:spacing w:val="-16"/>
        </w:rPr>
        <w:t> </w:t>
      </w:r>
      <w:r>
        <w:rPr>
          <w:color w:val="231F20"/>
        </w:rPr>
        <w:t>anche</w:t>
      </w:r>
      <w:r>
        <w:rPr>
          <w:color w:val="231F20"/>
          <w:spacing w:val="-16"/>
        </w:rPr>
        <w:t> </w:t>
      </w:r>
      <w:r>
        <w:rPr>
          <w:color w:val="231F20"/>
        </w:rPr>
        <w:t>le</w:t>
      </w:r>
      <w:r>
        <w:rPr>
          <w:color w:val="231F20"/>
          <w:spacing w:val="-16"/>
        </w:rPr>
        <w:t> </w:t>
      </w:r>
      <w:r>
        <w:rPr>
          <w:color w:val="231F20"/>
        </w:rPr>
        <w:t>zone</w:t>
      </w:r>
      <w:r>
        <w:rPr>
          <w:color w:val="231F20"/>
          <w:spacing w:val="-16"/>
        </w:rPr>
        <w:t> </w:t>
      </w:r>
      <w:r>
        <w:rPr>
          <w:color w:val="231F20"/>
        </w:rPr>
        <w:t>di</w:t>
      </w:r>
      <w:r>
        <w:rPr>
          <w:color w:val="231F20"/>
          <w:spacing w:val="-16"/>
        </w:rPr>
        <w:t> </w:t>
      </w:r>
      <w:r>
        <w:rPr>
          <w:color w:val="231F20"/>
        </w:rPr>
        <w:t>eccezione</w:t>
      </w:r>
      <w:r>
        <w:rPr>
          <w:color w:val="231F20"/>
          <w:spacing w:val="-16"/>
        </w:rPr>
        <w:t> </w:t>
      </w:r>
      <w:r>
        <w:rPr>
          <w:color w:val="231F20"/>
        </w:rPr>
        <w:t>alla</w:t>
      </w:r>
      <w:r>
        <w:rPr>
          <w:color w:val="231F20"/>
          <w:spacing w:val="-2"/>
          <w:w w:val="100"/>
        </w:rPr>
        <w:t> </w:t>
      </w:r>
      <w:r>
        <w:rPr>
          <w:color w:val="231F20"/>
          <w:spacing w:val="-4"/>
        </w:rPr>
        <w:t>legge</w:t>
      </w:r>
      <w:r>
        <w:rPr>
          <w:color w:val="231F20"/>
          <w:spacing w:val="-9"/>
        </w:rPr>
        <w:t> </w:t>
      </w:r>
      <w:r>
        <w:rPr>
          <w:color w:val="231F20"/>
          <w:spacing w:val="-3"/>
        </w:rPr>
        <w:t>sono</w:t>
      </w:r>
      <w:r>
        <w:rPr>
          <w:color w:val="231F20"/>
          <w:spacing w:val="-9"/>
        </w:rPr>
        <w:t> </w:t>
      </w:r>
      <w:r>
        <w:rPr>
          <w:color w:val="231F20"/>
          <w:spacing w:val="-4"/>
        </w:rPr>
        <w:t>quello</w:t>
      </w:r>
      <w:r>
        <w:rPr>
          <w:color w:val="231F20"/>
          <w:spacing w:val="-9"/>
        </w:rPr>
        <w:t> </w:t>
      </w:r>
      <w:r>
        <w:rPr>
          <w:color w:val="231F20"/>
          <w:spacing w:val="-3"/>
        </w:rPr>
        <w:t>che,</w:t>
      </w:r>
      <w:r>
        <w:rPr>
          <w:color w:val="231F20"/>
          <w:spacing w:val="-9"/>
        </w:rPr>
        <w:t> </w:t>
      </w:r>
      <w:r>
        <w:rPr>
          <w:color w:val="231F20"/>
          <w:spacing w:val="-4"/>
        </w:rPr>
        <w:t>paradossalmente,</w:t>
      </w:r>
      <w:r>
        <w:rPr>
          <w:color w:val="231F20"/>
          <w:spacing w:val="-9"/>
        </w:rPr>
        <w:t> </w:t>
      </w:r>
      <w:r>
        <w:rPr>
          <w:color w:val="231F20"/>
          <w:spacing w:val="-4"/>
        </w:rPr>
        <w:t>permette</w:t>
      </w:r>
      <w:r>
        <w:rPr>
          <w:color w:val="231F20"/>
          <w:spacing w:val="-9"/>
        </w:rPr>
        <w:t> </w:t>
      </w:r>
      <w:r>
        <w:rPr>
          <w:color w:val="231F20"/>
          <w:spacing w:val="-3"/>
        </w:rPr>
        <w:t>che</w:t>
      </w:r>
      <w:r>
        <w:rPr>
          <w:color w:val="231F20"/>
          <w:spacing w:val="-9"/>
        </w:rPr>
        <w:t> </w:t>
      </w:r>
      <w:r>
        <w:rPr>
          <w:color w:val="231F20"/>
        </w:rPr>
        <w:t>la</w:t>
      </w:r>
      <w:r>
        <w:rPr>
          <w:color w:val="231F20"/>
          <w:spacing w:val="-9"/>
        </w:rPr>
        <w:t> </w:t>
      </w:r>
      <w:r>
        <w:rPr>
          <w:color w:val="231F20"/>
          <w:spacing w:val="-4"/>
        </w:rPr>
        <w:t>legalità</w:t>
      </w:r>
      <w:r>
        <w:rPr>
          <w:color w:val="231F20"/>
          <w:spacing w:val="-9"/>
        </w:rPr>
        <w:t> </w:t>
      </w:r>
      <w:r>
        <w:rPr>
          <w:color w:val="231F20"/>
        </w:rPr>
        <w:t>si</w:t>
      </w:r>
      <w:r>
        <w:rPr>
          <w:color w:val="231F20"/>
          <w:spacing w:val="-9"/>
        </w:rPr>
        <w:t> </w:t>
      </w:r>
      <w:r>
        <w:rPr>
          <w:color w:val="231F20"/>
          <w:spacing w:val="-4"/>
        </w:rPr>
        <w:t>sostenga.</w:t>
      </w:r>
    </w:p>
    <w:p>
      <w:pPr>
        <w:pStyle w:val="BodyText"/>
        <w:spacing w:line="247" w:lineRule="auto" w:before="1"/>
        <w:ind w:left="117" w:right="99" w:firstLine="566"/>
        <w:jc w:val="both"/>
      </w:pPr>
      <w:r>
        <w:rPr>
          <w:color w:val="231F20"/>
          <w:w w:val="105"/>
        </w:rPr>
        <w:t>Il</w:t>
      </w:r>
      <w:r>
        <w:rPr>
          <w:color w:val="231F20"/>
          <w:spacing w:val="-44"/>
          <w:w w:val="105"/>
        </w:rPr>
        <w:t> </w:t>
      </w:r>
      <w:r>
        <w:rPr>
          <w:color w:val="231F20"/>
          <w:spacing w:val="-3"/>
          <w:w w:val="105"/>
          <w:sz w:val="18"/>
        </w:rPr>
        <w:t>DPN</w:t>
      </w:r>
      <w:r>
        <w:rPr>
          <w:color w:val="231F20"/>
          <w:spacing w:val="-34"/>
          <w:w w:val="105"/>
          <w:sz w:val="18"/>
        </w:rPr>
        <w:t> </w:t>
      </w:r>
      <w:r>
        <w:rPr>
          <w:color w:val="231F20"/>
          <w:w w:val="105"/>
        </w:rPr>
        <w:t>di</w:t>
      </w:r>
      <w:r>
        <w:rPr>
          <w:color w:val="231F20"/>
          <w:spacing w:val="-44"/>
          <w:w w:val="105"/>
        </w:rPr>
        <w:t> </w:t>
      </w:r>
      <w:r>
        <w:rPr>
          <w:color w:val="231F20"/>
          <w:spacing w:val="-4"/>
          <w:w w:val="105"/>
        </w:rPr>
        <w:t>Jakobs</w:t>
      </w:r>
      <w:r>
        <w:rPr>
          <w:color w:val="231F20"/>
          <w:spacing w:val="-44"/>
          <w:w w:val="105"/>
        </w:rPr>
        <w:t> </w:t>
      </w:r>
      <w:r>
        <w:rPr>
          <w:color w:val="231F20"/>
          <w:spacing w:val="-4"/>
          <w:w w:val="105"/>
        </w:rPr>
        <w:t>contravviene</w:t>
      </w:r>
      <w:r>
        <w:rPr>
          <w:color w:val="231F20"/>
          <w:spacing w:val="-44"/>
          <w:w w:val="105"/>
        </w:rPr>
        <w:t> </w:t>
      </w:r>
      <w:r>
        <w:rPr>
          <w:color w:val="231F20"/>
          <w:spacing w:val="-4"/>
          <w:w w:val="105"/>
        </w:rPr>
        <w:t>anche</w:t>
      </w:r>
      <w:r>
        <w:rPr>
          <w:color w:val="231F20"/>
          <w:spacing w:val="-44"/>
          <w:w w:val="105"/>
        </w:rPr>
        <w:t> </w:t>
      </w:r>
      <w:r>
        <w:rPr>
          <w:color w:val="231F20"/>
          <w:spacing w:val="-3"/>
          <w:w w:val="105"/>
        </w:rPr>
        <w:t>uno</w:t>
      </w:r>
      <w:r>
        <w:rPr>
          <w:color w:val="231F20"/>
          <w:spacing w:val="-44"/>
          <w:w w:val="105"/>
        </w:rPr>
        <w:t> </w:t>
      </w:r>
      <w:r>
        <w:rPr>
          <w:color w:val="231F20"/>
          <w:spacing w:val="-3"/>
          <w:w w:val="105"/>
        </w:rPr>
        <w:t>dei</w:t>
      </w:r>
      <w:r>
        <w:rPr>
          <w:color w:val="231F20"/>
          <w:spacing w:val="-44"/>
          <w:w w:val="105"/>
        </w:rPr>
        <w:t> </w:t>
      </w:r>
      <w:r>
        <w:rPr>
          <w:color w:val="231F20"/>
          <w:spacing w:val="-4"/>
          <w:w w:val="105"/>
        </w:rPr>
        <w:t>principi</w:t>
      </w:r>
      <w:r>
        <w:rPr>
          <w:color w:val="231F20"/>
          <w:spacing w:val="-44"/>
          <w:w w:val="105"/>
        </w:rPr>
        <w:t> </w:t>
      </w:r>
      <w:r>
        <w:rPr>
          <w:color w:val="231F20"/>
          <w:spacing w:val="-4"/>
          <w:w w:val="105"/>
        </w:rPr>
        <w:t>esenziali</w:t>
      </w:r>
      <w:r>
        <w:rPr>
          <w:color w:val="231F20"/>
          <w:spacing w:val="-44"/>
          <w:w w:val="105"/>
        </w:rPr>
        <w:t> </w:t>
      </w:r>
      <w:r>
        <w:rPr>
          <w:color w:val="231F20"/>
          <w:spacing w:val="-4"/>
          <w:w w:val="105"/>
        </w:rPr>
        <w:t>dello</w:t>
      </w:r>
      <w:r>
        <w:rPr>
          <w:color w:val="231F20"/>
          <w:spacing w:val="-44"/>
          <w:w w:val="105"/>
        </w:rPr>
        <w:t> </w:t>
      </w:r>
      <w:r>
        <w:rPr>
          <w:color w:val="231F20"/>
          <w:spacing w:val="-4"/>
          <w:w w:val="105"/>
        </w:rPr>
        <w:t>Stato </w:t>
      </w:r>
      <w:r>
        <w:rPr>
          <w:color w:val="231F20"/>
          <w:w w:val="105"/>
        </w:rPr>
        <w:t>di</w:t>
      </w:r>
      <w:r>
        <w:rPr>
          <w:color w:val="231F20"/>
          <w:spacing w:val="-39"/>
          <w:w w:val="105"/>
        </w:rPr>
        <w:t> </w:t>
      </w:r>
      <w:r>
        <w:rPr>
          <w:color w:val="231F20"/>
          <w:spacing w:val="-4"/>
          <w:w w:val="105"/>
        </w:rPr>
        <w:t>diritto</w:t>
      </w:r>
      <w:r>
        <w:rPr>
          <w:color w:val="231F20"/>
          <w:spacing w:val="-39"/>
          <w:w w:val="105"/>
        </w:rPr>
        <w:t> </w:t>
      </w:r>
      <w:r>
        <w:rPr>
          <w:color w:val="231F20"/>
          <w:spacing w:val="-4"/>
          <w:w w:val="105"/>
        </w:rPr>
        <w:t>liberale:</w:t>
      </w:r>
      <w:r>
        <w:rPr>
          <w:color w:val="231F20"/>
          <w:spacing w:val="-39"/>
          <w:w w:val="105"/>
        </w:rPr>
        <w:t> </w:t>
      </w:r>
      <w:r>
        <w:rPr>
          <w:color w:val="231F20"/>
          <w:spacing w:val="-4"/>
          <w:w w:val="105"/>
        </w:rPr>
        <w:t>l’uguaglianza</w:t>
      </w:r>
      <w:r>
        <w:rPr>
          <w:color w:val="231F20"/>
          <w:spacing w:val="-39"/>
          <w:w w:val="105"/>
        </w:rPr>
        <w:t> </w:t>
      </w:r>
      <w:r>
        <w:rPr>
          <w:color w:val="231F20"/>
          <w:w w:val="105"/>
        </w:rPr>
        <w:t>di</w:t>
      </w:r>
      <w:r>
        <w:rPr>
          <w:color w:val="231F20"/>
          <w:spacing w:val="-39"/>
          <w:w w:val="105"/>
        </w:rPr>
        <w:t> </w:t>
      </w:r>
      <w:r>
        <w:rPr>
          <w:color w:val="231F20"/>
          <w:spacing w:val="-3"/>
          <w:w w:val="105"/>
        </w:rPr>
        <w:t>tutti</w:t>
      </w:r>
      <w:r>
        <w:rPr>
          <w:color w:val="231F20"/>
          <w:spacing w:val="-39"/>
          <w:w w:val="105"/>
        </w:rPr>
        <w:t> </w:t>
      </w:r>
      <w:r>
        <w:rPr>
          <w:color w:val="231F20"/>
          <w:w w:val="105"/>
        </w:rPr>
        <w:t>i</w:t>
      </w:r>
      <w:r>
        <w:rPr>
          <w:color w:val="231F20"/>
          <w:spacing w:val="-39"/>
          <w:w w:val="105"/>
        </w:rPr>
        <w:t> </w:t>
      </w:r>
      <w:r>
        <w:rPr>
          <w:color w:val="231F20"/>
          <w:spacing w:val="-4"/>
          <w:w w:val="105"/>
        </w:rPr>
        <w:t>cittadini</w:t>
      </w:r>
      <w:r>
        <w:rPr>
          <w:color w:val="231F20"/>
          <w:spacing w:val="-39"/>
          <w:w w:val="105"/>
        </w:rPr>
        <w:t> </w:t>
      </w:r>
      <w:r>
        <w:rPr>
          <w:color w:val="231F20"/>
          <w:spacing w:val="-4"/>
          <w:w w:val="105"/>
        </w:rPr>
        <w:t>davanti</w:t>
      </w:r>
      <w:r>
        <w:rPr>
          <w:color w:val="231F20"/>
          <w:spacing w:val="-39"/>
          <w:w w:val="105"/>
        </w:rPr>
        <w:t> </w:t>
      </w:r>
      <w:r>
        <w:rPr>
          <w:color w:val="231F20"/>
          <w:spacing w:val="-3"/>
          <w:w w:val="105"/>
        </w:rPr>
        <w:t>alla</w:t>
      </w:r>
      <w:r>
        <w:rPr>
          <w:color w:val="231F20"/>
          <w:spacing w:val="-39"/>
          <w:w w:val="105"/>
        </w:rPr>
        <w:t> </w:t>
      </w:r>
      <w:r>
        <w:rPr>
          <w:color w:val="231F20"/>
          <w:spacing w:val="-4"/>
          <w:w w:val="105"/>
        </w:rPr>
        <w:t>legge.</w:t>
      </w:r>
      <w:r>
        <w:rPr>
          <w:color w:val="231F20"/>
          <w:spacing w:val="-39"/>
          <w:w w:val="105"/>
        </w:rPr>
        <w:t> </w:t>
      </w:r>
      <w:r>
        <w:rPr>
          <w:color w:val="231F20"/>
          <w:spacing w:val="-3"/>
          <w:w w:val="105"/>
        </w:rPr>
        <w:t>Nel</w:t>
      </w:r>
      <w:r>
        <w:rPr>
          <w:color w:val="231F20"/>
          <w:spacing w:val="-39"/>
          <w:w w:val="105"/>
        </w:rPr>
        <w:t> </w:t>
      </w:r>
      <w:r>
        <w:rPr>
          <w:color w:val="231F20"/>
          <w:spacing w:val="-4"/>
          <w:w w:val="105"/>
        </w:rPr>
        <w:t>mondo </w:t>
      </w:r>
      <w:r>
        <w:rPr>
          <w:color w:val="231F20"/>
          <w:w w:val="105"/>
        </w:rPr>
        <w:t>attuale</w:t>
      </w:r>
      <w:r>
        <w:rPr>
          <w:color w:val="231F20"/>
          <w:spacing w:val="-47"/>
          <w:w w:val="105"/>
        </w:rPr>
        <w:t> </w:t>
      </w:r>
      <w:r>
        <w:rPr>
          <w:color w:val="231F20"/>
          <w:w w:val="105"/>
        </w:rPr>
        <w:t>è</w:t>
      </w:r>
      <w:r>
        <w:rPr>
          <w:color w:val="231F20"/>
          <w:spacing w:val="-47"/>
          <w:w w:val="105"/>
        </w:rPr>
        <w:t> </w:t>
      </w:r>
      <w:r>
        <w:rPr>
          <w:color w:val="231F20"/>
          <w:w w:val="105"/>
        </w:rPr>
        <w:t>ogni</w:t>
      </w:r>
      <w:r>
        <w:rPr>
          <w:color w:val="231F20"/>
          <w:spacing w:val="-47"/>
          <w:w w:val="105"/>
        </w:rPr>
        <w:t> </w:t>
      </w:r>
      <w:r>
        <w:rPr>
          <w:color w:val="231F20"/>
          <w:w w:val="105"/>
        </w:rPr>
        <w:t>volta</w:t>
      </w:r>
      <w:r>
        <w:rPr>
          <w:color w:val="231F20"/>
          <w:spacing w:val="-47"/>
          <w:w w:val="105"/>
        </w:rPr>
        <w:t> </w:t>
      </w:r>
      <w:r>
        <w:rPr>
          <w:color w:val="231F20"/>
          <w:w w:val="105"/>
        </w:rPr>
        <w:t>più</w:t>
      </w:r>
      <w:r>
        <w:rPr>
          <w:color w:val="231F20"/>
          <w:spacing w:val="-47"/>
          <w:w w:val="105"/>
        </w:rPr>
        <w:t> </w:t>
      </w:r>
      <w:r>
        <w:rPr>
          <w:color w:val="231F20"/>
          <w:w w:val="105"/>
        </w:rPr>
        <w:t>pronunciata</w:t>
      </w:r>
      <w:r>
        <w:rPr>
          <w:color w:val="231F20"/>
          <w:spacing w:val="-47"/>
          <w:w w:val="105"/>
        </w:rPr>
        <w:t> </w:t>
      </w:r>
      <w:r>
        <w:rPr>
          <w:color w:val="231F20"/>
          <w:w w:val="105"/>
        </w:rPr>
        <w:t>la</w:t>
      </w:r>
      <w:r>
        <w:rPr>
          <w:color w:val="231F20"/>
          <w:spacing w:val="-47"/>
          <w:w w:val="105"/>
        </w:rPr>
        <w:t> </w:t>
      </w:r>
      <w:r>
        <w:rPr>
          <w:color w:val="231F20"/>
          <w:w w:val="105"/>
        </w:rPr>
        <w:t>distinzione</w:t>
      </w:r>
      <w:r>
        <w:rPr>
          <w:color w:val="231F20"/>
          <w:spacing w:val="-47"/>
          <w:w w:val="105"/>
        </w:rPr>
        <w:t> </w:t>
      </w:r>
      <w:r>
        <w:rPr>
          <w:color w:val="231F20"/>
          <w:w w:val="105"/>
        </w:rPr>
        <w:t>tra</w:t>
      </w:r>
      <w:r>
        <w:rPr>
          <w:color w:val="231F20"/>
          <w:spacing w:val="-47"/>
          <w:w w:val="105"/>
        </w:rPr>
        <w:t> </w:t>
      </w:r>
      <w:r>
        <w:rPr>
          <w:color w:val="231F20"/>
          <w:w w:val="105"/>
        </w:rPr>
        <w:t>cittadini</w:t>
      </w:r>
      <w:r>
        <w:rPr>
          <w:color w:val="231F20"/>
          <w:spacing w:val="-47"/>
          <w:w w:val="105"/>
        </w:rPr>
        <w:t> </w:t>
      </w:r>
      <w:r>
        <w:rPr>
          <w:color w:val="231F20"/>
          <w:w w:val="105"/>
        </w:rPr>
        <w:t>rispettosi</w:t>
      </w:r>
      <w:r>
        <w:rPr>
          <w:color w:val="231F20"/>
          <w:spacing w:val="-47"/>
          <w:w w:val="105"/>
        </w:rPr>
        <w:t> </w:t>
      </w:r>
      <w:r>
        <w:rPr>
          <w:color w:val="231F20"/>
          <w:w w:val="105"/>
        </w:rPr>
        <w:t>della legge</w:t>
      </w:r>
      <w:r>
        <w:rPr>
          <w:color w:val="231F20"/>
          <w:spacing w:val="-29"/>
          <w:w w:val="105"/>
        </w:rPr>
        <w:t> </w:t>
      </w:r>
      <w:r>
        <w:rPr>
          <w:color w:val="231F20"/>
          <w:w w:val="105"/>
        </w:rPr>
        <w:t>—che</w:t>
      </w:r>
      <w:r>
        <w:rPr>
          <w:color w:val="231F20"/>
          <w:spacing w:val="-29"/>
          <w:w w:val="105"/>
        </w:rPr>
        <w:t> </w:t>
      </w:r>
      <w:r>
        <w:rPr>
          <w:color w:val="231F20"/>
          <w:w w:val="105"/>
        </w:rPr>
        <w:t>hanno</w:t>
      </w:r>
      <w:r>
        <w:rPr>
          <w:color w:val="231F20"/>
          <w:spacing w:val="-29"/>
          <w:w w:val="105"/>
        </w:rPr>
        <w:t> </w:t>
      </w:r>
      <w:r>
        <w:rPr>
          <w:color w:val="231F20"/>
          <w:w w:val="105"/>
        </w:rPr>
        <w:t>celebrato</w:t>
      </w:r>
      <w:r>
        <w:rPr>
          <w:color w:val="231F20"/>
          <w:spacing w:val="-29"/>
          <w:w w:val="105"/>
        </w:rPr>
        <w:t> </w:t>
      </w:r>
      <w:r>
        <w:rPr>
          <w:color w:val="231F20"/>
          <w:w w:val="105"/>
        </w:rPr>
        <w:t>un’accordo</w:t>
      </w:r>
      <w:r>
        <w:rPr>
          <w:color w:val="231F20"/>
          <w:spacing w:val="-29"/>
          <w:w w:val="105"/>
        </w:rPr>
        <w:t> </w:t>
      </w:r>
      <w:r>
        <w:rPr>
          <w:rFonts w:ascii="Arial" w:hAnsi="Arial"/>
          <w:i/>
          <w:color w:val="231F20"/>
          <w:w w:val="105"/>
        </w:rPr>
        <w:t>a</w:t>
      </w:r>
      <w:r>
        <w:rPr>
          <w:rFonts w:ascii="Arial" w:hAnsi="Arial"/>
          <w:i/>
          <w:color w:val="231F20"/>
          <w:spacing w:val="-20"/>
          <w:w w:val="105"/>
        </w:rPr>
        <w:t> </w:t>
      </w:r>
      <w:r>
        <w:rPr>
          <w:rFonts w:ascii="Arial" w:hAnsi="Arial"/>
          <w:i/>
          <w:color w:val="231F20"/>
          <w:w w:val="105"/>
        </w:rPr>
        <w:t>priori</w:t>
      </w:r>
      <w:r>
        <w:rPr>
          <w:rFonts w:ascii="Arial" w:hAnsi="Arial"/>
          <w:i/>
          <w:color w:val="231F20"/>
          <w:spacing w:val="-21"/>
          <w:w w:val="105"/>
        </w:rPr>
        <w:t> </w:t>
      </w:r>
      <w:r>
        <w:rPr>
          <w:color w:val="231F20"/>
          <w:w w:val="105"/>
        </w:rPr>
        <w:t>con</w:t>
      </w:r>
      <w:r>
        <w:rPr>
          <w:color w:val="231F20"/>
          <w:spacing w:val="-29"/>
          <w:w w:val="105"/>
        </w:rPr>
        <w:t> </w:t>
      </w:r>
      <w:r>
        <w:rPr>
          <w:color w:val="231F20"/>
          <w:w w:val="105"/>
        </w:rPr>
        <w:t>lo</w:t>
      </w:r>
      <w:r>
        <w:rPr>
          <w:color w:val="231F20"/>
          <w:spacing w:val="-29"/>
          <w:w w:val="105"/>
        </w:rPr>
        <w:t> </w:t>
      </w:r>
      <w:r>
        <w:rPr>
          <w:color w:val="231F20"/>
          <w:w w:val="105"/>
        </w:rPr>
        <w:t>Stato</w:t>
      </w:r>
      <w:r>
        <w:rPr>
          <w:color w:val="231F20"/>
          <w:spacing w:val="-29"/>
          <w:w w:val="105"/>
        </w:rPr>
        <w:t> </w:t>
      </w:r>
      <w:r>
        <w:rPr>
          <w:color w:val="231F20"/>
          <w:w w:val="105"/>
        </w:rPr>
        <w:t>e</w:t>
      </w:r>
      <w:r>
        <w:rPr>
          <w:color w:val="231F20"/>
          <w:spacing w:val="-29"/>
          <w:w w:val="105"/>
        </w:rPr>
        <w:t> </w:t>
      </w:r>
      <w:r>
        <w:rPr>
          <w:color w:val="231F20"/>
          <w:w w:val="105"/>
        </w:rPr>
        <w:t>quindi</w:t>
      </w:r>
      <w:r>
        <w:rPr>
          <w:color w:val="231F20"/>
          <w:spacing w:val="-29"/>
          <w:w w:val="105"/>
        </w:rPr>
        <w:t> </w:t>
      </w:r>
      <w:r>
        <w:rPr>
          <w:color w:val="231F20"/>
          <w:w w:val="105"/>
        </w:rPr>
        <w:t>sono</w:t>
      </w:r>
    </w:p>
    <w:p>
      <w:pPr>
        <w:spacing w:after="0" w:line="247" w:lineRule="auto"/>
        <w:jc w:val="both"/>
        <w:sectPr>
          <w:pgSz w:w="9640" w:h="13890"/>
          <w:pgMar w:top="1300" w:bottom="280" w:left="1300" w:right="1200"/>
        </w:sectPr>
      </w:pPr>
    </w:p>
    <w:p>
      <w:pPr>
        <w:pStyle w:val="BodyText"/>
        <w:spacing w:line="247" w:lineRule="auto" w:before="107"/>
        <w:ind w:left="103" w:right="112"/>
        <w:jc w:val="both"/>
      </w:pPr>
      <w:r>
        <w:rPr>
          <w:color w:val="231F20"/>
          <w:w w:val="105"/>
        </w:rPr>
        <w:t>pienamente</w:t>
      </w:r>
      <w:r>
        <w:rPr>
          <w:color w:val="231F20"/>
          <w:spacing w:val="-43"/>
          <w:w w:val="105"/>
        </w:rPr>
        <w:t> </w:t>
      </w:r>
      <w:r>
        <w:rPr>
          <w:color w:val="231F20"/>
          <w:w w:val="105"/>
        </w:rPr>
        <w:t>cittadini</w:t>
      </w:r>
      <w:r>
        <w:rPr>
          <w:color w:val="231F20"/>
          <w:spacing w:val="-43"/>
          <w:w w:val="105"/>
        </w:rPr>
        <w:t> </w:t>
      </w:r>
      <w:r>
        <w:rPr>
          <w:color w:val="231F20"/>
          <w:w w:val="105"/>
        </w:rPr>
        <w:t>di</w:t>
      </w:r>
      <w:r>
        <w:rPr>
          <w:color w:val="231F20"/>
          <w:spacing w:val="-43"/>
          <w:w w:val="105"/>
        </w:rPr>
        <w:t> </w:t>
      </w:r>
      <w:r>
        <w:rPr>
          <w:color w:val="231F20"/>
          <w:w w:val="105"/>
        </w:rPr>
        <w:t>diritto—</w:t>
      </w:r>
      <w:r>
        <w:rPr>
          <w:color w:val="231F20"/>
          <w:spacing w:val="-43"/>
          <w:w w:val="105"/>
        </w:rPr>
        <w:t> </w:t>
      </w:r>
      <w:r>
        <w:rPr>
          <w:color w:val="231F20"/>
          <w:w w:val="105"/>
        </w:rPr>
        <w:t>e</w:t>
      </w:r>
      <w:r>
        <w:rPr>
          <w:color w:val="231F20"/>
          <w:spacing w:val="-43"/>
          <w:w w:val="105"/>
        </w:rPr>
        <w:t> </w:t>
      </w:r>
      <w:r>
        <w:rPr>
          <w:color w:val="231F20"/>
          <w:w w:val="105"/>
        </w:rPr>
        <w:t>quelli</w:t>
      </w:r>
      <w:r>
        <w:rPr>
          <w:color w:val="231F20"/>
          <w:spacing w:val="-43"/>
          <w:w w:val="105"/>
        </w:rPr>
        <w:t> </w:t>
      </w:r>
      <w:r>
        <w:rPr>
          <w:color w:val="231F20"/>
          <w:w w:val="105"/>
        </w:rPr>
        <w:t>che</w:t>
      </w:r>
      <w:r>
        <w:rPr>
          <w:color w:val="231F20"/>
          <w:spacing w:val="-43"/>
          <w:w w:val="105"/>
        </w:rPr>
        <w:t> </w:t>
      </w:r>
      <w:r>
        <w:rPr>
          <w:color w:val="231F20"/>
          <w:w w:val="105"/>
        </w:rPr>
        <w:t>infrangono</w:t>
      </w:r>
      <w:r>
        <w:rPr>
          <w:color w:val="231F20"/>
          <w:spacing w:val="-43"/>
          <w:w w:val="105"/>
        </w:rPr>
        <w:t> </w:t>
      </w:r>
      <w:r>
        <w:rPr>
          <w:color w:val="231F20"/>
          <w:spacing w:val="-3"/>
          <w:w w:val="105"/>
        </w:rPr>
        <w:t>quell’accordo</w:t>
      </w:r>
      <w:r>
        <w:rPr>
          <w:color w:val="231F20"/>
          <w:spacing w:val="-43"/>
          <w:w w:val="105"/>
        </w:rPr>
        <w:t> </w:t>
      </w:r>
      <w:r>
        <w:rPr>
          <w:color w:val="231F20"/>
          <w:spacing w:val="-3"/>
          <w:w w:val="105"/>
        </w:rPr>
        <w:t>previo </w:t>
      </w:r>
      <w:r>
        <w:rPr>
          <w:color w:val="231F20"/>
          <w:w w:val="105"/>
        </w:rPr>
        <w:t>e</w:t>
      </w:r>
      <w:r>
        <w:rPr>
          <w:color w:val="231F20"/>
          <w:spacing w:val="-55"/>
          <w:w w:val="105"/>
        </w:rPr>
        <w:t> </w:t>
      </w:r>
      <w:r>
        <w:rPr>
          <w:color w:val="231F20"/>
          <w:w w:val="105"/>
        </w:rPr>
        <w:t>attentano</w:t>
      </w:r>
      <w:r>
        <w:rPr>
          <w:color w:val="231F20"/>
          <w:spacing w:val="-55"/>
          <w:w w:val="105"/>
        </w:rPr>
        <w:t> </w:t>
      </w:r>
      <w:r>
        <w:rPr>
          <w:color w:val="231F20"/>
          <w:spacing w:val="-3"/>
          <w:w w:val="105"/>
        </w:rPr>
        <w:t>contro</w:t>
      </w:r>
      <w:r>
        <w:rPr>
          <w:color w:val="231F20"/>
          <w:spacing w:val="-55"/>
          <w:w w:val="105"/>
        </w:rPr>
        <w:t> </w:t>
      </w:r>
      <w:r>
        <w:rPr>
          <w:color w:val="231F20"/>
          <w:w w:val="105"/>
        </w:rPr>
        <w:t>la</w:t>
      </w:r>
      <w:r>
        <w:rPr>
          <w:color w:val="231F20"/>
          <w:spacing w:val="-55"/>
          <w:w w:val="105"/>
        </w:rPr>
        <w:t> </w:t>
      </w:r>
      <w:r>
        <w:rPr>
          <w:color w:val="231F20"/>
          <w:w w:val="105"/>
        </w:rPr>
        <w:t>società</w:t>
      </w:r>
      <w:r>
        <w:rPr>
          <w:color w:val="231F20"/>
          <w:spacing w:val="-55"/>
          <w:w w:val="105"/>
        </w:rPr>
        <w:t> </w:t>
      </w:r>
      <w:r>
        <w:rPr>
          <w:color w:val="231F20"/>
          <w:w w:val="105"/>
        </w:rPr>
        <w:t>intera</w:t>
      </w:r>
      <w:r>
        <w:rPr>
          <w:color w:val="231F20"/>
          <w:spacing w:val="-55"/>
          <w:w w:val="105"/>
        </w:rPr>
        <w:t> </w:t>
      </w:r>
      <w:r>
        <w:rPr>
          <w:color w:val="231F20"/>
          <w:w w:val="105"/>
        </w:rPr>
        <w:t>attraverso</w:t>
      </w:r>
      <w:r>
        <w:rPr>
          <w:color w:val="231F20"/>
          <w:spacing w:val="-55"/>
          <w:w w:val="105"/>
        </w:rPr>
        <w:t> </w:t>
      </w:r>
      <w:r>
        <w:rPr>
          <w:color w:val="231F20"/>
          <w:w w:val="105"/>
        </w:rPr>
        <w:t>il</w:t>
      </w:r>
      <w:r>
        <w:rPr>
          <w:color w:val="231F20"/>
          <w:spacing w:val="-55"/>
          <w:w w:val="105"/>
        </w:rPr>
        <w:t> </w:t>
      </w:r>
      <w:r>
        <w:rPr>
          <w:color w:val="231F20"/>
          <w:spacing w:val="-3"/>
          <w:w w:val="105"/>
        </w:rPr>
        <w:t>terrorismo;</w:t>
      </w:r>
      <w:r>
        <w:rPr>
          <w:color w:val="231F20"/>
          <w:spacing w:val="-55"/>
          <w:w w:val="105"/>
        </w:rPr>
        <w:t> </w:t>
      </w:r>
      <w:r>
        <w:rPr>
          <w:color w:val="231F20"/>
          <w:w w:val="105"/>
        </w:rPr>
        <w:t>il</w:t>
      </w:r>
      <w:r>
        <w:rPr>
          <w:color w:val="231F20"/>
          <w:spacing w:val="-55"/>
          <w:w w:val="105"/>
        </w:rPr>
        <w:t> </w:t>
      </w:r>
      <w:r>
        <w:rPr>
          <w:color w:val="231F20"/>
          <w:spacing w:val="-3"/>
          <w:w w:val="105"/>
        </w:rPr>
        <w:t>narcotraffico</w:t>
      </w:r>
      <w:r>
        <w:rPr>
          <w:color w:val="231F20"/>
          <w:spacing w:val="-55"/>
          <w:w w:val="105"/>
        </w:rPr>
        <w:t> </w:t>
      </w:r>
      <w:r>
        <w:rPr>
          <w:color w:val="231F20"/>
          <w:w w:val="105"/>
        </w:rPr>
        <w:t>e</w:t>
      </w:r>
      <w:r>
        <w:rPr>
          <w:color w:val="231F20"/>
          <w:spacing w:val="-55"/>
          <w:w w:val="105"/>
        </w:rPr>
        <w:t> </w:t>
      </w:r>
      <w:r>
        <w:rPr>
          <w:color w:val="231F20"/>
          <w:w w:val="105"/>
        </w:rPr>
        <w:t>la criminalità</w:t>
      </w:r>
      <w:r>
        <w:rPr>
          <w:color w:val="231F20"/>
          <w:spacing w:val="-50"/>
          <w:w w:val="105"/>
        </w:rPr>
        <w:t> </w:t>
      </w:r>
      <w:r>
        <w:rPr>
          <w:color w:val="231F20"/>
          <w:spacing w:val="-3"/>
          <w:w w:val="105"/>
        </w:rPr>
        <w:t>organizzata</w:t>
      </w:r>
      <w:r>
        <w:rPr>
          <w:color w:val="231F20"/>
          <w:spacing w:val="-50"/>
          <w:w w:val="105"/>
        </w:rPr>
        <w:t> </w:t>
      </w:r>
      <w:r>
        <w:rPr>
          <w:color w:val="231F20"/>
          <w:w w:val="105"/>
        </w:rPr>
        <w:t>diventano</w:t>
      </w:r>
      <w:r>
        <w:rPr>
          <w:color w:val="231F20"/>
          <w:spacing w:val="-50"/>
          <w:w w:val="105"/>
        </w:rPr>
        <w:t> </w:t>
      </w:r>
      <w:r>
        <w:rPr>
          <w:color w:val="231F20"/>
          <w:w w:val="105"/>
        </w:rPr>
        <w:t>nemici</w:t>
      </w:r>
      <w:r>
        <w:rPr>
          <w:color w:val="231F20"/>
          <w:spacing w:val="-50"/>
          <w:w w:val="105"/>
        </w:rPr>
        <w:t> </w:t>
      </w:r>
      <w:r>
        <w:rPr>
          <w:color w:val="231F20"/>
          <w:w w:val="105"/>
        </w:rPr>
        <w:t>della</w:t>
      </w:r>
      <w:r>
        <w:rPr>
          <w:color w:val="231F20"/>
          <w:spacing w:val="-50"/>
          <w:w w:val="105"/>
        </w:rPr>
        <w:t> </w:t>
      </w:r>
      <w:r>
        <w:rPr>
          <w:color w:val="231F20"/>
          <w:w w:val="105"/>
        </w:rPr>
        <w:t>società</w:t>
      </w:r>
      <w:r>
        <w:rPr>
          <w:color w:val="231F20"/>
          <w:spacing w:val="-50"/>
          <w:w w:val="105"/>
        </w:rPr>
        <w:t> </w:t>
      </w:r>
      <w:r>
        <w:rPr>
          <w:color w:val="231F20"/>
          <w:w w:val="105"/>
        </w:rPr>
        <w:t>e</w:t>
      </w:r>
      <w:r>
        <w:rPr>
          <w:color w:val="231F20"/>
          <w:spacing w:val="-50"/>
          <w:w w:val="105"/>
        </w:rPr>
        <w:t> </w:t>
      </w:r>
      <w:r>
        <w:rPr>
          <w:color w:val="231F20"/>
          <w:w w:val="105"/>
        </w:rPr>
        <w:t>per</w:t>
      </w:r>
      <w:r>
        <w:rPr>
          <w:color w:val="231F20"/>
          <w:spacing w:val="-50"/>
          <w:w w:val="105"/>
        </w:rPr>
        <w:t> </w:t>
      </w:r>
      <w:r>
        <w:rPr>
          <w:color w:val="231F20"/>
          <w:w w:val="105"/>
        </w:rPr>
        <w:t>questo,</w:t>
      </w:r>
      <w:r>
        <w:rPr>
          <w:color w:val="231F20"/>
          <w:spacing w:val="-50"/>
          <w:w w:val="105"/>
        </w:rPr>
        <w:t> </w:t>
      </w:r>
      <w:r>
        <w:rPr>
          <w:color w:val="231F20"/>
          <w:spacing w:val="-3"/>
          <w:w w:val="105"/>
        </w:rPr>
        <w:t>perdono </w:t>
      </w:r>
      <w:r>
        <w:rPr>
          <w:color w:val="231F20"/>
          <w:w w:val="105"/>
        </w:rPr>
        <w:t>il</w:t>
      </w:r>
      <w:r>
        <w:rPr>
          <w:color w:val="231F20"/>
          <w:spacing w:val="-30"/>
          <w:w w:val="105"/>
        </w:rPr>
        <w:t> </w:t>
      </w:r>
      <w:r>
        <w:rPr>
          <w:color w:val="231F20"/>
          <w:w w:val="105"/>
        </w:rPr>
        <w:t>loro</w:t>
      </w:r>
      <w:r>
        <w:rPr>
          <w:color w:val="231F20"/>
          <w:spacing w:val="-30"/>
          <w:w w:val="105"/>
        </w:rPr>
        <w:t> </w:t>
      </w:r>
      <w:r>
        <w:rPr>
          <w:rFonts w:ascii="Arial" w:hAnsi="Arial"/>
          <w:i/>
          <w:color w:val="231F20"/>
          <w:w w:val="105"/>
        </w:rPr>
        <w:t>status</w:t>
      </w:r>
      <w:r>
        <w:rPr>
          <w:rFonts w:ascii="Arial" w:hAnsi="Arial"/>
          <w:i/>
          <w:color w:val="231F20"/>
          <w:spacing w:val="-19"/>
          <w:w w:val="105"/>
        </w:rPr>
        <w:t> </w:t>
      </w:r>
      <w:r>
        <w:rPr>
          <w:color w:val="231F20"/>
          <w:w w:val="105"/>
        </w:rPr>
        <w:t>come</w:t>
      </w:r>
      <w:r>
        <w:rPr>
          <w:color w:val="231F20"/>
          <w:spacing w:val="-30"/>
          <w:w w:val="105"/>
        </w:rPr>
        <w:t> </w:t>
      </w:r>
      <w:r>
        <w:rPr>
          <w:color w:val="231F20"/>
          <w:w w:val="105"/>
        </w:rPr>
        <w:t>cittadini.</w:t>
      </w:r>
      <w:r>
        <w:rPr>
          <w:color w:val="231F20"/>
          <w:spacing w:val="-30"/>
          <w:w w:val="105"/>
        </w:rPr>
        <w:t> </w:t>
      </w:r>
      <w:r>
        <w:rPr>
          <w:color w:val="231F20"/>
          <w:w w:val="105"/>
        </w:rPr>
        <w:t>In</w:t>
      </w:r>
      <w:r>
        <w:rPr>
          <w:color w:val="231F20"/>
          <w:spacing w:val="-30"/>
          <w:w w:val="105"/>
        </w:rPr>
        <w:t> </w:t>
      </w:r>
      <w:r>
        <w:rPr>
          <w:color w:val="231F20"/>
          <w:w w:val="105"/>
        </w:rPr>
        <w:t>questo</w:t>
      </w:r>
      <w:r>
        <w:rPr>
          <w:color w:val="231F20"/>
          <w:spacing w:val="-30"/>
          <w:w w:val="105"/>
        </w:rPr>
        <w:t> </w:t>
      </w:r>
      <w:r>
        <w:rPr>
          <w:color w:val="231F20"/>
          <w:w w:val="105"/>
        </w:rPr>
        <w:t>senso,</w:t>
      </w:r>
      <w:r>
        <w:rPr>
          <w:color w:val="231F20"/>
          <w:spacing w:val="-30"/>
          <w:w w:val="105"/>
        </w:rPr>
        <w:t> </w:t>
      </w:r>
      <w:r>
        <w:rPr>
          <w:color w:val="231F20"/>
          <w:w w:val="105"/>
        </w:rPr>
        <w:t>Jakobs</w:t>
      </w:r>
      <w:r>
        <w:rPr>
          <w:color w:val="231F20"/>
          <w:spacing w:val="-30"/>
          <w:w w:val="105"/>
        </w:rPr>
        <w:t> </w:t>
      </w:r>
      <w:r>
        <w:rPr>
          <w:color w:val="231F20"/>
          <w:w w:val="105"/>
        </w:rPr>
        <w:t>afferma</w:t>
      </w:r>
      <w:r>
        <w:rPr>
          <w:color w:val="231F20"/>
          <w:spacing w:val="-30"/>
          <w:w w:val="105"/>
        </w:rPr>
        <w:t> </w:t>
      </w:r>
      <w:r>
        <w:rPr>
          <w:color w:val="231F20"/>
          <w:w w:val="105"/>
        </w:rPr>
        <w:t>che</w:t>
      </w:r>
      <w:r>
        <w:rPr>
          <w:color w:val="231F20"/>
          <w:spacing w:val="-30"/>
          <w:w w:val="105"/>
        </w:rPr>
        <w:t> </w:t>
      </w:r>
      <w:r>
        <w:rPr>
          <w:color w:val="231F20"/>
          <w:w w:val="105"/>
        </w:rPr>
        <w:t>esiste</w:t>
      </w:r>
      <w:r>
        <w:rPr>
          <w:color w:val="231F20"/>
          <w:spacing w:val="-30"/>
          <w:w w:val="105"/>
        </w:rPr>
        <w:t> </w:t>
      </w:r>
      <w:r>
        <w:rPr>
          <w:color w:val="231F20"/>
          <w:w w:val="105"/>
        </w:rPr>
        <w:t>un Diritto</w:t>
      </w:r>
      <w:r>
        <w:rPr>
          <w:color w:val="231F20"/>
          <w:spacing w:val="-27"/>
          <w:w w:val="105"/>
        </w:rPr>
        <w:t> </w:t>
      </w:r>
      <w:r>
        <w:rPr>
          <w:color w:val="231F20"/>
          <w:w w:val="105"/>
        </w:rPr>
        <w:t>penale</w:t>
      </w:r>
      <w:r>
        <w:rPr>
          <w:color w:val="231F20"/>
          <w:spacing w:val="-27"/>
          <w:w w:val="105"/>
        </w:rPr>
        <w:t> </w:t>
      </w:r>
      <w:r>
        <w:rPr>
          <w:color w:val="231F20"/>
          <w:w w:val="105"/>
        </w:rPr>
        <w:t>per</w:t>
      </w:r>
      <w:r>
        <w:rPr>
          <w:color w:val="231F20"/>
          <w:spacing w:val="-28"/>
          <w:w w:val="105"/>
        </w:rPr>
        <w:t> </w:t>
      </w:r>
      <w:r>
        <w:rPr>
          <w:color w:val="231F20"/>
          <w:w w:val="105"/>
        </w:rPr>
        <w:t>il</w:t>
      </w:r>
      <w:r>
        <w:rPr>
          <w:color w:val="231F20"/>
          <w:spacing w:val="-27"/>
          <w:w w:val="105"/>
        </w:rPr>
        <w:t> </w:t>
      </w:r>
      <w:r>
        <w:rPr>
          <w:color w:val="231F20"/>
          <w:w w:val="105"/>
        </w:rPr>
        <w:t>delinquente</w:t>
      </w:r>
      <w:r>
        <w:rPr>
          <w:color w:val="231F20"/>
          <w:spacing w:val="-28"/>
          <w:w w:val="105"/>
        </w:rPr>
        <w:t> </w:t>
      </w:r>
      <w:r>
        <w:rPr>
          <w:color w:val="231F20"/>
          <w:w w:val="105"/>
        </w:rPr>
        <w:t>“ordinario”</w:t>
      </w:r>
      <w:r>
        <w:rPr>
          <w:color w:val="231F20"/>
          <w:spacing w:val="-28"/>
          <w:w w:val="105"/>
        </w:rPr>
        <w:t> </w:t>
      </w:r>
      <w:r>
        <w:rPr>
          <w:color w:val="231F20"/>
          <w:w w:val="105"/>
        </w:rPr>
        <w:t>e</w:t>
      </w:r>
      <w:r>
        <w:rPr>
          <w:color w:val="231F20"/>
          <w:spacing w:val="-27"/>
          <w:w w:val="105"/>
        </w:rPr>
        <w:t> </w:t>
      </w:r>
      <w:r>
        <w:rPr>
          <w:color w:val="231F20"/>
          <w:w w:val="105"/>
        </w:rPr>
        <w:t>un</w:t>
      </w:r>
      <w:r>
        <w:rPr>
          <w:color w:val="231F20"/>
          <w:spacing w:val="-28"/>
          <w:w w:val="105"/>
        </w:rPr>
        <w:t> </w:t>
      </w:r>
      <w:r>
        <w:rPr>
          <w:color w:val="231F20"/>
          <w:w w:val="105"/>
          <w:sz w:val="18"/>
        </w:rPr>
        <w:t>DPN</w:t>
      </w:r>
      <w:r>
        <w:rPr>
          <w:color w:val="231F20"/>
          <w:w w:val="105"/>
        </w:rPr>
        <w:t>,</w:t>
      </w:r>
      <w:r>
        <w:rPr>
          <w:color w:val="231F20"/>
          <w:spacing w:val="-27"/>
          <w:w w:val="105"/>
        </w:rPr>
        <w:t> </w:t>
      </w:r>
      <w:r>
        <w:rPr>
          <w:color w:val="231F20"/>
          <w:w w:val="105"/>
        </w:rPr>
        <w:t>il</w:t>
      </w:r>
      <w:r>
        <w:rPr>
          <w:color w:val="231F20"/>
          <w:spacing w:val="-28"/>
          <w:w w:val="105"/>
        </w:rPr>
        <w:t> </w:t>
      </w:r>
      <w:r>
        <w:rPr>
          <w:color w:val="231F20"/>
          <w:w w:val="105"/>
        </w:rPr>
        <w:t>quale</w:t>
      </w:r>
      <w:r>
        <w:rPr>
          <w:color w:val="231F20"/>
          <w:spacing w:val="-27"/>
          <w:w w:val="105"/>
        </w:rPr>
        <w:t> </w:t>
      </w:r>
      <w:r>
        <w:rPr>
          <w:color w:val="231F20"/>
          <w:w w:val="105"/>
        </w:rPr>
        <w:t>si</w:t>
      </w:r>
      <w:r>
        <w:rPr>
          <w:color w:val="231F20"/>
          <w:spacing w:val="-27"/>
          <w:w w:val="105"/>
        </w:rPr>
        <w:t> </w:t>
      </w:r>
      <w:r>
        <w:rPr>
          <w:color w:val="231F20"/>
          <w:w w:val="105"/>
        </w:rPr>
        <w:t>è</w:t>
      </w:r>
      <w:r>
        <w:rPr>
          <w:color w:val="231F20"/>
          <w:spacing w:val="-27"/>
          <w:w w:val="105"/>
        </w:rPr>
        <w:t> </w:t>
      </w:r>
      <w:r>
        <w:rPr>
          <w:color w:val="231F20"/>
          <w:w w:val="105"/>
        </w:rPr>
        <w:t>originato per</w:t>
      </w:r>
      <w:r>
        <w:rPr>
          <w:color w:val="231F20"/>
          <w:spacing w:val="-20"/>
          <w:w w:val="105"/>
        </w:rPr>
        <w:t> </w:t>
      </w:r>
      <w:r>
        <w:rPr>
          <w:color w:val="231F20"/>
          <w:w w:val="105"/>
        </w:rPr>
        <w:t>combattere</w:t>
      </w:r>
      <w:r>
        <w:rPr>
          <w:color w:val="231F20"/>
          <w:spacing w:val="-20"/>
          <w:w w:val="105"/>
        </w:rPr>
        <w:t> </w:t>
      </w:r>
      <w:r>
        <w:rPr>
          <w:color w:val="231F20"/>
          <w:w w:val="105"/>
        </w:rPr>
        <w:t>il</w:t>
      </w:r>
      <w:r>
        <w:rPr>
          <w:color w:val="231F20"/>
          <w:spacing w:val="-20"/>
          <w:w w:val="105"/>
        </w:rPr>
        <w:t> </w:t>
      </w:r>
      <w:r>
        <w:rPr>
          <w:color w:val="231F20"/>
          <w:w w:val="105"/>
        </w:rPr>
        <w:t>delinquente</w:t>
      </w:r>
      <w:r>
        <w:rPr>
          <w:color w:val="231F20"/>
          <w:spacing w:val="-20"/>
          <w:w w:val="105"/>
        </w:rPr>
        <w:t> </w:t>
      </w:r>
      <w:r>
        <w:rPr>
          <w:color w:val="231F20"/>
          <w:w w:val="105"/>
        </w:rPr>
        <w:t>“straordinario”.</w:t>
      </w:r>
      <w:r>
        <w:rPr>
          <w:color w:val="231F20"/>
          <w:spacing w:val="-20"/>
          <w:w w:val="105"/>
        </w:rPr>
        <w:t> </w:t>
      </w:r>
      <w:r>
        <w:rPr>
          <w:color w:val="231F20"/>
          <w:w w:val="105"/>
        </w:rPr>
        <w:t>Secondo</w:t>
      </w:r>
      <w:r>
        <w:rPr>
          <w:color w:val="231F20"/>
          <w:spacing w:val="-20"/>
          <w:w w:val="105"/>
        </w:rPr>
        <w:t> </w:t>
      </w:r>
      <w:r>
        <w:rPr>
          <w:color w:val="231F20"/>
          <w:w w:val="105"/>
        </w:rPr>
        <w:t>Jakobs,</w:t>
      </w:r>
      <w:r>
        <w:rPr>
          <w:color w:val="231F20"/>
          <w:spacing w:val="-20"/>
          <w:w w:val="105"/>
        </w:rPr>
        <w:t> </w:t>
      </w:r>
      <w:r>
        <w:rPr>
          <w:color w:val="231F20"/>
          <w:w w:val="105"/>
        </w:rPr>
        <w:t>le</w:t>
      </w:r>
      <w:r>
        <w:rPr>
          <w:color w:val="231F20"/>
          <w:spacing w:val="-20"/>
          <w:w w:val="105"/>
        </w:rPr>
        <w:t> </w:t>
      </w:r>
      <w:r>
        <w:rPr>
          <w:color w:val="231F20"/>
          <w:w w:val="105"/>
        </w:rPr>
        <w:t>società occidentali</w:t>
      </w:r>
      <w:r>
        <w:rPr>
          <w:color w:val="231F20"/>
          <w:spacing w:val="-22"/>
          <w:w w:val="105"/>
        </w:rPr>
        <w:t> </w:t>
      </w:r>
      <w:r>
        <w:rPr>
          <w:color w:val="231F20"/>
          <w:w w:val="105"/>
        </w:rPr>
        <w:t>postindustriali</w:t>
      </w:r>
      <w:r>
        <w:rPr>
          <w:color w:val="231F20"/>
          <w:spacing w:val="-22"/>
          <w:w w:val="105"/>
        </w:rPr>
        <w:t> </w:t>
      </w:r>
      <w:r>
        <w:rPr>
          <w:color w:val="231F20"/>
          <w:w w:val="105"/>
        </w:rPr>
        <w:t>si</w:t>
      </w:r>
      <w:r>
        <w:rPr>
          <w:color w:val="231F20"/>
          <w:spacing w:val="-22"/>
          <w:w w:val="105"/>
        </w:rPr>
        <w:t> </w:t>
      </w:r>
      <w:r>
        <w:rPr>
          <w:color w:val="231F20"/>
          <w:w w:val="105"/>
        </w:rPr>
        <w:t>caratterizzano</w:t>
      </w:r>
      <w:r>
        <w:rPr>
          <w:color w:val="231F20"/>
          <w:spacing w:val="-22"/>
          <w:w w:val="105"/>
        </w:rPr>
        <w:t> </w:t>
      </w:r>
      <w:r>
        <w:rPr>
          <w:color w:val="231F20"/>
          <w:w w:val="105"/>
        </w:rPr>
        <w:t>per</w:t>
      </w:r>
      <w:r>
        <w:rPr>
          <w:color w:val="231F20"/>
          <w:spacing w:val="-22"/>
          <w:w w:val="105"/>
        </w:rPr>
        <w:t> </w:t>
      </w:r>
      <w:r>
        <w:rPr>
          <w:color w:val="231F20"/>
          <w:w w:val="105"/>
        </w:rPr>
        <w:t>una</w:t>
      </w:r>
      <w:r>
        <w:rPr>
          <w:color w:val="231F20"/>
          <w:spacing w:val="-22"/>
          <w:w w:val="105"/>
        </w:rPr>
        <w:t> </w:t>
      </w:r>
      <w:r>
        <w:rPr>
          <w:color w:val="231F20"/>
          <w:w w:val="105"/>
        </w:rPr>
        <w:t>progressiva</w:t>
      </w:r>
      <w:r>
        <w:rPr>
          <w:color w:val="231F20"/>
          <w:spacing w:val="-22"/>
          <w:w w:val="105"/>
        </w:rPr>
        <w:t> </w:t>
      </w:r>
      <w:r>
        <w:rPr>
          <w:color w:val="231F20"/>
          <w:w w:val="105"/>
        </w:rPr>
        <w:t>anonimia delle</w:t>
      </w:r>
      <w:r>
        <w:rPr>
          <w:color w:val="231F20"/>
          <w:spacing w:val="-17"/>
          <w:w w:val="105"/>
        </w:rPr>
        <w:t> </w:t>
      </w:r>
      <w:r>
        <w:rPr>
          <w:color w:val="231F20"/>
          <w:w w:val="105"/>
        </w:rPr>
        <w:t>condotte</w:t>
      </w:r>
      <w:r>
        <w:rPr>
          <w:color w:val="231F20"/>
          <w:spacing w:val="-17"/>
          <w:w w:val="105"/>
        </w:rPr>
        <w:t> </w:t>
      </w:r>
      <w:r>
        <w:rPr>
          <w:color w:val="231F20"/>
          <w:w w:val="105"/>
        </w:rPr>
        <w:t>sociali,</w:t>
      </w:r>
      <w:r>
        <w:rPr>
          <w:color w:val="231F20"/>
          <w:spacing w:val="-17"/>
          <w:w w:val="105"/>
        </w:rPr>
        <w:t> </w:t>
      </w:r>
      <w:r>
        <w:rPr>
          <w:color w:val="231F20"/>
          <w:w w:val="105"/>
        </w:rPr>
        <w:t>per</w:t>
      </w:r>
      <w:r>
        <w:rPr>
          <w:color w:val="231F20"/>
          <w:spacing w:val="-17"/>
          <w:w w:val="105"/>
        </w:rPr>
        <w:t> </w:t>
      </w:r>
      <w:r>
        <w:rPr>
          <w:color w:val="231F20"/>
          <w:w w:val="105"/>
        </w:rPr>
        <w:t>l’uniformità</w:t>
      </w:r>
      <w:r>
        <w:rPr>
          <w:color w:val="231F20"/>
          <w:spacing w:val="-17"/>
          <w:w w:val="105"/>
        </w:rPr>
        <w:t> </w:t>
      </w:r>
      <w:r>
        <w:rPr>
          <w:color w:val="231F20"/>
          <w:w w:val="105"/>
        </w:rPr>
        <w:t>dei</w:t>
      </w:r>
      <w:r>
        <w:rPr>
          <w:color w:val="231F20"/>
          <w:spacing w:val="-17"/>
          <w:w w:val="105"/>
        </w:rPr>
        <w:t> </w:t>
      </w:r>
      <w:r>
        <w:rPr>
          <w:color w:val="231F20"/>
          <w:w w:val="105"/>
        </w:rPr>
        <w:t>comportamenti</w:t>
      </w:r>
      <w:r>
        <w:rPr>
          <w:color w:val="231F20"/>
          <w:spacing w:val="-17"/>
          <w:w w:val="105"/>
        </w:rPr>
        <w:t> </w:t>
      </w:r>
      <w:r>
        <w:rPr>
          <w:color w:val="231F20"/>
          <w:w w:val="105"/>
        </w:rPr>
        <w:t>di</w:t>
      </w:r>
      <w:r>
        <w:rPr>
          <w:color w:val="231F20"/>
          <w:spacing w:val="-17"/>
          <w:w w:val="105"/>
        </w:rPr>
        <w:t> </w:t>
      </w:r>
      <w:r>
        <w:rPr>
          <w:color w:val="231F20"/>
          <w:w w:val="105"/>
        </w:rPr>
        <w:t>massa,</w:t>
      </w:r>
      <w:r>
        <w:rPr>
          <w:color w:val="231F20"/>
          <w:spacing w:val="-17"/>
          <w:w w:val="105"/>
        </w:rPr>
        <w:t> </w:t>
      </w:r>
      <w:r>
        <w:rPr>
          <w:color w:val="231F20"/>
          <w:w w:val="105"/>
        </w:rPr>
        <w:t>per</w:t>
      </w:r>
      <w:r>
        <w:rPr>
          <w:color w:val="231F20"/>
          <w:spacing w:val="-17"/>
          <w:w w:val="105"/>
        </w:rPr>
        <w:t> </w:t>
      </w:r>
      <w:r>
        <w:rPr>
          <w:color w:val="231F20"/>
          <w:w w:val="105"/>
        </w:rPr>
        <w:t>il predominio</w:t>
      </w:r>
      <w:r>
        <w:rPr>
          <w:color w:val="231F20"/>
          <w:spacing w:val="-26"/>
          <w:w w:val="105"/>
        </w:rPr>
        <w:t> </w:t>
      </w:r>
      <w:r>
        <w:rPr>
          <w:color w:val="231F20"/>
          <w:w w:val="105"/>
        </w:rPr>
        <w:t>dell’economia,</w:t>
      </w:r>
      <w:r>
        <w:rPr>
          <w:color w:val="231F20"/>
          <w:spacing w:val="-26"/>
          <w:w w:val="105"/>
        </w:rPr>
        <w:t> </w:t>
      </w:r>
      <w:r>
        <w:rPr>
          <w:color w:val="231F20"/>
          <w:w w:val="105"/>
        </w:rPr>
        <w:t>per</w:t>
      </w:r>
      <w:r>
        <w:rPr>
          <w:color w:val="231F20"/>
          <w:spacing w:val="-26"/>
          <w:w w:val="105"/>
        </w:rPr>
        <w:t> </w:t>
      </w:r>
      <w:r>
        <w:rPr>
          <w:color w:val="231F20"/>
          <w:w w:val="105"/>
        </w:rPr>
        <w:t>la</w:t>
      </w:r>
      <w:r>
        <w:rPr>
          <w:color w:val="231F20"/>
          <w:spacing w:val="-26"/>
          <w:w w:val="105"/>
        </w:rPr>
        <w:t> </w:t>
      </w:r>
      <w:r>
        <w:rPr>
          <w:color w:val="231F20"/>
          <w:w w:val="105"/>
        </w:rPr>
        <w:t>coscienza</w:t>
      </w:r>
      <w:r>
        <w:rPr>
          <w:color w:val="231F20"/>
          <w:spacing w:val="-26"/>
          <w:w w:val="105"/>
        </w:rPr>
        <w:t> </w:t>
      </w:r>
      <w:r>
        <w:rPr>
          <w:color w:val="231F20"/>
          <w:w w:val="105"/>
        </w:rPr>
        <w:t>di</w:t>
      </w:r>
      <w:r>
        <w:rPr>
          <w:color w:val="231F20"/>
          <w:spacing w:val="-26"/>
          <w:w w:val="105"/>
        </w:rPr>
        <w:t> </w:t>
      </w:r>
      <w:r>
        <w:rPr>
          <w:color w:val="231F20"/>
          <w:w w:val="105"/>
        </w:rPr>
        <w:t>rischio</w:t>
      </w:r>
      <w:r>
        <w:rPr>
          <w:color w:val="231F20"/>
          <w:spacing w:val="-26"/>
          <w:w w:val="105"/>
        </w:rPr>
        <w:t> </w:t>
      </w:r>
      <w:r>
        <w:rPr>
          <w:color w:val="231F20"/>
          <w:w w:val="105"/>
        </w:rPr>
        <w:t>e</w:t>
      </w:r>
      <w:r>
        <w:rPr>
          <w:color w:val="231F20"/>
          <w:spacing w:val="-26"/>
          <w:w w:val="105"/>
        </w:rPr>
        <w:t> </w:t>
      </w:r>
      <w:r>
        <w:rPr>
          <w:color w:val="231F20"/>
          <w:w w:val="105"/>
        </w:rPr>
        <w:t>per</w:t>
      </w:r>
      <w:r>
        <w:rPr>
          <w:color w:val="231F20"/>
          <w:spacing w:val="-26"/>
          <w:w w:val="105"/>
        </w:rPr>
        <w:t> </w:t>
      </w:r>
      <w:r>
        <w:rPr>
          <w:color w:val="231F20"/>
          <w:w w:val="105"/>
        </w:rPr>
        <w:t>l’uniformità</w:t>
      </w:r>
      <w:r>
        <w:rPr>
          <w:color w:val="231F20"/>
          <w:spacing w:val="-26"/>
          <w:w w:val="105"/>
        </w:rPr>
        <w:t> </w:t>
      </w:r>
      <w:r>
        <w:rPr>
          <w:color w:val="231F20"/>
          <w:w w:val="105"/>
        </w:rPr>
        <w:t>del sistema</w:t>
      </w:r>
      <w:r>
        <w:rPr>
          <w:color w:val="231F20"/>
          <w:spacing w:val="-10"/>
          <w:w w:val="105"/>
        </w:rPr>
        <w:t> </w:t>
      </w:r>
      <w:r>
        <w:rPr>
          <w:color w:val="231F20"/>
          <w:w w:val="105"/>
        </w:rPr>
        <w:t>punitivo,</w:t>
      </w:r>
      <w:r>
        <w:rPr>
          <w:color w:val="231F20"/>
          <w:spacing w:val="-10"/>
          <w:w w:val="105"/>
        </w:rPr>
        <w:t> </w:t>
      </w:r>
      <w:r>
        <w:rPr>
          <w:color w:val="231F20"/>
          <w:w w:val="105"/>
        </w:rPr>
        <w:t>che</w:t>
      </w:r>
      <w:r>
        <w:rPr>
          <w:color w:val="231F20"/>
          <w:spacing w:val="-10"/>
          <w:w w:val="105"/>
        </w:rPr>
        <w:t> </w:t>
      </w:r>
      <w:r>
        <w:rPr>
          <w:color w:val="231F20"/>
          <w:w w:val="105"/>
        </w:rPr>
        <w:t>ha</w:t>
      </w:r>
      <w:r>
        <w:rPr>
          <w:color w:val="231F20"/>
          <w:spacing w:val="-10"/>
          <w:w w:val="105"/>
        </w:rPr>
        <w:t> </w:t>
      </w:r>
      <w:r>
        <w:rPr>
          <w:color w:val="231F20"/>
          <w:w w:val="105"/>
        </w:rPr>
        <w:t>obbligato</w:t>
      </w:r>
      <w:r>
        <w:rPr>
          <w:color w:val="231F20"/>
          <w:spacing w:val="-10"/>
          <w:w w:val="105"/>
        </w:rPr>
        <w:t> </w:t>
      </w:r>
      <w:r>
        <w:rPr>
          <w:color w:val="231F20"/>
          <w:w w:val="105"/>
        </w:rPr>
        <w:t>a</w:t>
      </w:r>
      <w:r>
        <w:rPr>
          <w:color w:val="231F20"/>
          <w:spacing w:val="-10"/>
          <w:w w:val="105"/>
        </w:rPr>
        <w:t> </w:t>
      </w:r>
      <w:r>
        <w:rPr>
          <w:color w:val="231F20"/>
          <w:w w:val="105"/>
        </w:rPr>
        <w:t>cercare</w:t>
      </w:r>
      <w:r>
        <w:rPr>
          <w:color w:val="231F20"/>
          <w:spacing w:val="-10"/>
          <w:w w:val="105"/>
        </w:rPr>
        <w:t> </w:t>
      </w:r>
      <w:r>
        <w:rPr>
          <w:color w:val="231F20"/>
          <w:w w:val="105"/>
        </w:rPr>
        <w:t>misure</w:t>
      </w:r>
      <w:r>
        <w:rPr>
          <w:color w:val="231F20"/>
          <w:spacing w:val="-10"/>
          <w:w w:val="105"/>
        </w:rPr>
        <w:t> </w:t>
      </w:r>
      <w:r>
        <w:rPr>
          <w:color w:val="231F20"/>
          <w:w w:val="105"/>
        </w:rPr>
        <w:t>straordinarie</w:t>
      </w:r>
      <w:r>
        <w:rPr>
          <w:color w:val="231F20"/>
          <w:spacing w:val="-10"/>
          <w:w w:val="105"/>
        </w:rPr>
        <w:t> </w:t>
      </w:r>
      <w:r>
        <w:rPr>
          <w:color w:val="231F20"/>
          <w:w w:val="105"/>
        </w:rPr>
        <w:t>oltre</w:t>
      </w:r>
      <w:r>
        <w:rPr>
          <w:color w:val="231F20"/>
          <w:spacing w:val="-10"/>
          <w:w w:val="105"/>
        </w:rPr>
        <w:t> </w:t>
      </w:r>
      <w:r>
        <w:rPr>
          <w:color w:val="231F20"/>
          <w:w w:val="105"/>
        </w:rPr>
        <w:t>a quelle</w:t>
      </w:r>
      <w:r>
        <w:rPr>
          <w:color w:val="231F20"/>
          <w:spacing w:val="-31"/>
          <w:w w:val="105"/>
        </w:rPr>
        <w:t> </w:t>
      </w:r>
      <w:r>
        <w:rPr>
          <w:color w:val="231F20"/>
          <w:w w:val="105"/>
        </w:rPr>
        <w:t>ordinarie</w:t>
      </w:r>
      <w:r>
        <w:rPr>
          <w:color w:val="231F20"/>
          <w:spacing w:val="-31"/>
          <w:w w:val="105"/>
        </w:rPr>
        <w:t> </w:t>
      </w:r>
      <w:r>
        <w:rPr>
          <w:color w:val="231F20"/>
          <w:w w:val="105"/>
        </w:rPr>
        <w:t>per</w:t>
      </w:r>
      <w:r>
        <w:rPr>
          <w:color w:val="231F20"/>
          <w:spacing w:val="-31"/>
          <w:w w:val="105"/>
        </w:rPr>
        <w:t> </w:t>
      </w:r>
      <w:r>
        <w:rPr>
          <w:color w:val="231F20"/>
          <w:w w:val="105"/>
        </w:rPr>
        <w:t>poter</w:t>
      </w:r>
      <w:r>
        <w:rPr>
          <w:color w:val="231F20"/>
          <w:spacing w:val="-31"/>
          <w:w w:val="105"/>
        </w:rPr>
        <w:t> </w:t>
      </w:r>
      <w:r>
        <w:rPr>
          <w:color w:val="231F20"/>
          <w:w w:val="105"/>
        </w:rPr>
        <w:t>combattere</w:t>
      </w:r>
      <w:r>
        <w:rPr>
          <w:color w:val="231F20"/>
          <w:spacing w:val="-31"/>
          <w:w w:val="105"/>
        </w:rPr>
        <w:t> </w:t>
      </w:r>
      <w:r>
        <w:rPr>
          <w:color w:val="231F20"/>
          <w:w w:val="105"/>
        </w:rPr>
        <w:t>tali</w:t>
      </w:r>
      <w:r>
        <w:rPr>
          <w:color w:val="231F20"/>
          <w:spacing w:val="-31"/>
          <w:w w:val="105"/>
        </w:rPr>
        <w:t> </w:t>
      </w:r>
      <w:r>
        <w:rPr>
          <w:color w:val="231F20"/>
          <w:w w:val="105"/>
        </w:rPr>
        <w:t>comportamenti</w:t>
      </w:r>
      <w:r>
        <w:rPr>
          <w:color w:val="231F20"/>
          <w:spacing w:val="-31"/>
          <w:w w:val="105"/>
        </w:rPr>
        <w:t> </w:t>
      </w:r>
      <w:r>
        <w:rPr>
          <w:color w:val="231F20"/>
          <w:w w:val="105"/>
        </w:rPr>
        <w:t>sociali.</w:t>
      </w:r>
    </w:p>
    <w:p>
      <w:pPr>
        <w:pStyle w:val="BodyText"/>
        <w:spacing w:line="247" w:lineRule="auto"/>
        <w:ind w:left="103" w:right="110" w:firstLine="566"/>
        <w:jc w:val="both"/>
      </w:pPr>
      <w:r>
        <w:rPr>
          <w:color w:val="231F20"/>
          <w:w w:val="105"/>
        </w:rPr>
        <w:t>In</w:t>
      </w:r>
      <w:r>
        <w:rPr>
          <w:color w:val="231F20"/>
          <w:spacing w:val="-51"/>
          <w:w w:val="105"/>
        </w:rPr>
        <w:t> </w:t>
      </w:r>
      <w:r>
        <w:rPr>
          <w:color w:val="231F20"/>
          <w:w w:val="105"/>
        </w:rPr>
        <w:t>questo</w:t>
      </w:r>
      <w:r>
        <w:rPr>
          <w:color w:val="231F20"/>
          <w:spacing w:val="-51"/>
          <w:w w:val="105"/>
        </w:rPr>
        <w:t> </w:t>
      </w:r>
      <w:r>
        <w:rPr>
          <w:color w:val="231F20"/>
          <w:spacing w:val="-3"/>
          <w:w w:val="105"/>
        </w:rPr>
        <w:t>breve</w:t>
      </w:r>
      <w:r>
        <w:rPr>
          <w:color w:val="231F20"/>
          <w:spacing w:val="-51"/>
          <w:w w:val="105"/>
        </w:rPr>
        <w:t> </w:t>
      </w:r>
      <w:r>
        <w:rPr>
          <w:color w:val="231F20"/>
          <w:w w:val="105"/>
        </w:rPr>
        <w:t>articolo</w:t>
      </w:r>
      <w:r>
        <w:rPr>
          <w:color w:val="231F20"/>
          <w:spacing w:val="-51"/>
          <w:w w:val="105"/>
        </w:rPr>
        <w:t> </w:t>
      </w:r>
      <w:r>
        <w:rPr>
          <w:color w:val="231F20"/>
          <w:spacing w:val="-3"/>
          <w:w w:val="105"/>
        </w:rPr>
        <w:t>cerchiamo,</w:t>
      </w:r>
      <w:r>
        <w:rPr>
          <w:color w:val="231F20"/>
          <w:spacing w:val="-51"/>
          <w:w w:val="105"/>
        </w:rPr>
        <w:t> </w:t>
      </w:r>
      <w:r>
        <w:rPr>
          <w:color w:val="231F20"/>
          <w:w w:val="105"/>
        </w:rPr>
        <w:t>nella</w:t>
      </w:r>
      <w:r>
        <w:rPr>
          <w:color w:val="231F20"/>
          <w:spacing w:val="-51"/>
          <w:w w:val="105"/>
        </w:rPr>
        <w:t> </w:t>
      </w:r>
      <w:r>
        <w:rPr>
          <w:color w:val="231F20"/>
          <w:w w:val="105"/>
        </w:rPr>
        <w:t>prima</w:t>
      </w:r>
      <w:r>
        <w:rPr>
          <w:color w:val="231F20"/>
          <w:spacing w:val="-51"/>
          <w:w w:val="105"/>
        </w:rPr>
        <w:t> </w:t>
      </w:r>
      <w:r>
        <w:rPr>
          <w:color w:val="231F20"/>
          <w:w w:val="105"/>
        </w:rPr>
        <w:t>parte,</w:t>
      </w:r>
      <w:r>
        <w:rPr>
          <w:color w:val="231F20"/>
          <w:spacing w:val="-51"/>
          <w:w w:val="105"/>
        </w:rPr>
        <w:t> </w:t>
      </w:r>
      <w:r>
        <w:rPr>
          <w:color w:val="231F20"/>
          <w:w w:val="105"/>
        </w:rPr>
        <w:t>di</w:t>
      </w:r>
      <w:r>
        <w:rPr>
          <w:color w:val="231F20"/>
          <w:spacing w:val="-51"/>
          <w:w w:val="105"/>
        </w:rPr>
        <w:t> </w:t>
      </w:r>
      <w:r>
        <w:rPr>
          <w:color w:val="231F20"/>
          <w:spacing w:val="-3"/>
          <w:w w:val="105"/>
        </w:rPr>
        <w:t>fare</w:t>
      </w:r>
      <w:r>
        <w:rPr>
          <w:color w:val="231F20"/>
          <w:spacing w:val="-51"/>
          <w:w w:val="105"/>
        </w:rPr>
        <w:t> </w:t>
      </w:r>
      <w:r>
        <w:rPr>
          <w:color w:val="231F20"/>
          <w:w w:val="105"/>
        </w:rPr>
        <w:t>un’analisi </w:t>
      </w:r>
      <w:r>
        <w:rPr>
          <w:color w:val="231F20"/>
          <w:spacing w:val="2"/>
          <w:w w:val="105"/>
        </w:rPr>
        <w:t>argomentativa </w:t>
      </w:r>
      <w:r>
        <w:rPr>
          <w:color w:val="231F20"/>
          <w:w w:val="105"/>
        </w:rPr>
        <w:t>su un </w:t>
      </w:r>
      <w:r>
        <w:rPr>
          <w:color w:val="231F20"/>
          <w:spacing w:val="2"/>
          <w:w w:val="105"/>
        </w:rPr>
        <w:t>prima </w:t>
      </w:r>
      <w:r>
        <w:rPr>
          <w:color w:val="231F20"/>
          <w:w w:val="105"/>
        </w:rPr>
        <w:t>e un </w:t>
      </w:r>
      <w:r>
        <w:rPr>
          <w:color w:val="231F20"/>
          <w:spacing w:val="2"/>
          <w:w w:val="105"/>
        </w:rPr>
        <w:t>dopo </w:t>
      </w:r>
      <w:r>
        <w:rPr>
          <w:color w:val="231F20"/>
          <w:w w:val="105"/>
        </w:rPr>
        <w:t>gli </w:t>
      </w:r>
      <w:r>
        <w:rPr>
          <w:color w:val="231F20"/>
          <w:spacing w:val="2"/>
          <w:w w:val="105"/>
        </w:rPr>
        <w:t>attentati dell’11–S, fatti </w:t>
      </w:r>
      <w:r>
        <w:rPr>
          <w:color w:val="231F20"/>
          <w:spacing w:val="3"/>
          <w:w w:val="105"/>
        </w:rPr>
        <w:t>che </w:t>
      </w:r>
      <w:r>
        <w:rPr>
          <w:color w:val="231F20"/>
          <w:w w:val="105"/>
        </w:rPr>
        <w:t>provocarono</w:t>
      </w:r>
      <w:r>
        <w:rPr>
          <w:color w:val="231F20"/>
          <w:spacing w:val="-10"/>
          <w:w w:val="105"/>
        </w:rPr>
        <w:t> </w:t>
      </w:r>
      <w:r>
        <w:rPr>
          <w:color w:val="231F20"/>
          <w:w w:val="105"/>
        </w:rPr>
        <w:t>il</w:t>
      </w:r>
      <w:r>
        <w:rPr>
          <w:color w:val="231F20"/>
          <w:spacing w:val="-10"/>
          <w:w w:val="105"/>
        </w:rPr>
        <w:t> </w:t>
      </w:r>
      <w:r>
        <w:rPr>
          <w:color w:val="231F20"/>
          <w:w w:val="105"/>
        </w:rPr>
        <w:t>cambiamento</w:t>
      </w:r>
      <w:r>
        <w:rPr>
          <w:color w:val="231F20"/>
          <w:spacing w:val="-10"/>
          <w:w w:val="105"/>
        </w:rPr>
        <w:t> </w:t>
      </w:r>
      <w:r>
        <w:rPr>
          <w:color w:val="231F20"/>
          <w:w w:val="105"/>
        </w:rPr>
        <w:t>del</w:t>
      </w:r>
      <w:r>
        <w:rPr>
          <w:color w:val="231F20"/>
          <w:spacing w:val="-10"/>
          <w:w w:val="105"/>
        </w:rPr>
        <w:t> </w:t>
      </w:r>
      <w:r>
        <w:rPr>
          <w:color w:val="231F20"/>
          <w:w w:val="105"/>
        </w:rPr>
        <w:t>paradigma</w:t>
      </w:r>
      <w:r>
        <w:rPr>
          <w:color w:val="231F20"/>
          <w:spacing w:val="-10"/>
          <w:w w:val="105"/>
        </w:rPr>
        <w:t> </w:t>
      </w:r>
      <w:r>
        <w:rPr>
          <w:color w:val="231F20"/>
          <w:w w:val="105"/>
        </w:rPr>
        <w:t>giuridico</w:t>
      </w:r>
      <w:r>
        <w:rPr>
          <w:color w:val="231F20"/>
          <w:spacing w:val="-10"/>
          <w:w w:val="105"/>
        </w:rPr>
        <w:t> </w:t>
      </w:r>
      <w:r>
        <w:rPr>
          <w:color w:val="231F20"/>
          <w:w w:val="105"/>
        </w:rPr>
        <w:t>in</w:t>
      </w:r>
      <w:r>
        <w:rPr>
          <w:color w:val="231F20"/>
          <w:spacing w:val="-10"/>
          <w:w w:val="105"/>
        </w:rPr>
        <w:t> </w:t>
      </w:r>
      <w:r>
        <w:rPr>
          <w:color w:val="231F20"/>
          <w:w w:val="105"/>
        </w:rPr>
        <w:t>detrimento</w:t>
      </w:r>
      <w:r>
        <w:rPr>
          <w:color w:val="231F20"/>
          <w:spacing w:val="-10"/>
          <w:w w:val="105"/>
        </w:rPr>
        <w:t> </w:t>
      </w:r>
      <w:r>
        <w:rPr>
          <w:color w:val="231F20"/>
          <w:w w:val="105"/>
        </w:rPr>
        <w:t>delle </w:t>
      </w:r>
      <w:r>
        <w:rPr>
          <w:color w:val="231F20"/>
          <w:spacing w:val="2"/>
          <w:w w:val="105"/>
        </w:rPr>
        <w:t>garanzie individuali. </w:t>
      </w:r>
      <w:r>
        <w:rPr>
          <w:color w:val="231F20"/>
          <w:w w:val="105"/>
        </w:rPr>
        <w:t>Nel </w:t>
      </w:r>
      <w:r>
        <w:rPr>
          <w:color w:val="231F20"/>
          <w:spacing w:val="2"/>
          <w:w w:val="105"/>
        </w:rPr>
        <w:t>secondo paragrafo, realizzeremo </w:t>
      </w:r>
      <w:r>
        <w:rPr>
          <w:color w:val="231F20"/>
          <w:w w:val="105"/>
        </w:rPr>
        <w:t>un </w:t>
      </w:r>
      <w:r>
        <w:rPr>
          <w:color w:val="231F20"/>
          <w:spacing w:val="2"/>
          <w:w w:val="105"/>
        </w:rPr>
        <w:t>percorso </w:t>
      </w:r>
      <w:r>
        <w:rPr>
          <w:color w:val="231F20"/>
          <w:spacing w:val="-3"/>
          <w:w w:val="105"/>
        </w:rPr>
        <w:t>descrittivo</w:t>
      </w:r>
      <w:r>
        <w:rPr>
          <w:color w:val="231F20"/>
          <w:spacing w:val="-48"/>
          <w:w w:val="105"/>
        </w:rPr>
        <w:t> </w:t>
      </w:r>
      <w:r>
        <w:rPr>
          <w:color w:val="231F20"/>
          <w:spacing w:val="-3"/>
          <w:w w:val="105"/>
        </w:rPr>
        <w:t>delle</w:t>
      </w:r>
      <w:r>
        <w:rPr>
          <w:color w:val="231F20"/>
          <w:spacing w:val="-48"/>
          <w:w w:val="105"/>
        </w:rPr>
        <w:t> </w:t>
      </w:r>
      <w:r>
        <w:rPr>
          <w:color w:val="231F20"/>
          <w:spacing w:val="-3"/>
          <w:w w:val="105"/>
        </w:rPr>
        <w:t>riforme</w:t>
      </w:r>
      <w:r>
        <w:rPr>
          <w:color w:val="231F20"/>
          <w:spacing w:val="-48"/>
          <w:w w:val="105"/>
        </w:rPr>
        <w:t> </w:t>
      </w:r>
      <w:r>
        <w:rPr>
          <w:color w:val="231F20"/>
          <w:spacing w:val="-3"/>
          <w:w w:val="105"/>
        </w:rPr>
        <w:t>fatte</w:t>
      </w:r>
      <w:r>
        <w:rPr>
          <w:color w:val="231F20"/>
          <w:spacing w:val="-48"/>
          <w:w w:val="105"/>
        </w:rPr>
        <w:t> </w:t>
      </w:r>
      <w:r>
        <w:rPr>
          <w:color w:val="231F20"/>
          <w:spacing w:val="-3"/>
          <w:w w:val="105"/>
        </w:rPr>
        <w:t>nella</w:t>
      </w:r>
      <w:r>
        <w:rPr>
          <w:color w:val="231F20"/>
          <w:spacing w:val="-48"/>
          <w:w w:val="105"/>
        </w:rPr>
        <w:t> </w:t>
      </w:r>
      <w:r>
        <w:rPr>
          <w:color w:val="231F20"/>
          <w:spacing w:val="-3"/>
          <w:w w:val="105"/>
        </w:rPr>
        <w:t>lotta</w:t>
      </w:r>
      <w:r>
        <w:rPr>
          <w:color w:val="231F20"/>
          <w:spacing w:val="-48"/>
          <w:w w:val="105"/>
        </w:rPr>
        <w:t> </w:t>
      </w:r>
      <w:r>
        <w:rPr>
          <w:color w:val="231F20"/>
          <w:spacing w:val="-3"/>
          <w:w w:val="105"/>
        </w:rPr>
        <w:t>alla</w:t>
      </w:r>
      <w:r>
        <w:rPr>
          <w:color w:val="231F20"/>
          <w:spacing w:val="-48"/>
          <w:w w:val="105"/>
        </w:rPr>
        <w:t> </w:t>
      </w:r>
      <w:r>
        <w:rPr>
          <w:color w:val="231F20"/>
          <w:spacing w:val="-3"/>
          <w:w w:val="105"/>
        </w:rPr>
        <w:t>criminalità</w:t>
      </w:r>
      <w:r>
        <w:rPr>
          <w:color w:val="231F20"/>
          <w:spacing w:val="-48"/>
          <w:w w:val="105"/>
        </w:rPr>
        <w:t> </w:t>
      </w:r>
      <w:r>
        <w:rPr>
          <w:color w:val="231F20"/>
          <w:spacing w:val="-4"/>
          <w:w w:val="105"/>
        </w:rPr>
        <w:t>organizzata</w:t>
      </w:r>
      <w:r>
        <w:rPr>
          <w:color w:val="231F20"/>
          <w:spacing w:val="-48"/>
          <w:w w:val="105"/>
        </w:rPr>
        <w:t> </w:t>
      </w:r>
      <w:r>
        <w:rPr>
          <w:color w:val="231F20"/>
          <w:w w:val="105"/>
        </w:rPr>
        <w:t>in</w:t>
      </w:r>
      <w:r>
        <w:rPr>
          <w:color w:val="231F20"/>
          <w:spacing w:val="-48"/>
          <w:w w:val="105"/>
        </w:rPr>
        <w:t> </w:t>
      </w:r>
      <w:r>
        <w:rPr>
          <w:color w:val="231F20"/>
          <w:spacing w:val="-3"/>
          <w:w w:val="105"/>
        </w:rPr>
        <w:t>Messico, </w:t>
      </w:r>
      <w:r>
        <w:rPr>
          <w:color w:val="231F20"/>
          <w:spacing w:val="2"/>
          <w:w w:val="105"/>
        </w:rPr>
        <w:t>fatto </w:t>
      </w:r>
      <w:r>
        <w:rPr>
          <w:color w:val="231F20"/>
          <w:w w:val="105"/>
        </w:rPr>
        <w:t>che ha </w:t>
      </w:r>
      <w:r>
        <w:rPr>
          <w:color w:val="231F20"/>
          <w:spacing w:val="2"/>
          <w:w w:val="105"/>
        </w:rPr>
        <w:t>instaurato </w:t>
      </w:r>
      <w:r>
        <w:rPr>
          <w:color w:val="231F20"/>
          <w:w w:val="105"/>
        </w:rPr>
        <w:t>un </w:t>
      </w:r>
      <w:r>
        <w:rPr>
          <w:color w:val="231F20"/>
          <w:w w:val="105"/>
          <w:sz w:val="18"/>
        </w:rPr>
        <w:t>DPN</w:t>
      </w:r>
      <w:r>
        <w:rPr>
          <w:color w:val="231F20"/>
          <w:w w:val="105"/>
        </w:rPr>
        <w:t>. In </w:t>
      </w:r>
      <w:r>
        <w:rPr>
          <w:color w:val="231F20"/>
          <w:spacing w:val="2"/>
          <w:w w:val="105"/>
        </w:rPr>
        <w:t>entrambi </w:t>
      </w:r>
      <w:r>
        <w:rPr>
          <w:color w:val="231F20"/>
          <w:w w:val="105"/>
        </w:rPr>
        <w:t>i </w:t>
      </w:r>
      <w:r>
        <w:rPr>
          <w:color w:val="231F20"/>
          <w:spacing w:val="2"/>
          <w:w w:val="105"/>
        </w:rPr>
        <w:t>paragrafi sottolineeremo </w:t>
      </w:r>
      <w:r>
        <w:rPr>
          <w:color w:val="231F20"/>
          <w:w w:val="105"/>
        </w:rPr>
        <w:t>l’importanza</w:t>
      </w:r>
      <w:r>
        <w:rPr>
          <w:color w:val="231F20"/>
          <w:spacing w:val="-26"/>
          <w:w w:val="105"/>
        </w:rPr>
        <w:t> </w:t>
      </w:r>
      <w:r>
        <w:rPr>
          <w:color w:val="231F20"/>
          <w:w w:val="105"/>
        </w:rPr>
        <w:t>delle</w:t>
      </w:r>
      <w:r>
        <w:rPr>
          <w:color w:val="231F20"/>
          <w:spacing w:val="-26"/>
          <w:w w:val="105"/>
        </w:rPr>
        <w:t> </w:t>
      </w:r>
      <w:r>
        <w:rPr>
          <w:color w:val="231F20"/>
          <w:w w:val="105"/>
        </w:rPr>
        <w:t>proposte</w:t>
      </w:r>
      <w:r>
        <w:rPr>
          <w:color w:val="231F20"/>
          <w:spacing w:val="-26"/>
          <w:w w:val="105"/>
        </w:rPr>
        <w:t> </w:t>
      </w:r>
      <w:r>
        <w:rPr>
          <w:color w:val="231F20"/>
          <w:w w:val="105"/>
        </w:rPr>
        <w:t>di</w:t>
      </w:r>
      <w:r>
        <w:rPr>
          <w:color w:val="231F20"/>
          <w:spacing w:val="-26"/>
          <w:w w:val="105"/>
        </w:rPr>
        <w:t> </w:t>
      </w:r>
      <w:r>
        <w:rPr>
          <w:color w:val="231F20"/>
          <w:w w:val="105"/>
        </w:rPr>
        <w:t>Schmitt</w:t>
      </w:r>
      <w:r>
        <w:rPr>
          <w:color w:val="231F20"/>
          <w:spacing w:val="-26"/>
          <w:w w:val="105"/>
        </w:rPr>
        <w:t> </w:t>
      </w:r>
      <w:r>
        <w:rPr>
          <w:color w:val="231F20"/>
          <w:w w:val="105"/>
        </w:rPr>
        <w:t>e</w:t>
      </w:r>
      <w:r>
        <w:rPr>
          <w:color w:val="231F20"/>
          <w:spacing w:val="-26"/>
          <w:w w:val="105"/>
        </w:rPr>
        <w:t> </w:t>
      </w:r>
      <w:r>
        <w:rPr>
          <w:color w:val="231F20"/>
          <w:w w:val="105"/>
        </w:rPr>
        <w:t>Jakobs.</w:t>
      </w:r>
    </w:p>
    <w:p>
      <w:pPr>
        <w:pStyle w:val="BodyText"/>
        <w:spacing w:before="5"/>
        <w:rPr>
          <w:sz w:val="24"/>
        </w:rPr>
      </w:pPr>
    </w:p>
    <w:p>
      <w:pPr>
        <w:spacing w:before="1"/>
        <w:ind w:left="103" w:right="0" w:firstLine="0"/>
        <w:jc w:val="both"/>
        <w:rPr>
          <w:rFonts w:ascii="Arial" w:hAnsi="Arial"/>
          <w:i/>
          <w:sz w:val="21"/>
        </w:rPr>
      </w:pPr>
      <w:r>
        <w:rPr>
          <w:rFonts w:ascii="Arial" w:hAnsi="Arial"/>
          <w:i/>
          <w:color w:val="231F20"/>
          <w:w w:val="105"/>
          <w:sz w:val="21"/>
        </w:rPr>
        <w:t>La lotta al terrorismo dopo l’11–S</w:t>
      </w:r>
    </w:p>
    <w:p>
      <w:pPr>
        <w:pStyle w:val="BodyText"/>
        <w:rPr>
          <w:rFonts w:ascii="Arial"/>
          <w:i/>
          <w:sz w:val="20"/>
        </w:rPr>
      </w:pPr>
    </w:p>
    <w:p>
      <w:pPr>
        <w:pStyle w:val="BodyText"/>
        <w:spacing w:line="247" w:lineRule="auto" w:before="172"/>
        <w:ind w:left="103" w:right="111"/>
        <w:jc w:val="both"/>
      </w:pPr>
      <w:r>
        <w:rPr>
          <w:color w:val="231F20"/>
          <w:spacing w:val="-3"/>
          <w:w w:val="105"/>
        </w:rPr>
        <w:t>Manuel</w:t>
      </w:r>
      <w:r>
        <w:rPr>
          <w:color w:val="231F20"/>
          <w:spacing w:val="-55"/>
          <w:w w:val="105"/>
        </w:rPr>
        <w:t> </w:t>
      </w:r>
      <w:r>
        <w:rPr>
          <w:color w:val="231F20"/>
          <w:spacing w:val="-3"/>
          <w:w w:val="105"/>
        </w:rPr>
        <w:t>Castells,</w:t>
      </w:r>
      <w:r>
        <w:rPr>
          <w:color w:val="231F20"/>
          <w:spacing w:val="-55"/>
          <w:w w:val="105"/>
        </w:rPr>
        <w:t> </w:t>
      </w:r>
      <w:r>
        <w:rPr>
          <w:color w:val="231F20"/>
          <w:w w:val="105"/>
        </w:rPr>
        <w:t>in</w:t>
      </w:r>
      <w:r>
        <w:rPr>
          <w:color w:val="231F20"/>
          <w:spacing w:val="-55"/>
          <w:w w:val="105"/>
        </w:rPr>
        <w:t> </w:t>
      </w:r>
      <w:r>
        <w:rPr>
          <w:color w:val="231F20"/>
          <w:spacing w:val="-3"/>
          <w:w w:val="105"/>
        </w:rPr>
        <w:t>1990</w:t>
      </w:r>
      <w:r>
        <w:rPr>
          <w:color w:val="231F20"/>
          <w:spacing w:val="-55"/>
          <w:w w:val="105"/>
        </w:rPr>
        <w:t> </w:t>
      </w:r>
      <w:r>
        <w:rPr>
          <w:color w:val="231F20"/>
          <w:spacing w:val="-3"/>
          <w:w w:val="105"/>
        </w:rPr>
        <w:t>vaticinava</w:t>
      </w:r>
      <w:r>
        <w:rPr>
          <w:color w:val="231F20"/>
          <w:spacing w:val="-55"/>
          <w:w w:val="105"/>
        </w:rPr>
        <w:t> </w:t>
      </w:r>
      <w:r>
        <w:rPr>
          <w:color w:val="231F20"/>
          <w:w w:val="105"/>
        </w:rPr>
        <w:t>che</w:t>
      </w:r>
      <w:r>
        <w:rPr>
          <w:color w:val="231F20"/>
          <w:spacing w:val="-55"/>
          <w:w w:val="105"/>
        </w:rPr>
        <w:t> </w:t>
      </w:r>
      <w:r>
        <w:rPr>
          <w:color w:val="231F20"/>
          <w:spacing w:val="-3"/>
          <w:w w:val="105"/>
        </w:rPr>
        <w:t>“[…]</w:t>
      </w:r>
      <w:r>
        <w:rPr>
          <w:color w:val="231F20"/>
          <w:spacing w:val="-55"/>
          <w:w w:val="105"/>
        </w:rPr>
        <w:t> </w:t>
      </w:r>
      <w:r>
        <w:rPr>
          <w:color w:val="231F20"/>
          <w:w w:val="105"/>
        </w:rPr>
        <w:t>il</w:t>
      </w:r>
      <w:r>
        <w:rPr>
          <w:color w:val="231F20"/>
          <w:spacing w:val="-55"/>
          <w:w w:val="105"/>
        </w:rPr>
        <w:t> </w:t>
      </w:r>
      <w:r>
        <w:rPr>
          <w:color w:val="231F20"/>
          <w:spacing w:val="-4"/>
          <w:w w:val="105"/>
        </w:rPr>
        <w:t>terrorismo</w:t>
      </w:r>
      <w:r>
        <w:rPr>
          <w:color w:val="231F20"/>
          <w:spacing w:val="-55"/>
          <w:w w:val="105"/>
        </w:rPr>
        <w:t> </w:t>
      </w:r>
      <w:r>
        <w:rPr>
          <w:color w:val="231F20"/>
          <w:spacing w:val="-3"/>
          <w:w w:val="105"/>
        </w:rPr>
        <w:t>fondamentalista</w:t>
      </w:r>
      <w:r>
        <w:rPr>
          <w:color w:val="231F20"/>
          <w:spacing w:val="-55"/>
          <w:w w:val="105"/>
        </w:rPr>
        <w:t> </w:t>
      </w:r>
      <w:r>
        <w:rPr>
          <w:color w:val="231F20"/>
          <w:spacing w:val="-3"/>
          <w:w w:val="105"/>
        </w:rPr>
        <w:t>sarà </w:t>
      </w:r>
      <w:r>
        <w:rPr>
          <w:color w:val="231F20"/>
          <w:w w:val="105"/>
        </w:rPr>
        <w:t>(lo</w:t>
      </w:r>
      <w:r>
        <w:rPr>
          <w:color w:val="231F20"/>
          <w:spacing w:val="-47"/>
          <w:w w:val="105"/>
        </w:rPr>
        <w:t> </w:t>
      </w:r>
      <w:r>
        <w:rPr>
          <w:color w:val="231F20"/>
          <w:w w:val="105"/>
        </w:rPr>
        <w:t>è</w:t>
      </w:r>
      <w:r>
        <w:rPr>
          <w:color w:val="231F20"/>
          <w:spacing w:val="-47"/>
          <w:w w:val="105"/>
        </w:rPr>
        <w:t> </w:t>
      </w:r>
      <w:r>
        <w:rPr>
          <w:color w:val="231F20"/>
          <w:w w:val="105"/>
        </w:rPr>
        <w:t>già)</w:t>
      </w:r>
      <w:r>
        <w:rPr>
          <w:color w:val="231F20"/>
          <w:spacing w:val="-47"/>
          <w:w w:val="105"/>
        </w:rPr>
        <w:t> </w:t>
      </w:r>
      <w:r>
        <w:rPr>
          <w:color w:val="231F20"/>
          <w:w w:val="105"/>
        </w:rPr>
        <w:t>la</w:t>
      </w:r>
      <w:r>
        <w:rPr>
          <w:color w:val="231F20"/>
          <w:spacing w:val="-47"/>
          <w:w w:val="105"/>
        </w:rPr>
        <w:t> </w:t>
      </w:r>
      <w:r>
        <w:rPr>
          <w:color w:val="231F20"/>
          <w:w w:val="105"/>
        </w:rPr>
        <w:t>guerra</w:t>
      </w:r>
      <w:r>
        <w:rPr>
          <w:color w:val="231F20"/>
          <w:spacing w:val="-47"/>
          <w:w w:val="105"/>
        </w:rPr>
        <w:t> </w:t>
      </w:r>
      <w:r>
        <w:rPr>
          <w:color w:val="231F20"/>
          <w:w w:val="105"/>
        </w:rPr>
        <w:t>mondiale</w:t>
      </w:r>
      <w:r>
        <w:rPr>
          <w:color w:val="231F20"/>
          <w:spacing w:val="-47"/>
          <w:w w:val="105"/>
        </w:rPr>
        <w:t> </w:t>
      </w:r>
      <w:r>
        <w:rPr>
          <w:color w:val="231F20"/>
          <w:w w:val="105"/>
        </w:rPr>
        <w:t>del</w:t>
      </w:r>
      <w:r>
        <w:rPr>
          <w:color w:val="231F20"/>
          <w:spacing w:val="-47"/>
          <w:w w:val="105"/>
        </w:rPr>
        <w:t> </w:t>
      </w:r>
      <w:r>
        <w:rPr>
          <w:color w:val="231F20"/>
          <w:w w:val="105"/>
        </w:rPr>
        <w:t>secolo</w:t>
      </w:r>
      <w:r>
        <w:rPr>
          <w:color w:val="231F20"/>
          <w:spacing w:val="-48"/>
          <w:w w:val="105"/>
        </w:rPr>
        <w:t> </w:t>
      </w:r>
      <w:r>
        <w:rPr>
          <w:color w:val="231F20"/>
          <w:w w:val="105"/>
          <w:sz w:val="18"/>
        </w:rPr>
        <w:t>XXI</w:t>
      </w:r>
      <w:r>
        <w:rPr>
          <w:color w:val="231F20"/>
          <w:w w:val="105"/>
        </w:rPr>
        <w:t>”</w:t>
      </w:r>
      <w:r>
        <w:rPr>
          <w:color w:val="231F20"/>
          <w:w w:val="105"/>
          <w:position w:val="7"/>
          <w:sz w:val="12"/>
        </w:rPr>
        <w:t>1</w:t>
      </w:r>
      <w:r>
        <w:rPr>
          <w:color w:val="231F20"/>
          <w:w w:val="105"/>
        </w:rPr>
        <w:t>.</w:t>
      </w:r>
      <w:r>
        <w:rPr>
          <w:color w:val="231F20"/>
          <w:spacing w:val="-47"/>
          <w:w w:val="105"/>
        </w:rPr>
        <w:t> </w:t>
      </w:r>
      <w:r>
        <w:rPr>
          <w:color w:val="231F20"/>
          <w:w w:val="105"/>
        </w:rPr>
        <w:t>Senza</w:t>
      </w:r>
      <w:r>
        <w:rPr>
          <w:color w:val="231F20"/>
          <w:spacing w:val="-47"/>
          <w:w w:val="105"/>
        </w:rPr>
        <w:t> </w:t>
      </w:r>
      <w:r>
        <w:rPr>
          <w:color w:val="231F20"/>
          <w:w w:val="105"/>
        </w:rPr>
        <w:t>dubbio,</w:t>
      </w:r>
      <w:r>
        <w:rPr>
          <w:color w:val="231F20"/>
          <w:spacing w:val="-47"/>
          <w:w w:val="105"/>
        </w:rPr>
        <w:t> </w:t>
      </w:r>
      <w:r>
        <w:rPr>
          <w:color w:val="231F20"/>
          <w:w w:val="105"/>
        </w:rPr>
        <w:t>non</w:t>
      </w:r>
      <w:r>
        <w:rPr>
          <w:color w:val="231F20"/>
          <w:spacing w:val="-47"/>
          <w:w w:val="105"/>
        </w:rPr>
        <w:t> </w:t>
      </w:r>
      <w:r>
        <w:rPr>
          <w:color w:val="231F20"/>
          <w:w w:val="105"/>
        </w:rPr>
        <w:t>si</w:t>
      </w:r>
      <w:r>
        <w:rPr>
          <w:color w:val="231F20"/>
          <w:spacing w:val="-47"/>
          <w:w w:val="105"/>
        </w:rPr>
        <w:t> </w:t>
      </w:r>
      <w:r>
        <w:rPr>
          <w:color w:val="231F20"/>
          <w:w w:val="105"/>
        </w:rPr>
        <w:t>trattava</w:t>
      </w:r>
      <w:r>
        <w:rPr>
          <w:color w:val="231F20"/>
          <w:spacing w:val="-47"/>
          <w:w w:val="105"/>
        </w:rPr>
        <w:t> </w:t>
      </w:r>
      <w:r>
        <w:rPr>
          <w:color w:val="231F20"/>
          <w:w w:val="105"/>
        </w:rPr>
        <w:t>di una</w:t>
      </w:r>
      <w:r>
        <w:rPr>
          <w:color w:val="231F20"/>
          <w:spacing w:val="-50"/>
          <w:w w:val="105"/>
        </w:rPr>
        <w:t> </w:t>
      </w:r>
      <w:r>
        <w:rPr>
          <w:color w:val="231F20"/>
          <w:w w:val="105"/>
        </w:rPr>
        <w:t>profezia,</w:t>
      </w:r>
      <w:r>
        <w:rPr>
          <w:color w:val="231F20"/>
          <w:spacing w:val="-50"/>
          <w:w w:val="105"/>
        </w:rPr>
        <w:t> </w:t>
      </w:r>
      <w:r>
        <w:rPr>
          <w:color w:val="231F20"/>
          <w:w w:val="105"/>
        </w:rPr>
        <w:t>ma</w:t>
      </w:r>
      <w:r>
        <w:rPr>
          <w:color w:val="231F20"/>
          <w:spacing w:val="-50"/>
          <w:w w:val="105"/>
        </w:rPr>
        <w:t> </w:t>
      </w:r>
      <w:r>
        <w:rPr>
          <w:color w:val="231F20"/>
          <w:w w:val="105"/>
        </w:rPr>
        <w:t>di</w:t>
      </w:r>
      <w:r>
        <w:rPr>
          <w:color w:val="231F20"/>
          <w:spacing w:val="-50"/>
          <w:w w:val="105"/>
        </w:rPr>
        <w:t> </w:t>
      </w:r>
      <w:r>
        <w:rPr>
          <w:color w:val="231F20"/>
          <w:w w:val="105"/>
        </w:rPr>
        <w:t>una</w:t>
      </w:r>
      <w:r>
        <w:rPr>
          <w:color w:val="231F20"/>
          <w:spacing w:val="-50"/>
          <w:w w:val="105"/>
        </w:rPr>
        <w:t> </w:t>
      </w:r>
      <w:r>
        <w:rPr>
          <w:color w:val="231F20"/>
          <w:w w:val="105"/>
        </w:rPr>
        <w:t>profonda</w:t>
      </w:r>
      <w:r>
        <w:rPr>
          <w:color w:val="231F20"/>
          <w:spacing w:val="-50"/>
          <w:w w:val="105"/>
        </w:rPr>
        <w:t> </w:t>
      </w:r>
      <w:r>
        <w:rPr>
          <w:color w:val="231F20"/>
          <w:w w:val="105"/>
        </w:rPr>
        <w:t>analisi,</w:t>
      </w:r>
      <w:r>
        <w:rPr>
          <w:color w:val="231F20"/>
          <w:spacing w:val="-50"/>
          <w:w w:val="105"/>
        </w:rPr>
        <w:t> </w:t>
      </w:r>
      <w:r>
        <w:rPr>
          <w:color w:val="231F20"/>
          <w:w w:val="105"/>
        </w:rPr>
        <w:t>annunciando</w:t>
      </w:r>
      <w:r>
        <w:rPr>
          <w:color w:val="231F20"/>
          <w:spacing w:val="-50"/>
          <w:w w:val="105"/>
        </w:rPr>
        <w:t> </w:t>
      </w:r>
      <w:r>
        <w:rPr>
          <w:color w:val="231F20"/>
          <w:w w:val="105"/>
        </w:rPr>
        <w:t>che</w:t>
      </w:r>
      <w:r>
        <w:rPr>
          <w:color w:val="231F20"/>
          <w:spacing w:val="-50"/>
          <w:w w:val="105"/>
        </w:rPr>
        <w:t> </w:t>
      </w:r>
      <w:r>
        <w:rPr>
          <w:color w:val="231F20"/>
          <w:w w:val="105"/>
        </w:rPr>
        <w:t>il</w:t>
      </w:r>
      <w:r>
        <w:rPr>
          <w:color w:val="231F20"/>
          <w:spacing w:val="-50"/>
          <w:w w:val="105"/>
        </w:rPr>
        <w:t> </w:t>
      </w:r>
      <w:r>
        <w:rPr>
          <w:color w:val="231F20"/>
          <w:w w:val="105"/>
        </w:rPr>
        <w:t>mondo,</w:t>
      </w:r>
      <w:r>
        <w:rPr>
          <w:color w:val="231F20"/>
          <w:spacing w:val="-50"/>
          <w:w w:val="105"/>
        </w:rPr>
        <w:t> </w:t>
      </w:r>
      <w:r>
        <w:rPr>
          <w:color w:val="231F20"/>
          <w:w w:val="105"/>
        </w:rPr>
        <w:t>davanti alla</w:t>
      </w:r>
      <w:r>
        <w:rPr>
          <w:color w:val="231F20"/>
          <w:spacing w:val="-40"/>
          <w:w w:val="105"/>
        </w:rPr>
        <w:t> </w:t>
      </w:r>
      <w:r>
        <w:rPr>
          <w:color w:val="231F20"/>
          <w:w w:val="105"/>
        </w:rPr>
        <w:t>logica</w:t>
      </w:r>
      <w:r>
        <w:rPr>
          <w:color w:val="231F20"/>
          <w:spacing w:val="-40"/>
          <w:w w:val="105"/>
        </w:rPr>
        <w:t> </w:t>
      </w:r>
      <w:r>
        <w:rPr>
          <w:color w:val="231F20"/>
          <w:w w:val="105"/>
        </w:rPr>
        <w:t>dell’esclusione</w:t>
      </w:r>
      <w:r>
        <w:rPr>
          <w:color w:val="231F20"/>
          <w:spacing w:val="-40"/>
          <w:w w:val="105"/>
        </w:rPr>
        <w:t> </w:t>
      </w:r>
      <w:r>
        <w:rPr>
          <w:color w:val="231F20"/>
          <w:w w:val="105"/>
        </w:rPr>
        <w:t>e</w:t>
      </w:r>
      <w:r>
        <w:rPr>
          <w:color w:val="231F20"/>
          <w:spacing w:val="-40"/>
          <w:w w:val="105"/>
        </w:rPr>
        <w:t> </w:t>
      </w:r>
      <w:r>
        <w:rPr>
          <w:color w:val="231F20"/>
          <w:w w:val="105"/>
        </w:rPr>
        <w:t>segregazione</w:t>
      </w:r>
      <w:r>
        <w:rPr>
          <w:color w:val="231F20"/>
          <w:spacing w:val="-40"/>
          <w:w w:val="105"/>
        </w:rPr>
        <w:t> </w:t>
      </w:r>
      <w:r>
        <w:rPr>
          <w:color w:val="231F20"/>
          <w:w w:val="105"/>
        </w:rPr>
        <w:t>del</w:t>
      </w:r>
      <w:r>
        <w:rPr>
          <w:color w:val="231F20"/>
          <w:spacing w:val="-40"/>
          <w:w w:val="105"/>
        </w:rPr>
        <w:t> </w:t>
      </w:r>
      <w:r>
        <w:rPr>
          <w:color w:val="231F20"/>
          <w:w w:val="105"/>
        </w:rPr>
        <w:t>sistema</w:t>
      </w:r>
      <w:r>
        <w:rPr>
          <w:color w:val="231F20"/>
          <w:spacing w:val="-40"/>
          <w:w w:val="105"/>
        </w:rPr>
        <w:t> </w:t>
      </w:r>
      <w:r>
        <w:rPr>
          <w:color w:val="231F20"/>
          <w:w w:val="105"/>
        </w:rPr>
        <w:t>mondiale,</w:t>
      </w:r>
      <w:r>
        <w:rPr>
          <w:color w:val="231F20"/>
          <w:spacing w:val="-40"/>
          <w:w w:val="105"/>
        </w:rPr>
        <w:t> </w:t>
      </w:r>
      <w:r>
        <w:rPr>
          <w:color w:val="231F20"/>
          <w:w w:val="105"/>
        </w:rPr>
        <w:t>catalogava una gran parte della popolazione esclusa come </w:t>
      </w:r>
      <w:r>
        <w:rPr>
          <w:rFonts w:ascii="Arial" w:hAnsi="Arial"/>
          <w:i/>
          <w:color w:val="231F20"/>
          <w:w w:val="105"/>
        </w:rPr>
        <w:t>sub–uomini</w:t>
      </w:r>
      <w:r>
        <w:rPr>
          <w:color w:val="231F20"/>
          <w:w w:val="105"/>
        </w:rPr>
        <w:t>. Categoria discutibile</w:t>
      </w:r>
      <w:r>
        <w:rPr>
          <w:color w:val="231F20"/>
          <w:spacing w:val="-46"/>
          <w:w w:val="105"/>
        </w:rPr>
        <w:t> </w:t>
      </w:r>
      <w:r>
        <w:rPr>
          <w:color w:val="231F20"/>
          <w:w w:val="105"/>
        </w:rPr>
        <w:t>da</w:t>
      </w:r>
      <w:r>
        <w:rPr>
          <w:color w:val="231F20"/>
          <w:spacing w:val="-46"/>
          <w:w w:val="105"/>
        </w:rPr>
        <w:t> </w:t>
      </w:r>
      <w:r>
        <w:rPr>
          <w:color w:val="231F20"/>
          <w:w w:val="105"/>
        </w:rPr>
        <w:t>un</w:t>
      </w:r>
      <w:r>
        <w:rPr>
          <w:color w:val="231F20"/>
          <w:spacing w:val="-46"/>
          <w:w w:val="105"/>
        </w:rPr>
        <w:t> </w:t>
      </w:r>
      <w:r>
        <w:rPr>
          <w:color w:val="231F20"/>
          <w:w w:val="105"/>
        </w:rPr>
        <w:t>punto</w:t>
      </w:r>
      <w:r>
        <w:rPr>
          <w:color w:val="231F20"/>
          <w:spacing w:val="-46"/>
          <w:w w:val="105"/>
        </w:rPr>
        <w:t> </w:t>
      </w:r>
      <w:r>
        <w:rPr>
          <w:color w:val="231F20"/>
          <w:w w:val="105"/>
        </w:rPr>
        <w:t>di</w:t>
      </w:r>
      <w:r>
        <w:rPr>
          <w:color w:val="231F20"/>
          <w:spacing w:val="-46"/>
          <w:w w:val="105"/>
        </w:rPr>
        <w:t> </w:t>
      </w:r>
      <w:r>
        <w:rPr>
          <w:color w:val="231F20"/>
          <w:w w:val="105"/>
        </w:rPr>
        <w:t>vista</w:t>
      </w:r>
      <w:r>
        <w:rPr>
          <w:color w:val="231F20"/>
          <w:spacing w:val="-46"/>
          <w:w w:val="105"/>
        </w:rPr>
        <w:t> </w:t>
      </w:r>
      <w:r>
        <w:rPr>
          <w:color w:val="231F20"/>
          <w:w w:val="105"/>
        </w:rPr>
        <w:t>etico,</w:t>
      </w:r>
      <w:r>
        <w:rPr>
          <w:color w:val="231F20"/>
          <w:spacing w:val="-46"/>
          <w:w w:val="105"/>
        </w:rPr>
        <w:t> </w:t>
      </w:r>
      <w:r>
        <w:rPr>
          <w:color w:val="231F20"/>
          <w:w w:val="105"/>
        </w:rPr>
        <w:t>nomina</w:t>
      </w:r>
      <w:r>
        <w:rPr>
          <w:color w:val="231F20"/>
          <w:spacing w:val="-46"/>
          <w:w w:val="105"/>
        </w:rPr>
        <w:t> </w:t>
      </w:r>
      <w:r>
        <w:rPr>
          <w:color w:val="231F20"/>
          <w:w w:val="105"/>
        </w:rPr>
        <w:t>una</w:t>
      </w:r>
      <w:r>
        <w:rPr>
          <w:color w:val="231F20"/>
          <w:spacing w:val="-46"/>
          <w:w w:val="105"/>
        </w:rPr>
        <w:t> </w:t>
      </w:r>
      <w:r>
        <w:rPr>
          <w:color w:val="231F20"/>
          <w:w w:val="105"/>
        </w:rPr>
        <w:t>frangia</w:t>
      </w:r>
      <w:r>
        <w:rPr>
          <w:color w:val="231F20"/>
          <w:spacing w:val="-46"/>
          <w:w w:val="105"/>
        </w:rPr>
        <w:t> </w:t>
      </w:r>
      <w:r>
        <w:rPr>
          <w:color w:val="231F20"/>
          <w:w w:val="105"/>
        </w:rPr>
        <w:t>maggioritaria</w:t>
      </w:r>
      <w:r>
        <w:rPr>
          <w:color w:val="231F20"/>
          <w:spacing w:val="-46"/>
          <w:w w:val="105"/>
        </w:rPr>
        <w:t> </w:t>
      </w:r>
      <w:r>
        <w:rPr>
          <w:color w:val="231F20"/>
          <w:w w:val="105"/>
        </w:rPr>
        <w:t>della popolazione</w:t>
      </w:r>
      <w:r>
        <w:rPr>
          <w:color w:val="231F20"/>
          <w:spacing w:val="-46"/>
          <w:w w:val="105"/>
        </w:rPr>
        <w:t> </w:t>
      </w:r>
      <w:r>
        <w:rPr>
          <w:color w:val="231F20"/>
          <w:w w:val="105"/>
        </w:rPr>
        <w:t>mondiale</w:t>
      </w:r>
      <w:r>
        <w:rPr>
          <w:color w:val="231F20"/>
          <w:spacing w:val="-46"/>
          <w:w w:val="105"/>
        </w:rPr>
        <w:t> </w:t>
      </w:r>
      <w:r>
        <w:rPr>
          <w:color w:val="231F20"/>
          <w:w w:val="105"/>
        </w:rPr>
        <w:t>che</w:t>
      </w:r>
      <w:r>
        <w:rPr>
          <w:color w:val="231F20"/>
          <w:spacing w:val="-46"/>
          <w:w w:val="105"/>
        </w:rPr>
        <w:t> </w:t>
      </w:r>
      <w:r>
        <w:rPr>
          <w:color w:val="231F20"/>
          <w:w w:val="105"/>
        </w:rPr>
        <w:t>è</w:t>
      </w:r>
      <w:r>
        <w:rPr>
          <w:color w:val="231F20"/>
          <w:spacing w:val="-46"/>
          <w:w w:val="105"/>
        </w:rPr>
        <w:t> </w:t>
      </w:r>
      <w:r>
        <w:rPr>
          <w:color w:val="231F20"/>
          <w:w w:val="105"/>
        </w:rPr>
        <w:t>vittima</w:t>
      </w:r>
      <w:r>
        <w:rPr>
          <w:color w:val="231F20"/>
          <w:spacing w:val="-46"/>
          <w:w w:val="105"/>
        </w:rPr>
        <w:t> </w:t>
      </w:r>
      <w:r>
        <w:rPr>
          <w:color w:val="231F20"/>
          <w:w w:val="105"/>
        </w:rPr>
        <w:t>di</w:t>
      </w:r>
      <w:r>
        <w:rPr>
          <w:color w:val="231F20"/>
          <w:spacing w:val="-46"/>
          <w:w w:val="105"/>
        </w:rPr>
        <w:t> </w:t>
      </w:r>
      <w:r>
        <w:rPr>
          <w:color w:val="231F20"/>
          <w:w w:val="105"/>
        </w:rPr>
        <w:t>un</w:t>
      </w:r>
      <w:r>
        <w:rPr>
          <w:color w:val="231F20"/>
          <w:spacing w:val="-46"/>
          <w:w w:val="105"/>
        </w:rPr>
        <w:t> </w:t>
      </w:r>
      <w:r>
        <w:rPr>
          <w:color w:val="231F20"/>
          <w:w w:val="105"/>
        </w:rPr>
        <w:t>paradosso,</w:t>
      </w:r>
      <w:r>
        <w:rPr>
          <w:color w:val="231F20"/>
          <w:spacing w:val="-46"/>
          <w:w w:val="105"/>
        </w:rPr>
        <w:t> </w:t>
      </w:r>
      <w:r>
        <w:rPr>
          <w:color w:val="231F20"/>
          <w:w w:val="105"/>
        </w:rPr>
        <w:t>magari</w:t>
      </w:r>
      <w:r>
        <w:rPr>
          <w:color w:val="231F20"/>
          <w:spacing w:val="-46"/>
          <w:w w:val="105"/>
        </w:rPr>
        <w:t> </w:t>
      </w:r>
      <w:r>
        <w:rPr>
          <w:color w:val="231F20"/>
          <w:w w:val="105"/>
        </w:rPr>
        <w:t>irresolubile:</w:t>
      </w:r>
      <w:r>
        <w:rPr>
          <w:color w:val="231F20"/>
          <w:spacing w:val="-46"/>
          <w:w w:val="105"/>
        </w:rPr>
        <w:t> </w:t>
      </w:r>
      <w:r>
        <w:rPr>
          <w:color w:val="231F20"/>
          <w:w w:val="105"/>
        </w:rPr>
        <w:t>da una</w:t>
      </w:r>
      <w:r>
        <w:rPr>
          <w:color w:val="231F20"/>
          <w:spacing w:val="-52"/>
          <w:w w:val="105"/>
        </w:rPr>
        <w:t> </w:t>
      </w:r>
      <w:r>
        <w:rPr>
          <w:color w:val="231F20"/>
          <w:spacing w:val="-3"/>
          <w:w w:val="105"/>
        </w:rPr>
        <w:t>parte,</w:t>
      </w:r>
      <w:r>
        <w:rPr>
          <w:color w:val="231F20"/>
          <w:spacing w:val="-52"/>
          <w:w w:val="105"/>
        </w:rPr>
        <w:t> </w:t>
      </w:r>
      <w:r>
        <w:rPr>
          <w:color w:val="231F20"/>
          <w:w w:val="105"/>
        </w:rPr>
        <w:t>una</w:t>
      </w:r>
      <w:r>
        <w:rPr>
          <w:color w:val="231F20"/>
          <w:spacing w:val="-52"/>
          <w:w w:val="105"/>
        </w:rPr>
        <w:t> </w:t>
      </w:r>
      <w:r>
        <w:rPr>
          <w:color w:val="231F20"/>
          <w:spacing w:val="-3"/>
          <w:w w:val="105"/>
        </w:rPr>
        <w:t>brutale</w:t>
      </w:r>
      <w:r>
        <w:rPr>
          <w:color w:val="231F20"/>
          <w:spacing w:val="-52"/>
          <w:w w:val="105"/>
        </w:rPr>
        <w:t> </w:t>
      </w:r>
      <w:r>
        <w:rPr>
          <w:color w:val="231F20"/>
          <w:spacing w:val="-3"/>
          <w:w w:val="105"/>
        </w:rPr>
        <w:t>occidentalizzazione</w:t>
      </w:r>
      <w:r>
        <w:rPr>
          <w:color w:val="231F20"/>
          <w:spacing w:val="-52"/>
          <w:w w:val="105"/>
        </w:rPr>
        <w:t> </w:t>
      </w:r>
      <w:r>
        <w:rPr>
          <w:color w:val="231F20"/>
          <w:spacing w:val="-3"/>
          <w:w w:val="105"/>
        </w:rPr>
        <w:t>forzata</w:t>
      </w:r>
      <w:r>
        <w:rPr>
          <w:color w:val="231F20"/>
          <w:spacing w:val="-52"/>
          <w:w w:val="105"/>
        </w:rPr>
        <w:t> </w:t>
      </w:r>
      <w:r>
        <w:rPr>
          <w:color w:val="231F20"/>
          <w:w w:val="105"/>
        </w:rPr>
        <w:t>e</w:t>
      </w:r>
      <w:r>
        <w:rPr>
          <w:color w:val="231F20"/>
          <w:spacing w:val="-52"/>
          <w:w w:val="105"/>
        </w:rPr>
        <w:t> </w:t>
      </w:r>
      <w:r>
        <w:rPr>
          <w:color w:val="231F20"/>
          <w:spacing w:val="-3"/>
          <w:w w:val="105"/>
        </w:rPr>
        <w:t>dall’altra,</w:t>
      </w:r>
      <w:r>
        <w:rPr>
          <w:color w:val="231F20"/>
          <w:spacing w:val="-52"/>
          <w:w w:val="105"/>
        </w:rPr>
        <w:t> </w:t>
      </w:r>
      <w:r>
        <w:rPr>
          <w:color w:val="231F20"/>
          <w:w w:val="105"/>
        </w:rPr>
        <w:t>un</w:t>
      </w:r>
      <w:r>
        <w:rPr>
          <w:color w:val="231F20"/>
          <w:spacing w:val="-52"/>
          <w:w w:val="105"/>
        </w:rPr>
        <w:t> </w:t>
      </w:r>
      <w:r>
        <w:rPr>
          <w:color w:val="231F20"/>
          <w:spacing w:val="-3"/>
          <w:w w:val="105"/>
        </w:rPr>
        <w:t>integralismo </w:t>
      </w:r>
      <w:r>
        <w:rPr>
          <w:color w:val="231F20"/>
          <w:w w:val="105"/>
        </w:rPr>
        <w:t>ad</w:t>
      </w:r>
      <w:r>
        <w:rPr>
          <w:color w:val="231F20"/>
          <w:spacing w:val="-42"/>
          <w:w w:val="105"/>
        </w:rPr>
        <w:t> </w:t>
      </w:r>
      <w:r>
        <w:rPr>
          <w:color w:val="231F20"/>
          <w:w w:val="105"/>
        </w:rPr>
        <w:t>oltranza</w:t>
      </w:r>
      <w:r>
        <w:rPr>
          <w:color w:val="231F20"/>
          <w:spacing w:val="-42"/>
          <w:w w:val="105"/>
        </w:rPr>
        <w:t> </w:t>
      </w:r>
      <w:r>
        <w:rPr>
          <w:color w:val="231F20"/>
          <w:w w:val="105"/>
        </w:rPr>
        <w:t>fortemente</w:t>
      </w:r>
      <w:r>
        <w:rPr>
          <w:color w:val="231F20"/>
          <w:spacing w:val="-42"/>
          <w:w w:val="105"/>
        </w:rPr>
        <w:t> </w:t>
      </w:r>
      <w:r>
        <w:rPr>
          <w:color w:val="231F20"/>
          <w:w w:val="105"/>
        </w:rPr>
        <w:t>xenofobo.</w:t>
      </w:r>
    </w:p>
    <w:p>
      <w:pPr>
        <w:pStyle w:val="BodyText"/>
        <w:spacing w:line="247" w:lineRule="auto"/>
        <w:ind w:left="103" w:right="108" w:firstLine="566"/>
        <w:jc w:val="both"/>
      </w:pPr>
      <w:r>
        <w:rPr>
          <w:color w:val="231F20"/>
          <w:spacing w:val="4"/>
        </w:rPr>
        <w:t>Gli Stati Uniti non erano stati </w:t>
      </w:r>
      <w:r>
        <w:rPr>
          <w:color w:val="231F20"/>
          <w:spacing w:val="5"/>
        </w:rPr>
        <w:t>attaccati, </w:t>
      </w:r>
      <w:r>
        <w:rPr>
          <w:color w:val="231F20"/>
          <w:spacing w:val="4"/>
        </w:rPr>
        <w:t>nel proprio </w:t>
      </w:r>
      <w:r>
        <w:rPr>
          <w:color w:val="231F20"/>
          <w:spacing w:val="5"/>
        </w:rPr>
        <w:t>territorio, </w:t>
      </w:r>
      <w:r>
        <w:rPr>
          <w:color w:val="231F20"/>
        </w:rPr>
        <w:t>dall’aggressione giapponese a Pearl Harbor il 7 dicembre del 1941, fatto che propiziò l’intromissione degli Stati Uniti nella Seconda Guerra Mondiale e la </w:t>
      </w:r>
      <w:r>
        <w:rPr>
          <w:color w:val="231F20"/>
          <w:spacing w:val="3"/>
        </w:rPr>
        <w:t>sconfitta </w:t>
      </w:r>
      <w:r>
        <w:rPr>
          <w:color w:val="231F20"/>
          <w:spacing w:val="2"/>
        </w:rPr>
        <w:t>nel </w:t>
      </w:r>
      <w:r>
        <w:rPr>
          <w:color w:val="231F20"/>
          <w:spacing w:val="3"/>
        </w:rPr>
        <w:t>1945, delle potenze dell’Asse </w:t>
      </w:r>
      <w:r>
        <w:rPr>
          <w:color w:val="231F20"/>
        </w:rPr>
        <w:t>da </w:t>
      </w:r>
      <w:r>
        <w:rPr>
          <w:color w:val="231F20"/>
          <w:spacing w:val="3"/>
        </w:rPr>
        <w:t>parte degli </w:t>
      </w:r>
      <w:r>
        <w:rPr>
          <w:color w:val="231F20"/>
          <w:spacing w:val="4"/>
        </w:rPr>
        <w:t>alleati. </w:t>
      </w:r>
      <w:r>
        <w:rPr>
          <w:color w:val="231F20"/>
        </w:rPr>
        <w:t>Contrariamente, gli </w:t>
      </w:r>
      <w:r>
        <w:rPr>
          <w:color w:val="231F20"/>
          <w:sz w:val="18"/>
        </w:rPr>
        <w:t>USA </w:t>
      </w:r>
      <w:r>
        <w:rPr>
          <w:color w:val="231F20"/>
        </w:rPr>
        <w:t>sono stati protagonisti di un’infinità d’interventi bellici in altri Stati dalla fine del secolo </w:t>
      </w:r>
      <w:r>
        <w:rPr>
          <w:color w:val="231F20"/>
          <w:sz w:val="18"/>
        </w:rPr>
        <w:t>XIX </w:t>
      </w:r>
      <w:r>
        <w:rPr>
          <w:color w:val="231F20"/>
        </w:rPr>
        <w:t>fino ad oggi, come afferma Fernando Quesada: “Nell’ultimo secolo, più concretamente dal 1890 fino al 2001,</w:t>
      </w:r>
      <w:r>
        <w:rPr>
          <w:color w:val="231F20"/>
          <w:spacing w:val="-28"/>
        </w:rPr>
        <w:t> </w:t>
      </w:r>
      <w:r>
        <w:rPr>
          <w:color w:val="231F20"/>
        </w:rPr>
        <w:t>gli</w:t>
      </w:r>
      <w:r>
        <w:rPr>
          <w:color w:val="231F20"/>
          <w:spacing w:val="-28"/>
        </w:rPr>
        <w:t> </w:t>
      </w:r>
      <w:r>
        <w:rPr>
          <w:color w:val="231F20"/>
          <w:sz w:val="18"/>
        </w:rPr>
        <w:t>USA</w:t>
      </w:r>
      <w:r>
        <w:rPr>
          <w:color w:val="231F20"/>
          <w:spacing w:val="-18"/>
          <w:sz w:val="18"/>
        </w:rPr>
        <w:t> </w:t>
      </w:r>
      <w:r>
        <w:rPr>
          <w:color w:val="231F20"/>
        </w:rPr>
        <w:t>hanno</w:t>
      </w:r>
      <w:r>
        <w:rPr>
          <w:color w:val="231F20"/>
          <w:spacing w:val="-28"/>
        </w:rPr>
        <w:t> </w:t>
      </w:r>
      <w:r>
        <w:rPr>
          <w:color w:val="231F20"/>
        </w:rPr>
        <w:t>sostenuto</w:t>
      </w:r>
      <w:r>
        <w:rPr>
          <w:color w:val="231F20"/>
          <w:spacing w:val="-28"/>
        </w:rPr>
        <w:t> </w:t>
      </w:r>
      <w:r>
        <w:rPr>
          <w:color w:val="231F20"/>
        </w:rPr>
        <w:t>134</w:t>
      </w:r>
      <w:r>
        <w:rPr>
          <w:color w:val="231F20"/>
          <w:spacing w:val="-28"/>
        </w:rPr>
        <w:t> </w:t>
      </w:r>
      <w:r>
        <w:rPr>
          <w:color w:val="231F20"/>
        </w:rPr>
        <w:t>azioni</w:t>
      </w:r>
      <w:r>
        <w:rPr>
          <w:color w:val="231F20"/>
          <w:spacing w:val="-28"/>
        </w:rPr>
        <w:t> </w:t>
      </w:r>
      <w:r>
        <w:rPr>
          <w:color w:val="231F20"/>
        </w:rPr>
        <w:t>belliche</w:t>
      </w:r>
      <w:r>
        <w:rPr>
          <w:color w:val="231F20"/>
          <w:spacing w:val="-28"/>
        </w:rPr>
        <w:t> </w:t>
      </w:r>
      <w:r>
        <w:rPr>
          <w:color w:val="231F20"/>
        </w:rPr>
        <w:t>in</w:t>
      </w:r>
      <w:r>
        <w:rPr>
          <w:color w:val="231F20"/>
          <w:spacing w:val="-28"/>
        </w:rPr>
        <w:t> </w:t>
      </w:r>
      <w:r>
        <w:rPr>
          <w:color w:val="231F20"/>
        </w:rPr>
        <w:t>53</w:t>
      </w:r>
      <w:r>
        <w:rPr>
          <w:color w:val="231F20"/>
          <w:spacing w:val="-28"/>
        </w:rPr>
        <w:t> </w:t>
      </w:r>
      <w:r>
        <w:rPr>
          <w:color w:val="231F20"/>
        </w:rPr>
        <w:t>scenari</w:t>
      </w:r>
      <w:r>
        <w:rPr>
          <w:color w:val="231F20"/>
          <w:spacing w:val="-28"/>
        </w:rPr>
        <w:t> </w:t>
      </w:r>
      <w:r>
        <w:rPr>
          <w:color w:val="231F20"/>
          <w:spacing w:val="-3"/>
        </w:rPr>
        <w:t>differenti,</w:t>
      </w:r>
      <w:r>
        <w:rPr>
          <w:color w:val="231F20"/>
          <w:spacing w:val="-28"/>
        </w:rPr>
        <w:t> </w:t>
      </w:r>
      <w:r>
        <w:rPr>
          <w:color w:val="231F20"/>
        </w:rPr>
        <w:t>cifra non superata da nessun‘altra nazione”</w:t>
      </w:r>
      <w:r>
        <w:rPr>
          <w:color w:val="231F20"/>
          <w:position w:val="7"/>
          <w:sz w:val="12"/>
        </w:rPr>
        <w:t>2</w:t>
      </w:r>
      <w:r>
        <w:rPr>
          <w:color w:val="231F20"/>
        </w:rPr>
        <w:t>. Con la fine della Seconda  </w:t>
      </w:r>
      <w:r>
        <w:rPr>
          <w:color w:val="231F20"/>
          <w:spacing w:val="15"/>
        </w:rPr>
        <w:t> </w:t>
      </w:r>
      <w:r>
        <w:rPr>
          <w:color w:val="231F20"/>
        </w:rPr>
        <w:t>Guerra</w:t>
      </w:r>
    </w:p>
    <w:p>
      <w:pPr>
        <w:pStyle w:val="BodyText"/>
        <w:spacing w:before="11"/>
        <w:rPr>
          <w:sz w:val="16"/>
        </w:rPr>
      </w:pPr>
      <w:r>
        <w:rPr/>
        <w:pict>
          <v:line style="position:absolute;mso-position-horizontal-relative:page;mso-position-vertical-relative:paragraph;z-index:9064;mso-wrap-distance-left:0;mso-wrap-distance-right:0" from="65.196899pt,12.325884pt" to="178.582899pt,12.325884pt" stroked="true" strokeweight=".3pt" strokecolor="#231f20">
            <w10:wrap type="topAndBottom"/>
          </v:line>
        </w:pict>
      </w:r>
    </w:p>
    <w:p>
      <w:pPr>
        <w:spacing w:line="194" w:lineRule="exact" w:before="10"/>
        <w:ind w:left="103" w:right="0" w:firstLine="0"/>
        <w:jc w:val="left"/>
        <w:rPr>
          <w:rFonts w:ascii="Calibri" w:hAnsi="Calibri"/>
          <w:sz w:val="17"/>
        </w:rPr>
      </w:pPr>
      <w:r>
        <w:rPr>
          <w:rFonts w:ascii="Calibri" w:hAnsi="Calibri"/>
          <w:color w:val="231F20"/>
          <w:position w:val="6"/>
          <w:sz w:val="10"/>
        </w:rPr>
        <w:t>1  </w:t>
      </w:r>
      <w:r>
        <w:rPr>
          <w:rFonts w:ascii="Calibri" w:hAnsi="Calibri"/>
          <w:color w:val="231F20"/>
          <w:sz w:val="17"/>
        </w:rPr>
        <w:t>M. Castells, “El comienzo de la Historia”, </w:t>
      </w:r>
      <w:r>
        <w:rPr>
          <w:rFonts w:ascii="Calibri" w:hAnsi="Calibri"/>
          <w:i/>
          <w:color w:val="231F20"/>
          <w:sz w:val="17"/>
        </w:rPr>
        <w:t>El futuro del socialismo</w:t>
      </w:r>
      <w:r>
        <w:rPr>
          <w:rFonts w:ascii="Calibri" w:hAnsi="Calibri"/>
          <w:color w:val="231F20"/>
          <w:sz w:val="17"/>
        </w:rPr>
        <w:t>, vol.4., no. 2, 1990, p.71.</w:t>
      </w:r>
    </w:p>
    <w:p>
      <w:pPr>
        <w:spacing w:line="180" w:lineRule="exact" w:before="0"/>
        <w:ind w:left="103" w:right="0" w:firstLine="0"/>
        <w:jc w:val="left"/>
        <w:rPr>
          <w:rFonts w:ascii="Calibri" w:hAnsi="Calibri"/>
          <w:sz w:val="17"/>
        </w:rPr>
      </w:pPr>
      <w:r>
        <w:rPr>
          <w:rFonts w:ascii="Calibri" w:hAnsi="Calibri"/>
          <w:color w:val="231F20"/>
          <w:w w:val="105"/>
          <w:position w:val="6"/>
          <w:sz w:val="10"/>
        </w:rPr>
        <w:t>2  </w:t>
      </w:r>
      <w:r>
        <w:rPr>
          <w:rFonts w:ascii="Calibri" w:hAnsi="Calibri"/>
          <w:color w:val="231F20"/>
          <w:w w:val="105"/>
          <w:sz w:val="17"/>
        </w:rPr>
        <w:t>F. Quesada, “11 de septiembre. El fundamentalismo en </w:t>
      </w:r>
      <w:r>
        <w:rPr>
          <w:rFonts w:ascii="Calibri" w:hAnsi="Calibri"/>
          <w:color w:val="231F20"/>
          <w:w w:val="105"/>
          <w:sz w:val="14"/>
        </w:rPr>
        <w:t>EE. UU</w:t>
      </w:r>
      <w:r>
        <w:rPr>
          <w:rFonts w:ascii="Calibri" w:hAnsi="Calibri"/>
          <w:color w:val="231F20"/>
          <w:w w:val="105"/>
          <w:sz w:val="17"/>
        </w:rPr>
        <w:t>.: mito fundacional y progreso</w:t>
      </w:r>
    </w:p>
    <w:p>
      <w:pPr>
        <w:spacing w:line="194" w:lineRule="exact" w:before="0"/>
        <w:ind w:left="103" w:right="0" w:firstLine="0"/>
        <w:jc w:val="left"/>
        <w:rPr>
          <w:rFonts w:ascii="Calibri" w:hAnsi="Calibri"/>
          <w:sz w:val="17"/>
        </w:rPr>
      </w:pPr>
      <w:r>
        <w:rPr>
          <w:rFonts w:ascii="Calibri" w:hAnsi="Calibri"/>
          <w:color w:val="231F20"/>
          <w:spacing w:val="-3"/>
          <w:w w:val="105"/>
          <w:sz w:val="17"/>
        </w:rPr>
        <w:t>constituyente”,</w:t>
      </w:r>
      <w:r>
        <w:rPr>
          <w:rFonts w:ascii="Calibri" w:hAnsi="Calibri"/>
          <w:color w:val="231F20"/>
          <w:spacing w:val="-27"/>
          <w:w w:val="105"/>
          <w:sz w:val="17"/>
        </w:rPr>
        <w:t> </w:t>
      </w:r>
      <w:r>
        <w:rPr>
          <w:rFonts w:ascii="Calibri" w:hAnsi="Calibri"/>
          <w:color w:val="231F20"/>
          <w:w w:val="105"/>
          <w:sz w:val="17"/>
        </w:rPr>
        <w:t>B.</w:t>
      </w:r>
      <w:r>
        <w:rPr>
          <w:rFonts w:ascii="Calibri" w:hAnsi="Calibri"/>
          <w:color w:val="231F20"/>
          <w:spacing w:val="-27"/>
          <w:w w:val="105"/>
          <w:sz w:val="17"/>
        </w:rPr>
        <w:t> </w:t>
      </w:r>
      <w:r>
        <w:rPr>
          <w:rFonts w:ascii="Calibri" w:hAnsi="Calibri"/>
          <w:color w:val="231F20"/>
          <w:w w:val="105"/>
          <w:sz w:val="17"/>
        </w:rPr>
        <w:t>Riutort</w:t>
      </w:r>
      <w:r>
        <w:rPr>
          <w:rFonts w:ascii="Calibri" w:hAnsi="Calibri"/>
          <w:color w:val="231F20"/>
          <w:spacing w:val="-27"/>
          <w:w w:val="105"/>
          <w:sz w:val="17"/>
        </w:rPr>
        <w:t> </w:t>
      </w:r>
      <w:r>
        <w:rPr>
          <w:rFonts w:ascii="Calibri" w:hAnsi="Calibri"/>
          <w:color w:val="231F20"/>
          <w:w w:val="105"/>
          <w:sz w:val="17"/>
        </w:rPr>
        <w:t>(Ed.),</w:t>
      </w:r>
      <w:r>
        <w:rPr>
          <w:rFonts w:ascii="Calibri" w:hAnsi="Calibri"/>
          <w:color w:val="231F20"/>
          <w:spacing w:val="-27"/>
          <w:w w:val="105"/>
          <w:sz w:val="17"/>
        </w:rPr>
        <w:t> </w:t>
      </w:r>
      <w:r>
        <w:rPr>
          <w:rFonts w:ascii="Calibri" w:hAnsi="Calibri"/>
          <w:color w:val="231F20"/>
          <w:w w:val="105"/>
          <w:sz w:val="17"/>
        </w:rPr>
        <w:t>Conflictos</w:t>
      </w:r>
      <w:r>
        <w:rPr>
          <w:rFonts w:ascii="Calibri" w:hAnsi="Calibri"/>
          <w:color w:val="231F20"/>
          <w:spacing w:val="-27"/>
          <w:w w:val="105"/>
          <w:sz w:val="17"/>
        </w:rPr>
        <w:t> </w:t>
      </w:r>
      <w:r>
        <w:rPr>
          <w:rFonts w:ascii="Calibri" w:hAnsi="Calibri"/>
          <w:color w:val="231F20"/>
          <w:w w:val="105"/>
          <w:sz w:val="17"/>
        </w:rPr>
        <w:t>bélicos</w:t>
      </w:r>
      <w:r>
        <w:rPr>
          <w:rFonts w:ascii="Calibri" w:hAnsi="Calibri"/>
          <w:color w:val="231F20"/>
          <w:spacing w:val="-28"/>
          <w:w w:val="105"/>
          <w:sz w:val="17"/>
        </w:rPr>
        <w:t> </w:t>
      </w:r>
      <w:r>
        <w:rPr>
          <w:rFonts w:ascii="Calibri" w:hAnsi="Calibri"/>
          <w:color w:val="231F20"/>
          <w:w w:val="105"/>
          <w:sz w:val="17"/>
        </w:rPr>
        <w:t>y</w:t>
      </w:r>
      <w:r>
        <w:rPr>
          <w:rFonts w:ascii="Calibri" w:hAnsi="Calibri"/>
          <w:color w:val="231F20"/>
          <w:spacing w:val="-27"/>
          <w:w w:val="105"/>
          <w:sz w:val="17"/>
        </w:rPr>
        <w:t> </w:t>
      </w:r>
      <w:r>
        <w:rPr>
          <w:rFonts w:ascii="Calibri" w:hAnsi="Calibri"/>
          <w:color w:val="231F20"/>
          <w:w w:val="105"/>
          <w:sz w:val="17"/>
        </w:rPr>
        <w:t>nuevo</w:t>
      </w:r>
      <w:r>
        <w:rPr>
          <w:rFonts w:ascii="Calibri" w:hAnsi="Calibri"/>
          <w:color w:val="231F20"/>
          <w:spacing w:val="-27"/>
          <w:w w:val="105"/>
          <w:sz w:val="17"/>
        </w:rPr>
        <w:t> </w:t>
      </w:r>
      <w:r>
        <w:rPr>
          <w:rFonts w:ascii="Calibri" w:hAnsi="Calibri"/>
          <w:color w:val="231F20"/>
          <w:w w:val="105"/>
          <w:sz w:val="17"/>
        </w:rPr>
        <w:t>orden</w:t>
      </w:r>
      <w:r>
        <w:rPr>
          <w:rFonts w:ascii="Calibri" w:hAnsi="Calibri"/>
          <w:color w:val="231F20"/>
          <w:spacing w:val="-27"/>
          <w:w w:val="105"/>
          <w:sz w:val="17"/>
        </w:rPr>
        <w:t> </w:t>
      </w:r>
      <w:r>
        <w:rPr>
          <w:rFonts w:ascii="Calibri" w:hAnsi="Calibri"/>
          <w:color w:val="231F20"/>
          <w:w w:val="105"/>
          <w:sz w:val="17"/>
        </w:rPr>
        <w:t>mundial,</w:t>
      </w:r>
      <w:r>
        <w:rPr>
          <w:rFonts w:ascii="Calibri" w:hAnsi="Calibri"/>
          <w:color w:val="231F20"/>
          <w:spacing w:val="-27"/>
          <w:w w:val="105"/>
          <w:sz w:val="17"/>
        </w:rPr>
        <w:t> </w:t>
      </w:r>
      <w:r>
        <w:rPr>
          <w:rFonts w:ascii="Calibri" w:hAnsi="Calibri"/>
          <w:color w:val="231F20"/>
          <w:w w:val="105"/>
          <w:sz w:val="17"/>
        </w:rPr>
        <w:t>España,</w:t>
      </w:r>
      <w:r>
        <w:rPr>
          <w:rFonts w:ascii="Calibri" w:hAnsi="Calibri"/>
          <w:color w:val="231F20"/>
          <w:spacing w:val="-27"/>
          <w:w w:val="105"/>
          <w:sz w:val="17"/>
        </w:rPr>
        <w:t> </w:t>
      </w:r>
      <w:r>
        <w:rPr>
          <w:rFonts w:ascii="Calibri" w:hAnsi="Calibri"/>
          <w:color w:val="231F20"/>
          <w:w w:val="105"/>
          <w:sz w:val="17"/>
        </w:rPr>
        <w:t>Icaria,</w:t>
      </w:r>
      <w:r>
        <w:rPr>
          <w:rFonts w:ascii="Calibri" w:hAnsi="Calibri"/>
          <w:color w:val="231F20"/>
          <w:spacing w:val="-27"/>
          <w:w w:val="105"/>
          <w:sz w:val="17"/>
        </w:rPr>
        <w:t> </w:t>
      </w:r>
      <w:r>
        <w:rPr>
          <w:rFonts w:ascii="Calibri" w:hAnsi="Calibri"/>
          <w:color w:val="231F20"/>
          <w:w w:val="105"/>
          <w:sz w:val="17"/>
        </w:rPr>
        <w:t>2003,</w:t>
      </w:r>
      <w:r>
        <w:rPr>
          <w:rFonts w:ascii="Calibri" w:hAnsi="Calibri"/>
          <w:color w:val="231F20"/>
          <w:spacing w:val="-27"/>
          <w:w w:val="105"/>
          <w:sz w:val="17"/>
        </w:rPr>
        <w:t> </w:t>
      </w:r>
      <w:r>
        <w:rPr>
          <w:rFonts w:ascii="Calibri" w:hAnsi="Calibri"/>
          <w:color w:val="231F20"/>
          <w:w w:val="105"/>
          <w:sz w:val="17"/>
        </w:rPr>
        <w:t>p.</w:t>
      </w:r>
      <w:r>
        <w:rPr>
          <w:rFonts w:ascii="Calibri" w:hAnsi="Calibri"/>
          <w:color w:val="231F20"/>
          <w:spacing w:val="-27"/>
          <w:w w:val="105"/>
          <w:sz w:val="17"/>
        </w:rPr>
        <w:t> </w:t>
      </w:r>
      <w:r>
        <w:rPr>
          <w:rFonts w:ascii="Calibri" w:hAnsi="Calibri"/>
          <w:color w:val="231F20"/>
          <w:spacing w:val="-3"/>
          <w:w w:val="105"/>
          <w:sz w:val="17"/>
        </w:rPr>
        <w:t>98.</w:t>
      </w:r>
    </w:p>
    <w:p>
      <w:pPr>
        <w:pStyle w:val="BodyText"/>
        <w:rPr>
          <w:rFonts w:ascii="Calibri"/>
          <w:sz w:val="20"/>
        </w:rPr>
      </w:pPr>
    </w:p>
    <w:p>
      <w:pPr>
        <w:pStyle w:val="BodyText"/>
        <w:spacing w:before="1"/>
        <w:rPr>
          <w:rFonts w:ascii="Calibri"/>
          <w:sz w:val="23"/>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6312"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18</w:t>
        <w:tab/>
      </w:r>
      <w:r>
        <w:rPr>
          <w:rFonts w:ascii="Calibri" w:hAnsi="Calibri"/>
          <w:color w:val="6D6E71"/>
          <w:w w:val="105"/>
          <w:sz w:val="16"/>
        </w:rPr>
        <w:t>Jorge</w:t>
      </w:r>
      <w:r>
        <w:rPr>
          <w:rFonts w:ascii="Calibri" w:hAnsi="Calibri"/>
          <w:color w:val="6D6E71"/>
          <w:spacing w:val="-25"/>
          <w:w w:val="105"/>
          <w:sz w:val="16"/>
        </w:rPr>
        <w:t> </w:t>
      </w:r>
      <w:r>
        <w:rPr>
          <w:rFonts w:ascii="Calibri" w:hAnsi="Calibri"/>
          <w:color w:val="6D6E71"/>
          <w:w w:val="105"/>
          <w:sz w:val="16"/>
        </w:rPr>
        <w:t>Olvera</w:t>
      </w:r>
      <w:r>
        <w:rPr>
          <w:rFonts w:ascii="Calibri" w:hAnsi="Calibri"/>
          <w:color w:val="6D6E71"/>
          <w:spacing w:val="-25"/>
          <w:w w:val="105"/>
          <w:sz w:val="16"/>
        </w:rPr>
        <w:t> </w:t>
      </w:r>
      <w:r>
        <w:rPr>
          <w:rFonts w:ascii="Calibri" w:hAnsi="Calibri"/>
          <w:color w:val="6D6E71"/>
          <w:w w:val="105"/>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597"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626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CAMBIAMENTO</w:t>
      </w:r>
      <w:r>
        <w:rPr>
          <w:rFonts w:ascii="Lucida Sans Unicode" w:hAnsi="Lucida Sans Unicode"/>
          <w:color w:val="6D6E71"/>
          <w:spacing w:val="-25"/>
          <w:w w:val="95"/>
          <w:sz w:val="14"/>
        </w:rPr>
        <w:t> </w:t>
      </w:r>
      <w:r>
        <w:rPr>
          <w:rFonts w:ascii="Lucida Sans Unicode" w:hAnsi="Lucida Sans Unicode"/>
          <w:color w:val="6D6E71"/>
          <w:w w:val="95"/>
          <w:sz w:val="14"/>
        </w:rPr>
        <w:t>DI</w:t>
      </w:r>
      <w:r>
        <w:rPr>
          <w:rFonts w:ascii="Lucida Sans Unicode" w:hAnsi="Lucida Sans Unicode"/>
          <w:color w:val="6D6E71"/>
          <w:spacing w:val="-25"/>
          <w:w w:val="95"/>
          <w:sz w:val="14"/>
        </w:rPr>
        <w:t> </w:t>
      </w:r>
      <w:r>
        <w:rPr>
          <w:rFonts w:ascii="Lucida Sans Unicode" w:hAnsi="Lucida Sans Unicode"/>
          <w:color w:val="6D6E71"/>
          <w:w w:val="95"/>
          <w:sz w:val="14"/>
        </w:rPr>
        <w:t>PARADIGMA</w:t>
      </w:r>
      <w:r>
        <w:rPr>
          <w:rFonts w:ascii="Lucida Sans Unicode" w:hAnsi="Lucida Sans Unicode"/>
          <w:color w:val="6D6E71"/>
          <w:spacing w:val="-25"/>
          <w:w w:val="95"/>
          <w:sz w:val="14"/>
        </w:rPr>
        <w:t> </w:t>
      </w:r>
      <w:r>
        <w:rPr>
          <w:rFonts w:ascii="Lucida Sans Unicode" w:hAnsi="Lucida Sans Unicode"/>
          <w:color w:val="6D6E71"/>
          <w:w w:val="95"/>
          <w:sz w:val="14"/>
        </w:rPr>
        <w:t>GIURIDICO:</w:t>
      </w:r>
      <w:r>
        <w:rPr>
          <w:rFonts w:ascii="Lucida Sans Unicode" w:hAnsi="Lucida Sans Unicode"/>
          <w:color w:val="6D6E71"/>
          <w:spacing w:val="-25"/>
          <w:w w:val="95"/>
          <w:sz w:val="14"/>
        </w:rPr>
        <w:t> </w:t>
      </w:r>
      <w:r>
        <w:rPr>
          <w:rFonts w:ascii="Lucida Sans Unicode" w:hAnsi="Lucida Sans Unicode"/>
          <w:color w:val="6D6E71"/>
          <w:spacing w:val="-3"/>
          <w:w w:val="95"/>
          <w:sz w:val="14"/>
        </w:rPr>
        <w:t>L’11–S</w:t>
      </w:r>
      <w:r>
        <w:rPr>
          <w:rFonts w:ascii="Lucida Sans Unicode" w:hAnsi="Lucida Sans Unicode"/>
          <w:color w:val="6D6E71"/>
          <w:spacing w:val="-25"/>
          <w:w w:val="95"/>
          <w:sz w:val="14"/>
        </w:rPr>
        <w:t> </w:t>
      </w:r>
      <w:r>
        <w:rPr>
          <w:rFonts w:ascii="Lucida Sans Unicode" w:hAnsi="Lucida Sans Unicode"/>
          <w:color w:val="6D6E71"/>
          <w:w w:val="95"/>
          <w:sz w:val="14"/>
        </w:rPr>
        <w:t>E</w:t>
      </w:r>
      <w:r>
        <w:rPr>
          <w:rFonts w:ascii="Lucida Sans Unicode" w:hAnsi="Lucida Sans Unicode"/>
          <w:color w:val="6D6E71"/>
          <w:spacing w:val="-25"/>
          <w:w w:val="95"/>
          <w:sz w:val="14"/>
        </w:rPr>
        <w:t> </w:t>
      </w:r>
      <w:r>
        <w:rPr>
          <w:rFonts w:ascii="Lucida Sans Unicode" w:hAnsi="Lucida Sans Unicode"/>
          <w:color w:val="6D6E71"/>
          <w:w w:val="95"/>
          <w:sz w:val="14"/>
        </w:rPr>
        <w:t>LA</w:t>
      </w:r>
      <w:r>
        <w:rPr>
          <w:rFonts w:ascii="Lucida Sans Unicode" w:hAnsi="Lucida Sans Unicode"/>
          <w:color w:val="6D6E71"/>
          <w:spacing w:val="-25"/>
          <w:w w:val="95"/>
          <w:sz w:val="14"/>
        </w:rPr>
        <w:t> </w:t>
      </w:r>
      <w:r>
        <w:rPr>
          <w:rFonts w:ascii="Lucida Sans Unicode" w:hAnsi="Lucida Sans Unicode"/>
          <w:color w:val="6D6E71"/>
          <w:w w:val="95"/>
          <w:sz w:val="14"/>
        </w:rPr>
        <w:t>CRIMINALITÀ</w:t>
      </w:r>
      <w:r>
        <w:rPr>
          <w:rFonts w:ascii="Lucida Sans Unicode" w:hAnsi="Lucida Sans Unicode"/>
          <w:color w:val="6D6E71"/>
          <w:spacing w:val="-25"/>
          <w:w w:val="95"/>
          <w:sz w:val="14"/>
        </w:rPr>
        <w:t> </w:t>
      </w:r>
      <w:r>
        <w:rPr>
          <w:rFonts w:ascii="Lucida Sans Unicode" w:hAnsi="Lucida Sans Unicode"/>
          <w:color w:val="6D6E71"/>
          <w:w w:val="95"/>
          <w:sz w:val="14"/>
        </w:rPr>
        <w:t>ORGANIZZATA</w:t>
      </w:r>
      <w:r>
        <w:rPr>
          <w:rFonts w:ascii="Lucida Sans Unicode" w:hAnsi="Lucida Sans Unicode"/>
          <w:color w:val="6D6E71"/>
          <w:spacing w:val="-25"/>
          <w:w w:val="95"/>
          <w:sz w:val="14"/>
        </w:rPr>
        <w:t> </w:t>
      </w:r>
      <w:r>
        <w:rPr>
          <w:rFonts w:ascii="Lucida Sans Unicode" w:hAnsi="Lucida Sans Unicode"/>
          <w:color w:val="6D6E71"/>
          <w:w w:val="95"/>
          <w:sz w:val="14"/>
        </w:rPr>
        <w:t>IN</w:t>
      </w:r>
      <w:r>
        <w:rPr>
          <w:rFonts w:ascii="Lucida Sans Unicode" w:hAnsi="Lucida Sans Unicode"/>
          <w:color w:val="6D6E71"/>
          <w:spacing w:val="-25"/>
          <w:w w:val="95"/>
          <w:sz w:val="14"/>
        </w:rPr>
        <w:t> </w:t>
      </w:r>
      <w:r>
        <w:rPr>
          <w:rFonts w:ascii="Lucida Sans Unicode" w:hAnsi="Lucida Sans Unicode"/>
          <w:color w:val="6D6E71"/>
          <w:w w:val="95"/>
          <w:sz w:val="14"/>
        </w:rPr>
        <w:t>MESSICO</w:t>
      </w:r>
      <w:r>
        <w:rPr>
          <w:rFonts w:ascii="Trebuchet MS" w:hAnsi="Trebuchet MS"/>
          <w:color w:val="414042"/>
          <w:w w:val="95"/>
          <w:position w:val="-3"/>
          <w:sz w:val="20"/>
        </w:rPr>
        <w:tab/>
        <w:t>19</w:t>
      </w:r>
    </w:p>
    <w:p>
      <w:pPr>
        <w:pStyle w:val="BodyText"/>
        <w:rPr>
          <w:rFonts w:ascii="Trebuchet MS"/>
          <w:sz w:val="22"/>
        </w:rPr>
      </w:pPr>
    </w:p>
    <w:p>
      <w:pPr>
        <w:pStyle w:val="BodyText"/>
        <w:spacing w:before="5"/>
        <w:rPr>
          <w:rFonts w:ascii="Trebuchet MS"/>
          <w:sz w:val="31"/>
        </w:rPr>
      </w:pPr>
    </w:p>
    <w:p>
      <w:pPr>
        <w:pStyle w:val="BodyText"/>
        <w:spacing w:line="247" w:lineRule="auto"/>
        <w:ind w:left="117" w:right="117"/>
        <w:jc w:val="both"/>
      </w:pPr>
      <w:r>
        <w:rPr>
          <w:color w:val="231F20"/>
          <w:w w:val="105"/>
        </w:rPr>
        <w:t>Mondiale</w:t>
      </w:r>
      <w:r>
        <w:rPr>
          <w:color w:val="231F20"/>
          <w:spacing w:val="-9"/>
          <w:w w:val="105"/>
        </w:rPr>
        <w:t> </w:t>
      </w:r>
      <w:r>
        <w:rPr>
          <w:color w:val="231F20"/>
          <w:w w:val="105"/>
        </w:rPr>
        <w:t>la</w:t>
      </w:r>
      <w:r>
        <w:rPr>
          <w:color w:val="231F20"/>
          <w:spacing w:val="-9"/>
          <w:w w:val="105"/>
        </w:rPr>
        <w:t> </w:t>
      </w:r>
      <w:r>
        <w:rPr>
          <w:color w:val="231F20"/>
          <w:w w:val="105"/>
        </w:rPr>
        <w:t>figura</w:t>
      </w:r>
      <w:r>
        <w:rPr>
          <w:color w:val="231F20"/>
          <w:spacing w:val="-9"/>
          <w:w w:val="105"/>
        </w:rPr>
        <w:t> </w:t>
      </w:r>
      <w:r>
        <w:rPr>
          <w:color w:val="231F20"/>
          <w:w w:val="105"/>
        </w:rPr>
        <w:t>del</w:t>
      </w:r>
      <w:r>
        <w:rPr>
          <w:color w:val="231F20"/>
          <w:spacing w:val="-9"/>
          <w:w w:val="105"/>
        </w:rPr>
        <w:t> </w:t>
      </w:r>
      <w:r>
        <w:rPr>
          <w:color w:val="231F20"/>
          <w:w w:val="105"/>
        </w:rPr>
        <w:t>nemico</w:t>
      </w:r>
      <w:r>
        <w:rPr>
          <w:color w:val="231F20"/>
          <w:spacing w:val="-9"/>
          <w:w w:val="105"/>
        </w:rPr>
        <w:t> </w:t>
      </w:r>
      <w:r>
        <w:rPr>
          <w:color w:val="231F20"/>
          <w:w w:val="105"/>
        </w:rPr>
        <w:t>non</w:t>
      </w:r>
      <w:r>
        <w:rPr>
          <w:color w:val="231F20"/>
          <w:spacing w:val="-9"/>
          <w:w w:val="105"/>
        </w:rPr>
        <w:t> </w:t>
      </w:r>
      <w:r>
        <w:rPr>
          <w:color w:val="231F20"/>
          <w:w w:val="105"/>
        </w:rPr>
        <w:t>si</w:t>
      </w:r>
      <w:r>
        <w:rPr>
          <w:color w:val="231F20"/>
          <w:spacing w:val="-9"/>
          <w:w w:val="105"/>
        </w:rPr>
        <w:t> </w:t>
      </w:r>
      <w:r>
        <w:rPr>
          <w:color w:val="231F20"/>
          <w:w w:val="105"/>
        </w:rPr>
        <w:t>indebolì,</w:t>
      </w:r>
      <w:r>
        <w:rPr>
          <w:color w:val="231F20"/>
          <w:spacing w:val="-9"/>
          <w:w w:val="105"/>
        </w:rPr>
        <w:t> </w:t>
      </w:r>
      <w:r>
        <w:rPr>
          <w:color w:val="231F20"/>
          <w:w w:val="105"/>
        </w:rPr>
        <w:t>anzi,</w:t>
      </w:r>
      <w:r>
        <w:rPr>
          <w:color w:val="231F20"/>
          <w:spacing w:val="-9"/>
          <w:w w:val="105"/>
        </w:rPr>
        <w:t> </w:t>
      </w:r>
      <w:r>
        <w:rPr>
          <w:color w:val="231F20"/>
          <w:w w:val="105"/>
        </w:rPr>
        <w:t>col</w:t>
      </w:r>
      <w:r>
        <w:rPr>
          <w:color w:val="231F20"/>
          <w:spacing w:val="-9"/>
          <w:w w:val="105"/>
        </w:rPr>
        <w:t> </w:t>
      </w:r>
      <w:r>
        <w:rPr>
          <w:color w:val="231F20"/>
          <w:w w:val="105"/>
        </w:rPr>
        <w:t>blocco</w:t>
      </w:r>
      <w:r>
        <w:rPr>
          <w:color w:val="231F20"/>
          <w:spacing w:val="-9"/>
          <w:w w:val="105"/>
        </w:rPr>
        <w:t> </w:t>
      </w:r>
      <w:r>
        <w:rPr>
          <w:color w:val="231F20"/>
          <w:w w:val="105"/>
        </w:rPr>
        <w:t>comunista </w:t>
      </w:r>
      <w:r>
        <w:rPr>
          <w:color w:val="231F20"/>
          <w:spacing w:val="3"/>
          <w:w w:val="105"/>
        </w:rPr>
        <w:t>davanti, </w:t>
      </w:r>
      <w:r>
        <w:rPr>
          <w:color w:val="231F20"/>
          <w:spacing w:val="2"/>
          <w:w w:val="105"/>
        </w:rPr>
        <w:t>gli </w:t>
      </w:r>
      <w:r>
        <w:rPr>
          <w:color w:val="231F20"/>
          <w:spacing w:val="3"/>
          <w:w w:val="105"/>
        </w:rPr>
        <w:t>Stati Uniti poterono continuare </w:t>
      </w:r>
      <w:r>
        <w:rPr>
          <w:color w:val="231F20"/>
          <w:w w:val="105"/>
        </w:rPr>
        <w:t>a </w:t>
      </w:r>
      <w:r>
        <w:rPr>
          <w:color w:val="231F20"/>
          <w:spacing w:val="3"/>
          <w:w w:val="105"/>
        </w:rPr>
        <w:t>mantenere </w:t>
      </w:r>
      <w:r>
        <w:rPr>
          <w:color w:val="231F20"/>
          <w:w w:val="105"/>
        </w:rPr>
        <w:t>e</w:t>
      </w:r>
      <w:r>
        <w:rPr>
          <w:color w:val="231F20"/>
          <w:spacing w:val="-11"/>
          <w:w w:val="105"/>
        </w:rPr>
        <w:t> </w:t>
      </w:r>
      <w:r>
        <w:rPr>
          <w:color w:val="231F20"/>
          <w:spacing w:val="3"/>
          <w:w w:val="105"/>
        </w:rPr>
        <w:t>giustificare </w:t>
      </w:r>
      <w:r>
        <w:rPr>
          <w:color w:val="231F20"/>
          <w:w w:val="105"/>
        </w:rPr>
        <w:t>un’attività</w:t>
      </w:r>
      <w:r>
        <w:rPr>
          <w:color w:val="231F20"/>
          <w:spacing w:val="-43"/>
          <w:w w:val="105"/>
        </w:rPr>
        <w:t> </w:t>
      </w:r>
      <w:r>
        <w:rPr>
          <w:color w:val="231F20"/>
          <w:w w:val="105"/>
        </w:rPr>
        <w:t>bellica</w:t>
      </w:r>
      <w:r>
        <w:rPr>
          <w:color w:val="231F20"/>
          <w:spacing w:val="-43"/>
          <w:w w:val="105"/>
        </w:rPr>
        <w:t> </w:t>
      </w:r>
      <w:r>
        <w:rPr>
          <w:color w:val="231F20"/>
          <w:w w:val="105"/>
        </w:rPr>
        <w:t>intensa</w:t>
      </w:r>
      <w:r>
        <w:rPr>
          <w:color w:val="231F20"/>
          <w:spacing w:val="-43"/>
          <w:w w:val="105"/>
        </w:rPr>
        <w:t> </w:t>
      </w:r>
      <w:r>
        <w:rPr>
          <w:color w:val="231F20"/>
          <w:w w:val="105"/>
        </w:rPr>
        <w:t>e</w:t>
      </w:r>
      <w:r>
        <w:rPr>
          <w:color w:val="231F20"/>
          <w:spacing w:val="-43"/>
          <w:w w:val="105"/>
        </w:rPr>
        <w:t> </w:t>
      </w:r>
      <w:r>
        <w:rPr>
          <w:color w:val="231F20"/>
          <w:w w:val="105"/>
        </w:rPr>
        <w:t>“legale”.</w:t>
      </w:r>
      <w:r>
        <w:rPr>
          <w:color w:val="231F20"/>
          <w:spacing w:val="-43"/>
          <w:w w:val="105"/>
        </w:rPr>
        <w:t> </w:t>
      </w:r>
      <w:r>
        <w:rPr>
          <w:color w:val="231F20"/>
          <w:w w:val="105"/>
        </w:rPr>
        <w:t>Nonostante,</w:t>
      </w:r>
      <w:r>
        <w:rPr>
          <w:color w:val="231F20"/>
          <w:spacing w:val="-43"/>
          <w:w w:val="105"/>
        </w:rPr>
        <w:t> </w:t>
      </w:r>
      <w:r>
        <w:rPr>
          <w:color w:val="231F20"/>
          <w:w w:val="105"/>
        </w:rPr>
        <w:t>cuando</w:t>
      </w:r>
      <w:r>
        <w:rPr>
          <w:color w:val="231F20"/>
          <w:spacing w:val="-43"/>
          <w:w w:val="105"/>
        </w:rPr>
        <w:t> </w:t>
      </w:r>
      <w:r>
        <w:rPr>
          <w:color w:val="231F20"/>
          <w:w w:val="105"/>
        </w:rPr>
        <w:t>i</w:t>
      </w:r>
      <w:r>
        <w:rPr>
          <w:color w:val="231F20"/>
          <w:spacing w:val="-43"/>
          <w:w w:val="105"/>
        </w:rPr>
        <w:t> </w:t>
      </w:r>
      <w:r>
        <w:rPr>
          <w:color w:val="231F20"/>
          <w:w w:val="105"/>
        </w:rPr>
        <w:t>regimi</w:t>
      </w:r>
      <w:r>
        <w:rPr>
          <w:color w:val="231F20"/>
          <w:spacing w:val="-43"/>
          <w:w w:val="105"/>
        </w:rPr>
        <w:t> </w:t>
      </w:r>
      <w:r>
        <w:rPr>
          <w:color w:val="231F20"/>
          <w:w w:val="105"/>
        </w:rPr>
        <w:t>comunisti si</w:t>
      </w:r>
      <w:r>
        <w:rPr>
          <w:color w:val="231F20"/>
          <w:spacing w:val="-11"/>
          <w:w w:val="105"/>
        </w:rPr>
        <w:t> </w:t>
      </w:r>
      <w:r>
        <w:rPr>
          <w:color w:val="231F20"/>
          <w:w w:val="105"/>
        </w:rPr>
        <w:t>sgretolavano</w:t>
      </w:r>
      <w:r>
        <w:rPr>
          <w:color w:val="231F20"/>
          <w:spacing w:val="-11"/>
          <w:w w:val="105"/>
        </w:rPr>
        <w:t> </w:t>
      </w:r>
      <w:r>
        <w:rPr>
          <w:color w:val="231F20"/>
          <w:w w:val="105"/>
        </w:rPr>
        <w:t>uno</w:t>
      </w:r>
      <w:r>
        <w:rPr>
          <w:color w:val="231F20"/>
          <w:spacing w:val="-11"/>
          <w:w w:val="105"/>
        </w:rPr>
        <w:t> </w:t>
      </w:r>
      <w:r>
        <w:rPr>
          <w:color w:val="231F20"/>
          <w:w w:val="105"/>
        </w:rPr>
        <w:t>dopo</w:t>
      </w:r>
      <w:r>
        <w:rPr>
          <w:color w:val="231F20"/>
          <w:spacing w:val="-11"/>
          <w:w w:val="105"/>
        </w:rPr>
        <w:t> </w:t>
      </w:r>
      <w:r>
        <w:rPr>
          <w:color w:val="231F20"/>
          <w:w w:val="105"/>
        </w:rPr>
        <w:t>l’altro,</w:t>
      </w:r>
      <w:r>
        <w:rPr>
          <w:color w:val="231F20"/>
          <w:spacing w:val="-11"/>
          <w:w w:val="105"/>
        </w:rPr>
        <w:t> </w:t>
      </w:r>
      <w:r>
        <w:rPr>
          <w:color w:val="231F20"/>
          <w:w w:val="105"/>
        </w:rPr>
        <w:t>gli</w:t>
      </w:r>
      <w:r>
        <w:rPr>
          <w:color w:val="231F20"/>
          <w:spacing w:val="-12"/>
          <w:w w:val="105"/>
        </w:rPr>
        <w:t> </w:t>
      </w:r>
      <w:r>
        <w:rPr>
          <w:color w:val="231F20"/>
          <w:w w:val="105"/>
          <w:sz w:val="18"/>
        </w:rPr>
        <w:t>USA</w:t>
      </w:r>
      <w:r>
        <w:rPr>
          <w:color w:val="231F20"/>
          <w:spacing w:val="-1"/>
          <w:w w:val="105"/>
          <w:sz w:val="18"/>
        </w:rPr>
        <w:t> </w:t>
      </w:r>
      <w:r>
        <w:rPr>
          <w:color w:val="231F20"/>
          <w:w w:val="105"/>
        </w:rPr>
        <w:t>perdevano</w:t>
      </w:r>
      <w:r>
        <w:rPr>
          <w:color w:val="231F20"/>
          <w:spacing w:val="-11"/>
          <w:w w:val="105"/>
        </w:rPr>
        <w:t> </w:t>
      </w:r>
      <w:r>
        <w:rPr>
          <w:color w:val="231F20"/>
          <w:w w:val="105"/>
        </w:rPr>
        <w:t>con</w:t>
      </w:r>
      <w:r>
        <w:rPr>
          <w:color w:val="231F20"/>
          <w:spacing w:val="-11"/>
          <w:w w:val="105"/>
        </w:rPr>
        <w:t> </w:t>
      </w:r>
      <w:r>
        <w:rPr>
          <w:color w:val="231F20"/>
          <w:w w:val="105"/>
        </w:rPr>
        <w:t>ciò</w:t>
      </w:r>
      <w:r>
        <w:rPr>
          <w:color w:val="231F20"/>
          <w:spacing w:val="-11"/>
          <w:w w:val="105"/>
        </w:rPr>
        <w:t> </w:t>
      </w:r>
      <w:r>
        <w:rPr>
          <w:color w:val="231F20"/>
          <w:w w:val="105"/>
        </w:rPr>
        <w:t>il</w:t>
      </w:r>
      <w:r>
        <w:rPr>
          <w:color w:val="231F20"/>
          <w:spacing w:val="-11"/>
          <w:w w:val="105"/>
        </w:rPr>
        <w:t> </w:t>
      </w:r>
      <w:r>
        <w:rPr>
          <w:color w:val="231F20"/>
          <w:w w:val="105"/>
        </w:rPr>
        <w:t>loro</w:t>
      </w:r>
      <w:r>
        <w:rPr>
          <w:color w:val="231F20"/>
          <w:spacing w:val="-11"/>
          <w:w w:val="105"/>
        </w:rPr>
        <w:t> </w:t>
      </w:r>
      <w:r>
        <w:rPr>
          <w:color w:val="231F20"/>
          <w:w w:val="105"/>
        </w:rPr>
        <w:t>nemico più</w:t>
      </w:r>
      <w:r>
        <w:rPr>
          <w:color w:val="231F20"/>
          <w:spacing w:val="-24"/>
          <w:w w:val="105"/>
        </w:rPr>
        <w:t> </w:t>
      </w:r>
      <w:r>
        <w:rPr>
          <w:color w:val="231F20"/>
          <w:w w:val="105"/>
        </w:rPr>
        <w:t>longevo.</w:t>
      </w:r>
      <w:r>
        <w:rPr>
          <w:color w:val="231F20"/>
          <w:spacing w:val="-24"/>
          <w:w w:val="105"/>
        </w:rPr>
        <w:t> </w:t>
      </w:r>
      <w:r>
        <w:rPr>
          <w:color w:val="231F20"/>
          <w:w w:val="105"/>
        </w:rPr>
        <w:t>La</w:t>
      </w:r>
      <w:r>
        <w:rPr>
          <w:color w:val="231F20"/>
          <w:spacing w:val="-24"/>
          <w:w w:val="105"/>
        </w:rPr>
        <w:t> </w:t>
      </w:r>
      <w:r>
        <w:rPr>
          <w:color w:val="231F20"/>
          <w:w w:val="105"/>
        </w:rPr>
        <w:t>caduta</w:t>
      </w:r>
      <w:r>
        <w:rPr>
          <w:color w:val="231F20"/>
          <w:spacing w:val="-24"/>
          <w:w w:val="105"/>
        </w:rPr>
        <w:t> </w:t>
      </w:r>
      <w:r>
        <w:rPr>
          <w:color w:val="231F20"/>
          <w:w w:val="105"/>
        </w:rPr>
        <w:t>del</w:t>
      </w:r>
      <w:r>
        <w:rPr>
          <w:color w:val="231F20"/>
          <w:spacing w:val="-24"/>
          <w:w w:val="105"/>
        </w:rPr>
        <w:t> </w:t>
      </w:r>
      <w:r>
        <w:rPr>
          <w:color w:val="231F20"/>
          <w:w w:val="105"/>
        </w:rPr>
        <w:t>Muro</w:t>
      </w:r>
      <w:r>
        <w:rPr>
          <w:color w:val="231F20"/>
          <w:spacing w:val="-24"/>
          <w:w w:val="105"/>
        </w:rPr>
        <w:t> </w:t>
      </w:r>
      <w:r>
        <w:rPr>
          <w:color w:val="231F20"/>
          <w:w w:val="105"/>
        </w:rPr>
        <w:t>di</w:t>
      </w:r>
      <w:r>
        <w:rPr>
          <w:color w:val="231F20"/>
          <w:spacing w:val="-24"/>
          <w:w w:val="105"/>
        </w:rPr>
        <w:t> </w:t>
      </w:r>
      <w:r>
        <w:rPr>
          <w:color w:val="231F20"/>
          <w:w w:val="105"/>
        </w:rPr>
        <w:t>Berlino</w:t>
      </w:r>
      <w:r>
        <w:rPr>
          <w:color w:val="231F20"/>
          <w:spacing w:val="-24"/>
          <w:w w:val="105"/>
        </w:rPr>
        <w:t> </w:t>
      </w:r>
      <w:r>
        <w:rPr>
          <w:color w:val="231F20"/>
          <w:w w:val="105"/>
        </w:rPr>
        <w:t>nel</w:t>
      </w:r>
      <w:r>
        <w:rPr>
          <w:color w:val="231F20"/>
          <w:spacing w:val="-24"/>
          <w:w w:val="105"/>
        </w:rPr>
        <w:t> </w:t>
      </w:r>
      <w:r>
        <w:rPr>
          <w:color w:val="231F20"/>
          <w:w w:val="105"/>
        </w:rPr>
        <w:t>1989,</w:t>
      </w:r>
      <w:r>
        <w:rPr>
          <w:color w:val="231F20"/>
          <w:spacing w:val="-24"/>
          <w:w w:val="105"/>
        </w:rPr>
        <w:t> </w:t>
      </w:r>
      <w:r>
        <w:rPr>
          <w:color w:val="231F20"/>
          <w:w w:val="105"/>
        </w:rPr>
        <w:t>il</w:t>
      </w:r>
      <w:r>
        <w:rPr>
          <w:color w:val="231F20"/>
          <w:spacing w:val="-24"/>
          <w:w w:val="105"/>
        </w:rPr>
        <w:t> </w:t>
      </w:r>
      <w:r>
        <w:rPr>
          <w:color w:val="231F20"/>
          <w:w w:val="105"/>
        </w:rPr>
        <w:t>collasso</w:t>
      </w:r>
      <w:r>
        <w:rPr>
          <w:color w:val="231F20"/>
          <w:spacing w:val="-24"/>
          <w:w w:val="105"/>
        </w:rPr>
        <w:t> </w:t>
      </w:r>
      <w:r>
        <w:rPr>
          <w:color w:val="231F20"/>
          <w:w w:val="105"/>
        </w:rPr>
        <w:t>dell’Unione Sovietica</w:t>
      </w:r>
      <w:r>
        <w:rPr>
          <w:color w:val="231F20"/>
          <w:spacing w:val="-12"/>
          <w:w w:val="105"/>
        </w:rPr>
        <w:t> </w:t>
      </w:r>
      <w:r>
        <w:rPr>
          <w:color w:val="231F20"/>
          <w:w w:val="105"/>
        </w:rPr>
        <w:t>nel</w:t>
      </w:r>
      <w:r>
        <w:rPr>
          <w:color w:val="231F20"/>
          <w:spacing w:val="-12"/>
          <w:w w:val="105"/>
        </w:rPr>
        <w:t> </w:t>
      </w:r>
      <w:r>
        <w:rPr>
          <w:color w:val="231F20"/>
          <w:w w:val="105"/>
        </w:rPr>
        <w:t>1991</w:t>
      </w:r>
      <w:r>
        <w:rPr>
          <w:color w:val="231F20"/>
          <w:spacing w:val="-12"/>
          <w:w w:val="105"/>
        </w:rPr>
        <w:t> </w:t>
      </w:r>
      <w:r>
        <w:rPr>
          <w:color w:val="231F20"/>
          <w:w w:val="105"/>
        </w:rPr>
        <w:t>e</w:t>
      </w:r>
      <w:r>
        <w:rPr>
          <w:color w:val="231F20"/>
          <w:spacing w:val="-12"/>
          <w:w w:val="105"/>
        </w:rPr>
        <w:t> </w:t>
      </w:r>
      <w:r>
        <w:rPr>
          <w:color w:val="231F20"/>
          <w:w w:val="105"/>
        </w:rPr>
        <w:t>la</w:t>
      </w:r>
      <w:r>
        <w:rPr>
          <w:color w:val="231F20"/>
          <w:spacing w:val="-12"/>
          <w:w w:val="105"/>
        </w:rPr>
        <w:t> </w:t>
      </w:r>
      <w:r>
        <w:rPr>
          <w:color w:val="231F20"/>
          <w:w w:val="105"/>
        </w:rPr>
        <w:t>fine</w:t>
      </w:r>
      <w:r>
        <w:rPr>
          <w:color w:val="231F20"/>
          <w:spacing w:val="-12"/>
          <w:w w:val="105"/>
        </w:rPr>
        <w:t> </w:t>
      </w:r>
      <w:r>
        <w:rPr>
          <w:color w:val="231F20"/>
          <w:w w:val="105"/>
        </w:rPr>
        <w:t>della</w:t>
      </w:r>
      <w:r>
        <w:rPr>
          <w:color w:val="231F20"/>
          <w:spacing w:val="-12"/>
          <w:w w:val="105"/>
        </w:rPr>
        <w:t> </w:t>
      </w:r>
      <w:r>
        <w:rPr>
          <w:color w:val="231F20"/>
          <w:w w:val="105"/>
        </w:rPr>
        <w:t>Guerra</w:t>
      </w:r>
      <w:r>
        <w:rPr>
          <w:color w:val="231F20"/>
          <w:spacing w:val="-12"/>
          <w:w w:val="105"/>
        </w:rPr>
        <w:t> </w:t>
      </w:r>
      <w:r>
        <w:rPr>
          <w:color w:val="231F20"/>
          <w:w w:val="105"/>
        </w:rPr>
        <w:t>Fredda</w:t>
      </w:r>
      <w:r>
        <w:rPr>
          <w:color w:val="231F20"/>
          <w:spacing w:val="-12"/>
          <w:w w:val="105"/>
        </w:rPr>
        <w:t> </w:t>
      </w:r>
      <w:r>
        <w:rPr>
          <w:color w:val="231F20"/>
          <w:w w:val="105"/>
        </w:rPr>
        <w:t>cambiarono</w:t>
      </w:r>
      <w:r>
        <w:rPr>
          <w:color w:val="231F20"/>
          <w:spacing w:val="-12"/>
          <w:w w:val="105"/>
        </w:rPr>
        <w:t> </w:t>
      </w:r>
      <w:r>
        <w:rPr>
          <w:color w:val="231F20"/>
          <w:w w:val="105"/>
        </w:rPr>
        <w:t>il</w:t>
      </w:r>
      <w:r>
        <w:rPr>
          <w:color w:val="231F20"/>
          <w:spacing w:val="-12"/>
          <w:w w:val="105"/>
        </w:rPr>
        <w:t> </w:t>
      </w:r>
      <w:r>
        <w:rPr>
          <w:color w:val="231F20"/>
          <w:w w:val="105"/>
        </w:rPr>
        <w:t>panorama radicalmente.</w:t>
      </w:r>
      <w:r>
        <w:rPr>
          <w:color w:val="231F20"/>
          <w:spacing w:val="-19"/>
          <w:w w:val="105"/>
        </w:rPr>
        <w:t> </w:t>
      </w:r>
      <w:r>
        <w:rPr>
          <w:color w:val="231F20"/>
          <w:w w:val="105"/>
        </w:rPr>
        <w:t>Il</w:t>
      </w:r>
      <w:r>
        <w:rPr>
          <w:color w:val="231F20"/>
          <w:spacing w:val="-19"/>
          <w:w w:val="105"/>
        </w:rPr>
        <w:t> </w:t>
      </w:r>
      <w:r>
        <w:rPr>
          <w:color w:val="231F20"/>
          <w:w w:val="105"/>
        </w:rPr>
        <w:t>socialismo</w:t>
      </w:r>
      <w:r>
        <w:rPr>
          <w:color w:val="231F20"/>
          <w:spacing w:val="-19"/>
          <w:w w:val="105"/>
        </w:rPr>
        <w:t> </w:t>
      </w:r>
      <w:r>
        <w:rPr>
          <w:color w:val="231F20"/>
          <w:w w:val="105"/>
        </w:rPr>
        <w:t>era</w:t>
      </w:r>
      <w:r>
        <w:rPr>
          <w:color w:val="231F20"/>
          <w:spacing w:val="-19"/>
          <w:w w:val="105"/>
        </w:rPr>
        <w:t> </w:t>
      </w:r>
      <w:r>
        <w:rPr>
          <w:color w:val="231F20"/>
          <w:w w:val="105"/>
        </w:rPr>
        <w:t>sparito</w:t>
      </w:r>
      <w:r>
        <w:rPr>
          <w:color w:val="231F20"/>
          <w:spacing w:val="-19"/>
          <w:w w:val="105"/>
        </w:rPr>
        <w:t> </w:t>
      </w:r>
      <w:r>
        <w:rPr>
          <w:color w:val="231F20"/>
          <w:w w:val="105"/>
        </w:rPr>
        <w:t>e</w:t>
      </w:r>
      <w:r>
        <w:rPr>
          <w:color w:val="231F20"/>
          <w:spacing w:val="-19"/>
          <w:w w:val="105"/>
        </w:rPr>
        <w:t> </w:t>
      </w:r>
      <w:r>
        <w:rPr>
          <w:color w:val="231F20"/>
          <w:w w:val="105"/>
        </w:rPr>
        <w:t>il</w:t>
      </w:r>
      <w:r>
        <w:rPr>
          <w:color w:val="231F20"/>
          <w:spacing w:val="-19"/>
          <w:w w:val="105"/>
        </w:rPr>
        <w:t> </w:t>
      </w:r>
      <w:r>
        <w:rPr>
          <w:color w:val="231F20"/>
          <w:w w:val="105"/>
        </w:rPr>
        <w:t>trionfo</w:t>
      </w:r>
      <w:r>
        <w:rPr>
          <w:color w:val="231F20"/>
          <w:spacing w:val="-19"/>
          <w:w w:val="105"/>
        </w:rPr>
        <w:t> </w:t>
      </w:r>
      <w:r>
        <w:rPr>
          <w:color w:val="231F20"/>
          <w:w w:val="105"/>
        </w:rPr>
        <w:t>del</w:t>
      </w:r>
      <w:r>
        <w:rPr>
          <w:color w:val="231F20"/>
          <w:spacing w:val="-19"/>
          <w:w w:val="105"/>
        </w:rPr>
        <w:t> </w:t>
      </w:r>
      <w:r>
        <w:rPr>
          <w:color w:val="231F20"/>
          <w:w w:val="105"/>
        </w:rPr>
        <w:t>capitalismo</w:t>
      </w:r>
      <w:r>
        <w:rPr>
          <w:color w:val="231F20"/>
          <w:spacing w:val="-19"/>
          <w:w w:val="105"/>
        </w:rPr>
        <w:t> </w:t>
      </w:r>
      <w:r>
        <w:rPr>
          <w:color w:val="231F20"/>
          <w:w w:val="105"/>
        </w:rPr>
        <w:t>arrivava </w:t>
      </w:r>
      <w:r>
        <w:rPr>
          <w:color w:val="231F20"/>
        </w:rPr>
        <w:t>accompagnato dall’impiantazione generalizzata delle democrazie liberali. Si </w:t>
      </w:r>
      <w:r>
        <w:rPr>
          <w:color w:val="231F20"/>
          <w:spacing w:val="-3"/>
          <w:w w:val="105"/>
        </w:rPr>
        <w:t>racconta</w:t>
      </w:r>
      <w:r>
        <w:rPr>
          <w:color w:val="231F20"/>
          <w:spacing w:val="-47"/>
          <w:w w:val="105"/>
        </w:rPr>
        <w:t> </w:t>
      </w:r>
      <w:r>
        <w:rPr>
          <w:color w:val="231F20"/>
          <w:w w:val="105"/>
        </w:rPr>
        <w:t>che</w:t>
      </w:r>
      <w:r>
        <w:rPr>
          <w:color w:val="231F20"/>
          <w:spacing w:val="-47"/>
          <w:w w:val="105"/>
        </w:rPr>
        <w:t> </w:t>
      </w:r>
      <w:r>
        <w:rPr>
          <w:color w:val="231F20"/>
          <w:spacing w:val="-3"/>
          <w:w w:val="105"/>
        </w:rPr>
        <w:t>l’analista</w:t>
      </w:r>
      <w:r>
        <w:rPr>
          <w:color w:val="231F20"/>
          <w:spacing w:val="-47"/>
          <w:w w:val="105"/>
        </w:rPr>
        <w:t> </w:t>
      </w:r>
      <w:r>
        <w:rPr>
          <w:color w:val="231F20"/>
          <w:spacing w:val="-3"/>
          <w:w w:val="105"/>
        </w:rPr>
        <w:t>russo</w:t>
      </w:r>
      <w:r>
        <w:rPr>
          <w:color w:val="231F20"/>
          <w:spacing w:val="-47"/>
          <w:w w:val="105"/>
        </w:rPr>
        <w:t> </w:t>
      </w:r>
      <w:r>
        <w:rPr>
          <w:color w:val="231F20"/>
          <w:spacing w:val="-4"/>
          <w:w w:val="105"/>
        </w:rPr>
        <w:t>Gueorgui</w:t>
      </w:r>
      <w:r>
        <w:rPr>
          <w:color w:val="231F20"/>
          <w:spacing w:val="-47"/>
          <w:w w:val="105"/>
        </w:rPr>
        <w:t> </w:t>
      </w:r>
      <w:r>
        <w:rPr>
          <w:color w:val="231F20"/>
          <w:spacing w:val="-5"/>
          <w:w w:val="105"/>
        </w:rPr>
        <w:t>Arbatov,</w:t>
      </w:r>
      <w:r>
        <w:rPr>
          <w:color w:val="231F20"/>
          <w:spacing w:val="-47"/>
          <w:w w:val="105"/>
        </w:rPr>
        <w:t> </w:t>
      </w:r>
      <w:r>
        <w:rPr>
          <w:color w:val="231F20"/>
          <w:w w:val="105"/>
        </w:rPr>
        <w:t>nel</w:t>
      </w:r>
      <w:r>
        <w:rPr>
          <w:color w:val="231F20"/>
          <w:spacing w:val="-47"/>
          <w:w w:val="105"/>
        </w:rPr>
        <w:t> </w:t>
      </w:r>
      <w:r>
        <w:rPr>
          <w:color w:val="231F20"/>
          <w:spacing w:val="-3"/>
          <w:w w:val="105"/>
        </w:rPr>
        <w:t>1991,</w:t>
      </w:r>
      <w:r>
        <w:rPr>
          <w:color w:val="231F20"/>
          <w:spacing w:val="-47"/>
          <w:w w:val="105"/>
        </w:rPr>
        <w:t> </w:t>
      </w:r>
      <w:r>
        <w:rPr>
          <w:color w:val="231F20"/>
          <w:spacing w:val="-3"/>
          <w:w w:val="105"/>
        </w:rPr>
        <w:t>dopo</w:t>
      </w:r>
      <w:r>
        <w:rPr>
          <w:color w:val="231F20"/>
          <w:spacing w:val="-47"/>
          <w:w w:val="105"/>
        </w:rPr>
        <w:t> </w:t>
      </w:r>
      <w:r>
        <w:rPr>
          <w:color w:val="231F20"/>
          <w:w w:val="105"/>
        </w:rPr>
        <w:t>la</w:t>
      </w:r>
      <w:r>
        <w:rPr>
          <w:color w:val="231F20"/>
          <w:spacing w:val="-47"/>
          <w:w w:val="105"/>
        </w:rPr>
        <w:t> </w:t>
      </w:r>
      <w:r>
        <w:rPr>
          <w:color w:val="231F20"/>
          <w:spacing w:val="-3"/>
          <w:w w:val="105"/>
        </w:rPr>
        <w:t>dissoluzione </w:t>
      </w:r>
      <w:r>
        <w:rPr>
          <w:color w:val="231F20"/>
          <w:w w:val="105"/>
        </w:rPr>
        <w:t>dell’Unione</w:t>
      </w:r>
      <w:r>
        <w:rPr>
          <w:color w:val="231F20"/>
          <w:spacing w:val="-13"/>
          <w:w w:val="105"/>
        </w:rPr>
        <w:t> </w:t>
      </w:r>
      <w:r>
        <w:rPr>
          <w:color w:val="231F20"/>
          <w:w w:val="105"/>
        </w:rPr>
        <w:t>Sovietica,</w:t>
      </w:r>
      <w:r>
        <w:rPr>
          <w:color w:val="231F20"/>
          <w:spacing w:val="-13"/>
          <w:w w:val="105"/>
        </w:rPr>
        <w:t> </w:t>
      </w:r>
      <w:r>
        <w:rPr>
          <w:color w:val="231F20"/>
          <w:w w:val="105"/>
        </w:rPr>
        <w:t>espresse</w:t>
      </w:r>
      <w:r>
        <w:rPr>
          <w:color w:val="231F20"/>
          <w:spacing w:val="-13"/>
          <w:w w:val="105"/>
        </w:rPr>
        <w:t> </w:t>
      </w:r>
      <w:r>
        <w:rPr>
          <w:color w:val="231F20"/>
          <w:w w:val="105"/>
        </w:rPr>
        <w:t>agli</w:t>
      </w:r>
      <w:r>
        <w:rPr>
          <w:color w:val="231F20"/>
          <w:spacing w:val="-13"/>
          <w:w w:val="105"/>
        </w:rPr>
        <w:t> </w:t>
      </w:r>
      <w:r>
        <w:rPr>
          <w:color w:val="231F20"/>
          <w:w w:val="105"/>
        </w:rPr>
        <w:t>americani:</w:t>
      </w:r>
      <w:r>
        <w:rPr>
          <w:color w:val="231F20"/>
          <w:spacing w:val="-13"/>
          <w:w w:val="105"/>
        </w:rPr>
        <w:t> </w:t>
      </w:r>
      <w:r>
        <w:rPr>
          <w:color w:val="231F20"/>
          <w:w w:val="105"/>
        </w:rPr>
        <w:t>“Vi</w:t>
      </w:r>
      <w:r>
        <w:rPr>
          <w:color w:val="231F20"/>
          <w:spacing w:val="-13"/>
          <w:w w:val="105"/>
        </w:rPr>
        <w:t> </w:t>
      </w:r>
      <w:r>
        <w:rPr>
          <w:color w:val="231F20"/>
          <w:w w:val="105"/>
        </w:rPr>
        <w:t>abbiamo</w:t>
      </w:r>
      <w:r>
        <w:rPr>
          <w:color w:val="231F20"/>
          <w:spacing w:val="-13"/>
          <w:w w:val="105"/>
        </w:rPr>
        <w:t> </w:t>
      </w:r>
      <w:r>
        <w:rPr>
          <w:color w:val="231F20"/>
          <w:w w:val="105"/>
        </w:rPr>
        <w:t>appena</w:t>
      </w:r>
      <w:r>
        <w:rPr>
          <w:color w:val="231F20"/>
          <w:spacing w:val="-13"/>
          <w:w w:val="105"/>
        </w:rPr>
        <w:t> </w:t>
      </w:r>
      <w:r>
        <w:rPr>
          <w:color w:val="231F20"/>
          <w:w w:val="105"/>
        </w:rPr>
        <w:t>fatto qualcosa</w:t>
      </w:r>
      <w:r>
        <w:rPr>
          <w:color w:val="231F20"/>
          <w:spacing w:val="-26"/>
          <w:w w:val="105"/>
        </w:rPr>
        <w:t> </w:t>
      </w:r>
      <w:r>
        <w:rPr>
          <w:color w:val="231F20"/>
          <w:w w:val="105"/>
        </w:rPr>
        <w:t>di</w:t>
      </w:r>
      <w:r>
        <w:rPr>
          <w:color w:val="231F20"/>
          <w:spacing w:val="-26"/>
          <w:w w:val="105"/>
        </w:rPr>
        <w:t> </w:t>
      </w:r>
      <w:r>
        <w:rPr>
          <w:color w:val="231F20"/>
          <w:w w:val="105"/>
        </w:rPr>
        <w:t>molto</w:t>
      </w:r>
      <w:r>
        <w:rPr>
          <w:color w:val="231F20"/>
          <w:spacing w:val="-26"/>
          <w:w w:val="105"/>
        </w:rPr>
        <w:t> </w:t>
      </w:r>
      <w:r>
        <w:rPr>
          <w:color w:val="231F20"/>
          <w:w w:val="105"/>
        </w:rPr>
        <w:t>peggiore</w:t>
      </w:r>
      <w:r>
        <w:rPr>
          <w:color w:val="231F20"/>
          <w:spacing w:val="-26"/>
          <w:w w:val="105"/>
        </w:rPr>
        <w:t> </w:t>
      </w:r>
      <w:r>
        <w:rPr>
          <w:color w:val="231F20"/>
          <w:w w:val="105"/>
        </w:rPr>
        <w:t>da</w:t>
      </w:r>
      <w:r>
        <w:rPr>
          <w:color w:val="231F20"/>
          <w:spacing w:val="-26"/>
          <w:w w:val="105"/>
        </w:rPr>
        <w:t> </w:t>
      </w:r>
      <w:r>
        <w:rPr>
          <w:color w:val="231F20"/>
          <w:w w:val="105"/>
        </w:rPr>
        <w:t>quando</w:t>
      </w:r>
      <w:r>
        <w:rPr>
          <w:color w:val="231F20"/>
          <w:spacing w:val="-26"/>
          <w:w w:val="105"/>
        </w:rPr>
        <w:t> </w:t>
      </w:r>
      <w:r>
        <w:rPr>
          <w:color w:val="231F20"/>
          <w:w w:val="105"/>
        </w:rPr>
        <w:t>vi</w:t>
      </w:r>
      <w:r>
        <w:rPr>
          <w:color w:val="231F20"/>
          <w:spacing w:val="-26"/>
          <w:w w:val="105"/>
        </w:rPr>
        <w:t> </w:t>
      </w:r>
      <w:r>
        <w:rPr>
          <w:color w:val="231F20"/>
          <w:w w:val="105"/>
        </w:rPr>
        <w:t>minacciavamo</w:t>
      </w:r>
      <w:r>
        <w:rPr>
          <w:color w:val="231F20"/>
          <w:spacing w:val="-26"/>
          <w:w w:val="105"/>
        </w:rPr>
        <w:t> </w:t>
      </w:r>
      <w:r>
        <w:rPr>
          <w:color w:val="231F20"/>
          <w:w w:val="105"/>
        </w:rPr>
        <w:t>con</w:t>
      </w:r>
      <w:r>
        <w:rPr>
          <w:color w:val="231F20"/>
          <w:spacing w:val="-26"/>
          <w:w w:val="105"/>
        </w:rPr>
        <w:t> </w:t>
      </w:r>
      <w:r>
        <w:rPr>
          <w:color w:val="231F20"/>
          <w:w w:val="105"/>
        </w:rPr>
        <w:t>i</w:t>
      </w:r>
      <w:r>
        <w:rPr>
          <w:color w:val="231F20"/>
          <w:spacing w:val="-26"/>
          <w:w w:val="105"/>
        </w:rPr>
        <w:t> </w:t>
      </w:r>
      <w:r>
        <w:rPr>
          <w:color w:val="231F20"/>
          <w:w w:val="105"/>
        </w:rPr>
        <w:t>nostri</w:t>
      </w:r>
      <w:r>
        <w:rPr>
          <w:color w:val="231F20"/>
          <w:spacing w:val="-26"/>
          <w:w w:val="105"/>
        </w:rPr>
        <w:t> </w:t>
      </w:r>
      <w:r>
        <w:rPr>
          <w:color w:val="231F20"/>
          <w:w w:val="105"/>
        </w:rPr>
        <w:t>missili nucleari:</w:t>
      </w:r>
      <w:r>
        <w:rPr>
          <w:color w:val="231F20"/>
          <w:spacing w:val="-40"/>
          <w:w w:val="105"/>
        </w:rPr>
        <w:t> </w:t>
      </w:r>
      <w:r>
        <w:rPr>
          <w:color w:val="231F20"/>
          <w:w w:val="105"/>
        </w:rPr>
        <w:t>vi</w:t>
      </w:r>
      <w:r>
        <w:rPr>
          <w:color w:val="231F20"/>
          <w:spacing w:val="-40"/>
          <w:w w:val="105"/>
        </w:rPr>
        <w:t> </w:t>
      </w:r>
      <w:r>
        <w:rPr>
          <w:color w:val="231F20"/>
          <w:w w:val="105"/>
        </w:rPr>
        <w:t>abbiamo</w:t>
      </w:r>
      <w:r>
        <w:rPr>
          <w:color w:val="231F20"/>
          <w:spacing w:val="-40"/>
          <w:w w:val="105"/>
        </w:rPr>
        <w:t> </w:t>
      </w:r>
      <w:r>
        <w:rPr>
          <w:color w:val="231F20"/>
          <w:w w:val="105"/>
        </w:rPr>
        <w:t>lasciato</w:t>
      </w:r>
      <w:r>
        <w:rPr>
          <w:color w:val="231F20"/>
          <w:spacing w:val="-40"/>
          <w:w w:val="105"/>
        </w:rPr>
        <w:t> </w:t>
      </w:r>
      <w:r>
        <w:rPr>
          <w:color w:val="231F20"/>
          <w:w w:val="105"/>
        </w:rPr>
        <w:t>senza</w:t>
      </w:r>
      <w:r>
        <w:rPr>
          <w:color w:val="231F20"/>
          <w:spacing w:val="-40"/>
          <w:w w:val="105"/>
        </w:rPr>
        <w:t> </w:t>
      </w:r>
      <w:r>
        <w:rPr>
          <w:color w:val="231F20"/>
          <w:w w:val="105"/>
        </w:rPr>
        <w:t>nemico”</w:t>
      </w:r>
      <w:r>
        <w:rPr>
          <w:color w:val="231F20"/>
          <w:w w:val="105"/>
          <w:position w:val="7"/>
          <w:sz w:val="12"/>
        </w:rPr>
        <w:t>3</w:t>
      </w:r>
      <w:r>
        <w:rPr>
          <w:color w:val="231F20"/>
          <w:w w:val="105"/>
        </w:rPr>
        <w:t>.</w:t>
      </w:r>
    </w:p>
    <w:p>
      <w:pPr>
        <w:pStyle w:val="BodyText"/>
        <w:spacing w:line="252" w:lineRule="auto"/>
        <w:ind w:left="117" w:right="117" w:firstLine="566"/>
        <w:jc w:val="both"/>
      </w:pPr>
      <w:r>
        <w:rPr>
          <w:color w:val="231F20"/>
          <w:spacing w:val="4"/>
          <w:w w:val="105"/>
        </w:rPr>
        <w:t>Il 17 </w:t>
      </w:r>
      <w:r>
        <w:rPr>
          <w:color w:val="231F20"/>
          <w:spacing w:val="6"/>
          <w:w w:val="105"/>
        </w:rPr>
        <w:t>luglio 1998, </w:t>
      </w:r>
      <w:r>
        <w:rPr>
          <w:color w:val="231F20"/>
          <w:spacing w:val="5"/>
          <w:w w:val="105"/>
        </w:rPr>
        <w:t>120 </w:t>
      </w:r>
      <w:r>
        <w:rPr>
          <w:color w:val="231F20"/>
          <w:spacing w:val="6"/>
          <w:w w:val="105"/>
        </w:rPr>
        <w:t>nazioni </w:t>
      </w:r>
      <w:r>
        <w:rPr>
          <w:color w:val="231F20"/>
          <w:spacing w:val="7"/>
          <w:w w:val="105"/>
        </w:rPr>
        <w:t>votavano l’approvazione </w:t>
      </w:r>
      <w:r>
        <w:rPr>
          <w:color w:val="231F20"/>
          <w:spacing w:val="6"/>
          <w:w w:val="105"/>
        </w:rPr>
        <w:t>dello</w:t>
      </w:r>
      <w:r>
        <w:rPr>
          <w:color w:val="231F20"/>
          <w:spacing w:val="80"/>
          <w:w w:val="105"/>
        </w:rPr>
        <w:t> </w:t>
      </w:r>
      <w:r>
        <w:rPr>
          <w:color w:val="231F20"/>
          <w:w w:val="105"/>
        </w:rPr>
        <w:t>Statuto di Roma, che trai suoi compiti, aveva la creazione del</w:t>
      </w:r>
      <w:r>
        <w:rPr>
          <w:color w:val="231F20"/>
          <w:spacing w:val="-28"/>
          <w:w w:val="105"/>
        </w:rPr>
        <w:t> </w:t>
      </w:r>
      <w:r>
        <w:rPr>
          <w:color w:val="231F20"/>
          <w:w w:val="105"/>
        </w:rPr>
        <w:t>Tribunale Penale</w:t>
      </w:r>
      <w:r>
        <w:rPr>
          <w:color w:val="231F20"/>
          <w:spacing w:val="-15"/>
          <w:w w:val="105"/>
        </w:rPr>
        <w:t> </w:t>
      </w:r>
      <w:r>
        <w:rPr>
          <w:color w:val="231F20"/>
          <w:w w:val="105"/>
        </w:rPr>
        <w:t>Internazionale.</w:t>
      </w:r>
      <w:r>
        <w:rPr>
          <w:color w:val="231F20"/>
          <w:spacing w:val="-15"/>
          <w:w w:val="105"/>
        </w:rPr>
        <w:t> </w:t>
      </w:r>
      <w:r>
        <w:rPr>
          <w:color w:val="231F20"/>
          <w:w w:val="105"/>
        </w:rPr>
        <w:t>L’augurio</w:t>
      </w:r>
      <w:r>
        <w:rPr>
          <w:color w:val="231F20"/>
          <w:spacing w:val="-15"/>
          <w:w w:val="105"/>
        </w:rPr>
        <w:t> </w:t>
      </w:r>
      <w:r>
        <w:rPr>
          <w:color w:val="231F20"/>
          <w:w w:val="105"/>
        </w:rPr>
        <w:t>era</w:t>
      </w:r>
      <w:r>
        <w:rPr>
          <w:color w:val="231F20"/>
          <w:spacing w:val="-15"/>
          <w:w w:val="105"/>
        </w:rPr>
        <w:t> </w:t>
      </w:r>
      <w:r>
        <w:rPr>
          <w:color w:val="231F20"/>
          <w:w w:val="105"/>
        </w:rPr>
        <w:t>che</w:t>
      </w:r>
      <w:r>
        <w:rPr>
          <w:color w:val="231F20"/>
          <w:spacing w:val="-15"/>
          <w:w w:val="105"/>
        </w:rPr>
        <w:t> </w:t>
      </w:r>
      <w:r>
        <w:rPr>
          <w:color w:val="231F20"/>
          <w:w w:val="105"/>
        </w:rPr>
        <w:t>sarebbe</w:t>
      </w:r>
      <w:r>
        <w:rPr>
          <w:color w:val="231F20"/>
          <w:spacing w:val="-15"/>
          <w:w w:val="105"/>
        </w:rPr>
        <w:t> </w:t>
      </w:r>
      <w:r>
        <w:rPr>
          <w:color w:val="231F20"/>
          <w:w w:val="105"/>
        </w:rPr>
        <w:t>arrivata,</w:t>
      </w:r>
      <w:r>
        <w:rPr>
          <w:color w:val="231F20"/>
          <w:spacing w:val="-15"/>
          <w:w w:val="105"/>
        </w:rPr>
        <w:t> </w:t>
      </w:r>
      <w:r>
        <w:rPr>
          <w:color w:val="231F20"/>
          <w:w w:val="105"/>
        </w:rPr>
        <w:t>finalmente,</w:t>
      </w:r>
      <w:r>
        <w:rPr>
          <w:color w:val="231F20"/>
          <w:spacing w:val="-15"/>
          <w:w w:val="105"/>
        </w:rPr>
        <w:t> </w:t>
      </w:r>
      <w:r>
        <w:rPr>
          <w:color w:val="231F20"/>
          <w:w w:val="105"/>
        </w:rPr>
        <w:t>la consolidazione</w:t>
      </w:r>
      <w:r>
        <w:rPr>
          <w:color w:val="231F20"/>
          <w:spacing w:val="-35"/>
          <w:w w:val="105"/>
        </w:rPr>
        <w:t> </w:t>
      </w:r>
      <w:r>
        <w:rPr>
          <w:color w:val="231F20"/>
          <w:w w:val="105"/>
        </w:rPr>
        <w:t>della</w:t>
      </w:r>
      <w:r>
        <w:rPr>
          <w:color w:val="231F20"/>
          <w:spacing w:val="-35"/>
          <w:w w:val="105"/>
        </w:rPr>
        <w:t> </w:t>
      </w:r>
      <w:r>
        <w:rPr>
          <w:color w:val="231F20"/>
          <w:w w:val="105"/>
        </w:rPr>
        <w:t>protezione</w:t>
      </w:r>
      <w:r>
        <w:rPr>
          <w:color w:val="231F20"/>
          <w:spacing w:val="-35"/>
          <w:w w:val="105"/>
        </w:rPr>
        <w:t> </w:t>
      </w:r>
      <w:r>
        <w:rPr>
          <w:color w:val="231F20"/>
          <w:w w:val="105"/>
        </w:rPr>
        <w:t>dei</w:t>
      </w:r>
      <w:r>
        <w:rPr>
          <w:color w:val="231F20"/>
          <w:spacing w:val="-35"/>
          <w:w w:val="105"/>
        </w:rPr>
        <w:t> </w:t>
      </w:r>
      <w:r>
        <w:rPr>
          <w:color w:val="231F20"/>
          <w:w w:val="105"/>
        </w:rPr>
        <w:t>diritti</w:t>
      </w:r>
      <w:r>
        <w:rPr>
          <w:color w:val="231F20"/>
          <w:spacing w:val="-35"/>
          <w:w w:val="105"/>
        </w:rPr>
        <w:t> </w:t>
      </w:r>
      <w:r>
        <w:rPr>
          <w:color w:val="231F20"/>
          <w:w w:val="105"/>
        </w:rPr>
        <w:t>umani</w:t>
      </w:r>
      <w:r>
        <w:rPr>
          <w:color w:val="231F20"/>
          <w:spacing w:val="-35"/>
          <w:w w:val="105"/>
        </w:rPr>
        <w:t> </w:t>
      </w:r>
      <w:r>
        <w:rPr>
          <w:color w:val="231F20"/>
          <w:w w:val="105"/>
        </w:rPr>
        <w:t>in</w:t>
      </w:r>
      <w:r>
        <w:rPr>
          <w:color w:val="231F20"/>
          <w:spacing w:val="-35"/>
          <w:w w:val="105"/>
        </w:rPr>
        <w:t> </w:t>
      </w:r>
      <w:r>
        <w:rPr>
          <w:color w:val="231F20"/>
          <w:w w:val="105"/>
        </w:rPr>
        <w:t>tutto</w:t>
      </w:r>
      <w:r>
        <w:rPr>
          <w:color w:val="231F20"/>
          <w:spacing w:val="-35"/>
          <w:w w:val="105"/>
        </w:rPr>
        <w:t> </w:t>
      </w:r>
      <w:r>
        <w:rPr>
          <w:color w:val="231F20"/>
          <w:w w:val="105"/>
        </w:rPr>
        <w:t>il</w:t>
      </w:r>
      <w:r>
        <w:rPr>
          <w:color w:val="231F20"/>
          <w:spacing w:val="-35"/>
          <w:w w:val="105"/>
        </w:rPr>
        <w:t> </w:t>
      </w:r>
      <w:r>
        <w:rPr>
          <w:color w:val="231F20"/>
          <w:w w:val="105"/>
        </w:rPr>
        <w:t>mondo.</w:t>
      </w:r>
      <w:r>
        <w:rPr>
          <w:color w:val="231F20"/>
          <w:spacing w:val="-35"/>
          <w:w w:val="105"/>
        </w:rPr>
        <w:t> </w:t>
      </w:r>
      <w:r>
        <w:rPr>
          <w:color w:val="231F20"/>
          <w:w w:val="105"/>
        </w:rPr>
        <w:t>Geoffrey Robertson</w:t>
      </w:r>
      <w:r>
        <w:rPr>
          <w:color w:val="231F20"/>
          <w:spacing w:val="-44"/>
          <w:w w:val="105"/>
        </w:rPr>
        <w:t> </w:t>
      </w:r>
      <w:r>
        <w:rPr>
          <w:color w:val="231F20"/>
          <w:w w:val="105"/>
        </w:rPr>
        <w:t>lo</w:t>
      </w:r>
      <w:r>
        <w:rPr>
          <w:color w:val="231F20"/>
          <w:spacing w:val="-44"/>
          <w:w w:val="105"/>
        </w:rPr>
        <w:t> </w:t>
      </w:r>
      <w:r>
        <w:rPr>
          <w:color w:val="231F20"/>
          <w:w w:val="105"/>
        </w:rPr>
        <w:t>narra</w:t>
      </w:r>
      <w:r>
        <w:rPr>
          <w:color w:val="231F20"/>
          <w:spacing w:val="-44"/>
          <w:w w:val="105"/>
        </w:rPr>
        <w:t> </w:t>
      </w:r>
      <w:r>
        <w:rPr>
          <w:color w:val="231F20"/>
          <w:w w:val="105"/>
        </w:rPr>
        <w:t>così:</w:t>
      </w:r>
    </w:p>
    <w:p>
      <w:pPr>
        <w:pStyle w:val="BodyText"/>
        <w:spacing w:before="5"/>
        <w:rPr>
          <w:sz w:val="22"/>
        </w:rPr>
      </w:pPr>
    </w:p>
    <w:p>
      <w:pPr>
        <w:spacing w:line="220" w:lineRule="exact" w:before="1"/>
        <w:ind w:left="1534" w:right="116" w:firstLine="0"/>
        <w:jc w:val="both"/>
        <w:rPr>
          <w:sz w:val="19"/>
        </w:rPr>
      </w:pPr>
      <w:r>
        <w:rPr>
          <w:color w:val="231F20"/>
          <w:sz w:val="19"/>
        </w:rPr>
        <w:t>Può dirsi, con ragionevole convinzione, che il 10 settembre 2001 si inaugurò la terza era dei diritti umani, la tappa in cui le norme </w:t>
      </w:r>
      <w:r>
        <w:rPr>
          <w:color w:val="231F20"/>
          <w:spacing w:val="3"/>
          <w:sz w:val="19"/>
        </w:rPr>
        <w:t>umanitarie fondamentali dovevano raggiungere certo </w:t>
      </w:r>
      <w:r>
        <w:rPr>
          <w:color w:val="231F20"/>
          <w:spacing w:val="4"/>
          <w:sz w:val="19"/>
        </w:rPr>
        <w:t>grado </w:t>
      </w:r>
      <w:r>
        <w:rPr>
          <w:color w:val="231F20"/>
          <w:sz w:val="19"/>
        </w:rPr>
        <w:t>d’obbligatorietà. Quarantadue stati, compresi la Gran Bretagna, Francia</w:t>
      </w:r>
      <w:r>
        <w:rPr>
          <w:color w:val="231F20"/>
          <w:spacing w:val="-29"/>
          <w:sz w:val="19"/>
        </w:rPr>
        <w:t> </w:t>
      </w:r>
      <w:r>
        <w:rPr>
          <w:color w:val="231F20"/>
          <w:sz w:val="19"/>
        </w:rPr>
        <w:t>e</w:t>
      </w:r>
      <w:r>
        <w:rPr>
          <w:color w:val="231F20"/>
          <w:spacing w:val="-29"/>
          <w:sz w:val="19"/>
        </w:rPr>
        <w:t> </w:t>
      </w:r>
      <w:r>
        <w:rPr>
          <w:color w:val="231F20"/>
          <w:sz w:val="19"/>
        </w:rPr>
        <w:t>Russia,</w:t>
      </w:r>
      <w:r>
        <w:rPr>
          <w:color w:val="231F20"/>
          <w:spacing w:val="-29"/>
          <w:sz w:val="19"/>
        </w:rPr>
        <w:t> </w:t>
      </w:r>
      <w:r>
        <w:rPr>
          <w:color w:val="231F20"/>
          <w:sz w:val="19"/>
        </w:rPr>
        <w:t>avevano</w:t>
      </w:r>
      <w:r>
        <w:rPr>
          <w:color w:val="231F20"/>
          <w:spacing w:val="-29"/>
          <w:sz w:val="19"/>
        </w:rPr>
        <w:t> </w:t>
      </w:r>
      <w:r>
        <w:rPr>
          <w:color w:val="231F20"/>
          <w:sz w:val="19"/>
        </w:rPr>
        <w:t>ratificato</w:t>
      </w:r>
      <w:r>
        <w:rPr>
          <w:color w:val="231F20"/>
          <w:spacing w:val="-29"/>
          <w:sz w:val="19"/>
        </w:rPr>
        <w:t> </w:t>
      </w:r>
      <w:r>
        <w:rPr>
          <w:color w:val="231F20"/>
          <w:sz w:val="19"/>
        </w:rPr>
        <w:t>lo</w:t>
      </w:r>
      <w:r>
        <w:rPr>
          <w:color w:val="231F20"/>
          <w:spacing w:val="-29"/>
          <w:sz w:val="19"/>
        </w:rPr>
        <w:t> </w:t>
      </w:r>
      <w:r>
        <w:rPr>
          <w:color w:val="231F20"/>
          <w:sz w:val="19"/>
        </w:rPr>
        <w:t>Statuto</w:t>
      </w:r>
      <w:r>
        <w:rPr>
          <w:color w:val="231F20"/>
          <w:spacing w:val="-29"/>
          <w:sz w:val="19"/>
        </w:rPr>
        <w:t> </w:t>
      </w:r>
      <w:r>
        <w:rPr>
          <w:color w:val="231F20"/>
          <w:sz w:val="19"/>
        </w:rPr>
        <w:t>di</w:t>
      </w:r>
      <w:r>
        <w:rPr>
          <w:color w:val="231F20"/>
          <w:spacing w:val="-29"/>
          <w:sz w:val="19"/>
        </w:rPr>
        <w:t> </w:t>
      </w:r>
      <w:r>
        <w:rPr>
          <w:color w:val="231F20"/>
          <w:sz w:val="19"/>
        </w:rPr>
        <w:t>Roma</w:t>
      </w:r>
      <w:r>
        <w:rPr>
          <w:color w:val="231F20"/>
          <w:spacing w:val="-29"/>
          <w:sz w:val="19"/>
        </w:rPr>
        <w:t> </w:t>
      </w:r>
      <w:r>
        <w:rPr>
          <w:color w:val="231F20"/>
          <w:sz w:val="19"/>
        </w:rPr>
        <w:t>e</w:t>
      </w:r>
      <w:r>
        <w:rPr>
          <w:color w:val="231F20"/>
          <w:spacing w:val="-29"/>
          <w:sz w:val="19"/>
        </w:rPr>
        <w:t> </w:t>
      </w:r>
      <w:r>
        <w:rPr>
          <w:color w:val="231F20"/>
          <w:sz w:val="19"/>
        </w:rPr>
        <w:t>si</w:t>
      </w:r>
      <w:r>
        <w:rPr>
          <w:color w:val="231F20"/>
          <w:spacing w:val="-29"/>
          <w:sz w:val="19"/>
        </w:rPr>
        <w:t> </w:t>
      </w:r>
      <w:r>
        <w:rPr>
          <w:color w:val="231F20"/>
          <w:sz w:val="19"/>
        </w:rPr>
        <w:t>aspettava che</w:t>
      </w:r>
      <w:r>
        <w:rPr>
          <w:color w:val="231F20"/>
          <w:spacing w:val="-18"/>
          <w:sz w:val="19"/>
        </w:rPr>
        <w:t> </w:t>
      </w:r>
      <w:r>
        <w:rPr>
          <w:color w:val="231F20"/>
          <w:sz w:val="19"/>
        </w:rPr>
        <w:t>il</w:t>
      </w:r>
      <w:r>
        <w:rPr>
          <w:color w:val="231F20"/>
          <w:spacing w:val="-18"/>
          <w:sz w:val="19"/>
        </w:rPr>
        <w:t> </w:t>
      </w:r>
      <w:r>
        <w:rPr>
          <w:color w:val="231F20"/>
          <w:sz w:val="19"/>
        </w:rPr>
        <w:t>Tribunale</w:t>
      </w:r>
      <w:r>
        <w:rPr>
          <w:color w:val="231F20"/>
          <w:spacing w:val="-18"/>
          <w:sz w:val="19"/>
        </w:rPr>
        <w:t> </w:t>
      </w:r>
      <w:r>
        <w:rPr>
          <w:color w:val="231F20"/>
          <w:sz w:val="19"/>
        </w:rPr>
        <w:t>Internazionale</w:t>
      </w:r>
      <w:r>
        <w:rPr>
          <w:color w:val="231F20"/>
          <w:spacing w:val="-18"/>
          <w:sz w:val="19"/>
        </w:rPr>
        <w:t> </w:t>
      </w:r>
      <w:r>
        <w:rPr>
          <w:color w:val="231F20"/>
          <w:sz w:val="19"/>
        </w:rPr>
        <w:t>di</w:t>
      </w:r>
      <w:r>
        <w:rPr>
          <w:color w:val="231F20"/>
          <w:spacing w:val="-18"/>
          <w:sz w:val="19"/>
        </w:rPr>
        <w:t> </w:t>
      </w:r>
      <w:r>
        <w:rPr>
          <w:color w:val="231F20"/>
          <w:sz w:val="19"/>
        </w:rPr>
        <w:t>Giustizia</w:t>
      </w:r>
      <w:r>
        <w:rPr>
          <w:color w:val="231F20"/>
          <w:spacing w:val="-18"/>
          <w:sz w:val="19"/>
        </w:rPr>
        <w:t> </w:t>
      </w:r>
      <w:r>
        <w:rPr>
          <w:color w:val="231F20"/>
          <w:sz w:val="19"/>
        </w:rPr>
        <w:t>(</w:t>
      </w:r>
      <w:r>
        <w:rPr>
          <w:color w:val="231F20"/>
          <w:sz w:val="16"/>
        </w:rPr>
        <w:t>TIG</w:t>
      </w:r>
      <w:r>
        <w:rPr>
          <w:color w:val="231F20"/>
          <w:sz w:val="19"/>
        </w:rPr>
        <w:t>)</w:t>
      </w:r>
      <w:r>
        <w:rPr>
          <w:color w:val="231F20"/>
          <w:spacing w:val="-18"/>
          <w:sz w:val="19"/>
        </w:rPr>
        <w:t> </w:t>
      </w:r>
      <w:r>
        <w:rPr>
          <w:color w:val="231F20"/>
          <w:sz w:val="19"/>
        </w:rPr>
        <w:t>aprisse</w:t>
      </w:r>
      <w:r>
        <w:rPr>
          <w:color w:val="231F20"/>
          <w:spacing w:val="-18"/>
          <w:sz w:val="19"/>
        </w:rPr>
        <w:t> </w:t>
      </w:r>
      <w:r>
        <w:rPr>
          <w:color w:val="231F20"/>
          <w:sz w:val="19"/>
        </w:rPr>
        <w:t>le</w:t>
      </w:r>
      <w:r>
        <w:rPr>
          <w:color w:val="231F20"/>
          <w:spacing w:val="-18"/>
          <w:sz w:val="19"/>
        </w:rPr>
        <w:t> </w:t>
      </w:r>
      <w:r>
        <w:rPr>
          <w:color w:val="231F20"/>
          <w:sz w:val="19"/>
        </w:rPr>
        <w:t>sue</w:t>
      </w:r>
      <w:r>
        <w:rPr>
          <w:color w:val="231F20"/>
          <w:spacing w:val="-18"/>
          <w:sz w:val="19"/>
        </w:rPr>
        <w:t> </w:t>
      </w:r>
      <w:r>
        <w:rPr>
          <w:color w:val="231F20"/>
          <w:sz w:val="19"/>
        </w:rPr>
        <w:t>porte alla fine del 2002. […] L’avanzamento dei diritti civili e politici nel mondo sembrava sufficientemente assicurato perchè le due </w:t>
      </w:r>
      <w:r>
        <w:rPr>
          <w:color w:val="231F20"/>
          <w:sz w:val="16"/>
        </w:rPr>
        <w:t>ONG </w:t>
      </w:r>
      <w:r>
        <w:rPr>
          <w:color w:val="231F20"/>
          <w:sz w:val="19"/>
        </w:rPr>
        <w:t>più importanti —Human Rights Watch e Amnesty International— dirigessero i suoi sforzi verso i diritti economici e sociali, che fino ad allora erano stati abbandonati […] Allora, letteralmente come caduti dal cielo, arrivarono gli attacchi kamikaze contro il World </w:t>
      </w:r>
      <w:r>
        <w:rPr>
          <w:color w:val="231F20"/>
          <w:spacing w:val="-4"/>
          <w:sz w:val="19"/>
        </w:rPr>
        <w:t>Trade </w:t>
      </w:r>
      <w:r>
        <w:rPr>
          <w:color w:val="231F20"/>
          <w:sz w:val="19"/>
        </w:rPr>
        <w:t>Center e il Pentagono l’11</w:t>
      </w:r>
      <w:r>
        <w:rPr>
          <w:color w:val="231F20"/>
          <w:spacing w:val="35"/>
          <w:sz w:val="19"/>
        </w:rPr>
        <w:t> </w:t>
      </w:r>
      <w:r>
        <w:rPr>
          <w:color w:val="231F20"/>
          <w:sz w:val="19"/>
        </w:rPr>
        <w:t>settembre</w:t>
      </w:r>
      <w:r>
        <w:rPr>
          <w:color w:val="231F20"/>
          <w:position w:val="6"/>
          <w:sz w:val="11"/>
        </w:rPr>
        <w:t>4</w:t>
      </w:r>
      <w:r>
        <w:rPr>
          <w:color w:val="231F20"/>
          <w:sz w:val="19"/>
        </w:rPr>
        <w:t>.</w:t>
      </w:r>
    </w:p>
    <w:p>
      <w:pPr>
        <w:pStyle w:val="BodyText"/>
        <w:spacing w:before="11"/>
        <w:rPr>
          <w:sz w:val="23"/>
        </w:rPr>
      </w:pPr>
    </w:p>
    <w:p>
      <w:pPr>
        <w:pStyle w:val="BodyText"/>
        <w:spacing w:line="247" w:lineRule="auto"/>
        <w:ind w:left="117" w:right="121"/>
        <w:jc w:val="both"/>
      </w:pPr>
      <w:r>
        <w:rPr>
          <w:color w:val="231F20"/>
          <w:spacing w:val="-3"/>
          <w:w w:val="105"/>
        </w:rPr>
        <w:t>L’arrivo</w:t>
      </w:r>
      <w:r>
        <w:rPr>
          <w:color w:val="231F20"/>
          <w:spacing w:val="-27"/>
          <w:w w:val="105"/>
        </w:rPr>
        <w:t> </w:t>
      </w:r>
      <w:r>
        <w:rPr>
          <w:color w:val="231F20"/>
          <w:w w:val="105"/>
        </w:rPr>
        <w:t>di</w:t>
      </w:r>
      <w:r>
        <w:rPr>
          <w:color w:val="231F20"/>
          <w:spacing w:val="-27"/>
          <w:w w:val="105"/>
        </w:rPr>
        <w:t> </w:t>
      </w:r>
      <w:r>
        <w:rPr>
          <w:color w:val="231F20"/>
          <w:w w:val="105"/>
        </w:rPr>
        <w:t>questa</w:t>
      </w:r>
      <w:r>
        <w:rPr>
          <w:color w:val="231F20"/>
          <w:spacing w:val="-27"/>
          <w:w w:val="105"/>
        </w:rPr>
        <w:t> </w:t>
      </w:r>
      <w:r>
        <w:rPr>
          <w:color w:val="231F20"/>
          <w:w w:val="105"/>
        </w:rPr>
        <w:t>nuova</w:t>
      </w:r>
      <w:r>
        <w:rPr>
          <w:color w:val="231F20"/>
          <w:spacing w:val="-27"/>
          <w:w w:val="105"/>
        </w:rPr>
        <w:t> </w:t>
      </w:r>
      <w:r>
        <w:rPr>
          <w:color w:val="231F20"/>
          <w:w w:val="105"/>
        </w:rPr>
        <w:t>minaccia</w:t>
      </w:r>
      <w:r>
        <w:rPr>
          <w:color w:val="231F20"/>
          <w:spacing w:val="-27"/>
          <w:w w:val="105"/>
        </w:rPr>
        <w:t> </w:t>
      </w:r>
      <w:r>
        <w:rPr>
          <w:color w:val="231F20"/>
          <w:w w:val="105"/>
        </w:rPr>
        <w:t>significò</w:t>
      </w:r>
      <w:r>
        <w:rPr>
          <w:color w:val="231F20"/>
          <w:spacing w:val="-26"/>
          <w:w w:val="105"/>
        </w:rPr>
        <w:t> </w:t>
      </w:r>
      <w:r>
        <w:rPr>
          <w:color w:val="231F20"/>
          <w:w w:val="105"/>
        </w:rPr>
        <w:t>l’occupazione</w:t>
      </w:r>
      <w:r>
        <w:rPr>
          <w:color w:val="231F20"/>
          <w:spacing w:val="-26"/>
          <w:w w:val="105"/>
        </w:rPr>
        <w:t> </w:t>
      </w:r>
      <w:r>
        <w:rPr>
          <w:color w:val="231F20"/>
          <w:w w:val="105"/>
        </w:rPr>
        <w:t>di</w:t>
      </w:r>
      <w:r>
        <w:rPr>
          <w:color w:val="231F20"/>
          <w:spacing w:val="-26"/>
          <w:w w:val="105"/>
        </w:rPr>
        <w:t> </w:t>
      </w:r>
      <w:r>
        <w:rPr>
          <w:color w:val="231F20"/>
          <w:w w:val="105"/>
        </w:rPr>
        <w:t>quel</w:t>
      </w:r>
      <w:r>
        <w:rPr>
          <w:color w:val="231F20"/>
          <w:spacing w:val="-27"/>
          <w:w w:val="105"/>
        </w:rPr>
        <w:t> </w:t>
      </w:r>
      <w:r>
        <w:rPr>
          <w:color w:val="231F20"/>
          <w:w w:val="105"/>
        </w:rPr>
        <w:t>vuoto</w:t>
      </w:r>
      <w:r>
        <w:rPr>
          <w:color w:val="231F20"/>
          <w:spacing w:val="-26"/>
          <w:w w:val="105"/>
        </w:rPr>
        <w:t> </w:t>
      </w:r>
      <w:r>
        <w:rPr>
          <w:color w:val="231F20"/>
          <w:w w:val="105"/>
        </w:rPr>
        <w:t>che aveva</w:t>
      </w:r>
      <w:r>
        <w:rPr>
          <w:color w:val="231F20"/>
          <w:spacing w:val="-43"/>
          <w:w w:val="105"/>
        </w:rPr>
        <w:t> </w:t>
      </w:r>
      <w:r>
        <w:rPr>
          <w:color w:val="231F20"/>
          <w:w w:val="105"/>
        </w:rPr>
        <w:t>lasciato</w:t>
      </w:r>
      <w:r>
        <w:rPr>
          <w:color w:val="231F20"/>
          <w:spacing w:val="-43"/>
          <w:w w:val="105"/>
        </w:rPr>
        <w:t> </w:t>
      </w:r>
      <w:r>
        <w:rPr>
          <w:color w:val="231F20"/>
          <w:w w:val="105"/>
        </w:rPr>
        <w:t>la</w:t>
      </w:r>
      <w:r>
        <w:rPr>
          <w:color w:val="231F20"/>
          <w:spacing w:val="-43"/>
          <w:w w:val="105"/>
        </w:rPr>
        <w:t> </w:t>
      </w:r>
      <w:r>
        <w:rPr>
          <w:color w:val="231F20"/>
          <w:w w:val="105"/>
        </w:rPr>
        <w:t>caduta</w:t>
      </w:r>
      <w:r>
        <w:rPr>
          <w:color w:val="231F20"/>
          <w:spacing w:val="-43"/>
          <w:w w:val="105"/>
        </w:rPr>
        <w:t> </w:t>
      </w:r>
      <w:r>
        <w:rPr>
          <w:color w:val="231F20"/>
          <w:w w:val="105"/>
        </w:rPr>
        <w:t>del</w:t>
      </w:r>
      <w:r>
        <w:rPr>
          <w:color w:val="231F20"/>
          <w:spacing w:val="-43"/>
          <w:w w:val="105"/>
        </w:rPr>
        <w:t> </w:t>
      </w:r>
      <w:r>
        <w:rPr>
          <w:color w:val="231F20"/>
          <w:w w:val="105"/>
        </w:rPr>
        <w:t>blocco</w:t>
      </w:r>
      <w:r>
        <w:rPr>
          <w:color w:val="231F20"/>
          <w:spacing w:val="-43"/>
          <w:w w:val="105"/>
        </w:rPr>
        <w:t> </w:t>
      </w:r>
      <w:r>
        <w:rPr>
          <w:color w:val="231F20"/>
          <w:w w:val="105"/>
        </w:rPr>
        <w:t>sovietico.</w:t>
      </w:r>
      <w:r>
        <w:rPr>
          <w:color w:val="231F20"/>
          <w:spacing w:val="-43"/>
          <w:w w:val="105"/>
        </w:rPr>
        <w:t> </w:t>
      </w:r>
      <w:r>
        <w:rPr>
          <w:color w:val="231F20"/>
          <w:w w:val="105"/>
        </w:rPr>
        <w:t>Gli</w:t>
      </w:r>
      <w:r>
        <w:rPr>
          <w:color w:val="231F20"/>
          <w:spacing w:val="-43"/>
          <w:w w:val="105"/>
        </w:rPr>
        <w:t> </w:t>
      </w:r>
      <w:r>
        <w:rPr>
          <w:color w:val="231F20"/>
          <w:w w:val="105"/>
        </w:rPr>
        <w:t>Stati</w:t>
      </w:r>
      <w:r>
        <w:rPr>
          <w:color w:val="231F20"/>
          <w:spacing w:val="-43"/>
          <w:w w:val="105"/>
        </w:rPr>
        <w:t> </w:t>
      </w:r>
      <w:r>
        <w:rPr>
          <w:color w:val="231F20"/>
          <w:w w:val="105"/>
        </w:rPr>
        <w:t>Uniti</w:t>
      </w:r>
      <w:r>
        <w:rPr>
          <w:color w:val="231F20"/>
          <w:spacing w:val="-43"/>
          <w:w w:val="105"/>
        </w:rPr>
        <w:t> </w:t>
      </w:r>
      <w:r>
        <w:rPr>
          <w:color w:val="231F20"/>
          <w:w w:val="105"/>
        </w:rPr>
        <w:t>avevano</w:t>
      </w:r>
      <w:r>
        <w:rPr>
          <w:color w:val="231F20"/>
          <w:spacing w:val="-43"/>
          <w:w w:val="105"/>
        </w:rPr>
        <w:t> </w:t>
      </w:r>
      <w:r>
        <w:rPr>
          <w:color w:val="231F20"/>
          <w:w w:val="105"/>
        </w:rPr>
        <w:t>bisogno urgente</w:t>
      </w:r>
      <w:r>
        <w:rPr>
          <w:color w:val="231F20"/>
          <w:spacing w:val="-39"/>
          <w:w w:val="105"/>
        </w:rPr>
        <w:t> </w:t>
      </w:r>
      <w:r>
        <w:rPr>
          <w:color w:val="231F20"/>
          <w:w w:val="105"/>
        </w:rPr>
        <w:t>di</w:t>
      </w:r>
      <w:r>
        <w:rPr>
          <w:color w:val="231F20"/>
          <w:spacing w:val="-39"/>
          <w:w w:val="105"/>
        </w:rPr>
        <w:t> </w:t>
      </w:r>
      <w:r>
        <w:rPr>
          <w:color w:val="231F20"/>
          <w:w w:val="105"/>
        </w:rPr>
        <w:t>un</w:t>
      </w:r>
      <w:r>
        <w:rPr>
          <w:color w:val="231F20"/>
          <w:spacing w:val="-39"/>
          <w:w w:val="105"/>
        </w:rPr>
        <w:t> </w:t>
      </w:r>
      <w:r>
        <w:rPr>
          <w:color w:val="231F20"/>
          <w:w w:val="105"/>
        </w:rPr>
        <w:t>nuovo</w:t>
      </w:r>
      <w:r>
        <w:rPr>
          <w:color w:val="231F20"/>
          <w:spacing w:val="-39"/>
          <w:w w:val="105"/>
        </w:rPr>
        <w:t> </w:t>
      </w:r>
      <w:r>
        <w:rPr>
          <w:color w:val="231F20"/>
          <w:w w:val="105"/>
        </w:rPr>
        <w:t>nemico</w:t>
      </w:r>
      <w:r>
        <w:rPr>
          <w:color w:val="231F20"/>
          <w:spacing w:val="-39"/>
          <w:w w:val="105"/>
        </w:rPr>
        <w:t> </w:t>
      </w:r>
      <w:r>
        <w:rPr>
          <w:color w:val="231F20"/>
          <w:w w:val="105"/>
        </w:rPr>
        <w:t>per</w:t>
      </w:r>
      <w:r>
        <w:rPr>
          <w:color w:val="231F20"/>
          <w:spacing w:val="-39"/>
          <w:w w:val="105"/>
        </w:rPr>
        <w:t> </w:t>
      </w:r>
      <w:r>
        <w:rPr>
          <w:color w:val="231F20"/>
          <w:w w:val="105"/>
        </w:rPr>
        <w:t>giustificare</w:t>
      </w:r>
      <w:r>
        <w:rPr>
          <w:color w:val="231F20"/>
          <w:spacing w:val="-39"/>
          <w:w w:val="105"/>
        </w:rPr>
        <w:t> </w:t>
      </w:r>
      <w:r>
        <w:rPr>
          <w:color w:val="231F20"/>
          <w:w w:val="105"/>
        </w:rPr>
        <w:t>la</w:t>
      </w:r>
      <w:r>
        <w:rPr>
          <w:color w:val="231F20"/>
          <w:spacing w:val="-39"/>
          <w:w w:val="105"/>
        </w:rPr>
        <w:t> </w:t>
      </w:r>
      <w:r>
        <w:rPr>
          <w:color w:val="231F20"/>
          <w:w w:val="105"/>
        </w:rPr>
        <w:t>loro</w:t>
      </w:r>
      <w:r>
        <w:rPr>
          <w:color w:val="231F20"/>
          <w:spacing w:val="-39"/>
          <w:w w:val="105"/>
        </w:rPr>
        <w:t> </w:t>
      </w:r>
      <w:r>
        <w:rPr>
          <w:color w:val="231F20"/>
          <w:w w:val="105"/>
        </w:rPr>
        <w:t>posizione</w:t>
      </w:r>
      <w:r>
        <w:rPr>
          <w:color w:val="231F20"/>
          <w:spacing w:val="-39"/>
          <w:w w:val="105"/>
        </w:rPr>
        <w:t> </w:t>
      </w:r>
      <w:r>
        <w:rPr>
          <w:color w:val="231F20"/>
          <w:w w:val="105"/>
        </w:rPr>
        <w:t>interventista</w:t>
      </w:r>
      <w:r>
        <w:rPr>
          <w:color w:val="231F20"/>
          <w:spacing w:val="-39"/>
          <w:w w:val="105"/>
        </w:rPr>
        <w:t> </w:t>
      </w:r>
      <w:r>
        <w:rPr>
          <w:color w:val="231F20"/>
          <w:w w:val="105"/>
        </w:rPr>
        <w:t>e </w:t>
      </w:r>
      <w:r>
        <w:rPr>
          <w:color w:val="231F20"/>
          <w:spacing w:val="-3"/>
          <w:w w:val="105"/>
        </w:rPr>
        <w:t>spiegare</w:t>
      </w:r>
      <w:r>
        <w:rPr>
          <w:color w:val="231F20"/>
          <w:spacing w:val="-41"/>
          <w:w w:val="105"/>
        </w:rPr>
        <w:t> </w:t>
      </w:r>
      <w:r>
        <w:rPr>
          <w:color w:val="231F20"/>
          <w:w w:val="105"/>
        </w:rPr>
        <w:t>il</w:t>
      </w:r>
      <w:r>
        <w:rPr>
          <w:color w:val="231F20"/>
          <w:spacing w:val="-41"/>
          <w:w w:val="105"/>
        </w:rPr>
        <w:t> </w:t>
      </w:r>
      <w:r>
        <w:rPr>
          <w:color w:val="231F20"/>
          <w:spacing w:val="-3"/>
          <w:w w:val="105"/>
        </w:rPr>
        <w:t>loro</w:t>
      </w:r>
      <w:r>
        <w:rPr>
          <w:color w:val="231F20"/>
          <w:spacing w:val="-41"/>
          <w:w w:val="105"/>
        </w:rPr>
        <w:t> </w:t>
      </w:r>
      <w:r>
        <w:rPr>
          <w:color w:val="231F20"/>
          <w:spacing w:val="-3"/>
          <w:w w:val="105"/>
        </w:rPr>
        <w:t>potere</w:t>
      </w:r>
      <w:r>
        <w:rPr>
          <w:color w:val="231F20"/>
          <w:spacing w:val="-41"/>
          <w:w w:val="105"/>
        </w:rPr>
        <w:t> </w:t>
      </w:r>
      <w:r>
        <w:rPr>
          <w:color w:val="231F20"/>
          <w:w w:val="105"/>
        </w:rPr>
        <w:t>militare.</w:t>
      </w:r>
      <w:r>
        <w:rPr>
          <w:color w:val="231F20"/>
          <w:spacing w:val="-41"/>
          <w:w w:val="105"/>
        </w:rPr>
        <w:t> </w:t>
      </w:r>
      <w:r>
        <w:rPr>
          <w:color w:val="231F20"/>
          <w:w w:val="105"/>
        </w:rPr>
        <w:t>Questo</w:t>
      </w:r>
      <w:r>
        <w:rPr>
          <w:color w:val="231F20"/>
          <w:spacing w:val="-41"/>
          <w:w w:val="105"/>
        </w:rPr>
        <w:t> </w:t>
      </w:r>
      <w:r>
        <w:rPr>
          <w:color w:val="231F20"/>
          <w:w w:val="105"/>
        </w:rPr>
        <w:t>nemico</w:t>
      </w:r>
      <w:r>
        <w:rPr>
          <w:color w:val="231F20"/>
          <w:spacing w:val="-41"/>
          <w:w w:val="105"/>
        </w:rPr>
        <w:t> </w:t>
      </w:r>
      <w:r>
        <w:rPr>
          <w:color w:val="231F20"/>
          <w:spacing w:val="-3"/>
          <w:w w:val="105"/>
        </w:rPr>
        <w:t>sarebbe</w:t>
      </w:r>
      <w:r>
        <w:rPr>
          <w:color w:val="231F20"/>
          <w:spacing w:val="-41"/>
          <w:w w:val="105"/>
        </w:rPr>
        <w:t> </w:t>
      </w:r>
      <w:r>
        <w:rPr>
          <w:color w:val="231F20"/>
          <w:w w:val="105"/>
        </w:rPr>
        <w:t>una</w:t>
      </w:r>
      <w:r>
        <w:rPr>
          <w:color w:val="231F20"/>
          <w:spacing w:val="-41"/>
          <w:w w:val="105"/>
        </w:rPr>
        <w:t> </w:t>
      </w:r>
      <w:r>
        <w:rPr>
          <w:color w:val="231F20"/>
          <w:spacing w:val="-3"/>
          <w:w w:val="105"/>
        </w:rPr>
        <w:t>presunta</w:t>
      </w:r>
      <w:r>
        <w:rPr>
          <w:color w:val="231F20"/>
          <w:spacing w:val="-41"/>
          <w:w w:val="105"/>
        </w:rPr>
        <w:t> </w:t>
      </w:r>
      <w:r>
        <w:rPr>
          <w:color w:val="231F20"/>
          <w:w w:val="105"/>
        </w:rPr>
        <w:t>lotta</w:t>
      </w:r>
      <w:r>
        <w:rPr>
          <w:color w:val="231F20"/>
          <w:spacing w:val="-41"/>
          <w:w w:val="105"/>
        </w:rPr>
        <w:t> </w:t>
      </w:r>
      <w:r>
        <w:rPr>
          <w:color w:val="231F20"/>
          <w:w w:val="105"/>
        </w:rPr>
        <w:t>al </w:t>
      </w:r>
      <w:r>
        <w:rPr>
          <w:color w:val="231F20"/>
          <w:spacing w:val="-3"/>
          <w:w w:val="105"/>
        </w:rPr>
        <w:t>terrorismo.</w:t>
      </w:r>
      <w:r>
        <w:rPr>
          <w:color w:val="231F20"/>
          <w:spacing w:val="-47"/>
          <w:w w:val="105"/>
        </w:rPr>
        <w:t> </w:t>
      </w:r>
      <w:r>
        <w:rPr>
          <w:color w:val="231F20"/>
          <w:w w:val="105"/>
        </w:rPr>
        <w:t>Così</w:t>
      </w:r>
      <w:r>
        <w:rPr>
          <w:color w:val="231F20"/>
          <w:spacing w:val="-47"/>
          <w:w w:val="105"/>
        </w:rPr>
        <w:t> </w:t>
      </w:r>
      <w:r>
        <w:rPr>
          <w:color w:val="231F20"/>
          <w:w w:val="105"/>
        </w:rPr>
        <w:t>chiarisce</w:t>
      </w:r>
      <w:r>
        <w:rPr>
          <w:color w:val="231F20"/>
          <w:spacing w:val="-47"/>
          <w:w w:val="105"/>
        </w:rPr>
        <w:t> </w:t>
      </w:r>
      <w:r>
        <w:rPr>
          <w:color w:val="231F20"/>
          <w:w w:val="105"/>
        </w:rPr>
        <w:t>José</w:t>
      </w:r>
      <w:r>
        <w:rPr>
          <w:color w:val="231F20"/>
          <w:spacing w:val="-47"/>
          <w:w w:val="105"/>
        </w:rPr>
        <w:t> </w:t>
      </w:r>
      <w:r>
        <w:rPr>
          <w:color w:val="231F20"/>
          <w:w w:val="105"/>
        </w:rPr>
        <w:t>María</w:t>
      </w:r>
      <w:r>
        <w:rPr>
          <w:color w:val="231F20"/>
          <w:spacing w:val="-47"/>
          <w:w w:val="105"/>
        </w:rPr>
        <w:t> </w:t>
      </w:r>
      <w:r>
        <w:rPr>
          <w:color w:val="231F20"/>
          <w:spacing w:val="-3"/>
          <w:w w:val="105"/>
        </w:rPr>
        <w:t>Marco:</w:t>
      </w:r>
      <w:r>
        <w:rPr>
          <w:color w:val="231F20"/>
          <w:spacing w:val="-47"/>
          <w:w w:val="105"/>
        </w:rPr>
        <w:t> </w:t>
      </w:r>
      <w:r>
        <w:rPr>
          <w:color w:val="231F20"/>
          <w:w w:val="105"/>
        </w:rPr>
        <w:t>“Il</w:t>
      </w:r>
      <w:r>
        <w:rPr>
          <w:color w:val="231F20"/>
          <w:spacing w:val="-47"/>
          <w:w w:val="105"/>
        </w:rPr>
        <w:t> </w:t>
      </w:r>
      <w:r>
        <w:rPr>
          <w:color w:val="231F20"/>
          <w:w w:val="105"/>
        </w:rPr>
        <w:t>nemico</w:t>
      </w:r>
      <w:r>
        <w:rPr>
          <w:color w:val="231F20"/>
          <w:spacing w:val="-47"/>
          <w:w w:val="105"/>
        </w:rPr>
        <w:t> </w:t>
      </w:r>
      <w:r>
        <w:rPr>
          <w:color w:val="231F20"/>
          <w:w w:val="105"/>
        </w:rPr>
        <w:t>non</w:t>
      </w:r>
      <w:r>
        <w:rPr>
          <w:color w:val="231F20"/>
          <w:spacing w:val="-47"/>
          <w:w w:val="105"/>
        </w:rPr>
        <w:t> </w:t>
      </w:r>
      <w:r>
        <w:rPr>
          <w:color w:val="231F20"/>
          <w:w w:val="105"/>
        </w:rPr>
        <w:t>lo</w:t>
      </w:r>
      <w:r>
        <w:rPr>
          <w:color w:val="231F20"/>
          <w:spacing w:val="-47"/>
          <w:w w:val="105"/>
        </w:rPr>
        <w:t> </w:t>
      </w:r>
      <w:r>
        <w:rPr>
          <w:color w:val="231F20"/>
          <w:w w:val="105"/>
        </w:rPr>
        <w:t>formavano</w:t>
      </w:r>
      <w:r>
        <w:rPr>
          <w:color w:val="231F20"/>
          <w:spacing w:val="-47"/>
          <w:w w:val="105"/>
        </w:rPr>
        <w:t> </w:t>
      </w:r>
      <w:r>
        <w:rPr>
          <w:color w:val="231F20"/>
          <w:spacing w:val="-2"/>
          <w:w w:val="105"/>
        </w:rPr>
        <w:t>più </w:t>
      </w:r>
      <w:r>
        <w:rPr>
          <w:color w:val="231F20"/>
          <w:w w:val="105"/>
        </w:rPr>
        <w:t>gli</w:t>
      </w:r>
      <w:r>
        <w:rPr>
          <w:color w:val="231F20"/>
          <w:spacing w:val="-39"/>
          <w:w w:val="105"/>
        </w:rPr>
        <w:t> </w:t>
      </w:r>
      <w:r>
        <w:rPr>
          <w:color w:val="231F20"/>
          <w:w w:val="105"/>
        </w:rPr>
        <w:t>stati</w:t>
      </w:r>
      <w:r>
        <w:rPr>
          <w:color w:val="231F20"/>
          <w:spacing w:val="-39"/>
          <w:w w:val="105"/>
        </w:rPr>
        <w:t> </w:t>
      </w:r>
      <w:r>
        <w:rPr>
          <w:color w:val="231F20"/>
          <w:w w:val="105"/>
        </w:rPr>
        <w:t>governati</w:t>
      </w:r>
      <w:r>
        <w:rPr>
          <w:color w:val="231F20"/>
          <w:spacing w:val="-39"/>
          <w:w w:val="105"/>
        </w:rPr>
        <w:t> </w:t>
      </w:r>
      <w:r>
        <w:rPr>
          <w:color w:val="231F20"/>
          <w:w w:val="105"/>
        </w:rPr>
        <w:t>da</w:t>
      </w:r>
      <w:r>
        <w:rPr>
          <w:color w:val="231F20"/>
          <w:spacing w:val="-39"/>
          <w:w w:val="105"/>
        </w:rPr>
        <w:t> </w:t>
      </w:r>
      <w:r>
        <w:rPr>
          <w:color w:val="231F20"/>
          <w:w w:val="105"/>
        </w:rPr>
        <w:t>oligarchie</w:t>
      </w:r>
      <w:r>
        <w:rPr>
          <w:color w:val="231F20"/>
          <w:spacing w:val="-39"/>
          <w:w w:val="105"/>
        </w:rPr>
        <w:t> </w:t>
      </w:r>
      <w:r>
        <w:rPr>
          <w:color w:val="231F20"/>
          <w:w w:val="105"/>
        </w:rPr>
        <w:t>con</w:t>
      </w:r>
      <w:r>
        <w:rPr>
          <w:color w:val="231F20"/>
          <w:spacing w:val="-39"/>
          <w:w w:val="105"/>
        </w:rPr>
        <w:t> </w:t>
      </w:r>
      <w:r>
        <w:rPr>
          <w:color w:val="231F20"/>
          <w:w w:val="105"/>
        </w:rPr>
        <w:t>interessi</w:t>
      </w:r>
      <w:r>
        <w:rPr>
          <w:color w:val="231F20"/>
          <w:spacing w:val="-39"/>
          <w:w w:val="105"/>
        </w:rPr>
        <w:t> </w:t>
      </w:r>
      <w:r>
        <w:rPr>
          <w:color w:val="231F20"/>
          <w:w w:val="105"/>
        </w:rPr>
        <w:t>prevedibili,</w:t>
      </w:r>
      <w:r>
        <w:rPr>
          <w:color w:val="231F20"/>
          <w:spacing w:val="-39"/>
          <w:w w:val="105"/>
        </w:rPr>
        <w:t> </w:t>
      </w:r>
      <w:r>
        <w:rPr>
          <w:color w:val="231F20"/>
          <w:w w:val="105"/>
        </w:rPr>
        <w:t>come</w:t>
      </w:r>
      <w:r>
        <w:rPr>
          <w:color w:val="231F20"/>
          <w:spacing w:val="-39"/>
          <w:w w:val="105"/>
        </w:rPr>
        <w:t> </w:t>
      </w:r>
      <w:r>
        <w:rPr>
          <w:color w:val="231F20"/>
          <w:w w:val="105"/>
        </w:rPr>
        <w:t>era</w:t>
      </w:r>
      <w:r>
        <w:rPr>
          <w:color w:val="231F20"/>
          <w:spacing w:val="-39"/>
          <w:w w:val="105"/>
        </w:rPr>
        <w:t> </w:t>
      </w:r>
      <w:r>
        <w:rPr>
          <w:color w:val="231F20"/>
          <w:w w:val="105"/>
        </w:rPr>
        <w:t>successo con</w:t>
      </w:r>
      <w:r>
        <w:rPr>
          <w:color w:val="231F20"/>
          <w:spacing w:val="-27"/>
          <w:w w:val="105"/>
        </w:rPr>
        <w:t> </w:t>
      </w:r>
      <w:r>
        <w:rPr>
          <w:color w:val="231F20"/>
          <w:w w:val="105"/>
        </w:rPr>
        <w:t>l’Unione</w:t>
      </w:r>
      <w:r>
        <w:rPr>
          <w:color w:val="231F20"/>
          <w:spacing w:val="-27"/>
          <w:w w:val="105"/>
        </w:rPr>
        <w:t> </w:t>
      </w:r>
      <w:r>
        <w:rPr>
          <w:color w:val="231F20"/>
          <w:w w:val="105"/>
        </w:rPr>
        <w:t>Sovietica.</w:t>
      </w:r>
      <w:r>
        <w:rPr>
          <w:color w:val="231F20"/>
          <w:spacing w:val="-27"/>
          <w:w w:val="105"/>
        </w:rPr>
        <w:t> </w:t>
      </w:r>
      <w:r>
        <w:rPr>
          <w:color w:val="231F20"/>
          <w:w w:val="105"/>
        </w:rPr>
        <w:t>Ora</w:t>
      </w:r>
      <w:r>
        <w:rPr>
          <w:color w:val="231F20"/>
          <w:spacing w:val="-27"/>
          <w:w w:val="105"/>
        </w:rPr>
        <w:t> </w:t>
      </w:r>
      <w:r>
        <w:rPr>
          <w:color w:val="231F20"/>
          <w:w w:val="105"/>
        </w:rPr>
        <w:t>il</w:t>
      </w:r>
      <w:r>
        <w:rPr>
          <w:color w:val="231F20"/>
          <w:spacing w:val="-27"/>
          <w:w w:val="105"/>
        </w:rPr>
        <w:t> </w:t>
      </w:r>
      <w:r>
        <w:rPr>
          <w:color w:val="231F20"/>
          <w:w w:val="105"/>
        </w:rPr>
        <w:t>nemico</w:t>
      </w:r>
      <w:r>
        <w:rPr>
          <w:color w:val="231F20"/>
          <w:spacing w:val="-27"/>
          <w:w w:val="105"/>
        </w:rPr>
        <w:t> </w:t>
      </w:r>
      <w:r>
        <w:rPr>
          <w:color w:val="231F20"/>
          <w:w w:val="105"/>
        </w:rPr>
        <w:t>sono</w:t>
      </w:r>
      <w:r>
        <w:rPr>
          <w:color w:val="231F20"/>
          <w:spacing w:val="-27"/>
          <w:w w:val="105"/>
        </w:rPr>
        <w:t> </w:t>
      </w:r>
      <w:r>
        <w:rPr>
          <w:color w:val="231F20"/>
          <w:w w:val="105"/>
        </w:rPr>
        <w:t>reti</w:t>
      </w:r>
      <w:r>
        <w:rPr>
          <w:color w:val="231F20"/>
          <w:spacing w:val="-27"/>
          <w:w w:val="105"/>
        </w:rPr>
        <w:t> </w:t>
      </w:r>
      <w:r>
        <w:rPr>
          <w:color w:val="231F20"/>
          <w:w w:val="105"/>
        </w:rPr>
        <w:t>di</w:t>
      </w:r>
      <w:r>
        <w:rPr>
          <w:color w:val="231F20"/>
          <w:spacing w:val="-27"/>
          <w:w w:val="105"/>
        </w:rPr>
        <w:t> </w:t>
      </w:r>
      <w:r>
        <w:rPr>
          <w:color w:val="231F20"/>
          <w:w w:val="105"/>
        </w:rPr>
        <w:t>gruppi</w:t>
      </w:r>
      <w:r>
        <w:rPr>
          <w:color w:val="231F20"/>
          <w:spacing w:val="-27"/>
          <w:w w:val="105"/>
        </w:rPr>
        <w:t> </w:t>
      </w:r>
      <w:r>
        <w:rPr>
          <w:color w:val="231F20"/>
          <w:w w:val="105"/>
        </w:rPr>
        <w:t>terroristici</w:t>
      </w:r>
      <w:r>
        <w:rPr>
          <w:color w:val="231F20"/>
          <w:spacing w:val="-27"/>
          <w:w w:val="105"/>
        </w:rPr>
        <w:t> </w:t>
      </w:r>
      <w:r>
        <w:rPr>
          <w:color w:val="231F20"/>
          <w:w w:val="105"/>
        </w:rPr>
        <w:t>islamici e</w:t>
      </w:r>
      <w:r>
        <w:rPr>
          <w:color w:val="231F20"/>
          <w:spacing w:val="-38"/>
          <w:w w:val="105"/>
        </w:rPr>
        <w:t> </w:t>
      </w:r>
      <w:r>
        <w:rPr>
          <w:color w:val="231F20"/>
          <w:w w:val="105"/>
        </w:rPr>
        <w:t>regimi</w:t>
      </w:r>
      <w:r>
        <w:rPr>
          <w:color w:val="231F20"/>
          <w:spacing w:val="-38"/>
          <w:w w:val="105"/>
        </w:rPr>
        <w:t> </w:t>
      </w:r>
      <w:r>
        <w:rPr>
          <w:color w:val="231F20"/>
          <w:w w:val="105"/>
        </w:rPr>
        <w:t>rivoluzionari,</w:t>
      </w:r>
      <w:r>
        <w:rPr>
          <w:color w:val="231F20"/>
          <w:spacing w:val="-38"/>
          <w:w w:val="105"/>
        </w:rPr>
        <w:t> </w:t>
      </w:r>
      <w:r>
        <w:rPr>
          <w:color w:val="231F20"/>
          <w:w w:val="105"/>
        </w:rPr>
        <w:t>anche</w:t>
      </w:r>
      <w:r>
        <w:rPr>
          <w:color w:val="231F20"/>
          <w:spacing w:val="-38"/>
          <w:w w:val="105"/>
        </w:rPr>
        <w:t> </w:t>
      </w:r>
      <w:r>
        <w:rPr>
          <w:color w:val="231F20"/>
          <w:w w:val="105"/>
        </w:rPr>
        <w:t>di</w:t>
      </w:r>
      <w:r>
        <w:rPr>
          <w:color w:val="231F20"/>
          <w:spacing w:val="-38"/>
          <w:w w:val="105"/>
        </w:rPr>
        <w:t> </w:t>
      </w:r>
      <w:r>
        <w:rPr>
          <w:color w:val="231F20"/>
          <w:w w:val="105"/>
        </w:rPr>
        <w:t>dottrina</w:t>
      </w:r>
      <w:r>
        <w:rPr>
          <w:color w:val="231F20"/>
          <w:spacing w:val="-38"/>
          <w:w w:val="105"/>
        </w:rPr>
        <w:t> </w:t>
      </w:r>
      <w:r>
        <w:rPr>
          <w:color w:val="231F20"/>
          <w:w w:val="105"/>
        </w:rPr>
        <w:t>islamica”</w:t>
      </w:r>
      <w:r>
        <w:rPr>
          <w:color w:val="231F20"/>
          <w:w w:val="105"/>
          <w:position w:val="7"/>
          <w:sz w:val="12"/>
        </w:rPr>
        <w:t>5</w:t>
      </w:r>
      <w:r>
        <w:rPr>
          <w:color w:val="231F20"/>
          <w:w w:val="105"/>
        </w:rPr>
        <w:t>.</w:t>
      </w:r>
    </w:p>
    <w:p>
      <w:pPr>
        <w:pStyle w:val="BodyText"/>
        <w:spacing w:before="11"/>
        <w:rPr>
          <w:sz w:val="19"/>
        </w:rPr>
      </w:pPr>
      <w:r>
        <w:rPr/>
        <w:pict>
          <v:line style="position:absolute;mso-position-horizontal-relative:page;mso-position-vertical-relative:paragraph;z-index:9112;mso-wrap-distance-left:0;mso-wrap-distance-right:0" from="70.866096pt,14.16048pt" to="184.252096pt,14.16048pt" stroked="true" strokeweight=".3pt" strokecolor="#231f20">
            <w10:wrap type="topAndBottom"/>
          </v:line>
        </w:pict>
      </w:r>
    </w:p>
    <w:p>
      <w:pPr>
        <w:spacing w:line="204" w:lineRule="exact" w:before="8"/>
        <w:ind w:left="117" w:right="0" w:firstLine="0"/>
        <w:jc w:val="left"/>
        <w:rPr>
          <w:rFonts w:ascii="Calibri" w:hAnsi="Calibri"/>
          <w:sz w:val="17"/>
        </w:rPr>
      </w:pPr>
      <w:r>
        <w:rPr>
          <w:rFonts w:ascii="Calibri" w:hAnsi="Calibri"/>
          <w:color w:val="231F20"/>
          <w:w w:val="105"/>
          <w:position w:val="6"/>
          <w:sz w:val="10"/>
        </w:rPr>
        <w:t>3 </w:t>
      </w:r>
      <w:r>
        <w:rPr>
          <w:rFonts w:ascii="Calibri" w:hAnsi="Calibri"/>
          <w:color w:val="231F20"/>
          <w:w w:val="105"/>
          <w:sz w:val="17"/>
        </w:rPr>
        <w:t>Citato in F. Bosoer, “CARL SCHMITT EN WASHINGTON (2001–2004)”, </w:t>
      </w:r>
      <w:r>
        <w:rPr>
          <w:rFonts w:ascii="Calibri" w:hAnsi="Calibri"/>
          <w:i/>
          <w:color w:val="231F20"/>
          <w:w w:val="105"/>
          <w:sz w:val="17"/>
        </w:rPr>
        <w:t>Terrorismo Siglo </w:t>
      </w:r>
      <w:r>
        <w:rPr>
          <w:rFonts w:ascii="Calibri" w:hAnsi="Calibri"/>
          <w:i/>
          <w:color w:val="231F20"/>
          <w:w w:val="105"/>
          <w:sz w:val="14"/>
        </w:rPr>
        <w:t>XXI</w:t>
      </w:r>
      <w:r>
        <w:rPr>
          <w:rFonts w:ascii="Calibri" w:hAnsi="Calibri"/>
          <w:color w:val="231F20"/>
          <w:w w:val="105"/>
          <w:sz w:val="17"/>
        </w:rPr>
        <w:t>, Argentina, Universidad Nacional de Mar del Plata/Ediciones Suárez, 2010, p. 97.</w:t>
      </w:r>
    </w:p>
    <w:p>
      <w:pPr>
        <w:spacing w:line="206" w:lineRule="exact" w:before="1"/>
        <w:ind w:left="117" w:right="0" w:firstLine="0"/>
        <w:jc w:val="left"/>
        <w:rPr>
          <w:rFonts w:ascii="Calibri" w:hAnsi="Calibri"/>
          <w:sz w:val="17"/>
        </w:rPr>
      </w:pPr>
      <w:r>
        <w:rPr>
          <w:rFonts w:ascii="Calibri" w:hAnsi="Calibri"/>
          <w:color w:val="231F20"/>
          <w:position w:val="6"/>
          <w:sz w:val="10"/>
        </w:rPr>
        <w:t>4  </w:t>
      </w:r>
      <w:r>
        <w:rPr>
          <w:rFonts w:ascii="Calibri" w:hAnsi="Calibri"/>
          <w:color w:val="231F20"/>
          <w:sz w:val="17"/>
        </w:rPr>
        <w:t>G. Robertson, </w:t>
      </w:r>
      <w:r>
        <w:rPr>
          <w:rFonts w:ascii="Calibri" w:hAnsi="Calibri"/>
          <w:i/>
          <w:color w:val="231F20"/>
          <w:sz w:val="17"/>
        </w:rPr>
        <w:t>Crímenes contra la humanidad</w:t>
      </w:r>
      <w:r>
        <w:rPr>
          <w:rFonts w:ascii="Calibri" w:hAnsi="Calibri"/>
          <w:color w:val="231F20"/>
          <w:sz w:val="17"/>
        </w:rPr>
        <w:t>, España, Siglo </w:t>
      </w:r>
      <w:r>
        <w:rPr>
          <w:rFonts w:ascii="Calibri" w:hAnsi="Calibri"/>
          <w:color w:val="231F20"/>
          <w:sz w:val="14"/>
        </w:rPr>
        <w:t>XXI</w:t>
      </w:r>
      <w:r>
        <w:rPr>
          <w:rFonts w:ascii="Calibri" w:hAnsi="Calibri"/>
          <w:color w:val="231F20"/>
          <w:sz w:val="17"/>
        </w:rPr>
        <w:t>, 2008, p.   489.</w:t>
      </w:r>
    </w:p>
    <w:p>
      <w:pPr>
        <w:spacing w:line="206" w:lineRule="exact" w:before="0"/>
        <w:ind w:left="117" w:right="0" w:firstLine="0"/>
        <w:jc w:val="left"/>
        <w:rPr>
          <w:rFonts w:ascii="Calibri" w:hAnsi="Calibri"/>
          <w:sz w:val="17"/>
        </w:rPr>
      </w:pPr>
      <w:r>
        <w:rPr>
          <w:rFonts w:ascii="Calibri" w:hAnsi="Calibri"/>
          <w:color w:val="231F20"/>
          <w:position w:val="6"/>
          <w:sz w:val="10"/>
        </w:rPr>
        <w:t>5 </w:t>
      </w:r>
      <w:r>
        <w:rPr>
          <w:rFonts w:ascii="Calibri" w:hAnsi="Calibri"/>
          <w:color w:val="231F20"/>
          <w:sz w:val="17"/>
        </w:rPr>
        <w:t>J. M. Marco, </w:t>
      </w:r>
      <w:r>
        <w:rPr>
          <w:rFonts w:ascii="Calibri" w:hAnsi="Calibri"/>
          <w:i/>
          <w:color w:val="231F20"/>
          <w:sz w:val="17"/>
        </w:rPr>
        <w:t>La nueva revolución americana</w:t>
      </w:r>
      <w:r>
        <w:rPr>
          <w:rFonts w:ascii="Calibri" w:hAnsi="Calibri"/>
          <w:color w:val="231F20"/>
          <w:sz w:val="17"/>
        </w:rPr>
        <w:t>, España, Ciudadela Libros, 2007, p. 379.</w:t>
      </w:r>
    </w:p>
    <w:p>
      <w:pPr>
        <w:spacing w:after="0" w:line="206" w:lineRule="exact"/>
        <w:jc w:val="left"/>
        <w:rPr>
          <w:rFonts w:ascii="Calibri" w:hAnsi="Calibri"/>
          <w:sz w:val="17"/>
        </w:rPr>
        <w:sectPr>
          <w:pgSz w:w="9640" w:h="13890"/>
          <w:pgMar w:top="0" w:bottom="280" w:left="1300" w:right="1180"/>
        </w:sectPr>
      </w:pPr>
    </w:p>
    <w:p>
      <w:pPr>
        <w:pStyle w:val="BodyText"/>
        <w:spacing w:line="247" w:lineRule="auto" w:before="107"/>
        <w:ind w:left="103" w:right="112" w:firstLine="566"/>
        <w:jc w:val="both"/>
      </w:pPr>
      <w:r>
        <w:rPr>
          <w:color w:val="231F20"/>
        </w:rPr>
        <w:t>Così, dalla prospettiva nordamericana, lo spartiacque della lotta al terrorismo</w:t>
      </w:r>
      <w:r>
        <w:rPr>
          <w:color w:val="231F20"/>
          <w:spacing w:val="-16"/>
        </w:rPr>
        <w:t> </w:t>
      </w:r>
      <w:r>
        <w:rPr>
          <w:color w:val="231F20"/>
        </w:rPr>
        <w:t>è</w:t>
      </w:r>
      <w:r>
        <w:rPr>
          <w:color w:val="231F20"/>
          <w:spacing w:val="35"/>
        </w:rPr>
        <w:t> </w:t>
      </w:r>
      <w:r>
        <w:rPr>
          <w:color w:val="231F20"/>
        </w:rPr>
        <w:t>stato</w:t>
      </w:r>
      <w:r>
        <w:rPr>
          <w:color w:val="231F20"/>
          <w:spacing w:val="-16"/>
        </w:rPr>
        <w:t> </w:t>
      </w:r>
      <w:r>
        <w:rPr>
          <w:color w:val="231F20"/>
        </w:rPr>
        <w:t>stabilito</w:t>
      </w:r>
      <w:r>
        <w:rPr>
          <w:color w:val="231F20"/>
          <w:spacing w:val="-16"/>
        </w:rPr>
        <w:t> </w:t>
      </w:r>
      <w:r>
        <w:rPr>
          <w:color w:val="231F20"/>
        </w:rPr>
        <w:t>dagli</w:t>
      </w:r>
      <w:r>
        <w:rPr>
          <w:color w:val="231F20"/>
          <w:spacing w:val="-16"/>
        </w:rPr>
        <w:t> </w:t>
      </w:r>
      <w:r>
        <w:rPr>
          <w:color w:val="231F20"/>
        </w:rPr>
        <w:t>attacchi</w:t>
      </w:r>
      <w:r>
        <w:rPr>
          <w:color w:val="231F20"/>
          <w:spacing w:val="-16"/>
        </w:rPr>
        <w:t> </w:t>
      </w:r>
      <w:r>
        <w:rPr>
          <w:color w:val="231F20"/>
        </w:rPr>
        <w:t>dell’</w:t>
      </w:r>
      <w:r>
        <w:rPr>
          <w:color w:val="231F20"/>
          <w:spacing w:val="-16"/>
        </w:rPr>
        <w:t> </w:t>
      </w:r>
      <w:r>
        <w:rPr>
          <w:color w:val="231F20"/>
        </w:rPr>
        <w:t>11</w:t>
      </w:r>
      <w:r>
        <w:rPr>
          <w:color w:val="231F20"/>
          <w:spacing w:val="-16"/>
        </w:rPr>
        <w:t> </w:t>
      </w:r>
      <w:r>
        <w:rPr>
          <w:color w:val="231F20"/>
        </w:rPr>
        <w:t>settembre</w:t>
      </w:r>
      <w:r>
        <w:rPr>
          <w:color w:val="231F20"/>
          <w:spacing w:val="-16"/>
        </w:rPr>
        <w:t> </w:t>
      </w:r>
      <w:r>
        <w:rPr>
          <w:color w:val="231F20"/>
        </w:rPr>
        <w:t>2001</w:t>
      </w:r>
      <w:r>
        <w:rPr>
          <w:color w:val="231F20"/>
          <w:spacing w:val="-16"/>
        </w:rPr>
        <w:t> </w:t>
      </w:r>
      <w:r>
        <w:rPr>
          <w:color w:val="231F20"/>
        </w:rPr>
        <w:t>sul</w:t>
      </w:r>
      <w:r>
        <w:rPr>
          <w:color w:val="231F20"/>
          <w:spacing w:val="-16"/>
        </w:rPr>
        <w:t> </w:t>
      </w:r>
      <w:r>
        <w:rPr>
          <w:color w:val="231F20"/>
        </w:rPr>
        <w:t>popolo </w:t>
      </w:r>
      <w:r>
        <w:rPr>
          <w:color w:val="231F20"/>
          <w:spacing w:val="-3"/>
        </w:rPr>
        <w:t>nordamericano,</w:t>
      </w:r>
      <w:r>
        <w:rPr>
          <w:color w:val="231F20"/>
          <w:spacing w:val="-20"/>
        </w:rPr>
        <w:t> </w:t>
      </w:r>
      <w:r>
        <w:rPr>
          <w:color w:val="231F20"/>
        </w:rPr>
        <w:t>che</w:t>
      </w:r>
      <w:r>
        <w:rPr>
          <w:color w:val="231F20"/>
          <w:spacing w:val="-20"/>
        </w:rPr>
        <w:t> </w:t>
      </w:r>
      <w:r>
        <w:rPr>
          <w:color w:val="231F20"/>
          <w:spacing w:val="-3"/>
        </w:rPr>
        <w:t>lasciarono</w:t>
      </w:r>
      <w:r>
        <w:rPr>
          <w:color w:val="231F20"/>
          <w:spacing w:val="-20"/>
        </w:rPr>
        <w:t> </w:t>
      </w:r>
      <w:r>
        <w:rPr>
          <w:color w:val="231F20"/>
        </w:rPr>
        <w:t>2,973</w:t>
      </w:r>
      <w:r>
        <w:rPr>
          <w:color w:val="231F20"/>
          <w:spacing w:val="-20"/>
        </w:rPr>
        <w:t> </w:t>
      </w:r>
      <w:r>
        <w:rPr>
          <w:color w:val="231F20"/>
        </w:rPr>
        <w:t>morti.</w:t>
      </w:r>
      <w:r>
        <w:rPr>
          <w:color w:val="231F20"/>
          <w:spacing w:val="-20"/>
        </w:rPr>
        <w:t> </w:t>
      </w:r>
      <w:r>
        <w:rPr>
          <w:color w:val="231F20"/>
        </w:rPr>
        <w:t>Molti</w:t>
      </w:r>
      <w:r>
        <w:rPr>
          <w:color w:val="231F20"/>
          <w:spacing w:val="-20"/>
        </w:rPr>
        <w:t> </w:t>
      </w:r>
      <w:r>
        <w:rPr>
          <w:color w:val="231F20"/>
        </w:rPr>
        <w:t>analisti</w:t>
      </w:r>
      <w:r>
        <w:rPr>
          <w:color w:val="231F20"/>
          <w:spacing w:val="-20"/>
        </w:rPr>
        <w:t> </w:t>
      </w:r>
      <w:r>
        <w:rPr>
          <w:color w:val="231F20"/>
        </w:rPr>
        <w:t>di</w:t>
      </w:r>
      <w:r>
        <w:rPr>
          <w:color w:val="231F20"/>
          <w:spacing w:val="-20"/>
        </w:rPr>
        <w:t> </w:t>
      </w:r>
      <w:r>
        <w:rPr>
          <w:color w:val="231F20"/>
        </w:rPr>
        <w:t>questo</w:t>
      </w:r>
      <w:r>
        <w:rPr>
          <w:color w:val="231F20"/>
          <w:spacing w:val="-20"/>
        </w:rPr>
        <w:t> </w:t>
      </w:r>
      <w:r>
        <w:rPr>
          <w:color w:val="231F20"/>
        </w:rPr>
        <w:t>fatto</w:t>
      </w:r>
      <w:r>
        <w:rPr>
          <w:color w:val="231F20"/>
          <w:spacing w:val="-20"/>
        </w:rPr>
        <w:t> </w:t>
      </w:r>
      <w:r>
        <w:rPr>
          <w:color w:val="231F20"/>
        </w:rPr>
        <w:t>sono </w:t>
      </w:r>
      <w:r>
        <w:rPr>
          <w:color w:val="231F20"/>
          <w:spacing w:val="-4"/>
        </w:rPr>
        <w:t>d’accordo</w:t>
      </w:r>
      <w:r>
        <w:rPr>
          <w:color w:val="231F20"/>
          <w:spacing w:val="-13"/>
        </w:rPr>
        <w:t> </w:t>
      </w:r>
      <w:r>
        <w:rPr>
          <w:color w:val="231F20"/>
        </w:rPr>
        <w:t>che</w:t>
      </w:r>
      <w:r>
        <w:rPr>
          <w:color w:val="231F20"/>
          <w:spacing w:val="-13"/>
        </w:rPr>
        <w:t> </w:t>
      </w:r>
      <w:r>
        <w:rPr>
          <w:color w:val="231F20"/>
        </w:rPr>
        <w:t>gli</w:t>
      </w:r>
      <w:r>
        <w:rPr>
          <w:color w:val="231F20"/>
          <w:spacing w:val="-13"/>
        </w:rPr>
        <w:t> </w:t>
      </w:r>
      <w:r>
        <w:rPr>
          <w:color w:val="231F20"/>
          <w:spacing w:val="-3"/>
        </w:rPr>
        <w:t>attentati</w:t>
      </w:r>
      <w:r>
        <w:rPr>
          <w:color w:val="231F20"/>
          <w:spacing w:val="-13"/>
        </w:rPr>
        <w:t> </w:t>
      </w:r>
      <w:r>
        <w:rPr>
          <w:color w:val="231F20"/>
          <w:spacing w:val="-4"/>
        </w:rPr>
        <w:t>furono</w:t>
      </w:r>
      <w:r>
        <w:rPr>
          <w:color w:val="231F20"/>
          <w:spacing w:val="-13"/>
        </w:rPr>
        <w:t> </w:t>
      </w:r>
      <w:r>
        <w:rPr>
          <w:color w:val="231F20"/>
        </w:rPr>
        <w:t>più</w:t>
      </w:r>
      <w:r>
        <w:rPr>
          <w:color w:val="231F20"/>
          <w:spacing w:val="-13"/>
        </w:rPr>
        <w:t> </w:t>
      </w:r>
      <w:r>
        <w:rPr>
          <w:color w:val="231F20"/>
        </w:rPr>
        <w:t>un</w:t>
      </w:r>
      <w:r>
        <w:rPr>
          <w:color w:val="231F20"/>
          <w:spacing w:val="-13"/>
        </w:rPr>
        <w:t> </w:t>
      </w:r>
      <w:r>
        <w:rPr>
          <w:color w:val="231F20"/>
          <w:spacing w:val="-4"/>
        </w:rPr>
        <w:t>pretesto</w:t>
      </w:r>
      <w:r>
        <w:rPr>
          <w:color w:val="231F20"/>
          <w:spacing w:val="-13"/>
        </w:rPr>
        <w:t> </w:t>
      </w:r>
      <w:r>
        <w:rPr>
          <w:color w:val="231F20"/>
        </w:rPr>
        <w:t>che</w:t>
      </w:r>
      <w:r>
        <w:rPr>
          <w:color w:val="231F20"/>
          <w:spacing w:val="-13"/>
        </w:rPr>
        <w:t> </w:t>
      </w:r>
      <w:r>
        <w:rPr>
          <w:color w:val="231F20"/>
        </w:rPr>
        <w:t>una</w:t>
      </w:r>
      <w:r>
        <w:rPr>
          <w:color w:val="231F20"/>
          <w:spacing w:val="-13"/>
        </w:rPr>
        <w:t> </w:t>
      </w:r>
      <w:r>
        <w:rPr>
          <w:color w:val="231F20"/>
          <w:spacing w:val="-3"/>
        </w:rPr>
        <w:t>causa</w:t>
      </w:r>
      <w:r>
        <w:rPr>
          <w:color w:val="231F20"/>
          <w:spacing w:val="-13"/>
        </w:rPr>
        <w:t> </w:t>
      </w:r>
      <w:r>
        <w:rPr>
          <w:color w:val="231F20"/>
          <w:spacing w:val="-4"/>
        </w:rPr>
        <w:t>dell’offensiva </w:t>
      </w:r>
      <w:r>
        <w:rPr>
          <w:color w:val="231F20"/>
        </w:rPr>
        <w:t>americana.</w:t>
      </w:r>
      <w:r>
        <w:rPr>
          <w:color w:val="231F20"/>
          <w:spacing w:val="-18"/>
        </w:rPr>
        <w:t> </w:t>
      </w:r>
      <w:r>
        <w:rPr>
          <w:color w:val="231F20"/>
        </w:rPr>
        <w:t>In</w:t>
      </w:r>
      <w:r>
        <w:rPr>
          <w:color w:val="231F20"/>
          <w:spacing w:val="-18"/>
        </w:rPr>
        <w:t> </w:t>
      </w:r>
      <w:r>
        <w:rPr>
          <w:color w:val="231F20"/>
        </w:rPr>
        <w:t>anticipo,</w:t>
      </w:r>
      <w:r>
        <w:rPr>
          <w:color w:val="231F20"/>
          <w:spacing w:val="-18"/>
        </w:rPr>
        <w:t> </w:t>
      </w:r>
      <w:r>
        <w:rPr>
          <w:color w:val="231F20"/>
        </w:rPr>
        <w:t>il</w:t>
      </w:r>
      <w:r>
        <w:rPr>
          <w:color w:val="231F20"/>
          <w:spacing w:val="-18"/>
        </w:rPr>
        <w:t> </w:t>
      </w:r>
      <w:r>
        <w:rPr>
          <w:color w:val="231F20"/>
        </w:rPr>
        <w:t>20</w:t>
      </w:r>
      <w:r>
        <w:rPr>
          <w:color w:val="231F20"/>
          <w:spacing w:val="-18"/>
        </w:rPr>
        <w:t> </w:t>
      </w:r>
      <w:r>
        <w:rPr>
          <w:color w:val="231F20"/>
        </w:rPr>
        <w:t>gennaio</w:t>
      </w:r>
      <w:r>
        <w:rPr>
          <w:color w:val="231F20"/>
          <w:spacing w:val="-18"/>
        </w:rPr>
        <w:t> </w:t>
      </w:r>
      <w:r>
        <w:rPr>
          <w:color w:val="231F20"/>
        </w:rPr>
        <w:t>del</w:t>
      </w:r>
      <w:r>
        <w:rPr>
          <w:color w:val="231F20"/>
          <w:spacing w:val="-18"/>
        </w:rPr>
        <w:t> </w:t>
      </w:r>
      <w:r>
        <w:rPr>
          <w:color w:val="231F20"/>
        </w:rPr>
        <w:t>2000,</w:t>
      </w:r>
      <w:r>
        <w:rPr>
          <w:color w:val="231F20"/>
          <w:spacing w:val="-18"/>
        </w:rPr>
        <w:t> </w:t>
      </w:r>
      <w:r>
        <w:rPr>
          <w:color w:val="231F20"/>
        </w:rPr>
        <w:t>il</w:t>
      </w:r>
      <w:r>
        <w:rPr>
          <w:color w:val="231F20"/>
          <w:spacing w:val="-18"/>
        </w:rPr>
        <w:t> </w:t>
      </w:r>
      <w:r>
        <w:rPr>
          <w:color w:val="231F20"/>
        </w:rPr>
        <w:t>senatore</w:t>
      </w:r>
      <w:r>
        <w:rPr>
          <w:color w:val="231F20"/>
          <w:spacing w:val="-18"/>
        </w:rPr>
        <w:t> </w:t>
      </w:r>
      <w:r>
        <w:rPr>
          <w:color w:val="231F20"/>
        </w:rPr>
        <w:t>statunitense</w:t>
      </w:r>
      <w:r>
        <w:rPr>
          <w:color w:val="231F20"/>
          <w:spacing w:val="-18"/>
        </w:rPr>
        <w:t> </w:t>
      </w:r>
      <w:r>
        <w:rPr>
          <w:color w:val="231F20"/>
        </w:rPr>
        <w:t>Jesse Helms, in suo carattere di rappresentante del Comitato per gli Affari</w:t>
      </w:r>
      <w:r>
        <w:rPr>
          <w:color w:val="231F20"/>
          <w:spacing w:val="-33"/>
        </w:rPr>
        <w:t> </w:t>
      </w:r>
      <w:r>
        <w:rPr>
          <w:color w:val="231F20"/>
        </w:rPr>
        <w:t>Esteri, manifestò davanti al Consiglio di Sicurezza che nessuna istituzione delle Nazioni</w:t>
      </w:r>
      <w:r>
        <w:rPr>
          <w:color w:val="231F20"/>
          <w:spacing w:val="-11"/>
        </w:rPr>
        <w:t> </w:t>
      </w:r>
      <w:r>
        <w:rPr>
          <w:color w:val="231F20"/>
        </w:rPr>
        <w:t>Unite</w:t>
      </w:r>
      <w:r>
        <w:rPr>
          <w:color w:val="231F20"/>
          <w:spacing w:val="-11"/>
        </w:rPr>
        <w:t> </w:t>
      </w:r>
      <w:r>
        <w:rPr>
          <w:color w:val="231F20"/>
        </w:rPr>
        <w:t>è</w:t>
      </w:r>
      <w:r>
        <w:rPr>
          <w:color w:val="231F20"/>
          <w:spacing w:val="-11"/>
        </w:rPr>
        <w:t> </w:t>
      </w:r>
      <w:r>
        <w:rPr>
          <w:color w:val="231F20"/>
        </w:rPr>
        <w:t>competente</w:t>
      </w:r>
      <w:r>
        <w:rPr>
          <w:color w:val="231F20"/>
          <w:spacing w:val="-11"/>
        </w:rPr>
        <w:t> </w:t>
      </w:r>
      <w:r>
        <w:rPr>
          <w:color w:val="231F20"/>
        </w:rPr>
        <w:t>per</w:t>
      </w:r>
      <w:r>
        <w:rPr>
          <w:color w:val="231F20"/>
          <w:spacing w:val="-11"/>
        </w:rPr>
        <w:t> </w:t>
      </w:r>
      <w:r>
        <w:rPr>
          <w:color w:val="231F20"/>
          <w:spacing w:val="-3"/>
        </w:rPr>
        <w:t>giudicare</w:t>
      </w:r>
      <w:r>
        <w:rPr>
          <w:color w:val="231F20"/>
          <w:spacing w:val="-11"/>
        </w:rPr>
        <w:t> </w:t>
      </w:r>
      <w:r>
        <w:rPr>
          <w:color w:val="231F20"/>
        </w:rPr>
        <w:t>decisioni</w:t>
      </w:r>
      <w:r>
        <w:rPr>
          <w:color w:val="231F20"/>
          <w:spacing w:val="-11"/>
        </w:rPr>
        <w:t> </w:t>
      </w:r>
      <w:r>
        <w:rPr>
          <w:color w:val="231F20"/>
        </w:rPr>
        <w:t>sulla</w:t>
      </w:r>
      <w:r>
        <w:rPr>
          <w:color w:val="231F20"/>
          <w:spacing w:val="-11"/>
        </w:rPr>
        <w:t> </w:t>
      </w:r>
      <w:r>
        <w:rPr>
          <w:color w:val="231F20"/>
          <w:spacing w:val="-3"/>
        </w:rPr>
        <w:t>Sicurezza</w:t>
      </w:r>
      <w:r>
        <w:rPr>
          <w:color w:val="231F20"/>
          <w:spacing w:val="-11"/>
        </w:rPr>
        <w:t> </w:t>
      </w:r>
      <w:r>
        <w:rPr>
          <w:color w:val="231F20"/>
        </w:rPr>
        <w:t>Nazionale e la Politica Estera degli Stati Uniti. Con questo argomento, gli americani crearono la legge </w:t>
      </w:r>
      <w:r>
        <w:rPr>
          <w:rFonts w:ascii="Arial" w:hAnsi="Arial"/>
          <w:i/>
          <w:color w:val="231F20"/>
        </w:rPr>
        <w:t>H. R. 4775 American Servicemember’s Protection Act</w:t>
      </w:r>
      <w:r>
        <w:rPr>
          <w:color w:val="231F20"/>
        </w:rPr>
        <w:t>,  la quale è stata promulgata per evitare che i cittadini statunitensi, civili e militari fossero raggiunti dalla giustizia internazionale, e posteriormente, dalla Corte Penale Internazionale creata dallo Statuto di Roma che entrò</w:t>
      </w:r>
      <w:r>
        <w:rPr>
          <w:color w:val="231F20"/>
          <w:spacing w:val="-31"/>
        </w:rPr>
        <w:t> </w:t>
      </w:r>
      <w:r>
        <w:rPr>
          <w:color w:val="231F20"/>
        </w:rPr>
        <w:t>in vigore</w:t>
      </w:r>
      <w:r>
        <w:rPr>
          <w:color w:val="231F20"/>
          <w:spacing w:val="-13"/>
        </w:rPr>
        <w:t> </w:t>
      </w:r>
      <w:r>
        <w:rPr>
          <w:color w:val="231F20"/>
        </w:rPr>
        <w:t>il</w:t>
      </w:r>
      <w:r>
        <w:rPr>
          <w:color w:val="231F20"/>
          <w:spacing w:val="-13"/>
        </w:rPr>
        <w:t> </w:t>
      </w:r>
      <w:r>
        <w:rPr>
          <w:color w:val="231F20"/>
        </w:rPr>
        <w:t>1°</w:t>
      </w:r>
      <w:r>
        <w:rPr>
          <w:color w:val="231F20"/>
          <w:spacing w:val="-13"/>
        </w:rPr>
        <w:t> </w:t>
      </w:r>
      <w:r>
        <w:rPr>
          <w:color w:val="231F20"/>
        </w:rPr>
        <w:t>gennaio</w:t>
      </w:r>
      <w:r>
        <w:rPr>
          <w:color w:val="231F20"/>
          <w:spacing w:val="-13"/>
        </w:rPr>
        <w:t> </w:t>
      </w:r>
      <w:r>
        <w:rPr>
          <w:color w:val="231F20"/>
        </w:rPr>
        <w:t>2002.</w:t>
      </w:r>
    </w:p>
    <w:p>
      <w:pPr>
        <w:pStyle w:val="BodyText"/>
        <w:spacing w:before="10"/>
        <w:rPr>
          <w:sz w:val="22"/>
        </w:rPr>
      </w:pPr>
    </w:p>
    <w:p>
      <w:pPr>
        <w:spacing w:line="220" w:lineRule="exact" w:before="1"/>
        <w:ind w:left="1521" w:right="108" w:firstLine="0"/>
        <w:jc w:val="both"/>
        <w:rPr>
          <w:sz w:val="19"/>
        </w:rPr>
      </w:pPr>
      <w:r>
        <w:rPr>
          <w:color w:val="231F20"/>
          <w:spacing w:val="3"/>
          <w:sz w:val="19"/>
        </w:rPr>
        <w:t>Con </w:t>
      </w:r>
      <w:r>
        <w:rPr>
          <w:color w:val="231F20"/>
          <w:spacing w:val="4"/>
          <w:sz w:val="19"/>
        </w:rPr>
        <w:t>questa dichiarazione, </w:t>
      </w:r>
      <w:r>
        <w:rPr>
          <w:color w:val="231F20"/>
          <w:spacing w:val="2"/>
          <w:sz w:val="19"/>
        </w:rPr>
        <w:t>il </w:t>
      </w:r>
      <w:r>
        <w:rPr>
          <w:color w:val="231F20"/>
          <w:spacing w:val="4"/>
          <w:sz w:val="19"/>
        </w:rPr>
        <w:t>governo statunitense </w:t>
      </w:r>
      <w:r>
        <w:rPr>
          <w:color w:val="231F20"/>
          <w:spacing w:val="5"/>
          <w:sz w:val="19"/>
        </w:rPr>
        <w:t>stabilisce    </w:t>
      </w:r>
      <w:r>
        <w:rPr>
          <w:color w:val="231F20"/>
          <w:sz w:val="19"/>
        </w:rPr>
        <w:t>la sua priorità davanti alla comunità internazionale rispetto alla Corte Penale Internazionale; per la precisione, aggiunge che se i giudici nazionali si rifiutano di revisionare decisioni sulla Sicurezza Nazionale, non lo deve fare neanche un Tribunale</w:t>
      </w:r>
      <w:r>
        <w:rPr>
          <w:color w:val="231F20"/>
          <w:spacing w:val="-38"/>
          <w:sz w:val="19"/>
        </w:rPr>
        <w:t> </w:t>
      </w:r>
      <w:r>
        <w:rPr>
          <w:color w:val="231F20"/>
          <w:sz w:val="19"/>
        </w:rPr>
        <w:t>sopranazionale. Segnala, finalmente, che i suoi connazionali diffidano della Corte e</w:t>
      </w:r>
      <w:r>
        <w:rPr>
          <w:color w:val="231F20"/>
          <w:spacing w:val="-8"/>
          <w:sz w:val="19"/>
        </w:rPr>
        <w:t> </w:t>
      </w:r>
      <w:r>
        <w:rPr>
          <w:color w:val="231F20"/>
          <w:sz w:val="19"/>
        </w:rPr>
        <w:t>rifiutano</w:t>
      </w:r>
      <w:r>
        <w:rPr>
          <w:color w:val="231F20"/>
          <w:spacing w:val="-8"/>
          <w:sz w:val="19"/>
        </w:rPr>
        <w:t> </w:t>
      </w:r>
      <w:r>
        <w:rPr>
          <w:color w:val="231F20"/>
          <w:sz w:val="19"/>
        </w:rPr>
        <w:t>le</w:t>
      </w:r>
      <w:r>
        <w:rPr>
          <w:color w:val="231F20"/>
          <w:spacing w:val="-8"/>
          <w:sz w:val="19"/>
        </w:rPr>
        <w:t> </w:t>
      </w:r>
      <w:r>
        <w:rPr>
          <w:color w:val="231F20"/>
          <w:sz w:val="19"/>
        </w:rPr>
        <w:t>pretese</w:t>
      </w:r>
      <w:r>
        <w:rPr>
          <w:color w:val="231F20"/>
          <w:spacing w:val="-8"/>
          <w:sz w:val="19"/>
        </w:rPr>
        <w:t> </w:t>
      </w:r>
      <w:r>
        <w:rPr>
          <w:color w:val="231F20"/>
          <w:sz w:val="19"/>
        </w:rPr>
        <w:t>delle</w:t>
      </w:r>
      <w:r>
        <w:rPr>
          <w:color w:val="231F20"/>
          <w:spacing w:val="-8"/>
          <w:sz w:val="19"/>
        </w:rPr>
        <w:t> </w:t>
      </w:r>
      <w:r>
        <w:rPr>
          <w:color w:val="231F20"/>
          <w:sz w:val="19"/>
        </w:rPr>
        <w:t>Nazioni</w:t>
      </w:r>
      <w:r>
        <w:rPr>
          <w:color w:val="231F20"/>
          <w:spacing w:val="-8"/>
          <w:sz w:val="19"/>
        </w:rPr>
        <w:t> </w:t>
      </w:r>
      <w:r>
        <w:rPr>
          <w:color w:val="231F20"/>
          <w:sz w:val="19"/>
        </w:rPr>
        <w:t>Unite</w:t>
      </w:r>
      <w:r>
        <w:rPr>
          <w:color w:val="231F20"/>
          <w:spacing w:val="-8"/>
          <w:sz w:val="19"/>
        </w:rPr>
        <w:t> </w:t>
      </w:r>
      <w:r>
        <w:rPr>
          <w:color w:val="231F20"/>
          <w:sz w:val="19"/>
        </w:rPr>
        <w:t>di</w:t>
      </w:r>
      <w:r>
        <w:rPr>
          <w:color w:val="231F20"/>
          <w:spacing w:val="-8"/>
          <w:sz w:val="19"/>
        </w:rPr>
        <w:t> </w:t>
      </w:r>
      <w:r>
        <w:rPr>
          <w:color w:val="231F20"/>
          <w:sz w:val="19"/>
        </w:rPr>
        <w:t>essere</w:t>
      </w:r>
      <w:r>
        <w:rPr>
          <w:color w:val="231F20"/>
          <w:spacing w:val="-8"/>
          <w:sz w:val="19"/>
        </w:rPr>
        <w:t> </w:t>
      </w:r>
      <w:r>
        <w:rPr>
          <w:color w:val="231F20"/>
          <w:sz w:val="19"/>
        </w:rPr>
        <w:t>la</w:t>
      </w:r>
      <w:r>
        <w:rPr>
          <w:color w:val="231F20"/>
          <w:spacing w:val="-8"/>
          <w:sz w:val="19"/>
        </w:rPr>
        <w:t> </w:t>
      </w:r>
      <w:r>
        <w:rPr>
          <w:color w:val="231F20"/>
          <w:sz w:val="19"/>
        </w:rPr>
        <w:t>fonte</w:t>
      </w:r>
      <w:r>
        <w:rPr>
          <w:color w:val="231F20"/>
          <w:spacing w:val="-8"/>
          <w:sz w:val="19"/>
        </w:rPr>
        <w:t> </w:t>
      </w:r>
      <w:r>
        <w:rPr>
          <w:color w:val="231F20"/>
          <w:sz w:val="19"/>
        </w:rPr>
        <w:t>legitima per l’uso della</w:t>
      </w:r>
      <w:r>
        <w:rPr>
          <w:color w:val="231F20"/>
          <w:spacing w:val="2"/>
          <w:sz w:val="19"/>
        </w:rPr>
        <w:t> </w:t>
      </w:r>
      <w:r>
        <w:rPr>
          <w:color w:val="231F20"/>
          <w:sz w:val="19"/>
        </w:rPr>
        <w:t>forza</w:t>
      </w:r>
      <w:r>
        <w:rPr>
          <w:color w:val="231F20"/>
          <w:position w:val="6"/>
          <w:sz w:val="11"/>
        </w:rPr>
        <w:t>6</w:t>
      </w:r>
      <w:r>
        <w:rPr>
          <w:color w:val="231F20"/>
          <w:sz w:val="19"/>
        </w:rPr>
        <w:t>.</w:t>
      </w:r>
    </w:p>
    <w:p>
      <w:pPr>
        <w:pStyle w:val="BodyText"/>
        <w:spacing w:before="11"/>
        <w:rPr>
          <w:sz w:val="23"/>
        </w:rPr>
      </w:pPr>
    </w:p>
    <w:p>
      <w:pPr>
        <w:pStyle w:val="BodyText"/>
        <w:spacing w:line="247" w:lineRule="auto"/>
        <w:ind w:left="103" w:right="110"/>
        <w:jc w:val="both"/>
      </w:pPr>
      <w:r>
        <w:rPr>
          <w:color w:val="231F20"/>
          <w:w w:val="105"/>
        </w:rPr>
        <w:t>Con</w:t>
      </w:r>
      <w:r>
        <w:rPr>
          <w:color w:val="231F20"/>
          <w:spacing w:val="-14"/>
          <w:w w:val="105"/>
        </w:rPr>
        <w:t> </w:t>
      </w:r>
      <w:r>
        <w:rPr>
          <w:color w:val="231F20"/>
          <w:w w:val="105"/>
        </w:rPr>
        <w:t>la</w:t>
      </w:r>
      <w:r>
        <w:rPr>
          <w:color w:val="231F20"/>
          <w:spacing w:val="-14"/>
          <w:w w:val="105"/>
        </w:rPr>
        <w:t> </w:t>
      </w:r>
      <w:r>
        <w:rPr>
          <w:color w:val="231F20"/>
          <w:w w:val="105"/>
        </w:rPr>
        <w:t>negazione</w:t>
      </w:r>
      <w:r>
        <w:rPr>
          <w:color w:val="231F20"/>
          <w:spacing w:val="-14"/>
          <w:w w:val="105"/>
        </w:rPr>
        <w:t> </w:t>
      </w:r>
      <w:r>
        <w:rPr>
          <w:color w:val="231F20"/>
          <w:w w:val="105"/>
        </w:rPr>
        <w:t>dell’autorità</w:t>
      </w:r>
      <w:r>
        <w:rPr>
          <w:color w:val="231F20"/>
          <w:spacing w:val="-14"/>
          <w:w w:val="105"/>
        </w:rPr>
        <w:t> </w:t>
      </w:r>
      <w:r>
        <w:rPr>
          <w:color w:val="231F20"/>
          <w:w w:val="105"/>
        </w:rPr>
        <w:t>punitiva</w:t>
      </w:r>
      <w:r>
        <w:rPr>
          <w:color w:val="231F20"/>
          <w:spacing w:val="-14"/>
          <w:w w:val="105"/>
        </w:rPr>
        <w:t> </w:t>
      </w:r>
      <w:r>
        <w:rPr>
          <w:color w:val="231F20"/>
          <w:w w:val="105"/>
        </w:rPr>
        <w:t>internazionale,</w:t>
      </w:r>
      <w:r>
        <w:rPr>
          <w:color w:val="231F20"/>
          <w:spacing w:val="-14"/>
          <w:w w:val="105"/>
        </w:rPr>
        <w:t> </w:t>
      </w:r>
      <w:r>
        <w:rPr>
          <w:color w:val="231F20"/>
          <w:w w:val="105"/>
        </w:rPr>
        <w:t>della</w:t>
      </w:r>
      <w:r>
        <w:rPr>
          <w:color w:val="231F20"/>
          <w:spacing w:val="-14"/>
          <w:w w:val="105"/>
        </w:rPr>
        <w:t> </w:t>
      </w:r>
      <w:r>
        <w:rPr>
          <w:color w:val="231F20"/>
          <w:w w:val="105"/>
        </w:rPr>
        <w:t>Corte</w:t>
      </w:r>
      <w:r>
        <w:rPr>
          <w:color w:val="231F20"/>
          <w:spacing w:val="-14"/>
          <w:w w:val="105"/>
        </w:rPr>
        <w:t> </w:t>
      </w:r>
      <w:r>
        <w:rPr>
          <w:color w:val="231F20"/>
          <w:w w:val="105"/>
        </w:rPr>
        <w:t>Penale Internazionale e della leadership delle Nazioni Unite, gli </w:t>
      </w:r>
      <w:r>
        <w:rPr>
          <w:color w:val="231F20"/>
          <w:w w:val="105"/>
          <w:sz w:val="18"/>
        </w:rPr>
        <w:t>USA </w:t>
      </w:r>
      <w:r>
        <w:rPr>
          <w:color w:val="231F20"/>
          <w:w w:val="105"/>
        </w:rPr>
        <w:t>ignorarono </w:t>
      </w:r>
      <w:r>
        <w:rPr>
          <w:color w:val="231F20"/>
          <w:spacing w:val="2"/>
          <w:w w:val="105"/>
        </w:rPr>
        <w:t>l’organo legittimatore </w:t>
      </w:r>
      <w:r>
        <w:rPr>
          <w:color w:val="231F20"/>
          <w:w w:val="105"/>
        </w:rPr>
        <w:t>per </w:t>
      </w:r>
      <w:r>
        <w:rPr>
          <w:color w:val="231F20"/>
          <w:spacing w:val="2"/>
          <w:w w:val="105"/>
        </w:rPr>
        <w:t>sanzionare tutta invasione bellica </w:t>
      </w:r>
      <w:r>
        <w:rPr>
          <w:color w:val="231F20"/>
          <w:w w:val="105"/>
        </w:rPr>
        <w:t>a </w:t>
      </w:r>
      <w:r>
        <w:rPr>
          <w:color w:val="231F20"/>
          <w:spacing w:val="2"/>
          <w:w w:val="105"/>
        </w:rPr>
        <w:t>un’altra </w:t>
      </w:r>
      <w:r>
        <w:rPr>
          <w:color w:val="231F20"/>
          <w:w w:val="105"/>
        </w:rPr>
        <w:t>nazione.</w:t>
      </w:r>
      <w:r>
        <w:rPr>
          <w:color w:val="231F20"/>
          <w:spacing w:val="-43"/>
          <w:w w:val="105"/>
        </w:rPr>
        <w:t> </w:t>
      </w:r>
      <w:r>
        <w:rPr>
          <w:color w:val="231F20"/>
          <w:spacing w:val="-4"/>
          <w:w w:val="105"/>
        </w:rPr>
        <w:t>L’invasione</w:t>
      </w:r>
      <w:r>
        <w:rPr>
          <w:color w:val="231F20"/>
          <w:spacing w:val="-43"/>
          <w:w w:val="105"/>
        </w:rPr>
        <w:t> </w:t>
      </w:r>
      <w:r>
        <w:rPr>
          <w:color w:val="231F20"/>
          <w:w w:val="105"/>
        </w:rPr>
        <w:t>dell’Iraq</w:t>
      </w:r>
      <w:r>
        <w:rPr>
          <w:color w:val="231F20"/>
          <w:spacing w:val="-43"/>
          <w:w w:val="105"/>
        </w:rPr>
        <w:t> </w:t>
      </w:r>
      <w:r>
        <w:rPr>
          <w:color w:val="231F20"/>
          <w:w w:val="105"/>
        </w:rPr>
        <w:t>fu</w:t>
      </w:r>
      <w:r>
        <w:rPr>
          <w:color w:val="231F20"/>
          <w:spacing w:val="-43"/>
          <w:w w:val="105"/>
        </w:rPr>
        <w:t> </w:t>
      </w:r>
      <w:r>
        <w:rPr>
          <w:color w:val="231F20"/>
          <w:w w:val="105"/>
        </w:rPr>
        <w:t>la</w:t>
      </w:r>
      <w:r>
        <w:rPr>
          <w:color w:val="231F20"/>
          <w:spacing w:val="-43"/>
          <w:w w:val="105"/>
        </w:rPr>
        <w:t> </w:t>
      </w:r>
      <w:r>
        <w:rPr>
          <w:color w:val="231F20"/>
          <w:w w:val="105"/>
        </w:rPr>
        <w:t>consumazione</w:t>
      </w:r>
      <w:r>
        <w:rPr>
          <w:color w:val="231F20"/>
          <w:spacing w:val="-43"/>
          <w:w w:val="105"/>
        </w:rPr>
        <w:t> </w:t>
      </w:r>
      <w:r>
        <w:rPr>
          <w:color w:val="231F20"/>
          <w:w w:val="105"/>
        </w:rPr>
        <w:t>di</w:t>
      </w:r>
      <w:r>
        <w:rPr>
          <w:color w:val="231F20"/>
          <w:spacing w:val="-43"/>
          <w:w w:val="105"/>
        </w:rPr>
        <w:t> </w:t>
      </w:r>
      <w:r>
        <w:rPr>
          <w:color w:val="231F20"/>
          <w:w w:val="105"/>
        </w:rPr>
        <w:t>un</w:t>
      </w:r>
      <w:r>
        <w:rPr>
          <w:color w:val="231F20"/>
          <w:spacing w:val="-43"/>
          <w:w w:val="105"/>
        </w:rPr>
        <w:t> </w:t>
      </w:r>
      <w:r>
        <w:rPr>
          <w:color w:val="231F20"/>
          <w:w w:val="105"/>
        </w:rPr>
        <w:t>Colpo</w:t>
      </w:r>
      <w:r>
        <w:rPr>
          <w:color w:val="231F20"/>
          <w:spacing w:val="-43"/>
          <w:w w:val="105"/>
        </w:rPr>
        <w:t> </w:t>
      </w:r>
      <w:r>
        <w:rPr>
          <w:color w:val="231F20"/>
          <w:w w:val="105"/>
        </w:rPr>
        <w:t>di</w:t>
      </w:r>
      <w:r>
        <w:rPr>
          <w:color w:val="231F20"/>
          <w:spacing w:val="-43"/>
          <w:w w:val="105"/>
        </w:rPr>
        <w:t> </w:t>
      </w:r>
      <w:r>
        <w:rPr>
          <w:color w:val="231F20"/>
          <w:w w:val="105"/>
        </w:rPr>
        <w:t>Stato</w:t>
      </w:r>
      <w:r>
        <w:rPr>
          <w:color w:val="231F20"/>
          <w:spacing w:val="-43"/>
          <w:w w:val="105"/>
        </w:rPr>
        <w:t> </w:t>
      </w:r>
      <w:r>
        <w:rPr>
          <w:color w:val="231F20"/>
          <w:w w:val="105"/>
        </w:rPr>
        <w:t>a</w:t>
      </w:r>
      <w:r>
        <w:rPr>
          <w:color w:val="231F20"/>
          <w:spacing w:val="-43"/>
          <w:w w:val="105"/>
        </w:rPr>
        <w:t> </w:t>
      </w:r>
      <w:r>
        <w:rPr>
          <w:color w:val="231F20"/>
          <w:w w:val="105"/>
        </w:rPr>
        <w:t>scala planetaria.</w:t>
      </w:r>
      <w:r>
        <w:rPr>
          <w:color w:val="231F20"/>
          <w:spacing w:val="-42"/>
          <w:w w:val="105"/>
        </w:rPr>
        <w:t> </w:t>
      </w:r>
      <w:r>
        <w:rPr>
          <w:color w:val="231F20"/>
          <w:w w:val="105"/>
        </w:rPr>
        <w:t>Nonostante,</w:t>
      </w:r>
      <w:r>
        <w:rPr>
          <w:color w:val="231F20"/>
          <w:spacing w:val="-42"/>
          <w:w w:val="105"/>
        </w:rPr>
        <w:t> </w:t>
      </w:r>
      <w:r>
        <w:rPr>
          <w:color w:val="231F20"/>
          <w:w w:val="105"/>
        </w:rPr>
        <w:t>già</w:t>
      </w:r>
      <w:r>
        <w:rPr>
          <w:color w:val="231F20"/>
          <w:spacing w:val="-42"/>
          <w:w w:val="105"/>
        </w:rPr>
        <w:t> </w:t>
      </w:r>
      <w:r>
        <w:rPr>
          <w:color w:val="231F20"/>
          <w:w w:val="105"/>
        </w:rPr>
        <w:t>dal</w:t>
      </w:r>
      <w:r>
        <w:rPr>
          <w:color w:val="231F20"/>
          <w:spacing w:val="-42"/>
          <w:w w:val="105"/>
        </w:rPr>
        <w:t> </w:t>
      </w:r>
      <w:r>
        <w:rPr>
          <w:color w:val="231F20"/>
          <w:w w:val="105"/>
        </w:rPr>
        <w:t>1998</w:t>
      </w:r>
      <w:r>
        <w:rPr>
          <w:color w:val="231F20"/>
          <w:spacing w:val="-42"/>
          <w:w w:val="105"/>
        </w:rPr>
        <w:t> </w:t>
      </w:r>
      <w:r>
        <w:rPr>
          <w:color w:val="231F20"/>
          <w:w w:val="105"/>
        </w:rPr>
        <w:t>gli</w:t>
      </w:r>
      <w:r>
        <w:rPr>
          <w:color w:val="231F20"/>
          <w:spacing w:val="-42"/>
          <w:w w:val="105"/>
        </w:rPr>
        <w:t> </w:t>
      </w:r>
      <w:r>
        <w:rPr>
          <w:color w:val="231F20"/>
          <w:w w:val="105"/>
        </w:rPr>
        <w:t>Stati</w:t>
      </w:r>
      <w:r>
        <w:rPr>
          <w:color w:val="231F20"/>
          <w:spacing w:val="-42"/>
          <w:w w:val="105"/>
        </w:rPr>
        <w:t> </w:t>
      </w:r>
      <w:r>
        <w:rPr>
          <w:color w:val="231F20"/>
          <w:w w:val="105"/>
        </w:rPr>
        <w:t>Uniti</w:t>
      </w:r>
      <w:r>
        <w:rPr>
          <w:color w:val="231F20"/>
          <w:spacing w:val="-42"/>
          <w:w w:val="105"/>
        </w:rPr>
        <w:t> </w:t>
      </w:r>
      <w:r>
        <w:rPr>
          <w:color w:val="231F20"/>
          <w:w w:val="105"/>
        </w:rPr>
        <w:t>avevano</w:t>
      </w:r>
      <w:r>
        <w:rPr>
          <w:color w:val="231F20"/>
          <w:spacing w:val="-42"/>
          <w:w w:val="105"/>
        </w:rPr>
        <w:t> </w:t>
      </w:r>
      <w:r>
        <w:rPr>
          <w:color w:val="231F20"/>
          <w:w w:val="105"/>
        </w:rPr>
        <w:t>attaccato</w:t>
      </w:r>
      <w:r>
        <w:rPr>
          <w:color w:val="231F20"/>
          <w:spacing w:val="-42"/>
          <w:w w:val="105"/>
        </w:rPr>
        <w:t> </w:t>
      </w:r>
      <w:r>
        <w:rPr>
          <w:color w:val="231F20"/>
          <w:w w:val="105"/>
        </w:rPr>
        <w:t>le</w:t>
      </w:r>
      <w:r>
        <w:rPr>
          <w:color w:val="231F20"/>
          <w:spacing w:val="-42"/>
          <w:w w:val="105"/>
        </w:rPr>
        <w:t> </w:t>
      </w:r>
      <w:r>
        <w:rPr>
          <w:color w:val="231F20"/>
          <w:w w:val="105"/>
        </w:rPr>
        <w:t>basi di</w:t>
      </w:r>
      <w:r>
        <w:rPr>
          <w:color w:val="231F20"/>
          <w:spacing w:val="-18"/>
          <w:w w:val="105"/>
        </w:rPr>
        <w:t> </w:t>
      </w:r>
      <w:r>
        <w:rPr>
          <w:color w:val="231F20"/>
          <w:w w:val="105"/>
        </w:rPr>
        <w:t>Osama</w:t>
      </w:r>
      <w:r>
        <w:rPr>
          <w:color w:val="231F20"/>
          <w:spacing w:val="-18"/>
          <w:w w:val="105"/>
        </w:rPr>
        <w:t> </w:t>
      </w:r>
      <w:r>
        <w:rPr>
          <w:color w:val="231F20"/>
          <w:w w:val="105"/>
        </w:rPr>
        <w:t>Bin</w:t>
      </w:r>
      <w:r>
        <w:rPr>
          <w:color w:val="231F20"/>
          <w:spacing w:val="-18"/>
          <w:w w:val="105"/>
        </w:rPr>
        <w:t> </w:t>
      </w:r>
      <w:r>
        <w:rPr>
          <w:color w:val="231F20"/>
          <w:w w:val="105"/>
        </w:rPr>
        <w:t>Laden</w:t>
      </w:r>
      <w:r>
        <w:rPr>
          <w:color w:val="231F20"/>
          <w:spacing w:val="-18"/>
          <w:w w:val="105"/>
        </w:rPr>
        <w:t> </w:t>
      </w:r>
      <w:r>
        <w:rPr>
          <w:color w:val="231F20"/>
          <w:w w:val="105"/>
        </w:rPr>
        <w:t>in</w:t>
      </w:r>
      <w:r>
        <w:rPr>
          <w:color w:val="231F20"/>
          <w:spacing w:val="-18"/>
          <w:w w:val="105"/>
        </w:rPr>
        <w:t> </w:t>
      </w:r>
      <w:r>
        <w:rPr>
          <w:color w:val="231F20"/>
          <w:w w:val="105"/>
        </w:rPr>
        <w:t>Sudan</w:t>
      </w:r>
      <w:r>
        <w:rPr>
          <w:color w:val="231F20"/>
          <w:spacing w:val="-18"/>
          <w:w w:val="105"/>
        </w:rPr>
        <w:t> </w:t>
      </w:r>
      <w:r>
        <w:rPr>
          <w:color w:val="231F20"/>
          <w:w w:val="105"/>
        </w:rPr>
        <w:t>ed</w:t>
      </w:r>
      <w:r>
        <w:rPr>
          <w:color w:val="231F20"/>
          <w:spacing w:val="-18"/>
          <w:w w:val="105"/>
        </w:rPr>
        <w:t> </w:t>
      </w:r>
      <w:r>
        <w:rPr>
          <w:color w:val="231F20"/>
          <w:w w:val="105"/>
        </w:rPr>
        <w:t>Afghanistan.</w:t>
      </w:r>
      <w:r>
        <w:rPr>
          <w:color w:val="231F20"/>
          <w:spacing w:val="-18"/>
          <w:w w:val="105"/>
        </w:rPr>
        <w:t> </w:t>
      </w:r>
      <w:r>
        <w:rPr>
          <w:color w:val="231F20"/>
          <w:w w:val="105"/>
        </w:rPr>
        <w:t>Questo</w:t>
      </w:r>
      <w:r>
        <w:rPr>
          <w:color w:val="231F20"/>
          <w:spacing w:val="-18"/>
          <w:w w:val="105"/>
        </w:rPr>
        <w:t> </w:t>
      </w:r>
      <w:r>
        <w:rPr>
          <w:color w:val="231F20"/>
          <w:w w:val="105"/>
        </w:rPr>
        <w:t>fatto</w:t>
      </w:r>
      <w:r>
        <w:rPr>
          <w:color w:val="231F20"/>
          <w:spacing w:val="-18"/>
          <w:w w:val="105"/>
        </w:rPr>
        <w:t> </w:t>
      </w:r>
      <w:r>
        <w:rPr>
          <w:color w:val="231F20"/>
          <w:w w:val="105"/>
        </w:rPr>
        <w:t>condusse,</w:t>
      </w:r>
      <w:r>
        <w:rPr>
          <w:color w:val="231F20"/>
          <w:spacing w:val="-18"/>
          <w:w w:val="105"/>
        </w:rPr>
        <w:t> </w:t>
      </w:r>
      <w:r>
        <w:rPr>
          <w:color w:val="231F20"/>
          <w:w w:val="105"/>
        </w:rPr>
        <w:t>il</w:t>
      </w:r>
      <w:r>
        <w:rPr>
          <w:color w:val="231F20"/>
          <w:spacing w:val="-18"/>
          <w:w w:val="105"/>
        </w:rPr>
        <w:t> </w:t>
      </w:r>
      <w:r>
        <w:rPr>
          <w:color w:val="231F20"/>
          <w:w w:val="105"/>
        </w:rPr>
        <w:t>7 agosto</w:t>
      </w:r>
      <w:r>
        <w:rPr>
          <w:color w:val="231F20"/>
          <w:spacing w:val="-40"/>
          <w:w w:val="105"/>
        </w:rPr>
        <w:t> </w:t>
      </w:r>
      <w:r>
        <w:rPr>
          <w:color w:val="231F20"/>
          <w:w w:val="105"/>
        </w:rPr>
        <w:t>1999,</w:t>
      </w:r>
      <w:r>
        <w:rPr>
          <w:color w:val="231F20"/>
          <w:spacing w:val="-40"/>
          <w:w w:val="105"/>
        </w:rPr>
        <w:t> </w:t>
      </w:r>
      <w:r>
        <w:rPr>
          <w:color w:val="231F20"/>
          <w:w w:val="105"/>
        </w:rPr>
        <w:t>all’esplosione</w:t>
      </w:r>
      <w:r>
        <w:rPr>
          <w:color w:val="231F20"/>
          <w:spacing w:val="-40"/>
          <w:w w:val="105"/>
        </w:rPr>
        <w:t> </w:t>
      </w:r>
      <w:r>
        <w:rPr>
          <w:color w:val="231F20"/>
          <w:w w:val="105"/>
        </w:rPr>
        <w:t>di</w:t>
      </w:r>
      <w:r>
        <w:rPr>
          <w:color w:val="231F20"/>
          <w:spacing w:val="-40"/>
          <w:w w:val="105"/>
        </w:rPr>
        <w:t> </w:t>
      </w:r>
      <w:r>
        <w:rPr>
          <w:color w:val="231F20"/>
          <w:w w:val="105"/>
        </w:rPr>
        <w:t>autobombe</w:t>
      </w:r>
      <w:r>
        <w:rPr>
          <w:color w:val="231F20"/>
          <w:spacing w:val="-40"/>
          <w:w w:val="105"/>
        </w:rPr>
        <w:t> </w:t>
      </w:r>
      <w:r>
        <w:rPr>
          <w:color w:val="231F20"/>
          <w:w w:val="105"/>
        </w:rPr>
        <w:t>di</w:t>
      </w:r>
      <w:r>
        <w:rPr>
          <w:color w:val="231F20"/>
          <w:spacing w:val="-40"/>
          <w:w w:val="105"/>
        </w:rPr>
        <w:t> </w:t>
      </w:r>
      <w:r>
        <w:rPr>
          <w:color w:val="231F20"/>
          <w:w w:val="105"/>
        </w:rPr>
        <w:t>Al</w:t>
      </w:r>
      <w:r>
        <w:rPr>
          <w:color w:val="231F20"/>
          <w:spacing w:val="-40"/>
          <w:w w:val="105"/>
        </w:rPr>
        <w:t> </w:t>
      </w:r>
      <w:r>
        <w:rPr>
          <w:color w:val="231F20"/>
          <w:w w:val="105"/>
        </w:rPr>
        <w:t>Qaeda</w:t>
      </w:r>
      <w:r>
        <w:rPr>
          <w:color w:val="231F20"/>
          <w:spacing w:val="-40"/>
          <w:w w:val="105"/>
        </w:rPr>
        <w:t> </w:t>
      </w:r>
      <w:r>
        <w:rPr>
          <w:color w:val="231F20"/>
          <w:w w:val="105"/>
        </w:rPr>
        <w:t>presso</w:t>
      </w:r>
      <w:r>
        <w:rPr>
          <w:color w:val="231F20"/>
          <w:spacing w:val="-40"/>
          <w:w w:val="105"/>
        </w:rPr>
        <w:t> </w:t>
      </w:r>
      <w:r>
        <w:rPr>
          <w:color w:val="231F20"/>
          <w:w w:val="105"/>
        </w:rPr>
        <w:t>le</w:t>
      </w:r>
      <w:r>
        <w:rPr>
          <w:color w:val="231F20"/>
          <w:spacing w:val="-40"/>
          <w:w w:val="105"/>
        </w:rPr>
        <w:t> </w:t>
      </w:r>
      <w:r>
        <w:rPr>
          <w:color w:val="231F20"/>
          <w:w w:val="105"/>
        </w:rPr>
        <w:t>ambasciate degli</w:t>
      </w:r>
      <w:r>
        <w:rPr>
          <w:color w:val="231F20"/>
          <w:spacing w:val="-35"/>
          <w:w w:val="105"/>
        </w:rPr>
        <w:t> </w:t>
      </w:r>
      <w:r>
        <w:rPr>
          <w:color w:val="231F20"/>
          <w:w w:val="105"/>
          <w:sz w:val="18"/>
        </w:rPr>
        <w:t>USA</w:t>
      </w:r>
      <w:r>
        <w:rPr>
          <w:color w:val="231F20"/>
          <w:spacing w:val="-25"/>
          <w:w w:val="105"/>
          <w:sz w:val="18"/>
        </w:rPr>
        <w:t> </w:t>
      </w:r>
      <w:r>
        <w:rPr>
          <w:color w:val="231F20"/>
          <w:w w:val="105"/>
        </w:rPr>
        <w:t>in</w:t>
      </w:r>
      <w:r>
        <w:rPr>
          <w:color w:val="231F20"/>
          <w:spacing w:val="-35"/>
          <w:w w:val="105"/>
        </w:rPr>
        <w:t> </w:t>
      </w:r>
      <w:r>
        <w:rPr>
          <w:color w:val="231F20"/>
          <w:w w:val="105"/>
        </w:rPr>
        <w:t>Kenya</w:t>
      </w:r>
      <w:r>
        <w:rPr>
          <w:color w:val="231F20"/>
          <w:spacing w:val="-35"/>
          <w:w w:val="105"/>
        </w:rPr>
        <w:t> </w:t>
      </w:r>
      <w:r>
        <w:rPr>
          <w:color w:val="231F20"/>
          <w:w w:val="105"/>
        </w:rPr>
        <w:t>e</w:t>
      </w:r>
      <w:r>
        <w:rPr>
          <w:color w:val="231F20"/>
          <w:spacing w:val="-35"/>
          <w:w w:val="105"/>
        </w:rPr>
        <w:t> </w:t>
      </w:r>
      <w:r>
        <w:rPr>
          <w:color w:val="231F20"/>
          <w:spacing w:val="-3"/>
          <w:w w:val="105"/>
        </w:rPr>
        <w:t>Tanzania,</w:t>
      </w:r>
      <w:r>
        <w:rPr>
          <w:color w:val="231F20"/>
          <w:spacing w:val="-35"/>
          <w:w w:val="105"/>
        </w:rPr>
        <w:t> </w:t>
      </w:r>
      <w:r>
        <w:rPr>
          <w:color w:val="231F20"/>
          <w:w w:val="105"/>
        </w:rPr>
        <w:t>che</w:t>
      </w:r>
      <w:r>
        <w:rPr>
          <w:color w:val="231F20"/>
          <w:spacing w:val="-35"/>
          <w:w w:val="105"/>
        </w:rPr>
        <w:t> </w:t>
      </w:r>
      <w:r>
        <w:rPr>
          <w:color w:val="231F20"/>
          <w:w w:val="105"/>
        </w:rPr>
        <w:t>lasciarono</w:t>
      </w:r>
      <w:r>
        <w:rPr>
          <w:color w:val="231F20"/>
          <w:spacing w:val="-35"/>
          <w:w w:val="105"/>
        </w:rPr>
        <w:t> </w:t>
      </w:r>
      <w:r>
        <w:rPr>
          <w:color w:val="231F20"/>
          <w:w w:val="105"/>
        </w:rPr>
        <w:t>234</w:t>
      </w:r>
      <w:r>
        <w:rPr>
          <w:color w:val="231F20"/>
          <w:spacing w:val="-35"/>
          <w:w w:val="105"/>
        </w:rPr>
        <w:t> </w:t>
      </w:r>
      <w:r>
        <w:rPr>
          <w:color w:val="231F20"/>
          <w:w w:val="105"/>
        </w:rPr>
        <w:t>morti.</w:t>
      </w:r>
    </w:p>
    <w:p>
      <w:pPr>
        <w:pStyle w:val="BodyText"/>
        <w:spacing w:line="244" w:lineRule="auto"/>
        <w:ind w:left="103" w:right="113" w:firstLine="566"/>
        <w:jc w:val="right"/>
      </w:pPr>
      <w:r>
        <w:rPr>
          <w:color w:val="231F20"/>
        </w:rPr>
        <w:t>Gli attacchi contro le </w:t>
      </w:r>
      <w:r>
        <w:rPr>
          <w:color w:val="231F20"/>
          <w:spacing w:val="-5"/>
        </w:rPr>
        <w:t>Torri </w:t>
      </w:r>
      <w:r>
        <w:rPr>
          <w:color w:val="231F20"/>
        </w:rPr>
        <w:t>gemelle e il Pentagono  </w:t>
      </w:r>
      <w:r>
        <w:rPr>
          <w:color w:val="231F20"/>
          <w:spacing w:val="37"/>
        </w:rPr>
        <w:t> </w:t>
      </w:r>
      <w:r>
        <w:rPr>
          <w:color w:val="231F20"/>
        </w:rPr>
        <w:t>provocarono</w:t>
      </w:r>
      <w:r>
        <w:rPr>
          <w:color w:val="231F20"/>
          <w:spacing w:val="18"/>
        </w:rPr>
        <w:t> </w:t>
      </w:r>
      <w:r>
        <w:rPr>
          <w:color w:val="231F20"/>
        </w:rPr>
        <w:t>che</w:t>
      </w:r>
      <w:r>
        <w:rPr>
          <w:color w:val="231F20"/>
          <w:w w:val="103"/>
        </w:rPr>
        <w:t> </w:t>
      </w:r>
      <w:r>
        <w:rPr>
          <w:color w:val="231F20"/>
        </w:rPr>
        <w:t>i poteri finanziari, politici e militari del mondo dichiarassero uno</w:t>
      </w:r>
      <w:r>
        <w:rPr>
          <w:color w:val="231F20"/>
          <w:spacing w:val="32"/>
        </w:rPr>
        <w:t> </w:t>
      </w:r>
      <w:r>
        <w:rPr>
          <w:rFonts w:ascii="Arial" w:hAnsi="Arial"/>
          <w:i/>
          <w:color w:val="231F20"/>
        </w:rPr>
        <w:t>stato</w:t>
      </w:r>
      <w:r>
        <w:rPr>
          <w:rFonts w:ascii="Arial" w:hAnsi="Arial"/>
          <w:i/>
          <w:color w:val="231F20"/>
          <w:spacing w:val="30"/>
        </w:rPr>
        <w:t> </w:t>
      </w:r>
      <w:r>
        <w:rPr>
          <w:rFonts w:ascii="Arial" w:hAnsi="Arial"/>
          <w:i/>
          <w:color w:val="231F20"/>
        </w:rPr>
        <w:t>di</w:t>
      </w:r>
      <w:r>
        <w:rPr>
          <w:rFonts w:ascii="Arial" w:hAnsi="Arial"/>
          <w:i/>
          <w:color w:val="231F20"/>
          <w:w w:val="108"/>
        </w:rPr>
        <w:t> </w:t>
      </w:r>
      <w:r>
        <w:rPr>
          <w:rFonts w:ascii="Arial" w:hAnsi="Arial"/>
          <w:i/>
          <w:color w:val="231F20"/>
        </w:rPr>
        <w:t>eccezione</w:t>
      </w:r>
      <w:r>
        <w:rPr>
          <w:rFonts w:ascii="Arial" w:hAnsi="Arial"/>
          <w:i/>
          <w:color w:val="231F20"/>
          <w:spacing w:val="-6"/>
        </w:rPr>
        <w:t> </w:t>
      </w:r>
      <w:r>
        <w:rPr>
          <w:rFonts w:ascii="Arial" w:hAnsi="Arial"/>
          <w:i/>
          <w:color w:val="231F20"/>
        </w:rPr>
        <w:t>universale.</w:t>
      </w:r>
      <w:r>
        <w:rPr>
          <w:rFonts w:ascii="Arial" w:hAnsi="Arial"/>
          <w:i/>
          <w:color w:val="231F20"/>
          <w:spacing w:val="-6"/>
        </w:rPr>
        <w:t> </w:t>
      </w:r>
      <w:r>
        <w:rPr>
          <w:color w:val="231F20"/>
        </w:rPr>
        <w:t>Senza</w:t>
      </w:r>
      <w:r>
        <w:rPr>
          <w:color w:val="231F20"/>
          <w:spacing w:val="-12"/>
        </w:rPr>
        <w:t> </w:t>
      </w:r>
      <w:r>
        <w:rPr>
          <w:color w:val="231F20"/>
        </w:rPr>
        <w:t>dubbio,</w:t>
      </w:r>
      <w:r>
        <w:rPr>
          <w:color w:val="231F20"/>
          <w:spacing w:val="-12"/>
        </w:rPr>
        <w:t> </w:t>
      </w:r>
      <w:r>
        <w:rPr>
          <w:color w:val="231F20"/>
        </w:rPr>
        <w:t>col</w:t>
      </w:r>
      <w:r>
        <w:rPr>
          <w:color w:val="231F20"/>
          <w:spacing w:val="-12"/>
        </w:rPr>
        <w:t> </w:t>
      </w:r>
      <w:r>
        <w:rPr>
          <w:color w:val="231F20"/>
        </w:rPr>
        <w:t>11–S</w:t>
      </w:r>
      <w:r>
        <w:rPr>
          <w:color w:val="231F20"/>
          <w:spacing w:val="-12"/>
        </w:rPr>
        <w:t> </w:t>
      </w:r>
      <w:r>
        <w:rPr>
          <w:color w:val="231F20"/>
        </w:rPr>
        <w:t>si</w:t>
      </w:r>
      <w:r>
        <w:rPr>
          <w:color w:val="231F20"/>
          <w:spacing w:val="-12"/>
        </w:rPr>
        <w:t> </w:t>
      </w:r>
      <w:r>
        <w:rPr>
          <w:color w:val="231F20"/>
        </w:rPr>
        <w:t>accelerano</w:t>
      </w:r>
      <w:r>
        <w:rPr>
          <w:color w:val="231F20"/>
          <w:spacing w:val="-12"/>
        </w:rPr>
        <w:t> </w:t>
      </w:r>
      <w:r>
        <w:rPr>
          <w:color w:val="231F20"/>
        </w:rPr>
        <w:t>le</w:t>
      </w:r>
      <w:r>
        <w:rPr>
          <w:color w:val="231F20"/>
          <w:spacing w:val="-12"/>
        </w:rPr>
        <w:t> </w:t>
      </w:r>
      <w:r>
        <w:rPr>
          <w:color w:val="231F20"/>
        </w:rPr>
        <w:t>tendenze</w:t>
      </w:r>
      <w:r>
        <w:rPr>
          <w:color w:val="231F20"/>
          <w:spacing w:val="-12"/>
        </w:rPr>
        <w:t> </w:t>
      </w:r>
      <w:r>
        <w:rPr>
          <w:color w:val="231F20"/>
        </w:rPr>
        <w:t>che</w:t>
      </w:r>
      <w:r>
        <w:rPr>
          <w:color w:val="231F20"/>
          <w:w w:val="103"/>
        </w:rPr>
        <w:t> </w:t>
      </w:r>
      <w:r>
        <w:rPr>
          <w:color w:val="231F20"/>
        </w:rPr>
        <w:t>spingono alla restrizione dei diritti e libertà civili e democratiche,</w:t>
      </w:r>
      <w:r>
        <w:rPr>
          <w:color w:val="231F20"/>
          <w:spacing w:val="10"/>
        </w:rPr>
        <w:t> </w:t>
      </w:r>
      <w:r>
        <w:rPr>
          <w:color w:val="231F20"/>
        </w:rPr>
        <w:t>al</w:t>
      </w:r>
      <w:r>
        <w:rPr>
          <w:color w:val="231F20"/>
          <w:spacing w:val="7"/>
        </w:rPr>
        <w:t> </w:t>
      </w:r>
      <w:r>
        <w:rPr>
          <w:color w:val="231F20"/>
        </w:rPr>
        <w:t>tempo</w:t>
      </w:r>
      <w:r>
        <w:rPr>
          <w:color w:val="231F20"/>
          <w:w w:val="105"/>
        </w:rPr>
        <w:t> </w:t>
      </w:r>
      <w:r>
        <w:rPr>
          <w:color w:val="231F20"/>
        </w:rPr>
        <w:t>che si puntella la gestazione di Stati polizieschi e</w:t>
      </w:r>
      <w:r>
        <w:rPr>
          <w:color w:val="231F20"/>
          <w:spacing w:val="57"/>
        </w:rPr>
        <w:t> </w:t>
      </w:r>
      <w:r>
        <w:rPr>
          <w:color w:val="231F20"/>
        </w:rPr>
        <w:t>militarizzati</w:t>
      </w:r>
      <w:r>
        <w:rPr>
          <w:color w:val="231F20"/>
          <w:spacing w:val="6"/>
        </w:rPr>
        <w:t> </w:t>
      </w:r>
      <w:r>
        <w:rPr>
          <w:color w:val="231F20"/>
        </w:rPr>
        <w:t>caratterizzati</w:t>
      </w:r>
      <w:r>
        <w:rPr>
          <w:color w:val="231F20"/>
          <w:w w:val="105"/>
        </w:rPr>
        <w:t> </w:t>
      </w:r>
      <w:r>
        <w:rPr>
          <w:color w:val="231F20"/>
        </w:rPr>
        <w:t>dalla</w:t>
      </w:r>
      <w:r>
        <w:rPr>
          <w:color w:val="231F20"/>
          <w:spacing w:val="-17"/>
        </w:rPr>
        <w:t> </w:t>
      </w:r>
      <w:r>
        <w:rPr>
          <w:color w:val="231F20"/>
        </w:rPr>
        <w:t>restrizione</w:t>
      </w:r>
      <w:r>
        <w:rPr>
          <w:color w:val="231F20"/>
          <w:spacing w:val="-17"/>
        </w:rPr>
        <w:t> </w:t>
      </w:r>
      <w:r>
        <w:rPr>
          <w:color w:val="231F20"/>
        </w:rPr>
        <w:t>delle</w:t>
      </w:r>
      <w:r>
        <w:rPr>
          <w:color w:val="231F20"/>
          <w:spacing w:val="-17"/>
        </w:rPr>
        <w:t> </w:t>
      </w:r>
      <w:r>
        <w:rPr>
          <w:color w:val="231F20"/>
        </w:rPr>
        <w:t>libertà</w:t>
      </w:r>
      <w:r>
        <w:rPr>
          <w:color w:val="231F20"/>
          <w:spacing w:val="-17"/>
        </w:rPr>
        <w:t> </w:t>
      </w:r>
      <w:r>
        <w:rPr>
          <w:color w:val="231F20"/>
        </w:rPr>
        <w:t>e</w:t>
      </w:r>
      <w:r>
        <w:rPr>
          <w:color w:val="231F20"/>
          <w:spacing w:val="-17"/>
        </w:rPr>
        <w:t> </w:t>
      </w:r>
      <w:r>
        <w:rPr>
          <w:color w:val="231F20"/>
        </w:rPr>
        <w:t>la</w:t>
      </w:r>
      <w:r>
        <w:rPr>
          <w:color w:val="231F20"/>
          <w:spacing w:val="-17"/>
        </w:rPr>
        <w:t> </w:t>
      </w:r>
      <w:r>
        <w:rPr>
          <w:color w:val="231F20"/>
        </w:rPr>
        <w:t>cancellazione</w:t>
      </w:r>
      <w:r>
        <w:rPr>
          <w:color w:val="231F20"/>
          <w:spacing w:val="-17"/>
        </w:rPr>
        <w:t> </w:t>
      </w:r>
      <w:r>
        <w:rPr>
          <w:color w:val="231F20"/>
        </w:rPr>
        <w:t>di</w:t>
      </w:r>
      <w:r>
        <w:rPr>
          <w:color w:val="231F20"/>
          <w:spacing w:val="-17"/>
        </w:rPr>
        <w:t> </w:t>
      </w:r>
      <w:r>
        <w:rPr>
          <w:color w:val="231F20"/>
        </w:rPr>
        <w:t>una</w:t>
      </w:r>
      <w:r>
        <w:rPr>
          <w:color w:val="231F20"/>
          <w:spacing w:val="-17"/>
        </w:rPr>
        <w:t> </w:t>
      </w:r>
      <w:r>
        <w:rPr>
          <w:color w:val="231F20"/>
        </w:rPr>
        <w:t>vera</w:t>
      </w:r>
      <w:r>
        <w:rPr>
          <w:color w:val="231F20"/>
          <w:spacing w:val="-17"/>
        </w:rPr>
        <w:t> </w:t>
      </w:r>
      <w:r>
        <w:rPr>
          <w:color w:val="231F20"/>
        </w:rPr>
        <w:t>vita</w:t>
      </w:r>
      <w:r>
        <w:rPr>
          <w:color w:val="231F20"/>
          <w:spacing w:val="-17"/>
        </w:rPr>
        <w:t> </w:t>
      </w:r>
      <w:r>
        <w:rPr>
          <w:color w:val="231F20"/>
        </w:rPr>
        <w:t>democratica.</w:t>
      </w:r>
      <w:r>
        <w:rPr>
          <w:color w:val="231F20"/>
          <w:spacing w:val="-1"/>
          <w:w w:val="98"/>
        </w:rPr>
        <w:t> </w:t>
      </w:r>
      <w:r>
        <w:rPr>
          <w:color w:val="231F20"/>
        </w:rPr>
        <w:t>La</w:t>
      </w:r>
      <w:r>
        <w:rPr>
          <w:color w:val="231F20"/>
          <w:spacing w:val="-16"/>
        </w:rPr>
        <w:t> </w:t>
      </w:r>
      <w:r>
        <w:rPr>
          <w:color w:val="231F20"/>
          <w:spacing w:val="-4"/>
        </w:rPr>
        <w:t>maniera</w:t>
      </w:r>
      <w:r>
        <w:rPr>
          <w:color w:val="231F20"/>
          <w:spacing w:val="-16"/>
        </w:rPr>
        <w:t> </w:t>
      </w:r>
      <w:r>
        <w:rPr>
          <w:color w:val="231F20"/>
        </w:rPr>
        <w:t>di</w:t>
      </w:r>
      <w:r>
        <w:rPr>
          <w:color w:val="231F20"/>
          <w:spacing w:val="-16"/>
        </w:rPr>
        <w:t> </w:t>
      </w:r>
      <w:r>
        <w:rPr>
          <w:color w:val="231F20"/>
          <w:spacing w:val="-5"/>
        </w:rPr>
        <w:t>procedere</w:t>
      </w:r>
      <w:r>
        <w:rPr>
          <w:color w:val="231F20"/>
          <w:spacing w:val="-16"/>
        </w:rPr>
        <w:t> </w:t>
      </w:r>
      <w:r>
        <w:rPr>
          <w:color w:val="231F20"/>
          <w:spacing w:val="-4"/>
        </w:rPr>
        <w:t>degli</w:t>
      </w:r>
      <w:r>
        <w:rPr>
          <w:color w:val="231F20"/>
          <w:spacing w:val="-16"/>
        </w:rPr>
        <w:t> </w:t>
      </w:r>
      <w:r>
        <w:rPr>
          <w:color w:val="231F20"/>
          <w:spacing w:val="-4"/>
        </w:rPr>
        <w:t>Stati</w:t>
      </w:r>
      <w:r>
        <w:rPr>
          <w:color w:val="231F20"/>
          <w:spacing w:val="-16"/>
        </w:rPr>
        <w:t> </w:t>
      </w:r>
      <w:r>
        <w:rPr>
          <w:color w:val="231F20"/>
          <w:spacing w:val="-4"/>
        </w:rPr>
        <w:t>Uniti</w:t>
      </w:r>
      <w:r>
        <w:rPr>
          <w:color w:val="231F20"/>
          <w:spacing w:val="-16"/>
        </w:rPr>
        <w:t> </w:t>
      </w:r>
      <w:r>
        <w:rPr>
          <w:color w:val="231F20"/>
        </w:rPr>
        <w:t>di</w:t>
      </w:r>
      <w:r>
        <w:rPr>
          <w:color w:val="231F20"/>
          <w:spacing w:val="-16"/>
        </w:rPr>
        <w:t> </w:t>
      </w:r>
      <w:r>
        <w:rPr>
          <w:color w:val="231F20"/>
          <w:spacing w:val="-4"/>
        </w:rPr>
        <w:t>fronte</w:t>
      </w:r>
      <w:r>
        <w:rPr>
          <w:color w:val="231F20"/>
          <w:spacing w:val="-16"/>
        </w:rPr>
        <w:t> </w:t>
      </w:r>
      <w:r>
        <w:rPr>
          <w:color w:val="231F20"/>
          <w:spacing w:val="-3"/>
        </w:rPr>
        <w:t>agli</w:t>
      </w:r>
      <w:r>
        <w:rPr>
          <w:color w:val="231F20"/>
          <w:spacing w:val="-16"/>
        </w:rPr>
        <w:t> </w:t>
      </w:r>
      <w:r>
        <w:rPr>
          <w:color w:val="231F20"/>
          <w:spacing w:val="-4"/>
        </w:rPr>
        <w:t>attacchi</w:t>
      </w:r>
      <w:r>
        <w:rPr>
          <w:color w:val="231F20"/>
          <w:spacing w:val="-16"/>
        </w:rPr>
        <w:t> </w:t>
      </w:r>
      <w:r>
        <w:rPr>
          <w:color w:val="231F20"/>
          <w:spacing w:val="-5"/>
        </w:rPr>
        <w:t>terroristici</w:t>
      </w:r>
      <w:r>
        <w:rPr>
          <w:color w:val="231F20"/>
          <w:spacing w:val="-4"/>
          <w:w w:val="104"/>
        </w:rPr>
        <w:t> </w:t>
      </w:r>
      <w:r>
        <w:rPr>
          <w:color w:val="231F20"/>
        </w:rPr>
        <w:t>mostrò</w:t>
      </w:r>
      <w:r>
        <w:rPr>
          <w:color w:val="231F20"/>
          <w:spacing w:val="33"/>
        </w:rPr>
        <w:t> </w:t>
      </w:r>
      <w:r>
        <w:rPr>
          <w:color w:val="231F20"/>
        </w:rPr>
        <w:t>che</w:t>
      </w:r>
      <w:r>
        <w:rPr>
          <w:color w:val="231F20"/>
          <w:spacing w:val="33"/>
        </w:rPr>
        <w:t> </w:t>
      </w:r>
      <w:r>
        <w:rPr>
          <w:color w:val="231F20"/>
        </w:rPr>
        <w:t>quello</w:t>
      </w:r>
      <w:r>
        <w:rPr>
          <w:color w:val="231F20"/>
          <w:spacing w:val="33"/>
        </w:rPr>
        <w:t> </w:t>
      </w:r>
      <w:r>
        <w:rPr>
          <w:color w:val="231F20"/>
        </w:rPr>
        <w:t>veramente</w:t>
      </w:r>
      <w:r>
        <w:rPr>
          <w:color w:val="231F20"/>
          <w:spacing w:val="33"/>
        </w:rPr>
        <w:t> </w:t>
      </w:r>
      <w:r>
        <w:rPr>
          <w:color w:val="231F20"/>
        </w:rPr>
        <w:t>importante</w:t>
      </w:r>
      <w:r>
        <w:rPr>
          <w:color w:val="231F20"/>
          <w:spacing w:val="33"/>
        </w:rPr>
        <w:t> </w:t>
      </w:r>
      <w:r>
        <w:rPr>
          <w:color w:val="231F20"/>
        </w:rPr>
        <w:t>era</w:t>
      </w:r>
      <w:r>
        <w:rPr>
          <w:color w:val="231F20"/>
          <w:spacing w:val="33"/>
        </w:rPr>
        <w:t> </w:t>
      </w:r>
      <w:r>
        <w:rPr>
          <w:color w:val="231F20"/>
        </w:rPr>
        <w:t>segnalare</w:t>
      </w:r>
      <w:r>
        <w:rPr>
          <w:color w:val="231F20"/>
          <w:spacing w:val="33"/>
        </w:rPr>
        <w:t> </w:t>
      </w:r>
      <w:r>
        <w:rPr>
          <w:color w:val="231F20"/>
        </w:rPr>
        <w:t>chi</w:t>
      </w:r>
      <w:r>
        <w:rPr>
          <w:color w:val="231F20"/>
          <w:spacing w:val="36"/>
        </w:rPr>
        <w:t> </w:t>
      </w:r>
      <w:r>
        <w:rPr>
          <w:color w:val="231F20"/>
        </w:rPr>
        <w:t>è</w:t>
      </w:r>
      <w:r>
        <w:rPr>
          <w:color w:val="231F20"/>
          <w:spacing w:val="33"/>
        </w:rPr>
        <w:t> </w:t>
      </w:r>
      <w:r>
        <w:rPr>
          <w:color w:val="231F20"/>
        </w:rPr>
        <w:t>il</w:t>
      </w:r>
      <w:r>
        <w:rPr>
          <w:color w:val="231F20"/>
          <w:spacing w:val="33"/>
        </w:rPr>
        <w:t> </w:t>
      </w:r>
      <w:r>
        <w:rPr>
          <w:color w:val="231F20"/>
        </w:rPr>
        <w:t>nemico.</w:t>
      </w:r>
      <w:r>
        <w:rPr>
          <w:color w:val="231F20"/>
          <w:spacing w:val="2"/>
          <w:w w:val="102"/>
        </w:rPr>
        <w:t> </w:t>
      </w:r>
      <w:r>
        <w:rPr>
          <w:color w:val="231F20"/>
        </w:rPr>
        <w:t>Dietro a questa risposta si fece evidente una concezione schmittiana </w:t>
      </w:r>
      <w:r>
        <w:rPr>
          <w:color w:val="231F20"/>
          <w:spacing w:val="6"/>
        </w:rPr>
        <w:t> </w:t>
      </w:r>
      <w:r>
        <w:rPr>
          <w:color w:val="231F20"/>
        </w:rPr>
        <w:t>della</w:t>
      </w:r>
    </w:p>
    <w:p>
      <w:pPr>
        <w:pStyle w:val="BodyText"/>
        <w:spacing w:before="2"/>
        <w:rPr>
          <w:sz w:val="18"/>
        </w:rPr>
      </w:pPr>
      <w:r>
        <w:rPr/>
        <w:pict>
          <v:line style="position:absolute;mso-position-horizontal-relative:page;mso-position-vertical-relative:paragraph;z-index:9160;mso-wrap-distance-left:0;mso-wrap-distance-right:0" from="65.196899pt,13.087219pt" to="178.582899pt,13.087219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position w:val="6"/>
          <w:sz w:val="10"/>
        </w:rPr>
        <w:t>6 </w:t>
      </w:r>
      <w:r>
        <w:rPr>
          <w:rFonts w:ascii="Calibri" w:hAnsi="Calibri"/>
          <w:color w:val="231F20"/>
          <w:sz w:val="17"/>
        </w:rPr>
        <w:t>A. Trujillo Sánchez, </w:t>
      </w:r>
      <w:r>
        <w:rPr>
          <w:rFonts w:ascii="Calibri" w:hAnsi="Calibri"/>
          <w:i/>
          <w:color w:val="231F20"/>
          <w:sz w:val="17"/>
        </w:rPr>
        <w:t>La Corte Penal Internacional. La cuestión humana versus razón humana</w:t>
      </w:r>
      <w:r>
        <w:rPr>
          <w:rFonts w:ascii="Calibri" w:hAnsi="Calibri"/>
          <w:color w:val="231F20"/>
          <w:sz w:val="17"/>
        </w:rPr>
        <w:t>, México,</w:t>
      </w:r>
    </w:p>
    <w:p>
      <w:pPr>
        <w:spacing w:line="206" w:lineRule="exact" w:before="0"/>
        <w:ind w:left="103" w:right="0" w:firstLine="0"/>
        <w:jc w:val="left"/>
        <w:rPr>
          <w:rFonts w:ascii="Calibri"/>
          <w:sz w:val="17"/>
        </w:rPr>
      </w:pPr>
      <w:r>
        <w:rPr>
          <w:rFonts w:ascii="Calibri"/>
          <w:color w:val="231F20"/>
          <w:sz w:val="14"/>
        </w:rPr>
        <w:t>IBIJUS</w:t>
      </w:r>
      <w:r>
        <w:rPr>
          <w:rFonts w:ascii="Calibri"/>
          <w:color w:val="231F20"/>
          <w:sz w:val="17"/>
        </w:rPr>
        <w:t>, 2014, p. 359.</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6216"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20</w:t>
        <w:tab/>
      </w:r>
      <w:r>
        <w:rPr>
          <w:rFonts w:ascii="Calibri" w:hAnsi="Calibri"/>
          <w:color w:val="6D6E71"/>
          <w:w w:val="105"/>
          <w:sz w:val="16"/>
        </w:rPr>
        <w:t>Jorge</w:t>
      </w:r>
      <w:r>
        <w:rPr>
          <w:rFonts w:ascii="Calibri" w:hAnsi="Calibri"/>
          <w:color w:val="6D6E71"/>
          <w:spacing w:val="-25"/>
          <w:w w:val="105"/>
          <w:sz w:val="16"/>
        </w:rPr>
        <w:t> </w:t>
      </w:r>
      <w:r>
        <w:rPr>
          <w:rFonts w:ascii="Calibri" w:hAnsi="Calibri"/>
          <w:color w:val="6D6E71"/>
          <w:w w:val="105"/>
          <w:sz w:val="16"/>
        </w:rPr>
        <w:t>Olvera</w:t>
      </w:r>
      <w:r>
        <w:rPr>
          <w:rFonts w:ascii="Calibri" w:hAnsi="Calibri"/>
          <w:color w:val="6D6E71"/>
          <w:spacing w:val="-25"/>
          <w:w w:val="105"/>
          <w:sz w:val="16"/>
        </w:rPr>
        <w:t> </w:t>
      </w:r>
      <w:r>
        <w:rPr>
          <w:rFonts w:ascii="Calibri" w:hAnsi="Calibri"/>
          <w:color w:val="6D6E71"/>
          <w:w w:val="105"/>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597"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616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CAMBIAMENTO</w:t>
      </w:r>
      <w:r>
        <w:rPr>
          <w:rFonts w:ascii="Lucida Sans Unicode" w:hAnsi="Lucida Sans Unicode"/>
          <w:color w:val="6D6E71"/>
          <w:spacing w:val="-25"/>
          <w:w w:val="95"/>
          <w:sz w:val="14"/>
        </w:rPr>
        <w:t> </w:t>
      </w:r>
      <w:r>
        <w:rPr>
          <w:rFonts w:ascii="Lucida Sans Unicode" w:hAnsi="Lucida Sans Unicode"/>
          <w:color w:val="6D6E71"/>
          <w:w w:val="95"/>
          <w:sz w:val="14"/>
        </w:rPr>
        <w:t>DI</w:t>
      </w:r>
      <w:r>
        <w:rPr>
          <w:rFonts w:ascii="Lucida Sans Unicode" w:hAnsi="Lucida Sans Unicode"/>
          <w:color w:val="6D6E71"/>
          <w:spacing w:val="-25"/>
          <w:w w:val="95"/>
          <w:sz w:val="14"/>
        </w:rPr>
        <w:t> </w:t>
      </w:r>
      <w:r>
        <w:rPr>
          <w:rFonts w:ascii="Lucida Sans Unicode" w:hAnsi="Lucida Sans Unicode"/>
          <w:color w:val="6D6E71"/>
          <w:w w:val="95"/>
          <w:sz w:val="14"/>
        </w:rPr>
        <w:t>PARADIGMA</w:t>
      </w:r>
      <w:r>
        <w:rPr>
          <w:rFonts w:ascii="Lucida Sans Unicode" w:hAnsi="Lucida Sans Unicode"/>
          <w:color w:val="6D6E71"/>
          <w:spacing w:val="-25"/>
          <w:w w:val="95"/>
          <w:sz w:val="14"/>
        </w:rPr>
        <w:t> </w:t>
      </w:r>
      <w:r>
        <w:rPr>
          <w:rFonts w:ascii="Lucida Sans Unicode" w:hAnsi="Lucida Sans Unicode"/>
          <w:color w:val="6D6E71"/>
          <w:w w:val="95"/>
          <w:sz w:val="14"/>
        </w:rPr>
        <w:t>GIURIDICO:</w:t>
      </w:r>
      <w:r>
        <w:rPr>
          <w:rFonts w:ascii="Lucida Sans Unicode" w:hAnsi="Lucida Sans Unicode"/>
          <w:color w:val="6D6E71"/>
          <w:spacing w:val="-25"/>
          <w:w w:val="95"/>
          <w:sz w:val="14"/>
        </w:rPr>
        <w:t> </w:t>
      </w:r>
      <w:r>
        <w:rPr>
          <w:rFonts w:ascii="Lucida Sans Unicode" w:hAnsi="Lucida Sans Unicode"/>
          <w:color w:val="6D6E71"/>
          <w:spacing w:val="-3"/>
          <w:w w:val="95"/>
          <w:sz w:val="14"/>
        </w:rPr>
        <w:t>L’11–S</w:t>
      </w:r>
      <w:r>
        <w:rPr>
          <w:rFonts w:ascii="Lucida Sans Unicode" w:hAnsi="Lucida Sans Unicode"/>
          <w:color w:val="6D6E71"/>
          <w:spacing w:val="-25"/>
          <w:w w:val="95"/>
          <w:sz w:val="14"/>
        </w:rPr>
        <w:t> </w:t>
      </w:r>
      <w:r>
        <w:rPr>
          <w:rFonts w:ascii="Lucida Sans Unicode" w:hAnsi="Lucida Sans Unicode"/>
          <w:color w:val="6D6E71"/>
          <w:w w:val="95"/>
          <w:sz w:val="14"/>
        </w:rPr>
        <w:t>E</w:t>
      </w:r>
      <w:r>
        <w:rPr>
          <w:rFonts w:ascii="Lucida Sans Unicode" w:hAnsi="Lucida Sans Unicode"/>
          <w:color w:val="6D6E71"/>
          <w:spacing w:val="-25"/>
          <w:w w:val="95"/>
          <w:sz w:val="14"/>
        </w:rPr>
        <w:t> </w:t>
      </w:r>
      <w:r>
        <w:rPr>
          <w:rFonts w:ascii="Lucida Sans Unicode" w:hAnsi="Lucida Sans Unicode"/>
          <w:color w:val="6D6E71"/>
          <w:w w:val="95"/>
          <w:sz w:val="14"/>
        </w:rPr>
        <w:t>LA</w:t>
      </w:r>
      <w:r>
        <w:rPr>
          <w:rFonts w:ascii="Lucida Sans Unicode" w:hAnsi="Lucida Sans Unicode"/>
          <w:color w:val="6D6E71"/>
          <w:spacing w:val="-25"/>
          <w:w w:val="95"/>
          <w:sz w:val="14"/>
        </w:rPr>
        <w:t> </w:t>
      </w:r>
      <w:r>
        <w:rPr>
          <w:rFonts w:ascii="Lucida Sans Unicode" w:hAnsi="Lucida Sans Unicode"/>
          <w:color w:val="6D6E71"/>
          <w:w w:val="95"/>
          <w:sz w:val="14"/>
        </w:rPr>
        <w:t>CRIMINALITÀ</w:t>
      </w:r>
      <w:r>
        <w:rPr>
          <w:rFonts w:ascii="Lucida Sans Unicode" w:hAnsi="Lucida Sans Unicode"/>
          <w:color w:val="6D6E71"/>
          <w:spacing w:val="-25"/>
          <w:w w:val="95"/>
          <w:sz w:val="14"/>
        </w:rPr>
        <w:t> </w:t>
      </w:r>
      <w:r>
        <w:rPr>
          <w:rFonts w:ascii="Lucida Sans Unicode" w:hAnsi="Lucida Sans Unicode"/>
          <w:color w:val="6D6E71"/>
          <w:w w:val="95"/>
          <w:sz w:val="14"/>
        </w:rPr>
        <w:t>ORGANIZZATA</w:t>
      </w:r>
      <w:r>
        <w:rPr>
          <w:rFonts w:ascii="Lucida Sans Unicode" w:hAnsi="Lucida Sans Unicode"/>
          <w:color w:val="6D6E71"/>
          <w:spacing w:val="-25"/>
          <w:w w:val="95"/>
          <w:sz w:val="14"/>
        </w:rPr>
        <w:t> </w:t>
      </w:r>
      <w:r>
        <w:rPr>
          <w:rFonts w:ascii="Lucida Sans Unicode" w:hAnsi="Lucida Sans Unicode"/>
          <w:color w:val="6D6E71"/>
          <w:w w:val="95"/>
          <w:sz w:val="14"/>
        </w:rPr>
        <w:t>IN</w:t>
      </w:r>
      <w:r>
        <w:rPr>
          <w:rFonts w:ascii="Lucida Sans Unicode" w:hAnsi="Lucida Sans Unicode"/>
          <w:color w:val="6D6E71"/>
          <w:spacing w:val="-25"/>
          <w:w w:val="95"/>
          <w:sz w:val="14"/>
        </w:rPr>
        <w:t> </w:t>
      </w:r>
      <w:r>
        <w:rPr>
          <w:rFonts w:ascii="Lucida Sans Unicode" w:hAnsi="Lucida Sans Unicode"/>
          <w:color w:val="6D6E71"/>
          <w:w w:val="95"/>
          <w:sz w:val="14"/>
        </w:rPr>
        <w:t>MESSICO</w:t>
      </w:r>
      <w:r>
        <w:rPr>
          <w:rFonts w:ascii="Trebuchet MS" w:hAnsi="Trebuchet MS"/>
          <w:color w:val="414042"/>
          <w:w w:val="95"/>
          <w:position w:val="-3"/>
          <w:sz w:val="20"/>
        </w:rPr>
        <w:tab/>
        <w:t>21</w:t>
      </w:r>
    </w:p>
    <w:p>
      <w:pPr>
        <w:pStyle w:val="BodyText"/>
        <w:rPr>
          <w:rFonts w:ascii="Trebuchet MS"/>
          <w:sz w:val="20"/>
        </w:rPr>
      </w:pPr>
    </w:p>
    <w:p>
      <w:pPr>
        <w:pStyle w:val="BodyText"/>
        <w:rPr>
          <w:rFonts w:ascii="Trebuchet MS"/>
          <w:sz w:val="20"/>
        </w:rPr>
      </w:pPr>
    </w:p>
    <w:p>
      <w:pPr>
        <w:pStyle w:val="BodyText"/>
        <w:spacing w:line="247" w:lineRule="auto" w:before="156"/>
        <w:ind w:left="90" w:right="116"/>
        <w:jc w:val="right"/>
      </w:pPr>
      <w:r>
        <w:rPr>
          <w:color w:val="231F20"/>
          <w:w w:val="105"/>
        </w:rPr>
        <w:t>politica</w:t>
      </w:r>
      <w:r>
        <w:rPr>
          <w:color w:val="231F20"/>
          <w:spacing w:val="-21"/>
          <w:w w:val="105"/>
        </w:rPr>
        <w:t> </w:t>
      </w:r>
      <w:r>
        <w:rPr>
          <w:color w:val="231F20"/>
          <w:w w:val="105"/>
        </w:rPr>
        <w:t>—anche</w:t>
      </w:r>
      <w:r>
        <w:rPr>
          <w:color w:val="231F20"/>
          <w:spacing w:val="-21"/>
          <w:w w:val="105"/>
        </w:rPr>
        <w:t> </w:t>
      </w:r>
      <w:r>
        <w:rPr>
          <w:color w:val="231F20"/>
          <w:w w:val="105"/>
        </w:rPr>
        <w:t>se</w:t>
      </w:r>
      <w:r>
        <w:rPr>
          <w:color w:val="231F20"/>
          <w:spacing w:val="-21"/>
          <w:w w:val="105"/>
        </w:rPr>
        <w:t> </w:t>
      </w:r>
      <w:r>
        <w:rPr>
          <w:color w:val="231F20"/>
          <w:w w:val="105"/>
        </w:rPr>
        <w:t>sicuramente</w:t>
      </w:r>
      <w:r>
        <w:rPr>
          <w:color w:val="231F20"/>
          <w:spacing w:val="-21"/>
          <w:w w:val="105"/>
        </w:rPr>
        <w:t> </w:t>
      </w:r>
      <w:r>
        <w:rPr>
          <w:color w:val="231F20"/>
          <w:w w:val="105"/>
        </w:rPr>
        <w:t>non</w:t>
      </w:r>
      <w:r>
        <w:rPr>
          <w:color w:val="231F20"/>
          <w:spacing w:val="-21"/>
          <w:w w:val="105"/>
        </w:rPr>
        <w:t> </w:t>
      </w:r>
      <w:r>
        <w:rPr>
          <w:color w:val="231F20"/>
          <w:w w:val="105"/>
        </w:rPr>
        <w:t>in</w:t>
      </w:r>
      <w:r>
        <w:rPr>
          <w:color w:val="231F20"/>
          <w:spacing w:val="-21"/>
          <w:w w:val="105"/>
        </w:rPr>
        <w:t> </w:t>
      </w:r>
      <w:r>
        <w:rPr>
          <w:color w:val="231F20"/>
          <w:w w:val="105"/>
        </w:rPr>
        <w:t>maniera</w:t>
      </w:r>
      <w:r>
        <w:rPr>
          <w:color w:val="231F20"/>
          <w:spacing w:val="-21"/>
          <w:w w:val="105"/>
        </w:rPr>
        <w:t> </w:t>
      </w:r>
      <w:r>
        <w:rPr>
          <w:color w:val="231F20"/>
          <w:w w:val="105"/>
        </w:rPr>
        <w:t>consapevole—,</w:t>
      </w:r>
      <w:r>
        <w:rPr>
          <w:color w:val="231F20"/>
          <w:spacing w:val="-21"/>
          <w:w w:val="105"/>
        </w:rPr>
        <w:t> </w:t>
      </w:r>
      <w:r>
        <w:rPr>
          <w:color w:val="231F20"/>
          <w:w w:val="105"/>
        </w:rPr>
        <w:t>perchè</w:t>
      </w:r>
      <w:r>
        <w:rPr>
          <w:color w:val="231F20"/>
          <w:spacing w:val="-21"/>
          <w:w w:val="105"/>
        </w:rPr>
        <w:t> </w:t>
      </w:r>
      <w:r>
        <w:rPr>
          <w:color w:val="231F20"/>
          <w:w w:val="105"/>
        </w:rPr>
        <w:t>in</w:t>
      </w:r>
      <w:r>
        <w:rPr>
          <w:color w:val="231F20"/>
          <w:w w:val="101"/>
        </w:rPr>
        <w:t> </w:t>
      </w:r>
      <w:r>
        <w:rPr>
          <w:color w:val="231F20"/>
          <w:spacing w:val="-3"/>
          <w:w w:val="105"/>
        </w:rPr>
        <w:t>tale</w:t>
      </w:r>
      <w:r>
        <w:rPr>
          <w:color w:val="231F20"/>
          <w:spacing w:val="-45"/>
          <w:w w:val="105"/>
        </w:rPr>
        <w:t> </w:t>
      </w:r>
      <w:r>
        <w:rPr>
          <w:color w:val="231F20"/>
          <w:spacing w:val="-3"/>
          <w:w w:val="105"/>
        </w:rPr>
        <w:t>logica</w:t>
      </w:r>
      <w:r>
        <w:rPr>
          <w:color w:val="231F20"/>
          <w:spacing w:val="-45"/>
          <w:w w:val="105"/>
        </w:rPr>
        <w:t> </w:t>
      </w:r>
      <w:r>
        <w:rPr>
          <w:color w:val="231F20"/>
          <w:spacing w:val="-3"/>
          <w:w w:val="105"/>
        </w:rPr>
        <w:t>bellica</w:t>
      </w:r>
      <w:r>
        <w:rPr>
          <w:color w:val="231F20"/>
          <w:spacing w:val="-45"/>
          <w:w w:val="105"/>
        </w:rPr>
        <w:t> </w:t>
      </w:r>
      <w:r>
        <w:rPr>
          <w:color w:val="231F20"/>
          <w:w w:val="105"/>
        </w:rPr>
        <w:t>e</w:t>
      </w:r>
      <w:r>
        <w:rPr>
          <w:color w:val="231F20"/>
          <w:spacing w:val="-45"/>
          <w:w w:val="105"/>
        </w:rPr>
        <w:t> </w:t>
      </w:r>
      <w:r>
        <w:rPr>
          <w:color w:val="231F20"/>
          <w:spacing w:val="-3"/>
          <w:w w:val="105"/>
        </w:rPr>
        <w:t>invasiva</w:t>
      </w:r>
      <w:r>
        <w:rPr>
          <w:color w:val="231F20"/>
          <w:spacing w:val="-45"/>
          <w:w w:val="105"/>
        </w:rPr>
        <w:t> </w:t>
      </w:r>
      <w:r>
        <w:rPr>
          <w:color w:val="231F20"/>
          <w:w w:val="105"/>
        </w:rPr>
        <w:t>la</w:t>
      </w:r>
      <w:r>
        <w:rPr>
          <w:color w:val="231F20"/>
          <w:spacing w:val="-45"/>
          <w:w w:val="105"/>
        </w:rPr>
        <w:t> </w:t>
      </w:r>
      <w:r>
        <w:rPr>
          <w:color w:val="231F20"/>
          <w:spacing w:val="-3"/>
          <w:w w:val="105"/>
        </w:rPr>
        <w:t>dicotomia</w:t>
      </w:r>
      <w:r>
        <w:rPr>
          <w:color w:val="231F20"/>
          <w:spacing w:val="-45"/>
          <w:w w:val="105"/>
        </w:rPr>
        <w:t> </w:t>
      </w:r>
      <w:r>
        <w:rPr>
          <w:color w:val="231F20"/>
          <w:spacing w:val="-3"/>
          <w:w w:val="105"/>
        </w:rPr>
        <w:t>amico/nemico</w:t>
      </w:r>
      <w:r>
        <w:rPr>
          <w:color w:val="231F20"/>
          <w:spacing w:val="-45"/>
          <w:w w:val="105"/>
        </w:rPr>
        <w:t> </w:t>
      </w:r>
      <w:r>
        <w:rPr>
          <w:color w:val="231F20"/>
          <w:spacing w:val="-3"/>
          <w:w w:val="105"/>
        </w:rPr>
        <w:t>finisce</w:t>
      </w:r>
      <w:r>
        <w:rPr>
          <w:color w:val="231F20"/>
          <w:spacing w:val="-45"/>
          <w:w w:val="105"/>
        </w:rPr>
        <w:t> </w:t>
      </w:r>
      <w:r>
        <w:rPr>
          <w:color w:val="231F20"/>
          <w:w w:val="105"/>
        </w:rPr>
        <w:t>per</w:t>
      </w:r>
      <w:r>
        <w:rPr>
          <w:color w:val="231F20"/>
          <w:spacing w:val="-45"/>
          <w:w w:val="105"/>
        </w:rPr>
        <w:t> </w:t>
      </w:r>
      <w:r>
        <w:rPr>
          <w:color w:val="231F20"/>
          <w:spacing w:val="-3"/>
          <w:w w:val="105"/>
        </w:rPr>
        <w:t>funzionare</w:t>
      </w:r>
      <w:r>
        <w:rPr>
          <w:color w:val="231F20"/>
          <w:w w:val="105"/>
        </w:rPr>
        <w:t> </w:t>
      </w:r>
      <w:r>
        <w:rPr>
          <w:color w:val="231F20"/>
          <w:w w:val="105"/>
        </w:rPr>
        <w:t>come</w:t>
      </w:r>
      <w:r>
        <w:rPr>
          <w:color w:val="231F20"/>
          <w:spacing w:val="-47"/>
          <w:w w:val="105"/>
        </w:rPr>
        <w:t> </w:t>
      </w:r>
      <w:r>
        <w:rPr>
          <w:color w:val="231F20"/>
          <w:w w:val="105"/>
        </w:rPr>
        <w:t>fondamento</w:t>
      </w:r>
      <w:r>
        <w:rPr>
          <w:color w:val="231F20"/>
          <w:spacing w:val="-47"/>
          <w:w w:val="105"/>
        </w:rPr>
        <w:t> </w:t>
      </w:r>
      <w:r>
        <w:rPr>
          <w:color w:val="231F20"/>
          <w:w w:val="105"/>
        </w:rPr>
        <w:t>e</w:t>
      </w:r>
      <w:r>
        <w:rPr>
          <w:color w:val="231F20"/>
          <w:spacing w:val="-47"/>
          <w:w w:val="105"/>
        </w:rPr>
        <w:t> </w:t>
      </w:r>
      <w:r>
        <w:rPr>
          <w:color w:val="231F20"/>
          <w:w w:val="105"/>
        </w:rPr>
        <w:t>giustificazione</w:t>
      </w:r>
      <w:r>
        <w:rPr>
          <w:color w:val="231F20"/>
          <w:spacing w:val="-47"/>
          <w:w w:val="105"/>
        </w:rPr>
        <w:t> </w:t>
      </w:r>
      <w:r>
        <w:rPr>
          <w:color w:val="231F20"/>
          <w:w w:val="105"/>
        </w:rPr>
        <w:t>della</w:t>
      </w:r>
      <w:r>
        <w:rPr>
          <w:color w:val="231F20"/>
          <w:spacing w:val="-47"/>
          <w:w w:val="105"/>
        </w:rPr>
        <w:t> </w:t>
      </w:r>
      <w:r>
        <w:rPr>
          <w:color w:val="231F20"/>
          <w:w w:val="105"/>
        </w:rPr>
        <w:t>guerra</w:t>
      </w:r>
      <w:r>
        <w:rPr>
          <w:color w:val="231F20"/>
          <w:spacing w:val="-47"/>
          <w:w w:val="105"/>
        </w:rPr>
        <w:t> </w:t>
      </w:r>
      <w:r>
        <w:rPr>
          <w:color w:val="231F20"/>
          <w:w w:val="105"/>
        </w:rPr>
        <w:t>e</w:t>
      </w:r>
      <w:r>
        <w:rPr>
          <w:color w:val="231F20"/>
          <w:spacing w:val="-47"/>
          <w:w w:val="105"/>
        </w:rPr>
        <w:t> </w:t>
      </w:r>
      <w:r>
        <w:rPr>
          <w:color w:val="231F20"/>
          <w:w w:val="105"/>
        </w:rPr>
        <w:t>della</w:t>
      </w:r>
      <w:r>
        <w:rPr>
          <w:color w:val="231F20"/>
          <w:spacing w:val="-47"/>
          <w:w w:val="105"/>
        </w:rPr>
        <w:t> </w:t>
      </w:r>
      <w:r>
        <w:rPr>
          <w:color w:val="231F20"/>
          <w:w w:val="105"/>
        </w:rPr>
        <w:t>legittimità</w:t>
      </w:r>
      <w:r>
        <w:rPr>
          <w:color w:val="231F20"/>
          <w:spacing w:val="-47"/>
          <w:w w:val="105"/>
        </w:rPr>
        <w:t> </w:t>
      </w:r>
      <w:r>
        <w:rPr>
          <w:color w:val="231F20"/>
          <w:w w:val="105"/>
        </w:rPr>
        <w:t>politica</w:t>
      </w:r>
      <w:r>
        <w:rPr>
          <w:color w:val="231F20"/>
          <w:spacing w:val="-48"/>
          <w:w w:val="105"/>
        </w:rPr>
        <w:t> </w:t>
      </w:r>
      <w:r>
        <w:rPr>
          <w:color w:val="231F20"/>
          <w:w w:val="105"/>
        </w:rPr>
        <w:t>di</w:t>
      </w:r>
      <w:r>
        <w:rPr>
          <w:color w:val="231F20"/>
          <w:w w:val="105"/>
        </w:rPr>
        <w:t> </w:t>
      </w:r>
      <w:r>
        <w:rPr>
          <w:color w:val="231F20"/>
          <w:w w:val="105"/>
        </w:rPr>
        <w:t>un</w:t>
      </w:r>
      <w:r>
        <w:rPr>
          <w:color w:val="231F20"/>
          <w:spacing w:val="-28"/>
          <w:w w:val="105"/>
        </w:rPr>
        <w:t> </w:t>
      </w:r>
      <w:r>
        <w:rPr>
          <w:color w:val="231F20"/>
          <w:w w:val="105"/>
        </w:rPr>
        <w:t>paese.</w:t>
      </w:r>
      <w:r>
        <w:rPr>
          <w:color w:val="231F20"/>
          <w:spacing w:val="-28"/>
          <w:w w:val="105"/>
        </w:rPr>
        <w:t> </w:t>
      </w:r>
      <w:r>
        <w:rPr>
          <w:color w:val="231F20"/>
          <w:w w:val="105"/>
        </w:rPr>
        <w:t>Con</w:t>
      </w:r>
      <w:r>
        <w:rPr>
          <w:color w:val="231F20"/>
          <w:spacing w:val="-28"/>
          <w:w w:val="105"/>
        </w:rPr>
        <w:t> </w:t>
      </w:r>
      <w:r>
        <w:rPr>
          <w:color w:val="231F20"/>
          <w:w w:val="105"/>
        </w:rPr>
        <w:t>questo,</w:t>
      </w:r>
      <w:r>
        <w:rPr>
          <w:color w:val="231F20"/>
          <w:spacing w:val="-28"/>
          <w:w w:val="105"/>
        </w:rPr>
        <w:t> </w:t>
      </w:r>
      <w:r>
        <w:rPr>
          <w:color w:val="231F20"/>
          <w:w w:val="105"/>
        </w:rPr>
        <w:t>si</w:t>
      </w:r>
      <w:r>
        <w:rPr>
          <w:color w:val="231F20"/>
          <w:spacing w:val="-28"/>
          <w:w w:val="105"/>
        </w:rPr>
        <w:t> </w:t>
      </w:r>
      <w:r>
        <w:rPr>
          <w:color w:val="231F20"/>
          <w:w w:val="105"/>
        </w:rPr>
        <w:t>mise</w:t>
      </w:r>
      <w:r>
        <w:rPr>
          <w:color w:val="231F20"/>
          <w:spacing w:val="-28"/>
          <w:w w:val="105"/>
        </w:rPr>
        <w:t> </w:t>
      </w:r>
      <w:r>
        <w:rPr>
          <w:color w:val="231F20"/>
          <w:w w:val="105"/>
        </w:rPr>
        <w:t>in</w:t>
      </w:r>
      <w:r>
        <w:rPr>
          <w:color w:val="231F20"/>
          <w:spacing w:val="-28"/>
          <w:w w:val="105"/>
        </w:rPr>
        <w:t> </w:t>
      </w:r>
      <w:r>
        <w:rPr>
          <w:color w:val="231F20"/>
          <w:w w:val="105"/>
        </w:rPr>
        <w:t>operazione</w:t>
      </w:r>
      <w:r>
        <w:rPr>
          <w:color w:val="231F20"/>
          <w:spacing w:val="-28"/>
          <w:w w:val="105"/>
        </w:rPr>
        <w:t> </w:t>
      </w:r>
      <w:r>
        <w:rPr>
          <w:color w:val="231F20"/>
          <w:w w:val="105"/>
        </w:rPr>
        <w:t>una</w:t>
      </w:r>
      <w:r>
        <w:rPr>
          <w:color w:val="231F20"/>
          <w:spacing w:val="-28"/>
          <w:w w:val="105"/>
        </w:rPr>
        <w:t> </w:t>
      </w:r>
      <w:r>
        <w:rPr>
          <w:color w:val="231F20"/>
          <w:w w:val="105"/>
        </w:rPr>
        <w:t>costruzione</w:t>
      </w:r>
      <w:r>
        <w:rPr>
          <w:color w:val="231F20"/>
          <w:spacing w:val="-28"/>
          <w:w w:val="105"/>
        </w:rPr>
        <w:t> </w:t>
      </w:r>
      <w:r>
        <w:rPr>
          <w:color w:val="231F20"/>
          <w:w w:val="105"/>
        </w:rPr>
        <w:t>perversa</w:t>
      </w:r>
      <w:r>
        <w:rPr>
          <w:color w:val="231F20"/>
          <w:spacing w:val="-28"/>
          <w:w w:val="105"/>
        </w:rPr>
        <w:t> </w:t>
      </w:r>
      <w:r>
        <w:rPr>
          <w:color w:val="231F20"/>
          <w:w w:val="105"/>
        </w:rPr>
        <w:t>che</w:t>
      </w:r>
      <w:r>
        <w:rPr>
          <w:color w:val="231F20"/>
          <w:w w:val="103"/>
        </w:rPr>
        <w:t> </w:t>
      </w:r>
      <w:r>
        <w:rPr>
          <w:color w:val="231F20"/>
          <w:w w:val="105"/>
        </w:rPr>
        <w:t>diede</w:t>
      </w:r>
      <w:r>
        <w:rPr>
          <w:color w:val="231F20"/>
          <w:spacing w:val="-26"/>
          <w:w w:val="105"/>
        </w:rPr>
        <w:t> </w:t>
      </w:r>
      <w:r>
        <w:rPr>
          <w:color w:val="231F20"/>
          <w:w w:val="105"/>
        </w:rPr>
        <w:t>posto</w:t>
      </w:r>
      <w:r>
        <w:rPr>
          <w:color w:val="231F20"/>
          <w:spacing w:val="-26"/>
          <w:w w:val="105"/>
        </w:rPr>
        <w:t> </w:t>
      </w:r>
      <w:r>
        <w:rPr>
          <w:color w:val="231F20"/>
          <w:w w:val="105"/>
        </w:rPr>
        <w:t>a</w:t>
      </w:r>
      <w:r>
        <w:rPr>
          <w:color w:val="231F20"/>
          <w:spacing w:val="-26"/>
          <w:w w:val="105"/>
        </w:rPr>
        <w:t> </w:t>
      </w:r>
      <w:r>
        <w:rPr>
          <w:color w:val="231F20"/>
          <w:w w:val="105"/>
        </w:rPr>
        <w:t>un</w:t>
      </w:r>
      <w:r>
        <w:rPr>
          <w:color w:val="231F20"/>
          <w:spacing w:val="-26"/>
          <w:w w:val="105"/>
        </w:rPr>
        <w:t> </w:t>
      </w:r>
      <w:r>
        <w:rPr>
          <w:color w:val="231F20"/>
          <w:w w:val="105"/>
        </w:rPr>
        <w:t>diritto</w:t>
      </w:r>
      <w:r>
        <w:rPr>
          <w:color w:val="231F20"/>
          <w:spacing w:val="-26"/>
          <w:w w:val="105"/>
        </w:rPr>
        <w:t> </w:t>
      </w:r>
      <w:r>
        <w:rPr>
          <w:color w:val="231F20"/>
          <w:w w:val="105"/>
        </w:rPr>
        <w:t>fuori</w:t>
      </w:r>
      <w:r>
        <w:rPr>
          <w:color w:val="231F20"/>
          <w:spacing w:val="-26"/>
          <w:w w:val="105"/>
        </w:rPr>
        <w:t> </w:t>
      </w:r>
      <w:r>
        <w:rPr>
          <w:color w:val="231F20"/>
          <w:w w:val="105"/>
        </w:rPr>
        <w:t>dal</w:t>
      </w:r>
      <w:r>
        <w:rPr>
          <w:color w:val="231F20"/>
          <w:spacing w:val="-26"/>
          <w:w w:val="105"/>
        </w:rPr>
        <w:t> </w:t>
      </w:r>
      <w:r>
        <w:rPr>
          <w:color w:val="231F20"/>
          <w:w w:val="105"/>
        </w:rPr>
        <w:t>diritto,</w:t>
      </w:r>
      <w:r>
        <w:rPr>
          <w:color w:val="231F20"/>
          <w:spacing w:val="-26"/>
          <w:w w:val="105"/>
        </w:rPr>
        <w:t> </w:t>
      </w:r>
      <w:r>
        <w:rPr>
          <w:color w:val="231F20"/>
          <w:w w:val="105"/>
        </w:rPr>
        <w:t>fuori</w:t>
      </w:r>
      <w:r>
        <w:rPr>
          <w:color w:val="231F20"/>
          <w:spacing w:val="-26"/>
          <w:w w:val="105"/>
        </w:rPr>
        <w:t> </w:t>
      </w:r>
      <w:r>
        <w:rPr>
          <w:color w:val="231F20"/>
          <w:w w:val="105"/>
        </w:rPr>
        <w:t>dall’ordinamento</w:t>
      </w:r>
      <w:r>
        <w:rPr>
          <w:color w:val="231F20"/>
          <w:spacing w:val="-26"/>
          <w:w w:val="105"/>
        </w:rPr>
        <w:t> </w:t>
      </w:r>
      <w:r>
        <w:rPr>
          <w:color w:val="231F20"/>
          <w:w w:val="105"/>
        </w:rPr>
        <w:t>giuridico.</w:t>
      </w:r>
      <w:r>
        <w:rPr>
          <w:color w:val="231F20"/>
          <w:spacing w:val="-26"/>
          <w:w w:val="105"/>
        </w:rPr>
        <w:t> </w:t>
      </w:r>
      <w:r>
        <w:rPr>
          <w:color w:val="231F20"/>
          <w:w w:val="105"/>
        </w:rPr>
        <w:t>Il</w:t>
      </w:r>
      <w:r>
        <w:rPr>
          <w:color w:val="231F20"/>
          <w:w w:val="83"/>
        </w:rPr>
        <w:t> </w:t>
      </w:r>
      <w:r>
        <w:rPr>
          <w:color w:val="231F20"/>
        </w:rPr>
        <w:t>paradosso schmittiano contenuto nella dicotomia amico/nemico</w:t>
      </w:r>
      <w:r>
        <w:rPr>
          <w:color w:val="231F20"/>
          <w:spacing w:val="-43"/>
        </w:rPr>
        <w:t> </w:t>
      </w:r>
      <w:r>
        <w:rPr>
          <w:color w:val="231F20"/>
        </w:rPr>
        <w:t>si</w:t>
      </w:r>
      <w:r>
        <w:rPr>
          <w:color w:val="231F20"/>
          <w:spacing w:val="-8"/>
        </w:rPr>
        <w:t> </w:t>
      </w:r>
      <w:r>
        <w:rPr>
          <w:color w:val="231F20"/>
        </w:rPr>
        <w:t>presenta</w:t>
      </w:r>
      <w:r>
        <w:rPr>
          <w:color w:val="231F20"/>
          <w:spacing w:val="-1"/>
          <w:w w:val="101"/>
        </w:rPr>
        <w:t> </w:t>
      </w:r>
      <w:r>
        <w:rPr>
          <w:color w:val="231F20"/>
          <w:w w:val="105"/>
        </w:rPr>
        <w:t>come</w:t>
      </w:r>
      <w:r>
        <w:rPr>
          <w:color w:val="231F20"/>
          <w:spacing w:val="-52"/>
          <w:w w:val="105"/>
        </w:rPr>
        <w:t> </w:t>
      </w:r>
      <w:r>
        <w:rPr>
          <w:color w:val="231F20"/>
          <w:spacing w:val="-3"/>
          <w:w w:val="105"/>
        </w:rPr>
        <w:t>marco</w:t>
      </w:r>
      <w:r>
        <w:rPr>
          <w:color w:val="231F20"/>
          <w:spacing w:val="-52"/>
          <w:w w:val="105"/>
        </w:rPr>
        <w:t> </w:t>
      </w:r>
      <w:r>
        <w:rPr>
          <w:color w:val="231F20"/>
          <w:w w:val="105"/>
        </w:rPr>
        <w:t>che</w:t>
      </w:r>
      <w:r>
        <w:rPr>
          <w:color w:val="231F20"/>
          <w:spacing w:val="-52"/>
          <w:w w:val="105"/>
        </w:rPr>
        <w:t> </w:t>
      </w:r>
      <w:r>
        <w:rPr>
          <w:color w:val="231F20"/>
          <w:w w:val="105"/>
        </w:rPr>
        <w:t>fa</w:t>
      </w:r>
      <w:r>
        <w:rPr>
          <w:color w:val="231F20"/>
          <w:spacing w:val="-52"/>
          <w:w w:val="105"/>
        </w:rPr>
        <w:t> </w:t>
      </w:r>
      <w:r>
        <w:rPr>
          <w:color w:val="231F20"/>
          <w:w w:val="105"/>
        </w:rPr>
        <w:t>intelligibile</w:t>
      </w:r>
      <w:r>
        <w:rPr>
          <w:color w:val="231F20"/>
          <w:spacing w:val="-52"/>
          <w:w w:val="105"/>
        </w:rPr>
        <w:t> </w:t>
      </w:r>
      <w:r>
        <w:rPr>
          <w:color w:val="231F20"/>
          <w:w w:val="105"/>
        </w:rPr>
        <w:t>la</w:t>
      </w:r>
      <w:r>
        <w:rPr>
          <w:color w:val="231F20"/>
          <w:spacing w:val="-52"/>
          <w:w w:val="105"/>
        </w:rPr>
        <w:t> </w:t>
      </w:r>
      <w:r>
        <w:rPr>
          <w:color w:val="231F20"/>
          <w:w w:val="105"/>
        </w:rPr>
        <w:t>condotta</w:t>
      </w:r>
      <w:r>
        <w:rPr>
          <w:color w:val="231F20"/>
          <w:spacing w:val="-52"/>
          <w:w w:val="105"/>
        </w:rPr>
        <w:t> </w:t>
      </w:r>
      <w:r>
        <w:rPr>
          <w:color w:val="231F20"/>
          <w:w w:val="105"/>
        </w:rPr>
        <w:t>dell’imperialismo</w:t>
      </w:r>
      <w:r>
        <w:rPr>
          <w:color w:val="231F20"/>
          <w:spacing w:val="-52"/>
          <w:w w:val="105"/>
        </w:rPr>
        <w:t> </w:t>
      </w:r>
      <w:r>
        <w:rPr>
          <w:color w:val="231F20"/>
          <w:spacing w:val="-3"/>
          <w:w w:val="105"/>
        </w:rPr>
        <w:t>nordamericano.</w:t>
      </w:r>
    </w:p>
    <w:p>
      <w:pPr>
        <w:pStyle w:val="BodyText"/>
        <w:spacing w:before="10"/>
        <w:rPr>
          <w:sz w:val="22"/>
        </w:rPr>
      </w:pPr>
    </w:p>
    <w:p>
      <w:pPr>
        <w:spacing w:line="220" w:lineRule="exact" w:before="1"/>
        <w:ind w:left="1534" w:right="118" w:firstLine="0"/>
        <w:jc w:val="both"/>
        <w:rPr>
          <w:sz w:val="19"/>
        </w:rPr>
      </w:pPr>
      <w:r>
        <w:rPr>
          <w:color w:val="231F20"/>
          <w:sz w:val="19"/>
        </w:rPr>
        <w:t>La legislazione dell’11–S situa al Diritto penale oltre lo Stato di diritto. I diritti e le libertà dei cittadini si dissolvono in un nuovo diritto</w:t>
      </w:r>
      <w:r>
        <w:rPr>
          <w:color w:val="231F20"/>
          <w:spacing w:val="-11"/>
          <w:sz w:val="19"/>
        </w:rPr>
        <w:t> </w:t>
      </w:r>
      <w:r>
        <w:rPr>
          <w:color w:val="231F20"/>
          <w:sz w:val="19"/>
        </w:rPr>
        <w:t>penale</w:t>
      </w:r>
      <w:r>
        <w:rPr>
          <w:color w:val="231F20"/>
          <w:spacing w:val="-11"/>
          <w:sz w:val="19"/>
        </w:rPr>
        <w:t> </w:t>
      </w:r>
      <w:r>
        <w:rPr>
          <w:color w:val="231F20"/>
          <w:sz w:val="19"/>
        </w:rPr>
        <w:t>del</w:t>
      </w:r>
      <w:r>
        <w:rPr>
          <w:color w:val="231F20"/>
          <w:spacing w:val="-11"/>
          <w:sz w:val="19"/>
        </w:rPr>
        <w:t> </w:t>
      </w:r>
      <w:r>
        <w:rPr>
          <w:color w:val="231F20"/>
          <w:sz w:val="19"/>
        </w:rPr>
        <w:t>nemico</w:t>
      </w:r>
      <w:r>
        <w:rPr>
          <w:color w:val="231F20"/>
          <w:spacing w:val="-11"/>
          <w:sz w:val="19"/>
        </w:rPr>
        <w:t> </w:t>
      </w:r>
      <w:r>
        <w:rPr>
          <w:color w:val="231F20"/>
          <w:sz w:val="19"/>
        </w:rPr>
        <w:t>che</w:t>
      </w:r>
      <w:r>
        <w:rPr>
          <w:color w:val="231F20"/>
          <w:spacing w:val="-11"/>
          <w:sz w:val="19"/>
        </w:rPr>
        <w:t> </w:t>
      </w:r>
      <w:r>
        <w:rPr>
          <w:color w:val="231F20"/>
          <w:sz w:val="19"/>
        </w:rPr>
        <w:t>facilita</w:t>
      </w:r>
      <w:r>
        <w:rPr>
          <w:color w:val="231F20"/>
          <w:spacing w:val="-11"/>
          <w:sz w:val="19"/>
        </w:rPr>
        <w:t> </w:t>
      </w:r>
      <w:r>
        <w:rPr>
          <w:color w:val="231F20"/>
          <w:sz w:val="19"/>
        </w:rPr>
        <w:t>la</w:t>
      </w:r>
      <w:r>
        <w:rPr>
          <w:color w:val="231F20"/>
          <w:spacing w:val="-11"/>
          <w:sz w:val="19"/>
        </w:rPr>
        <w:t> </w:t>
      </w:r>
      <w:r>
        <w:rPr>
          <w:color w:val="231F20"/>
          <w:sz w:val="19"/>
        </w:rPr>
        <w:t>creazione</w:t>
      </w:r>
      <w:r>
        <w:rPr>
          <w:color w:val="231F20"/>
          <w:spacing w:val="-11"/>
          <w:sz w:val="19"/>
        </w:rPr>
        <w:t> </w:t>
      </w:r>
      <w:r>
        <w:rPr>
          <w:color w:val="231F20"/>
          <w:sz w:val="19"/>
        </w:rPr>
        <w:t>dello</w:t>
      </w:r>
      <w:r>
        <w:rPr>
          <w:color w:val="231F20"/>
          <w:spacing w:val="-11"/>
          <w:sz w:val="19"/>
        </w:rPr>
        <w:t> </w:t>
      </w:r>
      <w:r>
        <w:rPr>
          <w:color w:val="231F20"/>
          <w:sz w:val="19"/>
        </w:rPr>
        <w:t>spazio</w:t>
      </w:r>
      <w:r>
        <w:rPr>
          <w:color w:val="231F20"/>
          <w:spacing w:val="-11"/>
          <w:sz w:val="19"/>
        </w:rPr>
        <w:t> </w:t>
      </w:r>
      <w:r>
        <w:rPr>
          <w:color w:val="231F20"/>
          <w:sz w:val="19"/>
        </w:rPr>
        <w:t>dove le regole giuridiche spariscono e si tramutano in pura arbitrarietà. Quello</w:t>
      </w:r>
      <w:r>
        <w:rPr>
          <w:color w:val="231F20"/>
          <w:spacing w:val="-14"/>
          <w:sz w:val="19"/>
        </w:rPr>
        <w:t> </w:t>
      </w:r>
      <w:r>
        <w:rPr>
          <w:color w:val="231F20"/>
          <w:sz w:val="19"/>
        </w:rPr>
        <w:t>che</w:t>
      </w:r>
      <w:r>
        <w:rPr>
          <w:color w:val="231F20"/>
          <w:spacing w:val="-14"/>
          <w:sz w:val="19"/>
        </w:rPr>
        <w:t> </w:t>
      </w:r>
      <w:r>
        <w:rPr>
          <w:color w:val="231F20"/>
          <w:sz w:val="19"/>
        </w:rPr>
        <w:t>si</w:t>
      </w:r>
      <w:r>
        <w:rPr>
          <w:color w:val="231F20"/>
          <w:spacing w:val="-14"/>
          <w:sz w:val="19"/>
        </w:rPr>
        <w:t> </w:t>
      </w:r>
      <w:r>
        <w:rPr>
          <w:color w:val="231F20"/>
          <w:sz w:val="19"/>
        </w:rPr>
        <w:t>impone</w:t>
      </w:r>
      <w:r>
        <w:rPr>
          <w:color w:val="231F20"/>
          <w:spacing w:val="-14"/>
          <w:sz w:val="19"/>
        </w:rPr>
        <w:t> </w:t>
      </w:r>
      <w:r>
        <w:rPr>
          <w:color w:val="231F20"/>
          <w:sz w:val="19"/>
        </w:rPr>
        <w:t>in</w:t>
      </w:r>
      <w:r>
        <w:rPr>
          <w:color w:val="231F20"/>
          <w:spacing w:val="-14"/>
          <w:sz w:val="19"/>
        </w:rPr>
        <w:t> </w:t>
      </w:r>
      <w:r>
        <w:rPr>
          <w:color w:val="231F20"/>
          <w:sz w:val="19"/>
        </w:rPr>
        <w:t>questo</w:t>
      </w:r>
      <w:r>
        <w:rPr>
          <w:color w:val="231F20"/>
          <w:spacing w:val="-14"/>
          <w:sz w:val="19"/>
        </w:rPr>
        <w:t> </w:t>
      </w:r>
      <w:r>
        <w:rPr>
          <w:color w:val="231F20"/>
          <w:sz w:val="19"/>
        </w:rPr>
        <w:t>modo,</w:t>
      </w:r>
      <w:r>
        <w:rPr>
          <w:color w:val="231F20"/>
          <w:spacing w:val="-14"/>
          <w:sz w:val="19"/>
        </w:rPr>
        <w:t> </w:t>
      </w:r>
      <w:r>
        <w:rPr>
          <w:color w:val="231F20"/>
          <w:sz w:val="19"/>
        </w:rPr>
        <w:t>non</w:t>
      </w:r>
      <w:r>
        <w:rPr>
          <w:color w:val="231F20"/>
          <w:spacing w:val="-12"/>
          <w:sz w:val="19"/>
        </w:rPr>
        <w:t> </w:t>
      </w:r>
      <w:r>
        <w:rPr>
          <w:color w:val="231F20"/>
          <w:sz w:val="19"/>
        </w:rPr>
        <w:t>è</w:t>
      </w:r>
      <w:r>
        <w:rPr>
          <w:color w:val="231F20"/>
          <w:spacing w:val="-14"/>
          <w:sz w:val="19"/>
        </w:rPr>
        <w:t> </w:t>
      </w:r>
      <w:r>
        <w:rPr>
          <w:color w:val="231F20"/>
          <w:sz w:val="19"/>
        </w:rPr>
        <w:t>uno</w:t>
      </w:r>
      <w:r>
        <w:rPr>
          <w:color w:val="231F20"/>
          <w:spacing w:val="-14"/>
          <w:sz w:val="19"/>
        </w:rPr>
        <w:t> </w:t>
      </w:r>
      <w:r>
        <w:rPr>
          <w:color w:val="231F20"/>
          <w:sz w:val="19"/>
        </w:rPr>
        <w:t>stato</w:t>
      </w:r>
      <w:r>
        <w:rPr>
          <w:color w:val="231F20"/>
          <w:spacing w:val="-14"/>
          <w:sz w:val="19"/>
        </w:rPr>
        <w:t> </w:t>
      </w:r>
      <w:r>
        <w:rPr>
          <w:color w:val="231F20"/>
          <w:sz w:val="19"/>
        </w:rPr>
        <w:t>di</w:t>
      </w:r>
      <w:r>
        <w:rPr>
          <w:color w:val="231F20"/>
          <w:spacing w:val="-14"/>
          <w:sz w:val="19"/>
        </w:rPr>
        <w:t> </w:t>
      </w:r>
      <w:r>
        <w:rPr>
          <w:color w:val="231F20"/>
          <w:sz w:val="19"/>
        </w:rPr>
        <w:t>eccezione limitato nel tempo, ma uno stato di eccezione permanente. Non c’è,</w:t>
      </w:r>
      <w:r>
        <w:rPr>
          <w:color w:val="231F20"/>
          <w:spacing w:val="-18"/>
          <w:sz w:val="19"/>
        </w:rPr>
        <w:t> </w:t>
      </w:r>
      <w:r>
        <w:rPr>
          <w:color w:val="231F20"/>
          <w:sz w:val="19"/>
        </w:rPr>
        <w:t>come</w:t>
      </w:r>
      <w:r>
        <w:rPr>
          <w:color w:val="231F20"/>
          <w:spacing w:val="-18"/>
          <w:sz w:val="19"/>
        </w:rPr>
        <w:t> </w:t>
      </w:r>
      <w:r>
        <w:rPr>
          <w:color w:val="231F20"/>
          <w:sz w:val="19"/>
        </w:rPr>
        <w:t>nella</w:t>
      </w:r>
      <w:r>
        <w:rPr>
          <w:color w:val="231F20"/>
          <w:spacing w:val="-18"/>
          <w:sz w:val="19"/>
        </w:rPr>
        <w:t> </w:t>
      </w:r>
      <w:r>
        <w:rPr>
          <w:color w:val="231F20"/>
          <w:sz w:val="19"/>
        </w:rPr>
        <w:t>lettura</w:t>
      </w:r>
      <w:r>
        <w:rPr>
          <w:color w:val="231F20"/>
          <w:spacing w:val="-18"/>
          <w:sz w:val="19"/>
        </w:rPr>
        <w:t> </w:t>
      </w:r>
      <w:r>
        <w:rPr>
          <w:color w:val="231F20"/>
          <w:sz w:val="19"/>
        </w:rPr>
        <w:t>dell’eccezione</w:t>
      </w:r>
      <w:r>
        <w:rPr>
          <w:color w:val="231F20"/>
          <w:spacing w:val="-18"/>
          <w:sz w:val="19"/>
        </w:rPr>
        <w:t> </w:t>
      </w:r>
      <w:r>
        <w:rPr>
          <w:color w:val="231F20"/>
          <w:spacing w:val="-3"/>
          <w:sz w:val="19"/>
        </w:rPr>
        <w:t>realizzata</w:t>
      </w:r>
      <w:r>
        <w:rPr>
          <w:color w:val="231F20"/>
          <w:spacing w:val="-18"/>
          <w:sz w:val="19"/>
        </w:rPr>
        <w:t> </w:t>
      </w:r>
      <w:r>
        <w:rPr>
          <w:color w:val="231F20"/>
          <w:sz w:val="19"/>
        </w:rPr>
        <w:t>da</w:t>
      </w:r>
      <w:r>
        <w:rPr>
          <w:color w:val="231F20"/>
          <w:spacing w:val="-18"/>
          <w:sz w:val="19"/>
        </w:rPr>
        <w:t> </w:t>
      </w:r>
      <w:r>
        <w:rPr>
          <w:color w:val="231F20"/>
          <w:sz w:val="19"/>
        </w:rPr>
        <w:t>Carl</w:t>
      </w:r>
      <w:r>
        <w:rPr>
          <w:color w:val="231F20"/>
          <w:spacing w:val="-18"/>
          <w:sz w:val="19"/>
        </w:rPr>
        <w:t> </w:t>
      </w:r>
      <w:r>
        <w:rPr>
          <w:color w:val="231F20"/>
          <w:sz w:val="19"/>
        </w:rPr>
        <w:t>Schmitt,</w:t>
      </w:r>
      <w:r>
        <w:rPr>
          <w:color w:val="231F20"/>
          <w:spacing w:val="-18"/>
          <w:sz w:val="19"/>
        </w:rPr>
        <w:t> </w:t>
      </w:r>
      <w:r>
        <w:rPr>
          <w:color w:val="231F20"/>
          <w:spacing w:val="-2"/>
          <w:sz w:val="19"/>
        </w:rPr>
        <w:t>una </w:t>
      </w:r>
      <w:r>
        <w:rPr>
          <w:color w:val="231F20"/>
          <w:spacing w:val="-3"/>
          <w:sz w:val="19"/>
        </w:rPr>
        <w:t>semplice sospensione provvisoria delle garanzie costituzionali dopo </w:t>
      </w:r>
      <w:r>
        <w:rPr>
          <w:color w:val="231F20"/>
          <w:sz w:val="19"/>
        </w:rPr>
        <w:t>la quale è possibile, almeno formalmente, un ritorno ai principi </w:t>
      </w:r>
      <w:r>
        <w:rPr>
          <w:color w:val="231F20"/>
          <w:spacing w:val="-3"/>
          <w:sz w:val="19"/>
        </w:rPr>
        <w:t>garantisti.</w:t>
      </w:r>
      <w:r>
        <w:rPr>
          <w:color w:val="231F20"/>
          <w:spacing w:val="-14"/>
          <w:sz w:val="19"/>
        </w:rPr>
        <w:t> </w:t>
      </w:r>
      <w:r>
        <w:rPr>
          <w:color w:val="231F20"/>
          <w:spacing w:val="-3"/>
          <w:sz w:val="19"/>
        </w:rPr>
        <w:t>Anzi,</w:t>
      </w:r>
      <w:r>
        <w:rPr>
          <w:color w:val="231F20"/>
          <w:spacing w:val="-14"/>
          <w:sz w:val="19"/>
        </w:rPr>
        <w:t> </w:t>
      </w:r>
      <w:r>
        <w:rPr>
          <w:color w:val="231F20"/>
          <w:sz w:val="19"/>
        </w:rPr>
        <w:t>lo</w:t>
      </w:r>
      <w:r>
        <w:rPr>
          <w:color w:val="231F20"/>
          <w:spacing w:val="-14"/>
          <w:sz w:val="19"/>
        </w:rPr>
        <w:t> </w:t>
      </w:r>
      <w:r>
        <w:rPr>
          <w:color w:val="231F20"/>
          <w:spacing w:val="-3"/>
          <w:sz w:val="19"/>
        </w:rPr>
        <w:t>stato</w:t>
      </w:r>
      <w:r>
        <w:rPr>
          <w:color w:val="231F20"/>
          <w:spacing w:val="-14"/>
          <w:sz w:val="19"/>
        </w:rPr>
        <w:t> </w:t>
      </w:r>
      <w:r>
        <w:rPr>
          <w:color w:val="231F20"/>
          <w:sz w:val="19"/>
        </w:rPr>
        <w:t>di</w:t>
      </w:r>
      <w:r>
        <w:rPr>
          <w:color w:val="231F20"/>
          <w:spacing w:val="-14"/>
          <w:sz w:val="19"/>
        </w:rPr>
        <w:t> </w:t>
      </w:r>
      <w:r>
        <w:rPr>
          <w:color w:val="231F20"/>
          <w:spacing w:val="-3"/>
          <w:sz w:val="19"/>
        </w:rPr>
        <w:t>eccezione,</w:t>
      </w:r>
      <w:r>
        <w:rPr>
          <w:color w:val="231F20"/>
          <w:spacing w:val="-14"/>
          <w:sz w:val="19"/>
        </w:rPr>
        <w:t> </w:t>
      </w:r>
      <w:r>
        <w:rPr>
          <w:color w:val="231F20"/>
          <w:spacing w:val="-3"/>
          <w:sz w:val="19"/>
        </w:rPr>
        <w:t>come</w:t>
      </w:r>
      <w:r>
        <w:rPr>
          <w:color w:val="231F20"/>
          <w:spacing w:val="-14"/>
          <w:sz w:val="19"/>
        </w:rPr>
        <w:t> </w:t>
      </w:r>
      <w:r>
        <w:rPr>
          <w:color w:val="231F20"/>
          <w:spacing w:val="-3"/>
          <w:sz w:val="19"/>
        </w:rPr>
        <w:t>nella</w:t>
      </w:r>
      <w:r>
        <w:rPr>
          <w:color w:val="231F20"/>
          <w:spacing w:val="-14"/>
          <w:sz w:val="19"/>
        </w:rPr>
        <w:t> </w:t>
      </w:r>
      <w:r>
        <w:rPr>
          <w:color w:val="231F20"/>
          <w:spacing w:val="-4"/>
          <w:sz w:val="19"/>
        </w:rPr>
        <w:t>previsione</w:t>
      </w:r>
      <w:r>
        <w:rPr>
          <w:color w:val="231F20"/>
          <w:spacing w:val="-14"/>
          <w:sz w:val="19"/>
        </w:rPr>
        <w:t> </w:t>
      </w:r>
      <w:r>
        <w:rPr>
          <w:color w:val="231F20"/>
          <w:sz w:val="19"/>
        </w:rPr>
        <w:t>di</w:t>
      </w:r>
      <w:r>
        <w:rPr>
          <w:color w:val="231F20"/>
          <w:spacing w:val="-14"/>
          <w:sz w:val="19"/>
        </w:rPr>
        <w:t> </w:t>
      </w:r>
      <w:r>
        <w:rPr>
          <w:color w:val="231F20"/>
          <w:spacing w:val="-5"/>
          <w:sz w:val="19"/>
        </w:rPr>
        <w:t>Walter </w:t>
      </w:r>
      <w:r>
        <w:rPr>
          <w:color w:val="231F20"/>
          <w:sz w:val="19"/>
        </w:rPr>
        <w:t>Benjamin,</w:t>
      </w:r>
      <w:r>
        <w:rPr>
          <w:color w:val="231F20"/>
          <w:spacing w:val="-19"/>
          <w:sz w:val="19"/>
        </w:rPr>
        <w:t> </w:t>
      </w:r>
      <w:r>
        <w:rPr>
          <w:color w:val="231F20"/>
          <w:sz w:val="19"/>
        </w:rPr>
        <w:t>passa</w:t>
      </w:r>
      <w:r>
        <w:rPr>
          <w:color w:val="231F20"/>
          <w:spacing w:val="-19"/>
          <w:sz w:val="19"/>
        </w:rPr>
        <w:t> </w:t>
      </w:r>
      <w:r>
        <w:rPr>
          <w:color w:val="231F20"/>
          <w:sz w:val="19"/>
        </w:rPr>
        <w:t>a</w:t>
      </w:r>
      <w:r>
        <w:rPr>
          <w:color w:val="231F20"/>
          <w:spacing w:val="-19"/>
          <w:sz w:val="19"/>
        </w:rPr>
        <w:t> </w:t>
      </w:r>
      <w:r>
        <w:rPr>
          <w:color w:val="231F20"/>
          <w:sz w:val="19"/>
        </w:rPr>
        <w:t>essere</w:t>
      </w:r>
      <w:r>
        <w:rPr>
          <w:color w:val="231F20"/>
          <w:spacing w:val="-19"/>
          <w:sz w:val="19"/>
        </w:rPr>
        <w:t> </w:t>
      </w:r>
      <w:r>
        <w:rPr>
          <w:color w:val="231F20"/>
          <w:sz w:val="19"/>
        </w:rPr>
        <w:t>la</w:t>
      </w:r>
      <w:r>
        <w:rPr>
          <w:color w:val="231F20"/>
          <w:spacing w:val="-19"/>
          <w:sz w:val="19"/>
        </w:rPr>
        <w:t> </w:t>
      </w:r>
      <w:r>
        <w:rPr>
          <w:color w:val="231F20"/>
          <w:sz w:val="19"/>
        </w:rPr>
        <w:t>regola.</w:t>
      </w:r>
      <w:r>
        <w:rPr>
          <w:color w:val="231F20"/>
          <w:spacing w:val="-19"/>
          <w:sz w:val="19"/>
        </w:rPr>
        <w:t> </w:t>
      </w:r>
      <w:r>
        <w:rPr>
          <w:color w:val="231F20"/>
          <w:sz w:val="19"/>
        </w:rPr>
        <w:t>I</w:t>
      </w:r>
      <w:r>
        <w:rPr>
          <w:color w:val="231F20"/>
          <w:spacing w:val="-19"/>
          <w:sz w:val="19"/>
        </w:rPr>
        <w:t> </w:t>
      </w:r>
      <w:r>
        <w:rPr>
          <w:color w:val="231F20"/>
          <w:sz w:val="19"/>
        </w:rPr>
        <w:t>concetti</w:t>
      </w:r>
      <w:r>
        <w:rPr>
          <w:color w:val="231F20"/>
          <w:spacing w:val="-19"/>
          <w:sz w:val="19"/>
        </w:rPr>
        <w:t> </w:t>
      </w:r>
      <w:r>
        <w:rPr>
          <w:color w:val="231F20"/>
          <w:sz w:val="19"/>
        </w:rPr>
        <w:t>giuridici</w:t>
      </w:r>
      <w:r>
        <w:rPr>
          <w:color w:val="231F20"/>
          <w:spacing w:val="-19"/>
          <w:sz w:val="19"/>
        </w:rPr>
        <w:t> </w:t>
      </w:r>
      <w:r>
        <w:rPr>
          <w:color w:val="231F20"/>
          <w:sz w:val="19"/>
        </w:rPr>
        <w:t>di</w:t>
      </w:r>
      <w:r>
        <w:rPr>
          <w:color w:val="231F20"/>
          <w:spacing w:val="-19"/>
          <w:sz w:val="19"/>
        </w:rPr>
        <w:t> </w:t>
      </w:r>
      <w:r>
        <w:rPr>
          <w:color w:val="231F20"/>
          <w:sz w:val="19"/>
        </w:rPr>
        <w:t>guerra</w:t>
      </w:r>
      <w:r>
        <w:rPr>
          <w:color w:val="231F20"/>
          <w:spacing w:val="-19"/>
          <w:sz w:val="19"/>
        </w:rPr>
        <w:t> </w:t>
      </w:r>
      <w:r>
        <w:rPr>
          <w:color w:val="231F20"/>
          <w:sz w:val="19"/>
        </w:rPr>
        <w:t>e</w:t>
      </w:r>
      <w:r>
        <w:rPr>
          <w:color w:val="231F20"/>
          <w:spacing w:val="-19"/>
          <w:sz w:val="19"/>
        </w:rPr>
        <w:t> </w:t>
      </w:r>
      <w:r>
        <w:rPr>
          <w:color w:val="231F20"/>
          <w:sz w:val="19"/>
        </w:rPr>
        <w:t>di pace,</w:t>
      </w:r>
      <w:r>
        <w:rPr>
          <w:color w:val="231F20"/>
          <w:spacing w:val="-11"/>
          <w:sz w:val="19"/>
        </w:rPr>
        <w:t> </w:t>
      </w:r>
      <w:r>
        <w:rPr>
          <w:color w:val="231F20"/>
          <w:sz w:val="19"/>
        </w:rPr>
        <w:t>di</w:t>
      </w:r>
      <w:r>
        <w:rPr>
          <w:color w:val="231F20"/>
          <w:spacing w:val="-11"/>
          <w:sz w:val="19"/>
        </w:rPr>
        <w:t> </w:t>
      </w:r>
      <w:r>
        <w:rPr>
          <w:color w:val="231F20"/>
          <w:sz w:val="19"/>
        </w:rPr>
        <w:t>sovranità</w:t>
      </w:r>
      <w:r>
        <w:rPr>
          <w:color w:val="231F20"/>
          <w:spacing w:val="-11"/>
          <w:sz w:val="19"/>
        </w:rPr>
        <w:t> </w:t>
      </w:r>
      <w:r>
        <w:rPr>
          <w:color w:val="231F20"/>
          <w:sz w:val="19"/>
        </w:rPr>
        <w:t>e</w:t>
      </w:r>
      <w:r>
        <w:rPr>
          <w:color w:val="231F20"/>
          <w:spacing w:val="-11"/>
          <w:sz w:val="19"/>
        </w:rPr>
        <w:t> </w:t>
      </w:r>
      <w:r>
        <w:rPr>
          <w:color w:val="231F20"/>
          <w:sz w:val="19"/>
        </w:rPr>
        <w:t>di</w:t>
      </w:r>
      <w:r>
        <w:rPr>
          <w:color w:val="231F20"/>
          <w:spacing w:val="-11"/>
          <w:sz w:val="19"/>
        </w:rPr>
        <w:t> </w:t>
      </w:r>
      <w:r>
        <w:rPr>
          <w:color w:val="231F20"/>
          <w:sz w:val="19"/>
        </w:rPr>
        <w:t>avversario,</w:t>
      </w:r>
      <w:r>
        <w:rPr>
          <w:color w:val="231F20"/>
          <w:spacing w:val="-11"/>
          <w:sz w:val="19"/>
        </w:rPr>
        <w:t> </w:t>
      </w:r>
      <w:r>
        <w:rPr>
          <w:color w:val="231F20"/>
          <w:sz w:val="19"/>
        </w:rPr>
        <w:t>mutano</w:t>
      </w:r>
      <w:r>
        <w:rPr>
          <w:color w:val="231F20"/>
          <w:spacing w:val="-11"/>
          <w:sz w:val="19"/>
        </w:rPr>
        <w:t> </w:t>
      </w:r>
      <w:r>
        <w:rPr>
          <w:color w:val="231F20"/>
          <w:sz w:val="19"/>
        </w:rPr>
        <w:t>così</w:t>
      </w:r>
      <w:r>
        <w:rPr>
          <w:color w:val="231F20"/>
          <w:spacing w:val="-11"/>
          <w:sz w:val="19"/>
        </w:rPr>
        <w:t> </w:t>
      </w:r>
      <w:r>
        <w:rPr>
          <w:color w:val="231F20"/>
          <w:sz w:val="19"/>
        </w:rPr>
        <w:t>profondamente</w:t>
      </w:r>
      <w:r>
        <w:rPr>
          <w:color w:val="231F20"/>
          <w:spacing w:val="-11"/>
          <w:sz w:val="19"/>
        </w:rPr>
        <w:t> </w:t>
      </w:r>
      <w:r>
        <w:rPr>
          <w:color w:val="231F20"/>
          <w:sz w:val="19"/>
        </w:rPr>
        <w:t>che il proprio regime politico vede alterata la sua</w:t>
      </w:r>
      <w:r>
        <w:rPr>
          <w:color w:val="231F20"/>
          <w:spacing w:val="2"/>
          <w:sz w:val="19"/>
        </w:rPr>
        <w:t> </w:t>
      </w:r>
      <w:r>
        <w:rPr>
          <w:color w:val="231F20"/>
          <w:sz w:val="19"/>
        </w:rPr>
        <w:t>natura</w:t>
      </w:r>
      <w:r>
        <w:rPr>
          <w:color w:val="231F20"/>
          <w:position w:val="6"/>
          <w:sz w:val="11"/>
        </w:rPr>
        <w:t>7</w:t>
      </w:r>
      <w:r>
        <w:rPr>
          <w:color w:val="231F20"/>
          <w:sz w:val="19"/>
        </w:rPr>
        <w:t>.</w:t>
      </w:r>
    </w:p>
    <w:p>
      <w:pPr>
        <w:pStyle w:val="BodyText"/>
        <w:spacing w:before="11"/>
        <w:rPr>
          <w:sz w:val="23"/>
        </w:rPr>
      </w:pPr>
    </w:p>
    <w:p>
      <w:pPr>
        <w:pStyle w:val="BodyText"/>
        <w:spacing w:line="247" w:lineRule="auto"/>
        <w:ind w:left="117" w:right="117"/>
        <w:jc w:val="both"/>
      </w:pPr>
      <w:r>
        <w:rPr>
          <w:color w:val="231F20"/>
          <w:w w:val="105"/>
        </w:rPr>
        <w:t>Nello</w:t>
      </w:r>
      <w:r>
        <w:rPr>
          <w:color w:val="231F20"/>
          <w:spacing w:val="-29"/>
          <w:w w:val="105"/>
        </w:rPr>
        <w:t> </w:t>
      </w:r>
      <w:r>
        <w:rPr>
          <w:color w:val="231F20"/>
          <w:w w:val="105"/>
        </w:rPr>
        <w:t>stesso</w:t>
      </w:r>
      <w:r>
        <w:rPr>
          <w:color w:val="231F20"/>
          <w:spacing w:val="-29"/>
          <w:w w:val="105"/>
        </w:rPr>
        <w:t> </w:t>
      </w:r>
      <w:r>
        <w:rPr>
          <w:color w:val="231F20"/>
          <w:w w:val="105"/>
        </w:rPr>
        <w:t>aspetto,</w:t>
      </w:r>
      <w:r>
        <w:rPr>
          <w:color w:val="231F20"/>
          <w:spacing w:val="-29"/>
          <w:w w:val="105"/>
        </w:rPr>
        <w:t> </w:t>
      </w:r>
      <w:r>
        <w:rPr>
          <w:color w:val="231F20"/>
          <w:w w:val="105"/>
        </w:rPr>
        <w:t>Günther</w:t>
      </w:r>
      <w:r>
        <w:rPr>
          <w:color w:val="231F20"/>
          <w:spacing w:val="-29"/>
          <w:w w:val="105"/>
        </w:rPr>
        <w:t> </w:t>
      </w:r>
      <w:r>
        <w:rPr>
          <w:color w:val="231F20"/>
          <w:w w:val="105"/>
        </w:rPr>
        <w:t>Jakobs</w:t>
      </w:r>
      <w:r>
        <w:rPr>
          <w:color w:val="231F20"/>
          <w:spacing w:val="-29"/>
          <w:w w:val="105"/>
        </w:rPr>
        <w:t> </w:t>
      </w:r>
      <w:r>
        <w:rPr>
          <w:color w:val="231F20"/>
          <w:w w:val="105"/>
        </w:rPr>
        <w:t>propose</w:t>
      </w:r>
      <w:r>
        <w:rPr>
          <w:color w:val="231F20"/>
          <w:spacing w:val="-29"/>
          <w:w w:val="105"/>
        </w:rPr>
        <w:t> </w:t>
      </w:r>
      <w:r>
        <w:rPr>
          <w:color w:val="231F20"/>
          <w:w w:val="105"/>
        </w:rPr>
        <w:t>un</w:t>
      </w:r>
      <w:r>
        <w:rPr>
          <w:color w:val="231F20"/>
          <w:spacing w:val="-29"/>
          <w:w w:val="105"/>
        </w:rPr>
        <w:t> </w:t>
      </w:r>
      <w:r>
        <w:rPr>
          <w:color w:val="231F20"/>
          <w:w w:val="105"/>
        </w:rPr>
        <w:t>diritto</w:t>
      </w:r>
      <w:r>
        <w:rPr>
          <w:color w:val="231F20"/>
          <w:spacing w:val="-29"/>
          <w:w w:val="105"/>
        </w:rPr>
        <w:t> </w:t>
      </w:r>
      <w:r>
        <w:rPr>
          <w:color w:val="231F20"/>
          <w:w w:val="105"/>
        </w:rPr>
        <w:t>penale</w:t>
      </w:r>
      <w:r>
        <w:rPr>
          <w:color w:val="231F20"/>
          <w:spacing w:val="-29"/>
          <w:w w:val="105"/>
        </w:rPr>
        <w:t> </w:t>
      </w:r>
      <w:r>
        <w:rPr>
          <w:color w:val="231F20"/>
          <w:w w:val="105"/>
        </w:rPr>
        <w:t>autoritario che</w:t>
      </w:r>
      <w:r>
        <w:rPr>
          <w:color w:val="231F20"/>
          <w:spacing w:val="-35"/>
          <w:w w:val="105"/>
        </w:rPr>
        <w:t> </w:t>
      </w:r>
      <w:r>
        <w:rPr>
          <w:color w:val="231F20"/>
          <w:w w:val="105"/>
        </w:rPr>
        <w:t>poteva</w:t>
      </w:r>
      <w:r>
        <w:rPr>
          <w:color w:val="231F20"/>
          <w:spacing w:val="-35"/>
          <w:w w:val="105"/>
        </w:rPr>
        <w:t> </w:t>
      </w:r>
      <w:r>
        <w:rPr>
          <w:color w:val="231F20"/>
          <w:w w:val="105"/>
        </w:rPr>
        <w:t>dare</w:t>
      </w:r>
      <w:r>
        <w:rPr>
          <w:color w:val="231F20"/>
          <w:spacing w:val="-35"/>
          <w:w w:val="105"/>
        </w:rPr>
        <w:t> </w:t>
      </w:r>
      <w:r>
        <w:rPr>
          <w:color w:val="231F20"/>
          <w:w w:val="105"/>
        </w:rPr>
        <w:t>risposta</w:t>
      </w:r>
      <w:r>
        <w:rPr>
          <w:color w:val="231F20"/>
          <w:spacing w:val="-35"/>
          <w:w w:val="105"/>
        </w:rPr>
        <w:t> </w:t>
      </w:r>
      <w:r>
        <w:rPr>
          <w:color w:val="231F20"/>
          <w:w w:val="105"/>
        </w:rPr>
        <w:t>a</w:t>
      </w:r>
      <w:r>
        <w:rPr>
          <w:color w:val="231F20"/>
          <w:spacing w:val="-35"/>
          <w:w w:val="105"/>
        </w:rPr>
        <w:t> </w:t>
      </w:r>
      <w:r>
        <w:rPr>
          <w:rFonts w:ascii="Arial" w:hAnsi="Arial"/>
          <w:i/>
          <w:color w:val="231F20"/>
          <w:w w:val="105"/>
        </w:rPr>
        <w:t>casi</w:t>
      </w:r>
      <w:r>
        <w:rPr>
          <w:rFonts w:ascii="Arial" w:hAnsi="Arial"/>
          <w:i/>
          <w:color w:val="231F20"/>
          <w:spacing w:val="-28"/>
          <w:w w:val="105"/>
        </w:rPr>
        <w:t> </w:t>
      </w:r>
      <w:r>
        <w:rPr>
          <w:rFonts w:ascii="Arial" w:hAnsi="Arial"/>
          <w:i/>
          <w:color w:val="231F20"/>
          <w:w w:val="105"/>
        </w:rPr>
        <w:t>estremi</w:t>
      </w:r>
      <w:r>
        <w:rPr>
          <w:color w:val="231F20"/>
          <w:w w:val="105"/>
        </w:rPr>
        <w:t>,</w:t>
      </w:r>
      <w:r>
        <w:rPr>
          <w:color w:val="231F20"/>
          <w:spacing w:val="-35"/>
          <w:w w:val="105"/>
        </w:rPr>
        <w:t> </w:t>
      </w:r>
      <w:r>
        <w:rPr>
          <w:color w:val="231F20"/>
          <w:w w:val="105"/>
        </w:rPr>
        <w:t>in</w:t>
      </w:r>
      <w:r>
        <w:rPr>
          <w:color w:val="231F20"/>
          <w:spacing w:val="-35"/>
          <w:w w:val="105"/>
        </w:rPr>
        <w:t> </w:t>
      </w:r>
      <w:r>
        <w:rPr>
          <w:color w:val="231F20"/>
          <w:w w:val="105"/>
        </w:rPr>
        <w:t>cui</w:t>
      </w:r>
      <w:r>
        <w:rPr>
          <w:color w:val="231F20"/>
          <w:spacing w:val="-35"/>
          <w:w w:val="105"/>
        </w:rPr>
        <w:t> </w:t>
      </w:r>
      <w:r>
        <w:rPr>
          <w:color w:val="231F20"/>
          <w:w w:val="105"/>
        </w:rPr>
        <w:t>i</w:t>
      </w:r>
      <w:r>
        <w:rPr>
          <w:color w:val="231F20"/>
          <w:spacing w:val="-35"/>
          <w:w w:val="105"/>
        </w:rPr>
        <w:t> </w:t>
      </w:r>
      <w:r>
        <w:rPr>
          <w:color w:val="231F20"/>
          <w:w w:val="105"/>
        </w:rPr>
        <w:t>diritti</w:t>
      </w:r>
      <w:r>
        <w:rPr>
          <w:color w:val="231F20"/>
          <w:spacing w:val="-35"/>
          <w:w w:val="105"/>
        </w:rPr>
        <w:t> </w:t>
      </w:r>
      <w:r>
        <w:rPr>
          <w:color w:val="231F20"/>
          <w:w w:val="105"/>
        </w:rPr>
        <w:t>del</w:t>
      </w:r>
      <w:r>
        <w:rPr>
          <w:color w:val="231F20"/>
          <w:spacing w:val="-35"/>
          <w:w w:val="105"/>
        </w:rPr>
        <w:t> </w:t>
      </w:r>
      <w:r>
        <w:rPr>
          <w:color w:val="231F20"/>
          <w:w w:val="105"/>
        </w:rPr>
        <w:t>cittadino</w:t>
      </w:r>
      <w:r>
        <w:rPr>
          <w:color w:val="231F20"/>
          <w:spacing w:val="-35"/>
          <w:w w:val="105"/>
        </w:rPr>
        <w:t> </w:t>
      </w:r>
      <w:r>
        <w:rPr>
          <w:color w:val="231F20"/>
          <w:w w:val="105"/>
        </w:rPr>
        <w:t>(liberale) sarebbero</w:t>
      </w:r>
      <w:r>
        <w:rPr>
          <w:color w:val="231F20"/>
          <w:spacing w:val="-42"/>
          <w:w w:val="105"/>
        </w:rPr>
        <w:t> </w:t>
      </w:r>
      <w:r>
        <w:rPr>
          <w:color w:val="231F20"/>
          <w:w w:val="105"/>
        </w:rPr>
        <w:t>insufficienti.</w:t>
      </w:r>
      <w:r>
        <w:rPr>
          <w:color w:val="231F20"/>
          <w:spacing w:val="-42"/>
          <w:w w:val="105"/>
        </w:rPr>
        <w:t> </w:t>
      </w:r>
      <w:r>
        <w:rPr>
          <w:color w:val="231F20"/>
          <w:w w:val="105"/>
        </w:rPr>
        <w:t>Il</w:t>
      </w:r>
      <w:r>
        <w:rPr>
          <w:color w:val="231F20"/>
          <w:spacing w:val="-42"/>
          <w:w w:val="105"/>
        </w:rPr>
        <w:t> </w:t>
      </w:r>
      <w:r>
        <w:rPr>
          <w:color w:val="231F20"/>
          <w:w w:val="105"/>
          <w:sz w:val="18"/>
        </w:rPr>
        <w:t>DPN</w:t>
      </w:r>
      <w:r>
        <w:rPr>
          <w:color w:val="231F20"/>
          <w:spacing w:val="-32"/>
          <w:w w:val="105"/>
          <w:sz w:val="18"/>
        </w:rPr>
        <w:t> </w:t>
      </w:r>
      <w:r>
        <w:rPr>
          <w:color w:val="231F20"/>
          <w:w w:val="105"/>
        </w:rPr>
        <w:t>si</w:t>
      </w:r>
      <w:r>
        <w:rPr>
          <w:color w:val="231F20"/>
          <w:spacing w:val="-42"/>
          <w:w w:val="105"/>
        </w:rPr>
        <w:t> </w:t>
      </w:r>
      <w:r>
        <w:rPr>
          <w:color w:val="231F20"/>
          <w:w w:val="105"/>
        </w:rPr>
        <w:t>caratterizza</w:t>
      </w:r>
      <w:r>
        <w:rPr>
          <w:color w:val="231F20"/>
          <w:spacing w:val="-42"/>
          <w:w w:val="105"/>
        </w:rPr>
        <w:t> </w:t>
      </w:r>
      <w:r>
        <w:rPr>
          <w:color w:val="231F20"/>
          <w:w w:val="105"/>
        </w:rPr>
        <w:t>per</w:t>
      </w:r>
      <w:r>
        <w:rPr>
          <w:color w:val="231F20"/>
          <w:spacing w:val="-42"/>
          <w:w w:val="105"/>
        </w:rPr>
        <w:t> </w:t>
      </w:r>
      <w:r>
        <w:rPr>
          <w:color w:val="231F20"/>
          <w:w w:val="105"/>
        </w:rPr>
        <w:t>tre</w:t>
      </w:r>
      <w:r>
        <w:rPr>
          <w:color w:val="231F20"/>
          <w:spacing w:val="-42"/>
          <w:w w:val="105"/>
        </w:rPr>
        <w:t> </w:t>
      </w:r>
      <w:r>
        <w:rPr>
          <w:color w:val="231F20"/>
          <w:w w:val="105"/>
        </w:rPr>
        <w:t>elementi:</w:t>
      </w:r>
      <w:r>
        <w:rPr>
          <w:color w:val="231F20"/>
          <w:spacing w:val="-42"/>
          <w:w w:val="105"/>
        </w:rPr>
        <w:t> </w:t>
      </w:r>
      <w:r>
        <w:rPr>
          <w:color w:val="231F20"/>
          <w:w w:val="105"/>
        </w:rPr>
        <w:t>il</w:t>
      </w:r>
      <w:r>
        <w:rPr>
          <w:color w:val="231F20"/>
          <w:spacing w:val="-42"/>
          <w:w w:val="105"/>
        </w:rPr>
        <w:t> </w:t>
      </w:r>
      <w:r>
        <w:rPr>
          <w:color w:val="231F20"/>
          <w:w w:val="105"/>
        </w:rPr>
        <w:t>primo</w:t>
      </w:r>
      <w:r>
        <w:rPr>
          <w:color w:val="231F20"/>
          <w:spacing w:val="-42"/>
          <w:w w:val="105"/>
        </w:rPr>
        <w:t> </w:t>
      </w:r>
      <w:r>
        <w:rPr>
          <w:color w:val="231F20"/>
          <w:w w:val="105"/>
        </w:rPr>
        <w:t>di</w:t>
      </w:r>
      <w:r>
        <w:rPr>
          <w:color w:val="231F20"/>
          <w:spacing w:val="-42"/>
          <w:w w:val="105"/>
        </w:rPr>
        <w:t> </w:t>
      </w:r>
      <w:r>
        <w:rPr>
          <w:color w:val="231F20"/>
          <w:w w:val="105"/>
        </w:rPr>
        <w:t>essi si fondamenta nella prospezione ed anticipazione della punibilità, cioè, nella</w:t>
      </w:r>
      <w:r>
        <w:rPr>
          <w:color w:val="231F20"/>
          <w:spacing w:val="-36"/>
          <w:w w:val="105"/>
        </w:rPr>
        <w:t> </w:t>
      </w:r>
      <w:r>
        <w:rPr>
          <w:color w:val="231F20"/>
          <w:w w:val="105"/>
        </w:rPr>
        <w:t>fattibilità</w:t>
      </w:r>
      <w:r>
        <w:rPr>
          <w:color w:val="231F20"/>
          <w:spacing w:val="-35"/>
          <w:w w:val="105"/>
        </w:rPr>
        <w:t> </w:t>
      </w:r>
      <w:r>
        <w:rPr>
          <w:color w:val="231F20"/>
          <w:w w:val="105"/>
        </w:rPr>
        <w:t>di</w:t>
      </w:r>
      <w:r>
        <w:rPr>
          <w:color w:val="231F20"/>
          <w:spacing w:val="-35"/>
          <w:w w:val="105"/>
        </w:rPr>
        <w:t> </w:t>
      </w:r>
      <w:r>
        <w:rPr>
          <w:color w:val="231F20"/>
          <w:w w:val="105"/>
        </w:rPr>
        <w:t>un</w:t>
      </w:r>
      <w:r>
        <w:rPr>
          <w:color w:val="231F20"/>
          <w:spacing w:val="-36"/>
          <w:w w:val="105"/>
        </w:rPr>
        <w:t> </w:t>
      </w:r>
      <w:r>
        <w:rPr>
          <w:color w:val="231F20"/>
          <w:w w:val="105"/>
        </w:rPr>
        <w:t>fatto</w:t>
      </w:r>
      <w:r>
        <w:rPr>
          <w:color w:val="231F20"/>
          <w:spacing w:val="-35"/>
          <w:w w:val="105"/>
        </w:rPr>
        <w:t> </w:t>
      </w:r>
      <w:r>
        <w:rPr>
          <w:color w:val="231F20"/>
          <w:w w:val="105"/>
        </w:rPr>
        <w:t>futuro</w:t>
      </w:r>
      <w:r>
        <w:rPr>
          <w:color w:val="231F20"/>
          <w:spacing w:val="-35"/>
          <w:w w:val="105"/>
        </w:rPr>
        <w:t> </w:t>
      </w:r>
      <w:r>
        <w:rPr>
          <w:color w:val="231F20"/>
          <w:w w:val="105"/>
        </w:rPr>
        <w:t>a</w:t>
      </w:r>
      <w:r>
        <w:rPr>
          <w:color w:val="231F20"/>
          <w:spacing w:val="-35"/>
          <w:w w:val="105"/>
        </w:rPr>
        <w:t> </w:t>
      </w:r>
      <w:r>
        <w:rPr>
          <w:color w:val="231F20"/>
          <w:w w:val="105"/>
        </w:rPr>
        <w:t>differenza</w:t>
      </w:r>
      <w:r>
        <w:rPr>
          <w:color w:val="231F20"/>
          <w:spacing w:val="-35"/>
          <w:w w:val="105"/>
        </w:rPr>
        <w:t> </w:t>
      </w:r>
      <w:r>
        <w:rPr>
          <w:color w:val="231F20"/>
          <w:w w:val="105"/>
        </w:rPr>
        <w:t>di</w:t>
      </w:r>
      <w:r>
        <w:rPr>
          <w:color w:val="231F20"/>
          <w:spacing w:val="-35"/>
          <w:w w:val="105"/>
        </w:rPr>
        <w:t> </w:t>
      </w:r>
      <w:r>
        <w:rPr>
          <w:color w:val="231F20"/>
          <w:w w:val="105"/>
        </w:rPr>
        <w:t>quello</w:t>
      </w:r>
      <w:r>
        <w:rPr>
          <w:color w:val="231F20"/>
          <w:spacing w:val="-35"/>
          <w:w w:val="105"/>
        </w:rPr>
        <w:t> </w:t>
      </w:r>
      <w:r>
        <w:rPr>
          <w:color w:val="231F20"/>
          <w:w w:val="105"/>
        </w:rPr>
        <w:t>che</w:t>
      </w:r>
      <w:r>
        <w:rPr>
          <w:color w:val="231F20"/>
          <w:spacing w:val="-36"/>
          <w:w w:val="105"/>
        </w:rPr>
        <w:t> </w:t>
      </w:r>
      <w:r>
        <w:rPr>
          <w:color w:val="231F20"/>
          <w:w w:val="105"/>
        </w:rPr>
        <w:t>tradizionalmente si</w:t>
      </w:r>
      <w:r>
        <w:rPr>
          <w:color w:val="231F20"/>
          <w:spacing w:val="-6"/>
          <w:w w:val="105"/>
        </w:rPr>
        <w:t> </w:t>
      </w:r>
      <w:r>
        <w:rPr>
          <w:color w:val="231F20"/>
          <w:spacing w:val="2"/>
          <w:w w:val="105"/>
        </w:rPr>
        <w:t>faceva,</w:t>
      </w:r>
      <w:r>
        <w:rPr>
          <w:color w:val="231F20"/>
          <w:spacing w:val="-6"/>
          <w:w w:val="105"/>
        </w:rPr>
        <w:t> </w:t>
      </w:r>
      <w:r>
        <w:rPr>
          <w:color w:val="231F20"/>
          <w:w w:val="105"/>
        </w:rPr>
        <w:t>che</w:t>
      </w:r>
      <w:r>
        <w:rPr>
          <w:color w:val="231F20"/>
          <w:spacing w:val="-6"/>
          <w:w w:val="105"/>
        </w:rPr>
        <w:t> </w:t>
      </w:r>
      <w:r>
        <w:rPr>
          <w:color w:val="231F20"/>
          <w:w w:val="105"/>
        </w:rPr>
        <w:t>era</w:t>
      </w:r>
      <w:r>
        <w:rPr>
          <w:color w:val="231F20"/>
          <w:spacing w:val="-6"/>
          <w:w w:val="105"/>
        </w:rPr>
        <w:t> </w:t>
      </w:r>
      <w:r>
        <w:rPr>
          <w:color w:val="231F20"/>
          <w:w w:val="105"/>
        </w:rPr>
        <w:t>un</w:t>
      </w:r>
      <w:r>
        <w:rPr>
          <w:color w:val="231F20"/>
          <w:spacing w:val="-6"/>
          <w:w w:val="105"/>
        </w:rPr>
        <w:t> </w:t>
      </w:r>
      <w:r>
        <w:rPr>
          <w:color w:val="231F20"/>
          <w:spacing w:val="2"/>
          <w:w w:val="105"/>
        </w:rPr>
        <w:t>fatto</w:t>
      </w:r>
      <w:r>
        <w:rPr>
          <w:color w:val="231F20"/>
          <w:spacing w:val="-6"/>
          <w:w w:val="105"/>
        </w:rPr>
        <w:t> </w:t>
      </w:r>
      <w:r>
        <w:rPr>
          <w:color w:val="231F20"/>
          <w:spacing w:val="2"/>
          <w:w w:val="105"/>
        </w:rPr>
        <w:t>retrospettivo</w:t>
      </w:r>
      <w:r>
        <w:rPr>
          <w:color w:val="231F20"/>
          <w:spacing w:val="-6"/>
          <w:w w:val="105"/>
        </w:rPr>
        <w:t> </w:t>
      </w:r>
      <w:r>
        <w:rPr>
          <w:color w:val="231F20"/>
          <w:w w:val="105"/>
        </w:rPr>
        <w:t>(la</w:t>
      </w:r>
      <w:r>
        <w:rPr>
          <w:color w:val="231F20"/>
          <w:spacing w:val="-6"/>
          <w:w w:val="105"/>
        </w:rPr>
        <w:t> </w:t>
      </w:r>
      <w:r>
        <w:rPr>
          <w:color w:val="231F20"/>
          <w:spacing w:val="2"/>
          <w:w w:val="105"/>
        </w:rPr>
        <w:t>commissione</w:t>
      </w:r>
      <w:r>
        <w:rPr>
          <w:color w:val="231F20"/>
          <w:spacing w:val="-6"/>
          <w:w w:val="105"/>
        </w:rPr>
        <w:t> </w:t>
      </w:r>
      <w:r>
        <w:rPr>
          <w:color w:val="231F20"/>
          <w:w w:val="105"/>
        </w:rPr>
        <w:t>di</w:t>
      </w:r>
      <w:r>
        <w:rPr>
          <w:color w:val="231F20"/>
          <w:spacing w:val="-6"/>
          <w:w w:val="105"/>
        </w:rPr>
        <w:t> </w:t>
      </w:r>
      <w:r>
        <w:rPr>
          <w:color w:val="231F20"/>
          <w:w w:val="105"/>
        </w:rPr>
        <w:t>un</w:t>
      </w:r>
      <w:r>
        <w:rPr>
          <w:color w:val="231F20"/>
          <w:spacing w:val="-6"/>
          <w:w w:val="105"/>
        </w:rPr>
        <w:t> </w:t>
      </w:r>
      <w:r>
        <w:rPr>
          <w:color w:val="231F20"/>
          <w:spacing w:val="3"/>
          <w:w w:val="105"/>
        </w:rPr>
        <w:t>delitto). </w:t>
      </w:r>
      <w:r>
        <w:rPr>
          <w:color w:val="231F20"/>
          <w:w w:val="105"/>
        </w:rPr>
        <w:t>Al secondo posto, le punizioni previste sono sproporzionatamente alte, </w:t>
      </w:r>
      <w:r>
        <w:rPr>
          <w:color w:val="231F20"/>
          <w:spacing w:val="2"/>
          <w:w w:val="105"/>
        </w:rPr>
        <w:t>quindi, </w:t>
      </w:r>
      <w:r>
        <w:rPr>
          <w:color w:val="231F20"/>
          <w:w w:val="105"/>
        </w:rPr>
        <w:t>si </w:t>
      </w:r>
      <w:r>
        <w:rPr>
          <w:color w:val="231F20"/>
          <w:spacing w:val="2"/>
          <w:w w:val="105"/>
        </w:rPr>
        <w:t>esprimono come sentenze </w:t>
      </w:r>
      <w:r>
        <w:rPr>
          <w:color w:val="231F20"/>
          <w:w w:val="105"/>
        </w:rPr>
        <w:t>di </w:t>
      </w:r>
      <w:r>
        <w:rPr>
          <w:color w:val="231F20"/>
          <w:spacing w:val="2"/>
          <w:w w:val="105"/>
        </w:rPr>
        <w:t>lunga durata </w:t>
      </w:r>
      <w:r>
        <w:rPr>
          <w:color w:val="231F20"/>
          <w:w w:val="105"/>
        </w:rPr>
        <w:t>in cui i </w:t>
      </w:r>
      <w:r>
        <w:rPr>
          <w:color w:val="231F20"/>
          <w:spacing w:val="2"/>
          <w:w w:val="105"/>
        </w:rPr>
        <w:t>diritti </w:t>
      </w:r>
      <w:r>
        <w:rPr>
          <w:color w:val="231F20"/>
          <w:w w:val="105"/>
        </w:rPr>
        <w:t>dei delinquenti si vulnerano sotto l’argomento di “alta pericolosità” e sono rinchiusi</w:t>
      </w:r>
      <w:r>
        <w:rPr>
          <w:color w:val="231F20"/>
          <w:spacing w:val="-16"/>
          <w:w w:val="105"/>
        </w:rPr>
        <w:t> </w:t>
      </w:r>
      <w:r>
        <w:rPr>
          <w:color w:val="231F20"/>
          <w:w w:val="105"/>
        </w:rPr>
        <w:t>per</w:t>
      </w:r>
      <w:r>
        <w:rPr>
          <w:color w:val="231F20"/>
          <w:spacing w:val="-16"/>
          <w:w w:val="105"/>
        </w:rPr>
        <w:t> </w:t>
      </w:r>
      <w:r>
        <w:rPr>
          <w:color w:val="231F20"/>
          <w:w w:val="105"/>
        </w:rPr>
        <w:t>questo</w:t>
      </w:r>
      <w:r>
        <w:rPr>
          <w:color w:val="231F20"/>
          <w:spacing w:val="-16"/>
          <w:w w:val="105"/>
        </w:rPr>
        <w:t> </w:t>
      </w:r>
      <w:r>
        <w:rPr>
          <w:color w:val="231F20"/>
          <w:w w:val="105"/>
        </w:rPr>
        <w:t>in</w:t>
      </w:r>
      <w:r>
        <w:rPr>
          <w:color w:val="231F20"/>
          <w:spacing w:val="-16"/>
          <w:w w:val="105"/>
        </w:rPr>
        <w:t> </w:t>
      </w:r>
      <w:r>
        <w:rPr>
          <w:color w:val="231F20"/>
          <w:w w:val="105"/>
        </w:rPr>
        <w:t>una</w:t>
      </w:r>
      <w:r>
        <w:rPr>
          <w:color w:val="231F20"/>
          <w:spacing w:val="-16"/>
          <w:w w:val="105"/>
        </w:rPr>
        <w:t> </w:t>
      </w:r>
      <w:r>
        <w:rPr>
          <w:color w:val="231F20"/>
          <w:w w:val="105"/>
        </w:rPr>
        <w:t>prigione</w:t>
      </w:r>
      <w:r>
        <w:rPr>
          <w:color w:val="231F20"/>
          <w:spacing w:val="-16"/>
          <w:w w:val="105"/>
        </w:rPr>
        <w:t> </w:t>
      </w:r>
      <w:r>
        <w:rPr>
          <w:color w:val="231F20"/>
          <w:w w:val="105"/>
        </w:rPr>
        <w:t>di</w:t>
      </w:r>
      <w:r>
        <w:rPr>
          <w:color w:val="231F20"/>
          <w:spacing w:val="-16"/>
          <w:w w:val="105"/>
        </w:rPr>
        <w:t> </w:t>
      </w:r>
      <w:r>
        <w:rPr>
          <w:color w:val="231F20"/>
          <w:w w:val="105"/>
        </w:rPr>
        <w:t>massima</w:t>
      </w:r>
      <w:r>
        <w:rPr>
          <w:color w:val="231F20"/>
          <w:spacing w:val="-16"/>
          <w:w w:val="105"/>
        </w:rPr>
        <w:t> </w:t>
      </w:r>
      <w:r>
        <w:rPr>
          <w:color w:val="231F20"/>
          <w:w w:val="105"/>
        </w:rPr>
        <w:t>sicurezza.</w:t>
      </w:r>
      <w:r>
        <w:rPr>
          <w:color w:val="231F20"/>
          <w:spacing w:val="-16"/>
          <w:w w:val="105"/>
        </w:rPr>
        <w:t> </w:t>
      </w:r>
      <w:r>
        <w:rPr>
          <w:color w:val="231F20"/>
          <w:w w:val="105"/>
        </w:rPr>
        <w:t>Al</w:t>
      </w:r>
      <w:r>
        <w:rPr>
          <w:color w:val="231F20"/>
          <w:spacing w:val="-16"/>
          <w:w w:val="105"/>
        </w:rPr>
        <w:t> </w:t>
      </w:r>
      <w:r>
        <w:rPr>
          <w:color w:val="231F20"/>
          <w:w w:val="105"/>
        </w:rPr>
        <w:t>terzo</w:t>
      </w:r>
      <w:r>
        <w:rPr>
          <w:color w:val="231F20"/>
          <w:spacing w:val="-16"/>
          <w:w w:val="105"/>
        </w:rPr>
        <w:t> </w:t>
      </w:r>
      <w:r>
        <w:rPr>
          <w:color w:val="231F20"/>
          <w:w w:val="105"/>
        </w:rPr>
        <w:t>posto, determinate</w:t>
      </w:r>
      <w:r>
        <w:rPr>
          <w:color w:val="231F20"/>
          <w:spacing w:val="-11"/>
          <w:w w:val="105"/>
        </w:rPr>
        <w:t> </w:t>
      </w:r>
      <w:r>
        <w:rPr>
          <w:color w:val="231F20"/>
          <w:w w:val="105"/>
        </w:rPr>
        <w:t>garanzie</w:t>
      </w:r>
      <w:r>
        <w:rPr>
          <w:color w:val="231F20"/>
          <w:spacing w:val="-11"/>
          <w:w w:val="105"/>
        </w:rPr>
        <w:t> </w:t>
      </w:r>
      <w:r>
        <w:rPr>
          <w:color w:val="231F20"/>
          <w:w w:val="105"/>
        </w:rPr>
        <w:t>sono</w:t>
      </w:r>
      <w:r>
        <w:rPr>
          <w:color w:val="231F20"/>
          <w:spacing w:val="-11"/>
          <w:w w:val="105"/>
        </w:rPr>
        <w:t> </w:t>
      </w:r>
      <w:r>
        <w:rPr>
          <w:color w:val="231F20"/>
          <w:w w:val="105"/>
        </w:rPr>
        <w:t>relativizzate</w:t>
      </w:r>
      <w:r>
        <w:rPr>
          <w:color w:val="231F20"/>
          <w:spacing w:val="-11"/>
          <w:w w:val="105"/>
        </w:rPr>
        <w:t> </w:t>
      </w:r>
      <w:r>
        <w:rPr>
          <w:color w:val="231F20"/>
          <w:w w:val="105"/>
        </w:rPr>
        <w:t>o</w:t>
      </w:r>
      <w:r>
        <w:rPr>
          <w:color w:val="231F20"/>
          <w:spacing w:val="-11"/>
          <w:w w:val="105"/>
        </w:rPr>
        <w:t> </w:t>
      </w:r>
      <w:r>
        <w:rPr>
          <w:color w:val="231F20"/>
          <w:w w:val="105"/>
        </w:rPr>
        <w:t>perfino</w:t>
      </w:r>
      <w:r>
        <w:rPr>
          <w:color w:val="231F20"/>
          <w:spacing w:val="-11"/>
          <w:w w:val="105"/>
        </w:rPr>
        <w:t> </w:t>
      </w:r>
      <w:r>
        <w:rPr>
          <w:color w:val="231F20"/>
          <w:w w:val="105"/>
        </w:rPr>
        <w:t>soppresse.</w:t>
      </w:r>
      <w:r>
        <w:rPr>
          <w:color w:val="231F20"/>
          <w:spacing w:val="-11"/>
          <w:w w:val="105"/>
        </w:rPr>
        <w:t> </w:t>
      </w:r>
      <w:r>
        <w:rPr>
          <w:color w:val="231F20"/>
          <w:w w:val="105"/>
        </w:rPr>
        <w:t>Per</w:t>
      </w:r>
      <w:r>
        <w:rPr>
          <w:color w:val="231F20"/>
          <w:spacing w:val="-11"/>
          <w:w w:val="105"/>
        </w:rPr>
        <w:t> </w:t>
      </w:r>
      <w:r>
        <w:rPr>
          <w:color w:val="231F20"/>
          <w:w w:val="105"/>
        </w:rPr>
        <w:t>ultimo, non</w:t>
      </w:r>
      <w:r>
        <w:rPr>
          <w:color w:val="231F20"/>
          <w:spacing w:val="-24"/>
          <w:w w:val="105"/>
        </w:rPr>
        <w:t> </w:t>
      </w:r>
      <w:r>
        <w:rPr>
          <w:color w:val="231F20"/>
          <w:w w:val="105"/>
        </w:rPr>
        <w:t>si</w:t>
      </w:r>
      <w:r>
        <w:rPr>
          <w:color w:val="231F20"/>
          <w:spacing w:val="-24"/>
          <w:w w:val="105"/>
        </w:rPr>
        <w:t> </w:t>
      </w:r>
      <w:r>
        <w:rPr>
          <w:color w:val="231F20"/>
          <w:w w:val="105"/>
        </w:rPr>
        <w:t>da</w:t>
      </w:r>
      <w:r>
        <w:rPr>
          <w:color w:val="231F20"/>
          <w:spacing w:val="-24"/>
          <w:w w:val="105"/>
        </w:rPr>
        <w:t> </w:t>
      </w:r>
      <w:r>
        <w:rPr>
          <w:color w:val="231F20"/>
          <w:w w:val="105"/>
        </w:rPr>
        <w:t>nessuna</w:t>
      </w:r>
      <w:r>
        <w:rPr>
          <w:color w:val="231F20"/>
          <w:spacing w:val="-24"/>
          <w:w w:val="105"/>
        </w:rPr>
        <w:t> </w:t>
      </w:r>
      <w:r>
        <w:rPr>
          <w:color w:val="231F20"/>
          <w:w w:val="105"/>
        </w:rPr>
        <w:t>attenzione</w:t>
      </w:r>
      <w:r>
        <w:rPr>
          <w:color w:val="231F20"/>
          <w:spacing w:val="-24"/>
          <w:w w:val="105"/>
        </w:rPr>
        <w:t> </w:t>
      </w:r>
      <w:r>
        <w:rPr>
          <w:color w:val="231F20"/>
          <w:w w:val="105"/>
        </w:rPr>
        <w:t>ai</w:t>
      </w:r>
      <w:r>
        <w:rPr>
          <w:color w:val="231F20"/>
          <w:spacing w:val="-24"/>
          <w:w w:val="105"/>
        </w:rPr>
        <w:t> </w:t>
      </w:r>
      <w:r>
        <w:rPr>
          <w:color w:val="231F20"/>
          <w:w w:val="105"/>
        </w:rPr>
        <w:t>trattati</w:t>
      </w:r>
      <w:r>
        <w:rPr>
          <w:color w:val="231F20"/>
          <w:spacing w:val="-24"/>
          <w:w w:val="105"/>
        </w:rPr>
        <w:t> </w:t>
      </w:r>
      <w:r>
        <w:rPr>
          <w:color w:val="231F20"/>
          <w:w w:val="105"/>
        </w:rPr>
        <w:t>internazionali</w:t>
      </w:r>
      <w:r>
        <w:rPr>
          <w:color w:val="231F20"/>
          <w:spacing w:val="-24"/>
          <w:w w:val="105"/>
        </w:rPr>
        <w:t> </w:t>
      </w:r>
      <w:r>
        <w:rPr>
          <w:color w:val="231F20"/>
          <w:w w:val="105"/>
        </w:rPr>
        <w:t>di</w:t>
      </w:r>
      <w:r>
        <w:rPr>
          <w:color w:val="231F20"/>
          <w:spacing w:val="-24"/>
          <w:w w:val="105"/>
        </w:rPr>
        <w:t> </w:t>
      </w:r>
      <w:r>
        <w:rPr>
          <w:color w:val="231F20"/>
          <w:w w:val="105"/>
        </w:rPr>
        <w:t>Diritti</w:t>
      </w:r>
      <w:r>
        <w:rPr>
          <w:color w:val="231F20"/>
          <w:spacing w:val="-24"/>
          <w:w w:val="105"/>
        </w:rPr>
        <w:t> </w:t>
      </w:r>
      <w:r>
        <w:rPr>
          <w:color w:val="231F20"/>
          <w:w w:val="105"/>
        </w:rPr>
        <w:t>umani</w:t>
      </w:r>
      <w:r>
        <w:rPr>
          <w:color w:val="231F20"/>
          <w:spacing w:val="-24"/>
          <w:w w:val="105"/>
        </w:rPr>
        <w:t> </w:t>
      </w:r>
      <w:r>
        <w:rPr>
          <w:color w:val="231F20"/>
          <w:w w:val="105"/>
        </w:rPr>
        <w:t>e</w:t>
      </w:r>
      <w:r>
        <w:rPr>
          <w:color w:val="231F20"/>
          <w:spacing w:val="-24"/>
          <w:w w:val="105"/>
        </w:rPr>
        <w:t> </w:t>
      </w:r>
      <w:r>
        <w:rPr>
          <w:color w:val="231F20"/>
          <w:w w:val="105"/>
        </w:rPr>
        <w:t>dei </w:t>
      </w:r>
      <w:r>
        <w:rPr>
          <w:color w:val="231F20"/>
          <w:spacing w:val="-3"/>
          <w:w w:val="105"/>
        </w:rPr>
        <w:t>Tribunali</w:t>
      </w:r>
      <w:r>
        <w:rPr>
          <w:color w:val="231F20"/>
          <w:spacing w:val="-35"/>
          <w:w w:val="105"/>
        </w:rPr>
        <w:t> </w:t>
      </w:r>
      <w:r>
        <w:rPr>
          <w:color w:val="231F20"/>
          <w:w w:val="105"/>
        </w:rPr>
        <w:t>Internazionali</w:t>
      </w:r>
      <w:r>
        <w:rPr>
          <w:color w:val="231F20"/>
          <w:w w:val="105"/>
          <w:position w:val="7"/>
          <w:sz w:val="12"/>
        </w:rPr>
        <w:t>8</w:t>
      </w:r>
      <w:r>
        <w:rPr>
          <w:color w:val="231F20"/>
          <w:w w:val="105"/>
        </w:rPr>
        <w:t>.</w:t>
      </w:r>
      <w:r>
        <w:rPr>
          <w:color w:val="231F20"/>
          <w:spacing w:val="-35"/>
          <w:w w:val="105"/>
        </w:rPr>
        <w:t> </w:t>
      </w:r>
      <w:r>
        <w:rPr>
          <w:color w:val="231F20"/>
          <w:w w:val="105"/>
        </w:rPr>
        <w:t>Il</w:t>
      </w:r>
      <w:r>
        <w:rPr>
          <w:color w:val="231F20"/>
          <w:spacing w:val="-35"/>
          <w:w w:val="105"/>
        </w:rPr>
        <w:t> </w:t>
      </w:r>
      <w:r>
        <w:rPr>
          <w:color w:val="231F20"/>
          <w:w w:val="105"/>
          <w:sz w:val="18"/>
        </w:rPr>
        <w:t>DPN</w:t>
      </w:r>
      <w:r>
        <w:rPr>
          <w:color w:val="231F20"/>
          <w:spacing w:val="-24"/>
          <w:w w:val="105"/>
          <w:sz w:val="18"/>
        </w:rPr>
        <w:t> </w:t>
      </w:r>
      <w:r>
        <w:rPr>
          <w:color w:val="231F20"/>
          <w:w w:val="105"/>
        </w:rPr>
        <w:t>si</w:t>
      </w:r>
      <w:r>
        <w:rPr>
          <w:color w:val="231F20"/>
          <w:spacing w:val="-35"/>
          <w:w w:val="105"/>
        </w:rPr>
        <w:t> </w:t>
      </w:r>
      <w:r>
        <w:rPr>
          <w:color w:val="231F20"/>
          <w:w w:val="105"/>
        </w:rPr>
        <w:t>può</w:t>
      </w:r>
      <w:r>
        <w:rPr>
          <w:color w:val="231F20"/>
          <w:spacing w:val="-35"/>
          <w:w w:val="105"/>
        </w:rPr>
        <w:t> </w:t>
      </w:r>
      <w:r>
        <w:rPr>
          <w:color w:val="231F20"/>
          <w:w w:val="105"/>
        </w:rPr>
        <w:t>solo</w:t>
      </w:r>
      <w:r>
        <w:rPr>
          <w:color w:val="231F20"/>
          <w:spacing w:val="-35"/>
          <w:w w:val="105"/>
        </w:rPr>
        <w:t> </w:t>
      </w:r>
      <w:r>
        <w:rPr>
          <w:color w:val="231F20"/>
          <w:w w:val="105"/>
        </w:rPr>
        <w:t>legittimare</w:t>
      </w:r>
      <w:r>
        <w:rPr>
          <w:color w:val="231F20"/>
          <w:spacing w:val="-35"/>
          <w:w w:val="105"/>
        </w:rPr>
        <w:t> </w:t>
      </w:r>
      <w:r>
        <w:rPr>
          <w:color w:val="231F20"/>
          <w:w w:val="105"/>
        </w:rPr>
        <w:t>con</w:t>
      </w:r>
      <w:r>
        <w:rPr>
          <w:color w:val="231F20"/>
          <w:spacing w:val="-35"/>
          <w:w w:val="105"/>
        </w:rPr>
        <w:t> </w:t>
      </w:r>
      <w:r>
        <w:rPr>
          <w:color w:val="231F20"/>
          <w:w w:val="105"/>
        </w:rPr>
        <w:t>un</w:t>
      </w:r>
      <w:r>
        <w:rPr>
          <w:color w:val="231F20"/>
          <w:spacing w:val="-35"/>
          <w:w w:val="105"/>
        </w:rPr>
        <w:t> </w:t>
      </w:r>
      <w:r>
        <w:rPr>
          <w:color w:val="231F20"/>
          <w:w w:val="105"/>
        </w:rPr>
        <w:t>Diritto</w:t>
      </w:r>
      <w:r>
        <w:rPr>
          <w:color w:val="231F20"/>
          <w:spacing w:val="-35"/>
          <w:w w:val="105"/>
        </w:rPr>
        <w:t> </w:t>
      </w:r>
      <w:r>
        <w:rPr>
          <w:color w:val="231F20"/>
          <w:w w:val="105"/>
        </w:rPr>
        <w:t>penale </w:t>
      </w:r>
      <w:r>
        <w:rPr>
          <w:color w:val="231F20"/>
          <w:spacing w:val="-3"/>
          <w:w w:val="105"/>
        </w:rPr>
        <w:t>d’emergenza</w:t>
      </w:r>
      <w:r>
        <w:rPr>
          <w:color w:val="231F20"/>
          <w:spacing w:val="-50"/>
          <w:w w:val="105"/>
        </w:rPr>
        <w:t> </w:t>
      </w:r>
      <w:r>
        <w:rPr>
          <w:color w:val="231F20"/>
          <w:w w:val="105"/>
        </w:rPr>
        <w:t>che</w:t>
      </w:r>
      <w:r>
        <w:rPr>
          <w:color w:val="231F20"/>
          <w:spacing w:val="-50"/>
          <w:w w:val="105"/>
        </w:rPr>
        <w:t> </w:t>
      </w:r>
      <w:r>
        <w:rPr>
          <w:color w:val="231F20"/>
          <w:spacing w:val="-3"/>
          <w:w w:val="105"/>
        </w:rPr>
        <w:t>regge</w:t>
      </w:r>
      <w:r>
        <w:rPr>
          <w:color w:val="231F20"/>
          <w:spacing w:val="-50"/>
          <w:w w:val="105"/>
        </w:rPr>
        <w:t> </w:t>
      </w:r>
      <w:r>
        <w:rPr>
          <w:color w:val="231F20"/>
          <w:w w:val="105"/>
        </w:rPr>
        <w:t>eccezionalmente</w:t>
      </w:r>
      <w:r>
        <w:rPr>
          <w:color w:val="231F20"/>
          <w:spacing w:val="-50"/>
          <w:w w:val="105"/>
        </w:rPr>
        <w:t> </w:t>
      </w:r>
      <w:r>
        <w:rPr>
          <w:color w:val="231F20"/>
          <w:w w:val="105"/>
        </w:rPr>
        <w:t>e</w:t>
      </w:r>
      <w:r>
        <w:rPr>
          <w:color w:val="231F20"/>
          <w:spacing w:val="-50"/>
          <w:w w:val="105"/>
        </w:rPr>
        <w:t> </w:t>
      </w:r>
      <w:r>
        <w:rPr>
          <w:color w:val="231F20"/>
          <w:w w:val="105"/>
        </w:rPr>
        <w:t>non</w:t>
      </w:r>
      <w:r>
        <w:rPr>
          <w:color w:val="231F20"/>
          <w:spacing w:val="-50"/>
          <w:w w:val="105"/>
        </w:rPr>
        <w:t> </w:t>
      </w:r>
      <w:r>
        <w:rPr>
          <w:color w:val="231F20"/>
          <w:w w:val="105"/>
        </w:rPr>
        <w:t>in</w:t>
      </w:r>
      <w:r>
        <w:rPr>
          <w:color w:val="231F20"/>
          <w:spacing w:val="-50"/>
          <w:w w:val="105"/>
        </w:rPr>
        <w:t> </w:t>
      </w:r>
      <w:r>
        <w:rPr>
          <w:color w:val="231F20"/>
          <w:w w:val="105"/>
        </w:rPr>
        <w:t>maniera</w:t>
      </w:r>
      <w:r>
        <w:rPr>
          <w:color w:val="231F20"/>
          <w:spacing w:val="-50"/>
          <w:w w:val="105"/>
        </w:rPr>
        <w:t> </w:t>
      </w:r>
      <w:r>
        <w:rPr>
          <w:color w:val="231F20"/>
          <w:w w:val="105"/>
        </w:rPr>
        <w:t>permanente,</w:t>
      </w:r>
      <w:r>
        <w:rPr>
          <w:color w:val="231F20"/>
          <w:spacing w:val="-50"/>
          <w:w w:val="105"/>
        </w:rPr>
        <w:t> </w:t>
      </w:r>
      <w:r>
        <w:rPr>
          <w:color w:val="231F20"/>
          <w:w w:val="105"/>
        </w:rPr>
        <w:t>tale e</w:t>
      </w:r>
      <w:r>
        <w:rPr>
          <w:color w:val="231F20"/>
          <w:spacing w:val="-28"/>
          <w:w w:val="105"/>
        </w:rPr>
        <w:t> </w:t>
      </w:r>
      <w:r>
        <w:rPr>
          <w:color w:val="231F20"/>
          <w:w w:val="105"/>
        </w:rPr>
        <w:t>come</w:t>
      </w:r>
      <w:r>
        <w:rPr>
          <w:color w:val="231F20"/>
          <w:spacing w:val="-28"/>
          <w:w w:val="105"/>
        </w:rPr>
        <w:t> </w:t>
      </w:r>
      <w:r>
        <w:rPr>
          <w:color w:val="231F20"/>
          <w:w w:val="105"/>
        </w:rPr>
        <w:t>è</w:t>
      </w:r>
      <w:r>
        <w:rPr>
          <w:color w:val="231F20"/>
          <w:spacing w:val="-28"/>
          <w:w w:val="105"/>
        </w:rPr>
        <w:t> </w:t>
      </w:r>
      <w:r>
        <w:rPr>
          <w:color w:val="231F20"/>
          <w:w w:val="105"/>
        </w:rPr>
        <w:t>stato</w:t>
      </w:r>
      <w:r>
        <w:rPr>
          <w:color w:val="231F20"/>
          <w:spacing w:val="-28"/>
          <w:w w:val="105"/>
        </w:rPr>
        <w:t> </w:t>
      </w:r>
      <w:r>
        <w:rPr>
          <w:color w:val="231F20"/>
          <w:w w:val="105"/>
        </w:rPr>
        <w:t>utilizzato</w:t>
      </w:r>
      <w:r>
        <w:rPr>
          <w:color w:val="231F20"/>
          <w:spacing w:val="-28"/>
          <w:w w:val="105"/>
        </w:rPr>
        <w:t> </w:t>
      </w:r>
      <w:r>
        <w:rPr>
          <w:color w:val="231F20"/>
          <w:w w:val="105"/>
        </w:rPr>
        <w:t>dagli</w:t>
      </w:r>
      <w:r>
        <w:rPr>
          <w:color w:val="231F20"/>
          <w:spacing w:val="-28"/>
          <w:w w:val="105"/>
        </w:rPr>
        <w:t> </w:t>
      </w:r>
      <w:r>
        <w:rPr>
          <w:color w:val="231F20"/>
          <w:w w:val="105"/>
        </w:rPr>
        <w:t>Stati</w:t>
      </w:r>
      <w:r>
        <w:rPr>
          <w:color w:val="231F20"/>
          <w:spacing w:val="-28"/>
          <w:w w:val="105"/>
        </w:rPr>
        <w:t> </w:t>
      </w:r>
      <w:r>
        <w:rPr>
          <w:color w:val="231F20"/>
          <w:w w:val="105"/>
        </w:rPr>
        <w:t>Uniti.</w:t>
      </w:r>
    </w:p>
    <w:p>
      <w:pPr>
        <w:pStyle w:val="BodyText"/>
        <w:spacing w:line="247" w:lineRule="auto"/>
        <w:ind w:left="117" w:right="121" w:firstLine="566"/>
        <w:jc w:val="both"/>
      </w:pPr>
      <w:r>
        <w:rPr>
          <w:color w:val="231F20"/>
          <w:w w:val="105"/>
        </w:rPr>
        <w:t>Nonostante,</w:t>
      </w:r>
      <w:r>
        <w:rPr>
          <w:color w:val="231F20"/>
          <w:spacing w:val="-8"/>
          <w:w w:val="105"/>
        </w:rPr>
        <w:t> </w:t>
      </w:r>
      <w:r>
        <w:rPr>
          <w:color w:val="231F20"/>
          <w:w w:val="105"/>
        </w:rPr>
        <w:t>anche</w:t>
      </w:r>
      <w:r>
        <w:rPr>
          <w:color w:val="231F20"/>
          <w:spacing w:val="-8"/>
          <w:w w:val="105"/>
        </w:rPr>
        <w:t> </w:t>
      </w:r>
      <w:r>
        <w:rPr>
          <w:color w:val="231F20"/>
          <w:w w:val="105"/>
        </w:rPr>
        <w:t>se</w:t>
      </w:r>
      <w:r>
        <w:rPr>
          <w:color w:val="231F20"/>
          <w:spacing w:val="-8"/>
          <w:w w:val="105"/>
        </w:rPr>
        <w:t> </w:t>
      </w:r>
      <w:r>
        <w:rPr>
          <w:color w:val="231F20"/>
          <w:w w:val="105"/>
        </w:rPr>
        <w:t>tanto</w:t>
      </w:r>
      <w:r>
        <w:rPr>
          <w:color w:val="231F20"/>
          <w:spacing w:val="-8"/>
          <w:w w:val="105"/>
        </w:rPr>
        <w:t> </w:t>
      </w:r>
      <w:r>
        <w:rPr>
          <w:color w:val="231F20"/>
          <w:w w:val="105"/>
        </w:rPr>
        <w:t>Schmitt</w:t>
      </w:r>
      <w:r>
        <w:rPr>
          <w:color w:val="231F20"/>
          <w:spacing w:val="-8"/>
          <w:w w:val="105"/>
        </w:rPr>
        <w:t> </w:t>
      </w:r>
      <w:r>
        <w:rPr>
          <w:color w:val="231F20"/>
          <w:w w:val="105"/>
        </w:rPr>
        <w:t>come</w:t>
      </w:r>
      <w:r>
        <w:rPr>
          <w:color w:val="231F20"/>
          <w:spacing w:val="-8"/>
          <w:w w:val="105"/>
        </w:rPr>
        <w:t> </w:t>
      </w:r>
      <w:r>
        <w:rPr>
          <w:color w:val="231F20"/>
          <w:w w:val="105"/>
        </w:rPr>
        <w:t>Jakobs</w:t>
      </w:r>
      <w:r>
        <w:rPr>
          <w:color w:val="231F20"/>
          <w:spacing w:val="-8"/>
          <w:w w:val="105"/>
        </w:rPr>
        <w:t> </w:t>
      </w:r>
      <w:r>
        <w:rPr>
          <w:color w:val="231F20"/>
          <w:w w:val="105"/>
        </w:rPr>
        <w:t>danno</w:t>
      </w:r>
      <w:r>
        <w:rPr>
          <w:color w:val="231F20"/>
          <w:spacing w:val="-8"/>
          <w:w w:val="105"/>
        </w:rPr>
        <w:t> </w:t>
      </w:r>
      <w:r>
        <w:rPr>
          <w:color w:val="231F20"/>
          <w:w w:val="105"/>
        </w:rPr>
        <w:t>un</w:t>
      </w:r>
      <w:r>
        <w:rPr>
          <w:color w:val="231F20"/>
          <w:spacing w:val="-8"/>
          <w:w w:val="105"/>
        </w:rPr>
        <w:t> </w:t>
      </w:r>
      <w:r>
        <w:rPr>
          <w:color w:val="231F20"/>
          <w:w w:val="105"/>
        </w:rPr>
        <w:t>posto </w:t>
      </w:r>
      <w:r>
        <w:rPr>
          <w:color w:val="231F20"/>
          <w:spacing w:val="-3"/>
          <w:w w:val="105"/>
        </w:rPr>
        <w:t>importante</w:t>
      </w:r>
      <w:r>
        <w:rPr>
          <w:color w:val="231F20"/>
          <w:spacing w:val="-41"/>
          <w:w w:val="105"/>
        </w:rPr>
        <w:t> </w:t>
      </w:r>
      <w:r>
        <w:rPr>
          <w:color w:val="231F20"/>
          <w:w w:val="105"/>
        </w:rPr>
        <w:t>alla</w:t>
      </w:r>
      <w:r>
        <w:rPr>
          <w:color w:val="231F20"/>
          <w:spacing w:val="-41"/>
          <w:w w:val="105"/>
        </w:rPr>
        <w:t> </w:t>
      </w:r>
      <w:r>
        <w:rPr>
          <w:color w:val="231F20"/>
          <w:spacing w:val="-3"/>
          <w:w w:val="105"/>
        </w:rPr>
        <w:t>figura</w:t>
      </w:r>
      <w:r>
        <w:rPr>
          <w:color w:val="231F20"/>
          <w:spacing w:val="-41"/>
          <w:w w:val="105"/>
        </w:rPr>
        <w:t> </w:t>
      </w:r>
      <w:r>
        <w:rPr>
          <w:color w:val="231F20"/>
          <w:w w:val="105"/>
        </w:rPr>
        <w:t>del</w:t>
      </w:r>
      <w:r>
        <w:rPr>
          <w:color w:val="231F20"/>
          <w:spacing w:val="-41"/>
          <w:w w:val="105"/>
        </w:rPr>
        <w:t> </w:t>
      </w:r>
      <w:r>
        <w:rPr>
          <w:color w:val="231F20"/>
          <w:spacing w:val="-3"/>
          <w:w w:val="105"/>
        </w:rPr>
        <w:t>nemico</w:t>
      </w:r>
      <w:r>
        <w:rPr>
          <w:color w:val="231F20"/>
          <w:spacing w:val="-41"/>
          <w:w w:val="105"/>
        </w:rPr>
        <w:t> </w:t>
      </w:r>
      <w:r>
        <w:rPr>
          <w:color w:val="231F20"/>
          <w:spacing w:val="-3"/>
          <w:w w:val="105"/>
        </w:rPr>
        <w:t>nelle</w:t>
      </w:r>
      <w:r>
        <w:rPr>
          <w:color w:val="231F20"/>
          <w:spacing w:val="-41"/>
          <w:w w:val="105"/>
        </w:rPr>
        <w:t> </w:t>
      </w:r>
      <w:r>
        <w:rPr>
          <w:color w:val="231F20"/>
          <w:spacing w:val="-3"/>
          <w:w w:val="105"/>
        </w:rPr>
        <w:t>loro</w:t>
      </w:r>
      <w:r>
        <w:rPr>
          <w:color w:val="231F20"/>
          <w:spacing w:val="-41"/>
          <w:w w:val="105"/>
        </w:rPr>
        <w:t> </w:t>
      </w:r>
      <w:r>
        <w:rPr>
          <w:color w:val="231F20"/>
          <w:spacing w:val="-3"/>
          <w:w w:val="105"/>
        </w:rPr>
        <w:t>rispettive</w:t>
      </w:r>
      <w:r>
        <w:rPr>
          <w:color w:val="231F20"/>
          <w:spacing w:val="-41"/>
          <w:w w:val="105"/>
        </w:rPr>
        <w:t> </w:t>
      </w:r>
      <w:r>
        <w:rPr>
          <w:color w:val="231F20"/>
          <w:spacing w:val="-3"/>
          <w:w w:val="105"/>
        </w:rPr>
        <w:t>proposte,</w:t>
      </w:r>
      <w:r>
        <w:rPr>
          <w:color w:val="231F20"/>
          <w:spacing w:val="-41"/>
          <w:w w:val="105"/>
        </w:rPr>
        <w:t> </w:t>
      </w:r>
      <w:r>
        <w:rPr>
          <w:color w:val="231F20"/>
          <w:spacing w:val="-3"/>
          <w:w w:val="105"/>
        </w:rPr>
        <w:t>senza</w:t>
      </w:r>
      <w:r>
        <w:rPr>
          <w:color w:val="231F20"/>
          <w:spacing w:val="-41"/>
          <w:w w:val="105"/>
        </w:rPr>
        <w:t> </w:t>
      </w:r>
      <w:r>
        <w:rPr>
          <w:color w:val="231F20"/>
          <w:spacing w:val="-3"/>
          <w:w w:val="105"/>
        </w:rPr>
        <w:t>dubbio </w:t>
      </w:r>
      <w:r>
        <w:rPr>
          <w:color w:val="231F20"/>
          <w:w w:val="105"/>
        </w:rPr>
        <w:t>non</w:t>
      </w:r>
      <w:r>
        <w:rPr>
          <w:color w:val="231F20"/>
          <w:spacing w:val="-40"/>
          <w:w w:val="105"/>
        </w:rPr>
        <w:t> </w:t>
      </w:r>
      <w:r>
        <w:rPr>
          <w:color w:val="231F20"/>
          <w:w w:val="105"/>
        </w:rPr>
        <w:t>coincidono</w:t>
      </w:r>
      <w:r>
        <w:rPr>
          <w:color w:val="231F20"/>
          <w:spacing w:val="-40"/>
          <w:w w:val="105"/>
        </w:rPr>
        <w:t> </w:t>
      </w:r>
      <w:r>
        <w:rPr>
          <w:color w:val="231F20"/>
          <w:w w:val="105"/>
        </w:rPr>
        <w:t>in</w:t>
      </w:r>
      <w:r>
        <w:rPr>
          <w:color w:val="231F20"/>
          <w:spacing w:val="-40"/>
          <w:w w:val="105"/>
        </w:rPr>
        <w:t> </w:t>
      </w:r>
      <w:r>
        <w:rPr>
          <w:color w:val="231F20"/>
          <w:w w:val="105"/>
        </w:rPr>
        <w:t>tutti</w:t>
      </w:r>
      <w:r>
        <w:rPr>
          <w:color w:val="231F20"/>
          <w:spacing w:val="-40"/>
          <w:w w:val="105"/>
        </w:rPr>
        <w:t> </w:t>
      </w:r>
      <w:r>
        <w:rPr>
          <w:color w:val="231F20"/>
          <w:w w:val="105"/>
        </w:rPr>
        <w:t>i</w:t>
      </w:r>
      <w:r>
        <w:rPr>
          <w:color w:val="231F20"/>
          <w:spacing w:val="-40"/>
          <w:w w:val="105"/>
        </w:rPr>
        <w:t> </w:t>
      </w:r>
      <w:r>
        <w:rPr>
          <w:color w:val="231F20"/>
          <w:w w:val="105"/>
        </w:rPr>
        <w:t>punti.</w:t>
      </w:r>
      <w:r>
        <w:rPr>
          <w:color w:val="231F20"/>
          <w:spacing w:val="-40"/>
          <w:w w:val="105"/>
        </w:rPr>
        <w:t> </w:t>
      </w:r>
      <w:r>
        <w:rPr>
          <w:color w:val="231F20"/>
          <w:w w:val="105"/>
        </w:rPr>
        <w:t>Lo</w:t>
      </w:r>
      <w:r>
        <w:rPr>
          <w:color w:val="231F20"/>
          <w:spacing w:val="-40"/>
          <w:w w:val="105"/>
        </w:rPr>
        <w:t> </w:t>
      </w:r>
      <w:r>
        <w:rPr>
          <w:color w:val="231F20"/>
          <w:w w:val="105"/>
        </w:rPr>
        <w:t>stesso</w:t>
      </w:r>
      <w:r>
        <w:rPr>
          <w:color w:val="231F20"/>
          <w:spacing w:val="-40"/>
          <w:w w:val="105"/>
        </w:rPr>
        <w:t> </w:t>
      </w:r>
      <w:r>
        <w:rPr>
          <w:color w:val="231F20"/>
          <w:w w:val="105"/>
        </w:rPr>
        <w:t>Jakobs</w:t>
      </w:r>
      <w:r>
        <w:rPr>
          <w:color w:val="231F20"/>
          <w:spacing w:val="-40"/>
          <w:w w:val="105"/>
        </w:rPr>
        <w:t> </w:t>
      </w:r>
      <w:r>
        <w:rPr>
          <w:color w:val="231F20"/>
          <w:w w:val="105"/>
        </w:rPr>
        <w:t>commenta</w:t>
      </w:r>
      <w:r>
        <w:rPr>
          <w:color w:val="231F20"/>
          <w:spacing w:val="-40"/>
          <w:w w:val="105"/>
        </w:rPr>
        <w:t> </w:t>
      </w:r>
      <w:r>
        <w:rPr>
          <w:color w:val="231F20"/>
          <w:w w:val="105"/>
        </w:rPr>
        <w:t>uno</w:t>
      </w:r>
      <w:r>
        <w:rPr>
          <w:color w:val="231F20"/>
          <w:spacing w:val="-40"/>
          <w:w w:val="105"/>
        </w:rPr>
        <w:t> </w:t>
      </w:r>
      <w:r>
        <w:rPr>
          <w:color w:val="231F20"/>
          <w:w w:val="105"/>
        </w:rPr>
        <w:t>degli</w:t>
      </w:r>
      <w:r>
        <w:rPr>
          <w:color w:val="231F20"/>
          <w:spacing w:val="-40"/>
          <w:w w:val="105"/>
        </w:rPr>
        <w:t> </w:t>
      </w:r>
      <w:r>
        <w:rPr>
          <w:color w:val="231F20"/>
          <w:w w:val="105"/>
        </w:rPr>
        <w:t>aspetti </w:t>
      </w:r>
      <w:r>
        <w:rPr>
          <w:color w:val="231F20"/>
        </w:rPr>
        <w:t>della sua</w:t>
      </w:r>
      <w:r>
        <w:rPr>
          <w:color w:val="231F20"/>
          <w:spacing w:val="-11"/>
        </w:rPr>
        <w:t> </w:t>
      </w:r>
      <w:r>
        <w:rPr>
          <w:color w:val="231F20"/>
        </w:rPr>
        <w:t>divergenza:</w:t>
      </w:r>
    </w:p>
    <w:p>
      <w:pPr>
        <w:pStyle w:val="BodyText"/>
        <w:spacing w:before="8"/>
        <w:rPr>
          <w:sz w:val="17"/>
        </w:rPr>
      </w:pPr>
      <w:r>
        <w:rPr/>
        <w:pict>
          <v:line style="position:absolute;mso-position-horizontal-relative:page;mso-position-vertical-relative:paragraph;z-index:9208;mso-wrap-distance-left:0;mso-wrap-distance-right:0" from="70.866096pt,12.760481pt" to="184.252096pt,12.760481pt" stroked="true" strokeweight=".3pt" strokecolor="#231f20">
            <w10:wrap type="topAndBottom"/>
          </v:line>
        </w:pict>
      </w:r>
    </w:p>
    <w:p>
      <w:pPr>
        <w:spacing w:line="206" w:lineRule="exact" w:before="10"/>
        <w:ind w:left="117" w:right="0" w:firstLine="0"/>
        <w:jc w:val="left"/>
        <w:rPr>
          <w:rFonts w:ascii="Calibri" w:hAnsi="Calibri"/>
          <w:sz w:val="17"/>
        </w:rPr>
      </w:pPr>
      <w:r>
        <w:rPr>
          <w:rFonts w:ascii="Calibri" w:hAnsi="Calibri"/>
          <w:color w:val="231F20"/>
          <w:position w:val="6"/>
          <w:sz w:val="10"/>
        </w:rPr>
        <w:t>7 </w:t>
      </w:r>
      <w:r>
        <w:rPr>
          <w:rFonts w:ascii="Calibri" w:hAnsi="Calibri"/>
          <w:color w:val="231F20"/>
          <w:sz w:val="17"/>
        </w:rPr>
        <w:t>J. Asens y G. Pisarello, </w:t>
      </w:r>
      <w:r>
        <w:rPr>
          <w:rFonts w:ascii="Calibri" w:hAnsi="Calibri"/>
          <w:i/>
          <w:color w:val="231F20"/>
          <w:sz w:val="17"/>
        </w:rPr>
        <w:t>No hay derecho(s)</w:t>
      </w:r>
      <w:r>
        <w:rPr>
          <w:rFonts w:ascii="Calibri" w:hAnsi="Calibri"/>
          <w:color w:val="231F20"/>
          <w:sz w:val="17"/>
        </w:rPr>
        <w:t>, España, Icaria, 2011, p. 26.</w:t>
      </w:r>
    </w:p>
    <w:p>
      <w:pPr>
        <w:spacing w:line="235" w:lineRule="auto" w:before="1"/>
        <w:ind w:left="117" w:right="0" w:firstLine="0"/>
        <w:jc w:val="left"/>
        <w:rPr>
          <w:rFonts w:ascii="Calibri" w:hAnsi="Calibri"/>
          <w:sz w:val="17"/>
        </w:rPr>
      </w:pPr>
      <w:r>
        <w:rPr>
          <w:rFonts w:ascii="Calibri" w:hAnsi="Calibri"/>
          <w:color w:val="231F20"/>
          <w:position w:val="6"/>
          <w:sz w:val="10"/>
        </w:rPr>
        <w:t>8 </w:t>
      </w:r>
      <w:r>
        <w:rPr>
          <w:rFonts w:ascii="Calibri" w:hAnsi="Calibri"/>
          <w:color w:val="231F20"/>
          <w:sz w:val="17"/>
        </w:rPr>
        <w:t>C. Parma, </w:t>
      </w:r>
      <w:r>
        <w:rPr>
          <w:rFonts w:ascii="Calibri" w:hAnsi="Calibri"/>
          <w:i/>
          <w:color w:val="231F20"/>
          <w:sz w:val="17"/>
        </w:rPr>
        <w:t>Roxin o Jakobs ¿Quién es el enemigo en el derecho penal?</w:t>
      </w:r>
      <w:r>
        <w:rPr>
          <w:rFonts w:ascii="Calibri" w:hAnsi="Calibri"/>
          <w:color w:val="231F20"/>
          <w:sz w:val="17"/>
        </w:rPr>
        <w:t>, Colombia, Ediciones Jurídicas Andrés  Morales, 2009.</w:t>
      </w:r>
    </w:p>
    <w:p>
      <w:pPr>
        <w:spacing w:after="0" w:line="235" w:lineRule="auto"/>
        <w:jc w:val="left"/>
        <w:rPr>
          <w:rFonts w:ascii="Calibri" w:hAnsi="Calibri"/>
          <w:sz w:val="17"/>
        </w:rPr>
        <w:sectPr>
          <w:pgSz w:w="9640" w:h="13890"/>
          <w:pgMar w:top="0" w:bottom="280" w:left="1300" w:right="1180"/>
        </w:sectPr>
      </w:pPr>
    </w:p>
    <w:p>
      <w:pPr>
        <w:spacing w:line="220" w:lineRule="exact" w:before="121"/>
        <w:ind w:left="1521" w:right="113" w:firstLine="0"/>
        <w:jc w:val="both"/>
        <w:rPr>
          <w:sz w:val="19"/>
        </w:rPr>
      </w:pPr>
      <w:r>
        <w:rPr>
          <w:color w:val="231F20"/>
          <w:w w:val="105"/>
          <w:sz w:val="19"/>
        </w:rPr>
        <w:t>In primo luogo, il concetto [nemico] qui utilizzato non è quello che si formula in “Der Begriff des Politischen” di Carl Schmitt, quello</w:t>
      </w:r>
      <w:r>
        <w:rPr>
          <w:color w:val="231F20"/>
          <w:spacing w:val="-26"/>
          <w:w w:val="105"/>
          <w:sz w:val="19"/>
        </w:rPr>
        <w:t> </w:t>
      </w:r>
      <w:r>
        <w:rPr>
          <w:color w:val="231F20"/>
          <w:w w:val="105"/>
          <w:sz w:val="19"/>
        </w:rPr>
        <w:t>del</w:t>
      </w:r>
      <w:r>
        <w:rPr>
          <w:color w:val="231F20"/>
          <w:spacing w:val="-26"/>
          <w:w w:val="105"/>
          <w:sz w:val="19"/>
        </w:rPr>
        <w:t> </w:t>
      </w:r>
      <w:r>
        <w:rPr>
          <w:color w:val="231F20"/>
          <w:w w:val="105"/>
          <w:sz w:val="19"/>
        </w:rPr>
        <w:t>nemico</w:t>
      </w:r>
      <w:r>
        <w:rPr>
          <w:color w:val="231F20"/>
          <w:spacing w:val="-26"/>
          <w:w w:val="105"/>
          <w:sz w:val="19"/>
        </w:rPr>
        <w:t> </w:t>
      </w:r>
      <w:r>
        <w:rPr>
          <w:color w:val="231F20"/>
          <w:w w:val="105"/>
          <w:sz w:val="19"/>
        </w:rPr>
        <w:t>come</w:t>
      </w:r>
      <w:r>
        <w:rPr>
          <w:color w:val="231F20"/>
          <w:spacing w:val="-26"/>
          <w:w w:val="105"/>
          <w:sz w:val="19"/>
        </w:rPr>
        <w:t> </w:t>
      </w:r>
      <w:r>
        <w:rPr>
          <w:color w:val="231F20"/>
          <w:w w:val="105"/>
          <w:sz w:val="19"/>
        </w:rPr>
        <w:t>avversario</w:t>
      </w:r>
      <w:r>
        <w:rPr>
          <w:color w:val="231F20"/>
          <w:spacing w:val="-26"/>
          <w:w w:val="105"/>
          <w:sz w:val="19"/>
        </w:rPr>
        <w:t> </w:t>
      </w:r>
      <w:r>
        <w:rPr>
          <w:color w:val="231F20"/>
          <w:w w:val="105"/>
          <w:sz w:val="19"/>
        </w:rPr>
        <w:t>esistenziale.</w:t>
      </w:r>
      <w:r>
        <w:rPr>
          <w:color w:val="231F20"/>
          <w:spacing w:val="-26"/>
          <w:w w:val="105"/>
          <w:sz w:val="19"/>
        </w:rPr>
        <w:t> </w:t>
      </w:r>
      <w:r>
        <w:rPr>
          <w:color w:val="231F20"/>
          <w:w w:val="105"/>
          <w:sz w:val="19"/>
        </w:rPr>
        <w:t>Per</w:t>
      </w:r>
      <w:r>
        <w:rPr>
          <w:color w:val="231F20"/>
          <w:spacing w:val="-26"/>
          <w:w w:val="105"/>
          <w:sz w:val="19"/>
        </w:rPr>
        <w:t> </w:t>
      </w:r>
      <w:r>
        <w:rPr>
          <w:color w:val="231F20"/>
          <w:w w:val="105"/>
          <w:sz w:val="19"/>
        </w:rPr>
        <w:t>Carl</w:t>
      </w:r>
      <w:r>
        <w:rPr>
          <w:color w:val="231F20"/>
          <w:spacing w:val="-26"/>
          <w:w w:val="105"/>
          <w:sz w:val="19"/>
        </w:rPr>
        <w:t> </w:t>
      </w:r>
      <w:r>
        <w:rPr>
          <w:color w:val="231F20"/>
          <w:w w:val="105"/>
          <w:sz w:val="19"/>
        </w:rPr>
        <w:t>Schmitt, il</w:t>
      </w:r>
      <w:r>
        <w:rPr>
          <w:color w:val="231F20"/>
          <w:spacing w:val="-35"/>
          <w:w w:val="105"/>
          <w:sz w:val="19"/>
        </w:rPr>
        <w:t> </w:t>
      </w:r>
      <w:r>
        <w:rPr>
          <w:color w:val="231F20"/>
          <w:w w:val="105"/>
          <w:sz w:val="19"/>
        </w:rPr>
        <w:t>concetto</w:t>
      </w:r>
      <w:r>
        <w:rPr>
          <w:color w:val="231F20"/>
          <w:spacing w:val="-35"/>
          <w:w w:val="105"/>
          <w:sz w:val="19"/>
        </w:rPr>
        <w:t> </w:t>
      </w:r>
      <w:r>
        <w:rPr>
          <w:color w:val="231F20"/>
          <w:w w:val="105"/>
          <w:sz w:val="19"/>
        </w:rPr>
        <w:t>dello</w:t>
      </w:r>
      <w:r>
        <w:rPr>
          <w:color w:val="231F20"/>
          <w:spacing w:val="-35"/>
          <w:w w:val="105"/>
          <w:sz w:val="19"/>
        </w:rPr>
        <w:t> </w:t>
      </w:r>
      <w:r>
        <w:rPr>
          <w:color w:val="231F20"/>
          <w:w w:val="105"/>
          <w:sz w:val="19"/>
        </w:rPr>
        <w:t>politico</w:t>
      </w:r>
      <w:r>
        <w:rPr>
          <w:color w:val="231F20"/>
          <w:spacing w:val="-35"/>
          <w:w w:val="105"/>
          <w:sz w:val="19"/>
        </w:rPr>
        <w:t> </w:t>
      </w:r>
      <w:r>
        <w:rPr>
          <w:color w:val="231F20"/>
          <w:w w:val="105"/>
          <w:sz w:val="19"/>
        </w:rPr>
        <w:t>è</w:t>
      </w:r>
      <w:r>
        <w:rPr>
          <w:color w:val="231F20"/>
          <w:spacing w:val="-35"/>
          <w:w w:val="105"/>
          <w:sz w:val="19"/>
        </w:rPr>
        <w:t> </w:t>
      </w:r>
      <w:r>
        <w:rPr>
          <w:color w:val="231F20"/>
          <w:w w:val="105"/>
          <w:sz w:val="19"/>
        </w:rPr>
        <w:t>un</w:t>
      </w:r>
      <w:r>
        <w:rPr>
          <w:color w:val="231F20"/>
          <w:spacing w:val="-35"/>
          <w:w w:val="105"/>
          <w:sz w:val="19"/>
        </w:rPr>
        <w:t> </w:t>
      </w:r>
      <w:r>
        <w:rPr>
          <w:color w:val="231F20"/>
          <w:w w:val="105"/>
          <w:sz w:val="19"/>
        </w:rPr>
        <w:t>concetto</w:t>
      </w:r>
      <w:r>
        <w:rPr>
          <w:color w:val="231F20"/>
          <w:spacing w:val="-35"/>
          <w:w w:val="105"/>
          <w:sz w:val="19"/>
        </w:rPr>
        <w:t> </w:t>
      </w:r>
      <w:r>
        <w:rPr>
          <w:color w:val="231F20"/>
          <w:w w:val="105"/>
          <w:sz w:val="19"/>
        </w:rPr>
        <w:t>teologico</w:t>
      </w:r>
      <w:r>
        <w:rPr>
          <w:color w:val="231F20"/>
          <w:spacing w:val="-35"/>
          <w:w w:val="105"/>
          <w:sz w:val="19"/>
        </w:rPr>
        <w:t> </w:t>
      </w:r>
      <w:r>
        <w:rPr>
          <w:color w:val="231F20"/>
          <w:w w:val="105"/>
          <w:sz w:val="19"/>
        </w:rPr>
        <w:t>secolarizzato,</w:t>
      </w:r>
      <w:r>
        <w:rPr>
          <w:color w:val="231F20"/>
          <w:spacing w:val="-35"/>
          <w:w w:val="105"/>
          <w:sz w:val="19"/>
        </w:rPr>
        <w:t> </w:t>
      </w:r>
      <w:r>
        <w:rPr>
          <w:color w:val="231F20"/>
          <w:w w:val="105"/>
          <w:sz w:val="19"/>
        </w:rPr>
        <w:t>che separa</w:t>
      </w:r>
      <w:r>
        <w:rPr>
          <w:color w:val="231F20"/>
          <w:spacing w:val="-20"/>
          <w:w w:val="105"/>
          <w:sz w:val="19"/>
        </w:rPr>
        <w:t> </w:t>
      </w:r>
      <w:r>
        <w:rPr>
          <w:color w:val="231F20"/>
          <w:w w:val="105"/>
          <w:sz w:val="19"/>
        </w:rPr>
        <w:t>piuttosto</w:t>
      </w:r>
      <w:r>
        <w:rPr>
          <w:color w:val="231F20"/>
          <w:spacing w:val="-20"/>
          <w:w w:val="105"/>
          <w:sz w:val="19"/>
        </w:rPr>
        <w:t> </w:t>
      </w:r>
      <w:r>
        <w:rPr>
          <w:color w:val="231F20"/>
          <w:w w:val="105"/>
          <w:sz w:val="19"/>
        </w:rPr>
        <w:t>quelli</w:t>
      </w:r>
      <w:r>
        <w:rPr>
          <w:color w:val="231F20"/>
          <w:spacing w:val="-20"/>
          <w:w w:val="105"/>
          <w:sz w:val="19"/>
        </w:rPr>
        <w:t> </w:t>
      </w:r>
      <w:r>
        <w:rPr>
          <w:color w:val="231F20"/>
          <w:w w:val="105"/>
          <w:sz w:val="19"/>
        </w:rPr>
        <w:t>timorati</w:t>
      </w:r>
      <w:r>
        <w:rPr>
          <w:color w:val="231F20"/>
          <w:spacing w:val="-20"/>
          <w:w w:val="105"/>
          <w:sz w:val="19"/>
        </w:rPr>
        <w:t> </w:t>
      </w:r>
      <w:r>
        <w:rPr>
          <w:color w:val="231F20"/>
          <w:w w:val="105"/>
          <w:sz w:val="19"/>
        </w:rPr>
        <w:t>di</w:t>
      </w:r>
      <w:r>
        <w:rPr>
          <w:color w:val="231F20"/>
          <w:spacing w:val="-20"/>
          <w:w w:val="105"/>
          <w:sz w:val="19"/>
        </w:rPr>
        <w:t> </w:t>
      </w:r>
      <w:r>
        <w:rPr>
          <w:color w:val="231F20"/>
          <w:w w:val="105"/>
          <w:sz w:val="19"/>
        </w:rPr>
        <w:t>Dio</w:t>
      </w:r>
      <w:r>
        <w:rPr>
          <w:color w:val="231F20"/>
          <w:spacing w:val="-20"/>
          <w:w w:val="105"/>
          <w:sz w:val="19"/>
        </w:rPr>
        <w:t> </w:t>
      </w:r>
      <w:r>
        <w:rPr>
          <w:color w:val="231F20"/>
          <w:w w:val="105"/>
          <w:sz w:val="19"/>
        </w:rPr>
        <w:t>da</w:t>
      </w:r>
      <w:r>
        <w:rPr>
          <w:color w:val="231F20"/>
          <w:spacing w:val="-20"/>
          <w:w w:val="105"/>
          <w:sz w:val="19"/>
        </w:rPr>
        <w:t> </w:t>
      </w:r>
      <w:r>
        <w:rPr>
          <w:color w:val="231F20"/>
          <w:w w:val="105"/>
          <w:sz w:val="19"/>
        </w:rPr>
        <w:t>quelli</w:t>
      </w:r>
      <w:r>
        <w:rPr>
          <w:color w:val="231F20"/>
          <w:spacing w:val="-20"/>
          <w:w w:val="105"/>
          <w:sz w:val="19"/>
        </w:rPr>
        <w:t> </w:t>
      </w:r>
      <w:r>
        <w:rPr>
          <w:color w:val="231F20"/>
          <w:w w:val="105"/>
          <w:sz w:val="19"/>
        </w:rPr>
        <w:t>senza</w:t>
      </w:r>
      <w:r>
        <w:rPr>
          <w:color w:val="231F20"/>
          <w:spacing w:val="-20"/>
          <w:w w:val="105"/>
          <w:sz w:val="19"/>
        </w:rPr>
        <w:t> </w:t>
      </w:r>
      <w:r>
        <w:rPr>
          <w:color w:val="231F20"/>
          <w:w w:val="105"/>
          <w:sz w:val="19"/>
        </w:rPr>
        <w:t>Dio</w:t>
      </w:r>
      <w:r>
        <w:rPr>
          <w:color w:val="231F20"/>
          <w:spacing w:val="-20"/>
          <w:w w:val="105"/>
          <w:sz w:val="19"/>
        </w:rPr>
        <w:t> </w:t>
      </w:r>
      <w:r>
        <w:rPr>
          <w:color w:val="231F20"/>
          <w:w w:val="105"/>
          <w:sz w:val="19"/>
        </w:rPr>
        <w:t>che</w:t>
      </w:r>
      <w:r>
        <w:rPr>
          <w:color w:val="231F20"/>
          <w:spacing w:val="-20"/>
          <w:w w:val="105"/>
          <w:sz w:val="19"/>
        </w:rPr>
        <w:t> </w:t>
      </w:r>
      <w:r>
        <w:rPr>
          <w:color w:val="231F20"/>
          <w:w w:val="105"/>
          <w:sz w:val="19"/>
        </w:rPr>
        <w:t>agli opponenti</w:t>
      </w:r>
      <w:r>
        <w:rPr>
          <w:color w:val="231F20"/>
          <w:spacing w:val="-10"/>
          <w:w w:val="105"/>
          <w:sz w:val="19"/>
        </w:rPr>
        <w:t> </w:t>
      </w:r>
      <w:r>
        <w:rPr>
          <w:color w:val="231F20"/>
          <w:w w:val="105"/>
          <w:sz w:val="19"/>
        </w:rPr>
        <w:t>politici</w:t>
      </w:r>
      <w:r>
        <w:rPr>
          <w:color w:val="231F20"/>
          <w:spacing w:val="-10"/>
          <w:w w:val="105"/>
          <w:sz w:val="19"/>
        </w:rPr>
        <w:t> </w:t>
      </w:r>
      <w:r>
        <w:rPr>
          <w:color w:val="231F20"/>
          <w:w w:val="105"/>
          <w:sz w:val="19"/>
        </w:rPr>
        <w:t>nel</w:t>
      </w:r>
      <w:r>
        <w:rPr>
          <w:color w:val="231F20"/>
          <w:spacing w:val="-10"/>
          <w:w w:val="105"/>
          <w:sz w:val="19"/>
        </w:rPr>
        <w:t> </w:t>
      </w:r>
      <w:r>
        <w:rPr>
          <w:color w:val="231F20"/>
          <w:w w:val="105"/>
          <w:sz w:val="19"/>
        </w:rPr>
        <w:t>senso</w:t>
      </w:r>
      <w:r>
        <w:rPr>
          <w:color w:val="231F20"/>
          <w:spacing w:val="-10"/>
          <w:w w:val="105"/>
          <w:sz w:val="19"/>
        </w:rPr>
        <w:t> </w:t>
      </w:r>
      <w:r>
        <w:rPr>
          <w:color w:val="231F20"/>
          <w:w w:val="105"/>
          <w:sz w:val="19"/>
        </w:rPr>
        <w:t>oggi</w:t>
      </w:r>
      <w:r>
        <w:rPr>
          <w:color w:val="231F20"/>
          <w:spacing w:val="-10"/>
          <w:w w:val="105"/>
          <w:sz w:val="19"/>
        </w:rPr>
        <w:t> </w:t>
      </w:r>
      <w:r>
        <w:rPr>
          <w:color w:val="231F20"/>
          <w:w w:val="105"/>
          <w:sz w:val="19"/>
        </w:rPr>
        <w:t>abituale.</w:t>
      </w:r>
      <w:r>
        <w:rPr>
          <w:color w:val="231F20"/>
          <w:spacing w:val="-10"/>
          <w:w w:val="105"/>
          <w:sz w:val="19"/>
        </w:rPr>
        <w:t> </w:t>
      </w:r>
      <w:r>
        <w:rPr>
          <w:color w:val="231F20"/>
          <w:w w:val="105"/>
          <w:sz w:val="19"/>
        </w:rPr>
        <w:t>Il</w:t>
      </w:r>
      <w:r>
        <w:rPr>
          <w:color w:val="231F20"/>
          <w:spacing w:val="-10"/>
          <w:w w:val="105"/>
          <w:sz w:val="19"/>
        </w:rPr>
        <w:t> </w:t>
      </w:r>
      <w:r>
        <w:rPr>
          <w:color w:val="231F20"/>
          <w:w w:val="105"/>
          <w:sz w:val="19"/>
        </w:rPr>
        <w:t>concetto</w:t>
      </w:r>
      <w:r>
        <w:rPr>
          <w:color w:val="231F20"/>
          <w:spacing w:val="-10"/>
          <w:w w:val="105"/>
          <w:sz w:val="19"/>
        </w:rPr>
        <w:t> </w:t>
      </w:r>
      <w:r>
        <w:rPr>
          <w:color w:val="231F20"/>
          <w:w w:val="105"/>
          <w:sz w:val="19"/>
        </w:rPr>
        <w:t>di</w:t>
      </w:r>
      <w:r>
        <w:rPr>
          <w:color w:val="231F20"/>
          <w:spacing w:val="-10"/>
          <w:w w:val="105"/>
          <w:sz w:val="19"/>
        </w:rPr>
        <w:t> </w:t>
      </w:r>
      <w:r>
        <w:rPr>
          <w:color w:val="231F20"/>
          <w:w w:val="105"/>
          <w:sz w:val="19"/>
        </w:rPr>
        <w:t>Schmitt non</w:t>
      </w:r>
      <w:r>
        <w:rPr>
          <w:color w:val="231F20"/>
          <w:spacing w:val="-10"/>
          <w:w w:val="105"/>
          <w:sz w:val="19"/>
        </w:rPr>
        <w:t> </w:t>
      </w:r>
      <w:r>
        <w:rPr>
          <w:color w:val="231F20"/>
          <w:w w:val="105"/>
          <w:sz w:val="19"/>
        </w:rPr>
        <w:t>si</w:t>
      </w:r>
      <w:r>
        <w:rPr>
          <w:color w:val="231F20"/>
          <w:spacing w:val="-10"/>
          <w:w w:val="105"/>
          <w:sz w:val="19"/>
        </w:rPr>
        <w:t> </w:t>
      </w:r>
      <w:r>
        <w:rPr>
          <w:color w:val="231F20"/>
          <w:w w:val="105"/>
          <w:sz w:val="19"/>
        </w:rPr>
        <w:t>riferisce</w:t>
      </w:r>
      <w:r>
        <w:rPr>
          <w:color w:val="231F20"/>
          <w:spacing w:val="-10"/>
          <w:w w:val="105"/>
          <w:sz w:val="19"/>
        </w:rPr>
        <w:t> </w:t>
      </w:r>
      <w:r>
        <w:rPr>
          <w:color w:val="231F20"/>
          <w:w w:val="105"/>
          <w:sz w:val="19"/>
        </w:rPr>
        <w:t>a</w:t>
      </w:r>
      <w:r>
        <w:rPr>
          <w:color w:val="231F20"/>
          <w:spacing w:val="-10"/>
          <w:w w:val="105"/>
          <w:sz w:val="19"/>
        </w:rPr>
        <w:t> </w:t>
      </w:r>
      <w:r>
        <w:rPr>
          <w:color w:val="231F20"/>
          <w:w w:val="105"/>
          <w:sz w:val="19"/>
        </w:rPr>
        <w:t>un</w:t>
      </w:r>
      <w:r>
        <w:rPr>
          <w:color w:val="231F20"/>
          <w:spacing w:val="-10"/>
          <w:w w:val="105"/>
          <w:sz w:val="19"/>
        </w:rPr>
        <w:t> </w:t>
      </w:r>
      <w:r>
        <w:rPr>
          <w:color w:val="231F20"/>
          <w:w w:val="105"/>
          <w:sz w:val="19"/>
        </w:rPr>
        <w:t>delinquente,</w:t>
      </w:r>
      <w:r>
        <w:rPr>
          <w:color w:val="231F20"/>
          <w:spacing w:val="-10"/>
          <w:w w:val="105"/>
          <w:sz w:val="19"/>
        </w:rPr>
        <w:t> </w:t>
      </w:r>
      <w:r>
        <w:rPr>
          <w:color w:val="231F20"/>
          <w:w w:val="105"/>
          <w:sz w:val="19"/>
        </w:rPr>
        <w:t>ma</w:t>
      </w:r>
      <w:r>
        <w:rPr>
          <w:color w:val="231F20"/>
          <w:spacing w:val="-10"/>
          <w:w w:val="105"/>
          <w:sz w:val="19"/>
        </w:rPr>
        <w:t> </w:t>
      </w:r>
      <w:r>
        <w:rPr>
          <w:color w:val="231F20"/>
          <w:w w:val="105"/>
          <w:sz w:val="19"/>
        </w:rPr>
        <w:t>all</w:t>
      </w:r>
      <w:r>
        <w:rPr>
          <w:rFonts w:ascii="Arial" w:hAnsi="Arial"/>
          <w:i/>
          <w:color w:val="231F20"/>
          <w:w w:val="105"/>
          <w:sz w:val="19"/>
        </w:rPr>
        <w:t>’hostis,</w:t>
      </w:r>
      <w:r>
        <w:rPr>
          <w:rFonts w:ascii="Arial" w:hAnsi="Arial"/>
          <w:i/>
          <w:color w:val="231F20"/>
          <w:spacing w:val="-3"/>
          <w:w w:val="105"/>
          <w:sz w:val="19"/>
        </w:rPr>
        <w:t> </w:t>
      </w:r>
      <w:r>
        <w:rPr>
          <w:rFonts w:ascii="Arial" w:hAnsi="Arial"/>
          <w:i/>
          <w:color w:val="231F20"/>
          <w:w w:val="105"/>
          <w:sz w:val="19"/>
        </w:rPr>
        <w:t>l’altro</w:t>
      </w:r>
      <w:r>
        <w:rPr>
          <w:color w:val="231F20"/>
          <w:w w:val="105"/>
          <w:sz w:val="19"/>
        </w:rPr>
        <w:t>;</w:t>
      </w:r>
      <w:r>
        <w:rPr>
          <w:color w:val="231F20"/>
          <w:spacing w:val="-10"/>
          <w:w w:val="105"/>
          <w:sz w:val="19"/>
        </w:rPr>
        <w:t> </w:t>
      </w:r>
      <w:r>
        <w:rPr>
          <w:color w:val="231F20"/>
          <w:w w:val="105"/>
          <w:sz w:val="19"/>
        </w:rPr>
        <w:t>dentro</w:t>
      </w:r>
      <w:r>
        <w:rPr>
          <w:color w:val="231F20"/>
          <w:spacing w:val="-10"/>
          <w:w w:val="105"/>
          <w:sz w:val="19"/>
        </w:rPr>
        <w:t> </w:t>
      </w:r>
      <w:r>
        <w:rPr>
          <w:color w:val="231F20"/>
          <w:w w:val="105"/>
          <w:sz w:val="19"/>
        </w:rPr>
        <w:t>lo Stato,</w:t>
      </w:r>
      <w:r>
        <w:rPr>
          <w:color w:val="231F20"/>
          <w:spacing w:val="-33"/>
          <w:w w:val="105"/>
          <w:sz w:val="19"/>
        </w:rPr>
        <w:t> </w:t>
      </w:r>
      <w:r>
        <w:rPr>
          <w:color w:val="231F20"/>
          <w:w w:val="105"/>
          <w:sz w:val="19"/>
        </w:rPr>
        <w:t>solo</w:t>
      </w:r>
      <w:r>
        <w:rPr>
          <w:color w:val="231F20"/>
          <w:spacing w:val="-33"/>
          <w:w w:val="105"/>
          <w:sz w:val="19"/>
        </w:rPr>
        <w:t> </w:t>
      </w:r>
      <w:r>
        <w:rPr>
          <w:color w:val="231F20"/>
          <w:w w:val="105"/>
          <w:sz w:val="19"/>
        </w:rPr>
        <w:t>quando</w:t>
      </w:r>
      <w:r>
        <w:rPr>
          <w:color w:val="231F20"/>
          <w:spacing w:val="-33"/>
          <w:w w:val="105"/>
          <w:sz w:val="19"/>
        </w:rPr>
        <w:t> </w:t>
      </w:r>
      <w:r>
        <w:rPr>
          <w:color w:val="231F20"/>
          <w:w w:val="105"/>
          <w:sz w:val="19"/>
        </w:rPr>
        <w:t>si</w:t>
      </w:r>
      <w:r>
        <w:rPr>
          <w:color w:val="231F20"/>
          <w:spacing w:val="-33"/>
          <w:w w:val="105"/>
          <w:sz w:val="19"/>
        </w:rPr>
        <w:t> </w:t>
      </w:r>
      <w:r>
        <w:rPr>
          <w:color w:val="231F20"/>
          <w:w w:val="105"/>
          <w:sz w:val="19"/>
        </w:rPr>
        <w:t>arriva</w:t>
      </w:r>
      <w:r>
        <w:rPr>
          <w:color w:val="231F20"/>
          <w:spacing w:val="-33"/>
          <w:w w:val="105"/>
          <w:sz w:val="19"/>
        </w:rPr>
        <w:t> </w:t>
      </w:r>
      <w:r>
        <w:rPr>
          <w:color w:val="231F20"/>
          <w:w w:val="105"/>
          <w:sz w:val="19"/>
        </w:rPr>
        <w:t>a</w:t>
      </w:r>
      <w:r>
        <w:rPr>
          <w:color w:val="231F20"/>
          <w:spacing w:val="-33"/>
          <w:w w:val="105"/>
          <w:sz w:val="19"/>
        </w:rPr>
        <w:t> </w:t>
      </w:r>
      <w:r>
        <w:rPr>
          <w:color w:val="231F20"/>
          <w:w w:val="105"/>
          <w:sz w:val="19"/>
        </w:rPr>
        <w:t>una</w:t>
      </w:r>
      <w:r>
        <w:rPr>
          <w:color w:val="231F20"/>
          <w:spacing w:val="-33"/>
          <w:w w:val="105"/>
          <w:sz w:val="19"/>
        </w:rPr>
        <w:t> </w:t>
      </w:r>
      <w:r>
        <w:rPr>
          <w:color w:val="231F20"/>
          <w:w w:val="105"/>
          <w:sz w:val="19"/>
        </w:rPr>
        <w:t>guerra</w:t>
      </w:r>
      <w:r>
        <w:rPr>
          <w:color w:val="231F20"/>
          <w:spacing w:val="-33"/>
          <w:w w:val="105"/>
          <w:sz w:val="19"/>
        </w:rPr>
        <w:t> </w:t>
      </w:r>
      <w:r>
        <w:rPr>
          <w:color w:val="231F20"/>
          <w:w w:val="105"/>
          <w:sz w:val="19"/>
        </w:rPr>
        <w:t>civile</w:t>
      </w:r>
      <w:r>
        <w:rPr>
          <w:color w:val="231F20"/>
          <w:spacing w:val="-33"/>
          <w:w w:val="105"/>
          <w:sz w:val="19"/>
        </w:rPr>
        <w:t> </w:t>
      </w:r>
      <w:r>
        <w:rPr>
          <w:color w:val="231F20"/>
          <w:w w:val="105"/>
          <w:sz w:val="19"/>
        </w:rPr>
        <w:t>esiste</w:t>
      </w:r>
      <w:r>
        <w:rPr>
          <w:color w:val="231F20"/>
          <w:spacing w:val="-33"/>
          <w:w w:val="105"/>
          <w:sz w:val="19"/>
        </w:rPr>
        <w:t> </w:t>
      </w:r>
      <w:r>
        <w:rPr>
          <w:color w:val="231F20"/>
          <w:w w:val="105"/>
          <w:sz w:val="19"/>
        </w:rPr>
        <w:t>un</w:t>
      </w:r>
      <w:r>
        <w:rPr>
          <w:color w:val="231F20"/>
          <w:spacing w:val="-33"/>
          <w:w w:val="105"/>
          <w:sz w:val="19"/>
        </w:rPr>
        <w:t> </w:t>
      </w:r>
      <w:r>
        <w:rPr>
          <w:color w:val="231F20"/>
          <w:w w:val="105"/>
          <w:sz w:val="19"/>
        </w:rPr>
        <w:t>confronto político</w:t>
      </w:r>
      <w:r>
        <w:rPr>
          <w:color w:val="231F20"/>
          <w:spacing w:val="-15"/>
          <w:w w:val="105"/>
          <w:sz w:val="19"/>
        </w:rPr>
        <w:t> </w:t>
      </w:r>
      <w:r>
        <w:rPr>
          <w:color w:val="231F20"/>
          <w:w w:val="105"/>
          <w:sz w:val="19"/>
        </w:rPr>
        <w:t>nel</w:t>
      </w:r>
      <w:r>
        <w:rPr>
          <w:color w:val="231F20"/>
          <w:spacing w:val="-15"/>
          <w:w w:val="105"/>
          <w:sz w:val="19"/>
        </w:rPr>
        <w:t> </w:t>
      </w:r>
      <w:r>
        <w:rPr>
          <w:color w:val="231F20"/>
          <w:w w:val="105"/>
          <w:sz w:val="19"/>
        </w:rPr>
        <w:t>senso</w:t>
      </w:r>
      <w:r>
        <w:rPr>
          <w:color w:val="231F20"/>
          <w:spacing w:val="-15"/>
          <w:w w:val="105"/>
          <w:sz w:val="19"/>
        </w:rPr>
        <w:t> </w:t>
      </w:r>
      <w:r>
        <w:rPr>
          <w:color w:val="231F20"/>
          <w:w w:val="105"/>
          <w:sz w:val="19"/>
        </w:rPr>
        <w:t>di</w:t>
      </w:r>
      <w:r>
        <w:rPr>
          <w:color w:val="231F20"/>
          <w:spacing w:val="-15"/>
          <w:w w:val="105"/>
          <w:sz w:val="19"/>
        </w:rPr>
        <w:t> </w:t>
      </w:r>
      <w:r>
        <w:rPr>
          <w:color w:val="231F20"/>
          <w:w w:val="105"/>
          <w:sz w:val="19"/>
        </w:rPr>
        <w:t>Schmitt.</w:t>
      </w:r>
      <w:r>
        <w:rPr>
          <w:color w:val="231F20"/>
          <w:spacing w:val="-15"/>
          <w:w w:val="105"/>
          <w:sz w:val="19"/>
        </w:rPr>
        <w:t> </w:t>
      </w:r>
      <w:r>
        <w:rPr>
          <w:color w:val="231F20"/>
          <w:w w:val="105"/>
          <w:sz w:val="19"/>
        </w:rPr>
        <w:t>Invece,</w:t>
      </w:r>
      <w:r>
        <w:rPr>
          <w:color w:val="231F20"/>
          <w:spacing w:val="-15"/>
          <w:w w:val="105"/>
          <w:sz w:val="19"/>
        </w:rPr>
        <w:t> </w:t>
      </w:r>
      <w:r>
        <w:rPr>
          <w:color w:val="231F20"/>
          <w:w w:val="105"/>
          <w:sz w:val="19"/>
        </w:rPr>
        <w:t>il</w:t>
      </w:r>
      <w:r>
        <w:rPr>
          <w:color w:val="231F20"/>
          <w:spacing w:val="-15"/>
          <w:w w:val="105"/>
          <w:sz w:val="19"/>
        </w:rPr>
        <w:t> </w:t>
      </w:r>
      <w:r>
        <w:rPr>
          <w:color w:val="231F20"/>
          <w:w w:val="105"/>
          <w:sz w:val="19"/>
        </w:rPr>
        <w:t>nemico</w:t>
      </w:r>
      <w:r>
        <w:rPr>
          <w:color w:val="231F20"/>
          <w:spacing w:val="-15"/>
          <w:w w:val="105"/>
          <w:sz w:val="19"/>
        </w:rPr>
        <w:t> </w:t>
      </w:r>
      <w:r>
        <w:rPr>
          <w:color w:val="231F20"/>
          <w:w w:val="105"/>
          <w:sz w:val="19"/>
        </w:rPr>
        <w:t>del</w:t>
      </w:r>
      <w:r>
        <w:rPr>
          <w:color w:val="231F20"/>
          <w:spacing w:val="-15"/>
          <w:w w:val="105"/>
          <w:sz w:val="19"/>
        </w:rPr>
        <w:t> </w:t>
      </w:r>
      <w:r>
        <w:rPr>
          <w:color w:val="231F20"/>
          <w:w w:val="105"/>
          <w:sz w:val="19"/>
        </w:rPr>
        <w:t>Diritto</w:t>
      </w:r>
      <w:r>
        <w:rPr>
          <w:color w:val="231F20"/>
          <w:spacing w:val="-15"/>
          <w:w w:val="105"/>
          <w:sz w:val="19"/>
        </w:rPr>
        <w:t> </w:t>
      </w:r>
      <w:r>
        <w:rPr>
          <w:color w:val="231F20"/>
          <w:w w:val="105"/>
          <w:sz w:val="19"/>
        </w:rPr>
        <w:t>penale è</w:t>
      </w:r>
      <w:r>
        <w:rPr>
          <w:color w:val="231F20"/>
          <w:spacing w:val="-31"/>
          <w:w w:val="105"/>
          <w:sz w:val="19"/>
        </w:rPr>
        <w:t> </w:t>
      </w:r>
      <w:r>
        <w:rPr>
          <w:color w:val="231F20"/>
          <w:w w:val="105"/>
          <w:sz w:val="19"/>
        </w:rPr>
        <w:t>un</w:t>
      </w:r>
      <w:r>
        <w:rPr>
          <w:color w:val="231F20"/>
          <w:spacing w:val="-31"/>
          <w:w w:val="105"/>
          <w:sz w:val="19"/>
        </w:rPr>
        <w:t> </w:t>
      </w:r>
      <w:r>
        <w:rPr>
          <w:color w:val="231F20"/>
          <w:w w:val="105"/>
          <w:sz w:val="19"/>
        </w:rPr>
        <w:t>delinquente</w:t>
      </w:r>
      <w:r>
        <w:rPr>
          <w:color w:val="231F20"/>
          <w:spacing w:val="-31"/>
          <w:w w:val="105"/>
          <w:sz w:val="19"/>
        </w:rPr>
        <w:t> </w:t>
      </w:r>
      <w:r>
        <w:rPr>
          <w:color w:val="231F20"/>
          <w:w w:val="105"/>
          <w:sz w:val="19"/>
        </w:rPr>
        <w:t>di</w:t>
      </w:r>
      <w:r>
        <w:rPr>
          <w:color w:val="231F20"/>
          <w:spacing w:val="-31"/>
          <w:w w:val="105"/>
          <w:sz w:val="19"/>
        </w:rPr>
        <w:t> </w:t>
      </w:r>
      <w:r>
        <w:rPr>
          <w:color w:val="231F20"/>
          <w:w w:val="105"/>
          <w:sz w:val="19"/>
        </w:rPr>
        <w:t>quelli</w:t>
      </w:r>
      <w:r>
        <w:rPr>
          <w:color w:val="231F20"/>
          <w:spacing w:val="-31"/>
          <w:w w:val="105"/>
          <w:sz w:val="19"/>
        </w:rPr>
        <w:t> </w:t>
      </w:r>
      <w:r>
        <w:rPr>
          <w:color w:val="231F20"/>
          <w:w w:val="105"/>
          <w:sz w:val="19"/>
        </w:rPr>
        <w:t>che</w:t>
      </w:r>
      <w:r>
        <w:rPr>
          <w:color w:val="231F20"/>
          <w:spacing w:val="-31"/>
          <w:w w:val="105"/>
          <w:sz w:val="19"/>
        </w:rPr>
        <w:t> </w:t>
      </w:r>
      <w:r>
        <w:rPr>
          <w:color w:val="231F20"/>
          <w:w w:val="105"/>
          <w:sz w:val="19"/>
        </w:rPr>
        <w:t>si</w:t>
      </w:r>
      <w:r>
        <w:rPr>
          <w:color w:val="231F20"/>
          <w:spacing w:val="-31"/>
          <w:w w:val="105"/>
          <w:sz w:val="19"/>
        </w:rPr>
        <w:t> </w:t>
      </w:r>
      <w:r>
        <w:rPr>
          <w:color w:val="231F20"/>
          <w:w w:val="105"/>
          <w:sz w:val="19"/>
        </w:rPr>
        <w:t>presume</w:t>
      </w:r>
      <w:r>
        <w:rPr>
          <w:color w:val="231F20"/>
          <w:spacing w:val="-31"/>
          <w:w w:val="105"/>
          <w:sz w:val="19"/>
        </w:rPr>
        <w:t> </w:t>
      </w:r>
      <w:r>
        <w:rPr>
          <w:color w:val="231F20"/>
          <w:w w:val="105"/>
          <w:sz w:val="19"/>
        </w:rPr>
        <w:t>sono</w:t>
      </w:r>
      <w:r>
        <w:rPr>
          <w:color w:val="231F20"/>
          <w:spacing w:val="-31"/>
          <w:w w:val="105"/>
          <w:sz w:val="19"/>
        </w:rPr>
        <w:t> </w:t>
      </w:r>
      <w:r>
        <w:rPr>
          <w:color w:val="231F20"/>
          <w:w w:val="105"/>
          <w:sz w:val="19"/>
        </w:rPr>
        <w:t>permanentemente </w:t>
      </w:r>
      <w:r>
        <w:rPr>
          <w:color w:val="231F20"/>
          <w:spacing w:val="-3"/>
          <w:w w:val="105"/>
          <w:sz w:val="19"/>
        </w:rPr>
        <w:t>pericolosi,</w:t>
      </w:r>
      <w:r>
        <w:rPr>
          <w:color w:val="231F20"/>
          <w:spacing w:val="-40"/>
          <w:w w:val="105"/>
          <w:sz w:val="19"/>
        </w:rPr>
        <w:t> </w:t>
      </w:r>
      <w:r>
        <w:rPr>
          <w:color w:val="231F20"/>
          <w:w w:val="105"/>
          <w:sz w:val="19"/>
        </w:rPr>
        <w:t>un</w:t>
      </w:r>
      <w:r>
        <w:rPr>
          <w:color w:val="231F20"/>
          <w:spacing w:val="-39"/>
          <w:w w:val="105"/>
          <w:sz w:val="19"/>
        </w:rPr>
        <w:t> </w:t>
      </w:r>
      <w:r>
        <w:rPr>
          <w:rFonts w:ascii="Arial" w:hAnsi="Arial"/>
          <w:i/>
          <w:color w:val="231F20"/>
          <w:spacing w:val="-3"/>
          <w:w w:val="105"/>
          <w:sz w:val="19"/>
        </w:rPr>
        <w:t>inimicus</w:t>
      </w:r>
      <w:r>
        <w:rPr>
          <w:color w:val="231F20"/>
          <w:spacing w:val="-3"/>
          <w:w w:val="105"/>
          <w:sz w:val="19"/>
        </w:rPr>
        <w:t>.</w:t>
      </w:r>
      <w:r>
        <w:rPr>
          <w:color w:val="231F20"/>
          <w:spacing w:val="-40"/>
          <w:w w:val="105"/>
          <w:sz w:val="19"/>
        </w:rPr>
        <w:t> </w:t>
      </w:r>
      <w:r>
        <w:rPr>
          <w:color w:val="231F20"/>
          <w:w w:val="105"/>
          <w:sz w:val="19"/>
        </w:rPr>
        <w:t>Non</w:t>
      </w:r>
      <w:r>
        <w:rPr>
          <w:color w:val="231F20"/>
          <w:spacing w:val="-40"/>
          <w:w w:val="105"/>
          <w:sz w:val="19"/>
        </w:rPr>
        <w:t> </w:t>
      </w:r>
      <w:r>
        <w:rPr>
          <w:color w:val="231F20"/>
          <w:w w:val="105"/>
          <w:sz w:val="19"/>
        </w:rPr>
        <w:t>è</w:t>
      </w:r>
      <w:r>
        <w:rPr>
          <w:color w:val="231F20"/>
          <w:spacing w:val="-40"/>
          <w:w w:val="105"/>
          <w:sz w:val="19"/>
        </w:rPr>
        <w:t> </w:t>
      </w:r>
      <w:r>
        <w:rPr>
          <w:color w:val="231F20"/>
          <w:spacing w:val="-3"/>
          <w:w w:val="105"/>
          <w:sz w:val="19"/>
        </w:rPr>
        <w:t>un’altro,</w:t>
      </w:r>
      <w:r>
        <w:rPr>
          <w:color w:val="231F20"/>
          <w:spacing w:val="-40"/>
          <w:w w:val="105"/>
          <w:sz w:val="19"/>
        </w:rPr>
        <w:t> </w:t>
      </w:r>
      <w:r>
        <w:rPr>
          <w:color w:val="231F20"/>
          <w:w w:val="105"/>
          <w:sz w:val="19"/>
        </w:rPr>
        <w:t>ma</w:t>
      </w:r>
      <w:r>
        <w:rPr>
          <w:color w:val="231F20"/>
          <w:spacing w:val="-40"/>
          <w:w w:val="105"/>
          <w:sz w:val="19"/>
        </w:rPr>
        <w:t> </w:t>
      </w:r>
      <w:r>
        <w:rPr>
          <w:color w:val="231F20"/>
          <w:spacing w:val="-3"/>
          <w:w w:val="105"/>
          <w:sz w:val="19"/>
        </w:rPr>
        <w:t>dovrebbe</w:t>
      </w:r>
      <w:r>
        <w:rPr>
          <w:color w:val="231F20"/>
          <w:spacing w:val="-40"/>
          <w:w w:val="105"/>
          <w:sz w:val="19"/>
        </w:rPr>
        <w:t> </w:t>
      </w:r>
      <w:r>
        <w:rPr>
          <w:color w:val="231F20"/>
          <w:spacing w:val="-3"/>
          <w:w w:val="105"/>
          <w:sz w:val="19"/>
        </w:rPr>
        <w:t>comportarsi</w:t>
      </w:r>
      <w:r>
        <w:rPr>
          <w:color w:val="231F20"/>
          <w:spacing w:val="-40"/>
          <w:w w:val="105"/>
          <w:sz w:val="19"/>
        </w:rPr>
        <w:t> </w:t>
      </w:r>
      <w:r>
        <w:rPr>
          <w:color w:val="231F20"/>
          <w:spacing w:val="-3"/>
          <w:w w:val="105"/>
          <w:sz w:val="19"/>
        </w:rPr>
        <w:t>da </w:t>
      </w:r>
      <w:r>
        <w:rPr>
          <w:color w:val="231F20"/>
          <w:sz w:val="19"/>
        </w:rPr>
        <w:t>uguale,</w:t>
      </w:r>
      <w:r>
        <w:rPr>
          <w:color w:val="231F20"/>
          <w:spacing w:val="-19"/>
          <w:sz w:val="19"/>
        </w:rPr>
        <w:t> </w:t>
      </w:r>
      <w:r>
        <w:rPr>
          <w:color w:val="231F20"/>
          <w:sz w:val="19"/>
        </w:rPr>
        <w:t>e</w:t>
      </w:r>
      <w:r>
        <w:rPr>
          <w:color w:val="231F20"/>
          <w:spacing w:val="-19"/>
          <w:sz w:val="19"/>
        </w:rPr>
        <w:t> </w:t>
      </w:r>
      <w:r>
        <w:rPr>
          <w:color w:val="231F20"/>
          <w:sz w:val="19"/>
        </w:rPr>
        <w:t>per</w:t>
      </w:r>
      <w:r>
        <w:rPr>
          <w:color w:val="231F20"/>
          <w:spacing w:val="-19"/>
          <w:sz w:val="19"/>
        </w:rPr>
        <w:t> </w:t>
      </w:r>
      <w:r>
        <w:rPr>
          <w:color w:val="231F20"/>
          <w:sz w:val="19"/>
        </w:rPr>
        <w:t>questo</w:t>
      </w:r>
      <w:r>
        <w:rPr>
          <w:color w:val="231F20"/>
          <w:spacing w:val="-19"/>
          <w:sz w:val="19"/>
        </w:rPr>
        <w:t> </w:t>
      </w:r>
      <w:r>
        <w:rPr>
          <w:color w:val="231F20"/>
          <w:sz w:val="19"/>
        </w:rPr>
        <w:t>gli</w:t>
      </w:r>
      <w:r>
        <w:rPr>
          <w:color w:val="231F20"/>
          <w:spacing w:val="-19"/>
          <w:sz w:val="19"/>
        </w:rPr>
        <w:t> </w:t>
      </w:r>
      <w:r>
        <w:rPr>
          <w:color w:val="231F20"/>
          <w:sz w:val="19"/>
        </w:rPr>
        <w:t>si</w:t>
      </w:r>
      <w:r>
        <w:rPr>
          <w:color w:val="231F20"/>
          <w:spacing w:val="-19"/>
          <w:sz w:val="19"/>
        </w:rPr>
        <w:t> </w:t>
      </w:r>
      <w:r>
        <w:rPr>
          <w:color w:val="231F20"/>
          <w:sz w:val="19"/>
        </w:rPr>
        <w:t>atribuisce</w:t>
      </w:r>
      <w:r>
        <w:rPr>
          <w:color w:val="231F20"/>
          <w:spacing w:val="-19"/>
          <w:sz w:val="19"/>
        </w:rPr>
        <w:t> </w:t>
      </w:r>
      <w:r>
        <w:rPr>
          <w:color w:val="231F20"/>
          <w:sz w:val="19"/>
        </w:rPr>
        <w:t>colpevolezza</w:t>
      </w:r>
      <w:r>
        <w:rPr>
          <w:color w:val="231F20"/>
          <w:spacing w:val="-19"/>
          <w:sz w:val="19"/>
        </w:rPr>
        <w:t> </w:t>
      </w:r>
      <w:r>
        <w:rPr>
          <w:color w:val="231F20"/>
          <w:sz w:val="19"/>
        </w:rPr>
        <w:t>giuridico–penale, </w:t>
      </w:r>
      <w:r>
        <w:rPr>
          <w:color w:val="231F20"/>
          <w:w w:val="105"/>
          <w:sz w:val="19"/>
        </w:rPr>
        <w:t>a</w:t>
      </w:r>
      <w:r>
        <w:rPr>
          <w:color w:val="231F20"/>
          <w:spacing w:val="-35"/>
          <w:w w:val="105"/>
          <w:sz w:val="19"/>
        </w:rPr>
        <w:t> </w:t>
      </w:r>
      <w:r>
        <w:rPr>
          <w:color w:val="231F20"/>
          <w:w w:val="105"/>
          <w:sz w:val="19"/>
        </w:rPr>
        <w:t>differenza</w:t>
      </w:r>
      <w:r>
        <w:rPr>
          <w:color w:val="231F20"/>
          <w:spacing w:val="-35"/>
          <w:w w:val="105"/>
          <w:sz w:val="19"/>
        </w:rPr>
        <w:t> </w:t>
      </w:r>
      <w:r>
        <w:rPr>
          <w:color w:val="231F20"/>
          <w:w w:val="105"/>
          <w:sz w:val="19"/>
        </w:rPr>
        <w:t>del</w:t>
      </w:r>
      <w:r>
        <w:rPr>
          <w:color w:val="231F20"/>
          <w:spacing w:val="-35"/>
          <w:w w:val="105"/>
          <w:sz w:val="19"/>
        </w:rPr>
        <w:t> </w:t>
      </w:r>
      <w:r>
        <w:rPr>
          <w:rFonts w:ascii="Arial" w:hAnsi="Arial"/>
          <w:i/>
          <w:color w:val="231F20"/>
          <w:w w:val="105"/>
          <w:sz w:val="19"/>
        </w:rPr>
        <w:t>hostis</w:t>
      </w:r>
      <w:r>
        <w:rPr>
          <w:rFonts w:ascii="Arial" w:hAnsi="Arial"/>
          <w:i/>
          <w:color w:val="231F20"/>
          <w:spacing w:val="-26"/>
          <w:w w:val="105"/>
          <w:sz w:val="19"/>
        </w:rPr>
        <w:t> </w:t>
      </w:r>
      <w:r>
        <w:rPr>
          <w:color w:val="231F20"/>
          <w:w w:val="105"/>
          <w:sz w:val="19"/>
        </w:rPr>
        <w:t>di</w:t>
      </w:r>
      <w:r>
        <w:rPr>
          <w:color w:val="231F20"/>
          <w:spacing w:val="-35"/>
          <w:w w:val="105"/>
          <w:sz w:val="19"/>
        </w:rPr>
        <w:t> </w:t>
      </w:r>
      <w:r>
        <w:rPr>
          <w:color w:val="231F20"/>
          <w:w w:val="105"/>
          <w:sz w:val="19"/>
        </w:rPr>
        <w:t>Schmitt</w:t>
      </w:r>
      <w:r>
        <w:rPr>
          <w:color w:val="231F20"/>
          <w:w w:val="105"/>
          <w:position w:val="6"/>
          <w:sz w:val="11"/>
        </w:rPr>
        <w:t>9</w:t>
      </w:r>
      <w:r>
        <w:rPr>
          <w:color w:val="231F20"/>
          <w:w w:val="105"/>
          <w:sz w:val="19"/>
        </w:rPr>
        <w:t>.</w:t>
      </w:r>
    </w:p>
    <w:p>
      <w:pPr>
        <w:pStyle w:val="BodyText"/>
        <w:spacing w:before="11"/>
        <w:rPr>
          <w:sz w:val="23"/>
        </w:rPr>
      </w:pPr>
    </w:p>
    <w:p>
      <w:pPr>
        <w:pStyle w:val="BodyText"/>
        <w:spacing w:line="247" w:lineRule="auto"/>
        <w:ind w:left="103" w:right="113"/>
        <w:jc w:val="both"/>
      </w:pPr>
      <w:r>
        <w:rPr>
          <w:color w:val="231F20"/>
        </w:rPr>
        <w:t>Indipendentemente</w:t>
      </w:r>
      <w:r>
        <w:rPr>
          <w:color w:val="231F20"/>
          <w:spacing w:val="-12"/>
        </w:rPr>
        <w:t> </w:t>
      </w:r>
      <w:r>
        <w:rPr>
          <w:color w:val="231F20"/>
        </w:rPr>
        <w:t>dalle</w:t>
      </w:r>
      <w:r>
        <w:rPr>
          <w:color w:val="231F20"/>
          <w:spacing w:val="-12"/>
        </w:rPr>
        <w:t> </w:t>
      </w:r>
      <w:r>
        <w:rPr>
          <w:color w:val="231F20"/>
          <w:spacing w:val="-3"/>
        </w:rPr>
        <w:t>divergenze,</w:t>
      </w:r>
      <w:r>
        <w:rPr>
          <w:color w:val="231F20"/>
          <w:spacing w:val="-12"/>
        </w:rPr>
        <w:t> </w:t>
      </w:r>
      <w:r>
        <w:rPr>
          <w:color w:val="231F20"/>
        </w:rPr>
        <w:t>il</w:t>
      </w:r>
      <w:r>
        <w:rPr>
          <w:color w:val="231F20"/>
          <w:spacing w:val="-12"/>
        </w:rPr>
        <w:t> </w:t>
      </w:r>
      <w:r>
        <w:rPr>
          <w:color w:val="231F20"/>
        </w:rPr>
        <w:t>nemico</w:t>
      </w:r>
      <w:r>
        <w:rPr>
          <w:color w:val="231F20"/>
          <w:spacing w:val="-12"/>
        </w:rPr>
        <w:t> </w:t>
      </w:r>
      <w:r>
        <w:rPr>
          <w:color w:val="231F20"/>
        </w:rPr>
        <w:t>di</w:t>
      </w:r>
      <w:r>
        <w:rPr>
          <w:color w:val="231F20"/>
          <w:spacing w:val="-12"/>
        </w:rPr>
        <w:t> </w:t>
      </w:r>
      <w:r>
        <w:rPr>
          <w:color w:val="231F20"/>
        </w:rPr>
        <w:t>Schmitt</w:t>
      </w:r>
      <w:r>
        <w:rPr>
          <w:color w:val="231F20"/>
          <w:spacing w:val="-12"/>
        </w:rPr>
        <w:t> </w:t>
      </w:r>
      <w:r>
        <w:rPr>
          <w:color w:val="231F20"/>
        </w:rPr>
        <w:t>e</w:t>
      </w:r>
      <w:r>
        <w:rPr>
          <w:color w:val="231F20"/>
          <w:spacing w:val="-12"/>
        </w:rPr>
        <w:t> </w:t>
      </w:r>
      <w:r>
        <w:rPr>
          <w:color w:val="231F20"/>
        </w:rPr>
        <w:t>quello</w:t>
      </w:r>
      <w:r>
        <w:rPr>
          <w:color w:val="231F20"/>
          <w:spacing w:val="-12"/>
        </w:rPr>
        <w:t> </w:t>
      </w:r>
      <w:r>
        <w:rPr>
          <w:color w:val="231F20"/>
        </w:rPr>
        <w:t>di</w:t>
      </w:r>
      <w:r>
        <w:rPr>
          <w:color w:val="231F20"/>
          <w:spacing w:val="-12"/>
        </w:rPr>
        <w:t> </w:t>
      </w:r>
      <w:r>
        <w:rPr>
          <w:color w:val="231F20"/>
          <w:spacing w:val="-2"/>
        </w:rPr>
        <w:t>Jakobs </w:t>
      </w:r>
      <w:r>
        <w:rPr>
          <w:color w:val="231F20"/>
        </w:rPr>
        <w:t>condividono</w:t>
      </w:r>
      <w:r>
        <w:rPr>
          <w:color w:val="231F20"/>
          <w:spacing w:val="-18"/>
        </w:rPr>
        <w:t> </w:t>
      </w:r>
      <w:r>
        <w:rPr>
          <w:color w:val="231F20"/>
        </w:rPr>
        <w:t>un</w:t>
      </w:r>
      <w:r>
        <w:rPr>
          <w:color w:val="231F20"/>
          <w:spacing w:val="-18"/>
        </w:rPr>
        <w:t> </w:t>
      </w:r>
      <w:r>
        <w:rPr>
          <w:color w:val="231F20"/>
        </w:rPr>
        <w:t>carattere</w:t>
      </w:r>
      <w:r>
        <w:rPr>
          <w:color w:val="231F20"/>
          <w:spacing w:val="-18"/>
        </w:rPr>
        <w:t> </w:t>
      </w:r>
      <w:r>
        <w:rPr>
          <w:color w:val="231F20"/>
        </w:rPr>
        <w:t>ambiguo.</w:t>
      </w:r>
      <w:r>
        <w:rPr>
          <w:color w:val="231F20"/>
          <w:spacing w:val="-18"/>
        </w:rPr>
        <w:t> </w:t>
      </w:r>
      <w:r>
        <w:rPr>
          <w:color w:val="231F20"/>
        </w:rPr>
        <w:t>In</w:t>
      </w:r>
      <w:r>
        <w:rPr>
          <w:color w:val="231F20"/>
          <w:spacing w:val="-18"/>
        </w:rPr>
        <w:t> </w:t>
      </w:r>
      <w:r>
        <w:rPr>
          <w:color w:val="231F20"/>
        </w:rPr>
        <w:t>effetti,</w:t>
      </w:r>
      <w:r>
        <w:rPr>
          <w:color w:val="231F20"/>
          <w:spacing w:val="-18"/>
        </w:rPr>
        <w:t> </w:t>
      </w:r>
      <w:r>
        <w:rPr>
          <w:color w:val="231F20"/>
        </w:rPr>
        <w:t>in</w:t>
      </w:r>
      <w:r>
        <w:rPr>
          <w:color w:val="231F20"/>
          <w:spacing w:val="-18"/>
        </w:rPr>
        <w:t> </w:t>
      </w:r>
      <w:r>
        <w:rPr>
          <w:color w:val="231F20"/>
        </w:rPr>
        <w:t>entrambi</w:t>
      </w:r>
      <w:r>
        <w:rPr>
          <w:color w:val="231F20"/>
          <w:spacing w:val="-18"/>
        </w:rPr>
        <w:t> </w:t>
      </w:r>
      <w:r>
        <w:rPr>
          <w:color w:val="231F20"/>
        </w:rPr>
        <w:t>gli</w:t>
      </w:r>
      <w:r>
        <w:rPr>
          <w:color w:val="231F20"/>
          <w:spacing w:val="-18"/>
        </w:rPr>
        <w:t> </w:t>
      </w:r>
      <w:r>
        <w:rPr>
          <w:color w:val="231F20"/>
        </w:rPr>
        <w:t>autori</w:t>
      </w:r>
      <w:r>
        <w:rPr>
          <w:color w:val="231F20"/>
          <w:spacing w:val="-18"/>
        </w:rPr>
        <w:t> </w:t>
      </w:r>
      <w:r>
        <w:rPr>
          <w:color w:val="231F20"/>
        </w:rPr>
        <w:t>il</w:t>
      </w:r>
      <w:r>
        <w:rPr>
          <w:color w:val="231F20"/>
          <w:spacing w:val="-18"/>
        </w:rPr>
        <w:t> </w:t>
      </w:r>
      <w:r>
        <w:rPr>
          <w:color w:val="231F20"/>
        </w:rPr>
        <w:t>nemico è</w:t>
      </w:r>
      <w:r>
        <w:rPr>
          <w:color w:val="231F20"/>
          <w:spacing w:val="-20"/>
        </w:rPr>
        <w:t> </w:t>
      </w:r>
      <w:r>
        <w:rPr>
          <w:color w:val="231F20"/>
        </w:rPr>
        <w:t>qualcuno</w:t>
      </w:r>
      <w:r>
        <w:rPr>
          <w:color w:val="231F20"/>
          <w:spacing w:val="-20"/>
        </w:rPr>
        <w:t> </w:t>
      </w:r>
      <w:r>
        <w:rPr>
          <w:color w:val="231F20"/>
        </w:rPr>
        <w:t>che</w:t>
      </w:r>
      <w:r>
        <w:rPr>
          <w:color w:val="231F20"/>
          <w:spacing w:val="-20"/>
        </w:rPr>
        <w:t> </w:t>
      </w:r>
      <w:r>
        <w:rPr>
          <w:color w:val="231F20"/>
        </w:rPr>
        <w:t>per</w:t>
      </w:r>
      <w:r>
        <w:rPr>
          <w:color w:val="231F20"/>
          <w:spacing w:val="-20"/>
        </w:rPr>
        <w:t> </w:t>
      </w:r>
      <w:r>
        <w:rPr>
          <w:color w:val="231F20"/>
          <w:spacing w:val="-3"/>
        </w:rPr>
        <w:t>stare</w:t>
      </w:r>
      <w:r>
        <w:rPr>
          <w:color w:val="231F20"/>
          <w:spacing w:val="-20"/>
        </w:rPr>
        <w:t> </w:t>
      </w:r>
      <w:r>
        <w:rPr>
          <w:color w:val="231F20"/>
        </w:rPr>
        <w:t>fuori</w:t>
      </w:r>
      <w:r>
        <w:rPr>
          <w:color w:val="231F20"/>
          <w:spacing w:val="-20"/>
        </w:rPr>
        <w:t> </w:t>
      </w:r>
      <w:r>
        <w:rPr>
          <w:color w:val="231F20"/>
        </w:rPr>
        <w:t>dal</w:t>
      </w:r>
      <w:r>
        <w:rPr>
          <w:color w:val="231F20"/>
          <w:spacing w:val="-20"/>
        </w:rPr>
        <w:t> </w:t>
      </w:r>
      <w:r>
        <w:rPr>
          <w:color w:val="231F20"/>
          <w:spacing w:val="-3"/>
        </w:rPr>
        <w:t>regime</w:t>
      </w:r>
      <w:r>
        <w:rPr>
          <w:color w:val="231F20"/>
          <w:spacing w:val="-20"/>
        </w:rPr>
        <w:t> </w:t>
      </w:r>
      <w:r>
        <w:rPr>
          <w:color w:val="231F20"/>
        </w:rPr>
        <w:t>giuridico</w:t>
      </w:r>
      <w:r>
        <w:rPr>
          <w:color w:val="231F20"/>
          <w:spacing w:val="-20"/>
        </w:rPr>
        <w:t> </w:t>
      </w:r>
      <w:r>
        <w:rPr>
          <w:color w:val="231F20"/>
        </w:rPr>
        <w:t>rimane,</w:t>
      </w:r>
      <w:r>
        <w:rPr>
          <w:color w:val="231F20"/>
          <w:spacing w:val="-20"/>
        </w:rPr>
        <w:t> </w:t>
      </w:r>
      <w:r>
        <w:rPr>
          <w:color w:val="231F20"/>
        </w:rPr>
        <w:t>paradossalmente, </w:t>
      </w:r>
      <w:r>
        <w:rPr>
          <w:color w:val="231F20"/>
          <w:spacing w:val="-3"/>
        </w:rPr>
        <w:t>incluso</w:t>
      </w:r>
      <w:r>
        <w:rPr>
          <w:color w:val="231F20"/>
          <w:spacing w:val="-10"/>
        </w:rPr>
        <w:t> </w:t>
      </w:r>
      <w:r>
        <w:rPr>
          <w:color w:val="231F20"/>
        </w:rPr>
        <w:t>in</w:t>
      </w:r>
      <w:r>
        <w:rPr>
          <w:color w:val="231F20"/>
          <w:spacing w:val="-10"/>
        </w:rPr>
        <w:t> </w:t>
      </w:r>
      <w:r>
        <w:rPr>
          <w:color w:val="231F20"/>
          <w:spacing w:val="-3"/>
        </w:rPr>
        <w:t>esse.</w:t>
      </w:r>
      <w:r>
        <w:rPr>
          <w:color w:val="231F20"/>
          <w:spacing w:val="-10"/>
        </w:rPr>
        <w:t> </w:t>
      </w:r>
      <w:r>
        <w:rPr>
          <w:color w:val="231F20"/>
          <w:spacing w:val="-3"/>
        </w:rPr>
        <w:t>Cioè,</w:t>
      </w:r>
      <w:r>
        <w:rPr>
          <w:color w:val="231F20"/>
          <w:spacing w:val="-10"/>
        </w:rPr>
        <w:t> </w:t>
      </w:r>
      <w:r>
        <w:rPr>
          <w:color w:val="231F20"/>
          <w:spacing w:val="-3"/>
        </w:rPr>
        <w:t>attraverso</w:t>
      </w:r>
      <w:r>
        <w:rPr>
          <w:color w:val="231F20"/>
          <w:spacing w:val="-10"/>
        </w:rPr>
        <w:t> </w:t>
      </w:r>
      <w:r>
        <w:rPr>
          <w:color w:val="231F20"/>
          <w:spacing w:val="-3"/>
        </w:rPr>
        <w:t>sospensione–violazione</w:t>
      </w:r>
      <w:r>
        <w:rPr>
          <w:color w:val="231F20"/>
          <w:spacing w:val="-10"/>
        </w:rPr>
        <w:t> </w:t>
      </w:r>
      <w:r>
        <w:rPr>
          <w:color w:val="231F20"/>
          <w:spacing w:val="-3"/>
        </w:rPr>
        <w:t>della</w:t>
      </w:r>
      <w:r>
        <w:rPr>
          <w:color w:val="231F20"/>
          <w:spacing w:val="-10"/>
        </w:rPr>
        <w:t> </w:t>
      </w:r>
      <w:r>
        <w:rPr>
          <w:color w:val="231F20"/>
          <w:spacing w:val="-3"/>
        </w:rPr>
        <w:t>legge,</w:t>
      </w:r>
      <w:r>
        <w:rPr>
          <w:color w:val="231F20"/>
          <w:spacing w:val="-10"/>
        </w:rPr>
        <w:t> </w:t>
      </w:r>
      <w:r>
        <w:rPr>
          <w:color w:val="231F20"/>
        </w:rPr>
        <w:t>il</w:t>
      </w:r>
      <w:r>
        <w:rPr>
          <w:color w:val="231F20"/>
          <w:spacing w:val="-10"/>
        </w:rPr>
        <w:t> </w:t>
      </w:r>
      <w:r>
        <w:rPr>
          <w:color w:val="231F20"/>
          <w:spacing w:val="-3"/>
        </w:rPr>
        <w:t>nemico </w:t>
      </w:r>
      <w:r>
        <w:rPr>
          <w:color w:val="231F20"/>
        </w:rPr>
        <w:t>sarà incluso in un regime legale che in anticipo lo</w:t>
      </w:r>
      <w:r>
        <w:rPr>
          <w:color w:val="231F20"/>
          <w:spacing w:val="4"/>
        </w:rPr>
        <w:t> </w:t>
      </w:r>
      <w:r>
        <w:rPr>
          <w:color w:val="231F20"/>
        </w:rPr>
        <w:t>esclude.</w:t>
      </w:r>
    </w:p>
    <w:p>
      <w:pPr>
        <w:pStyle w:val="BodyText"/>
        <w:spacing w:line="244" w:lineRule="auto"/>
        <w:ind w:left="103" w:right="111" w:firstLine="566"/>
        <w:jc w:val="both"/>
      </w:pPr>
      <w:r>
        <w:rPr>
          <w:color w:val="231F20"/>
          <w:w w:val="105"/>
        </w:rPr>
        <w:t>Sappiamo che gli Stati Uniti risposero a quelli attacchi terroristici con</w:t>
      </w:r>
      <w:r>
        <w:rPr>
          <w:color w:val="231F20"/>
          <w:spacing w:val="-18"/>
          <w:w w:val="105"/>
        </w:rPr>
        <w:t> </w:t>
      </w:r>
      <w:r>
        <w:rPr>
          <w:color w:val="231F20"/>
          <w:w w:val="105"/>
        </w:rPr>
        <w:t>misure</w:t>
      </w:r>
      <w:r>
        <w:rPr>
          <w:color w:val="231F20"/>
          <w:spacing w:val="-18"/>
          <w:w w:val="105"/>
        </w:rPr>
        <w:t> </w:t>
      </w:r>
      <w:r>
        <w:rPr>
          <w:color w:val="231F20"/>
          <w:w w:val="105"/>
        </w:rPr>
        <w:t>che</w:t>
      </w:r>
      <w:r>
        <w:rPr>
          <w:color w:val="231F20"/>
          <w:spacing w:val="-18"/>
          <w:w w:val="105"/>
        </w:rPr>
        <w:t> </w:t>
      </w:r>
      <w:r>
        <w:rPr>
          <w:color w:val="231F20"/>
          <w:w w:val="105"/>
        </w:rPr>
        <w:t>non</w:t>
      </w:r>
      <w:r>
        <w:rPr>
          <w:color w:val="231F20"/>
          <w:spacing w:val="-18"/>
          <w:w w:val="105"/>
        </w:rPr>
        <w:t> </w:t>
      </w:r>
      <w:r>
        <w:rPr>
          <w:color w:val="231F20"/>
          <w:w w:val="105"/>
        </w:rPr>
        <w:t>furono</w:t>
      </w:r>
      <w:r>
        <w:rPr>
          <w:color w:val="231F20"/>
          <w:spacing w:val="-18"/>
          <w:w w:val="105"/>
        </w:rPr>
        <w:t> </w:t>
      </w:r>
      <w:r>
        <w:rPr>
          <w:color w:val="231F20"/>
          <w:w w:val="105"/>
        </w:rPr>
        <w:t>rispettose</w:t>
      </w:r>
      <w:r>
        <w:rPr>
          <w:color w:val="231F20"/>
          <w:spacing w:val="-18"/>
          <w:w w:val="105"/>
        </w:rPr>
        <w:t> </w:t>
      </w:r>
      <w:r>
        <w:rPr>
          <w:color w:val="231F20"/>
          <w:w w:val="105"/>
        </w:rPr>
        <w:t>di</w:t>
      </w:r>
      <w:r>
        <w:rPr>
          <w:color w:val="231F20"/>
          <w:spacing w:val="-18"/>
          <w:w w:val="105"/>
        </w:rPr>
        <w:t> </w:t>
      </w:r>
      <w:r>
        <w:rPr>
          <w:color w:val="231F20"/>
          <w:w w:val="105"/>
        </w:rPr>
        <w:t>molti</w:t>
      </w:r>
      <w:r>
        <w:rPr>
          <w:color w:val="231F20"/>
          <w:spacing w:val="-18"/>
          <w:w w:val="105"/>
        </w:rPr>
        <w:t> </w:t>
      </w:r>
      <w:r>
        <w:rPr>
          <w:color w:val="231F20"/>
          <w:w w:val="105"/>
        </w:rPr>
        <w:t>dei</w:t>
      </w:r>
      <w:r>
        <w:rPr>
          <w:color w:val="231F20"/>
          <w:spacing w:val="-18"/>
          <w:w w:val="105"/>
        </w:rPr>
        <w:t> </w:t>
      </w:r>
      <w:r>
        <w:rPr>
          <w:color w:val="231F20"/>
          <w:w w:val="105"/>
        </w:rPr>
        <w:t>trattati</w:t>
      </w:r>
      <w:r>
        <w:rPr>
          <w:color w:val="231F20"/>
          <w:spacing w:val="-18"/>
          <w:w w:val="105"/>
        </w:rPr>
        <w:t> </w:t>
      </w:r>
      <w:r>
        <w:rPr>
          <w:color w:val="231F20"/>
          <w:w w:val="105"/>
        </w:rPr>
        <w:t>internazionali</w:t>
      </w:r>
      <w:r>
        <w:rPr>
          <w:color w:val="231F20"/>
          <w:spacing w:val="-18"/>
          <w:w w:val="105"/>
        </w:rPr>
        <w:t> </w:t>
      </w:r>
      <w:r>
        <w:rPr>
          <w:color w:val="231F20"/>
          <w:w w:val="105"/>
        </w:rPr>
        <w:t>di convivenza</w:t>
      </w:r>
      <w:r>
        <w:rPr>
          <w:color w:val="231F20"/>
          <w:spacing w:val="-45"/>
          <w:w w:val="105"/>
        </w:rPr>
        <w:t> </w:t>
      </w:r>
      <w:r>
        <w:rPr>
          <w:color w:val="231F20"/>
          <w:w w:val="105"/>
        </w:rPr>
        <w:t>tra</w:t>
      </w:r>
      <w:r>
        <w:rPr>
          <w:color w:val="231F20"/>
          <w:spacing w:val="-45"/>
          <w:w w:val="105"/>
        </w:rPr>
        <w:t> </w:t>
      </w:r>
      <w:r>
        <w:rPr>
          <w:color w:val="231F20"/>
          <w:w w:val="105"/>
        </w:rPr>
        <w:t>le</w:t>
      </w:r>
      <w:r>
        <w:rPr>
          <w:color w:val="231F20"/>
          <w:spacing w:val="-45"/>
          <w:w w:val="105"/>
        </w:rPr>
        <w:t> </w:t>
      </w:r>
      <w:r>
        <w:rPr>
          <w:color w:val="231F20"/>
          <w:w w:val="105"/>
        </w:rPr>
        <w:t>nazioni</w:t>
      </w:r>
      <w:r>
        <w:rPr>
          <w:color w:val="231F20"/>
          <w:spacing w:val="-45"/>
          <w:w w:val="105"/>
        </w:rPr>
        <w:t> </w:t>
      </w:r>
      <w:r>
        <w:rPr>
          <w:color w:val="231F20"/>
          <w:w w:val="105"/>
        </w:rPr>
        <w:t>e</w:t>
      </w:r>
      <w:r>
        <w:rPr>
          <w:color w:val="231F20"/>
          <w:spacing w:val="-45"/>
          <w:w w:val="105"/>
        </w:rPr>
        <w:t> </w:t>
      </w:r>
      <w:r>
        <w:rPr>
          <w:color w:val="231F20"/>
          <w:w w:val="105"/>
        </w:rPr>
        <w:t>di</w:t>
      </w:r>
      <w:r>
        <w:rPr>
          <w:color w:val="231F20"/>
          <w:spacing w:val="-45"/>
          <w:w w:val="105"/>
        </w:rPr>
        <w:t> </w:t>
      </w:r>
      <w:r>
        <w:rPr>
          <w:color w:val="231F20"/>
          <w:w w:val="105"/>
        </w:rPr>
        <w:t>rispetto</w:t>
      </w:r>
      <w:r>
        <w:rPr>
          <w:color w:val="231F20"/>
          <w:spacing w:val="-45"/>
          <w:w w:val="105"/>
        </w:rPr>
        <w:t> </w:t>
      </w:r>
      <w:r>
        <w:rPr>
          <w:color w:val="231F20"/>
          <w:w w:val="105"/>
        </w:rPr>
        <w:t>ai</w:t>
      </w:r>
      <w:r>
        <w:rPr>
          <w:color w:val="231F20"/>
          <w:spacing w:val="-45"/>
          <w:w w:val="105"/>
        </w:rPr>
        <w:t> </w:t>
      </w:r>
      <w:r>
        <w:rPr>
          <w:color w:val="231F20"/>
          <w:w w:val="105"/>
        </w:rPr>
        <w:t>diritti</w:t>
      </w:r>
      <w:r>
        <w:rPr>
          <w:color w:val="231F20"/>
          <w:spacing w:val="-45"/>
          <w:w w:val="105"/>
        </w:rPr>
        <w:t> </w:t>
      </w:r>
      <w:r>
        <w:rPr>
          <w:color w:val="231F20"/>
          <w:w w:val="105"/>
        </w:rPr>
        <w:t>umani.</w:t>
      </w:r>
      <w:r>
        <w:rPr>
          <w:color w:val="231F20"/>
          <w:spacing w:val="-45"/>
          <w:w w:val="105"/>
        </w:rPr>
        <w:t> </w:t>
      </w:r>
      <w:r>
        <w:rPr>
          <w:color w:val="231F20"/>
          <w:w w:val="105"/>
        </w:rPr>
        <w:t>Con</w:t>
      </w:r>
      <w:r>
        <w:rPr>
          <w:color w:val="231F20"/>
          <w:spacing w:val="-45"/>
          <w:w w:val="105"/>
        </w:rPr>
        <w:t> </w:t>
      </w:r>
      <w:r>
        <w:rPr>
          <w:color w:val="231F20"/>
          <w:w w:val="105"/>
        </w:rPr>
        <w:t>la</w:t>
      </w:r>
      <w:r>
        <w:rPr>
          <w:color w:val="231F20"/>
          <w:spacing w:val="-45"/>
          <w:w w:val="105"/>
        </w:rPr>
        <w:t> </w:t>
      </w:r>
      <w:r>
        <w:rPr>
          <w:color w:val="231F20"/>
          <w:spacing w:val="-3"/>
          <w:w w:val="105"/>
        </w:rPr>
        <w:t>promulgazione</w:t>
      </w:r>
      <w:r>
        <w:rPr>
          <w:color w:val="231F20"/>
          <w:spacing w:val="-45"/>
          <w:w w:val="105"/>
        </w:rPr>
        <w:t> </w:t>
      </w:r>
      <w:r>
        <w:rPr>
          <w:color w:val="231F20"/>
          <w:w w:val="105"/>
        </w:rPr>
        <w:t>il 26</w:t>
      </w:r>
      <w:r>
        <w:rPr>
          <w:color w:val="231F20"/>
          <w:spacing w:val="-49"/>
          <w:w w:val="105"/>
        </w:rPr>
        <w:t> </w:t>
      </w:r>
      <w:r>
        <w:rPr>
          <w:color w:val="231F20"/>
          <w:spacing w:val="-3"/>
          <w:w w:val="105"/>
        </w:rPr>
        <w:t>ottobre</w:t>
      </w:r>
      <w:r>
        <w:rPr>
          <w:color w:val="231F20"/>
          <w:spacing w:val="-49"/>
          <w:w w:val="105"/>
        </w:rPr>
        <w:t> </w:t>
      </w:r>
      <w:r>
        <w:rPr>
          <w:color w:val="231F20"/>
          <w:w w:val="105"/>
        </w:rPr>
        <w:t>2001</w:t>
      </w:r>
      <w:r>
        <w:rPr>
          <w:color w:val="231F20"/>
          <w:spacing w:val="-49"/>
          <w:w w:val="105"/>
        </w:rPr>
        <w:t> </w:t>
      </w:r>
      <w:r>
        <w:rPr>
          <w:color w:val="231F20"/>
          <w:w w:val="105"/>
        </w:rPr>
        <w:t>della</w:t>
      </w:r>
      <w:r>
        <w:rPr>
          <w:color w:val="231F20"/>
          <w:spacing w:val="-49"/>
          <w:w w:val="105"/>
        </w:rPr>
        <w:t> </w:t>
      </w:r>
      <w:r>
        <w:rPr>
          <w:color w:val="231F20"/>
          <w:w w:val="105"/>
        </w:rPr>
        <w:t>legge</w:t>
      </w:r>
      <w:r>
        <w:rPr>
          <w:color w:val="231F20"/>
          <w:spacing w:val="-50"/>
          <w:w w:val="105"/>
        </w:rPr>
        <w:t> </w:t>
      </w:r>
      <w:r>
        <w:rPr>
          <w:rFonts w:ascii="Arial" w:hAnsi="Arial"/>
          <w:i/>
          <w:color w:val="231F20"/>
          <w:w w:val="105"/>
        </w:rPr>
        <w:t>Uniting</w:t>
      </w:r>
      <w:r>
        <w:rPr>
          <w:rFonts w:ascii="Arial" w:hAnsi="Arial"/>
          <w:i/>
          <w:color w:val="231F20"/>
          <w:spacing w:val="-42"/>
          <w:w w:val="105"/>
        </w:rPr>
        <w:t> </w:t>
      </w:r>
      <w:r>
        <w:rPr>
          <w:rFonts w:ascii="Arial" w:hAnsi="Arial"/>
          <w:i/>
          <w:color w:val="231F20"/>
          <w:w w:val="105"/>
        </w:rPr>
        <w:t>and</w:t>
      </w:r>
      <w:r>
        <w:rPr>
          <w:rFonts w:ascii="Arial" w:hAnsi="Arial"/>
          <w:i/>
          <w:color w:val="231F20"/>
          <w:spacing w:val="-42"/>
          <w:w w:val="105"/>
        </w:rPr>
        <w:t> </w:t>
      </w:r>
      <w:r>
        <w:rPr>
          <w:rFonts w:ascii="Arial" w:hAnsi="Arial"/>
          <w:i/>
          <w:color w:val="231F20"/>
          <w:spacing w:val="-3"/>
          <w:w w:val="105"/>
        </w:rPr>
        <w:t>Strengthening</w:t>
      </w:r>
      <w:r>
        <w:rPr>
          <w:rFonts w:ascii="Arial" w:hAnsi="Arial"/>
          <w:i/>
          <w:color w:val="231F20"/>
          <w:spacing w:val="-42"/>
          <w:w w:val="105"/>
        </w:rPr>
        <w:t> </w:t>
      </w:r>
      <w:r>
        <w:rPr>
          <w:rFonts w:ascii="Arial" w:hAnsi="Arial"/>
          <w:i/>
          <w:color w:val="231F20"/>
          <w:w w:val="105"/>
        </w:rPr>
        <w:t>America</w:t>
      </w:r>
      <w:r>
        <w:rPr>
          <w:rFonts w:ascii="Arial" w:hAnsi="Arial"/>
          <w:i/>
          <w:color w:val="231F20"/>
          <w:spacing w:val="-42"/>
          <w:w w:val="105"/>
        </w:rPr>
        <w:t> </w:t>
      </w:r>
      <w:r>
        <w:rPr>
          <w:rFonts w:ascii="Arial" w:hAnsi="Arial"/>
          <w:i/>
          <w:color w:val="231F20"/>
          <w:w w:val="105"/>
        </w:rPr>
        <w:t>by</w:t>
      </w:r>
      <w:r>
        <w:rPr>
          <w:rFonts w:ascii="Arial" w:hAnsi="Arial"/>
          <w:i/>
          <w:color w:val="231F20"/>
          <w:spacing w:val="-42"/>
          <w:w w:val="105"/>
        </w:rPr>
        <w:t> </w:t>
      </w:r>
      <w:r>
        <w:rPr>
          <w:rFonts w:ascii="Arial" w:hAnsi="Arial"/>
          <w:i/>
          <w:color w:val="231F20"/>
          <w:spacing w:val="-3"/>
          <w:w w:val="105"/>
        </w:rPr>
        <w:t>Providing </w:t>
      </w:r>
      <w:r>
        <w:rPr>
          <w:rFonts w:ascii="Arial" w:hAnsi="Arial"/>
          <w:i/>
          <w:color w:val="231F20"/>
          <w:w w:val="105"/>
        </w:rPr>
        <w:t>Appropiate</w:t>
      </w:r>
      <w:r>
        <w:rPr>
          <w:rFonts w:ascii="Arial" w:hAnsi="Arial"/>
          <w:i/>
          <w:color w:val="231F20"/>
          <w:spacing w:val="-28"/>
          <w:w w:val="105"/>
        </w:rPr>
        <w:t> </w:t>
      </w:r>
      <w:r>
        <w:rPr>
          <w:rFonts w:ascii="Arial" w:hAnsi="Arial"/>
          <w:i/>
          <w:color w:val="231F20"/>
          <w:spacing w:val="-5"/>
          <w:w w:val="105"/>
        </w:rPr>
        <w:t>Tools</w:t>
      </w:r>
      <w:r>
        <w:rPr>
          <w:rFonts w:ascii="Arial" w:hAnsi="Arial"/>
          <w:i/>
          <w:color w:val="231F20"/>
          <w:spacing w:val="-28"/>
          <w:w w:val="105"/>
        </w:rPr>
        <w:t> </w:t>
      </w:r>
      <w:r>
        <w:rPr>
          <w:rFonts w:ascii="Arial" w:hAnsi="Arial"/>
          <w:i/>
          <w:color w:val="231F20"/>
          <w:w w:val="105"/>
        </w:rPr>
        <w:t>Required</w:t>
      </w:r>
      <w:r>
        <w:rPr>
          <w:rFonts w:ascii="Arial" w:hAnsi="Arial"/>
          <w:i/>
          <w:color w:val="231F20"/>
          <w:spacing w:val="-28"/>
          <w:w w:val="105"/>
        </w:rPr>
        <w:t> </w:t>
      </w:r>
      <w:r>
        <w:rPr>
          <w:rFonts w:ascii="Arial" w:hAnsi="Arial"/>
          <w:i/>
          <w:color w:val="231F20"/>
          <w:w w:val="105"/>
        </w:rPr>
        <w:t>to</w:t>
      </w:r>
      <w:r>
        <w:rPr>
          <w:rFonts w:ascii="Arial" w:hAnsi="Arial"/>
          <w:i/>
          <w:color w:val="231F20"/>
          <w:spacing w:val="-28"/>
          <w:w w:val="105"/>
        </w:rPr>
        <w:t> </w:t>
      </w:r>
      <w:r>
        <w:rPr>
          <w:rFonts w:ascii="Arial" w:hAnsi="Arial"/>
          <w:i/>
          <w:color w:val="231F20"/>
          <w:w w:val="105"/>
        </w:rPr>
        <w:t>Intercept</w:t>
      </w:r>
      <w:r>
        <w:rPr>
          <w:rFonts w:ascii="Arial" w:hAnsi="Arial"/>
          <w:i/>
          <w:color w:val="231F20"/>
          <w:spacing w:val="-28"/>
          <w:w w:val="105"/>
        </w:rPr>
        <w:t> </w:t>
      </w:r>
      <w:r>
        <w:rPr>
          <w:rFonts w:ascii="Arial" w:hAnsi="Arial"/>
          <w:i/>
          <w:color w:val="231F20"/>
          <w:w w:val="105"/>
        </w:rPr>
        <w:t>and</w:t>
      </w:r>
      <w:r>
        <w:rPr>
          <w:rFonts w:ascii="Arial" w:hAnsi="Arial"/>
          <w:i/>
          <w:color w:val="231F20"/>
          <w:spacing w:val="-28"/>
          <w:w w:val="105"/>
        </w:rPr>
        <w:t> </w:t>
      </w:r>
      <w:r>
        <w:rPr>
          <w:rFonts w:ascii="Arial" w:hAnsi="Arial"/>
          <w:i/>
          <w:color w:val="231F20"/>
          <w:w w:val="105"/>
        </w:rPr>
        <w:t>Obstruct</w:t>
      </w:r>
      <w:r>
        <w:rPr>
          <w:rFonts w:ascii="Arial" w:hAnsi="Arial"/>
          <w:i/>
          <w:color w:val="231F20"/>
          <w:spacing w:val="-28"/>
          <w:w w:val="105"/>
        </w:rPr>
        <w:t> </w:t>
      </w:r>
      <w:r>
        <w:rPr>
          <w:rFonts w:ascii="Arial" w:hAnsi="Arial"/>
          <w:i/>
          <w:color w:val="231F20"/>
          <w:spacing w:val="-4"/>
          <w:w w:val="105"/>
        </w:rPr>
        <w:t>Terrorism</w:t>
      </w:r>
      <w:r>
        <w:rPr>
          <w:rFonts w:ascii="Arial" w:hAnsi="Arial"/>
          <w:i/>
          <w:color w:val="231F20"/>
          <w:spacing w:val="-26"/>
          <w:w w:val="105"/>
        </w:rPr>
        <w:t> </w:t>
      </w:r>
      <w:r>
        <w:rPr>
          <w:color w:val="231F20"/>
          <w:w w:val="105"/>
        </w:rPr>
        <w:t>(Legge</w:t>
      </w:r>
      <w:r>
        <w:rPr>
          <w:color w:val="231F20"/>
          <w:spacing w:val="-36"/>
          <w:w w:val="105"/>
        </w:rPr>
        <w:t> </w:t>
      </w:r>
      <w:r>
        <w:rPr>
          <w:color w:val="231F20"/>
          <w:w w:val="105"/>
        </w:rPr>
        <w:t>per unire e fortificare agli Stati Uniti d’America mediante la provvista degli strumenti</w:t>
      </w:r>
      <w:r>
        <w:rPr>
          <w:color w:val="231F20"/>
          <w:spacing w:val="-41"/>
          <w:w w:val="105"/>
        </w:rPr>
        <w:t> </w:t>
      </w:r>
      <w:r>
        <w:rPr>
          <w:color w:val="231F20"/>
          <w:w w:val="105"/>
        </w:rPr>
        <w:t>richiesti</w:t>
      </w:r>
      <w:r>
        <w:rPr>
          <w:color w:val="231F20"/>
          <w:spacing w:val="-41"/>
          <w:w w:val="105"/>
        </w:rPr>
        <w:t> </w:t>
      </w:r>
      <w:r>
        <w:rPr>
          <w:color w:val="231F20"/>
          <w:w w:val="105"/>
        </w:rPr>
        <w:t>per</w:t>
      </w:r>
      <w:r>
        <w:rPr>
          <w:color w:val="231F20"/>
          <w:spacing w:val="-41"/>
          <w:w w:val="105"/>
        </w:rPr>
        <w:t> </w:t>
      </w:r>
      <w:r>
        <w:rPr>
          <w:color w:val="231F20"/>
          <w:w w:val="105"/>
        </w:rPr>
        <w:t>intercettare</w:t>
      </w:r>
      <w:r>
        <w:rPr>
          <w:color w:val="231F20"/>
          <w:spacing w:val="-41"/>
          <w:w w:val="105"/>
        </w:rPr>
        <w:t> </w:t>
      </w:r>
      <w:r>
        <w:rPr>
          <w:color w:val="231F20"/>
          <w:w w:val="105"/>
        </w:rPr>
        <w:t>ed</w:t>
      </w:r>
      <w:r>
        <w:rPr>
          <w:color w:val="231F20"/>
          <w:spacing w:val="-41"/>
          <w:w w:val="105"/>
        </w:rPr>
        <w:t> </w:t>
      </w:r>
      <w:r>
        <w:rPr>
          <w:color w:val="231F20"/>
          <w:w w:val="105"/>
        </w:rPr>
        <w:t>ostruire</w:t>
      </w:r>
      <w:r>
        <w:rPr>
          <w:color w:val="231F20"/>
          <w:spacing w:val="-41"/>
          <w:w w:val="105"/>
        </w:rPr>
        <w:t> </w:t>
      </w:r>
      <w:r>
        <w:rPr>
          <w:color w:val="231F20"/>
          <w:w w:val="105"/>
        </w:rPr>
        <w:t>il</w:t>
      </w:r>
      <w:r>
        <w:rPr>
          <w:color w:val="231F20"/>
          <w:spacing w:val="-41"/>
          <w:w w:val="105"/>
        </w:rPr>
        <w:t> </w:t>
      </w:r>
      <w:r>
        <w:rPr>
          <w:color w:val="231F20"/>
          <w:w w:val="105"/>
        </w:rPr>
        <w:t>terrorismo),</w:t>
      </w:r>
      <w:r>
        <w:rPr>
          <w:color w:val="231F20"/>
          <w:spacing w:val="-41"/>
          <w:w w:val="105"/>
        </w:rPr>
        <w:t> </w:t>
      </w:r>
      <w:r>
        <w:rPr>
          <w:color w:val="231F20"/>
          <w:w w:val="105"/>
        </w:rPr>
        <w:t>più</w:t>
      </w:r>
      <w:r>
        <w:rPr>
          <w:color w:val="231F20"/>
          <w:spacing w:val="-41"/>
          <w:w w:val="105"/>
        </w:rPr>
        <w:t> </w:t>
      </w:r>
      <w:r>
        <w:rPr>
          <w:color w:val="231F20"/>
          <w:w w:val="105"/>
        </w:rPr>
        <w:t>conosciuta </w:t>
      </w:r>
      <w:r>
        <w:rPr>
          <w:color w:val="231F20"/>
          <w:spacing w:val="2"/>
          <w:w w:val="105"/>
        </w:rPr>
        <w:t>come </w:t>
      </w:r>
      <w:r>
        <w:rPr>
          <w:color w:val="231F20"/>
          <w:w w:val="105"/>
          <w:sz w:val="18"/>
        </w:rPr>
        <w:t>USA </w:t>
      </w:r>
      <w:r>
        <w:rPr>
          <w:rFonts w:ascii="Arial" w:hAnsi="Arial"/>
          <w:i/>
          <w:color w:val="231F20"/>
          <w:spacing w:val="2"/>
          <w:w w:val="105"/>
        </w:rPr>
        <w:t>Patriot </w:t>
      </w:r>
      <w:r>
        <w:rPr>
          <w:rFonts w:ascii="Arial" w:hAnsi="Arial"/>
          <w:i/>
          <w:color w:val="231F20"/>
          <w:w w:val="105"/>
        </w:rPr>
        <w:t>Act </w:t>
      </w:r>
      <w:r>
        <w:rPr>
          <w:color w:val="231F20"/>
          <w:spacing w:val="2"/>
          <w:w w:val="105"/>
        </w:rPr>
        <w:t>(Legge patriottica degli Stati Uniti d’America) </w:t>
      </w:r>
      <w:r>
        <w:rPr>
          <w:color w:val="231F20"/>
          <w:spacing w:val="3"/>
          <w:w w:val="105"/>
        </w:rPr>
        <w:t>si </w:t>
      </w:r>
      <w:r>
        <w:rPr>
          <w:color w:val="231F20"/>
          <w:w w:val="105"/>
        </w:rPr>
        <w:t>prevedono delle misure per combattere il terrorismo. </w:t>
      </w:r>
      <w:r>
        <w:rPr>
          <w:color w:val="231F20"/>
          <w:spacing w:val="-6"/>
          <w:w w:val="105"/>
        </w:rPr>
        <w:t>Tra </w:t>
      </w:r>
      <w:r>
        <w:rPr>
          <w:color w:val="231F20"/>
          <w:w w:val="105"/>
        </w:rPr>
        <w:t>gli aspetti più importanti</w:t>
      </w:r>
      <w:r>
        <w:rPr>
          <w:color w:val="231F20"/>
          <w:spacing w:val="-43"/>
          <w:w w:val="105"/>
        </w:rPr>
        <w:t> </w:t>
      </w:r>
      <w:r>
        <w:rPr>
          <w:color w:val="231F20"/>
          <w:w w:val="105"/>
        </w:rPr>
        <w:t>ci</w:t>
      </w:r>
      <w:r>
        <w:rPr>
          <w:color w:val="231F20"/>
          <w:spacing w:val="-43"/>
          <w:w w:val="105"/>
        </w:rPr>
        <w:t> </w:t>
      </w:r>
      <w:r>
        <w:rPr>
          <w:color w:val="231F20"/>
          <w:w w:val="105"/>
        </w:rPr>
        <w:t>sono:</w:t>
      </w:r>
    </w:p>
    <w:p>
      <w:pPr>
        <w:pStyle w:val="BodyText"/>
        <w:spacing w:before="7"/>
      </w:pPr>
    </w:p>
    <w:p>
      <w:pPr>
        <w:pStyle w:val="ListParagraph"/>
        <w:numPr>
          <w:ilvl w:val="0"/>
          <w:numId w:val="7"/>
        </w:numPr>
        <w:tabs>
          <w:tab w:pos="1031" w:val="left" w:leader="none"/>
        </w:tabs>
        <w:spacing w:line="244" w:lineRule="auto" w:before="1" w:after="0"/>
        <w:ind w:left="1030" w:right="109" w:hanging="360"/>
        <w:jc w:val="both"/>
        <w:rPr>
          <w:sz w:val="21"/>
        </w:rPr>
      </w:pPr>
      <w:r>
        <w:rPr>
          <w:color w:val="231F20"/>
          <w:sz w:val="21"/>
        </w:rPr>
        <w:t>L’aumento delle risorse per la Sicurezza Nazionale: 200 milioni  </w:t>
      </w:r>
      <w:r>
        <w:rPr>
          <w:color w:val="231F20"/>
          <w:spacing w:val="3"/>
          <w:sz w:val="21"/>
        </w:rPr>
        <w:t>di </w:t>
      </w:r>
      <w:r>
        <w:rPr>
          <w:color w:val="231F20"/>
          <w:spacing w:val="4"/>
          <w:sz w:val="21"/>
        </w:rPr>
        <w:t>dollari addizionali </w:t>
      </w:r>
      <w:r>
        <w:rPr>
          <w:color w:val="231F20"/>
          <w:spacing w:val="3"/>
          <w:sz w:val="21"/>
        </w:rPr>
        <w:t>furono </w:t>
      </w:r>
      <w:r>
        <w:rPr>
          <w:color w:val="231F20"/>
          <w:spacing w:val="4"/>
          <w:sz w:val="21"/>
        </w:rPr>
        <w:t>destinati </w:t>
      </w:r>
      <w:r>
        <w:rPr>
          <w:color w:val="231F20"/>
          <w:spacing w:val="2"/>
          <w:sz w:val="21"/>
        </w:rPr>
        <w:t>al </w:t>
      </w:r>
      <w:r>
        <w:rPr>
          <w:rFonts w:ascii="Arial" w:hAnsi="Arial"/>
          <w:i/>
          <w:color w:val="231F20"/>
          <w:spacing w:val="4"/>
          <w:sz w:val="21"/>
        </w:rPr>
        <w:t>Federal </w:t>
      </w:r>
      <w:r>
        <w:rPr>
          <w:rFonts w:ascii="Arial" w:hAnsi="Arial"/>
          <w:i/>
          <w:color w:val="231F20"/>
          <w:spacing w:val="3"/>
          <w:sz w:val="21"/>
        </w:rPr>
        <w:t>Bureau </w:t>
      </w:r>
      <w:r>
        <w:rPr>
          <w:rFonts w:ascii="Arial" w:hAnsi="Arial"/>
          <w:i/>
          <w:color w:val="231F20"/>
          <w:spacing w:val="5"/>
          <w:sz w:val="21"/>
        </w:rPr>
        <w:t>of </w:t>
      </w:r>
      <w:r>
        <w:rPr>
          <w:rFonts w:ascii="Arial" w:hAnsi="Arial"/>
          <w:i/>
          <w:color w:val="231F20"/>
          <w:spacing w:val="4"/>
          <w:sz w:val="21"/>
        </w:rPr>
        <w:t>Investigation</w:t>
      </w:r>
      <w:r>
        <w:rPr>
          <w:color w:val="231F20"/>
          <w:spacing w:val="4"/>
          <w:sz w:val="21"/>
        </w:rPr>
        <w:t>, corrispondenti </w:t>
      </w:r>
      <w:r>
        <w:rPr>
          <w:color w:val="231F20"/>
          <w:sz w:val="21"/>
        </w:rPr>
        <w:t>a </w:t>
      </w:r>
      <w:r>
        <w:rPr>
          <w:color w:val="231F20"/>
          <w:spacing w:val="4"/>
          <w:sz w:val="21"/>
        </w:rPr>
        <w:t>2002, 2003, 2004; </w:t>
      </w:r>
      <w:r>
        <w:rPr>
          <w:color w:val="231F20"/>
          <w:spacing w:val="5"/>
          <w:sz w:val="21"/>
        </w:rPr>
        <w:t>l’aumento </w:t>
      </w:r>
      <w:r>
        <w:rPr>
          <w:color w:val="231F20"/>
          <w:sz w:val="21"/>
        </w:rPr>
        <w:t>del </w:t>
      </w:r>
      <w:r>
        <w:rPr>
          <w:color w:val="231F20"/>
          <w:spacing w:val="2"/>
          <w:sz w:val="21"/>
        </w:rPr>
        <w:t>personale nell’area d’immigrazione </w:t>
      </w:r>
      <w:r>
        <w:rPr>
          <w:color w:val="231F20"/>
          <w:sz w:val="21"/>
        </w:rPr>
        <w:t>e </w:t>
      </w:r>
      <w:r>
        <w:rPr>
          <w:color w:val="231F20"/>
          <w:spacing w:val="2"/>
          <w:sz w:val="21"/>
        </w:rPr>
        <w:t>dogane </w:t>
      </w:r>
      <w:r>
        <w:rPr>
          <w:color w:val="231F20"/>
          <w:sz w:val="21"/>
        </w:rPr>
        <w:t>nel </w:t>
      </w:r>
      <w:r>
        <w:rPr>
          <w:color w:val="231F20"/>
          <w:spacing w:val="2"/>
          <w:sz w:val="21"/>
        </w:rPr>
        <w:t>confine  </w:t>
      </w:r>
      <w:r>
        <w:rPr>
          <w:color w:val="231F20"/>
          <w:sz w:val="21"/>
        </w:rPr>
        <w:t>col Messico, triplicando il numero di agenti; l’assegnazione di  150 milioni di dollari, nei due anni successivi, per il sistema di condivisione d’informazione, e il conferimento di facoltà al</w:t>
      </w:r>
      <w:r>
        <w:rPr>
          <w:color w:val="231F20"/>
          <w:spacing w:val="-27"/>
          <w:sz w:val="21"/>
        </w:rPr>
        <w:t> </w:t>
      </w:r>
      <w:r>
        <w:rPr>
          <w:color w:val="231F20"/>
          <w:sz w:val="21"/>
        </w:rPr>
        <w:t>fiscale generale per offrire ricompense per</w:t>
      </w:r>
      <w:r>
        <w:rPr>
          <w:color w:val="231F20"/>
          <w:spacing w:val="25"/>
          <w:sz w:val="21"/>
        </w:rPr>
        <w:t> </w:t>
      </w:r>
      <w:r>
        <w:rPr>
          <w:color w:val="231F20"/>
          <w:sz w:val="21"/>
        </w:rPr>
        <w:t>informazione.</w:t>
      </w:r>
    </w:p>
    <w:p>
      <w:pPr>
        <w:pStyle w:val="ListParagraph"/>
        <w:numPr>
          <w:ilvl w:val="0"/>
          <w:numId w:val="7"/>
        </w:numPr>
        <w:tabs>
          <w:tab w:pos="1031" w:val="left" w:leader="none"/>
        </w:tabs>
        <w:spacing w:line="247" w:lineRule="auto" w:before="1" w:after="0"/>
        <w:ind w:left="1030" w:right="108" w:hanging="360"/>
        <w:jc w:val="both"/>
        <w:rPr>
          <w:sz w:val="21"/>
        </w:rPr>
      </w:pPr>
      <w:r>
        <w:rPr>
          <w:color w:val="231F20"/>
          <w:w w:val="105"/>
          <w:sz w:val="21"/>
        </w:rPr>
        <w:t>Si </w:t>
      </w:r>
      <w:r>
        <w:rPr>
          <w:color w:val="231F20"/>
          <w:spacing w:val="2"/>
          <w:w w:val="105"/>
          <w:sz w:val="21"/>
        </w:rPr>
        <w:t>effettuarono aggiustamenti </w:t>
      </w:r>
      <w:r>
        <w:rPr>
          <w:color w:val="231F20"/>
          <w:w w:val="105"/>
          <w:sz w:val="21"/>
        </w:rPr>
        <w:t>ai </w:t>
      </w:r>
      <w:r>
        <w:rPr>
          <w:color w:val="231F20"/>
          <w:spacing w:val="2"/>
          <w:w w:val="105"/>
          <w:sz w:val="21"/>
        </w:rPr>
        <w:t>controlli della migrazione,</w:t>
      </w:r>
      <w:r>
        <w:rPr>
          <w:color w:val="231F20"/>
          <w:spacing w:val="-24"/>
          <w:w w:val="105"/>
          <w:sz w:val="21"/>
        </w:rPr>
        <w:t> </w:t>
      </w:r>
      <w:r>
        <w:rPr>
          <w:color w:val="231F20"/>
          <w:spacing w:val="3"/>
          <w:w w:val="105"/>
          <w:sz w:val="21"/>
        </w:rPr>
        <w:t>si </w:t>
      </w:r>
      <w:r>
        <w:rPr>
          <w:color w:val="231F20"/>
          <w:spacing w:val="-4"/>
          <w:w w:val="105"/>
          <w:sz w:val="21"/>
        </w:rPr>
        <w:t>ampliarono</w:t>
      </w:r>
      <w:r>
        <w:rPr>
          <w:color w:val="231F20"/>
          <w:spacing w:val="-47"/>
          <w:w w:val="105"/>
          <w:sz w:val="21"/>
        </w:rPr>
        <w:t> </w:t>
      </w:r>
      <w:r>
        <w:rPr>
          <w:color w:val="231F20"/>
          <w:w w:val="105"/>
          <w:sz w:val="21"/>
        </w:rPr>
        <w:t>le</w:t>
      </w:r>
      <w:r>
        <w:rPr>
          <w:color w:val="231F20"/>
          <w:spacing w:val="-47"/>
          <w:w w:val="105"/>
          <w:sz w:val="21"/>
        </w:rPr>
        <w:t> </w:t>
      </w:r>
      <w:r>
        <w:rPr>
          <w:color w:val="231F20"/>
          <w:spacing w:val="-4"/>
          <w:w w:val="105"/>
          <w:sz w:val="21"/>
        </w:rPr>
        <w:t>facoltà</w:t>
      </w:r>
      <w:r>
        <w:rPr>
          <w:color w:val="231F20"/>
          <w:spacing w:val="-47"/>
          <w:w w:val="105"/>
          <w:sz w:val="21"/>
        </w:rPr>
        <w:t> </w:t>
      </w:r>
      <w:r>
        <w:rPr>
          <w:color w:val="231F20"/>
          <w:spacing w:val="-3"/>
          <w:w w:val="105"/>
          <w:sz w:val="21"/>
        </w:rPr>
        <w:t>del</w:t>
      </w:r>
      <w:r>
        <w:rPr>
          <w:color w:val="231F20"/>
          <w:spacing w:val="-47"/>
          <w:w w:val="105"/>
          <w:sz w:val="21"/>
        </w:rPr>
        <w:t> </w:t>
      </w:r>
      <w:r>
        <w:rPr>
          <w:color w:val="231F20"/>
          <w:spacing w:val="-3"/>
          <w:w w:val="105"/>
          <w:sz w:val="21"/>
        </w:rPr>
        <w:t>fiscale</w:t>
      </w:r>
      <w:r>
        <w:rPr>
          <w:color w:val="231F20"/>
          <w:spacing w:val="-47"/>
          <w:w w:val="105"/>
          <w:sz w:val="21"/>
        </w:rPr>
        <w:t> </w:t>
      </w:r>
      <w:r>
        <w:rPr>
          <w:color w:val="231F20"/>
          <w:spacing w:val="-4"/>
          <w:w w:val="105"/>
          <w:sz w:val="21"/>
        </w:rPr>
        <w:t>generale</w:t>
      </w:r>
      <w:r>
        <w:rPr>
          <w:color w:val="231F20"/>
          <w:spacing w:val="-47"/>
          <w:w w:val="105"/>
          <w:sz w:val="21"/>
        </w:rPr>
        <w:t> </w:t>
      </w:r>
      <w:r>
        <w:rPr>
          <w:color w:val="231F20"/>
          <w:spacing w:val="-3"/>
          <w:w w:val="105"/>
          <w:sz w:val="21"/>
        </w:rPr>
        <w:t>per</w:t>
      </w:r>
      <w:r>
        <w:rPr>
          <w:color w:val="231F20"/>
          <w:spacing w:val="-47"/>
          <w:w w:val="105"/>
          <w:sz w:val="21"/>
        </w:rPr>
        <w:t> </w:t>
      </w:r>
      <w:r>
        <w:rPr>
          <w:color w:val="231F20"/>
          <w:spacing w:val="-4"/>
          <w:w w:val="105"/>
          <w:sz w:val="21"/>
        </w:rPr>
        <w:t>disporre</w:t>
      </w:r>
      <w:r>
        <w:rPr>
          <w:color w:val="231F20"/>
          <w:spacing w:val="-47"/>
          <w:w w:val="105"/>
          <w:sz w:val="21"/>
        </w:rPr>
        <w:t> </w:t>
      </w:r>
      <w:r>
        <w:rPr>
          <w:color w:val="231F20"/>
          <w:w w:val="105"/>
          <w:sz w:val="21"/>
        </w:rPr>
        <w:t>la</w:t>
      </w:r>
      <w:r>
        <w:rPr>
          <w:color w:val="231F20"/>
          <w:spacing w:val="-47"/>
          <w:w w:val="105"/>
          <w:sz w:val="21"/>
        </w:rPr>
        <w:t> </w:t>
      </w:r>
      <w:r>
        <w:rPr>
          <w:color w:val="231F20"/>
          <w:spacing w:val="-4"/>
          <w:w w:val="105"/>
          <w:sz w:val="21"/>
        </w:rPr>
        <w:t>detenzione</w:t>
      </w:r>
    </w:p>
    <w:p>
      <w:pPr>
        <w:pStyle w:val="BodyText"/>
        <w:rPr>
          <w:sz w:val="20"/>
        </w:rPr>
      </w:pPr>
    </w:p>
    <w:p>
      <w:pPr>
        <w:pStyle w:val="BodyText"/>
        <w:rPr>
          <w:sz w:val="20"/>
        </w:rPr>
      </w:pPr>
    </w:p>
    <w:p>
      <w:pPr>
        <w:pStyle w:val="BodyText"/>
        <w:spacing w:before="4"/>
        <w:rPr>
          <w:sz w:val="16"/>
        </w:rPr>
      </w:pPr>
      <w:r>
        <w:rPr/>
        <w:pict>
          <v:line style="position:absolute;mso-position-horizontal-relative:page;mso-position-vertical-relative:paragraph;z-index:9256;mso-wrap-distance-left:0;mso-wrap-distance-right:0" from="65.196899pt,11.993157pt" to="178.582899pt,11.993157pt" stroked="true" strokeweight=".3pt" strokecolor="#231f20">
            <w10:wrap type="topAndBottom"/>
          </v:line>
        </w:pict>
      </w:r>
    </w:p>
    <w:p>
      <w:pPr>
        <w:spacing w:line="204" w:lineRule="exact" w:before="8"/>
        <w:ind w:left="103" w:right="104" w:firstLine="0"/>
        <w:jc w:val="left"/>
        <w:rPr>
          <w:rFonts w:ascii="Calibri" w:hAnsi="Calibri"/>
          <w:sz w:val="17"/>
        </w:rPr>
      </w:pPr>
      <w:r>
        <w:rPr>
          <w:rFonts w:ascii="Calibri" w:hAnsi="Calibri"/>
          <w:color w:val="231F20"/>
          <w:position w:val="6"/>
          <w:sz w:val="10"/>
        </w:rPr>
        <w:t>9 </w:t>
      </w:r>
      <w:r>
        <w:rPr>
          <w:rFonts w:ascii="Calibri" w:hAnsi="Calibri"/>
          <w:color w:val="231F20"/>
          <w:sz w:val="17"/>
        </w:rPr>
        <w:t>G. Jakobs y M. Polaino, </w:t>
      </w:r>
      <w:r>
        <w:rPr>
          <w:rFonts w:ascii="Calibri" w:hAnsi="Calibri"/>
          <w:i/>
          <w:color w:val="231F20"/>
          <w:sz w:val="17"/>
        </w:rPr>
        <w:t>El Derecho Penal del Enemigo en el contexto del funcionalismo</w:t>
      </w:r>
      <w:r>
        <w:rPr>
          <w:rFonts w:ascii="Calibri" w:hAnsi="Calibri"/>
          <w:color w:val="231F20"/>
          <w:sz w:val="17"/>
        </w:rPr>
        <w:t>, México, Flores Editor y Distribuidor, 2008, p. 29.</w:t>
      </w:r>
    </w:p>
    <w:p>
      <w:pPr>
        <w:pStyle w:val="BodyText"/>
        <w:rPr>
          <w:rFonts w:ascii="Calibri"/>
          <w:sz w:val="20"/>
        </w:rPr>
      </w:pPr>
    </w:p>
    <w:p>
      <w:pPr>
        <w:pStyle w:val="BodyText"/>
        <w:spacing w:before="1"/>
        <w:rPr>
          <w:rFonts w:ascii="Calibri"/>
          <w:sz w:val="28"/>
        </w:rPr>
      </w:pPr>
    </w:p>
    <w:p>
      <w:pPr>
        <w:tabs>
          <w:tab w:pos="1317" w:val="left" w:leader="none"/>
        </w:tabs>
        <w:spacing w:before="69"/>
        <w:ind w:left="267" w:right="0" w:firstLine="0"/>
        <w:jc w:val="left"/>
        <w:rPr>
          <w:rFonts w:ascii="Calibri" w:hAnsi="Calibri"/>
          <w:sz w:val="16"/>
        </w:rPr>
      </w:pPr>
      <w:r>
        <w:rPr/>
        <w:pict>
          <v:group style="position:absolute;margin-left:98.079102pt;margin-top:-3.308812pt;width:20.4pt;height:43pt;mso-position-horizontal-relative:page;mso-position-vertical-relative:paragraph;z-index:-166120" coordorigin="1962,-66" coordsize="408,860">
            <v:line style="position:absolute" from="2211,73" to="2211,789" stroked="true" strokeweight=".35pt" strokecolor="#231f20"/>
            <v:shape style="position:absolute;left:2179;top:-13;width:190;height:445" type="#_x0000_t75" stroked="false">
              <v:imagedata r:id="rId34" o:title=""/>
            </v:shape>
            <v:shape style="position:absolute;left:1962;top:-66;width:250;height:502" type="#_x0000_t75" stroked="false">
              <v:imagedata r:id="rId35" o:title=""/>
            </v:shape>
            <w10:wrap type="none"/>
          </v:group>
        </w:pict>
      </w:r>
      <w:r>
        <w:rPr>
          <w:rFonts w:ascii="Trebuchet MS" w:hAnsi="Trebuchet MS"/>
          <w:color w:val="414042"/>
          <w:w w:val="105"/>
          <w:position w:val="-4"/>
          <w:sz w:val="20"/>
        </w:rPr>
        <w:t>22</w:t>
        <w:tab/>
      </w:r>
      <w:r>
        <w:rPr>
          <w:rFonts w:ascii="Calibri" w:hAnsi="Calibri"/>
          <w:color w:val="6D6E71"/>
          <w:w w:val="105"/>
          <w:sz w:val="16"/>
        </w:rPr>
        <w:t>Jorge</w:t>
      </w:r>
      <w:r>
        <w:rPr>
          <w:rFonts w:ascii="Calibri" w:hAnsi="Calibri"/>
          <w:color w:val="6D6E71"/>
          <w:spacing w:val="-25"/>
          <w:w w:val="105"/>
          <w:sz w:val="16"/>
        </w:rPr>
        <w:t> </w:t>
      </w:r>
      <w:r>
        <w:rPr>
          <w:rFonts w:ascii="Calibri" w:hAnsi="Calibri"/>
          <w:color w:val="6D6E71"/>
          <w:w w:val="105"/>
          <w:sz w:val="16"/>
        </w:rPr>
        <w:t>Olvera</w:t>
      </w:r>
      <w:r>
        <w:rPr>
          <w:rFonts w:ascii="Calibri" w:hAnsi="Calibri"/>
          <w:color w:val="6D6E71"/>
          <w:spacing w:val="-25"/>
          <w:w w:val="105"/>
          <w:sz w:val="16"/>
        </w:rPr>
        <w:t> </w:t>
      </w:r>
      <w:r>
        <w:rPr>
          <w:rFonts w:ascii="Calibri" w:hAnsi="Calibri"/>
          <w:color w:val="6D6E71"/>
          <w:w w:val="105"/>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597"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607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CAMBIAMENTO</w:t>
      </w:r>
      <w:r>
        <w:rPr>
          <w:rFonts w:ascii="Lucida Sans Unicode" w:hAnsi="Lucida Sans Unicode"/>
          <w:color w:val="6D6E71"/>
          <w:spacing w:val="-25"/>
          <w:w w:val="95"/>
          <w:sz w:val="14"/>
        </w:rPr>
        <w:t> </w:t>
      </w:r>
      <w:r>
        <w:rPr>
          <w:rFonts w:ascii="Lucida Sans Unicode" w:hAnsi="Lucida Sans Unicode"/>
          <w:color w:val="6D6E71"/>
          <w:w w:val="95"/>
          <w:sz w:val="14"/>
        </w:rPr>
        <w:t>DI</w:t>
      </w:r>
      <w:r>
        <w:rPr>
          <w:rFonts w:ascii="Lucida Sans Unicode" w:hAnsi="Lucida Sans Unicode"/>
          <w:color w:val="6D6E71"/>
          <w:spacing w:val="-25"/>
          <w:w w:val="95"/>
          <w:sz w:val="14"/>
        </w:rPr>
        <w:t> </w:t>
      </w:r>
      <w:r>
        <w:rPr>
          <w:rFonts w:ascii="Lucida Sans Unicode" w:hAnsi="Lucida Sans Unicode"/>
          <w:color w:val="6D6E71"/>
          <w:w w:val="95"/>
          <w:sz w:val="14"/>
        </w:rPr>
        <w:t>PARADIGMA</w:t>
      </w:r>
      <w:r>
        <w:rPr>
          <w:rFonts w:ascii="Lucida Sans Unicode" w:hAnsi="Lucida Sans Unicode"/>
          <w:color w:val="6D6E71"/>
          <w:spacing w:val="-25"/>
          <w:w w:val="95"/>
          <w:sz w:val="14"/>
        </w:rPr>
        <w:t> </w:t>
      </w:r>
      <w:r>
        <w:rPr>
          <w:rFonts w:ascii="Lucida Sans Unicode" w:hAnsi="Lucida Sans Unicode"/>
          <w:color w:val="6D6E71"/>
          <w:w w:val="95"/>
          <w:sz w:val="14"/>
        </w:rPr>
        <w:t>GIURIDICO:</w:t>
      </w:r>
      <w:r>
        <w:rPr>
          <w:rFonts w:ascii="Lucida Sans Unicode" w:hAnsi="Lucida Sans Unicode"/>
          <w:color w:val="6D6E71"/>
          <w:spacing w:val="-25"/>
          <w:w w:val="95"/>
          <w:sz w:val="14"/>
        </w:rPr>
        <w:t> </w:t>
      </w:r>
      <w:r>
        <w:rPr>
          <w:rFonts w:ascii="Lucida Sans Unicode" w:hAnsi="Lucida Sans Unicode"/>
          <w:color w:val="6D6E71"/>
          <w:spacing w:val="-3"/>
          <w:w w:val="95"/>
          <w:sz w:val="14"/>
        </w:rPr>
        <w:t>L’11–S</w:t>
      </w:r>
      <w:r>
        <w:rPr>
          <w:rFonts w:ascii="Lucida Sans Unicode" w:hAnsi="Lucida Sans Unicode"/>
          <w:color w:val="6D6E71"/>
          <w:spacing w:val="-25"/>
          <w:w w:val="95"/>
          <w:sz w:val="14"/>
        </w:rPr>
        <w:t> </w:t>
      </w:r>
      <w:r>
        <w:rPr>
          <w:rFonts w:ascii="Lucida Sans Unicode" w:hAnsi="Lucida Sans Unicode"/>
          <w:color w:val="6D6E71"/>
          <w:w w:val="95"/>
          <w:sz w:val="14"/>
        </w:rPr>
        <w:t>E</w:t>
      </w:r>
      <w:r>
        <w:rPr>
          <w:rFonts w:ascii="Lucida Sans Unicode" w:hAnsi="Lucida Sans Unicode"/>
          <w:color w:val="6D6E71"/>
          <w:spacing w:val="-25"/>
          <w:w w:val="95"/>
          <w:sz w:val="14"/>
        </w:rPr>
        <w:t> </w:t>
      </w:r>
      <w:r>
        <w:rPr>
          <w:rFonts w:ascii="Lucida Sans Unicode" w:hAnsi="Lucida Sans Unicode"/>
          <w:color w:val="6D6E71"/>
          <w:w w:val="95"/>
          <w:sz w:val="14"/>
        </w:rPr>
        <w:t>LA</w:t>
      </w:r>
      <w:r>
        <w:rPr>
          <w:rFonts w:ascii="Lucida Sans Unicode" w:hAnsi="Lucida Sans Unicode"/>
          <w:color w:val="6D6E71"/>
          <w:spacing w:val="-25"/>
          <w:w w:val="95"/>
          <w:sz w:val="14"/>
        </w:rPr>
        <w:t> </w:t>
      </w:r>
      <w:r>
        <w:rPr>
          <w:rFonts w:ascii="Lucida Sans Unicode" w:hAnsi="Lucida Sans Unicode"/>
          <w:color w:val="6D6E71"/>
          <w:w w:val="95"/>
          <w:sz w:val="14"/>
        </w:rPr>
        <w:t>CRIMINALITÀ</w:t>
      </w:r>
      <w:r>
        <w:rPr>
          <w:rFonts w:ascii="Lucida Sans Unicode" w:hAnsi="Lucida Sans Unicode"/>
          <w:color w:val="6D6E71"/>
          <w:spacing w:val="-25"/>
          <w:w w:val="95"/>
          <w:sz w:val="14"/>
        </w:rPr>
        <w:t> </w:t>
      </w:r>
      <w:r>
        <w:rPr>
          <w:rFonts w:ascii="Lucida Sans Unicode" w:hAnsi="Lucida Sans Unicode"/>
          <w:color w:val="6D6E71"/>
          <w:w w:val="95"/>
          <w:sz w:val="14"/>
        </w:rPr>
        <w:t>ORGANIZZATA</w:t>
      </w:r>
      <w:r>
        <w:rPr>
          <w:rFonts w:ascii="Lucida Sans Unicode" w:hAnsi="Lucida Sans Unicode"/>
          <w:color w:val="6D6E71"/>
          <w:spacing w:val="-25"/>
          <w:w w:val="95"/>
          <w:sz w:val="14"/>
        </w:rPr>
        <w:t> </w:t>
      </w:r>
      <w:r>
        <w:rPr>
          <w:rFonts w:ascii="Lucida Sans Unicode" w:hAnsi="Lucida Sans Unicode"/>
          <w:color w:val="6D6E71"/>
          <w:w w:val="95"/>
          <w:sz w:val="14"/>
        </w:rPr>
        <w:t>IN</w:t>
      </w:r>
      <w:r>
        <w:rPr>
          <w:rFonts w:ascii="Lucida Sans Unicode" w:hAnsi="Lucida Sans Unicode"/>
          <w:color w:val="6D6E71"/>
          <w:spacing w:val="-25"/>
          <w:w w:val="95"/>
          <w:sz w:val="14"/>
        </w:rPr>
        <w:t> </w:t>
      </w:r>
      <w:r>
        <w:rPr>
          <w:rFonts w:ascii="Lucida Sans Unicode" w:hAnsi="Lucida Sans Unicode"/>
          <w:color w:val="6D6E71"/>
          <w:w w:val="95"/>
          <w:sz w:val="14"/>
        </w:rPr>
        <w:t>MESSICO</w:t>
      </w:r>
      <w:r>
        <w:rPr>
          <w:rFonts w:ascii="Trebuchet MS" w:hAnsi="Trebuchet MS"/>
          <w:color w:val="414042"/>
          <w:w w:val="95"/>
          <w:position w:val="-3"/>
          <w:sz w:val="20"/>
        </w:rPr>
        <w:tab/>
        <w:t>23</w:t>
      </w:r>
    </w:p>
    <w:p>
      <w:pPr>
        <w:pStyle w:val="BodyText"/>
        <w:rPr>
          <w:rFonts w:ascii="Trebuchet MS"/>
          <w:sz w:val="20"/>
        </w:rPr>
      </w:pPr>
    </w:p>
    <w:p>
      <w:pPr>
        <w:pStyle w:val="BodyText"/>
        <w:rPr>
          <w:rFonts w:ascii="Trebuchet MS"/>
          <w:sz w:val="20"/>
        </w:rPr>
      </w:pPr>
    </w:p>
    <w:p>
      <w:pPr>
        <w:pStyle w:val="BodyText"/>
        <w:spacing w:line="247" w:lineRule="auto" w:before="156"/>
        <w:ind w:left="1044"/>
      </w:pPr>
      <w:r>
        <w:rPr>
          <w:color w:val="231F20"/>
        </w:rPr>
        <w:t>e l’espulsione di stranieri, se considera, in modo ragionevole, che mettono a rischio la sicurezza nazionale.</w:t>
      </w:r>
    </w:p>
    <w:p>
      <w:pPr>
        <w:pStyle w:val="ListParagraph"/>
        <w:numPr>
          <w:ilvl w:val="0"/>
          <w:numId w:val="7"/>
        </w:numPr>
        <w:tabs>
          <w:tab w:pos="1045" w:val="left" w:leader="none"/>
        </w:tabs>
        <w:spacing w:line="247" w:lineRule="auto" w:before="0" w:after="0"/>
        <w:ind w:left="1044" w:right="117" w:hanging="360"/>
        <w:jc w:val="both"/>
        <w:rPr>
          <w:sz w:val="21"/>
        </w:rPr>
      </w:pPr>
      <w:r>
        <w:rPr>
          <w:color w:val="231F20"/>
          <w:w w:val="105"/>
          <w:sz w:val="21"/>
        </w:rPr>
        <w:t>Il</w:t>
      </w:r>
      <w:r>
        <w:rPr>
          <w:color w:val="231F20"/>
          <w:spacing w:val="-10"/>
          <w:w w:val="105"/>
          <w:sz w:val="21"/>
        </w:rPr>
        <w:t> </w:t>
      </w:r>
      <w:r>
        <w:rPr>
          <w:color w:val="231F20"/>
          <w:w w:val="105"/>
          <w:sz w:val="21"/>
        </w:rPr>
        <w:t>conferimento</w:t>
      </w:r>
      <w:r>
        <w:rPr>
          <w:color w:val="231F20"/>
          <w:spacing w:val="-10"/>
          <w:w w:val="105"/>
          <w:sz w:val="21"/>
        </w:rPr>
        <w:t> </w:t>
      </w:r>
      <w:r>
        <w:rPr>
          <w:color w:val="231F20"/>
          <w:w w:val="105"/>
          <w:sz w:val="21"/>
        </w:rPr>
        <w:t>degli</w:t>
      </w:r>
      <w:r>
        <w:rPr>
          <w:color w:val="231F20"/>
          <w:spacing w:val="-10"/>
          <w:w w:val="105"/>
          <w:sz w:val="21"/>
        </w:rPr>
        <w:t> </w:t>
      </w:r>
      <w:r>
        <w:rPr>
          <w:color w:val="231F20"/>
          <w:w w:val="105"/>
          <w:sz w:val="21"/>
        </w:rPr>
        <w:t>strumenti</w:t>
      </w:r>
      <w:r>
        <w:rPr>
          <w:color w:val="231F20"/>
          <w:spacing w:val="-10"/>
          <w:w w:val="105"/>
          <w:sz w:val="21"/>
        </w:rPr>
        <w:t> </w:t>
      </w:r>
      <w:r>
        <w:rPr>
          <w:color w:val="231F20"/>
          <w:w w:val="105"/>
          <w:sz w:val="21"/>
        </w:rPr>
        <w:t>d’investigazione</w:t>
      </w:r>
      <w:r>
        <w:rPr>
          <w:color w:val="231F20"/>
          <w:spacing w:val="-10"/>
          <w:w w:val="105"/>
          <w:sz w:val="21"/>
        </w:rPr>
        <w:t> </w:t>
      </w:r>
      <w:r>
        <w:rPr>
          <w:color w:val="231F20"/>
          <w:w w:val="105"/>
          <w:sz w:val="21"/>
        </w:rPr>
        <w:t>per</w:t>
      </w:r>
      <w:r>
        <w:rPr>
          <w:color w:val="231F20"/>
          <w:spacing w:val="-10"/>
          <w:w w:val="105"/>
          <w:sz w:val="21"/>
        </w:rPr>
        <w:t> </w:t>
      </w:r>
      <w:r>
        <w:rPr>
          <w:color w:val="231F20"/>
          <w:w w:val="105"/>
          <w:sz w:val="21"/>
        </w:rPr>
        <w:t>effettuare registri</w:t>
      </w:r>
      <w:r>
        <w:rPr>
          <w:color w:val="231F20"/>
          <w:spacing w:val="-25"/>
          <w:w w:val="105"/>
          <w:sz w:val="21"/>
        </w:rPr>
        <w:t> </w:t>
      </w:r>
      <w:r>
        <w:rPr>
          <w:color w:val="231F20"/>
          <w:w w:val="105"/>
          <w:sz w:val="21"/>
        </w:rPr>
        <w:t>di</w:t>
      </w:r>
      <w:r>
        <w:rPr>
          <w:color w:val="231F20"/>
          <w:spacing w:val="-25"/>
          <w:w w:val="105"/>
          <w:sz w:val="21"/>
        </w:rPr>
        <w:t> </w:t>
      </w:r>
      <w:r>
        <w:rPr>
          <w:color w:val="231F20"/>
          <w:w w:val="105"/>
          <w:sz w:val="21"/>
        </w:rPr>
        <w:t>telefonate,</w:t>
      </w:r>
      <w:r>
        <w:rPr>
          <w:color w:val="231F20"/>
          <w:spacing w:val="-25"/>
          <w:w w:val="105"/>
          <w:sz w:val="21"/>
        </w:rPr>
        <w:t> </w:t>
      </w:r>
      <w:r>
        <w:rPr>
          <w:color w:val="231F20"/>
          <w:w w:val="105"/>
          <w:sz w:val="21"/>
        </w:rPr>
        <w:t>compresi</w:t>
      </w:r>
      <w:r>
        <w:rPr>
          <w:color w:val="231F20"/>
          <w:spacing w:val="-25"/>
          <w:w w:val="105"/>
          <w:sz w:val="21"/>
        </w:rPr>
        <w:t> </w:t>
      </w:r>
      <w:r>
        <w:rPr>
          <w:color w:val="231F20"/>
          <w:w w:val="105"/>
          <w:sz w:val="21"/>
        </w:rPr>
        <w:t>i</w:t>
      </w:r>
      <w:r>
        <w:rPr>
          <w:color w:val="231F20"/>
          <w:spacing w:val="-25"/>
          <w:w w:val="105"/>
          <w:sz w:val="21"/>
        </w:rPr>
        <w:t> </w:t>
      </w:r>
      <w:r>
        <w:rPr>
          <w:color w:val="231F20"/>
          <w:w w:val="105"/>
          <w:sz w:val="21"/>
        </w:rPr>
        <w:t>numeri</w:t>
      </w:r>
      <w:r>
        <w:rPr>
          <w:color w:val="231F20"/>
          <w:spacing w:val="-25"/>
          <w:w w:val="105"/>
          <w:sz w:val="21"/>
        </w:rPr>
        <w:t> </w:t>
      </w:r>
      <w:r>
        <w:rPr>
          <w:color w:val="231F20"/>
          <w:w w:val="105"/>
          <w:sz w:val="21"/>
        </w:rPr>
        <w:t>telefonici</w:t>
      </w:r>
      <w:r>
        <w:rPr>
          <w:color w:val="231F20"/>
          <w:spacing w:val="-25"/>
          <w:w w:val="105"/>
          <w:sz w:val="21"/>
        </w:rPr>
        <w:t> </w:t>
      </w:r>
      <w:r>
        <w:rPr>
          <w:color w:val="231F20"/>
          <w:w w:val="105"/>
          <w:sz w:val="21"/>
        </w:rPr>
        <w:t>segnati</w:t>
      </w:r>
      <w:r>
        <w:rPr>
          <w:color w:val="231F20"/>
          <w:spacing w:val="-25"/>
          <w:w w:val="105"/>
          <w:sz w:val="21"/>
        </w:rPr>
        <w:t> </w:t>
      </w:r>
      <w:r>
        <w:rPr>
          <w:color w:val="231F20"/>
          <w:w w:val="105"/>
          <w:sz w:val="21"/>
        </w:rPr>
        <w:t>in</w:t>
      </w:r>
      <w:r>
        <w:rPr>
          <w:color w:val="231F20"/>
          <w:spacing w:val="-25"/>
          <w:w w:val="105"/>
          <w:sz w:val="21"/>
        </w:rPr>
        <w:t> </w:t>
      </w:r>
      <w:r>
        <w:rPr>
          <w:color w:val="231F20"/>
          <w:w w:val="105"/>
          <w:sz w:val="21"/>
        </w:rPr>
        <w:t>una </w:t>
      </w:r>
      <w:r>
        <w:rPr>
          <w:color w:val="231F20"/>
          <w:spacing w:val="-4"/>
          <w:w w:val="105"/>
          <w:sz w:val="21"/>
        </w:rPr>
        <w:t>certa</w:t>
      </w:r>
      <w:r>
        <w:rPr>
          <w:color w:val="231F20"/>
          <w:spacing w:val="-45"/>
          <w:w w:val="105"/>
          <w:sz w:val="21"/>
        </w:rPr>
        <w:t> </w:t>
      </w:r>
      <w:r>
        <w:rPr>
          <w:color w:val="231F20"/>
          <w:spacing w:val="-3"/>
          <w:w w:val="105"/>
          <w:sz w:val="21"/>
        </w:rPr>
        <w:t>linea</w:t>
      </w:r>
      <w:r>
        <w:rPr>
          <w:color w:val="231F20"/>
          <w:spacing w:val="-45"/>
          <w:w w:val="105"/>
          <w:sz w:val="21"/>
        </w:rPr>
        <w:t> </w:t>
      </w:r>
      <w:r>
        <w:rPr>
          <w:color w:val="231F20"/>
          <w:spacing w:val="-4"/>
          <w:w w:val="105"/>
          <w:sz w:val="21"/>
        </w:rPr>
        <w:t>telefonica,</w:t>
      </w:r>
      <w:r>
        <w:rPr>
          <w:color w:val="231F20"/>
          <w:spacing w:val="-45"/>
          <w:w w:val="105"/>
          <w:sz w:val="21"/>
        </w:rPr>
        <w:t> </w:t>
      </w:r>
      <w:r>
        <w:rPr>
          <w:color w:val="231F20"/>
          <w:w w:val="105"/>
          <w:sz w:val="21"/>
        </w:rPr>
        <w:t>e</w:t>
      </w:r>
      <w:r>
        <w:rPr>
          <w:color w:val="231F20"/>
          <w:spacing w:val="-45"/>
          <w:w w:val="105"/>
          <w:sz w:val="21"/>
        </w:rPr>
        <w:t> </w:t>
      </w:r>
      <w:r>
        <w:rPr>
          <w:color w:val="231F20"/>
          <w:spacing w:val="-4"/>
          <w:w w:val="105"/>
          <w:sz w:val="21"/>
        </w:rPr>
        <w:t>l’installazione</w:t>
      </w:r>
      <w:r>
        <w:rPr>
          <w:color w:val="231F20"/>
          <w:spacing w:val="-45"/>
          <w:w w:val="105"/>
          <w:sz w:val="21"/>
        </w:rPr>
        <w:t> </w:t>
      </w:r>
      <w:r>
        <w:rPr>
          <w:color w:val="231F20"/>
          <w:w w:val="105"/>
          <w:sz w:val="21"/>
        </w:rPr>
        <w:t>di</w:t>
      </w:r>
      <w:r>
        <w:rPr>
          <w:color w:val="231F20"/>
          <w:spacing w:val="-45"/>
          <w:w w:val="105"/>
          <w:sz w:val="21"/>
        </w:rPr>
        <w:t> </w:t>
      </w:r>
      <w:r>
        <w:rPr>
          <w:color w:val="231F20"/>
          <w:spacing w:val="-4"/>
          <w:w w:val="105"/>
          <w:sz w:val="21"/>
        </w:rPr>
        <w:t>dispositivi</w:t>
      </w:r>
      <w:r>
        <w:rPr>
          <w:color w:val="231F20"/>
          <w:spacing w:val="-45"/>
          <w:w w:val="105"/>
          <w:sz w:val="21"/>
        </w:rPr>
        <w:t> </w:t>
      </w:r>
      <w:r>
        <w:rPr>
          <w:color w:val="231F20"/>
          <w:spacing w:val="-5"/>
          <w:w w:val="105"/>
          <w:sz w:val="21"/>
        </w:rPr>
        <w:t>d’intercettazione </w:t>
      </w:r>
      <w:r>
        <w:rPr>
          <w:color w:val="231F20"/>
          <w:w w:val="105"/>
          <w:sz w:val="21"/>
        </w:rPr>
        <w:t>e </w:t>
      </w:r>
      <w:r>
        <w:rPr>
          <w:color w:val="231F20"/>
          <w:spacing w:val="3"/>
          <w:w w:val="105"/>
          <w:sz w:val="21"/>
        </w:rPr>
        <w:t>inseguimento </w:t>
      </w:r>
      <w:r>
        <w:rPr>
          <w:color w:val="231F20"/>
          <w:w w:val="105"/>
          <w:sz w:val="21"/>
        </w:rPr>
        <w:t>e </w:t>
      </w:r>
      <w:r>
        <w:rPr>
          <w:color w:val="231F20"/>
          <w:spacing w:val="3"/>
          <w:w w:val="105"/>
          <w:sz w:val="21"/>
        </w:rPr>
        <w:t>l’estensione delle facoltà dell’autorità </w:t>
      </w:r>
      <w:r>
        <w:rPr>
          <w:color w:val="231F20"/>
          <w:spacing w:val="4"/>
          <w:w w:val="105"/>
          <w:sz w:val="21"/>
        </w:rPr>
        <w:t>per </w:t>
      </w:r>
      <w:r>
        <w:rPr>
          <w:color w:val="231F20"/>
          <w:w w:val="105"/>
          <w:sz w:val="21"/>
        </w:rPr>
        <w:t>raccogliere</w:t>
      </w:r>
      <w:r>
        <w:rPr>
          <w:color w:val="231F20"/>
          <w:spacing w:val="-27"/>
          <w:w w:val="105"/>
          <w:sz w:val="21"/>
        </w:rPr>
        <w:t> </w:t>
      </w:r>
      <w:r>
        <w:rPr>
          <w:color w:val="231F20"/>
          <w:w w:val="105"/>
          <w:sz w:val="21"/>
        </w:rPr>
        <w:t>campioni</w:t>
      </w:r>
      <w:r>
        <w:rPr>
          <w:color w:val="231F20"/>
          <w:spacing w:val="-27"/>
          <w:w w:val="105"/>
          <w:sz w:val="21"/>
        </w:rPr>
        <w:t> </w:t>
      </w:r>
      <w:r>
        <w:rPr>
          <w:color w:val="231F20"/>
          <w:w w:val="105"/>
          <w:sz w:val="21"/>
        </w:rPr>
        <w:t>di</w:t>
      </w:r>
      <w:r>
        <w:rPr>
          <w:color w:val="231F20"/>
          <w:spacing w:val="-27"/>
          <w:w w:val="105"/>
          <w:sz w:val="21"/>
        </w:rPr>
        <w:t> </w:t>
      </w:r>
      <w:r>
        <w:rPr>
          <w:color w:val="231F20"/>
          <w:w w:val="105"/>
          <w:sz w:val="18"/>
        </w:rPr>
        <w:t>DNA</w:t>
      </w:r>
      <w:r>
        <w:rPr>
          <w:color w:val="231F20"/>
          <w:spacing w:val="-16"/>
          <w:w w:val="105"/>
          <w:sz w:val="18"/>
        </w:rPr>
        <w:t> </w:t>
      </w:r>
      <w:r>
        <w:rPr>
          <w:color w:val="231F20"/>
          <w:w w:val="105"/>
          <w:sz w:val="21"/>
        </w:rPr>
        <w:t>dei</w:t>
      </w:r>
      <w:r>
        <w:rPr>
          <w:color w:val="231F20"/>
          <w:spacing w:val="-27"/>
          <w:w w:val="105"/>
          <w:sz w:val="21"/>
        </w:rPr>
        <w:t> </w:t>
      </w:r>
      <w:r>
        <w:rPr>
          <w:color w:val="231F20"/>
          <w:w w:val="105"/>
          <w:sz w:val="21"/>
        </w:rPr>
        <w:t>trasgressori.</w:t>
      </w:r>
    </w:p>
    <w:p>
      <w:pPr>
        <w:pStyle w:val="ListParagraph"/>
        <w:numPr>
          <w:ilvl w:val="0"/>
          <w:numId w:val="7"/>
        </w:numPr>
        <w:tabs>
          <w:tab w:pos="1045" w:val="left" w:leader="none"/>
        </w:tabs>
        <w:spacing w:line="247" w:lineRule="auto" w:before="0" w:after="0"/>
        <w:ind w:left="1044" w:right="120" w:hanging="360"/>
        <w:jc w:val="both"/>
        <w:rPr>
          <w:sz w:val="21"/>
        </w:rPr>
      </w:pPr>
      <w:r>
        <w:rPr>
          <w:color w:val="231F20"/>
          <w:w w:val="105"/>
          <w:sz w:val="21"/>
        </w:rPr>
        <w:t>Si permette l’arresto fino a sei mesi degli individui sospetti di </w:t>
      </w:r>
      <w:r>
        <w:rPr>
          <w:color w:val="231F20"/>
          <w:spacing w:val="5"/>
          <w:w w:val="105"/>
          <w:sz w:val="21"/>
        </w:rPr>
        <w:t>commissione </w:t>
      </w:r>
      <w:r>
        <w:rPr>
          <w:color w:val="231F20"/>
          <w:w w:val="105"/>
          <w:sz w:val="21"/>
        </w:rPr>
        <w:t>o </w:t>
      </w:r>
      <w:r>
        <w:rPr>
          <w:color w:val="231F20"/>
          <w:spacing w:val="4"/>
          <w:w w:val="105"/>
          <w:sz w:val="21"/>
        </w:rPr>
        <w:t>probabile </w:t>
      </w:r>
      <w:r>
        <w:rPr>
          <w:color w:val="231F20"/>
          <w:spacing w:val="5"/>
          <w:w w:val="105"/>
          <w:sz w:val="21"/>
        </w:rPr>
        <w:t>commissione </w:t>
      </w:r>
      <w:r>
        <w:rPr>
          <w:color w:val="231F20"/>
          <w:spacing w:val="3"/>
          <w:w w:val="105"/>
          <w:sz w:val="21"/>
        </w:rPr>
        <w:t>di </w:t>
      </w:r>
      <w:r>
        <w:rPr>
          <w:color w:val="231F20"/>
          <w:spacing w:val="5"/>
          <w:w w:val="105"/>
          <w:sz w:val="21"/>
        </w:rPr>
        <w:t>qualche </w:t>
      </w:r>
      <w:r>
        <w:rPr>
          <w:color w:val="231F20"/>
          <w:spacing w:val="4"/>
          <w:w w:val="105"/>
          <w:sz w:val="21"/>
        </w:rPr>
        <w:t>atto </w:t>
      </w:r>
      <w:r>
        <w:rPr>
          <w:color w:val="231F20"/>
          <w:spacing w:val="3"/>
          <w:w w:val="105"/>
          <w:sz w:val="21"/>
        </w:rPr>
        <w:t>di </w:t>
      </w:r>
      <w:r>
        <w:rPr>
          <w:color w:val="231F20"/>
          <w:w w:val="105"/>
          <w:sz w:val="21"/>
        </w:rPr>
        <w:t>terrorismo.</w:t>
      </w:r>
    </w:p>
    <w:p>
      <w:pPr>
        <w:pStyle w:val="BodyText"/>
        <w:spacing w:before="5"/>
      </w:pPr>
    </w:p>
    <w:p>
      <w:pPr>
        <w:pStyle w:val="BodyText"/>
        <w:spacing w:line="247" w:lineRule="auto"/>
        <w:ind w:left="117" w:right="117"/>
        <w:jc w:val="both"/>
        <w:rPr>
          <w:sz w:val="12"/>
        </w:rPr>
      </w:pPr>
      <w:r>
        <w:rPr>
          <w:color w:val="231F20"/>
        </w:rPr>
        <w:t>Con quest’ultima disposizione, si viola una garanzia costituzionale stabilita </w:t>
      </w:r>
      <w:r>
        <w:rPr>
          <w:color w:val="231F20"/>
          <w:spacing w:val="3"/>
        </w:rPr>
        <w:t>dalle convenzioni </w:t>
      </w:r>
      <w:r>
        <w:rPr>
          <w:color w:val="231F20"/>
          <w:spacing w:val="2"/>
        </w:rPr>
        <w:t>dei </w:t>
      </w:r>
      <w:r>
        <w:rPr>
          <w:color w:val="231F20"/>
          <w:spacing w:val="3"/>
        </w:rPr>
        <w:t>diritti umani, </w:t>
      </w:r>
      <w:r>
        <w:rPr>
          <w:color w:val="231F20"/>
        </w:rPr>
        <w:t>la </w:t>
      </w:r>
      <w:r>
        <w:rPr>
          <w:color w:val="231F20"/>
          <w:spacing w:val="2"/>
        </w:rPr>
        <w:t>cui </w:t>
      </w:r>
      <w:r>
        <w:rPr>
          <w:color w:val="231F20"/>
          <w:spacing w:val="3"/>
        </w:rPr>
        <w:t>segnala </w:t>
      </w:r>
      <w:r>
        <w:rPr>
          <w:color w:val="231F20"/>
          <w:spacing w:val="2"/>
        </w:rPr>
        <w:t>che non </w:t>
      </w:r>
      <w:r>
        <w:rPr>
          <w:color w:val="231F20"/>
        </w:rPr>
        <w:t>si </w:t>
      </w:r>
      <w:r>
        <w:rPr>
          <w:color w:val="231F20"/>
          <w:spacing w:val="4"/>
        </w:rPr>
        <w:t>possono </w:t>
      </w:r>
      <w:r>
        <w:rPr>
          <w:color w:val="231F20"/>
          <w:spacing w:val="-4"/>
        </w:rPr>
        <w:t>sospendere</w:t>
      </w:r>
      <w:r>
        <w:rPr>
          <w:color w:val="231F20"/>
          <w:spacing w:val="-12"/>
        </w:rPr>
        <w:t> </w:t>
      </w:r>
      <w:r>
        <w:rPr>
          <w:color w:val="231F20"/>
        </w:rPr>
        <w:t>le</w:t>
      </w:r>
      <w:r>
        <w:rPr>
          <w:color w:val="231F20"/>
          <w:spacing w:val="-12"/>
        </w:rPr>
        <w:t> </w:t>
      </w:r>
      <w:r>
        <w:rPr>
          <w:color w:val="231F20"/>
          <w:spacing w:val="-3"/>
        </w:rPr>
        <w:t>garanzie</w:t>
      </w:r>
      <w:r>
        <w:rPr>
          <w:color w:val="231F20"/>
          <w:spacing w:val="-12"/>
        </w:rPr>
        <w:t> </w:t>
      </w:r>
      <w:r>
        <w:rPr>
          <w:color w:val="231F20"/>
        </w:rPr>
        <w:t>di</w:t>
      </w:r>
      <w:r>
        <w:rPr>
          <w:color w:val="231F20"/>
          <w:spacing w:val="-12"/>
        </w:rPr>
        <w:t> </w:t>
      </w:r>
      <w:r>
        <w:rPr>
          <w:color w:val="231F20"/>
          <w:spacing w:val="-3"/>
        </w:rPr>
        <w:t>libertà</w:t>
      </w:r>
      <w:r>
        <w:rPr>
          <w:color w:val="231F20"/>
          <w:spacing w:val="-13"/>
        </w:rPr>
        <w:t> </w:t>
      </w:r>
      <w:r>
        <w:rPr>
          <w:color w:val="231F20"/>
        </w:rPr>
        <w:t>a</w:t>
      </w:r>
      <w:r>
        <w:rPr>
          <w:color w:val="231F20"/>
          <w:spacing w:val="-12"/>
        </w:rPr>
        <w:t> </w:t>
      </w:r>
      <w:r>
        <w:rPr>
          <w:color w:val="231F20"/>
        </w:rPr>
        <w:t>un</w:t>
      </w:r>
      <w:r>
        <w:rPr>
          <w:color w:val="231F20"/>
          <w:spacing w:val="-12"/>
        </w:rPr>
        <w:t> </w:t>
      </w:r>
      <w:r>
        <w:rPr>
          <w:color w:val="231F20"/>
          <w:spacing w:val="-3"/>
        </w:rPr>
        <w:t>solo</w:t>
      </w:r>
      <w:r>
        <w:rPr>
          <w:color w:val="231F20"/>
          <w:spacing w:val="-12"/>
        </w:rPr>
        <w:t> </w:t>
      </w:r>
      <w:r>
        <w:rPr>
          <w:color w:val="231F20"/>
          <w:spacing w:val="-3"/>
        </w:rPr>
        <w:t>individuo</w:t>
      </w:r>
      <w:r>
        <w:rPr>
          <w:color w:val="231F20"/>
          <w:spacing w:val="-12"/>
        </w:rPr>
        <w:t> </w:t>
      </w:r>
      <w:r>
        <w:rPr>
          <w:color w:val="231F20"/>
          <w:spacing w:val="-4"/>
        </w:rPr>
        <w:t>oltre</w:t>
      </w:r>
      <w:r>
        <w:rPr>
          <w:color w:val="231F20"/>
          <w:spacing w:val="-12"/>
        </w:rPr>
        <w:t> </w:t>
      </w:r>
      <w:r>
        <w:rPr>
          <w:color w:val="231F20"/>
        </w:rPr>
        <w:t>i</w:t>
      </w:r>
      <w:r>
        <w:rPr>
          <w:color w:val="231F20"/>
          <w:spacing w:val="-12"/>
        </w:rPr>
        <w:t> </w:t>
      </w:r>
      <w:r>
        <w:rPr>
          <w:color w:val="231F20"/>
          <w:spacing w:val="-3"/>
        </w:rPr>
        <w:t>tempi</w:t>
      </w:r>
      <w:r>
        <w:rPr>
          <w:color w:val="231F20"/>
          <w:spacing w:val="-12"/>
        </w:rPr>
        <w:t> </w:t>
      </w:r>
      <w:r>
        <w:rPr>
          <w:color w:val="231F20"/>
          <w:spacing w:val="-4"/>
        </w:rPr>
        <w:t>previsti</w:t>
      </w:r>
      <w:r>
        <w:rPr>
          <w:color w:val="231F20"/>
          <w:spacing w:val="-12"/>
        </w:rPr>
        <w:t> </w:t>
      </w:r>
      <w:r>
        <w:rPr>
          <w:color w:val="231F20"/>
          <w:spacing w:val="-3"/>
        </w:rPr>
        <w:t>dalla legge</w:t>
      </w:r>
      <w:r>
        <w:rPr>
          <w:color w:val="231F20"/>
          <w:spacing w:val="-10"/>
        </w:rPr>
        <w:t> </w:t>
      </w:r>
      <w:r>
        <w:rPr>
          <w:color w:val="231F20"/>
          <w:spacing w:val="-3"/>
        </w:rPr>
        <w:t>ordinaria.</w:t>
      </w:r>
      <w:r>
        <w:rPr>
          <w:color w:val="231F20"/>
          <w:spacing w:val="-10"/>
        </w:rPr>
        <w:t> </w:t>
      </w:r>
      <w:r>
        <w:rPr>
          <w:color w:val="231F20"/>
          <w:spacing w:val="-3"/>
        </w:rPr>
        <w:t>Senza</w:t>
      </w:r>
      <w:r>
        <w:rPr>
          <w:color w:val="231F20"/>
          <w:spacing w:val="-10"/>
        </w:rPr>
        <w:t> </w:t>
      </w:r>
      <w:r>
        <w:rPr>
          <w:color w:val="231F20"/>
          <w:spacing w:val="-3"/>
        </w:rPr>
        <w:t>dubbio,</w:t>
      </w:r>
      <w:r>
        <w:rPr>
          <w:color w:val="231F20"/>
          <w:spacing w:val="-10"/>
        </w:rPr>
        <w:t> </w:t>
      </w:r>
      <w:r>
        <w:rPr>
          <w:color w:val="231F20"/>
          <w:spacing w:val="-3"/>
        </w:rPr>
        <w:t>dopo</w:t>
      </w:r>
      <w:r>
        <w:rPr>
          <w:color w:val="231F20"/>
          <w:spacing w:val="-10"/>
        </w:rPr>
        <w:t> </w:t>
      </w:r>
      <w:r>
        <w:rPr>
          <w:color w:val="231F20"/>
          <w:spacing w:val="-3"/>
        </w:rPr>
        <w:t>l’11–S</w:t>
      </w:r>
      <w:r>
        <w:rPr>
          <w:color w:val="231F20"/>
          <w:spacing w:val="-10"/>
        </w:rPr>
        <w:t> </w:t>
      </w:r>
      <w:r>
        <w:rPr>
          <w:color w:val="231F20"/>
        </w:rPr>
        <w:t>il</w:t>
      </w:r>
      <w:r>
        <w:rPr>
          <w:color w:val="231F20"/>
          <w:spacing w:val="-10"/>
        </w:rPr>
        <w:t> </w:t>
      </w:r>
      <w:r>
        <w:rPr>
          <w:color w:val="231F20"/>
          <w:spacing w:val="-3"/>
        </w:rPr>
        <w:t>modo</w:t>
      </w:r>
      <w:r>
        <w:rPr>
          <w:color w:val="231F20"/>
          <w:spacing w:val="-10"/>
        </w:rPr>
        <w:t> </w:t>
      </w:r>
      <w:r>
        <w:rPr>
          <w:color w:val="231F20"/>
        </w:rPr>
        <w:t>di</w:t>
      </w:r>
      <w:r>
        <w:rPr>
          <w:color w:val="231F20"/>
          <w:spacing w:val="-10"/>
        </w:rPr>
        <w:t> </w:t>
      </w:r>
      <w:r>
        <w:rPr>
          <w:color w:val="231F20"/>
          <w:spacing w:val="-3"/>
        </w:rPr>
        <w:t>capire</w:t>
      </w:r>
      <w:r>
        <w:rPr>
          <w:color w:val="231F20"/>
          <w:spacing w:val="-10"/>
        </w:rPr>
        <w:t> </w:t>
      </w:r>
      <w:r>
        <w:rPr>
          <w:color w:val="231F20"/>
        </w:rPr>
        <w:t>le</w:t>
      </w:r>
      <w:r>
        <w:rPr>
          <w:color w:val="231F20"/>
          <w:spacing w:val="-10"/>
        </w:rPr>
        <w:t> </w:t>
      </w:r>
      <w:r>
        <w:rPr>
          <w:color w:val="231F20"/>
          <w:spacing w:val="-3"/>
        </w:rPr>
        <w:t>libertà,</w:t>
      </w:r>
      <w:r>
        <w:rPr>
          <w:color w:val="231F20"/>
          <w:spacing w:val="-10"/>
        </w:rPr>
        <w:t> </w:t>
      </w:r>
      <w:r>
        <w:rPr>
          <w:color w:val="231F20"/>
        </w:rPr>
        <w:t>i</w:t>
      </w:r>
      <w:r>
        <w:rPr>
          <w:color w:val="231F20"/>
          <w:spacing w:val="-10"/>
        </w:rPr>
        <w:t> </w:t>
      </w:r>
      <w:r>
        <w:rPr>
          <w:color w:val="231F20"/>
          <w:spacing w:val="-3"/>
        </w:rPr>
        <w:t>diritti </w:t>
      </w:r>
      <w:r>
        <w:rPr>
          <w:color w:val="231F20"/>
        </w:rPr>
        <w:t>e</w:t>
      </w:r>
      <w:r>
        <w:rPr>
          <w:color w:val="231F20"/>
          <w:spacing w:val="-7"/>
        </w:rPr>
        <w:t> </w:t>
      </w:r>
      <w:r>
        <w:rPr>
          <w:color w:val="231F20"/>
        </w:rPr>
        <w:t>le</w:t>
      </w:r>
      <w:r>
        <w:rPr>
          <w:color w:val="231F20"/>
          <w:spacing w:val="-7"/>
        </w:rPr>
        <w:t> </w:t>
      </w:r>
      <w:r>
        <w:rPr>
          <w:color w:val="231F20"/>
        </w:rPr>
        <w:t>garanzie</w:t>
      </w:r>
      <w:r>
        <w:rPr>
          <w:color w:val="231F20"/>
          <w:spacing w:val="-7"/>
        </w:rPr>
        <w:t> </w:t>
      </w:r>
      <w:r>
        <w:rPr>
          <w:color w:val="231F20"/>
        </w:rPr>
        <w:t>cambiò</w:t>
      </w:r>
      <w:r>
        <w:rPr>
          <w:color w:val="231F20"/>
          <w:spacing w:val="-7"/>
        </w:rPr>
        <w:t> </w:t>
      </w:r>
      <w:r>
        <w:rPr>
          <w:color w:val="231F20"/>
        </w:rPr>
        <w:t>in</w:t>
      </w:r>
      <w:r>
        <w:rPr>
          <w:color w:val="231F20"/>
          <w:spacing w:val="-7"/>
        </w:rPr>
        <w:t> </w:t>
      </w:r>
      <w:r>
        <w:rPr>
          <w:color w:val="231F20"/>
        </w:rPr>
        <w:t>maniera</w:t>
      </w:r>
      <w:r>
        <w:rPr>
          <w:color w:val="231F20"/>
          <w:spacing w:val="-7"/>
        </w:rPr>
        <w:t> </w:t>
      </w:r>
      <w:r>
        <w:rPr>
          <w:color w:val="231F20"/>
        </w:rPr>
        <w:t>radicale.</w:t>
      </w:r>
      <w:r>
        <w:rPr>
          <w:color w:val="231F20"/>
          <w:spacing w:val="-7"/>
        </w:rPr>
        <w:t> </w:t>
      </w:r>
      <w:r>
        <w:rPr>
          <w:color w:val="231F20"/>
        </w:rPr>
        <w:t>Siamo</w:t>
      </w:r>
      <w:r>
        <w:rPr>
          <w:color w:val="231F20"/>
          <w:spacing w:val="-7"/>
        </w:rPr>
        <w:t> </w:t>
      </w:r>
      <w:r>
        <w:rPr>
          <w:color w:val="231F20"/>
        </w:rPr>
        <w:t>davanti</w:t>
      </w:r>
      <w:r>
        <w:rPr>
          <w:color w:val="231F20"/>
          <w:spacing w:val="-7"/>
        </w:rPr>
        <w:t> </w:t>
      </w:r>
      <w:r>
        <w:rPr>
          <w:color w:val="231F20"/>
        </w:rPr>
        <w:t>a</w:t>
      </w:r>
      <w:r>
        <w:rPr>
          <w:color w:val="231F20"/>
          <w:spacing w:val="-7"/>
        </w:rPr>
        <w:t> </w:t>
      </w:r>
      <w:r>
        <w:rPr>
          <w:color w:val="231F20"/>
        </w:rPr>
        <w:t>una</w:t>
      </w:r>
      <w:r>
        <w:rPr>
          <w:color w:val="231F20"/>
          <w:spacing w:val="-7"/>
        </w:rPr>
        <w:t> </w:t>
      </w:r>
      <w:r>
        <w:rPr>
          <w:color w:val="231F20"/>
        </w:rPr>
        <w:t>nuova</w:t>
      </w:r>
      <w:r>
        <w:rPr>
          <w:color w:val="231F20"/>
          <w:spacing w:val="-7"/>
        </w:rPr>
        <w:t> </w:t>
      </w:r>
      <w:r>
        <w:rPr>
          <w:color w:val="231F20"/>
        </w:rPr>
        <w:t>figura del costituzionalismo: la sospensione individualizzata di diritti e garanzie. Nonostante, questa figura non la inaugurano gli Stati Uniti, ma il diritto europeo.</w:t>
      </w:r>
      <w:r>
        <w:rPr>
          <w:color w:val="231F20"/>
          <w:position w:val="7"/>
          <w:sz w:val="12"/>
        </w:rPr>
        <w:t>10</w:t>
      </w:r>
    </w:p>
    <w:p>
      <w:pPr>
        <w:pStyle w:val="BodyText"/>
        <w:spacing w:before="10"/>
        <w:rPr>
          <w:sz w:val="22"/>
        </w:rPr>
      </w:pPr>
    </w:p>
    <w:p>
      <w:pPr>
        <w:spacing w:line="220" w:lineRule="exact" w:before="1"/>
        <w:ind w:left="1534" w:right="118" w:firstLine="0"/>
        <w:jc w:val="both"/>
        <w:rPr>
          <w:sz w:val="19"/>
        </w:rPr>
      </w:pPr>
      <w:r>
        <w:rPr>
          <w:color w:val="231F20"/>
          <w:sz w:val="19"/>
        </w:rPr>
        <w:t>La</w:t>
      </w:r>
      <w:r>
        <w:rPr>
          <w:color w:val="231F20"/>
          <w:spacing w:val="-16"/>
          <w:sz w:val="19"/>
        </w:rPr>
        <w:t> </w:t>
      </w:r>
      <w:r>
        <w:rPr>
          <w:color w:val="231F20"/>
          <w:sz w:val="19"/>
        </w:rPr>
        <w:t>Patriot</w:t>
      </w:r>
      <w:r>
        <w:rPr>
          <w:color w:val="231F20"/>
          <w:spacing w:val="-16"/>
          <w:sz w:val="19"/>
        </w:rPr>
        <w:t> </w:t>
      </w:r>
      <w:r>
        <w:rPr>
          <w:color w:val="231F20"/>
          <w:sz w:val="19"/>
        </w:rPr>
        <w:t>Act,</w:t>
      </w:r>
      <w:r>
        <w:rPr>
          <w:color w:val="231F20"/>
          <w:spacing w:val="-16"/>
          <w:sz w:val="19"/>
        </w:rPr>
        <w:t> </w:t>
      </w:r>
      <w:r>
        <w:rPr>
          <w:color w:val="231F20"/>
          <w:sz w:val="19"/>
        </w:rPr>
        <w:t>adottata</w:t>
      </w:r>
      <w:r>
        <w:rPr>
          <w:color w:val="231F20"/>
          <w:spacing w:val="-16"/>
          <w:sz w:val="19"/>
        </w:rPr>
        <w:t> </w:t>
      </w:r>
      <w:r>
        <w:rPr>
          <w:color w:val="231F20"/>
          <w:sz w:val="19"/>
        </w:rPr>
        <w:t>nell’ottobre</w:t>
      </w:r>
      <w:r>
        <w:rPr>
          <w:color w:val="231F20"/>
          <w:spacing w:val="-16"/>
          <w:sz w:val="19"/>
        </w:rPr>
        <w:t> </w:t>
      </w:r>
      <w:r>
        <w:rPr>
          <w:color w:val="231F20"/>
          <w:sz w:val="19"/>
        </w:rPr>
        <w:t>2001,</w:t>
      </w:r>
      <w:r>
        <w:rPr>
          <w:color w:val="231F20"/>
          <w:spacing w:val="-16"/>
          <w:sz w:val="19"/>
        </w:rPr>
        <w:t> </w:t>
      </w:r>
      <w:r>
        <w:rPr>
          <w:color w:val="231F20"/>
          <w:sz w:val="19"/>
        </w:rPr>
        <w:t>è</w:t>
      </w:r>
      <w:r>
        <w:rPr>
          <w:color w:val="231F20"/>
          <w:spacing w:val="-16"/>
          <w:sz w:val="19"/>
        </w:rPr>
        <w:t> </w:t>
      </w:r>
      <w:r>
        <w:rPr>
          <w:color w:val="231F20"/>
          <w:sz w:val="19"/>
        </w:rPr>
        <w:t>un</w:t>
      </w:r>
      <w:r>
        <w:rPr>
          <w:color w:val="231F20"/>
          <w:spacing w:val="-16"/>
          <w:sz w:val="19"/>
        </w:rPr>
        <w:t> </w:t>
      </w:r>
      <w:r>
        <w:rPr>
          <w:color w:val="231F20"/>
          <w:sz w:val="19"/>
        </w:rPr>
        <w:t>pacchetto</w:t>
      </w:r>
      <w:r>
        <w:rPr>
          <w:color w:val="231F20"/>
          <w:spacing w:val="-16"/>
          <w:sz w:val="19"/>
        </w:rPr>
        <w:t> </w:t>
      </w:r>
      <w:r>
        <w:rPr>
          <w:color w:val="231F20"/>
          <w:sz w:val="19"/>
        </w:rPr>
        <w:t>di</w:t>
      </w:r>
      <w:r>
        <w:rPr>
          <w:color w:val="231F20"/>
          <w:spacing w:val="-16"/>
          <w:sz w:val="19"/>
        </w:rPr>
        <w:t> </w:t>
      </w:r>
      <w:r>
        <w:rPr>
          <w:color w:val="231F20"/>
          <w:sz w:val="19"/>
        </w:rPr>
        <w:t>misure </w:t>
      </w:r>
      <w:r>
        <w:rPr>
          <w:color w:val="231F20"/>
          <w:spacing w:val="-3"/>
          <w:sz w:val="19"/>
        </w:rPr>
        <w:t>antiterroristiche</w:t>
      </w:r>
      <w:r>
        <w:rPr>
          <w:color w:val="231F20"/>
          <w:spacing w:val="-19"/>
          <w:sz w:val="19"/>
        </w:rPr>
        <w:t> </w:t>
      </w:r>
      <w:r>
        <w:rPr>
          <w:color w:val="231F20"/>
          <w:sz w:val="19"/>
        </w:rPr>
        <w:t>che</w:t>
      </w:r>
      <w:r>
        <w:rPr>
          <w:color w:val="231F20"/>
          <w:spacing w:val="-19"/>
          <w:sz w:val="19"/>
        </w:rPr>
        <w:t> </w:t>
      </w:r>
      <w:r>
        <w:rPr>
          <w:color w:val="231F20"/>
          <w:sz w:val="19"/>
        </w:rPr>
        <w:t>modificano</w:t>
      </w:r>
      <w:r>
        <w:rPr>
          <w:color w:val="231F20"/>
          <w:spacing w:val="-19"/>
          <w:sz w:val="19"/>
        </w:rPr>
        <w:t> </w:t>
      </w:r>
      <w:r>
        <w:rPr>
          <w:color w:val="231F20"/>
          <w:sz w:val="19"/>
        </w:rPr>
        <w:t>la</w:t>
      </w:r>
      <w:r>
        <w:rPr>
          <w:color w:val="231F20"/>
          <w:spacing w:val="-19"/>
          <w:sz w:val="19"/>
        </w:rPr>
        <w:t> </w:t>
      </w:r>
      <w:r>
        <w:rPr>
          <w:color w:val="231F20"/>
          <w:sz w:val="19"/>
        </w:rPr>
        <w:t>struttura</w:t>
      </w:r>
      <w:r>
        <w:rPr>
          <w:color w:val="231F20"/>
          <w:spacing w:val="-19"/>
          <w:sz w:val="19"/>
        </w:rPr>
        <w:t> </w:t>
      </w:r>
      <w:r>
        <w:rPr>
          <w:color w:val="231F20"/>
          <w:sz w:val="19"/>
        </w:rPr>
        <w:t>dei</w:t>
      </w:r>
      <w:r>
        <w:rPr>
          <w:color w:val="231F20"/>
          <w:spacing w:val="-19"/>
          <w:sz w:val="19"/>
        </w:rPr>
        <w:t> </w:t>
      </w:r>
      <w:r>
        <w:rPr>
          <w:color w:val="231F20"/>
          <w:sz w:val="19"/>
        </w:rPr>
        <w:t>diritti</w:t>
      </w:r>
      <w:r>
        <w:rPr>
          <w:color w:val="231F20"/>
          <w:spacing w:val="-20"/>
          <w:sz w:val="19"/>
        </w:rPr>
        <w:t> </w:t>
      </w:r>
      <w:r>
        <w:rPr>
          <w:color w:val="231F20"/>
          <w:sz w:val="19"/>
        </w:rPr>
        <w:t>civil</w:t>
      </w:r>
      <w:r>
        <w:rPr>
          <w:color w:val="231F20"/>
          <w:spacing w:val="-19"/>
          <w:sz w:val="19"/>
        </w:rPr>
        <w:t> </w:t>
      </w:r>
      <w:r>
        <w:rPr>
          <w:color w:val="231F20"/>
          <w:sz w:val="19"/>
        </w:rPr>
        <w:t>e</w:t>
      </w:r>
      <w:r>
        <w:rPr>
          <w:color w:val="231F20"/>
          <w:spacing w:val="-19"/>
          <w:sz w:val="19"/>
        </w:rPr>
        <w:t> </w:t>
      </w:r>
      <w:r>
        <w:rPr>
          <w:color w:val="231F20"/>
          <w:sz w:val="19"/>
        </w:rPr>
        <w:t>politici</w:t>
      </w:r>
      <w:r>
        <w:rPr>
          <w:color w:val="231F20"/>
          <w:spacing w:val="-19"/>
          <w:sz w:val="19"/>
        </w:rPr>
        <w:t> </w:t>
      </w:r>
      <w:r>
        <w:rPr>
          <w:color w:val="231F20"/>
          <w:sz w:val="19"/>
        </w:rPr>
        <w:t>e </w:t>
      </w:r>
      <w:r>
        <w:rPr>
          <w:color w:val="231F20"/>
          <w:spacing w:val="-3"/>
          <w:sz w:val="19"/>
        </w:rPr>
        <w:t>legitimano </w:t>
      </w:r>
      <w:r>
        <w:rPr>
          <w:color w:val="231F20"/>
          <w:sz w:val="19"/>
        </w:rPr>
        <w:t>la </w:t>
      </w:r>
      <w:r>
        <w:rPr>
          <w:color w:val="231F20"/>
          <w:spacing w:val="-3"/>
          <w:sz w:val="19"/>
        </w:rPr>
        <w:t>sospensione </w:t>
      </w:r>
      <w:r>
        <w:rPr>
          <w:color w:val="231F20"/>
          <w:sz w:val="19"/>
        </w:rPr>
        <w:t>del </w:t>
      </w:r>
      <w:r>
        <w:rPr>
          <w:color w:val="231F20"/>
          <w:spacing w:val="-3"/>
          <w:sz w:val="19"/>
        </w:rPr>
        <w:t>diritto </w:t>
      </w:r>
      <w:r>
        <w:rPr>
          <w:color w:val="231F20"/>
          <w:sz w:val="19"/>
        </w:rPr>
        <w:t>più </w:t>
      </w:r>
      <w:r>
        <w:rPr>
          <w:color w:val="231F20"/>
          <w:spacing w:val="-3"/>
          <w:sz w:val="19"/>
        </w:rPr>
        <w:t>antico della giurisprudenza anglossasone,</w:t>
      </w:r>
      <w:r>
        <w:rPr>
          <w:color w:val="231F20"/>
          <w:spacing w:val="-22"/>
          <w:sz w:val="19"/>
        </w:rPr>
        <w:t> </w:t>
      </w:r>
      <w:r>
        <w:rPr>
          <w:color w:val="231F20"/>
          <w:sz w:val="19"/>
        </w:rPr>
        <w:t>l’</w:t>
      </w:r>
      <w:r>
        <w:rPr>
          <w:color w:val="231F20"/>
          <w:spacing w:val="-19"/>
          <w:sz w:val="19"/>
        </w:rPr>
        <w:t> </w:t>
      </w:r>
      <w:r>
        <w:rPr>
          <w:rFonts w:ascii="Arial" w:hAnsi="Arial"/>
          <w:i/>
          <w:color w:val="231F20"/>
          <w:spacing w:val="-3"/>
          <w:sz w:val="19"/>
        </w:rPr>
        <w:t>habeas</w:t>
      </w:r>
      <w:r>
        <w:rPr>
          <w:rFonts w:ascii="Arial" w:hAnsi="Arial"/>
          <w:i/>
          <w:color w:val="231F20"/>
          <w:spacing w:val="-16"/>
          <w:sz w:val="19"/>
        </w:rPr>
        <w:t> </w:t>
      </w:r>
      <w:r>
        <w:rPr>
          <w:rFonts w:ascii="Arial" w:hAnsi="Arial"/>
          <w:i/>
          <w:color w:val="231F20"/>
          <w:spacing w:val="-3"/>
          <w:sz w:val="19"/>
        </w:rPr>
        <w:t>corpus.</w:t>
      </w:r>
      <w:r>
        <w:rPr>
          <w:rFonts w:ascii="Arial" w:hAnsi="Arial"/>
          <w:i/>
          <w:color w:val="231F20"/>
          <w:spacing w:val="-16"/>
          <w:sz w:val="19"/>
        </w:rPr>
        <w:t> </w:t>
      </w:r>
      <w:r>
        <w:rPr>
          <w:color w:val="231F20"/>
          <w:spacing w:val="-3"/>
          <w:sz w:val="19"/>
        </w:rPr>
        <w:t>Insieme</w:t>
      </w:r>
      <w:r>
        <w:rPr>
          <w:color w:val="231F20"/>
          <w:spacing w:val="-22"/>
          <w:sz w:val="19"/>
        </w:rPr>
        <w:t> </w:t>
      </w:r>
      <w:r>
        <w:rPr>
          <w:color w:val="231F20"/>
          <w:sz w:val="19"/>
        </w:rPr>
        <w:t>a</w:t>
      </w:r>
      <w:r>
        <w:rPr>
          <w:color w:val="231F20"/>
          <w:spacing w:val="-22"/>
          <w:sz w:val="19"/>
        </w:rPr>
        <w:t> </w:t>
      </w:r>
      <w:r>
        <w:rPr>
          <w:color w:val="231F20"/>
          <w:spacing w:val="-3"/>
          <w:sz w:val="19"/>
        </w:rPr>
        <w:t>questo,</w:t>
      </w:r>
      <w:r>
        <w:rPr>
          <w:color w:val="231F20"/>
          <w:spacing w:val="-22"/>
          <w:sz w:val="19"/>
        </w:rPr>
        <w:t> </w:t>
      </w:r>
      <w:r>
        <w:rPr>
          <w:color w:val="231F20"/>
          <w:spacing w:val="-3"/>
          <w:sz w:val="19"/>
        </w:rPr>
        <w:t>autorizza</w:t>
      </w:r>
      <w:r>
        <w:rPr>
          <w:color w:val="231F20"/>
          <w:spacing w:val="-22"/>
          <w:sz w:val="19"/>
        </w:rPr>
        <w:t> </w:t>
      </w:r>
      <w:r>
        <w:rPr>
          <w:color w:val="231F20"/>
          <w:spacing w:val="-3"/>
          <w:sz w:val="19"/>
        </w:rPr>
        <w:t>anche</w:t>
      </w:r>
      <w:r>
        <w:rPr>
          <w:color w:val="231F20"/>
          <w:spacing w:val="-22"/>
          <w:sz w:val="19"/>
        </w:rPr>
        <w:t> </w:t>
      </w:r>
      <w:r>
        <w:rPr>
          <w:color w:val="231F20"/>
          <w:spacing w:val="-3"/>
          <w:sz w:val="19"/>
        </w:rPr>
        <w:t>la detenzione</w:t>
      </w:r>
      <w:r>
        <w:rPr>
          <w:color w:val="231F20"/>
          <w:spacing w:val="-13"/>
          <w:sz w:val="19"/>
        </w:rPr>
        <w:t> </w:t>
      </w:r>
      <w:r>
        <w:rPr>
          <w:color w:val="231F20"/>
          <w:sz w:val="19"/>
        </w:rPr>
        <w:t>di</w:t>
      </w:r>
      <w:r>
        <w:rPr>
          <w:color w:val="231F20"/>
          <w:spacing w:val="-13"/>
          <w:sz w:val="19"/>
        </w:rPr>
        <w:t> </w:t>
      </w:r>
      <w:r>
        <w:rPr>
          <w:color w:val="231F20"/>
          <w:spacing w:val="-3"/>
          <w:sz w:val="19"/>
        </w:rPr>
        <w:t>ogni</w:t>
      </w:r>
      <w:r>
        <w:rPr>
          <w:color w:val="231F20"/>
          <w:spacing w:val="-13"/>
          <w:sz w:val="19"/>
        </w:rPr>
        <w:t> </w:t>
      </w:r>
      <w:r>
        <w:rPr>
          <w:color w:val="231F20"/>
          <w:spacing w:val="-3"/>
          <w:sz w:val="19"/>
        </w:rPr>
        <w:t>persona</w:t>
      </w:r>
      <w:r>
        <w:rPr>
          <w:color w:val="231F20"/>
          <w:spacing w:val="-13"/>
          <w:sz w:val="19"/>
        </w:rPr>
        <w:t> </w:t>
      </w:r>
      <w:r>
        <w:rPr>
          <w:color w:val="231F20"/>
          <w:spacing w:val="-3"/>
          <w:sz w:val="19"/>
        </w:rPr>
        <w:t>sospetta</w:t>
      </w:r>
      <w:r>
        <w:rPr>
          <w:color w:val="231F20"/>
          <w:spacing w:val="-13"/>
          <w:sz w:val="19"/>
        </w:rPr>
        <w:t> </w:t>
      </w:r>
      <w:r>
        <w:rPr>
          <w:color w:val="231F20"/>
          <w:sz w:val="19"/>
        </w:rPr>
        <w:t>di</w:t>
      </w:r>
      <w:r>
        <w:rPr>
          <w:color w:val="231F20"/>
          <w:spacing w:val="-13"/>
          <w:sz w:val="19"/>
        </w:rPr>
        <w:t> </w:t>
      </w:r>
      <w:r>
        <w:rPr>
          <w:color w:val="231F20"/>
          <w:spacing w:val="-3"/>
          <w:sz w:val="19"/>
        </w:rPr>
        <w:t>mettere</w:t>
      </w:r>
      <w:r>
        <w:rPr>
          <w:color w:val="231F20"/>
          <w:spacing w:val="-13"/>
          <w:sz w:val="19"/>
        </w:rPr>
        <w:t> </w:t>
      </w:r>
      <w:r>
        <w:rPr>
          <w:color w:val="231F20"/>
          <w:sz w:val="19"/>
        </w:rPr>
        <w:t>a</w:t>
      </w:r>
      <w:r>
        <w:rPr>
          <w:color w:val="231F20"/>
          <w:spacing w:val="-13"/>
          <w:sz w:val="19"/>
        </w:rPr>
        <w:t> </w:t>
      </w:r>
      <w:r>
        <w:rPr>
          <w:color w:val="231F20"/>
          <w:spacing w:val="-3"/>
          <w:sz w:val="19"/>
        </w:rPr>
        <w:t>rischio</w:t>
      </w:r>
      <w:r>
        <w:rPr>
          <w:color w:val="231F20"/>
          <w:spacing w:val="-13"/>
          <w:sz w:val="19"/>
        </w:rPr>
        <w:t> </w:t>
      </w:r>
      <w:r>
        <w:rPr>
          <w:color w:val="231F20"/>
          <w:sz w:val="19"/>
        </w:rPr>
        <w:t>la</w:t>
      </w:r>
      <w:r>
        <w:rPr>
          <w:color w:val="231F20"/>
          <w:spacing w:val="-13"/>
          <w:sz w:val="19"/>
        </w:rPr>
        <w:t> </w:t>
      </w:r>
      <w:r>
        <w:rPr>
          <w:color w:val="231F20"/>
          <w:spacing w:val="-4"/>
          <w:sz w:val="19"/>
        </w:rPr>
        <w:t>sicurezza </w:t>
      </w:r>
      <w:r>
        <w:rPr>
          <w:color w:val="231F20"/>
          <w:sz w:val="19"/>
        </w:rPr>
        <w:t>nazionale a partire del suo profilo etnico. […] Si calcola che più  di 12,000 stranieri imprigionati in gran segreto e sottoposti a un regime d’isolamento, con interrogatori e abusi fisici o psicologici  e senza diritto a un avvocato, sono stati messi in libertà senza accusa ed espulsi dal paese. Le misure adottate a partire della Patriot Act sono state completate da quelle imposte dalla </w:t>
      </w:r>
      <w:r>
        <w:rPr>
          <w:rFonts w:ascii="Arial" w:hAnsi="Arial"/>
          <w:i/>
          <w:color w:val="231F20"/>
          <w:sz w:val="19"/>
        </w:rPr>
        <w:t>Military </w:t>
      </w:r>
      <w:r>
        <w:rPr>
          <w:rFonts w:ascii="Arial" w:hAnsi="Arial"/>
          <w:i/>
          <w:color w:val="231F20"/>
          <w:sz w:val="19"/>
        </w:rPr>
        <w:t>Order</w:t>
      </w:r>
      <w:r>
        <w:rPr>
          <w:color w:val="231F20"/>
          <w:sz w:val="19"/>
        </w:rPr>
        <w:t>, un’ordine del presidente Bush che permette di sottoporre ai</w:t>
      </w:r>
      <w:r>
        <w:rPr>
          <w:color w:val="231F20"/>
          <w:spacing w:val="-7"/>
          <w:sz w:val="19"/>
        </w:rPr>
        <w:t> </w:t>
      </w:r>
      <w:r>
        <w:rPr>
          <w:color w:val="231F20"/>
          <w:sz w:val="19"/>
        </w:rPr>
        <w:t>non-cittadini</w:t>
      </w:r>
      <w:r>
        <w:rPr>
          <w:color w:val="231F20"/>
          <w:spacing w:val="-7"/>
          <w:sz w:val="19"/>
        </w:rPr>
        <w:t> </w:t>
      </w:r>
      <w:r>
        <w:rPr>
          <w:color w:val="231F20"/>
          <w:sz w:val="19"/>
        </w:rPr>
        <w:t>nordamericani,</w:t>
      </w:r>
      <w:r>
        <w:rPr>
          <w:color w:val="231F20"/>
          <w:spacing w:val="-7"/>
          <w:sz w:val="19"/>
        </w:rPr>
        <w:t> </w:t>
      </w:r>
      <w:r>
        <w:rPr>
          <w:color w:val="231F20"/>
          <w:sz w:val="19"/>
        </w:rPr>
        <w:t>sospettati</w:t>
      </w:r>
      <w:r>
        <w:rPr>
          <w:color w:val="231F20"/>
          <w:spacing w:val="-7"/>
          <w:sz w:val="19"/>
        </w:rPr>
        <w:t> </w:t>
      </w:r>
      <w:r>
        <w:rPr>
          <w:color w:val="231F20"/>
          <w:sz w:val="19"/>
        </w:rPr>
        <w:t>di</w:t>
      </w:r>
      <w:r>
        <w:rPr>
          <w:color w:val="231F20"/>
          <w:spacing w:val="-7"/>
          <w:sz w:val="19"/>
        </w:rPr>
        <w:t> </w:t>
      </w:r>
      <w:r>
        <w:rPr>
          <w:color w:val="231F20"/>
          <w:sz w:val="19"/>
        </w:rPr>
        <w:t>attività</w:t>
      </w:r>
      <w:r>
        <w:rPr>
          <w:color w:val="231F20"/>
          <w:spacing w:val="-7"/>
          <w:sz w:val="19"/>
        </w:rPr>
        <w:t> </w:t>
      </w:r>
      <w:r>
        <w:rPr>
          <w:color w:val="231F20"/>
          <w:sz w:val="19"/>
        </w:rPr>
        <w:t>terroristiche,</w:t>
      </w:r>
      <w:r>
        <w:rPr>
          <w:color w:val="231F20"/>
          <w:spacing w:val="-7"/>
          <w:sz w:val="19"/>
        </w:rPr>
        <w:t> </w:t>
      </w:r>
      <w:r>
        <w:rPr>
          <w:color w:val="231F20"/>
          <w:sz w:val="19"/>
        </w:rPr>
        <w:t>a giurisdizioni</w:t>
      </w:r>
      <w:r>
        <w:rPr>
          <w:color w:val="231F20"/>
          <w:spacing w:val="-12"/>
          <w:sz w:val="19"/>
        </w:rPr>
        <w:t> </w:t>
      </w:r>
      <w:r>
        <w:rPr>
          <w:color w:val="231F20"/>
          <w:sz w:val="19"/>
        </w:rPr>
        <w:t>speciali</w:t>
      </w:r>
      <w:r>
        <w:rPr>
          <w:color w:val="231F20"/>
          <w:spacing w:val="-12"/>
          <w:sz w:val="19"/>
        </w:rPr>
        <w:t> </w:t>
      </w:r>
      <w:r>
        <w:rPr>
          <w:color w:val="231F20"/>
          <w:sz w:val="19"/>
        </w:rPr>
        <w:t>e</w:t>
      </w:r>
      <w:r>
        <w:rPr>
          <w:color w:val="231F20"/>
          <w:spacing w:val="-12"/>
          <w:sz w:val="19"/>
        </w:rPr>
        <w:t> </w:t>
      </w:r>
      <w:r>
        <w:rPr>
          <w:color w:val="231F20"/>
          <w:sz w:val="19"/>
        </w:rPr>
        <w:t>detenzioni</w:t>
      </w:r>
      <w:r>
        <w:rPr>
          <w:color w:val="231F20"/>
          <w:spacing w:val="-12"/>
          <w:sz w:val="19"/>
        </w:rPr>
        <w:t> </w:t>
      </w:r>
      <w:r>
        <w:rPr>
          <w:color w:val="231F20"/>
          <w:sz w:val="19"/>
        </w:rPr>
        <w:t>a</w:t>
      </w:r>
      <w:r>
        <w:rPr>
          <w:color w:val="231F20"/>
          <w:spacing w:val="-12"/>
          <w:sz w:val="19"/>
        </w:rPr>
        <w:t> </w:t>
      </w:r>
      <w:r>
        <w:rPr>
          <w:color w:val="231F20"/>
          <w:sz w:val="19"/>
        </w:rPr>
        <w:t>tempo</w:t>
      </w:r>
      <w:r>
        <w:rPr>
          <w:color w:val="231F20"/>
          <w:spacing w:val="-12"/>
          <w:sz w:val="19"/>
        </w:rPr>
        <w:t> </w:t>
      </w:r>
      <w:r>
        <w:rPr>
          <w:color w:val="231F20"/>
          <w:sz w:val="19"/>
        </w:rPr>
        <w:t>indeterminato.</w:t>
      </w:r>
      <w:r>
        <w:rPr>
          <w:color w:val="231F20"/>
          <w:spacing w:val="-12"/>
          <w:sz w:val="19"/>
        </w:rPr>
        <w:t> </w:t>
      </w:r>
      <w:r>
        <w:rPr>
          <w:color w:val="231F20"/>
          <w:sz w:val="19"/>
        </w:rPr>
        <w:t>La</w:t>
      </w:r>
      <w:r>
        <w:rPr>
          <w:color w:val="231F20"/>
          <w:spacing w:val="-12"/>
          <w:sz w:val="19"/>
        </w:rPr>
        <w:t> </w:t>
      </w:r>
      <w:r>
        <w:rPr>
          <w:color w:val="231F20"/>
          <w:sz w:val="19"/>
        </w:rPr>
        <w:t>novità di</w:t>
      </w:r>
      <w:r>
        <w:rPr>
          <w:color w:val="231F20"/>
          <w:spacing w:val="-8"/>
          <w:sz w:val="19"/>
        </w:rPr>
        <w:t> </w:t>
      </w:r>
      <w:r>
        <w:rPr>
          <w:color w:val="231F20"/>
          <w:sz w:val="19"/>
        </w:rPr>
        <w:t>tale</w:t>
      </w:r>
      <w:r>
        <w:rPr>
          <w:color w:val="231F20"/>
          <w:spacing w:val="-8"/>
          <w:sz w:val="19"/>
        </w:rPr>
        <w:t> </w:t>
      </w:r>
      <w:r>
        <w:rPr>
          <w:color w:val="231F20"/>
          <w:sz w:val="19"/>
        </w:rPr>
        <w:t>provvedimento</w:t>
      </w:r>
      <w:r>
        <w:rPr>
          <w:color w:val="231F20"/>
          <w:spacing w:val="-8"/>
          <w:sz w:val="19"/>
        </w:rPr>
        <w:t> </w:t>
      </w:r>
      <w:r>
        <w:rPr>
          <w:color w:val="231F20"/>
          <w:sz w:val="19"/>
        </w:rPr>
        <w:t>consiste</w:t>
      </w:r>
      <w:r>
        <w:rPr>
          <w:color w:val="231F20"/>
          <w:spacing w:val="-8"/>
          <w:sz w:val="19"/>
        </w:rPr>
        <w:t> </w:t>
      </w:r>
      <w:r>
        <w:rPr>
          <w:color w:val="231F20"/>
          <w:sz w:val="19"/>
        </w:rPr>
        <w:t>nel</w:t>
      </w:r>
      <w:r>
        <w:rPr>
          <w:color w:val="231F20"/>
          <w:spacing w:val="-8"/>
          <w:sz w:val="19"/>
        </w:rPr>
        <w:t> </w:t>
      </w:r>
      <w:r>
        <w:rPr>
          <w:color w:val="231F20"/>
          <w:sz w:val="19"/>
        </w:rPr>
        <w:t>creare</w:t>
      </w:r>
      <w:r>
        <w:rPr>
          <w:color w:val="231F20"/>
          <w:spacing w:val="-8"/>
          <w:sz w:val="19"/>
        </w:rPr>
        <w:t> </w:t>
      </w:r>
      <w:r>
        <w:rPr>
          <w:color w:val="231F20"/>
          <w:sz w:val="19"/>
        </w:rPr>
        <w:t>un’autentica</w:t>
      </w:r>
      <w:r>
        <w:rPr>
          <w:color w:val="231F20"/>
          <w:spacing w:val="-8"/>
          <w:sz w:val="19"/>
        </w:rPr>
        <w:t> </w:t>
      </w:r>
      <w:r>
        <w:rPr>
          <w:color w:val="231F20"/>
          <w:sz w:val="19"/>
        </w:rPr>
        <w:t>zona</w:t>
      </w:r>
      <w:r>
        <w:rPr>
          <w:color w:val="231F20"/>
          <w:spacing w:val="-8"/>
          <w:sz w:val="19"/>
        </w:rPr>
        <w:t> </w:t>
      </w:r>
      <w:r>
        <w:rPr>
          <w:color w:val="231F20"/>
          <w:sz w:val="19"/>
        </w:rPr>
        <w:t>di</w:t>
      </w:r>
      <w:r>
        <w:rPr>
          <w:color w:val="231F20"/>
          <w:spacing w:val="-8"/>
          <w:sz w:val="19"/>
        </w:rPr>
        <w:t> </w:t>
      </w:r>
      <w:r>
        <w:rPr>
          <w:color w:val="231F20"/>
          <w:sz w:val="19"/>
        </w:rPr>
        <w:t>non diritto per gli stranieri accusati di</w:t>
      </w:r>
      <w:r>
        <w:rPr>
          <w:color w:val="231F20"/>
          <w:spacing w:val="-12"/>
          <w:sz w:val="19"/>
        </w:rPr>
        <w:t> </w:t>
      </w:r>
      <w:r>
        <w:rPr>
          <w:color w:val="231F20"/>
          <w:sz w:val="19"/>
        </w:rPr>
        <w:t>terrorismo</w:t>
      </w:r>
      <w:r>
        <w:rPr>
          <w:color w:val="231F20"/>
          <w:position w:val="6"/>
          <w:sz w:val="11"/>
        </w:rPr>
        <w:t>11</w:t>
      </w:r>
      <w:r>
        <w:rPr>
          <w:color w:val="231F20"/>
          <w:sz w:val="19"/>
        </w:rPr>
        <w:t>.</w:t>
      </w:r>
    </w:p>
    <w:p>
      <w:pPr>
        <w:pStyle w:val="BodyText"/>
        <w:spacing w:before="11"/>
        <w:rPr>
          <w:sz w:val="23"/>
        </w:rPr>
      </w:pPr>
    </w:p>
    <w:p>
      <w:pPr>
        <w:pStyle w:val="BodyText"/>
        <w:spacing w:line="247" w:lineRule="auto"/>
        <w:ind w:left="117" w:right="119"/>
        <w:jc w:val="both"/>
      </w:pPr>
      <w:r>
        <w:rPr>
          <w:color w:val="231F20"/>
        </w:rPr>
        <w:t>Altre misure che ha stipolato questa legge, come abbiamo detto prima, </w:t>
      </w:r>
      <w:r>
        <w:rPr>
          <w:color w:val="231F20"/>
          <w:spacing w:val="4"/>
        </w:rPr>
        <w:t>sono</w:t>
      </w:r>
      <w:r>
        <w:rPr>
          <w:color w:val="231F20"/>
          <w:spacing w:val="57"/>
        </w:rPr>
        <w:t> </w:t>
      </w:r>
      <w:r>
        <w:rPr>
          <w:color w:val="231F20"/>
          <w:spacing w:val="4"/>
        </w:rPr>
        <w:t>una</w:t>
      </w:r>
      <w:r>
        <w:rPr>
          <w:color w:val="231F20"/>
          <w:spacing w:val="57"/>
        </w:rPr>
        <w:t> </w:t>
      </w:r>
      <w:r>
        <w:rPr>
          <w:color w:val="231F20"/>
          <w:spacing w:val="4"/>
        </w:rPr>
        <w:t>serie</w:t>
      </w:r>
      <w:r>
        <w:rPr>
          <w:color w:val="231F20"/>
          <w:spacing w:val="57"/>
        </w:rPr>
        <w:t> </w:t>
      </w:r>
      <w:r>
        <w:rPr>
          <w:color w:val="231F20"/>
          <w:spacing w:val="3"/>
        </w:rPr>
        <w:t>di</w:t>
      </w:r>
      <w:r>
        <w:rPr>
          <w:color w:val="231F20"/>
          <w:spacing w:val="57"/>
        </w:rPr>
        <w:t> </w:t>
      </w:r>
      <w:r>
        <w:rPr>
          <w:color w:val="231F20"/>
          <w:spacing w:val="5"/>
        </w:rPr>
        <w:t>postulati</w:t>
      </w:r>
      <w:r>
        <w:rPr>
          <w:color w:val="231F20"/>
          <w:spacing w:val="57"/>
        </w:rPr>
        <w:t> </w:t>
      </w:r>
      <w:r>
        <w:rPr>
          <w:color w:val="231F20"/>
          <w:spacing w:val="4"/>
        </w:rPr>
        <w:t>relativi</w:t>
      </w:r>
      <w:r>
        <w:rPr>
          <w:color w:val="231F20"/>
          <w:spacing w:val="57"/>
        </w:rPr>
        <w:t> </w:t>
      </w:r>
      <w:r>
        <w:rPr>
          <w:color w:val="231F20"/>
          <w:spacing w:val="4"/>
        </w:rPr>
        <w:t>alla</w:t>
      </w:r>
      <w:r>
        <w:rPr>
          <w:color w:val="231F20"/>
          <w:spacing w:val="57"/>
        </w:rPr>
        <w:t> </w:t>
      </w:r>
      <w:r>
        <w:rPr>
          <w:color w:val="231F20"/>
          <w:spacing w:val="5"/>
        </w:rPr>
        <w:t>prevenzione</w:t>
      </w:r>
      <w:r>
        <w:rPr>
          <w:color w:val="231F20"/>
          <w:spacing w:val="57"/>
        </w:rPr>
        <w:t> </w:t>
      </w:r>
      <w:r>
        <w:rPr>
          <w:color w:val="231F20"/>
          <w:spacing w:val="4"/>
        </w:rPr>
        <w:t>del</w:t>
      </w:r>
      <w:r>
        <w:rPr>
          <w:color w:val="231F20"/>
          <w:spacing w:val="57"/>
        </w:rPr>
        <w:t> </w:t>
      </w:r>
      <w:r>
        <w:rPr>
          <w:color w:val="231F20"/>
          <w:spacing w:val="5"/>
        </w:rPr>
        <w:t>terrorismo,</w:t>
      </w:r>
    </w:p>
    <w:p>
      <w:pPr>
        <w:pStyle w:val="BodyText"/>
        <w:spacing w:before="11"/>
        <w:rPr>
          <w:sz w:val="19"/>
        </w:rPr>
      </w:pPr>
      <w:r>
        <w:rPr/>
        <w:pict>
          <v:line style="position:absolute;mso-position-horizontal-relative:page;mso-position-vertical-relative:paragraph;z-index:9304;mso-wrap-distance-left:0;mso-wrap-distance-right:0" from="70.866096pt,14.160588pt" to="184.252096pt,14.160588pt" stroked="true" strokeweight=".3pt" strokecolor="#231f20">
            <w10:wrap type="topAndBottom"/>
          </v:line>
        </w:pict>
      </w:r>
    </w:p>
    <w:p>
      <w:pPr>
        <w:spacing w:line="204" w:lineRule="exact" w:before="9"/>
        <w:ind w:left="117" w:right="122" w:firstLine="0"/>
        <w:jc w:val="both"/>
        <w:rPr>
          <w:rFonts w:ascii="Calibri" w:hAnsi="Calibri"/>
          <w:sz w:val="17"/>
        </w:rPr>
      </w:pPr>
      <w:r>
        <w:rPr>
          <w:rFonts w:ascii="Calibri" w:hAnsi="Calibri"/>
          <w:color w:val="231F20"/>
          <w:w w:val="105"/>
          <w:position w:val="6"/>
          <w:sz w:val="10"/>
        </w:rPr>
        <w:t>10</w:t>
      </w:r>
      <w:r>
        <w:rPr>
          <w:rFonts w:ascii="Calibri" w:hAnsi="Calibri"/>
          <w:color w:val="231F20"/>
          <w:spacing w:val="-3"/>
          <w:w w:val="105"/>
          <w:position w:val="6"/>
          <w:sz w:val="10"/>
        </w:rPr>
        <w:t> </w:t>
      </w:r>
      <w:r>
        <w:rPr>
          <w:rFonts w:ascii="Calibri" w:hAnsi="Calibri"/>
          <w:color w:val="231F20"/>
          <w:w w:val="105"/>
          <w:sz w:val="17"/>
        </w:rPr>
        <w:t>“La</w:t>
      </w:r>
      <w:r>
        <w:rPr>
          <w:rFonts w:ascii="Calibri" w:hAnsi="Calibri"/>
          <w:color w:val="231F20"/>
          <w:spacing w:val="-20"/>
          <w:w w:val="105"/>
          <w:sz w:val="17"/>
        </w:rPr>
        <w:t> </w:t>
      </w:r>
      <w:r>
        <w:rPr>
          <w:rFonts w:ascii="Calibri" w:hAnsi="Calibri"/>
          <w:color w:val="231F20"/>
          <w:w w:val="105"/>
          <w:sz w:val="17"/>
        </w:rPr>
        <w:t>sospensione</w:t>
      </w:r>
      <w:r>
        <w:rPr>
          <w:rFonts w:ascii="Calibri" w:hAnsi="Calibri"/>
          <w:color w:val="231F20"/>
          <w:spacing w:val="-20"/>
          <w:w w:val="105"/>
          <w:sz w:val="17"/>
        </w:rPr>
        <w:t> </w:t>
      </w:r>
      <w:r>
        <w:rPr>
          <w:rFonts w:ascii="Calibri" w:hAnsi="Calibri"/>
          <w:color w:val="231F20"/>
          <w:w w:val="105"/>
          <w:sz w:val="17"/>
        </w:rPr>
        <w:t>dei</w:t>
      </w:r>
      <w:r>
        <w:rPr>
          <w:rFonts w:ascii="Calibri" w:hAnsi="Calibri"/>
          <w:color w:val="231F20"/>
          <w:spacing w:val="-20"/>
          <w:w w:val="105"/>
          <w:sz w:val="17"/>
        </w:rPr>
        <w:t> </w:t>
      </w:r>
      <w:r>
        <w:rPr>
          <w:rFonts w:ascii="Calibri" w:hAnsi="Calibri"/>
          <w:color w:val="231F20"/>
          <w:w w:val="105"/>
          <w:sz w:val="17"/>
        </w:rPr>
        <w:t>diritti</w:t>
      </w:r>
      <w:r>
        <w:rPr>
          <w:rFonts w:ascii="Calibri" w:hAnsi="Calibri"/>
          <w:color w:val="231F20"/>
          <w:spacing w:val="-20"/>
          <w:w w:val="105"/>
          <w:sz w:val="17"/>
        </w:rPr>
        <w:t> </w:t>
      </w:r>
      <w:r>
        <w:rPr>
          <w:rFonts w:ascii="Calibri" w:hAnsi="Calibri"/>
          <w:color w:val="231F20"/>
          <w:w w:val="105"/>
          <w:sz w:val="17"/>
        </w:rPr>
        <w:t>e</w:t>
      </w:r>
      <w:r>
        <w:rPr>
          <w:rFonts w:ascii="Calibri" w:hAnsi="Calibri"/>
          <w:color w:val="231F20"/>
          <w:spacing w:val="-20"/>
          <w:w w:val="105"/>
          <w:sz w:val="17"/>
        </w:rPr>
        <w:t> </w:t>
      </w:r>
      <w:r>
        <w:rPr>
          <w:rFonts w:ascii="Calibri" w:hAnsi="Calibri"/>
          <w:color w:val="231F20"/>
          <w:w w:val="105"/>
          <w:sz w:val="17"/>
        </w:rPr>
        <w:t>garanzie</w:t>
      </w:r>
      <w:r>
        <w:rPr>
          <w:rFonts w:ascii="Calibri" w:hAnsi="Calibri"/>
          <w:color w:val="231F20"/>
          <w:spacing w:val="-20"/>
          <w:w w:val="105"/>
          <w:sz w:val="17"/>
        </w:rPr>
        <w:t> </w:t>
      </w:r>
      <w:r>
        <w:rPr>
          <w:rFonts w:ascii="Calibri" w:hAnsi="Calibri"/>
          <w:color w:val="231F20"/>
          <w:w w:val="105"/>
          <w:sz w:val="17"/>
        </w:rPr>
        <w:t>o</w:t>
      </w:r>
      <w:r>
        <w:rPr>
          <w:rFonts w:ascii="Calibri" w:hAnsi="Calibri"/>
          <w:color w:val="231F20"/>
          <w:spacing w:val="-20"/>
          <w:w w:val="105"/>
          <w:sz w:val="17"/>
        </w:rPr>
        <w:t> </w:t>
      </w:r>
      <w:r>
        <w:rPr>
          <w:rFonts w:ascii="Calibri" w:hAnsi="Calibri"/>
          <w:color w:val="231F20"/>
          <w:w w:val="105"/>
          <w:sz w:val="17"/>
        </w:rPr>
        <w:t>diritti</w:t>
      </w:r>
      <w:r>
        <w:rPr>
          <w:rFonts w:ascii="Calibri" w:hAnsi="Calibri"/>
          <w:color w:val="231F20"/>
          <w:spacing w:val="-20"/>
          <w:w w:val="105"/>
          <w:sz w:val="17"/>
        </w:rPr>
        <w:t> </w:t>
      </w:r>
      <w:r>
        <w:rPr>
          <w:rFonts w:ascii="Calibri" w:hAnsi="Calibri"/>
          <w:color w:val="231F20"/>
          <w:w w:val="105"/>
          <w:sz w:val="17"/>
        </w:rPr>
        <w:t>di</w:t>
      </w:r>
      <w:r>
        <w:rPr>
          <w:rFonts w:ascii="Calibri" w:hAnsi="Calibri"/>
          <w:color w:val="231F20"/>
          <w:spacing w:val="-20"/>
          <w:w w:val="105"/>
          <w:sz w:val="17"/>
        </w:rPr>
        <w:t> </w:t>
      </w:r>
      <w:r>
        <w:rPr>
          <w:rFonts w:ascii="Calibri" w:hAnsi="Calibri"/>
          <w:color w:val="231F20"/>
          <w:w w:val="105"/>
          <w:sz w:val="17"/>
        </w:rPr>
        <w:t>deroga</w:t>
      </w:r>
      <w:r>
        <w:rPr>
          <w:rFonts w:ascii="Calibri" w:hAnsi="Calibri"/>
          <w:color w:val="231F20"/>
          <w:spacing w:val="-20"/>
          <w:w w:val="105"/>
          <w:sz w:val="17"/>
        </w:rPr>
        <w:t> </w:t>
      </w:r>
      <w:r>
        <w:rPr>
          <w:rFonts w:ascii="Calibri" w:hAnsi="Calibri"/>
          <w:color w:val="231F20"/>
          <w:spacing w:val="-3"/>
          <w:w w:val="105"/>
          <w:sz w:val="17"/>
        </w:rPr>
        <w:t>—com’è</w:t>
      </w:r>
      <w:r>
        <w:rPr>
          <w:rFonts w:ascii="Calibri" w:hAnsi="Calibri"/>
          <w:color w:val="231F20"/>
          <w:spacing w:val="-20"/>
          <w:w w:val="105"/>
          <w:sz w:val="17"/>
        </w:rPr>
        <w:t> </w:t>
      </w:r>
      <w:r>
        <w:rPr>
          <w:rFonts w:ascii="Calibri" w:hAnsi="Calibri"/>
          <w:color w:val="231F20"/>
          <w:w w:val="105"/>
          <w:sz w:val="17"/>
        </w:rPr>
        <w:t>conosciuta</w:t>
      </w:r>
      <w:r>
        <w:rPr>
          <w:rFonts w:ascii="Calibri" w:hAnsi="Calibri"/>
          <w:color w:val="231F20"/>
          <w:spacing w:val="-20"/>
          <w:w w:val="105"/>
          <w:sz w:val="17"/>
        </w:rPr>
        <w:t> </w:t>
      </w:r>
      <w:r>
        <w:rPr>
          <w:rFonts w:ascii="Calibri" w:hAnsi="Calibri"/>
          <w:color w:val="231F20"/>
          <w:spacing w:val="-3"/>
          <w:w w:val="105"/>
          <w:sz w:val="17"/>
        </w:rPr>
        <w:t>nell’ambito</w:t>
      </w:r>
      <w:r>
        <w:rPr>
          <w:rFonts w:ascii="Calibri" w:hAnsi="Calibri"/>
          <w:color w:val="231F20"/>
          <w:spacing w:val="-20"/>
          <w:w w:val="105"/>
          <w:sz w:val="17"/>
        </w:rPr>
        <w:t> </w:t>
      </w:r>
      <w:r>
        <w:rPr>
          <w:rFonts w:ascii="Calibri" w:hAnsi="Calibri"/>
          <w:color w:val="231F20"/>
          <w:spacing w:val="-3"/>
          <w:w w:val="105"/>
          <w:sz w:val="17"/>
        </w:rPr>
        <w:t>europeo— </w:t>
      </w:r>
      <w:r>
        <w:rPr>
          <w:rFonts w:ascii="Calibri" w:hAnsi="Calibri"/>
          <w:color w:val="231F20"/>
          <w:w w:val="105"/>
          <w:sz w:val="17"/>
        </w:rPr>
        <w:t>la</w:t>
      </w:r>
      <w:r>
        <w:rPr>
          <w:rFonts w:ascii="Calibri" w:hAnsi="Calibri"/>
          <w:color w:val="231F20"/>
          <w:spacing w:val="-7"/>
          <w:w w:val="105"/>
          <w:sz w:val="17"/>
        </w:rPr>
        <w:t> </w:t>
      </w:r>
      <w:r>
        <w:rPr>
          <w:rFonts w:ascii="Calibri" w:hAnsi="Calibri"/>
          <w:color w:val="231F20"/>
          <w:w w:val="105"/>
          <w:sz w:val="17"/>
        </w:rPr>
        <w:t>possiamo</w:t>
      </w:r>
      <w:r>
        <w:rPr>
          <w:rFonts w:ascii="Calibri" w:hAnsi="Calibri"/>
          <w:color w:val="231F20"/>
          <w:spacing w:val="-7"/>
          <w:w w:val="105"/>
          <w:sz w:val="17"/>
        </w:rPr>
        <w:t> </w:t>
      </w:r>
      <w:r>
        <w:rPr>
          <w:rFonts w:ascii="Calibri" w:hAnsi="Calibri"/>
          <w:color w:val="231F20"/>
          <w:w w:val="105"/>
          <w:sz w:val="17"/>
        </w:rPr>
        <w:t>definire</w:t>
      </w:r>
      <w:r>
        <w:rPr>
          <w:rFonts w:ascii="Calibri" w:hAnsi="Calibri"/>
          <w:color w:val="231F20"/>
          <w:spacing w:val="-7"/>
          <w:w w:val="105"/>
          <w:sz w:val="17"/>
        </w:rPr>
        <w:t> </w:t>
      </w:r>
      <w:r>
        <w:rPr>
          <w:rFonts w:ascii="Calibri" w:hAnsi="Calibri"/>
          <w:color w:val="231F20"/>
          <w:w w:val="105"/>
          <w:sz w:val="17"/>
        </w:rPr>
        <w:t>come</w:t>
      </w:r>
      <w:r>
        <w:rPr>
          <w:rFonts w:ascii="Calibri" w:hAnsi="Calibri"/>
          <w:color w:val="231F20"/>
          <w:spacing w:val="-7"/>
          <w:w w:val="105"/>
          <w:sz w:val="17"/>
        </w:rPr>
        <w:t> </w:t>
      </w:r>
      <w:r>
        <w:rPr>
          <w:rFonts w:ascii="Calibri" w:hAnsi="Calibri"/>
          <w:color w:val="231F20"/>
          <w:w w:val="105"/>
          <w:sz w:val="17"/>
        </w:rPr>
        <w:t>una</w:t>
      </w:r>
      <w:r>
        <w:rPr>
          <w:rFonts w:ascii="Calibri" w:hAnsi="Calibri"/>
          <w:color w:val="231F20"/>
          <w:spacing w:val="-7"/>
          <w:w w:val="105"/>
          <w:sz w:val="17"/>
        </w:rPr>
        <w:t> </w:t>
      </w:r>
      <w:r>
        <w:rPr>
          <w:rFonts w:ascii="Calibri" w:hAnsi="Calibri"/>
          <w:color w:val="231F20"/>
          <w:w w:val="105"/>
          <w:sz w:val="17"/>
        </w:rPr>
        <w:t>istituzione</w:t>
      </w:r>
      <w:r>
        <w:rPr>
          <w:rFonts w:ascii="Calibri" w:hAnsi="Calibri"/>
          <w:color w:val="231F20"/>
          <w:spacing w:val="-7"/>
          <w:w w:val="105"/>
          <w:sz w:val="17"/>
        </w:rPr>
        <w:t> </w:t>
      </w:r>
      <w:r>
        <w:rPr>
          <w:rFonts w:ascii="Calibri" w:hAnsi="Calibri"/>
          <w:color w:val="231F20"/>
          <w:w w:val="105"/>
          <w:sz w:val="17"/>
        </w:rPr>
        <w:t>giuridica</w:t>
      </w:r>
      <w:r>
        <w:rPr>
          <w:rFonts w:ascii="Calibri" w:hAnsi="Calibri"/>
          <w:color w:val="231F20"/>
          <w:spacing w:val="-7"/>
          <w:w w:val="105"/>
          <w:sz w:val="17"/>
        </w:rPr>
        <w:t> </w:t>
      </w:r>
      <w:r>
        <w:rPr>
          <w:rFonts w:ascii="Calibri" w:hAnsi="Calibri"/>
          <w:color w:val="231F20"/>
          <w:w w:val="105"/>
          <w:sz w:val="17"/>
        </w:rPr>
        <w:t>che</w:t>
      </w:r>
      <w:r>
        <w:rPr>
          <w:rFonts w:ascii="Calibri" w:hAnsi="Calibri"/>
          <w:color w:val="231F20"/>
          <w:spacing w:val="-7"/>
          <w:w w:val="105"/>
          <w:sz w:val="17"/>
        </w:rPr>
        <w:t> </w:t>
      </w:r>
      <w:r>
        <w:rPr>
          <w:rFonts w:ascii="Calibri" w:hAnsi="Calibri"/>
          <w:color w:val="231F20"/>
          <w:w w:val="105"/>
          <w:sz w:val="17"/>
        </w:rPr>
        <w:t>ha</w:t>
      </w:r>
      <w:r>
        <w:rPr>
          <w:rFonts w:ascii="Calibri" w:hAnsi="Calibri"/>
          <w:color w:val="231F20"/>
          <w:spacing w:val="-7"/>
          <w:w w:val="105"/>
          <w:sz w:val="17"/>
        </w:rPr>
        <w:t> </w:t>
      </w:r>
      <w:r>
        <w:rPr>
          <w:rFonts w:ascii="Calibri" w:hAnsi="Calibri"/>
          <w:color w:val="231F20"/>
          <w:w w:val="105"/>
          <w:sz w:val="17"/>
        </w:rPr>
        <w:t>come</w:t>
      </w:r>
      <w:r>
        <w:rPr>
          <w:rFonts w:ascii="Calibri" w:hAnsi="Calibri"/>
          <w:color w:val="231F20"/>
          <w:spacing w:val="-7"/>
          <w:w w:val="105"/>
          <w:sz w:val="17"/>
        </w:rPr>
        <w:t> </w:t>
      </w:r>
      <w:r>
        <w:rPr>
          <w:rFonts w:ascii="Calibri" w:hAnsi="Calibri"/>
          <w:color w:val="231F20"/>
          <w:w w:val="105"/>
          <w:sz w:val="17"/>
        </w:rPr>
        <w:t>obiettivo</w:t>
      </w:r>
      <w:r>
        <w:rPr>
          <w:rFonts w:ascii="Calibri" w:hAnsi="Calibri"/>
          <w:color w:val="231F20"/>
          <w:spacing w:val="-7"/>
          <w:w w:val="105"/>
          <w:sz w:val="17"/>
        </w:rPr>
        <w:t> </w:t>
      </w:r>
      <w:r>
        <w:rPr>
          <w:rFonts w:ascii="Calibri" w:hAnsi="Calibri"/>
          <w:color w:val="231F20"/>
          <w:spacing w:val="-3"/>
          <w:w w:val="105"/>
          <w:sz w:val="17"/>
        </w:rPr>
        <w:t>restringere</w:t>
      </w:r>
      <w:r>
        <w:rPr>
          <w:rFonts w:ascii="Calibri" w:hAnsi="Calibri"/>
          <w:color w:val="231F20"/>
          <w:spacing w:val="-7"/>
          <w:w w:val="105"/>
          <w:sz w:val="17"/>
        </w:rPr>
        <w:t> </w:t>
      </w:r>
      <w:r>
        <w:rPr>
          <w:rFonts w:ascii="Calibri" w:hAnsi="Calibri"/>
          <w:color w:val="231F20"/>
          <w:w w:val="105"/>
          <w:sz w:val="17"/>
        </w:rPr>
        <w:t>o</w:t>
      </w:r>
      <w:r>
        <w:rPr>
          <w:rFonts w:ascii="Calibri" w:hAnsi="Calibri"/>
          <w:color w:val="231F20"/>
          <w:spacing w:val="-7"/>
          <w:w w:val="105"/>
          <w:sz w:val="17"/>
        </w:rPr>
        <w:t> </w:t>
      </w:r>
      <w:r>
        <w:rPr>
          <w:rFonts w:ascii="Calibri" w:hAnsi="Calibri"/>
          <w:color w:val="231F20"/>
          <w:w w:val="105"/>
          <w:sz w:val="17"/>
        </w:rPr>
        <w:t>limitare</w:t>
      </w:r>
      <w:r>
        <w:rPr>
          <w:rFonts w:ascii="Calibri" w:hAnsi="Calibri"/>
          <w:color w:val="231F20"/>
          <w:spacing w:val="-7"/>
          <w:w w:val="105"/>
          <w:sz w:val="17"/>
        </w:rPr>
        <w:t> </w:t>
      </w:r>
      <w:r>
        <w:rPr>
          <w:rFonts w:ascii="Calibri" w:hAnsi="Calibri"/>
          <w:color w:val="231F20"/>
          <w:w w:val="105"/>
          <w:sz w:val="17"/>
        </w:rPr>
        <w:t>il godimento</w:t>
      </w:r>
      <w:r>
        <w:rPr>
          <w:rFonts w:ascii="Calibri" w:hAnsi="Calibri"/>
          <w:color w:val="231F20"/>
          <w:spacing w:val="-10"/>
          <w:w w:val="105"/>
          <w:sz w:val="17"/>
        </w:rPr>
        <w:t> </w:t>
      </w:r>
      <w:r>
        <w:rPr>
          <w:rFonts w:ascii="Calibri" w:hAnsi="Calibri"/>
          <w:color w:val="231F20"/>
          <w:w w:val="105"/>
          <w:sz w:val="17"/>
        </w:rPr>
        <w:t>di</w:t>
      </w:r>
      <w:r>
        <w:rPr>
          <w:rFonts w:ascii="Calibri" w:hAnsi="Calibri"/>
          <w:color w:val="231F20"/>
          <w:spacing w:val="-10"/>
          <w:w w:val="105"/>
          <w:sz w:val="17"/>
        </w:rPr>
        <w:t> </w:t>
      </w:r>
      <w:r>
        <w:rPr>
          <w:rFonts w:ascii="Calibri" w:hAnsi="Calibri"/>
          <w:color w:val="231F20"/>
          <w:w w:val="105"/>
          <w:sz w:val="17"/>
        </w:rPr>
        <w:t>certi</w:t>
      </w:r>
      <w:r>
        <w:rPr>
          <w:rFonts w:ascii="Calibri" w:hAnsi="Calibri"/>
          <w:color w:val="231F20"/>
          <w:spacing w:val="-10"/>
          <w:w w:val="105"/>
          <w:sz w:val="17"/>
        </w:rPr>
        <w:t> </w:t>
      </w:r>
      <w:r>
        <w:rPr>
          <w:rFonts w:ascii="Calibri" w:hAnsi="Calibri"/>
          <w:color w:val="231F20"/>
          <w:w w:val="105"/>
          <w:sz w:val="17"/>
        </w:rPr>
        <w:t>diritti</w:t>
      </w:r>
      <w:r>
        <w:rPr>
          <w:rFonts w:ascii="Calibri" w:hAnsi="Calibri"/>
          <w:color w:val="231F20"/>
          <w:spacing w:val="-10"/>
          <w:w w:val="105"/>
          <w:sz w:val="17"/>
        </w:rPr>
        <w:t> </w:t>
      </w:r>
      <w:r>
        <w:rPr>
          <w:rFonts w:ascii="Calibri" w:hAnsi="Calibri"/>
          <w:color w:val="231F20"/>
          <w:spacing w:val="-3"/>
          <w:w w:val="105"/>
          <w:sz w:val="17"/>
        </w:rPr>
        <w:t>fondamentali</w:t>
      </w:r>
      <w:r>
        <w:rPr>
          <w:rFonts w:ascii="Calibri" w:hAnsi="Calibri"/>
          <w:color w:val="231F20"/>
          <w:spacing w:val="-10"/>
          <w:w w:val="105"/>
          <w:sz w:val="17"/>
        </w:rPr>
        <w:t> </w:t>
      </w:r>
      <w:r>
        <w:rPr>
          <w:rFonts w:ascii="Calibri" w:hAnsi="Calibri"/>
          <w:color w:val="231F20"/>
          <w:w w:val="105"/>
          <w:sz w:val="17"/>
        </w:rPr>
        <w:t>relazionati</w:t>
      </w:r>
      <w:r>
        <w:rPr>
          <w:rFonts w:ascii="Calibri" w:hAnsi="Calibri"/>
          <w:color w:val="231F20"/>
          <w:spacing w:val="-10"/>
          <w:w w:val="105"/>
          <w:sz w:val="17"/>
        </w:rPr>
        <w:t> </w:t>
      </w:r>
      <w:r>
        <w:rPr>
          <w:rFonts w:ascii="Calibri" w:hAnsi="Calibri"/>
          <w:color w:val="231F20"/>
          <w:w w:val="105"/>
          <w:sz w:val="17"/>
        </w:rPr>
        <w:t>essenzialmente</w:t>
      </w:r>
      <w:r>
        <w:rPr>
          <w:rFonts w:ascii="Calibri" w:hAnsi="Calibri"/>
          <w:color w:val="231F20"/>
          <w:spacing w:val="-10"/>
          <w:w w:val="105"/>
          <w:sz w:val="17"/>
        </w:rPr>
        <w:t> </w:t>
      </w:r>
      <w:r>
        <w:rPr>
          <w:rFonts w:ascii="Calibri" w:hAnsi="Calibri"/>
          <w:color w:val="231F20"/>
          <w:w w:val="105"/>
          <w:sz w:val="17"/>
        </w:rPr>
        <w:t>con</w:t>
      </w:r>
      <w:r>
        <w:rPr>
          <w:rFonts w:ascii="Calibri" w:hAnsi="Calibri"/>
          <w:color w:val="231F20"/>
          <w:spacing w:val="-10"/>
          <w:w w:val="105"/>
          <w:sz w:val="17"/>
        </w:rPr>
        <w:t> </w:t>
      </w:r>
      <w:r>
        <w:rPr>
          <w:rFonts w:ascii="Calibri" w:hAnsi="Calibri"/>
          <w:color w:val="231F20"/>
          <w:w w:val="105"/>
          <w:sz w:val="17"/>
        </w:rPr>
        <w:t>il</w:t>
      </w:r>
      <w:r>
        <w:rPr>
          <w:rFonts w:ascii="Calibri" w:hAnsi="Calibri"/>
          <w:color w:val="231F20"/>
          <w:spacing w:val="-10"/>
          <w:w w:val="105"/>
          <w:sz w:val="17"/>
        </w:rPr>
        <w:t> </w:t>
      </w:r>
      <w:r>
        <w:rPr>
          <w:rFonts w:ascii="Calibri" w:hAnsi="Calibri"/>
          <w:color w:val="231F20"/>
          <w:spacing w:val="-2"/>
          <w:w w:val="105"/>
          <w:sz w:val="17"/>
        </w:rPr>
        <w:t>procedimento</w:t>
      </w:r>
      <w:r>
        <w:rPr>
          <w:rFonts w:ascii="Calibri" w:hAnsi="Calibri"/>
          <w:color w:val="231F20"/>
          <w:spacing w:val="-10"/>
          <w:w w:val="105"/>
          <w:sz w:val="17"/>
        </w:rPr>
        <w:t> </w:t>
      </w:r>
      <w:r>
        <w:rPr>
          <w:rFonts w:ascii="Calibri" w:hAnsi="Calibri"/>
          <w:color w:val="231F20"/>
          <w:w w:val="105"/>
          <w:sz w:val="17"/>
        </w:rPr>
        <w:t>penale</w:t>
      </w:r>
      <w:r>
        <w:rPr>
          <w:rFonts w:ascii="Calibri" w:hAnsi="Calibri"/>
          <w:color w:val="231F20"/>
          <w:spacing w:val="-10"/>
          <w:w w:val="105"/>
          <w:sz w:val="17"/>
        </w:rPr>
        <w:t> </w:t>
      </w:r>
      <w:r>
        <w:rPr>
          <w:rFonts w:ascii="Calibri" w:hAnsi="Calibri"/>
          <w:color w:val="231F20"/>
          <w:spacing w:val="-2"/>
          <w:w w:val="105"/>
          <w:sz w:val="17"/>
        </w:rPr>
        <w:t>per </w:t>
      </w:r>
      <w:r>
        <w:rPr>
          <w:rFonts w:ascii="Calibri" w:hAnsi="Calibri"/>
          <w:color w:val="231F20"/>
          <w:spacing w:val="-3"/>
          <w:w w:val="105"/>
          <w:sz w:val="17"/>
        </w:rPr>
        <w:t>facilitare</w:t>
      </w:r>
      <w:r>
        <w:rPr>
          <w:rFonts w:ascii="Calibri" w:hAnsi="Calibri"/>
          <w:color w:val="231F20"/>
          <w:spacing w:val="-22"/>
          <w:w w:val="105"/>
          <w:sz w:val="17"/>
        </w:rPr>
        <w:t> </w:t>
      </w:r>
      <w:r>
        <w:rPr>
          <w:rFonts w:ascii="Calibri" w:hAnsi="Calibri"/>
          <w:color w:val="231F20"/>
          <w:w w:val="105"/>
          <w:sz w:val="17"/>
        </w:rPr>
        <w:t>le</w:t>
      </w:r>
      <w:r>
        <w:rPr>
          <w:rFonts w:ascii="Calibri" w:hAnsi="Calibri"/>
          <w:color w:val="231F20"/>
          <w:spacing w:val="-22"/>
          <w:w w:val="105"/>
          <w:sz w:val="17"/>
        </w:rPr>
        <w:t> </w:t>
      </w:r>
      <w:r>
        <w:rPr>
          <w:rFonts w:ascii="Calibri" w:hAnsi="Calibri"/>
          <w:color w:val="231F20"/>
          <w:w w:val="105"/>
          <w:sz w:val="17"/>
        </w:rPr>
        <w:t>indagini</w:t>
      </w:r>
      <w:r>
        <w:rPr>
          <w:rFonts w:ascii="Calibri" w:hAnsi="Calibri"/>
          <w:color w:val="231F20"/>
          <w:spacing w:val="-22"/>
          <w:w w:val="105"/>
          <w:sz w:val="17"/>
        </w:rPr>
        <w:t> </w:t>
      </w:r>
      <w:r>
        <w:rPr>
          <w:rFonts w:ascii="Calibri" w:hAnsi="Calibri"/>
          <w:color w:val="231F20"/>
          <w:w w:val="105"/>
          <w:sz w:val="17"/>
        </w:rPr>
        <w:t>relazionate</w:t>
      </w:r>
      <w:r>
        <w:rPr>
          <w:rFonts w:ascii="Calibri" w:hAnsi="Calibri"/>
          <w:color w:val="231F20"/>
          <w:spacing w:val="-22"/>
          <w:w w:val="105"/>
          <w:sz w:val="17"/>
        </w:rPr>
        <w:t> </w:t>
      </w:r>
      <w:r>
        <w:rPr>
          <w:rFonts w:ascii="Calibri" w:hAnsi="Calibri"/>
          <w:color w:val="231F20"/>
          <w:w w:val="105"/>
          <w:sz w:val="17"/>
        </w:rPr>
        <w:t>con</w:t>
      </w:r>
      <w:r>
        <w:rPr>
          <w:rFonts w:ascii="Calibri" w:hAnsi="Calibri"/>
          <w:color w:val="231F20"/>
          <w:spacing w:val="-22"/>
          <w:w w:val="105"/>
          <w:sz w:val="17"/>
        </w:rPr>
        <w:t> </w:t>
      </w:r>
      <w:r>
        <w:rPr>
          <w:rFonts w:ascii="Calibri" w:hAnsi="Calibri"/>
          <w:color w:val="231F20"/>
          <w:w w:val="105"/>
          <w:sz w:val="17"/>
        </w:rPr>
        <w:t>la</w:t>
      </w:r>
      <w:r>
        <w:rPr>
          <w:rFonts w:ascii="Calibri" w:hAnsi="Calibri"/>
          <w:color w:val="231F20"/>
          <w:spacing w:val="-22"/>
          <w:w w:val="105"/>
          <w:sz w:val="17"/>
        </w:rPr>
        <w:t> </w:t>
      </w:r>
      <w:r>
        <w:rPr>
          <w:rFonts w:ascii="Calibri" w:hAnsi="Calibri"/>
          <w:color w:val="231F20"/>
          <w:w w:val="105"/>
          <w:sz w:val="17"/>
        </w:rPr>
        <w:t>commissione</w:t>
      </w:r>
      <w:r>
        <w:rPr>
          <w:rFonts w:ascii="Calibri" w:hAnsi="Calibri"/>
          <w:color w:val="231F20"/>
          <w:spacing w:val="-22"/>
          <w:w w:val="105"/>
          <w:sz w:val="17"/>
        </w:rPr>
        <w:t> </w:t>
      </w:r>
      <w:r>
        <w:rPr>
          <w:rFonts w:ascii="Calibri" w:hAnsi="Calibri"/>
          <w:color w:val="231F20"/>
          <w:w w:val="105"/>
          <w:sz w:val="17"/>
        </w:rPr>
        <w:t>di</w:t>
      </w:r>
      <w:r>
        <w:rPr>
          <w:rFonts w:ascii="Calibri" w:hAnsi="Calibri"/>
          <w:color w:val="231F20"/>
          <w:spacing w:val="-22"/>
          <w:w w:val="105"/>
          <w:sz w:val="17"/>
        </w:rPr>
        <w:t> </w:t>
      </w:r>
      <w:r>
        <w:rPr>
          <w:rFonts w:ascii="Calibri" w:hAnsi="Calibri"/>
          <w:color w:val="231F20"/>
          <w:w w:val="105"/>
          <w:sz w:val="17"/>
        </w:rPr>
        <w:t>delitti</w:t>
      </w:r>
      <w:r>
        <w:rPr>
          <w:rFonts w:ascii="Calibri" w:hAnsi="Calibri"/>
          <w:color w:val="231F20"/>
          <w:spacing w:val="-22"/>
          <w:w w:val="105"/>
          <w:sz w:val="17"/>
        </w:rPr>
        <w:t> </w:t>
      </w:r>
      <w:r>
        <w:rPr>
          <w:rFonts w:ascii="Calibri" w:hAnsi="Calibri"/>
          <w:color w:val="231F20"/>
          <w:w w:val="105"/>
          <w:sz w:val="17"/>
        </w:rPr>
        <w:t>che</w:t>
      </w:r>
      <w:r>
        <w:rPr>
          <w:rFonts w:ascii="Calibri" w:hAnsi="Calibri"/>
          <w:color w:val="231F20"/>
          <w:spacing w:val="-22"/>
          <w:w w:val="105"/>
          <w:sz w:val="17"/>
        </w:rPr>
        <w:t> </w:t>
      </w:r>
      <w:r>
        <w:rPr>
          <w:rFonts w:ascii="Calibri" w:hAnsi="Calibri"/>
          <w:color w:val="231F20"/>
          <w:w w:val="105"/>
          <w:sz w:val="17"/>
        </w:rPr>
        <w:t>colpiscano</w:t>
      </w:r>
      <w:r>
        <w:rPr>
          <w:rFonts w:ascii="Calibri" w:hAnsi="Calibri"/>
          <w:color w:val="231F20"/>
          <w:spacing w:val="-22"/>
          <w:w w:val="105"/>
          <w:sz w:val="17"/>
        </w:rPr>
        <w:t> </w:t>
      </w:r>
      <w:r>
        <w:rPr>
          <w:rFonts w:ascii="Calibri" w:hAnsi="Calibri"/>
          <w:color w:val="231F20"/>
          <w:w w:val="105"/>
          <w:sz w:val="17"/>
        </w:rPr>
        <w:t>o</w:t>
      </w:r>
      <w:r>
        <w:rPr>
          <w:rFonts w:ascii="Calibri" w:hAnsi="Calibri"/>
          <w:color w:val="231F20"/>
          <w:spacing w:val="-22"/>
          <w:w w:val="105"/>
          <w:sz w:val="17"/>
        </w:rPr>
        <w:t> </w:t>
      </w:r>
      <w:r>
        <w:rPr>
          <w:rFonts w:ascii="Calibri" w:hAnsi="Calibri"/>
          <w:color w:val="231F20"/>
          <w:w w:val="105"/>
          <w:sz w:val="17"/>
        </w:rPr>
        <w:t>mettano</w:t>
      </w:r>
      <w:r>
        <w:rPr>
          <w:rFonts w:ascii="Calibri" w:hAnsi="Calibri"/>
          <w:color w:val="231F20"/>
          <w:spacing w:val="-22"/>
          <w:w w:val="105"/>
          <w:sz w:val="17"/>
        </w:rPr>
        <w:t> </w:t>
      </w:r>
      <w:r>
        <w:rPr>
          <w:rFonts w:ascii="Calibri" w:hAnsi="Calibri"/>
          <w:color w:val="231F20"/>
          <w:w w:val="105"/>
          <w:sz w:val="17"/>
        </w:rPr>
        <w:t>in</w:t>
      </w:r>
      <w:r>
        <w:rPr>
          <w:rFonts w:ascii="Calibri" w:hAnsi="Calibri"/>
          <w:color w:val="231F20"/>
          <w:spacing w:val="-22"/>
          <w:w w:val="105"/>
          <w:sz w:val="17"/>
        </w:rPr>
        <w:t> </w:t>
      </w:r>
      <w:r>
        <w:rPr>
          <w:rFonts w:ascii="Calibri" w:hAnsi="Calibri"/>
          <w:color w:val="231F20"/>
          <w:w w:val="105"/>
          <w:sz w:val="17"/>
        </w:rPr>
        <w:t>pericolo</w:t>
      </w:r>
      <w:r>
        <w:rPr>
          <w:rFonts w:ascii="Calibri" w:hAnsi="Calibri"/>
          <w:color w:val="231F20"/>
          <w:spacing w:val="-22"/>
          <w:w w:val="105"/>
          <w:sz w:val="17"/>
        </w:rPr>
        <w:t> </w:t>
      </w:r>
      <w:r>
        <w:rPr>
          <w:rFonts w:ascii="Calibri" w:hAnsi="Calibri"/>
          <w:color w:val="231F20"/>
          <w:w w:val="105"/>
          <w:sz w:val="17"/>
        </w:rPr>
        <w:t>la sussistenza</w:t>
      </w:r>
      <w:r>
        <w:rPr>
          <w:rFonts w:ascii="Calibri" w:hAnsi="Calibri"/>
          <w:color w:val="231F20"/>
          <w:spacing w:val="-19"/>
          <w:w w:val="105"/>
          <w:sz w:val="17"/>
        </w:rPr>
        <w:t> </w:t>
      </w:r>
      <w:r>
        <w:rPr>
          <w:rFonts w:ascii="Calibri" w:hAnsi="Calibri"/>
          <w:color w:val="231F20"/>
          <w:w w:val="105"/>
          <w:sz w:val="17"/>
        </w:rPr>
        <w:t>e</w:t>
      </w:r>
      <w:r>
        <w:rPr>
          <w:rFonts w:ascii="Calibri" w:hAnsi="Calibri"/>
          <w:color w:val="231F20"/>
          <w:spacing w:val="-19"/>
          <w:w w:val="105"/>
          <w:sz w:val="17"/>
        </w:rPr>
        <w:t> </w:t>
      </w:r>
      <w:r>
        <w:rPr>
          <w:rFonts w:ascii="Calibri" w:hAnsi="Calibri"/>
          <w:color w:val="231F20"/>
          <w:w w:val="105"/>
          <w:sz w:val="17"/>
        </w:rPr>
        <w:t>normale</w:t>
      </w:r>
      <w:r>
        <w:rPr>
          <w:rFonts w:ascii="Calibri" w:hAnsi="Calibri"/>
          <w:color w:val="231F20"/>
          <w:spacing w:val="-19"/>
          <w:w w:val="105"/>
          <w:sz w:val="17"/>
        </w:rPr>
        <w:t> </w:t>
      </w:r>
      <w:r>
        <w:rPr>
          <w:rFonts w:ascii="Calibri" w:hAnsi="Calibri"/>
          <w:color w:val="231F20"/>
          <w:w w:val="105"/>
          <w:sz w:val="17"/>
        </w:rPr>
        <w:t>sviluppo</w:t>
      </w:r>
      <w:r>
        <w:rPr>
          <w:rFonts w:ascii="Calibri" w:hAnsi="Calibri"/>
          <w:color w:val="231F20"/>
          <w:spacing w:val="-19"/>
          <w:w w:val="105"/>
          <w:sz w:val="17"/>
        </w:rPr>
        <w:t> </w:t>
      </w:r>
      <w:r>
        <w:rPr>
          <w:rFonts w:ascii="Calibri" w:hAnsi="Calibri"/>
          <w:color w:val="231F20"/>
          <w:w w:val="105"/>
          <w:sz w:val="17"/>
        </w:rPr>
        <w:t>dello</w:t>
      </w:r>
      <w:r>
        <w:rPr>
          <w:rFonts w:ascii="Calibri" w:hAnsi="Calibri"/>
          <w:color w:val="231F20"/>
          <w:spacing w:val="-19"/>
          <w:w w:val="105"/>
          <w:sz w:val="17"/>
        </w:rPr>
        <w:t> </w:t>
      </w:r>
      <w:r>
        <w:rPr>
          <w:rFonts w:ascii="Calibri" w:hAnsi="Calibri"/>
          <w:color w:val="231F20"/>
          <w:w w:val="105"/>
          <w:sz w:val="17"/>
        </w:rPr>
        <w:t>Stato</w:t>
      </w:r>
      <w:r>
        <w:rPr>
          <w:rFonts w:ascii="Calibri" w:hAnsi="Calibri"/>
          <w:color w:val="231F20"/>
          <w:spacing w:val="-19"/>
          <w:w w:val="105"/>
          <w:sz w:val="17"/>
        </w:rPr>
        <w:t> </w:t>
      </w:r>
      <w:r>
        <w:rPr>
          <w:rFonts w:ascii="Calibri" w:hAnsi="Calibri"/>
          <w:color w:val="231F20"/>
          <w:spacing w:val="-3"/>
          <w:w w:val="105"/>
          <w:sz w:val="17"/>
        </w:rPr>
        <w:t>costituzionale</w:t>
      </w:r>
      <w:r>
        <w:rPr>
          <w:rFonts w:ascii="Calibri" w:hAnsi="Calibri"/>
          <w:color w:val="231F20"/>
          <w:spacing w:val="-19"/>
          <w:w w:val="105"/>
          <w:sz w:val="17"/>
        </w:rPr>
        <w:t> </w:t>
      </w:r>
      <w:r>
        <w:rPr>
          <w:rFonts w:ascii="Calibri" w:hAnsi="Calibri"/>
          <w:color w:val="231F20"/>
          <w:w w:val="105"/>
          <w:sz w:val="17"/>
        </w:rPr>
        <w:t>e</w:t>
      </w:r>
      <w:r>
        <w:rPr>
          <w:rFonts w:ascii="Calibri" w:hAnsi="Calibri"/>
          <w:color w:val="231F20"/>
          <w:spacing w:val="-19"/>
          <w:w w:val="105"/>
          <w:sz w:val="17"/>
        </w:rPr>
        <w:t> </w:t>
      </w:r>
      <w:r>
        <w:rPr>
          <w:rFonts w:ascii="Calibri" w:hAnsi="Calibri"/>
          <w:color w:val="231F20"/>
          <w:spacing w:val="-3"/>
          <w:w w:val="105"/>
          <w:sz w:val="17"/>
        </w:rPr>
        <w:t>democratico”</w:t>
      </w:r>
      <w:r>
        <w:rPr>
          <w:rFonts w:ascii="Calibri" w:hAnsi="Calibri"/>
          <w:color w:val="231F20"/>
          <w:spacing w:val="-19"/>
          <w:w w:val="105"/>
          <w:sz w:val="17"/>
        </w:rPr>
        <w:t> </w:t>
      </w:r>
      <w:r>
        <w:rPr>
          <w:rFonts w:ascii="Calibri" w:hAnsi="Calibri"/>
          <w:color w:val="231F20"/>
          <w:w w:val="105"/>
          <w:sz w:val="17"/>
        </w:rPr>
        <w:t>(</w:t>
      </w:r>
      <w:r>
        <w:rPr>
          <w:rFonts w:ascii="Calibri" w:hAnsi="Calibri"/>
          <w:i/>
          <w:color w:val="231F20"/>
          <w:w w:val="105"/>
          <w:sz w:val="17"/>
        </w:rPr>
        <w:t>Vid</w:t>
      </w:r>
      <w:r>
        <w:rPr>
          <w:rFonts w:ascii="Calibri" w:hAnsi="Calibri"/>
          <w:color w:val="231F20"/>
          <w:w w:val="105"/>
          <w:sz w:val="17"/>
        </w:rPr>
        <w:t>.:</w:t>
      </w:r>
      <w:r>
        <w:rPr>
          <w:rFonts w:ascii="Calibri" w:hAnsi="Calibri"/>
          <w:color w:val="231F20"/>
          <w:spacing w:val="-19"/>
          <w:w w:val="105"/>
          <w:sz w:val="17"/>
        </w:rPr>
        <w:t> </w:t>
      </w:r>
      <w:r>
        <w:rPr>
          <w:rFonts w:ascii="Calibri" w:hAnsi="Calibri"/>
          <w:color w:val="231F20"/>
          <w:spacing w:val="-4"/>
          <w:w w:val="105"/>
          <w:sz w:val="17"/>
        </w:rPr>
        <w:t>Möller,</w:t>
      </w:r>
      <w:r>
        <w:rPr>
          <w:rFonts w:ascii="Calibri" w:hAnsi="Calibri"/>
          <w:color w:val="231F20"/>
          <w:spacing w:val="-19"/>
          <w:w w:val="105"/>
          <w:sz w:val="17"/>
        </w:rPr>
        <w:t> </w:t>
      </w:r>
      <w:r>
        <w:rPr>
          <w:rFonts w:ascii="Calibri" w:hAnsi="Calibri"/>
          <w:color w:val="231F20"/>
          <w:w w:val="105"/>
          <w:sz w:val="17"/>
        </w:rPr>
        <w:t>2004:</w:t>
      </w:r>
      <w:r>
        <w:rPr>
          <w:rFonts w:ascii="Calibri" w:hAnsi="Calibri"/>
          <w:color w:val="231F20"/>
          <w:spacing w:val="-19"/>
          <w:w w:val="105"/>
          <w:sz w:val="17"/>
        </w:rPr>
        <w:t> </w:t>
      </w:r>
      <w:r>
        <w:rPr>
          <w:rFonts w:ascii="Calibri" w:hAnsi="Calibri"/>
          <w:color w:val="231F20"/>
          <w:spacing w:val="-3"/>
          <w:w w:val="105"/>
          <w:sz w:val="17"/>
        </w:rPr>
        <w:t>996).</w:t>
      </w:r>
    </w:p>
    <w:p>
      <w:pPr>
        <w:spacing w:before="1"/>
        <w:ind w:left="117" w:right="0" w:firstLine="0"/>
        <w:jc w:val="both"/>
        <w:rPr>
          <w:rFonts w:ascii="Calibri"/>
          <w:sz w:val="17"/>
        </w:rPr>
      </w:pPr>
      <w:r>
        <w:rPr>
          <w:rFonts w:ascii="Calibri"/>
          <w:color w:val="231F20"/>
          <w:position w:val="6"/>
          <w:sz w:val="10"/>
        </w:rPr>
        <w:t>11 </w:t>
      </w:r>
      <w:r>
        <w:rPr>
          <w:rFonts w:ascii="Calibri"/>
          <w:color w:val="231F20"/>
          <w:sz w:val="17"/>
        </w:rPr>
        <w:t>Asens y Pisarello, </w:t>
      </w:r>
      <w:r>
        <w:rPr>
          <w:rFonts w:ascii="Calibri"/>
          <w:i/>
          <w:color w:val="231F20"/>
          <w:sz w:val="17"/>
        </w:rPr>
        <w:t>No hay derecho(s)</w:t>
      </w:r>
      <w:r>
        <w:rPr>
          <w:rFonts w:ascii="Calibri"/>
          <w:color w:val="231F20"/>
          <w:sz w:val="17"/>
        </w:rPr>
        <w:t>, p. 25.</w:t>
      </w:r>
    </w:p>
    <w:p>
      <w:pPr>
        <w:spacing w:after="0"/>
        <w:jc w:val="both"/>
        <w:rPr>
          <w:rFonts w:ascii="Calibri"/>
          <w:sz w:val="17"/>
        </w:rPr>
        <w:sectPr>
          <w:pgSz w:w="9640" w:h="13890"/>
          <w:pgMar w:top="0" w:bottom="280" w:left="1300" w:right="1180"/>
        </w:sectPr>
      </w:pPr>
    </w:p>
    <w:p>
      <w:pPr>
        <w:pStyle w:val="BodyText"/>
        <w:spacing w:line="259" w:lineRule="auto" w:before="107"/>
        <w:ind w:left="103" w:right="115"/>
        <w:jc w:val="both"/>
      </w:pPr>
      <w:r>
        <w:rPr>
          <w:color w:val="231F20"/>
          <w:w w:val="105"/>
        </w:rPr>
        <w:t>sopratutto</w:t>
      </w:r>
      <w:r>
        <w:rPr>
          <w:color w:val="231F20"/>
          <w:spacing w:val="-33"/>
          <w:w w:val="105"/>
        </w:rPr>
        <w:t> </w:t>
      </w:r>
      <w:r>
        <w:rPr>
          <w:color w:val="231F20"/>
          <w:w w:val="105"/>
        </w:rPr>
        <w:t>in</w:t>
      </w:r>
      <w:r>
        <w:rPr>
          <w:color w:val="231F20"/>
          <w:spacing w:val="-33"/>
          <w:w w:val="105"/>
        </w:rPr>
        <w:t> </w:t>
      </w:r>
      <w:r>
        <w:rPr>
          <w:color w:val="231F20"/>
          <w:w w:val="105"/>
        </w:rPr>
        <w:t>materia</w:t>
      </w:r>
      <w:r>
        <w:rPr>
          <w:color w:val="231F20"/>
          <w:spacing w:val="-33"/>
          <w:w w:val="105"/>
        </w:rPr>
        <w:t> </w:t>
      </w:r>
      <w:r>
        <w:rPr>
          <w:color w:val="231F20"/>
          <w:w w:val="105"/>
        </w:rPr>
        <w:t>di</w:t>
      </w:r>
      <w:r>
        <w:rPr>
          <w:color w:val="231F20"/>
          <w:spacing w:val="-33"/>
          <w:w w:val="105"/>
        </w:rPr>
        <w:t> </w:t>
      </w:r>
      <w:r>
        <w:rPr>
          <w:color w:val="231F20"/>
          <w:w w:val="105"/>
        </w:rPr>
        <w:t>controllo</w:t>
      </w:r>
      <w:r>
        <w:rPr>
          <w:color w:val="231F20"/>
          <w:spacing w:val="-33"/>
          <w:w w:val="105"/>
        </w:rPr>
        <w:t> </w:t>
      </w:r>
      <w:r>
        <w:rPr>
          <w:color w:val="231F20"/>
          <w:w w:val="105"/>
        </w:rPr>
        <w:t>di</w:t>
      </w:r>
      <w:r>
        <w:rPr>
          <w:color w:val="231F20"/>
          <w:spacing w:val="-33"/>
          <w:w w:val="105"/>
        </w:rPr>
        <w:t> </w:t>
      </w:r>
      <w:r>
        <w:rPr>
          <w:color w:val="231F20"/>
          <w:w w:val="105"/>
        </w:rPr>
        <w:t>finanziamento</w:t>
      </w:r>
      <w:r>
        <w:rPr>
          <w:color w:val="231F20"/>
          <w:spacing w:val="-33"/>
          <w:w w:val="105"/>
        </w:rPr>
        <w:t> </w:t>
      </w:r>
      <w:r>
        <w:rPr>
          <w:color w:val="231F20"/>
          <w:w w:val="105"/>
        </w:rPr>
        <w:t>a</w:t>
      </w:r>
      <w:r>
        <w:rPr>
          <w:color w:val="231F20"/>
          <w:spacing w:val="-33"/>
          <w:w w:val="105"/>
        </w:rPr>
        <w:t> </w:t>
      </w:r>
      <w:r>
        <w:rPr>
          <w:color w:val="231F20"/>
          <w:w w:val="105"/>
        </w:rPr>
        <w:t>queste</w:t>
      </w:r>
      <w:r>
        <w:rPr>
          <w:color w:val="231F20"/>
          <w:spacing w:val="-33"/>
          <w:w w:val="105"/>
        </w:rPr>
        <w:t> </w:t>
      </w:r>
      <w:r>
        <w:rPr>
          <w:color w:val="231F20"/>
          <w:w w:val="105"/>
        </w:rPr>
        <w:t>organizzazioni e</w:t>
      </w:r>
      <w:r>
        <w:rPr>
          <w:color w:val="231F20"/>
          <w:spacing w:val="-30"/>
          <w:w w:val="105"/>
        </w:rPr>
        <w:t> </w:t>
      </w:r>
      <w:r>
        <w:rPr>
          <w:color w:val="231F20"/>
          <w:w w:val="105"/>
        </w:rPr>
        <w:t>d’intercettazione</w:t>
      </w:r>
      <w:r>
        <w:rPr>
          <w:color w:val="231F20"/>
          <w:spacing w:val="-30"/>
          <w:w w:val="105"/>
        </w:rPr>
        <w:t> </w:t>
      </w:r>
      <w:r>
        <w:rPr>
          <w:color w:val="231F20"/>
          <w:w w:val="105"/>
        </w:rPr>
        <w:t>delle</w:t>
      </w:r>
      <w:r>
        <w:rPr>
          <w:color w:val="231F20"/>
          <w:spacing w:val="-30"/>
          <w:w w:val="105"/>
        </w:rPr>
        <w:t> </w:t>
      </w:r>
      <w:r>
        <w:rPr>
          <w:color w:val="231F20"/>
          <w:w w:val="105"/>
        </w:rPr>
        <w:t>comunicazioni,</w:t>
      </w:r>
      <w:r>
        <w:rPr>
          <w:color w:val="231F20"/>
          <w:spacing w:val="-30"/>
          <w:w w:val="105"/>
        </w:rPr>
        <w:t> </w:t>
      </w:r>
      <w:r>
        <w:rPr>
          <w:color w:val="231F20"/>
          <w:w w:val="105"/>
        </w:rPr>
        <w:t>rafforzando</w:t>
      </w:r>
      <w:r>
        <w:rPr>
          <w:color w:val="231F20"/>
          <w:spacing w:val="-30"/>
          <w:w w:val="105"/>
        </w:rPr>
        <w:t> </w:t>
      </w:r>
      <w:r>
        <w:rPr>
          <w:color w:val="231F20"/>
          <w:w w:val="105"/>
        </w:rPr>
        <w:t>il</w:t>
      </w:r>
      <w:r>
        <w:rPr>
          <w:color w:val="231F20"/>
          <w:spacing w:val="-30"/>
          <w:w w:val="105"/>
        </w:rPr>
        <w:t> </w:t>
      </w:r>
      <w:r>
        <w:rPr>
          <w:color w:val="231F20"/>
          <w:w w:val="105"/>
        </w:rPr>
        <w:t>potere</w:t>
      </w:r>
      <w:r>
        <w:rPr>
          <w:color w:val="231F20"/>
          <w:spacing w:val="-30"/>
          <w:w w:val="105"/>
        </w:rPr>
        <w:t> </w:t>
      </w:r>
      <w:r>
        <w:rPr>
          <w:color w:val="231F20"/>
          <w:w w:val="105"/>
        </w:rPr>
        <w:t>per</w:t>
      </w:r>
      <w:r>
        <w:rPr>
          <w:color w:val="231F20"/>
          <w:spacing w:val="-30"/>
          <w:w w:val="105"/>
        </w:rPr>
        <w:t> </w:t>
      </w:r>
      <w:r>
        <w:rPr>
          <w:color w:val="231F20"/>
          <w:w w:val="105"/>
        </w:rPr>
        <w:t>indagare </w:t>
      </w:r>
      <w:r>
        <w:rPr>
          <w:color w:val="231F20"/>
        </w:rPr>
        <w:t>attraverso previsioni penali</w:t>
      </w:r>
      <w:r>
        <w:rPr>
          <w:color w:val="231F20"/>
          <w:spacing w:val="6"/>
        </w:rPr>
        <w:t> </w:t>
      </w:r>
      <w:r>
        <w:rPr>
          <w:color w:val="231F20"/>
        </w:rPr>
        <w:t>speciali.</w:t>
      </w:r>
    </w:p>
    <w:p>
      <w:pPr>
        <w:pStyle w:val="BodyText"/>
        <w:spacing w:before="10"/>
      </w:pPr>
    </w:p>
    <w:p>
      <w:pPr>
        <w:spacing w:line="220" w:lineRule="exact" w:before="0"/>
        <w:ind w:left="1521" w:right="113" w:firstLine="0"/>
        <w:jc w:val="both"/>
        <w:rPr>
          <w:sz w:val="19"/>
        </w:rPr>
      </w:pPr>
      <w:r>
        <w:rPr>
          <w:color w:val="231F20"/>
          <w:sz w:val="19"/>
        </w:rPr>
        <w:t>La legge menzionata, risponde a un paradigma discriminatorio proprio degli ordinamenti gerarchizzati di casta o classe delle fasi più arcaiche delle esperienze giuridiche e ancora dominanti nel mondo</w:t>
      </w:r>
      <w:r>
        <w:rPr>
          <w:color w:val="231F20"/>
          <w:spacing w:val="-11"/>
          <w:sz w:val="19"/>
        </w:rPr>
        <w:t> </w:t>
      </w:r>
      <w:r>
        <w:rPr>
          <w:color w:val="231F20"/>
          <w:sz w:val="19"/>
        </w:rPr>
        <w:t>giuridico</w:t>
      </w:r>
      <w:r>
        <w:rPr>
          <w:color w:val="231F20"/>
          <w:spacing w:val="-11"/>
          <w:sz w:val="19"/>
        </w:rPr>
        <w:t> </w:t>
      </w:r>
      <w:r>
        <w:rPr>
          <w:color w:val="231F20"/>
          <w:sz w:val="19"/>
        </w:rPr>
        <w:t>odierno.</w:t>
      </w:r>
      <w:r>
        <w:rPr>
          <w:color w:val="231F20"/>
          <w:spacing w:val="-11"/>
          <w:sz w:val="19"/>
        </w:rPr>
        <w:t> </w:t>
      </w:r>
      <w:r>
        <w:rPr>
          <w:color w:val="231F20"/>
          <w:sz w:val="19"/>
        </w:rPr>
        <w:t>Luigi</w:t>
      </w:r>
      <w:r>
        <w:rPr>
          <w:color w:val="231F20"/>
          <w:spacing w:val="-11"/>
          <w:sz w:val="19"/>
        </w:rPr>
        <w:t> </w:t>
      </w:r>
      <w:r>
        <w:rPr>
          <w:color w:val="231F20"/>
          <w:sz w:val="19"/>
        </w:rPr>
        <w:t>Ferrajoli</w:t>
      </w:r>
      <w:r>
        <w:rPr>
          <w:color w:val="231F20"/>
          <w:spacing w:val="-11"/>
          <w:sz w:val="19"/>
        </w:rPr>
        <w:t> </w:t>
      </w:r>
      <w:r>
        <w:rPr>
          <w:color w:val="231F20"/>
          <w:sz w:val="19"/>
        </w:rPr>
        <w:t>denomina</w:t>
      </w:r>
      <w:r>
        <w:rPr>
          <w:color w:val="231F20"/>
          <w:spacing w:val="-11"/>
          <w:sz w:val="19"/>
        </w:rPr>
        <w:t> </w:t>
      </w:r>
      <w:r>
        <w:rPr>
          <w:color w:val="231F20"/>
          <w:sz w:val="19"/>
        </w:rPr>
        <w:t>questo</w:t>
      </w:r>
      <w:r>
        <w:rPr>
          <w:color w:val="231F20"/>
          <w:spacing w:val="-11"/>
          <w:sz w:val="19"/>
        </w:rPr>
        <w:t> </w:t>
      </w:r>
      <w:r>
        <w:rPr>
          <w:rFonts w:ascii="Arial" w:hAnsi="Arial"/>
          <w:i/>
          <w:color w:val="231F20"/>
          <w:sz w:val="19"/>
        </w:rPr>
        <w:t>modello </w:t>
      </w:r>
      <w:r>
        <w:rPr>
          <w:rFonts w:ascii="Arial" w:hAnsi="Arial"/>
          <w:i/>
          <w:color w:val="231F20"/>
          <w:sz w:val="19"/>
        </w:rPr>
        <w:t>di differenziazione giuridica delle differenze, </w:t>
      </w:r>
      <w:r>
        <w:rPr>
          <w:color w:val="231F20"/>
          <w:sz w:val="19"/>
        </w:rPr>
        <w:t>e si esprime nella valutazione di alcune identità e nella svalutazione di altre, il che deriva, quindi, nella gerarchizzazione delle diverse</w:t>
      </w:r>
      <w:r>
        <w:rPr>
          <w:color w:val="231F20"/>
          <w:spacing w:val="18"/>
          <w:sz w:val="19"/>
        </w:rPr>
        <w:t> </w:t>
      </w:r>
      <w:r>
        <w:rPr>
          <w:color w:val="231F20"/>
          <w:sz w:val="19"/>
        </w:rPr>
        <w:t>identità</w:t>
      </w:r>
      <w:r>
        <w:rPr>
          <w:color w:val="231F20"/>
          <w:position w:val="6"/>
          <w:sz w:val="11"/>
        </w:rPr>
        <w:t>12</w:t>
      </w:r>
      <w:r>
        <w:rPr>
          <w:color w:val="231F20"/>
          <w:sz w:val="19"/>
        </w:rPr>
        <w:t>.</w:t>
      </w:r>
    </w:p>
    <w:p>
      <w:pPr>
        <w:pStyle w:val="BodyText"/>
        <w:spacing w:before="11"/>
        <w:rPr>
          <w:sz w:val="23"/>
        </w:rPr>
      </w:pPr>
    </w:p>
    <w:p>
      <w:pPr>
        <w:pStyle w:val="BodyText"/>
        <w:spacing w:line="244" w:lineRule="auto"/>
        <w:ind w:left="103" w:right="112"/>
        <w:jc w:val="both"/>
      </w:pPr>
      <w:r>
        <w:rPr>
          <w:color w:val="231F20"/>
          <w:spacing w:val="3"/>
        </w:rPr>
        <w:t>Dopo </w:t>
      </w:r>
      <w:r>
        <w:rPr>
          <w:color w:val="231F20"/>
          <w:spacing w:val="2"/>
        </w:rPr>
        <w:t>gli </w:t>
      </w:r>
      <w:r>
        <w:rPr>
          <w:color w:val="231F20"/>
          <w:spacing w:val="3"/>
        </w:rPr>
        <w:t>attentati dell’11–S, </w:t>
      </w:r>
      <w:r>
        <w:rPr>
          <w:color w:val="231F20"/>
          <w:spacing w:val="2"/>
        </w:rPr>
        <w:t>George </w:t>
      </w:r>
      <w:r>
        <w:rPr>
          <w:color w:val="231F20"/>
          <w:spacing w:val="-6"/>
        </w:rPr>
        <w:t>W. </w:t>
      </w:r>
      <w:r>
        <w:rPr>
          <w:color w:val="231F20"/>
          <w:spacing w:val="3"/>
        </w:rPr>
        <w:t>Bush, grazie </w:t>
      </w:r>
      <w:r>
        <w:rPr>
          <w:color w:val="231F20"/>
        </w:rPr>
        <w:t>a </w:t>
      </w:r>
      <w:r>
        <w:rPr>
          <w:color w:val="231F20"/>
          <w:spacing w:val="2"/>
        </w:rPr>
        <w:t>una </w:t>
      </w:r>
      <w:r>
        <w:rPr>
          <w:color w:val="231F20"/>
          <w:spacing w:val="3"/>
        </w:rPr>
        <w:t>delega </w:t>
      </w:r>
      <w:r>
        <w:rPr>
          <w:color w:val="231F20"/>
        </w:rPr>
        <w:t>di responsabilità da parte del Congresso, sotto la denominata </w:t>
      </w:r>
      <w:r>
        <w:rPr>
          <w:rFonts w:ascii="Arial" w:hAnsi="Arial"/>
          <w:i/>
          <w:color w:val="231F20"/>
          <w:sz w:val="18"/>
        </w:rPr>
        <w:t>USA </w:t>
      </w:r>
      <w:r>
        <w:rPr>
          <w:rFonts w:ascii="Arial" w:hAnsi="Arial"/>
          <w:i/>
          <w:color w:val="231F20"/>
        </w:rPr>
        <w:t>Patriot  </w:t>
      </w:r>
      <w:r>
        <w:rPr>
          <w:rFonts w:ascii="Arial" w:hAnsi="Arial"/>
          <w:i/>
          <w:color w:val="231F20"/>
        </w:rPr>
        <w:t>Act</w:t>
      </w:r>
      <w:r>
        <w:rPr>
          <w:color w:val="231F20"/>
        </w:rPr>
        <w:t>, approvata da entrambe le camere legislative nel 2001, intraprese una lotta con la bandiera di annichilire il terrorismo, situazione che condusse a prendere misure eccessive di vigilanza, dove i sospettati potevano essere </w:t>
      </w:r>
      <w:r>
        <w:rPr>
          <w:color w:val="231F20"/>
          <w:spacing w:val="-3"/>
        </w:rPr>
        <w:t>privati</w:t>
      </w:r>
      <w:r>
        <w:rPr>
          <w:color w:val="231F20"/>
          <w:spacing w:val="-15"/>
        </w:rPr>
        <w:t> </w:t>
      </w:r>
      <w:r>
        <w:rPr>
          <w:color w:val="231F20"/>
          <w:spacing w:val="-3"/>
        </w:rPr>
        <w:t>dalle</w:t>
      </w:r>
      <w:r>
        <w:rPr>
          <w:color w:val="231F20"/>
          <w:spacing w:val="-15"/>
        </w:rPr>
        <w:t> </w:t>
      </w:r>
      <w:r>
        <w:rPr>
          <w:color w:val="231F20"/>
          <w:spacing w:val="-4"/>
        </w:rPr>
        <w:t>loro</w:t>
      </w:r>
      <w:r>
        <w:rPr>
          <w:color w:val="231F20"/>
          <w:spacing w:val="-15"/>
        </w:rPr>
        <w:t> </w:t>
      </w:r>
      <w:r>
        <w:rPr>
          <w:color w:val="231F20"/>
          <w:spacing w:val="-3"/>
        </w:rPr>
        <w:t>garanzie</w:t>
      </w:r>
      <w:r>
        <w:rPr>
          <w:color w:val="231F20"/>
          <w:spacing w:val="-15"/>
        </w:rPr>
        <w:t> </w:t>
      </w:r>
      <w:r>
        <w:rPr>
          <w:color w:val="231F20"/>
          <w:spacing w:val="-3"/>
        </w:rPr>
        <w:t>individuali</w:t>
      </w:r>
      <w:r>
        <w:rPr>
          <w:color w:val="231F20"/>
          <w:spacing w:val="-15"/>
        </w:rPr>
        <w:t> </w:t>
      </w:r>
      <w:r>
        <w:rPr>
          <w:color w:val="231F20"/>
        </w:rPr>
        <w:t>e</w:t>
      </w:r>
      <w:r>
        <w:rPr>
          <w:color w:val="231F20"/>
          <w:spacing w:val="-15"/>
        </w:rPr>
        <w:t> </w:t>
      </w:r>
      <w:r>
        <w:rPr>
          <w:color w:val="231F20"/>
          <w:spacing w:val="-3"/>
        </w:rPr>
        <w:t>messi</w:t>
      </w:r>
      <w:r>
        <w:rPr>
          <w:color w:val="231F20"/>
          <w:spacing w:val="-15"/>
        </w:rPr>
        <w:t> </w:t>
      </w:r>
      <w:r>
        <w:rPr>
          <w:color w:val="231F20"/>
        </w:rPr>
        <w:t>in</w:t>
      </w:r>
      <w:r>
        <w:rPr>
          <w:color w:val="231F20"/>
          <w:spacing w:val="-15"/>
        </w:rPr>
        <w:t> </w:t>
      </w:r>
      <w:r>
        <w:rPr>
          <w:color w:val="231F20"/>
        </w:rPr>
        <w:t>una</w:t>
      </w:r>
      <w:r>
        <w:rPr>
          <w:color w:val="231F20"/>
          <w:spacing w:val="-15"/>
        </w:rPr>
        <w:t> </w:t>
      </w:r>
      <w:r>
        <w:rPr>
          <w:color w:val="231F20"/>
          <w:spacing w:val="-3"/>
        </w:rPr>
        <w:t>condizione</w:t>
      </w:r>
      <w:r>
        <w:rPr>
          <w:color w:val="231F20"/>
          <w:spacing w:val="-15"/>
        </w:rPr>
        <w:t> </w:t>
      </w:r>
      <w:r>
        <w:rPr>
          <w:color w:val="231F20"/>
        </w:rPr>
        <w:t>di</w:t>
      </w:r>
      <w:r>
        <w:rPr>
          <w:color w:val="231F20"/>
          <w:spacing w:val="-15"/>
        </w:rPr>
        <w:t> </w:t>
      </w:r>
      <w:r>
        <w:rPr>
          <w:color w:val="231F20"/>
          <w:spacing w:val="-3"/>
        </w:rPr>
        <w:t>vulnerabilità, </w:t>
      </w:r>
      <w:r>
        <w:rPr>
          <w:color w:val="231F20"/>
        </w:rPr>
        <w:t>prima di fronte alle garanzie che gli concedono i propri stati e poi, davanti ai diritti che gli salvaguardano nei trattati</w:t>
      </w:r>
      <w:r>
        <w:rPr>
          <w:color w:val="231F20"/>
          <w:spacing w:val="-27"/>
        </w:rPr>
        <w:t> </w:t>
      </w:r>
      <w:r>
        <w:rPr>
          <w:color w:val="231F20"/>
        </w:rPr>
        <w:t>internazionali.</w:t>
      </w:r>
    </w:p>
    <w:p>
      <w:pPr>
        <w:pStyle w:val="BodyText"/>
        <w:spacing w:line="247" w:lineRule="auto" w:before="1"/>
        <w:ind w:left="103" w:right="109" w:firstLine="566"/>
        <w:jc w:val="both"/>
      </w:pPr>
      <w:r>
        <w:rPr>
          <w:color w:val="231F20"/>
        </w:rPr>
        <w:t>Il 6 maggio 2002, il presidente Bush rittira la sua firma dal </w:t>
      </w:r>
      <w:r>
        <w:rPr>
          <w:color w:val="231F20"/>
          <w:spacing w:val="-3"/>
        </w:rPr>
        <w:t>Tratatto </w:t>
      </w:r>
      <w:r>
        <w:rPr>
          <w:color w:val="231F20"/>
        </w:rPr>
        <w:t>di Roma. Il 28 gennaio 2003, Hans Blix e Mohamed ElBaradei, inviati in Iraq per ispezionare l’esistenza di Armi di distruzione di massa (</w:t>
      </w:r>
      <w:r>
        <w:rPr>
          <w:color w:val="231F20"/>
          <w:sz w:val="18"/>
        </w:rPr>
        <w:t>ADM</w:t>
      </w:r>
      <w:r>
        <w:rPr>
          <w:color w:val="231F20"/>
        </w:rPr>
        <w:t>) in quel paese, informano che hanno bisogno di più tempo per completare    le ispezioni. Il 5 febbraio di quell’anno, il Segretario di Stato degli Stati Uniti, Colin Powell, presentò delle prove presuntivamente irrefutabili ed innegabili che Iraq manteneva nascoste delle </w:t>
      </w:r>
      <w:r>
        <w:rPr>
          <w:color w:val="231F20"/>
          <w:sz w:val="18"/>
        </w:rPr>
        <w:t>ADM</w:t>
      </w:r>
      <w:r>
        <w:rPr>
          <w:color w:val="231F20"/>
        </w:rPr>
        <w:t>. Però il 14 febbraio Blix </w:t>
      </w:r>
      <w:r>
        <w:rPr>
          <w:color w:val="231F20"/>
          <w:spacing w:val="-4"/>
        </w:rPr>
        <w:t>presentò </w:t>
      </w:r>
      <w:r>
        <w:rPr>
          <w:color w:val="231F20"/>
        </w:rPr>
        <w:t>il suo </w:t>
      </w:r>
      <w:r>
        <w:rPr>
          <w:color w:val="231F20"/>
          <w:spacing w:val="-3"/>
        </w:rPr>
        <w:t>secondo informe davanti </w:t>
      </w:r>
      <w:r>
        <w:rPr>
          <w:color w:val="231F20"/>
        </w:rPr>
        <w:t>al </w:t>
      </w:r>
      <w:r>
        <w:rPr>
          <w:color w:val="231F20"/>
          <w:spacing w:val="-3"/>
        </w:rPr>
        <w:t>Consiglio </w:t>
      </w:r>
      <w:r>
        <w:rPr>
          <w:color w:val="231F20"/>
        </w:rPr>
        <w:t>di </w:t>
      </w:r>
      <w:r>
        <w:rPr>
          <w:color w:val="231F20"/>
          <w:spacing w:val="-4"/>
        </w:rPr>
        <w:t>Sicurezza, </w:t>
      </w:r>
      <w:r>
        <w:rPr>
          <w:color w:val="231F20"/>
          <w:spacing w:val="-3"/>
        </w:rPr>
        <w:t>esponendo </w:t>
      </w:r>
      <w:r>
        <w:rPr>
          <w:color w:val="231F20"/>
          <w:spacing w:val="2"/>
        </w:rPr>
        <w:t>che </w:t>
      </w:r>
      <w:r>
        <w:rPr>
          <w:color w:val="231F20"/>
          <w:spacing w:val="3"/>
        </w:rPr>
        <w:t>continuavano senza apparire </w:t>
      </w:r>
      <w:r>
        <w:rPr>
          <w:color w:val="231F20"/>
        </w:rPr>
        <w:t>le </w:t>
      </w:r>
      <w:r>
        <w:rPr>
          <w:color w:val="231F20"/>
          <w:spacing w:val="3"/>
        </w:rPr>
        <w:t>presunte </w:t>
      </w:r>
      <w:r>
        <w:rPr>
          <w:color w:val="231F20"/>
          <w:spacing w:val="2"/>
          <w:sz w:val="18"/>
        </w:rPr>
        <w:t>ADM</w:t>
      </w:r>
      <w:r>
        <w:rPr>
          <w:color w:val="231F20"/>
          <w:spacing w:val="2"/>
        </w:rPr>
        <w:t>. </w:t>
      </w:r>
      <w:r>
        <w:rPr>
          <w:color w:val="231F20"/>
          <w:spacing w:val="3"/>
        </w:rPr>
        <w:t>Ignorando </w:t>
      </w:r>
      <w:r>
        <w:rPr>
          <w:color w:val="231F20"/>
          <w:spacing w:val="4"/>
        </w:rPr>
        <w:t>questa </w:t>
      </w:r>
      <w:r>
        <w:rPr>
          <w:color w:val="231F20"/>
        </w:rPr>
        <w:t>informazione, gli Stati Uniti e Gran Bretagna attaccarono l’Iraq il 19 marzo 2003. Le giustificazioni erano evidentemente</w:t>
      </w:r>
      <w:r>
        <w:rPr>
          <w:color w:val="231F20"/>
          <w:spacing w:val="-37"/>
        </w:rPr>
        <w:t> </w:t>
      </w:r>
      <w:r>
        <w:rPr>
          <w:color w:val="231F20"/>
        </w:rPr>
        <w:t>falsificate:</w:t>
      </w:r>
    </w:p>
    <w:p>
      <w:pPr>
        <w:pStyle w:val="BodyText"/>
        <w:spacing w:before="10"/>
        <w:rPr>
          <w:sz w:val="22"/>
        </w:rPr>
      </w:pPr>
    </w:p>
    <w:p>
      <w:pPr>
        <w:spacing w:line="220" w:lineRule="exact" w:before="1"/>
        <w:ind w:left="1521" w:right="112" w:firstLine="0"/>
        <w:jc w:val="both"/>
        <w:rPr>
          <w:sz w:val="19"/>
        </w:rPr>
      </w:pPr>
      <w:r>
        <w:rPr>
          <w:color w:val="231F20"/>
          <w:sz w:val="19"/>
        </w:rPr>
        <w:t>Le tre principali giustificazioni che esplicita ed implícitamente offrì l’amministrazione</w:t>
      </w:r>
      <w:r>
        <w:rPr>
          <w:color w:val="231F20"/>
          <w:spacing w:val="-15"/>
          <w:sz w:val="19"/>
        </w:rPr>
        <w:t> </w:t>
      </w:r>
      <w:r>
        <w:rPr>
          <w:color w:val="231F20"/>
          <w:sz w:val="19"/>
        </w:rPr>
        <w:t>Bush</w:t>
      </w:r>
      <w:r>
        <w:rPr>
          <w:color w:val="231F20"/>
          <w:spacing w:val="-15"/>
          <w:sz w:val="19"/>
        </w:rPr>
        <w:t> </w:t>
      </w:r>
      <w:r>
        <w:rPr>
          <w:color w:val="231F20"/>
          <w:sz w:val="19"/>
        </w:rPr>
        <w:t>per</w:t>
      </w:r>
      <w:r>
        <w:rPr>
          <w:color w:val="231F20"/>
          <w:spacing w:val="-15"/>
          <w:sz w:val="19"/>
        </w:rPr>
        <w:t> </w:t>
      </w:r>
      <w:r>
        <w:rPr>
          <w:color w:val="231F20"/>
          <w:spacing w:val="-3"/>
          <w:sz w:val="19"/>
        </w:rPr>
        <w:t>generare</w:t>
      </w:r>
      <w:r>
        <w:rPr>
          <w:color w:val="231F20"/>
          <w:spacing w:val="-15"/>
          <w:sz w:val="19"/>
        </w:rPr>
        <w:t> </w:t>
      </w:r>
      <w:r>
        <w:rPr>
          <w:color w:val="231F20"/>
          <w:sz w:val="19"/>
        </w:rPr>
        <w:t>sostegno</w:t>
      </w:r>
      <w:r>
        <w:rPr>
          <w:color w:val="231F20"/>
          <w:spacing w:val="-15"/>
          <w:sz w:val="19"/>
        </w:rPr>
        <w:t> </w:t>
      </w:r>
      <w:r>
        <w:rPr>
          <w:color w:val="231F20"/>
          <w:sz w:val="19"/>
        </w:rPr>
        <w:t>pubblico</w:t>
      </w:r>
      <w:r>
        <w:rPr>
          <w:color w:val="231F20"/>
          <w:spacing w:val="-15"/>
          <w:sz w:val="19"/>
        </w:rPr>
        <w:t> </w:t>
      </w:r>
      <w:r>
        <w:rPr>
          <w:color w:val="231F20"/>
          <w:sz w:val="19"/>
        </w:rPr>
        <w:t>alla</w:t>
      </w:r>
      <w:r>
        <w:rPr>
          <w:color w:val="231F20"/>
          <w:spacing w:val="-15"/>
          <w:sz w:val="19"/>
        </w:rPr>
        <w:t> </w:t>
      </w:r>
      <w:r>
        <w:rPr>
          <w:color w:val="231F20"/>
          <w:spacing w:val="-2"/>
          <w:sz w:val="19"/>
        </w:rPr>
        <w:t>guerra </w:t>
      </w:r>
      <w:r>
        <w:rPr>
          <w:color w:val="231F20"/>
          <w:sz w:val="19"/>
        </w:rPr>
        <w:t>furono: che l’Iraq possedeva illegalmente armi di distruzione di </w:t>
      </w:r>
      <w:r>
        <w:rPr>
          <w:color w:val="231F20"/>
          <w:spacing w:val="-3"/>
          <w:sz w:val="19"/>
        </w:rPr>
        <w:t>massa</w:t>
      </w:r>
      <w:r>
        <w:rPr>
          <w:color w:val="231F20"/>
          <w:spacing w:val="-19"/>
          <w:sz w:val="19"/>
        </w:rPr>
        <w:t> </w:t>
      </w:r>
      <w:r>
        <w:rPr>
          <w:color w:val="231F20"/>
          <w:sz w:val="19"/>
        </w:rPr>
        <w:t>ed</w:t>
      </w:r>
      <w:r>
        <w:rPr>
          <w:color w:val="231F20"/>
          <w:spacing w:val="-19"/>
          <w:sz w:val="19"/>
        </w:rPr>
        <w:t> </w:t>
      </w:r>
      <w:r>
        <w:rPr>
          <w:color w:val="231F20"/>
          <w:sz w:val="19"/>
        </w:rPr>
        <w:t>era</w:t>
      </w:r>
      <w:r>
        <w:rPr>
          <w:color w:val="231F20"/>
          <w:spacing w:val="-19"/>
          <w:sz w:val="19"/>
        </w:rPr>
        <w:t> </w:t>
      </w:r>
      <w:r>
        <w:rPr>
          <w:color w:val="231F20"/>
          <w:spacing w:val="-3"/>
          <w:sz w:val="19"/>
        </w:rPr>
        <w:t>pronto</w:t>
      </w:r>
      <w:r>
        <w:rPr>
          <w:color w:val="231F20"/>
          <w:spacing w:val="-19"/>
          <w:sz w:val="19"/>
        </w:rPr>
        <w:t> </w:t>
      </w:r>
      <w:r>
        <w:rPr>
          <w:color w:val="231F20"/>
          <w:sz w:val="19"/>
        </w:rPr>
        <w:t>ad</w:t>
      </w:r>
      <w:r>
        <w:rPr>
          <w:color w:val="231F20"/>
          <w:spacing w:val="-19"/>
          <w:sz w:val="19"/>
        </w:rPr>
        <w:t> </w:t>
      </w:r>
      <w:r>
        <w:rPr>
          <w:color w:val="231F20"/>
          <w:spacing w:val="-3"/>
          <w:sz w:val="19"/>
        </w:rPr>
        <w:t>usarle</w:t>
      </w:r>
      <w:r>
        <w:rPr>
          <w:color w:val="231F20"/>
          <w:spacing w:val="-19"/>
          <w:sz w:val="19"/>
        </w:rPr>
        <w:t> </w:t>
      </w:r>
      <w:r>
        <w:rPr>
          <w:color w:val="231F20"/>
          <w:spacing w:val="-3"/>
          <w:sz w:val="19"/>
        </w:rPr>
        <w:t>contro</w:t>
      </w:r>
      <w:r>
        <w:rPr>
          <w:color w:val="231F20"/>
          <w:spacing w:val="-19"/>
          <w:sz w:val="19"/>
        </w:rPr>
        <w:t> </w:t>
      </w:r>
      <w:r>
        <w:rPr>
          <w:color w:val="231F20"/>
          <w:sz w:val="19"/>
        </w:rPr>
        <w:t>gli</w:t>
      </w:r>
      <w:r>
        <w:rPr>
          <w:color w:val="231F20"/>
          <w:spacing w:val="-19"/>
          <w:sz w:val="19"/>
        </w:rPr>
        <w:t> </w:t>
      </w:r>
      <w:r>
        <w:rPr>
          <w:color w:val="231F20"/>
          <w:sz w:val="16"/>
        </w:rPr>
        <w:t>USA</w:t>
      </w:r>
      <w:r>
        <w:rPr>
          <w:color w:val="231F20"/>
          <w:spacing w:val="-9"/>
          <w:sz w:val="16"/>
        </w:rPr>
        <w:t> </w:t>
      </w:r>
      <w:r>
        <w:rPr>
          <w:color w:val="231F20"/>
          <w:sz w:val="19"/>
        </w:rPr>
        <w:t>in</w:t>
      </w:r>
      <w:r>
        <w:rPr>
          <w:color w:val="231F20"/>
          <w:spacing w:val="-19"/>
          <w:sz w:val="19"/>
        </w:rPr>
        <w:t> </w:t>
      </w:r>
      <w:r>
        <w:rPr>
          <w:color w:val="231F20"/>
          <w:sz w:val="19"/>
        </w:rPr>
        <w:t>un</w:t>
      </w:r>
      <w:r>
        <w:rPr>
          <w:color w:val="231F20"/>
          <w:spacing w:val="-19"/>
          <w:sz w:val="19"/>
        </w:rPr>
        <w:t> </w:t>
      </w:r>
      <w:r>
        <w:rPr>
          <w:color w:val="231F20"/>
          <w:spacing w:val="-3"/>
          <w:sz w:val="19"/>
        </w:rPr>
        <w:t>futuro</w:t>
      </w:r>
      <w:r>
        <w:rPr>
          <w:color w:val="231F20"/>
          <w:spacing w:val="-19"/>
          <w:sz w:val="19"/>
        </w:rPr>
        <w:t> </w:t>
      </w:r>
      <w:r>
        <w:rPr>
          <w:color w:val="231F20"/>
          <w:spacing w:val="-3"/>
          <w:sz w:val="19"/>
        </w:rPr>
        <w:t>immediato; che,</w:t>
      </w:r>
      <w:r>
        <w:rPr>
          <w:color w:val="231F20"/>
          <w:spacing w:val="-21"/>
          <w:sz w:val="19"/>
        </w:rPr>
        <w:t> </w:t>
      </w:r>
      <w:r>
        <w:rPr>
          <w:color w:val="231F20"/>
          <w:sz w:val="19"/>
        </w:rPr>
        <w:t>in</w:t>
      </w:r>
      <w:r>
        <w:rPr>
          <w:color w:val="231F20"/>
          <w:spacing w:val="-21"/>
          <w:sz w:val="19"/>
        </w:rPr>
        <w:t> </w:t>
      </w:r>
      <w:r>
        <w:rPr>
          <w:color w:val="231F20"/>
          <w:spacing w:val="-3"/>
          <w:sz w:val="19"/>
        </w:rPr>
        <w:t>certa</w:t>
      </w:r>
      <w:r>
        <w:rPr>
          <w:color w:val="231F20"/>
          <w:spacing w:val="-21"/>
          <w:sz w:val="19"/>
        </w:rPr>
        <w:t> </w:t>
      </w:r>
      <w:r>
        <w:rPr>
          <w:color w:val="231F20"/>
          <w:spacing w:val="-3"/>
          <w:sz w:val="19"/>
        </w:rPr>
        <w:t>maniera,</w:t>
      </w:r>
      <w:r>
        <w:rPr>
          <w:color w:val="231F20"/>
          <w:spacing w:val="-21"/>
          <w:sz w:val="19"/>
        </w:rPr>
        <w:t> </w:t>
      </w:r>
      <w:r>
        <w:rPr>
          <w:color w:val="231F20"/>
          <w:spacing w:val="-3"/>
          <w:sz w:val="19"/>
        </w:rPr>
        <w:t>l’Iraq</w:t>
      </w:r>
      <w:r>
        <w:rPr>
          <w:color w:val="231F20"/>
          <w:spacing w:val="-21"/>
          <w:sz w:val="19"/>
        </w:rPr>
        <w:t> </w:t>
      </w:r>
      <w:r>
        <w:rPr>
          <w:color w:val="231F20"/>
          <w:sz w:val="19"/>
        </w:rPr>
        <w:t>era</w:t>
      </w:r>
      <w:r>
        <w:rPr>
          <w:color w:val="231F20"/>
          <w:spacing w:val="-21"/>
          <w:sz w:val="19"/>
        </w:rPr>
        <w:t> </w:t>
      </w:r>
      <w:r>
        <w:rPr>
          <w:color w:val="231F20"/>
          <w:spacing w:val="-3"/>
          <w:sz w:val="19"/>
        </w:rPr>
        <w:t>stato</w:t>
      </w:r>
      <w:r>
        <w:rPr>
          <w:color w:val="231F20"/>
          <w:spacing w:val="-21"/>
          <w:sz w:val="19"/>
        </w:rPr>
        <w:t> </w:t>
      </w:r>
      <w:r>
        <w:rPr>
          <w:color w:val="231F20"/>
          <w:spacing w:val="-3"/>
          <w:sz w:val="19"/>
        </w:rPr>
        <w:t>collegato</w:t>
      </w:r>
      <w:r>
        <w:rPr>
          <w:color w:val="231F20"/>
          <w:spacing w:val="-21"/>
          <w:sz w:val="19"/>
        </w:rPr>
        <w:t> </w:t>
      </w:r>
      <w:r>
        <w:rPr>
          <w:color w:val="231F20"/>
          <w:spacing w:val="-3"/>
          <w:sz w:val="19"/>
        </w:rPr>
        <w:t>agli</w:t>
      </w:r>
      <w:r>
        <w:rPr>
          <w:color w:val="231F20"/>
          <w:spacing w:val="-21"/>
          <w:sz w:val="19"/>
        </w:rPr>
        <w:t> </w:t>
      </w:r>
      <w:r>
        <w:rPr>
          <w:color w:val="231F20"/>
          <w:spacing w:val="-3"/>
          <w:sz w:val="19"/>
        </w:rPr>
        <w:t>attacchi</w:t>
      </w:r>
      <w:r>
        <w:rPr>
          <w:color w:val="231F20"/>
          <w:spacing w:val="-21"/>
          <w:sz w:val="19"/>
        </w:rPr>
        <w:t> </w:t>
      </w:r>
      <w:r>
        <w:rPr>
          <w:color w:val="231F20"/>
          <w:spacing w:val="-3"/>
          <w:sz w:val="19"/>
        </w:rPr>
        <w:t>dell’11–S, </w:t>
      </w:r>
      <w:r>
        <w:rPr>
          <w:color w:val="231F20"/>
          <w:sz w:val="19"/>
        </w:rPr>
        <w:t>in</w:t>
      </w:r>
      <w:r>
        <w:rPr>
          <w:color w:val="231F20"/>
          <w:spacing w:val="-19"/>
          <w:sz w:val="19"/>
        </w:rPr>
        <w:t> </w:t>
      </w:r>
      <w:r>
        <w:rPr>
          <w:color w:val="231F20"/>
          <w:sz w:val="19"/>
        </w:rPr>
        <w:t>modo</w:t>
      </w:r>
      <w:r>
        <w:rPr>
          <w:color w:val="231F20"/>
          <w:spacing w:val="-19"/>
          <w:sz w:val="19"/>
        </w:rPr>
        <w:t> </w:t>
      </w:r>
      <w:r>
        <w:rPr>
          <w:color w:val="231F20"/>
          <w:sz w:val="19"/>
        </w:rPr>
        <w:t>che</w:t>
      </w:r>
      <w:r>
        <w:rPr>
          <w:color w:val="231F20"/>
          <w:spacing w:val="-19"/>
          <w:sz w:val="19"/>
        </w:rPr>
        <w:t> </w:t>
      </w:r>
      <w:r>
        <w:rPr>
          <w:color w:val="231F20"/>
          <w:spacing w:val="-3"/>
          <w:sz w:val="19"/>
        </w:rPr>
        <w:t>perseguitare</w:t>
      </w:r>
      <w:r>
        <w:rPr>
          <w:color w:val="231F20"/>
          <w:spacing w:val="-19"/>
          <w:sz w:val="19"/>
        </w:rPr>
        <w:t> </w:t>
      </w:r>
      <w:r>
        <w:rPr>
          <w:color w:val="231F20"/>
          <w:sz w:val="19"/>
        </w:rPr>
        <w:t>Saddam</w:t>
      </w:r>
      <w:r>
        <w:rPr>
          <w:color w:val="231F20"/>
          <w:spacing w:val="-19"/>
          <w:sz w:val="19"/>
        </w:rPr>
        <w:t> </w:t>
      </w:r>
      <w:r>
        <w:rPr>
          <w:color w:val="231F20"/>
          <w:sz w:val="19"/>
        </w:rPr>
        <w:t>Hussein</w:t>
      </w:r>
      <w:r>
        <w:rPr>
          <w:color w:val="231F20"/>
          <w:spacing w:val="-19"/>
          <w:sz w:val="19"/>
        </w:rPr>
        <w:t> </w:t>
      </w:r>
      <w:r>
        <w:rPr>
          <w:color w:val="231F20"/>
          <w:sz w:val="19"/>
        </w:rPr>
        <w:t>era</w:t>
      </w:r>
      <w:r>
        <w:rPr>
          <w:color w:val="231F20"/>
          <w:spacing w:val="-19"/>
          <w:sz w:val="19"/>
        </w:rPr>
        <w:t> </w:t>
      </w:r>
      <w:r>
        <w:rPr>
          <w:color w:val="231F20"/>
          <w:sz w:val="19"/>
        </w:rPr>
        <w:t>la</w:t>
      </w:r>
      <w:r>
        <w:rPr>
          <w:color w:val="231F20"/>
          <w:spacing w:val="-19"/>
          <w:sz w:val="19"/>
        </w:rPr>
        <w:t> </w:t>
      </w:r>
      <w:r>
        <w:rPr>
          <w:color w:val="231F20"/>
          <w:sz w:val="19"/>
        </w:rPr>
        <w:t>successiva</w:t>
      </w:r>
      <w:r>
        <w:rPr>
          <w:color w:val="231F20"/>
          <w:spacing w:val="-19"/>
          <w:sz w:val="19"/>
        </w:rPr>
        <w:t> </w:t>
      </w:r>
      <w:r>
        <w:rPr>
          <w:color w:val="231F20"/>
          <w:spacing w:val="-2"/>
          <w:sz w:val="19"/>
        </w:rPr>
        <w:t>misura </w:t>
      </w:r>
      <w:r>
        <w:rPr>
          <w:color w:val="231F20"/>
          <w:sz w:val="19"/>
        </w:rPr>
        <w:t>razionale</w:t>
      </w:r>
      <w:r>
        <w:rPr>
          <w:color w:val="231F20"/>
          <w:spacing w:val="-15"/>
          <w:sz w:val="19"/>
        </w:rPr>
        <w:t> </w:t>
      </w:r>
      <w:r>
        <w:rPr>
          <w:color w:val="231F20"/>
          <w:sz w:val="19"/>
        </w:rPr>
        <w:t>nella</w:t>
      </w:r>
      <w:r>
        <w:rPr>
          <w:color w:val="231F20"/>
          <w:spacing w:val="-15"/>
          <w:sz w:val="19"/>
        </w:rPr>
        <w:t> </w:t>
      </w:r>
      <w:r>
        <w:rPr>
          <w:color w:val="231F20"/>
          <w:sz w:val="19"/>
        </w:rPr>
        <w:t>campagna</w:t>
      </w:r>
      <w:r>
        <w:rPr>
          <w:color w:val="231F20"/>
          <w:spacing w:val="-15"/>
          <w:sz w:val="19"/>
        </w:rPr>
        <w:t> </w:t>
      </w:r>
      <w:r>
        <w:rPr>
          <w:color w:val="231F20"/>
          <w:sz w:val="19"/>
        </w:rPr>
        <w:t>contro</w:t>
      </w:r>
      <w:r>
        <w:rPr>
          <w:color w:val="231F20"/>
          <w:spacing w:val="-15"/>
          <w:sz w:val="19"/>
        </w:rPr>
        <w:t> </w:t>
      </w:r>
      <w:r>
        <w:rPr>
          <w:color w:val="231F20"/>
          <w:sz w:val="19"/>
        </w:rPr>
        <w:t>Bin</w:t>
      </w:r>
      <w:r>
        <w:rPr>
          <w:color w:val="231F20"/>
          <w:spacing w:val="-15"/>
          <w:sz w:val="19"/>
        </w:rPr>
        <w:t> </w:t>
      </w:r>
      <w:r>
        <w:rPr>
          <w:color w:val="231F20"/>
          <w:sz w:val="19"/>
        </w:rPr>
        <w:t>Laden;</w:t>
      </w:r>
      <w:r>
        <w:rPr>
          <w:color w:val="231F20"/>
          <w:spacing w:val="-15"/>
          <w:sz w:val="19"/>
        </w:rPr>
        <w:t> </w:t>
      </w:r>
      <w:r>
        <w:rPr>
          <w:color w:val="231F20"/>
          <w:sz w:val="19"/>
        </w:rPr>
        <w:t>che,</w:t>
      </w:r>
      <w:r>
        <w:rPr>
          <w:color w:val="231F20"/>
          <w:spacing w:val="-15"/>
          <w:sz w:val="19"/>
        </w:rPr>
        <w:t> </w:t>
      </w:r>
      <w:r>
        <w:rPr>
          <w:color w:val="231F20"/>
          <w:sz w:val="19"/>
        </w:rPr>
        <w:t>oltre</w:t>
      </w:r>
      <w:r>
        <w:rPr>
          <w:color w:val="231F20"/>
          <w:spacing w:val="-15"/>
          <w:sz w:val="19"/>
        </w:rPr>
        <w:t> </w:t>
      </w:r>
      <w:r>
        <w:rPr>
          <w:color w:val="231F20"/>
          <w:sz w:val="19"/>
        </w:rPr>
        <w:t>l’11–S,</w:t>
      </w:r>
      <w:r>
        <w:rPr>
          <w:color w:val="231F20"/>
          <w:spacing w:val="-15"/>
          <w:sz w:val="19"/>
        </w:rPr>
        <w:t> </w:t>
      </w:r>
      <w:r>
        <w:rPr>
          <w:color w:val="231F20"/>
          <w:sz w:val="19"/>
        </w:rPr>
        <w:t>l’Iraq era il principale Stato terrorista, per cui la Guerra contro il </w:t>
      </w:r>
      <w:r>
        <w:rPr>
          <w:color w:val="231F20"/>
          <w:spacing w:val="-5"/>
          <w:sz w:val="19"/>
        </w:rPr>
        <w:t>Terrore </w:t>
      </w:r>
      <w:r>
        <w:rPr>
          <w:color w:val="231F20"/>
          <w:sz w:val="19"/>
        </w:rPr>
        <w:t>doveva passare da</w:t>
      </w:r>
      <w:r>
        <w:rPr>
          <w:color w:val="231F20"/>
          <w:spacing w:val="14"/>
          <w:sz w:val="19"/>
        </w:rPr>
        <w:t> </w:t>
      </w:r>
      <w:r>
        <w:rPr>
          <w:color w:val="231F20"/>
          <w:sz w:val="19"/>
        </w:rPr>
        <w:t>Bagdad</w:t>
      </w:r>
      <w:r>
        <w:rPr>
          <w:color w:val="231F20"/>
          <w:position w:val="6"/>
          <w:sz w:val="11"/>
        </w:rPr>
        <w:t>13</w:t>
      </w:r>
      <w:r>
        <w:rPr>
          <w:color w:val="231F20"/>
          <w:sz w:val="19"/>
        </w:rPr>
        <w:t>.</w:t>
      </w:r>
    </w:p>
    <w:p>
      <w:pPr>
        <w:pStyle w:val="BodyText"/>
        <w:spacing w:before="11"/>
        <w:rPr>
          <w:sz w:val="23"/>
        </w:rPr>
      </w:pPr>
      <w:r>
        <w:rPr/>
        <w:pict>
          <v:line style="position:absolute;mso-position-horizontal-relative:page;mso-position-vertical-relative:paragraph;z-index:9352;mso-wrap-distance-left:0;mso-wrap-distance-right:0" from="65.196899pt,16.5362pt" to="178.582899pt,16.5362pt" stroked="true" strokeweight=".3pt" strokecolor="#231f20">
            <w10:wrap type="topAndBottom"/>
          </v:line>
        </w:pict>
      </w:r>
    </w:p>
    <w:p>
      <w:pPr>
        <w:spacing w:line="204" w:lineRule="exact" w:before="9"/>
        <w:ind w:left="103" w:right="0" w:firstLine="0"/>
        <w:jc w:val="left"/>
        <w:rPr>
          <w:rFonts w:ascii="Calibri" w:hAnsi="Calibri"/>
          <w:sz w:val="17"/>
        </w:rPr>
      </w:pPr>
      <w:r>
        <w:rPr>
          <w:rFonts w:ascii="Calibri" w:hAnsi="Calibri"/>
          <w:color w:val="231F20"/>
          <w:position w:val="6"/>
          <w:sz w:val="10"/>
        </w:rPr>
        <w:t>12 </w:t>
      </w:r>
      <w:r>
        <w:rPr>
          <w:rFonts w:ascii="Calibri" w:hAnsi="Calibri"/>
          <w:color w:val="231F20"/>
          <w:sz w:val="17"/>
        </w:rPr>
        <w:t>Möller, “La suspensión de derechos y garantías en el combate a la delincuencia organizada en México”, pp. 1000–1001.</w:t>
      </w:r>
    </w:p>
    <w:p>
      <w:pPr>
        <w:spacing w:before="1"/>
        <w:ind w:left="103" w:right="0" w:firstLine="0"/>
        <w:jc w:val="left"/>
        <w:rPr>
          <w:rFonts w:ascii="Calibri" w:hAnsi="Calibri"/>
          <w:sz w:val="17"/>
        </w:rPr>
      </w:pPr>
      <w:r>
        <w:rPr>
          <w:rFonts w:ascii="Calibri" w:hAnsi="Calibri"/>
          <w:color w:val="231F20"/>
          <w:position w:val="6"/>
          <w:sz w:val="10"/>
        </w:rPr>
        <w:t>13   </w:t>
      </w:r>
      <w:r>
        <w:rPr>
          <w:rFonts w:ascii="Calibri" w:hAnsi="Calibri"/>
          <w:color w:val="231F20"/>
          <w:sz w:val="17"/>
        </w:rPr>
        <w:t>R. McChesney, “Decir la verdad en el momento de la verdad: la prensa norteamericana y la</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6024"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24</w:t>
        <w:tab/>
      </w:r>
      <w:r>
        <w:rPr>
          <w:rFonts w:ascii="Calibri" w:hAnsi="Calibri"/>
          <w:color w:val="6D6E71"/>
          <w:w w:val="105"/>
          <w:sz w:val="16"/>
        </w:rPr>
        <w:t>Jorge</w:t>
      </w:r>
      <w:r>
        <w:rPr>
          <w:rFonts w:ascii="Calibri" w:hAnsi="Calibri"/>
          <w:color w:val="6D6E71"/>
          <w:spacing w:val="-25"/>
          <w:w w:val="105"/>
          <w:sz w:val="16"/>
        </w:rPr>
        <w:t> </w:t>
      </w:r>
      <w:r>
        <w:rPr>
          <w:rFonts w:ascii="Calibri" w:hAnsi="Calibri"/>
          <w:color w:val="6D6E71"/>
          <w:w w:val="105"/>
          <w:sz w:val="16"/>
        </w:rPr>
        <w:t>Olvera</w:t>
      </w:r>
      <w:r>
        <w:rPr>
          <w:rFonts w:ascii="Calibri" w:hAnsi="Calibri"/>
          <w:color w:val="6D6E71"/>
          <w:spacing w:val="-25"/>
          <w:w w:val="105"/>
          <w:sz w:val="16"/>
        </w:rPr>
        <w:t> </w:t>
      </w:r>
      <w:r>
        <w:rPr>
          <w:rFonts w:ascii="Calibri" w:hAnsi="Calibri"/>
          <w:color w:val="6D6E71"/>
          <w:w w:val="105"/>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597"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597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CAMBIAMENTO</w:t>
      </w:r>
      <w:r>
        <w:rPr>
          <w:rFonts w:ascii="Lucida Sans Unicode" w:hAnsi="Lucida Sans Unicode"/>
          <w:color w:val="6D6E71"/>
          <w:spacing w:val="-25"/>
          <w:w w:val="95"/>
          <w:sz w:val="14"/>
        </w:rPr>
        <w:t> </w:t>
      </w:r>
      <w:r>
        <w:rPr>
          <w:rFonts w:ascii="Lucida Sans Unicode" w:hAnsi="Lucida Sans Unicode"/>
          <w:color w:val="6D6E71"/>
          <w:w w:val="95"/>
          <w:sz w:val="14"/>
        </w:rPr>
        <w:t>DI</w:t>
      </w:r>
      <w:r>
        <w:rPr>
          <w:rFonts w:ascii="Lucida Sans Unicode" w:hAnsi="Lucida Sans Unicode"/>
          <w:color w:val="6D6E71"/>
          <w:spacing w:val="-25"/>
          <w:w w:val="95"/>
          <w:sz w:val="14"/>
        </w:rPr>
        <w:t> </w:t>
      </w:r>
      <w:r>
        <w:rPr>
          <w:rFonts w:ascii="Lucida Sans Unicode" w:hAnsi="Lucida Sans Unicode"/>
          <w:color w:val="6D6E71"/>
          <w:w w:val="95"/>
          <w:sz w:val="14"/>
        </w:rPr>
        <w:t>PARADIGMA</w:t>
      </w:r>
      <w:r>
        <w:rPr>
          <w:rFonts w:ascii="Lucida Sans Unicode" w:hAnsi="Lucida Sans Unicode"/>
          <w:color w:val="6D6E71"/>
          <w:spacing w:val="-25"/>
          <w:w w:val="95"/>
          <w:sz w:val="14"/>
        </w:rPr>
        <w:t> </w:t>
      </w:r>
      <w:r>
        <w:rPr>
          <w:rFonts w:ascii="Lucida Sans Unicode" w:hAnsi="Lucida Sans Unicode"/>
          <w:color w:val="6D6E71"/>
          <w:w w:val="95"/>
          <w:sz w:val="14"/>
        </w:rPr>
        <w:t>GIURIDICO:</w:t>
      </w:r>
      <w:r>
        <w:rPr>
          <w:rFonts w:ascii="Lucida Sans Unicode" w:hAnsi="Lucida Sans Unicode"/>
          <w:color w:val="6D6E71"/>
          <w:spacing w:val="-25"/>
          <w:w w:val="95"/>
          <w:sz w:val="14"/>
        </w:rPr>
        <w:t> </w:t>
      </w:r>
      <w:r>
        <w:rPr>
          <w:rFonts w:ascii="Lucida Sans Unicode" w:hAnsi="Lucida Sans Unicode"/>
          <w:color w:val="6D6E71"/>
          <w:spacing w:val="-3"/>
          <w:w w:val="95"/>
          <w:sz w:val="14"/>
        </w:rPr>
        <w:t>L’11–S</w:t>
      </w:r>
      <w:r>
        <w:rPr>
          <w:rFonts w:ascii="Lucida Sans Unicode" w:hAnsi="Lucida Sans Unicode"/>
          <w:color w:val="6D6E71"/>
          <w:spacing w:val="-25"/>
          <w:w w:val="95"/>
          <w:sz w:val="14"/>
        </w:rPr>
        <w:t> </w:t>
      </w:r>
      <w:r>
        <w:rPr>
          <w:rFonts w:ascii="Lucida Sans Unicode" w:hAnsi="Lucida Sans Unicode"/>
          <w:color w:val="6D6E71"/>
          <w:w w:val="95"/>
          <w:sz w:val="14"/>
        </w:rPr>
        <w:t>E</w:t>
      </w:r>
      <w:r>
        <w:rPr>
          <w:rFonts w:ascii="Lucida Sans Unicode" w:hAnsi="Lucida Sans Unicode"/>
          <w:color w:val="6D6E71"/>
          <w:spacing w:val="-25"/>
          <w:w w:val="95"/>
          <w:sz w:val="14"/>
        </w:rPr>
        <w:t> </w:t>
      </w:r>
      <w:r>
        <w:rPr>
          <w:rFonts w:ascii="Lucida Sans Unicode" w:hAnsi="Lucida Sans Unicode"/>
          <w:color w:val="6D6E71"/>
          <w:w w:val="95"/>
          <w:sz w:val="14"/>
        </w:rPr>
        <w:t>LA</w:t>
      </w:r>
      <w:r>
        <w:rPr>
          <w:rFonts w:ascii="Lucida Sans Unicode" w:hAnsi="Lucida Sans Unicode"/>
          <w:color w:val="6D6E71"/>
          <w:spacing w:val="-25"/>
          <w:w w:val="95"/>
          <w:sz w:val="14"/>
        </w:rPr>
        <w:t> </w:t>
      </w:r>
      <w:r>
        <w:rPr>
          <w:rFonts w:ascii="Lucida Sans Unicode" w:hAnsi="Lucida Sans Unicode"/>
          <w:color w:val="6D6E71"/>
          <w:w w:val="95"/>
          <w:sz w:val="14"/>
        </w:rPr>
        <w:t>CRIMINALITÀ</w:t>
      </w:r>
      <w:r>
        <w:rPr>
          <w:rFonts w:ascii="Lucida Sans Unicode" w:hAnsi="Lucida Sans Unicode"/>
          <w:color w:val="6D6E71"/>
          <w:spacing w:val="-25"/>
          <w:w w:val="95"/>
          <w:sz w:val="14"/>
        </w:rPr>
        <w:t> </w:t>
      </w:r>
      <w:r>
        <w:rPr>
          <w:rFonts w:ascii="Lucida Sans Unicode" w:hAnsi="Lucida Sans Unicode"/>
          <w:color w:val="6D6E71"/>
          <w:w w:val="95"/>
          <w:sz w:val="14"/>
        </w:rPr>
        <w:t>ORGANIZZATA</w:t>
      </w:r>
      <w:r>
        <w:rPr>
          <w:rFonts w:ascii="Lucida Sans Unicode" w:hAnsi="Lucida Sans Unicode"/>
          <w:color w:val="6D6E71"/>
          <w:spacing w:val="-25"/>
          <w:w w:val="95"/>
          <w:sz w:val="14"/>
        </w:rPr>
        <w:t> </w:t>
      </w:r>
      <w:r>
        <w:rPr>
          <w:rFonts w:ascii="Lucida Sans Unicode" w:hAnsi="Lucida Sans Unicode"/>
          <w:color w:val="6D6E71"/>
          <w:w w:val="95"/>
          <w:sz w:val="14"/>
        </w:rPr>
        <w:t>IN</w:t>
      </w:r>
      <w:r>
        <w:rPr>
          <w:rFonts w:ascii="Lucida Sans Unicode" w:hAnsi="Lucida Sans Unicode"/>
          <w:color w:val="6D6E71"/>
          <w:spacing w:val="-25"/>
          <w:w w:val="95"/>
          <w:sz w:val="14"/>
        </w:rPr>
        <w:t> </w:t>
      </w:r>
      <w:r>
        <w:rPr>
          <w:rFonts w:ascii="Lucida Sans Unicode" w:hAnsi="Lucida Sans Unicode"/>
          <w:color w:val="6D6E71"/>
          <w:w w:val="95"/>
          <w:sz w:val="14"/>
        </w:rPr>
        <w:t>MESSICO</w:t>
      </w:r>
      <w:r>
        <w:rPr>
          <w:rFonts w:ascii="Trebuchet MS" w:hAnsi="Trebuchet MS"/>
          <w:color w:val="414042"/>
          <w:w w:val="95"/>
          <w:position w:val="-3"/>
          <w:sz w:val="20"/>
        </w:rPr>
        <w:tab/>
        <w:t>25</w:t>
      </w:r>
    </w:p>
    <w:p>
      <w:pPr>
        <w:pStyle w:val="BodyText"/>
        <w:rPr>
          <w:rFonts w:ascii="Trebuchet MS"/>
          <w:sz w:val="20"/>
        </w:rPr>
      </w:pPr>
    </w:p>
    <w:p>
      <w:pPr>
        <w:pStyle w:val="BodyText"/>
        <w:rPr>
          <w:rFonts w:ascii="Trebuchet MS"/>
          <w:sz w:val="20"/>
        </w:rPr>
      </w:pPr>
    </w:p>
    <w:p>
      <w:pPr>
        <w:pStyle w:val="BodyText"/>
        <w:spacing w:line="247" w:lineRule="auto" w:before="156"/>
        <w:ind w:left="117" w:right="101"/>
        <w:jc w:val="both"/>
      </w:pPr>
      <w:r>
        <w:rPr>
          <w:color w:val="231F20"/>
          <w:w w:val="105"/>
        </w:rPr>
        <w:t>Qualche</w:t>
      </w:r>
      <w:r>
        <w:rPr>
          <w:color w:val="231F20"/>
          <w:spacing w:val="-28"/>
          <w:w w:val="105"/>
        </w:rPr>
        <w:t> </w:t>
      </w:r>
      <w:r>
        <w:rPr>
          <w:color w:val="231F20"/>
          <w:w w:val="105"/>
        </w:rPr>
        <w:t>mese</w:t>
      </w:r>
      <w:r>
        <w:rPr>
          <w:color w:val="231F20"/>
          <w:spacing w:val="-28"/>
          <w:w w:val="105"/>
        </w:rPr>
        <w:t> </w:t>
      </w:r>
      <w:r>
        <w:rPr>
          <w:color w:val="231F20"/>
          <w:w w:val="105"/>
        </w:rPr>
        <w:t>prima</w:t>
      </w:r>
      <w:r>
        <w:rPr>
          <w:color w:val="231F20"/>
          <w:spacing w:val="-28"/>
          <w:w w:val="105"/>
        </w:rPr>
        <w:t> </w:t>
      </w:r>
      <w:r>
        <w:rPr>
          <w:color w:val="231F20"/>
          <w:w w:val="105"/>
        </w:rPr>
        <w:t>dell’invasione</w:t>
      </w:r>
      <w:r>
        <w:rPr>
          <w:color w:val="231F20"/>
          <w:spacing w:val="-28"/>
          <w:w w:val="105"/>
        </w:rPr>
        <w:t> </w:t>
      </w:r>
      <w:r>
        <w:rPr>
          <w:color w:val="231F20"/>
          <w:w w:val="105"/>
        </w:rPr>
        <w:t>dell’Iraq,</w:t>
      </w:r>
      <w:r>
        <w:rPr>
          <w:color w:val="231F20"/>
          <w:spacing w:val="-28"/>
          <w:w w:val="105"/>
        </w:rPr>
        <w:t> </w:t>
      </w:r>
      <w:r>
        <w:rPr>
          <w:color w:val="231F20"/>
          <w:w w:val="105"/>
        </w:rPr>
        <w:t>il</w:t>
      </w:r>
      <w:r>
        <w:rPr>
          <w:color w:val="231F20"/>
          <w:spacing w:val="-28"/>
          <w:w w:val="105"/>
        </w:rPr>
        <w:t> </w:t>
      </w:r>
      <w:r>
        <w:rPr>
          <w:color w:val="231F20"/>
          <w:w w:val="105"/>
        </w:rPr>
        <w:t>25</w:t>
      </w:r>
      <w:r>
        <w:rPr>
          <w:color w:val="231F20"/>
          <w:spacing w:val="-28"/>
          <w:w w:val="105"/>
        </w:rPr>
        <w:t> </w:t>
      </w:r>
      <w:r>
        <w:rPr>
          <w:color w:val="231F20"/>
          <w:w w:val="105"/>
        </w:rPr>
        <w:t>settembre</w:t>
      </w:r>
      <w:r>
        <w:rPr>
          <w:color w:val="231F20"/>
          <w:spacing w:val="-28"/>
          <w:w w:val="105"/>
        </w:rPr>
        <w:t> </w:t>
      </w:r>
      <w:r>
        <w:rPr>
          <w:color w:val="231F20"/>
          <w:w w:val="105"/>
        </w:rPr>
        <w:t>2002,</w:t>
      </w:r>
      <w:r>
        <w:rPr>
          <w:color w:val="231F20"/>
          <w:spacing w:val="-28"/>
          <w:w w:val="105"/>
        </w:rPr>
        <w:t> </w:t>
      </w:r>
      <w:r>
        <w:rPr>
          <w:color w:val="231F20"/>
          <w:w w:val="105"/>
        </w:rPr>
        <w:t>la</w:t>
      </w:r>
      <w:r>
        <w:rPr>
          <w:color w:val="231F20"/>
          <w:spacing w:val="-28"/>
          <w:w w:val="105"/>
        </w:rPr>
        <w:t> </w:t>
      </w:r>
      <w:r>
        <w:rPr>
          <w:color w:val="231F20"/>
          <w:w w:val="105"/>
        </w:rPr>
        <w:t>Casa Bianca</w:t>
      </w:r>
      <w:r>
        <w:rPr>
          <w:color w:val="231F20"/>
          <w:spacing w:val="-19"/>
          <w:w w:val="105"/>
        </w:rPr>
        <w:t> </w:t>
      </w:r>
      <w:r>
        <w:rPr>
          <w:color w:val="231F20"/>
          <w:w w:val="105"/>
        </w:rPr>
        <w:t>pubblicò</w:t>
      </w:r>
      <w:r>
        <w:rPr>
          <w:color w:val="231F20"/>
          <w:spacing w:val="-19"/>
          <w:w w:val="105"/>
        </w:rPr>
        <w:t> </w:t>
      </w:r>
      <w:r>
        <w:rPr>
          <w:color w:val="231F20"/>
          <w:w w:val="105"/>
        </w:rPr>
        <w:t>uno</w:t>
      </w:r>
      <w:r>
        <w:rPr>
          <w:color w:val="231F20"/>
          <w:spacing w:val="-19"/>
          <w:w w:val="105"/>
        </w:rPr>
        <w:t> </w:t>
      </w:r>
      <w:r>
        <w:rPr>
          <w:color w:val="231F20"/>
          <w:w w:val="105"/>
        </w:rPr>
        <w:t>scritto</w:t>
      </w:r>
      <w:r>
        <w:rPr>
          <w:color w:val="231F20"/>
          <w:spacing w:val="-19"/>
          <w:w w:val="105"/>
        </w:rPr>
        <w:t> </w:t>
      </w:r>
      <w:r>
        <w:rPr>
          <w:color w:val="231F20"/>
          <w:w w:val="105"/>
        </w:rPr>
        <w:t>intitolato:</w:t>
      </w:r>
      <w:r>
        <w:rPr>
          <w:color w:val="231F20"/>
          <w:spacing w:val="-19"/>
          <w:w w:val="105"/>
        </w:rPr>
        <w:t> </w:t>
      </w:r>
      <w:r>
        <w:rPr>
          <w:color w:val="231F20"/>
          <w:w w:val="105"/>
        </w:rPr>
        <w:t>“La</w:t>
      </w:r>
      <w:r>
        <w:rPr>
          <w:color w:val="231F20"/>
          <w:spacing w:val="-19"/>
          <w:w w:val="105"/>
        </w:rPr>
        <w:t> </w:t>
      </w:r>
      <w:r>
        <w:rPr>
          <w:color w:val="231F20"/>
          <w:w w:val="105"/>
        </w:rPr>
        <w:t>strategia</w:t>
      </w:r>
      <w:r>
        <w:rPr>
          <w:color w:val="231F20"/>
          <w:spacing w:val="-19"/>
          <w:w w:val="105"/>
        </w:rPr>
        <w:t> </w:t>
      </w:r>
      <w:r>
        <w:rPr>
          <w:color w:val="231F20"/>
          <w:w w:val="105"/>
        </w:rPr>
        <w:t>di</w:t>
      </w:r>
      <w:r>
        <w:rPr>
          <w:color w:val="231F20"/>
          <w:spacing w:val="-19"/>
          <w:w w:val="105"/>
        </w:rPr>
        <w:t> </w:t>
      </w:r>
      <w:r>
        <w:rPr>
          <w:color w:val="231F20"/>
          <w:w w:val="105"/>
        </w:rPr>
        <w:t>sicurezza</w:t>
      </w:r>
      <w:r>
        <w:rPr>
          <w:color w:val="231F20"/>
          <w:spacing w:val="-19"/>
          <w:w w:val="105"/>
        </w:rPr>
        <w:t> </w:t>
      </w:r>
      <w:r>
        <w:rPr>
          <w:color w:val="231F20"/>
          <w:w w:val="105"/>
        </w:rPr>
        <w:t>nazionale degli</w:t>
      </w:r>
      <w:r>
        <w:rPr>
          <w:color w:val="231F20"/>
          <w:spacing w:val="-35"/>
          <w:w w:val="105"/>
        </w:rPr>
        <w:t> </w:t>
      </w:r>
      <w:r>
        <w:rPr>
          <w:color w:val="231F20"/>
          <w:w w:val="105"/>
        </w:rPr>
        <w:t>Stati</w:t>
      </w:r>
      <w:r>
        <w:rPr>
          <w:color w:val="231F20"/>
          <w:spacing w:val="-35"/>
          <w:w w:val="105"/>
        </w:rPr>
        <w:t> </w:t>
      </w:r>
      <w:r>
        <w:rPr>
          <w:color w:val="231F20"/>
          <w:w w:val="105"/>
        </w:rPr>
        <w:t>Uniti”,</w:t>
      </w:r>
      <w:r>
        <w:rPr>
          <w:color w:val="231F20"/>
          <w:spacing w:val="-35"/>
          <w:w w:val="105"/>
        </w:rPr>
        <w:t> </w:t>
      </w:r>
      <w:r>
        <w:rPr>
          <w:color w:val="231F20"/>
          <w:w w:val="105"/>
        </w:rPr>
        <w:t>in</w:t>
      </w:r>
      <w:r>
        <w:rPr>
          <w:color w:val="231F20"/>
          <w:spacing w:val="-35"/>
          <w:w w:val="105"/>
        </w:rPr>
        <w:t> </w:t>
      </w:r>
      <w:r>
        <w:rPr>
          <w:color w:val="231F20"/>
          <w:w w:val="105"/>
        </w:rPr>
        <w:t>cui</w:t>
      </w:r>
      <w:r>
        <w:rPr>
          <w:color w:val="231F20"/>
          <w:spacing w:val="-35"/>
          <w:w w:val="105"/>
        </w:rPr>
        <w:t> </w:t>
      </w:r>
      <w:r>
        <w:rPr>
          <w:color w:val="231F20"/>
          <w:w w:val="105"/>
        </w:rPr>
        <w:t>si</w:t>
      </w:r>
      <w:r>
        <w:rPr>
          <w:color w:val="231F20"/>
          <w:spacing w:val="-35"/>
          <w:w w:val="105"/>
        </w:rPr>
        <w:t> </w:t>
      </w:r>
      <w:r>
        <w:rPr>
          <w:color w:val="231F20"/>
          <w:w w:val="105"/>
        </w:rPr>
        <w:t>svela</w:t>
      </w:r>
      <w:r>
        <w:rPr>
          <w:color w:val="231F20"/>
          <w:spacing w:val="-35"/>
          <w:w w:val="105"/>
        </w:rPr>
        <w:t> </w:t>
      </w:r>
      <w:r>
        <w:rPr>
          <w:color w:val="231F20"/>
          <w:w w:val="105"/>
        </w:rPr>
        <w:t>un</w:t>
      </w:r>
      <w:r>
        <w:rPr>
          <w:color w:val="231F20"/>
          <w:spacing w:val="-35"/>
          <w:w w:val="105"/>
        </w:rPr>
        <w:t> </w:t>
      </w:r>
      <w:r>
        <w:rPr>
          <w:color w:val="231F20"/>
          <w:w w:val="105"/>
        </w:rPr>
        <w:t>chiaro</w:t>
      </w:r>
      <w:r>
        <w:rPr>
          <w:color w:val="231F20"/>
          <w:spacing w:val="-35"/>
          <w:w w:val="105"/>
        </w:rPr>
        <w:t> </w:t>
      </w:r>
      <w:r>
        <w:rPr>
          <w:color w:val="231F20"/>
          <w:w w:val="105"/>
        </w:rPr>
        <w:t>gesto</w:t>
      </w:r>
      <w:r>
        <w:rPr>
          <w:color w:val="231F20"/>
          <w:spacing w:val="-35"/>
          <w:w w:val="105"/>
        </w:rPr>
        <w:t> </w:t>
      </w:r>
      <w:r>
        <w:rPr>
          <w:color w:val="231F20"/>
          <w:w w:val="105"/>
        </w:rPr>
        <w:t>interventista</w:t>
      </w:r>
      <w:r>
        <w:rPr>
          <w:color w:val="231F20"/>
          <w:spacing w:val="-35"/>
          <w:w w:val="105"/>
        </w:rPr>
        <w:t> </w:t>
      </w:r>
      <w:r>
        <w:rPr>
          <w:color w:val="231F20"/>
          <w:w w:val="105"/>
        </w:rPr>
        <w:t>ed</w:t>
      </w:r>
      <w:r>
        <w:rPr>
          <w:color w:val="231F20"/>
          <w:spacing w:val="-35"/>
          <w:w w:val="105"/>
        </w:rPr>
        <w:t> </w:t>
      </w:r>
      <w:r>
        <w:rPr>
          <w:color w:val="231F20"/>
          <w:w w:val="105"/>
        </w:rPr>
        <w:t>imperialista </w:t>
      </w:r>
      <w:r>
        <w:rPr>
          <w:color w:val="231F20"/>
          <w:spacing w:val="-3"/>
          <w:w w:val="105"/>
        </w:rPr>
        <w:t>nordamericano</w:t>
      </w:r>
      <w:r>
        <w:rPr>
          <w:color w:val="231F20"/>
          <w:spacing w:val="-49"/>
          <w:w w:val="105"/>
        </w:rPr>
        <w:t> </w:t>
      </w:r>
      <w:r>
        <w:rPr>
          <w:color w:val="231F20"/>
          <w:w w:val="105"/>
        </w:rPr>
        <w:t>sulla</w:t>
      </w:r>
      <w:r>
        <w:rPr>
          <w:color w:val="231F20"/>
          <w:spacing w:val="-49"/>
          <w:w w:val="105"/>
        </w:rPr>
        <w:t> </w:t>
      </w:r>
      <w:r>
        <w:rPr>
          <w:color w:val="231F20"/>
          <w:w w:val="105"/>
        </w:rPr>
        <w:t>base</w:t>
      </w:r>
      <w:r>
        <w:rPr>
          <w:color w:val="231F20"/>
          <w:spacing w:val="-49"/>
          <w:w w:val="105"/>
        </w:rPr>
        <w:t> </w:t>
      </w:r>
      <w:r>
        <w:rPr>
          <w:color w:val="231F20"/>
          <w:w w:val="105"/>
        </w:rPr>
        <w:t>dei</w:t>
      </w:r>
      <w:r>
        <w:rPr>
          <w:color w:val="231F20"/>
          <w:spacing w:val="-48"/>
          <w:w w:val="105"/>
        </w:rPr>
        <w:t> </w:t>
      </w:r>
      <w:r>
        <w:rPr>
          <w:color w:val="231F20"/>
          <w:w w:val="105"/>
        </w:rPr>
        <w:t>“valori</w:t>
      </w:r>
      <w:r>
        <w:rPr>
          <w:color w:val="231F20"/>
          <w:spacing w:val="-48"/>
          <w:w w:val="105"/>
        </w:rPr>
        <w:t> </w:t>
      </w:r>
      <w:r>
        <w:rPr>
          <w:color w:val="231F20"/>
          <w:w w:val="105"/>
        </w:rPr>
        <w:t>ed</w:t>
      </w:r>
      <w:r>
        <w:rPr>
          <w:color w:val="231F20"/>
          <w:spacing w:val="-49"/>
          <w:w w:val="105"/>
        </w:rPr>
        <w:t> </w:t>
      </w:r>
      <w:r>
        <w:rPr>
          <w:color w:val="231F20"/>
          <w:spacing w:val="-3"/>
          <w:w w:val="105"/>
        </w:rPr>
        <w:t>interessi</w:t>
      </w:r>
      <w:r>
        <w:rPr>
          <w:color w:val="231F20"/>
          <w:spacing w:val="-49"/>
          <w:w w:val="105"/>
        </w:rPr>
        <w:t> </w:t>
      </w:r>
      <w:r>
        <w:rPr>
          <w:color w:val="231F20"/>
          <w:w w:val="105"/>
        </w:rPr>
        <w:t>nazionali”.</w:t>
      </w:r>
      <w:r>
        <w:rPr>
          <w:color w:val="231F20"/>
          <w:spacing w:val="-48"/>
          <w:w w:val="105"/>
        </w:rPr>
        <w:t> </w:t>
      </w:r>
      <w:r>
        <w:rPr>
          <w:color w:val="231F20"/>
          <w:w w:val="105"/>
        </w:rPr>
        <w:t>In</w:t>
      </w:r>
      <w:r>
        <w:rPr>
          <w:color w:val="231F20"/>
          <w:spacing w:val="-49"/>
          <w:w w:val="105"/>
        </w:rPr>
        <w:t> </w:t>
      </w:r>
      <w:r>
        <w:rPr>
          <w:color w:val="231F20"/>
          <w:w w:val="105"/>
        </w:rPr>
        <w:t>questo</w:t>
      </w:r>
      <w:r>
        <w:rPr>
          <w:color w:val="231F20"/>
          <w:spacing w:val="-49"/>
          <w:w w:val="105"/>
        </w:rPr>
        <w:t> </w:t>
      </w:r>
      <w:r>
        <w:rPr>
          <w:color w:val="231F20"/>
          <w:w w:val="105"/>
        </w:rPr>
        <w:t>modo, gli</w:t>
      </w:r>
      <w:r>
        <w:rPr>
          <w:color w:val="231F20"/>
          <w:spacing w:val="-45"/>
          <w:w w:val="105"/>
        </w:rPr>
        <w:t> </w:t>
      </w:r>
      <w:r>
        <w:rPr>
          <w:color w:val="231F20"/>
          <w:w w:val="105"/>
          <w:sz w:val="18"/>
        </w:rPr>
        <w:t>USA</w:t>
      </w:r>
      <w:r>
        <w:rPr>
          <w:color w:val="231F20"/>
          <w:spacing w:val="-35"/>
          <w:w w:val="105"/>
          <w:sz w:val="18"/>
        </w:rPr>
        <w:t> </w:t>
      </w:r>
      <w:r>
        <w:rPr>
          <w:color w:val="231F20"/>
          <w:w w:val="105"/>
        </w:rPr>
        <w:t>si</w:t>
      </w:r>
      <w:r>
        <w:rPr>
          <w:color w:val="231F20"/>
          <w:spacing w:val="-45"/>
          <w:w w:val="105"/>
        </w:rPr>
        <w:t> </w:t>
      </w:r>
      <w:r>
        <w:rPr>
          <w:color w:val="231F20"/>
          <w:w w:val="105"/>
        </w:rPr>
        <w:t>sono</w:t>
      </w:r>
      <w:r>
        <w:rPr>
          <w:color w:val="231F20"/>
          <w:spacing w:val="-45"/>
          <w:w w:val="105"/>
        </w:rPr>
        <w:t> </w:t>
      </w:r>
      <w:r>
        <w:rPr>
          <w:color w:val="231F20"/>
          <w:w w:val="105"/>
        </w:rPr>
        <w:t>sentiti</w:t>
      </w:r>
      <w:r>
        <w:rPr>
          <w:color w:val="231F20"/>
          <w:spacing w:val="-45"/>
          <w:w w:val="105"/>
        </w:rPr>
        <w:t> </w:t>
      </w:r>
      <w:r>
        <w:rPr>
          <w:color w:val="231F20"/>
          <w:w w:val="105"/>
        </w:rPr>
        <w:t>legittimati</w:t>
      </w:r>
      <w:r>
        <w:rPr>
          <w:color w:val="231F20"/>
          <w:spacing w:val="-45"/>
          <w:w w:val="105"/>
        </w:rPr>
        <w:t> </w:t>
      </w:r>
      <w:r>
        <w:rPr>
          <w:color w:val="231F20"/>
          <w:w w:val="105"/>
        </w:rPr>
        <w:t>per</w:t>
      </w:r>
      <w:r>
        <w:rPr>
          <w:color w:val="231F20"/>
          <w:spacing w:val="-45"/>
          <w:w w:val="105"/>
        </w:rPr>
        <w:t> </w:t>
      </w:r>
      <w:r>
        <w:rPr>
          <w:color w:val="231F20"/>
          <w:spacing w:val="-3"/>
          <w:w w:val="105"/>
        </w:rPr>
        <w:t>difendere</w:t>
      </w:r>
      <w:r>
        <w:rPr>
          <w:color w:val="231F20"/>
          <w:spacing w:val="-45"/>
          <w:w w:val="105"/>
        </w:rPr>
        <w:t> </w:t>
      </w:r>
      <w:r>
        <w:rPr>
          <w:color w:val="231F20"/>
          <w:w w:val="105"/>
        </w:rPr>
        <w:t>la</w:t>
      </w:r>
      <w:r>
        <w:rPr>
          <w:color w:val="231F20"/>
          <w:spacing w:val="-45"/>
          <w:w w:val="105"/>
        </w:rPr>
        <w:t> </w:t>
      </w:r>
      <w:r>
        <w:rPr>
          <w:color w:val="231F20"/>
          <w:w w:val="105"/>
        </w:rPr>
        <w:t>giustizia</w:t>
      </w:r>
      <w:r>
        <w:rPr>
          <w:color w:val="231F20"/>
          <w:spacing w:val="-45"/>
          <w:w w:val="105"/>
        </w:rPr>
        <w:t> </w:t>
      </w:r>
      <w:r>
        <w:rPr>
          <w:color w:val="231F20"/>
          <w:w w:val="105"/>
        </w:rPr>
        <w:t>e</w:t>
      </w:r>
      <w:r>
        <w:rPr>
          <w:color w:val="231F20"/>
          <w:spacing w:val="-45"/>
          <w:w w:val="105"/>
        </w:rPr>
        <w:t> </w:t>
      </w:r>
      <w:r>
        <w:rPr>
          <w:color w:val="231F20"/>
          <w:w w:val="105"/>
        </w:rPr>
        <w:t>la</w:t>
      </w:r>
      <w:r>
        <w:rPr>
          <w:color w:val="231F20"/>
          <w:spacing w:val="-45"/>
          <w:w w:val="105"/>
        </w:rPr>
        <w:t> </w:t>
      </w:r>
      <w:r>
        <w:rPr>
          <w:color w:val="231F20"/>
          <w:spacing w:val="-3"/>
          <w:w w:val="105"/>
        </w:rPr>
        <w:t>presunta</w:t>
      </w:r>
      <w:r>
        <w:rPr>
          <w:color w:val="231F20"/>
          <w:spacing w:val="-45"/>
          <w:w w:val="105"/>
        </w:rPr>
        <w:t> </w:t>
      </w:r>
      <w:r>
        <w:rPr>
          <w:color w:val="231F20"/>
          <w:w w:val="105"/>
        </w:rPr>
        <w:t>libertà di</w:t>
      </w:r>
      <w:r>
        <w:rPr>
          <w:color w:val="231F20"/>
          <w:spacing w:val="-28"/>
          <w:w w:val="105"/>
        </w:rPr>
        <w:t> </w:t>
      </w:r>
      <w:r>
        <w:rPr>
          <w:color w:val="231F20"/>
          <w:w w:val="105"/>
        </w:rPr>
        <w:t>ogni</w:t>
      </w:r>
      <w:r>
        <w:rPr>
          <w:color w:val="231F20"/>
          <w:spacing w:val="-28"/>
          <w:w w:val="105"/>
        </w:rPr>
        <w:t> </w:t>
      </w:r>
      <w:r>
        <w:rPr>
          <w:color w:val="231F20"/>
          <w:w w:val="105"/>
        </w:rPr>
        <w:t>persona</w:t>
      </w:r>
      <w:r>
        <w:rPr>
          <w:color w:val="231F20"/>
          <w:spacing w:val="-28"/>
          <w:w w:val="105"/>
        </w:rPr>
        <w:t> </w:t>
      </w:r>
      <w:r>
        <w:rPr>
          <w:color w:val="231F20"/>
          <w:w w:val="105"/>
        </w:rPr>
        <w:t>che</w:t>
      </w:r>
      <w:r>
        <w:rPr>
          <w:color w:val="231F20"/>
          <w:spacing w:val="-28"/>
          <w:w w:val="105"/>
        </w:rPr>
        <w:t> </w:t>
      </w:r>
      <w:r>
        <w:rPr>
          <w:color w:val="231F20"/>
          <w:w w:val="105"/>
        </w:rPr>
        <w:t>sia</w:t>
      </w:r>
      <w:r>
        <w:rPr>
          <w:color w:val="231F20"/>
          <w:spacing w:val="-28"/>
          <w:w w:val="105"/>
        </w:rPr>
        <w:t> </w:t>
      </w:r>
      <w:r>
        <w:rPr>
          <w:color w:val="231F20"/>
          <w:w w:val="105"/>
        </w:rPr>
        <w:t>dalla</w:t>
      </w:r>
      <w:r>
        <w:rPr>
          <w:color w:val="231F20"/>
          <w:spacing w:val="-28"/>
          <w:w w:val="105"/>
        </w:rPr>
        <w:t> </w:t>
      </w:r>
      <w:r>
        <w:rPr>
          <w:color w:val="231F20"/>
          <w:w w:val="105"/>
        </w:rPr>
        <w:t>loro</w:t>
      </w:r>
      <w:r>
        <w:rPr>
          <w:color w:val="231F20"/>
          <w:spacing w:val="-28"/>
          <w:w w:val="105"/>
        </w:rPr>
        <w:t> </w:t>
      </w:r>
      <w:r>
        <w:rPr>
          <w:color w:val="231F20"/>
          <w:w w:val="105"/>
        </w:rPr>
        <w:t>parte,</w:t>
      </w:r>
      <w:r>
        <w:rPr>
          <w:color w:val="231F20"/>
          <w:spacing w:val="-28"/>
          <w:w w:val="105"/>
        </w:rPr>
        <w:t> </w:t>
      </w:r>
      <w:r>
        <w:rPr>
          <w:color w:val="231F20"/>
          <w:w w:val="105"/>
        </w:rPr>
        <w:t>in</w:t>
      </w:r>
      <w:r>
        <w:rPr>
          <w:color w:val="231F20"/>
          <w:spacing w:val="-28"/>
          <w:w w:val="105"/>
        </w:rPr>
        <w:t> </w:t>
      </w:r>
      <w:r>
        <w:rPr>
          <w:color w:val="231F20"/>
          <w:w w:val="105"/>
        </w:rPr>
        <w:t>qualsiasi</w:t>
      </w:r>
      <w:r>
        <w:rPr>
          <w:color w:val="231F20"/>
          <w:spacing w:val="-28"/>
          <w:w w:val="105"/>
        </w:rPr>
        <w:t> </w:t>
      </w:r>
      <w:r>
        <w:rPr>
          <w:color w:val="231F20"/>
          <w:w w:val="105"/>
        </w:rPr>
        <w:t>luogo</w:t>
      </w:r>
      <w:r>
        <w:rPr>
          <w:color w:val="231F20"/>
          <w:spacing w:val="-28"/>
          <w:w w:val="105"/>
        </w:rPr>
        <w:t> </w:t>
      </w:r>
      <w:r>
        <w:rPr>
          <w:color w:val="231F20"/>
          <w:w w:val="105"/>
        </w:rPr>
        <w:t>al</w:t>
      </w:r>
      <w:r>
        <w:rPr>
          <w:color w:val="231F20"/>
          <w:spacing w:val="-28"/>
          <w:w w:val="105"/>
        </w:rPr>
        <w:t> </w:t>
      </w:r>
      <w:r>
        <w:rPr>
          <w:color w:val="231F20"/>
          <w:w w:val="105"/>
        </w:rPr>
        <w:t>mondo.</w:t>
      </w:r>
      <w:r>
        <w:rPr>
          <w:color w:val="231F20"/>
          <w:spacing w:val="-28"/>
          <w:w w:val="105"/>
        </w:rPr>
        <w:t> </w:t>
      </w:r>
      <w:r>
        <w:rPr>
          <w:color w:val="231F20"/>
          <w:w w:val="105"/>
        </w:rPr>
        <w:t>Senza dubbio,</w:t>
      </w:r>
      <w:r>
        <w:rPr>
          <w:color w:val="231F20"/>
          <w:spacing w:val="-18"/>
          <w:w w:val="105"/>
        </w:rPr>
        <w:t> </w:t>
      </w:r>
      <w:r>
        <w:rPr>
          <w:color w:val="231F20"/>
          <w:w w:val="105"/>
        </w:rPr>
        <w:t>i</w:t>
      </w:r>
      <w:r>
        <w:rPr>
          <w:color w:val="231F20"/>
          <w:spacing w:val="-18"/>
          <w:w w:val="105"/>
        </w:rPr>
        <w:t> </w:t>
      </w:r>
      <w:r>
        <w:rPr>
          <w:color w:val="231F20"/>
          <w:w w:val="105"/>
        </w:rPr>
        <w:t>processi</w:t>
      </w:r>
      <w:r>
        <w:rPr>
          <w:color w:val="231F20"/>
          <w:spacing w:val="-18"/>
          <w:w w:val="105"/>
        </w:rPr>
        <w:t> </w:t>
      </w:r>
      <w:r>
        <w:rPr>
          <w:color w:val="231F20"/>
          <w:w w:val="105"/>
        </w:rPr>
        <w:t>planetari</w:t>
      </w:r>
      <w:r>
        <w:rPr>
          <w:color w:val="231F20"/>
          <w:spacing w:val="-18"/>
          <w:w w:val="105"/>
        </w:rPr>
        <w:t> </w:t>
      </w:r>
      <w:r>
        <w:rPr>
          <w:color w:val="231F20"/>
          <w:w w:val="105"/>
        </w:rPr>
        <w:t>sono</w:t>
      </w:r>
      <w:r>
        <w:rPr>
          <w:color w:val="231F20"/>
          <w:spacing w:val="-18"/>
          <w:w w:val="105"/>
        </w:rPr>
        <w:t> </w:t>
      </w:r>
      <w:r>
        <w:rPr>
          <w:color w:val="231F20"/>
          <w:w w:val="105"/>
        </w:rPr>
        <w:t>governati</w:t>
      </w:r>
      <w:r>
        <w:rPr>
          <w:color w:val="231F20"/>
          <w:spacing w:val="-18"/>
          <w:w w:val="105"/>
        </w:rPr>
        <w:t> </w:t>
      </w:r>
      <w:r>
        <w:rPr>
          <w:color w:val="231F20"/>
          <w:w w:val="105"/>
        </w:rPr>
        <w:t>da</w:t>
      </w:r>
      <w:r>
        <w:rPr>
          <w:color w:val="231F20"/>
          <w:spacing w:val="-18"/>
          <w:w w:val="105"/>
        </w:rPr>
        <w:t> </w:t>
      </w:r>
      <w:r>
        <w:rPr>
          <w:color w:val="231F20"/>
          <w:w w:val="105"/>
        </w:rPr>
        <w:t>poteri</w:t>
      </w:r>
      <w:r>
        <w:rPr>
          <w:color w:val="231F20"/>
          <w:spacing w:val="-18"/>
          <w:w w:val="105"/>
        </w:rPr>
        <w:t> </w:t>
      </w:r>
      <w:r>
        <w:rPr>
          <w:color w:val="231F20"/>
          <w:w w:val="105"/>
        </w:rPr>
        <w:t>fattici</w:t>
      </w:r>
      <w:r>
        <w:rPr>
          <w:color w:val="231F20"/>
          <w:spacing w:val="-18"/>
          <w:w w:val="105"/>
        </w:rPr>
        <w:t> </w:t>
      </w:r>
      <w:r>
        <w:rPr>
          <w:color w:val="231F20"/>
          <w:w w:val="105"/>
        </w:rPr>
        <w:t>che</w:t>
      </w:r>
      <w:r>
        <w:rPr>
          <w:color w:val="231F20"/>
          <w:spacing w:val="-18"/>
          <w:w w:val="105"/>
        </w:rPr>
        <w:t> </w:t>
      </w:r>
      <w:r>
        <w:rPr>
          <w:color w:val="231F20"/>
          <w:w w:val="105"/>
        </w:rPr>
        <w:t>si</w:t>
      </w:r>
      <w:r>
        <w:rPr>
          <w:color w:val="231F20"/>
          <w:spacing w:val="-18"/>
          <w:w w:val="105"/>
        </w:rPr>
        <w:t> </w:t>
      </w:r>
      <w:r>
        <w:rPr>
          <w:color w:val="231F20"/>
          <w:w w:val="105"/>
        </w:rPr>
        <w:t>trovano oltre</w:t>
      </w:r>
      <w:r>
        <w:rPr>
          <w:color w:val="231F20"/>
          <w:spacing w:val="-33"/>
          <w:w w:val="105"/>
        </w:rPr>
        <w:t> </w:t>
      </w:r>
      <w:r>
        <w:rPr>
          <w:color w:val="231F20"/>
          <w:w w:val="105"/>
        </w:rPr>
        <w:t>ogni</w:t>
      </w:r>
      <w:r>
        <w:rPr>
          <w:color w:val="231F20"/>
          <w:spacing w:val="-33"/>
          <w:w w:val="105"/>
        </w:rPr>
        <w:t> </w:t>
      </w:r>
      <w:r>
        <w:rPr>
          <w:color w:val="231F20"/>
          <w:w w:val="105"/>
        </w:rPr>
        <w:t>controllo</w:t>
      </w:r>
      <w:r>
        <w:rPr>
          <w:color w:val="231F20"/>
          <w:spacing w:val="-33"/>
          <w:w w:val="105"/>
        </w:rPr>
        <w:t> </w:t>
      </w:r>
      <w:r>
        <w:rPr>
          <w:color w:val="231F20"/>
          <w:w w:val="105"/>
        </w:rPr>
        <w:t>e</w:t>
      </w:r>
      <w:r>
        <w:rPr>
          <w:color w:val="231F20"/>
          <w:spacing w:val="-33"/>
          <w:w w:val="105"/>
        </w:rPr>
        <w:t> </w:t>
      </w:r>
      <w:r>
        <w:rPr>
          <w:color w:val="231F20"/>
          <w:w w:val="105"/>
        </w:rPr>
        <w:t>anche</w:t>
      </w:r>
      <w:r>
        <w:rPr>
          <w:color w:val="231F20"/>
          <w:spacing w:val="-32"/>
          <w:w w:val="105"/>
        </w:rPr>
        <w:t> </w:t>
      </w:r>
      <w:r>
        <w:rPr>
          <w:color w:val="231F20"/>
          <w:w w:val="105"/>
        </w:rPr>
        <w:t>al</w:t>
      </w:r>
      <w:r>
        <w:rPr>
          <w:color w:val="231F20"/>
          <w:spacing w:val="-33"/>
          <w:w w:val="105"/>
        </w:rPr>
        <w:t> </w:t>
      </w:r>
      <w:r>
        <w:rPr>
          <w:color w:val="231F20"/>
          <w:w w:val="105"/>
        </w:rPr>
        <w:t>di</w:t>
      </w:r>
      <w:r>
        <w:rPr>
          <w:color w:val="231F20"/>
          <w:spacing w:val="-33"/>
          <w:w w:val="105"/>
        </w:rPr>
        <w:t> </w:t>
      </w:r>
      <w:r>
        <w:rPr>
          <w:color w:val="231F20"/>
          <w:w w:val="105"/>
        </w:rPr>
        <w:t>là</w:t>
      </w:r>
      <w:r>
        <w:rPr>
          <w:color w:val="231F20"/>
          <w:spacing w:val="-32"/>
          <w:w w:val="105"/>
        </w:rPr>
        <w:t> </w:t>
      </w:r>
      <w:r>
        <w:rPr>
          <w:color w:val="231F20"/>
          <w:w w:val="105"/>
        </w:rPr>
        <w:t>delle</w:t>
      </w:r>
      <w:r>
        <w:rPr>
          <w:color w:val="231F20"/>
          <w:spacing w:val="-33"/>
          <w:w w:val="105"/>
        </w:rPr>
        <w:t> </w:t>
      </w:r>
      <w:r>
        <w:rPr>
          <w:color w:val="231F20"/>
          <w:w w:val="105"/>
        </w:rPr>
        <w:t>istanze</w:t>
      </w:r>
      <w:r>
        <w:rPr>
          <w:color w:val="231F20"/>
          <w:spacing w:val="-33"/>
          <w:w w:val="105"/>
        </w:rPr>
        <w:t> </w:t>
      </w:r>
      <w:r>
        <w:rPr>
          <w:color w:val="231F20"/>
          <w:w w:val="105"/>
        </w:rPr>
        <w:t>statali.</w:t>
      </w:r>
      <w:r>
        <w:rPr>
          <w:color w:val="231F20"/>
          <w:spacing w:val="-33"/>
          <w:w w:val="105"/>
        </w:rPr>
        <w:t> </w:t>
      </w:r>
      <w:r>
        <w:rPr>
          <w:color w:val="231F20"/>
          <w:w w:val="105"/>
        </w:rPr>
        <w:t>Per</w:t>
      </w:r>
      <w:r>
        <w:rPr>
          <w:color w:val="231F20"/>
          <w:spacing w:val="-33"/>
          <w:w w:val="105"/>
        </w:rPr>
        <w:t> </w:t>
      </w:r>
      <w:r>
        <w:rPr>
          <w:color w:val="231F20"/>
          <w:w w:val="105"/>
        </w:rPr>
        <w:t>Noam</w:t>
      </w:r>
      <w:r>
        <w:rPr>
          <w:color w:val="231F20"/>
          <w:spacing w:val="-33"/>
          <w:w w:val="105"/>
        </w:rPr>
        <w:t> </w:t>
      </w:r>
      <w:r>
        <w:rPr>
          <w:color w:val="231F20"/>
          <w:w w:val="105"/>
        </w:rPr>
        <w:t>Chomsky la</w:t>
      </w:r>
      <w:r>
        <w:rPr>
          <w:color w:val="231F20"/>
          <w:spacing w:val="-35"/>
          <w:w w:val="105"/>
        </w:rPr>
        <w:t> </w:t>
      </w:r>
      <w:r>
        <w:rPr>
          <w:color w:val="231F20"/>
          <w:w w:val="105"/>
        </w:rPr>
        <w:t>tendenza</w:t>
      </w:r>
      <w:r>
        <w:rPr>
          <w:color w:val="231F20"/>
          <w:spacing w:val="-35"/>
          <w:w w:val="105"/>
        </w:rPr>
        <w:t> </w:t>
      </w:r>
      <w:r>
        <w:rPr>
          <w:color w:val="231F20"/>
          <w:w w:val="105"/>
        </w:rPr>
        <w:t>della</w:t>
      </w:r>
      <w:r>
        <w:rPr>
          <w:color w:val="231F20"/>
          <w:spacing w:val="-35"/>
          <w:w w:val="105"/>
        </w:rPr>
        <w:t> </w:t>
      </w:r>
      <w:r>
        <w:rPr>
          <w:color w:val="231F20"/>
          <w:w w:val="105"/>
        </w:rPr>
        <w:t>nuova</w:t>
      </w:r>
      <w:r>
        <w:rPr>
          <w:color w:val="231F20"/>
          <w:spacing w:val="-35"/>
          <w:w w:val="105"/>
        </w:rPr>
        <w:t> </w:t>
      </w:r>
      <w:r>
        <w:rPr>
          <w:color w:val="231F20"/>
          <w:w w:val="105"/>
        </w:rPr>
        <w:t>era</w:t>
      </w:r>
      <w:r>
        <w:rPr>
          <w:color w:val="231F20"/>
          <w:spacing w:val="-35"/>
          <w:w w:val="105"/>
        </w:rPr>
        <w:t> </w:t>
      </w:r>
      <w:r>
        <w:rPr>
          <w:color w:val="231F20"/>
          <w:w w:val="105"/>
        </w:rPr>
        <w:t>dell’imperialismo</w:t>
      </w:r>
      <w:r>
        <w:rPr>
          <w:color w:val="231F20"/>
          <w:spacing w:val="-35"/>
          <w:w w:val="105"/>
        </w:rPr>
        <w:t> </w:t>
      </w:r>
      <w:r>
        <w:rPr>
          <w:color w:val="231F20"/>
          <w:w w:val="105"/>
        </w:rPr>
        <w:t>è</w:t>
      </w:r>
      <w:r>
        <w:rPr>
          <w:color w:val="231F20"/>
          <w:spacing w:val="-35"/>
          <w:w w:val="105"/>
        </w:rPr>
        <w:t> </w:t>
      </w:r>
      <w:r>
        <w:rPr>
          <w:color w:val="231F20"/>
          <w:w w:val="105"/>
        </w:rPr>
        <w:t>chiara:</w:t>
      </w:r>
    </w:p>
    <w:p>
      <w:pPr>
        <w:pStyle w:val="BodyText"/>
        <w:spacing w:before="10"/>
        <w:rPr>
          <w:sz w:val="22"/>
        </w:rPr>
      </w:pPr>
    </w:p>
    <w:p>
      <w:pPr>
        <w:spacing w:line="220" w:lineRule="exact" w:before="1"/>
        <w:ind w:left="1534" w:right="101" w:firstLine="0"/>
        <w:jc w:val="both"/>
        <w:rPr>
          <w:sz w:val="19"/>
        </w:rPr>
      </w:pPr>
      <w:r>
        <w:rPr>
          <w:color w:val="231F20"/>
          <w:sz w:val="19"/>
        </w:rPr>
        <w:t>Mirano verso un governo mondiale (dei ricchi e per i ricchi), stati nazionali che mobilitano risorse attorno alle loro banche e grandi </w:t>
      </w:r>
      <w:r>
        <w:rPr>
          <w:color w:val="231F20"/>
          <w:spacing w:val="-3"/>
          <w:sz w:val="19"/>
        </w:rPr>
        <w:t>aziende</w:t>
      </w:r>
      <w:r>
        <w:rPr>
          <w:color w:val="231F20"/>
          <w:spacing w:val="-12"/>
          <w:sz w:val="19"/>
        </w:rPr>
        <w:t> </w:t>
      </w:r>
      <w:r>
        <w:rPr>
          <w:color w:val="231F20"/>
          <w:sz w:val="19"/>
        </w:rPr>
        <w:t>con</w:t>
      </w:r>
      <w:r>
        <w:rPr>
          <w:color w:val="231F20"/>
          <w:spacing w:val="-14"/>
          <w:sz w:val="19"/>
        </w:rPr>
        <w:t> </w:t>
      </w:r>
      <w:r>
        <w:rPr>
          <w:color w:val="231F20"/>
          <w:spacing w:val="-3"/>
          <w:sz w:val="19"/>
        </w:rPr>
        <w:t>base</w:t>
      </w:r>
      <w:r>
        <w:rPr>
          <w:color w:val="231F20"/>
          <w:spacing w:val="-12"/>
          <w:sz w:val="19"/>
        </w:rPr>
        <w:t> </w:t>
      </w:r>
      <w:r>
        <w:rPr>
          <w:color w:val="231F20"/>
          <w:spacing w:val="-3"/>
          <w:sz w:val="19"/>
        </w:rPr>
        <w:t>nazionale,</w:t>
      </w:r>
      <w:r>
        <w:rPr>
          <w:color w:val="231F20"/>
          <w:spacing w:val="-14"/>
          <w:sz w:val="19"/>
        </w:rPr>
        <w:t> </w:t>
      </w:r>
      <w:r>
        <w:rPr>
          <w:color w:val="231F20"/>
          <w:sz w:val="19"/>
        </w:rPr>
        <w:t>e</w:t>
      </w:r>
      <w:r>
        <w:rPr>
          <w:color w:val="231F20"/>
          <w:spacing w:val="-14"/>
          <w:sz w:val="19"/>
        </w:rPr>
        <w:t> </w:t>
      </w:r>
      <w:r>
        <w:rPr>
          <w:color w:val="231F20"/>
          <w:sz w:val="19"/>
        </w:rPr>
        <w:t>che</w:t>
      </w:r>
      <w:r>
        <w:rPr>
          <w:color w:val="231F20"/>
          <w:spacing w:val="-14"/>
          <w:sz w:val="19"/>
        </w:rPr>
        <w:t> </w:t>
      </w:r>
      <w:r>
        <w:rPr>
          <w:color w:val="231F20"/>
          <w:spacing w:val="-3"/>
          <w:sz w:val="19"/>
        </w:rPr>
        <w:t>controllano</w:t>
      </w:r>
      <w:r>
        <w:rPr>
          <w:color w:val="231F20"/>
          <w:spacing w:val="-14"/>
          <w:sz w:val="19"/>
        </w:rPr>
        <w:t> </w:t>
      </w:r>
      <w:r>
        <w:rPr>
          <w:color w:val="231F20"/>
          <w:sz w:val="19"/>
        </w:rPr>
        <w:t>alla</w:t>
      </w:r>
      <w:r>
        <w:rPr>
          <w:color w:val="231F20"/>
          <w:spacing w:val="-14"/>
          <w:sz w:val="19"/>
        </w:rPr>
        <w:t> </w:t>
      </w:r>
      <w:r>
        <w:rPr>
          <w:color w:val="231F20"/>
          <w:spacing w:val="-3"/>
          <w:sz w:val="19"/>
        </w:rPr>
        <w:t>popolazione;</w:t>
      </w:r>
      <w:r>
        <w:rPr>
          <w:color w:val="231F20"/>
          <w:spacing w:val="-14"/>
          <w:sz w:val="19"/>
        </w:rPr>
        <w:t> </w:t>
      </w:r>
      <w:r>
        <w:rPr>
          <w:color w:val="231F20"/>
          <w:spacing w:val="-3"/>
          <w:sz w:val="19"/>
        </w:rPr>
        <w:t>una </w:t>
      </w:r>
      <w:r>
        <w:rPr>
          <w:color w:val="231F20"/>
          <w:sz w:val="19"/>
        </w:rPr>
        <w:t>maggiore crescita delle grandi aziende transnazionali che devono controllare l’economia mondiale. E in questa Nuova Era</w:t>
      </w:r>
      <w:r>
        <w:rPr>
          <w:color w:val="231F20"/>
          <w:spacing w:val="-41"/>
          <w:sz w:val="19"/>
        </w:rPr>
        <w:t> </w:t>
      </w:r>
      <w:r>
        <w:rPr>
          <w:color w:val="231F20"/>
          <w:sz w:val="19"/>
        </w:rPr>
        <w:t>Imperiale, di cui parla la stampa finanziaria, vanno formando pian piano le proprie istituzioni di governo che sono il riflesso di quelle realtà economiche</w:t>
      </w:r>
      <w:r>
        <w:rPr>
          <w:color w:val="231F20"/>
          <w:position w:val="6"/>
          <w:sz w:val="11"/>
        </w:rPr>
        <w:t>14</w:t>
      </w:r>
      <w:r>
        <w:rPr>
          <w:color w:val="231F20"/>
          <w:sz w:val="19"/>
        </w:rPr>
        <w:t>.</w:t>
      </w:r>
    </w:p>
    <w:p>
      <w:pPr>
        <w:pStyle w:val="BodyText"/>
        <w:spacing w:before="11"/>
        <w:rPr>
          <w:sz w:val="23"/>
        </w:rPr>
      </w:pPr>
    </w:p>
    <w:p>
      <w:pPr>
        <w:pStyle w:val="BodyText"/>
        <w:spacing w:line="247" w:lineRule="auto"/>
        <w:ind w:left="117" w:right="99"/>
        <w:jc w:val="both"/>
      </w:pPr>
      <w:r>
        <w:rPr>
          <w:color w:val="231F20"/>
        </w:rPr>
        <w:t>Gli</w:t>
      </w:r>
      <w:r>
        <w:rPr>
          <w:color w:val="231F20"/>
          <w:spacing w:val="-15"/>
        </w:rPr>
        <w:t> </w:t>
      </w:r>
      <w:r>
        <w:rPr>
          <w:color w:val="231F20"/>
        </w:rPr>
        <w:t>Stati</w:t>
      </w:r>
      <w:r>
        <w:rPr>
          <w:color w:val="231F20"/>
          <w:spacing w:val="-15"/>
        </w:rPr>
        <w:t> </w:t>
      </w:r>
      <w:r>
        <w:rPr>
          <w:color w:val="231F20"/>
        </w:rPr>
        <w:t>Uniti</w:t>
      </w:r>
      <w:r>
        <w:rPr>
          <w:color w:val="231F20"/>
          <w:spacing w:val="-15"/>
        </w:rPr>
        <w:t> </w:t>
      </w:r>
      <w:r>
        <w:rPr>
          <w:color w:val="231F20"/>
        </w:rPr>
        <w:t>hanno</w:t>
      </w:r>
      <w:r>
        <w:rPr>
          <w:color w:val="231F20"/>
          <w:spacing w:val="-15"/>
        </w:rPr>
        <w:t> </w:t>
      </w:r>
      <w:r>
        <w:rPr>
          <w:color w:val="231F20"/>
        </w:rPr>
        <w:t>perso</w:t>
      </w:r>
      <w:r>
        <w:rPr>
          <w:color w:val="231F20"/>
          <w:spacing w:val="-15"/>
        </w:rPr>
        <w:t> </w:t>
      </w:r>
      <w:r>
        <w:rPr>
          <w:color w:val="231F20"/>
        </w:rPr>
        <w:t>parte</w:t>
      </w:r>
      <w:r>
        <w:rPr>
          <w:color w:val="231F20"/>
          <w:spacing w:val="-15"/>
        </w:rPr>
        <w:t> </w:t>
      </w:r>
      <w:r>
        <w:rPr>
          <w:color w:val="231F20"/>
        </w:rPr>
        <w:t>della</w:t>
      </w:r>
      <w:r>
        <w:rPr>
          <w:color w:val="231F20"/>
          <w:spacing w:val="-15"/>
        </w:rPr>
        <w:t> </w:t>
      </w:r>
      <w:r>
        <w:rPr>
          <w:color w:val="231F20"/>
        </w:rPr>
        <w:t>loro</w:t>
      </w:r>
      <w:r>
        <w:rPr>
          <w:color w:val="231F20"/>
          <w:spacing w:val="-15"/>
        </w:rPr>
        <w:t> </w:t>
      </w:r>
      <w:r>
        <w:rPr>
          <w:color w:val="231F20"/>
        </w:rPr>
        <w:t>forza</w:t>
      </w:r>
      <w:r>
        <w:rPr>
          <w:color w:val="231F20"/>
          <w:spacing w:val="-15"/>
        </w:rPr>
        <w:t> </w:t>
      </w:r>
      <w:r>
        <w:rPr>
          <w:color w:val="231F20"/>
        </w:rPr>
        <w:t>per</w:t>
      </w:r>
      <w:r>
        <w:rPr>
          <w:color w:val="231F20"/>
          <w:spacing w:val="-15"/>
        </w:rPr>
        <w:t> </w:t>
      </w:r>
      <w:r>
        <w:rPr>
          <w:color w:val="231F20"/>
        </w:rPr>
        <w:t>controllare</w:t>
      </w:r>
      <w:r>
        <w:rPr>
          <w:color w:val="231F20"/>
          <w:spacing w:val="-15"/>
        </w:rPr>
        <w:t> </w:t>
      </w:r>
      <w:r>
        <w:rPr>
          <w:color w:val="231F20"/>
        </w:rPr>
        <w:t>il</w:t>
      </w:r>
      <w:r>
        <w:rPr>
          <w:color w:val="231F20"/>
          <w:spacing w:val="-15"/>
        </w:rPr>
        <w:t> </w:t>
      </w:r>
      <w:r>
        <w:rPr>
          <w:color w:val="231F20"/>
        </w:rPr>
        <w:t>mondo,</w:t>
      </w:r>
      <w:r>
        <w:rPr>
          <w:color w:val="231F20"/>
          <w:spacing w:val="-15"/>
        </w:rPr>
        <w:t> </w:t>
      </w:r>
      <w:r>
        <w:rPr>
          <w:color w:val="231F20"/>
        </w:rPr>
        <w:t>ciò nonostante,</w:t>
      </w:r>
      <w:r>
        <w:rPr>
          <w:color w:val="231F20"/>
          <w:spacing w:val="-23"/>
        </w:rPr>
        <w:t> </w:t>
      </w:r>
      <w:r>
        <w:rPr>
          <w:color w:val="231F20"/>
        </w:rPr>
        <w:t>continuano</w:t>
      </w:r>
      <w:r>
        <w:rPr>
          <w:color w:val="231F20"/>
          <w:spacing w:val="-23"/>
        </w:rPr>
        <w:t> </w:t>
      </w:r>
      <w:r>
        <w:rPr>
          <w:color w:val="231F20"/>
        </w:rPr>
        <w:t>a</w:t>
      </w:r>
      <w:r>
        <w:rPr>
          <w:color w:val="231F20"/>
          <w:spacing w:val="-23"/>
        </w:rPr>
        <w:t> </w:t>
      </w:r>
      <w:r>
        <w:rPr>
          <w:color w:val="231F20"/>
        </w:rPr>
        <w:t>dominare.</w:t>
      </w:r>
      <w:r>
        <w:rPr>
          <w:color w:val="231F20"/>
          <w:spacing w:val="-23"/>
        </w:rPr>
        <w:t> </w:t>
      </w:r>
      <w:r>
        <w:rPr>
          <w:color w:val="231F20"/>
        </w:rPr>
        <w:t>I</w:t>
      </w:r>
      <w:r>
        <w:rPr>
          <w:color w:val="231F20"/>
          <w:spacing w:val="-23"/>
        </w:rPr>
        <w:t> </w:t>
      </w:r>
      <w:r>
        <w:rPr>
          <w:color w:val="231F20"/>
        </w:rPr>
        <w:t>loro</w:t>
      </w:r>
      <w:r>
        <w:rPr>
          <w:color w:val="231F20"/>
          <w:spacing w:val="-23"/>
        </w:rPr>
        <w:t> </w:t>
      </w:r>
      <w:r>
        <w:rPr>
          <w:color w:val="231F20"/>
        </w:rPr>
        <w:t>avversari</w:t>
      </w:r>
      <w:r>
        <w:rPr>
          <w:color w:val="231F20"/>
          <w:spacing w:val="-23"/>
        </w:rPr>
        <w:t> </w:t>
      </w:r>
      <w:r>
        <w:rPr>
          <w:color w:val="231F20"/>
        </w:rPr>
        <w:t>bramano</w:t>
      </w:r>
      <w:r>
        <w:rPr>
          <w:color w:val="231F20"/>
          <w:spacing w:val="-23"/>
        </w:rPr>
        <w:t> </w:t>
      </w:r>
      <w:r>
        <w:rPr>
          <w:color w:val="231F20"/>
        </w:rPr>
        <w:t>la</w:t>
      </w:r>
      <w:r>
        <w:rPr>
          <w:color w:val="231F20"/>
          <w:spacing w:val="-23"/>
        </w:rPr>
        <w:t> </w:t>
      </w:r>
      <w:r>
        <w:rPr>
          <w:color w:val="231F20"/>
        </w:rPr>
        <w:t>loro</w:t>
      </w:r>
      <w:r>
        <w:rPr>
          <w:color w:val="231F20"/>
          <w:spacing w:val="-23"/>
        </w:rPr>
        <w:t> </w:t>
      </w:r>
      <w:r>
        <w:rPr>
          <w:color w:val="231F20"/>
        </w:rPr>
        <w:t>caduta. Ad esempio, la Russia cerca di recuperare il suo ruolo egemonico, lo Stato Islamico continuerà la sua politica di terrore, la Cina spiana la strada con il suo potere economico e influenza geopolitica, minacciando con indebolire ancora di più, nelle decadi successive, l’ordine liberale e democratico. Il mondo davanti ai nostri occhi si trasforma. Ci saranno sempre persone pericolose e persone disoneste, e insieme a questo, la diffusione della tecnologia probabilmente ci farà ancora più</w:t>
      </w:r>
      <w:r>
        <w:rPr>
          <w:color w:val="231F20"/>
          <w:spacing w:val="47"/>
        </w:rPr>
        <w:t> </w:t>
      </w:r>
      <w:r>
        <w:rPr>
          <w:color w:val="231F20"/>
        </w:rPr>
        <w:t>vulnerabili.</w:t>
      </w:r>
    </w:p>
    <w:p>
      <w:pPr>
        <w:pStyle w:val="BodyText"/>
        <w:spacing w:before="5"/>
        <w:rPr>
          <w:sz w:val="24"/>
        </w:rPr>
      </w:pPr>
    </w:p>
    <w:p>
      <w:pPr>
        <w:spacing w:before="1"/>
        <w:ind w:left="117" w:right="0" w:firstLine="0"/>
        <w:jc w:val="both"/>
        <w:rPr>
          <w:rFonts w:ascii="Arial" w:hAnsi="Arial"/>
          <w:i/>
          <w:sz w:val="21"/>
        </w:rPr>
      </w:pPr>
      <w:r>
        <w:rPr>
          <w:rFonts w:ascii="Arial" w:hAnsi="Arial"/>
          <w:i/>
          <w:color w:val="231F20"/>
          <w:sz w:val="21"/>
        </w:rPr>
        <w:t>Criminalità organizzata in Messico</w:t>
      </w:r>
    </w:p>
    <w:p>
      <w:pPr>
        <w:pStyle w:val="BodyText"/>
        <w:rPr>
          <w:rFonts w:ascii="Arial"/>
          <w:i/>
          <w:sz w:val="20"/>
        </w:rPr>
      </w:pPr>
    </w:p>
    <w:p>
      <w:pPr>
        <w:pStyle w:val="BodyText"/>
        <w:spacing w:line="247" w:lineRule="auto" w:before="172"/>
        <w:ind w:left="117" w:right="100"/>
        <w:jc w:val="both"/>
      </w:pPr>
      <w:r>
        <w:rPr>
          <w:color w:val="231F20"/>
          <w:w w:val="105"/>
        </w:rPr>
        <w:t>La risposta del Messico davanti all’11–S fu senza dubbio prudente. </w:t>
      </w:r>
      <w:r>
        <w:rPr>
          <w:color w:val="231F20"/>
          <w:spacing w:val="2"/>
          <w:w w:val="105"/>
        </w:rPr>
        <w:t>Nel Consiglio </w:t>
      </w:r>
      <w:r>
        <w:rPr>
          <w:color w:val="231F20"/>
          <w:w w:val="105"/>
        </w:rPr>
        <w:t>di </w:t>
      </w:r>
      <w:r>
        <w:rPr>
          <w:color w:val="231F20"/>
          <w:spacing w:val="2"/>
          <w:w w:val="105"/>
        </w:rPr>
        <w:t>Sicurezza dell’</w:t>
      </w:r>
      <w:r>
        <w:rPr>
          <w:color w:val="231F20"/>
          <w:spacing w:val="2"/>
          <w:w w:val="105"/>
          <w:sz w:val="18"/>
        </w:rPr>
        <w:t>ONU </w:t>
      </w:r>
      <w:r>
        <w:rPr>
          <w:color w:val="231F20"/>
          <w:w w:val="105"/>
        </w:rPr>
        <w:t>non </w:t>
      </w:r>
      <w:r>
        <w:rPr>
          <w:color w:val="231F20"/>
          <w:spacing w:val="2"/>
          <w:w w:val="105"/>
        </w:rPr>
        <w:t>assecondò </w:t>
      </w:r>
      <w:r>
        <w:rPr>
          <w:color w:val="231F20"/>
          <w:w w:val="105"/>
        </w:rPr>
        <w:t>la </w:t>
      </w:r>
      <w:r>
        <w:rPr>
          <w:color w:val="231F20"/>
          <w:spacing w:val="2"/>
          <w:w w:val="105"/>
        </w:rPr>
        <w:t>posizione degli Stati </w:t>
      </w:r>
      <w:r>
        <w:rPr>
          <w:color w:val="231F20"/>
          <w:w w:val="105"/>
        </w:rPr>
        <w:t>Uniti</w:t>
      </w:r>
      <w:r>
        <w:rPr>
          <w:color w:val="231F20"/>
          <w:spacing w:val="-30"/>
          <w:w w:val="105"/>
        </w:rPr>
        <w:t> </w:t>
      </w:r>
      <w:r>
        <w:rPr>
          <w:color w:val="231F20"/>
          <w:w w:val="105"/>
        </w:rPr>
        <w:t>e</w:t>
      </w:r>
      <w:r>
        <w:rPr>
          <w:color w:val="231F20"/>
          <w:spacing w:val="-30"/>
          <w:w w:val="105"/>
        </w:rPr>
        <w:t> </w:t>
      </w:r>
      <w:r>
        <w:rPr>
          <w:color w:val="231F20"/>
          <w:w w:val="105"/>
        </w:rPr>
        <w:t>Gran</w:t>
      </w:r>
      <w:r>
        <w:rPr>
          <w:color w:val="231F20"/>
          <w:spacing w:val="-30"/>
          <w:w w:val="105"/>
        </w:rPr>
        <w:t> </w:t>
      </w:r>
      <w:r>
        <w:rPr>
          <w:color w:val="231F20"/>
          <w:w w:val="105"/>
        </w:rPr>
        <w:t>Bretagna,</w:t>
      </w:r>
      <w:r>
        <w:rPr>
          <w:color w:val="231F20"/>
          <w:spacing w:val="-30"/>
          <w:w w:val="105"/>
        </w:rPr>
        <w:t> </w:t>
      </w:r>
      <w:r>
        <w:rPr>
          <w:color w:val="231F20"/>
          <w:w w:val="105"/>
        </w:rPr>
        <w:t>che</w:t>
      </w:r>
      <w:r>
        <w:rPr>
          <w:color w:val="231F20"/>
          <w:spacing w:val="-30"/>
          <w:w w:val="105"/>
        </w:rPr>
        <w:t> </w:t>
      </w:r>
      <w:r>
        <w:rPr>
          <w:color w:val="231F20"/>
          <w:w w:val="105"/>
        </w:rPr>
        <w:t>pretendevano</w:t>
      </w:r>
      <w:r>
        <w:rPr>
          <w:color w:val="231F20"/>
          <w:spacing w:val="-30"/>
          <w:w w:val="105"/>
        </w:rPr>
        <w:t> </w:t>
      </w:r>
      <w:r>
        <w:rPr>
          <w:color w:val="231F20"/>
          <w:w w:val="105"/>
        </w:rPr>
        <w:t>che</w:t>
      </w:r>
      <w:r>
        <w:rPr>
          <w:color w:val="231F20"/>
          <w:spacing w:val="-30"/>
          <w:w w:val="105"/>
        </w:rPr>
        <w:t> </w:t>
      </w:r>
      <w:r>
        <w:rPr>
          <w:color w:val="231F20"/>
          <w:w w:val="105"/>
        </w:rPr>
        <w:t>il</w:t>
      </w:r>
      <w:r>
        <w:rPr>
          <w:color w:val="231F20"/>
          <w:spacing w:val="-30"/>
          <w:w w:val="105"/>
        </w:rPr>
        <w:t> </w:t>
      </w:r>
      <w:r>
        <w:rPr>
          <w:color w:val="231F20"/>
          <w:w w:val="105"/>
        </w:rPr>
        <w:t>Consiglio</w:t>
      </w:r>
      <w:r>
        <w:rPr>
          <w:color w:val="231F20"/>
          <w:spacing w:val="-30"/>
          <w:w w:val="105"/>
        </w:rPr>
        <w:t> </w:t>
      </w:r>
      <w:r>
        <w:rPr>
          <w:color w:val="231F20"/>
          <w:w w:val="105"/>
        </w:rPr>
        <w:t>appoggiasse</w:t>
      </w:r>
      <w:r>
        <w:rPr>
          <w:color w:val="231F20"/>
          <w:spacing w:val="-30"/>
          <w:w w:val="105"/>
        </w:rPr>
        <w:t> </w:t>
      </w:r>
      <w:r>
        <w:rPr>
          <w:color w:val="231F20"/>
          <w:w w:val="105"/>
        </w:rPr>
        <w:t>una risoluzione</w:t>
      </w:r>
      <w:r>
        <w:rPr>
          <w:color w:val="231F20"/>
          <w:spacing w:val="-18"/>
          <w:w w:val="105"/>
        </w:rPr>
        <w:t> </w:t>
      </w:r>
      <w:r>
        <w:rPr>
          <w:color w:val="231F20"/>
          <w:w w:val="105"/>
        </w:rPr>
        <w:t>radicale</w:t>
      </w:r>
      <w:r>
        <w:rPr>
          <w:color w:val="231F20"/>
          <w:spacing w:val="-18"/>
          <w:w w:val="105"/>
        </w:rPr>
        <w:t> </w:t>
      </w:r>
      <w:r>
        <w:rPr>
          <w:color w:val="231F20"/>
          <w:w w:val="105"/>
        </w:rPr>
        <w:t>per</w:t>
      </w:r>
      <w:r>
        <w:rPr>
          <w:color w:val="231F20"/>
          <w:spacing w:val="-18"/>
          <w:w w:val="105"/>
        </w:rPr>
        <w:t> </w:t>
      </w:r>
      <w:r>
        <w:rPr>
          <w:color w:val="231F20"/>
          <w:w w:val="105"/>
        </w:rPr>
        <w:t>attaccare</w:t>
      </w:r>
      <w:r>
        <w:rPr>
          <w:color w:val="231F20"/>
          <w:spacing w:val="-18"/>
          <w:w w:val="105"/>
        </w:rPr>
        <w:t> </w:t>
      </w:r>
      <w:r>
        <w:rPr>
          <w:color w:val="231F20"/>
          <w:w w:val="105"/>
        </w:rPr>
        <w:t>militarmente</w:t>
      </w:r>
      <w:r>
        <w:rPr>
          <w:color w:val="231F20"/>
          <w:spacing w:val="-18"/>
          <w:w w:val="105"/>
        </w:rPr>
        <w:t> </w:t>
      </w:r>
      <w:r>
        <w:rPr>
          <w:color w:val="231F20"/>
          <w:w w:val="105"/>
        </w:rPr>
        <w:t>l’Iraq.</w:t>
      </w:r>
      <w:r>
        <w:rPr>
          <w:color w:val="231F20"/>
          <w:spacing w:val="-18"/>
          <w:w w:val="105"/>
        </w:rPr>
        <w:t> </w:t>
      </w:r>
      <w:r>
        <w:rPr>
          <w:color w:val="231F20"/>
          <w:w w:val="105"/>
        </w:rPr>
        <w:t>Il</w:t>
      </w:r>
      <w:r>
        <w:rPr>
          <w:color w:val="231F20"/>
          <w:spacing w:val="-18"/>
          <w:w w:val="105"/>
        </w:rPr>
        <w:t> </w:t>
      </w:r>
      <w:r>
        <w:rPr>
          <w:color w:val="231F20"/>
          <w:w w:val="105"/>
        </w:rPr>
        <w:t>Messico</w:t>
      </w:r>
      <w:r>
        <w:rPr>
          <w:color w:val="231F20"/>
          <w:spacing w:val="-18"/>
          <w:w w:val="105"/>
        </w:rPr>
        <w:t> </w:t>
      </w:r>
      <w:r>
        <w:rPr>
          <w:color w:val="231F20"/>
          <w:w w:val="105"/>
        </w:rPr>
        <w:t>si</w:t>
      </w:r>
      <w:r>
        <w:rPr>
          <w:color w:val="231F20"/>
          <w:spacing w:val="-18"/>
          <w:w w:val="105"/>
        </w:rPr>
        <w:t> </w:t>
      </w:r>
      <w:r>
        <w:rPr>
          <w:color w:val="231F20"/>
          <w:w w:val="105"/>
        </w:rPr>
        <w:t>inclinò per la proposta che obbligava all’Iraq ad accettare gli ispettori dell’</w:t>
      </w:r>
      <w:r>
        <w:rPr>
          <w:color w:val="231F20"/>
          <w:w w:val="105"/>
          <w:sz w:val="18"/>
        </w:rPr>
        <w:t>ONU </w:t>
      </w:r>
      <w:r>
        <w:rPr>
          <w:color w:val="231F20"/>
          <w:w w:val="105"/>
        </w:rPr>
        <w:t>per</w:t>
      </w:r>
      <w:r>
        <w:rPr>
          <w:color w:val="231F20"/>
          <w:spacing w:val="-11"/>
          <w:w w:val="105"/>
        </w:rPr>
        <w:t> </w:t>
      </w:r>
      <w:r>
        <w:rPr>
          <w:color w:val="231F20"/>
          <w:w w:val="105"/>
        </w:rPr>
        <w:t>cercare</w:t>
      </w:r>
      <w:r>
        <w:rPr>
          <w:color w:val="231F20"/>
          <w:spacing w:val="-11"/>
          <w:w w:val="105"/>
        </w:rPr>
        <w:t> </w:t>
      </w:r>
      <w:r>
        <w:rPr>
          <w:color w:val="231F20"/>
          <w:w w:val="105"/>
        </w:rPr>
        <w:t>le</w:t>
      </w:r>
      <w:r>
        <w:rPr>
          <w:color w:val="231F20"/>
          <w:spacing w:val="-11"/>
          <w:w w:val="105"/>
        </w:rPr>
        <w:t> </w:t>
      </w:r>
      <w:r>
        <w:rPr>
          <w:color w:val="231F20"/>
          <w:w w:val="105"/>
        </w:rPr>
        <w:t>armi</w:t>
      </w:r>
      <w:r>
        <w:rPr>
          <w:color w:val="231F20"/>
          <w:spacing w:val="-11"/>
          <w:w w:val="105"/>
        </w:rPr>
        <w:t> </w:t>
      </w:r>
      <w:r>
        <w:rPr>
          <w:color w:val="231F20"/>
          <w:w w:val="105"/>
        </w:rPr>
        <w:t>di</w:t>
      </w:r>
      <w:r>
        <w:rPr>
          <w:color w:val="231F20"/>
          <w:spacing w:val="-11"/>
          <w:w w:val="105"/>
        </w:rPr>
        <w:t> </w:t>
      </w:r>
      <w:r>
        <w:rPr>
          <w:color w:val="231F20"/>
          <w:w w:val="105"/>
        </w:rPr>
        <w:t>distruzione</w:t>
      </w:r>
      <w:r>
        <w:rPr>
          <w:color w:val="231F20"/>
          <w:spacing w:val="-11"/>
          <w:w w:val="105"/>
        </w:rPr>
        <w:t> </w:t>
      </w:r>
      <w:r>
        <w:rPr>
          <w:color w:val="231F20"/>
          <w:w w:val="105"/>
        </w:rPr>
        <w:t>di</w:t>
      </w:r>
      <w:r>
        <w:rPr>
          <w:color w:val="231F20"/>
          <w:spacing w:val="-11"/>
          <w:w w:val="105"/>
        </w:rPr>
        <w:t> </w:t>
      </w:r>
      <w:r>
        <w:rPr>
          <w:color w:val="231F20"/>
          <w:w w:val="105"/>
        </w:rPr>
        <w:t>massa.</w:t>
      </w:r>
      <w:r>
        <w:rPr>
          <w:color w:val="231F20"/>
          <w:spacing w:val="-11"/>
          <w:w w:val="105"/>
        </w:rPr>
        <w:t> </w:t>
      </w:r>
      <w:r>
        <w:rPr>
          <w:color w:val="231F20"/>
          <w:w w:val="105"/>
        </w:rPr>
        <w:t>Prima</w:t>
      </w:r>
      <w:r>
        <w:rPr>
          <w:color w:val="231F20"/>
          <w:spacing w:val="-11"/>
          <w:w w:val="105"/>
        </w:rPr>
        <w:t> </w:t>
      </w:r>
      <w:r>
        <w:rPr>
          <w:color w:val="231F20"/>
          <w:w w:val="105"/>
        </w:rPr>
        <w:t>abbiamo</w:t>
      </w:r>
      <w:r>
        <w:rPr>
          <w:color w:val="231F20"/>
          <w:spacing w:val="-11"/>
          <w:w w:val="105"/>
        </w:rPr>
        <w:t> </w:t>
      </w:r>
      <w:r>
        <w:rPr>
          <w:color w:val="231F20"/>
          <w:w w:val="105"/>
        </w:rPr>
        <w:t>già</w:t>
      </w:r>
      <w:r>
        <w:rPr>
          <w:color w:val="231F20"/>
          <w:spacing w:val="-11"/>
          <w:w w:val="105"/>
        </w:rPr>
        <w:t> </w:t>
      </w:r>
      <w:r>
        <w:rPr>
          <w:color w:val="231F20"/>
          <w:w w:val="105"/>
        </w:rPr>
        <w:t>detto</w:t>
      </w:r>
      <w:r>
        <w:rPr>
          <w:color w:val="231F20"/>
          <w:spacing w:val="-11"/>
          <w:w w:val="105"/>
        </w:rPr>
        <w:t> </w:t>
      </w:r>
      <w:r>
        <w:rPr>
          <w:color w:val="231F20"/>
          <w:w w:val="105"/>
        </w:rPr>
        <w:t>che quelle</w:t>
      </w:r>
      <w:r>
        <w:rPr>
          <w:color w:val="231F20"/>
          <w:spacing w:val="-34"/>
          <w:w w:val="105"/>
        </w:rPr>
        <w:t> </w:t>
      </w:r>
      <w:r>
        <w:rPr>
          <w:color w:val="231F20"/>
          <w:w w:val="105"/>
        </w:rPr>
        <w:t>armi</w:t>
      </w:r>
      <w:r>
        <w:rPr>
          <w:color w:val="231F20"/>
          <w:spacing w:val="-34"/>
          <w:w w:val="105"/>
        </w:rPr>
        <w:t> </w:t>
      </w:r>
      <w:r>
        <w:rPr>
          <w:color w:val="231F20"/>
          <w:w w:val="105"/>
        </w:rPr>
        <w:t>non</w:t>
      </w:r>
      <w:r>
        <w:rPr>
          <w:color w:val="231F20"/>
          <w:spacing w:val="-34"/>
          <w:w w:val="105"/>
        </w:rPr>
        <w:t> </w:t>
      </w:r>
      <w:r>
        <w:rPr>
          <w:color w:val="231F20"/>
          <w:w w:val="105"/>
        </w:rPr>
        <w:t>sono</w:t>
      </w:r>
      <w:r>
        <w:rPr>
          <w:color w:val="231F20"/>
          <w:spacing w:val="-34"/>
          <w:w w:val="105"/>
        </w:rPr>
        <w:t> </w:t>
      </w:r>
      <w:r>
        <w:rPr>
          <w:color w:val="231F20"/>
          <w:w w:val="105"/>
        </w:rPr>
        <w:t>mai</w:t>
      </w:r>
      <w:r>
        <w:rPr>
          <w:color w:val="231F20"/>
          <w:spacing w:val="-34"/>
          <w:w w:val="105"/>
        </w:rPr>
        <w:t> </w:t>
      </w:r>
      <w:r>
        <w:rPr>
          <w:color w:val="231F20"/>
          <w:w w:val="105"/>
        </w:rPr>
        <w:t>state</w:t>
      </w:r>
      <w:r>
        <w:rPr>
          <w:color w:val="231F20"/>
          <w:spacing w:val="-34"/>
          <w:w w:val="105"/>
        </w:rPr>
        <w:t> </w:t>
      </w:r>
      <w:r>
        <w:rPr>
          <w:color w:val="231F20"/>
          <w:w w:val="105"/>
        </w:rPr>
        <w:t>trovate</w:t>
      </w:r>
      <w:r>
        <w:rPr>
          <w:color w:val="231F20"/>
          <w:spacing w:val="-34"/>
          <w:w w:val="105"/>
        </w:rPr>
        <w:t> </w:t>
      </w:r>
      <w:r>
        <w:rPr>
          <w:color w:val="231F20"/>
          <w:w w:val="105"/>
        </w:rPr>
        <w:t>veramente.</w:t>
      </w:r>
      <w:r>
        <w:rPr>
          <w:color w:val="231F20"/>
          <w:spacing w:val="-34"/>
          <w:w w:val="105"/>
        </w:rPr>
        <w:t> </w:t>
      </w:r>
      <w:r>
        <w:rPr>
          <w:color w:val="231F20"/>
          <w:w w:val="105"/>
        </w:rPr>
        <w:t>La</w:t>
      </w:r>
      <w:r>
        <w:rPr>
          <w:color w:val="231F20"/>
          <w:spacing w:val="-34"/>
          <w:w w:val="105"/>
        </w:rPr>
        <w:t> </w:t>
      </w:r>
      <w:r>
        <w:rPr>
          <w:color w:val="231F20"/>
          <w:w w:val="105"/>
        </w:rPr>
        <w:t>risposta</w:t>
      </w:r>
      <w:r>
        <w:rPr>
          <w:color w:val="231F20"/>
          <w:spacing w:val="-34"/>
          <w:w w:val="105"/>
        </w:rPr>
        <w:t> </w:t>
      </w:r>
      <w:r>
        <w:rPr>
          <w:color w:val="231F20"/>
          <w:w w:val="105"/>
        </w:rPr>
        <w:t>nazionale</w:t>
      </w:r>
      <w:r>
        <w:rPr>
          <w:color w:val="231F20"/>
          <w:spacing w:val="-34"/>
          <w:w w:val="105"/>
        </w:rPr>
        <w:t> </w:t>
      </w:r>
      <w:r>
        <w:rPr>
          <w:color w:val="231F20"/>
          <w:w w:val="105"/>
        </w:rPr>
        <w:t>di</w:t>
      </w:r>
    </w:p>
    <w:p>
      <w:pPr>
        <w:pStyle w:val="BodyText"/>
        <w:rPr>
          <w:sz w:val="20"/>
        </w:rPr>
      </w:pPr>
    </w:p>
    <w:p>
      <w:pPr>
        <w:pStyle w:val="BodyText"/>
        <w:spacing w:before="6"/>
        <w:rPr>
          <w:sz w:val="15"/>
        </w:rPr>
      </w:pPr>
      <w:r>
        <w:rPr/>
        <w:pict>
          <v:line style="position:absolute;mso-position-horizontal-relative:page;mso-position-vertical-relative:paragraph;z-index:9400;mso-wrap-distance-left:0;mso-wrap-distance-right:0" from="70.866096pt,11.474475pt" to="184.252096pt,11.474475pt" stroked="true" strokeweight=".3pt" strokecolor="#231f20">
            <w10:wrap type="topAndBottom"/>
          </v:line>
        </w:pict>
      </w:r>
    </w:p>
    <w:p>
      <w:pPr>
        <w:spacing w:line="206" w:lineRule="exact" w:before="10"/>
        <w:ind w:left="117" w:right="0" w:firstLine="0"/>
        <w:jc w:val="left"/>
        <w:rPr>
          <w:rFonts w:ascii="Calibri" w:hAnsi="Calibri"/>
          <w:sz w:val="17"/>
        </w:rPr>
      </w:pPr>
      <w:r>
        <w:rPr>
          <w:rFonts w:ascii="Calibri" w:hAnsi="Calibri"/>
          <w:color w:val="231F20"/>
          <w:w w:val="105"/>
          <w:sz w:val="17"/>
        </w:rPr>
        <w:t>invasión</w:t>
      </w:r>
      <w:r>
        <w:rPr>
          <w:rFonts w:ascii="Calibri" w:hAnsi="Calibri"/>
          <w:color w:val="231F20"/>
          <w:spacing w:val="-23"/>
          <w:w w:val="105"/>
          <w:sz w:val="17"/>
        </w:rPr>
        <w:t> </w:t>
      </w:r>
      <w:r>
        <w:rPr>
          <w:rFonts w:ascii="Calibri" w:hAnsi="Calibri"/>
          <w:color w:val="231F20"/>
          <w:w w:val="105"/>
          <w:sz w:val="17"/>
        </w:rPr>
        <w:t>de</w:t>
      </w:r>
      <w:r>
        <w:rPr>
          <w:rFonts w:ascii="Calibri" w:hAnsi="Calibri"/>
          <w:color w:val="231F20"/>
          <w:spacing w:val="-23"/>
          <w:w w:val="105"/>
          <w:sz w:val="17"/>
        </w:rPr>
        <w:t> </w:t>
      </w:r>
      <w:r>
        <w:rPr>
          <w:rFonts w:ascii="Calibri" w:hAnsi="Calibri"/>
          <w:color w:val="231F20"/>
          <w:w w:val="105"/>
          <w:sz w:val="17"/>
        </w:rPr>
        <w:t>Irak”,</w:t>
      </w:r>
      <w:r>
        <w:rPr>
          <w:rFonts w:ascii="Calibri" w:hAnsi="Calibri"/>
          <w:color w:val="231F20"/>
          <w:spacing w:val="-23"/>
          <w:w w:val="105"/>
          <w:sz w:val="17"/>
        </w:rPr>
        <w:t> </w:t>
      </w:r>
      <w:r>
        <w:rPr>
          <w:rFonts w:ascii="Calibri" w:hAnsi="Calibri"/>
          <w:color w:val="231F20"/>
          <w:w w:val="105"/>
          <w:sz w:val="17"/>
        </w:rPr>
        <w:t>L.</w:t>
      </w:r>
      <w:r>
        <w:rPr>
          <w:rFonts w:ascii="Calibri" w:hAnsi="Calibri"/>
          <w:color w:val="231F20"/>
          <w:spacing w:val="-23"/>
          <w:w w:val="105"/>
          <w:sz w:val="17"/>
        </w:rPr>
        <w:t> </w:t>
      </w:r>
      <w:r>
        <w:rPr>
          <w:rFonts w:ascii="Calibri" w:hAnsi="Calibri"/>
          <w:color w:val="231F20"/>
          <w:w w:val="105"/>
          <w:sz w:val="17"/>
        </w:rPr>
        <w:t>Panitch</w:t>
      </w:r>
      <w:r>
        <w:rPr>
          <w:rFonts w:ascii="Calibri" w:hAnsi="Calibri"/>
          <w:color w:val="231F20"/>
          <w:spacing w:val="-24"/>
          <w:w w:val="105"/>
          <w:sz w:val="17"/>
        </w:rPr>
        <w:t> </w:t>
      </w:r>
      <w:r>
        <w:rPr>
          <w:rFonts w:ascii="Calibri" w:hAnsi="Calibri"/>
          <w:color w:val="231F20"/>
          <w:w w:val="105"/>
          <w:sz w:val="17"/>
        </w:rPr>
        <w:t>y</w:t>
      </w:r>
      <w:r>
        <w:rPr>
          <w:rFonts w:ascii="Calibri" w:hAnsi="Calibri"/>
          <w:color w:val="231F20"/>
          <w:spacing w:val="-23"/>
          <w:w w:val="105"/>
          <w:sz w:val="17"/>
        </w:rPr>
        <w:t> </w:t>
      </w:r>
      <w:r>
        <w:rPr>
          <w:rFonts w:ascii="Calibri" w:hAnsi="Calibri"/>
          <w:color w:val="231F20"/>
          <w:w w:val="105"/>
          <w:sz w:val="17"/>
        </w:rPr>
        <w:t>C.</w:t>
      </w:r>
      <w:r>
        <w:rPr>
          <w:rFonts w:ascii="Calibri" w:hAnsi="Calibri"/>
          <w:color w:val="231F20"/>
          <w:spacing w:val="-23"/>
          <w:w w:val="105"/>
          <w:sz w:val="17"/>
        </w:rPr>
        <w:t> </w:t>
      </w:r>
      <w:r>
        <w:rPr>
          <w:rFonts w:ascii="Calibri" w:hAnsi="Calibri"/>
          <w:color w:val="231F20"/>
          <w:w w:val="105"/>
          <w:sz w:val="17"/>
        </w:rPr>
        <w:t>Leys</w:t>
      </w:r>
      <w:r>
        <w:rPr>
          <w:rFonts w:ascii="Calibri" w:hAnsi="Calibri"/>
          <w:color w:val="231F20"/>
          <w:spacing w:val="-23"/>
          <w:w w:val="105"/>
          <w:sz w:val="17"/>
        </w:rPr>
        <w:t> </w:t>
      </w:r>
      <w:r>
        <w:rPr>
          <w:rFonts w:ascii="Calibri" w:hAnsi="Calibri"/>
          <w:color w:val="231F20"/>
          <w:w w:val="105"/>
          <w:sz w:val="17"/>
        </w:rPr>
        <w:t>(Eds.),</w:t>
      </w:r>
      <w:r>
        <w:rPr>
          <w:rFonts w:ascii="Calibri" w:hAnsi="Calibri"/>
          <w:color w:val="231F20"/>
          <w:spacing w:val="-23"/>
          <w:w w:val="105"/>
          <w:sz w:val="17"/>
        </w:rPr>
        <w:t> </w:t>
      </w:r>
      <w:r>
        <w:rPr>
          <w:rFonts w:ascii="Calibri" w:hAnsi="Calibri"/>
          <w:i/>
          <w:color w:val="231F20"/>
          <w:w w:val="105"/>
          <w:sz w:val="17"/>
        </w:rPr>
        <w:t>Socialist</w:t>
      </w:r>
      <w:r>
        <w:rPr>
          <w:rFonts w:ascii="Calibri" w:hAnsi="Calibri"/>
          <w:i/>
          <w:color w:val="231F20"/>
          <w:spacing w:val="-23"/>
          <w:w w:val="105"/>
          <w:sz w:val="17"/>
        </w:rPr>
        <w:t> </w:t>
      </w:r>
      <w:r>
        <w:rPr>
          <w:rFonts w:ascii="Calibri" w:hAnsi="Calibri"/>
          <w:i/>
          <w:color w:val="231F20"/>
          <w:w w:val="105"/>
          <w:sz w:val="17"/>
        </w:rPr>
        <w:t>resgister:</w:t>
      </w:r>
      <w:r>
        <w:rPr>
          <w:rFonts w:ascii="Calibri" w:hAnsi="Calibri"/>
          <w:i/>
          <w:color w:val="231F20"/>
          <w:spacing w:val="-23"/>
          <w:w w:val="105"/>
          <w:sz w:val="17"/>
        </w:rPr>
        <w:t> </w:t>
      </w:r>
      <w:r>
        <w:rPr>
          <w:rFonts w:ascii="Calibri" w:hAnsi="Calibri"/>
          <w:i/>
          <w:color w:val="231F20"/>
          <w:w w:val="105"/>
          <w:sz w:val="17"/>
        </w:rPr>
        <w:t>diciendo</w:t>
      </w:r>
      <w:r>
        <w:rPr>
          <w:rFonts w:ascii="Calibri" w:hAnsi="Calibri"/>
          <w:i/>
          <w:color w:val="231F20"/>
          <w:spacing w:val="-23"/>
          <w:w w:val="105"/>
          <w:sz w:val="17"/>
        </w:rPr>
        <w:t> </w:t>
      </w:r>
      <w:r>
        <w:rPr>
          <w:rFonts w:ascii="Calibri" w:hAnsi="Calibri"/>
          <w:i/>
          <w:color w:val="231F20"/>
          <w:w w:val="105"/>
          <w:sz w:val="17"/>
        </w:rPr>
        <w:t>la</w:t>
      </w:r>
      <w:r>
        <w:rPr>
          <w:rFonts w:ascii="Calibri" w:hAnsi="Calibri"/>
          <w:i/>
          <w:color w:val="231F20"/>
          <w:spacing w:val="-25"/>
          <w:w w:val="105"/>
          <w:sz w:val="17"/>
        </w:rPr>
        <w:t> </w:t>
      </w:r>
      <w:r>
        <w:rPr>
          <w:rFonts w:ascii="Calibri" w:hAnsi="Calibri"/>
          <w:i/>
          <w:color w:val="231F20"/>
          <w:w w:val="105"/>
          <w:sz w:val="17"/>
        </w:rPr>
        <w:t>verdad</w:t>
      </w:r>
      <w:r>
        <w:rPr>
          <w:rFonts w:ascii="Calibri" w:hAnsi="Calibri"/>
          <w:color w:val="231F20"/>
          <w:w w:val="105"/>
          <w:sz w:val="17"/>
        </w:rPr>
        <w:t>,</w:t>
      </w:r>
      <w:r>
        <w:rPr>
          <w:rFonts w:ascii="Calibri" w:hAnsi="Calibri"/>
          <w:color w:val="231F20"/>
          <w:spacing w:val="-23"/>
          <w:w w:val="105"/>
          <w:sz w:val="17"/>
        </w:rPr>
        <w:t> </w:t>
      </w:r>
      <w:r>
        <w:rPr>
          <w:rFonts w:ascii="Calibri" w:hAnsi="Calibri"/>
          <w:color w:val="231F20"/>
          <w:w w:val="105"/>
          <w:sz w:val="17"/>
        </w:rPr>
        <w:t>Argentina,</w:t>
      </w:r>
      <w:r>
        <w:rPr>
          <w:rFonts w:ascii="Calibri" w:hAnsi="Calibri"/>
          <w:color w:val="231F20"/>
          <w:spacing w:val="-23"/>
          <w:w w:val="105"/>
          <w:sz w:val="17"/>
        </w:rPr>
        <w:t> </w:t>
      </w:r>
      <w:r>
        <w:rPr>
          <w:rFonts w:ascii="Calibri" w:hAnsi="Calibri"/>
          <w:color w:val="231F20"/>
          <w:w w:val="105"/>
          <w:sz w:val="14"/>
        </w:rPr>
        <w:t>CLACSO</w:t>
      </w:r>
      <w:r>
        <w:rPr>
          <w:rFonts w:ascii="Calibri" w:hAnsi="Calibri"/>
          <w:color w:val="231F20"/>
          <w:w w:val="105"/>
          <w:sz w:val="17"/>
        </w:rPr>
        <w:t>,</w:t>
      </w:r>
    </w:p>
    <w:p>
      <w:pPr>
        <w:spacing w:line="204" w:lineRule="exact" w:before="0"/>
        <w:ind w:left="117" w:right="0" w:firstLine="0"/>
        <w:jc w:val="left"/>
        <w:rPr>
          <w:rFonts w:ascii="Calibri"/>
          <w:sz w:val="17"/>
        </w:rPr>
      </w:pPr>
      <w:r>
        <w:rPr>
          <w:rFonts w:ascii="Calibri"/>
          <w:color w:val="231F20"/>
          <w:sz w:val="17"/>
        </w:rPr>
        <w:t>2006, p. 156.</w:t>
      </w:r>
    </w:p>
    <w:p>
      <w:pPr>
        <w:spacing w:line="235" w:lineRule="auto" w:before="1"/>
        <w:ind w:left="117" w:right="0" w:firstLine="0"/>
        <w:jc w:val="left"/>
        <w:rPr>
          <w:rFonts w:ascii="Calibri" w:hAnsi="Calibri"/>
          <w:sz w:val="17"/>
        </w:rPr>
      </w:pPr>
      <w:r>
        <w:rPr>
          <w:rFonts w:ascii="Calibri" w:hAnsi="Calibri"/>
          <w:color w:val="231F20"/>
          <w:position w:val="6"/>
          <w:sz w:val="10"/>
        </w:rPr>
        <w:t>14 </w:t>
      </w:r>
      <w:r>
        <w:rPr>
          <w:rFonts w:ascii="Calibri" w:hAnsi="Calibri"/>
          <w:color w:val="231F20"/>
          <w:sz w:val="17"/>
        </w:rPr>
        <w:t>N. Chomsky, </w:t>
      </w:r>
      <w:r>
        <w:rPr>
          <w:rFonts w:ascii="Calibri" w:hAnsi="Calibri"/>
          <w:i/>
          <w:color w:val="231F20"/>
          <w:sz w:val="17"/>
        </w:rPr>
        <w:t>Política y cultura a finales del siglo </w:t>
      </w:r>
      <w:r>
        <w:rPr>
          <w:rFonts w:ascii="Calibri" w:hAnsi="Calibri"/>
          <w:i/>
          <w:color w:val="231F20"/>
          <w:sz w:val="14"/>
        </w:rPr>
        <w:t>XX</w:t>
      </w:r>
      <w:r>
        <w:rPr>
          <w:rFonts w:ascii="Calibri" w:hAnsi="Calibri"/>
          <w:i/>
          <w:color w:val="231F20"/>
          <w:sz w:val="17"/>
        </w:rPr>
        <w:t>. Un panorama de las actuales tendencias</w:t>
      </w:r>
      <w:r>
        <w:rPr>
          <w:rFonts w:ascii="Calibri" w:hAnsi="Calibri"/>
          <w:color w:val="231F20"/>
          <w:sz w:val="17"/>
        </w:rPr>
        <w:t>, Barcelona, Ariel, 1994, p. 45.</w:t>
      </w:r>
    </w:p>
    <w:p>
      <w:pPr>
        <w:spacing w:after="0" w:line="235" w:lineRule="auto"/>
        <w:jc w:val="left"/>
        <w:rPr>
          <w:rFonts w:ascii="Calibri" w:hAnsi="Calibri"/>
          <w:sz w:val="17"/>
        </w:rPr>
        <w:sectPr>
          <w:pgSz w:w="9640" w:h="13890"/>
          <w:pgMar w:top="0" w:bottom="280" w:left="1300" w:right="1200"/>
        </w:sectPr>
      </w:pPr>
    </w:p>
    <w:p>
      <w:pPr>
        <w:pStyle w:val="BodyText"/>
        <w:spacing w:line="247" w:lineRule="auto" w:before="107"/>
        <w:ind w:left="103" w:right="109"/>
        <w:jc w:val="both"/>
      </w:pPr>
      <w:r>
        <w:rPr>
          <w:color w:val="231F20"/>
        </w:rPr>
        <w:t>fronte</w:t>
      </w:r>
      <w:r>
        <w:rPr>
          <w:color w:val="231F20"/>
          <w:spacing w:val="-7"/>
        </w:rPr>
        <w:t> </w:t>
      </w:r>
      <w:r>
        <w:rPr>
          <w:color w:val="231F20"/>
        </w:rPr>
        <w:t>alle</w:t>
      </w:r>
      <w:r>
        <w:rPr>
          <w:color w:val="231F20"/>
          <w:spacing w:val="-7"/>
        </w:rPr>
        <w:t> </w:t>
      </w:r>
      <w:r>
        <w:rPr>
          <w:color w:val="231F20"/>
        </w:rPr>
        <w:t>misure</w:t>
      </w:r>
      <w:r>
        <w:rPr>
          <w:color w:val="231F20"/>
          <w:spacing w:val="-7"/>
        </w:rPr>
        <w:t> </w:t>
      </w:r>
      <w:r>
        <w:rPr>
          <w:color w:val="231F20"/>
        </w:rPr>
        <w:t>adottate</w:t>
      </w:r>
      <w:r>
        <w:rPr>
          <w:color w:val="231F20"/>
          <w:spacing w:val="-7"/>
        </w:rPr>
        <w:t> </w:t>
      </w:r>
      <w:r>
        <w:rPr>
          <w:color w:val="231F20"/>
        </w:rPr>
        <w:t>dagli</w:t>
      </w:r>
      <w:r>
        <w:rPr>
          <w:color w:val="231F20"/>
          <w:spacing w:val="-7"/>
        </w:rPr>
        <w:t> </w:t>
      </w:r>
      <w:r>
        <w:rPr>
          <w:color w:val="231F20"/>
        </w:rPr>
        <w:t>Stati</w:t>
      </w:r>
      <w:r>
        <w:rPr>
          <w:color w:val="231F20"/>
          <w:spacing w:val="-7"/>
        </w:rPr>
        <w:t> </w:t>
      </w:r>
      <w:r>
        <w:rPr>
          <w:color w:val="231F20"/>
        </w:rPr>
        <w:t>Uniti</w:t>
      </w:r>
      <w:r>
        <w:rPr>
          <w:color w:val="231F20"/>
          <w:spacing w:val="-7"/>
        </w:rPr>
        <w:t> </w:t>
      </w:r>
      <w:r>
        <w:rPr>
          <w:color w:val="231F20"/>
        </w:rPr>
        <w:t>contro</w:t>
      </w:r>
      <w:r>
        <w:rPr>
          <w:color w:val="231F20"/>
          <w:spacing w:val="-7"/>
        </w:rPr>
        <w:t> </w:t>
      </w:r>
      <w:r>
        <w:rPr>
          <w:color w:val="231F20"/>
        </w:rPr>
        <w:t>il</w:t>
      </w:r>
      <w:r>
        <w:rPr>
          <w:color w:val="231F20"/>
          <w:spacing w:val="-7"/>
        </w:rPr>
        <w:t> </w:t>
      </w:r>
      <w:r>
        <w:rPr>
          <w:color w:val="231F20"/>
        </w:rPr>
        <w:t>terrorismo</w:t>
      </w:r>
      <w:r>
        <w:rPr>
          <w:color w:val="231F20"/>
          <w:spacing w:val="-7"/>
        </w:rPr>
        <w:t> </w:t>
      </w:r>
      <w:r>
        <w:rPr>
          <w:color w:val="231F20"/>
        </w:rPr>
        <w:t>è</w:t>
      </w:r>
      <w:r>
        <w:rPr>
          <w:color w:val="231F20"/>
          <w:spacing w:val="-7"/>
        </w:rPr>
        <w:t> </w:t>
      </w:r>
      <w:r>
        <w:rPr>
          <w:color w:val="231F20"/>
        </w:rPr>
        <w:t>stata</w:t>
      </w:r>
      <w:r>
        <w:rPr>
          <w:color w:val="231F20"/>
          <w:spacing w:val="-7"/>
        </w:rPr>
        <w:t> </w:t>
      </w:r>
      <w:r>
        <w:rPr>
          <w:color w:val="231F20"/>
        </w:rPr>
        <w:t>forse il riflesso dei rapporti stretti e problematici che entrambe le nazioni hanno sostenuto storicamente. Il trattamento agli emigranti e l’amministrazione della</w:t>
      </w:r>
      <w:r>
        <w:rPr>
          <w:color w:val="231F20"/>
          <w:spacing w:val="-8"/>
        </w:rPr>
        <w:t> </w:t>
      </w:r>
      <w:r>
        <w:rPr>
          <w:color w:val="231F20"/>
        </w:rPr>
        <w:t>frontiera</w:t>
      </w:r>
      <w:r>
        <w:rPr>
          <w:color w:val="231F20"/>
          <w:spacing w:val="-8"/>
        </w:rPr>
        <w:t> </w:t>
      </w:r>
      <w:r>
        <w:rPr>
          <w:color w:val="231F20"/>
        </w:rPr>
        <w:t>sono</w:t>
      </w:r>
      <w:r>
        <w:rPr>
          <w:color w:val="231F20"/>
          <w:spacing w:val="-8"/>
        </w:rPr>
        <w:t> </w:t>
      </w:r>
      <w:r>
        <w:rPr>
          <w:color w:val="231F20"/>
        </w:rPr>
        <w:t>stati</w:t>
      </w:r>
      <w:r>
        <w:rPr>
          <w:color w:val="231F20"/>
          <w:spacing w:val="-8"/>
        </w:rPr>
        <w:t> </w:t>
      </w:r>
      <w:r>
        <w:rPr>
          <w:color w:val="231F20"/>
        </w:rPr>
        <w:t>fonti</w:t>
      </w:r>
      <w:r>
        <w:rPr>
          <w:color w:val="231F20"/>
          <w:spacing w:val="-8"/>
        </w:rPr>
        <w:t> </w:t>
      </w:r>
      <w:r>
        <w:rPr>
          <w:color w:val="231F20"/>
        </w:rPr>
        <w:t>di</w:t>
      </w:r>
      <w:r>
        <w:rPr>
          <w:color w:val="231F20"/>
          <w:spacing w:val="-8"/>
        </w:rPr>
        <w:t> </w:t>
      </w:r>
      <w:r>
        <w:rPr>
          <w:color w:val="231F20"/>
        </w:rPr>
        <w:t>contrasti</w:t>
      </w:r>
      <w:r>
        <w:rPr>
          <w:color w:val="231F20"/>
          <w:spacing w:val="-8"/>
        </w:rPr>
        <w:t> </w:t>
      </w:r>
      <w:r>
        <w:rPr>
          <w:color w:val="231F20"/>
        </w:rPr>
        <w:t>e</w:t>
      </w:r>
      <w:r>
        <w:rPr>
          <w:color w:val="231F20"/>
          <w:spacing w:val="-8"/>
        </w:rPr>
        <w:t> </w:t>
      </w:r>
      <w:r>
        <w:rPr>
          <w:color w:val="231F20"/>
        </w:rPr>
        <w:t>difficoltà</w:t>
      </w:r>
      <w:r>
        <w:rPr>
          <w:color w:val="231F20"/>
          <w:spacing w:val="-8"/>
        </w:rPr>
        <w:t> </w:t>
      </w:r>
      <w:r>
        <w:rPr>
          <w:color w:val="231F20"/>
        </w:rPr>
        <w:t>che</w:t>
      </w:r>
      <w:r>
        <w:rPr>
          <w:color w:val="231F20"/>
          <w:spacing w:val="-8"/>
        </w:rPr>
        <w:t> </w:t>
      </w:r>
      <w:r>
        <w:rPr>
          <w:color w:val="231F20"/>
        </w:rPr>
        <w:t>hanno</w:t>
      </w:r>
      <w:r>
        <w:rPr>
          <w:color w:val="231F20"/>
          <w:spacing w:val="-8"/>
        </w:rPr>
        <w:t> </w:t>
      </w:r>
      <w:r>
        <w:rPr>
          <w:color w:val="231F20"/>
        </w:rPr>
        <w:t>evidenziato un’altro profilo della costruzione della politica binazionale e del concetto di nemico.</w:t>
      </w:r>
      <w:r>
        <w:rPr>
          <w:color w:val="231F20"/>
          <w:spacing w:val="-4"/>
        </w:rPr>
        <w:t> </w:t>
      </w:r>
      <w:r>
        <w:rPr>
          <w:color w:val="231F20"/>
        </w:rPr>
        <w:t>La</w:t>
      </w:r>
      <w:r>
        <w:rPr>
          <w:color w:val="231F20"/>
          <w:spacing w:val="-4"/>
        </w:rPr>
        <w:t> </w:t>
      </w:r>
      <w:r>
        <w:rPr>
          <w:color w:val="231F20"/>
        </w:rPr>
        <w:t>frontiera</w:t>
      </w:r>
      <w:r>
        <w:rPr>
          <w:color w:val="231F20"/>
          <w:spacing w:val="-4"/>
        </w:rPr>
        <w:t> </w:t>
      </w:r>
      <w:r>
        <w:rPr>
          <w:color w:val="231F20"/>
        </w:rPr>
        <w:t>è</w:t>
      </w:r>
      <w:r>
        <w:rPr>
          <w:color w:val="231F20"/>
          <w:spacing w:val="-4"/>
        </w:rPr>
        <w:t> </w:t>
      </w:r>
      <w:r>
        <w:rPr>
          <w:color w:val="231F20"/>
        </w:rPr>
        <w:t>diventata</w:t>
      </w:r>
      <w:r>
        <w:rPr>
          <w:color w:val="231F20"/>
          <w:spacing w:val="-4"/>
        </w:rPr>
        <w:t> </w:t>
      </w:r>
      <w:r>
        <w:rPr>
          <w:color w:val="231F20"/>
        </w:rPr>
        <w:t>un</w:t>
      </w:r>
      <w:r>
        <w:rPr>
          <w:color w:val="231F20"/>
          <w:spacing w:val="-4"/>
        </w:rPr>
        <w:t> </w:t>
      </w:r>
      <w:r>
        <w:rPr>
          <w:color w:val="231F20"/>
        </w:rPr>
        <w:t>tema</w:t>
      </w:r>
      <w:r>
        <w:rPr>
          <w:color w:val="231F20"/>
          <w:spacing w:val="-4"/>
        </w:rPr>
        <w:t> </w:t>
      </w:r>
      <w:r>
        <w:rPr>
          <w:color w:val="231F20"/>
        </w:rPr>
        <w:t>critico</w:t>
      </w:r>
      <w:r>
        <w:rPr>
          <w:color w:val="231F20"/>
          <w:spacing w:val="-4"/>
        </w:rPr>
        <w:t> </w:t>
      </w:r>
      <w:r>
        <w:rPr>
          <w:color w:val="231F20"/>
        </w:rPr>
        <w:t>di</w:t>
      </w:r>
      <w:r>
        <w:rPr>
          <w:color w:val="231F20"/>
          <w:spacing w:val="-4"/>
        </w:rPr>
        <w:t> </w:t>
      </w:r>
      <w:r>
        <w:rPr>
          <w:color w:val="231F20"/>
        </w:rPr>
        <w:t>sicurezza</w:t>
      </w:r>
      <w:r>
        <w:rPr>
          <w:color w:val="231F20"/>
          <w:spacing w:val="-4"/>
        </w:rPr>
        <w:t> </w:t>
      </w:r>
      <w:r>
        <w:rPr>
          <w:color w:val="231F20"/>
        </w:rPr>
        <w:t>nazionale</w:t>
      </w:r>
      <w:r>
        <w:rPr>
          <w:color w:val="231F20"/>
          <w:spacing w:val="-4"/>
        </w:rPr>
        <w:t> </w:t>
      </w:r>
      <w:r>
        <w:rPr>
          <w:color w:val="231F20"/>
        </w:rPr>
        <w:t>per</w:t>
      </w:r>
      <w:r>
        <w:rPr>
          <w:color w:val="231F20"/>
          <w:spacing w:val="-4"/>
        </w:rPr>
        <w:t> </w:t>
      </w:r>
      <w:r>
        <w:rPr>
          <w:color w:val="231F20"/>
        </w:rPr>
        <w:t>i vicini</w:t>
      </w:r>
      <w:r>
        <w:rPr>
          <w:color w:val="231F20"/>
          <w:spacing w:val="-8"/>
        </w:rPr>
        <w:t> </w:t>
      </w:r>
      <w:r>
        <w:rPr>
          <w:color w:val="231F20"/>
        </w:rPr>
        <w:t>del</w:t>
      </w:r>
      <w:r>
        <w:rPr>
          <w:color w:val="231F20"/>
          <w:spacing w:val="-8"/>
        </w:rPr>
        <w:t> </w:t>
      </w:r>
      <w:r>
        <w:rPr>
          <w:color w:val="231F20"/>
        </w:rPr>
        <w:t>nord,</w:t>
      </w:r>
      <w:r>
        <w:rPr>
          <w:color w:val="231F20"/>
          <w:spacing w:val="-8"/>
        </w:rPr>
        <w:t> </w:t>
      </w:r>
      <w:r>
        <w:rPr>
          <w:color w:val="231F20"/>
        </w:rPr>
        <w:t>ma</w:t>
      </w:r>
      <w:r>
        <w:rPr>
          <w:color w:val="231F20"/>
          <w:spacing w:val="-8"/>
        </w:rPr>
        <w:t> </w:t>
      </w:r>
      <w:r>
        <w:rPr>
          <w:color w:val="231F20"/>
        </w:rPr>
        <w:t>per</w:t>
      </w:r>
      <w:r>
        <w:rPr>
          <w:color w:val="231F20"/>
          <w:spacing w:val="-8"/>
        </w:rPr>
        <w:t> </w:t>
      </w:r>
      <w:r>
        <w:rPr>
          <w:color w:val="231F20"/>
        </w:rPr>
        <w:t>il</w:t>
      </w:r>
      <w:r>
        <w:rPr>
          <w:color w:val="231F20"/>
          <w:spacing w:val="-8"/>
        </w:rPr>
        <w:t> </w:t>
      </w:r>
      <w:r>
        <w:rPr>
          <w:color w:val="231F20"/>
        </w:rPr>
        <w:t>Messico</w:t>
      </w:r>
      <w:r>
        <w:rPr>
          <w:color w:val="231F20"/>
          <w:spacing w:val="-8"/>
        </w:rPr>
        <w:t> </w:t>
      </w:r>
      <w:r>
        <w:rPr>
          <w:color w:val="231F20"/>
        </w:rPr>
        <w:t>ha</w:t>
      </w:r>
      <w:r>
        <w:rPr>
          <w:color w:val="231F20"/>
          <w:spacing w:val="-8"/>
        </w:rPr>
        <w:t> </w:t>
      </w:r>
      <w:r>
        <w:rPr>
          <w:color w:val="231F20"/>
        </w:rPr>
        <w:t>toccato</w:t>
      </w:r>
      <w:r>
        <w:rPr>
          <w:color w:val="231F20"/>
          <w:spacing w:val="-8"/>
        </w:rPr>
        <w:t> </w:t>
      </w:r>
      <w:r>
        <w:rPr>
          <w:color w:val="231F20"/>
        </w:rPr>
        <w:t>punti</w:t>
      </w:r>
      <w:r>
        <w:rPr>
          <w:color w:val="231F20"/>
          <w:spacing w:val="-8"/>
        </w:rPr>
        <w:t> </w:t>
      </w:r>
      <w:r>
        <w:rPr>
          <w:color w:val="231F20"/>
        </w:rPr>
        <w:t>nevralgici</w:t>
      </w:r>
      <w:r>
        <w:rPr>
          <w:color w:val="231F20"/>
          <w:spacing w:val="-8"/>
        </w:rPr>
        <w:t> </w:t>
      </w:r>
      <w:r>
        <w:rPr>
          <w:color w:val="231F20"/>
        </w:rPr>
        <w:t>come</w:t>
      </w:r>
      <w:r>
        <w:rPr>
          <w:color w:val="231F20"/>
          <w:spacing w:val="-8"/>
        </w:rPr>
        <w:t> </w:t>
      </w:r>
      <w:r>
        <w:rPr>
          <w:color w:val="231F20"/>
        </w:rPr>
        <w:t>il</w:t>
      </w:r>
      <w:r>
        <w:rPr>
          <w:color w:val="231F20"/>
          <w:spacing w:val="-8"/>
        </w:rPr>
        <w:t> </w:t>
      </w:r>
      <w:r>
        <w:rPr>
          <w:color w:val="231F20"/>
        </w:rPr>
        <w:t>rispetto alla</w:t>
      </w:r>
      <w:r>
        <w:rPr>
          <w:color w:val="231F20"/>
          <w:spacing w:val="-8"/>
        </w:rPr>
        <w:t> </w:t>
      </w:r>
      <w:r>
        <w:rPr>
          <w:color w:val="231F20"/>
        </w:rPr>
        <w:t>sovranità</w:t>
      </w:r>
      <w:r>
        <w:rPr>
          <w:color w:val="231F20"/>
          <w:spacing w:val="-8"/>
        </w:rPr>
        <w:t> </w:t>
      </w:r>
      <w:r>
        <w:rPr>
          <w:color w:val="231F20"/>
        </w:rPr>
        <w:t>nazionale</w:t>
      </w:r>
      <w:r>
        <w:rPr>
          <w:color w:val="231F20"/>
          <w:spacing w:val="-8"/>
        </w:rPr>
        <w:t> </w:t>
      </w:r>
      <w:r>
        <w:rPr>
          <w:color w:val="231F20"/>
        </w:rPr>
        <w:t>e</w:t>
      </w:r>
      <w:r>
        <w:rPr>
          <w:color w:val="231F20"/>
          <w:spacing w:val="-8"/>
        </w:rPr>
        <w:t> </w:t>
      </w:r>
      <w:r>
        <w:rPr>
          <w:color w:val="231F20"/>
        </w:rPr>
        <w:t>ai</w:t>
      </w:r>
      <w:r>
        <w:rPr>
          <w:color w:val="231F20"/>
          <w:spacing w:val="-8"/>
        </w:rPr>
        <w:t> </w:t>
      </w:r>
      <w:r>
        <w:rPr>
          <w:color w:val="231F20"/>
        </w:rPr>
        <w:t>diritti</w:t>
      </w:r>
      <w:r>
        <w:rPr>
          <w:color w:val="231F20"/>
          <w:spacing w:val="-8"/>
        </w:rPr>
        <w:t> </w:t>
      </w:r>
      <w:r>
        <w:rPr>
          <w:color w:val="231F20"/>
        </w:rPr>
        <w:t>umani.</w:t>
      </w:r>
    </w:p>
    <w:p>
      <w:pPr>
        <w:pStyle w:val="BodyText"/>
        <w:spacing w:line="252" w:lineRule="exact"/>
        <w:ind w:left="64" w:right="108"/>
        <w:jc w:val="right"/>
      </w:pPr>
      <w:r>
        <w:rPr>
          <w:color w:val="231F20"/>
        </w:rPr>
        <w:t>In marzo 2002 si firmarono accordi in Monterrey relazionati    con</w:t>
      </w:r>
    </w:p>
    <w:p>
      <w:pPr>
        <w:pStyle w:val="BodyText"/>
        <w:spacing w:before="34"/>
        <w:ind w:left="103"/>
        <w:jc w:val="both"/>
      </w:pPr>
      <w:r>
        <w:rPr>
          <w:color w:val="231F20"/>
        </w:rPr>
        <w:t>questo tema.</w:t>
      </w:r>
    </w:p>
    <w:p>
      <w:pPr>
        <w:pStyle w:val="BodyText"/>
        <w:spacing w:before="6"/>
        <w:rPr>
          <w:sz w:val="23"/>
        </w:rPr>
      </w:pPr>
    </w:p>
    <w:p>
      <w:pPr>
        <w:spacing w:line="220" w:lineRule="exact" w:before="0"/>
        <w:ind w:left="1521" w:right="111" w:firstLine="0"/>
        <w:jc w:val="both"/>
        <w:rPr>
          <w:sz w:val="19"/>
        </w:rPr>
      </w:pPr>
      <w:r>
        <w:rPr>
          <w:color w:val="231F20"/>
          <w:sz w:val="19"/>
        </w:rPr>
        <w:t>Il</w:t>
      </w:r>
      <w:r>
        <w:rPr>
          <w:color w:val="231F20"/>
          <w:spacing w:val="-13"/>
          <w:sz w:val="19"/>
        </w:rPr>
        <w:t> </w:t>
      </w:r>
      <w:r>
        <w:rPr>
          <w:color w:val="231F20"/>
          <w:spacing w:val="-3"/>
          <w:sz w:val="19"/>
        </w:rPr>
        <w:t>proposito</w:t>
      </w:r>
      <w:r>
        <w:rPr>
          <w:color w:val="231F20"/>
          <w:spacing w:val="-13"/>
          <w:sz w:val="19"/>
        </w:rPr>
        <w:t> </w:t>
      </w:r>
      <w:r>
        <w:rPr>
          <w:color w:val="231F20"/>
          <w:spacing w:val="-3"/>
          <w:sz w:val="19"/>
        </w:rPr>
        <w:t>degli</w:t>
      </w:r>
      <w:r>
        <w:rPr>
          <w:color w:val="231F20"/>
          <w:spacing w:val="-13"/>
          <w:sz w:val="19"/>
        </w:rPr>
        <w:t> </w:t>
      </w:r>
      <w:r>
        <w:rPr>
          <w:color w:val="231F20"/>
          <w:spacing w:val="-3"/>
          <w:sz w:val="19"/>
        </w:rPr>
        <w:t>accordi</w:t>
      </w:r>
      <w:r>
        <w:rPr>
          <w:color w:val="231F20"/>
          <w:spacing w:val="-13"/>
          <w:sz w:val="19"/>
        </w:rPr>
        <w:t> </w:t>
      </w:r>
      <w:r>
        <w:rPr>
          <w:color w:val="231F20"/>
          <w:sz w:val="19"/>
        </w:rPr>
        <w:t>di</w:t>
      </w:r>
      <w:r>
        <w:rPr>
          <w:color w:val="231F20"/>
          <w:spacing w:val="-13"/>
          <w:sz w:val="19"/>
        </w:rPr>
        <w:t> </w:t>
      </w:r>
      <w:r>
        <w:rPr>
          <w:color w:val="231F20"/>
          <w:spacing w:val="-3"/>
          <w:sz w:val="19"/>
        </w:rPr>
        <w:t>Monterrey</w:t>
      </w:r>
      <w:r>
        <w:rPr>
          <w:color w:val="231F20"/>
          <w:spacing w:val="-13"/>
          <w:sz w:val="19"/>
        </w:rPr>
        <w:t> </w:t>
      </w:r>
      <w:r>
        <w:rPr>
          <w:color w:val="231F20"/>
          <w:sz w:val="19"/>
        </w:rPr>
        <w:t>è</w:t>
      </w:r>
      <w:r>
        <w:rPr>
          <w:color w:val="231F20"/>
          <w:spacing w:val="-13"/>
          <w:sz w:val="19"/>
        </w:rPr>
        <w:t> </w:t>
      </w:r>
      <w:r>
        <w:rPr>
          <w:color w:val="231F20"/>
          <w:spacing w:val="-3"/>
          <w:sz w:val="19"/>
        </w:rPr>
        <w:t>avere</w:t>
      </w:r>
      <w:r>
        <w:rPr>
          <w:color w:val="231F20"/>
          <w:spacing w:val="-13"/>
          <w:sz w:val="19"/>
        </w:rPr>
        <w:t> </w:t>
      </w:r>
      <w:r>
        <w:rPr>
          <w:color w:val="231F20"/>
          <w:sz w:val="19"/>
        </w:rPr>
        <w:t>una</w:t>
      </w:r>
      <w:r>
        <w:rPr>
          <w:color w:val="231F20"/>
          <w:spacing w:val="-13"/>
          <w:sz w:val="19"/>
        </w:rPr>
        <w:t> </w:t>
      </w:r>
      <w:r>
        <w:rPr>
          <w:color w:val="231F20"/>
          <w:spacing w:val="-3"/>
          <w:sz w:val="19"/>
        </w:rPr>
        <w:t>frontiera</w:t>
      </w:r>
      <w:r>
        <w:rPr>
          <w:color w:val="231F20"/>
          <w:spacing w:val="-13"/>
          <w:sz w:val="19"/>
        </w:rPr>
        <w:t> </w:t>
      </w:r>
      <w:r>
        <w:rPr>
          <w:color w:val="231F20"/>
          <w:spacing w:val="-3"/>
          <w:sz w:val="19"/>
        </w:rPr>
        <w:t>comune </w:t>
      </w:r>
      <w:r>
        <w:rPr>
          <w:color w:val="231F20"/>
          <w:spacing w:val="2"/>
          <w:sz w:val="19"/>
        </w:rPr>
        <w:t>“efficiente </w:t>
      </w:r>
      <w:r>
        <w:rPr>
          <w:color w:val="231F20"/>
          <w:sz w:val="19"/>
        </w:rPr>
        <w:t>e </w:t>
      </w:r>
      <w:r>
        <w:rPr>
          <w:color w:val="231F20"/>
          <w:spacing w:val="2"/>
          <w:sz w:val="19"/>
        </w:rPr>
        <w:t>sicura”. Perciò, </w:t>
      </w:r>
      <w:r>
        <w:rPr>
          <w:color w:val="231F20"/>
          <w:sz w:val="19"/>
        </w:rPr>
        <w:t>si </w:t>
      </w:r>
      <w:r>
        <w:rPr>
          <w:color w:val="231F20"/>
          <w:spacing w:val="2"/>
          <w:sz w:val="19"/>
        </w:rPr>
        <w:t>includono impegni </w:t>
      </w:r>
      <w:r>
        <w:rPr>
          <w:color w:val="231F20"/>
          <w:sz w:val="19"/>
        </w:rPr>
        <w:t>di </w:t>
      </w:r>
      <w:r>
        <w:rPr>
          <w:color w:val="231F20"/>
          <w:spacing w:val="3"/>
          <w:sz w:val="19"/>
        </w:rPr>
        <w:t>scambio </w:t>
      </w:r>
      <w:r>
        <w:rPr>
          <w:color w:val="231F20"/>
          <w:spacing w:val="-3"/>
          <w:sz w:val="19"/>
        </w:rPr>
        <w:t>d’informazione</w:t>
      </w:r>
      <w:r>
        <w:rPr>
          <w:color w:val="231F20"/>
          <w:spacing w:val="-13"/>
          <w:sz w:val="19"/>
        </w:rPr>
        <w:t> </w:t>
      </w:r>
      <w:r>
        <w:rPr>
          <w:color w:val="231F20"/>
          <w:sz w:val="19"/>
        </w:rPr>
        <w:t>di</w:t>
      </w:r>
      <w:r>
        <w:rPr>
          <w:color w:val="231F20"/>
          <w:spacing w:val="-11"/>
          <w:sz w:val="19"/>
        </w:rPr>
        <w:t> </w:t>
      </w:r>
      <w:r>
        <w:rPr>
          <w:color w:val="231F20"/>
          <w:spacing w:val="-3"/>
          <w:sz w:val="19"/>
        </w:rPr>
        <w:t>persone,</w:t>
      </w:r>
      <w:r>
        <w:rPr>
          <w:color w:val="231F20"/>
          <w:spacing w:val="-13"/>
          <w:sz w:val="19"/>
        </w:rPr>
        <w:t> </w:t>
      </w:r>
      <w:r>
        <w:rPr>
          <w:color w:val="231F20"/>
          <w:sz w:val="19"/>
        </w:rPr>
        <w:t>di</w:t>
      </w:r>
      <w:r>
        <w:rPr>
          <w:color w:val="231F20"/>
          <w:spacing w:val="-11"/>
          <w:sz w:val="19"/>
        </w:rPr>
        <w:t> </w:t>
      </w:r>
      <w:r>
        <w:rPr>
          <w:color w:val="231F20"/>
          <w:spacing w:val="-3"/>
          <w:sz w:val="19"/>
        </w:rPr>
        <w:t>trasporti</w:t>
      </w:r>
      <w:r>
        <w:rPr>
          <w:color w:val="231F20"/>
          <w:spacing w:val="-11"/>
          <w:sz w:val="19"/>
        </w:rPr>
        <w:t> </w:t>
      </w:r>
      <w:r>
        <w:rPr>
          <w:color w:val="231F20"/>
          <w:sz w:val="19"/>
        </w:rPr>
        <w:t>di</w:t>
      </w:r>
      <w:r>
        <w:rPr>
          <w:color w:val="231F20"/>
          <w:spacing w:val="-13"/>
          <w:sz w:val="19"/>
        </w:rPr>
        <w:t> </w:t>
      </w:r>
      <w:r>
        <w:rPr>
          <w:color w:val="231F20"/>
          <w:spacing w:val="-3"/>
          <w:sz w:val="19"/>
        </w:rPr>
        <w:t>merce,</w:t>
      </w:r>
      <w:r>
        <w:rPr>
          <w:color w:val="231F20"/>
          <w:spacing w:val="-13"/>
          <w:sz w:val="19"/>
        </w:rPr>
        <w:t> </w:t>
      </w:r>
      <w:r>
        <w:rPr>
          <w:color w:val="231F20"/>
          <w:sz w:val="19"/>
        </w:rPr>
        <w:t>di</w:t>
      </w:r>
      <w:r>
        <w:rPr>
          <w:color w:val="231F20"/>
          <w:spacing w:val="-11"/>
          <w:sz w:val="19"/>
        </w:rPr>
        <w:t> </w:t>
      </w:r>
      <w:r>
        <w:rPr>
          <w:color w:val="231F20"/>
          <w:spacing w:val="-3"/>
          <w:sz w:val="19"/>
        </w:rPr>
        <w:t>navi</w:t>
      </w:r>
      <w:r>
        <w:rPr>
          <w:color w:val="231F20"/>
          <w:spacing w:val="-11"/>
          <w:sz w:val="19"/>
        </w:rPr>
        <w:t> </w:t>
      </w:r>
      <w:r>
        <w:rPr>
          <w:color w:val="231F20"/>
          <w:sz w:val="19"/>
        </w:rPr>
        <w:t>e</w:t>
      </w:r>
      <w:r>
        <w:rPr>
          <w:color w:val="231F20"/>
          <w:spacing w:val="-13"/>
          <w:sz w:val="19"/>
        </w:rPr>
        <w:t> </w:t>
      </w:r>
      <w:r>
        <w:rPr>
          <w:color w:val="231F20"/>
          <w:spacing w:val="-4"/>
          <w:sz w:val="19"/>
        </w:rPr>
        <w:t>protezione </w:t>
      </w:r>
      <w:r>
        <w:rPr>
          <w:color w:val="231F20"/>
          <w:spacing w:val="2"/>
          <w:sz w:val="19"/>
        </w:rPr>
        <w:t>dell’infrastruttura della frontiera. </w:t>
      </w:r>
      <w:r>
        <w:rPr>
          <w:color w:val="231F20"/>
          <w:sz w:val="19"/>
        </w:rPr>
        <w:t>Ad </w:t>
      </w:r>
      <w:r>
        <w:rPr>
          <w:color w:val="231F20"/>
          <w:spacing w:val="2"/>
          <w:sz w:val="19"/>
        </w:rPr>
        <w:t>esempio, </w:t>
      </w:r>
      <w:r>
        <w:rPr>
          <w:color w:val="231F20"/>
          <w:sz w:val="19"/>
        </w:rPr>
        <w:t>in ottobre </w:t>
      </w:r>
      <w:r>
        <w:rPr>
          <w:color w:val="231F20"/>
          <w:spacing w:val="3"/>
          <w:sz w:val="19"/>
        </w:rPr>
        <w:t>2002 </w:t>
      </w:r>
      <w:r>
        <w:rPr>
          <w:color w:val="231F20"/>
          <w:sz w:val="19"/>
        </w:rPr>
        <w:t>arrivarono in Messico gli agenti del </w:t>
      </w:r>
      <w:r>
        <w:rPr>
          <w:color w:val="231F20"/>
          <w:sz w:val="16"/>
        </w:rPr>
        <w:t>FBI </w:t>
      </w:r>
      <w:r>
        <w:rPr>
          <w:color w:val="231F20"/>
          <w:sz w:val="19"/>
        </w:rPr>
        <w:t>per dare addestramento nell’aeroporto internazionale di Città del </w:t>
      </w:r>
      <w:r>
        <w:rPr>
          <w:color w:val="231F20"/>
          <w:spacing w:val="29"/>
          <w:sz w:val="19"/>
        </w:rPr>
        <w:t> </w:t>
      </w:r>
      <w:r>
        <w:rPr>
          <w:color w:val="231F20"/>
          <w:sz w:val="19"/>
        </w:rPr>
        <w:t>Messico</w:t>
      </w:r>
      <w:r>
        <w:rPr>
          <w:color w:val="231F20"/>
          <w:position w:val="6"/>
          <w:sz w:val="11"/>
        </w:rPr>
        <w:t>15</w:t>
      </w:r>
      <w:r>
        <w:rPr>
          <w:color w:val="231F20"/>
          <w:sz w:val="19"/>
        </w:rPr>
        <w:t>.</w:t>
      </w:r>
    </w:p>
    <w:p>
      <w:pPr>
        <w:pStyle w:val="BodyText"/>
        <w:spacing w:before="11"/>
        <w:rPr>
          <w:sz w:val="23"/>
        </w:rPr>
      </w:pPr>
    </w:p>
    <w:p>
      <w:pPr>
        <w:pStyle w:val="BodyText"/>
        <w:spacing w:line="247" w:lineRule="auto"/>
        <w:ind w:left="64" w:right="106"/>
        <w:jc w:val="right"/>
      </w:pPr>
      <w:r>
        <w:rPr>
          <w:color w:val="231F20"/>
        </w:rPr>
        <w:t>Anche</w:t>
      </w:r>
      <w:r>
        <w:rPr>
          <w:color w:val="231F20"/>
          <w:spacing w:val="26"/>
        </w:rPr>
        <w:t> </w:t>
      </w:r>
      <w:r>
        <w:rPr>
          <w:color w:val="231F20"/>
        </w:rPr>
        <w:t>se</w:t>
      </w:r>
      <w:r>
        <w:rPr>
          <w:color w:val="231F20"/>
          <w:spacing w:val="26"/>
        </w:rPr>
        <w:t> </w:t>
      </w:r>
      <w:r>
        <w:rPr>
          <w:color w:val="231F20"/>
        </w:rPr>
        <w:t>la</w:t>
      </w:r>
      <w:r>
        <w:rPr>
          <w:color w:val="231F20"/>
          <w:spacing w:val="26"/>
        </w:rPr>
        <w:t> </w:t>
      </w:r>
      <w:r>
        <w:rPr>
          <w:color w:val="231F20"/>
        </w:rPr>
        <w:t>lotta</w:t>
      </w:r>
      <w:r>
        <w:rPr>
          <w:color w:val="231F20"/>
          <w:spacing w:val="26"/>
        </w:rPr>
        <w:t> </w:t>
      </w:r>
      <w:r>
        <w:rPr>
          <w:color w:val="231F20"/>
        </w:rPr>
        <w:t>al</w:t>
      </w:r>
      <w:r>
        <w:rPr>
          <w:color w:val="231F20"/>
          <w:spacing w:val="26"/>
        </w:rPr>
        <w:t> </w:t>
      </w:r>
      <w:r>
        <w:rPr>
          <w:color w:val="231F20"/>
        </w:rPr>
        <w:t>terrorismo</w:t>
      </w:r>
      <w:r>
        <w:rPr>
          <w:color w:val="231F20"/>
          <w:spacing w:val="27"/>
        </w:rPr>
        <w:t> </w:t>
      </w:r>
      <w:r>
        <w:rPr>
          <w:color w:val="231F20"/>
        </w:rPr>
        <w:t>è</w:t>
      </w:r>
      <w:r>
        <w:rPr>
          <w:color w:val="231F20"/>
          <w:spacing w:val="26"/>
        </w:rPr>
        <w:t> </w:t>
      </w:r>
      <w:r>
        <w:rPr>
          <w:color w:val="231F20"/>
        </w:rPr>
        <w:t>un</w:t>
      </w:r>
      <w:r>
        <w:rPr>
          <w:color w:val="231F20"/>
          <w:spacing w:val="26"/>
        </w:rPr>
        <w:t> </w:t>
      </w:r>
      <w:r>
        <w:rPr>
          <w:color w:val="231F20"/>
        </w:rPr>
        <w:t>compito</w:t>
      </w:r>
      <w:r>
        <w:rPr>
          <w:color w:val="231F20"/>
          <w:spacing w:val="26"/>
        </w:rPr>
        <w:t> </w:t>
      </w:r>
      <w:r>
        <w:rPr>
          <w:color w:val="231F20"/>
        </w:rPr>
        <w:t>prioritario</w:t>
      </w:r>
      <w:r>
        <w:rPr>
          <w:color w:val="231F20"/>
          <w:spacing w:val="26"/>
        </w:rPr>
        <w:t> </w:t>
      </w:r>
      <w:r>
        <w:rPr>
          <w:color w:val="231F20"/>
        </w:rPr>
        <w:t>per</w:t>
      </w:r>
      <w:r>
        <w:rPr>
          <w:color w:val="231F20"/>
          <w:spacing w:val="26"/>
        </w:rPr>
        <w:t> </w:t>
      </w:r>
      <w:r>
        <w:rPr>
          <w:color w:val="231F20"/>
        </w:rPr>
        <w:t>entrambe</w:t>
      </w:r>
      <w:r>
        <w:rPr>
          <w:color w:val="231F20"/>
          <w:spacing w:val="26"/>
        </w:rPr>
        <w:t> </w:t>
      </w:r>
      <w:r>
        <w:rPr>
          <w:color w:val="231F20"/>
        </w:rPr>
        <w:t>le</w:t>
      </w:r>
      <w:r>
        <w:rPr>
          <w:color w:val="231F20"/>
          <w:spacing w:val="1"/>
          <w:w w:val="105"/>
        </w:rPr>
        <w:t> </w:t>
      </w:r>
      <w:r>
        <w:rPr>
          <w:color w:val="231F20"/>
        </w:rPr>
        <w:t>nazioni,</w:t>
      </w:r>
      <w:r>
        <w:rPr>
          <w:color w:val="231F20"/>
          <w:spacing w:val="-12"/>
        </w:rPr>
        <w:t> </w:t>
      </w:r>
      <w:r>
        <w:rPr>
          <w:color w:val="231F20"/>
        </w:rPr>
        <w:t>il</w:t>
      </w:r>
      <w:r>
        <w:rPr>
          <w:color w:val="231F20"/>
          <w:spacing w:val="-12"/>
        </w:rPr>
        <w:t> </w:t>
      </w:r>
      <w:r>
        <w:rPr>
          <w:color w:val="231F20"/>
        </w:rPr>
        <w:t>tema</w:t>
      </w:r>
      <w:r>
        <w:rPr>
          <w:color w:val="231F20"/>
          <w:spacing w:val="-12"/>
        </w:rPr>
        <w:t> </w:t>
      </w:r>
      <w:r>
        <w:rPr>
          <w:color w:val="231F20"/>
        </w:rPr>
        <w:t>è</w:t>
      </w:r>
      <w:r>
        <w:rPr>
          <w:color w:val="231F20"/>
          <w:spacing w:val="-12"/>
        </w:rPr>
        <w:t> </w:t>
      </w:r>
      <w:r>
        <w:rPr>
          <w:color w:val="231F20"/>
        </w:rPr>
        <w:t>stato</w:t>
      </w:r>
      <w:r>
        <w:rPr>
          <w:color w:val="231F20"/>
          <w:spacing w:val="-12"/>
        </w:rPr>
        <w:t> </w:t>
      </w:r>
      <w:r>
        <w:rPr>
          <w:color w:val="231F20"/>
        </w:rPr>
        <w:t>opacizzato</w:t>
      </w:r>
      <w:r>
        <w:rPr>
          <w:color w:val="231F20"/>
          <w:spacing w:val="-12"/>
        </w:rPr>
        <w:t> </w:t>
      </w:r>
      <w:r>
        <w:rPr>
          <w:color w:val="231F20"/>
        </w:rPr>
        <w:t>dalla</w:t>
      </w:r>
      <w:r>
        <w:rPr>
          <w:color w:val="231F20"/>
          <w:spacing w:val="-12"/>
        </w:rPr>
        <w:t> </w:t>
      </w:r>
      <w:r>
        <w:rPr>
          <w:color w:val="231F20"/>
          <w:spacing w:val="-3"/>
        </w:rPr>
        <w:t>problematica</w:t>
      </w:r>
      <w:r>
        <w:rPr>
          <w:color w:val="231F20"/>
          <w:spacing w:val="-12"/>
        </w:rPr>
        <w:t> </w:t>
      </w:r>
      <w:r>
        <w:rPr>
          <w:color w:val="231F20"/>
        </w:rPr>
        <w:t>del</w:t>
      </w:r>
      <w:r>
        <w:rPr>
          <w:color w:val="231F20"/>
          <w:spacing w:val="-12"/>
        </w:rPr>
        <w:t> </w:t>
      </w:r>
      <w:r>
        <w:rPr>
          <w:color w:val="231F20"/>
        </w:rPr>
        <w:t>passo</w:t>
      </w:r>
      <w:r>
        <w:rPr>
          <w:color w:val="231F20"/>
          <w:spacing w:val="-12"/>
        </w:rPr>
        <w:t> </w:t>
      </w:r>
      <w:r>
        <w:rPr>
          <w:color w:val="231F20"/>
        </w:rPr>
        <w:t>delle</w:t>
      </w:r>
      <w:r>
        <w:rPr>
          <w:color w:val="231F20"/>
          <w:spacing w:val="-12"/>
        </w:rPr>
        <w:t> </w:t>
      </w:r>
      <w:r>
        <w:rPr>
          <w:color w:val="231F20"/>
          <w:spacing w:val="-3"/>
        </w:rPr>
        <w:t>droghe</w:t>
      </w:r>
      <w:r>
        <w:rPr>
          <w:color w:val="231F20"/>
          <w:w w:val="105"/>
        </w:rPr>
        <w:t> </w:t>
      </w:r>
      <w:r>
        <w:rPr>
          <w:color w:val="231F20"/>
        </w:rPr>
        <w:t>dal</w:t>
      </w:r>
      <w:r>
        <w:rPr>
          <w:color w:val="231F20"/>
          <w:spacing w:val="39"/>
        </w:rPr>
        <w:t> </w:t>
      </w:r>
      <w:r>
        <w:rPr>
          <w:color w:val="231F20"/>
        </w:rPr>
        <w:t>Messico</w:t>
      </w:r>
      <w:r>
        <w:rPr>
          <w:color w:val="231F20"/>
          <w:spacing w:val="39"/>
        </w:rPr>
        <w:t> </w:t>
      </w:r>
      <w:r>
        <w:rPr>
          <w:color w:val="231F20"/>
        </w:rPr>
        <w:t>agli</w:t>
      </w:r>
      <w:r>
        <w:rPr>
          <w:color w:val="231F20"/>
          <w:spacing w:val="39"/>
        </w:rPr>
        <w:t> </w:t>
      </w:r>
      <w:r>
        <w:rPr>
          <w:color w:val="231F20"/>
        </w:rPr>
        <w:t>Stati</w:t>
      </w:r>
      <w:r>
        <w:rPr>
          <w:color w:val="231F20"/>
          <w:spacing w:val="39"/>
        </w:rPr>
        <w:t> </w:t>
      </w:r>
      <w:r>
        <w:rPr>
          <w:color w:val="231F20"/>
        </w:rPr>
        <w:t>Uniti</w:t>
      </w:r>
      <w:r>
        <w:rPr>
          <w:color w:val="231F20"/>
          <w:spacing w:val="39"/>
        </w:rPr>
        <w:t> </w:t>
      </w:r>
      <w:r>
        <w:rPr>
          <w:color w:val="231F20"/>
        </w:rPr>
        <w:t>e</w:t>
      </w:r>
      <w:r>
        <w:rPr>
          <w:color w:val="231F20"/>
          <w:spacing w:val="39"/>
        </w:rPr>
        <w:t> </w:t>
      </w:r>
      <w:r>
        <w:rPr>
          <w:color w:val="231F20"/>
        </w:rPr>
        <w:t>la</w:t>
      </w:r>
      <w:r>
        <w:rPr>
          <w:color w:val="231F20"/>
          <w:spacing w:val="39"/>
        </w:rPr>
        <w:t> </w:t>
      </w:r>
      <w:r>
        <w:rPr>
          <w:color w:val="231F20"/>
        </w:rPr>
        <w:t>criminalità</w:t>
      </w:r>
      <w:r>
        <w:rPr>
          <w:color w:val="231F20"/>
          <w:spacing w:val="39"/>
        </w:rPr>
        <w:t> </w:t>
      </w:r>
      <w:r>
        <w:rPr>
          <w:color w:val="231F20"/>
        </w:rPr>
        <w:t>organizzata</w:t>
      </w:r>
      <w:r>
        <w:rPr>
          <w:color w:val="231F20"/>
          <w:spacing w:val="39"/>
        </w:rPr>
        <w:t> </w:t>
      </w:r>
      <w:r>
        <w:rPr>
          <w:color w:val="231F20"/>
        </w:rPr>
        <w:t>come</w:t>
      </w:r>
      <w:r>
        <w:rPr>
          <w:color w:val="231F20"/>
          <w:spacing w:val="39"/>
        </w:rPr>
        <w:t> </w:t>
      </w:r>
      <w:r>
        <w:rPr>
          <w:color w:val="231F20"/>
        </w:rPr>
        <w:t>principale</w:t>
      </w:r>
      <w:r>
        <w:rPr>
          <w:color w:val="231F20"/>
          <w:spacing w:val="2"/>
          <w:w w:val="103"/>
        </w:rPr>
        <w:t> </w:t>
      </w:r>
      <w:r>
        <w:rPr>
          <w:color w:val="231F20"/>
        </w:rPr>
        <w:t>problema</w:t>
      </w:r>
      <w:r>
        <w:rPr>
          <w:color w:val="231F20"/>
          <w:spacing w:val="-17"/>
        </w:rPr>
        <w:t> </w:t>
      </w:r>
      <w:r>
        <w:rPr>
          <w:color w:val="231F20"/>
        </w:rPr>
        <w:t>di</w:t>
      </w:r>
      <w:r>
        <w:rPr>
          <w:color w:val="231F20"/>
          <w:spacing w:val="-17"/>
        </w:rPr>
        <w:t> </w:t>
      </w:r>
      <w:r>
        <w:rPr>
          <w:color w:val="231F20"/>
        </w:rPr>
        <w:t>sicurezza</w:t>
      </w:r>
      <w:r>
        <w:rPr>
          <w:color w:val="231F20"/>
          <w:spacing w:val="-17"/>
        </w:rPr>
        <w:t> </w:t>
      </w:r>
      <w:r>
        <w:rPr>
          <w:color w:val="231F20"/>
        </w:rPr>
        <w:t>nazionale.</w:t>
      </w:r>
      <w:r>
        <w:rPr>
          <w:color w:val="231F20"/>
          <w:spacing w:val="-17"/>
        </w:rPr>
        <w:t> </w:t>
      </w:r>
      <w:r>
        <w:rPr>
          <w:color w:val="231F20"/>
        </w:rPr>
        <w:t>Nel</w:t>
      </w:r>
      <w:r>
        <w:rPr>
          <w:color w:val="231F20"/>
          <w:spacing w:val="-17"/>
        </w:rPr>
        <w:t> </w:t>
      </w:r>
      <w:r>
        <w:rPr>
          <w:color w:val="231F20"/>
        </w:rPr>
        <w:t>piano</w:t>
      </w:r>
      <w:r>
        <w:rPr>
          <w:color w:val="231F20"/>
          <w:spacing w:val="-17"/>
        </w:rPr>
        <w:t> </w:t>
      </w:r>
      <w:r>
        <w:rPr>
          <w:color w:val="231F20"/>
        </w:rPr>
        <w:t>discorsivo,</w:t>
      </w:r>
      <w:r>
        <w:rPr>
          <w:color w:val="231F20"/>
          <w:spacing w:val="-17"/>
        </w:rPr>
        <w:t> </w:t>
      </w:r>
      <w:r>
        <w:rPr>
          <w:color w:val="231F20"/>
        </w:rPr>
        <w:t>la</w:t>
      </w:r>
      <w:r>
        <w:rPr>
          <w:color w:val="231F20"/>
          <w:spacing w:val="-17"/>
        </w:rPr>
        <w:t> </w:t>
      </w:r>
      <w:r>
        <w:rPr>
          <w:color w:val="231F20"/>
        </w:rPr>
        <w:t>sicurezza</w:t>
      </w:r>
      <w:r>
        <w:rPr>
          <w:color w:val="231F20"/>
          <w:spacing w:val="-17"/>
        </w:rPr>
        <w:t> </w:t>
      </w:r>
      <w:r>
        <w:rPr>
          <w:color w:val="231F20"/>
        </w:rPr>
        <w:t>nazionale</w:t>
      </w:r>
      <w:r>
        <w:rPr>
          <w:color w:val="231F20"/>
          <w:spacing w:val="-1"/>
          <w:w w:val="101"/>
        </w:rPr>
        <w:t> </w:t>
      </w:r>
      <w:r>
        <w:rPr>
          <w:color w:val="231F20"/>
        </w:rPr>
        <w:t>ha</w:t>
      </w:r>
      <w:r>
        <w:rPr>
          <w:color w:val="231F20"/>
          <w:spacing w:val="-17"/>
        </w:rPr>
        <w:t> </w:t>
      </w:r>
      <w:r>
        <w:rPr>
          <w:color w:val="231F20"/>
        </w:rPr>
        <w:t>una</w:t>
      </w:r>
      <w:r>
        <w:rPr>
          <w:color w:val="231F20"/>
          <w:spacing w:val="-17"/>
        </w:rPr>
        <w:t> </w:t>
      </w:r>
      <w:r>
        <w:rPr>
          <w:color w:val="231F20"/>
          <w:spacing w:val="-4"/>
        </w:rPr>
        <w:t>relazione</w:t>
      </w:r>
      <w:r>
        <w:rPr>
          <w:color w:val="231F20"/>
          <w:spacing w:val="-17"/>
        </w:rPr>
        <w:t> </w:t>
      </w:r>
      <w:r>
        <w:rPr>
          <w:color w:val="231F20"/>
          <w:spacing w:val="-3"/>
        </w:rPr>
        <w:t>intrinseca</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spacing w:val="-3"/>
        </w:rPr>
        <w:t>sovranità</w:t>
      </w:r>
      <w:r>
        <w:rPr>
          <w:color w:val="231F20"/>
          <w:spacing w:val="-17"/>
        </w:rPr>
        <w:t> </w:t>
      </w:r>
      <w:r>
        <w:rPr>
          <w:color w:val="231F20"/>
          <w:spacing w:val="-3"/>
        </w:rPr>
        <w:t>nazionale.</w:t>
      </w:r>
      <w:r>
        <w:rPr>
          <w:color w:val="231F20"/>
          <w:spacing w:val="-17"/>
        </w:rPr>
        <w:t> </w:t>
      </w:r>
      <w:r>
        <w:rPr>
          <w:color w:val="231F20"/>
          <w:spacing w:val="-3"/>
        </w:rPr>
        <w:t>Nonostante,</w:t>
      </w:r>
      <w:r>
        <w:rPr>
          <w:color w:val="231F20"/>
          <w:spacing w:val="-17"/>
        </w:rPr>
        <w:t> </w:t>
      </w:r>
      <w:r>
        <w:rPr>
          <w:color w:val="231F20"/>
        </w:rPr>
        <w:t>in</w:t>
      </w:r>
      <w:r>
        <w:rPr>
          <w:color w:val="231F20"/>
          <w:spacing w:val="-17"/>
        </w:rPr>
        <w:t> </w:t>
      </w:r>
      <w:r>
        <w:rPr>
          <w:color w:val="231F20"/>
          <w:spacing w:val="-3"/>
        </w:rPr>
        <w:t>Messico</w:t>
      </w:r>
      <w:r>
        <w:rPr>
          <w:color w:val="231F20"/>
          <w:spacing w:val="-3"/>
          <w:w w:val="105"/>
        </w:rPr>
        <w:t> </w:t>
      </w:r>
      <w:r>
        <w:rPr>
          <w:color w:val="231F20"/>
        </w:rPr>
        <w:t>tale problema diventa ancora più complicato, perchè inseparabile</w:t>
      </w:r>
      <w:r>
        <w:rPr>
          <w:color w:val="231F20"/>
          <w:spacing w:val="31"/>
        </w:rPr>
        <w:t> </w:t>
      </w:r>
      <w:r>
        <w:rPr>
          <w:color w:val="231F20"/>
        </w:rPr>
        <w:t>da</w:t>
      </w:r>
      <w:r>
        <w:rPr>
          <w:color w:val="231F20"/>
          <w:spacing w:val="12"/>
        </w:rPr>
        <w:t> </w:t>
      </w:r>
      <w:r>
        <w:rPr>
          <w:color w:val="231F20"/>
        </w:rPr>
        <w:t>altre</w:t>
      </w:r>
      <w:r>
        <w:rPr>
          <w:color w:val="231F20"/>
          <w:w w:val="105"/>
        </w:rPr>
        <w:t> </w:t>
      </w:r>
      <w:r>
        <w:rPr>
          <w:color w:val="231F20"/>
        </w:rPr>
        <w:t>difficoltà come il sottosviluppo economico, sociale e politico, la</w:t>
      </w:r>
      <w:r>
        <w:rPr>
          <w:color w:val="231F20"/>
          <w:spacing w:val="64"/>
        </w:rPr>
        <w:t> </w:t>
      </w:r>
      <w:r>
        <w:rPr>
          <w:color w:val="231F20"/>
        </w:rPr>
        <w:t>povertà,</w:t>
      </w:r>
      <w:r>
        <w:rPr>
          <w:color w:val="231F20"/>
          <w:spacing w:val="7"/>
        </w:rPr>
        <w:t> </w:t>
      </w:r>
      <w:r>
        <w:rPr>
          <w:color w:val="231F20"/>
        </w:rPr>
        <w:t>la</w:t>
      </w:r>
      <w:r>
        <w:rPr>
          <w:color w:val="231F20"/>
          <w:w w:val="100"/>
        </w:rPr>
        <w:t> </w:t>
      </w:r>
      <w:r>
        <w:rPr>
          <w:color w:val="231F20"/>
        </w:rPr>
        <w:t>disuguaglianza, la lunga permanenza di un partito egemonico,</w:t>
      </w:r>
      <w:r>
        <w:rPr>
          <w:color w:val="231F20"/>
          <w:spacing w:val="34"/>
        </w:rPr>
        <w:t> </w:t>
      </w:r>
      <w:r>
        <w:rPr>
          <w:color w:val="231F20"/>
        </w:rPr>
        <w:t>l’assenza</w:t>
      </w:r>
      <w:r>
        <w:rPr>
          <w:color w:val="231F20"/>
          <w:spacing w:val="4"/>
        </w:rPr>
        <w:t> </w:t>
      </w:r>
      <w:r>
        <w:rPr>
          <w:color w:val="231F20"/>
        </w:rPr>
        <w:t>di</w:t>
      </w:r>
      <w:r>
        <w:rPr>
          <w:color w:val="231F20"/>
          <w:w w:val="105"/>
        </w:rPr>
        <w:t> </w:t>
      </w:r>
      <w:r>
        <w:rPr>
          <w:color w:val="231F20"/>
        </w:rPr>
        <w:t>una</w:t>
      </w:r>
      <w:r>
        <w:rPr>
          <w:color w:val="231F20"/>
          <w:spacing w:val="-12"/>
        </w:rPr>
        <w:t> </w:t>
      </w:r>
      <w:r>
        <w:rPr>
          <w:color w:val="231F20"/>
          <w:spacing w:val="-3"/>
        </w:rPr>
        <w:t>vera</w:t>
      </w:r>
      <w:r>
        <w:rPr>
          <w:color w:val="231F20"/>
          <w:spacing w:val="-12"/>
        </w:rPr>
        <w:t> </w:t>
      </w:r>
      <w:r>
        <w:rPr>
          <w:color w:val="231F20"/>
          <w:spacing w:val="-3"/>
        </w:rPr>
        <w:t>vita</w:t>
      </w:r>
      <w:r>
        <w:rPr>
          <w:color w:val="231F20"/>
          <w:spacing w:val="-12"/>
        </w:rPr>
        <w:t> </w:t>
      </w:r>
      <w:r>
        <w:rPr>
          <w:color w:val="231F20"/>
          <w:spacing w:val="-3"/>
        </w:rPr>
        <w:t>democratica</w:t>
      </w:r>
      <w:r>
        <w:rPr>
          <w:color w:val="231F20"/>
          <w:spacing w:val="-12"/>
        </w:rPr>
        <w:t> </w:t>
      </w:r>
      <w:r>
        <w:rPr>
          <w:color w:val="231F20"/>
        </w:rPr>
        <w:t>e</w:t>
      </w:r>
      <w:r>
        <w:rPr>
          <w:color w:val="231F20"/>
          <w:spacing w:val="-12"/>
        </w:rPr>
        <w:t> </w:t>
      </w:r>
      <w:r>
        <w:rPr>
          <w:color w:val="231F20"/>
          <w:spacing w:val="-3"/>
        </w:rPr>
        <w:t>l’esistenza</w:t>
      </w:r>
      <w:r>
        <w:rPr>
          <w:color w:val="231F20"/>
          <w:spacing w:val="-12"/>
        </w:rPr>
        <w:t> </w:t>
      </w:r>
      <w:r>
        <w:rPr>
          <w:color w:val="231F20"/>
        </w:rPr>
        <w:t>di</w:t>
      </w:r>
      <w:r>
        <w:rPr>
          <w:color w:val="231F20"/>
          <w:spacing w:val="-12"/>
        </w:rPr>
        <w:t> </w:t>
      </w:r>
      <w:r>
        <w:rPr>
          <w:color w:val="231F20"/>
          <w:spacing w:val="-3"/>
        </w:rPr>
        <w:t>poteri</w:t>
      </w:r>
      <w:r>
        <w:rPr>
          <w:color w:val="231F20"/>
          <w:spacing w:val="-12"/>
        </w:rPr>
        <w:t> </w:t>
      </w:r>
      <w:r>
        <w:rPr>
          <w:color w:val="231F20"/>
          <w:spacing w:val="-3"/>
        </w:rPr>
        <w:t>fattici</w:t>
      </w:r>
      <w:r>
        <w:rPr>
          <w:color w:val="231F20"/>
          <w:spacing w:val="-12"/>
        </w:rPr>
        <w:t> </w:t>
      </w:r>
      <w:r>
        <w:rPr>
          <w:color w:val="231F20"/>
          <w:spacing w:val="-3"/>
        </w:rPr>
        <w:t>generatori</w:t>
      </w:r>
      <w:r>
        <w:rPr>
          <w:color w:val="231F20"/>
          <w:spacing w:val="-12"/>
        </w:rPr>
        <w:t> </w:t>
      </w:r>
      <w:r>
        <w:rPr>
          <w:color w:val="231F20"/>
          <w:spacing w:val="-3"/>
        </w:rPr>
        <w:t>d’instabilità.</w:t>
      </w:r>
      <w:r>
        <w:rPr>
          <w:color w:val="231F20"/>
          <w:w w:val="85"/>
        </w:rPr>
        <w:t> </w:t>
      </w:r>
      <w:r>
        <w:rPr>
          <w:color w:val="231F20"/>
        </w:rPr>
        <w:t>La </w:t>
      </w:r>
      <w:r>
        <w:rPr>
          <w:color w:val="231F20"/>
          <w:spacing w:val="3"/>
        </w:rPr>
        <w:t>transizione politica </w:t>
      </w:r>
      <w:r>
        <w:rPr>
          <w:color w:val="231F20"/>
        </w:rPr>
        <w:t>in </w:t>
      </w:r>
      <w:r>
        <w:rPr>
          <w:color w:val="231F20"/>
          <w:spacing w:val="3"/>
        </w:rPr>
        <w:t>Messico </w:t>
      </w:r>
      <w:r>
        <w:rPr>
          <w:color w:val="231F20"/>
        </w:rPr>
        <w:t>è un </w:t>
      </w:r>
      <w:r>
        <w:rPr>
          <w:color w:val="231F20"/>
          <w:spacing w:val="3"/>
        </w:rPr>
        <w:t>processo</w:t>
      </w:r>
      <w:r>
        <w:rPr>
          <w:color w:val="231F20"/>
          <w:spacing w:val="61"/>
        </w:rPr>
        <w:t> </w:t>
      </w:r>
      <w:r>
        <w:rPr>
          <w:color w:val="231F20"/>
          <w:spacing w:val="3"/>
        </w:rPr>
        <w:t>incompiuto</w:t>
      </w:r>
      <w:r>
        <w:rPr>
          <w:color w:val="231F20"/>
          <w:spacing w:val="50"/>
        </w:rPr>
        <w:t> </w:t>
      </w:r>
      <w:r>
        <w:rPr>
          <w:color w:val="231F20"/>
          <w:spacing w:val="4"/>
        </w:rPr>
        <w:t>ed</w:t>
      </w:r>
      <w:r>
        <w:rPr>
          <w:color w:val="231F20"/>
          <w:spacing w:val="4"/>
          <w:w w:val="108"/>
        </w:rPr>
        <w:t> </w:t>
      </w:r>
      <w:r>
        <w:rPr>
          <w:color w:val="231F20"/>
          <w:spacing w:val="2"/>
        </w:rPr>
        <w:t>inevitabile, bloccato </w:t>
      </w:r>
      <w:r>
        <w:rPr>
          <w:color w:val="231F20"/>
        </w:rPr>
        <w:t>da </w:t>
      </w:r>
      <w:r>
        <w:rPr>
          <w:color w:val="231F20"/>
          <w:spacing w:val="2"/>
        </w:rPr>
        <w:t>diversi “poteri fattici”:</w:t>
      </w:r>
      <w:r>
        <w:rPr>
          <w:color w:val="231F20"/>
          <w:spacing w:val="14"/>
        </w:rPr>
        <w:t> </w:t>
      </w:r>
      <w:r>
        <w:rPr>
          <w:color w:val="231F20"/>
          <w:spacing w:val="2"/>
        </w:rPr>
        <w:t>organizzazioni</w:t>
      </w:r>
      <w:r>
        <w:rPr>
          <w:color w:val="231F20"/>
          <w:spacing w:val="48"/>
        </w:rPr>
        <w:t> </w:t>
      </w:r>
      <w:r>
        <w:rPr>
          <w:color w:val="231F20"/>
          <w:spacing w:val="2"/>
        </w:rPr>
        <w:t>sindacali</w:t>
      </w:r>
      <w:r>
        <w:rPr>
          <w:color w:val="231F20"/>
          <w:w w:val="105"/>
        </w:rPr>
        <w:t> </w:t>
      </w:r>
      <w:r>
        <w:rPr>
          <w:color w:val="231F20"/>
          <w:spacing w:val="5"/>
        </w:rPr>
        <w:t>corporative sviluppate </w:t>
      </w:r>
      <w:r>
        <w:rPr>
          <w:color w:val="231F20"/>
          <w:spacing w:val="4"/>
        </w:rPr>
        <w:t>dal </w:t>
      </w:r>
      <w:r>
        <w:rPr>
          <w:color w:val="231F20"/>
          <w:spacing w:val="5"/>
        </w:rPr>
        <w:t>vecchio </w:t>
      </w:r>
      <w:r>
        <w:rPr>
          <w:color w:val="231F20"/>
          <w:spacing w:val="4"/>
        </w:rPr>
        <w:t>regime, </w:t>
      </w:r>
      <w:r>
        <w:rPr>
          <w:color w:val="231F20"/>
          <w:spacing w:val="5"/>
        </w:rPr>
        <w:t>cacicchi rurali</w:t>
      </w:r>
      <w:r>
        <w:rPr>
          <w:color w:val="231F20"/>
          <w:spacing w:val="-13"/>
        </w:rPr>
        <w:t> </w:t>
      </w:r>
      <w:r>
        <w:rPr>
          <w:color w:val="231F20"/>
          <w:spacing w:val="4"/>
        </w:rPr>
        <w:t>che</w:t>
      </w:r>
      <w:r>
        <w:rPr>
          <w:color w:val="231F20"/>
          <w:spacing w:val="62"/>
        </w:rPr>
        <w:t> </w:t>
      </w:r>
      <w:r>
        <w:rPr>
          <w:color w:val="231F20"/>
          <w:spacing w:val="6"/>
        </w:rPr>
        <w:t>sono</w:t>
      </w:r>
      <w:r>
        <w:rPr>
          <w:color w:val="231F20"/>
          <w:spacing w:val="6"/>
          <w:w w:val="103"/>
        </w:rPr>
        <w:t> </w:t>
      </w:r>
      <w:r>
        <w:rPr>
          <w:color w:val="231F20"/>
        </w:rPr>
        <w:t>sopravvissuti al clamore neoliberale, organizzazioni clientelari</w:t>
      </w:r>
      <w:r>
        <w:rPr>
          <w:color w:val="231F20"/>
          <w:spacing w:val="24"/>
        </w:rPr>
        <w:t> </w:t>
      </w:r>
      <w:r>
        <w:rPr>
          <w:color w:val="231F20"/>
        </w:rPr>
        <w:t>urbane,</w:t>
      </w:r>
      <w:r>
        <w:rPr>
          <w:color w:val="231F20"/>
          <w:spacing w:val="14"/>
        </w:rPr>
        <w:t> </w:t>
      </w:r>
      <w:r>
        <w:rPr>
          <w:color w:val="231F20"/>
        </w:rPr>
        <w:t>reti</w:t>
      </w:r>
      <w:r>
        <w:rPr>
          <w:color w:val="231F20"/>
          <w:w w:val="105"/>
        </w:rPr>
        <w:t> </w:t>
      </w:r>
      <w:r>
        <w:rPr>
          <w:color w:val="231F20"/>
        </w:rPr>
        <w:t>d’interessi creati nel sistema di giustizia (Potere Giudiziario) e</w:t>
      </w:r>
      <w:r>
        <w:rPr>
          <w:color w:val="231F20"/>
          <w:spacing w:val="25"/>
        </w:rPr>
        <w:t> </w:t>
      </w:r>
      <w:r>
        <w:rPr>
          <w:color w:val="231F20"/>
        </w:rPr>
        <w:t>nei</w:t>
      </w:r>
      <w:r>
        <w:rPr>
          <w:color w:val="231F20"/>
          <w:spacing w:val="24"/>
        </w:rPr>
        <w:t> </w:t>
      </w:r>
      <w:r>
        <w:rPr>
          <w:color w:val="231F20"/>
        </w:rPr>
        <w:t>partiti</w:t>
      </w:r>
      <w:r>
        <w:rPr>
          <w:color w:val="231F20"/>
          <w:w w:val="105"/>
        </w:rPr>
        <w:t> </w:t>
      </w:r>
      <w:r>
        <w:rPr>
          <w:color w:val="231F20"/>
        </w:rPr>
        <w:t>politici,</w:t>
      </w:r>
      <w:r>
        <w:rPr>
          <w:color w:val="231F20"/>
          <w:spacing w:val="31"/>
        </w:rPr>
        <w:t> </w:t>
      </w:r>
      <w:r>
        <w:rPr>
          <w:color w:val="231F20"/>
        </w:rPr>
        <w:t>poteri</w:t>
      </w:r>
      <w:r>
        <w:rPr>
          <w:color w:val="231F20"/>
          <w:spacing w:val="31"/>
        </w:rPr>
        <w:t> </w:t>
      </w:r>
      <w:r>
        <w:rPr>
          <w:color w:val="231F20"/>
        </w:rPr>
        <w:t>fattici</w:t>
      </w:r>
      <w:r>
        <w:rPr>
          <w:color w:val="231F20"/>
          <w:spacing w:val="31"/>
        </w:rPr>
        <w:t> </w:t>
      </w:r>
      <w:r>
        <w:rPr>
          <w:color w:val="231F20"/>
        </w:rPr>
        <w:t>economici</w:t>
      </w:r>
      <w:r>
        <w:rPr>
          <w:color w:val="231F20"/>
          <w:spacing w:val="31"/>
        </w:rPr>
        <w:t> </w:t>
      </w:r>
      <w:r>
        <w:rPr>
          <w:color w:val="231F20"/>
        </w:rPr>
        <w:t>che</w:t>
      </w:r>
      <w:r>
        <w:rPr>
          <w:color w:val="231F20"/>
          <w:spacing w:val="31"/>
        </w:rPr>
        <w:t> </w:t>
      </w:r>
      <w:r>
        <w:rPr>
          <w:color w:val="231F20"/>
        </w:rPr>
        <w:t>favoriscono</w:t>
      </w:r>
      <w:r>
        <w:rPr>
          <w:color w:val="231F20"/>
          <w:spacing w:val="31"/>
        </w:rPr>
        <w:t> </w:t>
      </w:r>
      <w:r>
        <w:rPr>
          <w:color w:val="231F20"/>
        </w:rPr>
        <w:t>a</w:t>
      </w:r>
      <w:r>
        <w:rPr>
          <w:color w:val="231F20"/>
          <w:spacing w:val="31"/>
        </w:rPr>
        <w:t> </w:t>
      </w:r>
      <w:r>
        <w:rPr>
          <w:color w:val="231F20"/>
        </w:rPr>
        <w:t>pochi</w:t>
      </w:r>
      <w:r>
        <w:rPr>
          <w:color w:val="231F20"/>
          <w:spacing w:val="31"/>
        </w:rPr>
        <w:t> </w:t>
      </w:r>
      <w:r>
        <w:rPr>
          <w:color w:val="231F20"/>
        </w:rPr>
        <w:t>e</w:t>
      </w:r>
      <w:r>
        <w:rPr>
          <w:color w:val="231F20"/>
          <w:spacing w:val="31"/>
        </w:rPr>
        <w:t> </w:t>
      </w:r>
      <w:r>
        <w:rPr>
          <w:color w:val="231F20"/>
        </w:rPr>
        <w:t>per</w:t>
      </w:r>
      <w:r>
        <w:rPr>
          <w:color w:val="231F20"/>
          <w:spacing w:val="31"/>
        </w:rPr>
        <w:t> </w:t>
      </w:r>
      <w:r>
        <w:rPr>
          <w:color w:val="231F20"/>
        </w:rPr>
        <w:t>ultimo,</w:t>
      </w:r>
      <w:r>
        <w:rPr>
          <w:color w:val="231F20"/>
          <w:spacing w:val="31"/>
        </w:rPr>
        <w:t> </w:t>
      </w:r>
      <w:r>
        <w:rPr>
          <w:color w:val="231F20"/>
        </w:rPr>
        <w:t>la</w:t>
      </w:r>
    </w:p>
    <w:p>
      <w:pPr>
        <w:pStyle w:val="BodyText"/>
        <w:spacing w:line="252" w:lineRule="exact"/>
        <w:ind w:left="103"/>
        <w:jc w:val="both"/>
      </w:pPr>
      <w:r>
        <w:rPr>
          <w:color w:val="231F20"/>
        </w:rPr>
        <w:t>criminalità organizzata.</w:t>
      </w:r>
    </w:p>
    <w:p>
      <w:pPr>
        <w:pStyle w:val="BodyText"/>
        <w:spacing w:before="6"/>
        <w:rPr>
          <w:sz w:val="23"/>
        </w:rPr>
      </w:pPr>
    </w:p>
    <w:p>
      <w:pPr>
        <w:spacing w:line="220" w:lineRule="exact" w:before="0"/>
        <w:ind w:left="1521" w:right="110" w:firstLine="0"/>
        <w:jc w:val="both"/>
        <w:rPr>
          <w:sz w:val="19"/>
        </w:rPr>
      </w:pPr>
      <w:r>
        <w:rPr>
          <w:color w:val="231F20"/>
          <w:sz w:val="19"/>
        </w:rPr>
        <w:t>I </w:t>
      </w:r>
      <w:r>
        <w:rPr>
          <w:color w:val="231F20"/>
          <w:spacing w:val="3"/>
          <w:sz w:val="19"/>
        </w:rPr>
        <w:t>poteri fattici illegali </w:t>
      </w:r>
      <w:r>
        <w:rPr>
          <w:color w:val="231F20"/>
          <w:sz w:val="19"/>
        </w:rPr>
        <w:t>si </w:t>
      </w:r>
      <w:r>
        <w:rPr>
          <w:color w:val="231F20"/>
          <w:spacing w:val="3"/>
          <w:sz w:val="19"/>
        </w:rPr>
        <w:t>esprimono oggi principalmente </w:t>
      </w:r>
      <w:r>
        <w:rPr>
          <w:color w:val="231F20"/>
          <w:spacing w:val="4"/>
          <w:sz w:val="19"/>
        </w:rPr>
        <w:t>nella </w:t>
      </w:r>
      <w:r>
        <w:rPr>
          <w:color w:val="231F20"/>
          <w:sz w:val="19"/>
        </w:rPr>
        <w:t>capacità del narcotraffico di controllare territorio, diversificare i suoi affari verso il traffico di esseri umani (sopratutto il traffico di immigranti illegali) e il controllo del contrabbando al </w:t>
      </w:r>
      <w:r>
        <w:rPr>
          <w:color w:val="231F20"/>
          <w:spacing w:val="2"/>
          <w:sz w:val="19"/>
        </w:rPr>
        <w:t>dettaglio     </w:t>
      </w:r>
      <w:r>
        <w:rPr>
          <w:color w:val="231F20"/>
          <w:sz w:val="19"/>
        </w:rPr>
        <w:t>e</w:t>
      </w:r>
      <w:r>
        <w:rPr>
          <w:color w:val="231F20"/>
          <w:spacing w:val="29"/>
          <w:sz w:val="19"/>
        </w:rPr>
        <w:t> </w:t>
      </w:r>
      <w:r>
        <w:rPr>
          <w:color w:val="231F20"/>
          <w:sz w:val="19"/>
        </w:rPr>
        <w:t>disputare</w:t>
      </w:r>
      <w:r>
        <w:rPr>
          <w:color w:val="231F20"/>
          <w:spacing w:val="29"/>
          <w:sz w:val="19"/>
        </w:rPr>
        <w:t> </w:t>
      </w:r>
      <w:r>
        <w:rPr>
          <w:color w:val="231F20"/>
          <w:sz w:val="19"/>
        </w:rPr>
        <w:t>allo</w:t>
      </w:r>
      <w:r>
        <w:rPr>
          <w:color w:val="231F20"/>
          <w:spacing w:val="29"/>
          <w:sz w:val="19"/>
        </w:rPr>
        <w:t> </w:t>
      </w:r>
      <w:r>
        <w:rPr>
          <w:color w:val="231F20"/>
          <w:sz w:val="19"/>
        </w:rPr>
        <w:t>Stato</w:t>
      </w:r>
      <w:r>
        <w:rPr>
          <w:color w:val="231F20"/>
          <w:spacing w:val="29"/>
          <w:sz w:val="19"/>
        </w:rPr>
        <w:t> </w:t>
      </w:r>
      <w:r>
        <w:rPr>
          <w:color w:val="231F20"/>
          <w:sz w:val="19"/>
        </w:rPr>
        <w:t>messicano</w:t>
      </w:r>
      <w:r>
        <w:rPr>
          <w:color w:val="231F20"/>
          <w:spacing w:val="29"/>
          <w:sz w:val="19"/>
        </w:rPr>
        <w:t> </w:t>
      </w:r>
      <w:r>
        <w:rPr>
          <w:color w:val="231F20"/>
          <w:sz w:val="19"/>
        </w:rPr>
        <w:t>il</w:t>
      </w:r>
      <w:r>
        <w:rPr>
          <w:color w:val="231F20"/>
          <w:spacing w:val="29"/>
          <w:sz w:val="19"/>
        </w:rPr>
        <w:t> </w:t>
      </w:r>
      <w:r>
        <w:rPr>
          <w:color w:val="231F20"/>
          <w:sz w:val="19"/>
        </w:rPr>
        <w:t>monopolio</w:t>
      </w:r>
      <w:r>
        <w:rPr>
          <w:color w:val="231F20"/>
          <w:spacing w:val="29"/>
          <w:sz w:val="19"/>
        </w:rPr>
        <w:t> </w:t>
      </w:r>
      <w:r>
        <w:rPr>
          <w:color w:val="231F20"/>
          <w:sz w:val="19"/>
        </w:rPr>
        <w:t>della</w:t>
      </w:r>
      <w:r>
        <w:rPr>
          <w:color w:val="231F20"/>
          <w:spacing w:val="29"/>
          <w:sz w:val="19"/>
        </w:rPr>
        <w:t> </w:t>
      </w:r>
      <w:r>
        <w:rPr>
          <w:color w:val="231F20"/>
          <w:sz w:val="19"/>
        </w:rPr>
        <w:t>violenza.</w:t>
      </w:r>
      <w:r>
        <w:rPr>
          <w:color w:val="231F20"/>
          <w:spacing w:val="29"/>
          <w:sz w:val="19"/>
        </w:rPr>
        <w:t> </w:t>
      </w:r>
      <w:r>
        <w:rPr>
          <w:color w:val="231F20"/>
          <w:sz w:val="19"/>
        </w:rPr>
        <w:t>È</w:t>
      </w:r>
    </w:p>
    <w:p>
      <w:pPr>
        <w:pStyle w:val="BodyText"/>
        <w:spacing w:before="10"/>
        <w:rPr>
          <w:sz w:val="28"/>
        </w:rPr>
      </w:pPr>
      <w:r>
        <w:rPr/>
        <w:pict>
          <v:line style="position:absolute;mso-position-horizontal-relative:page;mso-position-vertical-relative:paragraph;z-index:9448;mso-wrap-distance-left:0;mso-wrap-distance-right:0" from="65.196899pt,19.5362pt" to="178.582899pt,19.5362pt" stroked="true" strokeweight=".3pt" strokecolor="#231f20">
            <w10:wrap type="topAndBottom"/>
          </v:line>
        </w:pict>
      </w:r>
    </w:p>
    <w:p>
      <w:pPr>
        <w:spacing w:line="204" w:lineRule="exact" w:before="9"/>
        <w:ind w:left="103" w:right="114" w:firstLine="0"/>
        <w:jc w:val="both"/>
        <w:rPr>
          <w:rFonts w:ascii="Calibri" w:hAnsi="Calibri"/>
          <w:sz w:val="17"/>
        </w:rPr>
      </w:pPr>
      <w:r>
        <w:rPr>
          <w:rFonts w:ascii="Calibri" w:hAnsi="Calibri"/>
          <w:color w:val="231F20"/>
          <w:position w:val="6"/>
          <w:sz w:val="10"/>
        </w:rPr>
        <w:t>15 </w:t>
      </w:r>
      <w:r>
        <w:rPr>
          <w:rFonts w:ascii="Calibri" w:hAnsi="Calibri"/>
          <w:color w:val="231F20"/>
          <w:sz w:val="17"/>
        </w:rPr>
        <w:t>R. Benítez Manaut,“La seguridad de México después del 11 de septiembre”, J. M. Sandoval y A. Betancourt (Comps.), </w:t>
      </w:r>
      <w:r>
        <w:rPr>
          <w:rFonts w:ascii="Calibri" w:hAnsi="Calibri"/>
          <w:i/>
          <w:color w:val="231F20"/>
          <w:sz w:val="17"/>
        </w:rPr>
        <w:t>La Hegemonía estadounidense después de la guerra de Irak</w:t>
      </w:r>
      <w:r>
        <w:rPr>
          <w:rFonts w:ascii="Calibri" w:hAnsi="Calibri"/>
          <w:color w:val="231F20"/>
          <w:sz w:val="17"/>
        </w:rPr>
        <w:t>, México, Plaza y Valdés Editores, 2005, p. 140.</w:t>
      </w:r>
    </w:p>
    <w:p>
      <w:pPr>
        <w:pStyle w:val="BodyText"/>
        <w:rPr>
          <w:rFonts w:ascii="Calibri"/>
          <w:sz w:val="20"/>
        </w:rPr>
      </w:pPr>
    </w:p>
    <w:p>
      <w:pPr>
        <w:pStyle w:val="BodyText"/>
        <w:spacing w:before="1"/>
        <w:rPr>
          <w:rFonts w:ascii="Calibri"/>
          <w:sz w:val="28"/>
        </w:rPr>
      </w:pPr>
    </w:p>
    <w:p>
      <w:pPr>
        <w:tabs>
          <w:tab w:pos="1317" w:val="left" w:leader="none"/>
        </w:tabs>
        <w:spacing w:before="69"/>
        <w:ind w:left="267" w:right="0" w:firstLine="0"/>
        <w:jc w:val="left"/>
        <w:rPr>
          <w:rFonts w:ascii="Calibri" w:hAnsi="Calibri"/>
          <w:sz w:val="16"/>
        </w:rPr>
      </w:pPr>
      <w:r>
        <w:rPr/>
        <w:pict>
          <v:group style="position:absolute;margin-left:98.079102pt;margin-top:-3.308812pt;width:20.4pt;height:43pt;mso-position-horizontal-relative:page;mso-position-vertical-relative:paragraph;z-index:-165928" coordorigin="1962,-66" coordsize="408,860">
            <v:line style="position:absolute" from="2211,73" to="2211,789" stroked="true" strokeweight=".35pt" strokecolor="#231f20"/>
            <v:shape style="position:absolute;left:2179;top:-13;width:190;height:445" type="#_x0000_t75" stroked="false">
              <v:imagedata r:id="rId34" o:title=""/>
            </v:shape>
            <v:shape style="position:absolute;left:1962;top:-66;width:250;height:502" type="#_x0000_t75" stroked="false">
              <v:imagedata r:id="rId35" o:title=""/>
            </v:shape>
            <w10:wrap type="none"/>
          </v:group>
        </w:pict>
      </w:r>
      <w:r>
        <w:rPr>
          <w:rFonts w:ascii="Trebuchet MS" w:hAnsi="Trebuchet MS"/>
          <w:color w:val="414042"/>
          <w:w w:val="105"/>
          <w:position w:val="-4"/>
          <w:sz w:val="20"/>
        </w:rPr>
        <w:t>26</w:t>
        <w:tab/>
      </w:r>
      <w:r>
        <w:rPr>
          <w:rFonts w:ascii="Calibri" w:hAnsi="Calibri"/>
          <w:color w:val="6D6E71"/>
          <w:w w:val="105"/>
          <w:sz w:val="16"/>
        </w:rPr>
        <w:t>Jorge</w:t>
      </w:r>
      <w:r>
        <w:rPr>
          <w:rFonts w:ascii="Calibri" w:hAnsi="Calibri"/>
          <w:color w:val="6D6E71"/>
          <w:spacing w:val="-25"/>
          <w:w w:val="105"/>
          <w:sz w:val="16"/>
        </w:rPr>
        <w:t> </w:t>
      </w:r>
      <w:r>
        <w:rPr>
          <w:rFonts w:ascii="Calibri" w:hAnsi="Calibri"/>
          <w:color w:val="6D6E71"/>
          <w:w w:val="105"/>
          <w:sz w:val="16"/>
        </w:rPr>
        <w:t>Olvera</w:t>
      </w:r>
      <w:r>
        <w:rPr>
          <w:rFonts w:ascii="Calibri" w:hAnsi="Calibri"/>
          <w:color w:val="6D6E71"/>
          <w:spacing w:val="-25"/>
          <w:w w:val="105"/>
          <w:sz w:val="16"/>
        </w:rPr>
        <w:t> </w:t>
      </w:r>
      <w:r>
        <w:rPr>
          <w:rFonts w:ascii="Calibri" w:hAnsi="Calibri"/>
          <w:color w:val="6D6E71"/>
          <w:w w:val="105"/>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597"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588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CAMBIAMENTO</w:t>
      </w:r>
      <w:r>
        <w:rPr>
          <w:rFonts w:ascii="Lucida Sans Unicode" w:hAnsi="Lucida Sans Unicode"/>
          <w:color w:val="6D6E71"/>
          <w:spacing w:val="-25"/>
          <w:w w:val="95"/>
          <w:sz w:val="14"/>
        </w:rPr>
        <w:t> </w:t>
      </w:r>
      <w:r>
        <w:rPr>
          <w:rFonts w:ascii="Lucida Sans Unicode" w:hAnsi="Lucida Sans Unicode"/>
          <w:color w:val="6D6E71"/>
          <w:w w:val="95"/>
          <w:sz w:val="14"/>
        </w:rPr>
        <w:t>DI</w:t>
      </w:r>
      <w:r>
        <w:rPr>
          <w:rFonts w:ascii="Lucida Sans Unicode" w:hAnsi="Lucida Sans Unicode"/>
          <w:color w:val="6D6E71"/>
          <w:spacing w:val="-25"/>
          <w:w w:val="95"/>
          <w:sz w:val="14"/>
        </w:rPr>
        <w:t> </w:t>
      </w:r>
      <w:r>
        <w:rPr>
          <w:rFonts w:ascii="Lucida Sans Unicode" w:hAnsi="Lucida Sans Unicode"/>
          <w:color w:val="6D6E71"/>
          <w:w w:val="95"/>
          <w:sz w:val="14"/>
        </w:rPr>
        <w:t>PARADIGMA</w:t>
      </w:r>
      <w:r>
        <w:rPr>
          <w:rFonts w:ascii="Lucida Sans Unicode" w:hAnsi="Lucida Sans Unicode"/>
          <w:color w:val="6D6E71"/>
          <w:spacing w:val="-25"/>
          <w:w w:val="95"/>
          <w:sz w:val="14"/>
        </w:rPr>
        <w:t> </w:t>
      </w:r>
      <w:r>
        <w:rPr>
          <w:rFonts w:ascii="Lucida Sans Unicode" w:hAnsi="Lucida Sans Unicode"/>
          <w:color w:val="6D6E71"/>
          <w:w w:val="95"/>
          <w:sz w:val="14"/>
        </w:rPr>
        <w:t>GIURIDICO:</w:t>
      </w:r>
      <w:r>
        <w:rPr>
          <w:rFonts w:ascii="Lucida Sans Unicode" w:hAnsi="Lucida Sans Unicode"/>
          <w:color w:val="6D6E71"/>
          <w:spacing w:val="-25"/>
          <w:w w:val="95"/>
          <w:sz w:val="14"/>
        </w:rPr>
        <w:t> </w:t>
      </w:r>
      <w:r>
        <w:rPr>
          <w:rFonts w:ascii="Lucida Sans Unicode" w:hAnsi="Lucida Sans Unicode"/>
          <w:color w:val="6D6E71"/>
          <w:spacing w:val="-3"/>
          <w:w w:val="95"/>
          <w:sz w:val="14"/>
        </w:rPr>
        <w:t>L’11–S</w:t>
      </w:r>
      <w:r>
        <w:rPr>
          <w:rFonts w:ascii="Lucida Sans Unicode" w:hAnsi="Lucida Sans Unicode"/>
          <w:color w:val="6D6E71"/>
          <w:spacing w:val="-25"/>
          <w:w w:val="95"/>
          <w:sz w:val="14"/>
        </w:rPr>
        <w:t> </w:t>
      </w:r>
      <w:r>
        <w:rPr>
          <w:rFonts w:ascii="Lucida Sans Unicode" w:hAnsi="Lucida Sans Unicode"/>
          <w:color w:val="6D6E71"/>
          <w:w w:val="95"/>
          <w:sz w:val="14"/>
        </w:rPr>
        <w:t>E</w:t>
      </w:r>
      <w:r>
        <w:rPr>
          <w:rFonts w:ascii="Lucida Sans Unicode" w:hAnsi="Lucida Sans Unicode"/>
          <w:color w:val="6D6E71"/>
          <w:spacing w:val="-25"/>
          <w:w w:val="95"/>
          <w:sz w:val="14"/>
        </w:rPr>
        <w:t> </w:t>
      </w:r>
      <w:r>
        <w:rPr>
          <w:rFonts w:ascii="Lucida Sans Unicode" w:hAnsi="Lucida Sans Unicode"/>
          <w:color w:val="6D6E71"/>
          <w:w w:val="95"/>
          <w:sz w:val="14"/>
        </w:rPr>
        <w:t>LA</w:t>
      </w:r>
      <w:r>
        <w:rPr>
          <w:rFonts w:ascii="Lucida Sans Unicode" w:hAnsi="Lucida Sans Unicode"/>
          <w:color w:val="6D6E71"/>
          <w:spacing w:val="-25"/>
          <w:w w:val="95"/>
          <w:sz w:val="14"/>
        </w:rPr>
        <w:t> </w:t>
      </w:r>
      <w:r>
        <w:rPr>
          <w:rFonts w:ascii="Lucida Sans Unicode" w:hAnsi="Lucida Sans Unicode"/>
          <w:color w:val="6D6E71"/>
          <w:w w:val="95"/>
          <w:sz w:val="14"/>
        </w:rPr>
        <w:t>CRIMINALITÀ</w:t>
      </w:r>
      <w:r>
        <w:rPr>
          <w:rFonts w:ascii="Lucida Sans Unicode" w:hAnsi="Lucida Sans Unicode"/>
          <w:color w:val="6D6E71"/>
          <w:spacing w:val="-25"/>
          <w:w w:val="95"/>
          <w:sz w:val="14"/>
        </w:rPr>
        <w:t> </w:t>
      </w:r>
      <w:r>
        <w:rPr>
          <w:rFonts w:ascii="Lucida Sans Unicode" w:hAnsi="Lucida Sans Unicode"/>
          <w:color w:val="6D6E71"/>
          <w:w w:val="95"/>
          <w:sz w:val="14"/>
        </w:rPr>
        <w:t>ORGANIZZATA</w:t>
      </w:r>
      <w:r>
        <w:rPr>
          <w:rFonts w:ascii="Lucida Sans Unicode" w:hAnsi="Lucida Sans Unicode"/>
          <w:color w:val="6D6E71"/>
          <w:spacing w:val="-25"/>
          <w:w w:val="95"/>
          <w:sz w:val="14"/>
        </w:rPr>
        <w:t> </w:t>
      </w:r>
      <w:r>
        <w:rPr>
          <w:rFonts w:ascii="Lucida Sans Unicode" w:hAnsi="Lucida Sans Unicode"/>
          <w:color w:val="6D6E71"/>
          <w:w w:val="95"/>
          <w:sz w:val="14"/>
        </w:rPr>
        <w:t>IN</w:t>
      </w:r>
      <w:r>
        <w:rPr>
          <w:rFonts w:ascii="Lucida Sans Unicode" w:hAnsi="Lucida Sans Unicode"/>
          <w:color w:val="6D6E71"/>
          <w:spacing w:val="-25"/>
          <w:w w:val="95"/>
          <w:sz w:val="14"/>
        </w:rPr>
        <w:t> </w:t>
      </w:r>
      <w:r>
        <w:rPr>
          <w:rFonts w:ascii="Lucida Sans Unicode" w:hAnsi="Lucida Sans Unicode"/>
          <w:color w:val="6D6E71"/>
          <w:w w:val="95"/>
          <w:sz w:val="14"/>
        </w:rPr>
        <w:t>MESSICO</w:t>
      </w:r>
      <w:r>
        <w:rPr>
          <w:rFonts w:ascii="Trebuchet MS" w:hAnsi="Trebuchet MS"/>
          <w:color w:val="414042"/>
          <w:w w:val="95"/>
          <w:position w:val="-3"/>
          <w:sz w:val="20"/>
        </w:rPr>
        <w:tab/>
        <w:t>27</w:t>
      </w:r>
    </w:p>
    <w:p>
      <w:pPr>
        <w:pStyle w:val="BodyText"/>
        <w:rPr>
          <w:rFonts w:ascii="Trebuchet MS"/>
          <w:sz w:val="20"/>
        </w:rPr>
      </w:pPr>
    </w:p>
    <w:p>
      <w:pPr>
        <w:pStyle w:val="BodyText"/>
        <w:rPr>
          <w:rFonts w:ascii="Trebuchet MS"/>
          <w:sz w:val="20"/>
        </w:rPr>
      </w:pPr>
    </w:p>
    <w:p>
      <w:pPr>
        <w:spacing w:line="220" w:lineRule="exact" w:before="171"/>
        <w:ind w:left="1534" w:right="98" w:firstLine="0"/>
        <w:jc w:val="both"/>
        <w:rPr>
          <w:sz w:val="19"/>
        </w:rPr>
      </w:pPr>
      <w:r>
        <w:rPr>
          <w:color w:val="231F20"/>
          <w:spacing w:val="2"/>
          <w:w w:val="105"/>
          <w:sz w:val="19"/>
        </w:rPr>
        <w:t>impossibile determinare </w:t>
      </w:r>
      <w:r>
        <w:rPr>
          <w:color w:val="231F20"/>
          <w:w w:val="105"/>
          <w:sz w:val="19"/>
        </w:rPr>
        <w:t>il potere </w:t>
      </w:r>
      <w:r>
        <w:rPr>
          <w:color w:val="231F20"/>
          <w:spacing w:val="2"/>
          <w:w w:val="105"/>
          <w:sz w:val="19"/>
        </w:rPr>
        <w:t>economico della </w:t>
      </w:r>
      <w:r>
        <w:rPr>
          <w:color w:val="231F20"/>
          <w:spacing w:val="3"/>
          <w:w w:val="105"/>
          <w:sz w:val="19"/>
        </w:rPr>
        <w:t>criminalità </w:t>
      </w:r>
      <w:r>
        <w:rPr>
          <w:color w:val="231F20"/>
          <w:w w:val="105"/>
          <w:sz w:val="19"/>
        </w:rPr>
        <w:t>organizzata,</w:t>
      </w:r>
      <w:r>
        <w:rPr>
          <w:color w:val="231F20"/>
          <w:spacing w:val="-5"/>
          <w:w w:val="105"/>
          <w:sz w:val="19"/>
        </w:rPr>
        <w:t> </w:t>
      </w:r>
      <w:r>
        <w:rPr>
          <w:color w:val="231F20"/>
          <w:w w:val="105"/>
          <w:sz w:val="19"/>
        </w:rPr>
        <w:t>ma</w:t>
      </w:r>
      <w:r>
        <w:rPr>
          <w:color w:val="231F20"/>
          <w:spacing w:val="-5"/>
          <w:w w:val="105"/>
          <w:sz w:val="19"/>
        </w:rPr>
        <w:t> </w:t>
      </w:r>
      <w:r>
        <w:rPr>
          <w:color w:val="231F20"/>
          <w:w w:val="105"/>
          <w:sz w:val="19"/>
        </w:rPr>
        <w:t>si</w:t>
      </w:r>
      <w:r>
        <w:rPr>
          <w:color w:val="231F20"/>
          <w:spacing w:val="-5"/>
          <w:w w:val="105"/>
          <w:sz w:val="19"/>
        </w:rPr>
        <w:t> </w:t>
      </w:r>
      <w:r>
        <w:rPr>
          <w:color w:val="231F20"/>
          <w:w w:val="105"/>
          <w:sz w:val="19"/>
        </w:rPr>
        <w:t>dice</w:t>
      </w:r>
      <w:r>
        <w:rPr>
          <w:color w:val="231F20"/>
          <w:spacing w:val="-5"/>
          <w:w w:val="105"/>
          <w:sz w:val="19"/>
        </w:rPr>
        <w:t> </w:t>
      </w:r>
      <w:r>
        <w:rPr>
          <w:color w:val="231F20"/>
          <w:w w:val="105"/>
          <w:sz w:val="19"/>
        </w:rPr>
        <w:t>che</w:t>
      </w:r>
      <w:r>
        <w:rPr>
          <w:color w:val="231F20"/>
          <w:spacing w:val="-5"/>
          <w:w w:val="105"/>
          <w:sz w:val="19"/>
        </w:rPr>
        <w:t> </w:t>
      </w:r>
      <w:r>
        <w:rPr>
          <w:color w:val="231F20"/>
          <w:w w:val="105"/>
          <w:sz w:val="19"/>
        </w:rPr>
        <w:t>entra</w:t>
      </w:r>
      <w:r>
        <w:rPr>
          <w:color w:val="231F20"/>
          <w:spacing w:val="-5"/>
          <w:w w:val="105"/>
          <w:sz w:val="19"/>
        </w:rPr>
        <w:t> </w:t>
      </w:r>
      <w:r>
        <w:rPr>
          <w:color w:val="231F20"/>
          <w:w w:val="105"/>
          <w:sz w:val="19"/>
        </w:rPr>
        <w:t>al</w:t>
      </w:r>
      <w:r>
        <w:rPr>
          <w:color w:val="231F20"/>
          <w:spacing w:val="-5"/>
          <w:w w:val="105"/>
          <w:sz w:val="19"/>
        </w:rPr>
        <w:t> </w:t>
      </w:r>
      <w:r>
        <w:rPr>
          <w:color w:val="231F20"/>
          <w:w w:val="105"/>
          <w:sz w:val="19"/>
        </w:rPr>
        <w:t>paese</w:t>
      </w:r>
      <w:r>
        <w:rPr>
          <w:color w:val="231F20"/>
          <w:spacing w:val="-5"/>
          <w:w w:val="105"/>
          <w:sz w:val="19"/>
        </w:rPr>
        <w:t> </w:t>
      </w:r>
      <w:r>
        <w:rPr>
          <w:color w:val="231F20"/>
          <w:w w:val="105"/>
          <w:sz w:val="19"/>
        </w:rPr>
        <w:t>un</w:t>
      </w:r>
      <w:r>
        <w:rPr>
          <w:color w:val="231F20"/>
          <w:spacing w:val="-5"/>
          <w:w w:val="105"/>
          <w:sz w:val="19"/>
        </w:rPr>
        <w:t> </w:t>
      </w:r>
      <w:r>
        <w:rPr>
          <w:color w:val="231F20"/>
          <w:w w:val="105"/>
          <w:sz w:val="19"/>
        </w:rPr>
        <w:t>importo</w:t>
      </w:r>
      <w:r>
        <w:rPr>
          <w:color w:val="231F20"/>
          <w:spacing w:val="-5"/>
          <w:w w:val="105"/>
          <w:sz w:val="19"/>
        </w:rPr>
        <w:t> </w:t>
      </w:r>
      <w:r>
        <w:rPr>
          <w:color w:val="231F20"/>
          <w:w w:val="105"/>
          <w:sz w:val="19"/>
        </w:rPr>
        <w:t>di</w:t>
      </w:r>
      <w:r>
        <w:rPr>
          <w:color w:val="231F20"/>
          <w:spacing w:val="-5"/>
          <w:w w:val="105"/>
          <w:sz w:val="19"/>
        </w:rPr>
        <w:t> </w:t>
      </w:r>
      <w:r>
        <w:rPr>
          <w:color w:val="231F20"/>
          <w:w w:val="105"/>
          <w:sz w:val="19"/>
        </w:rPr>
        <w:t>valute </w:t>
      </w:r>
      <w:r>
        <w:rPr>
          <w:color w:val="231F20"/>
          <w:spacing w:val="2"/>
          <w:w w:val="105"/>
          <w:sz w:val="19"/>
        </w:rPr>
        <w:t>superiore </w:t>
      </w:r>
      <w:r>
        <w:rPr>
          <w:color w:val="231F20"/>
          <w:w w:val="105"/>
          <w:sz w:val="19"/>
        </w:rPr>
        <w:t>a </w:t>
      </w:r>
      <w:r>
        <w:rPr>
          <w:color w:val="231F20"/>
          <w:spacing w:val="2"/>
          <w:w w:val="105"/>
          <w:sz w:val="19"/>
        </w:rPr>
        <w:t>quello prodotto </w:t>
      </w:r>
      <w:r>
        <w:rPr>
          <w:color w:val="231F20"/>
          <w:w w:val="105"/>
          <w:sz w:val="19"/>
        </w:rPr>
        <w:t>dal </w:t>
      </w:r>
      <w:r>
        <w:rPr>
          <w:color w:val="231F20"/>
          <w:spacing w:val="2"/>
          <w:w w:val="105"/>
          <w:sz w:val="19"/>
        </w:rPr>
        <w:t>turismo </w:t>
      </w:r>
      <w:r>
        <w:rPr>
          <w:color w:val="231F20"/>
          <w:w w:val="105"/>
          <w:sz w:val="19"/>
        </w:rPr>
        <w:t>e </w:t>
      </w:r>
      <w:r>
        <w:rPr>
          <w:color w:val="231F20"/>
          <w:spacing w:val="2"/>
          <w:w w:val="105"/>
          <w:sz w:val="19"/>
        </w:rPr>
        <w:t>appena </w:t>
      </w:r>
      <w:r>
        <w:rPr>
          <w:color w:val="231F20"/>
          <w:w w:val="105"/>
          <w:sz w:val="19"/>
        </w:rPr>
        <w:t>minore </w:t>
      </w:r>
      <w:r>
        <w:rPr>
          <w:color w:val="231F20"/>
          <w:spacing w:val="2"/>
          <w:w w:val="105"/>
          <w:sz w:val="19"/>
        </w:rPr>
        <w:t>agli </w:t>
      </w:r>
      <w:r>
        <w:rPr>
          <w:color w:val="231F20"/>
          <w:spacing w:val="3"/>
          <w:w w:val="105"/>
          <w:sz w:val="19"/>
        </w:rPr>
        <w:t>ingressi ottenuti dalle rimesse inviate </w:t>
      </w:r>
      <w:r>
        <w:rPr>
          <w:color w:val="231F20"/>
          <w:spacing w:val="2"/>
          <w:w w:val="105"/>
          <w:sz w:val="19"/>
        </w:rPr>
        <w:t>dai </w:t>
      </w:r>
      <w:r>
        <w:rPr>
          <w:color w:val="231F20"/>
          <w:spacing w:val="3"/>
          <w:w w:val="105"/>
          <w:sz w:val="19"/>
        </w:rPr>
        <w:t>messicani</w:t>
      </w:r>
      <w:r>
        <w:rPr>
          <w:color w:val="231F20"/>
          <w:spacing w:val="-32"/>
          <w:w w:val="105"/>
          <w:sz w:val="19"/>
        </w:rPr>
        <w:t> </w:t>
      </w:r>
      <w:r>
        <w:rPr>
          <w:color w:val="231F20"/>
          <w:spacing w:val="3"/>
          <w:w w:val="105"/>
          <w:sz w:val="19"/>
        </w:rPr>
        <w:t>all’estero </w:t>
      </w:r>
      <w:r>
        <w:rPr>
          <w:color w:val="231F20"/>
          <w:spacing w:val="2"/>
          <w:w w:val="105"/>
          <w:sz w:val="19"/>
        </w:rPr>
        <w:t>oppure </w:t>
      </w:r>
      <w:r>
        <w:rPr>
          <w:color w:val="231F20"/>
          <w:w w:val="105"/>
          <w:sz w:val="19"/>
        </w:rPr>
        <w:t>a </w:t>
      </w:r>
      <w:r>
        <w:rPr>
          <w:color w:val="231F20"/>
          <w:spacing w:val="3"/>
          <w:w w:val="105"/>
          <w:sz w:val="19"/>
        </w:rPr>
        <w:t>quelle provvenenti dallo sfruttamento </w:t>
      </w:r>
      <w:r>
        <w:rPr>
          <w:color w:val="231F20"/>
          <w:spacing w:val="4"/>
          <w:w w:val="105"/>
          <w:sz w:val="19"/>
        </w:rPr>
        <w:t>dell’industria </w:t>
      </w:r>
      <w:r>
        <w:rPr>
          <w:color w:val="231F20"/>
          <w:w w:val="105"/>
          <w:sz w:val="19"/>
        </w:rPr>
        <w:t>petrolifera</w:t>
      </w:r>
      <w:r>
        <w:rPr>
          <w:color w:val="231F20"/>
          <w:spacing w:val="-10"/>
          <w:w w:val="105"/>
          <w:sz w:val="19"/>
        </w:rPr>
        <w:t> </w:t>
      </w:r>
      <w:r>
        <w:rPr>
          <w:color w:val="231F20"/>
          <w:w w:val="105"/>
          <w:sz w:val="19"/>
        </w:rPr>
        <w:t>(entrambe</w:t>
      </w:r>
      <w:r>
        <w:rPr>
          <w:color w:val="231F20"/>
          <w:spacing w:val="-10"/>
          <w:w w:val="105"/>
          <w:sz w:val="19"/>
        </w:rPr>
        <w:t> </w:t>
      </w:r>
      <w:r>
        <w:rPr>
          <w:color w:val="231F20"/>
          <w:w w:val="105"/>
          <w:sz w:val="19"/>
        </w:rPr>
        <w:t>nel</w:t>
      </w:r>
      <w:r>
        <w:rPr>
          <w:color w:val="231F20"/>
          <w:spacing w:val="-10"/>
          <w:w w:val="105"/>
          <w:sz w:val="19"/>
        </w:rPr>
        <w:t> </w:t>
      </w:r>
      <w:r>
        <w:rPr>
          <w:color w:val="231F20"/>
          <w:w w:val="105"/>
          <w:sz w:val="19"/>
        </w:rPr>
        <w:t>rango</w:t>
      </w:r>
      <w:r>
        <w:rPr>
          <w:color w:val="231F20"/>
          <w:spacing w:val="-10"/>
          <w:w w:val="105"/>
          <w:sz w:val="19"/>
        </w:rPr>
        <w:t> </w:t>
      </w:r>
      <w:r>
        <w:rPr>
          <w:color w:val="231F20"/>
          <w:w w:val="105"/>
          <w:sz w:val="19"/>
        </w:rPr>
        <w:t>dei</w:t>
      </w:r>
      <w:r>
        <w:rPr>
          <w:color w:val="231F20"/>
          <w:spacing w:val="-10"/>
          <w:w w:val="105"/>
          <w:sz w:val="19"/>
        </w:rPr>
        <w:t> </w:t>
      </w:r>
      <w:r>
        <w:rPr>
          <w:color w:val="231F20"/>
          <w:w w:val="105"/>
          <w:sz w:val="19"/>
        </w:rPr>
        <w:t>25</w:t>
      </w:r>
      <w:r>
        <w:rPr>
          <w:color w:val="231F20"/>
          <w:spacing w:val="-10"/>
          <w:w w:val="105"/>
          <w:sz w:val="19"/>
        </w:rPr>
        <w:t> </w:t>
      </w:r>
      <w:r>
        <w:rPr>
          <w:color w:val="231F20"/>
          <w:w w:val="105"/>
          <w:sz w:val="19"/>
        </w:rPr>
        <w:t>miliardi</w:t>
      </w:r>
      <w:r>
        <w:rPr>
          <w:color w:val="231F20"/>
          <w:spacing w:val="-10"/>
          <w:w w:val="105"/>
          <w:sz w:val="19"/>
        </w:rPr>
        <w:t> </w:t>
      </w:r>
      <w:r>
        <w:rPr>
          <w:color w:val="231F20"/>
          <w:w w:val="105"/>
          <w:sz w:val="19"/>
        </w:rPr>
        <w:t>di</w:t>
      </w:r>
      <w:r>
        <w:rPr>
          <w:color w:val="231F20"/>
          <w:spacing w:val="-10"/>
          <w:w w:val="105"/>
          <w:sz w:val="19"/>
        </w:rPr>
        <w:t> </w:t>
      </w:r>
      <w:r>
        <w:rPr>
          <w:color w:val="231F20"/>
          <w:w w:val="105"/>
          <w:sz w:val="19"/>
        </w:rPr>
        <w:t>dollari</w:t>
      </w:r>
      <w:r>
        <w:rPr>
          <w:color w:val="231F20"/>
          <w:spacing w:val="-10"/>
          <w:w w:val="105"/>
          <w:sz w:val="19"/>
        </w:rPr>
        <w:t> </w:t>
      </w:r>
      <w:r>
        <w:rPr>
          <w:color w:val="231F20"/>
          <w:w w:val="105"/>
          <w:sz w:val="19"/>
        </w:rPr>
        <w:t>annui). </w:t>
      </w:r>
      <w:r>
        <w:rPr>
          <w:color w:val="231F20"/>
          <w:spacing w:val="2"/>
          <w:w w:val="105"/>
          <w:sz w:val="19"/>
        </w:rPr>
        <w:t>L’importanza </w:t>
      </w:r>
      <w:r>
        <w:rPr>
          <w:color w:val="231F20"/>
          <w:spacing w:val="4"/>
          <w:w w:val="105"/>
          <w:sz w:val="19"/>
        </w:rPr>
        <w:t>economica </w:t>
      </w:r>
      <w:r>
        <w:rPr>
          <w:color w:val="231F20"/>
          <w:spacing w:val="3"/>
          <w:w w:val="105"/>
          <w:sz w:val="19"/>
        </w:rPr>
        <w:t>del </w:t>
      </w:r>
      <w:r>
        <w:rPr>
          <w:color w:val="231F20"/>
          <w:spacing w:val="4"/>
          <w:w w:val="105"/>
          <w:sz w:val="19"/>
        </w:rPr>
        <w:t>narcotraffico </w:t>
      </w:r>
      <w:r>
        <w:rPr>
          <w:color w:val="231F20"/>
          <w:spacing w:val="3"/>
          <w:w w:val="105"/>
          <w:sz w:val="19"/>
        </w:rPr>
        <w:t>oggi </w:t>
      </w:r>
      <w:r>
        <w:rPr>
          <w:color w:val="231F20"/>
          <w:spacing w:val="2"/>
          <w:w w:val="105"/>
          <w:sz w:val="19"/>
        </w:rPr>
        <w:t>in </w:t>
      </w:r>
      <w:r>
        <w:rPr>
          <w:color w:val="231F20"/>
          <w:spacing w:val="4"/>
          <w:w w:val="105"/>
          <w:sz w:val="19"/>
        </w:rPr>
        <w:t>Messico </w:t>
      </w:r>
      <w:r>
        <w:rPr>
          <w:color w:val="231F20"/>
          <w:w w:val="105"/>
          <w:sz w:val="19"/>
        </w:rPr>
        <w:t>è straordinaria,</w:t>
      </w:r>
      <w:r>
        <w:rPr>
          <w:color w:val="231F20"/>
          <w:spacing w:val="-46"/>
          <w:w w:val="105"/>
          <w:sz w:val="19"/>
        </w:rPr>
        <w:t> </w:t>
      </w:r>
      <w:r>
        <w:rPr>
          <w:color w:val="231F20"/>
          <w:w w:val="105"/>
          <w:sz w:val="19"/>
        </w:rPr>
        <w:t>perchè</w:t>
      </w:r>
      <w:r>
        <w:rPr>
          <w:color w:val="231F20"/>
          <w:spacing w:val="-46"/>
          <w:w w:val="105"/>
          <w:sz w:val="19"/>
        </w:rPr>
        <w:t> </w:t>
      </w:r>
      <w:r>
        <w:rPr>
          <w:color w:val="231F20"/>
          <w:w w:val="105"/>
          <w:sz w:val="19"/>
        </w:rPr>
        <w:t>spiega</w:t>
      </w:r>
      <w:r>
        <w:rPr>
          <w:color w:val="231F20"/>
          <w:spacing w:val="-46"/>
          <w:w w:val="105"/>
          <w:sz w:val="19"/>
        </w:rPr>
        <w:t> </w:t>
      </w:r>
      <w:r>
        <w:rPr>
          <w:color w:val="231F20"/>
          <w:w w:val="105"/>
          <w:sz w:val="19"/>
        </w:rPr>
        <w:t>molto</w:t>
      </w:r>
      <w:r>
        <w:rPr>
          <w:color w:val="231F20"/>
          <w:spacing w:val="-46"/>
          <w:w w:val="105"/>
          <w:sz w:val="19"/>
        </w:rPr>
        <w:t> </w:t>
      </w:r>
      <w:r>
        <w:rPr>
          <w:color w:val="231F20"/>
          <w:w w:val="105"/>
          <w:sz w:val="19"/>
        </w:rPr>
        <w:t>del</w:t>
      </w:r>
      <w:r>
        <w:rPr>
          <w:color w:val="231F20"/>
          <w:spacing w:val="-46"/>
          <w:w w:val="105"/>
          <w:sz w:val="19"/>
        </w:rPr>
        <w:t> </w:t>
      </w:r>
      <w:r>
        <w:rPr>
          <w:color w:val="231F20"/>
          <w:w w:val="105"/>
          <w:sz w:val="19"/>
        </w:rPr>
        <w:t>funzionamento</w:t>
      </w:r>
      <w:r>
        <w:rPr>
          <w:color w:val="231F20"/>
          <w:spacing w:val="-46"/>
          <w:w w:val="105"/>
          <w:sz w:val="19"/>
        </w:rPr>
        <w:t> </w:t>
      </w:r>
      <w:r>
        <w:rPr>
          <w:color w:val="231F20"/>
          <w:w w:val="105"/>
          <w:sz w:val="19"/>
        </w:rPr>
        <w:t>del</w:t>
      </w:r>
      <w:r>
        <w:rPr>
          <w:color w:val="231F20"/>
          <w:spacing w:val="-46"/>
          <w:w w:val="105"/>
          <w:sz w:val="19"/>
        </w:rPr>
        <w:t> </w:t>
      </w:r>
      <w:r>
        <w:rPr>
          <w:color w:val="231F20"/>
          <w:w w:val="105"/>
          <w:sz w:val="19"/>
        </w:rPr>
        <w:t>mercato immobiliare in alcune città del nord e la costa messicana, così come</w:t>
      </w:r>
      <w:r>
        <w:rPr>
          <w:color w:val="231F20"/>
          <w:spacing w:val="-23"/>
          <w:w w:val="105"/>
          <w:sz w:val="19"/>
        </w:rPr>
        <w:t> </w:t>
      </w:r>
      <w:r>
        <w:rPr>
          <w:color w:val="231F20"/>
          <w:w w:val="105"/>
          <w:sz w:val="19"/>
        </w:rPr>
        <w:t>l’esistenza</w:t>
      </w:r>
      <w:r>
        <w:rPr>
          <w:color w:val="231F20"/>
          <w:spacing w:val="-23"/>
          <w:w w:val="105"/>
          <w:sz w:val="19"/>
        </w:rPr>
        <w:t> </w:t>
      </w:r>
      <w:r>
        <w:rPr>
          <w:color w:val="231F20"/>
          <w:w w:val="105"/>
          <w:sz w:val="19"/>
        </w:rPr>
        <w:t>di</w:t>
      </w:r>
      <w:r>
        <w:rPr>
          <w:color w:val="231F20"/>
          <w:spacing w:val="-23"/>
          <w:w w:val="105"/>
          <w:sz w:val="19"/>
        </w:rPr>
        <w:t> </w:t>
      </w:r>
      <w:r>
        <w:rPr>
          <w:color w:val="231F20"/>
          <w:w w:val="105"/>
          <w:sz w:val="19"/>
        </w:rPr>
        <w:t>una</w:t>
      </w:r>
      <w:r>
        <w:rPr>
          <w:color w:val="231F20"/>
          <w:spacing w:val="-23"/>
          <w:w w:val="105"/>
          <w:sz w:val="19"/>
        </w:rPr>
        <w:t> </w:t>
      </w:r>
      <w:r>
        <w:rPr>
          <w:color w:val="231F20"/>
          <w:w w:val="105"/>
          <w:sz w:val="19"/>
        </w:rPr>
        <w:t>fonte</w:t>
      </w:r>
      <w:r>
        <w:rPr>
          <w:color w:val="231F20"/>
          <w:spacing w:val="-23"/>
          <w:w w:val="105"/>
          <w:sz w:val="19"/>
        </w:rPr>
        <w:t> </w:t>
      </w:r>
      <w:r>
        <w:rPr>
          <w:color w:val="231F20"/>
          <w:w w:val="105"/>
          <w:sz w:val="19"/>
        </w:rPr>
        <w:t>di</w:t>
      </w:r>
      <w:r>
        <w:rPr>
          <w:color w:val="231F20"/>
          <w:spacing w:val="-23"/>
          <w:w w:val="105"/>
          <w:sz w:val="19"/>
        </w:rPr>
        <w:t> </w:t>
      </w:r>
      <w:r>
        <w:rPr>
          <w:color w:val="231F20"/>
          <w:w w:val="105"/>
          <w:sz w:val="19"/>
        </w:rPr>
        <w:t>occupazione</w:t>
      </w:r>
      <w:r>
        <w:rPr>
          <w:color w:val="231F20"/>
          <w:spacing w:val="-23"/>
          <w:w w:val="105"/>
          <w:sz w:val="19"/>
        </w:rPr>
        <w:t> </w:t>
      </w:r>
      <w:r>
        <w:rPr>
          <w:color w:val="231F20"/>
          <w:w w:val="105"/>
          <w:sz w:val="19"/>
        </w:rPr>
        <w:t>illegale</w:t>
      </w:r>
      <w:r>
        <w:rPr>
          <w:color w:val="231F20"/>
          <w:spacing w:val="-23"/>
          <w:w w:val="105"/>
          <w:sz w:val="19"/>
        </w:rPr>
        <w:t> </w:t>
      </w:r>
      <w:r>
        <w:rPr>
          <w:color w:val="231F20"/>
          <w:w w:val="105"/>
          <w:sz w:val="19"/>
        </w:rPr>
        <w:t>per</w:t>
      </w:r>
      <w:r>
        <w:rPr>
          <w:color w:val="231F20"/>
          <w:spacing w:val="-23"/>
          <w:w w:val="105"/>
          <w:sz w:val="19"/>
        </w:rPr>
        <w:t> </w:t>
      </w:r>
      <w:r>
        <w:rPr>
          <w:color w:val="231F20"/>
          <w:w w:val="105"/>
          <w:sz w:val="19"/>
        </w:rPr>
        <w:t>migliaia di</w:t>
      </w:r>
      <w:r>
        <w:rPr>
          <w:color w:val="231F20"/>
          <w:spacing w:val="-38"/>
          <w:w w:val="105"/>
          <w:sz w:val="19"/>
        </w:rPr>
        <w:t> </w:t>
      </w:r>
      <w:r>
        <w:rPr>
          <w:color w:val="231F20"/>
          <w:w w:val="105"/>
          <w:sz w:val="19"/>
        </w:rPr>
        <w:t>persone</w:t>
      </w:r>
      <w:r>
        <w:rPr>
          <w:color w:val="231F20"/>
          <w:w w:val="105"/>
          <w:position w:val="6"/>
          <w:sz w:val="11"/>
        </w:rPr>
        <w:t>16</w:t>
      </w:r>
      <w:r>
        <w:rPr>
          <w:color w:val="231F20"/>
          <w:w w:val="105"/>
          <w:sz w:val="19"/>
        </w:rPr>
        <w:t>.</w:t>
      </w:r>
    </w:p>
    <w:p>
      <w:pPr>
        <w:pStyle w:val="BodyText"/>
        <w:spacing w:before="11"/>
        <w:rPr>
          <w:sz w:val="23"/>
        </w:rPr>
      </w:pPr>
    </w:p>
    <w:p>
      <w:pPr>
        <w:pStyle w:val="BodyText"/>
        <w:spacing w:line="247" w:lineRule="auto"/>
        <w:ind w:left="117" w:right="100"/>
        <w:jc w:val="both"/>
      </w:pPr>
      <w:r>
        <w:rPr>
          <w:color w:val="231F20"/>
          <w:w w:val="105"/>
        </w:rPr>
        <w:t>La lotta contro il narcotraffico e la criminalità organizzata è diventata il compito</w:t>
      </w:r>
      <w:r>
        <w:rPr>
          <w:color w:val="231F20"/>
          <w:spacing w:val="-23"/>
          <w:w w:val="105"/>
        </w:rPr>
        <w:t> </w:t>
      </w:r>
      <w:r>
        <w:rPr>
          <w:color w:val="231F20"/>
          <w:w w:val="105"/>
        </w:rPr>
        <w:t>predominante</w:t>
      </w:r>
      <w:r>
        <w:rPr>
          <w:color w:val="231F20"/>
          <w:spacing w:val="-23"/>
          <w:w w:val="105"/>
        </w:rPr>
        <w:t> </w:t>
      </w:r>
      <w:r>
        <w:rPr>
          <w:color w:val="231F20"/>
          <w:w w:val="105"/>
        </w:rPr>
        <w:t>per</w:t>
      </w:r>
      <w:r>
        <w:rPr>
          <w:color w:val="231F20"/>
          <w:spacing w:val="-23"/>
          <w:w w:val="105"/>
        </w:rPr>
        <w:t> </w:t>
      </w:r>
      <w:r>
        <w:rPr>
          <w:color w:val="231F20"/>
          <w:w w:val="105"/>
        </w:rPr>
        <w:t>lo</w:t>
      </w:r>
      <w:r>
        <w:rPr>
          <w:color w:val="231F20"/>
          <w:spacing w:val="-23"/>
          <w:w w:val="105"/>
        </w:rPr>
        <w:t> </w:t>
      </w:r>
      <w:r>
        <w:rPr>
          <w:color w:val="231F20"/>
          <w:w w:val="105"/>
        </w:rPr>
        <w:t>Stato</w:t>
      </w:r>
      <w:r>
        <w:rPr>
          <w:color w:val="231F20"/>
          <w:spacing w:val="-23"/>
          <w:w w:val="105"/>
        </w:rPr>
        <w:t> </w:t>
      </w:r>
      <w:r>
        <w:rPr>
          <w:color w:val="231F20"/>
          <w:w w:val="105"/>
        </w:rPr>
        <w:t>messicano,</w:t>
      </w:r>
      <w:r>
        <w:rPr>
          <w:color w:val="231F20"/>
          <w:spacing w:val="-23"/>
          <w:w w:val="105"/>
        </w:rPr>
        <w:t> </w:t>
      </w:r>
      <w:r>
        <w:rPr>
          <w:color w:val="231F20"/>
          <w:w w:val="105"/>
        </w:rPr>
        <w:t>perciò,</w:t>
      </w:r>
      <w:r>
        <w:rPr>
          <w:color w:val="231F20"/>
          <w:spacing w:val="-23"/>
          <w:w w:val="105"/>
        </w:rPr>
        <w:t> </w:t>
      </w:r>
      <w:r>
        <w:rPr>
          <w:color w:val="231F20"/>
          <w:w w:val="105"/>
        </w:rPr>
        <w:t>dagli</w:t>
      </w:r>
      <w:r>
        <w:rPr>
          <w:color w:val="231F20"/>
          <w:spacing w:val="-23"/>
          <w:w w:val="105"/>
        </w:rPr>
        <w:t> </w:t>
      </w:r>
      <w:r>
        <w:rPr>
          <w:color w:val="231F20"/>
          <w:w w:val="105"/>
        </w:rPr>
        <w:t>anni</w:t>
      </w:r>
      <w:r>
        <w:rPr>
          <w:color w:val="231F20"/>
          <w:spacing w:val="-23"/>
          <w:w w:val="105"/>
        </w:rPr>
        <w:t> </w:t>
      </w:r>
      <w:r>
        <w:rPr>
          <w:color w:val="231F20"/>
          <w:w w:val="105"/>
        </w:rPr>
        <w:t>novanta si</w:t>
      </w:r>
      <w:r>
        <w:rPr>
          <w:color w:val="231F20"/>
          <w:spacing w:val="-25"/>
          <w:w w:val="105"/>
        </w:rPr>
        <w:t> </w:t>
      </w:r>
      <w:r>
        <w:rPr>
          <w:color w:val="231F20"/>
          <w:w w:val="105"/>
        </w:rPr>
        <w:t>fecero</w:t>
      </w:r>
      <w:r>
        <w:rPr>
          <w:color w:val="231F20"/>
          <w:spacing w:val="-25"/>
          <w:w w:val="105"/>
        </w:rPr>
        <w:t> </w:t>
      </w:r>
      <w:r>
        <w:rPr>
          <w:color w:val="231F20"/>
          <w:w w:val="105"/>
        </w:rPr>
        <w:t>riforme</w:t>
      </w:r>
      <w:r>
        <w:rPr>
          <w:color w:val="231F20"/>
          <w:spacing w:val="-25"/>
          <w:w w:val="105"/>
        </w:rPr>
        <w:t> </w:t>
      </w:r>
      <w:r>
        <w:rPr>
          <w:color w:val="231F20"/>
          <w:w w:val="105"/>
        </w:rPr>
        <w:t>costituzionali</w:t>
      </w:r>
      <w:r>
        <w:rPr>
          <w:color w:val="231F20"/>
          <w:spacing w:val="-25"/>
          <w:w w:val="105"/>
        </w:rPr>
        <w:t> </w:t>
      </w:r>
      <w:r>
        <w:rPr>
          <w:color w:val="231F20"/>
          <w:w w:val="105"/>
        </w:rPr>
        <w:t>per</w:t>
      </w:r>
      <w:r>
        <w:rPr>
          <w:color w:val="231F20"/>
          <w:spacing w:val="-25"/>
          <w:w w:val="105"/>
        </w:rPr>
        <w:t> </w:t>
      </w:r>
      <w:r>
        <w:rPr>
          <w:color w:val="231F20"/>
          <w:w w:val="105"/>
        </w:rPr>
        <w:t>affrontare</w:t>
      </w:r>
      <w:r>
        <w:rPr>
          <w:color w:val="231F20"/>
          <w:spacing w:val="-25"/>
          <w:w w:val="105"/>
        </w:rPr>
        <w:t> </w:t>
      </w:r>
      <w:r>
        <w:rPr>
          <w:color w:val="231F20"/>
          <w:w w:val="105"/>
        </w:rPr>
        <w:t>giuridicamente</w:t>
      </w:r>
      <w:r>
        <w:rPr>
          <w:color w:val="231F20"/>
          <w:spacing w:val="-25"/>
          <w:w w:val="105"/>
        </w:rPr>
        <w:t> </w:t>
      </w:r>
      <w:r>
        <w:rPr>
          <w:color w:val="231F20"/>
          <w:w w:val="105"/>
        </w:rPr>
        <w:t>questa</w:t>
      </w:r>
      <w:r>
        <w:rPr>
          <w:color w:val="231F20"/>
          <w:spacing w:val="-25"/>
          <w:w w:val="105"/>
        </w:rPr>
        <w:t> </w:t>
      </w:r>
      <w:r>
        <w:rPr>
          <w:color w:val="231F20"/>
          <w:w w:val="105"/>
        </w:rPr>
        <w:t>lotta. Per</w:t>
      </w:r>
      <w:r>
        <w:rPr>
          <w:color w:val="231F20"/>
          <w:spacing w:val="-42"/>
          <w:w w:val="105"/>
        </w:rPr>
        <w:t> </w:t>
      </w:r>
      <w:r>
        <w:rPr>
          <w:color w:val="231F20"/>
          <w:w w:val="105"/>
        </w:rPr>
        <w:t>questo,</w:t>
      </w:r>
      <w:r>
        <w:rPr>
          <w:color w:val="231F20"/>
          <w:spacing w:val="-42"/>
          <w:w w:val="105"/>
        </w:rPr>
        <w:t> </w:t>
      </w:r>
      <w:r>
        <w:rPr>
          <w:color w:val="231F20"/>
          <w:w w:val="105"/>
        </w:rPr>
        <w:t>è</w:t>
      </w:r>
      <w:r>
        <w:rPr>
          <w:color w:val="231F20"/>
          <w:spacing w:val="-42"/>
          <w:w w:val="105"/>
        </w:rPr>
        <w:t> </w:t>
      </w:r>
      <w:r>
        <w:rPr>
          <w:color w:val="231F20"/>
          <w:w w:val="105"/>
        </w:rPr>
        <w:t>fondamentale</w:t>
      </w:r>
      <w:r>
        <w:rPr>
          <w:color w:val="231F20"/>
          <w:spacing w:val="-42"/>
          <w:w w:val="105"/>
        </w:rPr>
        <w:t> </w:t>
      </w:r>
      <w:r>
        <w:rPr>
          <w:color w:val="231F20"/>
          <w:w w:val="105"/>
        </w:rPr>
        <w:t>considerare</w:t>
      </w:r>
      <w:r>
        <w:rPr>
          <w:color w:val="231F20"/>
          <w:spacing w:val="-42"/>
          <w:w w:val="105"/>
        </w:rPr>
        <w:t> </w:t>
      </w:r>
      <w:r>
        <w:rPr>
          <w:color w:val="231F20"/>
          <w:w w:val="105"/>
        </w:rPr>
        <w:t>questi</w:t>
      </w:r>
      <w:r>
        <w:rPr>
          <w:color w:val="231F20"/>
          <w:spacing w:val="-42"/>
          <w:w w:val="105"/>
        </w:rPr>
        <w:t> </w:t>
      </w:r>
      <w:r>
        <w:rPr>
          <w:color w:val="231F20"/>
          <w:w w:val="105"/>
        </w:rPr>
        <w:t>cambiamenti</w:t>
      </w:r>
      <w:r>
        <w:rPr>
          <w:color w:val="231F20"/>
          <w:spacing w:val="-42"/>
          <w:w w:val="105"/>
        </w:rPr>
        <w:t> </w:t>
      </w:r>
      <w:r>
        <w:rPr>
          <w:color w:val="231F20"/>
          <w:w w:val="105"/>
        </w:rPr>
        <w:t>normativi.</w:t>
      </w:r>
    </w:p>
    <w:p>
      <w:pPr>
        <w:pStyle w:val="BodyText"/>
        <w:spacing w:line="254" w:lineRule="auto"/>
        <w:ind w:left="117" w:right="100" w:firstLine="566"/>
        <w:jc w:val="both"/>
      </w:pPr>
      <w:r>
        <w:rPr>
          <w:color w:val="231F20"/>
        </w:rPr>
        <w:t>La riforma costituzionale del 1993 incluse il tema della criminalità organizzata</w:t>
      </w:r>
      <w:r>
        <w:rPr>
          <w:color w:val="231F20"/>
          <w:spacing w:val="-19"/>
        </w:rPr>
        <w:t> </w:t>
      </w:r>
      <w:r>
        <w:rPr>
          <w:color w:val="231F20"/>
        </w:rPr>
        <w:t>che,</w:t>
      </w:r>
      <w:r>
        <w:rPr>
          <w:color w:val="231F20"/>
          <w:spacing w:val="-19"/>
        </w:rPr>
        <w:t> </w:t>
      </w:r>
      <w:r>
        <w:rPr>
          <w:color w:val="231F20"/>
        </w:rPr>
        <w:t>posteriormente,</w:t>
      </w:r>
      <w:r>
        <w:rPr>
          <w:color w:val="231F20"/>
          <w:spacing w:val="-19"/>
        </w:rPr>
        <w:t> </w:t>
      </w:r>
      <w:r>
        <w:rPr>
          <w:color w:val="231F20"/>
        </w:rPr>
        <w:t>nel</w:t>
      </w:r>
      <w:r>
        <w:rPr>
          <w:color w:val="231F20"/>
          <w:spacing w:val="-19"/>
        </w:rPr>
        <w:t> </w:t>
      </w:r>
      <w:r>
        <w:rPr>
          <w:color w:val="231F20"/>
        </w:rPr>
        <w:t>1996,</w:t>
      </w:r>
      <w:r>
        <w:rPr>
          <w:color w:val="231F20"/>
          <w:spacing w:val="-19"/>
        </w:rPr>
        <w:t> </w:t>
      </w:r>
      <w:r>
        <w:rPr>
          <w:color w:val="231F20"/>
        </w:rPr>
        <w:t>istituí</w:t>
      </w:r>
      <w:r>
        <w:rPr>
          <w:color w:val="231F20"/>
          <w:spacing w:val="-19"/>
        </w:rPr>
        <w:t> </w:t>
      </w:r>
      <w:r>
        <w:rPr>
          <w:color w:val="231F20"/>
        </w:rPr>
        <w:t>l’ordinamento</w:t>
      </w:r>
      <w:r>
        <w:rPr>
          <w:color w:val="231F20"/>
          <w:spacing w:val="-19"/>
        </w:rPr>
        <w:t> </w:t>
      </w:r>
      <w:r>
        <w:rPr>
          <w:color w:val="231F20"/>
        </w:rPr>
        <w:t>denominato Legge</w:t>
      </w:r>
      <w:r>
        <w:rPr>
          <w:color w:val="231F20"/>
          <w:spacing w:val="-8"/>
        </w:rPr>
        <w:t> </w:t>
      </w:r>
      <w:r>
        <w:rPr>
          <w:color w:val="231F20"/>
        </w:rPr>
        <w:t>Federale</w:t>
      </w:r>
      <w:r>
        <w:rPr>
          <w:color w:val="231F20"/>
          <w:spacing w:val="-9"/>
        </w:rPr>
        <w:t> </w:t>
      </w:r>
      <w:r>
        <w:rPr>
          <w:color w:val="231F20"/>
        </w:rPr>
        <w:t>contro</w:t>
      </w:r>
      <w:r>
        <w:rPr>
          <w:color w:val="231F20"/>
          <w:spacing w:val="-9"/>
        </w:rPr>
        <w:t> </w:t>
      </w:r>
      <w:r>
        <w:rPr>
          <w:color w:val="231F20"/>
        </w:rPr>
        <w:t>la</w:t>
      </w:r>
      <w:r>
        <w:rPr>
          <w:color w:val="231F20"/>
          <w:spacing w:val="-8"/>
        </w:rPr>
        <w:t> </w:t>
      </w:r>
      <w:r>
        <w:rPr>
          <w:color w:val="231F20"/>
        </w:rPr>
        <w:t>Criminalità</w:t>
      </w:r>
      <w:r>
        <w:rPr>
          <w:color w:val="231F20"/>
          <w:spacing w:val="-9"/>
        </w:rPr>
        <w:t> </w:t>
      </w:r>
      <w:r>
        <w:rPr>
          <w:color w:val="231F20"/>
        </w:rPr>
        <w:t>Organizzata</w:t>
      </w:r>
      <w:r>
        <w:rPr>
          <w:color w:val="231F20"/>
          <w:spacing w:val="-9"/>
        </w:rPr>
        <w:t> </w:t>
      </w:r>
      <w:r>
        <w:rPr>
          <w:color w:val="231F20"/>
        </w:rPr>
        <w:t>(</w:t>
      </w:r>
      <w:r>
        <w:rPr>
          <w:color w:val="231F20"/>
          <w:sz w:val="18"/>
        </w:rPr>
        <w:t>LFCO</w:t>
      </w:r>
      <w:r>
        <w:rPr>
          <w:color w:val="231F20"/>
        </w:rPr>
        <w:t>)</w:t>
      </w:r>
      <w:r>
        <w:rPr>
          <w:color w:val="231F20"/>
          <w:position w:val="7"/>
          <w:sz w:val="12"/>
        </w:rPr>
        <w:t>17</w:t>
      </w:r>
      <w:r>
        <w:rPr>
          <w:color w:val="231F20"/>
        </w:rPr>
        <w:t>,</w:t>
      </w:r>
      <w:r>
        <w:rPr>
          <w:color w:val="231F20"/>
          <w:spacing w:val="-9"/>
        </w:rPr>
        <w:t> </w:t>
      </w:r>
      <w:r>
        <w:rPr>
          <w:color w:val="231F20"/>
        </w:rPr>
        <w:t>che</w:t>
      </w:r>
      <w:r>
        <w:rPr>
          <w:color w:val="231F20"/>
          <w:spacing w:val="-9"/>
        </w:rPr>
        <w:t> </w:t>
      </w:r>
      <w:r>
        <w:rPr>
          <w:color w:val="231F20"/>
        </w:rPr>
        <w:t>stabilisce</w:t>
      </w:r>
      <w:r>
        <w:rPr>
          <w:color w:val="231F20"/>
          <w:spacing w:val="-9"/>
        </w:rPr>
        <w:t> </w:t>
      </w:r>
      <w:r>
        <w:rPr>
          <w:color w:val="231F20"/>
        </w:rPr>
        <w:t>nel suo articolo</w:t>
      </w:r>
      <w:r>
        <w:rPr>
          <w:color w:val="231F20"/>
          <w:spacing w:val="24"/>
        </w:rPr>
        <w:t> </w:t>
      </w:r>
      <w:r>
        <w:rPr>
          <w:color w:val="231F20"/>
        </w:rPr>
        <w:t>secondo:</w:t>
      </w:r>
    </w:p>
    <w:p>
      <w:pPr>
        <w:pStyle w:val="BodyText"/>
        <w:spacing w:before="3"/>
        <w:rPr>
          <w:sz w:val="22"/>
        </w:rPr>
      </w:pPr>
    </w:p>
    <w:p>
      <w:pPr>
        <w:spacing w:line="220" w:lineRule="exact" w:before="0"/>
        <w:ind w:left="1534" w:right="103" w:firstLine="0"/>
        <w:jc w:val="both"/>
        <w:rPr>
          <w:sz w:val="19"/>
        </w:rPr>
      </w:pPr>
      <w:r>
        <w:rPr>
          <w:color w:val="231F20"/>
          <w:w w:val="105"/>
          <w:sz w:val="19"/>
        </w:rPr>
        <w:t>Quando</w:t>
      </w:r>
      <w:r>
        <w:rPr>
          <w:color w:val="231F20"/>
          <w:spacing w:val="-22"/>
          <w:w w:val="105"/>
          <w:sz w:val="19"/>
        </w:rPr>
        <w:t> </w:t>
      </w:r>
      <w:r>
        <w:rPr>
          <w:color w:val="231F20"/>
          <w:w w:val="105"/>
          <w:sz w:val="19"/>
        </w:rPr>
        <w:t>tre</w:t>
      </w:r>
      <w:r>
        <w:rPr>
          <w:color w:val="231F20"/>
          <w:spacing w:val="-22"/>
          <w:w w:val="105"/>
          <w:sz w:val="19"/>
        </w:rPr>
        <w:t> </w:t>
      </w:r>
      <w:r>
        <w:rPr>
          <w:color w:val="231F20"/>
          <w:w w:val="105"/>
          <w:sz w:val="19"/>
        </w:rPr>
        <w:t>o</w:t>
      </w:r>
      <w:r>
        <w:rPr>
          <w:color w:val="231F20"/>
          <w:spacing w:val="-22"/>
          <w:w w:val="105"/>
          <w:sz w:val="19"/>
        </w:rPr>
        <w:t> </w:t>
      </w:r>
      <w:r>
        <w:rPr>
          <w:color w:val="231F20"/>
          <w:w w:val="105"/>
          <w:sz w:val="19"/>
        </w:rPr>
        <w:t>più</w:t>
      </w:r>
      <w:r>
        <w:rPr>
          <w:color w:val="231F20"/>
          <w:spacing w:val="-22"/>
          <w:w w:val="105"/>
          <w:sz w:val="19"/>
        </w:rPr>
        <w:t> </w:t>
      </w:r>
      <w:r>
        <w:rPr>
          <w:color w:val="231F20"/>
          <w:w w:val="105"/>
          <w:sz w:val="19"/>
        </w:rPr>
        <w:t>persone</w:t>
      </w:r>
      <w:r>
        <w:rPr>
          <w:color w:val="231F20"/>
          <w:spacing w:val="-22"/>
          <w:w w:val="105"/>
          <w:sz w:val="19"/>
        </w:rPr>
        <w:t> </w:t>
      </w:r>
      <w:r>
        <w:rPr>
          <w:color w:val="231F20"/>
          <w:w w:val="105"/>
          <w:sz w:val="19"/>
        </w:rPr>
        <w:t>accordino</w:t>
      </w:r>
      <w:r>
        <w:rPr>
          <w:color w:val="231F20"/>
          <w:spacing w:val="-22"/>
          <w:w w:val="105"/>
          <w:sz w:val="19"/>
        </w:rPr>
        <w:t> </w:t>
      </w:r>
      <w:r>
        <w:rPr>
          <w:color w:val="231F20"/>
          <w:w w:val="105"/>
          <w:sz w:val="19"/>
        </w:rPr>
        <w:t>organizzarsi</w:t>
      </w:r>
      <w:r>
        <w:rPr>
          <w:color w:val="231F20"/>
          <w:spacing w:val="-22"/>
          <w:w w:val="105"/>
          <w:sz w:val="19"/>
        </w:rPr>
        <w:t> </w:t>
      </w:r>
      <w:r>
        <w:rPr>
          <w:color w:val="231F20"/>
          <w:w w:val="105"/>
          <w:sz w:val="19"/>
        </w:rPr>
        <w:t>o</w:t>
      </w:r>
      <w:r>
        <w:rPr>
          <w:color w:val="231F20"/>
          <w:spacing w:val="-22"/>
          <w:w w:val="105"/>
          <w:sz w:val="19"/>
        </w:rPr>
        <w:t> </w:t>
      </w:r>
      <w:r>
        <w:rPr>
          <w:color w:val="231F20"/>
          <w:w w:val="105"/>
          <w:sz w:val="19"/>
        </w:rPr>
        <w:t>si</w:t>
      </w:r>
      <w:r>
        <w:rPr>
          <w:color w:val="231F20"/>
          <w:spacing w:val="-22"/>
          <w:w w:val="105"/>
          <w:sz w:val="19"/>
        </w:rPr>
        <w:t> </w:t>
      </w:r>
      <w:r>
        <w:rPr>
          <w:color w:val="231F20"/>
          <w:w w:val="105"/>
          <w:sz w:val="19"/>
        </w:rPr>
        <w:t>organizzino per realizzare, in modo permanente o reiterativo, condotte</w:t>
      </w:r>
      <w:r>
        <w:rPr>
          <w:color w:val="231F20"/>
          <w:spacing w:val="-41"/>
          <w:w w:val="105"/>
          <w:sz w:val="19"/>
        </w:rPr>
        <w:t> </w:t>
      </w:r>
      <w:r>
        <w:rPr>
          <w:color w:val="231F20"/>
          <w:w w:val="105"/>
          <w:sz w:val="19"/>
        </w:rPr>
        <w:t>che per</w:t>
      </w:r>
      <w:r>
        <w:rPr>
          <w:color w:val="231F20"/>
          <w:spacing w:val="-28"/>
          <w:w w:val="105"/>
          <w:sz w:val="19"/>
        </w:rPr>
        <w:t> </w:t>
      </w:r>
      <w:r>
        <w:rPr>
          <w:color w:val="231F20"/>
          <w:w w:val="105"/>
          <w:sz w:val="19"/>
        </w:rPr>
        <w:t>se</w:t>
      </w:r>
      <w:r>
        <w:rPr>
          <w:color w:val="231F20"/>
          <w:spacing w:val="-28"/>
          <w:w w:val="105"/>
          <w:sz w:val="19"/>
        </w:rPr>
        <w:t> </w:t>
      </w:r>
      <w:r>
        <w:rPr>
          <w:color w:val="231F20"/>
          <w:w w:val="105"/>
          <w:sz w:val="19"/>
        </w:rPr>
        <w:t>o</w:t>
      </w:r>
      <w:r>
        <w:rPr>
          <w:color w:val="231F20"/>
          <w:spacing w:val="-28"/>
          <w:w w:val="105"/>
          <w:sz w:val="19"/>
        </w:rPr>
        <w:t> </w:t>
      </w:r>
      <w:r>
        <w:rPr>
          <w:color w:val="231F20"/>
          <w:w w:val="105"/>
          <w:sz w:val="19"/>
        </w:rPr>
        <w:t>unite</w:t>
      </w:r>
      <w:r>
        <w:rPr>
          <w:color w:val="231F20"/>
          <w:spacing w:val="-28"/>
          <w:w w:val="105"/>
          <w:sz w:val="19"/>
        </w:rPr>
        <w:t> </w:t>
      </w:r>
      <w:r>
        <w:rPr>
          <w:color w:val="231F20"/>
          <w:w w:val="105"/>
          <w:sz w:val="19"/>
        </w:rPr>
        <w:t>ad</w:t>
      </w:r>
      <w:r>
        <w:rPr>
          <w:color w:val="231F20"/>
          <w:spacing w:val="-28"/>
          <w:w w:val="105"/>
          <w:sz w:val="19"/>
        </w:rPr>
        <w:t> </w:t>
      </w:r>
      <w:r>
        <w:rPr>
          <w:color w:val="231F20"/>
          <w:w w:val="105"/>
          <w:sz w:val="19"/>
        </w:rPr>
        <w:t>altre</w:t>
      </w:r>
      <w:r>
        <w:rPr>
          <w:color w:val="231F20"/>
          <w:spacing w:val="-28"/>
          <w:w w:val="105"/>
          <w:sz w:val="19"/>
        </w:rPr>
        <w:t> </w:t>
      </w:r>
      <w:r>
        <w:rPr>
          <w:color w:val="231F20"/>
          <w:w w:val="105"/>
          <w:sz w:val="19"/>
        </w:rPr>
        <w:t>hanno</w:t>
      </w:r>
      <w:r>
        <w:rPr>
          <w:color w:val="231F20"/>
          <w:spacing w:val="-28"/>
          <w:w w:val="105"/>
          <w:sz w:val="19"/>
        </w:rPr>
        <w:t> </w:t>
      </w:r>
      <w:r>
        <w:rPr>
          <w:color w:val="231F20"/>
          <w:w w:val="105"/>
          <w:sz w:val="19"/>
        </w:rPr>
        <w:t>come</w:t>
      </w:r>
      <w:r>
        <w:rPr>
          <w:color w:val="231F20"/>
          <w:spacing w:val="-28"/>
          <w:w w:val="105"/>
          <w:sz w:val="19"/>
        </w:rPr>
        <w:t> </w:t>
      </w:r>
      <w:r>
        <w:rPr>
          <w:color w:val="231F20"/>
          <w:w w:val="105"/>
          <w:sz w:val="19"/>
        </w:rPr>
        <w:t>finalità</w:t>
      </w:r>
      <w:r>
        <w:rPr>
          <w:color w:val="231F20"/>
          <w:spacing w:val="-29"/>
          <w:w w:val="105"/>
          <w:sz w:val="19"/>
        </w:rPr>
        <w:t> </w:t>
      </w:r>
      <w:r>
        <w:rPr>
          <w:color w:val="231F20"/>
          <w:w w:val="105"/>
          <w:sz w:val="19"/>
        </w:rPr>
        <w:t>o</w:t>
      </w:r>
      <w:r>
        <w:rPr>
          <w:color w:val="231F20"/>
          <w:spacing w:val="-29"/>
          <w:w w:val="105"/>
          <w:sz w:val="19"/>
        </w:rPr>
        <w:t> </w:t>
      </w:r>
      <w:r>
        <w:rPr>
          <w:color w:val="231F20"/>
          <w:w w:val="105"/>
          <w:sz w:val="19"/>
        </w:rPr>
        <w:t>risultato</w:t>
      </w:r>
      <w:r>
        <w:rPr>
          <w:color w:val="231F20"/>
          <w:spacing w:val="-29"/>
          <w:w w:val="105"/>
          <w:sz w:val="19"/>
        </w:rPr>
        <w:t> </w:t>
      </w:r>
      <w:r>
        <w:rPr>
          <w:color w:val="231F20"/>
          <w:w w:val="105"/>
          <w:sz w:val="19"/>
        </w:rPr>
        <w:t>commettere alcuno</w:t>
      </w:r>
      <w:r>
        <w:rPr>
          <w:color w:val="231F20"/>
          <w:spacing w:val="-12"/>
          <w:w w:val="105"/>
          <w:sz w:val="19"/>
        </w:rPr>
        <w:t> </w:t>
      </w:r>
      <w:r>
        <w:rPr>
          <w:color w:val="231F20"/>
          <w:w w:val="105"/>
          <w:sz w:val="19"/>
        </w:rPr>
        <w:t>o</w:t>
      </w:r>
      <w:r>
        <w:rPr>
          <w:color w:val="231F20"/>
          <w:spacing w:val="-12"/>
          <w:w w:val="105"/>
          <w:sz w:val="19"/>
        </w:rPr>
        <w:t> </w:t>
      </w:r>
      <w:r>
        <w:rPr>
          <w:color w:val="231F20"/>
          <w:w w:val="105"/>
          <w:sz w:val="19"/>
        </w:rPr>
        <w:t>alcuni</w:t>
      </w:r>
      <w:r>
        <w:rPr>
          <w:color w:val="231F20"/>
          <w:spacing w:val="-12"/>
          <w:w w:val="105"/>
          <w:sz w:val="19"/>
        </w:rPr>
        <w:t> </w:t>
      </w:r>
      <w:r>
        <w:rPr>
          <w:color w:val="231F20"/>
          <w:w w:val="105"/>
          <w:sz w:val="19"/>
        </w:rPr>
        <w:t>dei</w:t>
      </w:r>
      <w:r>
        <w:rPr>
          <w:color w:val="231F20"/>
          <w:spacing w:val="-12"/>
          <w:w w:val="105"/>
          <w:sz w:val="19"/>
        </w:rPr>
        <w:t> </w:t>
      </w:r>
      <w:r>
        <w:rPr>
          <w:color w:val="231F20"/>
          <w:w w:val="105"/>
          <w:sz w:val="19"/>
        </w:rPr>
        <w:t>delitti</w:t>
      </w:r>
      <w:r>
        <w:rPr>
          <w:color w:val="231F20"/>
          <w:spacing w:val="-12"/>
          <w:w w:val="105"/>
          <w:sz w:val="19"/>
        </w:rPr>
        <w:t> </w:t>
      </w:r>
      <w:r>
        <w:rPr>
          <w:color w:val="231F20"/>
          <w:w w:val="105"/>
          <w:sz w:val="19"/>
        </w:rPr>
        <w:t>seguenti,</w:t>
      </w:r>
      <w:r>
        <w:rPr>
          <w:color w:val="231F20"/>
          <w:spacing w:val="-12"/>
          <w:w w:val="105"/>
          <w:sz w:val="19"/>
        </w:rPr>
        <w:t> </w:t>
      </w:r>
      <w:r>
        <w:rPr>
          <w:color w:val="231F20"/>
          <w:w w:val="105"/>
          <w:sz w:val="19"/>
        </w:rPr>
        <w:t>saranno</w:t>
      </w:r>
      <w:r>
        <w:rPr>
          <w:color w:val="231F20"/>
          <w:spacing w:val="-12"/>
          <w:w w:val="105"/>
          <w:sz w:val="19"/>
        </w:rPr>
        <w:t> </w:t>
      </w:r>
      <w:r>
        <w:rPr>
          <w:color w:val="231F20"/>
          <w:w w:val="105"/>
          <w:sz w:val="19"/>
        </w:rPr>
        <w:t>sanzionate</w:t>
      </w:r>
      <w:r>
        <w:rPr>
          <w:color w:val="231F20"/>
          <w:spacing w:val="-12"/>
          <w:w w:val="105"/>
          <w:sz w:val="19"/>
        </w:rPr>
        <w:t> </w:t>
      </w:r>
      <w:r>
        <w:rPr>
          <w:color w:val="231F20"/>
          <w:w w:val="105"/>
          <w:sz w:val="19"/>
        </w:rPr>
        <w:t>per</w:t>
      </w:r>
      <w:r>
        <w:rPr>
          <w:color w:val="231F20"/>
          <w:spacing w:val="-12"/>
          <w:w w:val="105"/>
          <w:sz w:val="19"/>
        </w:rPr>
        <w:t> </w:t>
      </w:r>
      <w:r>
        <w:rPr>
          <w:color w:val="231F20"/>
          <w:w w:val="105"/>
          <w:sz w:val="19"/>
        </w:rPr>
        <w:t>quel solo</w:t>
      </w:r>
      <w:r>
        <w:rPr>
          <w:color w:val="231F20"/>
          <w:spacing w:val="-37"/>
          <w:w w:val="105"/>
          <w:sz w:val="19"/>
        </w:rPr>
        <w:t> </w:t>
      </w:r>
      <w:r>
        <w:rPr>
          <w:color w:val="231F20"/>
          <w:w w:val="105"/>
          <w:sz w:val="19"/>
        </w:rPr>
        <w:t>fatto,</w:t>
      </w:r>
      <w:r>
        <w:rPr>
          <w:color w:val="231F20"/>
          <w:spacing w:val="-37"/>
          <w:w w:val="105"/>
          <w:sz w:val="19"/>
        </w:rPr>
        <w:t> </w:t>
      </w:r>
      <w:r>
        <w:rPr>
          <w:color w:val="231F20"/>
          <w:w w:val="105"/>
          <w:sz w:val="19"/>
        </w:rPr>
        <w:t>come</w:t>
      </w:r>
      <w:r>
        <w:rPr>
          <w:color w:val="231F20"/>
          <w:spacing w:val="-37"/>
          <w:w w:val="105"/>
          <w:sz w:val="19"/>
        </w:rPr>
        <w:t> </w:t>
      </w:r>
      <w:r>
        <w:rPr>
          <w:color w:val="231F20"/>
          <w:w w:val="105"/>
          <w:sz w:val="19"/>
        </w:rPr>
        <w:t>membri</w:t>
      </w:r>
      <w:r>
        <w:rPr>
          <w:color w:val="231F20"/>
          <w:spacing w:val="-37"/>
          <w:w w:val="105"/>
          <w:sz w:val="19"/>
        </w:rPr>
        <w:t> </w:t>
      </w:r>
      <w:r>
        <w:rPr>
          <w:color w:val="231F20"/>
          <w:w w:val="105"/>
          <w:sz w:val="19"/>
        </w:rPr>
        <w:t>della</w:t>
      </w:r>
      <w:r>
        <w:rPr>
          <w:color w:val="231F20"/>
          <w:spacing w:val="-37"/>
          <w:w w:val="105"/>
          <w:sz w:val="19"/>
        </w:rPr>
        <w:t> </w:t>
      </w:r>
      <w:r>
        <w:rPr>
          <w:color w:val="231F20"/>
          <w:w w:val="105"/>
          <w:sz w:val="19"/>
        </w:rPr>
        <w:t>criminalità</w:t>
      </w:r>
      <w:r>
        <w:rPr>
          <w:color w:val="231F20"/>
          <w:spacing w:val="-37"/>
          <w:w w:val="105"/>
          <w:sz w:val="19"/>
        </w:rPr>
        <w:t> </w:t>
      </w:r>
      <w:r>
        <w:rPr>
          <w:color w:val="231F20"/>
          <w:w w:val="105"/>
          <w:sz w:val="19"/>
        </w:rPr>
        <w:t>organizzata:</w:t>
      </w:r>
    </w:p>
    <w:p>
      <w:pPr>
        <w:pStyle w:val="ListParagraph"/>
        <w:numPr>
          <w:ilvl w:val="0"/>
          <w:numId w:val="8"/>
        </w:numPr>
        <w:tabs>
          <w:tab w:pos="1895" w:val="left" w:leader="none"/>
        </w:tabs>
        <w:spacing w:line="220" w:lineRule="exact" w:before="113" w:after="0"/>
        <w:ind w:left="1894" w:right="100" w:hanging="360"/>
        <w:jc w:val="both"/>
        <w:rPr>
          <w:sz w:val="19"/>
        </w:rPr>
      </w:pPr>
      <w:r>
        <w:rPr>
          <w:color w:val="231F20"/>
          <w:spacing w:val="-3"/>
          <w:sz w:val="19"/>
        </w:rPr>
        <w:t>Terrorismo, </w:t>
      </w:r>
      <w:r>
        <w:rPr>
          <w:color w:val="231F20"/>
          <w:sz w:val="19"/>
        </w:rPr>
        <w:t>previsto nell’articolo 139, paragrafo primo;</w:t>
      </w:r>
      <w:r>
        <w:rPr>
          <w:color w:val="231F20"/>
          <w:spacing w:val="-22"/>
          <w:sz w:val="19"/>
        </w:rPr>
        <w:t> </w:t>
      </w:r>
      <w:r>
        <w:rPr>
          <w:color w:val="231F20"/>
          <w:sz w:val="19"/>
        </w:rPr>
        <w:t>contro la salute, previsto nell’articolo 194 e 195, paragrafo </w:t>
      </w:r>
      <w:r>
        <w:rPr>
          <w:color w:val="231F20"/>
          <w:spacing w:val="2"/>
          <w:sz w:val="19"/>
        </w:rPr>
        <w:t>primo; </w:t>
      </w:r>
      <w:r>
        <w:rPr>
          <w:color w:val="231F20"/>
          <w:sz w:val="19"/>
        </w:rPr>
        <w:t>falsificazione o alterazione di monete, previsto nell’articolo 234, 236 e 237; operazioni con risorse di provenienza illecita, previsto nell’articolo 400 bis, tutti del Codice Penale per il </w:t>
      </w:r>
      <w:r>
        <w:rPr>
          <w:color w:val="231F20"/>
          <w:spacing w:val="-3"/>
          <w:sz w:val="19"/>
        </w:rPr>
        <w:t>Distretto</w:t>
      </w:r>
      <w:r>
        <w:rPr>
          <w:color w:val="231F20"/>
          <w:spacing w:val="-12"/>
          <w:sz w:val="19"/>
        </w:rPr>
        <w:t> </w:t>
      </w:r>
      <w:r>
        <w:rPr>
          <w:color w:val="231F20"/>
          <w:sz w:val="19"/>
        </w:rPr>
        <w:t>Federale</w:t>
      </w:r>
      <w:r>
        <w:rPr>
          <w:color w:val="231F20"/>
          <w:spacing w:val="-12"/>
          <w:sz w:val="19"/>
        </w:rPr>
        <w:t> </w:t>
      </w:r>
      <w:r>
        <w:rPr>
          <w:color w:val="231F20"/>
          <w:sz w:val="19"/>
        </w:rPr>
        <w:t>in</w:t>
      </w:r>
      <w:r>
        <w:rPr>
          <w:color w:val="231F20"/>
          <w:spacing w:val="-12"/>
          <w:sz w:val="19"/>
        </w:rPr>
        <w:t> </w:t>
      </w:r>
      <w:r>
        <w:rPr>
          <w:color w:val="231F20"/>
          <w:sz w:val="19"/>
        </w:rPr>
        <w:t>materia</w:t>
      </w:r>
      <w:r>
        <w:rPr>
          <w:color w:val="231F20"/>
          <w:spacing w:val="-12"/>
          <w:sz w:val="19"/>
        </w:rPr>
        <w:t> </w:t>
      </w:r>
      <w:r>
        <w:rPr>
          <w:color w:val="231F20"/>
          <w:sz w:val="19"/>
        </w:rPr>
        <w:t>della</w:t>
      </w:r>
      <w:r>
        <w:rPr>
          <w:color w:val="231F20"/>
          <w:spacing w:val="-12"/>
          <w:sz w:val="19"/>
        </w:rPr>
        <w:t> </w:t>
      </w:r>
      <w:r>
        <w:rPr>
          <w:color w:val="231F20"/>
          <w:sz w:val="19"/>
        </w:rPr>
        <w:t>Giurisdizione</w:t>
      </w:r>
      <w:r>
        <w:rPr>
          <w:color w:val="231F20"/>
          <w:spacing w:val="-12"/>
          <w:sz w:val="19"/>
        </w:rPr>
        <w:t> </w:t>
      </w:r>
      <w:r>
        <w:rPr>
          <w:color w:val="231F20"/>
          <w:sz w:val="19"/>
        </w:rPr>
        <w:t>Comune</w:t>
      </w:r>
      <w:r>
        <w:rPr>
          <w:color w:val="231F20"/>
          <w:spacing w:val="-12"/>
          <w:sz w:val="19"/>
        </w:rPr>
        <w:t> </w:t>
      </w:r>
      <w:r>
        <w:rPr>
          <w:color w:val="231F20"/>
          <w:sz w:val="19"/>
        </w:rPr>
        <w:t>e</w:t>
      </w:r>
      <w:r>
        <w:rPr>
          <w:color w:val="231F20"/>
          <w:spacing w:val="-12"/>
          <w:sz w:val="19"/>
        </w:rPr>
        <w:t> </w:t>
      </w:r>
      <w:r>
        <w:rPr>
          <w:color w:val="231F20"/>
          <w:spacing w:val="-2"/>
          <w:sz w:val="19"/>
        </w:rPr>
        <w:t>per </w:t>
      </w:r>
      <w:r>
        <w:rPr>
          <w:color w:val="231F20"/>
          <w:sz w:val="19"/>
        </w:rPr>
        <w:t>tutta la Repubblica in materia della Giurisdizione</w:t>
      </w:r>
      <w:r>
        <w:rPr>
          <w:color w:val="231F20"/>
          <w:spacing w:val="48"/>
          <w:sz w:val="19"/>
        </w:rPr>
        <w:t> </w:t>
      </w:r>
      <w:r>
        <w:rPr>
          <w:color w:val="231F20"/>
          <w:sz w:val="19"/>
        </w:rPr>
        <w:t>Federale;</w:t>
      </w:r>
    </w:p>
    <w:p>
      <w:pPr>
        <w:pStyle w:val="ListParagraph"/>
        <w:numPr>
          <w:ilvl w:val="0"/>
          <w:numId w:val="8"/>
        </w:numPr>
        <w:tabs>
          <w:tab w:pos="1895" w:val="left" w:leader="none"/>
        </w:tabs>
        <w:spacing w:line="220" w:lineRule="exact" w:before="113" w:after="0"/>
        <w:ind w:left="1894" w:right="101" w:hanging="360"/>
        <w:jc w:val="both"/>
        <w:rPr>
          <w:sz w:val="19"/>
        </w:rPr>
      </w:pPr>
      <w:r>
        <w:rPr>
          <w:color w:val="231F20"/>
          <w:sz w:val="19"/>
        </w:rPr>
        <w:t>Possesso e traffico di armi, previsto negli articoli 83 bis e 84 della Legge Federale di Armi ed </w:t>
      </w:r>
      <w:r>
        <w:rPr>
          <w:color w:val="231F20"/>
          <w:spacing w:val="11"/>
          <w:sz w:val="19"/>
        </w:rPr>
        <w:t> </w:t>
      </w:r>
      <w:r>
        <w:rPr>
          <w:color w:val="231F20"/>
          <w:sz w:val="19"/>
        </w:rPr>
        <w:t>Esplosivi;</w:t>
      </w:r>
    </w:p>
    <w:p>
      <w:pPr>
        <w:pStyle w:val="ListParagraph"/>
        <w:numPr>
          <w:ilvl w:val="0"/>
          <w:numId w:val="8"/>
        </w:numPr>
        <w:tabs>
          <w:tab w:pos="1895" w:val="left" w:leader="none"/>
        </w:tabs>
        <w:spacing w:line="220" w:lineRule="exact" w:before="113" w:after="0"/>
        <w:ind w:left="1894" w:right="100" w:hanging="360"/>
        <w:jc w:val="both"/>
        <w:rPr>
          <w:sz w:val="19"/>
        </w:rPr>
      </w:pPr>
      <w:r>
        <w:rPr>
          <w:color w:val="231F20"/>
          <w:spacing w:val="-4"/>
          <w:w w:val="105"/>
          <w:sz w:val="19"/>
        </w:rPr>
        <w:t>Traffico</w:t>
      </w:r>
      <w:r>
        <w:rPr>
          <w:color w:val="231F20"/>
          <w:spacing w:val="-48"/>
          <w:w w:val="105"/>
          <w:sz w:val="19"/>
        </w:rPr>
        <w:t> </w:t>
      </w:r>
      <w:r>
        <w:rPr>
          <w:color w:val="231F20"/>
          <w:w w:val="105"/>
          <w:sz w:val="19"/>
        </w:rPr>
        <w:t>di</w:t>
      </w:r>
      <w:r>
        <w:rPr>
          <w:color w:val="231F20"/>
          <w:spacing w:val="-48"/>
          <w:w w:val="105"/>
          <w:sz w:val="19"/>
        </w:rPr>
        <w:t> </w:t>
      </w:r>
      <w:r>
        <w:rPr>
          <w:color w:val="231F20"/>
          <w:w w:val="105"/>
          <w:sz w:val="19"/>
        </w:rPr>
        <w:t>immigrati</w:t>
      </w:r>
      <w:r>
        <w:rPr>
          <w:color w:val="231F20"/>
          <w:spacing w:val="-48"/>
          <w:w w:val="105"/>
          <w:sz w:val="19"/>
        </w:rPr>
        <w:t> </w:t>
      </w:r>
      <w:r>
        <w:rPr>
          <w:color w:val="231F20"/>
          <w:w w:val="105"/>
          <w:sz w:val="19"/>
        </w:rPr>
        <w:t>clandestini,</w:t>
      </w:r>
      <w:r>
        <w:rPr>
          <w:color w:val="231F20"/>
          <w:spacing w:val="-48"/>
          <w:w w:val="105"/>
          <w:sz w:val="19"/>
        </w:rPr>
        <w:t> </w:t>
      </w:r>
      <w:r>
        <w:rPr>
          <w:color w:val="231F20"/>
          <w:w w:val="105"/>
          <w:sz w:val="19"/>
        </w:rPr>
        <w:t>previsto</w:t>
      </w:r>
      <w:r>
        <w:rPr>
          <w:color w:val="231F20"/>
          <w:spacing w:val="-48"/>
          <w:w w:val="105"/>
          <w:sz w:val="19"/>
        </w:rPr>
        <w:t> </w:t>
      </w:r>
      <w:r>
        <w:rPr>
          <w:color w:val="231F20"/>
          <w:w w:val="105"/>
          <w:sz w:val="19"/>
        </w:rPr>
        <w:t>nell’articolo</w:t>
      </w:r>
      <w:r>
        <w:rPr>
          <w:color w:val="231F20"/>
          <w:spacing w:val="-48"/>
          <w:w w:val="105"/>
          <w:sz w:val="19"/>
        </w:rPr>
        <w:t> </w:t>
      </w:r>
      <w:r>
        <w:rPr>
          <w:color w:val="231F20"/>
          <w:w w:val="105"/>
          <w:sz w:val="19"/>
        </w:rPr>
        <w:t>138</w:t>
      </w:r>
      <w:r>
        <w:rPr>
          <w:color w:val="231F20"/>
          <w:spacing w:val="-48"/>
          <w:w w:val="105"/>
          <w:sz w:val="19"/>
        </w:rPr>
        <w:t> </w:t>
      </w:r>
      <w:r>
        <w:rPr>
          <w:color w:val="231F20"/>
          <w:w w:val="105"/>
          <w:sz w:val="19"/>
        </w:rPr>
        <w:t>della Legge</w:t>
      </w:r>
      <w:r>
        <w:rPr>
          <w:color w:val="231F20"/>
          <w:spacing w:val="-17"/>
          <w:w w:val="105"/>
          <w:sz w:val="19"/>
        </w:rPr>
        <w:t> </w:t>
      </w:r>
      <w:r>
        <w:rPr>
          <w:color w:val="231F20"/>
          <w:w w:val="105"/>
          <w:sz w:val="19"/>
        </w:rPr>
        <w:t>Generale</w:t>
      </w:r>
      <w:r>
        <w:rPr>
          <w:color w:val="231F20"/>
          <w:spacing w:val="-17"/>
          <w:w w:val="105"/>
          <w:sz w:val="19"/>
        </w:rPr>
        <w:t> </w:t>
      </w:r>
      <w:r>
        <w:rPr>
          <w:color w:val="231F20"/>
          <w:w w:val="105"/>
          <w:sz w:val="19"/>
        </w:rPr>
        <w:t>di</w:t>
      </w:r>
      <w:r>
        <w:rPr>
          <w:color w:val="231F20"/>
          <w:spacing w:val="-17"/>
          <w:w w:val="105"/>
          <w:sz w:val="19"/>
        </w:rPr>
        <w:t> </w:t>
      </w:r>
      <w:r>
        <w:rPr>
          <w:color w:val="231F20"/>
          <w:w w:val="105"/>
          <w:sz w:val="19"/>
        </w:rPr>
        <w:t>Popolazione;</w:t>
      </w:r>
    </w:p>
    <w:p>
      <w:pPr>
        <w:pStyle w:val="ListParagraph"/>
        <w:numPr>
          <w:ilvl w:val="0"/>
          <w:numId w:val="8"/>
        </w:numPr>
        <w:tabs>
          <w:tab w:pos="1895" w:val="left" w:leader="none"/>
        </w:tabs>
        <w:spacing w:line="225" w:lineRule="exact" w:before="99" w:after="0"/>
        <w:ind w:left="1894" w:right="0" w:hanging="360"/>
        <w:jc w:val="both"/>
        <w:rPr>
          <w:sz w:val="19"/>
        </w:rPr>
      </w:pPr>
      <w:r>
        <w:rPr>
          <w:color w:val="231F20"/>
          <w:spacing w:val="-4"/>
          <w:sz w:val="19"/>
        </w:rPr>
        <w:t>Traffico</w:t>
      </w:r>
      <w:r>
        <w:rPr>
          <w:color w:val="231F20"/>
          <w:spacing w:val="-20"/>
          <w:sz w:val="19"/>
        </w:rPr>
        <w:t> </w:t>
      </w:r>
      <w:r>
        <w:rPr>
          <w:color w:val="231F20"/>
          <w:sz w:val="19"/>
        </w:rPr>
        <w:t>di</w:t>
      </w:r>
      <w:r>
        <w:rPr>
          <w:color w:val="231F20"/>
          <w:spacing w:val="-20"/>
          <w:sz w:val="19"/>
        </w:rPr>
        <w:t> </w:t>
      </w:r>
      <w:r>
        <w:rPr>
          <w:color w:val="231F20"/>
          <w:sz w:val="19"/>
        </w:rPr>
        <w:t>organi,</w:t>
      </w:r>
      <w:r>
        <w:rPr>
          <w:color w:val="231F20"/>
          <w:spacing w:val="-20"/>
          <w:sz w:val="19"/>
        </w:rPr>
        <w:t> </w:t>
      </w:r>
      <w:r>
        <w:rPr>
          <w:color w:val="231F20"/>
          <w:sz w:val="19"/>
        </w:rPr>
        <w:t>previsto</w:t>
      </w:r>
      <w:r>
        <w:rPr>
          <w:color w:val="231F20"/>
          <w:spacing w:val="-20"/>
          <w:sz w:val="19"/>
        </w:rPr>
        <w:t> </w:t>
      </w:r>
      <w:r>
        <w:rPr>
          <w:color w:val="231F20"/>
          <w:sz w:val="19"/>
        </w:rPr>
        <w:t>negli</w:t>
      </w:r>
      <w:r>
        <w:rPr>
          <w:color w:val="231F20"/>
          <w:spacing w:val="-20"/>
          <w:sz w:val="19"/>
        </w:rPr>
        <w:t> </w:t>
      </w:r>
      <w:r>
        <w:rPr>
          <w:color w:val="231F20"/>
          <w:sz w:val="19"/>
        </w:rPr>
        <w:t>articoli</w:t>
      </w:r>
      <w:r>
        <w:rPr>
          <w:color w:val="231F20"/>
          <w:spacing w:val="-20"/>
          <w:sz w:val="19"/>
        </w:rPr>
        <w:t> </w:t>
      </w:r>
      <w:r>
        <w:rPr>
          <w:color w:val="231F20"/>
          <w:sz w:val="19"/>
        </w:rPr>
        <w:t>461,</w:t>
      </w:r>
      <w:r>
        <w:rPr>
          <w:color w:val="231F20"/>
          <w:spacing w:val="-20"/>
          <w:sz w:val="19"/>
        </w:rPr>
        <w:t> </w:t>
      </w:r>
      <w:r>
        <w:rPr>
          <w:color w:val="231F20"/>
          <w:sz w:val="19"/>
        </w:rPr>
        <w:t>462</w:t>
      </w:r>
      <w:r>
        <w:rPr>
          <w:color w:val="231F20"/>
          <w:spacing w:val="-20"/>
          <w:sz w:val="19"/>
        </w:rPr>
        <w:t> </w:t>
      </w:r>
      <w:r>
        <w:rPr>
          <w:color w:val="231F20"/>
          <w:sz w:val="19"/>
        </w:rPr>
        <w:t>e</w:t>
      </w:r>
      <w:r>
        <w:rPr>
          <w:color w:val="231F20"/>
          <w:spacing w:val="-20"/>
          <w:sz w:val="19"/>
        </w:rPr>
        <w:t> </w:t>
      </w:r>
      <w:r>
        <w:rPr>
          <w:color w:val="231F20"/>
          <w:sz w:val="19"/>
        </w:rPr>
        <w:t>462</w:t>
      </w:r>
      <w:r>
        <w:rPr>
          <w:color w:val="231F20"/>
          <w:spacing w:val="-20"/>
          <w:sz w:val="19"/>
        </w:rPr>
        <w:t> </w:t>
      </w:r>
      <w:r>
        <w:rPr>
          <w:color w:val="231F20"/>
          <w:sz w:val="19"/>
        </w:rPr>
        <w:t>bis</w:t>
      </w:r>
      <w:r>
        <w:rPr>
          <w:color w:val="231F20"/>
          <w:spacing w:val="-20"/>
          <w:sz w:val="19"/>
        </w:rPr>
        <w:t> </w:t>
      </w:r>
      <w:r>
        <w:rPr>
          <w:color w:val="231F20"/>
          <w:sz w:val="19"/>
        </w:rPr>
        <w:t>della</w:t>
      </w:r>
    </w:p>
    <w:p>
      <w:pPr>
        <w:spacing w:line="225" w:lineRule="exact" w:before="0"/>
        <w:ind w:left="1894" w:right="0" w:firstLine="0"/>
        <w:jc w:val="left"/>
        <w:rPr>
          <w:sz w:val="19"/>
        </w:rPr>
      </w:pPr>
      <w:r>
        <w:rPr>
          <w:color w:val="231F20"/>
          <w:w w:val="105"/>
          <w:sz w:val="19"/>
        </w:rPr>
        <w:t>Legge Generale di Sanità, e</w:t>
      </w:r>
    </w:p>
    <w:p>
      <w:pPr>
        <w:pStyle w:val="BodyText"/>
        <w:rPr>
          <w:sz w:val="20"/>
        </w:rPr>
      </w:pPr>
    </w:p>
    <w:p>
      <w:pPr>
        <w:pStyle w:val="BodyText"/>
        <w:spacing w:before="4"/>
        <w:rPr>
          <w:sz w:val="19"/>
        </w:rPr>
      </w:pPr>
      <w:r>
        <w:rPr/>
        <w:pict>
          <v:line style="position:absolute;mso-position-horizontal-relative:page;mso-position-vertical-relative:paragraph;z-index:9496;mso-wrap-distance-left:0;mso-wrap-distance-right:0" from="70.866203pt,13.79983pt" to="184.252203pt,13.79983pt" stroked="true" strokeweight=".3pt" strokecolor="#231f20">
            <w10:wrap type="topAndBottom"/>
          </v:line>
        </w:pict>
      </w:r>
    </w:p>
    <w:p>
      <w:pPr>
        <w:spacing w:line="204" w:lineRule="exact" w:before="9"/>
        <w:ind w:left="117" w:right="101" w:firstLine="0"/>
        <w:jc w:val="both"/>
        <w:rPr>
          <w:rFonts w:ascii="Calibri" w:hAnsi="Calibri"/>
          <w:sz w:val="17"/>
        </w:rPr>
      </w:pPr>
      <w:r>
        <w:rPr>
          <w:rFonts w:ascii="Calibri" w:hAnsi="Calibri"/>
          <w:color w:val="231F20"/>
          <w:w w:val="105"/>
          <w:position w:val="6"/>
          <w:sz w:val="10"/>
        </w:rPr>
        <w:t>16 </w:t>
      </w:r>
      <w:r>
        <w:rPr>
          <w:rFonts w:ascii="Calibri" w:hAnsi="Calibri"/>
          <w:color w:val="231F20"/>
          <w:w w:val="105"/>
          <w:sz w:val="17"/>
        </w:rPr>
        <w:t>A. Olvera, “Poderes fácticos y democracia en México: sindicatos, caciques, monopolios y delincuencia</w:t>
      </w:r>
      <w:r>
        <w:rPr>
          <w:rFonts w:ascii="Calibri" w:hAnsi="Calibri"/>
          <w:color w:val="231F20"/>
          <w:spacing w:val="-5"/>
          <w:w w:val="105"/>
          <w:sz w:val="17"/>
        </w:rPr>
        <w:t> </w:t>
      </w:r>
      <w:r>
        <w:rPr>
          <w:rFonts w:ascii="Calibri" w:hAnsi="Calibri"/>
          <w:color w:val="231F20"/>
          <w:w w:val="105"/>
          <w:sz w:val="17"/>
        </w:rPr>
        <w:t>organizada</w:t>
      </w:r>
      <w:r>
        <w:rPr>
          <w:rFonts w:ascii="Calibri" w:hAnsi="Calibri"/>
          <w:color w:val="231F20"/>
          <w:spacing w:val="-5"/>
          <w:w w:val="105"/>
          <w:sz w:val="17"/>
        </w:rPr>
        <w:t> </w:t>
      </w:r>
      <w:r>
        <w:rPr>
          <w:rFonts w:ascii="Calibri" w:hAnsi="Calibri"/>
          <w:color w:val="231F20"/>
          <w:w w:val="105"/>
          <w:sz w:val="17"/>
        </w:rPr>
        <w:t>en</w:t>
      </w:r>
      <w:r>
        <w:rPr>
          <w:rFonts w:ascii="Calibri" w:hAnsi="Calibri"/>
          <w:color w:val="231F20"/>
          <w:spacing w:val="-5"/>
          <w:w w:val="105"/>
          <w:sz w:val="17"/>
        </w:rPr>
        <w:t> </w:t>
      </w:r>
      <w:r>
        <w:rPr>
          <w:rFonts w:ascii="Calibri" w:hAnsi="Calibri"/>
          <w:color w:val="231F20"/>
          <w:w w:val="105"/>
          <w:sz w:val="17"/>
        </w:rPr>
        <w:t>un</w:t>
      </w:r>
      <w:r>
        <w:rPr>
          <w:rFonts w:ascii="Calibri" w:hAnsi="Calibri"/>
          <w:color w:val="231F20"/>
          <w:spacing w:val="-5"/>
          <w:w w:val="105"/>
          <w:sz w:val="17"/>
        </w:rPr>
        <w:t> </w:t>
      </w:r>
      <w:r>
        <w:rPr>
          <w:rFonts w:ascii="Calibri" w:hAnsi="Calibri"/>
          <w:color w:val="231F20"/>
          <w:w w:val="105"/>
          <w:sz w:val="17"/>
        </w:rPr>
        <w:t>país</w:t>
      </w:r>
      <w:r>
        <w:rPr>
          <w:rFonts w:ascii="Calibri" w:hAnsi="Calibri"/>
          <w:color w:val="231F20"/>
          <w:spacing w:val="-5"/>
          <w:w w:val="105"/>
          <w:sz w:val="17"/>
        </w:rPr>
        <w:t> </w:t>
      </w:r>
      <w:r>
        <w:rPr>
          <w:rFonts w:ascii="Calibri" w:hAnsi="Calibri"/>
          <w:color w:val="231F20"/>
          <w:w w:val="105"/>
          <w:sz w:val="17"/>
        </w:rPr>
        <w:t>en</w:t>
      </w:r>
      <w:r>
        <w:rPr>
          <w:rFonts w:ascii="Calibri" w:hAnsi="Calibri"/>
          <w:color w:val="231F20"/>
          <w:spacing w:val="-5"/>
          <w:w w:val="105"/>
          <w:sz w:val="17"/>
        </w:rPr>
        <w:t> </w:t>
      </w:r>
      <w:r>
        <w:rPr>
          <w:rFonts w:ascii="Calibri" w:hAnsi="Calibri"/>
          <w:color w:val="231F20"/>
          <w:w w:val="105"/>
          <w:sz w:val="17"/>
        </w:rPr>
        <w:t>transición”,</w:t>
      </w:r>
      <w:r>
        <w:rPr>
          <w:rFonts w:ascii="Calibri" w:hAnsi="Calibri"/>
          <w:color w:val="231F20"/>
          <w:spacing w:val="-5"/>
          <w:w w:val="105"/>
          <w:sz w:val="17"/>
        </w:rPr>
        <w:t> </w:t>
      </w:r>
      <w:r>
        <w:rPr>
          <w:rFonts w:ascii="Calibri" w:hAnsi="Calibri"/>
          <w:color w:val="231F20"/>
          <w:w w:val="105"/>
          <w:sz w:val="17"/>
        </w:rPr>
        <w:t>I.</w:t>
      </w:r>
      <w:r>
        <w:rPr>
          <w:rFonts w:ascii="Calibri" w:hAnsi="Calibri"/>
          <w:color w:val="231F20"/>
          <w:spacing w:val="-5"/>
          <w:w w:val="105"/>
          <w:sz w:val="17"/>
        </w:rPr>
        <w:t> </w:t>
      </w:r>
      <w:r>
        <w:rPr>
          <w:rFonts w:ascii="Calibri" w:hAnsi="Calibri"/>
          <w:color w:val="231F20"/>
          <w:w w:val="105"/>
          <w:sz w:val="17"/>
        </w:rPr>
        <w:t>Cheresky</w:t>
      </w:r>
      <w:r>
        <w:rPr>
          <w:rFonts w:ascii="Calibri" w:hAnsi="Calibri"/>
          <w:color w:val="231F20"/>
          <w:spacing w:val="-5"/>
          <w:w w:val="105"/>
          <w:sz w:val="17"/>
        </w:rPr>
        <w:t> </w:t>
      </w:r>
      <w:r>
        <w:rPr>
          <w:rFonts w:ascii="Calibri" w:hAnsi="Calibri"/>
          <w:color w:val="231F20"/>
          <w:w w:val="105"/>
          <w:sz w:val="17"/>
        </w:rPr>
        <w:t>(Comp.),</w:t>
      </w:r>
      <w:r>
        <w:rPr>
          <w:rFonts w:ascii="Calibri" w:hAnsi="Calibri"/>
          <w:color w:val="231F20"/>
          <w:spacing w:val="-5"/>
          <w:w w:val="105"/>
          <w:sz w:val="17"/>
        </w:rPr>
        <w:t> </w:t>
      </w:r>
      <w:r>
        <w:rPr>
          <w:rFonts w:ascii="Calibri" w:hAnsi="Calibri"/>
          <w:i/>
          <w:color w:val="231F20"/>
          <w:w w:val="105"/>
          <w:sz w:val="17"/>
        </w:rPr>
        <w:t>Ciudadanía</w:t>
      </w:r>
      <w:r>
        <w:rPr>
          <w:rFonts w:ascii="Calibri" w:hAnsi="Calibri"/>
          <w:i/>
          <w:color w:val="231F20"/>
          <w:spacing w:val="-6"/>
          <w:w w:val="105"/>
          <w:sz w:val="17"/>
        </w:rPr>
        <w:t> </w:t>
      </w:r>
      <w:r>
        <w:rPr>
          <w:rFonts w:ascii="Calibri" w:hAnsi="Calibri"/>
          <w:i/>
          <w:color w:val="231F20"/>
          <w:w w:val="105"/>
          <w:sz w:val="17"/>
        </w:rPr>
        <w:t>y</w:t>
      </w:r>
      <w:r>
        <w:rPr>
          <w:rFonts w:ascii="Calibri" w:hAnsi="Calibri"/>
          <w:i/>
          <w:color w:val="231F20"/>
          <w:spacing w:val="-5"/>
          <w:w w:val="105"/>
          <w:sz w:val="17"/>
        </w:rPr>
        <w:t> </w:t>
      </w:r>
      <w:r>
        <w:rPr>
          <w:rFonts w:ascii="Calibri" w:hAnsi="Calibri"/>
          <w:i/>
          <w:color w:val="231F20"/>
          <w:w w:val="105"/>
          <w:sz w:val="17"/>
        </w:rPr>
        <w:t>legitimidad </w:t>
      </w:r>
      <w:r>
        <w:rPr>
          <w:rFonts w:ascii="Calibri" w:hAnsi="Calibri"/>
          <w:i/>
          <w:color w:val="231F20"/>
          <w:sz w:val="17"/>
        </w:rPr>
        <w:t>democrática</w:t>
      </w:r>
      <w:r>
        <w:rPr>
          <w:rFonts w:ascii="Calibri" w:hAnsi="Calibri"/>
          <w:i/>
          <w:color w:val="231F20"/>
          <w:spacing w:val="-7"/>
          <w:sz w:val="17"/>
        </w:rPr>
        <w:t> </w:t>
      </w:r>
      <w:r>
        <w:rPr>
          <w:rFonts w:ascii="Calibri" w:hAnsi="Calibri"/>
          <w:i/>
          <w:color w:val="231F20"/>
          <w:sz w:val="17"/>
        </w:rPr>
        <w:t>en</w:t>
      </w:r>
      <w:r>
        <w:rPr>
          <w:rFonts w:ascii="Calibri" w:hAnsi="Calibri"/>
          <w:i/>
          <w:color w:val="231F20"/>
          <w:spacing w:val="-7"/>
          <w:sz w:val="17"/>
        </w:rPr>
        <w:t> </w:t>
      </w:r>
      <w:r>
        <w:rPr>
          <w:rFonts w:ascii="Calibri" w:hAnsi="Calibri"/>
          <w:i/>
          <w:color w:val="231F20"/>
          <w:sz w:val="17"/>
        </w:rPr>
        <w:t>América</w:t>
      </w:r>
      <w:r>
        <w:rPr>
          <w:rFonts w:ascii="Calibri" w:hAnsi="Calibri"/>
          <w:i/>
          <w:color w:val="231F20"/>
          <w:spacing w:val="-7"/>
          <w:sz w:val="17"/>
        </w:rPr>
        <w:t> </w:t>
      </w:r>
      <w:r>
        <w:rPr>
          <w:rFonts w:ascii="Calibri" w:hAnsi="Calibri"/>
          <w:i/>
          <w:color w:val="231F20"/>
          <w:sz w:val="17"/>
        </w:rPr>
        <w:t>Latina</w:t>
      </w:r>
      <w:r>
        <w:rPr>
          <w:rFonts w:ascii="Calibri" w:hAnsi="Calibri"/>
          <w:color w:val="231F20"/>
          <w:sz w:val="17"/>
        </w:rPr>
        <w:t>,</w:t>
      </w:r>
      <w:r>
        <w:rPr>
          <w:rFonts w:ascii="Calibri" w:hAnsi="Calibri"/>
          <w:color w:val="231F20"/>
          <w:spacing w:val="-6"/>
          <w:sz w:val="17"/>
        </w:rPr>
        <w:t> </w:t>
      </w:r>
      <w:r>
        <w:rPr>
          <w:rFonts w:ascii="Calibri" w:hAnsi="Calibri"/>
          <w:color w:val="231F20"/>
          <w:sz w:val="17"/>
        </w:rPr>
        <w:t>Argentina,</w:t>
      </w:r>
      <w:r>
        <w:rPr>
          <w:rFonts w:ascii="Calibri" w:hAnsi="Calibri"/>
          <w:color w:val="231F20"/>
          <w:spacing w:val="-6"/>
          <w:sz w:val="17"/>
        </w:rPr>
        <w:t> </w:t>
      </w:r>
      <w:r>
        <w:rPr>
          <w:rFonts w:ascii="Calibri" w:hAnsi="Calibri"/>
          <w:color w:val="231F20"/>
          <w:sz w:val="17"/>
        </w:rPr>
        <w:t>Prometeo</w:t>
      </w:r>
      <w:r>
        <w:rPr>
          <w:rFonts w:ascii="Calibri" w:hAnsi="Calibri"/>
          <w:color w:val="231F20"/>
          <w:spacing w:val="-6"/>
          <w:sz w:val="17"/>
        </w:rPr>
        <w:t> </w:t>
      </w:r>
      <w:r>
        <w:rPr>
          <w:rFonts w:ascii="Calibri" w:hAnsi="Calibri"/>
          <w:color w:val="231F20"/>
          <w:sz w:val="17"/>
        </w:rPr>
        <w:t>Libros,</w:t>
      </w:r>
      <w:r>
        <w:rPr>
          <w:rFonts w:ascii="Calibri" w:hAnsi="Calibri"/>
          <w:color w:val="231F20"/>
          <w:spacing w:val="-6"/>
          <w:sz w:val="17"/>
        </w:rPr>
        <w:t> </w:t>
      </w:r>
      <w:r>
        <w:rPr>
          <w:rFonts w:ascii="Calibri" w:hAnsi="Calibri"/>
          <w:color w:val="231F20"/>
          <w:sz w:val="17"/>
        </w:rPr>
        <w:t>2011,</w:t>
      </w:r>
      <w:r>
        <w:rPr>
          <w:rFonts w:ascii="Calibri" w:hAnsi="Calibri"/>
          <w:color w:val="231F20"/>
          <w:spacing w:val="-6"/>
          <w:sz w:val="17"/>
        </w:rPr>
        <w:t> </w:t>
      </w:r>
      <w:r>
        <w:rPr>
          <w:rFonts w:ascii="Calibri" w:hAnsi="Calibri"/>
          <w:color w:val="231F20"/>
          <w:sz w:val="17"/>
        </w:rPr>
        <w:t>pp.</w:t>
      </w:r>
      <w:r>
        <w:rPr>
          <w:rFonts w:ascii="Calibri" w:hAnsi="Calibri"/>
          <w:color w:val="231F20"/>
          <w:spacing w:val="-6"/>
          <w:sz w:val="17"/>
        </w:rPr>
        <w:t> </w:t>
      </w:r>
      <w:r>
        <w:rPr>
          <w:rFonts w:ascii="Calibri" w:hAnsi="Calibri"/>
          <w:color w:val="231F20"/>
          <w:sz w:val="17"/>
        </w:rPr>
        <w:t>330–331.</w:t>
      </w:r>
    </w:p>
    <w:p>
      <w:pPr>
        <w:spacing w:line="204" w:lineRule="exact" w:before="0"/>
        <w:ind w:left="117" w:right="101" w:firstLine="0"/>
        <w:jc w:val="both"/>
        <w:rPr>
          <w:rFonts w:ascii="Calibri" w:hAnsi="Calibri"/>
          <w:sz w:val="17"/>
        </w:rPr>
      </w:pPr>
      <w:r>
        <w:rPr>
          <w:rFonts w:ascii="Calibri" w:hAnsi="Calibri"/>
          <w:color w:val="231F20"/>
          <w:position w:val="6"/>
          <w:sz w:val="10"/>
        </w:rPr>
        <w:t>17 </w:t>
      </w:r>
      <w:r>
        <w:rPr>
          <w:rFonts w:ascii="Calibri" w:hAnsi="Calibri"/>
          <w:color w:val="231F20"/>
          <w:sz w:val="17"/>
        </w:rPr>
        <w:t>S. García Ramírez “Garantías individuales y régimen constitucional sobre la delincuencia organizada”, </w:t>
      </w:r>
      <w:r>
        <w:rPr>
          <w:rFonts w:ascii="Calibri" w:hAnsi="Calibri"/>
          <w:i/>
          <w:color w:val="231F20"/>
          <w:sz w:val="17"/>
        </w:rPr>
        <w:t>El Sistema de justicia Penal en México: Retos y Perspectivas</w:t>
      </w:r>
      <w:r>
        <w:rPr>
          <w:rFonts w:ascii="Calibri" w:hAnsi="Calibri"/>
          <w:color w:val="231F20"/>
          <w:sz w:val="17"/>
        </w:rPr>
        <w:t>, México, </w:t>
      </w:r>
      <w:r>
        <w:rPr>
          <w:rFonts w:ascii="Calibri" w:hAnsi="Calibri"/>
          <w:color w:val="231F20"/>
          <w:sz w:val="14"/>
        </w:rPr>
        <w:t>SCJN</w:t>
      </w:r>
      <w:r>
        <w:rPr>
          <w:rFonts w:ascii="Calibri" w:hAnsi="Calibri"/>
          <w:color w:val="231F20"/>
          <w:sz w:val="17"/>
        </w:rPr>
        <w:t>, 2008.</w:t>
      </w:r>
    </w:p>
    <w:p>
      <w:pPr>
        <w:spacing w:after="0" w:line="204" w:lineRule="exact"/>
        <w:jc w:val="both"/>
        <w:rPr>
          <w:rFonts w:ascii="Calibri" w:hAnsi="Calibri"/>
          <w:sz w:val="17"/>
        </w:rPr>
        <w:sectPr>
          <w:pgSz w:w="9640" w:h="13890"/>
          <w:pgMar w:top="0" w:bottom="280" w:left="1300" w:right="1200"/>
        </w:sectPr>
      </w:pPr>
    </w:p>
    <w:p>
      <w:pPr>
        <w:pStyle w:val="ListParagraph"/>
        <w:numPr>
          <w:ilvl w:val="0"/>
          <w:numId w:val="8"/>
        </w:numPr>
        <w:tabs>
          <w:tab w:pos="1882" w:val="left" w:leader="none"/>
        </w:tabs>
        <w:spacing w:line="220" w:lineRule="exact" w:before="121" w:after="0"/>
        <w:ind w:left="1881" w:right="114" w:hanging="360"/>
        <w:jc w:val="both"/>
        <w:rPr>
          <w:sz w:val="19"/>
        </w:rPr>
      </w:pPr>
      <w:r>
        <w:rPr>
          <w:color w:val="231F20"/>
          <w:w w:val="105"/>
          <w:sz w:val="19"/>
        </w:rPr>
        <w:t>Rapina,</w:t>
      </w:r>
      <w:r>
        <w:rPr>
          <w:color w:val="231F20"/>
          <w:spacing w:val="-42"/>
          <w:w w:val="105"/>
          <w:sz w:val="19"/>
        </w:rPr>
        <w:t> </w:t>
      </w:r>
      <w:r>
        <w:rPr>
          <w:color w:val="231F20"/>
          <w:w w:val="105"/>
          <w:sz w:val="19"/>
        </w:rPr>
        <w:t>prevista</w:t>
      </w:r>
      <w:r>
        <w:rPr>
          <w:color w:val="231F20"/>
          <w:spacing w:val="-42"/>
          <w:w w:val="105"/>
          <w:sz w:val="19"/>
        </w:rPr>
        <w:t> </w:t>
      </w:r>
      <w:r>
        <w:rPr>
          <w:color w:val="231F20"/>
          <w:w w:val="105"/>
          <w:sz w:val="19"/>
        </w:rPr>
        <w:t>negli</w:t>
      </w:r>
      <w:r>
        <w:rPr>
          <w:color w:val="231F20"/>
          <w:spacing w:val="-42"/>
          <w:w w:val="105"/>
          <w:sz w:val="19"/>
        </w:rPr>
        <w:t> </w:t>
      </w:r>
      <w:r>
        <w:rPr>
          <w:color w:val="231F20"/>
          <w:w w:val="105"/>
          <w:sz w:val="19"/>
        </w:rPr>
        <w:t>articoli</w:t>
      </w:r>
      <w:r>
        <w:rPr>
          <w:color w:val="231F20"/>
          <w:spacing w:val="-42"/>
          <w:w w:val="105"/>
          <w:sz w:val="19"/>
        </w:rPr>
        <w:t> </w:t>
      </w:r>
      <w:r>
        <w:rPr>
          <w:color w:val="231F20"/>
          <w:w w:val="105"/>
          <w:sz w:val="19"/>
        </w:rPr>
        <w:t>286</w:t>
      </w:r>
      <w:r>
        <w:rPr>
          <w:color w:val="231F20"/>
          <w:spacing w:val="-42"/>
          <w:w w:val="105"/>
          <w:sz w:val="19"/>
        </w:rPr>
        <w:t> </w:t>
      </w:r>
      <w:r>
        <w:rPr>
          <w:color w:val="231F20"/>
          <w:w w:val="105"/>
          <w:sz w:val="19"/>
        </w:rPr>
        <w:t>e</w:t>
      </w:r>
      <w:r>
        <w:rPr>
          <w:color w:val="231F20"/>
          <w:spacing w:val="-42"/>
          <w:w w:val="105"/>
          <w:sz w:val="19"/>
        </w:rPr>
        <w:t> </w:t>
      </w:r>
      <w:r>
        <w:rPr>
          <w:color w:val="231F20"/>
          <w:w w:val="105"/>
          <w:sz w:val="19"/>
        </w:rPr>
        <w:t>287;</w:t>
      </w:r>
      <w:r>
        <w:rPr>
          <w:color w:val="231F20"/>
          <w:spacing w:val="-42"/>
          <w:w w:val="105"/>
          <w:sz w:val="19"/>
        </w:rPr>
        <w:t> </w:t>
      </w:r>
      <w:r>
        <w:rPr>
          <w:color w:val="231F20"/>
          <w:w w:val="105"/>
          <w:sz w:val="19"/>
        </w:rPr>
        <w:t>sequestro</w:t>
      </w:r>
      <w:r>
        <w:rPr>
          <w:color w:val="231F20"/>
          <w:spacing w:val="-42"/>
          <w:w w:val="105"/>
          <w:sz w:val="19"/>
        </w:rPr>
        <w:t> </w:t>
      </w:r>
      <w:r>
        <w:rPr>
          <w:color w:val="231F20"/>
          <w:w w:val="105"/>
          <w:sz w:val="19"/>
        </w:rPr>
        <w:t>di</w:t>
      </w:r>
      <w:r>
        <w:rPr>
          <w:color w:val="231F20"/>
          <w:spacing w:val="-42"/>
          <w:w w:val="105"/>
          <w:sz w:val="19"/>
        </w:rPr>
        <w:t> </w:t>
      </w:r>
      <w:r>
        <w:rPr>
          <w:color w:val="231F20"/>
          <w:w w:val="105"/>
          <w:sz w:val="19"/>
        </w:rPr>
        <w:t>persona, previsto</w:t>
      </w:r>
      <w:r>
        <w:rPr>
          <w:color w:val="231F20"/>
          <w:spacing w:val="-37"/>
          <w:w w:val="105"/>
          <w:sz w:val="19"/>
        </w:rPr>
        <w:t> </w:t>
      </w:r>
      <w:r>
        <w:rPr>
          <w:color w:val="231F20"/>
          <w:w w:val="105"/>
          <w:sz w:val="19"/>
        </w:rPr>
        <w:t>nel</w:t>
      </w:r>
      <w:r>
        <w:rPr>
          <w:color w:val="231F20"/>
          <w:spacing w:val="-37"/>
          <w:w w:val="105"/>
          <w:sz w:val="19"/>
        </w:rPr>
        <w:t> </w:t>
      </w:r>
      <w:r>
        <w:rPr>
          <w:color w:val="231F20"/>
          <w:w w:val="105"/>
          <w:sz w:val="19"/>
        </w:rPr>
        <w:t>articolo</w:t>
      </w:r>
      <w:r>
        <w:rPr>
          <w:color w:val="231F20"/>
          <w:spacing w:val="-37"/>
          <w:w w:val="105"/>
          <w:sz w:val="19"/>
        </w:rPr>
        <w:t> </w:t>
      </w:r>
      <w:r>
        <w:rPr>
          <w:color w:val="231F20"/>
          <w:w w:val="105"/>
          <w:sz w:val="19"/>
        </w:rPr>
        <w:t>366</w:t>
      </w:r>
      <w:r>
        <w:rPr>
          <w:color w:val="231F20"/>
          <w:spacing w:val="-37"/>
          <w:w w:val="105"/>
          <w:sz w:val="19"/>
        </w:rPr>
        <w:t> </w:t>
      </w:r>
      <w:r>
        <w:rPr>
          <w:color w:val="231F20"/>
          <w:w w:val="105"/>
          <w:sz w:val="19"/>
        </w:rPr>
        <w:t>e</w:t>
      </w:r>
      <w:r>
        <w:rPr>
          <w:color w:val="231F20"/>
          <w:spacing w:val="-37"/>
          <w:w w:val="105"/>
          <w:sz w:val="19"/>
        </w:rPr>
        <w:t> </w:t>
      </w:r>
      <w:r>
        <w:rPr>
          <w:color w:val="231F20"/>
          <w:w w:val="105"/>
          <w:sz w:val="19"/>
        </w:rPr>
        <w:t>furto</w:t>
      </w:r>
      <w:r>
        <w:rPr>
          <w:color w:val="231F20"/>
          <w:spacing w:val="-37"/>
          <w:w w:val="105"/>
          <w:sz w:val="19"/>
        </w:rPr>
        <w:t> </w:t>
      </w:r>
      <w:r>
        <w:rPr>
          <w:color w:val="231F20"/>
          <w:w w:val="105"/>
          <w:sz w:val="19"/>
        </w:rPr>
        <w:t>di</w:t>
      </w:r>
      <w:r>
        <w:rPr>
          <w:color w:val="231F20"/>
          <w:spacing w:val="-37"/>
          <w:w w:val="105"/>
          <w:sz w:val="19"/>
        </w:rPr>
        <w:t> </w:t>
      </w:r>
      <w:r>
        <w:rPr>
          <w:color w:val="231F20"/>
          <w:w w:val="105"/>
          <w:sz w:val="19"/>
        </w:rPr>
        <w:t>veicolo,</w:t>
      </w:r>
      <w:r>
        <w:rPr>
          <w:color w:val="231F20"/>
          <w:spacing w:val="-37"/>
          <w:w w:val="105"/>
          <w:sz w:val="19"/>
        </w:rPr>
        <w:t> </w:t>
      </w:r>
      <w:r>
        <w:rPr>
          <w:color w:val="231F20"/>
          <w:w w:val="105"/>
          <w:sz w:val="19"/>
        </w:rPr>
        <w:t>previsto</w:t>
      </w:r>
      <w:r>
        <w:rPr>
          <w:color w:val="231F20"/>
          <w:spacing w:val="-37"/>
          <w:w w:val="105"/>
          <w:sz w:val="19"/>
        </w:rPr>
        <w:t> </w:t>
      </w:r>
      <w:r>
        <w:rPr>
          <w:color w:val="231F20"/>
          <w:w w:val="105"/>
          <w:sz w:val="19"/>
        </w:rPr>
        <w:t>nel</w:t>
      </w:r>
      <w:r>
        <w:rPr>
          <w:color w:val="231F20"/>
          <w:spacing w:val="-37"/>
          <w:w w:val="105"/>
          <w:sz w:val="19"/>
        </w:rPr>
        <w:t> </w:t>
      </w:r>
      <w:r>
        <w:rPr>
          <w:color w:val="231F20"/>
          <w:w w:val="105"/>
          <w:sz w:val="19"/>
        </w:rPr>
        <w:t>articolo 381</w:t>
      </w:r>
      <w:r>
        <w:rPr>
          <w:color w:val="231F20"/>
          <w:spacing w:val="-19"/>
          <w:w w:val="105"/>
          <w:sz w:val="19"/>
        </w:rPr>
        <w:t> </w:t>
      </w:r>
      <w:r>
        <w:rPr>
          <w:color w:val="231F20"/>
          <w:w w:val="105"/>
          <w:sz w:val="19"/>
        </w:rPr>
        <w:t>bis</w:t>
      </w:r>
      <w:r>
        <w:rPr>
          <w:color w:val="231F20"/>
          <w:spacing w:val="-19"/>
          <w:w w:val="105"/>
          <w:sz w:val="19"/>
        </w:rPr>
        <w:t> </w:t>
      </w:r>
      <w:r>
        <w:rPr>
          <w:color w:val="231F20"/>
          <w:w w:val="105"/>
          <w:sz w:val="19"/>
        </w:rPr>
        <w:t>del</w:t>
      </w:r>
      <w:r>
        <w:rPr>
          <w:color w:val="231F20"/>
          <w:spacing w:val="-19"/>
          <w:w w:val="105"/>
          <w:sz w:val="19"/>
        </w:rPr>
        <w:t> </w:t>
      </w:r>
      <w:r>
        <w:rPr>
          <w:color w:val="231F20"/>
          <w:w w:val="105"/>
          <w:sz w:val="19"/>
        </w:rPr>
        <w:t>Codice</w:t>
      </w:r>
      <w:r>
        <w:rPr>
          <w:color w:val="231F20"/>
          <w:spacing w:val="-19"/>
          <w:w w:val="105"/>
          <w:sz w:val="19"/>
        </w:rPr>
        <w:t> </w:t>
      </w:r>
      <w:r>
        <w:rPr>
          <w:color w:val="231F20"/>
          <w:w w:val="105"/>
          <w:sz w:val="19"/>
        </w:rPr>
        <w:t>Penale</w:t>
      </w:r>
      <w:r>
        <w:rPr>
          <w:color w:val="231F20"/>
          <w:spacing w:val="-19"/>
          <w:w w:val="105"/>
          <w:sz w:val="19"/>
        </w:rPr>
        <w:t> </w:t>
      </w:r>
      <w:r>
        <w:rPr>
          <w:color w:val="231F20"/>
          <w:w w:val="105"/>
          <w:sz w:val="19"/>
        </w:rPr>
        <w:t>per</w:t>
      </w:r>
      <w:r>
        <w:rPr>
          <w:color w:val="231F20"/>
          <w:spacing w:val="-19"/>
          <w:w w:val="105"/>
          <w:sz w:val="19"/>
        </w:rPr>
        <w:t> </w:t>
      </w:r>
      <w:r>
        <w:rPr>
          <w:color w:val="231F20"/>
          <w:w w:val="105"/>
          <w:sz w:val="19"/>
        </w:rPr>
        <w:t>il</w:t>
      </w:r>
      <w:r>
        <w:rPr>
          <w:color w:val="231F20"/>
          <w:spacing w:val="-19"/>
          <w:w w:val="105"/>
          <w:sz w:val="19"/>
        </w:rPr>
        <w:t> </w:t>
      </w:r>
      <w:r>
        <w:rPr>
          <w:color w:val="231F20"/>
          <w:w w:val="105"/>
          <w:sz w:val="19"/>
        </w:rPr>
        <w:t>Distretto</w:t>
      </w:r>
      <w:r>
        <w:rPr>
          <w:color w:val="231F20"/>
          <w:spacing w:val="-19"/>
          <w:w w:val="105"/>
          <w:sz w:val="19"/>
        </w:rPr>
        <w:t> </w:t>
      </w:r>
      <w:r>
        <w:rPr>
          <w:color w:val="231F20"/>
          <w:w w:val="105"/>
          <w:sz w:val="19"/>
        </w:rPr>
        <w:t>Federale</w:t>
      </w:r>
      <w:r>
        <w:rPr>
          <w:color w:val="231F20"/>
          <w:spacing w:val="-19"/>
          <w:w w:val="105"/>
          <w:sz w:val="19"/>
        </w:rPr>
        <w:t> </w:t>
      </w:r>
      <w:r>
        <w:rPr>
          <w:color w:val="231F20"/>
          <w:w w:val="105"/>
          <w:sz w:val="19"/>
        </w:rPr>
        <w:t>in</w:t>
      </w:r>
      <w:r>
        <w:rPr>
          <w:color w:val="231F20"/>
          <w:spacing w:val="-19"/>
          <w:w w:val="105"/>
          <w:sz w:val="19"/>
        </w:rPr>
        <w:t> </w:t>
      </w:r>
      <w:r>
        <w:rPr>
          <w:color w:val="231F20"/>
          <w:w w:val="105"/>
          <w:sz w:val="19"/>
        </w:rPr>
        <w:t>Materia </w:t>
      </w:r>
      <w:r>
        <w:rPr>
          <w:color w:val="231F20"/>
          <w:spacing w:val="-3"/>
          <w:w w:val="105"/>
          <w:sz w:val="19"/>
        </w:rPr>
        <w:t>della</w:t>
      </w:r>
      <w:r>
        <w:rPr>
          <w:color w:val="231F20"/>
          <w:spacing w:val="-33"/>
          <w:w w:val="105"/>
          <w:sz w:val="19"/>
        </w:rPr>
        <w:t> </w:t>
      </w:r>
      <w:r>
        <w:rPr>
          <w:color w:val="231F20"/>
          <w:spacing w:val="-3"/>
          <w:w w:val="105"/>
          <w:sz w:val="19"/>
        </w:rPr>
        <w:t>Giurisdizione</w:t>
      </w:r>
      <w:r>
        <w:rPr>
          <w:color w:val="231F20"/>
          <w:spacing w:val="-33"/>
          <w:w w:val="105"/>
          <w:sz w:val="19"/>
        </w:rPr>
        <w:t> </w:t>
      </w:r>
      <w:r>
        <w:rPr>
          <w:color w:val="231F20"/>
          <w:spacing w:val="-3"/>
          <w:w w:val="105"/>
          <w:sz w:val="19"/>
        </w:rPr>
        <w:t>Comune</w:t>
      </w:r>
      <w:r>
        <w:rPr>
          <w:color w:val="231F20"/>
          <w:spacing w:val="-33"/>
          <w:w w:val="105"/>
          <w:sz w:val="19"/>
        </w:rPr>
        <w:t> </w:t>
      </w:r>
      <w:r>
        <w:rPr>
          <w:color w:val="231F20"/>
          <w:w w:val="105"/>
          <w:sz w:val="19"/>
        </w:rPr>
        <w:t>e</w:t>
      </w:r>
      <w:r>
        <w:rPr>
          <w:color w:val="231F20"/>
          <w:spacing w:val="-33"/>
          <w:w w:val="105"/>
          <w:sz w:val="19"/>
        </w:rPr>
        <w:t> </w:t>
      </w:r>
      <w:r>
        <w:rPr>
          <w:color w:val="231F20"/>
          <w:w w:val="105"/>
          <w:sz w:val="19"/>
        </w:rPr>
        <w:t>per</w:t>
      </w:r>
      <w:r>
        <w:rPr>
          <w:color w:val="231F20"/>
          <w:spacing w:val="-33"/>
          <w:w w:val="105"/>
          <w:sz w:val="19"/>
        </w:rPr>
        <w:t> </w:t>
      </w:r>
      <w:r>
        <w:rPr>
          <w:color w:val="231F20"/>
          <w:spacing w:val="-3"/>
          <w:w w:val="105"/>
          <w:sz w:val="19"/>
        </w:rPr>
        <w:t>tutta</w:t>
      </w:r>
      <w:r>
        <w:rPr>
          <w:color w:val="231F20"/>
          <w:spacing w:val="-33"/>
          <w:w w:val="105"/>
          <w:sz w:val="19"/>
        </w:rPr>
        <w:t> </w:t>
      </w:r>
      <w:r>
        <w:rPr>
          <w:color w:val="231F20"/>
          <w:w w:val="105"/>
          <w:sz w:val="19"/>
        </w:rPr>
        <w:t>la</w:t>
      </w:r>
      <w:r>
        <w:rPr>
          <w:color w:val="231F20"/>
          <w:spacing w:val="-33"/>
          <w:w w:val="105"/>
          <w:sz w:val="19"/>
        </w:rPr>
        <w:t> </w:t>
      </w:r>
      <w:r>
        <w:rPr>
          <w:color w:val="231F20"/>
          <w:spacing w:val="-3"/>
          <w:w w:val="105"/>
          <w:sz w:val="19"/>
        </w:rPr>
        <w:t>Repubblica</w:t>
      </w:r>
      <w:r>
        <w:rPr>
          <w:color w:val="231F20"/>
          <w:spacing w:val="-33"/>
          <w:w w:val="105"/>
          <w:sz w:val="19"/>
        </w:rPr>
        <w:t> </w:t>
      </w:r>
      <w:r>
        <w:rPr>
          <w:color w:val="231F20"/>
          <w:w w:val="105"/>
          <w:sz w:val="19"/>
        </w:rPr>
        <w:t>in</w:t>
      </w:r>
      <w:r>
        <w:rPr>
          <w:color w:val="231F20"/>
          <w:spacing w:val="-33"/>
          <w:w w:val="105"/>
          <w:sz w:val="19"/>
        </w:rPr>
        <w:t> </w:t>
      </w:r>
      <w:r>
        <w:rPr>
          <w:color w:val="231F20"/>
          <w:spacing w:val="-3"/>
          <w:w w:val="105"/>
          <w:sz w:val="19"/>
        </w:rPr>
        <w:t>Materia </w:t>
      </w:r>
      <w:r>
        <w:rPr>
          <w:color w:val="231F20"/>
          <w:w w:val="105"/>
          <w:sz w:val="19"/>
        </w:rPr>
        <w:t>di</w:t>
      </w:r>
      <w:r>
        <w:rPr>
          <w:color w:val="231F20"/>
          <w:spacing w:val="-14"/>
          <w:w w:val="105"/>
          <w:sz w:val="19"/>
        </w:rPr>
        <w:t> </w:t>
      </w:r>
      <w:r>
        <w:rPr>
          <w:color w:val="231F20"/>
          <w:w w:val="105"/>
          <w:sz w:val="19"/>
        </w:rPr>
        <w:t>Giurisdizione</w:t>
      </w:r>
      <w:r>
        <w:rPr>
          <w:color w:val="231F20"/>
          <w:spacing w:val="-14"/>
          <w:w w:val="105"/>
          <w:sz w:val="19"/>
        </w:rPr>
        <w:t> </w:t>
      </w:r>
      <w:r>
        <w:rPr>
          <w:color w:val="231F20"/>
          <w:w w:val="105"/>
          <w:sz w:val="19"/>
        </w:rPr>
        <w:t>Federale,</w:t>
      </w:r>
      <w:r>
        <w:rPr>
          <w:color w:val="231F20"/>
          <w:spacing w:val="-14"/>
          <w:w w:val="105"/>
          <w:sz w:val="19"/>
        </w:rPr>
        <w:t> </w:t>
      </w:r>
      <w:r>
        <w:rPr>
          <w:color w:val="231F20"/>
          <w:w w:val="105"/>
          <w:sz w:val="19"/>
        </w:rPr>
        <w:t>o</w:t>
      </w:r>
      <w:r>
        <w:rPr>
          <w:color w:val="231F20"/>
          <w:spacing w:val="-14"/>
          <w:w w:val="105"/>
          <w:sz w:val="19"/>
        </w:rPr>
        <w:t> </w:t>
      </w:r>
      <w:r>
        <w:rPr>
          <w:color w:val="231F20"/>
          <w:w w:val="105"/>
          <w:sz w:val="19"/>
        </w:rPr>
        <w:t>nelle</w:t>
      </w:r>
      <w:r>
        <w:rPr>
          <w:color w:val="231F20"/>
          <w:spacing w:val="-14"/>
          <w:w w:val="105"/>
          <w:sz w:val="19"/>
        </w:rPr>
        <w:t> </w:t>
      </w:r>
      <w:r>
        <w:rPr>
          <w:color w:val="231F20"/>
          <w:w w:val="105"/>
          <w:sz w:val="19"/>
        </w:rPr>
        <w:t>disposizioni</w:t>
      </w:r>
      <w:r>
        <w:rPr>
          <w:color w:val="231F20"/>
          <w:spacing w:val="-14"/>
          <w:w w:val="105"/>
          <w:sz w:val="19"/>
        </w:rPr>
        <w:t> </w:t>
      </w:r>
      <w:r>
        <w:rPr>
          <w:color w:val="231F20"/>
          <w:w w:val="105"/>
          <w:sz w:val="19"/>
        </w:rPr>
        <w:t>corrispondenti alle</w:t>
      </w:r>
      <w:r>
        <w:rPr>
          <w:color w:val="231F20"/>
          <w:spacing w:val="-39"/>
          <w:w w:val="105"/>
          <w:sz w:val="19"/>
        </w:rPr>
        <w:t> </w:t>
      </w:r>
      <w:r>
        <w:rPr>
          <w:color w:val="231F20"/>
          <w:w w:val="105"/>
          <w:sz w:val="19"/>
        </w:rPr>
        <w:t>legislazioni</w:t>
      </w:r>
      <w:r>
        <w:rPr>
          <w:color w:val="231F20"/>
          <w:spacing w:val="-39"/>
          <w:w w:val="105"/>
          <w:sz w:val="19"/>
        </w:rPr>
        <w:t> </w:t>
      </w:r>
      <w:r>
        <w:rPr>
          <w:color w:val="231F20"/>
          <w:w w:val="105"/>
          <w:sz w:val="19"/>
        </w:rPr>
        <w:t>penali</w:t>
      </w:r>
      <w:r>
        <w:rPr>
          <w:color w:val="231F20"/>
          <w:spacing w:val="-39"/>
          <w:w w:val="105"/>
          <w:sz w:val="19"/>
        </w:rPr>
        <w:t> </w:t>
      </w:r>
      <w:r>
        <w:rPr>
          <w:color w:val="231F20"/>
          <w:w w:val="105"/>
          <w:sz w:val="19"/>
        </w:rPr>
        <w:t>statali</w:t>
      </w:r>
      <w:r>
        <w:rPr>
          <w:color w:val="231F20"/>
          <w:w w:val="105"/>
          <w:position w:val="6"/>
          <w:sz w:val="11"/>
        </w:rPr>
        <w:t>18</w:t>
      </w:r>
      <w:r>
        <w:rPr>
          <w:color w:val="231F20"/>
          <w:w w:val="105"/>
          <w:sz w:val="19"/>
        </w:rPr>
        <w:t>.</w:t>
      </w:r>
    </w:p>
    <w:p>
      <w:pPr>
        <w:pStyle w:val="BodyText"/>
        <w:spacing w:before="11"/>
        <w:rPr>
          <w:sz w:val="23"/>
        </w:rPr>
      </w:pPr>
    </w:p>
    <w:p>
      <w:pPr>
        <w:pStyle w:val="BodyText"/>
        <w:spacing w:line="247" w:lineRule="auto"/>
        <w:ind w:left="103" w:right="113"/>
        <w:jc w:val="both"/>
      </w:pPr>
      <w:r>
        <w:rPr>
          <w:color w:val="231F20"/>
          <w:w w:val="105"/>
        </w:rPr>
        <w:t>La</w:t>
      </w:r>
      <w:r>
        <w:rPr>
          <w:color w:val="231F20"/>
          <w:spacing w:val="-38"/>
          <w:w w:val="105"/>
        </w:rPr>
        <w:t> </w:t>
      </w:r>
      <w:r>
        <w:rPr>
          <w:color w:val="231F20"/>
          <w:w w:val="105"/>
          <w:sz w:val="18"/>
        </w:rPr>
        <w:t>LFCO</w:t>
      </w:r>
      <w:r>
        <w:rPr>
          <w:color w:val="231F20"/>
          <w:spacing w:val="-28"/>
          <w:w w:val="105"/>
          <w:sz w:val="18"/>
        </w:rPr>
        <w:t> </w:t>
      </w:r>
      <w:r>
        <w:rPr>
          <w:color w:val="231F20"/>
          <w:w w:val="105"/>
        </w:rPr>
        <w:t>ha</w:t>
      </w:r>
      <w:r>
        <w:rPr>
          <w:color w:val="231F20"/>
          <w:spacing w:val="-38"/>
          <w:w w:val="105"/>
        </w:rPr>
        <w:t> </w:t>
      </w:r>
      <w:r>
        <w:rPr>
          <w:color w:val="231F20"/>
          <w:spacing w:val="-3"/>
          <w:w w:val="105"/>
        </w:rPr>
        <w:t>avuto</w:t>
      </w:r>
      <w:r>
        <w:rPr>
          <w:color w:val="231F20"/>
          <w:spacing w:val="-38"/>
          <w:w w:val="105"/>
        </w:rPr>
        <w:t> </w:t>
      </w:r>
      <w:r>
        <w:rPr>
          <w:color w:val="231F20"/>
          <w:spacing w:val="-3"/>
          <w:w w:val="105"/>
        </w:rPr>
        <w:t>critici</w:t>
      </w:r>
      <w:r>
        <w:rPr>
          <w:color w:val="231F20"/>
          <w:spacing w:val="-38"/>
          <w:w w:val="105"/>
        </w:rPr>
        <w:t> </w:t>
      </w:r>
      <w:r>
        <w:rPr>
          <w:color w:val="231F20"/>
          <w:w w:val="105"/>
        </w:rPr>
        <w:t>e</w:t>
      </w:r>
      <w:r>
        <w:rPr>
          <w:color w:val="231F20"/>
          <w:spacing w:val="-38"/>
          <w:w w:val="105"/>
        </w:rPr>
        <w:t> </w:t>
      </w:r>
      <w:r>
        <w:rPr>
          <w:color w:val="231F20"/>
          <w:spacing w:val="-3"/>
          <w:w w:val="105"/>
        </w:rPr>
        <w:t>seguaci;</w:t>
      </w:r>
      <w:r>
        <w:rPr>
          <w:color w:val="231F20"/>
          <w:spacing w:val="-38"/>
          <w:w w:val="105"/>
        </w:rPr>
        <w:t> </w:t>
      </w:r>
      <w:r>
        <w:rPr>
          <w:color w:val="231F20"/>
          <w:spacing w:val="-3"/>
          <w:w w:val="105"/>
        </w:rPr>
        <w:t>rispetto</w:t>
      </w:r>
      <w:r>
        <w:rPr>
          <w:color w:val="231F20"/>
          <w:spacing w:val="-38"/>
          <w:w w:val="105"/>
        </w:rPr>
        <w:t> </w:t>
      </w:r>
      <w:r>
        <w:rPr>
          <w:color w:val="231F20"/>
          <w:w w:val="105"/>
        </w:rPr>
        <w:t>ai</w:t>
      </w:r>
      <w:r>
        <w:rPr>
          <w:color w:val="231F20"/>
          <w:spacing w:val="-38"/>
          <w:w w:val="105"/>
        </w:rPr>
        <w:t> </w:t>
      </w:r>
      <w:r>
        <w:rPr>
          <w:color w:val="231F20"/>
          <w:spacing w:val="-3"/>
          <w:w w:val="105"/>
        </w:rPr>
        <w:t>primi</w:t>
      </w:r>
      <w:r>
        <w:rPr>
          <w:color w:val="231F20"/>
          <w:spacing w:val="-38"/>
          <w:w w:val="105"/>
        </w:rPr>
        <w:t> </w:t>
      </w:r>
      <w:r>
        <w:rPr>
          <w:color w:val="231F20"/>
          <w:spacing w:val="-3"/>
          <w:w w:val="105"/>
        </w:rPr>
        <w:t>questa</w:t>
      </w:r>
      <w:r>
        <w:rPr>
          <w:color w:val="231F20"/>
          <w:spacing w:val="-38"/>
          <w:w w:val="105"/>
        </w:rPr>
        <w:t> </w:t>
      </w:r>
      <w:r>
        <w:rPr>
          <w:color w:val="231F20"/>
          <w:spacing w:val="-3"/>
          <w:w w:val="105"/>
        </w:rPr>
        <w:t>legge</w:t>
      </w:r>
      <w:r>
        <w:rPr>
          <w:color w:val="231F20"/>
          <w:spacing w:val="-38"/>
          <w:w w:val="105"/>
        </w:rPr>
        <w:t> </w:t>
      </w:r>
      <w:r>
        <w:rPr>
          <w:color w:val="231F20"/>
          <w:w w:val="105"/>
        </w:rPr>
        <w:t>è</w:t>
      </w:r>
      <w:r>
        <w:rPr>
          <w:color w:val="231F20"/>
          <w:spacing w:val="-38"/>
          <w:w w:val="105"/>
        </w:rPr>
        <w:t> </w:t>
      </w:r>
      <w:r>
        <w:rPr>
          <w:color w:val="231F20"/>
          <w:w w:val="105"/>
        </w:rPr>
        <w:t>un</w:t>
      </w:r>
      <w:r>
        <w:rPr>
          <w:color w:val="231F20"/>
          <w:spacing w:val="-38"/>
          <w:w w:val="105"/>
        </w:rPr>
        <w:t> </w:t>
      </w:r>
      <w:r>
        <w:rPr>
          <w:color w:val="231F20"/>
          <w:spacing w:val="-3"/>
          <w:w w:val="105"/>
        </w:rPr>
        <w:t>ostacolo </w:t>
      </w:r>
      <w:r>
        <w:rPr>
          <w:color w:val="231F20"/>
          <w:w w:val="105"/>
        </w:rPr>
        <w:t>che diminuisce le garanzie dei cittadini e restringe diritti davanti ad un procedimento</w:t>
      </w:r>
      <w:r>
        <w:rPr>
          <w:color w:val="231F20"/>
          <w:spacing w:val="-50"/>
          <w:w w:val="105"/>
        </w:rPr>
        <w:t> </w:t>
      </w:r>
      <w:r>
        <w:rPr>
          <w:color w:val="231F20"/>
          <w:w w:val="105"/>
        </w:rPr>
        <w:t>penale.</w:t>
      </w:r>
      <w:r>
        <w:rPr>
          <w:color w:val="231F20"/>
          <w:spacing w:val="-50"/>
          <w:w w:val="105"/>
        </w:rPr>
        <w:t> </w:t>
      </w:r>
      <w:r>
        <w:rPr>
          <w:color w:val="231F20"/>
          <w:w w:val="105"/>
        </w:rPr>
        <w:t>Per</w:t>
      </w:r>
      <w:r>
        <w:rPr>
          <w:color w:val="231F20"/>
          <w:spacing w:val="-50"/>
          <w:w w:val="105"/>
        </w:rPr>
        <w:t> </w:t>
      </w:r>
      <w:r>
        <w:rPr>
          <w:color w:val="231F20"/>
          <w:w w:val="105"/>
        </w:rPr>
        <w:t>altri,</w:t>
      </w:r>
      <w:r>
        <w:rPr>
          <w:color w:val="231F20"/>
          <w:spacing w:val="-50"/>
          <w:w w:val="105"/>
        </w:rPr>
        <w:t> </w:t>
      </w:r>
      <w:r>
        <w:rPr>
          <w:color w:val="231F20"/>
          <w:w w:val="105"/>
        </w:rPr>
        <w:t>gli</w:t>
      </w:r>
      <w:r>
        <w:rPr>
          <w:color w:val="231F20"/>
          <w:spacing w:val="-50"/>
          <w:w w:val="105"/>
        </w:rPr>
        <w:t> </w:t>
      </w:r>
      <w:r>
        <w:rPr>
          <w:color w:val="231F20"/>
          <w:w w:val="105"/>
        </w:rPr>
        <w:t>apologisti,</w:t>
      </w:r>
      <w:r>
        <w:rPr>
          <w:color w:val="231F20"/>
          <w:spacing w:val="-50"/>
          <w:w w:val="105"/>
        </w:rPr>
        <w:t> </w:t>
      </w:r>
      <w:r>
        <w:rPr>
          <w:color w:val="231F20"/>
          <w:w w:val="105"/>
        </w:rPr>
        <w:t>tali</w:t>
      </w:r>
      <w:r>
        <w:rPr>
          <w:color w:val="231F20"/>
          <w:spacing w:val="-50"/>
          <w:w w:val="105"/>
        </w:rPr>
        <w:t> </w:t>
      </w:r>
      <w:r>
        <w:rPr>
          <w:color w:val="231F20"/>
          <w:w w:val="105"/>
        </w:rPr>
        <w:t>limitazioni</w:t>
      </w:r>
      <w:r>
        <w:rPr>
          <w:color w:val="231F20"/>
          <w:spacing w:val="-50"/>
          <w:w w:val="105"/>
        </w:rPr>
        <w:t> </w:t>
      </w:r>
      <w:r>
        <w:rPr>
          <w:color w:val="231F20"/>
          <w:w w:val="105"/>
        </w:rPr>
        <w:t>sono</w:t>
      </w:r>
      <w:r>
        <w:rPr>
          <w:color w:val="231F20"/>
          <w:spacing w:val="-50"/>
          <w:w w:val="105"/>
        </w:rPr>
        <w:t> </w:t>
      </w:r>
      <w:r>
        <w:rPr>
          <w:color w:val="231F20"/>
          <w:w w:val="105"/>
        </w:rPr>
        <w:t>necessarie per</w:t>
      </w:r>
      <w:r>
        <w:rPr>
          <w:color w:val="231F20"/>
          <w:spacing w:val="-48"/>
          <w:w w:val="105"/>
        </w:rPr>
        <w:t> </w:t>
      </w:r>
      <w:r>
        <w:rPr>
          <w:color w:val="231F20"/>
          <w:w w:val="105"/>
        </w:rPr>
        <w:t>un</w:t>
      </w:r>
      <w:r>
        <w:rPr>
          <w:color w:val="231F20"/>
          <w:spacing w:val="-48"/>
          <w:w w:val="105"/>
        </w:rPr>
        <w:t> </w:t>
      </w:r>
      <w:r>
        <w:rPr>
          <w:color w:val="231F20"/>
          <w:w w:val="105"/>
        </w:rPr>
        <w:t>combattimento</w:t>
      </w:r>
      <w:r>
        <w:rPr>
          <w:color w:val="231F20"/>
          <w:spacing w:val="-48"/>
          <w:w w:val="105"/>
        </w:rPr>
        <w:t> </w:t>
      </w:r>
      <w:r>
        <w:rPr>
          <w:color w:val="231F20"/>
          <w:w w:val="105"/>
        </w:rPr>
        <w:t>frontale</w:t>
      </w:r>
      <w:r>
        <w:rPr>
          <w:color w:val="231F20"/>
          <w:spacing w:val="-48"/>
          <w:w w:val="105"/>
        </w:rPr>
        <w:t> </w:t>
      </w:r>
      <w:r>
        <w:rPr>
          <w:color w:val="231F20"/>
          <w:w w:val="105"/>
        </w:rPr>
        <w:t>alla</w:t>
      </w:r>
      <w:r>
        <w:rPr>
          <w:color w:val="231F20"/>
          <w:spacing w:val="-48"/>
          <w:w w:val="105"/>
        </w:rPr>
        <w:t> </w:t>
      </w:r>
      <w:r>
        <w:rPr>
          <w:color w:val="231F20"/>
          <w:w w:val="105"/>
        </w:rPr>
        <w:t>criminalità</w:t>
      </w:r>
      <w:r>
        <w:rPr>
          <w:color w:val="231F20"/>
          <w:spacing w:val="-48"/>
          <w:w w:val="105"/>
        </w:rPr>
        <w:t> </w:t>
      </w:r>
      <w:r>
        <w:rPr>
          <w:color w:val="231F20"/>
          <w:w w:val="105"/>
        </w:rPr>
        <w:t>organizzata.</w:t>
      </w:r>
      <w:r>
        <w:rPr>
          <w:color w:val="231F20"/>
          <w:spacing w:val="-48"/>
          <w:w w:val="105"/>
        </w:rPr>
        <w:t> </w:t>
      </w:r>
      <w:r>
        <w:rPr>
          <w:color w:val="231F20"/>
          <w:spacing w:val="-7"/>
          <w:w w:val="105"/>
        </w:rPr>
        <w:t>Tra</w:t>
      </w:r>
      <w:r>
        <w:rPr>
          <w:color w:val="231F20"/>
          <w:spacing w:val="-48"/>
          <w:w w:val="105"/>
        </w:rPr>
        <w:t> </w:t>
      </w:r>
      <w:r>
        <w:rPr>
          <w:color w:val="231F20"/>
          <w:w w:val="105"/>
        </w:rPr>
        <w:t>gli</w:t>
      </w:r>
      <w:r>
        <w:rPr>
          <w:color w:val="231F20"/>
          <w:spacing w:val="-48"/>
          <w:w w:val="105"/>
        </w:rPr>
        <w:t> </w:t>
      </w:r>
      <w:r>
        <w:rPr>
          <w:color w:val="231F20"/>
          <w:w w:val="105"/>
        </w:rPr>
        <w:t>strumenti per</w:t>
      </w:r>
      <w:r>
        <w:rPr>
          <w:color w:val="231F20"/>
          <w:spacing w:val="-25"/>
          <w:w w:val="105"/>
        </w:rPr>
        <w:t> </w:t>
      </w:r>
      <w:r>
        <w:rPr>
          <w:color w:val="231F20"/>
          <w:w w:val="105"/>
        </w:rPr>
        <w:t>l’indagine</w:t>
      </w:r>
      <w:r>
        <w:rPr>
          <w:color w:val="231F20"/>
          <w:spacing w:val="-25"/>
          <w:w w:val="105"/>
        </w:rPr>
        <w:t> </w:t>
      </w:r>
      <w:r>
        <w:rPr>
          <w:color w:val="231F20"/>
          <w:w w:val="105"/>
        </w:rPr>
        <w:t>implementati</w:t>
      </w:r>
      <w:r>
        <w:rPr>
          <w:color w:val="231F20"/>
          <w:spacing w:val="-25"/>
          <w:w w:val="105"/>
        </w:rPr>
        <w:t> </w:t>
      </w:r>
      <w:r>
        <w:rPr>
          <w:color w:val="231F20"/>
          <w:w w:val="105"/>
        </w:rPr>
        <w:t>in</w:t>
      </w:r>
      <w:r>
        <w:rPr>
          <w:color w:val="231F20"/>
          <w:spacing w:val="-25"/>
          <w:w w:val="105"/>
        </w:rPr>
        <w:t> </w:t>
      </w:r>
      <w:r>
        <w:rPr>
          <w:color w:val="231F20"/>
          <w:w w:val="105"/>
        </w:rPr>
        <w:t>questa</w:t>
      </w:r>
      <w:r>
        <w:rPr>
          <w:color w:val="231F20"/>
          <w:spacing w:val="-25"/>
          <w:w w:val="105"/>
        </w:rPr>
        <w:t> </w:t>
      </w:r>
      <w:r>
        <w:rPr>
          <w:color w:val="231F20"/>
          <w:w w:val="105"/>
        </w:rPr>
        <w:t>legge</w:t>
      </w:r>
      <w:r>
        <w:rPr>
          <w:color w:val="231F20"/>
          <w:spacing w:val="-25"/>
          <w:w w:val="105"/>
        </w:rPr>
        <w:t> </w:t>
      </w:r>
      <w:r>
        <w:rPr>
          <w:color w:val="231F20"/>
          <w:w w:val="105"/>
        </w:rPr>
        <w:t>ci</w:t>
      </w:r>
      <w:r>
        <w:rPr>
          <w:color w:val="231F20"/>
          <w:spacing w:val="-25"/>
          <w:w w:val="105"/>
        </w:rPr>
        <w:t> </w:t>
      </w:r>
      <w:r>
        <w:rPr>
          <w:color w:val="231F20"/>
          <w:w w:val="105"/>
        </w:rPr>
        <w:t>sono:</w:t>
      </w:r>
    </w:p>
    <w:p>
      <w:pPr>
        <w:pStyle w:val="BodyText"/>
        <w:spacing w:before="5"/>
      </w:pPr>
    </w:p>
    <w:p>
      <w:pPr>
        <w:pStyle w:val="ListParagraph"/>
        <w:numPr>
          <w:ilvl w:val="0"/>
          <w:numId w:val="9"/>
        </w:numPr>
        <w:tabs>
          <w:tab w:pos="1030" w:val="left" w:leader="none"/>
          <w:tab w:pos="1031" w:val="left" w:leader="none"/>
        </w:tabs>
        <w:spacing w:line="240" w:lineRule="auto" w:before="0" w:after="0"/>
        <w:ind w:left="1030" w:right="0" w:hanging="360"/>
        <w:jc w:val="left"/>
        <w:rPr>
          <w:sz w:val="21"/>
        </w:rPr>
      </w:pPr>
      <w:r>
        <w:rPr>
          <w:color w:val="231F20"/>
          <w:sz w:val="21"/>
        </w:rPr>
        <w:t>L’inflitrazione di agenti nella</w:t>
      </w:r>
      <w:r>
        <w:rPr>
          <w:color w:val="231F20"/>
          <w:spacing w:val="-31"/>
          <w:sz w:val="21"/>
        </w:rPr>
        <w:t> </w:t>
      </w:r>
      <w:r>
        <w:rPr>
          <w:color w:val="231F20"/>
          <w:sz w:val="21"/>
        </w:rPr>
        <w:t>struttura</w:t>
      </w:r>
    </w:p>
    <w:p>
      <w:pPr>
        <w:pStyle w:val="ListParagraph"/>
        <w:numPr>
          <w:ilvl w:val="0"/>
          <w:numId w:val="9"/>
        </w:numPr>
        <w:tabs>
          <w:tab w:pos="1030" w:val="left" w:leader="none"/>
          <w:tab w:pos="1031" w:val="left" w:leader="none"/>
        </w:tabs>
        <w:spacing w:line="240" w:lineRule="auto" w:before="6" w:after="0"/>
        <w:ind w:left="1030" w:right="0" w:hanging="360"/>
        <w:jc w:val="left"/>
        <w:rPr>
          <w:sz w:val="21"/>
        </w:rPr>
      </w:pPr>
      <w:r>
        <w:rPr>
          <w:color w:val="231F20"/>
          <w:w w:val="105"/>
          <w:sz w:val="21"/>
        </w:rPr>
        <w:t>L’intervento</w:t>
      </w:r>
      <w:r>
        <w:rPr>
          <w:color w:val="231F20"/>
          <w:spacing w:val="-51"/>
          <w:w w:val="105"/>
          <w:sz w:val="21"/>
        </w:rPr>
        <w:t> </w:t>
      </w:r>
      <w:r>
        <w:rPr>
          <w:color w:val="231F20"/>
          <w:w w:val="105"/>
          <w:sz w:val="21"/>
        </w:rPr>
        <w:t>di</w:t>
      </w:r>
      <w:r>
        <w:rPr>
          <w:color w:val="231F20"/>
          <w:spacing w:val="-51"/>
          <w:w w:val="105"/>
          <w:sz w:val="21"/>
        </w:rPr>
        <w:t> </w:t>
      </w:r>
      <w:r>
        <w:rPr>
          <w:color w:val="231F20"/>
          <w:w w:val="105"/>
          <w:sz w:val="21"/>
        </w:rPr>
        <w:t>comunicazioni</w:t>
      </w:r>
      <w:r>
        <w:rPr>
          <w:color w:val="231F20"/>
          <w:spacing w:val="-51"/>
          <w:w w:val="105"/>
          <w:sz w:val="21"/>
        </w:rPr>
        <w:t> </w:t>
      </w:r>
      <w:r>
        <w:rPr>
          <w:color w:val="231F20"/>
          <w:w w:val="105"/>
          <w:sz w:val="21"/>
        </w:rPr>
        <w:t>private</w:t>
      </w:r>
    </w:p>
    <w:p>
      <w:pPr>
        <w:pStyle w:val="ListParagraph"/>
        <w:numPr>
          <w:ilvl w:val="0"/>
          <w:numId w:val="9"/>
        </w:numPr>
        <w:tabs>
          <w:tab w:pos="1030" w:val="left" w:leader="none"/>
          <w:tab w:pos="1031" w:val="left" w:leader="none"/>
        </w:tabs>
        <w:spacing w:line="240" w:lineRule="auto" w:before="6" w:after="0"/>
        <w:ind w:left="1030" w:right="0" w:hanging="360"/>
        <w:jc w:val="left"/>
        <w:rPr>
          <w:sz w:val="21"/>
        </w:rPr>
      </w:pPr>
      <w:r>
        <w:rPr>
          <w:color w:val="231F20"/>
          <w:sz w:val="21"/>
        </w:rPr>
        <w:t>La</w:t>
      </w:r>
      <w:r>
        <w:rPr>
          <w:color w:val="231F20"/>
          <w:spacing w:val="23"/>
          <w:sz w:val="21"/>
        </w:rPr>
        <w:t> </w:t>
      </w:r>
      <w:r>
        <w:rPr>
          <w:color w:val="231F20"/>
          <w:sz w:val="21"/>
        </w:rPr>
        <w:t>perquisizione</w:t>
      </w:r>
    </w:p>
    <w:p>
      <w:pPr>
        <w:pStyle w:val="ListParagraph"/>
        <w:numPr>
          <w:ilvl w:val="0"/>
          <w:numId w:val="9"/>
        </w:numPr>
        <w:tabs>
          <w:tab w:pos="1030" w:val="left" w:leader="none"/>
          <w:tab w:pos="1031" w:val="left" w:leader="none"/>
        </w:tabs>
        <w:spacing w:line="240" w:lineRule="auto" w:before="6" w:after="0"/>
        <w:ind w:left="1030" w:right="0" w:hanging="360"/>
        <w:jc w:val="left"/>
        <w:rPr>
          <w:sz w:val="21"/>
        </w:rPr>
      </w:pPr>
      <w:r>
        <w:rPr>
          <w:color w:val="231F20"/>
          <w:sz w:val="21"/>
        </w:rPr>
        <w:t>La</w:t>
      </w:r>
      <w:r>
        <w:rPr>
          <w:color w:val="231F20"/>
          <w:spacing w:val="13"/>
          <w:sz w:val="21"/>
        </w:rPr>
        <w:t> </w:t>
      </w:r>
      <w:r>
        <w:rPr>
          <w:color w:val="231F20"/>
          <w:sz w:val="21"/>
        </w:rPr>
        <w:t>ricompensa</w:t>
      </w:r>
    </w:p>
    <w:p>
      <w:pPr>
        <w:pStyle w:val="ListParagraph"/>
        <w:numPr>
          <w:ilvl w:val="0"/>
          <w:numId w:val="9"/>
        </w:numPr>
        <w:tabs>
          <w:tab w:pos="1030" w:val="left" w:leader="none"/>
          <w:tab w:pos="1031" w:val="left" w:leader="none"/>
        </w:tabs>
        <w:spacing w:line="240" w:lineRule="auto" w:before="6" w:after="0"/>
        <w:ind w:left="1030" w:right="0" w:hanging="360"/>
        <w:jc w:val="left"/>
        <w:rPr>
          <w:sz w:val="21"/>
        </w:rPr>
      </w:pPr>
      <w:r>
        <w:rPr>
          <w:color w:val="231F20"/>
          <w:sz w:val="21"/>
        </w:rPr>
        <w:t>L’informazione</w:t>
      </w:r>
      <w:r>
        <w:rPr>
          <w:color w:val="231F20"/>
          <w:spacing w:val="6"/>
          <w:sz w:val="21"/>
        </w:rPr>
        <w:t> </w:t>
      </w:r>
      <w:r>
        <w:rPr>
          <w:color w:val="231F20"/>
          <w:sz w:val="21"/>
        </w:rPr>
        <w:t>anonima</w:t>
      </w:r>
    </w:p>
    <w:p>
      <w:pPr>
        <w:pStyle w:val="ListParagraph"/>
        <w:numPr>
          <w:ilvl w:val="0"/>
          <w:numId w:val="9"/>
        </w:numPr>
        <w:tabs>
          <w:tab w:pos="1030" w:val="left" w:leader="none"/>
          <w:tab w:pos="1031" w:val="left" w:leader="none"/>
        </w:tabs>
        <w:spacing w:line="240" w:lineRule="auto" w:before="6" w:after="0"/>
        <w:ind w:left="1030" w:right="0" w:hanging="360"/>
        <w:jc w:val="left"/>
        <w:rPr>
          <w:sz w:val="21"/>
        </w:rPr>
      </w:pPr>
      <w:r>
        <w:rPr>
          <w:color w:val="231F20"/>
          <w:w w:val="105"/>
          <w:sz w:val="21"/>
        </w:rPr>
        <w:t>Arresti</w:t>
      </w:r>
      <w:r>
        <w:rPr>
          <w:color w:val="231F20"/>
          <w:spacing w:val="-51"/>
          <w:w w:val="105"/>
          <w:sz w:val="21"/>
        </w:rPr>
        <w:t> </w:t>
      </w:r>
      <w:r>
        <w:rPr>
          <w:color w:val="231F20"/>
          <w:w w:val="105"/>
          <w:sz w:val="21"/>
        </w:rPr>
        <w:t>domiciliari</w:t>
      </w:r>
    </w:p>
    <w:p>
      <w:pPr>
        <w:pStyle w:val="ListParagraph"/>
        <w:numPr>
          <w:ilvl w:val="0"/>
          <w:numId w:val="9"/>
        </w:numPr>
        <w:tabs>
          <w:tab w:pos="1030" w:val="left" w:leader="none"/>
          <w:tab w:pos="1031" w:val="left" w:leader="none"/>
        </w:tabs>
        <w:spacing w:line="240" w:lineRule="auto" w:before="6" w:after="0"/>
        <w:ind w:left="1030" w:right="0" w:hanging="360"/>
        <w:jc w:val="left"/>
        <w:rPr>
          <w:sz w:val="21"/>
        </w:rPr>
      </w:pPr>
      <w:r>
        <w:rPr>
          <w:color w:val="231F20"/>
          <w:sz w:val="21"/>
        </w:rPr>
        <w:t>La riserva d’attuazione nell’indagine</w:t>
      </w:r>
      <w:r>
        <w:rPr>
          <w:color w:val="231F20"/>
          <w:spacing w:val="37"/>
          <w:sz w:val="21"/>
        </w:rPr>
        <w:t> </w:t>
      </w:r>
      <w:r>
        <w:rPr>
          <w:color w:val="231F20"/>
          <w:sz w:val="21"/>
        </w:rPr>
        <w:t>preliminare</w:t>
      </w:r>
    </w:p>
    <w:p>
      <w:pPr>
        <w:pStyle w:val="ListParagraph"/>
        <w:numPr>
          <w:ilvl w:val="0"/>
          <w:numId w:val="9"/>
        </w:numPr>
        <w:tabs>
          <w:tab w:pos="1030" w:val="left" w:leader="none"/>
          <w:tab w:pos="1031" w:val="left" w:leader="none"/>
        </w:tabs>
        <w:spacing w:line="240" w:lineRule="auto" w:before="6" w:after="0"/>
        <w:ind w:left="1030" w:right="0" w:hanging="360"/>
        <w:jc w:val="left"/>
        <w:rPr>
          <w:sz w:val="21"/>
        </w:rPr>
      </w:pPr>
      <w:r>
        <w:rPr>
          <w:color w:val="231F20"/>
          <w:sz w:val="21"/>
        </w:rPr>
        <w:t>Il sequestro dei beni</w:t>
      </w:r>
    </w:p>
    <w:p>
      <w:pPr>
        <w:pStyle w:val="BodyText"/>
        <w:rPr>
          <w:sz w:val="22"/>
        </w:rPr>
      </w:pPr>
    </w:p>
    <w:p>
      <w:pPr>
        <w:pStyle w:val="BodyText"/>
        <w:spacing w:line="244" w:lineRule="auto" w:before="1"/>
        <w:ind w:left="103" w:right="111"/>
        <w:jc w:val="both"/>
      </w:pPr>
      <w:r>
        <w:rPr>
          <w:color w:val="231F20"/>
        </w:rPr>
        <w:t>Lo </w:t>
      </w:r>
      <w:r>
        <w:rPr>
          <w:color w:val="231F20"/>
          <w:spacing w:val="2"/>
        </w:rPr>
        <w:t>strumento </w:t>
      </w:r>
      <w:r>
        <w:rPr>
          <w:color w:val="231F20"/>
        </w:rPr>
        <w:t>che ha </w:t>
      </w:r>
      <w:r>
        <w:rPr>
          <w:color w:val="231F20"/>
          <w:spacing w:val="2"/>
        </w:rPr>
        <w:t>provocato maggiori critiche </w:t>
      </w:r>
      <w:r>
        <w:rPr>
          <w:color w:val="231F20"/>
        </w:rPr>
        <w:t>è </w:t>
      </w:r>
      <w:r>
        <w:rPr>
          <w:color w:val="231F20"/>
          <w:spacing w:val="2"/>
        </w:rPr>
        <w:t>quello degli </w:t>
      </w:r>
      <w:r>
        <w:rPr>
          <w:color w:val="231F20"/>
        </w:rPr>
        <w:t>arresti domiciliari, considerato nell’articolo 16 costituzionale paragrafo sesto, in cui prevede che </w:t>
      </w:r>
      <w:r>
        <w:rPr>
          <w:rFonts w:ascii="Arial" w:hAnsi="Arial"/>
          <w:i/>
          <w:color w:val="231F20"/>
        </w:rPr>
        <w:t>il nemico organizzato </w:t>
      </w:r>
      <w:r>
        <w:rPr>
          <w:color w:val="231F20"/>
        </w:rPr>
        <w:t>potrà essere sottoposto agli arresti per</w:t>
      </w:r>
      <w:r>
        <w:rPr>
          <w:color w:val="231F20"/>
          <w:spacing w:val="-20"/>
        </w:rPr>
        <w:t> </w:t>
      </w:r>
      <w:r>
        <w:rPr>
          <w:color w:val="231F20"/>
        </w:rPr>
        <w:t>quaranta</w:t>
      </w:r>
      <w:r>
        <w:rPr>
          <w:color w:val="231F20"/>
          <w:spacing w:val="-20"/>
        </w:rPr>
        <w:t> </w:t>
      </w:r>
      <w:r>
        <w:rPr>
          <w:color w:val="231F20"/>
        </w:rPr>
        <w:t>giorni,</w:t>
      </w:r>
      <w:r>
        <w:rPr>
          <w:color w:val="231F20"/>
          <w:spacing w:val="-20"/>
        </w:rPr>
        <w:t> </w:t>
      </w:r>
      <w:r>
        <w:rPr>
          <w:color w:val="231F20"/>
        </w:rPr>
        <w:t>termine</w:t>
      </w:r>
      <w:r>
        <w:rPr>
          <w:color w:val="231F20"/>
          <w:spacing w:val="-20"/>
        </w:rPr>
        <w:t> </w:t>
      </w:r>
      <w:r>
        <w:rPr>
          <w:color w:val="231F20"/>
        </w:rPr>
        <w:t>che</w:t>
      </w:r>
      <w:r>
        <w:rPr>
          <w:color w:val="231F20"/>
          <w:spacing w:val="-20"/>
        </w:rPr>
        <w:t> </w:t>
      </w:r>
      <w:r>
        <w:rPr>
          <w:color w:val="231F20"/>
        </w:rPr>
        <w:t>potrà</w:t>
      </w:r>
      <w:r>
        <w:rPr>
          <w:color w:val="231F20"/>
          <w:spacing w:val="-20"/>
        </w:rPr>
        <w:t> </w:t>
      </w:r>
      <w:r>
        <w:rPr>
          <w:color w:val="231F20"/>
        </w:rPr>
        <w:t>protrarsi</w:t>
      </w:r>
      <w:r>
        <w:rPr>
          <w:color w:val="231F20"/>
          <w:spacing w:val="-20"/>
        </w:rPr>
        <w:t> </w:t>
      </w:r>
      <w:r>
        <w:rPr>
          <w:color w:val="231F20"/>
        </w:rPr>
        <w:t>fino</w:t>
      </w:r>
      <w:r>
        <w:rPr>
          <w:color w:val="231F20"/>
          <w:spacing w:val="-20"/>
        </w:rPr>
        <w:t> </w:t>
      </w:r>
      <w:r>
        <w:rPr>
          <w:color w:val="231F20"/>
        </w:rPr>
        <w:t>a</w:t>
      </w:r>
      <w:r>
        <w:rPr>
          <w:color w:val="231F20"/>
          <w:spacing w:val="-20"/>
        </w:rPr>
        <w:t> </w:t>
      </w:r>
      <w:r>
        <w:rPr>
          <w:color w:val="231F20"/>
        </w:rPr>
        <w:t>ottanta</w:t>
      </w:r>
      <w:r>
        <w:rPr>
          <w:color w:val="231F20"/>
          <w:spacing w:val="-20"/>
        </w:rPr>
        <w:t> </w:t>
      </w:r>
      <w:r>
        <w:rPr>
          <w:color w:val="231F20"/>
        </w:rPr>
        <w:t>giorni,</w:t>
      </w:r>
      <w:r>
        <w:rPr>
          <w:color w:val="231F20"/>
          <w:spacing w:val="-20"/>
        </w:rPr>
        <w:t> </w:t>
      </w:r>
      <w:r>
        <w:rPr>
          <w:color w:val="231F20"/>
        </w:rPr>
        <w:t>sempre che il Pubblico Ministero accrediti </w:t>
      </w:r>
      <w:r>
        <w:rPr>
          <w:color w:val="231F20"/>
          <w:spacing w:val="16"/>
        </w:rPr>
        <w:t> </w:t>
      </w:r>
      <w:r>
        <w:rPr>
          <w:color w:val="231F20"/>
        </w:rPr>
        <w:t>l’estensione.</w:t>
      </w:r>
    </w:p>
    <w:p>
      <w:pPr>
        <w:pStyle w:val="BodyText"/>
        <w:spacing w:line="249" w:lineRule="auto" w:before="1"/>
        <w:ind w:left="103" w:right="112" w:firstLine="566"/>
        <w:jc w:val="both"/>
      </w:pPr>
      <w:r>
        <w:rPr>
          <w:color w:val="231F20"/>
        </w:rPr>
        <w:t>Dall’amministrazione del presidente Ernesto Zedillo Ponce de León (1994–2000) si considerò che il narcotraffico era un problema di sicurezza nazionale, perchè affettava profondamente la stabilità del paese, per cui, bisognava</w:t>
      </w:r>
      <w:r>
        <w:rPr>
          <w:color w:val="231F20"/>
          <w:spacing w:val="-23"/>
        </w:rPr>
        <w:t> </w:t>
      </w:r>
      <w:r>
        <w:rPr>
          <w:color w:val="231F20"/>
        </w:rPr>
        <w:t>dichiarare</w:t>
      </w:r>
      <w:r>
        <w:rPr>
          <w:color w:val="231F20"/>
          <w:spacing w:val="-23"/>
        </w:rPr>
        <w:t> </w:t>
      </w:r>
      <w:r>
        <w:rPr>
          <w:color w:val="231F20"/>
        </w:rPr>
        <w:t>la</w:t>
      </w:r>
      <w:r>
        <w:rPr>
          <w:color w:val="231F20"/>
          <w:spacing w:val="-23"/>
        </w:rPr>
        <w:t> </w:t>
      </w:r>
      <w:r>
        <w:rPr>
          <w:color w:val="231F20"/>
        </w:rPr>
        <w:t>guerra</w:t>
      </w:r>
      <w:r>
        <w:rPr>
          <w:color w:val="231F20"/>
          <w:spacing w:val="-23"/>
        </w:rPr>
        <w:t> </w:t>
      </w:r>
      <w:r>
        <w:rPr>
          <w:color w:val="231F20"/>
        </w:rPr>
        <w:t>a</w:t>
      </w:r>
      <w:r>
        <w:rPr>
          <w:color w:val="231F20"/>
          <w:spacing w:val="-23"/>
        </w:rPr>
        <w:t> </w:t>
      </w:r>
      <w:r>
        <w:rPr>
          <w:color w:val="231F20"/>
        </w:rPr>
        <w:t>chi</w:t>
      </w:r>
      <w:r>
        <w:rPr>
          <w:color w:val="231F20"/>
          <w:spacing w:val="-23"/>
        </w:rPr>
        <w:t> </w:t>
      </w:r>
      <w:r>
        <w:rPr>
          <w:color w:val="231F20"/>
        </w:rPr>
        <w:t>si</w:t>
      </w:r>
      <w:r>
        <w:rPr>
          <w:color w:val="231F20"/>
          <w:spacing w:val="-23"/>
        </w:rPr>
        <w:t> </w:t>
      </w:r>
      <w:r>
        <w:rPr>
          <w:color w:val="231F20"/>
        </w:rPr>
        <w:t>occupava</w:t>
      </w:r>
      <w:r>
        <w:rPr>
          <w:color w:val="231F20"/>
          <w:spacing w:val="-23"/>
        </w:rPr>
        <w:t> </w:t>
      </w:r>
      <w:r>
        <w:rPr>
          <w:color w:val="231F20"/>
        </w:rPr>
        <w:t>di</w:t>
      </w:r>
      <w:r>
        <w:rPr>
          <w:color w:val="231F20"/>
          <w:spacing w:val="-23"/>
        </w:rPr>
        <w:t> </w:t>
      </w:r>
      <w:r>
        <w:rPr>
          <w:color w:val="231F20"/>
        </w:rPr>
        <w:t>questa</w:t>
      </w:r>
      <w:r>
        <w:rPr>
          <w:color w:val="231F20"/>
          <w:spacing w:val="-23"/>
        </w:rPr>
        <w:t> </w:t>
      </w:r>
      <w:r>
        <w:rPr>
          <w:color w:val="231F20"/>
        </w:rPr>
        <w:t>attività.</w:t>
      </w:r>
      <w:r>
        <w:rPr>
          <w:color w:val="231F20"/>
          <w:spacing w:val="-23"/>
        </w:rPr>
        <w:t> </w:t>
      </w:r>
      <w:r>
        <w:rPr>
          <w:color w:val="231F20"/>
        </w:rPr>
        <w:t>La</w:t>
      </w:r>
      <w:r>
        <w:rPr>
          <w:color w:val="231F20"/>
          <w:spacing w:val="-23"/>
        </w:rPr>
        <w:t> </w:t>
      </w:r>
      <w:r>
        <w:rPr>
          <w:color w:val="231F20"/>
        </w:rPr>
        <w:t>fragilità delle</w:t>
      </w:r>
      <w:r>
        <w:rPr>
          <w:color w:val="231F20"/>
          <w:spacing w:val="-20"/>
        </w:rPr>
        <w:t> </w:t>
      </w:r>
      <w:r>
        <w:rPr>
          <w:color w:val="231F20"/>
        </w:rPr>
        <w:t>istituzioni,</w:t>
      </w:r>
      <w:r>
        <w:rPr>
          <w:color w:val="231F20"/>
          <w:spacing w:val="-20"/>
        </w:rPr>
        <w:t> </w:t>
      </w:r>
      <w:r>
        <w:rPr>
          <w:color w:val="231F20"/>
        </w:rPr>
        <w:t>principalmente</w:t>
      </w:r>
      <w:r>
        <w:rPr>
          <w:color w:val="231F20"/>
          <w:spacing w:val="-20"/>
        </w:rPr>
        <w:t> </w:t>
      </w:r>
      <w:r>
        <w:rPr>
          <w:color w:val="231F20"/>
        </w:rPr>
        <w:t>quelle</w:t>
      </w:r>
      <w:r>
        <w:rPr>
          <w:color w:val="231F20"/>
          <w:spacing w:val="-20"/>
        </w:rPr>
        <w:t> </w:t>
      </w:r>
      <w:r>
        <w:rPr>
          <w:color w:val="231F20"/>
        </w:rPr>
        <w:t>a</w:t>
      </w:r>
      <w:r>
        <w:rPr>
          <w:color w:val="231F20"/>
          <w:spacing w:val="-20"/>
        </w:rPr>
        <w:t> </w:t>
      </w:r>
      <w:r>
        <w:rPr>
          <w:color w:val="231F20"/>
        </w:rPr>
        <w:t>cui</w:t>
      </w:r>
      <w:r>
        <w:rPr>
          <w:color w:val="231F20"/>
          <w:spacing w:val="-20"/>
        </w:rPr>
        <w:t> </w:t>
      </w:r>
      <w:r>
        <w:rPr>
          <w:color w:val="231F20"/>
        </w:rPr>
        <w:t>carico</w:t>
      </w:r>
      <w:r>
        <w:rPr>
          <w:color w:val="231F20"/>
          <w:spacing w:val="-20"/>
        </w:rPr>
        <w:t> </w:t>
      </w:r>
      <w:r>
        <w:rPr>
          <w:color w:val="231F20"/>
        </w:rPr>
        <w:t>c’era</w:t>
      </w:r>
      <w:r>
        <w:rPr>
          <w:color w:val="231F20"/>
          <w:spacing w:val="-20"/>
        </w:rPr>
        <w:t> </w:t>
      </w:r>
      <w:r>
        <w:rPr>
          <w:color w:val="231F20"/>
        </w:rPr>
        <w:t>la</w:t>
      </w:r>
      <w:r>
        <w:rPr>
          <w:color w:val="231F20"/>
          <w:spacing w:val="-20"/>
        </w:rPr>
        <w:t> </w:t>
      </w:r>
      <w:r>
        <w:rPr>
          <w:color w:val="231F20"/>
        </w:rPr>
        <w:t>pubblica</w:t>
      </w:r>
      <w:r>
        <w:rPr>
          <w:color w:val="231F20"/>
          <w:spacing w:val="-20"/>
        </w:rPr>
        <w:t> </w:t>
      </w:r>
      <w:r>
        <w:rPr>
          <w:color w:val="231F20"/>
          <w:spacing w:val="-3"/>
        </w:rPr>
        <w:t>sicurezza, </w:t>
      </w:r>
      <w:r>
        <w:rPr>
          <w:color w:val="231F20"/>
        </w:rPr>
        <w:t>provocò la partecipazione delle forze armate nella lotta al narcotraffico. Il problema del narcotraffico è diventato uno dei principali per la sicurezza nazionale.</w:t>
      </w:r>
      <w:r>
        <w:rPr>
          <w:color w:val="231F20"/>
          <w:spacing w:val="-21"/>
        </w:rPr>
        <w:t> </w:t>
      </w:r>
      <w:r>
        <w:rPr>
          <w:color w:val="231F20"/>
        </w:rPr>
        <w:t>Nonostante,</w:t>
      </w:r>
      <w:r>
        <w:rPr>
          <w:color w:val="231F20"/>
          <w:spacing w:val="-21"/>
        </w:rPr>
        <w:t> </w:t>
      </w:r>
      <w:r>
        <w:rPr>
          <w:color w:val="231F20"/>
        </w:rPr>
        <w:t>si</w:t>
      </w:r>
      <w:r>
        <w:rPr>
          <w:color w:val="231F20"/>
          <w:spacing w:val="-21"/>
        </w:rPr>
        <w:t> </w:t>
      </w:r>
      <w:r>
        <w:rPr>
          <w:color w:val="231F20"/>
        </w:rPr>
        <w:t>tratta</w:t>
      </w:r>
      <w:r>
        <w:rPr>
          <w:color w:val="231F20"/>
          <w:spacing w:val="-21"/>
        </w:rPr>
        <w:t> </w:t>
      </w:r>
      <w:r>
        <w:rPr>
          <w:color w:val="231F20"/>
        </w:rPr>
        <w:t>di</w:t>
      </w:r>
      <w:r>
        <w:rPr>
          <w:color w:val="231F20"/>
          <w:spacing w:val="-21"/>
        </w:rPr>
        <w:t> </w:t>
      </w:r>
      <w:r>
        <w:rPr>
          <w:color w:val="231F20"/>
        </w:rPr>
        <w:t>un</w:t>
      </w:r>
      <w:r>
        <w:rPr>
          <w:color w:val="231F20"/>
          <w:spacing w:val="-21"/>
        </w:rPr>
        <w:t> </w:t>
      </w:r>
      <w:r>
        <w:rPr>
          <w:color w:val="231F20"/>
          <w:spacing w:val="-3"/>
        </w:rPr>
        <w:t>problema</w:t>
      </w:r>
      <w:r>
        <w:rPr>
          <w:color w:val="231F20"/>
          <w:spacing w:val="-21"/>
        </w:rPr>
        <w:t> </w:t>
      </w:r>
      <w:r>
        <w:rPr>
          <w:color w:val="231F20"/>
        </w:rPr>
        <w:t>antico,</w:t>
      </w:r>
      <w:r>
        <w:rPr>
          <w:color w:val="231F20"/>
          <w:spacing w:val="-21"/>
        </w:rPr>
        <w:t> </w:t>
      </w:r>
      <w:r>
        <w:rPr>
          <w:color w:val="231F20"/>
        </w:rPr>
        <w:t>come</w:t>
      </w:r>
      <w:r>
        <w:rPr>
          <w:color w:val="231F20"/>
          <w:spacing w:val="-21"/>
        </w:rPr>
        <w:t> </w:t>
      </w:r>
      <w:r>
        <w:rPr>
          <w:color w:val="231F20"/>
        </w:rPr>
        <w:t>chiarisce</w:t>
      </w:r>
      <w:r>
        <w:rPr>
          <w:color w:val="231F20"/>
          <w:spacing w:val="-21"/>
        </w:rPr>
        <w:t> </w:t>
      </w:r>
      <w:r>
        <w:rPr>
          <w:color w:val="231F20"/>
          <w:spacing w:val="-2"/>
        </w:rPr>
        <w:t>Martín </w:t>
      </w:r>
      <w:r>
        <w:rPr>
          <w:color w:val="231F20"/>
        </w:rPr>
        <w:t>Gabriel</w:t>
      </w:r>
      <w:r>
        <w:rPr>
          <w:color w:val="231F20"/>
          <w:spacing w:val="10"/>
        </w:rPr>
        <w:t> </w:t>
      </w:r>
      <w:r>
        <w:rPr>
          <w:color w:val="231F20"/>
        </w:rPr>
        <w:t>Barrón:</w:t>
      </w:r>
    </w:p>
    <w:p>
      <w:pPr>
        <w:pStyle w:val="BodyText"/>
        <w:spacing w:before="8"/>
        <w:rPr>
          <w:sz w:val="22"/>
        </w:rPr>
      </w:pPr>
    </w:p>
    <w:p>
      <w:pPr>
        <w:spacing w:line="220" w:lineRule="exact" w:before="0"/>
        <w:ind w:left="1521" w:right="115" w:firstLine="0"/>
        <w:jc w:val="both"/>
        <w:rPr>
          <w:sz w:val="19"/>
        </w:rPr>
      </w:pPr>
      <w:r>
        <w:rPr>
          <w:color w:val="231F20"/>
          <w:w w:val="105"/>
          <w:sz w:val="19"/>
        </w:rPr>
        <w:t>Il</w:t>
      </w:r>
      <w:r>
        <w:rPr>
          <w:color w:val="231F20"/>
          <w:spacing w:val="-42"/>
          <w:w w:val="105"/>
          <w:sz w:val="19"/>
        </w:rPr>
        <w:t> </w:t>
      </w:r>
      <w:r>
        <w:rPr>
          <w:color w:val="231F20"/>
          <w:w w:val="105"/>
          <w:sz w:val="19"/>
        </w:rPr>
        <w:t>Messico</w:t>
      </w:r>
      <w:r>
        <w:rPr>
          <w:color w:val="231F20"/>
          <w:spacing w:val="-42"/>
          <w:w w:val="105"/>
          <w:sz w:val="19"/>
        </w:rPr>
        <w:t> </w:t>
      </w:r>
      <w:r>
        <w:rPr>
          <w:color w:val="231F20"/>
          <w:w w:val="105"/>
          <w:sz w:val="19"/>
        </w:rPr>
        <w:t>ha</w:t>
      </w:r>
      <w:r>
        <w:rPr>
          <w:color w:val="231F20"/>
          <w:spacing w:val="-42"/>
          <w:w w:val="105"/>
          <w:sz w:val="19"/>
        </w:rPr>
        <w:t> </w:t>
      </w:r>
      <w:r>
        <w:rPr>
          <w:color w:val="231F20"/>
          <w:w w:val="105"/>
          <w:sz w:val="19"/>
        </w:rPr>
        <w:t>una</w:t>
      </w:r>
      <w:r>
        <w:rPr>
          <w:color w:val="231F20"/>
          <w:spacing w:val="-42"/>
          <w:w w:val="105"/>
          <w:sz w:val="19"/>
        </w:rPr>
        <w:t> </w:t>
      </w:r>
      <w:r>
        <w:rPr>
          <w:color w:val="231F20"/>
          <w:w w:val="105"/>
          <w:sz w:val="19"/>
        </w:rPr>
        <w:t>lunga</w:t>
      </w:r>
      <w:r>
        <w:rPr>
          <w:color w:val="231F20"/>
          <w:spacing w:val="-42"/>
          <w:w w:val="105"/>
          <w:sz w:val="19"/>
        </w:rPr>
        <w:t> </w:t>
      </w:r>
      <w:r>
        <w:rPr>
          <w:color w:val="231F20"/>
          <w:w w:val="105"/>
          <w:sz w:val="19"/>
        </w:rPr>
        <w:t>esperienza</w:t>
      </w:r>
      <w:r>
        <w:rPr>
          <w:color w:val="231F20"/>
          <w:spacing w:val="-42"/>
          <w:w w:val="105"/>
          <w:sz w:val="19"/>
        </w:rPr>
        <w:t> </w:t>
      </w:r>
      <w:r>
        <w:rPr>
          <w:color w:val="231F20"/>
          <w:w w:val="105"/>
          <w:sz w:val="19"/>
        </w:rPr>
        <w:t>nella</w:t>
      </w:r>
      <w:r>
        <w:rPr>
          <w:color w:val="231F20"/>
          <w:spacing w:val="-42"/>
          <w:w w:val="105"/>
          <w:sz w:val="19"/>
        </w:rPr>
        <w:t> </w:t>
      </w:r>
      <w:r>
        <w:rPr>
          <w:color w:val="231F20"/>
          <w:w w:val="105"/>
          <w:sz w:val="19"/>
        </w:rPr>
        <w:t>partecipazione</w:t>
      </w:r>
      <w:r>
        <w:rPr>
          <w:color w:val="231F20"/>
          <w:spacing w:val="-42"/>
          <w:w w:val="105"/>
          <w:sz w:val="19"/>
        </w:rPr>
        <w:t> </w:t>
      </w:r>
      <w:r>
        <w:rPr>
          <w:color w:val="231F20"/>
          <w:w w:val="105"/>
          <w:sz w:val="19"/>
        </w:rPr>
        <w:t>delle</w:t>
      </w:r>
      <w:r>
        <w:rPr>
          <w:color w:val="231F20"/>
          <w:spacing w:val="-42"/>
          <w:w w:val="105"/>
          <w:sz w:val="19"/>
        </w:rPr>
        <w:t> </w:t>
      </w:r>
      <w:r>
        <w:rPr>
          <w:color w:val="231F20"/>
          <w:w w:val="105"/>
          <w:sz w:val="19"/>
        </w:rPr>
        <w:t>forze armate</w:t>
      </w:r>
      <w:r>
        <w:rPr>
          <w:color w:val="231F20"/>
          <w:spacing w:val="-17"/>
          <w:w w:val="105"/>
          <w:sz w:val="19"/>
        </w:rPr>
        <w:t> </w:t>
      </w:r>
      <w:r>
        <w:rPr>
          <w:color w:val="231F20"/>
          <w:w w:val="105"/>
          <w:sz w:val="19"/>
        </w:rPr>
        <w:t>nella</w:t>
      </w:r>
      <w:r>
        <w:rPr>
          <w:color w:val="231F20"/>
          <w:spacing w:val="-17"/>
          <w:w w:val="105"/>
          <w:sz w:val="19"/>
        </w:rPr>
        <w:t> </w:t>
      </w:r>
      <w:r>
        <w:rPr>
          <w:color w:val="231F20"/>
          <w:w w:val="105"/>
          <w:sz w:val="19"/>
        </w:rPr>
        <w:t>lotta</w:t>
      </w:r>
      <w:r>
        <w:rPr>
          <w:color w:val="231F20"/>
          <w:spacing w:val="-17"/>
          <w:w w:val="105"/>
          <w:sz w:val="19"/>
        </w:rPr>
        <w:t> </w:t>
      </w:r>
      <w:r>
        <w:rPr>
          <w:color w:val="231F20"/>
          <w:w w:val="105"/>
          <w:sz w:val="19"/>
        </w:rPr>
        <w:t>contro</w:t>
      </w:r>
      <w:r>
        <w:rPr>
          <w:color w:val="231F20"/>
          <w:spacing w:val="-17"/>
          <w:w w:val="105"/>
          <w:sz w:val="19"/>
        </w:rPr>
        <w:t> </w:t>
      </w:r>
      <w:r>
        <w:rPr>
          <w:color w:val="231F20"/>
          <w:w w:val="105"/>
          <w:sz w:val="19"/>
        </w:rPr>
        <w:t>le</w:t>
      </w:r>
      <w:r>
        <w:rPr>
          <w:color w:val="231F20"/>
          <w:spacing w:val="-17"/>
          <w:w w:val="105"/>
          <w:sz w:val="19"/>
        </w:rPr>
        <w:t> </w:t>
      </w:r>
      <w:r>
        <w:rPr>
          <w:color w:val="231F20"/>
          <w:w w:val="105"/>
          <w:sz w:val="19"/>
        </w:rPr>
        <w:t>droghe,</w:t>
      </w:r>
      <w:r>
        <w:rPr>
          <w:color w:val="231F20"/>
          <w:spacing w:val="-17"/>
          <w:w w:val="105"/>
          <w:sz w:val="19"/>
        </w:rPr>
        <w:t> </w:t>
      </w:r>
      <w:r>
        <w:rPr>
          <w:color w:val="231F20"/>
          <w:w w:val="105"/>
          <w:sz w:val="19"/>
        </w:rPr>
        <w:t>la</w:t>
      </w:r>
      <w:r>
        <w:rPr>
          <w:color w:val="231F20"/>
          <w:spacing w:val="-17"/>
          <w:w w:val="105"/>
          <w:sz w:val="19"/>
        </w:rPr>
        <w:t> </w:t>
      </w:r>
      <w:r>
        <w:rPr>
          <w:color w:val="231F20"/>
          <w:w w:val="105"/>
          <w:sz w:val="19"/>
        </w:rPr>
        <w:t>partecipazione</w:t>
      </w:r>
      <w:r>
        <w:rPr>
          <w:color w:val="231F20"/>
          <w:spacing w:val="-17"/>
          <w:w w:val="105"/>
          <w:sz w:val="19"/>
        </w:rPr>
        <w:t> </w:t>
      </w:r>
      <w:r>
        <w:rPr>
          <w:color w:val="231F20"/>
          <w:w w:val="105"/>
          <w:sz w:val="19"/>
        </w:rPr>
        <w:t>dei</w:t>
      </w:r>
      <w:r>
        <w:rPr>
          <w:color w:val="231F20"/>
          <w:spacing w:val="-17"/>
          <w:w w:val="105"/>
          <w:sz w:val="19"/>
        </w:rPr>
        <w:t> </w:t>
      </w:r>
      <w:r>
        <w:rPr>
          <w:color w:val="231F20"/>
          <w:w w:val="105"/>
          <w:sz w:val="19"/>
        </w:rPr>
        <w:t>militari nella</w:t>
      </w:r>
      <w:r>
        <w:rPr>
          <w:color w:val="231F20"/>
          <w:spacing w:val="-13"/>
          <w:w w:val="105"/>
          <w:sz w:val="19"/>
        </w:rPr>
        <w:t> </w:t>
      </w:r>
      <w:r>
        <w:rPr>
          <w:color w:val="231F20"/>
          <w:w w:val="105"/>
          <w:sz w:val="19"/>
        </w:rPr>
        <w:t>lotta</w:t>
      </w:r>
      <w:r>
        <w:rPr>
          <w:color w:val="231F20"/>
          <w:spacing w:val="-13"/>
          <w:w w:val="105"/>
          <w:sz w:val="19"/>
        </w:rPr>
        <w:t> </w:t>
      </w:r>
      <w:r>
        <w:rPr>
          <w:color w:val="231F20"/>
          <w:w w:val="105"/>
          <w:sz w:val="19"/>
        </w:rPr>
        <w:t>contro</w:t>
      </w:r>
      <w:r>
        <w:rPr>
          <w:color w:val="231F20"/>
          <w:spacing w:val="-13"/>
          <w:w w:val="105"/>
          <w:sz w:val="19"/>
        </w:rPr>
        <w:t> </w:t>
      </w:r>
      <w:r>
        <w:rPr>
          <w:color w:val="231F20"/>
          <w:w w:val="105"/>
          <w:sz w:val="19"/>
        </w:rPr>
        <w:t>le</w:t>
      </w:r>
      <w:r>
        <w:rPr>
          <w:color w:val="231F20"/>
          <w:spacing w:val="-13"/>
          <w:w w:val="105"/>
          <w:sz w:val="19"/>
        </w:rPr>
        <w:t> </w:t>
      </w:r>
      <w:r>
        <w:rPr>
          <w:color w:val="231F20"/>
          <w:w w:val="105"/>
          <w:sz w:val="19"/>
        </w:rPr>
        <w:t>droghe</w:t>
      </w:r>
      <w:r>
        <w:rPr>
          <w:color w:val="231F20"/>
          <w:spacing w:val="-13"/>
          <w:w w:val="105"/>
          <w:sz w:val="19"/>
        </w:rPr>
        <w:t> </w:t>
      </w:r>
      <w:r>
        <w:rPr>
          <w:color w:val="231F20"/>
          <w:w w:val="105"/>
          <w:sz w:val="19"/>
        </w:rPr>
        <w:t>data</w:t>
      </w:r>
      <w:r>
        <w:rPr>
          <w:color w:val="231F20"/>
          <w:spacing w:val="-13"/>
          <w:w w:val="105"/>
          <w:sz w:val="19"/>
        </w:rPr>
        <w:t> </w:t>
      </w:r>
      <w:r>
        <w:rPr>
          <w:color w:val="231F20"/>
          <w:w w:val="105"/>
          <w:sz w:val="19"/>
        </w:rPr>
        <w:t>da</w:t>
      </w:r>
      <w:r>
        <w:rPr>
          <w:color w:val="231F20"/>
          <w:spacing w:val="-13"/>
          <w:w w:val="105"/>
          <w:sz w:val="19"/>
        </w:rPr>
        <w:t> </w:t>
      </w:r>
      <w:r>
        <w:rPr>
          <w:color w:val="231F20"/>
          <w:w w:val="105"/>
          <w:sz w:val="19"/>
        </w:rPr>
        <w:t>almeno</w:t>
      </w:r>
      <w:r>
        <w:rPr>
          <w:color w:val="231F20"/>
          <w:spacing w:val="-13"/>
          <w:w w:val="105"/>
          <w:sz w:val="19"/>
        </w:rPr>
        <w:t> </w:t>
      </w:r>
      <w:r>
        <w:rPr>
          <w:color w:val="231F20"/>
          <w:w w:val="105"/>
          <w:sz w:val="19"/>
        </w:rPr>
        <w:t>la</w:t>
      </w:r>
      <w:r>
        <w:rPr>
          <w:color w:val="231F20"/>
          <w:spacing w:val="-13"/>
          <w:w w:val="105"/>
          <w:sz w:val="19"/>
        </w:rPr>
        <w:t> </w:t>
      </w:r>
      <w:r>
        <w:rPr>
          <w:color w:val="231F20"/>
          <w:w w:val="105"/>
          <w:sz w:val="19"/>
        </w:rPr>
        <w:t>decade</w:t>
      </w:r>
      <w:r>
        <w:rPr>
          <w:color w:val="231F20"/>
          <w:spacing w:val="-13"/>
          <w:w w:val="105"/>
          <w:sz w:val="19"/>
        </w:rPr>
        <w:t> </w:t>
      </w:r>
      <w:r>
        <w:rPr>
          <w:color w:val="231F20"/>
          <w:w w:val="105"/>
          <w:sz w:val="19"/>
        </w:rPr>
        <w:t>degli</w:t>
      </w:r>
      <w:r>
        <w:rPr>
          <w:color w:val="231F20"/>
          <w:spacing w:val="-13"/>
          <w:w w:val="105"/>
          <w:sz w:val="19"/>
        </w:rPr>
        <w:t> </w:t>
      </w:r>
      <w:r>
        <w:rPr>
          <w:color w:val="231F20"/>
          <w:w w:val="105"/>
          <w:sz w:val="19"/>
        </w:rPr>
        <w:t>anni</w:t>
      </w:r>
    </w:p>
    <w:p>
      <w:pPr>
        <w:pStyle w:val="BodyText"/>
        <w:spacing w:before="6"/>
        <w:rPr>
          <w:sz w:val="22"/>
        </w:rPr>
      </w:pPr>
      <w:r>
        <w:rPr/>
        <w:pict>
          <v:line style="position:absolute;mso-position-horizontal-relative:page;mso-position-vertical-relative:paragraph;z-index:9544;mso-wrap-distance-left:0;mso-wrap-distance-right:0" from="65.196899pt,15.709403pt" to="178.582899pt,15.709403pt" stroked="true" strokeweight=".3pt" strokecolor="#231f20">
            <w10:wrap type="topAndBottom"/>
          </v:line>
        </w:pict>
      </w:r>
    </w:p>
    <w:p>
      <w:pPr>
        <w:spacing w:line="204" w:lineRule="exact" w:before="9"/>
        <w:ind w:left="103" w:right="115" w:firstLine="0"/>
        <w:jc w:val="both"/>
        <w:rPr>
          <w:rFonts w:ascii="Calibri" w:hAnsi="Calibri"/>
          <w:sz w:val="17"/>
        </w:rPr>
      </w:pPr>
      <w:r>
        <w:rPr>
          <w:rFonts w:ascii="Calibri" w:hAnsi="Calibri"/>
          <w:color w:val="231F20"/>
          <w:position w:val="6"/>
          <w:sz w:val="10"/>
        </w:rPr>
        <w:t>18 </w:t>
      </w:r>
      <w:r>
        <w:rPr>
          <w:rFonts w:ascii="Calibri" w:hAnsi="Calibri"/>
          <w:color w:val="231F20"/>
          <w:sz w:val="17"/>
        </w:rPr>
        <w:t>Cámara de Diputados del H. Congreso de la Unión, </w:t>
      </w:r>
      <w:r>
        <w:rPr>
          <w:rFonts w:ascii="Calibri" w:hAnsi="Calibri"/>
          <w:i/>
          <w:color w:val="231F20"/>
          <w:sz w:val="17"/>
        </w:rPr>
        <w:t>Ley Federal Contra la Delincuencia Organizada</w:t>
      </w:r>
      <w:r>
        <w:rPr>
          <w:rFonts w:ascii="Calibri" w:hAnsi="Calibri"/>
          <w:color w:val="231F20"/>
          <w:sz w:val="17"/>
        </w:rPr>
        <w:t>, 14 de marzo de 2014, consultato in data 1 ottobre di 2015, disponibile in: http://www.diputados. gob.mx/LeyesBiblio/pdf/101.pdf.</w:t>
      </w:r>
    </w:p>
    <w:p>
      <w:pPr>
        <w:pStyle w:val="BodyText"/>
        <w:rPr>
          <w:rFonts w:ascii="Calibri"/>
          <w:sz w:val="20"/>
        </w:rPr>
      </w:pPr>
    </w:p>
    <w:p>
      <w:pPr>
        <w:pStyle w:val="BodyText"/>
        <w:spacing w:before="1"/>
        <w:rPr>
          <w:rFonts w:ascii="Calibri"/>
          <w:sz w:val="28"/>
        </w:rPr>
      </w:pPr>
    </w:p>
    <w:p>
      <w:pPr>
        <w:tabs>
          <w:tab w:pos="1317" w:val="left" w:leader="none"/>
        </w:tabs>
        <w:spacing w:before="69"/>
        <w:ind w:left="267" w:right="0" w:firstLine="0"/>
        <w:jc w:val="left"/>
        <w:rPr>
          <w:rFonts w:ascii="Calibri" w:hAnsi="Calibri"/>
          <w:sz w:val="16"/>
        </w:rPr>
      </w:pPr>
      <w:r>
        <w:rPr/>
        <w:pict>
          <v:group style="position:absolute;margin-left:98.079102pt;margin-top:-3.308812pt;width:20.4pt;height:43pt;mso-position-horizontal-relative:page;mso-position-vertical-relative:paragraph;z-index:-165832" coordorigin="1962,-66" coordsize="408,860">
            <v:line style="position:absolute" from="2211,73" to="2211,789" stroked="true" strokeweight=".35pt" strokecolor="#231f20"/>
            <v:shape style="position:absolute;left:2179;top:-13;width:190;height:445" type="#_x0000_t75" stroked="false">
              <v:imagedata r:id="rId34" o:title=""/>
            </v:shape>
            <v:shape style="position:absolute;left:1962;top:-66;width:250;height:502" type="#_x0000_t75" stroked="false">
              <v:imagedata r:id="rId35" o:title=""/>
            </v:shape>
            <w10:wrap type="none"/>
          </v:group>
        </w:pict>
      </w:r>
      <w:r>
        <w:rPr>
          <w:rFonts w:ascii="Trebuchet MS" w:hAnsi="Trebuchet MS"/>
          <w:color w:val="414042"/>
          <w:w w:val="105"/>
          <w:position w:val="-4"/>
          <w:sz w:val="20"/>
        </w:rPr>
        <w:t>28</w:t>
        <w:tab/>
      </w:r>
      <w:r>
        <w:rPr>
          <w:rFonts w:ascii="Calibri" w:hAnsi="Calibri"/>
          <w:color w:val="6D6E71"/>
          <w:w w:val="105"/>
          <w:sz w:val="16"/>
        </w:rPr>
        <w:t>Jorge</w:t>
      </w:r>
      <w:r>
        <w:rPr>
          <w:rFonts w:ascii="Calibri" w:hAnsi="Calibri"/>
          <w:color w:val="6D6E71"/>
          <w:spacing w:val="-25"/>
          <w:w w:val="105"/>
          <w:sz w:val="16"/>
        </w:rPr>
        <w:t> </w:t>
      </w:r>
      <w:r>
        <w:rPr>
          <w:rFonts w:ascii="Calibri" w:hAnsi="Calibri"/>
          <w:color w:val="6D6E71"/>
          <w:w w:val="105"/>
          <w:sz w:val="16"/>
        </w:rPr>
        <w:t>Olvera</w:t>
      </w:r>
      <w:r>
        <w:rPr>
          <w:rFonts w:ascii="Calibri" w:hAnsi="Calibri"/>
          <w:color w:val="6D6E71"/>
          <w:spacing w:val="-25"/>
          <w:w w:val="105"/>
          <w:sz w:val="16"/>
        </w:rPr>
        <w:t> </w:t>
      </w:r>
      <w:r>
        <w:rPr>
          <w:rFonts w:ascii="Calibri" w:hAnsi="Calibri"/>
          <w:color w:val="6D6E71"/>
          <w:w w:val="105"/>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597"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578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CAMBIAMENTO</w:t>
      </w:r>
      <w:r>
        <w:rPr>
          <w:rFonts w:ascii="Lucida Sans Unicode" w:hAnsi="Lucida Sans Unicode"/>
          <w:color w:val="6D6E71"/>
          <w:spacing w:val="-25"/>
          <w:w w:val="95"/>
          <w:sz w:val="14"/>
        </w:rPr>
        <w:t> </w:t>
      </w:r>
      <w:r>
        <w:rPr>
          <w:rFonts w:ascii="Lucida Sans Unicode" w:hAnsi="Lucida Sans Unicode"/>
          <w:color w:val="6D6E71"/>
          <w:w w:val="95"/>
          <w:sz w:val="14"/>
        </w:rPr>
        <w:t>DI</w:t>
      </w:r>
      <w:r>
        <w:rPr>
          <w:rFonts w:ascii="Lucida Sans Unicode" w:hAnsi="Lucida Sans Unicode"/>
          <w:color w:val="6D6E71"/>
          <w:spacing w:val="-25"/>
          <w:w w:val="95"/>
          <w:sz w:val="14"/>
        </w:rPr>
        <w:t> </w:t>
      </w:r>
      <w:r>
        <w:rPr>
          <w:rFonts w:ascii="Lucida Sans Unicode" w:hAnsi="Lucida Sans Unicode"/>
          <w:color w:val="6D6E71"/>
          <w:w w:val="95"/>
          <w:sz w:val="14"/>
        </w:rPr>
        <w:t>PARADIGMA</w:t>
      </w:r>
      <w:r>
        <w:rPr>
          <w:rFonts w:ascii="Lucida Sans Unicode" w:hAnsi="Lucida Sans Unicode"/>
          <w:color w:val="6D6E71"/>
          <w:spacing w:val="-25"/>
          <w:w w:val="95"/>
          <w:sz w:val="14"/>
        </w:rPr>
        <w:t> </w:t>
      </w:r>
      <w:r>
        <w:rPr>
          <w:rFonts w:ascii="Lucida Sans Unicode" w:hAnsi="Lucida Sans Unicode"/>
          <w:color w:val="6D6E71"/>
          <w:w w:val="95"/>
          <w:sz w:val="14"/>
        </w:rPr>
        <w:t>GIURIDICO:</w:t>
      </w:r>
      <w:r>
        <w:rPr>
          <w:rFonts w:ascii="Lucida Sans Unicode" w:hAnsi="Lucida Sans Unicode"/>
          <w:color w:val="6D6E71"/>
          <w:spacing w:val="-25"/>
          <w:w w:val="95"/>
          <w:sz w:val="14"/>
        </w:rPr>
        <w:t> </w:t>
      </w:r>
      <w:r>
        <w:rPr>
          <w:rFonts w:ascii="Lucida Sans Unicode" w:hAnsi="Lucida Sans Unicode"/>
          <w:color w:val="6D6E71"/>
          <w:spacing w:val="-3"/>
          <w:w w:val="95"/>
          <w:sz w:val="14"/>
        </w:rPr>
        <w:t>L’11–S</w:t>
      </w:r>
      <w:r>
        <w:rPr>
          <w:rFonts w:ascii="Lucida Sans Unicode" w:hAnsi="Lucida Sans Unicode"/>
          <w:color w:val="6D6E71"/>
          <w:spacing w:val="-25"/>
          <w:w w:val="95"/>
          <w:sz w:val="14"/>
        </w:rPr>
        <w:t> </w:t>
      </w:r>
      <w:r>
        <w:rPr>
          <w:rFonts w:ascii="Lucida Sans Unicode" w:hAnsi="Lucida Sans Unicode"/>
          <w:color w:val="6D6E71"/>
          <w:w w:val="95"/>
          <w:sz w:val="14"/>
        </w:rPr>
        <w:t>E</w:t>
      </w:r>
      <w:r>
        <w:rPr>
          <w:rFonts w:ascii="Lucida Sans Unicode" w:hAnsi="Lucida Sans Unicode"/>
          <w:color w:val="6D6E71"/>
          <w:spacing w:val="-25"/>
          <w:w w:val="95"/>
          <w:sz w:val="14"/>
        </w:rPr>
        <w:t> </w:t>
      </w:r>
      <w:r>
        <w:rPr>
          <w:rFonts w:ascii="Lucida Sans Unicode" w:hAnsi="Lucida Sans Unicode"/>
          <w:color w:val="6D6E71"/>
          <w:w w:val="95"/>
          <w:sz w:val="14"/>
        </w:rPr>
        <w:t>LA</w:t>
      </w:r>
      <w:r>
        <w:rPr>
          <w:rFonts w:ascii="Lucida Sans Unicode" w:hAnsi="Lucida Sans Unicode"/>
          <w:color w:val="6D6E71"/>
          <w:spacing w:val="-25"/>
          <w:w w:val="95"/>
          <w:sz w:val="14"/>
        </w:rPr>
        <w:t> </w:t>
      </w:r>
      <w:r>
        <w:rPr>
          <w:rFonts w:ascii="Lucida Sans Unicode" w:hAnsi="Lucida Sans Unicode"/>
          <w:color w:val="6D6E71"/>
          <w:w w:val="95"/>
          <w:sz w:val="14"/>
        </w:rPr>
        <w:t>CRIMINALITÀ</w:t>
      </w:r>
      <w:r>
        <w:rPr>
          <w:rFonts w:ascii="Lucida Sans Unicode" w:hAnsi="Lucida Sans Unicode"/>
          <w:color w:val="6D6E71"/>
          <w:spacing w:val="-25"/>
          <w:w w:val="95"/>
          <w:sz w:val="14"/>
        </w:rPr>
        <w:t> </w:t>
      </w:r>
      <w:r>
        <w:rPr>
          <w:rFonts w:ascii="Lucida Sans Unicode" w:hAnsi="Lucida Sans Unicode"/>
          <w:color w:val="6D6E71"/>
          <w:w w:val="95"/>
          <w:sz w:val="14"/>
        </w:rPr>
        <w:t>ORGANIZZATA</w:t>
      </w:r>
      <w:r>
        <w:rPr>
          <w:rFonts w:ascii="Lucida Sans Unicode" w:hAnsi="Lucida Sans Unicode"/>
          <w:color w:val="6D6E71"/>
          <w:spacing w:val="-25"/>
          <w:w w:val="95"/>
          <w:sz w:val="14"/>
        </w:rPr>
        <w:t> </w:t>
      </w:r>
      <w:r>
        <w:rPr>
          <w:rFonts w:ascii="Lucida Sans Unicode" w:hAnsi="Lucida Sans Unicode"/>
          <w:color w:val="6D6E71"/>
          <w:w w:val="95"/>
          <w:sz w:val="14"/>
        </w:rPr>
        <w:t>IN</w:t>
      </w:r>
      <w:r>
        <w:rPr>
          <w:rFonts w:ascii="Lucida Sans Unicode" w:hAnsi="Lucida Sans Unicode"/>
          <w:color w:val="6D6E71"/>
          <w:spacing w:val="-25"/>
          <w:w w:val="95"/>
          <w:sz w:val="14"/>
        </w:rPr>
        <w:t> </w:t>
      </w:r>
      <w:r>
        <w:rPr>
          <w:rFonts w:ascii="Lucida Sans Unicode" w:hAnsi="Lucida Sans Unicode"/>
          <w:color w:val="6D6E71"/>
          <w:w w:val="95"/>
          <w:sz w:val="14"/>
        </w:rPr>
        <w:t>MESSICO</w:t>
      </w:r>
      <w:r>
        <w:rPr>
          <w:rFonts w:ascii="Trebuchet MS" w:hAnsi="Trebuchet MS"/>
          <w:color w:val="414042"/>
          <w:w w:val="95"/>
          <w:position w:val="-3"/>
          <w:sz w:val="20"/>
        </w:rPr>
        <w:tab/>
        <w:t>29</w:t>
      </w:r>
    </w:p>
    <w:p>
      <w:pPr>
        <w:pStyle w:val="BodyText"/>
        <w:rPr>
          <w:rFonts w:ascii="Trebuchet MS"/>
          <w:sz w:val="20"/>
        </w:rPr>
      </w:pPr>
    </w:p>
    <w:p>
      <w:pPr>
        <w:pStyle w:val="BodyText"/>
        <w:rPr>
          <w:rFonts w:ascii="Trebuchet MS"/>
          <w:sz w:val="20"/>
        </w:rPr>
      </w:pPr>
    </w:p>
    <w:p>
      <w:pPr>
        <w:spacing w:line="220" w:lineRule="exact" w:before="171"/>
        <w:ind w:left="1534" w:right="118" w:firstLine="0"/>
        <w:jc w:val="both"/>
        <w:rPr>
          <w:sz w:val="19"/>
        </w:rPr>
      </w:pPr>
      <w:r>
        <w:rPr>
          <w:color w:val="231F20"/>
          <w:sz w:val="19"/>
        </w:rPr>
        <w:t>trenta, ma diventò specialmente importante alla fine degli anni settanta.</w:t>
      </w:r>
      <w:r>
        <w:rPr>
          <w:color w:val="231F20"/>
          <w:spacing w:val="-8"/>
          <w:sz w:val="19"/>
        </w:rPr>
        <w:t> </w:t>
      </w:r>
      <w:r>
        <w:rPr>
          <w:color w:val="231F20"/>
          <w:sz w:val="19"/>
        </w:rPr>
        <w:t>La</w:t>
      </w:r>
      <w:r>
        <w:rPr>
          <w:color w:val="231F20"/>
          <w:spacing w:val="-8"/>
          <w:sz w:val="19"/>
        </w:rPr>
        <w:t> </w:t>
      </w:r>
      <w:r>
        <w:rPr>
          <w:color w:val="231F20"/>
          <w:sz w:val="19"/>
        </w:rPr>
        <w:t>militarizzazione</w:t>
      </w:r>
      <w:r>
        <w:rPr>
          <w:color w:val="231F20"/>
          <w:spacing w:val="-8"/>
          <w:sz w:val="19"/>
        </w:rPr>
        <w:t> </w:t>
      </w:r>
      <w:r>
        <w:rPr>
          <w:color w:val="231F20"/>
          <w:sz w:val="19"/>
        </w:rPr>
        <w:t>della</w:t>
      </w:r>
      <w:r>
        <w:rPr>
          <w:color w:val="231F20"/>
          <w:spacing w:val="-8"/>
          <w:sz w:val="19"/>
        </w:rPr>
        <w:t> </w:t>
      </w:r>
      <w:r>
        <w:rPr>
          <w:color w:val="231F20"/>
          <w:sz w:val="19"/>
        </w:rPr>
        <w:t>lotta</w:t>
      </w:r>
      <w:r>
        <w:rPr>
          <w:color w:val="231F20"/>
          <w:spacing w:val="-8"/>
          <w:sz w:val="19"/>
        </w:rPr>
        <w:t> </w:t>
      </w:r>
      <w:r>
        <w:rPr>
          <w:color w:val="231F20"/>
          <w:sz w:val="19"/>
        </w:rPr>
        <w:t>alle</w:t>
      </w:r>
      <w:r>
        <w:rPr>
          <w:color w:val="231F20"/>
          <w:spacing w:val="-8"/>
          <w:sz w:val="19"/>
        </w:rPr>
        <w:t> </w:t>
      </w:r>
      <w:r>
        <w:rPr>
          <w:color w:val="231F20"/>
          <w:sz w:val="19"/>
        </w:rPr>
        <w:t>droghe</w:t>
      </w:r>
      <w:r>
        <w:rPr>
          <w:color w:val="231F20"/>
          <w:spacing w:val="-8"/>
          <w:sz w:val="19"/>
        </w:rPr>
        <w:t> </w:t>
      </w:r>
      <w:r>
        <w:rPr>
          <w:color w:val="231F20"/>
          <w:sz w:val="19"/>
        </w:rPr>
        <w:t>ricevette</w:t>
      </w:r>
      <w:r>
        <w:rPr>
          <w:color w:val="231F20"/>
          <w:spacing w:val="-8"/>
          <w:sz w:val="19"/>
        </w:rPr>
        <w:t> </w:t>
      </w:r>
      <w:r>
        <w:rPr>
          <w:color w:val="231F20"/>
          <w:sz w:val="19"/>
        </w:rPr>
        <w:t>nuovo impulso nella decade succesiva, quando il presidente Miguel de la Madrid la dichiarò un assunto di Sicurezza Nazionale e con</w:t>
      </w:r>
      <w:r>
        <w:rPr>
          <w:color w:val="231F20"/>
          <w:spacing w:val="-22"/>
          <w:sz w:val="19"/>
        </w:rPr>
        <w:t> </w:t>
      </w:r>
      <w:r>
        <w:rPr>
          <w:color w:val="231F20"/>
          <w:sz w:val="19"/>
        </w:rPr>
        <w:t>questo da due decadi si è esasperata la militarizzazione delle istituzioni </w:t>
      </w:r>
      <w:r>
        <w:rPr>
          <w:color w:val="231F20"/>
          <w:spacing w:val="2"/>
          <w:sz w:val="19"/>
        </w:rPr>
        <w:t>responsabili della lotta </w:t>
      </w:r>
      <w:r>
        <w:rPr>
          <w:color w:val="231F20"/>
          <w:sz w:val="19"/>
        </w:rPr>
        <w:t>al </w:t>
      </w:r>
      <w:r>
        <w:rPr>
          <w:color w:val="231F20"/>
          <w:spacing w:val="2"/>
          <w:sz w:val="19"/>
        </w:rPr>
        <w:t>narcotraffico, tutto </w:t>
      </w:r>
      <w:r>
        <w:rPr>
          <w:color w:val="231F20"/>
          <w:sz w:val="19"/>
        </w:rPr>
        <w:t>ciò ad </w:t>
      </w:r>
      <w:r>
        <w:rPr>
          <w:color w:val="231F20"/>
          <w:spacing w:val="2"/>
          <w:sz w:val="19"/>
        </w:rPr>
        <w:t>istanze </w:t>
      </w:r>
      <w:r>
        <w:rPr>
          <w:color w:val="231F20"/>
          <w:sz w:val="19"/>
        </w:rPr>
        <w:t>e pressioni da parte degli Stati</w:t>
      </w:r>
      <w:r>
        <w:rPr>
          <w:color w:val="231F20"/>
          <w:spacing w:val="11"/>
          <w:sz w:val="19"/>
        </w:rPr>
        <w:t> </w:t>
      </w:r>
      <w:r>
        <w:rPr>
          <w:color w:val="231F20"/>
          <w:sz w:val="19"/>
        </w:rPr>
        <w:t>Uniti</w:t>
      </w:r>
      <w:r>
        <w:rPr>
          <w:color w:val="231F20"/>
          <w:position w:val="6"/>
          <w:sz w:val="11"/>
        </w:rPr>
        <w:t>19</w:t>
      </w:r>
      <w:r>
        <w:rPr>
          <w:color w:val="231F20"/>
          <w:sz w:val="19"/>
        </w:rPr>
        <w:t>.</w:t>
      </w:r>
    </w:p>
    <w:p>
      <w:pPr>
        <w:pStyle w:val="BodyText"/>
        <w:spacing w:before="11"/>
        <w:rPr>
          <w:sz w:val="23"/>
        </w:rPr>
      </w:pPr>
    </w:p>
    <w:p>
      <w:pPr>
        <w:pStyle w:val="BodyText"/>
        <w:spacing w:line="247" w:lineRule="auto"/>
        <w:ind w:left="117" w:right="113"/>
        <w:jc w:val="both"/>
      </w:pPr>
      <w:r>
        <w:rPr>
          <w:color w:val="231F20"/>
        </w:rPr>
        <w:t>Nel </w:t>
      </w:r>
      <w:r>
        <w:rPr>
          <w:color w:val="231F20"/>
          <w:spacing w:val="2"/>
        </w:rPr>
        <w:t>1998, Ernesto Zedillo instaurò </w:t>
      </w:r>
      <w:r>
        <w:rPr>
          <w:color w:val="231F20"/>
        </w:rPr>
        <w:t>la </w:t>
      </w:r>
      <w:r>
        <w:rPr>
          <w:color w:val="231F20"/>
          <w:spacing w:val="2"/>
        </w:rPr>
        <w:t>Polizia Federale Preventiva </w:t>
      </w:r>
      <w:r>
        <w:rPr>
          <w:color w:val="231F20"/>
        </w:rPr>
        <w:t>le </w:t>
      </w:r>
      <w:r>
        <w:rPr>
          <w:color w:val="231F20"/>
          <w:spacing w:val="3"/>
        </w:rPr>
        <w:t>cui </w:t>
      </w:r>
      <w:r>
        <w:rPr>
          <w:color w:val="231F20"/>
        </w:rPr>
        <w:t>principali</w:t>
      </w:r>
      <w:r>
        <w:rPr>
          <w:color w:val="231F20"/>
          <w:spacing w:val="-12"/>
        </w:rPr>
        <w:t> </w:t>
      </w:r>
      <w:r>
        <w:rPr>
          <w:color w:val="231F20"/>
        </w:rPr>
        <w:t>attribuzioni</w:t>
      </w:r>
      <w:r>
        <w:rPr>
          <w:color w:val="231F20"/>
          <w:spacing w:val="-12"/>
        </w:rPr>
        <w:t> </w:t>
      </w:r>
      <w:r>
        <w:rPr>
          <w:color w:val="231F20"/>
        </w:rPr>
        <w:t>sono:</w:t>
      </w:r>
      <w:r>
        <w:rPr>
          <w:color w:val="231F20"/>
          <w:spacing w:val="-12"/>
        </w:rPr>
        <w:t> </w:t>
      </w:r>
      <w:r>
        <w:rPr>
          <w:color w:val="231F20"/>
        </w:rPr>
        <w:t>1)</w:t>
      </w:r>
      <w:r>
        <w:rPr>
          <w:color w:val="231F20"/>
          <w:spacing w:val="-12"/>
        </w:rPr>
        <w:t> </w:t>
      </w:r>
      <w:r>
        <w:rPr>
          <w:color w:val="231F20"/>
        </w:rPr>
        <w:t>combattere</w:t>
      </w:r>
      <w:r>
        <w:rPr>
          <w:color w:val="231F20"/>
          <w:spacing w:val="-12"/>
        </w:rPr>
        <w:t> </w:t>
      </w:r>
      <w:r>
        <w:rPr>
          <w:color w:val="231F20"/>
        </w:rPr>
        <w:t>la</w:t>
      </w:r>
      <w:r>
        <w:rPr>
          <w:color w:val="231F20"/>
          <w:spacing w:val="-12"/>
        </w:rPr>
        <w:t> </w:t>
      </w:r>
      <w:r>
        <w:rPr>
          <w:color w:val="231F20"/>
        </w:rPr>
        <w:t>criminalità</w:t>
      </w:r>
      <w:r>
        <w:rPr>
          <w:color w:val="231F20"/>
          <w:spacing w:val="-12"/>
        </w:rPr>
        <w:t> </w:t>
      </w:r>
      <w:r>
        <w:rPr>
          <w:color w:val="231F20"/>
        </w:rPr>
        <w:t>organizzata</w:t>
      </w:r>
      <w:r>
        <w:rPr>
          <w:color w:val="231F20"/>
          <w:spacing w:val="-12"/>
        </w:rPr>
        <w:t> </w:t>
      </w:r>
      <w:r>
        <w:rPr>
          <w:color w:val="231F20"/>
        </w:rPr>
        <w:t>ed</w:t>
      </w:r>
      <w:r>
        <w:rPr>
          <w:color w:val="231F20"/>
          <w:spacing w:val="-12"/>
        </w:rPr>
        <w:t> </w:t>
      </w:r>
      <w:r>
        <w:rPr>
          <w:color w:val="231F20"/>
        </w:rPr>
        <w:t>altre delitti che minacciano la sicurezza nazionale; 2) restaurare e mantenere l’ordine</w:t>
      </w:r>
      <w:r>
        <w:rPr>
          <w:color w:val="231F20"/>
          <w:spacing w:val="-28"/>
        </w:rPr>
        <w:t> </w:t>
      </w:r>
      <w:r>
        <w:rPr>
          <w:color w:val="231F20"/>
        </w:rPr>
        <w:t>pubblico;</w:t>
      </w:r>
      <w:r>
        <w:rPr>
          <w:color w:val="231F20"/>
          <w:spacing w:val="-28"/>
        </w:rPr>
        <w:t> </w:t>
      </w:r>
      <w:r>
        <w:rPr>
          <w:color w:val="231F20"/>
        </w:rPr>
        <w:t>3)</w:t>
      </w:r>
      <w:r>
        <w:rPr>
          <w:color w:val="231F20"/>
          <w:spacing w:val="-28"/>
        </w:rPr>
        <w:t> </w:t>
      </w:r>
      <w:r>
        <w:rPr>
          <w:color w:val="231F20"/>
        </w:rPr>
        <w:t>la</w:t>
      </w:r>
      <w:r>
        <w:rPr>
          <w:color w:val="231F20"/>
          <w:spacing w:val="-28"/>
        </w:rPr>
        <w:t> </w:t>
      </w:r>
      <w:r>
        <w:rPr>
          <w:color w:val="231F20"/>
        </w:rPr>
        <w:t>lotta</w:t>
      </w:r>
      <w:r>
        <w:rPr>
          <w:color w:val="231F20"/>
          <w:spacing w:val="-28"/>
        </w:rPr>
        <w:t> </w:t>
      </w:r>
      <w:r>
        <w:rPr>
          <w:color w:val="231F20"/>
        </w:rPr>
        <w:t>al</w:t>
      </w:r>
      <w:r>
        <w:rPr>
          <w:color w:val="231F20"/>
          <w:spacing w:val="-28"/>
        </w:rPr>
        <w:t> </w:t>
      </w:r>
      <w:r>
        <w:rPr>
          <w:color w:val="231F20"/>
        </w:rPr>
        <w:t>narcotraffico;</w:t>
      </w:r>
      <w:r>
        <w:rPr>
          <w:color w:val="231F20"/>
          <w:spacing w:val="-28"/>
        </w:rPr>
        <w:t> </w:t>
      </w:r>
      <w:r>
        <w:rPr>
          <w:color w:val="231F20"/>
        </w:rPr>
        <w:t>4)</w:t>
      </w:r>
      <w:r>
        <w:rPr>
          <w:color w:val="231F20"/>
          <w:spacing w:val="-28"/>
        </w:rPr>
        <w:t> </w:t>
      </w:r>
      <w:r>
        <w:rPr>
          <w:color w:val="231F20"/>
        </w:rPr>
        <w:t>riscattare</w:t>
      </w:r>
      <w:r>
        <w:rPr>
          <w:color w:val="231F20"/>
          <w:spacing w:val="-28"/>
        </w:rPr>
        <w:t> </w:t>
      </w:r>
      <w:r>
        <w:rPr>
          <w:color w:val="231F20"/>
        </w:rPr>
        <w:t>vittime</w:t>
      </w:r>
      <w:r>
        <w:rPr>
          <w:color w:val="231F20"/>
          <w:spacing w:val="-28"/>
        </w:rPr>
        <w:t> </w:t>
      </w:r>
      <w:r>
        <w:rPr>
          <w:color w:val="231F20"/>
        </w:rPr>
        <w:t>di</w:t>
      </w:r>
      <w:r>
        <w:rPr>
          <w:color w:val="231F20"/>
          <w:spacing w:val="-28"/>
        </w:rPr>
        <w:t> </w:t>
      </w:r>
      <w:r>
        <w:rPr>
          <w:color w:val="231F20"/>
        </w:rPr>
        <w:t>sequestro, ecc.</w:t>
      </w:r>
      <w:r>
        <w:rPr>
          <w:color w:val="231F20"/>
          <w:spacing w:val="-6"/>
        </w:rPr>
        <w:t> Tale </w:t>
      </w:r>
      <w:r>
        <w:rPr>
          <w:color w:val="231F20"/>
        </w:rPr>
        <w:t>tendenza</w:t>
      </w:r>
      <w:r>
        <w:rPr>
          <w:color w:val="231F20"/>
          <w:spacing w:val="-6"/>
        </w:rPr>
        <w:t> </w:t>
      </w:r>
      <w:r>
        <w:rPr>
          <w:color w:val="231F20"/>
        </w:rPr>
        <w:t>alla</w:t>
      </w:r>
      <w:r>
        <w:rPr>
          <w:color w:val="231F20"/>
          <w:spacing w:val="-6"/>
        </w:rPr>
        <w:t> </w:t>
      </w:r>
      <w:r>
        <w:rPr>
          <w:color w:val="231F20"/>
        </w:rPr>
        <w:t>militarizzazione</w:t>
      </w:r>
      <w:r>
        <w:rPr>
          <w:color w:val="231F20"/>
          <w:spacing w:val="-6"/>
        </w:rPr>
        <w:t> </w:t>
      </w:r>
      <w:r>
        <w:rPr>
          <w:color w:val="231F20"/>
        </w:rPr>
        <w:t>della</w:t>
      </w:r>
      <w:r>
        <w:rPr>
          <w:color w:val="231F20"/>
          <w:spacing w:val="-6"/>
        </w:rPr>
        <w:t> </w:t>
      </w:r>
      <w:r>
        <w:rPr>
          <w:color w:val="231F20"/>
        </w:rPr>
        <w:t>lotta</w:t>
      </w:r>
      <w:r>
        <w:rPr>
          <w:color w:val="231F20"/>
          <w:spacing w:val="-6"/>
        </w:rPr>
        <w:t> </w:t>
      </w:r>
      <w:r>
        <w:rPr>
          <w:color w:val="231F20"/>
        </w:rPr>
        <w:t>contro</w:t>
      </w:r>
      <w:r>
        <w:rPr>
          <w:color w:val="231F20"/>
          <w:spacing w:val="-6"/>
        </w:rPr>
        <w:t> </w:t>
      </w:r>
      <w:r>
        <w:rPr>
          <w:color w:val="231F20"/>
        </w:rPr>
        <w:t>il</w:t>
      </w:r>
      <w:r>
        <w:rPr>
          <w:color w:val="231F20"/>
          <w:spacing w:val="-6"/>
        </w:rPr>
        <w:t> </w:t>
      </w:r>
      <w:r>
        <w:rPr>
          <w:color w:val="231F20"/>
        </w:rPr>
        <w:t>narcotraffico</w:t>
      </w:r>
      <w:r>
        <w:rPr>
          <w:color w:val="231F20"/>
          <w:spacing w:val="-6"/>
        </w:rPr>
        <w:t> </w:t>
      </w:r>
      <w:r>
        <w:rPr>
          <w:color w:val="231F20"/>
        </w:rPr>
        <w:t>si</w:t>
      </w:r>
      <w:r>
        <w:rPr>
          <w:color w:val="231F20"/>
          <w:spacing w:val="-6"/>
        </w:rPr>
        <w:t> </w:t>
      </w:r>
      <w:r>
        <w:rPr>
          <w:color w:val="231F20"/>
        </w:rPr>
        <w:t>è accentuata durante il governo di Felipe Calderón. Forse le critiche più forti al suo periodo di governo furono dirette al modo in cui applicò la sicurezza nazionale e l’inserzione dell’Esercito e l’Armata nelle strade a partire da </w:t>
      </w:r>
      <w:r>
        <w:rPr>
          <w:color w:val="231F20"/>
          <w:spacing w:val="-3"/>
        </w:rPr>
        <w:t>dicembre</w:t>
      </w:r>
      <w:r>
        <w:rPr>
          <w:color w:val="231F20"/>
          <w:spacing w:val="-22"/>
        </w:rPr>
        <w:t> </w:t>
      </w:r>
      <w:r>
        <w:rPr>
          <w:color w:val="231F20"/>
        </w:rPr>
        <w:t>2006.</w:t>
      </w:r>
      <w:r>
        <w:rPr>
          <w:color w:val="231F20"/>
          <w:spacing w:val="-22"/>
        </w:rPr>
        <w:t> </w:t>
      </w:r>
      <w:r>
        <w:rPr>
          <w:color w:val="231F20"/>
        </w:rPr>
        <w:t>Per</w:t>
      </w:r>
      <w:r>
        <w:rPr>
          <w:color w:val="231F20"/>
          <w:spacing w:val="-22"/>
        </w:rPr>
        <w:t> </w:t>
      </w:r>
      <w:r>
        <w:rPr>
          <w:color w:val="231F20"/>
        </w:rPr>
        <w:t>questo</w:t>
      </w:r>
      <w:r>
        <w:rPr>
          <w:color w:val="231F20"/>
          <w:spacing w:val="-22"/>
        </w:rPr>
        <w:t> </w:t>
      </w:r>
      <w:r>
        <w:rPr>
          <w:color w:val="231F20"/>
        </w:rPr>
        <w:t>si</w:t>
      </w:r>
      <w:r>
        <w:rPr>
          <w:color w:val="231F20"/>
          <w:spacing w:val="-22"/>
        </w:rPr>
        <w:t> </w:t>
      </w:r>
      <w:r>
        <w:rPr>
          <w:color w:val="231F20"/>
          <w:spacing w:val="-3"/>
        </w:rPr>
        <w:t>creò</w:t>
      </w:r>
      <w:r>
        <w:rPr>
          <w:color w:val="231F20"/>
          <w:spacing w:val="-22"/>
        </w:rPr>
        <w:t> </w:t>
      </w:r>
      <w:r>
        <w:rPr>
          <w:color w:val="231F20"/>
        </w:rPr>
        <w:t>un’atmosfera</w:t>
      </w:r>
      <w:r>
        <w:rPr>
          <w:color w:val="231F20"/>
          <w:spacing w:val="-22"/>
        </w:rPr>
        <w:t> </w:t>
      </w:r>
      <w:r>
        <w:rPr>
          <w:color w:val="231F20"/>
        </w:rPr>
        <w:t>d’incertezza</w:t>
      </w:r>
      <w:r>
        <w:rPr>
          <w:color w:val="231F20"/>
          <w:spacing w:val="-22"/>
        </w:rPr>
        <w:t> </w:t>
      </w:r>
      <w:r>
        <w:rPr>
          <w:color w:val="231F20"/>
        </w:rPr>
        <w:t>rispetto</w:t>
      </w:r>
      <w:r>
        <w:rPr>
          <w:color w:val="231F20"/>
          <w:spacing w:val="-22"/>
        </w:rPr>
        <w:t> </w:t>
      </w:r>
      <w:r>
        <w:rPr>
          <w:color w:val="231F20"/>
        </w:rPr>
        <w:t>ai</w:t>
      </w:r>
      <w:r>
        <w:rPr>
          <w:color w:val="231F20"/>
          <w:spacing w:val="-22"/>
        </w:rPr>
        <w:t> </w:t>
      </w:r>
      <w:r>
        <w:rPr>
          <w:color w:val="231F20"/>
        </w:rPr>
        <w:t>diritti umani e la sospensione di</w:t>
      </w:r>
      <w:r>
        <w:rPr>
          <w:color w:val="231F20"/>
          <w:spacing w:val="-1"/>
        </w:rPr>
        <w:t> </w:t>
      </w:r>
      <w:r>
        <w:rPr>
          <w:color w:val="231F20"/>
        </w:rPr>
        <w:t>garanzie.</w:t>
      </w:r>
    </w:p>
    <w:p>
      <w:pPr>
        <w:pStyle w:val="BodyText"/>
        <w:spacing w:before="10"/>
        <w:rPr>
          <w:sz w:val="22"/>
        </w:rPr>
      </w:pPr>
    </w:p>
    <w:p>
      <w:pPr>
        <w:spacing w:line="220" w:lineRule="exact" w:before="1"/>
        <w:ind w:left="1534" w:right="117" w:firstLine="0"/>
        <w:jc w:val="both"/>
        <w:rPr>
          <w:sz w:val="19"/>
        </w:rPr>
      </w:pPr>
      <w:r>
        <w:rPr>
          <w:color w:val="231F20"/>
          <w:sz w:val="19"/>
        </w:rPr>
        <w:t>Un problema difficile è precisare quanto può il presidente far uso della</w:t>
      </w:r>
      <w:r>
        <w:rPr>
          <w:color w:val="231F20"/>
          <w:spacing w:val="-24"/>
          <w:sz w:val="19"/>
        </w:rPr>
        <w:t> </w:t>
      </w:r>
      <w:r>
        <w:rPr>
          <w:color w:val="231F20"/>
          <w:sz w:val="19"/>
        </w:rPr>
        <w:t>forza</w:t>
      </w:r>
      <w:r>
        <w:rPr>
          <w:color w:val="231F20"/>
          <w:spacing w:val="-24"/>
          <w:sz w:val="19"/>
        </w:rPr>
        <w:t> </w:t>
      </w:r>
      <w:r>
        <w:rPr>
          <w:color w:val="231F20"/>
          <w:sz w:val="19"/>
        </w:rPr>
        <w:t>pubblica</w:t>
      </w:r>
      <w:r>
        <w:rPr>
          <w:color w:val="231F20"/>
          <w:spacing w:val="-24"/>
          <w:sz w:val="19"/>
        </w:rPr>
        <w:t> </w:t>
      </w:r>
      <w:r>
        <w:rPr>
          <w:color w:val="231F20"/>
          <w:sz w:val="19"/>
        </w:rPr>
        <w:t>per</w:t>
      </w:r>
      <w:r>
        <w:rPr>
          <w:color w:val="231F20"/>
          <w:spacing w:val="-24"/>
          <w:sz w:val="19"/>
        </w:rPr>
        <w:t> </w:t>
      </w:r>
      <w:r>
        <w:rPr>
          <w:color w:val="231F20"/>
          <w:spacing w:val="-3"/>
          <w:sz w:val="19"/>
        </w:rPr>
        <w:t>preservare</w:t>
      </w:r>
      <w:r>
        <w:rPr>
          <w:color w:val="231F20"/>
          <w:spacing w:val="-24"/>
          <w:sz w:val="19"/>
        </w:rPr>
        <w:t> </w:t>
      </w:r>
      <w:r>
        <w:rPr>
          <w:color w:val="231F20"/>
          <w:sz w:val="19"/>
        </w:rPr>
        <w:t>la</w:t>
      </w:r>
      <w:r>
        <w:rPr>
          <w:color w:val="231F20"/>
          <w:spacing w:val="-24"/>
          <w:sz w:val="19"/>
        </w:rPr>
        <w:t> </w:t>
      </w:r>
      <w:r>
        <w:rPr>
          <w:color w:val="231F20"/>
          <w:spacing w:val="-3"/>
          <w:sz w:val="19"/>
        </w:rPr>
        <w:t>sicurezza</w:t>
      </w:r>
      <w:r>
        <w:rPr>
          <w:color w:val="231F20"/>
          <w:spacing w:val="-24"/>
          <w:sz w:val="19"/>
        </w:rPr>
        <w:t> </w:t>
      </w:r>
      <w:r>
        <w:rPr>
          <w:color w:val="231F20"/>
          <w:sz w:val="19"/>
        </w:rPr>
        <w:t>interna;</w:t>
      </w:r>
      <w:r>
        <w:rPr>
          <w:color w:val="231F20"/>
          <w:spacing w:val="-24"/>
          <w:sz w:val="19"/>
        </w:rPr>
        <w:t> </w:t>
      </w:r>
      <w:r>
        <w:rPr>
          <w:color w:val="231F20"/>
          <w:sz w:val="19"/>
        </w:rPr>
        <w:t>una</w:t>
      </w:r>
      <w:r>
        <w:rPr>
          <w:color w:val="231F20"/>
          <w:spacing w:val="-24"/>
          <w:sz w:val="19"/>
        </w:rPr>
        <w:t> </w:t>
      </w:r>
      <w:r>
        <w:rPr>
          <w:color w:val="231F20"/>
          <w:sz w:val="19"/>
        </w:rPr>
        <w:t>risposta generale potrebbe essere questa: esiste una pace minima </w:t>
      </w:r>
      <w:r>
        <w:rPr>
          <w:color w:val="231F20"/>
          <w:spacing w:val="2"/>
          <w:sz w:val="19"/>
        </w:rPr>
        <w:t>per    </w:t>
      </w:r>
      <w:r>
        <w:rPr>
          <w:color w:val="231F20"/>
          <w:sz w:val="19"/>
        </w:rPr>
        <w:t>lo sviluppo della vita quotidiana; se questa è in pericolo, si può fare uso di questa facoltà. La regola precedente ha lati non ben definiti, però bisogna chiarire che nel’esercizio della facoltà a cui ci riferiamo, non si devono violare i diritti umani. Se la situazione dovesse diventare un’emergenza, il presidente deve sollecitare   al Congresso la sospensione delle garanzie individuali; </w:t>
      </w:r>
      <w:r>
        <w:rPr>
          <w:color w:val="231F20"/>
          <w:spacing w:val="2"/>
          <w:sz w:val="19"/>
        </w:rPr>
        <w:t>cioè, </w:t>
      </w:r>
      <w:r>
        <w:rPr>
          <w:color w:val="231F20"/>
          <w:sz w:val="19"/>
        </w:rPr>
        <w:t>il  solo </w:t>
      </w:r>
      <w:r>
        <w:rPr>
          <w:color w:val="231F20"/>
          <w:spacing w:val="2"/>
          <w:sz w:val="19"/>
        </w:rPr>
        <w:t>criterio </w:t>
      </w:r>
      <w:r>
        <w:rPr>
          <w:color w:val="231F20"/>
          <w:sz w:val="19"/>
        </w:rPr>
        <w:t>del </w:t>
      </w:r>
      <w:r>
        <w:rPr>
          <w:color w:val="231F20"/>
          <w:spacing w:val="2"/>
          <w:sz w:val="19"/>
        </w:rPr>
        <w:t>presidente </w:t>
      </w:r>
      <w:r>
        <w:rPr>
          <w:color w:val="231F20"/>
          <w:sz w:val="19"/>
        </w:rPr>
        <w:t>non è sufficiente per qualificare la situazione come critica, per farlo serve l’intervento del Congresso […] Si è usata questa facoltà per preservare funzioni relazionate con</w:t>
      </w:r>
      <w:r>
        <w:rPr>
          <w:color w:val="231F20"/>
          <w:spacing w:val="-20"/>
          <w:sz w:val="19"/>
        </w:rPr>
        <w:t> </w:t>
      </w:r>
      <w:r>
        <w:rPr>
          <w:color w:val="231F20"/>
          <w:sz w:val="19"/>
        </w:rPr>
        <w:t>l’esistenza</w:t>
      </w:r>
      <w:r>
        <w:rPr>
          <w:color w:val="231F20"/>
          <w:spacing w:val="-20"/>
          <w:sz w:val="19"/>
        </w:rPr>
        <w:t> </w:t>
      </w:r>
      <w:r>
        <w:rPr>
          <w:color w:val="231F20"/>
          <w:sz w:val="19"/>
        </w:rPr>
        <w:t>e</w:t>
      </w:r>
      <w:r>
        <w:rPr>
          <w:color w:val="231F20"/>
          <w:spacing w:val="-20"/>
          <w:sz w:val="19"/>
        </w:rPr>
        <w:t> </w:t>
      </w:r>
      <w:r>
        <w:rPr>
          <w:color w:val="231F20"/>
          <w:sz w:val="19"/>
        </w:rPr>
        <w:t>l’operazione</w:t>
      </w:r>
      <w:r>
        <w:rPr>
          <w:color w:val="231F20"/>
          <w:spacing w:val="-20"/>
          <w:sz w:val="19"/>
        </w:rPr>
        <w:t> </w:t>
      </w:r>
      <w:r>
        <w:rPr>
          <w:color w:val="231F20"/>
          <w:sz w:val="19"/>
        </w:rPr>
        <w:t>dello</w:t>
      </w:r>
      <w:r>
        <w:rPr>
          <w:color w:val="231F20"/>
          <w:spacing w:val="-20"/>
          <w:sz w:val="19"/>
        </w:rPr>
        <w:t> </w:t>
      </w:r>
      <w:r>
        <w:rPr>
          <w:color w:val="231F20"/>
          <w:sz w:val="19"/>
        </w:rPr>
        <w:t>stesso</w:t>
      </w:r>
      <w:r>
        <w:rPr>
          <w:color w:val="231F20"/>
          <w:spacing w:val="-20"/>
          <w:sz w:val="19"/>
        </w:rPr>
        <w:t> </w:t>
      </w:r>
      <w:r>
        <w:rPr>
          <w:color w:val="231F20"/>
          <w:sz w:val="19"/>
        </w:rPr>
        <w:t>governo,</w:t>
      </w:r>
      <w:r>
        <w:rPr>
          <w:color w:val="231F20"/>
          <w:spacing w:val="-20"/>
          <w:sz w:val="19"/>
        </w:rPr>
        <w:t> </w:t>
      </w:r>
      <w:r>
        <w:rPr>
          <w:color w:val="231F20"/>
          <w:sz w:val="19"/>
        </w:rPr>
        <w:t>per</w:t>
      </w:r>
      <w:r>
        <w:rPr>
          <w:color w:val="231F20"/>
          <w:spacing w:val="-20"/>
          <w:sz w:val="19"/>
        </w:rPr>
        <w:t> </w:t>
      </w:r>
      <w:r>
        <w:rPr>
          <w:color w:val="231F20"/>
          <w:sz w:val="19"/>
        </w:rPr>
        <w:t>cui</w:t>
      </w:r>
      <w:r>
        <w:rPr>
          <w:color w:val="231F20"/>
          <w:spacing w:val="-17"/>
          <w:sz w:val="19"/>
        </w:rPr>
        <w:t> </w:t>
      </w:r>
      <w:r>
        <w:rPr>
          <w:color w:val="231F20"/>
          <w:sz w:val="19"/>
        </w:rPr>
        <w:t>è,</w:t>
      </w:r>
      <w:r>
        <w:rPr>
          <w:color w:val="231F20"/>
          <w:spacing w:val="-20"/>
          <w:sz w:val="19"/>
        </w:rPr>
        <w:t> </w:t>
      </w:r>
      <w:r>
        <w:rPr>
          <w:color w:val="231F20"/>
          <w:sz w:val="19"/>
        </w:rPr>
        <w:t>senza dubbio, una delle attribuzioni più delicate che ha il presidente  […] Questa facoltà deve essere usata come forza del diritto e per preservare la vigenza della Costituzione e non come un mezzo persecutorio e</w:t>
      </w:r>
      <w:r>
        <w:rPr>
          <w:color w:val="231F20"/>
          <w:spacing w:val="5"/>
          <w:sz w:val="19"/>
        </w:rPr>
        <w:t> </w:t>
      </w:r>
      <w:r>
        <w:rPr>
          <w:color w:val="231F20"/>
          <w:sz w:val="19"/>
        </w:rPr>
        <w:t>repressivo</w:t>
      </w:r>
      <w:r>
        <w:rPr>
          <w:color w:val="231F20"/>
          <w:position w:val="6"/>
          <w:sz w:val="11"/>
        </w:rPr>
        <w:t>20</w:t>
      </w:r>
      <w:r>
        <w:rPr>
          <w:color w:val="231F20"/>
          <w:sz w:val="19"/>
        </w:rPr>
        <w:t>.</w:t>
      </w:r>
    </w:p>
    <w:p>
      <w:pPr>
        <w:pStyle w:val="BodyText"/>
        <w:spacing w:before="11"/>
        <w:rPr>
          <w:sz w:val="23"/>
        </w:rPr>
      </w:pPr>
    </w:p>
    <w:p>
      <w:pPr>
        <w:pStyle w:val="BodyText"/>
        <w:spacing w:line="247" w:lineRule="auto"/>
        <w:ind w:left="117" w:right="118"/>
        <w:jc w:val="both"/>
      </w:pPr>
      <w:r>
        <w:rPr>
          <w:color w:val="231F20"/>
          <w:spacing w:val="2"/>
        </w:rPr>
        <w:t>Nonostante, nella storia </w:t>
      </w:r>
      <w:r>
        <w:rPr>
          <w:color w:val="231F20"/>
        </w:rPr>
        <w:t>del </w:t>
      </w:r>
      <w:r>
        <w:rPr>
          <w:color w:val="231F20"/>
          <w:spacing w:val="2"/>
        </w:rPr>
        <w:t>paese </w:t>
      </w:r>
      <w:r>
        <w:rPr>
          <w:color w:val="231F20"/>
        </w:rPr>
        <w:t>si è </w:t>
      </w:r>
      <w:r>
        <w:rPr>
          <w:color w:val="231F20"/>
          <w:spacing w:val="2"/>
        </w:rPr>
        <w:t>evitato l’utilizzo dell’articolo </w:t>
      </w:r>
      <w:r>
        <w:rPr>
          <w:color w:val="231F20"/>
          <w:spacing w:val="3"/>
        </w:rPr>
        <w:t>29 </w:t>
      </w:r>
      <w:r>
        <w:rPr>
          <w:color w:val="231F20"/>
        </w:rPr>
        <w:t>costituzionale.</w:t>
      </w:r>
      <w:r>
        <w:rPr>
          <w:color w:val="231F20"/>
          <w:spacing w:val="-10"/>
        </w:rPr>
        <w:t> </w:t>
      </w:r>
      <w:r>
        <w:rPr>
          <w:color w:val="231F20"/>
        </w:rPr>
        <w:t>Si</w:t>
      </w:r>
      <w:r>
        <w:rPr>
          <w:color w:val="231F20"/>
          <w:spacing w:val="-10"/>
        </w:rPr>
        <w:t> </w:t>
      </w:r>
      <w:r>
        <w:rPr>
          <w:color w:val="231F20"/>
          <w:spacing w:val="-3"/>
        </w:rPr>
        <w:t>percepisce</w:t>
      </w:r>
      <w:r>
        <w:rPr>
          <w:color w:val="231F20"/>
          <w:spacing w:val="-10"/>
        </w:rPr>
        <w:t> </w:t>
      </w:r>
      <w:r>
        <w:rPr>
          <w:color w:val="231F20"/>
        </w:rPr>
        <w:t>l’idea</w:t>
      </w:r>
      <w:r>
        <w:rPr>
          <w:color w:val="231F20"/>
          <w:spacing w:val="-10"/>
        </w:rPr>
        <w:t> </w:t>
      </w:r>
      <w:r>
        <w:rPr>
          <w:color w:val="231F20"/>
        </w:rPr>
        <w:t>che</w:t>
      </w:r>
      <w:r>
        <w:rPr>
          <w:color w:val="231F20"/>
          <w:spacing w:val="-10"/>
        </w:rPr>
        <w:t> </w:t>
      </w:r>
      <w:r>
        <w:rPr>
          <w:color w:val="231F20"/>
        </w:rPr>
        <w:t>l’utilizzo</w:t>
      </w:r>
      <w:r>
        <w:rPr>
          <w:color w:val="231F20"/>
          <w:spacing w:val="-10"/>
        </w:rPr>
        <w:t> </w:t>
      </w:r>
      <w:r>
        <w:rPr>
          <w:color w:val="231F20"/>
        </w:rPr>
        <w:t>di</w:t>
      </w:r>
      <w:r>
        <w:rPr>
          <w:color w:val="231F20"/>
          <w:spacing w:val="-10"/>
        </w:rPr>
        <w:t> </w:t>
      </w:r>
      <w:r>
        <w:rPr>
          <w:color w:val="231F20"/>
        </w:rPr>
        <w:t>questo</w:t>
      </w:r>
      <w:r>
        <w:rPr>
          <w:color w:val="231F20"/>
          <w:spacing w:val="-10"/>
        </w:rPr>
        <w:t> </w:t>
      </w:r>
      <w:r>
        <w:rPr>
          <w:color w:val="231F20"/>
        </w:rPr>
        <w:t>articolo</w:t>
      </w:r>
      <w:r>
        <w:rPr>
          <w:color w:val="231F20"/>
          <w:spacing w:val="-10"/>
        </w:rPr>
        <w:t> </w:t>
      </w:r>
      <w:r>
        <w:rPr>
          <w:color w:val="231F20"/>
          <w:spacing w:val="-3"/>
        </w:rPr>
        <w:t>parlerebbe </w:t>
      </w:r>
      <w:r>
        <w:rPr>
          <w:color w:val="231F20"/>
        </w:rPr>
        <w:t>di un governo debole che non risolve situazioni di crisi o emergenza per mezzi</w:t>
      </w:r>
      <w:r>
        <w:rPr>
          <w:color w:val="231F20"/>
          <w:spacing w:val="-14"/>
        </w:rPr>
        <w:t> </w:t>
      </w:r>
      <w:r>
        <w:rPr>
          <w:color w:val="231F20"/>
        </w:rPr>
        <w:t>normali.</w:t>
      </w:r>
      <w:r>
        <w:rPr>
          <w:color w:val="231F20"/>
          <w:spacing w:val="-14"/>
        </w:rPr>
        <w:t> </w:t>
      </w:r>
      <w:r>
        <w:rPr>
          <w:color w:val="231F20"/>
        </w:rPr>
        <w:t>Per</w:t>
      </w:r>
      <w:r>
        <w:rPr>
          <w:color w:val="231F20"/>
          <w:spacing w:val="-14"/>
        </w:rPr>
        <w:t> </w:t>
      </w:r>
      <w:r>
        <w:rPr>
          <w:color w:val="231F20"/>
        </w:rPr>
        <w:t>porre</w:t>
      </w:r>
      <w:r>
        <w:rPr>
          <w:color w:val="231F20"/>
          <w:spacing w:val="-14"/>
        </w:rPr>
        <w:t> </w:t>
      </w:r>
      <w:r>
        <w:rPr>
          <w:color w:val="231F20"/>
        </w:rPr>
        <w:t>rimedio</w:t>
      </w:r>
      <w:r>
        <w:rPr>
          <w:color w:val="231F20"/>
          <w:spacing w:val="-14"/>
        </w:rPr>
        <w:t> </w:t>
      </w:r>
      <w:r>
        <w:rPr>
          <w:color w:val="231F20"/>
        </w:rPr>
        <w:t>all’utilizzo</w:t>
      </w:r>
      <w:r>
        <w:rPr>
          <w:color w:val="231F20"/>
          <w:spacing w:val="-14"/>
        </w:rPr>
        <w:t> </w:t>
      </w:r>
      <w:r>
        <w:rPr>
          <w:color w:val="231F20"/>
        </w:rPr>
        <w:t>dello</w:t>
      </w:r>
      <w:r>
        <w:rPr>
          <w:color w:val="231F20"/>
          <w:spacing w:val="-14"/>
        </w:rPr>
        <w:t> </w:t>
      </w:r>
      <w:r>
        <w:rPr>
          <w:color w:val="231F20"/>
        </w:rPr>
        <w:t>stato</w:t>
      </w:r>
      <w:r>
        <w:rPr>
          <w:color w:val="231F20"/>
          <w:spacing w:val="-14"/>
        </w:rPr>
        <w:t> </w:t>
      </w:r>
      <w:r>
        <w:rPr>
          <w:color w:val="231F20"/>
        </w:rPr>
        <w:t>di</w:t>
      </w:r>
      <w:r>
        <w:rPr>
          <w:color w:val="231F20"/>
          <w:spacing w:val="-14"/>
        </w:rPr>
        <w:t> </w:t>
      </w:r>
      <w:r>
        <w:rPr>
          <w:color w:val="231F20"/>
        </w:rPr>
        <w:t>eccezione,</w:t>
      </w:r>
      <w:r>
        <w:rPr>
          <w:color w:val="231F20"/>
          <w:spacing w:val="-14"/>
        </w:rPr>
        <w:t> </w:t>
      </w:r>
      <w:r>
        <w:rPr>
          <w:color w:val="231F20"/>
        </w:rPr>
        <w:t>lo</w:t>
      </w:r>
      <w:r>
        <w:rPr>
          <w:color w:val="231F20"/>
          <w:spacing w:val="-14"/>
        </w:rPr>
        <w:t> </w:t>
      </w:r>
      <w:r>
        <w:rPr>
          <w:color w:val="231F20"/>
        </w:rPr>
        <w:t>Stato messicano ha creato un’altro tipo di</w:t>
      </w:r>
      <w:r>
        <w:rPr>
          <w:color w:val="231F20"/>
          <w:spacing w:val="7"/>
        </w:rPr>
        <w:t> </w:t>
      </w:r>
      <w:r>
        <w:rPr>
          <w:color w:val="231F20"/>
        </w:rPr>
        <w:t>stratagemmi.</w:t>
      </w:r>
    </w:p>
    <w:p>
      <w:pPr>
        <w:pStyle w:val="BodyText"/>
        <w:spacing w:before="11"/>
        <w:rPr>
          <w:sz w:val="28"/>
        </w:rPr>
      </w:pPr>
      <w:r>
        <w:rPr/>
        <w:pict>
          <v:line style="position:absolute;mso-position-horizontal-relative:page;mso-position-vertical-relative:paragraph;z-index:9592;mso-wrap-distance-left:0;mso-wrap-distance-right:0" from="70.866096pt,19.587286pt" to="184.252096pt,19.587286pt" stroked="true" strokeweight=".3pt" strokecolor="#231f20">
            <w10:wrap type="topAndBottom"/>
          </v:line>
        </w:pict>
      </w:r>
    </w:p>
    <w:p>
      <w:pPr>
        <w:spacing w:line="206" w:lineRule="exact" w:before="10"/>
        <w:ind w:left="117" w:right="0" w:firstLine="0"/>
        <w:jc w:val="left"/>
        <w:rPr>
          <w:rFonts w:ascii="Calibri" w:hAnsi="Calibri"/>
          <w:sz w:val="17"/>
        </w:rPr>
      </w:pPr>
      <w:r>
        <w:rPr>
          <w:rFonts w:ascii="Calibri" w:hAnsi="Calibri"/>
          <w:color w:val="231F20"/>
          <w:position w:val="6"/>
          <w:sz w:val="10"/>
        </w:rPr>
        <w:t>19 </w:t>
      </w:r>
      <w:r>
        <w:rPr>
          <w:rFonts w:ascii="Calibri" w:hAnsi="Calibri"/>
          <w:color w:val="231F20"/>
          <w:sz w:val="17"/>
        </w:rPr>
        <w:t>M. Barrón Cruz, </w:t>
      </w:r>
      <w:r>
        <w:rPr>
          <w:rFonts w:ascii="Calibri" w:hAnsi="Calibri"/>
          <w:i/>
          <w:color w:val="231F20"/>
          <w:sz w:val="17"/>
        </w:rPr>
        <w:t>Violencia y seguridad en México en el umbral del siglo </w:t>
      </w:r>
      <w:r>
        <w:rPr>
          <w:rFonts w:ascii="Calibri" w:hAnsi="Calibri"/>
          <w:i/>
          <w:color w:val="231F20"/>
          <w:sz w:val="14"/>
        </w:rPr>
        <w:t>XXI</w:t>
      </w:r>
      <w:r>
        <w:rPr>
          <w:rFonts w:ascii="Calibri" w:hAnsi="Calibri"/>
          <w:color w:val="231F20"/>
          <w:sz w:val="17"/>
        </w:rPr>
        <w:t>, México, Editorial Novum,</w:t>
      </w:r>
    </w:p>
    <w:p>
      <w:pPr>
        <w:spacing w:line="204" w:lineRule="exact" w:before="0"/>
        <w:ind w:left="117" w:right="0" w:firstLine="0"/>
        <w:jc w:val="left"/>
        <w:rPr>
          <w:rFonts w:ascii="Calibri" w:hAnsi="Calibri"/>
          <w:sz w:val="17"/>
        </w:rPr>
      </w:pPr>
      <w:r>
        <w:rPr>
          <w:rFonts w:ascii="Calibri" w:hAnsi="Calibri"/>
          <w:color w:val="231F20"/>
          <w:w w:val="95"/>
          <w:sz w:val="17"/>
        </w:rPr>
        <w:t>2012, pp. 166–167.</w:t>
      </w:r>
    </w:p>
    <w:p>
      <w:pPr>
        <w:spacing w:line="206" w:lineRule="exact" w:before="0"/>
        <w:ind w:left="117" w:right="0" w:firstLine="0"/>
        <w:jc w:val="left"/>
        <w:rPr>
          <w:rFonts w:ascii="Calibri" w:hAnsi="Calibri"/>
          <w:sz w:val="17"/>
        </w:rPr>
      </w:pPr>
      <w:r>
        <w:rPr>
          <w:rFonts w:ascii="Calibri" w:hAnsi="Calibri"/>
          <w:color w:val="231F20"/>
          <w:position w:val="6"/>
          <w:sz w:val="10"/>
        </w:rPr>
        <w:t>20 </w:t>
      </w:r>
      <w:r>
        <w:rPr>
          <w:rFonts w:ascii="Calibri" w:hAnsi="Calibri"/>
          <w:color w:val="231F20"/>
          <w:sz w:val="17"/>
        </w:rPr>
        <w:t>J. Carpizo, </w:t>
      </w:r>
      <w:r>
        <w:rPr>
          <w:rFonts w:ascii="Calibri" w:hAnsi="Calibri"/>
          <w:i/>
          <w:color w:val="231F20"/>
          <w:sz w:val="17"/>
        </w:rPr>
        <w:t>La Constitución mexicana de 1917</w:t>
      </w:r>
      <w:r>
        <w:rPr>
          <w:rFonts w:ascii="Calibri" w:hAnsi="Calibri"/>
          <w:color w:val="231F20"/>
          <w:sz w:val="17"/>
        </w:rPr>
        <w:t>, México, Porrúa, 2002, pp. 285–286.</w:t>
      </w:r>
    </w:p>
    <w:p>
      <w:pPr>
        <w:spacing w:after="0" w:line="206" w:lineRule="exact"/>
        <w:jc w:val="left"/>
        <w:rPr>
          <w:rFonts w:ascii="Calibri" w:hAnsi="Calibri"/>
          <w:sz w:val="17"/>
        </w:rPr>
        <w:sectPr>
          <w:pgSz w:w="9640" w:h="13890"/>
          <w:pgMar w:top="0" w:bottom="280" w:left="1300" w:right="1180"/>
        </w:sectPr>
      </w:pPr>
    </w:p>
    <w:p>
      <w:pPr>
        <w:pStyle w:val="BodyText"/>
        <w:spacing w:line="247" w:lineRule="auto" w:before="107"/>
        <w:ind w:left="103" w:right="113" w:firstLine="566"/>
        <w:jc w:val="both"/>
      </w:pPr>
      <w:r>
        <w:rPr>
          <w:color w:val="231F20"/>
          <w:w w:val="105"/>
        </w:rPr>
        <w:t>Di</w:t>
      </w:r>
      <w:r>
        <w:rPr>
          <w:color w:val="231F20"/>
          <w:spacing w:val="-43"/>
          <w:w w:val="105"/>
        </w:rPr>
        <w:t> </w:t>
      </w:r>
      <w:r>
        <w:rPr>
          <w:color w:val="231F20"/>
          <w:w w:val="105"/>
        </w:rPr>
        <w:t>fronte</w:t>
      </w:r>
      <w:r>
        <w:rPr>
          <w:color w:val="231F20"/>
          <w:spacing w:val="-43"/>
          <w:w w:val="105"/>
        </w:rPr>
        <w:t> </w:t>
      </w:r>
      <w:r>
        <w:rPr>
          <w:color w:val="231F20"/>
          <w:w w:val="105"/>
        </w:rPr>
        <w:t>alla</w:t>
      </w:r>
      <w:r>
        <w:rPr>
          <w:color w:val="231F20"/>
          <w:spacing w:val="-43"/>
          <w:w w:val="105"/>
        </w:rPr>
        <w:t> </w:t>
      </w:r>
      <w:r>
        <w:rPr>
          <w:color w:val="231F20"/>
          <w:w w:val="105"/>
        </w:rPr>
        <w:t>riforma</w:t>
      </w:r>
      <w:r>
        <w:rPr>
          <w:color w:val="231F20"/>
          <w:spacing w:val="-43"/>
          <w:w w:val="105"/>
        </w:rPr>
        <w:t> </w:t>
      </w:r>
      <w:r>
        <w:rPr>
          <w:color w:val="231F20"/>
          <w:w w:val="105"/>
        </w:rPr>
        <w:t>costituzionale</w:t>
      </w:r>
      <w:r>
        <w:rPr>
          <w:color w:val="231F20"/>
          <w:spacing w:val="-43"/>
          <w:w w:val="105"/>
        </w:rPr>
        <w:t> </w:t>
      </w:r>
      <w:r>
        <w:rPr>
          <w:color w:val="231F20"/>
          <w:w w:val="105"/>
        </w:rPr>
        <w:t>in</w:t>
      </w:r>
      <w:r>
        <w:rPr>
          <w:color w:val="231F20"/>
          <w:spacing w:val="-43"/>
          <w:w w:val="105"/>
        </w:rPr>
        <w:t> </w:t>
      </w:r>
      <w:r>
        <w:rPr>
          <w:color w:val="231F20"/>
          <w:w w:val="105"/>
        </w:rPr>
        <w:t>materia</w:t>
      </w:r>
      <w:r>
        <w:rPr>
          <w:color w:val="231F20"/>
          <w:spacing w:val="-43"/>
          <w:w w:val="105"/>
        </w:rPr>
        <w:t> </w:t>
      </w:r>
      <w:r>
        <w:rPr>
          <w:color w:val="231F20"/>
          <w:w w:val="105"/>
        </w:rPr>
        <w:t>penale,</w:t>
      </w:r>
      <w:r>
        <w:rPr>
          <w:color w:val="231F20"/>
          <w:spacing w:val="-43"/>
          <w:w w:val="105"/>
        </w:rPr>
        <w:t> </w:t>
      </w:r>
      <w:r>
        <w:rPr>
          <w:color w:val="231F20"/>
          <w:w w:val="105"/>
        </w:rPr>
        <w:t>nel</w:t>
      </w:r>
      <w:r>
        <w:rPr>
          <w:color w:val="231F20"/>
          <w:spacing w:val="-43"/>
          <w:w w:val="105"/>
        </w:rPr>
        <w:t> </w:t>
      </w:r>
      <w:r>
        <w:rPr>
          <w:color w:val="231F20"/>
          <w:w w:val="105"/>
        </w:rPr>
        <w:t>2008</w:t>
      </w:r>
      <w:r>
        <w:rPr>
          <w:color w:val="231F20"/>
          <w:spacing w:val="-43"/>
          <w:w w:val="105"/>
        </w:rPr>
        <w:t> </w:t>
      </w:r>
      <w:r>
        <w:rPr>
          <w:color w:val="231F20"/>
          <w:w w:val="105"/>
        </w:rPr>
        <w:t>alcuni importanti</w:t>
      </w:r>
      <w:r>
        <w:rPr>
          <w:color w:val="231F20"/>
          <w:spacing w:val="-39"/>
          <w:w w:val="105"/>
        </w:rPr>
        <w:t> </w:t>
      </w:r>
      <w:r>
        <w:rPr>
          <w:color w:val="231F20"/>
          <w:w w:val="105"/>
        </w:rPr>
        <w:t>giuristi</w:t>
      </w:r>
      <w:r>
        <w:rPr>
          <w:color w:val="231F20"/>
          <w:spacing w:val="-39"/>
          <w:w w:val="105"/>
        </w:rPr>
        <w:t> </w:t>
      </w:r>
      <w:r>
        <w:rPr>
          <w:color w:val="231F20"/>
          <w:w w:val="105"/>
        </w:rPr>
        <w:t>presero</w:t>
      </w:r>
      <w:r>
        <w:rPr>
          <w:color w:val="231F20"/>
          <w:spacing w:val="-39"/>
          <w:w w:val="105"/>
        </w:rPr>
        <w:t> </w:t>
      </w:r>
      <w:r>
        <w:rPr>
          <w:color w:val="231F20"/>
          <w:w w:val="105"/>
        </w:rPr>
        <w:t>posizioni</w:t>
      </w:r>
      <w:r>
        <w:rPr>
          <w:color w:val="231F20"/>
          <w:spacing w:val="-39"/>
          <w:w w:val="105"/>
        </w:rPr>
        <w:t> </w:t>
      </w:r>
      <w:r>
        <w:rPr>
          <w:color w:val="231F20"/>
          <w:w w:val="105"/>
        </w:rPr>
        <w:t>a</w:t>
      </w:r>
      <w:r>
        <w:rPr>
          <w:color w:val="231F20"/>
          <w:spacing w:val="-39"/>
          <w:w w:val="105"/>
        </w:rPr>
        <w:t> </w:t>
      </w:r>
      <w:r>
        <w:rPr>
          <w:color w:val="231F20"/>
          <w:w w:val="105"/>
        </w:rPr>
        <w:t>favore</w:t>
      </w:r>
      <w:r>
        <w:rPr>
          <w:color w:val="231F20"/>
          <w:spacing w:val="-39"/>
          <w:w w:val="105"/>
        </w:rPr>
        <w:t> </w:t>
      </w:r>
      <w:r>
        <w:rPr>
          <w:color w:val="231F20"/>
          <w:w w:val="105"/>
        </w:rPr>
        <w:t>ed</w:t>
      </w:r>
      <w:r>
        <w:rPr>
          <w:color w:val="231F20"/>
          <w:spacing w:val="-39"/>
          <w:w w:val="105"/>
        </w:rPr>
        <w:t> </w:t>
      </w:r>
      <w:r>
        <w:rPr>
          <w:color w:val="231F20"/>
          <w:w w:val="105"/>
        </w:rPr>
        <w:t>in</w:t>
      </w:r>
      <w:r>
        <w:rPr>
          <w:color w:val="231F20"/>
          <w:spacing w:val="-39"/>
          <w:w w:val="105"/>
        </w:rPr>
        <w:t> </w:t>
      </w:r>
      <w:r>
        <w:rPr>
          <w:color w:val="231F20"/>
          <w:w w:val="105"/>
        </w:rPr>
        <w:t>contro.</w:t>
      </w:r>
      <w:r>
        <w:rPr>
          <w:color w:val="231F20"/>
          <w:spacing w:val="-39"/>
          <w:w w:val="105"/>
        </w:rPr>
        <w:t> </w:t>
      </w:r>
      <w:r>
        <w:rPr>
          <w:color w:val="231F20"/>
          <w:w w:val="105"/>
        </w:rPr>
        <w:t>In</w:t>
      </w:r>
      <w:r>
        <w:rPr>
          <w:color w:val="231F20"/>
          <w:spacing w:val="-39"/>
          <w:w w:val="105"/>
        </w:rPr>
        <w:t> </w:t>
      </w:r>
      <w:r>
        <w:rPr>
          <w:color w:val="231F20"/>
          <w:w w:val="105"/>
        </w:rPr>
        <w:t>questa</w:t>
      </w:r>
      <w:r>
        <w:rPr>
          <w:color w:val="231F20"/>
          <w:spacing w:val="-39"/>
          <w:w w:val="105"/>
        </w:rPr>
        <w:t> </w:t>
      </w:r>
      <w:r>
        <w:rPr>
          <w:color w:val="231F20"/>
          <w:w w:val="105"/>
        </w:rPr>
        <w:t>riforma si</w:t>
      </w:r>
      <w:r>
        <w:rPr>
          <w:color w:val="231F20"/>
          <w:spacing w:val="-30"/>
          <w:w w:val="105"/>
        </w:rPr>
        <w:t> </w:t>
      </w:r>
      <w:r>
        <w:rPr>
          <w:color w:val="231F20"/>
          <w:w w:val="105"/>
        </w:rPr>
        <w:t>sono</w:t>
      </w:r>
      <w:r>
        <w:rPr>
          <w:color w:val="231F20"/>
          <w:spacing w:val="-30"/>
          <w:w w:val="105"/>
        </w:rPr>
        <w:t> </w:t>
      </w:r>
      <w:r>
        <w:rPr>
          <w:color w:val="231F20"/>
          <w:w w:val="105"/>
        </w:rPr>
        <w:t>modificati</w:t>
      </w:r>
      <w:r>
        <w:rPr>
          <w:color w:val="231F20"/>
          <w:spacing w:val="-30"/>
          <w:w w:val="105"/>
        </w:rPr>
        <w:t> </w:t>
      </w:r>
      <w:r>
        <w:rPr>
          <w:color w:val="231F20"/>
          <w:w w:val="105"/>
        </w:rPr>
        <w:t>gli</w:t>
      </w:r>
      <w:r>
        <w:rPr>
          <w:color w:val="231F20"/>
          <w:spacing w:val="-30"/>
          <w:w w:val="105"/>
        </w:rPr>
        <w:t> </w:t>
      </w:r>
      <w:r>
        <w:rPr>
          <w:color w:val="231F20"/>
          <w:w w:val="105"/>
        </w:rPr>
        <w:t>articoli</w:t>
      </w:r>
      <w:r>
        <w:rPr>
          <w:color w:val="231F20"/>
          <w:spacing w:val="-30"/>
          <w:w w:val="105"/>
        </w:rPr>
        <w:t> </w:t>
      </w:r>
      <w:r>
        <w:rPr>
          <w:color w:val="231F20"/>
          <w:w w:val="105"/>
        </w:rPr>
        <w:t>16,</w:t>
      </w:r>
      <w:r>
        <w:rPr>
          <w:color w:val="231F20"/>
          <w:spacing w:val="-30"/>
          <w:w w:val="105"/>
        </w:rPr>
        <w:t> </w:t>
      </w:r>
      <w:r>
        <w:rPr>
          <w:color w:val="231F20"/>
          <w:w w:val="105"/>
        </w:rPr>
        <w:t>17,</w:t>
      </w:r>
      <w:r>
        <w:rPr>
          <w:color w:val="231F20"/>
          <w:spacing w:val="-30"/>
          <w:w w:val="105"/>
        </w:rPr>
        <w:t> </w:t>
      </w:r>
      <w:r>
        <w:rPr>
          <w:color w:val="231F20"/>
          <w:w w:val="105"/>
        </w:rPr>
        <w:t>18,</w:t>
      </w:r>
      <w:r>
        <w:rPr>
          <w:color w:val="231F20"/>
          <w:spacing w:val="-30"/>
          <w:w w:val="105"/>
        </w:rPr>
        <w:t> </w:t>
      </w:r>
      <w:r>
        <w:rPr>
          <w:color w:val="231F20"/>
          <w:w w:val="105"/>
        </w:rPr>
        <w:t>19,</w:t>
      </w:r>
      <w:r>
        <w:rPr>
          <w:color w:val="231F20"/>
          <w:spacing w:val="-30"/>
          <w:w w:val="105"/>
        </w:rPr>
        <w:t> </w:t>
      </w:r>
      <w:r>
        <w:rPr>
          <w:color w:val="231F20"/>
          <w:w w:val="105"/>
        </w:rPr>
        <w:t>20,</w:t>
      </w:r>
      <w:r>
        <w:rPr>
          <w:color w:val="231F20"/>
          <w:spacing w:val="-30"/>
          <w:w w:val="105"/>
        </w:rPr>
        <w:t> </w:t>
      </w:r>
      <w:r>
        <w:rPr>
          <w:color w:val="231F20"/>
          <w:w w:val="105"/>
        </w:rPr>
        <w:t>21,</w:t>
      </w:r>
      <w:r>
        <w:rPr>
          <w:color w:val="231F20"/>
          <w:spacing w:val="-30"/>
          <w:w w:val="105"/>
        </w:rPr>
        <w:t> </w:t>
      </w:r>
      <w:r>
        <w:rPr>
          <w:color w:val="231F20"/>
          <w:w w:val="105"/>
        </w:rPr>
        <w:t>23;</w:t>
      </w:r>
      <w:r>
        <w:rPr>
          <w:color w:val="231F20"/>
          <w:spacing w:val="-30"/>
          <w:w w:val="105"/>
        </w:rPr>
        <w:t> </w:t>
      </w:r>
      <w:r>
        <w:rPr>
          <w:color w:val="231F20"/>
          <w:w w:val="105"/>
        </w:rPr>
        <w:t>le</w:t>
      </w:r>
      <w:r>
        <w:rPr>
          <w:color w:val="231F20"/>
          <w:spacing w:val="-30"/>
          <w:w w:val="105"/>
        </w:rPr>
        <w:t> </w:t>
      </w:r>
      <w:r>
        <w:rPr>
          <w:color w:val="231F20"/>
          <w:w w:val="105"/>
        </w:rPr>
        <w:t>frazioni</w:t>
      </w:r>
      <w:r>
        <w:rPr>
          <w:color w:val="231F20"/>
          <w:spacing w:val="-30"/>
          <w:w w:val="105"/>
        </w:rPr>
        <w:t> </w:t>
      </w:r>
      <w:r>
        <w:rPr>
          <w:color w:val="231F20"/>
          <w:w w:val="105"/>
          <w:sz w:val="18"/>
        </w:rPr>
        <w:t>XXI</w:t>
      </w:r>
      <w:r>
        <w:rPr>
          <w:color w:val="231F20"/>
          <w:spacing w:val="-20"/>
          <w:w w:val="105"/>
          <w:sz w:val="18"/>
        </w:rPr>
        <w:t> </w:t>
      </w:r>
      <w:r>
        <w:rPr>
          <w:color w:val="231F20"/>
          <w:w w:val="105"/>
        </w:rPr>
        <w:t>e</w:t>
      </w:r>
      <w:r>
        <w:rPr>
          <w:color w:val="231F20"/>
          <w:spacing w:val="-30"/>
          <w:w w:val="105"/>
        </w:rPr>
        <w:t> </w:t>
      </w:r>
      <w:r>
        <w:rPr>
          <w:color w:val="231F20"/>
          <w:w w:val="105"/>
          <w:sz w:val="18"/>
        </w:rPr>
        <w:t>XXIII </w:t>
      </w:r>
      <w:r>
        <w:rPr>
          <w:color w:val="231F20"/>
        </w:rPr>
        <w:t>dell’articolo</w:t>
      </w:r>
      <w:r>
        <w:rPr>
          <w:color w:val="231F20"/>
          <w:spacing w:val="-32"/>
        </w:rPr>
        <w:t> </w:t>
      </w:r>
      <w:r>
        <w:rPr>
          <w:color w:val="231F20"/>
        </w:rPr>
        <w:t>73;</w:t>
      </w:r>
      <w:r>
        <w:rPr>
          <w:color w:val="231F20"/>
          <w:spacing w:val="-32"/>
        </w:rPr>
        <w:t> </w:t>
      </w:r>
      <w:r>
        <w:rPr>
          <w:color w:val="231F20"/>
        </w:rPr>
        <w:t>la</w:t>
      </w:r>
      <w:r>
        <w:rPr>
          <w:color w:val="231F20"/>
          <w:spacing w:val="-32"/>
        </w:rPr>
        <w:t> </w:t>
      </w:r>
      <w:r>
        <w:rPr>
          <w:color w:val="231F20"/>
        </w:rPr>
        <w:t>frazione</w:t>
      </w:r>
      <w:r>
        <w:rPr>
          <w:color w:val="231F20"/>
          <w:spacing w:val="-34"/>
        </w:rPr>
        <w:t> </w:t>
      </w:r>
      <w:r>
        <w:rPr>
          <w:color w:val="231F20"/>
          <w:sz w:val="18"/>
        </w:rPr>
        <w:t>VII</w:t>
      </w:r>
      <w:r>
        <w:rPr>
          <w:color w:val="231F20"/>
          <w:spacing w:val="-23"/>
          <w:sz w:val="18"/>
        </w:rPr>
        <w:t> </w:t>
      </w:r>
      <w:r>
        <w:rPr>
          <w:color w:val="231F20"/>
        </w:rPr>
        <w:t>del</w:t>
      </w:r>
      <w:r>
        <w:rPr>
          <w:color w:val="231F20"/>
          <w:spacing w:val="-32"/>
        </w:rPr>
        <w:t> </w:t>
      </w:r>
      <w:r>
        <w:rPr>
          <w:color w:val="231F20"/>
        </w:rPr>
        <w:t>articolo</w:t>
      </w:r>
      <w:r>
        <w:rPr>
          <w:color w:val="231F20"/>
          <w:spacing w:val="-32"/>
        </w:rPr>
        <w:t> </w:t>
      </w:r>
      <w:r>
        <w:rPr>
          <w:color w:val="231F20"/>
        </w:rPr>
        <w:t>115</w:t>
      </w:r>
      <w:r>
        <w:rPr>
          <w:color w:val="231F20"/>
          <w:spacing w:val="-32"/>
        </w:rPr>
        <w:t> </w:t>
      </w:r>
      <w:r>
        <w:rPr>
          <w:color w:val="231F20"/>
        </w:rPr>
        <w:t>e</w:t>
      </w:r>
      <w:r>
        <w:rPr>
          <w:color w:val="231F20"/>
          <w:spacing w:val="-32"/>
        </w:rPr>
        <w:t> </w:t>
      </w:r>
      <w:r>
        <w:rPr>
          <w:color w:val="231F20"/>
        </w:rPr>
        <w:t>la</w:t>
      </w:r>
      <w:r>
        <w:rPr>
          <w:color w:val="231F20"/>
          <w:spacing w:val="-32"/>
        </w:rPr>
        <w:t> </w:t>
      </w:r>
      <w:r>
        <w:rPr>
          <w:color w:val="231F20"/>
        </w:rPr>
        <w:t>frazione</w:t>
      </w:r>
      <w:r>
        <w:rPr>
          <w:color w:val="231F20"/>
          <w:spacing w:val="-34"/>
        </w:rPr>
        <w:t> </w:t>
      </w:r>
      <w:r>
        <w:rPr>
          <w:color w:val="231F20"/>
          <w:sz w:val="18"/>
        </w:rPr>
        <w:t>XIII</w:t>
      </w:r>
      <w:r>
        <w:rPr>
          <w:color w:val="231F20"/>
          <w:spacing w:val="-23"/>
          <w:sz w:val="18"/>
        </w:rPr>
        <w:t> </w:t>
      </w:r>
      <w:r>
        <w:rPr>
          <w:color w:val="231F20"/>
        </w:rPr>
        <w:t>dell’appartato</w:t>
      </w:r>
      <w:r>
        <w:rPr>
          <w:color w:val="231F20"/>
          <w:spacing w:val="-32"/>
        </w:rPr>
        <w:t> </w:t>
      </w:r>
      <w:r>
        <w:rPr>
          <w:color w:val="231F20"/>
        </w:rPr>
        <w:t>B dell’articolo</w:t>
      </w:r>
      <w:r>
        <w:rPr>
          <w:color w:val="231F20"/>
          <w:spacing w:val="-26"/>
        </w:rPr>
        <w:t> </w:t>
      </w:r>
      <w:r>
        <w:rPr>
          <w:color w:val="231F20"/>
        </w:rPr>
        <w:t>123</w:t>
      </w:r>
      <w:r>
        <w:rPr>
          <w:color w:val="231F20"/>
          <w:spacing w:val="-26"/>
        </w:rPr>
        <w:t> </w:t>
      </w:r>
      <w:r>
        <w:rPr>
          <w:color w:val="231F20"/>
        </w:rPr>
        <w:t>costituzionali.</w:t>
      </w:r>
      <w:r>
        <w:rPr>
          <w:color w:val="231F20"/>
          <w:spacing w:val="-26"/>
        </w:rPr>
        <w:t> </w:t>
      </w:r>
      <w:r>
        <w:rPr>
          <w:color w:val="231F20"/>
        </w:rPr>
        <w:t>Nell’articolo</w:t>
      </w:r>
      <w:r>
        <w:rPr>
          <w:color w:val="231F20"/>
          <w:spacing w:val="-26"/>
        </w:rPr>
        <w:t> </w:t>
      </w:r>
      <w:r>
        <w:rPr>
          <w:color w:val="231F20"/>
        </w:rPr>
        <w:t>16,</w:t>
      </w:r>
      <w:r>
        <w:rPr>
          <w:color w:val="231F20"/>
          <w:spacing w:val="-26"/>
        </w:rPr>
        <w:t> </w:t>
      </w:r>
      <w:r>
        <w:rPr>
          <w:color w:val="231F20"/>
        </w:rPr>
        <w:t>paragrafo</w:t>
      </w:r>
      <w:r>
        <w:rPr>
          <w:color w:val="231F20"/>
          <w:spacing w:val="-26"/>
        </w:rPr>
        <w:t> </w:t>
      </w:r>
      <w:r>
        <w:rPr>
          <w:color w:val="231F20"/>
        </w:rPr>
        <w:t>settimo,</w:t>
      </w:r>
      <w:r>
        <w:rPr>
          <w:color w:val="231F20"/>
          <w:spacing w:val="-26"/>
        </w:rPr>
        <w:t> </w:t>
      </w:r>
      <w:r>
        <w:rPr>
          <w:color w:val="231F20"/>
        </w:rPr>
        <w:t>si</w:t>
      </w:r>
      <w:r>
        <w:rPr>
          <w:color w:val="231F20"/>
          <w:spacing w:val="-27"/>
        </w:rPr>
        <w:t> </w:t>
      </w:r>
      <w:r>
        <w:rPr>
          <w:color w:val="231F20"/>
        </w:rPr>
        <w:t>è</w:t>
      </w:r>
      <w:r>
        <w:rPr>
          <w:color w:val="231F20"/>
          <w:spacing w:val="-26"/>
        </w:rPr>
        <w:t> </w:t>
      </w:r>
      <w:r>
        <w:rPr>
          <w:color w:val="231F20"/>
        </w:rPr>
        <w:t>inclusa </w:t>
      </w:r>
      <w:r>
        <w:rPr>
          <w:color w:val="231F20"/>
          <w:w w:val="105"/>
        </w:rPr>
        <w:t>una</w:t>
      </w:r>
      <w:r>
        <w:rPr>
          <w:color w:val="231F20"/>
          <w:spacing w:val="-22"/>
          <w:w w:val="105"/>
        </w:rPr>
        <w:t> </w:t>
      </w:r>
      <w:r>
        <w:rPr>
          <w:color w:val="231F20"/>
          <w:w w:val="105"/>
        </w:rPr>
        <w:t>descrizione</w:t>
      </w:r>
      <w:r>
        <w:rPr>
          <w:color w:val="231F20"/>
          <w:spacing w:val="-22"/>
          <w:w w:val="105"/>
        </w:rPr>
        <w:t> </w:t>
      </w:r>
      <w:r>
        <w:rPr>
          <w:color w:val="231F20"/>
          <w:w w:val="105"/>
        </w:rPr>
        <w:t>della</w:t>
      </w:r>
      <w:r>
        <w:rPr>
          <w:color w:val="231F20"/>
          <w:spacing w:val="-22"/>
          <w:w w:val="105"/>
        </w:rPr>
        <w:t> </w:t>
      </w:r>
      <w:r>
        <w:rPr>
          <w:color w:val="231F20"/>
          <w:w w:val="105"/>
        </w:rPr>
        <w:t>criminalità</w:t>
      </w:r>
      <w:r>
        <w:rPr>
          <w:color w:val="231F20"/>
          <w:spacing w:val="-22"/>
          <w:w w:val="105"/>
        </w:rPr>
        <w:t> </w:t>
      </w:r>
      <w:r>
        <w:rPr>
          <w:color w:val="231F20"/>
          <w:w w:val="105"/>
        </w:rPr>
        <w:t>organizzata,</w:t>
      </w:r>
      <w:r>
        <w:rPr>
          <w:color w:val="231F20"/>
          <w:spacing w:val="-22"/>
          <w:w w:val="105"/>
        </w:rPr>
        <w:t> </w:t>
      </w:r>
      <w:r>
        <w:rPr>
          <w:color w:val="231F20"/>
          <w:w w:val="105"/>
        </w:rPr>
        <w:t>assai</w:t>
      </w:r>
      <w:r>
        <w:rPr>
          <w:color w:val="231F20"/>
          <w:spacing w:val="-22"/>
          <w:w w:val="105"/>
        </w:rPr>
        <w:t> </w:t>
      </w:r>
      <w:r>
        <w:rPr>
          <w:color w:val="231F20"/>
          <w:w w:val="105"/>
        </w:rPr>
        <w:t>generica</w:t>
      </w:r>
      <w:r>
        <w:rPr>
          <w:color w:val="231F20"/>
          <w:spacing w:val="-22"/>
          <w:w w:val="105"/>
        </w:rPr>
        <w:t> </w:t>
      </w:r>
      <w:r>
        <w:rPr>
          <w:color w:val="231F20"/>
          <w:w w:val="105"/>
        </w:rPr>
        <w:t>ed</w:t>
      </w:r>
      <w:r>
        <w:rPr>
          <w:color w:val="231F20"/>
          <w:spacing w:val="-22"/>
          <w:w w:val="105"/>
        </w:rPr>
        <w:t> </w:t>
      </w:r>
      <w:r>
        <w:rPr>
          <w:color w:val="231F20"/>
          <w:w w:val="105"/>
        </w:rPr>
        <w:t>ambigua: “per</w:t>
      </w:r>
      <w:r>
        <w:rPr>
          <w:color w:val="231F20"/>
          <w:spacing w:val="-10"/>
          <w:w w:val="105"/>
        </w:rPr>
        <w:t> </w:t>
      </w:r>
      <w:r>
        <w:rPr>
          <w:color w:val="231F20"/>
          <w:w w:val="105"/>
        </w:rPr>
        <w:t>criminalità</w:t>
      </w:r>
      <w:r>
        <w:rPr>
          <w:color w:val="231F20"/>
          <w:spacing w:val="-10"/>
          <w:w w:val="105"/>
        </w:rPr>
        <w:t> </w:t>
      </w:r>
      <w:r>
        <w:rPr>
          <w:color w:val="231F20"/>
          <w:w w:val="105"/>
        </w:rPr>
        <w:t>organizzata</w:t>
      </w:r>
      <w:r>
        <w:rPr>
          <w:color w:val="231F20"/>
          <w:spacing w:val="-10"/>
          <w:w w:val="105"/>
        </w:rPr>
        <w:t> </w:t>
      </w:r>
      <w:r>
        <w:rPr>
          <w:color w:val="231F20"/>
          <w:w w:val="105"/>
        </w:rPr>
        <w:t>si</w:t>
      </w:r>
      <w:r>
        <w:rPr>
          <w:color w:val="231F20"/>
          <w:spacing w:val="-10"/>
          <w:w w:val="105"/>
        </w:rPr>
        <w:t> </w:t>
      </w:r>
      <w:r>
        <w:rPr>
          <w:color w:val="231F20"/>
          <w:w w:val="105"/>
        </w:rPr>
        <w:t>intende</w:t>
      </w:r>
      <w:r>
        <w:rPr>
          <w:color w:val="231F20"/>
          <w:spacing w:val="-10"/>
          <w:w w:val="105"/>
        </w:rPr>
        <w:t> </w:t>
      </w:r>
      <w:r>
        <w:rPr>
          <w:color w:val="231F20"/>
          <w:w w:val="105"/>
        </w:rPr>
        <w:t>un’organizzazione</w:t>
      </w:r>
      <w:r>
        <w:rPr>
          <w:color w:val="231F20"/>
          <w:spacing w:val="-10"/>
          <w:w w:val="105"/>
        </w:rPr>
        <w:t> </w:t>
      </w:r>
      <w:r>
        <w:rPr>
          <w:color w:val="231F20"/>
          <w:w w:val="105"/>
        </w:rPr>
        <w:t>di</w:t>
      </w:r>
      <w:r>
        <w:rPr>
          <w:color w:val="231F20"/>
          <w:spacing w:val="-10"/>
          <w:w w:val="105"/>
        </w:rPr>
        <w:t> </w:t>
      </w:r>
      <w:r>
        <w:rPr>
          <w:color w:val="231F20"/>
          <w:w w:val="105"/>
        </w:rPr>
        <w:t>fatto</w:t>
      </w:r>
      <w:r>
        <w:rPr>
          <w:color w:val="231F20"/>
          <w:spacing w:val="-10"/>
          <w:w w:val="105"/>
        </w:rPr>
        <w:t> </w:t>
      </w:r>
      <w:r>
        <w:rPr>
          <w:color w:val="231F20"/>
          <w:w w:val="105"/>
        </w:rPr>
        <w:t>di</w:t>
      </w:r>
      <w:r>
        <w:rPr>
          <w:color w:val="231F20"/>
          <w:spacing w:val="-10"/>
          <w:w w:val="105"/>
        </w:rPr>
        <w:t> </w:t>
      </w:r>
      <w:r>
        <w:rPr>
          <w:color w:val="231F20"/>
          <w:w w:val="105"/>
        </w:rPr>
        <w:t>più</w:t>
      </w:r>
      <w:r>
        <w:rPr>
          <w:color w:val="231F20"/>
          <w:spacing w:val="-10"/>
          <w:w w:val="105"/>
        </w:rPr>
        <w:t> </w:t>
      </w:r>
      <w:r>
        <w:rPr>
          <w:color w:val="231F20"/>
          <w:w w:val="105"/>
        </w:rPr>
        <w:t>o tre</w:t>
      </w:r>
      <w:r>
        <w:rPr>
          <w:color w:val="231F20"/>
          <w:spacing w:val="-28"/>
          <w:w w:val="105"/>
        </w:rPr>
        <w:t> </w:t>
      </w:r>
      <w:r>
        <w:rPr>
          <w:color w:val="231F20"/>
          <w:w w:val="105"/>
        </w:rPr>
        <w:t>persone,</w:t>
      </w:r>
      <w:r>
        <w:rPr>
          <w:color w:val="231F20"/>
          <w:spacing w:val="-28"/>
          <w:w w:val="105"/>
        </w:rPr>
        <w:t> </w:t>
      </w:r>
      <w:r>
        <w:rPr>
          <w:color w:val="231F20"/>
          <w:w w:val="105"/>
        </w:rPr>
        <w:t>per</w:t>
      </w:r>
      <w:r>
        <w:rPr>
          <w:color w:val="231F20"/>
          <w:spacing w:val="-28"/>
          <w:w w:val="105"/>
        </w:rPr>
        <w:t> </w:t>
      </w:r>
      <w:r>
        <w:rPr>
          <w:color w:val="231F20"/>
          <w:w w:val="105"/>
        </w:rPr>
        <w:t>commettere</w:t>
      </w:r>
      <w:r>
        <w:rPr>
          <w:color w:val="231F20"/>
          <w:spacing w:val="-28"/>
          <w:w w:val="105"/>
        </w:rPr>
        <w:t> </w:t>
      </w:r>
      <w:r>
        <w:rPr>
          <w:color w:val="231F20"/>
          <w:w w:val="105"/>
        </w:rPr>
        <w:t>delitti</w:t>
      </w:r>
      <w:r>
        <w:rPr>
          <w:color w:val="231F20"/>
          <w:spacing w:val="-28"/>
          <w:w w:val="105"/>
        </w:rPr>
        <w:t> </w:t>
      </w:r>
      <w:r>
        <w:rPr>
          <w:color w:val="231F20"/>
          <w:w w:val="105"/>
        </w:rPr>
        <w:t>in</w:t>
      </w:r>
      <w:r>
        <w:rPr>
          <w:color w:val="231F20"/>
          <w:spacing w:val="-28"/>
          <w:w w:val="105"/>
        </w:rPr>
        <w:t> </w:t>
      </w:r>
      <w:r>
        <w:rPr>
          <w:color w:val="231F20"/>
          <w:w w:val="105"/>
        </w:rPr>
        <w:t>forma</w:t>
      </w:r>
      <w:r>
        <w:rPr>
          <w:color w:val="231F20"/>
          <w:spacing w:val="-28"/>
          <w:w w:val="105"/>
        </w:rPr>
        <w:t> </w:t>
      </w:r>
      <w:r>
        <w:rPr>
          <w:color w:val="231F20"/>
          <w:w w:val="105"/>
        </w:rPr>
        <w:t>permanente</w:t>
      </w:r>
      <w:r>
        <w:rPr>
          <w:color w:val="231F20"/>
          <w:spacing w:val="-28"/>
          <w:w w:val="105"/>
        </w:rPr>
        <w:t> </w:t>
      </w:r>
      <w:r>
        <w:rPr>
          <w:color w:val="231F20"/>
          <w:w w:val="105"/>
        </w:rPr>
        <w:t>o</w:t>
      </w:r>
      <w:r>
        <w:rPr>
          <w:color w:val="231F20"/>
          <w:spacing w:val="-28"/>
          <w:w w:val="105"/>
        </w:rPr>
        <w:t> </w:t>
      </w:r>
      <w:r>
        <w:rPr>
          <w:color w:val="231F20"/>
          <w:w w:val="105"/>
        </w:rPr>
        <w:t>reiterativa,</w:t>
      </w:r>
      <w:r>
        <w:rPr>
          <w:color w:val="231F20"/>
          <w:spacing w:val="-28"/>
          <w:w w:val="105"/>
        </w:rPr>
        <w:t> </w:t>
      </w:r>
      <w:r>
        <w:rPr>
          <w:color w:val="231F20"/>
          <w:w w:val="105"/>
        </w:rPr>
        <w:t>nei termini</w:t>
      </w:r>
      <w:r>
        <w:rPr>
          <w:color w:val="231F20"/>
          <w:spacing w:val="-29"/>
          <w:w w:val="105"/>
        </w:rPr>
        <w:t> </w:t>
      </w:r>
      <w:r>
        <w:rPr>
          <w:color w:val="231F20"/>
          <w:w w:val="105"/>
        </w:rPr>
        <w:t>della</w:t>
      </w:r>
      <w:r>
        <w:rPr>
          <w:color w:val="231F20"/>
          <w:spacing w:val="-29"/>
          <w:w w:val="105"/>
        </w:rPr>
        <w:t> </w:t>
      </w:r>
      <w:r>
        <w:rPr>
          <w:color w:val="231F20"/>
          <w:w w:val="105"/>
        </w:rPr>
        <w:t>legge</w:t>
      </w:r>
      <w:r>
        <w:rPr>
          <w:color w:val="231F20"/>
          <w:spacing w:val="-29"/>
          <w:w w:val="105"/>
        </w:rPr>
        <w:t> </w:t>
      </w:r>
      <w:r>
        <w:rPr>
          <w:color w:val="231F20"/>
          <w:w w:val="105"/>
        </w:rPr>
        <w:t>in</w:t>
      </w:r>
      <w:r>
        <w:rPr>
          <w:color w:val="231F20"/>
          <w:spacing w:val="-29"/>
          <w:w w:val="105"/>
        </w:rPr>
        <w:t> </w:t>
      </w:r>
      <w:r>
        <w:rPr>
          <w:color w:val="231F20"/>
          <w:w w:val="105"/>
        </w:rPr>
        <w:t>materia”</w:t>
      </w:r>
      <w:r>
        <w:rPr>
          <w:color w:val="231F20"/>
          <w:w w:val="105"/>
          <w:position w:val="7"/>
          <w:sz w:val="12"/>
        </w:rPr>
        <w:t>21</w:t>
      </w:r>
      <w:r>
        <w:rPr>
          <w:color w:val="231F20"/>
          <w:w w:val="105"/>
        </w:rPr>
        <w:t>.</w:t>
      </w:r>
    </w:p>
    <w:p>
      <w:pPr>
        <w:pStyle w:val="BodyText"/>
        <w:spacing w:line="252" w:lineRule="exact"/>
        <w:ind w:left="670"/>
      </w:pPr>
      <w:r>
        <w:rPr>
          <w:color w:val="231F20"/>
        </w:rPr>
        <w:t>Jorge Carpizo realizzò alcune osservazioni sulla modifica di    questo</w:t>
      </w:r>
    </w:p>
    <w:p>
      <w:pPr>
        <w:pStyle w:val="BodyText"/>
        <w:spacing w:before="6"/>
        <w:ind w:left="103"/>
      </w:pPr>
      <w:r>
        <w:rPr>
          <w:color w:val="231F20"/>
        </w:rPr>
        <w:t>articolo:</w:t>
      </w:r>
    </w:p>
    <w:p>
      <w:pPr>
        <w:pStyle w:val="BodyText"/>
        <w:spacing w:before="6"/>
        <w:rPr>
          <w:sz w:val="23"/>
        </w:rPr>
      </w:pPr>
    </w:p>
    <w:p>
      <w:pPr>
        <w:pStyle w:val="ListParagraph"/>
        <w:numPr>
          <w:ilvl w:val="0"/>
          <w:numId w:val="10"/>
        </w:numPr>
        <w:tabs>
          <w:tab w:pos="1882" w:val="left" w:leader="none"/>
        </w:tabs>
        <w:spacing w:line="220" w:lineRule="exact" w:before="0" w:after="0"/>
        <w:ind w:left="1881" w:right="114" w:hanging="360"/>
        <w:jc w:val="both"/>
        <w:rPr>
          <w:sz w:val="19"/>
        </w:rPr>
      </w:pPr>
      <w:r>
        <w:rPr>
          <w:color w:val="231F20"/>
          <w:w w:val="105"/>
          <w:sz w:val="19"/>
        </w:rPr>
        <w:t>Si definì per la prima volta nella Costituzione il concetto di “criminalità</w:t>
      </w:r>
      <w:r>
        <w:rPr>
          <w:color w:val="231F20"/>
          <w:spacing w:val="-27"/>
          <w:w w:val="105"/>
          <w:sz w:val="19"/>
        </w:rPr>
        <w:t> </w:t>
      </w:r>
      <w:r>
        <w:rPr>
          <w:color w:val="231F20"/>
          <w:w w:val="105"/>
          <w:sz w:val="19"/>
        </w:rPr>
        <w:t>organizzata”</w:t>
      </w:r>
      <w:r>
        <w:rPr>
          <w:color w:val="231F20"/>
          <w:spacing w:val="-27"/>
          <w:w w:val="105"/>
          <w:sz w:val="19"/>
        </w:rPr>
        <w:t> </w:t>
      </w:r>
      <w:r>
        <w:rPr>
          <w:color w:val="231F20"/>
          <w:w w:val="105"/>
          <w:sz w:val="19"/>
        </w:rPr>
        <w:t>ma</w:t>
      </w:r>
      <w:r>
        <w:rPr>
          <w:color w:val="231F20"/>
          <w:spacing w:val="-27"/>
          <w:w w:val="105"/>
          <w:sz w:val="19"/>
        </w:rPr>
        <w:t> </w:t>
      </w:r>
      <w:r>
        <w:rPr>
          <w:color w:val="231F20"/>
          <w:w w:val="105"/>
          <w:sz w:val="19"/>
        </w:rPr>
        <w:t>risulta</w:t>
      </w:r>
      <w:r>
        <w:rPr>
          <w:color w:val="231F20"/>
          <w:spacing w:val="-27"/>
          <w:w w:val="105"/>
          <w:sz w:val="19"/>
        </w:rPr>
        <w:t> </w:t>
      </w:r>
      <w:r>
        <w:rPr>
          <w:color w:val="231F20"/>
          <w:w w:val="105"/>
          <w:sz w:val="19"/>
        </w:rPr>
        <w:t>essere</w:t>
      </w:r>
      <w:r>
        <w:rPr>
          <w:color w:val="231F20"/>
          <w:spacing w:val="-27"/>
          <w:w w:val="105"/>
          <w:sz w:val="19"/>
        </w:rPr>
        <w:t> </w:t>
      </w:r>
      <w:r>
        <w:rPr>
          <w:color w:val="231F20"/>
          <w:w w:val="105"/>
          <w:sz w:val="19"/>
        </w:rPr>
        <w:t>ampia,</w:t>
      </w:r>
      <w:r>
        <w:rPr>
          <w:color w:val="231F20"/>
          <w:spacing w:val="-27"/>
          <w:w w:val="105"/>
          <w:sz w:val="19"/>
        </w:rPr>
        <w:t> </w:t>
      </w:r>
      <w:r>
        <w:rPr>
          <w:color w:val="231F20"/>
          <w:w w:val="105"/>
          <w:sz w:val="19"/>
        </w:rPr>
        <w:t>imprecisa, e</w:t>
      </w:r>
      <w:r>
        <w:rPr>
          <w:color w:val="231F20"/>
          <w:spacing w:val="-22"/>
          <w:w w:val="105"/>
          <w:sz w:val="19"/>
        </w:rPr>
        <w:t> </w:t>
      </w:r>
      <w:r>
        <w:rPr>
          <w:color w:val="231F20"/>
          <w:w w:val="105"/>
          <w:sz w:val="19"/>
        </w:rPr>
        <w:t>quindi,</w:t>
      </w:r>
      <w:r>
        <w:rPr>
          <w:color w:val="231F20"/>
          <w:spacing w:val="-22"/>
          <w:w w:val="105"/>
          <w:sz w:val="19"/>
        </w:rPr>
        <w:t> </w:t>
      </w:r>
      <w:r>
        <w:rPr>
          <w:color w:val="231F20"/>
          <w:w w:val="105"/>
          <w:sz w:val="19"/>
        </w:rPr>
        <w:t>pericolosa</w:t>
      </w:r>
      <w:r>
        <w:rPr>
          <w:color w:val="231F20"/>
          <w:spacing w:val="-22"/>
          <w:w w:val="105"/>
          <w:sz w:val="19"/>
        </w:rPr>
        <w:t> </w:t>
      </w:r>
      <w:r>
        <w:rPr>
          <w:color w:val="231F20"/>
          <w:w w:val="105"/>
          <w:sz w:val="19"/>
        </w:rPr>
        <w:t>per</w:t>
      </w:r>
      <w:r>
        <w:rPr>
          <w:color w:val="231F20"/>
          <w:spacing w:val="-22"/>
          <w:w w:val="105"/>
          <w:sz w:val="19"/>
        </w:rPr>
        <w:t> </w:t>
      </w:r>
      <w:r>
        <w:rPr>
          <w:color w:val="231F20"/>
          <w:w w:val="105"/>
          <w:sz w:val="19"/>
        </w:rPr>
        <w:t>le</w:t>
      </w:r>
      <w:r>
        <w:rPr>
          <w:color w:val="231F20"/>
          <w:spacing w:val="-22"/>
          <w:w w:val="105"/>
          <w:sz w:val="19"/>
        </w:rPr>
        <w:t> </w:t>
      </w:r>
      <w:r>
        <w:rPr>
          <w:color w:val="231F20"/>
          <w:w w:val="105"/>
          <w:sz w:val="19"/>
        </w:rPr>
        <w:t>libertà.</w:t>
      </w:r>
    </w:p>
    <w:p>
      <w:pPr>
        <w:pStyle w:val="BodyText"/>
        <w:spacing w:before="1"/>
        <w:rPr>
          <w:sz w:val="14"/>
        </w:rPr>
      </w:pPr>
    </w:p>
    <w:p>
      <w:pPr>
        <w:pStyle w:val="ListParagraph"/>
        <w:numPr>
          <w:ilvl w:val="0"/>
          <w:numId w:val="10"/>
        </w:numPr>
        <w:tabs>
          <w:tab w:pos="1882" w:val="left" w:leader="none"/>
        </w:tabs>
        <w:spacing w:line="220" w:lineRule="exact" w:before="0" w:after="0"/>
        <w:ind w:left="1881" w:right="113" w:hanging="360"/>
        <w:jc w:val="both"/>
        <w:rPr>
          <w:sz w:val="19"/>
        </w:rPr>
      </w:pPr>
      <w:r>
        <w:rPr>
          <w:color w:val="231F20"/>
          <w:w w:val="105"/>
          <w:sz w:val="19"/>
        </w:rPr>
        <w:t>Implica</w:t>
      </w:r>
      <w:r>
        <w:rPr>
          <w:color w:val="231F20"/>
          <w:spacing w:val="-11"/>
          <w:w w:val="105"/>
          <w:sz w:val="19"/>
        </w:rPr>
        <w:t> </w:t>
      </w:r>
      <w:r>
        <w:rPr>
          <w:color w:val="231F20"/>
          <w:w w:val="105"/>
          <w:sz w:val="19"/>
        </w:rPr>
        <w:t>la</w:t>
      </w:r>
      <w:r>
        <w:rPr>
          <w:color w:val="231F20"/>
          <w:spacing w:val="-11"/>
          <w:w w:val="105"/>
          <w:sz w:val="19"/>
        </w:rPr>
        <w:t> </w:t>
      </w:r>
      <w:r>
        <w:rPr>
          <w:color w:val="231F20"/>
          <w:w w:val="105"/>
          <w:sz w:val="19"/>
        </w:rPr>
        <w:t>creazione</w:t>
      </w:r>
      <w:r>
        <w:rPr>
          <w:color w:val="231F20"/>
          <w:spacing w:val="-11"/>
          <w:w w:val="105"/>
          <w:sz w:val="19"/>
        </w:rPr>
        <w:t> </w:t>
      </w:r>
      <w:r>
        <w:rPr>
          <w:color w:val="231F20"/>
          <w:w w:val="105"/>
          <w:sz w:val="19"/>
        </w:rPr>
        <w:t>dei</w:t>
      </w:r>
      <w:r>
        <w:rPr>
          <w:color w:val="231F20"/>
          <w:spacing w:val="-11"/>
          <w:w w:val="105"/>
          <w:sz w:val="19"/>
        </w:rPr>
        <w:t> </w:t>
      </w:r>
      <w:r>
        <w:rPr>
          <w:color w:val="231F20"/>
          <w:w w:val="105"/>
          <w:sz w:val="19"/>
        </w:rPr>
        <w:t>diritti</w:t>
      </w:r>
      <w:r>
        <w:rPr>
          <w:color w:val="231F20"/>
          <w:spacing w:val="-11"/>
          <w:w w:val="105"/>
          <w:sz w:val="19"/>
        </w:rPr>
        <w:t> </w:t>
      </w:r>
      <w:r>
        <w:rPr>
          <w:color w:val="231F20"/>
          <w:w w:val="105"/>
          <w:sz w:val="19"/>
        </w:rPr>
        <w:t>penali;</w:t>
      </w:r>
      <w:r>
        <w:rPr>
          <w:color w:val="231F20"/>
          <w:spacing w:val="-11"/>
          <w:w w:val="105"/>
          <w:sz w:val="19"/>
        </w:rPr>
        <w:t> </w:t>
      </w:r>
      <w:r>
        <w:rPr>
          <w:color w:val="231F20"/>
          <w:w w:val="105"/>
          <w:sz w:val="19"/>
        </w:rPr>
        <w:t>l’ordinario,</w:t>
      </w:r>
      <w:r>
        <w:rPr>
          <w:color w:val="231F20"/>
          <w:spacing w:val="-11"/>
          <w:w w:val="105"/>
          <w:sz w:val="19"/>
        </w:rPr>
        <w:t> </w:t>
      </w:r>
      <w:r>
        <w:rPr>
          <w:color w:val="231F20"/>
          <w:w w:val="105"/>
          <w:sz w:val="19"/>
        </w:rPr>
        <w:t>con</w:t>
      </w:r>
      <w:r>
        <w:rPr>
          <w:color w:val="231F20"/>
          <w:spacing w:val="-11"/>
          <w:w w:val="105"/>
          <w:sz w:val="19"/>
        </w:rPr>
        <w:t> </w:t>
      </w:r>
      <w:r>
        <w:rPr>
          <w:color w:val="231F20"/>
          <w:w w:val="105"/>
          <w:sz w:val="19"/>
        </w:rPr>
        <w:t>ampie </w:t>
      </w:r>
      <w:r>
        <w:rPr>
          <w:color w:val="231F20"/>
          <w:spacing w:val="2"/>
          <w:w w:val="105"/>
          <w:sz w:val="19"/>
        </w:rPr>
        <w:t>garanzie </w:t>
      </w:r>
      <w:r>
        <w:rPr>
          <w:color w:val="231F20"/>
          <w:w w:val="105"/>
          <w:sz w:val="19"/>
        </w:rPr>
        <w:t>e </w:t>
      </w:r>
      <w:r>
        <w:rPr>
          <w:color w:val="231F20"/>
          <w:spacing w:val="2"/>
          <w:w w:val="105"/>
          <w:sz w:val="19"/>
        </w:rPr>
        <w:t>un’altro </w:t>
      </w:r>
      <w:r>
        <w:rPr>
          <w:color w:val="231F20"/>
          <w:w w:val="105"/>
          <w:sz w:val="19"/>
        </w:rPr>
        <w:t>di </w:t>
      </w:r>
      <w:r>
        <w:rPr>
          <w:color w:val="231F20"/>
          <w:spacing w:val="2"/>
          <w:w w:val="105"/>
          <w:sz w:val="19"/>
        </w:rPr>
        <w:t>carattere eccezionale, </w:t>
      </w:r>
      <w:r>
        <w:rPr>
          <w:color w:val="231F20"/>
          <w:w w:val="105"/>
          <w:sz w:val="19"/>
        </w:rPr>
        <w:t>con </w:t>
      </w:r>
      <w:r>
        <w:rPr>
          <w:color w:val="231F20"/>
          <w:spacing w:val="3"/>
          <w:w w:val="105"/>
          <w:sz w:val="19"/>
        </w:rPr>
        <w:t>garanzie </w:t>
      </w:r>
      <w:r>
        <w:rPr>
          <w:color w:val="231F20"/>
          <w:w w:val="105"/>
          <w:sz w:val="19"/>
        </w:rPr>
        <w:t>ridotte</w:t>
      </w:r>
      <w:r>
        <w:rPr>
          <w:color w:val="231F20"/>
          <w:spacing w:val="-26"/>
          <w:w w:val="105"/>
          <w:sz w:val="19"/>
        </w:rPr>
        <w:t> </w:t>
      </w:r>
      <w:r>
        <w:rPr>
          <w:color w:val="231F20"/>
          <w:w w:val="105"/>
          <w:sz w:val="19"/>
        </w:rPr>
        <w:t>o</w:t>
      </w:r>
      <w:r>
        <w:rPr>
          <w:color w:val="231F20"/>
          <w:spacing w:val="-26"/>
          <w:w w:val="105"/>
          <w:sz w:val="19"/>
        </w:rPr>
        <w:t> </w:t>
      </w:r>
      <w:r>
        <w:rPr>
          <w:color w:val="231F20"/>
          <w:w w:val="105"/>
          <w:sz w:val="19"/>
        </w:rPr>
        <w:t>“tagliate”,</w:t>
      </w:r>
      <w:r>
        <w:rPr>
          <w:color w:val="231F20"/>
          <w:spacing w:val="-26"/>
          <w:w w:val="105"/>
          <w:sz w:val="19"/>
        </w:rPr>
        <w:t> </w:t>
      </w:r>
      <w:r>
        <w:rPr>
          <w:color w:val="231F20"/>
          <w:w w:val="105"/>
          <w:sz w:val="19"/>
        </w:rPr>
        <w:t>il</w:t>
      </w:r>
      <w:r>
        <w:rPr>
          <w:color w:val="231F20"/>
          <w:spacing w:val="-26"/>
          <w:w w:val="105"/>
          <w:sz w:val="19"/>
        </w:rPr>
        <w:t> </w:t>
      </w:r>
      <w:r>
        <w:rPr>
          <w:color w:val="231F20"/>
          <w:w w:val="105"/>
          <w:sz w:val="19"/>
        </w:rPr>
        <w:t>cui</w:t>
      </w:r>
      <w:r>
        <w:rPr>
          <w:color w:val="231F20"/>
          <w:spacing w:val="-26"/>
          <w:w w:val="105"/>
          <w:sz w:val="19"/>
        </w:rPr>
        <w:t> </w:t>
      </w:r>
      <w:r>
        <w:rPr>
          <w:color w:val="231F20"/>
          <w:w w:val="105"/>
          <w:sz w:val="19"/>
        </w:rPr>
        <w:t>origine</w:t>
      </w:r>
      <w:r>
        <w:rPr>
          <w:color w:val="231F20"/>
          <w:spacing w:val="-26"/>
          <w:w w:val="105"/>
          <w:sz w:val="19"/>
        </w:rPr>
        <w:t> </w:t>
      </w:r>
      <w:r>
        <w:rPr>
          <w:color w:val="231F20"/>
          <w:w w:val="105"/>
          <w:sz w:val="19"/>
        </w:rPr>
        <w:t>si</w:t>
      </w:r>
      <w:r>
        <w:rPr>
          <w:color w:val="231F20"/>
          <w:spacing w:val="-26"/>
          <w:w w:val="105"/>
          <w:sz w:val="19"/>
        </w:rPr>
        <w:t> </w:t>
      </w:r>
      <w:r>
        <w:rPr>
          <w:color w:val="231F20"/>
          <w:w w:val="105"/>
          <w:sz w:val="19"/>
        </w:rPr>
        <w:t>trova</w:t>
      </w:r>
      <w:r>
        <w:rPr>
          <w:color w:val="231F20"/>
          <w:spacing w:val="-26"/>
          <w:w w:val="105"/>
          <w:sz w:val="19"/>
        </w:rPr>
        <w:t> </w:t>
      </w:r>
      <w:r>
        <w:rPr>
          <w:color w:val="231F20"/>
          <w:w w:val="105"/>
          <w:sz w:val="19"/>
        </w:rPr>
        <w:t>nella</w:t>
      </w:r>
      <w:r>
        <w:rPr>
          <w:color w:val="231F20"/>
          <w:spacing w:val="-26"/>
          <w:w w:val="105"/>
          <w:sz w:val="19"/>
        </w:rPr>
        <w:t> </w:t>
      </w:r>
      <w:r>
        <w:rPr>
          <w:color w:val="231F20"/>
          <w:w w:val="105"/>
          <w:sz w:val="19"/>
        </w:rPr>
        <w:t>Legge</w:t>
      </w:r>
      <w:r>
        <w:rPr>
          <w:color w:val="231F20"/>
          <w:spacing w:val="-26"/>
          <w:w w:val="105"/>
          <w:sz w:val="19"/>
        </w:rPr>
        <w:t> </w:t>
      </w:r>
      <w:r>
        <w:rPr>
          <w:color w:val="231F20"/>
          <w:w w:val="105"/>
          <w:sz w:val="19"/>
        </w:rPr>
        <w:t>Federale contro</w:t>
      </w:r>
      <w:r>
        <w:rPr>
          <w:color w:val="231F20"/>
          <w:spacing w:val="-23"/>
          <w:w w:val="105"/>
          <w:sz w:val="19"/>
        </w:rPr>
        <w:t> </w:t>
      </w:r>
      <w:r>
        <w:rPr>
          <w:color w:val="231F20"/>
          <w:w w:val="105"/>
          <w:sz w:val="19"/>
        </w:rPr>
        <w:t>la</w:t>
      </w:r>
      <w:r>
        <w:rPr>
          <w:color w:val="231F20"/>
          <w:spacing w:val="-23"/>
          <w:w w:val="105"/>
          <w:sz w:val="19"/>
        </w:rPr>
        <w:t> </w:t>
      </w:r>
      <w:r>
        <w:rPr>
          <w:color w:val="231F20"/>
          <w:w w:val="105"/>
          <w:sz w:val="19"/>
        </w:rPr>
        <w:t>Criminalità</w:t>
      </w:r>
      <w:r>
        <w:rPr>
          <w:color w:val="231F20"/>
          <w:spacing w:val="-23"/>
          <w:w w:val="105"/>
          <w:sz w:val="19"/>
        </w:rPr>
        <w:t> </w:t>
      </w:r>
      <w:r>
        <w:rPr>
          <w:color w:val="231F20"/>
          <w:w w:val="105"/>
          <w:sz w:val="19"/>
        </w:rPr>
        <w:t>Organizzata</w:t>
      </w:r>
      <w:r>
        <w:rPr>
          <w:color w:val="231F20"/>
          <w:spacing w:val="-23"/>
          <w:w w:val="105"/>
          <w:sz w:val="19"/>
        </w:rPr>
        <w:t> </w:t>
      </w:r>
      <w:r>
        <w:rPr>
          <w:color w:val="231F20"/>
          <w:w w:val="105"/>
          <w:sz w:val="19"/>
        </w:rPr>
        <w:t>del</w:t>
      </w:r>
      <w:r>
        <w:rPr>
          <w:color w:val="231F20"/>
          <w:spacing w:val="-23"/>
          <w:w w:val="105"/>
          <w:sz w:val="19"/>
        </w:rPr>
        <w:t> </w:t>
      </w:r>
      <w:r>
        <w:rPr>
          <w:color w:val="231F20"/>
          <w:w w:val="105"/>
          <w:sz w:val="19"/>
        </w:rPr>
        <w:t>1996,</w:t>
      </w:r>
      <w:r>
        <w:rPr>
          <w:color w:val="231F20"/>
          <w:spacing w:val="-23"/>
          <w:w w:val="105"/>
          <w:sz w:val="19"/>
        </w:rPr>
        <w:t> </w:t>
      </w:r>
      <w:r>
        <w:rPr>
          <w:color w:val="231F20"/>
          <w:w w:val="105"/>
          <w:sz w:val="19"/>
        </w:rPr>
        <w:t>la</w:t>
      </w:r>
      <w:r>
        <w:rPr>
          <w:color w:val="231F20"/>
          <w:spacing w:val="-23"/>
          <w:w w:val="105"/>
          <w:sz w:val="19"/>
        </w:rPr>
        <w:t> </w:t>
      </w:r>
      <w:r>
        <w:rPr>
          <w:color w:val="231F20"/>
          <w:w w:val="105"/>
          <w:sz w:val="19"/>
        </w:rPr>
        <w:t>cui</w:t>
      </w:r>
      <w:r>
        <w:rPr>
          <w:color w:val="231F20"/>
          <w:spacing w:val="-23"/>
          <w:w w:val="105"/>
          <w:sz w:val="19"/>
        </w:rPr>
        <w:t> </w:t>
      </w:r>
      <w:r>
        <w:rPr>
          <w:color w:val="231F20"/>
          <w:w w:val="105"/>
          <w:sz w:val="19"/>
        </w:rPr>
        <w:t>aprì</w:t>
      </w:r>
      <w:r>
        <w:rPr>
          <w:color w:val="231F20"/>
          <w:spacing w:val="-23"/>
          <w:w w:val="105"/>
          <w:sz w:val="19"/>
        </w:rPr>
        <w:t> </w:t>
      </w:r>
      <w:r>
        <w:rPr>
          <w:color w:val="231F20"/>
          <w:w w:val="105"/>
          <w:sz w:val="19"/>
        </w:rPr>
        <w:t>una</w:t>
      </w:r>
      <w:r>
        <w:rPr>
          <w:color w:val="231F20"/>
          <w:spacing w:val="-23"/>
          <w:w w:val="105"/>
          <w:sz w:val="19"/>
        </w:rPr>
        <w:t> </w:t>
      </w:r>
      <w:r>
        <w:rPr>
          <w:color w:val="231F20"/>
          <w:w w:val="105"/>
          <w:sz w:val="19"/>
        </w:rPr>
        <w:t>via “sgarante”.</w:t>
      </w:r>
    </w:p>
    <w:p>
      <w:pPr>
        <w:pStyle w:val="BodyText"/>
        <w:spacing w:before="1"/>
        <w:rPr>
          <w:sz w:val="14"/>
        </w:rPr>
      </w:pPr>
    </w:p>
    <w:p>
      <w:pPr>
        <w:pStyle w:val="ListParagraph"/>
        <w:numPr>
          <w:ilvl w:val="0"/>
          <w:numId w:val="10"/>
        </w:numPr>
        <w:tabs>
          <w:tab w:pos="1882" w:val="left" w:leader="none"/>
        </w:tabs>
        <w:spacing w:line="220" w:lineRule="exact" w:before="0" w:after="0"/>
        <w:ind w:left="1881" w:right="112" w:hanging="360"/>
        <w:jc w:val="both"/>
        <w:rPr>
          <w:sz w:val="19"/>
        </w:rPr>
      </w:pPr>
      <w:r>
        <w:rPr>
          <w:color w:val="231F20"/>
          <w:sz w:val="19"/>
        </w:rPr>
        <w:t>Si </w:t>
      </w:r>
      <w:r>
        <w:rPr>
          <w:color w:val="231F20"/>
          <w:spacing w:val="2"/>
          <w:sz w:val="19"/>
        </w:rPr>
        <w:t>introduce </w:t>
      </w:r>
      <w:r>
        <w:rPr>
          <w:color w:val="231F20"/>
          <w:sz w:val="19"/>
        </w:rPr>
        <w:t>la figura </w:t>
      </w:r>
      <w:r>
        <w:rPr>
          <w:color w:val="231F20"/>
          <w:spacing w:val="2"/>
          <w:sz w:val="19"/>
        </w:rPr>
        <w:t>degli </w:t>
      </w:r>
      <w:r>
        <w:rPr>
          <w:color w:val="231F20"/>
          <w:sz w:val="19"/>
        </w:rPr>
        <w:t>arresti </w:t>
      </w:r>
      <w:r>
        <w:rPr>
          <w:color w:val="231F20"/>
          <w:spacing w:val="2"/>
          <w:sz w:val="19"/>
        </w:rPr>
        <w:t>domiciliari </w:t>
      </w:r>
      <w:r>
        <w:rPr>
          <w:color w:val="231F20"/>
          <w:sz w:val="19"/>
        </w:rPr>
        <w:t>per </w:t>
      </w:r>
      <w:r>
        <w:rPr>
          <w:color w:val="231F20"/>
          <w:spacing w:val="2"/>
          <w:sz w:val="19"/>
        </w:rPr>
        <w:t>delitti </w:t>
      </w:r>
      <w:r>
        <w:rPr>
          <w:color w:val="231F20"/>
          <w:sz w:val="19"/>
        </w:rPr>
        <w:t>di criminalità organizzata fino a quaranta giorni, che potranno prolungarsi fino ad ottanta. Gli arresti domiciliari li determina il giudice a richiesta del Pubblico </w:t>
      </w:r>
      <w:r>
        <w:rPr>
          <w:color w:val="231F20"/>
          <w:spacing w:val="5"/>
          <w:sz w:val="19"/>
        </w:rPr>
        <w:t> </w:t>
      </w:r>
      <w:r>
        <w:rPr>
          <w:color w:val="231F20"/>
          <w:sz w:val="19"/>
        </w:rPr>
        <w:t>Ministero.</w:t>
      </w:r>
    </w:p>
    <w:p>
      <w:pPr>
        <w:pStyle w:val="BodyText"/>
        <w:spacing w:before="1"/>
        <w:rPr>
          <w:sz w:val="14"/>
        </w:rPr>
      </w:pPr>
    </w:p>
    <w:p>
      <w:pPr>
        <w:pStyle w:val="ListParagraph"/>
        <w:numPr>
          <w:ilvl w:val="0"/>
          <w:numId w:val="10"/>
        </w:numPr>
        <w:tabs>
          <w:tab w:pos="1882" w:val="left" w:leader="none"/>
        </w:tabs>
        <w:spacing w:line="220" w:lineRule="exact" w:before="0" w:after="0"/>
        <w:ind w:left="1881" w:right="111" w:hanging="360"/>
        <w:jc w:val="both"/>
        <w:rPr>
          <w:sz w:val="19"/>
        </w:rPr>
      </w:pPr>
      <w:r>
        <w:rPr>
          <w:color w:val="231F20"/>
          <w:spacing w:val="2"/>
          <w:w w:val="105"/>
          <w:sz w:val="19"/>
        </w:rPr>
        <w:t>Se </w:t>
      </w:r>
      <w:r>
        <w:rPr>
          <w:color w:val="231F20"/>
          <w:spacing w:val="4"/>
          <w:w w:val="105"/>
          <w:sz w:val="19"/>
        </w:rPr>
        <w:t>qualcuno </w:t>
      </w:r>
      <w:r>
        <w:rPr>
          <w:color w:val="231F20"/>
          <w:w w:val="105"/>
          <w:sz w:val="19"/>
        </w:rPr>
        <w:t>è </w:t>
      </w:r>
      <w:r>
        <w:rPr>
          <w:color w:val="231F20"/>
          <w:spacing w:val="4"/>
          <w:w w:val="105"/>
          <w:sz w:val="19"/>
        </w:rPr>
        <w:t>incolpato </w:t>
      </w:r>
      <w:r>
        <w:rPr>
          <w:color w:val="231F20"/>
          <w:spacing w:val="3"/>
          <w:w w:val="105"/>
          <w:sz w:val="19"/>
        </w:rPr>
        <w:t>per </w:t>
      </w:r>
      <w:r>
        <w:rPr>
          <w:color w:val="231F20"/>
          <w:spacing w:val="4"/>
          <w:w w:val="105"/>
          <w:sz w:val="19"/>
        </w:rPr>
        <w:t>criminalità organizzata </w:t>
      </w:r>
      <w:r>
        <w:rPr>
          <w:color w:val="231F20"/>
          <w:spacing w:val="5"/>
          <w:w w:val="105"/>
          <w:sz w:val="19"/>
        </w:rPr>
        <w:t>ed </w:t>
      </w:r>
      <w:r>
        <w:rPr>
          <w:color w:val="231F20"/>
          <w:w w:val="105"/>
          <w:sz w:val="19"/>
        </w:rPr>
        <w:t>evade la giustizia dopo l’emissione dell’ordine di vincolo a procedimento</w:t>
      </w:r>
      <w:r>
        <w:rPr>
          <w:color w:val="231F20"/>
          <w:spacing w:val="-35"/>
          <w:w w:val="105"/>
          <w:sz w:val="19"/>
        </w:rPr>
        <w:t> </w:t>
      </w:r>
      <w:r>
        <w:rPr>
          <w:color w:val="231F20"/>
          <w:w w:val="105"/>
          <w:sz w:val="19"/>
        </w:rPr>
        <w:t>o</w:t>
      </w:r>
      <w:r>
        <w:rPr>
          <w:color w:val="231F20"/>
          <w:spacing w:val="-35"/>
          <w:w w:val="105"/>
          <w:sz w:val="19"/>
        </w:rPr>
        <w:t> </w:t>
      </w:r>
      <w:r>
        <w:rPr>
          <w:color w:val="231F20"/>
          <w:w w:val="105"/>
          <w:sz w:val="19"/>
        </w:rPr>
        <w:t>è</w:t>
      </w:r>
      <w:r>
        <w:rPr>
          <w:color w:val="231F20"/>
          <w:spacing w:val="-35"/>
          <w:w w:val="105"/>
          <w:sz w:val="19"/>
        </w:rPr>
        <w:t> </w:t>
      </w:r>
      <w:r>
        <w:rPr>
          <w:color w:val="231F20"/>
          <w:w w:val="105"/>
          <w:sz w:val="19"/>
        </w:rPr>
        <w:t>messo</w:t>
      </w:r>
      <w:r>
        <w:rPr>
          <w:color w:val="231F20"/>
          <w:spacing w:val="-35"/>
          <w:w w:val="105"/>
          <w:sz w:val="19"/>
        </w:rPr>
        <w:t> </w:t>
      </w:r>
      <w:r>
        <w:rPr>
          <w:color w:val="231F20"/>
          <w:w w:val="105"/>
          <w:sz w:val="19"/>
        </w:rPr>
        <w:t>a</w:t>
      </w:r>
      <w:r>
        <w:rPr>
          <w:color w:val="231F20"/>
          <w:spacing w:val="-35"/>
          <w:w w:val="105"/>
          <w:sz w:val="19"/>
        </w:rPr>
        <w:t> </w:t>
      </w:r>
      <w:r>
        <w:rPr>
          <w:color w:val="231F20"/>
          <w:w w:val="105"/>
          <w:sz w:val="19"/>
        </w:rPr>
        <w:t>disposizione</w:t>
      </w:r>
      <w:r>
        <w:rPr>
          <w:color w:val="231F20"/>
          <w:spacing w:val="-35"/>
          <w:w w:val="105"/>
          <w:sz w:val="19"/>
        </w:rPr>
        <w:t> </w:t>
      </w:r>
      <w:r>
        <w:rPr>
          <w:color w:val="231F20"/>
          <w:w w:val="105"/>
          <w:sz w:val="19"/>
        </w:rPr>
        <w:t>di</w:t>
      </w:r>
      <w:r>
        <w:rPr>
          <w:color w:val="231F20"/>
          <w:spacing w:val="-35"/>
          <w:w w:val="105"/>
          <w:sz w:val="19"/>
        </w:rPr>
        <w:t> </w:t>
      </w:r>
      <w:r>
        <w:rPr>
          <w:color w:val="231F20"/>
          <w:w w:val="105"/>
          <w:sz w:val="19"/>
        </w:rPr>
        <w:t>un’altro</w:t>
      </w:r>
      <w:r>
        <w:rPr>
          <w:color w:val="231F20"/>
          <w:spacing w:val="-35"/>
          <w:w w:val="105"/>
          <w:sz w:val="19"/>
        </w:rPr>
        <w:t> </w:t>
      </w:r>
      <w:r>
        <w:rPr>
          <w:color w:val="231F20"/>
          <w:w w:val="105"/>
          <w:sz w:val="19"/>
        </w:rPr>
        <w:t>giudice</w:t>
      </w:r>
      <w:r>
        <w:rPr>
          <w:color w:val="231F20"/>
          <w:spacing w:val="-35"/>
          <w:w w:val="105"/>
          <w:sz w:val="19"/>
        </w:rPr>
        <w:t> </w:t>
      </w:r>
      <w:r>
        <w:rPr>
          <w:color w:val="231F20"/>
          <w:w w:val="105"/>
          <w:sz w:val="19"/>
        </w:rPr>
        <w:t>che lo</w:t>
      </w:r>
      <w:r>
        <w:rPr>
          <w:color w:val="231F20"/>
          <w:spacing w:val="-16"/>
          <w:w w:val="105"/>
          <w:sz w:val="19"/>
        </w:rPr>
        <w:t> </w:t>
      </w:r>
      <w:r>
        <w:rPr>
          <w:color w:val="231F20"/>
          <w:w w:val="105"/>
          <w:sz w:val="19"/>
        </w:rPr>
        <w:t>reclama</w:t>
      </w:r>
      <w:r>
        <w:rPr>
          <w:color w:val="231F20"/>
          <w:spacing w:val="-16"/>
          <w:w w:val="105"/>
          <w:sz w:val="19"/>
        </w:rPr>
        <w:t> </w:t>
      </w:r>
      <w:r>
        <w:rPr>
          <w:color w:val="231F20"/>
          <w:w w:val="105"/>
          <w:sz w:val="19"/>
        </w:rPr>
        <w:t>all’estero,</w:t>
      </w:r>
      <w:r>
        <w:rPr>
          <w:color w:val="231F20"/>
          <w:spacing w:val="-16"/>
          <w:w w:val="105"/>
          <w:sz w:val="19"/>
        </w:rPr>
        <w:t> </w:t>
      </w:r>
      <w:r>
        <w:rPr>
          <w:color w:val="231F20"/>
          <w:w w:val="105"/>
          <w:sz w:val="19"/>
        </w:rPr>
        <w:t>si</w:t>
      </w:r>
      <w:r>
        <w:rPr>
          <w:color w:val="231F20"/>
          <w:spacing w:val="-16"/>
          <w:w w:val="105"/>
          <w:sz w:val="19"/>
        </w:rPr>
        <w:t> </w:t>
      </w:r>
      <w:r>
        <w:rPr>
          <w:color w:val="231F20"/>
          <w:w w:val="105"/>
          <w:sz w:val="19"/>
        </w:rPr>
        <w:t>sospende</w:t>
      </w:r>
      <w:r>
        <w:rPr>
          <w:color w:val="231F20"/>
          <w:spacing w:val="-16"/>
          <w:w w:val="105"/>
          <w:sz w:val="19"/>
        </w:rPr>
        <w:t> </w:t>
      </w:r>
      <w:r>
        <w:rPr>
          <w:color w:val="231F20"/>
          <w:w w:val="105"/>
          <w:sz w:val="19"/>
        </w:rPr>
        <w:t>il</w:t>
      </w:r>
      <w:r>
        <w:rPr>
          <w:color w:val="231F20"/>
          <w:spacing w:val="-16"/>
          <w:w w:val="105"/>
          <w:sz w:val="19"/>
        </w:rPr>
        <w:t> </w:t>
      </w:r>
      <w:r>
        <w:rPr>
          <w:color w:val="231F20"/>
          <w:w w:val="105"/>
          <w:sz w:val="19"/>
        </w:rPr>
        <w:t>procedimento</w:t>
      </w:r>
      <w:r>
        <w:rPr>
          <w:color w:val="231F20"/>
          <w:spacing w:val="-16"/>
          <w:w w:val="105"/>
          <w:sz w:val="19"/>
        </w:rPr>
        <w:t> </w:t>
      </w:r>
      <w:r>
        <w:rPr>
          <w:color w:val="231F20"/>
          <w:w w:val="105"/>
          <w:sz w:val="19"/>
        </w:rPr>
        <w:t>e</w:t>
      </w:r>
      <w:r>
        <w:rPr>
          <w:color w:val="231F20"/>
          <w:spacing w:val="-16"/>
          <w:w w:val="105"/>
          <w:sz w:val="19"/>
        </w:rPr>
        <w:t> </w:t>
      </w:r>
      <w:r>
        <w:rPr>
          <w:color w:val="231F20"/>
          <w:w w:val="105"/>
          <w:sz w:val="19"/>
        </w:rPr>
        <w:t>i</w:t>
      </w:r>
      <w:r>
        <w:rPr>
          <w:color w:val="231F20"/>
          <w:spacing w:val="-16"/>
          <w:w w:val="105"/>
          <w:sz w:val="19"/>
        </w:rPr>
        <w:t> </w:t>
      </w:r>
      <w:r>
        <w:rPr>
          <w:color w:val="231F20"/>
          <w:w w:val="105"/>
          <w:sz w:val="19"/>
        </w:rPr>
        <w:t>termini per</w:t>
      </w:r>
      <w:r>
        <w:rPr>
          <w:color w:val="231F20"/>
          <w:spacing w:val="-27"/>
          <w:w w:val="105"/>
          <w:sz w:val="19"/>
        </w:rPr>
        <w:t> </w:t>
      </w:r>
      <w:r>
        <w:rPr>
          <w:color w:val="231F20"/>
          <w:w w:val="105"/>
          <w:sz w:val="19"/>
        </w:rPr>
        <w:t>la</w:t>
      </w:r>
      <w:r>
        <w:rPr>
          <w:color w:val="231F20"/>
          <w:spacing w:val="-27"/>
          <w:w w:val="105"/>
          <w:sz w:val="19"/>
        </w:rPr>
        <w:t> </w:t>
      </w:r>
      <w:r>
        <w:rPr>
          <w:color w:val="231F20"/>
          <w:w w:val="105"/>
          <w:sz w:val="19"/>
        </w:rPr>
        <w:t>prescrizione</w:t>
      </w:r>
      <w:r>
        <w:rPr>
          <w:color w:val="231F20"/>
          <w:spacing w:val="-27"/>
          <w:w w:val="105"/>
          <w:sz w:val="19"/>
        </w:rPr>
        <w:t> </w:t>
      </w:r>
      <w:r>
        <w:rPr>
          <w:color w:val="231F20"/>
          <w:w w:val="105"/>
          <w:sz w:val="19"/>
        </w:rPr>
        <w:t>dell’azione</w:t>
      </w:r>
      <w:r>
        <w:rPr>
          <w:color w:val="231F20"/>
          <w:spacing w:val="-27"/>
          <w:w w:val="105"/>
          <w:sz w:val="19"/>
        </w:rPr>
        <w:t> </w:t>
      </w:r>
      <w:r>
        <w:rPr>
          <w:color w:val="231F20"/>
          <w:w w:val="105"/>
          <w:sz w:val="19"/>
        </w:rPr>
        <w:t>penale.</w:t>
      </w:r>
    </w:p>
    <w:p>
      <w:pPr>
        <w:pStyle w:val="BodyText"/>
        <w:spacing w:before="1"/>
        <w:rPr>
          <w:sz w:val="14"/>
        </w:rPr>
      </w:pPr>
    </w:p>
    <w:p>
      <w:pPr>
        <w:pStyle w:val="ListParagraph"/>
        <w:numPr>
          <w:ilvl w:val="0"/>
          <w:numId w:val="10"/>
        </w:numPr>
        <w:tabs>
          <w:tab w:pos="1882" w:val="left" w:leader="none"/>
        </w:tabs>
        <w:spacing w:line="220" w:lineRule="exact" w:before="0" w:after="0"/>
        <w:ind w:left="1881" w:right="115" w:hanging="360"/>
        <w:jc w:val="both"/>
        <w:rPr>
          <w:sz w:val="19"/>
        </w:rPr>
      </w:pPr>
      <w:r>
        <w:rPr>
          <w:color w:val="231F20"/>
          <w:w w:val="105"/>
          <w:sz w:val="19"/>
        </w:rPr>
        <w:t>Nel</w:t>
      </w:r>
      <w:r>
        <w:rPr>
          <w:color w:val="231F20"/>
          <w:spacing w:val="-31"/>
          <w:w w:val="105"/>
          <w:sz w:val="19"/>
        </w:rPr>
        <w:t> </w:t>
      </w:r>
      <w:r>
        <w:rPr>
          <w:color w:val="231F20"/>
          <w:w w:val="105"/>
          <w:sz w:val="19"/>
        </w:rPr>
        <w:t>caso</w:t>
      </w:r>
      <w:r>
        <w:rPr>
          <w:color w:val="231F20"/>
          <w:spacing w:val="-31"/>
          <w:w w:val="105"/>
          <w:sz w:val="19"/>
        </w:rPr>
        <w:t> </w:t>
      </w:r>
      <w:r>
        <w:rPr>
          <w:color w:val="231F20"/>
          <w:w w:val="105"/>
          <w:sz w:val="19"/>
        </w:rPr>
        <w:t>di</w:t>
      </w:r>
      <w:r>
        <w:rPr>
          <w:color w:val="231F20"/>
          <w:spacing w:val="-31"/>
          <w:w w:val="105"/>
          <w:sz w:val="19"/>
        </w:rPr>
        <w:t> </w:t>
      </w:r>
      <w:r>
        <w:rPr>
          <w:color w:val="231F20"/>
          <w:w w:val="105"/>
          <w:sz w:val="19"/>
        </w:rPr>
        <w:t>criminalità</w:t>
      </w:r>
      <w:r>
        <w:rPr>
          <w:color w:val="231F20"/>
          <w:spacing w:val="-31"/>
          <w:w w:val="105"/>
          <w:sz w:val="19"/>
        </w:rPr>
        <w:t> </w:t>
      </w:r>
      <w:r>
        <w:rPr>
          <w:color w:val="231F20"/>
          <w:w w:val="105"/>
          <w:sz w:val="19"/>
        </w:rPr>
        <w:t>organizzata</w:t>
      </w:r>
      <w:r>
        <w:rPr>
          <w:color w:val="231F20"/>
          <w:spacing w:val="-31"/>
          <w:w w:val="105"/>
          <w:sz w:val="19"/>
        </w:rPr>
        <w:t> </w:t>
      </w:r>
      <w:r>
        <w:rPr>
          <w:color w:val="231F20"/>
          <w:w w:val="105"/>
          <w:sz w:val="19"/>
        </w:rPr>
        <w:t>il</w:t>
      </w:r>
      <w:r>
        <w:rPr>
          <w:color w:val="231F20"/>
          <w:spacing w:val="-31"/>
          <w:w w:val="105"/>
          <w:sz w:val="19"/>
        </w:rPr>
        <w:t> </w:t>
      </w:r>
      <w:r>
        <w:rPr>
          <w:color w:val="231F20"/>
          <w:w w:val="105"/>
          <w:sz w:val="19"/>
        </w:rPr>
        <w:t>giudice</w:t>
      </w:r>
      <w:r>
        <w:rPr>
          <w:color w:val="231F20"/>
          <w:spacing w:val="-31"/>
          <w:w w:val="105"/>
          <w:sz w:val="19"/>
        </w:rPr>
        <w:t> </w:t>
      </w:r>
      <w:r>
        <w:rPr>
          <w:color w:val="231F20"/>
          <w:w w:val="105"/>
          <w:sz w:val="19"/>
        </w:rPr>
        <w:t>potrà</w:t>
      </w:r>
      <w:r>
        <w:rPr>
          <w:color w:val="231F20"/>
          <w:spacing w:val="-31"/>
          <w:w w:val="105"/>
          <w:sz w:val="19"/>
        </w:rPr>
        <w:t> </w:t>
      </w:r>
      <w:r>
        <w:rPr>
          <w:color w:val="231F20"/>
          <w:w w:val="105"/>
          <w:sz w:val="19"/>
        </w:rPr>
        <w:t>autorizzare che</w:t>
      </w:r>
      <w:r>
        <w:rPr>
          <w:color w:val="231F20"/>
          <w:spacing w:val="-28"/>
          <w:w w:val="105"/>
          <w:sz w:val="19"/>
        </w:rPr>
        <w:t> </w:t>
      </w:r>
      <w:r>
        <w:rPr>
          <w:color w:val="231F20"/>
          <w:w w:val="105"/>
          <w:sz w:val="19"/>
        </w:rPr>
        <w:t>si</w:t>
      </w:r>
      <w:r>
        <w:rPr>
          <w:color w:val="231F20"/>
          <w:spacing w:val="-28"/>
          <w:w w:val="105"/>
          <w:sz w:val="19"/>
        </w:rPr>
        <w:t> </w:t>
      </w:r>
      <w:r>
        <w:rPr>
          <w:color w:val="231F20"/>
          <w:w w:val="105"/>
          <w:sz w:val="19"/>
        </w:rPr>
        <w:t>mantenga</w:t>
      </w:r>
      <w:r>
        <w:rPr>
          <w:color w:val="231F20"/>
          <w:spacing w:val="-28"/>
          <w:w w:val="105"/>
          <w:sz w:val="19"/>
        </w:rPr>
        <w:t> </w:t>
      </w:r>
      <w:r>
        <w:rPr>
          <w:color w:val="231F20"/>
          <w:w w:val="105"/>
          <w:sz w:val="19"/>
        </w:rPr>
        <w:t>in</w:t>
      </w:r>
      <w:r>
        <w:rPr>
          <w:color w:val="231F20"/>
          <w:spacing w:val="-28"/>
          <w:w w:val="105"/>
          <w:sz w:val="19"/>
        </w:rPr>
        <w:t> </w:t>
      </w:r>
      <w:r>
        <w:rPr>
          <w:color w:val="231F20"/>
          <w:w w:val="105"/>
          <w:sz w:val="19"/>
        </w:rPr>
        <w:t>riserbo</w:t>
      </w:r>
      <w:r>
        <w:rPr>
          <w:color w:val="231F20"/>
          <w:spacing w:val="-28"/>
          <w:w w:val="105"/>
          <w:sz w:val="19"/>
        </w:rPr>
        <w:t> </w:t>
      </w:r>
      <w:r>
        <w:rPr>
          <w:color w:val="231F20"/>
          <w:w w:val="105"/>
          <w:sz w:val="19"/>
        </w:rPr>
        <w:t>il</w:t>
      </w:r>
      <w:r>
        <w:rPr>
          <w:color w:val="231F20"/>
          <w:spacing w:val="-28"/>
          <w:w w:val="105"/>
          <w:sz w:val="19"/>
        </w:rPr>
        <w:t> </w:t>
      </w:r>
      <w:r>
        <w:rPr>
          <w:color w:val="231F20"/>
          <w:w w:val="105"/>
          <w:sz w:val="19"/>
        </w:rPr>
        <w:t>nome</w:t>
      </w:r>
      <w:r>
        <w:rPr>
          <w:color w:val="231F20"/>
          <w:spacing w:val="-28"/>
          <w:w w:val="105"/>
          <w:sz w:val="19"/>
        </w:rPr>
        <w:t> </w:t>
      </w:r>
      <w:r>
        <w:rPr>
          <w:color w:val="231F20"/>
          <w:w w:val="105"/>
          <w:sz w:val="19"/>
        </w:rPr>
        <w:t>e</w:t>
      </w:r>
      <w:r>
        <w:rPr>
          <w:color w:val="231F20"/>
          <w:spacing w:val="-28"/>
          <w:w w:val="105"/>
          <w:sz w:val="19"/>
        </w:rPr>
        <w:t> </w:t>
      </w:r>
      <w:r>
        <w:rPr>
          <w:color w:val="231F20"/>
          <w:w w:val="105"/>
          <w:sz w:val="19"/>
        </w:rPr>
        <w:t>dati</w:t>
      </w:r>
      <w:r>
        <w:rPr>
          <w:color w:val="231F20"/>
          <w:spacing w:val="-28"/>
          <w:w w:val="105"/>
          <w:sz w:val="19"/>
        </w:rPr>
        <w:t> </w:t>
      </w:r>
      <w:r>
        <w:rPr>
          <w:color w:val="231F20"/>
          <w:w w:val="105"/>
          <w:sz w:val="19"/>
        </w:rPr>
        <w:t>dell’accusatore,</w:t>
      </w:r>
      <w:r>
        <w:rPr>
          <w:color w:val="231F20"/>
          <w:spacing w:val="-28"/>
          <w:w w:val="105"/>
          <w:sz w:val="19"/>
        </w:rPr>
        <w:t> </w:t>
      </w:r>
      <w:r>
        <w:rPr>
          <w:color w:val="231F20"/>
          <w:w w:val="105"/>
          <w:sz w:val="19"/>
        </w:rPr>
        <w:t>così si danno anche benefici a favore dell’incolpato, processato o </w:t>
      </w:r>
      <w:r>
        <w:rPr>
          <w:color w:val="231F20"/>
          <w:spacing w:val="5"/>
          <w:w w:val="105"/>
          <w:sz w:val="19"/>
        </w:rPr>
        <w:t>sentenziato </w:t>
      </w:r>
      <w:r>
        <w:rPr>
          <w:color w:val="231F20"/>
          <w:spacing w:val="4"/>
          <w:w w:val="105"/>
          <w:sz w:val="19"/>
        </w:rPr>
        <w:t>che presti aiuto efficace </w:t>
      </w:r>
      <w:r>
        <w:rPr>
          <w:color w:val="231F20"/>
          <w:spacing w:val="5"/>
          <w:w w:val="105"/>
          <w:sz w:val="19"/>
        </w:rPr>
        <w:t>nell’indagine </w:t>
      </w:r>
      <w:r>
        <w:rPr>
          <w:color w:val="231F20"/>
          <w:w w:val="105"/>
          <w:sz w:val="19"/>
        </w:rPr>
        <w:t>e persecuzione</w:t>
      </w:r>
      <w:r>
        <w:rPr>
          <w:color w:val="231F20"/>
          <w:spacing w:val="-18"/>
          <w:w w:val="105"/>
          <w:sz w:val="19"/>
        </w:rPr>
        <w:t> </w:t>
      </w:r>
      <w:r>
        <w:rPr>
          <w:color w:val="231F20"/>
          <w:w w:val="105"/>
          <w:sz w:val="19"/>
        </w:rPr>
        <w:t>di</w:t>
      </w:r>
      <w:r>
        <w:rPr>
          <w:color w:val="231F20"/>
          <w:spacing w:val="-18"/>
          <w:w w:val="105"/>
          <w:sz w:val="19"/>
        </w:rPr>
        <w:t> </w:t>
      </w:r>
      <w:r>
        <w:rPr>
          <w:color w:val="231F20"/>
          <w:w w:val="105"/>
          <w:sz w:val="19"/>
        </w:rPr>
        <w:t>questo</w:t>
      </w:r>
      <w:r>
        <w:rPr>
          <w:color w:val="231F20"/>
          <w:spacing w:val="-18"/>
          <w:w w:val="105"/>
          <w:sz w:val="19"/>
        </w:rPr>
        <w:t> </w:t>
      </w:r>
      <w:r>
        <w:rPr>
          <w:color w:val="231F20"/>
          <w:w w:val="105"/>
          <w:sz w:val="19"/>
        </w:rPr>
        <w:t>tipo</w:t>
      </w:r>
      <w:r>
        <w:rPr>
          <w:color w:val="231F20"/>
          <w:spacing w:val="-18"/>
          <w:w w:val="105"/>
          <w:sz w:val="19"/>
        </w:rPr>
        <w:t> </w:t>
      </w:r>
      <w:r>
        <w:rPr>
          <w:color w:val="231F20"/>
          <w:w w:val="105"/>
          <w:sz w:val="19"/>
        </w:rPr>
        <w:t>di</w:t>
      </w:r>
      <w:r>
        <w:rPr>
          <w:color w:val="231F20"/>
          <w:spacing w:val="-18"/>
          <w:w w:val="105"/>
          <w:sz w:val="19"/>
        </w:rPr>
        <w:t> </w:t>
      </w:r>
      <w:r>
        <w:rPr>
          <w:color w:val="231F20"/>
          <w:w w:val="105"/>
          <w:sz w:val="19"/>
        </w:rPr>
        <w:t>delitti.</w:t>
      </w:r>
    </w:p>
    <w:p>
      <w:pPr>
        <w:pStyle w:val="BodyText"/>
        <w:spacing w:before="1"/>
        <w:rPr>
          <w:sz w:val="14"/>
        </w:rPr>
      </w:pPr>
    </w:p>
    <w:p>
      <w:pPr>
        <w:pStyle w:val="ListParagraph"/>
        <w:numPr>
          <w:ilvl w:val="0"/>
          <w:numId w:val="10"/>
        </w:numPr>
        <w:tabs>
          <w:tab w:pos="1882" w:val="left" w:leader="none"/>
        </w:tabs>
        <w:spacing w:line="220" w:lineRule="exact" w:before="0" w:after="0"/>
        <w:ind w:left="1881" w:right="112" w:hanging="360"/>
        <w:jc w:val="both"/>
        <w:rPr>
          <w:sz w:val="19"/>
        </w:rPr>
      </w:pPr>
      <w:r>
        <w:rPr>
          <w:color w:val="231F20"/>
          <w:w w:val="105"/>
          <w:sz w:val="19"/>
        </w:rPr>
        <w:t>Le attuazioni nella fase d’indagine potranno avere il valore probatorio quando non si possano riprodurre nel giudizio, o</w:t>
      </w:r>
      <w:r>
        <w:rPr>
          <w:color w:val="231F20"/>
          <w:spacing w:val="-9"/>
          <w:w w:val="105"/>
          <w:sz w:val="19"/>
        </w:rPr>
        <w:t> </w:t>
      </w:r>
      <w:r>
        <w:rPr>
          <w:color w:val="231F20"/>
          <w:w w:val="105"/>
          <w:sz w:val="19"/>
        </w:rPr>
        <w:t>esistano</w:t>
      </w:r>
      <w:r>
        <w:rPr>
          <w:color w:val="231F20"/>
          <w:spacing w:val="-9"/>
          <w:w w:val="105"/>
          <w:sz w:val="19"/>
        </w:rPr>
        <w:t> </w:t>
      </w:r>
      <w:r>
        <w:rPr>
          <w:color w:val="231F20"/>
          <w:w w:val="105"/>
          <w:sz w:val="19"/>
        </w:rPr>
        <w:t>rischi</w:t>
      </w:r>
      <w:r>
        <w:rPr>
          <w:color w:val="231F20"/>
          <w:spacing w:val="-9"/>
          <w:w w:val="105"/>
          <w:sz w:val="19"/>
        </w:rPr>
        <w:t> </w:t>
      </w:r>
      <w:r>
        <w:rPr>
          <w:color w:val="231F20"/>
          <w:w w:val="105"/>
          <w:sz w:val="19"/>
        </w:rPr>
        <w:t>per</w:t>
      </w:r>
      <w:r>
        <w:rPr>
          <w:color w:val="231F20"/>
          <w:spacing w:val="-9"/>
          <w:w w:val="105"/>
          <w:sz w:val="19"/>
        </w:rPr>
        <w:t> </w:t>
      </w:r>
      <w:r>
        <w:rPr>
          <w:color w:val="231F20"/>
          <w:w w:val="105"/>
          <w:sz w:val="19"/>
        </w:rPr>
        <w:t>i</w:t>
      </w:r>
      <w:r>
        <w:rPr>
          <w:color w:val="231F20"/>
          <w:spacing w:val="-9"/>
          <w:w w:val="105"/>
          <w:sz w:val="19"/>
        </w:rPr>
        <w:t> </w:t>
      </w:r>
      <w:r>
        <w:rPr>
          <w:color w:val="231F20"/>
          <w:w w:val="105"/>
          <w:sz w:val="19"/>
        </w:rPr>
        <w:t>testimoni</w:t>
      </w:r>
      <w:r>
        <w:rPr>
          <w:color w:val="231F20"/>
          <w:spacing w:val="-9"/>
          <w:w w:val="105"/>
          <w:sz w:val="19"/>
        </w:rPr>
        <w:t> </w:t>
      </w:r>
      <w:r>
        <w:rPr>
          <w:color w:val="231F20"/>
          <w:w w:val="105"/>
          <w:sz w:val="19"/>
        </w:rPr>
        <w:t>o</w:t>
      </w:r>
      <w:r>
        <w:rPr>
          <w:color w:val="231F20"/>
          <w:spacing w:val="-9"/>
          <w:w w:val="105"/>
          <w:sz w:val="19"/>
        </w:rPr>
        <w:t> </w:t>
      </w:r>
      <w:r>
        <w:rPr>
          <w:color w:val="231F20"/>
          <w:w w:val="105"/>
          <w:sz w:val="19"/>
        </w:rPr>
        <w:t>le</w:t>
      </w:r>
      <w:r>
        <w:rPr>
          <w:color w:val="231F20"/>
          <w:spacing w:val="-9"/>
          <w:w w:val="105"/>
          <w:sz w:val="19"/>
        </w:rPr>
        <w:t> </w:t>
      </w:r>
      <w:r>
        <w:rPr>
          <w:color w:val="231F20"/>
          <w:w w:val="105"/>
          <w:sz w:val="19"/>
        </w:rPr>
        <w:t>vittime.</w:t>
      </w:r>
      <w:r>
        <w:rPr>
          <w:color w:val="231F20"/>
          <w:spacing w:val="-9"/>
          <w:w w:val="105"/>
          <w:sz w:val="19"/>
        </w:rPr>
        <w:t> </w:t>
      </w:r>
      <w:r>
        <w:rPr>
          <w:color w:val="231F20"/>
          <w:w w:val="105"/>
          <w:sz w:val="19"/>
        </w:rPr>
        <w:t>L’incolpato</w:t>
      </w:r>
      <w:r>
        <w:rPr>
          <w:color w:val="231F20"/>
          <w:spacing w:val="-9"/>
          <w:w w:val="105"/>
          <w:sz w:val="19"/>
        </w:rPr>
        <w:t> </w:t>
      </w:r>
      <w:r>
        <w:rPr>
          <w:color w:val="231F20"/>
          <w:w w:val="105"/>
          <w:sz w:val="19"/>
        </w:rPr>
        <w:t>può obiettare,</w:t>
      </w:r>
      <w:r>
        <w:rPr>
          <w:color w:val="231F20"/>
          <w:spacing w:val="-34"/>
          <w:w w:val="105"/>
          <w:sz w:val="19"/>
        </w:rPr>
        <w:t> </w:t>
      </w:r>
      <w:r>
        <w:rPr>
          <w:color w:val="231F20"/>
          <w:w w:val="105"/>
          <w:sz w:val="19"/>
        </w:rPr>
        <w:t>impugnare</w:t>
      </w:r>
      <w:r>
        <w:rPr>
          <w:color w:val="231F20"/>
          <w:spacing w:val="-34"/>
          <w:w w:val="105"/>
          <w:sz w:val="19"/>
        </w:rPr>
        <w:t> </w:t>
      </w:r>
      <w:r>
        <w:rPr>
          <w:color w:val="231F20"/>
          <w:w w:val="105"/>
          <w:sz w:val="19"/>
        </w:rPr>
        <w:t>o</w:t>
      </w:r>
      <w:r>
        <w:rPr>
          <w:color w:val="231F20"/>
          <w:spacing w:val="-34"/>
          <w:w w:val="105"/>
          <w:sz w:val="19"/>
        </w:rPr>
        <w:t> </w:t>
      </w:r>
      <w:r>
        <w:rPr>
          <w:color w:val="231F20"/>
          <w:w w:val="105"/>
          <w:sz w:val="19"/>
        </w:rPr>
        <w:t>apportare</w:t>
      </w:r>
      <w:r>
        <w:rPr>
          <w:color w:val="231F20"/>
          <w:spacing w:val="-34"/>
          <w:w w:val="105"/>
          <w:sz w:val="19"/>
        </w:rPr>
        <w:t> </w:t>
      </w:r>
      <w:r>
        <w:rPr>
          <w:color w:val="231F20"/>
          <w:w w:val="105"/>
          <w:sz w:val="19"/>
        </w:rPr>
        <w:t>prove</w:t>
      </w:r>
      <w:r>
        <w:rPr>
          <w:color w:val="231F20"/>
          <w:spacing w:val="-34"/>
          <w:w w:val="105"/>
          <w:sz w:val="19"/>
        </w:rPr>
        <w:t> </w:t>
      </w:r>
      <w:r>
        <w:rPr>
          <w:color w:val="231F20"/>
          <w:w w:val="105"/>
          <w:sz w:val="19"/>
        </w:rPr>
        <w:t>contro.</w:t>
      </w:r>
    </w:p>
    <w:p>
      <w:pPr>
        <w:pStyle w:val="BodyText"/>
        <w:spacing w:before="1"/>
        <w:rPr>
          <w:sz w:val="14"/>
        </w:rPr>
      </w:pPr>
    </w:p>
    <w:p>
      <w:pPr>
        <w:pStyle w:val="ListParagraph"/>
        <w:numPr>
          <w:ilvl w:val="0"/>
          <w:numId w:val="10"/>
        </w:numPr>
        <w:tabs>
          <w:tab w:pos="1882" w:val="left" w:leader="none"/>
        </w:tabs>
        <w:spacing w:line="220" w:lineRule="exact" w:before="0" w:after="0"/>
        <w:ind w:left="1881" w:right="110" w:hanging="360"/>
        <w:jc w:val="both"/>
        <w:rPr>
          <w:sz w:val="19"/>
        </w:rPr>
      </w:pPr>
      <w:r>
        <w:rPr>
          <w:color w:val="231F20"/>
          <w:w w:val="105"/>
          <w:sz w:val="19"/>
        </w:rPr>
        <w:t>Non si considera confisca “l’estinzione della proprietà” dei </w:t>
      </w:r>
      <w:r>
        <w:rPr>
          <w:color w:val="231F20"/>
          <w:spacing w:val="3"/>
          <w:w w:val="105"/>
          <w:sz w:val="19"/>
        </w:rPr>
        <w:t>beni </w:t>
      </w:r>
      <w:r>
        <w:rPr>
          <w:color w:val="231F20"/>
          <w:w w:val="105"/>
          <w:sz w:val="19"/>
        </w:rPr>
        <w:t>a </w:t>
      </w:r>
      <w:r>
        <w:rPr>
          <w:color w:val="231F20"/>
          <w:spacing w:val="2"/>
          <w:w w:val="105"/>
          <w:sz w:val="19"/>
        </w:rPr>
        <w:t>favore </w:t>
      </w:r>
      <w:r>
        <w:rPr>
          <w:color w:val="231F20"/>
          <w:spacing w:val="3"/>
          <w:w w:val="105"/>
          <w:sz w:val="19"/>
        </w:rPr>
        <w:t>dello Stato, </w:t>
      </w:r>
      <w:r>
        <w:rPr>
          <w:color w:val="231F20"/>
          <w:spacing w:val="2"/>
          <w:w w:val="105"/>
          <w:sz w:val="19"/>
        </w:rPr>
        <w:t>che </w:t>
      </w:r>
      <w:r>
        <w:rPr>
          <w:color w:val="231F20"/>
          <w:w w:val="105"/>
          <w:sz w:val="19"/>
        </w:rPr>
        <w:t>è </w:t>
      </w:r>
      <w:r>
        <w:rPr>
          <w:color w:val="231F20"/>
          <w:spacing w:val="3"/>
          <w:w w:val="105"/>
          <w:sz w:val="19"/>
        </w:rPr>
        <w:t>anche conosciuta </w:t>
      </w:r>
      <w:r>
        <w:rPr>
          <w:color w:val="231F20"/>
          <w:spacing w:val="57"/>
          <w:w w:val="105"/>
          <w:sz w:val="19"/>
        </w:rPr>
        <w:t> </w:t>
      </w:r>
      <w:r>
        <w:rPr>
          <w:color w:val="231F20"/>
          <w:spacing w:val="4"/>
          <w:w w:val="105"/>
          <w:sz w:val="19"/>
        </w:rPr>
        <w:t>come</w:t>
      </w:r>
    </w:p>
    <w:p>
      <w:pPr>
        <w:pStyle w:val="BodyText"/>
        <w:spacing w:before="9"/>
        <w:rPr>
          <w:sz w:val="23"/>
        </w:rPr>
      </w:pPr>
      <w:r>
        <w:rPr/>
        <w:pict>
          <v:line style="position:absolute;mso-position-horizontal-relative:page;mso-position-vertical-relative:paragraph;z-index:9640;mso-wrap-distance-left:0;mso-wrap-distance-right:0" from="65.196899pt,16.459002pt" to="178.582899pt,16.459002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position w:val="6"/>
          <w:sz w:val="10"/>
        </w:rPr>
        <w:t>21</w:t>
      </w:r>
      <w:r>
        <w:rPr>
          <w:rFonts w:ascii="Calibri" w:hAnsi="Calibri"/>
          <w:color w:val="231F20"/>
          <w:sz w:val="17"/>
        </w:rPr>
        <w:t>SecretaríadeGobernación,</w:t>
      </w:r>
      <w:r>
        <w:rPr>
          <w:rFonts w:ascii="Calibri" w:hAnsi="Calibri"/>
          <w:i/>
          <w:color w:val="231F20"/>
          <w:sz w:val="17"/>
        </w:rPr>
        <w:t>DiarioOficialdelaFederación</w:t>
      </w:r>
      <w:r>
        <w:rPr>
          <w:rFonts w:ascii="Calibri" w:hAnsi="Calibri"/>
          <w:color w:val="231F20"/>
          <w:sz w:val="17"/>
        </w:rPr>
        <w:t>,18dejuliode2008,consultatoindata23luglio</w:t>
      </w:r>
    </w:p>
    <w:p>
      <w:pPr>
        <w:spacing w:line="206" w:lineRule="exact" w:before="0"/>
        <w:ind w:left="103" w:right="0" w:firstLine="0"/>
        <w:jc w:val="left"/>
        <w:rPr>
          <w:rFonts w:ascii="Calibri"/>
          <w:sz w:val="17"/>
        </w:rPr>
      </w:pPr>
      <w:r>
        <w:rPr>
          <w:rFonts w:ascii="Calibri"/>
          <w:color w:val="231F20"/>
          <w:sz w:val="17"/>
        </w:rPr>
        <w:t>2015,  disponibile  in:  http://dof.gob.mx/nota_detalle.php?codigo=5046978&amp;fecha=18/06/2008.</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5736"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30</w:t>
        <w:tab/>
      </w:r>
      <w:r>
        <w:rPr>
          <w:rFonts w:ascii="Calibri" w:hAnsi="Calibri"/>
          <w:color w:val="6D6E71"/>
          <w:w w:val="105"/>
          <w:sz w:val="16"/>
        </w:rPr>
        <w:t>Jorge</w:t>
      </w:r>
      <w:r>
        <w:rPr>
          <w:rFonts w:ascii="Calibri" w:hAnsi="Calibri"/>
          <w:color w:val="6D6E71"/>
          <w:spacing w:val="-25"/>
          <w:w w:val="105"/>
          <w:sz w:val="16"/>
        </w:rPr>
        <w:t> </w:t>
      </w:r>
      <w:r>
        <w:rPr>
          <w:rFonts w:ascii="Calibri" w:hAnsi="Calibri"/>
          <w:color w:val="6D6E71"/>
          <w:w w:val="105"/>
          <w:sz w:val="16"/>
        </w:rPr>
        <w:t>Olvera</w:t>
      </w:r>
      <w:r>
        <w:rPr>
          <w:rFonts w:ascii="Calibri" w:hAnsi="Calibri"/>
          <w:color w:val="6D6E71"/>
          <w:spacing w:val="-25"/>
          <w:w w:val="105"/>
          <w:sz w:val="16"/>
        </w:rPr>
        <w:t> </w:t>
      </w:r>
      <w:r>
        <w:rPr>
          <w:rFonts w:ascii="Calibri" w:hAnsi="Calibri"/>
          <w:color w:val="6D6E71"/>
          <w:w w:val="105"/>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597"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568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CAMBIAMENTO</w:t>
      </w:r>
      <w:r>
        <w:rPr>
          <w:rFonts w:ascii="Lucida Sans Unicode" w:hAnsi="Lucida Sans Unicode"/>
          <w:color w:val="6D6E71"/>
          <w:spacing w:val="-25"/>
          <w:w w:val="95"/>
          <w:sz w:val="14"/>
        </w:rPr>
        <w:t> </w:t>
      </w:r>
      <w:r>
        <w:rPr>
          <w:rFonts w:ascii="Lucida Sans Unicode" w:hAnsi="Lucida Sans Unicode"/>
          <w:color w:val="6D6E71"/>
          <w:w w:val="95"/>
          <w:sz w:val="14"/>
        </w:rPr>
        <w:t>DI</w:t>
      </w:r>
      <w:r>
        <w:rPr>
          <w:rFonts w:ascii="Lucida Sans Unicode" w:hAnsi="Lucida Sans Unicode"/>
          <w:color w:val="6D6E71"/>
          <w:spacing w:val="-25"/>
          <w:w w:val="95"/>
          <w:sz w:val="14"/>
        </w:rPr>
        <w:t> </w:t>
      </w:r>
      <w:r>
        <w:rPr>
          <w:rFonts w:ascii="Lucida Sans Unicode" w:hAnsi="Lucida Sans Unicode"/>
          <w:color w:val="6D6E71"/>
          <w:w w:val="95"/>
          <w:sz w:val="14"/>
        </w:rPr>
        <w:t>PARADIGMA</w:t>
      </w:r>
      <w:r>
        <w:rPr>
          <w:rFonts w:ascii="Lucida Sans Unicode" w:hAnsi="Lucida Sans Unicode"/>
          <w:color w:val="6D6E71"/>
          <w:spacing w:val="-25"/>
          <w:w w:val="95"/>
          <w:sz w:val="14"/>
        </w:rPr>
        <w:t> </w:t>
      </w:r>
      <w:r>
        <w:rPr>
          <w:rFonts w:ascii="Lucida Sans Unicode" w:hAnsi="Lucida Sans Unicode"/>
          <w:color w:val="6D6E71"/>
          <w:w w:val="95"/>
          <w:sz w:val="14"/>
        </w:rPr>
        <w:t>GIURIDICO:</w:t>
      </w:r>
      <w:r>
        <w:rPr>
          <w:rFonts w:ascii="Lucida Sans Unicode" w:hAnsi="Lucida Sans Unicode"/>
          <w:color w:val="6D6E71"/>
          <w:spacing w:val="-25"/>
          <w:w w:val="95"/>
          <w:sz w:val="14"/>
        </w:rPr>
        <w:t> </w:t>
      </w:r>
      <w:r>
        <w:rPr>
          <w:rFonts w:ascii="Lucida Sans Unicode" w:hAnsi="Lucida Sans Unicode"/>
          <w:color w:val="6D6E71"/>
          <w:spacing w:val="-3"/>
          <w:w w:val="95"/>
          <w:sz w:val="14"/>
        </w:rPr>
        <w:t>L’11–S</w:t>
      </w:r>
      <w:r>
        <w:rPr>
          <w:rFonts w:ascii="Lucida Sans Unicode" w:hAnsi="Lucida Sans Unicode"/>
          <w:color w:val="6D6E71"/>
          <w:spacing w:val="-25"/>
          <w:w w:val="95"/>
          <w:sz w:val="14"/>
        </w:rPr>
        <w:t> </w:t>
      </w:r>
      <w:r>
        <w:rPr>
          <w:rFonts w:ascii="Lucida Sans Unicode" w:hAnsi="Lucida Sans Unicode"/>
          <w:color w:val="6D6E71"/>
          <w:w w:val="95"/>
          <w:sz w:val="14"/>
        </w:rPr>
        <w:t>E</w:t>
      </w:r>
      <w:r>
        <w:rPr>
          <w:rFonts w:ascii="Lucida Sans Unicode" w:hAnsi="Lucida Sans Unicode"/>
          <w:color w:val="6D6E71"/>
          <w:spacing w:val="-25"/>
          <w:w w:val="95"/>
          <w:sz w:val="14"/>
        </w:rPr>
        <w:t> </w:t>
      </w:r>
      <w:r>
        <w:rPr>
          <w:rFonts w:ascii="Lucida Sans Unicode" w:hAnsi="Lucida Sans Unicode"/>
          <w:color w:val="6D6E71"/>
          <w:w w:val="95"/>
          <w:sz w:val="14"/>
        </w:rPr>
        <w:t>LA</w:t>
      </w:r>
      <w:r>
        <w:rPr>
          <w:rFonts w:ascii="Lucida Sans Unicode" w:hAnsi="Lucida Sans Unicode"/>
          <w:color w:val="6D6E71"/>
          <w:spacing w:val="-25"/>
          <w:w w:val="95"/>
          <w:sz w:val="14"/>
        </w:rPr>
        <w:t> </w:t>
      </w:r>
      <w:r>
        <w:rPr>
          <w:rFonts w:ascii="Lucida Sans Unicode" w:hAnsi="Lucida Sans Unicode"/>
          <w:color w:val="6D6E71"/>
          <w:w w:val="95"/>
          <w:sz w:val="14"/>
        </w:rPr>
        <w:t>CRIMINALITÀ</w:t>
      </w:r>
      <w:r>
        <w:rPr>
          <w:rFonts w:ascii="Lucida Sans Unicode" w:hAnsi="Lucida Sans Unicode"/>
          <w:color w:val="6D6E71"/>
          <w:spacing w:val="-25"/>
          <w:w w:val="95"/>
          <w:sz w:val="14"/>
        </w:rPr>
        <w:t> </w:t>
      </w:r>
      <w:r>
        <w:rPr>
          <w:rFonts w:ascii="Lucida Sans Unicode" w:hAnsi="Lucida Sans Unicode"/>
          <w:color w:val="6D6E71"/>
          <w:w w:val="95"/>
          <w:sz w:val="14"/>
        </w:rPr>
        <w:t>ORGANIZZATA</w:t>
      </w:r>
      <w:r>
        <w:rPr>
          <w:rFonts w:ascii="Lucida Sans Unicode" w:hAnsi="Lucida Sans Unicode"/>
          <w:color w:val="6D6E71"/>
          <w:spacing w:val="-25"/>
          <w:w w:val="95"/>
          <w:sz w:val="14"/>
        </w:rPr>
        <w:t> </w:t>
      </w:r>
      <w:r>
        <w:rPr>
          <w:rFonts w:ascii="Lucida Sans Unicode" w:hAnsi="Lucida Sans Unicode"/>
          <w:color w:val="6D6E71"/>
          <w:w w:val="95"/>
          <w:sz w:val="14"/>
        </w:rPr>
        <w:t>IN</w:t>
      </w:r>
      <w:r>
        <w:rPr>
          <w:rFonts w:ascii="Lucida Sans Unicode" w:hAnsi="Lucida Sans Unicode"/>
          <w:color w:val="6D6E71"/>
          <w:spacing w:val="-25"/>
          <w:w w:val="95"/>
          <w:sz w:val="14"/>
        </w:rPr>
        <w:t> </w:t>
      </w:r>
      <w:r>
        <w:rPr>
          <w:rFonts w:ascii="Lucida Sans Unicode" w:hAnsi="Lucida Sans Unicode"/>
          <w:color w:val="6D6E71"/>
          <w:w w:val="95"/>
          <w:sz w:val="14"/>
        </w:rPr>
        <w:t>MESSICO</w:t>
      </w:r>
      <w:r>
        <w:rPr>
          <w:rFonts w:ascii="Trebuchet MS" w:hAnsi="Trebuchet MS"/>
          <w:color w:val="414042"/>
          <w:w w:val="95"/>
          <w:position w:val="-3"/>
          <w:sz w:val="20"/>
        </w:rPr>
        <w:tab/>
        <w:t>31</w:t>
      </w:r>
    </w:p>
    <w:p>
      <w:pPr>
        <w:pStyle w:val="BodyText"/>
        <w:rPr>
          <w:rFonts w:ascii="Trebuchet MS"/>
          <w:sz w:val="18"/>
        </w:rPr>
      </w:pPr>
    </w:p>
    <w:p>
      <w:pPr>
        <w:pStyle w:val="BodyText"/>
        <w:rPr>
          <w:rFonts w:ascii="Trebuchet MS"/>
          <w:sz w:val="18"/>
        </w:rPr>
      </w:pPr>
    </w:p>
    <w:p>
      <w:pPr>
        <w:pStyle w:val="BodyText"/>
        <w:spacing w:before="8"/>
        <w:rPr>
          <w:rFonts w:ascii="Trebuchet MS"/>
          <w:sz w:val="18"/>
        </w:rPr>
      </w:pPr>
    </w:p>
    <w:p>
      <w:pPr>
        <w:spacing w:line="220" w:lineRule="exact" w:before="0"/>
        <w:ind w:left="1894" w:right="118" w:firstLine="0"/>
        <w:jc w:val="both"/>
        <w:rPr>
          <w:sz w:val="19"/>
        </w:rPr>
      </w:pPr>
      <w:r>
        <w:rPr>
          <w:color w:val="231F20"/>
          <w:spacing w:val="2"/>
          <w:w w:val="105"/>
          <w:sz w:val="19"/>
        </w:rPr>
        <w:t>“beni sequestrati”; </w:t>
      </w:r>
      <w:r>
        <w:rPr>
          <w:color w:val="231F20"/>
          <w:w w:val="105"/>
          <w:sz w:val="19"/>
        </w:rPr>
        <w:t>è preciso che per </w:t>
      </w:r>
      <w:r>
        <w:rPr>
          <w:color w:val="231F20"/>
          <w:spacing w:val="2"/>
          <w:w w:val="105"/>
          <w:sz w:val="19"/>
        </w:rPr>
        <w:t>farlo </w:t>
      </w:r>
      <w:r>
        <w:rPr>
          <w:color w:val="231F20"/>
          <w:w w:val="105"/>
          <w:sz w:val="19"/>
        </w:rPr>
        <w:t>si </w:t>
      </w:r>
      <w:r>
        <w:rPr>
          <w:color w:val="231F20"/>
          <w:spacing w:val="2"/>
          <w:w w:val="105"/>
          <w:sz w:val="19"/>
        </w:rPr>
        <w:t>stabilisca </w:t>
      </w:r>
      <w:r>
        <w:rPr>
          <w:color w:val="231F20"/>
          <w:spacing w:val="3"/>
          <w:w w:val="105"/>
          <w:sz w:val="19"/>
        </w:rPr>
        <w:t>un </w:t>
      </w:r>
      <w:r>
        <w:rPr>
          <w:color w:val="231F20"/>
          <w:w w:val="105"/>
          <w:sz w:val="19"/>
        </w:rPr>
        <w:t>procedimento</w:t>
      </w:r>
      <w:r>
        <w:rPr>
          <w:color w:val="231F20"/>
          <w:spacing w:val="-27"/>
          <w:w w:val="105"/>
          <w:sz w:val="19"/>
        </w:rPr>
        <w:t> </w:t>
      </w:r>
      <w:r>
        <w:rPr>
          <w:color w:val="231F20"/>
          <w:w w:val="105"/>
          <w:sz w:val="19"/>
        </w:rPr>
        <w:t>giurisdizionale</w:t>
      </w:r>
      <w:r>
        <w:rPr>
          <w:color w:val="231F20"/>
          <w:spacing w:val="-27"/>
          <w:w w:val="105"/>
          <w:sz w:val="19"/>
        </w:rPr>
        <w:t> </w:t>
      </w:r>
      <w:r>
        <w:rPr>
          <w:color w:val="231F20"/>
          <w:w w:val="105"/>
          <w:sz w:val="19"/>
        </w:rPr>
        <w:t>e</w:t>
      </w:r>
      <w:r>
        <w:rPr>
          <w:color w:val="231F20"/>
          <w:spacing w:val="-27"/>
          <w:w w:val="105"/>
          <w:sz w:val="19"/>
        </w:rPr>
        <w:t> </w:t>
      </w:r>
      <w:r>
        <w:rPr>
          <w:color w:val="231F20"/>
          <w:w w:val="105"/>
          <w:sz w:val="19"/>
        </w:rPr>
        <w:t>autonomo</w:t>
      </w:r>
      <w:r>
        <w:rPr>
          <w:color w:val="231F20"/>
          <w:spacing w:val="-27"/>
          <w:w w:val="105"/>
          <w:sz w:val="19"/>
        </w:rPr>
        <w:t> </w:t>
      </w:r>
      <w:r>
        <w:rPr>
          <w:color w:val="231F20"/>
          <w:w w:val="105"/>
          <w:sz w:val="19"/>
        </w:rPr>
        <w:t>a</w:t>
      </w:r>
      <w:r>
        <w:rPr>
          <w:color w:val="231F20"/>
          <w:spacing w:val="-27"/>
          <w:w w:val="105"/>
          <w:sz w:val="19"/>
        </w:rPr>
        <w:t> </w:t>
      </w:r>
      <w:r>
        <w:rPr>
          <w:color w:val="231F20"/>
          <w:w w:val="105"/>
          <w:sz w:val="19"/>
        </w:rPr>
        <w:t>quello</w:t>
      </w:r>
      <w:r>
        <w:rPr>
          <w:color w:val="231F20"/>
          <w:spacing w:val="-27"/>
          <w:w w:val="105"/>
          <w:sz w:val="19"/>
        </w:rPr>
        <w:t> </w:t>
      </w:r>
      <w:r>
        <w:rPr>
          <w:color w:val="231F20"/>
          <w:w w:val="105"/>
          <w:sz w:val="19"/>
        </w:rPr>
        <w:t>in</w:t>
      </w:r>
      <w:r>
        <w:rPr>
          <w:color w:val="231F20"/>
          <w:spacing w:val="-27"/>
          <w:w w:val="105"/>
          <w:sz w:val="19"/>
        </w:rPr>
        <w:t> </w:t>
      </w:r>
      <w:r>
        <w:rPr>
          <w:color w:val="231F20"/>
          <w:w w:val="105"/>
          <w:sz w:val="19"/>
        </w:rPr>
        <w:t>materia penale,</w:t>
      </w:r>
      <w:r>
        <w:rPr>
          <w:color w:val="231F20"/>
          <w:spacing w:val="-38"/>
          <w:w w:val="105"/>
          <w:sz w:val="19"/>
        </w:rPr>
        <w:t> </w:t>
      </w:r>
      <w:r>
        <w:rPr>
          <w:color w:val="231F20"/>
          <w:w w:val="105"/>
          <w:sz w:val="19"/>
        </w:rPr>
        <w:t>che</w:t>
      </w:r>
      <w:r>
        <w:rPr>
          <w:color w:val="231F20"/>
          <w:spacing w:val="-38"/>
          <w:w w:val="105"/>
          <w:sz w:val="19"/>
        </w:rPr>
        <w:t> </w:t>
      </w:r>
      <w:r>
        <w:rPr>
          <w:color w:val="231F20"/>
          <w:w w:val="105"/>
          <w:sz w:val="19"/>
        </w:rPr>
        <w:t>procederà</w:t>
      </w:r>
      <w:r>
        <w:rPr>
          <w:color w:val="231F20"/>
          <w:spacing w:val="-38"/>
          <w:w w:val="105"/>
          <w:sz w:val="19"/>
        </w:rPr>
        <w:t> </w:t>
      </w:r>
      <w:r>
        <w:rPr>
          <w:color w:val="231F20"/>
          <w:w w:val="105"/>
          <w:sz w:val="19"/>
        </w:rPr>
        <w:t>nei</w:t>
      </w:r>
      <w:r>
        <w:rPr>
          <w:color w:val="231F20"/>
          <w:spacing w:val="-38"/>
          <w:w w:val="105"/>
          <w:sz w:val="19"/>
        </w:rPr>
        <w:t> </w:t>
      </w:r>
      <w:r>
        <w:rPr>
          <w:color w:val="231F20"/>
          <w:w w:val="105"/>
          <w:sz w:val="19"/>
        </w:rPr>
        <w:t>casi</w:t>
      </w:r>
      <w:r>
        <w:rPr>
          <w:color w:val="231F20"/>
          <w:spacing w:val="-38"/>
          <w:w w:val="105"/>
          <w:sz w:val="19"/>
        </w:rPr>
        <w:t> </w:t>
      </w:r>
      <w:r>
        <w:rPr>
          <w:color w:val="231F20"/>
          <w:w w:val="105"/>
          <w:sz w:val="19"/>
        </w:rPr>
        <w:t>di</w:t>
      </w:r>
      <w:r>
        <w:rPr>
          <w:color w:val="231F20"/>
          <w:spacing w:val="-38"/>
          <w:w w:val="105"/>
          <w:sz w:val="19"/>
        </w:rPr>
        <w:t> </w:t>
      </w:r>
      <w:r>
        <w:rPr>
          <w:color w:val="231F20"/>
          <w:w w:val="105"/>
          <w:sz w:val="19"/>
        </w:rPr>
        <w:t>criminalità</w:t>
      </w:r>
      <w:r>
        <w:rPr>
          <w:color w:val="231F20"/>
          <w:spacing w:val="-38"/>
          <w:w w:val="105"/>
          <w:sz w:val="19"/>
        </w:rPr>
        <w:t> </w:t>
      </w:r>
      <w:r>
        <w:rPr>
          <w:color w:val="231F20"/>
          <w:w w:val="105"/>
          <w:sz w:val="19"/>
        </w:rPr>
        <w:t>organizata,</w:t>
      </w:r>
      <w:r>
        <w:rPr>
          <w:color w:val="231F20"/>
          <w:spacing w:val="-38"/>
          <w:w w:val="105"/>
          <w:sz w:val="19"/>
        </w:rPr>
        <w:t> </w:t>
      </w:r>
      <w:r>
        <w:rPr>
          <w:color w:val="231F20"/>
          <w:w w:val="105"/>
          <w:sz w:val="19"/>
        </w:rPr>
        <w:t>delitti contro</w:t>
      </w:r>
      <w:r>
        <w:rPr>
          <w:color w:val="231F20"/>
          <w:spacing w:val="-23"/>
          <w:w w:val="105"/>
          <w:sz w:val="19"/>
        </w:rPr>
        <w:t> </w:t>
      </w:r>
      <w:r>
        <w:rPr>
          <w:color w:val="231F20"/>
          <w:w w:val="105"/>
          <w:sz w:val="19"/>
        </w:rPr>
        <w:t>la</w:t>
      </w:r>
      <w:r>
        <w:rPr>
          <w:color w:val="231F20"/>
          <w:spacing w:val="-23"/>
          <w:w w:val="105"/>
          <w:sz w:val="19"/>
        </w:rPr>
        <w:t> </w:t>
      </w:r>
      <w:r>
        <w:rPr>
          <w:color w:val="231F20"/>
          <w:w w:val="105"/>
          <w:sz w:val="19"/>
        </w:rPr>
        <w:t>salute</w:t>
      </w:r>
      <w:r>
        <w:rPr>
          <w:color w:val="231F20"/>
          <w:spacing w:val="-23"/>
          <w:w w:val="105"/>
          <w:sz w:val="19"/>
        </w:rPr>
        <w:t> </w:t>
      </w:r>
      <w:r>
        <w:rPr>
          <w:color w:val="231F20"/>
          <w:w w:val="105"/>
          <w:sz w:val="19"/>
        </w:rPr>
        <w:t>pubblica,</w:t>
      </w:r>
      <w:r>
        <w:rPr>
          <w:color w:val="231F20"/>
          <w:spacing w:val="-23"/>
          <w:w w:val="105"/>
          <w:sz w:val="19"/>
        </w:rPr>
        <w:t> </w:t>
      </w:r>
      <w:r>
        <w:rPr>
          <w:color w:val="231F20"/>
          <w:w w:val="105"/>
          <w:sz w:val="19"/>
        </w:rPr>
        <w:t>sequestro,</w:t>
      </w:r>
      <w:r>
        <w:rPr>
          <w:color w:val="231F20"/>
          <w:spacing w:val="-23"/>
          <w:w w:val="105"/>
          <w:sz w:val="19"/>
        </w:rPr>
        <w:t> </w:t>
      </w:r>
      <w:r>
        <w:rPr>
          <w:color w:val="231F20"/>
          <w:w w:val="105"/>
          <w:sz w:val="19"/>
        </w:rPr>
        <w:t>furto</w:t>
      </w:r>
      <w:r>
        <w:rPr>
          <w:color w:val="231F20"/>
          <w:spacing w:val="-23"/>
          <w:w w:val="105"/>
          <w:sz w:val="19"/>
        </w:rPr>
        <w:t> </w:t>
      </w:r>
      <w:r>
        <w:rPr>
          <w:color w:val="231F20"/>
          <w:w w:val="105"/>
          <w:sz w:val="19"/>
        </w:rPr>
        <w:t>di</w:t>
      </w:r>
      <w:r>
        <w:rPr>
          <w:color w:val="231F20"/>
          <w:spacing w:val="-23"/>
          <w:w w:val="105"/>
          <w:sz w:val="19"/>
        </w:rPr>
        <w:t> </w:t>
      </w:r>
      <w:r>
        <w:rPr>
          <w:color w:val="231F20"/>
          <w:w w:val="105"/>
          <w:sz w:val="19"/>
        </w:rPr>
        <w:t>veicoli</w:t>
      </w:r>
      <w:r>
        <w:rPr>
          <w:color w:val="231F20"/>
          <w:spacing w:val="-23"/>
          <w:w w:val="105"/>
          <w:sz w:val="19"/>
        </w:rPr>
        <w:t> </w:t>
      </w:r>
      <w:r>
        <w:rPr>
          <w:color w:val="231F20"/>
          <w:w w:val="105"/>
          <w:sz w:val="19"/>
        </w:rPr>
        <w:t>e</w:t>
      </w:r>
      <w:r>
        <w:rPr>
          <w:color w:val="231F20"/>
          <w:spacing w:val="-23"/>
          <w:w w:val="105"/>
          <w:sz w:val="19"/>
        </w:rPr>
        <w:t> </w:t>
      </w:r>
      <w:r>
        <w:rPr>
          <w:color w:val="231F20"/>
          <w:w w:val="105"/>
          <w:sz w:val="19"/>
        </w:rPr>
        <w:t>traffico di</w:t>
      </w:r>
      <w:r>
        <w:rPr>
          <w:color w:val="231F20"/>
          <w:spacing w:val="-22"/>
          <w:w w:val="105"/>
          <w:sz w:val="19"/>
        </w:rPr>
        <w:t> </w:t>
      </w:r>
      <w:r>
        <w:rPr>
          <w:color w:val="231F20"/>
          <w:w w:val="105"/>
          <w:sz w:val="19"/>
        </w:rPr>
        <w:t>persone,</w:t>
      </w:r>
      <w:r>
        <w:rPr>
          <w:color w:val="231F20"/>
          <w:spacing w:val="-22"/>
          <w:w w:val="105"/>
          <w:sz w:val="19"/>
        </w:rPr>
        <w:t> </w:t>
      </w:r>
      <w:r>
        <w:rPr>
          <w:color w:val="231F20"/>
          <w:w w:val="105"/>
          <w:sz w:val="19"/>
        </w:rPr>
        <w:t>e</w:t>
      </w:r>
      <w:r>
        <w:rPr>
          <w:color w:val="231F20"/>
          <w:spacing w:val="-22"/>
          <w:w w:val="105"/>
          <w:sz w:val="19"/>
        </w:rPr>
        <w:t> </w:t>
      </w:r>
      <w:r>
        <w:rPr>
          <w:color w:val="231F20"/>
          <w:w w:val="105"/>
          <w:sz w:val="19"/>
        </w:rPr>
        <w:t>rispetto</w:t>
      </w:r>
      <w:r>
        <w:rPr>
          <w:color w:val="231F20"/>
          <w:spacing w:val="-22"/>
          <w:w w:val="105"/>
          <w:sz w:val="19"/>
        </w:rPr>
        <w:t> </w:t>
      </w:r>
      <w:r>
        <w:rPr>
          <w:color w:val="231F20"/>
          <w:w w:val="105"/>
          <w:sz w:val="19"/>
        </w:rPr>
        <w:t>dei</w:t>
      </w:r>
      <w:r>
        <w:rPr>
          <w:color w:val="231F20"/>
          <w:spacing w:val="-22"/>
          <w:w w:val="105"/>
          <w:sz w:val="19"/>
        </w:rPr>
        <w:t> </w:t>
      </w:r>
      <w:r>
        <w:rPr>
          <w:color w:val="231F20"/>
          <w:w w:val="105"/>
          <w:sz w:val="19"/>
        </w:rPr>
        <w:t>beni</w:t>
      </w:r>
      <w:r>
        <w:rPr>
          <w:color w:val="231F20"/>
          <w:spacing w:val="-22"/>
          <w:w w:val="105"/>
          <w:sz w:val="19"/>
        </w:rPr>
        <w:t> </w:t>
      </w:r>
      <w:r>
        <w:rPr>
          <w:color w:val="231F20"/>
          <w:w w:val="105"/>
          <w:sz w:val="19"/>
        </w:rPr>
        <w:t>che</w:t>
      </w:r>
      <w:r>
        <w:rPr>
          <w:color w:val="231F20"/>
          <w:spacing w:val="-22"/>
          <w:w w:val="105"/>
          <w:sz w:val="19"/>
        </w:rPr>
        <w:t> </w:t>
      </w:r>
      <w:r>
        <w:rPr>
          <w:color w:val="231F20"/>
          <w:w w:val="105"/>
          <w:sz w:val="19"/>
        </w:rPr>
        <w:t>la</w:t>
      </w:r>
      <w:r>
        <w:rPr>
          <w:color w:val="231F20"/>
          <w:spacing w:val="-22"/>
          <w:w w:val="105"/>
          <w:sz w:val="19"/>
        </w:rPr>
        <w:t> </w:t>
      </w:r>
      <w:r>
        <w:rPr>
          <w:color w:val="231F20"/>
          <w:w w:val="105"/>
          <w:sz w:val="19"/>
        </w:rPr>
        <w:t>Costituzione</w:t>
      </w:r>
      <w:r>
        <w:rPr>
          <w:color w:val="231F20"/>
          <w:spacing w:val="-22"/>
          <w:w w:val="105"/>
          <w:sz w:val="19"/>
        </w:rPr>
        <w:t> </w:t>
      </w:r>
      <w:r>
        <w:rPr>
          <w:color w:val="231F20"/>
          <w:w w:val="105"/>
          <w:sz w:val="19"/>
        </w:rPr>
        <w:t>specifica.</w:t>
      </w:r>
    </w:p>
    <w:p>
      <w:pPr>
        <w:pStyle w:val="BodyText"/>
        <w:spacing w:before="1"/>
        <w:rPr>
          <w:sz w:val="14"/>
        </w:rPr>
      </w:pPr>
    </w:p>
    <w:p>
      <w:pPr>
        <w:spacing w:line="220" w:lineRule="exact" w:before="0"/>
        <w:ind w:left="1894" w:right="117" w:firstLine="0"/>
        <w:jc w:val="both"/>
        <w:rPr>
          <w:sz w:val="19"/>
        </w:rPr>
      </w:pPr>
      <w:r>
        <w:rPr>
          <w:color w:val="231F20"/>
          <w:spacing w:val="5"/>
          <w:w w:val="105"/>
          <w:sz w:val="19"/>
        </w:rPr>
        <w:t>Questo aspetto </w:t>
      </w:r>
      <w:r>
        <w:rPr>
          <w:color w:val="231F20"/>
          <w:w w:val="105"/>
          <w:sz w:val="19"/>
        </w:rPr>
        <w:t>è </w:t>
      </w:r>
      <w:r>
        <w:rPr>
          <w:color w:val="231F20"/>
          <w:spacing w:val="5"/>
          <w:w w:val="105"/>
          <w:sz w:val="19"/>
        </w:rPr>
        <w:t>importante </w:t>
      </w:r>
      <w:r>
        <w:rPr>
          <w:color w:val="231F20"/>
          <w:spacing w:val="4"/>
          <w:w w:val="105"/>
          <w:sz w:val="19"/>
        </w:rPr>
        <w:t>perché </w:t>
      </w:r>
      <w:r>
        <w:rPr>
          <w:color w:val="231F20"/>
          <w:spacing w:val="5"/>
          <w:w w:val="105"/>
          <w:sz w:val="19"/>
        </w:rPr>
        <w:t>colpisce </w:t>
      </w:r>
      <w:r>
        <w:rPr>
          <w:color w:val="231F20"/>
          <w:spacing w:val="3"/>
          <w:w w:val="105"/>
          <w:sz w:val="19"/>
        </w:rPr>
        <w:t>il </w:t>
      </w:r>
      <w:r>
        <w:rPr>
          <w:color w:val="231F20"/>
          <w:spacing w:val="4"/>
          <w:w w:val="105"/>
          <w:sz w:val="19"/>
        </w:rPr>
        <w:t>cuore </w:t>
      </w:r>
      <w:r>
        <w:rPr>
          <w:color w:val="231F20"/>
          <w:w w:val="105"/>
          <w:sz w:val="19"/>
        </w:rPr>
        <w:t>della</w:t>
      </w:r>
      <w:r>
        <w:rPr>
          <w:color w:val="231F20"/>
          <w:spacing w:val="-7"/>
          <w:w w:val="105"/>
          <w:sz w:val="19"/>
        </w:rPr>
        <w:t> </w:t>
      </w:r>
      <w:r>
        <w:rPr>
          <w:color w:val="231F20"/>
          <w:w w:val="105"/>
          <w:sz w:val="19"/>
        </w:rPr>
        <w:t>criminalità</w:t>
      </w:r>
      <w:r>
        <w:rPr>
          <w:color w:val="231F20"/>
          <w:spacing w:val="-7"/>
          <w:w w:val="105"/>
          <w:sz w:val="19"/>
        </w:rPr>
        <w:t> </w:t>
      </w:r>
      <w:r>
        <w:rPr>
          <w:color w:val="231F20"/>
          <w:w w:val="105"/>
          <w:sz w:val="19"/>
        </w:rPr>
        <w:t>organizzata</w:t>
      </w:r>
      <w:r>
        <w:rPr>
          <w:color w:val="231F20"/>
          <w:spacing w:val="-7"/>
          <w:w w:val="105"/>
          <w:sz w:val="19"/>
        </w:rPr>
        <w:t> </w:t>
      </w:r>
      <w:r>
        <w:rPr>
          <w:color w:val="231F20"/>
          <w:w w:val="105"/>
          <w:sz w:val="19"/>
        </w:rPr>
        <w:t>e</w:t>
      </w:r>
      <w:r>
        <w:rPr>
          <w:color w:val="231F20"/>
          <w:spacing w:val="-7"/>
          <w:w w:val="105"/>
          <w:sz w:val="19"/>
        </w:rPr>
        <w:t> </w:t>
      </w:r>
      <w:r>
        <w:rPr>
          <w:color w:val="231F20"/>
          <w:w w:val="105"/>
          <w:sz w:val="19"/>
        </w:rPr>
        <w:t>altri</w:t>
      </w:r>
      <w:r>
        <w:rPr>
          <w:color w:val="231F20"/>
          <w:spacing w:val="-7"/>
          <w:w w:val="105"/>
          <w:sz w:val="19"/>
        </w:rPr>
        <w:t> </w:t>
      </w:r>
      <w:r>
        <w:rPr>
          <w:color w:val="231F20"/>
          <w:w w:val="105"/>
          <w:sz w:val="19"/>
        </w:rPr>
        <w:t>delitti</w:t>
      </w:r>
      <w:r>
        <w:rPr>
          <w:color w:val="231F20"/>
          <w:spacing w:val="-7"/>
          <w:w w:val="105"/>
          <w:sz w:val="19"/>
        </w:rPr>
        <w:t> </w:t>
      </w:r>
      <w:r>
        <w:rPr>
          <w:color w:val="231F20"/>
          <w:w w:val="105"/>
          <w:sz w:val="19"/>
        </w:rPr>
        <w:t>gravi:</w:t>
      </w:r>
      <w:r>
        <w:rPr>
          <w:color w:val="231F20"/>
          <w:spacing w:val="-7"/>
          <w:w w:val="105"/>
          <w:sz w:val="19"/>
        </w:rPr>
        <w:t> </w:t>
      </w:r>
      <w:r>
        <w:rPr>
          <w:color w:val="231F20"/>
          <w:w w:val="105"/>
          <w:sz w:val="19"/>
        </w:rPr>
        <w:t>gli</w:t>
      </w:r>
      <w:r>
        <w:rPr>
          <w:color w:val="231F20"/>
          <w:spacing w:val="-7"/>
          <w:w w:val="105"/>
          <w:sz w:val="19"/>
        </w:rPr>
        <w:t> </w:t>
      </w:r>
      <w:r>
        <w:rPr>
          <w:color w:val="231F20"/>
          <w:w w:val="105"/>
          <w:sz w:val="19"/>
        </w:rPr>
        <w:t>immensi profitti</w:t>
      </w:r>
      <w:r>
        <w:rPr>
          <w:color w:val="231F20"/>
          <w:spacing w:val="-12"/>
          <w:w w:val="105"/>
          <w:sz w:val="19"/>
        </w:rPr>
        <w:t> </w:t>
      </w:r>
      <w:r>
        <w:rPr>
          <w:color w:val="231F20"/>
          <w:w w:val="105"/>
          <w:sz w:val="19"/>
        </w:rPr>
        <w:t>economici</w:t>
      </w:r>
      <w:r>
        <w:rPr>
          <w:color w:val="231F20"/>
          <w:spacing w:val="-12"/>
          <w:w w:val="105"/>
          <w:sz w:val="19"/>
        </w:rPr>
        <w:t> </w:t>
      </w:r>
      <w:r>
        <w:rPr>
          <w:color w:val="231F20"/>
          <w:w w:val="105"/>
          <w:sz w:val="19"/>
        </w:rPr>
        <w:t>che</w:t>
      </w:r>
      <w:r>
        <w:rPr>
          <w:color w:val="231F20"/>
          <w:spacing w:val="-12"/>
          <w:w w:val="105"/>
          <w:sz w:val="19"/>
        </w:rPr>
        <w:t> </w:t>
      </w:r>
      <w:r>
        <w:rPr>
          <w:color w:val="231F20"/>
          <w:w w:val="105"/>
          <w:sz w:val="19"/>
        </w:rPr>
        <w:t>implicano</w:t>
      </w:r>
      <w:r>
        <w:rPr>
          <w:color w:val="231F20"/>
          <w:spacing w:val="-12"/>
          <w:w w:val="105"/>
          <w:sz w:val="19"/>
        </w:rPr>
        <w:t> </w:t>
      </w:r>
      <w:r>
        <w:rPr>
          <w:color w:val="231F20"/>
          <w:w w:val="105"/>
          <w:sz w:val="19"/>
        </w:rPr>
        <w:t>e</w:t>
      </w:r>
      <w:r>
        <w:rPr>
          <w:color w:val="231F20"/>
          <w:spacing w:val="-12"/>
          <w:w w:val="105"/>
          <w:sz w:val="19"/>
        </w:rPr>
        <w:t> </w:t>
      </w:r>
      <w:r>
        <w:rPr>
          <w:color w:val="231F20"/>
          <w:w w:val="105"/>
          <w:sz w:val="19"/>
        </w:rPr>
        <w:t>che</w:t>
      </w:r>
      <w:r>
        <w:rPr>
          <w:color w:val="231F20"/>
          <w:spacing w:val="-12"/>
          <w:w w:val="105"/>
          <w:sz w:val="19"/>
        </w:rPr>
        <w:t> </w:t>
      </w:r>
      <w:r>
        <w:rPr>
          <w:color w:val="231F20"/>
          <w:w w:val="105"/>
          <w:sz w:val="19"/>
        </w:rPr>
        <w:t>sono</w:t>
      </w:r>
      <w:r>
        <w:rPr>
          <w:color w:val="231F20"/>
          <w:spacing w:val="-12"/>
          <w:w w:val="105"/>
          <w:sz w:val="19"/>
        </w:rPr>
        <w:t> </w:t>
      </w:r>
      <w:r>
        <w:rPr>
          <w:color w:val="231F20"/>
          <w:w w:val="105"/>
          <w:sz w:val="19"/>
        </w:rPr>
        <w:t>causa</w:t>
      </w:r>
      <w:r>
        <w:rPr>
          <w:color w:val="231F20"/>
          <w:spacing w:val="-12"/>
          <w:w w:val="105"/>
          <w:sz w:val="19"/>
        </w:rPr>
        <w:t> </w:t>
      </w:r>
      <w:r>
        <w:rPr>
          <w:color w:val="231F20"/>
          <w:w w:val="105"/>
          <w:sz w:val="19"/>
        </w:rPr>
        <w:t>della</w:t>
      </w:r>
      <w:r>
        <w:rPr>
          <w:color w:val="231F20"/>
          <w:spacing w:val="-12"/>
          <w:w w:val="105"/>
          <w:sz w:val="19"/>
        </w:rPr>
        <w:t> </w:t>
      </w:r>
      <w:r>
        <w:rPr>
          <w:color w:val="231F20"/>
          <w:w w:val="105"/>
          <w:sz w:val="19"/>
        </w:rPr>
        <w:t>loro </w:t>
      </w:r>
      <w:r>
        <w:rPr>
          <w:color w:val="231F20"/>
          <w:spacing w:val="3"/>
          <w:w w:val="105"/>
          <w:sz w:val="19"/>
        </w:rPr>
        <w:t>realizzazione. Come </w:t>
      </w:r>
      <w:r>
        <w:rPr>
          <w:color w:val="231F20"/>
          <w:spacing w:val="2"/>
          <w:w w:val="105"/>
          <w:sz w:val="19"/>
        </w:rPr>
        <w:t>ben </w:t>
      </w:r>
      <w:r>
        <w:rPr>
          <w:color w:val="231F20"/>
          <w:spacing w:val="3"/>
          <w:w w:val="105"/>
          <w:sz w:val="19"/>
        </w:rPr>
        <w:t>dice l’esposizione </w:t>
      </w:r>
      <w:r>
        <w:rPr>
          <w:color w:val="231F20"/>
          <w:w w:val="105"/>
          <w:sz w:val="19"/>
        </w:rPr>
        <w:t>di </w:t>
      </w:r>
      <w:r>
        <w:rPr>
          <w:color w:val="231F20"/>
          <w:spacing w:val="3"/>
          <w:w w:val="105"/>
          <w:sz w:val="19"/>
        </w:rPr>
        <w:t>motivi </w:t>
      </w:r>
      <w:r>
        <w:rPr>
          <w:color w:val="231F20"/>
          <w:spacing w:val="4"/>
          <w:w w:val="105"/>
          <w:sz w:val="19"/>
        </w:rPr>
        <w:t>del </w:t>
      </w:r>
      <w:r>
        <w:rPr>
          <w:color w:val="231F20"/>
          <w:w w:val="105"/>
          <w:sz w:val="19"/>
        </w:rPr>
        <w:t>progetto,</w:t>
      </w:r>
      <w:r>
        <w:rPr>
          <w:color w:val="231F20"/>
          <w:spacing w:val="-41"/>
          <w:w w:val="105"/>
          <w:sz w:val="19"/>
        </w:rPr>
        <w:t> </w:t>
      </w:r>
      <w:r>
        <w:rPr>
          <w:color w:val="231F20"/>
          <w:w w:val="105"/>
          <w:sz w:val="19"/>
        </w:rPr>
        <w:t>si</w:t>
      </w:r>
      <w:r>
        <w:rPr>
          <w:color w:val="231F20"/>
          <w:spacing w:val="-41"/>
          <w:w w:val="105"/>
          <w:sz w:val="19"/>
        </w:rPr>
        <w:t> </w:t>
      </w:r>
      <w:r>
        <w:rPr>
          <w:color w:val="231F20"/>
          <w:w w:val="105"/>
          <w:sz w:val="19"/>
        </w:rPr>
        <w:t>confronta</w:t>
      </w:r>
      <w:r>
        <w:rPr>
          <w:color w:val="231F20"/>
          <w:spacing w:val="-41"/>
          <w:w w:val="105"/>
          <w:sz w:val="19"/>
        </w:rPr>
        <w:t> </w:t>
      </w:r>
      <w:r>
        <w:rPr>
          <w:color w:val="231F20"/>
          <w:w w:val="105"/>
          <w:sz w:val="19"/>
        </w:rPr>
        <w:t>la</w:t>
      </w:r>
      <w:r>
        <w:rPr>
          <w:color w:val="231F20"/>
          <w:spacing w:val="-41"/>
          <w:w w:val="105"/>
          <w:sz w:val="19"/>
        </w:rPr>
        <w:t> </w:t>
      </w:r>
      <w:r>
        <w:rPr>
          <w:color w:val="231F20"/>
          <w:w w:val="105"/>
          <w:sz w:val="19"/>
        </w:rPr>
        <w:t>delinquenza</w:t>
      </w:r>
      <w:r>
        <w:rPr>
          <w:color w:val="231F20"/>
          <w:spacing w:val="-41"/>
          <w:w w:val="105"/>
          <w:sz w:val="19"/>
        </w:rPr>
        <w:t> </w:t>
      </w:r>
      <w:r>
        <w:rPr>
          <w:color w:val="231F20"/>
          <w:w w:val="105"/>
          <w:sz w:val="19"/>
        </w:rPr>
        <w:t>affettando</w:t>
      </w:r>
      <w:r>
        <w:rPr>
          <w:color w:val="231F20"/>
          <w:spacing w:val="-41"/>
          <w:w w:val="105"/>
          <w:sz w:val="19"/>
        </w:rPr>
        <w:t> </w:t>
      </w:r>
      <w:r>
        <w:rPr>
          <w:color w:val="231F20"/>
          <w:w w:val="105"/>
          <w:sz w:val="19"/>
        </w:rPr>
        <w:t>direttamente l’economia</w:t>
      </w:r>
      <w:r>
        <w:rPr>
          <w:color w:val="231F20"/>
          <w:spacing w:val="-31"/>
          <w:w w:val="105"/>
          <w:sz w:val="19"/>
        </w:rPr>
        <w:t> </w:t>
      </w:r>
      <w:r>
        <w:rPr>
          <w:color w:val="231F20"/>
          <w:w w:val="105"/>
          <w:sz w:val="19"/>
        </w:rPr>
        <w:t>del</w:t>
      </w:r>
      <w:r>
        <w:rPr>
          <w:color w:val="231F20"/>
          <w:spacing w:val="-31"/>
          <w:w w:val="105"/>
          <w:sz w:val="19"/>
        </w:rPr>
        <w:t> </w:t>
      </w:r>
      <w:r>
        <w:rPr>
          <w:color w:val="231F20"/>
          <w:w w:val="105"/>
          <w:sz w:val="19"/>
        </w:rPr>
        <w:t>crimine,</w:t>
      </w:r>
      <w:r>
        <w:rPr>
          <w:color w:val="231F20"/>
          <w:spacing w:val="-31"/>
          <w:w w:val="105"/>
          <w:sz w:val="19"/>
        </w:rPr>
        <w:t> </w:t>
      </w:r>
      <w:r>
        <w:rPr>
          <w:color w:val="231F20"/>
          <w:w w:val="105"/>
          <w:sz w:val="19"/>
        </w:rPr>
        <w:t>si</w:t>
      </w:r>
      <w:r>
        <w:rPr>
          <w:color w:val="231F20"/>
          <w:spacing w:val="-31"/>
          <w:w w:val="105"/>
          <w:sz w:val="19"/>
        </w:rPr>
        <w:t> </w:t>
      </w:r>
      <w:r>
        <w:rPr>
          <w:color w:val="231F20"/>
          <w:w w:val="105"/>
          <w:sz w:val="19"/>
        </w:rPr>
        <w:t>aumentano</w:t>
      </w:r>
      <w:r>
        <w:rPr>
          <w:color w:val="231F20"/>
          <w:spacing w:val="-31"/>
          <w:w w:val="105"/>
          <w:sz w:val="19"/>
        </w:rPr>
        <w:t> </w:t>
      </w:r>
      <w:r>
        <w:rPr>
          <w:color w:val="231F20"/>
          <w:w w:val="105"/>
          <w:sz w:val="19"/>
        </w:rPr>
        <w:t>i</w:t>
      </w:r>
      <w:r>
        <w:rPr>
          <w:color w:val="231F20"/>
          <w:spacing w:val="-31"/>
          <w:w w:val="105"/>
          <w:sz w:val="19"/>
        </w:rPr>
        <w:t> </w:t>
      </w:r>
      <w:r>
        <w:rPr>
          <w:color w:val="231F20"/>
          <w:w w:val="105"/>
          <w:sz w:val="19"/>
        </w:rPr>
        <w:t>suoi</w:t>
      </w:r>
      <w:r>
        <w:rPr>
          <w:color w:val="231F20"/>
          <w:spacing w:val="-31"/>
          <w:w w:val="105"/>
          <w:sz w:val="19"/>
        </w:rPr>
        <w:t> </w:t>
      </w:r>
      <w:r>
        <w:rPr>
          <w:color w:val="231F20"/>
          <w:w w:val="105"/>
          <w:sz w:val="19"/>
        </w:rPr>
        <w:t>costi</w:t>
      </w:r>
      <w:r>
        <w:rPr>
          <w:color w:val="231F20"/>
          <w:spacing w:val="-31"/>
          <w:w w:val="105"/>
          <w:sz w:val="19"/>
        </w:rPr>
        <w:t> </w:t>
      </w:r>
      <w:r>
        <w:rPr>
          <w:color w:val="231F20"/>
          <w:w w:val="105"/>
          <w:sz w:val="19"/>
        </w:rPr>
        <w:t>e</w:t>
      </w:r>
      <w:r>
        <w:rPr>
          <w:color w:val="231F20"/>
          <w:spacing w:val="-31"/>
          <w:w w:val="105"/>
          <w:sz w:val="19"/>
        </w:rPr>
        <w:t> </w:t>
      </w:r>
      <w:r>
        <w:rPr>
          <w:color w:val="231F20"/>
          <w:w w:val="105"/>
          <w:sz w:val="19"/>
        </w:rPr>
        <w:t>si</w:t>
      </w:r>
      <w:r>
        <w:rPr>
          <w:color w:val="231F20"/>
          <w:spacing w:val="-31"/>
          <w:w w:val="105"/>
          <w:sz w:val="19"/>
        </w:rPr>
        <w:t> </w:t>
      </w:r>
      <w:r>
        <w:rPr>
          <w:color w:val="231F20"/>
          <w:w w:val="105"/>
          <w:sz w:val="19"/>
        </w:rPr>
        <w:t>riducono i</w:t>
      </w:r>
      <w:r>
        <w:rPr>
          <w:color w:val="231F20"/>
          <w:spacing w:val="-26"/>
          <w:w w:val="105"/>
          <w:sz w:val="19"/>
        </w:rPr>
        <w:t> </w:t>
      </w:r>
      <w:r>
        <w:rPr>
          <w:color w:val="231F20"/>
          <w:w w:val="105"/>
          <w:sz w:val="19"/>
        </w:rPr>
        <w:t>suoi</w:t>
      </w:r>
      <w:r>
        <w:rPr>
          <w:color w:val="231F20"/>
          <w:spacing w:val="-26"/>
          <w:w w:val="105"/>
          <w:sz w:val="19"/>
        </w:rPr>
        <w:t> </w:t>
      </w:r>
      <w:r>
        <w:rPr>
          <w:color w:val="231F20"/>
          <w:w w:val="105"/>
          <w:sz w:val="19"/>
        </w:rPr>
        <w:t>guadagni.</w:t>
      </w:r>
    </w:p>
    <w:p>
      <w:pPr>
        <w:pStyle w:val="BodyText"/>
        <w:spacing w:before="1"/>
        <w:rPr>
          <w:sz w:val="14"/>
        </w:rPr>
      </w:pPr>
    </w:p>
    <w:p>
      <w:pPr>
        <w:pStyle w:val="ListParagraph"/>
        <w:numPr>
          <w:ilvl w:val="0"/>
          <w:numId w:val="10"/>
        </w:numPr>
        <w:tabs>
          <w:tab w:pos="1895" w:val="left" w:leader="none"/>
        </w:tabs>
        <w:spacing w:line="220" w:lineRule="exact" w:before="0" w:after="0"/>
        <w:ind w:left="1894" w:right="119" w:hanging="360"/>
        <w:jc w:val="both"/>
        <w:rPr>
          <w:sz w:val="19"/>
        </w:rPr>
      </w:pPr>
      <w:r>
        <w:rPr>
          <w:color w:val="231F20"/>
          <w:sz w:val="19"/>
        </w:rPr>
        <w:t>Il </w:t>
      </w:r>
      <w:r>
        <w:rPr>
          <w:color w:val="231F20"/>
          <w:spacing w:val="2"/>
          <w:sz w:val="19"/>
        </w:rPr>
        <w:t>Congresso dell’Unione </w:t>
      </w:r>
      <w:r>
        <w:rPr>
          <w:color w:val="231F20"/>
          <w:sz w:val="19"/>
        </w:rPr>
        <w:t>ha </w:t>
      </w:r>
      <w:r>
        <w:rPr>
          <w:color w:val="231F20"/>
          <w:spacing w:val="2"/>
          <w:sz w:val="19"/>
        </w:rPr>
        <w:t>delle facoltà </w:t>
      </w:r>
      <w:r>
        <w:rPr>
          <w:color w:val="231F20"/>
          <w:sz w:val="19"/>
        </w:rPr>
        <w:t>per </w:t>
      </w:r>
      <w:r>
        <w:rPr>
          <w:color w:val="231F20"/>
          <w:spacing w:val="2"/>
          <w:sz w:val="19"/>
        </w:rPr>
        <w:t>legiferare </w:t>
      </w:r>
      <w:r>
        <w:rPr>
          <w:color w:val="231F20"/>
          <w:spacing w:val="3"/>
          <w:sz w:val="19"/>
        </w:rPr>
        <w:t>in </w:t>
      </w:r>
      <w:r>
        <w:rPr>
          <w:color w:val="231F20"/>
          <w:sz w:val="19"/>
        </w:rPr>
        <w:t>materia di criminalità organizzata. Di conseguenza, le entità federative non possederanno più </w:t>
      </w:r>
      <w:r>
        <w:rPr>
          <w:color w:val="231F20"/>
          <w:spacing w:val="9"/>
          <w:sz w:val="19"/>
        </w:rPr>
        <w:t> </w:t>
      </w:r>
      <w:r>
        <w:rPr>
          <w:color w:val="231F20"/>
          <w:sz w:val="19"/>
        </w:rPr>
        <w:t>quell’attribuzione</w:t>
      </w:r>
      <w:r>
        <w:rPr>
          <w:color w:val="231F20"/>
          <w:position w:val="6"/>
          <w:sz w:val="11"/>
        </w:rPr>
        <w:t>22</w:t>
      </w:r>
      <w:r>
        <w:rPr>
          <w:color w:val="231F20"/>
          <w:sz w:val="19"/>
        </w:rPr>
        <w:t>.</w:t>
      </w:r>
    </w:p>
    <w:p>
      <w:pPr>
        <w:pStyle w:val="BodyText"/>
        <w:spacing w:before="11"/>
        <w:rPr>
          <w:sz w:val="23"/>
        </w:rPr>
      </w:pPr>
    </w:p>
    <w:p>
      <w:pPr>
        <w:pStyle w:val="BodyText"/>
        <w:spacing w:line="247" w:lineRule="auto"/>
        <w:ind w:left="117" w:right="122"/>
        <w:jc w:val="both"/>
      </w:pPr>
      <w:r>
        <w:rPr>
          <w:color w:val="231F20"/>
          <w:w w:val="105"/>
        </w:rPr>
        <w:t>Secondo</w:t>
      </w:r>
      <w:r>
        <w:rPr>
          <w:color w:val="231F20"/>
          <w:spacing w:val="-36"/>
          <w:w w:val="105"/>
        </w:rPr>
        <w:t> </w:t>
      </w:r>
      <w:r>
        <w:rPr>
          <w:color w:val="231F20"/>
          <w:w w:val="105"/>
        </w:rPr>
        <w:t>Carpizo,</w:t>
      </w:r>
      <w:r>
        <w:rPr>
          <w:color w:val="231F20"/>
          <w:spacing w:val="-36"/>
          <w:w w:val="105"/>
        </w:rPr>
        <w:t> </w:t>
      </w:r>
      <w:r>
        <w:rPr>
          <w:color w:val="231F20"/>
          <w:w w:val="105"/>
        </w:rPr>
        <w:t>tale</w:t>
      </w:r>
      <w:r>
        <w:rPr>
          <w:color w:val="231F20"/>
          <w:spacing w:val="-36"/>
          <w:w w:val="105"/>
        </w:rPr>
        <w:t> </w:t>
      </w:r>
      <w:r>
        <w:rPr>
          <w:color w:val="231F20"/>
          <w:w w:val="105"/>
        </w:rPr>
        <w:t>riforma</w:t>
      </w:r>
      <w:r>
        <w:rPr>
          <w:color w:val="231F20"/>
          <w:spacing w:val="-36"/>
          <w:w w:val="105"/>
        </w:rPr>
        <w:t> </w:t>
      </w:r>
      <w:r>
        <w:rPr>
          <w:color w:val="231F20"/>
          <w:w w:val="105"/>
        </w:rPr>
        <w:t>deriva</w:t>
      </w:r>
      <w:r>
        <w:rPr>
          <w:color w:val="231F20"/>
          <w:spacing w:val="-36"/>
          <w:w w:val="105"/>
        </w:rPr>
        <w:t> </w:t>
      </w:r>
      <w:r>
        <w:rPr>
          <w:color w:val="231F20"/>
          <w:w w:val="105"/>
        </w:rPr>
        <w:t>in</w:t>
      </w:r>
      <w:r>
        <w:rPr>
          <w:color w:val="231F20"/>
          <w:spacing w:val="-36"/>
          <w:w w:val="105"/>
        </w:rPr>
        <w:t> </w:t>
      </w:r>
      <w:r>
        <w:rPr>
          <w:color w:val="231F20"/>
          <w:w w:val="105"/>
        </w:rPr>
        <w:t>gran</w:t>
      </w:r>
      <w:r>
        <w:rPr>
          <w:color w:val="231F20"/>
          <w:spacing w:val="-36"/>
          <w:w w:val="105"/>
        </w:rPr>
        <w:t> </w:t>
      </w:r>
      <w:r>
        <w:rPr>
          <w:color w:val="231F20"/>
          <w:w w:val="105"/>
        </w:rPr>
        <w:t>parte</w:t>
      </w:r>
      <w:r>
        <w:rPr>
          <w:color w:val="231F20"/>
          <w:spacing w:val="-36"/>
          <w:w w:val="105"/>
        </w:rPr>
        <w:t> </w:t>
      </w:r>
      <w:r>
        <w:rPr>
          <w:color w:val="231F20"/>
          <w:w w:val="105"/>
        </w:rPr>
        <w:t>dal</w:t>
      </w:r>
      <w:r>
        <w:rPr>
          <w:color w:val="231F20"/>
          <w:spacing w:val="-36"/>
          <w:w w:val="105"/>
        </w:rPr>
        <w:t> </w:t>
      </w:r>
      <w:r>
        <w:rPr>
          <w:color w:val="231F20"/>
          <w:w w:val="105"/>
        </w:rPr>
        <w:t>riconoscimento</w:t>
      </w:r>
      <w:r>
        <w:rPr>
          <w:color w:val="231F20"/>
          <w:spacing w:val="-36"/>
          <w:w w:val="105"/>
        </w:rPr>
        <w:t> </w:t>
      </w:r>
      <w:r>
        <w:rPr>
          <w:color w:val="231F20"/>
          <w:w w:val="105"/>
        </w:rPr>
        <w:t>della criminalità</w:t>
      </w:r>
      <w:r>
        <w:rPr>
          <w:color w:val="231F20"/>
          <w:spacing w:val="-49"/>
          <w:w w:val="105"/>
        </w:rPr>
        <w:t> </w:t>
      </w:r>
      <w:r>
        <w:rPr>
          <w:color w:val="231F20"/>
          <w:spacing w:val="-3"/>
          <w:w w:val="105"/>
        </w:rPr>
        <w:t>organizzata</w:t>
      </w:r>
      <w:r>
        <w:rPr>
          <w:color w:val="231F20"/>
          <w:spacing w:val="-49"/>
          <w:w w:val="105"/>
        </w:rPr>
        <w:t> </w:t>
      </w:r>
      <w:r>
        <w:rPr>
          <w:color w:val="231F20"/>
          <w:w w:val="105"/>
        </w:rPr>
        <w:t>come</w:t>
      </w:r>
      <w:r>
        <w:rPr>
          <w:color w:val="231F20"/>
          <w:spacing w:val="-49"/>
          <w:w w:val="105"/>
        </w:rPr>
        <w:t> </w:t>
      </w:r>
      <w:r>
        <w:rPr>
          <w:color w:val="231F20"/>
          <w:w w:val="105"/>
        </w:rPr>
        <w:t>una</w:t>
      </w:r>
      <w:r>
        <w:rPr>
          <w:color w:val="231F20"/>
          <w:spacing w:val="-49"/>
          <w:w w:val="105"/>
        </w:rPr>
        <w:t> </w:t>
      </w:r>
      <w:r>
        <w:rPr>
          <w:color w:val="231F20"/>
          <w:spacing w:val="-3"/>
          <w:w w:val="105"/>
        </w:rPr>
        <w:t>realtà</w:t>
      </w:r>
      <w:r>
        <w:rPr>
          <w:color w:val="231F20"/>
          <w:spacing w:val="-49"/>
          <w:w w:val="105"/>
        </w:rPr>
        <w:t> </w:t>
      </w:r>
      <w:r>
        <w:rPr>
          <w:color w:val="231F20"/>
          <w:w w:val="105"/>
        </w:rPr>
        <w:t>attuale</w:t>
      </w:r>
      <w:r>
        <w:rPr>
          <w:color w:val="231F20"/>
          <w:spacing w:val="-49"/>
          <w:w w:val="105"/>
        </w:rPr>
        <w:t> </w:t>
      </w:r>
      <w:r>
        <w:rPr>
          <w:color w:val="231F20"/>
          <w:w w:val="105"/>
        </w:rPr>
        <w:t>e</w:t>
      </w:r>
      <w:r>
        <w:rPr>
          <w:color w:val="231F20"/>
          <w:spacing w:val="-49"/>
          <w:w w:val="105"/>
        </w:rPr>
        <w:t> </w:t>
      </w:r>
      <w:r>
        <w:rPr>
          <w:color w:val="231F20"/>
          <w:w w:val="105"/>
        </w:rPr>
        <w:t>globale,</w:t>
      </w:r>
      <w:r>
        <w:rPr>
          <w:color w:val="231F20"/>
          <w:spacing w:val="-49"/>
          <w:w w:val="105"/>
        </w:rPr>
        <w:t> </w:t>
      </w:r>
      <w:r>
        <w:rPr>
          <w:color w:val="231F20"/>
          <w:w w:val="105"/>
        </w:rPr>
        <w:t>a</w:t>
      </w:r>
      <w:r>
        <w:rPr>
          <w:color w:val="231F20"/>
          <w:spacing w:val="-49"/>
          <w:w w:val="105"/>
        </w:rPr>
        <w:t> </w:t>
      </w:r>
      <w:r>
        <w:rPr>
          <w:color w:val="231F20"/>
          <w:w w:val="105"/>
        </w:rPr>
        <w:t>parte</w:t>
      </w:r>
      <w:r>
        <w:rPr>
          <w:color w:val="231F20"/>
          <w:spacing w:val="-49"/>
          <w:w w:val="105"/>
        </w:rPr>
        <w:t> </w:t>
      </w:r>
      <w:r>
        <w:rPr>
          <w:color w:val="231F20"/>
          <w:w w:val="105"/>
        </w:rPr>
        <w:t>di</w:t>
      </w:r>
      <w:r>
        <w:rPr>
          <w:color w:val="231F20"/>
          <w:spacing w:val="-49"/>
          <w:w w:val="105"/>
        </w:rPr>
        <w:t> </w:t>
      </w:r>
      <w:r>
        <w:rPr>
          <w:color w:val="231F20"/>
          <w:spacing w:val="-3"/>
          <w:w w:val="105"/>
        </w:rPr>
        <w:t>prendere spunto</w:t>
      </w:r>
      <w:r>
        <w:rPr>
          <w:color w:val="231F20"/>
          <w:spacing w:val="-44"/>
          <w:w w:val="105"/>
        </w:rPr>
        <w:t> </w:t>
      </w:r>
      <w:r>
        <w:rPr>
          <w:color w:val="231F20"/>
          <w:spacing w:val="-3"/>
          <w:w w:val="105"/>
        </w:rPr>
        <w:t>dalla</w:t>
      </w:r>
      <w:r>
        <w:rPr>
          <w:color w:val="231F20"/>
          <w:spacing w:val="-44"/>
          <w:w w:val="105"/>
        </w:rPr>
        <w:t> </w:t>
      </w:r>
      <w:r>
        <w:rPr>
          <w:color w:val="231F20"/>
          <w:spacing w:val="-3"/>
          <w:w w:val="105"/>
        </w:rPr>
        <w:t>Convenzione</w:t>
      </w:r>
      <w:r>
        <w:rPr>
          <w:color w:val="231F20"/>
          <w:spacing w:val="-44"/>
          <w:w w:val="105"/>
        </w:rPr>
        <w:t> </w:t>
      </w:r>
      <w:r>
        <w:rPr>
          <w:color w:val="231F20"/>
          <w:spacing w:val="-3"/>
          <w:w w:val="105"/>
        </w:rPr>
        <w:t>delle</w:t>
      </w:r>
      <w:r>
        <w:rPr>
          <w:color w:val="231F20"/>
          <w:spacing w:val="-44"/>
          <w:w w:val="105"/>
        </w:rPr>
        <w:t> </w:t>
      </w:r>
      <w:r>
        <w:rPr>
          <w:color w:val="231F20"/>
          <w:spacing w:val="-3"/>
          <w:w w:val="105"/>
        </w:rPr>
        <w:t>Nazioni</w:t>
      </w:r>
      <w:r>
        <w:rPr>
          <w:color w:val="231F20"/>
          <w:spacing w:val="-44"/>
          <w:w w:val="105"/>
        </w:rPr>
        <w:t> </w:t>
      </w:r>
      <w:r>
        <w:rPr>
          <w:color w:val="231F20"/>
          <w:spacing w:val="-3"/>
          <w:w w:val="105"/>
        </w:rPr>
        <w:t>Unite</w:t>
      </w:r>
      <w:r>
        <w:rPr>
          <w:color w:val="231F20"/>
          <w:spacing w:val="-44"/>
          <w:w w:val="105"/>
        </w:rPr>
        <w:t> </w:t>
      </w:r>
      <w:r>
        <w:rPr>
          <w:color w:val="231F20"/>
          <w:spacing w:val="-4"/>
          <w:w w:val="105"/>
        </w:rPr>
        <w:t>contro</w:t>
      </w:r>
      <w:r>
        <w:rPr>
          <w:color w:val="231F20"/>
          <w:spacing w:val="-44"/>
          <w:w w:val="105"/>
        </w:rPr>
        <w:t> </w:t>
      </w:r>
      <w:r>
        <w:rPr>
          <w:color w:val="231F20"/>
          <w:w w:val="105"/>
        </w:rPr>
        <w:t>la</w:t>
      </w:r>
      <w:r>
        <w:rPr>
          <w:color w:val="231F20"/>
          <w:spacing w:val="-44"/>
          <w:w w:val="105"/>
        </w:rPr>
        <w:t> </w:t>
      </w:r>
      <w:r>
        <w:rPr>
          <w:color w:val="231F20"/>
          <w:spacing w:val="-3"/>
          <w:w w:val="105"/>
        </w:rPr>
        <w:t>criminalità</w:t>
      </w:r>
      <w:r>
        <w:rPr>
          <w:color w:val="231F20"/>
          <w:spacing w:val="-44"/>
          <w:w w:val="105"/>
        </w:rPr>
        <w:t> </w:t>
      </w:r>
      <w:r>
        <w:rPr>
          <w:color w:val="231F20"/>
          <w:spacing w:val="-4"/>
          <w:w w:val="105"/>
        </w:rPr>
        <w:t>organizzata </w:t>
      </w:r>
      <w:r>
        <w:rPr>
          <w:color w:val="231F20"/>
          <w:w w:val="105"/>
        </w:rPr>
        <w:t>transnazionale</w:t>
      </w:r>
      <w:r>
        <w:rPr>
          <w:color w:val="231F20"/>
          <w:spacing w:val="-42"/>
          <w:w w:val="105"/>
        </w:rPr>
        <w:t> </w:t>
      </w:r>
      <w:r>
        <w:rPr>
          <w:color w:val="231F20"/>
          <w:w w:val="105"/>
        </w:rPr>
        <w:t>conosciuta</w:t>
      </w:r>
      <w:r>
        <w:rPr>
          <w:color w:val="231F20"/>
          <w:spacing w:val="-42"/>
          <w:w w:val="105"/>
        </w:rPr>
        <w:t> </w:t>
      </w:r>
      <w:r>
        <w:rPr>
          <w:color w:val="231F20"/>
          <w:w w:val="105"/>
        </w:rPr>
        <w:t>anche</w:t>
      </w:r>
      <w:r>
        <w:rPr>
          <w:color w:val="231F20"/>
          <w:spacing w:val="-42"/>
          <w:w w:val="105"/>
        </w:rPr>
        <w:t> </w:t>
      </w:r>
      <w:r>
        <w:rPr>
          <w:color w:val="231F20"/>
          <w:w w:val="105"/>
        </w:rPr>
        <w:t>come</w:t>
      </w:r>
      <w:r>
        <w:rPr>
          <w:color w:val="231F20"/>
          <w:spacing w:val="-42"/>
          <w:w w:val="105"/>
        </w:rPr>
        <w:t> </w:t>
      </w:r>
      <w:r>
        <w:rPr>
          <w:color w:val="231F20"/>
          <w:w w:val="105"/>
        </w:rPr>
        <w:t>Convenzione</w:t>
      </w:r>
      <w:r>
        <w:rPr>
          <w:color w:val="231F20"/>
          <w:spacing w:val="-42"/>
          <w:w w:val="105"/>
        </w:rPr>
        <w:t> </w:t>
      </w:r>
      <w:r>
        <w:rPr>
          <w:color w:val="231F20"/>
          <w:w w:val="105"/>
        </w:rPr>
        <w:t>di</w:t>
      </w:r>
      <w:r>
        <w:rPr>
          <w:color w:val="231F20"/>
          <w:spacing w:val="-42"/>
          <w:w w:val="105"/>
        </w:rPr>
        <w:t> </w:t>
      </w:r>
      <w:r>
        <w:rPr>
          <w:color w:val="231F20"/>
          <w:w w:val="105"/>
        </w:rPr>
        <w:t>Palermo</w:t>
      </w:r>
      <w:r>
        <w:rPr>
          <w:color w:val="231F20"/>
          <w:w w:val="105"/>
          <w:position w:val="7"/>
          <w:sz w:val="12"/>
        </w:rPr>
        <w:t>23</w:t>
      </w:r>
      <w:r>
        <w:rPr>
          <w:color w:val="231F20"/>
          <w:w w:val="105"/>
        </w:rPr>
        <w:t>.</w:t>
      </w:r>
    </w:p>
    <w:p>
      <w:pPr>
        <w:pStyle w:val="BodyText"/>
        <w:spacing w:line="254" w:lineRule="auto"/>
        <w:ind w:left="117" w:right="119" w:firstLine="566"/>
        <w:jc w:val="both"/>
      </w:pPr>
      <w:r>
        <w:rPr>
          <w:color w:val="231F20"/>
        </w:rPr>
        <w:t>Per</w:t>
      </w:r>
      <w:r>
        <w:rPr>
          <w:color w:val="231F20"/>
          <w:spacing w:val="-17"/>
        </w:rPr>
        <w:t> </w:t>
      </w:r>
      <w:r>
        <w:rPr>
          <w:color w:val="231F20"/>
        </w:rPr>
        <w:t>l’ex</w:t>
      </w:r>
      <w:r>
        <w:rPr>
          <w:color w:val="231F20"/>
          <w:spacing w:val="-17"/>
        </w:rPr>
        <w:t> </w:t>
      </w:r>
      <w:r>
        <w:rPr>
          <w:color w:val="231F20"/>
          <w:spacing w:val="-3"/>
        </w:rPr>
        <w:t>presidente</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Corte</w:t>
      </w:r>
      <w:r>
        <w:rPr>
          <w:color w:val="231F20"/>
          <w:spacing w:val="-17"/>
        </w:rPr>
        <w:t> </w:t>
      </w:r>
      <w:r>
        <w:rPr>
          <w:color w:val="231F20"/>
        </w:rPr>
        <w:t>Interamericana</w:t>
      </w:r>
      <w:r>
        <w:rPr>
          <w:color w:val="231F20"/>
          <w:spacing w:val="-17"/>
        </w:rPr>
        <w:t> </w:t>
      </w:r>
      <w:r>
        <w:rPr>
          <w:color w:val="231F20"/>
        </w:rPr>
        <w:t>dei</w:t>
      </w:r>
      <w:r>
        <w:rPr>
          <w:color w:val="231F20"/>
          <w:spacing w:val="-17"/>
        </w:rPr>
        <w:t> </w:t>
      </w:r>
      <w:r>
        <w:rPr>
          <w:color w:val="231F20"/>
        </w:rPr>
        <w:t>Diritti</w:t>
      </w:r>
      <w:r>
        <w:rPr>
          <w:color w:val="231F20"/>
          <w:spacing w:val="-17"/>
        </w:rPr>
        <w:t> </w:t>
      </w:r>
      <w:r>
        <w:rPr>
          <w:color w:val="231F20"/>
        </w:rPr>
        <w:t>Umani,</w:t>
      </w:r>
      <w:r>
        <w:rPr>
          <w:color w:val="231F20"/>
          <w:spacing w:val="-17"/>
        </w:rPr>
        <w:t> </w:t>
      </w:r>
      <w:r>
        <w:rPr>
          <w:color w:val="231F20"/>
          <w:spacing w:val="-3"/>
        </w:rPr>
        <w:t>Sergio </w:t>
      </w:r>
      <w:r>
        <w:rPr>
          <w:color w:val="231F20"/>
        </w:rPr>
        <w:t>García</w:t>
      </w:r>
      <w:r>
        <w:rPr>
          <w:color w:val="231F20"/>
          <w:spacing w:val="-10"/>
        </w:rPr>
        <w:t> </w:t>
      </w:r>
      <w:r>
        <w:rPr>
          <w:color w:val="231F20"/>
        </w:rPr>
        <w:t>Ramírez,</w:t>
      </w:r>
      <w:r>
        <w:rPr>
          <w:color w:val="231F20"/>
          <w:spacing w:val="-10"/>
        </w:rPr>
        <w:t> </w:t>
      </w:r>
      <w:r>
        <w:rPr>
          <w:color w:val="231F20"/>
        </w:rPr>
        <w:t>la</w:t>
      </w:r>
      <w:r>
        <w:rPr>
          <w:color w:val="231F20"/>
          <w:spacing w:val="-10"/>
        </w:rPr>
        <w:t> </w:t>
      </w:r>
      <w:r>
        <w:rPr>
          <w:color w:val="231F20"/>
        </w:rPr>
        <w:t>lotta</w:t>
      </w:r>
      <w:r>
        <w:rPr>
          <w:color w:val="231F20"/>
          <w:spacing w:val="-10"/>
        </w:rPr>
        <w:t> </w:t>
      </w:r>
      <w:r>
        <w:rPr>
          <w:color w:val="231F20"/>
        </w:rPr>
        <w:t>alla</w:t>
      </w:r>
      <w:r>
        <w:rPr>
          <w:color w:val="231F20"/>
          <w:spacing w:val="-10"/>
        </w:rPr>
        <w:t> </w:t>
      </w:r>
      <w:r>
        <w:rPr>
          <w:color w:val="231F20"/>
        </w:rPr>
        <w:t>criminalità</w:t>
      </w:r>
      <w:r>
        <w:rPr>
          <w:color w:val="231F20"/>
          <w:spacing w:val="-10"/>
        </w:rPr>
        <w:t> </w:t>
      </w:r>
      <w:r>
        <w:rPr>
          <w:color w:val="231F20"/>
        </w:rPr>
        <w:t>organizzata</w:t>
      </w:r>
      <w:r>
        <w:rPr>
          <w:color w:val="231F20"/>
          <w:spacing w:val="-10"/>
        </w:rPr>
        <w:t> </w:t>
      </w:r>
      <w:r>
        <w:rPr>
          <w:color w:val="231F20"/>
        </w:rPr>
        <w:t>ruppe</w:t>
      </w:r>
      <w:r>
        <w:rPr>
          <w:color w:val="231F20"/>
          <w:spacing w:val="-10"/>
        </w:rPr>
        <w:t> </w:t>
      </w:r>
      <w:r>
        <w:rPr>
          <w:color w:val="231F20"/>
        </w:rPr>
        <w:t>una</w:t>
      </w:r>
      <w:r>
        <w:rPr>
          <w:color w:val="231F20"/>
          <w:spacing w:val="-10"/>
        </w:rPr>
        <w:t> </w:t>
      </w:r>
      <w:r>
        <w:rPr>
          <w:color w:val="231F20"/>
        </w:rPr>
        <w:t>tradizione</w:t>
      </w:r>
      <w:r>
        <w:rPr>
          <w:color w:val="231F20"/>
          <w:spacing w:val="-10"/>
        </w:rPr>
        <w:t> </w:t>
      </w:r>
      <w:r>
        <w:rPr>
          <w:color w:val="231F20"/>
        </w:rPr>
        <w:t>del </w:t>
      </w:r>
      <w:r>
        <w:rPr>
          <w:color w:val="231F20"/>
          <w:spacing w:val="-3"/>
        </w:rPr>
        <w:t>Diritto</w:t>
      </w:r>
      <w:r>
        <w:rPr>
          <w:color w:val="231F20"/>
          <w:spacing w:val="-15"/>
        </w:rPr>
        <w:t> </w:t>
      </w:r>
      <w:r>
        <w:rPr>
          <w:color w:val="231F20"/>
          <w:spacing w:val="-3"/>
        </w:rPr>
        <w:t>penale</w:t>
      </w:r>
      <w:r>
        <w:rPr>
          <w:color w:val="231F20"/>
          <w:spacing w:val="-15"/>
        </w:rPr>
        <w:t> </w:t>
      </w:r>
      <w:r>
        <w:rPr>
          <w:color w:val="231F20"/>
        </w:rPr>
        <w:t>che</w:t>
      </w:r>
      <w:r>
        <w:rPr>
          <w:color w:val="231F20"/>
          <w:spacing w:val="-15"/>
        </w:rPr>
        <w:t> </w:t>
      </w:r>
      <w:r>
        <w:rPr>
          <w:color w:val="231F20"/>
        </w:rPr>
        <w:t>ci</w:t>
      </w:r>
      <w:r>
        <w:rPr>
          <w:color w:val="231F20"/>
          <w:spacing w:val="-15"/>
        </w:rPr>
        <w:t> </w:t>
      </w:r>
      <w:r>
        <w:rPr>
          <w:color w:val="231F20"/>
        </w:rPr>
        <w:t>ha</w:t>
      </w:r>
      <w:r>
        <w:rPr>
          <w:color w:val="231F20"/>
          <w:spacing w:val="-15"/>
        </w:rPr>
        <w:t> </w:t>
      </w:r>
      <w:r>
        <w:rPr>
          <w:color w:val="231F20"/>
          <w:spacing w:val="-3"/>
        </w:rPr>
        <w:t>messo</w:t>
      </w:r>
      <w:r>
        <w:rPr>
          <w:color w:val="231F20"/>
          <w:spacing w:val="-15"/>
        </w:rPr>
        <w:t> </w:t>
      </w:r>
      <w:r>
        <w:rPr>
          <w:color w:val="231F20"/>
          <w:spacing w:val="-4"/>
        </w:rPr>
        <w:t>troppi</w:t>
      </w:r>
      <w:r>
        <w:rPr>
          <w:color w:val="231F20"/>
          <w:spacing w:val="-15"/>
        </w:rPr>
        <w:t> </w:t>
      </w:r>
      <w:r>
        <w:rPr>
          <w:color w:val="231F20"/>
          <w:spacing w:val="-3"/>
        </w:rPr>
        <w:t>anni</w:t>
      </w:r>
      <w:r>
        <w:rPr>
          <w:color w:val="231F20"/>
          <w:spacing w:val="-15"/>
        </w:rPr>
        <w:t> </w:t>
      </w:r>
      <w:r>
        <w:rPr>
          <w:color w:val="231F20"/>
        </w:rPr>
        <w:t>a</w:t>
      </w:r>
      <w:r>
        <w:rPr>
          <w:color w:val="231F20"/>
          <w:spacing w:val="-15"/>
        </w:rPr>
        <w:t> </w:t>
      </w:r>
      <w:r>
        <w:rPr>
          <w:color w:val="231F20"/>
          <w:spacing w:val="-4"/>
        </w:rPr>
        <w:t>essere</w:t>
      </w:r>
      <w:r>
        <w:rPr>
          <w:color w:val="231F20"/>
          <w:spacing w:val="-15"/>
        </w:rPr>
        <w:t> </w:t>
      </w:r>
      <w:r>
        <w:rPr>
          <w:color w:val="231F20"/>
          <w:spacing w:val="-3"/>
        </w:rPr>
        <w:t>costruita</w:t>
      </w:r>
      <w:r>
        <w:rPr>
          <w:color w:val="231F20"/>
          <w:spacing w:val="-15"/>
        </w:rPr>
        <w:t> </w:t>
      </w:r>
      <w:r>
        <w:rPr>
          <w:color w:val="231F20"/>
        </w:rPr>
        <w:t>a</w:t>
      </w:r>
      <w:r>
        <w:rPr>
          <w:color w:val="231F20"/>
          <w:spacing w:val="-15"/>
        </w:rPr>
        <w:t> </w:t>
      </w:r>
      <w:r>
        <w:rPr>
          <w:color w:val="231F20"/>
          <w:spacing w:val="-3"/>
        </w:rPr>
        <w:t>livello</w:t>
      </w:r>
      <w:r>
        <w:rPr>
          <w:color w:val="231F20"/>
          <w:spacing w:val="-15"/>
        </w:rPr>
        <w:t> </w:t>
      </w:r>
      <w:r>
        <w:rPr>
          <w:color w:val="231F20"/>
          <w:spacing w:val="-3"/>
        </w:rPr>
        <w:t>mondiale </w:t>
      </w:r>
      <w:r>
        <w:rPr>
          <w:color w:val="231F20"/>
        </w:rPr>
        <w:t>e che, in Messico, appena si cominciava ad</w:t>
      </w:r>
      <w:r>
        <w:rPr>
          <w:color w:val="231F20"/>
          <w:spacing w:val="-8"/>
        </w:rPr>
        <w:t> </w:t>
      </w:r>
      <w:r>
        <w:rPr>
          <w:color w:val="231F20"/>
        </w:rPr>
        <w:t>edificare:</w:t>
      </w:r>
    </w:p>
    <w:p>
      <w:pPr>
        <w:pStyle w:val="BodyText"/>
        <w:spacing w:before="3"/>
        <w:rPr>
          <w:sz w:val="22"/>
        </w:rPr>
      </w:pPr>
    </w:p>
    <w:p>
      <w:pPr>
        <w:spacing w:line="220" w:lineRule="exact" w:before="0"/>
        <w:ind w:left="1534" w:right="114" w:firstLine="0"/>
        <w:jc w:val="both"/>
        <w:rPr>
          <w:sz w:val="19"/>
        </w:rPr>
      </w:pPr>
      <w:r>
        <w:rPr>
          <w:color w:val="231F20"/>
          <w:w w:val="105"/>
          <w:sz w:val="19"/>
        </w:rPr>
        <w:t>Da qualche tempo si ha insinuato, raccolto o consolidato —tre </w:t>
      </w:r>
      <w:r>
        <w:rPr>
          <w:color w:val="231F20"/>
          <w:spacing w:val="3"/>
          <w:w w:val="105"/>
          <w:sz w:val="19"/>
        </w:rPr>
        <w:t>passi </w:t>
      </w:r>
      <w:r>
        <w:rPr>
          <w:color w:val="231F20"/>
          <w:w w:val="105"/>
          <w:sz w:val="19"/>
        </w:rPr>
        <w:t>in </w:t>
      </w:r>
      <w:r>
        <w:rPr>
          <w:color w:val="231F20"/>
          <w:spacing w:val="2"/>
          <w:w w:val="105"/>
          <w:sz w:val="19"/>
        </w:rPr>
        <w:t>una </w:t>
      </w:r>
      <w:r>
        <w:rPr>
          <w:color w:val="231F20"/>
          <w:spacing w:val="3"/>
          <w:w w:val="105"/>
          <w:sz w:val="19"/>
        </w:rPr>
        <w:t>sola via, difficilmente reversibile </w:t>
      </w:r>
      <w:r>
        <w:rPr>
          <w:color w:val="231F20"/>
          <w:w w:val="105"/>
          <w:sz w:val="19"/>
        </w:rPr>
        <w:t>e</w:t>
      </w:r>
      <w:r>
        <w:rPr>
          <w:color w:val="231F20"/>
          <w:spacing w:val="-11"/>
          <w:w w:val="105"/>
          <w:sz w:val="19"/>
        </w:rPr>
        <w:t> </w:t>
      </w:r>
      <w:r>
        <w:rPr>
          <w:color w:val="231F20"/>
          <w:spacing w:val="4"/>
          <w:w w:val="105"/>
          <w:sz w:val="19"/>
        </w:rPr>
        <w:t>sommamente </w:t>
      </w:r>
      <w:r>
        <w:rPr>
          <w:color w:val="231F20"/>
          <w:w w:val="105"/>
          <w:sz w:val="19"/>
        </w:rPr>
        <w:t>preoccupante—</w:t>
      </w:r>
      <w:r>
        <w:rPr>
          <w:color w:val="231F20"/>
          <w:spacing w:val="-20"/>
          <w:w w:val="105"/>
          <w:sz w:val="19"/>
        </w:rPr>
        <w:t> </w:t>
      </w:r>
      <w:r>
        <w:rPr>
          <w:color w:val="231F20"/>
          <w:w w:val="105"/>
          <w:sz w:val="19"/>
        </w:rPr>
        <w:t>l’idea</w:t>
      </w:r>
      <w:r>
        <w:rPr>
          <w:color w:val="231F20"/>
          <w:spacing w:val="-20"/>
          <w:w w:val="105"/>
          <w:sz w:val="19"/>
        </w:rPr>
        <w:t> </w:t>
      </w:r>
      <w:r>
        <w:rPr>
          <w:color w:val="231F20"/>
          <w:w w:val="105"/>
          <w:sz w:val="19"/>
        </w:rPr>
        <w:t>di</w:t>
      </w:r>
      <w:r>
        <w:rPr>
          <w:color w:val="231F20"/>
          <w:spacing w:val="-20"/>
          <w:w w:val="105"/>
          <w:sz w:val="19"/>
        </w:rPr>
        <w:t> </w:t>
      </w:r>
      <w:r>
        <w:rPr>
          <w:color w:val="231F20"/>
          <w:w w:val="105"/>
          <w:sz w:val="19"/>
        </w:rPr>
        <w:t>scindere</w:t>
      </w:r>
      <w:r>
        <w:rPr>
          <w:color w:val="231F20"/>
          <w:spacing w:val="-20"/>
          <w:w w:val="105"/>
          <w:sz w:val="19"/>
        </w:rPr>
        <w:t> </w:t>
      </w:r>
      <w:r>
        <w:rPr>
          <w:color w:val="231F20"/>
          <w:w w:val="105"/>
          <w:sz w:val="19"/>
        </w:rPr>
        <w:t>in</w:t>
      </w:r>
      <w:r>
        <w:rPr>
          <w:color w:val="231F20"/>
          <w:spacing w:val="-20"/>
          <w:w w:val="105"/>
          <w:sz w:val="19"/>
        </w:rPr>
        <w:t> </w:t>
      </w:r>
      <w:r>
        <w:rPr>
          <w:color w:val="231F20"/>
          <w:w w:val="105"/>
          <w:sz w:val="19"/>
        </w:rPr>
        <w:t>due</w:t>
      </w:r>
      <w:r>
        <w:rPr>
          <w:color w:val="231F20"/>
          <w:spacing w:val="-20"/>
          <w:w w:val="105"/>
          <w:sz w:val="19"/>
        </w:rPr>
        <w:t> </w:t>
      </w:r>
      <w:r>
        <w:rPr>
          <w:color w:val="231F20"/>
          <w:w w:val="105"/>
          <w:sz w:val="19"/>
        </w:rPr>
        <w:t>direzioni</w:t>
      </w:r>
      <w:r>
        <w:rPr>
          <w:color w:val="231F20"/>
          <w:spacing w:val="-20"/>
          <w:w w:val="105"/>
          <w:sz w:val="19"/>
        </w:rPr>
        <w:t> </w:t>
      </w:r>
      <w:r>
        <w:rPr>
          <w:color w:val="231F20"/>
          <w:w w:val="105"/>
          <w:sz w:val="19"/>
        </w:rPr>
        <w:t>il</w:t>
      </w:r>
      <w:r>
        <w:rPr>
          <w:color w:val="231F20"/>
          <w:spacing w:val="-20"/>
          <w:w w:val="105"/>
          <w:sz w:val="19"/>
        </w:rPr>
        <w:t> </w:t>
      </w:r>
      <w:r>
        <w:rPr>
          <w:color w:val="231F20"/>
          <w:w w:val="105"/>
          <w:sz w:val="19"/>
        </w:rPr>
        <w:t>diritto</w:t>
      </w:r>
      <w:r>
        <w:rPr>
          <w:color w:val="231F20"/>
          <w:spacing w:val="-20"/>
          <w:w w:val="105"/>
          <w:sz w:val="19"/>
        </w:rPr>
        <w:t> </w:t>
      </w:r>
      <w:r>
        <w:rPr>
          <w:color w:val="231F20"/>
          <w:w w:val="105"/>
          <w:sz w:val="19"/>
        </w:rPr>
        <w:t>penale </w:t>
      </w:r>
      <w:r>
        <w:rPr>
          <w:color w:val="231F20"/>
          <w:spacing w:val="2"/>
          <w:w w:val="105"/>
          <w:sz w:val="19"/>
        </w:rPr>
        <w:t>sostantivo, </w:t>
      </w:r>
      <w:r>
        <w:rPr>
          <w:color w:val="231F20"/>
          <w:w w:val="105"/>
          <w:sz w:val="19"/>
        </w:rPr>
        <w:t>processuale ed </w:t>
      </w:r>
      <w:r>
        <w:rPr>
          <w:color w:val="231F20"/>
          <w:spacing w:val="2"/>
          <w:w w:val="105"/>
          <w:sz w:val="19"/>
        </w:rPr>
        <w:t>esecutivo, </w:t>
      </w:r>
      <w:r>
        <w:rPr>
          <w:color w:val="231F20"/>
          <w:w w:val="105"/>
          <w:sz w:val="19"/>
        </w:rPr>
        <w:t>che fu costruito durante duecento</w:t>
      </w:r>
      <w:r>
        <w:rPr>
          <w:color w:val="231F20"/>
          <w:spacing w:val="-28"/>
          <w:w w:val="105"/>
          <w:sz w:val="19"/>
        </w:rPr>
        <w:t> </w:t>
      </w:r>
      <w:r>
        <w:rPr>
          <w:color w:val="231F20"/>
          <w:w w:val="105"/>
          <w:sz w:val="19"/>
        </w:rPr>
        <w:t>anni</w:t>
      </w:r>
      <w:r>
        <w:rPr>
          <w:color w:val="231F20"/>
          <w:spacing w:val="-28"/>
          <w:w w:val="105"/>
          <w:sz w:val="19"/>
        </w:rPr>
        <w:t> </w:t>
      </w:r>
      <w:r>
        <w:rPr>
          <w:color w:val="231F20"/>
          <w:w w:val="105"/>
          <w:sz w:val="19"/>
        </w:rPr>
        <w:t>di</w:t>
      </w:r>
      <w:r>
        <w:rPr>
          <w:color w:val="231F20"/>
          <w:spacing w:val="-28"/>
          <w:w w:val="105"/>
          <w:sz w:val="19"/>
        </w:rPr>
        <w:t> </w:t>
      </w:r>
      <w:r>
        <w:rPr>
          <w:color w:val="231F20"/>
          <w:w w:val="105"/>
          <w:sz w:val="19"/>
        </w:rPr>
        <w:t>lavoro</w:t>
      </w:r>
      <w:r>
        <w:rPr>
          <w:color w:val="231F20"/>
          <w:spacing w:val="-28"/>
          <w:w w:val="105"/>
          <w:sz w:val="19"/>
        </w:rPr>
        <w:t> </w:t>
      </w:r>
      <w:r>
        <w:rPr>
          <w:color w:val="231F20"/>
          <w:w w:val="105"/>
          <w:sz w:val="19"/>
        </w:rPr>
        <w:t>a</w:t>
      </w:r>
      <w:r>
        <w:rPr>
          <w:color w:val="231F20"/>
          <w:spacing w:val="-28"/>
          <w:w w:val="105"/>
          <w:sz w:val="19"/>
        </w:rPr>
        <w:t> </w:t>
      </w:r>
      <w:r>
        <w:rPr>
          <w:color w:val="231F20"/>
          <w:w w:val="105"/>
          <w:sz w:val="19"/>
        </w:rPr>
        <w:t>favore</w:t>
      </w:r>
      <w:r>
        <w:rPr>
          <w:color w:val="231F20"/>
          <w:spacing w:val="-28"/>
          <w:w w:val="105"/>
          <w:sz w:val="19"/>
        </w:rPr>
        <w:t> </w:t>
      </w:r>
      <w:r>
        <w:rPr>
          <w:color w:val="231F20"/>
          <w:w w:val="105"/>
          <w:sz w:val="19"/>
        </w:rPr>
        <w:t>della</w:t>
      </w:r>
      <w:r>
        <w:rPr>
          <w:color w:val="231F20"/>
          <w:spacing w:val="-28"/>
          <w:w w:val="105"/>
          <w:sz w:val="19"/>
        </w:rPr>
        <w:t> </w:t>
      </w:r>
      <w:r>
        <w:rPr>
          <w:color w:val="231F20"/>
          <w:w w:val="105"/>
          <w:sz w:val="19"/>
        </w:rPr>
        <w:t>razionalità</w:t>
      </w:r>
      <w:r>
        <w:rPr>
          <w:color w:val="231F20"/>
          <w:spacing w:val="-28"/>
          <w:w w:val="105"/>
          <w:sz w:val="19"/>
        </w:rPr>
        <w:t> </w:t>
      </w:r>
      <w:r>
        <w:rPr>
          <w:color w:val="231F20"/>
          <w:w w:val="105"/>
          <w:sz w:val="19"/>
        </w:rPr>
        <w:t>e</w:t>
      </w:r>
      <w:r>
        <w:rPr>
          <w:color w:val="231F20"/>
          <w:spacing w:val="-28"/>
          <w:w w:val="105"/>
          <w:sz w:val="19"/>
        </w:rPr>
        <w:t> </w:t>
      </w:r>
      <w:r>
        <w:rPr>
          <w:color w:val="231F20"/>
          <w:w w:val="105"/>
          <w:sz w:val="19"/>
        </w:rPr>
        <w:t>la</w:t>
      </w:r>
      <w:r>
        <w:rPr>
          <w:color w:val="231F20"/>
          <w:spacing w:val="-28"/>
          <w:w w:val="105"/>
          <w:sz w:val="19"/>
        </w:rPr>
        <w:t> </w:t>
      </w:r>
      <w:r>
        <w:rPr>
          <w:color w:val="231F20"/>
          <w:w w:val="105"/>
          <w:sz w:val="19"/>
        </w:rPr>
        <w:t>democrazia. […]</w:t>
      </w:r>
      <w:r>
        <w:rPr>
          <w:color w:val="231F20"/>
          <w:spacing w:val="-37"/>
          <w:w w:val="105"/>
          <w:sz w:val="19"/>
        </w:rPr>
        <w:t> </w:t>
      </w:r>
      <w:r>
        <w:rPr>
          <w:color w:val="231F20"/>
          <w:w w:val="105"/>
          <w:sz w:val="19"/>
        </w:rPr>
        <w:t>Per</w:t>
      </w:r>
      <w:r>
        <w:rPr>
          <w:color w:val="231F20"/>
          <w:spacing w:val="-37"/>
          <w:w w:val="105"/>
          <w:sz w:val="19"/>
        </w:rPr>
        <w:t> </w:t>
      </w:r>
      <w:r>
        <w:rPr>
          <w:color w:val="231F20"/>
          <w:w w:val="105"/>
          <w:sz w:val="19"/>
        </w:rPr>
        <w:t>primo,</w:t>
      </w:r>
      <w:r>
        <w:rPr>
          <w:color w:val="231F20"/>
          <w:spacing w:val="-37"/>
          <w:w w:val="105"/>
          <w:sz w:val="19"/>
        </w:rPr>
        <w:t> </w:t>
      </w:r>
      <w:r>
        <w:rPr>
          <w:color w:val="231F20"/>
          <w:w w:val="105"/>
          <w:sz w:val="19"/>
        </w:rPr>
        <w:t>esiste</w:t>
      </w:r>
      <w:r>
        <w:rPr>
          <w:color w:val="231F20"/>
          <w:spacing w:val="-37"/>
          <w:w w:val="105"/>
          <w:sz w:val="19"/>
        </w:rPr>
        <w:t> </w:t>
      </w:r>
      <w:r>
        <w:rPr>
          <w:color w:val="231F20"/>
          <w:w w:val="105"/>
          <w:sz w:val="19"/>
        </w:rPr>
        <w:t>un</w:t>
      </w:r>
      <w:r>
        <w:rPr>
          <w:color w:val="231F20"/>
          <w:spacing w:val="-37"/>
          <w:w w:val="105"/>
          <w:sz w:val="19"/>
        </w:rPr>
        <w:t> </w:t>
      </w:r>
      <w:r>
        <w:rPr>
          <w:color w:val="231F20"/>
          <w:w w:val="105"/>
          <w:sz w:val="19"/>
        </w:rPr>
        <w:t>sistema</w:t>
      </w:r>
      <w:r>
        <w:rPr>
          <w:color w:val="231F20"/>
          <w:spacing w:val="-37"/>
          <w:w w:val="105"/>
          <w:sz w:val="19"/>
        </w:rPr>
        <w:t> </w:t>
      </w:r>
      <w:r>
        <w:rPr>
          <w:color w:val="231F20"/>
          <w:w w:val="105"/>
          <w:sz w:val="19"/>
        </w:rPr>
        <w:t>penale</w:t>
      </w:r>
      <w:r>
        <w:rPr>
          <w:color w:val="231F20"/>
          <w:spacing w:val="-37"/>
          <w:w w:val="105"/>
          <w:sz w:val="19"/>
        </w:rPr>
        <w:t> </w:t>
      </w:r>
      <w:r>
        <w:rPr>
          <w:color w:val="231F20"/>
          <w:spacing w:val="-3"/>
          <w:w w:val="105"/>
          <w:sz w:val="19"/>
        </w:rPr>
        <w:t>“ordinario”</w:t>
      </w:r>
      <w:r>
        <w:rPr>
          <w:color w:val="231F20"/>
          <w:spacing w:val="-37"/>
          <w:w w:val="105"/>
          <w:sz w:val="19"/>
        </w:rPr>
        <w:t> </w:t>
      </w:r>
      <w:r>
        <w:rPr>
          <w:color w:val="231F20"/>
          <w:w w:val="105"/>
          <w:sz w:val="19"/>
        </w:rPr>
        <w:t>o</w:t>
      </w:r>
      <w:r>
        <w:rPr>
          <w:color w:val="231F20"/>
          <w:spacing w:val="-37"/>
          <w:w w:val="105"/>
          <w:sz w:val="19"/>
        </w:rPr>
        <w:t> </w:t>
      </w:r>
      <w:r>
        <w:rPr>
          <w:color w:val="231F20"/>
          <w:spacing w:val="-3"/>
          <w:w w:val="105"/>
          <w:sz w:val="19"/>
        </w:rPr>
        <w:t>“regolare”,</w:t>
      </w:r>
      <w:r>
        <w:rPr>
          <w:color w:val="231F20"/>
          <w:spacing w:val="-37"/>
          <w:w w:val="105"/>
          <w:sz w:val="19"/>
        </w:rPr>
        <w:t> </w:t>
      </w:r>
      <w:r>
        <w:rPr>
          <w:color w:val="231F20"/>
          <w:w w:val="105"/>
          <w:sz w:val="19"/>
        </w:rPr>
        <w:t>in cui</w:t>
      </w:r>
      <w:r>
        <w:rPr>
          <w:color w:val="231F20"/>
          <w:spacing w:val="-32"/>
          <w:w w:val="105"/>
          <w:sz w:val="19"/>
        </w:rPr>
        <w:t> </w:t>
      </w:r>
      <w:r>
        <w:rPr>
          <w:color w:val="231F20"/>
          <w:w w:val="105"/>
          <w:sz w:val="19"/>
        </w:rPr>
        <w:t>sboccano</w:t>
      </w:r>
      <w:r>
        <w:rPr>
          <w:color w:val="231F20"/>
          <w:spacing w:val="-32"/>
          <w:w w:val="105"/>
          <w:sz w:val="19"/>
        </w:rPr>
        <w:t> </w:t>
      </w:r>
      <w:r>
        <w:rPr>
          <w:color w:val="231F20"/>
          <w:w w:val="105"/>
          <w:sz w:val="19"/>
        </w:rPr>
        <w:t>le</w:t>
      </w:r>
      <w:r>
        <w:rPr>
          <w:color w:val="231F20"/>
          <w:spacing w:val="-32"/>
          <w:w w:val="105"/>
          <w:sz w:val="19"/>
        </w:rPr>
        <w:t> </w:t>
      </w:r>
      <w:r>
        <w:rPr>
          <w:color w:val="231F20"/>
          <w:w w:val="105"/>
          <w:sz w:val="19"/>
        </w:rPr>
        <w:t>migliori</w:t>
      </w:r>
      <w:r>
        <w:rPr>
          <w:color w:val="231F20"/>
          <w:spacing w:val="-32"/>
          <w:w w:val="105"/>
          <w:sz w:val="19"/>
        </w:rPr>
        <w:t> </w:t>
      </w:r>
      <w:r>
        <w:rPr>
          <w:color w:val="231F20"/>
          <w:w w:val="105"/>
          <w:sz w:val="19"/>
        </w:rPr>
        <w:t>correnti</w:t>
      </w:r>
      <w:r>
        <w:rPr>
          <w:color w:val="231F20"/>
          <w:spacing w:val="-32"/>
          <w:w w:val="105"/>
          <w:sz w:val="19"/>
        </w:rPr>
        <w:t> </w:t>
      </w:r>
      <w:r>
        <w:rPr>
          <w:color w:val="231F20"/>
          <w:w w:val="105"/>
          <w:sz w:val="19"/>
        </w:rPr>
        <w:t>democratiche</w:t>
      </w:r>
      <w:r>
        <w:rPr>
          <w:color w:val="231F20"/>
          <w:spacing w:val="-32"/>
          <w:w w:val="105"/>
          <w:sz w:val="19"/>
        </w:rPr>
        <w:t> </w:t>
      </w:r>
      <w:r>
        <w:rPr>
          <w:color w:val="231F20"/>
          <w:w w:val="105"/>
          <w:sz w:val="19"/>
        </w:rPr>
        <w:t>e</w:t>
      </w:r>
      <w:r>
        <w:rPr>
          <w:color w:val="231F20"/>
          <w:spacing w:val="-32"/>
          <w:w w:val="105"/>
          <w:sz w:val="19"/>
        </w:rPr>
        <w:t> </w:t>
      </w:r>
      <w:r>
        <w:rPr>
          <w:color w:val="231F20"/>
          <w:w w:val="105"/>
          <w:sz w:val="19"/>
        </w:rPr>
        <w:t>garantiste,</w:t>
      </w:r>
      <w:r>
        <w:rPr>
          <w:color w:val="231F20"/>
          <w:spacing w:val="-32"/>
          <w:w w:val="105"/>
          <w:sz w:val="19"/>
        </w:rPr>
        <w:t> </w:t>
      </w:r>
      <w:r>
        <w:rPr>
          <w:color w:val="231F20"/>
          <w:w w:val="105"/>
          <w:sz w:val="19"/>
        </w:rPr>
        <w:t>sorte, soprattutto,</w:t>
      </w:r>
      <w:r>
        <w:rPr>
          <w:color w:val="231F20"/>
          <w:spacing w:val="-19"/>
          <w:w w:val="105"/>
          <w:sz w:val="19"/>
        </w:rPr>
        <w:t> </w:t>
      </w:r>
      <w:r>
        <w:rPr>
          <w:color w:val="231F20"/>
          <w:w w:val="105"/>
          <w:sz w:val="19"/>
        </w:rPr>
        <w:t>nell’ultimo</w:t>
      </w:r>
      <w:r>
        <w:rPr>
          <w:color w:val="231F20"/>
          <w:spacing w:val="-19"/>
          <w:w w:val="105"/>
          <w:sz w:val="19"/>
        </w:rPr>
        <w:t> </w:t>
      </w:r>
      <w:r>
        <w:rPr>
          <w:color w:val="231F20"/>
          <w:w w:val="105"/>
          <w:sz w:val="19"/>
        </w:rPr>
        <w:t>terzo</w:t>
      </w:r>
      <w:r>
        <w:rPr>
          <w:color w:val="231F20"/>
          <w:spacing w:val="-19"/>
          <w:w w:val="105"/>
          <w:sz w:val="19"/>
        </w:rPr>
        <w:t> </w:t>
      </w:r>
      <w:r>
        <w:rPr>
          <w:color w:val="231F20"/>
          <w:w w:val="105"/>
          <w:sz w:val="19"/>
        </w:rPr>
        <w:t>del</w:t>
      </w:r>
      <w:r>
        <w:rPr>
          <w:color w:val="231F20"/>
          <w:spacing w:val="-19"/>
          <w:w w:val="105"/>
          <w:sz w:val="19"/>
        </w:rPr>
        <w:t> </w:t>
      </w:r>
      <w:r>
        <w:rPr>
          <w:color w:val="231F20"/>
          <w:w w:val="105"/>
          <w:sz w:val="19"/>
        </w:rPr>
        <w:t>secolo</w:t>
      </w:r>
      <w:r>
        <w:rPr>
          <w:color w:val="231F20"/>
          <w:spacing w:val="-19"/>
          <w:w w:val="105"/>
          <w:sz w:val="19"/>
        </w:rPr>
        <w:t> </w:t>
      </w:r>
      <w:r>
        <w:rPr>
          <w:color w:val="231F20"/>
          <w:w w:val="105"/>
          <w:sz w:val="16"/>
        </w:rPr>
        <w:t>XVIII</w:t>
      </w:r>
      <w:r>
        <w:rPr>
          <w:color w:val="231F20"/>
          <w:spacing w:val="-9"/>
          <w:w w:val="105"/>
          <w:sz w:val="16"/>
        </w:rPr>
        <w:t> </w:t>
      </w:r>
      <w:r>
        <w:rPr>
          <w:color w:val="231F20"/>
          <w:w w:val="105"/>
          <w:sz w:val="19"/>
        </w:rPr>
        <w:t>e</w:t>
      </w:r>
      <w:r>
        <w:rPr>
          <w:color w:val="231F20"/>
          <w:spacing w:val="-19"/>
          <w:w w:val="105"/>
          <w:sz w:val="19"/>
        </w:rPr>
        <w:t> </w:t>
      </w:r>
      <w:r>
        <w:rPr>
          <w:color w:val="231F20"/>
          <w:w w:val="105"/>
          <w:sz w:val="19"/>
        </w:rPr>
        <w:t>che</w:t>
      </w:r>
      <w:r>
        <w:rPr>
          <w:color w:val="231F20"/>
          <w:spacing w:val="-19"/>
          <w:w w:val="105"/>
          <w:sz w:val="19"/>
        </w:rPr>
        <w:t> </w:t>
      </w:r>
      <w:r>
        <w:rPr>
          <w:color w:val="231F20"/>
          <w:w w:val="105"/>
          <w:sz w:val="19"/>
        </w:rPr>
        <w:t>prosperarono durante</w:t>
      </w:r>
      <w:r>
        <w:rPr>
          <w:color w:val="231F20"/>
          <w:spacing w:val="-6"/>
          <w:w w:val="105"/>
          <w:sz w:val="19"/>
        </w:rPr>
        <w:t> </w:t>
      </w:r>
      <w:r>
        <w:rPr>
          <w:color w:val="231F20"/>
          <w:w w:val="105"/>
          <w:sz w:val="19"/>
        </w:rPr>
        <w:t>il</w:t>
      </w:r>
      <w:r>
        <w:rPr>
          <w:color w:val="231F20"/>
          <w:spacing w:val="-6"/>
          <w:w w:val="105"/>
          <w:sz w:val="19"/>
        </w:rPr>
        <w:t> </w:t>
      </w:r>
      <w:r>
        <w:rPr>
          <w:color w:val="231F20"/>
          <w:w w:val="105"/>
          <w:sz w:val="19"/>
        </w:rPr>
        <w:t>secolo</w:t>
      </w:r>
      <w:r>
        <w:rPr>
          <w:color w:val="231F20"/>
          <w:spacing w:val="-7"/>
          <w:w w:val="105"/>
          <w:sz w:val="19"/>
        </w:rPr>
        <w:t> </w:t>
      </w:r>
      <w:r>
        <w:rPr>
          <w:color w:val="231F20"/>
          <w:w w:val="105"/>
          <w:sz w:val="16"/>
        </w:rPr>
        <w:t>XIX</w:t>
      </w:r>
      <w:r>
        <w:rPr>
          <w:color w:val="231F20"/>
          <w:spacing w:val="3"/>
          <w:w w:val="105"/>
          <w:sz w:val="16"/>
        </w:rPr>
        <w:t> </w:t>
      </w:r>
      <w:r>
        <w:rPr>
          <w:color w:val="231F20"/>
          <w:w w:val="105"/>
          <w:sz w:val="19"/>
        </w:rPr>
        <w:t>e</w:t>
      </w:r>
      <w:r>
        <w:rPr>
          <w:color w:val="231F20"/>
          <w:spacing w:val="-6"/>
          <w:w w:val="105"/>
          <w:sz w:val="19"/>
        </w:rPr>
        <w:t> </w:t>
      </w:r>
      <w:r>
        <w:rPr>
          <w:color w:val="231F20"/>
          <w:w w:val="105"/>
          <w:sz w:val="19"/>
        </w:rPr>
        <w:t>buona</w:t>
      </w:r>
      <w:r>
        <w:rPr>
          <w:color w:val="231F20"/>
          <w:spacing w:val="-6"/>
          <w:w w:val="105"/>
          <w:sz w:val="19"/>
        </w:rPr>
        <w:t> </w:t>
      </w:r>
      <w:r>
        <w:rPr>
          <w:color w:val="231F20"/>
          <w:w w:val="105"/>
          <w:sz w:val="19"/>
        </w:rPr>
        <w:t>parte</w:t>
      </w:r>
      <w:r>
        <w:rPr>
          <w:color w:val="231F20"/>
          <w:spacing w:val="-6"/>
          <w:w w:val="105"/>
          <w:sz w:val="19"/>
        </w:rPr>
        <w:t> </w:t>
      </w:r>
      <w:r>
        <w:rPr>
          <w:color w:val="231F20"/>
          <w:w w:val="105"/>
          <w:sz w:val="19"/>
        </w:rPr>
        <w:t>del</w:t>
      </w:r>
      <w:r>
        <w:rPr>
          <w:color w:val="231F20"/>
          <w:spacing w:val="-7"/>
          <w:w w:val="105"/>
          <w:sz w:val="19"/>
        </w:rPr>
        <w:t> </w:t>
      </w:r>
      <w:r>
        <w:rPr>
          <w:color w:val="231F20"/>
          <w:w w:val="105"/>
          <w:sz w:val="16"/>
        </w:rPr>
        <w:t>XX</w:t>
      </w:r>
      <w:r>
        <w:rPr>
          <w:color w:val="231F20"/>
          <w:w w:val="105"/>
          <w:sz w:val="19"/>
        </w:rPr>
        <w:t>.</w:t>
      </w:r>
      <w:r>
        <w:rPr>
          <w:color w:val="231F20"/>
          <w:spacing w:val="-6"/>
          <w:w w:val="105"/>
          <w:sz w:val="19"/>
        </w:rPr>
        <w:t> </w:t>
      </w:r>
      <w:r>
        <w:rPr>
          <w:color w:val="231F20"/>
          <w:w w:val="105"/>
          <w:sz w:val="19"/>
        </w:rPr>
        <w:t>In</w:t>
      </w:r>
      <w:r>
        <w:rPr>
          <w:color w:val="231F20"/>
          <w:spacing w:val="-6"/>
          <w:w w:val="105"/>
          <w:sz w:val="19"/>
        </w:rPr>
        <w:t> </w:t>
      </w:r>
      <w:r>
        <w:rPr>
          <w:color w:val="231F20"/>
          <w:w w:val="105"/>
          <w:sz w:val="19"/>
        </w:rPr>
        <w:t>secondo</w:t>
      </w:r>
      <w:r>
        <w:rPr>
          <w:color w:val="231F20"/>
          <w:spacing w:val="-6"/>
          <w:w w:val="105"/>
          <w:sz w:val="19"/>
        </w:rPr>
        <w:t> </w:t>
      </w:r>
      <w:r>
        <w:rPr>
          <w:color w:val="231F20"/>
          <w:w w:val="105"/>
          <w:sz w:val="19"/>
        </w:rPr>
        <w:t>termine, comincia a esistere un sistema nominalmente “eccezionale” o “straordinario”,</w:t>
      </w:r>
      <w:r>
        <w:rPr>
          <w:color w:val="231F20"/>
          <w:spacing w:val="-35"/>
          <w:w w:val="105"/>
          <w:sz w:val="19"/>
        </w:rPr>
        <w:t> </w:t>
      </w:r>
      <w:r>
        <w:rPr>
          <w:color w:val="231F20"/>
          <w:w w:val="105"/>
          <w:sz w:val="19"/>
        </w:rPr>
        <w:t>con</w:t>
      </w:r>
      <w:r>
        <w:rPr>
          <w:color w:val="231F20"/>
          <w:spacing w:val="-35"/>
          <w:w w:val="105"/>
          <w:sz w:val="19"/>
        </w:rPr>
        <w:t> </w:t>
      </w:r>
      <w:r>
        <w:rPr>
          <w:color w:val="231F20"/>
          <w:w w:val="105"/>
          <w:sz w:val="19"/>
        </w:rPr>
        <w:t>procedimenti</w:t>
      </w:r>
      <w:r>
        <w:rPr>
          <w:color w:val="231F20"/>
          <w:spacing w:val="-35"/>
          <w:w w:val="105"/>
          <w:sz w:val="19"/>
        </w:rPr>
        <w:t> </w:t>
      </w:r>
      <w:r>
        <w:rPr>
          <w:color w:val="231F20"/>
          <w:w w:val="105"/>
          <w:sz w:val="19"/>
        </w:rPr>
        <w:t>“regolati”</w:t>
      </w:r>
      <w:r>
        <w:rPr>
          <w:color w:val="231F20"/>
          <w:spacing w:val="-35"/>
          <w:w w:val="105"/>
          <w:sz w:val="19"/>
        </w:rPr>
        <w:t> </w:t>
      </w:r>
      <w:r>
        <w:rPr>
          <w:color w:val="231F20"/>
          <w:w w:val="105"/>
          <w:sz w:val="19"/>
        </w:rPr>
        <w:t>e</w:t>
      </w:r>
      <w:r>
        <w:rPr>
          <w:color w:val="231F20"/>
          <w:spacing w:val="-35"/>
          <w:w w:val="105"/>
          <w:sz w:val="19"/>
        </w:rPr>
        <w:t> </w:t>
      </w:r>
      <w:r>
        <w:rPr>
          <w:color w:val="231F20"/>
          <w:w w:val="105"/>
          <w:sz w:val="19"/>
        </w:rPr>
        <w:t>garanzie</w:t>
      </w:r>
      <w:r>
        <w:rPr>
          <w:color w:val="231F20"/>
          <w:spacing w:val="-35"/>
          <w:w w:val="105"/>
          <w:sz w:val="19"/>
        </w:rPr>
        <w:t> </w:t>
      </w:r>
      <w:r>
        <w:rPr>
          <w:color w:val="231F20"/>
          <w:w w:val="105"/>
          <w:sz w:val="19"/>
        </w:rPr>
        <w:t>“limitate”, </w:t>
      </w:r>
      <w:r>
        <w:rPr>
          <w:color w:val="231F20"/>
          <w:spacing w:val="2"/>
          <w:w w:val="105"/>
          <w:sz w:val="19"/>
        </w:rPr>
        <w:t>presuntivamente necessario </w:t>
      </w:r>
      <w:r>
        <w:rPr>
          <w:color w:val="231F20"/>
          <w:w w:val="105"/>
          <w:sz w:val="19"/>
        </w:rPr>
        <w:t>per </w:t>
      </w:r>
      <w:r>
        <w:rPr>
          <w:color w:val="231F20"/>
          <w:spacing w:val="2"/>
          <w:w w:val="105"/>
          <w:sz w:val="19"/>
        </w:rPr>
        <w:t>combattere forme</w:t>
      </w:r>
      <w:r>
        <w:rPr>
          <w:color w:val="231F20"/>
          <w:spacing w:val="-37"/>
          <w:w w:val="105"/>
          <w:sz w:val="19"/>
        </w:rPr>
        <w:t> </w:t>
      </w:r>
      <w:r>
        <w:rPr>
          <w:color w:val="231F20"/>
          <w:spacing w:val="3"/>
          <w:w w:val="105"/>
          <w:sz w:val="19"/>
        </w:rPr>
        <w:t>complesse </w:t>
      </w:r>
      <w:r>
        <w:rPr>
          <w:color w:val="231F20"/>
          <w:w w:val="105"/>
          <w:sz w:val="19"/>
        </w:rPr>
        <w:t>di</w:t>
      </w:r>
      <w:r>
        <w:rPr>
          <w:color w:val="231F20"/>
          <w:spacing w:val="-13"/>
          <w:w w:val="105"/>
          <w:sz w:val="19"/>
        </w:rPr>
        <w:t> </w:t>
      </w:r>
      <w:r>
        <w:rPr>
          <w:color w:val="231F20"/>
          <w:w w:val="105"/>
          <w:sz w:val="19"/>
        </w:rPr>
        <w:t>criminalità.</w:t>
      </w:r>
      <w:r>
        <w:rPr>
          <w:color w:val="231F20"/>
          <w:spacing w:val="-13"/>
          <w:w w:val="105"/>
          <w:sz w:val="19"/>
        </w:rPr>
        <w:t> </w:t>
      </w:r>
      <w:r>
        <w:rPr>
          <w:color w:val="231F20"/>
          <w:w w:val="105"/>
          <w:sz w:val="19"/>
        </w:rPr>
        <w:t>Naturalmente,</w:t>
      </w:r>
      <w:r>
        <w:rPr>
          <w:color w:val="231F20"/>
          <w:spacing w:val="-13"/>
          <w:w w:val="105"/>
          <w:sz w:val="19"/>
        </w:rPr>
        <w:t> </w:t>
      </w:r>
      <w:r>
        <w:rPr>
          <w:color w:val="231F20"/>
          <w:w w:val="105"/>
          <w:sz w:val="19"/>
        </w:rPr>
        <w:t>il</w:t>
      </w:r>
      <w:r>
        <w:rPr>
          <w:color w:val="231F20"/>
          <w:spacing w:val="-13"/>
          <w:w w:val="105"/>
          <w:sz w:val="19"/>
        </w:rPr>
        <w:t> </w:t>
      </w:r>
      <w:r>
        <w:rPr>
          <w:color w:val="231F20"/>
          <w:w w:val="105"/>
          <w:sz w:val="19"/>
        </w:rPr>
        <w:t>sistema</w:t>
      </w:r>
      <w:r>
        <w:rPr>
          <w:color w:val="231F20"/>
          <w:spacing w:val="-13"/>
          <w:w w:val="105"/>
          <w:sz w:val="19"/>
        </w:rPr>
        <w:t> </w:t>
      </w:r>
      <w:r>
        <w:rPr>
          <w:color w:val="231F20"/>
          <w:w w:val="105"/>
          <w:sz w:val="19"/>
        </w:rPr>
        <w:t>straordinario</w:t>
      </w:r>
      <w:r>
        <w:rPr>
          <w:color w:val="231F20"/>
          <w:spacing w:val="-13"/>
          <w:w w:val="105"/>
          <w:sz w:val="19"/>
        </w:rPr>
        <w:t> </w:t>
      </w:r>
      <w:r>
        <w:rPr>
          <w:color w:val="231F20"/>
          <w:w w:val="105"/>
          <w:sz w:val="19"/>
        </w:rPr>
        <w:t>ha</w:t>
      </w:r>
      <w:r>
        <w:rPr>
          <w:color w:val="231F20"/>
          <w:spacing w:val="-13"/>
          <w:w w:val="105"/>
          <w:sz w:val="19"/>
        </w:rPr>
        <w:t> </w:t>
      </w:r>
      <w:r>
        <w:rPr>
          <w:color w:val="231F20"/>
          <w:w w:val="105"/>
          <w:sz w:val="19"/>
        </w:rPr>
        <w:t>costanti </w:t>
      </w:r>
      <w:r>
        <w:rPr>
          <w:color w:val="231F20"/>
          <w:spacing w:val="4"/>
          <w:w w:val="105"/>
          <w:sz w:val="19"/>
        </w:rPr>
        <w:t>avanzamenti </w:t>
      </w:r>
      <w:r>
        <w:rPr>
          <w:color w:val="231F20"/>
          <w:spacing w:val="3"/>
          <w:w w:val="105"/>
          <w:sz w:val="19"/>
        </w:rPr>
        <w:t>sul </w:t>
      </w:r>
      <w:r>
        <w:rPr>
          <w:color w:val="231F20"/>
          <w:spacing w:val="4"/>
          <w:w w:val="105"/>
          <w:sz w:val="19"/>
        </w:rPr>
        <w:t>territorio dell’altro, </w:t>
      </w:r>
      <w:r>
        <w:rPr>
          <w:color w:val="231F20"/>
          <w:w w:val="105"/>
          <w:sz w:val="19"/>
        </w:rPr>
        <w:t>e </w:t>
      </w:r>
      <w:r>
        <w:rPr>
          <w:color w:val="231F20"/>
          <w:spacing w:val="3"/>
          <w:w w:val="105"/>
          <w:sz w:val="19"/>
        </w:rPr>
        <w:t>dopo </w:t>
      </w:r>
      <w:r>
        <w:rPr>
          <w:color w:val="231F20"/>
          <w:spacing w:val="4"/>
          <w:w w:val="105"/>
          <w:sz w:val="19"/>
        </w:rPr>
        <w:t>qualche </w:t>
      </w:r>
      <w:r>
        <w:rPr>
          <w:color w:val="231F20"/>
          <w:spacing w:val="61"/>
          <w:w w:val="105"/>
          <w:sz w:val="19"/>
        </w:rPr>
        <w:t> </w:t>
      </w:r>
      <w:r>
        <w:rPr>
          <w:color w:val="231F20"/>
          <w:spacing w:val="4"/>
          <w:w w:val="105"/>
          <w:sz w:val="19"/>
        </w:rPr>
        <w:t>tempo</w:t>
      </w:r>
    </w:p>
    <w:p>
      <w:pPr>
        <w:pStyle w:val="BodyText"/>
        <w:rPr>
          <w:sz w:val="20"/>
        </w:rPr>
      </w:pPr>
    </w:p>
    <w:p>
      <w:pPr>
        <w:pStyle w:val="BodyText"/>
        <w:spacing w:before="5"/>
        <w:rPr>
          <w:sz w:val="11"/>
        </w:rPr>
      </w:pPr>
      <w:r>
        <w:rPr/>
        <w:pict>
          <v:line style="position:absolute;mso-position-horizontal-relative:page;mso-position-vertical-relative:paragraph;z-index:9688;mso-wrap-distance-left:0;mso-wrap-distance-right:0" from="70.866096pt,9.031294pt" to="184.252096pt,9.031294pt" stroked="true" strokeweight=".3pt" strokecolor="#231f20">
            <w10:wrap type="topAndBottom"/>
          </v:line>
        </w:pict>
      </w:r>
    </w:p>
    <w:p>
      <w:pPr>
        <w:spacing w:line="204" w:lineRule="exact" w:before="9"/>
        <w:ind w:left="117" w:right="121" w:firstLine="0"/>
        <w:jc w:val="both"/>
        <w:rPr>
          <w:rFonts w:ascii="Calibri" w:hAnsi="Calibri"/>
          <w:sz w:val="17"/>
        </w:rPr>
      </w:pPr>
      <w:r>
        <w:rPr>
          <w:rFonts w:ascii="Calibri" w:hAnsi="Calibri"/>
          <w:color w:val="231F20"/>
          <w:position w:val="6"/>
          <w:sz w:val="10"/>
        </w:rPr>
        <w:t>22 </w:t>
      </w:r>
      <w:r>
        <w:rPr>
          <w:rFonts w:ascii="Calibri" w:hAnsi="Calibri"/>
          <w:color w:val="231F20"/>
          <w:sz w:val="17"/>
        </w:rPr>
        <w:t>J. Carpizo, “La reforma del Estado 2007 y 2008”, Andrew Ellis, Jesús Orozco, </w:t>
      </w:r>
      <w:r>
        <w:rPr>
          <w:rFonts w:ascii="Calibri" w:hAnsi="Calibri"/>
          <w:i/>
          <w:color w:val="231F20"/>
          <w:sz w:val="17"/>
        </w:rPr>
        <w:t>et. al.</w:t>
      </w:r>
      <w:r>
        <w:rPr>
          <w:rFonts w:ascii="Calibri" w:hAnsi="Calibri"/>
          <w:color w:val="231F20"/>
          <w:sz w:val="17"/>
        </w:rPr>
        <w:t>, </w:t>
      </w:r>
      <w:r>
        <w:rPr>
          <w:rFonts w:ascii="Calibri" w:hAnsi="Calibri"/>
          <w:i/>
          <w:color w:val="231F20"/>
          <w:sz w:val="17"/>
        </w:rPr>
        <w:t>Cómo hacer </w:t>
      </w:r>
      <w:r>
        <w:rPr>
          <w:rFonts w:ascii="Calibri" w:hAnsi="Calibri"/>
          <w:i/>
          <w:color w:val="231F20"/>
          <w:sz w:val="17"/>
        </w:rPr>
        <w:t>que funcione el sistema presidencial</w:t>
      </w:r>
      <w:r>
        <w:rPr>
          <w:rFonts w:ascii="Calibri" w:hAnsi="Calibri"/>
          <w:color w:val="231F20"/>
          <w:sz w:val="17"/>
        </w:rPr>
        <w:t>, México, </w:t>
      </w:r>
      <w:r>
        <w:rPr>
          <w:rFonts w:ascii="Calibri" w:hAnsi="Calibri"/>
          <w:color w:val="231F20"/>
          <w:sz w:val="14"/>
        </w:rPr>
        <w:t>UNAM</w:t>
      </w:r>
      <w:r>
        <w:rPr>
          <w:rFonts w:ascii="Calibri" w:hAnsi="Calibri"/>
          <w:color w:val="231F20"/>
          <w:sz w:val="17"/>
        </w:rPr>
        <w:t>/</w:t>
      </w:r>
      <w:r>
        <w:rPr>
          <w:rFonts w:ascii="Calibri" w:hAnsi="Calibri"/>
          <w:color w:val="231F20"/>
          <w:sz w:val="14"/>
        </w:rPr>
        <w:t>IDEA</w:t>
      </w:r>
      <w:r>
        <w:rPr>
          <w:rFonts w:ascii="Calibri" w:hAnsi="Calibri"/>
          <w:color w:val="231F20"/>
          <w:sz w:val="17"/>
        </w:rPr>
        <w:t>, </w:t>
      </w:r>
      <w:r>
        <w:rPr>
          <w:rFonts w:ascii="Calibri" w:hAnsi="Calibri"/>
          <w:color w:val="231F20"/>
          <w:spacing w:val="7"/>
          <w:sz w:val="17"/>
        </w:rPr>
        <w:t> </w:t>
      </w:r>
      <w:r>
        <w:rPr>
          <w:rFonts w:ascii="Calibri" w:hAnsi="Calibri"/>
          <w:color w:val="231F20"/>
          <w:sz w:val="17"/>
        </w:rPr>
        <w:t>2009.</w:t>
      </w:r>
    </w:p>
    <w:p>
      <w:pPr>
        <w:spacing w:line="204" w:lineRule="exact" w:before="0"/>
        <w:ind w:left="117" w:right="121" w:firstLine="0"/>
        <w:jc w:val="both"/>
        <w:rPr>
          <w:rFonts w:ascii="Calibri" w:hAnsi="Calibri"/>
          <w:sz w:val="17"/>
        </w:rPr>
      </w:pPr>
      <w:r>
        <w:rPr>
          <w:rFonts w:ascii="Calibri" w:hAnsi="Calibri"/>
          <w:color w:val="231F20"/>
          <w:w w:val="105"/>
          <w:position w:val="6"/>
          <w:sz w:val="10"/>
        </w:rPr>
        <w:t>23</w:t>
      </w:r>
      <w:r>
        <w:rPr>
          <w:rFonts w:ascii="Calibri" w:hAnsi="Calibri"/>
          <w:color w:val="231F20"/>
          <w:spacing w:val="-2"/>
          <w:w w:val="105"/>
          <w:position w:val="6"/>
          <w:sz w:val="10"/>
        </w:rPr>
        <w:t> </w:t>
      </w:r>
      <w:r>
        <w:rPr>
          <w:rFonts w:ascii="Calibri" w:hAnsi="Calibri"/>
          <w:color w:val="231F20"/>
          <w:w w:val="105"/>
          <w:sz w:val="17"/>
        </w:rPr>
        <w:t>Questo</w:t>
      </w:r>
      <w:r>
        <w:rPr>
          <w:rFonts w:ascii="Calibri" w:hAnsi="Calibri"/>
          <w:color w:val="231F20"/>
          <w:spacing w:val="-18"/>
          <w:w w:val="105"/>
          <w:sz w:val="17"/>
        </w:rPr>
        <w:t> </w:t>
      </w:r>
      <w:r>
        <w:rPr>
          <w:rFonts w:ascii="Calibri" w:hAnsi="Calibri"/>
          <w:color w:val="231F20"/>
          <w:w w:val="105"/>
          <w:sz w:val="17"/>
        </w:rPr>
        <w:t>documento</w:t>
      </w:r>
      <w:r>
        <w:rPr>
          <w:rFonts w:ascii="Calibri" w:hAnsi="Calibri"/>
          <w:color w:val="231F20"/>
          <w:spacing w:val="-18"/>
          <w:w w:val="105"/>
          <w:sz w:val="17"/>
        </w:rPr>
        <w:t> </w:t>
      </w:r>
      <w:r>
        <w:rPr>
          <w:rFonts w:ascii="Calibri" w:hAnsi="Calibri"/>
          <w:color w:val="231F20"/>
          <w:w w:val="105"/>
          <w:sz w:val="17"/>
        </w:rPr>
        <w:t>fu</w:t>
      </w:r>
      <w:r>
        <w:rPr>
          <w:rFonts w:ascii="Calibri" w:hAnsi="Calibri"/>
          <w:color w:val="231F20"/>
          <w:spacing w:val="-18"/>
          <w:w w:val="105"/>
          <w:sz w:val="17"/>
        </w:rPr>
        <w:t> </w:t>
      </w:r>
      <w:r>
        <w:rPr>
          <w:rFonts w:ascii="Calibri" w:hAnsi="Calibri"/>
          <w:color w:val="231F20"/>
          <w:w w:val="105"/>
          <w:sz w:val="17"/>
        </w:rPr>
        <w:t>sottoscritto</w:t>
      </w:r>
      <w:r>
        <w:rPr>
          <w:rFonts w:ascii="Calibri" w:hAnsi="Calibri"/>
          <w:color w:val="231F20"/>
          <w:spacing w:val="-18"/>
          <w:w w:val="105"/>
          <w:sz w:val="17"/>
        </w:rPr>
        <w:t> </w:t>
      </w:r>
      <w:r>
        <w:rPr>
          <w:rFonts w:ascii="Calibri" w:hAnsi="Calibri"/>
          <w:color w:val="231F20"/>
          <w:w w:val="105"/>
          <w:sz w:val="17"/>
        </w:rPr>
        <w:t>da</w:t>
      </w:r>
      <w:r>
        <w:rPr>
          <w:rFonts w:ascii="Calibri" w:hAnsi="Calibri"/>
          <w:color w:val="231F20"/>
          <w:spacing w:val="-18"/>
          <w:w w:val="105"/>
          <w:sz w:val="17"/>
        </w:rPr>
        <w:t> </w:t>
      </w:r>
      <w:r>
        <w:rPr>
          <w:rFonts w:ascii="Calibri" w:hAnsi="Calibri"/>
          <w:color w:val="231F20"/>
          <w:w w:val="105"/>
          <w:sz w:val="17"/>
        </w:rPr>
        <w:t>membri</w:t>
      </w:r>
      <w:r>
        <w:rPr>
          <w:rFonts w:ascii="Calibri" w:hAnsi="Calibri"/>
          <w:color w:val="231F20"/>
          <w:spacing w:val="-18"/>
          <w:w w:val="105"/>
          <w:sz w:val="17"/>
        </w:rPr>
        <w:t> </w:t>
      </w:r>
      <w:r>
        <w:rPr>
          <w:rFonts w:ascii="Calibri" w:hAnsi="Calibri"/>
          <w:color w:val="231F20"/>
          <w:w w:val="105"/>
          <w:sz w:val="17"/>
        </w:rPr>
        <w:t>dell’Organizzazione</w:t>
      </w:r>
      <w:r>
        <w:rPr>
          <w:rFonts w:ascii="Calibri" w:hAnsi="Calibri"/>
          <w:color w:val="231F20"/>
          <w:spacing w:val="-18"/>
          <w:w w:val="105"/>
          <w:sz w:val="17"/>
        </w:rPr>
        <w:t> </w:t>
      </w:r>
      <w:r>
        <w:rPr>
          <w:rFonts w:ascii="Calibri" w:hAnsi="Calibri"/>
          <w:color w:val="231F20"/>
          <w:w w:val="105"/>
          <w:sz w:val="17"/>
        </w:rPr>
        <w:t>delle</w:t>
      </w:r>
      <w:r>
        <w:rPr>
          <w:rFonts w:ascii="Calibri" w:hAnsi="Calibri"/>
          <w:color w:val="231F20"/>
          <w:spacing w:val="-18"/>
          <w:w w:val="105"/>
          <w:sz w:val="17"/>
        </w:rPr>
        <w:t> </w:t>
      </w:r>
      <w:r>
        <w:rPr>
          <w:rFonts w:ascii="Calibri" w:hAnsi="Calibri"/>
          <w:color w:val="231F20"/>
          <w:w w:val="105"/>
          <w:sz w:val="17"/>
        </w:rPr>
        <w:t>Nazioni</w:t>
      </w:r>
      <w:r>
        <w:rPr>
          <w:rFonts w:ascii="Calibri" w:hAnsi="Calibri"/>
          <w:color w:val="231F20"/>
          <w:spacing w:val="-18"/>
          <w:w w:val="105"/>
          <w:sz w:val="17"/>
        </w:rPr>
        <w:t> </w:t>
      </w:r>
      <w:r>
        <w:rPr>
          <w:rFonts w:ascii="Calibri" w:hAnsi="Calibri"/>
          <w:color w:val="231F20"/>
          <w:w w:val="105"/>
          <w:sz w:val="17"/>
        </w:rPr>
        <w:t>Unite</w:t>
      </w:r>
      <w:r>
        <w:rPr>
          <w:rFonts w:ascii="Calibri" w:hAnsi="Calibri"/>
          <w:color w:val="231F20"/>
          <w:spacing w:val="-18"/>
          <w:w w:val="105"/>
          <w:sz w:val="17"/>
        </w:rPr>
        <w:t> </w:t>
      </w:r>
      <w:r>
        <w:rPr>
          <w:rFonts w:ascii="Calibri" w:hAnsi="Calibri"/>
          <w:color w:val="231F20"/>
          <w:w w:val="105"/>
          <w:sz w:val="17"/>
        </w:rPr>
        <w:t>a</w:t>
      </w:r>
      <w:r>
        <w:rPr>
          <w:rFonts w:ascii="Calibri" w:hAnsi="Calibri"/>
          <w:color w:val="231F20"/>
          <w:spacing w:val="-18"/>
          <w:w w:val="105"/>
          <w:sz w:val="17"/>
        </w:rPr>
        <w:t> </w:t>
      </w:r>
      <w:r>
        <w:rPr>
          <w:rFonts w:ascii="Calibri" w:hAnsi="Calibri"/>
          <w:color w:val="231F20"/>
          <w:w w:val="105"/>
          <w:sz w:val="17"/>
        </w:rPr>
        <w:t>Palermo, Italia,</w:t>
      </w:r>
      <w:r>
        <w:rPr>
          <w:rFonts w:ascii="Calibri" w:hAnsi="Calibri"/>
          <w:color w:val="231F20"/>
          <w:spacing w:val="-7"/>
          <w:w w:val="105"/>
          <w:sz w:val="17"/>
        </w:rPr>
        <w:t> </w:t>
      </w:r>
      <w:r>
        <w:rPr>
          <w:rFonts w:ascii="Calibri" w:hAnsi="Calibri"/>
          <w:color w:val="231F20"/>
          <w:w w:val="105"/>
          <w:sz w:val="17"/>
        </w:rPr>
        <w:t>il</w:t>
      </w:r>
      <w:r>
        <w:rPr>
          <w:rFonts w:ascii="Calibri" w:hAnsi="Calibri"/>
          <w:color w:val="231F20"/>
          <w:spacing w:val="-7"/>
          <w:w w:val="105"/>
          <w:sz w:val="17"/>
        </w:rPr>
        <w:t> </w:t>
      </w:r>
      <w:r>
        <w:rPr>
          <w:rFonts w:ascii="Calibri" w:hAnsi="Calibri"/>
          <w:color w:val="231F20"/>
          <w:w w:val="105"/>
          <w:sz w:val="17"/>
        </w:rPr>
        <w:t>15</w:t>
      </w:r>
      <w:r>
        <w:rPr>
          <w:rFonts w:ascii="Calibri" w:hAnsi="Calibri"/>
          <w:color w:val="231F20"/>
          <w:spacing w:val="-7"/>
          <w:w w:val="105"/>
          <w:sz w:val="17"/>
        </w:rPr>
        <w:t> </w:t>
      </w:r>
      <w:r>
        <w:rPr>
          <w:rFonts w:ascii="Calibri" w:hAnsi="Calibri"/>
          <w:color w:val="231F20"/>
          <w:w w:val="105"/>
          <w:sz w:val="17"/>
        </w:rPr>
        <w:t>dicembre</w:t>
      </w:r>
      <w:r>
        <w:rPr>
          <w:rFonts w:ascii="Calibri" w:hAnsi="Calibri"/>
          <w:color w:val="231F20"/>
          <w:spacing w:val="-7"/>
          <w:w w:val="105"/>
          <w:sz w:val="17"/>
        </w:rPr>
        <w:t> </w:t>
      </w:r>
      <w:r>
        <w:rPr>
          <w:rFonts w:ascii="Calibri" w:hAnsi="Calibri"/>
          <w:color w:val="231F20"/>
          <w:w w:val="105"/>
          <w:sz w:val="17"/>
        </w:rPr>
        <w:t>di</w:t>
      </w:r>
      <w:r>
        <w:rPr>
          <w:rFonts w:ascii="Calibri" w:hAnsi="Calibri"/>
          <w:color w:val="231F20"/>
          <w:spacing w:val="-7"/>
          <w:w w:val="105"/>
          <w:sz w:val="17"/>
        </w:rPr>
        <w:t> </w:t>
      </w:r>
      <w:r>
        <w:rPr>
          <w:rFonts w:ascii="Calibri" w:hAnsi="Calibri"/>
          <w:color w:val="231F20"/>
          <w:w w:val="105"/>
          <w:sz w:val="17"/>
        </w:rPr>
        <w:t>2000.</w:t>
      </w:r>
      <w:r>
        <w:rPr>
          <w:rFonts w:ascii="Calibri" w:hAnsi="Calibri"/>
          <w:color w:val="231F20"/>
          <w:spacing w:val="-7"/>
          <w:w w:val="105"/>
          <w:sz w:val="17"/>
        </w:rPr>
        <w:t> </w:t>
      </w:r>
      <w:r>
        <w:rPr>
          <w:rFonts w:ascii="Calibri" w:hAnsi="Calibri"/>
          <w:color w:val="231F20"/>
          <w:w w:val="105"/>
          <w:sz w:val="17"/>
        </w:rPr>
        <w:t>Fu</w:t>
      </w:r>
      <w:r>
        <w:rPr>
          <w:rFonts w:ascii="Calibri" w:hAnsi="Calibri"/>
          <w:color w:val="231F20"/>
          <w:spacing w:val="-7"/>
          <w:w w:val="105"/>
          <w:sz w:val="17"/>
        </w:rPr>
        <w:t> </w:t>
      </w:r>
      <w:r>
        <w:rPr>
          <w:rFonts w:ascii="Calibri" w:hAnsi="Calibri"/>
          <w:color w:val="231F20"/>
          <w:w w:val="105"/>
          <w:sz w:val="17"/>
        </w:rPr>
        <w:t>approvato</w:t>
      </w:r>
      <w:r>
        <w:rPr>
          <w:rFonts w:ascii="Calibri" w:hAnsi="Calibri"/>
          <w:color w:val="231F20"/>
          <w:spacing w:val="-7"/>
          <w:w w:val="105"/>
          <w:sz w:val="17"/>
        </w:rPr>
        <w:t> </w:t>
      </w:r>
      <w:r>
        <w:rPr>
          <w:rFonts w:ascii="Calibri" w:hAnsi="Calibri"/>
          <w:color w:val="231F20"/>
          <w:w w:val="105"/>
          <w:sz w:val="17"/>
        </w:rPr>
        <w:t>per</w:t>
      </w:r>
      <w:r>
        <w:rPr>
          <w:rFonts w:ascii="Calibri" w:hAnsi="Calibri"/>
          <w:color w:val="231F20"/>
          <w:spacing w:val="-7"/>
          <w:w w:val="105"/>
          <w:sz w:val="17"/>
        </w:rPr>
        <w:t> </w:t>
      </w:r>
      <w:r>
        <w:rPr>
          <w:rFonts w:ascii="Calibri" w:hAnsi="Calibri"/>
          <w:color w:val="231F20"/>
          <w:w w:val="105"/>
          <w:sz w:val="17"/>
        </w:rPr>
        <w:t>il</w:t>
      </w:r>
      <w:r>
        <w:rPr>
          <w:rFonts w:ascii="Calibri" w:hAnsi="Calibri"/>
          <w:color w:val="231F20"/>
          <w:spacing w:val="-7"/>
          <w:w w:val="105"/>
          <w:sz w:val="17"/>
        </w:rPr>
        <w:t> </w:t>
      </w:r>
      <w:r>
        <w:rPr>
          <w:rFonts w:ascii="Calibri" w:hAnsi="Calibri"/>
          <w:color w:val="231F20"/>
          <w:w w:val="105"/>
          <w:sz w:val="17"/>
        </w:rPr>
        <w:t>Senato</w:t>
      </w:r>
      <w:r>
        <w:rPr>
          <w:rFonts w:ascii="Calibri" w:hAnsi="Calibri"/>
          <w:color w:val="231F20"/>
          <w:spacing w:val="-7"/>
          <w:w w:val="105"/>
          <w:sz w:val="17"/>
        </w:rPr>
        <w:t> </w:t>
      </w:r>
      <w:r>
        <w:rPr>
          <w:rFonts w:ascii="Calibri" w:hAnsi="Calibri"/>
          <w:color w:val="231F20"/>
          <w:w w:val="105"/>
          <w:sz w:val="17"/>
        </w:rPr>
        <w:t>della</w:t>
      </w:r>
      <w:r>
        <w:rPr>
          <w:rFonts w:ascii="Calibri" w:hAnsi="Calibri"/>
          <w:color w:val="231F20"/>
          <w:spacing w:val="-7"/>
          <w:w w:val="105"/>
          <w:sz w:val="17"/>
        </w:rPr>
        <w:t> </w:t>
      </w:r>
      <w:r>
        <w:rPr>
          <w:rFonts w:ascii="Calibri" w:hAnsi="Calibri"/>
          <w:color w:val="231F20"/>
          <w:w w:val="105"/>
          <w:sz w:val="17"/>
        </w:rPr>
        <w:t>Repubblica</w:t>
      </w:r>
      <w:r>
        <w:rPr>
          <w:rFonts w:ascii="Calibri" w:hAnsi="Calibri"/>
          <w:color w:val="231F20"/>
          <w:spacing w:val="-7"/>
          <w:w w:val="105"/>
          <w:sz w:val="17"/>
        </w:rPr>
        <w:t> </w:t>
      </w:r>
      <w:r>
        <w:rPr>
          <w:rFonts w:ascii="Calibri" w:hAnsi="Calibri"/>
          <w:color w:val="231F20"/>
          <w:w w:val="105"/>
          <w:sz w:val="17"/>
        </w:rPr>
        <w:t>messicana</w:t>
      </w:r>
      <w:r>
        <w:rPr>
          <w:rFonts w:ascii="Calibri" w:hAnsi="Calibri"/>
          <w:color w:val="231F20"/>
          <w:spacing w:val="-7"/>
          <w:w w:val="105"/>
          <w:sz w:val="17"/>
        </w:rPr>
        <w:t> </w:t>
      </w:r>
      <w:r>
        <w:rPr>
          <w:rFonts w:ascii="Calibri" w:hAnsi="Calibri"/>
          <w:color w:val="231F20"/>
          <w:w w:val="105"/>
          <w:sz w:val="17"/>
        </w:rPr>
        <w:t>il</w:t>
      </w:r>
      <w:r>
        <w:rPr>
          <w:rFonts w:ascii="Calibri" w:hAnsi="Calibri"/>
          <w:color w:val="231F20"/>
          <w:spacing w:val="-7"/>
          <w:w w:val="105"/>
          <w:sz w:val="17"/>
        </w:rPr>
        <w:t> </w:t>
      </w:r>
      <w:r>
        <w:rPr>
          <w:rFonts w:ascii="Calibri" w:hAnsi="Calibri"/>
          <w:color w:val="231F20"/>
          <w:w w:val="105"/>
          <w:sz w:val="17"/>
        </w:rPr>
        <w:t>22</w:t>
      </w:r>
      <w:r>
        <w:rPr>
          <w:rFonts w:ascii="Calibri" w:hAnsi="Calibri"/>
          <w:color w:val="231F20"/>
          <w:spacing w:val="-7"/>
          <w:w w:val="105"/>
          <w:sz w:val="17"/>
        </w:rPr>
        <w:t> </w:t>
      </w:r>
      <w:r>
        <w:rPr>
          <w:rFonts w:ascii="Calibri" w:hAnsi="Calibri"/>
          <w:color w:val="231F20"/>
          <w:w w:val="105"/>
          <w:sz w:val="17"/>
        </w:rPr>
        <w:t>ottobre 2002</w:t>
      </w:r>
      <w:r>
        <w:rPr>
          <w:rFonts w:ascii="Calibri" w:hAnsi="Calibri"/>
          <w:color w:val="231F20"/>
          <w:spacing w:val="-13"/>
          <w:w w:val="105"/>
          <w:sz w:val="17"/>
        </w:rPr>
        <w:t> </w:t>
      </w:r>
      <w:r>
        <w:rPr>
          <w:rFonts w:ascii="Calibri" w:hAnsi="Calibri"/>
          <w:color w:val="231F20"/>
          <w:w w:val="105"/>
          <w:sz w:val="17"/>
        </w:rPr>
        <w:t>e</w:t>
      </w:r>
      <w:r>
        <w:rPr>
          <w:rFonts w:ascii="Calibri" w:hAnsi="Calibri"/>
          <w:color w:val="231F20"/>
          <w:spacing w:val="-13"/>
          <w:w w:val="105"/>
          <w:sz w:val="17"/>
        </w:rPr>
        <w:t> </w:t>
      </w:r>
      <w:r>
        <w:rPr>
          <w:rFonts w:ascii="Calibri" w:hAnsi="Calibri"/>
          <w:color w:val="231F20"/>
          <w:w w:val="105"/>
          <w:sz w:val="17"/>
        </w:rPr>
        <w:t>pubblicata</w:t>
      </w:r>
      <w:r>
        <w:rPr>
          <w:rFonts w:ascii="Calibri" w:hAnsi="Calibri"/>
          <w:color w:val="231F20"/>
          <w:spacing w:val="-13"/>
          <w:w w:val="105"/>
          <w:sz w:val="17"/>
        </w:rPr>
        <w:t> </w:t>
      </w:r>
      <w:r>
        <w:rPr>
          <w:rFonts w:ascii="Calibri" w:hAnsi="Calibri"/>
          <w:color w:val="231F20"/>
          <w:w w:val="105"/>
          <w:sz w:val="17"/>
        </w:rPr>
        <w:t>il</w:t>
      </w:r>
      <w:r>
        <w:rPr>
          <w:rFonts w:ascii="Calibri" w:hAnsi="Calibri"/>
          <w:color w:val="231F20"/>
          <w:spacing w:val="-13"/>
          <w:w w:val="105"/>
          <w:sz w:val="17"/>
        </w:rPr>
        <w:t> </w:t>
      </w:r>
      <w:r>
        <w:rPr>
          <w:rFonts w:ascii="Calibri" w:hAnsi="Calibri"/>
          <w:color w:val="231F20"/>
          <w:w w:val="105"/>
          <w:sz w:val="17"/>
        </w:rPr>
        <w:t>2</w:t>
      </w:r>
      <w:r>
        <w:rPr>
          <w:rFonts w:ascii="Calibri" w:hAnsi="Calibri"/>
          <w:color w:val="231F20"/>
          <w:spacing w:val="-13"/>
          <w:w w:val="105"/>
          <w:sz w:val="17"/>
        </w:rPr>
        <w:t> </w:t>
      </w:r>
      <w:r>
        <w:rPr>
          <w:rFonts w:ascii="Calibri" w:hAnsi="Calibri"/>
          <w:color w:val="231F20"/>
          <w:w w:val="105"/>
          <w:sz w:val="17"/>
        </w:rPr>
        <w:t>dicembre</w:t>
      </w:r>
      <w:r>
        <w:rPr>
          <w:rFonts w:ascii="Calibri" w:hAnsi="Calibri"/>
          <w:color w:val="231F20"/>
          <w:spacing w:val="-13"/>
          <w:w w:val="105"/>
          <w:sz w:val="17"/>
        </w:rPr>
        <w:t> </w:t>
      </w:r>
      <w:r>
        <w:rPr>
          <w:rFonts w:ascii="Calibri" w:hAnsi="Calibri"/>
          <w:color w:val="231F20"/>
          <w:w w:val="105"/>
          <w:sz w:val="17"/>
        </w:rPr>
        <w:t>dello</w:t>
      </w:r>
      <w:r>
        <w:rPr>
          <w:rFonts w:ascii="Calibri" w:hAnsi="Calibri"/>
          <w:color w:val="231F20"/>
          <w:spacing w:val="-13"/>
          <w:w w:val="105"/>
          <w:sz w:val="17"/>
        </w:rPr>
        <w:t> </w:t>
      </w:r>
      <w:r>
        <w:rPr>
          <w:rFonts w:ascii="Calibri" w:hAnsi="Calibri"/>
          <w:color w:val="231F20"/>
          <w:w w:val="105"/>
          <w:sz w:val="17"/>
        </w:rPr>
        <w:t>stesso</w:t>
      </w:r>
      <w:r>
        <w:rPr>
          <w:rFonts w:ascii="Calibri" w:hAnsi="Calibri"/>
          <w:color w:val="231F20"/>
          <w:spacing w:val="-13"/>
          <w:w w:val="105"/>
          <w:sz w:val="17"/>
        </w:rPr>
        <w:t> </w:t>
      </w:r>
      <w:r>
        <w:rPr>
          <w:rFonts w:ascii="Calibri" w:hAnsi="Calibri"/>
          <w:color w:val="231F20"/>
          <w:w w:val="105"/>
          <w:sz w:val="17"/>
        </w:rPr>
        <w:t>anno;</w:t>
      </w:r>
      <w:r>
        <w:rPr>
          <w:rFonts w:ascii="Calibri" w:hAnsi="Calibri"/>
          <w:color w:val="231F20"/>
          <w:spacing w:val="-13"/>
          <w:w w:val="105"/>
          <w:sz w:val="17"/>
        </w:rPr>
        <w:t> </w:t>
      </w:r>
      <w:r>
        <w:rPr>
          <w:rFonts w:ascii="Calibri" w:hAnsi="Calibri"/>
          <w:color w:val="231F20"/>
          <w:w w:val="105"/>
          <w:sz w:val="17"/>
        </w:rPr>
        <w:t>ratificata</w:t>
      </w:r>
      <w:r>
        <w:rPr>
          <w:rFonts w:ascii="Calibri" w:hAnsi="Calibri"/>
          <w:color w:val="231F20"/>
          <w:spacing w:val="-13"/>
          <w:w w:val="105"/>
          <w:sz w:val="17"/>
        </w:rPr>
        <w:t> </w:t>
      </w:r>
      <w:r>
        <w:rPr>
          <w:rFonts w:ascii="Calibri" w:hAnsi="Calibri"/>
          <w:color w:val="231F20"/>
          <w:w w:val="105"/>
          <w:sz w:val="17"/>
        </w:rPr>
        <w:t>il</w:t>
      </w:r>
      <w:r>
        <w:rPr>
          <w:rFonts w:ascii="Calibri" w:hAnsi="Calibri"/>
          <w:color w:val="231F20"/>
          <w:spacing w:val="-13"/>
          <w:w w:val="105"/>
          <w:sz w:val="17"/>
        </w:rPr>
        <w:t> </w:t>
      </w:r>
      <w:r>
        <w:rPr>
          <w:rFonts w:ascii="Calibri" w:hAnsi="Calibri"/>
          <w:color w:val="231F20"/>
          <w:w w:val="105"/>
          <w:sz w:val="17"/>
        </w:rPr>
        <w:t>4</w:t>
      </w:r>
      <w:r>
        <w:rPr>
          <w:rFonts w:ascii="Calibri" w:hAnsi="Calibri"/>
          <w:color w:val="231F20"/>
          <w:spacing w:val="-13"/>
          <w:w w:val="105"/>
          <w:sz w:val="17"/>
        </w:rPr>
        <w:t> </w:t>
      </w:r>
      <w:r>
        <w:rPr>
          <w:rFonts w:ascii="Calibri" w:hAnsi="Calibri"/>
          <w:color w:val="231F20"/>
          <w:w w:val="105"/>
          <w:sz w:val="17"/>
        </w:rPr>
        <w:t>marzo</w:t>
      </w:r>
      <w:r>
        <w:rPr>
          <w:rFonts w:ascii="Calibri" w:hAnsi="Calibri"/>
          <w:color w:val="231F20"/>
          <w:spacing w:val="-13"/>
          <w:w w:val="105"/>
          <w:sz w:val="17"/>
        </w:rPr>
        <w:t> </w:t>
      </w:r>
      <w:r>
        <w:rPr>
          <w:rFonts w:ascii="Calibri" w:hAnsi="Calibri"/>
          <w:color w:val="231F20"/>
          <w:w w:val="105"/>
          <w:sz w:val="17"/>
        </w:rPr>
        <w:t>2003</w:t>
      </w:r>
      <w:r>
        <w:rPr>
          <w:rFonts w:ascii="Calibri" w:hAnsi="Calibri"/>
          <w:color w:val="231F20"/>
          <w:spacing w:val="-13"/>
          <w:w w:val="105"/>
          <w:sz w:val="17"/>
        </w:rPr>
        <w:t> </w:t>
      </w:r>
      <w:r>
        <w:rPr>
          <w:rFonts w:ascii="Calibri" w:hAnsi="Calibri"/>
          <w:color w:val="231F20"/>
          <w:w w:val="105"/>
          <w:sz w:val="17"/>
        </w:rPr>
        <w:t>e</w:t>
      </w:r>
      <w:r>
        <w:rPr>
          <w:rFonts w:ascii="Calibri" w:hAnsi="Calibri"/>
          <w:color w:val="231F20"/>
          <w:spacing w:val="-13"/>
          <w:w w:val="105"/>
          <w:sz w:val="17"/>
        </w:rPr>
        <w:t> </w:t>
      </w:r>
      <w:r>
        <w:rPr>
          <w:rFonts w:ascii="Calibri" w:hAnsi="Calibri"/>
          <w:color w:val="231F20"/>
          <w:w w:val="105"/>
          <w:sz w:val="17"/>
        </w:rPr>
        <w:t>pubblicata</w:t>
      </w:r>
      <w:r>
        <w:rPr>
          <w:rFonts w:ascii="Calibri" w:hAnsi="Calibri"/>
          <w:color w:val="231F20"/>
          <w:spacing w:val="-13"/>
          <w:w w:val="105"/>
          <w:sz w:val="17"/>
        </w:rPr>
        <w:t> </w:t>
      </w:r>
      <w:r>
        <w:rPr>
          <w:rFonts w:ascii="Calibri" w:hAnsi="Calibri"/>
          <w:color w:val="231F20"/>
          <w:w w:val="105"/>
          <w:sz w:val="17"/>
        </w:rPr>
        <w:t>nel</w:t>
      </w:r>
      <w:r>
        <w:rPr>
          <w:rFonts w:ascii="Calibri" w:hAnsi="Calibri"/>
          <w:color w:val="231F20"/>
          <w:spacing w:val="-13"/>
          <w:w w:val="105"/>
          <w:sz w:val="17"/>
        </w:rPr>
        <w:t> </w:t>
      </w:r>
      <w:r>
        <w:rPr>
          <w:rFonts w:ascii="Calibri" w:hAnsi="Calibri"/>
          <w:color w:val="231F20"/>
          <w:w w:val="105"/>
          <w:sz w:val="17"/>
        </w:rPr>
        <w:t>Diario UThciale</w:t>
      </w:r>
      <w:r>
        <w:rPr>
          <w:rFonts w:ascii="Calibri" w:hAnsi="Calibri"/>
          <w:color w:val="231F20"/>
          <w:spacing w:val="-29"/>
          <w:w w:val="105"/>
          <w:sz w:val="17"/>
        </w:rPr>
        <w:t> </w:t>
      </w:r>
      <w:r>
        <w:rPr>
          <w:rFonts w:ascii="Calibri" w:hAnsi="Calibri"/>
          <w:color w:val="231F20"/>
          <w:w w:val="105"/>
          <w:sz w:val="17"/>
        </w:rPr>
        <w:t>della</w:t>
      </w:r>
      <w:r>
        <w:rPr>
          <w:rFonts w:ascii="Calibri" w:hAnsi="Calibri"/>
          <w:color w:val="231F20"/>
          <w:spacing w:val="-29"/>
          <w:w w:val="105"/>
          <w:sz w:val="17"/>
        </w:rPr>
        <w:t> </w:t>
      </w:r>
      <w:r>
        <w:rPr>
          <w:rFonts w:ascii="Calibri" w:hAnsi="Calibri"/>
          <w:color w:val="231F20"/>
          <w:w w:val="105"/>
          <w:sz w:val="17"/>
        </w:rPr>
        <w:t>Federazione</w:t>
      </w:r>
      <w:r>
        <w:rPr>
          <w:rFonts w:ascii="Calibri" w:hAnsi="Calibri"/>
          <w:color w:val="231F20"/>
          <w:spacing w:val="-29"/>
          <w:w w:val="105"/>
          <w:sz w:val="17"/>
        </w:rPr>
        <w:t> </w:t>
      </w:r>
      <w:r>
        <w:rPr>
          <w:rFonts w:ascii="Calibri" w:hAnsi="Calibri"/>
          <w:color w:val="231F20"/>
          <w:w w:val="105"/>
          <w:sz w:val="17"/>
        </w:rPr>
        <w:t>l’11</w:t>
      </w:r>
      <w:r>
        <w:rPr>
          <w:rFonts w:ascii="Calibri" w:hAnsi="Calibri"/>
          <w:color w:val="231F20"/>
          <w:spacing w:val="-29"/>
          <w:w w:val="105"/>
          <w:sz w:val="17"/>
        </w:rPr>
        <w:t> </w:t>
      </w:r>
      <w:r>
        <w:rPr>
          <w:rFonts w:ascii="Calibri" w:hAnsi="Calibri"/>
          <w:color w:val="231F20"/>
          <w:w w:val="105"/>
          <w:sz w:val="17"/>
        </w:rPr>
        <w:t>aprile</w:t>
      </w:r>
      <w:r>
        <w:rPr>
          <w:rFonts w:ascii="Calibri" w:hAnsi="Calibri"/>
          <w:color w:val="231F20"/>
          <w:spacing w:val="-29"/>
          <w:w w:val="105"/>
          <w:sz w:val="17"/>
        </w:rPr>
        <w:t> </w:t>
      </w:r>
      <w:r>
        <w:rPr>
          <w:rFonts w:ascii="Calibri" w:hAnsi="Calibri"/>
          <w:color w:val="231F20"/>
          <w:w w:val="105"/>
          <w:sz w:val="17"/>
        </w:rPr>
        <w:t>dello</w:t>
      </w:r>
      <w:r>
        <w:rPr>
          <w:rFonts w:ascii="Calibri" w:hAnsi="Calibri"/>
          <w:color w:val="231F20"/>
          <w:spacing w:val="-29"/>
          <w:w w:val="105"/>
          <w:sz w:val="17"/>
        </w:rPr>
        <w:t> </w:t>
      </w:r>
      <w:r>
        <w:rPr>
          <w:rFonts w:ascii="Calibri" w:hAnsi="Calibri"/>
          <w:color w:val="231F20"/>
          <w:w w:val="105"/>
          <w:sz w:val="17"/>
        </w:rPr>
        <w:t>stesso</w:t>
      </w:r>
      <w:r>
        <w:rPr>
          <w:rFonts w:ascii="Calibri" w:hAnsi="Calibri"/>
          <w:color w:val="231F20"/>
          <w:spacing w:val="-29"/>
          <w:w w:val="105"/>
          <w:sz w:val="17"/>
        </w:rPr>
        <w:t> </w:t>
      </w:r>
      <w:r>
        <w:rPr>
          <w:rFonts w:ascii="Calibri" w:hAnsi="Calibri"/>
          <w:color w:val="231F20"/>
          <w:w w:val="105"/>
          <w:sz w:val="17"/>
        </w:rPr>
        <w:t>anno.</w:t>
      </w:r>
    </w:p>
    <w:p>
      <w:pPr>
        <w:spacing w:after="0" w:line="204" w:lineRule="exact"/>
        <w:jc w:val="both"/>
        <w:rPr>
          <w:rFonts w:ascii="Calibri" w:hAnsi="Calibri"/>
          <w:sz w:val="17"/>
        </w:rPr>
        <w:sectPr>
          <w:pgSz w:w="9640" w:h="13890"/>
          <w:pgMar w:top="0" w:bottom="280" w:left="1300" w:right="1180"/>
        </w:sectPr>
      </w:pPr>
    </w:p>
    <w:p>
      <w:pPr>
        <w:spacing w:line="220" w:lineRule="exact" w:before="121"/>
        <w:ind w:left="1521" w:right="115" w:firstLine="0"/>
        <w:jc w:val="both"/>
        <w:rPr>
          <w:sz w:val="19"/>
        </w:rPr>
      </w:pPr>
      <w:r>
        <w:rPr>
          <w:color w:val="231F20"/>
          <w:w w:val="105"/>
          <w:sz w:val="19"/>
        </w:rPr>
        <w:t>potrebbe diventare ordinario. In questo caso, lo spostamento significherebbe erosione di libertà, diminuzione di garanzie e </w:t>
      </w:r>
      <w:r>
        <w:rPr>
          <w:color w:val="231F20"/>
          <w:sz w:val="19"/>
        </w:rPr>
        <w:t>ritrazione della democrazia</w:t>
      </w:r>
      <w:r>
        <w:rPr>
          <w:color w:val="231F20"/>
          <w:position w:val="6"/>
          <w:sz w:val="11"/>
        </w:rPr>
        <w:t>24</w:t>
      </w:r>
      <w:r>
        <w:rPr>
          <w:color w:val="231F20"/>
          <w:sz w:val="19"/>
        </w:rPr>
        <w:t>.</w:t>
      </w:r>
    </w:p>
    <w:p>
      <w:pPr>
        <w:pStyle w:val="BodyText"/>
        <w:spacing w:before="11"/>
        <w:rPr>
          <w:sz w:val="23"/>
        </w:rPr>
      </w:pPr>
    </w:p>
    <w:p>
      <w:pPr>
        <w:pStyle w:val="BodyText"/>
        <w:spacing w:line="249" w:lineRule="auto"/>
        <w:ind w:left="103" w:right="109"/>
        <w:jc w:val="both"/>
      </w:pPr>
      <w:r>
        <w:rPr>
          <w:color w:val="231F20"/>
        </w:rPr>
        <w:t>Il costituzionalismo liberale che aveva vegliato durante un lungo tempo per la separazione di poteri, l’impero della legge e la consolidazione delle garanzie</w:t>
      </w:r>
      <w:r>
        <w:rPr>
          <w:color w:val="231F20"/>
          <w:spacing w:val="-19"/>
        </w:rPr>
        <w:t> </w:t>
      </w:r>
      <w:r>
        <w:rPr>
          <w:color w:val="231F20"/>
        </w:rPr>
        <w:t>individuali,</w:t>
      </w:r>
      <w:r>
        <w:rPr>
          <w:color w:val="231F20"/>
          <w:spacing w:val="-19"/>
        </w:rPr>
        <w:t> </w:t>
      </w:r>
      <w:r>
        <w:rPr>
          <w:color w:val="231F20"/>
        </w:rPr>
        <w:t>affronta</w:t>
      </w:r>
      <w:r>
        <w:rPr>
          <w:color w:val="231F20"/>
          <w:spacing w:val="-19"/>
        </w:rPr>
        <w:t> </w:t>
      </w:r>
      <w:r>
        <w:rPr>
          <w:color w:val="231F20"/>
        </w:rPr>
        <w:t>così</w:t>
      </w:r>
      <w:r>
        <w:rPr>
          <w:color w:val="231F20"/>
          <w:spacing w:val="-19"/>
        </w:rPr>
        <w:t> </w:t>
      </w:r>
      <w:r>
        <w:rPr>
          <w:color w:val="231F20"/>
        </w:rPr>
        <w:t>la</w:t>
      </w:r>
      <w:r>
        <w:rPr>
          <w:color w:val="231F20"/>
          <w:spacing w:val="-19"/>
        </w:rPr>
        <w:t> </w:t>
      </w:r>
      <w:r>
        <w:rPr>
          <w:color w:val="231F20"/>
        </w:rPr>
        <w:t>sua</w:t>
      </w:r>
      <w:r>
        <w:rPr>
          <w:color w:val="231F20"/>
          <w:spacing w:val="-19"/>
        </w:rPr>
        <w:t> </w:t>
      </w:r>
      <w:r>
        <w:rPr>
          <w:color w:val="231F20"/>
        </w:rPr>
        <w:t>crisi</w:t>
      </w:r>
      <w:r>
        <w:rPr>
          <w:color w:val="231F20"/>
          <w:spacing w:val="-19"/>
        </w:rPr>
        <w:t> </w:t>
      </w:r>
      <w:r>
        <w:rPr>
          <w:color w:val="231F20"/>
        </w:rPr>
        <w:t>più</w:t>
      </w:r>
      <w:r>
        <w:rPr>
          <w:color w:val="231F20"/>
          <w:spacing w:val="-19"/>
        </w:rPr>
        <w:t> </w:t>
      </w:r>
      <w:r>
        <w:rPr>
          <w:color w:val="231F20"/>
        </w:rPr>
        <w:t>profonda,</w:t>
      </w:r>
      <w:r>
        <w:rPr>
          <w:color w:val="231F20"/>
          <w:spacing w:val="-19"/>
        </w:rPr>
        <w:t> </w:t>
      </w:r>
      <w:r>
        <w:rPr>
          <w:color w:val="231F20"/>
        </w:rPr>
        <w:t>il</w:t>
      </w:r>
      <w:r>
        <w:rPr>
          <w:color w:val="231F20"/>
          <w:spacing w:val="-19"/>
        </w:rPr>
        <w:t> </w:t>
      </w:r>
      <w:r>
        <w:rPr>
          <w:color w:val="231F20"/>
        </w:rPr>
        <w:t>fuori</w:t>
      </w:r>
      <w:r>
        <w:rPr>
          <w:color w:val="231F20"/>
          <w:spacing w:val="-19"/>
        </w:rPr>
        <w:t> </w:t>
      </w:r>
      <w:r>
        <w:rPr>
          <w:color w:val="231F20"/>
        </w:rPr>
        <w:t>dalla</w:t>
      </w:r>
      <w:r>
        <w:rPr>
          <w:color w:val="231F20"/>
          <w:spacing w:val="-19"/>
        </w:rPr>
        <w:t> </w:t>
      </w:r>
      <w:r>
        <w:rPr>
          <w:color w:val="231F20"/>
        </w:rPr>
        <w:t>legge </w:t>
      </w:r>
      <w:r>
        <w:rPr>
          <w:color w:val="231F20"/>
          <w:spacing w:val="-4"/>
        </w:rPr>
        <w:t>dell’ordinamento </w:t>
      </w:r>
      <w:r>
        <w:rPr>
          <w:color w:val="231F20"/>
          <w:spacing w:val="-3"/>
        </w:rPr>
        <w:t>giuridico. Messico </w:t>
      </w:r>
      <w:r>
        <w:rPr>
          <w:color w:val="231F20"/>
        </w:rPr>
        <w:t>era in </w:t>
      </w:r>
      <w:r>
        <w:rPr>
          <w:color w:val="231F20"/>
          <w:spacing w:val="-4"/>
        </w:rPr>
        <w:t>cerca </w:t>
      </w:r>
      <w:r>
        <w:rPr>
          <w:color w:val="231F20"/>
        </w:rPr>
        <w:t>di </w:t>
      </w:r>
      <w:r>
        <w:rPr>
          <w:color w:val="231F20"/>
          <w:spacing w:val="-3"/>
        </w:rPr>
        <w:t>quell’ideale costituzionale, </w:t>
      </w:r>
      <w:r>
        <w:rPr>
          <w:color w:val="231F20"/>
        </w:rPr>
        <w:t>ma</w:t>
      </w:r>
      <w:r>
        <w:rPr>
          <w:color w:val="231F20"/>
          <w:spacing w:val="-15"/>
        </w:rPr>
        <w:t> </w:t>
      </w:r>
      <w:r>
        <w:rPr>
          <w:color w:val="231F20"/>
        </w:rPr>
        <w:t>con</w:t>
      </w:r>
      <w:r>
        <w:rPr>
          <w:color w:val="231F20"/>
          <w:spacing w:val="-15"/>
        </w:rPr>
        <w:t> </w:t>
      </w:r>
      <w:r>
        <w:rPr>
          <w:color w:val="231F20"/>
          <w:spacing w:val="-3"/>
        </w:rPr>
        <w:t>l’apparizione</w:t>
      </w:r>
      <w:r>
        <w:rPr>
          <w:color w:val="231F20"/>
          <w:spacing w:val="-15"/>
        </w:rPr>
        <w:t> </w:t>
      </w:r>
      <w:r>
        <w:rPr>
          <w:color w:val="231F20"/>
          <w:spacing w:val="-3"/>
        </w:rPr>
        <w:t>della</w:t>
      </w:r>
      <w:r>
        <w:rPr>
          <w:color w:val="231F20"/>
          <w:spacing w:val="-15"/>
        </w:rPr>
        <w:t> </w:t>
      </w:r>
      <w:r>
        <w:rPr>
          <w:color w:val="231F20"/>
          <w:spacing w:val="-3"/>
        </w:rPr>
        <w:t>criminalità</w:t>
      </w:r>
      <w:r>
        <w:rPr>
          <w:color w:val="231F20"/>
          <w:spacing w:val="-15"/>
        </w:rPr>
        <w:t> </w:t>
      </w:r>
      <w:r>
        <w:rPr>
          <w:color w:val="231F20"/>
          <w:spacing w:val="-3"/>
        </w:rPr>
        <w:t>organizzata,</w:t>
      </w:r>
      <w:r>
        <w:rPr>
          <w:color w:val="231F20"/>
          <w:spacing w:val="-15"/>
        </w:rPr>
        <w:t> </w:t>
      </w:r>
      <w:r>
        <w:rPr>
          <w:color w:val="231F20"/>
        </w:rPr>
        <w:t>—in</w:t>
      </w:r>
      <w:r>
        <w:rPr>
          <w:color w:val="231F20"/>
          <w:spacing w:val="-15"/>
        </w:rPr>
        <w:t> </w:t>
      </w:r>
      <w:r>
        <w:rPr>
          <w:color w:val="231F20"/>
        </w:rPr>
        <w:t>più</w:t>
      </w:r>
      <w:r>
        <w:rPr>
          <w:color w:val="231F20"/>
          <w:spacing w:val="-15"/>
        </w:rPr>
        <w:t> </w:t>
      </w:r>
      <w:r>
        <w:rPr>
          <w:color w:val="231F20"/>
        </w:rPr>
        <w:t>la</w:t>
      </w:r>
      <w:r>
        <w:rPr>
          <w:color w:val="231F20"/>
          <w:spacing w:val="-15"/>
        </w:rPr>
        <w:t> </w:t>
      </w:r>
      <w:r>
        <w:rPr>
          <w:color w:val="231F20"/>
          <w:spacing w:val="-3"/>
        </w:rPr>
        <w:t>fragilità</w:t>
      </w:r>
      <w:r>
        <w:rPr>
          <w:color w:val="231F20"/>
          <w:spacing w:val="-15"/>
        </w:rPr>
        <w:t> </w:t>
      </w:r>
      <w:r>
        <w:rPr>
          <w:color w:val="231F20"/>
        </w:rPr>
        <w:t>di</w:t>
      </w:r>
      <w:r>
        <w:rPr>
          <w:color w:val="231F20"/>
          <w:spacing w:val="-15"/>
        </w:rPr>
        <w:t> </w:t>
      </w:r>
      <w:r>
        <w:rPr>
          <w:color w:val="231F20"/>
          <w:spacing w:val="-3"/>
        </w:rPr>
        <w:t>molte </w:t>
      </w:r>
      <w:r>
        <w:rPr>
          <w:color w:val="231F20"/>
        </w:rPr>
        <w:t>istituzioni— diventò necessario creare un </w:t>
      </w:r>
      <w:r>
        <w:rPr>
          <w:color w:val="231F20"/>
          <w:sz w:val="18"/>
        </w:rPr>
        <w:t>DPN </w:t>
      </w:r>
      <w:r>
        <w:rPr>
          <w:color w:val="231F20"/>
        </w:rPr>
        <w:t>che si esprime in detrimento delle garanzie individuali e</w:t>
      </w:r>
      <w:r>
        <w:rPr>
          <w:color w:val="231F20"/>
          <w:spacing w:val="22"/>
        </w:rPr>
        <w:t> </w:t>
      </w:r>
      <w:r>
        <w:rPr>
          <w:color w:val="231F20"/>
        </w:rPr>
        <w:t>processuali:</w:t>
      </w:r>
    </w:p>
    <w:p>
      <w:pPr>
        <w:pStyle w:val="BodyText"/>
        <w:spacing w:before="8"/>
        <w:rPr>
          <w:sz w:val="22"/>
        </w:rPr>
      </w:pPr>
    </w:p>
    <w:p>
      <w:pPr>
        <w:spacing w:line="220" w:lineRule="exact" w:before="0"/>
        <w:ind w:left="1521" w:right="115" w:firstLine="0"/>
        <w:jc w:val="both"/>
        <w:rPr>
          <w:sz w:val="19"/>
        </w:rPr>
      </w:pPr>
      <w:r>
        <w:rPr>
          <w:color w:val="231F20"/>
          <w:w w:val="105"/>
          <w:sz w:val="19"/>
        </w:rPr>
        <w:t>La</w:t>
      </w:r>
      <w:r>
        <w:rPr>
          <w:color w:val="231F20"/>
          <w:spacing w:val="-49"/>
          <w:w w:val="105"/>
          <w:sz w:val="19"/>
        </w:rPr>
        <w:t> </w:t>
      </w:r>
      <w:r>
        <w:rPr>
          <w:color w:val="231F20"/>
          <w:w w:val="105"/>
          <w:sz w:val="19"/>
        </w:rPr>
        <w:t>riforma</w:t>
      </w:r>
      <w:r>
        <w:rPr>
          <w:color w:val="231F20"/>
          <w:spacing w:val="-49"/>
          <w:w w:val="105"/>
          <w:sz w:val="19"/>
        </w:rPr>
        <w:t> </w:t>
      </w:r>
      <w:r>
        <w:rPr>
          <w:color w:val="231F20"/>
          <w:w w:val="105"/>
          <w:sz w:val="19"/>
        </w:rPr>
        <w:t>costituzionale</w:t>
      </w:r>
      <w:r>
        <w:rPr>
          <w:color w:val="231F20"/>
          <w:spacing w:val="-49"/>
          <w:w w:val="105"/>
          <w:sz w:val="19"/>
        </w:rPr>
        <w:t> </w:t>
      </w:r>
      <w:r>
        <w:rPr>
          <w:color w:val="231F20"/>
          <w:w w:val="105"/>
          <w:sz w:val="19"/>
        </w:rPr>
        <w:t>altera</w:t>
      </w:r>
      <w:r>
        <w:rPr>
          <w:color w:val="231F20"/>
          <w:spacing w:val="-49"/>
          <w:w w:val="105"/>
          <w:sz w:val="19"/>
        </w:rPr>
        <w:t> </w:t>
      </w:r>
      <w:r>
        <w:rPr>
          <w:color w:val="231F20"/>
          <w:w w:val="105"/>
          <w:sz w:val="19"/>
        </w:rPr>
        <w:t>la</w:t>
      </w:r>
      <w:r>
        <w:rPr>
          <w:color w:val="231F20"/>
          <w:spacing w:val="-49"/>
          <w:w w:val="105"/>
          <w:sz w:val="19"/>
        </w:rPr>
        <w:t> </w:t>
      </w:r>
      <w:r>
        <w:rPr>
          <w:color w:val="231F20"/>
          <w:w w:val="105"/>
          <w:sz w:val="19"/>
        </w:rPr>
        <w:t>rotta</w:t>
      </w:r>
      <w:r>
        <w:rPr>
          <w:color w:val="231F20"/>
          <w:spacing w:val="-49"/>
          <w:w w:val="105"/>
          <w:sz w:val="19"/>
        </w:rPr>
        <w:t> </w:t>
      </w:r>
      <w:r>
        <w:rPr>
          <w:color w:val="231F20"/>
          <w:w w:val="105"/>
          <w:sz w:val="19"/>
        </w:rPr>
        <w:t>e</w:t>
      </w:r>
      <w:r>
        <w:rPr>
          <w:color w:val="231F20"/>
          <w:spacing w:val="-49"/>
          <w:w w:val="105"/>
          <w:sz w:val="19"/>
        </w:rPr>
        <w:t> </w:t>
      </w:r>
      <w:r>
        <w:rPr>
          <w:color w:val="231F20"/>
          <w:w w:val="105"/>
          <w:sz w:val="19"/>
        </w:rPr>
        <w:t>incorpora</w:t>
      </w:r>
      <w:r>
        <w:rPr>
          <w:color w:val="231F20"/>
          <w:spacing w:val="-49"/>
          <w:w w:val="105"/>
          <w:sz w:val="19"/>
        </w:rPr>
        <w:t> </w:t>
      </w:r>
      <w:r>
        <w:rPr>
          <w:color w:val="231F20"/>
          <w:w w:val="105"/>
          <w:sz w:val="19"/>
        </w:rPr>
        <w:t>due</w:t>
      </w:r>
      <w:r>
        <w:rPr>
          <w:color w:val="231F20"/>
          <w:spacing w:val="-49"/>
          <w:w w:val="105"/>
          <w:sz w:val="19"/>
        </w:rPr>
        <w:t> </w:t>
      </w:r>
      <w:r>
        <w:rPr>
          <w:color w:val="231F20"/>
          <w:w w:val="105"/>
          <w:sz w:val="19"/>
        </w:rPr>
        <w:t>sistemi:</w:t>
      </w:r>
      <w:r>
        <w:rPr>
          <w:color w:val="231F20"/>
          <w:spacing w:val="-49"/>
          <w:w w:val="105"/>
          <w:sz w:val="19"/>
        </w:rPr>
        <w:t> </w:t>
      </w:r>
      <w:r>
        <w:rPr>
          <w:color w:val="231F20"/>
          <w:w w:val="105"/>
          <w:sz w:val="19"/>
        </w:rPr>
        <w:t>uno di</w:t>
      </w:r>
      <w:r>
        <w:rPr>
          <w:color w:val="231F20"/>
          <w:spacing w:val="-44"/>
          <w:w w:val="105"/>
          <w:sz w:val="19"/>
        </w:rPr>
        <w:t> </w:t>
      </w:r>
      <w:r>
        <w:rPr>
          <w:color w:val="231F20"/>
          <w:spacing w:val="-3"/>
          <w:w w:val="105"/>
          <w:sz w:val="19"/>
        </w:rPr>
        <w:t>carattere</w:t>
      </w:r>
      <w:r>
        <w:rPr>
          <w:color w:val="231F20"/>
          <w:spacing w:val="-44"/>
          <w:w w:val="105"/>
          <w:sz w:val="19"/>
        </w:rPr>
        <w:t> </w:t>
      </w:r>
      <w:r>
        <w:rPr>
          <w:color w:val="231F20"/>
          <w:spacing w:val="-3"/>
          <w:w w:val="105"/>
          <w:sz w:val="19"/>
        </w:rPr>
        <w:t>presuntivamente</w:t>
      </w:r>
      <w:r>
        <w:rPr>
          <w:color w:val="231F20"/>
          <w:spacing w:val="-44"/>
          <w:w w:val="105"/>
          <w:sz w:val="19"/>
        </w:rPr>
        <w:t> </w:t>
      </w:r>
      <w:r>
        <w:rPr>
          <w:color w:val="231F20"/>
          <w:spacing w:val="-3"/>
          <w:w w:val="105"/>
          <w:sz w:val="19"/>
        </w:rPr>
        <w:t>ordinario,</w:t>
      </w:r>
      <w:r>
        <w:rPr>
          <w:color w:val="231F20"/>
          <w:spacing w:val="-44"/>
          <w:w w:val="105"/>
          <w:sz w:val="19"/>
        </w:rPr>
        <w:t> </w:t>
      </w:r>
      <w:r>
        <w:rPr>
          <w:color w:val="231F20"/>
          <w:w w:val="105"/>
          <w:sz w:val="19"/>
        </w:rPr>
        <w:t>con</w:t>
      </w:r>
      <w:r>
        <w:rPr>
          <w:color w:val="231F20"/>
          <w:spacing w:val="-44"/>
          <w:w w:val="105"/>
          <w:sz w:val="19"/>
        </w:rPr>
        <w:t> </w:t>
      </w:r>
      <w:r>
        <w:rPr>
          <w:color w:val="231F20"/>
          <w:spacing w:val="-3"/>
          <w:w w:val="105"/>
          <w:sz w:val="19"/>
        </w:rPr>
        <w:t>ampi</w:t>
      </w:r>
      <w:r>
        <w:rPr>
          <w:color w:val="231F20"/>
          <w:spacing w:val="-44"/>
          <w:w w:val="105"/>
          <w:sz w:val="19"/>
        </w:rPr>
        <w:t> </w:t>
      </w:r>
      <w:r>
        <w:rPr>
          <w:color w:val="231F20"/>
          <w:spacing w:val="-3"/>
          <w:w w:val="105"/>
          <w:sz w:val="19"/>
        </w:rPr>
        <w:t>diritti</w:t>
      </w:r>
      <w:r>
        <w:rPr>
          <w:color w:val="231F20"/>
          <w:spacing w:val="-44"/>
          <w:w w:val="105"/>
          <w:sz w:val="19"/>
        </w:rPr>
        <w:t> </w:t>
      </w:r>
      <w:r>
        <w:rPr>
          <w:color w:val="231F20"/>
          <w:w w:val="105"/>
          <w:sz w:val="19"/>
        </w:rPr>
        <w:t>e</w:t>
      </w:r>
      <w:r>
        <w:rPr>
          <w:color w:val="231F20"/>
          <w:spacing w:val="-44"/>
          <w:w w:val="105"/>
          <w:sz w:val="19"/>
        </w:rPr>
        <w:t> </w:t>
      </w:r>
      <w:r>
        <w:rPr>
          <w:color w:val="231F20"/>
          <w:spacing w:val="-3"/>
          <w:w w:val="105"/>
          <w:sz w:val="19"/>
        </w:rPr>
        <w:t>garanzie;</w:t>
      </w:r>
      <w:r>
        <w:rPr>
          <w:color w:val="231F20"/>
          <w:spacing w:val="-44"/>
          <w:w w:val="105"/>
          <w:sz w:val="19"/>
        </w:rPr>
        <w:t> </w:t>
      </w:r>
      <w:r>
        <w:rPr>
          <w:color w:val="231F20"/>
          <w:w w:val="105"/>
          <w:sz w:val="19"/>
        </w:rPr>
        <w:t>e un’altro</w:t>
      </w:r>
      <w:r>
        <w:rPr>
          <w:color w:val="231F20"/>
          <w:spacing w:val="-50"/>
          <w:w w:val="105"/>
          <w:sz w:val="19"/>
        </w:rPr>
        <w:t> </w:t>
      </w:r>
      <w:r>
        <w:rPr>
          <w:color w:val="231F20"/>
          <w:w w:val="105"/>
          <w:sz w:val="19"/>
        </w:rPr>
        <w:t>di</w:t>
      </w:r>
      <w:r>
        <w:rPr>
          <w:color w:val="231F20"/>
          <w:spacing w:val="-50"/>
          <w:w w:val="105"/>
          <w:sz w:val="19"/>
        </w:rPr>
        <w:t> </w:t>
      </w:r>
      <w:r>
        <w:rPr>
          <w:color w:val="231F20"/>
          <w:w w:val="105"/>
          <w:sz w:val="19"/>
        </w:rPr>
        <w:t>natura</w:t>
      </w:r>
      <w:r>
        <w:rPr>
          <w:color w:val="231F20"/>
          <w:spacing w:val="-50"/>
          <w:w w:val="105"/>
          <w:sz w:val="19"/>
        </w:rPr>
        <w:t> </w:t>
      </w:r>
      <w:r>
        <w:rPr>
          <w:color w:val="231F20"/>
          <w:w w:val="105"/>
          <w:sz w:val="19"/>
        </w:rPr>
        <w:t>aparentemente</w:t>
      </w:r>
      <w:r>
        <w:rPr>
          <w:color w:val="231F20"/>
          <w:spacing w:val="-50"/>
          <w:w w:val="105"/>
          <w:sz w:val="19"/>
        </w:rPr>
        <w:t> </w:t>
      </w:r>
      <w:r>
        <w:rPr>
          <w:color w:val="231F20"/>
          <w:w w:val="105"/>
          <w:sz w:val="19"/>
        </w:rPr>
        <w:t>eccezionale,</w:t>
      </w:r>
      <w:r>
        <w:rPr>
          <w:color w:val="231F20"/>
          <w:spacing w:val="-50"/>
          <w:w w:val="105"/>
          <w:sz w:val="19"/>
        </w:rPr>
        <w:t> </w:t>
      </w:r>
      <w:r>
        <w:rPr>
          <w:color w:val="231F20"/>
          <w:w w:val="105"/>
          <w:sz w:val="19"/>
        </w:rPr>
        <w:t>con</w:t>
      </w:r>
      <w:r>
        <w:rPr>
          <w:color w:val="231F20"/>
          <w:spacing w:val="-50"/>
          <w:w w:val="105"/>
          <w:sz w:val="19"/>
        </w:rPr>
        <w:t> </w:t>
      </w:r>
      <w:r>
        <w:rPr>
          <w:color w:val="231F20"/>
          <w:w w:val="105"/>
          <w:sz w:val="19"/>
        </w:rPr>
        <w:t>diritti</w:t>
      </w:r>
      <w:r>
        <w:rPr>
          <w:color w:val="231F20"/>
          <w:spacing w:val="-50"/>
          <w:w w:val="105"/>
          <w:sz w:val="19"/>
        </w:rPr>
        <w:t> </w:t>
      </w:r>
      <w:r>
        <w:rPr>
          <w:color w:val="231F20"/>
          <w:w w:val="105"/>
          <w:sz w:val="19"/>
        </w:rPr>
        <w:t>e</w:t>
      </w:r>
      <w:r>
        <w:rPr>
          <w:color w:val="231F20"/>
          <w:spacing w:val="-50"/>
          <w:w w:val="105"/>
          <w:sz w:val="19"/>
        </w:rPr>
        <w:t> </w:t>
      </w:r>
      <w:r>
        <w:rPr>
          <w:color w:val="231F20"/>
          <w:w w:val="105"/>
          <w:sz w:val="19"/>
        </w:rPr>
        <w:t>garanzie ridotti</w:t>
      </w:r>
      <w:r>
        <w:rPr>
          <w:color w:val="231F20"/>
          <w:spacing w:val="-46"/>
          <w:w w:val="105"/>
          <w:sz w:val="19"/>
        </w:rPr>
        <w:t> </w:t>
      </w:r>
      <w:r>
        <w:rPr>
          <w:color w:val="231F20"/>
          <w:w w:val="105"/>
          <w:sz w:val="19"/>
        </w:rPr>
        <w:t>o</w:t>
      </w:r>
      <w:r>
        <w:rPr>
          <w:color w:val="231F20"/>
          <w:spacing w:val="-46"/>
          <w:w w:val="105"/>
          <w:sz w:val="19"/>
        </w:rPr>
        <w:t> </w:t>
      </w:r>
      <w:r>
        <w:rPr>
          <w:color w:val="231F20"/>
          <w:w w:val="105"/>
          <w:sz w:val="19"/>
        </w:rPr>
        <w:t>tagliati,</w:t>
      </w:r>
      <w:r>
        <w:rPr>
          <w:color w:val="231F20"/>
          <w:spacing w:val="-46"/>
          <w:w w:val="105"/>
          <w:sz w:val="19"/>
        </w:rPr>
        <w:t> </w:t>
      </w:r>
      <w:r>
        <w:rPr>
          <w:color w:val="231F20"/>
          <w:w w:val="105"/>
          <w:sz w:val="19"/>
        </w:rPr>
        <w:t>applicabile</w:t>
      </w:r>
      <w:r>
        <w:rPr>
          <w:color w:val="231F20"/>
          <w:spacing w:val="-46"/>
          <w:w w:val="105"/>
          <w:sz w:val="19"/>
        </w:rPr>
        <w:t> </w:t>
      </w:r>
      <w:r>
        <w:rPr>
          <w:color w:val="231F20"/>
          <w:w w:val="105"/>
          <w:sz w:val="19"/>
        </w:rPr>
        <w:t>alla</w:t>
      </w:r>
      <w:r>
        <w:rPr>
          <w:color w:val="231F20"/>
          <w:spacing w:val="-46"/>
          <w:w w:val="105"/>
          <w:sz w:val="19"/>
        </w:rPr>
        <w:t> </w:t>
      </w:r>
      <w:r>
        <w:rPr>
          <w:color w:val="231F20"/>
          <w:w w:val="105"/>
          <w:sz w:val="19"/>
        </w:rPr>
        <w:t>criminalità</w:t>
      </w:r>
      <w:r>
        <w:rPr>
          <w:color w:val="231F20"/>
          <w:spacing w:val="-46"/>
          <w:w w:val="105"/>
          <w:sz w:val="19"/>
        </w:rPr>
        <w:t> </w:t>
      </w:r>
      <w:r>
        <w:rPr>
          <w:color w:val="231F20"/>
          <w:spacing w:val="-3"/>
          <w:w w:val="105"/>
          <w:sz w:val="19"/>
        </w:rPr>
        <w:t>organizzata.</w:t>
      </w:r>
      <w:r>
        <w:rPr>
          <w:color w:val="231F20"/>
          <w:spacing w:val="-46"/>
          <w:w w:val="105"/>
          <w:sz w:val="19"/>
        </w:rPr>
        <w:t> </w:t>
      </w:r>
      <w:r>
        <w:rPr>
          <w:color w:val="231F20"/>
          <w:w w:val="105"/>
          <w:sz w:val="19"/>
        </w:rPr>
        <w:t>Con</w:t>
      </w:r>
      <w:r>
        <w:rPr>
          <w:color w:val="231F20"/>
          <w:spacing w:val="-46"/>
          <w:w w:val="105"/>
          <w:sz w:val="19"/>
        </w:rPr>
        <w:t> </w:t>
      </w:r>
      <w:r>
        <w:rPr>
          <w:color w:val="231F20"/>
          <w:spacing w:val="-2"/>
          <w:w w:val="105"/>
          <w:sz w:val="19"/>
        </w:rPr>
        <w:t>questo </w:t>
      </w:r>
      <w:r>
        <w:rPr>
          <w:color w:val="231F20"/>
          <w:w w:val="105"/>
          <w:sz w:val="19"/>
        </w:rPr>
        <w:t>si</w:t>
      </w:r>
      <w:r>
        <w:rPr>
          <w:color w:val="231F20"/>
          <w:spacing w:val="-15"/>
          <w:w w:val="105"/>
          <w:sz w:val="19"/>
        </w:rPr>
        <w:t> </w:t>
      </w:r>
      <w:r>
        <w:rPr>
          <w:color w:val="231F20"/>
          <w:w w:val="105"/>
          <w:sz w:val="19"/>
        </w:rPr>
        <w:t>“costituzionalizza”</w:t>
      </w:r>
      <w:r>
        <w:rPr>
          <w:color w:val="231F20"/>
          <w:spacing w:val="-15"/>
          <w:w w:val="105"/>
          <w:sz w:val="19"/>
        </w:rPr>
        <w:t> </w:t>
      </w:r>
      <w:r>
        <w:rPr>
          <w:color w:val="231F20"/>
          <w:w w:val="105"/>
          <w:sz w:val="19"/>
        </w:rPr>
        <w:t>il</w:t>
      </w:r>
      <w:r>
        <w:rPr>
          <w:color w:val="231F20"/>
          <w:spacing w:val="-15"/>
          <w:w w:val="105"/>
          <w:sz w:val="19"/>
        </w:rPr>
        <w:t> </w:t>
      </w:r>
      <w:r>
        <w:rPr>
          <w:color w:val="231F20"/>
          <w:w w:val="105"/>
          <w:sz w:val="19"/>
        </w:rPr>
        <w:t>processo</w:t>
      </w:r>
      <w:r>
        <w:rPr>
          <w:color w:val="231F20"/>
          <w:spacing w:val="-15"/>
          <w:w w:val="105"/>
          <w:sz w:val="19"/>
        </w:rPr>
        <w:t> </w:t>
      </w:r>
      <w:r>
        <w:rPr>
          <w:color w:val="231F20"/>
          <w:w w:val="105"/>
          <w:sz w:val="19"/>
        </w:rPr>
        <w:t>“sgarante”</w:t>
      </w:r>
      <w:r>
        <w:rPr>
          <w:color w:val="231F20"/>
          <w:spacing w:val="-15"/>
          <w:w w:val="105"/>
          <w:sz w:val="19"/>
        </w:rPr>
        <w:t> </w:t>
      </w:r>
      <w:r>
        <w:rPr>
          <w:color w:val="231F20"/>
          <w:w w:val="105"/>
          <w:sz w:val="19"/>
        </w:rPr>
        <w:t>iniziato</w:t>
      </w:r>
      <w:r>
        <w:rPr>
          <w:color w:val="231F20"/>
          <w:spacing w:val="-15"/>
          <w:w w:val="105"/>
          <w:sz w:val="19"/>
        </w:rPr>
        <w:t> </w:t>
      </w:r>
      <w:r>
        <w:rPr>
          <w:color w:val="231F20"/>
          <w:w w:val="105"/>
          <w:sz w:val="19"/>
        </w:rPr>
        <w:t>nel</w:t>
      </w:r>
      <w:r>
        <w:rPr>
          <w:color w:val="231F20"/>
          <w:spacing w:val="-15"/>
          <w:w w:val="105"/>
          <w:sz w:val="19"/>
        </w:rPr>
        <w:t> </w:t>
      </w:r>
      <w:r>
        <w:rPr>
          <w:color w:val="231F20"/>
          <w:w w:val="105"/>
          <w:sz w:val="19"/>
        </w:rPr>
        <w:t>1996</w:t>
      </w:r>
      <w:r>
        <w:rPr>
          <w:color w:val="231F20"/>
          <w:spacing w:val="-15"/>
          <w:w w:val="105"/>
          <w:sz w:val="19"/>
        </w:rPr>
        <w:t> </w:t>
      </w:r>
      <w:r>
        <w:rPr>
          <w:color w:val="231F20"/>
          <w:w w:val="105"/>
          <w:sz w:val="19"/>
        </w:rPr>
        <w:t>con la</w:t>
      </w:r>
      <w:r>
        <w:rPr>
          <w:color w:val="231F20"/>
          <w:spacing w:val="-18"/>
          <w:w w:val="105"/>
          <w:sz w:val="19"/>
        </w:rPr>
        <w:t> </w:t>
      </w:r>
      <w:r>
        <w:rPr>
          <w:color w:val="231F20"/>
          <w:w w:val="105"/>
          <w:sz w:val="19"/>
        </w:rPr>
        <w:t>deplorevole</w:t>
      </w:r>
      <w:r>
        <w:rPr>
          <w:color w:val="231F20"/>
          <w:spacing w:val="-18"/>
          <w:w w:val="105"/>
          <w:sz w:val="19"/>
        </w:rPr>
        <w:t> </w:t>
      </w:r>
      <w:r>
        <w:rPr>
          <w:color w:val="231F20"/>
          <w:w w:val="105"/>
          <w:sz w:val="19"/>
        </w:rPr>
        <w:t>Legge</w:t>
      </w:r>
      <w:r>
        <w:rPr>
          <w:color w:val="231F20"/>
          <w:spacing w:val="-18"/>
          <w:w w:val="105"/>
          <w:sz w:val="19"/>
        </w:rPr>
        <w:t> </w:t>
      </w:r>
      <w:r>
        <w:rPr>
          <w:color w:val="231F20"/>
          <w:w w:val="105"/>
          <w:sz w:val="19"/>
        </w:rPr>
        <w:t>Federale</w:t>
      </w:r>
      <w:r>
        <w:rPr>
          <w:color w:val="231F20"/>
          <w:spacing w:val="-18"/>
          <w:w w:val="105"/>
          <w:sz w:val="19"/>
        </w:rPr>
        <w:t> </w:t>
      </w:r>
      <w:r>
        <w:rPr>
          <w:color w:val="231F20"/>
          <w:w w:val="105"/>
          <w:sz w:val="19"/>
        </w:rPr>
        <w:t>contro</w:t>
      </w:r>
      <w:r>
        <w:rPr>
          <w:color w:val="231F20"/>
          <w:spacing w:val="-18"/>
          <w:w w:val="105"/>
          <w:sz w:val="19"/>
        </w:rPr>
        <w:t> </w:t>
      </w:r>
      <w:r>
        <w:rPr>
          <w:color w:val="231F20"/>
          <w:w w:val="105"/>
          <w:sz w:val="19"/>
        </w:rPr>
        <w:t>la</w:t>
      </w:r>
      <w:r>
        <w:rPr>
          <w:color w:val="231F20"/>
          <w:spacing w:val="-18"/>
          <w:w w:val="105"/>
          <w:sz w:val="19"/>
        </w:rPr>
        <w:t> </w:t>
      </w:r>
      <w:r>
        <w:rPr>
          <w:color w:val="231F20"/>
          <w:w w:val="105"/>
          <w:sz w:val="19"/>
        </w:rPr>
        <w:t>Criminalità</w:t>
      </w:r>
      <w:r>
        <w:rPr>
          <w:color w:val="231F20"/>
          <w:spacing w:val="-18"/>
          <w:w w:val="105"/>
          <w:sz w:val="19"/>
        </w:rPr>
        <w:t> </w:t>
      </w:r>
      <w:r>
        <w:rPr>
          <w:color w:val="231F20"/>
          <w:w w:val="105"/>
          <w:sz w:val="19"/>
        </w:rPr>
        <w:t>Organizzata, che</w:t>
      </w:r>
      <w:r>
        <w:rPr>
          <w:color w:val="231F20"/>
          <w:spacing w:val="-28"/>
          <w:w w:val="105"/>
          <w:sz w:val="19"/>
        </w:rPr>
        <w:t> </w:t>
      </w:r>
      <w:r>
        <w:rPr>
          <w:color w:val="231F20"/>
          <w:w w:val="105"/>
          <w:sz w:val="19"/>
        </w:rPr>
        <w:t>infettò</w:t>
      </w:r>
      <w:r>
        <w:rPr>
          <w:color w:val="231F20"/>
          <w:spacing w:val="-28"/>
          <w:w w:val="105"/>
          <w:sz w:val="19"/>
        </w:rPr>
        <w:t> </w:t>
      </w:r>
      <w:r>
        <w:rPr>
          <w:color w:val="231F20"/>
          <w:w w:val="105"/>
          <w:sz w:val="19"/>
        </w:rPr>
        <w:t>il</w:t>
      </w:r>
      <w:r>
        <w:rPr>
          <w:color w:val="231F20"/>
          <w:spacing w:val="-28"/>
          <w:w w:val="105"/>
          <w:sz w:val="19"/>
        </w:rPr>
        <w:t> </w:t>
      </w:r>
      <w:r>
        <w:rPr>
          <w:color w:val="231F20"/>
          <w:w w:val="105"/>
          <w:sz w:val="19"/>
        </w:rPr>
        <w:t>procedimento</w:t>
      </w:r>
      <w:r>
        <w:rPr>
          <w:color w:val="231F20"/>
          <w:spacing w:val="-28"/>
          <w:w w:val="105"/>
          <w:sz w:val="19"/>
        </w:rPr>
        <w:t> </w:t>
      </w:r>
      <w:r>
        <w:rPr>
          <w:color w:val="231F20"/>
          <w:w w:val="105"/>
          <w:sz w:val="19"/>
        </w:rPr>
        <w:t>penale.</w:t>
      </w:r>
      <w:r>
        <w:rPr>
          <w:color w:val="231F20"/>
          <w:spacing w:val="-28"/>
          <w:w w:val="105"/>
          <w:sz w:val="19"/>
        </w:rPr>
        <w:t> </w:t>
      </w:r>
      <w:r>
        <w:rPr>
          <w:color w:val="231F20"/>
          <w:w w:val="105"/>
          <w:sz w:val="19"/>
        </w:rPr>
        <w:t>Nel</w:t>
      </w:r>
      <w:r>
        <w:rPr>
          <w:color w:val="231F20"/>
          <w:spacing w:val="-28"/>
          <w:w w:val="105"/>
          <w:sz w:val="19"/>
        </w:rPr>
        <w:t> </w:t>
      </w:r>
      <w:r>
        <w:rPr>
          <w:color w:val="231F20"/>
          <w:w w:val="105"/>
          <w:sz w:val="19"/>
        </w:rPr>
        <w:t>1996</w:t>
      </w:r>
      <w:r>
        <w:rPr>
          <w:color w:val="231F20"/>
          <w:spacing w:val="-28"/>
          <w:w w:val="105"/>
          <w:sz w:val="19"/>
        </w:rPr>
        <w:t> </w:t>
      </w:r>
      <w:r>
        <w:rPr>
          <w:color w:val="231F20"/>
          <w:w w:val="105"/>
          <w:sz w:val="19"/>
        </w:rPr>
        <w:t>avevamo</w:t>
      </w:r>
      <w:r>
        <w:rPr>
          <w:color w:val="231F20"/>
          <w:spacing w:val="-28"/>
          <w:w w:val="105"/>
          <w:sz w:val="19"/>
        </w:rPr>
        <w:t> </w:t>
      </w:r>
      <w:r>
        <w:rPr>
          <w:color w:val="231F20"/>
          <w:w w:val="105"/>
          <w:sz w:val="19"/>
        </w:rPr>
        <w:t>davanti</w:t>
      </w:r>
      <w:r>
        <w:rPr>
          <w:color w:val="231F20"/>
          <w:spacing w:val="-28"/>
          <w:w w:val="105"/>
          <w:sz w:val="19"/>
        </w:rPr>
        <w:t> </w:t>
      </w:r>
      <w:r>
        <w:rPr>
          <w:color w:val="231F20"/>
          <w:w w:val="105"/>
          <w:sz w:val="19"/>
        </w:rPr>
        <w:t>un grave</w:t>
      </w:r>
      <w:r>
        <w:rPr>
          <w:color w:val="231F20"/>
          <w:spacing w:val="-24"/>
          <w:w w:val="105"/>
          <w:sz w:val="19"/>
        </w:rPr>
        <w:t> </w:t>
      </w:r>
      <w:r>
        <w:rPr>
          <w:color w:val="231F20"/>
          <w:w w:val="105"/>
          <w:sz w:val="19"/>
        </w:rPr>
        <w:t>problema:</w:t>
      </w:r>
      <w:r>
        <w:rPr>
          <w:color w:val="231F20"/>
          <w:spacing w:val="-24"/>
          <w:w w:val="105"/>
          <w:sz w:val="19"/>
        </w:rPr>
        <w:t> </w:t>
      </w:r>
      <w:r>
        <w:rPr>
          <w:color w:val="231F20"/>
          <w:w w:val="105"/>
          <w:sz w:val="19"/>
        </w:rPr>
        <w:t>la</w:t>
      </w:r>
      <w:r>
        <w:rPr>
          <w:color w:val="231F20"/>
          <w:spacing w:val="-24"/>
          <w:w w:val="105"/>
          <w:sz w:val="19"/>
        </w:rPr>
        <w:t> </w:t>
      </w:r>
      <w:r>
        <w:rPr>
          <w:color w:val="231F20"/>
          <w:w w:val="105"/>
          <w:sz w:val="19"/>
        </w:rPr>
        <w:t>criminalità</w:t>
      </w:r>
      <w:r>
        <w:rPr>
          <w:color w:val="231F20"/>
          <w:spacing w:val="-24"/>
          <w:w w:val="105"/>
          <w:sz w:val="19"/>
        </w:rPr>
        <w:t> </w:t>
      </w:r>
      <w:r>
        <w:rPr>
          <w:color w:val="231F20"/>
          <w:w w:val="105"/>
          <w:sz w:val="19"/>
        </w:rPr>
        <w:t>organizzata.</w:t>
      </w:r>
      <w:r>
        <w:rPr>
          <w:color w:val="231F20"/>
          <w:spacing w:val="-24"/>
          <w:w w:val="105"/>
          <w:sz w:val="19"/>
        </w:rPr>
        <w:t> </w:t>
      </w:r>
      <w:r>
        <w:rPr>
          <w:color w:val="231F20"/>
          <w:w w:val="105"/>
          <w:sz w:val="19"/>
        </w:rPr>
        <w:t>Ora</w:t>
      </w:r>
      <w:r>
        <w:rPr>
          <w:color w:val="231F20"/>
          <w:spacing w:val="-24"/>
          <w:w w:val="105"/>
          <w:sz w:val="19"/>
        </w:rPr>
        <w:t> </w:t>
      </w:r>
      <w:r>
        <w:rPr>
          <w:color w:val="231F20"/>
          <w:w w:val="105"/>
          <w:sz w:val="19"/>
        </w:rPr>
        <w:t>ne</w:t>
      </w:r>
      <w:r>
        <w:rPr>
          <w:color w:val="231F20"/>
          <w:spacing w:val="-24"/>
          <w:w w:val="105"/>
          <w:sz w:val="19"/>
        </w:rPr>
        <w:t> </w:t>
      </w:r>
      <w:r>
        <w:rPr>
          <w:color w:val="231F20"/>
          <w:w w:val="105"/>
          <w:sz w:val="19"/>
        </w:rPr>
        <w:t>abbiamo</w:t>
      </w:r>
      <w:r>
        <w:rPr>
          <w:color w:val="231F20"/>
          <w:spacing w:val="-24"/>
          <w:w w:val="105"/>
          <w:sz w:val="19"/>
        </w:rPr>
        <w:t> </w:t>
      </w:r>
      <w:r>
        <w:rPr>
          <w:color w:val="231F20"/>
          <w:w w:val="105"/>
          <w:sz w:val="19"/>
        </w:rPr>
        <w:t>due: quella</w:t>
      </w:r>
      <w:r>
        <w:rPr>
          <w:color w:val="231F20"/>
          <w:spacing w:val="-27"/>
          <w:w w:val="105"/>
          <w:sz w:val="19"/>
        </w:rPr>
        <w:t> </w:t>
      </w:r>
      <w:r>
        <w:rPr>
          <w:color w:val="231F20"/>
          <w:w w:val="105"/>
          <w:sz w:val="19"/>
        </w:rPr>
        <w:t>criminalità</w:t>
      </w:r>
      <w:r>
        <w:rPr>
          <w:color w:val="231F20"/>
          <w:spacing w:val="-27"/>
          <w:w w:val="105"/>
          <w:sz w:val="19"/>
        </w:rPr>
        <w:t> </w:t>
      </w:r>
      <w:r>
        <w:rPr>
          <w:color w:val="231F20"/>
          <w:w w:val="105"/>
          <w:sz w:val="19"/>
        </w:rPr>
        <w:t>che</w:t>
      </w:r>
      <w:r>
        <w:rPr>
          <w:color w:val="231F20"/>
          <w:spacing w:val="-27"/>
          <w:w w:val="105"/>
          <w:sz w:val="19"/>
        </w:rPr>
        <w:t> </w:t>
      </w:r>
      <w:r>
        <w:rPr>
          <w:color w:val="231F20"/>
          <w:w w:val="105"/>
          <w:sz w:val="19"/>
        </w:rPr>
        <w:t>è</w:t>
      </w:r>
      <w:r>
        <w:rPr>
          <w:color w:val="231F20"/>
          <w:spacing w:val="-27"/>
          <w:w w:val="105"/>
          <w:sz w:val="19"/>
        </w:rPr>
        <w:t> </w:t>
      </w:r>
      <w:r>
        <w:rPr>
          <w:color w:val="231F20"/>
          <w:w w:val="105"/>
          <w:sz w:val="19"/>
        </w:rPr>
        <w:t>cresciuta</w:t>
      </w:r>
      <w:r>
        <w:rPr>
          <w:color w:val="231F20"/>
          <w:spacing w:val="-27"/>
          <w:w w:val="105"/>
          <w:sz w:val="19"/>
        </w:rPr>
        <w:t> </w:t>
      </w:r>
      <w:r>
        <w:rPr>
          <w:color w:val="231F20"/>
          <w:w w:val="105"/>
          <w:sz w:val="19"/>
        </w:rPr>
        <w:t>fino</w:t>
      </w:r>
      <w:r>
        <w:rPr>
          <w:color w:val="231F20"/>
          <w:spacing w:val="-27"/>
          <w:w w:val="105"/>
          <w:sz w:val="19"/>
        </w:rPr>
        <w:t> </w:t>
      </w:r>
      <w:r>
        <w:rPr>
          <w:color w:val="231F20"/>
          <w:w w:val="105"/>
          <w:sz w:val="19"/>
        </w:rPr>
        <w:t>ad</w:t>
      </w:r>
      <w:r>
        <w:rPr>
          <w:color w:val="231F20"/>
          <w:spacing w:val="-27"/>
          <w:w w:val="105"/>
          <w:sz w:val="19"/>
        </w:rPr>
        <w:t> </w:t>
      </w:r>
      <w:r>
        <w:rPr>
          <w:color w:val="231F20"/>
          <w:w w:val="105"/>
          <w:sz w:val="19"/>
        </w:rPr>
        <w:t>estremi</w:t>
      </w:r>
      <w:r>
        <w:rPr>
          <w:color w:val="231F20"/>
          <w:spacing w:val="-27"/>
          <w:w w:val="105"/>
          <w:sz w:val="19"/>
        </w:rPr>
        <w:t> </w:t>
      </w:r>
      <w:r>
        <w:rPr>
          <w:color w:val="231F20"/>
          <w:w w:val="105"/>
          <w:sz w:val="19"/>
        </w:rPr>
        <w:t>insospettati,</w:t>
      </w:r>
      <w:r>
        <w:rPr>
          <w:color w:val="231F20"/>
          <w:spacing w:val="-27"/>
          <w:w w:val="105"/>
          <w:sz w:val="19"/>
        </w:rPr>
        <w:t> </w:t>
      </w:r>
      <w:r>
        <w:rPr>
          <w:color w:val="231F20"/>
          <w:w w:val="105"/>
          <w:sz w:val="19"/>
        </w:rPr>
        <w:t>e</w:t>
      </w:r>
      <w:r>
        <w:rPr>
          <w:color w:val="231F20"/>
          <w:spacing w:val="-27"/>
          <w:w w:val="105"/>
          <w:sz w:val="19"/>
        </w:rPr>
        <w:t> </w:t>
      </w:r>
      <w:r>
        <w:rPr>
          <w:color w:val="231F20"/>
          <w:w w:val="105"/>
          <w:sz w:val="19"/>
        </w:rPr>
        <w:t>la </w:t>
      </w:r>
      <w:r>
        <w:rPr>
          <w:color w:val="231F20"/>
          <w:spacing w:val="-3"/>
          <w:w w:val="105"/>
          <w:sz w:val="19"/>
        </w:rPr>
        <w:t>legislazione</w:t>
      </w:r>
      <w:r>
        <w:rPr>
          <w:color w:val="231F20"/>
          <w:spacing w:val="-42"/>
          <w:w w:val="105"/>
          <w:sz w:val="19"/>
        </w:rPr>
        <w:t> </w:t>
      </w:r>
      <w:r>
        <w:rPr>
          <w:color w:val="231F20"/>
          <w:spacing w:val="-3"/>
          <w:w w:val="105"/>
          <w:sz w:val="19"/>
        </w:rPr>
        <w:t>dettata</w:t>
      </w:r>
      <w:r>
        <w:rPr>
          <w:color w:val="231F20"/>
          <w:spacing w:val="-42"/>
          <w:w w:val="105"/>
          <w:sz w:val="19"/>
        </w:rPr>
        <w:t> </w:t>
      </w:r>
      <w:r>
        <w:rPr>
          <w:color w:val="231F20"/>
          <w:w w:val="105"/>
          <w:sz w:val="19"/>
        </w:rPr>
        <w:t>per</w:t>
      </w:r>
      <w:r>
        <w:rPr>
          <w:color w:val="231F20"/>
          <w:spacing w:val="-42"/>
          <w:w w:val="105"/>
          <w:sz w:val="19"/>
        </w:rPr>
        <w:t> </w:t>
      </w:r>
      <w:r>
        <w:rPr>
          <w:color w:val="231F20"/>
          <w:spacing w:val="-3"/>
          <w:w w:val="105"/>
          <w:sz w:val="19"/>
        </w:rPr>
        <w:t>combatterla.</w:t>
      </w:r>
      <w:r>
        <w:rPr>
          <w:color w:val="231F20"/>
          <w:spacing w:val="-42"/>
          <w:w w:val="105"/>
          <w:sz w:val="19"/>
        </w:rPr>
        <w:t> </w:t>
      </w:r>
      <w:r>
        <w:rPr>
          <w:color w:val="231F20"/>
          <w:w w:val="105"/>
          <w:sz w:val="19"/>
        </w:rPr>
        <w:t>E</w:t>
      </w:r>
      <w:r>
        <w:rPr>
          <w:color w:val="231F20"/>
          <w:spacing w:val="-42"/>
          <w:w w:val="105"/>
          <w:sz w:val="19"/>
        </w:rPr>
        <w:t> </w:t>
      </w:r>
      <w:r>
        <w:rPr>
          <w:color w:val="231F20"/>
          <w:w w:val="105"/>
          <w:sz w:val="19"/>
        </w:rPr>
        <w:t>non</w:t>
      </w:r>
      <w:r>
        <w:rPr>
          <w:color w:val="231F20"/>
          <w:spacing w:val="-42"/>
          <w:w w:val="105"/>
          <w:sz w:val="19"/>
        </w:rPr>
        <w:t> </w:t>
      </w:r>
      <w:r>
        <w:rPr>
          <w:color w:val="231F20"/>
          <w:w w:val="105"/>
          <w:sz w:val="19"/>
        </w:rPr>
        <w:t>si</w:t>
      </w:r>
      <w:r>
        <w:rPr>
          <w:color w:val="231F20"/>
          <w:spacing w:val="-42"/>
          <w:w w:val="105"/>
          <w:sz w:val="19"/>
        </w:rPr>
        <w:t> </w:t>
      </w:r>
      <w:r>
        <w:rPr>
          <w:color w:val="231F20"/>
          <w:spacing w:val="-3"/>
          <w:w w:val="105"/>
          <w:sz w:val="19"/>
        </w:rPr>
        <w:t>tratterà</w:t>
      </w:r>
      <w:r>
        <w:rPr>
          <w:color w:val="231F20"/>
          <w:spacing w:val="-42"/>
          <w:w w:val="105"/>
          <w:sz w:val="19"/>
        </w:rPr>
        <w:t> </w:t>
      </w:r>
      <w:r>
        <w:rPr>
          <w:color w:val="231F20"/>
          <w:w w:val="105"/>
          <w:sz w:val="19"/>
        </w:rPr>
        <w:t>più</w:t>
      </w:r>
      <w:r>
        <w:rPr>
          <w:color w:val="231F20"/>
          <w:spacing w:val="-42"/>
          <w:w w:val="105"/>
          <w:sz w:val="19"/>
        </w:rPr>
        <w:t> </w:t>
      </w:r>
      <w:r>
        <w:rPr>
          <w:color w:val="231F20"/>
          <w:spacing w:val="-3"/>
          <w:w w:val="105"/>
          <w:sz w:val="19"/>
        </w:rPr>
        <w:t>solamente </w:t>
      </w:r>
      <w:r>
        <w:rPr>
          <w:color w:val="231F20"/>
          <w:w w:val="105"/>
          <w:sz w:val="19"/>
        </w:rPr>
        <w:t>di</w:t>
      </w:r>
      <w:r>
        <w:rPr>
          <w:color w:val="231F20"/>
          <w:spacing w:val="-28"/>
          <w:w w:val="105"/>
          <w:sz w:val="19"/>
        </w:rPr>
        <w:t> </w:t>
      </w:r>
      <w:r>
        <w:rPr>
          <w:color w:val="231F20"/>
          <w:w w:val="105"/>
          <w:sz w:val="19"/>
        </w:rPr>
        <w:t>una</w:t>
      </w:r>
      <w:r>
        <w:rPr>
          <w:color w:val="231F20"/>
          <w:spacing w:val="-28"/>
          <w:w w:val="105"/>
          <w:sz w:val="19"/>
        </w:rPr>
        <w:t> </w:t>
      </w:r>
      <w:r>
        <w:rPr>
          <w:color w:val="231F20"/>
          <w:w w:val="105"/>
          <w:sz w:val="19"/>
        </w:rPr>
        <w:t>legge,</w:t>
      </w:r>
      <w:r>
        <w:rPr>
          <w:color w:val="231F20"/>
          <w:spacing w:val="-28"/>
          <w:w w:val="105"/>
          <w:sz w:val="19"/>
        </w:rPr>
        <w:t> </w:t>
      </w:r>
      <w:r>
        <w:rPr>
          <w:color w:val="231F20"/>
          <w:w w:val="105"/>
          <w:sz w:val="19"/>
        </w:rPr>
        <w:t>ma</w:t>
      </w:r>
      <w:r>
        <w:rPr>
          <w:color w:val="231F20"/>
          <w:spacing w:val="-28"/>
          <w:w w:val="105"/>
          <w:sz w:val="19"/>
        </w:rPr>
        <w:t> </w:t>
      </w:r>
      <w:r>
        <w:rPr>
          <w:color w:val="231F20"/>
          <w:w w:val="105"/>
          <w:sz w:val="19"/>
        </w:rPr>
        <w:t>di</w:t>
      </w:r>
      <w:r>
        <w:rPr>
          <w:color w:val="231F20"/>
          <w:spacing w:val="-28"/>
          <w:w w:val="105"/>
          <w:sz w:val="19"/>
        </w:rPr>
        <w:t> </w:t>
      </w:r>
      <w:r>
        <w:rPr>
          <w:color w:val="231F20"/>
          <w:w w:val="105"/>
          <w:sz w:val="19"/>
        </w:rPr>
        <w:t>norme</w:t>
      </w:r>
      <w:r>
        <w:rPr>
          <w:color w:val="231F20"/>
          <w:spacing w:val="-28"/>
          <w:w w:val="105"/>
          <w:sz w:val="19"/>
        </w:rPr>
        <w:t> </w:t>
      </w:r>
      <w:r>
        <w:rPr>
          <w:color w:val="231F20"/>
          <w:w w:val="105"/>
          <w:sz w:val="19"/>
        </w:rPr>
        <w:t>costituzionali,</w:t>
      </w:r>
      <w:r>
        <w:rPr>
          <w:color w:val="231F20"/>
          <w:spacing w:val="-28"/>
          <w:w w:val="105"/>
          <w:sz w:val="19"/>
        </w:rPr>
        <w:t> </w:t>
      </w:r>
      <w:r>
        <w:rPr>
          <w:color w:val="231F20"/>
          <w:w w:val="105"/>
          <w:sz w:val="19"/>
        </w:rPr>
        <w:t>nientedimeno</w:t>
      </w:r>
      <w:r>
        <w:rPr>
          <w:color w:val="231F20"/>
          <w:spacing w:val="-28"/>
          <w:w w:val="105"/>
          <w:sz w:val="19"/>
        </w:rPr>
        <w:t> </w:t>
      </w:r>
      <w:r>
        <w:rPr>
          <w:color w:val="231F20"/>
          <w:w w:val="105"/>
          <w:sz w:val="19"/>
        </w:rPr>
        <w:t>[…]</w:t>
      </w:r>
      <w:r>
        <w:rPr>
          <w:color w:val="231F20"/>
          <w:spacing w:val="-28"/>
          <w:w w:val="105"/>
          <w:sz w:val="19"/>
        </w:rPr>
        <w:t> </w:t>
      </w:r>
      <w:r>
        <w:rPr>
          <w:color w:val="231F20"/>
          <w:w w:val="105"/>
          <w:sz w:val="19"/>
        </w:rPr>
        <w:t>È</w:t>
      </w:r>
      <w:r>
        <w:rPr>
          <w:color w:val="231F20"/>
          <w:spacing w:val="-28"/>
          <w:w w:val="105"/>
          <w:sz w:val="19"/>
        </w:rPr>
        <w:t> </w:t>
      </w:r>
      <w:r>
        <w:rPr>
          <w:color w:val="231F20"/>
          <w:w w:val="105"/>
          <w:sz w:val="19"/>
        </w:rPr>
        <w:t>uno sbaglio</w:t>
      </w:r>
      <w:r>
        <w:rPr>
          <w:color w:val="231F20"/>
          <w:spacing w:val="-24"/>
          <w:w w:val="105"/>
          <w:sz w:val="19"/>
        </w:rPr>
        <w:t> </w:t>
      </w:r>
      <w:r>
        <w:rPr>
          <w:color w:val="231F20"/>
          <w:w w:val="105"/>
          <w:sz w:val="19"/>
        </w:rPr>
        <w:t>smontare</w:t>
      </w:r>
      <w:r>
        <w:rPr>
          <w:color w:val="231F20"/>
          <w:spacing w:val="-24"/>
          <w:w w:val="105"/>
          <w:sz w:val="19"/>
        </w:rPr>
        <w:t> </w:t>
      </w:r>
      <w:r>
        <w:rPr>
          <w:color w:val="231F20"/>
          <w:w w:val="105"/>
          <w:sz w:val="19"/>
        </w:rPr>
        <w:t>lo</w:t>
      </w:r>
      <w:r>
        <w:rPr>
          <w:color w:val="231F20"/>
          <w:spacing w:val="-24"/>
          <w:w w:val="105"/>
          <w:sz w:val="19"/>
        </w:rPr>
        <w:t> </w:t>
      </w:r>
      <w:r>
        <w:rPr>
          <w:color w:val="231F20"/>
          <w:w w:val="105"/>
          <w:sz w:val="19"/>
        </w:rPr>
        <w:t>Stato</w:t>
      </w:r>
      <w:r>
        <w:rPr>
          <w:color w:val="231F20"/>
          <w:spacing w:val="-24"/>
          <w:w w:val="105"/>
          <w:sz w:val="19"/>
        </w:rPr>
        <w:t> </w:t>
      </w:r>
      <w:r>
        <w:rPr>
          <w:color w:val="231F20"/>
          <w:w w:val="105"/>
          <w:sz w:val="19"/>
        </w:rPr>
        <w:t>di</w:t>
      </w:r>
      <w:r>
        <w:rPr>
          <w:color w:val="231F20"/>
          <w:spacing w:val="-24"/>
          <w:w w:val="105"/>
          <w:sz w:val="19"/>
        </w:rPr>
        <w:t> </w:t>
      </w:r>
      <w:r>
        <w:rPr>
          <w:color w:val="231F20"/>
          <w:w w:val="105"/>
          <w:sz w:val="19"/>
        </w:rPr>
        <w:t>Diritto</w:t>
      </w:r>
      <w:r>
        <w:rPr>
          <w:color w:val="231F20"/>
          <w:spacing w:val="-24"/>
          <w:w w:val="105"/>
          <w:sz w:val="19"/>
        </w:rPr>
        <w:t> </w:t>
      </w:r>
      <w:r>
        <w:rPr>
          <w:color w:val="231F20"/>
          <w:w w:val="105"/>
          <w:sz w:val="19"/>
        </w:rPr>
        <w:t>con</w:t>
      </w:r>
      <w:r>
        <w:rPr>
          <w:color w:val="231F20"/>
          <w:spacing w:val="-24"/>
          <w:w w:val="105"/>
          <w:sz w:val="19"/>
        </w:rPr>
        <w:t> </w:t>
      </w:r>
      <w:r>
        <w:rPr>
          <w:color w:val="231F20"/>
          <w:w w:val="105"/>
          <w:sz w:val="19"/>
        </w:rPr>
        <w:t>l’obbietivo</w:t>
      </w:r>
      <w:r>
        <w:rPr>
          <w:color w:val="231F20"/>
          <w:spacing w:val="-24"/>
          <w:w w:val="105"/>
          <w:sz w:val="19"/>
        </w:rPr>
        <w:t> </w:t>
      </w:r>
      <w:r>
        <w:rPr>
          <w:color w:val="231F20"/>
          <w:w w:val="105"/>
          <w:sz w:val="19"/>
        </w:rPr>
        <w:t>di</w:t>
      </w:r>
      <w:r>
        <w:rPr>
          <w:color w:val="231F20"/>
          <w:spacing w:val="-24"/>
          <w:w w:val="105"/>
          <w:sz w:val="19"/>
        </w:rPr>
        <w:t> </w:t>
      </w:r>
      <w:r>
        <w:rPr>
          <w:color w:val="231F20"/>
          <w:w w:val="105"/>
          <w:sz w:val="19"/>
        </w:rPr>
        <w:t>preservarlo. Questo</w:t>
      </w:r>
      <w:r>
        <w:rPr>
          <w:color w:val="231F20"/>
          <w:spacing w:val="-26"/>
          <w:w w:val="105"/>
          <w:sz w:val="19"/>
        </w:rPr>
        <w:t> </w:t>
      </w:r>
      <w:r>
        <w:rPr>
          <w:color w:val="231F20"/>
          <w:w w:val="105"/>
          <w:sz w:val="19"/>
        </w:rPr>
        <w:t>paradosso</w:t>
      </w:r>
      <w:r>
        <w:rPr>
          <w:color w:val="231F20"/>
          <w:spacing w:val="-26"/>
          <w:w w:val="105"/>
          <w:sz w:val="19"/>
        </w:rPr>
        <w:t> </w:t>
      </w:r>
      <w:r>
        <w:rPr>
          <w:color w:val="231F20"/>
          <w:w w:val="105"/>
          <w:sz w:val="19"/>
        </w:rPr>
        <w:t>ha</w:t>
      </w:r>
      <w:r>
        <w:rPr>
          <w:color w:val="231F20"/>
          <w:spacing w:val="-26"/>
          <w:w w:val="105"/>
          <w:sz w:val="19"/>
        </w:rPr>
        <w:t> </w:t>
      </w:r>
      <w:r>
        <w:rPr>
          <w:color w:val="231F20"/>
          <w:w w:val="105"/>
          <w:sz w:val="19"/>
        </w:rPr>
        <w:t>seri</w:t>
      </w:r>
      <w:r>
        <w:rPr>
          <w:color w:val="231F20"/>
          <w:spacing w:val="-26"/>
          <w:w w:val="105"/>
          <w:sz w:val="19"/>
        </w:rPr>
        <w:t> </w:t>
      </w:r>
      <w:r>
        <w:rPr>
          <w:color w:val="231F20"/>
          <w:w w:val="105"/>
          <w:sz w:val="19"/>
        </w:rPr>
        <w:t>pericoli</w:t>
      </w:r>
      <w:r>
        <w:rPr>
          <w:color w:val="231F20"/>
          <w:spacing w:val="-26"/>
          <w:w w:val="105"/>
          <w:sz w:val="19"/>
        </w:rPr>
        <w:t> </w:t>
      </w:r>
      <w:r>
        <w:rPr>
          <w:color w:val="231F20"/>
          <w:w w:val="105"/>
          <w:sz w:val="19"/>
        </w:rPr>
        <w:t>nella</w:t>
      </w:r>
      <w:r>
        <w:rPr>
          <w:color w:val="231F20"/>
          <w:spacing w:val="-26"/>
          <w:w w:val="105"/>
          <w:sz w:val="19"/>
        </w:rPr>
        <w:t> </w:t>
      </w:r>
      <w:r>
        <w:rPr>
          <w:color w:val="231F20"/>
          <w:w w:val="105"/>
          <w:sz w:val="19"/>
        </w:rPr>
        <w:t>propria</w:t>
      </w:r>
      <w:r>
        <w:rPr>
          <w:color w:val="231F20"/>
          <w:spacing w:val="-26"/>
          <w:w w:val="105"/>
          <w:sz w:val="19"/>
        </w:rPr>
        <w:t> </w:t>
      </w:r>
      <w:r>
        <w:rPr>
          <w:color w:val="231F20"/>
          <w:w w:val="105"/>
          <w:sz w:val="19"/>
        </w:rPr>
        <w:t>Legge</w:t>
      </w:r>
      <w:r>
        <w:rPr>
          <w:color w:val="231F20"/>
          <w:spacing w:val="-26"/>
          <w:w w:val="105"/>
          <w:sz w:val="19"/>
        </w:rPr>
        <w:t> </w:t>
      </w:r>
      <w:r>
        <w:rPr>
          <w:color w:val="231F20"/>
          <w:w w:val="105"/>
          <w:sz w:val="19"/>
        </w:rPr>
        <w:t>Suprema</w:t>
      </w:r>
      <w:r>
        <w:rPr>
          <w:color w:val="231F20"/>
          <w:w w:val="105"/>
          <w:position w:val="6"/>
          <w:sz w:val="11"/>
        </w:rPr>
        <w:t>25</w:t>
      </w:r>
      <w:r>
        <w:rPr>
          <w:color w:val="231F20"/>
          <w:w w:val="105"/>
          <w:sz w:val="19"/>
        </w:rPr>
        <w:t>.</w:t>
      </w:r>
    </w:p>
    <w:p>
      <w:pPr>
        <w:pStyle w:val="BodyText"/>
        <w:spacing w:before="11"/>
        <w:rPr>
          <w:sz w:val="23"/>
        </w:rPr>
      </w:pPr>
    </w:p>
    <w:p>
      <w:pPr>
        <w:pStyle w:val="BodyText"/>
        <w:spacing w:line="247" w:lineRule="auto"/>
        <w:ind w:left="103" w:right="111"/>
        <w:jc w:val="both"/>
      </w:pPr>
      <w:r>
        <w:rPr>
          <w:color w:val="231F20"/>
          <w:w w:val="105"/>
        </w:rPr>
        <w:t>La</w:t>
      </w:r>
      <w:r>
        <w:rPr>
          <w:color w:val="231F20"/>
          <w:spacing w:val="-42"/>
          <w:w w:val="105"/>
        </w:rPr>
        <w:t> </w:t>
      </w:r>
      <w:r>
        <w:rPr>
          <w:color w:val="231F20"/>
          <w:w w:val="105"/>
        </w:rPr>
        <w:t>lezione</w:t>
      </w:r>
      <w:r>
        <w:rPr>
          <w:color w:val="231F20"/>
          <w:spacing w:val="-42"/>
          <w:w w:val="105"/>
        </w:rPr>
        <w:t> </w:t>
      </w:r>
      <w:r>
        <w:rPr>
          <w:color w:val="231F20"/>
          <w:w w:val="105"/>
        </w:rPr>
        <w:t>che</w:t>
      </w:r>
      <w:r>
        <w:rPr>
          <w:color w:val="231F20"/>
          <w:spacing w:val="-42"/>
          <w:w w:val="105"/>
        </w:rPr>
        <w:t> </w:t>
      </w:r>
      <w:r>
        <w:rPr>
          <w:color w:val="231F20"/>
          <w:w w:val="105"/>
        </w:rPr>
        <w:t>a</w:t>
      </w:r>
      <w:r>
        <w:rPr>
          <w:color w:val="231F20"/>
          <w:spacing w:val="-42"/>
          <w:w w:val="105"/>
        </w:rPr>
        <w:t> </w:t>
      </w:r>
      <w:r>
        <w:rPr>
          <w:color w:val="231F20"/>
          <w:w w:val="105"/>
        </w:rPr>
        <w:t>livello</w:t>
      </w:r>
      <w:r>
        <w:rPr>
          <w:color w:val="231F20"/>
          <w:spacing w:val="-42"/>
          <w:w w:val="105"/>
        </w:rPr>
        <w:t> </w:t>
      </w:r>
      <w:r>
        <w:rPr>
          <w:color w:val="231F20"/>
          <w:w w:val="105"/>
        </w:rPr>
        <w:t>giuridico</w:t>
      </w:r>
      <w:r>
        <w:rPr>
          <w:color w:val="231F20"/>
          <w:spacing w:val="-42"/>
          <w:w w:val="105"/>
        </w:rPr>
        <w:t> </w:t>
      </w:r>
      <w:r>
        <w:rPr>
          <w:color w:val="231F20"/>
          <w:w w:val="105"/>
        </w:rPr>
        <w:t>e</w:t>
      </w:r>
      <w:r>
        <w:rPr>
          <w:color w:val="231F20"/>
          <w:spacing w:val="-42"/>
          <w:w w:val="105"/>
        </w:rPr>
        <w:t> </w:t>
      </w:r>
      <w:r>
        <w:rPr>
          <w:color w:val="231F20"/>
          <w:w w:val="105"/>
        </w:rPr>
        <w:t>penale</w:t>
      </w:r>
      <w:r>
        <w:rPr>
          <w:color w:val="231F20"/>
          <w:spacing w:val="-42"/>
          <w:w w:val="105"/>
        </w:rPr>
        <w:t> </w:t>
      </w:r>
      <w:r>
        <w:rPr>
          <w:color w:val="231F20"/>
          <w:w w:val="105"/>
        </w:rPr>
        <w:t>ci</w:t>
      </w:r>
      <w:r>
        <w:rPr>
          <w:color w:val="231F20"/>
          <w:spacing w:val="-42"/>
          <w:w w:val="105"/>
        </w:rPr>
        <w:t> </w:t>
      </w:r>
      <w:r>
        <w:rPr>
          <w:color w:val="231F20"/>
          <w:w w:val="105"/>
        </w:rPr>
        <w:t>ha</w:t>
      </w:r>
      <w:r>
        <w:rPr>
          <w:color w:val="231F20"/>
          <w:spacing w:val="-42"/>
          <w:w w:val="105"/>
        </w:rPr>
        <w:t> </w:t>
      </w:r>
      <w:r>
        <w:rPr>
          <w:color w:val="231F20"/>
          <w:w w:val="105"/>
        </w:rPr>
        <w:t>lasciato</w:t>
      </w:r>
      <w:r>
        <w:rPr>
          <w:color w:val="231F20"/>
          <w:spacing w:val="-42"/>
          <w:w w:val="105"/>
        </w:rPr>
        <w:t> </w:t>
      </w:r>
      <w:r>
        <w:rPr>
          <w:color w:val="231F20"/>
          <w:w w:val="105"/>
        </w:rPr>
        <w:t>la</w:t>
      </w:r>
      <w:r>
        <w:rPr>
          <w:color w:val="231F20"/>
          <w:spacing w:val="-42"/>
          <w:w w:val="105"/>
        </w:rPr>
        <w:t> </w:t>
      </w:r>
      <w:r>
        <w:rPr>
          <w:color w:val="231F20"/>
          <w:w w:val="105"/>
        </w:rPr>
        <w:t>lotta</w:t>
      </w:r>
      <w:r>
        <w:rPr>
          <w:color w:val="231F20"/>
          <w:spacing w:val="-42"/>
          <w:w w:val="105"/>
        </w:rPr>
        <w:t> </w:t>
      </w:r>
      <w:r>
        <w:rPr>
          <w:color w:val="231F20"/>
          <w:w w:val="105"/>
        </w:rPr>
        <w:t>alla</w:t>
      </w:r>
      <w:r>
        <w:rPr>
          <w:color w:val="231F20"/>
          <w:spacing w:val="-42"/>
          <w:w w:val="105"/>
        </w:rPr>
        <w:t> </w:t>
      </w:r>
      <w:r>
        <w:rPr>
          <w:color w:val="231F20"/>
          <w:w w:val="105"/>
        </w:rPr>
        <w:t>criminalità organizzata</w:t>
      </w:r>
      <w:r>
        <w:rPr>
          <w:color w:val="231F20"/>
          <w:spacing w:val="-35"/>
          <w:w w:val="105"/>
        </w:rPr>
        <w:t> </w:t>
      </w:r>
      <w:r>
        <w:rPr>
          <w:color w:val="231F20"/>
          <w:w w:val="105"/>
        </w:rPr>
        <w:t>è</w:t>
      </w:r>
      <w:r>
        <w:rPr>
          <w:color w:val="231F20"/>
          <w:spacing w:val="-35"/>
          <w:w w:val="105"/>
        </w:rPr>
        <w:t> </w:t>
      </w:r>
      <w:r>
        <w:rPr>
          <w:color w:val="231F20"/>
          <w:w w:val="105"/>
        </w:rPr>
        <w:t>diretta</w:t>
      </w:r>
      <w:r>
        <w:rPr>
          <w:color w:val="231F20"/>
          <w:spacing w:val="-35"/>
          <w:w w:val="105"/>
        </w:rPr>
        <w:t> </w:t>
      </w:r>
      <w:r>
        <w:rPr>
          <w:color w:val="231F20"/>
          <w:w w:val="105"/>
        </w:rPr>
        <w:t>a</w:t>
      </w:r>
      <w:r>
        <w:rPr>
          <w:color w:val="231F20"/>
          <w:spacing w:val="-35"/>
          <w:w w:val="105"/>
        </w:rPr>
        <w:t> </w:t>
      </w:r>
      <w:r>
        <w:rPr>
          <w:color w:val="231F20"/>
          <w:w w:val="105"/>
        </w:rPr>
        <w:t>riflettere</w:t>
      </w:r>
      <w:r>
        <w:rPr>
          <w:color w:val="231F20"/>
          <w:spacing w:val="-35"/>
          <w:w w:val="105"/>
        </w:rPr>
        <w:t> </w:t>
      </w:r>
      <w:r>
        <w:rPr>
          <w:color w:val="231F20"/>
          <w:w w:val="105"/>
        </w:rPr>
        <w:t>sulla</w:t>
      </w:r>
      <w:r>
        <w:rPr>
          <w:color w:val="231F20"/>
          <w:spacing w:val="-35"/>
          <w:w w:val="105"/>
        </w:rPr>
        <w:t> </w:t>
      </w:r>
      <w:r>
        <w:rPr>
          <w:color w:val="231F20"/>
          <w:w w:val="105"/>
        </w:rPr>
        <w:t>profonda</w:t>
      </w:r>
      <w:r>
        <w:rPr>
          <w:color w:val="231F20"/>
          <w:spacing w:val="-35"/>
          <w:w w:val="105"/>
        </w:rPr>
        <w:t> </w:t>
      </w:r>
      <w:r>
        <w:rPr>
          <w:color w:val="231F20"/>
          <w:w w:val="105"/>
        </w:rPr>
        <w:t>mutazione</w:t>
      </w:r>
      <w:r>
        <w:rPr>
          <w:color w:val="231F20"/>
          <w:spacing w:val="-35"/>
          <w:w w:val="105"/>
        </w:rPr>
        <w:t> </w:t>
      </w:r>
      <w:r>
        <w:rPr>
          <w:color w:val="231F20"/>
          <w:w w:val="105"/>
        </w:rPr>
        <w:t>che</w:t>
      </w:r>
      <w:r>
        <w:rPr>
          <w:color w:val="231F20"/>
          <w:spacing w:val="-35"/>
          <w:w w:val="105"/>
        </w:rPr>
        <w:t> </w:t>
      </w:r>
      <w:r>
        <w:rPr>
          <w:color w:val="231F20"/>
          <w:w w:val="105"/>
        </w:rPr>
        <w:t>ha</w:t>
      </w:r>
      <w:r>
        <w:rPr>
          <w:color w:val="231F20"/>
          <w:spacing w:val="-35"/>
          <w:w w:val="105"/>
        </w:rPr>
        <w:t> </w:t>
      </w:r>
      <w:r>
        <w:rPr>
          <w:color w:val="231F20"/>
          <w:w w:val="105"/>
        </w:rPr>
        <w:t>sofferto</w:t>
      </w:r>
      <w:r>
        <w:rPr>
          <w:color w:val="231F20"/>
          <w:spacing w:val="-35"/>
          <w:w w:val="105"/>
        </w:rPr>
        <w:t> </w:t>
      </w:r>
      <w:r>
        <w:rPr>
          <w:color w:val="231F20"/>
          <w:w w:val="105"/>
        </w:rPr>
        <w:t>il </w:t>
      </w:r>
      <w:r>
        <w:rPr>
          <w:color w:val="231F20"/>
          <w:spacing w:val="-3"/>
          <w:w w:val="105"/>
        </w:rPr>
        <w:t>paradigma</w:t>
      </w:r>
      <w:r>
        <w:rPr>
          <w:color w:val="231F20"/>
          <w:spacing w:val="-47"/>
          <w:w w:val="105"/>
        </w:rPr>
        <w:t> </w:t>
      </w:r>
      <w:r>
        <w:rPr>
          <w:color w:val="231F20"/>
          <w:spacing w:val="-3"/>
          <w:w w:val="105"/>
        </w:rPr>
        <w:t>giuridico</w:t>
      </w:r>
      <w:r>
        <w:rPr>
          <w:color w:val="231F20"/>
          <w:spacing w:val="-47"/>
          <w:w w:val="105"/>
        </w:rPr>
        <w:t> </w:t>
      </w:r>
      <w:r>
        <w:rPr>
          <w:color w:val="231F20"/>
          <w:w w:val="105"/>
        </w:rPr>
        <w:t>nel</w:t>
      </w:r>
      <w:r>
        <w:rPr>
          <w:color w:val="231F20"/>
          <w:spacing w:val="-47"/>
          <w:w w:val="105"/>
        </w:rPr>
        <w:t> </w:t>
      </w:r>
      <w:r>
        <w:rPr>
          <w:color w:val="231F20"/>
          <w:spacing w:val="-4"/>
          <w:w w:val="105"/>
        </w:rPr>
        <w:t>nostro</w:t>
      </w:r>
      <w:r>
        <w:rPr>
          <w:color w:val="231F20"/>
          <w:spacing w:val="-47"/>
          <w:w w:val="105"/>
        </w:rPr>
        <w:t> </w:t>
      </w:r>
      <w:r>
        <w:rPr>
          <w:color w:val="231F20"/>
          <w:spacing w:val="-3"/>
          <w:w w:val="105"/>
        </w:rPr>
        <w:t>paese</w:t>
      </w:r>
      <w:r>
        <w:rPr>
          <w:color w:val="231F20"/>
          <w:spacing w:val="-47"/>
          <w:w w:val="105"/>
        </w:rPr>
        <w:t> </w:t>
      </w:r>
      <w:r>
        <w:rPr>
          <w:color w:val="231F20"/>
          <w:spacing w:val="-3"/>
          <w:w w:val="105"/>
        </w:rPr>
        <w:t>negli</w:t>
      </w:r>
      <w:r>
        <w:rPr>
          <w:color w:val="231F20"/>
          <w:spacing w:val="-47"/>
          <w:w w:val="105"/>
        </w:rPr>
        <w:t> </w:t>
      </w:r>
      <w:r>
        <w:rPr>
          <w:color w:val="231F20"/>
          <w:spacing w:val="-3"/>
          <w:w w:val="105"/>
        </w:rPr>
        <w:t>ultimi</w:t>
      </w:r>
      <w:r>
        <w:rPr>
          <w:color w:val="231F20"/>
          <w:spacing w:val="-47"/>
          <w:w w:val="105"/>
        </w:rPr>
        <w:t> </w:t>
      </w:r>
      <w:r>
        <w:rPr>
          <w:color w:val="231F20"/>
          <w:spacing w:val="-3"/>
          <w:w w:val="105"/>
        </w:rPr>
        <w:t>anni.</w:t>
      </w:r>
      <w:r>
        <w:rPr>
          <w:color w:val="231F20"/>
          <w:spacing w:val="-47"/>
          <w:w w:val="105"/>
        </w:rPr>
        <w:t> </w:t>
      </w:r>
      <w:r>
        <w:rPr>
          <w:color w:val="231F20"/>
          <w:w w:val="105"/>
        </w:rPr>
        <w:t>In</w:t>
      </w:r>
      <w:r>
        <w:rPr>
          <w:color w:val="231F20"/>
          <w:spacing w:val="-47"/>
          <w:w w:val="105"/>
        </w:rPr>
        <w:t> </w:t>
      </w:r>
      <w:r>
        <w:rPr>
          <w:color w:val="231F20"/>
          <w:spacing w:val="-3"/>
          <w:w w:val="105"/>
        </w:rPr>
        <w:t>consonanza</w:t>
      </w:r>
      <w:r>
        <w:rPr>
          <w:color w:val="231F20"/>
          <w:spacing w:val="-47"/>
          <w:w w:val="105"/>
        </w:rPr>
        <w:t> </w:t>
      </w:r>
      <w:r>
        <w:rPr>
          <w:color w:val="231F20"/>
          <w:w w:val="105"/>
        </w:rPr>
        <w:t>con</w:t>
      </w:r>
      <w:r>
        <w:rPr>
          <w:color w:val="231F20"/>
          <w:spacing w:val="-47"/>
          <w:w w:val="105"/>
        </w:rPr>
        <w:t> </w:t>
      </w:r>
      <w:r>
        <w:rPr>
          <w:color w:val="231F20"/>
          <w:spacing w:val="-3"/>
          <w:w w:val="105"/>
        </w:rPr>
        <w:t>una </w:t>
      </w:r>
      <w:r>
        <w:rPr>
          <w:color w:val="231F20"/>
          <w:w w:val="105"/>
        </w:rPr>
        <w:t>mutazione</w:t>
      </w:r>
      <w:r>
        <w:rPr>
          <w:color w:val="231F20"/>
          <w:spacing w:val="-50"/>
          <w:w w:val="105"/>
        </w:rPr>
        <w:t> </w:t>
      </w:r>
      <w:r>
        <w:rPr>
          <w:color w:val="231F20"/>
          <w:w w:val="105"/>
        </w:rPr>
        <w:t>che</w:t>
      </w:r>
      <w:r>
        <w:rPr>
          <w:color w:val="231F20"/>
          <w:spacing w:val="-50"/>
          <w:w w:val="105"/>
        </w:rPr>
        <w:t> </w:t>
      </w:r>
      <w:r>
        <w:rPr>
          <w:color w:val="231F20"/>
          <w:w w:val="105"/>
        </w:rPr>
        <w:t>si</w:t>
      </w:r>
      <w:r>
        <w:rPr>
          <w:color w:val="231F20"/>
          <w:spacing w:val="-50"/>
          <w:w w:val="105"/>
        </w:rPr>
        <w:t> </w:t>
      </w:r>
      <w:r>
        <w:rPr>
          <w:color w:val="231F20"/>
          <w:w w:val="105"/>
        </w:rPr>
        <w:t>esprime</w:t>
      </w:r>
      <w:r>
        <w:rPr>
          <w:color w:val="231F20"/>
          <w:spacing w:val="-50"/>
          <w:w w:val="105"/>
        </w:rPr>
        <w:t> </w:t>
      </w:r>
      <w:r>
        <w:rPr>
          <w:color w:val="231F20"/>
          <w:w w:val="105"/>
        </w:rPr>
        <w:t>anche</w:t>
      </w:r>
      <w:r>
        <w:rPr>
          <w:color w:val="231F20"/>
          <w:spacing w:val="-50"/>
          <w:w w:val="105"/>
        </w:rPr>
        <w:t> </w:t>
      </w:r>
      <w:r>
        <w:rPr>
          <w:color w:val="231F20"/>
          <w:w w:val="105"/>
        </w:rPr>
        <w:t>a</w:t>
      </w:r>
      <w:r>
        <w:rPr>
          <w:color w:val="231F20"/>
          <w:spacing w:val="-50"/>
          <w:w w:val="105"/>
        </w:rPr>
        <w:t> </w:t>
      </w:r>
      <w:r>
        <w:rPr>
          <w:color w:val="231F20"/>
          <w:w w:val="105"/>
        </w:rPr>
        <w:t>livello</w:t>
      </w:r>
      <w:r>
        <w:rPr>
          <w:color w:val="231F20"/>
          <w:spacing w:val="-50"/>
          <w:w w:val="105"/>
        </w:rPr>
        <w:t> </w:t>
      </w:r>
      <w:r>
        <w:rPr>
          <w:color w:val="231F20"/>
          <w:w w:val="105"/>
        </w:rPr>
        <w:t>mondiale,</w:t>
      </w:r>
      <w:r>
        <w:rPr>
          <w:color w:val="231F20"/>
          <w:spacing w:val="-50"/>
          <w:w w:val="105"/>
        </w:rPr>
        <w:t> </w:t>
      </w:r>
      <w:r>
        <w:rPr>
          <w:color w:val="231F20"/>
          <w:w w:val="105"/>
        </w:rPr>
        <w:t>il</w:t>
      </w:r>
      <w:r>
        <w:rPr>
          <w:color w:val="231F20"/>
          <w:spacing w:val="-50"/>
          <w:w w:val="105"/>
        </w:rPr>
        <w:t> </w:t>
      </w:r>
      <w:r>
        <w:rPr>
          <w:color w:val="231F20"/>
          <w:w w:val="105"/>
        </w:rPr>
        <w:t>diritto</w:t>
      </w:r>
      <w:r>
        <w:rPr>
          <w:color w:val="231F20"/>
          <w:spacing w:val="-50"/>
          <w:w w:val="105"/>
        </w:rPr>
        <w:t> </w:t>
      </w:r>
      <w:r>
        <w:rPr>
          <w:color w:val="231F20"/>
          <w:w w:val="105"/>
        </w:rPr>
        <w:t>penale</w:t>
      </w:r>
      <w:r>
        <w:rPr>
          <w:color w:val="231F20"/>
          <w:spacing w:val="-50"/>
          <w:w w:val="105"/>
        </w:rPr>
        <w:t> </w:t>
      </w:r>
      <w:r>
        <w:rPr>
          <w:color w:val="231F20"/>
          <w:w w:val="105"/>
        </w:rPr>
        <w:t>nazionale si</w:t>
      </w:r>
      <w:r>
        <w:rPr>
          <w:color w:val="231F20"/>
          <w:spacing w:val="-21"/>
          <w:w w:val="105"/>
        </w:rPr>
        <w:t> </w:t>
      </w:r>
      <w:r>
        <w:rPr>
          <w:color w:val="231F20"/>
          <w:w w:val="105"/>
        </w:rPr>
        <w:t>dirige</w:t>
      </w:r>
      <w:r>
        <w:rPr>
          <w:color w:val="231F20"/>
          <w:spacing w:val="-21"/>
          <w:w w:val="105"/>
        </w:rPr>
        <w:t> </w:t>
      </w:r>
      <w:r>
        <w:rPr>
          <w:color w:val="231F20"/>
          <w:w w:val="105"/>
        </w:rPr>
        <w:t>ogni</w:t>
      </w:r>
      <w:r>
        <w:rPr>
          <w:color w:val="231F20"/>
          <w:spacing w:val="-21"/>
          <w:w w:val="105"/>
        </w:rPr>
        <w:t> </w:t>
      </w:r>
      <w:r>
        <w:rPr>
          <w:color w:val="231F20"/>
          <w:w w:val="105"/>
        </w:rPr>
        <w:t>giorno</w:t>
      </w:r>
      <w:r>
        <w:rPr>
          <w:color w:val="231F20"/>
          <w:spacing w:val="-21"/>
          <w:w w:val="105"/>
        </w:rPr>
        <w:t> </w:t>
      </w:r>
      <w:r>
        <w:rPr>
          <w:color w:val="231F20"/>
          <w:w w:val="105"/>
        </w:rPr>
        <w:t>di</w:t>
      </w:r>
      <w:r>
        <w:rPr>
          <w:color w:val="231F20"/>
          <w:spacing w:val="-21"/>
          <w:w w:val="105"/>
        </w:rPr>
        <w:t> </w:t>
      </w:r>
      <w:r>
        <w:rPr>
          <w:color w:val="231F20"/>
          <w:w w:val="105"/>
        </w:rPr>
        <w:t>più</w:t>
      </w:r>
      <w:r>
        <w:rPr>
          <w:color w:val="231F20"/>
          <w:spacing w:val="-21"/>
          <w:w w:val="105"/>
        </w:rPr>
        <w:t> </w:t>
      </w:r>
      <w:r>
        <w:rPr>
          <w:color w:val="231F20"/>
          <w:w w:val="105"/>
        </w:rPr>
        <w:t>verso</w:t>
      </w:r>
      <w:r>
        <w:rPr>
          <w:color w:val="231F20"/>
          <w:spacing w:val="-21"/>
          <w:w w:val="105"/>
        </w:rPr>
        <w:t> </w:t>
      </w:r>
      <w:r>
        <w:rPr>
          <w:color w:val="231F20"/>
          <w:w w:val="105"/>
        </w:rPr>
        <w:t>una</w:t>
      </w:r>
      <w:r>
        <w:rPr>
          <w:color w:val="231F20"/>
          <w:spacing w:val="-21"/>
          <w:w w:val="105"/>
        </w:rPr>
        <w:t> </w:t>
      </w:r>
      <w:r>
        <w:rPr>
          <w:color w:val="231F20"/>
          <w:w w:val="105"/>
        </w:rPr>
        <w:t>giustizia</w:t>
      </w:r>
      <w:r>
        <w:rPr>
          <w:color w:val="231F20"/>
          <w:spacing w:val="-21"/>
          <w:w w:val="105"/>
        </w:rPr>
        <w:t> </w:t>
      </w:r>
      <w:r>
        <w:rPr>
          <w:color w:val="231F20"/>
          <w:w w:val="105"/>
        </w:rPr>
        <w:t>differenziata</w:t>
      </w:r>
      <w:r>
        <w:rPr>
          <w:color w:val="231F20"/>
          <w:spacing w:val="-21"/>
          <w:w w:val="105"/>
        </w:rPr>
        <w:t> </w:t>
      </w:r>
      <w:r>
        <w:rPr>
          <w:color w:val="231F20"/>
          <w:w w:val="105"/>
        </w:rPr>
        <w:t>dove</w:t>
      </w:r>
      <w:r>
        <w:rPr>
          <w:color w:val="231F20"/>
          <w:spacing w:val="-21"/>
          <w:w w:val="105"/>
        </w:rPr>
        <w:t> </w:t>
      </w:r>
      <w:r>
        <w:rPr>
          <w:color w:val="231F20"/>
          <w:w w:val="105"/>
        </w:rPr>
        <w:t>i</w:t>
      </w:r>
      <w:r>
        <w:rPr>
          <w:color w:val="231F20"/>
          <w:spacing w:val="-21"/>
          <w:w w:val="105"/>
        </w:rPr>
        <w:t> </w:t>
      </w:r>
      <w:r>
        <w:rPr>
          <w:color w:val="231F20"/>
          <w:w w:val="105"/>
        </w:rPr>
        <w:t>cittadini che</w:t>
      </w:r>
      <w:r>
        <w:rPr>
          <w:color w:val="231F20"/>
          <w:spacing w:val="-16"/>
          <w:w w:val="105"/>
        </w:rPr>
        <w:t> </w:t>
      </w:r>
      <w:r>
        <w:rPr>
          <w:color w:val="231F20"/>
          <w:w w:val="105"/>
        </w:rPr>
        <w:t>rispettino</w:t>
      </w:r>
      <w:r>
        <w:rPr>
          <w:color w:val="231F20"/>
          <w:spacing w:val="-16"/>
          <w:w w:val="105"/>
        </w:rPr>
        <w:t> </w:t>
      </w:r>
      <w:r>
        <w:rPr>
          <w:color w:val="231F20"/>
          <w:w w:val="105"/>
        </w:rPr>
        <w:t>la</w:t>
      </w:r>
      <w:r>
        <w:rPr>
          <w:color w:val="231F20"/>
          <w:spacing w:val="-16"/>
          <w:w w:val="105"/>
        </w:rPr>
        <w:t> </w:t>
      </w:r>
      <w:r>
        <w:rPr>
          <w:color w:val="231F20"/>
          <w:w w:val="105"/>
        </w:rPr>
        <w:t>legge</w:t>
      </w:r>
      <w:r>
        <w:rPr>
          <w:color w:val="231F20"/>
          <w:spacing w:val="-16"/>
          <w:w w:val="105"/>
        </w:rPr>
        <w:t> </w:t>
      </w:r>
      <w:r>
        <w:rPr>
          <w:color w:val="231F20"/>
          <w:w w:val="105"/>
        </w:rPr>
        <w:t>saranno</w:t>
      </w:r>
      <w:r>
        <w:rPr>
          <w:color w:val="231F20"/>
          <w:spacing w:val="-16"/>
          <w:w w:val="105"/>
        </w:rPr>
        <w:t> </w:t>
      </w:r>
      <w:r>
        <w:rPr>
          <w:color w:val="231F20"/>
          <w:w w:val="105"/>
        </w:rPr>
        <w:t>giudicati</w:t>
      </w:r>
      <w:r>
        <w:rPr>
          <w:color w:val="231F20"/>
          <w:spacing w:val="-16"/>
          <w:w w:val="105"/>
        </w:rPr>
        <w:t> </w:t>
      </w:r>
      <w:r>
        <w:rPr>
          <w:color w:val="231F20"/>
          <w:w w:val="105"/>
        </w:rPr>
        <w:t>sotto</w:t>
      </w:r>
      <w:r>
        <w:rPr>
          <w:color w:val="231F20"/>
          <w:spacing w:val="-16"/>
          <w:w w:val="105"/>
        </w:rPr>
        <w:t> </w:t>
      </w:r>
      <w:r>
        <w:rPr>
          <w:color w:val="231F20"/>
          <w:w w:val="105"/>
        </w:rPr>
        <w:t>un</w:t>
      </w:r>
      <w:r>
        <w:rPr>
          <w:color w:val="231F20"/>
          <w:spacing w:val="-16"/>
          <w:w w:val="105"/>
        </w:rPr>
        <w:t> </w:t>
      </w:r>
      <w:r>
        <w:rPr>
          <w:color w:val="231F20"/>
          <w:w w:val="105"/>
        </w:rPr>
        <w:t>ordinamento</w:t>
      </w:r>
      <w:r>
        <w:rPr>
          <w:color w:val="231F20"/>
          <w:spacing w:val="-16"/>
          <w:w w:val="105"/>
        </w:rPr>
        <w:t> </w:t>
      </w:r>
      <w:r>
        <w:rPr>
          <w:color w:val="231F20"/>
          <w:w w:val="105"/>
        </w:rPr>
        <w:t>rispettoso delle</w:t>
      </w:r>
      <w:r>
        <w:rPr>
          <w:color w:val="231F20"/>
          <w:spacing w:val="-39"/>
          <w:w w:val="105"/>
        </w:rPr>
        <w:t> </w:t>
      </w:r>
      <w:r>
        <w:rPr>
          <w:color w:val="231F20"/>
          <w:w w:val="105"/>
        </w:rPr>
        <w:t>loro</w:t>
      </w:r>
      <w:r>
        <w:rPr>
          <w:color w:val="231F20"/>
          <w:spacing w:val="-39"/>
          <w:w w:val="105"/>
        </w:rPr>
        <w:t> </w:t>
      </w:r>
      <w:r>
        <w:rPr>
          <w:color w:val="231F20"/>
          <w:w w:val="105"/>
        </w:rPr>
        <w:t>garanzie,</w:t>
      </w:r>
      <w:r>
        <w:rPr>
          <w:color w:val="231F20"/>
          <w:spacing w:val="-39"/>
          <w:w w:val="105"/>
        </w:rPr>
        <w:t> </w:t>
      </w:r>
      <w:r>
        <w:rPr>
          <w:color w:val="231F20"/>
          <w:w w:val="105"/>
        </w:rPr>
        <w:t>mentre</w:t>
      </w:r>
      <w:r>
        <w:rPr>
          <w:color w:val="231F20"/>
          <w:spacing w:val="-39"/>
          <w:w w:val="105"/>
        </w:rPr>
        <w:t> </w:t>
      </w:r>
      <w:r>
        <w:rPr>
          <w:color w:val="231F20"/>
          <w:w w:val="105"/>
        </w:rPr>
        <w:t>quelli</w:t>
      </w:r>
      <w:r>
        <w:rPr>
          <w:color w:val="231F20"/>
          <w:spacing w:val="-39"/>
          <w:w w:val="105"/>
        </w:rPr>
        <w:t> </w:t>
      </w:r>
      <w:r>
        <w:rPr>
          <w:color w:val="231F20"/>
          <w:w w:val="105"/>
        </w:rPr>
        <w:t>che</w:t>
      </w:r>
      <w:r>
        <w:rPr>
          <w:color w:val="231F20"/>
          <w:spacing w:val="-39"/>
          <w:w w:val="105"/>
        </w:rPr>
        <w:t> </w:t>
      </w:r>
      <w:r>
        <w:rPr>
          <w:color w:val="231F20"/>
          <w:w w:val="105"/>
        </w:rPr>
        <w:t>abbiano</w:t>
      </w:r>
      <w:r>
        <w:rPr>
          <w:color w:val="231F20"/>
          <w:spacing w:val="-39"/>
          <w:w w:val="105"/>
        </w:rPr>
        <w:t> </w:t>
      </w:r>
      <w:r>
        <w:rPr>
          <w:color w:val="231F20"/>
          <w:w w:val="105"/>
        </w:rPr>
        <w:t>violentato</w:t>
      </w:r>
      <w:r>
        <w:rPr>
          <w:color w:val="231F20"/>
          <w:spacing w:val="-39"/>
          <w:w w:val="105"/>
        </w:rPr>
        <w:t> </w:t>
      </w:r>
      <w:r>
        <w:rPr>
          <w:color w:val="231F20"/>
          <w:w w:val="105"/>
        </w:rPr>
        <w:t>la</w:t>
      </w:r>
      <w:r>
        <w:rPr>
          <w:color w:val="231F20"/>
          <w:spacing w:val="-39"/>
          <w:w w:val="105"/>
        </w:rPr>
        <w:t> </w:t>
      </w:r>
      <w:r>
        <w:rPr>
          <w:color w:val="231F20"/>
          <w:w w:val="105"/>
        </w:rPr>
        <w:t>legalità</w:t>
      </w:r>
      <w:r>
        <w:rPr>
          <w:color w:val="231F20"/>
          <w:spacing w:val="-39"/>
          <w:w w:val="105"/>
        </w:rPr>
        <w:t> </w:t>
      </w:r>
      <w:r>
        <w:rPr>
          <w:color w:val="231F20"/>
          <w:w w:val="105"/>
        </w:rPr>
        <w:t>saranno sottomessi</w:t>
      </w:r>
      <w:r>
        <w:rPr>
          <w:color w:val="231F20"/>
          <w:spacing w:val="-39"/>
          <w:w w:val="105"/>
        </w:rPr>
        <w:t> </w:t>
      </w:r>
      <w:r>
        <w:rPr>
          <w:color w:val="231F20"/>
          <w:w w:val="105"/>
        </w:rPr>
        <w:t>a</w:t>
      </w:r>
      <w:r>
        <w:rPr>
          <w:color w:val="231F20"/>
          <w:spacing w:val="-39"/>
          <w:w w:val="105"/>
        </w:rPr>
        <w:t> </w:t>
      </w:r>
      <w:r>
        <w:rPr>
          <w:color w:val="231F20"/>
          <w:w w:val="105"/>
        </w:rPr>
        <w:t>una</w:t>
      </w:r>
      <w:r>
        <w:rPr>
          <w:color w:val="231F20"/>
          <w:spacing w:val="-39"/>
          <w:w w:val="105"/>
        </w:rPr>
        <w:t> </w:t>
      </w:r>
      <w:r>
        <w:rPr>
          <w:color w:val="231F20"/>
          <w:w w:val="105"/>
        </w:rPr>
        <w:t>penalità</w:t>
      </w:r>
      <w:r>
        <w:rPr>
          <w:color w:val="231F20"/>
          <w:spacing w:val="-39"/>
          <w:w w:val="105"/>
        </w:rPr>
        <w:t> </w:t>
      </w:r>
      <w:r>
        <w:rPr>
          <w:color w:val="231F20"/>
          <w:w w:val="105"/>
        </w:rPr>
        <w:t>differente,</w:t>
      </w:r>
      <w:r>
        <w:rPr>
          <w:color w:val="231F20"/>
          <w:spacing w:val="-39"/>
          <w:w w:val="105"/>
        </w:rPr>
        <w:t> </w:t>
      </w:r>
      <w:r>
        <w:rPr>
          <w:color w:val="231F20"/>
          <w:w w:val="105"/>
        </w:rPr>
        <w:t>sempre</w:t>
      </w:r>
      <w:r>
        <w:rPr>
          <w:color w:val="231F20"/>
          <w:spacing w:val="-39"/>
          <w:w w:val="105"/>
        </w:rPr>
        <w:t> </w:t>
      </w:r>
      <w:r>
        <w:rPr>
          <w:color w:val="231F20"/>
          <w:w w:val="105"/>
        </w:rPr>
        <w:t>disposta</w:t>
      </w:r>
      <w:r>
        <w:rPr>
          <w:color w:val="231F20"/>
          <w:spacing w:val="-39"/>
          <w:w w:val="105"/>
        </w:rPr>
        <w:t> </w:t>
      </w:r>
      <w:r>
        <w:rPr>
          <w:color w:val="231F20"/>
          <w:w w:val="105"/>
        </w:rPr>
        <w:t>a</w:t>
      </w:r>
      <w:r>
        <w:rPr>
          <w:color w:val="231F20"/>
          <w:spacing w:val="-39"/>
          <w:w w:val="105"/>
        </w:rPr>
        <w:t> </w:t>
      </w:r>
      <w:r>
        <w:rPr>
          <w:color w:val="231F20"/>
          <w:w w:val="105"/>
        </w:rPr>
        <w:t>spingerli</w:t>
      </w:r>
      <w:r>
        <w:rPr>
          <w:color w:val="231F20"/>
          <w:spacing w:val="-39"/>
          <w:w w:val="105"/>
        </w:rPr>
        <w:t> </w:t>
      </w:r>
      <w:r>
        <w:rPr>
          <w:color w:val="231F20"/>
          <w:w w:val="105"/>
        </w:rPr>
        <w:t>verso</w:t>
      </w:r>
      <w:r>
        <w:rPr>
          <w:color w:val="231F20"/>
          <w:spacing w:val="-39"/>
          <w:w w:val="105"/>
        </w:rPr>
        <w:t> </w:t>
      </w:r>
      <w:r>
        <w:rPr>
          <w:color w:val="231F20"/>
          <w:w w:val="105"/>
        </w:rPr>
        <w:t>una zona</w:t>
      </w:r>
      <w:r>
        <w:rPr>
          <w:color w:val="231F20"/>
          <w:spacing w:val="-28"/>
          <w:w w:val="105"/>
        </w:rPr>
        <w:t> </w:t>
      </w:r>
      <w:r>
        <w:rPr>
          <w:color w:val="231F20"/>
          <w:w w:val="105"/>
        </w:rPr>
        <w:t>d’indeterminazione</w:t>
      </w:r>
      <w:r>
        <w:rPr>
          <w:color w:val="231F20"/>
          <w:spacing w:val="-28"/>
          <w:w w:val="105"/>
        </w:rPr>
        <w:t> </w:t>
      </w:r>
      <w:r>
        <w:rPr>
          <w:color w:val="231F20"/>
          <w:w w:val="105"/>
        </w:rPr>
        <w:t>dove</w:t>
      </w:r>
      <w:r>
        <w:rPr>
          <w:color w:val="231F20"/>
          <w:spacing w:val="-28"/>
          <w:w w:val="105"/>
        </w:rPr>
        <w:t> </w:t>
      </w:r>
      <w:r>
        <w:rPr>
          <w:color w:val="231F20"/>
          <w:w w:val="105"/>
        </w:rPr>
        <w:t>i</w:t>
      </w:r>
      <w:r>
        <w:rPr>
          <w:color w:val="231F20"/>
          <w:spacing w:val="-28"/>
          <w:w w:val="105"/>
        </w:rPr>
        <w:t> </w:t>
      </w:r>
      <w:r>
        <w:rPr>
          <w:color w:val="231F20"/>
          <w:w w:val="105"/>
        </w:rPr>
        <w:t>loro</w:t>
      </w:r>
      <w:r>
        <w:rPr>
          <w:color w:val="231F20"/>
          <w:spacing w:val="-28"/>
          <w:w w:val="105"/>
        </w:rPr>
        <w:t> </w:t>
      </w:r>
      <w:r>
        <w:rPr>
          <w:color w:val="231F20"/>
          <w:w w:val="105"/>
        </w:rPr>
        <w:t>diritti</w:t>
      </w:r>
      <w:r>
        <w:rPr>
          <w:color w:val="231F20"/>
          <w:spacing w:val="-28"/>
          <w:w w:val="105"/>
        </w:rPr>
        <w:t> </w:t>
      </w:r>
      <w:r>
        <w:rPr>
          <w:color w:val="231F20"/>
          <w:w w:val="105"/>
        </w:rPr>
        <w:t>e</w:t>
      </w:r>
      <w:r>
        <w:rPr>
          <w:color w:val="231F20"/>
          <w:spacing w:val="-28"/>
          <w:w w:val="105"/>
        </w:rPr>
        <w:t> </w:t>
      </w:r>
      <w:r>
        <w:rPr>
          <w:color w:val="231F20"/>
          <w:w w:val="105"/>
        </w:rPr>
        <w:t>garanzie</w:t>
      </w:r>
      <w:r>
        <w:rPr>
          <w:color w:val="231F20"/>
          <w:spacing w:val="-28"/>
          <w:w w:val="105"/>
        </w:rPr>
        <w:t> </w:t>
      </w:r>
      <w:r>
        <w:rPr>
          <w:color w:val="231F20"/>
          <w:w w:val="105"/>
        </w:rPr>
        <w:t>possono</w:t>
      </w:r>
      <w:r>
        <w:rPr>
          <w:color w:val="231F20"/>
          <w:spacing w:val="-28"/>
          <w:w w:val="105"/>
        </w:rPr>
        <w:t> </w:t>
      </w:r>
      <w:r>
        <w:rPr>
          <w:color w:val="231F20"/>
          <w:w w:val="105"/>
        </w:rPr>
        <w:t>essere</w:t>
      </w:r>
      <w:r>
        <w:rPr>
          <w:color w:val="231F20"/>
          <w:spacing w:val="-28"/>
          <w:w w:val="105"/>
        </w:rPr>
        <w:t> </w:t>
      </w:r>
      <w:r>
        <w:rPr>
          <w:color w:val="231F20"/>
          <w:w w:val="105"/>
        </w:rPr>
        <w:t>posti tra</w:t>
      </w:r>
      <w:r>
        <w:rPr>
          <w:color w:val="231F20"/>
          <w:spacing w:val="-15"/>
          <w:w w:val="105"/>
        </w:rPr>
        <w:t> </w:t>
      </w:r>
      <w:r>
        <w:rPr>
          <w:color w:val="231F20"/>
          <w:w w:val="105"/>
        </w:rPr>
        <w:t>parentesi.</w:t>
      </w:r>
      <w:r>
        <w:rPr>
          <w:color w:val="231F20"/>
          <w:spacing w:val="-15"/>
          <w:w w:val="105"/>
        </w:rPr>
        <w:t> </w:t>
      </w:r>
      <w:r>
        <w:rPr>
          <w:color w:val="231F20"/>
          <w:w w:val="105"/>
        </w:rPr>
        <w:t>Senza</w:t>
      </w:r>
      <w:r>
        <w:rPr>
          <w:color w:val="231F20"/>
          <w:spacing w:val="-15"/>
          <w:w w:val="105"/>
        </w:rPr>
        <w:t> </w:t>
      </w:r>
      <w:r>
        <w:rPr>
          <w:color w:val="231F20"/>
          <w:w w:val="105"/>
        </w:rPr>
        <w:t>dubbio,</w:t>
      </w:r>
      <w:r>
        <w:rPr>
          <w:color w:val="231F20"/>
          <w:spacing w:val="-15"/>
          <w:w w:val="105"/>
        </w:rPr>
        <w:t> </w:t>
      </w:r>
      <w:r>
        <w:rPr>
          <w:color w:val="231F20"/>
          <w:w w:val="105"/>
        </w:rPr>
        <w:t>una</w:t>
      </w:r>
      <w:r>
        <w:rPr>
          <w:color w:val="231F20"/>
          <w:spacing w:val="-15"/>
          <w:w w:val="105"/>
        </w:rPr>
        <w:t> </w:t>
      </w:r>
      <w:r>
        <w:rPr>
          <w:color w:val="231F20"/>
          <w:w w:val="105"/>
        </w:rPr>
        <w:t>guerra</w:t>
      </w:r>
      <w:r>
        <w:rPr>
          <w:color w:val="231F20"/>
          <w:spacing w:val="-15"/>
          <w:w w:val="105"/>
        </w:rPr>
        <w:t> </w:t>
      </w:r>
      <w:r>
        <w:rPr>
          <w:color w:val="231F20"/>
          <w:w w:val="105"/>
        </w:rPr>
        <w:t>contro</w:t>
      </w:r>
      <w:r>
        <w:rPr>
          <w:color w:val="231F20"/>
          <w:spacing w:val="-15"/>
          <w:w w:val="105"/>
        </w:rPr>
        <w:t> </w:t>
      </w:r>
      <w:r>
        <w:rPr>
          <w:color w:val="231F20"/>
          <w:w w:val="105"/>
        </w:rPr>
        <w:t>la</w:t>
      </w:r>
      <w:r>
        <w:rPr>
          <w:color w:val="231F20"/>
          <w:spacing w:val="-15"/>
          <w:w w:val="105"/>
        </w:rPr>
        <w:t> </w:t>
      </w:r>
      <w:r>
        <w:rPr>
          <w:color w:val="231F20"/>
          <w:w w:val="105"/>
        </w:rPr>
        <w:t>criminalità</w:t>
      </w:r>
      <w:r>
        <w:rPr>
          <w:color w:val="231F20"/>
          <w:spacing w:val="-15"/>
          <w:w w:val="105"/>
        </w:rPr>
        <w:t> </w:t>
      </w:r>
      <w:r>
        <w:rPr>
          <w:color w:val="231F20"/>
          <w:w w:val="105"/>
        </w:rPr>
        <w:t>organizzata ha</w:t>
      </w:r>
      <w:r>
        <w:rPr>
          <w:color w:val="231F20"/>
          <w:spacing w:val="-18"/>
          <w:w w:val="105"/>
        </w:rPr>
        <w:t> </w:t>
      </w:r>
      <w:r>
        <w:rPr>
          <w:color w:val="231F20"/>
          <w:w w:val="105"/>
        </w:rPr>
        <w:t>fatto</w:t>
      </w:r>
      <w:r>
        <w:rPr>
          <w:color w:val="231F20"/>
          <w:spacing w:val="-18"/>
          <w:w w:val="105"/>
        </w:rPr>
        <w:t> </w:t>
      </w:r>
      <w:r>
        <w:rPr>
          <w:color w:val="231F20"/>
          <w:w w:val="105"/>
        </w:rPr>
        <w:t>necessaria</w:t>
      </w:r>
      <w:r>
        <w:rPr>
          <w:color w:val="231F20"/>
          <w:spacing w:val="-18"/>
          <w:w w:val="105"/>
        </w:rPr>
        <w:t> </w:t>
      </w:r>
      <w:r>
        <w:rPr>
          <w:color w:val="231F20"/>
          <w:w w:val="105"/>
        </w:rPr>
        <w:t>una</w:t>
      </w:r>
      <w:r>
        <w:rPr>
          <w:color w:val="231F20"/>
          <w:spacing w:val="-18"/>
          <w:w w:val="105"/>
        </w:rPr>
        <w:t> </w:t>
      </w:r>
      <w:r>
        <w:rPr>
          <w:color w:val="231F20"/>
          <w:w w:val="105"/>
        </w:rPr>
        <w:t>nuova</w:t>
      </w:r>
      <w:r>
        <w:rPr>
          <w:color w:val="231F20"/>
          <w:spacing w:val="-18"/>
          <w:w w:val="105"/>
        </w:rPr>
        <w:t> </w:t>
      </w:r>
      <w:r>
        <w:rPr>
          <w:color w:val="231F20"/>
          <w:w w:val="105"/>
        </w:rPr>
        <w:t>disposizione</w:t>
      </w:r>
      <w:r>
        <w:rPr>
          <w:color w:val="231F20"/>
          <w:spacing w:val="-18"/>
          <w:w w:val="105"/>
        </w:rPr>
        <w:t> </w:t>
      </w:r>
      <w:r>
        <w:rPr>
          <w:color w:val="231F20"/>
          <w:w w:val="105"/>
        </w:rPr>
        <w:t>della</w:t>
      </w:r>
      <w:r>
        <w:rPr>
          <w:color w:val="231F20"/>
          <w:spacing w:val="-18"/>
          <w:w w:val="105"/>
        </w:rPr>
        <w:t> </w:t>
      </w:r>
      <w:r>
        <w:rPr>
          <w:color w:val="231F20"/>
          <w:w w:val="105"/>
        </w:rPr>
        <w:t>penalità,</w:t>
      </w:r>
      <w:r>
        <w:rPr>
          <w:color w:val="231F20"/>
          <w:spacing w:val="-18"/>
          <w:w w:val="105"/>
        </w:rPr>
        <w:t> </w:t>
      </w:r>
      <w:r>
        <w:rPr>
          <w:color w:val="231F20"/>
          <w:w w:val="105"/>
        </w:rPr>
        <w:t>nonostante,</w:t>
      </w:r>
      <w:r>
        <w:rPr>
          <w:color w:val="231F20"/>
          <w:spacing w:val="-18"/>
          <w:w w:val="105"/>
        </w:rPr>
        <w:t> </w:t>
      </w:r>
      <w:r>
        <w:rPr>
          <w:color w:val="231F20"/>
          <w:w w:val="105"/>
        </w:rPr>
        <w:t>la riflessione giuridica e filosofica è obbligata a pensare verso quale via si incammina</w:t>
      </w:r>
      <w:r>
        <w:rPr>
          <w:color w:val="231F20"/>
          <w:spacing w:val="-32"/>
          <w:w w:val="105"/>
        </w:rPr>
        <w:t> </w:t>
      </w:r>
      <w:r>
        <w:rPr>
          <w:color w:val="231F20"/>
          <w:w w:val="105"/>
        </w:rPr>
        <w:t>tale</w:t>
      </w:r>
      <w:r>
        <w:rPr>
          <w:color w:val="231F20"/>
          <w:spacing w:val="-32"/>
          <w:w w:val="105"/>
        </w:rPr>
        <w:t> </w:t>
      </w:r>
      <w:r>
        <w:rPr>
          <w:color w:val="231F20"/>
          <w:w w:val="105"/>
        </w:rPr>
        <w:t>trasformazione.</w:t>
      </w:r>
      <w:r>
        <w:rPr>
          <w:color w:val="231F20"/>
          <w:spacing w:val="-32"/>
          <w:w w:val="105"/>
        </w:rPr>
        <w:t> </w:t>
      </w:r>
      <w:r>
        <w:rPr>
          <w:color w:val="231F20"/>
          <w:w w:val="105"/>
        </w:rPr>
        <w:t>Gli</w:t>
      </w:r>
      <w:r>
        <w:rPr>
          <w:color w:val="231F20"/>
          <w:spacing w:val="-32"/>
          <w:w w:val="105"/>
        </w:rPr>
        <w:t> </w:t>
      </w:r>
      <w:r>
        <w:rPr>
          <w:color w:val="231F20"/>
          <w:w w:val="105"/>
        </w:rPr>
        <w:t>strumenti</w:t>
      </w:r>
      <w:r>
        <w:rPr>
          <w:color w:val="231F20"/>
          <w:spacing w:val="-32"/>
          <w:w w:val="105"/>
        </w:rPr>
        <w:t> </w:t>
      </w:r>
      <w:r>
        <w:rPr>
          <w:color w:val="231F20"/>
          <w:w w:val="105"/>
        </w:rPr>
        <w:t>trovati</w:t>
      </w:r>
      <w:r>
        <w:rPr>
          <w:color w:val="231F20"/>
          <w:spacing w:val="-32"/>
          <w:w w:val="105"/>
        </w:rPr>
        <w:t> </w:t>
      </w:r>
      <w:r>
        <w:rPr>
          <w:color w:val="231F20"/>
          <w:w w:val="105"/>
        </w:rPr>
        <w:t>in</w:t>
      </w:r>
      <w:r>
        <w:rPr>
          <w:color w:val="231F20"/>
          <w:spacing w:val="-32"/>
          <w:w w:val="105"/>
        </w:rPr>
        <w:t> </w:t>
      </w:r>
      <w:r>
        <w:rPr>
          <w:color w:val="231F20"/>
          <w:w w:val="105"/>
        </w:rPr>
        <w:t>Schmitt</w:t>
      </w:r>
      <w:r>
        <w:rPr>
          <w:color w:val="231F20"/>
          <w:spacing w:val="-32"/>
          <w:w w:val="105"/>
        </w:rPr>
        <w:t> </w:t>
      </w:r>
      <w:r>
        <w:rPr>
          <w:color w:val="231F20"/>
          <w:w w:val="105"/>
        </w:rPr>
        <w:t>e</w:t>
      </w:r>
      <w:r>
        <w:rPr>
          <w:color w:val="231F20"/>
          <w:spacing w:val="-32"/>
          <w:w w:val="105"/>
        </w:rPr>
        <w:t> </w:t>
      </w:r>
      <w:r>
        <w:rPr>
          <w:color w:val="231F20"/>
          <w:w w:val="105"/>
        </w:rPr>
        <w:t>Jakobs</w:t>
      </w:r>
      <w:r>
        <w:rPr>
          <w:color w:val="231F20"/>
          <w:spacing w:val="-32"/>
          <w:w w:val="105"/>
        </w:rPr>
        <w:t> </w:t>
      </w:r>
      <w:r>
        <w:rPr>
          <w:color w:val="231F20"/>
          <w:w w:val="105"/>
        </w:rPr>
        <w:t>ci hanno</w:t>
      </w:r>
      <w:r>
        <w:rPr>
          <w:color w:val="231F20"/>
          <w:spacing w:val="-35"/>
          <w:w w:val="105"/>
        </w:rPr>
        <w:t> </w:t>
      </w:r>
      <w:r>
        <w:rPr>
          <w:color w:val="231F20"/>
          <w:w w:val="105"/>
        </w:rPr>
        <w:t>permesso</w:t>
      </w:r>
      <w:r>
        <w:rPr>
          <w:color w:val="231F20"/>
          <w:spacing w:val="-35"/>
          <w:w w:val="105"/>
        </w:rPr>
        <w:t> </w:t>
      </w:r>
      <w:r>
        <w:rPr>
          <w:color w:val="231F20"/>
          <w:w w:val="105"/>
        </w:rPr>
        <w:t>di</w:t>
      </w:r>
      <w:r>
        <w:rPr>
          <w:color w:val="231F20"/>
          <w:spacing w:val="-35"/>
          <w:w w:val="105"/>
        </w:rPr>
        <w:t> </w:t>
      </w:r>
      <w:r>
        <w:rPr>
          <w:color w:val="231F20"/>
          <w:w w:val="105"/>
        </w:rPr>
        <w:t>avere</w:t>
      </w:r>
      <w:r>
        <w:rPr>
          <w:color w:val="231F20"/>
          <w:spacing w:val="-35"/>
          <w:w w:val="105"/>
        </w:rPr>
        <w:t> </w:t>
      </w:r>
      <w:r>
        <w:rPr>
          <w:color w:val="231F20"/>
          <w:w w:val="105"/>
        </w:rPr>
        <w:t>un</w:t>
      </w:r>
      <w:r>
        <w:rPr>
          <w:color w:val="231F20"/>
          <w:spacing w:val="-35"/>
          <w:w w:val="105"/>
        </w:rPr>
        <w:t> </w:t>
      </w:r>
      <w:r>
        <w:rPr>
          <w:color w:val="231F20"/>
          <w:w w:val="105"/>
        </w:rPr>
        <w:t>sistema</w:t>
      </w:r>
      <w:r>
        <w:rPr>
          <w:color w:val="231F20"/>
          <w:spacing w:val="-35"/>
          <w:w w:val="105"/>
        </w:rPr>
        <w:t> </w:t>
      </w:r>
      <w:r>
        <w:rPr>
          <w:color w:val="231F20"/>
          <w:w w:val="105"/>
        </w:rPr>
        <w:t>disposto</w:t>
      </w:r>
      <w:r>
        <w:rPr>
          <w:color w:val="231F20"/>
          <w:spacing w:val="-35"/>
          <w:w w:val="105"/>
        </w:rPr>
        <w:t> </w:t>
      </w:r>
      <w:r>
        <w:rPr>
          <w:color w:val="231F20"/>
          <w:w w:val="105"/>
        </w:rPr>
        <w:t>a</w:t>
      </w:r>
      <w:r>
        <w:rPr>
          <w:color w:val="231F20"/>
          <w:spacing w:val="-35"/>
          <w:w w:val="105"/>
        </w:rPr>
        <w:t> </w:t>
      </w:r>
      <w:r>
        <w:rPr>
          <w:color w:val="231F20"/>
          <w:w w:val="105"/>
        </w:rPr>
        <w:t>comprendere</w:t>
      </w:r>
      <w:r>
        <w:rPr>
          <w:color w:val="231F20"/>
          <w:spacing w:val="-35"/>
          <w:w w:val="105"/>
        </w:rPr>
        <w:t> </w:t>
      </w:r>
      <w:r>
        <w:rPr>
          <w:color w:val="231F20"/>
          <w:w w:val="105"/>
        </w:rPr>
        <w:t>e</w:t>
      </w:r>
      <w:r>
        <w:rPr>
          <w:color w:val="231F20"/>
          <w:spacing w:val="-35"/>
          <w:w w:val="105"/>
        </w:rPr>
        <w:t> </w:t>
      </w:r>
      <w:r>
        <w:rPr>
          <w:color w:val="231F20"/>
          <w:w w:val="105"/>
        </w:rPr>
        <w:t>trovare</w:t>
      </w:r>
      <w:r>
        <w:rPr>
          <w:color w:val="231F20"/>
          <w:spacing w:val="-35"/>
          <w:w w:val="105"/>
        </w:rPr>
        <w:t> </w:t>
      </w:r>
      <w:r>
        <w:rPr>
          <w:color w:val="231F20"/>
          <w:w w:val="105"/>
        </w:rPr>
        <w:t>tali</w:t>
      </w:r>
    </w:p>
    <w:p>
      <w:pPr>
        <w:pStyle w:val="BodyText"/>
        <w:spacing w:before="27"/>
        <w:ind w:left="103"/>
        <w:jc w:val="both"/>
      </w:pPr>
      <w:r>
        <w:rPr>
          <w:color w:val="231F20"/>
        </w:rPr>
        <w:t>mutazioni che colpiscono direttamente la nostra</w:t>
      </w:r>
      <w:r>
        <w:rPr>
          <w:color w:val="231F20"/>
          <w:spacing w:val="55"/>
        </w:rPr>
        <w:t> </w:t>
      </w:r>
      <w:r>
        <w:rPr>
          <w:color w:val="231F20"/>
        </w:rPr>
        <w:t>quotidianità.</w:t>
      </w:r>
    </w:p>
    <w:p>
      <w:pPr>
        <w:pStyle w:val="BodyText"/>
        <w:spacing w:before="12"/>
        <w:rPr>
          <w:sz w:val="19"/>
        </w:rPr>
      </w:pPr>
      <w:r>
        <w:rPr/>
        <w:pict>
          <v:line style="position:absolute;mso-position-horizontal-relative:page;mso-position-vertical-relative:paragraph;z-index:9736;mso-wrap-distance-left:0;mso-wrap-distance-right:0" from="65.196899pt,14.167498pt" to="178.582899pt,14.167498pt" stroked="true" strokeweight=".3pt" strokecolor="#231f20">
            <w10:wrap type="topAndBottom"/>
          </v:line>
        </w:pict>
      </w:r>
    </w:p>
    <w:p>
      <w:pPr>
        <w:spacing w:line="204" w:lineRule="exact" w:before="9"/>
        <w:ind w:left="103" w:right="0" w:firstLine="0"/>
        <w:jc w:val="left"/>
        <w:rPr>
          <w:rFonts w:ascii="Calibri" w:hAnsi="Calibri"/>
          <w:sz w:val="17"/>
        </w:rPr>
      </w:pPr>
      <w:r>
        <w:rPr>
          <w:rFonts w:ascii="Calibri" w:hAnsi="Calibri"/>
          <w:color w:val="231F20"/>
          <w:w w:val="105"/>
          <w:position w:val="6"/>
          <w:sz w:val="10"/>
        </w:rPr>
        <w:t>24 </w:t>
      </w:r>
      <w:r>
        <w:rPr>
          <w:rFonts w:ascii="Calibri" w:hAnsi="Calibri"/>
          <w:color w:val="231F20"/>
          <w:w w:val="105"/>
          <w:sz w:val="17"/>
        </w:rPr>
        <w:t>García Ramírez, “Garantías individuales y régimen constitucional sobre la delincuencia </w:t>
      </w:r>
      <w:r>
        <w:rPr>
          <w:rFonts w:ascii="Calibri" w:hAnsi="Calibri"/>
          <w:color w:val="231F20"/>
          <w:w w:val="95"/>
          <w:sz w:val="17"/>
        </w:rPr>
        <w:t>organizada”, pp. 152–153.</w:t>
      </w:r>
    </w:p>
    <w:p>
      <w:pPr>
        <w:spacing w:before="1"/>
        <w:ind w:left="103" w:right="0" w:firstLine="0"/>
        <w:jc w:val="left"/>
        <w:rPr>
          <w:rFonts w:ascii="Calibri" w:hAnsi="Calibri"/>
          <w:sz w:val="17"/>
        </w:rPr>
      </w:pPr>
      <w:r>
        <w:rPr>
          <w:rFonts w:ascii="Calibri" w:hAnsi="Calibri"/>
          <w:color w:val="231F20"/>
          <w:position w:val="6"/>
          <w:sz w:val="10"/>
        </w:rPr>
        <w:t>25 </w:t>
      </w:r>
      <w:r>
        <w:rPr>
          <w:rFonts w:ascii="Calibri" w:hAnsi="Calibri"/>
          <w:color w:val="231F20"/>
          <w:sz w:val="17"/>
        </w:rPr>
        <w:t>S. García Ramírez, “Sabor veneno”, </w:t>
      </w:r>
      <w:r>
        <w:rPr>
          <w:rFonts w:ascii="Calibri" w:hAnsi="Calibri"/>
          <w:i/>
          <w:color w:val="231F20"/>
          <w:sz w:val="17"/>
        </w:rPr>
        <w:t>El Universal</w:t>
      </w:r>
      <w:r>
        <w:rPr>
          <w:rFonts w:ascii="Calibri" w:hAnsi="Calibri"/>
          <w:color w:val="231F20"/>
          <w:sz w:val="17"/>
        </w:rPr>
        <w:t>, México, 22 de febrero de 2008, p 14.</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5640"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32</w:t>
        <w:tab/>
      </w:r>
      <w:r>
        <w:rPr>
          <w:rFonts w:ascii="Calibri" w:hAnsi="Calibri"/>
          <w:color w:val="6D6E71"/>
          <w:w w:val="105"/>
          <w:sz w:val="16"/>
        </w:rPr>
        <w:t>Jorge</w:t>
      </w:r>
      <w:r>
        <w:rPr>
          <w:rFonts w:ascii="Calibri" w:hAnsi="Calibri"/>
          <w:color w:val="6D6E71"/>
          <w:spacing w:val="-25"/>
          <w:w w:val="105"/>
          <w:sz w:val="16"/>
        </w:rPr>
        <w:t> </w:t>
      </w:r>
      <w:r>
        <w:rPr>
          <w:rFonts w:ascii="Calibri" w:hAnsi="Calibri"/>
          <w:color w:val="6D6E71"/>
          <w:w w:val="105"/>
          <w:sz w:val="16"/>
        </w:rPr>
        <w:t>Olvera</w:t>
      </w:r>
      <w:r>
        <w:rPr>
          <w:rFonts w:ascii="Calibri" w:hAnsi="Calibri"/>
          <w:color w:val="6D6E71"/>
          <w:spacing w:val="-25"/>
          <w:w w:val="105"/>
          <w:sz w:val="16"/>
        </w:rPr>
        <w:t> </w:t>
      </w:r>
      <w:r>
        <w:rPr>
          <w:rFonts w:ascii="Calibri" w:hAnsi="Calibri"/>
          <w:color w:val="6D6E71"/>
          <w:w w:val="105"/>
          <w:sz w:val="16"/>
        </w:rPr>
        <w:t>García</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597"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559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5"/>
          <w:sz w:val="14"/>
        </w:rPr>
        <w:t>CAMBIAMENTO</w:t>
      </w:r>
      <w:r>
        <w:rPr>
          <w:rFonts w:ascii="Lucida Sans Unicode" w:hAnsi="Lucida Sans Unicode"/>
          <w:color w:val="6D6E71"/>
          <w:spacing w:val="-25"/>
          <w:w w:val="95"/>
          <w:sz w:val="14"/>
        </w:rPr>
        <w:t> </w:t>
      </w:r>
      <w:r>
        <w:rPr>
          <w:rFonts w:ascii="Lucida Sans Unicode" w:hAnsi="Lucida Sans Unicode"/>
          <w:color w:val="6D6E71"/>
          <w:w w:val="95"/>
          <w:sz w:val="14"/>
        </w:rPr>
        <w:t>DI</w:t>
      </w:r>
      <w:r>
        <w:rPr>
          <w:rFonts w:ascii="Lucida Sans Unicode" w:hAnsi="Lucida Sans Unicode"/>
          <w:color w:val="6D6E71"/>
          <w:spacing w:val="-25"/>
          <w:w w:val="95"/>
          <w:sz w:val="14"/>
        </w:rPr>
        <w:t> </w:t>
      </w:r>
      <w:r>
        <w:rPr>
          <w:rFonts w:ascii="Lucida Sans Unicode" w:hAnsi="Lucida Sans Unicode"/>
          <w:color w:val="6D6E71"/>
          <w:w w:val="95"/>
          <w:sz w:val="14"/>
        </w:rPr>
        <w:t>PARADIGMA</w:t>
      </w:r>
      <w:r>
        <w:rPr>
          <w:rFonts w:ascii="Lucida Sans Unicode" w:hAnsi="Lucida Sans Unicode"/>
          <w:color w:val="6D6E71"/>
          <w:spacing w:val="-25"/>
          <w:w w:val="95"/>
          <w:sz w:val="14"/>
        </w:rPr>
        <w:t> </w:t>
      </w:r>
      <w:r>
        <w:rPr>
          <w:rFonts w:ascii="Lucida Sans Unicode" w:hAnsi="Lucida Sans Unicode"/>
          <w:color w:val="6D6E71"/>
          <w:w w:val="95"/>
          <w:sz w:val="14"/>
        </w:rPr>
        <w:t>GIURIDICO:</w:t>
      </w:r>
      <w:r>
        <w:rPr>
          <w:rFonts w:ascii="Lucida Sans Unicode" w:hAnsi="Lucida Sans Unicode"/>
          <w:color w:val="6D6E71"/>
          <w:spacing w:val="-25"/>
          <w:w w:val="95"/>
          <w:sz w:val="14"/>
        </w:rPr>
        <w:t> </w:t>
      </w:r>
      <w:r>
        <w:rPr>
          <w:rFonts w:ascii="Lucida Sans Unicode" w:hAnsi="Lucida Sans Unicode"/>
          <w:color w:val="6D6E71"/>
          <w:spacing w:val="-3"/>
          <w:w w:val="95"/>
          <w:sz w:val="14"/>
        </w:rPr>
        <w:t>L’11–S</w:t>
      </w:r>
      <w:r>
        <w:rPr>
          <w:rFonts w:ascii="Lucida Sans Unicode" w:hAnsi="Lucida Sans Unicode"/>
          <w:color w:val="6D6E71"/>
          <w:spacing w:val="-25"/>
          <w:w w:val="95"/>
          <w:sz w:val="14"/>
        </w:rPr>
        <w:t> </w:t>
      </w:r>
      <w:r>
        <w:rPr>
          <w:rFonts w:ascii="Lucida Sans Unicode" w:hAnsi="Lucida Sans Unicode"/>
          <w:color w:val="6D6E71"/>
          <w:w w:val="95"/>
          <w:sz w:val="14"/>
        </w:rPr>
        <w:t>E</w:t>
      </w:r>
      <w:r>
        <w:rPr>
          <w:rFonts w:ascii="Lucida Sans Unicode" w:hAnsi="Lucida Sans Unicode"/>
          <w:color w:val="6D6E71"/>
          <w:spacing w:val="-25"/>
          <w:w w:val="95"/>
          <w:sz w:val="14"/>
        </w:rPr>
        <w:t> </w:t>
      </w:r>
      <w:r>
        <w:rPr>
          <w:rFonts w:ascii="Lucida Sans Unicode" w:hAnsi="Lucida Sans Unicode"/>
          <w:color w:val="6D6E71"/>
          <w:w w:val="95"/>
          <w:sz w:val="14"/>
        </w:rPr>
        <w:t>LA</w:t>
      </w:r>
      <w:r>
        <w:rPr>
          <w:rFonts w:ascii="Lucida Sans Unicode" w:hAnsi="Lucida Sans Unicode"/>
          <w:color w:val="6D6E71"/>
          <w:spacing w:val="-25"/>
          <w:w w:val="95"/>
          <w:sz w:val="14"/>
        </w:rPr>
        <w:t> </w:t>
      </w:r>
      <w:r>
        <w:rPr>
          <w:rFonts w:ascii="Lucida Sans Unicode" w:hAnsi="Lucida Sans Unicode"/>
          <w:color w:val="6D6E71"/>
          <w:w w:val="95"/>
          <w:sz w:val="14"/>
        </w:rPr>
        <w:t>CRIMINALITÀ</w:t>
      </w:r>
      <w:r>
        <w:rPr>
          <w:rFonts w:ascii="Lucida Sans Unicode" w:hAnsi="Lucida Sans Unicode"/>
          <w:color w:val="6D6E71"/>
          <w:spacing w:val="-25"/>
          <w:w w:val="95"/>
          <w:sz w:val="14"/>
        </w:rPr>
        <w:t> </w:t>
      </w:r>
      <w:r>
        <w:rPr>
          <w:rFonts w:ascii="Lucida Sans Unicode" w:hAnsi="Lucida Sans Unicode"/>
          <w:color w:val="6D6E71"/>
          <w:w w:val="95"/>
          <w:sz w:val="14"/>
        </w:rPr>
        <w:t>ORGANIZZATA</w:t>
      </w:r>
      <w:r>
        <w:rPr>
          <w:rFonts w:ascii="Lucida Sans Unicode" w:hAnsi="Lucida Sans Unicode"/>
          <w:color w:val="6D6E71"/>
          <w:spacing w:val="-25"/>
          <w:w w:val="95"/>
          <w:sz w:val="14"/>
        </w:rPr>
        <w:t> </w:t>
      </w:r>
      <w:r>
        <w:rPr>
          <w:rFonts w:ascii="Lucida Sans Unicode" w:hAnsi="Lucida Sans Unicode"/>
          <w:color w:val="6D6E71"/>
          <w:w w:val="95"/>
          <w:sz w:val="14"/>
        </w:rPr>
        <w:t>IN</w:t>
      </w:r>
      <w:r>
        <w:rPr>
          <w:rFonts w:ascii="Lucida Sans Unicode" w:hAnsi="Lucida Sans Unicode"/>
          <w:color w:val="6D6E71"/>
          <w:spacing w:val="-25"/>
          <w:w w:val="95"/>
          <w:sz w:val="14"/>
        </w:rPr>
        <w:t> </w:t>
      </w:r>
      <w:r>
        <w:rPr>
          <w:rFonts w:ascii="Lucida Sans Unicode" w:hAnsi="Lucida Sans Unicode"/>
          <w:color w:val="6D6E71"/>
          <w:w w:val="95"/>
          <w:sz w:val="14"/>
        </w:rPr>
        <w:t>MESSICO</w:t>
      </w:r>
      <w:r>
        <w:rPr>
          <w:rFonts w:ascii="Trebuchet MS" w:hAnsi="Trebuchet MS"/>
          <w:color w:val="414042"/>
          <w:w w:val="95"/>
          <w:position w:val="-3"/>
          <w:sz w:val="20"/>
        </w:rPr>
        <w:tab/>
        <w:t>33</w:t>
      </w:r>
    </w:p>
    <w:p>
      <w:pPr>
        <w:pStyle w:val="BodyText"/>
        <w:rPr>
          <w:rFonts w:ascii="Trebuchet MS"/>
          <w:sz w:val="20"/>
        </w:rPr>
      </w:pPr>
    </w:p>
    <w:p>
      <w:pPr>
        <w:pStyle w:val="BodyText"/>
        <w:rPr>
          <w:rFonts w:ascii="Trebuchet MS"/>
          <w:sz w:val="20"/>
        </w:rPr>
      </w:pPr>
    </w:p>
    <w:p>
      <w:pPr>
        <w:spacing w:before="170"/>
        <w:ind w:left="117" w:right="0" w:firstLine="0"/>
        <w:jc w:val="both"/>
        <w:rPr>
          <w:rFonts w:ascii="Arial"/>
          <w:i/>
          <w:sz w:val="21"/>
        </w:rPr>
      </w:pPr>
      <w:r>
        <w:rPr>
          <w:rFonts w:ascii="Arial"/>
          <w:i/>
          <w:color w:val="231F20"/>
          <w:w w:val="105"/>
          <w:sz w:val="21"/>
        </w:rPr>
        <w:t>A modo di conclusione</w:t>
      </w:r>
    </w:p>
    <w:p>
      <w:pPr>
        <w:pStyle w:val="BodyText"/>
        <w:rPr>
          <w:rFonts w:ascii="Arial"/>
          <w:i/>
          <w:sz w:val="20"/>
        </w:rPr>
      </w:pPr>
    </w:p>
    <w:p>
      <w:pPr>
        <w:pStyle w:val="BodyText"/>
        <w:spacing w:line="247" w:lineRule="auto" w:before="172"/>
        <w:ind w:left="117" w:right="98"/>
        <w:jc w:val="both"/>
      </w:pPr>
      <w:r>
        <w:rPr>
          <w:color w:val="231F20"/>
          <w:w w:val="105"/>
        </w:rPr>
        <w:t>Giuridicamente</w:t>
      </w:r>
      <w:r>
        <w:rPr>
          <w:color w:val="231F20"/>
          <w:spacing w:val="-31"/>
          <w:w w:val="105"/>
        </w:rPr>
        <w:t> </w:t>
      </w:r>
      <w:r>
        <w:rPr>
          <w:color w:val="231F20"/>
          <w:w w:val="105"/>
        </w:rPr>
        <w:t>e</w:t>
      </w:r>
      <w:r>
        <w:rPr>
          <w:color w:val="231F20"/>
          <w:spacing w:val="-31"/>
          <w:w w:val="105"/>
        </w:rPr>
        <w:t> </w:t>
      </w:r>
      <w:r>
        <w:rPr>
          <w:color w:val="231F20"/>
          <w:w w:val="105"/>
        </w:rPr>
        <w:t>teoricamente</w:t>
      </w:r>
      <w:r>
        <w:rPr>
          <w:color w:val="231F20"/>
          <w:spacing w:val="-31"/>
          <w:w w:val="105"/>
        </w:rPr>
        <w:t> </w:t>
      </w:r>
      <w:r>
        <w:rPr>
          <w:color w:val="231F20"/>
          <w:w w:val="105"/>
        </w:rPr>
        <w:t>la</w:t>
      </w:r>
      <w:r>
        <w:rPr>
          <w:color w:val="231F20"/>
          <w:spacing w:val="-31"/>
          <w:w w:val="105"/>
        </w:rPr>
        <w:t> </w:t>
      </w:r>
      <w:r>
        <w:rPr>
          <w:color w:val="231F20"/>
          <w:w w:val="105"/>
        </w:rPr>
        <w:t>posizione</w:t>
      </w:r>
      <w:r>
        <w:rPr>
          <w:color w:val="231F20"/>
          <w:spacing w:val="-31"/>
          <w:w w:val="105"/>
        </w:rPr>
        <w:t> </w:t>
      </w:r>
      <w:r>
        <w:rPr>
          <w:color w:val="231F20"/>
          <w:w w:val="105"/>
        </w:rPr>
        <w:t>decisionista</w:t>
      </w:r>
      <w:r>
        <w:rPr>
          <w:color w:val="231F20"/>
          <w:spacing w:val="-31"/>
          <w:w w:val="105"/>
        </w:rPr>
        <w:t> </w:t>
      </w:r>
      <w:r>
        <w:rPr>
          <w:color w:val="231F20"/>
          <w:w w:val="105"/>
        </w:rPr>
        <w:t>di</w:t>
      </w:r>
      <w:r>
        <w:rPr>
          <w:color w:val="231F20"/>
          <w:spacing w:val="-31"/>
          <w:w w:val="105"/>
        </w:rPr>
        <w:t> </w:t>
      </w:r>
      <w:r>
        <w:rPr>
          <w:color w:val="231F20"/>
          <w:w w:val="105"/>
        </w:rPr>
        <w:t>Carl</w:t>
      </w:r>
      <w:r>
        <w:rPr>
          <w:color w:val="231F20"/>
          <w:spacing w:val="-31"/>
          <w:w w:val="105"/>
        </w:rPr>
        <w:t> </w:t>
      </w:r>
      <w:r>
        <w:rPr>
          <w:color w:val="231F20"/>
          <w:w w:val="105"/>
        </w:rPr>
        <w:t>Schmitt</w:t>
      </w:r>
      <w:r>
        <w:rPr>
          <w:color w:val="231F20"/>
          <w:spacing w:val="-31"/>
          <w:w w:val="105"/>
        </w:rPr>
        <w:t> </w:t>
      </w:r>
      <w:r>
        <w:rPr>
          <w:color w:val="231F20"/>
          <w:w w:val="105"/>
        </w:rPr>
        <w:t>e</w:t>
      </w:r>
      <w:r>
        <w:rPr>
          <w:color w:val="231F20"/>
          <w:spacing w:val="-31"/>
          <w:w w:val="105"/>
        </w:rPr>
        <w:t> </w:t>
      </w:r>
      <w:r>
        <w:rPr>
          <w:color w:val="231F20"/>
          <w:w w:val="105"/>
        </w:rPr>
        <w:t>il </w:t>
      </w:r>
      <w:r>
        <w:rPr>
          <w:color w:val="231F20"/>
          <w:w w:val="105"/>
          <w:sz w:val="18"/>
        </w:rPr>
        <w:t>DPN</w:t>
      </w:r>
      <w:r>
        <w:rPr>
          <w:color w:val="231F20"/>
          <w:spacing w:val="-15"/>
          <w:w w:val="105"/>
          <w:sz w:val="18"/>
        </w:rPr>
        <w:t> </w:t>
      </w:r>
      <w:r>
        <w:rPr>
          <w:color w:val="231F20"/>
          <w:w w:val="105"/>
        </w:rPr>
        <w:t>di</w:t>
      </w:r>
      <w:r>
        <w:rPr>
          <w:color w:val="231F20"/>
          <w:spacing w:val="-25"/>
          <w:w w:val="105"/>
        </w:rPr>
        <w:t> </w:t>
      </w:r>
      <w:r>
        <w:rPr>
          <w:color w:val="231F20"/>
          <w:w w:val="105"/>
        </w:rPr>
        <w:t>Günther</w:t>
      </w:r>
      <w:r>
        <w:rPr>
          <w:color w:val="231F20"/>
          <w:spacing w:val="-25"/>
          <w:w w:val="105"/>
        </w:rPr>
        <w:t> </w:t>
      </w:r>
      <w:r>
        <w:rPr>
          <w:color w:val="231F20"/>
          <w:w w:val="105"/>
        </w:rPr>
        <w:t>Jakobs</w:t>
      </w:r>
      <w:r>
        <w:rPr>
          <w:color w:val="231F20"/>
          <w:spacing w:val="-25"/>
          <w:w w:val="105"/>
        </w:rPr>
        <w:t> </w:t>
      </w:r>
      <w:r>
        <w:rPr>
          <w:color w:val="231F20"/>
          <w:w w:val="105"/>
        </w:rPr>
        <w:t>hanno</w:t>
      </w:r>
      <w:r>
        <w:rPr>
          <w:color w:val="231F20"/>
          <w:spacing w:val="-25"/>
          <w:w w:val="105"/>
        </w:rPr>
        <w:t> </w:t>
      </w:r>
      <w:r>
        <w:rPr>
          <w:color w:val="231F20"/>
          <w:w w:val="105"/>
        </w:rPr>
        <w:t>tutta</w:t>
      </w:r>
      <w:r>
        <w:rPr>
          <w:color w:val="231F20"/>
          <w:spacing w:val="-25"/>
          <w:w w:val="105"/>
        </w:rPr>
        <w:t> </w:t>
      </w:r>
      <w:r>
        <w:rPr>
          <w:color w:val="231F20"/>
          <w:w w:val="105"/>
        </w:rPr>
        <w:t>validità</w:t>
      </w:r>
      <w:r>
        <w:rPr>
          <w:color w:val="231F20"/>
          <w:spacing w:val="-25"/>
          <w:w w:val="105"/>
        </w:rPr>
        <w:t> </w:t>
      </w:r>
      <w:r>
        <w:rPr>
          <w:color w:val="231F20"/>
          <w:w w:val="105"/>
        </w:rPr>
        <w:t>e</w:t>
      </w:r>
      <w:r>
        <w:rPr>
          <w:color w:val="231F20"/>
          <w:spacing w:val="-25"/>
          <w:w w:val="105"/>
        </w:rPr>
        <w:t> </w:t>
      </w:r>
      <w:r>
        <w:rPr>
          <w:color w:val="231F20"/>
          <w:w w:val="105"/>
        </w:rPr>
        <w:t>certezza,</w:t>
      </w:r>
      <w:r>
        <w:rPr>
          <w:color w:val="231F20"/>
          <w:spacing w:val="-25"/>
          <w:w w:val="105"/>
        </w:rPr>
        <w:t> </w:t>
      </w:r>
      <w:r>
        <w:rPr>
          <w:color w:val="231F20"/>
          <w:w w:val="105"/>
        </w:rPr>
        <w:t>rappresentano</w:t>
      </w:r>
      <w:r>
        <w:rPr>
          <w:color w:val="231F20"/>
          <w:spacing w:val="-25"/>
          <w:w w:val="105"/>
        </w:rPr>
        <w:t> </w:t>
      </w:r>
      <w:r>
        <w:rPr>
          <w:color w:val="231F20"/>
          <w:w w:val="105"/>
        </w:rPr>
        <w:t>una forma</w:t>
      </w:r>
      <w:r>
        <w:rPr>
          <w:color w:val="231F20"/>
          <w:spacing w:val="-22"/>
          <w:w w:val="105"/>
        </w:rPr>
        <w:t> </w:t>
      </w:r>
      <w:r>
        <w:rPr>
          <w:color w:val="231F20"/>
          <w:w w:val="105"/>
        </w:rPr>
        <w:t>non</w:t>
      </w:r>
      <w:r>
        <w:rPr>
          <w:color w:val="231F20"/>
          <w:spacing w:val="-22"/>
          <w:w w:val="105"/>
        </w:rPr>
        <w:t> </w:t>
      </w:r>
      <w:r>
        <w:rPr>
          <w:color w:val="231F20"/>
          <w:w w:val="105"/>
        </w:rPr>
        <w:t>solo</w:t>
      </w:r>
      <w:r>
        <w:rPr>
          <w:color w:val="231F20"/>
          <w:spacing w:val="-22"/>
          <w:w w:val="105"/>
        </w:rPr>
        <w:t> </w:t>
      </w:r>
      <w:r>
        <w:rPr>
          <w:color w:val="231F20"/>
          <w:w w:val="105"/>
        </w:rPr>
        <w:t>di</w:t>
      </w:r>
      <w:r>
        <w:rPr>
          <w:color w:val="231F20"/>
          <w:spacing w:val="-22"/>
          <w:w w:val="105"/>
        </w:rPr>
        <w:t> </w:t>
      </w:r>
      <w:r>
        <w:rPr>
          <w:color w:val="231F20"/>
          <w:w w:val="105"/>
        </w:rPr>
        <w:t>capire</w:t>
      </w:r>
      <w:r>
        <w:rPr>
          <w:color w:val="231F20"/>
          <w:spacing w:val="-22"/>
          <w:w w:val="105"/>
        </w:rPr>
        <w:t> </w:t>
      </w:r>
      <w:r>
        <w:rPr>
          <w:color w:val="231F20"/>
          <w:w w:val="105"/>
        </w:rPr>
        <w:t>il</w:t>
      </w:r>
      <w:r>
        <w:rPr>
          <w:color w:val="231F20"/>
          <w:spacing w:val="-22"/>
          <w:w w:val="105"/>
        </w:rPr>
        <w:t> </w:t>
      </w:r>
      <w:r>
        <w:rPr>
          <w:color w:val="231F20"/>
          <w:w w:val="105"/>
        </w:rPr>
        <w:t>Diritto</w:t>
      </w:r>
      <w:r>
        <w:rPr>
          <w:color w:val="231F20"/>
          <w:spacing w:val="-22"/>
          <w:w w:val="105"/>
        </w:rPr>
        <w:t> </w:t>
      </w:r>
      <w:r>
        <w:rPr>
          <w:color w:val="231F20"/>
          <w:w w:val="105"/>
        </w:rPr>
        <w:t>ma</w:t>
      </w:r>
      <w:r>
        <w:rPr>
          <w:color w:val="231F20"/>
          <w:spacing w:val="-22"/>
          <w:w w:val="105"/>
        </w:rPr>
        <w:t> </w:t>
      </w:r>
      <w:r>
        <w:rPr>
          <w:color w:val="231F20"/>
          <w:w w:val="105"/>
        </w:rPr>
        <w:t>anche</w:t>
      </w:r>
      <w:r>
        <w:rPr>
          <w:color w:val="231F20"/>
          <w:spacing w:val="-22"/>
          <w:w w:val="105"/>
        </w:rPr>
        <w:t> </w:t>
      </w:r>
      <w:r>
        <w:rPr>
          <w:color w:val="231F20"/>
          <w:w w:val="105"/>
        </w:rPr>
        <w:t>la</w:t>
      </w:r>
      <w:r>
        <w:rPr>
          <w:color w:val="231F20"/>
          <w:spacing w:val="-22"/>
          <w:w w:val="105"/>
        </w:rPr>
        <w:t> </w:t>
      </w:r>
      <w:r>
        <w:rPr>
          <w:color w:val="231F20"/>
          <w:w w:val="105"/>
        </w:rPr>
        <w:t>politica</w:t>
      </w:r>
      <w:r>
        <w:rPr>
          <w:color w:val="231F20"/>
          <w:spacing w:val="-22"/>
          <w:w w:val="105"/>
        </w:rPr>
        <w:t> </w:t>
      </w:r>
      <w:r>
        <w:rPr>
          <w:color w:val="231F20"/>
          <w:w w:val="105"/>
        </w:rPr>
        <w:t>stessa.</w:t>
      </w:r>
      <w:r>
        <w:rPr>
          <w:color w:val="231F20"/>
          <w:spacing w:val="-22"/>
          <w:w w:val="105"/>
        </w:rPr>
        <w:t> </w:t>
      </w:r>
      <w:r>
        <w:rPr>
          <w:color w:val="231F20"/>
          <w:w w:val="105"/>
        </w:rPr>
        <w:t>Nonostante, sono</w:t>
      </w:r>
      <w:r>
        <w:rPr>
          <w:color w:val="231F20"/>
          <w:spacing w:val="-45"/>
          <w:w w:val="105"/>
        </w:rPr>
        <w:t> </w:t>
      </w:r>
      <w:r>
        <w:rPr>
          <w:color w:val="231F20"/>
          <w:w w:val="105"/>
        </w:rPr>
        <w:t>posizioni</w:t>
      </w:r>
      <w:r>
        <w:rPr>
          <w:color w:val="231F20"/>
          <w:spacing w:val="-45"/>
          <w:w w:val="105"/>
        </w:rPr>
        <w:t> </w:t>
      </w:r>
      <w:r>
        <w:rPr>
          <w:color w:val="231F20"/>
          <w:w w:val="105"/>
        </w:rPr>
        <w:t>che</w:t>
      </w:r>
      <w:r>
        <w:rPr>
          <w:color w:val="231F20"/>
          <w:spacing w:val="-45"/>
          <w:w w:val="105"/>
        </w:rPr>
        <w:t> </w:t>
      </w:r>
      <w:r>
        <w:rPr>
          <w:color w:val="231F20"/>
          <w:w w:val="105"/>
        </w:rPr>
        <w:t>si</w:t>
      </w:r>
      <w:r>
        <w:rPr>
          <w:color w:val="231F20"/>
          <w:spacing w:val="-45"/>
          <w:w w:val="105"/>
        </w:rPr>
        <w:t> </w:t>
      </w:r>
      <w:r>
        <w:rPr>
          <w:color w:val="231F20"/>
          <w:w w:val="105"/>
        </w:rPr>
        <w:t>esprimono</w:t>
      </w:r>
      <w:r>
        <w:rPr>
          <w:color w:val="231F20"/>
          <w:spacing w:val="-45"/>
          <w:w w:val="105"/>
        </w:rPr>
        <w:t> </w:t>
      </w:r>
      <w:r>
        <w:rPr>
          <w:color w:val="231F20"/>
          <w:w w:val="105"/>
        </w:rPr>
        <w:t>contrarie</w:t>
      </w:r>
      <w:r>
        <w:rPr>
          <w:color w:val="231F20"/>
          <w:spacing w:val="-45"/>
          <w:w w:val="105"/>
        </w:rPr>
        <w:t> </w:t>
      </w:r>
      <w:r>
        <w:rPr>
          <w:color w:val="231F20"/>
          <w:w w:val="105"/>
        </w:rPr>
        <w:t>in</w:t>
      </w:r>
      <w:r>
        <w:rPr>
          <w:color w:val="231F20"/>
          <w:spacing w:val="-45"/>
          <w:w w:val="105"/>
        </w:rPr>
        <w:t> </w:t>
      </w:r>
      <w:r>
        <w:rPr>
          <w:color w:val="231F20"/>
          <w:w w:val="105"/>
        </w:rPr>
        <w:t>molti</w:t>
      </w:r>
      <w:r>
        <w:rPr>
          <w:color w:val="231F20"/>
          <w:spacing w:val="-45"/>
          <w:w w:val="105"/>
        </w:rPr>
        <w:t> </w:t>
      </w:r>
      <w:r>
        <w:rPr>
          <w:color w:val="231F20"/>
          <w:w w:val="105"/>
        </w:rPr>
        <w:t>punti</w:t>
      </w:r>
      <w:r>
        <w:rPr>
          <w:color w:val="231F20"/>
          <w:spacing w:val="-45"/>
          <w:w w:val="105"/>
        </w:rPr>
        <w:t> </w:t>
      </w:r>
      <w:r>
        <w:rPr>
          <w:color w:val="231F20"/>
          <w:w w:val="105"/>
        </w:rPr>
        <w:t>agli</w:t>
      </w:r>
      <w:r>
        <w:rPr>
          <w:color w:val="231F20"/>
          <w:spacing w:val="-45"/>
          <w:w w:val="105"/>
        </w:rPr>
        <w:t> </w:t>
      </w:r>
      <w:r>
        <w:rPr>
          <w:color w:val="231F20"/>
          <w:w w:val="105"/>
        </w:rPr>
        <w:t>ideali</w:t>
      </w:r>
      <w:r>
        <w:rPr>
          <w:color w:val="231F20"/>
          <w:spacing w:val="-45"/>
          <w:w w:val="105"/>
        </w:rPr>
        <w:t> </w:t>
      </w:r>
      <w:r>
        <w:rPr>
          <w:color w:val="231F20"/>
          <w:w w:val="105"/>
        </w:rPr>
        <w:t>dello</w:t>
      </w:r>
      <w:r>
        <w:rPr>
          <w:color w:val="231F20"/>
          <w:spacing w:val="-45"/>
          <w:w w:val="105"/>
        </w:rPr>
        <w:t> </w:t>
      </w:r>
      <w:r>
        <w:rPr>
          <w:color w:val="231F20"/>
          <w:w w:val="105"/>
        </w:rPr>
        <w:t>Stato di</w:t>
      </w:r>
      <w:r>
        <w:rPr>
          <w:color w:val="231F20"/>
          <w:spacing w:val="-21"/>
          <w:w w:val="105"/>
        </w:rPr>
        <w:t> </w:t>
      </w:r>
      <w:r>
        <w:rPr>
          <w:color w:val="231F20"/>
          <w:w w:val="105"/>
        </w:rPr>
        <w:t>diritto</w:t>
      </w:r>
      <w:r>
        <w:rPr>
          <w:color w:val="231F20"/>
          <w:spacing w:val="-21"/>
          <w:w w:val="105"/>
        </w:rPr>
        <w:t> </w:t>
      </w:r>
      <w:r>
        <w:rPr>
          <w:color w:val="231F20"/>
          <w:w w:val="105"/>
        </w:rPr>
        <w:t>liberale–democratico,</w:t>
      </w:r>
      <w:r>
        <w:rPr>
          <w:color w:val="231F20"/>
          <w:spacing w:val="-21"/>
          <w:w w:val="105"/>
        </w:rPr>
        <w:t> </w:t>
      </w:r>
      <w:r>
        <w:rPr>
          <w:color w:val="231F20"/>
          <w:w w:val="105"/>
        </w:rPr>
        <w:t>il</w:t>
      </w:r>
      <w:r>
        <w:rPr>
          <w:color w:val="231F20"/>
          <w:spacing w:val="-21"/>
          <w:w w:val="105"/>
        </w:rPr>
        <w:t> </w:t>
      </w:r>
      <w:r>
        <w:rPr>
          <w:color w:val="231F20"/>
          <w:w w:val="105"/>
        </w:rPr>
        <w:t>quale</w:t>
      </w:r>
      <w:r>
        <w:rPr>
          <w:color w:val="231F20"/>
          <w:spacing w:val="-21"/>
          <w:w w:val="105"/>
        </w:rPr>
        <w:t> </w:t>
      </w:r>
      <w:r>
        <w:rPr>
          <w:color w:val="231F20"/>
          <w:w w:val="105"/>
        </w:rPr>
        <w:t>sostiene</w:t>
      </w:r>
      <w:r>
        <w:rPr>
          <w:color w:val="231F20"/>
          <w:spacing w:val="-21"/>
          <w:w w:val="105"/>
        </w:rPr>
        <w:t> </w:t>
      </w:r>
      <w:r>
        <w:rPr>
          <w:color w:val="231F20"/>
          <w:w w:val="105"/>
        </w:rPr>
        <w:t>la</w:t>
      </w:r>
      <w:r>
        <w:rPr>
          <w:color w:val="231F20"/>
          <w:spacing w:val="-21"/>
          <w:w w:val="105"/>
        </w:rPr>
        <w:t> </w:t>
      </w:r>
      <w:r>
        <w:rPr>
          <w:color w:val="231F20"/>
          <w:w w:val="105"/>
        </w:rPr>
        <w:t>separazione</w:t>
      </w:r>
      <w:r>
        <w:rPr>
          <w:color w:val="231F20"/>
          <w:spacing w:val="-21"/>
          <w:w w:val="105"/>
        </w:rPr>
        <w:t> </w:t>
      </w:r>
      <w:r>
        <w:rPr>
          <w:color w:val="231F20"/>
          <w:w w:val="105"/>
        </w:rPr>
        <w:t>dei</w:t>
      </w:r>
      <w:r>
        <w:rPr>
          <w:color w:val="231F20"/>
          <w:spacing w:val="-21"/>
          <w:w w:val="105"/>
        </w:rPr>
        <w:t> </w:t>
      </w:r>
      <w:r>
        <w:rPr>
          <w:color w:val="231F20"/>
          <w:w w:val="105"/>
        </w:rPr>
        <w:t>poteri, </w:t>
      </w:r>
      <w:r>
        <w:rPr>
          <w:color w:val="231F20"/>
          <w:spacing w:val="-4"/>
          <w:w w:val="105"/>
        </w:rPr>
        <w:t>l’impero</w:t>
      </w:r>
      <w:r>
        <w:rPr>
          <w:color w:val="231F20"/>
          <w:spacing w:val="-45"/>
          <w:w w:val="105"/>
        </w:rPr>
        <w:t> </w:t>
      </w:r>
      <w:r>
        <w:rPr>
          <w:color w:val="231F20"/>
          <w:w w:val="105"/>
        </w:rPr>
        <w:t>e</w:t>
      </w:r>
      <w:r>
        <w:rPr>
          <w:color w:val="231F20"/>
          <w:spacing w:val="-45"/>
          <w:w w:val="105"/>
        </w:rPr>
        <w:t> </w:t>
      </w:r>
      <w:r>
        <w:rPr>
          <w:color w:val="231F20"/>
          <w:spacing w:val="-4"/>
          <w:w w:val="105"/>
        </w:rPr>
        <w:t>l’uguaglianza</w:t>
      </w:r>
      <w:r>
        <w:rPr>
          <w:color w:val="231F20"/>
          <w:spacing w:val="-45"/>
          <w:w w:val="105"/>
        </w:rPr>
        <w:t> </w:t>
      </w:r>
      <w:r>
        <w:rPr>
          <w:color w:val="231F20"/>
          <w:spacing w:val="-4"/>
          <w:w w:val="105"/>
        </w:rPr>
        <w:t>davanti</w:t>
      </w:r>
      <w:r>
        <w:rPr>
          <w:color w:val="231F20"/>
          <w:spacing w:val="-45"/>
          <w:w w:val="105"/>
        </w:rPr>
        <w:t> </w:t>
      </w:r>
      <w:r>
        <w:rPr>
          <w:color w:val="231F20"/>
          <w:spacing w:val="-3"/>
          <w:w w:val="105"/>
        </w:rPr>
        <w:t>alla</w:t>
      </w:r>
      <w:r>
        <w:rPr>
          <w:color w:val="231F20"/>
          <w:spacing w:val="-45"/>
          <w:w w:val="105"/>
        </w:rPr>
        <w:t> </w:t>
      </w:r>
      <w:r>
        <w:rPr>
          <w:color w:val="231F20"/>
          <w:spacing w:val="-4"/>
          <w:w w:val="105"/>
        </w:rPr>
        <w:t>legge.</w:t>
      </w:r>
      <w:r>
        <w:rPr>
          <w:color w:val="231F20"/>
          <w:spacing w:val="-45"/>
          <w:w w:val="105"/>
        </w:rPr>
        <w:t> </w:t>
      </w:r>
      <w:r>
        <w:rPr>
          <w:color w:val="231F20"/>
          <w:spacing w:val="-4"/>
          <w:w w:val="105"/>
        </w:rPr>
        <w:t>Sotto</w:t>
      </w:r>
      <w:r>
        <w:rPr>
          <w:color w:val="231F20"/>
          <w:spacing w:val="-45"/>
          <w:w w:val="105"/>
        </w:rPr>
        <w:t> </w:t>
      </w:r>
      <w:r>
        <w:rPr>
          <w:color w:val="231F20"/>
          <w:spacing w:val="-4"/>
          <w:w w:val="105"/>
        </w:rPr>
        <w:t>questo</w:t>
      </w:r>
      <w:r>
        <w:rPr>
          <w:color w:val="231F20"/>
          <w:spacing w:val="-45"/>
          <w:w w:val="105"/>
        </w:rPr>
        <w:t> </w:t>
      </w:r>
      <w:r>
        <w:rPr>
          <w:color w:val="231F20"/>
          <w:spacing w:val="-4"/>
          <w:w w:val="105"/>
        </w:rPr>
        <w:t>paradigma,</w:t>
      </w:r>
      <w:r>
        <w:rPr>
          <w:color w:val="231F20"/>
          <w:spacing w:val="-45"/>
          <w:w w:val="105"/>
        </w:rPr>
        <w:t> </w:t>
      </w:r>
      <w:r>
        <w:rPr>
          <w:color w:val="231F20"/>
          <w:w w:val="105"/>
        </w:rPr>
        <w:t>il</w:t>
      </w:r>
      <w:r>
        <w:rPr>
          <w:color w:val="231F20"/>
          <w:spacing w:val="-45"/>
          <w:w w:val="105"/>
        </w:rPr>
        <w:t> </w:t>
      </w:r>
      <w:r>
        <w:rPr>
          <w:color w:val="231F20"/>
          <w:spacing w:val="-4"/>
          <w:w w:val="105"/>
        </w:rPr>
        <w:t>sovrano </w:t>
      </w:r>
      <w:r>
        <w:rPr>
          <w:color w:val="231F20"/>
          <w:w w:val="105"/>
        </w:rPr>
        <w:t>non</w:t>
      </w:r>
      <w:r>
        <w:rPr>
          <w:color w:val="231F20"/>
          <w:spacing w:val="-24"/>
          <w:w w:val="105"/>
        </w:rPr>
        <w:t> </w:t>
      </w:r>
      <w:r>
        <w:rPr>
          <w:color w:val="231F20"/>
          <w:w w:val="105"/>
        </w:rPr>
        <w:t>deve</w:t>
      </w:r>
      <w:r>
        <w:rPr>
          <w:color w:val="231F20"/>
          <w:spacing w:val="-24"/>
          <w:w w:val="105"/>
        </w:rPr>
        <w:t> </w:t>
      </w:r>
      <w:r>
        <w:rPr>
          <w:color w:val="231F20"/>
          <w:w w:val="105"/>
        </w:rPr>
        <w:t>prendere</w:t>
      </w:r>
      <w:r>
        <w:rPr>
          <w:color w:val="231F20"/>
          <w:spacing w:val="-24"/>
          <w:w w:val="105"/>
        </w:rPr>
        <w:t> </w:t>
      </w:r>
      <w:r>
        <w:rPr>
          <w:color w:val="231F20"/>
          <w:w w:val="105"/>
        </w:rPr>
        <w:t>decisioni</w:t>
      </w:r>
      <w:r>
        <w:rPr>
          <w:color w:val="231F20"/>
          <w:spacing w:val="-24"/>
          <w:w w:val="105"/>
        </w:rPr>
        <w:t> </w:t>
      </w:r>
      <w:r>
        <w:rPr>
          <w:color w:val="231F20"/>
          <w:w w:val="105"/>
        </w:rPr>
        <w:t>al</w:t>
      </w:r>
      <w:r>
        <w:rPr>
          <w:color w:val="231F20"/>
          <w:spacing w:val="-24"/>
          <w:w w:val="105"/>
        </w:rPr>
        <w:t> </w:t>
      </w:r>
      <w:r>
        <w:rPr>
          <w:color w:val="231F20"/>
          <w:w w:val="105"/>
        </w:rPr>
        <w:t>di</w:t>
      </w:r>
      <w:r>
        <w:rPr>
          <w:color w:val="231F20"/>
          <w:spacing w:val="-24"/>
          <w:w w:val="105"/>
        </w:rPr>
        <w:t> </w:t>
      </w:r>
      <w:r>
        <w:rPr>
          <w:color w:val="231F20"/>
          <w:w w:val="105"/>
        </w:rPr>
        <w:t>fuori</w:t>
      </w:r>
      <w:r>
        <w:rPr>
          <w:color w:val="231F20"/>
          <w:spacing w:val="-24"/>
          <w:w w:val="105"/>
        </w:rPr>
        <w:t> </w:t>
      </w:r>
      <w:r>
        <w:rPr>
          <w:color w:val="231F20"/>
          <w:w w:val="105"/>
        </w:rPr>
        <w:t>dell’ordinamento</w:t>
      </w:r>
      <w:r>
        <w:rPr>
          <w:color w:val="231F20"/>
          <w:spacing w:val="-24"/>
          <w:w w:val="105"/>
        </w:rPr>
        <w:t> </w:t>
      </w:r>
      <w:r>
        <w:rPr>
          <w:color w:val="231F20"/>
          <w:w w:val="105"/>
        </w:rPr>
        <w:t>giuridico</w:t>
      </w:r>
      <w:r>
        <w:rPr>
          <w:color w:val="231F20"/>
          <w:spacing w:val="-24"/>
          <w:w w:val="105"/>
        </w:rPr>
        <w:t> </w:t>
      </w:r>
      <w:r>
        <w:rPr>
          <w:color w:val="231F20"/>
          <w:w w:val="105"/>
        </w:rPr>
        <w:t>che</w:t>
      </w:r>
      <w:r>
        <w:rPr>
          <w:color w:val="231F20"/>
          <w:spacing w:val="-24"/>
          <w:w w:val="105"/>
        </w:rPr>
        <w:t> </w:t>
      </w:r>
      <w:r>
        <w:rPr>
          <w:color w:val="231F20"/>
          <w:w w:val="105"/>
        </w:rPr>
        <w:t>non rispettino</w:t>
      </w:r>
      <w:r>
        <w:rPr>
          <w:color w:val="231F20"/>
          <w:spacing w:val="-17"/>
          <w:w w:val="105"/>
        </w:rPr>
        <w:t> </w:t>
      </w:r>
      <w:r>
        <w:rPr>
          <w:color w:val="231F20"/>
          <w:w w:val="105"/>
        </w:rPr>
        <w:t>la</w:t>
      </w:r>
      <w:r>
        <w:rPr>
          <w:color w:val="231F20"/>
          <w:spacing w:val="-17"/>
          <w:w w:val="105"/>
        </w:rPr>
        <w:t> </w:t>
      </w:r>
      <w:r>
        <w:rPr>
          <w:color w:val="231F20"/>
          <w:w w:val="105"/>
        </w:rPr>
        <w:t>separazione</w:t>
      </w:r>
      <w:r>
        <w:rPr>
          <w:color w:val="231F20"/>
          <w:spacing w:val="-17"/>
          <w:w w:val="105"/>
        </w:rPr>
        <w:t> </w:t>
      </w:r>
      <w:r>
        <w:rPr>
          <w:color w:val="231F20"/>
          <w:w w:val="105"/>
        </w:rPr>
        <w:t>dei</w:t>
      </w:r>
      <w:r>
        <w:rPr>
          <w:color w:val="231F20"/>
          <w:spacing w:val="-17"/>
          <w:w w:val="105"/>
        </w:rPr>
        <w:t> </w:t>
      </w:r>
      <w:r>
        <w:rPr>
          <w:color w:val="231F20"/>
          <w:w w:val="105"/>
        </w:rPr>
        <w:t>poteri</w:t>
      </w:r>
      <w:r>
        <w:rPr>
          <w:color w:val="231F20"/>
          <w:spacing w:val="-17"/>
          <w:w w:val="105"/>
        </w:rPr>
        <w:t> </w:t>
      </w:r>
      <w:r>
        <w:rPr>
          <w:color w:val="231F20"/>
          <w:w w:val="105"/>
        </w:rPr>
        <w:t>e</w:t>
      </w:r>
      <w:r>
        <w:rPr>
          <w:color w:val="231F20"/>
          <w:spacing w:val="-17"/>
          <w:w w:val="105"/>
        </w:rPr>
        <w:t> </w:t>
      </w:r>
      <w:r>
        <w:rPr>
          <w:color w:val="231F20"/>
          <w:w w:val="105"/>
        </w:rPr>
        <w:t>i</w:t>
      </w:r>
      <w:r>
        <w:rPr>
          <w:color w:val="231F20"/>
          <w:spacing w:val="-17"/>
          <w:w w:val="105"/>
        </w:rPr>
        <w:t> </w:t>
      </w:r>
      <w:r>
        <w:rPr>
          <w:color w:val="231F20"/>
          <w:w w:val="105"/>
        </w:rPr>
        <w:t>diritti</w:t>
      </w:r>
      <w:r>
        <w:rPr>
          <w:color w:val="231F20"/>
          <w:spacing w:val="-17"/>
          <w:w w:val="105"/>
        </w:rPr>
        <w:t> </w:t>
      </w:r>
      <w:r>
        <w:rPr>
          <w:color w:val="231F20"/>
          <w:w w:val="105"/>
        </w:rPr>
        <w:t>del</w:t>
      </w:r>
      <w:r>
        <w:rPr>
          <w:color w:val="231F20"/>
          <w:spacing w:val="-17"/>
          <w:w w:val="105"/>
        </w:rPr>
        <w:t> </w:t>
      </w:r>
      <w:r>
        <w:rPr>
          <w:color w:val="231F20"/>
          <w:w w:val="105"/>
        </w:rPr>
        <w:t>cittadino;</w:t>
      </w:r>
      <w:r>
        <w:rPr>
          <w:color w:val="231F20"/>
          <w:spacing w:val="-17"/>
          <w:w w:val="105"/>
        </w:rPr>
        <w:t> </w:t>
      </w:r>
      <w:r>
        <w:rPr>
          <w:color w:val="231F20"/>
          <w:w w:val="105"/>
        </w:rPr>
        <w:t>comunque,</w:t>
      </w:r>
      <w:r>
        <w:rPr>
          <w:color w:val="231F20"/>
          <w:spacing w:val="-17"/>
          <w:w w:val="105"/>
        </w:rPr>
        <w:t> </w:t>
      </w:r>
      <w:r>
        <w:rPr>
          <w:color w:val="231F20"/>
          <w:w w:val="105"/>
        </w:rPr>
        <w:t>per autori</w:t>
      </w:r>
      <w:r>
        <w:rPr>
          <w:color w:val="231F20"/>
          <w:spacing w:val="-52"/>
          <w:w w:val="105"/>
        </w:rPr>
        <w:t> </w:t>
      </w:r>
      <w:r>
        <w:rPr>
          <w:color w:val="231F20"/>
          <w:w w:val="105"/>
        </w:rPr>
        <w:t>come</w:t>
      </w:r>
      <w:r>
        <w:rPr>
          <w:color w:val="231F20"/>
          <w:spacing w:val="-52"/>
          <w:w w:val="105"/>
        </w:rPr>
        <w:t> </w:t>
      </w:r>
      <w:r>
        <w:rPr>
          <w:color w:val="231F20"/>
          <w:w w:val="105"/>
        </w:rPr>
        <w:t>Jakobs</w:t>
      </w:r>
      <w:r>
        <w:rPr>
          <w:color w:val="231F20"/>
          <w:spacing w:val="-52"/>
          <w:w w:val="105"/>
        </w:rPr>
        <w:t> </w:t>
      </w:r>
      <w:r>
        <w:rPr>
          <w:color w:val="231F20"/>
          <w:w w:val="105"/>
        </w:rPr>
        <w:t>e</w:t>
      </w:r>
      <w:r>
        <w:rPr>
          <w:color w:val="231F20"/>
          <w:spacing w:val="-52"/>
          <w:w w:val="105"/>
        </w:rPr>
        <w:t> </w:t>
      </w:r>
      <w:r>
        <w:rPr>
          <w:color w:val="231F20"/>
          <w:w w:val="105"/>
        </w:rPr>
        <w:t>Schmitt</w:t>
      </w:r>
      <w:r>
        <w:rPr>
          <w:color w:val="231F20"/>
          <w:spacing w:val="-52"/>
          <w:w w:val="105"/>
        </w:rPr>
        <w:t> </w:t>
      </w:r>
      <w:r>
        <w:rPr>
          <w:color w:val="231F20"/>
          <w:w w:val="105"/>
        </w:rPr>
        <w:t>questa</w:t>
      </w:r>
      <w:r>
        <w:rPr>
          <w:color w:val="231F20"/>
          <w:spacing w:val="-52"/>
          <w:w w:val="105"/>
        </w:rPr>
        <w:t> </w:t>
      </w:r>
      <w:r>
        <w:rPr>
          <w:color w:val="231F20"/>
          <w:w w:val="105"/>
        </w:rPr>
        <w:t>situazione</w:t>
      </w:r>
      <w:r>
        <w:rPr>
          <w:color w:val="231F20"/>
          <w:spacing w:val="-52"/>
          <w:w w:val="105"/>
        </w:rPr>
        <w:t> </w:t>
      </w:r>
      <w:r>
        <w:rPr>
          <w:color w:val="231F20"/>
          <w:w w:val="105"/>
        </w:rPr>
        <w:t>rappresenterebbe</w:t>
      </w:r>
      <w:r>
        <w:rPr>
          <w:color w:val="231F20"/>
          <w:spacing w:val="-52"/>
          <w:w w:val="105"/>
        </w:rPr>
        <w:t> </w:t>
      </w:r>
      <w:r>
        <w:rPr>
          <w:color w:val="231F20"/>
          <w:w w:val="105"/>
        </w:rPr>
        <w:t>piuttosto uno</w:t>
      </w:r>
      <w:r>
        <w:rPr>
          <w:color w:val="231F20"/>
          <w:spacing w:val="-18"/>
          <w:w w:val="105"/>
        </w:rPr>
        <w:t> </w:t>
      </w:r>
      <w:r>
        <w:rPr>
          <w:color w:val="231F20"/>
          <w:w w:val="105"/>
        </w:rPr>
        <w:t>stato</w:t>
      </w:r>
      <w:r>
        <w:rPr>
          <w:color w:val="231F20"/>
          <w:spacing w:val="-18"/>
          <w:w w:val="105"/>
        </w:rPr>
        <w:t> </w:t>
      </w:r>
      <w:r>
        <w:rPr>
          <w:color w:val="231F20"/>
          <w:w w:val="105"/>
        </w:rPr>
        <w:t>ideale,</w:t>
      </w:r>
      <w:r>
        <w:rPr>
          <w:color w:val="231F20"/>
          <w:spacing w:val="-18"/>
          <w:w w:val="105"/>
        </w:rPr>
        <w:t> </w:t>
      </w:r>
      <w:r>
        <w:rPr>
          <w:color w:val="231F20"/>
          <w:w w:val="105"/>
        </w:rPr>
        <w:t>ma</w:t>
      </w:r>
      <w:r>
        <w:rPr>
          <w:color w:val="231F20"/>
          <w:spacing w:val="-18"/>
          <w:w w:val="105"/>
        </w:rPr>
        <w:t> </w:t>
      </w:r>
      <w:r>
        <w:rPr>
          <w:color w:val="231F20"/>
          <w:w w:val="105"/>
        </w:rPr>
        <w:t>non</w:t>
      </w:r>
      <w:r>
        <w:rPr>
          <w:color w:val="231F20"/>
          <w:spacing w:val="-18"/>
          <w:w w:val="105"/>
        </w:rPr>
        <w:t> </w:t>
      </w:r>
      <w:r>
        <w:rPr>
          <w:color w:val="231F20"/>
          <w:w w:val="105"/>
        </w:rPr>
        <w:t>renderebbe</w:t>
      </w:r>
      <w:r>
        <w:rPr>
          <w:color w:val="231F20"/>
          <w:spacing w:val="-18"/>
          <w:w w:val="105"/>
        </w:rPr>
        <w:t> </w:t>
      </w:r>
      <w:r>
        <w:rPr>
          <w:color w:val="231F20"/>
          <w:w w:val="105"/>
        </w:rPr>
        <w:t>conto</w:t>
      </w:r>
      <w:r>
        <w:rPr>
          <w:color w:val="231F20"/>
          <w:spacing w:val="-18"/>
          <w:w w:val="105"/>
        </w:rPr>
        <w:t> </w:t>
      </w:r>
      <w:r>
        <w:rPr>
          <w:color w:val="231F20"/>
          <w:w w:val="105"/>
        </w:rPr>
        <w:t>della</w:t>
      </w:r>
      <w:r>
        <w:rPr>
          <w:color w:val="231F20"/>
          <w:spacing w:val="-18"/>
          <w:w w:val="105"/>
        </w:rPr>
        <w:t> </w:t>
      </w:r>
      <w:r>
        <w:rPr>
          <w:color w:val="231F20"/>
          <w:w w:val="105"/>
        </w:rPr>
        <w:t>complessità</w:t>
      </w:r>
      <w:r>
        <w:rPr>
          <w:color w:val="231F20"/>
          <w:spacing w:val="-18"/>
          <w:w w:val="105"/>
        </w:rPr>
        <w:t> </w:t>
      </w:r>
      <w:r>
        <w:rPr>
          <w:color w:val="231F20"/>
          <w:w w:val="105"/>
        </w:rPr>
        <w:t>reale,</w:t>
      </w:r>
      <w:r>
        <w:rPr>
          <w:color w:val="231F20"/>
          <w:spacing w:val="-18"/>
          <w:w w:val="105"/>
        </w:rPr>
        <w:t> </w:t>
      </w:r>
      <w:r>
        <w:rPr>
          <w:color w:val="231F20"/>
          <w:w w:val="105"/>
        </w:rPr>
        <w:t>dove a</w:t>
      </w:r>
      <w:r>
        <w:rPr>
          <w:color w:val="231F20"/>
          <w:spacing w:val="-24"/>
          <w:w w:val="105"/>
        </w:rPr>
        <w:t> </w:t>
      </w:r>
      <w:r>
        <w:rPr>
          <w:color w:val="231F20"/>
          <w:w w:val="105"/>
        </w:rPr>
        <w:t>volte</w:t>
      </w:r>
      <w:r>
        <w:rPr>
          <w:color w:val="231F20"/>
          <w:spacing w:val="-24"/>
          <w:w w:val="105"/>
        </w:rPr>
        <w:t> </w:t>
      </w:r>
      <w:r>
        <w:rPr>
          <w:color w:val="231F20"/>
          <w:w w:val="105"/>
        </w:rPr>
        <w:t>è</w:t>
      </w:r>
      <w:r>
        <w:rPr>
          <w:color w:val="231F20"/>
          <w:spacing w:val="-24"/>
          <w:w w:val="105"/>
        </w:rPr>
        <w:t> </w:t>
      </w:r>
      <w:r>
        <w:rPr>
          <w:color w:val="231F20"/>
          <w:w w:val="105"/>
        </w:rPr>
        <w:t>necessario</w:t>
      </w:r>
      <w:r>
        <w:rPr>
          <w:color w:val="231F20"/>
          <w:spacing w:val="-24"/>
          <w:w w:val="105"/>
        </w:rPr>
        <w:t> </w:t>
      </w:r>
      <w:r>
        <w:rPr>
          <w:color w:val="231F20"/>
          <w:w w:val="105"/>
        </w:rPr>
        <w:t>lasciar</w:t>
      </w:r>
      <w:r>
        <w:rPr>
          <w:color w:val="231F20"/>
          <w:spacing w:val="-24"/>
          <w:w w:val="105"/>
        </w:rPr>
        <w:t> </w:t>
      </w:r>
      <w:r>
        <w:rPr>
          <w:color w:val="231F20"/>
          <w:w w:val="105"/>
        </w:rPr>
        <w:t>posto</w:t>
      </w:r>
      <w:r>
        <w:rPr>
          <w:color w:val="231F20"/>
          <w:spacing w:val="-24"/>
          <w:w w:val="105"/>
        </w:rPr>
        <w:t> </w:t>
      </w:r>
      <w:r>
        <w:rPr>
          <w:color w:val="231F20"/>
          <w:w w:val="105"/>
        </w:rPr>
        <w:t>alla</w:t>
      </w:r>
      <w:r>
        <w:rPr>
          <w:color w:val="231F20"/>
          <w:spacing w:val="-24"/>
          <w:w w:val="105"/>
        </w:rPr>
        <w:t> </w:t>
      </w:r>
      <w:r>
        <w:rPr>
          <w:color w:val="231F20"/>
          <w:w w:val="105"/>
        </w:rPr>
        <w:t>contraddizione</w:t>
      </w:r>
      <w:r>
        <w:rPr>
          <w:color w:val="231F20"/>
          <w:spacing w:val="-24"/>
          <w:w w:val="105"/>
        </w:rPr>
        <w:t> </w:t>
      </w:r>
      <w:r>
        <w:rPr>
          <w:color w:val="231F20"/>
          <w:w w:val="105"/>
        </w:rPr>
        <w:t>e</w:t>
      </w:r>
      <w:r>
        <w:rPr>
          <w:color w:val="231F20"/>
          <w:spacing w:val="-24"/>
          <w:w w:val="105"/>
        </w:rPr>
        <w:t> </w:t>
      </w:r>
      <w:r>
        <w:rPr>
          <w:color w:val="231F20"/>
          <w:w w:val="105"/>
        </w:rPr>
        <w:t>al</w:t>
      </w:r>
      <w:r>
        <w:rPr>
          <w:color w:val="231F20"/>
          <w:spacing w:val="-24"/>
          <w:w w:val="105"/>
        </w:rPr>
        <w:t> </w:t>
      </w:r>
      <w:r>
        <w:rPr>
          <w:color w:val="231F20"/>
          <w:w w:val="105"/>
        </w:rPr>
        <w:t>paradosso,</w:t>
      </w:r>
      <w:r>
        <w:rPr>
          <w:color w:val="231F20"/>
          <w:spacing w:val="-24"/>
          <w:w w:val="105"/>
        </w:rPr>
        <w:t> </w:t>
      </w:r>
      <w:r>
        <w:rPr>
          <w:color w:val="231F20"/>
          <w:w w:val="105"/>
        </w:rPr>
        <w:t>cioè, la</w:t>
      </w:r>
      <w:r>
        <w:rPr>
          <w:color w:val="231F20"/>
          <w:spacing w:val="-31"/>
          <w:w w:val="105"/>
        </w:rPr>
        <w:t> </w:t>
      </w:r>
      <w:r>
        <w:rPr>
          <w:color w:val="231F20"/>
          <w:w w:val="105"/>
        </w:rPr>
        <w:t>sospensione</w:t>
      </w:r>
      <w:r>
        <w:rPr>
          <w:color w:val="231F20"/>
          <w:spacing w:val="-31"/>
          <w:w w:val="105"/>
        </w:rPr>
        <w:t> </w:t>
      </w:r>
      <w:r>
        <w:rPr>
          <w:color w:val="231F20"/>
          <w:w w:val="105"/>
        </w:rPr>
        <w:t>della</w:t>
      </w:r>
      <w:r>
        <w:rPr>
          <w:color w:val="231F20"/>
          <w:spacing w:val="-31"/>
          <w:w w:val="105"/>
        </w:rPr>
        <w:t> </w:t>
      </w:r>
      <w:r>
        <w:rPr>
          <w:color w:val="231F20"/>
          <w:w w:val="105"/>
        </w:rPr>
        <w:t>legge</w:t>
      </w:r>
      <w:r>
        <w:rPr>
          <w:color w:val="231F20"/>
          <w:spacing w:val="-31"/>
          <w:w w:val="105"/>
        </w:rPr>
        <w:t> </w:t>
      </w:r>
      <w:r>
        <w:rPr>
          <w:color w:val="231F20"/>
          <w:w w:val="105"/>
        </w:rPr>
        <w:t>a</w:t>
      </w:r>
      <w:r>
        <w:rPr>
          <w:color w:val="231F20"/>
          <w:spacing w:val="-31"/>
          <w:w w:val="105"/>
        </w:rPr>
        <w:t> </w:t>
      </w:r>
      <w:r>
        <w:rPr>
          <w:color w:val="231F20"/>
          <w:w w:val="105"/>
        </w:rPr>
        <w:t>fine</w:t>
      </w:r>
      <w:r>
        <w:rPr>
          <w:color w:val="231F20"/>
          <w:spacing w:val="-31"/>
          <w:w w:val="105"/>
        </w:rPr>
        <w:t> </w:t>
      </w:r>
      <w:r>
        <w:rPr>
          <w:color w:val="231F20"/>
          <w:w w:val="105"/>
        </w:rPr>
        <w:t>di</w:t>
      </w:r>
      <w:r>
        <w:rPr>
          <w:color w:val="231F20"/>
          <w:spacing w:val="-31"/>
          <w:w w:val="105"/>
        </w:rPr>
        <w:t> </w:t>
      </w:r>
      <w:r>
        <w:rPr>
          <w:color w:val="231F20"/>
          <w:w w:val="105"/>
        </w:rPr>
        <w:t>sostenere</w:t>
      </w:r>
      <w:r>
        <w:rPr>
          <w:color w:val="231F20"/>
          <w:spacing w:val="-31"/>
          <w:w w:val="105"/>
        </w:rPr>
        <w:t> </w:t>
      </w:r>
      <w:r>
        <w:rPr>
          <w:color w:val="231F20"/>
          <w:w w:val="105"/>
        </w:rPr>
        <w:t>la</w:t>
      </w:r>
      <w:r>
        <w:rPr>
          <w:color w:val="231F20"/>
          <w:spacing w:val="-31"/>
          <w:w w:val="105"/>
        </w:rPr>
        <w:t> </w:t>
      </w:r>
      <w:r>
        <w:rPr>
          <w:color w:val="231F20"/>
          <w:w w:val="105"/>
        </w:rPr>
        <w:t>legalità.</w:t>
      </w:r>
      <w:r>
        <w:rPr>
          <w:color w:val="231F20"/>
          <w:spacing w:val="-31"/>
          <w:w w:val="105"/>
        </w:rPr>
        <w:t> </w:t>
      </w:r>
      <w:r>
        <w:rPr>
          <w:color w:val="231F20"/>
          <w:w w:val="105"/>
        </w:rPr>
        <w:t>Per</w:t>
      </w:r>
      <w:r>
        <w:rPr>
          <w:color w:val="231F20"/>
          <w:spacing w:val="-31"/>
          <w:w w:val="105"/>
        </w:rPr>
        <w:t> </w:t>
      </w:r>
      <w:r>
        <w:rPr>
          <w:color w:val="231F20"/>
          <w:w w:val="105"/>
        </w:rPr>
        <w:t>questi</w:t>
      </w:r>
      <w:r>
        <w:rPr>
          <w:color w:val="231F20"/>
          <w:spacing w:val="-31"/>
          <w:w w:val="105"/>
        </w:rPr>
        <w:t> </w:t>
      </w:r>
      <w:r>
        <w:rPr>
          <w:color w:val="231F20"/>
          <w:w w:val="105"/>
        </w:rPr>
        <w:t>autori</w:t>
      </w:r>
      <w:r>
        <w:rPr>
          <w:color w:val="231F20"/>
          <w:spacing w:val="-31"/>
          <w:w w:val="105"/>
        </w:rPr>
        <w:t> </w:t>
      </w:r>
      <w:r>
        <w:rPr>
          <w:color w:val="231F20"/>
          <w:w w:val="105"/>
        </w:rPr>
        <w:t>il sistema</w:t>
      </w:r>
      <w:r>
        <w:rPr>
          <w:color w:val="231F20"/>
          <w:spacing w:val="-44"/>
          <w:w w:val="105"/>
        </w:rPr>
        <w:t> </w:t>
      </w:r>
      <w:r>
        <w:rPr>
          <w:color w:val="231F20"/>
          <w:w w:val="105"/>
        </w:rPr>
        <w:t>penale</w:t>
      </w:r>
      <w:r>
        <w:rPr>
          <w:color w:val="231F20"/>
          <w:spacing w:val="-44"/>
          <w:w w:val="105"/>
        </w:rPr>
        <w:t> </w:t>
      </w:r>
      <w:r>
        <w:rPr>
          <w:color w:val="231F20"/>
          <w:w w:val="105"/>
        </w:rPr>
        <w:t>“ordinario”</w:t>
      </w:r>
      <w:r>
        <w:rPr>
          <w:color w:val="231F20"/>
          <w:spacing w:val="-44"/>
          <w:w w:val="105"/>
        </w:rPr>
        <w:t> </w:t>
      </w:r>
      <w:r>
        <w:rPr>
          <w:color w:val="231F20"/>
          <w:spacing w:val="-3"/>
          <w:w w:val="105"/>
        </w:rPr>
        <w:t>funzionerebbe</w:t>
      </w:r>
      <w:r>
        <w:rPr>
          <w:color w:val="231F20"/>
          <w:spacing w:val="-44"/>
          <w:w w:val="105"/>
        </w:rPr>
        <w:t> </w:t>
      </w:r>
      <w:r>
        <w:rPr>
          <w:color w:val="231F20"/>
          <w:w w:val="105"/>
        </w:rPr>
        <w:t>senza</w:t>
      </w:r>
      <w:r>
        <w:rPr>
          <w:color w:val="231F20"/>
          <w:spacing w:val="-44"/>
          <w:w w:val="105"/>
        </w:rPr>
        <w:t> </w:t>
      </w:r>
      <w:r>
        <w:rPr>
          <w:color w:val="231F20"/>
          <w:spacing w:val="-3"/>
          <w:w w:val="105"/>
        </w:rPr>
        <w:t>problema</w:t>
      </w:r>
      <w:r>
        <w:rPr>
          <w:color w:val="231F20"/>
          <w:spacing w:val="-44"/>
          <w:w w:val="105"/>
        </w:rPr>
        <w:t> </w:t>
      </w:r>
      <w:r>
        <w:rPr>
          <w:color w:val="231F20"/>
          <w:w w:val="105"/>
        </w:rPr>
        <w:t>per</w:t>
      </w:r>
      <w:r>
        <w:rPr>
          <w:color w:val="231F20"/>
          <w:spacing w:val="-44"/>
          <w:w w:val="105"/>
        </w:rPr>
        <w:t> </w:t>
      </w:r>
      <w:r>
        <w:rPr>
          <w:color w:val="231F20"/>
          <w:w w:val="105"/>
        </w:rPr>
        <w:t>quei</w:t>
      </w:r>
      <w:r>
        <w:rPr>
          <w:color w:val="231F20"/>
          <w:spacing w:val="-44"/>
          <w:w w:val="105"/>
        </w:rPr>
        <w:t> </w:t>
      </w:r>
      <w:r>
        <w:rPr>
          <w:color w:val="231F20"/>
          <w:w w:val="105"/>
        </w:rPr>
        <w:t>cittadini che</w:t>
      </w:r>
      <w:r>
        <w:rPr>
          <w:color w:val="231F20"/>
          <w:spacing w:val="-27"/>
          <w:w w:val="105"/>
        </w:rPr>
        <w:t> </w:t>
      </w:r>
      <w:r>
        <w:rPr>
          <w:color w:val="231F20"/>
          <w:w w:val="105"/>
        </w:rPr>
        <w:t>hanno</w:t>
      </w:r>
      <w:r>
        <w:rPr>
          <w:color w:val="231F20"/>
          <w:spacing w:val="-27"/>
          <w:w w:val="105"/>
        </w:rPr>
        <w:t> </w:t>
      </w:r>
      <w:r>
        <w:rPr>
          <w:color w:val="231F20"/>
          <w:w w:val="105"/>
        </w:rPr>
        <w:t>accettato</w:t>
      </w:r>
      <w:r>
        <w:rPr>
          <w:color w:val="231F20"/>
          <w:spacing w:val="-27"/>
          <w:w w:val="105"/>
        </w:rPr>
        <w:t> </w:t>
      </w:r>
      <w:r>
        <w:rPr>
          <w:color w:val="231F20"/>
          <w:w w:val="105"/>
        </w:rPr>
        <w:t>l’accordo</w:t>
      </w:r>
      <w:r>
        <w:rPr>
          <w:color w:val="231F20"/>
          <w:spacing w:val="-27"/>
          <w:w w:val="105"/>
        </w:rPr>
        <w:t> </w:t>
      </w:r>
      <w:r>
        <w:rPr>
          <w:color w:val="231F20"/>
          <w:w w:val="105"/>
        </w:rPr>
        <w:t>sinallagmatico</w:t>
      </w:r>
      <w:r>
        <w:rPr>
          <w:color w:val="231F20"/>
          <w:spacing w:val="-27"/>
          <w:w w:val="105"/>
        </w:rPr>
        <w:t> </w:t>
      </w:r>
      <w:r>
        <w:rPr>
          <w:color w:val="231F20"/>
          <w:w w:val="105"/>
        </w:rPr>
        <w:t>di</w:t>
      </w:r>
      <w:r>
        <w:rPr>
          <w:color w:val="231F20"/>
          <w:spacing w:val="-27"/>
          <w:w w:val="105"/>
        </w:rPr>
        <w:t> </w:t>
      </w:r>
      <w:r>
        <w:rPr>
          <w:color w:val="231F20"/>
          <w:w w:val="105"/>
        </w:rPr>
        <w:t>diritti</w:t>
      </w:r>
      <w:r>
        <w:rPr>
          <w:color w:val="231F20"/>
          <w:spacing w:val="-27"/>
          <w:w w:val="105"/>
        </w:rPr>
        <w:t> </w:t>
      </w:r>
      <w:r>
        <w:rPr>
          <w:color w:val="231F20"/>
          <w:w w:val="105"/>
        </w:rPr>
        <w:t>e</w:t>
      </w:r>
      <w:r>
        <w:rPr>
          <w:color w:val="231F20"/>
          <w:spacing w:val="-27"/>
          <w:w w:val="105"/>
        </w:rPr>
        <w:t> </w:t>
      </w:r>
      <w:r>
        <w:rPr>
          <w:color w:val="231F20"/>
          <w:w w:val="105"/>
        </w:rPr>
        <w:t>obbligazioni;</w:t>
      </w:r>
      <w:r>
        <w:rPr>
          <w:color w:val="231F20"/>
          <w:spacing w:val="-27"/>
          <w:w w:val="105"/>
        </w:rPr>
        <w:t> </w:t>
      </w:r>
      <w:r>
        <w:rPr>
          <w:color w:val="231F20"/>
          <w:w w:val="105"/>
        </w:rPr>
        <w:t>anzi, quelli</w:t>
      </w:r>
      <w:r>
        <w:rPr>
          <w:color w:val="231F20"/>
          <w:spacing w:val="-13"/>
          <w:w w:val="105"/>
        </w:rPr>
        <w:t> </w:t>
      </w:r>
      <w:r>
        <w:rPr>
          <w:color w:val="231F20"/>
          <w:w w:val="105"/>
        </w:rPr>
        <w:t>che</w:t>
      </w:r>
      <w:r>
        <w:rPr>
          <w:color w:val="231F20"/>
          <w:spacing w:val="-13"/>
          <w:w w:val="105"/>
        </w:rPr>
        <w:t> </w:t>
      </w:r>
      <w:r>
        <w:rPr>
          <w:color w:val="231F20"/>
          <w:w w:val="105"/>
        </w:rPr>
        <w:t>l’hanno</w:t>
      </w:r>
      <w:r>
        <w:rPr>
          <w:color w:val="231F20"/>
          <w:spacing w:val="-13"/>
          <w:w w:val="105"/>
        </w:rPr>
        <w:t> </w:t>
      </w:r>
      <w:r>
        <w:rPr>
          <w:color w:val="231F20"/>
          <w:w w:val="105"/>
        </w:rPr>
        <w:t>violato</w:t>
      </w:r>
      <w:r>
        <w:rPr>
          <w:color w:val="231F20"/>
          <w:spacing w:val="-13"/>
          <w:w w:val="105"/>
        </w:rPr>
        <w:t> </w:t>
      </w:r>
      <w:r>
        <w:rPr>
          <w:color w:val="231F20"/>
          <w:w w:val="105"/>
        </w:rPr>
        <w:t>sarebbero</w:t>
      </w:r>
      <w:r>
        <w:rPr>
          <w:color w:val="231F20"/>
          <w:spacing w:val="-13"/>
          <w:w w:val="105"/>
        </w:rPr>
        <w:t> </w:t>
      </w:r>
      <w:r>
        <w:rPr>
          <w:color w:val="231F20"/>
          <w:w w:val="105"/>
        </w:rPr>
        <w:t>soggetti</w:t>
      </w:r>
      <w:r>
        <w:rPr>
          <w:color w:val="231F20"/>
          <w:spacing w:val="-13"/>
          <w:w w:val="105"/>
        </w:rPr>
        <w:t> </w:t>
      </w:r>
      <w:r>
        <w:rPr>
          <w:color w:val="231F20"/>
          <w:w w:val="105"/>
        </w:rPr>
        <w:t>di</w:t>
      </w:r>
      <w:r>
        <w:rPr>
          <w:color w:val="231F20"/>
          <w:spacing w:val="-13"/>
          <w:w w:val="105"/>
        </w:rPr>
        <w:t> </w:t>
      </w:r>
      <w:r>
        <w:rPr>
          <w:color w:val="231F20"/>
          <w:w w:val="105"/>
        </w:rPr>
        <w:t>un’altra</w:t>
      </w:r>
      <w:r>
        <w:rPr>
          <w:color w:val="231F20"/>
          <w:spacing w:val="-13"/>
          <w:w w:val="105"/>
        </w:rPr>
        <w:t> </w:t>
      </w:r>
      <w:r>
        <w:rPr>
          <w:color w:val="231F20"/>
          <w:w w:val="105"/>
        </w:rPr>
        <w:t>forma</w:t>
      </w:r>
      <w:r>
        <w:rPr>
          <w:color w:val="231F20"/>
          <w:spacing w:val="-13"/>
          <w:w w:val="105"/>
        </w:rPr>
        <w:t> </w:t>
      </w:r>
      <w:r>
        <w:rPr>
          <w:color w:val="231F20"/>
          <w:w w:val="105"/>
        </w:rPr>
        <w:t>di</w:t>
      </w:r>
      <w:r>
        <w:rPr>
          <w:color w:val="231F20"/>
          <w:spacing w:val="-13"/>
          <w:w w:val="105"/>
        </w:rPr>
        <w:t> </w:t>
      </w:r>
      <w:r>
        <w:rPr>
          <w:color w:val="231F20"/>
          <w:w w:val="105"/>
        </w:rPr>
        <w:t>penalità che</w:t>
      </w:r>
      <w:r>
        <w:rPr>
          <w:color w:val="231F20"/>
          <w:spacing w:val="-43"/>
          <w:w w:val="105"/>
        </w:rPr>
        <w:t> </w:t>
      </w:r>
      <w:r>
        <w:rPr>
          <w:color w:val="231F20"/>
          <w:spacing w:val="-3"/>
          <w:w w:val="105"/>
        </w:rPr>
        <w:t>supporrebbe</w:t>
      </w:r>
      <w:r>
        <w:rPr>
          <w:color w:val="231F20"/>
          <w:spacing w:val="-43"/>
          <w:w w:val="105"/>
        </w:rPr>
        <w:t> </w:t>
      </w:r>
      <w:r>
        <w:rPr>
          <w:color w:val="231F20"/>
          <w:w w:val="105"/>
        </w:rPr>
        <w:t>la</w:t>
      </w:r>
      <w:r>
        <w:rPr>
          <w:color w:val="231F20"/>
          <w:spacing w:val="-43"/>
          <w:w w:val="105"/>
        </w:rPr>
        <w:t> </w:t>
      </w:r>
      <w:r>
        <w:rPr>
          <w:color w:val="231F20"/>
          <w:w w:val="105"/>
        </w:rPr>
        <w:t>sospensione</w:t>
      </w:r>
      <w:r>
        <w:rPr>
          <w:color w:val="231F20"/>
          <w:spacing w:val="-43"/>
          <w:w w:val="105"/>
        </w:rPr>
        <w:t> </w:t>
      </w:r>
      <w:r>
        <w:rPr>
          <w:color w:val="231F20"/>
          <w:w w:val="105"/>
        </w:rPr>
        <w:t>del</w:t>
      </w:r>
      <w:r>
        <w:rPr>
          <w:color w:val="231F20"/>
          <w:spacing w:val="-43"/>
          <w:w w:val="105"/>
        </w:rPr>
        <w:t> </w:t>
      </w:r>
      <w:r>
        <w:rPr>
          <w:color w:val="231F20"/>
          <w:w w:val="105"/>
        </w:rPr>
        <w:t>sistema</w:t>
      </w:r>
      <w:r>
        <w:rPr>
          <w:color w:val="231F20"/>
          <w:spacing w:val="-43"/>
          <w:w w:val="105"/>
        </w:rPr>
        <w:t> </w:t>
      </w:r>
      <w:r>
        <w:rPr>
          <w:color w:val="231F20"/>
          <w:spacing w:val="-3"/>
          <w:w w:val="105"/>
        </w:rPr>
        <w:t>ordinario</w:t>
      </w:r>
      <w:r>
        <w:rPr>
          <w:color w:val="231F20"/>
          <w:spacing w:val="-43"/>
          <w:w w:val="105"/>
        </w:rPr>
        <w:t> </w:t>
      </w:r>
      <w:r>
        <w:rPr>
          <w:color w:val="231F20"/>
          <w:w w:val="105"/>
        </w:rPr>
        <w:t>e</w:t>
      </w:r>
      <w:r>
        <w:rPr>
          <w:color w:val="231F20"/>
          <w:spacing w:val="-43"/>
          <w:w w:val="105"/>
        </w:rPr>
        <w:t> </w:t>
      </w:r>
      <w:r>
        <w:rPr>
          <w:color w:val="231F20"/>
          <w:w w:val="105"/>
        </w:rPr>
        <w:t>la</w:t>
      </w:r>
      <w:r>
        <w:rPr>
          <w:color w:val="231F20"/>
          <w:spacing w:val="-43"/>
          <w:w w:val="105"/>
        </w:rPr>
        <w:t> </w:t>
      </w:r>
      <w:r>
        <w:rPr>
          <w:color w:val="231F20"/>
          <w:spacing w:val="-3"/>
          <w:w w:val="105"/>
        </w:rPr>
        <w:t>loro</w:t>
      </w:r>
      <w:r>
        <w:rPr>
          <w:color w:val="231F20"/>
          <w:spacing w:val="-43"/>
          <w:w w:val="105"/>
        </w:rPr>
        <w:t> </w:t>
      </w:r>
      <w:r>
        <w:rPr>
          <w:color w:val="231F20"/>
          <w:w w:val="105"/>
        </w:rPr>
        <w:t>esclusione</w:t>
      </w:r>
      <w:r>
        <w:rPr>
          <w:color w:val="231F20"/>
          <w:spacing w:val="-43"/>
          <w:w w:val="105"/>
        </w:rPr>
        <w:t> </w:t>
      </w:r>
      <w:r>
        <w:rPr>
          <w:color w:val="231F20"/>
          <w:w w:val="105"/>
        </w:rPr>
        <w:t>da esse.</w:t>
      </w:r>
      <w:r>
        <w:rPr>
          <w:color w:val="231F20"/>
          <w:spacing w:val="-50"/>
          <w:w w:val="105"/>
        </w:rPr>
        <w:t> </w:t>
      </w:r>
      <w:r>
        <w:rPr>
          <w:color w:val="231F20"/>
          <w:w w:val="105"/>
        </w:rPr>
        <w:t>Da</w:t>
      </w:r>
      <w:r>
        <w:rPr>
          <w:color w:val="231F20"/>
          <w:spacing w:val="-50"/>
          <w:w w:val="105"/>
        </w:rPr>
        <w:t> </w:t>
      </w:r>
      <w:r>
        <w:rPr>
          <w:color w:val="231F20"/>
          <w:w w:val="105"/>
        </w:rPr>
        <w:t>una</w:t>
      </w:r>
      <w:r>
        <w:rPr>
          <w:color w:val="231F20"/>
          <w:spacing w:val="-50"/>
          <w:w w:val="105"/>
        </w:rPr>
        <w:t> </w:t>
      </w:r>
      <w:r>
        <w:rPr>
          <w:color w:val="231F20"/>
          <w:w w:val="105"/>
        </w:rPr>
        <w:t>prospettiva</w:t>
      </w:r>
      <w:r>
        <w:rPr>
          <w:color w:val="231F20"/>
          <w:spacing w:val="-50"/>
          <w:w w:val="105"/>
        </w:rPr>
        <w:t> </w:t>
      </w:r>
      <w:r>
        <w:rPr>
          <w:color w:val="231F20"/>
          <w:w w:val="105"/>
        </w:rPr>
        <w:t>liberale–democratica,</w:t>
      </w:r>
      <w:r>
        <w:rPr>
          <w:color w:val="231F20"/>
          <w:spacing w:val="-50"/>
          <w:w w:val="105"/>
        </w:rPr>
        <w:t> </w:t>
      </w:r>
      <w:r>
        <w:rPr>
          <w:color w:val="231F20"/>
          <w:w w:val="105"/>
        </w:rPr>
        <w:t>la</w:t>
      </w:r>
      <w:r>
        <w:rPr>
          <w:color w:val="231F20"/>
          <w:spacing w:val="-50"/>
          <w:w w:val="105"/>
        </w:rPr>
        <w:t> </w:t>
      </w:r>
      <w:r>
        <w:rPr>
          <w:color w:val="231F20"/>
          <w:w w:val="105"/>
        </w:rPr>
        <w:t>violazione</w:t>
      </w:r>
      <w:r>
        <w:rPr>
          <w:color w:val="231F20"/>
          <w:spacing w:val="-50"/>
          <w:w w:val="105"/>
        </w:rPr>
        <w:t> </w:t>
      </w:r>
      <w:r>
        <w:rPr>
          <w:color w:val="231F20"/>
          <w:w w:val="105"/>
        </w:rPr>
        <w:t>della</w:t>
      </w:r>
      <w:r>
        <w:rPr>
          <w:color w:val="231F20"/>
          <w:spacing w:val="-50"/>
          <w:w w:val="105"/>
        </w:rPr>
        <w:t> </w:t>
      </w:r>
      <w:r>
        <w:rPr>
          <w:color w:val="231F20"/>
          <w:w w:val="105"/>
        </w:rPr>
        <w:t>legge</w:t>
      </w:r>
      <w:r>
        <w:rPr>
          <w:color w:val="231F20"/>
          <w:spacing w:val="-50"/>
          <w:w w:val="105"/>
        </w:rPr>
        <w:t> </w:t>
      </w:r>
      <w:r>
        <w:rPr>
          <w:color w:val="231F20"/>
          <w:w w:val="105"/>
        </w:rPr>
        <w:t>non </w:t>
      </w:r>
      <w:r>
        <w:rPr>
          <w:color w:val="231F20"/>
          <w:spacing w:val="-3"/>
          <w:w w:val="105"/>
        </w:rPr>
        <w:t>supporrebbe</w:t>
      </w:r>
      <w:r>
        <w:rPr>
          <w:color w:val="231F20"/>
          <w:spacing w:val="-41"/>
          <w:w w:val="105"/>
        </w:rPr>
        <w:t> </w:t>
      </w:r>
      <w:r>
        <w:rPr>
          <w:color w:val="231F20"/>
          <w:spacing w:val="-3"/>
          <w:w w:val="105"/>
        </w:rPr>
        <w:t>sospendere</w:t>
      </w:r>
      <w:r>
        <w:rPr>
          <w:color w:val="231F20"/>
          <w:spacing w:val="-41"/>
          <w:w w:val="105"/>
        </w:rPr>
        <w:t> </w:t>
      </w:r>
      <w:r>
        <w:rPr>
          <w:color w:val="231F20"/>
          <w:spacing w:val="-3"/>
          <w:w w:val="105"/>
        </w:rPr>
        <w:t>l‘ordine</w:t>
      </w:r>
      <w:r>
        <w:rPr>
          <w:color w:val="231F20"/>
          <w:spacing w:val="-41"/>
          <w:w w:val="105"/>
        </w:rPr>
        <w:t> </w:t>
      </w:r>
      <w:r>
        <w:rPr>
          <w:color w:val="231F20"/>
          <w:w w:val="105"/>
        </w:rPr>
        <w:t>giuridico,</w:t>
      </w:r>
      <w:r>
        <w:rPr>
          <w:color w:val="231F20"/>
          <w:spacing w:val="-41"/>
          <w:w w:val="105"/>
        </w:rPr>
        <w:t> </w:t>
      </w:r>
      <w:r>
        <w:rPr>
          <w:color w:val="231F20"/>
          <w:w w:val="105"/>
        </w:rPr>
        <w:t>anche</w:t>
      </w:r>
      <w:r>
        <w:rPr>
          <w:color w:val="231F20"/>
          <w:spacing w:val="-41"/>
          <w:w w:val="105"/>
        </w:rPr>
        <w:t> </w:t>
      </w:r>
      <w:r>
        <w:rPr>
          <w:color w:val="231F20"/>
          <w:w w:val="105"/>
        </w:rPr>
        <w:t>se</w:t>
      </w:r>
      <w:r>
        <w:rPr>
          <w:color w:val="231F20"/>
          <w:spacing w:val="-41"/>
          <w:w w:val="105"/>
        </w:rPr>
        <w:t> </w:t>
      </w:r>
      <w:r>
        <w:rPr>
          <w:color w:val="231F20"/>
          <w:w w:val="105"/>
        </w:rPr>
        <w:t>qualcuno</w:t>
      </w:r>
      <w:r>
        <w:rPr>
          <w:color w:val="231F20"/>
          <w:spacing w:val="-41"/>
          <w:w w:val="105"/>
        </w:rPr>
        <w:t> </w:t>
      </w:r>
      <w:r>
        <w:rPr>
          <w:color w:val="231F20"/>
          <w:w w:val="105"/>
        </w:rPr>
        <w:t>viola</w:t>
      </w:r>
      <w:r>
        <w:rPr>
          <w:color w:val="231F20"/>
          <w:spacing w:val="-41"/>
          <w:w w:val="105"/>
        </w:rPr>
        <w:t> </w:t>
      </w:r>
      <w:r>
        <w:rPr>
          <w:color w:val="231F20"/>
          <w:w w:val="105"/>
        </w:rPr>
        <w:t>la</w:t>
      </w:r>
      <w:r>
        <w:rPr>
          <w:color w:val="231F20"/>
          <w:spacing w:val="-41"/>
          <w:w w:val="105"/>
        </w:rPr>
        <w:t> </w:t>
      </w:r>
      <w:r>
        <w:rPr>
          <w:color w:val="231F20"/>
          <w:w w:val="105"/>
        </w:rPr>
        <w:t>legge sempre</w:t>
      </w:r>
      <w:r>
        <w:rPr>
          <w:color w:val="231F20"/>
          <w:spacing w:val="-21"/>
          <w:w w:val="105"/>
        </w:rPr>
        <w:t> </w:t>
      </w:r>
      <w:r>
        <w:rPr>
          <w:color w:val="231F20"/>
          <w:w w:val="105"/>
        </w:rPr>
        <w:t>esiste</w:t>
      </w:r>
      <w:r>
        <w:rPr>
          <w:color w:val="231F20"/>
          <w:spacing w:val="-21"/>
          <w:w w:val="105"/>
        </w:rPr>
        <w:t> </w:t>
      </w:r>
      <w:r>
        <w:rPr>
          <w:color w:val="231F20"/>
          <w:w w:val="105"/>
        </w:rPr>
        <w:t>la</w:t>
      </w:r>
      <w:r>
        <w:rPr>
          <w:color w:val="231F20"/>
          <w:spacing w:val="-21"/>
          <w:w w:val="105"/>
        </w:rPr>
        <w:t> </w:t>
      </w:r>
      <w:r>
        <w:rPr>
          <w:color w:val="231F20"/>
          <w:w w:val="105"/>
        </w:rPr>
        <w:t>promessa</w:t>
      </w:r>
      <w:r>
        <w:rPr>
          <w:color w:val="231F20"/>
          <w:spacing w:val="-21"/>
          <w:w w:val="105"/>
        </w:rPr>
        <w:t> </w:t>
      </w:r>
      <w:r>
        <w:rPr>
          <w:color w:val="231F20"/>
          <w:w w:val="105"/>
        </w:rPr>
        <w:t>che,</w:t>
      </w:r>
      <w:r>
        <w:rPr>
          <w:color w:val="231F20"/>
          <w:spacing w:val="-21"/>
          <w:w w:val="105"/>
        </w:rPr>
        <w:t> </w:t>
      </w:r>
      <w:r>
        <w:rPr>
          <w:color w:val="231F20"/>
          <w:w w:val="105"/>
        </w:rPr>
        <w:t>una</w:t>
      </w:r>
      <w:r>
        <w:rPr>
          <w:color w:val="231F20"/>
          <w:spacing w:val="-21"/>
          <w:w w:val="105"/>
        </w:rPr>
        <w:t> </w:t>
      </w:r>
      <w:r>
        <w:rPr>
          <w:color w:val="231F20"/>
          <w:w w:val="105"/>
        </w:rPr>
        <w:t>volta</w:t>
      </w:r>
      <w:r>
        <w:rPr>
          <w:color w:val="231F20"/>
          <w:spacing w:val="-21"/>
          <w:w w:val="105"/>
        </w:rPr>
        <w:t> </w:t>
      </w:r>
      <w:r>
        <w:rPr>
          <w:color w:val="231F20"/>
          <w:w w:val="105"/>
        </w:rPr>
        <w:t>compiuta</w:t>
      </w:r>
      <w:r>
        <w:rPr>
          <w:color w:val="231F20"/>
          <w:spacing w:val="-21"/>
          <w:w w:val="105"/>
        </w:rPr>
        <w:t> </w:t>
      </w:r>
      <w:r>
        <w:rPr>
          <w:color w:val="231F20"/>
          <w:w w:val="105"/>
        </w:rPr>
        <w:t>la</w:t>
      </w:r>
      <w:r>
        <w:rPr>
          <w:color w:val="231F20"/>
          <w:spacing w:val="-21"/>
          <w:w w:val="105"/>
        </w:rPr>
        <w:t> </w:t>
      </w:r>
      <w:r>
        <w:rPr>
          <w:color w:val="231F20"/>
          <w:w w:val="105"/>
        </w:rPr>
        <w:t>pena,</w:t>
      </w:r>
      <w:r>
        <w:rPr>
          <w:color w:val="231F20"/>
          <w:spacing w:val="-21"/>
          <w:w w:val="105"/>
        </w:rPr>
        <w:t> </w:t>
      </w:r>
      <w:r>
        <w:rPr>
          <w:color w:val="231F20"/>
          <w:w w:val="105"/>
        </w:rPr>
        <w:t>sia</w:t>
      </w:r>
      <w:r>
        <w:rPr>
          <w:color w:val="231F20"/>
          <w:spacing w:val="-21"/>
          <w:w w:val="105"/>
        </w:rPr>
        <w:t> </w:t>
      </w:r>
      <w:r>
        <w:rPr>
          <w:color w:val="231F20"/>
          <w:w w:val="105"/>
        </w:rPr>
        <w:t>reinserito alla</w:t>
      </w:r>
      <w:r>
        <w:rPr>
          <w:color w:val="231F20"/>
          <w:spacing w:val="-12"/>
          <w:w w:val="105"/>
        </w:rPr>
        <w:t> </w:t>
      </w:r>
      <w:r>
        <w:rPr>
          <w:color w:val="231F20"/>
          <w:w w:val="105"/>
        </w:rPr>
        <w:t>vita</w:t>
      </w:r>
      <w:r>
        <w:rPr>
          <w:color w:val="231F20"/>
          <w:spacing w:val="-12"/>
          <w:w w:val="105"/>
        </w:rPr>
        <w:t> </w:t>
      </w:r>
      <w:r>
        <w:rPr>
          <w:color w:val="231F20"/>
          <w:w w:val="105"/>
        </w:rPr>
        <w:t>sociale.</w:t>
      </w:r>
      <w:r>
        <w:rPr>
          <w:color w:val="231F20"/>
          <w:spacing w:val="-12"/>
          <w:w w:val="105"/>
        </w:rPr>
        <w:t> </w:t>
      </w:r>
      <w:r>
        <w:rPr>
          <w:color w:val="231F20"/>
          <w:w w:val="105"/>
        </w:rPr>
        <w:t>Nonostante,</w:t>
      </w:r>
      <w:r>
        <w:rPr>
          <w:color w:val="231F20"/>
          <w:spacing w:val="-12"/>
          <w:w w:val="105"/>
        </w:rPr>
        <w:t> </w:t>
      </w:r>
      <w:r>
        <w:rPr>
          <w:color w:val="231F20"/>
          <w:w w:val="105"/>
        </w:rPr>
        <w:t>dalla</w:t>
      </w:r>
      <w:r>
        <w:rPr>
          <w:color w:val="231F20"/>
          <w:spacing w:val="-12"/>
          <w:w w:val="105"/>
        </w:rPr>
        <w:t> </w:t>
      </w:r>
      <w:r>
        <w:rPr>
          <w:color w:val="231F20"/>
          <w:w w:val="105"/>
        </w:rPr>
        <w:t>prospettiva</w:t>
      </w:r>
      <w:r>
        <w:rPr>
          <w:color w:val="231F20"/>
          <w:spacing w:val="-12"/>
          <w:w w:val="105"/>
        </w:rPr>
        <w:t> </w:t>
      </w:r>
      <w:r>
        <w:rPr>
          <w:color w:val="231F20"/>
          <w:w w:val="105"/>
        </w:rPr>
        <w:t>degli</w:t>
      </w:r>
      <w:r>
        <w:rPr>
          <w:color w:val="231F20"/>
          <w:spacing w:val="-12"/>
          <w:w w:val="105"/>
        </w:rPr>
        <w:t> </w:t>
      </w:r>
      <w:r>
        <w:rPr>
          <w:color w:val="231F20"/>
          <w:w w:val="105"/>
        </w:rPr>
        <w:t>autori</w:t>
      </w:r>
      <w:r>
        <w:rPr>
          <w:color w:val="231F20"/>
          <w:spacing w:val="-12"/>
          <w:w w:val="105"/>
        </w:rPr>
        <w:t> </w:t>
      </w:r>
      <w:r>
        <w:rPr>
          <w:color w:val="231F20"/>
          <w:w w:val="105"/>
        </w:rPr>
        <w:t>qua</w:t>
      </w:r>
      <w:r>
        <w:rPr>
          <w:color w:val="231F20"/>
          <w:spacing w:val="-12"/>
          <w:w w:val="105"/>
        </w:rPr>
        <w:t> </w:t>
      </w:r>
      <w:r>
        <w:rPr>
          <w:color w:val="231F20"/>
          <w:w w:val="105"/>
        </w:rPr>
        <w:t>citati,</w:t>
      </w:r>
      <w:r>
        <w:rPr>
          <w:color w:val="231F20"/>
          <w:spacing w:val="-12"/>
          <w:w w:val="105"/>
        </w:rPr>
        <w:t> </w:t>
      </w:r>
      <w:r>
        <w:rPr>
          <w:color w:val="231F20"/>
          <w:w w:val="105"/>
        </w:rPr>
        <w:t>nel contesto</w:t>
      </w:r>
      <w:r>
        <w:rPr>
          <w:color w:val="231F20"/>
          <w:spacing w:val="-10"/>
          <w:w w:val="105"/>
        </w:rPr>
        <w:t> </w:t>
      </w:r>
      <w:r>
        <w:rPr>
          <w:color w:val="231F20"/>
          <w:w w:val="105"/>
        </w:rPr>
        <w:t>del</w:t>
      </w:r>
      <w:r>
        <w:rPr>
          <w:color w:val="231F20"/>
          <w:spacing w:val="-10"/>
          <w:w w:val="105"/>
        </w:rPr>
        <w:t> </w:t>
      </w:r>
      <w:r>
        <w:rPr>
          <w:color w:val="231F20"/>
          <w:w w:val="105"/>
        </w:rPr>
        <w:t>terrorismo</w:t>
      </w:r>
      <w:r>
        <w:rPr>
          <w:color w:val="231F20"/>
          <w:spacing w:val="-10"/>
          <w:w w:val="105"/>
        </w:rPr>
        <w:t> </w:t>
      </w:r>
      <w:r>
        <w:rPr>
          <w:color w:val="231F20"/>
          <w:w w:val="105"/>
        </w:rPr>
        <w:t>e</w:t>
      </w:r>
      <w:r>
        <w:rPr>
          <w:color w:val="231F20"/>
          <w:spacing w:val="-10"/>
          <w:w w:val="105"/>
        </w:rPr>
        <w:t> </w:t>
      </w:r>
      <w:r>
        <w:rPr>
          <w:color w:val="231F20"/>
          <w:w w:val="105"/>
        </w:rPr>
        <w:t>della</w:t>
      </w:r>
      <w:r>
        <w:rPr>
          <w:color w:val="231F20"/>
          <w:spacing w:val="-10"/>
          <w:w w:val="105"/>
        </w:rPr>
        <w:t> </w:t>
      </w:r>
      <w:r>
        <w:rPr>
          <w:color w:val="231F20"/>
          <w:w w:val="105"/>
        </w:rPr>
        <w:t>criminalità</w:t>
      </w:r>
      <w:r>
        <w:rPr>
          <w:color w:val="231F20"/>
          <w:spacing w:val="-10"/>
          <w:w w:val="105"/>
        </w:rPr>
        <w:t> </w:t>
      </w:r>
      <w:r>
        <w:rPr>
          <w:color w:val="231F20"/>
          <w:w w:val="105"/>
        </w:rPr>
        <w:t>organizzata</w:t>
      </w:r>
      <w:r>
        <w:rPr>
          <w:color w:val="231F20"/>
          <w:spacing w:val="-10"/>
          <w:w w:val="105"/>
        </w:rPr>
        <w:t> </w:t>
      </w:r>
      <w:r>
        <w:rPr>
          <w:color w:val="231F20"/>
          <w:w w:val="105"/>
        </w:rPr>
        <w:t>questo</w:t>
      </w:r>
      <w:r>
        <w:rPr>
          <w:color w:val="231F20"/>
          <w:spacing w:val="-10"/>
          <w:w w:val="105"/>
        </w:rPr>
        <w:t> </w:t>
      </w:r>
      <w:r>
        <w:rPr>
          <w:color w:val="231F20"/>
          <w:w w:val="105"/>
        </w:rPr>
        <w:t>non</w:t>
      </w:r>
      <w:r>
        <w:rPr>
          <w:color w:val="231F20"/>
          <w:spacing w:val="-12"/>
          <w:w w:val="105"/>
        </w:rPr>
        <w:t> </w:t>
      </w:r>
      <w:r>
        <w:rPr>
          <w:color w:val="231F20"/>
          <w:w w:val="105"/>
        </w:rPr>
        <w:t>è</w:t>
      </w:r>
      <w:r>
        <w:rPr>
          <w:color w:val="231F20"/>
          <w:spacing w:val="-10"/>
          <w:w w:val="105"/>
        </w:rPr>
        <w:t> </w:t>
      </w:r>
      <w:r>
        <w:rPr>
          <w:color w:val="231F20"/>
          <w:w w:val="105"/>
        </w:rPr>
        <w:t>così facile,</w:t>
      </w:r>
      <w:r>
        <w:rPr>
          <w:color w:val="231F20"/>
          <w:spacing w:val="-23"/>
          <w:w w:val="105"/>
        </w:rPr>
        <w:t> </w:t>
      </w:r>
      <w:r>
        <w:rPr>
          <w:color w:val="231F20"/>
          <w:w w:val="105"/>
        </w:rPr>
        <w:t>perciò</w:t>
      </w:r>
      <w:r>
        <w:rPr>
          <w:color w:val="231F20"/>
          <w:spacing w:val="-23"/>
          <w:w w:val="105"/>
        </w:rPr>
        <w:t> </w:t>
      </w:r>
      <w:r>
        <w:rPr>
          <w:color w:val="231F20"/>
          <w:w w:val="105"/>
        </w:rPr>
        <w:t>è</w:t>
      </w:r>
      <w:r>
        <w:rPr>
          <w:color w:val="231F20"/>
          <w:spacing w:val="-23"/>
          <w:w w:val="105"/>
        </w:rPr>
        <w:t> </w:t>
      </w:r>
      <w:r>
        <w:rPr>
          <w:color w:val="231F20"/>
          <w:w w:val="105"/>
        </w:rPr>
        <w:t>necessaria</w:t>
      </w:r>
      <w:r>
        <w:rPr>
          <w:color w:val="231F20"/>
          <w:spacing w:val="-23"/>
          <w:w w:val="105"/>
        </w:rPr>
        <w:t> </w:t>
      </w:r>
      <w:r>
        <w:rPr>
          <w:color w:val="231F20"/>
          <w:w w:val="105"/>
        </w:rPr>
        <w:t>l’esistenza</w:t>
      </w:r>
      <w:r>
        <w:rPr>
          <w:color w:val="231F20"/>
          <w:spacing w:val="-23"/>
          <w:w w:val="105"/>
        </w:rPr>
        <w:t> </w:t>
      </w:r>
      <w:r>
        <w:rPr>
          <w:color w:val="231F20"/>
          <w:w w:val="105"/>
        </w:rPr>
        <w:t>di</w:t>
      </w:r>
      <w:r>
        <w:rPr>
          <w:color w:val="231F20"/>
          <w:spacing w:val="-23"/>
          <w:w w:val="105"/>
        </w:rPr>
        <w:t> </w:t>
      </w:r>
      <w:r>
        <w:rPr>
          <w:color w:val="231F20"/>
          <w:w w:val="105"/>
        </w:rPr>
        <w:t>un</w:t>
      </w:r>
      <w:r>
        <w:rPr>
          <w:color w:val="231F20"/>
          <w:spacing w:val="-23"/>
          <w:w w:val="105"/>
        </w:rPr>
        <w:t> </w:t>
      </w:r>
      <w:r>
        <w:rPr>
          <w:color w:val="231F20"/>
          <w:w w:val="105"/>
          <w:sz w:val="18"/>
        </w:rPr>
        <w:t>DPN</w:t>
      </w:r>
      <w:r>
        <w:rPr>
          <w:color w:val="231F20"/>
          <w:spacing w:val="-13"/>
          <w:w w:val="105"/>
          <w:sz w:val="18"/>
        </w:rPr>
        <w:t> </w:t>
      </w:r>
      <w:r>
        <w:rPr>
          <w:color w:val="231F20"/>
          <w:w w:val="105"/>
        </w:rPr>
        <w:t>e</w:t>
      </w:r>
      <w:r>
        <w:rPr>
          <w:color w:val="231F20"/>
          <w:spacing w:val="-23"/>
          <w:w w:val="105"/>
        </w:rPr>
        <w:t> </w:t>
      </w:r>
      <w:r>
        <w:rPr>
          <w:color w:val="231F20"/>
          <w:w w:val="105"/>
        </w:rPr>
        <w:t>di</w:t>
      </w:r>
      <w:r>
        <w:rPr>
          <w:color w:val="231F20"/>
          <w:spacing w:val="-23"/>
          <w:w w:val="105"/>
        </w:rPr>
        <w:t> </w:t>
      </w:r>
      <w:r>
        <w:rPr>
          <w:color w:val="231F20"/>
          <w:w w:val="105"/>
        </w:rPr>
        <w:t>uno</w:t>
      </w:r>
      <w:r>
        <w:rPr>
          <w:color w:val="231F20"/>
          <w:spacing w:val="-23"/>
          <w:w w:val="105"/>
        </w:rPr>
        <w:t> </w:t>
      </w:r>
      <w:r>
        <w:rPr>
          <w:color w:val="231F20"/>
          <w:w w:val="105"/>
        </w:rPr>
        <w:t>stato</w:t>
      </w:r>
      <w:r>
        <w:rPr>
          <w:color w:val="231F20"/>
          <w:spacing w:val="-23"/>
          <w:w w:val="105"/>
        </w:rPr>
        <w:t> </w:t>
      </w:r>
      <w:r>
        <w:rPr>
          <w:color w:val="231F20"/>
          <w:w w:val="105"/>
        </w:rPr>
        <w:t>di</w:t>
      </w:r>
      <w:r>
        <w:rPr>
          <w:color w:val="231F20"/>
          <w:spacing w:val="-23"/>
          <w:w w:val="105"/>
        </w:rPr>
        <w:t> </w:t>
      </w:r>
      <w:r>
        <w:rPr>
          <w:color w:val="231F20"/>
          <w:w w:val="105"/>
        </w:rPr>
        <w:t>eccezione che,</w:t>
      </w:r>
      <w:r>
        <w:rPr>
          <w:color w:val="231F20"/>
          <w:spacing w:val="-32"/>
          <w:w w:val="105"/>
        </w:rPr>
        <w:t> </w:t>
      </w:r>
      <w:r>
        <w:rPr>
          <w:color w:val="231F20"/>
          <w:w w:val="105"/>
        </w:rPr>
        <w:t>come</w:t>
      </w:r>
      <w:r>
        <w:rPr>
          <w:color w:val="231F20"/>
          <w:spacing w:val="-32"/>
          <w:w w:val="105"/>
        </w:rPr>
        <w:t> </w:t>
      </w:r>
      <w:r>
        <w:rPr>
          <w:color w:val="231F20"/>
          <w:w w:val="105"/>
        </w:rPr>
        <w:t>decisione</w:t>
      </w:r>
      <w:r>
        <w:rPr>
          <w:color w:val="231F20"/>
          <w:spacing w:val="-32"/>
          <w:w w:val="105"/>
        </w:rPr>
        <w:t> </w:t>
      </w:r>
      <w:r>
        <w:rPr>
          <w:color w:val="231F20"/>
          <w:w w:val="105"/>
        </w:rPr>
        <w:t>del</w:t>
      </w:r>
      <w:r>
        <w:rPr>
          <w:color w:val="231F20"/>
          <w:spacing w:val="-32"/>
          <w:w w:val="105"/>
        </w:rPr>
        <w:t> </w:t>
      </w:r>
      <w:r>
        <w:rPr>
          <w:color w:val="231F20"/>
          <w:w w:val="105"/>
        </w:rPr>
        <w:t>sovrano,</w:t>
      </w:r>
      <w:r>
        <w:rPr>
          <w:color w:val="231F20"/>
          <w:spacing w:val="-32"/>
          <w:w w:val="105"/>
        </w:rPr>
        <w:t> </w:t>
      </w:r>
      <w:r>
        <w:rPr>
          <w:color w:val="231F20"/>
          <w:w w:val="105"/>
        </w:rPr>
        <w:t>a</w:t>
      </w:r>
      <w:r>
        <w:rPr>
          <w:color w:val="231F20"/>
          <w:spacing w:val="-32"/>
          <w:w w:val="105"/>
        </w:rPr>
        <w:t> </w:t>
      </w:r>
      <w:r>
        <w:rPr>
          <w:color w:val="231F20"/>
          <w:w w:val="105"/>
        </w:rPr>
        <w:t>lungo</w:t>
      </w:r>
      <w:r>
        <w:rPr>
          <w:color w:val="231F20"/>
          <w:spacing w:val="-32"/>
          <w:w w:val="105"/>
        </w:rPr>
        <w:t> </w:t>
      </w:r>
      <w:r>
        <w:rPr>
          <w:color w:val="231F20"/>
          <w:w w:val="105"/>
        </w:rPr>
        <w:t>termine</w:t>
      </w:r>
      <w:r>
        <w:rPr>
          <w:color w:val="231F20"/>
          <w:spacing w:val="-32"/>
          <w:w w:val="105"/>
        </w:rPr>
        <w:t> </w:t>
      </w:r>
      <w:r>
        <w:rPr>
          <w:color w:val="231F20"/>
          <w:w w:val="105"/>
        </w:rPr>
        <w:t>diventerà</w:t>
      </w:r>
      <w:r>
        <w:rPr>
          <w:color w:val="231F20"/>
          <w:spacing w:val="-32"/>
          <w:w w:val="105"/>
        </w:rPr>
        <w:t> </w:t>
      </w:r>
      <w:r>
        <w:rPr>
          <w:color w:val="231F20"/>
          <w:w w:val="105"/>
        </w:rPr>
        <w:t>una</w:t>
      </w:r>
      <w:r>
        <w:rPr>
          <w:color w:val="231F20"/>
          <w:spacing w:val="-32"/>
          <w:w w:val="105"/>
        </w:rPr>
        <w:t> </w:t>
      </w:r>
      <w:r>
        <w:rPr>
          <w:color w:val="231F20"/>
          <w:w w:val="105"/>
        </w:rPr>
        <w:t>regola.</w:t>
      </w:r>
    </w:p>
    <w:p>
      <w:pPr>
        <w:pStyle w:val="BodyText"/>
        <w:spacing w:line="247" w:lineRule="auto"/>
        <w:ind w:left="117" w:right="98" w:firstLine="566"/>
        <w:jc w:val="both"/>
      </w:pPr>
      <w:r>
        <w:rPr>
          <w:color w:val="231F20"/>
          <w:spacing w:val="-8"/>
          <w:w w:val="105"/>
        </w:rPr>
        <w:t>Tanto</w:t>
      </w:r>
      <w:r>
        <w:rPr>
          <w:color w:val="231F20"/>
          <w:spacing w:val="-44"/>
          <w:w w:val="105"/>
        </w:rPr>
        <w:t> </w:t>
      </w:r>
      <w:r>
        <w:rPr>
          <w:color w:val="231F20"/>
          <w:w w:val="105"/>
        </w:rPr>
        <w:t>il</w:t>
      </w:r>
      <w:r>
        <w:rPr>
          <w:color w:val="231F20"/>
          <w:spacing w:val="-45"/>
          <w:w w:val="105"/>
        </w:rPr>
        <w:t> </w:t>
      </w:r>
      <w:r>
        <w:rPr>
          <w:color w:val="231F20"/>
          <w:w w:val="105"/>
          <w:sz w:val="18"/>
        </w:rPr>
        <w:t>DPN</w:t>
      </w:r>
      <w:r>
        <w:rPr>
          <w:color w:val="231F20"/>
          <w:spacing w:val="-35"/>
          <w:w w:val="105"/>
          <w:sz w:val="18"/>
        </w:rPr>
        <w:t> </w:t>
      </w:r>
      <w:r>
        <w:rPr>
          <w:color w:val="231F20"/>
          <w:spacing w:val="-3"/>
          <w:w w:val="105"/>
        </w:rPr>
        <w:t>jakobiano</w:t>
      </w:r>
      <w:r>
        <w:rPr>
          <w:color w:val="231F20"/>
          <w:spacing w:val="-44"/>
          <w:w w:val="105"/>
        </w:rPr>
        <w:t> </w:t>
      </w:r>
      <w:r>
        <w:rPr>
          <w:color w:val="231F20"/>
          <w:spacing w:val="-3"/>
          <w:w w:val="105"/>
        </w:rPr>
        <w:t>come</w:t>
      </w:r>
      <w:r>
        <w:rPr>
          <w:color w:val="231F20"/>
          <w:spacing w:val="-44"/>
          <w:w w:val="105"/>
        </w:rPr>
        <w:t> </w:t>
      </w:r>
      <w:r>
        <w:rPr>
          <w:color w:val="231F20"/>
          <w:w w:val="105"/>
        </w:rPr>
        <w:t>il</w:t>
      </w:r>
      <w:r>
        <w:rPr>
          <w:color w:val="231F20"/>
          <w:spacing w:val="-44"/>
          <w:w w:val="105"/>
        </w:rPr>
        <w:t> </w:t>
      </w:r>
      <w:r>
        <w:rPr>
          <w:color w:val="231F20"/>
          <w:spacing w:val="-3"/>
          <w:w w:val="105"/>
        </w:rPr>
        <w:t>decisionismo</w:t>
      </w:r>
      <w:r>
        <w:rPr>
          <w:color w:val="231F20"/>
          <w:spacing w:val="-44"/>
          <w:w w:val="105"/>
        </w:rPr>
        <w:t> </w:t>
      </w:r>
      <w:r>
        <w:rPr>
          <w:color w:val="231F20"/>
          <w:spacing w:val="-3"/>
          <w:w w:val="105"/>
        </w:rPr>
        <w:t>schmittiano</w:t>
      </w:r>
      <w:r>
        <w:rPr>
          <w:color w:val="231F20"/>
          <w:spacing w:val="-44"/>
          <w:w w:val="105"/>
        </w:rPr>
        <w:t> </w:t>
      </w:r>
      <w:r>
        <w:rPr>
          <w:color w:val="231F20"/>
          <w:spacing w:val="-3"/>
          <w:w w:val="105"/>
        </w:rPr>
        <w:t>lasciano</w:t>
      </w:r>
      <w:r>
        <w:rPr>
          <w:color w:val="231F20"/>
          <w:spacing w:val="-44"/>
          <w:w w:val="105"/>
        </w:rPr>
        <w:t> </w:t>
      </w:r>
      <w:r>
        <w:rPr>
          <w:color w:val="231F20"/>
          <w:spacing w:val="-3"/>
          <w:w w:val="105"/>
        </w:rPr>
        <w:t>spazio </w:t>
      </w:r>
      <w:r>
        <w:rPr>
          <w:color w:val="231F20"/>
          <w:w w:val="105"/>
        </w:rPr>
        <w:t>al</w:t>
      </w:r>
      <w:r>
        <w:rPr>
          <w:color w:val="231F20"/>
          <w:spacing w:val="-19"/>
          <w:w w:val="105"/>
        </w:rPr>
        <w:t> </w:t>
      </w:r>
      <w:r>
        <w:rPr>
          <w:color w:val="231F20"/>
          <w:w w:val="105"/>
        </w:rPr>
        <w:t>paradosso</w:t>
      </w:r>
      <w:r>
        <w:rPr>
          <w:color w:val="231F20"/>
          <w:spacing w:val="-19"/>
          <w:w w:val="105"/>
        </w:rPr>
        <w:t> </w:t>
      </w:r>
      <w:r>
        <w:rPr>
          <w:color w:val="231F20"/>
          <w:w w:val="105"/>
        </w:rPr>
        <w:t>come</w:t>
      </w:r>
      <w:r>
        <w:rPr>
          <w:color w:val="231F20"/>
          <w:spacing w:val="-19"/>
          <w:w w:val="105"/>
        </w:rPr>
        <w:t> </w:t>
      </w:r>
      <w:r>
        <w:rPr>
          <w:color w:val="231F20"/>
          <w:w w:val="105"/>
        </w:rPr>
        <w:t>fondamento</w:t>
      </w:r>
      <w:r>
        <w:rPr>
          <w:color w:val="231F20"/>
          <w:spacing w:val="-19"/>
          <w:w w:val="105"/>
        </w:rPr>
        <w:t> </w:t>
      </w:r>
      <w:r>
        <w:rPr>
          <w:color w:val="231F20"/>
          <w:w w:val="105"/>
        </w:rPr>
        <w:t>dei</w:t>
      </w:r>
      <w:r>
        <w:rPr>
          <w:color w:val="231F20"/>
          <w:spacing w:val="-19"/>
          <w:w w:val="105"/>
        </w:rPr>
        <w:t> </w:t>
      </w:r>
      <w:r>
        <w:rPr>
          <w:color w:val="231F20"/>
          <w:w w:val="105"/>
        </w:rPr>
        <w:t>diritti</w:t>
      </w:r>
      <w:r>
        <w:rPr>
          <w:color w:val="231F20"/>
          <w:spacing w:val="-19"/>
          <w:w w:val="105"/>
        </w:rPr>
        <w:t> </w:t>
      </w:r>
      <w:r>
        <w:rPr>
          <w:color w:val="231F20"/>
          <w:w w:val="105"/>
        </w:rPr>
        <w:t>e</w:t>
      </w:r>
      <w:r>
        <w:rPr>
          <w:color w:val="231F20"/>
          <w:spacing w:val="-19"/>
          <w:w w:val="105"/>
        </w:rPr>
        <w:t> </w:t>
      </w:r>
      <w:r>
        <w:rPr>
          <w:color w:val="231F20"/>
          <w:w w:val="105"/>
        </w:rPr>
        <w:t>del</w:t>
      </w:r>
      <w:r>
        <w:rPr>
          <w:color w:val="231F20"/>
          <w:spacing w:val="-19"/>
          <w:w w:val="105"/>
        </w:rPr>
        <w:t> </w:t>
      </w:r>
      <w:r>
        <w:rPr>
          <w:color w:val="231F20"/>
          <w:w w:val="105"/>
        </w:rPr>
        <w:t>potere</w:t>
      </w:r>
      <w:r>
        <w:rPr>
          <w:color w:val="231F20"/>
          <w:spacing w:val="-19"/>
          <w:w w:val="105"/>
        </w:rPr>
        <w:t> </w:t>
      </w:r>
      <w:r>
        <w:rPr>
          <w:color w:val="231F20"/>
          <w:w w:val="105"/>
        </w:rPr>
        <w:t>politico,</w:t>
      </w:r>
      <w:r>
        <w:rPr>
          <w:color w:val="231F20"/>
          <w:spacing w:val="-19"/>
          <w:w w:val="105"/>
        </w:rPr>
        <w:t> </w:t>
      </w:r>
      <w:r>
        <w:rPr>
          <w:color w:val="231F20"/>
          <w:w w:val="105"/>
        </w:rPr>
        <w:t>assumono che</w:t>
      </w:r>
      <w:r>
        <w:rPr>
          <w:color w:val="231F20"/>
          <w:spacing w:val="-44"/>
          <w:w w:val="105"/>
        </w:rPr>
        <w:t> </w:t>
      </w:r>
      <w:r>
        <w:rPr>
          <w:color w:val="231F20"/>
          <w:w w:val="105"/>
        </w:rPr>
        <w:t>per</w:t>
      </w:r>
      <w:r>
        <w:rPr>
          <w:color w:val="231F20"/>
          <w:spacing w:val="-44"/>
          <w:w w:val="105"/>
        </w:rPr>
        <w:t> </w:t>
      </w:r>
      <w:r>
        <w:rPr>
          <w:color w:val="231F20"/>
          <w:spacing w:val="-3"/>
          <w:w w:val="105"/>
        </w:rPr>
        <w:t>sostenere</w:t>
      </w:r>
      <w:r>
        <w:rPr>
          <w:color w:val="231F20"/>
          <w:spacing w:val="-44"/>
          <w:w w:val="105"/>
        </w:rPr>
        <w:t> </w:t>
      </w:r>
      <w:r>
        <w:rPr>
          <w:color w:val="231F20"/>
          <w:w w:val="105"/>
        </w:rPr>
        <w:t>la</w:t>
      </w:r>
      <w:r>
        <w:rPr>
          <w:color w:val="231F20"/>
          <w:spacing w:val="-44"/>
          <w:w w:val="105"/>
        </w:rPr>
        <w:t> </w:t>
      </w:r>
      <w:r>
        <w:rPr>
          <w:color w:val="231F20"/>
          <w:spacing w:val="-3"/>
          <w:w w:val="105"/>
        </w:rPr>
        <w:t>legalità</w:t>
      </w:r>
      <w:r>
        <w:rPr>
          <w:color w:val="231F20"/>
          <w:spacing w:val="-44"/>
          <w:w w:val="105"/>
        </w:rPr>
        <w:t> </w:t>
      </w:r>
      <w:r>
        <w:rPr>
          <w:color w:val="231F20"/>
          <w:w w:val="105"/>
        </w:rPr>
        <w:t>e</w:t>
      </w:r>
      <w:r>
        <w:rPr>
          <w:color w:val="231F20"/>
          <w:spacing w:val="-44"/>
          <w:w w:val="105"/>
        </w:rPr>
        <w:t> </w:t>
      </w:r>
      <w:r>
        <w:rPr>
          <w:color w:val="231F20"/>
          <w:spacing w:val="-3"/>
          <w:w w:val="105"/>
        </w:rPr>
        <w:t>proteggerla</w:t>
      </w:r>
      <w:r>
        <w:rPr>
          <w:color w:val="231F20"/>
          <w:spacing w:val="-43"/>
          <w:w w:val="105"/>
        </w:rPr>
        <w:t> </w:t>
      </w:r>
      <w:r>
        <w:rPr>
          <w:color w:val="231F20"/>
          <w:w w:val="105"/>
        </w:rPr>
        <w:t>è</w:t>
      </w:r>
      <w:r>
        <w:rPr>
          <w:color w:val="231F20"/>
          <w:spacing w:val="-44"/>
          <w:w w:val="105"/>
        </w:rPr>
        <w:t> </w:t>
      </w:r>
      <w:r>
        <w:rPr>
          <w:color w:val="231F20"/>
          <w:spacing w:val="-3"/>
          <w:w w:val="105"/>
        </w:rPr>
        <w:t>necessario,</w:t>
      </w:r>
      <w:r>
        <w:rPr>
          <w:color w:val="231F20"/>
          <w:spacing w:val="-44"/>
          <w:w w:val="105"/>
        </w:rPr>
        <w:t> </w:t>
      </w:r>
      <w:r>
        <w:rPr>
          <w:color w:val="231F20"/>
          <w:w w:val="105"/>
        </w:rPr>
        <w:t>a</w:t>
      </w:r>
      <w:r>
        <w:rPr>
          <w:color w:val="231F20"/>
          <w:spacing w:val="-44"/>
          <w:w w:val="105"/>
        </w:rPr>
        <w:t> </w:t>
      </w:r>
      <w:r>
        <w:rPr>
          <w:color w:val="231F20"/>
          <w:spacing w:val="-3"/>
          <w:w w:val="105"/>
        </w:rPr>
        <w:t>volte,</w:t>
      </w:r>
      <w:r>
        <w:rPr>
          <w:color w:val="231F20"/>
          <w:spacing w:val="-44"/>
          <w:w w:val="105"/>
        </w:rPr>
        <w:t> </w:t>
      </w:r>
      <w:r>
        <w:rPr>
          <w:color w:val="231F20"/>
          <w:spacing w:val="-3"/>
          <w:w w:val="105"/>
        </w:rPr>
        <w:t>sospenderla. </w:t>
      </w:r>
      <w:r>
        <w:rPr>
          <w:color w:val="231F20"/>
          <w:w w:val="105"/>
        </w:rPr>
        <w:t>Il</w:t>
      </w:r>
      <w:r>
        <w:rPr>
          <w:color w:val="231F20"/>
          <w:spacing w:val="-22"/>
          <w:w w:val="105"/>
        </w:rPr>
        <w:t> </w:t>
      </w:r>
      <w:r>
        <w:rPr>
          <w:color w:val="231F20"/>
          <w:w w:val="105"/>
        </w:rPr>
        <w:t>“paradosso</w:t>
      </w:r>
      <w:r>
        <w:rPr>
          <w:color w:val="231F20"/>
          <w:spacing w:val="-22"/>
          <w:w w:val="105"/>
        </w:rPr>
        <w:t> </w:t>
      </w:r>
      <w:r>
        <w:rPr>
          <w:color w:val="231F20"/>
          <w:w w:val="105"/>
        </w:rPr>
        <w:t>della</w:t>
      </w:r>
      <w:r>
        <w:rPr>
          <w:color w:val="231F20"/>
          <w:spacing w:val="-22"/>
          <w:w w:val="105"/>
        </w:rPr>
        <w:t> </w:t>
      </w:r>
      <w:r>
        <w:rPr>
          <w:color w:val="231F20"/>
          <w:w w:val="105"/>
        </w:rPr>
        <w:t>sovranità”</w:t>
      </w:r>
      <w:r>
        <w:rPr>
          <w:color w:val="231F20"/>
          <w:spacing w:val="-22"/>
          <w:w w:val="105"/>
        </w:rPr>
        <w:t> </w:t>
      </w:r>
      <w:r>
        <w:rPr>
          <w:color w:val="231F20"/>
          <w:w w:val="105"/>
        </w:rPr>
        <w:t>di</w:t>
      </w:r>
      <w:r>
        <w:rPr>
          <w:color w:val="231F20"/>
          <w:spacing w:val="-22"/>
          <w:w w:val="105"/>
        </w:rPr>
        <w:t> </w:t>
      </w:r>
      <w:r>
        <w:rPr>
          <w:color w:val="231F20"/>
          <w:w w:val="105"/>
        </w:rPr>
        <w:t>cui</w:t>
      </w:r>
      <w:r>
        <w:rPr>
          <w:color w:val="231F20"/>
          <w:spacing w:val="-22"/>
          <w:w w:val="105"/>
        </w:rPr>
        <w:t> </w:t>
      </w:r>
      <w:r>
        <w:rPr>
          <w:color w:val="231F20"/>
          <w:w w:val="105"/>
        </w:rPr>
        <w:t>parla</w:t>
      </w:r>
      <w:r>
        <w:rPr>
          <w:color w:val="231F20"/>
          <w:spacing w:val="-22"/>
          <w:w w:val="105"/>
        </w:rPr>
        <w:t> </w:t>
      </w:r>
      <w:r>
        <w:rPr>
          <w:color w:val="231F20"/>
          <w:w w:val="105"/>
        </w:rPr>
        <w:t>Giorgio</w:t>
      </w:r>
      <w:r>
        <w:rPr>
          <w:color w:val="231F20"/>
          <w:spacing w:val="-22"/>
          <w:w w:val="105"/>
        </w:rPr>
        <w:t> </w:t>
      </w:r>
      <w:r>
        <w:rPr>
          <w:color w:val="231F20"/>
          <w:w w:val="105"/>
        </w:rPr>
        <w:t>Agamben</w:t>
      </w:r>
      <w:r>
        <w:rPr>
          <w:color w:val="231F20"/>
          <w:spacing w:val="-22"/>
          <w:w w:val="105"/>
        </w:rPr>
        <w:t> </w:t>
      </w:r>
      <w:r>
        <w:rPr>
          <w:color w:val="231F20"/>
          <w:w w:val="105"/>
        </w:rPr>
        <w:t>a</w:t>
      </w:r>
      <w:r>
        <w:rPr>
          <w:color w:val="231F20"/>
          <w:spacing w:val="-22"/>
          <w:w w:val="105"/>
        </w:rPr>
        <w:t> </w:t>
      </w:r>
      <w:r>
        <w:rPr>
          <w:color w:val="231F20"/>
          <w:w w:val="105"/>
        </w:rPr>
        <w:t>partire</w:t>
      </w:r>
      <w:r>
        <w:rPr>
          <w:color w:val="231F20"/>
          <w:spacing w:val="-22"/>
          <w:w w:val="105"/>
        </w:rPr>
        <w:t> </w:t>
      </w:r>
      <w:r>
        <w:rPr>
          <w:color w:val="231F20"/>
          <w:w w:val="105"/>
        </w:rPr>
        <w:t>dalle idee</w:t>
      </w:r>
      <w:r>
        <w:rPr>
          <w:color w:val="231F20"/>
          <w:spacing w:val="-19"/>
          <w:w w:val="105"/>
        </w:rPr>
        <w:t> </w:t>
      </w:r>
      <w:r>
        <w:rPr>
          <w:color w:val="231F20"/>
          <w:w w:val="105"/>
        </w:rPr>
        <w:t>di</w:t>
      </w:r>
      <w:r>
        <w:rPr>
          <w:color w:val="231F20"/>
          <w:spacing w:val="-19"/>
          <w:w w:val="105"/>
        </w:rPr>
        <w:t> </w:t>
      </w:r>
      <w:r>
        <w:rPr>
          <w:color w:val="231F20"/>
          <w:w w:val="105"/>
        </w:rPr>
        <w:t>Carl</w:t>
      </w:r>
      <w:r>
        <w:rPr>
          <w:color w:val="231F20"/>
          <w:spacing w:val="-19"/>
          <w:w w:val="105"/>
        </w:rPr>
        <w:t> </w:t>
      </w:r>
      <w:r>
        <w:rPr>
          <w:color w:val="231F20"/>
          <w:w w:val="105"/>
        </w:rPr>
        <w:t>Schmitt,</w:t>
      </w:r>
      <w:r>
        <w:rPr>
          <w:color w:val="231F20"/>
          <w:spacing w:val="-19"/>
          <w:w w:val="105"/>
        </w:rPr>
        <w:t> </w:t>
      </w:r>
      <w:r>
        <w:rPr>
          <w:color w:val="231F20"/>
          <w:w w:val="105"/>
        </w:rPr>
        <w:t>partirebbe</w:t>
      </w:r>
      <w:r>
        <w:rPr>
          <w:color w:val="231F20"/>
          <w:spacing w:val="-19"/>
          <w:w w:val="105"/>
        </w:rPr>
        <w:t> </w:t>
      </w:r>
      <w:r>
        <w:rPr>
          <w:color w:val="231F20"/>
          <w:w w:val="105"/>
        </w:rPr>
        <w:t>dal</w:t>
      </w:r>
      <w:r>
        <w:rPr>
          <w:color w:val="231F20"/>
          <w:spacing w:val="-19"/>
          <w:w w:val="105"/>
        </w:rPr>
        <w:t> </w:t>
      </w:r>
      <w:r>
        <w:rPr>
          <w:color w:val="231F20"/>
          <w:w w:val="105"/>
        </w:rPr>
        <w:t>fatto</w:t>
      </w:r>
      <w:r>
        <w:rPr>
          <w:color w:val="231F20"/>
          <w:spacing w:val="-19"/>
          <w:w w:val="105"/>
        </w:rPr>
        <w:t> </w:t>
      </w:r>
      <w:r>
        <w:rPr>
          <w:color w:val="231F20"/>
          <w:w w:val="105"/>
        </w:rPr>
        <w:t>che</w:t>
      </w:r>
      <w:r>
        <w:rPr>
          <w:color w:val="231F20"/>
          <w:spacing w:val="-19"/>
          <w:w w:val="105"/>
        </w:rPr>
        <w:t> </w:t>
      </w:r>
      <w:r>
        <w:rPr>
          <w:color w:val="231F20"/>
          <w:w w:val="105"/>
        </w:rPr>
        <w:t>è</w:t>
      </w:r>
      <w:r>
        <w:rPr>
          <w:color w:val="231F20"/>
          <w:spacing w:val="-19"/>
          <w:w w:val="105"/>
        </w:rPr>
        <w:t> </w:t>
      </w:r>
      <w:r>
        <w:rPr>
          <w:color w:val="231F20"/>
          <w:w w:val="105"/>
        </w:rPr>
        <w:t>il</w:t>
      </w:r>
      <w:r>
        <w:rPr>
          <w:color w:val="231F20"/>
          <w:spacing w:val="-19"/>
          <w:w w:val="105"/>
        </w:rPr>
        <w:t> </w:t>
      </w:r>
      <w:r>
        <w:rPr>
          <w:color w:val="231F20"/>
          <w:w w:val="105"/>
        </w:rPr>
        <w:t>sovrano</w:t>
      </w:r>
      <w:r>
        <w:rPr>
          <w:color w:val="231F20"/>
          <w:spacing w:val="-19"/>
          <w:w w:val="105"/>
        </w:rPr>
        <w:t> </w:t>
      </w:r>
      <w:r>
        <w:rPr>
          <w:color w:val="231F20"/>
          <w:w w:val="105"/>
        </w:rPr>
        <w:t>“chi</w:t>
      </w:r>
      <w:r>
        <w:rPr>
          <w:color w:val="231F20"/>
          <w:spacing w:val="-19"/>
          <w:w w:val="105"/>
        </w:rPr>
        <w:t> </w:t>
      </w:r>
      <w:r>
        <w:rPr>
          <w:color w:val="231F20"/>
          <w:w w:val="105"/>
        </w:rPr>
        <w:t>decide</w:t>
      </w:r>
      <w:r>
        <w:rPr>
          <w:color w:val="231F20"/>
          <w:spacing w:val="-19"/>
          <w:w w:val="105"/>
        </w:rPr>
        <w:t> </w:t>
      </w:r>
      <w:r>
        <w:rPr>
          <w:color w:val="231F20"/>
          <w:w w:val="105"/>
        </w:rPr>
        <w:t>sullo stato</w:t>
      </w:r>
      <w:r>
        <w:rPr>
          <w:color w:val="231F20"/>
          <w:spacing w:val="-10"/>
          <w:w w:val="105"/>
        </w:rPr>
        <w:t> </w:t>
      </w:r>
      <w:r>
        <w:rPr>
          <w:color w:val="231F20"/>
          <w:w w:val="105"/>
        </w:rPr>
        <w:t>di</w:t>
      </w:r>
      <w:r>
        <w:rPr>
          <w:color w:val="231F20"/>
          <w:spacing w:val="-10"/>
          <w:w w:val="105"/>
        </w:rPr>
        <w:t> </w:t>
      </w:r>
      <w:r>
        <w:rPr>
          <w:color w:val="231F20"/>
          <w:w w:val="105"/>
        </w:rPr>
        <w:t>eccezione”</w:t>
      </w:r>
      <w:r>
        <w:rPr>
          <w:color w:val="231F20"/>
          <w:w w:val="105"/>
          <w:position w:val="7"/>
          <w:sz w:val="12"/>
        </w:rPr>
        <w:t>26</w:t>
      </w:r>
      <w:r>
        <w:rPr>
          <w:color w:val="231F20"/>
          <w:w w:val="105"/>
        </w:rPr>
        <w:t>,</w:t>
      </w:r>
      <w:r>
        <w:rPr>
          <w:color w:val="231F20"/>
          <w:spacing w:val="-10"/>
          <w:w w:val="105"/>
        </w:rPr>
        <w:t> </w:t>
      </w:r>
      <w:r>
        <w:rPr>
          <w:color w:val="231F20"/>
          <w:w w:val="105"/>
        </w:rPr>
        <w:t>con</w:t>
      </w:r>
      <w:r>
        <w:rPr>
          <w:color w:val="231F20"/>
          <w:spacing w:val="-10"/>
          <w:w w:val="105"/>
        </w:rPr>
        <w:t> </w:t>
      </w:r>
      <w:r>
        <w:rPr>
          <w:color w:val="231F20"/>
          <w:w w:val="105"/>
        </w:rPr>
        <w:t>cui</w:t>
      </w:r>
      <w:r>
        <w:rPr>
          <w:color w:val="231F20"/>
          <w:spacing w:val="-10"/>
          <w:w w:val="105"/>
        </w:rPr>
        <w:t> </w:t>
      </w:r>
      <w:r>
        <w:rPr>
          <w:color w:val="231F20"/>
          <w:w w:val="105"/>
        </w:rPr>
        <w:t>egli</w:t>
      </w:r>
      <w:r>
        <w:rPr>
          <w:color w:val="231F20"/>
          <w:spacing w:val="-10"/>
          <w:w w:val="105"/>
        </w:rPr>
        <w:t> </w:t>
      </w:r>
      <w:r>
        <w:rPr>
          <w:color w:val="231F20"/>
          <w:w w:val="105"/>
        </w:rPr>
        <w:t>si</w:t>
      </w:r>
      <w:r>
        <w:rPr>
          <w:color w:val="231F20"/>
          <w:spacing w:val="-10"/>
          <w:w w:val="105"/>
        </w:rPr>
        <w:t> </w:t>
      </w:r>
      <w:r>
        <w:rPr>
          <w:color w:val="231F20"/>
          <w:w w:val="105"/>
        </w:rPr>
        <w:t>troverebbe</w:t>
      </w:r>
      <w:r>
        <w:rPr>
          <w:color w:val="231F20"/>
          <w:spacing w:val="-10"/>
          <w:w w:val="105"/>
        </w:rPr>
        <w:t> </w:t>
      </w:r>
      <w:r>
        <w:rPr>
          <w:color w:val="231F20"/>
          <w:w w:val="105"/>
        </w:rPr>
        <w:t>in</w:t>
      </w:r>
      <w:r>
        <w:rPr>
          <w:color w:val="231F20"/>
          <w:spacing w:val="-10"/>
          <w:w w:val="105"/>
        </w:rPr>
        <w:t> </w:t>
      </w:r>
      <w:r>
        <w:rPr>
          <w:color w:val="231F20"/>
          <w:w w:val="105"/>
        </w:rPr>
        <w:t>una</w:t>
      </w:r>
      <w:r>
        <w:rPr>
          <w:color w:val="231F20"/>
          <w:spacing w:val="-10"/>
          <w:w w:val="105"/>
        </w:rPr>
        <w:t> </w:t>
      </w:r>
      <w:r>
        <w:rPr>
          <w:color w:val="231F20"/>
          <w:w w:val="105"/>
        </w:rPr>
        <w:t>situazione</w:t>
      </w:r>
      <w:r>
        <w:rPr>
          <w:color w:val="231F20"/>
          <w:spacing w:val="-10"/>
          <w:w w:val="105"/>
        </w:rPr>
        <w:t> </w:t>
      </w:r>
      <w:r>
        <w:rPr>
          <w:color w:val="231F20"/>
          <w:w w:val="105"/>
        </w:rPr>
        <w:t>almeno ambigua,</w:t>
      </w:r>
      <w:r>
        <w:rPr>
          <w:color w:val="231F20"/>
          <w:spacing w:val="-9"/>
          <w:w w:val="105"/>
        </w:rPr>
        <w:t> </w:t>
      </w:r>
      <w:r>
        <w:rPr>
          <w:color w:val="231F20"/>
          <w:w w:val="105"/>
        </w:rPr>
        <w:t>allo</w:t>
      </w:r>
      <w:r>
        <w:rPr>
          <w:color w:val="231F20"/>
          <w:spacing w:val="-9"/>
          <w:w w:val="105"/>
        </w:rPr>
        <w:t> </w:t>
      </w:r>
      <w:r>
        <w:rPr>
          <w:color w:val="231F20"/>
          <w:w w:val="105"/>
        </w:rPr>
        <w:t>stesso</w:t>
      </w:r>
      <w:r>
        <w:rPr>
          <w:color w:val="231F20"/>
          <w:spacing w:val="-9"/>
          <w:w w:val="105"/>
        </w:rPr>
        <w:t> </w:t>
      </w:r>
      <w:r>
        <w:rPr>
          <w:color w:val="231F20"/>
          <w:w w:val="105"/>
        </w:rPr>
        <w:t>tempo</w:t>
      </w:r>
      <w:r>
        <w:rPr>
          <w:color w:val="231F20"/>
          <w:spacing w:val="-9"/>
          <w:w w:val="105"/>
        </w:rPr>
        <w:t> </w:t>
      </w:r>
      <w:r>
        <w:rPr>
          <w:color w:val="231F20"/>
          <w:w w:val="105"/>
        </w:rPr>
        <w:t>dentro</w:t>
      </w:r>
      <w:r>
        <w:rPr>
          <w:color w:val="231F20"/>
          <w:spacing w:val="-9"/>
          <w:w w:val="105"/>
        </w:rPr>
        <w:t> </w:t>
      </w:r>
      <w:r>
        <w:rPr>
          <w:color w:val="231F20"/>
          <w:w w:val="105"/>
        </w:rPr>
        <w:t>e</w:t>
      </w:r>
      <w:r>
        <w:rPr>
          <w:color w:val="231F20"/>
          <w:spacing w:val="-9"/>
          <w:w w:val="105"/>
        </w:rPr>
        <w:t> </w:t>
      </w:r>
      <w:r>
        <w:rPr>
          <w:color w:val="231F20"/>
          <w:w w:val="105"/>
        </w:rPr>
        <w:t>fuori</w:t>
      </w:r>
      <w:r>
        <w:rPr>
          <w:color w:val="231F20"/>
          <w:spacing w:val="-9"/>
          <w:w w:val="105"/>
        </w:rPr>
        <w:t> </w:t>
      </w:r>
      <w:r>
        <w:rPr>
          <w:color w:val="231F20"/>
          <w:w w:val="105"/>
        </w:rPr>
        <w:t>dalla</w:t>
      </w:r>
      <w:r>
        <w:rPr>
          <w:color w:val="231F20"/>
          <w:spacing w:val="-9"/>
          <w:w w:val="105"/>
        </w:rPr>
        <w:t> </w:t>
      </w:r>
      <w:r>
        <w:rPr>
          <w:color w:val="231F20"/>
          <w:w w:val="105"/>
        </w:rPr>
        <w:t>legge;</w:t>
      </w:r>
      <w:r>
        <w:rPr>
          <w:color w:val="231F20"/>
          <w:spacing w:val="-9"/>
          <w:w w:val="105"/>
        </w:rPr>
        <w:t> </w:t>
      </w:r>
      <w:r>
        <w:rPr>
          <w:color w:val="231F20"/>
          <w:w w:val="105"/>
        </w:rPr>
        <w:t>così,</w:t>
      </w:r>
      <w:r>
        <w:rPr>
          <w:color w:val="231F20"/>
          <w:spacing w:val="-9"/>
          <w:w w:val="105"/>
        </w:rPr>
        <w:t> </w:t>
      </w:r>
      <w:r>
        <w:rPr>
          <w:color w:val="231F20"/>
          <w:w w:val="105"/>
        </w:rPr>
        <w:t>in</w:t>
      </w:r>
      <w:r>
        <w:rPr>
          <w:color w:val="231F20"/>
          <w:spacing w:val="-9"/>
          <w:w w:val="105"/>
        </w:rPr>
        <w:t> </w:t>
      </w:r>
      <w:r>
        <w:rPr>
          <w:color w:val="231F20"/>
          <w:w w:val="105"/>
        </w:rPr>
        <w:t>situazioni </w:t>
      </w:r>
      <w:r>
        <w:rPr>
          <w:color w:val="231F20"/>
          <w:spacing w:val="-3"/>
          <w:w w:val="105"/>
        </w:rPr>
        <w:t>d’emergenza</w:t>
      </w:r>
      <w:r>
        <w:rPr>
          <w:color w:val="231F20"/>
          <w:spacing w:val="-39"/>
          <w:w w:val="105"/>
        </w:rPr>
        <w:t> </w:t>
      </w:r>
      <w:r>
        <w:rPr>
          <w:color w:val="231F20"/>
          <w:w w:val="105"/>
        </w:rPr>
        <w:t>il</w:t>
      </w:r>
      <w:r>
        <w:rPr>
          <w:color w:val="231F20"/>
          <w:spacing w:val="-39"/>
          <w:w w:val="105"/>
        </w:rPr>
        <w:t> </w:t>
      </w:r>
      <w:r>
        <w:rPr>
          <w:color w:val="231F20"/>
          <w:spacing w:val="-3"/>
          <w:w w:val="105"/>
        </w:rPr>
        <w:t>sovrano</w:t>
      </w:r>
      <w:r>
        <w:rPr>
          <w:color w:val="231F20"/>
          <w:spacing w:val="-39"/>
          <w:w w:val="105"/>
        </w:rPr>
        <w:t> </w:t>
      </w:r>
      <w:r>
        <w:rPr>
          <w:color w:val="231F20"/>
          <w:w w:val="105"/>
        </w:rPr>
        <w:t>ha</w:t>
      </w:r>
      <w:r>
        <w:rPr>
          <w:color w:val="231F20"/>
          <w:spacing w:val="-39"/>
          <w:w w:val="105"/>
        </w:rPr>
        <w:t> </w:t>
      </w:r>
      <w:r>
        <w:rPr>
          <w:color w:val="231F20"/>
          <w:w w:val="105"/>
        </w:rPr>
        <w:t>la</w:t>
      </w:r>
      <w:r>
        <w:rPr>
          <w:color w:val="231F20"/>
          <w:spacing w:val="-39"/>
          <w:w w:val="105"/>
        </w:rPr>
        <w:t> </w:t>
      </w:r>
      <w:r>
        <w:rPr>
          <w:color w:val="231F20"/>
          <w:spacing w:val="-3"/>
          <w:w w:val="105"/>
        </w:rPr>
        <w:t>potestà</w:t>
      </w:r>
      <w:r>
        <w:rPr>
          <w:color w:val="231F20"/>
          <w:spacing w:val="-39"/>
          <w:w w:val="105"/>
        </w:rPr>
        <w:t> </w:t>
      </w:r>
      <w:r>
        <w:rPr>
          <w:color w:val="231F20"/>
          <w:w w:val="105"/>
        </w:rPr>
        <w:t>di</w:t>
      </w:r>
      <w:r>
        <w:rPr>
          <w:color w:val="231F20"/>
          <w:spacing w:val="-39"/>
          <w:w w:val="105"/>
        </w:rPr>
        <w:t> </w:t>
      </w:r>
      <w:r>
        <w:rPr>
          <w:color w:val="231F20"/>
          <w:spacing w:val="-3"/>
          <w:w w:val="105"/>
        </w:rPr>
        <w:t>sospendere</w:t>
      </w:r>
      <w:r>
        <w:rPr>
          <w:color w:val="231F20"/>
          <w:spacing w:val="-39"/>
          <w:w w:val="105"/>
        </w:rPr>
        <w:t> </w:t>
      </w:r>
      <w:r>
        <w:rPr>
          <w:color w:val="231F20"/>
          <w:w w:val="105"/>
        </w:rPr>
        <w:t>la</w:t>
      </w:r>
      <w:r>
        <w:rPr>
          <w:color w:val="231F20"/>
          <w:spacing w:val="-39"/>
          <w:w w:val="105"/>
        </w:rPr>
        <w:t> </w:t>
      </w:r>
      <w:r>
        <w:rPr>
          <w:color w:val="231F20"/>
          <w:spacing w:val="-3"/>
          <w:w w:val="105"/>
        </w:rPr>
        <w:t>legge</w:t>
      </w:r>
      <w:r>
        <w:rPr>
          <w:color w:val="231F20"/>
          <w:spacing w:val="-39"/>
          <w:w w:val="105"/>
        </w:rPr>
        <w:t> </w:t>
      </w:r>
      <w:r>
        <w:rPr>
          <w:color w:val="231F20"/>
          <w:w w:val="105"/>
        </w:rPr>
        <w:t>in</w:t>
      </w:r>
      <w:r>
        <w:rPr>
          <w:color w:val="231F20"/>
          <w:spacing w:val="-39"/>
          <w:w w:val="105"/>
        </w:rPr>
        <w:t> </w:t>
      </w:r>
      <w:r>
        <w:rPr>
          <w:color w:val="231F20"/>
          <w:w w:val="105"/>
        </w:rPr>
        <w:t>cui</w:t>
      </w:r>
      <w:r>
        <w:rPr>
          <w:color w:val="231F20"/>
          <w:spacing w:val="-39"/>
          <w:w w:val="105"/>
        </w:rPr>
        <w:t> </w:t>
      </w:r>
      <w:r>
        <w:rPr>
          <w:color w:val="231F20"/>
          <w:w w:val="105"/>
        </w:rPr>
        <w:t>si</w:t>
      </w:r>
      <w:r>
        <w:rPr>
          <w:color w:val="231F20"/>
          <w:spacing w:val="-39"/>
          <w:w w:val="105"/>
        </w:rPr>
        <w:t> </w:t>
      </w:r>
      <w:r>
        <w:rPr>
          <w:color w:val="231F20"/>
          <w:spacing w:val="-3"/>
          <w:w w:val="105"/>
        </w:rPr>
        <w:t>suppone </w:t>
      </w:r>
      <w:r>
        <w:rPr>
          <w:color w:val="231F20"/>
          <w:w w:val="105"/>
        </w:rPr>
        <w:t>risiede</w:t>
      </w:r>
      <w:r>
        <w:rPr>
          <w:color w:val="231F20"/>
          <w:spacing w:val="-27"/>
          <w:w w:val="105"/>
        </w:rPr>
        <w:t> </w:t>
      </w:r>
      <w:r>
        <w:rPr>
          <w:color w:val="231F20"/>
          <w:w w:val="105"/>
        </w:rPr>
        <w:t>la</w:t>
      </w:r>
      <w:r>
        <w:rPr>
          <w:color w:val="231F20"/>
          <w:spacing w:val="-27"/>
          <w:w w:val="105"/>
        </w:rPr>
        <w:t> </w:t>
      </w:r>
      <w:r>
        <w:rPr>
          <w:color w:val="231F20"/>
          <w:w w:val="105"/>
        </w:rPr>
        <w:t>sua</w:t>
      </w:r>
      <w:r>
        <w:rPr>
          <w:color w:val="231F20"/>
          <w:spacing w:val="-27"/>
          <w:w w:val="105"/>
        </w:rPr>
        <w:t> </w:t>
      </w:r>
      <w:r>
        <w:rPr>
          <w:color w:val="231F20"/>
          <w:w w:val="105"/>
        </w:rPr>
        <w:t>legittimità.</w:t>
      </w:r>
      <w:r>
        <w:rPr>
          <w:color w:val="231F20"/>
          <w:spacing w:val="-27"/>
          <w:w w:val="105"/>
        </w:rPr>
        <w:t> </w:t>
      </w:r>
      <w:r>
        <w:rPr>
          <w:color w:val="231F20"/>
          <w:w w:val="105"/>
        </w:rPr>
        <w:t>Al</w:t>
      </w:r>
      <w:r>
        <w:rPr>
          <w:color w:val="231F20"/>
          <w:spacing w:val="-27"/>
          <w:w w:val="105"/>
        </w:rPr>
        <w:t> </w:t>
      </w:r>
      <w:r>
        <w:rPr>
          <w:color w:val="231F20"/>
          <w:w w:val="105"/>
        </w:rPr>
        <w:t>contrario,</w:t>
      </w:r>
      <w:r>
        <w:rPr>
          <w:color w:val="231F20"/>
          <w:spacing w:val="-27"/>
          <w:w w:val="105"/>
        </w:rPr>
        <w:t> </w:t>
      </w:r>
      <w:r>
        <w:rPr>
          <w:color w:val="231F20"/>
          <w:w w:val="105"/>
        </w:rPr>
        <w:t>dalla</w:t>
      </w:r>
      <w:r>
        <w:rPr>
          <w:color w:val="231F20"/>
          <w:spacing w:val="-27"/>
          <w:w w:val="105"/>
        </w:rPr>
        <w:t> </w:t>
      </w:r>
      <w:r>
        <w:rPr>
          <w:color w:val="231F20"/>
          <w:w w:val="105"/>
        </w:rPr>
        <w:t>prospettiva</w:t>
      </w:r>
      <w:r>
        <w:rPr>
          <w:color w:val="231F20"/>
          <w:spacing w:val="-27"/>
          <w:w w:val="105"/>
        </w:rPr>
        <w:t> </w:t>
      </w:r>
      <w:r>
        <w:rPr>
          <w:color w:val="231F20"/>
          <w:w w:val="105"/>
        </w:rPr>
        <w:t>del</w:t>
      </w:r>
      <w:r>
        <w:rPr>
          <w:color w:val="231F20"/>
          <w:spacing w:val="-27"/>
          <w:w w:val="105"/>
        </w:rPr>
        <w:t> </w:t>
      </w:r>
      <w:r>
        <w:rPr>
          <w:color w:val="231F20"/>
          <w:w w:val="105"/>
        </w:rPr>
        <w:t>diritto</w:t>
      </w:r>
      <w:r>
        <w:rPr>
          <w:color w:val="231F20"/>
          <w:spacing w:val="-27"/>
          <w:w w:val="105"/>
        </w:rPr>
        <w:t> </w:t>
      </w:r>
      <w:r>
        <w:rPr>
          <w:color w:val="231F20"/>
          <w:w w:val="105"/>
        </w:rPr>
        <w:t>liberale– democratico</w:t>
      </w:r>
      <w:r>
        <w:rPr>
          <w:color w:val="231F20"/>
          <w:spacing w:val="-16"/>
          <w:w w:val="105"/>
        </w:rPr>
        <w:t> </w:t>
      </w:r>
      <w:r>
        <w:rPr>
          <w:color w:val="231F20"/>
          <w:w w:val="105"/>
        </w:rPr>
        <w:t>è</w:t>
      </w:r>
      <w:r>
        <w:rPr>
          <w:color w:val="231F20"/>
          <w:spacing w:val="-16"/>
          <w:w w:val="105"/>
        </w:rPr>
        <w:t> </w:t>
      </w:r>
      <w:r>
        <w:rPr>
          <w:color w:val="231F20"/>
          <w:w w:val="105"/>
        </w:rPr>
        <w:t>necessario</w:t>
      </w:r>
      <w:r>
        <w:rPr>
          <w:color w:val="231F20"/>
          <w:spacing w:val="-16"/>
          <w:w w:val="105"/>
        </w:rPr>
        <w:t> </w:t>
      </w:r>
      <w:r>
        <w:rPr>
          <w:color w:val="231F20"/>
          <w:w w:val="105"/>
        </w:rPr>
        <w:t>sempre</w:t>
      </w:r>
      <w:r>
        <w:rPr>
          <w:color w:val="231F20"/>
          <w:spacing w:val="-16"/>
          <w:w w:val="105"/>
        </w:rPr>
        <w:t> </w:t>
      </w:r>
      <w:r>
        <w:rPr>
          <w:color w:val="231F20"/>
          <w:w w:val="105"/>
        </w:rPr>
        <w:t>che</w:t>
      </w:r>
      <w:r>
        <w:rPr>
          <w:color w:val="231F20"/>
          <w:spacing w:val="-16"/>
          <w:w w:val="105"/>
        </w:rPr>
        <w:t> </w:t>
      </w:r>
      <w:r>
        <w:rPr>
          <w:color w:val="231F20"/>
          <w:w w:val="105"/>
        </w:rPr>
        <w:t>il</w:t>
      </w:r>
      <w:r>
        <w:rPr>
          <w:color w:val="231F20"/>
          <w:spacing w:val="-16"/>
          <w:w w:val="105"/>
        </w:rPr>
        <w:t> </w:t>
      </w:r>
      <w:r>
        <w:rPr>
          <w:color w:val="231F20"/>
          <w:w w:val="105"/>
        </w:rPr>
        <w:t>sovrano</w:t>
      </w:r>
      <w:r>
        <w:rPr>
          <w:color w:val="231F20"/>
          <w:spacing w:val="-16"/>
          <w:w w:val="105"/>
        </w:rPr>
        <w:t> </w:t>
      </w:r>
      <w:r>
        <w:rPr>
          <w:color w:val="231F20"/>
          <w:w w:val="105"/>
        </w:rPr>
        <w:t>sia</w:t>
      </w:r>
      <w:r>
        <w:rPr>
          <w:color w:val="231F20"/>
          <w:spacing w:val="-16"/>
          <w:w w:val="105"/>
        </w:rPr>
        <w:t> </w:t>
      </w:r>
      <w:r>
        <w:rPr>
          <w:color w:val="231F20"/>
          <w:w w:val="105"/>
        </w:rPr>
        <w:t>regolato</w:t>
      </w:r>
      <w:r>
        <w:rPr>
          <w:color w:val="231F20"/>
          <w:spacing w:val="-16"/>
          <w:w w:val="105"/>
        </w:rPr>
        <w:t> </w:t>
      </w:r>
      <w:r>
        <w:rPr>
          <w:color w:val="231F20"/>
          <w:w w:val="105"/>
        </w:rPr>
        <w:t>in</w:t>
      </w:r>
      <w:r>
        <w:rPr>
          <w:color w:val="231F20"/>
          <w:spacing w:val="-16"/>
          <w:w w:val="105"/>
        </w:rPr>
        <w:t> </w:t>
      </w:r>
      <w:r>
        <w:rPr>
          <w:color w:val="231F20"/>
          <w:w w:val="105"/>
        </w:rPr>
        <w:t>situazioni d’emergenza</w:t>
      </w:r>
      <w:r>
        <w:rPr>
          <w:color w:val="231F20"/>
          <w:spacing w:val="-33"/>
          <w:w w:val="105"/>
        </w:rPr>
        <w:t> </w:t>
      </w:r>
      <w:r>
        <w:rPr>
          <w:color w:val="231F20"/>
          <w:w w:val="105"/>
        </w:rPr>
        <w:t>(come</w:t>
      </w:r>
      <w:r>
        <w:rPr>
          <w:color w:val="231F20"/>
          <w:spacing w:val="-33"/>
          <w:w w:val="105"/>
        </w:rPr>
        <w:t> </w:t>
      </w:r>
      <w:r>
        <w:rPr>
          <w:color w:val="231F20"/>
          <w:w w:val="105"/>
        </w:rPr>
        <w:t>il</w:t>
      </w:r>
      <w:r>
        <w:rPr>
          <w:color w:val="231F20"/>
          <w:spacing w:val="-33"/>
          <w:w w:val="105"/>
        </w:rPr>
        <w:t> </w:t>
      </w:r>
      <w:r>
        <w:rPr>
          <w:color w:val="231F20"/>
          <w:w w:val="105"/>
        </w:rPr>
        <w:t>terrorismo</w:t>
      </w:r>
      <w:r>
        <w:rPr>
          <w:color w:val="231F20"/>
          <w:spacing w:val="-33"/>
          <w:w w:val="105"/>
        </w:rPr>
        <w:t> </w:t>
      </w:r>
      <w:r>
        <w:rPr>
          <w:color w:val="231F20"/>
          <w:w w:val="105"/>
        </w:rPr>
        <w:t>o</w:t>
      </w:r>
      <w:r>
        <w:rPr>
          <w:color w:val="231F20"/>
          <w:spacing w:val="-33"/>
          <w:w w:val="105"/>
        </w:rPr>
        <w:t> </w:t>
      </w:r>
      <w:r>
        <w:rPr>
          <w:color w:val="231F20"/>
          <w:w w:val="105"/>
        </w:rPr>
        <w:t>la</w:t>
      </w:r>
      <w:r>
        <w:rPr>
          <w:color w:val="231F20"/>
          <w:spacing w:val="-33"/>
          <w:w w:val="105"/>
        </w:rPr>
        <w:t> </w:t>
      </w:r>
      <w:r>
        <w:rPr>
          <w:color w:val="231F20"/>
          <w:w w:val="105"/>
        </w:rPr>
        <w:t>criminalità</w:t>
      </w:r>
      <w:r>
        <w:rPr>
          <w:color w:val="231F20"/>
          <w:spacing w:val="-33"/>
          <w:w w:val="105"/>
        </w:rPr>
        <w:t> </w:t>
      </w:r>
      <w:r>
        <w:rPr>
          <w:color w:val="231F20"/>
          <w:w w:val="105"/>
        </w:rPr>
        <w:t>organizzata)</w:t>
      </w:r>
      <w:r>
        <w:rPr>
          <w:color w:val="231F20"/>
          <w:spacing w:val="-33"/>
          <w:w w:val="105"/>
        </w:rPr>
        <w:t> </w:t>
      </w:r>
      <w:r>
        <w:rPr>
          <w:color w:val="231F20"/>
          <w:w w:val="105"/>
        </w:rPr>
        <w:t>sotto</w:t>
      </w:r>
      <w:r>
        <w:rPr>
          <w:color w:val="231F20"/>
          <w:spacing w:val="-33"/>
          <w:w w:val="105"/>
        </w:rPr>
        <w:t> </w:t>
      </w:r>
      <w:r>
        <w:rPr>
          <w:color w:val="231F20"/>
          <w:w w:val="105"/>
        </w:rPr>
        <w:t>il</w:t>
      </w:r>
      <w:r>
        <w:rPr>
          <w:color w:val="231F20"/>
          <w:spacing w:val="-33"/>
          <w:w w:val="105"/>
        </w:rPr>
        <w:t> </w:t>
      </w:r>
      <w:r>
        <w:rPr>
          <w:color w:val="231F20"/>
          <w:w w:val="105"/>
        </w:rPr>
        <w:t>giogo dell’ordinamento giuridico. </w:t>
      </w:r>
      <w:r>
        <w:rPr>
          <w:color w:val="231F20"/>
          <w:spacing w:val="-6"/>
          <w:w w:val="105"/>
        </w:rPr>
        <w:t>Tra </w:t>
      </w:r>
      <w:r>
        <w:rPr>
          <w:color w:val="231F20"/>
          <w:w w:val="105"/>
        </w:rPr>
        <w:t>entrambi i paradigmi il punto di disputa consiste</w:t>
      </w:r>
      <w:r>
        <w:rPr>
          <w:color w:val="231F20"/>
          <w:spacing w:val="-22"/>
          <w:w w:val="105"/>
        </w:rPr>
        <w:t> </w:t>
      </w:r>
      <w:r>
        <w:rPr>
          <w:color w:val="231F20"/>
          <w:w w:val="105"/>
        </w:rPr>
        <w:t>nel</w:t>
      </w:r>
      <w:r>
        <w:rPr>
          <w:color w:val="231F20"/>
          <w:spacing w:val="-22"/>
          <w:w w:val="105"/>
        </w:rPr>
        <w:t> </w:t>
      </w:r>
      <w:r>
        <w:rPr>
          <w:color w:val="231F20"/>
          <w:w w:val="105"/>
        </w:rPr>
        <w:t>sapere</w:t>
      </w:r>
      <w:r>
        <w:rPr>
          <w:color w:val="231F20"/>
          <w:spacing w:val="-22"/>
          <w:w w:val="105"/>
        </w:rPr>
        <w:t> </w:t>
      </w:r>
      <w:r>
        <w:rPr>
          <w:color w:val="231F20"/>
          <w:w w:val="105"/>
        </w:rPr>
        <w:t>come</w:t>
      </w:r>
      <w:r>
        <w:rPr>
          <w:color w:val="231F20"/>
          <w:spacing w:val="-22"/>
          <w:w w:val="105"/>
        </w:rPr>
        <w:t> </w:t>
      </w:r>
      <w:r>
        <w:rPr>
          <w:color w:val="231F20"/>
          <w:w w:val="105"/>
        </w:rPr>
        <w:t>deve</w:t>
      </w:r>
      <w:r>
        <w:rPr>
          <w:color w:val="231F20"/>
          <w:spacing w:val="-22"/>
          <w:w w:val="105"/>
        </w:rPr>
        <w:t> </w:t>
      </w:r>
      <w:r>
        <w:rPr>
          <w:color w:val="231F20"/>
          <w:w w:val="105"/>
        </w:rPr>
        <w:t>affrontare</w:t>
      </w:r>
      <w:r>
        <w:rPr>
          <w:color w:val="231F20"/>
          <w:spacing w:val="-22"/>
          <w:w w:val="105"/>
        </w:rPr>
        <w:t> </w:t>
      </w:r>
      <w:r>
        <w:rPr>
          <w:color w:val="231F20"/>
          <w:w w:val="105"/>
        </w:rPr>
        <w:t>il</w:t>
      </w:r>
      <w:r>
        <w:rPr>
          <w:color w:val="231F20"/>
          <w:spacing w:val="-22"/>
          <w:w w:val="105"/>
        </w:rPr>
        <w:t> </w:t>
      </w:r>
      <w:r>
        <w:rPr>
          <w:color w:val="231F20"/>
          <w:w w:val="105"/>
        </w:rPr>
        <w:t>Diritto</w:t>
      </w:r>
      <w:r>
        <w:rPr>
          <w:color w:val="231F20"/>
          <w:spacing w:val="-22"/>
          <w:w w:val="105"/>
        </w:rPr>
        <w:t> </w:t>
      </w:r>
      <w:r>
        <w:rPr>
          <w:color w:val="231F20"/>
          <w:w w:val="105"/>
        </w:rPr>
        <w:t>situazioni</w:t>
      </w:r>
      <w:r>
        <w:rPr>
          <w:color w:val="231F20"/>
          <w:spacing w:val="-22"/>
          <w:w w:val="105"/>
        </w:rPr>
        <w:t> </w:t>
      </w:r>
      <w:r>
        <w:rPr>
          <w:color w:val="231F20"/>
          <w:w w:val="105"/>
        </w:rPr>
        <w:t>straordinarie come</w:t>
      </w:r>
      <w:r>
        <w:rPr>
          <w:color w:val="231F20"/>
          <w:spacing w:val="-9"/>
          <w:w w:val="105"/>
        </w:rPr>
        <w:t> </w:t>
      </w:r>
      <w:r>
        <w:rPr>
          <w:color w:val="231F20"/>
          <w:w w:val="105"/>
        </w:rPr>
        <w:t>il</w:t>
      </w:r>
      <w:r>
        <w:rPr>
          <w:color w:val="231F20"/>
          <w:spacing w:val="-9"/>
          <w:w w:val="105"/>
        </w:rPr>
        <w:t> </w:t>
      </w:r>
      <w:r>
        <w:rPr>
          <w:color w:val="231F20"/>
          <w:w w:val="105"/>
        </w:rPr>
        <w:t>terrorismo</w:t>
      </w:r>
      <w:r>
        <w:rPr>
          <w:color w:val="231F20"/>
          <w:spacing w:val="-9"/>
          <w:w w:val="105"/>
        </w:rPr>
        <w:t> </w:t>
      </w:r>
      <w:r>
        <w:rPr>
          <w:color w:val="231F20"/>
          <w:w w:val="105"/>
        </w:rPr>
        <w:t>o</w:t>
      </w:r>
      <w:r>
        <w:rPr>
          <w:color w:val="231F20"/>
          <w:spacing w:val="-9"/>
          <w:w w:val="105"/>
        </w:rPr>
        <w:t> </w:t>
      </w:r>
      <w:r>
        <w:rPr>
          <w:color w:val="231F20"/>
          <w:w w:val="105"/>
        </w:rPr>
        <w:t>la</w:t>
      </w:r>
      <w:r>
        <w:rPr>
          <w:color w:val="231F20"/>
          <w:spacing w:val="-9"/>
          <w:w w:val="105"/>
        </w:rPr>
        <w:t> </w:t>
      </w:r>
      <w:r>
        <w:rPr>
          <w:color w:val="231F20"/>
          <w:w w:val="105"/>
        </w:rPr>
        <w:t>criminalità</w:t>
      </w:r>
      <w:r>
        <w:rPr>
          <w:color w:val="231F20"/>
          <w:spacing w:val="-9"/>
          <w:w w:val="105"/>
        </w:rPr>
        <w:t> </w:t>
      </w:r>
      <w:r>
        <w:rPr>
          <w:color w:val="231F20"/>
          <w:w w:val="105"/>
        </w:rPr>
        <w:t>organizzata.</w:t>
      </w:r>
      <w:r>
        <w:rPr>
          <w:color w:val="231F20"/>
          <w:spacing w:val="-9"/>
          <w:w w:val="105"/>
        </w:rPr>
        <w:t> </w:t>
      </w:r>
      <w:r>
        <w:rPr>
          <w:color w:val="231F20"/>
          <w:w w:val="105"/>
        </w:rPr>
        <w:t>È</w:t>
      </w:r>
      <w:r>
        <w:rPr>
          <w:color w:val="231F20"/>
          <w:spacing w:val="-9"/>
          <w:w w:val="105"/>
        </w:rPr>
        <w:t> </w:t>
      </w:r>
      <w:r>
        <w:rPr>
          <w:color w:val="231F20"/>
          <w:w w:val="105"/>
        </w:rPr>
        <w:t>possibile</w:t>
      </w:r>
      <w:r>
        <w:rPr>
          <w:color w:val="231F20"/>
          <w:spacing w:val="-9"/>
          <w:w w:val="105"/>
        </w:rPr>
        <w:t> </w:t>
      </w:r>
      <w:r>
        <w:rPr>
          <w:color w:val="231F20"/>
          <w:w w:val="105"/>
        </w:rPr>
        <w:t>affrontare</w:t>
      </w:r>
      <w:r>
        <w:rPr>
          <w:color w:val="231F20"/>
          <w:spacing w:val="-9"/>
          <w:w w:val="105"/>
        </w:rPr>
        <w:t> </w:t>
      </w:r>
      <w:r>
        <w:rPr>
          <w:color w:val="231F20"/>
          <w:w w:val="105"/>
        </w:rPr>
        <w:t>tali problemi</w:t>
      </w:r>
      <w:r>
        <w:rPr>
          <w:color w:val="231F20"/>
          <w:spacing w:val="-12"/>
          <w:w w:val="105"/>
        </w:rPr>
        <w:t> </w:t>
      </w:r>
      <w:r>
        <w:rPr>
          <w:color w:val="231F20"/>
          <w:w w:val="105"/>
        </w:rPr>
        <w:t>senza</w:t>
      </w:r>
      <w:r>
        <w:rPr>
          <w:color w:val="231F20"/>
          <w:spacing w:val="-12"/>
          <w:w w:val="105"/>
        </w:rPr>
        <w:t> </w:t>
      </w:r>
      <w:r>
        <w:rPr>
          <w:color w:val="231F20"/>
          <w:w w:val="105"/>
        </w:rPr>
        <w:t>dare</w:t>
      </w:r>
      <w:r>
        <w:rPr>
          <w:color w:val="231F20"/>
          <w:spacing w:val="-12"/>
          <w:w w:val="105"/>
        </w:rPr>
        <w:t> </w:t>
      </w:r>
      <w:r>
        <w:rPr>
          <w:color w:val="231F20"/>
          <w:w w:val="105"/>
        </w:rPr>
        <w:t>spazio</w:t>
      </w:r>
      <w:r>
        <w:rPr>
          <w:color w:val="231F20"/>
          <w:spacing w:val="-12"/>
          <w:w w:val="105"/>
        </w:rPr>
        <w:t> </w:t>
      </w:r>
      <w:r>
        <w:rPr>
          <w:color w:val="231F20"/>
          <w:w w:val="105"/>
        </w:rPr>
        <w:t>all’eccezione?</w:t>
      </w:r>
      <w:r>
        <w:rPr>
          <w:color w:val="231F20"/>
          <w:spacing w:val="-12"/>
          <w:w w:val="105"/>
        </w:rPr>
        <w:t> </w:t>
      </w:r>
      <w:r>
        <w:rPr>
          <w:color w:val="231F20"/>
          <w:w w:val="105"/>
        </w:rPr>
        <w:t>È</w:t>
      </w:r>
      <w:r>
        <w:rPr>
          <w:color w:val="231F20"/>
          <w:spacing w:val="-12"/>
          <w:w w:val="105"/>
        </w:rPr>
        <w:t> </w:t>
      </w:r>
      <w:r>
        <w:rPr>
          <w:color w:val="231F20"/>
          <w:w w:val="105"/>
        </w:rPr>
        <w:t>possibile</w:t>
      </w:r>
      <w:r>
        <w:rPr>
          <w:color w:val="231F20"/>
          <w:spacing w:val="-12"/>
          <w:w w:val="105"/>
        </w:rPr>
        <w:t> </w:t>
      </w:r>
      <w:r>
        <w:rPr>
          <w:color w:val="231F20"/>
          <w:w w:val="105"/>
        </w:rPr>
        <w:t>pensare</w:t>
      </w:r>
      <w:r>
        <w:rPr>
          <w:color w:val="231F20"/>
          <w:spacing w:val="-12"/>
          <w:w w:val="105"/>
        </w:rPr>
        <w:t> </w:t>
      </w:r>
      <w:r>
        <w:rPr>
          <w:color w:val="231F20"/>
          <w:w w:val="105"/>
        </w:rPr>
        <w:t>al</w:t>
      </w:r>
      <w:r>
        <w:rPr>
          <w:color w:val="231F20"/>
          <w:spacing w:val="-12"/>
          <w:w w:val="105"/>
        </w:rPr>
        <w:t> </w:t>
      </w:r>
      <w:r>
        <w:rPr>
          <w:color w:val="231F20"/>
          <w:w w:val="105"/>
        </w:rPr>
        <w:t>sovrano</w:t>
      </w:r>
    </w:p>
    <w:p>
      <w:pPr>
        <w:pStyle w:val="BodyText"/>
        <w:spacing w:before="5"/>
        <w:rPr>
          <w:sz w:val="22"/>
        </w:rPr>
      </w:pPr>
      <w:r>
        <w:rPr/>
        <w:pict>
          <v:line style="position:absolute;mso-position-horizontal-relative:page;mso-position-vertical-relative:paragraph;z-index:9784;mso-wrap-distance-left:0;mso-wrap-distance-right:0" from="70.866203pt,15.664387pt" to="184.252203pt,15.664387pt" stroked="true" strokeweight=".3pt" strokecolor="#231f20">
            <w10:wrap type="topAndBottom"/>
          </v:line>
        </w:pict>
      </w:r>
    </w:p>
    <w:p>
      <w:pPr>
        <w:spacing w:before="10"/>
        <w:ind w:left="117" w:right="0" w:firstLine="0"/>
        <w:jc w:val="left"/>
        <w:rPr>
          <w:rFonts w:ascii="Calibri" w:hAnsi="Calibri"/>
          <w:sz w:val="17"/>
        </w:rPr>
      </w:pPr>
      <w:r>
        <w:rPr>
          <w:rFonts w:ascii="Calibri" w:hAnsi="Calibri"/>
          <w:color w:val="231F20"/>
          <w:position w:val="6"/>
          <w:sz w:val="10"/>
        </w:rPr>
        <w:t>26  </w:t>
      </w:r>
      <w:r>
        <w:rPr>
          <w:rFonts w:ascii="Calibri" w:hAnsi="Calibri"/>
          <w:color w:val="231F20"/>
          <w:sz w:val="17"/>
        </w:rPr>
        <w:t>C. Schmitt, </w:t>
      </w:r>
      <w:r>
        <w:rPr>
          <w:rFonts w:ascii="Calibri" w:hAnsi="Calibri"/>
          <w:i/>
          <w:color w:val="231F20"/>
          <w:sz w:val="17"/>
        </w:rPr>
        <w:t>Teología Política</w:t>
      </w:r>
      <w:r>
        <w:rPr>
          <w:rFonts w:ascii="Calibri" w:hAnsi="Calibri"/>
          <w:color w:val="231F20"/>
          <w:sz w:val="17"/>
        </w:rPr>
        <w:t>, España, Trotta, 2009, p. 13.</w:t>
      </w:r>
    </w:p>
    <w:p>
      <w:pPr>
        <w:spacing w:after="0"/>
        <w:jc w:val="left"/>
        <w:rPr>
          <w:rFonts w:ascii="Calibri" w:hAnsi="Calibri"/>
          <w:sz w:val="17"/>
        </w:rPr>
        <w:sectPr>
          <w:pgSz w:w="9640" w:h="13890"/>
          <w:pgMar w:top="0" w:bottom="280" w:left="1300" w:right="1200"/>
        </w:sectPr>
      </w:pPr>
    </w:p>
    <w:p>
      <w:pPr>
        <w:pStyle w:val="BodyText"/>
        <w:spacing w:line="247" w:lineRule="auto" w:before="107"/>
        <w:ind w:left="103" w:right="115"/>
        <w:jc w:val="both"/>
      </w:pPr>
      <w:r>
        <w:rPr>
          <w:color w:val="231F20"/>
          <w:w w:val="105"/>
        </w:rPr>
        <w:t>senza l’eccezione? È questo, consideriamo, un compito inevitabile per il pensiero giuridico attuale, tale come già espose Giorgio Agamben:</w:t>
      </w:r>
    </w:p>
    <w:p>
      <w:pPr>
        <w:pStyle w:val="BodyText"/>
        <w:spacing w:before="10"/>
        <w:rPr>
          <w:sz w:val="22"/>
        </w:rPr>
      </w:pPr>
    </w:p>
    <w:p>
      <w:pPr>
        <w:spacing w:line="220" w:lineRule="exact" w:before="1"/>
        <w:ind w:left="1521" w:right="112" w:firstLine="0"/>
        <w:jc w:val="both"/>
        <w:rPr>
          <w:sz w:val="19"/>
        </w:rPr>
      </w:pPr>
      <w:r>
        <w:rPr>
          <w:color w:val="231F20"/>
          <w:w w:val="105"/>
          <w:sz w:val="19"/>
        </w:rPr>
        <w:t>La</w:t>
      </w:r>
      <w:r>
        <w:rPr>
          <w:color w:val="231F20"/>
          <w:spacing w:val="-22"/>
          <w:w w:val="105"/>
          <w:sz w:val="19"/>
        </w:rPr>
        <w:t> </w:t>
      </w:r>
      <w:r>
        <w:rPr>
          <w:color w:val="231F20"/>
          <w:w w:val="105"/>
          <w:sz w:val="19"/>
        </w:rPr>
        <w:t>contiguità</w:t>
      </w:r>
      <w:r>
        <w:rPr>
          <w:color w:val="231F20"/>
          <w:spacing w:val="-22"/>
          <w:w w:val="105"/>
          <w:sz w:val="19"/>
        </w:rPr>
        <w:t> </w:t>
      </w:r>
      <w:r>
        <w:rPr>
          <w:color w:val="231F20"/>
          <w:w w:val="105"/>
          <w:sz w:val="19"/>
        </w:rPr>
        <w:t>essenziale</w:t>
      </w:r>
      <w:r>
        <w:rPr>
          <w:color w:val="231F20"/>
          <w:spacing w:val="-22"/>
          <w:w w:val="105"/>
          <w:sz w:val="19"/>
        </w:rPr>
        <w:t> </w:t>
      </w:r>
      <w:r>
        <w:rPr>
          <w:color w:val="231F20"/>
          <w:w w:val="105"/>
          <w:sz w:val="19"/>
        </w:rPr>
        <w:t>tra</w:t>
      </w:r>
      <w:r>
        <w:rPr>
          <w:color w:val="231F20"/>
          <w:spacing w:val="-22"/>
          <w:w w:val="105"/>
          <w:sz w:val="19"/>
        </w:rPr>
        <w:t> </w:t>
      </w:r>
      <w:r>
        <w:rPr>
          <w:color w:val="231F20"/>
          <w:w w:val="105"/>
          <w:sz w:val="19"/>
        </w:rPr>
        <w:t>stato</w:t>
      </w:r>
      <w:r>
        <w:rPr>
          <w:color w:val="231F20"/>
          <w:spacing w:val="-22"/>
          <w:w w:val="105"/>
          <w:sz w:val="19"/>
        </w:rPr>
        <w:t> </w:t>
      </w:r>
      <w:r>
        <w:rPr>
          <w:color w:val="231F20"/>
          <w:w w:val="105"/>
          <w:sz w:val="19"/>
        </w:rPr>
        <w:t>di</w:t>
      </w:r>
      <w:r>
        <w:rPr>
          <w:color w:val="231F20"/>
          <w:spacing w:val="-22"/>
          <w:w w:val="105"/>
          <w:sz w:val="19"/>
        </w:rPr>
        <w:t> </w:t>
      </w:r>
      <w:r>
        <w:rPr>
          <w:color w:val="231F20"/>
          <w:w w:val="105"/>
          <w:sz w:val="19"/>
        </w:rPr>
        <w:t>eccezione</w:t>
      </w:r>
      <w:r>
        <w:rPr>
          <w:color w:val="231F20"/>
          <w:spacing w:val="-22"/>
          <w:w w:val="105"/>
          <w:sz w:val="19"/>
        </w:rPr>
        <w:t> </w:t>
      </w:r>
      <w:r>
        <w:rPr>
          <w:color w:val="231F20"/>
          <w:w w:val="105"/>
          <w:sz w:val="19"/>
        </w:rPr>
        <w:t>e</w:t>
      </w:r>
      <w:r>
        <w:rPr>
          <w:color w:val="231F20"/>
          <w:spacing w:val="-22"/>
          <w:w w:val="105"/>
          <w:sz w:val="19"/>
        </w:rPr>
        <w:t> </w:t>
      </w:r>
      <w:r>
        <w:rPr>
          <w:color w:val="231F20"/>
          <w:w w:val="105"/>
          <w:sz w:val="19"/>
        </w:rPr>
        <w:t>sovranità</w:t>
      </w:r>
      <w:r>
        <w:rPr>
          <w:color w:val="231F20"/>
          <w:spacing w:val="-22"/>
          <w:w w:val="105"/>
          <w:sz w:val="19"/>
        </w:rPr>
        <w:t> </w:t>
      </w:r>
      <w:r>
        <w:rPr>
          <w:color w:val="231F20"/>
          <w:w w:val="105"/>
          <w:sz w:val="19"/>
        </w:rPr>
        <w:t>è</w:t>
      </w:r>
      <w:r>
        <w:rPr>
          <w:color w:val="231F20"/>
          <w:spacing w:val="-22"/>
          <w:w w:val="105"/>
          <w:sz w:val="19"/>
        </w:rPr>
        <w:t> </w:t>
      </w:r>
      <w:r>
        <w:rPr>
          <w:color w:val="231F20"/>
          <w:w w:val="105"/>
          <w:sz w:val="19"/>
        </w:rPr>
        <w:t>stata stabilita</w:t>
      </w:r>
      <w:r>
        <w:rPr>
          <w:color w:val="231F20"/>
          <w:spacing w:val="-49"/>
          <w:w w:val="105"/>
          <w:sz w:val="19"/>
        </w:rPr>
        <w:t> </w:t>
      </w:r>
      <w:r>
        <w:rPr>
          <w:color w:val="231F20"/>
          <w:w w:val="105"/>
          <w:sz w:val="19"/>
        </w:rPr>
        <w:t>da</w:t>
      </w:r>
      <w:r>
        <w:rPr>
          <w:color w:val="231F20"/>
          <w:spacing w:val="-49"/>
          <w:w w:val="105"/>
          <w:sz w:val="19"/>
        </w:rPr>
        <w:t> </w:t>
      </w:r>
      <w:r>
        <w:rPr>
          <w:color w:val="231F20"/>
          <w:w w:val="105"/>
          <w:sz w:val="19"/>
        </w:rPr>
        <w:t>Carl</w:t>
      </w:r>
      <w:r>
        <w:rPr>
          <w:color w:val="231F20"/>
          <w:spacing w:val="-49"/>
          <w:w w:val="105"/>
          <w:sz w:val="19"/>
        </w:rPr>
        <w:t> </w:t>
      </w:r>
      <w:r>
        <w:rPr>
          <w:color w:val="231F20"/>
          <w:w w:val="105"/>
          <w:sz w:val="19"/>
        </w:rPr>
        <w:t>Schmitt</w:t>
      </w:r>
      <w:r>
        <w:rPr>
          <w:color w:val="231F20"/>
          <w:spacing w:val="-49"/>
          <w:w w:val="105"/>
          <w:sz w:val="19"/>
        </w:rPr>
        <w:t> </w:t>
      </w:r>
      <w:r>
        <w:rPr>
          <w:color w:val="231F20"/>
          <w:w w:val="105"/>
          <w:sz w:val="19"/>
        </w:rPr>
        <w:t>nella</w:t>
      </w:r>
      <w:r>
        <w:rPr>
          <w:color w:val="231F20"/>
          <w:spacing w:val="-49"/>
          <w:w w:val="105"/>
          <w:sz w:val="19"/>
        </w:rPr>
        <w:t> </w:t>
      </w:r>
      <w:r>
        <w:rPr>
          <w:color w:val="231F20"/>
          <w:w w:val="105"/>
          <w:sz w:val="19"/>
        </w:rPr>
        <w:t>sua</w:t>
      </w:r>
      <w:r>
        <w:rPr>
          <w:color w:val="231F20"/>
          <w:spacing w:val="-49"/>
          <w:w w:val="105"/>
          <w:sz w:val="19"/>
        </w:rPr>
        <w:t> </w:t>
      </w:r>
      <w:r>
        <w:rPr>
          <w:rFonts w:ascii="Arial" w:hAnsi="Arial"/>
          <w:i/>
          <w:color w:val="231F20"/>
          <w:spacing w:val="-4"/>
          <w:w w:val="105"/>
          <w:sz w:val="19"/>
        </w:rPr>
        <w:t>Teologia</w:t>
      </w:r>
      <w:r>
        <w:rPr>
          <w:rFonts w:ascii="Arial" w:hAnsi="Arial"/>
          <w:i/>
          <w:color w:val="231F20"/>
          <w:spacing w:val="-42"/>
          <w:w w:val="105"/>
          <w:sz w:val="19"/>
        </w:rPr>
        <w:t> </w:t>
      </w:r>
      <w:r>
        <w:rPr>
          <w:rFonts w:ascii="Arial" w:hAnsi="Arial"/>
          <w:i/>
          <w:color w:val="231F20"/>
          <w:w w:val="105"/>
          <w:sz w:val="19"/>
        </w:rPr>
        <w:t>politica</w:t>
      </w:r>
      <w:r>
        <w:rPr>
          <w:rFonts w:ascii="Arial" w:hAnsi="Arial"/>
          <w:i/>
          <w:color w:val="231F20"/>
          <w:spacing w:val="-42"/>
          <w:w w:val="105"/>
          <w:sz w:val="19"/>
        </w:rPr>
        <w:t> </w:t>
      </w:r>
      <w:r>
        <w:rPr>
          <w:color w:val="231F20"/>
          <w:w w:val="105"/>
          <w:sz w:val="19"/>
        </w:rPr>
        <w:t>(1922).</w:t>
      </w:r>
      <w:r>
        <w:rPr>
          <w:color w:val="231F20"/>
          <w:spacing w:val="-49"/>
          <w:w w:val="105"/>
          <w:sz w:val="19"/>
        </w:rPr>
        <w:t> </w:t>
      </w:r>
      <w:r>
        <w:rPr>
          <w:color w:val="231F20"/>
          <w:w w:val="105"/>
          <w:sz w:val="19"/>
        </w:rPr>
        <w:t>Sebbene la</w:t>
      </w:r>
      <w:r>
        <w:rPr>
          <w:color w:val="231F20"/>
          <w:spacing w:val="-34"/>
          <w:w w:val="105"/>
          <w:sz w:val="19"/>
        </w:rPr>
        <w:t> </w:t>
      </w:r>
      <w:r>
        <w:rPr>
          <w:color w:val="231F20"/>
          <w:w w:val="105"/>
          <w:sz w:val="19"/>
        </w:rPr>
        <w:t>sua</w:t>
      </w:r>
      <w:r>
        <w:rPr>
          <w:color w:val="231F20"/>
          <w:spacing w:val="-34"/>
          <w:w w:val="105"/>
          <w:sz w:val="19"/>
        </w:rPr>
        <w:t> </w:t>
      </w:r>
      <w:r>
        <w:rPr>
          <w:color w:val="231F20"/>
          <w:spacing w:val="-4"/>
          <w:w w:val="105"/>
          <w:sz w:val="19"/>
        </w:rPr>
        <w:t>celebre</w:t>
      </w:r>
      <w:r>
        <w:rPr>
          <w:color w:val="231F20"/>
          <w:spacing w:val="-34"/>
          <w:w w:val="105"/>
          <w:sz w:val="19"/>
        </w:rPr>
        <w:t> </w:t>
      </w:r>
      <w:r>
        <w:rPr>
          <w:color w:val="231F20"/>
          <w:spacing w:val="-3"/>
          <w:w w:val="105"/>
          <w:sz w:val="19"/>
        </w:rPr>
        <w:t>definizione</w:t>
      </w:r>
      <w:r>
        <w:rPr>
          <w:color w:val="231F20"/>
          <w:spacing w:val="-34"/>
          <w:w w:val="105"/>
          <w:sz w:val="19"/>
        </w:rPr>
        <w:t> </w:t>
      </w:r>
      <w:r>
        <w:rPr>
          <w:color w:val="231F20"/>
          <w:w w:val="105"/>
          <w:sz w:val="19"/>
        </w:rPr>
        <w:t>del</w:t>
      </w:r>
      <w:r>
        <w:rPr>
          <w:color w:val="231F20"/>
          <w:spacing w:val="-34"/>
          <w:w w:val="105"/>
          <w:sz w:val="19"/>
        </w:rPr>
        <w:t> </w:t>
      </w:r>
      <w:r>
        <w:rPr>
          <w:color w:val="231F20"/>
          <w:spacing w:val="-3"/>
          <w:w w:val="105"/>
          <w:sz w:val="19"/>
        </w:rPr>
        <w:t>sovrano</w:t>
      </w:r>
      <w:r>
        <w:rPr>
          <w:color w:val="231F20"/>
          <w:spacing w:val="-34"/>
          <w:w w:val="105"/>
          <w:sz w:val="19"/>
        </w:rPr>
        <w:t> </w:t>
      </w:r>
      <w:r>
        <w:rPr>
          <w:color w:val="231F20"/>
          <w:spacing w:val="-3"/>
          <w:w w:val="105"/>
          <w:sz w:val="19"/>
        </w:rPr>
        <w:t>come</w:t>
      </w:r>
      <w:r>
        <w:rPr>
          <w:color w:val="231F20"/>
          <w:spacing w:val="-34"/>
          <w:w w:val="105"/>
          <w:sz w:val="19"/>
        </w:rPr>
        <w:t> </w:t>
      </w:r>
      <w:r>
        <w:rPr>
          <w:color w:val="231F20"/>
          <w:spacing w:val="-3"/>
          <w:w w:val="105"/>
          <w:sz w:val="19"/>
        </w:rPr>
        <w:t>“quello</w:t>
      </w:r>
      <w:r>
        <w:rPr>
          <w:color w:val="231F20"/>
          <w:spacing w:val="-34"/>
          <w:w w:val="105"/>
          <w:sz w:val="19"/>
        </w:rPr>
        <w:t> </w:t>
      </w:r>
      <w:r>
        <w:rPr>
          <w:color w:val="231F20"/>
          <w:w w:val="105"/>
          <w:sz w:val="19"/>
        </w:rPr>
        <w:t>che</w:t>
      </w:r>
      <w:r>
        <w:rPr>
          <w:color w:val="231F20"/>
          <w:spacing w:val="-34"/>
          <w:w w:val="105"/>
          <w:sz w:val="19"/>
        </w:rPr>
        <w:t> </w:t>
      </w:r>
      <w:r>
        <w:rPr>
          <w:color w:val="231F20"/>
          <w:spacing w:val="-3"/>
          <w:w w:val="105"/>
          <w:sz w:val="19"/>
        </w:rPr>
        <w:t>decide</w:t>
      </w:r>
      <w:r>
        <w:rPr>
          <w:color w:val="231F20"/>
          <w:spacing w:val="-34"/>
          <w:w w:val="105"/>
          <w:sz w:val="19"/>
        </w:rPr>
        <w:t> </w:t>
      </w:r>
      <w:r>
        <w:rPr>
          <w:color w:val="231F20"/>
          <w:spacing w:val="-3"/>
          <w:w w:val="105"/>
          <w:sz w:val="19"/>
        </w:rPr>
        <w:t>sullo </w:t>
      </w:r>
      <w:r>
        <w:rPr>
          <w:color w:val="231F20"/>
          <w:w w:val="105"/>
          <w:sz w:val="19"/>
        </w:rPr>
        <w:t>stato</w:t>
      </w:r>
      <w:r>
        <w:rPr>
          <w:color w:val="231F20"/>
          <w:spacing w:val="-20"/>
          <w:w w:val="105"/>
          <w:sz w:val="19"/>
        </w:rPr>
        <w:t> </w:t>
      </w:r>
      <w:r>
        <w:rPr>
          <w:color w:val="231F20"/>
          <w:w w:val="105"/>
          <w:sz w:val="19"/>
        </w:rPr>
        <w:t>di</w:t>
      </w:r>
      <w:r>
        <w:rPr>
          <w:color w:val="231F20"/>
          <w:spacing w:val="-20"/>
          <w:w w:val="105"/>
          <w:sz w:val="19"/>
        </w:rPr>
        <w:t> </w:t>
      </w:r>
      <w:r>
        <w:rPr>
          <w:color w:val="231F20"/>
          <w:w w:val="105"/>
          <w:sz w:val="19"/>
        </w:rPr>
        <w:t>eccezione”</w:t>
      </w:r>
      <w:r>
        <w:rPr>
          <w:color w:val="231F20"/>
          <w:spacing w:val="-20"/>
          <w:w w:val="105"/>
          <w:sz w:val="19"/>
        </w:rPr>
        <w:t> </w:t>
      </w:r>
      <w:r>
        <w:rPr>
          <w:color w:val="231F20"/>
          <w:w w:val="105"/>
          <w:sz w:val="19"/>
        </w:rPr>
        <w:t>è</w:t>
      </w:r>
      <w:r>
        <w:rPr>
          <w:color w:val="231F20"/>
          <w:spacing w:val="-20"/>
          <w:w w:val="105"/>
          <w:sz w:val="19"/>
        </w:rPr>
        <w:t> </w:t>
      </w:r>
      <w:r>
        <w:rPr>
          <w:color w:val="231F20"/>
          <w:w w:val="105"/>
          <w:sz w:val="19"/>
        </w:rPr>
        <w:t>stata</w:t>
      </w:r>
      <w:r>
        <w:rPr>
          <w:color w:val="231F20"/>
          <w:spacing w:val="-20"/>
          <w:w w:val="105"/>
          <w:sz w:val="19"/>
        </w:rPr>
        <w:t> </w:t>
      </w:r>
      <w:r>
        <w:rPr>
          <w:color w:val="231F20"/>
          <w:w w:val="105"/>
          <w:sz w:val="19"/>
        </w:rPr>
        <w:t>ampiamente</w:t>
      </w:r>
      <w:r>
        <w:rPr>
          <w:color w:val="231F20"/>
          <w:spacing w:val="-20"/>
          <w:w w:val="105"/>
          <w:sz w:val="19"/>
        </w:rPr>
        <w:t> </w:t>
      </w:r>
      <w:r>
        <w:rPr>
          <w:color w:val="231F20"/>
          <w:w w:val="105"/>
          <w:sz w:val="19"/>
        </w:rPr>
        <w:t>commentata</w:t>
      </w:r>
      <w:r>
        <w:rPr>
          <w:color w:val="231F20"/>
          <w:spacing w:val="-20"/>
          <w:w w:val="105"/>
          <w:sz w:val="19"/>
        </w:rPr>
        <w:t> </w:t>
      </w:r>
      <w:r>
        <w:rPr>
          <w:color w:val="231F20"/>
          <w:w w:val="105"/>
          <w:sz w:val="19"/>
        </w:rPr>
        <w:t>e</w:t>
      </w:r>
      <w:r>
        <w:rPr>
          <w:color w:val="231F20"/>
          <w:spacing w:val="-20"/>
          <w:w w:val="105"/>
          <w:sz w:val="19"/>
        </w:rPr>
        <w:t> </w:t>
      </w:r>
      <w:r>
        <w:rPr>
          <w:color w:val="231F20"/>
          <w:w w:val="105"/>
          <w:sz w:val="19"/>
        </w:rPr>
        <w:t>discussa, manca ancora fino ad oggi nel diritto pubblico, una teoria</w:t>
      </w:r>
      <w:r>
        <w:rPr>
          <w:color w:val="231F20"/>
          <w:spacing w:val="-36"/>
          <w:w w:val="105"/>
          <w:sz w:val="19"/>
        </w:rPr>
        <w:t> </w:t>
      </w:r>
      <w:r>
        <w:rPr>
          <w:color w:val="231F20"/>
          <w:w w:val="105"/>
          <w:sz w:val="19"/>
        </w:rPr>
        <w:t>dello stato</w:t>
      </w:r>
      <w:r>
        <w:rPr>
          <w:color w:val="231F20"/>
          <w:spacing w:val="-37"/>
          <w:w w:val="105"/>
          <w:sz w:val="19"/>
        </w:rPr>
        <w:t> </w:t>
      </w:r>
      <w:r>
        <w:rPr>
          <w:color w:val="231F20"/>
          <w:w w:val="105"/>
          <w:sz w:val="19"/>
        </w:rPr>
        <w:t>di</w:t>
      </w:r>
      <w:r>
        <w:rPr>
          <w:color w:val="231F20"/>
          <w:spacing w:val="-37"/>
          <w:w w:val="105"/>
          <w:sz w:val="19"/>
        </w:rPr>
        <w:t> </w:t>
      </w:r>
      <w:r>
        <w:rPr>
          <w:color w:val="231F20"/>
          <w:w w:val="105"/>
          <w:sz w:val="19"/>
        </w:rPr>
        <w:t>eccezione,</w:t>
      </w:r>
      <w:r>
        <w:rPr>
          <w:color w:val="231F20"/>
          <w:spacing w:val="-37"/>
          <w:w w:val="105"/>
          <w:sz w:val="19"/>
        </w:rPr>
        <w:t> </w:t>
      </w:r>
      <w:r>
        <w:rPr>
          <w:color w:val="231F20"/>
          <w:w w:val="105"/>
          <w:sz w:val="19"/>
        </w:rPr>
        <w:t>e</w:t>
      </w:r>
      <w:r>
        <w:rPr>
          <w:color w:val="231F20"/>
          <w:spacing w:val="-37"/>
          <w:w w:val="105"/>
          <w:sz w:val="19"/>
        </w:rPr>
        <w:t> </w:t>
      </w:r>
      <w:r>
        <w:rPr>
          <w:color w:val="231F20"/>
          <w:w w:val="105"/>
          <w:sz w:val="19"/>
        </w:rPr>
        <w:t>i</w:t>
      </w:r>
      <w:r>
        <w:rPr>
          <w:color w:val="231F20"/>
          <w:spacing w:val="-37"/>
          <w:w w:val="105"/>
          <w:sz w:val="19"/>
        </w:rPr>
        <w:t> </w:t>
      </w:r>
      <w:r>
        <w:rPr>
          <w:color w:val="231F20"/>
          <w:w w:val="105"/>
          <w:sz w:val="19"/>
        </w:rPr>
        <w:t>giuristi</w:t>
      </w:r>
      <w:r>
        <w:rPr>
          <w:color w:val="231F20"/>
          <w:spacing w:val="-37"/>
          <w:w w:val="105"/>
          <w:sz w:val="19"/>
        </w:rPr>
        <w:t> </w:t>
      </w:r>
      <w:r>
        <w:rPr>
          <w:color w:val="231F20"/>
          <w:w w:val="105"/>
          <w:sz w:val="19"/>
        </w:rPr>
        <w:t>e</w:t>
      </w:r>
      <w:r>
        <w:rPr>
          <w:color w:val="231F20"/>
          <w:spacing w:val="-37"/>
          <w:w w:val="105"/>
          <w:sz w:val="19"/>
        </w:rPr>
        <w:t> </w:t>
      </w:r>
      <w:r>
        <w:rPr>
          <w:color w:val="231F20"/>
          <w:w w:val="105"/>
          <w:sz w:val="19"/>
        </w:rPr>
        <w:t>esperti</w:t>
      </w:r>
      <w:r>
        <w:rPr>
          <w:color w:val="231F20"/>
          <w:spacing w:val="-37"/>
          <w:w w:val="105"/>
          <w:sz w:val="19"/>
        </w:rPr>
        <w:t> </w:t>
      </w:r>
      <w:r>
        <w:rPr>
          <w:color w:val="231F20"/>
          <w:w w:val="105"/>
          <w:sz w:val="19"/>
        </w:rPr>
        <w:t>in</w:t>
      </w:r>
      <w:r>
        <w:rPr>
          <w:color w:val="231F20"/>
          <w:spacing w:val="-37"/>
          <w:w w:val="105"/>
          <w:sz w:val="19"/>
        </w:rPr>
        <w:t> </w:t>
      </w:r>
      <w:r>
        <w:rPr>
          <w:color w:val="231F20"/>
          <w:w w:val="105"/>
          <w:sz w:val="19"/>
        </w:rPr>
        <w:t>diritto</w:t>
      </w:r>
      <w:r>
        <w:rPr>
          <w:color w:val="231F20"/>
          <w:spacing w:val="-37"/>
          <w:w w:val="105"/>
          <w:sz w:val="19"/>
        </w:rPr>
        <w:t> </w:t>
      </w:r>
      <w:r>
        <w:rPr>
          <w:color w:val="231F20"/>
          <w:w w:val="105"/>
          <w:sz w:val="19"/>
        </w:rPr>
        <w:t>pubblico</w:t>
      </w:r>
      <w:r>
        <w:rPr>
          <w:color w:val="231F20"/>
          <w:spacing w:val="-37"/>
          <w:w w:val="105"/>
          <w:sz w:val="19"/>
        </w:rPr>
        <w:t> </w:t>
      </w:r>
      <w:r>
        <w:rPr>
          <w:color w:val="231F20"/>
          <w:w w:val="105"/>
          <w:sz w:val="19"/>
        </w:rPr>
        <w:t>sembrano considerare il problema più come un </w:t>
      </w:r>
      <w:r>
        <w:rPr>
          <w:rFonts w:ascii="Arial" w:hAnsi="Arial"/>
          <w:i/>
          <w:color w:val="231F20"/>
          <w:w w:val="105"/>
          <w:sz w:val="19"/>
        </w:rPr>
        <w:t>questio facti </w:t>
      </w:r>
      <w:r>
        <w:rPr>
          <w:color w:val="231F20"/>
          <w:w w:val="105"/>
          <w:sz w:val="19"/>
        </w:rPr>
        <w:t>che come</w:t>
      </w:r>
      <w:r>
        <w:rPr>
          <w:color w:val="231F20"/>
          <w:spacing w:val="-31"/>
          <w:w w:val="105"/>
          <w:sz w:val="19"/>
        </w:rPr>
        <w:t> </w:t>
      </w:r>
      <w:r>
        <w:rPr>
          <w:color w:val="231F20"/>
          <w:w w:val="105"/>
          <w:sz w:val="19"/>
        </w:rPr>
        <w:t>un genuino</w:t>
      </w:r>
      <w:r>
        <w:rPr>
          <w:color w:val="231F20"/>
          <w:spacing w:val="-44"/>
          <w:w w:val="105"/>
          <w:sz w:val="19"/>
        </w:rPr>
        <w:t> </w:t>
      </w:r>
      <w:r>
        <w:rPr>
          <w:color w:val="231F20"/>
          <w:w w:val="105"/>
          <w:sz w:val="19"/>
        </w:rPr>
        <w:t>problema</w:t>
      </w:r>
      <w:r>
        <w:rPr>
          <w:color w:val="231F20"/>
          <w:spacing w:val="-44"/>
          <w:w w:val="105"/>
          <w:sz w:val="19"/>
        </w:rPr>
        <w:t> </w:t>
      </w:r>
      <w:r>
        <w:rPr>
          <w:color w:val="231F20"/>
          <w:w w:val="105"/>
          <w:sz w:val="19"/>
        </w:rPr>
        <w:t>giuridico</w:t>
      </w:r>
      <w:r>
        <w:rPr>
          <w:color w:val="231F20"/>
          <w:w w:val="105"/>
          <w:position w:val="6"/>
          <w:sz w:val="11"/>
        </w:rPr>
        <w:t>27</w:t>
      </w:r>
      <w:r>
        <w:rPr>
          <w:color w:val="231F20"/>
          <w:w w:val="105"/>
          <w:sz w:val="19"/>
        </w:rPr>
        <w:t>.</w:t>
      </w:r>
    </w:p>
    <w:p>
      <w:pPr>
        <w:pStyle w:val="BodyText"/>
        <w:spacing w:before="11"/>
        <w:rPr>
          <w:sz w:val="23"/>
        </w:rPr>
      </w:pPr>
    </w:p>
    <w:p>
      <w:pPr>
        <w:pStyle w:val="BodyText"/>
        <w:spacing w:line="247" w:lineRule="auto"/>
        <w:ind w:left="103" w:right="109"/>
        <w:jc w:val="both"/>
      </w:pPr>
      <w:r>
        <w:rPr>
          <w:color w:val="231F20"/>
        </w:rPr>
        <w:t>Uno spirito critico e riflessivo è imperioso per il pensiero giuridico attuale, sopratutto per la complessità del panorama che si presenta a livello internazionale e nazionale. Quanto precede ha evidenziato la difficoltà di trovare risposte facili, l’urgenza ora è problematizzare i complessi rapporti tra una realtà sociale e politica piena di situazioni eccezionali e un diritto che deve far fronte a esse con strumenti che non sempre abbracciano la pluralità degli eventi. In realtà, non abbiamo mai conosciuto uno Stato di diritto ideale e le situazioni straordinarie si manifestano nel mondo fattivo ovunque. La messa in moto di un pensiero critico, connesso e preoccupato per la realtà e oggi più necessaria che mai.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4"/>
        </w:rPr>
      </w:pPr>
      <w:r>
        <w:rPr/>
        <w:pict>
          <v:line style="position:absolute;mso-position-horizontal-relative:page;mso-position-vertical-relative:paragraph;z-index:9832;mso-wrap-distance-left:0;mso-wrap-distance-right:0" from="65.196899pt,16.683926pt" to="178.582899pt,16.683926pt" stroked="true" strokeweight=".3pt" strokecolor="#231f20">
            <w10:wrap type="topAndBottom"/>
          </v:line>
        </w:pict>
      </w:r>
    </w:p>
    <w:p>
      <w:pPr>
        <w:spacing w:before="10"/>
        <w:ind w:left="103" w:right="0" w:firstLine="0"/>
        <w:jc w:val="left"/>
        <w:rPr>
          <w:rFonts w:ascii="Calibri" w:hAnsi="Calibri"/>
          <w:sz w:val="17"/>
        </w:rPr>
      </w:pPr>
      <w:r>
        <w:rPr>
          <w:rFonts w:ascii="Calibri" w:hAnsi="Calibri"/>
          <w:color w:val="231F20"/>
          <w:position w:val="6"/>
          <w:sz w:val="10"/>
        </w:rPr>
        <w:t>27 </w:t>
      </w:r>
      <w:r>
        <w:rPr>
          <w:rFonts w:ascii="Calibri" w:hAnsi="Calibri"/>
          <w:color w:val="231F20"/>
          <w:sz w:val="17"/>
        </w:rPr>
        <w:t>G. Agamben, </w:t>
      </w:r>
      <w:r>
        <w:rPr>
          <w:rFonts w:ascii="Calibri" w:hAnsi="Calibri"/>
          <w:i/>
          <w:color w:val="231F20"/>
          <w:sz w:val="17"/>
        </w:rPr>
        <w:t>Estado de excepción, Homo sacer II. I</w:t>
      </w:r>
      <w:r>
        <w:rPr>
          <w:rFonts w:ascii="Calibri" w:hAnsi="Calibri"/>
          <w:color w:val="231F20"/>
          <w:sz w:val="17"/>
        </w:rPr>
        <w:t>, Buenos Aires, Adriana Hidalgo, 2005, p. 23.</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5544"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34</w:t>
        <w:tab/>
      </w:r>
      <w:r>
        <w:rPr>
          <w:rFonts w:ascii="Calibri" w:hAnsi="Calibri"/>
          <w:color w:val="6D6E71"/>
          <w:w w:val="105"/>
          <w:sz w:val="16"/>
        </w:rPr>
        <w:t>Jorge</w:t>
      </w:r>
      <w:r>
        <w:rPr>
          <w:rFonts w:ascii="Calibri" w:hAnsi="Calibri"/>
          <w:color w:val="6D6E71"/>
          <w:spacing w:val="-25"/>
          <w:w w:val="105"/>
          <w:sz w:val="16"/>
        </w:rPr>
        <w:t> </w:t>
      </w:r>
      <w:r>
        <w:rPr>
          <w:rFonts w:ascii="Calibri" w:hAnsi="Calibri"/>
          <w:color w:val="6D6E71"/>
          <w:w w:val="105"/>
          <w:sz w:val="16"/>
        </w:rPr>
        <w:t>Olvera</w:t>
      </w:r>
      <w:r>
        <w:rPr>
          <w:rFonts w:ascii="Calibri" w:hAnsi="Calibri"/>
          <w:color w:val="6D6E71"/>
          <w:spacing w:val="-25"/>
          <w:w w:val="105"/>
          <w:sz w:val="16"/>
        </w:rPr>
        <w:t> </w:t>
      </w:r>
      <w:r>
        <w:rPr>
          <w:rFonts w:ascii="Calibri" w:hAnsi="Calibri"/>
          <w:color w:val="6D6E71"/>
          <w:w w:val="105"/>
          <w:sz w:val="16"/>
        </w:rPr>
        <w:t>García</w:t>
      </w:r>
    </w:p>
    <w:p>
      <w:pPr>
        <w:spacing w:after="0"/>
        <w:jc w:val="left"/>
        <w:rPr>
          <w:rFonts w:ascii="Calibri" w:hAnsi="Calibri"/>
          <w:sz w:val="16"/>
        </w:rPr>
        <w:sectPr>
          <w:pgSz w:w="9640" w:h="13890"/>
          <w:pgMar w:top="1300" w:bottom="0" w:left="1200" w:right="1300"/>
        </w:sectPr>
      </w:pPr>
    </w:p>
    <w:p>
      <w:pPr>
        <w:pStyle w:val="BodyText"/>
        <w:ind w:left="884"/>
        <w:rPr>
          <w:rFonts w:ascii="Calibri"/>
          <w:sz w:val="20"/>
        </w:rPr>
      </w:pPr>
      <w:r>
        <w:rPr/>
        <w:pict>
          <v:rect style="position:absolute;margin-left:1.021000pt;margin-top:-.000024pt;width:480.869pt;height:694.488pt;mso-position-horizontal-relative:page;mso-position-vertical-relative:page;z-index:-165496" filled="true" fillcolor="#6d6e71" stroked="false">
            <v:fill type="solid"/>
            <w10:wrap type="none"/>
          </v:rect>
        </w:pict>
      </w:r>
      <w:r>
        <w:rPr>
          <w:rFonts w:ascii="Calibri"/>
          <w:sz w:val="20"/>
        </w:rPr>
        <w:pict>
          <v:group style="width:259.5pt;height:425.1pt;mso-position-horizontal-relative:char;mso-position-vertical-relative:line" coordorigin="0,0" coordsize="5190,8502">
            <v:shape style="position:absolute;left:2843;top:633;width:2346;height:7869" type="#_x0000_t75" stroked="false">
              <v:imagedata r:id="rId64" o:title=""/>
            </v:shape>
            <v:shape style="position:absolute;left:2864;top:1653;width:1729;height:3773" coordorigin="2864,1653" coordsize="1729,3773" path="m2953,1653l2941,1678,2914,1749,2885,1854,2864,1984,3158,3145,3436,3890,3860,4543,4593,5425,4587,5306,4571,5018,4552,4668,4535,4361,4023,4075,3687,3697,3380,2974,2953,1653xe" filled="true" fillcolor="#7e8083" stroked="false">
              <v:path arrowok="t"/>
              <v:fill type="solid"/>
            </v:shape>
            <v:shape style="position:absolute;left:0;top:0;width:4665;height:6117" type="#_x0000_t75" stroked="false">
              <v:imagedata r:id="rId65" o:title=""/>
            </v:shape>
            <v:shape style="position:absolute;left:2253;top:9;width:721;height:3805" coordorigin="2253,9" coordsize="721,3805" path="m2757,9l2525,58,2286,1239,2253,2024,2468,2765,2973,3814,2757,9xe" filled="true" fillcolor="#a9abae" stroked="false">
              <v:path arrowok="t"/>
              <v:fill type="solid"/>
            </v:shape>
            <v:shape style="position:absolute;left:2385;top:7;width:602;height:3856" coordorigin="2385,7" coordsize="602,3856" path="m2759,7l2524,51,2520,52,2519,56,2493,174,2487,203,2481,233,2475,262,2470,292,2449,411,2444,441,2440,470,2436,500,2432,530,2424,590,2417,650,2411,710,2405,770,2402,800,2400,833,2398,863,2396,891,2392,952,2391,981,2390,1012,2386,1132,2385,1162,2385,1222,2385,1313,2386,1374,2389,1437,2391,1495,2394,1555,2398,1615,2402,1675,2413,1796,2419,1856,2426,1916,2433,1976,2441,2036,2449,2096,2458,2155,2468,2215,2473,2245,2478,2274,2484,2304,2495,2363,2501,2393,2506,2422,2513,2452,2538,2570,2566,2687,2581,2746,2596,2804,2612,2863,2628,2920,2645,2978,2662,3035,2680,3093,2698,3150,2718,3207,2737,3264,2757,3321,2778,3377,2799,3433,2821,3489,2843,3545,2866,3600,2889,3656,2913,3710,2939,3765,2965,3819,2986,3862,2983,3815,2964,3815,2961,3765,2957,3756,2933,3701,2910,3646,2888,3591,2866,3535,2845,3479,2824,3423,2804,3367,2785,3310,2766,3253,2747,3196,2729,3139,2712,3082,2695,3025,2679,2967,2663,2909,2647,2852,2632,2794,2618,2735,2603,2677,2577,2561,2552,2443,2546,2414,2541,2384,2535,2355,2530,2325,2525,2296,2519,2266,2515,2237,2510,2207,2500,2148,2491,2089,2483,2029,2474,1970,2460,1851,2454,1791,2449,1732,2443,1672,2439,1612,2431,1492,2427,1372,2425,1342,2424,1313,2424,1282,2424,1252,2423,1222,2423,1192,2422,1162,2423,1132,2425,1011,2425,982,2426,951,2428,923,2431,860,2432,830,2434,803,2436,773,2441,713,2446,653,2451,593,2458,534,2461,504,2465,474,2468,444,2472,414,2490,296,2494,266,2499,236,2504,207,2530,64,2526,64,2531,59,2548,59,2755,12,2759,12,2759,7xm2961,3765l2964,3815,2982,3810,2961,3765xm2759,12l2755,12,2758,91,2767,328,2771,414,2774,485,2796,961,2821,1437,2825,1516,2829,1596,2834,1675,2839,1754,2843,1834,2853,1992,2858,2071,2864,2150,2875,2309,2880,2388,2885,2467,2896,2626,2902,2705,2907,2784,2912,2863,2926,3101,2930,3161,2933,3220,2936,3280,2944,3418,2948,3498,2952,3577,2956,3656,2960,3736,2961,3765,2982,3810,2964,3815,2983,3815,2978,3735,2972,3655,2967,3576,2962,3497,2958,3418,2949,3279,2946,3219,2942,3160,2927,2862,2923,2783,2919,2704,2915,2625,2908,2466,2904,2384,2901,2304,2894,2148,2890,2069,2886,1990,2878,1831,2874,1752,2869,1672,2865,1594,2860,1514,2855,1434,2826,959,2794,484,2789,405,2783,326,2777,247,2765,88,2759,12xm2531,59l2526,64,2530,63,2531,59xm2530,63l2526,64,2530,64,2530,63xm2548,59l2531,59,2530,63,2548,59xe" filled="true" fillcolor="#ffffff" stroked="false">
              <v:path arrowok="t"/>
              <v:fill type="solid"/>
            </v:shape>
            <v:shape style="position:absolute;left:765;top:4108;width:1689;height:2056" coordorigin="765,4108" coordsize="1689,2056" path="m2396,4108l2330,4111,2257,4118,2175,4134,2085,4160,1988,4198,1882,4250,1826,4282,1769,4318,1709,4358,1648,4404,1584,4454,1519,4510,1452,4571,1383,4638,1312,4711,1239,4790,1165,4876,1088,4969,1010,5069,930,5176,848,5291,765,5413,874,6164,1348,5141,1671,4586,1990,4307,2453,4110,2425,4109,2396,4108xe" filled="true" fillcolor="#bec0c2" stroked="false">
              <v:path arrowok="t"/>
              <v:fill type="solid"/>
            </v:shape>
            <v:shape style="position:absolute;left:763;top:4090;width:1709;height:2094" coordorigin="763,4090" coordsize="1709,2094" path="m2385,4090l2350,4090,2315,4092,2280,4096,2246,4100,2211,4106,2177,4113,2109,4130,2027,4159,2010,4165,1994,4172,1978,4179,1946,4193,1931,4200,1915,4208,1838,4250,1823,4259,1808,4268,1705,4335,1622,4398,1608,4409,1594,4419,1580,4430,1461,4534,1337,4658,1313,4684,1290,4710,1266,4736,1243,4762,1219,4788,1196,4815,1174,4842,1086,4951,1064,4979,1043,5007,918,5177,899,5206,763,5412,763,5413,763,5414,785,5602,791,5649,796,5696,802,5743,818,5866,828,5941,838,6016,848,6092,858,6167,859,6172,862,6177,874,6183,884,6180,888,6171,888,6171,892,6162,889,6162,859,6157,881,6110,878,6087,866,6012,854,5937,842,5862,823,5740,815,5694,807,5647,799,5600,767,5414,912,5216,933,5188,1062,5023,1084,4996,1220,4837,1244,4812,1268,4786,1291,4761,1315,4736,1339,4710,1363,4685,1488,4565,1606,4464,1619,4453,1633,4443,1729,4371,1829,4306,1844,4297,1859,4289,1933,4248,1949,4241,2026,4206,2041,4199,2121,4171,2186,4153,2218,4146,2251,4140,2285,4135,2318,4132,2351,4129,2366,4129,2371,4126,2447,4093,2465,4093,2464,4092,2419,4090,2385,4090xm881,6110l859,6157,889,6162,881,6110xm2385,4128l2366,4129,2299,4166,2231,4212,2214,4224,2197,4236,2165,4261,2133,4287,2102,4314,2071,4342,2026,4384,2011,4398,1997,4413,1983,4428,1968,4443,1954,4457,1940,4472,1871,4549,1817,4612,1791,4644,1765,4676,1739,4708,1689,4773,1664,4806,1615,4872,1566,4939,1542,4973,1495,5041,1449,5110,1426,5144,1380,5213,1358,5247,1335,5282,1291,5352,1248,5423,1205,5494,1163,5566,1142,5602,1122,5638,1102,5674,1062,5747,1043,5784,1023,5821,1004,5858,967,5932,930,6006,894,6081,881,6110,889,6162,892,6162,924,6097,960,6022,998,5949,1036,5875,1074,5802,1113,5729,1152,5656,1192,5583,1272,5439,1287,5412,1313,5367,1334,5331,1355,5295,1397,5225,1441,5154,1485,5084,1531,5016,1554,4982,1577,4948,1625,4880,1649,4847,1674,4814,1699,4782,1750,4717,1776,4685,1802,4654,1829,4622,1883,4561,1954,4487,1968,4473,1983,4459,1999,4443,2012,4430,2027,4416,2042,4402,2088,4362,2119,4336,2150,4311,2182,4286,2199,4274,2231,4250,2248,4239,2316,4196,2386,4159,2456,4129,2452,4129,2418,4128,2385,4128xm2452,4128l2385,4128,2418,4128,2452,4129,2452,4128xm2465,4093l2447,4093,2452,4129,2456,4129,2459,4128,2460,4128,2466,4125,2471,4119,2472,4101,2465,4093xm2447,4093l2371,4126,2366,4129,2385,4128,2452,4128,2447,4093xe" filled="true" fillcolor="#ffffff" stroked="false">
              <v:path arrowok="t"/>
              <v:fill type="solid"/>
            </v:shape>
            <v:shape style="position:absolute;left:874;top:4111;width:2141;height:2054" coordorigin="874,4111" coordsize="2141,2054" path="m2486,4111l2096,4164,1797,4395,1440,4998,874,6164,985,6035,1092,5914,1196,5800,1296,5693,1392,5593,1485,5501,1575,5414,1660,5334,1743,5261,1822,5193,1898,5131,1971,5074,2042,5022,2109,4976,2173,4934,2235,4896,2294,4863,2350,4834,2404,4809,2455,4787,2504,4769,2551,4754,2596,4742,2638,4732,2679,4725,2717,4720,2754,4718,2789,4716,2975,4716,2959,4706,2904,4657,2850,4599,2797,4535,2746,4467,2696,4397,2604,4263,2561,4203,2522,4152,2486,4111xm2975,4716l2789,4716,2822,4717,2854,4719,2884,4721,2913,4725,2940,4729,2966,4734,3015,4743,2975,4716xe" filled="true" fillcolor="#828486" stroked="false">
              <v:path arrowok="t"/>
              <v:fill type="solid"/>
            </v:shape>
            <v:shape style="position:absolute;left:871;top:4104;width:2162;height:2063" coordorigin="871,4104" coordsize="2162,2063" path="m872,6166l873,6167,873,6166,872,6166xm875,6165l874,6166,873,6166,874,6167,875,6166,875,6165xm885,6147l872,6163,872,6163,872,6165,872,6166,872,6166,873,6166,874,6166,875,6165,885,6147xm872,6165l872,6166,872,6166,872,6165xm2810,4698l2768,4698,2725,4701,2683,4705,2642,4712,2600,4721,2559,4731,2519,4743,2479,4757,2439,4772,2400,4788,2362,4805,2324,4824,2286,4843,2249,4863,2213,4884,2141,4928,2071,4975,2036,5000,2002,5025,1968,5050,1934,5076,1901,5101,1868,5128,1803,5182,1739,5237,1708,5265,1645,5322,1614,5351,1553,5409,1523,5439,1493,5469,1433,5529,1345,5620,1316,5651,1230,5744,1117,5871,1090,5903,1035,5967,980,6032,885,6147,875,6165,988,6040,1132,5885,1248,5763,1337,5673,1456,5553,1547,5466,1578,5437,1639,5380,1671,5352,1733,5297,1765,5269,1797,5242,1829,5215,1894,5162,1926,5136,1993,5085,2026,5060,2060,5036,2094,5012,2163,4966,2234,4923,2269,4902,2306,4882,2342,4862,2379,4844,2416,4827,2454,4811,2492,4796,2530,4782,2569,4770,2609,4760,2648,4751,2688,4744,2728,4739,2769,4736,2809,4735,2974,4735,2963,4728,2944,4712,2936,4711,2894,4705,2852,4700,2810,4698xm872,6163l871,6164,871,6164,872,6163xm2488,4104l2486,4104,2444,4109,2404,4119,2365,4132,2327,4148,2289,4166,2253,4187,2218,4209,2184,4233,2119,4285,2056,4339,1995,4397,1937,4457,1880,4518,1825,4581,1772,4646,1719,4712,1668,4778,1619,4846,1571,4915,1523,4985,1477,5055,1432,5126,1387,5197,1343,5269,1300,5341,1258,5414,1216,5487,1175,5561,1135,5635,1095,5709,1056,5784,1018,5859,980,5934,943,6010,907,6087,872,6163,885,6147,915,6091,954,6016,994,5942,1075,5795,1116,5722,1158,5649,1200,5576,1242,5504,1285,5431,1328,5359,1372,5288,1416,5217,1461,5146,1507,5076,1553,5006,1599,4936,1647,4867,1695,4799,1744,4732,1794,4665,1845,4599,1898,4535,1952,4472,2008,4411,2067,4352,2128,4297,2193,4245,2226,4221,2260,4199,2295,4178,2332,4159,2369,4144,2407,4131,2447,4123,2483,4118,2481,4116,2500,4116,2491,4106,2489,4104,2488,4104xm2974,4735l2809,4735,2850,4737,2890,4740,2930,4745,2971,4752,3012,4760,3012,4760,3018,4761,3025,4758,3007,4758,2974,4735xm2944,4712l2963,4728,3007,4758,3017,4727,2977,4718,2944,4712xm2500,4116l2481,4116,2486,4118,2483,4118,2499,4135,2515,4154,2531,4175,2546,4195,2562,4216,2577,4237,2591,4259,2606,4280,2664,4367,2693,4410,2723,4453,2753,4495,2784,4537,2816,4578,2849,4619,2885,4657,2922,4694,2944,4712,2977,4718,3017,4727,3007,4758,3025,4758,3025,4758,3029,4751,3033,4743,3030,4733,3022,4728,3001,4716,2981,4702,2961,4687,2942,4671,2923,4654,2905,4636,2887,4618,2869,4599,2835,4561,2802,4521,2771,4481,2740,4439,2709,4398,2679,4355,2589,4228,2573,4207,2558,4186,2542,4165,2526,4145,2509,4125,2500,4116xm2481,4116l2483,4118,2486,4118,2481,4116xe" filled="true" fillcolor="#ffffff" stroked="false">
              <v:path arrowok="t"/>
              <v:fill type="solid"/>
            </v:shape>
            <v:shape style="position:absolute;left:1244;top:138;width:1771;height:4609" coordorigin="1244,138" coordsize="1771,4609" path="m2174,138l1618,256,1244,1778,1264,2753,1811,3602,3015,4747,3001,4483,2984,4202,2969,3979,2963,3887,2240,3071,1917,2408,1920,1547,2174,138xe" filled="true" fillcolor="#959799" stroked="false">
              <v:path arrowok="t"/>
              <v:fill type="solid"/>
            </v:shape>
            <v:shape style="position:absolute;left:1491;top:130;width:1535;height:4640" coordorigin="1491,130" coordsize="1535,4640" path="m2186,130l2172,130,1616,270,1597,350,1581,410,1566,490,1552,570,1540,650,1529,730,1520,790,1512,870,1506,950,1500,1030,1496,1110,1493,1190,1491,1270,1491,1350,1491,1430,1493,1490,1497,1570,1501,1650,1507,1730,1514,1810,1522,1890,1531,1970,1541,2050,1553,2110,1566,2190,1581,2270,1596,2350,1613,2430,1632,2490,1651,2570,1672,2650,1695,2730,1718,2790,1743,2870,1769,2950,1797,3010,1825,3090,1855,3150,1887,3230,1919,3290,1953,3370,1987,3430,2024,3510,2061,3570,2099,3630,2138,3710,2179,3770,2220,3830,2262,3890,2306,3970,2350,4030,2396,4090,2419,4110,2442,4150,2466,4170,2489,4210,2513,4230,2537,4270,2562,4290,2586,4330,2611,4350,2636,4390,2661,4410,2687,4430,2713,4470,2739,4490,2765,4530,2791,4550,2844,4610,2898,4650,2953,4710,3008,4770,3025,4770,3024,4750,3005,4750,3004,4732,2965,4690,2910,4650,2855,4590,2802,4550,2775,4510,2749,4490,2723,4450,2671,4410,2646,4370,2621,4350,2596,4310,2571,4290,2547,4250,2523,4230,2499,4190,2452,4130,2428,4110,2406,4070,2361,4010,2317,3950,2274,3890,2232,3830,2192,3770,2152,3690,2114,3630,2077,3570,2042,3490,2007,3430,1974,3350,1942,3290,1910,3210,1881,3150,1852,3070,1825,3010,1799,2930,1774,2850,1750,2790,1727,2710,1706,2630,1685,2570,1666,2490,1648,2410,1632,2330,1616,2270,1601,2190,1588,2110,1575,2030,1564,1950,1555,1890,1546,1810,1539,1730,1533,1650,1528,1570,1524,1490,1521,1410,1519,1350,1518,1270,1519,1190,1521,1110,1523,1030,1528,950,1533,870,1539,810,1547,730,1555,650,1565,570,1576,490,1589,410,1603,350,1620,270,2164,152,2165,150,2183,150,2186,130xm3004,4732l3005,4750,3021,4750,3004,4732xm2949,3906l2954,3990,2960,4070,2967,4150,2973,4250,2978,4330,3004,4732,3021,4750,3024,4750,2999,4250,2994,4150,2989,4070,2984,3990,2980,3910,2952,3910,2949,3906xm2947,3890l2949,3906,2952,3910,2947,3890xm2979,3890l2947,3890,2952,3910,2980,3910,2979,3890xm2183,150l2176,150,2164,152,2153,210,2141,270,2130,330,2120,390,2110,450,2102,510,2093,570,2086,630,2079,690,2073,770,2068,830,2063,890,2059,950,2056,1010,2053,1070,2052,1130,2051,1190,2051,1270,2051,1330,2052,1390,2055,1450,2057,1510,2061,1570,2066,1630,2074,1710,2083,1790,2093,1870,2105,1970,2119,2050,2134,2130,2151,2210,2169,2290,2188,2370,2209,2450,2232,2530,2256,2610,2281,2690,2308,2770,2337,2850,2367,2930,2399,2990,2432,3070,2467,3150,2503,3230,2540,3290,2579,3370,2620,3430,2662,3510,2695,3570,2728,3610,2763,3670,2798,3710,2835,3770,2872,3810,2911,3870,2949,3906,2947,3890,2974,3890,2935,3850,2898,3790,2861,3750,2826,3690,2791,3650,2758,3590,2725,3550,2693,3490,2652,3410,2613,3350,2574,3270,2538,3210,2502,3130,2469,3050,2436,2970,2405,2910,2376,2830,2348,2750,2322,2670,2296,2590,2272,2510,2250,2430,2229,2350,2209,2270,2191,2190,2175,2110,2160,2030,2146,1950,2134,1870,2123,1790,2114,1710,2106,1630,2100,1570,2096,1510,2092,1450,2089,1390,2085,1250,2085,1190,2085,1130,2085,1070,2087,1010,2089,950,2092,890,2096,830,2101,770,2106,710,2112,630,2118,570,2126,510,2134,450,2142,390,2152,330,2162,270,2172,210,2183,150xm2176,150l2165,150,2164,152,2176,150xe" filled="true" fillcolor="#ffffff" stroked="false">
              <v:path arrowok="t"/>
              <v:fill type="solid"/>
            </v:shape>
          </v:group>
        </w:pict>
      </w:r>
      <w:r>
        <w:rPr>
          <w:rFonts w:ascii="Calibri"/>
          <w:sz w:val="20"/>
        </w:rPr>
      </w:r>
    </w:p>
    <w:p>
      <w:pPr>
        <w:spacing w:line="187" w:lineRule="auto" w:before="22"/>
        <w:ind w:left="1298" w:right="2988" w:firstLine="33"/>
        <w:jc w:val="left"/>
        <w:rPr>
          <w:rFonts w:ascii="Lucida Sans Unicode" w:hAnsi="Lucida Sans Unicode"/>
          <w:sz w:val="28"/>
        </w:rPr>
      </w:pPr>
      <w:r>
        <w:rPr>
          <w:rFonts w:ascii="Lucida Sans Unicode" w:hAnsi="Lucida Sans Unicode"/>
          <w:color w:val="FFFFFF"/>
          <w:spacing w:val="-4"/>
          <w:w w:val="95"/>
          <w:sz w:val="28"/>
        </w:rPr>
        <w:t>LO</w:t>
      </w:r>
      <w:r>
        <w:rPr>
          <w:rFonts w:ascii="Lucida Sans Unicode" w:hAnsi="Lucida Sans Unicode"/>
          <w:color w:val="FFFFFF"/>
          <w:spacing w:val="-40"/>
          <w:w w:val="95"/>
          <w:sz w:val="28"/>
        </w:rPr>
        <w:t> </w:t>
      </w:r>
      <w:r>
        <w:rPr>
          <w:rFonts w:ascii="Lucida Sans Unicode" w:hAnsi="Lucida Sans Unicode"/>
          <w:color w:val="FFFFFF"/>
          <w:spacing w:val="-7"/>
          <w:w w:val="95"/>
          <w:sz w:val="28"/>
        </w:rPr>
        <w:t>STATO</w:t>
      </w:r>
      <w:r>
        <w:rPr>
          <w:rFonts w:ascii="Lucida Sans Unicode" w:hAnsi="Lucida Sans Unicode"/>
          <w:color w:val="FFFFFF"/>
          <w:spacing w:val="-40"/>
          <w:w w:val="95"/>
          <w:sz w:val="28"/>
        </w:rPr>
        <w:t> </w:t>
      </w:r>
      <w:r>
        <w:rPr>
          <w:rFonts w:ascii="Lucida Sans Unicode" w:hAnsi="Lucida Sans Unicode"/>
          <w:color w:val="FFFFFF"/>
          <w:w w:val="95"/>
          <w:sz w:val="28"/>
        </w:rPr>
        <w:t>ftLOBALE</w:t>
      </w:r>
      <w:r>
        <w:rPr>
          <w:rFonts w:ascii="Lucida Sans Unicode" w:hAnsi="Lucida Sans Unicode"/>
          <w:color w:val="FFFFFF"/>
          <w:spacing w:val="-40"/>
          <w:w w:val="95"/>
          <w:sz w:val="28"/>
        </w:rPr>
        <w:t> </w:t>
      </w:r>
      <w:r>
        <w:rPr>
          <w:rFonts w:ascii="Lucida Sans Unicode" w:hAnsi="Lucida Sans Unicode"/>
          <w:color w:val="FFFFFF"/>
          <w:w w:val="95"/>
          <w:sz w:val="28"/>
        </w:rPr>
        <w:t>E </w:t>
      </w:r>
      <w:r>
        <w:rPr>
          <w:rFonts w:ascii="Lucida Sans Unicode" w:hAnsi="Lucida Sans Unicode"/>
          <w:color w:val="FFFFFF"/>
          <w:spacing w:val="-3"/>
          <w:w w:val="90"/>
          <w:sz w:val="28"/>
        </w:rPr>
        <w:t>L’EVOLUZIONE </w:t>
      </w:r>
      <w:r>
        <w:rPr>
          <w:rFonts w:ascii="Lucida Sans Unicode" w:hAnsi="Lucida Sans Unicode"/>
          <w:color w:val="FFFFFF"/>
          <w:spacing w:val="1"/>
          <w:w w:val="90"/>
          <w:sz w:val="28"/>
        </w:rPr>
        <w:t> </w:t>
      </w:r>
      <w:r>
        <w:rPr>
          <w:rFonts w:ascii="Lucida Sans Unicode" w:hAnsi="Lucida Sans Unicode"/>
          <w:color w:val="FFFFFF"/>
          <w:w w:val="90"/>
          <w:sz w:val="28"/>
        </w:rPr>
        <w:t>DELLA</w:t>
      </w:r>
    </w:p>
    <w:p>
      <w:pPr>
        <w:spacing w:line="363" w:lineRule="exact" w:before="0"/>
        <w:ind w:left="1246" w:right="1700" w:firstLine="0"/>
        <w:jc w:val="center"/>
        <w:rPr>
          <w:rFonts w:ascii="Lucida Sans Unicode" w:hAnsi="Lucida Sans Unicode"/>
          <w:sz w:val="28"/>
        </w:rPr>
      </w:pPr>
      <w:r>
        <w:rPr>
          <w:rFonts w:ascii="Lucida Sans Unicode" w:hAnsi="Lucida Sans Unicode"/>
          <w:color w:val="FFFFFF"/>
          <w:sz w:val="28"/>
        </w:rPr>
        <w:t>SOVRANITÀ</w:t>
      </w:r>
    </w:p>
    <w:p>
      <w:pPr>
        <w:pStyle w:val="BodyText"/>
        <w:rPr>
          <w:rFonts w:ascii="Lucida Sans Unicode"/>
          <w:sz w:val="20"/>
        </w:rPr>
      </w:pPr>
    </w:p>
    <w:p>
      <w:pPr>
        <w:pStyle w:val="BodyText"/>
        <w:rPr>
          <w:rFonts w:ascii="Lucida Sans Unicode"/>
          <w:sz w:val="20"/>
        </w:rPr>
      </w:pPr>
    </w:p>
    <w:p>
      <w:pPr>
        <w:pStyle w:val="BodyText"/>
        <w:spacing w:before="7"/>
        <w:rPr>
          <w:rFonts w:ascii="Lucida Sans Unicode"/>
          <w:sz w:val="24"/>
        </w:rPr>
      </w:pPr>
    </w:p>
    <w:p>
      <w:pPr>
        <w:spacing w:before="44"/>
        <w:ind w:left="3954" w:right="692" w:firstLine="0"/>
        <w:jc w:val="left"/>
        <w:rPr>
          <w:rFonts w:ascii="Calibri"/>
          <w:sz w:val="28"/>
        </w:rPr>
      </w:pPr>
      <w:r>
        <w:rPr>
          <w:rFonts w:ascii="Calibri"/>
          <w:color w:val="FFFFFF"/>
          <w:sz w:val="28"/>
        </w:rPr>
        <w:t>Maurizio Ricciardi</w:t>
      </w:r>
    </w:p>
    <w:p>
      <w:pPr>
        <w:spacing w:after="0"/>
        <w:jc w:val="left"/>
        <w:rPr>
          <w:rFonts w:ascii="Calibri"/>
          <w:sz w:val="28"/>
        </w:rPr>
        <w:sectPr>
          <w:pgSz w:w="9640" w:h="13890"/>
          <w:pgMar w:top="118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7"/>
        </w:rPr>
      </w:pPr>
    </w:p>
    <w:p>
      <w:pPr>
        <w:spacing w:before="57"/>
        <w:ind w:left="117" w:right="0" w:firstLine="0"/>
        <w:jc w:val="both"/>
        <w:rPr>
          <w:rFonts w:ascii="Arial" w:hAnsi="Arial"/>
          <w:i/>
          <w:sz w:val="21"/>
        </w:rPr>
      </w:pPr>
      <w:r>
        <w:rPr>
          <w:rFonts w:ascii="Arial" w:hAnsi="Arial"/>
          <w:i/>
          <w:color w:val="231F20"/>
          <w:sz w:val="21"/>
        </w:rPr>
        <w:t>Sovranità e Stato</w:t>
      </w:r>
    </w:p>
    <w:p>
      <w:pPr>
        <w:pStyle w:val="BodyText"/>
        <w:rPr>
          <w:rFonts w:ascii="Arial"/>
          <w:i/>
          <w:sz w:val="20"/>
        </w:rPr>
      </w:pPr>
    </w:p>
    <w:p>
      <w:pPr>
        <w:pStyle w:val="BodyText"/>
        <w:spacing w:line="247" w:lineRule="auto" w:before="172"/>
        <w:ind w:left="1180" w:right="114"/>
        <w:jc w:val="both"/>
      </w:pPr>
      <w:r>
        <w:rPr/>
        <w:pict>
          <v:shape style="position:absolute;margin-left:76.553596pt;margin-top:14.163239pt;width:42.5pt;height:51pt;mso-position-horizontal-relative:page;mso-position-vertical-relative:paragraph;z-index:9952"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sz w:val="102"/>
                    </w:rPr>
                    <w:t>N</w:t>
                  </w:r>
                </w:p>
              </w:txbxContent>
            </v:textbox>
            <w10:wrap type="none"/>
          </v:shape>
        </w:pict>
      </w:r>
      <w:r>
        <w:rPr>
          <w:color w:val="231F20"/>
          <w:w w:val="105"/>
        </w:rPr>
        <w:t>ell’epoca</w:t>
      </w:r>
      <w:r>
        <w:rPr>
          <w:color w:val="231F20"/>
          <w:spacing w:val="-53"/>
          <w:w w:val="105"/>
        </w:rPr>
        <w:t> </w:t>
      </w:r>
      <w:r>
        <w:rPr>
          <w:color w:val="231F20"/>
          <w:w w:val="105"/>
        </w:rPr>
        <w:t>della</w:t>
      </w:r>
      <w:r>
        <w:rPr>
          <w:color w:val="231F20"/>
          <w:spacing w:val="-53"/>
          <w:w w:val="105"/>
        </w:rPr>
        <w:t> </w:t>
      </w:r>
      <w:r>
        <w:rPr>
          <w:color w:val="231F20"/>
          <w:w w:val="105"/>
        </w:rPr>
        <w:t>globalizzazione</w:t>
      </w:r>
      <w:r>
        <w:rPr>
          <w:color w:val="231F20"/>
          <w:spacing w:val="-53"/>
          <w:w w:val="105"/>
        </w:rPr>
        <w:t> </w:t>
      </w:r>
      <w:r>
        <w:rPr>
          <w:color w:val="231F20"/>
          <w:w w:val="105"/>
        </w:rPr>
        <w:t>la</w:t>
      </w:r>
      <w:r>
        <w:rPr>
          <w:color w:val="231F20"/>
          <w:spacing w:val="-53"/>
          <w:w w:val="105"/>
        </w:rPr>
        <w:t> </w:t>
      </w:r>
      <w:r>
        <w:rPr>
          <w:color w:val="231F20"/>
          <w:w w:val="105"/>
        </w:rPr>
        <w:t>sovranità</w:t>
      </w:r>
      <w:r>
        <w:rPr>
          <w:color w:val="231F20"/>
          <w:spacing w:val="-53"/>
          <w:w w:val="105"/>
        </w:rPr>
        <w:t> </w:t>
      </w:r>
      <w:r>
        <w:rPr>
          <w:color w:val="231F20"/>
          <w:w w:val="105"/>
        </w:rPr>
        <w:t>sembra</w:t>
      </w:r>
      <w:r>
        <w:rPr>
          <w:color w:val="231F20"/>
          <w:spacing w:val="-53"/>
          <w:w w:val="105"/>
        </w:rPr>
        <w:t> </w:t>
      </w:r>
      <w:r>
        <w:rPr>
          <w:color w:val="231F20"/>
          <w:spacing w:val="-3"/>
          <w:w w:val="105"/>
        </w:rPr>
        <w:t>abbandonare </w:t>
      </w:r>
      <w:r>
        <w:rPr>
          <w:color w:val="231F20"/>
          <w:w w:val="105"/>
        </w:rPr>
        <w:t>lo</w:t>
      </w:r>
      <w:r>
        <w:rPr>
          <w:color w:val="231F20"/>
          <w:spacing w:val="-55"/>
          <w:w w:val="105"/>
        </w:rPr>
        <w:t> </w:t>
      </w:r>
      <w:r>
        <w:rPr>
          <w:color w:val="231F20"/>
          <w:w w:val="105"/>
        </w:rPr>
        <w:t>Stato.</w:t>
      </w:r>
      <w:r>
        <w:rPr>
          <w:color w:val="231F20"/>
          <w:spacing w:val="-55"/>
          <w:w w:val="105"/>
        </w:rPr>
        <w:t> </w:t>
      </w:r>
      <w:r>
        <w:rPr>
          <w:color w:val="231F20"/>
          <w:w w:val="105"/>
        </w:rPr>
        <w:t>Quella</w:t>
      </w:r>
      <w:r>
        <w:rPr>
          <w:color w:val="231F20"/>
          <w:spacing w:val="-55"/>
          <w:w w:val="105"/>
        </w:rPr>
        <w:t> </w:t>
      </w:r>
      <w:r>
        <w:rPr>
          <w:color w:val="231F20"/>
          <w:w w:val="105"/>
        </w:rPr>
        <w:t>che</w:t>
      </w:r>
      <w:r>
        <w:rPr>
          <w:color w:val="231F20"/>
          <w:spacing w:val="-55"/>
          <w:w w:val="105"/>
        </w:rPr>
        <w:t> </w:t>
      </w:r>
      <w:r>
        <w:rPr>
          <w:color w:val="231F20"/>
          <w:w w:val="105"/>
        </w:rPr>
        <w:t>gli</w:t>
      </w:r>
      <w:r>
        <w:rPr>
          <w:color w:val="231F20"/>
          <w:spacing w:val="-55"/>
          <w:w w:val="105"/>
        </w:rPr>
        <w:t> </w:t>
      </w:r>
      <w:r>
        <w:rPr>
          <w:color w:val="231F20"/>
          <w:w w:val="105"/>
        </w:rPr>
        <w:t>era</w:t>
      </w:r>
      <w:r>
        <w:rPr>
          <w:color w:val="231F20"/>
          <w:spacing w:val="-55"/>
          <w:w w:val="105"/>
        </w:rPr>
        <w:t> </w:t>
      </w:r>
      <w:r>
        <w:rPr>
          <w:color w:val="231F20"/>
          <w:w w:val="105"/>
        </w:rPr>
        <w:t>stata</w:t>
      </w:r>
      <w:r>
        <w:rPr>
          <w:color w:val="231F20"/>
          <w:spacing w:val="-55"/>
          <w:w w:val="105"/>
        </w:rPr>
        <w:t> </w:t>
      </w:r>
      <w:r>
        <w:rPr>
          <w:color w:val="231F20"/>
          <w:w w:val="105"/>
        </w:rPr>
        <w:t>attribuita</w:t>
      </w:r>
      <w:r>
        <w:rPr>
          <w:color w:val="231F20"/>
          <w:spacing w:val="-55"/>
          <w:w w:val="105"/>
        </w:rPr>
        <w:t> </w:t>
      </w:r>
      <w:r>
        <w:rPr>
          <w:color w:val="231F20"/>
          <w:w w:val="105"/>
        </w:rPr>
        <w:t>come</w:t>
      </w:r>
      <w:r>
        <w:rPr>
          <w:color w:val="231F20"/>
          <w:spacing w:val="-55"/>
          <w:w w:val="105"/>
        </w:rPr>
        <w:t> </w:t>
      </w:r>
      <w:r>
        <w:rPr>
          <w:color w:val="231F20"/>
          <w:w w:val="105"/>
        </w:rPr>
        <w:t>una</w:t>
      </w:r>
      <w:r>
        <w:rPr>
          <w:color w:val="231F20"/>
          <w:spacing w:val="-55"/>
          <w:w w:val="105"/>
        </w:rPr>
        <w:t> </w:t>
      </w:r>
      <w:r>
        <w:rPr>
          <w:color w:val="231F20"/>
          <w:w w:val="105"/>
        </w:rPr>
        <w:t>caratteristica </w:t>
      </w:r>
      <w:r>
        <w:rPr>
          <w:color w:val="231F20"/>
          <w:spacing w:val="2"/>
          <w:w w:val="105"/>
        </w:rPr>
        <w:t>fondamentale </w:t>
      </w:r>
      <w:r>
        <w:rPr>
          <w:color w:val="231F20"/>
          <w:w w:val="105"/>
        </w:rPr>
        <w:t>e </w:t>
      </w:r>
      <w:r>
        <w:rPr>
          <w:color w:val="231F20"/>
          <w:spacing w:val="2"/>
          <w:w w:val="105"/>
        </w:rPr>
        <w:t>necessaria </w:t>
      </w:r>
      <w:r>
        <w:rPr>
          <w:color w:val="231F20"/>
          <w:w w:val="105"/>
        </w:rPr>
        <w:t>è </w:t>
      </w:r>
      <w:r>
        <w:rPr>
          <w:color w:val="231F20"/>
          <w:spacing w:val="2"/>
          <w:w w:val="105"/>
        </w:rPr>
        <w:t>sottoposta </w:t>
      </w:r>
      <w:r>
        <w:rPr>
          <w:color w:val="231F20"/>
          <w:w w:val="105"/>
        </w:rPr>
        <w:t>a una </w:t>
      </w:r>
      <w:r>
        <w:rPr>
          <w:color w:val="231F20"/>
          <w:spacing w:val="2"/>
          <w:w w:val="105"/>
        </w:rPr>
        <w:t>ridefinizione </w:t>
      </w:r>
      <w:r>
        <w:rPr>
          <w:color w:val="231F20"/>
          <w:w w:val="105"/>
        </w:rPr>
        <w:t>costante</w:t>
      </w:r>
      <w:r>
        <w:rPr>
          <w:color w:val="231F20"/>
          <w:spacing w:val="-11"/>
          <w:w w:val="105"/>
        </w:rPr>
        <w:t> </w:t>
      </w:r>
      <w:r>
        <w:rPr>
          <w:color w:val="231F20"/>
          <w:w w:val="105"/>
        </w:rPr>
        <w:t>grazie</w:t>
      </w:r>
      <w:r>
        <w:rPr>
          <w:color w:val="231F20"/>
          <w:spacing w:val="-11"/>
          <w:w w:val="105"/>
        </w:rPr>
        <w:t> </w:t>
      </w:r>
      <w:r>
        <w:rPr>
          <w:color w:val="231F20"/>
          <w:w w:val="105"/>
        </w:rPr>
        <w:t>alla</w:t>
      </w:r>
      <w:r>
        <w:rPr>
          <w:color w:val="231F20"/>
          <w:spacing w:val="-11"/>
          <w:w w:val="105"/>
        </w:rPr>
        <w:t> </w:t>
      </w:r>
      <w:r>
        <w:rPr>
          <w:color w:val="231F20"/>
          <w:w w:val="105"/>
        </w:rPr>
        <w:t>quale</w:t>
      </w:r>
      <w:r>
        <w:rPr>
          <w:color w:val="231F20"/>
          <w:spacing w:val="-11"/>
          <w:w w:val="105"/>
        </w:rPr>
        <w:t> </w:t>
      </w:r>
      <w:r>
        <w:rPr>
          <w:color w:val="231F20"/>
          <w:w w:val="105"/>
        </w:rPr>
        <w:t>essa</w:t>
      </w:r>
      <w:r>
        <w:rPr>
          <w:color w:val="231F20"/>
          <w:spacing w:val="-11"/>
          <w:w w:val="105"/>
        </w:rPr>
        <w:t> </w:t>
      </w:r>
      <w:r>
        <w:rPr>
          <w:color w:val="231F20"/>
          <w:w w:val="105"/>
        </w:rPr>
        <w:t>viene</w:t>
      </w:r>
      <w:r>
        <w:rPr>
          <w:color w:val="231F20"/>
          <w:spacing w:val="-11"/>
          <w:w w:val="105"/>
        </w:rPr>
        <w:t> </w:t>
      </w:r>
      <w:r>
        <w:rPr>
          <w:color w:val="231F20"/>
          <w:w w:val="105"/>
        </w:rPr>
        <w:t>riconosciuta</w:t>
      </w:r>
      <w:r>
        <w:rPr>
          <w:color w:val="231F20"/>
          <w:spacing w:val="-11"/>
          <w:w w:val="105"/>
        </w:rPr>
        <w:t> </w:t>
      </w:r>
      <w:r>
        <w:rPr>
          <w:color w:val="231F20"/>
          <w:w w:val="105"/>
        </w:rPr>
        <w:t>più</w:t>
      </w:r>
      <w:r>
        <w:rPr>
          <w:color w:val="231F20"/>
          <w:spacing w:val="-11"/>
          <w:w w:val="105"/>
        </w:rPr>
        <w:t> </w:t>
      </w:r>
      <w:r>
        <w:rPr>
          <w:color w:val="231F20"/>
          <w:w w:val="105"/>
        </w:rPr>
        <w:t>o</w:t>
      </w:r>
      <w:r>
        <w:rPr>
          <w:color w:val="231F20"/>
          <w:spacing w:val="-11"/>
          <w:w w:val="105"/>
        </w:rPr>
        <w:t> </w:t>
      </w:r>
      <w:r>
        <w:rPr>
          <w:color w:val="231F20"/>
          <w:w w:val="105"/>
        </w:rPr>
        <w:t>meno apertamente a una pluralità di soggetti diversi dallo Stato.</w:t>
      </w:r>
      <w:r>
        <w:rPr>
          <w:color w:val="231F20"/>
          <w:spacing w:val="-20"/>
          <w:w w:val="105"/>
        </w:rPr>
        <w:t> </w:t>
      </w:r>
      <w:r>
        <w:rPr>
          <w:color w:val="231F20"/>
          <w:w w:val="105"/>
        </w:rPr>
        <w:t>A</w:t>
      </w:r>
    </w:p>
    <w:p>
      <w:pPr>
        <w:pStyle w:val="BodyText"/>
        <w:spacing w:line="247" w:lineRule="auto"/>
        <w:ind w:left="117" w:right="118"/>
        <w:jc w:val="both"/>
      </w:pPr>
      <w:r>
        <w:rPr>
          <w:color w:val="231F20"/>
          <w:w w:val="105"/>
        </w:rPr>
        <w:t>essere</w:t>
      </w:r>
      <w:r>
        <w:rPr>
          <w:color w:val="231F20"/>
          <w:spacing w:val="-25"/>
          <w:w w:val="105"/>
        </w:rPr>
        <w:t> </w:t>
      </w:r>
      <w:r>
        <w:rPr>
          <w:color w:val="231F20"/>
          <w:w w:val="105"/>
        </w:rPr>
        <w:t>messo</w:t>
      </w:r>
      <w:r>
        <w:rPr>
          <w:color w:val="231F20"/>
          <w:spacing w:val="-25"/>
          <w:w w:val="105"/>
        </w:rPr>
        <w:t> </w:t>
      </w:r>
      <w:r>
        <w:rPr>
          <w:color w:val="231F20"/>
          <w:w w:val="105"/>
        </w:rPr>
        <w:t>in</w:t>
      </w:r>
      <w:r>
        <w:rPr>
          <w:color w:val="231F20"/>
          <w:spacing w:val="-25"/>
          <w:w w:val="105"/>
        </w:rPr>
        <w:t> </w:t>
      </w:r>
      <w:r>
        <w:rPr>
          <w:color w:val="231F20"/>
          <w:w w:val="105"/>
        </w:rPr>
        <w:t>discussione</w:t>
      </w:r>
      <w:r>
        <w:rPr>
          <w:color w:val="231F20"/>
          <w:spacing w:val="-25"/>
          <w:w w:val="105"/>
        </w:rPr>
        <w:t> </w:t>
      </w:r>
      <w:r>
        <w:rPr>
          <w:color w:val="231F20"/>
          <w:w w:val="105"/>
        </w:rPr>
        <w:t>non</w:t>
      </w:r>
      <w:r>
        <w:rPr>
          <w:color w:val="231F20"/>
          <w:spacing w:val="-25"/>
          <w:w w:val="105"/>
        </w:rPr>
        <w:t> </w:t>
      </w:r>
      <w:r>
        <w:rPr>
          <w:color w:val="231F20"/>
          <w:w w:val="105"/>
        </w:rPr>
        <w:t>è</w:t>
      </w:r>
      <w:r>
        <w:rPr>
          <w:color w:val="231F20"/>
          <w:spacing w:val="-25"/>
          <w:w w:val="105"/>
        </w:rPr>
        <w:t> </w:t>
      </w:r>
      <w:r>
        <w:rPr>
          <w:color w:val="231F20"/>
          <w:w w:val="105"/>
        </w:rPr>
        <w:t>semplicemente</w:t>
      </w:r>
      <w:r>
        <w:rPr>
          <w:color w:val="231F20"/>
          <w:spacing w:val="-25"/>
          <w:w w:val="105"/>
        </w:rPr>
        <w:t> </w:t>
      </w:r>
      <w:r>
        <w:rPr>
          <w:color w:val="231F20"/>
          <w:w w:val="105"/>
        </w:rPr>
        <w:t>il</w:t>
      </w:r>
      <w:r>
        <w:rPr>
          <w:color w:val="231F20"/>
          <w:spacing w:val="-25"/>
          <w:w w:val="105"/>
        </w:rPr>
        <w:t> </w:t>
      </w:r>
      <w:r>
        <w:rPr>
          <w:color w:val="231F20"/>
          <w:w w:val="105"/>
        </w:rPr>
        <w:t>ruolo</w:t>
      </w:r>
      <w:r>
        <w:rPr>
          <w:color w:val="231F20"/>
          <w:spacing w:val="-25"/>
          <w:w w:val="105"/>
        </w:rPr>
        <w:t> </w:t>
      </w:r>
      <w:r>
        <w:rPr>
          <w:color w:val="231F20"/>
          <w:w w:val="105"/>
        </w:rPr>
        <w:t>di</w:t>
      </w:r>
      <w:r>
        <w:rPr>
          <w:color w:val="231F20"/>
          <w:spacing w:val="-25"/>
          <w:w w:val="105"/>
        </w:rPr>
        <w:t> </w:t>
      </w:r>
      <w:r>
        <w:rPr>
          <w:color w:val="231F20"/>
          <w:w w:val="105"/>
        </w:rPr>
        <w:t>quest’ultimo, quanto</w:t>
      </w:r>
      <w:r>
        <w:rPr>
          <w:color w:val="231F20"/>
          <w:spacing w:val="-41"/>
          <w:w w:val="105"/>
        </w:rPr>
        <w:t> </w:t>
      </w:r>
      <w:r>
        <w:rPr>
          <w:color w:val="231F20"/>
          <w:w w:val="105"/>
        </w:rPr>
        <w:t>uno</w:t>
      </w:r>
      <w:r>
        <w:rPr>
          <w:color w:val="231F20"/>
          <w:spacing w:val="-41"/>
          <w:w w:val="105"/>
        </w:rPr>
        <w:t> </w:t>
      </w:r>
      <w:r>
        <w:rPr>
          <w:color w:val="231F20"/>
          <w:w w:val="105"/>
        </w:rPr>
        <w:t>specifico</w:t>
      </w:r>
      <w:r>
        <w:rPr>
          <w:color w:val="231F20"/>
          <w:spacing w:val="-41"/>
          <w:w w:val="105"/>
        </w:rPr>
        <w:t> </w:t>
      </w:r>
      <w:r>
        <w:rPr>
          <w:color w:val="231F20"/>
          <w:w w:val="105"/>
        </w:rPr>
        <w:t>ordine</w:t>
      </w:r>
      <w:r>
        <w:rPr>
          <w:color w:val="231F20"/>
          <w:spacing w:val="-41"/>
          <w:w w:val="105"/>
        </w:rPr>
        <w:t> </w:t>
      </w:r>
      <w:r>
        <w:rPr>
          <w:color w:val="231F20"/>
          <w:w w:val="105"/>
        </w:rPr>
        <w:t>politico</w:t>
      </w:r>
      <w:r>
        <w:rPr>
          <w:color w:val="231F20"/>
          <w:spacing w:val="-41"/>
          <w:w w:val="105"/>
        </w:rPr>
        <w:t> </w:t>
      </w:r>
      <w:r>
        <w:rPr>
          <w:color w:val="231F20"/>
          <w:w w:val="105"/>
        </w:rPr>
        <w:t>che</w:t>
      </w:r>
      <w:r>
        <w:rPr>
          <w:color w:val="231F20"/>
          <w:spacing w:val="-41"/>
          <w:w w:val="105"/>
        </w:rPr>
        <w:t> </w:t>
      </w:r>
      <w:r>
        <w:rPr>
          <w:color w:val="231F20"/>
          <w:w w:val="105"/>
        </w:rPr>
        <w:t>aveva</w:t>
      </w:r>
      <w:r>
        <w:rPr>
          <w:color w:val="231F20"/>
          <w:spacing w:val="-41"/>
          <w:w w:val="105"/>
        </w:rPr>
        <w:t> </w:t>
      </w:r>
      <w:r>
        <w:rPr>
          <w:color w:val="231F20"/>
          <w:w w:val="105"/>
        </w:rPr>
        <w:t>trovato</w:t>
      </w:r>
      <w:r>
        <w:rPr>
          <w:color w:val="231F20"/>
          <w:spacing w:val="-41"/>
          <w:w w:val="105"/>
        </w:rPr>
        <w:t> </w:t>
      </w:r>
      <w:r>
        <w:rPr>
          <w:color w:val="231F20"/>
          <w:w w:val="105"/>
        </w:rPr>
        <w:t>nella</w:t>
      </w:r>
      <w:r>
        <w:rPr>
          <w:color w:val="231F20"/>
          <w:spacing w:val="-41"/>
          <w:w w:val="105"/>
        </w:rPr>
        <w:t> </w:t>
      </w:r>
      <w:r>
        <w:rPr>
          <w:color w:val="231F20"/>
          <w:w w:val="105"/>
        </w:rPr>
        <w:t>sintesi</w:t>
      </w:r>
      <w:r>
        <w:rPr>
          <w:color w:val="231F20"/>
          <w:spacing w:val="-41"/>
          <w:w w:val="105"/>
        </w:rPr>
        <w:t> </w:t>
      </w:r>
      <w:r>
        <w:rPr>
          <w:color w:val="231F20"/>
          <w:w w:val="105"/>
        </w:rPr>
        <w:t>tra</w:t>
      </w:r>
      <w:r>
        <w:rPr>
          <w:color w:val="231F20"/>
          <w:spacing w:val="-41"/>
          <w:w w:val="105"/>
        </w:rPr>
        <w:t> </w:t>
      </w:r>
      <w:r>
        <w:rPr>
          <w:color w:val="231F20"/>
          <w:w w:val="105"/>
        </w:rPr>
        <w:t>Stato e</w:t>
      </w:r>
      <w:r>
        <w:rPr>
          <w:color w:val="231F20"/>
          <w:spacing w:val="-20"/>
          <w:w w:val="105"/>
        </w:rPr>
        <w:t> </w:t>
      </w:r>
      <w:r>
        <w:rPr>
          <w:color w:val="231F20"/>
          <w:w w:val="105"/>
        </w:rPr>
        <w:t>sovranità</w:t>
      </w:r>
      <w:r>
        <w:rPr>
          <w:color w:val="231F20"/>
          <w:spacing w:val="-20"/>
          <w:w w:val="105"/>
        </w:rPr>
        <w:t> </w:t>
      </w:r>
      <w:r>
        <w:rPr>
          <w:color w:val="231F20"/>
          <w:w w:val="105"/>
        </w:rPr>
        <w:t>il</w:t>
      </w:r>
      <w:r>
        <w:rPr>
          <w:color w:val="231F20"/>
          <w:spacing w:val="-20"/>
          <w:w w:val="105"/>
        </w:rPr>
        <w:t> </w:t>
      </w:r>
      <w:r>
        <w:rPr>
          <w:color w:val="231F20"/>
          <w:w w:val="105"/>
        </w:rPr>
        <w:t>proprio</w:t>
      </w:r>
      <w:r>
        <w:rPr>
          <w:color w:val="231F20"/>
          <w:spacing w:val="-20"/>
          <w:w w:val="105"/>
        </w:rPr>
        <w:t> </w:t>
      </w:r>
      <w:r>
        <w:rPr>
          <w:color w:val="231F20"/>
          <w:w w:val="105"/>
        </w:rPr>
        <w:t>fondamento</w:t>
      </w:r>
      <w:r>
        <w:rPr>
          <w:color w:val="231F20"/>
          <w:w w:val="105"/>
          <w:position w:val="7"/>
          <w:sz w:val="12"/>
        </w:rPr>
        <w:t>1</w:t>
      </w:r>
      <w:r>
        <w:rPr>
          <w:color w:val="231F20"/>
          <w:w w:val="105"/>
        </w:rPr>
        <w:t>.</w:t>
      </w:r>
      <w:r>
        <w:rPr>
          <w:color w:val="231F20"/>
          <w:spacing w:val="-20"/>
          <w:w w:val="105"/>
        </w:rPr>
        <w:t> </w:t>
      </w:r>
      <w:r>
        <w:rPr>
          <w:color w:val="231F20"/>
          <w:spacing w:val="-4"/>
          <w:w w:val="105"/>
        </w:rPr>
        <w:t>L’ordine</w:t>
      </w:r>
      <w:r>
        <w:rPr>
          <w:color w:val="231F20"/>
          <w:spacing w:val="-20"/>
          <w:w w:val="105"/>
        </w:rPr>
        <w:t> </w:t>
      </w:r>
      <w:r>
        <w:rPr>
          <w:color w:val="231F20"/>
          <w:w w:val="105"/>
        </w:rPr>
        <w:t>sovrano</w:t>
      </w:r>
      <w:r>
        <w:rPr>
          <w:color w:val="231F20"/>
          <w:spacing w:val="-20"/>
          <w:w w:val="105"/>
        </w:rPr>
        <w:t> </w:t>
      </w:r>
      <w:r>
        <w:rPr>
          <w:color w:val="231F20"/>
          <w:w w:val="105"/>
        </w:rPr>
        <w:t>classico</w:t>
      </w:r>
      <w:r>
        <w:rPr>
          <w:color w:val="231F20"/>
          <w:spacing w:val="-20"/>
          <w:w w:val="105"/>
        </w:rPr>
        <w:t> </w:t>
      </w:r>
      <w:r>
        <w:rPr>
          <w:color w:val="231F20"/>
          <w:w w:val="105"/>
        </w:rPr>
        <w:t>sembra</w:t>
      </w:r>
      <w:r>
        <w:rPr>
          <w:color w:val="231F20"/>
          <w:spacing w:val="-20"/>
          <w:w w:val="105"/>
        </w:rPr>
        <w:t> </w:t>
      </w:r>
      <w:r>
        <w:rPr>
          <w:color w:val="231F20"/>
          <w:w w:val="105"/>
        </w:rPr>
        <w:t>oggi incapace</w:t>
      </w:r>
      <w:r>
        <w:rPr>
          <w:color w:val="231F20"/>
          <w:spacing w:val="-41"/>
          <w:w w:val="105"/>
        </w:rPr>
        <w:t> </w:t>
      </w:r>
      <w:r>
        <w:rPr>
          <w:color w:val="231F20"/>
          <w:w w:val="105"/>
        </w:rPr>
        <w:t>di</w:t>
      </w:r>
      <w:r>
        <w:rPr>
          <w:color w:val="231F20"/>
          <w:spacing w:val="-41"/>
          <w:w w:val="105"/>
        </w:rPr>
        <w:t> </w:t>
      </w:r>
      <w:r>
        <w:rPr>
          <w:color w:val="231F20"/>
          <w:w w:val="105"/>
        </w:rPr>
        <w:t>rispondere</w:t>
      </w:r>
      <w:r>
        <w:rPr>
          <w:color w:val="231F20"/>
          <w:spacing w:val="-41"/>
          <w:w w:val="105"/>
        </w:rPr>
        <w:t> </w:t>
      </w:r>
      <w:r>
        <w:rPr>
          <w:color w:val="231F20"/>
          <w:w w:val="105"/>
        </w:rPr>
        <w:t>alla</w:t>
      </w:r>
      <w:r>
        <w:rPr>
          <w:color w:val="231F20"/>
          <w:spacing w:val="-41"/>
          <w:w w:val="105"/>
        </w:rPr>
        <w:t> </w:t>
      </w:r>
      <w:r>
        <w:rPr>
          <w:color w:val="231F20"/>
          <w:w w:val="105"/>
        </w:rPr>
        <w:t>sfida</w:t>
      </w:r>
      <w:r>
        <w:rPr>
          <w:color w:val="231F20"/>
          <w:spacing w:val="-41"/>
          <w:w w:val="105"/>
        </w:rPr>
        <w:t> </w:t>
      </w:r>
      <w:r>
        <w:rPr>
          <w:color w:val="231F20"/>
          <w:w w:val="105"/>
        </w:rPr>
        <w:t>lanciata</w:t>
      </w:r>
      <w:r>
        <w:rPr>
          <w:color w:val="231F20"/>
          <w:spacing w:val="-41"/>
          <w:w w:val="105"/>
        </w:rPr>
        <w:t> </w:t>
      </w:r>
      <w:r>
        <w:rPr>
          <w:color w:val="231F20"/>
          <w:w w:val="105"/>
        </w:rPr>
        <w:t>da</w:t>
      </w:r>
      <w:r>
        <w:rPr>
          <w:color w:val="231F20"/>
          <w:spacing w:val="-41"/>
          <w:w w:val="105"/>
        </w:rPr>
        <w:t> </w:t>
      </w:r>
      <w:r>
        <w:rPr>
          <w:color w:val="231F20"/>
          <w:w w:val="105"/>
        </w:rPr>
        <w:t>una</w:t>
      </w:r>
      <w:r>
        <w:rPr>
          <w:color w:val="231F20"/>
          <w:spacing w:val="-41"/>
          <w:w w:val="105"/>
        </w:rPr>
        <w:t> </w:t>
      </w:r>
      <w:r>
        <w:rPr>
          <w:color w:val="231F20"/>
          <w:w w:val="105"/>
        </w:rPr>
        <w:t>pluralità</w:t>
      </w:r>
      <w:r>
        <w:rPr>
          <w:color w:val="231F20"/>
          <w:spacing w:val="-41"/>
          <w:w w:val="105"/>
        </w:rPr>
        <w:t> </w:t>
      </w:r>
      <w:r>
        <w:rPr>
          <w:color w:val="231F20"/>
          <w:w w:val="105"/>
        </w:rPr>
        <w:t>di</w:t>
      </w:r>
      <w:r>
        <w:rPr>
          <w:color w:val="231F20"/>
          <w:spacing w:val="-41"/>
          <w:w w:val="105"/>
        </w:rPr>
        <w:t> </w:t>
      </w:r>
      <w:r>
        <w:rPr>
          <w:color w:val="231F20"/>
          <w:w w:val="105"/>
        </w:rPr>
        <w:t>fonti</w:t>
      </w:r>
      <w:r>
        <w:rPr>
          <w:color w:val="231F20"/>
          <w:spacing w:val="-41"/>
          <w:w w:val="105"/>
        </w:rPr>
        <w:t> </w:t>
      </w:r>
      <w:r>
        <w:rPr>
          <w:color w:val="231F20"/>
          <w:w w:val="105"/>
        </w:rPr>
        <w:t>normative, </w:t>
      </w:r>
      <w:r>
        <w:rPr>
          <w:color w:val="231F20"/>
          <w:spacing w:val="3"/>
          <w:w w:val="105"/>
        </w:rPr>
        <w:t>mettendo </w:t>
      </w:r>
      <w:r>
        <w:rPr>
          <w:color w:val="231F20"/>
          <w:w w:val="105"/>
        </w:rPr>
        <w:t>in </w:t>
      </w:r>
      <w:r>
        <w:rPr>
          <w:color w:val="231F20"/>
          <w:spacing w:val="3"/>
          <w:w w:val="105"/>
        </w:rPr>
        <w:t>discussione </w:t>
      </w:r>
      <w:r>
        <w:rPr>
          <w:color w:val="231F20"/>
          <w:w w:val="105"/>
        </w:rPr>
        <w:t>la </w:t>
      </w:r>
      <w:r>
        <w:rPr>
          <w:color w:val="231F20"/>
          <w:spacing w:val="2"/>
          <w:w w:val="105"/>
        </w:rPr>
        <w:t>propria </w:t>
      </w:r>
      <w:r>
        <w:rPr>
          <w:color w:val="231F20"/>
          <w:spacing w:val="3"/>
          <w:w w:val="105"/>
        </w:rPr>
        <w:t>storia. </w:t>
      </w:r>
      <w:r>
        <w:rPr>
          <w:color w:val="231F20"/>
          <w:w w:val="105"/>
        </w:rPr>
        <w:t>Lo </w:t>
      </w:r>
      <w:r>
        <w:rPr>
          <w:color w:val="231F20"/>
          <w:spacing w:val="3"/>
          <w:w w:val="105"/>
        </w:rPr>
        <w:t>Stato, infatti, </w:t>
      </w:r>
      <w:r>
        <w:rPr>
          <w:color w:val="231F20"/>
          <w:w w:val="105"/>
        </w:rPr>
        <w:t>ha </w:t>
      </w:r>
      <w:r>
        <w:rPr>
          <w:color w:val="231F20"/>
          <w:spacing w:val="3"/>
          <w:w w:val="105"/>
        </w:rPr>
        <w:t>potuto </w:t>
      </w:r>
      <w:r>
        <w:rPr>
          <w:color w:val="231F20"/>
          <w:w w:val="105"/>
        </w:rPr>
        <w:t>appropriarsi</w:t>
      </w:r>
      <w:r>
        <w:rPr>
          <w:color w:val="231F20"/>
          <w:spacing w:val="-8"/>
          <w:w w:val="105"/>
        </w:rPr>
        <w:t> </w:t>
      </w:r>
      <w:r>
        <w:rPr>
          <w:color w:val="231F20"/>
          <w:w w:val="105"/>
        </w:rPr>
        <w:t>della</w:t>
      </w:r>
      <w:r>
        <w:rPr>
          <w:color w:val="231F20"/>
          <w:spacing w:val="-8"/>
          <w:w w:val="105"/>
        </w:rPr>
        <w:t> </w:t>
      </w:r>
      <w:r>
        <w:rPr>
          <w:color w:val="231F20"/>
          <w:w w:val="105"/>
        </w:rPr>
        <w:t>sovranità</w:t>
      </w:r>
      <w:r>
        <w:rPr>
          <w:color w:val="231F20"/>
          <w:spacing w:val="-8"/>
          <w:w w:val="105"/>
        </w:rPr>
        <w:t> </w:t>
      </w:r>
      <w:r>
        <w:rPr>
          <w:color w:val="231F20"/>
          <w:w w:val="105"/>
        </w:rPr>
        <w:t>affermandosi</w:t>
      </w:r>
      <w:r>
        <w:rPr>
          <w:color w:val="231F20"/>
          <w:spacing w:val="-8"/>
          <w:w w:val="105"/>
        </w:rPr>
        <w:t> </w:t>
      </w:r>
      <w:r>
        <w:rPr>
          <w:color w:val="231F20"/>
          <w:w w:val="105"/>
        </w:rPr>
        <w:t>come</w:t>
      </w:r>
      <w:r>
        <w:rPr>
          <w:color w:val="231F20"/>
          <w:spacing w:val="-8"/>
          <w:w w:val="105"/>
        </w:rPr>
        <w:t> </w:t>
      </w:r>
      <w:r>
        <w:rPr>
          <w:color w:val="231F20"/>
          <w:w w:val="105"/>
        </w:rPr>
        <w:t>unico</w:t>
      </w:r>
      <w:r>
        <w:rPr>
          <w:color w:val="231F20"/>
          <w:spacing w:val="-8"/>
          <w:w w:val="105"/>
        </w:rPr>
        <w:t> </w:t>
      </w:r>
      <w:r>
        <w:rPr>
          <w:color w:val="231F20"/>
          <w:w w:val="105"/>
        </w:rPr>
        <w:t>fattore</w:t>
      </w:r>
      <w:r>
        <w:rPr>
          <w:color w:val="231F20"/>
          <w:spacing w:val="-8"/>
          <w:w w:val="105"/>
        </w:rPr>
        <w:t> </w:t>
      </w:r>
      <w:r>
        <w:rPr>
          <w:color w:val="231F20"/>
          <w:w w:val="105"/>
        </w:rPr>
        <w:t>d’ordine</w:t>
      </w:r>
      <w:r>
        <w:rPr>
          <w:color w:val="231F20"/>
          <w:spacing w:val="-8"/>
          <w:w w:val="105"/>
        </w:rPr>
        <w:t> </w:t>
      </w:r>
      <w:r>
        <w:rPr>
          <w:color w:val="231F20"/>
          <w:w w:val="105"/>
        </w:rPr>
        <w:t>in grado</w:t>
      </w:r>
      <w:r>
        <w:rPr>
          <w:color w:val="231F20"/>
          <w:spacing w:val="-28"/>
          <w:w w:val="105"/>
        </w:rPr>
        <w:t> </w:t>
      </w:r>
      <w:r>
        <w:rPr>
          <w:color w:val="231F20"/>
          <w:w w:val="105"/>
        </w:rPr>
        <w:t>di</w:t>
      </w:r>
      <w:r>
        <w:rPr>
          <w:color w:val="231F20"/>
          <w:spacing w:val="-28"/>
          <w:w w:val="105"/>
        </w:rPr>
        <w:t> </w:t>
      </w:r>
      <w:r>
        <w:rPr>
          <w:color w:val="231F20"/>
          <w:w w:val="105"/>
        </w:rPr>
        <w:t>colmare</w:t>
      </w:r>
      <w:r>
        <w:rPr>
          <w:color w:val="231F20"/>
          <w:spacing w:val="-28"/>
          <w:w w:val="105"/>
        </w:rPr>
        <w:t> </w:t>
      </w:r>
      <w:r>
        <w:rPr>
          <w:color w:val="231F20"/>
          <w:w w:val="105"/>
        </w:rPr>
        <w:t>il</w:t>
      </w:r>
      <w:r>
        <w:rPr>
          <w:color w:val="231F20"/>
          <w:spacing w:val="-28"/>
          <w:w w:val="105"/>
        </w:rPr>
        <w:t> </w:t>
      </w:r>
      <w:r>
        <w:rPr>
          <w:color w:val="231F20"/>
          <w:w w:val="105"/>
        </w:rPr>
        <w:t>“vuoto</w:t>
      </w:r>
      <w:r>
        <w:rPr>
          <w:color w:val="231F20"/>
          <w:spacing w:val="-28"/>
          <w:w w:val="105"/>
        </w:rPr>
        <w:t> </w:t>
      </w:r>
      <w:r>
        <w:rPr>
          <w:color w:val="231F20"/>
          <w:w w:val="105"/>
        </w:rPr>
        <w:t>normativo”</w:t>
      </w:r>
      <w:r>
        <w:rPr>
          <w:color w:val="231F20"/>
          <w:spacing w:val="-28"/>
          <w:w w:val="105"/>
        </w:rPr>
        <w:t> </w:t>
      </w:r>
      <w:r>
        <w:rPr>
          <w:color w:val="231F20"/>
          <w:w w:val="105"/>
        </w:rPr>
        <w:t>che</w:t>
      </w:r>
      <w:r>
        <w:rPr>
          <w:color w:val="231F20"/>
          <w:spacing w:val="-28"/>
          <w:w w:val="105"/>
        </w:rPr>
        <w:t> </w:t>
      </w:r>
      <w:r>
        <w:rPr>
          <w:color w:val="231F20"/>
          <w:w w:val="105"/>
        </w:rPr>
        <w:t>sembrava</w:t>
      </w:r>
      <w:r>
        <w:rPr>
          <w:color w:val="231F20"/>
          <w:spacing w:val="-28"/>
          <w:w w:val="105"/>
        </w:rPr>
        <w:t> </w:t>
      </w:r>
      <w:r>
        <w:rPr>
          <w:color w:val="231F20"/>
          <w:w w:val="105"/>
        </w:rPr>
        <w:t>altrimenti</w:t>
      </w:r>
      <w:r>
        <w:rPr>
          <w:color w:val="231F20"/>
          <w:spacing w:val="-28"/>
          <w:w w:val="105"/>
        </w:rPr>
        <w:t> </w:t>
      </w:r>
      <w:r>
        <w:rPr>
          <w:color w:val="231F20"/>
          <w:w w:val="105"/>
        </w:rPr>
        <w:t>minacciare le</w:t>
      </w:r>
      <w:r>
        <w:rPr>
          <w:color w:val="231F20"/>
          <w:spacing w:val="-22"/>
          <w:w w:val="105"/>
        </w:rPr>
        <w:t> </w:t>
      </w:r>
      <w:r>
        <w:rPr>
          <w:color w:val="231F20"/>
          <w:w w:val="105"/>
        </w:rPr>
        <w:t>relazioni</w:t>
      </w:r>
      <w:r>
        <w:rPr>
          <w:color w:val="231F20"/>
          <w:spacing w:val="-22"/>
          <w:w w:val="105"/>
        </w:rPr>
        <w:t> </w:t>
      </w:r>
      <w:r>
        <w:rPr>
          <w:color w:val="231F20"/>
          <w:w w:val="105"/>
        </w:rPr>
        <w:t>pubbliche.</w:t>
      </w:r>
      <w:r>
        <w:rPr>
          <w:color w:val="231F20"/>
          <w:spacing w:val="-22"/>
          <w:w w:val="105"/>
        </w:rPr>
        <w:t> </w:t>
      </w:r>
      <w:r>
        <w:rPr>
          <w:color w:val="231F20"/>
          <w:w w:val="105"/>
        </w:rPr>
        <w:t>Esso</w:t>
      </w:r>
      <w:r>
        <w:rPr>
          <w:color w:val="231F20"/>
          <w:spacing w:val="-22"/>
          <w:w w:val="105"/>
        </w:rPr>
        <w:t> </w:t>
      </w:r>
      <w:r>
        <w:rPr>
          <w:color w:val="231F20"/>
          <w:w w:val="105"/>
        </w:rPr>
        <w:t>era</w:t>
      </w:r>
      <w:r>
        <w:rPr>
          <w:color w:val="231F20"/>
          <w:spacing w:val="-22"/>
          <w:w w:val="105"/>
        </w:rPr>
        <w:t> </w:t>
      </w:r>
      <w:r>
        <w:rPr>
          <w:color w:val="231F20"/>
          <w:w w:val="105"/>
        </w:rPr>
        <w:t>così</w:t>
      </w:r>
      <w:r>
        <w:rPr>
          <w:color w:val="231F20"/>
          <w:spacing w:val="-22"/>
          <w:w w:val="105"/>
        </w:rPr>
        <w:t> </w:t>
      </w:r>
      <w:r>
        <w:rPr>
          <w:color w:val="231F20"/>
          <w:w w:val="105"/>
        </w:rPr>
        <w:t>l’unico</w:t>
      </w:r>
      <w:r>
        <w:rPr>
          <w:color w:val="231F20"/>
          <w:spacing w:val="-22"/>
          <w:w w:val="105"/>
        </w:rPr>
        <w:t> </w:t>
      </w:r>
      <w:r>
        <w:rPr>
          <w:color w:val="231F20"/>
          <w:w w:val="105"/>
        </w:rPr>
        <w:t>garante</w:t>
      </w:r>
      <w:r>
        <w:rPr>
          <w:color w:val="231F20"/>
          <w:spacing w:val="-22"/>
          <w:w w:val="105"/>
        </w:rPr>
        <w:t> </w:t>
      </w:r>
      <w:r>
        <w:rPr>
          <w:color w:val="231F20"/>
          <w:w w:val="105"/>
        </w:rPr>
        <w:t>di</w:t>
      </w:r>
      <w:r>
        <w:rPr>
          <w:color w:val="231F20"/>
          <w:spacing w:val="-22"/>
          <w:w w:val="105"/>
        </w:rPr>
        <w:t> </w:t>
      </w:r>
      <w:r>
        <w:rPr>
          <w:color w:val="231F20"/>
          <w:w w:val="105"/>
        </w:rPr>
        <w:t>un</w:t>
      </w:r>
      <w:r>
        <w:rPr>
          <w:color w:val="231F20"/>
          <w:spacing w:val="-22"/>
          <w:w w:val="105"/>
        </w:rPr>
        <w:t> </w:t>
      </w:r>
      <w:r>
        <w:rPr>
          <w:color w:val="231F20"/>
          <w:w w:val="105"/>
        </w:rPr>
        <w:t>ordine</w:t>
      </w:r>
      <w:r>
        <w:rPr>
          <w:color w:val="231F20"/>
          <w:spacing w:val="-22"/>
          <w:w w:val="105"/>
        </w:rPr>
        <w:t> </w:t>
      </w:r>
      <w:r>
        <w:rPr>
          <w:color w:val="231F20"/>
          <w:w w:val="105"/>
        </w:rPr>
        <w:t>altrimenti inesistente</w:t>
      </w:r>
      <w:r>
        <w:rPr>
          <w:color w:val="231F20"/>
          <w:spacing w:val="-15"/>
          <w:w w:val="105"/>
        </w:rPr>
        <w:t> </w:t>
      </w:r>
      <w:r>
        <w:rPr>
          <w:color w:val="231F20"/>
          <w:w w:val="105"/>
        </w:rPr>
        <w:t>e</w:t>
      </w:r>
      <w:r>
        <w:rPr>
          <w:color w:val="231F20"/>
          <w:spacing w:val="-15"/>
          <w:w w:val="105"/>
        </w:rPr>
        <w:t> </w:t>
      </w:r>
      <w:r>
        <w:rPr>
          <w:color w:val="231F20"/>
          <w:w w:val="105"/>
        </w:rPr>
        <w:t>la</w:t>
      </w:r>
      <w:r>
        <w:rPr>
          <w:color w:val="231F20"/>
          <w:spacing w:val="-15"/>
          <w:w w:val="105"/>
        </w:rPr>
        <w:t> </w:t>
      </w:r>
      <w:r>
        <w:rPr>
          <w:color w:val="231F20"/>
          <w:w w:val="105"/>
        </w:rPr>
        <w:t>sovranità</w:t>
      </w:r>
      <w:r>
        <w:rPr>
          <w:color w:val="231F20"/>
          <w:spacing w:val="-15"/>
          <w:w w:val="105"/>
        </w:rPr>
        <w:t> </w:t>
      </w:r>
      <w:r>
        <w:rPr>
          <w:color w:val="231F20"/>
          <w:w w:val="105"/>
        </w:rPr>
        <w:t>riassumeva</w:t>
      </w:r>
      <w:r>
        <w:rPr>
          <w:color w:val="231F20"/>
          <w:spacing w:val="-15"/>
          <w:w w:val="105"/>
        </w:rPr>
        <w:t> </w:t>
      </w:r>
      <w:r>
        <w:rPr>
          <w:color w:val="231F20"/>
          <w:w w:val="105"/>
        </w:rPr>
        <w:t>le</w:t>
      </w:r>
      <w:r>
        <w:rPr>
          <w:color w:val="231F20"/>
          <w:spacing w:val="-15"/>
          <w:w w:val="105"/>
        </w:rPr>
        <w:t> </w:t>
      </w:r>
      <w:r>
        <w:rPr>
          <w:color w:val="231F20"/>
          <w:w w:val="105"/>
        </w:rPr>
        <w:t>condizioni</w:t>
      </w:r>
      <w:r>
        <w:rPr>
          <w:color w:val="231F20"/>
          <w:spacing w:val="-15"/>
          <w:w w:val="105"/>
        </w:rPr>
        <w:t> </w:t>
      </w:r>
      <w:r>
        <w:rPr>
          <w:color w:val="231F20"/>
          <w:w w:val="105"/>
        </w:rPr>
        <w:t>di</w:t>
      </w:r>
      <w:r>
        <w:rPr>
          <w:color w:val="231F20"/>
          <w:spacing w:val="-15"/>
          <w:w w:val="105"/>
        </w:rPr>
        <w:t> </w:t>
      </w:r>
      <w:r>
        <w:rPr>
          <w:color w:val="231F20"/>
          <w:w w:val="105"/>
        </w:rPr>
        <w:t>possibilità</w:t>
      </w:r>
      <w:r>
        <w:rPr>
          <w:color w:val="231F20"/>
          <w:spacing w:val="-15"/>
          <w:w w:val="105"/>
        </w:rPr>
        <w:t> </w:t>
      </w:r>
      <w:r>
        <w:rPr>
          <w:color w:val="231F20"/>
          <w:w w:val="105"/>
        </w:rPr>
        <w:t>di</w:t>
      </w:r>
      <w:r>
        <w:rPr>
          <w:color w:val="231F20"/>
          <w:spacing w:val="-15"/>
          <w:w w:val="105"/>
        </w:rPr>
        <w:t> </w:t>
      </w:r>
      <w:r>
        <w:rPr>
          <w:color w:val="231F20"/>
          <w:w w:val="105"/>
        </w:rPr>
        <w:t>questo </w:t>
      </w:r>
      <w:r>
        <w:rPr>
          <w:color w:val="231F20"/>
          <w:spacing w:val="-3"/>
        </w:rPr>
        <w:t>ordine.</w:t>
      </w:r>
      <w:r>
        <w:rPr>
          <w:color w:val="231F20"/>
          <w:spacing w:val="-24"/>
        </w:rPr>
        <w:t> </w:t>
      </w:r>
      <w:r>
        <w:rPr>
          <w:color w:val="231F20"/>
        </w:rPr>
        <w:t>La</w:t>
      </w:r>
      <w:r>
        <w:rPr>
          <w:color w:val="231F20"/>
          <w:spacing w:val="-24"/>
        </w:rPr>
        <w:t> </w:t>
      </w:r>
      <w:r>
        <w:rPr>
          <w:color w:val="231F20"/>
        </w:rPr>
        <w:t>tendenziale</w:t>
      </w:r>
      <w:r>
        <w:rPr>
          <w:color w:val="231F20"/>
          <w:spacing w:val="-24"/>
        </w:rPr>
        <w:t> </w:t>
      </w:r>
      <w:r>
        <w:rPr>
          <w:color w:val="231F20"/>
        </w:rPr>
        <w:t>disgiunzione</w:t>
      </w:r>
      <w:r>
        <w:rPr>
          <w:color w:val="231F20"/>
          <w:spacing w:val="-24"/>
        </w:rPr>
        <w:t> </w:t>
      </w:r>
      <w:r>
        <w:rPr>
          <w:color w:val="231F20"/>
        </w:rPr>
        <w:t>tra</w:t>
      </w:r>
      <w:r>
        <w:rPr>
          <w:color w:val="231F20"/>
          <w:spacing w:val="-24"/>
        </w:rPr>
        <w:t> </w:t>
      </w:r>
      <w:r>
        <w:rPr>
          <w:color w:val="231F20"/>
        </w:rPr>
        <w:t>Stato</w:t>
      </w:r>
      <w:r>
        <w:rPr>
          <w:color w:val="231F20"/>
          <w:spacing w:val="-24"/>
        </w:rPr>
        <w:t> </w:t>
      </w:r>
      <w:r>
        <w:rPr>
          <w:color w:val="231F20"/>
        </w:rPr>
        <w:t>e</w:t>
      </w:r>
      <w:r>
        <w:rPr>
          <w:color w:val="231F20"/>
          <w:spacing w:val="-24"/>
        </w:rPr>
        <w:t> </w:t>
      </w:r>
      <w:r>
        <w:rPr>
          <w:color w:val="231F20"/>
        </w:rPr>
        <w:t>sovranità</w:t>
      </w:r>
      <w:r>
        <w:rPr>
          <w:color w:val="231F20"/>
          <w:spacing w:val="-24"/>
        </w:rPr>
        <w:t> </w:t>
      </w:r>
      <w:r>
        <w:rPr>
          <w:color w:val="231F20"/>
        </w:rPr>
        <w:t>mette</w:t>
      </w:r>
      <w:r>
        <w:rPr>
          <w:color w:val="231F20"/>
          <w:spacing w:val="-24"/>
        </w:rPr>
        <w:t> </w:t>
      </w:r>
      <w:r>
        <w:rPr>
          <w:color w:val="231F20"/>
        </w:rPr>
        <w:t>in</w:t>
      </w:r>
      <w:r>
        <w:rPr>
          <w:color w:val="231F20"/>
          <w:spacing w:val="-24"/>
        </w:rPr>
        <w:t> </w:t>
      </w:r>
      <w:r>
        <w:rPr>
          <w:color w:val="231F20"/>
        </w:rPr>
        <w:t>discussione </w:t>
      </w:r>
      <w:r>
        <w:rPr>
          <w:color w:val="231F20"/>
          <w:w w:val="105"/>
        </w:rPr>
        <w:t>la </w:t>
      </w:r>
      <w:r>
        <w:rPr>
          <w:color w:val="231F20"/>
          <w:spacing w:val="2"/>
          <w:w w:val="105"/>
        </w:rPr>
        <w:t>pretesa </w:t>
      </w:r>
      <w:r>
        <w:rPr>
          <w:color w:val="231F20"/>
          <w:w w:val="105"/>
        </w:rPr>
        <w:t>di </w:t>
      </w:r>
      <w:r>
        <w:rPr>
          <w:color w:val="231F20"/>
          <w:spacing w:val="2"/>
          <w:w w:val="105"/>
        </w:rPr>
        <w:t>fondare </w:t>
      </w:r>
      <w:r>
        <w:rPr>
          <w:color w:val="231F20"/>
          <w:w w:val="105"/>
        </w:rPr>
        <w:t>un </w:t>
      </w:r>
      <w:r>
        <w:rPr>
          <w:color w:val="231F20"/>
          <w:spacing w:val="2"/>
          <w:w w:val="105"/>
        </w:rPr>
        <w:t>ordine </w:t>
      </w:r>
      <w:r>
        <w:rPr>
          <w:color w:val="231F20"/>
          <w:spacing w:val="3"/>
          <w:w w:val="105"/>
        </w:rPr>
        <w:t>razionale potenzialmente universale</w:t>
      </w:r>
      <w:r>
        <w:rPr>
          <w:color w:val="231F20"/>
          <w:spacing w:val="3"/>
          <w:w w:val="105"/>
          <w:position w:val="7"/>
          <w:sz w:val="12"/>
        </w:rPr>
        <w:t>2</w:t>
      </w:r>
      <w:r>
        <w:rPr>
          <w:color w:val="231F20"/>
          <w:spacing w:val="3"/>
          <w:w w:val="105"/>
        </w:rPr>
        <w:t>. </w:t>
      </w:r>
      <w:r>
        <w:rPr>
          <w:color w:val="231F20"/>
          <w:w w:val="105"/>
        </w:rPr>
        <w:t>All’interno</w:t>
      </w:r>
      <w:r>
        <w:rPr>
          <w:color w:val="231F20"/>
          <w:spacing w:val="-32"/>
          <w:w w:val="105"/>
        </w:rPr>
        <w:t> </w:t>
      </w:r>
      <w:r>
        <w:rPr>
          <w:color w:val="231F20"/>
          <w:w w:val="105"/>
        </w:rPr>
        <w:t>di</w:t>
      </w:r>
      <w:r>
        <w:rPr>
          <w:color w:val="231F20"/>
          <w:spacing w:val="-32"/>
          <w:w w:val="105"/>
        </w:rPr>
        <w:t> </w:t>
      </w:r>
      <w:r>
        <w:rPr>
          <w:color w:val="231F20"/>
          <w:w w:val="105"/>
        </w:rPr>
        <w:t>questo</w:t>
      </w:r>
      <w:r>
        <w:rPr>
          <w:color w:val="231F20"/>
          <w:spacing w:val="-32"/>
          <w:w w:val="105"/>
        </w:rPr>
        <w:t> </w:t>
      </w:r>
      <w:r>
        <w:rPr>
          <w:color w:val="231F20"/>
          <w:w w:val="105"/>
        </w:rPr>
        <w:t>ordine</w:t>
      </w:r>
      <w:r>
        <w:rPr>
          <w:color w:val="231F20"/>
          <w:spacing w:val="-32"/>
          <w:w w:val="105"/>
        </w:rPr>
        <w:t> </w:t>
      </w:r>
      <w:r>
        <w:rPr>
          <w:color w:val="231F20"/>
          <w:w w:val="105"/>
        </w:rPr>
        <w:t>politico</w:t>
      </w:r>
      <w:r>
        <w:rPr>
          <w:color w:val="231F20"/>
          <w:spacing w:val="-32"/>
          <w:w w:val="105"/>
        </w:rPr>
        <w:t> </w:t>
      </w:r>
      <w:r>
        <w:rPr>
          <w:color w:val="231F20"/>
          <w:w w:val="105"/>
        </w:rPr>
        <w:t>il</w:t>
      </w:r>
      <w:r>
        <w:rPr>
          <w:color w:val="231F20"/>
          <w:spacing w:val="-32"/>
          <w:w w:val="105"/>
        </w:rPr>
        <w:t> </w:t>
      </w:r>
      <w:r>
        <w:rPr>
          <w:color w:val="231F20"/>
          <w:w w:val="105"/>
        </w:rPr>
        <w:t>presupposto</w:t>
      </w:r>
      <w:r>
        <w:rPr>
          <w:color w:val="231F20"/>
          <w:spacing w:val="-32"/>
          <w:w w:val="105"/>
        </w:rPr>
        <w:t> </w:t>
      </w:r>
      <w:r>
        <w:rPr>
          <w:color w:val="231F20"/>
          <w:w w:val="105"/>
        </w:rPr>
        <w:t>della</w:t>
      </w:r>
      <w:r>
        <w:rPr>
          <w:color w:val="231F20"/>
          <w:spacing w:val="-32"/>
          <w:w w:val="105"/>
        </w:rPr>
        <w:t> </w:t>
      </w:r>
      <w:r>
        <w:rPr>
          <w:color w:val="231F20"/>
          <w:w w:val="105"/>
        </w:rPr>
        <w:t>sovranità</w:t>
      </w:r>
      <w:r>
        <w:rPr>
          <w:color w:val="231F20"/>
          <w:spacing w:val="-32"/>
          <w:w w:val="105"/>
        </w:rPr>
        <w:t> </w:t>
      </w:r>
      <w:r>
        <w:rPr>
          <w:color w:val="231F20"/>
          <w:w w:val="105"/>
        </w:rPr>
        <w:t>aveva</w:t>
      </w:r>
      <w:r>
        <w:rPr>
          <w:color w:val="231F20"/>
          <w:spacing w:val="-32"/>
          <w:w w:val="105"/>
        </w:rPr>
        <w:t> </w:t>
      </w:r>
      <w:r>
        <w:rPr>
          <w:color w:val="231F20"/>
          <w:w w:val="105"/>
        </w:rPr>
        <w:t>un </w:t>
      </w:r>
      <w:r>
        <w:rPr>
          <w:color w:val="231F20"/>
          <w:spacing w:val="-4"/>
          <w:w w:val="105"/>
        </w:rPr>
        <w:t>carattere</w:t>
      </w:r>
      <w:r>
        <w:rPr>
          <w:color w:val="231F20"/>
          <w:spacing w:val="-48"/>
          <w:w w:val="105"/>
        </w:rPr>
        <w:t> </w:t>
      </w:r>
      <w:r>
        <w:rPr>
          <w:color w:val="231F20"/>
          <w:spacing w:val="-3"/>
          <w:w w:val="105"/>
        </w:rPr>
        <w:t>allo</w:t>
      </w:r>
      <w:r>
        <w:rPr>
          <w:color w:val="231F20"/>
          <w:spacing w:val="-48"/>
          <w:w w:val="105"/>
        </w:rPr>
        <w:t> </w:t>
      </w:r>
      <w:r>
        <w:rPr>
          <w:color w:val="231F20"/>
          <w:spacing w:val="-3"/>
          <w:w w:val="105"/>
        </w:rPr>
        <w:t>stesso</w:t>
      </w:r>
      <w:r>
        <w:rPr>
          <w:color w:val="231F20"/>
          <w:spacing w:val="-48"/>
          <w:w w:val="105"/>
        </w:rPr>
        <w:t> </w:t>
      </w:r>
      <w:r>
        <w:rPr>
          <w:color w:val="231F20"/>
          <w:spacing w:val="-3"/>
          <w:w w:val="105"/>
        </w:rPr>
        <w:t>tempo</w:t>
      </w:r>
      <w:r>
        <w:rPr>
          <w:color w:val="231F20"/>
          <w:spacing w:val="-48"/>
          <w:w w:val="105"/>
        </w:rPr>
        <w:t> </w:t>
      </w:r>
      <w:r>
        <w:rPr>
          <w:color w:val="231F20"/>
          <w:spacing w:val="-3"/>
          <w:w w:val="105"/>
        </w:rPr>
        <w:t>assoluto</w:t>
      </w:r>
      <w:r>
        <w:rPr>
          <w:color w:val="231F20"/>
          <w:spacing w:val="-48"/>
          <w:w w:val="105"/>
        </w:rPr>
        <w:t> </w:t>
      </w:r>
      <w:r>
        <w:rPr>
          <w:color w:val="231F20"/>
          <w:w w:val="105"/>
        </w:rPr>
        <w:t>e</w:t>
      </w:r>
      <w:r>
        <w:rPr>
          <w:color w:val="231F20"/>
          <w:spacing w:val="-48"/>
          <w:w w:val="105"/>
        </w:rPr>
        <w:t> </w:t>
      </w:r>
      <w:r>
        <w:rPr>
          <w:color w:val="231F20"/>
          <w:spacing w:val="-3"/>
          <w:w w:val="105"/>
        </w:rPr>
        <w:t>confinato:</w:t>
      </w:r>
      <w:r>
        <w:rPr>
          <w:color w:val="231F20"/>
          <w:spacing w:val="-48"/>
          <w:w w:val="105"/>
        </w:rPr>
        <w:t> </w:t>
      </w:r>
      <w:r>
        <w:rPr>
          <w:color w:val="231F20"/>
          <w:spacing w:val="-3"/>
          <w:w w:val="105"/>
        </w:rPr>
        <w:t>essa</w:t>
      </w:r>
      <w:r>
        <w:rPr>
          <w:color w:val="231F20"/>
          <w:spacing w:val="-48"/>
          <w:w w:val="105"/>
        </w:rPr>
        <w:t> </w:t>
      </w:r>
      <w:r>
        <w:rPr>
          <w:color w:val="231F20"/>
          <w:w w:val="105"/>
        </w:rPr>
        <w:t>non</w:t>
      </w:r>
      <w:r>
        <w:rPr>
          <w:color w:val="231F20"/>
          <w:spacing w:val="-48"/>
          <w:w w:val="105"/>
        </w:rPr>
        <w:t> </w:t>
      </w:r>
      <w:r>
        <w:rPr>
          <w:color w:val="231F20"/>
          <w:spacing w:val="-3"/>
          <w:w w:val="105"/>
        </w:rPr>
        <w:t>doveva</w:t>
      </w:r>
      <w:r>
        <w:rPr>
          <w:color w:val="231F20"/>
          <w:spacing w:val="-48"/>
          <w:w w:val="105"/>
        </w:rPr>
        <w:t> </w:t>
      </w:r>
      <w:r>
        <w:rPr>
          <w:color w:val="231F20"/>
          <w:spacing w:val="-4"/>
          <w:w w:val="105"/>
        </w:rPr>
        <w:t>avere</w:t>
      </w:r>
      <w:r>
        <w:rPr>
          <w:color w:val="231F20"/>
          <w:spacing w:val="-48"/>
          <w:w w:val="105"/>
        </w:rPr>
        <w:t> </w:t>
      </w:r>
      <w:r>
        <w:rPr>
          <w:color w:val="231F20"/>
          <w:spacing w:val="-3"/>
          <w:w w:val="105"/>
        </w:rPr>
        <w:t>limiti, </w:t>
      </w:r>
      <w:r>
        <w:rPr>
          <w:color w:val="231F20"/>
          <w:w w:val="105"/>
        </w:rPr>
        <w:t>ma</w:t>
      </w:r>
      <w:r>
        <w:rPr>
          <w:color w:val="231F20"/>
          <w:spacing w:val="-52"/>
          <w:w w:val="105"/>
        </w:rPr>
        <w:t> </w:t>
      </w:r>
      <w:r>
        <w:rPr>
          <w:color w:val="231F20"/>
          <w:w w:val="105"/>
        </w:rPr>
        <w:t>poteva</w:t>
      </w:r>
      <w:r>
        <w:rPr>
          <w:color w:val="231F20"/>
          <w:spacing w:val="-52"/>
          <w:w w:val="105"/>
        </w:rPr>
        <w:t> </w:t>
      </w:r>
      <w:r>
        <w:rPr>
          <w:color w:val="231F20"/>
          <w:w w:val="105"/>
        </w:rPr>
        <w:t>essere</w:t>
      </w:r>
      <w:r>
        <w:rPr>
          <w:color w:val="231F20"/>
          <w:spacing w:val="-52"/>
          <w:w w:val="105"/>
        </w:rPr>
        <w:t> </w:t>
      </w:r>
      <w:r>
        <w:rPr>
          <w:color w:val="231F20"/>
          <w:w w:val="105"/>
        </w:rPr>
        <w:t>esercitata</w:t>
      </w:r>
      <w:r>
        <w:rPr>
          <w:color w:val="231F20"/>
          <w:spacing w:val="-52"/>
          <w:w w:val="105"/>
        </w:rPr>
        <w:t> </w:t>
      </w:r>
      <w:r>
        <w:rPr>
          <w:color w:val="231F20"/>
          <w:w w:val="105"/>
        </w:rPr>
        <w:t>solo</w:t>
      </w:r>
      <w:r>
        <w:rPr>
          <w:color w:val="231F20"/>
          <w:spacing w:val="-52"/>
          <w:w w:val="105"/>
        </w:rPr>
        <w:t> </w:t>
      </w:r>
      <w:r>
        <w:rPr>
          <w:color w:val="231F20"/>
          <w:w w:val="105"/>
        </w:rPr>
        <w:t>dentro</w:t>
      </w:r>
      <w:r>
        <w:rPr>
          <w:color w:val="231F20"/>
          <w:spacing w:val="-52"/>
          <w:w w:val="105"/>
        </w:rPr>
        <w:t> </w:t>
      </w:r>
      <w:r>
        <w:rPr>
          <w:color w:val="231F20"/>
          <w:w w:val="105"/>
        </w:rPr>
        <w:t>confini</w:t>
      </w:r>
      <w:r>
        <w:rPr>
          <w:color w:val="231F20"/>
          <w:spacing w:val="-52"/>
          <w:w w:val="105"/>
        </w:rPr>
        <w:t> </w:t>
      </w:r>
      <w:r>
        <w:rPr>
          <w:color w:val="231F20"/>
          <w:w w:val="105"/>
        </w:rPr>
        <w:t>precisi</w:t>
      </w:r>
      <w:r>
        <w:rPr>
          <w:color w:val="231F20"/>
          <w:spacing w:val="-52"/>
          <w:w w:val="105"/>
        </w:rPr>
        <w:t> </w:t>
      </w:r>
      <w:r>
        <w:rPr>
          <w:color w:val="231F20"/>
          <w:w w:val="105"/>
        </w:rPr>
        <w:t>che</w:t>
      </w:r>
      <w:r>
        <w:rPr>
          <w:color w:val="231F20"/>
          <w:spacing w:val="-52"/>
          <w:w w:val="105"/>
        </w:rPr>
        <w:t> </w:t>
      </w:r>
      <w:r>
        <w:rPr>
          <w:color w:val="231F20"/>
          <w:w w:val="105"/>
        </w:rPr>
        <w:t>presupponevano </w:t>
      </w:r>
      <w:r>
        <w:rPr>
          <w:color w:val="231F20"/>
          <w:spacing w:val="-3"/>
          <w:w w:val="105"/>
        </w:rPr>
        <w:t>l’esistenza</w:t>
      </w:r>
      <w:r>
        <w:rPr>
          <w:color w:val="231F20"/>
          <w:spacing w:val="-48"/>
          <w:w w:val="105"/>
        </w:rPr>
        <w:t> </w:t>
      </w:r>
      <w:r>
        <w:rPr>
          <w:color w:val="231F20"/>
          <w:w w:val="105"/>
        </w:rPr>
        <w:t>di</w:t>
      </w:r>
      <w:r>
        <w:rPr>
          <w:color w:val="231F20"/>
          <w:spacing w:val="-48"/>
          <w:w w:val="105"/>
        </w:rPr>
        <w:t> </w:t>
      </w:r>
      <w:r>
        <w:rPr>
          <w:color w:val="231F20"/>
          <w:spacing w:val="-3"/>
          <w:w w:val="105"/>
        </w:rPr>
        <w:t>altri</w:t>
      </w:r>
      <w:r>
        <w:rPr>
          <w:color w:val="231F20"/>
          <w:spacing w:val="-48"/>
          <w:w w:val="105"/>
        </w:rPr>
        <w:t> </w:t>
      </w:r>
      <w:r>
        <w:rPr>
          <w:color w:val="231F20"/>
          <w:spacing w:val="-3"/>
          <w:w w:val="105"/>
        </w:rPr>
        <w:t>Stati</w:t>
      </w:r>
      <w:r>
        <w:rPr>
          <w:color w:val="231F20"/>
          <w:spacing w:val="-48"/>
          <w:w w:val="105"/>
        </w:rPr>
        <w:t> </w:t>
      </w:r>
      <w:r>
        <w:rPr>
          <w:color w:val="231F20"/>
          <w:spacing w:val="-3"/>
          <w:w w:val="105"/>
        </w:rPr>
        <w:t>sovrani.</w:t>
      </w:r>
      <w:r>
        <w:rPr>
          <w:color w:val="231F20"/>
          <w:spacing w:val="-48"/>
          <w:w w:val="105"/>
        </w:rPr>
        <w:t> </w:t>
      </w:r>
      <w:r>
        <w:rPr>
          <w:color w:val="231F20"/>
          <w:spacing w:val="-6"/>
          <w:w w:val="105"/>
        </w:rPr>
        <w:t>L’ordine</w:t>
      </w:r>
      <w:r>
        <w:rPr>
          <w:color w:val="231F20"/>
          <w:spacing w:val="-48"/>
          <w:w w:val="105"/>
        </w:rPr>
        <w:t> </w:t>
      </w:r>
      <w:r>
        <w:rPr>
          <w:color w:val="231F20"/>
          <w:spacing w:val="-3"/>
          <w:w w:val="105"/>
        </w:rPr>
        <w:t>sovrano</w:t>
      </w:r>
      <w:r>
        <w:rPr>
          <w:color w:val="231F20"/>
          <w:spacing w:val="-48"/>
          <w:w w:val="105"/>
        </w:rPr>
        <w:t> </w:t>
      </w:r>
      <w:r>
        <w:rPr>
          <w:color w:val="231F20"/>
          <w:w w:val="105"/>
        </w:rPr>
        <w:t>si</w:t>
      </w:r>
      <w:r>
        <w:rPr>
          <w:color w:val="231F20"/>
          <w:spacing w:val="-48"/>
          <w:w w:val="105"/>
        </w:rPr>
        <w:t> </w:t>
      </w:r>
      <w:r>
        <w:rPr>
          <w:color w:val="231F20"/>
          <w:spacing w:val="-3"/>
          <w:w w:val="105"/>
        </w:rPr>
        <w:t>fondava</w:t>
      </w:r>
      <w:r>
        <w:rPr>
          <w:color w:val="231F20"/>
          <w:spacing w:val="-48"/>
          <w:w w:val="105"/>
        </w:rPr>
        <w:t> </w:t>
      </w:r>
      <w:r>
        <w:rPr>
          <w:color w:val="231F20"/>
          <w:w w:val="105"/>
        </w:rPr>
        <w:t>di</w:t>
      </w:r>
      <w:r>
        <w:rPr>
          <w:color w:val="231F20"/>
          <w:spacing w:val="-48"/>
          <w:w w:val="105"/>
        </w:rPr>
        <w:t> </w:t>
      </w:r>
      <w:r>
        <w:rPr>
          <w:color w:val="231F20"/>
          <w:spacing w:val="-3"/>
          <w:w w:val="105"/>
        </w:rPr>
        <w:t>conseguenza</w:t>
      </w:r>
      <w:r>
        <w:rPr>
          <w:color w:val="231F20"/>
          <w:spacing w:val="-48"/>
          <w:w w:val="105"/>
        </w:rPr>
        <w:t> </w:t>
      </w:r>
      <w:r>
        <w:rPr>
          <w:color w:val="231F20"/>
          <w:spacing w:val="-3"/>
          <w:w w:val="105"/>
        </w:rPr>
        <w:t>sul presupposto</w:t>
      </w:r>
      <w:r>
        <w:rPr>
          <w:color w:val="231F20"/>
          <w:spacing w:val="-43"/>
          <w:w w:val="105"/>
        </w:rPr>
        <w:t> </w:t>
      </w:r>
      <w:r>
        <w:rPr>
          <w:color w:val="231F20"/>
          <w:w w:val="105"/>
        </w:rPr>
        <w:t>che</w:t>
      </w:r>
      <w:r>
        <w:rPr>
          <w:color w:val="231F20"/>
          <w:spacing w:val="-43"/>
          <w:w w:val="105"/>
        </w:rPr>
        <w:t> </w:t>
      </w:r>
      <w:r>
        <w:rPr>
          <w:color w:val="231F20"/>
          <w:w w:val="105"/>
        </w:rPr>
        <w:t>ogni</w:t>
      </w:r>
      <w:r>
        <w:rPr>
          <w:color w:val="231F20"/>
          <w:spacing w:val="-43"/>
          <w:w w:val="105"/>
        </w:rPr>
        <w:t> </w:t>
      </w:r>
      <w:r>
        <w:rPr>
          <w:color w:val="231F20"/>
          <w:w w:val="105"/>
        </w:rPr>
        <w:t>Stato</w:t>
      </w:r>
      <w:r>
        <w:rPr>
          <w:color w:val="231F20"/>
          <w:spacing w:val="-43"/>
          <w:w w:val="105"/>
        </w:rPr>
        <w:t> </w:t>
      </w:r>
      <w:r>
        <w:rPr>
          <w:color w:val="231F20"/>
          <w:w w:val="105"/>
        </w:rPr>
        <w:t>poteva</w:t>
      </w:r>
      <w:r>
        <w:rPr>
          <w:color w:val="231F20"/>
          <w:spacing w:val="-43"/>
          <w:w w:val="105"/>
        </w:rPr>
        <w:t> </w:t>
      </w:r>
      <w:r>
        <w:rPr>
          <w:color w:val="231F20"/>
          <w:w w:val="105"/>
        </w:rPr>
        <w:t>non</w:t>
      </w:r>
      <w:r>
        <w:rPr>
          <w:color w:val="231F20"/>
          <w:spacing w:val="-43"/>
          <w:w w:val="105"/>
        </w:rPr>
        <w:t> </w:t>
      </w:r>
      <w:r>
        <w:rPr>
          <w:color w:val="231F20"/>
          <w:spacing w:val="-3"/>
          <w:w w:val="105"/>
        </w:rPr>
        <w:t>preoccuparsi</w:t>
      </w:r>
      <w:r>
        <w:rPr>
          <w:color w:val="231F20"/>
          <w:spacing w:val="-43"/>
          <w:w w:val="105"/>
        </w:rPr>
        <w:t> </w:t>
      </w:r>
      <w:r>
        <w:rPr>
          <w:color w:val="231F20"/>
          <w:w w:val="105"/>
        </w:rPr>
        <w:t>degli</w:t>
      </w:r>
      <w:r>
        <w:rPr>
          <w:color w:val="231F20"/>
          <w:spacing w:val="-43"/>
          <w:w w:val="105"/>
        </w:rPr>
        <w:t> </w:t>
      </w:r>
      <w:r>
        <w:rPr>
          <w:color w:val="231F20"/>
          <w:w w:val="105"/>
        </w:rPr>
        <w:t>altri</w:t>
      </w:r>
      <w:r>
        <w:rPr>
          <w:color w:val="231F20"/>
          <w:spacing w:val="-43"/>
          <w:w w:val="105"/>
        </w:rPr>
        <w:t> </w:t>
      </w:r>
      <w:r>
        <w:rPr>
          <w:color w:val="231F20"/>
          <w:spacing w:val="-3"/>
          <w:w w:val="105"/>
        </w:rPr>
        <w:t>ordinamenti, poiché</w:t>
      </w:r>
      <w:r>
        <w:rPr>
          <w:color w:val="231F20"/>
          <w:spacing w:val="-44"/>
          <w:w w:val="105"/>
        </w:rPr>
        <w:t> </w:t>
      </w:r>
      <w:r>
        <w:rPr>
          <w:color w:val="231F20"/>
          <w:spacing w:val="-3"/>
          <w:w w:val="105"/>
        </w:rPr>
        <w:t>essi</w:t>
      </w:r>
      <w:r>
        <w:rPr>
          <w:color w:val="231F20"/>
          <w:spacing w:val="-44"/>
          <w:w w:val="105"/>
        </w:rPr>
        <w:t> </w:t>
      </w:r>
      <w:r>
        <w:rPr>
          <w:color w:val="231F20"/>
          <w:w w:val="105"/>
        </w:rPr>
        <w:t>non</w:t>
      </w:r>
      <w:r>
        <w:rPr>
          <w:color w:val="231F20"/>
          <w:spacing w:val="-44"/>
          <w:w w:val="105"/>
        </w:rPr>
        <w:t> </w:t>
      </w:r>
      <w:r>
        <w:rPr>
          <w:color w:val="231F20"/>
          <w:w w:val="105"/>
        </w:rPr>
        <w:t>lo</w:t>
      </w:r>
      <w:r>
        <w:rPr>
          <w:color w:val="231F20"/>
          <w:spacing w:val="-44"/>
          <w:w w:val="105"/>
        </w:rPr>
        <w:t> </w:t>
      </w:r>
      <w:r>
        <w:rPr>
          <w:color w:val="231F20"/>
          <w:spacing w:val="-3"/>
          <w:w w:val="105"/>
        </w:rPr>
        <w:t>limitavano</w:t>
      </w:r>
      <w:r>
        <w:rPr>
          <w:color w:val="231F20"/>
          <w:spacing w:val="-44"/>
          <w:w w:val="105"/>
        </w:rPr>
        <w:t> </w:t>
      </w:r>
      <w:r>
        <w:rPr>
          <w:color w:val="231F20"/>
          <w:spacing w:val="-3"/>
          <w:w w:val="105"/>
        </w:rPr>
        <w:t>fattualmente,</w:t>
      </w:r>
      <w:r>
        <w:rPr>
          <w:color w:val="231F20"/>
          <w:spacing w:val="-44"/>
          <w:w w:val="105"/>
        </w:rPr>
        <w:t> </w:t>
      </w:r>
      <w:r>
        <w:rPr>
          <w:color w:val="231F20"/>
          <w:w w:val="105"/>
        </w:rPr>
        <w:t>al</w:t>
      </w:r>
      <w:r>
        <w:rPr>
          <w:color w:val="231F20"/>
          <w:spacing w:val="-44"/>
          <w:w w:val="105"/>
        </w:rPr>
        <w:t> </w:t>
      </w:r>
      <w:r>
        <w:rPr>
          <w:color w:val="231F20"/>
          <w:spacing w:val="-3"/>
          <w:w w:val="105"/>
        </w:rPr>
        <w:t>punto</w:t>
      </w:r>
      <w:r>
        <w:rPr>
          <w:color w:val="231F20"/>
          <w:spacing w:val="-44"/>
          <w:w w:val="105"/>
        </w:rPr>
        <w:t> </w:t>
      </w:r>
      <w:r>
        <w:rPr>
          <w:color w:val="231F20"/>
          <w:w w:val="105"/>
        </w:rPr>
        <w:t>che</w:t>
      </w:r>
      <w:r>
        <w:rPr>
          <w:color w:val="231F20"/>
          <w:spacing w:val="-44"/>
          <w:w w:val="105"/>
        </w:rPr>
        <w:t> </w:t>
      </w:r>
      <w:r>
        <w:rPr>
          <w:color w:val="231F20"/>
          <w:spacing w:val="-3"/>
          <w:w w:val="105"/>
        </w:rPr>
        <w:t>ogni</w:t>
      </w:r>
      <w:r>
        <w:rPr>
          <w:color w:val="231F20"/>
          <w:spacing w:val="-44"/>
          <w:w w:val="105"/>
        </w:rPr>
        <w:t> </w:t>
      </w:r>
      <w:r>
        <w:rPr>
          <w:color w:val="231F20"/>
          <w:spacing w:val="-3"/>
          <w:w w:val="105"/>
        </w:rPr>
        <w:t>limitazione</w:t>
      </w:r>
      <w:r>
        <w:rPr>
          <w:color w:val="231F20"/>
          <w:spacing w:val="-44"/>
          <w:w w:val="105"/>
        </w:rPr>
        <w:t> </w:t>
      </w:r>
      <w:r>
        <w:rPr>
          <w:color w:val="231F20"/>
          <w:spacing w:val="-3"/>
          <w:w w:val="105"/>
        </w:rPr>
        <w:t>della </w:t>
      </w:r>
      <w:r>
        <w:rPr>
          <w:color w:val="231F20"/>
          <w:w w:val="105"/>
        </w:rPr>
        <w:t>sovranità</w:t>
      </w:r>
      <w:r>
        <w:rPr>
          <w:color w:val="231F20"/>
          <w:spacing w:val="-43"/>
          <w:w w:val="105"/>
        </w:rPr>
        <w:t> </w:t>
      </w:r>
      <w:r>
        <w:rPr>
          <w:color w:val="231F20"/>
          <w:w w:val="105"/>
        </w:rPr>
        <w:t>stessa</w:t>
      </w:r>
      <w:r>
        <w:rPr>
          <w:color w:val="231F20"/>
          <w:spacing w:val="-43"/>
          <w:w w:val="105"/>
        </w:rPr>
        <w:t> </w:t>
      </w:r>
      <w:r>
        <w:rPr>
          <w:color w:val="231F20"/>
          <w:w w:val="105"/>
        </w:rPr>
        <w:t>poteva</w:t>
      </w:r>
      <w:r>
        <w:rPr>
          <w:color w:val="231F20"/>
          <w:spacing w:val="-43"/>
          <w:w w:val="105"/>
        </w:rPr>
        <w:t> </w:t>
      </w:r>
      <w:r>
        <w:rPr>
          <w:color w:val="231F20"/>
          <w:w w:val="105"/>
        </w:rPr>
        <w:t>essere</w:t>
      </w:r>
      <w:r>
        <w:rPr>
          <w:color w:val="231F20"/>
          <w:spacing w:val="-43"/>
          <w:w w:val="105"/>
        </w:rPr>
        <w:t> </w:t>
      </w:r>
      <w:r>
        <w:rPr>
          <w:color w:val="231F20"/>
          <w:w w:val="105"/>
        </w:rPr>
        <w:t>solo</w:t>
      </w:r>
      <w:r>
        <w:rPr>
          <w:color w:val="231F20"/>
          <w:spacing w:val="-43"/>
          <w:w w:val="105"/>
        </w:rPr>
        <w:t> </w:t>
      </w:r>
      <w:r>
        <w:rPr>
          <w:color w:val="231F20"/>
          <w:w w:val="105"/>
        </w:rPr>
        <w:t>un’autolimitazione</w:t>
      </w:r>
      <w:r>
        <w:rPr>
          <w:color w:val="231F20"/>
          <w:spacing w:val="-43"/>
          <w:w w:val="105"/>
        </w:rPr>
        <w:t> </w:t>
      </w:r>
      <w:r>
        <w:rPr>
          <w:color w:val="231F20"/>
          <w:w w:val="105"/>
        </w:rPr>
        <w:t>del</w:t>
      </w:r>
      <w:r>
        <w:rPr>
          <w:color w:val="231F20"/>
          <w:spacing w:val="-43"/>
          <w:w w:val="105"/>
        </w:rPr>
        <w:t> </w:t>
      </w:r>
      <w:r>
        <w:rPr>
          <w:color w:val="231F20"/>
          <w:w w:val="105"/>
        </w:rPr>
        <w:t>singolo</w:t>
      </w:r>
      <w:r>
        <w:rPr>
          <w:color w:val="231F20"/>
          <w:spacing w:val="-43"/>
          <w:w w:val="105"/>
        </w:rPr>
        <w:t> </w:t>
      </w:r>
      <w:r>
        <w:rPr>
          <w:color w:val="231F20"/>
          <w:w w:val="105"/>
        </w:rPr>
        <w:t>Stato.</w:t>
      </w:r>
      <w:r>
        <w:rPr>
          <w:color w:val="231F20"/>
          <w:spacing w:val="-43"/>
          <w:w w:val="105"/>
        </w:rPr>
        <w:t> </w:t>
      </w:r>
      <w:r>
        <w:rPr>
          <w:color w:val="231F20"/>
          <w:w w:val="105"/>
        </w:rPr>
        <w:t>La </w:t>
      </w:r>
      <w:r>
        <w:rPr>
          <w:color w:val="231F20"/>
          <w:spacing w:val="-3"/>
          <w:w w:val="105"/>
        </w:rPr>
        <w:t>perdita</w:t>
      </w:r>
      <w:r>
        <w:rPr>
          <w:color w:val="231F20"/>
          <w:spacing w:val="-49"/>
          <w:w w:val="105"/>
        </w:rPr>
        <w:t> </w:t>
      </w:r>
      <w:r>
        <w:rPr>
          <w:color w:val="231F20"/>
          <w:w w:val="105"/>
        </w:rPr>
        <w:t>di</w:t>
      </w:r>
      <w:r>
        <w:rPr>
          <w:color w:val="231F20"/>
          <w:spacing w:val="-49"/>
          <w:w w:val="105"/>
        </w:rPr>
        <w:t> </w:t>
      </w:r>
      <w:r>
        <w:rPr>
          <w:color w:val="231F20"/>
          <w:w w:val="105"/>
        </w:rPr>
        <w:t>sovranità</w:t>
      </w:r>
      <w:r>
        <w:rPr>
          <w:color w:val="231F20"/>
          <w:spacing w:val="-49"/>
          <w:w w:val="105"/>
        </w:rPr>
        <w:t> </w:t>
      </w:r>
      <w:r>
        <w:rPr>
          <w:color w:val="231F20"/>
          <w:w w:val="105"/>
        </w:rPr>
        <w:t>dello</w:t>
      </w:r>
      <w:r>
        <w:rPr>
          <w:color w:val="231F20"/>
          <w:spacing w:val="-49"/>
          <w:w w:val="105"/>
        </w:rPr>
        <w:t> </w:t>
      </w:r>
      <w:r>
        <w:rPr>
          <w:color w:val="231F20"/>
          <w:w w:val="105"/>
        </w:rPr>
        <w:t>Stato</w:t>
      </w:r>
      <w:r>
        <w:rPr>
          <w:color w:val="231F20"/>
          <w:spacing w:val="-49"/>
          <w:w w:val="105"/>
        </w:rPr>
        <w:t> </w:t>
      </w:r>
      <w:r>
        <w:rPr>
          <w:color w:val="231F20"/>
          <w:w w:val="105"/>
        </w:rPr>
        <w:t>sembra</w:t>
      </w:r>
      <w:r>
        <w:rPr>
          <w:color w:val="231F20"/>
          <w:spacing w:val="-49"/>
          <w:w w:val="105"/>
        </w:rPr>
        <w:t> </w:t>
      </w:r>
      <w:r>
        <w:rPr>
          <w:color w:val="231F20"/>
          <w:spacing w:val="-3"/>
          <w:w w:val="105"/>
        </w:rPr>
        <w:t>essere</w:t>
      </w:r>
      <w:r>
        <w:rPr>
          <w:color w:val="231F20"/>
          <w:spacing w:val="-49"/>
          <w:w w:val="105"/>
        </w:rPr>
        <w:t> </w:t>
      </w:r>
      <w:r>
        <w:rPr>
          <w:color w:val="231F20"/>
          <w:w w:val="105"/>
        </w:rPr>
        <w:t>intervenuta</w:t>
      </w:r>
      <w:r>
        <w:rPr>
          <w:color w:val="231F20"/>
          <w:spacing w:val="-49"/>
          <w:w w:val="105"/>
        </w:rPr>
        <w:t> </w:t>
      </w:r>
      <w:r>
        <w:rPr>
          <w:color w:val="231F20"/>
          <w:w w:val="105"/>
        </w:rPr>
        <w:t>in</w:t>
      </w:r>
      <w:r>
        <w:rPr>
          <w:color w:val="231F20"/>
          <w:spacing w:val="-49"/>
          <w:w w:val="105"/>
        </w:rPr>
        <w:t> </w:t>
      </w:r>
      <w:r>
        <w:rPr>
          <w:color w:val="231F20"/>
          <w:w w:val="105"/>
        </w:rPr>
        <w:t>primo</w:t>
      </w:r>
      <w:r>
        <w:rPr>
          <w:color w:val="231F20"/>
          <w:spacing w:val="-49"/>
          <w:w w:val="105"/>
        </w:rPr>
        <w:t> </w:t>
      </w:r>
      <w:r>
        <w:rPr>
          <w:color w:val="231F20"/>
          <w:w w:val="105"/>
        </w:rPr>
        <w:t>luogo</w:t>
      </w:r>
      <w:r>
        <w:rPr>
          <w:color w:val="231F20"/>
          <w:spacing w:val="-49"/>
          <w:w w:val="105"/>
        </w:rPr>
        <w:t> </w:t>
      </w:r>
      <w:r>
        <w:rPr>
          <w:color w:val="231F20"/>
          <w:spacing w:val="-2"/>
          <w:w w:val="105"/>
        </w:rPr>
        <w:t>per </w:t>
      </w:r>
      <w:r>
        <w:rPr>
          <w:color w:val="231F20"/>
          <w:w w:val="105"/>
        </w:rPr>
        <w:t>l’impossibilità</w:t>
      </w:r>
      <w:r>
        <w:rPr>
          <w:color w:val="231F20"/>
          <w:spacing w:val="-49"/>
          <w:w w:val="105"/>
        </w:rPr>
        <w:t> </w:t>
      </w:r>
      <w:r>
        <w:rPr>
          <w:color w:val="231F20"/>
          <w:w w:val="105"/>
        </w:rPr>
        <w:t>di</w:t>
      </w:r>
      <w:r>
        <w:rPr>
          <w:color w:val="231F20"/>
          <w:spacing w:val="-49"/>
          <w:w w:val="105"/>
        </w:rPr>
        <w:t> </w:t>
      </w:r>
      <w:r>
        <w:rPr>
          <w:color w:val="231F20"/>
          <w:spacing w:val="-3"/>
          <w:w w:val="105"/>
        </w:rPr>
        <w:t>governare</w:t>
      </w:r>
      <w:r>
        <w:rPr>
          <w:color w:val="231F20"/>
          <w:spacing w:val="-49"/>
          <w:w w:val="105"/>
        </w:rPr>
        <w:t> </w:t>
      </w:r>
      <w:r>
        <w:rPr>
          <w:color w:val="231F20"/>
          <w:spacing w:val="-3"/>
          <w:w w:val="105"/>
        </w:rPr>
        <w:t>efficacemente</w:t>
      </w:r>
      <w:r>
        <w:rPr>
          <w:color w:val="231F20"/>
          <w:spacing w:val="-49"/>
          <w:w w:val="105"/>
        </w:rPr>
        <w:t> </w:t>
      </w:r>
      <w:r>
        <w:rPr>
          <w:color w:val="231F20"/>
          <w:w w:val="105"/>
        </w:rPr>
        <w:t>questo</w:t>
      </w:r>
      <w:r>
        <w:rPr>
          <w:color w:val="231F20"/>
          <w:spacing w:val="-49"/>
          <w:w w:val="105"/>
        </w:rPr>
        <w:t> </w:t>
      </w:r>
      <w:r>
        <w:rPr>
          <w:color w:val="231F20"/>
          <w:w w:val="105"/>
        </w:rPr>
        <w:t>spazio</w:t>
      </w:r>
      <w:r>
        <w:rPr>
          <w:color w:val="231F20"/>
          <w:spacing w:val="-49"/>
          <w:w w:val="105"/>
        </w:rPr>
        <w:t> </w:t>
      </w:r>
      <w:r>
        <w:rPr>
          <w:color w:val="231F20"/>
          <w:w w:val="105"/>
        </w:rPr>
        <w:t>esterno.</w:t>
      </w:r>
      <w:r>
        <w:rPr>
          <w:color w:val="231F20"/>
          <w:spacing w:val="-49"/>
          <w:w w:val="105"/>
        </w:rPr>
        <w:t> </w:t>
      </w:r>
      <w:r>
        <w:rPr>
          <w:color w:val="231F20"/>
          <w:w w:val="105"/>
        </w:rPr>
        <w:t>Non</w:t>
      </w:r>
      <w:r>
        <w:rPr>
          <w:color w:val="231F20"/>
          <w:spacing w:val="-49"/>
          <w:w w:val="105"/>
        </w:rPr>
        <w:t> </w:t>
      </w:r>
      <w:r>
        <w:rPr>
          <w:color w:val="231F20"/>
          <w:w w:val="105"/>
        </w:rPr>
        <w:t>a</w:t>
      </w:r>
      <w:r>
        <w:rPr>
          <w:color w:val="231F20"/>
          <w:spacing w:val="-49"/>
          <w:w w:val="105"/>
        </w:rPr>
        <w:t> </w:t>
      </w:r>
      <w:r>
        <w:rPr>
          <w:color w:val="231F20"/>
          <w:w w:val="105"/>
        </w:rPr>
        <w:t>caso negli</w:t>
      </w:r>
      <w:r>
        <w:rPr>
          <w:color w:val="231F20"/>
          <w:spacing w:val="-39"/>
          <w:w w:val="105"/>
        </w:rPr>
        <w:t> </w:t>
      </w:r>
      <w:r>
        <w:rPr>
          <w:color w:val="231F20"/>
          <w:w w:val="105"/>
        </w:rPr>
        <w:t>ultimi</w:t>
      </w:r>
      <w:r>
        <w:rPr>
          <w:color w:val="231F20"/>
          <w:spacing w:val="-39"/>
          <w:w w:val="105"/>
        </w:rPr>
        <w:t> </w:t>
      </w:r>
      <w:r>
        <w:rPr>
          <w:color w:val="231F20"/>
          <w:w w:val="105"/>
        </w:rPr>
        <w:t>decenni</w:t>
      </w:r>
      <w:r>
        <w:rPr>
          <w:color w:val="231F20"/>
          <w:spacing w:val="-39"/>
          <w:w w:val="105"/>
        </w:rPr>
        <w:t> </w:t>
      </w:r>
      <w:r>
        <w:rPr>
          <w:color w:val="231F20"/>
          <w:w w:val="105"/>
        </w:rPr>
        <w:t>il</w:t>
      </w:r>
      <w:r>
        <w:rPr>
          <w:color w:val="231F20"/>
          <w:spacing w:val="-39"/>
          <w:w w:val="105"/>
        </w:rPr>
        <w:t> </w:t>
      </w:r>
      <w:r>
        <w:rPr>
          <w:color w:val="231F20"/>
          <w:w w:val="105"/>
        </w:rPr>
        <w:t>dibattito</w:t>
      </w:r>
      <w:r>
        <w:rPr>
          <w:color w:val="231F20"/>
          <w:spacing w:val="-39"/>
          <w:w w:val="105"/>
        </w:rPr>
        <w:t> </w:t>
      </w:r>
      <w:r>
        <w:rPr>
          <w:color w:val="231F20"/>
          <w:w w:val="105"/>
        </w:rPr>
        <w:t>politico</w:t>
      </w:r>
      <w:r>
        <w:rPr>
          <w:color w:val="231F20"/>
          <w:spacing w:val="-39"/>
          <w:w w:val="105"/>
        </w:rPr>
        <w:t> </w:t>
      </w:r>
      <w:r>
        <w:rPr>
          <w:color w:val="231F20"/>
          <w:w w:val="105"/>
        </w:rPr>
        <w:t>sulle</w:t>
      </w:r>
      <w:r>
        <w:rPr>
          <w:color w:val="231F20"/>
          <w:spacing w:val="-39"/>
          <w:w w:val="105"/>
        </w:rPr>
        <w:t> </w:t>
      </w:r>
      <w:r>
        <w:rPr>
          <w:color w:val="231F20"/>
          <w:w w:val="105"/>
        </w:rPr>
        <w:t>trasformazioni</w:t>
      </w:r>
      <w:r>
        <w:rPr>
          <w:color w:val="231F20"/>
          <w:spacing w:val="-39"/>
          <w:w w:val="105"/>
        </w:rPr>
        <w:t> </w:t>
      </w:r>
      <w:r>
        <w:rPr>
          <w:color w:val="231F20"/>
          <w:w w:val="105"/>
        </w:rPr>
        <w:t>della</w:t>
      </w:r>
      <w:r>
        <w:rPr>
          <w:color w:val="231F20"/>
          <w:spacing w:val="-39"/>
          <w:w w:val="105"/>
        </w:rPr>
        <w:t> </w:t>
      </w:r>
      <w:r>
        <w:rPr>
          <w:color w:val="231F20"/>
          <w:w w:val="105"/>
        </w:rPr>
        <w:t>statualità</w:t>
      </w:r>
      <w:r>
        <w:rPr>
          <w:color w:val="231F20"/>
          <w:spacing w:val="-39"/>
          <w:w w:val="105"/>
        </w:rPr>
        <w:t> </w:t>
      </w:r>
      <w:r>
        <w:rPr>
          <w:color w:val="231F20"/>
          <w:w w:val="105"/>
        </w:rPr>
        <w:t>è</w:t>
      </w:r>
    </w:p>
    <w:p>
      <w:pPr>
        <w:pStyle w:val="BodyText"/>
        <w:rPr>
          <w:sz w:val="20"/>
        </w:rPr>
      </w:pPr>
    </w:p>
    <w:p>
      <w:pPr>
        <w:pStyle w:val="BodyText"/>
        <w:spacing w:before="9"/>
        <w:rPr>
          <w:sz w:val="15"/>
        </w:rPr>
      </w:pPr>
      <w:r>
        <w:rPr/>
        <w:pict>
          <v:line style="position:absolute;mso-position-horizontal-relative:page;mso-position-vertical-relative:paragraph;z-index:9928;mso-wrap-distance-left:0;mso-wrap-distance-right:0" from="70.866096pt,11.635069pt" to="184.252096pt,11.635069pt" stroked="true" strokeweight=".3pt" strokecolor="#231f20">
            <w10:wrap type="topAndBottom"/>
          </v:line>
        </w:pict>
      </w:r>
    </w:p>
    <w:p>
      <w:pPr>
        <w:spacing w:line="206" w:lineRule="exact" w:before="10"/>
        <w:ind w:left="117" w:right="0" w:firstLine="0"/>
        <w:jc w:val="left"/>
        <w:rPr>
          <w:rFonts w:ascii="Calibri" w:hAnsi="Calibri"/>
          <w:sz w:val="17"/>
        </w:rPr>
      </w:pPr>
      <w:r>
        <w:rPr>
          <w:rFonts w:ascii="Calibri" w:hAnsi="Calibri"/>
          <w:color w:val="231F20"/>
          <w:position w:val="6"/>
          <w:sz w:val="10"/>
        </w:rPr>
        <w:t>1  </w:t>
      </w:r>
      <w:r>
        <w:rPr>
          <w:rFonts w:ascii="Calibri" w:hAnsi="Calibri"/>
          <w:color w:val="231F20"/>
          <w:sz w:val="17"/>
        </w:rPr>
        <w:t>M. Loughlin, “Ten Tenets of Sovereignty”, N. Walker (Ed.), </w:t>
      </w:r>
      <w:r>
        <w:rPr>
          <w:rFonts w:ascii="Calibri" w:hAnsi="Calibri"/>
          <w:i/>
          <w:color w:val="231F20"/>
          <w:sz w:val="17"/>
        </w:rPr>
        <w:t>Sovereignty in Transition</w:t>
      </w:r>
      <w:r>
        <w:rPr>
          <w:rFonts w:ascii="Calibri" w:hAnsi="Calibri"/>
          <w:color w:val="231F20"/>
          <w:sz w:val="17"/>
        </w:rPr>
        <w:t>, Oxford and</w:t>
      </w:r>
    </w:p>
    <w:p>
      <w:pPr>
        <w:spacing w:line="204" w:lineRule="exact" w:before="0"/>
        <w:ind w:left="117" w:right="0" w:firstLine="0"/>
        <w:jc w:val="left"/>
        <w:rPr>
          <w:rFonts w:ascii="Calibri" w:hAnsi="Calibri"/>
          <w:sz w:val="17"/>
        </w:rPr>
      </w:pPr>
      <w:r>
        <w:rPr>
          <w:rFonts w:ascii="Calibri" w:hAnsi="Calibri"/>
          <w:color w:val="231F20"/>
          <w:w w:val="105"/>
          <w:sz w:val="17"/>
        </w:rPr>
        <w:t>Portland, Hart Publishing, 2006, pp. 55–86.</w:t>
      </w:r>
    </w:p>
    <w:p>
      <w:pPr>
        <w:spacing w:line="206" w:lineRule="exact" w:before="0"/>
        <w:ind w:left="117" w:right="0" w:firstLine="0"/>
        <w:jc w:val="left"/>
        <w:rPr>
          <w:rFonts w:ascii="Calibri" w:hAnsi="Calibri"/>
          <w:sz w:val="17"/>
        </w:rPr>
      </w:pPr>
      <w:r>
        <w:rPr>
          <w:rFonts w:ascii="Calibri" w:hAnsi="Calibri"/>
          <w:color w:val="231F20"/>
          <w:position w:val="6"/>
          <w:sz w:val="10"/>
        </w:rPr>
        <w:t>2  </w:t>
      </w:r>
      <w:r>
        <w:rPr>
          <w:rFonts w:ascii="Calibri" w:hAnsi="Calibri"/>
          <w:color w:val="231F20"/>
          <w:sz w:val="17"/>
        </w:rPr>
        <w:t>B. Waldenfels, </w:t>
      </w:r>
      <w:r>
        <w:rPr>
          <w:rFonts w:ascii="Calibri" w:hAnsi="Calibri"/>
          <w:i/>
          <w:color w:val="231F20"/>
          <w:sz w:val="17"/>
        </w:rPr>
        <w:t>Ordnung in Zwielicht</w:t>
      </w:r>
      <w:r>
        <w:rPr>
          <w:rFonts w:ascii="Calibri" w:hAnsi="Calibri"/>
          <w:color w:val="231F20"/>
          <w:sz w:val="17"/>
        </w:rPr>
        <w:t>, München, Fink, 2013.</w:t>
      </w:r>
    </w:p>
    <w:p>
      <w:pPr>
        <w:spacing w:after="0" w:line="206" w:lineRule="exact"/>
        <w:jc w:val="left"/>
        <w:rPr>
          <w:rFonts w:ascii="Calibri" w:hAnsi="Calibri"/>
          <w:sz w:val="17"/>
        </w:rPr>
        <w:sectPr>
          <w:pgSz w:w="9640" w:h="13890"/>
          <w:pgMar w:top="1300" w:bottom="280" w:left="1300" w:right="1180"/>
        </w:sectPr>
      </w:pPr>
    </w:p>
    <w:p>
      <w:pPr>
        <w:pStyle w:val="BodyText"/>
        <w:spacing w:line="247" w:lineRule="auto" w:before="107"/>
        <w:ind w:left="103" w:right="113"/>
        <w:jc w:val="both"/>
      </w:pPr>
      <w:r>
        <w:rPr>
          <w:color w:val="231F20"/>
          <w:w w:val="105"/>
        </w:rPr>
        <w:t>stato</w:t>
      </w:r>
      <w:r>
        <w:rPr>
          <w:color w:val="231F20"/>
          <w:spacing w:val="-41"/>
          <w:w w:val="105"/>
        </w:rPr>
        <w:t> </w:t>
      </w:r>
      <w:r>
        <w:rPr>
          <w:color w:val="231F20"/>
          <w:w w:val="105"/>
        </w:rPr>
        <w:t>dominato</w:t>
      </w:r>
      <w:r>
        <w:rPr>
          <w:color w:val="231F20"/>
          <w:spacing w:val="-41"/>
          <w:w w:val="105"/>
        </w:rPr>
        <w:t> </w:t>
      </w:r>
      <w:r>
        <w:rPr>
          <w:color w:val="231F20"/>
          <w:w w:val="105"/>
        </w:rPr>
        <w:t>dalle</w:t>
      </w:r>
      <w:r>
        <w:rPr>
          <w:color w:val="231F20"/>
          <w:spacing w:val="-41"/>
          <w:w w:val="105"/>
        </w:rPr>
        <w:t> </w:t>
      </w:r>
      <w:r>
        <w:rPr>
          <w:color w:val="231F20"/>
          <w:w w:val="105"/>
        </w:rPr>
        <w:t>dottrina</w:t>
      </w:r>
      <w:r>
        <w:rPr>
          <w:color w:val="231F20"/>
          <w:spacing w:val="-41"/>
          <w:w w:val="105"/>
        </w:rPr>
        <w:t> </w:t>
      </w:r>
      <w:r>
        <w:rPr>
          <w:color w:val="231F20"/>
          <w:w w:val="105"/>
        </w:rPr>
        <w:t>delle</w:t>
      </w:r>
      <w:r>
        <w:rPr>
          <w:color w:val="231F20"/>
          <w:spacing w:val="-41"/>
          <w:w w:val="105"/>
        </w:rPr>
        <w:t> </w:t>
      </w:r>
      <w:r>
        <w:rPr>
          <w:color w:val="231F20"/>
          <w:w w:val="105"/>
        </w:rPr>
        <w:t>relazioni</w:t>
      </w:r>
      <w:r>
        <w:rPr>
          <w:color w:val="231F20"/>
          <w:spacing w:val="-41"/>
          <w:w w:val="105"/>
        </w:rPr>
        <w:t> </w:t>
      </w:r>
      <w:r>
        <w:rPr>
          <w:color w:val="231F20"/>
          <w:w w:val="105"/>
        </w:rPr>
        <w:t>internazionali.</w:t>
      </w:r>
      <w:r>
        <w:rPr>
          <w:color w:val="231F20"/>
          <w:spacing w:val="-41"/>
          <w:w w:val="105"/>
        </w:rPr>
        <w:t> </w:t>
      </w:r>
      <w:r>
        <w:rPr>
          <w:color w:val="231F20"/>
          <w:w w:val="105"/>
        </w:rPr>
        <w:t>Alla</w:t>
      </w:r>
      <w:r>
        <w:rPr>
          <w:color w:val="231F20"/>
          <w:spacing w:val="-41"/>
          <w:w w:val="105"/>
        </w:rPr>
        <w:t> </w:t>
      </w:r>
      <w:r>
        <w:rPr>
          <w:color w:val="231F20"/>
          <w:w w:val="105"/>
        </w:rPr>
        <w:t>ricerca</w:t>
      </w:r>
      <w:r>
        <w:rPr>
          <w:color w:val="231F20"/>
          <w:spacing w:val="-41"/>
          <w:w w:val="105"/>
        </w:rPr>
        <w:t> </w:t>
      </w:r>
      <w:r>
        <w:rPr>
          <w:color w:val="231F20"/>
          <w:w w:val="105"/>
        </w:rPr>
        <w:t>di</w:t>
      </w:r>
      <w:r>
        <w:rPr>
          <w:color w:val="231F20"/>
          <w:spacing w:val="-41"/>
          <w:w w:val="105"/>
        </w:rPr>
        <w:t> </w:t>
      </w:r>
      <w:r>
        <w:rPr>
          <w:color w:val="231F20"/>
          <w:w w:val="105"/>
        </w:rPr>
        <w:t>un “nuovo</w:t>
      </w:r>
      <w:r>
        <w:rPr>
          <w:color w:val="231F20"/>
          <w:spacing w:val="-42"/>
          <w:w w:val="105"/>
        </w:rPr>
        <w:t> </w:t>
      </w:r>
      <w:r>
        <w:rPr>
          <w:color w:val="231F20"/>
          <w:w w:val="105"/>
        </w:rPr>
        <w:t>ordine</w:t>
      </w:r>
      <w:r>
        <w:rPr>
          <w:color w:val="231F20"/>
          <w:spacing w:val="-42"/>
          <w:w w:val="105"/>
        </w:rPr>
        <w:t> </w:t>
      </w:r>
      <w:r>
        <w:rPr>
          <w:color w:val="231F20"/>
          <w:w w:val="105"/>
        </w:rPr>
        <w:t>mondiale”</w:t>
      </w:r>
      <w:r>
        <w:rPr>
          <w:color w:val="231F20"/>
          <w:spacing w:val="-42"/>
          <w:w w:val="105"/>
        </w:rPr>
        <w:t> </w:t>
      </w:r>
      <w:r>
        <w:rPr>
          <w:color w:val="231F20"/>
          <w:w w:val="105"/>
        </w:rPr>
        <w:t>Anne–Marie</w:t>
      </w:r>
      <w:r>
        <w:rPr>
          <w:color w:val="231F20"/>
          <w:spacing w:val="-42"/>
          <w:w w:val="105"/>
        </w:rPr>
        <w:t> </w:t>
      </w:r>
      <w:r>
        <w:rPr>
          <w:color w:val="231F20"/>
          <w:w w:val="105"/>
        </w:rPr>
        <w:t>Slaughter</w:t>
      </w:r>
      <w:r>
        <w:rPr>
          <w:color w:val="231F20"/>
          <w:spacing w:val="-42"/>
          <w:w w:val="105"/>
        </w:rPr>
        <w:t> </w:t>
      </w:r>
      <w:r>
        <w:rPr>
          <w:color w:val="231F20"/>
          <w:w w:val="105"/>
        </w:rPr>
        <w:t>ha</w:t>
      </w:r>
      <w:r>
        <w:rPr>
          <w:color w:val="231F20"/>
          <w:spacing w:val="-42"/>
          <w:w w:val="105"/>
        </w:rPr>
        <w:t> </w:t>
      </w:r>
      <w:r>
        <w:rPr>
          <w:color w:val="231F20"/>
          <w:w w:val="105"/>
        </w:rPr>
        <w:t>assunto</w:t>
      </w:r>
      <w:r>
        <w:rPr>
          <w:color w:val="231F20"/>
          <w:spacing w:val="-42"/>
          <w:w w:val="105"/>
        </w:rPr>
        <w:t> </w:t>
      </w:r>
      <w:r>
        <w:rPr>
          <w:color w:val="231F20"/>
          <w:w w:val="105"/>
        </w:rPr>
        <w:t>come</w:t>
      </w:r>
      <w:r>
        <w:rPr>
          <w:color w:val="231F20"/>
          <w:spacing w:val="-42"/>
          <w:w w:val="105"/>
        </w:rPr>
        <w:t> </w:t>
      </w:r>
      <w:r>
        <w:rPr>
          <w:color w:val="231F20"/>
          <w:w w:val="105"/>
        </w:rPr>
        <w:t>concetto di</w:t>
      </w:r>
      <w:r>
        <w:rPr>
          <w:color w:val="231F20"/>
          <w:spacing w:val="-12"/>
          <w:w w:val="105"/>
        </w:rPr>
        <w:t> </w:t>
      </w:r>
      <w:r>
        <w:rPr>
          <w:color w:val="231F20"/>
          <w:w w:val="105"/>
        </w:rPr>
        <w:t>riferimento</w:t>
      </w:r>
      <w:r>
        <w:rPr>
          <w:color w:val="231F20"/>
          <w:spacing w:val="-12"/>
          <w:w w:val="105"/>
        </w:rPr>
        <w:t> </w:t>
      </w:r>
      <w:r>
        <w:rPr>
          <w:color w:val="231F20"/>
          <w:w w:val="105"/>
        </w:rPr>
        <w:t>uno</w:t>
      </w:r>
      <w:r>
        <w:rPr>
          <w:color w:val="231F20"/>
          <w:spacing w:val="-12"/>
          <w:w w:val="105"/>
        </w:rPr>
        <w:t> </w:t>
      </w:r>
      <w:r>
        <w:rPr>
          <w:color w:val="231F20"/>
          <w:w w:val="105"/>
        </w:rPr>
        <w:t>“Stato</w:t>
      </w:r>
      <w:r>
        <w:rPr>
          <w:color w:val="231F20"/>
          <w:spacing w:val="-12"/>
          <w:w w:val="105"/>
        </w:rPr>
        <w:t> </w:t>
      </w:r>
      <w:r>
        <w:rPr>
          <w:color w:val="231F20"/>
          <w:w w:val="105"/>
        </w:rPr>
        <w:t>disaggregato”,</w:t>
      </w:r>
      <w:r>
        <w:rPr>
          <w:color w:val="231F20"/>
          <w:spacing w:val="-12"/>
          <w:w w:val="105"/>
        </w:rPr>
        <w:t> </w:t>
      </w:r>
      <w:r>
        <w:rPr>
          <w:color w:val="231F20"/>
          <w:w w:val="105"/>
        </w:rPr>
        <w:t>negando</w:t>
      </w:r>
      <w:r>
        <w:rPr>
          <w:color w:val="231F20"/>
          <w:spacing w:val="-12"/>
          <w:w w:val="105"/>
        </w:rPr>
        <w:t> </w:t>
      </w:r>
      <w:r>
        <w:rPr>
          <w:color w:val="231F20"/>
          <w:w w:val="105"/>
        </w:rPr>
        <w:t>lo</w:t>
      </w:r>
      <w:r>
        <w:rPr>
          <w:color w:val="231F20"/>
          <w:spacing w:val="-12"/>
          <w:w w:val="105"/>
        </w:rPr>
        <w:t> </w:t>
      </w:r>
      <w:r>
        <w:rPr>
          <w:color w:val="231F20"/>
          <w:w w:val="105"/>
        </w:rPr>
        <w:t>Stato</w:t>
      </w:r>
      <w:r>
        <w:rPr>
          <w:color w:val="231F20"/>
          <w:spacing w:val="-12"/>
          <w:w w:val="105"/>
        </w:rPr>
        <w:t> </w:t>
      </w:r>
      <w:r>
        <w:rPr>
          <w:color w:val="231F20"/>
          <w:w w:val="105"/>
        </w:rPr>
        <w:t>in</w:t>
      </w:r>
      <w:r>
        <w:rPr>
          <w:color w:val="231F20"/>
          <w:spacing w:val="-12"/>
          <w:w w:val="105"/>
        </w:rPr>
        <w:t> </w:t>
      </w:r>
      <w:r>
        <w:rPr>
          <w:color w:val="231F20"/>
          <w:w w:val="105"/>
        </w:rPr>
        <w:t>quanto</w:t>
      </w:r>
      <w:r>
        <w:rPr>
          <w:color w:val="231F20"/>
          <w:spacing w:val="-12"/>
          <w:w w:val="105"/>
        </w:rPr>
        <w:t> </w:t>
      </w:r>
      <w:r>
        <w:rPr>
          <w:color w:val="231F20"/>
          <w:w w:val="105"/>
        </w:rPr>
        <w:t>tale possa</w:t>
      </w:r>
      <w:r>
        <w:rPr>
          <w:color w:val="231F20"/>
          <w:spacing w:val="-21"/>
          <w:w w:val="105"/>
        </w:rPr>
        <w:t> </w:t>
      </w:r>
      <w:r>
        <w:rPr>
          <w:color w:val="231F20"/>
          <w:w w:val="105"/>
        </w:rPr>
        <w:t>possedere</w:t>
      </w:r>
      <w:r>
        <w:rPr>
          <w:color w:val="231F20"/>
          <w:spacing w:val="-21"/>
          <w:w w:val="105"/>
        </w:rPr>
        <w:t> </w:t>
      </w:r>
      <w:r>
        <w:rPr>
          <w:color w:val="231F20"/>
          <w:w w:val="105"/>
        </w:rPr>
        <w:t>qualcosa</w:t>
      </w:r>
      <w:r>
        <w:rPr>
          <w:color w:val="231F20"/>
          <w:spacing w:val="-21"/>
          <w:w w:val="105"/>
        </w:rPr>
        <w:t> </w:t>
      </w:r>
      <w:r>
        <w:rPr>
          <w:color w:val="231F20"/>
          <w:w w:val="105"/>
        </w:rPr>
        <w:t>come</w:t>
      </w:r>
      <w:r>
        <w:rPr>
          <w:color w:val="231F20"/>
          <w:spacing w:val="-21"/>
          <w:w w:val="105"/>
        </w:rPr>
        <w:t> </w:t>
      </w:r>
      <w:r>
        <w:rPr>
          <w:color w:val="231F20"/>
          <w:w w:val="105"/>
        </w:rPr>
        <w:t>una</w:t>
      </w:r>
      <w:r>
        <w:rPr>
          <w:color w:val="231F20"/>
          <w:spacing w:val="-21"/>
          <w:w w:val="105"/>
        </w:rPr>
        <w:t> </w:t>
      </w:r>
      <w:r>
        <w:rPr>
          <w:color w:val="231F20"/>
          <w:w w:val="105"/>
        </w:rPr>
        <w:t>volontà</w:t>
      </w:r>
      <w:r>
        <w:rPr>
          <w:color w:val="231F20"/>
          <w:spacing w:val="-21"/>
          <w:w w:val="105"/>
        </w:rPr>
        <w:t> </w:t>
      </w:r>
      <w:r>
        <w:rPr>
          <w:color w:val="231F20"/>
          <w:w w:val="105"/>
        </w:rPr>
        <w:t>unitaria</w:t>
      </w:r>
      <w:r>
        <w:rPr>
          <w:color w:val="231F20"/>
          <w:w w:val="105"/>
          <w:position w:val="7"/>
          <w:sz w:val="12"/>
        </w:rPr>
        <w:t>3</w:t>
      </w:r>
      <w:r>
        <w:rPr>
          <w:color w:val="231F20"/>
          <w:w w:val="105"/>
        </w:rPr>
        <w:t>.</w:t>
      </w:r>
      <w:r>
        <w:rPr>
          <w:color w:val="231F20"/>
          <w:spacing w:val="-21"/>
          <w:w w:val="105"/>
        </w:rPr>
        <w:t> </w:t>
      </w:r>
      <w:r>
        <w:rPr>
          <w:color w:val="231F20"/>
          <w:w w:val="105"/>
        </w:rPr>
        <w:t>In</w:t>
      </w:r>
      <w:r>
        <w:rPr>
          <w:color w:val="231F20"/>
          <w:spacing w:val="-21"/>
          <w:w w:val="105"/>
        </w:rPr>
        <w:t> </w:t>
      </w:r>
      <w:r>
        <w:rPr>
          <w:color w:val="231F20"/>
          <w:w w:val="105"/>
        </w:rPr>
        <w:t>questo</w:t>
      </w:r>
      <w:r>
        <w:rPr>
          <w:color w:val="231F20"/>
          <w:spacing w:val="-21"/>
          <w:w w:val="105"/>
        </w:rPr>
        <w:t> </w:t>
      </w:r>
      <w:r>
        <w:rPr>
          <w:color w:val="231F20"/>
          <w:w w:val="105"/>
        </w:rPr>
        <w:t>modo</w:t>
      </w:r>
      <w:r>
        <w:rPr>
          <w:color w:val="231F20"/>
          <w:spacing w:val="-21"/>
          <w:w w:val="105"/>
        </w:rPr>
        <w:t> </w:t>
      </w:r>
      <w:r>
        <w:rPr>
          <w:color w:val="231F20"/>
          <w:w w:val="105"/>
        </w:rPr>
        <w:t>lo Stato</w:t>
      </w:r>
      <w:r>
        <w:rPr>
          <w:color w:val="231F20"/>
          <w:spacing w:val="-18"/>
          <w:w w:val="105"/>
        </w:rPr>
        <w:t> </w:t>
      </w:r>
      <w:r>
        <w:rPr>
          <w:color w:val="231F20"/>
          <w:w w:val="105"/>
        </w:rPr>
        <w:t>tende</w:t>
      </w:r>
      <w:r>
        <w:rPr>
          <w:color w:val="231F20"/>
          <w:spacing w:val="-18"/>
          <w:w w:val="105"/>
        </w:rPr>
        <w:t> </w:t>
      </w:r>
      <w:r>
        <w:rPr>
          <w:color w:val="231F20"/>
          <w:w w:val="105"/>
        </w:rPr>
        <w:t>a</w:t>
      </w:r>
      <w:r>
        <w:rPr>
          <w:color w:val="231F20"/>
          <w:spacing w:val="-18"/>
          <w:w w:val="105"/>
        </w:rPr>
        <w:t> </w:t>
      </w:r>
      <w:r>
        <w:rPr>
          <w:color w:val="231F20"/>
          <w:w w:val="105"/>
        </w:rPr>
        <w:t>essere</w:t>
      </w:r>
      <w:r>
        <w:rPr>
          <w:color w:val="231F20"/>
          <w:spacing w:val="-18"/>
          <w:w w:val="105"/>
        </w:rPr>
        <w:t> </w:t>
      </w:r>
      <w:r>
        <w:rPr>
          <w:color w:val="231F20"/>
          <w:w w:val="105"/>
        </w:rPr>
        <w:t>equiparato</w:t>
      </w:r>
      <w:r>
        <w:rPr>
          <w:color w:val="231F20"/>
          <w:spacing w:val="-18"/>
          <w:w w:val="105"/>
        </w:rPr>
        <w:t> </w:t>
      </w:r>
      <w:r>
        <w:rPr>
          <w:color w:val="231F20"/>
          <w:w w:val="105"/>
        </w:rPr>
        <w:t>a</w:t>
      </w:r>
      <w:r>
        <w:rPr>
          <w:color w:val="231F20"/>
          <w:spacing w:val="-18"/>
          <w:w w:val="105"/>
        </w:rPr>
        <w:t> </w:t>
      </w:r>
      <w:r>
        <w:rPr>
          <w:color w:val="231F20"/>
          <w:w w:val="105"/>
        </w:rPr>
        <w:t>un’agenzia</w:t>
      </w:r>
      <w:r>
        <w:rPr>
          <w:color w:val="231F20"/>
          <w:spacing w:val="-18"/>
          <w:w w:val="105"/>
        </w:rPr>
        <w:t> </w:t>
      </w:r>
      <w:r>
        <w:rPr>
          <w:color w:val="231F20"/>
          <w:w w:val="105"/>
        </w:rPr>
        <w:t>amministrativa</w:t>
      </w:r>
      <w:r>
        <w:rPr>
          <w:color w:val="231F20"/>
          <w:spacing w:val="-18"/>
          <w:w w:val="105"/>
        </w:rPr>
        <w:t> </w:t>
      </w:r>
      <w:r>
        <w:rPr>
          <w:color w:val="231F20"/>
          <w:w w:val="105"/>
        </w:rPr>
        <w:t>con</w:t>
      </w:r>
      <w:r>
        <w:rPr>
          <w:color w:val="231F20"/>
          <w:spacing w:val="-18"/>
          <w:w w:val="105"/>
        </w:rPr>
        <w:t> </w:t>
      </w:r>
      <w:r>
        <w:rPr>
          <w:color w:val="231F20"/>
          <w:w w:val="105"/>
        </w:rPr>
        <w:t>compiti più</w:t>
      </w:r>
      <w:r>
        <w:rPr>
          <w:color w:val="231F20"/>
          <w:spacing w:val="-36"/>
          <w:w w:val="105"/>
        </w:rPr>
        <w:t> </w:t>
      </w:r>
      <w:r>
        <w:rPr>
          <w:color w:val="231F20"/>
          <w:w w:val="105"/>
        </w:rPr>
        <w:t>o</w:t>
      </w:r>
      <w:r>
        <w:rPr>
          <w:color w:val="231F20"/>
          <w:spacing w:val="-36"/>
          <w:w w:val="105"/>
        </w:rPr>
        <w:t> </w:t>
      </w:r>
      <w:r>
        <w:rPr>
          <w:color w:val="231F20"/>
          <w:w w:val="105"/>
        </w:rPr>
        <w:t>meno</w:t>
      </w:r>
      <w:r>
        <w:rPr>
          <w:color w:val="231F20"/>
          <w:spacing w:val="-36"/>
          <w:w w:val="105"/>
        </w:rPr>
        <w:t> </w:t>
      </w:r>
      <w:r>
        <w:rPr>
          <w:color w:val="231F20"/>
          <w:w w:val="105"/>
        </w:rPr>
        <w:t>ampi</w:t>
      </w:r>
      <w:r>
        <w:rPr>
          <w:color w:val="231F20"/>
          <w:spacing w:val="-36"/>
          <w:w w:val="105"/>
        </w:rPr>
        <w:t> </w:t>
      </w:r>
      <w:r>
        <w:rPr>
          <w:color w:val="231F20"/>
          <w:w w:val="105"/>
        </w:rPr>
        <w:t>e</w:t>
      </w:r>
      <w:r>
        <w:rPr>
          <w:color w:val="231F20"/>
          <w:spacing w:val="-36"/>
          <w:w w:val="105"/>
        </w:rPr>
        <w:t> </w:t>
      </w:r>
      <w:r>
        <w:rPr>
          <w:color w:val="231F20"/>
          <w:w w:val="105"/>
        </w:rPr>
        <w:t>definiti.</w:t>
      </w:r>
      <w:r>
        <w:rPr>
          <w:color w:val="231F20"/>
          <w:spacing w:val="-36"/>
          <w:w w:val="105"/>
        </w:rPr>
        <w:t> </w:t>
      </w:r>
      <w:r>
        <w:rPr>
          <w:color w:val="231F20"/>
          <w:w w:val="105"/>
        </w:rPr>
        <w:t>Di</w:t>
      </w:r>
      <w:r>
        <w:rPr>
          <w:color w:val="231F20"/>
          <w:spacing w:val="-36"/>
          <w:w w:val="105"/>
        </w:rPr>
        <w:t> </w:t>
      </w:r>
      <w:r>
        <w:rPr>
          <w:color w:val="231F20"/>
          <w:w w:val="105"/>
        </w:rPr>
        <w:t>conseguenza</w:t>
      </w:r>
      <w:r>
        <w:rPr>
          <w:color w:val="231F20"/>
          <w:spacing w:val="-36"/>
          <w:w w:val="105"/>
        </w:rPr>
        <w:t> </w:t>
      </w:r>
      <w:r>
        <w:rPr>
          <w:color w:val="231F20"/>
          <w:w w:val="105"/>
        </w:rPr>
        <w:t>esso</w:t>
      </w:r>
      <w:r>
        <w:rPr>
          <w:color w:val="231F20"/>
          <w:spacing w:val="-36"/>
          <w:w w:val="105"/>
        </w:rPr>
        <w:t> </w:t>
      </w:r>
      <w:r>
        <w:rPr>
          <w:color w:val="231F20"/>
          <w:w w:val="105"/>
        </w:rPr>
        <w:t>non</w:t>
      </w:r>
      <w:r>
        <w:rPr>
          <w:color w:val="231F20"/>
          <w:spacing w:val="-36"/>
          <w:w w:val="105"/>
        </w:rPr>
        <w:t> </w:t>
      </w:r>
      <w:r>
        <w:rPr>
          <w:color w:val="231F20"/>
          <w:w w:val="105"/>
        </w:rPr>
        <w:t>può</w:t>
      </w:r>
      <w:r>
        <w:rPr>
          <w:color w:val="231F20"/>
          <w:spacing w:val="-36"/>
          <w:w w:val="105"/>
        </w:rPr>
        <w:t> </w:t>
      </w:r>
      <w:r>
        <w:rPr>
          <w:color w:val="231F20"/>
          <w:w w:val="105"/>
        </w:rPr>
        <w:t>più</w:t>
      </w:r>
      <w:r>
        <w:rPr>
          <w:color w:val="231F20"/>
          <w:spacing w:val="-36"/>
          <w:w w:val="105"/>
        </w:rPr>
        <w:t> </w:t>
      </w:r>
      <w:r>
        <w:rPr>
          <w:color w:val="231F20"/>
          <w:w w:val="105"/>
        </w:rPr>
        <w:t>in</w:t>
      </w:r>
      <w:r>
        <w:rPr>
          <w:color w:val="231F20"/>
          <w:spacing w:val="-36"/>
          <w:w w:val="105"/>
        </w:rPr>
        <w:t> </w:t>
      </w:r>
      <w:r>
        <w:rPr>
          <w:color w:val="231F20"/>
          <w:w w:val="105"/>
        </w:rPr>
        <w:t>alcun</w:t>
      </w:r>
      <w:r>
        <w:rPr>
          <w:color w:val="231F20"/>
          <w:spacing w:val="-36"/>
          <w:w w:val="105"/>
        </w:rPr>
        <w:t> </w:t>
      </w:r>
      <w:r>
        <w:rPr>
          <w:color w:val="231F20"/>
          <w:w w:val="105"/>
        </w:rPr>
        <w:t>modo </w:t>
      </w:r>
      <w:r>
        <w:rPr>
          <w:color w:val="231F20"/>
          <w:spacing w:val="-4"/>
          <w:w w:val="105"/>
        </w:rPr>
        <w:t>essere</w:t>
      </w:r>
      <w:r>
        <w:rPr>
          <w:color w:val="231F20"/>
          <w:spacing w:val="-43"/>
          <w:w w:val="105"/>
        </w:rPr>
        <w:t> </w:t>
      </w:r>
      <w:r>
        <w:rPr>
          <w:color w:val="231F20"/>
          <w:w w:val="105"/>
        </w:rPr>
        <w:t>il</w:t>
      </w:r>
      <w:r>
        <w:rPr>
          <w:color w:val="231F20"/>
          <w:spacing w:val="-43"/>
          <w:w w:val="105"/>
        </w:rPr>
        <w:t> </w:t>
      </w:r>
      <w:r>
        <w:rPr>
          <w:color w:val="231F20"/>
          <w:spacing w:val="-3"/>
          <w:w w:val="105"/>
        </w:rPr>
        <w:t>garante</w:t>
      </w:r>
      <w:r>
        <w:rPr>
          <w:color w:val="231F20"/>
          <w:spacing w:val="-43"/>
          <w:w w:val="105"/>
        </w:rPr>
        <w:t> </w:t>
      </w:r>
      <w:r>
        <w:rPr>
          <w:color w:val="231F20"/>
          <w:spacing w:val="-4"/>
          <w:w w:val="105"/>
        </w:rPr>
        <w:t>dell’ordine</w:t>
      </w:r>
      <w:r>
        <w:rPr>
          <w:color w:val="231F20"/>
          <w:spacing w:val="-43"/>
          <w:w w:val="105"/>
        </w:rPr>
        <w:t> </w:t>
      </w:r>
      <w:r>
        <w:rPr>
          <w:color w:val="231F20"/>
          <w:spacing w:val="-3"/>
          <w:w w:val="105"/>
        </w:rPr>
        <w:t>sovrano,</w:t>
      </w:r>
      <w:r>
        <w:rPr>
          <w:color w:val="231F20"/>
          <w:spacing w:val="-43"/>
          <w:w w:val="105"/>
        </w:rPr>
        <w:t> </w:t>
      </w:r>
      <w:r>
        <w:rPr>
          <w:color w:val="231F20"/>
          <w:w w:val="105"/>
        </w:rPr>
        <w:t>ma</w:t>
      </w:r>
      <w:r>
        <w:rPr>
          <w:color w:val="231F20"/>
          <w:spacing w:val="-43"/>
          <w:w w:val="105"/>
        </w:rPr>
        <w:t> </w:t>
      </w:r>
      <w:r>
        <w:rPr>
          <w:color w:val="231F20"/>
          <w:spacing w:val="-3"/>
          <w:w w:val="105"/>
        </w:rPr>
        <w:t>solo</w:t>
      </w:r>
      <w:r>
        <w:rPr>
          <w:color w:val="231F20"/>
          <w:spacing w:val="-43"/>
          <w:w w:val="105"/>
        </w:rPr>
        <w:t> </w:t>
      </w:r>
      <w:r>
        <w:rPr>
          <w:color w:val="231F20"/>
          <w:spacing w:val="-3"/>
          <w:w w:val="105"/>
        </w:rPr>
        <w:t>l’articolazione</w:t>
      </w:r>
      <w:r>
        <w:rPr>
          <w:color w:val="231F20"/>
          <w:spacing w:val="-43"/>
          <w:w w:val="105"/>
        </w:rPr>
        <w:t> </w:t>
      </w:r>
      <w:r>
        <w:rPr>
          <w:color w:val="231F20"/>
          <w:spacing w:val="-4"/>
          <w:w w:val="105"/>
        </w:rPr>
        <w:t>particolare</w:t>
      </w:r>
      <w:r>
        <w:rPr>
          <w:color w:val="231F20"/>
          <w:spacing w:val="-43"/>
          <w:w w:val="105"/>
        </w:rPr>
        <w:t> </w:t>
      </w:r>
      <w:r>
        <w:rPr>
          <w:color w:val="231F20"/>
          <w:w w:val="105"/>
        </w:rPr>
        <w:t>di</w:t>
      </w:r>
      <w:r>
        <w:rPr>
          <w:color w:val="231F20"/>
          <w:spacing w:val="-43"/>
          <w:w w:val="105"/>
        </w:rPr>
        <w:t> </w:t>
      </w:r>
      <w:r>
        <w:rPr>
          <w:color w:val="231F20"/>
          <w:spacing w:val="-3"/>
          <w:w w:val="105"/>
        </w:rPr>
        <w:t>una </w:t>
      </w:r>
      <w:r>
        <w:rPr>
          <w:rFonts w:ascii="Arial" w:hAnsi="Arial"/>
          <w:i/>
          <w:color w:val="231F20"/>
          <w:w w:val="105"/>
        </w:rPr>
        <w:t>governance</w:t>
      </w:r>
      <w:r>
        <w:rPr>
          <w:rFonts w:ascii="Arial" w:hAnsi="Arial"/>
          <w:i/>
          <w:color w:val="231F20"/>
          <w:spacing w:val="-20"/>
          <w:w w:val="105"/>
        </w:rPr>
        <w:t> </w:t>
      </w:r>
      <w:r>
        <w:rPr>
          <w:color w:val="231F20"/>
          <w:w w:val="105"/>
        </w:rPr>
        <w:t>globale</w:t>
      </w:r>
      <w:r>
        <w:rPr>
          <w:color w:val="231F20"/>
          <w:spacing w:val="-31"/>
          <w:w w:val="105"/>
        </w:rPr>
        <w:t> </w:t>
      </w:r>
      <w:r>
        <w:rPr>
          <w:color w:val="231F20"/>
          <w:w w:val="105"/>
        </w:rPr>
        <w:t>che</w:t>
      </w:r>
      <w:r>
        <w:rPr>
          <w:color w:val="231F20"/>
          <w:spacing w:val="-31"/>
          <w:w w:val="105"/>
        </w:rPr>
        <w:t> </w:t>
      </w:r>
      <w:r>
        <w:rPr>
          <w:color w:val="231F20"/>
          <w:w w:val="105"/>
        </w:rPr>
        <w:t>sembra</w:t>
      </w:r>
      <w:r>
        <w:rPr>
          <w:color w:val="231F20"/>
          <w:spacing w:val="-31"/>
          <w:w w:val="105"/>
        </w:rPr>
        <w:t> </w:t>
      </w:r>
      <w:r>
        <w:rPr>
          <w:color w:val="231F20"/>
          <w:w w:val="105"/>
        </w:rPr>
        <w:t>appropriarsi</w:t>
      </w:r>
      <w:r>
        <w:rPr>
          <w:color w:val="231F20"/>
          <w:spacing w:val="-31"/>
          <w:w w:val="105"/>
        </w:rPr>
        <w:t> </w:t>
      </w:r>
      <w:r>
        <w:rPr>
          <w:color w:val="231F20"/>
          <w:w w:val="105"/>
        </w:rPr>
        <w:t>della</w:t>
      </w:r>
      <w:r>
        <w:rPr>
          <w:color w:val="231F20"/>
          <w:spacing w:val="-31"/>
          <w:w w:val="105"/>
        </w:rPr>
        <w:t> </w:t>
      </w:r>
      <w:r>
        <w:rPr>
          <w:color w:val="231F20"/>
          <w:w w:val="105"/>
        </w:rPr>
        <w:t>politica</w:t>
      </w:r>
      <w:r>
        <w:rPr>
          <w:color w:val="231F20"/>
          <w:spacing w:val="-31"/>
          <w:w w:val="105"/>
        </w:rPr>
        <w:t> </w:t>
      </w:r>
      <w:r>
        <w:rPr>
          <w:color w:val="231F20"/>
          <w:w w:val="105"/>
        </w:rPr>
        <w:t>della</w:t>
      </w:r>
      <w:r>
        <w:rPr>
          <w:color w:val="231F20"/>
          <w:spacing w:val="-31"/>
          <w:w w:val="105"/>
        </w:rPr>
        <w:t> </w:t>
      </w:r>
      <w:r>
        <w:rPr>
          <w:color w:val="231F20"/>
          <w:w w:val="105"/>
        </w:rPr>
        <w:t>sovranità. Viene</w:t>
      </w:r>
      <w:r>
        <w:rPr>
          <w:color w:val="231F20"/>
          <w:spacing w:val="-40"/>
          <w:w w:val="105"/>
        </w:rPr>
        <w:t> </w:t>
      </w:r>
      <w:r>
        <w:rPr>
          <w:color w:val="231F20"/>
          <w:spacing w:val="-3"/>
          <w:w w:val="105"/>
        </w:rPr>
        <w:t>così</w:t>
      </w:r>
      <w:r>
        <w:rPr>
          <w:color w:val="231F20"/>
          <w:spacing w:val="-40"/>
          <w:w w:val="105"/>
        </w:rPr>
        <w:t> </w:t>
      </w:r>
      <w:r>
        <w:rPr>
          <w:color w:val="231F20"/>
          <w:spacing w:val="-3"/>
          <w:w w:val="105"/>
        </w:rPr>
        <w:t>messo</w:t>
      </w:r>
      <w:r>
        <w:rPr>
          <w:color w:val="231F20"/>
          <w:spacing w:val="-40"/>
          <w:w w:val="105"/>
        </w:rPr>
        <w:t> </w:t>
      </w:r>
      <w:r>
        <w:rPr>
          <w:color w:val="231F20"/>
          <w:w w:val="105"/>
        </w:rPr>
        <w:t>in</w:t>
      </w:r>
      <w:r>
        <w:rPr>
          <w:color w:val="231F20"/>
          <w:spacing w:val="-40"/>
          <w:w w:val="105"/>
        </w:rPr>
        <w:t> </w:t>
      </w:r>
      <w:r>
        <w:rPr>
          <w:color w:val="231F20"/>
          <w:spacing w:val="-3"/>
          <w:w w:val="105"/>
        </w:rPr>
        <w:t>discussione</w:t>
      </w:r>
      <w:r>
        <w:rPr>
          <w:color w:val="231F20"/>
          <w:spacing w:val="-40"/>
          <w:w w:val="105"/>
        </w:rPr>
        <w:t> </w:t>
      </w:r>
      <w:r>
        <w:rPr>
          <w:color w:val="231F20"/>
          <w:spacing w:val="-3"/>
          <w:w w:val="105"/>
        </w:rPr>
        <w:t>l’ordine</w:t>
      </w:r>
      <w:r>
        <w:rPr>
          <w:color w:val="231F20"/>
          <w:spacing w:val="-40"/>
          <w:w w:val="105"/>
        </w:rPr>
        <w:t> </w:t>
      </w:r>
      <w:r>
        <w:rPr>
          <w:color w:val="231F20"/>
          <w:spacing w:val="-3"/>
          <w:w w:val="105"/>
        </w:rPr>
        <w:t>politico</w:t>
      </w:r>
      <w:r>
        <w:rPr>
          <w:color w:val="231F20"/>
          <w:spacing w:val="-40"/>
          <w:w w:val="105"/>
        </w:rPr>
        <w:t> </w:t>
      </w:r>
      <w:r>
        <w:rPr>
          <w:color w:val="231F20"/>
          <w:w w:val="105"/>
        </w:rPr>
        <w:t>che</w:t>
      </w:r>
      <w:r>
        <w:rPr>
          <w:color w:val="231F20"/>
          <w:spacing w:val="-40"/>
          <w:w w:val="105"/>
        </w:rPr>
        <w:t> </w:t>
      </w:r>
      <w:r>
        <w:rPr>
          <w:color w:val="231F20"/>
          <w:w w:val="105"/>
        </w:rPr>
        <w:t>per</w:t>
      </w:r>
      <w:r>
        <w:rPr>
          <w:color w:val="231F20"/>
          <w:spacing w:val="-40"/>
          <w:w w:val="105"/>
        </w:rPr>
        <w:t> </w:t>
      </w:r>
      <w:r>
        <w:rPr>
          <w:color w:val="231F20"/>
          <w:spacing w:val="-3"/>
          <w:w w:val="105"/>
        </w:rPr>
        <w:t>secoli</w:t>
      </w:r>
      <w:r>
        <w:rPr>
          <w:color w:val="231F20"/>
          <w:spacing w:val="-40"/>
          <w:w w:val="105"/>
        </w:rPr>
        <w:t> </w:t>
      </w:r>
      <w:r>
        <w:rPr>
          <w:color w:val="231F20"/>
          <w:spacing w:val="-3"/>
          <w:w w:val="105"/>
        </w:rPr>
        <w:t>aveva</w:t>
      </w:r>
      <w:r>
        <w:rPr>
          <w:color w:val="231F20"/>
          <w:spacing w:val="-40"/>
          <w:w w:val="105"/>
        </w:rPr>
        <w:t> </w:t>
      </w:r>
      <w:r>
        <w:rPr>
          <w:color w:val="231F20"/>
          <w:spacing w:val="-3"/>
          <w:w w:val="105"/>
        </w:rPr>
        <w:t>stabilito </w:t>
      </w:r>
      <w:r>
        <w:rPr>
          <w:color w:val="231F20"/>
          <w:w w:val="105"/>
        </w:rPr>
        <w:t>una</w:t>
      </w:r>
      <w:r>
        <w:rPr>
          <w:color w:val="231F20"/>
          <w:spacing w:val="-34"/>
          <w:w w:val="105"/>
        </w:rPr>
        <w:t> </w:t>
      </w:r>
      <w:r>
        <w:rPr>
          <w:color w:val="231F20"/>
          <w:w w:val="105"/>
        </w:rPr>
        <w:t>precisa</w:t>
      </w:r>
      <w:r>
        <w:rPr>
          <w:color w:val="231F20"/>
          <w:spacing w:val="-34"/>
          <w:w w:val="105"/>
        </w:rPr>
        <w:t> </w:t>
      </w:r>
      <w:r>
        <w:rPr>
          <w:color w:val="231F20"/>
          <w:w w:val="105"/>
        </w:rPr>
        <w:t>modalità</w:t>
      </w:r>
      <w:r>
        <w:rPr>
          <w:color w:val="231F20"/>
          <w:spacing w:val="-34"/>
          <w:w w:val="105"/>
        </w:rPr>
        <w:t> </w:t>
      </w:r>
      <w:r>
        <w:rPr>
          <w:color w:val="231F20"/>
          <w:w w:val="105"/>
        </w:rPr>
        <w:t>per</w:t>
      </w:r>
      <w:r>
        <w:rPr>
          <w:color w:val="231F20"/>
          <w:spacing w:val="-34"/>
          <w:w w:val="105"/>
        </w:rPr>
        <w:t> </w:t>
      </w:r>
      <w:r>
        <w:rPr>
          <w:color w:val="231F20"/>
          <w:w w:val="105"/>
        </w:rPr>
        <w:t>la</w:t>
      </w:r>
      <w:r>
        <w:rPr>
          <w:color w:val="231F20"/>
          <w:spacing w:val="-34"/>
          <w:w w:val="105"/>
        </w:rPr>
        <w:t> </w:t>
      </w:r>
      <w:r>
        <w:rPr>
          <w:color w:val="231F20"/>
          <w:w w:val="105"/>
        </w:rPr>
        <w:t>delimitazione</w:t>
      </w:r>
      <w:r>
        <w:rPr>
          <w:color w:val="231F20"/>
          <w:spacing w:val="-34"/>
          <w:w w:val="105"/>
        </w:rPr>
        <w:t> </w:t>
      </w:r>
      <w:r>
        <w:rPr>
          <w:color w:val="231F20"/>
          <w:w w:val="105"/>
        </w:rPr>
        <w:t>e</w:t>
      </w:r>
      <w:r>
        <w:rPr>
          <w:color w:val="231F20"/>
          <w:spacing w:val="-34"/>
          <w:w w:val="105"/>
        </w:rPr>
        <w:t> </w:t>
      </w:r>
      <w:r>
        <w:rPr>
          <w:color w:val="231F20"/>
          <w:w w:val="105"/>
        </w:rPr>
        <w:t>la</w:t>
      </w:r>
      <w:r>
        <w:rPr>
          <w:color w:val="231F20"/>
          <w:spacing w:val="-34"/>
          <w:w w:val="105"/>
        </w:rPr>
        <w:t> </w:t>
      </w:r>
      <w:r>
        <w:rPr>
          <w:color w:val="231F20"/>
          <w:w w:val="105"/>
        </w:rPr>
        <w:t>gerarchia</w:t>
      </w:r>
      <w:r>
        <w:rPr>
          <w:color w:val="231F20"/>
          <w:spacing w:val="-34"/>
          <w:w w:val="105"/>
        </w:rPr>
        <w:t> </w:t>
      </w:r>
      <w:r>
        <w:rPr>
          <w:color w:val="231F20"/>
          <w:w w:val="105"/>
        </w:rPr>
        <w:t>degli</w:t>
      </w:r>
      <w:r>
        <w:rPr>
          <w:color w:val="231F20"/>
          <w:spacing w:val="-34"/>
          <w:w w:val="105"/>
        </w:rPr>
        <w:t> </w:t>
      </w:r>
      <w:r>
        <w:rPr>
          <w:color w:val="231F20"/>
          <w:w w:val="105"/>
        </w:rPr>
        <w:t>spazi</w:t>
      </w:r>
      <w:r>
        <w:rPr>
          <w:color w:val="231F20"/>
          <w:spacing w:val="-34"/>
          <w:w w:val="105"/>
        </w:rPr>
        <w:t> </w:t>
      </w:r>
      <w:r>
        <w:rPr>
          <w:color w:val="231F20"/>
          <w:w w:val="105"/>
        </w:rPr>
        <w:t>sovrani. Non</w:t>
      </w:r>
      <w:r>
        <w:rPr>
          <w:color w:val="231F20"/>
          <w:spacing w:val="-41"/>
          <w:w w:val="105"/>
        </w:rPr>
        <w:t> </w:t>
      </w:r>
      <w:r>
        <w:rPr>
          <w:color w:val="231F20"/>
          <w:w w:val="105"/>
        </w:rPr>
        <w:t>è</w:t>
      </w:r>
      <w:r>
        <w:rPr>
          <w:color w:val="231F20"/>
          <w:spacing w:val="-41"/>
          <w:w w:val="105"/>
        </w:rPr>
        <w:t> </w:t>
      </w:r>
      <w:r>
        <w:rPr>
          <w:color w:val="231F20"/>
          <w:w w:val="105"/>
        </w:rPr>
        <w:t>tuttavia</w:t>
      </w:r>
      <w:r>
        <w:rPr>
          <w:color w:val="231F20"/>
          <w:spacing w:val="-41"/>
          <w:w w:val="105"/>
        </w:rPr>
        <w:t> </w:t>
      </w:r>
      <w:r>
        <w:rPr>
          <w:color w:val="231F20"/>
          <w:w w:val="105"/>
        </w:rPr>
        <w:t>solo</w:t>
      </w:r>
      <w:r>
        <w:rPr>
          <w:color w:val="231F20"/>
          <w:spacing w:val="-41"/>
          <w:w w:val="105"/>
        </w:rPr>
        <w:t> </w:t>
      </w:r>
      <w:r>
        <w:rPr>
          <w:color w:val="231F20"/>
          <w:w w:val="105"/>
        </w:rPr>
        <w:t>la</w:t>
      </w:r>
      <w:r>
        <w:rPr>
          <w:color w:val="231F20"/>
          <w:spacing w:val="-41"/>
          <w:w w:val="105"/>
        </w:rPr>
        <w:t> </w:t>
      </w:r>
      <w:r>
        <w:rPr>
          <w:color w:val="231F20"/>
          <w:spacing w:val="-3"/>
          <w:w w:val="105"/>
        </w:rPr>
        <w:t>difficoltà</w:t>
      </w:r>
      <w:r>
        <w:rPr>
          <w:color w:val="231F20"/>
          <w:spacing w:val="-41"/>
          <w:w w:val="105"/>
        </w:rPr>
        <w:t> </w:t>
      </w:r>
      <w:r>
        <w:rPr>
          <w:color w:val="231F20"/>
          <w:w w:val="105"/>
        </w:rPr>
        <w:t>di</w:t>
      </w:r>
      <w:r>
        <w:rPr>
          <w:color w:val="231F20"/>
          <w:spacing w:val="-41"/>
          <w:w w:val="105"/>
        </w:rPr>
        <w:t> </w:t>
      </w:r>
      <w:r>
        <w:rPr>
          <w:color w:val="231F20"/>
          <w:spacing w:val="-3"/>
          <w:w w:val="105"/>
        </w:rPr>
        <w:t>governare</w:t>
      </w:r>
      <w:r>
        <w:rPr>
          <w:color w:val="231F20"/>
          <w:spacing w:val="-41"/>
          <w:w w:val="105"/>
        </w:rPr>
        <w:t> </w:t>
      </w:r>
      <w:r>
        <w:rPr>
          <w:color w:val="231F20"/>
          <w:w w:val="105"/>
        </w:rPr>
        <w:t>in</w:t>
      </w:r>
      <w:r>
        <w:rPr>
          <w:color w:val="231F20"/>
          <w:spacing w:val="-41"/>
          <w:w w:val="105"/>
        </w:rPr>
        <w:t> </w:t>
      </w:r>
      <w:r>
        <w:rPr>
          <w:color w:val="231F20"/>
          <w:w w:val="105"/>
        </w:rPr>
        <w:t>modo</w:t>
      </w:r>
      <w:r>
        <w:rPr>
          <w:color w:val="231F20"/>
          <w:spacing w:val="-41"/>
          <w:w w:val="105"/>
        </w:rPr>
        <w:t> </w:t>
      </w:r>
      <w:r>
        <w:rPr>
          <w:color w:val="231F20"/>
          <w:spacing w:val="-3"/>
          <w:w w:val="105"/>
        </w:rPr>
        <w:t>efficace</w:t>
      </w:r>
      <w:r>
        <w:rPr>
          <w:color w:val="231F20"/>
          <w:spacing w:val="-41"/>
          <w:w w:val="105"/>
        </w:rPr>
        <w:t> </w:t>
      </w:r>
      <w:r>
        <w:rPr>
          <w:color w:val="231F20"/>
          <w:w w:val="105"/>
        </w:rPr>
        <w:t>gli</w:t>
      </w:r>
      <w:r>
        <w:rPr>
          <w:color w:val="231F20"/>
          <w:spacing w:val="-41"/>
          <w:w w:val="105"/>
        </w:rPr>
        <w:t> </w:t>
      </w:r>
      <w:r>
        <w:rPr>
          <w:color w:val="231F20"/>
          <w:w w:val="105"/>
        </w:rPr>
        <w:t>spazi</w:t>
      </w:r>
      <w:r>
        <w:rPr>
          <w:color w:val="231F20"/>
          <w:spacing w:val="-41"/>
          <w:w w:val="105"/>
        </w:rPr>
        <w:t> </w:t>
      </w:r>
      <w:r>
        <w:rPr>
          <w:color w:val="231F20"/>
          <w:w w:val="105"/>
        </w:rPr>
        <w:t>esterni a</w:t>
      </w:r>
      <w:r>
        <w:rPr>
          <w:color w:val="231F20"/>
          <w:spacing w:val="-15"/>
          <w:w w:val="105"/>
        </w:rPr>
        <w:t> </w:t>
      </w:r>
      <w:r>
        <w:rPr>
          <w:color w:val="231F20"/>
          <w:w w:val="105"/>
        </w:rPr>
        <w:t>determinare</w:t>
      </w:r>
      <w:r>
        <w:rPr>
          <w:color w:val="231F20"/>
          <w:spacing w:val="-15"/>
          <w:w w:val="105"/>
        </w:rPr>
        <w:t> </w:t>
      </w:r>
      <w:r>
        <w:rPr>
          <w:color w:val="231F20"/>
          <w:w w:val="105"/>
        </w:rPr>
        <w:t>quella</w:t>
      </w:r>
      <w:r>
        <w:rPr>
          <w:color w:val="231F20"/>
          <w:spacing w:val="-15"/>
          <w:w w:val="105"/>
        </w:rPr>
        <w:t> </w:t>
      </w:r>
      <w:r>
        <w:rPr>
          <w:color w:val="231F20"/>
          <w:w w:val="105"/>
        </w:rPr>
        <w:t>che</w:t>
      </w:r>
      <w:r>
        <w:rPr>
          <w:color w:val="231F20"/>
          <w:spacing w:val="-15"/>
          <w:w w:val="105"/>
        </w:rPr>
        <w:t> </w:t>
      </w:r>
      <w:r>
        <w:rPr>
          <w:color w:val="231F20"/>
          <w:w w:val="105"/>
        </w:rPr>
        <w:t>appare</w:t>
      </w:r>
      <w:r>
        <w:rPr>
          <w:color w:val="231F20"/>
          <w:spacing w:val="-15"/>
          <w:w w:val="105"/>
        </w:rPr>
        <w:t> </w:t>
      </w:r>
      <w:r>
        <w:rPr>
          <w:color w:val="231F20"/>
          <w:w w:val="105"/>
        </w:rPr>
        <w:t>come</w:t>
      </w:r>
      <w:r>
        <w:rPr>
          <w:color w:val="231F20"/>
          <w:spacing w:val="-15"/>
          <w:w w:val="105"/>
        </w:rPr>
        <w:t> </w:t>
      </w:r>
      <w:r>
        <w:rPr>
          <w:color w:val="231F20"/>
          <w:w w:val="105"/>
        </w:rPr>
        <w:t>un’inesorabile</w:t>
      </w:r>
      <w:r>
        <w:rPr>
          <w:color w:val="231F20"/>
          <w:spacing w:val="-15"/>
          <w:w w:val="105"/>
        </w:rPr>
        <w:t> </w:t>
      </w:r>
      <w:r>
        <w:rPr>
          <w:color w:val="231F20"/>
          <w:w w:val="105"/>
        </w:rPr>
        <w:t>obsolescenza</w:t>
      </w:r>
      <w:r>
        <w:rPr>
          <w:color w:val="231F20"/>
          <w:spacing w:val="-15"/>
          <w:w w:val="105"/>
        </w:rPr>
        <w:t> </w:t>
      </w:r>
      <w:r>
        <w:rPr>
          <w:color w:val="231F20"/>
          <w:w w:val="105"/>
        </w:rPr>
        <w:t>dello Stato.</w:t>
      </w:r>
      <w:r>
        <w:rPr>
          <w:color w:val="231F20"/>
          <w:spacing w:val="-34"/>
          <w:w w:val="105"/>
        </w:rPr>
        <w:t> </w:t>
      </w:r>
      <w:r>
        <w:rPr>
          <w:color w:val="231F20"/>
          <w:w w:val="105"/>
        </w:rPr>
        <w:t>Il</w:t>
      </w:r>
      <w:r>
        <w:rPr>
          <w:color w:val="231F20"/>
          <w:spacing w:val="-34"/>
          <w:w w:val="105"/>
        </w:rPr>
        <w:t> </w:t>
      </w:r>
      <w:r>
        <w:rPr>
          <w:color w:val="231F20"/>
          <w:w w:val="105"/>
        </w:rPr>
        <w:t>rapporto</w:t>
      </w:r>
      <w:r>
        <w:rPr>
          <w:color w:val="231F20"/>
          <w:spacing w:val="-34"/>
          <w:w w:val="105"/>
        </w:rPr>
        <w:t> </w:t>
      </w:r>
      <w:r>
        <w:rPr>
          <w:color w:val="231F20"/>
          <w:w w:val="105"/>
        </w:rPr>
        <w:t>tra</w:t>
      </w:r>
      <w:r>
        <w:rPr>
          <w:color w:val="231F20"/>
          <w:spacing w:val="-34"/>
          <w:w w:val="105"/>
        </w:rPr>
        <w:t> </w:t>
      </w:r>
      <w:r>
        <w:rPr>
          <w:color w:val="231F20"/>
          <w:w w:val="105"/>
        </w:rPr>
        <w:t>Stato</w:t>
      </w:r>
      <w:r>
        <w:rPr>
          <w:color w:val="231F20"/>
          <w:spacing w:val="-34"/>
          <w:w w:val="105"/>
        </w:rPr>
        <w:t> </w:t>
      </w:r>
      <w:r>
        <w:rPr>
          <w:color w:val="231F20"/>
          <w:w w:val="105"/>
        </w:rPr>
        <w:t>e</w:t>
      </w:r>
      <w:r>
        <w:rPr>
          <w:color w:val="231F20"/>
          <w:spacing w:val="-34"/>
          <w:w w:val="105"/>
        </w:rPr>
        <w:t> </w:t>
      </w:r>
      <w:r>
        <w:rPr>
          <w:color w:val="231F20"/>
          <w:w w:val="105"/>
        </w:rPr>
        <w:t>sovranità</w:t>
      </w:r>
      <w:r>
        <w:rPr>
          <w:color w:val="231F20"/>
          <w:spacing w:val="-34"/>
          <w:w w:val="105"/>
        </w:rPr>
        <w:t> </w:t>
      </w:r>
      <w:r>
        <w:rPr>
          <w:color w:val="231F20"/>
          <w:w w:val="105"/>
        </w:rPr>
        <w:t>è</w:t>
      </w:r>
      <w:r>
        <w:rPr>
          <w:color w:val="231F20"/>
          <w:spacing w:val="-34"/>
          <w:w w:val="105"/>
        </w:rPr>
        <w:t> </w:t>
      </w:r>
      <w:r>
        <w:rPr>
          <w:color w:val="231F20"/>
          <w:w w:val="105"/>
        </w:rPr>
        <w:t>messo</w:t>
      </w:r>
      <w:r>
        <w:rPr>
          <w:color w:val="231F20"/>
          <w:spacing w:val="-34"/>
          <w:w w:val="105"/>
        </w:rPr>
        <w:t> </w:t>
      </w:r>
      <w:r>
        <w:rPr>
          <w:color w:val="231F20"/>
          <w:w w:val="105"/>
        </w:rPr>
        <w:t>in</w:t>
      </w:r>
      <w:r>
        <w:rPr>
          <w:color w:val="231F20"/>
          <w:spacing w:val="-34"/>
          <w:w w:val="105"/>
        </w:rPr>
        <w:t> </w:t>
      </w:r>
      <w:r>
        <w:rPr>
          <w:color w:val="231F20"/>
          <w:w w:val="105"/>
        </w:rPr>
        <w:t>crisi</w:t>
      </w:r>
      <w:r>
        <w:rPr>
          <w:color w:val="231F20"/>
          <w:spacing w:val="-34"/>
          <w:w w:val="105"/>
        </w:rPr>
        <w:t> </w:t>
      </w:r>
      <w:r>
        <w:rPr>
          <w:color w:val="231F20"/>
          <w:w w:val="105"/>
        </w:rPr>
        <w:t>anche</w:t>
      </w:r>
      <w:r>
        <w:rPr>
          <w:color w:val="231F20"/>
          <w:spacing w:val="-34"/>
          <w:w w:val="105"/>
        </w:rPr>
        <w:t> </w:t>
      </w:r>
      <w:r>
        <w:rPr>
          <w:color w:val="231F20"/>
          <w:w w:val="105"/>
        </w:rPr>
        <w:t>dai</w:t>
      </w:r>
      <w:r>
        <w:rPr>
          <w:color w:val="231F20"/>
          <w:spacing w:val="-34"/>
          <w:w w:val="105"/>
        </w:rPr>
        <w:t> </w:t>
      </w:r>
      <w:r>
        <w:rPr>
          <w:color w:val="231F20"/>
          <w:w w:val="105"/>
        </w:rPr>
        <w:t>simmetrici problemi</w:t>
      </w:r>
      <w:r>
        <w:rPr>
          <w:color w:val="231F20"/>
          <w:spacing w:val="-23"/>
          <w:w w:val="105"/>
        </w:rPr>
        <w:t> </w:t>
      </w:r>
      <w:r>
        <w:rPr>
          <w:color w:val="231F20"/>
          <w:w w:val="105"/>
        </w:rPr>
        <w:t>di</w:t>
      </w:r>
      <w:r>
        <w:rPr>
          <w:color w:val="231F20"/>
          <w:spacing w:val="-23"/>
          <w:w w:val="105"/>
        </w:rPr>
        <w:t> </w:t>
      </w:r>
      <w:r>
        <w:rPr>
          <w:color w:val="231F20"/>
          <w:w w:val="105"/>
        </w:rPr>
        <w:t>governo</w:t>
      </w:r>
      <w:r>
        <w:rPr>
          <w:color w:val="231F20"/>
          <w:spacing w:val="-23"/>
          <w:w w:val="105"/>
        </w:rPr>
        <w:t> </w:t>
      </w:r>
      <w:r>
        <w:rPr>
          <w:color w:val="231F20"/>
          <w:w w:val="105"/>
        </w:rPr>
        <w:t>dello</w:t>
      </w:r>
      <w:r>
        <w:rPr>
          <w:color w:val="231F20"/>
          <w:spacing w:val="-23"/>
          <w:w w:val="105"/>
        </w:rPr>
        <w:t> </w:t>
      </w:r>
      <w:r>
        <w:rPr>
          <w:color w:val="231F20"/>
          <w:w w:val="105"/>
        </w:rPr>
        <w:t>spazio</w:t>
      </w:r>
      <w:r>
        <w:rPr>
          <w:color w:val="231F20"/>
          <w:spacing w:val="-23"/>
          <w:w w:val="105"/>
        </w:rPr>
        <w:t> </w:t>
      </w:r>
      <w:r>
        <w:rPr>
          <w:color w:val="231F20"/>
          <w:w w:val="105"/>
        </w:rPr>
        <w:t>interno.</w:t>
      </w:r>
    </w:p>
    <w:p>
      <w:pPr>
        <w:pStyle w:val="BodyText"/>
        <w:spacing w:line="247" w:lineRule="auto"/>
        <w:ind w:left="103" w:right="108" w:firstLine="566"/>
        <w:jc w:val="both"/>
      </w:pPr>
      <w:r>
        <w:rPr>
          <w:color w:val="231F20"/>
          <w:spacing w:val="3"/>
        </w:rPr>
        <w:t>Come </w:t>
      </w:r>
      <w:r>
        <w:rPr>
          <w:color w:val="231F20"/>
          <w:spacing w:val="2"/>
        </w:rPr>
        <w:t>ha </w:t>
      </w:r>
      <w:r>
        <w:rPr>
          <w:color w:val="231F20"/>
          <w:spacing w:val="4"/>
        </w:rPr>
        <w:t>scritto Aihwa </w:t>
      </w:r>
      <w:r>
        <w:rPr>
          <w:color w:val="231F20"/>
          <w:spacing w:val="3"/>
        </w:rPr>
        <w:t>Ong, </w:t>
      </w:r>
      <w:r>
        <w:rPr>
          <w:color w:val="231F20"/>
          <w:spacing w:val="4"/>
        </w:rPr>
        <w:t>l’impatto </w:t>
      </w:r>
      <w:r>
        <w:rPr>
          <w:color w:val="231F20"/>
          <w:spacing w:val="3"/>
        </w:rPr>
        <w:t>di </w:t>
      </w:r>
      <w:r>
        <w:rPr>
          <w:color w:val="231F20"/>
          <w:spacing w:val="4"/>
        </w:rPr>
        <w:t>decenni </w:t>
      </w:r>
      <w:r>
        <w:rPr>
          <w:color w:val="231F20"/>
          <w:spacing w:val="3"/>
        </w:rPr>
        <w:t>di </w:t>
      </w:r>
      <w:r>
        <w:rPr>
          <w:color w:val="231F20"/>
          <w:spacing w:val="5"/>
        </w:rPr>
        <w:t>politiche </w:t>
      </w:r>
      <w:r>
        <w:rPr>
          <w:color w:val="231F20"/>
        </w:rPr>
        <w:t>neoliberali ha prodotto “spazi e tecnologie politici multipli per un governo differenziato del territorio nazionale”. In questo modo anche l’unità dello spazio interno è stata messa in discussione, perché su alcune porzioni di </w:t>
      </w:r>
      <w:r>
        <w:rPr>
          <w:color w:val="231F20"/>
          <w:spacing w:val="2"/>
        </w:rPr>
        <w:t>quello spazio agenti economici multinazionali </w:t>
      </w:r>
      <w:r>
        <w:rPr>
          <w:color w:val="231F20"/>
        </w:rPr>
        <w:t>e </w:t>
      </w:r>
      <w:r>
        <w:rPr>
          <w:color w:val="231F20"/>
          <w:spacing w:val="2"/>
        </w:rPr>
        <w:t>agenzie internazionali </w:t>
      </w:r>
      <w:r>
        <w:rPr>
          <w:color w:val="231F20"/>
        </w:rPr>
        <w:t>finiscono</w:t>
      </w:r>
      <w:r>
        <w:rPr>
          <w:color w:val="231F20"/>
          <w:spacing w:val="-16"/>
        </w:rPr>
        <w:t> </w:t>
      </w:r>
      <w:r>
        <w:rPr>
          <w:color w:val="231F20"/>
        </w:rPr>
        <w:t>per</w:t>
      </w:r>
      <w:r>
        <w:rPr>
          <w:color w:val="231F20"/>
          <w:spacing w:val="-16"/>
        </w:rPr>
        <w:t> </w:t>
      </w:r>
      <w:r>
        <w:rPr>
          <w:color w:val="231F20"/>
          <w:spacing w:val="-3"/>
        </w:rPr>
        <w:t>avere</w:t>
      </w:r>
      <w:r>
        <w:rPr>
          <w:color w:val="231F20"/>
          <w:spacing w:val="-16"/>
        </w:rPr>
        <w:t> </w:t>
      </w:r>
      <w:r>
        <w:rPr>
          <w:color w:val="231F20"/>
        </w:rPr>
        <w:t>un</w:t>
      </w:r>
      <w:r>
        <w:rPr>
          <w:color w:val="231F20"/>
          <w:spacing w:val="-16"/>
        </w:rPr>
        <w:t> </w:t>
      </w:r>
      <w:r>
        <w:rPr>
          <w:color w:val="231F20"/>
          <w:spacing w:val="-3"/>
        </w:rPr>
        <w:t>potere</w:t>
      </w:r>
      <w:r>
        <w:rPr>
          <w:color w:val="231F20"/>
          <w:spacing w:val="-16"/>
        </w:rPr>
        <w:t> </w:t>
      </w:r>
      <w:r>
        <w:rPr>
          <w:color w:val="231F20"/>
        </w:rPr>
        <w:t>uguale</w:t>
      </w:r>
      <w:r>
        <w:rPr>
          <w:color w:val="231F20"/>
          <w:spacing w:val="-16"/>
        </w:rPr>
        <w:t> </w:t>
      </w:r>
      <w:r>
        <w:rPr>
          <w:color w:val="231F20"/>
        </w:rPr>
        <w:t>e</w:t>
      </w:r>
      <w:r>
        <w:rPr>
          <w:color w:val="231F20"/>
          <w:spacing w:val="-16"/>
        </w:rPr>
        <w:t> </w:t>
      </w:r>
      <w:r>
        <w:rPr>
          <w:color w:val="231F20"/>
        </w:rPr>
        <w:t>talvolta</w:t>
      </w:r>
      <w:r>
        <w:rPr>
          <w:color w:val="231F20"/>
          <w:spacing w:val="-16"/>
        </w:rPr>
        <w:t> </w:t>
      </w:r>
      <w:r>
        <w:rPr>
          <w:color w:val="231F20"/>
          <w:spacing w:val="-3"/>
        </w:rPr>
        <w:t>superiore</w:t>
      </w:r>
      <w:r>
        <w:rPr>
          <w:color w:val="231F20"/>
          <w:spacing w:val="-16"/>
        </w:rPr>
        <w:t> </w:t>
      </w:r>
      <w:r>
        <w:rPr>
          <w:color w:val="231F20"/>
        </w:rPr>
        <w:t>a</w:t>
      </w:r>
      <w:r>
        <w:rPr>
          <w:color w:val="231F20"/>
          <w:spacing w:val="-16"/>
        </w:rPr>
        <w:t> </w:t>
      </w:r>
      <w:r>
        <w:rPr>
          <w:color w:val="231F20"/>
        </w:rPr>
        <w:t>quello</w:t>
      </w:r>
      <w:r>
        <w:rPr>
          <w:color w:val="231F20"/>
          <w:spacing w:val="-16"/>
        </w:rPr>
        <w:t> </w:t>
      </w:r>
      <w:r>
        <w:rPr>
          <w:color w:val="231F20"/>
        </w:rPr>
        <w:t>dello</w:t>
      </w:r>
      <w:r>
        <w:rPr>
          <w:color w:val="231F20"/>
          <w:spacing w:val="-16"/>
        </w:rPr>
        <w:t> </w:t>
      </w:r>
      <w:r>
        <w:rPr>
          <w:color w:val="231F20"/>
        </w:rPr>
        <w:t>Stato stesso.</w:t>
      </w:r>
      <w:r>
        <w:rPr>
          <w:color w:val="231F20"/>
          <w:spacing w:val="-24"/>
        </w:rPr>
        <w:t> </w:t>
      </w:r>
      <w:r>
        <w:rPr>
          <w:color w:val="231F20"/>
        </w:rPr>
        <w:t>Questa</w:t>
      </w:r>
      <w:r>
        <w:rPr>
          <w:color w:val="231F20"/>
          <w:spacing w:val="-24"/>
        </w:rPr>
        <w:t> </w:t>
      </w:r>
      <w:r>
        <w:rPr>
          <w:color w:val="231F20"/>
        </w:rPr>
        <w:t>“sovranità</w:t>
      </w:r>
      <w:r>
        <w:rPr>
          <w:color w:val="231F20"/>
          <w:spacing w:val="-24"/>
        </w:rPr>
        <w:t> </w:t>
      </w:r>
      <w:r>
        <w:rPr>
          <w:color w:val="231F20"/>
        </w:rPr>
        <w:t>segmentata”</w:t>
      </w:r>
      <w:r>
        <w:rPr>
          <w:color w:val="231F20"/>
          <w:spacing w:val="-24"/>
        </w:rPr>
        <w:t> </w:t>
      </w:r>
      <w:r>
        <w:rPr>
          <w:color w:val="231F20"/>
        </w:rPr>
        <w:t>è</w:t>
      </w:r>
      <w:r>
        <w:rPr>
          <w:color w:val="231F20"/>
          <w:spacing w:val="-24"/>
        </w:rPr>
        <w:t> </w:t>
      </w:r>
      <w:r>
        <w:rPr>
          <w:color w:val="231F20"/>
        </w:rPr>
        <w:t>caratterizzata</w:t>
      </w:r>
      <w:r>
        <w:rPr>
          <w:color w:val="231F20"/>
          <w:spacing w:val="-24"/>
        </w:rPr>
        <w:t> </w:t>
      </w:r>
      <w:r>
        <w:rPr>
          <w:color w:val="231F20"/>
        </w:rPr>
        <w:t>da</w:t>
      </w:r>
      <w:r>
        <w:rPr>
          <w:color w:val="231F20"/>
          <w:spacing w:val="-24"/>
        </w:rPr>
        <w:t> </w:t>
      </w:r>
      <w:r>
        <w:rPr>
          <w:color w:val="231F20"/>
        </w:rPr>
        <w:t>“un</w:t>
      </w:r>
      <w:r>
        <w:rPr>
          <w:color w:val="231F20"/>
          <w:spacing w:val="-24"/>
        </w:rPr>
        <w:t> </w:t>
      </w:r>
      <w:r>
        <w:rPr>
          <w:rFonts w:ascii="Arial" w:hAnsi="Arial"/>
          <w:i/>
          <w:color w:val="231F20"/>
        </w:rPr>
        <w:t>management </w:t>
      </w:r>
      <w:r>
        <w:rPr>
          <w:color w:val="231F20"/>
        </w:rPr>
        <w:t>flessibile della sovranità in quanto adattamento dei governi ai dettami del capitale globale, dando alle </w:t>
      </w:r>
      <w:r>
        <w:rPr>
          <w:rFonts w:ascii="Arial" w:hAnsi="Arial"/>
          <w:i/>
          <w:color w:val="231F20"/>
        </w:rPr>
        <w:t>corporation </w:t>
      </w:r>
      <w:r>
        <w:rPr>
          <w:color w:val="231F20"/>
        </w:rPr>
        <w:t>un potere indiretto sulle condizioni politiche dei cittadini in zone che sono articolate in modo differenziato   alla produzione globale e ai circuiti finanziari”</w:t>
      </w:r>
      <w:r>
        <w:rPr>
          <w:color w:val="231F20"/>
          <w:position w:val="7"/>
          <w:sz w:val="12"/>
        </w:rPr>
        <w:t>4</w:t>
      </w:r>
      <w:r>
        <w:rPr>
          <w:color w:val="231F20"/>
        </w:rPr>
        <w:t>. Questa ridefinizione degli spazi statali interni modifica anche il significato dei confini che cessano di essere esclusivamente la linea di demarcazione tra l’ordine interno dello Stato</w:t>
      </w:r>
      <w:r>
        <w:rPr>
          <w:color w:val="231F20"/>
          <w:spacing w:val="-15"/>
        </w:rPr>
        <w:t> </w:t>
      </w:r>
      <w:r>
        <w:rPr>
          <w:color w:val="231F20"/>
        </w:rPr>
        <w:t>e</w:t>
      </w:r>
      <w:r>
        <w:rPr>
          <w:color w:val="231F20"/>
          <w:spacing w:val="-15"/>
        </w:rPr>
        <w:t> </w:t>
      </w:r>
      <w:r>
        <w:rPr>
          <w:color w:val="231F20"/>
        </w:rPr>
        <w:t>il</w:t>
      </w:r>
      <w:r>
        <w:rPr>
          <w:color w:val="231F20"/>
          <w:spacing w:val="-15"/>
        </w:rPr>
        <w:t> </w:t>
      </w:r>
      <w:r>
        <w:rPr>
          <w:color w:val="231F20"/>
        </w:rPr>
        <w:t>disordine</w:t>
      </w:r>
      <w:r>
        <w:rPr>
          <w:color w:val="231F20"/>
          <w:spacing w:val="-15"/>
        </w:rPr>
        <w:t> </w:t>
      </w:r>
      <w:r>
        <w:rPr>
          <w:color w:val="231F20"/>
        </w:rPr>
        <w:t>esterno,</w:t>
      </w:r>
      <w:r>
        <w:rPr>
          <w:color w:val="231F20"/>
          <w:spacing w:val="-15"/>
        </w:rPr>
        <w:t> </w:t>
      </w:r>
      <w:r>
        <w:rPr>
          <w:color w:val="231F20"/>
        </w:rPr>
        <w:t>per</w:t>
      </w:r>
      <w:r>
        <w:rPr>
          <w:color w:val="231F20"/>
          <w:spacing w:val="-15"/>
        </w:rPr>
        <w:t> </w:t>
      </w:r>
      <w:r>
        <w:rPr>
          <w:color w:val="231F20"/>
        </w:rPr>
        <w:t>diventare</w:t>
      </w:r>
      <w:r>
        <w:rPr>
          <w:color w:val="231F20"/>
          <w:spacing w:val="-15"/>
        </w:rPr>
        <w:t> </w:t>
      </w:r>
      <w:r>
        <w:rPr>
          <w:color w:val="231F20"/>
        </w:rPr>
        <w:t>strumenti</w:t>
      </w:r>
      <w:r>
        <w:rPr>
          <w:color w:val="231F20"/>
          <w:spacing w:val="-15"/>
        </w:rPr>
        <w:t> </w:t>
      </w:r>
      <w:r>
        <w:rPr>
          <w:color w:val="231F20"/>
        </w:rPr>
        <w:t>di</w:t>
      </w:r>
      <w:r>
        <w:rPr>
          <w:color w:val="231F20"/>
          <w:spacing w:val="-15"/>
        </w:rPr>
        <w:t> </w:t>
      </w:r>
      <w:r>
        <w:rPr>
          <w:color w:val="231F20"/>
        </w:rPr>
        <w:t>governo</w:t>
      </w:r>
      <w:r>
        <w:rPr>
          <w:color w:val="231F20"/>
          <w:spacing w:val="-15"/>
        </w:rPr>
        <w:t> </w:t>
      </w:r>
      <w:r>
        <w:rPr>
          <w:color w:val="231F20"/>
        </w:rPr>
        <w:t>complessivo dello spazio, linee differenziate che definiscono le possibilità individuali      e collettive di rapporto all’interno dello Stato stesso</w:t>
      </w:r>
      <w:r>
        <w:rPr>
          <w:color w:val="231F20"/>
          <w:position w:val="7"/>
          <w:sz w:val="12"/>
        </w:rPr>
        <w:t>5</w:t>
      </w:r>
      <w:r>
        <w:rPr>
          <w:color w:val="231F20"/>
        </w:rPr>
        <w:t>. Quella che Mark </w:t>
      </w:r>
      <w:r>
        <w:rPr>
          <w:color w:val="231F20"/>
          <w:spacing w:val="2"/>
        </w:rPr>
        <w:t>Neocleous </w:t>
      </w:r>
      <w:r>
        <w:rPr>
          <w:color w:val="231F20"/>
        </w:rPr>
        <w:t>ha </w:t>
      </w:r>
      <w:r>
        <w:rPr>
          <w:color w:val="231F20"/>
          <w:spacing w:val="2"/>
        </w:rPr>
        <w:t>chiamato </w:t>
      </w:r>
      <w:r>
        <w:rPr>
          <w:color w:val="231F20"/>
        </w:rPr>
        <w:t>la </w:t>
      </w:r>
      <w:r>
        <w:rPr>
          <w:color w:val="231F20"/>
          <w:spacing w:val="2"/>
        </w:rPr>
        <w:t>“fondazione territoriale dell’ordine” </w:t>
      </w:r>
      <w:r>
        <w:rPr>
          <w:color w:val="231F20"/>
        </w:rPr>
        <w:t>è </w:t>
      </w:r>
      <w:r>
        <w:rPr>
          <w:color w:val="231F20"/>
          <w:spacing w:val="3"/>
        </w:rPr>
        <w:t>stata </w:t>
      </w:r>
      <w:r>
        <w:rPr>
          <w:color w:val="231F20"/>
        </w:rPr>
        <w:t>possibile connettendo strettamente lo spazio interno con quello esterno, perché la “sovranità non implica solamente lo spazio, lo crea; lasciato a   se stesso il paesaggio (</w:t>
      </w:r>
      <w:r>
        <w:rPr>
          <w:rFonts w:ascii="Arial" w:hAnsi="Arial"/>
          <w:i/>
          <w:color w:val="231F20"/>
        </w:rPr>
        <w:t>Landscape</w:t>
      </w:r>
      <w:r>
        <w:rPr>
          <w:color w:val="231F20"/>
        </w:rPr>
        <w:t>) non ha forma politica”</w:t>
      </w:r>
      <w:r>
        <w:rPr>
          <w:color w:val="231F20"/>
          <w:position w:val="7"/>
          <w:sz w:val="12"/>
        </w:rPr>
        <w:t>6</w:t>
      </w:r>
      <w:r>
        <w:rPr>
          <w:color w:val="231F20"/>
        </w:rPr>
        <w:t>. Questa forma politica,</w:t>
      </w:r>
      <w:r>
        <w:rPr>
          <w:color w:val="231F20"/>
          <w:spacing w:val="-12"/>
        </w:rPr>
        <w:t> </w:t>
      </w:r>
      <w:r>
        <w:rPr>
          <w:color w:val="231F20"/>
        </w:rPr>
        <w:t>tuttavia,</w:t>
      </w:r>
      <w:r>
        <w:rPr>
          <w:color w:val="231F20"/>
          <w:spacing w:val="-12"/>
        </w:rPr>
        <w:t> </w:t>
      </w:r>
      <w:r>
        <w:rPr>
          <w:color w:val="231F20"/>
        </w:rPr>
        <w:t>non</w:t>
      </w:r>
      <w:r>
        <w:rPr>
          <w:color w:val="231F20"/>
          <w:spacing w:val="-12"/>
        </w:rPr>
        <w:t> </w:t>
      </w:r>
      <w:r>
        <w:rPr>
          <w:color w:val="231F20"/>
        </w:rPr>
        <w:t>ha</w:t>
      </w:r>
      <w:r>
        <w:rPr>
          <w:color w:val="231F20"/>
          <w:spacing w:val="-12"/>
        </w:rPr>
        <w:t> </w:t>
      </w:r>
      <w:r>
        <w:rPr>
          <w:color w:val="231F20"/>
        </w:rPr>
        <w:t>esclusivamente</w:t>
      </w:r>
      <w:r>
        <w:rPr>
          <w:color w:val="231F20"/>
          <w:spacing w:val="-12"/>
        </w:rPr>
        <w:t> </w:t>
      </w:r>
      <w:r>
        <w:rPr>
          <w:color w:val="231F20"/>
        </w:rPr>
        <w:t>una</w:t>
      </w:r>
      <w:r>
        <w:rPr>
          <w:color w:val="231F20"/>
          <w:spacing w:val="-12"/>
        </w:rPr>
        <w:t> </w:t>
      </w:r>
      <w:r>
        <w:rPr>
          <w:color w:val="231F20"/>
        </w:rPr>
        <w:t>dimensione</w:t>
      </w:r>
      <w:r>
        <w:rPr>
          <w:color w:val="231F20"/>
          <w:spacing w:val="-12"/>
        </w:rPr>
        <w:t> </w:t>
      </w:r>
      <w:r>
        <w:rPr>
          <w:color w:val="231F20"/>
        </w:rPr>
        <w:t>spaziale.</w:t>
      </w:r>
      <w:r>
        <w:rPr>
          <w:color w:val="231F20"/>
          <w:spacing w:val="-12"/>
        </w:rPr>
        <w:t> </w:t>
      </w:r>
      <w:r>
        <w:rPr>
          <w:color w:val="231F20"/>
        </w:rPr>
        <w:t>Essa</w:t>
      </w:r>
      <w:r>
        <w:rPr>
          <w:color w:val="231F20"/>
          <w:spacing w:val="-12"/>
        </w:rPr>
        <w:t> </w:t>
      </w:r>
      <w:r>
        <w:rPr>
          <w:color w:val="231F20"/>
        </w:rPr>
        <w:t>non era</w:t>
      </w:r>
      <w:r>
        <w:rPr>
          <w:color w:val="231F20"/>
          <w:spacing w:val="-11"/>
        </w:rPr>
        <w:t> </w:t>
      </w:r>
      <w:r>
        <w:rPr>
          <w:color w:val="231F20"/>
        </w:rPr>
        <w:t>e</w:t>
      </w:r>
      <w:r>
        <w:rPr>
          <w:color w:val="231F20"/>
          <w:spacing w:val="-11"/>
        </w:rPr>
        <w:t> </w:t>
      </w:r>
      <w:r>
        <w:rPr>
          <w:color w:val="231F20"/>
        </w:rPr>
        <w:t>non</w:t>
      </w:r>
      <w:r>
        <w:rPr>
          <w:color w:val="231F20"/>
          <w:spacing w:val="-11"/>
        </w:rPr>
        <w:t> </w:t>
      </w:r>
      <w:r>
        <w:rPr>
          <w:color w:val="231F20"/>
        </w:rPr>
        <w:t>è</w:t>
      </w:r>
      <w:r>
        <w:rPr>
          <w:color w:val="231F20"/>
          <w:spacing w:val="-11"/>
        </w:rPr>
        <w:t> </w:t>
      </w:r>
      <w:r>
        <w:rPr>
          <w:color w:val="231F20"/>
          <w:spacing w:val="-3"/>
        </w:rPr>
        <w:t>solamente</w:t>
      </w:r>
      <w:r>
        <w:rPr>
          <w:color w:val="231F20"/>
          <w:spacing w:val="-11"/>
        </w:rPr>
        <w:t> </w:t>
      </w:r>
      <w:r>
        <w:rPr>
          <w:color w:val="231F20"/>
          <w:spacing w:val="-3"/>
        </w:rPr>
        <w:t>garantita</w:t>
      </w:r>
      <w:r>
        <w:rPr>
          <w:color w:val="231F20"/>
          <w:spacing w:val="-11"/>
        </w:rPr>
        <w:t> </w:t>
      </w:r>
      <w:r>
        <w:rPr>
          <w:color w:val="231F20"/>
          <w:spacing w:val="-3"/>
        </w:rPr>
        <w:t>dalla</w:t>
      </w:r>
      <w:r>
        <w:rPr>
          <w:color w:val="231F20"/>
          <w:spacing w:val="-11"/>
        </w:rPr>
        <w:t> </w:t>
      </w:r>
      <w:r>
        <w:rPr>
          <w:color w:val="231F20"/>
          <w:spacing w:val="-3"/>
        </w:rPr>
        <w:t>capacità</w:t>
      </w:r>
      <w:r>
        <w:rPr>
          <w:color w:val="231F20"/>
          <w:spacing w:val="-11"/>
        </w:rPr>
        <w:t> </w:t>
      </w:r>
      <w:r>
        <w:rPr>
          <w:color w:val="231F20"/>
        </w:rPr>
        <w:t>di</w:t>
      </w:r>
      <w:r>
        <w:rPr>
          <w:color w:val="231F20"/>
          <w:spacing w:val="-11"/>
        </w:rPr>
        <w:t> </w:t>
      </w:r>
      <w:r>
        <w:rPr>
          <w:color w:val="231F20"/>
          <w:spacing w:val="-3"/>
        </w:rPr>
        <w:t>connettere</w:t>
      </w:r>
      <w:r>
        <w:rPr>
          <w:color w:val="231F20"/>
          <w:spacing w:val="-11"/>
        </w:rPr>
        <w:t> </w:t>
      </w:r>
      <w:r>
        <w:rPr>
          <w:color w:val="231F20"/>
          <w:spacing w:val="-4"/>
        </w:rPr>
        <w:t>sincronicamente</w:t>
      </w:r>
    </w:p>
    <w:p>
      <w:pPr>
        <w:pStyle w:val="BodyText"/>
        <w:spacing w:before="6"/>
        <w:rPr>
          <w:sz w:val="18"/>
        </w:rPr>
      </w:pPr>
      <w:r>
        <w:rPr/>
        <w:pict>
          <v:line style="position:absolute;mso-position-horizontal-relative:page;mso-position-vertical-relative:paragraph;z-index:9976;mso-wrap-distance-left:0;mso-wrap-distance-right:0" from="65.1968pt,13.306985pt" to="178.5828pt,13.306985pt" stroked="true" strokeweight=".3pt" strokecolor="#231f20">
            <w10:wrap type="topAndBottom"/>
          </v:line>
        </w:pict>
      </w:r>
    </w:p>
    <w:p>
      <w:pPr>
        <w:spacing w:line="206" w:lineRule="exact" w:before="10"/>
        <w:ind w:left="103" w:right="0" w:firstLine="0"/>
        <w:jc w:val="left"/>
        <w:rPr>
          <w:rFonts w:ascii="Calibri"/>
          <w:sz w:val="17"/>
        </w:rPr>
      </w:pPr>
      <w:r>
        <w:rPr>
          <w:rFonts w:ascii="Calibri"/>
          <w:color w:val="231F20"/>
          <w:position w:val="6"/>
          <w:sz w:val="10"/>
        </w:rPr>
        <w:t>3  </w:t>
      </w:r>
      <w:r>
        <w:rPr>
          <w:rFonts w:ascii="Calibri"/>
          <w:color w:val="231F20"/>
          <w:sz w:val="17"/>
        </w:rPr>
        <w:t>A. M. Slaughter, </w:t>
      </w:r>
      <w:r>
        <w:rPr>
          <w:rFonts w:ascii="Calibri"/>
          <w:i/>
          <w:color w:val="231F20"/>
          <w:sz w:val="17"/>
        </w:rPr>
        <w:t>A New World Order</w:t>
      </w:r>
      <w:r>
        <w:rPr>
          <w:rFonts w:ascii="Calibri"/>
          <w:color w:val="231F20"/>
          <w:sz w:val="17"/>
        </w:rPr>
        <w:t>, Princeton, Princeton University Press, 2004, p. 12.</w:t>
      </w:r>
    </w:p>
    <w:p>
      <w:pPr>
        <w:spacing w:line="204" w:lineRule="exact" w:before="0"/>
        <w:ind w:left="103" w:right="0" w:firstLine="0"/>
        <w:jc w:val="left"/>
        <w:rPr>
          <w:rFonts w:ascii="Calibri"/>
          <w:sz w:val="17"/>
        </w:rPr>
      </w:pPr>
      <w:r>
        <w:rPr>
          <w:rFonts w:ascii="Calibri"/>
          <w:color w:val="231F20"/>
          <w:position w:val="6"/>
          <w:sz w:val="10"/>
        </w:rPr>
        <w:t>4  </w:t>
      </w:r>
      <w:r>
        <w:rPr>
          <w:rFonts w:ascii="Calibri"/>
          <w:color w:val="231F20"/>
          <w:sz w:val="17"/>
        </w:rPr>
        <w:t>A. Ong, </w:t>
      </w:r>
      <w:r>
        <w:rPr>
          <w:rFonts w:ascii="Calibri"/>
          <w:i/>
          <w:color w:val="231F20"/>
          <w:sz w:val="17"/>
        </w:rPr>
        <w:t>Neoliberalism as Exception. Mutations in Citizenship and Sovereignty</w:t>
      </w:r>
      <w:r>
        <w:rPr>
          <w:rFonts w:ascii="Calibri"/>
          <w:color w:val="231F20"/>
          <w:sz w:val="17"/>
        </w:rPr>
        <w:t>, Durham and London,</w:t>
      </w:r>
    </w:p>
    <w:p>
      <w:pPr>
        <w:spacing w:line="204" w:lineRule="exact" w:before="0"/>
        <w:ind w:left="103" w:right="0" w:firstLine="0"/>
        <w:jc w:val="left"/>
        <w:rPr>
          <w:rFonts w:ascii="Calibri" w:hAnsi="Calibri"/>
          <w:sz w:val="17"/>
        </w:rPr>
      </w:pPr>
      <w:r>
        <w:rPr>
          <w:rFonts w:ascii="Calibri" w:hAnsi="Calibri"/>
          <w:color w:val="231F20"/>
          <w:sz w:val="17"/>
        </w:rPr>
        <w:t>Duke University Press, 2006, pp. 77–78.</w:t>
      </w:r>
    </w:p>
    <w:p>
      <w:pPr>
        <w:spacing w:line="204" w:lineRule="exact" w:before="0"/>
        <w:ind w:left="103" w:right="0" w:firstLine="0"/>
        <w:jc w:val="left"/>
        <w:rPr>
          <w:rFonts w:ascii="Calibri" w:hAnsi="Calibri"/>
          <w:sz w:val="17"/>
        </w:rPr>
      </w:pPr>
      <w:r>
        <w:rPr>
          <w:rFonts w:ascii="Calibri" w:hAnsi="Calibri"/>
          <w:color w:val="231F20"/>
          <w:position w:val="6"/>
          <w:sz w:val="10"/>
        </w:rPr>
        <w:t>5   </w:t>
      </w:r>
      <w:r>
        <w:rPr>
          <w:rFonts w:ascii="Calibri" w:hAnsi="Calibri"/>
          <w:color w:val="231F20"/>
          <w:sz w:val="17"/>
        </w:rPr>
        <w:t>N.  Luhmann,  “Territorial  Borders  as  Systems  Boundaries”,  R.  Strassoldo y  G.  Delli  Zotti (Eds.),</w:t>
      </w:r>
    </w:p>
    <w:p>
      <w:pPr>
        <w:spacing w:line="204" w:lineRule="exact" w:before="0"/>
        <w:ind w:left="103" w:right="0" w:firstLine="0"/>
        <w:jc w:val="left"/>
        <w:rPr>
          <w:rFonts w:ascii="Calibri" w:hAnsi="Calibri"/>
          <w:sz w:val="17"/>
        </w:rPr>
      </w:pPr>
      <w:r>
        <w:rPr>
          <w:rFonts w:ascii="Calibri" w:hAnsi="Calibri"/>
          <w:i/>
          <w:color w:val="231F20"/>
          <w:sz w:val="17"/>
        </w:rPr>
        <w:t>Cooperation and Conflict in Border Areas</w:t>
      </w:r>
      <w:r>
        <w:rPr>
          <w:rFonts w:ascii="Calibri" w:hAnsi="Calibri"/>
          <w:color w:val="231F20"/>
          <w:sz w:val="17"/>
        </w:rPr>
        <w:t>, Milano, Franco Angeli, 1983, pp. 235–244; S. Mezzadra   y</w:t>
      </w:r>
    </w:p>
    <w:p>
      <w:pPr>
        <w:spacing w:line="204" w:lineRule="exact" w:before="0"/>
        <w:ind w:left="103" w:right="0" w:firstLine="0"/>
        <w:jc w:val="left"/>
        <w:rPr>
          <w:rFonts w:ascii="Calibri"/>
          <w:sz w:val="17"/>
        </w:rPr>
      </w:pPr>
      <w:r>
        <w:rPr>
          <w:rFonts w:ascii="Calibri"/>
          <w:color w:val="231F20"/>
          <w:sz w:val="17"/>
        </w:rPr>
        <w:t>B. Neilson, </w:t>
      </w:r>
      <w:r>
        <w:rPr>
          <w:rFonts w:ascii="Calibri"/>
          <w:i/>
          <w:color w:val="231F20"/>
          <w:sz w:val="17"/>
        </w:rPr>
        <w:t>Border as method, or the Multiplication of Labor</w:t>
      </w:r>
      <w:r>
        <w:rPr>
          <w:rFonts w:ascii="Calibri"/>
          <w:color w:val="231F20"/>
          <w:sz w:val="17"/>
        </w:rPr>
        <w:t>, Durham, Duke University Press, 2013.</w:t>
      </w:r>
    </w:p>
    <w:p>
      <w:pPr>
        <w:spacing w:line="206" w:lineRule="exact" w:before="0"/>
        <w:ind w:left="103" w:right="0" w:firstLine="0"/>
        <w:jc w:val="left"/>
        <w:rPr>
          <w:rFonts w:ascii="Calibri" w:hAnsi="Calibri"/>
          <w:sz w:val="17"/>
        </w:rPr>
      </w:pPr>
      <w:r>
        <w:rPr>
          <w:rFonts w:ascii="Calibri" w:hAnsi="Calibri"/>
          <w:color w:val="231F20"/>
          <w:position w:val="6"/>
          <w:sz w:val="10"/>
        </w:rPr>
        <w:t>6 </w:t>
      </w:r>
      <w:r>
        <w:rPr>
          <w:rFonts w:ascii="Calibri" w:hAnsi="Calibri"/>
          <w:color w:val="231F20"/>
          <w:sz w:val="17"/>
        </w:rPr>
        <w:t>M. Neocleous, </w:t>
      </w:r>
      <w:r>
        <w:rPr>
          <w:rFonts w:ascii="Calibri" w:hAnsi="Calibri"/>
          <w:i/>
          <w:color w:val="231F20"/>
          <w:sz w:val="17"/>
        </w:rPr>
        <w:t>Imagining the State</w:t>
      </w:r>
      <w:r>
        <w:rPr>
          <w:rFonts w:ascii="Calibri" w:hAnsi="Calibri"/>
          <w:color w:val="231F20"/>
          <w:sz w:val="17"/>
        </w:rPr>
        <w:t>, Maidenhead, Open University press, 2003, pp. 118–120.</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sz w:val="16"/>
        </w:rPr>
      </w:pPr>
      <w:r>
        <w:rPr/>
        <w:pict>
          <v:group style="position:absolute;margin-left:98.079102pt;margin-top:-3.358812pt;width:20.4pt;height:43pt;mso-position-horizontal-relative:page;mso-position-vertical-relative:paragraph;z-index:-165400"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38</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900"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535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28"/>
          <w:sz w:val="14"/>
        </w:rPr>
        <w:t> </w:t>
      </w:r>
      <w:r>
        <w:rPr>
          <w:rFonts w:ascii="Lucida Sans Unicode" w:hAnsi="Lucida Sans Unicode"/>
          <w:color w:val="6D6E71"/>
          <w:spacing w:val="-4"/>
          <w:sz w:val="14"/>
        </w:rPr>
        <w:t>STATO</w:t>
      </w:r>
      <w:r>
        <w:rPr>
          <w:rFonts w:ascii="Lucida Sans Unicode" w:hAnsi="Lucida Sans Unicode"/>
          <w:color w:val="6D6E71"/>
          <w:spacing w:val="-28"/>
          <w:sz w:val="14"/>
        </w:rPr>
        <w:t> </w:t>
      </w:r>
      <w:r>
        <w:rPr>
          <w:rFonts w:ascii="Lucida Sans Unicode" w:hAnsi="Lucida Sans Unicode"/>
          <w:color w:val="6D6E71"/>
          <w:sz w:val="14"/>
        </w:rPr>
        <w:t>GLOBALE</w:t>
      </w:r>
      <w:r>
        <w:rPr>
          <w:rFonts w:ascii="Lucida Sans Unicode" w:hAnsi="Lucida Sans Unicode"/>
          <w:color w:val="6D6E71"/>
          <w:spacing w:val="-28"/>
          <w:sz w:val="14"/>
        </w:rPr>
        <w:t> </w:t>
      </w:r>
      <w:r>
        <w:rPr>
          <w:rFonts w:ascii="Lucida Sans Unicode" w:hAnsi="Lucida Sans Unicode"/>
          <w:color w:val="6D6E71"/>
          <w:sz w:val="14"/>
        </w:rPr>
        <w:t>E</w:t>
      </w:r>
      <w:r>
        <w:rPr>
          <w:rFonts w:ascii="Lucida Sans Unicode" w:hAnsi="Lucida Sans Unicode"/>
          <w:color w:val="6D6E71"/>
          <w:spacing w:val="-28"/>
          <w:sz w:val="14"/>
        </w:rPr>
        <w:t> </w:t>
      </w:r>
      <w:r>
        <w:rPr>
          <w:rFonts w:ascii="Lucida Sans Unicode" w:hAnsi="Lucida Sans Unicode"/>
          <w:color w:val="6D6E71"/>
          <w:sz w:val="14"/>
        </w:rPr>
        <w:t>L’EVOLUZIONE</w:t>
      </w:r>
      <w:r>
        <w:rPr>
          <w:rFonts w:ascii="Lucida Sans Unicode" w:hAnsi="Lucida Sans Unicode"/>
          <w:color w:val="6D6E71"/>
          <w:spacing w:val="-28"/>
          <w:sz w:val="14"/>
        </w:rPr>
        <w:t> </w:t>
      </w:r>
      <w:r>
        <w:rPr>
          <w:rFonts w:ascii="Lucida Sans Unicode" w:hAnsi="Lucida Sans Unicode"/>
          <w:color w:val="6D6E71"/>
          <w:sz w:val="14"/>
        </w:rPr>
        <w:t>DELLA</w:t>
      </w:r>
      <w:r>
        <w:rPr>
          <w:rFonts w:ascii="Lucida Sans Unicode" w:hAnsi="Lucida Sans Unicode"/>
          <w:color w:val="6D6E71"/>
          <w:spacing w:val="-28"/>
          <w:sz w:val="14"/>
        </w:rPr>
        <w:t> </w:t>
      </w:r>
      <w:r>
        <w:rPr>
          <w:rFonts w:ascii="Lucida Sans Unicode" w:hAnsi="Lucida Sans Unicode"/>
          <w:color w:val="6D6E71"/>
          <w:sz w:val="14"/>
        </w:rPr>
        <w:t>SOVRANITÀ</w:t>
      </w:r>
      <w:r>
        <w:rPr>
          <w:rFonts w:ascii="Trebuchet MS" w:hAnsi="Trebuchet MS"/>
          <w:color w:val="414042"/>
          <w:position w:val="-3"/>
          <w:sz w:val="20"/>
        </w:rPr>
        <w:tab/>
        <w:t>39</w:t>
      </w:r>
    </w:p>
    <w:p>
      <w:pPr>
        <w:pStyle w:val="BodyText"/>
        <w:spacing w:line="247" w:lineRule="auto" w:before="621"/>
        <w:ind w:left="117" w:right="117"/>
        <w:jc w:val="both"/>
      </w:pPr>
      <w:r>
        <w:rPr>
          <w:color w:val="231F20"/>
          <w:spacing w:val="-3"/>
          <w:w w:val="105"/>
        </w:rPr>
        <w:t>spazi</w:t>
      </w:r>
      <w:r>
        <w:rPr>
          <w:color w:val="231F20"/>
          <w:spacing w:val="-36"/>
          <w:w w:val="105"/>
        </w:rPr>
        <w:t> </w:t>
      </w:r>
      <w:r>
        <w:rPr>
          <w:color w:val="231F20"/>
          <w:spacing w:val="-3"/>
          <w:w w:val="105"/>
        </w:rPr>
        <w:t>globali</w:t>
      </w:r>
      <w:r>
        <w:rPr>
          <w:color w:val="231F20"/>
          <w:spacing w:val="-36"/>
          <w:w w:val="105"/>
        </w:rPr>
        <w:t> </w:t>
      </w:r>
      <w:r>
        <w:rPr>
          <w:color w:val="231F20"/>
          <w:spacing w:val="-4"/>
          <w:w w:val="105"/>
        </w:rPr>
        <w:t>eterogenei,</w:t>
      </w:r>
      <w:r>
        <w:rPr>
          <w:color w:val="231F20"/>
          <w:spacing w:val="-36"/>
          <w:w w:val="105"/>
        </w:rPr>
        <w:t> </w:t>
      </w:r>
      <w:r>
        <w:rPr>
          <w:color w:val="231F20"/>
          <w:spacing w:val="-3"/>
          <w:w w:val="105"/>
        </w:rPr>
        <w:t>come</w:t>
      </w:r>
      <w:r>
        <w:rPr>
          <w:color w:val="231F20"/>
          <w:spacing w:val="-36"/>
          <w:w w:val="105"/>
        </w:rPr>
        <w:t> </w:t>
      </w:r>
      <w:r>
        <w:rPr>
          <w:color w:val="231F20"/>
          <w:spacing w:val="-3"/>
          <w:w w:val="105"/>
        </w:rPr>
        <w:t>possono</w:t>
      </w:r>
      <w:r>
        <w:rPr>
          <w:color w:val="231F20"/>
          <w:spacing w:val="-36"/>
          <w:w w:val="105"/>
        </w:rPr>
        <w:t> </w:t>
      </w:r>
      <w:r>
        <w:rPr>
          <w:color w:val="231F20"/>
          <w:spacing w:val="-4"/>
          <w:w w:val="105"/>
        </w:rPr>
        <w:t>essere</w:t>
      </w:r>
      <w:r>
        <w:rPr>
          <w:color w:val="231F20"/>
          <w:spacing w:val="-36"/>
          <w:w w:val="105"/>
        </w:rPr>
        <w:t> </w:t>
      </w:r>
      <w:r>
        <w:rPr>
          <w:color w:val="231F20"/>
          <w:spacing w:val="-3"/>
          <w:w w:val="105"/>
        </w:rPr>
        <w:t>quelli</w:t>
      </w:r>
      <w:r>
        <w:rPr>
          <w:color w:val="231F20"/>
          <w:spacing w:val="-36"/>
          <w:w w:val="105"/>
        </w:rPr>
        <w:t> </w:t>
      </w:r>
      <w:r>
        <w:rPr>
          <w:color w:val="231F20"/>
          <w:w w:val="105"/>
        </w:rPr>
        <w:t>del</w:t>
      </w:r>
      <w:r>
        <w:rPr>
          <w:color w:val="231F20"/>
          <w:spacing w:val="-36"/>
          <w:w w:val="105"/>
        </w:rPr>
        <w:t> </w:t>
      </w:r>
      <w:r>
        <w:rPr>
          <w:color w:val="231F20"/>
          <w:spacing w:val="-3"/>
          <w:w w:val="105"/>
        </w:rPr>
        <w:t>governo,</w:t>
      </w:r>
      <w:r>
        <w:rPr>
          <w:color w:val="231F20"/>
          <w:spacing w:val="-36"/>
          <w:w w:val="105"/>
        </w:rPr>
        <w:t> </w:t>
      </w:r>
      <w:r>
        <w:rPr>
          <w:color w:val="231F20"/>
          <w:w w:val="105"/>
        </w:rPr>
        <w:t>del</w:t>
      </w:r>
      <w:r>
        <w:rPr>
          <w:color w:val="231F20"/>
          <w:spacing w:val="-36"/>
          <w:w w:val="105"/>
        </w:rPr>
        <w:t> </w:t>
      </w:r>
      <w:r>
        <w:rPr>
          <w:color w:val="231F20"/>
          <w:spacing w:val="-3"/>
          <w:w w:val="105"/>
        </w:rPr>
        <w:t>diritto, </w:t>
      </w:r>
      <w:r>
        <w:rPr>
          <w:color w:val="231F20"/>
          <w:w w:val="105"/>
        </w:rPr>
        <w:t>del denaro, della scienza e della morale</w:t>
      </w:r>
      <w:r>
        <w:rPr>
          <w:color w:val="231F20"/>
          <w:w w:val="105"/>
          <w:position w:val="7"/>
          <w:sz w:val="12"/>
        </w:rPr>
        <w:t>7</w:t>
      </w:r>
      <w:r>
        <w:rPr>
          <w:color w:val="231F20"/>
          <w:w w:val="105"/>
        </w:rPr>
        <w:t>. Oltre alla regolazione</w:t>
      </w:r>
      <w:r>
        <w:rPr>
          <w:color w:val="231F20"/>
          <w:spacing w:val="-23"/>
          <w:w w:val="105"/>
        </w:rPr>
        <w:t> </w:t>
      </w:r>
      <w:r>
        <w:rPr>
          <w:color w:val="231F20"/>
          <w:w w:val="105"/>
        </w:rPr>
        <w:t>spaziale la</w:t>
      </w:r>
      <w:r>
        <w:rPr>
          <w:color w:val="231F20"/>
          <w:spacing w:val="-15"/>
          <w:w w:val="105"/>
        </w:rPr>
        <w:t> </w:t>
      </w:r>
      <w:r>
        <w:rPr>
          <w:color w:val="231F20"/>
          <w:w w:val="105"/>
        </w:rPr>
        <w:t>sovranità</w:t>
      </w:r>
      <w:r>
        <w:rPr>
          <w:color w:val="231F20"/>
          <w:spacing w:val="-15"/>
          <w:w w:val="105"/>
        </w:rPr>
        <w:t> </w:t>
      </w:r>
      <w:r>
        <w:rPr>
          <w:color w:val="231F20"/>
          <w:w w:val="105"/>
        </w:rPr>
        <w:t>contiene</w:t>
      </w:r>
      <w:r>
        <w:rPr>
          <w:color w:val="231F20"/>
          <w:spacing w:val="-15"/>
          <w:w w:val="105"/>
        </w:rPr>
        <w:t> </w:t>
      </w:r>
      <w:r>
        <w:rPr>
          <w:color w:val="231F20"/>
          <w:w w:val="105"/>
        </w:rPr>
        <w:t>una</w:t>
      </w:r>
      <w:r>
        <w:rPr>
          <w:color w:val="231F20"/>
          <w:spacing w:val="-15"/>
          <w:w w:val="105"/>
        </w:rPr>
        <w:t> </w:t>
      </w:r>
      <w:r>
        <w:rPr>
          <w:color w:val="231F20"/>
          <w:w w:val="105"/>
        </w:rPr>
        <w:t>promessa</w:t>
      </w:r>
      <w:r>
        <w:rPr>
          <w:color w:val="231F20"/>
          <w:spacing w:val="-15"/>
          <w:w w:val="105"/>
        </w:rPr>
        <w:t> </w:t>
      </w:r>
      <w:r>
        <w:rPr>
          <w:color w:val="231F20"/>
          <w:w w:val="105"/>
        </w:rPr>
        <w:t>collocata</w:t>
      </w:r>
      <w:r>
        <w:rPr>
          <w:color w:val="231F20"/>
          <w:spacing w:val="-15"/>
          <w:w w:val="105"/>
        </w:rPr>
        <w:t> </w:t>
      </w:r>
      <w:r>
        <w:rPr>
          <w:color w:val="231F20"/>
          <w:w w:val="105"/>
        </w:rPr>
        <w:t>interamente</w:t>
      </w:r>
      <w:r>
        <w:rPr>
          <w:color w:val="231F20"/>
          <w:spacing w:val="-15"/>
          <w:w w:val="105"/>
        </w:rPr>
        <w:t> </w:t>
      </w:r>
      <w:r>
        <w:rPr>
          <w:color w:val="231F20"/>
          <w:w w:val="105"/>
        </w:rPr>
        <w:t>nel</w:t>
      </w:r>
      <w:r>
        <w:rPr>
          <w:color w:val="231F20"/>
          <w:spacing w:val="-15"/>
          <w:w w:val="105"/>
        </w:rPr>
        <w:t> </w:t>
      </w:r>
      <w:r>
        <w:rPr>
          <w:color w:val="231F20"/>
          <w:w w:val="105"/>
        </w:rPr>
        <w:t>tempo.</w:t>
      </w:r>
      <w:r>
        <w:rPr>
          <w:color w:val="231F20"/>
          <w:spacing w:val="-15"/>
          <w:w w:val="105"/>
        </w:rPr>
        <w:t> </w:t>
      </w:r>
      <w:r>
        <w:rPr>
          <w:color w:val="231F20"/>
          <w:w w:val="105"/>
        </w:rPr>
        <w:t>La “fondazione territoriale dell’ordine” è possibile solo se deriva da un</w:t>
      </w:r>
      <w:r>
        <w:rPr>
          <w:color w:val="231F20"/>
          <w:spacing w:val="-18"/>
          <w:w w:val="105"/>
        </w:rPr>
        <w:t> </w:t>
      </w:r>
      <w:r>
        <w:rPr>
          <w:color w:val="231F20"/>
          <w:w w:val="105"/>
        </w:rPr>
        <w:t>atto legittimo collocabile sì nel passato, ma che promette di rimanere valido nel</w:t>
      </w:r>
      <w:r>
        <w:rPr>
          <w:color w:val="231F20"/>
          <w:spacing w:val="-33"/>
          <w:w w:val="105"/>
        </w:rPr>
        <w:t> </w:t>
      </w:r>
      <w:r>
        <w:rPr>
          <w:color w:val="231F20"/>
          <w:w w:val="105"/>
        </w:rPr>
        <w:t>futuro.</w:t>
      </w:r>
      <w:r>
        <w:rPr>
          <w:color w:val="231F20"/>
          <w:spacing w:val="-33"/>
          <w:w w:val="105"/>
        </w:rPr>
        <w:t> </w:t>
      </w:r>
      <w:r>
        <w:rPr>
          <w:color w:val="231F20"/>
          <w:w w:val="105"/>
        </w:rPr>
        <w:t>Diversamente</w:t>
      </w:r>
      <w:r>
        <w:rPr>
          <w:color w:val="231F20"/>
          <w:spacing w:val="-33"/>
          <w:w w:val="105"/>
        </w:rPr>
        <w:t> </w:t>
      </w:r>
      <w:r>
        <w:rPr>
          <w:color w:val="231F20"/>
          <w:w w:val="105"/>
        </w:rPr>
        <w:t>da</w:t>
      </w:r>
      <w:r>
        <w:rPr>
          <w:color w:val="231F20"/>
          <w:spacing w:val="-33"/>
          <w:w w:val="105"/>
        </w:rPr>
        <w:t> </w:t>
      </w:r>
      <w:r>
        <w:rPr>
          <w:color w:val="231F20"/>
          <w:w w:val="105"/>
        </w:rPr>
        <w:t>quanto</w:t>
      </w:r>
      <w:r>
        <w:rPr>
          <w:color w:val="231F20"/>
          <w:spacing w:val="-33"/>
          <w:w w:val="105"/>
        </w:rPr>
        <w:t> </w:t>
      </w:r>
      <w:r>
        <w:rPr>
          <w:color w:val="231F20"/>
          <w:w w:val="105"/>
        </w:rPr>
        <w:t>Hannah</w:t>
      </w:r>
      <w:r>
        <w:rPr>
          <w:color w:val="231F20"/>
          <w:spacing w:val="-33"/>
          <w:w w:val="105"/>
        </w:rPr>
        <w:t> </w:t>
      </w:r>
      <w:r>
        <w:rPr>
          <w:color w:val="231F20"/>
          <w:w w:val="105"/>
        </w:rPr>
        <w:t>Arendt</w:t>
      </w:r>
      <w:r>
        <w:rPr>
          <w:color w:val="231F20"/>
          <w:spacing w:val="-33"/>
          <w:w w:val="105"/>
        </w:rPr>
        <w:t> </w:t>
      </w:r>
      <w:r>
        <w:rPr>
          <w:color w:val="231F20"/>
          <w:w w:val="105"/>
        </w:rPr>
        <w:t>attribuisce</w:t>
      </w:r>
      <w:r>
        <w:rPr>
          <w:color w:val="231F20"/>
          <w:spacing w:val="-33"/>
          <w:w w:val="105"/>
        </w:rPr>
        <w:t> </w:t>
      </w:r>
      <w:r>
        <w:rPr>
          <w:color w:val="231F20"/>
          <w:w w:val="105"/>
        </w:rPr>
        <w:t>al</w:t>
      </w:r>
      <w:r>
        <w:rPr>
          <w:color w:val="231F20"/>
          <w:spacing w:val="-33"/>
          <w:w w:val="105"/>
        </w:rPr>
        <w:t> </w:t>
      </w:r>
      <w:r>
        <w:rPr>
          <w:color w:val="231F20"/>
          <w:w w:val="105"/>
        </w:rPr>
        <w:t>concetto classico</w:t>
      </w:r>
      <w:r>
        <w:rPr>
          <w:color w:val="231F20"/>
          <w:spacing w:val="-39"/>
          <w:w w:val="105"/>
        </w:rPr>
        <w:t> </w:t>
      </w:r>
      <w:r>
        <w:rPr>
          <w:color w:val="231F20"/>
          <w:w w:val="105"/>
        </w:rPr>
        <w:t>di</w:t>
      </w:r>
      <w:r>
        <w:rPr>
          <w:color w:val="231F20"/>
          <w:spacing w:val="-39"/>
          <w:w w:val="105"/>
        </w:rPr>
        <w:t> </w:t>
      </w:r>
      <w:r>
        <w:rPr>
          <w:color w:val="231F20"/>
          <w:w w:val="105"/>
        </w:rPr>
        <w:t>autorità,</w:t>
      </w:r>
      <w:r>
        <w:rPr>
          <w:color w:val="231F20"/>
          <w:spacing w:val="-39"/>
          <w:w w:val="105"/>
        </w:rPr>
        <w:t> </w:t>
      </w:r>
      <w:r>
        <w:rPr>
          <w:color w:val="231F20"/>
          <w:w w:val="105"/>
        </w:rPr>
        <w:t>l’autorità</w:t>
      </w:r>
      <w:r>
        <w:rPr>
          <w:color w:val="231F20"/>
          <w:spacing w:val="-39"/>
          <w:w w:val="105"/>
        </w:rPr>
        <w:t> </w:t>
      </w:r>
      <w:r>
        <w:rPr>
          <w:color w:val="231F20"/>
          <w:w w:val="105"/>
        </w:rPr>
        <w:t>sovrana</w:t>
      </w:r>
      <w:r>
        <w:rPr>
          <w:color w:val="231F20"/>
          <w:spacing w:val="-39"/>
          <w:w w:val="105"/>
        </w:rPr>
        <w:t> </w:t>
      </w:r>
      <w:r>
        <w:rPr>
          <w:color w:val="231F20"/>
          <w:w w:val="105"/>
        </w:rPr>
        <w:t>coincide</w:t>
      </w:r>
      <w:r>
        <w:rPr>
          <w:color w:val="231F20"/>
          <w:spacing w:val="-39"/>
          <w:w w:val="105"/>
        </w:rPr>
        <w:t> </w:t>
      </w:r>
      <w:r>
        <w:rPr>
          <w:color w:val="231F20"/>
          <w:w w:val="105"/>
        </w:rPr>
        <w:t>con</w:t>
      </w:r>
      <w:r>
        <w:rPr>
          <w:color w:val="231F20"/>
          <w:spacing w:val="-39"/>
          <w:w w:val="105"/>
        </w:rPr>
        <w:t> </w:t>
      </w:r>
      <w:r>
        <w:rPr>
          <w:color w:val="231F20"/>
          <w:w w:val="105"/>
        </w:rPr>
        <w:t>il</w:t>
      </w:r>
      <w:r>
        <w:rPr>
          <w:color w:val="231F20"/>
          <w:spacing w:val="-39"/>
          <w:w w:val="105"/>
        </w:rPr>
        <w:t> </w:t>
      </w:r>
      <w:r>
        <w:rPr>
          <w:color w:val="231F20"/>
          <w:w w:val="105"/>
        </w:rPr>
        <w:t>potere</w:t>
      </w:r>
      <w:r>
        <w:rPr>
          <w:color w:val="231F20"/>
          <w:spacing w:val="-39"/>
          <w:w w:val="105"/>
        </w:rPr>
        <w:t> </w:t>
      </w:r>
      <w:r>
        <w:rPr>
          <w:color w:val="231F20"/>
          <w:w w:val="105"/>
        </w:rPr>
        <w:t>ed</w:t>
      </w:r>
      <w:r>
        <w:rPr>
          <w:color w:val="231F20"/>
          <w:spacing w:val="-39"/>
          <w:w w:val="105"/>
        </w:rPr>
        <w:t> </w:t>
      </w:r>
      <w:r>
        <w:rPr>
          <w:color w:val="231F20"/>
          <w:w w:val="105"/>
        </w:rPr>
        <w:t>è</w:t>
      </w:r>
      <w:r>
        <w:rPr>
          <w:color w:val="231F20"/>
          <w:spacing w:val="-39"/>
          <w:w w:val="105"/>
        </w:rPr>
        <w:t> </w:t>
      </w:r>
      <w:r>
        <w:rPr>
          <w:color w:val="231F20"/>
          <w:w w:val="105"/>
        </w:rPr>
        <w:t>legittimata dalla</w:t>
      </w:r>
      <w:r>
        <w:rPr>
          <w:color w:val="231F20"/>
          <w:spacing w:val="-23"/>
          <w:w w:val="105"/>
        </w:rPr>
        <w:t> </w:t>
      </w:r>
      <w:r>
        <w:rPr>
          <w:color w:val="231F20"/>
          <w:w w:val="105"/>
        </w:rPr>
        <w:t>sua</w:t>
      </w:r>
      <w:r>
        <w:rPr>
          <w:color w:val="231F20"/>
          <w:spacing w:val="-23"/>
          <w:w w:val="105"/>
        </w:rPr>
        <w:t> </w:t>
      </w:r>
      <w:r>
        <w:rPr>
          <w:color w:val="231F20"/>
          <w:w w:val="105"/>
        </w:rPr>
        <w:t>apertura</w:t>
      </w:r>
      <w:r>
        <w:rPr>
          <w:color w:val="231F20"/>
          <w:spacing w:val="-23"/>
          <w:w w:val="105"/>
        </w:rPr>
        <w:t> </w:t>
      </w:r>
      <w:r>
        <w:rPr>
          <w:color w:val="231F20"/>
          <w:w w:val="105"/>
        </w:rPr>
        <w:t>al</w:t>
      </w:r>
      <w:r>
        <w:rPr>
          <w:color w:val="231F20"/>
          <w:spacing w:val="-23"/>
          <w:w w:val="105"/>
        </w:rPr>
        <w:t> </w:t>
      </w:r>
      <w:r>
        <w:rPr>
          <w:color w:val="231F20"/>
          <w:w w:val="105"/>
        </w:rPr>
        <w:t>futuro</w:t>
      </w:r>
      <w:r>
        <w:rPr>
          <w:color w:val="231F20"/>
          <w:spacing w:val="-23"/>
          <w:w w:val="105"/>
        </w:rPr>
        <w:t> </w:t>
      </w:r>
      <w:r>
        <w:rPr>
          <w:color w:val="231F20"/>
          <w:w w:val="105"/>
        </w:rPr>
        <w:t>e</w:t>
      </w:r>
      <w:r>
        <w:rPr>
          <w:color w:val="231F20"/>
          <w:spacing w:val="-23"/>
          <w:w w:val="105"/>
        </w:rPr>
        <w:t> </w:t>
      </w:r>
      <w:r>
        <w:rPr>
          <w:color w:val="231F20"/>
          <w:w w:val="105"/>
        </w:rPr>
        <w:t>non</w:t>
      </w:r>
      <w:r>
        <w:rPr>
          <w:color w:val="231F20"/>
          <w:spacing w:val="-23"/>
          <w:w w:val="105"/>
        </w:rPr>
        <w:t> </w:t>
      </w:r>
      <w:r>
        <w:rPr>
          <w:color w:val="231F20"/>
          <w:w w:val="105"/>
        </w:rPr>
        <w:t>dal</w:t>
      </w:r>
      <w:r>
        <w:rPr>
          <w:color w:val="231F20"/>
          <w:spacing w:val="-23"/>
          <w:w w:val="105"/>
        </w:rPr>
        <w:t> </w:t>
      </w:r>
      <w:r>
        <w:rPr>
          <w:color w:val="231F20"/>
          <w:w w:val="105"/>
        </w:rPr>
        <w:t>riferimento</w:t>
      </w:r>
      <w:r>
        <w:rPr>
          <w:color w:val="231F20"/>
          <w:spacing w:val="-23"/>
          <w:w w:val="105"/>
        </w:rPr>
        <w:t> </w:t>
      </w:r>
      <w:r>
        <w:rPr>
          <w:color w:val="231F20"/>
          <w:w w:val="105"/>
        </w:rPr>
        <w:t>al</w:t>
      </w:r>
      <w:r>
        <w:rPr>
          <w:color w:val="231F20"/>
          <w:spacing w:val="-23"/>
          <w:w w:val="105"/>
        </w:rPr>
        <w:t> </w:t>
      </w:r>
      <w:r>
        <w:rPr>
          <w:color w:val="231F20"/>
          <w:w w:val="105"/>
        </w:rPr>
        <w:t>passato,</w:t>
      </w:r>
      <w:r>
        <w:rPr>
          <w:color w:val="231F20"/>
          <w:spacing w:val="-23"/>
          <w:w w:val="105"/>
        </w:rPr>
        <w:t> </w:t>
      </w:r>
      <w:r>
        <w:rPr>
          <w:color w:val="231F20"/>
          <w:w w:val="105"/>
        </w:rPr>
        <w:t>nemmeno</w:t>
      </w:r>
      <w:r>
        <w:rPr>
          <w:color w:val="231F20"/>
          <w:spacing w:val="-23"/>
          <w:w w:val="105"/>
        </w:rPr>
        <w:t> </w:t>
      </w:r>
      <w:r>
        <w:rPr>
          <w:color w:val="231F20"/>
          <w:w w:val="105"/>
        </w:rPr>
        <w:t>se si</w:t>
      </w:r>
      <w:r>
        <w:rPr>
          <w:color w:val="231F20"/>
          <w:spacing w:val="-18"/>
          <w:w w:val="105"/>
        </w:rPr>
        <w:t> </w:t>
      </w:r>
      <w:r>
        <w:rPr>
          <w:color w:val="231F20"/>
          <w:w w:val="105"/>
        </w:rPr>
        <w:t>tratta</w:t>
      </w:r>
      <w:r>
        <w:rPr>
          <w:color w:val="231F20"/>
          <w:spacing w:val="-18"/>
          <w:w w:val="105"/>
        </w:rPr>
        <w:t> </w:t>
      </w:r>
      <w:r>
        <w:rPr>
          <w:color w:val="231F20"/>
          <w:w w:val="105"/>
        </w:rPr>
        <w:t>di</w:t>
      </w:r>
      <w:r>
        <w:rPr>
          <w:color w:val="231F20"/>
          <w:spacing w:val="-18"/>
          <w:w w:val="105"/>
        </w:rPr>
        <w:t> </w:t>
      </w:r>
      <w:r>
        <w:rPr>
          <w:color w:val="231F20"/>
          <w:w w:val="105"/>
        </w:rPr>
        <w:t>“un</w:t>
      </w:r>
      <w:r>
        <w:rPr>
          <w:color w:val="231F20"/>
          <w:spacing w:val="-18"/>
          <w:w w:val="105"/>
        </w:rPr>
        <w:t> </w:t>
      </w:r>
      <w:r>
        <w:rPr>
          <w:color w:val="231F20"/>
          <w:w w:val="105"/>
        </w:rPr>
        <w:t>passato</w:t>
      </w:r>
      <w:r>
        <w:rPr>
          <w:color w:val="231F20"/>
          <w:spacing w:val="-18"/>
          <w:w w:val="105"/>
        </w:rPr>
        <w:t> </w:t>
      </w:r>
      <w:r>
        <w:rPr>
          <w:color w:val="231F20"/>
          <w:w w:val="105"/>
        </w:rPr>
        <w:t>non</w:t>
      </w:r>
      <w:r>
        <w:rPr>
          <w:color w:val="231F20"/>
          <w:spacing w:val="-18"/>
          <w:w w:val="105"/>
        </w:rPr>
        <w:t> </w:t>
      </w:r>
      <w:r>
        <w:rPr>
          <w:color w:val="231F20"/>
          <w:w w:val="105"/>
        </w:rPr>
        <w:t>meno</w:t>
      </w:r>
      <w:r>
        <w:rPr>
          <w:color w:val="231F20"/>
          <w:spacing w:val="-18"/>
          <w:w w:val="105"/>
        </w:rPr>
        <w:t> </w:t>
      </w:r>
      <w:r>
        <w:rPr>
          <w:color w:val="231F20"/>
          <w:w w:val="105"/>
        </w:rPr>
        <w:t>presente</w:t>
      </w:r>
      <w:r>
        <w:rPr>
          <w:color w:val="231F20"/>
          <w:spacing w:val="-18"/>
          <w:w w:val="105"/>
        </w:rPr>
        <w:t> </w:t>
      </w:r>
      <w:r>
        <w:rPr>
          <w:color w:val="231F20"/>
          <w:w w:val="105"/>
        </w:rPr>
        <w:t>e</w:t>
      </w:r>
      <w:r>
        <w:rPr>
          <w:color w:val="231F20"/>
          <w:spacing w:val="-18"/>
          <w:w w:val="105"/>
        </w:rPr>
        <w:t> </w:t>
      </w:r>
      <w:r>
        <w:rPr>
          <w:color w:val="231F20"/>
          <w:w w:val="105"/>
        </w:rPr>
        <w:t>attuale</w:t>
      </w:r>
      <w:r>
        <w:rPr>
          <w:color w:val="231F20"/>
          <w:spacing w:val="-18"/>
          <w:w w:val="105"/>
        </w:rPr>
        <w:t> </w:t>
      </w:r>
      <w:r>
        <w:rPr>
          <w:color w:val="231F20"/>
          <w:w w:val="105"/>
        </w:rPr>
        <w:t>alla</w:t>
      </w:r>
      <w:r>
        <w:rPr>
          <w:color w:val="231F20"/>
          <w:spacing w:val="-18"/>
          <w:w w:val="105"/>
        </w:rPr>
        <w:t> </w:t>
      </w:r>
      <w:r>
        <w:rPr>
          <w:color w:val="231F20"/>
          <w:w w:val="105"/>
        </w:rPr>
        <w:t>vita</w:t>
      </w:r>
      <w:r>
        <w:rPr>
          <w:color w:val="231F20"/>
          <w:spacing w:val="-18"/>
          <w:w w:val="105"/>
        </w:rPr>
        <w:t> </w:t>
      </w:r>
      <w:r>
        <w:rPr>
          <w:color w:val="231F20"/>
          <w:w w:val="105"/>
        </w:rPr>
        <w:t>della</w:t>
      </w:r>
      <w:r>
        <w:rPr>
          <w:color w:val="231F20"/>
          <w:spacing w:val="-18"/>
          <w:w w:val="105"/>
        </w:rPr>
        <w:t> </w:t>
      </w:r>
      <w:r>
        <w:rPr>
          <w:color w:val="231F20"/>
          <w:w w:val="105"/>
        </w:rPr>
        <w:t>città</w:t>
      </w:r>
      <w:r>
        <w:rPr>
          <w:color w:val="231F20"/>
          <w:spacing w:val="-18"/>
          <w:w w:val="105"/>
        </w:rPr>
        <w:t> </w:t>
      </w:r>
      <w:r>
        <w:rPr>
          <w:color w:val="231F20"/>
          <w:w w:val="105"/>
        </w:rPr>
        <w:t>di quanto</w:t>
      </w:r>
      <w:r>
        <w:rPr>
          <w:color w:val="231F20"/>
          <w:spacing w:val="-46"/>
          <w:w w:val="105"/>
        </w:rPr>
        <w:t> </w:t>
      </w:r>
      <w:r>
        <w:rPr>
          <w:color w:val="231F20"/>
          <w:w w:val="105"/>
        </w:rPr>
        <w:t>non</w:t>
      </w:r>
      <w:r>
        <w:rPr>
          <w:color w:val="231F20"/>
          <w:spacing w:val="-46"/>
          <w:w w:val="105"/>
        </w:rPr>
        <w:t> </w:t>
      </w:r>
      <w:r>
        <w:rPr>
          <w:color w:val="231F20"/>
          <w:w w:val="105"/>
        </w:rPr>
        <w:t>lo</w:t>
      </w:r>
      <w:r>
        <w:rPr>
          <w:color w:val="231F20"/>
          <w:spacing w:val="-46"/>
          <w:w w:val="105"/>
        </w:rPr>
        <w:t> </w:t>
      </w:r>
      <w:r>
        <w:rPr>
          <w:color w:val="231F20"/>
          <w:w w:val="105"/>
        </w:rPr>
        <w:t>fosse</w:t>
      </w:r>
      <w:r>
        <w:rPr>
          <w:color w:val="231F20"/>
          <w:spacing w:val="-46"/>
          <w:w w:val="105"/>
        </w:rPr>
        <w:t> </w:t>
      </w:r>
      <w:r>
        <w:rPr>
          <w:color w:val="231F20"/>
          <w:w w:val="105"/>
        </w:rPr>
        <w:t>il</w:t>
      </w:r>
      <w:r>
        <w:rPr>
          <w:color w:val="231F20"/>
          <w:spacing w:val="-46"/>
          <w:w w:val="105"/>
        </w:rPr>
        <w:t> </w:t>
      </w:r>
      <w:r>
        <w:rPr>
          <w:color w:val="231F20"/>
          <w:spacing w:val="-3"/>
          <w:w w:val="105"/>
        </w:rPr>
        <w:t>potere</w:t>
      </w:r>
      <w:r>
        <w:rPr>
          <w:color w:val="231F20"/>
          <w:spacing w:val="-46"/>
          <w:w w:val="105"/>
        </w:rPr>
        <w:t> </w:t>
      </w:r>
      <w:r>
        <w:rPr>
          <w:color w:val="231F20"/>
          <w:w w:val="105"/>
        </w:rPr>
        <w:t>e</w:t>
      </w:r>
      <w:r>
        <w:rPr>
          <w:color w:val="231F20"/>
          <w:spacing w:val="-46"/>
          <w:w w:val="105"/>
        </w:rPr>
        <w:t> </w:t>
      </w:r>
      <w:r>
        <w:rPr>
          <w:color w:val="231F20"/>
          <w:w w:val="105"/>
        </w:rPr>
        <w:t>la</w:t>
      </w:r>
      <w:r>
        <w:rPr>
          <w:color w:val="231F20"/>
          <w:spacing w:val="-46"/>
          <w:w w:val="105"/>
        </w:rPr>
        <w:t> </w:t>
      </w:r>
      <w:r>
        <w:rPr>
          <w:color w:val="231F20"/>
          <w:w w:val="105"/>
        </w:rPr>
        <w:t>forza</w:t>
      </w:r>
      <w:r>
        <w:rPr>
          <w:color w:val="231F20"/>
          <w:spacing w:val="-46"/>
          <w:w w:val="105"/>
        </w:rPr>
        <w:t> </w:t>
      </w:r>
      <w:r>
        <w:rPr>
          <w:color w:val="231F20"/>
          <w:w w:val="105"/>
        </w:rPr>
        <w:t>dei</w:t>
      </w:r>
      <w:r>
        <w:rPr>
          <w:color w:val="231F20"/>
          <w:spacing w:val="-46"/>
          <w:w w:val="105"/>
        </w:rPr>
        <w:t> </w:t>
      </w:r>
      <w:r>
        <w:rPr>
          <w:color w:val="231F20"/>
          <w:w w:val="105"/>
        </w:rPr>
        <w:t>vivi</w:t>
      </w:r>
      <w:r>
        <w:rPr>
          <w:color w:val="231F20"/>
          <w:spacing w:val="-46"/>
          <w:w w:val="105"/>
        </w:rPr>
        <w:t> </w:t>
      </w:r>
      <w:r>
        <w:rPr>
          <w:color w:val="231F20"/>
          <w:w w:val="105"/>
        </w:rPr>
        <w:t>contemporanei”</w:t>
      </w:r>
      <w:r>
        <w:rPr>
          <w:color w:val="231F20"/>
          <w:w w:val="105"/>
          <w:position w:val="7"/>
          <w:sz w:val="12"/>
        </w:rPr>
        <w:t>8</w:t>
      </w:r>
      <w:r>
        <w:rPr>
          <w:color w:val="231F20"/>
          <w:w w:val="105"/>
        </w:rPr>
        <w:t>.</w:t>
      </w:r>
      <w:r>
        <w:rPr>
          <w:color w:val="231F20"/>
          <w:spacing w:val="-46"/>
          <w:w w:val="105"/>
        </w:rPr>
        <w:t> </w:t>
      </w:r>
      <w:r>
        <w:rPr>
          <w:color w:val="231F20"/>
          <w:w w:val="105"/>
        </w:rPr>
        <w:t>La</w:t>
      </w:r>
      <w:r>
        <w:rPr>
          <w:color w:val="231F20"/>
          <w:spacing w:val="-46"/>
          <w:w w:val="105"/>
        </w:rPr>
        <w:t> </w:t>
      </w:r>
      <w:r>
        <w:rPr>
          <w:color w:val="231F20"/>
          <w:w w:val="105"/>
        </w:rPr>
        <w:t>sovranità non</w:t>
      </w:r>
      <w:r>
        <w:rPr>
          <w:color w:val="231F20"/>
          <w:spacing w:val="-25"/>
          <w:w w:val="105"/>
        </w:rPr>
        <w:t> </w:t>
      </w:r>
      <w:r>
        <w:rPr>
          <w:color w:val="231F20"/>
          <w:w w:val="105"/>
        </w:rPr>
        <w:t>è</w:t>
      </w:r>
      <w:r>
        <w:rPr>
          <w:color w:val="231F20"/>
          <w:spacing w:val="-25"/>
          <w:w w:val="105"/>
        </w:rPr>
        <w:t> </w:t>
      </w:r>
      <w:r>
        <w:rPr>
          <w:color w:val="231F20"/>
          <w:w w:val="105"/>
        </w:rPr>
        <w:t>solo</w:t>
      </w:r>
      <w:r>
        <w:rPr>
          <w:color w:val="231F20"/>
          <w:spacing w:val="-25"/>
          <w:w w:val="105"/>
        </w:rPr>
        <w:t> </w:t>
      </w:r>
      <w:r>
        <w:rPr>
          <w:color w:val="231F20"/>
          <w:w w:val="105"/>
        </w:rPr>
        <w:t>assoluta</w:t>
      </w:r>
      <w:r>
        <w:rPr>
          <w:color w:val="231F20"/>
          <w:spacing w:val="-25"/>
          <w:w w:val="105"/>
        </w:rPr>
        <w:t> </w:t>
      </w:r>
      <w:r>
        <w:rPr>
          <w:color w:val="231F20"/>
          <w:w w:val="105"/>
        </w:rPr>
        <w:t>ma</w:t>
      </w:r>
      <w:r>
        <w:rPr>
          <w:color w:val="231F20"/>
          <w:spacing w:val="-25"/>
          <w:w w:val="105"/>
        </w:rPr>
        <w:t> </w:t>
      </w:r>
      <w:r>
        <w:rPr>
          <w:color w:val="231F20"/>
          <w:w w:val="105"/>
        </w:rPr>
        <w:t>anche</w:t>
      </w:r>
      <w:r>
        <w:rPr>
          <w:color w:val="231F20"/>
          <w:spacing w:val="-25"/>
          <w:w w:val="105"/>
        </w:rPr>
        <w:t> </w:t>
      </w:r>
      <w:r>
        <w:rPr>
          <w:color w:val="231F20"/>
          <w:w w:val="105"/>
        </w:rPr>
        <w:t>illimitata</w:t>
      </w:r>
      <w:r>
        <w:rPr>
          <w:color w:val="231F20"/>
          <w:spacing w:val="-25"/>
          <w:w w:val="105"/>
        </w:rPr>
        <w:t> </w:t>
      </w:r>
      <w:r>
        <w:rPr>
          <w:color w:val="231F20"/>
          <w:w w:val="105"/>
        </w:rPr>
        <w:t>nel</w:t>
      </w:r>
      <w:r>
        <w:rPr>
          <w:color w:val="231F20"/>
          <w:spacing w:val="-25"/>
          <w:w w:val="105"/>
        </w:rPr>
        <w:t> </w:t>
      </w:r>
      <w:r>
        <w:rPr>
          <w:color w:val="231F20"/>
          <w:w w:val="105"/>
        </w:rPr>
        <w:t>tempo</w:t>
      </w:r>
      <w:r>
        <w:rPr>
          <w:color w:val="231F20"/>
          <w:spacing w:val="-25"/>
          <w:w w:val="105"/>
        </w:rPr>
        <w:t> </w:t>
      </w:r>
      <w:r>
        <w:rPr>
          <w:color w:val="231F20"/>
          <w:w w:val="105"/>
        </w:rPr>
        <w:t>e</w:t>
      </w:r>
      <w:r>
        <w:rPr>
          <w:color w:val="231F20"/>
          <w:spacing w:val="-25"/>
          <w:w w:val="105"/>
        </w:rPr>
        <w:t> </w:t>
      </w:r>
      <w:r>
        <w:rPr>
          <w:color w:val="231F20"/>
          <w:w w:val="105"/>
        </w:rPr>
        <w:t>le</w:t>
      </w:r>
      <w:r>
        <w:rPr>
          <w:color w:val="231F20"/>
          <w:spacing w:val="-25"/>
          <w:w w:val="105"/>
        </w:rPr>
        <w:t> </w:t>
      </w:r>
      <w:r>
        <w:rPr>
          <w:color w:val="231F20"/>
          <w:w w:val="105"/>
        </w:rPr>
        <w:t>trasformazioni</w:t>
      </w:r>
      <w:r>
        <w:rPr>
          <w:color w:val="231F20"/>
          <w:spacing w:val="-25"/>
          <w:w w:val="105"/>
        </w:rPr>
        <w:t> </w:t>
      </w:r>
      <w:r>
        <w:rPr>
          <w:color w:val="231F20"/>
          <w:w w:val="105"/>
        </w:rPr>
        <w:t>dello spazio</w:t>
      </w:r>
      <w:r>
        <w:rPr>
          <w:color w:val="231F20"/>
          <w:spacing w:val="-52"/>
          <w:w w:val="105"/>
        </w:rPr>
        <w:t> </w:t>
      </w:r>
      <w:r>
        <w:rPr>
          <w:color w:val="231F20"/>
          <w:w w:val="105"/>
        </w:rPr>
        <w:t>globale</w:t>
      </w:r>
      <w:r>
        <w:rPr>
          <w:color w:val="231F20"/>
          <w:spacing w:val="-52"/>
          <w:w w:val="105"/>
        </w:rPr>
        <w:t> </w:t>
      </w:r>
      <w:r>
        <w:rPr>
          <w:color w:val="231F20"/>
          <w:w w:val="105"/>
        </w:rPr>
        <w:t>diventano</w:t>
      </w:r>
      <w:r>
        <w:rPr>
          <w:color w:val="231F20"/>
          <w:spacing w:val="-52"/>
          <w:w w:val="105"/>
        </w:rPr>
        <w:t> </w:t>
      </w:r>
      <w:r>
        <w:rPr>
          <w:color w:val="231F20"/>
          <w:w w:val="105"/>
        </w:rPr>
        <w:t>significative</w:t>
      </w:r>
      <w:r>
        <w:rPr>
          <w:color w:val="231F20"/>
          <w:spacing w:val="-52"/>
          <w:w w:val="105"/>
        </w:rPr>
        <w:t> </w:t>
      </w:r>
      <w:r>
        <w:rPr>
          <w:color w:val="231F20"/>
          <w:spacing w:val="-3"/>
          <w:w w:val="105"/>
        </w:rPr>
        <w:t>perché</w:t>
      </w:r>
      <w:r>
        <w:rPr>
          <w:color w:val="231F20"/>
          <w:spacing w:val="-52"/>
          <w:w w:val="105"/>
        </w:rPr>
        <w:t> </w:t>
      </w:r>
      <w:r>
        <w:rPr>
          <w:color w:val="231F20"/>
          <w:spacing w:val="-3"/>
          <w:w w:val="105"/>
        </w:rPr>
        <w:t>interrompono</w:t>
      </w:r>
      <w:r>
        <w:rPr>
          <w:color w:val="231F20"/>
          <w:spacing w:val="-52"/>
          <w:w w:val="105"/>
        </w:rPr>
        <w:t> </w:t>
      </w:r>
      <w:r>
        <w:rPr>
          <w:color w:val="231F20"/>
          <w:w w:val="105"/>
        </w:rPr>
        <w:t>quella</w:t>
      </w:r>
      <w:r>
        <w:rPr>
          <w:color w:val="231F20"/>
          <w:spacing w:val="-52"/>
          <w:w w:val="105"/>
        </w:rPr>
        <w:t> </w:t>
      </w:r>
      <w:r>
        <w:rPr>
          <w:color w:val="231F20"/>
          <w:w w:val="105"/>
        </w:rPr>
        <w:t>che</w:t>
      </w:r>
      <w:r>
        <w:rPr>
          <w:color w:val="231F20"/>
          <w:spacing w:val="-52"/>
          <w:w w:val="105"/>
        </w:rPr>
        <w:t> </w:t>
      </w:r>
      <w:r>
        <w:rPr>
          <w:color w:val="231F20"/>
          <w:w w:val="105"/>
        </w:rPr>
        <w:t>ormai si</w:t>
      </w:r>
      <w:r>
        <w:rPr>
          <w:color w:val="231F20"/>
          <w:spacing w:val="-39"/>
          <w:w w:val="105"/>
        </w:rPr>
        <w:t> </w:t>
      </w:r>
      <w:r>
        <w:rPr>
          <w:color w:val="231F20"/>
          <w:w w:val="105"/>
        </w:rPr>
        <w:t>era</w:t>
      </w:r>
      <w:r>
        <w:rPr>
          <w:color w:val="231F20"/>
          <w:spacing w:val="-39"/>
          <w:w w:val="105"/>
        </w:rPr>
        <w:t> </w:t>
      </w:r>
      <w:r>
        <w:rPr>
          <w:color w:val="231F20"/>
          <w:w w:val="105"/>
        </w:rPr>
        <w:t>consolidata</w:t>
      </w:r>
      <w:r>
        <w:rPr>
          <w:color w:val="231F20"/>
          <w:spacing w:val="-39"/>
          <w:w w:val="105"/>
        </w:rPr>
        <w:t> </w:t>
      </w:r>
      <w:r>
        <w:rPr>
          <w:color w:val="231F20"/>
          <w:w w:val="105"/>
        </w:rPr>
        <w:t>come</w:t>
      </w:r>
      <w:r>
        <w:rPr>
          <w:color w:val="231F20"/>
          <w:spacing w:val="-39"/>
          <w:w w:val="105"/>
        </w:rPr>
        <w:t> </w:t>
      </w:r>
      <w:r>
        <w:rPr>
          <w:color w:val="231F20"/>
          <w:w w:val="105"/>
        </w:rPr>
        <w:t>una</w:t>
      </w:r>
      <w:r>
        <w:rPr>
          <w:color w:val="231F20"/>
          <w:spacing w:val="-39"/>
          <w:w w:val="105"/>
        </w:rPr>
        <w:t> </w:t>
      </w:r>
      <w:r>
        <w:rPr>
          <w:color w:val="231F20"/>
          <w:w w:val="105"/>
        </w:rPr>
        <w:t>tradizione</w:t>
      </w:r>
      <w:r>
        <w:rPr>
          <w:color w:val="231F20"/>
          <w:spacing w:val="-39"/>
          <w:w w:val="105"/>
        </w:rPr>
        <w:t> </w:t>
      </w:r>
      <w:r>
        <w:rPr>
          <w:color w:val="231F20"/>
          <w:w w:val="105"/>
        </w:rPr>
        <w:t>sovrana.</w:t>
      </w:r>
    </w:p>
    <w:p>
      <w:pPr>
        <w:pStyle w:val="BodyText"/>
        <w:spacing w:line="247" w:lineRule="auto"/>
        <w:ind w:left="117" w:right="110" w:firstLine="566"/>
        <w:jc w:val="both"/>
      </w:pPr>
      <w:r>
        <w:rPr>
          <w:color w:val="231F20"/>
          <w:w w:val="105"/>
        </w:rPr>
        <w:t>La rottura di </w:t>
      </w:r>
      <w:r>
        <w:rPr>
          <w:color w:val="231F20"/>
          <w:spacing w:val="2"/>
          <w:w w:val="105"/>
        </w:rPr>
        <w:t>questa tradizione </w:t>
      </w:r>
      <w:r>
        <w:rPr>
          <w:color w:val="231F20"/>
          <w:w w:val="105"/>
        </w:rPr>
        <w:t>non </w:t>
      </w:r>
      <w:r>
        <w:rPr>
          <w:color w:val="231F20"/>
          <w:spacing w:val="2"/>
          <w:w w:val="105"/>
        </w:rPr>
        <w:t>rivela </w:t>
      </w:r>
      <w:r>
        <w:rPr>
          <w:color w:val="231F20"/>
          <w:w w:val="105"/>
        </w:rPr>
        <w:t>perciò </w:t>
      </w:r>
      <w:r>
        <w:rPr>
          <w:color w:val="231F20"/>
          <w:spacing w:val="2"/>
          <w:w w:val="105"/>
        </w:rPr>
        <w:t>solo </w:t>
      </w:r>
      <w:r>
        <w:rPr>
          <w:color w:val="231F20"/>
          <w:w w:val="105"/>
        </w:rPr>
        <w:t>il </w:t>
      </w:r>
      <w:r>
        <w:rPr>
          <w:color w:val="231F20"/>
          <w:spacing w:val="2"/>
          <w:w w:val="105"/>
        </w:rPr>
        <w:t>carattere </w:t>
      </w:r>
      <w:r>
        <w:rPr>
          <w:color w:val="231F20"/>
          <w:spacing w:val="6"/>
          <w:w w:val="105"/>
        </w:rPr>
        <w:t>spazialmente determinato dell’esistenza statale, </w:t>
      </w:r>
      <w:r>
        <w:rPr>
          <w:color w:val="231F20"/>
          <w:spacing w:val="3"/>
          <w:w w:val="105"/>
        </w:rPr>
        <w:t>ma </w:t>
      </w:r>
      <w:r>
        <w:rPr>
          <w:color w:val="231F20"/>
          <w:spacing w:val="6"/>
          <w:w w:val="105"/>
        </w:rPr>
        <w:t>soprattutto </w:t>
      </w:r>
      <w:r>
        <w:rPr>
          <w:color w:val="231F20"/>
          <w:spacing w:val="7"/>
          <w:w w:val="105"/>
        </w:rPr>
        <w:t>la </w:t>
      </w:r>
      <w:r>
        <w:rPr>
          <w:color w:val="231F20"/>
          <w:spacing w:val="2"/>
          <w:w w:val="105"/>
        </w:rPr>
        <w:t>contingenza </w:t>
      </w:r>
      <w:r>
        <w:rPr>
          <w:color w:val="231F20"/>
          <w:w w:val="105"/>
        </w:rPr>
        <w:t>del suo agire</w:t>
      </w:r>
      <w:r>
        <w:rPr>
          <w:color w:val="231F20"/>
          <w:w w:val="105"/>
          <w:position w:val="7"/>
          <w:sz w:val="12"/>
        </w:rPr>
        <w:t>9</w:t>
      </w:r>
      <w:r>
        <w:rPr>
          <w:color w:val="231F20"/>
          <w:w w:val="105"/>
        </w:rPr>
        <w:t>. La </w:t>
      </w:r>
      <w:r>
        <w:rPr>
          <w:color w:val="231F20"/>
          <w:spacing w:val="2"/>
          <w:w w:val="105"/>
        </w:rPr>
        <w:t>minaccia </w:t>
      </w:r>
      <w:r>
        <w:rPr>
          <w:color w:val="231F20"/>
          <w:w w:val="105"/>
        </w:rPr>
        <w:t>di </w:t>
      </w:r>
      <w:r>
        <w:rPr>
          <w:color w:val="231F20"/>
          <w:spacing w:val="2"/>
          <w:w w:val="105"/>
        </w:rPr>
        <w:t>apparire come </w:t>
      </w:r>
      <w:r>
        <w:rPr>
          <w:color w:val="231F20"/>
          <w:w w:val="105"/>
        </w:rPr>
        <w:t>il </w:t>
      </w:r>
      <w:r>
        <w:rPr>
          <w:color w:val="231F20"/>
          <w:spacing w:val="2"/>
          <w:w w:val="105"/>
        </w:rPr>
        <w:t>titolare </w:t>
      </w:r>
      <w:r>
        <w:rPr>
          <w:color w:val="231F20"/>
          <w:w w:val="105"/>
        </w:rPr>
        <w:t>di un’autorità</w:t>
      </w:r>
      <w:r>
        <w:rPr>
          <w:color w:val="231F20"/>
          <w:spacing w:val="-26"/>
          <w:w w:val="105"/>
        </w:rPr>
        <w:t> </w:t>
      </w:r>
      <w:r>
        <w:rPr>
          <w:color w:val="231F20"/>
          <w:w w:val="105"/>
        </w:rPr>
        <w:t>contingente</w:t>
      </w:r>
      <w:r>
        <w:rPr>
          <w:color w:val="231F20"/>
          <w:spacing w:val="-26"/>
          <w:w w:val="105"/>
        </w:rPr>
        <w:t> </w:t>
      </w:r>
      <w:r>
        <w:rPr>
          <w:color w:val="231F20"/>
          <w:w w:val="105"/>
        </w:rPr>
        <w:t>che</w:t>
      </w:r>
      <w:r>
        <w:rPr>
          <w:color w:val="231F20"/>
          <w:spacing w:val="-26"/>
          <w:w w:val="105"/>
        </w:rPr>
        <w:t> </w:t>
      </w:r>
      <w:r>
        <w:rPr>
          <w:color w:val="231F20"/>
          <w:w w:val="105"/>
        </w:rPr>
        <w:t>produce</w:t>
      </w:r>
      <w:r>
        <w:rPr>
          <w:color w:val="231F20"/>
          <w:spacing w:val="-26"/>
          <w:w w:val="105"/>
        </w:rPr>
        <w:t> </w:t>
      </w:r>
      <w:r>
        <w:rPr>
          <w:color w:val="231F20"/>
          <w:w w:val="105"/>
        </w:rPr>
        <w:t>incertezza</w:t>
      </w:r>
      <w:r>
        <w:rPr>
          <w:color w:val="231F20"/>
          <w:spacing w:val="-26"/>
          <w:w w:val="105"/>
        </w:rPr>
        <w:t> </w:t>
      </w:r>
      <w:r>
        <w:rPr>
          <w:color w:val="231F20"/>
          <w:w w:val="105"/>
        </w:rPr>
        <w:t>è</w:t>
      </w:r>
      <w:r>
        <w:rPr>
          <w:color w:val="231F20"/>
          <w:spacing w:val="-26"/>
          <w:w w:val="105"/>
        </w:rPr>
        <w:t> </w:t>
      </w:r>
      <w:r>
        <w:rPr>
          <w:color w:val="231F20"/>
          <w:w w:val="105"/>
        </w:rPr>
        <w:t>strettamente</w:t>
      </w:r>
      <w:r>
        <w:rPr>
          <w:color w:val="231F20"/>
          <w:spacing w:val="-26"/>
          <w:w w:val="105"/>
        </w:rPr>
        <w:t> </w:t>
      </w:r>
      <w:r>
        <w:rPr>
          <w:color w:val="231F20"/>
          <w:w w:val="105"/>
        </w:rPr>
        <w:t>legata</w:t>
      </w:r>
      <w:r>
        <w:rPr>
          <w:color w:val="231F20"/>
          <w:spacing w:val="-26"/>
          <w:w w:val="105"/>
        </w:rPr>
        <w:t> </w:t>
      </w:r>
      <w:r>
        <w:rPr>
          <w:color w:val="231F20"/>
          <w:w w:val="105"/>
        </w:rPr>
        <w:t>alla difficoltà di intervenire positivamente all’interno di un ciclo economico, che è dominato da movimenti che sfuggono alla possibilità di governo statale.</w:t>
      </w:r>
      <w:r>
        <w:rPr>
          <w:color w:val="231F20"/>
          <w:spacing w:val="-48"/>
          <w:w w:val="105"/>
        </w:rPr>
        <w:t> </w:t>
      </w:r>
      <w:r>
        <w:rPr>
          <w:color w:val="231F20"/>
          <w:w w:val="105"/>
        </w:rPr>
        <w:t>Questa</w:t>
      </w:r>
      <w:r>
        <w:rPr>
          <w:color w:val="231F20"/>
          <w:spacing w:val="-48"/>
          <w:w w:val="105"/>
        </w:rPr>
        <w:t> </w:t>
      </w:r>
      <w:r>
        <w:rPr>
          <w:color w:val="231F20"/>
          <w:spacing w:val="-3"/>
          <w:w w:val="105"/>
        </w:rPr>
        <w:t>comprensione</w:t>
      </w:r>
      <w:r>
        <w:rPr>
          <w:color w:val="231F20"/>
          <w:spacing w:val="-48"/>
          <w:w w:val="105"/>
        </w:rPr>
        <w:t> </w:t>
      </w:r>
      <w:r>
        <w:rPr>
          <w:color w:val="231F20"/>
          <w:w w:val="105"/>
        </w:rPr>
        <w:t>dello</w:t>
      </w:r>
      <w:r>
        <w:rPr>
          <w:color w:val="231F20"/>
          <w:spacing w:val="-48"/>
          <w:w w:val="105"/>
        </w:rPr>
        <w:t> </w:t>
      </w:r>
      <w:r>
        <w:rPr>
          <w:color w:val="231F20"/>
          <w:w w:val="105"/>
        </w:rPr>
        <w:t>Stato</w:t>
      </w:r>
      <w:r>
        <w:rPr>
          <w:color w:val="231F20"/>
          <w:spacing w:val="-48"/>
          <w:w w:val="105"/>
        </w:rPr>
        <w:t> </w:t>
      </w:r>
      <w:r>
        <w:rPr>
          <w:color w:val="231F20"/>
          <w:w w:val="105"/>
        </w:rPr>
        <w:t>come</w:t>
      </w:r>
      <w:r>
        <w:rPr>
          <w:color w:val="231F20"/>
          <w:spacing w:val="-48"/>
          <w:w w:val="105"/>
        </w:rPr>
        <w:t> </w:t>
      </w:r>
      <w:r>
        <w:rPr>
          <w:color w:val="231F20"/>
          <w:w w:val="105"/>
        </w:rPr>
        <w:t>fattore</w:t>
      </w:r>
      <w:r>
        <w:rPr>
          <w:color w:val="231F20"/>
          <w:spacing w:val="-48"/>
          <w:w w:val="105"/>
        </w:rPr>
        <w:t> </w:t>
      </w:r>
      <w:r>
        <w:rPr>
          <w:color w:val="231F20"/>
          <w:w w:val="105"/>
        </w:rPr>
        <w:t>di</w:t>
      </w:r>
      <w:r>
        <w:rPr>
          <w:color w:val="231F20"/>
          <w:spacing w:val="-48"/>
          <w:w w:val="105"/>
        </w:rPr>
        <w:t> </w:t>
      </w:r>
      <w:r>
        <w:rPr>
          <w:color w:val="231F20"/>
          <w:w w:val="105"/>
        </w:rPr>
        <w:t>incertezza</w:t>
      </w:r>
      <w:r>
        <w:rPr>
          <w:color w:val="231F20"/>
          <w:spacing w:val="-48"/>
          <w:w w:val="105"/>
        </w:rPr>
        <w:t> </w:t>
      </w:r>
      <w:r>
        <w:rPr>
          <w:color w:val="231F20"/>
          <w:spacing w:val="-3"/>
          <w:w w:val="105"/>
        </w:rPr>
        <w:t>emerge </w:t>
      </w:r>
      <w:r>
        <w:rPr>
          <w:color w:val="231F20"/>
          <w:w w:val="105"/>
        </w:rPr>
        <w:t>chiaramente già nel 2008, cioè prima che la crisi mondiale </w:t>
      </w:r>
      <w:r>
        <w:rPr>
          <w:color w:val="231F20"/>
          <w:spacing w:val="2"/>
          <w:w w:val="105"/>
        </w:rPr>
        <w:t>dispiegasse </w:t>
      </w:r>
      <w:r>
        <w:rPr>
          <w:color w:val="231F20"/>
          <w:w w:val="105"/>
        </w:rPr>
        <w:t>pienamente</w:t>
      </w:r>
      <w:r>
        <w:rPr>
          <w:color w:val="231F20"/>
          <w:spacing w:val="-28"/>
          <w:w w:val="105"/>
        </w:rPr>
        <w:t> </w:t>
      </w:r>
      <w:r>
        <w:rPr>
          <w:color w:val="231F20"/>
          <w:w w:val="105"/>
        </w:rPr>
        <w:t>i</w:t>
      </w:r>
      <w:r>
        <w:rPr>
          <w:color w:val="231F20"/>
          <w:spacing w:val="-28"/>
          <w:w w:val="105"/>
        </w:rPr>
        <w:t> </w:t>
      </w:r>
      <w:r>
        <w:rPr>
          <w:color w:val="231F20"/>
          <w:w w:val="105"/>
        </w:rPr>
        <w:t>suoi</w:t>
      </w:r>
      <w:r>
        <w:rPr>
          <w:color w:val="231F20"/>
          <w:spacing w:val="-28"/>
          <w:w w:val="105"/>
        </w:rPr>
        <w:t> </w:t>
      </w:r>
      <w:r>
        <w:rPr>
          <w:color w:val="231F20"/>
          <w:w w:val="105"/>
        </w:rPr>
        <w:t>effetti</w:t>
      </w:r>
      <w:r>
        <w:rPr>
          <w:color w:val="231F20"/>
          <w:spacing w:val="-28"/>
          <w:w w:val="105"/>
        </w:rPr>
        <w:t> </w:t>
      </w:r>
      <w:r>
        <w:rPr>
          <w:color w:val="231F20"/>
          <w:w w:val="105"/>
        </w:rPr>
        <w:t>politici,</w:t>
      </w:r>
      <w:r>
        <w:rPr>
          <w:color w:val="231F20"/>
          <w:spacing w:val="-28"/>
          <w:w w:val="105"/>
        </w:rPr>
        <w:t> </w:t>
      </w:r>
      <w:r>
        <w:rPr>
          <w:color w:val="231F20"/>
          <w:w w:val="105"/>
        </w:rPr>
        <w:t>quando</w:t>
      </w:r>
      <w:r>
        <w:rPr>
          <w:color w:val="231F20"/>
          <w:spacing w:val="-28"/>
          <w:w w:val="105"/>
        </w:rPr>
        <w:t> </w:t>
      </w:r>
      <w:r>
        <w:rPr>
          <w:color w:val="231F20"/>
          <w:w w:val="105"/>
        </w:rPr>
        <w:t>l’</w:t>
      </w:r>
      <w:r>
        <w:rPr>
          <w:rFonts w:ascii="Arial" w:hAnsi="Arial"/>
          <w:i/>
          <w:color w:val="231F20"/>
          <w:w w:val="105"/>
        </w:rPr>
        <w:t>Organisation</w:t>
      </w:r>
      <w:r>
        <w:rPr>
          <w:rFonts w:ascii="Arial" w:hAnsi="Arial"/>
          <w:i/>
          <w:color w:val="231F20"/>
          <w:spacing w:val="-20"/>
          <w:w w:val="105"/>
        </w:rPr>
        <w:t> </w:t>
      </w:r>
      <w:r>
        <w:rPr>
          <w:rFonts w:ascii="Arial" w:hAnsi="Arial"/>
          <w:i/>
          <w:color w:val="231F20"/>
          <w:w w:val="105"/>
        </w:rPr>
        <w:t>for</w:t>
      </w:r>
      <w:r>
        <w:rPr>
          <w:rFonts w:ascii="Arial" w:hAnsi="Arial"/>
          <w:i/>
          <w:color w:val="231F20"/>
          <w:spacing w:val="-20"/>
          <w:w w:val="105"/>
        </w:rPr>
        <w:t> </w:t>
      </w:r>
      <w:r>
        <w:rPr>
          <w:rFonts w:ascii="Arial" w:hAnsi="Arial"/>
          <w:i/>
          <w:color w:val="231F20"/>
          <w:w w:val="105"/>
        </w:rPr>
        <w:t>Economic</w:t>
      </w:r>
      <w:r>
        <w:rPr>
          <w:rFonts w:ascii="Arial" w:hAnsi="Arial"/>
          <w:i/>
          <w:color w:val="231F20"/>
          <w:spacing w:val="-20"/>
          <w:w w:val="105"/>
        </w:rPr>
        <w:t> </w:t>
      </w:r>
      <w:r>
        <w:rPr>
          <w:rFonts w:ascii="Arial" w:hAnsi="Arial"/>
          <w:i/>
          <w:color w:val="231F20"/>
          <w:w w:val="105"/>
        </w:rPr>
        <w:t>Co– </w:t>
      </w:r>
      <w:r>
        <w:rPr>
          <w:rFonts w:ascii="Arial" w:hAnsi="Arial"/>
          <w:i/>
          <w:color w:val="231F20"/>
          <w:w w:val="105"/>
        </w:rPr>
        <w:t>Operation</w:t>
      </w:r>
      <w:r>
        <w:rPr>
          <w:rFonts w:ascii="Arial" w:hAnsi="Arial"/>
          <w:i/>
          <w:color w:val="231F20"/>
          <w:spacing w:val="-14"/>
          <w:w w:val="105"/>
        </w:rPr>
        <w:t> </w:t>
      </w:r>
      <w:r>
        <w:rPr>
          <w:rFonts w:ascii="Arial" w:hAnsi="Arial"/>
          <w:i/>
          <w:color w:val="231F20"/>
          <w:w w:val="105"/>
        </w:rPr>
        <w:t>and</w:t>
      </w:r>
      <w:r>
        <w:rPr>
          <w:rFonts w:ascii="Arial" w:hAnsi="Arial"/>
          <w:i/>
          <w:color w:val="231F20"/>
          <w:spacing w:val="-14"/>
          <w:w w:val="105"/>
        </w:rPr>
        <w:t> </w:t>
      </w:r>
      <w:r>
        <w:rPr>
          <w:rFonts w:ascii="Arial" w:hAnsi="Arial"/>
          <w:i/>
          <w:color w:val="231F20"/>
          <w:w w:val="105"/>
        </w:rPr>
        <w:t>Development</w:t>
      </w:r>
      <w:r>
        <w:rPr>
          <w:rFonts w:ascii="Arial" w:hAnsi="Arial"/>
          <w:i/>
          <w:color w:val="231F20"/>
          <w:spacing w:val="-14"/>
          <w:w w:val="105"/>
        </w:rPr>
        <w:t> </w:t>
      </w:r>
      <w:r>
        <w:rPr>
          <w:color w:val="231F20"/>
          <w:w w:val="105"/>
        </w:rPr>
        <w:t>registra</w:t>
      </w:r>
      <w:r>
        <w:rPr>
          <w:color w:val="231F20"/>
          <w:spacing w:val="-22"/>
          <w:w w:val="105"/>
        </w:rPr>
        <w:t> </w:t>
      </w:r>
      <w:r>
        <w:rPr>
          <w:color w:val="231F20"/>
          <w:w w:val="105"/>
        </w:rPr>
        <w:t>il</w:t>
      </w:r>
      <w:r>
        <w:rPr>
          <w:color w:val="231F20"/>
          <w:spacing w:val="-22"/>
          <w:w w:val="105"/>
        </w:rPr>
        <w:t> </w:t>
      </w:r>
      <w:r>
        <w:rPr>
          <w:color w:val="231F20"/>
          <w:w w:val="105"/>
        </w:rPr>
        <w:t>fatto</w:t>
      </w:r>
      <w:r>
        <w:rPr>
          <w:color w:val="231F20"/>
          <w:spacing w:val="-22"/>
          <w:w w:val="105"/>
        </w:rPr>
        <w:t> </w:t>
      </w:r>
      <w:r>
        <w:rPr>
          <w:color w:val="231F20"/>
          <w:w w:val="105"/>
        </w:rPr>
        <w:t>che</w:t>
      </w:r>
      <w:r>
        <w:rPr>
          <w:color w:val="231F20"/>
          <w:spacing w:val="-22"/>
          <w:w w:val="105"/>
        </w:rPr>
        <w:t> </w:t>
      </w:r>
      <w:r>
        <w:rPr>
          <w:color w:val="231F20"/>
          <w:w w:val="105"/>
        </w:rPr>
        <w:t>gli</w:t>
      </w:r>
      <w:r>
        <w:rPr>
          <w:color w:val="231F20"/>
          <w:spacing w:val="-22"/>
          <w:w w:val="105"/>
        </w:rPr>
        <w:t> </w:t>
      </w:r>
      <w:r>
        <w:rPr>
          <w:color w:val="231F20"/>
          <w:w w:val="105"/>
        </w:rPr>
        <w:t>“Stati</w:t>
      </w:r>
      <w:r>
        <w:rPr>
          <w:color w:val="231F20"/>
          <w:spacing w:val="-22"/>
          <w:w w:val="105"/>
        </w:rPr>
        <w:t> </w:t>
      </w:r>
      <w:r>
        <w:rPr>
          <w:color w:val="231F20"/>
          <w:w w:val="105"/>
        </w:rPr>
        <w:t>possono</w:t>
      </w:r>
      <w:r>
        <w:rPr>
          <w:color w:val="231F20"/>
          <w:spacing w:val="-22"/>
          <w:w w:val="105"/>
        </w:rPr>
        <w:t> </w:t>
      </w:r>
      <w:r>
        <w:rPr>
          <w:color w:val="231F20"/>
          <w:w w:val="105"/>
        </w:rPr>
        <w:t>essere una</w:t>
      </w:r>
      <w:r>
        <w:rPr>
          <w:color w:val="231F20"/>
          <w:spacing w:val="-12"/>
          <w:w w:val="105"/>
        </w:rPr>
        <w:t> </w:t>
      </w:r>
      <w:r>
        <w:rPr>
          <w:color w:val="231F20"/>
          <w:w w:val="105"/>
        </w:rPr>
        <w:t>fonte</w:t>
      </w:r>
      <w:r>
        <w:rPr>
          <w:color w:val="231F20"/>
          <w:spacing w:val="-12"/>
          <w:w w:val="105"/>
        </w:rPr>
        <w:t> </w:t>
      </w:r>
      <w:r>
        <w:rPr>
          <w:color w:val="231F20"/>
          <w:w w:val="105"/>
        </w:rPr>
        <w:t>di</w:t>
      </w:r>
      <w:r>
        <w:rPr>
          <w:color w:val="231F20"/>
          <w:spacing w:val="-12"/>
          <w:w w:val="105"/>
        </w:rPr>
        <w:t> </w:t>
      </w:r>
      <w:r>
        <w:rPr>
          <w:color w:val="231F20"/>
          <w:w w:val="105"/>
        </w:rPr>
        <w:t>insicurezza”,</w:t>
      </w:r>
      <w:r>
        <w:rPr>
          <w:color w:val="231F20"/>
          <w:spacing w:val="-12"/>
          <w:w w:val="105"/>
        </w:rPr>
        <w:t> </w:t>
      </w:r>
      <w:r>
        <w:rPr>
          <w:color w:val="231F20"/>
          <w:w w:val="105"/>
        </w:rPr>
        <w:t>dal</w:t>
      </w:r>
      <w:r>
        <w:rPr>
          <w:color w:val="231F20"/>
          <w:spacing w:val="-12"/>
          <w:w w:val="105"/>
        </w:rPr>
        <w:t> </w:t>
      </w:r>
      <w:r>
        <w:rPr>
          <w:color w:val="231F20"/>
          <w:w w:val="105"/>
        </w:rPr>
        <w:t>momento</w:t>
      </w:r>
      <w:r>
        <w:rPr>
          <w:color w:val="231F20"/>
          <w:spacing w:val="-12"/>
          <w:w w:val="105"/>
        </w:rPr>
        <w:t> </w:t>
      </w:r>
      <w:r>
        <w:rPr>
          <w:color w:val="231F20"/>
          <w:w w:val="105"/>
        </w:rPr>
        <w:t>c’è</w:t>
      </w:r>
      <w:r>
        <w:rPr>
          <w:color w:val="231F20"/>
          <w:spacing w:val="-12"/>
          <w:w w:val="105"/>
        </w:rPr>
        <w:t> </w:t>
      </w:r>
      <w:r>
        <w:rPr>
          <w:color w:val="231F20"/>
          <w:w w:val="105"/>
        </w:rPr>
        <w:t>un</w:t>
      </w:r>
      <w:r>
        <w:rPr>
          <w:color w:val="231F20"/>
          <w:spacing w:val="-12"/>
          <w:w w:val="105"/>
        </w:rPr>
        <w:t> </w:t>
      </w:r>
      <w:r>
        <w:rPr>
          <w:color w:val="231F20"/>
          <w:w w:val="105"/>
        </w:rPr>
        <w:t>numero</w:t>
      </w:r>
      <w:r>
        <w:rPr>
          <w:color w:val="231F20"/>
          <w:spacing w:val="-12"/>
          <w:w w:val="105"/>
        </w:rPr>
        <w:t> </w:t>
      </w:r>
      <w:r>
        <w:rPr>
          <w:color w:val="231F20"/>
          <w:w w:val="105"/>
        </w:rPr>
        <w:t>sempre</w:t>
      </w:r>
      <w:r>
        <w:rPr>
          <w:color w:val="231F20"/>
          <w:spacing w:val="-12"/>
          <w:w w:val="105"/>
        </w:rPr>
        <w:t> </w:t>
      </w:r>
      <w:r>
        <w:rPr>
          <w:color w:val="231F20"/>
          <w:w w:val="105"/>
        </w:rPr>
        <w:t>maggiore di “Stati deboli, fragili o in via di fallimento”</w:t>
      </w:r>
      <w:r>
        <w:rPr>
          <w:color w:val="231F20"/>
          <w:w w:val="105"/>
          <w:position w:val="7"/>
          <w:sz w:val="12"/>
        </w:rPr>
        <w:t>10</w:t>
      </w:r>
      <w:r>
        <w:rPr>
          <w:color w:val="231F20"/>
          <w:w w:val="105"/>
        </w:rPr>
        <w:t>. Non siamo di fronte alla </w:t>
      </w:r>
      <w:r>
        <w:rPr>
          <w:color w:val="231F20"/>
          <w:spacing w:val="2"/>
          <w:w w:val="105"/>
        </w:rPr>
        <w:t>descrizione </w:t>
      </w:r>
      <w:r>
        <w:rPr>
          <w:color w:val="231F20"/>
          <w:w w:val="105"/>
        </w:rPr>
        <w:t>di una </w:t>
      </w:r>
      <w:r>
        <w:rPr>
          <w:color w:val="231F20"/>
          <w:spacing w:val="2"/>
          <w:w w:val="105"/>
        </w:rPr>
        <w:t>situazione, quanto piuttosto </w:t>
      </w:r>
      <w:r>
        <w:rPr>
          <w:color w:val="231F20"/>
          <w:w w:val="105"/>
        </w:rPr>
        <w:t>al </w:t>
      </w:r>
      <w:r>
        <w:rPr>
          <w:color w:val="231F20"/>
          <w:spacing w:val="2"/>
          <w:w w:val="105"/>
        </w:rPr>
        <w:t>tentativo </w:t>
      </w:r>
      <w:r>
        <w:rPr>
          <w:color w:val="231F20"/>
          <w:w w:val="105"/>
        </w:rPr>
        <w:t>di </w:t>
      </w:r>
      <w:r>
        <w:rPr>
          <w:color w:val="231F20"/>
          <w:spacing w:val="2"/>
          <w:w w:val="105"/>
        </w:rPr>
        <w:t>indicare </w:t>
      </w:r>
      <w:r>
        <w:rPr>
          <w:color w:val="231F20"/>
          <w:w w:val="105"/>
        </w:rPr>
        <w:t>possibili</w:t>
      </w:r>
      <w:r>
        <w:rPr>
          <w:color w:val="231F20"/>
          <w:spacing w:val="-15"/>
          <w:w w:val="105"/>
        </w:rPr>
        <w:t> </w:t>
      </w:r>
      <w:r>
        <w:rPr>
          <w:color w:val="231F20"/>
          <w:w w:val="105"/>
        </w:rPr>
        <w:t>rimedi</w:t>
      </w:r>
      <w:r>
        <w:rPr>
          <w:color w:val="231F20"/>
          <w:spacing w:val="-15"/>
          <w:w w:val="105"/>
        </w:rPr>
        <w:t> </w:t>
      </w:r>
      <w:r>
        <w:rPr>
          <w:color w:val="231F20"/>
          <w:w w:val="105"/>
        </w:rPr>
        <w:t>non</w:t>
      </w:r>
      <w:r>
        <w:rPr>
          <w:color w:val="231F20"/>
          <w:spacing w:val="-15"/>
          <w:w w:val="105"/>
        </w:rPr>
        <w:t> </w:t>
      </w:r>
      <w:r>
        <w:rPr>
          <w:color w:val="231F20"/>
          <w:w w:val="105"/>
        </w:rPr>
        <w:t>da</w:t>
      </w:r>
      <w:r>
        <w:rPr>
          <w:color w:val="231F20"/>
          <w:spacing w:val="-15"/>
          <w:w w:val="105"/>
        </w:rPr>
        <w:t> </w:t>
      </w:r>
      <w:r>
        <w:rPr>
          <w:color w:val="231F20"/>
          <w:w w:val="105"/>
        </w:rPr>
        <w:t>ultimo</w:t>
      </w:r>
      <w:r>
        <w:rPr>
          <w:color w:val="231F20"/>
          <w:spacing w:val="-15"/>
          <w:w w:val="105"/>
        </w:rPr>
        <w:t> </w:t>
      </w:r>
      <w:r>
        <w:rPr>
          <w:color w:val="231F20"/>
          <w:w w:val="105"/>
        </w:rPr>
        <w:t>per</w:t>
      </w:r>
      <w:r>
        <w:rPr>
          <w:color w:val="231F20"/>
          <w:spacing w:val="-15"/>
          <w:w w:val="105"/>
        </w:rPr>
        <w:t> </w:t>
      </w:r>
      <w:r>
        <w:rPr>
          <w:color w:val="231F20"/>
          <w:w w:val="105"/>
        </w:rPr>
        <w:t>indirizzare</w:t>
      </w:r>
      <w:r>
        <w:rPr>
          <w:color w:val="231F20"/>
          <w:spacing w:val="-15"/>
          <w:w w:val="105"/>
        </w:rPr>
        <w:t> </w:t>
      </w:r>
      <w:r>
        <w:rPr>
          <w:color w:val="231F20"/>
          <w:w w:val="105"/>
        </w:rPr>
        <w:t>l’azione</w:t>
      </w:r>
      <w:r>
        <w:rPr>
          <w:color w:val="231F20"/>
          <w:spacing w:val="-15"/>
          <w:w w:val="105"/>
        </w:rPr>
        <w:t> </w:t>
      </w:r>
      <w:r>
        <w:rPr>
          <w:color w:val="231F20"/>
          <w:w w:val="105"/>
        </w:rPr>
        <w:t>degli</w:t>
      </w:r>
      <w:r>
        <w:rPr>
          <w:color w:val="231F20"/>
          <w:spacing w:val="-15"/>
          <w:w w:val="105"/>
        </w:rPr>
        <w:t> </w:t>
      </w:r>
      <w:r>
        <w:rPr>
          <w:color w:val="231F20"/>
          <w:w w:val="105"/>
        </w:rPr>
        <w:t>Stati</w:t>
      </w:r>
      <w:r>
        <w:rPr>
          <w:color w:val="231F20"/>
          <w:spacing w:val="-15"/>
          <w:w w:val="105"/>
        </w:rPr>
        <w:t> </w:t>
      </w:r>
      <w:r>
        <w:rPr>
          <w:color w:val="231F20"/>
          <w:w w:val="105"/>
        </w:rPr>
        <w:t>stessi.</w:t>
      </w:r>
      <w:r>
        <w:rPr>
          <w:color w:val="231F20"/>
          <w:spacing w:val="-15"/>
          <w:w w:val="105"/>
        </w:rPr>
        <w:t> </w:t>
      </w:r>
      <w:r>
        <w:rPr>
          <w:color w:val="231F20"/>
          <w:w w:val="105"/>
        </w:rPr>
        <w:t>La </w:t>
      </w:r>
      <w:r>
        <w:rPr>
          <w:color w:val="231F20"/>
          <w:spacing w:val="-3"/>
          <w:w w:val="105"/>
        </w:rPr>
        <w:t>condizione</w:t>
      </w:r>
      <w:r>
        <w:rPr>
          <w:color w:val="231F20"/>
          <w:spacing w:val="-41"/>
          <w:w w:val="105"/>
        </w:rPr>
        <w:t> </w:t>
      </w:r>
      <w:r>
        <w:rPr>
          <w:color w:val="231F20"/>
          <w:w w:val="105"/>
        </w:rPr>
        <w:t>di</w:t>
      </w:r>
      <w:r>
        <w:rPr>
          <w:color w:val="231F20"/>
          <w:spacing w:val="-41"/>
          <w:w w:val="105"/>
        </w:rPr>
        <w:t> </w:t>
      </w:r>
      <w:r>
        <w:rPr>
          <w:color w:val="231F20"/>
          <w:spacing w:val="-3"/>
          <w:w w:val="105"/>
        </w:rPr>
        <w:t>incertezza</w:t>
      </w:r>
      <w:r>
        <w:rPr>
          <w:color w:val="231F20"/>
          <w:spacing w:val="-41"/>
          <w:w w:val="105"/>
        </w:rPr>
        <w:t> </w:t>
      </w:r>
      <w:r>
        <w:rPr>
          <w:color w:val="231F20"/>
          <w:spacing w:val="-3"/>
          <w:w w:val="105"/>
        </w:rPr>
        <w:t>produce</w:t>
      </w:r>
      <w:r>
        <w:rPr>
          <w:color w:val="231F20"/>
          <w:spacing w:val="-41"/>
          <w:w w:val="105"/>
        </w:rPr>
        <w:t> </w:t>
      </w:r>
      <w:r>
        <w:rPr>
          <w:color w:val="231F20"/>
          <w:spacing w:val="-3"/>
          <w:w w:val="105"/>
        </w:rPr>
        <w:t>infatti</w:t>
      </w:r>
      <w:r>
        <w:rPr>
          <w:color w:val="231F20"/>
          <w:spacing w:val="-41"/>
          <w:w w:val="105"/>
        </w:rPr>
        <w:t> </w:t>
      </w:r>
      <w:r>
        <w:rPr>
          <w:color w:val="231F20"/>
          <w:w w:val="105"/>
        </w:rPr>
        <w:t>un</w:t>
      </w:r>
      <w:r>
        <w:rPr>
          <w:color w:val="231F20"/>
          <w:spacing w:val="-41"/>
          <w:w w:val="105"/>
        </w:rPr>
        <w:t> </w:t>
      </w:r>
      <w:r>
        <w:rPr>
          <w:color w:val="231F20"/>
          <w:spacing w:val="-3"/>
          <w:w w:val="105"/>
        </w:rPr>
        <w:t>deficit</w:t>
      </w:r>
      <w:r>
        <w:rPr>
          <w:color w:val="231F20"/>
          <w:spacing w:val="-41"/>
          <w:w w:val="105"/>
        </w:rPr>
        <w:t> </w:t>
      </w:r>
      <w:r>
        <w:rPr>
          <w:color w:val="231F20"/>
          <w:w w:val="105"/>
        </w:rPr>
        <w:t>di</w:t>
      </w:r>
      <w:r>
        <w:rPr>
          <w:color w:val="231F20"/>
          <w:spacing w:val="-41"/>
          <w:w w:val="105"/>
        </w:rPr>
        <w:t> </w:t>
      </w:r>
      <w:r>
        <w:rPr>
          <w:color w:val="231F20"/>
          <w:spacing w:val="-3"/>
          <w:w w:val="105"/>
        </w:rPr>
        <w:t>razionalità</w:t>
      </w:r>
      <w:r>
        <w:rPr>
          <w:color w:val="231F20"/>
          <w:spacing w:val="-41"/>
          <w:w w:val="105"/>
        </w:rPr>
        <w:t> </w:t>
      </w:r>
      <w:r>
        <w:rPr>
          <w:color w:val="231F20"/>
          <w:spacing w:val="-3"/>
          <w:w w:val="105"/>
        </w:rPr>
        <w:t>nelle</w:t>
      </w:r>
      <w:r>
        <w:rPr>
          <w:color w:val="231F20"/>
          <w:spacing w:val="-41"/>
          <w:w w:val="105"/>
        </w:rPr>
        <w:t> </w:t>
      </w:r>
      <w:r>
        <w:rPr>
          <w:color w:val="231F20"/>
          <w:spacing w:val="-3"/>
          <w:w w:val="105"/>
        </w:rPr>
        <w:t>decisioni </w:t>
      </w:r>
      <w:r>
        <w:rPr>
          <w:color w:val="231F20"/>
          <w:w w:val="105"/>
        </w:rPr>
        <w:t>statali, al punto da imporre assieme a una ridefinizione dei loro compiti attuali</w:t>
      </w:r>
      <w:r>
        <w:rPr>
          <w:color w:val="231F20"/>
          <w:spacing w:val="-51"/>
          <w:w w:val="105"/>
        </w:rPr>
        <w:t> </w:t>
      </w:r>
      <w:r>
        <w:rPr>
          <w:color w:val="231F20"/>
          <w:w w:val="105"/>
        </w:rPr>
        <w:t>anche</w:t>
      </w:r>
      <w:r>
        <w:rPr>
          <w:color w:val="231F20"/>
          <w:spacing w:val="-51"/>
          <w:w w:val="105"/>
        </w:rPr>
        <w:t> </w:t>
      </w:r>
      <w:r>
        <w:rPr>
          <w:color w:val="231F20"/>
          <w:w w:val="105"/>
        </w:rPr>
        <w:t>un</w:t>
      </w:r>
      <w:r>
        <w:rPr>
          <w:color w:val="231F20"/>
          <w:spacing w:val="-51"/>
          <w:w w:val="105"/>
        </w:rPr>
        <w:t> </w:t>
      </w:r>
      <w:r>
        <w:rPr>
          <w:color w:val="231F20"/>
          <w:w w:val="105"/>
        </w:rPr>
        <w:t>ripensamento</w:t>
      </w:r>
      <w:r>
        <w:rPr>
          <w:color w:val="231F20"/>
          <w:spacing w:val="-51"/>
          <w:w w:val="105"/>
        </w:rPr>
        <w:t> </w:t>
      </w:r>
      <w:r>
        <w:rPr>
          <w:color w:val="231F20"/>
          <w:w w:val="105"/>
        </w:rPr>
        <w:t>complessivo</w:t>
      </w:r>
      <w:r>
        <w:rPr>
          <w:color w:val="231F20"/>
          <w:spacing w:val="-51"/>
          <w:w w:val="105"/>
        </w:rPr>
        <w:t> </w:t>
      </w:r>
      <w:r>
        <w:rPr>
          <w:color w:val="231F20"/>
          <w:w w:val="105"/>
        </w:rPr>
        <w:t>della</w:t>
      </w:r>
      <w:r>
        <w:rPr>
          <w:color w:val="231F20"/>
          <w:spacing w:val="-51"/>
          <w:w w:val="105"/>
        </w:rPr>
        <w:t> </w:t>
      </w:r>
      <w:r>
        <w:rPr>
          <w:color w:val="231F20"/>
          <w:w w:val="105"/>
        </w:rPr>
        <w:t>loro</w:t>
      </w:r>
      <w:r>
        <w:rPr>
          <w:color w:val="231F20"/>
          <w:spacing w:val="-51"/>
          <w:w w:val="105"/>
        </w:rPr>
        <w:t> </w:t>
      </w:r>
      <w:r>
        <w:rPr>
          <w:color w:val="231F20"/>
          <w:w w:val="105"/>
        </w:rPr>
        <w:t>storia.</w:t>
      </w:r>
      <w:r>
        <w:rPr>
          <w:color w:val="231F20"/>
          <w:spacing w:val="-51"/>
          <w:w w:val="105"/>
        </w:rPr>
        <w:t> </w:t>
      </w:r>
      <w:r>
        <w:rPr>
          <w:color w:val="231F20"/>
          <w:w w:val="105"/>
        </w:rPr>
        <w:t>Gli</w:t>
      </w:r>
      <w:r>
        <w:rPr>
          <w:color w:val="231F20"/>
          <w:spacing w:val="-51"/>
          <w:w w:val="105"/>
        </w:rPr>
        <w:t> </w:t>
      </w:r>
      <w:r>
        <w:rPr>
          <w:color w:val="231F20"/>
          <w:w w:val="105"/>
        </w:rPr>
        <w:t>Stati,</w:t>
      </w:r>
      <w:r>
        <w:rPr>
          <w:color w:val="231F20"/>
          <w:spacing w:val="-51"/>
          <w:w w:val="105"/>
        </w:rPr>
        <w:t> </w:t>
      </w:r>
      <w:r>
        <w:rPr>
          <w:color w:val="231F20"/>
          <w:w w:val="105"/>
        </w:rPr>
        <w:t>infatti, gestiscono</w:t>
      </w:r>
      <w:r>
        <w:rPr>
          <w:color w:val="231F20"/>
          <w:spacing w:val="-8"/>
          <w:w w:val="105"/>
        </w:rPr>
        <w:t> </w:t>
      </w:r>
      <w:r>
        <w:rPr>
          <w:color w:val="231F20"/>
          <w:w w:val="105"/>
        </w:rPr>
        <w:t>in</w:t>
      </w:r>
      <w:r>
        <w:rPr>
          <w:color w:val="231F20"/>
          <w:spacing w:val="-8"/>
          <w:w w:val="105"/>
        </w:rPr>
        <w:t> </w:t>
      </w:r>
      <w:r>
        <w:rPr>
          <w:color w:val="231F20"/>
          <w:w w:val="105"/>
        </w:rPr>
        <w:t>maniera</w:t>
      </w:r>
      <w:r>
        <w:rPr>
          <w:color w:val="231F20"/>
          <w:spacing w:val="-8"/>
          <w:w w:val="105"/>
        </w:rPr>
        <w:t> </w:t>
      </w:r>
      <w:r>
        <w:rPr>
          <w:color w:val="231F20"/>
          <w:w w:val="105"/>
        </w:rPr>
        <w:t>problematica</w:t>
      </w:r>
      <w:r>
        <w:rPr>
          <w:color w:val="231F20"/>
          <w:spacing w:val="-8"/>
          <w:w w:val="105"/>
        </w:rPr>
        <w:t> </w:t>
      </w:r>
      <w:r>
        <w:rPr>
          <w:color w:val="231F20"/>
          <w:w w:val="105"/>
        </w:rPr>
        <w:t>tanto</w:t>
      </w:r>
      <w:r>
        <w:rPr>
          <w:color w:val="231F20"/>
          <w:spacing w:val="-8"/>
          <w:w w:val="105"/>
        </w:rPr>
        <w:t> </w:t>
      </w:r>
      <w:r>
        <w:rPr>
          <w:color w:val="231F20"/>
          <w:w w:val="105"/>
        </w:rPr>
        <w:t>il</w:t>
      </w:r>
      <w:r>
        <w:rPr>
          <w:color w:val="231F20"/>
          <w:spacing w:val="-8"/>
          <w:w w:val="105"/>
        </w:rPr>
        <w:t> </w:t>
      </w:r>
      <w:r>
        <w:rPr>
          <w:color w:val="231F20"/>
          <w:w w:val="105"/>
        </w:rPr>
        <w:t>loro</w:t>
      </w:r>
      <w:r>
        <w:rPr>
          <w:color w:val="231F20"/>
          <w:spacing w:val="-8"/>
          <w:w w:val="105"/>
        </w:rPr>
        <w:t> </w:t>
      </w:r>
      <w:r>
        <w:rPr>
          <w:color w:val="231F20"/>
          <w:w w:val="105"/>
        </w:rPr>
        <w:t>spazio</w:t>
      </w:r>
      <w:r>
        <w:rPr>
          <w:color w:val="231F20"/>
          <w:spacing w:val="-8"/>
          <w:w w:val="105"/>
        </w:rPr>
        <w:t> </w:t>
      </w:r>
      <w:r>
        <w:rPr>
          <w:color w:val="231F20"/>
          <w:w w:val="105"/>
        </w:rPr>
        <w:t>interno</w:t>
      </w:r>
      <w:r>
        <w:rPr>
          <w:color w:val="231F20"/>
          <w:spacing w:val="-8"/>
          <w:w w:val="105"/>
        </w:rPr>
        <w:t> </w:t>
      </w:r>
      <w:r>
        <w:rPr>
          <w:color w:val="231F20"/>
          <w:w w:val="105"/>
        </w:rPr>
        <w:t>quanto</w:t>
      </w:r>
      <w:r>
        <w:rPr>
          <w:color w:val="231F20"/>
          <w:spacing w:val="-8"/>
          <w:w w:val="105"/>
        </w:rPr>
        <w:t> </w:t>
      </w:r>
      <w:r>
        <w:rPr>
          <w:color w:val="231F20"/>
          <w:w w:val="105"/>
        </w:rPr>
        <w:t>il loro rapporto con gli spazi esterni, non riuscendo più a garantire quella sicurezza</w:t>
      </w:r>
      <w:r>
        <w:rPr>
          <w:color w:val="231F20"/>
          <w:spacing w:val="-32"/>
          <w:w w:val="105"/>
        </w:rPr>
        <w:t> </w:t>
      </w:r>
      <w:r>
        <w:rPr>
          <w:color w:val="231F20"/>
          <w:w w:val="105"/>
        </w:rPr>
        <w:t>che</w:t>
      </w:r>
      <w:r>
        <w:rPr>
          <w:color w:val="231F20"/>
          <w:spacing w:val="-32"/>
          <w:w w:val="105"/>
        </w:rPr>
        <w:t> </w:t>
      </w:r>
      <w:r>
        <w:rPr>
          <w:color w:val="231F20"/>
          <w:w w:val="105"/>
        </w:rPr>
        <w:t>dovrebbe</w:t>
      </w:r>
      <w:r>
        <w:rPr>
          <w:color w:val="231F20"/>
          <w:spacing w:val="-32"/>
          <w:w w:val="105"/>
        </w:rPr>
        <w:t> </w:t>
      </w:r>
      <w:r>
        <w:rPr>
          <w:color w:val="231F20"/>
          <w:w w:val="105"/>
        </w:rPr>
        <w:t>essere</w:t>
      </w:r>
      <w:r>
        <w:rPr>
          <w:color w:val="231F20"/>
          <w:spacing w:val="-32"/>
          <w:w w:val="105"/>
        </w:rPr>
        <w:t> </w:t>
      </w:r>
      <w:r>
        <w:rPr>
          <w:color w:val="231F20"/>
          <w:w w:val="105"/>
        </w:rPr>
        <w:t>il</w:t>
      </w:r>
      <w:r>
        <w:rPr>
          <w:color w:val="231F20"/>
          <w:spacing w:val="-32"/>
          <w:w w:val="105"/>
        </w:rPr>
        <w:t> </w:t>
      </w:r>
      <w:r>
        <w:rPr>
          <w:color w:val="231F20"/>
          <w:w w:val="105"/>
        </w:rPr>
        <w:t>loro</w:t>
      </w:r>
      <w:r>
        <w:rPr>
          <w:color w:val="231F20"/>
          <w:spacing w:val="-32"/>
          <w:w w:val="105"/>
        </w:rPr>
        <w:t> </w:t>
      </w:r>
      <w:r>
        <w:rPr>
          <w:color w:val="231F20"/>
          <w:w w:val="105"/>
        </w:rPr>
        <w:t>primo</w:t>
      </w:r>
      <w:r>
        <w:rPr>
          <w:color w:val="231F20"/>
          <w:spacing w:val="-32"/>
          <w:w w:val="105"/>
        </w:rPr>
        <w:t> </w:t>
      </w:r>
      <w:r>
        <w:rPr>
          <w:color w:val="231F20"/>
          <w:w w:val="105"/>
        </w:rPr>
        <w:t>compito</w:t>
      </w:r>
      <w:r>
        <w:rPr>
          <w:color w:val="231F20"/>
          <w:spacing w:val="-32"/>
          <w:w w:val="105"/>
        </w:rPr>
        <w:t> </w:t>
      </w:r>
      <w:r>
        <w:rPr>
          <w:color w:val="231F20"/>
          <w:w w:val="105"/>
        </w:rPr>
        <w:t>e</w:t>
      </w:r>
      <w:r>
        <w:rPr>
          <w:color w:val="231F20"/>
          <w:spacing w:val="-32"/>
          <w:w w:val="105"/>
        </w:rPr>
        <w:t> </w:t>
      </w:r>
      <w:r>
        <w:rPr>
          <w:color w:val="231F20"/>
          <w:w w:val="105"/>
        </w:rPr>
        <w:t>la</w:t>
      </w:r>
      <w:r>
        <w:rPr>
          <w:color w:val="231F20"/>
          <w:spacing w:val="-32"/>
          <w:w w:val="105"/>
        </w:rPr>
        <w:t> </w:t>
      </w:r>
      <w:r>
        <w:rPr>
          <w:color w:val="231F20"/>
          <w:w w:val="105"/>
        </w:rPr>
        <w:t>loro</w:t>
      </w:r>
      <w:r>
        <w:rPr>
          <w:color w:val="231F20"/>
          <w:spacing w:val="-32"/>
          <w:w w:val="105"/>
        </w:rPr>
        <w:t> </w:t>
      </w:r>
      <w:r>
        <w:rPr>
          <w:color w:val="231F20"/>
          <w:w w:val="105"/>
        </w:rPr>
        <w:t>prima</w:t>
      </w:r>
      <w:r>
        <w:rPr>
          <w:color w:val="231F20"/>
          <w:spacing w:val="-32"/>
          <w:w w:val="105"/>
        </w:rPr>
        <w:t> </w:t>
      </w:r>
      <w:r>
        <w:rPr>
          <w:color w:val="231F20"/>
          <w:w w:val="105"/>
        </w:rPr>
        <w:t>risorsa. Sembra</w:t>
      </w:r>
      <w:r>
        <w:rPr>
          <w:color w:val="231F20"/>
          <w:spacing w:val="-16"/>
          <w:w w:val="105"/>
        </w:rPr>
        <w:t> </w:t>
      </w:r>
      <w:r>
        <w:rPr>
          <w:color w:val="231F20"/>
          <w:w w:val="105"/>
        </w:rPr>
        <w:t>quindi</w:t>
      </w:r>
      <w:r>
        <w:rPr>
          <w:color w:val="231F20"/>
          <w:spacing w:val="-16"/>
          <w:w w:val="105"/>
        </w:rPr>
        <w:t> </w:t>
      </w:r>
      <w:r>
        <w:rPr>
          <w:color w:val="231F20"/>
          <w:w w:val="105"/>
        </w:rPr>
        <w:t>inevitabile</w:t>
      </w:r>
      <w:r>
        <w:rPr>
          <w:color w:val="231F20"/>
          <w:spacing w:val="-16"/>
          <w:w w:val="105"/>
        </w:rPr>
        <w:t> </w:t>
      </w:r>
      <w:r>
        <w:rPr>
          <w:color w:val="231F20"/>
          <w:w w:val="105"/>
        </w:rPr>
        <w:t>registrare</w:t>
      </w:r>
      <w:r>
        <w:rPr>
          <w:color w:val="231F20"/>
          <w:spacing w:val="-16"/>
          <w:w w:val="105"/>
        </w:rPr>
        <w:t> </w:t>
      </w:r>
      <w:r>
        <w:rPr>
          <w:color w:val="231F20"/>
          <w:w w:val="105"/>
        </w:rPr>
        <w:t>che:</w:t>
      </w:r>
      <w:r>
        <w:rPr>
          <w:color w:val="231F20"/>
          <w:spacing w:val="-16"/>
          <w:w w:val="105"/>
        </w:rPr>
        <w:t> </w:t>
      </w:r>
      <w:r>
        <w:rPr>
          <w:color w:val="231F20"/>
          <w:w w:val="105"/>
        </w:rPr>
        <w:t>“Gli</w:t>
      </w:r>
      <w:r>
        <w:rPr>
          <w:color w:val="231F20"/>
          <w:spacing w:val="-16"/>
          <w:w w:val="105"/>
        </w:rPr>
        <w:t> </w:t>
      </w:r>
      <w:r>
        <w:rPr>
          <w:color w:val="231F20"/>
          <w:w w:val="105"/>
        </w:rPr>
        <w:t>Stati</w:t>
      </w:r>
      <w:r>
        <w:rPr>
          <w:color w:val="231F20"/>
          <w:spacing w:val="-16"/>
          <w:w w:val="105"/>
        </w:rPr>
        <w:t> </w:t>
      </w:r>
      <w:r>
        <w:rPr>
          <w:color w:val="231F20"/>
          <w:w w:val="105"/>
        </w:rPr>
        <w:t>possono</w:t>
      </w:r>
      <w:r>
        <w:rPr>
          <w:color w:val="231F20"/>
          <w:spacing w:val="-16"/>
          <w:w w:val="105"/>
        </w:rPr>
        <w:t> </w:t>
      </w:r>
      <w:r>
        <w:rPr>
          <w:color w:val="231F20"/>
          <w:w w:val="105"/>
        </w:rPr>
        <w:t>anche</w:t>
      </w:r>
      <w:r>
        <w:rPr>
          <w:color w:val="231F20"/>
          <w:spacing w:val="-16"/>
          <w:w w:val="105"/>
        </w:rPr>
        <w:t> </w:t>
      </w:r>
      <w:r>
        <w:rPr>
          <w:color w:val="231F20"/>
          <w:w w:val="105"/>
        </w:rPr>
        <w:t>essere una</w:t>
      </w:r>
      <w:r>
        <w:rPr>
          <w:color w:val="231F20"/>
          <w:spacing w:val="-23"/>
          <w:w w:val="105"/>
        </w:rPr>
        <w:t> </w:t>
      </w:r>
      <w:r>
        <w:rPr>
          <w:color w:val="231F20"/>
          <w:w w:val="105"/>
        </w:rPr>
        <w:t>fonte</w:t>
      </w:r>
      <w:r>
        <w:rPr>
          <w:color w:val="231F20"/>
          <w:spacing w:val="-23"/>
          <w:w w:val="105"/>
        </w:rPr>
        <w:t> </w:t>
      </w:r>
      <w:r>
        <w:rPr>
          <w:color w:val="231F20"/>
          <w:w w:val="105"/>
        </w:rPr>
        <w:t>di</w:t>
      </w:r>
      <w:r>
        <w:rPr>
          <w:color w:val="231F20"/>
          <w:spacing w:val="-23"/>
          <w:w w:val="105"/>
        </w:rPr>
        <w:t> </w:t>
      </w:r>
      <w:r>
        <w:rPr>
          <w:color w:val="231F20"/>
          <w:w w:val="105"/>
        </w:rPr>
        <w:t>insicurezza.</w:t>
      </w:r>
      <w:r>
        <w:rPr>
          <w:color w:val="231F20"/>
          <w:spacing w:val="-23"/>
          <w:w w:val="105"/>
        </w:rPr>
        <w:t> </w:t>
      </w:r>
      <w:r>
        <w:rPr>
          <w:color w:val="231F20"/>
          <w:w w:val="105"/>
        </w:rPr>
        <w:t>Sono</w:t>
      </w:r>
      <w:r>
        <w:rPr>
          <w:color w:val="231F20"/>
          <w:spacing w:val="-23"/>
          <w:w w:val="105"/>
        </w:rPr>
        <w:t> </w:t>
      </w:r>
      <w:r>
        <w:rPr>
          <w:color w:val="231F20"/>
          <w:w w:val="105"/>
        </w:rPr>
        <w:t>Stati</w:t>
      </w:r>
      <w:r>
        <w:rPr>
          <w:color w:val="231F20"/>
          <w:spacing w:val="-23"/>
          <w:w w:val="105"/>
        </w:rPr>
        <w:t> </w:t>
      </w:r>
      <w:r>
        <w:rPr>
          <w:color w:val="231F20"/>
          <w:w w:val="105"/>
        </w:rPr>
        <w:t>quelli</w:t>
      </w:r>
      <w:r>
        <w:rPr>
          <w:color w:val="231F20"/>
          <w:spacing w:val="-23"/>
          <w:w w:val="105"/>
        </w:rPr>
        <w:t> </w:t>
      </w:r>
      <w:r>
        <w:rPr>
          <w:color w:val="231F20"/>
          <w:w w:val="105"/>
        </w:rPr>
        <w:t>che</w:t>
      </w:r>
      <w:r>
        <w:rPr>
          <w:color w:val="231F20"/>
          <w:spacing w:val="-23"/>
          <w:w w:val="105"/>
        </w:rPr>
        <w:t> </w:t>
      </w:r>
      <w:r>
        <w:rPr>
          <w:color w:val="231F20"/>
          <w:w w:val="105"/>
        </w:rPr>
        <w:t>nell’insieme</w:t>
      </w:r>
      <w:r>
        <w:rPr>
          <w:color w:val="231F20"/>
          <w:spacing w:val="-23"/>
          <w:w w:val="105"/>
        </w:rPr>
        <w:t> </w:t>
      </w:r>
      <w:r>
        <w:rPr>
          <w:color w:val="231F20"/>
          <w:w w:val="105"/>
        </w:rPr>
        <w:t>fanno</w:t>
      </w:r>
      <w:r>
        <w:rPr>
          <w:color w:val="231F20"/>
          <w:spacing w:val="-23"/>
          <w:w w:val="105"/>
        </w:rPr>
        <w:t> </w:t>
      </w:r>
      <w:r>
        <w:rPr>
          <w:color w:val="231F20"/>
          <w:w w:val="105"/>
        </w:rPr>
        <w:t>la</w:t>
      </w:r>
      <w:r>
        <w:rPr>
          <w:color w:val="231F20"/>
          <w:spacing w:val="-23"/>
          <w:w w:val="105"/>
        </w:rPr>
        <w:t> </w:t>
      </w:r>
      <w:r>
        <w:rPr>
          <w:color w:val="231F20"/>
          <w:w w:val="105"/>
        </w:rPr>
        <w:t>guerra</w:t>
      </w:r>
    </w:p>
    <w:p>
      <w:pPr>
        <w:pStyle w:val="BodyText"/>
        <w:spacing w:before="2"/>
        <w:rPr>
          <w:sz w:val="23"/>
        </w:rPr>
      </w:pPr>
      <w:r>
        <w:rPr/>
        <w:pict>
          <v:line style="position:absolute;mso-position-horizontal-relative:page;mso-position-vertical-relative:paragraph;z-index:10024;mso-wrap-distance-left:0;mso-wrap-distance-right:0" from="70.866203pt,16.106985pt" to="184.252203pt,16.106985pt" stroked="true" strokeweight=".3pt" strokecolor="#231f20">
            <w10:wrap type="topAndBottom"/>
          </v:line>
        </w:pict>
      </w:r>
    </w:p>
    <w:p>
      <w:pPr>
        <w:spacing w:line="204" w:lineRule="exact" w:before="8"/>
        <w:ind w:left="117" w:right="145" w:firstLine="0"/>
        <w:jc w:val="left"/>
        <w:rPr>
          <w:rFonts w:ascii="Calibri"/>
          <w:sz w:val="17"/>
        </w:rPr>
      </w:pPr>
      <w:r>
        <w:rPr>
          <w:rFonts w:ascii="Calibri"/>
          <w:color w:val="231F20"/>
          <w:position w:val="6"/>
          <w:sz w:val="10"/>
        </w:rPr>
        <w:t>7 </w:t>
      </w:r>
      <w:r>
        <w:rPr>
          <w:rFonts w:ascii="Calibri"/>
          <w:color w:val="231F20"/>
          <w:sz w:val="17"/>
        </w:rPr>
        <w:t>H. Willke, Heterotopia. </w:t>
      </w:r>
      <w:r>
        <w:rPr>
          <w:rFonts w:ascii="Calibri"/>
          <w:i/>
          <w:color w:val="231F20"/>
          <w:sz w:val="17"/>
        </w:rPr>
        <w:t>Studien zur Kritik der Ordnung moderner Gesellschaften</w:t>
      </w:r>
      <w:r>
        <w:rPr>
          <w:rFonts w:ascii="Calibri"/>
          <w:color w:val="231F20"/>
          <w:sz w:val="17"/>
        </w:rPr>
        <w:t>, Frankfurt am  Main, Suhrkamp,</w:t>
      </w:r>
      <w:r>
        <w:rPr>
          <w:rFonts w:ascii="Calibri"/>
          <w:color w:val="231F20"/>
          <w:spacing w:val="33"/>
          <w:sz w:val="17"/>
        </w:rPr>
        <w:t> </w:t>
      </w:r>
      <w:r>
        <w:rPr>
          <w:rFonts w:ascii="Calibri"/>
          <w:color w:val="231F20"/>
          <w:sz w:val="17"/>
        </w:rPr>
        <w:t>2003.</w:t>
      </w:r>
    </w:p>
    <w:p>
      <w:pPr>
        <w:spacing w:line="206" w:lineRule="exact" w:before="1"/>
        <w:ind w:left="117" w:right="0" w:firstLine="0"/>
        <w:jc w:val="left"/>
        <w:rPr>
          <w:rFonts w:ascii="Calibri" w:hAnsi="Calibri"/>
          <w:sz w:val="17"/>
        </w:rPr>
      </w:pPr>
      <w:r>
        <w:rPr>
          <w:rFonts w:ascii="Calibri" w:hAnsi="Calibri"/>
          <w:color w:val="231F20"/>
          <w:position w:val="6"/>
          <w:sz w:val="10"/>
        </w:rPr>
        <w:t>8  </w:t>
      </w:r>
      <w:r>
        <w:rPr>
          <w:rFonts w:ascii="Calibri" w:hAnsi="Calibri"/>
          <w:color w:val="231F20"/>
          <w:sz w:val="17"/>
        </w:rPr>
        <w:t>H. Arendt, </w:t>
      </w:r>
      <w:r>
        <w:rPr>
          <w:rFonts w:ascii="Calibri" w:hAnsi="Calibri"/>
          <w:i/>
          <w:color w:val="231F20"/>
          <w:sz w:val="17"/>
        </w:rPr>
        <w:t>Autorità</w:t>
      </w:r>
      <w:r>
        <w:rPr>
          <w:rFonts w:ascii="Calibri" w:hAnsi="Calibri"/>
          <w:color w:val="231F20"/>
          <w:sz w:val="17"/>
        </w:rPr>
        <w:t>, in Hannah Arendt, </w:t>
      </w:r>
      <w:r>
        <w:rPr>
          <w:rFonts w:ascii="Calibri" w:hAnsi="Calibri"/>
          <w:i/>
          <w:color w:val="231F20"/>
          <w:sz w:val="17"/>
        </w:rPr>
        <w:t>Tra passato e futuro</w:t>
      </w:r>
      <w:r>
        <w:rPr>
          <w:rFonts w:ascii="Calibri" w:hAnsi="Calibri"/>
          <w:color w:val="231F20"/>
          <w:sz w:val="17"/>
        </w:rPr>
        <w:t>, Milano, Garzanti, 1991, p. 167.</w:t>
      </w:r>
    </w:p>
    <w:p>
      <w:pPr>
        <w:spacing w:line="204" w:lineRule="exact" w:before="0"/>
        <w:ind w:left="117" w:right="0" w:firstLine="0"/>
        <w:jc w:val="left"/>
        <w:rPr>
          <w:rFonts w:ascii="Calibri" w:hAnsi="Calibri"/>
          <w:sz w:val="17"/>
        </w:rPr>
      </w:pPr>
      <w:r>
        <w:rPr>
          <w:rFonts w:ascii="Calibri" w:hAnsi="Calibri"/>
          <w:color w:val="231F20"/>
          <w:position w:val="6"/>
          <w:sz w:val="10"/>
        </w:rPr>
        <w:t>9  </w:t>
      </w:r>
      <w:r>
        <w:rPr>
          <w:rFonts w:ascii="Calibri" w:hAnsi="Calibri"/>
          <w:color w:val="231F20"/>
          <w:sz w:val="17"/>
        </w:rPr>
        <w:t>D. Loick, </w:t>
      </w:r>
      <w:r>
        <w:rPr>
          <w:rFonts w:ascii="Calibri" w:hAnsi="Calibri"/>
          <w:i/>
          <w:color w:val="231F20"/>
          <w:sz w:val="17"/>
        </w:rPr>
        <w:t>Kritik der Souveränität</w:t>
      </w:r>
      <w:r>
        <w:rPr>
          <w:rFonts w:ascii="Calibri" w:hAnsi="Calibri"/>
          <w:color w:val="231F20"/>
          <w:sz w:val="17"/>
        </w:rPr>
        <w:t>, Frankfurt am Main, Campus Verlag, 2012.</w:t>
      </w:r>
    </w:p>
    <w:p>
      <w:pPr>
        <w:spacing w:line="204" w:lineRule="exact" w:before="0"/>
        <w:ind w:left="117" w:right="0" w:firstLine="0"/>
        <w:jc w:val="left"/>
        <w:rPr>
          <w:rFonts w:ascii="Calibri" w:hAnsi="Calibri"/>
          <w:i/>
          <w:sz w:val="17"/>
        </w:rPr>
      </w:pPr>
      <w:r>
        <w:rPr>
          <w:rFonts w:ascii="Calibri" w:hAnsi="Calibri"/>
          <w:color w:val="231F20"/>
          <w:w w:val="105"/>
          <w:position w:val="6"/>
          <w:sz w:val="10"/>
        </w:rPr>
        <w:t>10  </w:t>
      </w:r>
      <w:r>
        <w:rPr>
          <w:rFonts w:ascii="Calibri" w:hAnsi="Calibri"/>
          <w:color w:val="231F20"/>
          <w:w w:val="105"/>
          <w:sz w:val="17"/>
        </w:rPr>
        <w:t>Organization for Economic Co–Operation and Development, </w:t>
      </w:r>
      <w:r>
        <w:rPr>
          <w:rFonts w:ascii="Calibri" w:hAnsi="Calibri"/>
          <w:i/>
          <w:color w:val="231F20"/>
          <w:w w:val="105"/>
          <w:sz w:val="17"/>
        </w:rPr>
        <w:t>Concepts and Dilemmas of State</w:t>
      </w:r>
    </w:p>
    <w:p>
      <w:pPr>
        <w:spacing w:line="204" w:lineRule="exact" w:before="0"/>
        <w:ind w:left="117" w:right="0" w:firstLine="0"/>
        <w:jc w:val="left"/>
        <w:rPr>
          <w:rFonts w:ascii="Calibri" w:hAnsi="Calibri"/>
          <w:sz w:val="17"/>
        </w:rPr>
      </w:pPr>
      <w:r>
        <w:rPr>
          <w:rFonts w:ascii="Calibri" w:hAnsi="Calibri"/>
          <w:i/>
          <w:color w:val="231F20"/>
          <w:sz w:val="17"/>
        </w:rPr>
        <w:t>Building in Fragile Situations. From Fragility to Resilience</w:t>
      </w:r>
      <w:r>
        <w:rPr>
          <w:rFonts w:ascii="Calibri" w:hAnsi="Calibri"/>
          <w:color w:val="231F20"/>
          <w:sz w:val="17"/>
        </w:rPr>
        <w:t>,  “Journal  on  Development”,  9,     3/2008,</w:t>
      </w:r>
    </w:p>
    <w:p>
      <w:pPr>
        <w:spacing w:line="204" w:lineRule="exact" w:before="0"/>
        <w:ind w:left="117" w:right="0" w:firstLine="0"/>
        <w:jc w:val="left"/>
        <w:rPr>
          <w:rFonts w:ascii="Calibri" w:hAnsi="Calibri"/>
          <w:sz w:val="17"/>
        </w:rPr>
      </w:pPr>
      <w:r>
        <w:rPr>
          <w:rFonts w:ascii="Calibri" w:hAnsi="Calibri"/>
          <w:color w:val="231F20"/>
          <w:sz w:val="17"/>
        </w:rPr>
        <w:t>p. 11.Sui problemi e i limiti della categoria di resilienza </w:t>
      </w:r>
      <w:r>
        <w:rPr>
          <w:rFonts w:ascii="Calibri" w:hAnsi="Calibri"/>
          <w:i/>
          <w:color w:val="231F20"/>
          <w:sz w:val="17"/>
        </w:rPr>
        <w:t>cfr</w:t>
      </w:r>
      <w:r>
        <w:rPr>
          <w:rFonts w:ascii="Calibri" w:hAnsi="Calibri"/>
          <w:color w:val="231F20"/>
          <w:sz w:val="17"/>
        </w:rPr>
        <w:t>. M. Neocleous, “Resisting Resilience”,</w:t>
      </w:r>
    </w:p>
    <w:p>
      <w:pPr>
        <w:spacing w:line="206" w:lineRule="exact" w:before="0"/>
        <w:ind w:left="117" w:right="0" w:firstLine="0"/>
        <w:jc w:val="left"/>
        <w:rPr>
          <w:rFonts w:ascii="Calibri" w:hAnsi="Calibri"/>
          <w:sz w:val="17"/>
        </w:rPr>
      </w:pPr>
      <w:r>
        <w:rPr>
          <w:rFonts w:ascii="Calibri" w:hAnsi="Calibri"/>
          <w:i/>
          <w:color w:val="231F20"/>
          <w:sz w:val="17"/>
        </w:rPr>
        <w:t>Radical Philosophy</w:t>
      </w:r>
      <w:r>
        <w:rPr>
          <w:rFonts w:ascii="Calibri" w:hAnsi="Calibri"/>
          <w:color w:val="231F20"/>
          <w:sz w:val="17"/>
        </w:rPr>
        <w:t>, 178, 2013, pp. 2–7.</w:t>
      </w:r>
    </w:p>
    <w:p>
      <w:pPr>
        <w:spacing w:after="0" w:line="206" w:lineRule="exact"/>
        <w:jc w:val="left"/>
        <w:rPr>
          <w:rFonts w:ascii="Calibri" w:hAnsi="Calibri"/>
          <w:sz w:val="17"/>
        </w:rPr>
        <w:sectPr>
          <w:pgSz w:w="9640" w:h="13890"/>
          <w:pgMar w:top="0" w:bottom="280" w:left="1300" w:right="1180"/>
        </w:sectPr>
      </w:pPr>
    </w:p>
    <w:p>
      <w:pPr>
        <w:pStyle w:val="BodyText"/>
        <w:spacing w:line="247" w:lineRule="auto" w:before="107"/>
        <w:ind w:left="103" w:right="108"/>
        <w:jc w:val="right"/>
      </w:pPr>
      <w:r>
        <w:rPr>
          <w:color w:val="231F20"/>
        </w:rPr>
        <w:t>e nei sei decenni dalla fondazione delle Nazioni Unite, gli Stati</w:t>
      </w:r>
      <w:r>
        <w:rPr>
          <w:color w:val="231F20"/>
          <w:spacing w:val="2"/>
        </w:rPr>
        <w:t> </w:t>
      </w:r>
      <w:r>
        <w:rPr>
          <w:color w:val="231F20"/>
        </w:rPr>
        <w:t>sono</w:t>
      </w:r>
      <w:r>
        <w:rPr>
          <w:color w:val="231F20"/>
          <w:spacing w:val="18"/>
        </w:rPr>
        <w:t> </w:t>
      </w:r>
      <w:r>
        <w:rPr>
          <w:color w:val="231F20"/>
        </w:rPr>
        <w:t>stati</w:t>
      </w:r>
      <w:r>
        <w:rPr>
          <w:color w:val="231F20"/>
          <w:w w:val="105"/>
        </w:rPr>
        <w:t> </w:t>
      </w:r>
      <w:r>
        <w:rPr>
          <w:color w:val="231F20"/>
        </w:rPr>
        <w:t>responsabili di più morti violente che rivoltosi, separatisti e</w:t>
      </w:r>
      <w:r>
        <w:rPr>
          <w:color w:val="231F20"/>
          <w:spacing w:val="44"/>
        </w:rPr>
        <w:t> </w:t>
      </w:r>
      <w:r>
        <w:rPr>
          <w:color w:val="231F20"/>
        </w:rPr>
        <w:t>terroristi</w:t>
      </w:r>
      <w:r>
        <w:rPr>
          <w:color w:val="231F20"/>
          <w:spacing w:val="5"/>
        </w:rPr>
        <w:t> </w:t>
      </w:r>
      <w:r>
        <w:rPr>
          <w:color w:val="231F20"/>
        </w:rPr>
        <w:t>messi</w:t>
      </w:r>
      <w:r>
        <w:rPr>
          <w:color w:val="231F20"/>
          <w:w w:val="100"/>
        </w:rPr>
        <w:t> </w:t>
      </w:r>
      <w:r>
        <w:rPr>
          <w:color w:val="231F20"/>
        </w:rPr>
        <w:t>assieme”</w:t>
      </w:r>
      <w:r>
        <w:rPr>
          <w:color w:val="231F20"/>
          <w:position w:val="7"/>
          <w:sz w:val="12"/>
        </w:rPr>
        <w:t>11</w:t>
      </w:r>
      <w:r>
        <w:rPr>
          <w:color w:val="231F20"/>
        </w:rPr>
        <w:t>. Non si tratta qui evidentemente della violenza </w:t>
      </w:r>
      <w:r>
        <w:rPr>
          <w:color w:val="231F20"/>
          <w:spacing w:val="26"/>
        </w:rPr>
        <w:t> </w:t>
      </w:r>
      <w:r>
        <w:rPr>
          <w:color w:val="231F20"/>
        </w:rPr>
        <w:t>“esterna”</w:t>
      </w:r>
      <w:r>
        <w:rPr>
          <w:color w:val="231F20"/>
          <w:spacing w:val="27"/>
        </w:rPr>
        <w:t> </w:t>
      </w:r>
      <w:r>
        <w:rPr>
          <w:color w:val="231F20"/>
        </w:rPr>
        <w:t>che</w:t>
      </w:r>
      <w:r>
        <w:rPr>
          <w:color w:val="231F20"/>
          <w:w w:val="103"/>
        </w:rPr>
        <w:t> </w:t>
      </w:r>
      <w:r>
        <w:rPr>
          <w:color w:val="231F20"/>
        </w:rPr>
        <w:t>lo Stato è chiamato a neutralizzare, ma di quella che esso</w:t>
      </w:r>
      <w:r>
        <w:rPr>
          <w:color w:val="231F20"/>
          <w:spacing w:val="33"/>
        </w:rPr>
        <w:t> </w:t>
      </w:r>
      <w:r>
        <w:rPr>
          <w:color w:val="231F20"/>
        </w:rPr>
        <w:t>stesso</w:t>
      </w:r>
      <w:r>
        <w:rPr>
          <w:color w:val="231F20"/>
          <w:spacing w:val="9"/>
        </w:rPr>
        <w:t> </w:t>
      </w:r>
      <w:r>
        <w:rPr>
          <w:color w:val="231F20"/>
        </w:rPr>
        <w:t>produce</w:t>
      </w:r>
      <w:r>
        <w:rPr>
          <w:color w:val="231F20"/>
          <w:w w:val="105"/>
        </w:rPr>
        <w:t> </w:t>
      </w:r>
      <w:r>
        <w:rPr>
          <w:color w:val="231F20"/>
          <w:spacing w:val="2"/>
        </w:rPr>
        <w:t>nei</w:t>
      </w:r>
      <w:r>
        <w:rPr>
          <w:color w:val="231F20"/>
          <w:spacing w:val="42"/>
        </w:rPr>
        <w:t> </w:t>
      </w:r>
      <w:r>
        <w:rPr>
          <w:color w:val="231F20"/>
          <w:spacing w:val="3"/>
        </w:rPr>
        <w:t>diversi</w:t>
      </w:r>
      <w:r>
        <w:rPr>
          <w:color w:val="231F20"/>
          <w:spacing w:val="42"/>
        </w:rPr>
        <w:t> </w:t>
      </w:r>
      <w:r>
        <w:rPr>
          <w:color w:val="231F20"/>
          <w:spacing w:val="3"/>
        </w:rPr>
        <w:t>momenti</w:t>
      </w:r>
      <w:r>
        <w:rPr>
          <w:color w:val="231F20"/>
          <w:spacing w:val="42"/>
        </w:rPr>
        <w:t> </w:t>
      </w:r>
      <w:r>
        <w:rPr>
          <w:color w:val="231F20"/>
          <w:spacing w:val="3"/>
        </w:rPr>
        <w:t>della</w:t>
      </w:r>
      <w:r>
        <w:rPr>
          <w:color w:val="231F20"/>
          <w:spacing w:val="42"/>
        </w:rPr>
        <w:t> </w:t>
      </w:r>
      <w:r>
        <w:rPr>
          <w:color w:val="231F20"/>
          <w:spacing w:val="2"/>
        </w:rPr>
        <w:t>sua</w:t>
      </w:r>
      <w:r>
        <w:rPr>
          <w:color w:val="231F20"/>
          <w:spacing w:val="42"/>
        </w:rPr>
        <w:t> </w:t>
      </w:r>
      <w:r>
        <w:rPr>
          <w:color w:val="231F20"/>
          <w:spacing w:val="3"/>
        </w:rPr>
        <w:t>azione.</w:t>
      </w:r>
      <w:r>
        <w:rPr>
          <w:color w:val="231F20"/>
          <w:spacing w:val="42"/>
        </w:rPr>
        <w:t> </w:t>
      </w:r>
      <w:r>
        <w:rPr>
          <w:color w:val="231F20"/>
        </w:rPr>
        <w:t>La</w:t>
      </w:r>
      <w:r>
        <w:rPr>
          <w:color w:val="231F20"/>
          <w:spacing w:val="42"/>
        </w:rPr>
        <w:t> </w:t>
      </w:r>
      <w:r>
        <w:rPr>
          <w:color w:val="231F20"/>
          <w:spacing w:val="3"/>
        </w:rPr>
        <w:t>fragilità</w:t>
      </w:r>
      <w:r>
        <w:rPr>
          <w:color w:val="231F20"/>
          <w:spacing w:val="42"/>
        </w:rPr>
        <w:t> </w:t>
      </w:r>
      <w:r>
        <w:rPr>
          <w:color w:val="231F20"/>
          <w:spacing w:val="3"/>
        </w:rPr>
        <w:t>dello</w:t>
      </w:r>
      <w:r>
        <w:rPr>
          <w:color w:val="231F20"/>
          <w:spacing w:val="42"/>
        </w:rPr>
        <w:t> </w:t>
      </w:r>
      <w:r>
        <w:rPr>
          <w:color w:val="231F20"/>
          <w:spacing w:val="3"/>
        </w:rPr>
        <w:t>Stato</w:t>
      </w:r>
      <w:r>
        <w:rPr>
          <w:color w:val="231F20"/>
          <w:spacing w:val="42"/>
        </w:rPr>
        <w:t> </w:t>
      </w:r>
      <w:r>
        <w:rPr>
          <w:color w:val="231F20"/>
          <w:spacing w:val="4"/>
        </w:rPr>
        <w:t>dipende</w:t>
      </w:r>
      <w:r>
        <w:rPr>
          <w:color w:val="231F20"/>
          <w:spacing w:val="4"/>
          <w:w w:val="108"/>
        </w:rPr>
        <w:t> </w:t>
      </w:r>
      <w:r>
        <w:rPr>
          <w:color w:val="231F20"/>
        </w:rPr>
        <w:t>dall’evidenza che esso è un agente diretto e non occasionale</w:t>
      </w:r>
      <w:r>
        <w:rPr>
          <w:color w:val="231F20"/>
          <w:spacing w:val="45"/>
        </w:rPr>
        <w:t> </w:t>
      </w:r>
      <w:r>
        <w:rPr>
          <w:color w:val="231F20"/>
        </w:rPr>
        <w:t>di</w:t>
      </w:r>
      <w:r>
        <w:rPr>
          <w:color w:val="231F20"/>
          <w:spacing w:val="17"/>
        </w:rPr>
        <w:t> </w:t>
      </w:r>
      <w:r>
        <w:rPr>
          <w:color w:val="231F20"/>
        </w:rPr>
        <w:t>violenza. Questa</w:t>
      </w:r>
      <w:r>
        <w:rPr>
          <w:color w:val="231F20"/>
          <w:spacing w:val="39"/>
        </w:rPr>
        <w:t> </w:t>
      </w:r>
      <w:r>
        <w:rPr>
          <w:color w:val="231F20"/>
        </w:rPr>
        <w:t>propensione</w:t>
      </w:r>
      <w:r>
        <w:rPr>
          <w:color w:val="231F20"/>
          <w:spacing w:val="39"/>
        </w:rPr>
        <w:t> </w:t>
      </w:r>
      <w:r>
        <w:rPr>
          <w:color w:val="231F20"/>
        </w:rPr>
        <w:t>alla</w:t>
      </w:r>
      <w:r>
        <w:rPr>
          <w:color w:val="231F20"/>
          <w:spacing w:val="39"/>
        </w:rPr>
        <w:t> </w:t>
      </w:r>
      <w:r>
        <w:rPr>
          <w:color w:val="231F20"/>
        </w:rPr>
        <w:t>violenza</w:t>
      </w:r>
      <w:r>
        <w:rPr>
          <w:color w:val="231F20"/>
          <w:spacing w:val="39"/>
        </w:rPr>
        <w:t> </w:t>
      </w:r>
      <w:r>
        <w:rPr>
          <w:color w:val="231F20"/>
        </w:rPr>
        <w:t>non</w:t>
      </w:r>
      <w:r>
        <w:rPr>
          <w:color w:val="231F20"/>
          <w:spacing w:val="39"/>
        </w:rPr>
        <w:t> </w:t>
      </w:r>
      <w:r>
        <w:rPr>
          <w:color w:val="231F20"/>
        </w:rPr>
        <w:t>è</w:t>
      </w:r>
      <w:r>
        <w:rPr>
          <w:color w:val="231F20"/>
          <w:spacing w:val="39"/>
        </w:rPr>
        <w:t> </w:t>
      </w:r>
      <w:r>
        <w:rPr>
          <w:color w:val="231F20"/>
        </w:rPr>
        <w:t>peraltro</w:t>
      </w:r>
      <w:r>
        <w:rPr>
          <w:color w:val="231F20"/>
          <w:spacing w:val="39"/>
        </w:rPr>
        <w:t> </w:t>
      </w:r>
      <w:r>
        <w:rPr>
          <w:color w:val="231F20"/>
        </w:rPr>
        <w:t>un</w:t>
      </w:r>
      <w:r>
        <w:rPr>
          <w:color w:val="231F20"/>
          <w:spacing w:val="39"/>
        </w:rPr>
        <w:t> </w:t>
      </w:r>
      <w:r>
        <w:rPr>
          <w:color w:val="231F20"/>
        </w:rPr>
        <w:t>fenomeno</w:t>
      </w:r>
      <w:r>
        <w:rPr>
          <w:color w:val="231F20"/>
          <w:spacing w:val="39"/>
        </w:rPr>
        <w:t> </w:t>
      </w:r>
      <w:r>
        <w:rPr>
          <w:color w:val="231F20"/>
        </w:rPr>
        <w:t>recente,</w:t>
      </w:r>
      <w:r>
        <w:rPr>
          <w:color w:val="231F20"/>
          <w:spacing w:val="2"/>
          <w:w w:val="101"/>
        </w:rPr>
        <w:t> </w:t>
      </w:r>
      <w:r>
        <w:rPr>
          <w:color w:val="231F20"/>
        </w:rPr>
        <w:t>ma ha accompagnato tutta la vicenda dello Stato moderno,</w:t>
      </w:r>
      <w:r>
        <w:rPr>
          <w:color w:val="231F20"/>
          <w:spacing w:val="24"/>
        </w:rPr>
        <w:t> </w:t>
      </w:r>
      <w:r>
        <w:rPr>
          <w:color w:val="231F20"/>
        </w:rPr>
        <w:t>mostrandosi</w:t>
      </w:r>
      <w:r>
        <w:rPr>
          <w:color w:val="231F20"/>
          <w:w w:val="105"/>
        </w:rPr>
        <w:t> </w:t>
      </w:r>
      <w:r>
        <w:rPr>
          <w:color w:val="231F20"/>
        </w:rPr>
        <w:t>soprattutto</w:t>
      </w:r>
      <w:r>
        <w:rPr>
          <w:color w:val="231F20"/>
          <w:spacing w:val="-6"/>
        </w:rPr>
        <w:t> </w:t>
      </w:r>
      <w:r>
        <w:rPr>
          <w:color w:val="231F20"/>
        </w:rPr>
        <w:t>nei</w:t>
      </w:r>
      <w:r>
        <w:rPr>
          <w:color w:val="231F20"/>
          <w:spacing w:val="-6"/>
        </w:rPr>
        <w:t> </w:t>
      </w:r>
      <w:r>
        <w:rPr>
          <w:color w:val="231F20"/>
        </w:rPr>
        <w:t>momenti</w:t>
      </w:r>
      <w:r>
        <w:rPr>
          <w:color w:val="231F20"/>
          <w:spacing w:val="-6"/>
        </w:rPr>
        <w:t> </w:t>
      </w:r>
      <w:r>
        <w:rPr>
          <w:color w:val="231F20"/>
        </w:rPr>
        <w:t>critici</w:t>
      </w:r>
      <w:r>
        <w:rPr>
          <w:color w:val="231F20"/>
          <w:spacing w:val="-6"/>
        </w:rPr>
        <w:t> </w:t>
      </w:r>
      <w:r>
        <w:rPr>
          <w:color w:val="231F20"/>
        </w:rPr>
        <w:t>della</w:t>
      </w:r>
      <w:r>
        <w:rPr>
          <w:color w:val="231F20"/>
          <w:spacing w:val="-6"/>
        </w:rPr>
        <w:t> </w:t>
      </w:r>
      <w:r>
        <w:rPr>
          <w:color w:val="231F20"/>
        </w:rPr>
        <w:t>sua</w:t>
      </w:r>
      <w:r>
        <w:rPr>
          <w:color w:val="231F20"/>
          <w:spacing w:val="-6"/>
        </w:rPr>
        <w:t> </w:t>
      </w:r>
      <w:r>
        <w:rPr>
          <w:color w:val="231F20"/>
        </w:rPr>
        <w:t>affermazione</w:t>
      </w:r>
      <w:r>
        <w:rPr>
          <w:color w:val="231F20"/>
          <w:spacing w:val="-6"/>
        </w:rPr>
        <w:t> </w:t>
      </w:r>
      <w:r>
        <w:rPr>
          <w:color w:val="231F20"/>
        </w:rPr>
        <w:t>politica:</w:t>
      </w:r>
      <w:r>
        <w:rPr>
          <w:color w:val="231F20"/>
          <w:spacing w:val="-6"/>
        </w:rPr>
        <w:t> </w:t>
      </w:r>
      <w:r>
        <w:rPr>
          <w:color w:val="231F20"/>
        </w:rPr>
        <w:t>la</w:t>
      </w:r>
      <w:r>
        <w:rPr>
          <w:color w:val="231F20"/>
          <w:spacing w:val="-6"/>
        </w:rPr>
        <w:t> </w:t>
      </w:r>
      <w:r>
        <w:rPr>
          <w:color w:val="231F20"/>
        </w:rPr>
        <w:t>guerra</w:t>
      </w:r>
      <w:r>
        <w:rPr>
          <w:color w:val="231F20"/>
          <w:spacing w:val="-6"/>
        </w:rPr>
        <w:t> </w:t>
      </w:r>
      <w:r>
        <w:rPr>
          <w:color w:val="231F20"/>
        </w:rPr>
        <w:t>dei</w:t>
      </w:r>
      <w:r>
        <w:rPr>
          <w:color w:val="231F20"/>
          <w:w w:val="107"/>
        </w:rPr>
        <w:t> </w:t>
      </w:r>
      <w:r>
        <w:rPr>
          <w:color w:val="231F20"/>
        </w:rPr>
        <w:t>trent’anni, l’epoca delle rivoluzioni tra Sette e Ottocento e la</w:t>
      </w:r>
      <w:r>
        <w:rPr>
          <w:color w:val="231F20"/>
          <w:spacing w:val="8"/>
        </w:rPr>
        <w:t> </w:t>
      </w:r>
      <w:r>
        <w:rPr>
          <w:color w:val="231F20"/>
        </w:rPr>
        <w:t>stagione della</w:t>
      </w:r>
      <w:r>
        <w:rPr>
          <w:color w:val="231F20"/>
          <w:w w:val="100"/>
        </w:rPr>
        <w:t> </w:t>
      </w:r>
      <w:r>
        <w:rPr>
          <w:color w:val="231F20"/>
        </w:rPr>
        <w:t>decolonizzazione. Più che essere il monopolizzatore assoluto</w:t>
      </w:r>
      <w:r>
        <w:rPr>
          <w:color w:val="231F20"/>
          <w:spacing w:val="22"/>
        </w:rPr>
        <w:t> </w:t>
      </w:r>
      <w:r>
        <w:rPr>
          <w:color w:val="231F20"/>
        </w:rPr>
        <w:t>della</w:t>
      </w:r>
      <w:r>
        <w:rPr>
          <w:color w:val="231F20"/>
          <w:spacing w:val="3"/>
        </w:rPr>
        <w:t> </w:t>
      </w:r>
      <w:r>
        <w:rPr>
          <w:color w:val="231F20"/>
        </w:rPr>
        <w:t>violenza</w:t>
      </w:r>
      <w:r>
        <w:rPr>
          <w:color w:val="231F20"/>
          <w:w w:val="101"/>
        </w:rPr>
        <w:t> </w:t>
      </w:r>
      <w:r>
        <w:rPr>
          <w:color w:val="231F20"/>
        </w:rPr>
        <w:t>legittima, lo Stato sembra così muoversi all’interno di una violenza</w:t>
      </w:r>
      <w:r>
        <w:rPr>
          <w:color w:val="231F20"/>
          <w:spacing w:val="-18"/>
        </w:rPr>
        <w:t> </w:t>
      </w:r>
      <w:r>
        <w:rPr>
          <w:color w:val="231F20"/>
        </w:rPr>
        <w:t>che</w:t>
      </w:r>
      <w:r>
        <w:rPr>
          <w:color w:val="231F20"/>
          <w:spacing w:val="-2"/>
        </w:rPr>
        <w:t> </w:t>
      </w:r>
      <w:r>
        <w:rPr>
          <w:color w:val="231F20"/>
        </w:rPr>
        <w:t>non</w:t>
      </w:r>
      <w:r>
        <w:rPr>
          <w:color w:val="231F20"/>
          <w:w w:val="102"/>
        </w:rPr>
        <w:t> </w:t>
      </w:r>
      <w:r>
        <w:rPr>
          <w:color w:val="231F20"/>
        </w:rPr>
        <w:t>riesce</w:t>
      </w:r>
      <w:r>
        <w:rPr>
          <w:color w:val="231F20"/>
          <w:spacing w:val="-22"/>
        </w:rPr>
        <w:t> </w:t>
      </w:r>
      <w:r>
        <w:rPr>
          <w:color w:val="231F20"/>
        </w:rPr>
        <w:t>mai</w:t>
      </w:r>
      <w:r>
        <w:rPr>
          <w:color w:val="231F20"/>
          <w:spacing w:val="-22"/>
        </w:rPr>
        <w:t> </w:t>
      </w:r>
      <w:r>
        <w:rPr>
          <w:color w:val="231F20"/>
        </w:rPr>
        <w:t>a</w:t>
      </w:r>
      <w:r>
        <w:rPr>
          <w:color w:val="231F20"/>
          <w:spacing w:val="-22"/>
        </w:rPr>
        <w:t> </w:t>
      </w:r>
      <w:r>
        <w:rPr>
          <w:color w:val="231F20"/>
        </w:rPr>
        <w:t>neutralizzare</w:t>
      </w:r>
      <w:r>
        <w:rPr>
          <w:color w:val="231F20"/>
          <w:spacing w:val="-22"/>
        </w:rPr>
        <w:t> </w:t>
      </w:r>
      <w:r>
        <w:rPr>
          <w:color w:val="231F20"/>
        </w:rPr>
        <w:t>veramente.</w:t>
      </w:r>
      <w:r>
        <w:rPr>
          <w:color w:val="231F20"/>
          <w:spacing w:val="-22"/>
        </w:rPr>
        <w:t> </w:t>
      </w:r>
      <w:r>
        <w:rPr>
          <w:color w:val="231F20"/>
        </w:rPr>
        <w:t>La</w:t>
      </w:r>
      <w:r>
        <w:rPr>
          <w:color w:val="231F20"/>
          <w:spacing w:val="-22"/>
        </w:rPr>
        <w:t> </w:t>
      </w:r>
      <w:r>
        <w:rPr>
          <w:color w:val="231F20"/>
        </w:rPr>
        <w:t>violenza,</w:t>
      </w:r>
      <w:r>
        <w:rPr>
          <w:color w:val="231F20"/>
          <w:spacing w:val="-22"/>
        </w:rPr>
        <w:t> </w:t>
      </w:r>
      <w:r>
        <w:rPr>
          <w:color w:val="231F20"/>
        </w:rPr>
        <w:t>tuttavia,</w:t>
      </w:r>
      <w:r>
        <w:rPr>
          <w:color w:val="231F20"/>
          <w:spacing w:val="-22"/>
        </w:rPr>
        <w:t> </w:t>
      </w:r>
      <w:r>
        <w:rPr>
          <w:color w:val="231F20"/>
        </w:rPr>
        <w:t>non</w:t>
      </w:r>
      <w:r>
        <w:rPr>
          <w:color w:val="231F20"/>
          <w:spacing w:val="-22"/>
        </w:rPr>
        <w:t> </w:t>
      </w:r>
      <w:r>
        <w:rPr>
          <w:color w:val="231F20"/>
        </w:rPr>
        <w:t>fa</w:t>
      </w:r>
      <w:r>
        <w:rPr>
          <w:color w:val="231F20"/>
          <w:spacing w:val="-22"/>
        </w:rPr>
        <w:t> </w:t>
      </w:r>
      <w:r>
        <w:rPr>
          <w:color w:val="231F20"/>
        </w:rPr>
        <w:t>solamente</w:t>
      </w:r>
      <w:r>
        <w:rPr>
          <w:color w:val="231F20"/>
          <w:w w:val="102"/>
        </w:rPr>
        <w:t> </w:t>
      </w:r>
      <w:r>
        <w:rPr>
          <w:color w:val="231F20"/>
        </w:rPr>
        <w:t>parte</w:t>
      </w:r>
      <w:r>
        <w:rPr>
          <w:color w:val="231F20"/>
          <w:spacing w:val="31"/>
        </w:rPr>
        <w:t> </w:t>
      </w:r>
      <w:r>
        <w:rPr>
          <w:color w:val="231F20"/>
        </w:rPr>
        <w:t>della</w:t>
      </w:r>
      <w:r>
        <w:rPr>
          <w:color w:val="231F20"/>
          <w:spacing w:val="31"/>
        </w:rPr>
        <w:t> </w:t>
      </w:r>
      <w:r>
        <w:rPr>
          <w:color w:val="231F20"/>
        </w:rPr>
        <w:t>storia</w:t>
      </w:r>
      <w:r>
        <w:rPr>
          <w:color w:val="231F20"/>
          <w:spacing w:val="31"/>
        </w:rPr>
        <w:t> </w:t>
      </w:r>
      <w:r>
        <w:rPr>
          <w:color w:val="231F20"/>
        </w:rPr>
        <w:t>dello</w:t>
      </w:r>
      <w:r>
        <w:rPr>
          <w:color w:val="231F20"/>
          <w:spacing w:val="31"/>
        </w:rPr>
        <w:t> </w:t>
      </w:r>
      <w:r>
        <w:rPr>
          <w:color w:val="231F20"/>
        </w:rPr>
        <w:t>Stato,</w:t>
      </w:r>
      <w:r>
        <w:rPr>
          <w:color w:val="231F20"/>
          <w:spacing w:val="31"/>
        </w:rPr>
        <w:t> </w:t>
      </w:r>
      <w:r>
        <w:rPr>
          <w:color w:val="231F20"/>
        </w:rPr>
        <w:t>al</w:t>
      </w:r>
      <w:r>
        <w:rPr>
          <w:color w:val="231F20"/>
          <w:spacing w:val="31"/>
        </w:rPr>
        <w:t> </w:t>
      </w:r>
      <w:r>
        <w:rPr>
          <w:color w:val="231F20"/>
        </w:rPr>
        <w:t>punto</w:t>
      </w:r>
      <w:r>
        <w:rPr>
          <w:color w:val="231F20"/>
          <w:spacing w:val="31"/>
        </w:rPr>
        <w:t> </w:t>
      </w:r>
      <w:r>
        <w:rPr>
          <w:color w:val="231F20"/>
        </w:rPr>
        <w:t>da</w:t>
      </w:r>
      <w:r>
        <w:rPr>
          <w:color w:val="231F20"/>
          <w:spacing w:val="31"/>
        </w:rPr>
        <w:t> </w:t>
      </w:r>
      <w:r>
        <w:rPr>
          <w:color w:val="231F20"/>
        </w:rPr>
        <w:t>permettere</w:t>
      </w:r>
      <w:r>
        <w:rPr>
          <w:color w:val="231F20"/>
          <w:spacing w:val="31"/>
        </w:rPr>
        <w:t> </w:t>
      </w:r>
      <w:r>
        <w:rPr>
          <w:color w:val="231F20"/>
        </w:rPr>
        <w:t>la</w:t>
      </w:r>
      <w:r>
        <w:rPr>
          <w:color w:val="231F20"/>
          <w:spacing w:val="31"/>
        </w:rPr>
        <w:t> </w:t>
      </w:r>
      <w:r>
        <w:rPr>
          <w:color w:val="231F20"/>
        </w:rPr>
        <w:t>periodizzazione</w:t>
      </w:r>
      <w:r>
        <w:rPr>
          <w:color w:val="231F20"/>
          <w:spacing w:val="1"/>
          <w:w w:val="101"/>
        </w:rPr>
        <w:t> </w:t>
      </w:r>
      <w:r>
        <w:rPr>
          <w:color w:val="231F20"/>
          <w:spacing w:val="-3"/>
        </w:rPr>
        <w:t>storica</w:t>
      </w:r>
      <w:r>
        <w:rPr>
          <w:color w:val="231F20"/>
          <w:spacing w:val="-9"/>
        </w:rPr>
        <w:t> </w:t>
      </w:r>
      <w:r>
        <w:rPr>
          <w:color w:val="231F20"/>
          <w:spacing w:val="-3"/>
        </w:rPr>
        <w:t>delle</w:t>
      </w:r>
      <w:r>
        <w:rPr>
          <w:color w:val="231F20"/>
          <w:spacing w:val="-9"/>
        </w:rPr>
        <w:t> </w:t>
      </w:r>
      <w:r>
        <w:rPr>
          <w:color w:val="231F20"/>
        </w:rPr>
        <w:t>sue</w:t>
      </w:r>
      <w:r>
        <w:rPr>
          <w:color w:val="231F20"/>
          <w:spacing w:val="-9"/>
        </w:rPr>
        <w:t> </w:t>
      </w:r>
      <w:r>
        <w:rPr>
          <w:color w:val="231F20"/>
          <w:spacing w:val="-3"/>
        </w:rPr>
        <w:t>epoche,</w:t>
      </w:r>
      <w:r>
        <w:rPr>
          <w:color w:val="231F20"/>
          <w:spacing w:val="-9"/>
        </w:rPr>
        <w:t> </w:t>
      </w:r>
      <w:r>
        <w:rPr>
          <w:color w:val="231F20"/>
        </w:rPr>
        <w:t>ma</w:t>
      </w:r>
      <w:r>
        <w:rPr>
          <w:color w:val="231F20"/>
          <w:spacing w:val="-9"/>
        </w:rPr>
        <w:t> </w:t>
      </w:r>
      <w:r>
        <w:rPr>
          <w:color w:val="231F20"/>
          <w:spacing w:val="-3"/>
        </w:rPr>
        <w:t>rappresenta</w:t>
      </w:r>
      <w:r>
        <w:rPr>
          <w:color w:val="231F20"/>
          <w:spacing w:val="-9"/>
        </w:rPr>
        <w:t> </w:t>
      </w:r>
      <w:r>
        <w:rPr>
          <w:color w:val="231F20"/>
          <w:spacing w:val="-3"/>
        </w:rPr>
        <w:t>anche</w:t>
      </w:r>
      <w:r>
        <w:rPr>
          <w:color w:val="231F20"/>
          <w:spacing w:val="-9"/>
        </w:rPr>
        <w:t> </w:t>
      </w:r>
      <w:r>
        <w:rPr>
          <w:color w:val="231F20"/>
          <w:spacing w:val="-3"/>
        </w:rPr>
        <w:t>l’esperienza</w:t>
      </w:r>
      <w:r>
        <w:rPr>
          <w:color w:val="231F20"/>
          <w:spacing w:val="-9"/>
        </w:rPr>
        <w:t> </w:t>
      </w:r>
      <w:r>
        <w:rPr>
          <w:color w:val="231F20"/>
          <w:spacing w:val="-3"/>
        </w:rPr>
        <w:t>diretta</w:t>
      </w:r>
      <w:r>
        <w:rPr>
          <w:color w:val="231F20"/>
          <w:spacing w:val="-9"/>
        </w:rPr>
        <w:t> </w:t>
      </w:r>
      <w:r>
        <w:rPr>
          <w:color w:val="231F20"/>
        </w:rPr>
        <w:t>di</w:t>
      </w:r>
      <w:r>
        <w:rPr>
          <w:color w:val="231F20"/>
          <w:spacing w:val="-9"/>
        </w:rPr>
        <w:t> </w:t>
      </w:r>
      <w:r>
        <w:rPr>
          <w:color w:val="231F20"/>
          <w:spacing w:val="-3"/>
        </w:rPr>
        <w:t>milioni</w:t>
      </w:r>
      <w:r>
        <w:rPr>
          <w:color w:val="231F20"/>
          <w:spacing w:val="-3"/>
          <w:w w:val="101"/>
        </w:rPr>
        <w:t> </w:t>
      </w:r>
      <w:r>
        <w:rPr>
          <w:color w:val="231F20"/>
        </w:rPr>
        <w:t>di uomini e donne, dal momento che “per gran parte del mondo</w:t>
      </w:r>
      <w:r>
        <w:rPr>
          <w:color w:val="231F20"/>
          <w:spacing w:val="41"/>
        </w:rPr>
        <w:t> </w:t>
      </w:r>
      <w:r>
        <w:rPr>
          <w:color w:val="231F20"/>
        </w:rPr>
        <w:t>il</w:t>
      </w:r>
      <w:r>
        <w:rPr>
          <w:color w:val="231F20"/>
          <w:spacing w:val="3"/>
        </w:rPr>
        <w:t> </w:t>
      </w:r>
      <w:r>
        <w:rPr>
          <w:color w:val="231F20"/>
        </w:rPr>
        <w:t>termine</w:t>
      </w:r>
      <w:r>
        <w:rPr>
          <w:color w:val="231F20"/>
          <w:w w:val="101"/>
        </w:rPr>
        <w:t> </w:t>
      </w:r>
      <w:r>
        <w:rPr>
          <w:color w:val="231F20"/>
        </w:rPr>
        <w:t>“costruzione dello Stato” [</w:t>
      </w:r>
      <w:r>
        <w:rPr>
          <w:rFonts w:ascii="Arial" w:hAnsi="Arial"/>
          <w:i/>
          <w:color w:val="231F20"/>
        </w:rPr>
        <w:t>State building</w:t>
      </w:r>
      <w:r>
        <w:rPr>
          <w:color w:val="231F20"/>
        </w:rPr>
        <w:t>] richiama alla mente</w:t>
      </w:r>
      <w:r>
        <w:rPr>
          <w:color w:val="231F20"/>
          <w:spacing w:val="42"/>
        </w:rPr>
        <w:t> </w:t>
      </w:r>
      <w:r>
        <w:rPr>
          <w:color w:val="231F20"/>
        </w:rPr>
        <w:t>una</w:t>
      </w:r>
      <w:r>
        <w:rPr>
          <w:color w:val="231F20"/>
          <w:spacing w:val="28"/>
        </w:rPr>
        <w:t> </w:t>
      </w:r>
      <w:r>
        <w:rPr>
          <w:color w:val="231F20"/>
        </w:rPr>
        <w:t>storia</w:t>
      </w:r>
      <w:r>
        <w:rPr>
          <w:color w:val="231F20"/>
          <w:spacing w:val="1"/>
          <w:w w:val="100"/>
        </w:rPr>
        <w:t> </w:t>
      </w:r>
      <w:r>
        <w:rPr>
          <w:color w:val="231F20"/>
        </w:rPr>
        <w:t>sanguinosa di repressione coloniale e di violenza</w:t>
      </w:r>
      <w:r>
        <w:rPr>
          <w:color w:val="231F20"/>
          <w:spacing w:val="9"/>
        </w:rPr>
        <w:t> </w:t>
      </w:r>
      <w:r>
        <w:rPr>
          <w:color w:val="231F20"/>
        </w:rPr>
        <w:t>post-coloniale”</w:t>
      </w:r>
      <w:r>
        <w:rPr>
          <w:color w:val="231F20"/>
          <w:position w:val="7"/>
          <w:sz w:val="12"/>
        </w:rPr>
        <w:t>12</w:t>
      </w:r>
      <w:r>
        <w:rPr>
          <w:color w:val="231F20"/>
        </w:rPr>
        <w:t>.</w:t>
      </w:r>
      <w:r>
        <w:rPr>
          <w:color w:val="231F20"/>
          <w:spacing w:val="10"/>
        </w:rPr>
        <w:t> </w:t>
      </w:r>
      <w:r>
        <w:rPr>
          <w:color w:val="231F20"/>
        </w:rPr>
        <w:t>Questa</w:t>
      </w:r>
      <w:r>
        <w:rPr>
          <w:color w:val="231F20"/>
          <w:w w:val="104"/>
        </w:rPr>
        <w:t> </w:t>
      </w:r>
      <w:r>
        <w:rPr>
          <w:color w:val="231F20"/>
        </w:rPr>
        <w:t>osservazione mette in discussione la prospettiva</w:t>
      </w:r>
      <w:r>
        <w:rPr>
          <w:color w:val="231F20"/>
          <w:spacing w:val="19"/>
        </w:rPr>
        <w:t> </w:t>
      </w:r>
      <w:r>
        <w:rPr>
          <w:color w:val="231F20"/>
        </w:rPr>
        <w:t>ampiamente</w:t>
      </w:r>
      <w:r>
        <w:rPr>
          <w:color w:val="231F20"/>
          <w:spacing w:val="47"/>
        </w:rPr>
        <w:t> </w:t>
      </w:r>
      <w:r>
        <w:rPr>
          <w:color w:val="231F20"/>
        </w:rPr>
        <w:t>presente</w:t>
      </w:r>
      <w:r>
        <w:rPr>
          <w:color w:val="231F20"/>
          <w:spacing w:val="2"/>
          <w:w w:val="102"/>
        </w:rPr>
        <w:t> </w:t>
      </w:r>
      <w:r>
        <w:rPr>
          <w:color w:val="231F20"/>
        </w:rPr>
        <w:t>nella</w:t>
      </w:r>
      <w:r>
        <w:rPr>
          <w:color w:val="231F20"/>
          <w:spacing w:val="26"/>
        </w:rPr>
        <w:t> </w:t>
      </w:r>
      <w:r>
        <w:rPr>
          <w:color w:val="231F20"/>
        </w:rPr>
        <w:t>storia</w:t>
      </w:r>
      <w:r>
        <w:rPr>
          <w:color w:val="231F20"/>
          <w:spacing w:val="26"/>
        </w:rPr>
        <w:t> </w:t>
      </w:r>
      <w:r>
        <w:rPr>
          <w:color w:val="231F20"/>
        </w:rPr>
        <w:t>del</w:t>
      </w:r>
      <w:r>
        <w:rPr>
          <w:color w:val="231F20"/>
          <w:spacing w:val="26"/>
        </w:rPr>
        <w:t> </w:t>
      </w:r>
      <w:r>
        <w:rPr>
          <w:color w:val="231F20"/>
        </w:rPr>
        <w:t>pensiero</w:t>
      </w:r>
      <w:r>
        <w:rPr>
          <w:color w:val="231F20"/>
          <w:spacing w:val="26"/>
        </w:rPr>
        <w:t> </w:t>
      </w:r>
      <w:r>
        <w:rPr>
          <w:color w:val="231F20"/>
        </w:rPr>
        <w:t>politico,</w:t>
      </w:r>
      <w:r>
        <w:rPr>
          <w:color w:val="231F20"/>
          <w:spacing w:val="26"/>
        </w:rPr>
        <w:t> </w:t>
      </w:r>
      <w:r>
        <w:rPr>
          <w:color w:val="231F20"/>
        </w:rPr>
        <w:t>secondo</w:t>
      </w:r>
      <w:r>
        <w:rPr>
          <w:color w:val="231F20"/>
          <w:spacing w:val="26"/>
        </w:rPr>
        <w:t> </w:t>
      </w:r>
      <w:r>
        <w:rPr>
          <w:color w:val="231F20"/>
        </w:rPr>
        <w:t>la</w:t>
      </w:r>
      <w:r>
        <w:rPr>
          <w:color w:val="231F20"/>
          <w:spacing w:val="26"/>
        </w:rPr>
        <w:t> </w:t>
      </w:r>
      <w:r>
        <w:rPr>
          <w:color w:val="231F20"/>
        </w:rPr>
        <w:t>quale</w:t>
      </w:r>
      <w:r>
        <w:rPr>
          <w:color w:val="231F20"/>
          <w:spacing w:val="26"/>
        </w:rPr>
        <w:t> </w:t>
      </w:r>
      <w:r>
        <w:rPr>
          <w:color w:val="231F20"/>
        </w:rPr>
        <w:t>“lo</w:t>
      </w:r>
      <w:r>
        <w:rPr>
          <w:color w:val="231F20"/>
          <w:spacing w:val="26"/>
        </w:rPr>
        <w:t> </w:t>
      </w:r>
      <w:r>
        <w:rPr>
          <w:color w:val="231F20"/>
        </w:rPr>
        <w:t>Stato</w:t>
      </w:r>
      <w:r>
        <w:rPr>
          <w:color w:val="231F20"/>
          <w:spacing w:val="26"/>
        </w:rPr>
        <w:t> </w:t>
      </w:r>
      <w:r>
        <w:rPr>
          <w:color w:val="231F20"/>
        </w:rPr>
        <w:t>moderno</w:t>
      </w:r>
      <w:r>
        <w:rPr>
          <w:color w:val="231F20"/>
          <w:spacing w:val="26"/>
        </w:rPr>
        <w:t> </w:t>
      </w:r>
      <w:r>
        <w:rPr>
          <w:color w:val="231F20"/>
        </w:rPr>
        <w:t>[è</w:t>
      </w:r>
      <w:r>
        <w:rPr>
          <w:color w:val="231F20"/>
          <w:w w:val="89"/>
        </w:rPr>
        <w:t> </w:t>
      </w:r>
      <w:r>
        <w:rPr>
          <w:color w:val="231F20"/>
        </w:rPr>
        <w:t>stato] attentamente costruito come concetto con l’espresso</w:t>
      </w:r>
      <w:r>
        <w:rPr>
          <w:color w:val="231F20"/>
          <w:spacing w:val="8"/>
        </w:rPr>
        <w:t> </w:t>
      </w:r>
      <w:r>
        <w:rPr>
          <w:color w:val="231F20"/>
        </w:rPr>
        <w:t>proposito</w:t>
      </w:r>
      <w:r>
        <w:rPr>
          <w:color w:val="231F20"/>
          <w:spacing w:val="29"/>
        </w:rPr>
        <w:t> </w:t>
      </w:r>
      <w:r>
        <w:rPr>
          <w:color w:val="231F20"/>
        </w:rPr>
        <w:t>di</w:t>
      </w:r>
      <w:r>
        <w:rPr>
          <w:color w:val="231F20"/>
          <w:w w:val="105"/>
        </w:rPr>
        <w:t> </w:t>
      </w:r>
      <w:r>
        <w:rPr>
          <w:color w:val="231F20"/>
        </w:rPr>
        <w:t>negare le pretese di qualsiasi popolazione [</w:t>
      </w:r>
      <w:r>
        <w:rPr>
          <w:rFonts w:ascii="Arial" w:hAnsi="Arial"/>
          <w:i/>
          <w:color w:val="231F20"/>
        </w:rPr>
        <w:t>populace</w:t>
      </w:r>
      <w:r>
        <w:rPr>
          <w:color w:val="231F20"/>
        </w:rPr>
        <w:t>] di essere</w:t>
      </w:r>
      <w:r>
        <w:rPr>
          <w:color w:val="231F20"/>
          <w:spacing w:val="-29"/>
        </w:rPr>
        <w:t> </w:t>
      </w:r>
      <w:r>
        <w:rPr>
          <w:color w:val="231F20"/>
        </w:rPr>
        <w:t>essa</w:t>
      </w:r>
      <w:r>
        <w:rPr>
          <w:color w:val="231F20"/>
          <w:spacing w:val="-4"/>
        </w:rPr>
        <w:t> </w:t>
      </w:r>
      <w:r>
        <w:rPr>
          <w:color w:val="231F20"/>
        </w:rPr>
        <w:t>stessa</w:t>
      </w:r>
      <w:r>
        <w:rPr>
          <w:color w:val="231F20"/>
          <w:w w:val="98"/>
        </w:rPr>
        <w:t> </w:t>
      </w:r>
      <w:r>
        <w:rPr>
          <w:color w:val="231F20"/>
        </w:rPr>
        <w:t>il</w:t>
      </w:r>
      <w:r>
        <w:rPr>
          <w:color w:val="231F20"/>
          <w:spacing w:val="41"/>
        </w:rPr>
        <w:t> </w:t>
      </w:r>
      <w:r>
        <w:rPr>
          <w:color w:val="231F20"/>
        </w:rPr>
        <w:t>centro</w:t>
      </w:r>
      <w:r>
        <w:rPr>
          <w:color w:val="231F20"/>
          <w:spacing w:val="41"/>
        </w:rPr>
        <w:t> </w:t>
      </w:r>
      <w:r>
        <w:rPr>
          <w:color w:val="231F20"/>
        </w:rPr>
        <w:t>continuativo</w:t>
      </w:r>
      <w:r>
        <w:rPr>
          <w:color w:val="231F20"/>
          <w:spacing w:val="41"/>
        </w:rPr>
        <w:t> </w:t>
      </w:r>
      <w:r>
        <w:rPr>
          <w:color w:val="231F20"/>
        </w:rPr>
        <w:t>dell’autorità</w:t>
      </w:r>
      <w:r>
        <w:rPr>
          <w:color w:val="231F20"/>
          <w:spacing w:val="41"/>
        </w:rPr>
        <w:t> </w:t>
      </w:r>
      <w:r>
        <w:rPr>
          <w:color w:val="231F20"/>
        </w:rPr>
        <w:t>politica”</w:t>
      </w:r>
      <w:r>
        <w:rPr>
          <w:color w:val="231F20"/>
          <w:position w:val="7"/>
          <w:sz w:val="12"/>
        </w:rPr>
        <w:t>13</w:t>
      </w:r>
      <w:r>
        <w:rPr>
          <w:color w:val="231F20"/>
        </w:rPr>
        <w:t>.</w:t>
      </w:r>
      <w:r>
        <w:rPr>
          <w:color w:val="231F20"/>
          <w:spacing w:val="41"/>
        </w:rPr>
        <w:t> </w:t>
      </w:r>
      <w:r>
        <w:rPr>
          <w:color w:val="231F20"/>
        </w:rPr>
        <w:t>Se</w:t>
      </w:r>
      <w:r>
        <w:rPr>
          <w:color w:val="231F20"/>
          <w:spacing w:val="41"/>
        </w:rPr>
        <w:t> </w:t>
      </w:r>
      <w:r>
        <w:rPr>
          <w:color w:val="231F20"/>
        </w:rPr>
        <w:t>infatti</w:t>
      </w:r>
      <w:r>
        <w:rPr>
          <w:color w:val="231F20"/>
          <w:spacing w:val="41"/>
        </w:rPr>
        <w:t> </w:t>
      </w:r>
      <w:r>
        <w:rPr>
          <w:color w:val="231F20"/>
        </w:rPr>
        <w:t>l’immagine</w:t>
      </w:r>
      <w:r>
        <w:rPr>
          <w:color w:val="231F20"/>
          <w:spacing w:val="41"/>
        </w:rPr>
        <w:t> </w:t>
      </w:r>
      <w:r>
        <w:rPr>
          <w:color w:val="231F20"/>
        </w:rPr>
        <w:t>dello</w:t>
      </w:r>
      <w:r>
        <w:rPr>
          <w:color w:val="231F20"/>
          <w:spacing w:val="1"/>
          <w:w w:val="108"/>
        </w:rPr>
        <w:t> </w:t>
      </w:r>
      <w:r>
        <w:rPr>
          <w:color w:val="231F20"/>
        </w:rPr>
        <w:t>Stato è violenta, l’accentramento e l’amministrazione</w:t>
      </w:r>
      <w:r>
        <w:rPr>
          <w:color w:val="231F20"/>
          <w:spacing w:val="14"/>
        </w:rPr>
        <w:t> </w:t>
      </w:r>
      <w:r>
        <w:rPr>
          <w:color w:val="231F20"/>
        </w:rPr>
        <w:t>separata</w:t>
      </w:r>
      <w:r>
        <w:rPr>
          <w:color w:val="231F20"/>
          <w:spacing w:val="2"/>
        </w:rPr>
        <w:t> </w:t>
      </w:r>
      <w:r>
        <w:rPr>
          <w:color w:val="231F20"/>
        </w:rPr>
        <w:t>dell’autorità</w:t>
      </w:r>
      <w:r>
        <w:rPr>
          <w:color w:val="231F20"/>
          <w:w w:val="101"/>
        </w:rPr>
        <w:t> </w:t>
      </w:r>
      <w:r>
        <w:rPr>
          <w:color w:val="231F20"/>
        </w:rPr>
        <w:t>politica perde la legittimità che la tradizione statale le ha</w:t>
      </w:r>
      <w:r>
        <w:rPr>
          <w:color w:val="231F20"/>
          <w:spacing w:val="-11"/>
        </w:rPr>
        <w:t> </w:t>
      </w:r>
      <w:r>
        <w:rPr>
          <w:color w:val="231F20"/>
        </w:rPr>
        <w:t>finora</w:t>
      </w:r>
      <w:r>
        <w:rPr>
          <w:color w:val="231F20"/>
          <w:spacing w:val="-1"/>
        </w:rPr>
        <w:t> </w:t>
      </w:r>
      <w:r>
        <w:rPr>
          <w:color w:val="231F20"/>
        </w:rPr>
        <w:t>garantito</w:t>
      </w:r>
      <w:r>
        <w:rPr>
          <w:color w:val="231F20"/>
          <w:position w:val="7"/>
          <w:sz w:val="12"/>
        </w:rPr>
        <w:t>14</w:t>
      </w:r>
      <w:r>
        <w:rPr>
          <w:color w:val="231F20"/>
        </w:rPr>
        <w:t>.</w:t>
      </w:r>
      <w:r>
        <w:rPr>
          <w:color w:val="231F20"/>
          <w:w w:val="85"/>
        </w:rPr>
        <w:t> </w:t>
      </w:r>
      <w:r>
        <w:rPr>
          <w:color w:val="231F20"/>
        </w:rPr>
        <w:t>La coniugazione della storia passata e di quella presente</w:t>
      </w:r>
      <w:r>
        <w:rPr>
          <w:color w:val="231F20"/>
          <w:spacing w:val="3"/>
        </w:rPr>
        <w:t> </w:t>
      </w:r>
      <w:r>
        <w:rPr>
          <w:color w:val="231F20"/>
        </w:rPr>
        <w:t>dello</w:t>
      </w:r>
      <w:r>
        <w:rPr>
          <w:color w:val="231F20"/>
          <w:spacing w:val="7"/>
        </w:rPr>
        <w:t> </w:t>
      </w:r>
      <w:r>
        <w:rPr>
          <w:color w:val="231F20"/>
        </w:rPr>
        <w:t>Stato</w:t>
      </w:r>
      <w:r>
        <w:rPr>
          <w:color w:val="231F20"/>
          <w:w w:val="101"/>
        </w:rPr>
        <w:t> </w:t>
      </w:r>
      <w:r>
        <w:rPr>
          <w:color w:val="231F20"/>
        </w:rPr>
        <w:t>spiega</w:t>
      </w:r>
      <w:r>
        <w:rPr>
          <w:color w:val="231F20"/>
          <w:spacing w:val="-19"/>
        </w:rPr>
        <w:t> </w:t>
      </w:r>
      <w:r>
        <w:rPr>
          <w:color w:val="231F20"/>
          <w:spacing w:val="-3"/>
        </w:rPr>
        <w:t>perché</w:t>
      </w:r>
      <w:r>
        <w:rPr>
          <w:color w:val="231F20"/>
          <w:spacing w:val="-19"/>
        </w:rPr>
        <w:t> </w:t>
      </w:r>
      <w:r>
        <w:rPr>
          <w:color w:val="231F20"/>
        </w:rPr>
        <w:t>l’Oecd</w:t>
      </w:r>
      <w:r>
        <w:rPr>
          <w:color w:val="231F20"/>
          <w:spacing w:val="-19"/>
        </w:rPr>
        <w:t> </w:t>
      </w:r>
      <w:r>
        <w:rPr>
          <w:color w:val="231F20"/>
        </w:rPr>
        <w:t>assuma</w:t>
      </w:r>
      <w:r>
        <w:rPr>
          <w:color w:val="231F20"/>
          <w:spacing w:val="-19"/>
        </w:rPr>
        <w:t> </w:t>
      </w:r>
      <w:r>
        <w:rPr>
          <w:color w:val="231F20"/>
        </w:rPr>
        <w:t>la</w:t>
      </w:r>
      <w:r>
        <w:rPr>
          <w:color w:val="231F20"/>
          <w:spacing w:val="-19"/>
        </w:rPr>
        <w:t> </w:t>
      </w:r>
      <w:r>
        <w:rPr>
          <w:color w:val="231F20"/>
        </w:rPr>
        <w:t>fragilità</w:t>
      </w:r>
      <w:r>
        <w:rPr>
          <w:color w:val="231F20"/>
          <w:spacing w:val="-19"/>
        </w:rPr>
        <w:t> </w:t>
      </w:r>
      <w:r>
        <w:rPr>
          <w:color w:val="231F20"/>
        </w:rPr>
        <w:t>e</w:t>
      </w:r>
      <w:r>
        <w:rPr>
          <w:color w:val="231F20"/>
          <w:spacing w:val="-19"/>
        </w:rPr>
        <w:t> </w:t>
      </w:r>
      <w:r>
        <w:rPr>
          <w:color w:val="231F20"/>
        </w:rPr>
        <w:t>non</w:t>
      </w:r>
      <w:r>
        <w:rPr>
          <w:color w:val="231F20"/>
          <w:spacing w:val="-19"/>
        </w:rPr>
        <w:t> </w:t>
      </w:r>
      <w:r>
        <w:rPr>
          <w:color w:val="231F20"/>
        </w:rPr>
        <w:t>la</w:t>
      </w:r>
      <w:r>
        <w:rPr>
          <w:color w:val="231F20"/>
          <w:spacing w:val="-19"/>
        </w:rPr>
        <w:t> </w:t>
      </w:r>
      <w:r>
        <w:rPr>
          <w:color w:val="231F20"/>
        </w:rPr>
        <w:t>stabilità</w:t>
      </w:r>
      <w:r>
        <w:rPr>
          <w:color w:val="231F20"/>
          <w:spacing w:val="-19"/>
        </w:rPr>
        <w:t> </w:t>
      </w:r>
      <w:r>
        <w:rPr>
          <w:color w:val="231F20"/>
        </w:rPr>
        <w:t>come</w:t>
      </w:r>
      <w:r>
        <w:rPr>
          <w:color w:val="231F20"/>
          <w:spacing w:val="-19"/>
        </w:rPr>
        <w:t> </w:t>
      </w:r>
      <w:r>
        <w:rPr>
          <w:color w:val="231F20"/>
        </w:rPr>
        <w:t>caratteristica</w:t>
      </w:r>
      <w:r>
        <w:rPr>
          <w:color w:val="231F20"/>
          <w:spacing w:val="-2"/>
          <w:w w:val="102"/>
        </w:rPr>
        <w:t> </w:t>
      </w:r>
      <w:r>
        <w:rPr>
          <w:color w:val="231F20"/>
        </w:rPr>
        <w:t>essenziale degli Stati contemporanei. La fragilità diviene l’indicatore</w:t>
      </w:r>
      <w:r>
        <w:rPr>
          <w:color w:val="231F20"/>
          <w:spacing w:val="48"/>
        </w:rPr>
        <w:t> </w:t>
      </w:r>
      <w:r>
        <w:rPr>
          <w:color w:val="231F20"/>
        </w:rPr>
        <w:t>di</w:t>
      </w:r>
      <w:r>
        <w:rPr>
          <w:color w:val="231F20"/>
          <w:spacing w:val="14"/>
        </w:rPr>
        <w:t> </w:t>
      </w:r>
      <w:r>
        <w:rPr>
          <w:color w:val="231F20"/>
        </w:rPr>
        <w:t>un</w:t>
      </w:r>
      <w:r>
        <w:rPr>
          <w:color w:val="231F20"/>
          <w:w w:val="99"/>
        </w:rPr>
        <w:t> </w:t>
      </w:r>
      <w:r>
        <w:rPr>
          <w:color w:val="231F20"/>
        </w:rPr>
        <w:t>mutamento</w:t>
      </w:r>
      <w:r>
        <w:rPr>
          <w:color w:val="231F20"/>
          <w:spacing w:val="-12"/>
        </w:rPr>
        <w:t> </w:t>
      </w:r>
      <w:r>
        <w:rPr>
          <w:color w:val="231F20"/>
        </w:rPr>
        <w:t>strutturale</w:t>
      </w:r>
      <w:r>
        <w:rPr>
          <w:color w:val="231F20"/>
          <w:spacing w:val="-12"/>
        </w:rPr>
        <w:t> </w:t>
      </w:r>
      <w:r>
        <w:rPr>
          <w:color w:val="231F20"/>
        </w:rPr>
        <w:t>della</w:t>
      </w:r>
      <w:r>
        <w:rPr>
          <w:color w:val="231F20"/>
          <w:spacing w:val="-12"/>
        </w:rPr>
        <w:t> </w:t>
      </w:r>
      <w:r>
        <w:rPr>
          <w:color w:val="231F20"/>
          <w:spacing w:val="-3"/>
        </w:rPr>
        <w:t>loro</w:t>
      </w:r>
      <w:r>
        <w:rPr>
          <w:color w:val="231F20"/>
          <w:spacing w:val="-12"/>
        </w:rPr>
        <w:t> </w:t>
      </w:r>
      <w:r>
        <w:rPr>
          <w:color w:val="231F20"/>
          <w:spacing w:val="-3"/>
        </w:rPr>
        <w:t>comprensione,</w:t>
      </w:r>
      <w:r>
        <w:rPr>
          <w:color w:val="231F20"/>
          <w:spacing w:val="-12"/>
        </w:rPr>
        <w:t> </w:t>
      </w:r>
      <w:r>
        <w:rPr>
          <w:color w:val="231F20"/>
        </w:rPr>
        <w:t>al</w:t>
      </w:r>
      <w:r>
        <w:rPr>
          <w:color w:val="231F20"/>
          <w:spacing w:val="-12"/>
        </w:rPr>
        <w:t> </w:t>
      </w:r>
      <w:r>
        <w:rPr>
          <w:color w:val="231F20"/>
        </w:rPr>
        <w:t>punto</w:t>
      </w:r>
      <w:r>
        <w:rPr>
          <w:color w:val="231F20"/>
          <w:spacing w:val="-12"/>
        </w:rPr>
        <w:t> </w:t>
      </w:r>
      <w:r>
        <w:rPr>
          <w:color w:val="231F20"/>
        </w:rPr>
        <w:t>da</w:t>
      </w:r>
      <w:r>
        <w:rPr>
          <w:color w:val="231F20"/>
          <w:spacing w:val="-12"/>
        </w:rPr>
        <w:t> </w:t>
      </w:r>
      <w:r>
        <w:rPr>
          <w:color w:val="231F20"/>
        </w:rPr>
        <w:t>poter</w:t>
      </w:r>
      <w:r>
        <w:rPr>
          <w:color w:val="231F20"/>
          <w:spacing w:val="-12"/>
        </w:rPr>
        <w:t> </w:t>
      </w:r>
      <w:r>
        <w:rPr>
          <w:color w:val="231F20"/>
          <w:spacing w:val="-3"/>
        </w:rPr>
        <w:t>sostenere</w:t>
      </w:r>
      <w:r>
        <w:rPr>
          <w:color w:val="231F20"/>
          <w:w w:val="105"/>
        </w:rPr>
        <w:t> </w:t>
      </w:r>
      <w:r>
        <w:rPr>
          <w:color w:val="231F20"/>
        </w:rPr>
        <w:t>che</w:t>
      </w:r>
      <w:r>
        <w:rPr>
          <w:color w:val="231F20"/>
          <w:spacing w:val="39"/>
        </w:rPr>
        <w:t> </w:t>
      </w:r>
      <w:r>
        <w:rPr>
          <w:color w:val="231F20"/>
          <w:spacing w:val="2"/>
        </w:rPr>
        <w:t>essi</w:t>
      </w:r>
      <w:r>
        <w:rPr>
          <w:color w:val="231F20"/>
          <w:spacing w:val="39"/>
        </w:rPr>
        <w:t> </w:t>
      </w:r>
      <w:r>
        <w:rPr>
          <w:color w:val="231F20"/>
          <w:spacing w:val="2"/>
        </w:rPr>
        <w:t>possono</w:t>
      </w:r>
      <w:r>
        <w:rPr>
          <w:color w:val="231F20"/>
          <w:spacing w:val="39"/>
        </w:rPr>
        <w:t> </w:t>
      </w:r>
      <w:r>
        <w:rPr>
          <w:color w:val="231F20"/>
          <w:spacing w:val="2"/>
        </w:rPr>
        <w:t>solamente</w:t>
      </w:r>
      <w:r>
        <w:rPr>
          <w:color w:val="231F20"/>
          <w:spacing w:val="39"/>
        </w:rPr>
        <w:t> </w:t>
      </w:r>
      <w:r>
        <w:rPr>
          <w:color w:val="231F20"/>
          <w:spacing w:val="2"/>
        </w:rPr>
        <w:t>passare</w:t>
      </w:r>
      <w:r>
        <w:rPr>
          <w:color w:val="231F20"/>
          <w:spacing w:val="39"/>
        </w:rPr>
        <w:t> </w:t>
      </w:r>
      <w:r>
        <w:rPr>
          <w:color w:val="231F20"/>
          <w:spacing w:val="2"/>
        </w:rPr>
        <w:t>dalla</w:t>
      </w:r>
      <w:r>
        <w:rPr>
          <w:color w:val="231F20"/>
          <w:spacing w:val="39"/>
        </w:rPr>
        <w:t> </w:t>
      </w:r>
      <w:r>
        <w:rPr>
          <w:color w:val="231F20"/>
          <w:spacing w:val="2"/>
        </w:rPr>
        <w:t>fragilità</w:t>
      </w:r>
      <w:r>
        <w:rPr>
          <w:color w:val="231F20"/>
          <w:spacing w:val="39"/>
        </w:rPr>
        <w:t> </w:t>
      </w:r>
      <w:r>
        <w:rPr>
          <w:color w:val="231F20"/>
          <w:spacing w:val="2"/>
        </w:rPr>
        <w:t>alla</w:t>
      </w:r>
      <w:r>
        <w:rPr>
          <w:color w:val="231F20"/>
          <w:spacing w:val="39"/>
        </w:rPr>
        <w:t> </w:t>
      </w:r>
      <w:r>
        <w:rPr>
          <w:color w:val="231F20"/>
          <w:spacing w:val="2"/>
        </w:rPr>
        <w:t>resilienza.</w:t>
      </w:r>
      <w:r>
        <w:rPr>
          <w:color w:val="231F20"/>
          <w:spacing w:val="39"/>
        </w:rPr>
        <w:t> </w:t>
      </w:r>
      <w:r>
        <w:rPr>
          <w:color w:val="231F20"/>
          <w:spacing w:val="3"/>
        </w:rPr>
        <w:t>Con</w:t>
      </w:r>
      <w:r>
        <w:rPr>
          <w:color w:val="231F20"/>
          <w:spacing w:val="3"/>
          <w:w w:val="108"/>
        </w:rPr>
        <w:t> </w:t>
      </w:r>
      <w:r>
        <w:rPr>
          <w:color w:val="231F20"/>
        </w:rPr>
        <w:t>minor o maggior successo gli Stati contemporanei possono</w:t>
      </w:r>
      <w:r>
        <w:rPr>
          <w:color w:val="231F20"/>
          <w:spacing w:val="65"/>
        </w:rPr>
        <w:t> </w:t>
      </w:r>
      <w:r>
        <w:rPr>
          <w:color w:val="231F20"/>
        </w:rPr>
        <w:t>cioè</w:t>
      </w:r>
      <w:r>
        <w:rPr>
          <w:color w:val="231F20"/>
          <w:spacing w:val="32"/>
        </w:rPr>
        <w:t> </w:t>
      </w:r>
      <w:r>
        <w:rPr>
          <w:color w:val="231F20"/>
        </w:rPr>
        <w:t>reagire</w:t>
      </w:r>
      <w:r>
        <w:rPr>
          <w:color w:val="231F20"/>
          <w:w w:val="105"/>
        </w:rPr>
        <w:t> </w:t>
      </w:r>
      <w:r>
        <w:rPr>
          <w:color w:val="231F20"/>
        </w:rPr>
        <w:t>alle condizioni di instabilità in cui si trovano ad agire, ma in</w:t>
      </w:r>
      <w:r>
        <w:rPr>
          <w:color w:val="231F20"/>
          <w:spacing w:val="65"/>
        </w:rPr>
        <w:t> </w:t>
      </w:r>
      <w:r>
        <w:rPr>
          <w:color w:val="231F20"/>
        </w:rPr>
        <w:t>nessun</w:t>
      </w:r>
      <w:r>
        <w:rPr>
          <w:color w:val="231F20"/>
          <w:spacing w:val="16"/>
        </w:rPr>
        <w:t> </w:t>
      </w:r>
      <w:r>
        <w:rPr>
          <w:color w:val="231F20"/>
        </w:rPr>
        <w:t>caso</w:t>
      </w:r>
      <w:r>
        <w:rPr>
          <w:color w:val="231F20"/>
          <w:w w:val="102"/>
        </w:rPr>
        <w:t> </w:t>
      </w:r>
      <w:r>
        <w:rPr>
          <w:color w:val="231F20"/>
        </w:rPr>
        <w:t>aspirare a imporre sul piano interno e internazionale una</w:t>
      </w:r>
      <w:r>
        <w:rPr>
          <w:color w:val="231F20"/>
          <w:spacing w:val="32"/>
        </w:rPr>
        <w:t> </w:t>
      </w:r>
      <w:r>
        <w:rPr>
          <w:color w:val="231F20"/>
        </w:rPr>
        <w:t>stabilità</w:t>
      </w:r>
      <w:r>
        <w:rPr>
          <w:color w:val="231F20"/>
          <w:spacing w:val="10"/>
        </w:rPr>
        <w:t> </w:t>
      </w:r>
      <w:r>
        <w:rPr>
          <w:color w:val="231F20"/>
        </w:rPr>
        <w:t>fondata</w:t>
      </w:r>
      <w:r>
        <w:rPr>
          <w:color w:val="231F20"/>
          <w:w w:val="102"/>
        </w:rPr>
        <w:t> </w:t>
      </w:r>
      <w:r>
        <w:rPr>
          <w:color w:val="231F20"/>
        </w:rPr>
        <w:t>sul loro assoluto protagonismo. Il tratto caratteristico</w:t>
      </w:r>
      <w:r>
        <w:rPr>
          <w:color w:val="231F20"/>
          <w:spacing w:val="55"/>
        </w:rPr>
        <w:t> </w:t>
      </w:r>
      <w:r>
        <w:rPr>
          <w:color w:val="231F20"/>
        </w:rPr>
        <w:t>dell’agire</w:t>
      </w:r>
      <w:r>
        <w:rPr>
          <w:color w:val="231F20"/>
          <w:spacing w:val="36"/>
        </w:rPr>
        <w:t> </w:t>
      </w:r>
      <w:r>
        <w:rPr>
          <w:color w:val="231F20"/>
        </w:rPr>
        <w:t>statuale</w:t>
      </w:r>
      <w:r>
        <w:rPr>
          <w:color w:val="231F20"/>
          <w:w w:val="105"/>
        </w:rPr>
        <w:t> </w:t>
      </w:r>
      <w:r>
        <w:rPr>
          <w:color w:val="231F20"/>
        </w:rPr>
        <w:t>non sarebbe quindi la potenziale istituzionalizzazione di</w:t>
      </w:r>
      <w:r>
        <w:rPr>
          <w:color w:val="231F20"/>
          <w:spacing w:val="44"/>
        </w:rPr>
        <w:t> </w:t>
      </w:r>
      <w:r>
        <w:rPr>
          <w:color w:val="231F20"/>
        </w:rPr>
        <w:t>progetti</w:t>
      </w:r>
      <w:r>
        <w:rPr>
          <w:color w:val="231F20"/>
          <w:spacing w:val="25"/>
        </w:rPr>
        <w:t> </w:t>
      </w:r>
      <w:r>
        <w:rPr>
          <w:color w:val="231F20"/>
        </w:rPr>
        <w:t>collettivi</w:t>
      </w:r>
      <w:r>
        <w:rPr>
          <w:color w:val="231F20"/>
          <w:w w:val="98"/>
        </w:rPr>
        <w:t> </w:t>
      </w:r>
      <w:r>
        <w:rPr>
          <w:color w:val="231F20"/>
        </w:rPr>
        <w:t>nel tempo, bensì la capacità di reagire alle situazioni complesse nelle</w:t>
      </w:r>
      <w:r>
        <w:rPr>
          <w:color w:val="231F20"/>
          <w:spacing w:val="41"/>
        </w:rPr>
        <w:t> </w:t>
      </w:r>
      <w:r>
        <w:rPr>
          <w:color w:val="231F20"/>
        </w:rPr>
        <w:t>quali</w:t>
      </w:r>
    </w:p>
    <w:p>
      <w:pPr>
        <w:pStyle w:val="BodyText"/>
        <w:spacing w:before="6"/>
        <w:rPr>
          <w:sz w:val="18"/>
        </w:rPr>
      </w:pPr>
      <w:r>
        <w:rPr/>
        <w:pict>
          <v:line style="position:absolute;mso-position-horizontal-relative:page;mso-position-vertical-relative:paragraph;z-index:10072;mso-wrap-distance-left:0;mso-wrap-distance-right:0" from="65.196899pt,13.306985pt" to="178.582899pt,13.306985pt" stroked="true" strokeweight=".3pt" strokecolor="#231f20">
            <w10:wrap type="topAndBottom"/>
          </v:line>
        </w:pict>
      </w:r>
    </w:p>
    <w:p>
      <w:pPr>
        <w:spacing w:line="206" w:lineRule="exact" w:before="10"/>
        <w:ind w:left="103" w:right="0" w:firstLine="0"/>
        <w:jc w:val="left"/>
        <w:rPr>
          <w:rFonts w:ascii="Calibri" w:hAnsi="Calibri"/>
          <w:i/>
          <w:sz w:val="17"/>
        </w:rPr>
      </w:pPr>
      <w:r>
        <w:rPr>
          <w:rFonts w:ascii="Calibri" w:hAnsi="Calibri"/>
          <w:color w:val="231F20"/>
          <w:position w:val="6"/>
          <w:sz w:val="10"/>
        </w:rPr>
        <w:t>11   </w:t>
      </w:r>
      <w:r>
        <w:rPr>
          <w:rFonts w:ascii="Calibri" w:hAnsi="Calibri"/>
          <w:color w:val="231F20"/>
          <w:sz w:val="17"/>
        </w:rPr>
        <w:t>Organization for Economic Co–Operation and Development, </w:t>
      </w:r>
      <w:r>
        <w:rPr>
          <w:rFonts w:ascii="Calibri" w:hAnsi="Calibri"/>
          <w:i/>
          <w:color w:val="231F20"/>
          <w:sz w:val="17"/>
        </w:rPr>
        <w:t>Concepts and Dilemmas of State</w:t>
      </w:r>
    </w:p>
    <w:p>
      <w:pPr>
        <w:spacing w:line="204" w:lineRule="exact" w:before="0"/>
        <w:ind w:left="103" w:right="0" w:firstLine="0"/>
        <w:jc w:val="left"/>
        <w:rPr>
          <w:rFonts w:ascii="Calibri"/>
          <w:sz w:val="17"/>
        </w:rPr>
      </w:pPr>
      <w:r>
        <w:rPr>
          <w:rFonts w:ascii="Calibri"/>
          <w:i/>
          <w:color w:val="231F20"/>
          <w:sz w:val="17"/>
        </w:rPr>
        <w:t>Building in Fragile Situations</w:t>
      </w:r>
      <w:r>
        <w:rPr>
          <w:rFonts w:ascii="Calibri"/>
          <w:color w:val="231F20"/>
          <w:sz w:val="17"/>
        </w:rPr>
        <w:t>, p. 21.</w:t>
      </w:r>
    </w:p>
    <w:p>
      <w:pPr>
        <w:spacing w:line="204" w:lineRule="exact" w:before="0"/>
        <w:ind w:left="103" w:right="0" w:firstLine="0"/>
        <w:jc w:val="left"/>
        <w:rPr>
          <w:rFonts w:ascii="Calibri" w:hAnsi="Calibri"/>
          <w:sz w:val="17"/>
        </w:rPr>
      </w:pPr>
      <w:r>
        <w:rPr>
          <w:rFonts w:ascii="Calibri" w:hAnsi="Calibri"/>
          <w:color w:val="231F20"/>
          <w:w w:val="105"/>
          <w:position w:val="6"/>
          <w:sz w:val="10"/>
        </w:rPr>
        <w:t>12 </w:t>
      </w:r>
      <w:r>
        <w:rPr>
          <w:rFonts w:ascii="Calibri" w:hAnsi="Calibri"/>
          <w:color w:val="231F20"/>
          <w:w w:val="105"/>
          <w:sz w:val="17"/>
        </w:rPr>
        <w:t>Organization for Economic Co–Operation and Development, p. 66.</w:t>
      </w:r>
    </w:p>
    <w:p>
      <w:pPr>
        <w:spacing w:line="204" w:lineRule="exact" w:before="0"/>
        <w:ind w:left="103" w:right="0" w:firstLine="0"/>
        <w:jc w:val="left"/>
        <w:rPr>
          <w:rFonts w:ascii="Calibri"/>
          <w:sz w:val="17"/>
        </w:rPr>
      </w:pPr>
      <w:r>
        <w:rPr>
          <w:rFonts w:ascii="Calibri"/>
          <w:color w:val="231F20"/>
          <w:position w:val="6"/>
          <w:sz w:val="10"/>
        </w:rPr>
        <w:t>13  </w:t>
      </w:r>
      <w:r>
        <w:rPr>
          <w:rFonts w:ascii="Calibri"/>
          <w:color w:val="231F20"/>
          <w:sz w:val="17"/>
        </w:rPr>
        <w:t>J. Dunn, </w:t>
      </w:r>
      <w:r>
        <w:rPr>
          <w:rFonts w:ascii="Calibri"/>
          <w:i/>
          <w:color w:val="231F20"/>
          <w:sz w:val="17"/>
        </w:rPr>
        <w:t>The History of Political Theory and Other Essays</w:t>
      </w:r>
      <w:r>
        <w:rPr>
          <w:rFonts w:ascii="Calibri"/>
          <w:color w:val="231F20"/>
          <w:sz w:val="17"/>
        </w:rPr>
        <w:t>, Cambridge, Cambridge University  Press,</w:t>
      </w:r>
    </w:p>
    <w:p>
      <w:pPr>
        <w:spacing w:line="204" w:lineRule="exact" w:before="0"/>
        <w:ind w:left="103" w:right="0" w:firstLine="0"/>
        <w:jc w:val="left"/>
        <w:rPr>
          <w:rFonts w:ascii="Calibri"/>
          <w:sz w:val="17"/>
        </w:rPr>
      </w:pPr>
      <w:r>
        <w:rPr>
          <w:rFonts w:ascii="Calibri"/>
          <w:color w:val="231F20"/>
          <w:sz w:val="17"/>
        </w:rPr>
        <w:t>1996, p. 32.</w:t>
      </w:r>
    </w:p>
    <w:p>
      <w:pPr>
        <w:spacing w:line="204" w:lineRule="exact" w:before="0"/>
        <w:ind w:left="103" w:right="0" w:firstLine="0"/>
        <w:jc w:val="left"/>
        <w:rPr>
          <w:rFonts w:ascii="Calibri"/>
          <w:sz w:val="17"/>
        </w:rPr>
      </w:pPr>
      <w:r>
        <w:rPr>
          <w:rFonts w:ascii="Calibri"/>
          <w:color w:val="231F20"/>
          <w:w w:val="105"/>
          <w:position w:val="6"/>
          <w:sz w:val="10"/>
        </w:rPr>
        <w:t>14</w:t>
      </w:r>
      <w:r>
        <w:rPr>
          <w:rFonts w:ascii="Calibri"/>
          <w:color w:val="231F20"/>
          <w:spacing w:val="-8"/>
          <w:w w:val="105"/>
          <w:position w:val="6"/>
          <w:sz w:val="10"/>
        </w:rPr>
        <w:t> </w:t>
      </w:r>
      <w:r>
        <w:rPr>
          <w:rFonts w:ascii="Calibri"/>
          <w:color w:val="231F20"/>
          <w:w w:val="105"/>
          <w:sz w:val="17"/>
        </w:rPr>
        <w:t>K.</w:t>
      </w:r>
      <w:r>
        <w:rPr>
          <w:rFonts w:ascii="Calibri"/>
          <w:color w:val="231F20"/>
          <w:spacing w:val="-24"/>
          <w:w w:val="105"/>
          <w:sz w:val="17"/>
        </w:rPr>
        <w:t> </w:t>
      </w:r>
      <w:r>
        <w:rPr>
          <w:rFonts w:ascii="Calibri"/>
          <w:color w:val="231F20"/>
          <w:spacing w:val="-4"/>
          <w:w w:val="105"/>
          <w:sz w:val="17"/>
        </w:rPr>
        <w:t>H.F.</w:t>
      </w:r>
      <w:r>
        <w:rPr>
          <w:rFonts w:ascii="Calibri"/>
          <w:color w:val="231F20"/>
          <w:spacing w:val="-24"/>
          <w:w w:val="105"/>
          <w:sz w:val="17"/>
        </w:rPr>
        <w:t> </w:t>
      </w:r>
      <w:r>
        <w:rPr>
          <w:rFonts w:ascii="Calibri"/>
          <w:color w:val="231F20"/>
          <w:w w:val="105"/>
          <w:sz w:val="17"/>
        </w:rPr>
        <w:t>Dyson,</w:t>
      </w:r>
      <w:r>
        <w:rPr>
          <w:rFonts w:ascii="Calibri"/>
          <w:color w:val="231F20"/>
          <w:spacing w:val="-24"/>
          <w:w w:val="105"/>
          <w:sz w:val="17"/>
        </w:rPr>
        <w:t> </w:t>
      </w:r>
      <w:r>
        <w:rPr>
          <w:rFonts w:ascii="Calibri"/>
          <w:i/>
          <w:color w:val="231F20"/>
          <w:w w:val="105"/>
          <w:sz w:val="17"/>
        </w:rPr>
        <w:t>The</w:t>
      </w:r>
      <w:r>
        <w:rPr>
          <w:rFonts w:ascii="Calibri"/>
          <w:i/>
          <w:color w:val="231F20"/>
          <w:spacing w:val="-25"/>
          <w:w w:val="105"/>
          <w:sz w:val="17"/>
        </w:rPr>
        <w:t> </w:t>
      </w:r>
      <w:r>
        <w:rPr>
          <w:rFonts w:ascii="Calibri"/>
          <w:i/>
          <w:color w:val="231F20"/>
          <w:w w:val="105"/>
          <w:sz w:val="17"/>
        </w:rPr>
        <w:t>State</w:t>
      </w:r>
      <w:r>
        <w:rPr>
          <w:rFonts w:ascii="Calibri"/>
          <w:i/>
          <w:color w:val="231F20"/>
          <w:spacing w:val="-26"/>
          <w:w w:val="105"/>
          <w:sz w:val="17"/>
        </w:rPr>
        <w:t> </w:t>
      </w:r>
      <w:r>
        <w:rPr>
          <w:rFonts w:ascii="Calibri"/>
          <w:i/>
          <w:color w:val="231F20"/>
          <w:w w:val="105"/>
          <w:sz w:val="17"/>
        </w:rPr>
        <w:t>Tradition</w:t>
      </w:r>
      <w:r>
        <w:rPr>
          <w:rFonts w:ascii="Calibri"/>
          <w:i/>
          <w:color w:val="231F20"/>
          <w:spacing w:val="-25"/>
          <w:w w:val="105"/>
          <w:sz w:val="17"/>
        </w:rPr>
        <w:t> </w:t>
      </w:r>
      <w:r>
        <w:rPr>
          <w:rFonts w:ascii="Calibri"/>
          <w:i/>
          <w:color w:val="231F20"/>
          <w:w w:val="105"/>
          <w:sz w:val="17"/>
        </w:rPr>
        <w:t>in</w:t>
      </w:r>
      <w:r>
        <w:rPr>
          <w:rFonts w:ascii="Calibri"/>
          <w:i/>
          <w:color w:val="231F20"/>
          <w:spacing w:val="-26"/>
          <w:w w:val="105"/>
          <w:sz w:val="17"/>
        </w:rPr>
        <w:t> </w:t>
      </w:r>
      <w:r>
        <w:rPr>
          <w:rFonts w:ascii="Calibri"/>
          <w:i/>
          <w:color w:val="231F20"/>
          <w:w w:val="105"/>
          <w:sz w:val="17"/>
        </w:rPr>
        <w:t>Western</w:t>
      </w:r>
      <w:r>
        <w:rPr>
          <w:rFonts w:ascii="Calibri"/>
          <w:i/>
          <w:color w:val="231F20"/>
          <w:spacing w:val="-25"/>
          <w:w w:val="105"/>
          <w:sz w:val="17"/>
        </w:rPr>
        <w:t> </w:t>
      </w:r>
      <w:r>
        <w:rPr>
          <w:rFonts w:ascii="Calibri"/>
          <w:i/>
          <w:color w:val="231F20"/>
          <w:w w:val="105"/>
          <w:sz w:val="17"/>
        </w:rPr>
        <w:t>Europe.</w:t>
      </w:r>
      <w:r>
        <w:rPr>
          <w:rFonts w:ascii="Calibri"/>
          <w:i/>
          <w:color w:val="231F20"/>
          <w:spacing w:val="-25"/>
          <w:w w:val="105"/>
          <w:sz w:val="17"/>
        </w:rPr>
        <w:t> </w:t>
      </w:r>
      <w:r>
        <w:rPr>
          <w:rFonts w:ascii="Calibri"/>
          <w:i/>
          <w:color w:val="231F20"/>
          <w:w w:val="105"/>
          <w:sz w:val="17"/>
        </w:rPr>
        <w:t>A</w:t>
      </w:r>
      <w:r>
        <w:rPr>
          <w:rFonts w:ascii="Calibri"/>
          <w:i/>
          <w:color w:val="231F20"/>
          <w:spacing w:val="-25"/>
          <w:w w:val="105"/>
          <w:sz w:val="17"/>
        </w:rPr>
        <w:t> </w:t>
      </w:r>
      <w:r>
        <w:rPr>
          <w:rFonts w:ascii="Calibri"/>
          <w:i/>
          <w:color w:val="231F20"/>
          <w:w w:val="105"/>
          <w:sz w:val="17"/>
        </w:rPr>
        <w:t>Study</w:t>
      </w:r>
      <w:r>
        <w:rPr>
          <w:rFonts w:ascii="Calibri"/>
          <w:i/>
          <w:color w:val="231F20"/>
          <w:spacing w:val="-25"/>
          <w:w w:val="105"/>
          <w:sz w:val="17"/>
        </w:rPr>
        <w:t> </w:t>
      </w:r>
      <w:r>
        <w:rPr>
          <w:rFonts w:ascii="Calibri"/>
          <w:i/>
          <w:color w:val="231F20"/>
          <w:w w:val="105"/>
          <w:sz w:val="17"/>
        </w:rPr>
        <w:t>of</w:t>
      </w:r>
      <w:r>
        <w:rPr>
          <w:rFonts w:ascii="Calibri"/>
          <w:i/>
          <w:color w:val="231F20"/>
          <w:spacing w:val="-25"/>
          <w:w w:val="105"/>
          <w:sz w:val="17"/>
        </w:rPr>
        <w:t> </w:t>
      </w:r>
      <w:r>
        <w:rPr>
          <w:rFonts w:ascii="Calibri"/>
          <w:i/>
          <w:color w:val="231F20"/>
          <w:w w:val="105"/>
          <w:sz w:val="17"/>
        </w:rPr>
        <w:t>an</w:t>
      </w:r>
      <w:r>
        <w:rPr>
          <w:rFonts w:ascii="Calibri"/>
          <w:i/>
          <w:color w:val="231F20"/>
          <w:spacing w:val="-25"/>
          <w:w w:val="105"/>
          <w:sz w:val="17"/>
        </w:rPr>
        <w:t> </w:t>
      </w:r>
      <w:r>
        <w:rPr>
          <w:rFonts w:ascii="Calibri"/>
          <w:i/>
          <w:color w:val="231F20"/>
          <w:w w:val="105"/>
          <w:sz w:val="17"/>
        </w:rPr>
        <w:t>Idea</w:t>
      </w:r>
      <w:r>
        <w:rPr>
          <w:rFonts w:ascii="Calibri"/>
          <w:i/>
          <w:color w:val="231F20"/>
          <w:spacing w:val="-25"/>
          <w:w w:val="105"/>
          <w:sz w:val="17"/>
        </w:rPr>
        <w:t> </w:t>
      </w:r>
      <w:r>
        <w:rPr>
          <w:rFonts w:ascii="Calibri"/>
          <w:i/>
          <w:color w:val="231F20"/>
          <w:w w:val="105"/>
          <w:sz w:val="17"/>
        </w:rPr>
        <w:t>and</w:t>
      </w:r>
      <w:r>
        <w:rPr>
          <w:rFonts w:ascii="Calibri"/>
          <w:i/>
          <w:color w:val="231F20"/>
          <w:spacing w:val="-25"/>
          <w:w w:val="105"/>
          <w:sz w:val="17"/>
        </w:rPr>
        <w:t> </w:t>
      </w:r>
      <w:r>
        <w:rPr>
          <w:rFonts w:ascii="Calibri"/>
          <w:i/>
          <w:color w:val="231F20"/>
          <w:w w:val="105"/>
          <w:sz w:val="17"/>
        </w:rPr>
        <w:t>Institution</w:t>
      </w:r>
      <w:r>
        <w:rPr>
          <w:rFonts w:ascii="Calibri"/>
          <w:color w:val="231F20"/>
          <w:w w:val="105"/>
          <w:sz w:val="17"/>
        </w:rPr>
        <w:t>,</w:t>
      </w:r>
      <w:r>
        <w:rPr>
          <w:rFonts w:ascii="Calibri"/>
          <w:color w:val="231F20"/>
          <w:spacing w:val="-24"/>
          <w:w w:val="105"/>
          <w:sz w:val="17"/>
        </w:rPr>
        <w:t> </w:t>
      </w:r>
      <w:r>
        <w:rPr>
          <w:rFonts w:ascii="Calibri"/>
          <w:color w:val="231F20"/>
          <w:w w:val="105"/>
          <w:sz w:val="17"/>
        </w:rPr>
        <w:t>Colchester,</w:t>
      </w:r>
    </w:p>
    <w:p>
      <w:pPr>
        <w:spacing w:line="206" w:lineRule="exact" w:before="0"/>
        <w:ind w:left="103" w:right="0" w:firstLine="0"/>
        <w:jc w:val="left"/>
        <w:rPr>
          <w:rFonts w:ascii="Calibri" w:hAnsi="Calibri"/>
          <w:sz w:val="17"/>
        </w:rPr>
      </w:pPr>
      <w:r>
        <w:rPr>
          <w:rFonts w:ascii="Calibri" w:hAnsi="Calibri"/>
          <w:color w:val="231F20"/>
          <w:w w:val="105"/>
          <w:sz w:val="17"/>
        </w:rPr>
        <w:t>ECPR, 2009, sopratutto pp. 205–206.</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sz w:val="16"/>
        </w:rPr>
      </w:pPr>
      <w:r>
        <w:rPr/>
        <w:pict>
          <v:group style="position:absolute;margin-left:98.079102pt;margin-top:-3.358812pt;width:20.4pt;height:43pt;mso-position-horizontal-relative:page;mso-position-vertical-relative:paragraph;z-index:-165304"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40</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900"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525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28"/>
          <w:sz w:val="14"/>
        </w:rPr>
        <w:t> </w:t>
      </w:r>
      <w:r>
        <w:rPr>
          <w:rFonts w:ascii="Lucida Sans Unicode" w:hAnsi="Lucida Sans Unicode"/>
          <w:color w:val="6D6E71"/>
          <w:spacing w:val="-4"/>
          <w:sz w:val="14"/>
        </w:rPr>
        <w:t>STATO</w:t>
      </w:r>
      <w:r>
        <w:rPr>
          <w:rFonts w:ascii="Lucida Sans Unicode" w:hAnsi="Lucida Sans Unicode"/>
          <w:color w:val="6D6E71"/>
          <w:spacing w:val="-28"/>
          <w:sz w:val="14"/>
        </w:rPr>
        <w:t> </w:t>
      </w:r>
      <w:r>
        <w:rPr>
          <w:rFonts w:ascii="Lucida Sans Unicode" w:hAnsi="Lucida Sans Unicode"/>
          <w:color w:val="6D6E71"/>
          <w:sz w:val="14"/>
        </w:rPr>
        <w:t>GLOBALE</w:t>
      </w:r>
      <w:r>
        <w:rPr>
          <w:rFonts w:ascii="Lucida Sans Unicode" w:hAnsi="Lucida Sans Unicode"/>
          <w:color w:val="6D6E71"/>
          <w:spacing w:val="-28"/>
          <w:sz w:val="14"/>
        </w:rPr>
        <w:t> </w:t>
      </w:r>
      <w:r>
        <w:rPr>
          <w:rFonts w:ascii="Lucida Sans Unicode" w:hAnsi="Lucida Sans Unicode"/>
          <w:color w:val="6D6E71"/>
          <w:sz w:val="14"/>
        </w:rPr>
        <w:t>E</w:t>
      </w:r>
      <w:r>
        <w:rPr>
          <w:rFonts w:ascii="Lucida Sans Unicode" w:hAnsi="Lucida Sans Unicode"/>
          <w:color w:val="6D6E71"/>
          <w:spacing w:val="-28"/>
          <w:sz w:val="14"/>
        </w:rPr>
        <w:t> </w:t>
      </w:r>
      <w:r>
        <w:rPr>
          <w:rFonts w:ascii="Lucida Sans Unicode" w:hAnsi="Lucida Sans Unicode"/>
          <w:color w:val="6D6E71"/>
          <w:sz w:val="14"/>
        </w:rPr>
        <w:t>L’EVOLUZIONE</w:t>
      </w:r>
      <w:r>
        <w:rPr>
          <w:rFonts w:ascii="Lucida Sans Unicode" w:hAnsi="Lucida Sans Unicode"/>
          <w:color w:val="6D6E71"/>
          <w:spacing w:val="-28"/>
          <w:sz w:val="14"/>
        </w:rPr>
        <w:t> </w:t>
      </w:r>
      <w:r>
        <w:rPr>
          <w:rFonts w:ascii="Lucida Sans Unicode" w:hAnsi="Lucida Sans Unicode"/>
          <w:color w:val="6D6E71"/>
          <w:sz w:val="14"/>
        </w:rPr>
        <w:t>DELLA</w:t>
      </w:r>
      <w:r>
        <w:rPr>
          <w:rFonts w:ascii="Lucida Sans Unicode" w:hAnsi="Lucida Sans Unicode"/>
          <w:color w:val="6D6E71"/>
          <w:spacing w:val="-28"/>
          <w:sz w:val="14"/>
        </w:rPr>
        <w:t> </w:t>
      </w:r>
      <w:r>
        <w:rPr>
          <w:rFonts w:ascii="Lucida Sans Unicode" w:hAnsi="Lucida Sans Unicode"/>
          <w:color w:val="6D6E71"/>
          <w:sz w:val="14"/>
        </w:rPr>
        <w:t>SOVRANITÀ</w:t>
      </w:r>
      <w:r>
        <w:rPr>
          <w:rFonts w:ascii="Trebuchet MS" w:hAnsi="Trebuchet MS"/>
          <w:color w:val="414042"/>
          <w:position w:val="-3"/>
          <w:sz w:val="20"/>
        </w:rPr>
        <w:tab/>
        <w:t>41</w:t>
      </w:r>
    </w:p>
    <w:p>
      <w:pPr>
        <w:pStyle w:val="BodyText"/>
        <w:spacing w:line="247" w:lineRule="auto" w:before="621"/>
        <w:ind w:left="117" w:right="115"/>
        <w:jc w:val="both"/>
      </w:pPr>
      <w:r>
        <w:rPr>
          <w:color w:val="231F20"/>
        </w:rPr>
        <w:t>la crisi non è un elemento temporaneo e quindi transeunte, ma diviene una caratteristica costitutiva dell’ambiente nel quale gli Stati si trovano     a </w:t>
      </w:r>
      <w:r>
        <w:rPr>
          <w:color w:val="231F20"/>
          <w:spacing w:val="2"/>
        </w:rPr>
        <w:t>operare. </w:t>
      </w:r>
      <w:r>
        <w:rPr>
          <w:color w:val="231F20"/>
        </w:rPr>
        <w:t>La </w:t>
      </w:r>
      <w:r>
        <w:rPr>
          <w:color w:val="231F20"/>
          <w:spacing w:val="2"/>
        </w:rPr>
        <w:t>storia incerta </w:t>
      </w:r>
      <w:r>
        <w:rPr>
          <w:color w:val="231F20"/>
        </w:rPr>
        <w:t>e </w:t>
      </w:r>
      <w:r>
        <w:rPr>
          <w:color w:val="231F20"/>
          <w:spacing w:val="2"/>
        </w:rPr>
        <w:t>violenta dello Stato </w:t>
      </w:r>
      <w:r>
        <w:rPr>
          <w:color w:val="231F20"/>
        </w:rPr>
        <w:t>è </w:t>
      </w:r>
      <w:r>
        <w:rPr>
          <w:color w:val="231F20"/>
          <w:spacing w:val="2"/>
        </w:rPr>
        <w:t>l’esito ultimo </w:t>
      </w:r>
      <w:r>
        <w:rPr>
          <w:color w:val="231F20"/>
          <w:spacing w:val="3"/>
        </w:rPr>
        <w:t>della </w:t>
      </w:r>
      <w:r>
        <w:rPr>
          <w:color w:val="231F20"/>
        </w:rPr>
        <w:t>sua </w:t>
      </w:r>
      <w:r>
        <w:rPr>
          <w:color w:val="231F20"/>
          <w:spacing w:val="2"/>
        </w:rPr>
        <w:t>collocazione globale. </w:t>
      </w:r>
      <w:r>
        <w:rPr>
          <w:color w:val="231F20"/>
        </w:rPr>
        <w:t>In </w:t>
      </w:r>
      <w:r>
        <w:rPr>
          <w:color w:val="231F20"/>
          <w:spacing w:val="2"/>
        </w:rPr>
        <w:t>questo modo viene </w:t>
      </w:r>
      <w:r>
        <w:rPr>
          <w:color w:val="231F20"/>
        </w:rPr>
        <w:t>però </w:t>
      </w:r>
      <w:r>
        <w:rPr>
          <w:color w:val="231F20"/>
          <w:spacing w:val="2"/>
        </w:rPr>
        <w:t>segnalato </w:t>
      </w:r>
      <w:r>
        <w:rPr>
          <w:color w:val="231F20"/>
        </w:rPr>
        <w:t>che </w:t>
      </w:r>
      <w:r>
        <w:rPr>
          <w:color w:val="231F20"/>
          <w:spacing w:val="3"/>
        </w:rPr>
        <w:t>la </w:t>
      </w:r>
      <w:r>
        <w:rPr>
          <w:color w:val="231F20"/>
        </w:rPr>
        <w:t>globalizzazione del contesto in cui agisce lo Stato non dipende solamente  e</w:t>
      </w:r>
      <w:r>
        <w:rPr>
          <w:color w:val="231F20"/>
          <w:spacing w:val="-7"/>
        </w:rPr>
        <w:t> </w:t>
      </w:r>
      <w:r>
        <w:rPr>
          <w:color w:val="231F20"/>
        </w:rPr>
        <w:t>nemmeno</w:t>
      </w:r>
      <w:r>
        <w:rPr>
          <w:color w:val="231F20"/>
          <w:spacing w:val="-7"/>
        </w:rPr>
        <w:t> </w:t>
      </w:r>
      <w:r>
        <w:rPr>
          <w:color w:val="231F20"/>
        </w:rPr>
        <w:t>soprattutto</w:t>
      </w:r>
      <w:r>
        <w:rPr>
          <w:color w:val="231F20"/>
          <w:spacing w:val="-7"/>
        </w:rPr>
        <w:t> </w:t>
      </w:r>
      <w:r>
        <w:rPr>
          <w:color w:val="231F20"/>
        </w:rPr>
        <w:t>dalle</w:t>
      </w:r>
      <w:r>
        <w:rPr>
          <w:color w:val="231F20"/>
          <w:spacing w:val="-7"/>
        </w:rPr>
        <w:t> </w:t>
      </w:r>
      <w:r>
        <w:rPr>
          <w:color w:val="231F20"/>
        </w:rPr>
        <w:t>trasformazioni</w:t>
      </w:r>
      <w:r>
        <w:rPr>
          <w:color w:val="231F20"/>
          <w:spacing w:val="-7"/>
        </w:rPr>
        <w:t> </w:t>
      </w:r>
      <w:r>
        <w:rPr>
          <w:color w:val="231F20"/>
        </w:rPr>
        <w:t>dello</w:t>
      </w:r>
      <w:r>
        <w:rPr>
          <w:color w:val="231F20"/>
          <w:spacing w:val="-7"/>
        </w:rPr>
        <w:t> </w:t>
      </w:r>
      <w:r>
        <w:rPr>
          <w:color w:val="231F20"/>
        </w:rPr>
        <w:t>spazio</w:t>
      </w:r>
      <w:r>
        <w:rPr>
          <w:color w:val="231F20"/>
          <w:spacing w:val="-7"/>
        </w:rPr>
        <w:t> </w:t>
      </w:r>
      <w:r>
        <w:rPr>
          <w:color w:val="231F20"/>
        </w:rPr>
        <w:t>in</w:t>
      </w:r>
      <w:r>
        <w:rPr>
          <w:color w:val="231F20"/>
          <w:spacing w:val="-7"/>
        </w:rPr>
        <w:t> </w:t>
      </w:r>
      <w:r>
        <w:rPr>
          <w:color w:val="231F20"/>
        </w:rPr>
        <w:t>cui</w:t>
      </w:r>
      <w:r>
        <w:rPr>
          <w:color w:val="231F20"/>
          <w:spacing w:val="-7"/>
        </w:rPr>
        <w:t> </w:t>
      </w:r>
      <w:r>
        <w:rPr>
          <w:color w:val="231F20"/>
        </w:rPr>
        <w:t>esso</w:t>
      </w:r>
      <w:r>
        <w:rPr>
          <w:color w:val="231F20"/>
          <w:spacing w:val="-7"/>
        </w:rPr>
        <w:t> </w:t>
      </w:r>
      <w:r>
        <w:rPr>
          <w:color w:val="231F20"/>
        </w:rPr>
        <w:t>si</w:t>
      </w:r>
      <w:r>
        <w:rPr>
          <w:color w:val="231F20"/>
          <w:spacing w:val="-7"/>
        </w:rPr>
        <w:t> </w:t>
      </w:r>
      <w:r>
        <w:rPr>
          <w:color w:val="231F20"/>
        </w:rPr>
        <w:t>trova ad agire. Le trasformazioni di scala sono senza dubbio rilevanti, la fragilità è</w:t>
      </w:r>
      <w:r>
        <w:rPr>
          <w:color w:val="231F20"/>
          <w:spacing w:val="-5"/>
        </w:rPr>
        <w:t> </w:t>
      </w:r>
      <w:r>
        <w:rPr>
          <w:color w:val="231F20"/>
        </w:rPr>
        <w:t>un</w:t>
      </w:r>
      <w:r>
        <w:rPr>
          <w:color w:val="231F20"/>
          <w:spacing w:val="-5"/>
        </w:rPr>
        <w:t> </w:t>
      </w:r>
      <w:r>
        <w:rPr>
          <w:color w:val="231F20"/>
        </w:rPr>
        <w:t>problema</w:t>
      </w:r>
      <w:r>
        <w:rPr>
          <w:color w:val="231F20"/>
          <w:spacing w:val="-5"/>
        </w:rPr>
        <w:t> </w:t>
      </w:r>
      <w:r>
        <w:rPr>
          <w:color w:val="231F20"/>
        </w:rPr>
        <w:t>storico.</w:t>
      </w:r>
      <w:r>
        <w:rPr>
          <w:color w:val="231F20"/>
          <w:spacing w:val="-5"/>
        </w:rPr>
        <w:t> </w:t>
      </w:r>
      <w:r>
        <w:rPr>
          <w:color w:val="231F20"/>
        </w:rPr>
        <w:t>Le</w:t>
      </w:r>
      <w:r>
        <w:rPr>
          <w:color w:val="231F20"/>
          <w:spacing w:val="-5"/>
        </w:rPr>
        <w:t> </w:t>
      </w:r>
      <w:r>
        <w:rPr>
          <w:color w:val="231F20"/>
        </w:rPr>
        <w:t>trasformazioni</w:t>
      </w:r>
      <w:r>
        <w:rPr>
          <w:color w:val="231F20"/>
          <w:spacing w:val="-5"/>
        </w:rPr>
        <w:t> </w:t>
      </w:r>
      <w:r>
        <w:rPr>
          <w:color w:val="231F20"/>
        </w:rPr>
        <w:t>della</w:t>
      </w:r>
      <w:r>
        <w:rPr>
          <w:color w:val="231F20"/>
          <w:spacing w:val="-5"/>
        </w:rPr>
        <w:t> </w:t>
      </w:r>
      <w:r>
        <w:rPr>
          <w:color w:val="231F20"/>
        </w:rPr>
        <w:t>spazialità</w:t>
      </w:r>
      <w:r>
        <w:rPr>
          <w:color w:val="231F20"/>
          <w:spacing w:val="-5"/>
        </w:rPr>
        <w:t> </w:t>
      </w:r>
      <w:r>
        <w:rPr>
          <w:color w:val="231F20"/>
        </w:rPr>
        <w:t>dello</w:t>
      </w:r>
      <w:r>
        <w:rPr>
          <w:color w:val="231F20"/>
          <w:spacing w:val="-5"/>
        </w:rPr>
        <w:t> </w:t>
      </w:r>
      <w:r>
        <w:rPr>
          <w:color w:val="231F20"/>
        </w:rPr>
        <w:t>Stato,</w:t>
      </w:r>
      <w:r>
        <w:rPr>
          <w:color w:val="231F20"/>
          <w:spacing w:val="-5"/>
        </w:rPr>
        <w:t> </w:t>
      </w:r>
      <w:r>
        <w:rPr>
          <w:color w:val="231F20"/>
        </w:rPr>
        <w:t>ovvero la sua compiuta internazionalizzazione</w:t>
      </w:r>
      <w:r>
        <w:rPr>
          <w:color w:val="231F20"/>
          <w:position w:val="7"/>
          <w:sz w:val="12"/>
        </w:rPr>
        <w:t>15</w:t>
      </w:r>
      <w:r>
        <w:rPr>
          <w:color w:val="231F20"/>
        </w:rPr>
        <w:t>, sono pienamente comprensibili </w:t>
      </w:r>
      <w:r>
        <w:rPr>
          <w:color w:val="231F20"/>
          <w:spacing w:val="-3"/>
        </w:rPr>
        <w:t>considerando</w:t>
      </w:r>
      <w:r>
        <w:rPr>
          <w:color w:val="231F20"/>
          <w:spacing w:val="-10"/>
        </w:rPr>
        <w:t> </w:t>
      </w:r>
      <w:r>
        <w:rPr>
          <w:color w:val="231F20"/>
        </w:rPr>
        <w:t>le</w:t>
      </w:r>
      <w:r>
        <w:rPr>
          <w:color w:val="231F20"/>
          <w:spacing w:val="-10"/>
        </w:rPr>
        <w:t> </w:t>
      </w:r>
      <w:r>
        <w:rPr>
          <w:color w:val="231F20"/>
          <w:spacing w:val="-3"/>
        </w:rPr>
        <w:t>trasformazioni</w:t>
      </w:r>
      <w:r>
        <w:rPr>
          <w:color w:val="231F20"/>
          <w:spacing w:val="-10"/>
        </w:rPr>
        <w:t> </w:t>
      </w:r>
      <w:r>
        <w:rPr>
          <w:color w:val="231F20"/>
        </w:rPr>
        <w:t>del</w:t>
      </w:r>
      <w:r>
        <w:rPr>
          <w:color w:val="231F20"/>
          <w:spacing w:val="-10"/>
        </w:rPr>
        <w:t> </w:t>
      </w:r>
      <w:r>
        <w:rPr>
          <w:color w:val="231F20"/>
          <w:spacing w:val="-3"/>
        </w:rPr>
        <w:t>tempo</w:t>
      </w:r>
      <w:r>
        <w:rPr>
          <w:color w:val="231F20"/>
          <w:spacing w:val="-10"/>
        </w:rPr>
        <w:t> </w:t>
      </w:r>
      <w:r>
        <w:rPr>
          <w:color w:val="231F20"/>
          <w:spacing w:val="-3"/>
        </w:rPr>
        <w:t>storico</w:t>
      </w:r>
      <w:r>
        <w:rPr>
          <w:color w:val="231F20"/>
          <w:spacing w:val="-10"/>
        </w:rPr>
        <w:t> </w:t>
      </w:r>
      <w:r>
        <w:rPr>
          <w:color w:val="231F20"/>
          <w:spacing w:val="-3"/>
        </w:rPr>
        <w:t>dello</w:t>
      </w:r>
      <w:r>
        <w:rPr>
          <w:color w:val="231F20"/>
          <w:spacing w:val="-10"/>
        </w:rPr>
        <w:t> </w:t>
      </w:r>
      <w:r>
        <w:rPr>
          <w:color w:val="231F20"/>
          <w:spacing w:val="-3"/>
        </w:rPr>
        <w:t>Stato</w:t>
      </w:r>
      <w:r>
        <w:rPr>
          <w:color w:val="231F20"/>
          <w:spacing w:val="-10"/>
        </w:rPr>
        <w:t> </w:t>
      </w:r>
      <w:r>
        <w:rPr>
          <w:color w:val="231F20"/>
          <w:spacing w:val="-3"/>
        </w:rPr>
        <w:t>stesso,</w:t>
      </w:r>
      <w:r>
        <w:rPr>
          <w:color w:val="231F20"/>
          <w:spacing w:val="-10"/>
        </w:rPr>
        <w:t> </w:t>
      </w:r>
      <w:r>
        <w:rPr>
          <w:color w:val="231F20"/>
          <w:spacing w:val="-4"/>
        </w:rPr>
        <w:t>ovvero</w:t>
      </w:r>
      <w:r>
        <w:rPr>
          <w:color w:val="231F20"/>
          <w:spacing w:val="-10"/>
        </w:rPr>
        <w:t> </w:t>
      </w:r>
      <w:r>
        <w:rPr>
          <w:color w:val="231F20"/>
          <w:spacing w:val="-3"/>
        </w:rPr>
        <w:t>le condizioni continuative della </w:t>
      </w:r>
      <w:r>
        <w:rPr>
          <w:color w:val="231F20"/>
        </w:rPr>
        <w:t>sua </w:t>
      </w:r>
      <w:r>
        <w:rPr>
          <w:color w:val="231F20"/>
          <w:spacing w:val="-3"/>
        </w:rPr>
        <w:t>legittimazione. </w:t>
      </w:r>
      <w:r>
        <w:rPr>
          <w:color w:val="231F20"/>
        </w:rPr>
        <w:t>La </w:t>
      </w:r>
      <w:r>
        <w:rPr>
          <w:color w:val="231F20"/>
          <w:spacing w:val="-3"/>
        </w:rPr>
        <w:t>globalizzazione trasforma </w:t>
      </w:r>
      <w:r>
        <w:rPr>
          <w:color w:val="231F20"/>
        </w:rPr>
        <w:t>in</w:t>
      </w:r>
      <w:r>
        <w:rPr>
          <w:color w:val="231F20"/>
          <w:spacing w:val="-8"/>
        </w:rPr>
        <w:t> </w:t>
      </w:r>
      <w:r>
        <w:rPr>
          <w:color w:val="231F20"/>
        </w:rPr>
        <w:t>maniera</w:t>
      </w:r>
      <w:r>
        <w:rPr>
          <w:color w:val="231F20"/>
          <w:spacing w:val="-8"/>
        </w:rPr>
        <w:t> </w:t>
      </w:r>
      <w:r>
        <w:rPr>
          <w:color w:val="231F20"/>
        </w:rPr>
        <w:t>radicale</w:t>
      </w:r>
      <w:r>
        <w:rPr>
          <w:color w:val="231F20"/>
          <w:spacing w:val="-8"/>
        </w:rPr>
        <w:t> </w:t>
      </w:r>
      <w:r>
        <w:rPr>
          <w:color w:val="231F20"/>
        </w:rPr>
        <w:t>il</w:t>
      </w:r>
      <w:r>
        <w:rPr>
          <w:color w:val="231F20"/>
          <w:spacing w:val="-8"/>
        </w:rPr>
        <w:t> </w:t>
      </w:r>
      <w:r>
        <w:rPr>
          <w:color w:val="231F20"/>
        </w:rPr>
        <w:t>tempo</w:t>
      </w:r>
      <w:r>
        <w:rPr>
          <w:color w:val="231F20"/>
          <w:spacing w:val="-8"/>
        </w:rPr>
        <w:t> </w:t>
      </w:r>
      <w:r>
        <w:rPr>
          <w:color w:val="231F20"/>
        </w:rPr>
        <w:t>storico</w:t>
      </w:r>
      <w:r>
        <w:rPr>
          <w:color w:val="231F20"/>
          <w:spacing w:val="-8"/>
        </w:rPr>
        <w:t> </w:t>
      </w:r>
      <w:r>
        <w:rPr>
          <w:color w:val="231F20"/>
        </w:rPr>
        <w:t>in</w:t>
      </w:r>
      <w:r>
        <w:rPr>
          <w:color w:val="231F20"/>
          <w:spacing w:val="-8"/>
        </w:rPr>
        <w:t> </w:t>
      </w:r>
      <w:r>
        <w:rPr>
          <w:color w:val="231F20"/>
        </w:rPr>
        <w:t>cui</w:t>
      </w:r>
      <w:r>
        <w:rPr>
          <w:color w:val="231F20"/>
          <w:spacing w:val="-8"/>
        </w:rPr>
        <w:t> </w:t>
      </w:r>
      <w:r>
        <w:rPr>
          <w:color w:val="231F20"/>
        </w:rPr>
        <w:t>lo</w:t>
      </w:r>
      <w:r>
        <w:rPr>
          <w:color w:val="231F20"/>
          <w:spacing w:val="-8"/>
        </w:rPr>
        <w:t> </w:t>
      </w:r>
      <w:r>
        <w:rPr>
          <w:color w:val="231F20"/>
        </w:rPr>
        <w:t>Stato</w:t>
      </w:r>
      <w:r>
        <w:rPr>
          <w:color w:val="231F20"/>
          <w:spacing w:val="-8"/>
        </w:rPr>
        <w:t> </w:t>
      </w:r>
      <w:r>
        <w:rPr>
          <w:color w:val="231F20"/>
        </w:rPr>
        <w:t>agisce</w:t>
      </w:r>
      <w:r>
        <w:rPr>
          <w:color w:val="231F20"/>
          <w:spacing w:val="-8"/>
        </w:rPr>
        <w:t> </w:t>
      </w:r>
      <w:r>
        <w:rPr>
          <w:color w:val="231F20"/>
        </w:rPr>
        <w:t>in</w:t>
      </w:r>
      <w:r>
        <w:rPr>
          <w:color w:val="231F20"/>
          <w:spacing w:val="-8"/>
        </w:rPr>
        <w:t> </w:t>
      </w:r>
      <w:r>
        <w:rPr>
          <w:color w:val="231F20"/>
        </w:rPr>
        <w:t>quanto</w:t>
      </w:r>
      <w:r>
        <w:rPr>
          <w:color w:val="231F20"/>
          <w:spacing w:val="-8"/>
        </w:rPr>
        <w:t> </w:t>
      </w:r>
      <w:r>
        <w:rPr>
          <w:color w:val="231F20"/>
        </w:rPr>
        <w:t>modifica </w:t>
      </w:r>
      <w:r>
        <w:rPr>
          <w:color w:val="231F20"/>
          <w:spacing w:val="-3"/>
        </w:rPr>
        <w:t>l’identificazione</w:t>
      </w:r>
      <w:r>
        <w:rPr>
          <w:color w:val="231F20"/>
          <w:spacing w:val="-17"/>
        </w:rPr>
        <w:t> </w:t>
      </w:r>
      <w:r>
        <w:rPr>
          <w:color w:val="231F20"/>
          <w:spacing w:val="-3"/>
        </w:rPr>
        <w:t>stessa</w:t>
      </w:r>
      <w:r>
        <w:rPr>
          <w:color w:val="231F20"/>
          <w:spacing w:val="-17"/>
        </w:rPr>
        <w:t> </w:t>
      </w:r>
      <w:r>
        <w:rPr>
          <w:color w:val="231F20"/>
          <w:spacing w:val="-3"/>
        </w:rPr>
        <w:t>dello</w:t>
      </w:r>
      <w:r>
        <w:rPr>
          <w:color w:val="231F20"/>
          <w:spacing w:val="-17"/>
        </w:rPr>
        <w:t> </w:t>
      </w:r>
      <w:r>
        <w:rPr>
          <w:color w:val="231F20"/>
          <w:spacing w:val="-3"/>
        </w:rPr>
        <w:t>Stato</w:t>
      </w:r>
      <w:r>
        <w:rPr>
          <w:color w:val="231F20"/>
          <w:spacing w:val="-17"/>
        </w:rPr>
        <w:t> </w:t>
      </w:r>
      <w:r>
        <w:rPr>
          <w:color w:val="231F20"/>
        </w:rPr>
        <w:t>in</w:t>
      </w:r>
      <w:r>
        <w:rPr>
          <w:color w:val="231F20"/>
          <w:spacing w:val="-17"/>
        </w:rPr>
        <w:t> </w:t>
      </w:r>
      <w:r>
        <w:rPr>
          <w:color w:val="231F20"/>
          <w:spacing w:val="-3"/>
        </w:rPr>
        <w:t>base</w:t>
      </w:r>
      <w:r>
        <w:rPr>
          <w:color w:val="231F20"/>
          <w:spacing w:val="-17"/>
        </w:rPr>
        <w:t> </w:t>
      </w:r>
      <w:r>
        <w:rPr>
          <w:color w:val="231F20"/>
          <w:spacing w:val="-3"/>
        </w:rPr>
        <w:t>all’esperienza</w:t>
      </w:r>
      <w:r>
        <w:rPr>
          <w:color w:val="231F20"/>
          <w:spacing w:val="-17"/>
        </w:rPr>
        <w:t> </w:t>
      </w:r>
      <w:r>
        <w:rPr>
          <w:color w:val="231F20"/>
        </w:rPr>
        <w:t>che</w:t>
      </w:r>
      <w:r>
        <w:rPr>
          <w:color w:val="231F20"/>
          <w:spacing w:val="-17"/>
        </w:rPr>
        <w:t> </w:t>
      </w:r>
      <w:r>
        <w:rPr>
          <w:color w:val="231F20"/>
        </w:rPr>
        <w:t>di</w:t>
      </w:r>
      <w:r>
        <w:rPr>
          <w:color w:val="231F20"/>
          <w:spacing w:val="-17"/>
        </w:rPr>
        <w:t> </w:t>
      </w:r>
      <w:r>
        <w:rPr>
          <w:color w:val="231F20"/>
          <w:spacing w:val="-3"/>
        </w:rPr>
        <w:t>esso</w:t>
      </w:r>
      <w:r>
        <w:rPr>
          <w:color w:val="231F20"/>
          <w:spacing w:val="-17"/>
        </w:rPr>
        <w:t> </w:t>
      </w:r>
      <w:r>
        <w:rPr>
          <w:color w:val="231F20"/>
        </w:rPr>
        <w:t>si</w:t>
      </w:r>
      <w:r>
        <w:rPr>
          <w:color w:val="231F20"/>
          <w:spacing w:val="-17"/>
        </w:rPr>
        <w:t> </w:t>
      </w:r>
      <w:r>
        <w:rPr>
          <w:color w:val="231F20"/>
        </w:rPr>
        <w:t>è</w:t>
      </w:r>
      <w:r>
        <w:rPr>
          <w:color w:val="231F20"/>
          <w:spacing w:val="-17"/>
        </w:rPr>
        <w:t> </w:t>
      </w:r>
      <w:r>
        <w:rPr>
          <w:color w:val="231F20"/>
          <w:spacing w:val="-3"/>
        </w:rPr>
        <w:t>avuta. </w:t>
      </w:r>
      <w:r>
        <w:rPr>
          <w:color w:val="231F20"/>
        </w:rPr>
        <w:t>Le</w:t>
      </w:r>
      <w:r>
        <w:rPr>
          <w:color w:val="231F20"/>
          <w:spacing w:val="-21"/>
        </w:rPr>
        <w:t> </w:t>
      </w:r>
      <w:r>
        <w:rPr>
          <w:color w:val="231F20"/>
        </w:rPr>
        <w:t>distorsioni</w:t>
      </w:r>
      <w:r>
        <w:rPr>
          <w:color w:val="231F20"/>
          <w:spacing w:val="-21"/>
        </w:rPr>
        <w:t> </w:t>
      </w:r>
      <w:r>
        <w:rPr>
          <w:color w:val="231F20"/>
        </w:rPr>
        <w:t>all’interno</w:t>
      </w:r>
      <w:r>
        <w:rPr>
          <w:color w:val="231F20"/>
          <w:spacing w:val="-21"/>
        </w:rPr>
        <w:t> </w:t>
      </w:r>
      <w:r>
        <w:rPr>
          <w:color w:val="231F20"/>
        </w:rPr>
        <w:t>di</w:t>
      </w:r>
      <w:r>
        <w:rPr>
          <w:color w:val="231F20"/>
          <w:spacing w:val="-21"/>
        </w:rPr>
        <w:t> </w:t>
      </w:r>
      <w:r>
        <w:rPr>
          <w:color w:val="231F20"/>
        </w:rPr>
        <w:t>questo</w:t>
      </w:r>
      <w:r>
        <w:rPr>
          <w:color w:val="231F20"/>
          <w:spacing w:val="-21"/>
        </w:rPr>
        <w:t> </w:t>
      </w:r>
      <w:r>
        <w:rPr>
          <w:color w:val="231F20"/>
          <w:spacing w:val="-3"/>
        </w:rPr>
        <w:t>processo</w:t>
      </w:r>
      <w:r>
        <w:rPr>
          <w:color w:val="231F20"/>
          <w:spacing w:val="-21"/>
        </w:rPr>
        <w:t> </w:t>
      </w:r>
      <w:r>
        <w:rPr>
          <w:color w:val="231F20"/>
        </w:rPr>
        <w:t>fanno</w:t>
      </w:r>
      <w:r>
        <w:rPr>
          <w:color w:val="231F20"/>
          <w:spacing w:val="-21"/>
        </w:rPr>
        <w:t> </w:t>
      </w:r>
      <w:r>
        <w:rPr>
          <w:color w:val="231F20"/>
        </w:rPr>
        <w:t>sì</w:t>
      </w:r>
      <w:r>
        <w:rPr>
          <w:color w:val="231F20"/>
          <w:spacing w:val="-21"/>
        </w:rPr>
        <w:t> </w:t>
      </w:r>
      <w:r>
        <w:rPr>
          <w:color w:val="231F20"/>
        </w:rPr>
        <w:t>che</w:t>
      </w:r>
      <w:r>
        <w:rPr>
          <w:color w:val="231F20"/>
          <w:spacing w:val="-21"/>
        </w:rPr>
        <w:t> </w:t>
      </w:r>
      <w:r>
        <w:rPr>
          <w:color w:val="231F20"/>
        </w:rPr>
        <w:t>la</w:t>
      </w:r>
      <w:r>
        <w:rPr>
          <w:color w:val="231F20"/>
          <w:spacing w:val="-21"/>
        </w:rPr>
        <w:t> </w:t>
      </w:r>
      <w:r>
        <w:rPr>
          <w:color w:val="231F20"/>
        </w:rPr>
        <w:t>storia</w:t>
      </w:r>
      <w:r>
        <w:rPr>
          <w:color w:val="231F20"/>
          <w:spacing w:val="-21"/>
        </w:rPr>
        <w:t> </w:t>
      </w:r>
      <w:r>
        <w:rPr>
          <w:color w:val="231F20"/>
        </w:rPr>
        <w:t>non</w:t>
      </w:r>
      <w:r>
        <w:rPr>
          <w:color w:val="231F20"/>
          <w:spacing w:val="-21"/>
        </w:rPr>
        <w:t> </w:t>
      </w:r>
      <w:r>
        <w:rPr>
          <w:color w:val="231F20"/>
        </w:rPr>
        <w:t>funzioni più come fonte di legittimazione, ma serva spesso come delegittimazione dell’azione statale, facendola apparire letteralmente anacronistica, fino a mettere in dubbio che essa sia storicamente</w:t>
      </w:r>
      <w:r>
        <w:rPr>
          <w:color w:val="231F20"/>
          <w:spacing w:val="-10"/>
        </w:rPr>
        <w:t> </w:t>
      </w:r>
      <w:r>
        <w:rPr>
          <w:color w:val="231F20"/>
        </w:rPr>
        <w:t>necessaria</w:t>
      </w:r>
      <w:r>
        <w:rPr>
          <w:color w:val="231F20"/>
          <w:position w:val="7"/>
          <w:sz w:val="12"/>
        </w:rPr>
        <w:t>16</w:t>
      </w:r>
      <w:r>
        <w:rPr>
          <w:color w:val="231F20"/>
        </w:rPr>
        <w:t>.</w:t>
      </w:r>
    </w:p>
    <w:p>
      <w:pPr>
        <w:pStyle w:val="BodyText"/>
        <w:spacing w:line="247" w:lineRule="auto"/>
        <w:ind w:left="117" w:right="115" w:firstLine="566"/>
        <w:jc w:val="both"/>
      </w:pPr>
      <w:r>
        <w:rPr>
          <w:color w:val="231F20"/>
          <w:w w:val="105"/>
        </w:rPr>
        <w:t>Di fronte </w:t>
      </w:r>
      <w:r>
        <w:rPr>
          <w:color w:val="231F20"/>
          <w:spacing w:val="2"/>
          <w:w w:val="105"/>
        </w:rPr>
        <w:t>alle trasformazioni della </w:t>
      </w:r>
      <w:r>
        <w:rPr>
          <w:color w:val="231F20"/>
          <w:w w:val="105"/>
        </w:rPr>
        <w:t>sua </w:t>
      </w:r>
      <w:r>
        <w:rPr>
          <w:color w:val="231F20"/>
          <w:spacing w:val="2"/>
          <w:w w:val="105"/>
        </w:rPr>
        <w:t>geografia politica, </w:t>
      </w:r>
      <w:r>
        <w:rPr>
          <w:color w:val="231F20"/>
          <w:w w:val="105"/>
        </w:rPr>
        <w:t>lo </w:t>
      </w:r>
      <w:r>
        <w:rPr>
          <w:color w:val="231F20"/>
          <w:spacing w:val="3"/>
          <w:w w:val="105"/>
        </w:rPr>
        <w:t>Stato </w:t>
      </w:r>
      <w:r>
        <w:rPr>
          <w:color w:val="231F20"/>
          <w:w w:val="105"/>
        </w:rPr>
        <w:t>sembra</w:t>
      </w:r>
      <w:r>
        <w:rPr>
          <w:color w:val="231F20"/>
          <w:spacing w:val="-6"/>
          <w:w w:val="105"/>
        </w:rPr>
        <w:t> </w:t>
      </w:r>
      <w:r>
        <w:rPr>
          <w:color w:val="231F20"/>
          <w:w w:val="105"/>
        </w:rPr>
        <w:t>perciò</w:t>
      </w:r>
      <w:r>
        <w:rPr>
          <w:color w:val="231F20"/>
          <w:spacing w:val="-6"/>
          <w:w w:val="105"/>
        </w:rPr>
        <w:t> </w:t>
      </w:r>
      <w:r>
        <w:rPr>
          <w:color w:val="231F20"/>
          <w:w w:val="105"/>
        </w:rPr>
        <w:t>faticare</w:t>
      </w:r>
      <w:r>
        <w:rPr>
          <w:color w:val="231F20"/>
          <w:spacing w:val="-6"/>
          <w:w w:val="105"/>
        </w:rPr>
        <w:t> </w:t>
      </w:r>
      <w:r>
        <w:rPr>
          <w:color w:val="231F20"/>
          <w:w w:val="105"/>
        </w:rPr>
        <w:t>a</w:t>
      </w:r>
      <w:r>
        <w:rPr>
          <w:color w:val="231F20"/>
          <w:spacing w:val="-6"/>
          <w:w w:val="105"/>
        </w:rPr>
        <w:t> </w:t>
      </w:r>
      <w:r>
        <w:rPr>
          <w:color w:val="231F20"/>
          <w:w w:val="105"/>
        </w:rPr>
        <w:t>venire</w:t>
      </w:r>
      <w:r>
        <w:rPr>
          <w:color w:val="231F20"/>
          <w:spacing w:val="-6"/>
          <w:w w:val="105"/>
        </w:rPr>
        <w:t> </w:t>
      </w:r>
      <w:r>
        <w:rPr>
          <w:color w:val="231F20"/>
          <w:w w:val="105"/>
        </w:rPr>
        <w:t>a</w:t>
      </w:r>
      <w:r>
        <w:rPr>
          <w:color w:val="231F20"/>
          <w:spacing w:val="-6"/>
          <w:w w:val="105"/>
        </w:rPr>
        <w:t> </w:t>
      </w:r>
      <w:r>
        <w:rPr>
          <w:color w:val="231F20"/>
          <w:w w:val="105"/>
        </w:rPr>
        <w:t>capo</w:t>
      </w:r>
      <w:r>
        <w:rPr>
          <w:color w:val="231F20"/>
          <w:spacing w:val="-6"/>
          <w:w w:val="105"/>
        </w:rPr>
        <w:t> </w:t>
      </w:r>
      <w:r>
        <w:rPr>
          <w:color w:val="231F20"/>
          <w:w w:val="105"/>
        </w:rPr>
        <w:t>della</w:t>
      </w:r>
      <w:r>
        <w:rPr>
          <w:color w:val="231F20"/>
          <w:spacing w:val="-6"/>
          <w:w w:val="105"/>
        </w:rPr>
        <w:t> </w:t>
      </w:r>
      <w:r>
        <w:rPr>
          <w:color w:val="231F20"/>
          <w:w w:val="105"/>
        </w:rPr>
        <w:t>sua</w:t>
      </w:r>
      <w:r>
        <w:rPr>
          <w:color w:val="231F20"/>
          <w:spacing w:val="-6"/>
          <w:w w:val="105"/>
        </w:rPr>
        <w:t> </w:t>
      </w:r>
      <w:r>
        <w:rPr>
          <w:color w:val="231F20"/>
          <w:w w:val="105"/>
        </w:rPr>
        <w:t>storia,</w:t>
      </w:r>
      <w:r>
        <w:rPr>
          <w:color w:val="231F20"/>
          <w:spacing w:val="-6"/>
          <w:w w:val="105"/>
        </w:rPr>
        <w:t> </w:t>
      </w:r>
      <w:r>
        <w:rPr>
          <w:color w:val="231F20"/>
          <w:w w:val="105"/>
        </w:rPr>
        <w:t>non</w:t>
      </w:r>
      <w:r>
        <w:rPr>
          <w:color w:val="231F20"/>
          <w:spacing w:val="-6"/>
          <w:w w:val="105"/>
        </w:rPr>
        <w:t> </w:t>
      </w:r>
      <w:r>
        <w:rPr>
          <w:color w:val="231F20"/>
          <w:w w:val="105"/>
        </w:rPr>
        <w:t>riuscendo</w:t>
      </w:r>
      <w:r>
        <w:rPr>
          <w:color w:val="231F20"/>
          <w:spacing w:val="-6"/>
          <w:w w:val="105"/>
        </w:rPr>
        <w:t> </w:t>
      </w:r>
      <w:r>
        <w:rPr>
          <w:color w:val="231F20"/>
          <w:w w:val="105"/>
        </w:rPr>
        <w:t>a rappresentare</w:t>
      </w:r>
      <w:r>
        <w:rPr>
          <w:color w:val="231F20"/>
          <w:spacing w:val="-43"/>
          <w:w w:val="105"/>
        </w:rPr>
        <w:t> </w:t>
      </w:r>
      <w:r>
        <w:rPr>
          <w:color w:val="231F20"/>
          <w:w w:val="105"/>
        </w:rPr>
        <w:t>nel</w:t>
      </w:r>
      <w:r>
        <w:rPr>
          <w:color w:val="231F20"/>
          <w:spacing w:val="-43"/>
          <w:w w:val="105"/>
        </w:rPr>
        <w:t> </w:t>
      </w:r>
      <w:r>
        <w:rPr>
          <w:color w:val="231F20"/>
          <w:w w:val="105"/>
        </w:rPr>
        <w:t>tempo</w:t>
      </w:r>
      <w:r>
        <w:rPr>
          <w:color w:val="231F20"/>
          <w:spacing w:val="-43"/>
          <w:w w:val="105"/>
        </w:rPr>
        <w:t> </w:t>
      </w:r>
      <w:r>
        <w:rPr>
          <w:color w:val="231F20"/>
          <w:w w:val="105"/>
        </w:rPr>
        <w:t>un</w:t>
      </w:r>
      <w:r>
        <w:rPr>
          <w:color w:val="231F20"/>
          <w:spacing w:val="-43"/>
          <w:w w:val="105"/>
        </w:rPr>
        <w:t> </w:t>
      </w:r>
      <w:r>
        <w:rPr>
          <w:color w:val="231F20"/>
          <w:w w:val="105"/>
        </w:rPr>
        <w:t>principio</w:t>
      </w:r>
      <w:r>
        <w:rPr>
          <w:color w:val="231F20"/>
          <w:spacing w:val="-43"/>
          <w:w w:val="105"/>
        </w:rPr>
        <w:t> </w:t>
      </w:r>
      <w:r>
        <w:rPr>
          <w:color w:val="231F20"/>
          <w:w w:val="105"/>
        </w:rPr>
        <w:t>di</w:t>
      </w:r>
      <w:r>
        <w:rPr>
          <w:color w:val="231F20"/>
          <w:spacing w:val="-43"/>
          <w:w w:val="105"/>
        </w:rPr>
        <w:t> </w:t>
      </w:r>
      <w:r>
        <w:rPr>
          <w:color w:val="231F20"/>
          <w:w w:val="105"/>
        </w:rPr>
        <w:t>autorità</w:t>
      </w:r>
      <w:r>
        <w:rPr>
          <w:color w:val="231F20"/>
          <w:spacing w:val="-43"/>
          <w:w w:val="105"/>
        </w:rPr>
        <w:t> </w:t>
      </w:r>
      <w:r>
        <w:rPr>
          <w:color w:val="231F20"/>
          <w:w w:val="105"/>
        </w:rPr>
        <w:t>in</w:t>
      </w:r>
      <w:r>
        <w:rPr>
          <w:color w:val="231F20"/>
          <w:spacing w:val="-43"/>
          <w:w w:val="105"/>
        </w:rPr>
        <w:t> </w:t>
      </w:r>
      <w:r>
        <w:rPr>
          <w:color w:val="231F20"/>
          <w:w w:val="105"/>
        </w:rPr>
        <w:t>qualche</w:t>
      </w:r>
      <w:r>
        <w:rPr>
          <w:color w:val="231F20"/>
          <w:spacing w:val="-43"/>
          <w:w w:val="105"/>
        </w:rPr>
        <w:t> </w:t>
      </w:r>
      <w:r>
        <w:rPr>
          <w:color w:val="231F20"/>
          <w:w w:val="105"/>
        </w:rPr>
        <w:t>modo</w:t>
      </w:r>
      <w:r>
        <w:rPr>
          <w:color w:val="231F20"/>
          <w:spacing w:val="-43"/>
          <w:w w:val="105"/>
        </w:rPr>
        <w:t> </w:t>
      </w:r>
      <w:r>
        <w:rPr>
          <w:color w:val="231F20"/>
          <w:w w:val="105"/>
        </w:rPr>
        <w:t>superiore a</w:t>
      </w:r>
      <w:r>
        <w:rPr>
          <w:color w:val="231F20"/>
          <w:spacing w:val="-48"/>
          <w:w w:val="105"/>
        </w:rPr>
        <w:t> </w:t>
      </w:r>
      <w:r>
        <w:rPr>
          <w:color w:val="231F20"/>
          <w:w w:val="105"/>
        </w:rPr>
        <w:t>quello</w:t>
      </w:r>
      <w:r>
        <w:rPr>
          <w:color w:val="231F20"/>
          <w:spacing w:val="-48"/>
          <w:w w:val="105"/>
        </w:rPr>
        <w:t> </w:t>
      </w:r>
      <w:r>
        <w:rPr>
          <w:color w:val="231F20"/>
          <w:w w:val="105"/>
        </w:rPr>
        <w:t>di</w:t>
      </w:r>
      <w:r>
        <w:rPr>
          <w:color w:val="231F20"/>
          <w:spacing w:val="-48"/>
          <w:w w:val="105"/>
        </w:rPr>
        <w:t> </w:t>
      </w:r>
      <w:r>
        <w:rPr>
          <w:color w:val="231F20"/>
          <w:spacing w:val="-3"/>
          <w:w w:val="105"/>
        </w:rPr>
        <w:t>altre</w:t>
      </w:r>
      <w:r>
        <w:rPr>
          <w:color w:val="231F20"/>
          <w:spacing w:val="-48"/>
          <w:w w:val="105"/>
        </w:rPr>
        <w:t> </w:t>
      </w:r>
      <w:r>
        <w:rPr>
          <w:color w:val="231F20"/>
          <w:w w:val="105"/>
        </w:rPr>
        <w:t>istituzioni</w:t>
      </w:r>
      <w:r>
        <w:rPr>
          <w:color w:val="231F20"/>
          <w:w w:val="105"/>
          <w:position w:val="7"/>
          <w:sz w:val="12"/>
        </w:rPr>
        <w:t>17</w:t>
      </w:r>
      <w:r>
        <w:rPr>
          <w:color w:val="231F20"/>
          <w:w w:val="105"/>
        </w:rPr>
        <w:t>.</w:t>
      </w:r>
      <w:r>
        <w:rPr>
          <w:color w:val="231F20"/>
          <w:spacing w:val="-48"/>
          <w:w w:val="105"/>
        </w:rPr>
        <w:t> </w:t>
      </w:r>
      <w:r>
        <w:rPr>
          <w:color w:val="231F20"/>
          <w:w w:val="105"/>
        </w:rPr>
        <w:t>La</w:t>
      </w:r>
      <w:r>
        <w:rPr>
          <w:color w:val="231F20"/>
          <w:spacing w:val="-48"/>
          <w:w w:val="105"/>
        </w:rPr>
        <w:t> </w:t>
      </w:r>
      <w:r>
        <w:rPr>
          <w:color w:val="231F20"/>
          <w:spacing w:val="-3"/>
          <w:w w:val="105"/>
        </w:rPr>
        <w:t>problematica</w:t>
      </w:r>
      <w:r>
        <w:rPr>
          <w:color w:val="231F20"/>
          <w:spacing w:val="-48"/>
          <w:w w:val="105"/>
        </w:rPr>
        <w:t> </w:t>
      </w:r>
      <w:r>
        <w:rPr>
          <w:color w:val="231F20"/>
          <w:w w:val="105"/>
        </w:rPr>
        <w:t>coniugazione</w:t>
      </w:r>
      <w:r>
        <w:rPr>
          <w:color w:val="231F20"/>
          <w:spacing w:val="-48"/>
          <w:w w:val="105"/>
        </w:rPr>
        <w:t> </w:t>
      </w:r>
      <w:r>
        <w:rPr>
          <w:color w:val="231F20"/>
          <w:w w:val="105"/>
        </w:rPr>
        <w:t>della</w:t>
      </w:r>
      <w:r>
        <w:rPr>
          <w:color w:val="231F20"/>
          <w:spacing w:val="-48"/>
          <w:w w:val="105"/>
        </w:rPr>
        <w:t> </w:t>
      </w:r>
      <w:r>
        <w:rPr>
          <w:color w:val="231F20"/>
          <w:w w:val="105"/>
        </w:rPr>
        <w:t>storia</w:t>
      </w:r>
      <w:r>
        <w:rPr>
          <w:color w:val="231F20"/>
          <w:spacing w:val="-48"/>
          <w:w w:val="105"/>
        </w:rPr>
        <w:t> </w:t>
      </w:r>
      <w:r>
        <w:rPr>
          <w:color w:val="231F20"/>
          <w:w w:val="105"/>
        </w:rPr>
        <w:t>e</w:t>
      </w:r>
      <w:r>
        <w:rPr>
          <w:color w:val="231F20"/>
          <w:spacing w:val="-48"/>
          <w:w w:val="105"/>
        </w:rPr>
        <w:t> </w:t>
      </w:r>
      <w:r>
        <w:rPr>
          <w:color w:val="231F20"/>
          <w:w w:val="105"/>
        </w:rPr>
        <w:t>della geografia</w:t>
      </w:r>
      <w:r>
        <w:rPr>
          <w:color w:val="231F20"/>
          <w:spacing w:val="-17"/>
          <w:w w:val="105"/>
        </w:rPr>
        <w:t> </w:t>
      </w:r>
      <w:r>
        <w:rPr>
          <w:color w:val="231F20"/>
          <w:w w:val="105"/>
        </w:rPr>
        <w:t>dello</w:t>
      </w:r>
      <w:r>
        <w:rPr>
          <w:color w:val="231F20"/>
          <w:spacing w:val="-17"/>
          <w:w w:val="105"/>
        </w:rPr>
        <w:t> </w:t>
      </w:r>
      <w:r>
        <w:rPr>
          <w:color w:val="231F20"/>
          <w:w w:val="105"/>
        </w:rPr>
        <w:t>Stato</w:t>
      </w:r>
      <w:r>
        <w:rPr>
          <w:color w:val="231F20"/>
          <w:spacing w:val="-17"/>
          <w:w w:val="105"/>
        </w:rPr>
        <w:t> </w:t>
      </w:r>
      <w:r>
        <w:rPr>
          <w:color w:val="231F20"/>
          <w:w w:val="105"/>
        </w:rPr>
        <w:t>rivela</w:t>
      </w:r>
      <w:r>
        <w:rPr>
          <w:color w:val="231F20"/>
          <w:spacing w:val="-17"/>
          <w:w w:val="105"/>
        </w:rPr>
        <w:t> </w:t>
      </w:r>
      <w:r>
        <w:rPr>
          <w:color w:val="231F20"/>
          <w:w w:val="105"/>
        </w:rPr>
        <w:t>in</w:t>
      </w:r>
      <w:r>
        <w:rPr>
          <w:color w:val="231F20"/>
          <w:spacing w:val="-17"/>
          <w:w w:val="105"/>
        </w:rPr>
        <w:t> </w:t>
      </w:r>
      <w:r>
        <w:rPr>
          <w:color w:val="231F20"/>
          <w:w w:val="105"/>
        </w:rPr>
        <w:t>altri</w:t>
      </w:r>
      <w:r>
        <w:rPr>
          <w:color w:val="231F20"/>
          <w:spacing w:val="-17"/>
          <w:w w:val="105"/>
        </w:rPr>
        <w:t> </w:t>
      </w:r>
      <w:r>
        <w:rPr>
          <w:color w:val="231F20"/>
          <w:w w:val="105"/>
        </w:rPr>
        <w:t>termini</w:t>
      </w:r>
      <w:r>
        <w:rPr>
          <w:color w:val="231F20"/>
          <w:spacing w:val="-17"/>
          <w:w w:val="105"/>
        </w:rPr>
        <w:t> </w:t>
      </w:r>
      <w:r>
        <w:rPr>
          <w:color w:val="231F20"/>
          <w:w w:val="105"/>
        </w:rPr>
        <w:t>la</w:t>
      </w:r>
      <w:r>
        <w:rPr>
          <w:color w:val="231F20"/>
          <w:spacing w:val="-17"/>
          <w:w w:val="105"/>
        </w:rPr>
        <w:t> </w:t>
      </w:r>
      <w:r>
        <w:rPr>
          <w:color w:val="231F20"/>
          <w:w w:val="105"/>
        </w:rPr>
        <w:t>sua</w:t>
      </w:r>
      <w:r>
        <w:rPr>
          <w:color w:val="231F20"/>
          <w:spacing w:val="-17"/>
          <w:w w:val="105"/>
        </w:rPr>
        <w:t> </w:t>
      </w:r>
      <w:r>
        <w:rPr>
          <w:color w:val="231F20"/>
          <w:w w:val="105"/>
        </w:rPr>
        <w:t>altrettanto</w:t>
      </w:r>
      <w:r>
        <w:rPr>
          <w:color w:val="231F20"/>
          <w:spacing w:val="-16"/>
          <w:w w:val="105"/>
        </w:rPr>
        <w:t> </w:t>
      </w:r>
      <w:r>
        <w:rPr>
          <w:color w:val="231F20"/>
          <w:w w:val="105"/>
        </w:rPr>
        <w:t>problematica </w:t>
      </w:r>
      <w:r>
        <w:rPr>
          <w:color w:val="231F20"/>
          <w:spacing w:val="3"/>
          <w:w w:val="105"/>
        </w:rPr>
        <w:t>genealogia, mostrando complessivamente </w:t>
      </w:r>
      <w:r>
        <w:rPr>
          <w:color w:val="231F20"/>
          <w:w w:val="105"/>
        </w:rPr>
        <w:t>il </w:t>
      </w:r>
      <w:r>
        <w:rPr>
          <w:color w:val="231F20"/>
          <w:spacing w:val="3"/>
          <w:w w:val="105"/>
        </w:rPr>
        <w:t>“carattere contingente </w:t>
      </w:r>
      <w:r>
        <w:rPr>
          <w:color w:val="231F20"/>
          <w:w w:val="105"/>
        </w:rPr>
        <w:t>e opinabile</w:t>
      </w:r>
      <w:r>
        <w:rPr>
          <w:color w:val="231F20"/>
          <w:spacing w:val="-25"/>
          <w:w w:val="105"/>
        </w:rPr>
        <w:t> </w:t>
      </w:r>
      <w:r>
        <w:rPr>
          <w:color w:val="231F20"/>
          <w:w w:val="105"/>
        </w:rPr>
        <w:t>del</w:t>
      </w:r>
      <w:r>
        <w:rPr>
          <w:color w:val="231F20"/>
          <w:spacing w:val="-25"/>
          <w:w w:val="105"/>
        </w:rPr>
        <w:t> </w:t>
      </w:r>
      <w:r>
        <w:rPr>
          <w:color w:val="231F20"/>
          <w:w w:val="105"/>
        </w:rPr>
        <w:t>concetto”</w:t>
      </w:r>
      <w:r>
        <w:rPr>
          <w:color w:val="231F20"/>
          <w:w w:val="105"/>
          <w:position w:val="7"/>
          <w:sz w:val="12"/>
        </w:rPr>
        <w:t>18</w:t>
      </w:r>
      <w:r>
        <w:rPr>
          <w:color w:val="231F20"/>
          <w:w w:val="105"/>
        </w:rPr>
        <w:t>.</w:t>
      </w:r>
      <w:r>
        <w:rPr>
          <w:color w:val="231F20"/>
          <w:spacing w:val="-25"/>
          <w:w w:val="105"/>
        </w:rPr>
        <w:t> </w:t>
      </w:r>
      <w:r>
        <w:rPr>
          <w:color w:val="231F20"/>
          <w:w w:val="105"/>
        </w:rPr>
        <w:t>All’interno</w:t>
      </w:r>
      <w:r>
        <w:rPr>
          <w:color w:val="231F20"/>
          <w:spacing w:val="-25"/>
          <w:w w:val="105"/>
        </w:rPr>
        <w:t> </w:t>
      </w:r>
      <w:r>
        <w:rPr>
          <w:color w:val="231F20"/>
          <w:w w:val="105"/>
        </w:rPr>
        <w:t>della</w:t>
      </w:r>
      <w:r>
        <w:rPr>
          <w:color w:val="231F20"/>
          <w:spacing w:val="-25"/>
          <w:w w:val="105"/>
        </w:rPr>
        <w:t> </w:t>
      </w:r>
      <w:r>
        <w:rPr>
          <w:color w:val="231F20"/>
          <w:w w:val="105"/>
        </w:rPr>
        <w:t>genealogia</w:t>
      </w:r>
      <w:r>
        <w:rPr>
          <w:color w:val="231F20"/>
          <w:spacing w:val="-25"/>
          <w:w w:val="105"/>
        </w:rPr>
        <w:t> </w:t>
      </w:r>
      <w:r>
        <w:rPr>
          <w:color w:val="231F20"/>
          <w:w w:val="105"/>
        </w:rPr>
        <w:t>dello</w:t>
      </w:r>
      <w:r>
        <w:rPr>
          <w:color w:val="231F20"/>
          <w:spacing w:val="-25"/>
          <w:w w:val="105"/>
        </w:rPr>
        <w:t> </w:t>
      </w:r>
      <w:r>
        <w:rPr>
          <w:color w:val="231F20"/>
          <w:w w:val="105"/>
        </w:rPr>
        <w:t>Stato</w:t>
      </w:r>
      <w:r>
        <w:rPr>
          <w:color w:val="231F20"/>
          <w:spacing w:val="-25"/>
          <w:w w:val="105"/>
        </w:rPr>
        <w:t> </w:t>
      </w:r>
      <w:r>
        <w:rPr>
          <w:color w:val="231F20"/>
          <w:w w:val="105"/>
        </w:rPr>
        <w:t>l’impatto della</w:t>
      </w:r>
      <w:r>
        <w:rPr>
          <w:color w:val="231F20"/>
          <w:spacing w:val="-7"/>
          <w:w w:val="105"/>
        </w:rPr>
        <w:t> </w:t>
      </w:r>
      <w:r>
        <w:rPr>
          <w:color w:val="231F20"/>
          <w:w w:val="105"/>
        </w:rPr>
        <w:t>geografia</w:t>
      </w:r>
      <w:r>
        <w:rPr>
          <w:color w:val="231F20"/>
          <w:spacing w:val="-7"/>
          <w:w w:val="105"/>
        </w:rPr>
        <w:t> </w:t>
      </w:r>
      <w:r>
        <w:rPr>
          <w:color w:val="231F20"/>
          <w:w w:val="105"/>
        </w:rPr>
        <w:t>non</w:t>
      </w:r>
      <w:r>
        <w:rPr>
          <w:color w:val="231F20"/>
          <w:spacing w:val="-7"/>
          <w:w w:val="105"/>
        </w:rPr>
        <w:t> </w:t>
      </w:r>
      <w:r>
        <w:rPr>
          <w:color w:val="231F20"/>
          <w:w w:val="105"/>
        </w:rPr>
        <w:t>può</w:t>
      </w:r>
      <w:r>
        <w:rPr>
          <w:color w:val="231F20"/>
          <w:spacing w:val="-7"/>
          <w:w w:val="105"/>
        </w:rPr>
        <w:t> </w:t>
      </w:r>
      <w:r>
        <w:rPr>
          <w:color w:val="231F20"/>
          <w:w w:val="105"/>
        </w:rPr>
        <w:t>più</w:t>
      </w:r>
      <w:r>
        <w:rPr>
          <w:color w:val="231F20"/>
          <w:spacing w:val="-7"/>
          <w:w w:val="105"/>
        </w:rPr>
        <w:t> </w:t>
      </w:r>
      <w:r>
        <w:rPr>
          <w:color w:val="231F20"/>
          <w:w w:val="105"/>
        </w:rPr>
        <w:t>essere</w:t>
      </w:r>
      <w:r>
        <w:rPr>
          <w:color w:val="231F20"/>
          <w:spacing w:val="-7"/>
          <w:w w:val="105"/>
        </w:rPr>
        <w:t> </w:t>
      </w:r>
      <w:r>
        <w:rPr>
          <w:color w:val="231F20"/>
          <w:w w:val="105"/>
        </w:rPr>
        <w:t>ricondotto</w:t>
      </w:r>
      <w:r>
        <w:rPr>
          <w:color w:val="231F20"/>
          <w:spacing w:val="-7"/>
          <w:w w:val="105"/>
        </w:rPr>
        <w:t> </w:t>
      </w:r>
      <w:r>
        <w:rPr>
          <w:color w:val="231F20"/>
          <w:w w:val="105"/>
        </w:rPr>
        <w:t>e</w:t>
      </w:r>
      <w:r>
        <w:rPr>
          <w:color w:val="231F20"/>
          <w:spacing w:val="-7"/>
          <w:w w:val="105"/>
        </w:rPr>
        <w:t> </w:t>
      </w:r>
      <w:r>
        <w:rPr>
          <w:color w:val="231F20"/>
          <w:w w:val="105"/>
        </w:rPr>
        <w:t>limitato</w:t>
      </w:r>
      <w:r>
        <w:rPr>
          <w:color w:val="231F20"/>
          <w:spacing w:val="-7"/>
          <w:w w:val="105"/>
        </w:rPr>
        <w:t> </w:t>
      </w:r>
      <w:r>
        <w:rPr>
          <w:color w:val="231F20"/>
          <w:w w:val="105"/>
        </w:rPr>
        <w:t>meramente</w:t>
      </w:r>
      <w:r>
        <w:rPr>
          <w:color w:val="231F20"/>
          <w:spacing w:val="-7"/>
          <w:w w:val="105"/>
        </w:rPr>
        <w:t> </w:t>
      </w:r>
      <w:r>
        <w:rPr>
          <w:color w:val="231F20"/>
          <w:w w:val="105"/>
        </w:rPr>
        <w:t>alle differenti</w:t>
      </w:r>
      <w:r>
        <w:rPr>
          <w:color w:val="231F20"/>
          <w:spacing w:val="-26"/>
          <w:w w:val="105"/>
        </w:rPr>
        <w:t> </w:t>
      </w:r>
      <w:r>
        <w:rPr>
          <w:color w:val="231F20"/>
          <w:w w:val="105"/>
        </w:rPr>
        <w:t>manifestazioni</w:t>
      </w:r>
      <w:r>
        <w:rPr>
          <w:color w:val="231F20"/>
          <w:spacing w:val="-26"/>
          <w:w w:val="105"/>
        </w:rPr>
        <w:t> </w:t>
      </w:r>
      <w:r>
        <w:rPr>
          <w:color w:val="231F20"/>
          <w:w w:val="105"/>
        </w:rPr>
        <w:t>nazionali</w:t>
      </w:r>
      <w:r>
        <w:rPr>
          <w:color w:val="231F20"/>
          <w:spacing w:val="-26"/>
          <w:w w:val="105"/>
        </w:rPr>
        <w:t> </w:t>
      </w:r>
      <w:r>
        <w:rPr>
          <w:color w:val="231F20"/>
          <w:w w:val="105"/>
        </w:rPr>
        <w:t>che</w:t>
      </w:r>
      <w:r>
        <w:rPr>
          <w:color w:val="231F20"/>
          <w:spacing w:val="-26"/>
          <w:w w:val="105"/>
        </w:rPr>
        <w:t> </w:t>
      </w:r>
      <w:r>
        <w:rPr>
          <w:color w:val="231F20"/>
          <w:w w:val="105"/>
        </w:rPr>
        <w:t>il</w:t>
      </w:r>
      <w:r>
        <w:rPr>
          <w:color w:val="231F20"/>
          <w:spacing w:val="-26"/>
          <w:w w:val="105"/>
        </w:rPr>
        <w:t> </w:t>
      </w:r>
      <w:r>
        <w:rPr>
          <w:color w:val="231F20"/>
          <w:w w:val="105"/>
        </w:rPr>
        <w:t>concetto</w:t>
      </w:r>
      <w:r>
        <w:rPr>
          <w:color w:val="231F20"/>
          <w:spacing w:val="-26"/>
          <w:w w:val="105"/>
        </w:rPr>
        <w:t> </w:t>
      </w:r>
      <w:r>
        <w:rPr>
          <w:color w:val="231F20"/>
          <w:w w:val="105"/>
        </w:rPr>
        <w:t>di</w:t>
      </w:r>
      <w:r>
        <w:rPr>
          <w:color w:val="231F20"/>
          <w:spacing w:val="-26"/>
          <w:w w:val="105"/>
        </w:rPr>
        <w:t> </w:t>
      </w:r>
      <w:r>
        <w:rPr>
          <w:color w:val="231F20"/>
          <w:w w:val="105"/>
        </w:rPr>
        <w:t>Stato</w:t>
      </w:r>
      <w:r>
        <w:rPr>
          <w:color w:val="231F20"/>
          <w:spacing w:val="-26"/>
          <w:w w:val="105"/>
        </w:rPr>
        <w:t> </w:t>
      </w:r>
      <w:r>
        <w:rPr>
          <w:color w:val="231F20"/>
          <w:w w:val="105"/>
        </w:rPr>
        <w:t>ha</w:t>
      </w:r>
      <w:r>
        <w:rPr>
          <w:color w:val="231F20"/>
          <w:spacing w:val="-26"/>
          <w:w w:val="105"/>
        </w:rPr>
        <w:t> </w:t>
      </w:r>
      <w:r>
        <w:rPr>
          <w:color w:val="231F20"/>
          <w:w w:val="105"/>
        </w:rPr>
        <w:t>avuto.</w:t>
      </w:r>
      <w:r>
        <w:rPr>
          <w:color w:val="231F20"/>
          <w:spacing w:val="-26"/>
          <w:w w:val="105"/>
        </w:rPr>
        <w:t> </w:t>
      </w:r>
      <w:r>
        <w:rPr>
          <w:color w:val="231F20"/>
          <w:w w:val="105"/>
        </w:rPr>
        <w:t>Non</w:t>
      </w:r>
      <w:r>
        <w:rPr>
          <w:color w:val="231F20"/>
          <w:spacing w:val="-26"/>
          <w:w w:val="105"/>
        </w:rPr>
        <w:t> </w:t>
      </w:r>
      <w:r>
        <w:rPr>
          <w:color w:val="231F20"/>
          <w:w w:val="105"/>
        </w:rPr>
        <w:t>si tratta</w:t>
      </w:r>
      <w:r>
        <w:rPr>
          <w:color w:val="231F20"/>
          <w:spacing w:val="-49"/>
          <w:w w:val="105"/>
        </w:rPr>
        <w:t> </w:t>
      </w:r>
      <w:r>
        <w:rPr>
          <w:color w:val="231F20"/>
          <w:w w:val="105"/>
        </w:rPr>
        <w:t>di</w:t>
      </w:r>
      <w:r>
        <w:rPr>
          <w:color w:val="231F20"/>
          <w:spacing w:val="-49"/>
          <w:w w:val="105"/>
        </w:rPr>
        <w:t> </w:t>
      </w:r>
      <w:r>
        <w:rPr>
          <w:color w:val="231F20"/>
          <w:w w:val="105"/>
        </w:rPr>
        <w:t>comparare,</w:t>
      </w:r>
      <w:r>
        <w:rPr>
          <w:color w:val="231F20"/>
          <w:spacing w:val="-49"/>
          <w:w w:val="105"/>
        </w:rPr>
        <w:t> </w:t>
      </w:r>
      <w:r>
        <w:rPr>
          <w:color w:val="231F20"/>
          <w:w w:val="105"/>
        </w:rPr>
        <w:t>e</w:t>
      </w:r>
      <w:r>
        <w:rPr>
          <w:color w:val="231F20"/>
          <w:spacing w:val="-49"/>
          <w:w w:val="105"/>
        </w:rPr>
        <w:t> </w:t>
      </w:r>
      <w:r>
        <w:rPr>
          <w:color w:val="231F20"/>
          <w:w w:val="105"/>
        </w:rPr>
        <w:t>in</w:t>
      </w:r>
      <w:r>
        <w:rPr>
          <w:color w:val="231F20"/>
          <w:spacing w:val="-49"/>
          <w:w w:val="105"/>
        </w:rPr>
        <w:t> </w:t>
      </w:r>
      <w:r>
        <w:rPr>
          <w:color w:val="231F20"/>
          <w:w w:val="105"/>
        </w:rPr>
        <w:t>ultima</w:t>
      </w:r>
      <w:r>
        <w:rPr>
          <w:color w:val="231F20"/>
          <w:spacing w:val="-49"/>
          <w:w w:val="105"/>
        </w:rPr>
        <w:t> </w:t>
      </w:r>
      <w:r>
        <w:rPr>
          <w:color w:val="231F20"/>
          <w:w w:val="105"/>
        </w:rPr>
        <w:t>analisi</w:t>
      </w:r>
      <w:r>
        <w:rPr>
          <w:color w:val="231F20"/>
          <w:spacing w:val="-49"/>
          <w:w w:val="105"/>
        </w:rPr>
        <w:t> </w:t>
      </w:r>
      <w:r>
        <w:rPr>
          <w:color w:val="231F20"/>
          <w:w w:val="105"/>
        </w:rPr>
        <w:t>di</w:t>
      </w:r>
      <w:r>
        <w:rPr>
          <w:color w:val="231F20"/>
          <w:spacing w:val="-49"/>
          <w:w w:val="105"/>
        </w:rPr>
        <w:t> </w:t>
      </w:r>
      <w:r>
        <w:rPr>
          <w:color w:val="231F20"/>
          <w:w w:val="105"/>
        </w:rPr>
        <w:t>accordare,</w:t>
      </w:r>
      <w:r>
        <w:rPr>
          <w:color w:val="231F20"/>
          <w:spacing w:val="-49"/>
          <w:w w:val="105"/>
        </w:rPr>
        <w:t> </w:t>
      </w:r>
      <w:r>
        <w:rPr>
          <w:color w:val="231F20"/>
          <w:w w:val="105"/>
        </w:rPr>
        <w:t>una</w:t>
      </w:r>
      <w:r>
        <w:rPr>
          <w:color w:val="231F20"/>
          <w:spacing w:val="-49"/>
          <w:w w:val="105"/>
        </w:rPr>
        <w:t> </w:t>
      </w:r>
      <w:r>
        <w:rPr>
          <w:color w:val="231F20"/>
          <w:w w:val="105"/>
        </w:rPr>
        <w:t>pluralità</w:t>
      </w:r>
      <w:r>
        <w:rPr>
          <w:color w:val="231F20"/>
          <w:spacing w:val="-49"/>
          <w:w w:val="105"/>
        </w:rPr>
        <w:t> </w:t>
      </w:r>
      <w:r>
        <w:rPr>
          <w:color w:val="231F20"/>
          <w:w w:val="105"/>
        </w:rPr>
        <w:t>delle</w:t>
      </w:r>
      <w:r>
        <w:rPr>
          <w:color w:val="231F20"/>
          <w:spacing w:val="-49"/>
          <w:w w:val="105"/>
        </w:rPr>
        <w:t> </w:t>
      </w:r>
      <w:r>
        <w:rPr>
          <w:color w:val="231F20"/>
          <w:w w:val="105"/>
        </w:rPr>
        <w:t>forme concrete</w:t>
      </w:r>
      <w:r>
        <w:rPr>
          <w:color w:val="231F20"/>
          <w:spacing w:val="-16"/>
          <w:w w:val="105"/>
        </w:rPr>
        <w:t> </w:t>
      </w:r>
      <w:r>
        <w:rPr>
          <w:color w:val="231F20"/>
          <w:w w:val="105"/>
        </w:rPr>
        <w:t>assunte</w:t>
      </w:r>
      <w:r>
        <w:rPr>
          <w:color w:val="231F20"/>
          <w:spacing w:val="-16"/>
          <w:w w:val="105"/>
        </w:rPr>
        <w:t> </w:t>
      </w:r>
      <w:r>
        <w:rPr>
          <w:color w:val="231F20"/>
          <w:w w:val="105"/>
        </w:rPr>
        <w:t>dallo</w:t>
      </w:r>
      <w:r>
        <w:rPr>
          <w:color w:val="231F20"/>
          <w:spacing w:val="-16"/>
          <w:w w:val="105"/>
        </w:rPr>
        <w:t> </w:t>
      </w:r>
      <w:r>
        <w:rPr>
          <w:color w:val="231F20"/>
          <w:w w:val="105"/>
        </w:rPr>
        <w:t>Stato</w:t>
      </w:r>
      <w:r>
        <w:rPr>
          <w:color w:val="231F20"/>
          <w:spacing w:val="-16"/>
          <w:w w:val="105"/>
        </w:rPr>
        <w:t> </w:t>
      </w:r>
      <w:r>
        <w:rPr>
          <w:color w:val="231F20"/>
          <w:w w:val="105"/>
        </w:rPr>
        <w:t>al</w:t>
      </w:r>
      <w:r>
        <w:rPr>
          <w:color w:val="231F20"/>
          <w:spacing w:val="-16"/>
          <w:w w:val="105"/>
        </w:rPr>
        <w:t> </w:t>
      </w:r>
      <w:r>
        <w:rPr>
          <w:color w:val="231F20"/>
          <w:w w:val="105"/>
        </w:rPr>
        <w:t>fine</w:t>
      </w:r>
      <w:r>
        <w:rPr>
          <w:color w:val="231F20"/>
          <w:spacing w:val="-16"/>
          <w:w w:val="105"/>
        </w:rPr>
        <w:t> </w:t>
      </w:r>
      <w:r>
        <w:rPr>
          <w:color w:val="231F20"/>
          <w:w w:val="105"/>
        </w:rPr>
        <w:t>di</w:t>
      </w:r>
      <w:r>
        <w:rPr>
          <w:color w:val="231F20"/>
          <w:spacing w:val="-16"/>
          <w:w w:val="105"/>
        </w:rPr>
        <w:t> </w:t>
      </w:r>
      <w:r>
        <w:rPr>
          <w:color w:val="231F20"/>
          <w:w w:val="105"/>
        </w:rPr>
        <w:t>riaffermare,</w:t>
      </w:r>
      <w:r>
        <w:rPr>
          <w:color w:val="231F20"/>
          <w:spacing w:val="-16"/>
          <w:w w:val="105"/>
        </w:rPr>
        <w:t> </w:t>
      </w:r>
      <w:r>
        <w:rPr>
          <w:color w:val="231F20"/>
          <w:w w:val="105"/>
        </w:rPr>
        <w:t>grazie</w:t>
      </w:r>
      <w:r>
        <w:rPr>
          <w:color w:val="231F20"/>
          <w:spacing w:val="-16"/>
          <w:w w:val="105"/>
        </w:rPr>
        <w:t> </w:t>
      </w:r>
      <w:r>
        <w:rPr>
          <w:color w:val="231F20"/>
          <w:w w:val="105"/>
        </w:rPr>
        <w:t>alla</w:t>
      </w:r>
      <w:r>
        <w:rPr>
          <w:color w:val="231F20"/>
          <w:spacing w:val="-16"/>
          <w:w w:val="105"/>
        </w:rPr>
        <w:t> </w:t>
      </w:r>
      <w:r>
        <w:rPr>
          <w:color w:val="231F20"/>
          <w:w w:val="105"/>
        </w:rPr>
        <w:t>teoria</w:t>
      </w:r>
      <w:r>
        <w:rPr>
          <w:color w:val="231F20"/>
          <w:spacing w:val="-16"/>
          <w:w w:val="105"/>
        </w:rPr>
        <w:t> </w:t>
      </w:r>
      <w:r>
        <w:rPr>
          <w:color w:val="231F20"/>
          <w:w w:val="105"/>
        </w:rPr>
        <w:t>della finzione,</w:t>
      </w:r>
      <w:r>
        <w:rPr>
          <w:color w:val="231F20"/>
          <w:spacing w:val="-8"/>
          <w:w w:val="105"/>
        </w:rPr>
        <w:t> </w:t>
      </w:r>
      <w:r>
        <w:rPr>
          <w:color w:val="231F20"/>
          <w:w w:val="105"/>
        </w:rPr>
        <w:t>il</w:t>
      </w:r>
      <w:r>
        <w:rPr>
          <w:color w:val="231F20"/>
          <w:spacing w:val="-8"/>
          <w:w w:val="105"/>
        </w:rPr>
        <w:t> </w:t>
      </w:r>
      <w:r>
        <w:rPr>
          <w:color w:val="231F20"/>
          <w:w w:val="105"/>
        </w:rPr>
        <w:t>ruolo</w:t>
      </w:r>
      <w:r>
        <w:rPr>
          <w:color w:val="231F20"/>
          <w:spacing w:val="-8"/>
          <w:w w:val="105"/>
        </w:rPr>
        <w:t> </w:t>
      </w:r>
      <w:r>
        <w:rPr>
          <w:color w:val="231F20"/>
          <w:w w:val="105"/>
        </w:rPr>
        <w:t>centrale</w:t>
      </w:r>
      <w:r>
        <w:rPr>
          <w:color w:val="231F20"/>
          <w:spacing w:val="-8"/>
          <w:w w:val="105"/>
        </w:rPr>
        <w:t> </w:t>
      </w:r>
      <w:r>
        <w:rPr>
          <w:color w:val="231F20"/>
          <w:w w:val="105"/>
        </w:rPr>
        <w:t>dello</w:t>
      </w:r>
      <w:r>
        <w:rPr>
          <w:color w:val="231F20"/>
          <w:spacing w:val="-8"/>
          <w:w w:val="105"/>
        </w:rPr>
        <w:t> </w:t>
      </w:r>
      <w:r>
        <w:rPr>
          <w:color w:val="231F20"/>
          <w:w w:val="105"/>
        </w:rPr>
        <w:t>Stato</w:t>
      </w:r>
      <w:r>
        <w:rPr>
          <w:color w:val="231F20"/>
          <w:spacing w:val="-8"/>
          <w:w w:val="105"/>
        </w:rPr>
        <w:t> </w:t>
      </w:r>
      <w:r>
        <w:rPr>
          <w:color w:val="231F20"/>
          <w:w w:val="105"/>
        </w:rPr>
        <w:t>e</w:t>
      </w:r>
      <w:r>
        <w:rPr>
          <w:color w:val="231F20"/>
          <w:spacing w:val="-8"/>
          <w:w w:val="105"/>
        </w:rPr>
        <w:t> </w:t>
      </w:r>
      <w:r>
        <w:rPr>
          <w:color w:val="231F20"/>
          <w:w w:val="105"/>
        </w:rPr>
        <w:t>del</w:t>
      </w:r>
      <w:r>
        <w:rPr>
          <w:color w:val="231F20"/>
          <w:spacing w:val="-8"/>
          <w:w w:val="105"/>
        </w:rPr>
        <w:t> </w:t>
      </w:r>
      <w:r>
        <w:rPr>
          <w:color w:val="231F20"/>
          <w:w w:val="105"/>
        </w:rPr>
        <w:t>discorso</w:t>
      </w:r>
      <w:r>
        <w:rPr>
          <w:color w:val="231F20"/>
          <w:spacing w:val="-8"/>
          <w:w w:val="105"/>
        </w:rPr>
        <w:t> </w:t>
      </w:r>
      <w:r>
        <w:rPr>
          <w:color w:val="231F20"/>
          <w:w w:val="105"/>
        </w:rPr>
        <w:t>politico</w:t>
      </w:r>
      <w:r>
        <w:rPr>
          <w:color w:val="231F20"/>
          <w:spacing w:val="-8"/>
          <w:w w:val="105"/>
        </w:rPr>
        <w:t> </w:t>
      </w:r>
      <w:r>
        <w:rPr>
          <w:color w:val="231F20"/>
          <w:w w:val="105"/>
        </w:rPr>
        <w:t>che</w:t>
      </w:r>
      <w:r>
        <w:rPr>
          <w:color w:val="231F20"/>
          <w:spacing w:val="-8"/>
          <w:w w:val="105"/>
        </w:rPr>
        <w:t> </w:t>
      </w:r>
      <w:r>
        <w:rPr>
          <w:color w:val="231F20"/>
          <w:w w:val="105"/>
        </w:rPr>
        <w:t>intorno</w:t>
      </w:r>
      <w:r>
        <w:rPr>
          <w:color w:val="231F20"/>
          <w:spacing w:val="-8"/>
          <w:w w:val="105"/>
        </w:rPr>
        <w:t> </w:t>
      </w:r>
      <w:r>
        <w:rPr>
          <w:color w:val="231F20"/>
          <w:w w:val="105"/>
        </w:rPr>
        <w:t>a quel</w:t>
      </w:r>
      <w:r>
        <w:rPr>
          <w:color w:val="231F20"/>
          <w:spacing w:val="-27"/>
          <w:w w:val="105"/>
        </w:rPr>
        <w:t> </w:t>
      </w:r>
      <w:r>
        <w:rPr>
          <w:color w:val="231F20"/>
          <w:w w:val="105"/>
        </w:rPr>
        <w:t>ruolo</w:t>
      </w:r>
      <w:r>
        <w:rPr>
          <w:color w:val="231F20"/>
          <w:spacing w:val="-27"/>
          <w:w w:val="105"/>
        </w:rPr>
        <w:t> </w:t>
      </w:r>
      <w:r>
        <w:rPr>
          <w:color w:val="231F20"/>
          <w:w w:val="105"/>
        </w:rPr>
        <w:t>si</w:t>
      </w:r>
      <w:r>
        <w:rPr>
          <w:color w:val="231F20"/>
          <w:spacing w:val="-27"/>
          <w:w w:val="105"/>
        </w:rPr>
        <w:t> </w:t>
      </w:r>
      <w:r>
        <w:rPr>
          <w:color w:val="231F20"/>
          <w:w w:val="105"/>
        </w:rPr>
        <w:t>è</w:t>
      </w:r>
      <w:r>
        <w:rPr>
          <w:color w:val="231F20"/>
          <w:spacing w:val="-27"/>
          <w:w w:val="105"/>
        </w:rPr>
        <w:t> </w:t>
      </w:r>
      <w:r>
        <w:rPr>
          <w:color w:val="231F20"/>
          <w:w w:val="105"/>
        </w:rPr>
        <w:t>sviluppato.</w:t>
      </w:r>
    </w:p>
    <w:p>
      <w:pPr>
        <w:pStyle w:val="BodyText"/>
        <w:spacing w:before="6"/>
        <w:rPr>
          <w:sz w:val="29"/>
        </w:rPr>
      </w:pPr>
      <w:r>
        <w:rPr/>
        <w:pict>
          <v:line style="position:absolute;mso-position-horizontal-relative:page;mso-position-vertical-relative:paragraph;z-index:10120;mso-wrap-distance-left:0;mso-wrap-distance-right:0" from="70.866096pt,19.906984pt" to="184.252096pt,19.906984pt" stroked="true" strokeweight=".3pt" strokecolor="#231f20">
            <w10:wrap type="topAndBottom"/>
          </v:line>
        </w:pict>
      </w:r>
    </w:p>
    <w:p>
      <w:pPr>
        <w:spacing w:line="206" w:lineRule="exact" w:before="10"/>
        <w:ind w:left="117" w:right="0" w:firstLine="0"/>
        <w:jc w:val="both"/>
        <w:rPr>
          <w:rFonts w:ascii="Calibri" w:hAnsi="Calibri"/>
          <w:sz w:val="17"/>
        </w:rPr>
      </w:pPr>
      <w:r>
        <w:rPr>
          <w:rFonts w:ascii="Calibri" w:hAnsi="Calibri"/>
          <w:color w:val="231F20"/>
          <w:w w:val="105"/>
          <w:position w:val="6"/>
          <w:sz w:val="10"/>
        </w:rPr>
        <w:t>15 </w:t>
      </w:r>
      <w:r>
        <w:rPr>
          <w:rFonts w:ascii="Calibri" w:hAnsi="Calibri"/>
          <w:i/>
          <w:color w:val="231F20"/>
          <w:w w:val="105"/>
          <w:sz w:val="17"/>
        </w:rPr>
        <w:t>Cfr</w:t>
      </w:r>
      <w:r>
        <w:rPr>
          <w:rFonts w:ascii="Calibri" w:hAnsi="Calibri"/>
          <w:color w:val="231F20"/>
          <w:w w:val="105"/>
          <w:sz w:val="17"/>
        </w:rPr>
        <w:t>. M. Wissen y U. Brand, </w:t>
      </w:r>
      <w:r>
        <w:rPr>
          <w:rFonts w:ascii="Calibri" w:hAnsi="Calibri"/>
          <w:color w:val="231F20"/>
          <w:spacing w:val="-3"/>
          <w:w w:val="105"/>
          <w:sz w:val="17"/>
        </w:rPr>
        <w:t>“Approaching </w:t>
      </w:r>
      <w:r>
        <w:rPr>
          <w:rFonts w:ascii="Calibri" w:hAnsi="Calibri"/>
          <w:color w:val="231F20"/>
          <w:w w:val="105"/>
          <w:sz w:val="17"/>
        </w:rPr>
        <w:t>the Internationalization of the State: An Introduction”;</w:t>
      </w:r>
    </w:p>
    <w:p>
      <w:pPr>
        <w:spacing w:line="204" w:lineRule="exact" w:before="0"/>
        <w:ind w:left="117" w:right="0" w:firstLine="0"/>
        <w:jc w:val="both"/>
        <w:rPr>
          <w:rFonts w:ascii="Calibri" w:hAnsi="Calibri"/>
          <w:sz w:val="17"/>
        </w:rPr>
      </w:pPr>
      <w:r>
        <w:rPr>
          <w:rFonts w:ascii="Calibri" w:hAnsi="Calibri"/>
          <w:color w:val="231F20"/>
          <w:w w:val="105"/>
          <w:sz w:val="17"/>
        </w:rPr>
        <w:t>J. Hirsch y J. Kannankulam, “The Spaces of Capital: The Political Form of Capitalism and the</w:t>
      </w:r>
    </w:p>
    <w:p>
      <w:pPr>
        <w:spacing w:line="204" w:lineRule="exact" w:before="0"/>
        <w:ind w:left="117" w:right="0" w:firstLine="0"/>
        <w:jc w:val="both"/>
        <w:rPr>
          <w:rFonts w:ascii="Calibri" w:hAnsi="Calibri"/>
          <w:sz w:val="17"/>
        </w:rPr>
      </w:pPr>
      <w:r>
        <w:rPr>
          <w:rFonts w:ascii="Calibri" w:hAnsi="Calibri"/>
          <w:color w:val="231F20"/>
          <w:sz w:val="17"/>
        </w:rPr>
        <w:t>Internationalization of the State”, entrambi in 43,1, 2011, rispettivamente pp. 1–11 y pp. 12–37.</w:t>
      </w:r>
    </w:p>
    <w:p>
      <w:pPr>
        <w:spacing w:line="235" w:lineRule="auto" w:before="1"/>
        <w:ind w:left="117" w:right="123" w:firstLine="0"/>
        <w:jc w:val="both"/>
        <w:rPr>
          <w:rFonts w:ascii="Calibri" w:hAnsi="Calibri"/>
          <w:sz w:val="17"/>
        </w:rPr>
      </w:pPr>
      <w:r>
        <w:rPr>
          <w:rFonts w:ascii="Calibri" w:hAnsi="Calibri"/>
          <w:color w:val="231F20"/>
          <w:w w:val="105"/>
          <w:position w:val="6"/>
          <w:sz w:val="10"/>
        </w:rPr>
        <w:t>16</w:t>
      </w:r>
      <w:r>
        <w:rPr>
          <w:rFonts w:ascii="Calibri" w:hAnsi="Calibri"/>
          <w:color w:val="231F20"/>
          <w:spacing w:val="-4"/>
          <w:w w:val="105"/>
          <w:position w:val="6"/>
          <w:sz w:val="10"/>
        </w:rPr>
        <w:t> </w:t>
      </w:r>
      <w:r>
        <w:rPr>
          <w:rFonts w:ascii="Calibri" w:hAnsi="Calibri"/>
          <w:i/>
          <w:color w:val="231F20"/>
          <w:w w:val="105"/>
          <w:sz w:val="17"/>
        </w:rPr>
        <w:t>Cfr</w:t>
      </w:r>
      <w:r>
        <w:rPr>
          <w:rFonts w:ascii="Calibri" w:hAnsi="Calibri"/>
          <w:color w:val="231F20"/>
          <w:w w:val="105"/>
          <w:sz w:val="17"/>
        </w:rPr>
        <w:t>.</w:t>
      </w:r>
      <w:r>
        <w:rPr>
          <w:rFonts w:ascii="Calibri" w:hAnsi="Calibri"/>
          <w:color w:val="231F20"/>
          <w:spacing w:val="-24"/>
          <w:w w:val="105"/>
          <w:sz w:val="17"/>
        </w:rPr>
        <w:t> </w:t>
      </w:r>
      <w:r>
        <w:rPr>
          <w:rFonts w:ascii="Calibri" w:hAnsi="Calibri"/>
          <w:color w:val="231F20"/>
          <w:spacing w:val="-7"/>
          <w:w w:val="105"/>
          <w:sz w:val="17"/>
        </w:rPr>
        <w:t>W.</w:t>
      </w:r>
      <w:r>
        <w:rPr>
          <w:rFonts w:ascii="Calibri" w:hAnsi="Calibri"/>
          <w:color w:val="231F20"/>
          <w:spacing w:val="-21"/>
          <w:w w:val="105"/>
          <w:sz w:val="17"/>
        </w:rPr>
        <w:t> </w:t>
      </w:r>
      <w:r>
        <w:rPr>
          <w:rFonts w:ascii="Calibri" w:hAnsi="Calibri"/>
          <w:color w:val="231F20"/>
          <w:w w:val="105"/>
          <w:sz w:val="17"/>
        </w:rPr>
        <w:t>Reinhard,</w:t>
      </w:r>
      <w:r>
        <w:rPr>
          <w:rFonts w:ascii="Calibri" w:hAnsi="Calibri"/>
          <w:color w:val="231F20"/>
          <w:spacing w:val="-21"/>
          <w:w w:val="105"/>
          <w:sz w:val="17"/>
        </w:rPr>
        <w:t> </w:t>
      </w:r>
      <w:r>
        <w:rPr>
          <w:rFonts w:ascii="Calibri" w:hAnsi="Calibri"/>
          <w:color w:val="231F20"/>
          <w:w w:val="105"/>
          <w:sz w:val="17"/>
        </w:rPr>
        <w:t>“La</w:t>
      </w:r>
      <w:r>
        <w:rPr>
          <w:rFonts w:ascii="Calibri" w:hAnsi="Calibri"/>
          <w:color w:val="231F20"/>
          <w:spacing w:val="-21"/>
          <w:w w:val="105"/>
          <w:sz w:val="17"/>
        </w:rPr>
        <w:t> </w:t>
      </w:r>
      <w:r>
        <w:rPr>
          <w:rFonts w:ascii="Calibri" w:hAnsi="Calibri"/>
          <w:color w:val="231F20"/>
          <w:w w:val="105"/>
          <w:sz w:val="17"/>
        </w:rPr>
        <w:t>storia</w:t>
      </w:r>
      <w:r>
        <w:rPr>
          <w:rFonts w:ascii="Calibri" w:hAnsi="Calibri"/>
          <w:color w:val="231F20"/>
          <w:spacing w:val="-21"/>
          <w:w w:val="105"/>
          <w:sz w:val="17"/>
        </w:rPr>
        <w:t> </w:t>
      </w:r>
      <w:r>
        <w:rPr>
          <w:rFonts w:ascii="Calibri" w:hAnsi="Calibri"/>
          <w:color w:val="231F20"/>
          <w:w w:val="105"/>
          <w:sz w:val="17"/>
        </w:rPr>
        <w:t>come</w:t>
      </w:r>
      <w:r>
        <w:rPr>
          <w:rFonts w:ascii="Calibri" w:hAnsi="Calibri"/>
          <w:color w:val="231F20"/>
          <w:spacing w:val="-21"/>
          <w:w w:val="105"/>
          <w:sz w:val="17"/>
        </w:rPr>
        <w:t> </w:t>
      </w:r>
      <w:r>
        <w:rPr>
          <w:rFonts w:ascii="Calibri" w:hAnsi="Calibri"/>
          <w:color w:val="231F20"/>
          <w:w w:val="105"/>
          <w:sz w:val="17"/>
        </w:rPr>
        <w:t>delegittimazione</w:t>
      </w:r>
      <w:r>
        <w:rPr>
          <w:rFonts w:ascii="Calibri" w:hAnsi="Calibri"/>
          <w:color w:val="231F20"/>
          <w:spacing w:val="-21"/>
          <w:w w:val="105"/>
          <w:sz w:val="17"/>
        </w:rPr>
        <w:t> </w:t>
      </w:r>
      <w:r>
        <w:rPr>
          <w:rFonts w:ascii="Calibri" w:hAnsi="Calibri"/>
          <w:color w:val="231F20"/>
          <w:w w:val="105"/>
          <w:sz w:val="17"/>
        </w:rPr>
        <w:t>(Discorso</w:t>
      </w:r>
      <w:r>
        <w:rPr>
          <w:rFonts w:ascii="Calibri" w:hAnsi="Calibri"/>
          <w:color w:val="231F20"/>
          <w:spacing w:val="-21"/>
          <w:w w:val="105"/>
          <w:sz w:val="17"/>
        </w:rPr>
        <w:t> </w:t>
      </w:r>
      <w:r>
        <w:rPr>
          <w:rFonts w:ascii="Calibri" w:hAnsi="Calibri"/>
          <w:color w:val="231F20"/>
          <w:w w:val="105"/>
          <w:sz w:val="17"/>
        </w:rPr>
        <w:t>tenuto</w:t>
      </w:r>
      <w:r>
        <w:rPr>
          <w:rFonts w:ascii="Calibri" w:hAnsi="Calibri"/>
          <w:color w:val="231F20"/>
          <w:spacing w:val="-21"/>
          <w:w w:val="105"/>
          <w:sz w:val="17"/>
        </w:rPr>
        <w:t> </w:t>
      </w:r>
      <w:r>
        <w:rPr>
          <w:rFonts w:ascii="Calibri" w:hAnsi="Calibri"/>
          <w:color w:val="231F20"/>
          <w:w w:val="105"/>
          <w:sz w:val="17"/>
        </w:rPr>
        <w:t>in</w:t>
      </w:r>
      <w:r>
        <w:rPr>
          <w:rFonts w:ascii="Calibri" w:hAnsi="Calibri"/>
          <w:color w:val="231F20"/>
          <w:spacing w:val="-21"/>
          <w:w w:val="105"/>
          <w:sz w:val="17"/>
        </w:rPr>
        <w:t> </w:t>
      </w:r>
      <w:r>
        <w:rPr>
          <w:rFonts w:ascii="Calibri" w:hAnsi="Calibri"/>
          <w:color w:val="231F20"/>
          <w:w w:val="105"/>
          <w:sz w:val="17"/>
        </w:rPr>
        <w:t>occasione</w:t>
      </w:r>
      <w:r>
        <w:rPr>
          <w:rFonts w:ascii="Calibri" w:hAnsi="Calibri"/>
          <w:color w:val="231F20"/>
          <w:spacing w:val="-21"/>
          <w:w w:val="105"/>
          <w:sz w:val="17"/>
        </w:rPr>
        <w:t> </w:t>
      </w:r>
      <w:r>
        <w:rPr>
          <w:rFonts w:ascii="Calibri" w:hAnsi="Calibri"/>
          <w:color w:val="231F20"/>
          <w:spacing w:val="-3"/>
          <w:w w:val="105"/>
          <w:sz w:val="17"/>
        </w:rPr>
        <w:t>dell’attribuzione </w:t>
      </w:r>
      <w:r>
        <w:rPr>
          <w:rFonts w:ascii="Calibri" w:hAnsi="Calibri"/>
          <w:color w:val="231F20"/>
          <w:sz w:val="17"/>
        </w:rPr>
        <w:t>di</w:t>
      </w:r>
      <w:r>
        <w:rPr>
          <w:rFonts w:ascii="Calibri" w:hAnsi="Calibri"/>
          <w:color w:val="231F20"/>
          <w:spacing w:val="-8"/>
          <w:sz w:val="17"/>
        </w:rPr>
        <w:t> </w:t>
      </w:r>
      <w:r>
        <w:rPr>
          <w:rFonts w:ascii="Calibri" w:hAnsi="Calibri"/>
          <w:color w:val="231F20"/>
          <w:sz w:val="17"/>
        </w:rPr>
        <w:t>un</w:t>
      </w:r>
      <w:r>
        <w:rPr>
          <w:rFonts w:ascii="Calibri" w:hAnsi="Calibri"/>
          <w:color w:val="231F20"/>
          <w:spacing w:val="-8"/>
          <w:sz w:val="17"/>
        </w:rPr>
        <w:t> </w:t>
      </w:r>
      <w:r>
        <w:rPr>
          <w:rFonts w:ascii="Calibri" w:hAnsi="Calibri"/>
          <w:color w:val="231F20"/>
          <w:sz w:val="17"/>
        </w:rPr>
        <w:t>importante</w:t>
      </w:r>
      <w:r>
        <w:rPr>
          <w:rFonts w:ascii="Calibri" w:hAnsi="Calibri"/>
          <w:color w:val="231F20"/>
          <w:spacing w:val="-8"/>
          <w:sz w:val="17"/>
        </w:rPr>
        <w:t> </w:t>
      </w:r>
      <w:r>
        <w:rPr>
          <w:rFonts w:ascii="Calibri" w:hAnsi="Calibri"/>
          <w:color w:val="231F20"/>
          <w:sz w:val="17"/>
        </w:rPr>
        <w:t>premio</w:t>
      </w:r>
      <w:r>
        <w:rPr>
          <w:rFonts w:ascii="Calibri" w:hAnsi="Calibri"/>
          <w:color w:val="231F20"/>
          <w:spacing w:val="-8"/>
          <w:sz w:val="17"/>
        </w:rPr>
        <w:t> </w:t>
      </w:r>
      <w:r>
        <w:rPr>
          <w:rFonts w:ascii="Calibri" w:hAnsi="Calibri"/>
          <w:color w:val="231F20"/>
          <w:spacing w:val="-3"/>
          <w:sz w:val="17"/>
        </w:rPr>
        <w:t>storico,</w:t>
      </w:r>
      <w:r>
        <w:rPr>
          <w:rFonts w:ascii="Calibri" w:hAnsi="Calibri"/>
          <w:color w:val="231F20"/>
          <w:spacing w:val="-8"/>
          <w:sz w:val="17"/>
        </w:rPr>
        <w:t> </w:t>
      </w:r>
      <w:r>
        <w:rPr>
          <w:rFonts w:ascii="Calibri" w:hAnsi="Calibri"/>
          <w:color w:val="231F20"/>
          <w:sz w:val="17"/>
        </w:rPr>
        <w:t>Monaco,</w:t>
      </w:r>
      <w:r>
        <w:rPr>
          <w:rFonts w:ascii="Calibri" w:hAnsi="Calibri"/>
          <w:color w:val="231F20"/>
          <w:spacing w:val="-8"/>
          <w:sz w:val="17"/>
        </w:rPr>
        <w:t> </w:t>
      </w:r>
      <w:r>
        <w:rPr>
          <w:rFonts w:ascii="Calibri" w:hAnsi="Calibri"/>
          <w:color w:val="231F20"/>
          <w:sz w:val="17"/>
        </w:rPr>
        <w:t>23</w:t>
      </w:r>
      <w:r>
        <w:rPr>
          <w:rFonts w:ascii="Calibri" w:hAnsi="Calibri"/>
          <w:color w:val="231F20"/>
          <w:spacing w:val="-8"/>
          <w:sz w:val="17"/>
        </w:rPr>
        <w:t> </w:t>
      </w:r>
      <w:r>
        <w:rPr>
          <w:rFonts w:ascii="Calibri" w:hAnsi="Calibri"/>
          <w:color w:val="231F20"/>
          <w:sz w:val="17"/>
        </w:rPr>
        <w:t>novembre</w:t>
      </w:r>
      <w:r>
        <w:rPr>
          <w:rFonts w:ascii="Calibri" w:hAnsi="Calibri"/>
          <w:color w:val="231F20"/>
          <w:spacing w:val="-8"/>
          <w:sz w:val="17"/>
        </w:rPr>
        <w:t> </w:t>
      </w:r>
      <w:r>
        <w:rPr>
          <w:rFonts w:ascii="Calibri" w:hAnsi="Calibri"/>
          <w:color w:val="231F20"/>
          <w:spacing w:val="-3"/>
          <w:sz w:val="17"/>
        </w:rPr>
        <w:t>2001)”,</w:t>
      </w:r>
      <w:r>
        <w:rPr>
          <w:rFonts w:ascii="Calibri" w:hAnsi="Calibri"/>
          <w:color w:val="231F20"/>
          <w:spacing w:val="-8"/>
          <w:sz w:val="17"/>
        </w:rPr>
        <w:t> </w:t>
      </w:r>
      <w:r>
        <w:rPr>
          <w:rFonts w:ascii="Calibri" w:hAnsi="Calibri"/>
          <w:i/>
          <w:color w:val="231F20"/>
          <w:sz w:val="17"/>
        </w:rPr>
        <w:t>Scienza</w:t>
      </w:r>
      <w:r>
        <w:rPr>
          <w:rFonts w:ascii="Calibri" w:hAnsi="Calibri"/>
          <w:i/>
          <w:color w:val="231F20"/>
          <w:spacing w:val="-9"/>
          <w:sz w:val="17"/>
        </w:rPr>
        <w:t> </w:t>
      </w:r>
      <w:r>
        <w:rPr>
          <w:rFonts w:ascii="Calibri" w:hAnsi="Calibri"/>
          <w:i/>
          <w:color w:val="231F20"/>
          <w:sz w:val="17"/>
        </w:rPr>
        <w:t>&amp;</w:t>
      </w:r>
      <w:r>
        <w:rPr>
          <w:rFonts w:ascii="Calibri" w:hAnsi="Calibri"/>
          <w:i/>
          <w:color w:val="231F20"/>
          <w:spacing w:val="-9"/>
          <w:sz w:val="17"/>
        </w:rPr>
        <w:t> </w:t>
      </w:r>
      <w:r>
        <w:rPr>
          <w:rFonts w:ascii="Calibri" w:hAnsi="Calibri"/>
          <w:i/>
          <w:color w:val="231F20"/>
          <w:sz w:val="17"/>
        </w:rPr>
        <w:t>Politica.</w:t>
      </w:r>
      <w:r>
        <w:rPr>
          <w:rFonts w:ascii="Calibri" w:hAnsi="Calibri"/>
          <w:i/>
          <w:color w:val="231F20"/>
          <w:spacing w:val="-9"/>
          <w:sz w:val="17"/>
        </w:rPr>
        <w:t> </w:t>
      </w:r>
      <w:r>
        <w:rPr>
          <w:rFonts w:ascii="Calibri" w:hAnsi="Calibri"/>
          <w:i/>
          <w:color w:val="231F20"/>
          <w:sz w:val="17"/>
        </w:rPr>
        <w:t>Per</w:t>
      </w:r>
      <w:r>
        <w:rPr>
          <w:rFonts w:ascii="Calibri" w:hAnsi="Calibri"/>
          <w:i/>
          <w:color w:val="231F20"/>
          <w:spacing w:val="-9"/>
          <w:sz w:val="17"/>
        </w:rPr>
        <w:t> </w:t>
      </w:r>
      <w:r>
        <w:rPr>
          <w:rFonts w:ascii="Calibri" w:hAnsi="Calibri"/>
          <w:i/>
          <w:color w:val="231F20"/>
          <w:sz w:val="17"/>
        </w:rPr>
        <w:t>una</w:t>
      </w:r>
      <w:r>
        <w:rPr>
          <w:rFonts w:ascii="Calibri" w:hAnsi="Calibri"/>
          <w:i/>
          <w:color w:val="231F20"/>
          <w:spacing w:val="-9"/>
          <w:sz w:val="17"/>
        </w:rPr>
        <w:t> </w:t>
      </w:r>
      <w:r>
        <w:rPr>
          <w:rFonts w:ascii="Calibri" w:hAnsi="Calibri"/>
          <w:i/>
          <w:color w:val="231F20"/>
          <w:spacing w:val="-2"/>
          <w:sz w:val="17"/>
        </w:rPr>
        <w:t>storia</w:t>
      </w:r>
      <w:r>
        <w:rPr>
          <w:rFonts w:ascii="Calibri" w:hAnsi="Calibri"/>
          <w:i/>
          <w:color w:val="231F20"/>
          <w:spacing w:val="-9"/>
          <w:sz w:val="17"/>
        </w:rPr>
        <w:t> </w:t>
      </w:r>
      <w:r>
        <w:rPr>
          <w:rFonts w:ascii="Calibri" w:hAnsi="Calibri"/>
          <w:i/>
          <w:color w:val="231F20"/>
          <w:sz w:val="17"/>
        </w:rPr>
        <w:t>delle </w:t>
      </w:r>
      <w:r>
        <w:rPr>
          <w:rFonts w:ascii="Calibri" w:hAnsi="Calibri"/>
          <w:i/>
          <w:color w:val="231F20"/>
          <w:sz w:val="17"/>
        </w:rPr>
        <w:t>dottrine</w:t>
      </w:r>
      <w:r>
        <w:rPr>
          <w:rFonts w:ascii="Calibri" w:hAnsi="Calibri"/>
          <w:color w:val="231F20"/>
          <w:sz w:val="17"/>
        </w:rPr>
        <w:t>, </w:t>
      </w:r>
      <w:r>
        <w:rPr>
          <w:rFonts w:ascii="Calibri" w:hAnsi="Calibri"/>
          <w:color w:val="231F20"/>
          <w:spacing w:val="-5"/>
          <w:sz w:val="17"/>
        </w:rPr>
        <w:t>XIV, </w:t>
      </w:r>
      <w:r>
        <w:rPr>
          <w:rFonts w:ascii="Calibri" w:hAnsi="Calibri"/>
          <w:color w:val="231F20"/>
          <w:spacing w:val="-4"/>
          <w:sz w:val="17"/>
        </w:rPr>
        <w:t>27, </w:t>
      </w:r>
      <w:r>
        <w:rPr>
          <w:rFonts w:ascii="Calibri" w:hAnsi="Calibri"/>
          <w:color w:val="231F20"/>
          <w:sz w:val="17"/>
        </w:rPr>
        <w:t>2002, disponibile in: </w:t>
      </w:r>
      <w:hyperlink r:id="rId42">
        <w:r>
          <w:rPr>
            <w:rFonts w:ascii="Calibri" w:hAnsi="Calibri"/>
            <w:color w:val="231F20"/>
            <w:spacing w:val="-3"/>
            <w:sz w:val="17"/>
          </w:rPr>
          <w:t>http://scienzaepolitica.unibo.it/article</w:t>
        </w:r>
      </w:hyperlink>
      <w:r>
        <w:rPr>
          <w:rFonts w:ascii="Calibri" w:hAnsi="Calibri"/>
          <w:color w:val="231F20"/>
          <w:spacing w:val="-3"/>
          <w:sz w:val="17"/>
        </w:rPr>
        <w:t> </w:t>
      </w:r>
      <w:r>
        <w:rPr>
          <w:rFonts w:ascii="Calibri" w:hAnsi="Calibri"/>
          <w:color w:val="231F20"/>
          <w:spacing w:val="24"/>
          <w:sz w:val="17"/>
        </w:rPr>
        <w:t> </w:t>
      </w:r>
      <w:r>
        <w:rPr>
          <w:rFonts w:ascii="Calibri" w:hAnsi="Calibri"/>
          <w:color w:val="231F20"/>
          <w:sz w:val="17"/>
        </w:rPr>
        <w:t>/view/2895.</w:t>
      </w:r>
    </w:p>
    <w:p>
      <w:pPr>
        <w:spacing w:line="203" w:lineRule="exact" w:before="0"/>
        <w:ind w:left="117" w:right="0" w:firstLine="0"/>
        <w:jc w:val="both"/>
        <w:rPr>
          <w:rFonts w:ascii="Calibri" w:hAnsi="Calibri"/>
          <w:sz w:val="17"/>
        </w:rPr>
      </w:pPr>
      <w:r>
        <w:rPr>
          <w:rFonts w:ascii="Calibri" w:hAnsi="Calibri"/>
          <w:color w:val="231F20"/>
          <w:position w:val="6"/>
          <w:sz w:val="10"/>
        </w:rPr>
        <w:t>17   </w:t>
      </w:r>
      <w:r>
        <w:rPr>
          <w:rFonts w:ascii="Calibri" w:hAnsi="Calibri"/>
          <w:i/>
          <w:color w:val="231F20"/>
          <w:sz w:val="17"/>
        </w:rPr>
        <w:t>Cfr</w:t>
      </w:r>
      <w:r>
        <w:rPr>
          <w:rFonts w:ascii="Calibri" w:hAnsi="Calibri"/>
          <w:color w:val="231F20"/>
          <w:sz w:val="17"/>
        </w:rPr>
        <w:t>.  i  tre  saggi  di  M.  Sparke,  “Political  Geography:  Political  Geographies  of  Globalization  (1)</w:t>
      </w:r>
    </w:p>
    <w:p>
      <w:pPr>
        <w:spacing w:line="235" w:lineRule="auto" w:before="1"/>
        <w:ind w:left="117" w:right="121" w:firstLine="0"/>
        <w:jc w:val="both"/>
        <w:rPr>
          <w:rFonts w:ascii="Calibri" w:hAnsi="Calibri"/>
          <w:sz w:val="17"/>
        </w:rPr>
      </w:pPr>
      <w:r>
        <w:rPr>
          <w:rFonts w:ascii="Calibri" w:hAnsi="Calibri"/>
          <w:color w:val="231F20"/>
          <w:w w:val="105"/>
          <w:sz w:val="17"/>
        </w:rPr>
        <w:t>—Dominance”, </w:t>
      </w:r>
      <w:r>
        <w:rPr>
          <w:rFonts w:ascii="Calibri" w:hAnsi="Calibri"/>
          <w:i/>
          <w:color w:val="231F20"/>
          <w:w w:val="105"/>
          <w:sz w:val="17"/>
        </w:rPr>
        <w:t>Progress in Human Geography</w:t>
      </w:r>
      <w:r>
        <w:rPr>
          <w:rFonts w:ascii="Calibri" w:hAnsi="Calibri"/>
          <w:color w:val="231F20"/>
          <w:w w:val="105"/>
          <w:sz w:val="17"/>
        </w:rPr>
        <w:t>, 28, 6, 2004, pp. 777–794; “Political Geography: Political Geographies of Globalization (2) —Governance”, </w:t>
      </w:r>
      <w:r>
        <w:rPr>
          <w:rFonts w:ascii="Calibri" w:hAnsi="Calibri"/>
          <w:i/>
          <w:color w:val="231F20"/>
          <w:w w:val="105"/>
          <w:sz w:val="17"/>
        </w:rPr>
        <w:t>Progress in Human Geography</w:t>
      </w:r>
      <w:r>
        <w:rPr>
          <w:rFonts w:ascii="Calibri" w:hAnsi="Calibri"/>
          <w:color w:val="231F20"/>
          <w:w w:val="105"/>
          <w:sz w:val="17"/>
        </w:rPr>
        <w:t>, 30, 2, </w:t>
      </w:r>
      <w:r>
        <w:rPr>
          <w:rFonts w:ascii="Calibri" w:hAnsi="Calibri"/>
          <w:color w:val="231F20"/>
          <w:sz w:val="17"/>
        </w:rPr>
        <w:t>2006, pp. 1–16; “Political Geography–Political Geographies of Globalization III: Resistance”, </w:t>
      </w:r>
      <w:r>
        <w:rPr>
          <w:rFonts w:ascii="Calibri" w:hAnsi="Calibri"/>
          <w:i/>
          <w:color w:val="231F20"/>
          <w:sz w:val="17"/>
        </w:rPr>
        <w:t>Progress </w:t>
      </w:r>
      <w:r>
        <w:rPr>
          <w:rFonts w:ascii="Calibri" w:hAnsi="Calibri"/>
          <w:i/>
          <w:color w:val="231F20"/>
          <w:w w:val="105"/>
          <w:sz w:val="17"/>
        </w:rPr>
        <w:t>in Human Geography</w:t>
      </w:r>
      <w:r>
        <w:rPr>
          <w:rFonts w:ascii="Calibri" w:hAnsi="Calibri"/>
          <w:color w:val="231F20"/>
          <w:w w:val="105"/>
          <w:sz w:val="17"/>
        </w:rPr>
        <w:t>, 32,3, 2008, pp. 423–440.</w:t>
      </w:r>
    </w:p>
    <w:p>
      <w:pPr>
        <w:spacing w:line="235" w:lineRule="auto" w:before="0"/>
        <w:ind w:left="117" w:right="121" w:firstLine="0"/>
        <w:jc w:val="both"/>
        <w:rPr>
          <w:rFonts w:ascii="Calibri" w:hAnsi="Calibri"/>
          <w:sz w:val="17"/>
        </w:rPr>
      </w:pPr>
      <w:r>
        <w:rPr>
          <w:rFonts w:ascii="Calibri" w:hAnsi="Calibri"/>
          <w:color w:val="231F20"/>
          <w:position w:val="6"/>
          <w:sz w:val="10"/>
        </w:rPr>
        <w:t>18 </w:t>
      </w:r>
      <w:r>
        <w:rPr>
          <w:rFonts w:ascii="Calibri" w:hAnsi="Calibri"/>
          <w:color w:val="231F20"/>
          <w:sz w:val="17"/>
        </w:rPr>
        <w:t>Q. Skinner, “The Sovereign State: A Genealogy”, H. Kalmo y Q. Skinner (Eds.), </w:t>
      </w:r>
      <w:r>
        <w:rPr>
          <w:rFonts w:ascii="Calibri" w:hAnsi="Calibri"/>
          <w:i/>
          <w:color w:val="231F20"/>
          <w:sz w:val="17"/>
        </w:rPr>
        <w:t>Sovereignty in </w:t>
      </w:r>
      <w:r>
        <w:rPr>
          <w:rFonts w:ascii="Calibri" w:hAnsi="Calibri"/>
          <w:i/>
          <w:color w:val="231F20"/>
          <w:sz w:val="17"/>
        </w:rPr>
        <w:t>Fragments: The Past, Present and Future of a Contested Concept</w:t>
      </w:r>
      <w:r>
        <w:rPr>
          <w:rFonts w:ascii="Calibri" w:hAnsi="Calibri"/>
          <w:color w:val="231F20"/>
          <w:sz w:val="17"/>
        </w:rPr>
        <w:t>, Cambridge, Cambridge University Press, 2010, p. 27.</w:t>
      </w:r>
    </w:p>
    <w:p>
      <w:pPr>
        <w:spacing w:after="0" w:line="235" w:lineRule="auto"/>
        <w:jc w:val="both"/>
        <w:rPr>
          <w:rFonts w:ascii="Calibri" w:hAnsi="Calibri"/>
          <w:sz w:val="17"/>
        </w:rPr>
        <w:sectPr>
          <w:pgSz w:w="9640" w:h="13890"/>
          <w:pgMar w:top="0" w:bottom="280" w:left="1300" w:right="1180"/>
        </w:sectPr>
      </w:pPr>
    </w:p>
    <w:p>
      <w:pPr>
        <w:spacing w:line="220" w:lineRule="exact" w:before="121"/>
        <w:ind w:left="1521" w:right="113" w:firstLine="0"/>
        <w:jc w:val="both"/>
        <w:rPr>
          <w:sz w:val="19"/>
        </w:rPr>
      </w:pPr>
      <w:r>
        <w:rPr>
          <w:color w:val="231F20"/>
          <w:w w:val="105"/>
          <w:sz w:val="19"/>
        </w:rPr>
        <w:t>In</w:t>
      </w:r>
      <w:r>
        <w:rPr>
          <w:color w:val="231F20"/>
          <w:spacing w:val="-41"/>
          <w:w w:val="105"/>
          <w:sz w:val="19"/>
        </w:rPr>
        <w:t> </w:t>
      </w:r>
      <w:r>
        <w:rPr>
          <w:color w:val="231F20"/>
          <w:w w:val="105"/>
          <w:sz w:val="19"/>
        </w:rPr>
        <w:t>quanto</w:t>
      </w:r>
      <w:r>
        <w:rPr>
          <w:color w:val="231F20"/>
          <w:spacing w:val="-41"/>
          <w:w w:val="105"/>
          <w:sz w:val="19"/>
        </w:rPr>
        <w:t> </w:t>
      </w:r>
      <w:r>
        <w:rPr>
          <w:rFonts w:ascii="Arial" w:hAnsi="Arial"/>
          <w:i/>
          <w:color w:val="231F20"/>
          <w:w w:val="105"/>
          <w:sz w:val="19"/>
        </w:rPr>
        <w:t>persona</w:t>
      </w:r>
      <w:r>
        <w:rPr>
          <w:rFonts w:ascii="Arial" w:hAnsi="Arial"/>
          <w:i/>
          <w:color w:val="231F20"/>
          <w:spacing w:val="-35"/>
          <w:w w:val="105"/>
          <w:sz w:val="19"/>
        </w:rPr>
        <w:t> </w:t>
      </w:r>
      <w:r>
        <w:rPr>
          <w:rFonts w:ascii="Arial" w:hAnsi="Arial"/>
          <w:i/>
          <w:color w:val="231F20"/>
          <w:w w:val="105"/>
          <w:sz w:val="19"/>
        </w:rPr>
        <w:t>ficta</w:t>
      </w:r>
      <w:r>
        <w:rPr>
          <w:rFonts w:ascii="Arial" w:hAnsi="Arial"/>
          <w:i/>
          <w:color w:val="231F20"/>
          <w:spacing w:val="-34"/>
          <w:w w:val="105"/>
          <w:sz w:val="19"/>
        </w:rPr>
        <w:t> </w:t>
      </w:r>
      <w:r>
        <w:rPr>
          <w:color w:val="231F20"/>
          <w:w w:val="105"/>
          <w:sz w:val="19"/>
        </w:rPr>
        <w:t>lo</w:t>
      </w:r>
      <w:r>
        <w:rPr>
          <w:color w:val="231F20"/>
          <w:spacing w:val="-41"/>
          <w:w w:val="105"/>
          <w:sz w:val="19"/>
        </w:rPr>
        <w:t> </w:t>
      </w:r>
      <w:r>
        <w:rPr>
          <w:color w:val="231F20"/>
          <w:w w:val="105"/>
          <w:sz w:val="19"/>
        </w:rPr>
        <w:t>Stato</w:t>
      </w:r>
      <w:r>
        <w:rPr>
          <w:color w:val="231F20"/>
          <w:spacing w:val="-41"/>
          <w:w w:val="105"/>
          <w:sz w:val="19"/>
        </w:rPr>
        <w:t> </w:t>
      </w:r>
      <w:r>
        <w:rPr>
          <w:color w:val="231F20"/>
          <w:w w:val="105"/>
          <w:sz w:val="19"/>
        </w:rPr>
        <w:t>è</w:t>
      </w:r>
      <w:r>
        <w:rPr>
          <w:color w:val="231F20"/>
          <w:spacing w:val="-41"/>
          <w:w w:val="105"/>
          <w:sz w:val="19"/>
        </w:rPr>
        <w:t> </w:t>
      </w:r>
      <w:r>
        <w:rPr>
          <w:color w:val="231F20"/>
          <w:w w:val="105"/>
          <w:sz w:val="19"/>
        </w:rPr>
        <w:t>in</w:t>
      </w:r>
      <w:r>
        <w:rPr>
          <w:color w:val="231F20"/>
          <w:spacing w:val="-41"/>
          <w:w w:val="105"/>
          <w:sz w:val="19"/>
        </w:rPr>
        <w:t> </w:t>
      </w:r>
      <w:r>
        <w:rPr>
          <w:color w:val="231F20"/>
          <w:w w:val="105"/>
          <w:sz w:val="19"/>
        </w:rPr>
        <w:t>grado</w:t>
      </w:r>
      <w:r>
        <w:rPr>
          <w:color w:val="231F20"/>
          <w:spacing w:val="-41"/>
          <w:w w:val="105"/>
          <w:sz w:val="19"/>
        </w:rPr>
        <w:t> </w:t>
      </w:r>
      <w:r>
        <w:rPr>
          <w:color w:val="231F20"/>
          <w:w w:val="105"/>
          <w:sz w:val="19"/>
        </w:rPr>
        <w:t>di</w:t>
      </w:r>
      <w:r>
        <w:rPr>
          <w:color w:val="231F20"/>
          <w:spacing w:val="-41"/>
          <w:w w:val="105"/>
          <w:sz w:val="19"/>
        </w:rPr>
        <w:t> </w:t>
      </w:r>
      <w:r>
        <w:rPr>
          <w:color w:val="231F20"/>
          <w:spacing w:val="-3"/>
          <w:w w:val="105"/>
          <w:sz w:val="19"/>
        </w:rPr>
        <w:t>assumere</w:t>
      </w:r>
      <w:r>
        <w:rPr>
          <w:color w:val="231F20"/>
          <w:spacing w:val="-41"/>
          <w:w w:val="105"/>
          <w:sz w:val="19"/>
        </w:rPr>
        <w:t> </w:t>
      </w:r>
      <w:r>
        <w:rPr>
          <w:color w:val="231F20"/>
          <w:spacing w:val="-2"/>
          <w:w w:val="105"/>
          <w:sz w:val="19"/>
        </w:rPr>
        <w:t>obbligazioni </w:t>
      </w:r>
      <w:r>
        <w:rPr>
          <w:color w:val="231F20"/>
          <w:w w:val="105"/>
          <w:sz w:val="19"/>
        </w:rPr>
        <w:t>che nessun governo e nessuna singola generazione di cittadini può</w:t>
      </w:r>
      <w:r>
        <w:rPr>
          <w:color w:val="231F20"/>
          <w:spacing w:val="-25"/>
          <w:w w:val="105"/>
          <w:sz w:val="19"/>
        </w:rPr>
        <w:t> </w:t>
      </w:r>
      <w:r>
        <w:rPr>
          <w:color w:val="231F20"/>
          <w:w w:val="105"/>
          <w:sz w:val="19"/>
        </w:rPr>
        <w:t>mai</w:t>
      </w:r>
      <w:r>
        <w:rPr>
          <w:color w:val="231F20"/>
          <w:spacing w:val="-25"/>
          <w:w w:val="105"/>
          <w:sz w:val="19"/>
        </w:rPr>
        <w:t> </w:t>
      </w:r>
      <w:r>
        <w:rPr>
          <w:color w:val="231F20"/>
          <w:w w:val="105"/>
          <w:sz w:val="19"/>
        </w:rPr>
        <w:t>sperare</w:t>
      </w:r>
      <w:r>
        <w:rPr>
          <w:color w:val="231F20"/>
          <w:spacing w:val="-25"/>
          <w:w w:val="105"/>
          <w:sz w:val="19"/>
        </w:rPr>
        <w:t> </w:t>
      </w:r>
      <w:r>
        <w:rPr>
          <w:color w:val="231F20"/>
          <w:w w:val="105"/>
          <w:sz w:val="19"/>
        </w:rPr>
        <w:t>di</w:t>
      </w:r>
      <w:r>
        <w:rPr>
          <w:color w:val="231F20"/>
          <w:spacing w:val="-25"/>
          <w:w w:val="105"/>
          <w:sz w:val="19"/>
        </w:rPr>
        <w:t> </w:t>
      </w:r>
      <w:r>
        <w:rPr>
          <w:color w:val="231F20"/>
          <w:w w:val="105"/>
          <w:sz w:val="19"/>
        </w:rPr>
        <w:t>assolvere.</w:t>
      </w:r>
      <w:r>
        <w:rPr>
          <w:color w:val="231F20"/>
          <w:spacing w:val="-25"/>
          <w:w w:val="105"/>
          <w:sz w:val="19"/>
        </w:rPr>
        <w:t> </w:t>
      </w:r>
      <w:r>
        <w:rPr>
          <w:color w:val="231F20"/>
          <w:w w:val="105"/>
          <w:sz w:val="19"/>
        </w:rPr>
        <w:t>Arriverei</w:t>
      </w:r>
      <w:r>
        <w:rPr>
          <w:color w:val="231F20"/>
          <w:spacing w:val="-25"/>
          <w:w w:val="105"/>
          <w:sz w:val="19"/>
        </w:rPr>
        <w:t> </w:t>
      </w:r>
      <w:r>
        <w:rPr>
          <w:color w:val="231F20"/>
          <w:w w:val="105"/>
          <w:sz w:val="19"/>
        </w:rPr>
        <w:t>al</w:t>
      </w:r>
      <w:r>
        <w:rPr>
          <w:color w:val="231F20"/>
          <w:spacing w:val="-25"/>
          <w:w w:val="105"/>
          <w:sz w:val="19"/>
        </w:rPr>
        <w:t> </w:t>
      </w:r>
      <w:r>
        <w:rPr>
          <w:color w:val="231F20"/>
          <w:w w:val="105"/>
          <w:sz w:val="19"/>
        </w:rPr>
        <w:t>punto</w:t>
      </w:r>
      <w:r>
        <w:rPr>
          <w:color w:val="231F20"/>
          <w:spacing w:val="-25"/>
          <w:w w:val="105"/>
          <w:sz w:val="19"/>
        </w:rPr>
        <w:t> </w:t>
      </w:r>
      <w:r>
        <w:rPr>
          <w:color w:val="231F20"/>
          <w:w w:val="105"/>
          <w:sz w:val="19"/>
        </w:rPr>
        <w:t>di</w:t>
      </w:r>
      <w:r>
        <w:rPr>
          <w:color w:val="231F20"/>
          <w:spacing w:val="-25"/>
          <w:w w:val="105"/>
          <w:sz w:val="19"/>
        </w:rPr>
        <w:t> </w:t>
      </w:r>
      <w:r>
        <w:rPr>
          <w:color w:val="231F20"/>
          <w:w w:val="105"/>
          <w:sz w:val="19"/>
        </w:rPr>
        <w:t>affermare</w:t>
      </w:r>
      <w:r>
        <w:rPr>
          <w:color w:val="231F20"/>
          <w:spacing w:val="-25"/>
          <w:w w:val="105"/>
          <w:sz w:val="19"/>
        </w:rPr>
        <w:t> </w:t>
      </w:r>
      <w:r>
        <w:rPr>
          <w:color w:val="231F20"/>
          <w:w w:val="105"/>
          <w:sz w:val="19"/>
        </w:rPr>
        <w:t>che, nella</w:t>
      </w:r>
      <w:r>
        <w:rPr>
          <w:color w:val="231F20"/>
          <w:spacing w:val="-18"/>
          <w:w w:val="105"/>
          <w:sz w:val="19"/>
        </w:rPr>
        <w:t> </w:t>
      </w:r>
      <w:r>
        <w:rPr>
          <w:color w:val="231F20"/>
          <w:w w:val="105"/>
          <w:sz w:val="19"/>
        </w:rPr>
        <w:t>condizione</w:t>
      </w:r>
      <w:r>
        <w:rPr>
          <w:color w:val="231F20"/>
          <w:spacing w:val="-18"/>
          <w:w w:val="105"/>
          <w:sz w:val="19"/>
        </w:rPr>
        <w:t> </w:t>
      </w:r>
      <w:r>
        <w:rPr>
          <w:color w:val="231F20"/>
          <w:w w:val="105"/>
          <w:sz w:val="19"/>
        </w:rPr>
        <w:t>presente</w:t>
      </w:r>
      <w:r>
        <w:rPr>
          <w:color w:val="231F20"/>
          <w:spacing w:val="-18"/>
          <w:w w:val="105"/>
          <w:sz w:val="19"/>
        </w:rPr>
        <w:t> </w:t>
      </w:r>
      <w:r>
        <w:rPr>
          <w:color w:val="231F20"/>
          <w:w w:val="105"/>
          <w:sz w:val="19"/>
        </w:rPr>
        <w:t>del</w:t>
      </w:r>
      <w:r>
        <w:rPr>
          <w:color w:val="231F20"/>
          <w:spacing w:val="-18"/>
          <w:w w:val="105"/>
          <w:sz w:val="19"/>
        </w:rPr>
        <w:t> </w:t>
      </w:r>
      <w:r>
        <w:rPr>
          <w:color w:val="231F20"/>
          <w:w w:val="105"/>
          <w:sz w:val="19"/>
        </w:rPr>
        <w:t>diritto</w:t>
      </w:r>
      <w:r>
        <w:rPr>
          <w:color w:val="231F20"/>
          <w:spacing w:val="-18"/>
          <w:w w:val="105"/>
          <w:sz w:val="19"/>
        </w:rPr>
        <w:t> </w:t>
      </w:r>
      <w:r>
        <w:rPr>
          <w:color w:val="231F20"/>
          <w:w w:val="105"/>
          <w:sz w:val="19"/>
        </w:rPr>
        <w:t>contrattuale</w:t>
      </w:r>
      <w:r>
        <w:rPr>
          <w:color w:val="231F20"/>
          <w:spacing w:val="-18"/>
          <w:w w:val="105"/>
          <w:sz w:val="19"/>
        </w:rPr>
        <w:t> </w:t>
      </w:r>
      <w:r>
        <w:rPr>
          <w:color w:val="231F20"/>
          <w:w w:val="105"/>
          <w:sz w:val="19"/>
        </w:rPr>
        <w:t>[</w:t>
      </w:r>
      <w:r>
        <w:rPr>
          <w:rFonts w:ascii="Arial" w:hAnsi="Arial"/>
          <w:i/>
          <w:color w:val="231F20"/>
          <w:w w:val="105"/>
          <w:sz w:val="19"/>
        </w:rPr>
        <w:t>contract</w:t>
      </w:r>
      <w:r>
        <w:rPr>
          <w:rFonts w:ascii="Arial" w:hAnsi="Arial"/>
          <w:i/>
          <w:color w:val="231F20"/>
          <w:spacing w:val="-11"/>
          <w:w w:val="105"/>
          <w:sz w:val="19"/>
        </w:rPr>
        <w:t> </w:t>
      </w:r>
      <w:r>
        <w:rPr>
          <w:rFonts w:ascii="Arial" w:hAnsi="Arial"/>
          <w:i/>
          <w:color w:val="231F20"/>
          <w:w w:val="105"/>
          <w:sz w:val="19"/>
        </w:rPr>
        <w:t>law</w:t>
      </w:r>
      <w:r>
        <w:rPr>
          <w:color w:val="231F20"/>
          <w:w w:val="105"/>
          <w:sz w:val="19"/>
        </w:rPr>
        <w:t>], non</w:t>
      </w:r>
      <w:r>
        <w:rPr>
          <w:color w:val="231F20"/>
          <w:spacing w:val="-11"/>
          <w:w w:val="105"/>
          <w:sz w:val="19"/>
        </w:rPr>
        <w:t> </w:t>
      </w:r>
      <w:r>
        <w:rPr>
          <w:color w:val="231F20"/>
          <w:w w:val="105"/>
          <w:sz w:val="19"/>
        </w:rPr>
        <w:t>c’è</w:t>
      </w:r>
      <w:r>
        <w:rPr>
          <w:color w:val="231F20"/>
          <w:spacing w:val="-11"/>
          <w:w w:val="105"/>
          <w:sz w:val="19"/>
        </w:rPr>
        <w:t> </w:t>
      </w:r>
      <w:r>
        <w:rPr>
          <w:color w:val="231F20"/>
          <w:w w:val="105"/>
          <w:sz w:val="19"/>
        </w:rPr>
        <w:t>nessun</w:t>
      </w:r>
      <w:r>
        <w:rPr>
          <w:color w:val="231F20"/>
          <w:spacing w:val="-11"/>
          <w:w w:val="105"/>
          <w:sz w:val="19"/>
        </w:rPr>
        <w:t> </w:t>
      </w:r>
      <w:r>
        <w:rPr>
          <w:color w:val="231F20"/>
          <w:w w:val="105"/>
          <w:sz w:val="19"/>
        </w:rPr>
        <w:t>altro</w:t>
      </w:r>
      <w:r>
        <w:rPr>
          <w:color w:val="231F20"/>
          <w:spacing w:val="-11"/>
          <w:w w:val="105"/>
          <w:sz w:val="19"/>
        </w:rPr>
        <w:t> </w:t>
      </w:r>
      <w:r>
        <w:rPr>
          <w:color w:val="231F20"/>
          <w:w w:val="105"/>
          <w:sz w:val="19"/>
        </w:rPr>
        <w:t>modo</w:t>
      </w:r>
      <w:r>
        <w:rPr>
          <w:color w:val="231F20"/>
          <w:spacing w:val="-11"/>
          <w:w w:val="105"/>
          <w:sz w:val="19"/>
        </w:rPr>
        <w:t> </w:t>
      </w:r>
      <w:r>
        <w:rPr>
          <w:color w:val="231F20"/>
          <w:w w:val="105"/>
          <w:sz w:val="19"/>
        </w:rPr>
        <w:t>di</w:t>
      </w:r>
      <w:r>
        <w:rPr>
          <w:color w:val="231F20"/>
          <w:spacing w:val="-11"/>
          <w:w w:val="105"/>
          <w:sz w:val="19"/>
        </w:rPr>
        <w:t> </w:t>
      </w:r>
      <w:r>
        <w:rPr>
          <w:color w:val="231F20"/>
          <w:w w:val="105"/>
          <w:sz w:val="19"/>
        </w:rPr>
        <w:t>adempiere</w:t>
      </w:r>
      <w:r>
        <w:rPr>
          <w:color w:val="231F20"/>
          <w:spacing w:val="-11"/>
          <w:w w:val="105"/>
          <w:sz w:val="19"/>
        </w:rPr>
        <w:t> </w:t>
      </w:r>
      <w:r>
        <w:rPr>
          <w:color w:val="231F20"/>
          <w:w w:val="105"/>
          <w:sz w:val="19"/>
        </w:rPr>
        <w:t>tali</w:t>
      </w:r>
      <w:r>
        <w:rPr>
          <w:color w:val="231F20"/>
          <w:spacing w:val="-11"/>
          <w:w w:val="105"/>
          <w:sz w:val="19"/>
        </w:rPr>
        <w:t> </w:t>
      </w:r>
      <w:r>
        <w:rPr>
          <w:color w:val="231F20"/>
          <w:w w:val="105"/>
          <w:sz w:val="19"/>
        </w:rPr>
        <w:t>obbligazioni</w:t>
      </w:r>
      <w:r>
        <w:rPr>
          <w:color w:val="231F20"/>
          <w:spacing w:val="-11"/>
          <w:w w:val="105"/>
          <w:sz w:val="19"/>
        </w:rPr>
        <w:t> </w:t>
      </w:r>
      <w:r>
        <w:rPr>
          <w:color w:val="231F20"/>
          <w:w w:val="105"/>
          <w:sz w:val="19"/>
        </w:rPr>
        <w:t>se</w:t>
      </w:r>
      <w:r>
        <w:rPr>
          <w:color w:val="231F20"/>
          <w:spacing w:val="-11"/>
          <w:w w:val="105"/>
          <w:sz w:val="19"/>
        </w:rPr>
        <w:t> </w:t>
      </w:r>
      <w:r>
        <w:rPr>
          <w:color w:val="231F20"/>
          <w:w w:val="105"/>
          <w:sz w:val="19"/>
        </w:rPr>
        <w:t>non invocando</w:t>
      </w:r>
      <w:r>
        <w:rPr>
          <w:color w:val="231F20"/>
          <w:spacing w:val="-16"/>
          <w:w w:val="105"/>
          <w:sz w:val="19"/>
        </w:rPr>
        <w:t> </w:t>
      </w:r>
      <w:r>
        <w:rPr>
          <w:color w:val="231F20"/>
          <w:w w:val="105"/>
          <w:sz w:val="19"/>
        </w:rPr>
        <w:t>l’idea</w:t>
      </w:r>
      <w:r>
        <w:rPr>
          <w:color w:val="231F20"/>
          <w:spacing w:val="-16"/>
          <w:w w:val="105"/>
          <w:sz w:val="19"/>
        </w:rPr>
        <w:t> </w:t>
      </w:r>
      <w:r>
        <w:rPr>
          <w:color w:val="231F20"/>
          <w:w w:val="105"/>
          <w:sz w:val="19"/>
        </w:rPr>
        <w:t>dello</w:t>
      </w:r>
      <w:r>
        <w:rPr>
          <w:color w:val="231F20"/>
          <w:spacing w:val="-16"/>
          <w:w w:val="105"/>
          <w:sz w:val="19"/>
        </w:rPr>
        <w:t> </w:t>
      </w:r>
      <w:r>
        <w:rPr>
          <w:color w:val="231F20"/>
          <w:w w:val="105"/>
          <w:sz w:val="19"/>
        </w:rPr>
        <w:t>Stato</w:t>
      </w:r>
      <w:r>
        <w:rPr>
          <w:color w:val="231F20"/>
          <w:spacing w:val="-16"/>
          <w:w w:val="105"/>
          <w:sz w:val="19"/>
        </w:rPr>
        <w:t> </w:t>
      </w:r>
      <w:r>
        <w:rPr>
          <w:color w:val="231F20"/>
          <w:w w:val="105"/>
          <w:sz w:val="19"/>
        </w:rPr>
        <w:t>come</w:t>
      </w:r>
      <w:r>
        <w:rPr>
          <w:color w:val="231F20"/>
          <w:spacing w:val="-16"/>
          <w:w w:val="105"/>
          <w:sz w:val="19"/>
        </w:rPr>
        <w:t> </w:t>
      </w:r>
      <w:r>
        <w:rPr>
          <w:color w:val="231F20"/>
          <w:w w:val="105"/>
          <w:sz w:val="19"/>
        </w:rPr>
        <w:t>persona</w:t>
      </w:r>
      <w:r>
        <w:rPr>
          <w:color w:val="231F20"/>
          <w:spacing w:val="-16"/>
          <w:w w:val="105"/>
          <w:sz w:val="19"/>
        </w:rPr>
        <w:t> </w:t>
      </w:r>
      <w:r>
        <w:rPr>
          <w:color w:val="231F20"/>
          <w:w w:val="105"/>
          <w:sz w:val="19"/>
        </w:rPr>
        <w:t>in</w:t>
      </w:r>
      <w:r>
        <w:rPr>
          <w:color w:val="231F20"/>
          <w:spacing w:val="-16"/>
          <w:w w:val="105"/>
          <w:sz w:val="19"/>
        </w:rPr>
        <w:t> </w:t>
      </w:r>
      <w:r>
        <w:rPr>
          <w:color w:val="231F20"/>
          <w:w w:val="105"/>
          <w:sz w:val="19"/>
        </w:rPr>
        <w:t>possesso,</w:t>
      </w:r>
      <w:r>
        <w:rPr>
          <w:color w:val="231F20"/>
          <w:spacing w:val="-16"/>
          <w:w w:val="105"/>
          <w:sz w:val="19"/>
        </w:rPr>
        <w:t> </w:t>
      </w:r>
      <w:r>
        <w:rPr>
          <w:color w:val="231F20"/>
          <w:w w:val="105"/>
          <w:sz w:val="19"/>
        </w:rPr>
        <w:t>secondo l’espressione di Hobbes, di un’eterna vita artificiale. Dobbiamo riconoscere</w:t>
      </w:r>
      <w:r>
        <w:rPr>
          <w:color w:val="231F20"/>
          <w:spacing w:val="-40"/>
          <w:w w:val="105"/>
          <w:sz w:val="19"/>
        </w:rPr>
        <w:t> </w:t>
      </w:r>
      <w:r>
        <w:rPr>
          <w:color w:val="231F20"/>
          <w:w w:val="105"/>
          <w:sz w:val="19"/>
        </w:rPr>
        <w:t>che</w:t>
      </w:r>
      <w:r>
        <w:rPr>
          <w:color w:val="231F20"/>
          <w:spacing w:val="-40"/>
          <w:w w:val="105"/>
          <w:sz w:val="19"/>
        </w:rPr>
        <w:t> </w:t>
      </w:r>
      <w:r>
        <w:rPr>
          <w:color w:val="231F20"/>
          <w:w w:val="105"/>
          <w:sz w:val="19"/>
        </w:rPr>
        <w:t>una</w:t>
      </w:r>
      <w:r>
        <w:rPr>
          <w:color w:val="231F20"/>
          <w:spacing w:val="-40"/>
          <w:w w:val="105"/>
          <w:sz w:val="19"/>
        </w:rPr>
        <w:t> </w:t>
      </w:r>
      <w:r>
        <w:rPr>
          <w:color w:val="231F20"/>
          <w:w w:val="105"/>
          <w:sz w:val="19"/>
        </w:rPr>
        <w:t>ragione</w:t>
      </w:r>
      <w:r>
        <w:rPr>
          <w:color w:val="231F20"/>
          <w:spacing w:val="-40"/>
          <w:w w:val="105"/>
          <w:sz w:val="19"/>
        </w:rPr>
        <w:t> </w:t>
      </w:r>
      <w:r>
        <w:rPr>
          <w:color w:val="231F20"/>
          <w:w w:val="105"/>
          <w:sz w:val="19"/>
        </w:rPr>
        <w:t>per</w:t>
      </w:r>
      <w:r>
        <w:rPr>
          <w:color w:val="231F20"/>
          <w:spacing w:val="-40"/>
          <w:w w:val="105"/>
          <w:sz w:val="19"/>
        </w:rPr>
        <w:t> </w:t>
      </w:r>
      <w:r>
        <w:rPr>
          <w:color w:val="231F20"/>
          <w:w w:val="105"/>
          <w:sz w:val="19"/>
        </w:rPr>
        <w:t>cui</w:t>
      </w:r>
      <w:r>
        <w:rPr>
          <w:color w:val="231F20"/>
          <w:spacing w:val="-40"/>
          <w:w w:val="105"/>
          <w:sz w:val="19"/>
        </w:rPr>
        <w:t> </w:t>
      </w:r>
      <w:r>
        <w:rPr>
          <w:color w:val="231F20"/>
          <w:w w:val="105"/>
          <w:sz w:val="19"/>
        </w:rPr>
        <w:t>probabilmente</w:t>
      </w:r>
      <w:r>
        <w:rPr>
          <w:color w:val="231F20"/>
          <w:spacing w:val="-40"/>
          <w:w w:val="105"/>
          <w:sz w:val="19"/>
        </w:rPr>
        <w:t> </w:t>
      </w:r>
      <w:r>
        <w:rPr>
          <w:color w:val="231F20"/>
          <w:w w:val="105"/>
          <w:sz w:val="19"/>
        </w:rPr>
        <w:t>gli</w:t>
      </w:r>
      <w:r>
        <w:rPr>
          <w:color w:val="231F20"/>
          <w:spacing w:val="-40"/>
          <w:w w:val="105"/>
          <w:sz w:val="19"/>
        </w:rPr>
        <w:t> </w:t>
      </w:r>
      <w:r>
        <w:rPr>
          <w:color w:val="231F20"/>
          <w:w w:val="105"/>
          <w:sz w:val="19"/>
        </w:rPr>
        <w:t>Stati</w:t>
      </w:r>
      <w:r>
        <w:rPr>
          <w:color w:val="231F20"/>
          <w:spacing w:val="-40"/>
          <w:w w:val="105"/>
          <w:sz w:val="19"/>
        </w:rPr>
        <w:t> </w:t>
      </w:r>
      <w:r>
        <w:rPr>
          <w:color w:val="231F20"/>
          <w:w w:val="105"/>
          <w:sz w:val="19"/>
        </w:rPr>
        <w:t>stanno rimanendo attori potenti nel mondo contemporaneo è che essi </w:t>
      </w:r>
      <w:r>
        <w:rPr>
          <w:color w:val="231F20"/>
          <w:sz w:val="19"/>
        </w:rPr>
        <w:t>sopravvivranno a tutti</w:t>
      </w:r>
      <w:r>
        <w:rPr>
          <w:color w:val="231F20"/>
          <w:spacing w:val="-37"/>
          <w:sz w:val="19"/>
        </w:rPr>
        <w:t> </w:t>
      </w:r>
      <w:r>
        <w:rPr>
          <w:color w:val="231F20"/>
          <w:sz w:val="19"/>
        </w:rPr>
        <w:t>noi</w:t>
      </w:r>
      <w:r>
        <w:rPr>
          <w:color w:val="231F20"/>
          <w:position w:val="6"/>
          <w:sz w:val="11"/>
        </w:rPr>
        <w:t>19</w:t>
      </w:r>
      <w:r>
        <w:rPr>
          <w:color w:val="231F20"/>
          <w:sz w:val="19"/>
        </w:rPr>
        <w:t>.</w:t>
      </w:r>
    </w:p>
    <w:p>
      <w:pPr>
        <w:pStyle w:val="BodyText"/>
        <w:spacing w:before="11"/>
        <w:rPr>
          <w:sz w:val="23"/>
        </w:rPr>
      </w:pPr>
    </w:p>
    <w:p>
      <w:pPr>
        <w:pStyle w:val="BodyText"/>
        <w:spacing w:line="247" w:lineRule="auto"/>
        <w:ind w:left="103" w:right="111"/>
        <w:jc w:val="both"/>
      </w:pPr>
      <w:r>
        <w:rPr>
          <w:color w:val="231F20"/>
        </w:rPr>
        <w:t>La nostalgia per la capacità dello Stato di garantire con la sua autorità i contratti e, in definitiva, per la stessa capacità del contratto di regolare i rapporti sociali</w:t>
      </w:r>
      <w:r>
        <w:rPr>
          <w:color w:val="231F20"/>
          <w:position w:val="7"/>
          <w:sz w:val="12"/>
        </w:rPr>
        <w:t>20</w:t>
      </w:r>
      <w:r>
        <w:rPr>
          <w:color w:val="231F20"/>
        </w:rPr>
        <w:t>, è il segno più evidente della difficoltà che esso incontra  a produrre nel tempo tutti gli effetti che ne hanno garantito il successo. La nostalgia</w:t>
      </w:r>
      <w:r>
        <w:rPr>
          <w:color w:val="231F20"/>
          <w:spacing w:val="-13"/>
        </w:rPr>
        <w:t> </w:t>
      </w:r>
      <w:r>
        <w:rPr>
          <w:color w:val="231F20"/>
        </w:rPr>
        <w:t>non</w:t>
      </w:r>
      <w:r>
        <w:rPr>
          <w:color w:val="231F20"/>
          <w:spacing w:val="-13"/>
        </w:rPr>
        <w:t> </w:t>
      </w:r>
      <w:r>
        <w:rPr>
          <w:color w:val="231F20"/>
        </w:rPr>
        <w:t>fa</w:t>
      </w:r>
      <w:r>
        <w:rPr>
          <w:color w:val="231F20"/>
          <w:spacing w:val="-13"/>
        </w:rPr>
        <w:t> </w:t>
      </w:r>
      <w:r>
        <w:rPr>
          <w:color w:val="231F20"/>
        </w:rPr>
        <w:t>altro</w:t>
      </w:r>
      <w:r>
        <w:rPr>
          <w:color w:val="231F20"/>
          <w:spacing w:val="-13"/>
        </w:rPr>
        <w:t> </w:t>
      </w:r>
      <w:r>
        <w:rPr>
          <w:color w:val="231F20"/>
        </w:rPr>
        <w:t>che</w:t>
      </w:r>
      <w:r>
        <w:rPr>
          <w:color w:val="231F20"/>
          <w:spacing w:val="-13"/>
        </w:rPr>
        <w:t> </w:t>
      </w:r>
      <w:r>
        <w:rPr>
          <w:color w:val="231F20"/>
        </w:rPr>
        <w:t>confermare</w:t>
      </w:r>
      <w:r>
        <w:rPr>
          <w:color w:val="231F20"/>
          <w:spacing w:val="-13"/>
        </w:rPr>
        <w:t> </w:t>
      </w:r>
      <w:r>
        <w:rPr>
          <w:color w:val="231F20"/>
        </w:rPr>
        <w:t>la</w:t>
      </w:r>
      <w:r>
        <w:rPr>
          <w:color w:val="231F20"/>
          <w:spacing w:val="-13"/>
        </w:rPr>
        <w:t> </w:t>
      </w:r>
      <w:r>
        <w:rPr>
          <w:color w:val="231F20"/>
        </w:rPr>
        <w:t>fragilità</w:t>
      </w:r>
      <w:r>
        <w:rPr>
          <w:color w:val="231F20"/>
          <w:spacing w:val="-13"/>
        </w:rPr>
        <w:t> </w:t>
      </w:r>
      <w:r>
        <w:rPr>
          <w:color w:val="231F20"/>
        </w:rPr>
        <w:t>che</w:t>
      </w:r>
      <w:r>
        <w:rPr>
          <w:color w:val="231F20"/>
          <w:spacing w:val="-13"/>
        </w:rPr>
        <w:t> </w:t>
      </w:r>
      <w:r>
        <w:rPr>
          <w:color w:val="231F20"/>
        </w:rPr>
        <w:t>deriva</w:t>
      </w:r>
      <w:r>
        <w:rPr>
          <w:color w:val="231F20"/>
          <w:spacing w:val="-13"/>
        </w:rPr>
        <w:t> </w:t>
      </w:r>
      <w:r>
        <w:rPr>
          <w:color w:val="231F20"/>
        </w:rPr>
        <w:t>dalle</w:t>
      </w:r>
      <w:r>
        <w:rPr>
          <w:color w:val="231F20"/>
          <w:spacing w:val="-13"/>
        </w:rPr>
        <w:t> </w:t>
      </w:r>
      <w:r>
        <w:rPr>
          <w:color w:val="231F20"/>
        </w:rPr>
        <w:t>difficoltà</w:t>
      </w:r>
      <w:r>
        <w:rPr>
          <w:color w:val="231F20"/>
          <w:spacing w:val="-13"/>
        </w:rPr>
        <w:t> </w:t>
      </w:r>
      <w:r>
        <w:rPr>
          <w:color w:val="231F20"/>
        </w:rPr>
        <w:t>di </w:t>
      </w:r>
      <w:r>
        <w:rPr>
          <w:color w:val="231F20"/>
          <w:spacing w:val="-3"/>
        </w:rPr>
        <w:t>globalizzare omogeneamente l’esperienza statale. Nonostante </w:t>
      </w:r>
      <w:r>
        <w:rPr>
          <w:color w:val="231F20"/>
        </w:rPr>
        <w:t>il suo </w:t>
      </w:r>
      <w:r>
        <w:rPr>
          <w:color w:val="231F20"/>
          <w:spacing w:val="-3"/>
        </w:rPr>
        <w:t>passato </w:t>
      </w:r>
      <w:r>
        <w:rPr>
          <w:color w:val="231F20"/>
        </w:rPr>
        <w:t>glorioso,</w:t>
      </w:r>
      <w:r>
        <w:rPr>
          <w:color w:val="231F20"/>
          <w:spacing w:val="-16"/>
        </w:rPr>
        <w:t> </w:t>
      </w:r>
      <w:r>
        <w:rPr>
          <w:color w:val="231F20"/>
        </w:rPr>
        <w:t>nemmeno</w:t>
      </w:r>
      <w:r>
        <w:rPr>
          <w:color w:val="231F20"/>
          <w:spacing w:val="-16"/>
        </w:rPr>
        <w:t> </w:t>
      </w:r>
      <w:r>
        <w:rPr>
          <w:color w:val="231F20"/>
        </w:rPr>
        <w:t>la</w:t>
      </w:r>
      <w:r>
        <w:rPr>
          <w:color w:val="231F20"/>
          <w:spacing w:val="-16"/>
        </w:rPr>
        <w:t> </w:t>
      </w:r>
      <w:r>
        <w:rPr>
          <w:color w:val="231F20"/>
        </w:rPr>
        <w:t>teoria</w:t>
      </w:r>
      <w:r>
        <w:rPr>
          <w:color w:val="231F20"/>
          <w:spacing w:val="-16"/>
        </w:rPr>
        <w:t> </w:t>
      </w:r>
      <w:r>
        <w:rPr>
          <w:color w:val="231F20"/>
        </w:rPr>
        <w:t>della</w:t>
      </w:r>
      <w:r>
        <w:rPr>
          <w:color w:val="231F20"/>
          <w:spacing w:val="-16"/>
        </w:rPr>
        <w:t> </w:t>
      </w:r>
      <w:r>
        <w:rPr>
          <w:color w:val="231F20"/>
        </w:rPr>
        <w:t>finzione</w:t>
      </w:r>
      <w:r>
        <w:rPr>
          <w:color w:val="231F20"/>
          <w:spacing w:val="-16"/>
        </w:rPr>
        <w:t> </w:t>
      </w:r>
      <w:r>
        <w:rPr>
          <w:color w:val="231F20"/>
        </w:rPr>
        <w:t>è</w:t>
      </w:r>
      <w:r>
        <w:rPr>
          <w:color w:val="231F20"/>
          <w:spacing w:val="-16"/>
        </w:rPr>
        <w:t> </w:t>
      </w:r>
      <w:r>
        <w:rPr>
          <w:color w:val="231F20"/>
        </w:rPr>
        <w:t>in</w:t>
      </w:r>
      <w:r>
        <w:rPr>
          <w:color w:val="231F20"/>
          <w:spacing w:val="-16"/>
        </w:rPr>
        <w:t> </w:t>
      </w:r>
      <w:r>
        <w:rPr>
          <w:color w:val="231F20"/>
        </w:rPr>
        <w:t>grado</w:t>
      </w:r>
      <w:r>
        <w:rPr>
          <w:color w:val="231F20"/>
          <w:spacing w:val="-16"/>
        </w:rPr>
        <w:t> </w:t>
      </w:r>
      <w:r>
        <w:rPr>
          <w:color w:val="231F20"/>
        </w:rPr>
        <w:t>di</w:t>
      </w:r>
      <w:r>
        <w:rPr>
          <w:color w:val="231F20"/>
          <w:spacing w:val="-16"/>
        </w:rPr>
        <w:t> </w:t>
      </w:r>
      <w:r>
        <w:rPr>
          <w:color w:val="231F20"/>
        </w:rPr>
        <w:t>sussumere</w:t>
      </w:r>
      <w:r>
        <w:rPr>
          <w:color w:val="231F20"/>
          <w:spacing w:val="-16"/>
        </w:rPr>
        <w:t> </w:t>
      </w:r>
      <w:r>
        <w:rPr>
          <w:color w:val="231F20"/>
        </w:rPr>
        <w:t>spazialità politiche differenti grazie all’universalizzazione della forma Stato. Più che a una globalizzazione dello Stato siamo di fronte a processi che sembrano portare alla formazione di una società–mondo, una </w:t>
      </w:r>
      <w:r>
        <w:rPr>
          <w:rFonts w:ascii="Arial" w:hAnsi="Arial"/>
          <w:i/>
          <w:color w:val="231F20"/>
        </w:rPr>
        <w:t>Weltgesellschaft</w:t>
      </w:r>
      <w:r>
        <w:rPr>
          <w:color w:val="231F20"/>
        </w:rPr>
        <w:t>, nella quale la “specifica combinazione di diritto e politica”, ovvero la produzione normativa monopolizzata o comunque autorizzata dallo Stato nazionale </w:t>
      </w:r>
      <w:r>
        <w:rPr>
          <w:color w:val="231F20"/>
          <w:spacing w:val="-4"/>
        </w:rPr>
        <w:t>unitario,</w:t>
      </w:r>
      <w:r>
        <w:rPr>
          <w:color w:val="231F20"/>
          <w:spacing w:val="-15"/>
        </w:rPr>
        <w:t> </w:t>
      </w:r>
      <w:r>
        <w:rPr>
          <w:color w:val="231F20"/>
          <w:spacing w:val="-4"/>
        </w:rPr>
        <w:t>potrebbe</w:t>
      </w:r>
      <w:r>
        <w:rPr>
          <w:color w:val="231F20"/>
          <w:spacing w:val="-15"/>
        </w:rPr>
        <w:t> </w:t>
      </w:r>
      <w:r>
        <w:rPr>
          <w:color w:val="231F20"/>
          <w:spacing w:val="-4"/>
        </w:rPr>
        <w:t>persino</w:t>
      </w:r>
      <w:r>
        <w:rPr>
          <w:color w:val="231F20"/>
          <w:spacing w:val="-15"/>
        </w:rPr>
        <w:t> </w:t>
      </w:r>
      <w:r>
        <w:rPr>
          <w:color w:val="231F20"/>
          <w:spacing w:val="-4"/>
        </w:rPr>
        <w:t>rivelarsi</w:t>
      </w:r>
      <w:r>
        <w:rPr>
          <w:color w:val="231F20"/>
          <w:spacing w:val="-15"/>
        </w:rPr>
        <w:t> </w:t>
      </w:r>
      <w:r>
        <w:rPr>
          <w:color w:val="231F20"/>
          <w:spacing w:val="-3"/>
        </w:rPr>
        <w:t>come</w:t>
      </w:r>
      <w:r>
        <w:rPr>
          <w:color w:val="231F20"/>
          <w:spacing w:val="-15"/>
        </w:rPr>
        <w:t> </w:t>
      </w:r>
      <w:r>
        <w:rPr>
          <w:color w:val="231F20"/>
        </w:rPr>
        <w:t>un</w:t>
      </w:r>
      <w:r>
        <w:rPr>
          <w:color w:val="231F20"/>
          <w:spacing w:val="-15"/>
        </w:rPr>
        <w:t> </w:t>
      </w:r>
      <w:r>
        <w:rPr>
          <w:color w:val="231F20"/>
          <w:spacing w:val="-4"/>
        </w:rPr>
        <w:t>vicolo</w:t>
      </w:r>
      <w:r>
        <w:rPr>
          <w:color w:val="231F20"/>
          <w:spacing w:val="-15"/>
        </w:rPr>
        <w:t> </w:t>
      </w:r>
      <w:r>
        <w:rPr>
          <w:color w:val="231F20"/>
          <w:spacing w:val="-4"/>
        </w:rPr>
        <w:t>cieco,</w:t>
      </w:r>
      <w:r>
        <w:rPr>
          <w:color w:val="231F20"/>
          <w:spacing w:val="-15"/>
        </w:rPr>
        <w:t> </w:t>
      </w:r>
      <w:r>
        <w:rPr>
          <w:color w:val="231F20"/>
          <w:spacing w:val="-3"/>
        </w:rPr>
        <w:t>una</w:t>
      </w:r>
      <w:r>
        <w:rPr>
          <w:color w:val="231F20"/>
          <w:spacing w:val="-15"/>
        </w:rPr>
        <w:t> </w:t>
      </w:r>
      <w:r>
        <w:rPr>
          <w:color w:val="231F20"/>
          <w:spacing w:val="-4"/>
        </w:rPr>
        <w:t>“specializzazione </w:t>
      </w:r>
      <w:r>
        <w:rPr>
          <w:color w:val="231F20"/>
        </w:rPr>
        <w:t>mancata dello sviluppo umano”</w:t>
      </w:r>
      <w:r>
        <w:rPr>
          <w:color w:val="231F20"/>
          <w:position w:val="7"/>
          <w:sz w:val="12"/>
        </w:rPr>
        <w:t>21</w:t>
      </w:r>
      <w:r>
        <w:rPr>
          <w:color w:val="231F20"/>
        </w:rPr>
        <w:t>. Se rende poco probabile la realizzazione di uno Stato mondiale, quale estensione al globo nel suo complesso del modello</w:t>
      </w:r>
      <w:r>
        <w:rPr>
          <w:color w:val="231F20"/>
          <w:spacing w:val="-17"/>
        </w:rPr>
        <w:t> </w:t>
      </w:r>
      <w:r>
        <w:rPr>
          <w:color w:val="231F20"/>
        </w:rPr>
        <w:t>di</w:t>
      </w:r>
      <w:r>
        <w:rPr>
          <w:color w:val="231F20"/>
          <w:spacing w:val="-17"/>
        </w:rPr>
        <w:t> </w:t>
      </w:r>
      <w:r>
        <w:rPr>
          <w:color w:val="231F20"/>
        </w:rPr>
        <w:t>Stato</w:t>
      </w:r>
      <w:r>
        <w:rPr>
          <w:color w:val="231F20"/>
          <w:spacing w:val="-17"/>
        </w:rPr>
        <w:t> </w:t>
      </w:r>
      <w:r>
        <w:rPr>
          <w:color w:val="231F20"/>
        </w:rPr>
        <w:t>nazionale</w:t>
      </w:r>
      <w:r>
        <w:rPr>
          <w:color w:val="231F20"/>
          <w:spacing w:val="-17"/>
        </w:rPr>
        <w:t> </w:t>
      </w:r>
      <w:r>
        <w:rPr>
          <w:color w:val="231F20"/>
        </w:rPr>
        <w:t>unitario,</w:t>
      </w:r>
      <w:r>
        <w:rPr>
          <w:color w:val="231F20"/>
          <w:spacing w:val="-17"/>
        </w:rPr>
        <w:t> </w:t>
      </w:r>
      <w:r>
        <w:rPr>
          <w:color w:val="231F20"/>
        </w:rPr>
        <w:t>la</w:t>
      </w:r>
      <w:r>
        <w:rPr>
          <w:color w:val="231F20"/>
          <w:spacing w:val="-17"/>
        </w:rPr>
        <w:t> </w:t>
      </w:r>
      <w:r>
        <w:rPr>
          <w:color w:val="231F20"/>
        </w:rPr>
        <w:t>centralità</w:t>
      </w:r>
      <w:r>
        <w:rPr>
          <w:color w:val="231F20"/>
          <w:spacing w:val="-17"/>
        </w:rPr>
        <w:t> </w:t>
      </w:r>
      <w:r>
        <w:rPr>
          <w:color w:val="231F20"/>
        </w:rPr>
        <w:t>politica</w:t>
      </w:r>
      <w:r>
        <w:rPr>
          <w:color w:val="231F20"/>
          <w:spacing w:val="-17"/>
        </w:rPr>
        <w:t> </w:t>
      </w:r>
      <w:r>
        <w:rPr>
          <w:color w:val="231F20"/>
        </w:rPr>
        <w:t>assunta</w:t>
      </w:r>
      <w:r>
        <w:rPr>
          <w:color w:val="231F20"/>
          <w:spacing w:val="-17"/>
        </w:rPr>
        <w:t> </w:t>
      </w:r>
      <w:r>
        <w:rPr>
          <w:color w:val="231F20"/>
        </w:rPr>
        <w:t>dai</w:t>
      </w:r>
      <w:r>
        <w:rPr>
          <w:color w:val="231F20"/>
          <w:spacing w:val="-17"/>
        </w:rPr>
        <w:t> </w:t>
      </w:r>
      <w:r>
        <w:rPr>
          <w:color w:val="231F20"/>
        </w:rPr>
        <w:t>processi evolutivi della società lascia però la porta aperta, e anzi pone in maniera ancora più decisa, il problema di una statualità</w:t>
      </w:r>
      <w:r>
        <w:rPr>
          <w:color w:val="231F20"/>
          <w:spacing w:val="4"/>
        </w:rPr>
        <w:t> </w:t>
      </w:r>
      <w:r>
        <w:rPr>
          <w:color w:val="231F20"/>
        </w:rPr>
        <w:t>mondiale</w:t>
      </w:r>
      <w:r>
        <w:rPr>
          <w:color w:val="231F20"/>
          <w:position w:val="7"/>
          <w:sz w:val="12"/>
        </w:rPr>
        <w:t>22</w:t>
      </w:r>
      <w:r>
        <w:rPr>
          <w:color w:val="231F20"/>
        </w:rPr>
        <w:t>.</w:t>
      </w:r>
    </w:p>
    <w:p>
      <w:pPr>
        <w:pStyle w:val="BodyText"/>
        <w:spacing w:line="247" w:lineRule="auto"/>
        <w:ind w:left="103" w:right="111" w:firstLine="566"/>
        <w:jc w:val="both"/>
      </w:pPr>
      <w:r>
        <w:rPr>
          <w:color w:val="231F20"/>
          <w:w w:val="105"/>
        </w:rPr>
        <w:t>Si tratta dunque di indagare il concetto di Stato globale nelle sue differenze</w:t>
      </w:r>
      <w:r>
        <w:rPr>
          <w:color w:val="231F20"/>
          <w:spacing w:val="-45"/>
          <w:w w:val="105"/>
        </w:rPr>
        <w:t> </w:t>
      </w:r>
      <w:r>
        <w:rPr>
          <w:color w:val="231F20"/>
          <w:w w:val="105"/>
        </w:rPr>
        <w:t>e</w:t>
      </w:r>
      <w:r>
        <w:rPr>
          <w:color w:val="231F20"/>
          <w:spacing w:val="-45"/>
          <w:w w:val="105"/>
        </w:rPr>
        <w:t> </w:t>
      </w:r>
      <w:r>
        <w:rPr>
          <w:color w:val="231F20"/>
          <w:w w:val="105"/>
        </w:rPr>
        <w:t>continuità</w:t>
      </w:r>
      <w:r>
        <w:rPr>
          <w:color w:val="231F20"/>
          <w:spacing w:val="-45"/>
          <w:w w:val="105"/>
        </w:rPr>
        <w:t> </w:t>
      </w:r>
      <w:r>
        <w:rPr>
          <w:color w:val="231F20"/>
          <w:w w:val="105"/>
        </w:rPr>
        <w:t>con</w:t>
      </w:r>
      <w:r>
        <w:rPr>
          <w:color w:val="231F20"/>
          <w:spacing w:val="-45"/>
          <w:w w:val="105"/>
        </w:rPr>
        <w:t> </w:t>
      </w:r>
      <w:r>
        <w:rPr>
          <w:color w:val="231F20"/>
          <w:w w:val="105"/>
        </w:rPr>
        <w:t>quello</w:t>
      </w:r>
      <w:r>
        <w:rPr>
          <w:color w:val="231F20"/>
          <w:spacing w:val="-45"/>
          <w:w w:val="105"/>
        </w:rPr>
        <w:t> </w:t>
      </w:r>
      <w:r>
        <w:rPr>
          <w:color w:val="231F20"/>
          <w:w w:val="105"/>
        </w:rPr>
        <w:t>che,</w:t>
      </w:r>
      <w:r>
        <w:rPr>
          <w:color w:val="231F20"/>
          <w:spacing w:val="-45"/>
          <w:w w:val="105"/>
        </w:rPr>
        <w:t> </w:t>
      </w:r>
      <w:r>
        <w:rPr>
          <w:color w:val="231F20"/>
          <w:w w:val="105"/>
        </w:rPr>
        <w:t>con</w:t>
      </w:r>
      <w:r>
        <w:rPr>
          <w:color w:val="231F20"/>
          <w:spacing w:val="-45"/>
          <w:w w:val="105"/>
        </w:rPr>
        <w:t> </w:t>
      </w:r>
      <w:r>
        <w:rPr>
          <w:color w:val="231F20"/>
          <w:w w:val="105"/>
        </w:rPr>
        <w:t>una</w:t>
      </w:r>
      <w:r>
        <w:rPr>
          <w:color w:val="231F20"/>
          <w:spacing w:val="-45"/>
          <w:w w:val="105"/>
        </w:rPr>
        <w:t> </w:t>
      </w:r>
      <w:r>
        <w:rPr>
          <w:color w:val="231F20"/>
          <w:w w:val="105"/>
        </w:rPr>
        <w:t>formulazione</w:t>
      </w:r>
      <w:r>
        <w:rPr>
          <w:color w:val="231F20"/>
          <w:spacing w:val="-45"/>
          <w:w w:val="105"/>
        </w:rPr>
        <w:t> </w:t>
      </w:r>
      <w:r>
        <w:rPr>
          <w:color w:val="231F20"/>
          <w:w w:val="105"/>
        </w:rPr>
        <w:t>ormai</w:t>
      </w:r>
      <w:r>
        <w:rPr>
          <w:color w:val="231F20"/>
          <w:spacing w:val="-45"/>
          <w:w w:val="105"/>
        </w:rPr>
        <w:t> </w:t>
      </w:r>
      <w:r>
        <w:rPr>
          <w:color w:val="231F20"/>
          <w:w w:val="105"/>
        </w:rPr>
        <w:t>classica, viene</w:t>
      </w:r>
      <w:r>
        <w:rPr>
          <w:color w:val="231F20"/>
          <w:spacing w:val="-51"/>
          <w:w w:val="105"/>
        </w:rPr>
        <w:t> </w:t>
      </w:r>
      <w:r>
        <w:rPr>
          <w:color w:val="231F20"/>
          <w:w w:val="105"/>
        </w:rPr>
        <w:t>definito</w:t>
      </w:r>
      <w:r>
        <w:rPr>
          <w:color w:val="231F20"/>
          <w:spacing w:val="-51"/>
          <w:w w:val="105"/>
        </w:rPr>
        <w:t> </w:t>
      </w:r>
      <w:r>
        <w:rPr>
          <w:color w:val="231F20"/>
          <w:w w:val="105"/>
        </w:rPr>
        <w:t>lo</w:t>
      </w:r>
      <w:r>
        <w:rPr>
          <w:color w:val="231F20"/>
          <w:spacing w:val="-51"/>
          <w:w w:val="105"/>
        </w:rPr>
        <w:t> </w:t>
      </w:r>
      <w:r>
        <w:rPr>
          <w:color w:val="231F20"/>
          <w:w w:val="105"/>
        </w:rPr>
        <w:t>Stato</w:t>
      </w:r>
      <w:r>
        <w:rPr>
          <w:color w:val="231F20"/>
          <w:spacing w:val="-51"/>
          <w:w w:val="105"/>
        </w:rPr>
        <w:t> </w:t>
      </w:r>
      <w:r>
        <w:rPr>
          <w:color w:val="231F20"/>
          <w:w w:val="105"/>
        </w:rPr>
        <w:t>moderno.</w:t>
      </w:r>
      <w:r>
        <w:rPr>
          <w:color w:val="231F20"/>
          <w:spacing w:val="-51"/>
          <w:w w:val="105"/>
        </w:rPr>
        <w:t> </w:t>
      </w:r>
      <w:r>
        <w:rPr>
          <w:color w:val="231F20"/>
          <w:w w:val="105"/>
        </w:rPr>
        <w:t>Concettualizzare</w:t>
      </w:r>
      <w:r>
        <w:rPr>
          <w:color w:val="231F20"/>
          <w:spacing w:val="-51"/>
          <w:w w:val="105"/>
        </w:rPr>
        <w:t> </w:t>
      </w:r>
      <w:r>
        <w:rPr>
          <w:color w:val="231F20"/>
          <w:w w:val="105"/>
        </w:rPr>
        <w:t>lo</w:t>
      </w:r>
      <w:r>
        <w:rPr>
          <w:color w:val="231F20"/>
          <w:spacing w:val="-51"/>
          <w:w w:val="105"/>
        </w:rPr>
        <w:t> </w:t>
      </w:r>
      <w:r>
        <w:rPr>
          <w:color w:val="231F20"/>
          <w:w w:val="105"/>
        </w:rPr>
        <w:t>Stato</w:t>
      </w:r>
      <w:r>
        <w:rPr>
          <w:color w:val="231F20"/>
          <w:spacing w:val="-51"/>
          <w:w w:val="105"/>
        </w:rPr>
        <w:t> </w:t>
      </w:r>
      <w:r>
        <w:rPr>
          <w:color w:val="231F20"/>
          <w:w w:val="105"/>
        </w:rPr>
        <w:t>significa</w:t>
      </w:r>
      <w:r>
        <w:rPr>
          <w:color w:val="231F20"/>
          <w:spacing w:val="-51"/>
          <w:w w:val="105"/>
        </w:rPr>
        <w:t> </w:t>
      </w:r>
      <w:r>
        <w:rPr>
          <w:color w:val="231F20"/>
          <w:w w:val="105"/>
        </w:rPr>
        <w:t>costruire uno</w:t>
      </w:r>
      <w:r>
        <w:rPr>
          <w:color w:val="231F20"/>
          <w:spacing w:val="-33"/>
          <w:w w:val="105"/>
        </w:rPr>
        <w:t> </w:t>
      </w:r>
      <w:r>
        <w:rPr>
          <w:color w:val="231F20"/>
          <w:w w:val="105"/>
        </w:rPr>
        <w:t>strumento</w:t>
      </w:r>
      <w:r>
        <w:rPr>
          <w:color w:val="231F20"/>
          <w:spacing w:val="-33"/>
          <w:w w:val="105"/>
        </w:rPr>
        <w:t> </w:t>
      </w:r>
      <w:r>
        <w:rPr>
          <w:color w:val="231F20"/>
          <w:w w:val="105"/>
        </w:rPr>
        <w:t>storicamente</w:t>
      </w:r>
      <w:r>
        <w:rPr>
          <w:color w:val="231F20"/>
          <w:spacing w:val="-33"/>
          <w:w w:val="105"/>
        </w:rPr>
        <w:t> </w:t>
      </w:r>
      <w:r>
        <w:rPr>
          <w:color w:val="231F20"/>
          <w:w w:val="105"/>
        </w:rPr>
        <w:t>coerente</w:t>
      </w:r>
      <w:r>
        <w:rPr>
          <w:color w:val="231F20"/>
          <w:spacing w:val="-33"/>
          <w:w w:val="105"/>
        </w:rPr>
        <w:t> </w:t>
      </w:r>
      <w:r>
        <w:rPr>
          <w:color w:val="231F20"/>
          <w:w w:val="105"/>
        </w:rPr>
        <w:t>e</w:t>
      </w:r>
      <w:r>
        <w:rPr>
          <w:color w:val="231F20"/>
          <w:spacing w:val="-33"/>
          <w:w w:val="105"/>
        </w:rPr>
        <w:t> </w:t>
      </w:r>
      <w:r>
        <w:rPr>
          <w:color w:val="231F20"/>
          <w:w w:val="105"/>
        </w:rPr>
        <w:t>significativo</w:t>
      </w:r>
      <w:r>
        <w:rPr>
          <w:color w:val="231F20"/>
          <w:spacing w:val="-33"/>
          <w:w w:val="105"/>
        </w:rPr>
        <w:t> </w:t>
      </w:r>
      <w:r>
        <w:rPr>
          <w:color w:val="231F20"/>
          <w:w w:val="105"/>
        </w:rPr>
        <w:t>che</w:t>
      </w:r>
      <w:r>
        <w:rPr>
          <w:color w:val="231F20"/>
          <w:spacing w:val="-33"/>
          <w:w w:val="105"/>
        </w:rPr>
        <w:t> </w:t>
      </w:r>
      <w:r>
        <w:rPr>
          <w:color w:val="231F20"/>
          <w:w w:val="105"/>
        </w:rPr>
        <w:t>tenga</w:t>
      </w:r>
      <w:r>
        <w:rPr>
          <w:color w:val="231F20"/>
          <w:spacing w:val="-33"/>
          <w:w w:val="105"/>
        </w:rPr>
        <w:t> </w:t>
      </w:r>
      <w:r>
        <w:rPr>
          <w:color w:val="231F20"/>
          <w:w w:val="105"/>
        </w:rPr>
        <w:t>conto</w:t>
      </w:r>
      <w:r>
        <w:rPr>
          <w:color w:val="231F20"/>
          <w:spacing w:val="-33"/>
          <w:w w:val="105"/>
        </w:rPr>
        <w:t> </w:t>
      </w:r>
      <w:r>
        <w:rPr>
          <w:color w:val="231F20"/>
          <w:w w:val="105"/>
        </w:rPr>
        <w:t>delle </w:t>
      </w:r>
      <w:r>
        <w:rPr>
          <w:color w:val="231F20"/>
          <w:spacing w:val="-3"/>
          <w:w w:val="105"/>
        </w:rPr>
        <w:t>trasformazioni</w:t>
      </w:r>
      <w:r>
        <w:rPr>
          <w:color w:val="231F20"/>
          <w:spacing w:val="-42"/>
          <w:w w:val="105"/>
        </w:rPr>
        <w:t> </w:t>
      </w:r>
      <w:r>
        <w:rPr>
          <w:color w:val="231F20"/>
          <w:spacing w:val="-3"/>
          <w:w w:val="105"/>
        </w:rPr>
        <w:t>intervenute</w:t>
      </w:r>
      <w:r>
        <w:rPr>
          <w:color w:val="231F20"/>
          <w:spacing w:val="-42"/>
          <w:w w:val="105"/>
        </w:rPr>
        <w:t> </w:t>
      </w:r>
      <w:r>
        <w:rPr>
          <w:color w:val="231F20"/>
          <w:spacing w:val="-3"/>
          <w:w w:val="105"/>
        </w:rPr>
        <w:t>all’interno</w:t>
      </w:r>
      <w:r>
        <w:rPr>
          <w:color w:val="231F20"/>
          <w:spacing w:val="-42"/>
          <w:w w:val="105"/>
        </w:rPr>
        <w:t> </w:t>
      </w:r>
      <w:r>
        <w:rPr>
          <w:color w:val="231F20"/>
          <w:spacing w:val="-3"/>
          <w:w w:val="105"/>
        </w:rPr>
        <w:t>delle</w:t>
      </w:r>
      <w:r>
        <w:rPr>
          <w:color w:val="231F20"/>
          <w:spacing w:val="-42"/>
          <w:w w:val="105"/>
        </w:rPr>
        <w:t> </w:t>
      </w:r>
      <w:r>
        <w:rPr>
          <w:color w:val="231F20"/>
          <w:spacing w:val="-3"/>
          <w:w w:val="105"/>
        </w:rPr>
        <w:t>discipline</w:t>
      </w:r>
      <w:r>
        <w:rPr>
          <w:color w:val="231F20"/>
          <w:spacing w:val="-42"/>
          <w:w w:val="105"/>
        </w:rPr>
        <w:t> </w:t>
      </w:r>
      <w:r>
        <w:rPr>
          <w:color w:val="231F20"/>
          <w:spacing w:val="-3"/>
          <w:w w:val="105"/>
        </w:rPr>
        <w:t>politiche</w:t>
      </w:r>
      <w:r>
        <w:rPr>
          <w:color w:val="231F20"/>
          <w:spacing w:val="-42"/>
          <w:w w:val="105"/>
        </w:rPr>
        <w:t> </w:t>
      </w:r>
      <w:r>
        <w:rPr>
          <w:color w:val="231F20"/>
          <w:w w:val="105"/>
        </w:rPr>
        <w:t>del</w:t>
      </w:r>
      <w:r>
        <w:rPr>
          <w:color w:val="231F20"/>
          <w:spacing w:val="-42"/>
          <w:w w:val="105"/>
        </w:rPr>
        <w:t> </w:t>
      </w:r>
      <w:r>
        <w:rPr>
          <w:color w:val="231F20"/>
          <w:spacing w:val="-3"/>
          <w:w w:val="105"/>
        </w:rPr>
        <w:t>sociale</w:t>
      </w:r>
      <w:r>
        <w:rPr>
          <w:color w:val="231F20"/>
          <w:spacing w:val="-42"/>
          <w:w w:val="105"/>
        </w:rPr>
        <w:t> </w:t>
      </w:r>
      <w:r>
        <w:rPr>
          <w:color w:val="231F20"/>
          <w:spacing w:val="-3"/>
          <w:w w:val="105"/>
        </w:rPr>
        <w:t>che </w:t>
      </w:r>
      <w:r>
        <w:rPr>
          <w:color w:val="231F20"/>
          <w:w w:val="105"/>
        </w:rPr>
        <w:t>di</w:t>
      </w:r>
      <w:r>
        <w:rPr>
          <w:color w:val="231F20"/>
          <w:spacing w:val="-24"/>
          <w:w w:val="105"/>
        </w:rPr>
        <w:t> </w:t>
      </w:r>
      <w:r>
        <w:rPr>
          <w:color w:val="231F20"/>
          <w:w w:val="105"/>
        </w:rPr>
        <w:t>Stato</w:t>
      </w:r>
      <w:r>
        <w:rPr>
          <w:color w:val="231F20"/>
          <w:spacing w:val="-24"/>
          <w:w w:val="105"/>
        </w:rPr>
        <w:t> </w:t>
      </w:r>
      <w:r>
        <w:rPr>
          <w:color w:val="231F20"/>
          <w:w w:val="105"/>
        </w:rPr>
        <w:t>si</w:t>
      </w:r>
      <w:r>
        <w:rPr>
          <w:color w:val="231F20"/>
          <w:spacing w:val="-24"/>
          <w:w w:val="105"/>
        </w:rPr>
        <w:t> </w:t>
      </w:r>
      <w:r>
        <w:rPr>
          <w:color w:val="231F20"/>
          <w:w w:val="105"/>
        </w:rPr>
        <w:t>sono</w:t>
      </w:r>
      <w:r>
        <w:rPr>
          <w:color w:val="231F20"/>
          <w:spacing w:val="-24"/>
          <w:w w:val="105"/>
        </w:rPr>
        <w:t> </w:t>
      </w:r>
      <w:r>
        <w:rPr>
          <w:color w:val="231F20"/>
          <w:w w:val="105"/>
        </w:rPr>
        <w:t>occupate</w:t>
      </w:r>
      <w:r>
        <w:rPr>
          <w:color w:val="231F20"/>
          <w:spacing w:val="-24"/>
          <w:w w:val="105"/>
        </w:rPr>
        <w:t> </w:t>
      </w:r>
      <w:r>
        <w:rPr>
          <w:color w:val="231F20"/>
          <w:w w:val="105"/>
        </w:rPr>
        <w:t>e</w:t>
      </w:r>
      <w:r>
        <w:rPr>
          <w:color w:val="231F20"/>
          <w:spacing w:val="-24"/>
          <w:w w:val="105"/>
        </w:rPr>
        <w:t> </w:t>
      </w:r>
      <w:r>
        <w:rPr>
          <w:color w:val="231F20"/>
          <w:w w:val="105"/>
        </w:rPr>
        <w:t>che</w:t>
      </w:r>
      <w:r>
        <w:rPr>
          <w:color w:val="231F20"/>
          <w:spacing w:val="-24"/>
          <w:w w:val="105"/>
        </w:rPr>
        <w:t> </w:t>
      </w:r>
      <w:r>
        <w:rPr>
          <w:color w:val="231F20"/>
          <w:w w:val="105"/>
        </w:rPr>
        <w:t>hanno</w:t>
      </w:r>
      <w:r>
        <w:rPr>
          <w:color w:val="231F20"/>
          <w:spacing w:val="-24"/>
          <w:w w:val="105"/>
        </w:rPr>
        <w:t> </w:t>
      </w:r>
      <w:r>
        <w:rPr>
          <w:color w:val="231F20"/>
          <w:w w:val="105"/>
        </w:rPr>
        <w:t>contribuito</w:t>
      </w:r>
      <w:r>
        <w:rPr>
          <w:color w:val="231F20"/>
          <w:spacing w:val="-24"/>
          <w:w w:val="105"/>
        </w:rPr>
        <w:t> </w:t>
      </w:r>
      <w:r>
        <w:rPr>
          <w:color w:val="231F20"/>
          <w:w w:val="105"/>
        </w:rPr>
        <w:t>a</w:t>
      </w:r>
      <w:r>
        <w:rPr>
          <w:color w:val="231F20"/>
          <w:spacing w:val="-24"/>
          <w:w w:val="105"/>
        </w:rPr>
        <w:t> </w:t>
      </w:r>
      <w:r>
        <w:rPr>
          <w:color w:val="231F20"/>
          <w:w w:val="105"/>
        </w:rPr>
        <w:t>definirlo</w:t>
      </w:r>
      <w:r>
        <w:rPr>
          <w:color w:val="231F20"/>
          <w:spacing w:val="-24"/>
          <w:w w:val="105"/>
        </w:rPr>
        <w:t> </w:t>
      </w:r>
      <w:r>
        <w:rPr>
          <w:color w:val="231F20"/>
          <w:w w:val="105"/>
        </w:rPr>
        <w:t>proprio</w:t>
      </w:r>
      <w:r>
        <w:rPr>
          <w:color w:val="231F20"/>
          <w:spacing w:val="-24"/>
          <w:w w:val="105"/>
        </w:rPr>
        <w:t> </w:t>
      </w:r>
      <w:r>
        <w:rPr>
          <w:color w:val="231F20"/>
          <w:w w:val="105"/>
        </w:rPr>
        <w:t>come </w:t>
      </w:r>
      <w:r>
        <w:rPr>
          <w:color w:val="231F20"/>
          <w:spacing w:val="-3"/>
          <w:w w:val="105"/>
        </w:rPr>
        <w:t>oggetto</w:t>
      </w:r>
      <w:r>
        <w:rPr>
          <w:color w:val="231F20"/>
          <w:spacing w:val="-35"/>
          <w:w w:val="105"/>
        </w:rPr>
        <w:t> </w:t>
      </w:r>
      <w:r>
        <w:rPr>
          <w:color w:val="231F20"/>
          <w:spacing w:val="-4"/>
          <w:w w:val="105"/>
        </w:rPr>
        <w:t>disciplinare.</w:t>
      </w:r>
      <w:r>
        <w:rPr>
          <w:color w:val="231F20"/>
          <w:spacing w:val="-35"/>
          <w:w w:val="105"/>
        </w:rPr>
        <w:t> </w:t>
      </w:r>
      <w:r>
        <w:rPr>
          <w:color w:val="231F20"/>
          <w:spacing w:val="-6"/>
          <w:w w:val="105"/>
        </w:rPr>
        <w:t>Vale</w:t>
      </w:r>
      <w:r>
        <w:rPr>
          <w:color w:val="231F20"/>
          <w:spacing w:val="-35"/>
          <w:w w:val="105"/>
        </w:rPr>
        <w:t> </w:t>
      </w:r>
      <w:r>
        <w:rPr>
          <w:color w:val="231F20"/>
          <w:w w:val="105"/>
        </w:rPr>
        <w:t>la</w:t>
      </w:r>
      <w:r>
        <w:rPr>
          <w:color w:val="231F20"/>
          <w:spacing w:val="-35"/>
          <w:w w:val="105"/>
        </w:rPr>
        <w:t> </w:t>
      </w:r>
      <w:r>
        <w:rPr>
          <w:color w:val="231F20"/>
          <w:spacing w:val="-3"/>
          <w:w w:val="105"/>
        </w:rPr>
        <w:t>pena</w:t>
      </w:r>
      <w:r>
        <w:rPr>
          <w:color w:val="231F20"/>
          <w:spacing w:val="-35"/>
          <w:w w:val="105"/>
        </w:rPr>
        <w:t> </w:t>
      </w:r>
      <w:r>
        <w:rPr>
          <w:color w:val="231F20"/>
          <w:spacing w:val="-4"/>
          <w:w w:val="105"/>
        </w:rPr>
        <w:t>sottolineare</w:t>
      </w:r>
      <w:r>
        <w:rPr>
          <w:color w:val="231F20"/>
          <w:spacing w:val="-35"/>
          <w:w w:val="105"/>
        </w:rPr>
        <w:t> </w:t>
      </w:r>
      <w:r>
        <w:rPr>
          <w:color w:val="231F20"/>
          <w:w w:val="105"/>
        </w:rPr>
        <w:t>che</w:t>
      </w:r>
      <w:r>
        <w:rPr>
          <w:color w:val="231F20"/>
          <w:spacing w:val="-35"/>
          <w:w w:val="105"/>
        </w:rPr>
        <w:t> </w:t>
      </w:r>
      <w:r>
        <w:rPr>
          <w:color w:val="231F20"/>
          <w:spacing w:val="-3"/>
          <w:w w:val="105"/>
        </w:rPr>
        <w:t>l’intento</w:t>
      </w:r>
      <w:r>
        <w:rPr>
          <w:color w:val="231F20"/>
          <w:spacing w:val="-35"/>
          <w:w w:val="105"/>
        </w:rPr>
        <w:t> </w:t>
      </w:r>
      <w:r>
        <w:rPr>
          <w:color w:val="231F20"/>
          <w:w w:val="105"/>
        </w:rPr>
        <w:t>è</w:t>
      </w:r>
      <w:r>
        <w:rPr>
          <w:color w:val="231F20"/>
          <w:spacing w:val="-35"/>
          <w:w w:val="105"/>
        </w:rPr>
        <w:t> </w:t>
      </w:r>
      <w:r>
        <w:rPr>
          <w:color w:val="231F20"/>
          <w:spacing w:val="-4"/>
          <w:w w:val="105"/>
        </w:rPr>
        <w:t>proprio</w:t>
      </w:r>
      <w:r>
        <w:rPr>
          <w:color w:val="231F20"/>
          <w:spacing w:val="-35"/>
          <w:w w:val="105"/>
        </w:rPr>
        <w:t> </w:t>
      </w:r>
      <w:r>
        <w:rPr>
          <w:color w:val="231F20"/>
          <w:spacing w:val="-3"/>
          <w:w w:val="105"/>
        </w:rPr>
        <w:t>quello</w:t>
      </w:r>
      <w:r>
        <w:rPr>
          <w:color w:val="231F20"/>
          <w:spacing w:val="-35"/>
          <w:w w:val="105"/>
        </w:rPr>
        <w:t> </w:t>
      </w:r>
      <w:r>
        <w:rPr>
          <w:color w:val="231F20"/>
          <w:w w:val="105"/>
        </w:rPr>
        <w:t>di </w:t>
      </w:r>
      <w:r>
        <w:rPr>
          <w:color w:val="231F20"/>
          <w:spacing w:val="-4"/>
          <w:w w:val="105"/>
        </w:rPr>
        <w:t>ricostruire</w:t>
      </w:r>
      <w:r>
        <w:rPr>
          <w:color w:val="231F20"/>
          <w:spacing w:val="-48"/>
          <w:w w:val="105"/>
        </w:rPr>
        <w:t> </w:t>
      </w:r>
      <w:r>
        <w:rPr>
          <w:color w:val="231F20"/>
          <w:w w:val="105"/>
        </w:rPr>
        <w:t>il</w:t>
      </w:r>
      <w:r>
        <w:rPr>
          <w:color w:val="231F20"/>
          <w:spacing w:val="-48"/>
          <w:w w:val="105"/>
        </w:rPr>
        <w:t> </w:t>
      </w:r>
      <w:r>
        <w:rPr>
          <w:color w:val="231F20"/>
          <w:spacing w:val="-3"/>
          <w:w w:val="105"/>
        </w:rPr>
        <w:t>concetto</w:t>
      </w:r>
      <w:r>
        <w:rPr>
          <w:color w:val="231F20"/>
          <w:spacing w:val="-48"/>
          <w:w w:val="105"/>
        </w:rPr>
        <w:t> </w:t>
      </w:r>
      <w:r>
        <w:rPr>
          <w:color w:val="231F20"/>
          <w:w w:val="105"/>
        </w:rPr>
        <w:t>per</w:t>
      </w:r>
      <w:r>
        <w:rPr>
          <w:color w:val="231F20"/>
          <w:spacing w:val="-48"/>
          <w:w w:val="105"/>
        </w:rPr>
        <w:t> </w:t>
      </w:r>
      <w:r>
        <w:rPr>
          <w:color w:val="231F20"/>
          <w:spacing w:val="-4"/>
          <w:w w:val="105"/>
        </w:rPr>
        <w:t>andare</w:t>
      </w:r>
      <w:r>
        <w:rPr>
          <w:color w:val="231F20"/>
          <w:spacing w:val="-48"/>
          <w:w w:val="105"/>
        </w:rPr>
        <w:t> </w:t>
      </w:r>
      <w:r>
        <w:rPr>
          <w:color w:val="231F20"/>
          <w:spacing w:val="-4"/>
          <w:w w:val="105"/>
        </w:rPr>
        <w:t>oltre</w:t>
      </w:r>
      <w:r>
        <w:rPr>
          <w:color w:val="231F20"/>
          <w:spacing w:val="-48"/>
          <w:w w:val="105"/>
        </w:rPr>
        <w:t> </w:t>
      </w:r>
      <w:r>
        <w:rPr>
          <w:color w:val="231F20"/>
          <w:w w:val="105"/>
        </w:rPr>
        <w:t>la</w:t>
      </w:r>
      <w:r>
        <w:rPr>
          <w:color w:val="231F20"/>
          <w:spacing w:val="-48"/>
          <w:w w:val="105"/>
        </w:rPr>
        <w:t> </w:t>
      </w:r>
      <w:r>
        <w:rPr>
          <w:color w:val="231F20"/>
          <w:spacing w:val="-3"/>
          <w:w w:val="105"/>
        </w:rPr>
        <w:t>moltiplicazione</w:t>
      </w:r>
      <w:r>
        <w:rPr>
          <w:color w:val="231F20"/>
          <w:spacing w:val="-48"/>
          <w:w w:val="105"/>
        </w:rPr>
        <w:t> </w:t>
      </w:r>
      <w:r>
        <w:rPr>
          <w:color w:val="231F20"/>
          <w:spacing w:val="-3"/>
          <w:w w:val="105"/>
        </w:rPr>
        <w:t>territoriale,</w:t>
      </w:r>
      <w:r>
        <w:rPr>
          <w:color w:val="231F20"/>
          <w:spacing w:val="-48"/>
          <w:w w:val="105"/>
        </w:rPr>
        <w:t> </w:t>
      </w:r>
      <w:r>
        <w:rPr>
          <w:color w:val="231F20"/>
          <w:w w:val="105"/>
        </w:rPr>
        <w:t>ma</w:t>
      </w:r>
      <w:r>
        <w:rPr>
          <w:color w:val="231F20"/>
          <w:spacing w:val="-48"/>
          <w:w w:val="105"/>
        </w:rPr>
        <w:t> </w:t>
      </w:r>
      <w:r>
        <w:rPr>
          <w:color w:val="231F20"/>
          <w:spacing w:val="-3"/>
          <w:w w:val="105"/>
        </w:rPr>
        <w:t>anche</w:t>
      </w:r>
    </w:p>
    <w:p>
      <w:pPr>
        <w:pStyle w:val="BodyText"/>
        <w:spacing w:before="6"/>
        <w:rPr>
          <w:sz w:val="26"/>
        </w:rPr>
      </w:pPr>
      <w:r>
        <w:rPr/>
        <w:pict>
          <v:line style="position:absolute;mso-position-horizontal-relative:page;mso-position-vertical-relative:paragraph;z-index:10168;mso-wrap-distance-left:0;mso-wrap-distance-right:0" from="65.1968pt,18.133781pt" to="178.5828pt,18.133781pt" stroked="true" strokeweight=".3pt" strokecolor="#231f20">
            <w10:wrap type="topAndBottom"/>
          </v:line>
        </w:pict>
      </w:r>
    </w:p>
    <w:p>
      <w:pPr>
        <w:spacing w:line="206" w:lineRule="exact" w:before="10"/>
        <w:ind w:left="103" w:right="0" w:firstLine="0"/>
        <w:jc w:val="left"/>
        <w:rPr>
          <w:rFonts w:ascii="Calibri"/>
          <w:sz w:val="17"/>
        </w:rPr>
      </w:pPr>
      <w:r>
        <w:rPr>
          <w:rFonts w:ascii="Calibri"/>
          <w:color w:val="231F20"/>
          <w:position w:val="6"/>
          <w:sz w:val="10"/>
        </w:rPr>
        <w:t>19  </w:t>
      </w:r>
      <w:r>
        <w:rPr>
          <w:rFonts w:ascii="Calibri"/>
          <w:color w:val="231F20"/>
          <w:sz w:val="17"/>
        </w:rPr>
        <w:t>Skinner, p. 46.</w:t>
      </w:r>
    </w:p>
    <w:p>
      <w:pPr>
        <w:spacing w:line="235" w:lineRule="auto" w:before="1"/>
        <w:ind w:left="103" w:right="110" w:firstLine="0"/>
        <w:jc w:val="left"/>
        <w:rPr>
          <w:rFonts w:ascii="Calibri" w:hAnsi="Calibri"/>
          <w:sz w:val="17"/>
        </w:rPr>
      </w:pPr>
      <w:r>
        <w:rPr>
          <w:rFonts w:ascii="Calibri" w:hAnsi="Calibri"/>
          <w:color w:val="231F20"/>
          <w:w w:val="105"/>
          <w:position w:val="6"/>
          <w:sz w:val="10"/>
        </w:rPr>
        <w:t>20</w:t>
      </w:r>
      <w:r>
        <w:rPr>
          <w:rFonts w:ascii="Calibri" w:hAnsi="Calibri"/>
          <w:color w:val="231F20"/>
          <w:spacing w:val="-9"/>
          <w:w w:val="105"/>
          <w:position w:val="6"/>
          <w:sz w:val="10"/>
        </w:rPr>
        <w:t> </w:t>
      </w:r>
      <w:r>
        <w:rPr>
          <w:rFonts w:ascii="Calibri" w:hAnsi="Calibri"/>
          <w:color w:val="231F20"/>
          <w:spacing w:val="-10"/>
          <w:w w:val="105"/>
          <w:sz w:val="17"/>
        </w:rPr>
        <w:t>P.</w:t>
      </w:r>
      <w:r>
        <w:rPr>
          <w:rFonts w:ascii="Calibri" w:hAnsi="Calibri"/>
          <w:color w:val="231F20"/>
          <w:spacing w:val="-26"/>
          <w:w w:val="105"/>
          <w:sz w:val="17"/>
        </w:rPr>
        <w:t> </w:t>
      </w:r>
      <w:r>
        <w:rPr>
          <w:rFonts w:ascii="Calibri" w:hAnsi="Calibri"/>
          <w:color w:val="231F20"/>
          <w:w w:val="105"/>
          <w:sz w:val="17"/>
        </w:rPr>
        <w:t>Perulli,</w:t>
      </w:r>
      <w:r>
        <w:rPr>
          <w:rFonts w:ascii="Calibri" w:hAnsi="Calibri"/>
          <w:color w:val="231F20"/>
          <w:spacing w:val="-26"/>
          <w:w w:val="105"/>
          <w:sz w:val="17"/>
        </w:rPr>
        <w:t> </w:t>
      </w:r>
      <w:r>
        <w:rPr>
          <w:rFonts w:ascii="Calibri" w:hAnsi="Calibri"/>
          <w:i/>
          <w:color w:val="231F20"/>
          <w:w w:val="105"/>
          <w:sz w:val="17"/>
        </w:rPr>
        <w:t>Il</w:t>
      </w:r>
      <w:r>
        <w:rPr>
          <w:rFonts w:ascii="Calibri" w:hAnsi="Calibri"/>
          <w:i/>
          <w:color w:val="231F20"/>
          <w:spacing w:val="-26"/>
          <w:w w:val="105"/>
          <w:sz w:val="17"/>
        </w:rPr>
        <w:t> </w:t>
      </w:r>
      <w:r>
        <w:rPr>
          <w:rFonts w:ascii="Calibri" w:hAnsi="Calibri"/>
          <w:i/>
          <w:color w:val="231F20"/>
          <w:w w:val="105"/>
          <w:sz w:val="17"/>
        </w:rPr>
        <w:t>dio</w:t>
      </w:r>
      <w:r>
        <w:rPr>
          <w:rFonts w:ascii="Calibri" w:hAnsi="Calibri"/>
          <w:i/>
          <w:color w:val="231F20"/>
          <w:spacing w:val="-26"/>
          <w:w w:val="105"/>
          <w:sz w:val="17"/>
        </w:rPr>
        <w:t> </w:t>
      </w:r>
      <w:r>
        <w:rPr>
          <w:rFonts w:ascii="Calibri" w:hAnsi="Calibri"/>
          <w:i/>
          <w:color w:val="231F20"/>
          <w:w w:val="105"/>
          <w:sz w:val="17"/>
        </w:rPr>
        <w:t>contratto.</w:t>
      </w:r>
      <w:r>
        <w:rPr>
          <w:rFonts w:ascii="Calibri" w:hAnsi="Calibri"/>
          <w:i/>
          <w:color w:val="231F20"/>
          <w:spacing w:val="-26"/>
          <w:w w:val="105"/>
          <w:sz w:val="17"/>
        </w:rPr>
        <w:t> </w:t>
      </w:r>
      <w:r>
        <w:rPr>
          <w:rFonts w:ascii="Calibri" w:hAnsi="Calibri"/>
          <w:i/>
          <w:color w:val="231F20"/>
          <w:w w:val="105"/>
          <w:sz w:val="17"/>
        </w:rPr>
        <w:t>Origine</w:t>
      </w:r>
      <w:r>
        <w:rPr>
          <w:rFonts w:ascii="Calibri" w:hAnsi="Calibri"/>
          <w:i/>
          <w:color w:val="231F20"/>
          <w:spacing w:val="-26"/>
          <w:w w:val="105"/>
          <w:sz w:val="17"/>
        </w:rPr>
        <w:t> </w:t>
      </w:r>
      <w:r>
        <w:rPr>
          <w:rFonts w:ascii="Calibri" w:hAnsi="Calibri"/>
          <w:i/>
          <w:color w:val="231F20"/>
          <w:w w:val="105"/>
          <w:sz w:val="17"/>
        </w:rPr>
        <w:t>e</w:t>
      </w:r>
      <w:r>
        <w:rPr>
          <w:rFonts w:ascii="Calibri" w:hAnsi="Calibri"/>
          <w:i/>
          <w:color w:val="231F20"/>
          <w:spacing w:val="-26"/>
          <w:w w:val="105"/>
          <w:sz w:val="17"/>
        </w:rPr>
        <w:t> </w:t>
      </w:r>
      <w:r>
        <w:rPr>
          <w:rFonts w:ascii="Calibri" w:hAnsi="Calibri"/>
          <w:i/>
          <w:color w:val="231F20"/>
          <w:w w:val="105"/>
          <w:sz w:val="17"/>
        </w:rPr>
        <w:t>istituzione</w:t>
      </w:r>
      <w:r>
        <w:rPr>
          <w:rFonts w:ascii="Calibri" w:hAnsi="Calibri"/>
          <w:i/>
          <w:color w:val="231F20"/>
          <w:spacing w:val="-26"/>
          <w:w w:val="105"/>
          <w:sz w:val="17"/>
        </w:rPr>
        <w:t> </w:t>
      </w:r>
      <w:r>
        <w:rPr>
          <w:rFonts w:ascii="Calibri" w:hAnsi="Calibri"/>
          <w:i/>
          <w:color w:val="231F20"/>
          <w:w w:val="105"/>
          <w:sz w:val="17"/>
        </w:rPr>
        <w:t>della</w:t>
      </w:r>
      <w:r>
        <w:rPr>
          <w:rFonts w:ascii="Calibri" w:hAnsi="Calibri"/>
          <w:i/>
          <w:color w:val="231F20"/>
          <w:spacing w:val="-26"/>
          <w:w w:val="105"/>
          <w:sz w:val="17"/>
        </w:rPr>
        <w:t> </w:t>
      </w:r>
      <w:r>
        <w:rPr>
          <w:rFonts w:ascii="Calibri" w:hAnsi="Calibri"/>
          <w:i/>
          <w:color w:val="231F20"/>
          <w:w w:val="105"/>
          <w:sz w:val="17"/>
        </w:rPr>
        <w:t>società</w:t>
      </w:r>
      <w:r>
        <w:rPr>
          <w:rFonts w:ascii="Calibri" w:hAnsi="Calibri"/>
          <w:i/>
          <w:color w:val="231F20"/>
          <w:spacing w:val="-26"/>
          <w:w w:val="105"/>
          <w:sz w:val="17"/>
        </w:rPr>
        <w:t> </w:t>
      </w:r>
      <w:r>
        <w:rPr>
          <w:rFonts w:ascii="Calibri" w:hAnsi="Calibri"/>
          <w:i/>
          <w:color w:val="231F20"/>
          <w:w w:val="105"/>
          <w:sz w:val="17"/>
        </w:rPr>
        <w:t>contemporanea</w:t>
      </w:r>
      <w:r>
        <w:rPr>
          <w:rFonts w:ascii="Calibri" w:hAnsi="Calibri"/>
          <w:color w:val="231F20"/>
          <w:w w:val="105"/>
          <w:sz w:val="17"/>
        </w:rPr>
        <w:t>,</w:t>
      </w:r>
      <w:r>
        <w:rPr>
          <w:rFonts w:ascii="Calibri" w:hAnsi="Calibri"/>
          <w:color w:val="231F20"/>
          <w:spacing w:val="-28"/>
          <w:w w:val="105"/>
          <w:sz w:val="17"/>
        </w:rPr>
        <w:t> </w:t>
      </w:r>
      <w:r>
        <w:rPr>
          <w:rFonts w:ascii="Calibri" w:hAnsi="Calibri"/>
          <w:color w:val="231F20"/>
          <w:w w:val="105"/>
          <w:sz w:val="17"/>
        </w:rPr>
        <w:t>Torino,</w:t>
      </w:r>
      <w:r>
        <w:rPr>
          <w:rFonts w:ascii="Calibri" w:hAnsi="Calibri"/>
          <w:color w:val="231F20"/>
          <w:spacing w:val="-26"/>
          <w:w w:val="105"/>
          <w:sz w:val="17"/>
        </w:rPr>
        <w:t> </w:t>
      </w:r>
      <w:r>
        <w:rPr>
          <w:rFonts w:ascii="Calibri" w:hAnsi="Calibri"/>
          <w:color w:val="231F20"/>
          <w:w w:val="105"/>
          <w:sz w:val="17"/>
        </w:rPr>
        <w:t>Einaudi,</w:t>
      </w:r>
      <w:r>
        <w:rPr>
          <w:rFonts w:ascii="Calibri" w:hAnsi="Calibri"/>
          <w:color w:val="231F20"/>
          <w:spacing w:val="-26"/>
          <w:w w:val="105"/>
          <w:sz w:val="17"/>
        </w:rPr>
        <w:t> </w:t>
      </w:r>
      <w:r>
        <w:rPr>
          <w:rFonts w:ascii="Calibri" w:hAnsi="Calibri"/>
          <w:color w:val="231F20"/>
          <w:w w:val="105"/>
          <w:sz w:val="17"/>
        </w:rPr>
        <w:t>2012. </w:t>
      </w:r>
      <w:r>
        <w:rPr>
          <w:rFonts w:ascii="Calibri" w:hAnsi="Calibri"/>
          <w:color w:val="231F20"/>
          <w:w w:val="105"/>
          <w:position w:val="6"/>
          <w:sz w:val="10"/>
        </w:rPr>
        <w:t>21</w:t>
      </w:r>
      <w:r>
        <w:rPr>
          <w:rFonts w:ascii="Calibri" w:hAnsi="Calibri"/>
          <w:color w:val="231F20"/>
          <w:spacing w:val="-7"/>
          <w:w w:val="105"/>
          <w:position w:val="6"/>
          <w:sz w:val="10"/>
        </w:rPr>
        <w:t> </w:t>
      </w:r>
      <w:r>
        <w:rPr>
          <w:rFonts w:ascii="Calibri" w:hAnsi="Calibri"/>
          <w:color w:val="231F20"/>
          <w:w w:val="105"/>
          <w:sz w:val="17"/>
        </w:rPr>
        <w:t>N.</w:t>
      </w:r>
      <w:r>
        <w:rPr>
          <w:rFonts w:ascii="Calibri" w:hAnsi="Calibri"/>
          <w:color w:val="231F20"/>
          <w:spacing w:val="-23"/>
          <w:w w:val="105"/>
          <w:sz w:val="17"/>
        </w:rPr>
        <w:t> </w:t>
      </w:r>
      <w:r>
        <w:rPr>
          <w:rFonts w:ascii="Calibri" w:hAnsi="Calibri"/>
          <w:color w:val="231F20"/>
          <w:w w:val="105"/>
          <w:sz w:val="17"/>
        </w:rPr>
        <w:t>Luhmann,</w:t>
      </w:r>
      <w:r>
        <w:rPr>
          <w:rFonts w:ascii="Calibri" w:hAnsi="Calibri"/>
          <w:color w:val="231F20"/>
          <w:spacing w:val="-23"/>
          <w:w w:val="105"/>
          <w:sz w:val="17"/>
        </w:rPr>
        <w:t> </w:t>
      </w:r>
      <w:r>
        <w:rPr>
          <w:rFonts w:ascii="Calibri" w:hAnsi="Calibri"/>
          <w:color w:val="231F20"/>
          <w:w w:val="105"/>
          <w:sz w:val="17"/>
        </w:rPr>
        <w:t>“Die</w:t>
      </w:r>
      <w:r>
        <w:rPr>
          <w:rFonts w:ascii="Calibri" w:hAnsi="Calibri"/>
          <w:color w:val="231F20"/>
          <w:spacing w:val="-25"/>
          <w:w w:val="105"/>
          <w:sz w:val="17"/>
        </w:rPr>
        <w:t> </w:t>
      </w:r>
      <w:r>
        <w:rPr>
          <w:rFonts w:ascii="Calibri" w:hAnsi="Calibri"/>
          <w:color w:val="231F20"/>
          <w:w w:val="105"/>
          <w:sz w:val="17"/>
        </w:rPr>
        <w:t>Weltgesellschaft”,</w:t>
      </w:r>
      <w:r>
        <w:rPr>
          <w:rFonts w:ascii="Calibri" w:hAnsi="Calibri"/>
          <w:color w:val="231F20"/>
          <w:spacing w:val="-23"/>
          <w:w w:val="105"/>
          <w:sz w:val="17"/>
        </w:rPr>
        <w:t> </w:t>
      </w:r>
      <w:r>
        <w:rPr>
          <w:rFonts w:ascii="Calibri" w:hAnsi="Calibri"/>
          <w:color w:val="231F20"/>
          <w:w w:val="105"/>
          <w:sz w:val="17"/>
        </w:rPr>
        <w:t>N.</w:t>
      </w:r>
      <w:r>
        <w:rPr>
          <w:rFonts w:ascii="Calibri" w:hAnsi="Calibri"/>
          <w:color w:val="231F20"/>
          <w:spacing w:val="-23"/>
          <w:w w:val="105"/>
          <w:sz w:val="17"/>
        </w:rPr>
        <w:t> </w:t>
      </w:r>
      <w:r>
        <w:rPr>
          <w:rFonts w:ascii="Calibri" w:hAnsi="Calibri"/>
          <w:color w:val="231F20"/>
          <w:w w:val="105"/>
          <w:sz w:val="17"/>
        </w:rPr>
        <w:t>Luhmann,</w:t>
      </w:r>
      <w:r>
        <w:rPr>
          <w:rFonts w:ascii="Calibri" w:hAnsi="Calibri"/>
          <w:color w:val="231F20"/>
          <w:spacing w:val="-23"/>
          <w:w w:val="105"/>
          <w:sz w:val="17"/>
        </w:rPr>
        <w:t> </w:t>
      </w:r>
      <w:r>
        <w:rPr>
          <w:rFonts w:ascii="Calibri" w:hAnsi="Calibri"/>
          <w:i/>
          <w:color w:val="231F20"/>
          <w:w w:val="105"/>
          <w:sz w:val="17"/>
        </w:rPr>
        <w:t>Soziologische</w:t>
      </w:r>
      <w:r>
        <w:rPr>
          <w:rFonts w:ascii="Calibri" w:hAnsi="Calibri"/>
          <w:i/>
          <w:color w:val="231F20"/>
          <w:spacing w:val="-24"/>
          <w:w w:val="105"/>
          <w:sz w:val="17"/>
        </w:rPr>
        <w:t> </w:t>
      </w:r>
      <w:r>
        <w:rPr>
          <w:rFonts w:ascii="Calibri" w:hAnsi="Calibri"/>
          <w:i/>
          <w:color w:val="231F20"/>
          <w:w w:val="105"/>
          <w:sz w:val="17"/>
        </w:rPr>
        <w:t>Aufklärung</w:t>
      </w:r>
      <w:r>
        <w:rPr>
          <w:rFonts w:ascii="Calibri" w:hAnsi="Calibri"/>
          <w:i/>
          <w:color w:val="231F20"/>
          <w:spacing w:val="-24"/>
          <w:w w:val="105"/>
          <w:sz w:val="17"/>
        </w:rPr>
        <w:t> </w:t>
      </w:r>
      <w:r>
        <w:rPr>
          <w:rFonts w:ascii="Calibri" w:hAnsi="Calibri"/>
          <w:i/>
          <w:color w:val="231F20"/>
          <w:w w:val="105"/>
          <w:sz w:val="17"/>
        </w:rPr>
        <w:t>2</w:t>
      </w:r>
      <w:r>
        <w:rPr>
          <w:rFonts w:ascii="Calibri" w:hAnsi="Calibri"/>
          <w:color w:val="231F20"/>
          <w:w w:val="105"/>
          <w:sz w:val="17"/>
        </w:rPr>
        <w:t>,</w:t>
      </w:r>
      <w:r>
        <w:rPr>
          <w:rFonts w:ascii="Calibri" w:hAnsi="Calibri"/>
          <w:color w:val="231F20"/>
          <w:spacing w:val="-25"/>
          <w:w w:val="105"/>
          <w:sz w:val="17"/>
        </w:rPr>
        <w:t> </w:t>
      </w:r>
      <w:r>
        <w:rPr>
          <w:rFonts w:ascii="Calibri" w:hAnsi="Calibri"/>
          <w:color w:val="231F20"/>
          <w:w w:val="105"/>
          <w:sz w:val="17"/>
        </w:rPr>
        <w:t>Wiesbaden,</w:t>
      </w:r>
      <w:r>
        <w:rPr>
          <w:rFonts w:ascii="Calibri" w:hAnsi="Calibri"/>
          <w:color w:val="231F20"/>
          <w:spacing w:val="-25"/>
          <w:w w:val="105"/>
          <w:sz w:val="17"/>
        </w:rPr>
        <w:t> </w:t>
      </w:r>
      <w:r>
        <w:rPr>
          <w:rFonts w:ascii="Calibri" w:hAnsi="Calibri"/>
          <w:color w:val="231F20"/>
          <w:w w:val="105"/>
          <w:sz w:val="17"/>
        </w:rPr>
        <w:t>Verlag für</w:t>
      </w:r>
      <w:r>
        <w:rPr>
          <w:rFonts w:ascii="Calibri" w:hAnsi="Calibri"/>
          <w:color w:val="231F20"/>
          <w:spacing w:val="-7"/>
          <w:w w:val="105"/>
          <w:sz w:val="17"/>
        </w:rPr>
        <w:t> </w:t>
      </w:r>
      <w:r>
        <w:rPr>
          <w:rFonts w:ascii="Calibri" w:hAnsi="Calibri"/>
          <w:color w:val="231F20"/>
          <w:w w:val="105"/>
          <w:sz w:val="17"/>
        </w:rPr>
        <w:t>Sozialwissenschaften,</w:t>
      </w:r>
      <w:r>
        <w:rPr>
          <w:rFonts w:ascii="Calibri" w:hAnsi="Calibri"/>
          <w:color w:val="231F20"/>
          <w:spacing w:val="-7"/>
          <w:w w:val="105"/>
          <w:sz w:val="17"/>
        </w:rPr>
        <w:t> </w:t>
      </w:r>
      <w:r>
        <w:rPr>
          <w:rFonts w:ascii="Calibri" w:hAnsi="Calibri"/>
          <w:color w:val="231F20"/>
          <w:w w:val="105"/>
          <w:sz w:val="17"/>
        </w:rPr>
        <w:t>2005,</w:t>
      </w:r>
      <w:r>
        <w:rPr>
          <w:rFonts w:ascii="Calibri" w:hAnsi="Calibri"/>
          <w:color w:val="231F20"/>
          <w:spacing w:val="-7"/>
          <w:w w:val="105"/>
          <w:sz w:val="17"/>
        </w:rPr>
        <w:t> </w:t>
      </w:r>
      <w:r>
        <w:rPr>
          <w:rFonts w:ascii="Calibri" w:hAnsi="Calibri"/>
          <w:color w:val="231F20"/>
          <w:w w:val="105"/>
          <w:sz w:val="17"/>
        </w:rPr>
        <w:t>p.</w:t>
      </w:r>
      <w:r>
        <w:rPr>
          <w:rFonts w:ascii="Calibri" w:hAnsi="Calibri"/>
          <w:color w:val="231F20"/>
          <w:spacing w:val="-7"/>
          <w:w w:val="105"/>
          <w:sz w:val="17"/>
        </w:rPr>
        <w:t> </w:t>
      </w:r>
      <w:r>
        <w:rPr>
          <w:rFonts w:ascii="Calibri" w:hAnsi="Calibri"/>
          <w:color w:val="231F20"/>
          <w:w w:val="105"/>
          <w:sz w:val="17"/>
        </w:rPr>
        <w:t>71;</w:t>
      </w:r>
      <w:r>
        <w:rPr>
          <w:rFonts w:ascii="Calibri" w:hAnsi="Calibri"/>
          <w:color w:val="231F20"/>
          <w:spacing w:val="-7"/>
          <w:w w:val="105"/>
          <w:sz w:val="17"/>
        </w:rPr>
        <w:t> </w:t>
      </w:r>
      <w:r>
        <w:rPr>
          <w:rFonts w:ascii="Calibri" w:hAnsi="Calibri"/>
          <w:i/>
          <w:color w:val="231F20"/>
          <w:w w:val="105"/>
          <w:sz w:val="17"/>
        </w:rPr>
        <w:t>Cfr</w:t>
      </w:r>
      <w:r>
        <w:rPr>
          <w:rFonts w:ascii="Calibri" w:hAnsi="Calibri"/>
          <w:color w:val="231F20"/>
          <w:w w:val="105"/>
          <w:sz w:val="17"/>
        </w:rPr>
        <w:t>.</w:t>
      </w:r>
      <w:r>
        <w:rPr>
          <w:rFonts w:ascii="Calibri" w:hAnsi="Calibri"/>
          <w:color w:val="231F20"/>
          <w:spacing w:val="-7"/>
          <w:w w:val="105"/>
          <w:sz w:val="17"/>
        </w:rPr>
        <w:t> </w:t>
      </w:r>
      <w:r>
        <w:rPr>
          <w:rFonts w:ascii="Calibri" w:hAnsi="Calibri"/>
          <w:color w:val="231F20"/>
          <w:w w:val="105"/>
          <w:sz w:val="17"/>
        </w:rPr>
        <w:t>anche</w:t>
      </w:r>
      <w:r>
        <w:rPr>
          <w:rFonts w:ascii="Calibri" w:hAnsi="Calibri"/>
          <w:color w:val="231F20"/>
          <w:spacing w:val="-7"/>
          <w:w w:val="105"/>
          <w:sz w:val="17"/>
        </w:rPr>
        <w:t> </w:t>
      </w:r>
      <w:r>
        <w:rPr>
          <w:rFonts w:ascii="Calibri" w:hAnsi="Calibri"/>
          <w:color w:val="231F20"/>
          <w:w w:val="105"/>
          <w:sz w:val="17"/>
        </w:rPr>
        <w:t>R.</w:t>
      </w:r>
      <w:r>
        <w:rPr>
          <w:rFonts w:ascii="Calibri" w:hAnsi="Calibri"/>
          <w:color w:val="231F20"/>
          <w:spacing w:val="-7"/>
          <w:w w:val="105"/>
          <w:sz w:val="17"/>
        </w:rPr>
        <w:t> </w:t>
      </w:r>
      <w:r>
        <w:rPr>
          <w:rFonts w:ascii="Calibri" w:hAnsi="Calibri"/>
          <w:color w:val="231F20"/>
          <w:w w:val="105"/>
          <w:sz w:val="17"/>
        </w:rPr>
        <w:t>Stichweh,</w:t>
      </w:r>
      <w:r>
        <w:rPr>
          <w:rFonts w:ascii="Calibri" w:hAnsi="Calibri"/>
          <w:color w:val="231F20"/>
          <w:spacing w:val="-7"/>
          <w:w w:val="105"/>
          <w:sz w:val="17"/>
        </w:rPr>
        <w:t> </w:t>
      </w:r>
      <w:r>
        <w:rPr>
          <w:rFonts w:ascii="Calibri" w:hAnsi="Calibri"/>
          <w:i/>
          <w:color w:val="231F20"/>
          <w:w w:val="105"/>
          <w:sz w:val="17"/>
        </w:rPr>
        <w:t>Die</w:t>
      </w:r>
      <w:r>
        <w:rPr>
          <w:rFonts w:ascii="Calibri" w:hAnsi="Calibri"/>
          <w:i/>
          <w:color w:val="231F20"/>
          <w:spacing w:val="-9"/>
          <w:w w:val="105"/>
          <w:sz w:val="17"/>
        </w:rPr>
        <w:t> </w:t>
      </w:r>
      <w:r>
        <w:rPr>
          <w:rFonts w:ascii="Calibri" w:hAnsi="Calibri"/>
          <w:i/>
          <w:color w:val="231F20"/>
          <w:w w:val="105"/>
          <w:sz w:val="17"/>
        </w:rPr>
        <w:t>Weltgesellschaft.</w:t>
      </w:r>
      <w:r>
        <w:rPr>
          <w:rFonts w:ascii="Calibri" w:hAnsi="Calibri"/>
          <w:i/>
          <w:color w:val="231F20"/>
          <w:spacing w:val="-8"/>
          <w:w w:val="105"/>
          <w:sz w:val="17"/>
        </w:rPr>
        <w:t> </w:t>
      </w:r>
      <w:r>
        <w:rPr>
          <w:rFonts w:ascii="Calibri" w:hAnsi="Calibri"/>
          <w:i/>
          <w:color w:val="231F20"/>
          <w:w w:val="105"/>
          <w:sz w:val="17"/>
        </w:rPr>
        <w:t>Soziologische </w:t>
      </w:r>
      <w:r>
        <w:rPr>
          <w:rFonts w:ascii="Calibri" w:hAnsi="Calibri"/>
          <w:i/>
          <w:color w:val="231F20"/>
          <w:w w:val="105"/>
          <w:sz w:val="17"/>
        </w:rPr>
        <w:t>Analysen</w:t>
      </w:r>
      <w:r>
        <w:rPr>
          <w:rFonts w:ascii="Calibri" w:hAnsi="Calibri"/>
          <w:color w:val="231F20"/>
          <w:w w:val="105"/>
          <w:sz w:val="17"/>
        </w:rPr>
        <w:t>,</w:t>
      </w:r>
      <w:r>
        <w:rPr>
          <w:rFonts w:ascii="Calibri" w:hAnsi="Calibri"/>
          <w:color w:val="231F20"/>
          <w:spacing w:val="-16"/>
          <w:w w:val="105"/>
          <w:sz w:val="17"/>
        </w:rPr>
        <w:t> </w:t>
      </w:r>
      <w:r>
        <w:rPr>
          <w:rFonts w:ascii="Calibri" w:hAnsi="Calibri"/>
          <w:color w:val="231F20"/>
          <w:w w:val="105"/>
          <w:sz w:val="17"/>
        </w:rPr>
        <w:t>Frankfurt</w:t>
      </w:r>
      <w:r>
        <w:rPr>
          <w:rFonts w:ascii="Calibri" w:hAnsi="Calibri"/>
          <w:color w:val="231F20"/>
          <w:spacing w:val="-16"/>
          <w:w w:val="105"/>
          <w:sz w:val="17"/>
        </w:rPr>
        <w:t> </w:t>
      </w:r>
      <w:r>
        <w:rPr>
          <w:rFonts w:ascii="Calibri" w:hAnsi="Calibri"/>
          <w:color w:val="231F20"/>
          <w:w w:val="105"/>
          <w:sz w:val="17"/>
        </w:rPr>
        <w:t>am</w:t>
      </w:r>
      <w:r>
        <w:rPr>
          <w:rFonts w:ascii="Calibri" w:hAnsi="Calibri"/>
          <w:color w:val="231F20"/>
          <w:spacing w:val="-16"/>
          <w:w w:val="105"/>
          <w:sz w:val="17"/>
        </w:rPr>
        <w:t> </w:t>
      </w:r>
      <w:r>
        <w:rPr>
          <w:rFonts w:ascii="Calibri" w:hAnsi="Calibri"/>
          <w:color w:val="231F20"/>
          <w:w w:val="105"/>
          <w:sz w:val="17"/>
        </w:rPr>
        <w:t>Main,</w:t>
      </w:r>
      <w:r>
        <w:rPr>
          <w:rFonts w:ascii="Calibri" w:hAnsi="Calibri"/>
          <w:color w:val="231F20"/>
          <w:spacing w:val="-16"/>
          <w:w w:val="105"/>
          <w:sz w:val="17"/>
        </w:rPr>
        <w:t> </w:t>
      </w:r>
      <w:r>
        <w:rPr>
          <w:rFonts w:ascii="Calibri" w:hAnsi="Calibri"/>
          <w:color w:val="231F20"/>
          <w:w w:val="105"/>
          <w:sz w:val="17"/>
        </w:rPr>
        <w:t>Suhrkamp,</w:t>
      </w:r>
      <w:r>
        <w:rPr>
          <w:rFonts w:ascii="Calibri" w:hAnsi="Calibri"/>
          <w:color w:val="231F20"/>
          <w:spacing w:val="-16"/>
          <w:w w:val="105"/>
          <w:sz w:val="17"/>
        </w:rPr>
        <w:t> </w:t>
      </w:r>
      <w:r>
        <w:rPr>
          <w:rFonts w:ascii="Calibri" w:hAnsi="Calibri"/>
          <w:color w:val="231F20"/>
          <w:w w:val="105"/>
          <w:sz w:val="17"/>
        </w:rPr>
        <w:t>2000.</w:t>
      </w:r>
    </w:p>
    <w:p>
      <w:pPr>
        <w:spacing w:line="203" w:lineRule="exact" w:before="0"/>
        <w:ind w:left="103" w:right="0" w:firstLine="0"/>
        <w:jc w:val="left"/>
        <w:rPr>
          <w:rFonts w:ascii="Calibri"/>
          <w:i/>
          <w:sz w:val="17"/>
        </w:rPr>
      </w:pPr>
      <w:r>
        <w:rPr>
          <w:rFonts w:ascii="Calibri"/>
          <w:color w:val="231F20"/>
          <w:position w:val="6"/>
          <w:sz w:val="10"/>
        </w:rPr>
        <w:t>22 </w:t>
      </w:r>
      <w:r>
        <w:rPr>
          <w:rFonts w:ascii="Calibri"/>
          <w:color w:val="231F20"/>
          <w:sz w:val="17"/>
        </w:rPr>
        <w:t>M. Albert y R. Stichweh (Eds.), </w:t>
      </w:r>
      <w:r>
        <w:rPr>
          <w:rFonts w:ascii="Calibri"/>
          <w:i/>
          <w:color w:val="231F20"/>
          <w:sz w:val="17"/>
        </w:rPr>
        <w:t>Weltstaat und Weltstaatlichkeit. Beobachtungen globaler politischer</w:t>
      </w:r>
    </w:p>
    <w:p>
      <w:pPr>
        <w:spacing w:line="206" w:lineRule="exact" w:before="0"/>
        <w:ind w:left="103" w:right="0" w:firstLine="0"/>
        <w:jc w:val="left"/>
        <w:rPr>
          <w:rFonts w:ascii="Calibri" w:hAnsi="Calibri"/>
          <w:sz w:val="17"/>
        </w:rPr>
      </w:pPr>
      <w:r>
        <w:rPr>
          <w:rFonts w:ascii="Calibri" w:hAnsi="Calibri"/>
          <w:i/>
          <w:color w:val="231F20"/>
          <w:w w:val="105"/>
          <w:sz w:val="17"/>
        </w:rPr>
        <w:t>Strukturbildung</w:t>
      </w:r>
      <w:r>
        <w:rPr>
          <w:rFonts w:ascii="Calibri" w:hAnsi="Calibri"/>
          <w:color w:val="231F20"/>
          <w:w w:val="105"/>
          <w:sz w:val="17"/>
        </w:rPr>
        <w:t>, Wiesbaden, Verlag für Sozialwissenschaften, 2007.</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sz w:val="16"/>
        </w:rPr>
      </w:pPr>
      <w:r>
        <w:rPr/>
        <w:pict>
          <v:group style="position:absolute;margin-left:98.079102pt;margin-top:-3.358812pt;width:20.4pt;height:43pt;mso-position-horizontal-relative:page;mso-position-vertical-relative:paragraph;z-index:-165208"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42</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900"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516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28"/>
          <w:sz w:val="14"/>
        </w:rPr>
        <w:t> </w:t>
      </w:r>
      <w:r>
        <w:rPr>
          <w:rFonts w:ascii="Lucida Sans Unicode" w:hAnsi="Lucida Sans Unicode"/>
          <w:color w:val="6D6E71"/>
          <w:spacing w:val="-4"/>
          <w:sz w:val="14"/>
        </w:rPr>
        <w:t>STATO</w:t>
      </w:r>
      <w:r>
        <w:rPr>
          <w:rFonts w:ascii="Lucida Sans Unicode" w:hAnsi="Lucida Sans Unicode"/>
          <w:color w:val="6D6E71"/>
          <w:spacing w:val="-28"/>
          <w:sz w:val="14"/>
        </w:rPr>
        <w:t> </w:t>
      </w:r>
      <w:r>
        <w:rPr>
          <w:rFonts w:ascii="Lucida Sans Unicode" w:hAnsi="Lucida Sans Unicode"/>
          <w:color w:val="6D6E71"/>
          <w:sz w:val="14"/>
        </w:rPr>
        <w:t>GLOBALE</w:t>
      </w:r>
      <w:r>
        <w:rPr>
          <w:rFonts w:ascii="Lucida Sans Unicode" w:hAnsi="Lucida Sans Unicode"/>
          <w:color w:val="6D6E71"/>
          <w:spacing w:val="-28"/>
          <w:sz w:val="14"/>
        </w:rPr>
        <w:t> </w:t>
      </w:r>
      <w:r>
        <w:rPr>
          <w:rFonts w:ascii="Lucida Sans Unicode" w:hAnsi="Lucida Sans Unicode"/>
          <w:color w:val="6D6E71"/>
          <w:sz w:val="14"/>
        </w:rPr>
        <w:t>E</w:t>
      </w:r>
      <w:r>
        <w:rPr>
          <w:rFonts w:ascii="Lucida Sans Unicode" w:hAnsi="Lucida Sans Unicode"/>
          <w:color w:val="6D6E71"/>
          <w:spacing w:val="-28"/>
          <w:sz w:val="14"/>
        </w:rPr>
        <w:t> </w:t>
      </w:r>
      <w:r>
        <w:rPr>
          <w:rFonts w:ascii="Lucida Sans Unicode" w:hAnsi="Lucida Sans Unicode"/>
          <w:color w:val="6D6E71"/>
          <w:sz w:val="14"/>
        </w:rPr>
        <w:t>L’EVOLUZIONE</w:t>
      </w:r>
      <w:r>
        <w:rPr>
          <w:rFonts w:ascii="Lucida Sans Unicode" w:hAnsi="Lucida Sans Unicode"/>
          <w:color w:val="6D6E71"/>
          <w:spacing w:val="-28"/>
          <w:sz w:val="14"/>
        </w:rPr>
        <w:t> </w:t>
      </w:r>
      <w:r>
        <w:rPr>
          <w:rFonts w:ascii="Lucida Sans Unicode" w:hAnsi="Lucida Sans Unicode"/>
          <w:color w:val="6D6E71"/>
          <w:sz w:val="14"/>
        </w:rPr>
        <w:t>DELLA</w:t>
      </w:r>
      <w:r>
        <w:rPr>
          <w:rFonts w:ascii="Lucida Sans Unicode" w:hAnsi="Lucida Sans Unicode"/>
          <w:color w:val="6D6E71"/>
          <w:spacing w:val="-28"/>
          <w:sz w:val="14"/>
        </w:rPr>
        <w:t> </w:t>
      </w:r>
      <w:r>
        <w:rPr>
          <w:rFonts w:ascii="Lucida Sans Unicode" w:hAnsi="Lucida Sans Unicode"/>
          <w:color w:val="6D6E71"/>
          <w:sz w:val="14"/>
        </w:rPr>
        <w:t>SOVRANITÀ</w:t>
      </w:r>
      <w:r>
        <w:rPr>
          <w:rFonts w:ascii="Trebuchet MS" w:hAnsi="Trebuchet MS"/>
          <w:color w:val="414042"/>
          <w:position w:val="-3"/>
          <w:sz w:val="20"/>
        </w:rPr>
        <w:tab/>
        <w:t>43</w:t>
      </w:r>
    </w:p>
    <w:p>
      <w:pPr>
        <w:pStyle w:val="BodyText"/>
        <w:spacing w:line="247" w:lineRule="auto" w:before="621"/>
        <w:ind w:left="117" w:right="117"/>
        <w:jc w:val="both"/>
      </w:pPr>
      <w:r>
        <w:rPr>
          <w:color w:val="231F20"/>
        </w:rPr>
        <w:t>la frammentarietà delle infinite analisi empiriche, storiche e politologiche sulle</w:t>
      </w:r>
      <w:r>
        <w:rPr>
          <w:color w:val="231F20"/>
          <w:spacing w:val="-14"/>
        </w:rPr>
        <w:t> </w:t>
      </w:r>
      <w:r>
        <w:rPr>
          <w:color w:val="231F20"/>
        </w:rPr>
        <w:t>diverse</w:t>
      </w:r>
      <w:r>
        <w:rPr>
          <w:color w:val="231F20"/>
          <w:spacing w:val="-14"/>
        </w:rPr>
        <w:t> </w:t>
      </w:r>
      <w:r>
        <w:rPr>
          <w:color w:val="231F20"/>
        </w:rPr>
        <w:t>esperienze</w:t>
      </w:r>
      <w:r>
        <w:rPr>
          <w:color w:val="231F20"/>
          <w:spacing w:val="-14"/>
        </w:rPr>
        <w:t> </w:t>
      </w:r>
      <w:r>
        <w:rPr>
          <w:color w:val="231F20"/>
        </w:rPr>
        <w:t>statali.</w:t>
      </w:r>
      <w:r>
        <w:rPr>
          <w:color w:val="231F20"/>
          <w:spacing w:val="-14"/>
        </w:rPr>
        <w:t> </w:t>
      </w:r>
      <w:r>
        <w:rPr>
          <w:color w:val="231F20"/>
        </w:rPr>
        <w:t>Recentemente</w:t>
      </w:r>
      <w:r>
        <w:rPr>
          <w:color w:val="231F20"/>
          <w:spacing w:val="-14"/>
        </w:rPr>
        <w:t> </w:t>
      </w:r>
      <w:r>
        <w:rPr>
          <w:color w:val="231F20"/>
        </w:rPr>
        <w:t>Mauro</w:t>
      </w:r>
      <w:r>
        <w:rPr>
          <w:color w:val="231F20"/>
          <w:spacing w:val="-14"/>
        </w:rPr>
        <w:t> </w:t>
      </w:r>
      <w:r>
        <w:rPr>
          <w:color w:val="231F20"/>
        </w:rPr>
        <w:t>Calise</w:t>
      </w:r>
      <w:r>
        <w:rPr>
          <w:color w:val="231F20"/>
          <w:spacing w:val="-14"/>
        </w:rPr>
        <w:t> </w:t>
      </w:r>
      <w:r>
        <w:rPr>
          <w:color w:val="231F20"/>
        </w:rPr>
        <w:t>e</w:t>
      </w:r>
      <w:r>
        <w:rPr>
          <w:color w:val="231F20"/>
          <w:spacing w:val="-14"/>
        </w:rPr>
        <w:t> </w:t>
      </w:r>
      <w:r>
        <w:rPr>
          <w:color w:val="231F20"/>
        </w:rPr>
        <w:t>Theodor</w:t>
      </w:r>
      <w:r>
        <w:rPr>
          <w:color w:val="231F20"/>
          <w:spacing w:val="-14"/>
        </w:rPr>
        <w:t> </w:t>
      </w:r>
      <w:r>
        <w:rPr>
          <w:color w:val="231F20"/>
        </w:rPr>
        <w:t>Lowi hanno introdotto il loro </w:t>
      </w:r>
      <w:r>
        <w:rPr>
          <w:rFonts w:ascii="Arial" w:hAnsi="Arial"/>
          <w:i/>
          <w:color w:val="231F20"/>
        </w:rPr>
        <w:t>Interactive Dictionary of Political Science Concepts </w:t>
      </w:r>
      <w:r>
        <w:rPr>
          <w:color w:val="231F20"/>
        </w:rPr>
        <w:t>affermando programmaticamente la necessità di “bringing concepts back in”</w:t>
      </w:r>
      <w:r>
        <w:rPr>
          <w:color w:val="231F20"/>
          <w:position w:val="7"/>
          <w:sz w:val="12"/>
        </w:rPr>
        <w:t>23</w:t>
      </w:r>
      <w:r>
        <w:rPr>
          <w:color w:val="231F20"/>
        </w:rPr>
        <w:t>.</w:t>
      </w:r>
      <w:r>
        <w:rPr>
          <w:color w:val="231F20"/>
          <w:spacing w:val="-20"/>
        </w:rPr>
        <w:t> </w:t>
      </w:r>
      <w:r>
        <w:rPr>
          <w:color w:val="231F20"/>
        </w:rPr>
        <w:t>La</w:t>
      </w:r>
      <w:r>
        <w:rPr>
          <w:color w:val="231F20"/>
          <w:spacing w:val="-20"/>
        </w:rPr>
        <w:t> </w:t>
      </w:r>
      <w:r>
        <w:rPr>
          <w:color w:val="231F20"/>
        </w:rPr>
        <w:t>formula</w:t>
      </w:r>
      <w:r>
        <w:rPr>
          <w:color w:val="231F20"/>
          <w:spacing w:val="-20"/>
        </w:rPr>
        <w:t> </w:t>
      </w:r>
      <w:r>
        <w:rPr>
          <w:color w:val="231F20"/>
        </w:rPr>
        <w:t>riprende</w:t>
      </w:r>
      <w:r>
        <w:rPr>
          <w:color w:val="231F20"/>
          <w:spacing w:val="-20"/>
        </w:rPr>
        <w:t> </w:t>
      </w:r>
      <w:r>
        <w:rPr>
          <w:color w:val="231F20"/>
        </w:rPr>
        <w:t>letteralmente</w:t>
      </w:r>
      <w:r>
        <w:rPr>
          <w:color w:val="231F20"/>
          <w:spacing w:val="-20"/>
        </w:rPr>
        <w:t> </w:t>
      </w:r>
      <w:r>
        <w:rPr>
          <w:color w:val="231F20"/>
        </w:rPr>
        <w:t>quella</w:t>
      </w:r>
      <w:r>
        <w:rPr>
          <w:color w:val="231F20"/>
          <w:spacing w:val="-20"/>
        </w:rPr>
        <w:t> </w:t>
      </w:r>
      <w:r>
        <w:rPr>
          <w:color w:val="231F20"/>
        </w:rPr>
        <w:t>assai</w:t>
      </w:r>
      <w:r>
        <w:rPr>
          <w:color w:val="231F20"/>
          <w:spacing w:val="-20"/>
        </w:rPr>
        <w:t> </w:t>
      </w:r>
      <w:r>
        <w:rPr>
          <w:color w:val="231F20"/>
        </w:rPr>
        <w:t>celebre</w:t>
      </w:r>
      <w:r>
        <w:rPr>
          <w:color w:val="231F20"/>
          <w:spacing w:val="-20"/>
        </w:rPr>
        <w:t> </w:t>
      </w:r>
      <w:r>
        <w:rPr>
          <w:color w:val="231F20"/>
        </w:rPr>
        <w:t>utilizzata</w:t>
      </w:r>
      <w:r>
        <w:rPr>
          <w:color w:val="231F20"/>
          <w:spacing w:val="-20"/>
        </w:rPr>
        <w:t> </w:t>
      </w:r>
      <w:r>
        <w:rPr>
          <w:color w:val="231F20"/>
        </w:rPr>
        <w:t>a</w:t>
      </w:r>
      <w:r>
        <w:rPr>
          <w:color w:val="231F20"/>
          <w:spacing w:val="-20"/>
        </w:rPr>
        <w:t> </w:t>
      </w:r>
      <w:r>
        <w:rPr>
          <w:color w:val="231F20"/>
        </w:rPr>
        <w:t>metà degli anni ottanta per riaffermare l’autonomia dello Stato come istituzione: </w:t>
      </w:r>
      <w:r>
        <w:rPr>
          <w:rFonts w:ascii="Arial" w:hAnsi="Arial"/>
          <w:i/>
          <w:color w:val="231F20"/>
        </w:rPr>
        <w:t>Bringing the State Back in</w:t>
      </w:r>
      <w:r>
        <w:rPr>
          <w:color w:val="231F20"/>
          <w:position w:val="7"/>
          <w:sz w:val="12"/>
        </w:rPr>
        <w:t>24</w:t>
      </w:r>
      <w:r>
        <w:rPr>
          <w:color w:val="231F20"/>
        </w:rPr>
        <w:t>. Significativo è però il fatto che nel dizionario</w:t>
      </w:r>
      <w:r>
        <w:rPr>
          <w:color w:val="231F20"/>
          <w:spacing w:val="-31"/>
        </w:rPr>
        <w:t> </w:t>
      </w:r>
      <w:r>
        <w:rPr>
          <w:color w:val="231F20"/>
        </w:rPr>
        <w:t>il lemma “Stato” sia costruito all’incrocio di molti altri senza però possedere una</w:t>
      </w:r>
      <w:r>
        <w:rPr>
          <w:color w:val="231F20"/>
          <w:spacing w:val="-21"/>
        </w:rPr>
        <w:t> </w:t>
      </w:r>
      <w:r>
        <w:rPr>
          <w:color w:val="231F20"/>
          <w:spacing w:val="-3"/>
        </w:rPr>
        <w:t>propria</w:t>
      </w:r>
      <w:r>
        <w:rPr>
          <w:color w:val="231F20"/>
          <w:spacing w:val="-21"/>
        </w:rPr>
        <w:t> </w:t>
      </w:r>
      <w:r>
        <w:rPr>
          <w:color w:val="231F20"/>
        </w:rPr>
        <w:t>voce,</w:t>
      </w:r>
      <w:r>
        <w:rPr>
          <w:color w:val="231F20"/>
          <w:spacing w:val="-21"/>
        </w:rPr>
        <w:t> </w:t>
      </w:r>
      <w:r>
        <w:rPr>
          <w:color w:val="231F20"/>
        </w:rPr>
        <w:t>per</w:t>
      </w:r>
      <w:r>
        <w:rPr>
          <w:color w:val="231F20"/>
          <w:spacing w:val="-21"/>
        </w:rPr>
        <w:t> </w:t>
      </w:r>
      <w:r>
        <w:rPr>
          <w:color w:val="231F20"/>
        </w:rPr>
        <w:t>così</w:t>
      </w:r>
      <w:r>
        <w:rPr>
          <w:color w:val="231F20"/>
          <w:spacing w:val="-21"/>
        </w:rPr>
        <w:t> </w:t>
      </w:r>
      <w:r>
        <w:rPr>
          <w:color w:val="231F20"/>
          <w:spacing w:val="-3"/>
        </w:rPr>
        <w:t>dire,</w:t>
      </w:r>
      <w:r>
        <w:rPr>
          <w:color w:val="231F20"/>
          <w:spacing w:val="-21"/>
        </w:rPr>
        <w:t> </w:t>
      </w:r>
      <w:r>
        <w:rPr>
          <w:color w:val="231F20"/>
        </w:rPr>
        <w:t>narrativa.</w:t>
      </w:r>
      <w:r>
        <w:rPr>
          <w:color w:val="231F20"/>
          <w:spacing w:val="-21"/>
        </w:rPr>
        <w:t> </w:t>
      </w:r>
      <w:r>
        <w:rPr>
          <w:color w:val="231F20"/>
        </w:rPr>
        <w:t>La</w:t>
      </w:r>
      <w:r>
        <w:rPr>
          <w:color w:val="231F20"/>
          <w:spacing w:val="-21"/>
        </w:rPr>
        <w:t> </w:t>
      </w:r>
      <w:r>
        <w:rPr>
          <w:color w:val="231F20"/>
          <w:spacing w:val="-3"/>
        </w:rPr>
        <w:t>difficoltà</w:t>
      </w:r>
      <w:r>
        <w:rPr>
          <w:color w:val="231F20"/>
          <w:spacing w:val="-21"/>
        </w:rPr>
        <w:t> </w:t>
      </w:r>
      <w:r>
        <w:rPr>
          <w:color w:val="231F20"/>
        </w:rPr>
        <w:t>di</w:t>
      </w:r>
      <w:r>
        <w:rPr>
          <w:color w:val="231F20"/>
          <w:spacing w:val="-21"/>
        </w:rPr>
        <w:t> </w:t>
      </w:r>
      <w:r>
        <w:rPr>
          <w:color w:val="231F20"/>
          <w:spacing w:val="-3"/>
        </w:rPr>
        <w:t>costruire</w:t>
      </w:r>
      <w:r>
        <w:rPr>
          <w:color w:val="231F20"/>
          <w:spacing w:val="-21"/>
        </w:rPr>
        <w:t> </w:t>
      </w:r>
      <w:r>
        <w:rPr>
          <w:color w:val="231F20"/>
        </w:rPr>
        <w:t>un</w:t>
      </w:r>
      <w:r>
        <w:rPr>
          <w:color w:val="231F20"/>
          <w:spacing w:val="-21"/>
        </w:rPr>
        <w:t> </w:t>
      </w:r>
      <w:r>
        <w:rPr>
          <w:color w:val="231F20"/>
        </w:rPr>
        <w:t>concetto di </w:t>
      </w:r>
      <w:r>
        <w:rPr>
          <w:color w:val="231F20"/>
          <w:spacing w:val="3"/>
        </w:rPr>
        <w:t>Stato, </w:t>
      </w:r>
      <w:r>
        <w:rPr>
          <w:color w:val="231F20"/>
        </w:rPr>
        <w:t>se </w:t>
      </w:r>
      <w:r>
        <w:rPr>
          <w:color w:val="231F20"/>
          <w:spacing w:val="2"/>
        </w:rPr>
        <w:t>non </w:t>
      </w:r>
      <w:r>
        <w:rPr>
          <w:color w:val="231F20"/>
          <w:spacing w:val="3"/>
        </w:rPr>
        <w:t>all’intersezione </w:t>
      </w:r>
      <w:r>
        <w:rPr>
          <w:color w:val="231F20"/>
        </w:rPr>
        <w:t>di </w:t>
      </w:r>
      <w:r>
        <w:rPr>
          <w:color w:val="231F20"/>
          <w:spacing w:val="3"/>
        </w:rPr>
        <w:t>altri concetti </w:t>
      </w:r>
      <w:r>
        <w:rPr>
          <w:color w:val="231F20"/>
          <w:spacing w:val="2"/>
        </w:rPr>
        <w:t>che </w:t>
      </w:r>
      <w:r>
        <w:rPr>
          <w:color w:val="231F20"/>
          <w:spacing w:val="3"/>
        </w:rPr>
        <w:t>finiscono </w:t>
      </w:r>
      <w:r>
        <w:rPr>
          <w:color w:val="231F20"/>
          <w:spacing w:val="2"/>
        </w:rPr>
        <w:t>più </w:t>
      </w:r>
      <w:r>
        <w:rPr>
          <w:color w:val="231F20"/>
          <w:spacing w:val="4"/>
        </w:rPr>
        <w:t>per </w:t>
      </w:r>
      <w:r>
        <w:rPr>
          <w:color w:val="231F20"/>
        </w:rPr>
        <w:t>determinarlo</w:t>
      </w:r>
      <w:r>
        <w:rPr>
          <w:color w:val="231F20"/>
          <w:spacing w:val="-17"/>
        </w:rPr>
        <w:t> </w:t>
      </w:r>
      <w:r>
        <w:rPr>
          <w:color w:val="231F20"/>
        </w:rPr>
        <w:t>che</w:t>
      </w:r>
      <w:r>
        <w:rPr>
          <w:color w:val="231F20"/>
          <w:spacing w:val="-17"/>
        </w:rPr>
        <w:t> </w:t>
      </w:r>
      <w:r>
        <w:rPr>
          <w:color w:val="231F20"/>
        </w:rPr>
        <w:t>per</w:t>
      </w:r>
      <w:r>
        <w:rPr>
          <w:color w:val="231F20"/>
          <w:spacing w:val="-17"/>
        </w:rPr>
        <w:t> </w:t>
      </w:r>
      <w:r>
        <w:rPr>
          <w:color w:val="231F20"/>
        </w:rPr>
        <w:t>esserne</w:t>
      </w:r>
      <w:r>
        <w:rPr>
          <w:color w:val="231F20"/>
          <w:spacing w:val="-17"/>
        </w:rPr>
        <w:t> </w:t>
      </w:r>
      <w:r>
        <w:rPr>
          <w:color w:val="231F20"/>
        </w:rPr>
        <w:t>determinati,</w:t>
      </w:r>
      <w:r>
        <w:rPr>
          <w:color w:val="231F20"/>
          <w:spacing w:val="-17"/>
        </w:rPr>
        <w:t> </w:t>
      </w:r>
      <w:r>
        <w:rPr>
          <w:color w:val="231F20"/>
        </w:rPr>
        <w:t>risulta</w:t>
      </w:r>
      <w:r>
        <w:rPr>
          <w:color w:val="231F20"/>
          <w:spacing w:val="-17"/>
        </w:rPr>
        <w:t> </w:t>
      </w:r>
      <w:r>
        <w:rPr>
          <w:color w:val="231F20"/>
        </w:rPr>
        <w:t>così</w:t>
      </w:r>
      <w:r>
        <w:rPr>
          <w:color w:val="231F20"/>
          <w:spacing w:val="-17"/>
        </w:rPr>
        <w:t> </w:t>
      </w:r>
      <w:r>
        <w:rPr>
          <w:color w:val="231F20"/>
        </w:rPr>
        <w:t>pienamente</w:t>
      </w:r>
      <w:r>
        <w:rPr>
          <w:color w:val="231F20"/>
          <w:spacing w:val="-17"/>
        </w:rPr>
        <w:t> </w:t>
      </w:r>
      <w:r>
        <w:rPr>
          <w:color w:val="231F20"/>
        </w:rPr>
        <w:t>evidente. Ciò mostra altresì quanto quello di Stato sia un concetto disciplinare nel senso</w:t>
      </w:r>
      <w:r>
        <w:rPr>
          <w:color w:val="231F20"/>
          <w:spacing w:val="-13"/>
        </w:rPr>
        <w:t> </w:t>
      </w:r>
      <w:r>
        <w:rPr>
          <w:color w:val="231F20"/>
        </w:rPr>
        <w:t>che</w:t>
      </w:r>
      <w:r>
        <w:rPr>
          <w:color w:val="231F20"/>
          <w:spacing w:val="-13"/>
        </w:rPr>
        <w:t> </w:t>
      </w:r>
      <w:r>
        <w:rPr>
          <w:color w:val="231F20"/>
        </w:rPr>
        <w:t>esso</w:t>
      </w:r>
      <w:r>
        <w:rPr>
          <w:color w:val="231F20"/>
          <w:spacing w:val="-13"/>
        </w:rPr>
        <w:t> </w:t>
      </w:r>
      <w:r>
        <w:rPr>
          <w:color w:val="231F20"/>
        </w:rPr>
        <w:t>è</w:t>
      </w:r>
      <w:r>
        <w:rPr>
          <w:color w:val="231F20"/>
          <w:spacing w:val="-13"/>
        </w:rPr>
        <w:t> </w:t>
      </w:r>
      <w:r>
        <w:rPr>
          <w:color w:val="231F20"/>
        </w:rPr>
        <w:t>regolarmente</w:t>
      </w:r>
      <w:r>
        <w:rPr>
          <w:color w:val="231F20"/>
          <w:spacing w:val="-13"/>
        </w:rPr>
        <w:t> </w:t>
      </w:r>
      <w:r>
        <w:rPr>
          <w:color w:val="231F20"/>
        </w:rPr>
        <w:t>costruito</w:t>
      </w:r>
      <w:r>
        <w:rPr>
          <w:color w:val="231F20"/>
          <w:spacing w:val="-13"/>
        </w:rPr>
        <w:t> </w:t>
      </w:r>
      <w:r>
        <w:rPr>
          <w:color w:val="231F20"/>
        </w:rPr>
        <w:t>e</w:t>
      </w:r>
      <w:r>
        <w:rPr>
          <w:color w:val="231F20"/>
          <w:spacing w:val="-13"/>
        </w:rPr>
        <w:t> </w:t>
      </w:r>
      <w:r>
        <w:rPr>
          <w:color w:val="231F20"/>
        </w:rPr>
        <w:t>ricostruito</w:t>
      </w:r>
      <w:r>
        <w:rPr>
          <w:color w:val="231F20"/>
          <w:spacing w:val="-13"/>
        </w:rPr>
        <w:t> </w:t>
      </w:r>
      <w:r>
        <w:rPr>
          <w:color w:val="231F20"/>
        </w:rPr>
        <w:t>all’incrocio</w:t>
      </w:r>
      <w:r>
        <w:rPr>
          <w:color w:val="231F20"/>
          <w:spacing w:val="-13"/>
        </w:rPr>
        <w:t> </w:t>
      </w:r>
      <w:r>
        <w:rPr>
          <w:color w:val="231F20"/>
        </w:rPr>
        <w:t>dei</w:t>
      </w:r>
      <w:r>
        <w:rPr>
          <w:color w:val="231F20"/>
          <w:spacing w:val="-13"/>
        </w:rPr>
        <w:t> </w:t>
      </w:r>
      <w:r>
        <w:rPr>
          <w:color w:val="231F20"/>
        </w:rPr>
        <w:t>discorsi delle discipline politiche del sociale. Si tratta di sistematizzazioni</w:t>
      </w:r>
      <w:r>
        <w:rPr>
          <w:color w:val="231F20"/>
          <w:spacing w:val="-45"/>
        </w:rPr>
        <w:t> </w:t>
      </w:r>
      <w:r>
        <w:rPr>
          <w:color w:val="231F20"/>
        </w:rPr>
        <w:t>congiunte, anche</w:t>
      </w:r>
      <w:r>
        <w:rPr>
          <w:color w:val="231F20"/>
          <w:spacing w:val="-18"/>
        </w:rPr>
        <w:t> </w:t>
      </w:r>
      <w:r>
        <w:rPr>
          <w:color w:val="231F20"/>
        </w:rPr>
        <w:t>se</w:t>
      </w:r>
      <w:r>
        <w:rPr>
          <w:color w:val="231F20"/>
          <w:spacing w:val="-18"/>
        </w:rPr>
        <w:t> </w:t>
      </w:r>
      <w:r>
        <w:rPr>
          <w:color w:val="231F20"/>
        </w:rPr>
        <w:t>spesso</w:t>
      </w:r>
      <w:r>
        <w:rPr>
          <w:color w:val="231F20"/>
          <w:spacing w:val="-18"/>
        </w:rPr>
        <w:t> </w:t>
      </w:r>
      <w:r>
        <w:rPr>
          <w:color w:val="231F20"/>
        </w:rPr>
        <w:t>contraddittorie,</w:t>
      </w:r>
      <w:r>
        <w:rPr>
          <w:color w:val="231F20"/>
          <w:spacing w:val="-18"/>
        </w:rPr>
        <w:t> </w:t>
      </w:r>
      <w:r>
        <w:rPr>
          <w:color w:val="231F20"/>
        </w:rPr>
        <w:t>che</w:t>
      </w:r>
      <w:r>
        <w:rPr>
          <w:color w:val="231F20"/>
          <w:spacing w:val="-18"/>
        </w:rPr>
        <w:t> </w:t>
      </w:r>
      <w:r>
        <w:rPr>
          <w:color w:val="231F20"/>
          <w:spacing w:val="-3"/>
        </w:rPr>
        <w:t>però</w:t>
      </w:r>
      <w:r>
        <w:rPr>
          <w:color w:val="231F20"/>
          <w:spacing w:val="-18"/>
        </w:rPr>
        <w:t> </w:t>
      </w:r>
      <w:r>
        <w:rPr>
          <w:color w:val="231F20"/>
        </w:rPr>
        <w:t>stabiliscono</w:t>
      </w:r>
      <w:r>
        <w:rPr>
          <w:color w:val="231F20"/>
          <w:spacing w:val="-18"/>
        </w:rPr>
        <w:t> </w:t>
      </w:r>
      <w:r>
        <w:rPr>
          <w:color w:val="231F20"/>
        </w:rPr>
        <w:t>i</w:t>
      </w:r>
      <w:r>
        <w:rPr>
          <w:color w:val="231F20"/>
          <w:spacing w:val="-18"/>
        </w:rPr>
        <w:t> </w:t>
      </w:r>
      <w:r>
        <w:rPr>
          <w:color w:val="231F20"/>
        </w:rPr>
        <w:t>modi</w:t>
      </w:r>
      <w:r>
        <w:rPr>
          <w:color w:val="231F20"/>
          <w:spacing w:val="-18"/>
        </w:rPr>
        <w:t> </w:t>
      </w:r>
      <w:r>
        <w:rPr>
          <w:color w:val="231F20"/>
        </w:rPr>
        <w:t>legittimi</w:t>
      </w:r>
      <w:r>
        <w:rPr>
          <w:color w:val="231F20"/>
          <w:spacing w:val="-18"/>
        </w:rPr>
        <w:t> </w:t>
      </w:r>
      <w:r>
        <w:rPr>
          <w:color w:val="231F20"/>
        </w:rPr>
        <w:t>di</w:t>
      </w:r>
      <w:r>
        <w:rPr>
          <w:color w:val="231F20"/>
          <w:spacing w:val="-18"/>
        </w:rPr>
        <w:t> </w:t>
      </w:r>
      <w:r>
        <w:rPr>
          <w:color w:val="231F20"/>
          <w:spacing w:val="-3"/>
        </w:rPr>
        <w:t>fare </w:t>
      </w:r>
      <w:r>
        <w:rPr>
          <w:color w:val="231F20"/>
        </w:rPr>
        <w:t>riferimento</w:t>
      </w:r>
      <w:r>
        <w:rPr>
          <w:color w:val="231F20"/>
          <w:spacing w:val="-20"/>
        </w:rPr>
        <w:t> </w:t>
      </w:r>
      <w:r>
        <w:rPr>
          <w:color w:val="231F20"/>
        </w:rPr>
        <w:t>alla</w:t>
      </w:r>
      <w:r>
        <w:rPr>
          <w:color w:val="231F20"/>
          <w:spacing w:val="-20"/>
        </w:rPr>
        <w:t> </w:t>
      </w:r>
      <w:r>
        <w:rPr>
          <w:color w:val="231F20"/>
        </w:rPr>
        <w:t>Stato</w:t>
      </w:r>
      <w:r>
        <w:rPr>
          <w:color w:val="231F20"/>
          <w:spacing w:val="-20"/>
        </w:rPr>
        <w:t> </w:t>
      </w:r>
      <w:r>
        <w:rPr>
          <w:color w:val="231F20"/>
        </w:rPr>
        <w:t>tanto</w:t>
      </w:r>
      <w:r>
        <w:rPr>
          <w:color w:val="231F20"/>
          <w:spacing w:val="-20"/>
        </w:rPr>
        <w:t> </w:t>
      </w:r>
      <w:r>
        <w:rPr>
          <w:color w:val="231F20"/>
        </w:rPr>
        <w:t>nel</w:t>
      </w:r>
      <w:r>
        <w:rPr>
          <w:color w:val="231F20"/>
          <w:spacing w:val="-20"/>
        </w:rPr>
        <w:t> </w:t>
      </w:r>
      <w:r>
        <w:rPr>
          <w:color w:val="231F20"/>
        </w:rPr>
        <w:t>discorso</w:t>
      </w:r>
      <w:r>
        <w:rPr>
          <w:color w:val="231F20"/>
          <w:spacing w:val="-20"/>
        </w:rPr>
        <w:t> </w:t>
      </w:r>
      <w:r>
        <w:rPr>
          <w:color w:val="231F20"/>
        </w:rPr>
        <w:t>scientifico</w:t>
      </w:r>
      <w:r>
        <w:rPr>
          <w:color w:val="231F20"/>
          <w:spacing w:val="-20"/>
        </w:rPr>
        <w:t> </w:t>
      </w:r>
      <w:r>
        <w:rPr>
          <w:color w:val="231F20"/>
        </w:rPr>
        <w:t>quanto</w:t>
      </w:r>
      <w:r>
        <w:rPr>
          <w:color w:val="231F20"/>
          <w:spacing w:val="-20"/>
        </w:rPr>
        <w:t> </w:t>
      </w:r>
      <w:r>
        <w:rPr>
          <w:color w:val="231F20"/>
        </w:rPr>
        <w:t>in</w:t>
      </w:r>
      <w:r>
        <w:rPr>
          <w:color w:val="231F20"/>
          <w:spacing w:val="-20"/>
        </w:rPr>
        <w:t> </w:t>
      </w:r>
      <w:r>
        <w:rPr>
          <w:color w:val="231F20"/>
        </w:rPr>
        <w:t>quello</w:t>
      </w:r>
      <w:r>
        <w:rPr>
          <w:color w:val="231F20"/>
          <w:spacing w:val="-20"/>
        </w:rPr>
        <w:t> </w:t>
      </w:r>
      <w:r>
        <w:rPr>
          <w:color w:val="231F20"/>
        </w:rPr>
        <w:t>pubblico. Allo stesso tempo, tuttavia, esso è anche un soggetto disciplinante che – anche in forza di questa sua costruzione – produce e impone</w:t>
      </w:r>
      <w:r>
        <w:rPr>
          <w:color w:val="231F20"/>
          <w:spacing w:val="-26"/>
        </w:rPr>
        <w:t> </w:t>
      </w:r>
      <w:r>
        <w:rPr>
          <w:color w:val="231F20"/>
        </w:rPr>
        <w:t>tecnicamente specifici</w:t>
      </w:r>
      <w:r>
        <w:rPr>
          <w:color w:val="231F20"/>
          <w:spacing w:val="-14"/>
        </w:rPr>
        <w:t> </w:t>
      </w:r>
      <w:r>
        <w:rPr>
          <w:color w:val="231F20"/>
          <w:spacing w:val="-3"/>
        </w:rPr>
        <w:t>processi</w:t>
      </w:r>
      <w:r>
        <w:rPr>
          <w:color w:val="231F20"/>
          <w:spacing w:val="-14"/>
        </w:rPr>
        <w:t> </w:t>
      </w:r>
      <w:r>
        <w:rPr>
          <w:color w:val="231F20"/>
        </w:rPr>
        <w:t>di</w:t>
      </w:r>
      <w:r>
        <w:rPr>
          <w:color w:val="231F20"/>
          <w:spacing w:val="-14"/>
        </w:rPr>
        <w:t> </w:t>
      </w:r>
      <w:r>
        <w:rPr>
          <w:color w:val="231F20"/>
        </w:rPr>
        <w:t>disciplinamento</w:t>
      </w:r>
      <w:r>
        <w:rPr>
          <w:color w:val="231F20"/>
          <w:spacing w:val="-14"/>
        </w:rPr>
        <w:t> </w:t>
      </w:r>
      <w:r>
        <w:rPr>
          <w:color w:val="231F20"/>
        </w:rPr>
        <w:t>del</w:t>
      </w:r>
      <w:r>
        <w:rPr>
          <w:color w:val="231F20"/>
          <w:spacing w:val="-14"/>
        </w:rPr>
        <w:t> </w:t>
      </w:r>
      <w:r>
        <w:rPr>
          <w:color w:val="231F20"/>
        </w:rPr>
        <w:t>sociale.</w:t>
      </w:r>
      <w:r>
        <w:rPr>
          <w:color w:val="231F20"/>
          <w:spacing w:val="-14"/>
        </w:rPr>
        <w:t> </w:t>
      </w:r>
      <w:r>
        <w:rPr>
          <w:color w:val="231F20"/>
        </w:rPr>
        <w:t>Ciò</w:t>
      </w:r>
      <w:r>
        <w:rPr>
          <w:color w:val="231F20"/>
          <w:spacing w:val="-14"/>
        </w:rPr>
        <w:t> </w:t>
      </w:r>
      <w:r>
        <w:rPr>
          <w:color w:val="231F20"/>
        </w:rPr>
        <w:t>nonostante,</w:t>
      </w:r>
      <w:r>
        <w:rPr>
          <w:color w:val="231F20"/>
          <w:spacing w:val="-14"/>
        </w:rPr>
        <w:t> </w:t>
      </w:r>
      <w:r>
        <w:rPr>
          <w:color w:val="231F20"/>
        </w:rPr>
        <w:t>non</w:t>
      </w:r>
      <w:r>
        <w:rPr>
          <w:color w:val="231F20"/>
          <w:spacing w:val="-14"/>
        </w:rPr>
        <w:t> </w:t>
      </w:r>
      <w:r>
        <w:rPr>
          <w:color w:val="231F20"/>
        </w:rPr>
        <w:t>solo</w:t>
      </w:r>
      <w:r>
        <w:rPr>
          <w:color w:val="231F20"/>
          <w:spacing w:val="-14"/>
        </w:rPr>
        <w:t> </w:t>
      </w:r>
      <w:r>
        <w:rPr>
          <w:color w:val="231F20"/>
          <w:spacing w:val="-2"/>
        </w:rPr>
        <w:t>nel </w:t>
      </w:r>
      <w:r>
        <w:rPr>
          <w:color w:val="231F20"/>
        </w:rPr>
        <w:t>diritto, ma anche nelle discipline politiche del sociale con sempre maggior continuità</w:t>
      </w:r>
      <w:r>
        <w:rPr>
          <w:color w:val="231F20"/>
          <w:spacing w:val="-6"/>
        </w:rPr>
        <w:t> </w:t>
      </w:r>
      <w:r>
        <w:rPr>
          <w:color w:val="231F20"/>
        </w:rPr>
        <w:t>vengono</w:t>
      </w:r>
      <w:r>
        <w:rPr>
          <w:color w:val="231F20"/>
          <w:spacing w:val="-8"/>
        </w:rPr>
        <w:t> </w:t>
      </w:r>
      <w:r>
        <w:rPr>
          <w:color w:val="231F20"/>
        </w:rPr>
        <w:t>sottolineati</w:t>
      </w:r>
      <w:r>
        <w:rPr>
          <w:color w:val="231F20"/>
          <w:spacing w:val="-8"/>
        </w:rPr>
        <w:t> </w:t>
      </w:r>
      <w:r>
        <w:rPr>
          <w:color w:val="231F20"/>
        </w:rPr>
        <w:t>i</w:t>
      </w:r>
      <w:r>
        <w:rPr>
          <w:color w:val="231F20"/>
          <w:spacing w:val="-6"/>
        </w:rPr>
        <w:t> </w:t>
      </w:r>
      <w:r>
        <w:rPr>
          <w:color w:val="231F20"/>
        </w:rPr>
        <w:t>limiti</w:t>
      </w:r>
      <w:r>
        <w:rPr>
          <w:color w:val="231F20"/>
          <w:spacing w:val="-8"/>
        </w:rPr>
        <w:t> </w:t>
      </w:r>
      <w:r>
        <w:rPr>
          <w:color w:val="231F20"/>
        </w:rPr>
        <w:t>del</w:t>
      </w:r>
      <w:r>
        <w:rPr>
          <w:color w:val="231F20"/>
          <w:spacing w:val="-8"/>
        </w:rPr>
        <w:t> </w:t>
      </w:r>
      <w:r>
        <w:rPr>
          <w:color w:val="231F20"/>
        </w:rPr>
        <w:t>concetto</w:t>
      </w:r>
      <w:r>
        <w:rPr>
          <w:color w:val="231F20"/>
          <w:spacing w:val="-8"/>
        </w:rPr>
        <w:t> </w:t>
      </w:r>
      <w:r>
        <w:rPr>
          <w:color w:val="231F20"/>
        </w:rPr>
        <w:t>di</w:t>
      </w:r>
      <w:r>
        <w:rPr>
          <w:color w:val="231F20"/>
          <w:spacing w:val="-8"/>
        </w:rPr>
        <w:t> </w:t>
      </w:r>
      <w:r>
        <w:rPr>
          <w:color w:val="231F20"/>
        </w:rPr>
        <w:t>Stato.</w:t>
      </w:r>
      <w:r>
        <w:rPr>
          <w:color w:val="231F20"/>
          <w:spacing w:val="-8"/>
        </w:rPr>
        <w:t> </w:t>
      </w:r>
      <w:r>
        <w:rPr>
          <w:color w:val="231F20"/>
        </w:rPr>
        <w:t>I</w:t>
      </w:r>
      <w:r>
        <w:rPr>
          <w:color w:val="231F20"/>
          <w:spacing w:val="-6"/>
        </w:rPr>
        <w:t> </w:t>
      </w:r>
      <w:r>
        <w:rPr>
          <w:color w:val="231F20"/>
        </w:rPr>
        <w:t>giuristi,</w:t>
      </w:r>
      <w:r>
        <w:rPr>
          <w:color w:val="231F20"/>
          <w:spacing w:val="-8"/>
        </w:rPr>
        <w:t> </w:t>
      </w:r>
      <w:r>
        <w:rPr>
          <w:color w:val="231F20"/>
        </w:rPr>
        <w:t>a</w:t>
      </w:r>
      <w:r>
        <w:rPr>
          <w:color w:val="231F20"/>
          <w:spacing w:val="-6"/>
        </w:rPr>
        <w:t> </w:t>
      </w:r>
      <w:r>
        <w:rPr>
          <w:color w:val="231F20"/>
        </w:rPr>
        <w:t>dire il</w:t>
      </w:r>
      <w:r>
        <w:rPr>
          <w:color w:val="231F20"/>
          <w:spacing w:val="-7"/>
        </w:rPr>
        <w:t> </w:t>
      </w:r>
      <w:r>
        <w:rPr>
          <w:color w:val="231F20"/>
        </w:rPr>
        <w:t>vero,</w:t>
      </w:r>
      <w:r>
        <w:rPr>
          <w:color w:val="231F20"/>
          <w:spacing w:val="-7"/>
        </w:rPr>
        <w:t> </w:t>
      </w:r>
      <w:r>
        <w:rPr>
          <w:color w:val="231F20"/>
        </w:rPr>
        <w:t>hanno</w:t>
      </w:r>
      <w:r>
        <w:rPr>
          <w:color w:val="231F20"/>
          <w:spacing w:val="-7"/>
        </w:rPr>
        <w:t> </w:t>
      </w:r>
      <w:r>
        <w:rPr>
          <w:color w:val="231F20"/>
        </w:rPr>
        <w:t>a</w:t>
      </w:r>
      <w:r>
        <w:rPr>
          <w:color w:val="231F20"/>
          <w:spacing w:val="-7"/>
        </w:rPr>
        <w:t> </w:t>
      </w:r>
      <w:r>
        <w:rPr>
          <w:color w:val="231F20"/>
        </w:rPr>
        <w:t>disposizione</w:t>
      </w:r>
      <w:r>
        <w:rPr>
          <w:color w:val="231F20"/>
          <w:spacing w:val="-7"/>
        </w:rPr>
        <w:t> </w:t>
      </w:r>
      <w:r>
        <w:rPr>
          <w:color w:val="231F20"/>
        </w:rPr>
        <w:t>la</w:t>
      </w:r>
      <w:r>
        <w:rPr>
          <w:color w:val="231F20"/>
          <w:spacing w:val="-7"/>
        </w:rPr>
        <w:t> </w:t>
      </w:r>
      <w:r>
        <w:rPr>
          <w:color w:val="231F20"/>
        </w:rPr>
        <w:t>via</w:t>
      </w:r>
      <w:r>
        <w:rPr>
          <w:color w:val="231F20"/>
          <w:spacing w:val="-7"/>
        </w:rPr>
        <w:t> </w:t>
      </w:r>
      <w:r>
        <w:rPr>
          <w:color w:val="231F20"/>
        </w:rPr>
        <w:t>d’uscita</w:t>
      </w:r>
      <w:r>
        <w:rPr>
          <w:color w:val="231F20"/>
          <w:spacing w:val="-7"/>
        </w:rPr>
        <w:t> </w:t>
      </w:r>
      <w:r>
        <w:rPr>
          <w:color w:val="231F20"/>
        </w:rPr>
        <w:t>che</w:t>
      </w:r>
      <w:r>
        <w:rPr>
          <w:color w:val="231F20"/>
          <w:spacing w:val="-7"/>
        </w:rPr>
        <w:t> </w:t>
      </w:r>
      <w:r>
        <w:rPr>
          <w:color w:val="231F20"/>
        </w:rPr>
        <w:t>consente</w:t>
      </w:r>
      <w:r>
        <w:rPr>
          <w:color w:val="231F20"/>
          <w:spacing w:val="-7"/>
        </w:rPr>
        <w:t> </w:t>
      </w:r>
      <w:r>
        <w:rPr>
          <w:color w:val="231F20"/>
        </w:rPr>
        <w:t>loro</w:t>
      </w:r>
      <w:r>
        <w:rPr>
          <w:color w:val="231F20"/>
          <w:spacing w:val="-7"/>
        </w:rPr>
        <w:t> </w:t>
      </w:r>
      <w:r>
        <w:rPr>
          <w:color w:val="231F20"/>
        </w:rPr>
        <w:t>di</w:t>
      </w:r>
      <w:r>
        <w:rPr>
          <w:color w:val="231F20"/>
          <w:spacing w:val="-7"/>
        </w:rPr>
        <w:t> </w:t>
      </w:r>
      <w:r>
        <w:rPr>
          <w:color w:val="231F20"/>
        </w:rPr>
        <w:t>passare</w:t>
      </w:r>
      <w:r>
        <w:rPr>
          <w:color w:val="231F20"/>
          <w:spacing w:val="-7"/>
        </w:rPr>
        <w:t> </w:t>
      </w:r>
      <w:r>
        <w:rPr>
          <w:color w:val="231F20"/>
        </w:rPr>
        <w:t>dal concetto di Stato a quello di</w:t>
      </w:r>
      <w:r>
        <w:rPr>
          <w:color w:val="231F20"/>
          <w:spacing w:val="51"/>
        </w:rPr>
        <w:t> </w:t>
      </w:r>
      <w:r>
        <w:rPr>
          <w:color w:val="231F20"/>
        </w:rPr>
        <w:t>costituzione.</w:t>
      </w:r>
    </w:p>
    <w:p>
      <w:pPr>
        <w:pStyle w:val="BodyText"/>
        <w:spacing w:line="247" w:lineRule="auto"/>
        <w:ind w:left="117" w:right="118" w:firstLine="566"/>
        <w:jc w:val="both"/>
      </w:pPr>
      <w:r>
        <w:rPr>
          <w:color w:val="231F20"/>
        </w:rPr>
        <w:t>Hasso</w:t>
      </w:r>
      <w:r>
        <w:rPr>
          <w:color w:val="231F20"/>
          <w:spacing w:val="-21"/>
        </w:rPr>
        <w:t> </w:t>
      </w:r>
      <w:r>
        <w:rPr>
          <w:color w:val="231F20"/>
        </w:rPr>
        <w:t>Hofmann</w:t>
      </w:r>
      <w:r>
        <w:rPr>
          <w:color w:val="231F20"/>
          <w:spacing w:val="-21"/>
        </w:rPr>
        <w:t> </w:t>
      </w:r>
      <w:r>
        <w:rPr>
          <w:color w:val="231F20"/>
        </w:rPr>
        <w:t>sostiene</w:t>
      </w:r>
      <w:r>
        <w:rPr>
          <w:color w:val="231F20"/>
          <w:spacing w:val="-21"/>
        </w:rPr>
        <w:t> </w:t>
      </w:r>
      <w:r>
        <w:rPr>
          <w:color w:val="231F20"/>
        </w:rPr>
        <w:t>così</w:t>
      </w:r>
      <w:r>
        <w:rPr>
          <w:color w:val="231F20"/>
          <w:spacing w:val="-21"/>
        </w:rPr>
        <w:t> </w:t>
      </w:r>
      <w:r>
        <w:rPr>
          <w:color w:val="231F20"/>
        </w:rPr>
        <w:t>che</w:t>
      </w:r>
      <w:r>
        <w:rPr>
          <w:color w:val="231F20"/>
          <w:spacing w:val="-21"/>
        </w:rPr>
        <w:t> </w:t>
      </w:r>
      <w:r>
        <w:rPr>
          <w:color w:val="231F20"/>
        </w:rPr>
        <w:t>“Il</w:t>
      </w:r>
      <w:r>
        <w:rPr>
          <w:color w:val="231F20"/>
          <w:spacing w:val="-21"/>
        </w:rPr>
        <w:t> </w:t>
      </w:r>
      <w:r>
        <w:rPr>
          <w:color w:val="231F20"/>
        </w:rPr>
        <w:t>concetto</w:t>
      </w:r>
      <w:r>
        <w:rPr>
          <w:color w:val="231F20"/>
          <w:spacing w:val="-21"/>
        </w:rPr>
        <w:t> </w:t>
      </w:r>
      <w:r>
        <w:rPr>
          <w:color w:val="231F20"/>
        </w:rPr>
        <w:t>di</w:t>
      </w:r>
      <w:r>
        <w:rPr>
          <w:color w:val="231F20"/>
          <w:spacing w:val="-21"/>
        </w:rPr>
        <w:t> </w:t>
      </w:r>
      <w:r>
        <w:rPr>
          <w:color w:val="231F20"/>
        </w:rPr>
        <w:t>Stato</w:t>
      </w:r>
      <w:r>
        <w:rPr>
          <w:color w:val="231F20"/>
          <w:spacing w:val="-21"/>
        </w:rPr>
        <w:t> </w:t>
      </w:r>
      <w:r>
        <w:rPr>
          <w:color w:val="231F20"/>
        </w:rPr>
        <w:t>ha</w:t>
      </w:r>
      <w:r>
        <w:rPr>
          <w:color w:val="231F20"/>
          <w:spacing w:val="-21"/>
        </w:rPr>
        <w:t> </w:t>
      </w:r>
      <w:r>
        <w:rPr>
          <w:color w:val="231F20"/>
        </w:rPr>
        <w:t>in</w:t>
      </w:r>
      <w:r>
        <w:rPr>
          <w:color w:val="231F20"/>
          <w:spacing w:val="-21"/>
        </w:rPr>
        <w:t> </w:t>
      </w:r>
      <w:r>
        <w:rPr>
          <w:color w:val="231F20"/>
        </w:rPr>
        <w:t>gran</w:t>
      </w:r>
      <w:r>
        <w:rPr>
          <w:color w:val="231F20"/>
          <w:spacing w:val="-21"/>
        </w:rPr>
        <w:t> </w:t>
      </w:r>
      <w:r>
        <w:rPr>
          <w:color w:val="231F20"/>
        </w:rPr>
        <w:t>parte </w:t>
      </w:r>
      <w:r>
        <w:rPr>
          <w:color w:val="231F20"/>
          <w:spacing w:val="-3"/>
        </w:rPr>
        <w:t>perso</w:t>
      </w:r>
      <w:r>
        <w:rPr>
          <w:color w:val="231F20"/>
          <w:spacing w:val="-18"/>
        </w:rPr>
        <w:t> </w:t>
      </w:r>
      <w:r>
        <w:rPr>
          <w:color w:val="231F20"/>
        </w:rPr>
        <w:t>la</w:t>
      </w:r>
      <w:r>
        <w:rPr>
          <w:color w:val="231F20"/>
          <w:spacing w:val="-18"/>
        </w:rPr>
        <w:t> </w:t>
      </w:r>
      <w:r>
        <w:rPr>
          <w:color w:val="231F20"/>
        </w:rPr>
        <w:t>sua</w:t>
      </w:r>
      <w:r>
        <w:rPr>
          <w:color w:val="231F20"/>
          <w:spacing w:val="-18"/>
        </w:rPr>
        <w:t> </w:t>
      </w:r>
      <w:r>
        <w:rPr>
          <w:color w:val="231F20"/>
          <w:spacing w:val="-3"/>
        </w:rPr>
        <w:t>forza</w:t>
      </w:r>
      <w:r>
        <w:rPr>
          <w:color w:val="231F20"/>
          <w:spacing w:val="-18"/>
        </w:rPr>
        <w:t> </w:t>
      </w:r>
      <w:r>
        <w:rPr>
          <w:color w:val="231F20"/>
          <w:spacing w:val="-4"/>
        </w:rPr>
        <w:t>creatrice</w:t>
      </w:r>
      <w:r>
        <w:rPr>
          <w:color w:val="231F20"/>
          <w:spacing w:val="-18"/>
        </w:rPr>
        <w:t> </w:t>
      </w:r>
      <w:r>
        <w:rPr>
          <w:color w:val="231F20"/>
        </w:rPr>
        <w:t>di</w:t>
      </w:r>
      <w:r>
        <w:rPr>
          <w:color w:val="231F20"/>
          <w:spacing w:val="-18"/>
        </w:rPr>
        <w:t> </w:t>
      </w:r>
      <w:r>
        <w:rPr>
          <w:color w:val="231F20"/>
          <w:spacing w:val="-3"/>
        </w:rPr>
        <w:t>sistemi;</w:t>
      </w:r>
      <w:r>
        <w:rPr>
          <w:color w:val="231F20"/>
          <w:spacing w:val="-18"/>
        </w:rPr>
        <w:t> </w:t>
      </w:r>
      <w:r>
        <w:rPr>
          <w:color w:val="231F20"/>
        </w:rPr>
        <w:t>a</w:t>
      </w:r>
      <w:r>
        <w:rPr>
          <w:color w:val="231F20"/>
          <w:spacing w:val="-18"/>
        </w:rPr>
        <w:t> </w:t>
      </w:r>
      <w:r>
        <w:rPr>
          <w:color w:val="231F20"/>
          <w:spacing w:val="-4"/>
        </w:rPr>
        <w:t>vincere</w:t>
      </w:r>
      <w:r>
        <w:rPr>
          <w:color w:val="231F20"/>
          <w:spacing w:val="-18"/>
        </w:rPr>
        <w:t> </w:t>
      </w:r>
      <w:r>
        <w:rPr>
          <w:color w:val="231F20"/>
        </w:rPr>
        <w:t>è</w:t>
      </w:r>
      <w:r>
        <w:rPr>
          <w:color w:val="231F20"/>
          <w:spacing w:val="-18"/>
        </w:rPr>
        <w:t> </w:t>
      </w:r>
      <w:r>
        <w:rPr>
          <w:color w:val="231F20"/>
        </w:rPr>
        <w:t>il</w:t>
      </w:r>
      <w:r>
        <w:rPr>
          <w:color w:val="231F20"/>
          <w:spacing w:val="-18"/>
        </w:rPr>
        <w:t> </w:t>
      </w:r>
      <w:r>
        <w:rPr>
          <w:color w:val="231F20"/>
          <w:spacing w:val="-3"/>
        </w:rPr>
        <w:t>concetto</w:t>
      </w:r>
      <w:r>
        <w:rPr>
          <w:color w:val="231F20"/>
          <w:spacing w:val="-18"/>
        </w:rPr>
        <w:t> </w:t>
      </w:r>
      <w:r>
        <w:rPr>
          <w:color w:val="231F20"/>
        </w:rPr>
        <w:t>di</w:t>
      </w:r>
      <w:r>
        <w:rPr>
          <w:color w:val="231F20"/>
          <w:spacing w:val="-18"/>
        </w:rPr>
        <w:t> </w:t>
      </w:r>
      <w:r>
        <w:rPr>
          <w:color w:val="231F20"/>
          <w:spacing w:val="-3"/>
        </w:rPr>
        <w:t>costituzione”</w:t>
      </w:r>
      <w:r>
        <w:rPr>
          <w:color w:val="231F20"/>
          <w:spacing w:val="-3"/>
          <w:position w:val="7"/>
          <w:sz w:val="12"/>
        </w:rPr>
        <w:t>25</w:t>
      </w:r>
      <w:r>
        <w:rPr>
          <w:color w:val="231F20"/>
          <w:spacing w:val="-3"/>
        </w:rPr>
        <w:t>. </w:t>
      </w:r>
      <w:r>
        <w:rPr>
          <w:color w:val="231F20"/>
        </w:rPr>
        <w:t>Nelle</w:t>
      </w:r>
      <w:r>
        <w:rPr>
          <w:color w:val="231F20"/>
          <w:spacing w:val="-7"/>
        </w:rPr>
        <w:t> </w:t>
      </w:r>
      <w:r>
        <w:rPr>
          <w:color w:val="231F20"/>
        </w:rPr>
        <w:t>stesse</w:t>
      </w:r>
      <w:r>
        <w:rPr>
          <w:color w:val="231F20"/>
          <w:spacing w:val="-7"/>
        </w:rPr>
        <w:t> </w:t>
      </w:r>
      <w:r>
        <w:rPr>
          <w:color w:val="231F20"/>
        </w:rPr>
        <w:t>scienze</w:t>
      </w:r>
      <w:r>
        <w:rPr>
          <w:color w:val="231F20"/>
          <w:spacing w:val="-7"/>
        </w:rPr>
        <w:t> </w:t>
      </w:r>
      <w:r>
        <w:rPr>
          <w:color w:val="231F20"/>
        </w:rPr>
        <w:t>sociali,</w:t>
      </w:r>
      <w:r>
        <w:rPr>
          <w:color w:val="231F20"/>
          <w:spacing w:val="-7"/>
        </w:rPr>
        <w:t> </w:t>
      </w:r>
      <w:r>
        <w:rPr>
          <w:color w:val="231F20"/>
        </w:rPr>
        <w:t>che</w:t>
      </w:r>
      <w:r>
        <w:rPr>
          <w:color w:val="231F20"/>
          <w:spacing w:val="-7"/>
        </w:rPr>
        <w:t> </w:t>
      </w:r>
      <w:r>
        <w:rPr>
          <w:color w:val="231F20"/>
        </w:rPr>
        <w:t>hanno</w:t>
      </w:r>
      <w:r>
        <w:rPr>
          <w:color w:val="231F20"/>
          <w:spacing w:val="-7"/>
        </w:rPr>
        <w:t> </w:t>
      </w:r>
      <w:r>
        <w:rPr>
          <w:color w:val="231F20"/>
        </w:rPr>
        <w:t>contribuito</w:t>
      </w:r>
      <w:r>
        <w:rPr>
          <w:color w:val="231F20"/>
          <w:spacing w:val="-7"/>
        </w:rPr>
        <w:t> </w:t>
      </w:r>
      <w:r>
        <w:rPr>
          <w:color w:val="231F20"/>
        </w:rPr>
        <w:t>in</w:t>
      </w:r>
      <w:r>
        <w:rPr>
          <w:color w:val="231F20"/>
          <w:spacing w:val="-7"/>
        </w:rPr>
        <w:t> </w:t>
      </w:r>
      <w:r>
        <w:rPr>
          <w:color w:val="231F20"/>
        </w:rPr>
        <w:t>maniera</w:t>
      </w:r>
      <w:r>
        <w:rPr>
          <w:color w:val="231F20"/>
          <w:spacing w:val="-7"/>
        </w:rPr>
        <w:t> </w:t>
      </w:r>
      <w:r>
        <w:rPr>
          <w:color w:val="231F20"/>
        </w:rPr>
        <w:t>forse</w:t>
      </w:r>
      <w:r>
        <w:rPr>
          <w:color w:val="231F20"/>
          <w:spacing w:val="-7"/>
        </w:rPr>
        <w:t> </w:t>
      </w:r>
      <w:r>
        <w:rPr>
          <w:color w:val="231F20"/>
        </w:rPr>
        <w:t>decisiva alla sistematizzazione del concetto di Stato moderno</w:t>
      </w:r>
      <w:r>
        <w:rPr>
          <w:color w:val="231F20"/>
          <w:position w:val="7"/>
          <w:sz w:val="12"/>
        </w:rPr>
        <w:t>26</w:t>
      </w:r>
      <w:r>
        <w:rPr>
          <w:color w:val="231F20"/>
        </w:rPr>
        <w:t>, si è affermato uno specifico “disincanto sociologico” nei confronti dello Stato che, ponendolo </w:t>
      </w:r>
      <w:r>
        <w:rPr>
          <w:color w:val="231F20"/>
          <w:spacing w:val="3"/>
        </w:rPr>
        <w:t>come sistema decentrato all’interno </w:t>
      </w:r>
      <w:r>
        <w:rPr>
          <w:color w:val="231F20"/>
          <w:spacing w:val="2"/>
        </w:rPr>
        <w:t>del </w:t>
      </w:r>
      <w:r>
        <w:rPr>
          <w:color w:val="231F20"/>
          <w:spacing w:val="3"/>
        </w:rPr>
        <w:t>sistema sociale </w:t>
      </w:r>
      <w:r>
        <w:rPr>
          <w:color w:val="231F20"/>
          <w:spacing w:val="4"/>
        </w:rPr>
        <w:t>complessivo, </w:t>
      </w:r>
      <w:r>
        <w:rPr>
          <w:color w:val="231F20"/>
          <w:spacing w:val="2"/>
        </w:rPr>
        <w:t>tematizza </w:t>
      </w:r>
      <w:r>
        <w:rPr>
          <w:color w:val="231F20"/>
        </w:rPr>
        <w:t>una </w:t>
      </w:r>
      <w:r>
        <w:rPr>
          <w:color w:val="231F20"/>
          <w:spacing w:val="2"/>
        </w:rPr>
        <w:t>specifica modestia dello Stato </w:t>
      </w:r>
      <w:r>
        <w:rPr>
          <w:color w:val="231F20"/>
        </w:rPr>
        <w:t>che </w:t>
      </w:r>
      <w:r>
        <w:rPr>
          <w:color w:val="231F20"/>
          <w:spacing w:val="2"/>
        </w:rPr>
        <w:t>dovrebbe portarlo </w:t>
      </w:r>
      <w:r>
        <w:rPr>
          <w:color w:val="231F20"/>
        </w:rPr>
        <w:t>a </w:t>
      </w:r>
      <w:r>
        <w:rPr>
          <w:color w:val="231F20"/>
          <w:spacing w:val="-3"/>
        </w:rPr>
        <w:t>riconoscere</w:t>
      </w:r>
      <w:r>
        <w:rPr>
          <w:color w:val="231F20"/>
          <w:spacing w:val="-12"/>
        </w:rPr>
        <w:t> </w:t>
      </w:r>
      <w:r>
        <w:rPr>
          <w:color w:val="231F20"/>
          <w:spacing w:val="-3"/>
        </w:rPr>
        <w:t>ironicamente</w:t>
      </w:r>
      <w:r>
        <w:rPr>
          <w:color w:val="231F20"/>
          <w:spacing w:val="-12"/>
        </w:rPr>
        <w:t> </w:t>
      </w:r>
      <w:r>
        <w:rPr>
          <w:color w:val="231F20"/>
        </w:rPr>
        <w:t>la</w:t>
      </w:r>
      <w:r>
        <w:rPr>
          <w:color w:val="231F20"/>
          <w:spacing w:val="-12"/>
        </w:rPr>
        <w:t> </w:t>
      </w:r>
      <w:r>
        <w:rPr>
          <w:color w:val="231F20"/>
          <w:spacing w:val="-3"/>
        </w:rPr>
        <w:t>propria</w:t>
      </w:r>
      <w:r>
        <w:rPr>
          <w:color w:val="231F20"/>
          <w:spacing w:val="-12"/>
        </w:rPr>
        <w:t> </w:t>
      </w:r>
      <w:r>
        <w:rPr>
          <w:color w:val="231F20"/>
        </w:rPr>
        <w:t>ormai</w:t>
      </w:r>
      <w:r>
        <w:rPr>
          <w:color w:val="231F20"/>
          <w:spacing w:val="-12"/>
        </w:rPr>
        <w:t> </w:t>
      </w:r>
      <w:r>
        <w:rPr>
          <w:color w:val="231F20"/>
        </w:rPr>
        <w:t>inequivocabile</w:t>
      </w:r>
      <w:r>
        <w:rPr>
          <w:color w:val="231F20"/>
          <w:spacing w:val="-12"/>
        </w:rPr>
        <w:t> </w:t>
      </w:r>
      <w:r>
        <w:rPr>
          <w:color w:val="231F20"/>
          <w:spacing w:val="-3"/>
        </w:rPr>
        <w:t>parzialità</w:t>
      </w:r>
      <w:r>
        <w:rPr>
          <w:color w:val="231F20"/>
          <w:spacing w:val="-3"/>
          <w:position w:val="7"/>
          <w:sz w:val="12"/>
        </w:rPr>
        <w:t>27</w:t>
      </w:r>
      <w:r>
        <w:rPr>
          <w:color w:val="231F20"/>
          <w:spacing w:val="-3"/>
        </w:rPr>
        <w:t>.</w:t>
      </w:r>
      <w:r>
        <w:rPr>
          <w:color w:val="231F20"/>
          <w:spacing w:val="-12"/>
        </w:rPr>
        <w:t> </w:t>
      </w:r>
      <w:r>
        <w:rPr>
          <w:color w:val="231F20"/>
        </w:rPr>
        <w:t>Si</w:t>
      </w:r>
      <w:r>
        <w:rPr>
          <w:color w:val="231F20"/>
          <w:spacing w:val="-12"/>
        </w:rPr>
        <w:t> </w:t>
      </w:r>
      <w:r>
        <w:rPr>
          <w:color w:val="231F20"/>
          <w:spacing w:val="-2"/>
        </w:rPr>
        <w:t>tratta </w:t>
      </w:r>
      <w:r>
        <w:rPr>
          <w:color w:val="231F20"/>
        </w:rPr>
        <w:t>di una tendenza recente in sociologia che ha però dei precedenti celebri</w:t>
      </w:r>
      <w:r>
        <w:rPr>
          <w:color w:val="231F20"/>
          <w:spacing w:val="22"/>
        </w:rPr>
        <w:t> </w:t>
      </w:r>
      <w:r>
        <w:rPr>
          <w:color w:val="231F20"/>
        </w:rPr>
        <w:t>in</w:t>
      </w:r>
    </w:p>
    <w:p>
      <w:pPr>
        <w:pStyle w:val="BodyText"/>
        <w:rPr>
          <w:sz w:val="20"/>
        </w:rPr>
      </w:pPr>
    </w:p>
    <w:p>
      <w:pPr>
        <w:pStyle w:val="BodyText"/>
        <w:spacing w:before="1"/>
        <w:rPr>
          <w:sz w:val="17"/>
        </w:rPr>
      </w:pPr>
      <w:r>
        <w:rPr/>
        <w:pict>
          <v:line style="position:absolute;mso-position-horizontal-relative:page;mso-position-vertical-relative:paragraph;z-index:10216;mso-wrap-distance-left:0;mso-wrap-distance-right:0" from="70.866096pt,12.436772pt" to="184.252096pt,12.436772pt" stroked="true" strokeweight=".3pt" strokecolor="#231f20">
            <w10:wrap type="topAndBottom"/>
          </v:line>
        </w:pict>
      </w:r>
    </w:p>
    <w:p>
      <w:pPr>
        <w:spacing w:line="204" w:lineRule="exact" w:before="8"/>
        <w:ind w:left="117" w:right="121" w:firstLine="0"/>
        <w:jc w:val="both"/>
        <w:rPr>
          <w:rFonts w:ascii="Calibri"/>
          <w:sz w:val="17"/>
        </w:rPr>
      </w:pPr>
      <w:r>
        <w:rPr>
          <w:rFonts w:ascii="Calibri"/>
          <w:color w:val="231F20"/>
          <w:w w:val="105"/>
          <w:position w:val="6"/>
          <w:sz w:val="10"/>
        </w:rPr>
        <w:t>23 </w:t>
      </w:r>
      <w:r>
        <w:rPr>
          <w:rFonts w:ascii="Calibri"/>
          <w:color w:val="231F20"/>
          <w:w w:val="105"/>
          <w:sz w:val="17"/>
        </w:rPr>
        <w:t>M. Calise y Th. J. Lowi, </w:t>
      </w:r>
      <w:r>
        <w:rPr>
          <w:rFonts w:ascii="Calibri"/>
          <w:i/>
          <w:color w:val="231F20"/>
          <w:w w:val="105"/>
          <w:sz w:val="17"/>
        </w:rPr>
        <w:t>Hyperpolitics. An Interactive Dictionary of Political Science Concepts</w:t>
      </w:r>
      <w:r>
        <w:rPr>
          <w:rFonts w:ascii="Calibri"/>
          <w:color w:val="231F20"/>
          <w:w w:val="105"/>
          <w:sz w:val="17"/>
        </w:rPr>
        <w:t>, Chicago/London, University of Chicago Press, 2010.</w:t>
      </w:r>
    </w:p>
    <w:p>
      <w:pPr>
        <w:spacing w:line="206" w:lineRule="exact" w:before="1"/>
        <w:ind w:left="117" w:right="0" w:firstLine="0"/>
        <w:jc w:val="both"/>
        <w:rPr>
          <w:rFonts w:ascii="Calibri"/>
          <w:sz w:val="17"/>
        </w:rPr>
      </w:pPr>
      <w:r>
        <w:rPr>
          <w:rFonts w:ascii="Calibri"/>
          <w:color w:val="231F20"/>
          <w:position w:val="6"/>
          <w:sz w:val="10"/>
        </w:rPr>
        <w:t>24  </w:t>
      </w:r>
      <w:r>
        <w:rPr>
          <w:rFonts w:ascii="Calibri"/>
          <w:color w:val="231F20"/>
          <w:sz w:val="17"/>
        </w:rPr>
        <w:t>P.  B. Evans, D. Rueschemeyer y Th. Skocpol (Eds.), </w:t>
      </w:r>
      <w:r>
        <w:rPr>
          <w:rFonts w:ascii="Calibri"/>
          <w:i/>
          <w:color w:val="231F20"/>
          <w:sz w:val="17"/>
        </w:rPr>
        <w:t>Bringing the State Back in</w:t>
      </w:r>
      <w:r>
        <w:rPr>
          <w:rFonts w:ascii="Calibri"/>
          <w:color w:val="231F20"/>
          <w:sz w:val="17"/>
        </w:rPr>
        <w:t>, Cambridge/New</w:t>
      </w:r>
    </w:p>
    <w:p>
      <w:pPr>
        <w:spacing w:line="204" w:lineRule="exact" w:before="0"/>
        <w:ind w:left="117" w:right="0" w:firstLine="0"/>
        <w:jc w:val="both"/>
        <w:rPr>
          <w:rFonts w:ascii="Calibri"/>
          <w:sz w:val="17"/>
        </w:rPr>
      </w:pPr>
      <w:r>
        <w:rPr>
          <w:rFonts w:ascii="Calibri"/>
          <w:color w:val="231F20"/>
          <w:sz w:val="17"/>
        </w:rPr>
        <w:t>York, Cambridge University Press, 1985.</w:t>
      </w:r>
    </w:p>
    <w:p>
      <w:pPr>
        <w:spacing w:line="235" w:lineRule="auto" w:before="1"/>
        <w:ind w:left="117" w:right="122" w:firstLine="0"/>
        <w:jc w:val="both"/>
        <w:rPr>
          <w:rFonts w:ascii="Calibri" w:hAnsi="Calibri"/>
          <w:sz w:val="17"/>
        </w:rPr>
      </w:pPr>
      <w:r>
        <w:rPr>
          <w:rFonts w:ascii="Calibri" w:hAnsi="Calibri"/>
          <w:color w:val="231F20"/>
          <w:position w:val="6"/>
          <w:sz w:val="10"/>
        </w:rPr>
        <w:t>25 </w:t>
      </w:r>
      <w:r>
        <w:rPr>
          <w:rFonts w:ascii="Calibri" w:hAnsi="Calibri"/>
          <w:color w:val="231F20"/>
          <w:sz w:val="17"/>
        </w:rPr>
        <w:t>H. Hofmann, </w:t>
      </w:r>
      <w:r>
        <w:rPr>
          <w:rFonts w:ascii="Calibri" w:hAnsi="Calibri"/>
          <w:i/>
          <w:color w:val="231F20"/>
          <w:sz w:val="17"/>
        </w:rPr>
        <w:t>La libertà nello Stato moderno. Saggi di dottrina della Costituzione</w:t>
      </w:r>
      <w:r>
        <w:rPr>
          <w:rFonts w:ascii="Calibri" w:hAnsi="Calibri"/>
          <w:color w:val="231F20"/>
          <w:sz w:val="17"/>
        </w:rPr>
        <w:t>, Napoli, Guida, 2009, p. 55.</w:t>
      </w:r>
    </w:p>
    <w:p>
      <w:pPr>
        <w:spacing w:line="235" w:lineRule="auto" w:before="0"/>
        <w:ind w:left="117" w:right="121" w:firstLine="0"/>
        <w:jc w:val="both"/>
        <w:rPr>
          <w:rFonts w:ascii="Calibri" w:hAnsi="Calibri"/>
          <w:sz w:val="17"/>
        </w:rPr>
      </w:pPr>
      <w:r>
        <w:rPr>
          <w:rFonts w:ascii="Calibri" w:hAnsi="Calibri"/>
          <w:color w:val="231F20"/>
          <w:position w:val="6"/>
          <w:sz w:val="10"/>
        </w:rPr>
        <w:t>26 </w:t>
      </w:r>
      <w:r>
        <w:rPr>
          <w:rFonts w:ascii="Calibri" w:hAnsi="Calibri"/>
          <w:color w:val="231F20"/>
          <w:sz w:val="17"/>
        </w:rPr>
        <w:t>M. Ricciardi, </w:t>
      </w:r>
      <w:r>
        <w:rPr>
          <w:rFonts w:ascii="Calibri" w:hAnsi="Calibri"/>
          <w:i/>
          <w:color w:val="231F20"/>
          <w:sz w:val="17"/>
        </w:rPr>
        <w:t>La società come ordine. Teoria politica dei concetti sociali</w:t>
      </w:r>
      <w:r>
        <w:rPr>
          <w:rFonts w:ascii="Calibri" w:hAnsi="Calibri"/>
          <w:color w:val="231F20"/>
          <w:sz w:val="17"/>
        </w:rPr>
        <w:t>, Macerata, EUM, 2011, pp. 247–248.</w:t>
      </w:r>
    </w:p>
    <w:p>
      <w:pPr>
        <w:spacing w:line="235" w:lineRule="auto" w:before="0"/>
        <w:ind w:left="117" w:right="121" w:firstLine="0"/>
        <w:jc w:val="both"/>
        <w:rPr>
          <w:rFonts w:ascii="Calibri"/>
          <w:sz w:val="17"/>
        </w:rPr>
      </w:pPr>
      <w:r>
        <w:rPr>
          <w:rFonts w:ascii="Calibri"/>
          <w:color w:val="231F20"/>
          <w:position w:val="6"/>
          <w:sz w:val="10"/>
        </w:rPr>
        <w:t>27</w:t>
      </w:r>
      <w:r>
        <w:rPr>
          <w:rFonts w:ascii="Calibri"/>
          <w:color w:val="231F20"/>
          <w:spacing w:val="11"/>
          <w:position w:val="6"/>
          <w:sz w:val="10"/>
        </w:rPr>
        <w:t> </w:t>
      </w:r>
      <w:r>
        <w:rPr>
          <w:rFonts w:ascii="Calibri"/>
          <w:color w:val="231F20"/>
          <w:sz w:val="17"/>
        </w:rPr>
        <w:t>H.</w:t>
      </w:r>
      <w:r>
        <w:rPr>
          <w:rFonts w:ascii="Calibri"/>
          <w:color w:val="231F20"/>
          <w:spacing w:val="-10"/>
          <w:sz w:val="17"/>
        </w:rPr>
        <w:t> </w:t>
      </w:r>
      <w:r>
        <w:rPr>
          <w:rFonts w:ascii="Calibri"/>
          <w:color w:val="231F20"/>
          <w:sz w:val="17"/>
        </w:rPr>
        <w:t>Willke,</w:t>
      </w:r>
      <w:r>
        <w:rPr>
          <w:rFonts w:ascii="Calibri"/>
          <w:color w:val="231F20"/>
          <w:spacing w:val="-5"/>
          <w:sz w:val="17"/>
        </w:rPr>
        <w:t> </w:t>
      </w:r>
      <w:r>
        <w:rPr>
          <w:rFonts w:ascii="Calibri"/>
          <w:i/>
          <w:color w:val="231F20"/>
          <w:sz w:val="17"/>
        </w:rPr>
        <w:t>Ironie</w:t>
      </w:r>
      <w:r>
        <w:rPr>
          <w:rFonts w:ascii="Calibri"/>
          <w:i/>
          <w:color w:val="231F20"/>
          <w:spacing w:val="-7"/>
          <w:sz w:val="17"/>
        </w:rPr>
        <w:t> </w:t>
      </w:r>
      <w:r>
        <w:rPr>
          <w:rFonts w:ascii="Calibri"/>
          <w:i/>
          <w:color w:val="231F20"/>
          <w:sz w:val="17"/>
        </w:rPr>
        <w:t>des</w:t>
      </w:r>
      <w:r>
        <w:rPr>
          <w:rFonts w:ascii="Calibri"/>
          <w:i/>
          <w:color w:val="231F20"/>
          <w:spacing w:val="-7"/>
          <w:sz w:val="17"/>
        </w:rPr>
        <w:t> </w:t>
      </w:r>
      <w:r>
        <w:rPr>
          <w:rFonts w:ascii="Calibri"/>
          <w:i/>
          <w:color w:val="231F20"/>
          <w:sz w:val="17"/>
        </w:rPr>
        <w:t>Staates.</w:t>
      </w:r>
      <w:r>
        <w:rPr>
          <w:rFonts w:ascii="Calibri"/>
          <w:i/>
          <w:color w:val="231F20"/>
          <w:spacing w:val="-7"/>
          <w:sz w:val="17"/>
        </w:rPr>
        <w:t> </w:t>
      </w:r>
      <w:r>
        <w:rPr>
          <w:rFonts w:ascii="Calibri"/>
          <w:i/>
          <w:color w:val="231F20"/>
          <w:sz w:val="17"/>
        </w:rPr>
        <w:t>Grundlinien</w:t>
      </w:r>
      <w:r>
        <w:rPr>
          <w:rFonts w:ascii="Calibri"/>
          <w:i/>
          <w:color w:val="231F20"/>
          <w:spacing w:val="-7"/>
          <w:sz w:val="17"/>
        </w:rPr>
        <w:t> </w:t>
      </w:r>
      <w:r>
        <w:rPr>
          <w:rFonts w:ascii="Calibri"/>
          <w:i/>
          <w:color w:val="231F20"/>
          <w:sz w:val="17"/>
        </w:rPr>
        <w:t>einer</w:t>
      </w:r>
      <w:r>
        <w:rPr>
          <w:rFonts w:ascii="Calibri"/>
          <w:i/>
          <w:color w:val="231F20"/>
          <w:spacing w:val="-7"/>
          <w:sz w:val="17"/>
        </w:rPr>
        <w:t> </w:t>
      </w:r>
      <w:r>
        <w:rPr>
          <w:rFonts w:ascii="Calibri"/>
          <w:i/>
          <w:color w:val="231F20"/>
          <w:sz w:val="17"/>
        </w:rPr>
        <w:t>Staatstheorie</w:t>
      </w:r>
      <w:r>
        <w:rPr>
          <w:rFonts w:ascii="Calibri"/>
          <w:i/>
          <w:color w:val="231F20"/>
          <w:spacing w:val="-7"/>
          <w:sz w:val="17"/>
        </w:rPr>
        <w:t> </w:t>
      </w:r>
      <w:r>
        <w:rPr>
          <w:rFonts w:ascii="Calibri"/>
          <w:i/>
          <w:color w:val="231F20"/>
          <w:sz w:val="17"/>
        </w:rPr>
        <w:t>polyzentrischer</w:t>
      </w:r>
      <w:r>
        <w:rPr>
          <w:rFonts w:ascii="Calibri"/>
          <w:i/>
          <w:color w:val="231F20"/>
          <w:spacing w:val="-7"/>
          <w:sz w:val="17"/>
        </w:rPr>
        <w:t> </w:t>
      </w:r>
      <w:r>
        <w:rPr>
          <w:rFonts w:ascii="Calibri"/>
          <w:i/>
          <w:color w:val="231F20"/>
          <w:sz w:val="17"/>
        </w:rPr>
        <w:t>Gesellschaft</w:t>
      </w:r>
      <w:r>
        <w:rPr>
          <w:rFonts w:ascii="Calibri"/>
          <w:color w:val="231F20"/>
          <w:sz w:val="17"/>
        </w:rPr>
        <w:t>,</w:t>
      </w:r>
      <w:r>
        <w:rPr>
          <w:rFonts w:ascii="Calibri"/>
          <w:color w:val="231F20"/>
          <w:spacing w:val="-5"/>
          <w:sz w:val="17"/>
        </w:rPr>
        <w:t> </w:t>
      </w:r>
      <w:r>
        <w:rPr>
          <w:rFonts w:ascii="Calibri"/>
          <w:color w:val="231F20"/>
          <w:sz w:val="17"/>
        </w:rPr>
        <w:t>Frankfurt am</w:t>
      </w:r>
      <w:r>
        <w:rPr>
          <w:rFonts w:ascii="Calibri"/>
          <w:color w:val="231F20"/>
          <w:spacing w:val="-5"/>
          <w:sz w:val="17"/>
        </w:rPr>
        <w:t> </w:t>
      </w:r>
      <w:r>
        <w:rPr>
          <w:rFonts w:ascii="Calibri"/>
          <w:color w:val="231F20"/>
          <w:sz w:val="17"/>
        </w:rPr>
        <w:t>Main,</w:t>
      </w:r>
      <w:r>
        <w:rPr>
          <w:rFonts w:ascii="Calibri"/>
          <w:color w:val="231F20"/>
          <w:spacing w:val="-5"/>
          <w:sz w:val="17"/>
        </w:rPr>
        <w:t> </w:t>
      </w:r>
      <w:r>
        <w:rPr>
          <w:rFonts w:ascii="Calibri"/>
          <w:color w:val="231F20"/>
          <w:sz w:val="17"/>
        </w:rPr>
        <w:t>Suhrkamp,</w:t>
      </w:r>
      <w:r>
        <w:rPr>
          <w:rFonts w:ascii="Calibri"/>
          <w:color w:val="231F20"/>
          <w:spacing w:val="-5"/>
          <w:sz w:val="17"/>
        </w:rPr>
        <w:t> </w:t>
      </w:r>
      <w:r>
        <w:rPr>
          <w:rFonts w:ascii="Calibri"/>
          <w:color w:val="231F20"/>
          <w:sz w:val="17"/>
        </w:rPr>
        <w:t>1992;</w:t>
      </w:r>
      <w:r>
        <w:rPr>
          <w:rFonts w:ascii="Calibri"/>
          <w:color w:val="231F20"/>
          <w:spacing w:val="-5"/>
          <w:sz w:val="17"/>
        </w:rPr>
        <w:t> </w:t>
      </w:r>
      <w:r>
        <w:rPr>
          <w:rFonts w:ascii="Calibri"/>
          <w:color w:val="231F20"/>
          <w:sz w:val="17"/>
        </w:rPr>
        <w:t>H.</w:t>
      </w:r>
      <w:r>
        <w:rPr>
          <w:rFonts w:ascii="Calibri"/>
          <w:color w:val="231F20"/>
          <w:spacing w:val="-9"/>
          <w:sz w:val="17"/>
        </w:rPr>
        <w:t> </w:t>
      </w:r>
      <w:r>
        <w:rPr>
          <w:rFonts w:ascii="Calibri"/>
          <w:color w:val="231F20"/>
          <w:sz w:val="17"/>
        </w:rPr>
        <w:t>Willke,</w:t>
      </w:r>
      <w:r>
        <w:rPr>
          <w:rFonts w:ascii="Calibri"/>
          <w:color w:val="231F20"/>
          <w:spacing w:val="-5"/>
          <w:sz w:val="17"/>
        </w:rPr>
        <w:t> </w:t>
      </w:r>
      <w:r>
        <w:rPr>
          <w:rFonts w:ascii="Calibri"/>
          <w:i/>
          <w:color w:val="231F20"/>
          <w:sz w:val="17"/>
        </w:rPr>
        <w:t>Governance</w:t>
      </w:r>
      <w:r>
        <w:rPr>
          <w:rFonts w:ascii="Calibri"/>
          <w:i/>
          <w:color w:val="231F20"/>
          <w:spacing w:val="-6"/>
          <w:sz w:val="17"/>
        </w:rPr>
        <w:t> </w:t>
      </w:r>
      <w:r>
        <w:rPr>
          <w:rFonts w:ascii="Calibri"/>
          <w:i/>
          <w:color w:val="231F20"/>
          <w:sz w:val="17"/>
        </w:rPr>
        <w:t>in</w:t>
      </w:r>
      <w:r>
        <w:rPr>
          <w:rFonts w:ascii="Calibri"/>
          <w:i/>
          <w:color w:val="231F20"/>
          <w:spacing w:val="-6"/>
          <w:sz w:val="17"/>
        </w:rPr>
        <w:t> </w:t>
      </w:r>
      <w:r>
        <w:rPr>
          <w:rFonts w:ascii="Calibri"/>
          <w:i/>
          <w:color w:val="231F20"/>
          <w:sz w:val="17"/>
        </w:rPr>
        <w:t>a</w:t>
      </w:r>
      <w:r>
        <w:rPr>
          <w:rFonts w:ascii="Calibri"/>
          <w:i/>
          <w:color w:val="231F20"/>
          <w:spacing w:val="-6"/>
          <w:sz w:val="17"/>
        </w:rPr>
        <w:t> </w:t>
      </w:r>
      <w:r>
        <w:rPr>
          <w:rFonts w:ascii="Calibri"/>
          <w:i/>
          <w:color w:val="231F20"/>
          <w:sz w:val="17"/>
        </w:rPr>
        <w:t>Disenchanted</w:t>
      </w:r>
      <w:r>
        <w:rPr>
          <w:rFonts w:ascii="Calibri"/>
          <w:i/>
          <w:color w:val="231F20"/>
          <w:spacing w:val="-7"/>
          <w:sz w:val="17"/>
        </w:rPr>
        <w:t> </w:t>
      </w:r>
      <w:r>
        <w:rPr>
          <w:rFonts w:ascii="Calibri"/>
          <w:i/>
          <w:color w:val="231F20"/>
          <w:sz w:val="17"/>
        </w:rPr>
        <w:t>World.</w:t>
      </w:r>
      <w:r>
        <w:rPr>
          <w:rFonts w:ascii="Calibri"/>
          <w:i/>
          <w:color w:val="231F20"/>
          <w:spacing w:val="-8"/>
          <w:sz w:val="17"/>
        </w:rPr>
        <w:t> </w:t>
      </w:r>
      <w:r>
        <w:rPr>
          <w:rFonts w:ascii="Calibri"/>
          <w:i/>
          <w:color w:val="231F20"/>
          <w:sz w:val="17"/>
        </w:rPr>
        <w:t>The</w:t>
      </w:r>
      <w:r>
        <w:rPr>
          <w:rFonts w:ascii="Calibri"/>
          <w:i/>
          <w:color w:val="231F20"/>
          <w:spacing w:val="-6"/>
          <w:sz w:val="17"/>
        </w:rPr>
        <w:t> </w:t>
      </w:r>
      <w:r>
        <w:rPr>
          <w:rFonts w:ascii="Calibri"/>
          <w:i/>
          <w:color w:val="231F20"/>
          <w:sz w:val="17"/>
        </w:rPr>
        <w:t>End</w:t>
      </w:r>
      <w:r>
        <w:rPr>
          <w:rFonts w:ascii="Calibri"/>
          <w:i/>
          <w:color w:val="231F20"/>
          <w:spacing w:val="-6"/>
          <w:sz w:val="17"/>
        </w:rPr>
        <w:t> </w:t>
      </w:r>
      <w:r>
        <w:rPr>
          <w:rFonts w:ascii="Calibri"/>
          <w:i/>
          <w:color w:val="231F20"/>
          <w:sz w:val="17"/>
        </w:rPr>
        <w:t>of</w:t>
      </w:r>
      <w:r>
        <w:rPr>
          <w:rFonts w:ascii="Calibri"/>
          <w:i/>
          <w:color w:val="231F20"/>
          <w:spacing w:val="-6"/>
          <w:sz w:val="17"/>
        </w:rPr>
        <w:t> </w:t>
      </w:r>
      <w:r>
        <w:rPr>
          <w:rFonts w:ascii="Calibri"/>
          <w:i/>
          <w:color w:val="231F20"/>
          <w:sz w:val="17"/>
        </w:rPr>
        <w:t>Moral</w:t>
      </w:r>
      <w:r>
        <w:rPr>
          <w:rFonts w:ascii="Calibri"/>
          <w:i/>
          <w:color w:val="231F20"/>
          <w:spacing w:val="-6"/>
          <w:sz w:val="17"/>
        </w:rPr>
        <w:t> </w:t>
      </w:r>
      <w:r>
        <w:rPr>
          <w:rFonts w:ascii="Calibri"/>
          <w:i/>
          <w:color w:val="231F20"/>
          <w:sz w:val="17"/>
        </w:rPr>
        <w:t>Society</w:t>
      </w:r>
      <w:r>
        <w:rPr>
          <w:rFonts w:ascii="Calibri"/>
          <w:color w:val="231F20"/>
          <w:sz w:val="17"/>
        </w:rPr>
        <w:t>, Cheltenham, Northampton (MA), E. </w:t>
      </w:r>
      <w:r>
        <w:rPr>
          <w:rFonts w:ascii="Calibri"/>
          <w:color w:val="231F20"/>
          <w:spacing w:val="-3"/>
          <w:sz w:val="17"/>
        </w:rPr>
        <w:t>Elgar,   </w:t>
      </w:r>
      <w:r>
        <w:rPr>
          <w:rFonts w:ascii="Calibri"/>
          <w:color w:val="231F20"/>
          <w:spacing w:val="24"/>
          <w:sz w:val="17"/>
        </w:rPr>
        <w:t> </w:t>
      </w:r>
      <w:r>
        <w:rPr>
          <w:rFonts w:ascii="Calibri"/>
          <w:color w:val="231F20"/>
          <w:sz w:val="17"/>
        </w:rPr>
        <w:t>2009.</w:t>
      </w:r>
    </w:p>
    <w:p>
      <w:pPr>
        <w:spacing w:after="0" w:line="235" w:lineRule="auto"/>
        <w:jc w:val="both"/>
        <w:rPr>
          <w:rFonts w:ascii="Calibri"/>
          <w:sz w:val="17"/>
        </w:rPr>
        <w:sectPr>
          <w:pgSz w:w="9640" w:h="13890"/>
          <w:pgMar w:top="0" w:bottom="280" w:left="1300" w:right="1180"/>
        </w:sectPr>
      </w:pPr>
    </w:p>
    <w:p>
      <w:pPr>
        <w:pStyle w:val="BodyText"/>
        <w:spacing w:line="247" w:lineRule="auto" w:before="107"/>
        <w:ind w:left="103" w:right="109"/>
        <w:jc w:val="both"/>
      </w:pPr>
      <w:r>
        <w:rPr>
          <w:color w:val="231F20"/>
          <w:w w:val="105"/>
        </w:rPr>
        <w:t>altre</w:t>
      </w:r>
      <w:r>
        <w:rPr>
          <w:color w:val="231F20"/>
          <w:spacing w:val="-34"/>
          <w:w w:val="105"/>
        </w:rPr>
        <w:t> </w:t>
      </w:r>
      <w:r>
        <w:rPr>
          <w:color w:val="231F20"/>
          <w:w w:val="105"/>
        </w:rPr>
        <w:t>discipline.</w:t>
      </w:r>
      <w:r>
        <w:rPr>
          <w:color w:val="231F20"/>
          <w:spacing w:val="-34"/>
          <w:w w:val="105"/>
        </w:rPr>
        <w:t> </w:t>
      </w:r>
      <w:r>
        <w:rPr>
          <w:color w:val="231F20"/>
          <w:w w:val="105"/>
        </w:rPr>
        <w:t>Già</w:t>
      </w:r>
      <w:r>
        <w:rPr>
          <w:color w:val="231F20"/>
          <w:spacing w:val="-34"/>
          <w:w w:val="105"/>
        </w:rPr>
        <w:t> </w:t>
      </w:r>
      <w:r>
        <w:rPr>
          <w:color w:val="231F20"/>
          <w:w w:val="105"/>
        </w:rPr>
        <w:t>Alessandro</w:t>
      </w:r>
      <w:r>
        <w:rPr>
          <w:color w:val="231F20"/>
          <w:spacing w:val="-34"/>
          <w:w w:val="105"/>
        </w:rPr>
        <w:t> </w:t>
      </w:r>
      <w:r>
        <w:rPr>
          <w:color w:val="231F20"/>
          <w:w w:val="105"/>
        </w:rPr>
        <w:t>Passerin</w:t>
      </w:r>
      <w:r>
        <w:rPr>
          <w:color w:val="231F20"/>
          <w:spacing w:val="-34"/>
          <w:w w:val="105"/>
        </w:rPr>
        <w:t> </w:t>
      </w:r>
      <w:r>
        <w:rPr>
          <w:color w:val="231F20"/>
          <w:w w:val="105"/>
        </w:rPr>
        <w:t>d’Entreves,</w:t>
      </w:r>
      <w:r>
        <w:rPr>
          <w:color w:val="231F20"/>
          <w:spacing w:val="-34"/>
          <w:w w:val="105"/>
        </w:rPr>
        <w:t> </w:t>
      </w:r>
      <w:r>
        <w:rPr>
          <w:color w:val="231F20"/>
          <w:w w:val="105"/>
        </w:rPr>
        <w:t>infatti,</w:t>
      </w:r>
      <w:r>
        <w:rPr>
          <w:color w:val="231F20"/>
          <w:spacing w:val="-34"/>
          <w:w w:val="105"/>
        </w:rPr>
        <w:t> </w:t>
      </w:r>
      <w:r>
        <w:rPr>
          <w:color w:val="231F20"/>
          <w:w w:val="105"/>
        </w:rPr>
        <w:t>poteva</w:t>
      </w:r>
      <w:r>
        <w:rPr>
          <w:color w:val="231F20"/>
          <w:spacing w:val="-34"/>
          <w:w w:val="105"/>
        </w:rPr>
        <w:t> </w:t>
      </w:r>
      <w:r>
        <w:rPr>
          <w:color w:val="231F20"/>
          <w:w w:val="105"/>
        </w:rPr>
        <w:t>rilevare che</w:t>
      </w:r>
      <w:r>
        <w:rPr>
          <w:color w:val="231F20"/>
          <w:spacing w:val="-27"/>
          <w:w w:val="105"/>
        </w:rPr>
        <w:t> </w:t>
      </w:r>
      <w:r>
        <w:rPr>
          <w:color w:val="231F20"/>
          <w:w w:val="105"/>
        </w:rPr>
        <w:t>“la</w:t>
      </w:r>
      <w:r>
        <w:rPr>
          <w:color w:val="231F20"/>
          <w:spacing w:val="-27"/>
          <w:w w:val="105"/>
        </w:rPr>
        <w:t> </w:t>
      </w:r>
      <w:r>
        <w:rPr>
          <w:color w:val="231F20"/>
          <w:w w:val="105"/>
        </w:rPr>
        <w:t>dissoluzione</w:t>
      </w:r>
      <w:r>
        <w:rPr>
          <w:color w:val="231F20"/>
          <w:spacing w:val="-27"/>
          <w:w w:val="105"/>
        </w:rPr>
        <w:t> </w:t>
      </w:r>
      <w:r>
        <w:rPr>
          <w:color w:val="231F20"/>
          <w:w w:val="105"/>
        </w:rPr>
        <w:t>del</w:t>
      </w:r>
      <w:r>
        <w:rPr>
          <w:color w:val="231F20"/>
          <w:spacing w:val="-27"/>
          <w:w w:val="105"/>
        </w:rPr>
        <w:t> </w:t>
      </w:r>
      <w:r>
        <w:rPr>
          <w:color w:val="231F20"/>
          <w:w w:val="105"/>
        </w:rPr>
        <w:t>concetto</w:t>
      </w:r>
      <w:r>
        <w:rPr>
          <w:color w:val="231F20"/>
          <w:spacing w:val="-27"/>
          <w:w w:val="105"/>
        </w:rPr>
        <w:t> </w:t>
      </w:r>
      <w:r>
        <w:rPr>
          <w:color w:val="231F20"/>
          <w:w w:val="105"/>
        </w:rPr>
        <w:t>di</w:t>
      </w:r>
      <w:r>
        <w:rPr>
          <w:color w:val="231F20"/>
          <w:spacing w:val="-27"/>
          <w:w w:val="105"/>
        </w:rPr>
        <w:t> </w:t>
      </w:r>
      <w:r>
        <w:rPr>
          <w:color w:val="231F20"/>
          <w:w w:val="105"/>
        </w:rPr>
        <w:t>Stato</w:t>
      </w:r>
      <w:r>
        <w:rPr>
          <w:color w:val="231F20"/>
          <w:spacing w:val="-27"/>
          <w:w w:val="105"/>
        </w:rPr>
        <w:t> </w:t>
      </w:r>
      <w:r>
        <w:rPr>
          <w:color w:val="231F20"/>
          <w:w w:val="105"/>
        </w:rPr>
        <w:t>nella</w:t>
      </w:r>
      <w:r>
        <w:rPr>
          <w:color w:val="231F20"/>
          <w:spacing w:val="-27"/>
          <w:w w:val="105"/>
        </w:rPr>
        <w:t> </w:t>
      </w:r>
      <w:r>
        <w:rPr>
          <w:color w:val="231F20"/>
          <w:w w:val="105"/>
        </w:rPr>
        <w:t>moderna</w:t>
      </w:r>
      <w:r>
        <w:rPr>
          <w:color w:val="231F20"/>
          <w:spacing w:val="-27"/>
          <w:w w:val="105"/>
        </w:rPr>
        <w:t> </w:t>
      </w:r>
      <w:r>
        <w:rPr>
          <w:color w:val="231F20"/>
          <w:w w:val="105"/>
        </w:rPr>
        <w:t>scienza</w:t>
      </w:r>
      <w:r>
        <w:rPr>
          <w:color w:val="231F20"/>
          <w:spacing w:val="-27"/>
          <w:w w:val="105"/>
        </w:rPr>
        <w:t> </w:t>
      </w:r>
      <w:r>
        <w:rPr>
          <w:color w:val="231F20"/>
          <w:w w:val="105"/>
        </w:rPr>
        <w:t>politica”</w:t>
      </w:r>
      <w:r>
        <w:rPr>
          <w:color w:val="231F20"/>
          <w:w w:val="105"/>
          <w:position w:val="7"/>
          <w:sz w:val="12"/>
        </w:rPr>
        <w:t>28 </w:t>
      </w:r>
      <w:r>
        <w:rPr>
          <w:color w:val="231F20"/>
          <w:w w:val="105"/>
        </w:rPr>
        <w:t>non è un fatto episodico, ma una tendenza storica di lungo periodo. In effetti,</w:t>
      </w:r>
      <w:r>
        <w:rPr>
          <w:color w:val="231F20"/>
          <w:spacing w:val="-16"/>
          <w:w w:val="105"/>
        </w:rPr>
        <w:t> </w:t>
      </w:r>
      <w:r>
        <w:rPr>
          <w:color w:val="231F20"/>
          <w:w w:val="105"/>
        </w:rPr>
        <w:t>oltre</w:t>
      </w:r>
      <w:r>
        <w:rPr>
          <w:color w:val="231F20"/>
          <w:spacing w:val="-16"/>
          <w:w w:val="105"/>
        </w:rPr>
        <w:t> </w:t>
      </w:r>
      <w:r>
        <w:rPr>
          <w:color w:val="231F20"/>
          <w:w w:val="105"/>
        </w:rPr>
        <w:t>che</w:t>
      </w:r>
      <w:r>
        <w:rPr>
          <w:color w:val="231F20"/>
          <w:spacing w:val="-16"/>
          <w:w w:val="105"/>
        </w:rPr>
        <w:t> </w:t>
      </w:r>
      <w:r>
        <w:rPr>
          <w:color w:val="231F20"/>
          <w:w w:val="105"/>
        </w:rPr>
        <w:t>alle</w:t>
      </w:r>
      <w:r>
        <w:rPr>
          <w:color w:val="231F20"/>
          <w:spacing w:val="-16"/>
          <w:w w:val="105"/>
        </w:rPr>
        <w:t> </w:t>
      </w:r>
      <w:r>
        <w:rPr>
          <w:color w:val="231F20"/>
          <w:w w:val="105"/>
        </w:rPr>
        <w:t>note</w:t>
      </w:r>
      <w:r>
        <w:rPr>
          <w:color w:val="231F20"/>
          <w:spacing w:val="-16"/>
          <w:w w:val="105"/>
        </w:rPr>
        <w:t> </w:t>
      </w:r>
      <w:r>
        <w:rPr>
          <w:color w:val="231F20"/>
          <w:w w:val="105"/>
        </w:rPr>
        <w:t>posizioni</w:t>
      </w:r>
      <w:r>
        <w:rPr>
          <w:color w:val="231F20"/>
          <w:spacing w:val="-16"/>
          <w:w w:val="105"/>
        </w:rPr>
        <w:t> </w:t>
      </w:r>
      <w:r>
        <w:rPr>
          <w:color w:val="231F20"/>
          <w:w w:val="105"/>
        </w:rPr>
        <w:t>di</w:t>
      </w:r>
      <w:r>
        <w:rPr>
          <w:color w:val="231F20"/>
          <w:spacing w:val="-16"/>
          <w:w w:val="105"/>
        </w:rPr>
        <w:t> </w:t>
      </w:r>
      <w:r>
        <w:rPr>
          <w:color w:val="231F20"/>
          <w:w w:val="105"/>
        </w:rPr>
        <w:t>Arthur</w:t>
      </w:r>
      <w:r>
        <w:rPr>
          <w:color w:val="231F20"/>
          <w:spacing w:val="-16"/>
          <w:w w:val="105"/>
        </w:rPr>
        <w:t> </w:t>
      </w:r>
      <w:r>
        <w:rPr>
          <w:color w:val="231F20"/>
          <w:spacing w:val="-14"/>
          <w:w w:val="105"/>
        </w:rPr>
        <w:t>F.</w:t>
      </w:r>
      <w:r>
        <w:rPr>
          <w:color w:val="231F20"/>
          <w:spacing w:val="-16"/>
          <w:w w:val="105"/>
        </w:rPr>
        <w:t> </w:t>
      </w:r>
      <w:r>
        <w:rPr>
          <w:color w:val="231F20"/>
          <w:spacing w:val="-3"/>
          <w:w w:val="105"/>
        </w:rPr>
        <w:t>Bentley,</w:t>
      </w:r>
      <w:r>
        <w:rPr>
          <w:color w:val="231F20"/>
          <w:spacing w:val="-16"/>
          <w:w w:val="105"/>
        </w:rPr>
        <w:t> </w:t>
      </w:r>
      <w:r>
        <w:rPr>
          <w:color w:val="231F20"/>
          <w:w w:val="105"/>
        </w:rPr>
        <w:t>si</w:t>
      </w:r>
      <w:r>
        <w:rPr>
          <w:color w:val="231F20"/>
          <w:spacing w:val="-16"/>
          <w:w w:val="105"/>
        </w:rPr>
        <w:t> </w:t>
      </w:r>
      <w:r>
        <w:rPr>
          <w:color w:val="231F20"/>
          <w:w w:val="105"/>
        </w:rPr>
        <w:t>deve</w:t>
      </w:r>
      <w:r>
        <w:rPr>
          <w:color w:val="231F20"/>
          <w:spacing w:val="-16"/>
          <w:w w:val="105"/>
        </w:rPr>
        <w:t> </w:t>
      </w:r>
      <w:r>
        <w:rPr>
          <w:color w:val="231F20"/>
          <w:w w:val="105"/>
        </w:rPr>
        <w:t>pensare</w:t>
      </w:r>
      <w:r>
        <w:rPr>
          <w:color w:val="231F20"/>
          <w:spacing w:val="-16"/>
          <w:w w:val="105"/>
        </w:rPr>
        <w:t> </w:t>
      </w:r>
      <w:r>
        <w:rPr>
          <w:color w:val="231F20"/>
          <w:w w:val="105"/>
        </w:rPr>
        <w:t>a quella</w:t>
      </w:r>
      <w:r>
        <w:rPr>
          <w:color w:val="231F20"/>
          <w:spacing w:val="-18"/>
          <w:w w:val="105"/>
        </w:rPr>
        <w:t> </w:t>
      </w:r>
      <w:r>
        <w:rPr>
          <w:color w:val="231F20"/>
          <w:w w:val="105"/>
        </w:rPr>
        <w:t>celebre</w:t>
      </w:r>
      <w:r>
        <w:rPr>
          <w:color w:val="231F20"/>
          <w:spacing w:val="-18"/>
          <w:w w:val="105"/>
        </w:rPr>
        <w:t> </w:t>
      </w:r>
      <w:r>
        <w:rPr>
          <w:color w:val="231F20"/>
          <w:w w:val="105"/>
        </w:rPr>
        <w:t>di</w:t>
      </w:r>
      <w:r>
        <w:rPr>
          <w:color w:val="231F20"/>
          <w:spacing w:val="-18"/>
          <w:w w:val="105"/>
        </w:rPr>
        <w:t> </w:t>
      </w:r>
      <w:r>
        <w:rPr>
          <w:color w:val="231F20"/>
          <w:w w:val="105"/>
        </w:rPr>
        <w:t>David</w:t>
      </w:r>
      <w:r>
        <w:rPr>
          <w:color w:val="231F20"/>
          <w:spacing w:val="-18"/>
          <w:w w:val="105"/>
        </w:rPr>
        <w:t> </w:t>
      </w:r>
      <w:r>
        <w:rPr>
          <w:color w:val="231F20"/>
          <w:w w:val="105"/>
        </w:rPr>
        <w:t>Easton,</w:t>
      </w:r>
      <w:r>
        <w:rPr>
          <w:color w:val="231F20"/>
          <w:spacing w:val="-18"/>
          <w:w w:val="105"/>
        </w:rPr>
        <w:t> </w:t>
      </w:r>
      <w:r>
        <w:rPr>
          <w:color w:val="231F20"/>
          <w:w w:val="105"/>
        </w:rPr>
        <w:t>che</w:t>
      </w:r>
      <w:r>
        <w:rPr>
          <w:color w:val="231F20"/>
          <w:spacing w:val="-18"/>
          <w:w w:val="105"/>
        </w:rPr>
        <w:t> </w:t>
      </w:r>
      <w:r>
        <w:rPr>
          <w:color w:val="231F20"/>
          <w:w w:val="105"/>
        </w:rPr>
        <w:t>consigliava</w:t>
      </w:r>
      <w:r>
        <w:rPr>
          <w:color w:val="231F20"/>
          <w:spacing w:val="-18"/>
          <w:w w:val="105"/>
        </w:rPr>
        <w:t> </w:t>
      </w:r>
      <w:r>
        <w:rPr>
          <w:color w:val="231F20"/>
          <w:w w:val="105"/>
        </w:rPr>
        <w:t>di</w:t>
      </w:r>
      <w:r>
        <w:rPr>
          <w:color w:val="231F20"/>
          <w:spacing w:val="-18"/>
          <w:w w:val="105"/>
        </w:rPr>
        <w:t> </w:t>
      </w:r>
      <w:r>
        <w:rPr>
          <w:color w:val="231F20"/>
          <w:w w:val="105"/>
        </w:rPr>
        <w:t>evitare</w:t>
      </w:r>
      <w:r>
        <w:rPr>
          <w:color w:val="231F20"/>
          <w:spacing w:val="-18"/>
          <w:w w:val="105"/>
        </w:rPr>
        <w:t> </w:t>
      </w:r>
      <w:r>
        <w:rPr>
          <w:color w:val="231F20"/>
          <w:w w:val="105"/>
        </w:rPr>
        <w:t>completamente l’uso del termine Stato in favore di un meno impegnativo riferimento al </w:t>
      </w:r>
      <w:r>
        <w:rPr>
          <w:color w:val="231F20"/>
        </w:rPr>
        <w:t>sistema</w:t>
      </w:r>
      <w:r>
        <w:rPr>
          <w:color w:val="231F20"/>
          <w:spacing w:val="21"/>
        </w:rPr>
        <w:t> </w:t>
      </w:r>
      <w:r>
        <w:rPr>
          <w:color w:val="231F20"/>
        </w:rPr>
        <w:t>politico</w:t>
      </w:r>
      <w:r>
        <w:rPr>
          <w:color w:val="231F20"/>
          <w:position w:val="7"/>
          <w:sz w:val="12"/>
        </w:rPr>
        <w:t>29</w:t>
      </w:r>
      <w:r>
        <w:rPr>
          <w:color w:val="231F20"/>
        </w:rPr>
        <w:t>.</w:t>
      </w:r>
    </w:p>
    <w:p>
      <w:pPr>
        <w:pStyle w:val="BodyText"/>
        <w:spacing w:line="247" w:lineRule="auto"/>
        <w:ind w:left="103" w:right="112" w:firstLine="566"/>
        <w:jc w:val="both"/>
      </w:pPr>
      <w:r>
        <w:rPr>
          <w:color w:val="231F20"/>
          <w:w w:val="105"/>
        </w:rPr>
        <w:t>Eppure, </w:t>
      </w:r>
      <w:r>
        <w:rPr>
          <w:color w:val="231F20"/>
          <w:spacing w:val="2"/>
          <w:w w:val="105"/>
        </w:rPr>
        <w:t>discutere </w:t>
      </w:r>
      <w:r>
        <w:rPr>
          <w:color w:val="231F20"/>
          <w:w w:val="105"/>
        </w:rPr>
        <w:t>di </w:t>
      </w:r>
      <w:r>
        <w:rPr>
          <w:color w:val="231F20"/>
          <w:spacing w:val="2"/>
          <w:w w:val="105"/>
        </w:rPr>
        <w:t>Stato nell’epoca della globalizzazione</w:t>
      </w:r>
      <w:r>
        <w:rPr>
          <w:color w:val="231F20"/>
          <w:spacing w:val="2"/>
          <w:w w:val="105"/>
          <w:position w:val="7"/>
          <w:sz w:val="12"/>
        </w:rPr>
        <w:t>30 </w:t>
      </w:r>
      <w:r>
        <w:rPr>
          <w:color w:val="231F20"/>
          <w:spacing w:val="3"/>
          <w:w w:val="105"/>
        </w:rPr>
        <w:t>non </w:t>
      </w:r>
      <w:r>
        <w:rPr>
          <w:color w:val="231F20"/>
          <w:spacing w:val="-3"/>
          <w:w w:val="105"/>
        </w:rPr>
        <w:t>significa</w:t>
      </w:r>
      <w:r>
        <w:rPr>
          <w:color w:val="231F20"/>
          <w:spacing w:val="-43"/>
          <w:w w:val="105"/>
        </w:rPr>
        <w:t> </w:t>
      </w:r>
      <w:r>
        <w:rPr>
          <w:color w:val="231F20"/>
          <w:spacing w:val="-3"/>
          <w:w w:val="105"/>
        </w:rPr>
        <w:t>necessariamente</w:t>
      </w:r>
      <w:r>
        <w:rPr>
          <w:color w:val="231F20"/>
          <w:spacing w:val="-43"/>
          <w:w w:val="105"/>
        </w:rPr>
        <w:t> </w:t>
      </w:r>
      <w:r>
        <w:rPr>
          <w:color w:val="231F20"/>
          <w:spacing w:val="-4"/>
          <w:w w:val="105"/>
        </w:rPr>
        <w:t>ripercorre</w:t>
      </w:r>
      <w:r>
        <w:rPr>
          <w:color w:val="231F20"/>
          <w:spacing w:val="-43"/>
          <w:w w:val="105"/>
        </w:rPr>
        <w:t> </w:t>
      </w:r>
      <w:r>
        <w:rPr>
          <w:color w:val="231F20"/>
          <w:w w:val="105"/>
        </w:rPr>
        <w:t>la</w:t>
      </w:r>
      <w:r>
        <w:rPr>
          <w:color w:val="231F20"/>
          <w:spacing w:val="-43"/>
          <w:w w:val="105"/>
        </w:rPr>
        <w:t> </w:t>
      </w:r>
      <w:r>
        <w:rPr>
          <w:color w:val="231F20"/>
          <w:spacing w:val="-3"/>
          <w:w w:val="105"/>
        </w:rPr>
        <w:t>genealogia</w:t>
      </w:r>
      <w:r>
        <w:rPr>
          <w:color w:val="231F20"/>
          <w:spacing w:val="-43"/>
          <w:w w:val="105"/>
        </w:rPr>
        <w:t> </w:t>
      </w:r>
      <w:r>
        <w:rPr>
          <w:color w:val="231F20"/>
          <w:w w:val="105"/>
        </w:rPr>
        <w:t>dei</w:t>
      </w:r>
      <w:r>
        <w:rPr>
          <w:color w:val="231F20"/>
          <w:spacing w:val="-43"/>
          <w:w w:val="105"/>
        </w:rPr>
        <w:t> </w:t>
      </w:r>
      <w:r>
        <w:rPr>
          <w:color w:val="231F20"/>
          <w:spacing w:val="-3"/>
          <w:w w:val="105"/>
        </w:rPr>
        <w:t>declini</w:t>
      </w:r>
      <w:r>
        <w:rPr>
          <w:color w:val="231F20"/>
          <w:spacing w:val="-43"/>
          <w:w w:val="105"/>
        </w:rPr>
        <w:t> </w:t>
      </w:r>
      <w:r>
        <w:rPr>
          <w:color w:val="231F20"/>
          <w:w w:val="105"/>
        </w:rPr>
        <w:t>e</w:t>
      </w:r>
      <w:r>
        <w:rPr>
          <w:color w:val="231F20"/>
          <w:spacing w:val="-43"/>
          <w:w w:val="105"/>
        </w:rPr>
        <w:t> </w:t>
      </w:r>
      <w:r>
        <w:rPr>
          <w:color w:val="231F20"/>
          <w:spacing w:val="-3"/>
          <w:w w:val="105"/>
        </w:rPr>
        <w:t>delle</w:t>
      </w:r>
      <w:r>
        <w:rPr>
          <w:color w:val="231F20"/>
          <w:spacing w:val="-43"/>
          <w:w w:val="105"/>
        </w:rPr>
        <w:t> </w:t>
      </w:r>
      <w:r>
        <w:rPr>
          <w:color w:val="231F20"/>
          <w:spacing w:val="-3"/>
          <w:w w:val="105"/>
        </w:rPr>
        <w:t>rinascite </w:t>
      </w:r>
      <w:r>
        <w:rPr>
          <w:color w:val="231F20"/>
          <w:w w:val="105"/>
        </w:rPr>
        <w:t>del</w:t>
      </w:r>
      <w:r>
        <w:rPr>
          <w:color w:val="231F20"/>
          <w:spacing w:val="-46"/>
          <w:w w:val="105"/>
        </w:rPr>
        <w:t> </w:t>
      </w:r>
      <w:r>
        <w:rPr>
          <w:color w:val="231F20"/>
          <w:w w:val="105"/>
        </w:rPr>
        <w:t>suo</w:t>
      </w:r>
      <w:r>
        <w:rPr>
          <w:color w:val="231F20"/>
          <w:spacing w:val="-46"/>
          <w:w w:val="105"/>
        </w:rPr>
        <w:t> </w:t>
      </w:r>
      <w:r>
        <w:rPr>
          <w:color w:val="231F20"/>
          <w:w w:val="105"/>
        </w:rPr>
        <w:t>concetto</w:t>
      </w:r>
      <w:r>
        <w:rPr>
          <w:color w:val="231F20"/>
          <w:spacing w:val="-46"/>
          <w:w w:val="105"/>
        </w:rPr>
        <w:t> </w:t>
      </w:r>
      <w:r>
        <w:rPr>
          <w:color w:val="231F20"/>
          <w:w w:val="105"/>
        </w:rPr>
        <w:t>all’interno</w:t>
      </w:r>
      <w:r>
        <w:rPr>
          <w:color w:val="231F20"/>
          <w:spacing w:val="-46"/>
          <w:w w:val="105"/>
        </w:rPr>
        <w:t> </w:t>
      </w:r>
      <w:r>
        <w:rPr>
          <w:color w:val="231F20"/>
          <w:w w:val="105"/>
        </w:rPr>
        <w:t>delle</w:t>
      </w:r>
      <w:r>
        <w:rPr>
          <w:color w:val="231F20"/>
          <w:spacing w:val="-46"/>
          <w:w w:val="105"/>
        </w:rPr>
        <w:t> </w:t>
      </w:r>
      <w:r>
        <w:rPr>
          <w:color w:val="231F20"/>
          <w:w w:val="105"/>
        </w:rPr>
        <w:t>singole</w:t>
      </w:r>
      <w:r>
        <w:rPr>
          <w:color w:val="231F20"/>
          <w:spacing w:val="-46"/>
          <w:w w:val="105"/>
        </w:rPr>
        <w:t> </w:t>
      </w:r>
      <w:r>
        <w:rPr>
          <w:color w:val="231F20"/>
          <w:w w:val="105"/>
        </w:rPr>
        <w:t>discipline,</w:t>
      </w:r>
      <w:r>
        <w:rPr>
          <w:color w:val="231F20"/>
          <w:spacing w:val="-46"/>
          <w:w w:val="105"/>
        </w:rPr>
        <w:t> </w:t>
      </w:r>
      <w:r>
        <w:rPr>
          <w:color w:val="231F20"/>
          <w:w w:val="105"/>
        </w:rPr>
        <w:t>ma</w:t>
      </w:r>
      <w:r>
        <w:rPr>
          <w:color w:val="231F20"/>
          <w:spacing w:val="-46"/>
          <w:w w:val="105"/>
        </w:rPr>
        <w:t> </w:t>
      </w:r>
      <w:r>
        <w:rPr>
          <w:color w:val="231F20"/>
          <w:spacing w:val="-3"/>
          <w:w w:val="105"/>
        </w:rPr>
        <w:t>cercare</w:t>
      </w:r>
      <w:r>
        <w:rPr>
          <w:color w:val="231F20"/>
          <w:spacing w:val="-46"/>
          <w:w w:val="105"/>
        </w:rPr>
        <w:t> </w:t>
      </w:r>
      <w:r>
        <w:rPr>
          <w:color w:val="231F20"/>
          <w:w w:val="105"/>
        </w:rPr>
        <w:t>di</w:t>
      </w:r>
      <w:r>
        <w:rPr>
          <w:color w:val="231F20"/>
          <w:spacing w:val="-46"/>
          <w:w w:val="105"/>
        </w:rPr>
        <w:t> </w:t>
      </w:r>
      <w:r>
        <w:rPr>
          <w:color w:val="231F20"/>
          <w:spacing w:val="-3"/>
          <w:w w:val="105"/>
        </w:rPr>
        <w:t>individuare </w:t>
      </w:r>
      <w:r>
        <w:rPr>
          <w:color w:val="231F20"/>
          <w:w w:val="105"/>
        </w:rPr>
        <w:t>se</w:t>
      </w:r>
      <w:r>
        <w:rPr>
          <w:color w:val="231F20"/>
          <w:spacing w:val="-28"/>
          <w:w w:val="105"/>
        </w:rPr>
        <w:t> </w:t>
      </w:r>
      <w:r>
        <w:rPr>
          <w:color w:val="231F20"/>
          <w:w w:val="105"/>
        </w:rPr>
        <w:t>e</w:t>
      </w:r>
      <w:r>
        <w:rPr>
          <w:color w:val="231F20"/>
          <w:spacing w:val="-28"/>
          <w:w w:val="105"/>
        </w:rPr>
        <w:t> </w:t>
      </w:r>
      <w:r>
        <w:rPr>
          <w:color w:val="231F20"/>
          <w:w w:val="105"/>
        </w:rPr>
        <w:t>in</w:t>
      </w:r>
      <w:r>
        <w:rPr>
          <w:color w:val="231F20"/>
          <w:spacing w:val="-28"/>
          <w:w w:val="105"/>
        </w:rPr>
        <w:t> </w:t>
      </w:r>
      <w:r>
        <w:rPr>
          <w:color w:val="231F20"/>
          <w:w w:val="105"/>
        </w:rPr>
        <w:t>che</w:t>
      </w:r>
      <w:r>
        <w:rPr>
          <w:color w:val="231F20"/>
          <w:spacing w:val="-28"/>
          <w:w w:val="105"/>
        </w:rPr>
        <w:t> </w:t>
      </w:r>
      <w:r>
        <w:rPr>
          <w:color w:val="231F20"/>
          <w:w w:val="105"/>
        </w:rPr>
        <w:t>modo</w:t>
      </w:r>
      <w:r>
        <w:rPr>
          <w:color w:val="231F20"/>
          <w:spacing w:val="-28"/>
          <w:w w:val="105"/>
        </w:rPr>
        <w:t> </w:t>
      </w:r>
      <w:r>
        <w:rPr>
          <w:color w:val="231F20"/>
          <w:w w:val="105"/>
        </w:rPr>
        <w:t>esso</w:t>
      </w:r>
      <w:r>
        <w:rPr>
          <w:color w:val="231F20"/>
          <w:spacing w:val="-28"/>
          <w:w w:val="105"/>
        </w:rPr>
        <w:t> </w:t>
      </w:r>
      <w:r>
        <w:rPr>
          <w:color w:val="231F20"/>
          <w:w w:val="105"/>
        </w:rPr>
        <w:t>mantenga</w:t>
      </w:r>
      <w:r>
        <w:rPr>
          <w:color w:val="231F20"/>
          <w:spacing w:val="-28"/>
          <w:w w:val="105"/>
        </w:rPr>
        <w:t> </w:t>
      </w:r>
      <w:r>
        <w:rPr>
          <w:color w:val="231F20"/>
          <w:w w:val="105"/>
        </w:rPr>
        <w:t>un</w:t>
      </w:r>
      <w:r>
        <w:rPr>
          <w:color w:val="231F20"/>
          <w:spacing w:val="-28"/>
          <w:w w:val="105"/>
        </w:rPr>
        <w:t> </w:t>
      </w:r>
      <w:r>
        <w:rPr>
          <w:color w:val="231F20"/>
          <w:w w:val="105"/>
        </w:rPr>
        <w:t>significato</w:t>
      </w:r>
      <w:r>
        <w:rPr>
          <w:color w:val="231F20"/>
          <w:spacing w:val="-28"/>
          <w:w w:val="105"/>
        </w:rPr>
        <w:t> </w:t>
      </w:r>
      <w:r>
        <w:rPr>
          <w:color w:val="231F20"/>
          <w:w w:val="105"/>
        </w:rPr>
        <w:t>condiviso</w:t>
      </w:r>
      <w:r>
        <w:rPr>
          <w:color w:val="231F20"/>
          <w:spacing w:val="-28"/>
          <w:w w:val="105"/>
        </w:rPr>
        <w:t> </w:t>
      </w:r>
      <w:r>
        <w:rPr>
          <w:color w:val="231F20"/>
          <w:w w:val="105"/>
        </w:rPr>
        <w:t>appunto</w:t>
      </w:r>
      <w:r>
        <w:rPr>
          <w:color w:val="231F20"/>
          <w:spacing w:val="-28"/>
          <w:w w:val="105"/>
        </w:rPr>
        <w:t> </w:t>
      </w:r>
      <w:r>
        <w:rPr>
          <w:color w:val="231F20"/>
          <w:w w:val="105"/>
        </w:rPr>
        <w:t>su</w:t>
      </w:r>
      <w:r>
        <w:rPr>
          <w:color w:val="231F20"/>
          <w:spacing w:val="-28"/>
          <w:w w:val="105"/>
        </w:rPr>
        <w:t> </w:t>
      </w:r>
      <w:r>
        <w:rPr>
          <w:color w:val="231F20"/>
          <w:w w:val="105"/>
        </w:rPr>
        <w:t>scala globale.</w:t>
      </w:r>
      <w:r>
        <w:rPr>
          <w:color w:val="231F20"/>
          <w:spacing w:val="-29"/>
          <w:w w:val="105"/>
        </w:rPr>
        <w:t> </w:t>
      </w:r>
      <w:r>
        <w:rPr>
          <w:color w:val="231F20"/>
          <w:w w:val="105"/>
        </w:rPr>
        <w:t>Significa</w:t>
      </w:r>
      <w:r>
        <w:rPr>
          <w:color w:val="231F20"/>
          <w:spacing w:val="-29"/>
          <w:w w:val="105"/>
        </w:rPr>
        <w:t> </w:t>
      </w:r>
      <w:r>
        <w:rPr>
          <w:color w:val="231F20"/>
          <w:w w:val="105"/>
        </w:rPr>
        <w:t>cercare</w:t>
      </w:r>
      <w:r>
        <w:rPr>
          <w:color w:val="231F20"/>
          <w:spacing w:val="-29"/>
          <w:w w:val="105"/>
        </w:rPr>
        <w:t> </w:t>
      </w:r>
      <w:r>
        <w:rPr>
          <w:color w:val="231F20"/>
          <w:w w:val="105"/>
        </w:rPr>
        <w:t>di</w:t>
      </w:r>
      <w:r>
        <w:rPr>
          <w:color w:val="231F20"/>
          <w:spacing w:val="-29"/>
          <w:w w:val="105"/>
        </w:rPr>
        <w:t> </w:t>
      </w:r>
      <w:r>
        <w:rPr>
          <w:color w:val="231F20"/>
          <w:w w:val="105"/>
        </w:rPr>
        <w:t>costruire</w:t>
      </w:r>
      <w:r>
        <w:rPr>
          <w:color w:val="231F20"/>
          <w:spacing w:val="-29"/>
          <w:w w:val="105"/>
        </w:rPr>
        <w:t> </w:t>
      </w:r>
      <w:r>
        <w:rPr>
          <w:color w:val="231F20"/>
          <w:w w:val="105"/>
        </w:rPr>
        <w:t>una</w:t>
      </w:r>
      <w:r>
        <w:rPr>
          <w:color w:val="231F20"/>
          <w:spacing w:val="-29"/>
          <w:w w:val="105"/>
        </w:rPr>
        <w:t> </w:t>
      </w:r>
      <w:r>
        <w:rPr>
          <w:color w:val="231F20"/>
          <w:w w:val="105"/>
        </w:rPr>
        <w:t>nuova</w:t>
      </w:r>
      <w:r>
        <w:rPr>
          <w:color w:val="231F20"/>
          <w:spacing w:val="-29"/>
          <w:w w:val="105"/>
        </w:rPr>
        <w:t> </w:t>
      </w:r>
      <w:r>
        <w:rPr>
          <w:color w:val="231F20"/>
          <w:w w:val="105"/>
        </w:rPr>
        <w:t>epistemologia</w:t>
      </w:r>
      <w:r>
        <w:rPr>
          <w:color w:val="231F20"/>
          <w:spacing w:val="-29"/>
          <w:w w:val="105"/>
        </w:rPr>
        <w:t> </w:t>
      </w:r>
      <w:r>
        <w:rPr>
          <w:color w:val="231F20"/>
          <w:w w:val="105"/>
        </w:rPr>
        <w:t>dello</w:t>
      </w:r>
      <w:r>
        <w:rPr>
          <w:color w:val="231F20"/>
          <w:spacing w:val="-29"/>
          <w:w w:val="105"/>
        </w:rPr>
        <w:t> </w:t>
      </w:r>
      <w:r>
        <w:rPr>
          <w:color w:val="231F20"/>
          <w:w w:val="105"/>
        </w:rPr>
        <w:t>Stato così</w:t>
      </w:r>
      <w:r>
        <w:rPr>
          <w:color w:val="231F20"/>
          <w:spacing w:val="-32"/>
          <w:w w:val="105"/>
        </w:rPr>
        <w:t> </w:t>
      </w:r>
      <w:r>
        <w:rPr>
          <w:color w:val="231F20"/>
          <w:w w:val="105"/>
        </w:rPr>
        <w:t>come</w:t>
      </w:r>
      <w:r>
        <w:rPr>
          <w:color w:val="231F20"/>
          <w:spacing w:val="-32"/>
          <w:w w:val="105"/>
        </w:rPr>
        <w:t> </w:t>
      </w:r>
      <w:r>
        <w:rPr>
          <w:color w:val="231F20"/>
          <w:w w:val="105"/>
        </w:rPr>
        <w:t>ha</w:t>
      </w:r>
      <w:r>
        <w:rPr>
          <w:color w:val="231F20"/>
          <w:spacing w:val="-32"/>
          <w:w w:val="105"/>
        </w:rPr>
        <w:t> </w:t>
      </w:r>
      <w:r>
        <w:rPr>
          <w:color w:val="231F20"/>
          <w:w w:val="105"/>
        </w:rPr>
        <w:t>fatto</w:t>
      </w:r>
      <w:r>
        <w:rPr>
          <w:color w:val="231F20"/>
          <w:spacing w:val="-32"/>
          <w:w w:val="105"/>
        </w:rPr>
        <w:t> </w:t>
      </w:r>
      <w:r>
        <w:rPr>
          <w:color w:val="231F20"/>
          <w:w w:val="105"/>
        </w:rPr>
        <w:t>Otto</w:t>
      </w:r>
      <w:r>
        <w:rPr>
          <w:color w:val="231F20"/>
          <w:spacing w:val="-32"/>
          <w:w w:val="105"/>
        </w:rPr>
        <w:t> </w:t>
      </w:r>
      <w:r>
        <w:rPr>
          <w:color w:val="231F20"/>
          <w:w w:val="105"/>
        </w:rPr>
        <w:t>Hintze</w:t>
      </w:r>
      <w:r>
        <w:rPr>
          <w:color w:val="231F20"/>
          <w:spacing w:val="-32"/>
          <w:w w:val="105"/>
        </w:rPr>
        <w:t> </w:t>
      </w:r>
      <w:r>
        <w:rPr>
          <w:color w:val="231F20"/>
          <w:w w:val="105"/>
        </w:rPr>
        <w:t>dopo</w:t>
      </w:r>
      <w:r>
        <w:rPr>
          <w:color w:val="231F20"/>
          <w:spacing w:val="-32"/>
          <w:w w:val="105"/>
        </w:rPr>
        <w:t> </w:t>
      </w:r>
      <w:r>
        <w:rPr>
          <w:color w:val="231F20"/>
          <w:w w:val="105"/>
        </w:rPr>
        <w:t>la</w:t>
      </w:r>
      <w:r>
        <w:rPr>
          <w:color w:val="231F20"/>
          <w:spacing w:val="-32"/>
          <w:w w:val="105"/>
        </w:rPr>
        <w:t> </w:t>
      </w:r>
      <w:r>
        <w:rPr>
          <w:color w:val="231F20"/>
          <w:w w:val="105"/>
        </w:rPr>
        <w:t>prima</w:t>
      </w:r>
      <w:r>
        <w:rPr>
          <w:color w:val="231F20"/>
          <w:spacing w:val="-32"/>
          <w:w w:val="105"/>
        </w:rPr>
        <w:t> </w:t>
      </w:r>
      <w:r>
        <w:rPr>
          <w:color w:val="231F20"/>
          <w:w w:val="105"/>
        </w:rPr>
        <w:t>guerra</w:t>
      </w:r>
      <w:r>
        <w:rPr>
          <w:color w:val="231F20"/>
          <w:spacing w:val="-32"/>
          <w:w w:val="105"/>
        </w:rPr>
        <w:t> </w:t>
      </w:r>
      <w:r>
        <w:rPr>
          <w:color w:val="231F20"/>
          <w:w w:val="105"/>
        </w:rPr>
        <w:t>mondiale,</w:t>
      </w:r>
      <w:r>
        <w:rPr>
          <w:color w:val="231F20"/>
          <w:spacing w:val="-32"/>
          <w:w w:val="105"/>
        </w:rPr>
        <w:t> </w:t>
      </w:r>
      <w:r>
        <w:rPr>
          <w:color w:val="231F20"/>
          <w:w w:val="105"/>
        </w:rPr>
        <w:t>registrando lucidamente le trasformazioni intervenute in quella che lui definisce </w:t>
      </w:r>
      <w:r>
        <w:rPr>
          <w:color w:val="231F20"/>
          <w:spacing w:val="2"/>
          <w:w w:val="105"/>
        </w:rPr>
        <w:t>“la </w:t>
      </w:r>
      <w:r>
        <w:rPr>
          <w:color w:val="231F20"/>
          <w:w w:val="105"/>
        </w:rPr>
        <w:t>storia</w:t>
      </w:r>
      <w:r>
        <w:rPr>
          <w:color w:val="231F20"/>
          <w:spacing w:val="-19"/>
          <w:w w:val="105"/>
        </w:rPr>
        <w:t> </w:t>
      </w:r>
      <w:r>
        <w:rPr>
          <w:color w:val="231F20"/>
          <w:w w:val="105"/>
        </w:rPr>
        <w:t>e</w:t>
      </w:r>
      <w:r>
        <w:rPr>
          <w:color w:val="231F20"/>
          <w:spacing w:val="-19"/>
          <w:w w:val="105"/>
        </w:rPr>
        <w:t> </w:t>
      </w:r>
      <w:r>
        <w:rPr>
          <w:color w:val="231F20"/>
          <w:w w:val="105"/>
        </w:rPr>
        <w:t>il</w:t>
      </w:r>
      <w:r>
        <w:rPr>
          <w:color w:val="231F20"/>
          <w:spacing w:val="-19"/>
          <w:w w:val="105"/>
        </w:rPr>
        <w:t> </w:t>
      </w:r>
      <w:r>
        <w:rPr>
          <w:color w:val="231F20"/>
          <w:w w:val="105"/>
        </w:rPr>
        <w:t>sistema</w:t>
      </w:r>
      <w:r>
        <w:rPr>
          <w:color w:val="231F20"/>
          <w:spacing w:val="-19"/>
          <w:w w:val="105"/>
        </w:rPr>
        <w:t> </w:t>
      </w:r>
      <w:r>
        <w:rPr>
          <w:color w:val="231F20"/>
          <w:w w:val="105"/>
        </w:rPr>
        <w:t>dello</w:t>
      </w:r>
      <w:r>
        <w:rPr>
          <w:color w:val="231F20"/>
          <w:spacing w:val="-19"/>
          <w:w w:val="105"/>
        </w:rPr>
        <w:t> </w:t>
      </w:r>
      <w:r>
        <w:rPr>
          <w:color w:val="231F20"/>
          <w:w w:val="105"/>
        </w:rPr>
        <w:t>Stato</w:t>
      </w:r>
      <w:r>
        <w:rPr>
          <w:color w:val="231F20"/>
          <w:spacing w:val="-19"/>
          <w:w w:val="105"/>
        </w:rPr>
        <w:t> </w:t>
      </w:r>
      <w:r>
        <w:rPr>
          <w:color w:val="231F20"/>
          <w:w w:val="105"/>
        </w:rPr>
        <w:t>e</w:t>
      </w:r>
      <w:r>
        <w:rPr>
          <w:color w:val="231F20"/>
          <w:spacing w:val="-19"/>
          <w:w w:val="105"/>
        </w:rPr>
        <w:t> </w:t>
      </w:r>
      <w:r>
        <w:rPr>
          <w:color w:val="231F20"/>
          <w:w w:val="105"/>
        </w:rPr>
        <w:t>della</w:t>
      </w:r>
      <w:r>
        <w:rPr>
          <w:color w:val="231F20"/>
          <w:spacing w:val="-19"/>
          <w:w w:val="105"/>
        </w:rPr>
        <w:t> </w:t>
      </w:r>
      <w:r>
        <w:rPr>
          <w:color w:val="231F20"/>
          <w:w w:val="105"/>
        </w:rPr>
        <w:t>società”</w:t>
      </w:r>
      <w:r>
        <w:rPr>
          <w:color w:val="231F20"/>
          <w:w w:val="105"/>
          <w:position w:val="7"/>
          <w:sz w:val="12"/>
        </w:rPr>
        <w:t>31</w:t>
      </w:r>
      <w:r>
        <w:rPr>
          <w:color w:val="231F20"/>
          <w:w w:val="105"/>
        </w:rPr>
        <w:t>.</w:t>
      </w:r>
      <w:r>
        <w:rPr>
          <w:color w:val="231F20"/>
          <w:spacing w:val="-19"/>
          <w:w w:val="105"/>
        </w:rPr>
        <w:t> </w:t>
      </w:r>
      <w:r>
        <w:rPr>
          <w:color w:val="231F20"/>
          <w:w w:val="105"/>
        </w:rPr>
        <w:t>Hintze</w:t>
      </w:r>
      <w:r>
        <w:rPr>
          <w:color w:val="231F20"/>
          <w:spacing w:val="-19"/>
          <w:w w:val="105"/>
        </w:rPr>
        <w:t> </w:t>
      </w:r>
      <w:r>
        <w:rPr>
          <w:color w:val="231F20"/>
          <w:w w:val="105"/>
        </w:rPr>
        <w:t>individua</w:t>
      </w:r>
      <w:r>
        <w:rPr>
          <w:color w:val="231F20"/>
          <w:spacing w:val="-19"/>
          <w:w w:val="105"/>
        </w:rPr>
        <w:t> </w:t>
      </w:r>
      <w:r>
        <w:rPr>
          <w:color w:val="231F20"/>
          <w:w w:val="105"/>
        </w:rPr>
        <w:t>un</w:t>
      </w:r>
      <w:r>
        <w:rPr>
          <w:color w:val="231F20"/>
          <w:spacing w:val="-19"/>
          <w:w w:val="105"/>
        </w:rPr>
        <w:t> </w:t>
      </w:r>
      <w:r>
        <w:rPr>
          <w:color w:val="231F20"/>
          <w:w w:val="105"/>
        </w:rPr>
        <w:t>vero</w:t>
      </w:r>
      <w:r>
        <w:rPr>
          <w:color w:val="231F20"/>
          <w:spacing w:val="-19"/>
          <w:w w:val="105"/>
        </w:rPr>
        <w:t> </w:t>
      </w:r>
      <w:r>
        <w:rPr>
          <w:color w:val="231F20"/>
          <w:w w:val="105"/>
        </w:rPr>
        <w:t>e </w:t>
      </w:r>
      <w:r>
        <w:rPr>
          <w:color w:val="231F20"/>
          <w:spacing w:val="-3"/>
          <w:w w:val="105"/>
        </w:rPr>
        <w:t>proprio</w:t>
      </w:r>
      <w:r>
        <w:rPr>
          <w:color w:val="231F20"/>
          <w:spacing w:val="-45"/>
          <w:w w:val="105"/>
        </w:rPr>
        <w:t> </w:t>
      </w:r>
      <w:r>
        <w:rPr>
          <w:color w:val="231F20"/>
          <w:w w:val="105"/>
        </w:rPr>
        <w:t>mutamento</w:t>
      </w:r>
      <w:r>
        <w:rPr>
          <w:color w:val="231F20"/>
          <w:spacing w:val="-45"/>
          <w:w w:val="105"/>
        </w:rPr>
        <w:t> </w:t>
      </w:r>
      <w:r>
        <w:rPr>
          <w:color w:val="231F20"/>
          <w:w w:val="105"/>
        </w:rPr>
        <w:t>di</w:t>
      </w:r>
      <w:r>
        <w:rPr>
          <w:color w:val="231F20"/>
          <w:spacing w:val="-45"/>
          <w:w w:val="105"/>
        </w:rPr>
        <w:t> </w:t>
      </w:r>
      <w:r>
        <w:rPr>
          <w:color w:val="231F20"/>
          <w:w w:val="105"/>
        </w:rPr>
        <w:t>paradigma</w:t>
      </w:r>
      <w:r>
        <w:rPr>
          <w:color w:val="231F20"/>
          <w:spacing w:val="-45"/>
          <w:w w:val="105"/>
        </w:rPr>
        <w:t> </w:t>
      </w:r>
      <w:r>
        <w:rPr>
          <w:color w:val="231F20"/>
          <w:w w:val="105"/>
        </w:rPr>
        <w:t>che</w:t>
      </w:r>
      <w:r>
        <w:rPr>
          <w:color w:val="231F20"/>
          <w:spacing w:val="-45"/>
          <w:w w:val="105"/>
        </w:rPr>
        <w:t> </w:t>
      </w:r>
      <w:r>
        <w:rPr>
          <w:color w:val="231F20"/>
          <w:w w:val="105"/>
        </w:rPr>
        <w:t>le</w:t>
      </w:r>
      <w:r>
        <w:rPr>
          <w:color w:val="231F20"/>
          <w:spacing w:val="-45"/>
          <w:w w:val="105"/>
        </w:rPr>
        <w:t> </w:t>
      </w:r>
      <w:r>
        <w:rPr>
          <w:color w:val="231F20"/>
          <w:w w:val="105"/>
        </w:rPr>
        <w:t>scienze</w:t>
      </w:r>
      <w:r>
        <w:rPr>
          <w:color w:val="231F20"/>
          <w:spacing w:val="-45"/>
          <w:w w:val="105"/>
        </w:rPr>
        <w:t> </w:t>
      </w:r>
      <w:r>
        <w:rPr>
          <w:color w:val="231F20"/>
          <w:w w:val="105"/>
        </w:rPr>
        <w:t>sociali,</w:t>
      </w:r>
      <w:r>
        <w:rPr>
          <w:color w:val="231F20"/>
          <w:spacing w:val="-45"/>
          <w:w w:val="105"/>
        </w:rPr>
        <w:t> </w:t>
      </w:r>
      <w:r>
        <w:rPr>
          <w:color w:val="231F20"/>
          <w:w w:val="105"/>
        </w:rPr>
        <w:t>non</w:t>
      </w:r>
      <w:r>
        <w:rPr>
          <w:color w:val="231F20"/>
          <w:spacing w:val="-45"/>
          <w:w w:val="105"/>
        </w:rPr>
        <w:t> </w:t>
      </w:r>
      <w:r>
        <w:rPr>
          <w:color w:val="231F20"/>
          <w:w w:val="105"/>
        </w:rPr>
        <w:t>solo</w:t>
      </w:r>
      <w:r>
        <w:rPr>
          <w:color w:val="231F20"/>
          <w:spacing w:val="-45"/>
          <w:w w:val="105"/>
        </w:rPr>
        <w:t> </w:t>
      </w:r>
      <w:r>
        <w:rPr>
          <w:color w:val="231F20"/>
          <w:w w:val="105"/>
        </w:rPr>
        <w:t>nel</w:t>
      </w:r>
      <w:r>
        <w:rPr>
          <w:color w:val="231F20"/>
          <w:spacing w:val="-45"/>
          <w:w w:val="105"/>
        </w:rPr>
        <w:t> </w:t>
      </w:r>
      <w:r>
        <w:rPr>
          <w:color w:val="231F20"/>
          <w:w w:val="105"/>
        </w:rPr>
        <w:t>nome</w:t>
      </w:r>
      <w:r>
        <w:rPr>
          <w:color w:val="231F20"/>
          <w:spacing w:val="-45"/>
          <w:w w:val="105"/>
        </w:rPr>
        <w:t> </w:t>
      </w:r>
      <w:r>
        <w:rPr>
          <w:color w:val="231F20"/>
          <w:w w:val="105"/>
        </w:rPr>
        <w:t>di Max</w:t>
      </w:r>
      <w:r>
        <w:rPr>
          <w:color w:val="231F20"/>
          <w:spacing w:val="-39"/>
          <w:w w:val="105"/>
        </w:rPr>
        <w:t> </w:t>
      </w:r>
      <w:r>
        <w:rPr>
          <w:color w:val="231F20"/>
          <w:spacing w:val="-5"/>
          <w:w w:val="105"/>
        </w:rPr>
        <w:t>Weber,</w:t>
      </w:r>
      <w:r>
        <w:rPr>
          <w:color w:val="231F20"/>
          <w:spacing w:val="-39"/>
          <w:w w:val="105"/>
        </w:rPr>
        <w:t> </w:t>
      </w:r>
      <w:r>
        <w:rPr>
          <w:color w:val="231F20"/>
          <w:w w:val="105"/>
        </w:rPr>
        <w:t>impongono</w:t>
      </w:r>
      <w:r>
        <w:rPr>
          <w:color w:val="231F20"/>
          <w:spacing w:val="-39"/>
          <w:w w:val="105"/>
        </w:rPr>
        <w:t> </w:t>
      </w:r>
      <w:r>
        <w:rPr>
          <w:color w:val="231F20"/>
          <w:w w:val="105"/>
        </w:rPr>
        <w:t>nel</w:t>
      </w:r>
      <w:r>
        <w:rPr>
          <w:color w:val="231F20"/>
          <w:spacing w:val="-39"/>
          <w:w w:val="105"/>
        </w:rPr>
        <w:t> </w:t>
      </w:r>
      <w:r>
        <w:rPr>
          <w:color w:val="231F20"/>
          <w:w w:val="105"/>
        </w:rPr>
        <w:t>modo</w:t>
      </w:r>
      <w:r>
        <w:rPr>
          <w:color w:val="231F20"/>
          <w:spacing w:val="-39"/>
          <w:w w:val="105"/>
        </w:rPr>
        <w:t> </w:t>
      </w:r>
      <w:r>
        <w:rPr>
          <w:color w:val="231F20"/>
          <w:w w:val="105"/>
        </w:rPr>
        <w:t>di</w:t>
      </w:r>
      <w:r>
        <w:rPr>
          <w:color w:val="231F20"/>
          <w:spacing w:val="-39"/>
          <w:w w:val="105"/>
        </w:rPr>
        <w:t> </w:t>
      </w:r>
      <w:r>
        <w:rPr>
          <w:color w:val="231F20"/>
          <w:w w:val="105"/>
        </w:rPr>
        <w:t>osservare</w:t>
      </w:r>
      <w:r>
        <w:rPr>
          <w:color w:val="231F20"/>
          <w:spacing w:val="-39"/>
          <w:w w:val="105"/>
        </w:rPr>
        <w:t> </w:t>
      </w:r>
      <w:r>
        <w:rPr>
          <w:color w:val="231F20"/>
          <w:w w:val="105"/>
        </w:rPr>
        <w:t>e</w:t>
      </w:r>
      <w:r>
        <w:rPr>
          <w:color w:val="231F20"/>
          <w:spacing w:val="-39"/>
          <w:w w:val="105"/>
        </w:rPr>
        <w:t> </w:t>
      </w:r>
      <w:r>
        <w:rPr>
          <w:color w:val="231F20"/>
          <w:w w:val="105"/>
        </w:rPr>
        <w:t>comprendere</w:t>
      </w:r>
      <w:r>
        <w:rPr>
          <w:color w:val="231F20"/>
          <w:spacing w:val="-39"/>
          <w:w w:val="105"/>
        </w:rPr>
        <w:t> </w:t>
      </w:r>
      <w:r>
        <w:rPr>
          <w:color w:val="231F20"/>
          <w:w w:val="105"/>
        </w:rPr>
        <w:t>l’esperienza </w:t>
      </w:r>
      <w:r>
        <w:rPr>
          <w:color w:val="231F20"/>
          <w:spacing w:val="-3"/>
          <w:w w:val="105"/>
        </w:rPr>
        <w:t>storica</w:t>
      </w:r>
      <w:r>
        <w:rPr>
          <w:color w:val="231F20"/>
          <w:spacing w:val="-37"/>
          <w:w w:val="105"/>
        </w:rPr>
        <w:t> </w:t>
      </w:r>
      <w:r>
        <w:rPr>
          <w:color w:val="231F20"/>
          <w:spacing w:val="-3"/>
          <w:w w:val="105"/>
        </w:rPr>
        <w:t>dello</w:t>
      </w:r>
      <w:r>
        <w:rPr>
          <w:color w:val="231F20"/>
          <w:spacing w:val="-37"/>
          <w:w w:val="105"/>
        </w:rPr>
        <w:t> </w:t>
      </w:r>
      <w:r>
        <w:rPr>
          <w:color w:val="231F20"/>
          <w:spacing w:val="-3"/>
          <w:w w:val="105"/>
        </w:rPr>
        <w:t>Stato</w:t>
      </w:r>
      <w:r>
        <w:rPr>
          <w:color w:val="231F20"/>
          <w:spacing w:val="-37"/>
          <w:w w:val="105"/>
        </w:rPr>
        <w:t> </w:t>
      </w:r>
      <w:r>
        <w:rPr>
          <w:color w:val="231F20"/>
          <w:w w:val="105"/>
        </w:rPr>
        <w:t>in</w:t>
      </w:r>
      <w:r>
        <w:rPr>
          <w:color w:val="231F20"/>
          <w:spacing w:val="-37"/>
          <w:w w:val="105"/>
        </w:rPr>
        <w:t> </w:t>
      </w:r>
      <w:r>
        <w:rPr>
          <w:color w:val="231F20"/>
          <w:spacing w:val="-3"/>
          <w:w w:val="105"/>
        </w:rPr>
        <w:t>Occidente.</w:t>
      </w:r>
      <w:r>
        <w:rPr>
          <w:color w:val="231F20"/>
          <w:spacing w:val="-37"/>
          <w:w w:val="105"/>
        </w:rPr>
        <w:t> </w:t>
      </w:r>
      <w:r>
        <w:rPr>
          <w:color w:val="231F20"/>
          <w:spacing w:val="-3"/>
          <w:w w:val="105"/>
        </w:rPr>
        <w:t>Questa</w:t>
      </w:r>
      <w:r>
        <w:rPr>
          <w:color w:val="231F20"/>
          <w:spacing w:val="-37"/>
          <w:w w:val="105"/>
        </w:rPr>
        <w:t> </w:t>
      </w:r>
      <w:r>
        <w:rPr>
          <w:color w:val="231F20"/>
          <w:spacing w:val="-3"/>
          <w:w w:val="105"/>
        </w:rPr>
        <w:t>svolta</w:t>
      </w:r>
      <w:r>
        <w:rPr>
          <w:color w:val="231F20"/>
          <w:spacing w:val="-37"/>
          <w:w w:val="105"/>
        </w:rPr>
        <w:t> </w:t>
      </w:r>
      <w:r>
        <w:rPr>
          <w:color w:val="231F20"/>
          <w:spacing w:val="-3"/>
          <w:w w:val="105"/>
        </w:rPr>
        <w:t>dalla</w:t>
      </w:r>
      <w:r>
        <w:rPr>
          <w:color w:val="231F20"/>
          <w:spacing w:val="-37"/>
          <w:w w:val="105"/>
        </w:rPr>
        <w:t> </w:t>
      </w:r>
      <w:r>
        <w:rPr>
          <w:color w:val="231F20"/>
          <w:spacing w:val="-3"/>
          <w:w w:val="105"/>
        </w:rPr>
        <w:t>storia</w:t>
      </w:r>
      <w:r>
        <w:rPr>
          <w:color w:val="231F20"/>
          <w:spacing w:val="-37"/>
          <w:w w:val="105"/>
        </w:rPr>
        <w:t> </w:t>
      </w:r>
      <w:r>
        <w:rPr>
          <w:color w:val="231F20"/>
          <w:spacing w:val="-3"/>
          <w:w w:val="105"/>
        </w:rPr>
        <w:t>politica</w:t>
      </w:r>
      <w:r>
        <w:rPr>
          <w:color w:val="231F20"/>
          <w:spacing w:val="-37"/>
          <w:w w:val="105"/>
        </w:rPr>
        <w:t> </w:t>
      </w:r>
      <w:r>
        <w:rPr>
          <w:color w:val="231F20"/>
          <w:w w:val="105"/>
        </w:rPr>
        <w:t>e</w:t>
      </w:r>
      <w:r>
        <w:rPr>
          <w:color w:val="231F20"/>
          <w:spacing w:val="-37"/>
          <w:w w:val="105"/>
        </w:rPr>
        <w:t> </w:t>
      </w:r>
      <w:r>
        <w:rPr>
          <w:color w:val="231F20"/>
          <w:w w:val="105"/>
        </w:rPr>
        <w:t>dal</w:t>
      </w:r>
      <w:r>
        <w:rPr>
          <w:color w:val="231F20"/>
          <w:spacing w:val="-37"/>
          <w:w w:val="105"/>
        </w:rPr>
        <w:t> </w:t>
      </w:r>
      <w:r>
        <w:rPr>
          <w:color w:val="231F20"/>
          <w:spacing w:val="-3"/>
          <w:w w:val="105"/>
        </w:rPr>
        <w:t>diritto </w:t>
      </w:r>
      <w:r>
        <w:rPr>
          <w:color w:val="231F20"/>
          <w:w w:val="105"/>
        </w:rPr>
        <w:t>alla</w:t>
      </w:r>
      <w:r>
        <w:rPr>
          <w:color w:val="231F20"/>
          <w:spacing w:val="-13"/>
          <w:w w:val="105"/>
        </w:rPr>
        <w:t> </w:t>
      </w:r>
      <w:r>
        <w:rPr>
          <w:color w:val="231F20"/>
          <w:w w:val="105"/>
        </w:rPr>
        <w:t>sociologia</w:t>
      </w:r>
      <w:r>
        <w:rPr>
          <w:color w:val="231F20"/>
          <w:spacing w:val="-13"/>
          <w:w w:val="105"/>
        </w:rPr>
        <w:t> </w:t>
      </w:r>
      <w:r>
        <w:rPr>
          <w:color w:val="231F20"/>
          <w:w w:val="105"/>
        </w:rPr>
        <w:t>quale</w:t>
      </w:r>
      <w:r>
        <w:rPr>
          <w:color w:val="231F20"/>
          <w:spacing w:val="-13"/>
          <w:w w:val="105"/>
        </w:rPr>
        <w:t> </w:t>
      </w:r>
      <w:r>
        <w:rPr>
          <w:color w:val="231F20"/>
          <w:w w:val="105"/>
        </w:rPr>
        <w:t>scienza</w:t>
      </w:r>
      <w:r>
        <w:rPr>
          <w:color w:val="231F20"/>
          <w:spacing w:val="-13"/>
          <w:w w:val="105"/>
        </w:rPr>
        <w:t> </w:t>
      </w:r>
      <w:r>
        <w:rPr>
          <w:color w:val="231F20"/>
          <w:w w:val="105"/>
        </w:rPr>
        <w:t>dell’indagine,</w:t>
      </w:r>
      <w:r>
        <w:rPr>
          <w:color w:val="231F20"/>
          <w:spacing w:val="-13"/>
          <w:w w:val="105"/>
        </w:rPr>
        <w:t> </w:t>
      </w:r>
      <w:r>
        <w:rPr>
          <w:color w:val="231F20"/>
          <w:w w:val="105"/>
        </w:rPr>
        <w:t>ma</w:t>
      </w:r>
      <w:r>
        <w:rPr>
          <w:color w:val="231F20"/>
          <w:spacing w:val="-13"/>
          <w:w w:val="105"/>
        </w:rPr>
        <w:t> </w:t>
      </w:r>
      <w:r>
        <w:rPr>
          <w:color w:val="231F20"/>
          <w:w w:val="105"/>
        </w:rPr>
        <w:t>anche</w:t>
      </w:r>
      <w:r>
        <w:rPr>
          <w:color w:val="231F20"/>
          <w:spacing w:val="-13"/>
          <w:w w:val="105"/>
        </w:rPr>
        <w:t> </w:t>
      </w:r>
      <w:r>
        <w:rPr>
          <w:color w:val="231F20"/>
          <w:w w:val="105"/>
        </w:rPr>
        <w:t>della</w:t>
      </w:r>
      <w:r>
        <w:rPr>
          <w:color w:val="231F20"/>
          <w:spacing w:val="-13"/>
          <w:w w:val="105"/>
        </w:rPr>
        <w:t> </w:t>
      </w:r>
      <w:r>
        <w:rPr>
          <w:color w:val="231F20"/>
          <w:w w:val="105"/>
        </w:rPr>
        <w:t>legittimazione dello</w:t>
      </w:r>
      <w:r>
        <w:rPr>
          <w:color w:val="231F20"/>
          <w:spacing w:val="-38"/>
          <w:w w:val="105"/>
        </w:rPr>
        <w:t> </w:t>
      </w:r>
      <w:r>
        <w:rPr>
          <w:color w:val="231F20"/>
          <w:w w:val="105"/>
        </w:rPr>
        <w:t>Stato,</w:t>
      </w:r>
      <w:r>
        <w:rPr>
          <w:color w:val="231F20"/>
          <w:spacing w:val="-38"/>
          <w:w w:val="105"/>
        </w:rPr>
        <w:t> </w:t>
      </w:r>
      <w:r>
        <w:rPr>
          <w:color w:val="231F20"/>
          <w:w w:val="105"/>
        </w:rPr>
        <w:t>si</w:t>
      </w:r>
      <w:r>
        <w:rPr>
          <w:color w:val="231F20"/>
          <w:spacing w:val="-38"/>
          <w:w w:val="105"/>
        </w:rPr>
        <w:t> </w:t>
      </w:r>
      <w:r>
        <w:rPr>
          <w:color w:val="231F20"/>
          <w:w w:val="105"/>
        </w:rPr>
        <w:t>è</w:t>
      </w:r>
      <w:r>
        <w:rPr>
          <w:color w:val="231F20"/>
          <w:spacing w:val="-38"/>
          <w:w w:val="105"/>
        </w:rPr>
        <w:t> </w:t>
      </w:r>
      <w:r>
        <w:rPr>
          <w:color w:val="231F20"/>
          <w:w w:val="105"/>
        </w:rPr>
        <w:t>oggi</w:t>
      </w:r>
      <w:r>
        <w:rPr>
          <w:color w:val="231F20"/>
          <w:spacing w:val="-38"/>
          <w:w w:val="105"/>
        </w:rPr>
        <w:t> </w:t>
      </w:r>
      <w:r>
        <w:rPr>
          <w:color w:val="231F20"/>
          <w:w w:val="105"/>
        </w:rPr>
        <w:t>compiuta</w:t>
      </w:r>
      <w:r>
        <w:rPr>
          <w:color w:val="231F20"/>
          <w:spacing w:val="-38"/>
          <w:w w:val="105"/>
        </w:rPr>
        <w:t> </w:t>
      </w:r>
      <w:r>
        <w:rPr>
          <w:color w:val="231F20"/>
          <w:w w:val="105"/>
        </w:rPr>
        <w:t>in</w:t>
      </w:r>
      <w:r>
        <w:rPr>
          <w:color w:val="231F20"/>
          <w:spacing w:val="-38"/>
          <w:w w:val="105"/>
        </w:rPr>
        <w:t> </w:t>
      </w:r>
      <w:r>
        <w:rPr>
          <w:color w:val="231F20"/>
          <w:w w:val="105"/>
        </w:rPr>
        <w:t>maniera</w:t>
      </w:r>
      <w:r>
        <w:rPr>
          <w:color w:val="231F20"/>
          <w:spacing w:val="-38"/>
          <w:w w:val="105"/>
        </w:rPr>
        <w:t> </w:t>
      </w:r>
      <w:r>
        <w:rPr>
          <w:color w:val="231F20"/>
          <w:w w:val="105"/>
        </w:rPr>
        <w:t>completa</w:t>
      </w:r>
      <w:r>
        <w:rPr>
          <w:color w:val="231F20"/>
          <w:spacing w:val="-38"/>
          <w:w w:val="105"/>
        </w:rPr>
        <w:t> </w:t>
      </w:r>
      <w:r>
        <w:rPr>
          <w:color w:val="231F20"/>
          <w:w w:val="105"/>
        </w:rPr>
        <w:t>e</w:t>
      </w:r>
      <w:r>
        <w:rPr>
          <w:color w:val="231F20"/>
          <w:spacing w:val="-38"/>
          <w:w w:val="105"/>
        </w:rPr>
        <w:t> </w:t>
      </w:r>
      <w:r>
        <w:rPr>
          <w:color w:val="231F20"/>
          <w:w w:val="105"/>
        </w:rPr>
        <w:t>definitiva,</w:t>
      </w:r>
      <w:r>
        <w:rPr>
          <w:color w:val="231F20"/>
          <w:spacing w:val="-38"/>
          <w:w w:val="105"/>
        </w:rPr>
        <w:t> </w:t>
      </w:r>
      <w:r>
        <w:rPr>
          <w:color w:val="231F20"/>
          <w:w w:val="105"/>
        </w:rPr>
        <w:t>investendo la</w:t>
      </w:r>
      <w:r>
        <w:rPr>
          <w:color w:val="231F20"/>
          <w:spacing w:val="-49"/>
          <w:w w:val="105"/>
        </w:rPr>
        <w:t> </w:t>
      </w:r>
      <w:r>
        <w:rPr>
          <w:color w:val="231F20"/>
          <w:w w:val="105"/>
        </w:rPr>
        <w:t>sovranità</w:t>
      </w:r>
      <w:r>
        <w:rPr>
          <w:color w:val="231F20"/>
          <w:spacing w:val="-49"/>
          <w:w w:val="105"/>
        </w:rPr>
        <w:t> </w:t>
      </w:r>
      <w:r>
        <w:rPr>
          <w:color w:val="231F20"/>
          <w:w w:val="105"/>
        </w:rPr>
        <w:t>statale,</w:t>
      </w:r>
      <w:r>
        <w:rPr>
          <w:color w:val="231F20"/>
          <w:spacing w:val="-49"/>
          <w:w w:val="105"/>
        </w:rPr>
        <w:t> </w:t>
      </w:r>
      <w:r>
        <w:rPr>
          <w:color w:val="231F20"/>
          <w:w w:val="105"/>
        </w:rPr>
        <w:t>i</w:t>
      </w:r>
      <w:r>
        <w:rPr>
          <w:color w:val="231F20"/>
          <w:spacing w:val="-49"/>
          <w:w w:val="105"/>
        </w:rPr>
        <w:t> </w:t>
      </w:r>
      <w:r>
        <w:rPr>
          <w:color w:val="231F20"/>
          <w:w w:val="105"/>
        </w:rPr>
        <w:t>suoi</w:t>
      </w:r>
      <w:r>
        <w:rPr>
          <w:color w:val="231F20"/>
          <w:spacing w:val="-49"/>
          <w:w w:val="105"/>
        </w:rPr>
        <w:t> </w:t>
      </w:r>
      <w:r>
        <w:rPr>
          <w:color w:val="231F20"/>
          <w:w w:val="105"/>
        </w:rPr>
        <w:t>fondamenti,</w:t>
      </w:r>
      <w:r>
        <w:rPr>
          <w:color w:val="231F20"/>
          <w:spacing w:val="-49"/>
          <w:w w:val="105"/>
        </w:rPr>
        <w:t> </w:t>
      </w:r>
      <w:r>
        <w:rPr>
          <w:color w:val="231F20"/>
          <w:w w:val="105"/>
        </w:rPr>
        <w:t>gli</w:t>
      </w:r>
      <w:r>
        <w:rPr>
          <w:color w:val="231F20"/>
          <w:spacing w:val="-49"/>
          <w:w w:val="105"/>
        </w:rPr>
        <w:t> </w:t>
      </w:r>
      <w:r>
        <w:rPr>
          <w:color w:val="231F20"/>
          <w:w w:val="105"/>
        </w:rPr>
        <w:t>attributi</w:t>
      </w:r>
      <w:r>
        <w:rPr>
          <w:color w:val="231F20"/>
          <w:spacing w:val="-49"/>
          <w:w w:val="105"/>
        </w:rPr>
        <w:t> </w:t>
      </w:r>
      <w:r>
        <w:rPr>
          <w:color w:val="231F20"/>
          <w:w w:val="105"/>
        </w:rPr>
        <w:t>della</w:t>
      </w:r>
      <w:r>
        <w:rPr>
          <w:color w:val="231F20"/>
          <w:spacing w:val="-49"/>
          <w:w w:val="105"/>
        </w:rPr>
        <w:t> </w:t>
      </w:r>
      <w:r>
        <w:rPr>
          <w:color w:val="231F20"/>
          <w:w w:val="105"/>
        </w:rPr>
        <w:t>sua</w:t>
      </w:r>
      <w:r>
        <w:rPr>
          <w:color w:val="231F20"/>
          <w:spacing w:val="-49"/>
          <w:w w:val="105"/>
        </w:rPr>
        <w:t> </w:t>
      </w:r>
      <w:r>
        <w:rPr>
          <w:color w:val="231F20"/>
          <w:w w:val="105"/>
        </w:rPr>
        <w:t>“assolutezza”.</w:t>
      </w:r>
      <w:r>
        <w:rPr>
          <w:color w:val="231F20"/>
          <w:spacing w:val="-49"/>
          <w:w w:val="105"/>
        </w:rPr>
        <w:t> </w:t>
      </w:r>
      <w:r>
        <w:rPr>
          <w:color w:val="231F20"/>
          <w:w w:val="105"/>
        </w:rPr>
        <w:t>Si deve</w:t>
      </w:r>
      <w:r>
        <w:rPr>
          <w:color w:val="231F20"/>
          <w:spacing w:val="-37"/>
          <w:w w:val="105"/>
        </w:rPr>
        <w:t> </w:t>
      </w:r>
      <w:r>
        <w:rPr>
          <w:color w:val="231F20"/>
          <w:w w:val="105"/>
        </w:rPr>
        <w:t>anzi</w:t>
      </w:r>
      <w:r>
        <w:rPr>
          <w:color w:val="231F20"/>
          <w:spacing w:val="-37"/>
          <w:w w:val="105"/>
        </w:rPr>
        <w:t> </w:t>
      </w:r>
      <w:r>
        <w:rPr>
          <w:color w:val="231F20"/>
          <w:w w:val="105"/>
        </w:rPr>
        <w:t>considerare</w:t>
      </w:r>
      <w:r>
        <w:rPr>
          <w:color w:val="231F20"/>
          <w:spacing w:val="-37"/>
          <w:w w:val="105"/>
        </w:rPr>
        <w:t> </w:t>
      </w:r>
      <w:r>
        <w:rPr>
          <w:color w:val="231F20"/>
          <w:w w:val="105"/>
        </w:rPr>
        <w:t>l’ipotesi</w:t>
      </w:r>
      <w:r>
        <w:rPr>
          <w:color w:val="231F20"/>
          <w:spacing w:val="-37"/>
          <w:w w:val="105"/>
        </w:rPr>
        <w:t> </w:t>
      </w:r>
      <w:r>
        <w:rPr>
          <w:color w:val="231F20"/>
          <w:w w:val="105"/>
        </w:rPr>
        <w:t>che</w:t>
      </w:r>
      <w:r>
        <w:rPr>
          <w:color w:val="231F20"/>
          <w:spacing w:val="-37"/>
          <w:w w:val="105"/>
        </w:rPr>
        <w:t> </w:t>
      </w:r>
      <w:r>
        <w:rPr>
          <w:color w:val="231F20"/>
          <w:w w:val="105"/>
        </w:rPr>
        <w:t>la</w:t>
      </w:r>
      <w:r>
        <w:rPr>
          <w:color w:val="231F20"/>
          <w:spacing w:val="-37"/>
          <w:w w:val="105"/>
        </w:rPr>
        <w:t> </w:t>
      </w:r>
      <w:r>
        <w:rPr>
          <w:color w:val="231F20"/>
          <w:w w:val="105"/>
        </w:rPr>
        <w:t>sociologia</w:t>
      </w:r>
      <w:r>
        <w:rPr>
          <w:color w:val="231F20"/>
          <w:spacing w:val="-37"/>
          <w:w w:val="105"/>
        </w:rPr>
        <w:t> </w:t>
      </w:r>
      <w:r>
        <w:rPr>
          <w:color w:val="231F20"/>
          <w:w w:val="105"/>
        </w:rPr>
        <w:t>storica</w:t>
      </w:r>
      <w:r>
        <w:rPr>
          <w:color w:val="231F20"/>
          <w:spacing w:val="-37"/>
          <w:w w:val="105"/>
        </w:rPr>
        <w:t> </w:t>
      </w:r>
      <w:r>
        <w:rPr>
          <w:color w:val="231F20"/>
          <w:w w:val="105"/>
        </w:rPr>
        <w:t>dello</w:t>
      </w:r>
      <w:r>
        <w:rPr>
          <w:color w:val="231F20"/>
          <w:spacing w:val="-37"/>
          <w:w w:val="105"/>
        </w:rPr>
        <w:t> </w:t>
      </w:r>
      <w:r>
        <w:rPr>
          <w:color w:val="231F20"/>
          <w:w w:val="105"/>
        </w:rPr>
        <w:t>Stato</w:t>
      </w:r>
      <w:r>
        <w:rPr>
          <w:color w:val="231F20"/>
          <w:spacing w:val="-37"/>
          <w:w w:val="105"/>
        </w:rPr>
        <w:t> </w:t>
      </w:r>
      <w:r>
        <w:rPr>
          <w:color w:val="231F20"/>
          <w:w w:val="105"/>
        </w:rPr>
        <w:t>necessiti di</w:t>
      </w:r>
      <w:r>
        <w:rPr>
          <w:color w:val="231F20"/>
          <w:spacing w:val="-16"/>
          <w:w w:val="105"/>
        </w:rPr>
        <w:t> </w:t>
      </w:r>
      <w:r>
        <w:rPr>
          <w:color w:val="231F20"/>
          <w:w w:val="105"/>
        </w:rPr>
        <w:t>un</w:t>
      </w:r>
      <w:r>
        <w:rPr>
          <w:color w:val="231F20"/>
          <w:spacing w:val="-16"/>
          <w:w w:val="105"/>
        </w:rPr>
        <w:t> </w:t>
      </w:r>
      <w:r>
        <w:rPr>
          <w:color w:val="231F20"/>
          <w:w w:val="105"/>
        </w:rPr>
        <w:t>ripensamento</w:t>
      </w:r>
      <w:r>
        <w:rPr>
          <w:color w:val="231F20"/>
          <w:spacing w:val="-16"/>
          <w:w w:val="105"/>
        </w:rPr>
        <w:t> </w:t>
      </w:r>
      <w:r>
        <w:rPr>
          <w:color w:val="231F20"/>
          <w:w w:val="105"/>
        </w:rPr>
        <w:t>nel</w:t>
      </w:r>
      <w:r>
        <w:rPr>
          <w:color w:val="231F20"/>
          <w:spacing w:val="-16"/>
          <w:w w:val="105"/>
        </w:rPr>
        <w:t> </w:t>
      </w:r>
      <w:r>
        <w:rPr>
          <w:color w:val="231F20"/>
          <w:w w:val="105"/>
        </w:rPr>
        <w:t>momento</w:t>
      </w:r>
      <w:r>
        <w:rPr>
          <w:color w:val="231F20"/>
          <w:spacing w:val="-16"/>
          <w:w w:val="105"/>
        </w:rPr>
        <w:t> </w:t>
      </w:r>
      <w:r>
        <w:rPr>
          <w:color w:val="231F20"/>
          <w:w w:val="105"/>
        </w:rPr>
        <w:t>in</w:t>
      </w:r>
      <w:r>
        <w:rPr>
          <w:color w:val="231F20"/>
          <w:spacing w:val="-16"/>
          <w:w w:val="105"/>
        </w:rPr>
        <w:t> </w:t>
      </w:r>
      <w:r>
        <w:rPr>
          <w:color w:val="231F20"/>
          <w:w w:val="105"/>
        </w:rPr>
        <w:t>cui</w:t>
      </w:r>
      <w:r>
        <w:rPr>
          <w:color w:val="231F20"/>
          <w:spacing w:val="-16"/>
          <w:w w:val="105"/>
        </w:rPr>
        <w:t> </w:t>
      </w:r>
      <w:r>
        <w:rPr>
          <w:color w:val="231F20"/>
          <w:w w:val="105"/>
        </w:rPr>
        <w:t>lo</w:t>
      </w:r>
      <w:r>
        <w:rPr>
          <w:color w:val="231F20"/>
          <w:spacing w:val="-16"/>
          <w:w w:val="105"/>
        </w:rPr>
        <w:t> </w:t>
      </w:r>
      <w:r>
        <w:rPr>
          <w:color w:val="231F20"/>
          <w:w w:val="105"/>
        </w:rPr>
        <w:t>Stato</w:t>
      </w:r>
      <w:r>
        <w:rPr>
          <w:color w:val="231F20"/>
          <w:spacing w:val="-16"/>
          <w:w w:val="105"/>
        </w:rPr>
        <w:t> </w:t>
      </w:r>
      <w:r>
        <w:rPr>
          <w:color w:val="231F20"/>
          <w:w w:val="105"/>
        </w:rPr>
        <w:t>sembra</w:t>
      </w:r>
      <w:r>
        <w:rPr>
          <w:color w:val="231F20"/>
          <w:spacing w:val="-16"/>
          <w:w w:val="105"/>
        </w:rPr>
        <w:t> </w:t>
      </w:r>
      <w:r>
        <w:rPr>
          <w:color w:val="231F20"/>
          <w:w w:val="105"/>
        </w:rPr>
        <w:t>perdere</w:t>
      </w:r>
      <w:r>
        <w:rPr>
          <w:color w:val="231F20"/>
          <w:spacing w:val="-16"/>
          <w:w w:val="105"/>
        </w:rPr>
        <w:t> </w:t>
      </w:r>
      <w:r>
        <w:rPr>
          <w:color w:val="231F20"/>
          <w:w w:val="105"/>
        </w:rPr>
        <w:t>tra</w:t>
      </w:r>
      <w:r>
        <w:rPr>
          <w:color w:val="231F20"/>
          <w:spacing w:val="-16"/>
          <w:w w:val="105"/>
        </w:rPr>
        <w:t> </w:t>
      </w:r>
      <w:r>
        <w:rPr>
          <w:color w:val="231F20"/>
          <w:w w:val="105"/>
        </w:rPr>
        <w:t>mille contraddizioni</w:t>
      </w:r>
      <w:r>
        <w:rPr>
          <w:color w:val="231F20"/>
          <w:spacing w:val="-17"/>
          <w:w w:val="105"/>
        </w:rPr>
        <w:t> </w:t>
      </w:r>
      <w:r>
        <w:rPr>
          <w:color w:val="231F20"/>
          <w:w w:val="105"/>
        </w:rPr>
        <w:t>ma</w:t>
      </w:r>
      <w:r>
        <w:rPr>
          <w:color w:val="231F20"/>
          <w:spacing w:val="-17"/>
          <w:w w:val="105"/>
        </w:rPr>
        <w:t> </w:t>
      </w:r>
      <w:r>
        <w:rPr>
          <w:color w:val="231F20"/>
          <w:w w:val="105"/>
        </w:rPr>
        <w:t>inesorabilmente</w:t>
      </w:r>
      <w:r>
        <w:rPr>
          <w:color w:val="231F20"/>
          <w:spacing w:val="-17"/>
          <w:w w:val="105"/>
        </w:rPr>
        <w:t> </w:t>
      </w:r>
      <w:r>
        <w:rPr>
          <w:color w:val="231F20"/>
          <w:w w:val="105"/>
        </w:rPr>
        <w:t>l’attributo</w:t>
      </w:r>
      <w:r>
        <w:rPr>
          <w:color w:val="231F20"/>
          <w:spacing w:val="-17"/>
          <w:w w:val="105"/>
        </w:rPr>
        <w:t> </w:t>
      </w:r>
      <w:r>
        <w:rPr>
          <w:color w:val="231F20"/>
          <w:w w:val="105"/>
        </w:rPr>
        <w:t>di</w:t>
      </w:r>
      <w:r>
        <w:rPr>
          <w:color w:val="231F20"/>
          <w:spacing w:val="-17"/>
          <w:w w:val="105"/>
        </w:rPr>
        <w:t> </w:t>
      </w:r>
      <w:r>
        <w:rPr>
          <w:color w:val="231F20"/>
          <w:w w:val="105"/>
        </w:rPr>
        <w:t>“sociale”.</w:t>
      </w:r>
      <w:r>
        <w:rPr>
          <w:color w:val="231F20"/>
          <w:spacing w:val="-17"/>
          <w:w w:val="105"/>
        </w:rPr>
        <w:t> </w:t>
      </w:r>
      <w:r>
        <w:rPr>
          <w:color w:val="231F20"/>
          <w:w w:val="105"/>
        </w:rPr>
        <w:t>Il</w:t>
      </w:r>
      <w:r>
        <w:rPr>
          <w:color w:val="231F20"/>
          <w:spacing w:val="-17"/>
          <w:w w:val="105"/>
        </w:rPr>
        <w:t> </w:t>
      </w:r>
      <w:r>
        <w:rPr>
          <w:color w:val="231F20"/>
          <w:w w:val="105"/>
        </w:rPr>
        <w:t>tramonto</w:t>
      </w:r>
      <w:r>
        <w:rPr>
          <w:color w:val="231F20"/>
          <w:spacing w:val="-17"/>
          <w:w w:val="105"/>
        </w:rPr>
        <w:t> </w:t>
      </w:r>
      <w:r>
        <w:rPr>
          <w:color w:val="231F20"/>
          <w:w w:val="105"/>
        </w:rPr>
        <w:t>del </w:t>
      </w:r>
      <w:r>
        <w:rPr>
          <w:color w:val="231F20"/>
          <w:spacing w:val="-3"/>
          <w:w w:val="105"/>
        </w:rPr>
        <w:t>sociale</w:t>
      </w:r>
      <w:r>
        <w:rPr>
          <w:color w:val="231F20"/>
          <w:spacing w:val="-37"/>
          <w:w w:val="105"/>
        </w:rPr>
        <w:t> </w:t>
      </w:r>
      <w:r>
        <w:rPr>
          <w:color w:val="231F20"/>
          <w:w w:val="105"/>
        </w:rPr>
        <w:t>non</w:t>
      </w:r>
      <w:r>
        <w:rPr>
          <w:color w:val="231F20"/>
          <w:spacing w:val="-37"/>
          <w:w w:val="105"/>
        </w:rPr>
        <w:t> </w:t>
      </w:r>
      <w:r>
        <w:rPr>
          <w:color w:val="231F20"/>
          <w:spacing w:val="-3"/>
          <w:w w:val="105"/>
        </w:rPr>
        <w:t>corrisponde</w:t>
      </w:r>
      <w:r>
        <w:rPr>
          <w:color w:val="231F20"/>
          <w:spacing w:val="-37"/>
          <w:w w:val="105"/>
        </w:rPr>
        <w:t> </w:t>
      </w:r>
      <w:r>
        <w:rPr>
          <w:color w:val="231F20"/>
          <w:spacing w:val="-4"/>
          <w:w w:val="105"/>
        </w:rPr>
        <w:t>però</w:t>
      </w:r>
      <w:r>
        <w:rPr>
          <w:color w:val="231F20"/>
          <w:spacing w:val="-37"/>
          <w:w w:val="105"/>
        </w:rPr>
        <w:t> </w:t>
      </w:r>
      <w:r>
        <w:rPr>
          <w:color w:val="231F20"/>
          <w:spacing w:val="-3"/>
          <w:w w:val="105"/>
        </w:rPr>
        <w:t>all’abbandono</w:t>
      </w:r>
      <w:r>
        <w:rPr>
          <w:color w:val="231F20"/>
          <w:spacing w:val="-37"/>
          <w:w w:val="105"/>
        </w:rPr>
        <w:t> </w:t>
      </w:r>
      <w:r>
        <w:rPr>
          <w:color w:val="231F20"/>
          <w:spacing w:val="-3"/>
          <w:w w:val="105"/>
        </w:rPr>
        <w:t>delle</w:t>
      </w:r>
      <w:r>
        <w:rPr>
          <w:color w:val="231F20"/>
          <w:spacing w:val="-37"/>
          <w:w w:val="105"/>
        </w:rPr>
        <w:t> </w:t>
      </w:r>
      <w:r>
        <w:rPr>
          <w:color w:val="231F20"/>
          <w:spacing w:val="-3"/>
          <w:w w:val="105"/>
        </w:rPr>
        <w:t>pratiche</w:t>
      </w:r>
      <w:r>
        <w:rPr>
          <w:color w:val="231F20"/>
          <w:spacing w:val="-37"/>
          <w:w w:val="105"/>
        </w:rPr>
        <w:t> </w:t>
      </w:r>
      <w:r>
        <w:rPr>
          <w:color w:val="231F20"/>
          <w:w w:val="105"/>
        </w:rPr>
        <w:t>di</w:t>
      </w:r>
      <w:r>
        <w:rPr>
          <w:color w:val="231F20"/>
          <w:spacing w:val="-37"/>
          <w:w w:val="105"/>
        </w:rPr>
        <w:t> </w:t>
      </w:r>
      <w:r>
        <w:rPr>
          <w:color w:val="231F20"/>
          <w:spacing w:val="-3"/>
          <w:w w:val="105"/>
        </w:rPr>
        <w:t>disciplinamento </w:t>
      </w:r>
      <w:r>
        <w:rPr>
          <w:color w:val="231F20"/>
          <w:w w:val="105"/>
        </w:rPr>
        <w:t>che ne </w:t>
      </w:r>
      <w:r>
        <w:rPr>
          <w:color w:val="231F20"/>
          <w:spacing w:val="2"/>
          <w:w w:val="105"/>
        </w:rPr>
        <w:t>avevano accompagnato </w:t>
      </w:r>
      <w:r>
        <w:rPr>
          <w:color w:val="231F20"/>
          <w:w w:val="105"/>
        </w:rPr>
        <w:t>la </w:t>
      </w:r>
      <w:r>
        <w:rPr>
          <w:color w:val="231F20"/>
          <w:spacing w:val="2"/>
          <w:w w:val="105"/>
        </w:rPr>
        <w:t>costituzione </w:t>
      </w:r>
      <w:r>
        <w:rPr>
          <w:color w:val="231F20"/>
          <w:w w:val="105"/>
        </w:rPr>
        <w:t>e il </w:t>
      </w:r>
      <w:r>
        <w:rPr>
          <w:color w:val="231F20"/>
          <w:spacing w:val="2"/>
          <w:w w:val="105"/>
        </w:rPr>
        <w:t>governo. </w:t>
      </w:r>
      <w:r>
        <w:rPr>
          <w:color w:val="231F20"/>
          <w:w w:val="105"/>
        </w:rPr>
        <w:t>Il </w:t>
      </w:r>
      <w:r>
        <w:rPr>
          <w:color w:val="231F20"/>
          <w:spacing w:val="3"/>
          <w:w w:val="105"/>
        </w:rPr>
        <w:t>modello </w:t>
      </w:r>
      <w:r>
        <w:rPr>
          <w:color w:val="231F20"/>
          <w:w w:val="105"/>
        </w:rPr>
        <w:t>sociale dello Stato che la sociologia aveva indirizzato e </w:t>
      </w:r>
      <w:r>
        <w:rPr>
          <w:color w:val="231F20"/>
          <w:spacing w:val="2"/>
          <w:w w:val="105"/>
        </w:rPr>
        <w:t>accompagnato </w:t>
      </w:r>
      <w:r>
        <w:rPr>
          <w:color w:val="231F20"/>
          <w:w w:val="105"/>
        </w:rPr>
        <w:t>sembra</w:t>
      </w:r>
      <w:r>
        <w:rPr>
          <w:color w:val="231F20"/>
          <w:spacing w:val="-23"/>
          <w:w w:val="105"/>
        </w:rPr>
        <w:t> </w:t>
      </w:r>
      <w:r>
        <w:rPr>
          <w:color w:val="231F20"/>
          <w:w w:val="105"/>
        </w:rPr>
        <w:t>lasciare</w:t>
      </w:r>
      <w:r>
        <w:rPr>
          <w:color w:val="231F20"/>
          <w:spacing w:val="-23"/>
          <w:w w:val="105"/>
        </w:rPr>
        <w:t> </w:t>
      </w:r>
      <w:r>
        <w:rPr>
          <w:color w:val="231F20"/>
          <w:w w:val="105"/>
        </w:rPr>
        <w:t>il</w:t>
      </w:r>
      <w:r>
        <w:rPr>
          <w:color w:val="231F20"/>
          <w:spacing w:val="-23"/>
          <w:w w:val="105"/>
        </w:rPr>
        <w:t> </w:t>
      </w:r>
      <w:r>
        <w:rPr>
          <w:color w:val="231F20"/>
          <w:w w:val="105"/>
        </w:rPr>
        <w:t>campo</w:t>
      </w:r>
      <w:r>
        <w:rPr>
          <w:color w:val="231F20"/>
          <w:spacing w:val="-23"/>
          <w:w w:val="105"/>
        </w:rPr>
        <w:t> </w:t>
      </w:r>
      <w:r>
        <w:rPr>
          <w:color w:val="231F20"/>
          <w:w w:val="105"/>
        </w:rPr>
        <w:t>a</w:t>
      </w:r>
      <w:r>
        <w:rPr>
          <w:color w:val="231F20"/>
          <w:spacing w:val="-23"/>
          <w:w w:val="105"/>
        </w:rPr>
        <w:t> </w:t>
      </w:r>
      <w:r>
        <w:rPr>
          <w:color w:val="231F20"/>
          <w:w w:val="105"/>
        </w:rPr>
        <w:t>un</w:t>
      </w:r>
      <w:r>
        <w:rPr>
          <w:color w:val="231F20"/>
          <w:spacing w:val="-23"/>
          <w:w w:val="105"/>
        </w:rPr>
        <w:t> </w:t>
      </w:r>
      <w:r>
        <w:rPr>
          <w:color w:val="231F20"/>
          <w:w w:val="105"/>
        </w:rPr>
        <w:t>disciplinamento</w:t>
      </w:r>
      <w:r>
        <w:rPr>
          <w:color w:val="231F20"/>
          <w:spacing w:val="-23"/>
          <w:w w:val="105"/>
        </w:rPr>
        <w:t> </w:t>
      </w:r>
      <w:r>
        <w:rPr>
          <w:color w:val="231F20"/>
          <w:w w:val="105"/>
        </w:rPr>
        <w:t>senza</w:t>
      </w:r>
      <w:r>
        <w:rPr>
          <w:color w:val="231F20"/>
          <w:spacing w:val="-23"/>
          <w:w w:val="105"/>
        </w:rPr>
        <w:t> </w:t>
      </w:r>
      <w:r>
        <w:rPr>
          <w:color w:val="231F20"/>
          <w:w w:val="105"/>
        </w:rPr>
        <w:t>compensazione,</w:t>
      </w:r>
      <w:r>
        <w:rPr>
          <w:color w:val="231F20"/>
          <w:spacing w:val="-23"/>
          <w:w w:val="105"/>
        </w:rPr>
        <w:t> </w:t>
      </w:r>
      <w:r>
        <w:rPr>
          <w:color w:val="231F20"/>
          <w:w w:val="105"/>
        </w:rPr>
        <w:t>alla costituzione</w:t>
      </w:r>
      <w:r>
        <w:rPr>
          <w:color w:val="231F20"/>
          <w:spacing w:val="-32"/>
          <w:w w:val="105"/>
        </w:rPr>
        <w:t> </w:t>
      </w:r>
      <w:r>
        <w:rPr>
          <w:color w:val="231F20"/>
          <w:w w:val="105"/>
        </w:rPr>
        <w:t>del</w:t>
      </w:r>
      <w:r>
        <w:rPr>
          <w:color w:val="231F20"/>
          <w:spacing w:val="-32"/>
          <w:w w:val="105"/>
        </w:rPr>
        <w:t> </w:t>
      </w:r>
      <w:r>
        <w:rPr>
          <w:color w:val="231F20"/>
          <w:w w:val="105"/>
        </w:rPr>
        <w:t>sociale</w:t>
      </w:r>
      <w:r>
        <w:rPr>
          <w:color w:val="231F20"/>
          <w:spacing w:val="-32"/>
          <w:w w:val="105"/>
        </w:rPr>
        <w:t> </w:t>
      </w:r>
      <w:r>
        <w:rPr>
          <w:color w:val="231F20"/>
          <w:w w:val="105"/>
        </w:rPr>
        <w:t>senza</w:t>
      </w:r>
      <w:r>
        <w:rPr>
          <w:color w:val="231F20"/>
          <w:spacing w:val="-32"/>
          <w:w w:val="105"/>
        </w:rPr>
        <w:t> </w:t>
      </w:r>
      <w:r>
        <w:rPr>
          <w:color w:val="231F20"/>
          <w:w w:val="105"/>
        </w:rPr>
        <w:t>riconoscimento</w:t>
      </w:r>
      <w:r>
        <w:rPr>
          <w:color w:val="231F20"/>
          <w:spacing w:val="-32"/>
          <w:w w:val="105"/>
        </w:rPr>
        <w:t> </w:t>
      </w:r>
      <w:r>
        <w:rPr>
          <w:color w:val="231F20"/>
          <w:w w:val="105"/>
        </w:rPr>
        <w:t>dei</w:t>
      </w:r>
      <w:r>
        <w:rPr>
          <w:color w:val="231F20"/>
          <w:spacing w:val="-32"/>
          <w:w w:val="105"/>
        </w:rPr>
        <w:t> </w:t>
      </w:r>
      <w:r>
        <w:rPr>
          <w:color w:val="231F20"/>
          <w:w w:val="105"/>
        </w:rPr>
        <w:t>soggetti</w:t>
      </w:r>
      <w:r>
        <w:rPr>
          <w:color w:val="231F20"/>
          <w:spacing w:val="-32"/>
          <w:w w:val="105"/>
        </w:rPr>
        <w:t> </w:t>
      </w:r>
      <w:r>
        <w:rPr>
          <w:color w:val="231F20"/>
          <w:w w:val="105"/>
        </w:rPr>
        <w:t>che</w:t>
      </w:r>
      <w:r>
        <w:rPr>
          <w:color w:val="231F20"/>
          <w:spacing w:val="-32"/>
          <w:w w:val="105"/>
        </w:rPr>
        <w:t> </w:t>
      </w:r>
      <w:r>
        <w:rPr>
          <w:color w:val="231F20"/>
          <w:w w:val="105"/>
        </w:rPr>
        <w:t>lo</w:t>
      </w:r>
      <w:r>
        <w:rPr>
          <w:color w:val="231F20"/>
          <w:spacing w:val="-32"/>
          <w:w w:val="105"/>
        </w:rPr>
        <w:t> </w:t>
      </w:r>
      <w:r>
        <w:rPr>
          <w:color w:val="231F20"/>
          <w:w w:val="105"/>
        </w:rPr>
        <w:t>animano. Ciò</w:t>
      </w:r>
      <w:r>
        <w:rPr>
          <w:color w:val="231F20"/>
          <w:spacing w:val="-37"/>
          <w:w w:val="105"/>
        </w:rPr>
        <w:t> </w:t>
      </w:r>
      <w:r>
        <w:rPr>
          <w:color w:val="231F20"/>
          <w:w w:val="105"/>
        </w:rPr>
        <w:t>rende</w:t>
      </w:r>
      <w:r>
        <w:rPr>
          <w:color w:val="231F20"/>
          <w:spacing w:val="-37"/>
          <w:w w:val="105"/>
        </w:rPr>
        <w:t> </w:t>
      </w:r>
      <w:r>
        <w:rPr>
          <w:color w:val="231F20"/>
          <w:w w:val="105"/>
        </w:rPr>
        <w:t>appunto</w:t>
      </w:r>
      <w:r>
        <w:rPr>
          <w:color w:val="231F20"/>
          <w:spacing w:val="-37"/>
          <w:w w:val="105"/>
        </w:rPr>
        <w:t> </w:t>
      </w:r>
      <w:r>
        <w:rPr>
          <w:color w:val="231F20"/>
          <w:w w:val="105"/>
        </w:rPr>
        <w:t>inevitabile</w:t>
      </w:r>
      <w:r>
        <w:rPr>
          <w:color w:val="231F20"/>
          <w:spacing w:val="-37"/>
          <w:w w:val="105"/>
        </w:rPr>
        <w:t> </w:t>
      </w:r>
      <w:r>
        <w:rPr>
          <w:color w:val="231F20"/>
          <w:w w:val="105"/>
        </w:rPr>
        <w:t>e</w:t>
      </w:r>
      <w:r>
        <w:rPr>
          <w:color w:val="231F20"/>
          <w:spacing w:val="-37"/>
          <w:w w:val="105"/>
        </w:rPr>
        <w:t> </w:t>
      </w:r>
      <w:r>
        <w:rPr>
          <w:color w:val="231F20"/>
          <w:w w:val="105"/>
        </w:rPr>
        <w:t>necessario</w:t>
      </w:r>
      <w:r>
        <w:rPr>
          <w:color w:val="231F20"/>
          <w:spacing w:val="-37"/>
          <w:w w:val="105"/>
        </w:rPr>
        <w:t> </w:t>
      </w:r>
      <w:r>
        <w:rPr>
          <w:color w:val="231F20"/>
          <w:w w:val="105"/>
        </w:rPr>
        <w:t>cogliere</w:t>
      </w:r>
      <w:r>
        <w:rPr>
          <w:color w:val="231F20"/>
          <w:spacing w:val="-37"/>
          <w:w w:val="105"/>
        </w:rPr>
        <w:t> </w:t>
      </w:r>
      <w:r>
        <w:rPr>
          <w:color w:val="231F20"/>
          <w:w w:val="105"/>
        </w:rPr>
        <w:t>lo</w:t>
      </w:r>
      <w:r>
        <w:rPr>
          <w:color w:val="231F20"/>
          <w:spacing w:val="-37"/>
          <w:w w:val="105"/>
        </w:rPr>
        <w:t> </w:t>
      </w:r>
      <w:r>
        <w:rPr>
          <w:color w:val="231F20"/>
          <w:w w:val="105"/>
        </w:rPr>
        <w:t>Stato</w:t>
      </w:r>
      <w:r>
        <w:rPr>
          <w:color w:val="231F20"/>
          <w:spacing w:val="-37"/>
          <w:w w:val="105"/>
        </w:rPr>
        <w:t> </w:t>
      </w:r>
      <w:r>
        <w:rPr>
          <w:color w:val="231F20"/>
          <w:w w:val="105"/>
        </w:rPr>
        <w:t>come</w:t>
      </w:r>
      <w:r>
        <w:rPr>
          <w:color w:val="231F20"/>
          <w:spacing w:val="-37"/>
          <w:w w:val="105"/>
        </w:rPr>
        <w:t> </w:t>
      </w:r>
      <w:r>
        <w:rPr>
          <w:color w:val="231F20"/>
          <w:w w:val="105"/>
        </w:rPr>
        <w:t>soggetto disciplinante</w:t>
      </w:r>
      <w:r>
        <w:rPr>
          <w:color w:val="231F20"/>
          <w:spacing w:val="-24"/>
          <w:w w:val="105"/>
        </w:rPr>
        <w:t> </w:t>
      </w:r>
      <w:r>
        <w:rPr>
          <w:color w:val="231F20"/>
          <w:w w:val="105"/>
        </w:rPr>
        <w:t>che</w:t>
      </w:r>
      <w:r>
        <w:rPr>
          <w:color w:val="231F20"/>
          <w:spacing w:val="-24"/>
          <w:w w:val="105"/>
        </w:rPr>
        <w:t> </w:t>
      </w:r>
      <w:r>
        <w:rPr>
          <w:color w:val="231F20"/>
          <w:w w:val="105"/>
        </w:rPr>
        <w:t>produce</w:t>
      </w:r>
      <w:r>
        <w:rPr>
          <w:color w:val="231F20"/>
          <w:spacing w:val="-24"/>
          <w:w w:val="105"/>
        </w:rPr>
        <w:t> </w:t>
      </w:r>
      <w:r>
        <w:rPr>
          <w:color w:val="231F20"/>
          <w:w w:val="105"/>
        </w:rPr>
        <w:t>effetti</w:t>
      </w:r>
      <w:r>
        <w:rPr>
          <w:color w:val="231F20"/>
          <w:spacing w:val="-24"/>
          <w:w w:val="105"/>
        </w:rPr>
        <w:t> </w:t>
      </w:r>
      <w:r>
        <w:rPr>
          <w:color w:val="231F20"/>
          <w:w w:val="105"/>
        </w:rPr>
        <w:t>normativi</w:t>
      </w:r>
      <w:r>
        <w:rPr>
          <w:color w:val="231F20"/>
          <w:spacing w:val="-23"/>
          <w:w w:val="105"/>
        </w:rPr>
        <w:t> </w:t>
      </w:r>
      <w:r>
        <w:rPr>
          <w:color w:val="231F20"/>
          <w:w w:val="105"/>
        </w:rPr>
        <w:t>sulla</w:t>
      </w:r>
      <w:r>
        <w:rPr>
          <w:color w:val="231F20"/>
          <w:spacing w:val="-23"/>
          <w:w w:val="105"/>
        </w:rPr>
        <w:t> </w:t>
      </w:r>
      <w:r>
        <w:rPr>
          <w:color w:val="231F20"/>
          <w:w w:val="105"/>
        </w:rPr>
        <w:t>realtà</w:t>
      </w:r>
      <w:r>
        <w:rPr>
          <w:color w:val="231F20"/>
          <w:spacing w:val="-24"/>
          <w:w w:val="105"/>
        </w:rPr>
        <w:t> </w:t>
      </w:r>
      <w:r>
        <w:rPr>
          <w:color w:val="231F20"/>
          <w:w w:val="105"/>
        </w:rPr>
        <w:t>sociale,</w:t>
      </w:r>
      <w:r>
        <w:rPr>
          <w:color w:val="231F20"/>
          <w:spacing w:val="-24"/>
          <w:w w:val="105"/>
        </w:rPr>
        <w:t> </w:t>
      </w:r>
      <w:r>
        <w:rPr>
          <w:color w:val="231F20"/>
          <w:w w:val="105"/>
        </w:rPr>
        <w:t>perché</w:t>
      </w:r>
      <w:r>
        <w:rPr>
          <w:color w:val="231F20"/>
          <w:spacing w:val="-24"/>
          <w:w w:val="105"/>
        </w:rPr>
        <w:t> </w:t>
      </w:r>
      <w:r>
        <w:rPr>
          <w:color w:val="231F20"/>
          <w:w w:val="105"/>
        </w:rPr>
        <w:t>è</w:t>
      </w:r>
      <w:r>
        <w:rPr>
          <w:color w:val="231F20"/>
          <w:spacing w:val="-24"/>
          <w:w w:val="105"/>
        </w:rPr>
        <w:t> </w:t>
      </w:r>
      <w:r>
        <w:rPr>
          <w:color w:val="231F20"/>
          <w:w w:val="105"/>
        </w:rPr>
        <w:t>in grado</w:t>
      </w:r>
      <w:r>
        <w:rPr>
          <w:color w:val="231F20"/>
          <w:spacing w:val="-33"/>
          <w:w w:val="105"/>
        </w:rPr>
        <w:t> </w:t>
      </w:r>
      <w:r>
        <w:rPr>
          <w:color w:val="231F20"/>
          <w:w w:val="105"/>
        </w:rPr>
        <w:t>di</w:t>
      </w:r>
      <w:r>
        <w:rPr>
          <w:color w:val="231F20"/>
          <w:spacing w:val="-33"/>
          <w:w w:val="105"/>
        </w:rPr>
        <w:t> </w:t>
      </w:r>
      <w:r>
        <w:rPr>
          <w:color w:val="231F20"/>
          <w:w w:val="105"/>
        </w:rPr>
        <w:t>orientare</w:t>
      </w:r>
      <w:r>
        <w:rPr>
          <w:color w:val="231F20"/>
          <w:spacing w:val="-33"/>
          <w:w w:val="105"/>
        </w:rPr>
        <w:t> </w:t>
      </w:r>
      <w:r>
        <w:rPr>
          <w:color w:val="231F20"/>
          <w:w w:val="105"/>
        </w:rPr>
        <w:t>e</w:t>
      </w:r>
      <w:r>
        <w:rPr>
          <w:color w:val="231F20"/>
          <w:spacing w:val="-33"/>
          <w:w w:val="105"/>
        </w:rPr>
        <w:t> </w:t>
      </w:r>
      <w:r>
        <w:rPr>
          <w:color w:val="231F20"/>
          <w:w w:val="105"/>
        </w:rPr>
        <w:t>plasmare</w:t>
      </w:r>
      <w:r>
        <w:rPr>
          <w:color w:val="231F20"/>
          <w:spacing w:val="-33"/>
          <w:w w:val="105"/>
        </w:rPr>
        <w:t> </w:t>
      </w:r>
      <w:r>
        <w:rPr>
          <w:color w:val="231F20"/>
          <w:w w:val="105"/>
        </w:rPr>
        <w:t>un</w:t>
      </w:r>
      <w:r>
        <w:rPr>
          <w:color w:val="231F20"/>
          <w:spacing w:val="-33"/>
          <w:w w:val="105"/>
        </w:rPr>
        <w:t> </w:t>
      </w:r>
      <w:r>
        <w:rPr>
          <w:color w:val="231F20"/>
          <w:w w:val="105"/>
        </w:rPr>
        <w:t>complesso</w:t>
      </w:r>
      <w:r>
        <w:rPr>
          <w:color w:val="231F20"/>
          <w:spacing w:val="-33"/>
          <w:w w:val="105"/>
        </w:rPr>
        <w:t> </w:t>
      </w:r>
      <w:r>
        <w:rPr>
          <w:color w:val="231F20"/>
          <w:w w:val="105"/>
        </w:rPr>
        <w:t>insieme</w:t>
      </w:r>
      <w:r>
        <w:rPr>
          <w:color w:val="231F20"/>
          <w:spacing w:val="-33"/>
          <w:w w:val="105"/>
        </w:rPr>
        <w:t> </w:t>
      </w:r>
      <w:r>
        <w:rPr>
          <w:color w:val="231F20"/>
          <w:w w:val="105"/>
        </w:rPr>
        <w:t>di</w:t>
      </w:r>
      <w:r>
        <w:rPr>
          <w:color w:val="231F20"/>
          <w:spacing w:val="-33"/>
          <w:w w:val="105"/>
        </w:rPr>
        <w:t> </w:t>
      </w:r>
      <w:r>
        <w:rPr>
          <w:color w:val="231F20"/>
          <w:w w:val="105"/>
        </w:rPr>
        <w:t>pratiche,</w:t>
      </w:r>
      <w:r>
        <w:rPr>
          <w:color w:val="231F20"/>
          <w:spacing w:val="-33"/>
          <w:w w:val="105"/>
        </w:rPr>
        <w:t> </w:t>
      </w:r>
      <w:r>
        <w:rPr>
          <w:color w:val="231F20"/>
          <w:w w:val="105"/>
        </w:rPr>
        <w:t>di</w:t>
      </w:r>
      <w:r>
        <w:rPr>
          <w:color w:val="231F20"/>
          <w:spacing w:val="-33"/>
          <w:w w:val="105"/>
        </w:rPr>
        <w:t> </w:t>
      </w:r>
      <w:r>
        <w:rPr>
          <w:color w:val="231F20"/>
          <w:w w:val="105"/>
        </w:rPr>
        <w:t>discorsi e</w:t>
      </w:r>
      <w:r>
        <w:rPr>
          <w:color w:val="231F20"/>
          <w:spacing w:val="-31"/>
          <w:w w:val="105"/>
        </w:rPr>
        <w:t> </w:t>
      </w:r>
      <w:r>
        <w:rPr>
          <w:color w:val="231F20"/>
          <w:w w:val="105"/>
        </w:rPr>
        <w:t>di</w:t>
      </w:r>
      <w:r>
        <w:rPr>
          <w:color w:val="231F20"/>
          <w:spacing w:val="-31"/>
          <w:w w:val="105"/>
        </w:rPr>
        <w:t> </w:t>
      </w:r>
      <w:r>
        <w:rPr>
          <w:color w:val="231F20"/>
          <w:w w:val="105"/>
        </w:rPr>
        <w:t>retoriche</w:t>
      </w:r>
      <w:r>
        <w:rPr>
          <w:color w:val="231F20"/>
          <w:spacing w:val="-31"/>
          <w:w w:val="105"/>
        </w:rPr>
        <w:t> </w:t>
      </w:r>
      <w:r>
        <w:rPr>
          <w:color w:val="231F20"/>
          <w:w w:val="105"/>
        </w:rPr>
        <w:t>al</w:t>
      </w:r>
      <w:r>
        <w:rPr>
          <w:color w:val="231F20"/>
          <w:spacing w:val="-31"/>
          <w:w w:val="105"/>
        </w:rPr>
        <w:t> </w:t>
      </w:r>
      <w:r>
        <w:rPr>
          <w:color w:val="231F20"/>
          <w:w w:val="105"/>
        </w:rPr>
        <w:t>fine</w:t>
      </w:r>
      <w:r>
        <w:rPr>
          <w:color w:val="231F20"/>
          <w:spacing w:val="-31"/>
          <w:w w:val="105"/>
        </w:rPr>
        <w:t> </w:t>
      </w:r>
      <w:r>
        <w:rPr>
          <w:color w:val="231F20"/>
          <w:w w:val="105"/>
        </w:rPr>
        <w:t>di</w:t>
      </w:r>
      <w:r>
        <w:rPr>
          <w:color w:val="231F20"/>
          <w:spacing w:val="-31"/>
          <w:w w:val="105"/>
        </w:rPr>
        <w:t> </w:t>
      </w:r>
      <w:r>
        <w:rPr>
          <w:color w:val="231F20"/>
          <w:w w:val="105"/>
        </w:rPr>
        <w:t>prendere</w:t>
      </w:r>
      <w:r>
        <w:rPr>
          <w:color w:val="231F20"/>
          <w:spacing w:val="-31"/>
          <w:w w:val="105"/>
        </w:rPr>
        <w:t> </w:t>
      </w:r>
      <w:r>
        <w:rPr>
          <w:color w:val="231F20"/>
          <w:w w:val="105"/>
        </w:rPr>
        <w:t>decisioni</w:t>
      </w:r>
      <w:r>
        <w:rPr>
          <w:color w:val="231F20"/>
          <w:spacing w:val="-31"/>
          <w:w w:val="105"/>
        </w:rPr>
        <w:t> </w:t>
      </w:r>
      <w:r>
        <w:rPr>
          <w:color w:val="231F20"/>
          <w:w w:val="105"/>
        </w:rPr>
        <w:t>collettivamente</w:t>
      </w:r>
      <w:r>
        <w:rPr>
          <w:color w:val="231F20"/>
          <w:spacing w:val="-31"/>
          <w:w w:val="105"/>
        </w:rPr>
        <w:t> </w:t>
      </w:r>
      <w:r>
        <w:rPr>
          <w:color w:val="231F20"/>
          <w:w w:val="105"/>
        </w:rPr>
        <w:t>vincolanti.</w:t>
      </w:r>
    </w:p>
    <w:p>
      <w:pPr>
        <w:pStyle w:val="BodyText"/>
        <w:spacing w:line="247" w:lineRule="auto"/>
        <w:ind w:left="103" w:right="112" w:firstLine="566"/>
        <w:jc w:val="both"/>
      </w:pPr>
      <w:r>
        <w:rPr>
          <w:color w:val="231F20"/>
          <w:w w:val="105"/>
        </w:rPr>
        <w:t>Come ha scritto Pierre Bourdieu: “Lo Stato è un principio di ortodossia, di consenso sul senso del mondo”</w:t>
      </w:r>
      <w:r>
        <w:rPr>
          <w:color w:val="231F20"/>
          <w:w w:val="105"/>
          <w:position w:val="7"/>
          <w:sz w:val="12"/>
        </w:rPr>
        <w:t>32</w:t>
      </w:r>
      <w:r>
        <w:rPr>
          <w:color w:val="231F20"/>
          <w:w w:val="105"/>
        </w:rPr>
        <w:t>. Un’ortodossia che non</w:t>
      </w:r>
    </w:p>
    <w:p>
      <w:pPr>
        <w:pStyle w:val="BodyText"/>
        <w:spacing w:before="2"/>
        <w:rPr>
          <w:sz w:val="23"/>
        </w:rPr>
      </w:pPr>
      <w:r>
        <w:rPr/>
        <w:pict>
          <v:line style="position:absolute;mso-position-horizontal-relative:page;mso-position-vertical-relative:paragraph;z-index:10264;mso-wrap-distance-left:0;mso-wrap-distance-right:0" from="65.1968pt,16.106985pt" to="178.5828pt,16.106985pt" stroked="true" strokeweight=".3pt" strokecolor="#231f20">
            <w10:wrap type="topAndBottom"/>
          </v:line>
        </w:pict>
      </w:r>
    </w:p>
    <w:p>
      <w:pPr>
        <w:spacing w:line="204" w:lineRule="exact" w:before="8"/>
        <w:ind w:left="103" w:right="0" w:firstLine="0"/>
        <w:jc w:val="left"/>
        <w:rPr>
          <w:rFonts w:ascii="Calibri" w:hAnsi="Calibri"/>
          <w:sz w:val="17"/>
        </w:rPr>
      </w:pPr>
      <w:r>
        <w:rPr>
          <w:rFonts w:ascii="Calibri" w:hAnsi="Calibri"/>
          <w:color w:val="231F20"/>
          <w:position w:val="6"/>
          <w:sz w:val="10"/>
        </w:rPr>
        <w:t>28 </w:t>
      </w:r>
      <w:r>
        <w:rPr>
          <w:rFonts w:ascii="Calibri" w:hAnsi="Calibri"/>
          <w:color w:val="231F20"/>
          <w:sz w:val="17"/>
        </w:rPr>
        <w:t>A. Passerin d’Entrèves, </w:t>
      </w:r>
      <w:r>
        <w:rPr>
          <w:rFonts w:ascii="Calibri" w:hAnsi="Calibri"/>
          <w:i/>
          <w:color w:val="231F20"/>
          <w:sz w:val="17"/>
        </w:rPr>
        <w:t>La dottrina dello Stato. Elementi di analisi e di interpretazione</w:t>
      </w:r>
      <w:r>
        <w:rPr>
          <w:rFonts w:ascii="Calibri" w:hAnsi="Calibri"/>
          <w:color w:val="231F20"/>
          <w:sz w:val="17"/>
        </w:rPr>
        <w:t>, Torino, Giappichelli, 2009, p. 92.</w:t>
      </w:r>
    </w:p>
    <w:p>
      <w:pPr>
        <w:spacing w:line="204" w:lineRule="exact" w:before="0"/>
        <w:ind w:left="103" w:right="29" w:firstLine="0"/>
        <w:jc w:val="left"/>
        <w:rPr>
          <w:rFonts w:ascii="Calibri"/>
          <w:sz w:val="17"/>
        </w:rPr>
      </w:pPr>
      <w:r>
        <w:rPr>
          <w:rFonts w:ascii="Calibri"/>
          <w:color w:val="231F20"/>
          <w:position w:val="6"/>
          <w:sz w:val="10"/>
        </w:rPr>
        <w:t>29 </w:t>
      </w:r>
      <w:r>
        <w:rPr>
          <w:rFonts w:ascii="Calibri"/>
          <w:color w:val="231F20"/>
          <w:sz w:val="17"/>
        </w:rPr>
        <w:t>D. Easton, </w:t>
      </w:r>
      <w:r>
        <w:rPr>
          <w:rFonts w:ascii="Calibri"/>
          <w:i/>
          <w:color w:val="231F20"/>
          <w:sz w:val="17"/>
        </w:rPr>
        <w:t>The Political System. An Inquiry into the State of Political Science</w:t>
      </w:r>
      <w:r>
        <w:rPr>
          <w:rFonts w:ascii="Calibri"/>
          <w:color w:val="231F20"/>
          <w:sz w:val="17"/>
        </w:rPr>
        <w:t>, New York, Knopf, 1953, p. 106.</w:t>
      </w:r>
    </w:p>
    <w:p>
      <w:pPr>
        <w:spacing w:line="206" w:lineRule="exact" w:before="1"/>
        <w:ind w:left="103" w:right="0" w:firstLine="0"/>
        <w:jc w:val="left"/>
        <w:rPr>
          <w:rFonts w:ascii="Calibri"/>
          <w:sz w:val="17"/>
        </w:rPr>
      </w:pPr>
      <w:r>
        <w:rPr>
          <w:rFonts w:ascii="Calibri"/>
          <w:color w:val="231F20"/>
          <w:position w:val="6"/>
          <w:sz w:val="10"/>
        </w:rPr>
        <w:t>30  </w:t>
      </w:r>
      <w:r>
        <w:rPr>
          <w:rFonts w:ascii="Calibri"/>
          <w:color w:val="231F20"/>
          <w:sz w:val="17"/>
        </w:rPr>
        <w:t>R. Gherardi y M. Ricciardi (Eds.), </w:t>
      </w:r>
      <w:r>
        <w:rPr>
          <w:rFonts w:ascii="Calibri"/>
          <w:i/>
          <w:color w:val="231F20"/>
          <w:sz w:val="17"/>
        </w:rPr>
        <w:t>Lo Stato globale</w:t>
      </w:r>
      <w:r>
        <w:rPr>
          <w:rFonts w:ascii="Calibri"/>
          <w:color w:val="231F20"/>
          <w:sz w:val="17"/>
        </w:rPr>
        <w:t>, Bologna, CLEUB,  2009.</w:t>
      </w:r>
    </w:p>
    <w:p>
      <w:pPr>
        <w:spacing w:line="204" w:lineRule="exact" w:before="0"/>
        <w:ind w:left="103" w:right="0" w:firstLine="0"/>
        <w:jc w:val="left"/>
        <w:rPr>
          <w:rFonts w:ascii="Calibri" w:hAnsi="Calibri"/>
          <w:sz w:val="17"/>
        </w:rPr>
      </w:pPr>
      <w:r>
        <w:rPr>
          <w:rFonts w:ascii="Calibri" w:hAnsi="Calibri"/>
          <w:color w:val="231F20"/>
          <w:position w:val="6"/>
          <w:sz w:val="10"/>
        </w:rPr>
        <w:t>31  </w:t>
      </w:r>
      <w:r>
        <w:rPr>
          <w:rFonts w:ascii="Calibri" w:hAnsi="Calibri"/>
          <w:color w:val="231F20"/>
          <w:sz w:val="17"/>
        </w:rPr>
        <w:t>M. Ricciardi, “Otto Hintze, lo Stato e il problema della pratica storica”, </w:t>
      </w:r>
      <w:r>
        <w:rPr>
          <w:rFonts w:ascii="Calibri" w:hAnsi="Calibri"/>
          <w:i/>
          <w:color w:val="231F20"/>
          <w:sz w:val="17"/>
        </w:rPr>
        <w:t>Contemporanea</w:t>
      </w:r>
      <w:r>
        <w:rPr>
          <w:rFonts w:ascii="Calibri" w:hAnsi="Calibri"/>
          <w:color w:val="231F20"/>
          <w:sz w:val="17"/>
        </w:rPr>
        <w:t>, XIII, 2010,</w:t>
      </w:r>
    </w:p>
    <w:p>
      <w:pPr>
        <w:spacing w:line="204" w:lineRule="exact" w:before="0"/>
        <w:ind w:left="103" w:right="0" w:firstLine="0"/>
        <w:jc w:val="left"/>
        <w:rPr>
          <w:rFonts w:ascii="Calibri" w:hAnsi="Calibri"/>
          <w:sz w:val="17"/>
        </w:rPr>
      </w:pPr>
      <w:r>
        <w:rPr>
          <w:rFonts w:ascii="Calibri" w:hAnsi="Calibri"/>
          <w:color w:val="231F20"/>
          <w:w w:val="90"/>
          <w:sz w:val="17"/>
        </w:rPr>
        <w:t>pp. 163–171.</w:t>
      </w:r>
    </w:p>
    <w:p>
      <w:pPr>
        <w:spacing w:line="206" w:lineRule="exact" w:before="0"/>
        <w:ind w:left="103" w:right="0" w:firstLine="0"/>
        <w:jc w:val="left"/>
        <w:rPr>
          <w:rFonts w:ascii="Calibri" w:hAnsi="Calibri"/>
          <w:sz w:val="17"/>
        </w:rPr>
      </w:pPr>
      <w:r>
        <w:rPr>
          <w:rFonts w:ascii="Calibri" w:hAnsi="Calibri"/>
          <w:color w:val="231F20"/>
          <w:position w:val="6"/>
          <w:sz w:val="10"/>
        </w:rPr>
        <w:t>32 </w:t>
      </w:r>
      <w:r>
        <w:rPr>
          <w:rFonts w:ascii="Calibri" w:hAnsi="Calibri"/>
          <w:color w:val="231F20"/>
          <w:sz w:val="17"/>
        </w:rPr>
        <w:t>P. Bourdieu, </w:t>
      </w:r>
      <w:r>
        <w:rPr>
          <w:rFonts w:ascii="Calibri" w:hAnsi="Calibri"/>
          <w:i/>
          <w:color w:val="231F20"/>
          <w:sz w:val="17"/>
        </w:rPr>
        <w:t>Sur l’État. Cours au collège de France 1989–1992</w:t>
      </w:r>
      <w:r>
        <w:rPr>
          <w:rFonts w:ascii="Calibri" w:hAnsi="Calibri"/>
          <w:color w:val="231F20"/>
          <w:sz w:val="17"/>
        </w:rPr>
        <w:t>, Paris, Raisons d’agir, 2012, p. 19.</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sz w:val="16"/>
        </w:rPr>
      </w:pPr>
      <w:r>
        <w:rPr/>
        <w:pict>
          <v:group style="position:absolute;margin-left:98.079102pt;margin-top:-3.358812pt;width:20.4pt;height:43pt;mso-position-horizontal-relative:page;mso-position-vertical-relative:paragraph;z-index:-165112"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44</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900"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506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28"/>
          <w:sz w:val="14"/>
        </w:rPr>
        <w:t> </w:t>
      </w:r>
      <w:r>
        <w:rPr>
          <w:rFonts w:ascii="Lucida Sans Unicode" w:hAnsi="Lucida Sans Unicode"/>
          <w:color w:val="6D6E71"/>
          <w:spacing w:val="-4"/>
          <w:sz w:val="14"/>
        </w:rPr>
        <w:t>STATO</w:t>
      </w:r>
      <w:r>
        <w:rPr>
          <w:rFonts w:ascii="Lucida Sans Unicode" w:hAnsi="Lucida Sans Unicode"/>
          <w:color w:val="6D6E71"/>
          <w:spacing w:val="-28"/>
          <w:sz w:val="14"/>
        </w:rPr>
        <w:t> </w:t>
      </w:r>
      <w:r>
        <w:rPr>
          <w:rFonts w:ascii="Lucida Sans Unicode" w:hAnsi="Lucida Sans Unicode"/>
          <w:color w:val="6D6E71"/>
          <w:sz w:val="14"/>
        </w:rPr>
        <w:t>GLOBALE</w:t>
      </w:r>
      <w:r>
        <w:rPr>
          <w:rFonts w:ascii="Lucida Sans Unicode" w:hAnsi="Lucida Sans Unicode"/>
          <w:color w:val="6D6E71"/>
          <w:spacing w:val="-28"/>
          <w:sz w:val="14"/>
        </w:rPr>
        <w:t> </w:t>
      </w:r>
      <w:r>
        <w:rPr>
          <w:rFonts w:ascii="Lucida Sans Unicode" w:hAnsi="Lucida Sans Unicode"/>
          <w:color w:val="6D6E71"/>
          <w:sz w:val="14"/>
        </w:rPr>
        <w:t>E</w:t>
      </w:r>
      <w:r>
        <w:rPr>
          <w:rFonts w:ascii="Lucida Sans Unicode" w:hAnsi="Lucida Sans Unicode"/>
          <w:color w:val="6D6E71"/>
          <w:spacing w:val="-28"/>
          <w:sz w:val="14"/>
        </w:rPr>
        <w:t> </w:t>
      </w:r>
      <w:r>
        <w:rPr>
          <w:rFonts w:ascii="Lucida Sans Unicode" w:hAnsi="Lucida Sans Unicode"/>
          <w:color w:val="6D6E71"/>
          <w:sz w:val="14"/>
        </w:rPr>
        <w:t>L’EVOLUZIONE</w:t>
      </w:r>
      <w:r>
        <w:rPr>
          <w:rFonts w:ascii="Lucida Sans Unicode" w:hAnsi="Lucida Sans Unicode"/>
          <w:color w:val="6D6E71"/>
          <w:spacing w:val="-28"/>
          <w:sz w:val="14"/>
        </w:rPr>
        <w:t> </w:t>
      </w:r>
      <w:r>
        <w:rPr>
          <w:rFonts w:ascii="Lucida Sans Unicode" w:hAnsi="Lucida Sans Unicode"/>
          <w:color w:val="6D6E71"/>
          <w:sz w:val="14"/>
        </w:rPr>
        <w:t>DELLA</w:t>
      </w:r>
      <w:r>
        <w:rPr>
          <w:rFonts w:ascii="Lucida Sans Unicode" w:hAnsi="Lucida Sans Unicode"/>
          <w:color w:val="6D6E71"/>
          <w:spacing w:val="-28"/>
          <w:sz w:val="14"/>
        </w:rPr>
        <w:t> </w:t>
      </w:r>
      <w:r>
        <w:rPr>
          <w:rFonts w:ascii="Lucida Sans Unicode" w:hAnsi="Lucida Sans Unicode"/>
          <w:color w:val="6D6E71"/>
          <w:sz w:val="14"/>
        </w:rPr>
        <w:t>SOVRANITÀ</w:t>
      </w:r>
      <w:r>
        <w:rPr>
          <w:rFonts w:ascii="Trebuchet MS" w:hAnsi="Trebuchet MS"/>
          <w:color w:val="414042"/>
          <w:position w:val="-3"/>
          <w:sz w:val="20"/>
        </w:rPr>
        <w:tab/>
        <w:t>45</w:t>
      </w:r>
    </w:p>
    <w:p>
      <w:pPr>
        <w:pStyle w:val="BodyText"/>
        <w:rPr>
          <w:rFonts w:ascii="Trebuchet MS"/>
          <w:sz w:val="20"/>
        </w:rPr>
      </w:pPr>
    </w:p>
    <w:p>
      <w:pPr>
        <w:pStyle w:val="BodyText"/>
        <w:rPr>
          <w:rFonts w:ascii="Trebuchet MS"/>
          <w:sz w:val="20"/>
        </w:rPr>
      </w:pPr>
    </w:p>
    <w:p>
      <w:pPr>
        <w:pStyle w:val="BodyText"/>
        <w:spacing w:line="247" w:lineRule="auto" w:before="156"/>
        <w:ind w:left="117" w:right="113"/>
        <w:jc w:val="both"/>
      </w:pPr>
      <w:r>
        <w:rPr>
          <w:color w:val="231F20"/>
        </w:rPr>
        <w:t>è immediatamente evidente o, in ogni caso, se mai lo è stata, non lo è  </w:t>
      </w:r>
      <w:r>
        <w:rPr>
          <w:color w:val="231F20"/>
          <w:spacing w:val="2"/>
        </w:rPr>
        <w:t>più, </w:t>
      </w:r>
      <w:r>
        <w:rPr>
          <w:color w:val="231F20"/>
        </w:rPr>
        <w:t>al </w:t>
      </w:r>
      <w:r>
        <w:rPr>
          <w:color w:val="231F20"/>
          <w:spacing w:val="2"/>
        </w:rPr>
        <w:t>punto </w:t>
      </w:r>
      <w:r>
        <w:rPr>
          <w:color w:val="231F20"/>
        </w:rPr>
        <w:t>che la sua </w:t>
      </w:r>
      <w:r>
        <w:rPr>
          <w:color w:val="231F20"/>
          <w:spacing w:val="2"/>
        </w:rPr>
        <w:t>forma democratica </w:t>
      </w:r>
      <w:r>
        <w:rPr>
          <w:color w:val="231F20"/>
        </w:rPr>
        <w:t>non </w:t>
      </w:r>
      <w:r>
        <w:rPr>
          <w:color w:val="231F20"/>
          <w:spacing w:val="2"/>
        </w:rPr>
        <w:t>viene </w:t>
      </w:r>
      <w:r>
        <w:rPr>
          <w:color w:val="231F20"/>
        </w:rPr>
        <w:t>più </w:t>
      </w:r>
      <w:r>
        <w:rPr>
          <w:color w:val="231F20"/>
          <w:spacing w:val="3"/>
        </w:rPr>
        <w:t>immaginata </w:t>
      </w:r>
      <w:r>
        <w:rPr>
          <w:color w:val="231F20"/>
        </w:rPr>
        <w:t>come il culmine del suo sviluppo, ma come un processo separato che può ridefinire la funzione stessa dello Stato</w:t>
      </w:r>
      <w:r>
        <w:rPr>
          <w:color w:val="231F20"/>
          <w:position w:val="7"/>
          <w:sz w:val="12"/>
        </w:rPr>
        <w:t>33</w:t>
      </w:r>
      <w:r>
        <w:rPr>
          <w:color w:val="231F20"/>
        </w:rPr>
        <w:t>. Di conseguenza, anche l’indagine sul concetto di Stato globale deve tener conto della lotta attorno a quella ortodossia, la quale, tuttavia, non può essere considerata l’esito di </w:t>
      </w:r>
      <w:r>
        <w:rPr>
          <w:color w:val="231F20"/>
          <w:spacing w:val="2"/>
        </w:rPr>
        <w:t>uno </w:t>
      </w:r>
      <w:r>
        <w:rPr>
          <w:color w:val="231F20"/>
        </w:rPr>
        <w:t>sviluppo teleologicamente orientato, quasi il compimento del senso della storia</w:t>
      </w:r>
      <w:r>
        <w:rPr>
          <w:color w:val="231F20"/>
          <w:spacing w:val="-20"/>
        </w:rPr>
        <w:t> </w:t>
      </w:r>
      <w:r>
        <w:rPr>
          <w:color w:val="231F20"/>
        </w:rPr>
        <w:t>che</w:t>
      </w:r>
      <w:r>
        <w:rPr>
          <w:color w:val="231F20"/>
          <w:spacing w:val="-20"/>
        </w:rPr>
        <w:t> </w:t>
      </w:r>
      <w:r>
        <w:rPr>
          <w:color w:val="231F20"/>
        </w:rPr>
        <w:t>si</w:t>
      </w:r>
      <w:r>
        <w:rPr>
          <w:color w:val="231F20"/>
          <w:spacing w:val="-20"/>
        </w:rPr>
        <w:t> </w:t>
      </w:r>
      <w:r>
        <w:rPr>
          <w:color w:val="231F20"/>
        </w:rPr>
        <w:t>manifesta</w:t>
      </w:r>
      <w:r>
        <w:rPr>
          <w:color w:val="231F20"/>
          <w:spacing w:val="-20"/>
        </w:rPr>
        <w:t> </w:t>
      </w:r>
      <w:r>
        <w:rPr>
          <w:color w:val="231F20"/>
        </w:rPr>
        <w:t>grazie</w:t>
      </w:r>
      <w:r>
        <w:rPr>
          <w:color w:val="231F20"/>
          <w:spacing w:val="-20"/>
        </w:rPr>
        <w:t> </w:t>
      </w:r>
      <w:r>
        <w:rPr>
          <w:color w:val="231F20"/>
        </w:rPr>
        <w:t>e</w:t>
      </w:r>
      <w:r>
        <w:rPr>
          <w:color w:val="231F20"/>
          <w:spacing w:val="-20"/>
        </w:rPr>
        <w:t> </w:t>
      </w:r>
      <w:r>
        <w:rPr>
          <w:color w:val="231F20"/>
        </w:rPr>
        <w:t>all’interno</w:t>
      </w:r>
      <w:r>
        <w:rPr>
          <w:color w:val="231F20"/>
          <w:spacing w:val="-20"/>
        </w:rPr>
        <w:t> </w:t>
      </w:r>
      <w:r>
        <w:rPr>
          <w:color w:val="231F20"/>
        </w:rPr>
        <w:t>della</w:t>
      </w:r>
      <w:r>
        <w:rPr>
          <w:color w:val="231F20"/>
          <w:spacing w:val="-20"/>
        </w:rPr>
        <w:t> </w:t>
      </w:r>
      <w:r>
        <w:rPr>
          <w:color w:val="231F20"/>
        </w:rPr>
        <w:t>globalizzazione.</w:t>
      </w:r>
      <w:r>
        <w:rPr>
          <w:color w:val="231F20"/>
          <w:spacing w:val="-20"/>
        </w:rPr>
        <w:t> </w:t>
      </w:r>
      <w:r>
        <w:rPr>
          <w:color w:val="231F20"/>
        </w:rPr>
        <w:t>I</w:t>
      </w:r>
      <w:r>
        <w:rPr>
          <w:color w:val="231F20"/>
          <w:spacing w:val="-20"/>
        </w:rPr>
        <w:t> </w:t>
      </w:r>
      <w:r>
        <w:rPr>
          <w:color w:val="231F20"/>
        </w:rPr>
        <w:t>due</w:t>
      </w:r>
      <w:r>
        <w:rPr>
          <w:color w:val="231F20"/>
          <w:spacing w:val="-20"/>
        </w:rPr>
        <w:t> </w:t>
      </w:r>
      <w:r>
        <w:rPr>
          <w:color w:val="231F20"/>
        </w:rPr>
        <w:t>termini che compongono il sintagma “Stato globale” stabiliscono un campo di tensione all’interno del quale non si determina in alcun modo uno sviluppo certo</w:t>
      </w:r>
      <w:r>
        <w:rPr>
          <w:color w:val="231F20"/>
          <w:position w:val="7"/>
          <w:sz w:val="12"/>
        </w:rPr>
        <w:t>34</w:t>
      </w:r>
      <w:r>
        <w:rPr>
          <w:color w:val="231F20"/>
        </w:rPr>
        <w:t>.</w:t>
      </w:r>
      <w:r>
        <w:rPr>
          <w:color w:val="231F20"/>
          <w:spacing w:val="-15"/>
        </w:rPr>
        <w:t> </w:t>
      </w:r>
      <w:r>
        <w:rPr>
          <w:color w:val="231F20"/>
        </w:rPr>
        <w:t>Diversamente</w:t>
      </w:r>
      <w:r>
        <w:rPr>
          <w:color w:val="231F20"/>
          <w:spacing w:val="-15"/>
        </w:rPr>
        <w:t> </w:t>
      </w:r>
      <w:r>
        <w:rPr>
          <w:color w:val="231F20"/>
        </w:rPr>
        <w:t>da</w:t>
      </w:r>
      <w:r>
        <w:rPr>
          <w:color w:val="231F20"/>
          <w:spacing w:val="-15"/>
        </w:rPr>
        <w:t> </w:t>
      </w:r>
      <w:r>
        <w:rPr>
          <w:color w:val="231F20"/>
        </w:rPr>
        <w:t>quanto</w:t>
      </w:r>
      <w:r>
        <w:rPr>
          <w:color w:val="231F20"/>
          <w:spacing w:val="-15"/>
        </w:rPr>
        <w:t> </w:t>
      </w:r>
      <w:r>
        <w:rPr>
          <w:color w:val="231F20"/>
        </w:rPr>
        <w:t>sostenuto</w:t>
      </w:r>
      <w:r>
        <w:rPr>
          <w:color w:val="231F20"/>
          <w:spacing w:val="-15"/>
        </w:rPr>
        <w:t> </w:t>
      </w:r>
      <w:r>
        <w:rPr>
          <w:color w:val="231F20"/>
        </w:rPr>
        <w:t>da</w:t>
      </w:r>
      <w:r>
        <w:rPr>
          <w:color w:val="231F20"/>
          <w:spacing w:val="-15"/>
        </w:rPr>
        <w:t> </w:t>
      </w:r>
      <w:r>
        <w:rPr>
          <w:color w:val="231F20"/>
        </w:rPr>
        <w:t>Martin</w:t>
      </w:r>
      <w:r>
        <w:rPr>
          <w:color w:val="231F20"/>
          <w:spacing w:val="-15"/>
        </w:rPr>
        <w:t> </w:t>
      </w:r>
      <w:r>
        <w:rPr>
          <w:color w:val="231F20"/>
          <w:spacing w:val="-4"/>
        </w:rPr>
        <w:t>Shaw,</w:t>
      </w:r>
      <w:r>
        <w:rPr>
          <w:color w:val="231F20"/>
          <w:spacing w:val="-15"/>
        </w:rPr>
        <w:t> </w:t>
      </w:r>
      <w:r>
        <w:rPr>
          <w:color w:val="231F20"/>
        </w:rPr>
        <w:t>lo</w:t>
      </w:r>
      <w:r>
        <w:rPr>
          <w:color w:val="231F20"/>
          <w:spacing w:val="-15"/>
        </w:rPr>
        <w:t> </w:t>
      </w:r>
      <w:r>
        <w:rPr>
          <w:color w:val="231F20"/>
        </w:rPr>
        <w:t>Stato</w:t>
      </w:r>
      <w:r>
        <w:rPr>
          <w:color w:val="231F20"/>
          <w:spacing w:val="-15"/>
        </w:rPr>
        <w:t> </w:t>
      </w:r>
      <w:r>
        <w:rPr>
          <w:color w:val="231F20"/>
        </w:rPr>
        <w:t>globale non è semplicemente l’articolazione per quanto complessa “dello Stato occidentale globalizzato”</w:t>
      </w:r>
      <w:r>
        <w:rPr>
          <w:color w:val="231F20"/>
          <w:position w:val="7"/>
          <w:sz w:val="12"/>
        </w:rPr>
        <w:t>35</w:t>
      </w:r>
      <w:r>
        <w:rPr>
          <w:color w:val="231F20"/>
        </w:rPr>
        <w:t>. Esso non è incaricato di portare a compimento, cioè</w:t>
      </w:r>
      <w:r>
        <w:rPr>
          <w:color w:val="231F20"/>
          <w:spacing w:val="-17"/>
        </w:rPr>
        <w:t> </w:t>
      </w:r>
      <w:r>
        <w:rPr>
          <w:color w:val="231F20"/>
        </w:rPr>
        <w:t>di</w:t>
      </w:r>
      <w:r>
        <w:rPr>
          <w:color w:val="231F20"/>
          <w:spacing w:val="-17"/>
        </w:rPr>
        <w:t> </w:t>
      </w:r>
      <w:r>
        <w:rPr>
          <w:color w:val="231F20"/>
        </w:rPr>
        <w:t>globalizzare,</w:t>
      </w:r>
      <w:r>
        <w:rPr>
          <w:color w:val="231F20"/>
          <w:spacing w:val="-17"/>
        </w:rPr>
        <w:t> </w:t>
      </w:r>
      <w:r>
        <w:rPr>
          <w:color w:val="231F20"/>
        </w:rPr>
        <w:t>la</w:t>
      </w:r>
      <w:r>
        <w:rPr>
          <w:color w:val="231F20"/>
          <w:spacing w:val="-17"/>
        </w:rPr>
        <w:t> </w:t>
      </w:r>
      <w:r>
        <w:rPr>
          <w:color w:val="231F20"/>
        </w:rPr>
        <w:t>rivoluzione</w:t>
      </w:r>
      <w:r>
        <w:rPr>
          <w:color w:val="231F20"/>
          <w:spacing w:val="-17"/>
        </w:rPr>
        <w:t> </w:t>
      </w:r>
      <w:r>
        <w:rPr>
          <w:color w:val="231F20"/>
        </w:rPr>
        <w:t>democratica</w:t>
      </w:r>
      <w:r>
        <w:rPr>
          <w:color w:val="231F20"/>
          <w:spacing w:val="-17"/>
        </w:rPr>
        <w:t> </w:t>
      </w:r>
      <w:r>
        <w:rPr>
          <w:color w:val="231F20"/>
        </w:rPr>
        <w:t>che</w:t>
      </w:r>
      <w:r>
        <w:rPr>
          <w:color w:val="231F20"/>
          <w:spacing w:val="-17"/>
        </w:rPr>
        <w:t> </w:t>
      </w:r>
      <w:r>
        <w:rPr>
          <w:color w:val="231F20"/>
        </w:rPr>
        <w:t>avrebbe</w:t>
      </w:r>
      <w:r>
        <w:rPr>
          <w:color w:val="231F20"/>
          <w:spacing w:val="-17"/>
        </w:rPr>
        <w:t> </w:t>
      </w:r>
      <w:r>
        <w:rPr>
          <w:color w:val="231F20"/>
        </w:rPr>
        <w:t>caratterizzato</w:t>
      </w:r>
      <w:r>
        <w:rPr>
          <w:color w:val="231F20"/>
          <w:spacing w:val="-17"/>
        </w:rPr>
        <w:t> </w:t>
      </w:r>
      <w:r>
        <w:rPr>
          <w:color w:val="231F20"/>
        </w:rPr>
        <w:t>la modernità. Esso non rappresenta nemmeno l’evoluzione, allo stesso</w:t>
      </w:r>
      <w:r>
        <w:rPr>
          <w:color w:val="231F20"/>
          <w:spacing w:val="-22"/>
        </w:rPr>
        <w:t> </w:t>
      </w:r>
      <w:r>
        <w:rPr>
          <w:color w:val="231F20"/>
        </w:rPr>
        <w:t>tempo naturale e conflittuale, di quelli che sono considerati i contenuti universali </w:t>
      </w:r>
      <w:r>
        <w:rPr>
          <w:color w:val="231F20"/>
          <w:spacing w:val="2"/>
        </w:rPr>
        <w:t>della globalizzazione. </w:t>
      </w:r>
      <w:r>
        <w:rPr>
          <w:color w:val="231F20"/>
        </w:rPr>
        <w:t>In </w:t>
      </w:r>
      <w:r>
        <w:rPr>
          <w:color w:val="231F20"/>
          <w:spacing w:val="2"/>
        </w:rPr>
        <w:t>questo modo, infatti, </w:t>
      </w:r>
      <w:r>
        <w:rPr>
          <w:color w:val="231F20"/>
        </w:rPr>
        <w:t>il </w:t>
      </w:r>
      <w:r>
        <w:rPr>
          <w:color w:val="231F20"/>
          <w:spacing w:val="2"/>
        </w:rPr>
        <w:t>sostantivo Stato </w:t>
      </w:r>
      <w:r>
        <w:rPr>
          <w:color w:val="231F20"/>
          <w:spacing w:val="3"/>
        </w:rPr>
        <w:t>viene </w:t>
      </w:r>
      <w:r>
        <w:rPr>
          <w:color w:val="231F20"/>
        </w:rPr>
        <w:t>subordinato a un processo di globalizzazione immaginato in maniera non molto differente dalla più classica storia universale. Lo Stato globale non è lo</w:t>
      </w:r>
      <w:r>
        <w:rPr>
          <w:color w:val="231F20"/>
          <w:spacing w:val="-10"/>
        </w:rPr>
        <w:t> </w:t>
      </w:r>
      <w:r>
        <w:rPr>
          <w:color w:val="231F20"/>
        </w:rPr>
        <w:t>Stato</w:t>
      </w:r>
      <w:r>
        <w:rPr>
          <w:color w:val="231F20"/>
          <w:spacing w:val="-10"/>
        </w:rPr>
        <w:t> </w:t>
      </w:r>
      <w:r>
        <w:rPr>
          <w:color w:val="231F20"/>
        </w:rPr>
        <w:t>globalizzato,</w:t>
      </w:r>
      <w:r>
        <w:rPr>
          <w:color w:val="231F20"/>
          <w:spacing w:val="-10"/>
        </w:rPr>
        <w:t> </w:t>
      </w:r>
      <w:r>
        <w:rPr>
          <w:color w:val="231F20"/>
        </w:rPr>
        <w:t>ma</w:t>
      </w:r>
      <w:r>
        <w:rPr>
          <w:color w:val="231F20"/>
          <w:spacing w:val="-10"/>
        </w:rPr>
        <w:t> </w:t>
      </w:r>
      <w:r>
        <w:rPr>
          <w:color w:val="231F20"/>
        </w:rPr>
        <w:t>segnala</w:t>
      </w:r>
      <w:r>
        <w:rPr>
          <w:color w:val="231F20"/>
          <w:spacing w:val="-10"/>
        </w:rPr>
        <w:t> </w:t>
      </w:r>
      <w:r>
        <w:rPr>
          <w:color w:val="231F20"/>
        </w:rPr>
        <w:t>una</w:t>
      </w:r>
      <w:r>
        <w:rPr>
          <w:color w:val="231F20"/>
          <w:spacing w:val="-10"/>
        </w:rPr>
        <w:t> </w:t>
      </w:r>
      <w:r>
        <w:rPr>
          <w:color w:val="231F20"/>
        </w:rPr>
        <w:t>persistenza</w:t>
      </w:r>
      <w:r>
        <w:rPr>
          <w:color w:val="231F20"/>
          <w:spacing w:val="-10"/>
        </w:rPr>
        <w:t> </w:t>
      </w:r>
      <w:r>
        <w:rPr>
          <w:color w:val="231F20"/>
        </w:rPr>
        <w:t>dello</w:t>
      </w:r>
      <w:r>
        <w:rPr>
          <w:color w:val="231F20"/>
          <w:spacing w:val="-10"/>
        </w:rPr>
        <w:t> </w:t>
      </w:r>
      <w:r>
        <w:rPr>
          <w:color w:val="231F20"/>
        </w:rPr>
        <w:t>Stato</w:t>
      </w:r>
      <w:r>
        <w:rPr>
          <w:color w:val="231F20"/>
          <w:spacing w:val="-10"/>
        </w:rPr>
        <w:t> </w:t>
      </w:r>
      <w:r>
        <w:rPr>
          <w:color w:val="231F20"/>
        </w:rPr>
        <w:t>che</w:t>
      </w:r>
      <w:r>
        <w:rPr>
          <w:color w:val="231F20"/>
          <w:spacing w:val="-10"/>
        </w:rPr>
        <w:t> </w:t>
      </w:r>
      <w:r>
        <w:rPr>
          <w:color w:val="231F20"/>
        </w:rPr>
        <w:t>sconta</w:t>
      </w:r>
      <w:r>
        <w:rPr>
          <w:color w:val="231F20"/>
          <w:spacing w:val="-10"/>
        </w:rPr>
        <w:t> </w:t>
      </w:r>
      <w:r>
        <w:rPr>
          <w:color w:val="231F20"/>
        </w:rPr>
        <w:t>nel suo concetto contraddizioni che rilevano alcune trasformazioni irreversibili e di conseguenza una nuova e diversa posizione dello Stato all’interno del sistema sociale.</w:t>
      </w:r>
    </w:p>
    <w:p>
      <w:pPr>
        <w:pStyle w:val="BodyText"/>
        <w:spacing w:before="5"/>
        <w:rPr>
          <w:sz w:val="24"/>
        </w:rPr>
      </w:pPr>
    </w:p>
    <w:p>
      <w:pPr>
        <w:spacing w:before="1"/>
        <w:ind w:left="117" w:right="0" w:firstLine="0"/>
        <w:jc w:val="both"/>
        <w:rPr>
          <w:rFonts w:ascii="Arial"/>
          <w:i/>
          <w:sz w:val="21"/>
        </w:rPr>
      </w:pPr>
      <w:r>
        <w:rPr>
          <w:rFonts w:ascii="Arial"/>
          <w:i/>
          <w:color w:val="231F20"/>
          <w:w w:val="105"/>
          <w:sz w:val="21"/>
        </w:rPr>
        <w:t>Un cambiamento di Stato</w:t>
      </w:r>
    </w:p>
    <w:p>
      <w:pPr>
        <w:pStyle w:val="BodyText"/>
        <w:rPr>
          <w:rFonts w:ascii="Arial"/>
          <w:i/>
          <w:sz w:val="20"/>
        </w:rPr>
      </w:pPr>
    </w:p>
    <w:p>
      <w:pPr>
        <w:pStyle w:val="BodyText"/>
        <w:spacing w:line="247" w:lineRule="auto" w:before="172"/>
        <w:ind w:left="117" w:right="120"/>
        <w:jc w:val="both"/>
      </w:pPr>
      <w:r>
        <w:rPr>
          <w:color w:val="231F20"/>
          <w:spacing w:val="-6"/>
          <w:w w:val="105"/>
        </w:rPr>
        <w:t>L’errore</w:t>
      </w:r>
      <w:r>
        <w:rPr>
          <w:color w:val="231F20"/>
          <w:spacing w:val="-44"/>
          <w:w w:val="105"/>
        </w:rPr>
        <w:t> </w:t>
      </w:r>
      <w:r>
        <w:rPr>
          <w:color w:val="231F20"/>
          <w:w w:val="105"/>
        </w:rPr>
        <w:t>è</w:t>
      </w:r>
      <w:r>
        <w:rPr>
          <w:color w:val="231F20"/>
          <w:spacing w:val="-44"/>
          <w:w w:val="105"/>
        </w:rPr>
        <w:t> </w:t>
      </w:r>
      <w:r>
        <w:rPr>
          <w:color w:val="231F20"/>
          <w:spacing w:val="-3"/>
          <w:w w:val="105"/>
        </w:rPr>
        <w:t>assumere</w:t>
      </w:r>
      <w:r>
        <w:rPr>
          <w:color w:val="231F20"/>
          <w:spacing w:val="-44"/>
          <w:w w:val="105"/>
        </w:rPr>
        <w:t> </w:t>
      </w:r>
      <w:r>
        <w:rPr>
          <w:color w:val="231F20"/>
          <w:w w:val="105"/>
        </w:rPr>
        <w:t>lo</w:t>
      </w:r>
      <w:r>
        <w:rPr>
          <w:color w:val="231F20"/>
          <w:spacing w:val="-44"/>
          <w:w w:val="105"/>
        </w:rPr>
        <w:t> </w:t>
      </w:r>
      <w:r>
        <w:rPr>
          <w:color w:val="231F20"/>
          <w:w w:val="105"/>
        </w:rPr>
        <w:t>Stato</w:t>
      </w:r>
      <w:r>
        <w:rPr>
          <w:color w:val="231F20"/>
          <w:spacing w:val="-44"/>
          <w:w w:val="105"/>
        </w:rPr>
        <w:t> </w:t>
      </w:r>
      <w:r>
        <w:rPr>
          <w:color w:val="231F20"/>
          <w:w w:val="105"/>
        </w:rPr>
        <w:t>come</w:t>
      </w:r>
      <w:r>
        <w:rPr>
          <w:color w:val="231F20"/>
          <w:spacing w:val="-44"/>
          <w:w w:val="105"/>
        </w:rPr>
        <w:t> </w:t>
      </w:r>
      <w:r>
        <w:rPr>
          <w:color w:val="231F20"/>
          <w:w w:val="105"/>
        </w:rPr>
        <w:t>solo</w:t>
      </w:r>
      <w:r>
        <w:rPr>
          <w:color w:val="231F20"/>
          <w:spacing w:val="-44"/>
          <w:w w:val="105"/>
        </w:rPr>
        <w:t> </w:t>
      </w:r>
      <w:r>
        <w:rPr>
          <w:color w:val="231F20"/>
          <w:w w:val="105"/>
        </w:rPr>
        <w:t>e</w:t>
      </w:r>
      <w:r>
        <w:rPr>
          <w:color w:val="231F20"/>
          <w:spacing w:val="-44"/>
          <w:w w:val="105"/>
        </w:rPr>
        <w:t> </w:t>
      </w:r>
      <w:r>
        <w:rPr>
          <w:color w:val="231F20"/>
          <w:w w:val="105"/>
        </w:rPr>
        <w:t>talvolta</w:t>
      </w:r>
      <w:r>
        <w:rPr>
          <w:color w:val="231F20"/>
          <w:spacing w:val="-44"/>
          <w:w w:val="105"/>
        </w:rPr>
        <w:t> </w:t>
      </w:r>
      <w:r>
        <w:rPr>
          <w:color w:val="231F20"/>
          <w:w w:val="105"/>
        </w:rPr>
        <w:t>unico</w:t>
      </w:r>
      <w:r>
        <w:rPr>
          <w:color w:val="231F20"/>
          <w:spacing w:val="-44"/>
          <w:w w:val="105"/>
        </w:rPr>
        <w:t> </w:t>
      </w:r>
      <w:r>
        <w:rPr>
          <w:color w:val="231F20"/>
          <w:w w:val="105"/>
        </w:rPr>
        <w:t>indicatore</w:t>
      </w:r>
      <w:r>
        <w:rPr>
          <w:color w:val="231F20"/>
          <w:spacing w:val="-44"/>
          <w:w w:val="105"/>
        </w:rPr>
        <w:t> </w:t>
      </w:r>
      <w:r>
        <w:rPr>
          <w:color w:val="231F20"/>
          <w:w w:val="105"/>
        </w:rPr>
        <w:t>dell’ordine della</w:t>
      </w:r>
      <w:r>
        <w:rPr>
          <w:color w:val="231F20"/>
          <w:spacing w:val="-13"/>
          <w:w w:val="105"/>
        </w:rPr>
        <w:t> </w:t>
      </w:r>
      <w:r>
        <w:rPr>
          <w:color w:val="231F20"/>
          <w:w w:val="105"/>
        </w:rPr>
        <w:t>società</w:t>
      </w:r>
      <w:r>
        <w:rPr>
          <w:color w:val="231F20"/>
          <w:spacing w:val="-13"/>
          <w:w w:val="105"/>
        </w:rPr>
        <w:t> </w:t>
      </w:r>
      <w:r>
        <w:rPr>
          <w:color w:val="231F20"/>
          <w:w w:val="105"/>
        </w:rPr>
        <w:t>moderna.</w:t>
      </w:r>
      <w:r>
        <w:rPr>
          <w:color w:val="231F20"/>
          <w:spacing w:val="-13"/>
          <w:w w:val="105"/>
        </w:rPr>
        <w:t> </w:t>
      </w:r>
      <w:r>
        <w:rPr>
          <w:color w:val="231F20"/>
          <w:w w:val="105"/>
        </w:rPr>
        <w:t>Si</w:t>
      </w:r>
      <w:r>
        <w:rPr>
          <w:color w:val="231F20"/>
          <w:spacing w:val="-13"/>
          <w:w w:val="105"/>
        </w:rPr>
        <w:t> </w:t>
      </w:r>
      <w:r>
        <w:rPr>
          <w:color w:val="231F20"/>
          <w:w w:val="105"/>
        </w:rPr>
        <w:t>deve</w:t>
      </w:r>
      <w:r>
        <w:rPr>
          <w:color w:val="231F20"/>
          <w:spacing w:val="-13"/>
          <w:w w:val="105"/>
        </w:rPr>
        <w:t> </w:t>
      </w:r>
      <w:r>
        <w:rPr>
          <w:color w:val="231F20"/>
          <w:w w:val="105"/>
        </w:rPr>
        <w:t>invece</w:t>
      </w:r>
      <w:r>
        <w:rPr>
          <w:color w:val="231F20"/>
          <w:spacing w:val="-13"/>
          <w:w w:val="105"/>
        </w:rPr>
        <w:t> </w:t>
      </w:r>
      <w:r>
        <w:rPr>
          <w:color w:val="231F20"/>
          <w:w w:val="105"/>
        </w:rPr>
        <w:t>considerare</w:t>
      </w:r>
      <w:r>
        <w:rPr>
          <w:color w:val="231F20"/>
          <w:spacing w:val="-13"/>
          <w:w w:val="105"/>
        </w:rPr>
        <w:t> </w:t>
      </w:r>
      <w:r>
        <w:rPr>
          <w:color w:val="231F20"/>
          <w:w w:val="105"/>
        </w:rPr>
        <w:t>che</w:t>
      </w:r>
      <w:r>
        <w:rPr>
          <w:color w:val="231F20"/>
          <w:spacing w:val="-13"/>
          <w:w w:val="105"/>
        </w:rPr>
        <w:t> </w:t>
      </w:r>
      <w:r>
        <w:rPr>
          <w:color w:val="231F20"/>
          <w:w w:val="105"/>
        </w:rPr>
        <w:t>la</w:t>
      </w:r>
      <w:r>
        <w:rPr>
          <w:color w:val="231F20"/>
          <w:spacing w:val="-13"/>
          <w:w w:val="105"/>
        </w:rPr>
        <w:t> </w:t>
      </w:r>
      <w:r>
        <w:rPr>
          <w:color w:val="231F20"/>
          <w:w w:val="105"/>
        </w:rPr>
        <w:t>continuità</w:t>
      </w:r>
      <w:r>
        <w:rPr>
          <w:color w:val="231F20"/>
          <w:spacing w:val="-13"/>
          <w:w w:val="105"/>
        </w:rPr>
        <w:t> </w:t>
      </w:r>
      <w:r>
        <w:rPr>
          <w:color w:val="231F20"/>
          <w:w w:val="105"/>
        </w:rPr>
        <w:t>della sua</w:t>
      </w:r>
      <w:r>
        <w:rPr>
          <w:color w:val="231F20"/>
          <w:spacing w:val="-44"/>
          <w:w w:val="105"/>
        </w:rPr>
        <w:t> </w:t>
      </w:r>
      <w:r>
        <w:rPr>
          <w:color w:val="231F20"/>
          <w:w w:val="105"/>
        </w:rPr>
        <w:t>forma</w:t>
      </w:r>
      <w:r>
        <w:rPr>
          <w:color w:val="231F20"/>
          <w:spacing w:val="-44"/>
          <w:w w:val="105"/>
        </w:rPr>
        <w:t> </w:t>
      </w:r>
      <w:r>
        <w:rPr>
          <w:color w:val="231F20"/>
          <w:w w:val="105"/>
        </w:rPr>
        <w:t>organizzativa</w:t>
      </w:r>
      <w:r>
        <w:rPr>
          <w:color w:val="231F20"/>
          <w:spacing w:val="-44"/>
          <w:w w:val="105"/>
        </w:rPr>
        <w:t> </w:t>
      </w:r>
      <w:r>
        <w:rPr>
          <w:color w:val="231F20"/>
          <w:w w:val="105"/>
        </w:rPr>
        <w:t>capitalistica</w:t>
      </w:r>
      <w:r>
        <w:rPr>
          <w:color w:val="231F20"/>
          <w:spacing w:val="-44"/>
          <w:w w:val="105"/>
        </w:rPr>
        <w:t> </w:t>
      </w:r>
      <w:r>
        <w:rPr>
          <w:color w:val="231F20"/>
          <w:w w:val="105"/>
        </w:rPr>
        <w:t>poggia</w:t>
      </w:r>
      <w:r>
        <w:rPr>
          <w:color w:val="231F20"/>
          <w:spacing w:val="-44"/>
          <w:w w:val="105"/>
        </w:rPr>
        <w:t> </w:t>
      </w:r>
      <w:r>
        <w:rPr>
          <w:color w:val="231F20"/>
          <w:w w:val="105"/>
        </w:rPr>
        <w:t>su</w:t>
      </w:r>
      <w:r>
        <w:rPr>
          <w:color w:val="231F20"/>
          <w:spacing w:val="-44"/>
          <w:w w:val="105"/>
        </w:rPr>
        <w:t> </w:t>
      </w:r>
      <w:r>
        <w:rPr>
          <w:color w:val="231F20"/>
          <w:w w:val="105"/>
        </w:rPr>
        <w:t>un</w:t>
      </w:r>
      <w:r>
        <w:rPr>
          <w:color w:val="231F20"/>
          <w:spacing w:val="-44"/>
          <w:w w:val="105"/>
        </w:rPr>
        <w:t> </w:t>
      </w:r>
      <w:r>
        <w:rPr>
          <w:color w:val="231F20"/>
          <w:w w:val="105"/>
        </w:rPr>
        <w:t>ordine</w:t>
      </w:r>
      <w:r>
        <w:rPr>
          <w:color w:val="231F20"/>
          <w:spacing w:val="-44"/>
          <w:w w:val="105"/>
        </w:rPr>
        <w:t> </w:t>
      </w:r>
      <w:r>
        <w:rPr>
          <w:color w:val="231F20"/>
          <w:w w:val="105"/>
        </w:rPr>
        <w:t>normativo</w:t>
      </w:r>
      <w:r>
        <w:rPr>
          <w:color w:val="231F20"/>
          <w:spacing w:val="-44"/>
          <w:w w:val="105"/>
        </w:rPr>
        <w:t> </w:t>
      </w:r>
      <w:r>
        <w:rPr>
          <w:color w:val="231F20"/>
          <w:w w:val="105"/>
        </w:rPr>
        <w:t>ben</w:t>
      </w:r>
      <w:r>
        <w:rPr>
          <w:color w:val="231F20"/>
          <w:spacing w:val="-44"/>
          <w:w w:val="105"/>
        </w:rPr>
        <w:t> </w:t>
      </w:r>
      <w:r>
        <w:rPr>
          <w:color w:val="231F20"/>
          <w:w w:val="105"/>
        </w:rPr>
        <w:t>più </w:t>
      </w:r>
      <w:r>
        <w:rPr>
          <w:color w:val="231F20"/>
          <w:spacing w:val="-3"/>
          <w:w w:val="105"/>
        </w:rPr>
        <w:t>vasto</w:t>
      </w:r>
      <w:r>
        <w:rPr>
          <w:color w:val="231F20"/>
          <w:spacing w:val="-37"/>
          <w:w w:val="105"/>
        </w:rPr>
        <w:t> </w:t>
      </w:r>
      <w:r>
        <w:rPr>
          <w:color w:val="231F20"/>
          <w:w w:val="105"/>
        </w:rPr>
        <w:t>e</w:t>
      </w:r>
      <w:r>
        <w:rPr>
          <w:color w:val="231F20"/>
          <w:spacing w:val="-37"/>
          <w:w w:val="105"/>
        </w:rPr>
        <w:t> </w:t>
      </w:r>
      <w:r>
        <w:rPr>
          <w:color w:val="231F20"/>
          <w:spacing w:val="-3"/>
          <w:w w:val="105"/>
        </w:rPr>
        <w:t>complesso</w:t>
      </w:r>
      <w:r>
        <w:rPr>
          <w:color w:val="231F20"/>
          <w:spacing w:val="-37"/>
          <w:w w:val="105"/>
        </w:rPr>
        <w:t> </w:t>
      </w:r>
      <w:r>
        <w:rPr>
          <w:color w:val="231F20"/>
          <w:spacing w:val="-4"/>
          <w:w w:val="105"/>
        </w:rPr>
        <w:t>dell’ordine</w:t>
      </w:r>
      <w:r>
        <w:rPr>
          <w:color w:val="231F20"/>
          <w:spacing w:val="-37"/>
          <w:w w:val="105"/>
        </w:rPr>
        <w:t> </w:t>
      </w:r>
      <w:r>
        <w:rPr>
          <w:color w:val="231F20"/>
          <w:spacing w:val="-3"/>
          <w:w w:val="105"/>
        </w:rPr>
        <w:t>fattuale</w:t>
      </w:r>
      <w:r>
        <w:rPr>
          <w:color w:val="231F20"/>
          <w:spacing w:val="-37"/>
          <w:w w:val="105"/>
        </w:rPr>
        <w:t> </w:t>
      </w:r>
      <w:r>
        <w:rPr>
          <w:color w:val="231F20"/>
          <w:spacing w:val="-3"/>
          <w:w w:val="105"/>
        </w:rPr>
        <w:t>imposto</w:t>
      </w:r>
      <w:r>
        <w:rPr>
          <w:color w:val="231F20"/>
          <w:spacing w:val="-37"/>
          <w:w w:val="105"/>
        </w:rPr>
        <w:t> </w:t>
      </w:r>
      <w:r>
        <w:rPr>
          <w:color w:val="231F20"/>
          <w:w w:val="105"/>
        </w:rPr>
        <w:t>e</w:t>
      </w:r>
      <w:r>
        <w:rPr>
          <w:color w:val="231F20"/>
          <w:spacing w:val="-37"/>
          <w:w w:val="105"/>
        </w:rPr>
        <w:t> </w:t>
      </w:r>
      <w:r>
        <w:rPr>
          <w:color w:val="231F20"/>
          <w:spacing w:val="-3"/>
          <w:w w:val="105"/>
        </w:rPr>
        <w:t>garantito</w:t>
      </w:r>
      <w:r>
        <w:rPr>
          <w:color w:val="231F20"/>
          <w:spacing w:val="-37"/>
          <w:w w:val="105"/>
        </w:rPr>
        <w:t> </w:t>
      </w:r>
      <w:r>
        <w:rPr>
          <w:color w:val="231F20"/>
          <w:spacing w:val="-3"/>
          <w:w w:val="105"/>
        </w:rPr>
        <w:t>dallo</w:t>
      </w:r>
      <w:r>
        <w:rPr>
          <w:color w:val="231F20"/>
          <w:spacing w:val="-37"/>
          <w:w w:val="105"/>
        </w:rPr>
        <w:t> </w:t>
      </w:r>
      <w:r>
        <w:rPr>
          <w:color w:val="231F20"/>
          <w:spacing w:val="-3"/>
          <w:w w:val="105"/>
        </w:rPr>
        <w:t>Stato.</w:t>
      </w:r>
      <w:r>
        <w:rPr>
          <w:color w:val="231F20"/>
          <w:spacing w:val="-37"/>
          <w:w w:val="105"/>
        </w:rPr>
        <w:t> </w:t>
      </w:r>
      <w:r>
        <w:rPr>
          <w:color w:val="231F20"/>
          <w:spacing w:val="-3"/>
          <w:w w:val="105"/>
        </w:rPr>
        <w:t>Anche </w:t>
      </w:r>
      <w:r>
        <w:rPr>
          <w:color w:val="231F20"/>
          <w:w w:val="105"/>
        </w:rPr>
        <w:t>la</w:t>
      </w:r>
      <w:r>
        <w:rPr>
          <w:color w:val="231F20"/>
          <w:spacing w:val="-12"/>
          <w:w w:val="105"/>
        </w:rPr>
        <w:t> </w:t>
      </w:r>
      <w:r>
        <w:rPr>
          <w:color w:val="231F20"/>
          <w:w w:val="105"/>
        </w:rPr>
        <w:t>tendenziale</w:t>
      </w:r>
      <w:r>
        <w:rPr>
          <w:color w:val="231F20"/>
          <w:spacing w:val="-12"/>
          <w:w w:val="105"/>
        </w:rPr>
        <w:t> </w:t>
      </w:r>
      <w:r>
        <w:rPr>
          <w:color w:val="231F20"/>
          <w:w w:val="105"/>
        </w:rPr>
        <w:t>obsolescenza</w:t>
      </w:r>
      <w:r>
        <w:rPr>
          <w:color w:val="231F20"/>
          <w:spacing w:val="-12"/>
          <w:w w:val="105"/>
        </w:rPr>
        <w:t> </w:t>
      </w:r>
      <w:r>
        <w:rPr>
          <w:color w:val="231F20"/>
          <w:w w:val="105"/>
        </w:rPr>
        <w:t>dello</w:t>
      </w:r>
      <w:r>
        <w:rPr>
          <w:color w:val="231F20"/>
          <w:spacing w:val="-12"/>
          <w:w w:val="105"/>
        </w:rPr>
        <w:t> </w:t>
      </w:r>
      <w:r>
        <w:rPr>
          <w:color w:val="231F20"/>
          <w:w w:val="105"/>
        </w:rPr>
        <w:t>Stato</w:t>
      </w:r>
      <w:r>
        <w:rPr>
          <w:color w:val="231F20"/>
          <w:spacing w:val="-12"/>
          <w:w w:val="105"/>
        </w:rPr>
        <w:t> </w:t>
      </w:r>
      <w:r>
        <w:rPr>
          <w:color w:val="231F20"/>
          <w:w w:val="105"/>
        </w:rPr>
        <w:t>nazione</w:t>
      </w:r>
      <w:r>
        <w:rPr>
          <w:color w:val="231F20"/>
          <w:spacing w:val="-12"/>
          <w:w w:val="105"/>
        </w:rPr>
        <w:t> </w:t>
      </w:r>
      <w:r>
        <w:rPr>
          <w:color w:val="231F20"/>
          <w:w w:val="105"/>
        </w:rPr>
        <w:t>deve</w:t>
      </w:r>
      <w:r>
        <w:rPr>
          <w:color w:val="231F20"/>
          <w:spacing w:val="-12"/>
          <w:w w:val="105"/>
        </w:rPr>
        <w:t> </w:t>
      </w:r>
      <w:r>
        <w:rPr>
          <w:color w:val="231F20"/>
          <w:w w:val="105"/>
        </w:rPr>
        <w:t>essere</w:t>
      </w:r>
      <w:r>
        <w:rPr>
          <w:color w:val="231F20"/>
          <w:spacing w:val="-12"/>
          <w:w w:val="105"/>
        </w:rPr>
        <w:t> </w:t>
      </w:r>
      <w:r>
        <w:rPr>
          <w:color w:val="231F20"/>
          <w:w w:val="105"/>
        </w:rPr>
        <w:t>compresa</w:t>
      </w:r>
      <w:r>
        <w:rPr>
          <w:color w:val="231F20"/>
          <w:spacing w:val="-12"/>
          <w:w w:val="105"/>
        </w:rPr>
        <w:t> </w:t>
      </w:r>
      <w:r>
        <w:rPr>
          <w:color w:val="231F20"/>
          <w:w w:val="105"/>
        </w:rPr>
        <w:t>e spiegata</w:t>
      </w:r>
      <w:r>
        <w:rPr>
          <w:color w:val="231F20"/>
          <w:spacing w:val="-49"/>
          <w:w w:val="105"/>
        </w:rPr>
        <w:t> </w:t>
      </w:r>
      <w:r>
        <w:rPr>
          <w:color w:val="231F20"/>
          <w:w w:val="105"/>
        </w:rPr>
        <w:t>nel</w:t>
      </w:r>
      <w:r>
        <w:rPr>
          <w:color w:val="231F20"/>
          <w:spacing w:val="-49"/>
          <w:w w:val="105"/>
        </w:rPr>
        <w:t> </w:t>
      </w:r>
      <w:r>
        <w:rPr>
          <w:color w:val="231F20"/>
          <w:spacing w:val="-3"/>
          <w:w w:val="105"/>
        </w:rPr>
        <w:t>quadro</w:t>
      </w:r>
      <w:r>
        <w:rPr>
          <w:color w:val="231F20"/>
          <w:spacing w:val="-49"/>
          <w:w w:val="105"/>
        </w:rPr>
        <w:t> </w:t>
      </w:r>
      <w:r>
        <w:rPr>
          <w:color w:val="231F20"/>
          <w:w w:val="105"/>
        </w:rPr>
        <w:t>della</w:t>
      </w:r>
      <w:r>
        <w:rPr>
          <w:color w:val="231F20"/>
          <w:spacing w:val="-49"/>
          <w:w w:val="105"/>
        </w:rPr>
        <w:t> </w:t>
      </w:r>
      <w:r>
        <w:rPr>
          <w:color w:val="231F20"/>
          <w:w w:val="105"/>
        </w:rPr>
        <w:t>società</w:t>
      </w:r>
      <w:r>
        <w:rPr>
          <w:color w:val="231F20"/>
          <w:spacing w:val="-49"/>
          <w:w w:val="105"/>
        </w:rPr>
        <w:t> </w:t>
      </w:r>
      <w:r>
        <w:rPr>
          <w:color w:val="231F20"/>
          <w:w w:val="105"/>
        </w:rPr>
        <w:t>globale</w:t>
      </w:r>
      <w:r>
        <w:rPr>
          <w:color w:val="231F20"/>
          <w:spacing w:val="-49"/>
          <w:w w:val="105"/>
        </w:rPr>
        <w:t> </w:t>
      </w:r>
      <w:r>
        <w:rPr>
          <w:color w:val="231F20"/>
          <w:w w:val="105"/>
        </w:rPr>
        <w:t>come</w:t>
      </w:r>
      <w:r>
        <w:rPr>
          <w:color w:val="231F20"/>
          <w:spacing w:val="-49"/>
          <w:w w:val="105"/>
        </w:rPr>
        <w:t> </w:t>
      </w:r>
      <w:r>
        <w:rPr>
          <w:color w:val="231F20"/>
          <w:spacing w:val="-3"/>
          <w:w w:val="105"/>
        </w:rPr>
        <w:t>ordine</w:t>
      </w:r>
      <w:r>
        <w:rPr>
          <w:color w:val="231F20"/>
          <w:spacing w:val="-3"/>
          <w:w w:val="105"/>
          <w:position w:val="7"/>
          <w:sz w:val="12"/>
        </w:rPr>
        <w:t>36</w:t>
      </w:r>
      <w:r>
        <w:rPr>
          <w:color w:val="231F20"/>
          <w:spacing w:val="-3"/>
          <w:w w:val="105"/>
        </w:rPr>
        <w:t>.</w:t>
      </w:r>
      <w:r>
        <w:rPr>
          <w:color w:val="231F20"/>
          <w:spacing w:val="-49"/>
          <w:w w:val="105"/>
        </w:rPr>
        <w:t> </w:t>
      </w:r>
      <w:r>
        <w:rPr>
          <w:color w:val="231F20"/>
          <w:w w:val="105"/>
        </w:rPr>
        <w:t>Esso,</w:t>
      </w:r>
      <w:r>
        <w:rPr>
          <w:color w:val="231F20"/>
          <w:spacing w:val="-49"/>
          <w:w w:val="105"/>
        </w:rPr>
        <w:t> </w:t>
      </w:r>
      <w:r>
        <w:rPr>
          <w:color w:val="231F20"/>
          <w:w w:val="105"/>
        </w:rPr>
        <w:t>infatti,</w:t>
      </w:r>
      <w:r>
        <w:rPr>
          <w:color w:val="231F20"/>
          <w:spacing w:val="-49"/>
          <w:w w:val="105"/>
        </w:rPr>
        <w:t> </w:t>
      </w:r>
      <w:r>
        <w:rPr>
          <w:color w:val="231F20"/>
          <w:spacing w:val="-3"/>
          <w:w w:val="105"/>
        </w:rPr>
        <w:t>appare</w:t>
      </w:r>
    </w:p>
    <w:p>
      <w:pPr>
        <w:pStyle w:val="BodyText"/>
        <w:spacing w:before="1"/>
        <w:rPr>
          <w:sz w:val="17"/>
        </w:rPr>
      </w:pPr>
      <w:r>
        <w:rPr/>
        <w:pict>
          <v:line style="position:absolute;mso-position-horizontal-relative:page;mso-position-vertical-relative:paragraph;z-index:10312;mso-wrap-distance-left:0;mso-wrap-distance-right:0" from="70.866203pt,12.442377pt" to="184.252203pt,12.442377pt" stroked="true" strokeweight=".3pt" strokecolor="#231f20">
            <w10:wrap type="topAndBottom"/>
          </v:line>
        </w:pict>
      </w:r>
    </w:p>
    <w:p>
      <w:pPr>
        <w:spacing w:line="204" w:lineRule="exact" w:before="9"/>
        <w:ind w:left="117" w:right="121" w:firstLine="0"/>
        <w:jc w:val="both"/>
        <w:rPr>
          <w:rFonts w:ascii="Calibri" w:hAnsi="Calibri"/>
          <w:sz w:val="17"/>
        </w:rPr>
      </w:pPr>
      <w:r>
        <w:rPr>
          <w:rFonts w:ascii="Calibri" w:hAnsi="Calibri"/>
          <w:color w:val="231F20"/>
          <w:w w:val="105"/>
          <w:position w:val="6"/>
          <w:sz w:val="10"/>
        </w:rPr>
        <w:t>33 </w:t>
      </w:r>
      <w:r>
        <w:rPr>
          <w:rFonts w:ascii="Calibri" w:hAnsi="Calibri"/>
          <w:color w:val="231F20"/>
          <w:spacing w:val="-3"/>
          <w:w w:val="105"/>
          <w:sz w:val="17"/>
        </w:rPr>
        <w:t>“L’attivismo</w:t>
      </w:r>
      <w:r>
        <w:rPr>
          <w:rFonts w:ascii="Calibri" w:hAnsi="Calibri"/>
          <w:color w:val="231F20"/>
          <w:spacing w:val="-17"/>
          <w:w w:val="105"/>
          <w:sz w:val="17"/>
        </w:rPr>
        <w:t> </w:t>
      </w:r>
      <w:r>
        <w:rPr>
          <w:rFonts w:ascii="Calibri" w:hAnsi="Calibri"/>
          <w:color w:val="231F20"/>
          <w:w w:val="105"/>
          <w:sz w:val="17"/>
        </w:rPr>
        <w:t>e</w:t>
      </w:r>
      <w:r>
        <w:rPr>
          <w:rFonts w:ascii="Calibri" w:hAnsi="Calibri"/>
          <w:color w:val="231F20"/>
          <w:spacing w:val="-17"/>
          <w:w w:val="105"/>
          <w:sz w:val="17"/>
        </w:rPr>
        <w:t> </w:t>
      </w:r>
      <w:r>
        <w:rPr>
          <w:rFonts w:ascii="Calibri" w:hAnsi="Calibri"/>
          <w:color w:val="231F20"/>
          <w:w w:val="105"/>
          <w:sz w:val="17"/>
        </w:rPr>
        <w:t>le</w:t>
      </w:r>
      <w:r>
        <w:rPr>
          <w:rFonts w:ascii="Calibri" w:hAnsi="Calibri"/>
          <w:color w:val="231F20"/>
          <w:spacing w:val="-17"/>
          <w:w w:val="105"/>
          <w:sz w:val="17"/>
        </w:rPr>
        <w:t> </w:t>
      </w:r>
      <w:r>
        <w:rPr>
          <w:rFonts w:ascii="Calibri" w:hAnsi="Calibri"/>
          <w:color w:val="231F20"/>
          <w:w w:val="105"/>
          <w:sz w:val="17"/>
        </w:rPr>
        <w:t>manifestazioni</w:t>
      </w:r>
      <w:r>
        <w:rPr>
          <w:rFonts w:ascii="Calibri" w:hAnsi="Calibri"/>
          <w:color w:val="231F20"/>
          <w:spacing w:val="-17"/>
          <w:w w:val="105"/>
          <w:sz w:val="17"/>
        </w:rPr>
        <w:t> </w:t>
      </w:r>
      <w:r>
        <w:rPr>
          <w:rFonts w:ascii="Calibri" w:hAnsi="Calibri"/>
          <w:color w:val="231F20"/>
          <w:w w:val="105"/>
          <w:sz w:val="17"/>
        </w:rPr>
        <w:t>pubbliche,</w:t>
      </w:r>
      <w:r>
        <w:rPr>
          <w:rFonts w:ascii="Calibri" w:hAnsi="Calibri"/>
          <w:color w:val="231F20"/>
          <w:spacing w:val="-17"/>
          <w:w w:val="105"/>
          <w:sz w:val="17"/>
        </w:rPr>
        <w:t> </w:t>
      </w:r>
      <w:r>
        <w:rPr>
          <w:rFonts w:ascii="Calibri" w:hAnsi="Calibri"/>
          <w:color w:val="231F20"/>
          <w:w w:val="105"/>
          <w:sz w:val="17"/>
        </w:rPr>
        <w:t>il</w:t>
      </w:r>
      <w:r>
        <w:rPr>
          <w:rFonts w:ascii="Calibri" w:hAnsi="Calibri"/>
          <w:color w:val="231F20"/>
          <w:spacing w:val="-17"/>
          <w:w w:val="105"/>
          <w:sz w:val="17"/>
        </w:rPr>
        <w:t> </w:t>
      </w:r>
      <w:r>
        <w:rPr>
          <w:rFonts w:ascii="Calibri" w:hAnsi="Calibri"/>
          <w:color w:val="231F20"/>
          <w:w w:val="105"/>
          <w:sz w:val="17"/>
        </w:rPr>
        <w:t>confronto</w:t>
      </w:r>
      <w:r>
        <w:rPr>
          <w:rFonts w:ascii="Calibri" w:hAnsi="Calibri"/>
          <w:color w:val="231F20"/>
          <w:spacing w:val="-17"/>
          <w:w w:val="105"/>
          <w:sz w:val="17"/>
        </w:rPr>
        <w:t> </w:t>
      </w:r>
      <w:r>
        <w:rPr>
          <w:rFonts w:ascii="Calibri" w:hAnsi="Calibri"/>
          <w:color w:val="231F20"/>
          <w:w w:val="105"/>
          <w:sz w:val="17"/>
        </w:rPr>
        <w:t>mediatico</w:t>
      </w:r>
      <w:r>
        <w:rPr>
          <w:rFonts w:ascii="Calibri" w:hAnsi="Calibri"/>
          <w:color w:val="231F20"/>
          <w:spacing w:val="-17"/>
          <w:w w:val="105"/>
          <w:sz w:val="17"/>
        </w:rPr>
        <w:t> </w:t>
      </w:r>
      <w:r>
        <w:rPr>
          <w:rFonts w:ascii="Calibri" w:hAnsi="Calibri"/>
          <w:color w:val="231F20"/>
          <w:w w:val="105"/>
          <w:sz w:val="17"/>
        </w:rPr>
        <w:t>e</w:t>
      </w:r>
      <w:r>
        <w:rPr>
          <w:rFonts w:ascii="Calibri" w:hAnsi="Calibri"/>
          <w:color w:val="231F20"/>
          <w:spacing w:val="-17"/>
          <w:w w:val="105"/>
          <w:sz w:val="17"/>
        </w:rPr>
        <w:t> </w:t>
      </w:r>
      <w:r>
        <w:rPr>
          <w:rFonts w:ascii="Calibri" w:hAnsi="Calibri"/>
          <w:color w:val="231F20"/>
          <w:w w:val="105"/>
          <w:sz w:val="17"/>
        </w:rPr>
        <w:t>il</w:t>
      </w:r>
      <w:r>
        <w:rPr>
          <w:rFonts w:ascii="Calibri" w:hAnsi="Calibri"/>
          <w:color w:val="231F20"/>
          <w:spacing w:val="-17"/>
          <w:w w:val="105"/>
          <w:sz w:val="17"/>
        </w:rPr>
        <w:t> </w:t>
      </w:r>
      <w:r>
        <w:rPr>
          <w:rFonts w:ascii="Calibri" w:hAnsi="Calibri"/>
          <w:color w:val="231F20"/>
          <w:w w:val="105"/>
          <w:sz w:val="17"/>
        </w:rPr>
        <w:t>dibattito</w:t>
      </w:r>
      <w:r>
        <w:rPr>
          <w:rFonts w:ascii="Calibri" w:hAnsi="Calibri"/>
          <w:color w:val="231F20"/>
          <w:spacing w:val="-17"/>
          <w:w w:val="105"/>
          <w:sz w:val="17"/>
        </w:rPr>
        <w:t> </w:t>
      </w:r>
      <w:r>
        <w:rPr>
          <w:rFonts w:ascii="Calibri" w:hAnsi="Calibri"/>
          <w:color w:val="231F20"/>
          <w:w w:val="105"/>
          <w:sz w:val="17"/>
        </w:rPr>
        <w:t>aperto</w:t>
      </w:r>
      <w:r>
        <w:rPr>
          <w:rFonts w:ascii="Calibri" w:hAnsi="Calibri"/>
          <w:color w:val="231F20"/>
          <w:spacing w:val="-17"/>
          <w:w w:val="105"/>
          <w:sz w:val="17"/>
        </w:rPr>
        <w:t> </w:t>
      </w:r>
      <w:r>
        <w:rPr>
          <w:rFonts w:ascii="Calibri" w:hAnsi="Calibri"/>
          <w:color w:val="231F20"/>
          <w:w w:val="105"/>
          <w:sz w:val="17"/>
        </w:rPr>
        <w:t>sono</w:t>
      </w:r>
      <w:r>
        <w:rPr>
          <w:rFonts w:ascii="Calibri" w:hAnsi="Calibri"/>
          <w:color w:val="231F20"/>
          <w:spacing w:val="-17"/>
          <w:w w:val="105"/>
          <w:sz w:val="17"/>
        </w:rPr>
        <w:t> </w:t>
      </w:r>
      <w:r>
        <w:rPr>
          <w:rFonts w:ascii="Calibri" w:hAnsi="Calibri"/>
          <w:color w:val="231F20"/>
          <w:w w:val="105"/>
          <w:sz w:val="17"/>
        </w:rPr>
        <w:t>alcuni dei</w:t>
      </w:r>
      <w:r>
        <w:rPr>
          <w:rFonts w:ascii="Calibri" w:hAnsi="Calibri"/>
          <w:color w:val="231F20"/>
          <w:spacing w:val="-9"/>
          <w:w w:val="105"/>
          <w:sz w:val="17"/>
        </w:rPr>
        <w:t> </w:t>
      </w:r>
      <w:r>
        <w:rPr>
          <w:rFonts w:ascii="Calibri" w:hAnsi="Calibri"/>
          <w:color w:val="231F20"/>
          <w:w w:val="105"/>
          <w:sz w:val="17"/>
        </w:rPr>
        <w:t>modi</w:t>
      </w:r>
      <w:r>
        <w:rPr>
          <w:rFonts w:ascii="Calibri" w:hAnsi="Calibri"/>
          <w:color w:val="231F20"/>
          <w:spacing w:val="-9"/>
          <w:w w:val="105"/>
          <w:sz w:val="17"/>
        </w:rPr>
        <w:t> </w:t>
      </w:r>
      <w:r>
        <w:rPr>
          <w:rFonts w:ascii="Calibri" w:hAnsi="Calibri"/>
          <w:color w:val="231F20"/>
          <w:w w:val="105"/>
          <w:sz w:val="17"/>
        </w:rPr>
        <w:t>in</w:t>
      </w:r>
      <w:r>
        <w:rPr>
          <w:rFonts w:ascii="Calibri" w:hAnsi="Calibri"/>
          <w:color w:val="231F20"/>
          <w:spacing w:val="-9"/>
          <w:w w:val="105"/>
          <w:sz w:val="17"/>
        </w:rPr>
        <w:t> </w:t>
      </w:r>
      <w:r>
        <w:rPr>
          <w:rFonts w:ascii="Calibri" w:hAnsi="Calibri"/>
          <w:color w:val="231F20"/>
          <w:w w:val="105"/>
          <w:sz w:val="17"/>
        </w:rPr>
        <w:t>cui</w:t>
      </w:r>
      <w:r>
        <w:rPr>
          <w:rFonts w:ascii="Calibri" w:hAnsi="Calibri"/>
          <w:color w:val="231F20"/>
          <w:spacing w:val="-9"/>
          <w:w w:val="105"/>
          <w:sz w:val="17"/>
        </w:rPr>
        <w:t> </w:t>
      </w:r>
      <w:r>
        <w:rPr>
          <w:rFonts w:ascii="Calibri" w:hAnsi="Calibri"/>
          <w:color w:val="231F20"/>
          <w:w w:val="105"/>
          <w:sz w:val="17"/>
        </w:rPr>
        <w:t>è</w:t>
      </w:r>
      <w:r>
        <w:rPr>
          <w:rFonts w:ascii="Calibri" w:hAnsi="Calibri"/>
          <w:color w:val="231F20"/>
          <w:spacing w:val="-9"/>
          <w:w w:val="105"/>
          <w:sz w:val="17"/>
        </w:rPr>
        <w:t> </w:t>
      </w:r>
      <w:r>
        <w:rPr>
          <w:rFonts w:ascii="Calibri" w:hAnsi="Calibri"/>
          <w:color w:val="231F20"/>
          <w:w w:val="105"/>
          <w:sz w:val="17"/>
        </w:rPr>
        <w:t>possibile</w:t>
      </w:r>
      <w:r>
        <w:rPr>
          <w:rFonts w:ascii="Calibri" w:hAnsi="Calibri"/>
          <w:color w:val="231F20"/>
          <w:spacing w:val="-9"/>
          <w:w w:val="105"/>
          <w:sz w:val="17"/>
        </w:rPr>
        <w:t> </w:t>
      </w:r>
      <w:r>
        <w:rPr>
          <w:rFonts w:ascii="Calibri" w:hAnsi="Calibri"/>
          <w:color w:val="231F20"/>
          <w:w w:val="105"/>
          <w:sz w:val="17"/>
        </w:rPr>
        <w:t>promuovere</w:t>
      </w:r>
      <w:r>
        <w:rPr>
          <w:rFonts w:ascii="Calibri" w:hAnsi="Calibri"/>
          <w:color w:val="231F20"/>
          <w:spacing w:val="-9"/>
          <w:w w:val="105"/>
          <w:sz w:val="17"/>
        </w:rPr>
        <w:t> </w:t>
      </w:r>
      <w:r>
        <w:rPr>
          <w:rFonts w:ascii="Calibri" w:hAnsi="Calibri"/>
          <w:color w:val="231F20"/>
          <w:w w:val="105"/>
          <w:sz w:val="17"/>
        </w:rPr>
        <w:t>la</w:t>
      </w:r>
      <w:r>
        <w:rPr>
          <w:rFonts w:ascii="Calibri" w:hAnsi="Calibri"/>
          <w:color w:val="231F20"/>
          <w:spacing w:val="-9"/>
          <w:w w:val="105"/>
          <w:sz w:val="17"/>
        </w:rPr>
        <w:t> </w:t>
      </w:r>
      <w:r>
        <w:rPr>
          <w:rFonts w:ascii="Calibri" w:hAnsi="Calibri"/>
          <w:color w:val="231F20"/>
          <w:w w:val="105"/>
          <w:sz w:val="17"/>
        </w:rPr>
        <w:t>democrazia</w:t>
      </w:r>
      <w:r>
        <w:rPr>
          <w:rFonts w:ascii="Calibri" w:hAnsi="Calibri"/>
          <w:color w:val="231F20"/>
          <w:spacing w:val="-9"/>
          <w:w w:val="105"/>
          <w:sz w:val="17"/>
        </w:rPr>
        <w:t> </w:t>
      </w:r>
      <w:r>
        <w:rPr>
          <w:rFonts w:ascii="Calibri" w:hAnsi="Calibri"/>
          <w:color w:val="231F20"/>
          <w:w w:val="105"/>
          <w:sz w:val="17"/>
        </w:rPr>
        <w:t>globale</w:t>
      </w:r>
      <w:r>
        <w:rPr>
          <w:rFonts w:ascii="Calibri" w:hAnsi="Calibri"/>
          <w:color w:val="231F20"/>
          <w:spacing w:val="-9"/>
          <w:w w:val="105"/>
          <w:sz w:val="17"/>
        </w:rPr>
        <w:t> </w:t>
      </w:r>
      <w:r>
        <w:rPr>
          <w:rFonts w:ascii="Calibri" w:hAnsi="Calibri"/>
          <w:color w:val="231F20"/>
          <w:w w:val="105"/>
          <w:sz w:val="17"/>
        </w:rPr>
        <w:t>senza</w:t>
      </w:r>
      <w:r>
        <w:rPr>
          <w:rFonts w:ascii="Calibri" w:hAnsi="Calibri"/>
          <w:color w:val="231F20"/>
          <w:spacing w:val="-9"/>
          <w:w w:val="105"/>
          <w:sz w:val="17"/>
        </w:rPr>
        <w:t> </w:t>
      </w:r>
      <w:r>
        <w:rPr>
          <w:rFonts w:ascii="Calibri" w:hAnsi="Calibri"/>
          <w:color w:val="231F20"/>
          <w:w w:val="105"/>
          <w:sz w:val="17"/>
        </w:rPr>
        <w:t>attendere</w:t>
      </w:r>
      <w:r>
        <w:rPr>
          <w:rFonts w:ascii="Calibri" w:hAnsi="Calibri"/>
          <w:color w:val="231F20"/>
          <w:spacing w:val="-9"/>
          <w:w w:val="105"/>
          <w:sz w:val="17"/>
        </w:rPr>
        <w:t> </w:t>
      </w:r>
      <w:r>
        <w:rPr>
          <w:rFonts w:ascii="Calibri" w:hAnsi="Calibri"/>
          <w:color w:val="231F20"/>
          <w:w w:val="105"/>
          <w:sz w:val="17"/>
        </w:rPr>
        <w:t>la</w:t>
      </w:r>
      <w:r>
        <w:rPr>
          <w:rFonts w:ascii="Calibri" w:hAnsi="Calibri"/>
          <w:color w:val="231F20"/>
          <w:spacing w:val="-9"/>
          <w:w w:val="105"/>
          <w:sz w:val="17"/>
        </w:rPr>
        <w:t> </w:t>
      </w:r>
      <w:r>
        <w:rPr>
          <w:rFonts w:ascii="Calibri" w:hAnsi="Calibri"/>
          <w:color w:val="231F20"/>
          <w:w w:val="105"/>
          <w:sz w:val="17"/>
        </w:rPr>
        <w:t>creazione</w:t>
      </w:r>
      <w:r>
        <w:rPr>
          <w:rFonts w:ascii="Calibri" w:hAnsi="Calibri"/>
          <w:color w:val="231F20"/>
          <w:spacing w:val="-9"/>
          <w:w w:val="105"/>
          <w:sz w:val="17"/>
        </w:rPr>
        <w:t> </w:t>
      </w:r>
      <w:r>
        <w:rPr>
          <w:rFonts w:ascii="Calibri" w:hAnsi="Calibri"/>
          <w:color w:val="231F20"/>
          <w:w w:val="105"/>
          <w:sz w:val="17"/>
        </w:rPr>
        <w:t>di</w:t>
      </w:r>
      <w:r>
        <w:rPr>
          <w:rFonts w:ascii="Calibri" w:hAnsi="Calibri"/>
          <w:color w:val="231F20"/>
          <w:spacing w:val="-9"/>
          <w:w w:val="105"/>
          <w:sz w:val="17"/>
        </w:rPr>
        <w:t> </w:t>
      </w:r>
      <w:r>
        <w:rPr>
          <w:rFonts w:ascii="Calibri" w:hAnsi="Calibri"/>
          <w:color w:val="231F20"/>
          <w:w w:val="105"/>
          <w:sz w:val="17"/>
        </w:rPr>
        <w:t>uno Stato</w:t>
      </w:r>
      <w:r>
        <w:rPr>
          <w:rFonts w:ascii="Calibri" w:hAnsi="Calibri"/>
          <w:color w:val="231F20"/>
          <w:spacing w:val="-10"/>
          <w:w w:val="105"/>
          <w:sz w:val="17"/>
        </w:rPr>
        <w:t> </w:t>
      </w:r>
      <w:r>
        <w:rPr>
          <w:rFonts w:ascii="Calibri" w:hAnsi="Calibri"/>
          <w:color w:val="231F20"/>
          <w:w w:val="105"/>
          <w:sz w:val="17"/>
        </w:rPr>
        <w:t>globale”,</w:t>
      </w:r>
      <w:r>
        <w:rPr>
          <w:rFonts w:ascii="Calibri" w:hAnsi="Calibri"/>
          <w:color w:val="231F20"/>
          <w:spacing w:val="-10"/>
          <w:w w:val="105"/>
          <w:sz w:val="17"/>
        </w:rPr>
        <w:t> </w:t>
      </w:r>
      <w:r>
        <w:rPr>
          <w:rFonts w:ascii="Calibri" w:hAnsi="Calibri"/>
          <w:color w:val="231F20"/>
          <w:w w:val="105"/>
          <w:sz w:val="17"/>
        </w:rPr>
        <w:t>A.</w:t>
      </w:r>
      <w:r>
        <w:rPr>
          <w:rFonts w:ascii="Calibri" w:hAnsi="Calibri"/>
          <w:color w:val="231F20"/>
          <w:spacing w:val="-10"/>
          <w:w w:val="105"/>
          <w:sz w:val="17"/>
        </w:rPr>
        <w:t> </w:t>
      </w:r>
      <w:r>
        <w:rPr>
          <w:rFonts w:ascii="Calibri" w:hAnsi="Calibri"/>
          <w:color w:val="231F20"/>
          <w:w w:val="105"/>
          <w:sz w:val="17"/>
        </w:rPr>
        <w:t>Sen,</w:t>
      </w:r>
      <w:r>
        <w:rPr>
          <w:rFonts w:ascii="Calibri" w:hAnsi="Calibri"/>
          <w:color w:val="231F20"/>
          <w:spacing w:val="-10"/>
          <w:w w:val="105"/>
          <w:sz w:val="17"/>
        </w:rPr>
        <w:t> </w:t>
      </w:r>
      <w:r>
        <w:rPr>
          <w:rFonts w:ascii="Calibri" w:hAnsi="Calibri"/>
          <w:i/>
          <w:color w:val="231F20"/>
          <w:w w:val="105"/>
          <w:sz w:val="17"/>
        </w:rPr>
        <w:t>The</w:t>
      </w:r>
      <w:r>
        <w:rPr>
          <w:rFonts w:ascii="Calibri" w:hAnsi="Calibri"/>
          <w:i/>
          <w:color w:val="231F20"/>
          <w:spacing w:val="-11"/>
          <w:w w:val="105"/>
          <w:sz w:val="17"/>
        </w:rPr>
        <w:t> </w:t>
      </w:r>
      <w:r>
        <w:rPr>
          <w:rFonts w:ascii="Calibri" w:hAnsi="Calibri"/>
          <w:i/>
          <w:color w:val="231F20"/>
          <w:w w:val="105"/>
          <w:sz w:val="17"/>
        </w:rPr>
        <w:t>Idea</w:t>
      </w:r>
      <w:r>
        <w:rPr>
          <w:rFonts w:ascii="Calibri" w:hAnsi="Calibri"/>
          <w:i/>
          <w:color w:val="231F20"/>
          <w:spacing w:val="-11"/>
          <w:w w:val="105"/>
          <w:sz w:val="17"/>
        </w:rPr>
        <w:t> </w:t>
      </w:r>
      <w:r>
        <w:rPr>
          <w:rFonts w:ascii="Calibri" w:hAnsi="Calibri"/>
          <w:i/>
          <w:color w:val="231F20"/>
          <w:w w:val="105"/>
          <w:sz w:val="17"/>
        </w:rPr>
        <w:t>of</w:t>
      </w:r>
      <w:r>
        <w:rPr>
          <w:rFonts w:ascii="Calibri" w:hAnsi="Calibri"/>
          <w:i/>
          <w:color w:val="231F20"/>
          <w:spacing w:val="-11"/>
          <w:w w:val="105"/>
          <w:sz w:val="17"/>
        </w:rPr>
        <w:t> </w:t>
      </w:r>
      <w:r>
        <w:rPr>
          <w:rFonts w:ascii="Calibri" w:hAnsi="Calibri"/>
          <w:i/>
          <w:color w:val="231F20"/>
          <w:w w:val="105"/>
          <w:sz w:val="17"/>
        </w:rPr>
        <w:t>Justice</w:t>
      </w:r>
      <w:r>
        <w:rPr>
          <w:rFonts w:ascii="Calibri" w:hAnsi="Calibri"/>
          <w:color w:val="231F20"/>
          <w:w w:val="105"/>
          <w:sz w:val="17"/>
        </w:rPr>
        <w:t>,</w:t>
      </w:r>
      <w:r>
        <w:rPr>
          <w:rFonts w:ascii="Calibri" w:hAnsi="Calibri"/>
          <w:color w:val="231F20"/>
          <w:spacing w:val="-10"/>
          <w:w w:val="105"/>
          <w:sz w:val="17"/>
        </w:rPr>
        <w:t> </w:t>
      </w:r>
      <w:r>
        <w:rPr>
          <w:rFonts w:ascii="Calibri" w:hAnsi="Calibri"/>
          <w:color w:val="231F20"/>
          <w:w w:val="105"/>
          <w:sz w:val="17"/>
        </w:rPr>
        <w:t>Cambridge</w:t>
      </w:r>
      <w:r>
        <w:rPr>
          <w:rFonts w:ascii="Calibri" w:hAnsi="Calibri"/>
          <w:color w:val="231F20"/>
          <w:spacing w:val="-10"/>
          <w:w w:val="105"/>
          <w:sz w:val="17"/>
        </w:rPr>
        <w:t> </w:t>
      </w:r>
      <w:r>
        <w:rPr>
          <w:rFonts w:ascii="Calibri" w:hAnsi="Calibri"/>
          <w:color w:val="231F20"/>
          <w:w w:val="105"/>
          <w:sz w:val="17"/>
        </w:rPr>
        <w:t>(Mass.),</w:t>
      </w:r>
      <w:r>
        <w:rPr>
          <w:rFonts w:ascii="Calibri" w:hAnsi="Calibri"/>
          <w:color w:val="231F20"/>
          <w:spacing w:val="-10"/>
          <w:w w:val="105"/>
          <w:sz w:val="17"/>
        </w:rPr>
        <w:t> </w:t>
      </w:r>
      <w:r>
        <w:rPr>
          <w:rFonts w:ascii="Calibri" w:hAnsi="Calibri"/>
          <w:color w:val="231F20"/>
          <w:w w:val="105"/>
          <w:sz w:val="17"/>
        </w:rPr>
        <w:t>Harvard</w:t>
      </w:r>
      <w:r>
        <w:rPr>
          <w:rFonts w:ascii="Calibri" w:hAnsi="Calibri"/>
          <w:color w:val="231F20"/>
          <w:spacing w:val="-10"/>
          <w:w w:val="105"/>
          <w:sz w:val="17"/>
        </w:rPr>
        <w:t> </w:t>
      </w:r>
      <w:r>
        <w:rPr>
          <w:rFonts w:ascii="Calibri" w:hAnsi="Calibri"/>
          <w:color w:val="231F20"/>
          <w:w w:val="105"/>
          <w:sz w:val="17"/>
        </w:rPr>
        <w:t>University</w:t>
      </w:r>
      <w:r>
        <w:rPr>
          <w:rFonts w:ascii="Calibri" w:hAnsi="Calibri"/>
          <w:color w:val="231F20"/>
          <w:spacing w:val="-10"/>
          <w:w w:val="105"/>
          <w:sz w:val="17"/>
        </w:rPr>
        <w:t> </w:t>
      </w:r>
      <w:r>
        <w:rPr>
          <w:rFonts w:ascii="Calibri" w:hAnsi="Calibri"/>
          <w:color w:val="231F20"/>
          <w:w w:val="105"/>
          <w:sz w:val="17"/>
        </w:rPr>
        <w:t>Press,</w:t>
      </w:r>
      <w:r>
        <w:rPr>
          <w:rFonts w:ascii="Calibri" w:hAnsi="Calibri"/>
          <w:color w:val="231F20"/>
          <w:spacing w:val="-10"/>
          <w:w w:val="105"/>
          <w:sz w:val="17"/>
        </w:rPr>
        <w:t> </w:t>
      </w:r>
      <w:r>
        <w:rPr>
          <w:rFonts w:ascii="Calibri" w:hAnsi="Calibri"/>
          <w:color w:val="231F20"/>
          <w:w w:val="105"/>
          <w:sz w:val="17"/>
        </w:rPr>
        <w:t>2009,</w:t>
      </w:r>
      <w:r>
        <w:rPr>
          <w:rFonts w:ascii="Calibri" w:hAnsi="Calibri"/>
          <w:color w:val="231F20"/>
          <w:spacing w:val="-10"/>
          <w:w w:val="105"/>
          <w:sz w:val="17"/>
        </w:rPr>
        <w:t> </w:t>
      </w:r>
      <w:r>
        <w:rPr>
          <w:rFonts w:ascii="Calibri" w:hAnsi="Calibri"/>
          <w:color w:val="231F20"/>
          <w:w w:val="105"/>
          <w:sz w:val="17"/>
        </w:rPr>
        <w:t>pp. 409–410.</w:t>
      </w:r>
    </w:p>
    <w:p>
      <w:pPr>
        <w:spacing w:line="204" w:lineRule="exact" w:before="0"/>
        <w:ind w:left="117" w:right="121" w:firstLine="0"/>
        <w:jc w:val="both"/>
        <w:rPr>
          <w:rFonts w:ascii="Calibri" w:hAnsi="Calibri"/>
          <w:sz w:val="17"/>
        </w:rPr>
      </w:pPr>
      <w:r>
        <w:rPr>
          <w:rFonts w:ascii="Calibri" w:hAnsi="Calibri"/>
          <w:color w:val="231F20"/>
          <w:w w:val="105"/>
          <w:position w:val="6"/>
          <w:sz w:val="10"/>
        </w:rPr>
        <w:t>34</w:t>
      </w:r>
      <w:r>
        <w:rPr>
          <w:rFonts w:ascii="Calibri" w:hAnsi="Calibri"/>
          <w:color w:val="231F20"/>
          <w:spacing w:val="9"/>
          <w:w w:val="105"/>
          <w:position w:val="6"/>
          <w:sz w:val="10"/>
        </w:rPr>
        <w:t> </w:t>
      </w:r>
      <w:r>
        <w:rPr>
          <w:rFonts w:ascii="Calibri" w:hAnsi="Calibri"/>
          <w:color w:val="231F20"/>
          <w:w w:val="105"/>
          <w:sz w:val="17"/>
        </w:rPr>
        <w:t>Questa</w:t>
      </w:r>
      <w:r>
        <w:rPr>
          <w:rFonts w:ascii="Calibri" w:hAnsi="Calibri"/>
          <w:color w:val="231F20"/>
          <w:spacing w:val="-7"/>
          <w:w w:val="105"/>
          <w:sz w:val="17"/>
        </w:rPr>
        <w:t> </w:t>
      </w:r>
      <w:r>
        <w:rPr>
          <w:rFonts w:ascii="Calibri" w:hAnsi="Calibri"/>
          <w:color w:val="231F20"/>
          <w:w w:val="105"/>
          <w:sz w:val="17"/>
        </w:rPr>
        <w:t>accezione</w:t>
      </w:r>
      <w:r>
        <w:rPr>
          <w:rFonts w:ascii="Calibri" w:hAnsi="Calibri"/>
          <w:color w:val="231F20"/>
          <w:spacing w:val="-7"/>
          <w:w w:val="105"/>
          <w:sz w:val="17"/>
        </w:rPr>
        <w:t> </w:t>
      </w:r>
      <w:r>
        <w:rPr>
          <w:rFonts w:ascii="Calibri" w:hAnsi="Calibri"/>
          <w:color w:val="231F20"/>
          <w:w w:val="105"/>
          <w:sz w:val="17"/>
        </w:rPr>
        <w:t>è</w:t>
      </w:r>
      <w:r>
        <w:rPr>
          <w:rFonts w:ascii="Calibri" w:hAnsi="Calibri"/>
          <w:color w:val="231F20"/>
          <w:spacing w:val="-7"/>
          <w:w w:val="105"/>
          <w:sz w:val="17"/>
        </w:rPr>
        <w:t> </w:t>
      </w:r>
      <w:r>
        <w:rPr>
          <w:rFonts w:ascii="Calibri" w:hAnsi="Calibri"/>
          <w:color w:val="231F20"/>
          <w:w w:val="105"/>
          <w:sz w:val="17"/>
        </w:rPr>
        <w:t>anche</w:t>
      </w:r>
      <w:r>
        <w:rPr>
          <w:rFonts w:ascii="Calibri" w:hAnsi="Calibri"/>
          <w:color w:val="231F20"/>
          <w:spacing w:val="-7"/>
          <w:w w:val="105"/>
          <w:sz w:val="17"/>
        </w:rPr>
        <w:t> </w:t>
      </w:r>
      <w:r>
        <w:rPr>
          <w:rFonts w:ascii="Calibri" w:hAnsi="Calibri"/>
          <w:color w:val="231F20"/>
          <w:w w:val="105"/>
          <w:sz w:val="17"/>
        </w:rPr>
        <w:t>diversa</w:t>
      </w:r>
      <w:r>
        <w:rPr>
          <w:rFonts w:ascii="Calibri" w:hAnsi="Calibri"/>
          <w:color w:val="231F20"/>
          <w:spacing w:val="-7"/>
          <w:w w:val="105"/>
          <w:sz w:val="17"/>
        </w:rPr>
        <w:t> </w:t>
      </w:r>
      <w:r>
        <w:rPr>
          <w:rFonts w:ascii="Calibri" w:hAnsi="Calibri"/>
          <w:color w:val="231F20"/>
          <w:w w:val="105"/>
          <w:sz w:val="17"/>
        </w:rPr>
        <w:t>da</w:t>
      </w:r>
      <w:r>
        <w:rPr>
          <w:rFonts w:ascii="Calibri" w:hAnsi="Calibri"/>
          <w:color w:val="231F20"/>
          <w:spacing w:val="-7"/>
          <w:w w:val="105"/>
          <w:sz w:val="17"/>
        </w:rPr>
        <w:t> </w:t>
      </w:r>
      <w:r>
        <w:rPr>
          <w:rFonts w:ascii="Calibri" w:hAnsi="Calibri"/>
          <w:color w:val="231F20"/>
          <w:w w:val="105"/>
          <w:sz w:val="17"/>
        </w:rPr>
        <w:t>quella</w:t>
      </w:r>
      <w:r>
        <w:rPr>
          <w:rFonts w:ascii="Calibri" w:hAnsi="Calibri"/>
          <w:color w:val="231F20"/>
          <w:spacing w:val="-7"/>
          <w:w w:val="105"/>
          <w:sz w:val="17"/>
        </w:rPr>
        <w:t> </w:t>
      </w:r>
      <w:r>
        <w:rPr>
          <w:rFonts w:ascii="Calibri" w:hAnsi="Calibri"/>
          <w:color w:val="231F20"/>
          <w:w w:val="105"/>
          <w:sz w:val="17"/>
        </w:rPr>
        <w:t>che</w:t>
      </w:r>
      <w:r>
        <w:rPr>
          <w:rFonts w:ascii="Calibri" w:hAnsi="Calibri"/>
          <w:color w:val="231F20"/>
          <w:spacing w:val="-7"/>
          <w:w w:val="105"/>
          <w:sz w:val="17"/>
        </w:rPr>
        <w:t> </w:t>
      </w:r>
      <w:r>
        <w:rPr>
          <w:rFonts w:ascii="Calibri" w:hAnsi="Calibri"/>
          <w:color w:val="231F20"/>
          <w:w w:val="105"/>
          <w:sz w:val="17"/>
        </w:rPr>
        <w:t>intende</w:t>
      </w:r>
      <w:r>
        <w:rPr>
          <w:rFonts w:ascii="Calibri" w:hAnsi="Calibri"/>
          <w:color w:val="231F20"/>
          <w:spacing w:val="-7"/>
          <w:w w:val="105"/>
          <w:sz w:val="17"/>
        </w:rPr>
        <w:t> </w:t>
      </w:r>
      <w:r>
        <w:rPr>
          <w:rFonts w:ascii="Calibri" w:hAnsi="Calibri"/>
          <w:color w:val="231F20"/>
          <w:w w:val="105"/>
          <w:sz w:val="17"/>
        </w:rPr>
        <w:t>lo</w:t>
      </w:r>
      <w:r>
        <w:rPr>
          <w:rFonts w:ascii="Calibri" w:hAnsi="Calibri"/>
          <w:color w:val="231F20"/>
          <w:spacing w:val="-7"/>
          <w:w w:val="105"/>
          <w:sz w:val="17"/>
        </w:rPr>
        <w:t> </w:t>
      </w:r>
      <w:r>
        <w:rPr>
          <w:rFonts w:ascii="Calibri" w:hAnsi="Calibri"/>
          <w:color w:val="231F20"/>
          <w:w w:val="105"/>
          <w:sz w:val="17"/>
        </w:rPr>
        <w:t>Stato</w:t>
      </w:r>
      <w:r>
        <w:rPr>
          <w:rFonts w:ascii="Calibri" w:hAnsi="Calibri"/>
          <w:color w:val="231F20"/>
          <w:spacing w:val="-7"/>
          <w:w w:val="105"/>
          <w:sz w:val="17"/>
        </w:rPr>
        <w:t> </w:t>
      </w:r>
      <w:r>
        <w:rPr>
          <w:rFonts w:ascii="Calibri" w:hAnsi="Calibri"/>
          <w:color w:val="231F20"/>
          <w:w w:val="105"/>
          <w:sz w:val="17"/>
        </w:rPr>
        <w:t>come</w:t>
      </w:r>
      <w:r>
        <w:rPr>
          <w:rFonts w:ascii="Calibri" w:hAnsi="Calibri"/>
          <w:color w:val="231F20"/>
          <w:spacing w:val="-7"/>
          <w:w w:val="105"/>
          <w:sz w:val="17"/>
        </w:rPr>
        <w:t> </w:t>
      </w:r>
      <w:r>
        <w:rPr>
          <w:rFonts w:ascii="Calibri" w:hAnsi="Calibri"/>
          <w:color w:val="231F20"/>
          <w:w w:val="105"/>
          <w:sz w:val="17"/>
        </w:rPr>
        <w:t>una</w:t>
      </w:r>
      <w:r>
        <w:rPr>
          <w:rFonts w:ascii="Calibri" w:hAnsi="Calibri"/>
          <w:color w:val="231F20"/>
          <w:spacing w:val="-7"/>
          <w:w w:val="105"/>
          <w:sz w:val="17"/>
        </w:rPr>
        <w:t> </w:t>
      </w:r>
      <w:r>
        <w:rPr>
          <w:rFonts w:ascii="Calibri" w:hAnsi="Calibri"/>
          <w:color w:val="231F20"/>
          <w:w w:val="105"/>
          <w:sz w:val="17"/>
        </w:rPr>
        <w:t>struttura</w:t>
      </w:r>
      <w:r>
        <w:rPr>
          <w:rFonts w:ascii="Calibri" w:hAnsi="Calibri"/>
          <w:color w:val="231F20"/>
          <w:spacing w:val="-7"/>
          <w:w w:val="105"/>
          <w:sz w:val="17"/>
        </w:rPr>
        <w:t> </w:t>
      </w:r>
      <w:r>
        <w:rPr>
          <w:rFonts w:ascii="Calibri" w:hAnsi="Calibri"/>
          <w:color w:val="231F20"/>
          <w:w w:val="105"/>
          <w:sz w:val="17"/>
        </w:rPr>
        <w:t>altamente differenziata ma globalmente presente: A. Kazancigil (Ed.), </w:t>
      </w:r>
      <w:r>
        <w:rPr>
          <w:rFonts w:ascii="Calibri" w:hAnsi="Calibri"/>
          <w:i/>
          <w:color w:val="231F20"/>
          <w:w w:val="105"/>
          <w:sz w:val="17"/>
        </w:rPr>
        <w:t>The State in Global Perspective</w:t>
      </w:r>
      <w:r>
        <w:rPr>
          <w:rFonts w:ascii="Calibri" w:hAnsi="Calibri"/>
          <w:color w:val="231F20"/>
          <w:w w:val="105"/>
          <w:sz w:val="17"/>
        </w:rPr>
        <w:t>, </w:t>
      </w:r>
      <w:r>
        <w:rPr>
          <w:rFonts w:ascii="Calibri" w:hAnsi="Calibri"/>
          <w:color w:val="231F20"/>
          <w:sz w:val="17"/>
        </w:rPr>
        <w:t>Aldershot, Gower/Paris, Unesco,</w:t>
      </w:r>
      <w:r>
        <w:rPr>
          <w:rFonts w:ascii="Calibri" w:hAnsi="Calibri"/>
          <w:color w:val="231F20"/>
          <w:spacing w:val="37"/>
          <w:sz w:val="17"/>
        </w:rPr>
        <w:t> </w:t>
      </w:r>
      <w:r>
        <w:rPr>
          <w:rFonts w:ascii="Calibri" w:hAnsi="Calibri"/>
          <w:color w:val="231F20"/>
          <w:sz w:val="17"/>
        </w:rPr>
        <w:t>1986.</w:t>
      </w:r>
    </w:p>
    <w:p>
      <w:pPr>
        <w:spacing w:line="204" w:lineRule="exact" w:before="0"/>
        <w:ind w:left="117" w:right="121" w:firstLine="0"/>
        <w:jc w:val="both"/>
        <w:rPr>
          <w:rFonts w:ascii="Calibri"/>
          <w:sz w:val="17"/>
        </w:rPr>
      </w:pPr>
      <w:r>
        <w:rPr>
          <w:rFonts w:ascii="Calibri"/>
          <w:color w:val="231F20"/>
          <w:position w:val="6"/>
          <w:sz w:val="10"/>
        </w:rPr>
        <w:t>35 </w:t>
      </w:r>
      <w:r>
        <w:rPr>
          <w:rFonts w:ascii="Calibri"/>
          <w:color w:val="231F20"/>
          <w:sz w:val="17"/>
        </w:rPr>
        <w:t>M. Shaw, </w:t>
      </w:r>
      <w:r>
        <w:rPr>
          <w:rFonts w:ascii="Calibri"/>
          <w:i/>
          <w:color w:val="231F20"/>
          <w:sz w:val="17"/>
        </w:rPr>
        <w:t>Theory of the Global State. Globality as Unfinished Revolution</w:t>
      </w:r>
      <w:r>
        <w:rPr>
          <w:rFonts w:ascii="Calibri"/>
          <w:color w:val="231F20"/>
          <w:sz w:val="17"/>
        </w:rPr>
        <w:t>, Cambridge, Cambridge University Press, 2000, p. 255.</w:t>
      </w:r>
    </w:p>
    <w:p>
      <w:pPr>
        <w:spacing w:line="208" w:lineRule="auto" w:before="0"/>
        <w:ind w:left="117" w:right="121" w:firstLine="0"/>
        <w:jc w:val="both"/>
        <w:rPr>
          <w:rFonts w:ascii="Calibri" w:hAnsi="Calibri"/>
          <w:sz w:val="17"/>
        </w:rPr>
      </w:pPr>
      <w:r>
        <w:rPr>
          <w:rFonts w:ascii="Calibri" w:hAnsi="Calibri"/>
          <w:color w:val="231F20"/>
          <w:position w:val="6"/>
          <w:sz w:val="10"/>
        </w:rPr>
        <w:t>36</w:t>
      </w:r>
      <w:r>
        <w:rPr>
          <w:rFonts w:ascii="Calibri" w:hAnsi="Calibri"/>
          <w:color w:val="231F20"/>
          <w:spacing w:val="11"/>
          <w:position w:val="6"/>
          <w:sz w:val="10"/>
        </w:rPr>
        <w:t> </w:t>
      </w:r>
      <w:r>
        <w:rPr>
          <w:rFonts w:ascii="Calibri" w:hAnsi="Calibri"/>
          <w:color w:val="231F20"/>
          <w:sz w:val="17"/>
        </w:rPr>
        <w:t>M.</w:t>
      </w:r>
      <w:r>
        <w:rPr>
          <w:rFonts w:ascii="Calibri" w:hAnsi="Calibri"/>
          <w:color w:val="231F20"/>
          <w:spacing w:val="-4"/>
          <w:sz w:val="17"/>
        </w:rPr>
        <w:t> </w:t>
      </w:r>
      <w:r>
        <w:rPr>
          <w:rFonts w:ascii="Calibri" w:hAnsi="Calibri"/>
          <w:color w:val="231F20"/>
          <w:sz w:val="17"/>
        </w:rPr>
        <w:t>Ricciardi,</w:t>
      </w:r>
      <w:r>
        <w:rPr>
          <w:rFonts w:ascii="Calibri" w:hAnsi="Calibri"/>
          <w:color w:val="231F20"/>
          <w:spacing w:val="-4"/>
          <w:sz w:val="17"/>
        </w:rPr>
        <w:t> </w:t>
      </w:r>
      <w:r>
        <w:rPr>
          <w:rFonts w:ascii="Calibri" w:hAnsi="Calibri"/>
          <w:i/>
          <w:color w:val="231F20"/>
          <w:sz w:val="17"/>
        </w:rPr>
        <w:t>The</w:t>
      </w:r>
      <w:r>
        <w:rPr>
          <w:rFonts w:ascii="Calibri" w:hAnsi="Calibri"/>
          <w:i/>
          <w:color w:val="231F20"/>
          <w:spacing w:val="-5"/>
          <w:sz w:val="17"/>
        </w:rPr>
        <w:t> </w:t>
      </w:r>
      <w:r>
        <w:rPr>
          <w:rFonts w:ascii="Calibri" w:hAnsi="Calibri"/>
          <w:i/>
          <w:color w:val="231F20"/>
          <w:sz w:val="17"/>
        </w:rPr>
        <w:t>Stalemate</w:t>
      </w:r>
      <w:r>
        <w:rPr>
          <w:rFonts w:ascii="Calibri" w:hAnsi="Calibri"/>
          <w:i/>
          <w:color w:val="231F20"/>
          <w:spacing w:val="-5"/>
          <w:sz w:val="17"/>
        </w:rPr>
        <w:t> </w:t>
      </w:r>
      <w:r>
        <w:rPr>
          <w:rFonts w:ascii="Calibri" w:hAnsi="Calibri"/>
          <w:i/>
          <w:color w:val="231F20"/>
          <w:sz w:val="17"/>
        </w:rPr>
        <w:t>of</w:t>
      </w:r>
      <w:r>
        <w:rPr>
          <w:rFonts w:ascii="Calibri" w:hAnsi="Calibri"/>
          <w:i/>
          <w:color w:val="231F20"/>
          <w:spacing w:val="-5"/>
          <w:sz w:val="17"/>
        </w:rPr>
        <w:t> </w:t>
      </w:r>
      <w:r>
        <w:rPr>
          <w:rFonts w:ascii="Calibri" w:hAnsi="Calibri"/>
          <w:i/>
          <w:color w:val="231F20"/>
          <w:sz w:val="17"/>
        </w:rPr>
        <w:t>Sovereignty:</w:t>
      </w:r>
      <w:r>
        <w:rPr>
          <w:rFonts w:ascii="Calibri" w:hAnsi="Calibri"/>
          <w:i/>
          <w:color w:val="231F20"/>
          <w:spacing w:val="-7"/>
          <w:sz w:val="17"/>
        </w:rPr>
        <w:t> </w:t>
      </w:r>
      <w:r>
        <w:rPr>
          <w:rFonts w:ascii="Calibri" w:hAnsi="Calibri"/>
          <w:i/>
          <w:color w:val="231F20"/>
          <w:sz w:val="17"/>
        </w:rPr>
        <w:t>Talcott</w:t>
      </w:r>
      <w:r>
        <w:rPr>
          <w:rFonts w:ascii="Calibri" w:hAnsi="Calibri"/>
          <w:i/>
          <w:color w:val="231F20"/>
          <w:spacing w:val="-5"/>
          <w:sz w:val="17"/>
        </w:rPr>
        <w:t> </w:t>
      </w:r>
      <w:r>
        <w:rPr>
          <w:rFonts w:ascii="Calibri" w:hAnsi="Calibri"/>
          <w:i/>
          <w:color w:val="231F20"/>
          <w:sz w:val="17"/>
        </w:rPr>
        <w:t>Parsons</w:t>
      </w:r>
      <w:r>
        <w:rPr>
          <w:rFonts w:ascii="Calibri" w:hAnsi="Calibri"/>
          <w:i/>
          <w:color w:val="231F20"/>
          <w:spacing w:val="-5"/>
          <w:sz w:val="17"/>
        </w:rPr>
        <w:t> </w:t>
      </w:r>
      <w:r>
        <w:rPr>
          <w:rFonts w:ascii="Calibri" w:hAnsi="Calibri"/>
          <w:i/>
          <w:color w:val="231F20"/>
          <w:sz w:val="17"/>
        </w:rPr>
        <w:t>and</w:t>
      </w:r>
      <w:r>
        <w:rPr>
          <w:rFonts w:ascii="Calibri" w:hAnsi="Calibri"/>
          <w:i/>
          <w:color w:val="231F20"/>
          <w:spacing w:val="-5"/>
          <w:sz w:val="17"/>
        </w:rPr>
        <w:t> </w:t>
      </w:r>
      <w:r>
        <w:rPr>
          <w:rFonts w:ascii="Calibri" w:hAnsi="Calibri"/>
          <w:i/>
          <w:color w:val="231F20"/>
          <w:sz w:val="17"/>
        </w:rPr>
        <w:t>the</w:t>
      </w:r>
      <w:r>
        <w:rPr>
          <w:rFonts w:ascii="Calibri" w:hAnsi="Calibri"/>
          <w:i/>
          <w:color w:val="231F20"/>
          <w:spacing w:val="-5"/>
          <w:sz w:val="17"/>
        </w:rPr>
        <w:t> </w:t>
      </w:r>
      <w:r>
        <w:rPr>
          <w:rFonts w:ascii="Calibri" w:hAnsi="Calibri"/>
          <w:i/>
          <w:color w:val="231F20"/>
          <w:sz w:val="17"/>
        </w:rPr>
        <w:t>Eve</w:t>
      </w:r>
      <w:r>
        <w:rPr>
          <w:rFonts w:ascii="Calibri" w:hAnsi="Calibri"/>
          <w:i/>
          <w:color w:val="231F20"/>
          <w:spacing w:val="-5"/>
          <w:sz w:val="17"/>
        </w:rPr>
        <w:t> </w:t>
      </w:r>
      <w:r>
        <w:rPr>
          <w:rFonts w:ascii="Calibri" w:hAnsi="Calibri"/>
          <w:i/>
          <w:color w:val="231F20"/>
          <w:sz w:val="17"/>
        </w:rPr>
        <w:t>of</w:t>
      </w:r>
      <w:r>
        <w:rPr>
          <w:rFonts w:ascii="Calibri" w:hAnsi="Calibri"/>
          <w:i/>
          <w:color w:val="231F20"/>
          <w:spacing w:val="-5"/>
          <w:sz w:val="17"/>
        </w:rPr>
        <w:t> </w:t>
      </w:r>
      <w:r>
        <w:rPr>
          <w:rFonts w:ascii="Calibri" w:hAnsi="Calibri"/>
          <w:i/>
          <w:color w:val="231F20"/>
          <w:sz w:val="17"/>
        </w:rPr>
        <w:t>a</w:t>
      </w:r>
      <w:r>
        <w:rPr>
          <w:rFonts w:ascii="Calibri" w:hAnsi="Calibri"/>
          <w:i/>
          <w:color w:val="231F20"/>
          <w:spacing w:val="-5"/>
          <w:sz w:val="17"/>
        </w:rPr>
        <w:t> </w:t>
      </w:r>
      <w:r>
        <w:rPr>
          <w:rFonts w:ascii="Calibri" w:hAnsi="Calibri"/>
          <w:i/>
          <w:color w:val="231F20"/>
          <w:sz w:val="17"/>
        </w:rPr>
        <w:t>Global</w:t>
      </w:r>
      <w:r>
        <w:rPr>
          <w:rFonts w:ascii="Calibri" w:hAnsi="Calibri"/>
          <w:i/>
          <w:color w:val="231F20"/>
          <w:spacing w:val="-5"/>
          <w:sz w:val="17"/>
        </w:rPr>
        <w:t> </w:t>
      </w:r>
      <w:r>
        <w:rPr>
          <w:rFonts w:ascii="Calibri" w:hAnsi="Calibri"/>
          <w:i/>
          <w:color w:val="231F20"/>
          <w:sz w:val="17"/>
        </w:rPr>
        <w:t>Social</w:t>
      </w:r>
      <w:r>
        <w:rPr>
          <w:rFonts w:ascii="Calibri" w:hAnsi="Calibri"/>
          <w:i/>
          <w:color w:val="231F20"/>
          <w:spacing w:val="-5"/>
          <w:sz w:val="17"/>
        </w:rPr>
        <w:t> </w:t>
      </w:r>
      <w:r>
        <w:rPr>
          <w:rFonts w:ascii="Calibri" w:hAnsi="Calibri"/>
          <w:i/>
          <w:color w:val="231F20"/>
          <w:sz w:val="17"/>
        </w:rPr>
        <w:t>System</w:t>
      </w:r>
      <w:r>
        <w:rPr>
          <w:rFonts w:ascii="Calibri" w:hAnsi="Calibri"/>
          <w:color w:val="231F20"/>
          <w:sz w:val="17"/>
        </w:rPr>
        <w:t>,</w:t>
      </w:r>
      <w:r>
        <w:rPr>
          <w:rFonts w:ascii="Calibri" w:hAnsi="Calibri"/>
          <w:color w:val="231F20"/>
          <w:spacing w:val="-4"/>
          <w:sz w:val="17"/>
        </w:rPr>
        <w:t> </w:t>
      </w:r>
      <w:r>
        <w:rPr>
          <w:rFonts w:ascii="Calibri" w:hAnsi="Calibri"/>
          <w:color w:val="231F20"/>
          <w:spacing w:val="-7"/>
          <w:sz w:val="17"/>
        </w:rPr>
        <w:t>F. </w:t>
      </w:r>
      <w:r>
        <w:rPr>
          <w:rFonts w:ascii="Calibri" w:hAnsi="Calibri"/>
          <w:color w:val="231F20"/>
          <w:sz w:val="17"/>
        </w:rPr>
        <w:t>Fasce, M. Vaudagna y R. Baritono (Eds.), </w:t>
      </w:r>
      <w:r>
        <w:rPr>
          <w:rFonts w:ascii="Calibri" w:hAnsi="Calibri"/>
          <w:i/>
          <w:color w:val="231F20"/>
          <w:sz w:val="17"/>
        </w:rPr>
        <w:t>Beyond the Nation: Pushing the Boundaries of U.S. History </w:t>
      </w:r>
      <w:r>
        <w:rPr>
          <w:rFonts w:ascii="Calibri" w:hAnsi="Calibri"/>
          <w:i/>
          <w:color w:val="231F20"/>
          <w:sz w:val="17"/>
        </w:rPr>
        <w:t>from</w:t>
      </w:r>
      <w:r>
        <w:rPr>
          <w:rFonts w:ascii="Calibri" w:hAnsi="Calibri"/>
          <w:i/>
          <w:color w:val="231F20"/>
          <w:spacing w:val="-9"/>
          <w:sz w:val="17"/>
        </w:rPr>
        <w:t> </w:t>
      </w:r>
      <w:r>
        <w:rPr>
          <w:rFonts w:ascii="Calibri" w:hAnsi="Calibri"/>
          <w:i/>
          <w:color w:val="231F20"/>
          <w:sz w:val="17"/>
        </w:rPr>
        <w:t>a</w:t>
      </w:r>
      <w:r>
        <w:rPr>
          <w:rFonts w:ascii="Calibri" w:hAnsi="Calibri"/>
          <w:i/>
          <w:color w:val="231F20"/>
          <w:spacing w:val="-12"/>
          <w:sz w:val="17"/>
        </w:rPr>
        <w:t> </w:t>
      </w:r>
      <w:r>
        <w:rPr>
          <w:rFonts w:ascii="Calibri" w:hAnsi="Calibri"/>
          <w:i/>
          <w:color w:val="231F20"/>
          <w:sz w:val="17"/>
        </w:rPr>
        <w:t>Transatlantic</w:t>
      </w:r>
      <w:r>
        <w:rPr>
          <w:rFonts w:ascii="Calibri" w:hAnsi="Calibri"/>
          <w:i/>
          <w:color w:val="231F20"/>
          <w:spacing w:val="-9"/>
          <w:sz w:val="17"/>
        </w:rPr>
        <w:t> </w:t>
      </w:r>
      <w:r>
        <w:rPr>
          <w:rFonts w:ascii="Calibri" w:hAnsi="Calibri"/>
          <w:i/>
          <w:color w:val="231F20"/>
          <w:sz w:val="17"/>
        </w:rPr>
        <w:t>Perspective</w:t>
      </w:r>
      <w:r>
        <w:rPr>
          <w:rFonts w:ascii="Calibri" w:hAnsi="Calibri"/>
          <w:color w:val="231F20"/>
          <w:sz w:val="17"/>
        </w:rPr>
        <w:t>,</w:t>
      </w:r>
      <w:r>
        <w:rPr>
          <w:rFonts w:ascii="Calibri" w:hAnsi="Calibri"/>
          <w:color w:val="231F20"/>
          <w:spacing w:val="-12"/>
          <w:sz w:val="17"/>
        </w:rPr>
        <w:t> </w:t>
      </w:r>
      <w:r>
        <w:rPr>
          <w:rFonts w:ascii="Calibri" w:hAnsi="Calibri"/>
          <w:color w:val="231F20"/>
          <w:sz w:val="17"/>
        </w:rPr>
        <w:t>Torino,</w:t>
      </w:r>
      <w:r>
        <w:rPr>
          <w:rFonts w:ascii="Calibri" w:hAnsi="Calibri"/>
          <w:color w:val="231F20"/>
          <w:spacing w:val="-8"/>
          <w:sz w:val="17"/>
        </w:rPr>
        <w:t> </w:t>
      </w:r>
      <w:r>
        <w:rPr>
          <w:rFonts w:ascii="Calibri" w:hAnsi="Calibri"/>
          <w:color w:val="231F20"/>
          <w:sz w:val="17"/>
        </w:rPr>
        <w:t>Otto,</w:t>
      </w:r>
      <w:r>
        <w:rPr>
          <w:rFonts w:ascii="Calibri" w:hAnsi="Calibri"/>
          <w:color w:val="231F20"/>
          <w:spacing w:val="-8"/>
          <w:sz w:val="17"/>
        </w:rPr>
        <w:t> </w:t>
      </w:r>
      <w:r>
        <w:rPr>
          <w:rFonts w:ascii="Calibri" w:hAnsi="Calibri"/>
          <w:color w:val="231F20"/>
          <w:sz w:val="17"/>
        </w:rPr>
        <w:t>2013,</w:t>
      </w:r>
      <w:r>
        <w:rPr>
          <w:rFonts w:ascii="Calibri" w:hAnsi="Calibri"/>
          <w:color w:val="231F20"/>
          <w:spacing w:val="-8"/>
          <w:sz w:val="17"/>
        </w:rPr>
        <w:t> </w:t>
      </w:r>
      <w:r>
        <w:rPr>
          <w:rFonts w:ascii="Calibri" w:hAnsi="Calibri"/>
          <w:color w:val="231F20"/>
          <w:sz w:val="17"/>
        </w:rPr>
        <w:t>pp.</w:t>
      </w:r>
      <w:r>
        <w:rPr>
          <w:rFonts w:ascii="Calibri" w:hAnsi="Calibri"/>
          <w:color w:val="231F20"/>
          <w:spacing w:val="-8"/>
          <w:sz w:val="17"/>
        </w:rPr>
        <w:t> </w:t>
      </w:r>
      <w:r>
        <w:rPr>
          <w:rFonts w:ascii="Calibri" w:hAnsi="Calibri"/>
          <w:color w:val="231F20"/>
          <w:sz w:val="17"/>
        </w:rPr>
        <w:t>205–224.</w:t>
      </w:r>
    </w:p>
    <w:p>
      <w:pPr>
        <w:spacing w:after="0" w:line="208" w:lineRule="auto"/>
        <w:jc w:val="both"/>
        <w:rPr>
          <w:rFonts w:ascii="Calibri" w:hAnsi="Calibri"/>
          <w:sz w:val="17"/>
        </w:rPr>
        <w:sectPr>
          <w:pgSz w:w="9640" w:h="13890"/>
          <w:pgMar w:top="0" w:bottom="280" w:left="1300" w:right="1180"/>
        </w:sectPr>
      </w:pPr>
    </w:p>
    <w:p>
      <w:pPr>
        <w:pStyle w:val="BodyText"/>
        <w:spacing w:line="247" w:lineRule="auto" w:before="107"/>
        <w:ind w:left="103" w:right="108"/>
        <w:jc w:val="both"/>
      </w:pPr>
      <w:r>
        <w:rPr>
          <w:color w:val="231F20"/>
        </w:rPr>
        <w:t>progressivamente inadeguato tanto dal punto di vista organizzativo, cioè in relazione alla dimensione globale dei rapporti capitalistici di produzione, quanto dal punto di vista normativo, perché il richiamo alla nazione non costituisce</w:t>
      </w:r>
      <w:r>
        <w:rPr>
          <w:color w:val="231F20"/>
          <w:spacing w:val="-20"/>
        </w:rPr>
        <w:t> </w:t>
      </w:r>
      <w:r>
        <w:rPr>
          <w:color w:val="231F20"/>
        </w:rPr>
        <w:t>più</w:t>
      </w:r>
      <w:r>
        <w:rPr>
          <w:color w:val="231F20"/>
          <w:spacing w:val="-20"/>
        </w:rPr>
        <w:t> </w:t>
      </w:r>
      <w:r>
        <w:rPr>
          <w:color w:val="231F20"/>
        </w:rPr>
        <w:t>un</w:t>
      </w:r>
      <w:r>
        <w:rPr>
          <w:color w:val="231F20"/>
          <w:spacing w:val="-20"/>
        </w:rPr>
        <w:t> </w:t>
      </w:r>
      <w:r>
        <w:rPr>
          <w:color w:val="231F20"/>
        </w:rPr>
        <w:t>riferimento</w:t>
      </w:r>
      <w:r>
        <w:rPr>
          <w:color w:val="231F20"/>
          <w:spacing w:val="-20"/>
        </w:rPr>
        <w:t> </w:t>
      </w:r>
      <w:r>
        <w:rPr>
          <w:color w:val="231F20"/>
        </w:rPr>
        <w:t>normativo</w:t>
      </w:r>
      <w:r>
        <w:rPr>
          <w:color w:val="231F20"/>
          <w:spacing w:val="-20"/>
        </w:rPr>
        <w:t> </w:t>
      </w:r>
      <w:r>
        <w:rPr>
          <w:color w:val="231F20"/>
        </w:rPr>
        <w:t>adeguato</w:t>
      </w:r>
      <w:r>
        <w:rPr>
          <w:color w:val="231F20"/>
          <w:spacing w:val="-20"/>
        </w:rPr>
        <w:t> </w:t>
      </w:r>
      <w:r>
        <w:rPr>
          <w:color w:val="231F20"/>
        </w:rPr>
        <w:t>e</w:t>
      </w:r>
      <w:r>
        <w:rPr>
          <w:color w:val="231F20"/>
          <w:spacing w:val="-20"/>
        </w:rPr>
        <w:t> </w:t>
      </w:r>
      <w:r>
        <w:rPr>
          <w:color w:val="231F20"/>
          <w:spacing w:val="-3"/>
        </w:rPr>
        <w:t>sufficiente</w:t>
      </w:r>
      <w:r>
        <w:rPr>
          <w:color w:val="231F20"/>
          <w:spacing w:val="-20"/>
        </w:rPr>
        <w:t> </w:t>
      </w:r>
      <w:r>
        <w:rPr>
          <w:color w:val="231F20"/>
        </w:rPr>
        <w:t>a</w:t>
      </w:r>
      <w:r>
        <w:rPr>
          <w:color w:val="231F20"/>
          <w:spacing w:val="-20"/>
        </w:rPr>
        <w:t> </w:t>
      </w:r>
      <w:r>
        <w:rPr>
          <w:color w:val="231F20"/>
          <w:spacing w:val="-3"/>
        </w:rPr>
        <w:t>fronte</w:t>
      </w:r>
      <w:r>
        <w:rPr>
          <w:color w:val="231F20"/>
          <w:spacing w:val="-20"/>
        </w:rPr>
        <w:t> </w:t>
      </w:r>
      <w:r>
        <w:rPr>
          <w:color w:val="231F20"/>
        </w:rPr>
        <w:t>della </w:t>
      </w:r>
      <w:r>
        <w:rPr>
          <w:color w:val="231F20"/>
          <w:spacing w:val="-3"/>
        </w:rPr>
        <w:t>tensione manifesta </w:t>
      </w:r>
      <w:r>
        <w:rPr>
          <w:color w:val="231F20"/>
        </w:rPr>
        <w:t>tra </w:t>
      </w:r>
      <w:r>
        <w:rPr>
          <w:color w:val="231F20"/>
          <w:spacing w:val="-3"/>
        </w:rPr>
        <w:t>popolo </w:t>
      </w:r>
      <w:r>
        <w:rPr>
          <w:color w:val="231F20"/>
        </w:rPr>
        <w:t>e </w:t>
      </w:r>
      <w:r>
        <w:rPr>
          <w:color w:val="231F20"/>
          <w:spacing w:val="-3"/>
        </w:rPr>
        <w:t>popolazione. </w:t>
      </w:r>
      <w:r>
        <w:rPr>
          <w:color w:val="231F20"/>
          <w:spacing w:val="-5"/>
        </w:rPr>
        <w:t>Tuttavia, </w:t>
      </w:r>
      <w:r>
        <w:rPr>
          <w:color w:val="231F20"/>
        </w:rPr>
        <w:t>il </w:t>
      </w:r>
      <w:r>
        <w:rPr>
          <w:color w:val="231F20"/>
          <w:spacing w:val="-3"/>
        </w:rPr>
        <w:t>fatto empiricamente </w:t>
      </w:r>
      <w:r>
        <w:rPr>
          <w:color w:val="231F20"/>
        </w:rPr>
        <w:t>facilmente osservabile che il capitalismo non sia solo globale</w:t>
      </w:r>
      <w:r>
        <w:rPr>
          <w:color w:val="231F20"/>
          <w:position w:val="7"/>
          <w:sz w:val="12"/>
        </w:rPr>
        <w:t>37</w:t>
      </w:r>
      <w:r>
        <w:rPr>
          <w:color w:val="231F20"/>
        </w:rPr>
        <w:t>, così come che il quadro normativo non sia solo cosmopolitico, consente allo Stato di tornare</w:t>
      </w:r>
      <w:r>
        <w:rPr>
          <w:color w:val="231F20"/>
          <w:spacing w:val="-12"/>
        </w:rPr>
        <w:t> </w:t>
      </w:r>
      <w:r>
        <w:rPr>
          <w:color w:val="231F20"/>
        </w:rPr>
        <w:t>costantemente</w:t>
      </w:r>
      <w:r>
        <w:rPr>
          <w:color w:val="231F20"/>
          <w:spacing w:val="-12"/>
        </w:rPr>
        <w:t> </w:t>
      </w:r>
      <w:r>
        <w:rPr>
          <w:color w:val="231F20"/>
        </w:rPr>
        <w:t>in</w:t>
      </w:r>
      <w:r>
        <w:rPr>
          <w:color w:val="231F20"/>
          <w:spacing w:val="-12"/>
        </w:rPr>
        <w:t> </w:t>
      </w:r>
      <w:r>
        <w:rPr>
          <w:color w:val="231F20"/>
        </w:rPr>
        <w:t>gioco</w:t>
      </w:r>
      <w:r>
        <w:rPr>
          <w:color w:val="231F20"/>
          <w:spacing w:val="-12"/>
        </w:rPr>
        <w:t> </w:t>
      </w:r>
      <w:r>
        <w:rPr>
          <w:color w:val="231F20"/>
        </w:rPr>
        <w:t>nella</w:t>
      </w:r>
      <w:r>
        <w:rPr>
          <w:color w:val="231F20"/>
          <w:spacing w:val="-12"/>
        </w:rPr>
        <w:t> </w:t>
      </w:r>
      <w:r>
        <w:rPr>
          <w:color w:val="231F20"/>
        </w:rPr>
        <w:t>duplice</w:t>
      </w:r>
      <w:r>
        <w:rPr>
          <w:color w:val="231F20"/>
          <w:spacing w:val="-12"/>
        </w:rPr>
        <w:t> </w:t>
      </w:r>
      <w:r>
        <w:rPr>
          <w:color w:val="231F20"/>
        </w:rPr>
        <w:t>veste</w:t>
      </w:r>
      <w:r>
        <w:rPr>
          <w:color w:val="231F20"/>
          <w:spacing w:val="-12"/>
        </w:rPr>
        <w:t> </w:t>
      </w:r>
      <w:r>
        <w:rPr>
          <w:color w:val="231F20"/>
        </w:rPr>
        <w:t>di</w:t>
      </w:r>
      <w:r>
        <w:rPr>
          <w:color w:val="231F20"/>
          <w:spacing w:val="-12"/>
        </w:rPr>
        <w:t> </w:t>
      </w:r>
      <w:r>
        <w:rPr>
          <w:color w:val="231F20"/>
        </w:rPr>
        <w:t>giocatore</w:t>
      </w:r>
      <w:r>
        <w:rPr>
          <w:color w:val="231F20"/>
          <w:spacing w:val="-12"/>
        </w:rPr>
        <w:t> </w:t>
      </w:r>
      <w:r>
        <w:rPr>
          <w:color w:val="231F20"/>
        </w:rPr>
        <w:t>o</w:t>
      </w:r>
      <w:r>
        <w:rPr>
          <w:color w:val="231F20"/>
          <w:spacing w:val="-12"/>
        </w:rPr>
        <w:t> </w:t>
      </w:r>
      <w:r>
        <w:rPr>
          <w:color w:val="231F20"/>
        </w:rPr>
        <w:t>di</w:t>
      </w:r>
      <w:r>
        <w:rPr>
          <w:color w:val="231F20"/>
          <w:spacing w:val="-12"/>
        </w:rPr>
        <w:t> </w:t>
      </w:r>
      <w:r>
        <w:rPr>
          <w:color w:val="231F20"/>
        </w:rPr>
        <w:t>garante del gioco medesimo, mentre allo stesso tempo esso è anche solamente  un soggetto più o meno rilevante del capitalismo globale e dell’ordine giuridico transnazionale. Questa oscillazione tra ruoli diversi genera anche l’incertezza nella rappresentazione complessiva di quello che conosciamo come</w:t>
      </w:r>
      <w:r>
        <w:rPr>
          <w:color w:val="231F20"/>
          <w:spacing w:val="-13"/>
        </w:rPr>
        <w:t> </w:t>
      </w:r>
      <w:r>
        <w:rPr>
          <w:color w:val="231F20"/>
        </w:rPr>
        <w:t>Stato</w:t>
      </w:r>
      <w:r>
        <w:rPr>
          <w:color w:val="231F20"/>
          <w:spacing w:val="-13"/>
        </w:rPr>
        <w:t> </w:t>
      </w:r>
      <w:r>
        <w:rPr>
          <w:color w:val="231F20"/>
        </w:rPr>
        <w:t>nazione,</w:t>
      </w:r>
      <w:r>
        <w:rPr>
          <w:color w:val="231F20"/>
          <w:spacing w:val="-13"/>
        </w:rPr>
        <w:t> </w:t>
      </w:r>
      <w:r>
        <w:rPr>
          <w:color w:val="231F20"/>
        </w:rPr>
        <w:t>titolare</w:t>
      </w:r>
      <w:r>
        <w:rPr>
          <w:color w:val="231F20"/>
          <w:spacing w:val="-13"/>
        </w:rPr>
        <w:t> </w:t>
      </w:r>
      <w:r>
        <w:rPr>
          <w:color w:val="231F20"/>
        </w:rPr>
        <w:t>della</w:t>
      </w:r>
      <w:r>
        <w:rPr>
          <w:color w:val="231F20"/>
          <w:spacing w:val="-13"/>
        </w:rPr>
        <w:t> </w:t>
      </w:r>
      <w:r>
        <w:rPr>
          <w:color w:val="231F20"/>
        </w:rPr>
        <w:t>potestà</w:t>
      </w:r>
      <w:r>
        <w:rPr>
          <w:color w:val="231F20"/>
          <w:spacing w:val="-13"/>
        </w:rPr>
        <w:t> </w:t>
      </w:r>
      <w:r>
        <w:rPr>
          <w:color w:val="231F20"/>
        </w:rPr>
        <w:t>esclusiva</w:t>
      </w:r>
      <w:r>
        <w:rPr>
          <w:color w:val="231F20"/>
          <w:spacing w:val="-13"/>
        </w:rPr>
        <w:t> </w:t>
      </w:r>
      <w:r>
        <w:rPr>
          <w:color w:val="231F20"/>
        </w:rPr>
        <w:t>di</w:t>
      </w:r>
      <w:r>
        <w:rPr>
          <w:color w:val="231F20"/>
          <w:spacing w:val="-13"/>
        </w:rPr>
        <w:t> </w:t>
      </w:r>
      <w:r>
        <w:rPr>
          <w:color w:val="231F20"/>
        </w:rPr>
        <w:t>produzione</w:t>
      </w:r>
      <w:r>
        <w:rPr>
          <w:color w:val="231F20"/>
          <w:spacing w:val="-13"/>
        </w:rPr>
        <w:t> </w:t>
      </w:r>
      <w:r>
        <w:rPr>
          <w:color w:val="231F20"/>
        </w:rPr>
        <w:t>del</w:t>
      </w:r>
      <w:r>
        <w:rPr>
          <w:color w:val="231F20"/>
          <w:spacing w:val="-13"/>
        </w:rPr>
        <w:t> </w:t>
      </w:r>
      <w:r>
        <w:rPr>
          <w:color w:val="231F20"/>
        </w:rPr>
        <w:t>diritto positivo. Quest’ultimo si colloca invece sul crinale della contraddizione tra </w:t>
      </w:r>
      <w:r>
        <w:rPr>
          <w:color w:val="231F20"/>
          <w:spacing w:val="-3"/>
        </w:rPr>
        <w:t>ordinamento</w:t>
      </w:r>
      <w:r>
        <w:rPr>
          <w:color w:val="231F20"/>
          <w:spacing w:val="-17"/>
        </w:rPr>
        <w:t> </w:t>
      </w:r>
      <w:r>
        <w:rPr>
          <w:color w:val="231F20"/>
        </w:rPr>
        <w:t>normativo</w:t>
      </w:r>
      <w:r>
        <w:rPr>
          <w:color w:val="231F20"/>
          <w:spacing w:val="-17"/>
        </w:rPr>
        <w:t> </w:t>
      </w:r>
      <w:r>
        <w:rPr>
          <w:color w:val="231F20"/>
        </w:rPr>
        <w:t>della</w:t>
      </w:r>
      <w:r>
        <w:rPr>
          <w:color w:val="231F20"/>
          <w:spacing w:val="-17"/>
        </w:rPr>
        <w:t> </w:t>
      </w:r>
      <w:r>
        <w:rPr>
          <w:color w:val="231F20"/>
        </w:rPr>
        <w:t>società</w:t>
      </w:r>
      <w:r>
        <w:rPr>
          <w:color w:val="231F20"/>
          <w:spacing w:val="-17"/>
        </w:rPr>
        <w:t> </w:t>
      </w:r>
      <w:r>
        <w:rPr>
          <w:color w:val="231F20"/>
        </w:rPr>
        <w:t>e</w:t>
      </w:r>
      <w:r>
        <w:rPr>
          <w:color w:val="231F20"/>
          <w:spacing w:val="-17"/>
        </w:rPr>
        <w:t> </w:t>
      </w:r>
      <w:r>
        <w:rPr>
          <w:color w:val="231F20"/>
        </w:rPr>
        <w:t>la</w:t>
      </w:r>
      <w:r>
        <w:rPr>
          <w:color w:val="231F20"/>
          <w:spacing w:val="-17"/>
        </w:rPr>
        <w:t> </w:t>
      </w:r>
      <w:r>
        <w:rPr>
          <w:color w:val="231F20"/>
        </w:rPr>
        <w:t>sua</w:t>
      </w:r>
      <w:r>
        <w:rPr>
          <w:color w:val="231F20"/>
          <w:spacing w:val="-17"/>
        </w:rPr>
        <w:t> </w:t>
      </w:r>
      <w:r>
        <w:rPr>
          <w:color w:val="231F20"/>
          <w:spacing w:val="-3"/>
        </w:rPr>
        <w:t>organizzazione.</w:t>
      </w:r>
      <w:r>
        <w:rPr>
          <w:color w:val="231F20"/>
          <w:spacing w:val="-17"/>
        </w:rPr>
        <w:t> </w:t>
      </w:r>
      <w:r>
        <w:rPr>
          <w:color w:val="231F20"/>
        </w:rPr>
        <w:t>Esso</w:t>
      </w:r>
      <w:r>
        <w:rPr>
          <w:color w:val="231F20"/>
          <w:spacing w:val="-17"/>
        </w:rPr>
        <w:t> </w:t>
      </w:r>
      <w:r>
        <w:rPr>
          <w:color w:val="231F20"/>
        </w:rPr>
        <w:t>è</w:t>
      </w:r>
      <w:r>
        <w:rPr>
          <w:color w:val="231F20"/>
          <w:spacing w:val="-17"/>
        </w:rPr>
        <w:t> </w:t>
      </w:r>
      <w:r>
        <w:rPr>
          <w:color w:val="231F20"/>
        </w:rPr>
        <w:t>in</w:t>
      </w:r>
      <w:r>
        <w:rPr>
          <w:color w:val="231F20"/>
          <w:spacing w:val="-17"/>
        </w:rPr>
        <w:t> </w:t>
      </w:r>
      <w:r>
        <w:rPr>
          <w:color w:val="231F20"/>
        </w:rPr>
        <w:t>grado di</w:t>
      </w:r>
      <w:r>
        <w:rPr>
          <w:color w:val="231F20"/>
          <w:spacing w:val="-6"/>
        </w:rPr>
        <w:t> </w:t>
      </w:r>
      <w:r>
        <w:rPr>
          <w:color w:val="231F20"/>
        </w:rPr>
        <w:t>farlo</w:t>
      </w:r>
      <w:r>
        <w:rPr>
          <w:color w:val="231F20"/>
          <w:spacing w:val="-6"/>
        </w:rPr>
        <w:t> </w:t>
      </w:r>
      <w:r>
        <w:rPr>
          <w:color w:val="231F20"/>
        </w:rPr>
        <w:t>perché,</w:t>
      </w:r>
      <w:r>
        <w:rPr>
          <w:color w:val="231F20"/>
          <w:spacing w:val="-6"/>
        </w:rPr>
        <w:t> </w:t>
      </w:r>
      <w:r>
        <w:rPr>
          <w:color w:val="231F20"/>
        </w:rPr>
        <w:t>come</w:t>
      </w:r>
      <w:r>
        <w:rPr>
          <w:color w:val="231F20"/>
          <w:spacing w:val="-6"/>
        </w:rPr>
        <w:t> </w:t>
      </w:r>
      <w:r>
        <w:rPr>
          <w:color w:val="231F20"/>
        </w:rPr>
        <w:t>vedremo,</w:t>
      </w:r>
      <w:r>
        <w:rPr>
          <w:color w:val="231F20"/>
          <w:spacing w:val="-6"/>
        </w:rPr>
        <w:t> </w:t>
      </w:r>
      <w:r>
        <w:rPr>
          <w:color w:val="231F20"/>
        </w:rPr>
        <w:t>può</w:t>
      </w:r>
      <w:r>
        <w:rPr>
          <w:color w:val="231F20"/>
          <w:spacing w:val="-6"/>
        </w:rPr>
        <w:t> </w:t>
      </w:r>
      <w:r>
        <w:rPr>
          <w:color w:val="231F20"/>
        </w:rPr>
        <w:t>utilizzare</w:t>
      </w:r>
      <w:r>
        <w:rPr>
          <w:color w:val="231F20"/>
          <w:spacing w:val="-6"/>
        </w:rPr>
        <w:t> </w:t>
      </w:r>
      <w:r>
        <w:rPr>
          <w:color w:val="231F20"/>
        </w:rPr>
        <w:t>risorse</w:t>
      </w:r>
      <w:r>
        <w:rPr>
          <w:color w:val="231F20"/>
          <w:spacing w:val="-6"/>
        </w:rPr>
        <w:t> </w:t>
      </w:r>
      <w:r>
        <w:rPr>
          <w:color w:val="231F20"/>
        </w:rPr>
        <w:t>normative</w:t>
      </w:r>
      <w:r>
        <w:rPr>
          <w:color w:val="231F20"/>
          <w:spacing w:val="-6"/>
        </w:rPr>
        <w:t> </w:t>
      </w:r>
      <w:r>
        <w:rPr>
          <w:color w:val="231F20"/>
        </w:rPr>
        <w:t>provenienti dai processi di disciplinamento e di governamentalizzazione per garantire la legittimità delle sue pretese sovrane. Lo Stato globale è cioè in grado di garantire la propria continuità perché può utilizzare ordinamenti normativi che non produce e che nemmeno legittima. I processi di disciplinamento  e di governamentalizzazione non rappresentano né un’alternativa né una </w:t>
      </w:r>
      <w:r>
        <w:rPr>
          <w:color w:val="231F20"/>
          <w:spacing w:val="3"/>
        </w:rPr>
        <w:t>contraddizione insanabile </w:t>
      </w:r>
      <w:r>
        <w:rPr>
          <w:color w:val="231F20"/>
          <w:spacing w:val="2"/>
        </w:rPr>
        <w:t>per </w:t>
      </w:r>
      <w:r>
        <w:rPr>
          <w:color w:val="231F20"/>
        </w:rPr>
        <w:t>la </w:t>
      </w:r>
      <w:r>
        <w:rPr>
          <w:color w:val="231F20"/>
          <w:spacing w:val="3"/>
        </w:rPr>
        <w:t>sovranità dello Stato. </w:t>
      </w:r>
      <w:r>
        <w:rPr>
          <w:color w:val="231F20"/>
        </w:rPr>
        <w:t>La </w:t>
      </w:r>
      <w:r>
        <w:rPr>
          <w:color w:val="231F20"/>
          <w:spacing w:val="4"/>
        </w:rPr>
        <w:t>molteplicità </w:t>
      </w:r>
      <w:r>
        <w:rPr>
          <w:color w:val="231F20"/>
          <w:spacing w:val="2"/>
        </w:rPr>
        <w:t>delle forme </w:t>
      </w:r>
      <w:r>
        <w:rPr>
          <w:color w:val="231F20"/>
        </w:rPr>
        <w:t>di </w:t>
      </w:r>
      <w:r>
        <w:rPr>
          <w:color w:val="231F20"/>
          <w:spacing w:val="2"/>
        </w:rPr>
        <w:t>accesso statale all’ordinamento normativo </w:t>
      </w:r>
      <w:r>
        <w:rPr>
          <w:color w:val="231F20"/>
        </w:rPr>
        <w:t>produce </w:t>
      </w:r>
      <w:r>
        <w:rPr>
          <w:color w:val="231F20"/>
          <w:spacing w:val="3"/>
        </w:rPr>
        <w:t>una </w:t>
      </w:r>
      <w:r>
        <w:rPr>
          <w:color w:val="231F20"/>
        </w:rPr>
        <w:t>corrispondente </w:t>
      </w:r>
      <w:r>
        <w:rPr>
          <w:color w:val="231F20"/>
          <w:spacing w:val="2"/>
        </w:rPr>
        <w:t>molteplicità </w:t>
      </w:r>
      <w:r>
        <w:rPr>
          <w:color w:val="231F20"/>
        </w:rPr>
        <w:t>di forme empiriche di Stato, senza che </w:t>
      </w:r>
      <w:r>
        <w:rPr>
          <w:color w:val="231F20"/>
          <w:spacing w:val="2"/>
        </w:rPr>
        <w:t>ciò </w:t>
      </w:r>
      <w:r>
        <w:rPr>
          <w:color w:val="231F20"/>
        </w:rPr>
        <w:t>comporti l’impossibilità di costruire un concetto complessivo di </w:t>
      </w:r>
      <w:r>
        <w:rPr>
          <w:color w:val="231F20"/>
          <w:spacing w:val="29"/>
        </w:rPr>
        <w:t> </w:t>
      </w:r>
      <w:r>
        <w:rPr>
          <w:color w:val="231F20"/>
        </w:rPr>
        <w:t>Stato.</w:t>
      </w:r>
    </w:p>
    <w:p>
      <w:pPr>
        <w:pStyle w:val="BodyText"/>
        <w:spacing w:line="247" w:lineRule="auto"/>
        <w:ind w:left="103" w:right="111" w:firstLine="566"/>
        <w:jc w:val="both"/>
      </w:pPr>
      <w:r>
        <w:rPr>
          <w:color w:val="231F20"/>
        </w:rPr>
        <w:t>Vi sono a mio parere tre indicatori significativi per il passaggio dallo </w:t>
      </w:r>
      <w:r>
        <w:rPr>
          <w:color w:val="231F20"/>
          <w:spacing w:val="2"/>
        </w:rPr>
        <w:t>Stato moderno allo Stato globale. </w:t>
      </w:r>
      <w:r>
        <w:rPr>
          <w:color w:val="231F20"/>
        </w:rPr>
        <w:t>In </w:t>
      </w:r>
      <w:r>
        <w:rPr>
          <w:color w:val="231F20"/>
          <w:spacing w:val="2"/>
        </w:rPr>
        <w:t>tutti </w:t>
      </w:r>
      <w:r>
        <w:rPr>
          <w:color w:val="231F20"/>
        </w:rPr>
        <w:t>e tre i </w:t>
      </w:r>
      <w:r>
        <w:rPr>
          <w:color w:val="231F20"/>
          <w:spacing w:val="2"/>
        </w:rPr>
        <w:t>casi essi registrano </w:t>
      </w:r>
      <w:r>
        <w:rPr>
          <w:color w:val="231F20"/>
          <w:spacing w:val="3"/>
        </w:rPr>
        <w:t>la </w:t>
      </w:r>
      <w:r>
        <w:rPr>
          <w:color w:val="231F20"/>
        </w:rPr>
        <w:t>presenza</w:t>
      </w:r>
      <w:r>
        <w:rPr>
          <w:color w:val="231F20"/>
          <w:spacing w:val="-13"/>
        </w:rPr>
        <w:t> </w:t>
      </w:r>
      <w:r>
        <w:rPr>
          <w:color w:val="231F20"/>
        </w:rPr>
        <w:t>di</w:t>
      </w:r>
      <w:r>
        <w:rPr>
          <w:color w:val="231F20"/>
          <w:spacing w:val="-13"/>
        </w:rPr>
        <w:t> </w:t>
      </w:r>
      <w:r>
        <w:rPr>
          <w:color w:val="231F20"/>
        </w:rPr>
        <w:t>una</w:t>
      </w:r>
      <w:r>
        <w:rPr>
          <w:color w:val="231F20"/>
          <w:spacing w:val="-13"/>
        </w:rPr>
        <w:t> </w:t>
      </w:r>
      <w:r>
        <w:rPr>
          <w:color w:val="231F20"/>
        </w:rPr>
        <w:t>cesura</w:t>
      </w:r>
      <w:r>
        <w:rPr>
          <w:color w:val="231F20"/>
          <w:spacing w:val="-13"/>
        </w:rPr>
        <w:t> </w:t>
      </w:r>
      <w:r>
        <w:rPr>
          <w:color w:val="231F20"/>
        </w:rPr>
        <w:t>all’interno</w:t>
      </w:r>
      <w:r>
        <w:rPr>
          <w:color w:val="231F20"/>
          <w:spacing w:val="-13"/>
        </w:rPr>
        <w:t> </w:t>
      </w:r>
      <w:r>
        <w:rPr>
          <w:color w:val="231F20"/>
        </w:rPr>
        <w:t>della</w:t>
      </w:r>
      <w:r>
        <w:rPr>
          <w:color w:val="231F20"/>
          <w:spacing w:val="-13"/>
        </w:rPr>
        <w:t> </w:t>
      </w:r>
      <w:r>
        <w:rPr>
          <w:color w:val="231F20"/>
        </w:rPr>
        <w:t>continuità</w:t>
      </w:r>
      <w:r>
        <w:rPr>
          <w:color w:val="231F20"/>
          <w:spacing w:val="-13"/>
        </w:rPr>
        <w:t> </w:t>
      </w:r>
      <w:r>
        <w:rPr>
          <w:color w:val="231F20"/>
        </w:rPr>
        <w:t>della</w:t>
      </w:r>
      <w:r>
        <w:rPr>
          <w:color w:val="231F20"/>
          <w:spacing w:val="-13"/>
        </w:rPr>
        <w:t> </w:t>
      </w:r>
      <w:r>
        <w:rPr>
          <w:color w:val="231F20"/>
        </w:rPr>
        <w:t>storia</w:t>
      </w:r>
      <w:r>
        <w:rPr>
          <w:color w:val="231F20"/>
          <w:spacing w:val="-13"/>
        </w:rPr>
        <w:t> </w:t>
      </w:r>
      <w:r>
        <w:rPr>
          <w:color w:val="231F20"/>
        </w:rPr>
        <w:t>dello</w:t>
      </w:r>
      <w:r>
        <w:rPr>
          <w:color w:val="231F20"/>
          <w:spacing w:val="-13"/>
        </w:rPr>
        <w:t> </w:t>
      </w:r>
      <w:r>
        <w:rPr>
          <w:color w:val="231F20"/>
        </w:rPr>
        <w:t>Stato:</w:t>
      </w:r>
      <w:r>
        <w:rPr>
          <w:color w:val="231F20"/>
          <w:spacing w:val="-13"/>
        </w:rPr>
        <w:t> </w:t>
      </w:r>
      <w:r>
        <w:rPr>
          <w:color w:val="231F20"/>
        </w:rPr>
        <w:t>a) lo</w:t>
      </w:r>
      <w:r>
        <w:rPr>
          <w:color w:val="231F20"/>
          <w:spacing w:val="-13"/>
        </w:rPr>
        <w:t> </w:t>
      </w:r>
      <w:r>
        <w:rPr>
          <w:color w:val="231F20"/>
        </w:rPr>
        <w:t>Stato</w:t>
      </w:r>
      <w:r>
        <w:rPr>
          <w:color w:val="231F20"/>
          <w:spacing w:val="-13"/>
        </w:rPr>
        <w:t> </w:t>
      </w:r>
      <w:r>
        <w:rPr>
          <w:color w:val="231F20"/>
        </w:rPr>
        <w:t>globale</w:t>
      </w:r>
      <w:r>
        <w:rPr>
          <w:color w:val="231F20"/>
          <w:spacing w:val="-13"/>
        </w:rPr>
        <w:t> </w:t>
      </w:r>
      <w:r>
        <w:rPr>
          <w:color w:val="231F20"/>
        </w:rPr>
        <w:t>non</w:t>
      </w:r>
      <w:r>
        <w:rPr>
          <w:color w:val="231F20"/>
          <w:spacing w:val="-13"/>
        </w:rPr>
        <w:t> </w:t>
      </w:r>
      <w:r>
        <w:rPr>
          <w:color w:val="231F20"/>
        </w:rPr>
        <w:t>può</w:t>
      </w:r>
      <w:r>
        <w:rPr>
          <w:color w:val="231F20"/>
          <w:spacing w:val="-13"/>
        </w:rPr>
        <w:t> </w:t>
      </w:r>
      <w:r>
        <w:rPr>
          <w:color w:val="231F20"/>
          <w:spacing w:val="-3"/>
        </w:rPr>
        <w:t>assumere</w:t>
      </w:r>
      <w:r>
        <w:rPr>
          <w:color w:val="231F20"/>
          <w:spacing w:val="-13"/>
        </w:rPr>
        <w:t> </w:t>
      </w:r>
      <w:r>
        <w:rPr>
          <w:color w:val="231F20"/>
        </w:rPr>
        <w:t>l’origine</w:t>
      </w:r>
      <w:r>
        <w:rPr>
          <w:color w:val="231F20"/>
          <w:spacing w:val="-13"/>
        </w:rPr>
        <w:t> </w:t>
      </w:r>
      <w:r>
        <w:rPr>
          <w:color w:val="231F20"/>
        </w:rPr>
        <w:t>dello</w:t>
      </w:r>
      <w:r>
        <w:rPr>
          <w:color w:val="231F20"/>
          <w:spacing w:val="-13"/>
        </w:rPr>
        <w:t> </w:t>
      </w:r>
      <w:r>
        <w:rPr>
          <w:color w:val="231F20"/>
        </w:rPr>
        <w:t>Stato</w:t>
      </w:r>
      <w:r>
        <w:rPr>
          <w:color w:val="231F20"/>
          <w:spacing w:val="-13"/>
        </w:rPr>
        <w:t> </w:t>
      </w:r>
      <w:r>
        <w:rPr>
          <w:color w:val="231F20"/>
        </w:rPr>
        <w:t>come</w:t>
      </w:r>
      <w:r>
        <w:rPr>
          <w:color w:val="231F20"/>
          <w:spacing w:val="-13"/>
        </w:rPr>
        <w:t> </w:t>
      </w:r>
      <w:r>
        <w:rPr>
          <w:color w:val="231F20"/>
        </w:rPr>
        <w:t>assolutamente significativa per il suo concetto. Lo Stato globale non è quindi solamente la</w:t>
      </w:r>
      <w:r>
        <w:rPr>
          <w:color w:val="231F20"/>
          <w:spacing w:val="-8"/>
        </w:rPr>
        <w:t> </w:t>
      </w:r>
      <w:r>
        <w:rPr>
          <w:color w:val="231F20"/>
        </w:rPr>
        <w:t>progressione</w:t>
      </w:r>
      <w:r>
        <w:rPr>
          <w:color w:val="231F20"/>
          <w:spacing w:val="-8"/>
        </w:rPr>
        <w:t> </w:t>
      </w:r>
      <w:r>
        <w:rPr>
          <w:color w:val="231F20"/>
        </w:rPr>
        <w:t>infinita</w:t>
      </w:r>
      <w:r>
        <w:rPr>
          <w:color w:val="231F20"/>
          <w:spacing w:val="-8"/>
        </w:rPr>
        <w:t> </w:t>
      </w:r>
      <w:r>
        <w:rPr>
          <w:color w:val="231F20"/>
        </w:rPr>
        <w:t>dello</w:t>
      </w:r>
      <w:r>
        <w:rPr>
          <w:color w:val="231F20"/>
          <w:spacing w:val="-8"/>
        </w:rPr>
        <w:t> </w:t>
      </w:r>
      <w:r>
        <w:rPr>
          <w:color w:val="231F20"/>
        </w:rPr>
        <w:t>Stato</w:t>
      </w:r>
      <w:r>
        <w:rPr>
          <w:color w:val="231F20"/>
          <w:spacing w:val="-8"/>
        </w:rPr>
        <w:t> </w:t>
      </w:r>
      <w:r>
        <w:rPr>
          <w:color w:val="231F20"/>
        </w:rPr>
        <w:t>moderno;</w:t>
      </w:r>
      <w:r>
        <w:rPr>
          <w:color w:val="231F20"/>
          <w:spacing w:val="-8"/>
        </w:rPr>
        <w:t> </w:t>
      </w:r>
      <w:r>
        <w:rPr>
          <w:color w:val="231F20"/>
        </w:rPr>
        <w:t>b)</w:t>
      </w:r>
      <w:r>
        <w:rPr>
          <w:color w:val="231F20"/>
          <w:spacing w:val="-8"/>
        </w:rPr>
        <w:t> </w:t>
      </w:r>
      <w:r>
        <w:rPr>
          <w:color w:val="231F20"/>
        </w:rPr>
        <w:t>questa</w:t>
      </w:r>
      <w:r>
        <w:rPr>
          <w:color w:val="231F20"/>
          <w:spacing w:val="-8"/>
        </w:rPr>
        <w:t> </w:t>
      </w:r>
      <w:r>
        <w:rPr>
          <w:color w:val="231F20"/>
        </w:rPr>
        <w:t>discontinuità</w:t>
      </w:r>
      <w:r>
        <w:rPr>
          <w:color w:val="231F20"/>
          <w:spacing w:val="-8"/>
        </w:rPr>
        <w:t> </w:t>
      </w:r>
      <w:r>
        <w:rPr>
          <w:color w:val="231F20"/>
        </w:rPr>
        <w:t>storica corrisponde</w:t>
      </w:r>
      <w:r>
        <w:rPr>
          <w:color w:val="231F20"/>
          <w:spacing w:val="-16"/>
        </w:rPr>
        <w:t> </w:t>
      </w:r>
      <w:r>
        <w:rPr>
          <w:color w:val="231F20"/>
        </w:rPr>
        <w:t>a</w:t>
      </w:r>
      <w:r>
        <w:rPr>
          <w:color w:val="231F20"/>
          <w:spacing w:val="-16"/>
        </w:rPr>
        <w:t> </w:t>
      </w:r>
      <w:r>
        <w:rPr>
          <w:color w:val="231F20"/>
        </w:rPr>
        <w:t>una</w:t>
      </w:r>
      <w:r>
        <w:rPr>
          <w:color w:val="231F20"/>
          <w:spacing w:val="-16"/>
        </w:rPr>
        <w:t> </w:t>
      </w:r>
      <w:r>
        <w:rPr>
          <w:color w:val="231F20"/>
        </w:rPr>
        <w:t>cesura</w:t>
      </w:r>
      <w:r>
        <w:rPr>
          <w:color w:val="231F20"/>
          <w:spacing w:val="-16"/>
        </w:rPr>
        <w:t> </w:t>
      </w:r>
      <w:r>
        <w:rPr>
          <w:color w:val="231F20"/>
        </w:rPr>
        <w:t>tra</w:t>
      </w:r>
      <w:r>
        <w:rPr>
          <w:color w:val="231F20"/>
          <w:spacing w:val="-16"/>
        </w:rPr>
        <w:t> </w:t>
      </w:r>
      <w:r>
        <w:rPr>
          <w:color w:val="231F20"/>
        </w:rPr>
        <w:t>origine</w:t>
      </w:r>
      <w:r>
        <w:rPr>
          <w:color w:val="231F20"/>
          <w:spacing w:val="-16"/>
        </w:rPr>
        <w:t> </w:t>
      </w:r>
      <w:r>
        <w:rPr>
          <w:color w:val="231F20"/>
        </w:rPr>
        <w:t>e</w:t>
      </w:r>
      <w:r>
        <w:rPr>
          <w:color w:val="231F20"/>
          <w:spacing w:val="-16"/>
        </w:rPr>
        <w:t> </w:t>
      </w:r>
      <w:r>
        <w:rPr>
          <w:color w:val="231F20"/>
        </w:rPr>
        <w:t>funzionamento</w:t>
      </w:r>
      <w:r>
        <w:rPr>
          <w:color w:val="231F20"/>
          <w:spacing w:val="-16"/>
        </w:rPr>
        <w:t> </w:t>
      </w:r>
      <w:r>
        <w:rPr>
          <w:color w:val="231F20"/>
        </w:rPr>
        <w:t>dello</w:t>
      </w:r>
      <w:r>
        <w:rPr>
          <w:color w:val="231F20"/>
          <w:spacing w:val="-16"/>
        </w:rPr>
        <w:t> </w:t>
      </w:r>
      <w:r>
        <w:rPr>
          <w:color w:val="231F20"/>
        </w:rPr>
        <w:t>Stato,</w:t>
      </w:r>
      <w:r>
        <w:rPr>
          <w:color w:val="231F20"/>
          <w:spacing w:val="-16"/>
        </w:rPr>
        <w:t> </w:t>
      </w:r>
      <w:r>
        <w:rPr>
          <w:color w:val="231F20"/>
        </w:rPr>
        <w:t>alla</w:t>
      </w:r>
      <w:r>
        <w:rPr>
          <w:color w:val="231F20"/>
          <w:spacing w:val="-16"/>
        </w:rPr>
        <w:t> </w:t>
      </w:r>
      <w:r>
        <w:rPr>
          <w:color w:val="231F20"/>
        </w:rPr>
        <w:t>quale corrisponde</w:t>
      </w:r>
      <w:r>
        <w:rPr>
          <w:color w:val="231F20"/>
          <w:spacing w:val="-16"/>
        </w:rPr>
        <w:t> </w:t>
      </w:r>
      <w:r>
        <w:rPr>
          <w:color w:val="231F20"/>
        </w:rPr>
        <w:t>una</w:t>
      </w:r>
      <w:r>
        <w:rPr>
          <w:color w:val="231F20"/>
          <w:spacing w:val="-16"/>
        </w:rPr>
        <w:t> </w:t>
      </w:r>
      <w:r>
        <w:rPr>
          <w:color w:val="231F20"/>
        </w:rPr>
        <w:t>trasformazione</w:t>
      </w:r>
      <w:r>
        <w:rPr>
          <w:color w:val="231F20"/>
          <w:spacing w:val="-16"/>
        </w:rPr>
        <w:t> </w:t>
      </w:r>
      <w:r>
        <w:rPr>
          <w:color w:val="231F20"/>
        </w:rPr>
        <w:t>della</w:t>
      </w:r>
      <w:r>
        <w:rPr>
          <w:color w:val="231F20"/>
          <w:spacing w:val="-16"/>
        </w:rPr>
        <w:t> </w:t>
      </w:r>
      <w:r>
        <w:rPr>
          <w:color w:val="231F20"/>
        </w:rPr>
        <w:t>legittimità</w:t>
      </w:r>
      <w:r>
        <w:rPr>
          <w:color w:val="231F20"/>
          <w:spacing w:val="-16"/>
        </w:rPr>
        <w:t> </w:t>
      </w:r>
      <w:r>
        <w:rPr>
          <w:color w:val="231F20"/>
        </w:rPr>
        <w:t>dello</w:t>
      </w:r>
      <w:r>
        <w:rPr>
          <w:color w:val="231F20"/>
          <w:spacing w:val="-16"/>
        </w:rPr>
        <w:t> </w:t>
      </w:r>
      <w:r>
        <w:rPr>
          <w:color w:val="231F20"/>
        </w:rPr>
        <w:t>Stato</w:t>
      </w:r>
      <w:r>
        <w:rPr>
          <w:color w:val="231F20"/>
          <w:spacing w:val="-16"/>
        </w:rPr>
        <w:t> </w:t>
      </w:r>
      <w:r>
        <w:rPr>
          <w:color w:val="231F20"/>
        </w:rPr>
        <w:t>medesimo;</w:t>
      </w:r>
      <w:r>
        <w:rPr>
          <w:color w:val="231F20"/>
          <w:spacing w:val="-16"/>
        </w:rPr>
        <w:t> </w:t>
      </w:r>
      <w:r>
        <w:rPr>
          <w:color w:val="231F20"/>
        </w:rPr>
        <w:t>c)</w:t>
      </w:r>
      <w:r>
        <w:rPr>
          <w:color w:val="231F20"/>
          <w:spacing w:val="-16"/>
        </w:rPr>
        <w:t> </w:t>
      </w:r>
      <w:r>
        <w:rPr>
          <w:color w:val="231F20"/>
        </w:rPr>
        <w:t>le trasformazioni che si manifestano nello Stato globale sono particolarmente evidenti in quella della sovranità: da monopolio esclusivo di un agente a pratica</w:t>
      </w:r>
      <w:r>
        <w:rPr>
          <w:color w:val="231F20"/>
          <w:spacing w:val="-8"/>
        </w:rPr>
        <w:t> </w:t>
      </w:r>
      <w:r>
        <w:rPr>
          <w:color w:val="231F20"/>
        </w:rPr>
        <w:t>diffusa</w:t>
      </w:r>
      <w:r>
        <w:rPr>
          <w:color w:val="231F20"/>
          <w:spacing w:val="-8"/>
        </w:rPr>
        <w:t> </w:t>
      </w:r>
      <w:r>
        <w:rPr>
          <w:color w:val="231F20"/>
        </w:rPr>
        <w:t>di</w:t>
      </w:r>
      <w:r>
        <w:rPr>
          <w:color w:val="231F20"/>
          <w:spacing w:val="-8"/>
        </w:rPr>
        <w:t> </w:t>
      </w:r>
      <w:r>
        <w:rPr>
          <w:color w:val="231F20"/>
        </w:rPr>
        <w:t>una</w:t>
      </w:r>
      <w:r>
        <w:rPr>
          <w:color w:val="231F20"/>
          <w:spacing w:val="-8"/>
        </w:rPr>
        <w:t> </w:t>
      </w:r>
      <w:r>
        <w:rPr>
          <w:color w:val="231F20"/>
        </w:rPr>
        <w:t>serie</w:t>
      </w:r>
      <w:r>
        <w:rPr>
          <w:color w:val="231F20"/>
          <w:spacing w:val="-8"/>
        </w:rPr>
        <w:t> </w:t>
      </w:r>
      <w:r>
        <w:rPr>
          <w:color w:val="231F20"/>
        </w:rPr>
        <w:t>di</w:t>
      </w:r>
      <w:r>
        <w:rPr>
          <w:color w:val="231F20"/>
          <w:spacing w:val="-8"/>
        </w:rPr>
        <w:t> </w:t>
      </w:r>
      <w:r>
        <w:rPr>
          <w:color w:val="231F20"/>
        </w:rPr>
        <w:t>strutture</w:t>
      </w:r>
      <w:r>
        <w:rPr>
          <w:color w:val="231F20"/>
          <w:spacing w:val="-8"/>
        </w:rPr>
        <w:t> </w:t>
      </w:r>
      <w:r>
        <w:rPr>
          <w:color w:val="231F20"/>
        </w:rPr>
        <w:t>sociali.</w:t>
      </w:r>
    </w:p>
    <w:p>
      <w:pPr>
        <w:pStyle w:val="BodyText"/>
        <w:spacing w:line="247" w:lineRule="auto"/>
        <w:ind w:left="103" w:right="113" w:firstLine="566"/>
        <w:jc w:val="both"/>
      </w:pPr>
      <w:r>
        <w:rPr>
          <w:color w:val="231F20"/>
          <w:spacing w:val="-6"/>
          <w:w w:val="105"/>
        </w:rPr>
        <w:t>L’insieme</w:t>
      </w:r>
      <w:r>
        <w:rPr>
          <w:color w:val="231F20"/>
          <w:spacing w:val="-44"/>
          <w:w w:val="105"/>
        </w:rPr>
        <w:t> </w:t>
      </w:r>
      <w:r>
        <w:rPr>
          <w:color w:val="231F20"/>
          <w:w w:val="105"/>
        </w:rPr>
        <w:t>di</w:t>
      </w:r>
      <w:r>
        <w:rPr>
          <w:color w:val="231F20"/>
          <w:spacing w:val="-44"/>
          <w:w w:val="105"/>
        </w:rPr>
        <w:t> </w:t>
      </w:r>
      <w:r>
        <w:rPr>
          <w:color w:val="231F20"/>
          <w:spacing w:val="-3"/>
          <w:w w:val="105"/>
        </w:rPr>
        <w:t>queste</w:t>
      </w:r>
      <w:r>
        <w:rPr>
          <w:color w:val="231F20"/>
          <w:spacing w:val="-44"/>
          <w:w w:val="105"/>
        </w:rPr>
        <w:t> </w:t>
      </w:r>
      <w:r>
        <w:rPr>
          <w:color w:val="231F20"/>
          <w:spacing w:val="-3"/>
          <w:w w:val="105"/>
        </w:rPr>
        <w:t>contraddizioni</w:t>
      </w:r>
      <w:r>
        <w:rPr>
          <w:color w:val="231F20"/>
          <w:spacing w:val="-44"/>
          <w:w w:val="105"/>
        </w:rPr>
        <w:t> </w:t>
      </w:r>
      <w:r>
        <w:rPr>
          <w:color w:val="231F20"/>
          <w:w w:val="105"/>
        </w:rPr>
        <w:t>è,</w:t>
      </w:r>
      <w:r>
        <w:rPr>
          <w:color w:val="231F20"/>
          <w:spacing w:val="-44"/>
          <w:w w:val="105"/>
        </w:rPr>
        <w:t> </w:t>
      </w:r>
      <w:r>
        <w:rPr>
          <w:color w:val="231F20"/>
          <w:w w:val="105"/>
        </w:rPr>
        <w:t>a</w:t>
      </w:r>
      <w:r>
        <w:rPr>
          <w:color w:val="231F20"/>
          <w:spacing w:val="-44"/>
          <w:w w:val="105"/>
        </w:rPr>
        <w:t> </w:t>
      </w:r>
      <w:r>
        <w:rPr>
          <w:color w:val="231F20"/>
          <w:w w:val="105"/>
        </w:rPr>
        <w:t>mio</w:t>
      </w:r>
      <w:r>
        <w:rPr>
          <w:color w:val="231F20"/>
          <w:spacing w:val="-44"/>
          <w:w w:val="105"/>
        </w:rPr>
        <w:t> </w:t>
      </w:r>
      <w:r>
        <w:rPr>
          <w:color w:val="231F20"/>
          <w:spacing w:val="-4"/>
          <w:w w:val="105"/>
        </w:rPr>
        <w:t>parere,</w:t>
      </w:r>
      <w:r>
        <w:rPr>
          <w:color w:val="231F20"/>
          <w:spacing w:val="-44"/>
          <w:w w:val="105"/>
        </w:rPr>
        <w:t> </w:t>
      </w:r>
      <w:r>
        <w:rPr>
          <w:color w:val="231F20"/>
          <w:spacing w:val="-3"/>
          <w:w w:val="105"/>
        </w:rPr>
        <w:t>quanto</w:t>
      </w:r>
      <w:r>
        <w:rPr>
          <w:color w:val="231F20"/>
          <w:spacing w:val="-44"/>
          <w:w w:val="105"/>
        </w:rPr>
        <w:t> </w:t>
      </w:r>
      <w:r>
        <w:rPr>
          <w:color w:val="231F20"/>
          <w:w w:val="105"/>
        </w:rPr>
        <w:t>mai</w:t>
      </w:r>
      <w:r>
        <w:rPr>
          <w:color w:val="231F20"/>
          <w:spacing w:val="-44"/>
          <w:w w:val="105"/>
        </w:rPr>
        <w:t> </w:t>
      </w:r>
      <w:r>
        <w:rPr>
          <w:color w:val="231F20"/>
          <w:spacing w:val="-3"/>
          <w:w w:val="105"/>
        </w:rPr>
        <w:t>evidente </w:t>
      </w:r>
      <w:r>
        <w:rPr>
          <w:color w:val="231F20"/>
          <w:w w:val="105"/>
        </w:rPr>
        <w:t>nella</w:t>
      </w:r>
      <w:r>
        <w:rPr>
          <w:color w:val="231F20"/>
          <w:spacing w:val="-51"/>
          <w:w w:val="105"/>
        </w:rPr>
        <w:t> </w:t>
      </w:r>
      <w:r>
        <w:rPr>
          <w:color w:val="231F20"/>
          <w:w w:val="105"/>
        </w:rPr>
        <w:t>figura</w:t>
      </w:r>
      <w:r>
        <w:rPr>
          <w:color w:val="231F20"/>
          <w:spacing w:val="-51"/>
          <w:w w:val="105"/>
        </w:rPr>
        <w:t> </w:t>
      </w:r>
      <w:r>
        <w:rPr>
          <w:color w:val="231F20"/>
          <w:w w:val="105"/>
        </w:rPr>
        <w:t>solo</w:t>
      </w:r>
      <w:r>
        <w:rPr>
          <w:color w:val="231F20"/>
          <w:spacing w:val="-51"/>
          <w:w w:val="105"/>
        </w:rPr>
        <w:t> </w:t>
      </w:r>
      <w:r>
        <w:rPr>
          <w:color w:val="231F20"/>
          <w:w w:val="105"/>
        </w:rPr>
        <w:t>apparentemente</w:t>
      </w:r>
      <w:r>
        <w:rPr>
          <w:color w:val="231F20"/>
          <w:spacing w:val="-51"/>
          <w:w w:val="105"/>
        </w:rPr>
        <w:t> </w:t>
      </w:r>
      <w:r>
        <w:rPr>
          <w:color w:val="231F20"/>
          <w:w w:val="105"/>
        </w:rPr>
        <w:t>intermedia,</w:t>
      </w:r>
      <w:r>
        <w:rPr>
          <w:color w:val="231F20"/>
          <w:spacing w:val="-51"/>
          <w:w w:val="105"/>
        </w:rPr>
        <w:t> </w:t>
      </w:r>
      <w:r>
        <w:rPr>
          <w:color w:val="231F20"/>
          <w:w w:val="105"/>
        </w:rPr>
        <w:t>cioè</w:t>
      </w:r>
      <w:r>
        <w:rPr>
          <w:color w:val="231F20"/>
          <w:spacing w:val="-51"/>
          <w:w w:val="105"/>
        </w:rPr>
        <w:t> </w:t>
      </w:r>
      <w:r>
        <w:rPr>
          <w:color w:val="231F20"/>
          <w:w w:val="105"/>
        </w:rPr>
        <w:t>a</w:t>
      </w:r>
      <w:r>
        <w:rPr>
          <w:color w:val="231F20"/>
          <w:spacing w:val="-51"/>
          <w:w w:val="105"/>
        </w:rPr>
        <w:t> </w:t>
      </w:r>
      <w:r>
        <w:rPr>
          <w:color w:val="231F20"/>
          <w:w w:val="105"/>
        </w:rPr>
        <w:t>prima</w:t>
      </w:r>
      <w:r>
        <w:rPr>
          <w:color w:val="231F20"/>
          <w:spacing w:val="-51"/>
          <w:w w:val="105"/>
        </w:rPr>
        <w:t> </w:t>
      </w:r>
      <w:r>
        <w:rPr>
          <w:color w:val="231F20"/>
          <w:w w:val="105"/>
        </w:rPr>
        <w:t>vista</w:t>
      </w:r>
      <w:r>
        <w:rPr>
          <w:color w:val="231F20"/>
          <w:spacing w:val="-51"/>
          <w:w w:val="105"/>
        </w:rPr>
        <w:t> </w:t>
      </w:r>
      <w:r>
        <w:rPr>
          <w:color w:val="231F20"/>
          <w:w w:val="105"/>
        </w:rPr>
        <w:t>contingente e residuale, dello Stato postcoloniale. Uno Stato, dunque, che secondo la sua denominazione è definito dalla necessità di fare i conti con il</w:t>
      </w:r>
      <w:r>
        <w:rPr>
          <w:color w:val="231F20"/>
          <w:spacing w:val="-20"/>
          <w:w w:val="105"/>
        </w:rPr>
        <w:t> </w:t>
      </w:r>
      <w:r>
        <w:rPr>
          <w:color w:val="231F20"/>
          <w:w w:val="105"/>
        </w:rPr>
        <w:t>suo</w:t>
      </w:r>
    </w:p>
    <w:p>
      <w:pPr>
        <w:pStyle w:val="BodyText"/>
        <w:rPr>
          <w:sz w:val="20"/>
        </w:rPr>
      </w:pPr>
    </w:p>
    <w:p>
      <w:pPr>
        <w:pStyle w:val="BodyText"/>
        <w:spacing w:before="9"/>
        <w:rPr>
          <w:sz w:val="13"/>
        </w:rPr>
      </w:pPr>
      <w:r>
        <w:rPr/>
        <w:pict>
          <v:line style="position:absolute;mso-position-horizontal-relative:page;mso-position-vertical-relative:paragraph;z-index:10360;mso-wrap-distance-left:0;mso-wrap-distance-right:0" from="65.196899pt,10.436672pt" to="178.582899pt,10.436672pt" stroked="true" strokeweight=".3pt" strokecolor="#231f20">
            <w10:wrap type="topAndBottom"/>
          </v:line>
        </w:pict>
      </w:r>
    </w:p>
    <w:p>
      <w:pPr>
        <w:spacing w:before="10"/>
        <w:ind w:left="103" w:right="0" w:firstLine="0"/>
        <w:jc w:val="left"/>
        <w:rPr>
          <w:rFonts w:ascii="Calibri"/>
          <w:sz w:val="17"/>
        </w:rPr>
      </w:pPr>
      <w:r>
        <w:rPr>
          <w:rFonts w:ascii="Calibri"/>
          <w:color w:val="231F20"/>
          <w:position w:val="6"/>
          <w:sz w:val="10"/>
        </w:rPr>
        <w:t>37 </w:t>
      </w:r>
      <w:r>
        <w:rPr>
          <w:rFonts w:ascii="Calibri"/>
          <w:color w:val="231F20"/>
          <w:sz w:val="17"/>
        </w:rPr>
        <w:t>S. Picciotto, </w:t>
      </w:r>
      <w:r>
        <w:rPr>
          <w:rFonts w:ascii="Calibri"/>
          <w:i/>
          <w:color w:val="231F20"/>
          <w:sz w:val="17"/>
        </w:rPr>
        <w:t>Regulating Global Corporate Capitalism</w:t>
      </w:r>
      <w:r>
        <w:rPr>
          <w:rFonts w:ascii="Calibri"/>
          <w:color w:val="231F20"/>
          <w:sz w:val="17"/>
        </w:rPr>
        <w:t>, Cambridge, Cambridge University Press, 2011.</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sz w:val="16"/>
        </w:rPr>
      </w:pPr>
      <w:r>
        <w:rPr/>
        <w:pict>
          <v:group style="position:absolute;margin-left:98.079102pt;margin-top:-3.358812pt;width:20.4pt;height:43pt;mso-position-horizontal-relative:page;mso-position-vertical-relative:paragraph;z-index:-165016"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46</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900"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496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28"/>
          <w:sz w:val="14"/>
        </w:rPr>
        <w:t> </w:t>
      </w:r>
      <w:r>
        <w:rPr>
          <w:rFonts w:ascii="Lucida Sans Unicode" w:hAnsi="Lucida Sans Unicode"/>
          <w:color w:val="6D6E71"/>
          <w:spacing w:val="-4"/>
          <w:sz w:val="14"/>
        </w:rPr>
        <w:t>STATO</w:t>
      </w:r>
      <w:r>
        <w:rPr>
          <w:rFonts w:ascii="Lucida Sans Unicode" w:hAnsi="Lucida Sans Unicode"/>
          <w:color w:val="6D6E71"/>
          <w:spacing w:val="-28"/>
          <w:sz w:val="14"/>
        </w:rPr>
        <w:t> </w:t>
      </w:r>
      <w:r>
        <w:rPr>
          <w:rFonts w:ascii="Lucida Sans Unicode" w:hAnsi="Lucida Sans Unicode"/>
          <w:color w:val="6D6E71"/>
          <w:sz w:val="14"/>
        </w:rPr>
        <w:t>GLOBALE</w:t>
      </w:r>
      <w:r>
        <w:rPr>
          <w:rFonts w:ascii="Lucida Sans Unicode" w:hAnsi="Lucida Sans Unicode"/>
          <w:color w:val="6D6E71"/>
          <w:spacing w:val="-28"/>
          <w:sz w:val="14"/>
        </w:rPr>
        <w:t> </w:t>
      </w:r>
      <w:r>
        <w:rPr>
          <w:rFonts w:ascii="Lucida Sans Unicode" w:hAnsi="Lucida Sans Unicode"/>
          <w:color w:val="6D6E71"/>
          <w:sz w:val="14"/>
        </w:rPr>
        <w:t>E</w:t>
      </w:r>
      <w:r>
        <w:rPr>
          <w:rFonts w:ascii="Lucida Sans Unicode" w:hAnsi="Lucida Sans Unicode"/>
          <w:color w:val="6D6E71"/>
          <w:spacing w:val="-28"/>
          <w:sz w:val="14"/>
        </w:rPr>
        <w:t> </w:t>
      </w:r>
      <w:r>
        <w:rPr>
          <w:rFonts w:ascii="Lucida Sans Unicode" w:hAnsi="Lucida Sans Unicode"/>
          <w:color w:val="6D6E71"/>
          <w:sz w:val="14"/>
        </w:rPr>
        <w:t>L’EVOLUZIONE</w:t>
      </w:r>
      <w:r>
        <w:rPr>
          <w:rFonts w:ascii="Lucida Sans Unicode" w:hAnsi="Lucida Sans Unicode"/>
          <w:color w:val="6D6E71"/>
          <w:spacing w:val="-28"/>
          <w:sz w:val="14"/>
        </w:rPr>
        <w:t> </w:t>
      </w:r>
      <w:r>
        <w:rPr>
          <w:rFonts w:ascii="Lucida Sans Unicode" w:hAnsi="Lucida Sans Unicode"/>
          <w:color w:val="6D6E71"/>
          <w:sz w:val="14"/>
        </w:rPr>
        <w:t>DELLA</w:t>
      </w:r>
      <w:r>
        <w:rPr>
          <w:rFonts w:ascii="Lucida Sans Unicode" w:hAnsi="Lucida Sans Unicode"/>
          <w:color w:val="6D6E71"/>
          <w:spacing w:val="-28"/>
          <w:sz w:val="14"/>
        </w:rPr>
        <w:t> </w:t>
      </w:r>
      <w:r>
        <w:rPr>
          <w:rFonts w:ascii="Lucida Sans Unicode" w:hAnsi="Lucida Sans Unicode"/>
          <w:color w:val="6D6E71"/>
          <w:sz w:val="14"/>
        </w:rPr>
        <w:t>SOVRANITÀ</w:t>
      </w:r>
      <w:r>
        <w:rPr>
          <w:rFonts w:ascii="Trebuchet MS" w:hAnsi="Trebuchet MS"/>
          <w:color w:val="414042"/>
          <w:position w:val="-3"/>
          <w:sz w:val="20"/>
        </w:rPr>
        <w:tab/>
        <w:t>47</w:t>
      </w:r>
    </w:p>
    <w:p>
      <w:pPr>
        <w:pStyle w:val="BodyText"/>
        <w:rPr>
          <w:rFonts w:ascii="Trebuchet MS"/>
          <w:sz w:val="20"/>
        </w:rPr>
      </w:pPr>
    </w:p>
    <w:p>
      <w:pPr>
        <w:pStyle w:val="BodyText"/>
        <w:rPr>
          <w:rFonts w:ascii="Trebuchet MS"/>
          <w:sz w:val="20"/>
        </w:rPr>
      </w:pPr>
    </w:p>
    <w:p>
      <w:pPr>
        <w:pStyle w:val="BodyText"/>
        <w:spacing w:line="244" w:lineRule="auto" w:before="156"/>
        <w:ind w:left="117" w:right="121"/>
        <w:jc w:val="both"/>
      </w:pPr>
      <w:r>
        <w:rPr>
          <w:color w:val="231F20"/>
        </w:rPr>
        <w:t>passato, con una sovranità incerta, con una storia da costruire. </w:t>
      </w:r>
      <w:r>
        <w:rPr>
          <w:color w:val="231F20"/>
          <w:spacing w:val="-3"/>
        </w:rPr>
        <w:t>L’aggettivo </w:t>
      </w:r>
      <w:r>
        <w:rPr>
          <w:rFonts w:ascii="Arial" w:hAnsi="Arial"/>
          <w:i/>
          <w:color w:val="231F20"/>
          <w:spacing w:val="-3"/>
        </w:rPr>
        <w:t>postcoloniale</w:t>
      </w:r>
      <w:r>
        <w:rPr>
          <w:rFonts w:ascii="Arial" w:hAnsi="Arial"/>
          <w:i/>
          <w:color w:val="231F20"/>
          <w:spacing w:val="-8"/>
        </w:rPr>
        <w:t> </w:t>
      </w:r>
      <w:r>
        <w:rPr>
          <w:color w:val="231F20"/>
        </w:rPr>
        <w:t>ha</w:t>
      </w:r>
      <w:r>
        <w:rPr>
          <w:color w:val="231F20"/>
          <w:spacing w:val="-16"/>
        </w:rPr>
        <w:t> </w:t>
      </w:r>
      <w:r>
        <w:rPr>
          <w:color w:val="231F20"/>
          <w:spacing w:val="-3"/>
        </w:rPr>
        <w:t>ormai</w:t>
      </w:r>
      <w:r>
        <w:rPr>
          <w:color w:val="231F20"/>
          <w:spacing w:val="-16"/>
        </w:rPr>
        <w:t> </w:t>
      </w:r>
      <w:r>
        <w:rPr>
          <w:color w:val="231F20"/>
          <w:spacing w:val="-3"/>
        </w:rPr>
        <w:t>assunto</w:t>
      </w:r>
      <w:r>
        <w:rPr>
          <w:color w:val="231F20"/>
          <w:spacing w:val="-16"/>
        </w:rPr>
        <w:t> </w:t>
      </w:r>
      <w:r>
        <w:rPr>
          <w:color w:val="231F20"/>
        </w:rPr>
        <w:t>un</w:t>
      </w:r>
      <w:r>
        <w:rPr>
          <w:color w:val="231F20"/>
          <w:spacing w:val="-16"/>
        </w:rPr>
        <w:t> </w:t>
      </w:r>
      <w:r>
        <w:rPr>
          <w:color w:val="231F20"/>
          <w:spacing w:val="-3"/>
        </w:rPr>
        <w:t>significato</w:t>
      </w:r>
      <w:r>
        <w:rPr>
          <w:color w:val="231F20"/>
          <w:spacing w:val="-16"/>
        </w:rPr>
        <w:t> </w:t>
      </w:r>
      <w:r>
        <w:rPr>
          <w:color w:val="231F20"/>
          <w:spacing w:val="-3"/>
        </w:rPr>
        <w:t>quasi</w:t>
      </w:r>
      <w:r>
        <w:rPr>
          <w:color w:val="231F20"/>
          <w:spacing w:val="-16"/>
        </w:rPr>
        <w:t> </w:t>
      </w:r>
      <w:r>
        <w:rPr>
          <w:color w:val="231F20"/>
          <w:spacing w:val="-3"/>
        </w:rPr>
        <w:t>universale,</w:t>
      </w:r>
      <w:r>
        <w:rPr>
          <w:color w:val="231F20"/>
          <w:spacing w:val="-16"/>
        </w:rPr>
        <w:t> </w:t>
      </w:r>
      <w:r>
        <w:rPr>
          <w:color w:val="231F20"/>
          <w:spacing w:val="-3"/>
        </w:rPr>
        <w:t>indicando</w:t>
      </w:r>
      <w:r>
        <w:rPr>
          <w:color w:val="231F20"/>
          <w:spacing w:val="-16"/>
        </w:rPr>
        <w:t> </w:t>
      </w:r>
      <w:r>
        <w:rPr>
          <w:color w:val="231F20"/>
          <w:spacing w:val="-3"/>
        </w:rPr>
        <w:t>non </w:t>
      </w:r>
      <w:r>
        <w:rPr>
          <w:color w:val="231F20"/>
        </w:rPr>
        <w:t>solo</w:t>
      </w:r>
      <w:r>
        <w:rPr>
          <w:color w:val="231F20"/>
          <w:spacing w:val="-23"/>
        </w:rPr>
        <w:t> </w:t>
      </w:r>
      <w:r>
        <w:rPr>
          <w:color w:val="231F20"/>
        </w:rPr>
        <w:t>la</w:t>
      </w:r>
      <w:r>
        <w:rPr>
          <w:color w:val="231F20"/>
          <w:spacing w:val="-23"/>
        </w:rPr>
        <w:t> </w:t>
      </w:r>
      <w:r>
        <w:rPr>
          <w:color w:val="231F20"/>
        </w:rPr>
        <w:t>transizione</w:t>
      </w:r>
      <w:r>
        <w:rPr>
          <w:color w:val="231F20"/>
          <w:spacing w:val="-23"/>
        </w:rPr>
        <w:t> </w:t>
      </w:r>
      <w:r>
        <w:rPr>
          <w:color w:val="231F20"/>
        </w:rPr>
        <w:t>oltre</w:t>
      </w:r>
      <w:r>
        <w:rPr>
          <w:color w:val="231F20"/>
          <w:spacing w:val="-23"/>
        </w:rPr>
        <w:t> </w:t>
      </w:r>
      <w:r>
        <w:rPr>
          <w:color w:val="231F20"/>
        </w:rPr>
        <w:t>il</w:t>
      </w:r>
      <w:r>
        <w:rPr>
          <w:color w:val="231F20"/>
          <w:spacing w:val="-23"/>
        </w:rPr>
        <w:t> </w:t>
      </w:r>
      <w:r>
        <w:rPr>
          <w:color w:val="231F20"/>
        </w:rPr>
        <w:t>colonialismo,</w:t>
      </w:r>
      <w:r>
        <w:rPr>
          <w:color w:val="231F20"/>
          <w:spacing w:val="-23"/>
        </w:rPr>
        <w:t> </w:t>
      </w:r>
      <w:r>
        <w:rPr>
          <w:color w:val="231F20"/>
        </w:rPr>
        <w:t>ma</w:t>
      </w:r>
      <w:r>
        <w:rPr>
          <w:color w:val="231F20"/>
          <w:spacing w:val="-23"/>
        </w:rPr>
        <w:t> </w:t>
      </w:r>
      <w:r>
        <w:rPr>
          <w:color w:val="231F20"/>
        </w:rPr>
        <w:t>più</w:t>
      </w:r>
      <w:r>
        <w:rPr>
          <w:color w:val="231F20"/>
          <w:spacing w:val="-23"/>
        </w:rPr>
        <w:t> </w:t>
      </w:r>
      <w:r>
        <w:rPr>
          <w:color w:val="231F20"/>
        </w:rPr>
        <w:t>in</w:t>
      </w:r>
      <w:r>
        <w:rPr>
          <w:color w:val="231F20"/>
          <w:spacing w:val="-23"/>
        </w:rPr>
        <w:t> </w:t>
      </w:r>
      <w:r>
        <w:rPr>
          <w:color w:val="231F20"/>
        </w:rPr>
        <w:t>profondità</w:t>
      </w:r>
      <w:r>
        <w:rPr>
          <w:color w:val="231F20"/>
          <w:spacing w:val="-23"/>
        </w:rPr>
        <w:t> </w:t>
      </w:r>
      <w:r>
        <w:rPr>
          <w:color w:val="231F20"/>
        </w:rPr>
        <w:t>le</w:t>
      </w:r>
      <w:r>
        <w:rPr>
          <w:color w:val="231F20"/>
          <w:spacing w:val="-23"/>
        </w:rPr>
        <w:t> </w:t>
      </w:r>
      <w:r>
        <w:rPr>
          <w:color w:val="231F20"/>
        </w:rPr>
        <w:t>caratteristiche generali di un’epoca che su scala globale non può in alcun modo evitare  di fare i conti con gli esiti tuttora presenti del colonialismo</w:t>
      </w:r>
      <w:r>
        <w:rPr>
          <w:color w:val="231F20"/>
          <w:position w:val="7"/>
          <w:sz w:val="12"/>
        </w:rPr>
        <w:t>38</w:t>
      </w:r>
      <w:r>
        <w:rPr>
          <w:color w:val="231F20"/>
        </w:rPr>
        <w:t>. Come rileva giustamente Nancy Brown il prefisso post non implica l’avvenuta fine di un processo. Esso indica</w:t>
      </w:r>
      <w:r>
        <w:rPr>
          <w:color w:val="231F20"/>
          <w:spacing w:val="20"/>
        </w:rPr>
        <w:t> </w:t>
      </w:r>
      <w:r>
        <w:rPr>
          <w:color w:val="231F20"/>
        </w:rPr>
        <w:t>piuttosto:</w:t>
      </w:r>
    </w:p>
    <w:p>
      <w:pPr>
        <w:pStyle w:val="BodyText"/>
        <w:spacing w:before="1"/>
        <w:rPr>
          <w:sz w:val="23"/>
        </w:rPr>
      </w:pPr>
    </w:p>
    <w:p>
      <w:pPr>
        <w:spacing w:line="220" w:lineRule="exact" w:before="0"/>
        <w:ind w:left="1534" w:right="121" w:firstLine="0"/>
        <w:jc w:val="both"/>
        <w:rPr>
          <w:sz w:val="19"/>
        </w:rPr>
      </w:pPr>
      <w:r>
        <w:rPr>
          <w:color w:val="231F20"/>
          <w:w w:val="105"/>
          <w:sz w:val="19"/>
        </w:rPr>
        <w:t>una</w:t>
      </w:r>
      <w:r>
        <w:rPr>
          <w:color w:val="231F20"/>
          <w:spacing w:val="-31"/>
          <w:w w:val="105"/>
          <w:sz w:val="19"/>
        </w:rPr>
        <w:t> </w:t>
      </w:r>
      <w:r>
        <w:rPr>
          <w:color w:val="231F20"/>
          <w:w w:val="105"/>
          <w:sz w:val="19"/>
        </w:rPr>
        <w:t>formazione</w:t>
      </w:r>
      <w:r>
        <w:rPr>
          <w:color w:val="231F20"/>
          <w:spacing w:val="-31"/>
          <w:w w:val="105"/>
          <w:sz w:val="19"/>
        </w:rPr>
        <w:t> </w:t>
      </w:r>
      <w:r>
        <w:rPr>
          <w:color w:val="231F20"/>
          <w:w w:val="105"/>
          <w:sz w:val="19"/>
        </w:rPr>
        <w:t>che</w:t>
      </w:r>
      <w:r>
        <w:rPr>
          <w:color w:val="231F20"/>
          <w:spacing w:val="-31"/>
          <w:w w:val="105"/>
          <w:sz w:val="19"/>
        </w:rPr>
        <w:t> </w:t>
      </w:r>
      <w:r>
        <w:rPr>
          <w:color w:val="231F20"/>
          <w:w w:val="105"/>
          <w:sz w:val="19"/>
        </w:rPr>
        <w:t>è</w:t>
      </w:r>
      <w:r>
        <w:rPr>
          <w:color w:val="231F20"/>
          <w:spacing w:val="-31"/>
          <w:w w:val="105"/>
          <w:sz w:val="19"/>
        </w:rPr>
        <w:t> </w:t>
      </w:r>
      <w:r>
        <w:rPr>
          <w:rFonts w:ascii="Arial" w:hAnsi="Arial"/>
          <w:i/>
          <w:color w:val="231F20"/>
          <w:w w:val="105"/>
          <w:sz w:val="19"/>
        </w:rPr>
        <w:t>temporalmente</w:t>
      </w:r>
      <w:r>
        <w:rPr>
          <w:rFonts w:ascii="Arial" w:hAnsi="Arial"/>
          <w:i/>
          <w:color w:val="231F20"/>
          <w:spacing w:val="-23"/>
          <w:w w:val="105"/>
          <w:sz w:val="19"/>
        </w:rPr>
        <w:t> </w:t>
      </w:r>
      <w:r>
        <w:rPr>
          <w:rFonts w:ascii="Arial" w:hAnsi="Arial"/>
          <w:i/>
          <w:color w:val="231F20"/>
          <w:w w:val="105"/>
          <w:sz w:val="19"/>
        </w:rPr>
        <w:t>successiva</w:t>
      </w:r>
      <w:r>
        <w:rPr>
          <w:rFonts w:ascii="Arial" w:hAnsi="Arial"/>
          <w:i/>
          <w:color w:val="231F20"/>
          <w:spacing w:val="-23"/>
          <w:w w:val="105"/>
          <w:sz w:val="19"/>
        </w:rPr>
        <w:t> </w:t>
      </w:r>
      <w:r>
        <w:rPr>
          <w:rFonts w:ascii="Arial" w:hAnsi="Arial"/>
          <w:i/>
          <w:color w:val="231F20"/>
          <w:w w:val="105"/>
          <w:sz w:val="19"/>
        </w:rPr>
        <w:t>ma</w:t>
      </w:r>
      <w:r>
        <w:rPr>
          <w:rFonts w:ascii="Arial" w:hAnsi="Arial"/>
          <w:i/>
          <w:color w:val="231F20"/>
          <w:spacing w:val="-23"/>
          <w:w w:val="105"/>
          <w:sz w:val="19"/>
        </w:rPr>
        <w:t> </w:t>
      </w:r>
      <w:r>
        <w:rPr>
          <w:rFonts w:ascii="Arial" w:hAnsi="Arial"/>
          <w:i/>
          <w:color w:val="231F20"/>
          <w:w w:val="105"/>
          <w:sz w:val="19"/>
        </w:rPr>
        <w:t>non</w:t>
      </w:r>
      <w:r>
        <w:rPr>
          <w:rFonts w:ascii="Arial" w:hAnsi="Arial"/>
          <w:i/>
          <w:color w:val="231F20"/>
          <w:spacing w:val="-23"/>
          <w:w w:val="105"/>
          <w:sz w:val="19"/>
        </w:rPr>
        <w:t> </w:t>
      </w:r>
      <w:r>
        <w:rPr>
          <w:rFonts w:ascii="Arial" w:hAnsi="Arial"/>
          <w:i/>
          <w:color w:val="231F20"/>
          <w:w w:val="105"/>
          <w:sz w:val="19"/>
        </w:rPr>
        <w:t>supera </w:t>
      </w:r>
      <w:r>
        <w:rPr>
          <w:color w:val="231F20"/>
          <w:w w:val="105"/>
          <w:sz w:val="19"/>
        </w:rPr>
        <w:t>il termine che accompagna. “Post” indica una condizione</w:t>
      </w:r>
      <w:r>
        <w:rPr>
          <w:color w:val="231F20"/>
          <w:spacing w:val="-35"/>
          <w:w w:val="105"/>
          <w:sz w:val="19"/>
        </w:rPr>
        <w:t> </w:t>
      </w:r>
      <w:r>
        <w:rPr>
          <w:color w:val="231F20"/>
          <w:w w:val="105"/>
          <w:sz w:val="19"/>
        </w:rPr>
        <w:t>molto particolare</w:t>
      </w:r>
      <w:r>
        <w:rPr>
          <w:color w:val="231F20"/>
          <w:spacing w:val="-38"/>
          <w:w w:val="105"/>
          <w:sz w:val="19"/>
        </w:rPr>
        <w:t> </w:t>
      </w:r>
      <w:r>
        <w:rPr>
          <w:color w:val="231F20"/>
          <w:w w:val="105"/>
          <w:sz w:val="19"/>
        </w:rPr>
        <w:t>di</w:t>
      </w:r>
      <w:r>
        <w:rPr>
          <w:color w:val="231F20"/>
          <w:spacing w:val="-38"/>
          <w:w w:val="105"/>
          <w:sz w:val="19"/>
        </w:rPr>
        <w:t> </w:t>
      </w:r>
      <w:r>
        <w:rPr>
          <w:color w:val="231F20"/>
          <w:w w:val="105"/>
          <w:sz w:val="19"/>
        </w:rPr>
        <w:t>posteriorità,</w:t>
      </w:r>
      <w:r>
        <w:rPr>
          <w:color w:val="231F20"/>
          <w:spacing w:val="-38"/>
          <w:w w:val="105"/>
          <w:sz w:val="19"/>
        </w:rPr>
        <w:t> </w:t>
      </w:r>
      <w:r>
        <w:rPr>
          <w:color w:val="231F20"/>
          <w:w w:val="105"/>
          <w:sz w:val="19"/>
        </w:rPr>
        <w:t>per</w:t>
      </w:r>
      <w:r>
        <w:rPr>
          <w:color w:val="231F20"/>
          <w:spacing w:val="-38"/>
          <w:w w:val="105"/>
          <w:sz w:val="19"/>
        </w:rPr>
        <w:t> </w:t>
      </w:r>
      <w:r>
        <w:rPr>
          <w:color w:val="231F20"/>
          <w:w w:val="105"/>
          <w:sz w:val="19"/>
        </w:rPr>
        <w:t>cui</w:t>
      </w:r>
      <w:r>
        <w:rPr>
          <w:color w:val="231F20"/>
          <w:spacing w:val="-38"/>
          <w:w w:val="105"/>
          <w:sz w:val="19"/>
        </w:rPr>
        <w:t> </w:t>
      </w:r>
      <w:r>
        <w:rPr>
          <w:color w:val="231F20"/>
          <w:w w:val="105"/>
          <w:sz w:val="19"/>
        </w:rPr>
        <w:t>ciò</w:t>
      </w:r>
      <w:r>
        <w:rPr>
          <w:color w:val="231F20"/>
          <w:spacing w:val="-38"/>
          <w:w w:val="105"/>
          <w:sz w:val="19"/>
        </w:rPr>
        <w:t> </w:t>
      </w:r>
      <w:r>
        <w:rPr>
          <w:color w:val="231F20"/>
          <w:w w:val="105"/>
          <w:sz w:val="19"/>
        </w:rPr>
        <w:t>che</w:t>
      </w:r>
      <w:r>
        <w:rPr>
          <w:color w:val="231F20"/>
          <w:spacing w:val="-38"/>
          <w:w w:val="105"/>
          <w:sz w:val="19"/>
        </w:rPr>
        <w:t> </w:t>
      </w:r>
      <w:r>
        <w:rPr>
          <w:color w:val="231F20"/>
          <w:w w:val="105"/>
          <w:sz w:val="19"/>
        </w:rPr>
        <w:t>è</w:t>
      </w:r>
      <w:r>
        <w:rPr>
          <w:color w:val="231F20"/>
          <w:spacing w:val="-38"/>
          <w:w w:val="105"/>
          <w:sz w:val="19"/>
        </w:rPr>
        <w:t> </w:t>
      </w:r>
      <w:r>
        <w:rPr>
          <w:color w:val="231F20"/>
          <w:w w:val="105"/>
          <w:sz w:val="19"/>
        </w:rPr>
        <w:t>passato</w:t>
      </w:r>
      <w:r>
        <w:rPr>
          <w:color w:val="231F20"/>
          <w:spacing w:val="-38"/>
          <w:w w:val="105"/>
          <w:sz w:val="19"/>
        </w:rPr>
        <w:t> </w:t>
      </w:r>
      <w:r>
        <w:rPr>
          <w:color w:val="231F20"/>
          <w:w w:val="105"/>
          <w:sz w:val="19"/>
        </w:rPr>
        <w:t>non</w:t>
      </w:r>
      <w:r>
        <w:rPr>
          <w:color w:val="231F20"/>
          <w:spacing w:val="-38"/>
          <w:w w:val="105"/>
          <w:sz w:val="19"/>
        </w:rPr>
        <w:t> </w:t>
      </w:r>
      <w:r>
        <w:rPr>
          <w:color w:val="231F20"/>
          <w:w w:val="105"/>
          <w:sz w:val="19"/>
        </w:rPr>
        <w:t>è</w:t>
      </w:r>
      <w:r>
        <w:rPr>
          <w:color w:val="231F20"/>
          <w:spacing w:val="-38"/>
          <w:w w:val="105"/>
          <w:sz w:val="19"/>
        </w:rPr>
        <w:t> </w:t>
      </w:r>
      <w:r>
        <w:rPr>
          <w:color w:val="231F20"/>
          <w:w w:val="105"/>
          <w:sz w:val="19"/>
        </w:rPr>
        <w:t>superato ma,</w:t>
      </w:r>
      <w:r>
        <w:rPr>
          <w:color w:val="231F20"/>
          <w:spacing w:val="-30"/>
          <w:w w:val="105"/>
          <w:sz w:val="19"/>
        </w:rPr>
        <w:t> </w:t>
      </w:r>
      <w:r>
        <w:rPr>
          <w:color w:val="231F20"/>
          <w:w w:val="105"/>
          <w:sz w:val="19"/>
        </w:rPr>
        <w:t>al</w:t>
      </w:r>
      <w:r>
        <w:rPr>
          <w:color w:val="231F20"/>
          <w:spacing w:val="-30"/>
          <w:w w:val="105"/>
          <w:sz w:val="19"/>
        </w:rPr>
        <w:t> </w:t>
      </w:r>
      <w:r>
        <w:rPr>
          <w:color w:val="231F20"/>
          <w:w w:val="105"/>
          <w:sz w:val="19"/>
        </w:rPr>
        <w:t>contrario,</w:t>
      </w:r>
      <w:r>
        <w:rPr>
          <w:color w:val="231F20"/>
          <w:spacing w:val="-30"/>
          <w:w w:val="105"/>
          <w:sz w:val="19"/>
        </w:rPr>
        <w:t> </w:t>
      </w:r>
      <w:r>
        <w:rPr>
          <w:color w:val="231F20"/>
          <w:w w:val="105"/>
          <w:sz w:val="19"/>
        </w:rPr>
        <w:t>inesorabilmente</w:t>
      </w:r>
      <w:r>
        <w:rPr>
          <w:color w:val="231F20"/>
          <w:spacing w:val="-30"/>
          <w:w w:val="105"/>
          <w:sz w:val="19"/>
        </w:rPr>
        <w:t> </w:t>
      </w:r>
      <w:r>
        <w:rPr>
          <w:color w:val="231F20"/>
          <w:w w:val="105"/>
          <w:sz w:val="19"/>
        </w:rPr>
        <w:t>condiziona</w:t>
      </w:r>
      <w:r>
        <w:rPr>
          <w:color w:val="231F20"/>
          <w:spacing w:val="-30"/>
          <w:w w:val="105"/>
          <w:sz w:val="19"/>
        </w:rPr>
        <w:t> </w:t>
      </w:r>
      <w:r>
        <w:rPr>
          <w:color w:val="231F20"/>
          <w:w w:val="105"/>
          <w:sz w:val="19"/>
        </w:rPr>
        <w:t>e</w:t>
      </w:r>
      <w:r>
        <w:rPr>
          <w:color w:val="231F20"/>
          <w:spacing w:val="-30"/>
          <w:w w:val="105"/>
          <w:sz w:val="19"/>
        </w:rPr>
        <w:t> </w:t>
      </w:r>
      <w:r>
        <w:rPr>
          <w:color w:val="231F20"/>
          <w:w w:val="105"/>
          <w:sz w:val="19"/>
        </w:rPr>
        <w:t>perfino</w:t>
      </w:r>
      <w:r>
        <w:rPr>
          <w:color w:val="231F20"/>
          <w:spacing w:val="-30"/>
          <w:w w:val="105"/>
          <w:sz w:val="19"/>
        </w:rPr>
        <w:t> </w:t>
      </w:r>
      <w:r>
        <w:rPr>
          <w:color w:val="231F20"/>
          <w:w w:val="105"/>
          <w:sz w:val="19"/>
        </w:rPr>
        <w:t>domina</w:t>
      </w:r>
      <w:r>
        <w:rPr>
          <w:color w:val="231F20"/>
          <w:spacing w:val="-30"/>
          <w:w w:val="105"/>
          <w:sz w:val="19"/>
        </w:rPr>
        <w:t> </w:t>
      </w:r>
      <w:r>
        <w:rPr>
          <w:color w:val="231F20"/>
          <w:w w:val="105"/>
          <w:sz w:val="19"/>
        </w:rPr>
        <w:t>un </w:t>
      </w:r>
      <w:r>
        <w:rPr>
          <w:color w:val="231F20"/>
          <w:spacing w:val="-3"/>
          <w:w w:val="105"/>
          <w:sz w:val="19"/>
        </w:rPr>
        <w:t>presente</w:t>
      </w:r>
      <w:r>
        <w:rPr>
          <w:color w:val="231F20"/>
          <w:spacing w:val="-48"/>
          <w:w w:val="105"/>
          <w:sz w:val="19"/>
        </w:rPr>
        <w:t> </w:t>
      </w:r>
      <w:r>
        <w:rPr>
          <w:color w:val="231F20"/>
          <w:w w:val="105"/>
          <w:sz w:val="19"/>
        </w:rPr>
        <w:t>che</w:t>
      </w:r>
      <w:r>
        <w:rPr>
          <w:color w:val="231F20"/>
          <w:spacing w:val="-48"/>
          <w:w w:val="105"/>
          <w:sz w:val="19"/>
        </w:rPr>
        <w:t> </w:t>
      </w:r>
      <w:r>
        <w:rPr>
          <w:color w:val="231F20"/>
          <w:spacing w:val="-3"/>
          <w:w w:val="105"/>
          <w:sz w:val="19"/>
        </w:rPr>
        <w:t>però,</w:t>
      </w:r>
      <w:r>
        <w:rPr>
          <w:color w:val="231F20"/>
          <w:spacing w:val="-48"/>
          <w:w w:val="105"/>
          <w:sz w:val="19"/>
        </w:rPr>
        <w:t> </w:t>
      </w:r>
      <w:r>
        <w:rPr>
          <w:color w:val="231F20"/>
          <w:w w:val="105"/>
          <w:sz w:val="19"/>
        </w:rPr>
        <w:t>in</w:t>
      </w:r>
      <w:r>
        <w:rPr>
          <w:color w:val="231F20"/>
          <w:spacing w:val="-48"/>
          <w:w w:val="105"/>
          <w:sz w:val="19"/>
        </w:rPr>
        <w:t> </w:t>
      </w:r>
      <w:r>
        <w:rPr>
          <w:color w:val="231F20"/>
          <w:w w:val="105"/>
          <w:sz w:val="19"/>
        </w:rPr>
        <w:t>qualche</w:t>
      </w:r>
      <w:r>
        <w:rPr>
          <w:color w:val="231F20"/>
          <w:spacing w:val="-48"/>
          <w:w w:val="105"/>
          <w:sz w:val="19"/>
        </w:rPr>
        <w:t> </w:t>
      </w:r>
      <w:r>
        <w:rPr>
          <w:color w:val="231F20"/>
          <w:w w:val="105"/>
          <w:sz w:val="19"/>
        </w:rPr>
        <w:t>modo,</w:t>
      </w:r>
      <w:r>
        <w:rPr>
          <w:color w:val="231F20"/>
          <w:spacing w:val="-48"/>
          <w:w w:val="105"/>
          <w:sz w:val="19"/>
        </w:rPr>
        <w:t> </w:t>
      </w:r>
      <w:r>
        <w:rPr>
          <w:color w:val="231F20"/>
          <w:spacing w:val="-3"/>
          <w:w w:val="105"/>
          <w:sz w:val="19"/>
        </w:rPr>
        <w:t>introduce</w:t>
      </w:r>
      <w:r>
        <w:rPr>
          <w:color w:val="231F20"/>
          <w:spacing w:val="-48"/>
          <w:w w:val="105"/>
          <w:sz w:val="19"/>
        </w:rPr>
        <w:t> </w:t>
      </w:r>
      <w:r>
        <w:rPr>
          <w:color w:val="231F20"/>
          <w:w w:val="105"/>
          <w:sz w:val="19"/>
        </w:rPr>
        <w:t>una</w:t>
      </w:r>
      <w:r>
        <w:rPr>
          <w:color w:val="231F20"/>
          <w:spacing w:val="-48"/>
          <w:w w:val="105"/>
          <w:sz w:val="19"/>
        </w:rPr>
        <w:t> </w:t>
      </w:r>
      <w:r>
        <w:rPr>
          <w:color w:val="231F20"/>
          <w:w w:val="105"/>
          <w:sz w:val="19"/>
        </w:rPr>
        <w:t>discontinuità.</w:t>
      </w:r>
      <w:r>
        <w:rPr>
          <w:color w:val="231F20"/>
          <w:spacing w:val="-48"/>
          <w:w w:val="105"/>
          <w:sz w:val="19"/>
        </w:rPr>
        <w:t> </w:t>
      </w:r>
      <w:r>
        <w:rPr>
          <w:color w:val="231F20"/>
          <w:w w:val="105"/>
          <w:sz w:val="19"/>
        </w:rPr>
        <w:t>In altre</w:t>
      </w:r>
      <w:r>
        <w:rPr>
          <w:color w:val="231F20"/>
          <w:spacing w:val="-38"/>
          <w:w w:val="105"/>
          <w:sz w:val="19"/>
        </w:rPr>
        <w:t> </w:t>
      </w:r>
      <w:r>
        <w:rPr>
          <w:color w:val="231F20"/>
          <w:w w:val="105"/>
          <w:sz w:val="19"/>
        </w:rPr>
        <w:t>parole,</w:t>
      </w:r>
      <w:r>
        <w:rPr>
          <w:color w:val="231F20"/>
          <w:spacing w:val="-38"/>
          <w:w w:val="105"/>
          <w:sz w:val="19"/>
        </w:rPr>
        <w:t> </w:t>
      </w:r>
      <w:r>
        <w:rPr>
          <w:color w:val="231F20"/>
          <w:w w:val="105"/>
          <w:sz w:val="19"/>
        </w:rPr>
        <w:t>usiamo</w:t>
      </w:r>
      <w:r>
        <w:rPr>
          <w:color w:val="231F20"/>
          <w:spacing w:val="-38"/>
          <w:w w:val="105"/>
          <w:sz w:val="19"/>
        </w:rPr>
        <w:t> </w:t>
      </w:r>
      <w:r>
        <w:rPr>
          <w:color w:val="231F20"/>
          <w:w w:val="105"/>
          <w:sz w:val="19"/>
        </w:rPr>
        <w:t>il</w:t>
      </w:r>
      <w:r>
        <w:rPr>
          <w:color w:val="231F20"/>
          <w:spacing w:val="-38"/>
          <w:w w:val="105"/>
          <w:sz w:val="19"/>
        </w:rPr>
        <w:t> </w:t>
      </w:r>
      <w:r>
        <w:rPr>
          <w:color w:val="231F20"/>
          <w:w w:val="105"/>
          <w:sz w:val="19"/>
        </w:rPr>
        <w:t>termine</w:t>
      </w:r>
      <w:r>
        <w:rPr>
          <w:color w:val="231F20"/>
          <w:spacing w:val="-38"/>
          <w:w w:val="105"/>
          <w:sz w:val="19"/>
        </w:rPr>
        <w:t> </w:t>
      </w:r>
      <w:r>
        <w:rPr>
          <w:color w:val="231F20"/>
          <w:w w:val="105"/>
          <w:sz w:val="19"/>
        </w:rPr>
        <w:t>“post”</w:t>
      </w:r>
      <w:r>
        <w:rPr>
          <w:color w:val="231F20"/>
          <w:spacing w:val="-38"/>
          <w:w w:val="105"/>
          <w:sz w:val="19"/>
        </w:rPr>
        <w:t> </w:t>
      </w:r>
      <w:r>
        <w:rPr>
          <w:color w:val="231F20"/>
          <w:w w:val="105"/>
          <w:sz w:val="19"/>
        </w:rPr>
        <w:t>solo</w:t>
      </w:r>
      <w:r>
        <w:rPr>
          <w:color w:val="231F20"/>
          <w:spacing w:val="-38"/>
          <w:w w:val="105"/>
          <w:sz w:val="19"/>
        </w:rPr>
        <w:t> </w:t>
      </w:r>
      <w:r>
        <w:rPr>
          <w:color w:val="231F20"/>
          <w:w w:val="105"/>
          <w:sz w:val="19"/>
        </w:rPr>
        <w:t>per</w:t>
      </w:r>
      <w:r>
        <w:rPr>
          <w:color w:val="231F20"/>
          <w:spacing w:val="-38"/>
          <w:w w:val="105"/>
          <w:sz w:val="19"/>
        </w:rPr>
        <w:t> </w:t>
      </w:r>
      <w:r>
        <w:rPr>
          <w:color w:val="231F20"/>
          <w:w w:val="105"/>
          <w:sz w:val="19"/>
        </w:rPr>
        <w:t>indicare</w:t>
      </w:r>
      <w:r>
        <w:rPr>
          <w:color w:val="231F20"/>
          <w:spacing w:val="-38"/>
          <w:w w:val="105"/>
          <w:sz w:val="19"/>
        </w:rPr>
        <w:t> </w:t>
      </w:r>
      <w:r>
        <w:rPr>
          <w:color w:val="231F20"/>
          <w:w w:val="105"/>
          <w:sz w:val="19"/>
        </w:rPr>
        <w:t>un</w:t>
      </w:r>
      <w:r>
        <w:rPr>
          <w:color w:val="231F20"/>
          <w:spacing w:val="-38"/>
          <w:w w:val="105"/>
          <w:sz w:val="19"/>
        </w:rPr>
        <w:t> </w:t>
      </w:r>
      <w:r>
        <w:rPr>
          <w:color w:val="231F20"/>
          <w:w w:val="105"/>
          <w:sz w:val="19"/>
        </w:rPr>
        <w:t>presente che</w:t>
      </w:r>
      <w:r>
        <w:rPr>
          <w:color w:val="231F20"/>
          <w:spacing w:val="-37"/>
          <w:w w:val="105"/>
          <w:sz w:val="19"/>
        </w:rPr>
        <w:t> </w:t>
      </w:r>
      <w:r>
        <w:rPr>
          <w:color w:val="231F20"/>
          <w:w w:val="105"/>
          <w:sz w:val="19"/>
        </w:rPr>
        <w:t>continua</w:t>
      </w:r>
      <w:r>
        <w:rPr>
          <w:color w:val="231F20"/>
          <w:spacing w:val="-37"/>
          <w:w w:val="105"/>
          <w:sz w:val="19"/>
        </w:rPr>
        <w:t> </w:t>
      </w:r>
      <w:r>
        <w:rPr>
          <w:color w:val="231F20"/>
          <w:w w:val="105"/>
          <w:sz w:val="19"/>
        </w:rPr>
        <w:t>a</w:t>
      </w:r>
      <w:r>
        <w:rPr>
          <w:color w:val="231F20"/>
          <w:spacing w:val="-37"/>
          <w:w w:val="105"/>
          <w:sz w:val="19"/>
        </w:rPr>
        <w:t> </w:t>
      </w:r>
      <w:r>
        <w:rPr>
          <w:color w:val="231F20"/>
          <w:w w:val="105"/>
          <w:sz w:val="19"/>
        </w:rPr>
        <w:t>essere</w:t>
      </w:r>
      <w:r>
        <w:rPr>
          <w:color w:val="231F20"/>
          <w:spacing w:val="-37"/>
          <w:w w:val="105"/>
          <w:sz w:val="19"/>
        </w:rPr>
        <w:t> </w:t>
      </w:r>
      <w:r>
        <w:rPr>
          <w:color w:val="231F20"/>
          <w:w w:val="105"/>
          <w:sz w:val="19"/>
        </w:rPr>
        <w:t>catturato</w:t>
      </w:r>
      <w:r>
        <w:rPr>
          <w:color w:val="231F20"/>
          <w:spacing w:val="-37"/>
          <w:w w:val="105"/>
          <w:sz w:val="19"/>
        </w:rPr>
        <w:t> </w:t>
      </w:r>
      <w:r>
        <w:rPr>
          <w:color w:val="231F20"/>
          <w:w w:val="105"/>
          <w:sz w:val="19"/>
        </w:rPr>
        <w:t>e</w:t>
      </w:r>
      <w:r>
        <w:rPr>
          <w:color w:val="231F20"/>
          <w:spacing w:val="-37"/>
          <w:w w:val="105"/>
          <w:sz w:val="19"/>
        </w:rPr>
        <w:t> </w:t>
      </w:r>
      <w:r>
        <w:rPr>
          <w:color w:val="231F20"/>
          <w:w w:val="105"/>
          <w:sz w:val="19"/>
        </w:rPr>
        <w:t>strutturato</w:t>
      </w:r>
      <w:r>
        <w:rPr>
          <w:color w:val="231F20"/>
          <w:spacing w:val="-37"/>
          <w:w w:val="105"/>
          <w:sz w:val="19"/>
        </w:rPr>
        <w:t> </w:t>
      </w:r>
      <w:r>
        <w:rPr>
          <w:color w:val="231F20"/>
          <w:w w:val="105"/>
          <w:sz w:val="19"/>
        </w:rPr>
        <w:t>dal</w:t>
      </w:r>
      <w:r>
        <w:rPr>
          <w:color w:val="231F20"/>
          <w:spacing w:val="-37"/>
          <w:w w:val="105"/>
          <w:sz w:val="19"/>
        </w:rPr>
        <w:t> </w:t>
      </w:r>
      <w:r>
        <w:rPr>
          <w:color w:val="231F20"/>
          <w:w w:val="105"/>
          <w:sz w:val="19"/>
        </w:rPr>
        <w:t>passato</w:t>
      </w:r>
      <w:r>
        <w:rPr>
          <w:color w:val="231F20"/>
          <w:w w:val="105"/>
          <w:position w:val="6"/>
          <w:sz w:val="11"/>
        </w:rPr>
        <w:t>39</w:t>
      </w:r>
      <w:r>
        <w:rPr>
          <w:color w:val="231F20"/>
          <w:w w:val="105"/>
          <w:sz w:val="19"/>
        </w:rPr>
        <w:t>.</w:t>
      </w:r>
    </w:p>
    <w:p>
      <w:pPr>
        <w:pStyle w:val="BodyText"/>
        <w:spacing w:before="11"/>
        <w:rPr>
          <w:sz w:val="23"/>
        </w:rPr>
      </w:pPr>
    </w:p>
    <w:p>
      <w:pPr>
        <w:pStyle w:val="BodyText"/>
        <w:spacing w:line="247" w:lineRule="auto"/>
        <w:ind w:left="117" w:right="117"/>
        <w:jc w:val="both"/>
      </w:pPr>
      <w:r>
        <w:rPr>
          <w:color w:val="231F20"/>
        </w:rPr>
        <w:t>Proprio perché riferito all’epoca nel suo complesso, l’attributo</w:t>
      </w:r>
      <w:r>
        <w:rPr>
          <w:color w:val="231F20"/>
          <w:spacing w:val="-38"/>
        </w:rPr>
        <w:t> </w:t>
      </w:r>
      <w:r>
        <w:rPr>
          <w:color w:val="231F20"/>
        </w:rPr>
        <w:t>postcoloniale finisce dunque per agire su tutti i concetti politici e sociali obbligandone la rideterminazione complessiva</w:t>
      </w:r>
      <w:r>
        <w:rPr>
          <w:color w:val="231F20"/>
          <w:position w:val="7"/>
          <w:sz w:val="12"/>
        </w:rPr>
        <w:t>40</w:t>
      </w:r>
      <w:r>
        <w:rPr>
          <w:color w:val="231F20"/>
        </w:rPr>
        <w:t>. Lo Stato postcoloniale è così qualcosa di ben più complesso e vasto dell’emergenza della forma statale nei paesi in precedenza sottomessi alla dominazione coloniale. Non accade cioè che questi ultimi intraprendano la strada della statualità come se essa fosse unica e determinata. La realtà dello Stato postcoloniale retroagisce invece sul concetto di Stato moderno evidenziando: a) caratteristiche dello Stato moderno che si ritenevano superate e comunque incompatibili con la sua forma costituzionale, democratica, razionale; b) linee di tendenza </w:t>
      </w:r>
      <w:r>
        <w:rPr>
          <w:color w:val="231F20"/>
          <w:spacing w:val="2"/>
        </w:rPr>
        <w:t>della </w:t>
      </w:r>
      <w:r>
        <w:rPr>
          <w:color w:val="231F20"/>
        </w:rPr>
        <w:t>statualità moderna presenti, se pure con una diversa intensità, anche</w:t>
      </w:r>
      <w:r>
        <w:rPr>
          <w:color w:val="231F20"/>
          <w:spacing w:val="-17"/>
        </w:rPr>
        <w:t> </w:t>
      </w:r>
      <w:r>
        <w:rPr>
          <w:color w:val="231F20"/>
        </w:rPr>
        <w:t>negli Stati che non provengono da un’esperienza coloniale se non, spesso,</w:t>
      </w:r>
      <w:r>
        <w:rPr>
          <w:color w:val="231F20"/>
          <w:spacing w:val="-43"/>
        </w:rPr>
        <w:t> </w:t>
      </w:r>
      <w:r>
        <w:rPr>
          <w:color w:val="231F20"/>
        </w:rPr>
        <w:t>come </w:t>
      </w:r>
      <w:r>
        <w:rPr>
          <w:color w:val="231F20"/>
          <w:spacing w:val="-3"/>
        </w:rPr>
        <w:t>colonizzatori.</w:t>
      </w:r>
      <w:r>
        <w:rPr>
          <w:color w:val="231F20"/>
          <w:spacing w:val="-14"/>
        </w:rPr>
        <w:t> </w:t>
      </w:r>
      <w:r>
        <w:rPr>
          <w:color w:val="231F20"/>
        </w:rPr>
        <w:t>In</w:t>
      </w:r>
      <w:r>
        <w:rPr>
          <w:color w:val="231F20"/>
          <w:spacing w:val="-14"/>
        </w:rPr>
        <w:t> </w:t>
      </w:r>
      <w:r>
        <w:rPr>
          <w:color w:val="231F20"/>
          <w:spacing w:val="-3"/>
        </w:rPr>
        <w:t>altri</w:t>
      </w:r>
      <w:r>
        <w:rPr>
          <w:color w:val="231F20"/>
          <w:spacing w:val="-14"/>
        </w:rPr>
        <w:t> </w:t>
      </w:r>
      <w:r>
        <w:rPr>
          <w:color w:val="231F20"/>
          <w:spacing w:val="-3"/>
        </w:rPr>
        <w:t>termini</w:t>
      </w:r>
      <w:r>
        <w:rPr>
          <w:color w:val="231F20"/>
          <w:spacing w:val="-14"/>
        </w:rPr>
        <w:t> </w:t>
      </w:r>
      <w:r>
        <w:rPr>
          <w:color w:val="231F20"/>
        </w:rPr>
        <w:t>lo</w:t>
      </w:r>
      <w:r>
        <w:rPr>
          <w:color w:val="231F20"/>
          <w:spacing w:val="-14"/>
        </w:rPr>
        <w:t> </w:t>
      </w:r>
      <w:r>
        <w:rPr>
          <w:color w:val="231F20"/>
          <w:spacing w:val="-3"/>
        </w:rPr>
        <w:t>Stato</w:t>
      </w:r>
      <w:r>
        <w:rPr>
          <w:color w:val="231F20"/>
          <w:spacing w:val="-14"/>
        </w:rPr>
        <w:t> </w:t>
      </w:r>
      <w:r>
        <w:rPr>
          <w:color w:val="231F20"/>
          <w:spacing w:val="-3"/>
        </w:rPr>
        <w:t>postcoloniale</w:t>
      </w:r>
      <w:r>
        <w:rPr>
          <w:color w:val="231F20"/>
          <w:spacing w:val="-14"/>
        </w:rPr>
        <w:t> </w:t>
      </w:r>
      <w:r>
        <w:rPr>
          <w:color w:val="231F20"/>
        </w:rPr>
        <w:t>non</w:t>
      </w:r>
      <w:r>
        <w:rPr>
          <w:color w:val="231F20"/>
          <w:spacing w:val="-14"/>
        </w:rPr>
        <w:t> </w:t>
      </w:r>
      <w:r>
        <w:rPr>
          <w:color w:val="231F20"/>
        </w:rPr>
        <w:t>è</w:t>
      </w:r>
      <w:r>
        <w:rPr>
          <w:color w:val="231F20"/>
          <w:spacing w:val="-14"/>
        </w:rPr>
        <w:t> </w:t>
      </w:r>
      <w:r>
        <w:rPr>
          <w:color w:val="231F20"/>
          <w:spacing w:val="-3"/>
        </w:rPr>
        <w:t>rappresentabile</w:t>
      </w:r>
      <w:r>
        <w:rPr>
          <w:color w:val="231F20"/>
          <w:spacing w:val="-14"/>
        </w:rPr>
        <w:t> </w:t>
      </w:r>
      <w:r>
        <w:rPr>
          <w:color w:val="231F20"/>
          <w:spacing w:val="-3"/>
        </w:rPr>
        <w:t>solo </w:t>
      </w:r>
      <w:r>
        <w:rPr>
          <w:color w:val="231F20"/>
        </w:rPr>
        <w:t>come un ritardo nello sviluppo della statualità moderna, ma ne</w:t>
      </w:r>
      <w:r>
        <w:rPr>
          <w:color w:val="231F20"/>
          <w:spacing w:val="-25"/>
        </w:rPr>
        <w:t> </w:t>
      </w:r>
      <w:r>
        <w:rPr>
          <w:color w:val="231F20"/>
        </w:rPr>
        <w:t>ridetermina il</w:t>
      </w:r>
      <w:r>
        <w:rPr>
          <w:color w:val="231F20"/>
          <w:spacing w:val="-7"/>
        </w:rPr>
        <w:t> </w:t>
      </w:r>
      <w:r>
        <w:rPr>
          <w:color w:val="231F20"/>
        </w:rPr>
        <w:t>concetto</w:t>
      </w:r>
      <w:r>
        <w:rPr>
          <w:color w:val="231F20"/>
          <w:spacing w:val="-7"/>
        </w:rPr>
        <w:t> </w:t>
      </w:r>
      <w:r>
        <w:rPr>
          <w:color w:val="231F20"/>
        </w:rPr>
        <w:t>nel</w:t>
      </w:r>
      <w:r>
        <w:rPr>
          <w:color w:val="231F20"/>
          <w:spacing w:val="-7"/>
        </w:rPr>
        <w:t> </w:t>
      </w:r>
      <w:r>
        <w:rPr>
          <w:color w:val="231F20"/>
        </w:rPr>
        <w:t>momento</w:t>
      </w:r>
      <w:r>
        <w:rPr>
          <w:color w:val="231F20"/>
          <w:spacing w:val="-7"/>
        </w:rPr>
        <w:t> </w:t>
      </w:r>
      <w:r>
        <w:rPr>
          <w:color w:val="231F20"/>
        </w:rPr>
        <w:t>in</w:t>
      </w:r>
      <w:r>
        <w:rPr>
          <w:color w:val="231F20"/>
          <w:spacing w:val="-7"/>
        </w:rPr>
        <w:t> </w:t>
      </w:r>
      <w:r>
        <w:rPr>
          <w:color w:val="231F20"/>
        </w:rPr>
        <w:t>cui</w:t>
      </w:r>
      <w:r>
        <w:rPr>
          <w:color w:val="231F20"/>
          <w:spacing w:val="-7"/>
        </w:rPr>
        <w:t> </w:t>
      </w:r>
      <w:r>
        <w:rPr>
          <w:color w:val="231F20"/>
        </w:rPr>
        <w:t>essa</w:t>
      </w:r>
      <w:r>
        <w:rPr>
          <w:color w:val="231F20"/>
          <w:spacing w:val="-7"/>
        </w:rPr>
        <w:t> </w:t>
      </w:r>
      <w:r>
        <w:rPr>
          <w:color w:val="231F20"/>
        </w:rPr>
        <w:t>è</w:t>
      </w:r>
      <w:r>
        <w:rPr>
          <w:color w:val="231F20"/>
          <w:spacing w:val="-7"/>
        </w:rPr>
        <w:t> </w:t>
      </w:r>
      <w:r>
        <w:rPr>
          <w:color w:val="231F20"/>
        </w:rPr>
        <w:t>costretta</w:t>
      </w:r>
      <w:r>
        <w:rPr>
          <w:color w:val="231F20"/>
          <w:spacing w:val="-7"/>
        </w:rPr>
        <w:t> </w:t>
      </w:r>
      <w:r>
        <w:rPr>
          <w:color w:val="231F20"/>
        </w:rPr>
        <w:t>in</w:t>
      </w:r>
      <w:r>
        <w:rPr>
          <w:color w:val="231F20"/>
          <w:spacing w:val="-7"/>
        </w:rPr>
        <w:t> </w:t>
      </w:r>
      <w:r>
        <w:rPr>
          <w:color w:val="231F20"/>
        </w:rPr>
        <w:t>una</w:t>
      </w:r>
      <w:r>
        <w:rPr>
          <w:color w:val="231F20"/>
          <w:spacing w:val="-7"/>
        </w:rPr>
        <w:t> </w:t>
      </w:r>
      <w:r>
        <w:rPr>
          <w:color w:val="231F20"/>
        </w:rPr>
        <w:t>spazialità</w:t>
      </w:r>
      <w:r>
        <w:rPr>
          <w:color w:val="231F20"/>
          <w:spacing w:val="-7"/>
        </w:rPr>
        <w:t> </w:t>
      </w:r>
      <w:r>
        <w:rPr>
          <w:color w:val="231F20"/>
        </w:rPr>
        <w:t>politica</w:t>
      </w:r>
      <w:r>
        <w:rPr>
          <w:color w:val="231F20"/>
          <w:spacing w:val="-7"/>
        </w:rPr>
        <w:t> </w:t>
      </w:r>
      <w:r>
        <w:rPr>
          <w:color w:val="231F20"/>
        </w:rPr>
        <w:t>che sovverte le distinzioni tra centro e periferia, tra sviluppo e sottosviluppo. Dal punto di vista concettuale non si tratta di “bilanciare differenti</w:t>
      </w:r>
      <w:r>
        <w:rPr>
          <w:color w:val="231F20"/>
          <w:spacing w:val="-36"/>
        </w:rPr>
        <w:t> </w:t>
      </w:r>
      <w:r>
        <w:rPr>
          <w:color w:val="231F20"/>
        </w:rPr>
        <w:t>approcci allo studio dello Stato”, quanto di “riconoscere le connessioni integrali tra </w:t>
      </w:r>
      <w:r>
        <w:rPr>
          <w:color w:val="231F20"/>
          <w:spacing w:val="-3"/>
        </w:rPr>
        <w:t>economia politica, struttura sociale </w:t>
      </w:r>
      <w:r>
        <w:rPr>
          <w:color w:val="231F20"/>
        </w:rPr>
        <w:t>e </w:t>
      </w:r>
      <w:r>
        <w:rPr>
          <w:color w:val="231F20"/>
          <w:spacing w:val="-3"/>
        </w:rPr>
        <w:t>disegno istituzionale, pratica quotidiana </w:t>
      </w:r>
      <w:r>
        <w:rPr>
          <w:color w:val="231F20"/>
        </w:rPr>
        <w:t>e rappresentazione”</w:t>
      </w:r>
      <w:r>
        <w:rPr>
          <w:color w:val="231F20"/>
          <w:position w:val="7"/>
          <w:sz w:val="12"/>
        </w:rPr>
        <w:t>41</w:t>
      </w:r>
      <w:r>
        <w:rPr>
          <w:color w:val="231F20"/>
        </w:rPr>
        <w:t>. Nello Stato globale postcoloniale l’analisi non deve concentrarsi</w:t>
      </w:r>
      <w:r>
        <w:rPr>
          <w:color w:val="231F20"/>
          <w:spacing w:val="-9"/>
        </w:rPr>
        <w:t> </w:t>
      </w:r>
      <w:r>
        <w:rPr>
          <w:color w:val="231F20"/>
        </w:rPr>
        <w:t>sulla</w:t>
      </w:r>
      <w:r>
        <w:rPr>
          <w:color w:val="231F20"/>
          <w:spacing w:val="-9"/>
        </w:rPr>
        <w:t> </w:t>
      </w:r>
      <w:r>
        <w:rPr>
          <w:color w:val="231F20"/>
        </w:rPr>
        <w:t>la</w:t>
      </w:r>
      <w:r>
        <w:rPr>
          <w:color w:val="231F20"/>
          <w:spacing w:val="-9"/>
        </w:rPr>
        <w:t> </w:t>
      </w:r>
      <w:r>
        <w:rPr>
          <w:color w:val="231F20"/>
        </w:rPr>
        <w:t>contrapposizione</w:t>
      </w:r>
      <w:r>
        <w:rPr>
          <w:color w:val="231F20"/>
          <w:spacing w:val="-9"/>
        </w:rPr>
        <w:t> </w:t>
      </w:r>
      <w:r>
        <w:rPr>
          <w:color w:val="231F20"/>
        </w:rPr>
        <w:t>tra</w:t>
      </w:r>
      <w:r>
        <w:rPr>
          <w:color w:val="231F20"/>
          <w:spacing w:val="-9"/>
        </w:rPr>
        <w:t> </w:t>
      </w:r>
      <w:r>
        <w:rPr>
          <w:color w:val="231F20"/>
        </w:rPr>
        <w:t>il</w:t>
      </w:r>
      <w:r>
        <w:rPr>
          <w:color w:val="231F20"/>
          <w:spacing w:val="-9"/>
        </w:rPr>
        <w:t> </w:t>
      </w:r>
      <w:r>
        <w:rPr>
          <w:color w:val="231F20"/>
        </w:rPr>
        <w:t>carattere</w:t>
      </w:r>
      <w:r>
        <w:rPr>
          <w:color w:val="231F20"/>
          <w:spacing w:val="-9"/>
        </w:rPr>
        <w:t> </w:t>
      </w:r>
      <w:r>
        <w:rPr>
          <w:color w:val="231F20"/>
        </w:rPr>
        <w:t>nazionale</w:t>
      </w:r>
      <w:r>
        <w:rPr>
          <w:color w:val="231F20"/>
          <w:spacing w:val="-9"/>
        </w:rPr>
        <w:t> </w:t>
      </w:r>
      <w:r>
        <w:rPr>
          <w:color w:val="231F20"/>
        </w:rPr>
        <w:t>dello</w:t>
      </w:r>
      <w:r>
        <w:rPr>
          <w:color w:val="231F20"/>
          <w:spacing w:val="-9"/>
        </w:rPr>
        <w:t> </w:t>
      </w:r>
      <w:r>
        <w:rPr>
          <w:color w:val="231F20"/>
        </w:rPr>
        <w:t>Stato</w:t>
      </w:r>
      <w:r>
        <w:rPr>
          <w:color w:val="231F20"/>
          <w:spacing w:val="-9"/>
        </w:rPr>
        <w:t> </w:t>
      </w:r>
      <w:r>
        <w:rPr>
          <w:color w:val="231F20"/>
        </w:rPr>
        <w:t>e</w:t>
      </w:r>
    </w:p>
    <w:p>
      <w:pPr>
        <w:pStyle w:val="BodyText"/>
        <w:spacing w:before="4"/>
        <w:rPr>
          <w:sz w:val="16"/>
        </w:rPr>
      </w:pPr>
      <w:r>
        <w:rPr/>
        <w:pict>
          <v:line style="position:absolute;mso-position-horizontal-relative:page;mso-position-vertical-relative:paragraph;z-index:10408;mso-wrap-distance-left:0;mso-wrap-distance-right:0" from="70.866096pt,11.960488pt" to="184.252096pt,11.960488pt" stroked="true" strokeweight=".3pt" strokecolor="#231f20">
            <w10:wrap type="topAndBottom"/>
          </v:line>
        </w:pict>
      </w:r>
    </w:p>
    <w:p>
      <w:pPr>
        <w:spacing w:line="204" w:lineRule="exact" w:before="9"/>
        <w:ind w:left="117" w:right="0" w:firstLine="0"/>
        <w:jc w:val="left"/>
        <w:rPr>
          <w:rFonts w:ascii="Calibri"/>
          <w:sz w:val="17"/>
        </w:rPr>
      </w:pPr>
      <w:r>
        <w:rPr>
          <w:rFonts w:ascii="Calibri"/>
          <w:color w:val="231F20"/>
          <w:position w:val="6"/>
          <w:sz w:val="10"/>
        </w:rPr>
        <w:t>38 </w:t>
      </w:r>
      <w:r>
        <w:rPr>
          <w:rFonts w:ascii="Calibri"/>
          <w:color w:val="231F20"/>
          <w:sz w:val="17"/>
        </w:rPr>
        <w:t>S. Mezzadra, </w:t>
      </w:r>
      <w:r>
        <w:rPr>
          <w:rFonts w:ascii="Calibri"/>
          <w:i/>
          <w:color w:val="231F20"/>
          <w:sz w:val="17"/>
        </w:rPr>
        <w:t>La condizione postcoloniale. Storia e politica nel presente globale</w:t>
      </w:r>
      <w:r>
        <w:rPr>
          <w:rFonts w:ascii="Calibri"/>
          <w:color w:val="231F20"/>
          <w:sz w:val="17"/>
        </w:rPr>
        <w:t>, Verona, Ombre Corte, 2008.</w:t>
      </w:r>
    </w:p>
    <w:p>
      <w:pPr>
        <w:spacing w:line="206" w:lineRule="exact" w:before="1"/>
        <w:ind w:left="117" w:right="0" w:firstLine="0"/>
        <w:jc w:val="left"/>
        <w:rPr>
          <w:rFonts w:ascii="Calibri"/>
          <w:sz w:val="17"/>
        </w:rPr>
      </w:pPr>
      <w:r>
        <w:rPr>
          <w:rFonts w:ascii="Calibri"/>
          <w:color w:val="231F20"/>
          <w:position w:val="6"/>
          <w:sz w:val="10"/>
        </w:rPr>
        <w:t>39 </w:t>
      </w:r>
      <w:r>
        <w:rPr>
          <w:rFonts w:ascii="Calibri"/>
          <w:color w:val="231F20"/>
          <w:sz w:val="17"/>
        </w:rPr>
        <w:t>N. Brown, </w:t>
      </w:r>
      <w:r>
        <w:rPr>
          <w:rFonts w:ascii="Calibri"/>
          <w:i/>
          <w:color w:val="231F20"/>
          <w:sz w:val="17"/>
        </w:rPr>
        <w:t>Walled States. Waining Sovereignty</w:t>
      </w:r>
      <w:r>
        <w:rPr>
          <w:rFonts w:ascii="Calibri"/>
          <w:color w:val="231F20"/>
          <w:sz w:val="17"/>
        </w:rPr>
        <w:t>, New York, Zone Book, 2010, p. 21.</w:t>
      </w:r>
    </w:p>
    <w:p>
      <w:pPr>
        <w:spacing w:line="235" w:lineRule="auto" w:before="1"/>
        <w:ind w:left="117" w:right="0" w:firstLine="0"/>
        <w:jc w:val="left"/>
        <w:rPr>
          <w:rFonts w:ascii="Calibri"/>
          <w:sz w:val="17"/>
        </w:rPr>
      </w:pPr>
      <w:r>
        <w:rPr>
          <w:rFonts w:ascii="Calibri"/>
          <w:color w:val="231F20"/>
          <w:w w:val="105"/>
          <w:position w:val="6"/>
          <w:sz w:val="10"/>
        </w:rPr>
        <w:t>40 </w:t>
      </w:r>
      <w:r>
        <w:rPr>
          <w:rFonts w:ascii="Calibri"/>
          <w:color w:val="231F20"/>
          <w:w w:val="105"/>
          <w:sz w:val="17"/>
        </w:rPr>
        <w:t>G. Ch. Spivak, </w:t>
      </w:r>
      <w:r>
        <w:rPr>
          <w:rFonts w:ascii="Calibri"/>
          <w:i/>
          <w:color w:val="231F20"/>
          <w:w w:val="105"/>
          <w:sz w:val="17"/>
        </w:rPr>
        <w:t>A Critique of Postcolonial Reason. Toward a History of the Vanishing Present</w:t>
      </w:r>
      <w:r>
        <w:rPr>
          <w:rFonts w:ascii="Calibri"/>
          <w:color w:val="231F20"/>
          <w:w w:val="105"/>
          <w:sz w:val="17"/>
        </w:rPr>
        <w:t>, Cambridge (MA)/London, Harvard University Press, 1999.</w:t>
      </w:r>
    </w:p>
    <w:p>
      <w:pPr>
        <w:spacing w:line="203" w:lineRule="exact" w:before="0"/>
        <w:ind w:left="117" w:right="0" w:firstLine="0"/>
        <w:jc w:val="left"/>
        <w:rPr>
          <w:rFonts w:ascii="Calibri" w:hAnsi="Calibri"/>
          <w:sz w:val="17"/>
        </w:rPr>
      </w:pPr>
      <w:r>
        <w:rPr>
          <w:rFonts w:ascii="Calibri" w:hAnsi="Calibri"/>
          <w:color w:val="231F20"/>
          <w:position w:val="6"/>
          <w:sz w:val="10"/>
        </w:rPr>
        <w:t>41    </w:t>
      </w:r>
      <w:r>
        <w:rPr>
          <w:rFonts w:ascii="Calibri" w:hAnsi="Calibri"/>
          <w:color w:val="231F20"/>
          <w:sz w:val="17"/>
        </w:rPr>
        <w:t>A.  Gupta  and  A.  Sharma,  “Globalization  and  Postcolonial  States”,  </w:t>
      </w:r>
      <w:r>
        <w:rPr>
          <w:rFonts w:ascii="Calibri" w:hAnsi="Calibri"/>
          <w:i/>
          <w:color w:val="231F20"/>
          <w:sz w:val="17"/>
        </w:rPr>
        <w:t>Current  Anthropology</w:t>
      </w:r>
      <w:r>
        <w:rPr>
          <w:rFonts w:ascii="Calibri" w:hAnsi="Calibri"/>
          <w:color w:val="231F20"/>
          <w:sz w:val="17"/>
        </w:rPr>
        <w:t>,  47,</w:t>
      </w:r>
    </w:p>
    <w:p>
      <w:pPr>
        <w:spacing w:line="206" w:lineRule="exact" w:before="0"/>
        <w:ind w:left="117" w:right="0" w:firstLine="0"/>
        <w:jc w:val="left"/>
        <w:rPr>
          <w:rFonts w:ascii="Calibri"/>
          <w:sz w:val="17"/>
        </w:rPr>
      </w:pPr>
      <w:r>
        <w:rPr>
          <w:rFonts w:ascii="Calibri"/>
          <w:color w:val="231F20"/>
          <w:sz w:val="17"/>
        </w:rPr>
        <w:t>Number 2, April 2006, p. 279.</w:t>
      </w:r>
    </w:p>
    <w:p>
      <w:pPr>
        <w:spacing w:after="0" w:line="206" w:lineRule="exact"/>
        <w:jc w:val="left"/>
        <w:rPr>
          <w:rFonts w:ascii="Calibri"/>
          <w:sz w:val="17"/>
        </w:rPr>
        <w:sectPr>
          <w:pgSz w:w="9640" w:h="13890"/>
          <w:pgMar w:top="0" w:bottom="280" w:left="1300" w:right="1180"/>
        </w:sectPr>
      </w:pPr>
    </w:p>
    <w:p>
      <w:pPr>
        <w:pStyle w:val="BodyText"/>
        <w:spacing w:line="247" w:lineRule="auto" w:before="107"/>
        <w:ind w:left="103" w:right="110"/>
        <w:jc w:val="both"/>
      </w:pPr>
      <w:r>
        <w:rPr>
          <w:color w:val="231F20"/>
        </w:rPr>
        <w:t>la</w:t>
      </w:r>
      <w:r>
        <w:rPr>
          <w:color w:val="231F20"/>
          <w:spacing w:val="-21"/>
        </w:rPr>
        <w:t> </w:t>
      </w:r>
      <w:r>
        <w:rPr>
          <w:color w:val="231F20"/>
        </w:rPr>
        <w:t>collocazione</w:t>
      </w:r>
      <w:r>
        <w:rPr>
          <w:color w:val="231F20"/>
          <w:spacing w:val="-21"/>
        </w:rPr>
        <w:t> </w:t>
      </w:r>
      <w:r>
        <w:rPr>
          <w:color w:val="231F20"/>
        </w:rPr>
        <w:t>internazionale,</w:t>
      </w:r>
      <w:r>
        <w:rPr>
          <w:color w:val="231F20"/>
          <w:spacing w:val="-21"/>
        </w:rPr>
        <w:t> </w:t>
      </w:r>
      <w:r>
        <w:rPr>
          <w:color w:val="231F20"/>
        </w:rPr>
        <w:t>quanto</w:t>
      </w:r>
      <w:r>
        <w:rPr>
          <w:color w:val="231F20"/>
          <w:spacing w:val="-21"/>
        </w:rPr>
        <w:t> </w:t>
      </w:r>
      <w:r>
        <w:rPr>
          <w:color w:val="231F20"/>
        </w:rPr>
        <w:t>piuttosto</w:t>
      </w:r>
      <w:r>
        <w:rPr>
          <w:color w:val="231F20"/>
          <w:spacing w:val="-21"/>
        </w:rPr>
        <w:t> </w:t>
      </w:r>
      <w:r>
        <w:rPr>
          <w:color w:val="231F20"/>
        </w:rPr>
        <w:t>sulla</w:t>
      </w:r>
      <w:r>
        <w:rPr>
          <w:color w:val="231F20"/>
          <w:spacing w:val="-21"/>
        </w:rPr>
        <w:t> </w:t>
      </w:r>
      <w:r>
        <w:rPr>
          <w:color w:val="231F20"/>
        </w:rPr>
        <w:t>complessa</w:t>
      </w:r>
      <w:r>
        <w:rPr>
          <w:color w:val="231F20"/>
          <w:spacing w:val="-21"/>
        </w:rPr>
        <w:t> </w:t>
      </w:r>
      <w:r>
        <w:rPr>
          <w:color w:val="231F20"/>
        </w:rPr>
        <w:t>connessione amministrativa che, grazie ai sistemi di </w:t>
      </w:r>
      <w:r>
        <w:rPr>
          <w:rFonts w:ascii="Arial" w:hAnsi="Arial"/>
          <w:i/>
          <w:color w:val="231F20"/>
        </w:rPr>
        <w:t>governance</w:t>
      </w:r>
      <w:r>
        <w:rPr>
          <w:color w:val="231F20"/>
          <w:position w:val="7"/>
          <w:sz w:val="12"/>
        </w:rPr>
        <w:t>42</w:t>
      </w:r>
      <w:r>
        <w:rPr>
          <w:color w:val="231F20"/>
        </w:rPr>
        <w:t>, lo collega agli altri Stati. Lo Stato globale postcoloniale è sempre messo a confronto con la </w:t>
      </w:r>
      <w:r>
        <w:rPr>
          <w:color w:val="231F20"/>
          <w:spacing w:val="-3"/>
        </w:rPr>
        <w:t>propria</w:t>
      </w:r>
      <w:r>
        <w:rPr>
          <w:color w:val="231F20"/>
          <w:spacing w:val="-18"/>
        </w:rPr>
        <w:t> </w:t>
      </w:r>
      <w:r>
        <w:rPr>
          <w:color w:val="231F20"/>
          <w:spacing w:val="-3"/>
        </w:rPr>
        <w:t>insufficienza,</w:t>
      </w:r>
      <w:r>
        <w:rPr>
          <w:color w:val="231F20"/>
          <w:spacing w:val="-18"/>
        </w:rPr>
        <w:t> </w:t>
      </w:r>
      <w:r>
        <w:rPr>
          <w:color w:val="231F20"/>
          <w:spacing w:val="-3"/>
        </w:rPr>
        <w:t>perché</w:t>
      </w:r>
      <w:r>
        <w:rPr>
          <w:color w:val="231F20"/>
          <w:spacing w:val="-18"/>
        </w:rPr>
        <w:t> </w:t>
      </w:r>
      <w:r>
        <w:rPr>
          <w:color w:val="231F20"/>
        </w:rPr>
        <w:t>al</w:t>
      </w:r>
      <w:r>
        <w:rPr>
          <w:color w:val="231F20"/>
          <w:spacing w:val="-18"/>
        </w:rPr>
        <w:t> </w:t>
      </w:r>
      <w:r>
        <w:rPr>
          <w:color w:val="231F20"/>
        </w:rPr>
        <w:t>suo</w:t>
      </w:r>
      <w:r>
        <w:rPr>
          <w:color w:val="231F20"/>
          <w:spacing w:val="-18"/>
        </w:rPr>
        <w:t> </w:t>
      </w:r>
      <w:r>
        <w:rPr>
          <w:color w:val="231F20"/>
        </w:rPr>
        <w:t>interno</w:t>
      </w:r>
      <w:r>
        <w:rPr>
          <w:color w:val="231F20"/>
          <w:spacing w:val="-18"/>
        </w:rPr>
        <w:t> </w:t>
      </w:r>
      <w:r>
        <w:rPr>
          <w:color w:val="231F20"/>
        </w:rPr>
        <w:t>i</w:t>
      </w:r>
      <w:r>
        <w:rPr>
          <w:color w:val="231F20"/>
          <w:spacing w:val="-18"/>
        </w:rPr>
        <w:t> </w:t>
      </w:r>
      <w:r>
        <w:rPr>
          <w:color w:val="231F20"/>
          <w:spacing w:val="-3"/>
        </w:rPr>
        <w:t>processi</w:t>
      </w:r>
      <w:r>
        <w:rPr>
          <w:color w:val="231F20"/>
          <w:spacing w:val="-18"/>
        </w:rPr>
        <w:t> </w:t>
      </w:r>
      <w:r>
        <w:rPr>
          <w:color w:val="231F20"/>
        </w:rPr>
        <w:t>di</w:t>
      </w:r>
      <w:r>
        <w:rPr>
          <w:color w:val="231F20"/>
          <w:spacing w:val="-18"/>
        </w:rPr>
        <w:t> </w:t>
      </w:r>
      <w:r>
        <w:rPr>
          <w:color w:val="231F20"/>
        </w:rPr>
        <w:t>costituzionalizzazione rimandano</w:t>
      </w:r>
      <w:r>
        <w:rPr>
          <w:color w:val="231F20"/>
          <w:spacing w:val="-19"/>
        </w:rPr>
        <w:t> </w:t>
      </w:r>
      <w:r>
        <w:rPr>
          <w:color w:val="231F20"/>
        </w:rPr>
        <w:t>alla</w:t>
      </w:r>
      <w:r>
        <w:rPr>
          <w:color w:val="231F20"/>
          <w:spacing w:val="-19"/>
        </w:rPr>
        <w:t> </w:t>
      </w:r>
      <w:r>
        <w:rPr>
          <w:color w:val="231F20"/>
        </w:rPr>
        <w:t>necessità</w:t>
      </w:r>
      <w:r>
        <w:rPr>
          <w:color w:val="231F20"/>
          <w:spacing w:val="-19"/>
        </w:rPr>
        <w:t> </w:t>
      </w:r>
      <w:r>
        <w:rPr>
          <w:color w:val="231F20"/>
        </w:rPr>
        <w:t>di</w:t>
      </w:r>
      <w:r>
        <w:rPr>
          <w:color w:val="231F20"/>
          <w:spacing w:val="-19"/>
        </w:rPr>
        <w:t> </w:t>
      </w:r>
      <w:r>
        <w:rPr>
          <w:color w:val="231F20"/>
          <w:spacing w:val="-3"/>
        </w:rPr>
        <w:t>altrettanto</w:t>
      </w:r>
      <w:r>
        <w:rPr>
          <w:color w:val="231F20"/>
          <w:spacing w:val="-19"/>
        </w:rPr>
        <w:t> </w:t>
      </w:r>
      <w:r>
        <w:rPr>
          <w:color w:val="231F20"/>
        </w:rPr>
        <w:t>specifiche</w:t>
      </w:r>
      <w:r>
        <w:rPr>
          <w:color w:val="231F20"/>
          <w:spacing w:val="-17"/>
        </w:rPr>
        <w:t> </w:t>
      </w:r>
      <w:r>
        <w:rPr>
          <w:color w:val="231F20"/>
        </w:rPr>
        <w:t>pratiche</w:t>
      </w:r>
      <w:r>
        <w:rPr>
          <w:color w:val="231F20"/>
          <w:spacing w:val="-17"/>
        </w:rPr>
        <w:t> </w:t>
      </w:r>
      <w:r>
        <w:rPr>
          <w:color w:val="231F20"/>
        </w:rPr>
        <w:t>di</w:t>
      </w:r>
      <w:r>
        <w:rPr>
          <w:color w:val="231F20"/>
          <w:spacing w:val="-19"/>
        </w:rPr>
        <w:t> </w:t>
      </w:r>
      <w:r>
        <w:rPr>
          <w:color w:val="231F20"/>
        </w:rPr>
        <w:t>disciplinamento amministrativo, perché non arriva mai a normalizzare la situazione</w:t>
      </w:r>
      <w:r>
        <w:rPr>
          <w:color w:val="231F20"/>
          <w:position w:val="7"/>
          <w:sz w:val="12"/>
        </w:rPr>
        <w:t>43</w:t>
      </w:r>
      <w:r>
        <w:rPr>
          <w:color w:val="231F20"/>
        </w:rPr>
        <w:t>. Ciò non avviene solo perché nella maggior parte dei casi la costituzione è, per così dire, un prodotto di importazione, che rivela costantemente la </w:t>
      </w:r>
      <w:r>
        <w:rPr>
          <w:color w:val="231F20"/>
          <w:spacing w:val="2"/>
        </w:rPr>
        <w:t>sua </w:t>
      </w:r>
      <w:r>
        <w:rPr>
          <w:color w:val="231F20"/>
        </w:rPr>
        <w:t>caratteristica di costituzione coloniale, ma anche perché essa non giunge  a costituire un quadro di riferimento tale da garantire l’effettiva formalità  e universalità del diritto. Essa richiama dunque continuamente l’azione di pratiche “governamentali” che non configurano una relazione tra lo Stato come luogo più o meno esclusivo della politica</w:t>
      </w:r>
      <w:r>
        <w:rPr>
          <w:color w:val="231F20"/>
          <w:position w:val="7"/>
          <w:sz w:val="12"/>
        </w:rPr>
        <w:t>44 </w:t>
      </w:r>
      <w:r>
        <w:rPr>
          <w:color w:val="231F20"/>
        </w:rPr>
        <w:t>e la società come ambito lasciato libero —e proprio per questo impolitico— all’agire </w:t>
      </w:r>
      <w:r>
        <w:rPr>
          <w:color w:val="231F20"/>
          <w:spacing w:val="2"/>
        </w:rPr>
        <w:t>individuale,   </w:t>
      </w:r>
      <w:r>
        <w:rPr>
          <w:color w:val="231F20"/>
        </w:rPr>
        <w:t>ma piuttosto la produzione di una mediazione tra un insieme di agenzie spesso non statali —governative o non governative— e la popolazione</w:t>
      </w:r>
      <w:r>
        <w:rPr>
          <w:color w:val="231F20"/>
          <w:position w:val="7"/>
          <w:sz w:val="12"/>
        </w:rPr>
        <w:t>45</w:t>
      </w:r>
      <w:r>
        <w:rPr>
          <w:color w:val="231F20"/>
        </w:rPr>
        <w:t>.  Si determina così una condizione di proliferazione dei rapporti politici, o    di rapporti che rischiano continuamente di essere politicizzati perché non esiste un ambito unico e certo che possa pretendere il monopolio della definizione di cosa è politico e cosa non lo è. “Questa oscillazione tra il politico e il sociale si trasferisce oggi nella società mondo”</w:t>
      </w:r>
      <w:r>
        <w:rPr>
          <w:color w:val="231F20"/>
          <w:position w:val="7"/>
          <w:sz w:val="12"/>
        </w:rPr>
        <w:t>46</w:t>
      </w:r>
      <w:r>
        <w:rPr>
          <w:color w:val="231F20"/>
        </w:rPr>
        <w:t>, producendo come vedremo altrettante oscillazioni all’interno del meccanismo sovrano  e della sua</w:t>
      </w:r>
      <w:r>
        <w:rPr>
          <w:color w:val="231F20"/>
          <w:spacing w:val="19"/>
        </w:rPr>
        <w:t> </w:t>
      </w:r>
      <w:r>
        <w:rPr>
          <w:color w:val="231F20"/>
        </w:rPr>
        <w:t>legittimazione.</w:t>
      </w:r>
    </w:p>
    <w:p>
      <w:pPr>
        <w:pStyle w:val="BodyText"/>
        <w:spacing w:line="247" w:lineRule="auto"/>
        <w:ind w:left="103" w:right="110" w:firstLine="566"/>
        <w:jc w:val="both"/>
        <w:rPr>
          <w:rFonts w:ascii="Arial" w:hAnsi="Arial"/>
          <w:i/>
        </w:rPr>
      </w:pPr>
      <w:r>
        <w:rPr>
          <w:color w:val="231F20"/>
          <w:spacing w:val="-3"/>
        </w:rPr>
        <w:t>Negli</w:t>
      </w:r>
      <w:r>
        <w:rPr>
          <w:color w:val="231F20"/>
          <w:spacing w:val="-13"/>
        </w:rPr>
        <w:t> </w:t>
      </w:r>
      <w:r>
        <w:rPr>
          <w:color w:val="231F20"/>
          <w:spacing w:val="-3"/>
        </w:rPr>
        <w:t>Stati</w:t>
      </w:r>
      <w:r>
        <w:rPr>
          <w:color w:val="231F20"/>
          <w:spacing w:val="-13"/>
        </w:rPr>
        <w:t> </w:t>
      </w:r>
      <w:r>
        <w:rPr>
          <w:color w:val="231F20"/>
          <w:spacing w:val="-3"/>
        </w:rPr>
        <w:t>postcoloniali</w:t>
      </w:r>
      <w:r>
        <w:rPr>
          <w:color w:val="231F20"/>
          <w:spacing w:val="-13"/>
        </w:rPr>
        <w:t> </w:t>
      </w:r>
      <w:r>
        <w:rPr>
          <w:color w:val="231F20"/>
          <w:spacing w:val="-3"/>
        </w:rPr>
        <w:t>muta</w:t>
      </w:r>
      <w:r>
        <w:rPr>
          <w:color w:val="231F20"/>
          <w:spacing w:val="-13"/>
        </w:rPr>
        <w:t> </w:t>
      </w:r>
      <w:r>
        <w:rPr>
          <w:color w:val="231F20"/>
        </w:rPr>
        <w:t>la</w:t>
      </w:r>
      <w:r>
        <w:rPr>
          <w:color w:val="231F20"/>
          <w:spacing w:val="-13"/>
        </w:rPr>
        <w:t> </w:t>
      </w:r>
      <w:r>
        <w:rPr>
          <w:color w:val="231F20"/>
          <w:spacing w:val="-3"/>
        </w:rPr>
        <w:t>connessione</w:t>
      </w:r>
      <w:r>
        <w:rPr>
          <w:color w:val="231F20"/>
          <w:spacing w:val="-13"/>
        </w:rPr>
        <w:t> </w:t>
      </w:r>
      <w:r>
        <w:rPr>
          <w:color w:val="231F20"/>
        </w:rPr>
        <w:t>che</w:t>
      </w:r>
      <w:r>
        <w:rPr>
          <w:color w:val="231F20"/>
          <w:spacing w:val="-13"/>
        </w:rPr>
        <w:t> </w:t>
      </w:r>
      <w:r>
        <w:rPr>
          <w:color w:val="231F20"/>
          <w:spacing w:val="-3"/>
        </w:rPr>
        <w:t>storicamente</w:t>
      </w:r>
      <w:r>
        <w:rPr>
          <w:color w:val="231F20"/>
          <w:spacing w:val="-13"/>
        </w:rPr>
        <w:t> </w:t>
      </w:r>
      <w:r>
        <w:rPr>
          <w:color w:val="231F20"/>
        </w:rPr>
        <w:t>è</w:t>
      </w:r>
      <w:r>
        <w:rPr>
          <w:color w:val="231F20"/>
          <w:spacing w:val="-13"/>
        </w:rPr>
        <w:t> </w:t>
      </w:r>
      <w:r>
        <w:rPr>
          <w:color w:val="231F20"/>
          <w:spacing w:val="-3"/>
        </w:rPr>
        <w:t>servita </w:t>
      </w:r>
      <w:r>
        <w:rPr>
          <w:color w:val="231F20"/>
        </w:rPr>
        <w:t>a inserire ogni singolo Stato in un sistema riconoscendo e legittimando l’esistenza e il carattere assoluto della sua sovranità. Negli Stati globali postcoloniali sembra che il sistema si rivolti contro gli Stati mettendone   se non in pericolo almeno in discussione ogni pretesa di assolutezza. “Ciò diviene</w:t>
      </w:r>
      <w:r>
        <w:rPr>
          <w:color w:val="231F20"/>
          <w:spacing w:val="-12"/>
        </w:rPr>
        <w:t> </w:t>
      </w:r>
      <w:r>
        <w:rPr>
          <w:color w:val="231F20"/>
        </w:rPr>
        <w:t>possibile</w:t>
      </w:r>
      <w:r>
        <w:rPr>
          <w:color w:val="231F20"/>
          <w:spacing w:val="-12"/>
        </w:rPr>
        <w:t> </w:t>
      </w:r>
      <w:r>
        <w:rPr>
          <w:color w:val="231F20"/>
        </w:rPr>
        <w:t>perché</w:t>
      </w:r>
      <w:r>
        <w:rPr>
          <w:color w:val="231F20"/>
          <w:spacing w:val="-12"/>
        </w:rPr>
        <w:t> </w:t>
      </w:r>
      <w:r>
        <w:rPr>
          <w:color w:val="231F20"/>
        </w:rPr>
        <w:t>lo</w:t>
      </w:r>
      <w:r>
        <w:rPr>
          <w:color w:val="231F20"/>
          <w:spacing w:val="-12"/>
        </w:rPr>
        <w:t> </w:t>
      </w:r>
      <w:r>
        <w:rPr>
          <w:color w:val="231F20"/>
        </w:rPr>
        <w:t>Stato</w:t>
      </w:r>
      <w:r>
        <w:rPr>
          <w:color w:val="231F20"/>
          <w:spacing w:val="-12"/>
        </w:rPr>
        <w:t> </w:t>
      </w:r>
      <w:r>
        <w:rPr>
          <w:color w:val="231F20"/>
        </w:rPr>
        <w:t>è</w:t>
      </w:r>
      <w:r>
        <w:rPr>
          <w:color w:val="231F20"/>
          <w:spacing w:val="-12"/>
        </w:rPr>
        <w:t> </w:t>
      </w:r>
      <w:r>
        <w:rPr>
          <w:color w:val="231F20"/>
        </w:rPr>
        <w:t>irreversibilmente</w:t>
      </w:r>
      <w:r>
        <w:rPr>
          <w:color w:val="231F20"/>
          <w:spacing w:val="-12"/>
        </w:rPr>
        <w:t> </w:t>
      </w:r>
      <w:r>
        <w:rPr>
          <w:color w:val="231F20"/>
        </w:rPr>
        <w:t>connesso</w:t>
      </w:r>
      <w:r>
        <w:rPr>
          <w:color w:val="231F20"/>
          <w:spacing w:val="-12"/>
        </w:rPr>
        <w:t> </w:t>
      </w:r>
      <w:r>
        <w:rPr>
          <w:color w:val="231F20"/>
        </w:rPr>
        <w:t>con</w:t>
      </w:r>
      <w:r>
        <w:rPr>
          <w:color w:val="231F20"/>
          <w:spacing w:val="-12"/>
        </w:rPr>
        <w:t> </w:t>
      </w:r>
      <w:r>
        <w:rPr>
          <w:color w:val="231F20"/>
        </w:rPr>
        <w:t>un</w:t>
      </w:r>
      <w:r>
        <w:rPr>
          <w:color w:val="231F20"/>
          <w:spacing w:val="-17"/>
        </w:rPr>
        <w:t> </w:t>
      </w:r>
      <w:r>
        <w:rPr>
          <w:rFonts w:ascii="Arial" w:hAnsi="Arial"/>
          <w:i/>
          <w:color w:val="231F20"/>
        </w:rPr>
        <w:t>ordine</w:t>
      </w:r>
    </w:p>
    <w:p>
      <w:pPr>
        <w:pStyle w:val="BodyText"/>
        <w:rPr>
          <w:rFonts w:ascii="Arial"/>
          <w:i/>
          <w:sz w:val="20"/>
        </w:rPr>
      </w:pPr>
    </w:p>
    <w:p>
      <w:pPr>
        <w:pStyle w:val="BodyText"/>
        <w:spacing w:before="8"/>
        <w:rPr>
          <w:rFonts w:ascii="Arial"/>
          <w:i/>
          <w:sz w:val="15"/>
        </w:rPr>
      </w:pPr>
      <w:r>
        <w:rPr/>
        <w:pict>
          <v:line style="position:absolute;mso-position-horizontal-relative:page;mso-position-vertical-relative:paragraph;z-index:10456;mso-wrap-distance-left:0;mso-wrap-distance-right:0" from="65.1968pt,11.149873pt" to="178.5828pt,11.149873pt" stroked="true" strokeweight=".3pt" strokecolor="#231f20">
            <w10:wrap type="topAndBottom"/>
          </v:line>
        </w:pict>
      </w:r>
    </w:p>
    <w:p>
      <w:pPr>
        <w:spacing w:line="204" w:lineRule="exact" w:before="9"/>
        <w:ind w:left="103" w:right="115" w:firstLine="0"/>
        <w:jc w:val="both"/>
        <w:rPr>
          <w:rFonts w:ascii="Calibri"/>
          <w:sz w:val="17"/>
        </w:rPr>
      </w:pPr>
      <w:r>
        <w:rPr>
          <w:rFonts w:ascii="Calibri"/>
          <w:color w:val="231F20"/>
          <w:position w:val="6"/>
          <w:sz w:val="10"/>
        </w:rPr>
        <w:t>42 </w:t>
      </w:r>
      <w:r>
        <w:rPr>
          <w:rFonts w:ascii="Calibri"/>
          <w:color w:val="231F20"/>
          <w:sz w:val="17"/>
        </w:rPr>
        <w:t>S. Bell y A. Hindmoor, </w:t>
      </w:r>
      <w:r>
        <w:rPr>
          <w:rFonts w:ascii="Calibri"/>
          <w:i/>
          <w:color w:val="231F20"/>
          <w:sz w:val="17"/>
        </w:rPr>
        <w:t>Rethinking Governance. The Centrality of the State in Modern Society</w:t>
      </w:r>
      <w:r>
        <w:rPr>
          <w:rFonts w:ascii="Calibri"/>
          <w:color w:val="231F20"/>
          <w:sz w:val="17"/>
        </w:rPr>
        <w:t>, Cambridge, Cambridge University Press,   2009.</w:t>
      </w:r>
    </w:p>
    <w:p>
      <w:pPr>
        <w:spacing w:line="204" w:lineRule="exact" w:before="0"/>
        <w:ind w:left="103" w:right="115" w:firstLine="0"/>
        <w:jc w:val="both"/>
        <w:rPr>
          <w:rFonts w:ascii="Calibri"/>
          <w:sz w:val="17"/>
        </w:rPr>
      </w:pPr>
      <w:r>
        <w:rPr>
          <w:rFonts w:ascii="Calibri"/>
          <w:color w:val="231F20"/>
          <w:w w:val="105"/>
          <w:position w:val="6"/>
          <w:sz w:val="10"/>
        </w:rPr>
        <w:t>43 </w:t>
      </w:r>
      <w:r>
        <w:rPr>
          <w:rFonts w:ascii="Calibri"/>
          <w:i/>
          <w:color w:val="231F20"/>
          <w:w w:val="105"/>
          <w:sz w:val="17"/>
        </w:rPr>
        <w:t>Cfr</w:t>
      </w:r>
      <w:r>
        <w:rPr>
          <w:rFonts w:ascii="Calibri"/>
          <w:color w:val="231F20"/>
          <w:w w:val="105"/>
          <w:sz w:val="17"/>
        </w:rPr>
        <w:t>. il capitolo sul </w:t>
      </w:r>
      <w:r>
        <w:rPr>
          <w:rFonts w:ascii="Calibri"/>
          <w:i/>
          <w:color w:val="231F20"/>
          <w:w w:val="105"/>
          <w:sz w:val="17"/>
        </w:rPr>
        <w:t>Colonial Constitutionalism</w:t>
      </w:r>
      <w:r>
        <w:rPr>
          <w:rFonts w:ascii="Calibri"/>
          <w:color w:val="231F20"/>
          <w:w w:val="105"/>
          <w:sz w:val="17"/>
        </w:rPr>
        <w:t>, R. Samaddar, </w:t>
      </w:r>
      <w:r>
        <w:rPr>
          <w:rFonts w:ascii="Calibri"/>
          <w:i/>
          <w:color w:val="231F20"/>
          <w:w w:val="105"/>
          <w:sz w:val="17"/>
        </w:rPr>
        <w:t>The Materiality of Politics. The </w:t>
      </w:r>
      <w:r>
        <w:rPr>
          <w:rFonts w:ascii="Calibri"/>
          <w:i/>
          <w:color w:val="231F20"/>
          <w:w w:val="105"/>
          <w:sz w:val="17"/>
        </w:rPr>
        <w:t>Technologies of Rule</w:t>
      </w:r>
      <w:r>
        <w:rPr>
          <w:rFonts w:ascii="Calibri"/>
          <w:color w:val="231F20"/>
          <w:w w:val="105"/>
          <w:sz w:val="17"/>
        </w:rPr>
        <w:t>, London, Anthem Press, 2007.</w:t>
      </w:r>
    </w:p>
    <w:p>
      <w:pPr>
        <w:spacing w:line="204" w:lineRule="exact" w:before="0"/>
        <w:ind w:left="103" w:right="115" w:firstLine="0"/>
        <w:jc w:val="both"/>
        <w:rPr>
          <w:rFonts w:ascii="Calibri" w:hAnsi="Calibri"/>
          <w:sz w:val="17"/>
        </w:rPr>
      </w:pPr>
      <w:r>
        <w:rPr>
          <w:rFonts w:ascii="Calibri" w:hAnsi="Calibri"/>
          <w:color w:val="231F20"/>
          <w:w w:val="105"/>
          <w:position w:val="6"/>
          <w:sz w:val="10"/>
        </w:rPr>
        <w:t>44 </w:t>
      </w:r>
      <w:r>
        <w:rPr>
          <w:rFonts w:ascii="Calibri" w:hAnsi="Calibri"/>
          <w:color w:val="231F20"/>
          <w:w w:val="105"/>
          <w:sz w:val="17"/>
        </w:rPr>
        <w:t>Sull’uso politico della categoria di “governamentalità” </w:t>
      </w:r>
      <w:r>
        <w:rPr>
          <w:rFonts w:ascii="Calibri" w:hAnsi="Calibri"/>
          <w:i/>
          <w:color w:val="231F20"/>
          <w:w w:val="105"/>
          <w:sz w:val="17"/>
        </w:rPr>
        <w:t>cfr</w:t>
      </w:r>
      <w:r>
        <w:rPr>
          <w:rFonts w:ascii="Calibri" w:hAnsi="Calibri"/>
          <w:color w:val="231F20"/>
          <w:w w:val="105"/>
          <w:sz w:val="17"/>
        </w:rPr>
        <w:t>. N. Rose y </w:t>
      </w:r>
      <w:r>
        <w:rPr>
          <w:rFonts w:ascii="Calibri" w:hAnsi="Calibri"/>
          <w:color w:val="231F20"/>
          <w:spacing w:val="-10"/>
          <w:w w:val="105"/>
          <w:sz w:val="17"/>
        </w:rPr>
        <w:t>P. </w:t>
      </w:r>
      <w:r>
        <w:rPr>
          <w:rFonts w:ascii="Calibri" w:hAnsi="Calibri"/>
          <w:color w:val="231F20"/>
          <w:w w:val="105"/>
          <w:sz w:val="17"/>
        </w:rPr>
        <w:t>Miller, </w:t>
      </w:r>
      <w:r>
        <w:rPr>
          <w:rFonts w:ascii="Calibri" w:hAnsi="Calibri"/>
          <w:i/>
          <w:color w:val="231F20"/>
          <w:w w:val="105"/>
          <w:sz w:val="17"/>
        </w:rPr>
        <w:t>Governing the </w:t>
      </w:r>
      <w:r>
        <w:rPr>
          <w:rFonts w:ascii="Calibri" w:hAnsi="Calibri"/>
          <w:i/>
          <w:color w:val="231F20"/>
          <w:w w:val="105"/>
          <w:sz w:val="17"/>
        </w:rPr>
        <w:t>Present.</w:t>
      </w:r>
      <w:r>
        <w:rPr>
          <w:rFonts w:ascii="Calibri" w:hAnsi="Calibri"/>
          <w:i/>
          <w:color w:val="231F20"/>
          <w:spacing w:val="-23"/>
          <w:w w:val="105"/>
          <w:sz w:val="17"/>
        </w:rPr>
        <w:t> </w:t>
      </w:r>
      <w:r>
        <w:rPr>
          <w:rFonts w:ascii="Calibri" w:hAnsi="Calibri"/>
          <w:i/>
          <w:color w:val="231F20"/>
          <w:w w:val="105"/>
          <w:sz w:val="17"/>
        </w:rPr>
        <w:t>Administering</w:t>
      </w:r>
      <w:r>
        <w:rPr>
          <w:rFonts w:ascii="Calibri" w:hAnsi="Calibri"/>
          <w:i/>
          <w:color w:val="231F20"/>
          <w:spacing w:val="-23"/>
          <w:w w:val="105"/>
          <w:sz w:val="17"/>
        </w:rPr>
        <w:t> </w:t>
      </w:r>
      <w:r>
        <w:rPr>
          <w:rFonts w:ascii="Calibri" w:hAnsi="Calibri"/>
          <w:i/>
          <w:color w:val="231F20"/>
          <w:w w:val="105"/>
          <w:sz w:val="17"/>
        </w:rPr>
        <w:t>Economic,</w:t>
      </w:r>
      <w:r>
        <w:rPr>
          <w:rFonts w:ascii="Calibri" w:hAnsi="Calibri"/>
          <w:i/>
          <w:color w:val="231F20"/>
          <w:spacing w:val="-23"/>
          <w:w w:val="105"/>
          <w:sz w:val="17"/>
        </w:rPr>
        <w:t> </w:t>
      </w:r>
      <w:r>
        <w:rPr>
          <w:rFonts w:ascii="Calibri" w:hAnsi="Calibri"/>
          <w:i/>
          <w:color w:val="231F20"/>
          <w:w w:val="105"/>
          <w:sz w:val="17"/>
        </w:rPr>
        <w:t>Social</w:t>
      </w:r>
      <w:r>
        <w:rPr>
          <w:rFonts w:ascii="Calibri" w:hAnsi="Calibri"/>
          <w:i/>
          <w:color w:val="231F20"/>
          <w:spacing w:val="-23"/>
          <w:w w:val="105"/>
          <w:sz w:val="17"/>
        </w:rPr>
        <w:t> </w:t>
      </w:r>
      <w:r>
        <w:rPr>
          <w:rFonts w:ascii="Calibri" w:hAnsi="Calibri"/>
          <w:i/>
          <w:color w:val="231F20"/>
          <w:w w:val="105"/>
          <w:sz w:val="17"/>
        </w:rPr>
        <w:t>and</w:t>
      </w:r>
      <w:r>
        <w:rPr>
          <w:rFonts w:ascii="Calibri" w:hAnsi="Calibri"/>
          <w:i/>
          <w:color w:val="231F20"/>
          <w:spacing w:val="-23"/>
          <w:w w:val="105"/>
          <w:sz w:val="17"/>
        </w:rPr>
        <w:t> </w:t>
      </w:r>
      <w:r>
        <w:rPr>
          <w:rFonts w:ascii="Calibri" w:hAnsi="Calibri"/>
          <w:i/>
          <w:color w:val="231F20"/>
          <w:w w:val="105"/>
          <w:sz w:val="17"/>
        </w:rPr>
        <w:t>Personal</w:t>
      </w:r>
      <w:r>
        <w:rPr>
          <w:rFonts w:ascii="Calibri" w:hAnsi="Calibri"/>
          <w:i/>
          <w:color w:val="231F20"/>
          <w:spacing w:val="-23"/>
          <w:w w:val="105"/>
          <w:sz w:val="17"/>
        </w:rPr>
        <w:t> </w:t>
      </w:r>
      <w:r>
        <w:rPr>
          <w:rFonts w:ascii="Calibri" w:hAnsi="Calibri"/>
          <w:i/>
          <w:color w:val="231F20"/>
          <w:w w:val="105"/>
          <w:sz w:val="17"/>
        </w:rPr>
        <w:t>Life</w:t>
      </w:r>
      <w:r>
        <w:rPr>
          <w:rFonts w:ascii="Calibri" w:hAnsi="Calibri"/>
          <w:color w:val="231F20"/>
          <w:w w:val="105"/>
          <w:sz w:val="17"/>
        </w:rPr>
        <w:t>,</w:t>
      </w:r>
      <w:r>
        <w:rPr>
          <w:rFonts w:ascii="Calibri" w:hAnsi="Calibri"/>
          <w:color w:val="231F20"/>
          <w:spacing w:val="-22"/>
          <w:w w:val="105"/>
          <w:sz w:val="17"/>
        </w:rPr>
        <w:t> </w:t>
      </w:r>
      <w:r>
        <w:rPr>
          <w:rFonts w:ascii="Calibri" w:hAnsi="Calibri"/>
          <w:color w:val="231F20"/>
          <w:w w:val="105"/>
          <w:sz w:val="17"/>
        </w:rPr>
        <w:t>Cambridge,</w:t>
      </w:r>
      <w:r>
        <w:rPr>
          <w:rFonts w:ascii="Calibri" w:hAnsi="Calibri"/>
          <w:color w:val="231F20"/>
          <w:spacing w:val="-22"/>
          <w:w w:val="105"/>
          <w:sz w:val="17"/>
        </w:rPr>
        <w:t> </w:t>
      </w:r>
      <w:r>
        <w:rPr>
          <w:rFonts w:ascii="Calibri" w:hAnsi="Calibri"/>
          <w:color w:val="231F20"/>
          <w:w w:val="105"/>
          <w:sz w:val="17"/>
        </w:rPr>
        <w:t>Cambridge</w:t>
      </w:r>
      <w:r>
        <w:rPr>
          <w:rFonts w:ascii="Calibri" w:hAnsi="Calibri"/>
          <w:color w:val="231F20"/>
          <w:spacing w:val="-22"/>
          <w:w w:val="105"/>
          <w:sz w:val="17"/>
        </w:rPr>
        <w:t> </w:t>
      </w:r>
      <w:r>
        <w:rPr>
          <w:rFonts w:ascii="Calibri" w:hAnsi="Calibri"/>
          <w:color w:val="231F20"/>
          <w:w w:val="105"/>
          <w:sz w:val="17"/>
        </w:rPr>
        <w:t>University</w:t>
      </w:r>
      <w:r>
        <w:rPr>
          <w:rFonts w:ascii="Calibri" w:hAnsi="Calibri"/>
          <w:color w:val="231F20"/>
          <w:spacing w:val="-22"/>
          <w:w w:val="105"/>
          <w:sz w:val="17"/>
        </w:rPr>
        <w:t> </w:t>
      </w:r>
      <w:r>
        <w:rPr>
          <w:rFonts w:ascii="Calibri" w:hAnsi="Calibri"/>
          <w:color w:val="231F20"/>
          <w:w w:val="105"/>
          <w:sz w:val="17"/>
        </w:rPr>
        <w:t>Press, </w:t>
      </w:r>
      <w:r>
        <w:rPr>
          <w:rFonts w:ascii="Calibri" w:hAnsi="Calibri"/>
          <w:color w:val="231F20"/>
          <w:spacing w:val="-3"/>
          <w:w w:val="105"/>
          <w:sz w:val="17"/>
        </w:rPr>
        <w:t>2008.Vale </w:t>
      </w:r>
      <w:r>
        <w:rPr>
          <w:rFonts w:ascii="Calibri" w:hAnsi="Calibri"/>
          <w:color w:val="231F20"/>
          <w:w w:val="105"/>
          <w:sz w:val="17"/>
        </w:rPr>
        <w:t>però la pena rimandare anche alla critica al ruolo “lasciato” allo Stato dai due autori, </w:t>
      </w:r>
      <w:r>
        <w:rPr>
          <w:rFonts w:ascii="Calibri" w:hAnsi="Calibri"/>
          <w:i/>
          <w:color w:val="231F20"/>
          <w:w w:val="105"/>
          <w:sz w:val="17"/>
        </w:rPr>
        <w:t>cfr</w:t>
      </w:r>
      <w:r>
        <w:rPr>
          <w:rFonts w:ascii="Calibri" w:hAnsi="Calibri"/>
          <w:color w:val="231F20"/>
          <w:w w:val="105"/>
          <w:sz w:val="17"/>
        </w:rPr>
        <w:t>.</w:t>
      </w:r>
      <w:r>
        <w:rPr>
          <w:rFonts w:ascii="Calibri" w:hAnsi="Calibri"/>
          <w:color w:val="231F20"/>
          <w:spacing w:val="-14"/>
          <w:w w:val="105"/>
          <w:sz w:val="17"/>
        </w:rPr>
        <w:t> </w:t>
      </w:r>
      <w:r>
        <w:rPr>
          <w:rFonts w:ascii="Calibri" w:hAnsi="Calibri"/>
          <w:color w:val="231F20"/>
          <w:w w:val="105"/>
          <w:sz w:val="17"/>
        </w:rPr>
        <w:t>B.</w:t>
      </w:r>
      <w:r>
        <w:rPr>
          <w:rFonts w:ascii="Calibri" w:hAnsi="Calibri"/>
          <w:color w:val="231F20"/>
          <w:spacing w:val="-14"/>
          <w:w w:val="105"/>
          <w:sz w:val="17"/>
        </w:rPr>
        <w:t> </w:t>
      </w:r>
      <w:r>
        <w:rPr>
          <w:rFonts w:ascii="Calibri" w:hAnsi="Calibri"/>
          <w:color w:val="231F20"/>
          <w:w w:val="105"/>
          <w:sz w:val="17"/>
        </w:rPr>
        <w:t>Curtis,</w:t>
      </w:r>
      <w:r>
        <w:rPr>
          <w:rFonts w:ascii="Calibri" w:hAnsi="Calibri"/>
          <w:color w:val="231F20"/>
          <w:spacing w:val="-14"/>
          <w:w w:val="105"/>
          <w:sz w:val="17"/>
        </w:rPr>
        <w:t> </w:t>
      </w:r>
      <w:r>
        <w:rPr>
          <w:rFonts w:ascii="Calibri" w:hAnsi="Calibri"/>
          <w:color w:val="231F20"/>
          <w:w w:val="105"/>
          <w:sz w:val="17"/>
        </w:rPr>
        <w:t>“Taking</w:t>
      </w:r>
      <w:r>
        <w:rPr>
          <w:rFonts w:ascii="Calibri" w:hAnsi="Calibri"/>
          <w:color w:val="231F20"/>
          <w:spacing w:val="-14"/>
          <w:w w:val="105"/>
          <w:sz w:val="17"/>
        </w:rPr>
        <w:t> </w:t>
      </w:r>
      <w:r>
        <w:rPr>
          <w:rFonts w:ascii="Calibri" w:hAnsi="Calibri"/>
          <w:color w:val="231F20"/>
          <w:w w:val="105"/>
          <w:sz w:val="17"/>
        </w:rPr>
        <w:t>the</w:t>
      </w:r>
      <w:r>
        <w:rPr>
          <w:rFonts w:ascii="Calibri" w:hAnsi="Calibri"/>
          <w:color w:val="231F20"/>
          <w:spacing w:val="-14"/>
          <w:w w:val="105"/>
          <w:sz w:val="17"/>
        </w:rPr>
        <w:t> </w:t>
      </w:r>
      <w:r>
        <w:rPr>
          <w:rFonts w:ascii="Calibri" w:hAnsi="Calibri"/>
          <w:color w:val="231F20"/>
          <w:w w:val="105"/>
          <w:sz w:val="17"/>
        </w:rPr>
        <w:t>State</w:t>
      </w:r>
      <w:r>
        <w:rPr>
          <w:rFonts w:ascii="Calibri" w:hAnsi="Calibri"/>
          <w:color w:val="231F20"/>
          <w:spacing w:val="-14"/>
          <w:w w:val="105"/>
          <w:sz w:val="17"/>
        </w:rPr>
        <w:t> </w:t>
      </w:r>
      <w:r>
        <w:rPr>
          <w:rFonts w:ascii="Calibri" w:hAnsi="Calibri"/>
          <w:color w:val="231F20"/>
          <w:w w:val="105"/>
          <w:sz w:val="17"/>
        </w:rPr>
        <w:t>Back</w:t>
      </w:r>
      <w:r>
        <w:rPr>
          <w:rFonts w:ascii="Calibri" w:hAnsi="Calibri"/>
          <w:color w:val="231F20"/>
          <w:spacing w:val="-14"/>
          <w:w w:val="105"/>
          <w:sz w:val="17"/>
        </w:rPr>
        <w:t> </w:t>
      </w:r>
      <w:r>
        <w:rPr>
          <w:rFonts w:ascii="Calibri" w:hAnsi="Calibri"/>
          <w:color w:val="231F20"/>
          <w:w w:val="105"/>
          <w:sz w:val="17"/>
        </w:rPr>
        <w:t>Out:</w:t>
      </w:r>
      <w:r>
        <w:rPr>
          <w:rFonts w:ascii="Calibri" w:hAnsi="Calibri"/>
          <w:color w:val="231F20"/>
          <w:spacing w:val="-14"/>
          <w:w w:val="105"/>
          <w:sz w:val="17"/>
        </w:rPr>
        <w:t> </w:t>
      </w:r>
      <w:r>
        <w:rPr>
          <w:rFonts w:ascii="Calibri" w:hAnsi="Calibri"/>
          <w:color w:val="231F20"/>
          <w:w w:val="105"/>
          <w:sz w:val="17"/>
        </w:rPr>
        <w:t>Rose</w:t>
      </w:r>
      <w:r>
        <w:rPr>
          <w:rFonts w:ascii="Calibri" w:hAnsi="Calibri"/>
          <w:color w:val="231F20"/>
          <w:spacing w:val="-14"/>
          <w:w w:val="105"/>
          <w:sz w:val="17"/>
        </w:rPr>
        <w:t> </w:t>
      </w:r>
      <w:r>
        <w:rPr>
          <w:rFonts w:ascii="Calibri" w:hAnsi="Calibri"/>
          <w:color w:val="231F20"/>
          <w:w w:val="105"/>
          <w:sz w:val="17"/>
        </w:rPr>
        <w:t>and</w:t>
      </w:r>
      <w:r>
        <w:rPr>
          <w:rFonts w:ascii="Calibri" w:hAnsi="Calibri"/>
          <w:color w:val="231F20"/>
          <w:spacing w:val="-14"/>
          <w:w w:val="105"/>
          <w:sz w:val="17"/>
        </w:rPr>
        <w:t> </w:t>
      </w:r>
      <w:r>
        <w:rPr>
          <w:rFonts w:ascii="Calibri" w:hAnsi="Calibri"/>
          <w:color w:val="231F20"/>
          <w:w w:val="105"/>
          <w:sz w:val="17"/>
        </w:rPr>
        <w:t>Miller</w:t>
      </w:r>
      <w:r>
        <w:rPr>
          <w:rFonts w:ascii="Calibri" w:hAnsi="Calibri"/>
          <w:color w:val="231F20"/>
          <w:spacing w:val="-14"/>
          <w:w w:val="105"/>
          <w:sz w:val="17"/>
        </w:rPr>
        <w:t> </w:t>
      </w:r>
      <w:r>
        <w:rPr>
          <w:rFonts w:ascii="Calibri" w:hAnsi="Calibri"/>
          <w:color w:val="231F20"/>
          <w:w w:val="105"/>
          <w:sz w:val="17"/>
        </w:rPr>
        <w:t>on</w:t>
      </w:r>
      <w:r>
        <w:rPr>
          <w:rFonts w:ascii="Calibri" w:hAnsi="Calibri"/>
          <w:color w:val="231F20"/>
          <w:spacing w:val="-14"/>
          <w:w w:val="105"/>
          <w:sz w:val="17"/>
        </w:rPr>
        <w:t> </w:t>
      </w:r>
      <w:r>
        <w:rPr>
          <w:rFonts w:ascii="Calibri" w:hAnsi="Calibri"/>
          <w:color w:val="231F20"/>
          <w:w w:val="105"/>
          <w:sz w:val="17"/>
        </w:rPr>
        <w:t>Political</w:t>
      </w:r>
      <w:r>
        <w:rPr>
          <w:rFonts w:ascii="Calibri" w:hAnsi="Calibri"/>
          <w:color w:val="231F20"/>
          <w:spacing w:val="-14"/>
          <w:w w:val="105"/>
          <w:sz w:val="17"/>
        </w:rPr>
        <w:t> </w:t>
      </w:r>
      <w:r>
        <w:rPr>
          <w:rFonts w:ascii="Calibri" w:hAnsi="Calibri"/>
          <w:color w:val="231F20"/>
          <w:w w:val="105"/>
          <w:sz w:val="17"/>
        </w:rPr>
        <w:t>Power”,</w:t>
      </w:r>
      <w:r>
        <w:rPr>
          <w:rFonts w:ascii="Calibri" w:hAnsi="Calibri"/>
          <w:color w:val="231F20"/>
          <w:spacing w:val="-14"/>
          <w:w w:val="105"/>
          <w:sz w:val="17"/>
        </w:rPr>
        <w:t> </w:t>
      </w:r>
      <w:r>
        <w:rPr>
          <w:rFonts w:ascii="Calibri" w:hAnsi="Calibri"/>
          <w:i/>
          <w:color w:val="231F20"/>
          <w:w w:val="105"/>
          <w:sz w:val="17"/>
        </w:rPr>
        <w:t>The</w:t>
      </w:r>
      <w:r>
        <w:rPr>
          <w:rFonts w:ascii="Calibri" w:hAnsi="Calibri"/>
          <w:i/>
          <w:color w:val="231F20"/>
          <w:spacing w:val="-15"/>
          <w:w w:val="105"/>
          <w:sz w:val="17"/>
        </w:rPr>
        <w:t> </w:t>
      </w:r>
      <w:r>
        <w:rPr>
          <w:rFonts w:ascii="Calibri" w:hAnsi="Calibri"/>
          <w:i/>
          <w:color w:val="231F20"/>
          <w:w w:val="105"/>
          <w:sz w:val="17"/>
        </w:rPr>
        <w:t>British</w:t>
      </w:r>
      <w:r>
        <w:rPr>
          <w:rFonts w:ascii="Calibri" w:hAnsi="Calibri"/>
          <w:i/>
          <w:color w:val="231F20"/>
          <w:spacing w:val="-15"/>
          <w:w w:val="105"/>
          <w:sz w:val="17"/>
        </w:rPr>
        <w:t> </w:t>
      </w:r>
      <w:r>
        <w:rPr>
          <w:rFonts w:ascii="Calibri" w:hAnsi="Calibri"/>
          <w:i/>
          <w:color w:val="231F20"/>
          <w:w w:val="105"/>
          <w:sz w:val="17"/>
        </w:rPr>
        <w:t>Journal</w:t>
      </w:r>
      <w:r>
        <w:rPr>
          <w:rFonts w:ascii="Calibri" w:hAnsi="Calibri"/>
          <w:i/>
          <w:color w:val="231F20"/>
          <w:spacing w:val="-15"/>
          <w:w w:val="105"/>
          <w:sz w:val="17"/>
        </w:rPr>
        <w:t> </w:t>
      </w:r>
      <w:r>
        <w:rPr>
          <w:rFonts w:ascii="Calibri" w:hAnsi="Calibri"/>
          <w:i/>
          <w:color w:val="231F20"/>
          <w:w w:val="105"/>
          <w:sz w:val="17"/>
        </w:rPr>
        <w:t>of </w:t>
      </w:r>
      <w:r>
        <w:rPr>
          <w:rFonts w:ascii="Calibri" w:hAnsi="Calibri"/>
          <w:i/>
          <w:color w:val="231F20"/>
          <w:sz w:val="17"/>
        </w:rPr>
        <w:t>Sociology</w:t>
      </w:r>
      <w:r>
        <w:rPr>
          <w:rFonts w:ascii="Calibri" w:hAnsi="Calibri"/>
          <w:color w:val="231F20"/>
          <w:sz w:val="17"/>
        </w:rPr>
        <w:t>,</w:t>
      </w:r>
      <w:r>
        <w:rPr>
          <w:rFonts w:ascii="Calibri" w:hAnsi="Calibri"/>
          <w:color w:val="231F20"/>
          <w:spacing w:val="-8"/>
          <w:sz w:val="17"/>
        </w:rPr>
        <w:t> </w:t>
      </w:r>
      <w:r>
        <w:rPr>
          <w:rFonts w:ascii="Calibri" w:hAnsi="Calibri"/>
          <w:color w:val="231F20"/>
          <w:sz w:val="17"/>
        </w:rPr>
        <w:t>46,</w:t>
      </w:r>
      <w:r>
        <w:rPr>
          <w:rFonts w:ascii="Calibri" w:hAnsi="Calibri"/>
          <w:color w:val="231F20"/>
          <w:spacing w:val="-8"/>
          <w:sz w:val="17"/>
        </w:rPr>
        <w:t> </w:t>
      </w:r>
      <w:r>
        <w:rPr>
          <w:rFonts w:ascii="Calibri" w:hAnsi="Calibri"/>
          <w:color w:val="231F20"/>
          <w:sz w:val="17"/>
        </w:rPr>
        <w:t>4,</w:t>
      </w:r>
      <w:r>
        <w:rPr>
          <w:rFonts w:ascii="Calibri" w:hAnsi="Calibri"/>
          <w:color w:val="231F20"/>
          <w:spacing w:val="-8"/>
          <w:sz w:val="17"/>
        </w:rPr>
        <w:t> </w:t>
      </w:r>
      <w:r>
        <w:rPr>
          <w:rFonts w:ascii="Calibri" w:hAnsi="Calibri"/>
          <w:color w:val="231F20"/>
          <w:sz w:val="17"/>
        </w:rPr>
        <w:t>1995,</w:t>
      </w:r>
      <w:r>
        <w:rPr>
          <w:rFonts w:ascii="Calibri" w:hAnsi="Calibri"/>
          <w:color w:val="231F20"/>
          <w:spacing w:val="-8"/>
          <w:sz w:val="17"/>
        </w:rPr>
        <w:t> </w:t>
      </w:r>
      <w:r>
        <w:rPr>
          <w:rFonts w:ascii="Calibri" w:hAnsi="Calibri"/>
          <w:color w:val="231F20"/>
          <w:sz w:val="17"/>
        </w:rPr>
        <w:t>pp.</w:t>
      </w:r>
      <w:r>
        <w:rPr>
          <w:rFonts w:ascii="Calibri" w:hAnsi="Calibri"/>
          <w:color w:val="231F20"/>
          <w:spacing w:val="-8"/>
          <w:sz w:val="17"/>
        </w:rPr>
        <w:t> </w:t>
      </w:r>
      <w:r>
        <w:rPr>
          <w:rFonts w:ascii="Calibri" w:hAnsi="Calibri"/>
          <w:color w:val="231F20"/>
          <w:sz w:val="17"/>
        </w:rPr>
        <w:t>575–589.</w:t>
      </w:r>
    </w:p>
    <w:p>
      <w:pPr>
        <w:spacing w:line="204" w:lineRule="exact" w:before="0"/>
        <w:ind w:left="103" w:right="115" w:firstLine="0"/>
        <w:jc w:val="both"/>
        <w:rPr>
          <w:rFonts w:ascii="Calibri" w:hAnsi="Calibri"/>
          <w:sz w:val="17"/>
        </w:rPr>
      </w:pPr>
      <w:r>
        <w:rPr>
          <w:rFonts w:ascii="Calibri" w:hAnsi="Calibri"/>
          <w:color w:val="231F20"/>
          <w:position w:val="6"/>
          <w:sz w:val="10"/>
        </w:rPr>
        <w:t>45 </w:t>
      </w:r>
      <w:r>
        <w:rPr>
          <w:rFonts w:ascii="Calibri" w:hAnsi="Calibri"/>
          <w:color w:val="231F20"/>
          <w:sz w:val="17"/>
        </w:rPr>
        <w:t>P. Chatterjee, </w:t>
      </w:r>
      <w:r>
        <w:rPr>
          <w:rFonts w:ascii="Calibri" w:hAnsi="Calibri"/>
          <w:i/>
          <w:color w:val="231F20"/>
          <w:sz w:val="17"/>
        </w:rPr>
        <w:t>Sovereign Violence and the Domain of the Political</w:t>
      </w:r>
      <w:r>
        <w:rPr>
          <w:rFonts w:ascii="Calibri" w:hAnsi="Calibri"/>
          <w:color w:val="231F20"/>
          <w:sz w:val="17"/>
        </w:rPr>
        <w:t>, Th. Blom Hansen y F. Stepputat (Eds.), </w:t>
      </w:r>
      <w:r>
        <w:rPr>
          <w:rFonts w:ascii="Calibri" w:hAnsi="Calibri"/>
          <w:i/>
          <w:color w:val="231F20"/>
          <w:sz w:val="17"/>
        </w:rPr>
        <w:t>Sovereign Bodies. Citizens, Migrants, and States in the Postcolonial World</w:t>
      </w:r>
      <w:r>
        <w:rPr>
          <w:rFonts w:ascii="Calibri" w:hAnsi="Calibri"/>
          <w:color w:val="231F20"/>
          <w:sz w:val="17"/>
        </w:rPr>
        <w:t>, Princeton, N.J./ Oxford, Princeton University Press, 2005, pp.  82–100.</w:t>
      </w:r>
    </w:p>
    <w:p>
      <w:pPr>
        <w:spacing w:line="204" w:lineRule="exact" w:before="0"/>
        <w:ind w:left="103" w:right="115" w:firstLine="0"/>
        <w:jc w:val="both"/>
        <w:rPr>
          <w:rFonts w:ascii="Calibri" w:hAnsi="Calibri"/>
          <w:sz w:val="17"/>
        </w:rPr>
      </w:pPr>
      <w:r>
        <w:rPr>
          <w:rFonts w:ascii="Calibri" w:hAnsi="Calibri"/>
          <w:color w:val="231F20"/>
          <w:w w:val="105"/>
          <w:position w:val="6"/>
          <w:sz w:val="10"/>
        </w:rPr>
        <w:t>46</w:t>
      </w:r>
      <w:r>
        <w:rPr>
          <w:rFonts w:ascii="Calibri" w:hAnsi="Calibri"/>
          <w:color w:val="231F20"/>
          <w:spacing w:val="4"/>
          <w:w w:val="105"/>
          <w:position w:val="6"/>
          <w:sz w:val="10"/>
        </w:rPr>
        <w:t> </w:t>
      </w:r>
      <w:r>
        <w:rPr>
          <w:rFonts w:ascii="Calibri" w:hAnsi="Calibri"/>
          <w:color w:val="231F20"/>
          <w:w w:val="105"/>
          <w:sz w:val="17"/>
        </w:rPr>
        <w:t>G.</w:t>
      </w:r>
      <w:r>
        <w:rPr>
          <w:rFonts w:ascii="Calibri" w:hAnsi="Calibri"/>
          <w:color w:val="231F20"/>
          <w:spacing w:val="-14"/>
          <w:w w:val="105"/>
          <w:sz w:val="17"/>
        </w:rPr>
        <w:t> </w:t>
      </w:r>
      <w:r>
        <w:rPr>
          <w:rFonts w:ascii="Calibri" w:hAnsi="Calibri"/>
          <w:color w:val="231F20"/>
          <w:spacing w:val="-3"/>
          <w:w w:val="105"/>
          <w:sz w:val="17"/>
        </w:rPr>
        <w:t>Teubner,</w:t>
      </w:r>
      <w:r>
        <w:rPr>
          <w:rFonts w:ascii="Calibri" w:hAnsi="Calibri"/>
          <w:color w:val="231F20"/>
          <w:spacing w:val="-12"/>
          <w:w w:val="105"/>
          <w:sz w:val="17"/>
        </w:rPr>
        <w:t> </w:t>
      </w:r>
      <w:r>
        <w:rPr>
          <w:rFonts w:ascii="Calibri" w:hAnsi="Calibri"/>
          <w:i/>
          <w:color w:val="231F20"/>
          <w:w w:val="105"/>
          <w:sz w:val="17"/>
        </w:rPr>
        <w:t>Costituzionalismo</w:t>
      </w:r>
      <w:r>
        <w:rPr>
          <w:rFonts w:ascii="Calibri" w:hAnsi="Calibri"/>
          <w:i/>
          <w:color w:val="231F20"/>
          <w:spacing w:val="-12"/>
          <w:w w:val="105"/>
          <w:sz w:val="17"/>
        </w:rPr>
        <w:t> </w:t>
      </w:r>
      <w:r>
        <w:rPr>
          <w:rFonts w:ascii="Calibri" w:hAnsi="Calibri"/>
          <w:i/>
          <w:color w:val="231F20"/>
          <w:w w:val="105"/>
          <w:sz w:val="17"/>
        </w:rPr>
        <w:t>societario:</w:t>
      </w:r>
      <w:r>
        <w:rPr>
          <w:rFonts w:ascii="Calibri" w:hAnsi="Calibri"/>
          <w:i/>
          <w:color w:val="231F20"/>
          <w:spacing w:val="-12"/>
          <w:w w:val="105"/>
          <w:sz w:val="17"/>
        </w:rPr>
        <w:t> </w:t>
      </w:r>
      <w:r>
        <w:rPr>
          <w:rFonts w:ascii="Calibri" w:hAnsi="Calibri"/>
          <w:i/>
          <w:color w:val="231F20"/>
          <w:w w:val="105"/>
          <w:sz w:val="17"/>
        </w:rPr>
        <w:t>alternative</w:t>
      </w:r>
      <w:r>
        <w:rPr>
          <w:rFonts w:ascii="Calibri" w:hAnsi="Calibri"/>
          <w:i/>
          <w:color w:val="231F20"/>
          <w:spacing w:val="-12"/>
          <w:w w:val="105"/>
          <w:sz w:val="17"/>
        </w:rPr>
        <w:t> </w:t>
      </w:r>
      <w:r>
        <w:rPr>
          <w:rFonts w:ascii="Calibri" w:hAnsi="Calibri"/>
          <w:i/>
          <w:color w:val="231F20"/>
          <w:w w:val="105"/>
          <w:sz w:val="17"/>
        </w:rPr>
        <w:t>alla</w:t>
      </w:r>
      <w:r>
        <w:rPr>
          <w:rFonts w:ascii="Calibri" w:hAnsi="Calibri"/>
          <w:i/>
          <w:color w:val="231F20"/>
          <w:spacing w:val="-12"/>
          <w:w w:val="105"/>
          <w:sz w:val="17"/>
        </w:rPr>
        <w:t> </w:t>
      </w:r>
      <w:r>
        <w:rPr>
          <w:rFonts w:ascii="Calibri" w:hAnsi="Calibri"/>
          <w:i/>
          <w:color w:val="231F20"/>
          <w:w w:val="105"/>
          <w:sz w:val="17"/>
        </w:rPr>
        <w:t>teoria</w:t>
      </w:r>
      <w:r>
        <w:rPr>
          <w:rFonts w:ascii="Calibri" w:hAnsi="Calibri"/>
          <w:i/>
          <w:color w:val="231F20"/>
          <w:spacing w:val="-12"/>
          <w:w w:val="105"/>
          <w:sz w:val="17"/>
        </w:rPr>
        <w:t> </w:t>
      </w:r>
      <w:r>
        <w:rPr>
          <w:rFonts w:ascii="Calibri" w:hAnsi="Calibri"/>
          <w:i/>
          <w:color w:val="231F20"/>
          <w:w w:val="105"/>
          <w:sz w:val="17"/>
        </w:rPr>
        <w:t>costituzionale</w:t>
      </w:r>
      <w:r>
        <w:rPr>
          <w:rFonts w:ascii="Calibri" w:hAnsi="Calibri"/>
          <w:i/>
          <w:color w:val="231F20"/>
          <w:spacing w:val="-12"/>
          <w:w w:val="105"/>
          <w:sz w:val="17"/>
        </w:rPr>
        <w:t> </w:t>
      </w:r>
      <w:r>
        <w:rPr>
          <w:rFonts w:ascii="Calibri" w:hAnsi="Calibri"/>
          <w:i/>
          <w:color w:val="231F20"/>
          <w:w w:val="105"/>
          <w:sz w:val="17"/>
        </w:rPr>
        <w:t>stato–centrica</w:t>
      </w:r>
      <w:r>
        <w:rPr>
          <w:rFonts w:ascii="Calibri" w:hAnsi="Calibri"/>
          <w:color w:val="231F20"/>
          <w:w w:val="105"/>
          <w:sz w:val="17"/>
        </w:rPr>
        <w:t>,</w:t>
      </w:r>
      <w:r>
        <w:rPr>
          <w:rFonts w:ascii="Calibri" w:hAnsi="Calibri"/>
          <w:color w:val="231F20"/>
          <w:spacing w:val="-12"/>
          <w:w w:val="105"/>
          <w:sz w:val="17"/>
        </w:rPr>
        <w:t> </w:t>
      </w:r>
      <w:r>
        <w:rPr>
          <w:rFonts w:ascii="Calibri" w:hAnsi="Calibri"/>
          <w:color w:val="231F20"/>
          <w:w w:val="105"/>
          <w:sz w:val="17"/>
        </w:rPr>
        <w:t>in Gunther</w:t>
      </w:r>
      <w:r>
        <w:rPr>
          <w:rFonts w:ascii="Calibri" w:hAnsi="Calibri"/>
          <w:color w:val="231F20"/>
          <w:spacing w:val="-7"/>
          <w:w w:val="105"/>
          <w:sz w:val="17"/>
        </w:rPr>
        <w:t> </w:t>
      </w:r>
      <w:r>
        <w:rPr>
          <w:rFonts w:ascii="Calibri" w:hAnsi="Calibri"/>
          <w:color w:val="231F20"/>
          <w:spacing w:val="-3"/>
          <w:w w:val="105"/>
          <w:sz w:val="17"/>
        </w:rPr>
        <w:t>Teubner,</w:t>
      </w:r>
      <w:r>
        <w:rPr>
          <w:rFonts w:ascii="Calibri" w:hAnsi="Calibri"/>
          <w:color w:val="231F20"/>
          <w:spacing w:val="-5"/>
          <w:w w:val="105"/>
          <w:sz w:val="17"/>
        </w:rPr>
        <w:t> </w:t>
      </w:r>
      <w:r>
        <w:rPr>
          <w:rFonts w:ascii="Calibri" w:hAnsi="Calibri"/>
          <w:i/>
          <w:color w:val="231F20"/>
          <w:w w:val="105"/>
          <w:sz w:val="17"/>
        </w:rPr>
        <w:t>La</w:t>
      </w:r>
      <w:r>
        <w:rPr>
          <w:rFonts w:ascii="Calibri" w:hAnsi="Calibri"/>
          <w:i/>
          <w:color w:val="231F20"/>
          <w:spacing w:val="-6"/>
          <w:w w:val="105"/>
          <w:sz w:val="17"/>
        </w:rPr>
        <w:t> </w:t>
      </w:r>
      <w:r>
        <w:rPr>
          <w:rFonts w:ascii="Calibri" w:hAnsi="Calibri"/>
          <w:i/>
          <w:color w:val="231F20"/>
          <w:w w:val="105"/>
          <w:sz w:val="17"/>
        </w:rPr>
        <w:t>cultura</w:t>
      </w:r>
      <w:r>
        <w:rPr>
          <w:rFonts w:ascii="Calibri" w:hAnsi="Calibri"/>
          <w:i/>
          <w:color w:val="231F20"/>
          <w:spacing w:val="-6"/>
          <w:w w:val="105"/>
          <w:sz w:val="17"/>
        </w:rPr>
        <w:t> </w:t>
      </w:r>
      <w:r>
        <w:rPr>
          <w:rFonts w:ascii="Calibri" w:hAnsi="Calibri"/>
          <w:i/>
          <w:color w:val="231F20"/>
          <w:w w:val="105"/>
          <w:sz w:val="17"/>
        </w:rPr>
        <w:t>del</w:t>
      </w:r>
      <w:r>
        <w:rPr>
          <w:rFonts w:ascii="Calibri" w:hAnsi="Calibri"/>
          <w:i/>
          <w:color w:val="231F20"/>
          <w:spacing w:val="-6"/>
          <w:w w:val="105"/>
          <w:sz w:val="17"/>
        </w:rPr>
        <w:t> </w:t>
      </w:r>
      <w:r>
        <w:rPr>
          <w:rFonts w:ascii="Calibri" w:hAnsi="Calibri"/>
          <w:i/>
          <w:color w:val="231F20"/>
          <w:w w:val="105"/>
          <w:sz w:val="17"/>
        </w:rPr>
        <w:t>diritto</w:t>
      </w:r>
      <w:r>
        <w:rPr>
          <w:rFonts w:ascii="Calibri" w:hAnsi="Calibri"/>
          <w:i/>
          <w:color w:val="231F20"/>
          <w:spacing w:val="-6"/>
          <w:w w:val="105"/>
          <w:sz w:val="17"/>
        </w:rPr>
        <w:t> </w:t>
      </w:r>
      <w:r>
        <w:rPr>
          <w:rFonts w:ascii="Calibri" w:hAnsi="Calibri"/>
          <w:i/>
          <w:color w:val="231F20"/>
          <w:w w:val="105"/>
          <w:sz w:val="17"/>
        </w:rPr>
        <w:t>nell’epoca</w:t>
      </w:r>
      <w:r>
        <w:rPr>
          <w:rFonts w:ascii="Calibri" w:hAnsi="Calibri"/>
          <w:i/>
          <w:color w:val="231F20"/>
          <w:spacing w:val="-6"/>
          <w:w w:val="105"/>
          <w:sz w:val="17"/>
        </w:rPr>
        <w:t> </w:t>
      </w:r>
      <w:r>
        <w:rPr>
          <w:rFonts w:ascii="Calibri" w:hAnsi="Calibri"/>
          <w:i/>
          <w:color w:val="231F20"/>
          <w:w w:val="105"/>
          <w:sz w:val="17"/>
        </w:rPr>
        <w:t>della</w:t>
      </w:r>
      <w:r>
        <w:rPr>
          <w:rFonts w:ascii="Calibri" w:hAnsi="Calibri"/>
          <w:i/>
          <w:color w:val="231F20"/>
          <w:spacing w:val="-6"/>
          <w:w w:val="105"/>
          <w:sz w:val="17"/>
        </w:rPr>
        <w:t> </w:t>
      </w:r>
      <w:r>
        <w:rPr>
          <w:rFonts w:ascii="Calibri" w:hAnsi="Calibri"/>
          <w:i/>
          <w:color w:val="231F20"/>
          <w:w w:val="105"/>
          <w:sz w:val="17"/>
        </w:rPr>
        <w:t>globalizzazione</w:t>
      </w:r>
      <w:r>
        <w:rPr>
          <w:rFonts w:ascii="Calibri" w:hAnsi="Calibri"/>
          <w:color w:val="231F20"/>
          <w:w w:val="105"/>
          <w:sz w:val="17"/>
        </w:rPr>
        <w:t>,</w:t>
      </w:r>
      <w:r>
        <w:rPr>
          <w:rFonts w:ascii="Calibri" w:hAnsi="Calibri"/>
          <w:color w:val="231F20"/>
          <w:spacing w:val="-5"/>
          <w:w w:val="105"/>
          <w:sz w:val="17"/>
        </w:rPr>
        <w:t> </w:t>
      </w:r>
      <w:r>
        <w:rPr>
          <w:rFonts w:ascii="Calibri" w:hAnsi="Calibri"/>
          <w:color w:val="231F20"/>
          <w:w w:val="105"/>
          <w:sz w:val="17"/>
        </w:rPr>
        <w:t>Roma,</w:t>
      </w:r>
      <w:r>
        <w:rPr>
          <w:rFonts w:ascii="Calibri" w:hAnsi="Calibri"/>
          <w:color w:val="231F20"/>
          <w:spacing w:val="-5"/>
          <w:w w:val="105"/>
          <w:sz w:val="17"/>
        </w:rPr>
        <w:t> </w:t>
      </w:r>
      <w:r>
        <w:rPr>
          <w:rFonts w:ascii="Calibri" w:hAnsi="Calibri"/>
          <w:color w:val="231F20"/>
          <w:w w:val="105"/>
          <w:sz w:val="17"/>
        </w:rPr>
        <w:t>Armando</w:t>
      </w:r>
      <w:r>
        <w:rPr>
          <w:rFonts w:ascii="Calibri" w:hAnsi="Calibri"/>
          <w:color w:val="231F20"/>
          <w:spacing w:val="-5"/>
          <w:w w:val="105"/>
          <w:sz w:val="17"/>
        </w:rPr>
        <w:t> </w:t>
      </w:r>
      <w:r>
        <w:rPr>
          <w:rFonts w:ascii="Calibri" w:hAnsi="Calibri"/>
          <w:color w:val="231F20"/>
          <w:w w:val="105"/>
          <w:sz w:val="17"/>
        </w:rPr>
        <w:t>editore, </w:t>
      </w:r>
      <w:r>
        <w:rPr>
          <w:rFonts w:ascii="Calibri" w:hAnsi="Calibri"/>
          <w:color w:val="231F20"/>
          <w:sz w:val="17"/>
        </w:rPr>
        <w:t>2005,</w:t>
      </w:r>
      <w:r>
        <w:rPr>
          <w:rFonts w:ascii="Calibri" w:hAnsi="Calibri"/>
          <w:color w:val="231F20"/>
          <w:spacing w:val="-18"/>
          <w:sz w:val="17"/>
        </w:rPr>
        <w:t> </w:t>
      </w:r>
      <w:r>
        <w:rPr>
          <w:rFonts w:ascii="Calibri" w:hAnsi="Calibri"/>
          <w:color w:val="231F20"/>
          <w:sz w:val="17"/>
        </w:rPr>
        <w:t>p.</w:t>
      </w:r>
      <w:r>
        <w:rPr>
          <w:rFonts w:ascii="Calibri" w:hAnsi="Calibri"/>
          <w:color w:val="231F20"/>
          <w:spacing w:val="-18"/>
          <w:sz w:val="17"/>
        </w:rPr>
        <w:t> </w:t>
      </w:r>
      <w:r>
        <w:rPr>
          <w:rFonts w:ascii="Calibri" w:hAnsi="Calibri"/>
          <w:color w:val="231F20"/>
          <w:sz w:val="17"/>
        </w:rPr>
        <w:t>110.</w:t>
      </w:r>
    </w:p>
    <w:p>
      <w:pPr>
        <w:pStyle w:val="BodyText"/>
        <w:rPr>
          <w:rFonts w:ascii="Calibri"/>
          <w:sz w:val="20"/>
        </w:rPr>
      </w:pPr>
    </w:p>
    <w:p>
      <w:pPr>
        <w:pStyle w:val="BodyText"/>
        <w:spacing w:before="1"/>
        <w:rPr>
          <w:rFonts w:ascii="Calibri"/>
          <w:sz w:val="28"/>
        </w:rPr>
      </w:pPr>
    </w:p>
    <w:p>
      <w:pPr>
        <w:tabs>
          <w:tab w:pos="1317" w:val="left" w:leader="none"/>
        </w:tabs>
        <w:spacing w:before="69"/>
        <w:ind w:left="267" w:right="0" w:firstLine="0"/>
        <w:jc w:val="left"/>
        <w:rPr>
          <w:rFonts w:ascii="Calibri"/>
          <w:sz w:val="16"/>
        </w:rPr>
      </w:pPr>
      <w:r>
        <w:rPr/>
        <w:pict>
          <v:group style="position:absolute;margin-left:98.079102pt;margin-top:-3.308812pt;width:20.4pt;height:43pt;mso-position-horizontal-relative:page;mso-position-vertical-relative:paragraph;z-index:-164920" coordorigin="1962,-66" coordsize="408,860">
            <v:line style="position:absolute" from="2211,73" to="2211,789" stroked="true" strokeweight=".35pt" strokecolor="#231f20"/>
            <v:shape style="position:absolute;left:2179;top:-13;width:190;height:445" type="#_x0000_t75" stroked="false">
              <v:imagedata r:id="rId34" o:title=""/>
            </v:shape>
            <v:shape style="position:absolute;left:1962;top:-66;width:250;height:502" type="#_x0000_t75" stroked="false">
              <v:imagedata r:id="rId35" o:title=""/>
            </v:shape>
            <w10:wrap type="none"/>
          </v:group>
        </w:pict>
      </w:r>
      <w:r>
        <w:rPr>
          <w:rFonts w:ascii="Trebuchet MS"/>
          <w:color w:val="414042"/>
          <w:w w:val="105"/>
          <w:position w:val="-4"/>
          <w:sz w:val="20"/>
        </w:rPr>
        <w:t>48</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900"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487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28"/>
          <w:sz w:val="14"/>
        </w:rPr>
        <w:t> </w:t>
      </w:r>
      <w:r>
        <w:rPr>
          <w:rFonts w:ascii="Lucida Sans Unicode" w:hAnsi="Lucida Sans Unicode"/>
          <w:color w:val="6D6E71"/>
          <w:spacing w:val="-4"/>
          <w:sz w:val="14"/>
        </w:rPr>
        <w:t>STATO</w:t>
      </w:r>
      <w:r>
        <w:rPr>
          <w:rFonts w:ascii="Lucida Sans Unicode" w:hAnsi="Lucida Sans Unicode"/>
          <w:color w:val="6D6E71"/>
          <w:spacing w:val="-28"/>
          <w:sz w:val="14"/>
        </w:rPr>
        <w:t> </w:t>
      </w:r>
      <w:r>
        <w:rPr>
          <w:rFonts w:ascii="Lucida Sans Unicode" w:hAnsi="Lucida Sans Unicode"/>
          <w:color w:val="6D6E71"/>
          <w:sz w:val="14"/>
        </w:rPr>
        <w:t>GLOBALE</w:t>
      </w:r>
      <w:r>
        <w:rPr>
          <w:rFonts w:ascii="Lucida Sans Unicode" w:hAnsi="Lucida Sans Unicode"/>
          <w:color w:val="6D6E71"/>
          <w:spacing w:val="-28"/>
          <w:sz w:val="14"/>
        </w:rPr>
        <w:t> </w:t>
      </w:r>
      <w:r>
        <w:rPr>
          <w:rFonts w:ascii="Lucida Sans Unicode" w:hAnsi="Lucida Sans Unicode"/>
          <w:color w:val="6D6E71"/>
          <w:sz w:val="14"/>
        </w:rPr>
        <w:t>E</w:t>
      </w:r>
      <w:r>
        <w:rPr>
          <w:rFonts w:ascii="Lucida Sans Unicode" w:hAnsi="Lucida Sans Unicode"/>
          <w:color w:val="6D6E71"/>
          <w:spacing w:val="-28"/>
          <w:sz w:val="14"/>
        </w:rPr>
        <w:t> </w:t>
      </w:r>
      <w:r>
        <w:rPr>
          <w:rFonts w:ascii="Lucida Sans Unicode" w:hAnsi="Lucida Sans Unicode"/>
          <w:color w:val="6D6E71"/>
          <w:sz w:val="14"/>
        </w:rPr>
        <w:t>L’EVOLUZIONE</w:t>
      </w:r>
      <w:r>
        <w:rPr>
          <w:rFonts w:ascii="Lucida Sans Unicode" w:hAnsi="Lucida Sans Unicode"/>
          <w:color w:val="6D6E71"/>
          <w:spacing w:val="-28"/>
          <w:sz w:val="14"/>
        </w:rPr>
        <w:t> </w:t>
      </w:r>
      <w:r>
        <w:rPr>
          <w:rFonts w:ascii="Lucida Sans Unicode" w:hAnsi="Lucida Sans Unicode"/>
          <w:color w:val="6D6E71"/>
          <w:sz w:val="14"/>
        </w:rPr>
        <w:t>DELLA</w:t>
      </w:r>
      <w:r>
        <w:rPr>
          <w:rFonts w:ascii="Lucida Sans Unicode" w:hAnsi="Lucida Sans Unicode"/>
          <w:color w:val="6D6E71"/>
          <w:spacing w:val="-28"/>
          <w:sz w:val="14"/>
        </w:rPr>
        <w:t> </w:t>
      </w:r>
      <w:r>
        <w:rPr>
          <w:rFonts w:ascii="Lucida Sans Unicode" w:hAnsi="Lucida Sans Unicode"/>
          <w:color w:val="6D6E71"/>
          <w:sz w:val="14"/>
        </w:rPr>
        <w:t>SOVRANITÀ</w:t>
      </w:r>
      <w:r>
        <w:rPr>
          <w:rFonts w:ascii="Trebuchet MS" w:hAnsi="Trebuchet MS"/>
          <w:color w:val="414042"/>
          <w:position w:val="-3"/>
          <w:sz w:val="20"/>
        </w:rPr>
        <w:tab/>
        <w:t>49</w:t>
      </w:r>
    </w:p>
    <w:p>
      <w:pPr>
        <w:pStyle w:val="BodyText"/>
        <w:spacing w:line="247" w:lineRule="auto" w:before="621"/>
        <w:ind w:left="117" w:right="118"/>
        <w:jc w:val="both"/>
      </w:pPr>
      <w:r>
        <w:rPr>
          <w:color w:val="231F20"/>
        </w:rPr>
        <w:t>che</w:t>
      </w:r>
      <w:r>
        <w:rPr>
          <w:color w:val="231F20"/>
          <w:spacing w:val="-7"/>
        </w:rPr>
        <w:t> </w:t>
      </w:r>
      <w:r>
        <w:rPr>
          <w:color w:val="231F20"/>
        </w:rPr>
        <w:t>spinge</w:t>
      </w:r>
      <w:r>
        <w:rPr>
          <w:color w:val="231F20"/>
          <w:spacing w:val="-7"/>
        </w:rPr>
        <w:t> </w:t>
      </w:r>
      <w:r>
        <w:rPr>
          <w:color w:val="231F20"/>
        </w:rPr>
        <w:t>in</w:t>
      </w:r>
      <w:r>
        <w:rPr>
          <w:color w:val="231F20"/>
          <w:spacing w:val="-7"/>
        </w:rPr>
        <w:t> </w:t>
      </w:r>
      <w:r>
        <w:rPr>
          <w:color w:val="231F20"/>
        </w:rPr>
        <w:t>direzione</w:t>
      </w:r>
      <w:r>
        <w:rPr>
          <w:color w:val="231F20"/>
          <w:spacing w:val="-7"/>
        </w:rPr>
        <w:t> </w:t>
      </w:r>
      <w:r>
        <w:rPr>
          <w:color w:val="231F20"/>
        </w:rPr>
        <w:t>dell’evoluzione</w:t>
      </w:r>
      <w:r>
        <w:rPr>
          <w:color w:val="231F20"/>
          <w:spacing w:val="-7"/>
        </w:rPr>
        <w:t> </w:t>
      </w:r>
      <w:r>
        <w:rPr>
          <w:color w:val="231F20"/>
        </w:rPr>
        <w:t>di</w:t>
      </w:r>
      <w:r>
        <w:rPr>
          <w:color w:val="231F20"/>
          <w:spacing w:val="-7"/>
        </w:rPr>
        <w:t> </w:t>
      </w:r>
      <w:r>
        <w:rPr>
          <w:color w:val="231F20"/>
        </w:rPr>
        <w:t>forme</w:t>
      </w:r>
      <w:r>
        <w:rPr>
          <w:color w:val="231F20"/>
          <w:spacing w:val="-7"/>
        </w:rPr>
        <w:t> </w:t>
      </w:r>
      <w:r>
        <w:rPr>
          <w:color w:val="231F20"/>
        </w:rPr>
        <w:t>di</w:t>
      </w:r>
      <w:r>
        <w:rPr>
          <w:color w:val="231F20"/>
          <w:spacing w:val="-7"/>
        </w:rPr>
        <w:t> </w:t>
      </w:r>
      <w:r>
        <w:rPr>
          <w:color w:val="231F20"/>
        </w:rPr>
        <w:t>sovranità</w:t>
      </w:r>
      <w:r>
        <w:rPr>
          <w:color w:val="231F20"/>
          <w:spacing w:val="-7"/>
        </w:rPr>
        <w:t> </w:t>
      </w:r>
      <w:r>
        <w:rPr>
          <w:color w:val="231F20"/>
        </w:rPr>
        <w:t>condivisa”</w:t>
      </w:r>
      <w:r>
        <w:rPr>
          <w:color w:val="231F20"/>
          <w:position w:val="7"/>
          <w:sz w:val="12"/>
        </w:rPr>
        <w:t>47</w:t>
      </w:r>
      <w:r>
        <w:rPr>
          <w:color w:val="231F20"/>
        </w:rPr>
        <w:t>.</w:t>
      </w:r>
      <w:r>
        <w:rPr>
          <w:color w:val="231F20"/>
          <w:spacing w:val="-7"/>
        </w:rPr>
        <w:t> </w:t>
      </w:r>
      <w:r>
        <w:rPr>
          <w:color w:val="231F20"/>
        </w:rPr>
        <w:t>In altri termini nello Stato storicamente postcoloniale si evidenziano processi che, talvolta come una vera e propria anticipazione, sono presenti anche negli Stati un tempo colonizzatori. Anche senza ripensare ironicamente la </w:t>
      </w:r>
      <w:r>
        <w:rPr>
          <w:color w:val="231F20"/>
          <w:spacing w:val="-4"/>
        </w:rPr>
        <w:t>propria rappresentazione, </w:t>
      </w:r>
      <w:r>
        <w:rPr>
          <w:color w:val="231F20"/>
          <w:spacing w:val="-3"/>
        </w:rPr>
        <w:t>ogni singolo Stato diviene </w:t>
      </w:r>
      <w:r>
        <w:rPr>
          <w:color w:val="231F20"/>
        </w:rPr>
        <w:t>di </w:t>
      </w:r>
      <w:r>
        <w:rPr>
          <w:color w:val="231F20"/>
          <w:spacing w:val="-3"/>
        </w:rPr>
        <w:t>conseguenza </w:t>
      </w:r>
      <w:r>
        <w:rPr>
          <w:color w:val="231F20"/>
          <w:spacing w:val="-4"/>
        </w:rPr>
        <w:t>davvero </w:t>
      </w:r>
      <w:r>
        <w:rPr>
          <w:color w:val="231F20"/>
        </w:rPr>
        <w:t>una struttura sociale che deve rinunciare alla pretesa di essere un agente sovrano unico ed</w:t>
      </w:r>
      <w:r>
        <w:rPr>
          <w:color w:val="231F20"/>
          <w:spacing w:val="2"/>
        </w:rPr>
        <w:t> </w:t>
      </w:r>
      <w:r>
        <w:rPr>
          <w:color w:val="231F20"/>
        </w:rPr>
        <w:t>esclusivo.</w:t>
      </w:r>
    </w:p>
    <w:p>
      <w:pPr>
        <w:pStyle w:val="BodyText"/>
        <w:spacing w:line="247" w:lineRule="auto"/>
        <w:ind w:left="117" w:right="115" w:firstLine="566"/>
        <w:jc w:val="both"/>
      </w:pPr>
      <w:r>
        <w:rPr>
          <w:color w:val="231F20"/>
          <w:w w:val="105"/>
        </w:rPr>
        <w:t>Lo</w:t>
      </w:r>
      <w:r>
        <w:rPr>
          <w:color w:val="231F20"/>
          <w:spacing w:val="-30"/>
          <w:w w:val="105"/>
        </w:rPr>
        <w:t> </w:t>
      </w:r>
      <w:r>
        <w:rPr>
          <w:color w:val="231F20"/>
          <w:w w:val="105"/>
        </w:rPr>
        <w:t>Stato</w:t>
      </w:r>
      <w:r>
        <w:rPr>
          <w:color w:val="231F20"/>
          <w:spacing w:val="-30"/>
          <w:w w:val="105"/>
        </w:rPr>
        <w:t> </w:t>
      </w:r>
      <w:r>
        <w:rPr>
          <w:color w:val="231F20"/>
          <w:w w:val="105"/>
        </w:rPr>
        <w:t>postcoloniale</w:t>
      </w:r>
      <w:r>
        <w:rPr>
          <w:color w:val="231F20"/>
          <w:spacing w:val="-30"/>
          <w:w w:val="105"/>
        </w:rPr>
        <w:t> </w:t>
      </w:r>
      <w:r>
        <w:rPr>
          <w:color w:val="231F20"/>
          <w:w w:val="105"/>
        </w:rPr>
        <w:t>assume</w:t>
      </w:r>
      <w:r>
        <w:rPr>
          <w:color w:val="231F20"/>
          <w:spacing w:val="-30"/>
          <w:w w:val="105"/>
        </w:rPr>
        <w:t> </w:t>
      </w:r>
      <w:r>
        <w:rPr>
          <w:color w:val="231F20"/>
          <w:w w:val="105"/>
        </w:rPr>
        <w:t>alcuni</w:t>
      </w:r>
      <w:r>
        <w:rPr>
          <w:color w:val="231F20"/>
          <w:spacing w:val="-30"/>
          <w:w w:val="105"/>
        </w:rPr>
        <w:t> </w:t>
      </w:r>
      <w:r>
        <w:rPr>
          <w:color w:val="231F20"/>
          <w:w w:val="105"/>
        </w:rPr>
        <w:t>tratti</w:t>
      </w:r>
      <w:r>
        <w:rPr>
          <w:color w:val="231F20"/>
          <w:spacing w:val="-30"/>
          <w:w w:val="105"/>
        </w:rPr>
        <w:t> </w:t>
      </w:r>
      <w:r>
        <w:rPr>
          <w:color w:val="231F20"/>
          <w:w w:val="105"/>
        </w:rPr>
        <w:t>paradigmatici</w:t>
      </w:r>
      <w:r>
        <w:rPr>
          <w:color w:val="231F20"/>
          <w:spacing w:val="-30"/>
          <w:w w:val="105"/>
        </w:rPr>
        <w:t> </w:t>
      </w:r>
      <w:r>
        <w:rPr>
          <w:color w:val="231F20"/>
          <w:w w:val="105"/>
        </w:rPr>
        <w:t>dello</w:t>
      </w:r>
      <w:r>
        <w:rPr>
          <w:color w:val="231F20"/>
          <w:spacing w:val="-30"/>
          <w:w w:val="105"/>
        </w:rPr>
        <w:t> </w:t>
      </w:r>
      <w:r>
        <w:rPr>
          <w:color w:val="231F20"/>
          <w:w w:val="105"/>
        </w:rPr>
        <w:t>Stato </w:t>
      </w:r>
      <w:r>
        <w:rPr>
          <w:color w:val="231F20"/>
          <w:spacing w:val="2"/>
          <w:w w:val="105"/>
        </w:rPr>
        <w:t>globale contemporaneo </w:t>
      </w:r>
      <w:r>
        <w:rPr>
          <w:color w:val="231F20"/>
          <w:w w:val="105"/>
        </w:rPr>
        <w:t>perché </w:t>
      </w:r>
      <w:r>
        <w:rPr>
          <w:color w:val="231F20"/>
          <w:spacing w:val="2"/>
          <w:w w:val="105"/>
        </w:rPr>
        <w:t>interrompe </w:t>
      </w:r>
      <w:r>
        <w:rPr>
          <w:color w:val="231F20"/>
          <w:w w:val="105"/>
        </w:rPr>
        <w:t>la </w:t>
      </w:r>
      <w:r>
        <w:rPr>
          <w:color w:val="231F20"/>
          <w:spacing w:val="2"/>
          <w:w w:val="105"/>
        </w:rPr>
        <w:t>possibilità </w:t>
      </w:r>
      <w:r>
        <w:rPr>
          <w:color w:val="231F20"/>
          <w:spacing w:val="3"/>
          <w:w w:val="105"/>
        </w:rPr>
        <w:t>dell’analogia </w:t>
      </w:r>
      <w:r>
        <w:rPr>
          <w:color w:val="231F20"/>
          <w:w w:val="105"/>
        </w:rPr>
        <w:t>grazie alla quale processi locali o temporalmente determinati vengono normalmente</w:t>
      </w:r>
      <w:r>
        <w:rPr>
          <w:color w:val="231F20"/>
          <w:spacing w:val="-23"/>
          <w:w w:val="105"/>
        </w:rPr>
        <w:t> </w:t>
      </w:r>
      <w:r>
        <w:rPr>
          <w:color w:val="231F20"/>
          <w:w w:val="105"/>
        </w:rPr>
        <w:t>attribuiti</w:t>
      </w:r>
      <w:r>
        <w:rPr>
          <w:color w:val="231F20"/>
          <w:spacing w:val="-24"/>
          <w:w w:val="105"/>
        </w:rPr>
        <w:t> </w:t>
      </w:r>
      <w:r>
        <w:rPr>
          <w:color w:val="231F20"/>
          <w:w w:val="105"/>
        </w:rPr>
        <w:t>alla</w:t>
      </w:r>
      <w:r>
        <w:rPr>
          <w:color w:val="231F20"/>
          <w:spacing w:val="-24"/>
          <w:w w:val="105"/>
        </w:rPr>
        <w:t> </w:t>
      </w:r>
      <w:r>
        <w:rPr>
          <w:color w:val="231F20"/>
          <w:w w:val="105"/>
        </w:rPr>
        <w:t>storia</w:t>
      </w:r>
      <w:r>
        <w:rPr>
          <w:color w:val="231F20"/>
          <w:spacing w:val="-24"/>
          <w:w w:val="105"/>
        </w:rPr>
        <w:t> </w:t>
      </w:r>
      <w:r>
        <w:rPr>
          <w:color w:val="231F20"/>
          <w:w w:val="105"/>
        </w:rPr>
        <w:t>dello</w:t>
      </w:r>
      <w:r>
        <w:rPr>
          <w:color w:val="231F20"/>
          <w:spacing w:val="-23"/>
          <w:w w:val="105"/>
        </w:rPr>
        <w:t> </w:t>
      </w:r>
      <w:r>
        <w:rPr>
          <w:color w:val="231F20"/>
          <w:w w:val="105"/>
        </w:rPr>
        <w:t>Stato</w:t>
      </w:r>
      <w:r>
        <w:rPr>
          <w:color w:val="231F20"/>
          <w:spacing w:val="-23"/>
          <w:w w:val="105"/>
        </w:rPr>
        <w:t> </w:t>
      </w:r>
      <w:r>
        <w:rPr>
          <w:color w:val="231F20"/>
          <w:w w:val="105"/>
        </w:rPr>
        <w:t>nel</w:t>
      </w:r>
      <w:r>
        <w:rPr>
          <w:color w:val="231F20"/>
          <w:spacing w:val="-24"/>
          <w:w w:val="105"/>
        </w:rPr>
        <w:t> </w:t>
      </w:r>
      <w:r>
        <w:rPr>
          <w:color w:val="231F20"/>
          <w:w w:val="105"/>
        </w:rPr>
        <w:t>suo</w:t>
      </w:r>
      <w:r>
        <w:rPr>
          <w:color w:val="231F20"/>
          <w:spacing w:val="-24"/>
          <w:w w:val="105"/>
        </w:rPr>
        <w:t> </w:t>
      </w:r>
      <w:r>
        <w:rPr>
          <w:color w:val="231F20"/>
          <w:w w:val="105"/>
        </w:rPr>
        <w:t>complesso.</w:t>
      </w:r>
      <w:r>
        <w:rPr>
          <w:color w:val="231F20"/>
          <w:spacing w:val="-24"/>
          <w:w w:val="105"/>
        </w:rPr>
        <w:t> </w:t>
      </w:r>
      <w:r>
        <w:rPr>
          <w:color w:val="231F20"/>
          <w:w w:val="105"/>
        </w:rPr>
        <w:t>Lo</w:t>
      </w:r>
      <w:r>
        <w:rPr>
          <w:color w:val="231F20"/>
          <w:spacing w:val="-23"/>
          <w:w w:val="105"/>
        </w:rPr>
        <w:t> </w:t>
      </w:r>
      <w:r>
        <w:rPr>
          <w:color w:val="231F20"/>
          <w:w w:val="105"/>
        </w:rPr>
        <w:t>studio storico dei processi di formazione dello Stato non è mai stato un mero esercizio</w:t>
      </w:r>
      <w:r>
        <w:rPr>
          <w:color w:val="231F20"/>
          <w:spacing w:val="-45"/>
          <w:w w:val="105"/>
        </w:rPr>
        <w:t> </w:t>
      </w:r>
      <w:r>
        <w:rPr>
          <w:color w:val="231F20"/>
          <w:w w:val="105"/>
        </w:rPr>
        <w:t>antiquario,</w:t>
      </w:r>
      <w:r>
        <w:rPr>
          <w:color w:val="231F20"/>
          <w:spacing w:val="-45"/>
          <w:w w:val="105"/>
        </w:rPr>
        <w:t> </w:t>
      </w:r>
      <w:r>
        <w:rPr>
          <w:color w:val="231F20"/>
          <w:w w:val="105"/>
        </w:rPr>
        <w:t>ma</w:t>
      </w:r>
      <w:r>
        <w:rPr>
          <w:color w:val="231F20"/>
          <w:spacing w:val="-45"/>
          <w:w w:val="105"/>
        </w:rPr>
        <w:t> </w:t>
      </w:r>
      <w:r>
        <w:rPr>
          <w:color w:val="231F20"/>
          <w:w w:val="105"/>
        </w:rPr>
        <w:t>ha</w:t>
      </w:r>
      <w:r>
        <w:rPr>
          <w:color w:val="231F20"/>
          <w:spacing w:val="-45"/>
          <w:w w:val="105"/>
        </w:rPr>
        <w:t> </w:t>
      </w:r>
      <w:r>
        <w:rPr>
          <w:color w:val="231F20"/>
          <w:w w:val="105"/>
        </w:rPr>
        <w:t>sempre</w:t>
      </w:r>
      <w:r>
        <w:rPr>
          <w:color w:val="231F20"/>
          <w:spacing w:val="-45"/>
          <w:w w:val="105"/>
        </w:rPr>
        <w:t> </w:t>
      </w:r>
      <w:r>
        <w:rPr>
          <w:color w:val="231F20"/>
          <w:w w:val="105"/>
        </w:rPr>
        <w:t>comportato</w:t>
      </w:r>
      <w:r>
        <w:rPr>
          <w:color w:val="231F20"/>
          <w:spacing w:val="-45"/>
          <w:w w:val="105"/>
        </w:rPr>
        <w:t> </w:t>
      </w:r>
      <w:r>
        <w:rPr>
          <w:color w:val="231F20"/>
          <w:w w:val="105"/>
        </w:rPr>
        <w:t>l’individuazione</w:t>
      </w:r>
      <w:r>
        <w:rPr>
          <w:color w:val="231F20"/>
          <w:spacing w:val="-45"/>
          <w:w w:val="105"/>
        </w:rPr>
        <w:t> </w:t>
      </w:r>
      <w:r>
        <w:rPr>
          <w:color w:val="231F20"/>
          <w:w w:val="105"/>
        </w:rPr>
        <w:t>di</w:t>
      </w:r>
      <w:r>
        <w:rPr>
          <w:color w:val="231F20"/>
          <w:spacing w:val="-45"/>
          <w:w w:val="105"/>
        </w:rPr>
        <w:t> </w:t>
      </w:r>
      <w:r>
        <w:rPr>
          <w:color w:val="231F20"/>
          <w:w w:val="105"/>
        </w:rPr>
        <w:t>strutture che, proprio perché presenti </w:t>
      </w:r>
      <w:r>
        <w:rPr>
          <w:color w:val="231F20"/>
          <w:spacing w:val="2"/>
          <w:w w:val="105"/>
        </w:rPr>
        <w:t>all’origine, </w:t>
      </w:r>
      <w:r>
        <w:rPr>
          <w:color w:val="231F20"/>
          <w:w w:val="105"/>
        </w:rPr>
        <w:t>sono letteralmente chiamate a coniare</w:t>
      </w:r>
      <w:r>
        <w:rPr>
          <w:color w:val="231F20"/>
          <w:spacing w:val="-25"/>
          <w:w w:val="105"/>
        </w:rPr>
        <w:t> </w:t>
      </w:r>
      <w:r>
        <w:rPr>
          <w:color w:val="231F20"/>
          <w:w w:val="105"/>
        </w:rPr>
        <w:t>il</w:t>
      </w:r>
      <w:r>
        <w:rPr>
          <w:color w:val="231F20"/>
          <w:spacing w:val="-25"/>
          <w:w w:val="105"/>
        </w:rPr>
        <w:t> </w:t>
      </w:r>
      <w:r>
        <w:rPr>
          <w:color w:val="231F20"/>
          <w:w w:val="105"/>
        </w:rPr>
        <w:t>concetto</w:t>
      </w:r>
      <w:r>
        <w:rPr>
          <w:color w:val="231F20"/>
          <w:spacing w:val="-25"/>
          <w:w w:val="105"/>
        </w:rPr>
        <w:t> </w:t>
      </w:r>
      <w:r>
        <w:rPr>
          <w:color w:val="231F20"/>
          <w:w w:val="105"/>
        </w:rPr>
        <w:t>di</w:t>
      </w:r>
      <w:r>
        <w:rPr>
          <w:color w:val="231F20"/>
          <w:spacing w:val="-25"/>
          <w:w w:val="105"/>
        </w:rPr>
        <w:t> </w:t>
      </w:r>
      <w:r>
        <w:rPr>
          <w:color w:val="231F20"/>
          <w:w w:val="105"/>
        </w:rPr>
        <w:t>Stato,</w:t>
      </w:r>
      <w:r>
        <w:rPr>
          <w:color w:val="231F20"/>
          <w:spacing w:val="-25"/>
          <w:w w:val="105"/>
        </w:rPr>
        <w:t> </w:t>
      </w:r>
      <w:r>
        <w:rPr>
          <w:color w:val="231F20"/>
          <w:w w:val="105"/>
        </w:rPr>
        <w:t>stabilendo</w:t>
      </w:r>
      <w:r>
        <w:rPr>
          <w:color w:val="231F20"/>
          <w:spacing w:val="-25"/>
          <w:w w:val="105"/>
        </w:rPr>
        <w:t> </w:t>
      </w:r>
      <w:r>
        <w:rPr>
          <w:color w:val="231F20"/>
          <w:w w:val="105"/>
        </w:rPr>
        <w:t>alcuni</w:t>
      </w:r>
      <w:r>
        <w:rPr>
          <w:color w:val="231F20"/>
          <w:spacing w:val="-25"/>
          <w:w w:val="105"/>
        </w:rPr>
        <w:t> </w:t>
      </w:r>
      <w:r>
        <w:rPr>
          <w:color w:val="231F20"/>
          <w:w w:val="105"/>
        </w:rPr>
        <w:t>dei</w:t>
      </w:r>
      <w:r>
        <w:rPr>
          <w:color w:val="231F20"/>
          <w:spacing w:val="-25"/>
          <w:w w:val="105"/>
        </w:rPr>
        <w:t> </w:t>
      </w:r>
      <w:r>
        <w:rPr>
          <w:color w:val="231F20"/>
          <w:w w:val="105"/>
        </w:rPr>
        <w:t>suoi</w:t>
      </w:r>
      <w:r>
        <w:rPr>
          <w:color w:val="231F20"/>
          <w:spacing w:val="-25"/>
          <w:w w:val="105"/>
        </w:rPr>
        <w:t> </w:t>
      </w:r>
      <w:r>
        <w:rPr>
          <w:color w:val="231F20"/>
          <w:w w:val="105"/>
        </w:rPr>
        <w:t>caratteri</w:t>
      </w:r>
      <w:r>
        <w:rPr>
          <w:color w:val="231F20"/>
          <w:spacing w:val="-25"/>
          <w:w w:val="105"/>
        </w:rPr>
        <w:t> </w:t>
      </w:r>
      <w:r>
        <w:rPr>
          <w:color w:val="231F20"/>
          <w:w w:val="105"/>
        </w:rPr>
        <w:t>considerati necessari.</w:t>
      </w:r>
      <w:r>
        <w:rPr>
          <w:color w:val="231F20"/>
          <w:spacing w:val="-30"/>
          <w:w w:val="105"/>
        </w:rPr>
        <w:t> </w:t>
      </w:r>
      <w:r>
        <w:rPr>
          <w:color w:val="231F20"/>
          <w:w w:val="105"/>
        </w:rPr>
        <w:t>Le</w:t>
      </w:r>
      <w:r>
        <w:rPr>
          <w:color w:val="231F20"/>
          <w:spacing w:val="-30"/>
          <w:w w:val="105"/>
        </w:rPr>
        <w:t> </w:t>
      </w:r>
      <w:r>
        <w:rPr>
          <w:color w:val="231F20"/>
          <w:w w:val="105"/>
        </w:rPr>
        <w:t>diverse</w:t>
      </w:r>
      <w:r>
        <w:rPr>
          <w:color w:val="231F20"/>
          <w:spacing w:val="-30"/>
          <w:w w:val="105"/>
        </w:rPr>
        <w:t> </w:t>
      </w:r>
      <w:r>
        <w:rPr>
          <w:color w:val="231F20"/>
          <w:w w:val="105"/>
        </w:rPr>
        <w:t>storiografie</w:t>
      </w:r>
      <w:r>
        <w:rPr>
          <w:color w:val="231F20"/>
          <w:spacing w:val="-30"/>
          <w:w w:val="105"/>
        </w:rPr>
        <w:t> </w:t>
      </w:r>
      <w:r>
        <w:rPr>
          <w:color w:val="231F20"/>
          <w:w w:val="105"/>
        </w:rPr>
        <w:t>sulla</w:t>
      </w:r>
      <w:r>
        <w:rPr>
          <w:color w:val="231F20"/>
          <w:spacing w:val="-30"/>
          <w:w w:val="105"/>
        </w:rPr>
        <w:t> </w:t>
      </w:r>
      <w:r>
        <w:rPr>
          <w:color w:val="231F20"/>
          <w:w w:val="105"/>
        </w:rPr>
        <w:t>formazione</w:t>
      </w:r>
      <w:r>
        <w:rPr>
          <w:color w:val="231F20"/>
          <w:spacing w:val="-30"/>
          <w:w w:val="105"/>
        </w:rPr>
        <w:t> </w:t>
      </w:r>
      <w:r>
        <w:rPr>
          <w:color w:val="231F20"/>
          <w:w w:val="105"/>
        </w:rPr>
        <w:t>dello</w:t>
      </w:r>
      <w:r>
        <w:rPr>
          <w:color w:val="231F20"/>
          <w:spacing w:val="-30"/>
          <w:w w:val="105"/>
        </w:rPr>
        <w:t> </w:t>
      </w:r>
      <w:r>
        <w:rPr>
          <w:color w:val="231F20"/>
          <w:w w:val="105"/>
        </w:rPr>
        <w:t>Stato,</w:t>
      </w:r>
      <w:r>
        <w:rPr>
          <w:color w:val="231F20"/>
          <w:spacing w:val="-30"/>
          <w:w w:val="105"/>
        </w:rPr>
        <w:t> </w:t>
      </w:r>
      <w:r>
        <w:rPr>
          <w:color w:val="231F20"/>
          <w:w w:val="105"/>
        </w:rPr>
        <w:t>le</w:t>
      </w:r>
      <w:r>
        <w:rPr>
          <w:color w:val="231F20"/>
          <w:spacing w:val="-30"/>
          <w:w w:val="105"/>
        </w:rPr>
        <w:t> </w:t>
      </w:r>
      <w:r>
        <w:rPr>
          <w:color w:val="231F20"/>
          <w:w w:val="105"/>
        </w:rPr>
        <w:t>differenti sociologie</w:t>
      </w:r>
      <w:r>
        <w:rPr>
          <w:color w:val="231F20"/>
          <w:spacing w:val="-45"/>
          <w:w w:val="105"/>
        </w:rPr>
        <w:t> </w:t>
      </w:r>
      <w:r>
        <w:rPr>
          <w:color w:val="231F20"/>
          <w:w w:val="105"/>
        </w:rPr>
        <w:t>storiche</w:t>
      </w:r>
      <w:r>
        <w:rPr>
          <w:color w:val="231F20"/>
          <w:spacing w:val="-45"/>
          <w:w w:val="105"/>
        </w:rPr>
        <w:t> </w:t>
      </w:r>
      <w:r>
        <w:rPr>
          <w:color w:val="231F20"/>
          <w:w w:val="105"/>
        </w:rPr>
        <w:t>—ma,</w:t>
      </w:r>
      <w:r>
        <w:rPr>
          <w:color w:val="231F20"/>
          <w:spacing w:val="-45"/>
          <w:w w:val="105"/>
        </w:rPr>
        <w:t> </w:t>
      </w:r>
      <w:r>
        <w:rPr>
          <w:color w:val="231F20"/>
          <w:w w:val="105"/>
        </w:rPr>
        <w:t>come</w:t>
      </w:r>
      <w:r>
        <w:rPr>
          <w:color w:val="231F20"/>
          <w:spacing w:val="-45"/>
          <w:w w:val="105"/>
        </w:rPr>
        <w:t> </w:t>
      </w:r>
      <w:r>
        <w:rPr>
          <w:color w:val="231F20"/>
          <w:spacing w:val="-3"/>
          <w:w w:val="105"/>
        </w:rPr>
        <w:t>vedremo,</w:t>
      </w:r>
      <w:r>
        <w:rPr>
          <w:color w:val="231F20"/>
          <w:spacing w:val="-45"/>
          <w:w w:val="105"/>
        </w:rPr>
        <w:t> </w:t>
      </w:r>
      <w:r>
        <w:rPr>
          <w:color w:val="231F20"/>
          <w:w w:val="105"/>
        </w:rPr>
        <w:t>anche</w:t>
      </w:r>
      <w:r>
        <w:rPr>
          <w:color w:val="231F20"/>
          <w:spacing w:val="-45"/>
          <w:w w:val="105"/>
        </w:rPr>
        <w:t> </w:t>
      </w:r>
      <w:r>
        <w:rPr>
          <w:color w:val="231F20"/>
          <w:w w:val="105"/>
        </w:rPr>
        <w:t>le</w:t>
      </w:r>
      <w:r>
        <w:rPr>
          <w:color w:val="231F20"/>
          <w:spacing w:val="-45"/>
          <w:w w:val="105"/>
        </w:rPr>
        <w:t> </w:t>
      </w:r>
      <w:r>
        <w:rPr>
          <w:color w:val="231F20"/>
          <w:spacing w:val="-3"/>
          <w:w w:val="105"/>
        </w:rPr>
        <w:t>ricerche</w:t>
      </w:r>
      <w:r>
        <w:rPr>
          <w:color w:val="231F20"/>
          <w:spacing w:val="-45"/>
          <w:w w:val="105"/>
        </w:rPr>
        <w:t> </w:t>
      </w:r>
      <w:r>
        <w:rPr>
          <w:color w:val="231F20"/>
          <w:spacing w:val="-3"/>
          <w:w w:val="105"/>
        </w:rPr>
        <w:t>sull’antropologia </w:t>
      </w:r>
      <w:r>
        <w:rPr>
          <w:color w:val="231F20"/>
          <w:w w:val="105"/>
        </w:rPr>
        <w:t>dello</w:t>
      </w:r>
      <w:r>
        <w:rPr>
          <w:color w:val="231F20"/>
          <w:spacing w:val="-35"/>
          <w:w w:val="105"/>
        </w:rPr>
        <w:t> </w:t>
      </w:r>
      <w:r>
        <w:rPr>
          <w:color w:val="231F20"/>
          <w:w w:val="105"/>
        </w:rPr>
        <w:t>Stato—</w:t>
      </w:r>
      <w:r>
        <w:rPr>
          <w:color w:val="231F20"/>
          <w:spacing w:val="-35"/>
          <w:w w:val="105"/>
        </w:rPr>
        <w:t> </w:t>
      </w:r>
      <w:r>
        <w:rPr>
          <w:color w:val="231F20"/>
          <w:w w:val="105"/>
        </w:rPr>
        <w:t>sono</w:t>
      </w:r>
      <w:r>
        <w:rPr>
          <w:color w:val="231F20"/>
          <w:spacing w:val="-35"/>
          <w:w w:val="105"/>
        </w:rPr>
        <w:t> </w:t>
      </w:r>
      <w:r>
        <w:rPr>
          <w:color w:val="231F20"/>
          <w:w w:val="105"/>
        </w:rPr>
        <w:t>episodi</w:t>
      </w:r>
      <w:r>
        <w:rPr>
          <w:color w:val="231F20"/>
          <w:spacing w:val="-35"/>
          <w:w w:val="105"/>
        </w:rPr>
        <w:t> </w:t>
      </w:r>
      <w:r>
        <w:rPr>
          <w:color w:val="231F20"/>
          <w:w w:val="105"/>
        </w:rPr>
        <w:t>nella</w:t>
      </w:r>
      <w:r>
        <w:rPr>
          <w:color w:val="231F20"/>
          <w:spacing w:val="-35"/>
          <w:w w:val="105"/>
        </w:rPr>
        <w:t> </w:t>
      </w:r>
      <w:r>
        <w:rPr>
          <w:color w:val="231F20"/>
          <w:w w:val="105"/>
        </w:rPr>
        <w:t>lotta</w:t>
      </w:r>
      <w:r>
        <w:rPr>
          <w:color w:val="231F20"/>
          <w:spacing w:val="-35"/>
          <w:w w:val="105"/>
        </w:rPr>
        <w:t> </w:t>
      </w:r>
      <w:r>
        <w:rPr>
          <w:color w:val="231F20"/>
          <w:w w:val="105"/>
        </w:rPr>
        <w:t>per</w:t>
      </w:r>
      <w:r>
        <w:rPr>
          <w:color w:val="231F20"/>
          <w:spacing w:val="-35"/>
          <w:w w:val="105"/>
        </w:rPr>
        <w:t> </w:t>
      </w:r>
      <w:r>
        <w:rPr>
          <w:color w:val="231F20"/>
          <w:w w:val="105"/>
        </w:rPr>
        <w:t>l’ortodossia</w:t>
      </w:r>
      <w:r>
        <w:rPr>
          <w:color w:val="231F20"/>
          <w:spacing w:val="-35"/>
          <w:w w:val="105"/>
        </w:rPr>
        <w:t> </w:t>
      </w:r>
      <w:r>
        <w:rPr>
          <w:color w:val="231F20"/>
          <w:w w:val="105"/>
        </w:rPr>
        <w:t>dello</w:t>
      </w:r>
      <w:r>
        <w:rPr>
          <w:color w:val="231F20"/>
          <w:spacing w:val="-35"/>
          <w:w w:val="105"/>
        </w:rPr>
        <w:t> </w:t>
      </w:r>
      <w:r>
        <w:rPr>
          <w:color w:val="231F20"/>
          <w:w w:val="105"/>
        </w:rPr>
        <w:t>Stato</w:t>
      </w:r>
      <w:r>
        <w:rPr>
          <w:color w:val="231F20"/>
          <w:spacing w:val="-35"/>
          <w:w w:val="105"/>
        </w:rPr>
        <w:t> </w:t>
      </w:r>
      <w:r>
        <w:rPr>
          <w:color w:val="231F20"/>
          <w:w w:val="105"/>
        </w:rPr>
        <w:t>di</w:t>
      </w:r>
      <w:r>
        <w:rPr>
          <w:color w:val="231F20"/>
          <w:spacing w:val="-35"/>
          <w:w w:val="105"/>
        </w:rPr>
        <w:t> </w:t>
      </w:r>
      <w:r>
        <w:rPr>
          <w:color w:val="231F20"/>
          <w:w w:val="105"/>
        </w:rPr>
        <w:t>cui</w:t>
      </w:r>
      <w:r>
        <w:rPr>
          <w:color w:val="231F20"/>
          <w:spacing w:val="-35"/>
          <w:w w:val="105"/>
        </w:rPr>
        <w:t> </w:t>
      </w:r>
      <w:r>
        <w:rPr>
          <w:color w:val="231F20"/>
          <w:w w:val="105"/>
        </w:rPr>
        <w:t>parla </w:t>
      </w:r>
      <w:r>
        <w:rPr>
          <w:color w:val="231F20"/>
          <w:spacing w:val="-4"/>
          <w:w w:val="105"/>
        </w:rPr>
        <w:t>Bourdieu</w:t>
      </w:r>
      <w:r>
        <w:rPr>
          <w:color w:val="231F20"/>
          <w:spacing w:val="-4"/>
          <w:w w:val="105"/>
          <w:position w:val="7"/>
          <w:sz w:val="12"/>
        </w:rPr>
        <w:t>48</w:t>
      </w:r>
      <w:r>
        <w:rPr>
          <w:color w:val="231F20"/>
          <w:spacing w:val="-4"/>
          <w:w w:val="105"/>
        </w:rPr>
        <w:t>.</w:t>
      </w:r>
      <w:r>
        <w:rPr>
          <w:color w:val="231F20"/>
          <w:spacing w:val="-43"/>
          <w:w w:val="105"/>
        </w:rPr>
        <w:t> </w:t>
      </w:r>
      <w:r>
        <w:rPr>
          <w:color w:val="231F20"/>
          <w:spacing w:val="-3"/>
          <w:w w:val="105"/>
        </w:rPr>
        <w:t>Se,</w:t>
      </w:r>
      <w:r>
        <w:rPr>
          <w:color w:val="231F20"/>
          <w:spacing w:val="-43"/>
          <w:w w:val="105"/>
        </w:rPr>
        <w:t> </w:t>
      </w:r>
      <w:r>
        <w:rPr>
          <w:color w:val="231F20"/>
          <w:spacing w:val="-4"/>
          <w:w w:val="105"/>
        </w:rPr>
        <w:t>infatti,</w:t>
      </w:r>
      <w:r>
        <w:rPr>
          <w:color w:val="231F20"/>
          <w:spacing w:val="-43"/>
          <w:w w:val="105"/>
        </w:rPr>
        <w:t> </w:t>
      </w:r>
      <w:r>
        <w:rPr>
          <w:color w:val="231F20"/>
          <w:w w:val="105"/>
        </w:rPr>
        <w:t>lo</w:t>
      </w:r>
      <w:r>
        <w:rPr>
          <w:color w:val="231F20"/>
          <w:spacing w:val="-43"/>
          <w:w w:val="105"/>
        </w:rPr>
        <w:t> </w:t>
      </w:r>
      <w:r>
        <w:rPr>
          <w:color w:val="231F20"/>
          <w:spacing w:val="-4"/>
          <w:w w:val="105"/>
        </w:rPr>
        <w:t>Stato</w:t>
      </w:r>
      <w:r>
        <w:rPr>
          <w:color w:val="231F20"/>
          <w:spacing w:val="-43"/>
          <w:w w:val="105"/>
        </w:rPr>
        <w:t> </w:t>
      </w:r>
      <w:r>
        <w:rPr>
          <w:color w:val="231F20"/>
          <w:w w:val="105"/>
        </w:rPr>
        <w:t>è</w:t>
      </w:r>
      <w:r>
        <w:rPr>
          <w:color w:val="231F20"/>
          <w:spacing w:val="-43"/>
          <w:w w:val="105"/>
        </w:rPr>
        <w:t> </w:t>
      </w:r>
      <w:r>
        <w:rPr>
          <w:color w:val="231F20"/>
          <w:spacing w:val="-3"/>
          <w:w w:val="105"/>
        </w:rPr>
        <w:t>“un</w:t>
      </w:r>
      <w:r>
        <w:rPr>
          <w:color w:val="231F20"/>
          <w:spacing w:val="-43"/>
          <w:w w:val="105"/>
        </w:rPr>
        <w:t> </w:t>
      </w:r>
      <w:r>
        <w:rPr>
          <w:color w:val="231F20"/>
          <w:spacing w:val="-4"/>
          <w:w w:val="105"/>
        </w:rPr>
        <w:t>luogo</w:t>
      </w:r>
      <w:r>
        <w:rPr>
          <w:color w:val="231F20"/>
          <w:spacing w:val="-43"/>
          <w:w w:val="105"/>
        </w:rPr>
        <w:t> </w:t>
      </w:r>
      <w:r>
        <w:rPr>
          <w:color w:val="231F20"/>
          <w:w w:val="105"/>
        </w:rPr>
        <w:t>di</w:t>
      </w:r>
      <w:r>
        <w:rPr>
          <w:color w:val="231F20"/>
          <w:spacing w:val="-43"/>
          <w:w w:val="105"/>
        </w:rPr>
        <w:t> </w:t>
      </w:r>
      <w:r>
        <w:rPr>
          <w:color w:val="231F20"/>
          <w:spacing w:val="-4"/>
          <w:w w:val="105"/>
        </w:rPr>
        <w:t>circolazione</w:t>
      </w:r>
      <w:r>
        <w:rPr>
          <w:color w:val="231F20"/>
          <w:spacing w:val="-43"/>
          <w:w w:val="105"/>
        </w:rPr>
        <w:t> </w:t>
      </w:r>
      <w:r>
        <w:rPr>
          <w:color w:val="231F20"/>
          <w:spacing w:val="-3"/>
          <w:w w:val="105"/>
        </w:rPr>
        <w:t>della</w:t>
      </w:r>
      <w:r>
        <w:rPr>
          <w:color w:val="231F20"/>
          <w:spacing w:val="-43"/>
          <w:w w:val="105"/>
        </w:rPr>
        <w:t> </w:t>
      </w:r>
      <w:r>
        <w:rPr>
          <w:color w:val="231F20"/>
          <w:spacing w:val="-4"/>
          <w:w w:val="105"/>
        </w:rPr>
        <w:t>parola</w:t>
      </w:r>
      <w:r>
        <w:rPr>
          <w:color w:val="231F20"/>
          <w:spacing w:val="-43"/>
          <w:w w:val="105"/>
        </w:rPr>
        <w:t> </w:t>
      </w:r>
      <w:r>
        <w:rPr>
          <w:color w:val="231F20"/>
          <w:spacing w:val="-4"/>
          <w:w w:val="105"/>
        </w:rPr>
        <w:t>ufficiale, </w:t>
      </w:r>
      <w:r>
        <w:rPr>
          <w:color w:val="231F20"/>
          <w:w w:val="105"/>
        </w:rPr>
        <w:t>del</w:t>
      </w:r>
      <w:r>
        <w:rPr>
          <w:color w:val="231F20"/>
          <w:spacing w:val="-44"/>
          <w:w w:val="105"/>
        </w:rPr>
        <w:t> </w:t>
      </w:r>
      <w:r>
        <w:rPr>
          <w:color w:val="231F20"/>
          <w:spacing w:val="-3"/>
          <w:w w:val="105"/>
        </w:rPr>
        <w:t>regolamento,</w:t>
      </w:r>
      <w:r>
        <w:rPr>
          <w:color w:val="231F20"/>
          <w:spacing w:val="-44"/>
          <w:w w:val="105"/>
        </w:rPr>
        <w:t> </w:t>
      </w:r>
      <w:r>
        <w:rPr>
          <w:color w:val="231F20"/>
          <w:w w:val="105"/>
        </w:rPr>
        <w:t>della</w:t>
      </w:r>
      <w:r>
        <w:rPr>
          <w:color w:val="231F20"/>
          <w:spacing w:val="-44"/>
          <w:w w:val="105"/>
        </w:rPr>
        <w:t> </w:t>
      </w:r>
      <w:r>
        <w:rPr>
          <w:color w:val="231F20"/>
          <w:spacing w:val="-3"/>
          <w:w w:val="105"/>
        </w:rPr>
        <w:t>regola,</w:t>
      </w:r>
      <w:r>
        <w:rPr>
          <w:color w:val="231F20"/>
          <w:spacing w:val="-44"/>
          <w:w w:val="105"/>
        </w:rPr>
        <w:t> </w:t>
      </w:r>
      <w:r>
        <w:rPr>
          <w:color w:val="231F20"/>
          <w:spacing w:val="-3"/>
          <w:w w:val="105"/>
        </w:rPr>
        <w:t>dell’ordine,</w:t>
      </w:r>
      <w:r>
        <w:rPr>
          <w:color w:val="231F20"/>
          <w:spacing w:val="-44"/>
          <w:w w:val="105"/>
        </w:rPr>
        <w:t> </w:t>
      </w:r>
      <w:r>
        <w:rPr>
          <w:color w:val="231F20"/>
          <w:w w:val="105"/>
        </w:rPr>
        <w:t>del</w:t>
      </w:r>
      <w:r>
        <w:rPr>
          <w:color w:val="231F20"/>
          <w:spacing w:val="-44"/>
          <w:w w:val="105"/>
        </w:rPr>
        <w:t> </w:t>
      </w:r>
      <w:r>
        <w:rPr>
          <w:color w:val="231F20"/>
          <w:w w:val="105"/>
        </w:rPr>
        <w:t>mandato,</w:t>
      </w:r>
      <w:r>
        <w:rPr>
          <w:color w:val="231F20"/>
          <w:spacing w:val="-44"/>
          <w:w w:val="105"/>
        </w:rPr>
        <w:t> </w:t>
      </w:r>
      <w:r>
        <w:rPr>
          <w:color w:val="231F20"/>
          <w:w w:val="105"/>
        </w:rPr>
        <w:t>della</w:t>
      </w:r>
      <w:r>
        <w:rPr>
          <w:color w:val="231F20"/>
          <w:spacing w:val="-44"/>
          <w:w w:val="105"/>
        </w:rPr>
        <w:t> </w:t>
      </w:r>
      <w:r>
        <w:rPr>
          <w:color w:val="231F20"/>
          <w:w w:val="105"/>
        </w:rPr>
        <w:t>nominazione”, rivolgersi</w:t>
      </w:r>
      <w:r>
        <w:rPr>
          <w:color w:val="231F20"/>
          <w:spacing w:val="-27"/>
          <w:w w:val="105"/>
        </w:rPr>
        <w:t> </w:t>
      </w:r>
      <w:r>
        <w:rPr>
          <w:color w:val="231F20"/>
          <w:w w:val="105"/>
        </w:rPr>
        <w:t>all’origine</w:t>
      </w:r>
      <w:r>
        <w:rPr>
          <w:color w:val="231F20"/>
          <w:spacing w:val="-27"/>
          <w:w w:val="105"/>
        </w:rPr>
        <w:t> </w:t>
      </w:r>
      <w:r>
        <w:rPr>
          <w:color w:val="231F20"/>
          <w:w w:val="105"/>
        </w:rPr>
        <w:t>risolve</w:t>
      </w:r>
      <w:r>
        <w:rPr>
          <w:color w:val="231F20"/>
          <w:spacing w:val="-27"/>
          <w:w w:val="105"/>
        </w:rPr>
        <w:t> </w:t>
      </w:r>
      <w:r>
        <w:rPr>
          <w:color w:val="231F20"/>
          <w:w w:val="105"/>
        </w:rPr>
        <w:t>il</w:t>
      </w:r>
      <w:r>
        <w:rPr>
          <w:color w:val="231F20"/>
          <w:spacing w:val="-27"/>
          <w:w w:val="105"/>
        </w:rPr>
        <w:t> </w:t>
      </w:r>
      <w:r>
        <w:rPr>
          <w:color w:val="231F20"/>
          <w:w w:val="105"/>
        </w:rPr>
        <w:t>problema</w:t>
      </w:r>
      <w:r>
        <w:rPr>
          <w:color w:val="231F20"/>
          <w:spacing w:val="-27"/>
          <w:w w:val="105"/>
        </w:rPr>
        <w:t> </w:t>
      </w:r>
      <w:r>
        <w:rPr>
          <w:color w:val="231F20"/>
          <w:w w:val="105"/>
        </w:rPr>
        <w:t>di</w:t>
      </w:r>
      <w:r>
        <w:rPr>
          <w:color w:val="231F20"/>
          <w:spacing w:val="-27"/>
          <w:w w:val="105"/>
        </w:rPr>
        <w:t> </w:t>
      </w:r>
      <w:r>
        <w:rPr>
          <w:color w:val="231F20"/>
          <w:w w:val="105"/>
        </w:rPr>
        <w:t>ciò</w:t>
      </w:r>
      <w:r>
        <w:rPr>
          <w:color w:val="231F20"/>
          <w:spacing w:val="-27"/>
          <w:w w:val="105"/>
        </w:rPr>
        <w:t> </w:t>
      </w:r>
      <w:r>
        <w:rPr>
          <w:color w:val="231F20"/>
          <w:w w:val="105"/>
        </w:rPr>
        <w:t>che</w:t>
      </w:r>
      <w:r>
        <w:rPr>
          <w:color w:val="231F20"/>
          <w:spacing w:val="-27"/>
          <w:w w:val="105"/>
        </w:rPr>
        <w:t> </w:t>
      </w:r>
      <w:r>
        <w:rPr>
          <w:color w:val="231F20"/>
          <w:w w:val="105"/>
        </w:rPr>
        <w:t>nello</w:t>
      </w:r>
      <w:r>
        <w:rPr>
          <w:color w:val="231F20"/>
          <w:spacing w:val="-27"/>
          <w:w w:val="105"/>
        </w:rPr>
        <w:t> </w:t>
      </w:r>
      <w:r>
        <w:rPr>
          <w:color w:val="231F20"/>
          <w:w w:val="105"/>
        </w:rPr>
        <w:t>Stato</w:t>
      </w:r>
      <w:r>
        <w:rPr>
          <w:color w:val="231F20"/>
          <w:spacing w:val="-27"/>
          <w:w w:val="105"/>
        </w:rPr>
        <w:t> </w:t>
      </w:r>
      <w:r>
        <w:rPr>
          <w:color w:val="231F20"/>
          <w:w w:val="105"/>
        </w:rPr>
        <w:t>deve</w:t>
      </w:r>
      <w:r>
        <w:rPr>
          <w:color w:val="231F20"/>
          <w:spacing w:val="-27"/>
          <w:w w:val="105"/>
        </w:rPr>
        <w:t> </w:t>
      </w:r>
      <w:r>
        <w:rPr>
          <w:color w:val="231F20"/>
          <w:w w:val="105"/>
        </w:rPr>
        <w:t>apparire come</w:t>
      </w:r>
      <w:r>
        <w:rPr>
          <w:color w:val="231F20"/>
          <w:spacing w:val="-12"/>
          <w:w w:val="105"/>
        </w:rPr>
        <w:t> </w:t>
      </w:r>
      <w:r>
        <w:rPr>
          <w:color w:val="231F20"/>
          <w:w w:val="105"/>
        </w:rPr>
        <w:t>elementare</w:t>
      </w:r>
      <w:r>
        <w:rPr>
          <w:color w:val="231F20"/>
          <w:spacing w:val="-12"/>
          <w:w w:val="105"/>
        </w:rPr>
        <w:t> </w:t>
      </w:r>
      <w:r>
        <w:rPr>
          <w:color w:val="231F20"/>
          <w:w w:val="105"/>
        </w:rPr>
        <w:t>e</w:t>
      </w:r>
      <w:r>
        <w:rPr>
          <w:color w:val="231F20"/>
          <w:spacing w:val="-12"/>
          <w:w w:val="105"/>
        </w:rPr>
        <w:t> </w:t>
      </w:r>
      <w:r>
        <w:rPr>
          <w:color w:val="231F20"/>
          <w:w w:val="105"/>
        </w:rPr>
        <w:t>in</w:t>
      </w:r>
      <w:r>
        <w:rPr>
          <w:color w:val="231F20"/>
          <w:spacing w:val="-12"/>
          <w:w w:val="105"/>
        </w:rPr>
        <w:t> </w:t>
      </w:r>
      <w:r>
        <w:rPr>
          <w:color w:val="231F20"/>
          <w:w w:val="105"/>
        </w:rPr>
        <w:t>grado</w:t>
      </w:r>
      <w:r>
        <w:rPr>
          <w:color w:val="231F20"/>
          <w:spacing w:val="-12"/>
          <w:w w:val="105"/>
        </w:rPr>
        <w:t> </w:t>
      </w:r>
      <w:r>
        <w:rPr>
          <w:color w:val="231F20"/>
          <w:w w:val="105"/>
        </w:rPr>
        <w:t>di</w:t>
      </w:r>
      <w:r>
        <w:rPr>
          <w:color w:val="231F20"/>
          <w:spacing w:val="-12"/>
          <w:w w:val="105"/>
        </w:rPr>
        <w:t> </w:t>
      </w:r>
      <w:r>
        <w:rPr>
          <w:color w:val="231F20"/>
          <w:w w:val="105"/>
        </w:rPr>
        <w:t>ripetersi</w:t>
      </w:r>
      <w:r>
        <w:rPr>
          <w:color w:val="231F20"/>
          <w:spacing w:val="-12"/>
          <w:w w:val="105"/>
        </w:rPr>
        <w:t> </w:t>
      </w:r>
      <w:r>
        <w:rPr>
          <w:color w:val="231F20"/>
          <w:w w:val="105"/>
        </w:rPr>
        <w:t>nel</w:t>
      </w:r>
      <w:r>
        <w:rPr>
          <w:color w:val="231F20"/>
          <w:spacing w:val="-12"/>
          <w:w w:val="105"/>
        </w:rPr>
        <w:t> </w:t>
      </w:r>
      <w:r>
        <w:rPr>
          <w:color w:val="231F20"/>
          <w:w w:val="105"/>
        </w:rPr>
        <w:t>tempo</w:t>
      </w:r>
      <w:r>
        <w:rPr>
          <w:color w:val="231F20"/>
          <w:w w:val="105"/>
          <w:position w:val="7"/>
          <w:sz w:val="12"/>
        </w:rPr>
        <w:t>49</w:t>
      </w:r>
      <w:r>
        <w:rPr>
          <w:color w:val="231F20"/>
          <w:w w:val="105"/>
        </w:rPr>
        <w:t>.</w:t>
      </w:r>
      <w:r>
        <w:rPr>
          <w:color w:val="231F20"/>
          <w:spacing w:val="-12"/>
          <w:w w:val="105"/>
        </w:rPr>
        <w:t> </w:t>
      </w:r>
      <w:r>
        <w:rPr>
          <w:color w:val="231F20"/>
          <w:spacing w:val="-3"/>
          <w:w w:val="105"/>
        </w:rPr>
        <w:t>L’origine</w:t>
      </w:r>
      <w:r>
        <w:rPr>
          <w:color w:val="231F20"/>
          <w:spacing w:val="-12"/>
          <w:w w:val="105"/>
        </w:rPr>
        <w:t> </w:t>
      </w:r>
      <w:r>
        <w:rPr>
          <w:color w:val="231F20"/>
          <w:w w:val="105"/>
        </w:rPr>
        <w:t>dello</w:t>
      </w:r>
      <w:r>
        <w:rPr>
          <w:color w:val="231F20"/>
          <w:spacing w:val="-12"/>
          <w:w w:val="105"/>
        </w:rPr>
        <w:t> </w:t>
      </w:r>
      <w:r>
        <w:rPr>
          <w:color w:val="231F20"/>
          <w:w w:val="105"/>
        </w:rPr>
        <w:t>Stato è</w:t>
      </w:r>
      <w:r>
        <w:rPr>
          <w:color w:val="231F20"/>
          <w:spacing w:val="-10"/>
          <w:w w:val="105"/>
        </w:rPr>
        <w:t> </w:t>
      </w:r>
      <w:r>
        <w:rPr>
          <w:color w:val="231F20"/>
          <w:w w:val="105"/>
        </w:rPr>
        <w:t>allo</w:t>
      </w:r>
      <w:r>
        <w:rPr>
          <w:color w:val="231F20"/>
          <w:spacing w:val="-10"/>
          <w:w w:val="105"/>
        </w:rPr>
        <w:t> </w:t>
      </w:r>
      <w:r>
        <w:rPr>
          <w:color w:val="231F20"/>
          <w:w w:val="105"/>
        </w:rPr>
        <w:t>stesso</w:t>
      </w:r>
      <w:r>
        <w:rPr>
          <w:color w:val="231F20"/>
          <w:spacing w:val="-10"/>
          <w:w w:val="105"/>
        </w:rPr>
        <w:t> </w:t>
      </w:r>
      <w:r>
        <w:rPr>
          <w:color w:val="231F20"/>
          <w:w w:val="105"/>
        </w:rPr>
        <w:t>tempo</w:t>
      </w:r>
      <w:r>
        <w:rPr>
          <w:color w:val="231F20"/>
          <w:spacing w:val="-10"/>
          <w:w w:val="105"/>
        </w:rPr>
        <w:t> </w:t>
      </w:r>
      <w:r>
        <w:rPr>
          <w:color w:val="231F20"/>
          <w:w w:val="105"/>
        </w:rPr>
        <w:t>un</w:t>
      </w:r>
      <w:r>
        <w:rPr>
          <w:color w:val="231F20"/>
          <w:spacing w:val="-10"/>
          <w:w w:val="105"/>
        </w:rPr>
        <w:t> </w:t>
      </w:r>
      <w:r>
        <w:rPr>
          <w:color w:val="231F20"/>
          <w:w w:val="105"/>
        </w:rPr>
        <w:t>momento</w:t>
      </w:r>
      <w:r>
        <w:rPr>
          <w:color w:val="231F20"/>
          <w:spacing w:val="-10"/>
          <w:w w:val="105"/>
        </w:rPr>
        <w:t> </w:t>
      </w:r>
      <w:r>
        <w:rPr>
          <w:color w:val="231F20"/>
          <w:w w:val="105"/>
        </w:rPr>
        <w:t>e</w:t>
      </w:r>
      <w:r>
        <w:rPr>
          <w:color w:val="231F20"/>
          <w:spacing w:val="-10"/>
          <w:w w:val="105"/>
        </w:rPr>
        <w:t> </w:t>
      </w:r>
      <w:r>
        <w:rPr>
          <w:color w:val="231F20"/>
          <w:w w:val="105"/>
        </w:rPr>
        <w:t>un</w:t>
      </w:r>
      <w:r>
        <w:rPr>
          <w:color w:val="231F20"/>
          <w:spacing w:val="-10"/>
          <w:w w:val="105"/>
        </w:rPr>
        <w:t> </w:t>
      </w:r>
      <w:r>
        <w:rPr>
          <w:color w:val="231F20"/>
          <w:w w:val="105"/>
        </w:rPr>
        <w:t>processo</w:t>
      </w:r>
      <w:r>
        <w:rPr>
          <w:color w:val="231F20"/>
          <w:spacing w:val="-10"/>
          <w:w w:val="105"/>
        </w:rPr>
        <w:t> </w:t>
      </w:r>
      <w:r>
        <w:rPr>
          <w:color w:val="231F20"/>
          <w:w w:val="105"/>
        </w:rPr>
        <w:t>che,</w:t>
      </w:r>
      <w:r>
        <w:rPr>
          <w:color w:val="231F20"/>
          <w:spacing w:val="-10"/>
          <w:w w:val="105"/>
        </w:rPr>
        <w:t> </w:t>
      </w:r>
      <w:r>
        <w:rPr>
          <w:color w:val="231F20"/>
          <w:w w:val="105"/>
        </w:rPr>
        <w:t>proprio</w:t>
      </w:r>
      <w:r>
        <w:rPr>
          <w:color w:val="231F20"/>
          <w:spacing w:val="-10"/>
          <w:w w:val="105"/>
        </w:rPr>
        <w:t> </w:t>
      </w:r>
      <w:r>
        <w:rPr>
          <w:color w:val="231F20"/>
          <w:w w:val="105"/>
        </w:rPr>
        <w:t>per</w:t>
      </w:r>
      <w:r>
        <w:rPr>
          <w:color w:val="231F20"/>
          <w:spacing w:val="-10"/>
          <w:w w:val="105"/>
        </w:rPr>
        <w:t> </w:t>
      </w:r>
      <w:r>
        <w:rPr>
          <w:color w:val="231F20"/>
          <w:w w:val="105"/>
        </w:rPr>
        <w:t>questo, è</w:t>
      </w:r>
      <w:r>
        <w:rPr>
          <w:color w:val="231F20"/>
          <w:spacing w:val="-20"/>
          <w:w w:val="105"/>
        </w:rPr>
        <w:t> </w:t>
      </w:r>
      <w:r>
        <w:rPr>
          <w:color w:val="231F20"/>
          <w:w w:val="105"/>
        </w:rPr>
        <w:t>sia</w:t>
      </w:r>
      <w:r>
        <w:rPr>
          <w:color w:val="231F20"/>
          <w:spacing w:val="-20"/>
          <w:w w:val="105"/>
        </w:rPr>
        <w:t> </w:t>
      </w:r>
      <w:r>
        <w:rPr>
          <w:color w:val="231F20"/>
          <w:w w:val="105"/>
        </w:rPr>
        <w:t>storico</w:t>
      </w:r>
      <w:r>
        <w:rPr>
          <w:color w:val="231F20"/>
          <w:spacing w:val="-20"/>
          <w:w w:val="105"/>
        </w:rPr>
        <w:t> </w:t>
      </w:r>
      <w:r>
        <w:rPr>
          <w:color w:val="231F20"/>
          <w:w w:val="105"/>
        </w:rPr>
        <w:t>sia</w:t>
      </w:r>
      <w:r>
        <w:rPr>
          <w:color w:val="231F20"/>
          <w:spacing w:val="-20"/>
          <w:w w:val="105"/>
        </w:rPr>
        <w:t> </w:t>
      </w:r>
      <w:r>
        <w:rPr>
          <w:color w:val="231F20"/>
          <w:w w:val="105"/>
        </w:rPr>
        <w:t>simbolico.</w:t>
      </w:r>
      <w:r>
        <w:rPr>
          <w:color w:val="231F20"/>
          <w:spacing w:val="-20"/>
          <w:w w:val="105"/>
        </w:rPr>
        <w:t> </w:t>
      </w:r>
      <w:r>
        <w:rPr>
          <w:color w:val="231F20"/>
          <w:w w:val="105"/>
        </w:rPr>
        <w:t>Nella</w:t>
      </w:r>
      <w:r>
        <w:rPr>
          <w:color w:val="231F20"/>
          <w:spacing w:val="-20"/>
          <w:w w:val="105"/>
        </w:rPr>
        <w:t> </w:t>
      </w:r>
      <w:r>
        <w:rPr>
          <w:color w:val="231F20"/>
          <w:w w:val="105"/>
        </w:rPr>
        <w:t>sua</w:t>
      </w:r>
      <w:r>
        <w:rPr>
          <w:color w:val="231F20"/>
          <w:spacing w:val="-20"/>
          <w:w w:val="105"/>
        </w:rPr>
        <w:t> </w:t>
      </w:r>
      <w:r>
        <w:rPr>
          <w:color w:val="231F20"/>
          <w:w w:val="105"/>
        </w:rPr>
        <w:t>analisi</w:t>
      </w:r>
      <w:r>
        <w:rPr>
          <w:color w:val="231F20"/>
          <w:spacing w:val="-20"/>
          <w:w w:val="105"/>
        </w:rPr>
        <w:t> </w:t>
      </w:r>
      <w:r>
        <w:rPr>
          <w:color w:val="231F20"/>
          <w:w w:val="105"/>
        </w:rPr>
        <w:t>della</w:t>
      </w:r>
      <w:r>
        <w:rPr>
          <w:color w:val="231F20"/>
          <w:spacing w:val="-20"/>
          <w:w w:val="105"/>
        </w:rPr>
        <w:t> </w:t>
      </w:r>
      <w:r>
        <w:rPr>
          <w:color w:val="231F20"/>
          <w:w w:val="105"/>
        </w:rPr>
        <w:t>democrazia</w:t>
      </w:r>
      <w:r>
        <w:rPr>
          <w:color w:val="231F20"/>
          <w:spacing w:val="-20"/>
          <w:w w:val="105"/>
        </w:rPr>
        <w:t> </w:t>
      </w:r>
      <w:r>
        <w:rPr>
          <w:color w:val="231F20"/>
          <w:w w:val="105"/>
        </w:rPr>
        <w:t>statunitense </w:t>
      </w:r>
      <w:r>
        <w:rPr>
          <w:color w:val="231F20"/>
          <w:spacing w:val="-3"/>
          <w:w w:val="105"/>
        </w:rPr>
        <w:t>Tocqueville</w:t>
      </w:r>
      <w:r>
        <w:rPr>
          <w:color w:val="231F20"/>
          <w:spacing w:val="-18"/>
          <w:w w:val="105"/>
        </w:rPr>
        <w:t> </w:t>
      </w:r>
      <w:r>
        <w:rPr>
          <w:color w:val="231F20"/>
          <w:w w:val="105"/>
        </w:rPr>
        <w:t>scrive</w:t>
      </w:r>
      <w:r>
        <w:rPr>
          <w:color w:val="231F20"/>
          <w:spacing w:val="-18"/>
          <w:w w:val="105"/>
        </w:rPr>
        <w:t> </w:t>
      </w:r>
      <w:r>
        <w:rPr>
          <w:color w:val="231F20"/>
          <w:w w:val="105"/>
        </w:rPr>
        <w:t>a</w:t>
      </w:r>
      <w:r>
        <w:rPr>
          <w:color w:val="231F20"/>
          <w:spacing w:val="-18"/>
          <w:w w:val="105"/>
        </w:rPr>
        <w:t> </w:t>
      </w:r>
      <w:r>
        <w:rPr>
          <w:color w:val="231F20"/>
          <w:w w:val="105"/>
        </w:rPr>
        <w:t>questo</w:t>
      </w:r>
      <w:r>
        <w:rPr>
          <w:color w:val="231F20"/>
          <w:spacing w:val="-18"/>
          <w:w w:val="105"/>
        </w:rPr>
        <w:t> </w:t>
      </w:r>
      <w:r>
        <w:rPr>
          <w:color w:val="231F20"/>
          <w:w w:val="105"/>
        </w:rPr>
        <w:t>proposito</w:t>
      </w:r>
      <w:r>
        <w:rPr>
          <w:color w:val="231F20"/>
          <w:spacing w:val="-18"/>
          <w:w w:val="105"/>
        </w:rPr>
        <w:t> </w:t>
      </w:r>
      <w:r>
        <w:rPr>
          <w:color w:val="231F20"/>
          <w:w w:val="105"/>
        </w:rPr>
        <w:t>che</w:t>
      </w:r>
      <w:r>
        <w:rPr>
          <w:color w:val="231F20"/>
          <w:spacing w:val="-18"/>
          <w:w w:val="105"/>
        </w:rPr>
        <w:t> </w:t>
      </w:r>
      <w:r>
        <w:rPr>
          <w:color w:val="231F20"/>
          <w:w w:val="105"/>
        </w:rPr>
        <w:t>“dopo</w:t>
      </w:r>
      <w:r>
        <w:rPr>
          <w:color w:val="231F20"/>
          <w:spacing w:val="-18"/>
          <w:w w:val="105"/>
        </w:rPr>
        <w:t> </w:t>
      </w:r>
      <w:r>
        <w:rPr>
          <w:color w:val="231F20"/>
          <w:w w:val="105"/>
        </w:rPr>
        <w:t>averne</w:t>
      </w:r>
      <w:r>
        <w:rPr>
          <w:color w:val="231F20"/>
          <w:spacing w:val="-18"/>
          <w:w w:val="105"/>
        </w:rPr>
        <w:t> </w:t>
      </w:r>
      <w:r>
        <w:rPr>
          <w:color w:val="231F20"/>
          <w:w w:val="105"/>
        </w:rPr>
        <w:t>studiato</w:t>
      </w:r>
      <w:r>
        <w:rPr>
          <w:color w:val="231F20"/>
          <w:spacing w:val="-18"/>
          <w:w w:val="105"/>
        </w:rPr>
        <w:t> </w:t>
      </w:r>
      <w:r>
        <w:rPr>
          <w:color w:val="231F20"/>
          <w:w w:val="105"/>
        </w:rPr>
        <w:t>la</w:t>
      </w:r>
      <w:r>
        <w:rPr>
          <w:color w:val="231F20"/>
          <w:spacing w:val="-18"/>
          <w:w w:val="105"/>
        </w:rPr>
        <w:t> </w:t>
      </w:r>
      <w:r>
        <w:rPr>
          <w:color w:val="231F20"/>
          <w:w w:val="105"/>
        </w:rPr>
        <w:t>storia, ci</w:t>
      </w:r>
      <w:r>
        <w:rPr>
          <w:color w:val="231F20"/>
          <w:spacing w:val="-20"/>
          <w:w w:val="105"/>
        </w:rPr>
        <w:t> </w:t>
      </w:r>
      <w:r>
        <w:rPr>
          <w:color w:val="231F20"/>
          <w:w w:val="105"/>
        </w:rPr>
        <w:t>si</w:t>
      </w:r>
      <w:r>
        <w:rPr>
          <w:color w:val="231F20"/>
          <w:spacing w:val="-20"/>
          <w:w w:val="105"/>
        </w:rPr>
        <w:t> </w:t>
      </w:r>
      <w:r>
        <w:rPr>
          <w:color w:val="231F20"/>
          <w:w w:val="105"/>
        </w:rPr>
        <w:t>sente</w:t>
      </w:r>
      <w:r>
        <w:rPr>
          <w:color w:val="231F20"/>
          <w:spacing w:val="-20"/>
          <w:w w:val="105"/>
        </w:rPr>
        <w:t> </w:t>
      </w:r>
      <w:r>
        <w:rPr>
          <w:color w:val="231F20"/>
          <w:w w:val="105"/>
        </w:rPr>
        <w:t>profondamente</w:t>
      </w:r>
      <w:r>
        <w:rPr>
          <w:color w:val="231F20"/>
          <w:spacing w:val="-20"/>
          <w:w w:val="105"/>
        </w:rPr>
        <w:t> </w:t>
      </w:r>
      <w:r>
        <w:rPr>
          <w:color w:val="231F20"/>
          <w:w w:val="105"/>
        </w:rPr>
        <w:t>convinti</w:t>
      </w:r>
      <w:r>
        <w:rPr>
          <w:color w:val="231F20"/>
          <w:spacing w:val="-20"/>
          <w:w w:val="105"/>
        </w:rPr>
        <w:t> </w:t>
      </w:r>
      <w:r>
        <w:rPr>
          <w:color w:val="231F20"/>
          <w:w w:val="105"/>
        </w:rPr>
        <w:t>di</w:t>
      </w:r>
      <w:r>
        <w:rPr>
          <w:color w:val="231F20"/>
          <w:spacing w:val="-20"/>
          <w:w w:val="105"/>
        </w:rPr>
        <w:t> </w:t>
      </w:r>
      <w:r>
        <w:rPr>
          <w:color w:val="231F20"/>
          <w:w w:val="105"/>
        </w:rPr>
        <w:t>questa</w:t>
      </w:r>
      <w:r>
        <w:rPr>
          <w:color w:val="231F20"/>
          <w:spacing w:val="-20"/>
          <w:w w:val="105"/>
        </w:rPr>
        <w:t> </w:t>
      </w:r>
      <w:r>
        <w:rPr>
          <w:color w:val="231F20"/>
          <w:w w:val="105"/>
        </w:rPr>
        <w:t>verità:</w:t>
      </w:r>
      <w:r>
        <w:rPr>
          <w:color w:val="231F20"/>
          <w:spacing w:val="-20"/>
          <w:w w:val="105"/>
        </w:rPr>
        <w:t> </w:t>
      </w:r>
      <w:r>
        <w:rPr>
          <w:color w:val="231F20"/>
          <w:w w:val="105"/>
        </w:rPr>
        <w:t>che</w:t>
      </w:r>
      <w:r>
        <w:rPr>
          <w:color w:val="231F20"/>
          <w:spacing w:val="-20"/>
          <w:w w:val="105"/>
        </w:rPr>
        <w:t> </w:t>
      </w:r>
      <w:r>
        <w:rPr>
          <w:color w:val="231F20"/>
          <w:w w:val="105"/>
        </w:rPr>
        <w:t>non</w:t>
      </w:r>
      <w:r>
        <w:rPr>
          <w:color w:val="231F20"/>
          <w:spacing w:val="-20"/>
          <w:w w:val="105"/>
        </w:rPr>
        <w:t> </w:t>
      </w:r>
      <w:r>
        <w:rPr>
          <w:color w:val="231F20"/>
          <w:w w:val="105"/>
        </w:rPr>
        <w:t>c’è</w:t>
      </w:r>
      <w:r>
        <w:rPr>
          <w:color w:val="231F20"/>
          <w:spacing w:val="-20"/>
          <w:w w:val="105"/>
        </w:rPr>
        <w:t> </w:t>
      </w:r>
      <w:r>
        <w:rPr>
          <w:color w:val="231F20"/>
          <w:w w:val="105"/>
        </w:rPr>
        <w:t>opinione, abitudine,</w:t>
      </w:r>
      <w:r>
        <w:rPr>
          <w:color w:val="231F20"/>
          <w:spacing w:val="-43"/>
          <w:w w:val="105"/>
        </w:rPr>
        <w:t> </w:t>
      </w:r>
      <w:r>
        <w:rPr>
          <w:color w:val="231F20"/>
          <w:w w:val="105"/>
        </w:rPr>
        <w:t>legge,</w:t>
      </w:r>
      <w:r>
        <w:rPr>
          <w:color w:val="231F20"/>
          <w:spacing w:val="-43"/>
          <w:w w:val="105"/>
        </w:rPr>
        <w:t> </w:t>
      </w:r>
      <w:r>
        <w:rPr>
          <w:color w:val="231F20"/>
          <w:w w:val="105"/>
        </w:rPr>
        <w:t>direi</w:t>
      </w:r>
      <w:r>
        <w:rPr>
          <w:color w:val="231F20"/>
          <w:spacing w:val="-43"/>
          <w:w w:val="105"/>
        </w:rPr>
        <w:t> </w:t>
      </w:r>
      <w:r>
        <w:rPr>
          <w:color w:val="231F20"/>
          <w:w w:val="105"/>
        </w:rPr>
        <w:t>quasi</w:t>
      </w:r>
      <w:r>
        <w:rPr>
          <w:color w:val="231F20"/>
          <w:spacing w:val="-43"/>
          <w:w w:val="105"/>
        </w:rPr>
        <w:t> </w:t>
      </w:r>
      <w:r>
        <w:rPr>
          <w:color w:val="231F20"/>
          <w:w w:val="105"/>
        </w:rPr>
        <w:t>avvenimento,</w:t>
      </w:r>
      <w:r>
        <w:rPr>
          <w:color w:val="231F20"/>
          <w:spacing w:val="-43"/>
          <w:w w:val="105"/>
        </w:rPr>
        <w:t> </w:t>
      </w:r>
      <w:r>
        <w:rPr>
          <w:color w:val="231F20"/>
          <w:w w:val="105"/>
        </w:rPr>
        <w:t>che</w:t>
      </w:r>
      <w:r>
        <w:rPr>
          <w:color w:val="231F20"/>
          <w:spacing w:val="-43"/>
          <w:w w:val="105"/>
        </w:rPr>
        <w:t> </w:t>
      </w:r>
      <w:r>
        <w:rPr>
          <w:color w:val="231F20"/>
          <w:w w:val="105"/>
        </w:rPr>
        <w:t>non</w:t>
      </w:r>
      <w:r>
        <w:rPr>
          <w:color w:val="231F20"/>
          <w:spacing w:val="-43"/>
          <w:w w:val="105"/>
        </w:rPr>
        <w:t> </w:t>
      </w:r>
      <w:r>
        <w:rPr>
          <w:color w:val="231F20"/>
          <w:w w:val="105"/>
        </w:rPr>
        <w:t>possa</w:t>
      </w:r>
      <w:r>
        <w:rPr>
          <w:color w:val="231F20"/>
          <w:spacing w:val="-43"/>
          <w:w w:val="105"/>
        </w:rPr>
        <w:t> </w:t>
      </w:r>
      <w:r>
        <w:rPr>
          <w:color w:val="231F20"/>
          <w:w w:val="105"/>
        </w:rPr>
        <w:t>essere</w:t>
      </w:r>
      <w:r>
        <w:rPr>
          <w:color w:val="231F20"/>
          <w:spacing w:val="-43"/>
          <w:w w:val="105"/>
        </w:rPr>
        <w:t> </w:t>
      </w:r>
      <w:r>
        <w:rPr>
          <w:color w:val="231F20"/>
          <w:w w:val="105"/>
        </w:rPr>
        <w:t>facilmente spiegato dal “punto di partenza””</w:t>
      </w:r>
      <w:r>
        <w:rPr>
          <w:color w:val="231F20"/>
          <w:w w:val="105"/>
          <w:position w:val="7"/>
          <w:sz w:val="12"/>
        </w:rPr>
        <w:t>50</w:t>
      </w:r>
      <w:r>
        <w:rPr>
          <w:color w:val="231F20"/>
          <w:w w:val="105"/>
        </w:rPr>
        <w:t>. Negli Stati uniti il punto di</w:t>
      </w:r>
      <w:r>
        <w:rPr>
          <w:color w:val="231F20"/>
          <w:spacing w:val="-22"/>
          <w:w w:val="105"/>
        </w:rPr>
        <w:t> </w:t>
      </w:r>
      <w:r>
        <w:rPr>
          <w:color w:val="231F20"/>
          <w:w w:val="105"/>
        </w:rPr>
        <w:t>partenza è,</w:t>
      </w:r>
      <w:r>
        <w:rPr>
          <w:color w:val="231F20"/>
          <w:spacing w:val="-11"/>
          <w:w w:val="105"/>
        </w:rPr>
        <w:t> </w:t>
      </w:r>
      <w:r>
        <w:rPr>
          <w:color w:val="231F20"/>
          <w:w w:val="105"/>
        </w:rPr>
        <w:t>per</w:t>
      </w:r>
      <w:r>
        <w:rPr>
          <w:color w:val="231F20"/>
          <w:spacing w:val="-11"/>
          <w:w w:val="105"/>
        </w:rPr>
        <w:t> </w:t>
      </w:r>
      <w:r>
        <w:rPr>
          <w:color w:val="231F20"/>
          <w:w w:val="105"/>
        </w:rPr>
        <w:t>Tocqueville,</w:t>
      </w:r>
      <w:r>
        <w:rPr>
          <w:color w:val="231F20"/>
          <w:spacing w:val="-11"/>
          <w:w w:val="105"/>
        </w:rPr>
        <w:t> </w:t>
      </w:r>
      <w:r>
        <w:rPr>
          <w:color w:val="231F20"/>
          <w:w w:val="105"/>
        </w:rPr>
        <w:t>la</w:t>
      </w:r>
      <w:r>
        <w:rPr>
          <w:color w:val="231F20"/>
          <w:spacing w:val="-11"/>
          <w:w w:val="105"/>
        </w:rPr>
        <w:t> </w:t>
      </w:r>
      <w:r>
        <w:rPr>
          <w:color w:val="231F20"/>
          <w:w w:val="105"/>
        </w:rPr>
        <w:t>congiunzione</w:t>
      </w:r>
      <w:r>
        <w:rPr>
          <w:color w:val="231F20"/>
          <w:spacing w:val="-11"/>
          <w:w w:val="105"/>
        </w:rPr>
        <w:t> </w:t>
      </w:r>
      <w:r>
        <w:rPr>
          <w:color w:val="231F20"/>
          <w:w w:val="105"/>
        </w:rPr>
        <w:t>tra</w:t>
      </w:r>
      <w:r>
        <w:rPr>
          <w:color w:val="231F20"/>
          <w:spacing w:val="-11"/>
          <w:w w:val="105"/>
        </w:rPr>
        <w:t> </w:t>
      </w:r>
      <w:r>
        <w:rPr>
          <w:color w:val="231F20"/>
          <w:w w:val="105"/>
        </w:rPr>
        <w:t>la</w:t>
      </w:r>
      <w:r>
        <w:rPr>
          <w:color w:val="231F20"/>
          <w:spacing w:val="-11"/>
          <w:w w:val="105"/>
        </w:rPr>
        <w:t> </w:t>
      </w:r>
      <w:r>
        <w:rPr>
          <w:color w:val="231F20"/>
          <w:w w:val="105"/>
        </w:rPr>
        <w:t>democrazia</w:t>
      </w:r>
      <w:r>
        <w:rPr>
          <w:color w:val="231F20"/>
          <w:spacing w:val="-11"/>
          <w:w w:val="105"/>
        </w:rPr>
        <w:t> </w:t>
      </w:r>
      <w:r>
        <w:rPr>
          <w:color w:val="231F20"/>
          <w:w w:val="105"/>
        </w:rPr>
        <w:t>intesa</w:t>
      </w:r>
      <w:r>
        <w:rPr>
          <w:color w:val="231F20"/>
          <w:spacing w:val="-11"/>
          <w:w w:val="105"/>
        </w:rPr>
        <w:t> </w:t>
      </w:r>
      <w:r>
        <w:rPr>
          <w:color w:val="231F20"/>
          <w:w w:val="105"/>
        </w:rPr>
        <w:t>come</w:t>
      </w:r>
      <w:r>
        <w:rPr>
          <w:color w:val="231F20"/>
          <w:spacing w:val="-11"/>
          <w:w w:val="105"/>
        </w:rPr>
        <w:t> </w:t>
      </w:r>
      <w:r>
        <w:rPr>
          <w:color w:val="231F20"/>
          <w:w w:val="105"/>
        </w:rPr>
        <w:t>“stato sociale”,</w:t>
      </w:r>
      <w:r>
        <w:rPr>
          <w:color w:val="231F20"/>
          <w:spacing w:val="-42"/>
          <w:w w:val="105"/>
        </w:rPr>
        <w:t> </w:t>
      </w:r>
      <w:r>
        <w:rPr>
          <w:color w:val="231F20"/>
          <w:w w:val="105"/>
        </w:rPr>
        <w:t>ovvero</w:t>
      </w:r>
      <w:r>
        <w:rPr>
          <w:color w:val="231F20"/>
          <w:spacing w:val="-42"/>
          <w:w w:val="105"/>
        </w:rPr>
        <w:t> </w:t>
      </w:r>
      <w:r>
        <w:rPr>
          <w:color w:val="231F20"/>
          <w:w w:val="105"/>
        </w:rPr>
        <w:t>come</w:t>
      </w:r>
      <w:r>
        <w:rPr>
          <w:color w:val="231F20"/>
          <w:spacing w:val="-42"/>
          <w:w w:val="105"/>
        </w:rPr>
        <w:t> </w:t>
      </w:r>
      <w:r>
        <w:rPr>
          <w:color w:val="231F20"/>
          <w:w w:val="105"/>
        </w:rPr>
        <w:t>complesso</w:t>
      </w:r>
      <w:r>
        <w:rPr>
          <w:color w:val="231F20"/>
          <w:spacing w:val="-42"/>
          <w:w w:val="105"/>
        </w:rPr>
        <w:t> </w:t>
      </w:r>
      <w:r>
        <w:rPr>
          <w:color w:val="231F20"/>
          <w:w w:val="105"/>
        </w:rPr>
        <w:t>di</w:t>
      </w:r>
      <w:r>
        <w:rPr>
          <w:color w:val="231F20"/>
          <w:spacing w:val="-42"/>
          <w:w w:val="105"/>
        </w:rPr>
        <w:t> </w:t>
      </w:r>
      <w:r>
        <w:rPr>
          <w:color w:val="231F20"/>
          <w:w w:val="105"/>
        </w:rPr>
        <w:t>costumi,</w:t>
      </w:r>
      <w:r>
        <w:rPr>
          <w:color w:val="231F20"/>
          <w:spacing w:val="-42"/>
          <w:w w:val="105"/>
        </w:rPr>
        <w:t> </w:t>
      </w:r>
      <w:r>
        <w:rPr>
          <w:color w:val="231F20"/>
          <w:w w:val="105"/>
        </w:rPr>
        <w:t>abitudini</w:t>
      </w:r>
      <w:r>
        <w:rPr>
          <w:color w:val="231F20"/>
          <w:spacing w:val="-42"/>
          <w:w w:val="105"/>
        </w:rPr>
        <w:t> </w:t>
      </w:r>
      <w:r>
        <w:rPr>
          <w:color w:val="231F20"/>
          <w:w w:val="105"/>
        </w:rPr>
        <w:t>e</w:t>
      </w:r>
      <w:r>
        <w:rPr>
          <w:color w:val="231F20"/>
          <w:spacing w:val="-42"/>
          <w:w w:val="105"/>
        </w:rPr>
        <w:t> </w:t>
      </w:r>
      <w:r>
        <w:rPr>
          <w:color w:val="231F20"/>
          <w:w w:val="105"/>
        </w:rPr>
        <w:t>opinioni,</w:t>
      </w:r>
      <w:r>
        <w:rPr>
          <w:color w:val="231F20"/>
          <w:spacing w:val="-42"/>
          <w:w w:val="105"/>
        </w:rPr>
        <w:t> </w:t>
      </w:r>
      <w:r>
        <w:rPr>
          <w:color w:val="231F20"/>
          <w:w w:val="105"/>
        </w:rPr>
        <w:t>e</w:t>
      </w:r>
      <w:r>
        <w:rPr>
          <w:color w:val="231F20"/>
          <w:spacing w:val="-42"/>
          <w:w w:val="105"/>
        </w:rPr>
        <w:t> </w:t>
      </w:r>
      <w:r>
        <w:rPr>
          <w:color w:val="231F20"/>
          <w:w w:val="105"/>
        </w:rPr>
        <w:t>la</w:t>
      </w:r>
      <w:r>
        <w:rPr>
          <w:color w:val="231F20"/>
          <w:spacing w:val="-42"/>
          <w:w w:val="105"/>
        </w:rPr>
        <w:t> </w:t>
      </w:r>
      <w:r>
        <w:rPr>
          <w:color w:val="231F20"/>
          <w:w w:val="105"/>
        </w:rPr>
        <w:t>forma politica,</w:t>
      </w:r>
      <w:r>
        <w:rPr>
          <w:color w:val="231F20"/>
          <w:spacing w:val="-31"/>
          <w:w w:val="105"/>
        </w:rPr>
        <w:t> </w:t>
      </w:r>
      <w:r>
        <w:rPr>
          <w:color w:val="231F20"/>
          <w:w w:val="105"/>
        </w:rPr>
        <w:t>ovvero</w:t>
      </w:r>
      <w:r>
        <w:rPr>
          <w:color w:val="231F20"/>
          <w:spacing w:val="-31"/>
          <w:w w:val="105"/>
        </w:rPr>
        <w:t> </w:t>
      </w:r>
      <w:r>
        <w:rPr>
          <w:color w:val="231F20"/>
          <w:w w:val="105"/>
        </w:rPr>
        <w:t>la</w:t>
      </w:r>
      <w:r>
        <w:rPr>
          <w:color w:val="231F20"/>
          <w:spacing w:val="-31"/>
          <w:w w:val="105"/>
        </w:rPr>
        <w:t> </w:t>
      </w:r>
      <w:r>
        <w:rPr>
          <w:color w:val="231F20"/>
          <w:w w:val="105"/>
        </w:rPr>
        <w:t>democrazia</w:t>
      </w:r>
      <w:r>
        <w:rPr>
          <w:color w:val="231F20"/>
          <w:spacing w:val="-31"/>
          <w:w w:val="105"/>
        </w:rPr>
        <w:t> </w:t>
      </w:r>
      <w:r>
        <w:rPr>
          <w:color w:val="231F20"/>
          <w:w w:val="105"/>
        </w:rPr>
        <w:t>intesa</w:t>
      </w:r>
      <w:r>
        <w:rPr>
          <w:color w:val="231F20"/>
          <w:spacing w:val="-31"/>
          <w:w w:val="105"/>
        </w:rPr>
        <w:t> </w:t>
      </w:r>
      <w:r>
        <w:rPr>
          <w:color w:val="231F20"/>
          <w:w w:val="105"/>
        </w:rPr>
        <w:t>come</w:t>
      </w:r>
      <w:r>
        <w:rPr>
          <w:color w:val="231F20"/>
          <w:spacing w:val="-31"/>
          <w:w w:val="105"/>
        </w:rPr>
        <w:t> </w:t>
      </w:r>
      <w:r>
        <w:rPr>
          <w:color w:val="231F20"/>
          <w:w w:val="105"/>
        </w:rPr>
        <w:t>sistema</w:t>
      </w:r>
      <w:r>
        <w:rPr>
          <w:color w:val="231F20"/>
          <w:spacing w:val="-31"/>
          <w:w w:val="105"/>
        </w:rPr>
        <w:t> </w:t>
      </w:r>
      <w:r>
        <w:rPr>
          <w:color w:val="231F20"/>
          <w:w w:val="105"/>
        </w:rPr>
        <w:t>di</w:t>
      </w:r>
      <w:r>
        <w:rPr>
          <w:color w:val="231F20"/>
          <w:spacing w:val="-31"/>
          <w:w w:val="105"/>
        </w:rPr>
        <w:t> </w:t>
      </w:r>
      <w:r>
        <w:rPr>
          <w:color w:val="231F20"/>
          <w:w w:val="105"/>
        </w:rPr>
        <w:t>governo.</w:t>
      </w:r>
      <w:r>
        <w:rPr>
          <w:color w:val="231F20"/>
          <w:spacing w:val="-31"/>
          <w:w w:val="105"/>
        </w:rPr>
        <w:t> </w:t>
      </w:r>
      <w:r>
        <w:rPr>
          <w:color w:val="231F20"/>
          <w:w w:val="105"/>
        </w:rPr>
        <w:t>In</w:t>
      </w:r>
      <w:r>
        <w:rPr>
          <w:color w:val="231F20"/>
          <w:spacing w:val="-31"/>
          <w:w w:val="105"/>
        </w:rPr>
        <w:t> </w:t>
      </w:r>
      <w:r>
        <w:rPr>
          <w:color w:val="231F20"/>
          <w:w w:val="105"/>
        </w:rPr>
        <w:t>maniera </w:t>
      </w:r>
      <w:r>
        <w:rPr>
          <w:color w:val="231F20"/>
          <w:spacing w:val="-3"/>
        </w:rPr>
        <w:t>certamente significativa, parlando successivamente della Francia, </w:t>
      </w:r>
      <w:r>
        <w:rPr>
          <w:color w:val="231F20"/>
          <w:spacing w:val="-6"/>
        </w:rPr>
        <w:t>Tocqueville </w:t>
      </w:r>
      <w:r>
        <w:rPr>
          <w:color w:val="231F20"/>
          <w:spacing w:val="2"/>
          <w:w w:val="105"/>
        </w:rPr>
        <w:t>abbandona questa distinzione, considerando </w:t>
      </w:r>
      <w:r>
        <w:rPr>
          <w:color w:val="231F20"/>
          <w:w w:val="105"/>
        </w:rPr>
        <w:t>la </w:t>
      </w:r>
      <w:r>
        <w:rPr>
          <w:color w:val="231F20"/>
          <w:spacing w:val="2"/>
          <w:w w:val="105"/>
        </w:rPr>
        <w:t>democrazia solo </w:t>
      </w:r>
      <w:r>
        <w:rPr>
          <w:color w:val="231F20"/>
          <w:spacing w:val="3"/>
          <w:w w:val="105"/>
        </w:rPr>
        <w:t>come </w:t>
      </w:r>
      <w:r>
        <w:rPr>
          <w:color w:val="231F20"/>
          <w:w w:val="105"/>
        </w:rPr>
        <w:t>forma</w:t>
      </w:r>
      <w:r>
        <w:rPr>
          <w:color w:val="231F20"/>
          <w:spacing w:val="-34"/>
          <w:w w:val="105"/>
        </w:rPr>
        <w:t> </w:t>
      </w:r>
      <w:r>
        <w:rPr>
          <w:color w:val="231F20"/>
          <w:w w:val="105"/>
        </w:rPr>
        <w:t>politica,</w:t>
      </w:r>
      <w:r>
        <w:rPr>
          <w:color w:val="231F20"/>
          <w:spacing w:val="-34"/>
          <w:w w:val="105"/>
        </w:rPr>
        <w:t> </w:t>
      </w:r>
      <w:r>
        <w:rPr>
          <w:color w:val="231F20"/>
          <w:w w:val="105"/>
        </w:rPr>
        <w:t>ma</w:t>
      </w:r>
      <w:r>
        <w:rPr>
          <w:color w:val="231F20"/>
          <w:spacing w:val="-34"/>
          <w:w w:val="105"/>
        </w:rPr>
        <w:t> </w:t>
      </w:r>
      <w:r>
        <w:rPr>
          <w:color w:val="231F20"/>
          <w:w w:val="105"/>
        </w:rPr>
        <w:t>allo</w:t>
      </w:r>
      <w:r>
        <w:rPr>
          <w:color w:val="231F20"/>
          <w:spacing w:val="-34"/>
          <w:w w:val="105"/>
        </w:rPr>
        <w:t> </w:t>
      </w:r>
      <w:r>
        <w:rPr>
          <w:color w:val="231F20"/>
          <w:w w:val="105"/>
        </w:rPr>
        <w:t>stesso</w:t>
      </w:r>
      <w:r>
        <w:rPr>
          <w:color w:val="231F20"/>
          <w:spacing w:val="-34"/>
          <w:w w:val="105"/>
        </w:rPr>
        <w:t> </w:t>
      </w:r>
      <w:r>
        <w:rPr>
          <w:color w:val="231F20"/>
          <w:w w:val="105"/>
        </w:rPr>
        <w:t>proponendo</w:t>
      </w:r>
      <w:r>
        <w:rPr>
          <w:color w:val="231F20"/>
          <w:spacing w:val="-34"/>
          <w:w w:val="105"/>
        </w:rPr>
        <w:t> </w:t>
      </w:r>
      <w:r>
        <w:rPr>
          <w:color w:val="231F20"/>
          <w:w w:val="105"/>
        </w:rPr>
        <w:t>una</w:t>
      </w:r>
      <w:r>
        <w:rPr>
          <w:color w:val="231F20"/>
          <w:spacing w:val="-34"/>
          <w:w w:val="105"/>
        </w:rPr>
        <w:t> </w:t>
      </w:r>
      <w:r>
        <w:rPr>
          <w:color w:val="231F20"/>
          <w:w w:val="105"/>
        </w:rPr>
        <w:t>storia</w:t>
      </w:r>
      <w:r>
        <w:rPr>
          <w:color w:val="231F20"/>
          <w:spacing w:val="-34"/>
          <w:w w:val="105"/>
        </w:rPr>
        <w:t> </w:t>
      </w:r>
      <w:r>
        <w:rPr>
          <w:color w:val="231F20"/>
          <w:w w:val="105"/>
        </w:rPr>
        <w:t>assai</w:t>
      </w:r>
      <w:r>
        <w:rPr>
          <w:color w:val="231F20"/>
          <w:spacing w:val="-34"/>
          <w:w w:val="105"/>
        </w:rPr>
        <w:t> </w:t>
      </w:r>
      <w:r>
        <w:rPr>
          <w:color w:val="231F20"/>
          <w:w w:val="105"/>
        </w:rPr>
        <w:t>più</w:t>
      </w:r>
      <w:r>
        <w:rPr>
          <w:color w:val="231F20"/>
          <w:spacing w:val="-34"/>
          <w:w w:val="105"/>
        </w:rPr>
        <w:t> </w:t>
      </w:r>
      <w:r>
        <w:rPr>
          <w:color w:val="231F20"/>
          <w:w w:val="105"/>
        </w:rPr>
        <w:t>complessa</w:t>
      </w:r>
      <w:r>
        <w:rPr>
          <w:color w:val="231F20"/>
          <w:spacing w:val="-34"/>
          <w:w w:val="105"/>
        </w:rPr>
        <w:t> </w:t>
      </w:r>
      <w:r>
        <w:rPr>
          <w:color w:val="231F20"/>
          <w:w w:val="105"/>
        </w:rPr>
        <w:t>è articolata</w:t>
      </w:r>
      <w:r>
        <w:rPr>
          <w:color w:val="231F20"/>
          <w:spacing w:val="-48"/>
          <w:w w:val="105"/>
        </w:rPr>
        <w:t> </w:t>
      </w:r>
      <w:r>
        <w:rPr>
          <w:color w:val="231F20"/>
          <w:w w:val="105"/>
        </w:rPr>
        <w:t>dell’origine</w:t>
      </w:r>
      <w:r>
        <w:rPr>
          <w:color w:val="231F20"/>
          <w:w w:val="105"/>
          <w:position w:val="7"/>
          <w:sz w:val="12"/>
        </w:rPr>
        <w:t>51</w:t>
      </w:r>
      <w:r>
        <w:rPr>
          <w:color w:val="231F20"/>
          <w:w w:val="105"/>
        </w:rPr>
        <w:t>.</w:t>
      </w:r>
      <w:r>
        <w:rPr>
          <w:color w:val="231F20"/>
          <w:spacing w:val="-48"/>
          <w:w w:val="105"/>
        </w:rPr>
        <w:t> </w:t>
      </w:r>
      <w:r>
        <w:rPr>
          <w:color w:val="231F20"/>
          <w:w w:val="105"/>
        </w:rPr>
        <w:t>In</w:t>
      </w:r>
      <w:r>
        <w:rPr>
          <w:color w:val="231F20"/>
          <w:spacing w:val="-48"/>
          <w:w w:val="105"/>
        </w:rPr>
        <w:t> </w:t>
      </w:r>
      <w:r>
        <w:rPr>
          <w:color w:val="231F20"/>
          <w:w w:val="105"/>
        </w:rPr>
        <w:t>entrambi</w:t>
      </w:r>
      <w:r>
        <w:rPr>
          <w:color w:val="231F20"/>
          <w:spacing w:val="-48"/>
          <w:w w:val="105"/>
        </w:rPr>
        <w:t> </w:t>
      </w:r>
      <w:r>
        <w:rPr>
          <w:color w:val="231F20"/>
          <w:w w:val="105"/>
        </w:rPr>
        <w:t>i</w:t>
      </w:r>
      <w:r>
        <w:rPr>
          <w:color w:val="231F20"/>
          <w:spacing w:val="-48"/>
          <w:w w:val="105"/>
        </w:rPr>
        <w:t> </w:t>
      </w:r>
      <w:r>
        <w:rPr>
          <w:color w:val="231F20"/>
          <w:w w:val="105"/>
        </w:rPr>
        <w:t>casi</w:t>
      </w:r>
      <w:r>
        <w:rPr>
          <w:color w:val="231F20"/>
          <w:spacing w:val="-48"/>
          <w:w w:val="105"/>
        </w:rPr>
        <w:t> </w:t>
      </w:r>
      <w:r>
        <w:rPr>
          <w:color w:val="231F20"/>
          <w:w w:val="105"/>
        </w:rPr>
        <w:t>il</w:t>
      </w:r>
      <w:r>
        <w:rPr>
          <w:color w:val="231F20"/>
          <w:spacing w:val="-48"/>
          <w:w w:val="105"/>
        </w:rPr>
        <w:t> </w:t>
      </w:r>
      <w:r>
        <w:rPr>
          <w:color w:val="231F20"/>
          <w:w w:val="105"/>
        </w:rPr>
        <w:t>“punto</w:t>
      </w:r>
      <w:r>
        <w:rPr>
          <w:color w:val="231F20"/>
          <w:spacing w:val="-48"/>
          <w:w w:val="105"/>
        </w:rPr>
        <w:t> </w:t>
      </w:r>
      <w:r>
        <w:rPr>
          <w:color w:val="231F20"/>
          <w:w w:val="105"/>
        </w:rPr>
        <w:t>di</w:t>
      </w:r>
      <w:r>
        <w:rPr>
          <w:color w:val="231F20"/>
          <w:spacing w:val="-48"/>
          <w:w w:val="105"/>
        </w:rPr>
        <w:t> </w:t>
      </w:r>
      <w:r>
        <w:rPr>
          <w:color w:val="231F20"/>
          <w:w w:val="105"/>
        </w:rPr>
        <w:t>partenza”</w:t>
      </w:r>
      <w:r>
        <w:rPr>
          <w:color w:val="231F20"/>
          <w:spacing w:val="-48"/>
          <w:w w:val="105"/>
        </w:rPr>
        <w:t> </w:t>
      </w:r>
      <w:r>
        <w:rPr>
          <w:color w:val="231F20"/>
          <w:w w:val="105"/>
        </w:rPr>
        <w:t>rappresenta</w:t>
      </w:r>
    </w:p>
    <w:p>
      <w:pPr>
        <w:pStyle w:val="BodyText"/>
        <w:spacing w:before="2"/>
        <w:rPr>
          <w:sz w:val="23"/>
        </w:rPr>
      </w:pPr>
      <w:r>
        <w:rPr/>
        <w:pict>
          <v:line style="position:absolute;mso-position-horizontal-relative:page;mso-position-vertical-relative:paragraph;z-index:10504;mso-wrap-distance-left:0;mso-wrap-distance-right:0" from="70.866203pt,16.106985pt" to="184.252203pt,16.106985pt" stroked="true" strokeweight=".3pt" strokecolor="#231f20">
            <w10:wrap type="topAndBottom"/>
          </v:line>
        </w:pict>
      </w:r>
    </w:p>
    <w:p>
      <w:pPr>
        <w:spacing w:line="206" w:lineRule="exact" w:before="10"/>
        <w:ind w:left="117" w:right="0" w:firstLine="0"/>
        <w:jc w:val="both"/>
        <w:rPr>
          <w:rFonts w:ascii="Calibri"/>
          <w:sz w:val="17"/>
        </w:rPr>
      </w:pPr>
      <w:r>
        <w:rPr>
          <w:rFonts w:ascii="Calibri"/>
          <w:color w:val="231F20"/>
          <w:position w:val="6"/>
          <w:sz w:val="10"/>
        </w:rPr>
        <w:t>47 </w:t>
      </w:r>
      <w:r>
        <w:rPr>
          <w:rFonts w:ascii="Calibri"/>
          <w:color w:val="231F20"/>
          <w:sz w:val="17"/>
        </w:rPr>
        <w:t>R. Samaddar, </w:t>
      </w:r>
      <w:r>
        <w:rPr>
          <w:rFonts w:ascii="Calibri"/>
          <w:i/>
          <w:color w:val="231F20"/>
          <w:sz w:val="17"/>
        </w:rPr>
        <w:t>The Materiality of Politics. Subjects Positions in Politics</w:t>
      </w:r>
      <w:r>
        <w:rPr>
          <w:rFonts w:ascii="Calibri"/>
          <w:color w:val="231F20"/>
          <w:sz w:val="17"/>
        </w:rPr>
        <w:t>, p. 156.</w:t>
      </w:r>
    </w:p>
    <w:p>
      <w:pPr>
        <w:spacing w:line="204" w:lineRule="exact" w:before="0"/>
        <w:ind w:left="117" w:right="0" w:firstLine="0"/>
        <w:jc w:val="both"/>
        <w:rPr>
          <w:rFonts w:ascii="Calibri" w:hAnsi="Calibri"/>
          <w:sz w:val="17"/>
        </w:rPr>
      </w:pPr>
      <w:r>
        <w:rPr>
          <w:rFonts w:ascii="Calibri" w:hAnsi="Calibri"/>
          <w:color w:val="231F20"/>
          <w:position w:val="6"/>
          <w:sz w:val="10"/>
        </w:rPr>
        <w:t>48 </w:t>
      </w:r>
      <w:r>
        <w:rPr>
          <w:rFonts w:ascii="Calibri" w:hAnsi="Calibri"/>
          <w:color w:val="231F20"/>
          <w:sz w:val="17"/>
        </w:rPr>
        <w:t>T. Vu, “Studying the State through State Formation”, </w:t>
      </w:r>
      <w:r>
        <w:rPr>
          <w:rFonts w:ascii="Calibri" w:hAnsi="Calibri"/>
          <w:i/>
          <w:color w:val="231F20"/>
          <w:sz w:val="17"/>
        </w:rPr>
        <w:t>World Politics</w:t>
      </w:r>
      <w:r>
        <w:rPr>
          <w:rFonts w:ascii="Calibri" w:hAnsi="Calibri"/>
          <w:color w:val="231F20"/>
          <w:sz w:val="17"/>
        </w:rPr>
        <w:t>, 62, 1, 2010, pp. 148–175.</w:t>
      </w:r>
    </w:p>
    <w:p>
      <w:pPr>
        <w:spacing w:line="204" w:lineRule="exact" w:before="0"/>
        <w:ind w:left="117" w:right="0" w:firstLine="0"/>
        <w:jc w:val="both"/>
        <w:rPr>
          <w:rFonts w:ascii="Calibri" w:hAnsi="Calibri"/>
          <w:sz w:val="17"/>
        </w:rPr>
      </w:pPr>
      <w:r>
        <w:rPr>
          <w:rFonts w:ascii="Calibri" w:hAnsi="Calibri"/>
          <w:color w:val="231F20"/>
          <w:position w:val="6"/>
          <w:sz w:val="10"/>
        </w:rPr>
        <w:t>49 </w:t>
      </w:r>
      <w:r>
        <w:rPr>
          <w:rFonts w:ascii="Calibri" w:hAnsi="Calibri"/>
          <w:color w:val="231F20"/>
          <w:sz w:val="17"/>
        </w:rPr>
        <w:t>P. Bourdieu, </w:t>
      </w:r>
      <w:r>
        <w:rPr>
          <w:rFonts w:ascii="Calibri" w:hAnsi="Calibri"/>
          <w:i/>
          <w:color w:val="231F20"/>
          <w:sz w:val="17"/>
        </w:rPr>
        <w:t>Sur l’État</w:t>
      </w:r>
      <w:r>
        <w:rPr>
          <w:rFonts w:ascii="Calibri" w:hAnsi="Calibri"/>
          <w:color w:val="231F20"/>
          <w:sz w:val="17"/>
        </w:rPr>
        <w:t>, pp. 139–140.</w:t>
      </w:r>
    </w:p>
    <w:p>
      <w:pPr>
        <w:spacing w:line="204" w:lineRule="exact" w:before="0"/>
        <w:ind w:left="117" w:right="0" w:firstLine="0"/>
        <w:jc w:val="both"/>
        <w:rPr>
          <w:rFonts w:ascii="Calibri"/>
          <w:sz w:val="17"/>
        </w:rPr>
      </w:pPr>
      <w:r>
        <w:rPr>
          <w:rFonts w:ascii="Calibri"/>
          <w:color w:val="231F20"/>
          <w:position w:val="6"/>
          <w:sz w:val="10"/>
        </w:rPr>
        <w:t>50  </w:t>
      </w:r>
      <w:r>
        <w:rPr>
          <w:rFonts w:ascii="Calibri"/>
          <w:color w:val="231F20"/>
          <w:sz w:val="17"/>
        </w:rPr>
        <w:t>A. de Tocqueville, </w:t>
      </w:r>
      <w:r>
        <w:rPr>
          <w:rFonts w:ascii="Calibri"/>
          <w:i/>
          <w:color w:val="231F20"/>
          <w:sz w:val="17"/>
        </w:rPr>
        <w:t>La democrazia in America</w:t>
      </w:r>
      <w:r>
        <w:rPr>
          <w:rFonts w:ascii="Calibri"/>
          <w:color w:val="231F20"/>
          <w:sz w:val="17"/>
        </w:rPr>
        <w:t>, A. de Tocqueville, </w:t>
      </w:r>
      <w:r>
        <w:rPr>
          <w:rFonts w:ascii="Calibri"/>
          <w:i/>
          <w:color w:val="231F20"/>
          <w:sz w:val="17"/>
        </w:rPr>
        <w:t>Scritti politici</w:t>
      </w:r>
      <w:r>
        <w:rPr>
          <w:rFonts w:ascii="Calibri"/>
          <w:color w:val="231F20"/>
          <w:sz w:val="17"/>
        </w:rPr>
        <w:t>, Torino, Utet,   1968,</w:t>
      </w:r>
    </w:p>
    <w:p>
      <w:pPr>
        <w:spacing w:line="204" w:lineRule="exact" w:before="0"/>
        <w:ind w:left="117" w:right="0" w:firstLine="0"/>
        <w:jc w:val="both"/>
        <w:rPr>
          <w:rFonts w:ascii="Calibri"/>
          <w:sz w:val="17"/>
        </w:rPr>
      </w:pPr>
      <w:r>
        <w:rPr>
          <w:rFonts w:ascii="Calibri"/>
          <w:color w:val="231F20"/>
          <w:sz w:val="17"/>
        </w:rPr>
        <w:t>vol. II, p. 45.</w:t>
      </w:r>
    </w:p>
    <w:p>
      <w:pPr>
        <w:spacing w:line="235" w:lineRule="auto" w:before="1"/>
        <w:ind w:left="117" w:right="121" w:firstLine="0"/>
        <w:jc w:val="both"/>
        <w:rPr>
          <w:rFonts w:ascii="Calibri" w:hAnsi="Calibri"/>
          <w:sz w:val="17"/>
        </w:rPr>
      </w:pPr>
      <w:r>
        <w:rPr>
          <w:rFonts w:ascii="Calibri" w:hAnsi="Calibri"/>
          <w:color w:val="231F20"/>
          <w:position w:val="6"/>
          <w:sz w:val="10"/>
        </w:rPr>
        <w:t>51</w:t>
      </w:r>
      <w:r>
        <w:rPr>
          <w:rFonts w:ascii="Calibri" w:hAnsi="Calibri"/>
          <w:color w:val="231F20"/>
          <w:spacing w:val="8"/>
          <w:position w:val="6"/>
          <w:sz w:val="10"/>
        </w:rPr>
        <w:t> </w:t>
      </w:r>
      <w:r>
        <w:rPr>
          <w:rFonts w:ascii="Calibri" w:hAnsi="Calibri"/>
          <w:color w:val="231F20"/>
          <w:spacing w:val="-8"/>
          <w:sz w:val="17"/>
        </w:rPr>
        <w:t>F.</w:t>
      </w:r>
      <w:r>
        <w:rPr>
          <w:rFonts w:ascii="Calibri" w:hAnsi="Calibri"/>
          <w:color w:val="231F20"/>
          <w:spacing w:val="-10"/>
          <w:sz w:val="17"/>
        </w:rPr>
        <w:t> </w:t>
      </w:r>
      <w:r>
        <w:rPr>
          <w:rFonts w:ascii="Calibri" w:hAnsi="Calibri"/>
          <w:color w:val="231F20"/>
          <w:sz w:val="17"/>
        </w:rPr>
        <w:t>Furet,</w:t>
      </w:r>
      <w:r>
        <w:rPr>
          <w:rFonts w:ascii="Calibri" w:hAnsi="Calibri"/>
          <w:color w:val="231F20"/>
          <w:spacing w:val="-10"/>
          <w:sz w:val="17"/>
        </w:rPr>
        <w:t> </w:t>
      </w:r>
      <w:r>
        <w:rPr>
          <w:rFonts w:ascii="Calibri" w:hAnsi="Calibri"/>
          <w:i/>
          <w:color w:val="231F20"/>
          <w:spacing w:val="-4"/>
          <w:sz w:val="17"/>
        </w:rPr>
        <w:t>Tocqueville</w:t>
      </w:r>
      <w:r>
        <w:rPr>
          <w:rFonts w:ascii="Calibri" w:hAnsi="Calibri"/>
          <w:i/>
          <w:color w:val="231F20"/>
          <w:spacing w:val="-10"/>
          <w:sz w:val="17"/>
        </w:rPr>
        <w:t> </w:t>
      </w:r>
      <w:r>
        <w:rPr>
          <w:rFonts w:ascii="Calibri" w:hAnsi="Calibri"/>
          <w:i/>
          <w:color w:val="231F20"/>
          <w:sz w:val="17"/>
        </w:rPr>
        <w:t>et</w:t>
      </w:r>
      <w:r>
        <w:rPr>
          <w:rFonts w:ascii="Calibri" w:hAnsi="Calibri"/>
          <w:i/>
          <w:color w:val="231F20"/>
          <w:spacing w:val="-10"/>
          <w:sz w:val="17"/>
        </w:rPr>
        <w:t> </w:t>
      </w:r>
      <w:r>
        <w:rPr>
          <w:rFonts w:ascii="Calibri" w:hAnsi="Calibri"/>
          <w:i/>
          <w:color w:val="231F20"/>
          <w:sz w:val="17"/>
        </w:rPr>
        <w:t>le</w:t>
      </w:r>
      <w:r>
        <w:rPr>
          <w:rFonts w:ascii="Calibri" w:hAnsi="Calibri"/>
          <w:i/>
          <w:color w:val="231F20"/>
          <w:spacing w:val="-10"/>
          <w:sz w:val="17"/>
        </w:rPr>
        <w:t> </w:t>
      </w:r>
      <w:r>
        <w:rPr>
          <w:rFonts w:ascii="Calibri" w:hAnsi="Calibri"/>
          <w:i/>
          <w:color w:val="231F20"/>
          <w:sz w:val="17"/>
        </w:rPr>
        <w:t>problème</w:t>
      </w:r>
      <w:r>
        <w:rPr>
          <w:rFonts w:ascii="Calibri" w:hAnsi="Calibri"/>
          <w:i/>
          <w:color w:val="231F20"/>
          <w:spacing w:val="-10"/>
          <w:sz w:val="17"/>
        </w:rPr>
        <w:t> </w:t>
      </w:r>
      <w:r>
        <w:rPr>
          <w:rFonts w:ascii="Calibri" w:hAnsi="Calibri"/>
          <w:i/>
          <w:color w:val="231F20"/>
          <w:sz w:val="17"/>
        </w:rPr>
        <w:t>de</w:t>
      </w:r>
      <w:r>
        <w:rPr>
          <w:rFonts w:ascii="Calibri" w:hAnsi="Calibri"/>
          <w:i/>
          <w:color w:val="231F20"/>
          <w:spacing w:val="-10"/>
          <w:sz w:val="17"/>
        </w:rPr>
        <w:t> </w:t>
      </w:r>
      <w:r>
        <w:rPr>
          <w:rFonts w:ascii="Calibri" w:hAnsi="Calibri"/>
          <w:i/>
          <w:color w:val="231F20"/>
          <w:sz w:val="17"/>
        </w:rPr>
        <w:t>la</w:t>
      </w:r>
      <w:r>
        <w:rPr>
          <w:rFonts w:ascii="Calibri" w:hAnsi="Calibri"/>
          <w:i/>
          <w:color w:val="231F20"/>
          <w:spacing w:val="-10"/>
          <w:sz w:val="17"/>
        </w:rPr>
        <w:t> </w:t>
      </w:r>
      <w:r>
        <w:rPr>
          <w:rFonts w:ascii="Calibri" w:hAnsi="Calibri"/>
          <w:i/>
          <w:color w:val="231F20"/>
          <w:sz w:val="17"/>
        </w:rPr>
        <w:t>Révolution</w:t>
      </w:r>
      <w:r>
        <w:rPr>
          <w:rFonts w:ascii="Calibri" w:hAnsi="Calibri"/>
          <w:i/>
          <w:color w:val="231F20"/>
          <w:spacing w:val="-10"/>
          <w:sz w:val="17"/>
        </w:rPr>
        <w:t> </w:t>
      </w:r>
      <w:r>
        <w:rPr>
          <w:rFonts w:ascii="Calibri" w:hAnsi="Calibri"/>
          <w:i/>
          <w:color w:val="231F20"/>
          <w:spacing w:val="-3"/>
          <w:sz w:val="17"/>
        </w:rPr>
        <w:t>française,</w:t>
      </w:r>
      <w:r>
        <w:rPr>
          <w:rFonts w:ascii="Calibri" w:hAnsi="Calibri"/>
          <w:i/>
          <w:color w:val="231F20"/>
          <w:spacing w:val="-10"/>
          <w:sz w:val="17"/>
        </w:rPr>
        <w:t> </w:t>
      </w:r>
      <w:r>
        <w:rPr>
          <w:rFonts w:ascii="Calibri" w:hAnsi="Calibri"/>
          <w:i/>
          <w:color w:val="231F20"/>
          <w:sz w:val="17"/>
        </w:rPr>
        <w:t>en</w:t>
      </w:r>
      <w:r>
        <w:rPr>
          <w:rFonts w:ascii="Calibri" w:hAnsi="Calibri"/>
          <w:i/>
          <w:color w:val="231F20"/>
          <w:spacing w:val="-10"/>
          <w:sz w:val="17"/>
        </w:rPr>
        <w:t> </w:t>
      </w:r>
      <w:r>
        <w:rPr>
          <w:rFonts w:ascii="Calibri" w:hAnsi="Calibri"/>
          <w:i/>
          <w:color w:val="231F20"/>
          <w:sz w:val="17"/>
        </w:rPr>
        <w:t>Penser</w:t>
      </w:r>
      <w:r>
        <w:rPr>
          <w:rFonts w:ascii="Calibri" w:hAnsi="Calibri"/>
          <w:i/>
          <w:color w:val="231F20"/>
          <w:spacing w:val="-10"/>
          <w:sz w:val="17"/>
        </w:rPr>
        <w:t> </w:t>
      </w:r>
      <w:r>
        <w:rPr>
          <w:rFonts w:ascii="Calibri" w:hAnsi="Calibri"/>
          <w:i/>
          <w:color w:val="231F20"/>
          <w:sz w:val="17"/>
        </w:rPr>
        <w:t>la</w:t>
      </w:r>
      <w:r>
        <w:rPr>
          <w:rFonts w:ascii="Calibri" w:hAnsi="Calibri"/>
          <w:i/>
          <w:color w:val="231F20"/>
          <w:spacing w:val="-10"/>
          <w:sz w:val="17"/>
        </w:rPr>
        <w:t> </w:t>
      </w:r>
      <w:r>
        <w:rPr>
          <w:rFonts w:ascii="Calibri" w:hAnsi="Calibri"/>
          <w:i/>
          <w:color w:val="231F20"/>
          <w:sz w:val="17"/>
        </w:rPr>
        <w:t>Révolution</w:t>
      </w:r>
      <w:r>
        <w:rPr>
          <w:rFonts w:ascii="Calibri" w:hAnsi="Calibri"/>
          <w:i/>
          <w:color w:val="231F20"/>
          <w:spacing w:val="-10"/>
          <w:sz w:val="17"/>
        </w:rPr>
        <w:t> </w:t>
      </w:r>
      <w:r>
        <w:rPr>
          <w:rFonts w:ascii="Calibri" w:hAnsi="Calibri"/>
          <w:i/>
          <w:color w:val="231F20"/>
          <w:spacing w:val="-3"/>
          <w:sz w:val="17"/>
        </w:rPr>
        <w:t>française</w:t>
      </w:r>
      <w:r>
        <w:rPr>
          <w:rFonts w:ascii="Calibri" w:hAnsi="Calibri"/>
          <w:color w:val="231F20"/>
          <w:spacing w:val="-3"/>
          <w:sz w:val="17"/>
        </w:rPr>
        <w:t>,</w:t>
      </w:r>
      <w:r>
        <w:rPr>
          <w:rFonts w:ascii="Calibri" w:hAnsi="Calibri"/>
          <w:color w:val="231F20"/>
          <w:spacing w:val="-10"/>
          <w:sz w:val="17"/>
        </w:rPr>
        <w:t> </w:t>
      </w:r>
      <w:r>
        <w:rPr>
          <w:rFonts w:ascii="Calibri" w:hAnsi="Calibri"/>
          <w:color w:val="231F20"/>
          <w:spacing w:val="-2"/>
          <w:sz w:val="17"/>
        </w:rPr>
        <w:t>Paris, </w:t>
      </w:r>
      <w:r>
        <w:rPr>
          <w:rFonts w:ascii="Calibri" w:hAnsi="Calibri"/>
          <w:color w:val="231F20"/>
          <w:spacing w:val="-3"/>
          <w:w w:val="105"/>
          <w:sz w:val="17"/>
        </w:rPr>
        <w:t>1978;</w:t>
      </w:r>
      <w:r>
        <w:rPr>
          <w:rFonts w:ascii="Calibri" w:hAnsi="Calibri"/>
          <w:color w:val="231F20"/>
          <w:spacing w:val="-7"/>
          <w:w w:val="105"/>
          <w:sz w:val="17"/>
        </w:rPr>
        <w:t> </w:t>
      </w:r>
      <w:r>
        <w:rPr>
          <w:rFonts w:ascii="Calibri" w:hAnsi="Calibri"/>
          <w:color w:val="231F20"/>
          <w:w w:val="105"/>
          <w:sz w:val="17"/>
        </w:rPr>
        <w:t>ma</w:t>
      </w:r>
      <w:r>
        <w:rPr>
          <w:rFonts w:ascii="Calibri" w:hAnsi="Calibri"/>
          <w:color w:val="231F20"/>
          <w:spacing w:val="-7"/>
          <w:w w:val="105"/>
          <w:sz w:val="17"/>
        </w:rPr>
        <w:t> </w:t>
      </w:r>
      <w:r>
        <w:rPr>
          <w:rFonts w:ascii="Calibri" w:hAnsi="Calibri"/>
          <w:i/>
          <w:color w:val="231F20"/>
          <w:w w:val="105"/>
          <w:sz w:val="17"/>
        </w:rPr>
        <w:t>cfr</w:t>
      </w:r>
      <w:r>
        <w:rPr>
          <w:rFonts w:ascii="Calibri" w:hAnsi="Calibri"/>
          <w:color w:val="231F20"/>
          <w:w w:val="105"/>
          <w:sz w:val="17"/>
        </w:rPr>
        <w:t>.</w:t>
      </w:r>
      <w:r>
        <w:rPr>
          <w:rFonts w:ascii="Calibri" w:hAnsi="Calibri"/>
          <w:color w:val="231F20"/>
          <w:spacing w:val="-7"/>
          <w:w w:val="105"/>
          <w:sz w:val="17"/>
        </w:rPr>
        <w:t> </w:t>
      </w:r>
      <w:r>
        <w:rPr>
          <w:rFonts w:ascii="Calibri" w:hAnsi="Calibri"/>
          <w:color w:val="231F20"/>
          <w:w w:val="105"/>
          <w:sz w:val="17"/>
        </w:rPr>
        <w:t>anche</w:t>
      </w:r>
      <w:r>
        <w:rPr>
          <w:rFonts w:ascii="Calibri" w:hAnsi="Calibri"/>
          <w:color w:val="231F20"/>
          <w:spacing w:val="-7"/>
          <w:w w:val="105"/>
          <w:sz w:val="17"/>
        </w:rPr>
        <w:t> </w:t>
      </w:r>
      <w:r>
        <w:rPr>
          <w:rFonts w:ascii="Calibri" w:hAnsi="Calibri"/>
          <w:color w:val="231F20"/>
          <w:w w:val="105"/>
          <w:sz w:val="17"/>
        </w:rPr>
        <w:t>L.</w:t>
      </w:r>
      <w:r>
        <w:rPr>
          <w:rFonts w:ascii="Calibri" w:hAnsi="Calibri"/>
          <w:color w:val="231F20"/>
          <w:spacing w:val="-7"/>
          <w:w w:val="105"/>
          <w:sz w:val="17"/>
        </w:rPr>
        <w:t> </w:t>
      </w:r>
      <w:r>
        <w:rPr>
          <w:rFonts w:ascii="Calibri" w:hAnsi="Calibri"/>
          <w:color w:val="231F20"/>
          <w:w w:val="105"/>
          <w:sz w:val="17"/>
        </w:rPr>
        <w:t>Jaume,</w:t>
      </w:r>
      <w:r>
        <w:rPr>
          <w:rFonts w:ascii="Calibri" w:hAnsi="Calibri"/>
          <w:color w:val="231F20"/>
          <w:spacing w:val="-7"/>
          <w:w w:val="105"/>
          <w:sz w:val="17"/>
        </w:rPr>
        <w:t> </w:t>
      </w:r>
      <w:r>
        <w:rPr>
          <w:rFonts w:ascii="Calibri" w:hAnsi="Calibri"/>
          <w:color w:val="231F20"/>
          <w:spacing w:val="-3"/>
          <w:w w:val="105"/>
          <w:sz w:val="17"/>
        </w:rPr>
        <w:t>“Entre</w:t>
      </w:r>
      <w:r>
        <w:rPr>
          <w:rFonts w:ascii="Calibri" w:hAnsi="Calibri"/>
          <w:color w:val="231F20"/>
          <w:spacing w:val="-7"/>
          <w:w w:val="105"/>
          <w:sz w:val="17"/>
        </w:rPr>
        <w:t> </w:t>
      </w:r>
      <w:r>
        <w:rPr>
          <w:rFonts w:ascii="Calibri" w:hAnsi="Calibri"/>
          <w:color w:val="231F20"/>
          <w:w w:val="105"/>
          <w:sz w:val="17"/>
        </w:rPr>
        <w:t>droit</w:t>
      </w:r>
      <w:r>
        <w:rPr>
          <w:rFonts w:ascii="Calibri" w:hAnsi="Calibri"/>
          <w:color w:val="231F20"/>
          <w:spacing w:val="-7"/>
          <w:w w:val="105"/>
          <w:sz w:val="17"/>
        </w:rPr>
        <w:t> </w:t>
      </w:r>
      <w:r>
        <w:rPr>
          <w:rFonts w:ascii="Calibri" w:hAnsi="Calibri"/>
          <w:color w:val="231F20"/>
          <w:w w:val="105"/>
          <w:sz w:val="17"/>
        </w:rPr>
        <w:t>de</w:t>
      </w:r>
      <w:r>
        <w:rPr>
          <w:rFonts w:ascii="Calibri" w:hAnsi="Calibri"/>
          <w:color w:val="231F20"/>
          <w:spacing w:val="-7"/>
          <w:w w:val="105"/>
          <w:sz w:val="17"/>
        </w:rPr>
        <w:t> </w:t>
      </w:r>
      <w:r>
        <w:rPr>
          <w:rFonts w:ascii="Calibri" w:hAnsi="Calibri"/>
          <w:color w:val="231F20"/>
          <w:spacing w:val="-4"/>
          <w:w w:val="105"/>
          <w:sz w:val="17"/>
        </w:rPr>
        <w:t>l’état</w:t>
      </w:r>
      <w:r>
        <w:rPr>
          <w:rFonts w:ascii="Calibri" w:hAnsi="Calibri"/>
          <w:color w:val="231F20"/>
          <w:spacing w:val="-7"/>
          <w:w w:val="105"/>
          <w:sz w:val="17"/>
        </w:rPr>
        <w:t> </w:t>
      </w:r>
      <w:r>
        <w:rPr>
          <w:rFonts w:ascii="Calibri" w:hAnsi="Calibri"/>
          <w:color w:val="231F20"/>
          <w:w w:val="105"/>
          <w:sz w:val="17"/>
        </w:rPr>
        <w:t>et</w:t>
      </w:r>
      <w:r>
        <w:rPr>
          <w:rFonts w:ascii="Calibri" w:hAnsi="Calibri"/>
          <w:color w:val="231F20"/>
          <w:spacing w:val="-7"/>
          <w:w w:val="105"/>
          <w:sz w:val="17"/>
        </w:rPr>
        <w:t> </w:t>
      </w:r>
      <w:r>
        <w:rPr>
          <w:rFonts w:ascii="Calibri" w:hAnsi="Calibri"/>
          <w:color w:val="231F20"/>
          <w:w w:val="105"/>
          <w:sz w:val="17"/>
        </w:rPr>
        <w:t>droits</w:t>
      </w:r>
      <w:r>
        <w:rPr>
          <w:rFonts w:ascii="Calibri" w:hAnsi="Calibri"/>
          <w:color w:val="231F20"/>
          <w:spacing w:val="-7"/>
          <w:w w:val="105"/>
          <w:sz w:val="17"/>
        </w:rPr>
        <w:t> </w:t>
      </w:r>
      <w:r>
        <w:rPr>
          <w:rFonts w:ascii="Calibri" w:hAnsi="Calibri"/>
          <w:color w:val="231F20"/>
          <w:w w:val="105"/>
          <w:sz w:val="17"/>
        </w:rPr>
        <w:t>de</w:t>
      </w:r>
      <w:r>
        <w:rPr>
          <w:rFonts w:ascii="Calibri" w:hAnsi="Calibri"/>
          <w:color w:val="231F20"/>
          <w:spacing w:val="-7"/>
          <w:w w:val="105"/>
          <w:sz w:val="17"/>
        </w:rPr>
        <w:t> </w:t>
      </w:r>
      <w:r>
        <w:rPr>
          <w:rFonts w:ascii="Calibri" w:hAnsi="Calibri"/>
          <w:color w:val="231F20"/>
          <w:w w:val="105"/>
          <w:sz w:val="17"/>
        </w:rPr>
        <w:t>la</w:t>
      </w:r>
      <w:r>
        <w:rPr>
          <w:rFonts w:ascii="Calibri" w:hAnsi="Calibri"/>
          <w:color w:val="231F20"/>
          <w:spacing w:val="-7"/>
          <w:w w:val="105"/>
          <w:sz w:val="17"/>
        </w:rPr>
        <w:t> </w:t>
      </w:r>
      <w:r>
        <w:rPr>
          <w:rFonts w:ascii="Calibri" w:hAnsi="Calibri"/>
          <w:color w:val="231F20"/>
          <w:w w:val="105"/>
          <w:sz w:val="17"/>
        </w:rPr>
        <w:t>société:</w:t>
      </w:r>
      <w:r>
        <w:rPr>
          <w:rFonts w:ascii="Calibri" w:hAnsi="Calibri"/>
          <w:color w:val="231F20"/>
          <w:spacing w:val="-7"/>
          <w:w w:val="105"/>
          <w:sz w:val="17"/>
        </w:rPr>
        <w:t> </w:t>
      </w:r>
      <w:r>
        <w:rPr>
          <w:rFonts w:ascii="Calibri" w:hAnsi="Calibri"/>
          <w:color w:val="231F20"/>
          <w:w w:val="105"/>
          <w:sz w:val="17"/>
        </w:rPr>
        <w:t>le</w:t>
      </w:r>
      <w:r>
        <w:rPr>
          <w:rFonts w:ascii="Calibri" w:hAnsi="Calibri"/>
          <w:color w:val="231F20"/>
          <w:spacing w:val="-7"/>
          <w:w w:val="105"/>
          <w:sz w:val="17"/>
        </w:rPr>
        <w:t> </w:t>
      </w:r>
      <w:r>
        <w:rPr>
          <w:rFonts w:ascii="Calibri" w:hAnsi="Calibri"/>
          <w:color w:val="231F20"/>
          <w:w w:val="105"/>
          <w:sz w:val="17"/>
        </w:rPr>
        <w:t>choix</w:t>
      </w:r>
      <w:r>
        <w:rPr>
          <w:rFonts w:ascii="Calibri" w:hAnsi="Calibri"/>
          <w:color w:val="231F20"/>
          <w:spacing w:val="-7"/>
          <w:w w:val="105"/>
          <w:sz w:val="17"/>
        </w:rPr>
        <w:t> </w:t>
      </w:r>
      <w:r>
        <w:rPr>
          <w:rFonts w:ascii="Calibri" w:hAnsi="Calibri"/>
          <w:color w:val="231F20"/>
          <w:w w:val="105"/>
          <w:sz w:val="17"/>
        </w:rPr>
        <w:t>de</w:t>
      </w:r>
      <w:r>
        <w:rPr>
          <w:rFonts w:ascii="Calibri" w:hAnsi="Calibri"/>
          <w:color w:val="231F20"/>
          <w:spacing w:val="-9"/>
          <w:w w:val="105"/>
          <w:sz w:val="17"/>
        </w:rPr>
        <w:t> </w:t>
      </w:r>
      <w:r>
        <w:rPr>
          <w:rFonts w:ascii="Calibri" w:hAnsi="Calibri"/>
          <w:color w:val="231F20"/>
          <w:spacing w:val="-4"/>
          <w:w w:val="105"/>
          <w:sz w:val="17"/>
        </w:rPr>
        <w:t>Tocqueville”, </w:t>
      </w:r>
      <w:r>
        <w:rPr>
          <w:rFonts w:ascii="Calibri" w:hAnsi="Calibri"/>
          <w:i/>
          <w:color w:val="231F20"/>
          <w:w w:val="105"/>
          <w:sz w:val="17"/>
        </w:rPr>
        <w:t>Historia</w:t>
      </w:r>
      <w:r>
        <w:rPr>
          <w:rFonts w:ascii="Calibri" w:hAnsi="Calibri"/>
          <w:i/>
          <w:color w:val="231F20"/>
          <w:spacing w:val="-27"/>
          <w:w w:val="105"/>
          <w:sz w:val="17"/>
        </w:rPr>
        <w:t> </w:t>
      </w:r>
      <w:r>
        <w:rPr>
          <w:rFonts w:ascii="Calibri" w:hAnsi="Calibri"/>
          <w:i/>
          <w:color w:val="231F20"/>
          <w:spacing w:val="-3"/>
          <w:w w:val="105"/>
          <w:sz w:val="17"/>
        </w:rPr>
        <w:t>Constitucional</w:t>
      </w:r>
      <w:r>
        <w:rPr>
          <w:rFonts w:ascii="Calibri" w:hAnsi="Calibri"/>
          <w:color w:val="231F20"/>
          <w:spacing w:val="-3"/>
          <w:w w:val="105"/>
          <w:sz w:val="17"/>
        </w:rPr>
        <w:t>,</w:t>
      </w:r>
      <w:r>
        <w:rPr>
          <w:rFonts w:ascii="Calibri" w:hAnsi="Calibri"/>
          <w:color w:val="231F20"/>
          <w:spacing w:val="-27"/>
          <w:w w:val="105"/>
          <w:sz w:val="17"/>
        </w:rPr>
        <w:t> </w:t>
      </w:r>
      <w:r>
        <w:rPr>
          <w:rFonts w:ascii="Calibri" w:hAnsi="Calibri"/>
          <w:color w:val="231F20"/>
          <w:w w:val="105"/>
          <w:sz w:val="17"/>
        </w:rPr>
        <w:t>6,</w:t>
      </w:r>
      <w:r>
        <w:rPr>
          <w:rFonts w:ascii="Calibri" w:hAnsi="Calibri"/>
          <w:color w:val="231F20"/>
          <w:spacing w:val="-27"/>
          <w:w w:val="105"/>
          <w:sz w:val="17"/>
        </w:rPr>
        <w:t> </w:t>
      </w:r>
      <w:r>
        <w:rPr>
          <w:rFonts w:ascii="Calibri" w:hAnsi="Calibri"/>
          <w:color w:val="231F20"/>
          <w:w w:val="105"/>
          <w:sz w:val="17"/>
        </w:rPr>
        <w:t>2005,</w:t>
      </w:r>
      <w:r>
        <w:rPr>
          <w:rFonts w:ascii="Calibri" w:hAnsi="Calibri"/>
          <w:color w:val="231F20"/>
          <w:spacing w:val="-27"/>
          <w:w w:val="105"/>
          <w:sz w:val="17"/>
        </w:rPr>
        <w:t> </w:t>
      </w:r>
      <w:r>
        <w:rPr>
          <w:rFonts w:ascii="Calibri" w:hAnsi="Calibri"/>
          <w:color w:val="231F20"/>
          <w:w w:val="105"/>
          <w:sz w:val="17"/>
        </w:rPr>
        <w:t>disponibile</w:t>
      </w:r>
      <w:r>
        <w:rPr>
          <w:rFonts w:ascii="Calibri" w:hAnsi="Calibri"/>
          <w:color w:val="231F20"/>
          <w:spacing w:val="-27"/>
          <w:w w:val="105"/>
          <w:sz w:val="17"/>
        </w:rPr>
        <w:t> </w:t>
      </w:r>
      <w:r>
        <w:rPr>
          <w:rFonts w:ascii="Calibri" w:hAnsi="Calibri"/>
          <w:color w:val="231F20"/>
          <w:w w:val="105"/>
          <w:sz w:val="17"/>
        </w:rPr>
        <w:t>in:</w:t>
      </w:r>
      <w:r>
        <w:rPr>
          <w:rFonts w:ascii="Calibri" w:hAnsi="Calibri"/>
          <w:color w:val="231F20"/>
          <w:spacing w:val="-27"/>
          <w:w w:val="105"/>
          <w:sz w:val="17"/>
        </w:rPr>
        <w:t> </w:t>
      </w:r>
      <w:hyperlink r:id="rId43">
        <w:r>
          <w:rPr>
            <w:rFonts w:ascii="Calibri" w:hAnsi="Calibri"/>
            <w:color w:val="231F20"/>
            <w:spacing w:val="-3"/>
            <w:w w:val="105"/>
            <w:sz w:val="17"/>
          </w:rPr>
          <w:t>http://hc.rediris.es/06/index.html.</w:t>
        </w:r>
      </w:hyperlink>
    </w:p>
    <w:p>
      <w:pPr>
        <w:spacing w:after="0" w:line="235" w:lineRule="auto"/>
        <w:jc w:val="both"/>
        <w:rPr>
          <w:rFonts w:ascii="Calibri" w:hAnsi="Calibri"/>
          <w:sz w:val="17"/>
        </w:rPr>
        <w:sectPr>
          <w:pgSz w:w="9640" w:h="13890"/>
          <w:pgMar w:top="0" w:bottom="280" w:left="1300" w:right="1180"/>
        </w:sectPr>
      </w:pPr>
    </w:p>
    <w:p>
      <w:pPr>
        <w:pStyle w:val="BodyText"/>
        <w:spacing w:line="247" w:lineRule="auto" w:before="107"/>
        <w:ind w:left="103" w:right="114"/>
        <w:jc w:val="both"/>
      </w:pPr>
      <w:r>
        <w:rPr>
          <w:color w:val="231F20"/>
          <w:spacing w:val="-4"/>
          <w:w w:val="105"/>
        </w:rPr>
        <w:t>però</w:t>
      </w:r>
      <w:r>
        <w:rPr>
          <w:color w:val="231F20"/>
          <w:spacing w:val="-43"/>
          <w:w w:val="105"/>
        </w:rPr>
        <w:t> </w:t>
      </w:r>
      <w:r>
        <w:rPr>
          <w:color w:val="231F20"/>
          <w:w w:val="105"/>
        </w:rPr>
        <w:t>una</w:t>
      </w:r>
      <w:r>
        <w:rPr>
          <w:color w:val="231F20"/>
          <w:spacing w:val="-43"/>
          <w:w w:val="105"/>
        </w:rPr>
        <w:t> </w:t>
      </w:r>
      <w:r>
        <w:rPr>
          <w:color w:val="231F20"/>
          <w:spacing w:val="-3"/>
          <w:w w:val="105"/>
        </w:rPr>
        <w:t>sorta</w:t>
      </w:r>
      <w:r>
        <w:rPr>
          <w:color w:val="231F20"/>
          <w:spacing w:val="-43"/>
          <w:w w:val="105"/>
        </w:rPr>
        <w:t> </w:t>
      </w:r>
      <w:r>
        <w:rPr>
          <w:color w:val="231F20"/>
          <w:w w:val="105"/>
        </w:rPr>
        <w:t>di</w:t>
      </w:r>
      <w:r>
        <w:rPr>
          <w:color w:val="231F20"/>
          <w:spacing w:val="-43"/>
          <w:w w:val="105"/>
        </w:rPr>
        <w:t> </w:t>
      </w:r>
      <w:r>
        <w:rPr>
          <w:color w:val="231F20"/>
          <w:spacing w:val="-3"/>
          <w:w w:val="105"/>
        </w:rPr>
        <w:t>teleologia</w:t>
      </w:r>
      <w:r>
        <w:rPr>
          <w:color w:val="231F20"/>
          <w:spacing w:val="-43"/>
          <w:w w:val="105"/>
        </w:rPr>
        <w:t> </w:t>
      </w:r>
      <w:r>
        <w:rPr>
          <w:color w:val="231F20"/>
          <w:spacing w:val="-4"/>
          <w:w w:val="105"/>
        </w:rPr>
        <w:t>rovesciata,</w:t>
      </w:r>
      <w:r>
        <w:rPr>
          <w:color w:val="231F20"/>
          <w:spacing w:val="-43"/>
          <w:w w:val="105"/>
        </w:rPr>
        <w:t> </w:t>
      </w:r>
      <w:r>
        <w:rPr>
          <w:color w:val="231F20"/>
          <w:w w:val="105"/>
        </w:rPr>
        <w:t>una</w:t>
      </w:r>
      <w:r>
        <w:rPr>
          <w:color w:val="231F20"/>
          <w:spacing w:val="-43"/>
          <w:w w:val="105"/>
        </w:rPr>
        <w:t> </w:t>
      </w:r>
      <w:r>
        <w:rPr>
          <w:color w:val="231F20"/>
          <w:spacing w:val="-3"/>
          <w:w w:val="105"/>
        </w:rPr>
        <w:t>coazione</w:t>
      </w:r>
      <w:r>
        <w:rPr>
          <w:color w:val="231F20"/>
          <w:spacing w:val="-43"/>
          <w:w w:val="105"/>
        </w:rPr>
        <w:t> </w:t>
      </w:r>
      <w:r>
        <w:rPr>
          <w:color w:val="231F20"/>
          <w:spacing w:val="-3"/>
          <w:w w:val="105"/>
        </w:rPr>
        <w:t>alla</w:t>
      </w:r>
      <w:r>
        <w:rPr>
          <w:color w:val="231F20"/>
          <w:spacing w:val="-43"/>
          <w:w w:val="105"/>
        </w:rPr>
        <w:t> </w:t>
      </w:r>
      <w:r>
        <w:rPr>
          <w:color w:val="231F20"/>
          <w:spacing w:val="-3"/>
          <w:w w:val="105"/>
        </w:rPr>
        <w:t>ripetizione.</w:t>
      </w:r>
      <w:r>
        <w:rPr>
          <w:color w:val="231F20"/>
          <w:spacing w:val="-43"/>
          <w:w w:val="105"/>
        </w:rPr>
        <w:t> </w:t>
      </w:r>
      <w:r>
        <w:rPr>
          <w:color w:val="231F20"/>
          <w:spacing w:val="-6"/>
          <w:w w:val="105"/>
        </w:rPr>
        <w:t>L’origine </w:t>
      </w:r>
      <w:r>
        <w:rPr>
          <w:color w:val="231F20"/>
          <w:w w:val="105"/>
        </w:rPr>
        <w:t>introduce</w:t>
      </w:r>
      <w:r>
        <w:rPr>
          <w:color w:val="231F20"/>
          <w:spacing w:val="-31"/>
          <w:w w:val="105"/>
        </w:rPr>
        <w:t> </w:t>
      </w:r>
      <w:r>
        <w:rPr>
          <w:color w:val="231F20"/>
          <w:w w:val="105"/>
        </w:rPr>
        <w:t>una</w:t>
      </w:r>
      <w:r>
        <w:rPr>
          <w:color w:val="231F20"/>
          <w:spacing w:val="-31"/>
          <w:w w:val="105"/>
        </w:rPr>
        <w:t> </w:t>
      </w:r>
      <w:r>
        <w:rPr>
          <w:color w:val="231F20"/>
          <w:w w:val="105"/>
        </w:rPr>
        <w:t>statica</w:t>
      </w:r>
      <w:r>
        <w:rPr>
          <w:color w:val="231F20"/>
          <w:spacing w:val="-31"/>
          <w:w w:val="105"/>
        </w:rPr>
        <w:t> </w:t>
      </w:r>
      <w:r>
        <w:rPr>
          <w:color w:val="231F20"/>
          <w:w w:val="105"/>
        </w:rPr>
        <w:t>dello</w:t>
      </w:r>
      <w:r>
        <w:rPr>
          <w:color w:val="231F20"/>
          <w:spacing w:val="-31"/>
          <w:w w:val="105"/>
        </w:rPr>
        <w:t> </w:t>
      </w:r>
      <w:r>
        <w:rPr>
          <w:color w:val="231F20"/>
          <w:w w:val="105"/>
        </w:rPr>
        <w:t>sviluppo</w:t>
      </w:r>
      <w:r>
        <w:rPr>
          <w:color w:val="231F20"/>
          <w:spacing w:val="-31"/>
          <w:w w:val="105"/>
        </w:rPr>
        <w:t> </w:t>
      </w:r>
      <w:r>
        <w:rPr>
          <w:color w:val="231F20"/>
          <w:w w:val="105"/>
        </w:rPr>
        <w:t>politico</w:t>
      </w:r>
      <w:r>
        <w:rPr>
          <w:color w:val="231F20"/>
          <w:spacing w:val="-31"/>
          <w:w w:val="105"/>
        </w:rPr>
        <w:t> </w:t>
      </w:r>
      <w:r>
        <w:rPr>
          <w:color w:val="231F20"/>
          <w:w w:val="105"/>
        </w:rPr>
        <w:t>che</w:t>
      </w:r>
      <w:r>
        <w:rPr>
          <w:color w:val="231F20"/>
          <w:spacing w:val="-31"/>
          <w:w w:val="105"/>
        </w:rPr>
        <w:t> </w:t>
      </w:r>
      <w:r>
        <w:rPr>
          <w:color w:val="231F20"/>
          <w:w w:val="105"/>
        </w:rPr>
        <w:t>può</w:t>
      </w:r>
      <w:r>
        <w:rPr>
          <w:color w:val="231F20"/>
          <w:spacing w:val="-31"/>
          <w:w w:val="105"/>
        </w:rPr>
        <w:t> </w:t>
      </w:r>
      <w:r>
        <w:rPr>
          <w:color w:val="231F20"/>
          <w:w w:val="105"/>
        </w:rPr>
        <w:t>mirare</w:t>
      </w:r>
      <w:r>
        <w:rPr>
          <w:color w:val="231F20"/>
          <w:spacing w:val="-31"/>
          <w:w w:val="105"/>
        </w:rPr>
        <w:t> </w:t>
      </w:r>
      <w:r>
        <w:rPr>
          <w:color w:val="231F20"/>
          <w:w w:val="105"/>
        </w:rPr>
        <w:t>a</w:t>
      </w:r>
      <w:r>
        <w:rPr>
          <w:color w:val="231F20"/>
          <w:spacing w:val="-31"/>
          <w:w w:val="105"/>
        </w:rPr>
        <w:t> </w:t>
      </w:r>
      <w:r>
        <w:rPr>
          <w:color w:val="231F20"/>
          <w:w w:val="105"/>
        </w:rPr>
        <w:t>neutralizzare le</w:t>
      </w:r>
      <w:r>
        <w:rPr>
          <w:color w:val="231F20"/>
          <w:spacing w:val="-34"/>
          <w:w w:val="105"/>
        </w:rPr>
        <w:t> </w:t>
      </w:r>
      <w:r>
        <w:rPr>
          <w:color w:val="231F20"/>
          <w:w w:val="105"/>
        </w:rPr>
        <w:t>dinamiche</w:t>
      </w:r>
      <w:r>
        <w:rPr>
          <w:color w:val="231F20"/>
          <w:spacing w:val="-34"/>
          <w:w w:val="105"/>
        </w:rPr>
        <w:t> </w:t>
      </w:r>
      <w:r>
        <w:rPr>
          <w:color w:val="231F20"/>
          <w:w w:val="105"/>
        </w:rPr>
        <w:t>successive</w:t>
      </w:r>
      <w:r>
        <w:rPr>
          <w:color w:val="231F20"/>
          <w:spacing w:val="-34"/>
          <w:w w:val="105"/>
        </w:rPr>
        <w:t> </w:t>
      </w:r>
      <w:r>
        <w:rPr>
          <w:color w:val="231F20"/>
          <w:w w:val="105"/>
        </w:rPr>
        <w:t>potenzialmente</w:t>
      </w:r>
      <w:r>
        <w:rPr>
          <w:color w:val="231F20"/>
          <w:spacing w:val="-34"/>
          <w:w w:val="105"/>
        </w:rPr>
        <w:t> </w:t>
      </w:r>
      <w:r>
        <w:rPr>
          <w:color w:val="231F20"/>
          <w:w w:val="105"/>
        </w:rPr>
        <w:t>disgreganti,</w:t>
      </w:r>
      <w:r>
        <w:rPr>
          <w:color w:val="231F20"/>
          <w:spacing w:val="-34"/>
          <w:w w:val="105"/>
        </w:rPr>
        <w:t> </w:t>
      </w:r>
      <w:r>
        <w:rPr>
          <w:color w:val="231F20"/>
          <w:w w:val="105"/>
        </w:rPr>
        <w:t>come</w:t>
      </w:r>
      <w:r>
        <w:rPr>
          <w:color w:val="231F20"/>
          <w:spacing w:val="-34"/>
          <w:w w:val="105"/>
        </w:rPr>
        <w:t> </w:t>
      </w:r>
      <w:r>
        <w:rPr>
          <w:color w:val="231F20"/>
          <w:w w:val="105"/>
        </w:rPr>
        <w:t>pure</w:t>
      </w:r>
      <w:r>
        <w:rPr>
          <w:color w:val="231F20"/>
          <w:spacing w:val="-34"/>
          <w:w w:val="105"/>
        </w:rPr>
        <w:t> </w:t>
      </w:r>
      <w:r>
        <w:rPr>
          <w:color w:val="231F20"/>
          <w:w w:val="105"/>
        </w:rPr>
        <w:t>a</w:t>
      </w:r>
      <w:r>
        <w:rPr>
          <w:color w:val="231F20"/>
          <w:spacing w:val="-34"/>
          <w:w w:val="105"/>
        </w:rPr>
        <w:t> </w:t>
      </w:r>
      <w:r>
        <w:rPr>
          <w:color w:val="231F20"/>
          <w:w w:val="105"/>
        </w:rPr>
        <w:t>indicare una</w:t>
      </w:r>
      <w:r>
        <w:rPr>
          <w:color w:val="231F20"/>
          <w:spacing w:val="-50"/>
          <w:w w:val="105"/>
        </w:rPr>
        <w:t> </w:t>
      </w:r>
      <w:r>
        <w:rPr>
          <w:color w:val="231F20"/>
          <w:spacing w:val="-3"/>
          <w:w w:val="105"/>
        </w:rPr>
        <w:t>patologia</w:t>
      </w:r>
      <w:r>
        <w:rPr>
          <w:color w:val="231F20"/>
          <w:spacing w:val="-50"/>
          <w:w w:val="105"/>
        </w:rPr>
        <w:t> </w:t>
      </w:r>
      <w:r>
        <w:rPr>
          <w:color w:val="231F20"/>
          <w:spacing w:val="-3"/>
          <w:w w:val="105"/>
        </w:rPr>
        <w:t>costitutiva</w:t>
      </w:r>
      <w:r>
        <w:rPr>
          <w:color w:val="231F20"/>
          <w:spacing w:val="-50"/>
          <w:w w:val="105"/>
        </w:rPr>
        <w:t> </w:t>
      </w:r>
      <w:r>
        <w:rPr>
          <w:color w:val="231F20"/>
          <w:spacing w:val="-3"/>
          <w:w w:val="105"/>
        </w:rPr>
        <w:t>—come</w:t>
      </w:r>
      <w:r>
        <w:rPr>
          <w:color w:val="231F20"/>
          <w:spacing w:val="-50"/>
          <w:w w:val="105"/>
        </w:rPr>
        <w:t> </w:t>
      </w:r>
      <w:r>
        <w:rPr>
          <w:color w:val="231F20"/>
          <w:w w:val="105"/>
        </w:rPr>
        <w:t>nel</w:t>
      </w:r>
      <w:r>
        <w:rPr>
          <w:color w:val="231F20"/>
          <w:spacing w:val="-50"/>
          <w:w w:val="105"/>
        </w:rPr>
        <w:t> </w:t>
      </w:r>
      <w:r>
        <w:rPr>
          <w:color w:val="231F20"/>
          <w:spacing w:val="-3"/>
          <w:w w:val="105"/>
        </w:rPr>
        <w:t>caso</w:t>
      </w:r>
      <w:r>
        <w:rPr>
          <w:color w:val="231F20"/>
          <w:spacing w:val="-50"/>
          <w:w w:val="105"/>
        </w:rPr>
        <w:t> </w:t>
      </w:r>
      <w:r>
        <w:rPr>
          <w:color w:val="231F20"/>
          <w:spacing w:val="-3"/>
          <w:w w:val="105"/>
        </w:rPr>
        <w:t>dell’accentramento</w:t>
      </w:r>
      <w:r>
        <w:rPr>
          <w:color w:val="231F20"/>
          <w:spacing w:val="-50"/>
          <w:w w:val="105"/>
        </w:rPr>
        <w:t> </w:t>
      </w:r>
      <w:r>
        <w:rPr>
          <w:color w:val="231F20"/>
          <w:spacing w:val="-3"/>
          <w:w w:val="105"/>
        </w:rPr>
        <w:t>amministrativo </w:t>
      </w:r>
      <w:r>
        <w:rPr>
          <w:color w:val="231F20"/>
          <w:w w:val="105"/>
        </w:rPr>
        <w:t>in Francia— verso la quale devono essere costantemente approntate le adeguate</w:t>
      </w:r>
      <w:r>
        <w:rPr>
          <w:color w:val="231F20"/>
          <w:spacing w:val="-34"/>
          <w:w w:val="105"/>
        </w:rPr>
        <w:t> </w:t>
      </w:r>
      <w:r>
        <w:rPr>
          <w:color w:val="231F20"/>
          <w:w w:val="105"/>
        </w:rPr>
        <w:t>forme</w:t>
      </w:r>
      <w:r>
        <w:rPr>
          <w:color w:val="231F20"/>
          <w:spacing w:val="-34"/>
          <w:w w:val="105"/>
        </w:rPr>
        <w:t> </w:t>
      </w:r>
      <w:r>
        <w:rPr>
          <w:color w:val="231F20"/>
          <w:w w:val="105"/>
        </w:rPr>
        <w:t>di</w:t>
      </w:r>
      <w:r>
        <w:rPr>
          <w:color w:val="231F20"/>
          <w:spacing w:val="-34"/>
          <w:w w:val="105"/>
        </w:rPr>
        <w:t> </w:t>
      </w:r>
      <w:r>
        <w:rPr>
          <w:color w:val="231F20"/>
          <w:w w:val="105"/>
        </w:rPr>
        <w:t>profilassi</w:t>
      </w:r>
      <w:r>
        <w:rPr>
          <w:color w:val="231F20"/>
          <w:spacing w:val="-34"/>
          <w:w w:val="105"/>
        </w:rPr>
        <w:t> </w:t>
      </w:r>
      <w:r>
        <w:rPr>
          <w:color w:val="231F20"/>
          <w:w w:val="105"/>
        </w:rPr>
        <w:t>politica.</w:t>
      </w:r>
    </w:p>
    <w:p>
      <w:pPr>
        <w:pStyle w:val="BodyText"/>
        <w:spacing w:line="247" w:lineRule="auto"/>
        <w:ind w:left="103" w:right="110" w:firstLine="566"/>
        <w:jc w:val="both"/>
      </w:pPr>
      <w:r>
        <w:rPr>
          <w:color w:val="231F20"/>
          <w:spacing w:val="-4"/>
        </w:rPr>
        <w:t>Non </w:t>
      </w:r>
      <w:r>
        <w:rPr>
          <w:color w:val="231F20"/>
          <w:spacing w:val="-5"/>
        </w:rPr>
        <w:t>assumendo </w:t>
      </w:r>
      <w:r>
        <w:rPr>
          <w:color w:val="231F20"/>
          <w:spacing w:val="-3"/>
        </w:rPr>
        <w:t>lo </w:t>
      </w:r>
      <w:r>
        <w:rPr>
          <w:color w:val="231F20"/>
          <w:spacing w:val="-5"/>
        </w:rPr>
        <w:t>sviluppo politico </w:t>
      </w:r>
      <w:r>
        <w:rPr>
          <w:color w:val="231F20"/>
          <w:spacing w:val="-4"/>
        </w:rPr>
        <w:t>come </w:t>
      </w:r>
      <w:r>
        <w:rPr>
          <w:color w:val="231F20"/>
          <w:spacing w:val="-5"/>
        </w:rPr>
        <w:t>paradigmatico </w:t>
      </w:r>
      <w:r>
        <w:rPr>
          <w:color w:val="231F20"/>
          <w:spacing w:val="-4"/>
        </w:rPr>
        <w:t>per </w:t>
      </w:r>
      <w:r>
        <w:rPr>
          <w:color w:val="231F20"/>
          <w:spacing w:val="-3"/>
        </w:rPr>
        <w:t>lo </w:t>
      </w:r>
      <w:r>
        <w:rPr>
          <w:color w:val="231F20"/>
          <w:spacing w:val="-5"/>
        </w:rPr>
        <w:t>sviluppo </w:t>
      </w:r>
      <w:r>
        <w:rPr>
          <w:color w:val="231F20"/>
        </w:rPr>
        <w:t>sociale nel suo complesso, Niklas Luhmann cancella invece la rilevanza </w:t>
      </w:r>
      <w:r>
        <w:rPr>
          <w:color w:val="231F20"/>
          <w:spacing w:val="-3"/>
        </w:rPr>
        <w:t>costitutiva</w:t>
      </w:r>
      <w:r>
        <w:rPr>
          <w:color w:val="231F20"/>
          <w:spacing w:val="-15"/>
        </w:rPr>
        <w:t> </w:t>
      </w:r>
      <w:r>
        <w:rPr>
          <w:color w:val="231F20"/>
        </w:rPr>
        <w:t>del</w:t>
      </w:r>
      <w:r>
        <w:rPr>
          <w:color w:val="231F20"/>
          <w:spacing w:val="-15"/>
        </w:rPr>
        <w:t> </w:t>
      </w:r>
      <w:r>
        <w:rPr>
          <w:color w:val="231F20"/>
          <w:spacing w:val="-3"/>
        </w:rPr>
        <w:t>punto</w:t>
      </w:r>
      <w:r>
        <w:rPr>
          <w:color w:val="231F20"/>
          <w:spacing w:val="-15"/>
        </w:rPr>
        <w:t> </w:t>
      </w:r>
      <w:r>
        <w:rPr>
          <w:color w:val="231F20"/>
        </w:rPr>
        <w:t>di</w:t>
      </w:r>
      <w:r>
        <w:rPr>
          <w:color w:val="231F20"/>
          <w:spacing w:val="-15"/>
        </w:rPr>
        <w:t> </w:t>
      </w:r>
      <w:r>
        <w:rPr>
          <w:color w:val="231F20"/>
          <w:spacing w:val="-3"/>
        </w:rPr>
        <w:t>partenza,</w:t>
      </w:r>
      <w:r>
        <w:rPr>
          <w:color w:val="231F20"/>
          <w:spacing w:val="-15"/>
        </w:rPr>
        <w:t> </w:t>
      </w:r>
      <w:r>
        <w:rPr>
          <w:color w:val="231F20"/>
          <w:spacing w:val="-3"/>
        </w:rPr>
        <w:t>grazie</w:t>
      </w:r>
      <w:r>
        <w:rPr>
          <w:color w:val="231F20"/>
          <w:spacing w:val="-15"/>
        </w:rPr>
        <w:t> </w:t>
      </w:r>
      <w:r>
        <w:rPr>
          <w:color w:val="231F20"/>
        </w:rPr>
        <w:t>a</w:t>
      </w:r>
      <w:r>
        <w:rPr>
          <w:color w:val="231F20"/>
          <w:spacing w:val="-15"/>
        </w:rPr>
        <w:t> </w:t>
      </w:r>
      <w:r>
        <w:rPr>
          <w:color w:val="231F20"/>
        </w:rPr>
        <w:t>un</w:t>
      </w:r>
      <w:r>
        <w:rPr>
          <w:color w:val="231F20"/>
          <w:spacing w:val="-15"/>
        </w:rPr>
        <w:t> </w:t>
      </w:r>
      <w:r>
        <w:rPr>
          <w:color w:val="231F20"/>
          <w:spacing w:val="-3"/>
        </w:rPr>
        <w:t>concetto</w:t>
      </w:r>
      <w:r>
        <w:rPr>
          <w:color w:val="231F20"/>
          <w:spacing w:val="-15"/>
        </w:rPr>
        <w:t> </w:t>
      </w:r>
      <w:r>
        <w:rPr>
          <w:color w:val="231F20"/>
        </w:rPr>
        <w:t>di</w:t>
      </w:r>
      <w:r>
        <w:rPr>
          <w:color w:val="231F20"/>
          <w:spacing w:val="-15"/>
        </w:rPr>
        <w:t> </w:t>
      </w:r>
      <w:r>
        <w:rPr>
          <w:color w:val="231F20"/>
          <w:spacing w:val="-3"/>
        </w:rPr>
        <w:t>evoluzione</w:t>
      </w:r>
      <w:r>
        <w:rPr>
          <w:color w:val="231F20"/>
          <w:spacing w:val="-15"/>
        </w:rPr>
        <w:t> </w:t>
      </w:r>
      <w:r>
        <w:rPr>
          <w:color w:val="231F20"/>
        </w:rPr>
        <w:t>nel</w:t>
      </w:r>
      <w:r>
        <w:rPr>
          <w:color w:val="231F20"/>
          <w:spacing w:val="-15"/>
        </w:rPr>
        <w:t> </w:t>
      </w:r>
      <w:r>
        <w:rPr>
          <w:color w:val="231F20"/>
          <w:spacing w:val="-3"/>
        </w:rPr>
        <w:t>quale </w:t>
      </w:r>
      <w:r>
        <w:rPr>
          <w:color w:val="231F20"/>
        </w:rPr>
        <w:t>è la forma attuale —l’evoluto— a rideterminare anche le caratteristiche del </w:t>
      </w:r>
      <w:r>
        <w:rPr>
          <w:color w:val="231F20"/>
          <w:spacing w:val="-4"/>
        </w:rPr>
        <w:t>processo</w:t>
      </w:r>
      <w:r>
        <w:rPr>
          <w:color w:val="231F20"/>
          <w:spacing w:val="-9"/>
        </w:rPr>
        <w:t> </w:t>
      </w:r>
      <w:r>
        <w:rPr>
          <w:color w:val="231F20"/>
          <w:spacing w:val="-3"/>
        </w:rPr>
        <w:t>storico</w:t>
      </w:r>
      <w:r>
        <w:rPr>
          <w:color w:val="231F20"/>
          <w:spacing w:val="-3"/>
          <w:position w:val="7"/>
          <w:sz w:val="12"/>
        </w:rPr>
        <w:t>52</w:t>
      </w:r>
      <w:r>
        <w:rPr>
          <w:color w:val="231F20"/>
          <w:spacing w:val="-3"/>
        </w:rPr>
        <w:t>.</w:t>
      </w:r>
      <w:r>
        <w:rPr>
          <w:color w:val="231F20"/>
          <w:spacing w:val="-9"/>
        </w:rPr>
        <w:t> </w:t>
      </w:r>
      <w:r>
        <w:rPr>
          <w:color w:val="231F20"/>
        </w:rPr>
        <w:t>La</w:t>
      </w:r>
      <w:r>
        <w:rPr>
          <w:color w:val="231F20"/>
          <w:spacing w:val="-9"/>
        </w:rPr>
        <w:t> </w:t>
      </w:r>
      <w:r>
        <w:rPr>
          <w:color w:val="231F20"/>
          <w:spacing w:val="-4"/>
        </w:rPr>
        <w:t>realtà</w:t>
      </w:r>
      <w:r>
        <w:rPr>
          <w:color w:val="231F20"/>
          <w:spacing w:val="-9"/>
        </w:rPr>
        <w:t> </w:t>
      </w:r>
      <w:r>
        <w:rPr>
          <w:color w:val="231F20"/>
          <w:spacing w:val="-3"/>
        </w:rPr>
        <w:t>storica</w:t>
      </w:r>
      <w:r>
        <w:rPr>
          <w:color w:val="231F20"/>
          <w:spacing w:val="-9"/>
        </w:rPr>
        <w:t> </w:t>
      </w:r>
      <w:r>
        <w:rPr>
          <w:color w:val="231F20"/>
          <w:spacing w:val="-3"/>
        </w:rPr>
        <w:t>degli</w:t>
      </w:r>
      <w:r>
        <w:rPr>
          <w:color w:val="231F20"/>
          <w:spacing w:val="-9"/>
        </w:rPr>
        <w:t> </w:t>
      </w:r>
      <w:r>
        <w:rPr>
          <w:color w:val="231F20"/>
          <w:spacing w:val="-3"/>
        </w:rPr>
        <w:t>Stati</w:t>
      </w:r>
      <w:r>
        <w:rPr>
          <w:color w:val="231F20"/>
          <w:spacing w:val="-9"/>
        </w:rPr>
        <w:t> </w:t>
      </w:r>
      <w:r>
        <w:rPr>
          <w:color w:val="231F20"/>
          <w:spacing w:val="-3"/>
        </w:rPr>
        <w:t>contemporanei</w:t>
      </w:r>
      <w:r>
        <w:rPr>
          <w:color w:val="231F20"/>
          <w:spacing w:val="-9"/>
        </w:rPr>
        <w:t> </w:t>
      </w:r>
      <w:r>
        <w:rPr>
          <w:color w:val="231F20"/>
          <w:spacing w:val="-3"/>
        </w:rPr>
        <w:t>pone</w:t>
      </w:r>
      <w:r>
        <w:rPr>
          <w:color w:val="231F20"/>
          <w:spacing w:val="-9"/>
        </w:rPr>
        <w:t> </w:t>
      </w:r>
      <w:r>
        <w:rPr>
          <w:color w:val="231F20"/>
        </w:rPr>
        <w:t>non</w:t>
      </w:r>
      <w:r>
        <w:rPr>
          <w:color w:val="231F20"/>
          <w:spacing w:val="-9"/>
        </w:rPr>
        <w:t> </w:t>
      </w:r>
      <w:r>
        <w:rPr>
          <w:color w:val="231F20"/>
          <w:spacing w:val="-3"/>
        </w:rPr>
        <w:t>pochi </w:t>
      </w:r>
      <w:r>
        <w:rPr>
          <w:color w:val="231F20"/>
        </w:rPr>
        <w:t>problemi a una simile sistematizzazione, non solo per l’eterogeneità delle </w:t>
      </w:r>
      <w:r>
        <w:rPr>
          <w:color w:val="231F20"/>
          <w:spacing w:val="-3"/>
        </w:rPr>
        <w:t>forme</w:t>
      </w:r>
      <w:r>
        <w:rPr>
          <w:color w:val="231F20"/>
          <w:spacing w:val="-13"/>
        </w:rPr>
        <w:t> </w:t>
      </w:r>
      <w:r>
        <w:rPr>
          <w:color w:val="231F20"/>
          <w:spacing w:val="-3"/>
        </w:rPr>
        <w:t>elementari,</w:t>
      </w:r>
      <w:r>
        <w:rPr>
          <w:color w:val="231F20"/>
          <w:spacing w:val="-13"/>
        </w:rPr>
        <w:t> </w:t>
      </w:r>
      <w:r>
        <w:rPr>
          <w:color w:val="231F20"/>
        </w:rPr>
        <w:t>ma</w:t>
      </w:r>
      <w:r>
        <w:rPr>
          <w:color w:val="231F20"/>
          <w:spacing w:val="-13"/>
        </w:rPr>
        <w:t> </w:t>
      </w:r>
      <w:r>
        <w:rPr>
          <w:color w:val="231F20"/>
          <w:spacing w:val="-3"/>
        </w:rPr>
        <w:t>perché</w:t>
      </w:r>
      <w:r>
        <w:rPr>
          <w:color w:val="231F20"/>
          <w:spacing w:val="-13"/>
        </w:rPr>
        <w:t> </w:t>
      </w:r>
      <w:r>
        <w:rPr>
          <w:color w:val="231F20"/>
          <w:spacing w:val="-3"/>
        </w:rPr>
        <w:t>esse</w:t>
      </w:r>
      <w:r>
        <w:rPr>
          <w:color w:val="231F20"/>
          <w:spacing w:val="-13"/>
        </w:rPr>
        <w:t> </w:t>
      </w:r>
      <w:r>
        <w:rPr>
          <w:color w:val="231F20"/>
        </w:rPr>
        <w:t>in</w:t>
      </w:r>
      <w:r>
        <w:rPr>
          <w:color w:val="231F20"/>
          <w:spacing w:val="-13"/>
        </w:rPr>
        <w:t> </w:t>
      </w:r>
      <w:r>
        <w:rPr>
          <w:color w:val="231F20"/>
          <w:spacing w:val="-3"/>
        </w:rPr>
        <w:t>realtà</w:t>
      </w:r>
      <w:r>
        <w:rPr>
          <w:color w:val="231F20"/>
          <w:spacing w:val="-13"/>
        </w:rPr>
        <w:t> </w:t>
      </w:r>
      <w:r>
        <w:rPr>
          <w:color w:val="231F20"/>
          <w:spacing w:val="-3"/>
        </w:rPr>
        <w:t>presuppongono</w:t>
      </w:r>
      <w:r>
        <w:rPr>
          <w:color w:val="231F20"/>
          <w:spacing w:val="-13"/>
        </w:rPr>
        <w:t> </w:t>
      </w:r>
      <w:r>
        <w:rPr>
          <w:color w:val="231F20"/>
        </w:rPr>
        <w:t>il</w:t>
      </w:r>
      <w:r>
        <w:rPr>
          <w:color w:val="231F20"/>
          <w:spacing w:val="-13"/>
        </w:rPr>
        <w:t> </w:t>
      </w:r>
      <w:r>
        <w:rPr>
          <w:color w:val="231F20"/>
          <w:spacing w:val="-3"/>
        </w:rPr>
        <w:t>quadro</w:t>
      </w:r>
      <w:r>
        <w:rPr>
          <w:color w:val="231F20"/>
          <w:spacing w:val="-13"/>
        </w:rPr>
        <w:t> </w:t>
      </w:r>
      <w:r>
        <w:rPr>
          <w:color w:val="231F20"/>
          <w:spacing w:val="-3"/>
        </w:rPr>
        <w:t>unitario </w:t>
      </w:r>
      <w:r>
        <w:rPr>
          <w:color w:val="231F20"/>
        </w:rPr>
        <w:t>nel quale poi sono inserite. La storia dello Stato moderno si è dipanata su di una doppia scena: quella della teoria che afferma la piena e assoluta sovranità di ogni Stato fin dalla sua fondazione stessa e quella reale che </w:t>
      </w:r>
      <w:r>
        <w:rPr>
          <w:color w:val="231F20"/>
          <w:spacing w:val="-3"/>
        </w:rPr>
        <w:t>raggiunge </w:t>
      </w:r>
      <w:r>
        <w:rPr>
          <w:color w:val="231F20"/>
        </w:rPr>
        <w:t>in </w:t>
      </w:r>
      <w:r>
        <w:rPr>
          <w:color w:val="231F20"/>
          <w:spacing w:val="-3"/>
        </w:rPr>
        <w:t>maniera difficoltosa </w:t>
      </w:r>
      <w:r>
        <w:rPr>
          <w:color w:val="231F20"/>
        </w:rPr>
        <w:t>e </w:t>
      </w:r>
      <w:r>
        <w:rPr>
          <w:color w:val="231F20"/>
          <w:spacing w:val="-3"/>
        </w:rPr>
        <w:t>spesso parziale quella condizione. Queste </w:t>
      </w:r>
      <w:r>
        <w:rPr>
          <w:color w:val="231F20"/>
        </w:rPr>
        <w:t>due storie dello Stato moderno non sono state reciprocamente indifferenti. Senza la narrazione di un patto originario, di un potere costituente, di una rappresentanza e senza la prospettiva dell’uscita da uno stato di natura assolutamente ipotetico, non vi sarebbero stati nemmeno i processi reali di unificazione e costituzionalizzazione dello Stato. Lo Stato globale è però </w:t>
      </w:r>
      <w:r>
        <w:rPr>
          <w:color w:val="231F20"/>
          <w:spacing w:val="-4"/>
        </w:rPr>
        <w:t>costretto</w:t>
      </w:r>
      <w:r>
        <w:rPr>
          <w:color w:val="231F20"/>
          <w:spacing w:val="-14"/>
        </w:rPr>
        <w:t> </w:t>
      </w:r>
      <w:r>
        <w:rPr>
          <w:color w:val="231F20"/>
        </w:rPr>
        <w:t>a</w:t>
      </w:r>
      <w:r>
        <w:rPr>
          <w:color w:val="231F20"/>
          <w:spacing w:val="-14"/>
        </w:rPr>
        <w:t> </w:t>
      </w:r>
      <w:r>
        <w:rPr>
          <w:color w:val="231F20"/>
          <w:spacing w:val="-4"/>
        </w:rPr>
        <w:t>rinunciare</w:t>
      </w:r>
      <w:r>
        <w:rPr>
          <w:color w:val="231F20"/>
          <w:spacing w:val="-14"/>
        </w:rPr>
        <w:t> </w:t>
      </w:r>
      <w:r>
        <w:rPr>
          <w:color w:val="231F20"/>
        </w:rPr>
        <w:t>al</w:t>
      </w:r>
      <w:r>
        <w:rPr>
          <w:color w:val="231F20"/>
          <w:spacing w:val="-14"/>
        </w:rPr>
        <w:t> </w:t>
      </w:r>
      <w:r>
        <w:rPr>
          <w:color w:val="231F20"/>
        </w:rPr>
        <w:t>suo</w:t>
      </w:r>
      <w:r>
        <w:rPr>
          <w:color w:val="231F20"/>
          <w:spacing w:val="-14"/>
        </w:rPr>
        <w:t> </w:t>
      </w:r>
      <w:r>
        <w:rPr>
          <w:color w:val="231F20"/>
          <w:spacing w:val="-4"/>
        </w:rPr>
        <w:t>presupposto</w:t>
      </w:r>
      <w:r>
        <w:rPr>
          <w:color w:val="231F20"/>
          <w:spacing w:val="-14"/>
        </w:rPr>
        <w:t> </w:t>
      </w:r>
      <w:r>
        <w:rPr>
          <w:color w:val="231F20"/>
          <w:spacing w:val="-3"/>
        </w:rPr>
        <w:t>teorico</w:t>
      </w:r>
      <w:r>
        <w:rPr>
          <w:color w:val="231F20"/>
          <w:spacing w:val="-14"/>
        </w:rPr>
        <w:t> </w:t>
      </w:r>
      <w:r>
        <w:rPr>
          <w:color w:val="231F20"/>
          <w:spacing w:val="-3"/>
        </w:rPr>
        <w:t>tanto</w:t>
      </w:r>
      <w:r>
        <w:rPr>
          <w:color w:val="231F20"/>
          <w:spacing w:val="-14"/>
        </w:rPr>
        <w:t> </w:t>
      </w:r>
      <w:r>
        <w:rPr>
          <w:color w:val="231F20"/>
          <w:spacing w:val="-3"/>
        </w:rPr>
        <w:t>dalla</w:t>
      </w:r>
      <w:r>
        <w:rPr>
          <w:color w:val="231F20"/>
          <w:spacing w:val="-14"/>
        </w:rPr>
        <w:t> </w:t>
      </w:r>
      <w:r>
        <w:rPr>
          <w:color w:val="231F20"/>
        </w:rPr>
        <w:t>sua</w:t>
      </w:r>
      <w:r>
        <w:rPr>
          <w:color w:val="231F20"/>
          <w:spacing w:val="-14"/>
        </w:rPr>
        <w:t> </w:t>
      </w:r>
      <w:r>
        <w:rPr>
          <w:color w:val="231F20"/>
          <w:spacing w:val="-4"/>
        </w:rPr>
        <w:t>realtà</w:t>
      </w:r>
      <w:r>
        <w:rPr>
          <w:color w:val="231F20"/>
          <w:spacing w:val="-14"/>
        </w:rPr>
        <w:t> </w:t>
      </w:r>
      <w:r>
        <w:rPr>
          <w:color w:val="231F20"/>
          <w:spacing w:val="-3"/>
        </w:rPr>
        <w:t>quanto </w:t>
      </w:r>
      <w:r>
        <w:rPr>
          <w:color w:val="231F20"/>
        </w:rPr>
        <w:t>dal carattere scarsamente performativo che le narrazioni classiche hanno avuto sulla sua formazione. Nonostante l’attuale situazione frammentata e talvolta indecifrabile della sovranità sembri riprodurre per molti versi</w:t>
      </w:r>
      <w:r>
        <w:rPr>
          <w:color w:val="231F20"/>
          <w:spacing w:val="-40"/>
        </w:rPr>
        <w:t> </w:t>
      </w:r>
      <w:r>
        <w:rPr>
          <w:color w:val="231F20"/>
        </w:rPr>
        <w:t>quella dell’origine</w:t>
      </w:r>
      <w:r>
        <w:rPr>
          <w:color w:val="231F20"/>
          <w:spacing w:val="-15"/>
        </w:rPr>
        <w:t> </w:t>
      </w:r>
      <w:r>
        <w:rPr>
          <w:color w:val="231F20"/>
        </w:rPr>
        <w:t>della</w:t>
      </w:r>
      <w:r>
        <w:rPr>
          <w:color w:val="231F20"/>
          <w:spacing w:val="-15"/>
        </w:rPr>
        <w:t> </w:t>
      </w:r>
      <w:r>
        <w:rPr>
          <w:color w:val="231F20"/>
        </w:rPr>
        <w:t>statualità</w:t>
      </w:r>
      <w:r>
        <w:rPr>
          <w:color w:val="231F20"/>
          <w:spacing w:val="-15"/>
        </w:rPr>
        <w:t> </w:t>
      </w:r>
      <w:r>
        <w:rPr>
          <w:color w:val="231F20"/>
        </w:rPr>
        <w:t>moderna,</w:t>
      </w:r>
      <w:r>
        <w:rPr>
          <w:color w:val="231F20"/>
          <w:spacing w:val="-15"/>
        </w:rPr>
        <w:t> </w:t>
      </w:r>
      <w:r>
        <w:rPr>
          <w:color w:val="231F20"/>
        </w:rPr>
        <w:t>invece</w:t>
      </w:r>
      <w:r>
        <w:rPr>
          <w:color w:val="231F20"/>
          <w:spacing w:val="-15"/>
        </w:rPr>
        <w:t> </w:t>
      </w:r>
      <w:r>
        <w:rPr>
          <w:color w:val="231F20"/>
        </w:rPr>
        <w:t>che</w:t>
      </w:r>
      <w:r>
        <w:rPr>
          <w:color w:val="231F20"/>
          <w:spacing w:val="-15"/>
        </w:rPr>
        <w:t> </w:t>
      </w:r>
      <w:r>
        <w:rPr>
          <w:color w:val="231F20"/>
          <w:spacing w:val="-3"/>
        </w:rPr>
        <w:t>indulgere</w:t>
      </w:r>
      <w:r>
        <w:rPr>
          <w:color w:val="231F20"/>
          <w:spacing w:val="-15"/>
        </w:rPr>
        <w:t> </w:t>
      </w:r>
      <w:r>
        <w:rPr>
          <w:color w:val="231F20"/>
        </w:rPr>
        <w:t>alle</w:t>
      </w:r>
      <w:r>
        <w:rPr>
          <w:color w:val="231F20"/>
          <w:spacing w:val="-15"/>
        </w:rPr>
        <w:t> </w:t>
      </w:r>
      <w:r>
        <w:rPr>
          <w:color w:val="231F20"/>
        </w:rPr>
        <w:t>tentazioni</w:t>
      </w:r>
      <w:r>
        <w:rPr>
          <w:color w:val="231F20"/>
          <w:spacing w:val="-15"/>
        </w:rPr>
        <w:t> </w:t>
      </w:r>
      <w:r>
        <w:rPr>
          <w:color w:val="231F20"/>
          <w:spacing w:val="-2"/>
        </w:rPr>
        <w:t>del </w:t>
      </w:r>
      <w:r>
        <w:rPr>
          <w:color w:val="231F20"/>
        </w:rPr>
        <w:t>demone dell’analogia, è più realistico riconoscere che si è determinata una cesura a causa della quale non si può assumere completamente l’origine dello Stato moderno come decisiva per il concetto di Stato globale. Anche quando</w:t>
      </w:r>
      <w:r>
        <w:rPr>
          <w:color w:val="231F20"/>
          <w:spacing w:val="-19"/>
        </w:rPr>
        <w:t> </w:t>
      </w:r>
      <w:r>
        <w:rPr>
          <w:color w:val="231F20"/>
        </w:rPr>
        <w:t>avviene</w:t>
      </w:r>
      <w:r>
        <w:rPr>
          <w:color w:val="231F20"/>
          <w:spacing w:val="-19"/>
        </w:rPr>
        <w:t> </w:t>
      </w:r>
      <w:r>
        <w:rPr>
          <w:color w:val="231F20"/>
        </w:rPr>
        <w:t>in</w:t>
      </w:r>
      <w:r>
        <w:rPr>
          <w:color w:val="231F20"/>
          <w:spacing w:val="-19"/>
        </w:rPr>
        <w:t> </w:t>
      </w:r>
      <w:r>
        <w:rPr>
          <w:color w:val="231F20"/>
        </w:rPr>
        <w:t>maniera</w:t>
      </w:r>
      <w:r>
        <w:rPr>
          <w:color w:val="231F20"/>
          <w:spacing w:val="-19"/>
        </w:rPr>
        <w:t> </w:t>
      </w:r>
      <w:r>
        <w:rPr>
          <w:color w:val="231F20"/>
        </w:rPr>
        <w:t>silenziosa</w:t>
      </w:r>
      <w:r>
        <w:rPr>
          <w:color w:val="231F20"/>
          <w:spacing w:val="-19"/>
        </w:rPr>
        <w:t> </w:t>
      </w:r>
      <w:r>
        <w:rPr>
          <w:color w:val="231F20"/>
        </w:rPr>
        <w:t>o</w:t>
      </w:r>
      <w:r>
        <w:rPr>
          <w:color w:val="231F20"/>
          <w:spacing w:val="-19"/>
        </w:rPr>
        <w:t> </w:t>
      </w:r>
      <w:r>
        <w:rPr>
          <w:color w:val="231F20"/>
        </w:rPr>
        <w:t>continuando</w:t>
      </w:r>
      <w:r>
        <w:rPr>
          <w:color w:val="231F20"/>
          <w:spacing w:val="-19"/>
        </w:rPr>
        <w:t> </w:t>
      </w:r>
      <w:r>
        <w:rPr>
          <w:color w:val="231F20"/>
        </w:rPr>
        <w:t>a</w:t>
      </w:r>
      <w:r>
        <w:rPr>
          <w:color w:val="231F20"/>
          <w:spacing w:val="-19"/>
        </w:rPr>
        <w:t> </w:t>
      </w:r>
      <w:r>
        <w:rPr>
          <w:color w:val="231F20"/>
          <w:spacing w:val="-3"/>
        </w:rPr>
        <w:t>praticare</w:t>
      </w:r>
      <w:r>
        <w:rPr>
          <w:color w:val="231F20"/>
          <w:spacing w:val="-19"/>
        </w:rPr>
        <w:t> </w:t>
      </w:r>
      <w:r>
        <w:rPr>
          <w:color w:val="231F20"/>
        </w:rPr>
        <w:t>il</w:t>
      </w:r>
      <w:r>
        <w:rPr>
          <w:color w:val="231F20"/>
          <w:spacing w:val="-19"/>
        </w:rPr>
        <w:t> </w:t>
      </w:r>
      <w:r>
        <w:rPr>
          <w:color w:val="231F20"/>
        </w:rPr>
        <w:t>linguaggio della sovranità unica e indivisibile, questa rinuncia fa dello Stato un “attore critico”</w:t>
      </w:r>
      <w:r>
        <w:rPr>
          <w:color w:val="231F20"/>
          <w:position w:val="7"/>
          <w:sz w:val="12"/>
        </w:rPr>
        <w:t>53 </w:t>
      </w:r>
      <w:r>
        <w:rPr>
          <w:color w:val="231F20"/>
        </w:rPr>
        <w:t>sebbene non nello stesso modo in cui certamente lo era nella</w:t>
      </w:r>
      <w:r>
        <w:rPr>
          <w:color w:val="231F20"/>
          <w:spacing w:val="-26"/>
        </w:rPr>
        <w:t> </w:t>
      </w:r>
      <w:r>
        <w:rPr>
          <w:color w:val="231F20"/>
        </w:rPr>
        <w:t>fase della</w:t>
      </w:r>
      <w:r>
        <w:rPr>
          <w:color w:val="231F20"/>
          <w:spacing w:val="-16"/>
        </w:rPr>
        <w:t> </w:t>
      </w:r>
      <w:r>
        <w:rPr>
          <w:color w:val="231F20"/>
        </w:rPr>
        <w:t>sua</w:t>
      </w:r>
      <w:r>
        <w:rPr>
          <w:color w:val="231F20"/>
          <w:spacing w:val="-16"/>
        </w:rPr>
        <w:t> </w:t>
      </w:r>
      <w:r>
        <w:rPr>
          <w:color w:val="231F20"/>
        </w:rPr>
        <w:t>formazione.</w:t>
      </w:r>
      <w:r>
        <w:rPr>
          <w:color w:val="231F20"/>
          <w:spacing w:val="-16"/>
        </w:rPr>
        <w:t> </w:t>
      </w:r>
      <w:r>
        <w:rPr>
          <w:color w:val="231F20"/>
        </w:rPr>
        <w:t>Lo</w:t>
      </w:r>
      <w:r>
        <w:rPr>
          <w:color w:val="231F20"/>
          <w:spacing w:val="-16"/>
        </w:rPr>
        <w:t> </w:t>
      </w:r>
      <w:r>
        <w:rPr>
          <w:color w:val="231F20"/>
        </w:rPr>
        <w:t>Stato</w:t>
      </w:r>
      <w:r>
        <w:rPr>
          <w:color w:val="231F20"/>
          <w:spacing w:val="-16"/>
        </w:rPr>
        <w:t> </w:t>
      </w:r>
      <w:r>
        <w:rPr>
          <w:color w:val="231F20"/>
        </w:rPr>
        <w:t>globale</w:t>
      </w:r>
      <w:r>
        <w:rPr>
          <w:color w:val="231F20"/>
          <w:spacing w:val="-16"/>
        </w:rPr>
        <w:t> </w:t>
      </w:r>
      <w:r>
        <w:rPr>
          <w:color w:val="231F20"/>
        </w:rPr>
        <w:t>è</w:t>
      </w:r>
      <w:r>
        <w:rPr>
          <w:color w:val="231F20"/>
          <w:spacing w:val="-16"/>
        </w:rPr>
        <w:t> </w:t>
      </w:r>
      <w:r>
        <w:rPr>
          <w:color w:val="231F20"/>
        </w:rPr>
        <w:t>un</w:t>
      </w:r>
      <w:r>
        <w:rPr>
          <w:color w:val="231F20"/>
          <w:spacing w:val="-16"/>
        </w:rPr>
        <w:t> </w:t>
      </w:r>
      <w:r>
        <w:rPr>
          <w:color w:val="231F20"/>
          <w:spacing w:val="-3"/>
        </w:rPr>
        <w:t>attore</w:t>
      </w:r>
      <w:r>
        <w:rPr>
          <w:color w:val="231F20"/>
          <w:spacing w:val="-16"/>
        </w:rPr>
        <w:t> </w:t>
      </w:r>
      <w:r>
        <w:rPr>
          <w:color w:val="231F20"/>
        </w:rPr>
        <w:t>critico</w:t>
      </w:r>
      <w:r>
        <w:rPr>
          <w:color w:val="231F20"/>
          <w:spacing w:val="-16"/>
        </w:rPr>
        <w:t> </w:t>
      </w:r>
      <w:r>
        <w:rPr>
          <w:color w:val="231F20"/>
          <w:spacing w:val="-3"/>
        </w:rPr>
        <w:t>perché</w:t>
      </w:r>
      <w:r>
        <w:rPr>
          <w:color w:val="231F20"/>
          <w:spacing w:val="-16"/>
        </w:rPr>
        <w:t> </w:t>
      </w:r>
      <w:r>
        <w:rPr>
          <w:color w:val="231F20"/>
          <w:spacing w:val="-2"/>
        </w:rPr>
        <w:t>contribuisce </w:t>
      </w:r>
      <w:r>
        <w:rPr>
          <w:color w:val="231F20"/>
        </w:rPr>
        <w:t>in</w:t>
      </w:r>
      <w:r>
        <w:rPr>
          <w:color w:val="231F20"/>
          <w:spacing w:val="-17"/>
        </w:rPr>
        <w:t> </w:t>
      </w:r>
      <w:r>
        <w:rPr>
          <w:color w:val="231F20"/>
        </w:rPr>
        <w:t>maniera</w:t>
      </w:r>
      <w:r>
        <w:rPr>
          <w:color w:val="231F20"/>
          <w:spacing w:val="-17"/>
        </w:rPr>
        <w:t> </w:t>
      </w:r>
      <w:r>
        <w:rPr>
          <w:color w:val="231F20"/>
        </w:rPr>
        <w:t>sostanziale</w:t>
      </w:r>
      <w:r>
        <w:rPr>
          <w:color w:val="231F20"/>
          <w:spacing w:val="-17"/>
        </w:rPr>
        <w:t> </w:t>
      </w:r>
      <w:r>
        <w:rPr>
          <w:color w:val="231F20"/>
        </w:rPr>
        <w:t>a</w:t>
      </w:r>
      <w:r>
        <w:rPr>
          <w:color w:val="231F20"/>
          <w:spacing w:val="-17"/>
        </w:rPr>
        <w:t> </w:t>
      </w:r>
      <w:r>
        <w:rPr>
          <w:color w:val="231F20"/>
        </w:rPr>
        <w:t>quella</w:t>
      </w:r>
      <w:r>
        <w:rPr>
          <w:color w:val="231F20"/>
          <w:spacing w:val="-17"/>
        </w:rPr>
        <w:t> </w:t>
      </w:r>
      <w:r>
        <w:rPr>
          <w:color w:val="231F20"/>
        </w:rPr>
        <w:t>privatizzazione</w:t>
      </w:r>
      <w:r>
        <w:rPr>
          <w:color w:val="231F20"/>
          <w:spacing w:val="-17"/>
        </w:rPr>
        <w:t> </w:t>
      </w:r>
      <w:r>
        <w:rPr>
          <w:color w:val="231F20"/>
        </w:rPr>
        <w:t>del</w:t>
      </w:r>
      <w:r>
        <w:rPr>
          <w:color w:val="231F20"/>
          <w:spacing w:val="-17"/>
        </w:rPr>
        <w:t> </w:t>
      </w:r>
      <w:r>
        <w:rPr>
          <w:color w:val="231F20"/>
        </w:rPr>
        <w:t>pubblico</w:t>
      </w:r>
      <w:r>
        <w:rPr>
          <w:color w:val="231F20"/>
          <w:spacing w:val="-17"/>
        </w:rPr>
        <w:t> </w:t>
      </w:r>
      <w:r>
        <w:rPr>
          <w:color w:val="231F20"/>
        </w:rPr>
        <w:t>che</w:t>
      </w:r>
      <w:r>
        <w:rPr>
          <w:color w:val="231F20"/>
          <w:spacing w:val="-17"/>
        </w:rPr>
        <w:t> </w:t>
      </w:r>
      <w:r>
        <w:rPr>
          <w:color w:val="231F20"/>
        </w:rPr>
        <w:t>sta</w:t>
      </w:r>
      <w:r>
        <w:rPr>
          <w:color w:val="231F20"/>
          <w:spacing w:val="-17"/>
        </w:rPr>
        <w:t> </w:t>
      </w:r>
      <w:r>
        <w:rPr>
          <w:color w:val="231F20"/>
        </w:rPr>
        <w:t>alla</w:t>
      </w:r>
      <w:r>
        <w:rPr>
          <w:color w:val="231F20"/>
          <w:spacing w:val="-17"/>
        </w:rPr>
        <w:t> </w:t>
      </w:r>
      <w:r>
        <w:rPr>
          <w:color w:val="231F20"/>
        </w:rPr>
        <w:t>base tanto della sempre maggiore preponderanza degli esecutivi sui legislativi quanto dei processi di </w:t>
      </w:r>
      <w:r>
        <w:rPr>
          <w:rFonts w:ascii="Arial" w:hAnsi="Arial"/>
          <w:i/>
          <w:color w:val="231F20"/>
        </w:rPr>
        <w:t>governance </w:t>
      </w:r>
      <w:r>
        <w:rPr>
          <w:color w:val="231F20"/>
        </w:rPr>
        <w:t>tecnica delle funzioni amministrative interne</w:t>
      </w:r>
      <w:r>
        <w:rPr>
          <w:color w:val="231F20"/>
          <w:spacing w:val="-16"/>
        </w:rPr>
        <w:t> </w:t>
      </w:r>
      <w:r>
        <w:rPr>
          <w:color w:val="231F20"/>
        </w:rPr>
        <w:t>e</w:t>
      </w:r>
      <w:r>
        <w:rPr>
          <w:color w:val="231F20"/>
          <w:spacing w:val="-16"/>
        </w:rPr>
        <w:t> </w:t>
      </w:r>
      <w:r>
        <w:rPr>
          <w:color w:val="231F20"/>
        </w:rPr>
        <w:t>internazionali.</w:t>
      </w:r>
      <w:r>
        <w:rPr>
          <w:color w:val="231F20"/>
          <w:spacing w:val="-16"/>
        </w:rPr>
        <w:t> </w:t>
      </w:r>
      <w:r>
        <w:rPr>
          <w:color w:val="231F20"/>
        </w:rPr>
        <w:t>Si</w:t>
      </w:r>
      <w:r>
        <w:rPr>
          <w:color w:val="231F20"/>
          <w:spacing w:val="-16"/>
        </w:rPr>
        <w:t> </w:t>
      </w:r>
      <w:r>
        <w:rPr>
          <w:color w:val="231F20"/>
        </w:rPr>
        <w:t>tratta</w:t>
      </w:r>
      <w:r>
        <w:rPr>
          <w:color w:val="231F20"/>
          <w:spacing w:val="-16"/>
        </w:rPr>
        <w:t> </w:t>
      </w:r>
      <w:r>
        <w:rPr>
          <w:color w:val="231F20"/>
        </w:rPr>
        <w:t>inoltre</w:t>
      </w:r>
      <w:r>
        <w:rPr>
          <w:color w:val="231F20"/>
          <w:spacing w:val="-16"/>
        </w:rPr>
        <w:t> </w:t>
      </w:r>
      <w:r>
        <w:rPr>
          <w:color w:val="231F20"/>
        </w:rPr>
        <w:t>di</w:t>
      </w:r>
      <w:r>
        <w:rPr>
          <w:color w:val="231F20"/>
          <w:spacing w:val="-16"/>
        </w:rPr>
        <w:t> </w:t>
      </w:r>
      <w:r>
        <w:rPr>
          <w:color w:val="231F20"/>
        </w:rPr>
        <w:t>un</w:t>
      </w:r>
      <w:r>
        <w:rPr>
          <w:color w:val="231F20"/>
          <w:spacing w:val="-16"/>
        </w:rPr>
        <w:t> </w:t>
      </w:r>
      <w:r>
        <w:rPr>
          <w:color w:val="231F20"/>
        </w:rPr>
        <w:t>processo</w:t>
      </w:r>
      <w:r>
        <w:rPr>
          <w:color w:val="231F20"/>
          <w:spacing w:val="-16"/>
        </w:rPr>
        <w:t> </w:t>
      </w:r>
      <w:r>
        <w:rPr>
          <w:color w:val="231F20"/>
        </w:rPr>
        <w:t>di</w:t>
      </w:r>
      <w:r>
        <w:rPr>
          <w:color w:val="231F20"/>
          <w:spacing w:val="-16"/>
        </w:rPr>
        <w:t> </w:t>
      </w:r>
      <w:r>
        <w:rPr>
          <w:color w:val="231F20"/>
        </w:rPr>
        <w:t>lungo</w:t>
      </w:r>
      <w:r>
        <w:rPr>
          <w:color w:val="231F20"/>
          <w:spacing w:val="-16"/>
        </w:rPr>
        <w:t> </w:t>
      </w:r>
      <w:r>
        <w:rPr>
          <w:color w:val="231F20"/>
        </w:rPr>
        <w:t>periodo,</w:t>
      </w:r>
      <w:r>
        <w:rPr>
          <w:color w:val="231F20"/>
          <w:spacing w:val="-16"/>
        </w:rPr>
        <w:t> </w:t>
      </w:r>
      <w:r>
        <w:rPr>
          <w:color w:val="231F20"/>
        </w:rPr>
        <w:t>che non si svolge lungo le linee proposte dalle ideologie neoliberiste, </w:t>
      </w:r>
      <w:r>
        <w:rPr>
          <w:color w:val="231F20"/>
          <w:spacing w:val="36"/>
        </w:rPr>
        <w:t> </w:t>
      </w:r>
      <w:r>
        <w:rPr>
          <w:color w:val="231F20"/>
        </w:rPr>
        <w:t>sebbene</w:t>
      </w:r>
    </w:p>
    <w:p>
      <w:pPr>
        <w:pStyle w:val="BodyText"/>
        <w:spacing w:before="6"/>
      </w:pPr>
      <w:r>
        <w:rPr/>
        <w:pict>
          <v:line style="position:absolute;mso-position-horizontal-relative:page;mso-position-vertical-relative:paragraph;z-index:10552;mso-wrap-distance-left:0;mso-wrap-distance-right:0" from="65.1968pt,15.106985pt" to="178.5828pt,15.106985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position w:val="6"/>
          <w:sz w:val="10"/>
        </w:rPr>
        <w:t>52  </w:t>
      </w:r>
      <w:r>
        <w:rPr>
          <w:rFonts w:ascii="Calibri" w:hAnsi="Calibri"/>
          <w:color w:val="231F20"/>
          <w:sz w:val="17"/>
        </w:rPr>
        <w:t>N. Luhmann, </w:t>
      </w:r>
      <w:r>
        <w:rPr>
          <w:rFonts w:ascii="Calibri" w:hAnsi="Calibri"/>
          <w:i/>
          <w:color w:val="231F20"/>
          <w:sz w:val="17"/>
        </w:rPr>
        <w:t>Die Politik der Gesellschaft</w:t>
      </w:r>
      <w:r>
        <w:rPr>
          <w:rFonts w:ascii="Calibri" w:hAnsi="Calibri"/>
          <w:color w:val="231F20"/>
          <w:sz w:val="17"/>
        </w:rPr>
        <w:t>, Frankfurt am Main, Suhrkamp, 2002, pp.  407–434.</w:t>
      </w:r>
    </w:p>
    <w:p>
      <w:pPr>
        <w:spacing w:line="204" w:lineRule="exact" w:before="0"/>
        <w:ind w:left="103" w:right="0" w:firstLine="0"/>
        <w:jc w:val="left"/>
        <w:rPr>
          <w:rFonts w:ascii="Calibri"/>
          <w:sz w:val="17"/>
        </w:rPr>
      </w:pPr>
      <w:r>
        <w:rPr>
          <w:rFonts w:ascii="Calibri"/>
          <w:color w:val="231F20"/>
          <w:position w:val="6"/>
          <w:sz w:val="10"/>
        </w:rPr>
        <w:t>53  </w:t>
      </w:r>
      <w:r>
        <w:rPr>
          <w:rFonts w:ascii="Calibri"/>
          <w:color w:val="231F20"/>
          <w:sz w:val="17"/>
        </w:rPr>
        <w:t>S. Sassen, </w:t>
      </w:r>
      <w:r>
        <w:rPr>
          <w:rFonts w:ascii="Calibri"/>
          <w:i/>
          <w:color w:val="231F20"/>
          <w:sz w:val="17"/>
        </w:rPr>
        <w:t>Territory, Authority, Rights. From Medieval to Global Assemblages</w:t>
      </w:r>
      <w:r>
        <w:rPr>
          <w:rFonts w:ascii="Calibri"/>
          <w:color w:val="231F20"/>
          <w:sz w:val="17"/>
        </w:rPr>
        <w:t>, Princeton/Oxford,</w:t>
      </w:r>
    </w:p>
    <w:p>
      <w:pPr>
        <w:spacing w:line="206" w:lineRule="exact" w:before="0"/>
        <w:ind w:left="103" w:right="0" w:firstLine="0"/>
        <w:jc w:val="left"/>
        <w:rPr>
          <w:rFonts w:ascii="Calibri" w:hAnsi="Calibri"/>
          <w:sz w:val="17"/>
        </w:rPr>
      </w:pPr>
      <w:r>
        <w:rPr>
          <w:rFonts w:ascii="Calibri" w:hAnsi="Calibri"/>
          <w:color w:val="231F20"/>
          <w:sz w:val="17"/>
        </w:rPr>
        <w:t>Princeton University Press, 2006, pp. 76–82.</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sz w:val="16"/>
        </w:rPr>
      </w:pPr>
      <w:r>
        <w:rPr/>
        <w:pict>
          <v:group style="position:absolute;margin-left:98.079102pt;margin-top:-3.358812pt;width:20.4pt;height:43pt;mso-position-horizontal-relative:page;mso-position-vertical-relative:paragraph;z-index:-164824"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50</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900"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477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28"/>
          <w:sz w:val="14"/>
        </w:rPr>
        <w:t> </w:t>
      </w:r>
      <w:r>
        <w:rPr>
          <w:rFonts w:ascii="Lucida Sans Unicode" w:hAnsi="Lucida Sans Unicode"/>
          <w:color w:val="6D6E71"/>
          <w:spacing w:val="-4"/>
          <w:sz w:val="14"/>
        </w:rPr>
        <w:t>STATO</w:t>
      </w:r>
      <w:r>
        <w:rPr>
          <w:rFonts w:ascii="Lucida Sans Unicode" w:hAnsi="Lucida Sans Unicode"/>
          <w:color w:val="6D6E71"/>
          <w:spacing w:val="-28"/>
          <w:sz w:val="14"/>
        </w:rPr>
        <w:t> </w:t>
      </w:r>
      <w:r>
        <w:rPr>
          <w:rFonts w:ascii="Lucida Sans Unicode" w:hAnsi="Lucida Sans Unicode"/>
          <w:color w:val="6D6E71"/>
          <w:sz w:val="14"/>
        </w:rPr>
        <w:t>GLOBALE</w:t>
      </w:r>
      <w:r>
        <w:rPr>
          <w:rFonts w:ascii="Lucida Sans Unicode" w:hAnsi="Lucida Sans Unicode"/>
          <w:color w:val="6D6E71"/>
          <w:spacing w:val="-28"/>
          <w:sz w:val="14"/>
        </w:rPr>
        <w:t> </w:t>
      </w:r>
      <w:r>
        <w:rPr>
          <w:rFonts w:ascii="Lucida Sans Unicode" w:hAnsi="Lucida Sans Unicode"/>
          <w:color w:val="6D6E71"/>
          <w:sz w:val="14"/>
        </w:rPr>
        <w:t>E</w:t>
      </w:r>
      <w:r>
        <w:rPr>
          <w:rFonts w:ascii="Lucida Sans Unicode" w:hAnsi="Lucida Sans Unicode"/>
          <w:color w:val="6D6E71"/>
          <w:spacing w:val="-28"/>
          <w:sz w:val="14"/>
        </w:rPr>
        <w:t> </w:t>
      </w:r>
      <w:r>
        <w:rPr>
          <w:rFonts w:ascii="Lucida Sans Unicode" w:hAnsi="Lucida Sans Unicode"/>
          <w:color w:val="6D6E71"/>
          <w:sz w:val="14"/>
        </w:rPr>
        <w:t>L’EVOLUZIONE</w:t>
      </w:r>
      <w:r>
        <w:rPr>
          <w:rFonts w:ascii="Lucida Sans Unicode" w:hAnsi="Lucida Sans Unicode"/>
          <w:color w:val="6D6E71"/>
          <w:spacing w:val="-28"/>
          <w:sz w:val="14"/>
        </w:rPr>
        <w:t> </w:t>
      </w:r>
      <w:r>
        <w:rPr>
          <w:rFonts w:ascii="Lucida Sans Unicode" w:hAnsi="Lucida Sans Unicode"/>
          <w:color w:val="6D6E71"/>
          <w:sz w:val="14"/>
        </w:rPr>
        <w:t>DELLA</w:t>
      </w:r>
      <w:r>
        <w:rPr>
          <w:rFonts w:ascii="Lucida Sans Unicode" w:hAnsi="Lucida Sans Unicode"/>
          <w:color w:val="6D6E71"/>
          <w:spacing w:val="-28"/>
          <w:sz w:val="14"/>
        </w:rPr>
        <w:t> </w:t>
      </w:r>
      <w:r>
        <w:rPr>
          <w:rFonts w:ascii="Lucida Sans Unicode" w:hAnsi="Lucida Sans Unicode"/>
          <w:color w:val="6D6E71"/>
          <w:sz w:val="14"/>
        </w:rPr>
        <w:t>SOVRANITÀ</w:t>
      </w:r>
      <w:r>
        <w:rPr>
          <w:rFonts w:ascii="Trebuchet MS" w:hAnsi="Trebuchet MS"/>
          <w:color w:val="414042"/>
          <w:position w:val="-3"/>
          <w:sz w:val="20"/>
        </w:rPr>
        <w:tab/>
        <w:t>51</w:t>
      </w:r>
    </w:p>
    <w:p>
      <w:pPr>
        <w:pStyle w:val="BodyText"/>
        <w:rPr>
          <w:rFonts w:ascii="Trebuchet MS"/>
          <w:sz w:val="20"/>
        </w:rPr>
      </w:pPr>
    </w:p>
    <w:p>
      <w:pPr>
        <w:pStyle w:val="BodyText"/>
        <w:rPr>
          <w:rFonts w:ascii="Trebuchet MS"/>
          <w:sz w:val="20"/>
        </w:rPr>
      </w:pPr>
    </w:p>
    <w:p>
      <w:pPr>
        <w:pStyle w:val="BodyText"/>
        <w:spacing w:line="244" w:lineRule="auto" w:before="156"/>
        <w:ind w:left="117" w:right="118"/>
        <w:jc w:val="both"/>
      </w:pPr>
      <w:r>
        <w:rPr>
          <w:color w:val="231F20"/>
        </w:rPr>
        <w:t>esse</w:t>
      </w:r>
      <w:r>
        <w:rPr>
          <w:color w:val="231F20"/>
          <w:spacing w:val="-8"/>
        </w:rPr>
        <w:t> </w:t>
      </w:r>
      <w:r>
        <w:rPr>
          <w:color w:val="231F20"/>
        </w:rPr>
        <w:t>immaginino</w:t>
      </w:r>
      <w:r>
        <w:rPr>
          <w:color w:val="231F20"/>
          <w:spacing w:val="-8"/>
        </w:rPr>
        <w:t> </w:t>
      </w:r>
      <w:r>
        <w:rPr>
          <w:color w:val="231F20"/>
        </w:rPr>
        <w:t>un</w:t>
      </w:r>
      <w:r>
        <w:rPr>
          <w:color w:val="231F20"/>
          <w:spacing w:val="-8"/>
        </w:rPr>
        <w:t> </w:t>
      </w:r>
      <w:r>
        <w:rPr>
          <w:color w:val="231F20"/>
        </w:rPr>
        <w:t>centro</w:t>
      </w:r>
      <w:r>
        <w:rPr>
          <w:color w:val="231F20"/>
          <w:spacing w:val="-8"/>
        </w:rPr>
        <w:t> </w:t>
      </w:r>
      <w:r>
        <w:rPr>
          <w:color w:val="231F20"/>
        </w:rPr>
        <w:t>di</w:t>
      </w:r>
      <w:r>
        <w:rPr>
          <w:color w:val="231F20"/>
          <w:spacing w:val="-8"/>
        </w:rPr>
        <w:t> </w:t>
      </w:r>
      <w:r>
        <w:rPr>
          <w:color w:val="231F20"/>
        </w:rPr>
        <w:t>autorità</w:t>
      </w:r>
      <w:r>
        <w:rPr>
          <w:color w:val="231F20"/>
          <w:spacing w:val="-8"/>
        </w:rPr>
        <w:t> </w:t>
      </w:r>
      <w:r>
        <w:rPr>
          <w:color w:val="231F20"/>
        </w:rPr>
        <w:t>statale</w:t>
      </w:r>
      <w:r>
        <w:rPr>
          <w:color w:val="231F20"/>
          <w:spacing w:val="-8"/>
        </w:rPr>
        <w:t> </w:t>
      </w:r>
      <w:r>
        <w:rPr>
          <w:color w:val="231F20"/>
        </w:rPr>
        <w:t>che</w:t>
      </w:r>
      <w:r>
        <w:rPr>
          <w:color w:val="231F20"/>
          <w:spacing w:val="-8"/>
        </w:rPr>
        <w:t> </w:t>
      </w:r>
      <w:r>
        <w:rPr>
          <w:color w:val="231F20"/>
        </w:rPr>
        <w:t>garantisca</w:t>
      </w:r>
      <w:r>
        <w:rPr>
          <w:color w:val="231F20"/>
          <w:spacing w:val="-8"/>
        </w:rPr>
        <w:t> </w:t>
      </w:r>
      <w:r>
        <w:rPr>
          <w:color w:val="231F20"/>
        </w:rPr>
        <w:t>su</w:t>
      </w:r>
      <w:r>
        <w:rPr>
          <w:color w:val="231F20"/>
          <w:spacing w:val="-8"/>
        </w:rPr>
        <w:t> </w:t>
      </w:r>
      <w:r>
        <w:rPr>
          <w:color w:val="231F20"/>
        </w:rPr>
        <w:t>scala</w:t>
      </w:r>
      <w:r>
        <w:rPr>
          <w:color w:val="231F20"/>
          <w:spacing w:val="-8"/>
        </w:rPr>
        <w:t> </w:t>
      </w:r>
      <w:r>
        <w:rPr>
          <w:color w:val="231F20"/>
        </w:rPr>
        <w:t>locale la validità dei contratti e imponga il </w:t>
      </w:r>
      <w:r>
        <w:rPr>
          <w:rFonts w:ascii="Arial" w:hAnsi="Arial"/>
          <w:i/>
          <w:color w:val="231F20"/>
        </w:rPr>
        <w:t>rule of law </w:t>
      </w:r>
      <w:r>
        <w:rPr>
          <w:color w:val="231F20"/>
        </w:rPr>
        <w:t>nel rispetto delle gerarchie sociali,</w:t>
      </w:r>
      <w:r>
        <w:rPr>
          <w:color w:val="231F20"/>
          <w:spacing w:val="-6"/>
        </w:rPr>
        <w:t> </w:t>
      </w:r>
      <w:r>
        <w:rPr>
          <w:color w:val="231F20"/>
        </w:rPr>
        <w:t>mentre</w:t>
      </w:r>
      <w:r>
        <w:rPr>
          <w:color w:val="231F20"/>
          <w:spacing w:val="-6"/>
        </w:rPr>
        <w:t> </w:t>
      </w:r>
      <w:r>
        <w:rPr>
          <w:color w:val="231F20"/>
        </w:rPr>
        <w:t>allo</w:t>
      </w:r>
      <w:r>
        <w:rPr>
          <w:color w:val="231F20"/>
          <w:spacing w:val="-6"/>
        </w:rPr>
        <w:t> </w:t>
      </w:r>
      <w:r>
        <w:rPr>
          <w:color w:val="231F20"/>
        </w:rPr>
        <w:t>stesso</w:t>
      </w:r>
      <w:r>
        <w:rPr>
          <w:color w:val="231F20"/>
          <w:spacing w:val="-6"/>
        </w:rPr>
        <w:t> </w:t>
      </w:r>
      <w:r>
        <w:rPr>
          <w:color w:val="231F20"/>
        </w:rPr>
        <w:t>tempo</w:t>
      </w:r>
      <w:r>
        <w:rPr>
          <w:color w:val="231F20"/>
          <w:spacing w:val="-6"/>
        </w:rPr>
        <w:t> </w:t>
      </w:r>
      <w:r>
        <w:rPr>
          <w:color w:val="231F20"/>
        </w:rPr>
        <w:t>questa</w:t>
      </w:r>
      <w:r>
        <w:rPr>
          <w:color w:val="231F20"/>
          <w:spacing w:val="-6"/>
        </w:rPr>
        <w:t> </w:t>
      </w:r>
      <w:r>
        <w:rPr>
          <w:color w:val="231F20"/>
        </w:rPr>
        <w:t>autorità</w:t>
      </w:r>
      <w:r>
        <w:rPr>
          <w:color w:val="231F20"/>
          <w:spacing w:val="-6"/>
        </w:rPr>
        <w:t> </w:t>
      </w:r>
      <w:r>
        <w:rPr>
          <w:color w:val="231F20"/>
        </w:rPr>
        <w:t>è</w:t>
      </w:r>
      <w:r>
        <w:rPr>
          <w:color w:val="231F20"/>
          <w:spacing w:val="-6"/>
        </w:rPr>
        <w:t> </w:t>
      </w:r>
      <w:r>
        <w:rPr>
          <w:color w:val="231F20"/>
        </w:rPr>
        <w:t>sfidata</w:t>
      </w:r>
      <w:r>
        <w:rPr>
          <w:color w:val="231F20"/>
          <w:spacing w:val="-6"/>
        </w:rPr>
        <w:t> </w:t>
      </w:r>
      <w:r>
        <w:rPr>
          <w:color w:val="231F20"/>
        </w:rPr>
        <w:t>e</w:t>
      </w:r>
      <w:r>
        <w:rPr>
          <w:color w:val="231F20"/>
          <w:spacing w:val="-6"/>
        </w:rPr>
        <w:t> </w:t>
      </w:r>
      <w:r>
        <w:rPr>
          <w:color w:val="231F20"/>
        </w:rPr>
        <w:t>costantemente messa in mora dall’autorità di leggi di mercato che non agiscono su scala locale e non si conformano a criteri giuridici</w:t>
      </w:r>
      <w:r>
        <w:rPr>
          <w:color w:val="231F20"/>
          <w:position w:val="7"/>
          <w:sz w:val="12"/>
        </w:rPr>
        <w:t>54</w:t>
      </w:r>
      <w:r>
        <w:rPr>
          <w:color w:val="231F20"/>
        </w:rPr>
        <w:t>. Il concetto di Stato globale dà conto del fatto che la </w:t>
      </w:r>
      <w:r>
        <w:rPr>
          <w:rFonts w:ascii="Arial" w:hAnsi="Arial"/>
          <w:i/>
          <w:color w:val="231F20"/>
        </w:rPr>
        <w:t>governance </w:t>
      </w:r>
      <w:r>
        <w:rPr>
          <w:color w:val="231F20"/>
        </w:rPr>
        <w:t>globale non risolve la questione della sovranità, ovvero non la cancella come necessità funzionale. I sistemi di </w:t>
      </w:r>
      <w:r>
        <w:rPr>
          <w:rFonts w:ascii="Arial" w:hAnsi="Arial"/>
          <w:i/>
          <w:color w:val="231F20"/>
        </w:rPr>
        <w:t>governance</w:t>
      </w:r>
      <w:r>
        <w:rPr>
          <w:color w:val="231F20"/>
        </w:rPr>
        <w:t>,</w:t>
      </w:r>
      <w:r>
        <w:rPr>
          <w:color w:val="231F20"/>
          <w:spacing w:val="-9"/>
        </w:rPr>
        <w:t> </w:t>
      </w:r>
      <w:r>
        <w:rPr>
          <w:color w:val="231F20"/>
        </w:rPr>
        <w:t>pur</w:t>
      </w:r>
      <w:r>
        <w:rPr>
          <w:color w:val="231F20"/>
          <w:spacing w:val="-9"/>
        </w:rPr>
        <w:t> </w:t>
      </w:r>
      <w:r>
        <w:rPr>
          <w:color w:val="231F20"/>
        </w:rPr>
        <w:t>sempre</w:t>
      </w:r>
      <w:r>
        <w:rPr>
          <w:color w:val="231F20"/>
          <w:spacing w:val="-9"/>
        </w:rPr>
        <w:t> </w:t>
      </w:r>
      <w:r>
        <w:rPr>
          <w:color w:val="231F20"/>
        </w:rPr>
        <w:t>più</w:t>
      </w:r>
      <w:r>
        <w:rPr>
          <w:color w:val="231F20"/>
          <w:spacing w:val="-9"/>
        </w:rPr>
        <w:t> </w:t>
      </w:r>
      <w:r>
        <w:rPr>
          <w:color w:val="231F20"/>
        </w:rPr>
        <w:t>diffusi</w:t>
      </w:r>
      <w:r>
        <w:rPr>
          <w:color w:val="231F20"/>
          <w:spacing w:val="-9"/>
        </w:rPr>
        <w:t> </w:t>
      </w:r>
      <w:r>
        <w:rPr>
          <w:color w:val="231F20"/>
        </w:rPr>
        <w:t>e</w:t>
      </w:r>
      <w:r>
        <w:rPr>
          <w:color w:val="231F20"/>
          <w:spacing w:val="-9"/>
        </w:rPr>
        <w:t> </w:t>
      </w:r>
      <w:r>
        <w:rPr>
          <w:color w:val="231F20"/>
        </w:rPr>
        <w:t>sempre</w:t>
      </w:r>
      <w:r>
        <w:rPr>
          <w:color w:val="231F20"/>
          <w:spacing w:val="-9"/>
        </w:rPr>
        <w:t> </w:t>
      </w:r>
      <w:r>
        <w:rPr>
          <w:color w:val="231F20"/>
        </w:rPr>
        <w:t>più</w:t>
      </w:r>
      <w:r>
        <w:rPr>
          <w:color w:val="231F20"/>
          <w:spacing w:val="-9"/>
        </w:rPr>
        <w:t> </w:t>
      </w:r>
      <w:r>
        <w:rPr>
          <w:color w:val="231F20"/>
        </w:rPr>
        <w:t>in</w:t>
      </w:r>
      <w:r>
        <w:rPr>
          <w:color w:val="231F20"/>
          <w:spacing w:val="-9"/>
        </w:rPr>
        <w:t> </w:t>
      </w:r>
      <w:r>
        <w:rPr>
          <w:color w:val="231F20"/>
        </w:rPr>
        <w:t>grado</w:t>
      </w:r>
      <w:r>
        <w:rPr>
          <w:color w:val="231F20"/>
          <w:spacing w:val="-9"/>
        </w:rPr>
        <w:t> </w:t>
      </w:r>
      <w:r>
        <w:rPr>
          <w:color w:val="231F20"/>
        </w:rPr>
        <w:t>di</w:t>
      </w:r>
      <w:r>
        <w:rPr>
          <w:color w:val="231F20"/>
          <w:spacing w:val="-9"/>
        </w:rPr>
        <w:t> </w:t>
      </w:r>
      <w:r>
        <w:rPr>
          <w:color w:val="231F20"/>
        </w:rPr>
        <w:t>stabilire</w:t>
      </w:r>
      <w:r>
        <w:rPr>
          <w:color w:val="231F20"/>
          <w:spacing w:val="-9"/>
        </w:rPr>
        <w:t> </w:t>
      </w:r>
      <w:r>
        <w:rPr>
          <w:color w:val="231F20"/>
        </w:rPr>
        <w:t>vincoli </w:t>
      </w:r>
      <w:r>
        <w:rPr>
          <w:color w:val="231F20"/>
          <w:spacing w:val="-4"/>
        </w:rPr>
        <w:t>organizzativi</w:t>
      </w:r>
      <w:r>
        <w:rPr>
          <w:color w:val="231F20"/>
          <w:spacing w:val="-14"/>
        </w:rPr>
        <w:t> </w:t>
      </w:r>
      <w:r>
        <w:rPr>
          <w:color w:val="231F20"/>
        </w:rPr>
        <w:t>e</w:t>
      </w:r>
      <w:r>
        <w:rPr>
          <w:color w:val="231F20"/>
          <w:spacing w:val="-14"/>
        </w:rPr>
        <w:t> </w:t>
      </w:r>
      <w:r>
        <w:rPr>
          <w:color w:val="231F20"/>
          <w:spacing w:val="-4"/>
        </w:rPr>
        <w:t>procedurali,</w:t>
      </w:r>
      <w:r>
        <w:rPr>
          <w:color w:val="231F20"/>
          <w:spacing w:val="-14"/>
        </w:rPr>
        <w:t> </w:t>
      </w:r>
      <w:r>
        <w:rPr>
          <w:color w:val="231F20"/>
        </w:rPr>
        <w:t>non</w:t>
      </w:r>
      <w:r>
        <w:rPr>
          <w:color w:val="231F20"/>
          <w:spacing w:val="-14"/>
        </w:rPr>
        <w:t> </w:t>
      </w:r>
      <w:r>
        <w:rPr>
          <w:color w:val="231F20"/>
          <w:spacing w:val="-3"/>
        </w:rPr>
        <w:t>arrivano</w:t>
      </w:r>
      <w:r>
        <w:rPr>
          <w:color w:val="231F20"/>
          <w:spacing w:val="-14"/>
        </w:rPr>
        <w:t> </w:t>
      </w:r>
      <w:r>
        <w:rPr>
          <w:color w:val="231F20"/>
        </w:rPr>
        <w:t>a</w:t>
      </w:r>
      <w:r>
        <w:rPr>
          <w:color w:val="231F20"/>
          <w:spacing w:val="-14"/>
        </w:rPr>
        <w:t> </w:t>
      </w:r>
      <w:r>
        <w:rPr>
          <w:color w:val="231F20"/>
          <w:spacing w:val="-4"/>
        </w:rPr>
        <w:t>costituire</w:t>
      </w:r>
      <w:r>
        <w:rPr>
          <w:color w:val="231F20"/>
          <w:spacing w:val="-14"/>
        </w:rPr>
        <w:t> </w:t>
      </w:r>
      <w:r>
        <w:rPr>
          <w:color w:val="231F20"/>
          <w:spacing w:val="-3"/>
        </w:rPr>
        <w:t>sulla</w:t>
      </w:r>
      <w:r>
        <w:rPr>
          <w:color w:val="231F20"/>
          <w:spacing w:val="-14"/>
        </w:rPr>
        <w:t> </w:t>
      </w:r>
      <w:r>
        <w:rPr>
          <w:color w:val="231F20"/>
          <w:spacing w:val="-4"/>
        </w:rPr>
        <w:t>loro</w:t>
      </w:r>
      <w:r>
        <w:rPr>
          <w:color w:val="231F20"/>
          <w:spacing w:val="-14"/>
        </w:rPr>
        <w:t> </w:t>
      </w:r>
      <w:r>
        <w:rPr>
          <w:color w:val="231F20"/>
          <w:spacing w:val="-3"/>
        </w:rPr>
        <w:t>capacità</w:t>
      </w:r>
      <w:r>
        <w:rPr>
          <w:color w:val="231F20"/>
          <w:spacing w:val="-14"/>
        </w:rPr>
        <w:t> </w:t>
      </w:r>
      <w:r>
        <w:rPr>
          <w:color w:val="231F20"/>
          <w:spacing w:val="-3"/>
        </w:rPr>
        <w:t>tecnica </w:t>
      </w:r>
      <w:r>
        <w:rPr>
          <w:color w:val="231F20"/>
        </w:rPr>
        <w:t>il fondamento di legittimità di “un monopolio della  </w:t>
      </w:r>
      <w:r>
        <w:rPr>
          <w:color w:val="231F20"/>
          <w:spacing w:val="4"/>
        </w:rPr>
        <w:t> </w:t>
      </w:r>
      <w:r>
        <w:rPr>
          <w:color w:val="231F20"/>
        </w:rPr>
        <w:t>violenza”.</w:t>
      </w:r>
    </w:p>
    <w:p>
      <w:pPr>
        <w:pStyle w:val="BodyText"/>
        <w:spacing w:line="247" w:lineRule="auto" w:before="1"/>
        <w:ind w:left="117" w:right="117" w:firstLine="566"/>
        <w:jc w:val="both"/>
      </w:pPr>
      <w:r>
        <w:rPr>
          <w:color w:val="231F20"/>
        </w:rPr>
        <w:t>I</w:t>
      </w:r>
      <w:r>
        <w:rPr>
          <w:color w:val="231F20"/>
          <w:spacing w:val="-13"/>
        </w:rPr>
        <w:t> </w:t>
      </w:r>
      <w:r>
        <w:rPr>
          <w:color w:val="231F20"/>
          <w:spacing w:val="-3"/>
        </w:rPr>
        <w:t>processi</w:t>
      </w:r>
      <w:r>
        <w:rPr>
          <w:color w:val="231F20"/>
          <w:spacing w:val="-13"/>
        </w:rPr>
        <w:t> </w:t>
      </w:r>
      <w:r>
        <w:rPr>
          <w:color w:val="231F20"/>
        </w:rPr>
        <w:t>istituzionali</w:t>
      </w:r>
      <w:r>
        <w:rPr>
          <w:color w:val="231F20"/>
          <w:spacing w:val="-13"/>
        </w:rPr>
        <w:t> </w:t>
      </w:r>
      <w:r>
        <w:rPr>
          <w:color w:val="231F20"/>
        </w:rPr>
        <w:t>e</w:t>
      </w:r>
      <w:r>
        <w:rPr>
          <w:color w:val="231F20"/>
          <w:spacing w:val="-13"/>
        </w:rPr>
        <w:t> </w:t>
      </w:r>
      <w:r>
        <w:rPr>
          <w:color w:val="231F20"/>
        </w:rPr>
        <w:t>ideologici</w:t>
      </w:r>
      <w:r>
        <w:rPr>
          <w:color w:val="231F20"/>
          <w:spacing w:val="-13"/>
        </w:rPr>
        <w:t> </w:t>
      </w:r>
      <w:r>
        <w:rPr>
          <w:color w:val="231F20"/>
        </w:rPr>
        <w:t>all’origine</w:t>
      </w:r>
      <w:r>
        <w:rPr>
          <w:color w:val="231F20"/>
          <w:spacing w:val="-13"/>
        </w:rPr>
        <w:t> </w:t>
      </w:r>
      <w:r>
        <w:rPr>
          <w:color w:val="231F20"/>
        </w:rPr>
        <w:t>dello</w:t>
      </w:r>
      <w:r>
        <w:rPr>
          <w:color w:val="231F20"/>
          <w:spacing w:val="-13"/>
        </w:rPr>
        <w:t> </w:t>
      </w:r>
      <w:r>
        <w:rPr>
          <w:color w:val="231F20"/>
        </w:rPr>
        <w:t>Stato</w:t>
      </w:r>
      <w:r>
        <w:rPr>
          <w:color w:val="231F20"/>
          <w:spacing w:val="-13"/>
        </w:rPr>
        <w:t> </w:t>
      </w:r>
      <w:r>
        <w:rPr>
          <w:color w:val="231F20"/>
        </w:rPr>
        <w:t>moderno</w:t>
      </w:r>
      <w:r>
        <w:rPr>
          <w:color w:val="231F20"/>
          <w:spacing w:val="-13"/>
        </w:rPr>
        <w:t> </w:t>
      </w:r>
      <w:r>
        <w:rPr>
          <w:color w:val="231F20"/>
        </w:rPr>
        <w:t>sono dunque tendenzialmente in crisi negli Stati che li hanno assunti come</w:t>
      </w:r>
      <w:r>
        <w:rPr>
          <w:color w:val="231F20"/>
          <w:spacing w:val="-14"/>
        </w:rPr>
        <w:t> </w:t>
      </w:r>
      <w:r>
        <w:rPr>
          <w:color w:val="231F20"/>
        </w:rPr>
        <w:t>reali, e</w:t>
      </w:r>
      <w:r>
        <w:rPr>
          <w:color w:val="231F20"/>
          <w:spacing w:val="-18"/>
        </w:rPr>
        <w:t> </w:t>
      </w:r>
      <w:r>
        <w:rPr>
          <w:color w:val="231F20"/>
        </w:rPr>
        <w:t>non</w:t>
      </w:r>
      <w:r>
        <w:rPr>
          <w:color w:val="231F20"/>
          <w:spacing w:val="-18"/>
        </w:rPr>
        <w:t> </w:t>
      </w:r>
      <w:r>
        <w:rPr>
          <w:color w:val="231F20"/>
        </w:rPr>
        <w:t>si</w:t>
      </w:r>
      <w:r>
        <w:rPr>
          <w:color w:val="231F20"/>
          <w:spacing w:val="-18"/>
        </w:rPr>
        <w:t> </w:t>
      </w:r>
      <w:r>
        <w:rPr>
          <w:color w:val="231F20"/>
        </w:rPr>
        <w:t>sono</w:t>
      </w:r>
      <w:r>
        <w:rPr>
          <w:color w:val="231F20"/>
          <w:spacing w:val="-18"/>
        </w:rPr>
        <w:t> </w:t>
      </w:r>
      <w:r>
        <w:rPr>
          <w:color w:val="231F20"/>
        </w:rPr>
        <w:t>replicati</w:t>
      </w:r>
      <w:r>
        <w:rPr>
          <w:color w:val="231F20"/>
          <w:spacing w:val="-18"/>
        </w:rPr>
        <w:t> </w:t>
      </w:r>
      <w:r>
        <w:rPr>
          <w:color w:val="231F20"/>
        </w:rPr>
        <w:t>in</w:t>
      </w:r>
      <w:r>
        <w:rPr>
          <w:color w:val="231F20"/>
          <w:spacing w:val="-18"/>
        </w:rPr>
        <w:t> </w:t>
      </w:r>
      <w:r>
        <w:rPr>
          <w:color w:val="231F20"/>
        </w:rPr>
        <w:t>quelli</w:t>
      </w:r>
      <w:r>
        <w:rPr>
          <w:color w:val="231F20"/>
          <w:spacing w:val="-18"/>
        </w:rPr>
        <w:t> </w:t>
      </w:r>
      <w:r>
        <w:rPr>
          <w:color w:val="231F20"/>
        </w:rPr>
        <w:t>postcoloniali,</w:t>
      </w:r>
      <w:r>
        <w:rPr>
          <w:color w:val="231F20"/>
          <w:spacing w:val="-18"/>
        </w:rPr>
        <w:t> </w:t>
      </w:r>
      <w:r>
        <w:rPr>
          <w:color w:val="231F20"/>
        </w:rPr>
        <w:t>mentre</w:t>
      </w:r>
      <w:r>
        <w:rPr>
          <w:color w:val="231F20"/>
          <w:spacing w:val="-18"/>
        </w:rPr>
        <w:t> </w:t>
      </w:r>
      <w:r>
        <w:rPr>
          <w:color w:val="231F20"/>
        </w:rPr>
        <w:t>la</w:t>
      </w:r>
      <w:r>
        <w:rPr>
          <w:color w:val="231F20"/>
          <w:spacing w:val="-18"/>
        </w:rPr>
        <w:t> </w:t>
      </w:r>
      <w:r>
        <w:rPr>
          <w:color w:val="231F20"/>
        </w:rPr>
        <w:t>strutturazione</w:t>
      </w:r>
      <w:r>
        <w:rPr>
          <w:color w:val="231F20"/>
          <w:spacing w:val="-18"/>
        </w:rPr>
        <w:t> </w:t>
      </w:r>
      <w:r>
        <w:rPr>
          <w:color w:val="231F20"/>
        </w:rPr>
        <w:t>statale delle</w:t>
      </w:r>
      <w:r>
        <w:rPr>
          <w:color w:val="231F20"/>
          <w:spacing w:val="-28"/>
        </w:rPr>
        <w:t> </w:t>
      </w:r>
      <w:r>
        <w:rPr>
          <w:color w:val="231F20"/>
        </w:rPr>
        <w:t>colonie</w:t>
      </w:r>
      <w:r>
        <w:rPr>
          <w:color w:val="231F20"/>
          <w:spacing w:val="-28"/>
        </w:rPr>
        <w:t> </w:t>
      </w:r>
      <w:r>
        <w:rPr>
          <w:color w:val="231F20"/>
        </w:rPr>
        <w:t>è</w:t>
      </w:r>
      <w:r>
        <w:rPr>
          <w:color w:val="231F20"/>
          <w:spacing w:val="-28"/>
        </w:rPr>
        <w:t> </w:t>
      </w:r>
      <w:r>
        <w:rPr>
          <w:color w:val="231F20"/>
        </w:rPr>
        <w:t>avvenuta</w:t>
      </w:r>
      <w:r>
        <w:rPr>
          <w:color w:val="231F20"/>
          <w:spacing w:val="-28"/>
        </w:rPr>
        <w:t> </w:t>
      </w:r>
      <w:r>
        <w:rPr>
          <w:color w:val="231F20"/>
        </w:rPr>
        <w:t>attraverso</w:t>
      </w:r>
      <w:r>
        <w:rPr>
          <w:color w:val="231F20"/>
          <w:spacing w:val="-28"/>
        </w:rPr>
        <w:t> </w:t>
      </w:r>
      <w:r>
        <w:rPr>
          <w:color w:val="231F20"/>
        </w:rPr>
        <w:t>un’istituzionalizzazione</w:t>
      </w:r>
      <w:r>
        <w:rPr>
          <w:color w:val="231F20"/>
          <w:spacing w:val="-28"/>
        </w:rPr>
        <w:t> </w:t>
      </w:r>
      <w:r>
        <w:rPr>
          <w:color w:val="231F20"/>
        </w:rPr>
        <w:t>violenta</w:t>
      </w:r>
      <w:r>
        <w:rPr>
          <w:color w:val="231F20"/>
          <w:spacing w:val="-28"/>
        </w:rPr>
        <w:t> </w:t>
      </w:r>
      <w:r>
        <w:rPr>
          <w:color w:val="231F20"/>
        </w:rPr>
        <w:t>di</w:t>
      </w:r>
      <w:r>
        <w:rPr>
          <w:color w:val="231F20"/>
          <w:spacing w:val="-28"/>
        </w:rPr>
        <w:t> </w:t>
      </w:r>
      <w:r>
        <w:rPr>
          <w:color w:val="231F20"/>
        </w:rPr>
        <w:t>sistemi burocratici. La narrazione dell’origine così come appare nel</w:t>
      </w:r>
      <w:r>
        <w:rPr>
          <w:color w:val="231F20"/>
          <w:spacing w:val="-28"/>
        </w:rPr>
        <w:t> </w:t>
      </w:r>
      <w:r>
        <w:rPr>
          <w:color w:val="231F20"/>
        </w:rPr>
        <w:t>contrattualismo </w:t>
      </w:r>
      <w:r>
        <w:rPr>
          <w:color w:val="231F20"/>
          <w:spacing w:val="-3"/>
        </w:rPr>
        <w:t>classico</w:t>
      </w:r>
      <w:r>
        <w:rPr>
          <w:color w:val="231F20"/>
          <w:spacing w:val="-17"/>
        </w:rPr>
        <w:t> </w:t>
      </w:r>
      <w:r>
        <w:rPr>
          <w:color w:val="231F20"/>
        </w:rPr>
        <w:t>da</w:t>
      </w:r>
      <w:r>
        <w:rPr>
          <w:color w:val="231F20"/>
          <w:spacing w:val="-17"/>
        </w:rPr>
        <w:t> </w:t>
      </w:r>
      <w:r>
        <w:rPr>
          <w:color w:val="231F20"/>
          <w:spacing w:val="-3"/>
        </w:rPr>
        <w:t>Hobbes</w:t>
      </w:r>
      <w:r>
        <w:rPr>
          <w:color w:val="231F20"/>
          <w:spacing w:val="-17"/>
        </w:rPr>
        <w:t> </w:t>
      </w:r>
      <w:r>
        <w:rPr>
          <w:color w:val="231F20"/>
        </w:rPr>
        <w:t>a</w:t>
      </w:r>
      <w:r>
        <w:rPr>
          <w:color w:val="231F20"/>
          <w:spacing w:val="-17"/>
        </w:rPr>
        <w:t> </w:t>
      </w:r>
      <w:r>
        <w:rPr>
          <w:color w:val="231F20"/>
          <w:spacing w:val="-3"/>
        </w:rPr>
        <w:t>Rousseau,</w:t>
      </w:r>
      <w:r>
        <w:rPr>
          <w:color w:val="231F20"/>
          <w:spacing w:val="-17"/>
        </w:rPr>
        <w:t> </w:t>
      </w:r>
      <w:r>
        <w:rPr>
          <w:color w:val="231F20"/>
          <w:spacing w:val="-3"/>
        </w:rPr>
        <w:t>passando</w:t>
      </w:r>
      <w:r>
        <w:rPr>
          <w:color w:val="231F20"/>
          <w:spacing w:val="-17"/>
        </w:rPr>
        <w:t> </w:t>
      </w:r>
      <w:r>
        <w:rPr>
          <w:color w:val="231F20"/>
        </w:rPr>
        <w:t>per</w:t>
      </w:r>
      <w:r>
        <w:rPr>
          <w:color w:val="231F20"/>
          <w:spacing w:val="-17"/>
        </w:rPr>
        <w:t> </w:t>
      </w:r>
      <w:r>
        <w:rPr>
          <w:color w:val="231F20"/>
          <w:spacing w:val="-3"/>
        </w:rPr>
        <w:t>Locke,</w:t>
      </w:r>
      <w:r>
        <w:rPr>
          <w:color w:val="231F20"/>
          <w:spacing w:val="-17"/>
        </w:rPr>
        <w:t> </w:t>
      </w:r>
      <w:r>
        <w:rPr>
          <w:color w:val="231F20"/>
        </w:rPr>
        <w:t>non</w:t>
      </w:r>
      <w:r>
        <w:rPr>
          <w:color w:val="231F20"/>
          <w:spacing w:val="-17"/>
        </w:rPr>
        <w:t> </w:t>
      </w:r>
      <w:r>
        <w:rPr>
          <w:color w:val="231F20"/>
          <w:spacing w:val="-3"/>
        </w:rPr>
        <w:t>arriva</w:t>
      </w:r>
      <w:r>
        <w:rPr>
          <w:color w:val="231F20"/>
          <w:spacing w:val="-15"/>
        </w:rPr>
        <w:t> </w:t>
      </w:r>
      <w:r>
        <w:rPr>
          <w:color w:val="231F20"/>
        </w:rPr>
        <w:t>più</w:t>
      </w:r>
      <w:r>
        <w:rPr>
          <w:color w:val="231F20"/>
          <w:spacing w:val="-17"/>
        </w:rPr>
        <w:t> </w:t>
      </w:r>
      <w:r>
        <w:rPr>
          <w:color w:val="231F20"/>
        </w:rPr>
        <w:t>a</w:t>
      </w:r>
      <w:r>
        <w:rPr>
          <w:color w:val="231F20"/>
          <w:spacing w:val="-17"/>
        </w:rPr>
        <w:t> </w:t>
      </w:r>
      <w:r>
        <w:rPr>
          <w:color w:val="231F20"/>
          <w:spacing w:val="-4"/>
        </w:rPr>
        <w:t>indicare </w:t>
      </w:r>
      <w:r>
        <w:rPr>
          <w:color w:val="231F20"/>
        </w:rPr>
        <w:t>il mito fondativo di uno Stato costituito sul consenso originario dei suoi cittadini.</w:t>
      </w:r>
      <w:r>
        <w:rPr>
          <w:color w:val="231F20"/>
          <w:spacing w:val="-10"/>
        </w:rPr>
        <w:t> </w:t>
      </w:r>
      <w:r>
        <w:rPr>
          <w:color w:val="231F20"/>
        </w:rPr>
        <w:t>Non</w:t>
      </w:r>
      <w:r>
        <w:rPr>
          <w:color w:val="231F20"/>
          <w:spacing w:val="-10"/>
        </w:rPr>
        <w:t> </w:t>
      </w:r>
      <w:r>
        <w:rPr>
          <w:color w:val="231F20"/>
        </w:rPr>
        <w:t>si</w:t>
      </w:r>
      <w:r>
        <w:rPr>
          <w:color w:val="231F20"/>
          <w:spacing w:val="-10"/>
        </w:rPr>
        <w:t> </w:t>
      </w:r>
      <w:r>
        <w:rPr>
          <w:color w:val="231F20"/>
        </w:rPr>
        <w:t>tratta</w:t>
      </w:r>
      <w:r>
        <w:rPr>
          <w:color w:val="231F20"/>
          <w:spacing w:val="-10"/>
        </w:rPr>
        <w:t> </w:t>
      </w:r>
      <w:r>
        <w:rPr>
          <w:color w:val="231F20"/>
        </w:rPr>
        <w:t>tanto</w:t>
      </w:r>
      <w:r>
        <w:rPr>
          <w:color w:val="231F20"/>
          <w:spacing w:val="-10"/>
        </w:rPr>
        <w:t> </w:t>
      </w:r>
      <w:r>
        <w:rPr>
          <w:color w:val="231F20"/>
        </w:rPr>
        <w:t>della</w:t>
      </w:r>
      <w:r>
        <w:rPr>
          <w:color w:val="231F20"/>
          <w:spacing w:val="-10"/>
        </w:rPr>
        <w:t> </w:t>
      </w:r>
      <w:r>
        <w:rPr>
          <w:color w:val="231F20"/>
        </w:rPr>
        <w:t>contrapposizione</w:t>
      </w:r>
      <w:r>
        <w:rPr>
          <w:color w:val="231F20"/>
          <w:spacing w:val="-10"/>
        </w:rPr>
        <w:t> </w:t>
      </w:r>
      <w:r>
        <w:rPr>
          <w:color w:val="231F20"/>
        </w:rPr>
        <w:t>dell’origine</w:t>
      </w:r>
      <w:r>
        <w:rPr>
          <w:color w:val="231F20"/>
          <w:spacing w:val="-10"/>
        </w:rPr>
        <w:t> </w:t>
      </w:r>
      <w:r>
        <w:rPr>
          <w:color w:val="231F20"/>
        </w:rPr>
        <w:t>immaginaria a quella empirica. Quelle narrazioni, infatti, hanno svolto un ruolo storico preciso che è andato ben oltre la critica e l’abbandono dell’ipotesi logica </w:t>
      </w:r>
      <w:r>
        <w:rPr>
          <w:color w:val="231F20"/>
          <w:spacing w:val="3"/>
        </w:rPr>
        <w:t>dello stato </w:t>
      </w:r>
      <w:r>
        <w:rPr>
          <w:color w:val="231F20"/>
        </w:rPr>
        <w:t>di </w:t>
      </w:r>
      <w:r>
        <w:rPr>
          <w:color w:val="231F20"/>
          <w:spacing w:val="3"/>
        </w:rPr>
        <w:t>natura </w:t>
      </w:r>
      <w:r>
        <w:rPr>
          <w:color w:val="231F20"/>
        </w:rPr>
        <w:t>e </w:t>
      </w:r>
      <w:r>
        <w:rPr>
          <w:color w:val="231F20"/>
          <w:spacing w:val="2"/>
        </w:rPr>
        <w:t>del </w:t>
      </w:r>
      <w:r>
        <w:rPr>
          <w:color w:val="231F20"/>
          <w:spacing w:val="3"/>
        </w:rPr>
        <w:t>contratto sociale. </w:t>
      </w:r>
      <w:r>
        <w:rPr>
          <w:color w:val="231F20"/>
          <w:spacing w:val="2"/>
        </w:rPr>
        <w:t>Non </w:t>
      </w:r>
      <w:r>
        <w:rPr>
          <w:color w:val="231F20"/>
        </w:rPr>
        <w:t>a </w:t>
      </w:r>
      <w:r>
        <w:rPr>
          <w:color w:val="231F20"/>
          <w:spacing w:val="3"/>
        </w:rPr>
        <w:t>caso esse </w:t>
      </w:r>
      <w:r>
        <w:rPr>
          <w:color w:val="231F20"/>
          <w:spacing w:val="4"/>
        </w:rPr>
        <w:t>hanno </w:t>
      </w:r>
      <w:r>
        <w:rPr>
          <w:color w:val="231F20"/>
        </w:rPr>
        <w:t>funzionato ben oltre i paesi e le tradizioni che le avevano prodotte, perché stabilivano come presupposto dello Stato moderno l’esistenza di uomini naturalmente liberi, facendo della libertà empiricamente inesistente una presenza ineliminabile nella stessa fondazione dello Stato. Proprio questa </w:t>
      </w:r>
      <w:r>
        <w:rPr>
          <w:color w:val="231F20"/>
          <w:spacing w:val="-4"/>
        </w:rPr>
        <w:t>presenza rendeva </w:t>
      </w:r>
      <w:r>
        <w:rPr>
          <w:color w:val="231F20"/>
          <w:spacing w:val="-3"/>
        </w:rPr>
        <w:t>uguali </w:t>
      </w:r>
      <w:r>
        <w:rPr>
          <w:color w:val="231F20"/>
        </w:rPr>
        <w:t>gli </w:t>
      </w:r>
      <w:r>
        <w:rPr>
          <w:color w:val="231F20"/>
          <w:spacing w:val="-3"/>
        </w:rPr>
        <w:t>individui immaginariamente </w:t>
      </w:r>
      <w:r>
        <w:rPr>
          <w:color w:val="231F20"/>
          <w:spacing w:val="-4"/>
        </w:rPr>
        <w:t>presenti </w:t>
      </w:r>
      <w:r>
        <w:rPr>
          <w:color w:val="231F20"/>
          <w:spacing w:val="-3"/>
        </w:rPr>
        <w:t>all’atto della </w:t>
      </w:r>
      <w:r>
        <w:rPr>
          <w:color w:val="231F20"/>
        </w:rPr>
        <w:t>fondazione.</w:t>
      </w:r>
      <w:r>
        <w:rPr>
          <w:color w:val="231F20"/>
          <w:spacing w:val="-13"/>
        </w:rPr>
        <w:t> </w:t>
      </w:r>
      <w:r>
        <w:rPr>
          <w:color w:val="231F20"/>
        </w:rPr>
        <w:t>A</w:t>
      </w:r>
      <w:r>
        <w:rPr>
          <w:color w:val="231F20"/>
          <w:spacing w:val="-13"/>
        </w:rPr>
        <w:t> </w:t>
      </w:r>
      <w:r>
        <w:rPr>
          <w:color w:val="231F20"/>
        </w:rPr>
        <w:t>parte</w:t>
      </w:r>
      <w:r>
        <w:rPr>
          <w:color w:val="231F20"/>
          <w:spacing w:val="-13"/>
        </w:rPr>
        <w:t> </w:t>
      </w:r>
      <w:r>
        <w:rPr>
          <w:color w:val="231F20"/>
        </w:rPr>
        <w:t>qualche</w:t>
      </w:r>
      <w:r>
        <w:rPr>
          <w:color w:val="231F20"/>
          <w:spacing w:val="-13"/>
        </w:rPr>
        <w:t> </w:t>
      </w:r>
      <w:r>
        <w:rPr>
          <w:color w:val="231F20"/>
        </w:rPr>
        <w:t>eccezione</w:t>
      </w:r>
      <w:r>
        <w:rPr>
          <w:color w:val="231F20"/>
          <w:spacing w:val="-13"/>
        </w:rPr>
        <w:t> </w:t>
      </w:r>
      <w:r>
        <w:rPr>
          <w:color w:val="231F20"/>
        </w:rPr>
        <w:t>e</w:t>
      </w:r>
      <w:r>
        <w:rPr>
          <w:color w:val="231F20"/>
          <w:spacing w:val="-13"/>
        </w:rPr>
        <w:t> </w:t>
      </w:r>
      <w:r>
        <w:rPr>
          <w:color w:val="231F20"/>
        </w:rPr>
        <w:t>qualche</w:t>
      </w:r>
      <w:r>
        <w:rPr>
          <w:color w:val="231F20"/>
          <w:spacing w:val="-13"/>
        </w:rPr>
        <w:t> </w:t>
      </w:r>
      <w:r>
        <w:rPr>
          <w:color w:val="231F20"/>
        </w:rPr>
        <w:t>significativa</w:t>
      </w:r>
      <w:r>
        <w:rPr>
          <w:color w:val="231F20"/>
          <w:spacing w:val="-13"/>
        </w:rPr>
        <w:t> </w:t>
      </w:r>
      <w:r>
        <w:rPr>
          <w:color w:val="231F20"/>
        </w:rPr>
        <w:t>dimenticanza, l’antropologia fondamentale della modernità si fonda sull’esistenza di un </w:t>
      </w:r>
      <w:r>
        <w:rPr>
          <w:color w:val="231F20"/>
          <w:spacing w:val="-3"/>
        </w:rPr>
        <w:t>individuo</w:t>
      </w:r>
      <w:r>
        <w:rPr>
          <w:color w:val="231F20"/>
          <w:spacing w:val="-11"/>
        </w:rPr>
        <w:t> </w:t>
      </w:r>
      <w:r>
        <w:rPr>
          <w:color w:val="231F20"/>
          <w:spacing w:val="-3"/>
        </w:rPr>
        <w:t>naturalmente</w:t>
      </w:r>
      <w:r>
        <w:rPr>
          <w:color w:val="231F20"/>
          <w:spacing w:val="-11"/>
        </w:rPr>
        <w:t> </w:t>
      </w:r>
      <w:r>
        <w:rPr>
          <w:color w:val="231F20"/>
          <w:spacing w:val="-4"/>
        </w:rPr>
        <w:t>libero.</w:t>
      </w:r>
      <w:r>
        <w:rPr>
          <w:color w:val="231F20"/>
          <w:spacing w:val="-11"/>
        </w:rPr>
        <w:t> </w:t>
      </w:r>
      <w:r>
        <w:rPr>
          <w:color w:val="231F20"/>
        </w:rPr>
        <w:t>È</w:t>
      </w:r>
      <w:r>
        <w:rPr>
          <w:color w:val="231F20"/>
          <w:spacing w:val="-11"/>
        </w:rPr>
        <w:t> </w:t>
      </w:r>
      <w:r>
        <w:rPr>
          <w:color w:val="231F20"/>
        </w:rPr>
        <w:t>la</w:t>
      </w:r>
      <w:r>
        <w:rPr>
          <w:color w:val="231F20"/>
          <w:spacing w:val="-11"/>
        </w:rPr>
        <w:t> </w:t>
      </w:r>
      <w:r>
        <w:rPr>
          <w:color w:val="231F20"/>
          <w:spacing w:val="-3"/>
        </w:rPr>
        <w:t>crisi</w:t>
      </w:r>
      <w:r>
        <w:rPr>
          <w:color w:val="231F20"/>
          <w:spacing w:val="-11"/>
        </w:rPr>
        <w:t> </w:t>
      </w:r>
      <w:r>
        <w:rPr>
          <w:color w:val="231F20"/>
        </w:rPr>
        <w:t>di</w:t>
      </w:r>
      <w:r>
        <w:rPr>
          <w:color w:val="231F20"/>
          <w:spacing w:val="-11"/>
        </w:rPr>
        <w:t> </w:t>
      </w:r>
      <w:r>
        <w:rPr>
          <w:color w:val="231F20"/>
          <w:spacing w:val="-3"/>
        </w:rPr>
        <w:t>questa</w:t>
      </w:r>
      <w:r>
        <w:rPr>
          <w:color w:val="231F20"/>
          <w:spacing w:val="-11"/>
        </w:rPr>
        <w:t> </w:t>
      </w:r>
      <w:r>
        <w:rPr>
          <w:color w:val="231F20"/>
          <w:spacing w:val="-4"/>
        </w:rPr>
        <w:t>antropologia,</w:t>
      </w:r>
      <w:r>
        <w:rPr>
          <w:color w:val="231F20"/>
          <w:spacing w:val="-11"/>
        </w:rPr>
        <w:t> </w:t>
      </w:r>
      <w:r>
        <w:rPr>
          <w:color w:val="231F20"/>
        </w:rPr>
        <w:t>che</w:t>
      </w:r>
      <w:r>
        <w:rPr>
          <w:color w:val="231F20"/>
          <w:spacing w:val="-11"/>
        </w:rPr>
        <w:t> </w:t>
      </w:r>
      <w:r>
        <w:rPr>
          <w:color w:val="231F20"/>
          <w:spacing w:val="-3"/>
        </w:rPr>
        <w:t>immagina </w:t>
      </w:r>
      <w:r>
        <w:rPr>
          <w:color w:val="231F20"/>
        </w:rPr>
        <w:t>il soggetto dello Stato e lo rende reale, che si manifesta anche come crisi della</w:t>
      </w:r>
      <w:r>
        <w:rPr>
          <w:color w:val="231F20"/>
          <w:spacing w:val="-7"/>
        </w:rPr>
        <w:t> </w:t>
      </w:r>
      <w:r>
        <w:rPr>
          <w:color w:val="231F20"/>
        </w:rPr>
        <w:t>sovranità.</w:t>
      </w:r>
    </w:p>
    <w:p>
      <w:pPr>
        <w:pStyle w:val="BodyText"/>
        <w:spacing w:line="247" w:lineRule="auto"/>
        <w:ind w:left="117" w:right="118" w:firstLine="566"/>
        <w:jc w:val="both"/>
      </w:pPr>
      <w:r>
        <w:rPr>
          <w:color w:val="231F20"/>
          <w:w w:val="105"/>
        </w:rPr>
        <w:t>Non</w:t>
      </w:r>
      <w:r>
        <w:rPr>
          <w:color w:val="231F20"/>
          <w:spacing w:val="-11"/>
          <w:w w:val="105"/>
        </w:rPr>
        <w:t> </w:t>
      </w:r>
      <w:r>
        <w:rPr>
          <w:color w:val="231F20"/>
          <w:w w:val="105"/>
        </w:rPr>
        <w:t>è</w:t>
      </w:r>
      <w:r>
        <w:rPr>
          <w:color w:val="231F20"/>
          <w:spacing w:val="-11"/>
          <w:w w:val="105"/>
        </w:rPr>
        <w:t> </w:t>
      </w:r>
      <w:r>
        <w:rPr>
          <w:color w:val="231F20"/>
          <w:w w:val="105"/>
        </w:rPr>
        <w:t>dunque</w:t>
      </w:r>
      <w:r>
        <w:rPr>
          <w:color w:val="231F20"/>
          <w:spacing w:val="-11"/>
          <w:w w:val="105"/>
        </w:rPr>
        <w:t> </w:t>
      </w:r>
      <w:r>
        <w:rPr>
          <w:color w:val="231F20"/>
          <w:w w:val="105"/>
        </w:rPr>
        <w:t>un</w:t>
      </w:r>
      <w:r>
        <w:rPr>
          <w:color w:val="231F20"/>
          <w:spacing w:val="-11"/>
          <w:w w:val="105"/>
        </w:rPr>
        <w:t> </w:t>
      </w:r>
      <w:r>
        <w:rPr>
          <w:color w:val="231F20"/>
          <w:w w:val="105"/>
        </w:rPr>
        <w:t>caso</w:t>
      </w:r>
      <w:r>
        <w:rPr>
          <w:color w:val="231F20"/>
          <w:spacing w:val="-11"/>
          <w:w w:val="105"/>
        </w:rPr>
        <w:t> </w:t>
      </w:r>
      <w:r>
        <w:rPr>
          <w:color w:val="231F20"/>
          <w:w w:val="105"/>
        </w:rPr>
        <w:t>che,</w:t>
      </w:r>
      <w:r>
        <w:rPr>
          <w:color w:val="231F20"/>
          <w:spacing w:val="-11"/>
          <w:w w:val="105"/>
        </w:rPr>
        <w:t> </w:t>
      </w:r>
      <w:r>
        <w:rPr>
          <w:color w:val="231F20"/>
          <w:w w:val="105"/>
        </w:rPr>
        <w:t>di</w:t>
      </w:r>
      <w:r>
        <w:rPr>
          <w:color w:val="231F20"/>
          <w:spacing w:val="-11"/>
          <w:w w:val="105"/>
        </w:rPr>
        <w:t> </w:t>
      </w:r>
      <w:r>
        <w:rPr>
          <w:color w:val="231F20"/>
          <w:w w:val="105"/>
        </w:rPr>
        <w:t>fronte</w:t>
      </w:r>
      <w:r>
        <w:rPr>
          <w:color w:val="231F20"/>
          <w:spacing w:val="-11"/>
          <w:w w:val="105"/>
        </w:rPr>
        <w:t> </w:t>
      </w:r>
      <w:r>
        <w:rPr>
          <w:color w:val="231F20"/>
          <w:w w:val="105"/>
        </w:rPr>
        <w:t>alle</w:t>
      </w:r>
      <w:r>
        <w:rPr>
          <w:color w:val="231F20"/>
          <w:spacing w:val="-11"/>
          <w:w w:val="105"/>
        </w:rPr>
        <w:t> </w:t>
      </w:r>
      <w:r>
        <w:rPr>
          <w:color w:val="231F20"/>
          <w:w w:val="105"/>
        </w:rPr>
        <w:t>oscillazioni</w:t>
      </w:r>
      <w:r>
        <w:rPr>
          <w:color w:val="231F20"/>
          <w:spacing w:val="-11"/>
          <w:w w:val="105"/>
        </w:rPr>
        <w:t> </w:t>
      </w:r>
      <w:r>
        <w:rPr>
          <w:color w:val="231F20"/>
          <w:w w:val="105"/>
        </w:rPr>
        <w:t>e</w:t>
      </w:r>
      <w:r>
        <w:rPr>
          <w:color w:val="231F20"/>
          <w:spacing w:val="-11"/>
          <w:w w:val="105"/>
        </w:rPr>
        <w:t> </w:t>
      </w:r>
      <w:r>
        <w:rPr>
          <w:color w:val="231F20"/>
          <w:w w:val="105"/>
        </w:rPr>
        <w:t>alle</w:t>
      </w:r>
      <w:r>
        <w:rPr>
          <w:color w:val="231F20"/>
          <w:spacing w:val="-11"/>
          <w:w w:val="105"/>
        </w:rPr>
        <w:t> </w:t>
      </w:r>
      <w:r>
        <w:rPr>
          <w:color w:val="231F20"/>
          <w:w w:val="105"/>
        </w:rPr>
        <w:t>tensioni del concetto di Stato, siano gli antropologi, gli scienziati sociali che più sono</w:t>
      </w:r>
      <w:r>
        <w:rPr>
          <w:color w:val="231F20"/>
          <w:spacing w:val="-24"/>
          <w:w w:val="105"/>
        </w:rPr>
        <w:t> </w:t>
      </w:r>
      <w:r>
        <w:rPr>
          <w:color w:val="231F20"/>
          <w:w w:val="105"/>
        </w:rPr>
        <w:t>a</w:t>
      </w:r>
      <w:r>
        <w:rPr>
          <w:color w:val="231F20"/>
          <w:spacing w:val="-24"/>
          <w:w w:val="105"/>
        </w:rPr>
        <w:t> </w:t>
      </w:r>
      <w:r>
        <w:rPr>
          <w:color w:val="231F20"/>
          <w:w w:val="105"/>
        </w:rPr>
        <w:t>contatto</w:t>
      </w:r>
      <w:r>
        <w:rPr>
          <w:color w:val="231F20"/>
          <w:spacing w:val="-24"/>
          <w:w w:val="105"/>
        </w:rPr>
        <w:t> </w:t>
      </w:r>
      <w:r>
        <w:rPr>
          <w:color w:val="231F20"/>
          <w:w w:val="105"/>
        </w:rPr>
        <w:t>con</w:t>
      </w:r>
      <w:r>
        <w:rPr>
          <w:color w:val="231F20"/>
          <w:spacing w:val="-24"/>
          <w:w w:val="105"/>
        </w:rPr>
        <w:t> </w:t>
      </w:r>
      <w:r>
        <w:rPr>
          <w:color w:val="231F20"/>
          <w:w w:val="105"/>
        </w:rPr>
        <w:t>l’esperienza</w:t>
      </w:r>
      <w:r>
        <w:rPr>
          <w:color w:val="231F20"/>
          <w:spacing w:val="-24"/>
          <w:w w:val="105"/>
        </w:rPr>
        <w:t> </w:t>
      </w:r>
      <w:r>
        <w:rPr>
          <w:color w:val="231F20"/>
          <w:w w:val="105"/>
        </w:rPr>
        <w:t>postcoloniale,</w:t>
      </w:r>
      <w:r>
        <w:rPr>
          <w:color w:val="231F20"/>
          <w:spacing w:val="-24"/>
          <w:w w:val="105"/>
        </w:rPr>
        <w:t> </w:t>
      </w:r>
      <w:r>
        <w:rPr>
          <w:color w:val="231F20"/>
          <w:w w:val="105"/>
        </w:rPr>
        <w:t>a</w:t>
      </w:r>
      <w:r>
        <w:rPr>
          <w:color w:val="231F20"/>
          <w:spacing w:val="-24"/>
          <w:w w:val="105"/>
        </w:rPr>
        <w:t> </w:t>
      </w:r>
      <w:r>
        <w:rPr>
          <w:color w:val="231F20"/>
          <w:w w:val="105"/>
        </w:rPr>
        <w:t>chiedersi</w:t>
      </w:r>
      <w:r>
        <w:rPr>
          <w:color w:val="231F20"/>
          <w:spacing w:val="-24"/>
          <w:w w:val="105"/>
        </w:rPr>
        <w:t> </w:t>
      </w:r>
      <w:r>
        <w:rPr>
          <w:color w:val="231F20"/>
          <w:w w:val="105"/>
        </w:rPr>
        <w:t>“Che</w:t>
      </w:r>
      <w:r>
        <w:rPr>
          <w:color w:val="231F20"/>
          <w:spacing w:val="-24"/>
          <w:w w:val="105"/>
        </w:rPr>
        <w:t> </w:t>
      </w:r>
      <w:r>
        <w:rPr>
          <w:color w:val="231F20"/>
          <w:w w:val="105"/>
        </w:rPr>
        <w:t>cos’è</w:t>
      </w:r>
      <w:r>
        <w:rPr>
          <w:color w:val="231F20"/>
          <w:spacing w:val="-24"/>
          <w:w w:val="105"/>
        </w:rPr>
        <w:t> </w:t>
      </w:r>
      <w:r>
        <w:rPr>
          <w:color w:val="231F20"/>
          <w:w w:val="105"/>
        </w:rPr>
        <w:t>uno Stato</w:t>
      </w:r>
      <w:r>
        <w:rPr>
          <w:color w:val="231F20"/>
          <w:spacing w:val="-18"/>
          <w:w w:val="105"/>
        </w:rPr>
        <w:t> </w:t>
      </w:r>
      <w:r>
        <w:rPr>
          <w:color w:val="231F20"/>
          <w:w w:val="105"/>
        </w:rPr>
        <w:t>se</w:t>
      </w:r>
      <w:r>
        <w:rPr>
          <w:color w:val="231F20"/>
          <w:spacing w:val="-18"/>
          <w:w w:val="105"/>
        </w:rPr>
        <w:t> </w:t>
      </w:r>
      <w:r>
        <w:rPr>
          <w:color w:val="231F20"/>
          <w:w w:val="105"/>
        </w:rPr>
        <w:t>non</w:t>
      </w:r>
      <w:r>
        <w:rPr>
          <w:color w:val="231F20"/>
          <w:spacing w:val="-18"/>
          <w:w w:val="105"/>
        </w:rPr>
        <w:t> </w:t>
      </w:r>
      <w:r>
        <w:rPr>
          <w:color w:val="231F20"/>
          <w:w w:val="105"/>
        </w:rPr>
        <w:t>è</w:t>
      </w:r>
      <w:r>
        <w:rPr>
          <w:color w:val="231F20"/>
          <w:spacing w:val="-18"/>
          <w:w w:val="105"/>
        </w:rPr>
        <w:t> </w:t>
      </w:r>
      <w:r>
        <w:rPr>
          <w:color w:val="231F20"/>
          <w:w w:val="105"/>
        </w:rPr>
        <w:t>sovrano”?</w:t>
      </w:r>
      <w:r>
        <w:rPr>
          <w:color w:val="231F20"/>
          <w:spacing w:val="-18"/>
          <w:w w:val="105"/>
        </w:rPr>
        <w:t> </w:t>
      </w:r>
      <w:r>
        <w:rPr>
          <w:color w:val="231F20"/>
          <w:w w:val="105"/>
        </w:rPr>
        <w:t>La</w:t>
      </w:r>
      <w:r>
        <w:rPr>
          <w:color w:val="231F20"/>
          <w:spacing w:val="-18"/>
          <w:w w:val="105"/>
        </w:rPr>
        <w:t> </w:t>
      </w:r>
      <w:r>
        <w:rPr>
          <w:color w:val="231F20"/>
          <w:w w:val="105"/>
        </w:rPr>
        <w:t>domanda</w:t>
      </w:r>
      <w:r>
        <w:rPr>
          <w:color w:val="231F20"/>
          <w:spacing w:val="-18"/>
          <w:w w:val="105"/>
        </w:rPr>
        <w:t> </w:t>
      </w:r>
      <w:r>
        <w:rPr>
          <w:color w:val="231F20"/>
          <w:w w:val="105"/>
        </w:rPr>
        <w:t>è</w:t>
      </w:r>
      <w:r>
        <w:rPr>
          <w:color w:val="231F20"/>
          <w:spacing w:val="-18"/>
          <w:w w:val="105"/>
        </w:rPr>
        <w:t> </w:t>
      </w:r>
      <w:r>
        <w:rPr>
          <w:color w:val="231F20"/>
          <w:w w:val="105"/>
        </w:rPr>
        <w:t>impellente</w:t>
      </w:r>
      <w:r>
        <w:rPr>
          <w:color w:val="231F20"/>
          <w:spacing w:val="-18"/>
          <w:w w:val="105"/>
        </w:rPr>
        <w:t> </w:t>
      </w:r>
      <w:r>
        <w:rPr>
          <w:color w:val="231F20"/>
          <w:w w:val="105"/>
        </w:rPr>
        <w:t>proprio</w:t>
      </w:r>
      <w:r>
        <w:rPr>
          <w:color w:val="231F20"/>
          <w:spacing w:val="-18"/>
          <w:w w:val="105"/>
        </w:rPr>
        <w:t> </w:t>
      </w:r>
      <w:r>
        <w:rPr>
          <w:color w:val="231F20"/>
          <w:w w:val="105"/>
        </w:rPr>
        <w:t>in</w:t>
      </w:r>
      <w:r>
        <w:rPr>
          <w:color w:val="231F20"/>
          <w:spacing w:val="-18"/>
          <w:w w:val="105"/>
        </w:rPr>
        <w:t> </w:t>
      </w:r>
      <w:r>
        <w:rPr>
          <w:color w:val="231F20"/>
          <w:w w:val="105"/>
        </w:rPr>
        <w:t>quegli</w:t>
      </w:r>
      <w:r>
        <w:rPr>
          <w:color w:val="231F20"/>
          <w:spacing w:val="-18"/>
          <w:w w:val="105"/>
        </w:rPr>
        <w:t> </w:t>
      </w:r>
      <w:r>
        <w:rPr>
          <w:color w:val="231F20"/>
          <w:w w:val="105"/>
        </w:rPr>
        <w:t>Stati ai quali viene sempre rimproverato un deficit di statualità sia dal punto di </w:t>
      </w:r>
      <w:r>
        <w:rPr>
          <w:color w:val="231F20"/>
          <w:spacing w:val="2"/>
          <w:w w:val="105"/>
        </w:rPr>
        <w:t>vista dell’organizzazione amministrativa </w:t>
      </w:r>
      <w:r>
        <w:rPr>
          <w:color w:val="231F20"/>
          <w:w w:val="105"/>
        </w:rPr>
        <w:t>e </w:t>
      </w:r>
      <w:r>
        <w:rPr>
          <w:color w:val="231F20"/>
          <w:spacing w:val="2"/>
          <w:w w:val="105"/>
        </w:rPr>
        <w:t>istituzionale </w:t>
      </w:r>
      <w:r>
        <w:rPr>
          <w:color w:val="231F20"/>
          <w:w w:val="105"/>
        </w:rPr>
        <w:t>sia da </w:t>
      </w:r>
      <w:r>
        <w:rPr>
          <w:color w:val="231F20"/>
          <w:spacing w:val="2"/>
          <w:w w:val="105"/>
        </w:rPr>
        <w:t>quello </w:t>
      </w:r>
      <w:r>
        <w:rPr>
          <w:color w:val="231F20"/>
          <w:w w:val="105"/>
        </w:rPr>
        <w:t>economico.</w:t>
      </w:r>
      <w:r>
        <w:rPr>
          <w:color w:val="231F20"/>
          <w:spacing w:val="-14"/>
          <w:w w:val="105"/>
        </w:rPr>
        <w:t> </w:t>
      </w:r>
      <w:r>
        <w:rPr>
          <w:color w:val="231F20"/>
          <w:w w:val="105"/>
        </w:rPr>
        <w:t>La</w:t>
      </w:r>
      <w:r>
        <w:rPr>
          <w:color w:val="231F20"/>
          <w:spacing w:val="-14"/>
          <w:w w:val="105"/>
        </w:rPr>
        <w:t> </w:t>
      </w:r>
      <w:r>
        <w:rPr>
          <w:color w:val="231F20"/>
          <w:w w:val="105"/>
        </w:rPr>
        <w:t>domanda</w:t>
      </w:r>
      <w:r>
        <w:rPr>
          <w:color w:val="231F20"/>
          <w:spacing w:val="-14"/>
          <w:w w:val="105"/>
        </w:rPr>
        <w:t> </w:t>
      </w:r>
      <w:r>
        <w:rPr>
          <w:color w:val="231F20"/>
          <w:w w:val="105"/>
        </w:rPr>
        <w:t>posta</w:t>
      </w:r>
      <w:r>
        <w:rPr>
          <w:color w:val="231F20"/>
          <w:spacing w:val="-14"/>
          <w:w w:val="105"/>
        </w:rPr>
        <w:t> </w:t>
      </w:r>
      <w:r>
        <w:rPr>
          <w:color w:val="231F20"/>
          <w:w w:val="105"/>
        </w:rPr>
        <w:t>da</w:t>
      </w:r>
      <w:r>
        <w:rPr>
          <w:color w:val="231F20"/>
          <w:spacing w:val="-14"/>
          <w:w w:val="105"/>
        </w:rPr>
        <w:t> </w:t>
      </w:r>
      <w:r>
        <w:rPr>
          <w:color w:val="231F20"/>
          <w:w w:val="105"/>
        </w:rPr>
        <w:t>Clifford</w:t>
      </w:r>
      <w:r>
        <w:rPr>
          <w:color w:val="231F20"/>
          <w:spacing w:val="-14"/>
          <w:w w:val="105"/>
        </w:rPr>
        <w:t> </w:t>
      </w:r>
      <w:r>
        <w:rPr>
          <w:color w:val="231F20"/>
          <w:w w:val="105"/>
        </w:rPr>
        <w:t>Geertz</w:t>
      </w:r>
      <w:r>
        <w:rPr>
          <w:color w:val="231F20"/>
          <w:spacing w:val="-14"/>
          <w:w w:val="105"/>
        </w:rPr>
        <w:t> </w:t>
      </w:r>
      <w:r>
        <w:rPr>
          <w:color w:val="231F20"/>
          <w:w w:val="105"/>
        </w:rPr>
        <w:t>non</w:t>
      </w:r>
      <w:r>
        <w:rPr>
          <w:color w:val="231F20"/>
          <w:spacing w:val="-14"/>
          <w:w w:val="105"/>
        </w:rPr>
        <w:t> </w:t>
      </w:r>
      <w:r>
        <w:rPr>
          <w:color w:val="231F20"/>
          <w:w w:val="105"/>
        </w:rPr>
        <w:t>vale</w:t>
      </w:r>
      <w:r>
        <w:rPr>
          <w:color w:val="231F20"/>
          <w:spacing w:val="-14"/>
          <w:w w:val="105"/>
        </w:rPr>
        <w:t> </w:t>
      </w:r>
      <w:r>
        <w:rPr>
          <w:color w:val="231F20"/>
          <w:w w:val="105"/>
        </w:rPr>
        <w:t>solo</w:t>
      </w:r>
      <w:r>
        <w:rPr>
          <w:color w:val="231F20"/>
          <w:spacing w:val="-14"/>
          <w:w w:val="105"/>
        </w:rPr>
        <w:t> </w:t>
      </w:r>
      <w:r>
        <w:rPr>
          <w:color w:val="231F20"/>
          <w:w w:val="105"/>
        </w:rPr>
        <w:t>per</w:t>
      </w:r>
      <w:r>
        <w:rPr>
          <w:color w:val="231F20"/>
          <w:spacing w:val="-14"/>
          <w:w w:val="105"/>
        </w:rPr>
        <w:t> </w:t>
      </w:r>
      <w:r>
        <w:rPr>
          <w:color w:val="231F20"/>
          <w:w w:val="105"/>
        </w:rPr>
        <w:t>quelli che</w:t>
      </w:r>
      <w:r>
        <w:rPr>
          <w:color w:val="231F20"/>
          <w:spacing w:val="-20"/>
          <w:w w:val="105"/>
        </w:rPr>
        <w:t> </w:t>
      </w:r>
      <w:r>
        <w:rPr>
          <w:color w:val="231F20"/>
          <w:w w:val="105"/>
        </w:rPr>
        <w:t>lui</w:t>
      </w:r>
      <w:r>
        <w:rPr>
          <w:color w:val="231F20"/>
          <w:spacing w:val="-20"/>
          <w:w w:val="105"/>
        </w:rPr>
        <w:t> </w:t>
      </w:r>
      <w:r>
        <w:rPr>
          <w:color w:val="231F20"/>
          <w:w w:val="105"/>
        </w:rPr>
        <w:t>chiama</w:t>
      </w:r>
      <w:r>
        <w:rPr>
          <w:color w:val="231F20"/>
          <w:spacing w:val="-20"/>
          <w:w w:val="105"/>
        </w:rPr>
        <w:t> </w:t>
      </w:r>
      <w:r>
        <w:rPr>
          <w:color w:val="231F20"/>
          <w:w w:val="105"/>
        </w:rPr>
        <w:t>“posti</w:t>
      </w:r>
      <w:r>
        <w:rPr>
          <w:color w:val="231F20"/>
          <w:spacing w:val="-20"/>
          <w:w w:val="105"/>
        </w:rPr>
        <w:t> </w:t>
      </w:r>
      <w:r>
        <w:rPr>
          <w:color w:val="231F20"/>
          <w:w w:val="105"/>
        </w:rPr>
        <w:t>complicati”,</w:t>
      </w:r>
      <w:r>
        <w:rPr>
          <w:color w:val="231F20"/>
          <w:spacing w:val="-20"/>
          <w:w w:val="105"/>
        </w:rPr>
        <w:t> </w:t>
      </w:r>
      <w:r>
        <w:rPr>
          <w:color w:val="231F20"/>
          <w:w w:val="105"/>
        </w:rPr>
        <w:t>non</w:t>
      </w:r>
      <w:r>
        <w:rPr>
          <w:color w:val="231F20"/>
          <w:spacing w:val="-20"/>
          <w:w w:val="105"/>
        </w:rPr>
        <w:t> </w:t>
      </w:r>
      <w:r>
        <w:rPr>
          <w:color w:val="231F20"/>
          <w:w w:val="105"/>
        </w:rPr>
        <w:t>cioè</w:t>
      </w:r>
      <w:r>
        <w:rPr>
          <w:color w:val="231F20"/>
          <w:spacing w:val="-20"/>
          <w:w w:val="105"/>
        </w:rPr>
        <w:t> </w:t>
      </w:r>
      <w:r>
        <w:rPr>
          <w:color w:val="231F20"/>
          <w:w w:val="105"/>
        </w:rPr>
        <w:t>solo</w:t>
      </w:r>
      <w:r>
        <w:rPr>
          <w:color w:val="231F20"/>
          <w:spacing w:val="-20"/>
          <w:w w:val="105"/>
        </w:rPr>
        <w:t> </w:t>
      </w:r>
      <w:r>
        <w:rPr>
          <w:color w:val="231F20"/>
          <w:w w:val="105"/>
        </w:rPr>
        <w:t>per</w:t>
      </w:r>
      <w:r>
        <w:rPr>
          <w:color w:val="231F20"/>
          <w:spacing w:val="-20"/>
          <w:w w:val="105"/>
        </w:rPr>
        <w:t> </w:t>
      </w:r>
      <w:r>
        <w:rPr>
          <w:color w:val="231F20"/>
          <w:w w:val="105"/>
        </w:rPr>
        <w:t>quegli</w:t>
      </w:r>
      <w:r>
        <w:rPr>
          <w:color w:val="231F20"/>
          <w:spacing w:val="-20"/>
          <w:w w:val="105"/>
        </w:rPr>
        <w:t> </w:t>
      </w:r>
      <w:r>
        <w:rPr>
          <w:color w:val="231F20"/>
          <w:w w:val="105"/>
        </w:rPr>
        <w:t>Stati</w:t>
      </w:r>
      <w:r>
        <w:rPr>
          <w:color w:val="231F20"/>
          <w:spacing w:val="-20"/>
          <w:w w:val="105"/>
        </w:rPr>
        <w:t> </w:t>
      </w:r>
      <w:r>
        <w:rPr>
          <w:color w:val="231F20"/>
          <w:w w:val="105"/>
        </w:rPr>
        <w:t>dell’Asia</w:t>
      </w:r>
      <w:r>
        <w:rPr>
          <w:color w:val="231F20"/>
          <w:spacing w:val="-20"/>
          <w:w w:val="105"/>
        </w:rPr>
        <w:t> </w:t>
      </w:r>
      <w:r>
        <w:rPr>
          <w:color w:val="231F20"/>
          <w:w w:val="105"/>
        </w:rPr>
        <w:t>e dell’Africa</w:t>
      </w:r>
      <w:r>
        <w:rPr>
          <w:color w:val="231F20"/>
          <w:spacing w:val="-52"/>
          <w:w w:val="105"/>
        </w:rPr>
        <w:t> </w:t>
      </w:r>
      <w:r>
        <w:rPr>
          <w:color w:val="231F20"/>
          <w:w w:val="105"/>
        </w:rPr>
        <w:t>che</w:t>
      </w:r>
      <w:r>
        <w:rPr>
          <w:color w:val="231F20"/>
          <w:spacing w:val="-52"/>
          <w:w w:val="105"/>
        </w:rPr>
        <w:t> </w:t>
      </w:r>
      <w:r>
        <w:rPr>
          <w:color w:val="231F20"/>
          <w:w w:val="105"/>
        </w:rPr>
        <w:t>negli</w:t>
      </w:r>
      <w:r>
        <w:rPr>
          <w:color w:val="231F20"/>
          <w:spacing w:val="-52"/>
          <w:w w:val="105"/>
        </w:rPr>
        <w:t> </w:t>
      </w:r>
      <w:r>
        <w:rPr>
          <w:color w:val="231F20"/>
          <w:w w:val="105"/>
        </w:rPr>
        <w:t>anni</w:t>
      </w:r>
      <w:r>
        <w:rPr>
          <w:color w:val="231F20"/>
          <w:spacing w:val="-52"/>
          <w:w w:val="105"/>
        </w:rPr>
        <w:t> </w:t>
      </w:r>
      <w:r>
        <w:rPr>
          <w:color w:val="231F20"/>
          <w:w w:val="105"/>
        </w:rPr>
        <w:t>Cinquanta</w:t>
      </w:r>
      <w:r>
        <w:rPr>
          <w:color w:val="231F20"/>
          <w:spacing w:val="-52"/>
          <w:w w:val="105"/>
        </w:rPr>
        <w:t> </w:t>
      </w:r>
      <w:r>
        <w:rPr>
          <w:color w:val="231F20"/>
          <w:w w:val="105"/>
        </w:rPr>
        <w:t>e</w:t>
      </w:r>
      <w:r>
        <w:rPr>
          <w:color w:val="231F20"/>
          <w:spacing w:val="-52"/>
          <w:w w:val="105"/>
        </w:rPr>
        <w:t> </w:t>
      </w:r>
      <w:r>
        <w:rPr>
          <w:color w:val="231F20"/>
          <w:w w:val="105"/>
        </w:rPr>
        <w:t>Sessanta</w:t>
      </w:r>
      <w:r>
        <w:rPr>
          <w:color w:val="231F20"/>
          <w:spacing w:val="-52"/>
          <w:w w:val="105"/>
        </w:rPr>
        <w:t> </w:t>
      </w:r>
      <w:r>
        <w:rPr>
          <w:color w:val="231F20"/>
          <w:w w:val="105"/>
        </w:rPr>
        <w:t>hanno</w:t>
      </w:r>
      <w:r>
        <w:rPr>
          <w:color w:val="231F20"/>
          <w:spacing w:val="-52"/>
          <w:w w:val="105"/>
        </w:rPr>
        <w:t> </w:t>
      </w:r>
      <w:r>
        <w:rPr>
          <w:color w:val="231F20"/>
          <w:w w:val="105"/>
        </w:rPr>
        <w:t>attraversato</w:t>
      </w:r>
      <w:r>
        <w:rPr>
          <w:color w:val="231F20"/>
          <w:spacing w:val="-52"/>
          <w:w w:val="105"/>
        </w:rPr>
        <w:t> </w:t>
      </w:r>
      <w:r>
        <w:rPr>
          <w:color w:val="231F20"/>
          <w:w w:val="105"/>
        </w:rPr>
        <w:t>i</w:t>
      </w:r>
      <w:r>
        <w:rPr>
          <w:color w:val="231F20"/>
          <w:spacing w:val="-52"/>
          <w:w w:val="105"/>
        </w:rPr>
        <w:t> </w:t>
      </w:r>
      <w:r>
        <w:rPr>
          <w:color w:val="231F20"/>
          <w:w w:val="105"/>
        </w:rPr>
        <w:t>processi</w:t>
      </w:r>
    </w:p>
    <w:p>
      <w:pPr>
        <w:pStyle w:val="BodyText"/>
        <w:rPr>
          <w:sz w:val="20"/>
        </w:rPr>
      </w:pPr>
    </w:p>
    <w:p>
      <w:pPr>
        <w:pStyle w:val="BodyText"/>
        <w:spacing w:before="9"/>
        <w:rPr>
          <w:sz w:val="13"/>
        </w:rPr>
      </w:pPr>
      <w:r>
        <w:rPr/>
        <w:pict>
          <v:line style="position:absolute;mso-position-horizontal-relative:page;mso-position-vertical-relative:paragraph;z-index:10600;mso-wrap-distance-left:0;mso-wrap-distance-right:0" from="70.866203pt,10.436672pt" to="184.252203pt,10.436672pt" stroked="true" strokeweight=".3pt" strokecolor="#231f20">
            <w10:wrap type="topAndBottom"/>
          </v:line>
        </w:pict>
      </w:r>
    </w:p>
    <w:p>
      <w:pPr>
        <w:spacing w:before="10"/>
        <w:ind w:left="117" w:right="0" w:firstLine="0"/>
        <w:jc w:val="left"/>
        <w:rPr>
          <w:rFonts w:ascii="Calibri" w:hAnsi="Calibri"/>
          <w:sz w:val="17"/>
        </w:rPr>
      </w:pPr>
      <w:r>
        <w:rPr>
          <w:rFonts w:ascii="Calibri" w:hAnsi="Calibri"/>
          <w:color w:val="231F20"/>
          <w:position w:val="6"/>
          <w:sz w:val="10"/>
        </w:rPr>
        <w:t>54  </w:t>
      </w:r>
      <w:r>
        <w:rPr>
          <w:rFonts w:ascii="Calibri" w:hAnsi="Calibri"/>
          <w:color w:val="231F20"/>
          <w:sz w:val="17"/>
        </w:rPr>
        <w:t>R. Plant, </w:t>
      </w:r>
      <w:r>
        <w:rPr>
          <w:rFonts w:ascii="Calibri" w:hAnsi="Calibri"/>
          <w:i/>
          <w:color w:val="231F20"/>
          <w:sz w:val="17"/>
        </w:rPr>
        <w:t>The Neo–liberal State</w:t>
      </w:r>
      <w:r>
        <w:rPr>
          <w:rFonts w:ascii="Calibri" w:hAnsi="Calibri"/>
          <w:color w:val="231F20"/>
          <w:sz w:val="17"/>
        </w:rPr>
        <w:t>, Oxford, Oxford University Press, 2010.</w:t>
      </w:r>
    </w:p>
    <w:p>
      <w:pPr>
        <w:spacing w:after="0"/>
        <w:jc w:val="left"/>
        <w:rPr>
          <w:rFonts w:ascii="Calibri" w:hAnsi="Calibri"/>
          <w:sz w:val="17"/>
        </w:rPr>
        <w:sectPr>
          <w:pgSz w:w="9640" w:h="13890"/>
          <w:pgMar w:top="0" w:bottom="280" w:left="1300" w:right="1180"/>
        </w:sectPr>
      </w:pPr>
    </w:p>
    <w:p>
      <w:pPr>
        <w:pStyle w:val="BodyText"/>
        <w:spacing w:line="247" w:lineRule="auto" w:before="107"/>
        <w:ind w:left="103" w:right="110"/>
        <w:jc w:val="both"/>
      </w:pPr>
      <w:r>
        <w:rPr>
          <w:color w:val="231F20"/>
          <w:w w:val="105"/>
        </w:rPr>
        <w:t>di</w:t>
      </w:r>
      <w:r>
        <w:rPr>
          <w:color w:val="231F20"/>
          <w:spacing w:val="-43"/>
          <w:w w:val="105"/>
        </w:rPr>
        <w:t> </w:t>
      </w:r>
      <w:r>
        <w:rPr>
          <w:color w:val="231F20"/>
          <w:spacing w:val="-3"/>
          <w:w w:val="105"/>
        </w:rPr>
        <w:t>decolonizzazione</w:t>
      </w:r>
      <w:r>
        <w:rPr>
          <w:color w:val="231F20"/>
          <w:spacing w:val="-43"/>
          <w:w w:val="105"/>
        </w:rPr>
        <w:t> </w:t>
      </w:r>
      <w:r>
        <w:rPr>
          <w:color w:val="231F20"/>
          <w:w w:val="105"/>
        </w:rPr>
        <w:t>con</w:t>
      </w:r>
      <w:r>
        <w:rPr>
          <w:color w:val="231F20"/>
          <w:spacing w:val="-43"/>
          <w:w w:val="105"/>
        </w:rPr>
        <w:t> </w:t>
      </w:r>
      <w:r>
        <w:rPr>
          <w:color w:val="231F20"/>
          <w:w w:val="105"/>
        </w:rPr>
        <w:t>il</w:t>
      </w:r>
      <w:r>
        <w:rPr>
          <w:color w:val="231F20"/>
          <w:spacing w:val="-43"/>
          <w:w w:val="105"/>
        </w:rPr>
        <w:t> </w:t>
      </w:r>
      <w:r>
        <w:rPr>
          <w:color w:val="231F20"/>
          <w:spacing w:val="-4"/>
          <w:w w:val="105"/>
        </w:rPr>
        <w:t>problema</w:t>
      </w:r>
      <w:r>
        <w:rPr>
          <w:color w:val="231F20"/>
          <w:spacing w:val="-43"/>
          <w:w w:val="105"/>
        </w:rPr>
        <w:t> </w:t>
      </w:r>
      <w:r>
        <w:rPr>
          <w:color w:val="231F20"/>
          <w:w w:val="105"/>
        </w:rPr>
        <w:t>di</w:t>
      </w:r>
      <w:r>
        <w:rPr>
          <w:color w:val="231F20"/>
          <w:spacing w:val="-43"/>
          <w:w w:val="105"/>
        </w:rPr>
        <w:t> </w:t>
      </w:r>
      <w:r>
        <w:rPr>
          <w:color w:val="231F20"/>
          <w:spacing w:val="-4"/>
          <w:w w:val="105"/>
        </w:rPr>
        <w:t>governare</w:t>
      </w:r>
      <w:r>
        <w:rPr>
          <w:color w:val="231F20"/>
          <w:spacing w:val="-43"/>
          <w:w w:val="105"/>
        </w:rPr>
        <w:t> </w:t>
      </w:r>
      <w:r>
        <w:rPr>
          <w:color w:val="231F20"/>
          <w:w w:val="105"/>
        </w:rPr>
        <w:t>una</w:t>
      </w:r>
      <w:r>
        <w:rPr>
          <w:color w:val="231F20"/>
          <w:spacing w:val="-43"/>
          <w:w w:val="105"/>
        </w:rPr>
        <w:t> </w:t>
      </w:r>
      <w:r>
        <w:rPr>
          <w:color w:val="231F20"/>
          <w:spacing w:val="-3"/>
          <w:w w:val="105"/>
        </w:rPr>
        <w:t>struttura</w:t>
      </w:r>
      <w:r>
        <w:rPr>
          <w:color w:val="231F20"/>
          <w:spacing w:val="-43"/>
          <w:w w:val="105"/>
        </w:rPr>
        <w:t> </w:t>
      </w:r>
      <w:r>
        <w:rPr>
          <w:color w:val="231F20"/>
          <w:spacing w:val="-3"/>
          <w:w w:val="105"/>
        </w:rPr>
        <w:t>sociale</w:t>
      </w:r>
      <w:r>
        <w:rPr>
          <w:color w:val="231F20"/>
          <w:spacing w:val="-43"/>
          <w:w w:val="105"/>
        </w:rPr>
        <w:t> </w:t>
      </w:r>
      <w:r>
        <w:rPr>
          <w:color w:val="231F20"/>
          <w:spacing w:val="-3"/>
          <w:w w:val="105"/>
        </w:rPr>
        <w:t>spesso </w:t>
      </w:r>
      <w:r>
        <w:rPr>
          <w:color w:val="231F20"/>
          <w:w w:val="105"/>
        </w:rPr>
        <w:t>multietnica,</w:t>
      </w:r>
      <w:r>
        <w:rPr>
          <w:color w:val="231F20"/>
          <w:spacing w:val="-34"/>
          <w:w w:val="105"/>
        </w:rPr>
        <w:t> </w:t>
      </w:r>
      <w:r>
        <w:rPr>
          <w:color w:val="231F20"/>
          <w:w w:val="105"/>
        </w:rPr>
        <w:t>multilinguistica</w:t>
      </w:r>
      <w:r>
        <w:rPr>
          <w:color w:val="231F20"/>
          <w:spacing w:val="-34"/>
          <w:w w:val="105"/>
        </w:rPr>
        <w:t> </w:t>
      </w:r>
      <w:r>
        <w:rPr>
          <w:color w:val="231F20"/>
          <w:w w:val="105"/>
        </w:rPr>
        <w:t>e</w:t>
      </w:r>
      <w:r>
        <w:rPr>
          <w:color w:val="231F20"/>
          <w:spacing w:val="-34"/>
          <w:w w:val="105"/>
        </w:rPr>
        <w:t> </w:t>
      </w:r>
      <w:r>
        <w:rPr>
          <w:color w:val="231F20"/>
          <w:w w:val="105"/>
        </w:rPr>
        <w:t>multireligiosa.</w:t>
      </w:r>
      <w:r>
        <w:rPr>
          <w:color w:val="231F20"/>
          <w:spacing w:val="-34"/>
          <w:w w:val="105"/>
        </w:rPr>
        <w:t> </w:t>
      </w:r>
      <w:r>
        <w:rPr>
          <w:color w:val="231F20"/>
          <w:w w:val="105"/>
        </w:rPr>
        <w:t>Il</w:t>
      </w:r>
      <w:r>
        <w:rPr>
          <w:color w:val="231F20"/>
          <w:spacing w:val="-34"/>
          <w:w w:val="105"/>
        </w:rPr>
        <w:t> </w:t>
      </w:r>
      <w:r>
        <w:rPr>
          <w:color w:val="231F20"/>
          <w:w w:val="105"/>
        </w:rPr>
        <w:t>progetto</w:t>
      </w:r>
      <w:r>
        <w:rPr>
          <w:color w:val="231F20"/>
          <w:spacing w:val="-34"/>
          <w:w w:val="105"/>
        </w:rPr>
        <w:t> </w:t>
      </w:r>
      <w:r>
        <w:rPr>
          <w:color w:val="231F20"/>
          <w:w w:val="105"/>
        </w:rPr>
        <w:t>di</w:t>
      </w:r>
      <w:r>
        <w:rPr>
          <w:color w:val="231F20"/>
          <w:spacing w:val="-34"/>
          <w:w w:val="105"/>
        </w:rPr>
        <w:t> </w:t>
      </w:r>
      <w:r>
        <w:rPr>
          <w:color w:val="231F20"/>
          <w:w w:val="105"/>
        </w:rPr>
        <w:t>un’antropologia </w:t>
      </w:r>
      <w:r>
        <w:rPr>
          <w:color w:val="231F20"/>
          <w:spacing w:val="-3"/>
          <w:w w:val="105"/>
        </w:rPr>
        <w:t>dello</w:t>
      </w:r>
      <w:r>
        <w:rPr>
          <w:color w:val="231F20"/>
          <w:spacing w:val="-39"/>
          <w:w w:val="105"/>
        </w:rPr>
        <w:t> </w:t>
      </w:r>
      <w:r>
        <w:rPr>
          <w:color w:val="231F20"/>
          <w:spacing w:val="-3"/>
          <w:w w:val="105"/>
        </w:rPr>
        <w:t>Stato</w:t>
      </w:r>
      <w:r>
        <w:rPr>
          <w:color w:val="231F20"/>
          <w:spacing w:val="-39"/>
          <w:w w:val="105"/>
        </w:rPr>
        <w:t> </w:t>
      </w:r>
      <w:r>
        <w:rPr>
          <w:color w:val="231F20"/>
          <w:spacing w:val="-3"/>
          <w:w w:val="105"/>
        </w:rPr>
        <w:t>indica</w:t>
      </w:r>
      <w:r>
        <w:rPr>
          <w:color w:val="231F20"/>
          <w:spacing w:val="-39"/>
          <w:w w:val="105"/>
        </w:rPr>
        <w:t> </w:t>
      </w:r>
      <w:r>
        <w:rPr>
          <w:color w:val="231F20"/>
          <w:w w:val="105"/>
        </w:rPr>
        <w:t>un</w:t>
      </w:r>
      <w:r>
        <w:rPr>
          <w:color w:val="231F20"/>
          <w:spacing w:val="-39"/>
          <w:w w:val="105"/>
        </w:rPr>
        <w:t> </w:t>
      </w:r>
      <w:r>
        <w:rPr>
          <w:color w:val="231F20"/>
          <w:spacing w:val="-3"/>
          <w:w w:val="105"/>
        </w:rPr>
        <w:t>approccio</w:t>
      </w:r>
      <w:r>
        <w:rPr>
          <w:color w:val="231F20"/>
          <w:spacing w:val="-39"/>
          <w:w w:val="105"/>
        </w:rPr>
        <w:t> </w:t>
      </w:r>
      <w:r>
        <w:rPr>
          <w:color w:val="231F20"/>
          <w:w w:val="105"/>
        </w:rPr>
        <w:t>che</w:t>
      </w:r>
      <w:r>
        <w:rPr>
          <w:color w:val="231F20"/>
          <w:spacing w:val="-39"/>
          <w:w w:val="105"/>
        </w:rPr>
        <w:t> </w:t>
      </w:r>
      <w:r>
        <w:rPr>
          <w:color w:val="231F20"/>
          <w:spacing w:val="-3"/>
          <w:w w:val="105"/>
        </w:rPr>
        <w:t>torna</w:t>
      </w:r>
      <w:r>
        <w:rPr>
          <w:color w:val="231F20"/>
          <w:spacing w:val="-39"/>
          <w:w w:val="105"/>
        </w:rPr>
        <w:t> </w:t>
      </w:r>
      <w:r>
        <w:rPr>
          <w:color w:val="231F20"/>
          <w:w w:val="105"/>
        </w:rPr>
        <w:t>a</w:t>
      </w:r>
      <w:r>
        <w:rPr>
          <w:color w:val="231F20"/>
          <w:spacing w:val="-39"/>
          <w:w w:val="105"/>
        </w:rPr>
        <w:t> </w:t>
      </w:r>
      <w:r>
        <w:rPr>
          <w:color w:val="231F20"/>
          <w:spacing w:val="-4"/>
          <w:w w:val="105"/>
        </w:rPr>
        <w:t>problematizzare</w:t>
      </w:r>
      <w:r>
        <w:rPr>
          <w:color w:val="231F20"/>
          <w:spacing w:val="-39"/>
          <w:w w:val="105"/>
        </w:rPr>
        <w:t> </w:t>
      </w:r>
      <w:r>
        <w:rPr>
          <w:color w:val="231F20"/>
          <w:w w:val="105"/>
        </w:rPr>
        <w:t>tra</w:t>
      </w:r>
      <w:r>
        <w:rPr>
          <w:color w:val="231F20"/>
          <w:spacing w:val="-39"/>
          <w:w w:val="105"/>
        </w:rPr>
        <w:t> </w:t>
      </w:r>
      <w:r>
        <w:rPr>
          <w:color w:val="231F20"/>
          <w:w w:val="105"/>
        </w:rPr>
        <w:t>lo</w:t>
      </w:r>
      <w:r>
        <w:rPr>
          <w:color w:val="231F20"/>
          <w:spacing w:val="-39"/>
          <w:w w:val="105"/>
        </w:rPr>
        <w:t> </w:t>
      </w:r>
      <w:r>
        <w:rPr>
          <w:color w:val="231F20"/>
          <w:spacing w:val="-3"/>
          <w:w w:val="105"/>
        </w:rPr>
        <w:t>Stato</w:t>
      </w:r>
      <w:r>
        <w:rPr>
          <w:color w:val="231F20"/>
          <w:spacing w:val="-39"/>
          <w:w w:val="105"/>
        </w:rPr>
        <w:t> </w:t>
      </w:r>
      <w:r>
        <w:rPr>
          <w:color w:val="231F20"/>
          <w:spacing w:val="-3"/>
          <w:w w:val="105"/>
        </w:rPr>
        <w:t>come istituzione</w:t>
      </w:r>
      <w:r>
        <w:rPr>
          <w:color w:val="231F20"/>
          <w:spacing w:val="-50"/>
          <w:w w:val="105"/>
        </w:rPr>
        <w:t> </w:t>
      </w:r>
      <w:r>
        <w:rPr>
          <w:color w:val="231F20"/>
          <w:w w:val="105"/>
        </w:rPr>
        <w:t>e</w:t>
      </w:r>
      <w:r>
        <w:rPr>
          <w:color w:val="231F20"/>
          <w:spacing w:val="-50"/>
          <w:w w:val="105"/>
        </w:rPr>
        <w:t> </w:t>
      </w:r>
      <w:r>
        <w:rPr>
          <w:color w:val="231F20"/>
          <w:spacing w:val="-3"/>
          <w:w w:val="105"/>
        </w:rPr>
        <w:t>l’unità</w:t>
      </w:r>
      <w:r>
        <w:rPr>
          <w:color w:val="231F20"/>
          <w:spacing w:val="-50"/>
          <w:w w:val="105"/>
        </w:rPr>
        <w:t> </w:t>
      </w:r>
      <w:r>
        <w:rPr>
          <w:color w:val="231F20"/>
          <w:spacing w:val="-3"/>
          <w:w w:val="105"/>
        </w:rPr>
        <w:t>politica</w:t>
      </w:r>
      <w:r>
        <w:rPr>
          <w:color w:val="231F20"/>
          <w:spacing w:val="-50"/>
          <w:w w:val="105"/>
        </w:rPr>
        <w:t> </w:t>
      </w:r>
      <w:r>
        <w:rPr>
          <w:color w:val="231F20"/>
          <w:w w:val="105"/>
        </w:rPr>
        <w:t>che</w:t>
      </w:r>
      <w:r>
        <w:rPr>
          <w:color w:val="231F20"/>
          <w:spacing w:val="-50"/>
          <w:w w:val="105"/>
        </w:rPr>
        <w:t> </w:t>
      </w:r>
      <w:r>
        <w:rPr>
          <w:color w:val="231F20"/>
          <w:spacing w:val="-3"/>
          <w:w w:val="105"/>
        </w:rPr>
        <w:t>esso</w:t>
      </w:r>
      <w:r>
        <w:rPr>
          <w:color w:val="231F20"/>
          <w:spacing w:val="-50"/>
          <w:w w:val="105"/>
        </w:rPr>
        <w:t> </w:t>
      </w:r>
      <w:r>
        <w:rPr>
          <w:color w:val="231F20"/>
          <w:spacing w:val="-3"/>
          <w:w w:val="105"/>
        </w:rPr>
        <w:t>storicamente</w:t>
      </w:r>
      <w:r>
        <w:rPr>
          <w:color w:val="231F20"/>
          <w:spacing w:val="-50"/>
          <w:w w:val="105"/>
        </w:rPr>
        <w:t> </w:t>
      </w:r>
      <w:r>
        <w:rPr>
          <w:color w:val="231F20"/>
          <w:w w:val="105"/>
        </w:rPr>
        <w:t>è</w:t>
      </w:r>
      <w:r>
        <w:rPr>
          <w:color w:val="231F20"/>
          <w:spacing w:val="-50"/>
          <w:w w:val="105"/>
        </w:rPr>
        <w:t> </w:t>
      </w:r>
      <w:r>
        <w:rPr>
          <w:color w:val="231F20"/>
          <w:spacing w:val="-3"/>
          <w:w w:val="105"/>
        </w:rPr>
        <w:t>chiamato</w:t>
      </w:r>
      <w:r>
        <w:rPr>
          <w:color w:val="231F20"/>
          <w:spacing w:val="-50"/>
          <w:w w:val="105"/>
        </w:rPr>
        <w:t> </w:t>
      </w:r>
      <w:r>
        <w:rPr>
          <w:color w:val="231F20"/>
          <w:w w:val="105"/>
        </w:rPr>
        <w:t>a</w:t>
      </w:r>
      <w:r>
        <w:rPr>
          <w:color w:val="231F20"/>
          <w:spacing w:val="-50"/>
          <w:w w:val="105"/>
        </w:rPr>
        <w:t> </w:t>
      </w:r>
      <w:r>
        <w:rPr>
          <w:color w:val="231F20"/>
          <w:spacing w:val="-4"/>
          <w:w w:val="105"/>
        </w:rPr>
        <w:t>rappresentare. </w:t>
      </w:r>
      <w:r>
        <w:rPr>
          <w:color w:val="231F20"/>
          <w:w w:val="105"/>
        </w:rPr>
        <w:t>Le</w:t>
      </w:r>
      <w:r>
        <w:rPr>
          <w:color w:val="231F20"/>
          <w:spacing w:val="-39"/>
          <w:w w:val="105"/>
        </w:rPr>
        <w:t> </w:t>
      </w:r>
      <w:r>
        <w:rPr>
          <w:color w:val="231F20"/>
          <w:w w:val="105"/>
        </w:rPr>
        <w:t>domande</w:t>
      </w:r>
      <w:r>
        <w:rPr>
          <w:color w:val="231F20"/>
          <w:spacing w:val="-39"/>
          <w:w w:val="105"/>
        </w:rPr>
        <w:t> </w:t>
      </w:r>
      <w:r>
        <w:rPr>
          <w:color w:val="231F20"/>
          <w:w w:val="105"/>
        </w:rPr>
        <w:t>sul</w:t>
      </w:r>
      <w:r>
        <w:rPr>
          <w:color w:val="231F20"/>
          <w:spacing w:val="-39"/>
          <w:w w:val="105"/>
        </w:rPr>
        <w:t> </w:t>
      </w:r>
      <w:r>
        <w:rPr>
          <w:color w:val="231F20"/>
          <w:w w:val="105"/>
        </w:rPr>
        <w:t>deficit</w:t>
      </w:r>
      <w:r>
        <w:rPr>
          <w:color w:val="231F20"/>
          <w:spacing w:val="-39"/>
          <w:w w:val="105"/>
        </w:rPr>
        <w:t> </w:t>
      </w:r>
      <w:r>
        <w:rPr>
          <w:color w:val="231F20"/>
          <w:w w:val="105"/>
        </w:rPr>
        <w:t>di</w:t>
      </w:r>
      <w:r>
        <w:rPr>
          <w:color w:val="231F20"/>
          <w:spacing w:val="-39"/>
          <w:w w:val="105"/>
        </w:rPr>
        <w:t> </w:t>
      </w:r>
      <w:r>
        <w:rPr>
          <w:color w:val="231F20"/>
          <w:w w:val="105"/>
        </w:rPr>
        <w:t>statualità</w:t>
      </w:r>
      <w:r>
        <w:rPr>
          <w:color w:val="231F20"/>
          <w:spacing w:val="-39"/>
          <w:w w:val="105"/>
        </w:rPr>
        <w:t> </w:t>
      </w:r>
      <w:r>
        <w:rPr>
          <w:color w:val="231F20"/>
          <w:w w:val="105"/>
        </w:rPr>
        <w:t>che</w:t>
      </w:r>
      <w:r>
        <w:rPr>
          <w:color w:val="231F20"/>
          <w:spacing w:val="-39"/>
          <w:w w:val="105"/>
        </w:rPr>
        <w:t> </w:t>
      </w:r>
      <w:r>
        <w:rPr>
          <w:color w:val="231F20"/>
          <w:w w:val="105"/>
        </w:rPr>
        <w:t>oggi</w:t>
      </w:r>
      <w:r>
        <w:rPr>
          <w:color w:val="231F20"/>
          <w:spacing w:val="-39"/>
          <w:w w:val="105"/>
        </w:rPr>
        <w:t> </w:t>
      </w:r>
      <w:r>
        <w:rPr>
          <w:color w:val="231F20"/>
          <w:w w:val="105"/>
        </w:rPr>
        <w:t>si</w:t>
      </w:r>
      <w:r>
        <w:rPr>
          <w:color w:val="231F20"/>
          <w:spacing w:val="-39"/>
          <w:w w:val="105"/>
        </w:rPr>
        <w:t> </w:t>
      </w:r>
      <w:r>
        <w:rPr>
          <w:color w:val="231F20"/>
          <w:w w:val="105"/>
        </w:rPr>
        <w:t>pongono</w:t>
      </w:r>
      <w:r>
        <w:rPr>
          <w:color w:val="231F20"/>
          <w:spacing w:val="-39"/>
          <w:w w:val="105"/>
        </w:rPr>
        <w:t> </w:t>
      </w:r>
      <w:r>
        <w:rPr>
          <w:color w:val="231F20"/>
          <w:w w:val="105"/>
        </w:rPr>
        <w:t>in</w:t>
      </w:r>
      <w:r>
        <w:rPr>
          <w:color w:val="231F20"/>
          <w:spacing w:val="-39"/>
          <w:w w:val="105"/>
        </w:rPr>
        <w:t> </w:t>
      </w:r>
      <w:r>
        <w:rPr>
          <w:color w:val="231F20"/>
          <w:w w:val="105"/>
        </w:rPr>
        <w:t>relazione</w:t>
      </w:r>
      <w:r>
        <w:rPr>
          <w:color w:val="231F20"/>
          <w:spacing w:val="-39"/>
          <w:w w:val="105"/>
        </w:rPr>
        <w:t> </w:t>
      </w:r>
      <w:r>
        <w:rPr>
          <w:color w:val="231F20"/>
          <w:w w:val="105"/>
        </w:rPr>
        <w:t>ai</w:t>
      </w:r>
      <w:r>
        <w:rPr>
          <w:color w:val="231F20"/>
          <w:spacing w:val="-39"/>
          <w:w w:val="105"/>
        </w:rPr>
        <w:t> </w:t>
      </w:r>
      <w:r>
        <w:rPr>
          <w:color w:val="231F20"/>
          <w:w w:val="105"/>
        </w:rPr>
        <w:t>paesi del</w:t>
      </w:r>
      <w:r>
        <w:rPr>
          <w:color w:val="231F20"/>
          <w:spacing w:val="-19"/>
          <w:w w:val="105"/>
        </w:rPr>
        <w:t> </w:t>
      </w:r>
      <w:r>
        <w:rPr>
          <w:color w:val="231F20"/>
          <w:w w:val="105"/>
        </w:rPr>
        <w:t>nucleo</w:t>
      </w:r>
      <w:r>
        <w:rPr>
          <w:color w:val="231F20"/>
          <w:spacing w:val="-19"/>
          <w:w w:val="105"/>
        </w:rPr>
        <w:t> </w:t>
      </w:r>
      <w:r>
        <w:rPr>
          <w:color w:val="231F20"/>
          <w:w w:val="105"/>
        </w:rPr>
        <w:t>originario</w:t>
      </w:r>
      <w:r>
        <w:rPr>
          <w:color w:val="231F20"/>
          <w:spacing w:val="-19"/>
          <w:w w:val="105"/>
        </w:rPr>
        <w:t> </w:t>
      </w:r>
      <w:r>
        <w:rPr>
          <w:color w:val="231F20"/>
          <w:w w:val="105"/>
        </w:rPr>
        <w:t>della</w:t>
      </w:r>
      <w:r>
        <w:rPr>
          <w:color w:val="231F20"/>
          <w:spacing w:val="-19"/>
          <w:w w:val="105"/>
        </w:rPr>
        <w:t> </w:t>
      </w:r>
      <w:r>
        <w:rPr>
          <w:color w:val="231F20"/>
          <w:w w:val="105"/>
        </w:rPr>
        <w:t>storia</w:t>
      </w:r>
      <w:r>
        <w:rPr>
          <w:color w:val="231F20"/>
          <w:spacing w:val="-19"/>
          <w:w w:val="105"/>
        </w:rPr>
        <w:t> </w:t>
      </w:r>
      <w:r>
        <w:rPr>
          <w:color w:val="231F20"/>
          <w:w w:val="105"/>
        </w:rPr>
        <w:t>statale</w:t>
      </w:r>
      <w:r>
        <w:rPr>
          <w:color w:val="231F20"/>
          <w:spacing w:val="-19"/>
          <w:w w:val="105"/>
        </w:rPr>
        <w:t> </w:t>
      </w:r>
      <w:r>
        <w:rPr>
          <w:color w:val="231F20"/>
          <w:w w:val="105"/>
        </w:rPr>
        <w:t>moderna</w:t>
      </w:r>
      <w:r>
        <w:rPr>
          <w:color w:val="231F20"/>
          <w:spacing w:val="-19"/>
          <w:w w:val="105"/>
        </w:rPr>
        <w:t> </w:t>
      </w:r>
      <w:r>
        <w:rPr>
          <w:color w:val="231F20"/>
          <w:w w:val="105"/>
        </w:rPr>
        <w:t>sono</w:t>
      </w:r>
      <w:r>
        <w:rPr>
          <w:color w:val="231F20"/>
          <w:spacing w:val="-19"/>
          <w:w w:val="105"/>
        </w:rPr>
        <w:t> </w:t>
      </w:r>
      <w:r>
        <w:rPr>
          <w:color w:val="231F20"/>
          <w:w w:val="105"/>
        </w:rPr>
        <w:t>le</w:t>
      </w:r>
      <w:r>
        <w:rPr>
          <w:color w:val="231F20"/>
          <w:spacing w:val="-19"/>
          <w:w w:val="105"/>
        </w:rPr>
        <w:t> </w:t>
      </w:r>
      <w:r>
        <w:rPr>
          <w:color w:val="231F20"/>
          <w:w w:val="105"/>
        </w:rPr>
        <w:t>stesse</w:t>
      </w:r>
      <w:r>
        <w:rPr>
          <w:color w:val="231F20"/>
          <w:spacing w:val="-19"/>
          <w:w w:val="105"/>
        </w:rPr>
        <w:t> </w:t>
      </w:r>
      <w:r>
        <w:rPr>
          <w:color w:val="231F20"/>
          <w:w w:val="105"/>
        </w:rPr>
        <w:t>che</w:t>
      </w:r>
      <w:r>
        <w:rPr>
          <w:color w:val="231F20"/>
          <w:spacing w:val="-19"/>
          <w:w w:val="105"/>
        </w:rPr>
        <w:t> </w:t>
      </w:r>
      <w:r>
        <w:rPr>
          <w:color w:val="231F20"/>
          <w:w w:val="105"/>
        </w:rPr>
        <w:t>negli </w:t>
      </w:r>
      <w:r>
        <w:rPr>
          <w:color w:val="231F20"/>
          <w:spacing w:val="-3"/>
          <w:w w:val="105"/>
        </w:rPr>
        <w:t>ultimi</w:t>
      </w:r>
      <w:r>
        <w:rPr>
          <w:color w:val="231F20"/>
          <w:spacing w:val="-38"/>
          <w:w w:val="105"/>
        </w:rPr>
        <w:t> </w:t>
      </w:r>
      <w:r>
        <w:rPr>
          <w:color w:val="231F20"/>
          <w:spacing w:val="-3"/>
          <w:w w:val="105"/>
        </w:rPr>
        <w:t>cinquant’anni</w:t>
      </w:r>
      <w:r>
        <w:rPr>
          <w:color w:val="231F20"/>
          <w:spacing w:val="-38"/>
          <w:w w:val="105"/>
        </w:rPr>
        <w:t> </w:t>
      </w:r>
      <w:r>
        <w:rPr>
          <w:color w:val="231F20"/>
          <w:spacing w:val="-3"/>
          <w:w w:val="105"/>
        </w:rPr>
        <w:t>sono</w:t>
      </w:r>
      <w:r>
        <w:rPr>
          <w:color w:val="231F20"/>
          <w:spacing w:val="-38"/>
          <w:w w:val="105"/>
        </w:rPr>
        <w:t> </w:t>
      </w:r>
      <w:r>
        <w:rPr>
          <w:color w:val="231F20"/>
          <w:spacing w:val="-3"/>
          <w:w w:val="105"/>
        </w:rPr>
        <w:t>state</w:t>
      </w:r>
      <w:r>
        <w:rPr>
          <w:color w:val="231F20"/>
          <w:spacing w:val="-38"/>
          <w:w w:val="105"/>
        </w:rPr>
        <w:t> </w:t>
      </w:r>
      <w:r>
        <w:rPr>
          <w:color w:val="231F20"/>
          <w:spacing w:val="-3"/>
          <w:w w:val="105"/>
        </w:rPr>
        <w:t>poste</w:t>
      </w:r>
      <w:r>
        <w:rPr>
          <w:color w:val="231F20"/>
          <w:spacing w:val="-38"/>
          <w:w w:val="105"/>
        </w:rPr>
        <w:t> </w:t>
      </w:r>
      <w:r>
        <w:rPr>
          <w:color w:val="231F20"/>
          <w:w w:val="105"/>
        </w:rPr>
        <w:t>a</w:t>
      </w:r>
      <w:r>
        <w:rPr>
          <w:color w:val="231F20"/>
          <w:spacing w:val="-38"/>
          <w:w w:val="105"/>
        </w:rPr>
        <w:t> </w:t>
      </w:r>
      <w:r>
        <w:rPr>
          <w:color w:val="231F20"/>
          <w:spacing w:val="-4"/>
          <w:w w:val="105"/>
        </w:rPr>
        <w:t>proposito</w:t>
      </w:r>
      <w:r>
        <w:rPr>
          <w:color w:val="231F20"/>
          <w:spacing w:val="-38"/>
          <w:w w:val="105"/>
        </w:rPr>
        <w:t> </w:t>
      </w:r>
      <w:r>
        <w:rPr>
          <w:color w:val="231F20"/>
          <w:w w:val="105"/>
        </w:rPr>
        <w:t>del</w:t>
      </w:r>
      <w:r>
        <w:rPr>
          <w:color w:val="231F20"/>
          <w:spacing w:val="-38"/>
          <w:w w:val="105"/>
        </w:rPr>
        <w:t> </w:t>
      </w:r>
      <w:r>
        <w:rPr>
          <w:color w:val="231F20"/>
          <w:spacing w:val="-4"/>
          <w:w w:val="105"/>
        </w:rPr>
        <w:t>ritardo</w:t>
      </w:r>
      <w:r>
        <w:rPr>
          <w:color w:val="231F20"/>
          <w:spacing w:val="-38"/>
          <w:w w:val="105"/>
        </w:rPr>
        <w:t> </w:t>
      </w:r>
      <w:r>
        <w:rPr>
          <w:color w:val="231F20"/>
          <w:w w:val="105"/>
        </w:rPr>
        <w:t>di</w:t>
      </w:r>
      <w:r>
        <w:rPr>
          <w:color w:val="231F20"/>
          <w:spacing w:val="-38"/>
          <w:w w:val="105"/>
        </w:rPr>
        <w:t> </w:t>
      </w:r>
      <w:r>
        <w:rPr>
          <w:color w:val="231F20"/>
          <w:spacing w:val="-3"/>
          <w:w w:val="105"/>
        </w:rPr>
        <w:t>statualità</w:t>
      </w:r>
      <w:r>
        <w:rPr>
          <w:color w:val="231F20"/>
          <w:spacing w:val="-38"/>
          <w:w w:val="105"/>
        </w:rPr>
        <w:t> </w:t>
      </w:r>
      <w:r>
        <w:rPr>
          <w:color w:val="231F20"/>
          <w:spacing w:val="-3"/>
          <w:w w:val="105"/>
        </w:rPr>
        <w:t>degli </w:t>
      </w:r>
      <w:r>
        <w:rPr>
          <w:color w:val="231F20"/>
          <w:w w:val="105"/>
        </w:rPr>
        <w:t>Stati</w:t>
      </w:r>
      <w:r>
        <w:rPr>
          <w:color w:val="231F20"/>
          <w:spacing w:val="-47"/>
          <w:w w:val="105"/>
        </w:rPr>
        <w:t> </w:t>
      </w:r>
      <w:r>
        <w:rPr>
          <w:color w:val="231F20"/>
          <w:w w:val="105"/>
        </w:rPr>
        <w:t>postcoloniali.</w:t>
      </w:r>
      <w:r>
        <w:rPr>
          <w:color w:val="231F20"/>
          <w:spacing w:val="-47"/>
          <w:w w:val="105"/>
        </w:rPr>
        <w:t> </w:t>
      </w:r>
      <w:r>
        <w:rPr>
          <w:color w:val="231F20"/>
          <w:w w:val="105"/>
        </w:rPr>
        <w:t>Indicativo</w:t>
      </w:r>
      <w:r>
        <w:rPr>
          <w:color w:val="231F20"/>
          <w:spacing w:val="-47"/>
          <w:w w:val="105"/>
        </w:rPr>
        <w:t> </w:t>
      </w:r>
      <w:r>
        <w:rPr>
          <w:color w:val="231F20"/>
          <w:w w:val="105"/>
        </w:rPr>
        <w:t>è</w:t>
      </w:r>
      <w:r>
        <w:rPr>
          <w:color w:val="231F20"/>
          <w:spacing w:val="-47"/>
          <w:w w:val="105"/>
        </w:rPr>
        <w:t> </w:t>
      </w:r>
      <w:r>
        <w:rPr>
          <w:color w:val="231F20"/>
          <w:w w:val="105"/>
        </w:rPr>
        <w:t>il</w:t>
      </w:r>
      <w:r>
        <w:rPr>
          <w:color w:val="231F20"/>
          <w:spacing w:val="-47"/>
          <w:w w:val="105"/>
        </w:rPr>
        <w:t> </w:t>
      </w:r>
      <w:r>
        <w:rPr>
          <w:color w:val="231F20"/>
          <w:w w:val="105"/>
        </w:rPr>
        <w:t>lungo</w:t>
      </w:r>
      <w:r>
        <w:rPr>
          <w:color w:val="231F20"/>
          <w:spacing w:val="-47"/>
          <w:w w:val="105"/>
        </w:rPr>
        <w:t> </w:t>
      </w:r>
      <w:r>
        <w:rPr>
          <w:color w:val="231F20"/>
          <w:w w:val="105"/>
        </w:rPr>
        <w:t>elenco</w:t>
      </w:r>
      <w:r>
        <w:rPr>
          <w:color w:val="231F20"/>
          <w:spacing w:val="-47"/>
          <w:w w:val="105"/>
        </w:rPr>
        <w:t> </w:t>
      </w:r>
      <w:r>
        <w:rPr>
          <w:color w:val="231F20"/>
          <w:w w:val="105"/>
        </w:rPr>
        <w:t>di</w:t>
      </w:r>
      <w:r>
        <w:rPr>
          <w:color w:val="231F20"/>
          <w:spacing w:val="-47"/>
          <w:w w:val="105"/>
        </w:rPr>
        <w:t> </w:t>
      </w:r>
      <w:r>
        <w:rPr>
          <w:color w:val="231F20"/>
          <w:spacing w:val="-3"/>
          <w:w w:val="105"/>
        </w:rPr>
        <w:t>approssimazioni</w:t>
      </w:r>
      <w:r>
        <w:rPr>
          <w:color w:val="231F20"/>
          <w:spacing w:val="-47"/>
          <w:w w:val="105"/>
        </w:rPr>
        <w:t> </w:t>
      </w:r>
      <w:r>
        <w:rPr>
          <w:color w:val="231F20"/>
          <w:w w:val="105"/>
        </w:rPr>
        <w:t>con</w:t>
      </w:r>
      <w:r>
        <w:rPr>
          <w:color w:val="231F20"/>
          <w:spacing w:val="-47"/>
          <w:w w:val="105"/>
        </w:rPr>
        <w:t> </w:t>
      </w:r>
      <w:r>
        <w:rPr>
          <w:color w:val="231F20"/>
          <w:w w:val="105"/>
        </w:rPr>
        <w:t>le</w:t>
      </w:r>
      <w:r>
        <w:rPr>
          <w:color w:val="231F20"/>
          <w:spacing w:val="-47"/>
          <w:w w:val="105"/>
        </w:rPr>
        <w:t> </w:t>
      </w:r>
      <w:r>
        <w:rPr>
          <w:color w:val="231F20"/>
          <w:w w:val="105"/>
        </w:rPr>
        <w:t>quali essi</w:t>
      </w:r>
      <w:r>
        <w:rPr>
          <w:color w:val="231F20"/>
          <w:spacing w:val="-16"/>
          <w:w w:val="105"/>
        </w:rPr>
        <w:t> </w:t>
      </w:r>
      <w:r>
        <w:rPr>
          <w:color w:val="231F20"/>
          <w:w w:val="105"/>
        </w:rPr>
        <w:t>sono</w:t>
      </w:r>
      <w:r>
        <w:rPr>
          <w:color w:val="231F20"/>
          <w:spacing w:val="-16"/>
          <w:w w:val="105"/>
        </w:rPr>
        <w:t> </w:t>
      </w:r>
      <w:r>
        <w:rPr>
          <w:color w:val="231F20"/>
          <w:w w:val="105"/>
        </w:rPr>
        <w:t>stati</w:t>
      </w:r>
      <w:r>
        <w:rPr>
          <w:color w:val="231F20"/>
          <w:spacing w:val="-16"/>
          <w:w w:val="105"/>
        </w:rPr>
        <w:t> </w:t>
      </w:r>
      <w:r>
        <w:rPr>
          <w:color w:val="231F20"/>
          <w:w w:val="105"/>
        </w:rPr>
        <w:t>descritti,</w:t>
      </w:r>
      <w:r>
        <w:rPr>
          <w:color w:val="231F20"/>
          <w:spacing w:val="-16"/>
          <w:w w:val="105"/>
        </w:rPr>
        <w:t> </w:t>
      </w:r>
      <w:r>
        <w:rPr>
          <w:color w:val="231F20"/>
          <w:w w:val="105"/>
        </w:rPr>
        <w:t>volendo</w:t>
      </w:r>
      <w:r>
        <w:rPr>
          <w:color w:val="231F20"/>
          <w:spacing w:val="-16"/>
          <w:w w:val="105"/>
        </w:rPr>
        <w:t> </w:t>
      </w:r>
      <w:r>
        <w:rPr>
          <w:color w:val="231F20"/>
          <w:w w:val="105"/>
        </w:rPr>
        <w:t>indicare</w:t>
      </w:r>
      <w:r>
        <w:rPr>
          <w:color w:val="231F20"/>
          <w:spacing w:val="-16"/>
          <w:w w:val="105"/>
        </w:rPr>
        <w:t> </w:t>
      </w:r>
      <w:r>
        <w:rPr>
          <w:color w:val="231F20"/>
          <w:w w:val="105"/>
        </w:rPr>
        <w:t>il</w:t>
      </w:r>
      <w:r>
        <w:rPr>
          <w:color w:val="231F20"/>
          <w:spacing w:val="-16"/>
          <w:w w:val="105"/>
        </w:rPr>
        <w:t> </w:t>
      </w:r>
      <w:r>
        <w:rPr>
          <w:color w:val="231F20"/>
          <w:w w:val="105"/>
        </w:rPr>
        <w:t>grado</w:t>
      </w:r>
      <w:r>
        <w:rPr>
          <w:color w:val="231F20"/>
          <w:spacing w:val="-16"/>
          <w:w w:val="105"/>
        </w:rPr>
        <w:t> </w:t>
      </w:r>
      <w:r>
        <w:rPr>
          <w:color w:val="231F20"/>
          <w:w w:val="105"/>
        </w:rPr>
        <w:t>di</w:t>
      </w:r>
      <w:r>
        <w:rPr>
          <w:color w:val="231F20"/>
          <w:spacing w:val="-16"/>
          <w:w w:val="105"/>
        </w:rPr>
        <w:t> </w:t>
      </w:r>
      <w:r>
        <w:rPr>
          <w:color w:val="231F20"/>
          <w:w w:val="105"/>
        </w:rPr>
        <w:t>scostamento</w:t>
      </w:r>
      <w:r>
        <w:rPr>
          <w:color w:val="231F20"/>
          <w:spacing w:val="-16"/>
          <w:w w:val="105"/>
        </w:rPr>
        <w:t> </w:t>
      </w:r>
      <w:r>
        <w:rPr>
          <w:color w:val="231F20"/>
          <w:w w:val="105"/>
        </w:rPr>
        <w:t>rispetto a</w:t>
      </w:r>
      <w:r>
        <w:rPr>
          <w:color w:val="231F20"/>
          <w:spacing w:val="-19"/>
          <w:w w:val="105"/>
        </w:rPr>
        <w:t> </w:t>
      </w:r>
      <w:r>
        <w:rPr>
          <w:color w:val="231F20"/>
          <w:w w:val="105"/>
        </w:rPr>
        <w:t>un</w:t>
      </w:r>
      <w:r>
        <w:rPr>
          <w:color w:val="231F20"/>
          <w:spacing w:val="-19"/>
          <w:w w:val="105"/>
        </w:rPr>
        <w:t> </w:t>
      </w:r>
      <w:r>
        <w:rPr>
          <w:color w:val="231F20"/>
          <w:w w:val="105"/>
        </w:rPr>
        <w:t>concetto</w:t>
      </w:r>
      <w:r>
        <w:rPr>
          <w:color w:val="231F20"/>
          <w:spacing w:val="-19"/>
          <w:w w:val="105"/>
        </w:rPr>
        <w:t> </w:t>
      </w:r>
      <w:r>
        <w:rPr>
          <w:color w:val="231F20"/>
          <w:w w:val="105"/>
        </w:rPr>
        <w:t>di</w:t>
      </w:r>
      <w:r>
        <w:rPr>
          <w:color w:val="231F20"/>
          <w:spacing w:val="-19"/>
          <w:w w:val="105"/>
        </w:rPr>
        <w:t> </w:t>
      </w:r>
      <w:r>
        <w:rPr>
          <w:color w:val="231F20"/>
          <w:w w:val="105"/>
        </w:rPr>
        <w:t>Stato</w:t>
      </w:r>
      <w:r>
        <w:rPr>
          <w:color w:val="231F20"/>
          <w:spacing w:val="-19"/>
          <w:w w:val="105"/>
        </w:rPr>
        <w:t> </w:t>
      </w:r>
      <w:r>
        <w:rPr>
          <w:color w:val="231F20"/>
          <w:w w:val="105"/>
        </w:rPr>
        <w:t>magari</w:t>
      </w:r>
      <w:r>
        <w:rPr>
          <w:color w:val="231F20"/>
          <w:spacing w:val="-19"/>
          <w:w w:val="105"/>
        </w:rPr>
        <w:t> </w:t>
      </w:r>
      <w:r>
        <w:rPr>
          <w:color w:val="231F20"/>
          <w:w w:val="105"/>
        </w:rPr>
        <w:t>rigettato:</w:t>
      </w:r>
      <w:r>
        <w:rPr>
          <w:color w:val="231F20"/>
          <w:spacing w:val="-19"/>
          <w:w w:val="105"/>
        </w:rPr>
        <w:t> </w:t>
      </w:r>
      <w:r>
        <w:rPr>
          <w:color w:val="231F20"/>
          <w:w w:val="105"/>
        </w:rPr>
        <w:t>dalle</w:t>
      </w:r>
      <w:r>
        <w:rPr>
          <w:color w:val="231F20"/>
          <w:spacing w:val="-19"/>
          <w:w w:val="105"/>
        </w:rPr>
        <w:t> </w:t>
      </w:r>
      <w:r>
        <w:rPr>
          <w:color w:val="231F20"/>
          <w:w w:val="105"/>
        </w:rPr>
        <w:t>“tribù</w:t>
      </w:r>
      <w:r>
        <w:rPr>
          <w:color w:val="231F20"/>
          <w:spacing w:val="-19"/>
          <w:w w:val="105"/>
        </w:rPr>
        <w:t> </w:t>
      </w:r>
      <w:r>
        <w:rPr>
          <w:color w:val="231F20"/>
          <w:w w:val="105"/>
        </w:rPr>
        <w:t>con</w:t>
      </w:r>
      <w:r>
        <w:rPr>
          <w:color w:val="231F20"/>
          <w:spacing w:val="-19"/>
          <w:w w:val="105"/>
        </w:rPr>
        <w:t> </w:t>
      </w:r>
      <w:r>
        <w:rPr>
          <w:color w:val="231F20"/>
          <w:w w:val="105"/>
        </w:rPr>
        <w:t>una</w:t>
      </w:r>
      <w:r>
        <w:rPr>
          <w:color w:val="231F20"/>
          <w:spacing w:val="-19"/>
          <w:w w:val="105"/>
        </w:rPr>
        <w:t> </w:t>
      </w:r>
      <w:r>
        <w:rPr>
          <w:color w:val="231F20"/>
          <w:w w:val="105"/>
        </w:rPr>
        <w:t>bandiera”,</w:t>
      </w:r>
      <w:r>
        <w:rPr>
          <w:color w:val="231F20"/>
          <w:spacing w:val="-19"/>
          <w:w w:val="105"/>
        </w:rPr>
        <w:t> </w:t>
      </w:r>
      <w:r>
        <w:rPr>
          <w:color w:val="231F20"/>
          <w:w w:val="105"/>
        </w:rPr>
        <w:t>ai microstati,</w:t>
      </w:r>
      <w:r>
        <w:rPr>
          <w:color w:val="231F20"/>
          <w:spacing w:val="-19"/>
          <w:w w:val="105"/>
        </w:rPr>
        <w:t> </w:t>
      </w:r>
      <w:r>
        <w:rPr>
          <w:color w:val="231F20"/>
          <w:w w:val="105"/>
        </w:rPr>
        <w:t>agli</w:t>
      </w:r>
      <w:r>
        <w:rPr>
          <w:color w:val="231F20"/>
          <w:spacing w:val="-19"/>
          <w:w w:val="105"/>
        </w:rPr>
        <w:t> </w:t>
      </w:r>
      <w:r>
        <w:rPr>
          <w:color w:val="231F20"/>
          <w:w w:val="105"/>
        </w:rPr>
        <w:t>Stati</w:t>
      </w:r>
      <w:r>
        <w:rPr>
          <w:color w:val="231F20"/>
          <w:spacing w:val="-19"/>
          <w:w w:val="105"/>
        </w:rPr>
        <w:t> </w:t>
      </w:r>
      <w:r>
        <w:rPr>
          <w:color w:val="231F20"/>
          <w:w w:val="105"/>
        </w:rPr>
        <w:t>falliti.</w:t>
      </w:r>
      <w:r>
        <w:rPr>
          <w:color w:val="231F20"/>
          <w:spacing w:val="-19"/>
          <w:w w:val="105"/>
        </w:rPr>
        <w:t> </w:t>
      </w:r>
      <w:r>
        <w:rPr>
          <w:color w:val="231F20"/>
          <w:w w:val="105"/>
        </w:rPr>
        <w:t>In</w:t>
      </w:r>
      <w:r>
        <w:rPr>
          <w:color w:val="231F20"/>
          <w:spacing w:val="-19"/>
          <w:w w:val="105"/>
        </w:rPr>
        <w:t> </w:t>
      </w:r>
      <w:r>
        <w:rPr>
          <w:color w:val="231F20"/>
          <w:w w:val="105"/>
        </w:rPr>
        <w:t>ogni</w:t>
      </w:r>
      <w:r>
        <w:rPr>
          <w:color w:val="231F20"/>
          <w:spacing w:val="-19"/>
          <w:w w:val="105"/>
        </w:rPr>
        <w:t> </w:t>
      </w:r>
      <w:r>
        <w:rPr>
          <w:color w:val="231F20"/>
          <w:w w:val="105"/>
        </w:rPr>
        <w:t>caso,</w:t>
      </w:r>
      <w:r>
        <w:rPr>
          <w:color w:val="231F20"/>
          <w:spacing w:val="-19"/>
          <w:w w:val="105"/>
        </w:rPr>
        <w:t> </w:t>
      </w:r>
      <w:r>
        <w:rPr>
          <w:color w:val="231F20"/>
          <w:w w:val="105"/>
        </w:rPr>
        <w:t>come</w:t>
      </w:r>
      <w:r>
        <w:rPr>
          <w:color w:val="231F20"/>
          <w:spacing w:val="-19"/>
          <w:w w:val="105"/>
        </w:rPr>
        <w:t> </w:t>
      </w:r>
      <w:r>
        <w:rPr>
          <w:color w:val="231F20"/>
          <w:w w:val="105"/>
        </w:rPr>
        <w:t>scrive</w:t>
      </w:r>
      <w:r>
        <w:rPr>
          <w:color w:val="231F20"/>
          <w:spacing w:val="-19"/>
          <w:w w:val="105"/>
        </w:rPr>
        <w:t> </w:t>
      </w:r>
      <w:r>
        <w:rPr>
          <w:color w:val="231F20"/>
          <w:w w:val="105"/>
        </w:rPr>
        <w:t>Geertz:</w:t>
      </w:r>
      <w:r>
        <w:rPr>
          <w:color w:val="231F20"/>
          <w:spacing w:val="-19"/>
          <w:w w:val="105"/>
        </w:rPr>
        <w:t> </w:t>
      </w:r>
      <w:r>
        <w:rPr>
          <w:color w:val="231F20"/>
          <w:w w:val="105"/>
        </w:rPr>
        <w:t>“Se</w:t>
      </w:r>
      <w:r>
        <w:rPr>
          <w:color w:val="231F20"/>
          <w:spacing w:val="-19"/>
          <w:w w:val="105"/>
        </w:rPr>
        <w:t> </w:t>
      </w:r>
      <w:r>
        <w:rPr>
          <w:color w:val="231F20"/>
          <w:w w:val="105"/>
        </w:rPr>
        <w:t>la</w:t>
      </w:r>
      <w:r>
        <w:rPr>
          <w:color w:val="231F20"/>
          <w:spacing w:val="-19"/>
          <w:w w:val="105"/>
        </w:rPr>
        <w:t> </w:t>
      </w:r>
      <w:r>
        <w:rPr>
          <w:color w:val="231F20"/>
          <w:w w:val="105"/>
        </w:rPr>
        <w:t>Cina</w:t>
      </w:r>
      <w:r>
        <w:rPr>
          <w:color w:val="231F20"/>
          <w:spacing w:val="-19"/>
          <w:w w:val="105"/>
        </w:rPr>
        <w:t> </w:t>
      </w:r>
      <w:r>
        <w:rPr>
          <w:color w:val="231F20"/>
          <w:w w:val="105"/>
        </w:rPr>
        <w:t>è una</w:t>
      </w:r>
      <w:r>
        <w:rPr>
          <w:color w:val="231F20"/>
          <w:spacing w:val="-31"/>
          <w:w w:val="105"/>
        </w:rPr>
        <w:t> </w:t>
      </w:r>
      <w:r>
        <w:rPr>
          <w:color w:val="231F20"/>
          <w:w w:val="105"/>
        </w:rPr>
        <w:t>civiltà</w:t>
      </w:r>
      <w:r>
        <w:rPr>
          <w:color w:val="231F20"/>
          <w:spacing w:val="-31"/>
          <w:w w:val="105"/>
        </w:rPr>
        <w:t> </w:t>
      </w:r>
      <w:r>
        <w:rPr>
          <w:color w:val="231F20"/>
          <w:w w:val="105"/>
        </w:rPr>
        <w:t>che</w:t>
      </w:r>
      <w:r>
        <w:rPr>
          <w:color w:val="231F20"/>
          <w:spacing w:val="-31"/>
          <w:w w:val="105"/>
        </w:rPr>
        <w:t> </w:t>
      </w:r>
      <w:r>
        <w:rPr>
          <w:color w:val="231F20"/>
          <w:w w:val="105"/>
        </w:rPr>
        <w:t>cerca</w:t>
      </w:r>
      <w:r>
        <w:rPr>
          <w:color w:val="231F20"/>
          <w:spacing w:val="-31"/>
          <w:w w:val="105"/>
        </w:rPr>
        <w:t> </w:t>
      </w:r>
      <w:r>
        <w:rPr>
          <w:color w:val="231F20"/>
          <w:w w:val="105"/>
        </w:rPr>
        <w:t>uno</w:t>
      </w:r>
      <w:r>
        <w:rPr>
          <w:color w:val="231F20"/>
          <w:spacing w:val="-31"/>
          <w:w w:val="105"/>
        </w:rPr>
        <w:t> </w:t>
      </w:r>
      <w:r>
        <w:rPr>
          <w:color w:val="231F20"/>
          <w:w w:val="105"/>
        </w:rPr>
        <w:t>Stato,</w:t>
      </w:r>
      <w:r>
        <w:rPr>
          <w:color w:val="231F20"/>
          <w:spacing w:val="-31"/>
          <w:w w:val="105"/>
        </w:rPr>
        <w:t> </w:t>
      </w:r>
      <w:r>
        <w:rPr>
          <w:color w:val="231F20"/>
          <w:w w:val="105"/>
        </w:rPr>
        <w:t>se</w:t>
      </w:r>
      <w:r>
        <w:rPr>
          <w:color w:val="231F20"/>
          <w:spacing w:val="-31"/>
          <w:w w:val="105"/>
        </w:rPr>
        <w:t> </w:t>
      </w:r>
      <w:r>
        <w:rPr>
          <w:color w:val="231F20"/>
          <w:w w:val="105"/>
        </w:rPr>
        <w:t>l’Arabia</w:t>
      </w:r>
      <w:r>
        <w:rPr>
          <w:color w:val="231F20"/>
          <w:spacing w:val="-31"/>
          <w:w w:val="105"/>
        </w:rPr>
        <w:t> </w:t>
      </w:r>
      <w:r>
        <w:rPr>
          <w:color w:val="231F20"/>
          <w:w w:val="105"/>
        </w:rPr>
        <w:t>saudita</w:t>
      </w:r>
      <w:r>
        <w:rPr>
          <w:color w:val="231F20"/>
          <w:spacing w:val="-31"/>
          <w:w w:val="105"/>
        </w:rPr>
        <w:t> </w:t>
      </w:r>
      <w:r>
        <w:rPr>
          <w:color w:val="231F20"/>
          <w:w w:val="105"/>
        </w:rPr>
        <w:t>è</w:t>
      </w:r>
      <w:r>
        <w:rPr>
          <w:color w:val="231F20"/>
          <w:spacing w:val="-31"/>
          <w:w w:val="105"/>
        </w:rPr>
        <w:t> </w:t>
      </w:r>
      <w:r>
        <w:rPr>
          <w:color w:val="231F20"/>
          <w:w w:val="105"/>
        </w:rPr>
        <w:t>un</w:t>
      </w:r>
      <w:r>
        <w:rPr>
          <w:color w:val="231F20"/>
          <w:spacing w:val="-31"/>
          <w:w w:val="105"/>
        </w:rPr>
        <w:t> </w:t>
      </w:r>
      <w:r>
        <w:rPr>
          <w:color w:val="231F20"/>
          <w:w w:val="105"/>
        </w:rPr>
        <w:t>affare</w:t>
      </w:r>
      <w:r>
        <w:rPr>
          <w:color w:val="231F20"/>
          <w:spacing w:val="-31"/>
          <w:w w:val="105"/>
        </w:rPr>
        <w:t> </w:t>
      </w:r>
      <w:r>
        <w:rPr>
          <w:color w:val="231F20"/>
          <w:w w:val="105"/>
        </w:rPr>
        <w:t>di</w:t>
      </w:r>
      <w:r>
        <w:rPr>
          <w:color w:val="231F20"/>
          <w:spacing w:val="-31"/>
          <w:w w:val="105"/>
        </w:rPr>
        <w:t> </w:t>
      </w:r>
      <w:r>
        <w:rPr>
          <w:color w:val="231F20"/>
          <w:w w:val="105"/>
        </w:rPr>
        <w:t>famiglia</w:t>
      </w:r>
      <w:r>
        <w:rPr>
          <w:color w:val="231F20"/>
          <w:spacing w:val="-31"/>
          <w:w w:val="105"/>
        </w:rPr>
        <w:t> </w:t>
      </w:r>
      <w:r>
        <w:rPr>
          <w:color w:val="231F20"/>
          <w:w w:val="105"/>
        </w:rPr>
        <w:t>in forma</w:t>
      </w:r>
      <w:r>
        <w:rPr>
          <w:color w:val="231F20"/>
          <w:spacing w:val="-27"/>
          <w:w w:val="105"/>
        </w:rPr>
        <w:t> </w:t>
      </w:r>
      <w:r>
        <w:rPr>
          <w:color w:val="231F20"/>
          <w:w w:val="105"/>
        </w:rPr>
        <w:t>di</w:t>
      </w:r>
      <w:r>
        <w:rPr>
          <w:color w:val="231F20"/>
          <w:spacing w:val="-27"/>
          <w:w w:val="105"/>
        </w:rPr>
        <w:t> </w:t>
      </w:r>
      <w:r>
        <w:rPr>
          <w:color w:val="231F20"/>
          <w:w w:val="105"/>
        </w:rPr>
        <w:t>Stato,</w:t>
      </w:r>
      <w:r>
        <w:rPr>
          <w:color w:val="231F20"/>
          <w:spacing w:val="-27"/>
          <w:w w:val="105"/>
        </w:rPr>
        <w:t> </w:t>
      </w:r>
      <w:r>
        <w:rPr>
          <w:color w:val="231F20"/>
          <w:w w:val="105"/>
        </w:rPr>
        <w:t>se</w:t>
      </w:r>
      <w:r>
        <w:rPr>
          <w:color w:val="231F20"/>
          <w:spacing w:val="-27"/>
          <w:w w:val="105"/>
        </w:rPr>
        <w:t> </w:t>
      </w:r>
      <w:r>
        <w:rPr>
          <w:color w:val="231F20"/>
          <w:w w:val="105"/>
        </w:rPr>
        <w:t>Israele</w:t>
      </w:r>
      <w:r>
        <w:rPr>
          <w:color w:val="231F20"/>
          <w:spacing w:val="-27"/>
          <w:w w:val="105"/>
        </w:rPr>
        <w:t> </w:t>
      </w:r>
      <w:r>
        <w:rPr>
          <w:color w:val="231F20"/>
          <w:w w:val="105"/>
        </w:rPr>
        <w:t>è</w:t>
      </w:r>
      <w:r>
        <w:rPr>
          <w:color w:val="231F20"/>
          <w:spacing w:val="-27"/>
          <w:w w:val="105"/>
        </w:rPr>
        <w:t> </w:t>
      </w:r>
      <w:r>
        <w:rPr>
          <w:color w:val="231F20"/>
          <w:w w:val="105"/>
        </w:rPr>
        <w:t>una</w:t>
      </w:r>
      <w:r>
        <w:rPr>
          <w:color w:val="231F20"/>
          <w:spacing w:val="-27"/>
          <w:w w:val="105"/>
        </w:rPr>
        <w:t> </w:t>
      </w:r>
      <w:r>
        <w:rPr>
          <w:color w:val="231F20"/>
          <w:w w:val="105"/>
        </w:rPr>
        <w:t>fede</w:t>
      </w:r>
      <w:r>
        <w:rPr>
          <w:color w:val="231F20"/>
          <w:spacing w:val="-27"/>
          <w:w w:val="105"/>
        </w:rPr>
        <w:t> </w:t>
      </w:r>
      <w:r>
        <w:rPr>
          <w:color w:val="231F20"/>
          <w:w w:val="105"/>
        </w:rPr>
        <w:t>inscritta</w:t>
      </w:r>
      <w:r>
        <w:rPr>
          <w:color w:val="231F20"/>
          <w:spacing w:val="-27"/>
          <w:w w:val="105"/>
        </w:rPr>
        <w:t> </w:t>
      </w:r>
      <w:r>
        <w:rPr>
          <w:color w:val="231F20"/>
          <w:w w:val="105"/>
        </w:rPr>
        <w:t>in</w:t>
      </w:r>
      <w:r>
        <w:rPr>
          <w:color w:val="231F20"/>
          <w:spacing w:val="-27"/>
          <w:w w:val="105"/>
        </w:rPr>
        <w:t> </w:t>
      </w:r>
      <w:r>
        <w:rPr>
          <w:color w:val="231F20"/>
          <w:w w:val="105"/>
        </w:rPr>
        <w:t>uno</w:t>
      </w:r>
      <w:r>
        <w:rPr>
          <w:color w:val="231F20"/>
          <w:spacing w:val="-27"/>
          <w:w w:val="105"/>
        </w:rPr>
        <w:t> </w:t>
      </w:r>
      <w:r>
        <w:rPr>
          <w:color w:val="231F20"/>
          <w:w w:val="105"/>
        </w:rPr>
        <w:t>Stato,</w:t>
      </w:r>
      <w:r>
        <w:rPr>
          <w:color w:val="231F20"/>
          <w:spacing w:val="-27"/>
          <w:w w:val="105"/>
        </w:rPr>
        <w:t> </w:t>
      </w:r>
      <w:r>
        <w:rPr>
          <w:color w:val="231F20"/>
          <w:w w:val="105"/>
        </w:rPr>
        <w:t>chi</w:t>
      </w:r>
      <w:r>
        <w:rPr>
          <w:color w:val="231F20"/>
          <w:spacing w:val="-27"/>
          <w:w w:val="105"/>
        </w:rPr>
        <w:t> </w:t>
      </w:r>
      <w:r>
        <w:rPr>
          <w:color w:val="231F20"/>
          <w:w w:val="105"/>
        </w:rPr>
        <w:t>sa</w:t>
      </w:r>
      <w:r>
        <w:rPr>
          <w:color w:val="231F20"/>
          <w:spacing w:val="-27"/>
          <w:w w:val="105"/>
        </w:rPr>
        <w:t> </w:t>
      </w:r>
      <w:r>
        <w:rPr>
          <w:color w:val="231F20"/>
          <w:w w:val="105"/>
        </w:rPr>
        <w:t>che</w:t>
      </w:r>
      <w:r>
        <w:rPr>
          <w:color w:val="231F20"/>
          <w:spacing w:val="-27"/>
          <w:w w:val="105"/>
        </w:rPr>
        <w:t> </w:t>
      </w:r>
      <w:r>
        <w:rPr>
          <w:color w:val="231F20"/>
          <w:w w:val="105"/>
        </w:rPr>
        <w:t>cos’è la</w:t>
      </w:r>
      <w:r>
        <w:rPr>
          <w:color w:val="231F20"/>
          <w:spacing w:val="-24"/>
          <w:w w:val="105"/>
        </w:rPr>
        <w:t> </w:t>
      </w:r>
      <w:r>
        <w:rPr>
          <w:color w:val="231F20"/>
          <w:w w:val="105"/>
        </w:rPr>
        <w:t>Moldova”?</w:t>
      </w:r>
      <w:r>
        <w:rPr>
          <w:color w:val="231F20"/>
          <w:spacing w:val="-24"/>
          <w:w w:val="105"/>
        </w:rPr>
        <w:t> </w:t>
      </w:r>
      <w:r>
        <w:rPr>
          <w:color w:val="231F20"/>
          <w:w w:val="105"/>
        </w:rPr>
        <w:t>Ovviamente</w:t>
      </w:r>
      <w:r>
        <w:rPr>
          <w:color w:val="231F20"/>
          <w:spacing w:val="-24"/>
          <w:w w:val="105"/>
        </w:rPr>
        <w:t> </w:t>
      </w:r>
      <w:r>
        <w:rPr>
          <w:color w:val="231F20"/>
          <w:w w:val="105"/>
        </w:rPr>
        <w:t>delle</w:t>
      </w:r>
      <w:r>
        <w:rPr>
          <w:color w:val="231F20"/>
          <w:spacing w:val="-24"/>
          <w:w w:val="105"/>
        </w:rPr>
        <w:t> </w:t>
      </w:r>
      <w:r>
        <w:rPr>
          <w:color w:val="231F20"/>
          <w:w w:val="105"/>
        </w:rPr>
        <w:t>risposte</w:t>
      </w:r>
      <w:r>
        <w:rPr>
          <w:color w:val="231F20"/>
          <w:spacing w:val="-24"/>
          <w:w w:val="105"/>
        </w:rPr>
        <w:t> </w:t>
      </w:r>
      <w:r>
        <w:rPr>
          <w:color w:val="231F20"/>
          <w:w w:val="105"/>
        </w:rPr>
        <w:t>esistono</w:t>
      </w:r>
      <w:r>
        <w:rPr>
          <w:w w:val="105"/>
          <w:position w:val="7"/>
          <w:sz w:val="12"/>
        </w:rPr>
        <w:t>55</w:t>
      </w:r>
      <w:r>
        <w:rPr>
          <w:color w:val="231F20"/>
          <w:w w:val="105"/>
        </w:rPr>
        <w:t>.</w:t>
      </w:r>
      <w:r>
        <w:rPr>
          <w:color w:val="231F20"/>
          <w:spacing w:val="-24"/>
          <w:w w:val="105"/>
        </w:rPr>
        <w:t> </w:t>
      </w:r>
      <w:r>
        <w:rPr>
          <w:color w:val="231F20"/>
          <w:w w:val="105"/>
        </w:rPr>
        <w:t>Ciò</w:t>
      </w:r>
      <w:r>
        <w:rPr>
          <w:color w:val="231F20"/>
          <w:spacing w:val="-24"/>
          <w:w w:val="105"/>
        </w:rPr>
        <w:t> </w:t>
      </w:r>
      <w:r>
        <w:rPr>
          <w:color w:val="231F20"/>
          <w:w w:val="105"/>
        </w:rPr>
        <w:t>che</w:t>
      </w:r>
      <w:r>
        <w:rPr>
          <w:color w:val="231F20"/>
          <w:spacing w:val="-24"/>
          <w:w w:val="105"/>
        </w:rPr>
        <w:t> </w:t>
      </w:r>
      <w:r>
        <w:rPr>
          <w:color w:val="231F20"/>
          <w:w w:val="105"/>
        </w:rPr>
        <w:t>a</w:t>
      </w:r>
      <w:r>
        <w:rPr>
          <w:color w:val="231F20"/>
          <w:spacing w:val="-24"/>
          <w:w w:val="105"/>
        </w:rPr>
        <w:t> </w:t>
      </w:r>
      <w:r>
        <w:rPr>
          <w:color w:val="231F20"/>
          <w:w w:val="105"/>
        </w:rPr>
        <w:t>noi</w:t>
      </w:r>
      <w:r>
        <w:rPr>
          <w:color w:val="231F20"/>
          <w:spacing w:val="-24"/>
          <w:w w:val="105"/>
        </w:rPr>
        <w:t> </w:t>
      </w:r>
      <w:r>
        <w:rPr>
          <w:color w:val="231F20"/>
          <w:w w:val="105"/>
        </w:rPr>
        <w:t>interessa però</w:t>
      </w:r>
      <w:r>
        <w:rPr>
          <w:color w:val="231F20"/>
          <w:spacing w:val="-24"/>
          <w:w w:val="105"/>
        </w:rPr>
        <w:t> </w:t>
      </w:r>
      <w:r>
        <w:rPr>
          <w:color w:val="231F20"/>
          <w:w w:val="105"/>
        </w:rPr>
        <w:t>è</w:t>
      </w:r>
      <w:r>
        <w:rPr>
          <w:color w:val="231F20"/>
          <w:spacing w:val="-24"/>
          <w:w w:val="105"/>
        </w:rPr>
        <w:t> </w:t>
      </w:r>
      <w:r>
        <w:rPr>
          <w:color w:val="231F20"/>
          <w:w w:val="105"/>
        </w:rPr>
        <w:t>il</w:t>
      </w:r>
      <w:r>
        <w:rPr>
          <w:color w:val="231F20"/>
          <w:spacing w:val="-24"/>
          <w:w w:val="105"/>
        </w:rPr>
        <w:t> </w:t>
      </w:r>
      <w:r>
        <w:rPr>
          <w:color w:val="231F20"/>
          <w:w w:val="105"/>
        </w:rPr>
        <w:t>piano</w:t>
      </w:r>
      <w:r>
        <w:rPr>
          <w:color w:val="231F20"/>
          <w:spacing w:val="-24"/>
          <w:w w:val="105"/>
        </w:rPr>
        <w:t> </w:t>
      </w:r>
      <w:r>
        <w:rPr>
          <w:color w:val="231F20"/>
          <w:w w:val="105"/>
        </w:rPr>
        <w:t>della</w:t>
      </w:r>
      <w:r>
        <w:rPr>
          <w:color w:val="231F20"/>
          <w:spacing w:val="-24"/>
          <w:w w:val="105"/>
        </w:rPr>
        <w:t> </w:t>
      </w:r>
      <w:r>
        <w:rPr>
          <w:color w:val="231F20"/>
          <w:w w:val="105"/>
        </w:rPr>
        <w:t>domanda</w:t>
      </w:r>
      <w:r>
        <w:rPr>
          <w:color w:val="231F20"/>
          <w:spacing w:val="-24"/>
          <w:w w:val="105"/>
        </w:rPr>
        <w:t> </w:t>
      </w:r>
      <w:r>
        <w:rPr>
          <w:color w:val="231F20"/>
          <w:w w:val="105"/>
        </w:rPr>
        <w:t>che</w:t>
      </w:r>
      <w:r>
        <w:rPr>
          <w:color w:val="231F20"/>
          <w:spacing w:val="-24"/>
          <w:w w:val="105"/>
        </w:rPr>
        <w:t> </w:t>
      </w:r>
      <w:r>
        <w:rPr>
          <w:color w:val="231F20"/>
          <w:w w:val="105"/>
        </w:rPr>
        <w:t>non</w:t>
      </w:r>
      <w:r>
        <w:rPr>
          <w:color w:val="231F20"/>
          <w:spacing w:val="-24"/>
          <w:w w:val="105"/>
        </w:rPr>
        <w:t> </w:t>
      </w:r>
      <w:r>
        <w:rPr>
          <w:color w:val="231F20"/>
          <w:w w:val="105"/>
        </w:rPr>
        <w:t>investe</w:t>
      </w:r>
      <w:r>
        <w:rPr>
          <w:color w:val="231F20"/>
          <w:spacing w:val="-24"/>
          <w:w w:val="105"/>
        </w:rPr>
        <w:t> </w:t>
      </w:r>
      <w:r>
        <w:rPr>
          <w:color w:val="231F20"/>
          <w:w w:val="105"/>
        </w:rPr>
        <w:t>solamente</w:t>
      </w:r>
      <w:r>
        <w:rPr>
          <w:color w:val="231F20"/>
          <w:spacing w:val="-24"/>
          <w:w w:val="105"/>
        </w:rPr>
        <w:t> </w:t>
      </w:r>
      <w:r>
        <w:rPr>
          <w:color w:val="231F20"/>
          <w:w w:val="105"/>
        </w:rPr>
        <w:t>l’organizzazione istituzionale,</w:t>
      </w:r>
      <w:r>
        <w:rPr>
          <w:color w:val="231F20"/>
          <w:spacing w:val="-9"/>
          <w:w w:val="105"/>
        </w:rPr>
        <w:t> </w:t>
      </w:r>
      <w:r>
        <w:rPr>
          <w:color w:val="231F20"/>
          <w:w w:val="105"/>
        </w:rPr>
        <w:t>ma</w:t>
      </w:r>
      <w:r>
        <w:rPr>
          <w:color w:val="231F20"/>
          <w:spacing w:val="-9"/>
          <w:w w:val="105"/>
        </w:rPr>
        <w:t> </w:t>
      </w:r>
      <w:r>
        <w:rPr>
          <w:color w:val="231F20"/>
          <w:w w:val="105"/>
        </w:rPr>
        <w:t>anche</w:t>
      </w:r>
      <w:r>
        <w:rPr>
          <w:color w:val="231F20"/>
          <w:spacing w:val="-9"/>
          <w:w w:val="105"/>
        </w:rPr>
        <w:t> </w:t>
      </w:r>
      <w:r>
        <w:rPr>
          <w:color w:val="231F20"/>
          <w:w w:val="105"/>
        </w:rPr>
        <w:t>la</w:t>
      </w:r>
      <w:r>
        <w:rPr>
          <w:color w:val="231F20"/>
          <w:spacing w:val="-9"/>
          <w:w w:val="105"/>
        </w:rPr>
        <w:t> </w:t>
      </w:r>
      <w:r>
        <w:rPr>
          <w:color w:val="231F20"/>
          <w:w w:val="105"/>
        </w:rPr>
        <w:t>sua</w:t>
      </w:r>
      <w:r>
        <w:rPr>
          <w:color w:val="231F20"/>
          <w:spacing w:val="-9"/>
          <w:w w:val="105"/>
        </w:rPr>
        <w:t> </w:t>
      </w:r>
      <w:r>
        <w:rPr>
          <w:color w:val="231F20"/>
          <w:w w:val="105"/>
        </w:rPr>
        <w:t>legittimazione.</w:t>
      </w:r>
      <w:r>
        <w:rPr>
          <w:color w:val="231F20"/>
          <w:spacing w:val="-9"/>
          <w:w w:val="105"/>
        </w:rPr>
        <w:t> </w:t>
      </w:r>
      <w:r>
        <w:rPr>
          <w:color w:val="231F20"/>
          <w:w w:val="105"/>
        </w:rPr>
        <w:t>In</w:t>
      </w:r>
      <w:r>
        <w:rPr>
          <w:color w:val="231F20"/>
          <w:spacing w:val="-9"/>
          <w:w w:val="105"/>
        </w:rPr>
        <w:t> </w:t>
      </w:r>
      <w:r>
        <w:rPr>
          <w:color w:val="231F20"/>
          <w:w w:val="105"/>
        </w:rPr>
        <w:t>altri</w:t>
      </w:r>
      <w:r>
        <w:rPr>
          <w:color w:val="231F20"/>
          <w:spacing w:val="-9"/>
          <w:w w:val="105"/>
        </w:rPr>
        <w:t> </w:t>
      </w:r>
      <w:r>
        <w:rPr>
          <w:color w:val="231F20"/>
          <w:w w:val="105"/>
        </w:rPr>
        <w:t>due</w:t>
      </w:r>
      <w:r>
        <w:rPr>
          <w:color w:val="231F20"/>
          <w:spacing w:val="-9"/>
          <w:w w:val="105"/>
        </w:rPr>
        <w:t> </w:t>
      </w:r>
      <w:r>
        <w:rPr>
          <w:color w:val="231F20"/>
          <w:w w:val="105"/>
        </w:rPr>
        <w:t>saggi</w:t>
      </w:r>
      <w:r>
        <w:rPr>
          <w:color w:val="231F20"/>
          <w:spacing w:val="-9"/>
          <w:w w:val="105"/>
        </w:rPr>
        <w:t> </w:t>
      </w:r>
      <w:r>
        <w:rPr>
          <w:color w:val="231F20"/>
          <w:w w:val="105"/>
        </w:rPr>
        <w:t>Geertz</w:t>
      </w:r>
      <w:r>
        <w:rPr>
          <w:color w:val="231F20"/>
          <w:spacing w:val="-9"/>
          <w:w w:val="105"/>
        </w:rPr>
        <w:t> </w:t>
      </w:r>
      <w:r>
        <w:rPr>
          <w:color w:val="231F20"/>
          <w:w w:val="105"/>
        </w:rPr>
        <w:t>si chiedeva: “che cos’è un paese se non è una nazione”? e “che cos’è</w:t>
      </w:r>
      <w:r>
        <w:rPr>
          <w:color w:val="231F20"/>
          <w:spacing w:val="-36"/>
          <w:w w:val="105"/>
        </w:rPr>
        <w:t> </w:t>
      </w:r>
      <w:r>
        <w:rPr>
          <w:color w:val="231F20"/>
          <w:w w:val="105"/>
        </w:rPr>
        <w:t>una cultura</w:t>
      </w:r>
      <w:r>
        <w:rPr>
          <w:color w:val="231F20"/>
          <w:spacing w:val="-41"/>
          <w:w w:val="105"/>
        </w:rPr>
        <w:t> </w:t>
      </w:r>
      <w:r>
        <w:rPr>
          <w:color w:val="231F20"/>
          <w:w w:val="105"/>
        </w:rPr>
        <w:t>se</w:t>
      </w:r>
      <w:r>
        <w:rPr>
          <w:color w:val="231F20"/>
          <w:spacing w:val="-41"/>
          <w:w w:val="105"/>
        </w:rPr>
        <w:t> </w:t>
      </w:r>
      <w:r>
        <w:rPr>
          <w:color w:val="231F20"/>
          <w:w w:val="105"/>
        </w:rPr>
        <w:t>non</w:t>
      </w:r>
      <w:r>
        <w:rPr>
          <w:color w:val="231F20"/>
          <w:spacing w:val="-41"/>
          <w:w w:val="105"/>
        </w:rPr>
        <w:t> </w:t>
      </w:r>
      <w:r>
        <w:rPr>
          <w:color w:val="231F20"/>
          <w:w w:val="105"/>
        </w:rPr>
        <w:t>è</w:t>
      </w:r>
      <w:r>
        <w:rPr>
          <w:color w:val="231F20"/>
          <w:spacing w:val="-41"/>
          <w:w w:val="105"/>
        </w:rPr>
        <w:t> </w:t>
      </w:r>
      <w:r>
        <w:rPr>
          <w:color w:val="231F20"/>
          <w:w w:val="105"/>
        </w:rPr>
        <w:t>consenso”?</w:t>
      </w:r>
      <w:r>
        <w:rPr>
          <w:w w:val="105"/>
          <w:position w:val="7"/>
          <w:sz w:val="12"/>
        </w:rPr>
        <w:t>56</w:t>
      </w:r>
      <w:r>
        <w:rPr>
          <w:spacing w:val="-11"/>
          <w:w w:val="105"/>
          <w:position w:val="7"/>
          <w:sz w:val="12"/>
        </w:rPr>
        <w:t> </w:t>
      </w:r>
      <w:r>
        <w:rPr>
          <w:color w:val="231F20"/>
          <w:w w:val="105"/>
        </w:rPr>
        <w:t>Queste</w:t>
      </w:r>
      <w:r>
        <w:rPr>
          <w:color w:val="231F20"/>
          <w:spacing w:val="-41"/>
          <w:w w:val="105"/>
        </w:rPr>
        <w:t> </w:t>
      </w:r>
      <w:r>
        <w:rPr>
          <w:color w:val="231F20"/>
          <w:w w:val="105"/>
        </w:rPr>
        <w:t>due</w:t>
      </w:r>
      <w:r>
        <w:rPr>
          <w:color w:val="231F20"/>
          <w:spacing w:val="-41"/>
          <w:w w:val="105"/>
        </w:rPr>
        <w:t> </w:t>
      </w:r>
      <w:r>
        <w:rPr>
          <w:color w:val="231F20"/>
          <w:w w:val="105"/>
        </w:rPr>
        <w:t>domande</w:t>
      </w:r>
      <w:r>
        <w:rPr>
          <w:color w:val="231F20"/>
          <w:spacing w:val="-41"/>
          <w:w w:val="105"/>
        </w:rPr>
        <w:t> </w:t>
      </w:r>
      <w:r>
        <w:rPr>
          <w:color w:val="231F20"/>
          <w:w w:val="105"/>
        </w:rPr>
        <w:t>impongono</w:t>
      </w:r>
      <w:r>
        <w:rPr>
          <w:color w:val="231F20"/>
          <w:spacing w:val="-41"/>
          <w:w w:val="105"/>
        </w:rPr>
        <w:t> </w:t>
      </w:r>
      <w:r>
        <w:rPr>
          <w:color w:val="231F20"/>
          <w:w w:val="105"/>
        </w:rPr>
        <w:t>un</w:t>
      </w:r>
      <w:r>
        <w:rPr>
          <w:color w:val="231F20"/>
          <w:spacing w:val="-41"/>
          <w:w w:val="105"/>
        </w:rPr>
        <w:t> </w:t>
      </w:r>
      <w:r>
        <w:rPr>
          <w:color w:val="231F20"/>
          <w:w w:val="105"/>
        </w:rPr>
        <w:t>piano</w:t>
      </w:r>
      <w:r>
        <w:rPr>
          <w:color w:val="231F20"/>
          <w:spacing w:val="-41"/>
          <w:w w:val="105"/>
        </w:rPr>
        <w:t> </w:t>
      </w:r>
      <w:r>
        <w:rPr>
          <w:color w:val="231F20"/>
          <w:w w:val="105"/>
        </w:rPr>
        <w:t>di </w:t>
      </w:r>
      <w:r>
        <w:rPr>
          <w:color w:val="231F20"/>
          <w:spacing w:val="-3"/>
          <w:w w:val="105"/>
        </w:rPr>
        <w:t>analisi</w:t>
      </w:r>
      <w:r>
        <w:rPr>
          <w:color w:val="231F20"/>
          <w:spacing w:val="-41"/>
          <w:w w:val="105"/>
        </w:rPr>
        <w:t> </w:t>
      </w:r>
      <w:r>
        <w:rPr>
          <w:color w:val="231F20"/>
          <w:w w:val="105"/>
        </w:rPr>
        <w:t>che</w:t>
      </w:r>
      <w:r>
        <w:rPr>
          <w:color w:val="231F20"/>
          <w:spacing w:val="-41"/>
          <w:w w:val="105"/>
        </w:rPr>
        <w:t> </w:t>
      </w:r>
      <w:r>
        <w:rPr>
          <w:color w:val="231F20"/>
          <w:spacing w:val="-3"/>
          <w:w w:val="105"/>
        </w:rPr>
        <w:t>raggiunge</w:t>
      </w:r>
      <w:r>
        <w:rPr>
          <w:color w:val="231F20"/>
          <w:spacing w:val="-41"/>
          <w:w w:val="105"/>
        </w:rPr>
        <w:t> </w:t>
      </w:r>
      <w:r>
        <w:rPr>
          <w:color w:val="231F20"/>
          <w:w w:val="105"/>
        </w:rPr>
        <w:t>lo</w:t>
      </w:r>
      <w:r>
        <w:rPr>
          <w:color w:val="231F20"/>
          <w:spacing w:val="-41"/>
          <w:w w:val="105"/>
        </w:rPr>
        <w:t> </w:t>
      </w:r>
      <w:r>
        <w:rPr>
          <w:color w:val="231F20"/>
          <w:spacing w:val="-3"/>
          <w:w w:val="105"/>
        </w:rPr>
        <w:t>stesso</w:t>
      </w:r>
      <w:r>
        <w:rPr>
          <w:color w:val="231F20"/>
          <w:spacing w:val="-41"/>
          <w:w w:val="105"/>
        </w:rPr>
        <w:t> </w:t>
      </w:r>
      <w:r>
        <w:rPr>
          <w:color w:val="231F20"/>
          <w:spacing w:val="-3"/>
          <w:w w:val="105"/>
        </w:rPr>
        <w:t>fondamento</w:t>
      </w:r>
      <w:r>
        <w:rPr>
          <w:color w:val="231F20"/>
          <w:spacing w:val="-41"/>
          <w:w w:val="105"/>
        </w:rPr>
        <w:t> </w:t>
      </w:r>
      <w:r>
        <w:rPr>
          <w:color w:val="231F20"/>
          <w:w w:val="105"/>
        </w:rPr>
        <w:t>di</w:t>
      </w:r>
      <w:r>
        <w:rPr>
          <w:color w:val="231F20"/>
          <w:spacing w:val="-41"/>
          <w:w w:val="105"/>
        </w:rPr>
        <w:t> </w:t>
      </w:r>
      <w:r>
        <w:rPr>
          <w:color w:val="231F20"/>
          <w:spacing w:val="-3"/>
          <w:w w:val="105"/>
        </w:rPr>
        <w:t>possibilità</w:t>
      </w:r>
      <w:r>
        <w:rPr>
          <w:color w:val="231F20"/>
          <w:spacing w:val="-41"/>
          <w:w w:val="105"/>
        </w:rPr>
        <w:t> </w:t>
      </w:r>
      <w:r>
        <w:rPr>
          <w:color w:val="231F20"/>
          <w:spacing w:val="-3"/>
          <w:w w:val="105"/>
        </w:rPr>
        <w:t>dello</w:t>
      </w:r>
      <w:r>
        <w:rPr>
          <w:color w:val="231F20"/>
          <w:spacing w:val="-41"/>
          <w:w w:val="105"/>
        </w:rPr>
        <w:t> </w:t>
      </w:r>
      <w:r>
        <w:rPr>
          <w:color w:val="231F20"/>
          <w:spacing w:val="-3"/>
          <w:w w:val="105"/>
        </w:rPr>
        <w:t>Stato</w:t>
      </w:r>
      <w:r>
        <w:rPr>
          <w:color w:val="231F20"/>
          <w:spacing w:val="-41"/>
          <w:w w:val="105"/>
        </w:rPr>
        <w:t> </w:t>
      </w:r>
      <w:r>
        <w:rPr>
          <w:color w:val="231F20"/>
          <w:spacing w:val="-3"/>
          <w:w w:val="105"/>
        </w:rPr>
        <w:t>moderno </w:t>
      </w:r>
      <w:r>
        <w:rPr>
          <w:color w:val="231F20"/>
          <w:w w:val="105"/>
        </w:rPr>
        <w:t>ponendolo di fronte a quelle che storicamente sembravano acquisizioni stabili.</w:t>
      </w:r>
      <w:r>
        <w:rPr>
          <w:color w:val="231F20"/>
          <w:spacing w:val="-11"/>
          <w:w w:val="105"/>
        </w:rPr>
        <w:t> </w:t>
      </w:r>
      <w:r>
        <w:rPr>
          <w:color w:val="231F20"/>
          <w:w w:val="105"/>
        </w:rPr>
        <w:t>Le</w:t>
      </w:r>
      <w:r>
        <w:rPr>
          <w:color w:val="231F20"/>
          <w:spacing w:val="-11"/>
          <w:w w:val="105"/>
        </w:rPr>
        <w:t> </w:t>
      </w:r>
      <w:r>
        <w:rPr>
          <w:color w:val="231F20"/>
          <w:w w:val="105"/>
        </w:rPr>
        <w:t>risposte</w:t>
      </w:r>
      <w:r>
        <w:rPr>
          <w:color w:val="231F20"/>
          <w:spacing w:val="-11"/>
          <w:w w:val="105"/>
        </w:rPr>
        <w:t> </w:t>
      </w:r>
      <w:r>
        <w:rPr>
          <w:color w:val="231F20"/>
          <w:w w:val="105"/>
        </w:rPr>
        <w:t>degli</w:t>
      </w:r>
      <w:r>
        <w:rPr>
          <w:color w:val="231F20"/>
          <w:spacing w:val="-11"/>
          <w:w w:val="105"/>
        </w:rPr>
        <w:t> </w:t>
      </w:r>
      <w:r>
        <w:rPr>
          <w:color w:val="231F20"/>
          <w:w w:val="105"/>
        </w:rPr>
        <w:t>antropologi</w:t>
      </w:r>
      <w:r>
        <w:rPr>
          <w:color w:val="231F20"/>
          <w:spacing w:val="-11"/>
          <w:w w:val="105"/>
        </w:rPr>
        <w:t> </w:t>
      </w:r>
      <w:r>
        <w:rPr>
          <w:color w:val="231F20"/>
          <w:w w:val="105"/>
        </w:rPr>
        <w:t>si</w:t>
      </w:r>
      <w:r>
        <w:rPr>
          <w:color w:val="231F20"/>
          <w:spacing w:val="-11"/>
          <w:w w:val="105"/>
        </w:rPr>
        <w:t> </w:t>
      </w:r>
      <w:r>
        <w:rPr>
          <w:color w:val="231F20"/>
          <w:w w:val="105"/>
        </w:rPr>
        <w:t>organizzano</w:t>
      </w:r>
      <w:r>
        <w:rPr>
          <w:color w:val="231F20"/>
          <w:spacing w:val="-11"/>
          <w:w w:val="105"/>
        </w:rPr>
        <w:t> </w:t>
      </w:r>
      <w:r>
        <w:rPr>
          <w:color w:val="231F20"/>
          <w:w w:val="105"/>
        </w:rPr>
        <w:t>spesso</w:t>
      </w:r>
      <w:r>
        <w:rPr>
          <w:color w:val="231F20"/>
          <w:spacing w:val="-11"/>
          <w:w w:val="105"/>
        </w:rPr>
        <w:t> </w:t>
      </w:r>
      <w:r>
        <w:rPr>
          <w:color w:val="231F20"/>
          <w:w w:val="105"/>
        </w:rPr>
        <w:t>attorno</w:t>
      </w:r>
      <w:r>
        <w:rPr>
          <w:color w:val="231F20"/>
          <w:spacing w:val="-11"/>
          <w:w w:val="105"/>
        </w:rPr>
        <w:t> </w:t>
      </w:r>
      <w:r>
        <w:rPr>
          <w:color w:val="231F20"/>
          <w:w w:val="105"/>
        </w:rPr>
        <w:t>a</w:t>
      </w:r>
      <w:r>
        <w:rPr>
          <w:color w:val="231F20"/>
          <w:spacing w:val="-11"/>
          <w:w w:val="105"/>
        </w:rPr>
        <w:t> </w:t>
      </w:r>
      <w:r>
        <w:rPr>
          <w:color w:val="231F20"/>
          <w:w w:val="105"/>
        </w:rPr>
        <w:t>una nozione</w:t>
      </w:r>
      <w:r>
        <w:rPr>
          <w:color w:val="231F20"/>
          <w:spacing w:val="-39"/>
          <w:w w:val="105"/>
        </w:rPr>
        <w:t> </w:t>
      </w:r>
      <w:r>
        <w:rPr>
          <w:color w:val="231F20"/>
          <w:w w:val="105"/>
        </w:rPr>
        <w:t>scivolosa</w:t>
      </w:r>
      <w:r>
        <w:rPr>
          <w:color w:val="231F20"/>
          <w:spacing w:val="-39"/>
          <w:w w:val="105"/>
        </w:rPr>
        <w:t> </w:t>
      </w:r>
      <w:r>
        <w:rPr>
          <w:color w:val="231F20"/>
          <w:w w:val="105"/>
        </w:rPr>
        <w:t>e</w:t>
      </w:r>
      <w:r>
        <w:rPr>
          <w:color w:val="231F20"/>
          <w:spacing w:val="-39"/>
          <w:w w:val="105"/>
        </w:rPr>
        <w:t> </w:t>
      </w:r>
      <w:r>
        <w:rPr>
          <w:color w:val="231F20"/>
          <w:w w:val="105"/>
        </w:rPr>
        <w:t>complessa</w:t>
      </w:r>
      <w:r>
        <w:rPr>
          <w:color w:val="231F20"/>
          <w:spacing w:val="-39"/>
          <w:w w:val="105"/>
        </w:rPr>
        <w:t> </w:t>
      </w:r>
      <w:r>
        <w:rPr>
          <w:color w:val="231F20"/>
          <w:w w:val="105"/>
        </w:rPr>
        <w:t>come</w:t>
      </w:r>
      <w:r>
        <w:rPr>
          <w:color w:val="231F20"/>
          <w:spacing w:val="-39"/>
          <w:w w:val="105"/>
        </w:rPr>
        <w:t> </w:t>
      </w:r>
      <w:r>
        <w:rPr>
          <w:color w:val="231F20"/>
          <w:w w:val="105"/>
        </w:rPr>
        <w:t>quella</w:t>
      </w:r>
      <w:r>
        <w:rPr>
          <w:color w:val="231F20"/>
          <w:spacing w:val="-39"/>
          <w:w w:val="105"/>
        </w:rPr>
        <w:t> </w:t>
      </w:r>
      <w:r>
        <w:rPr>
          <w:color w:val="231F20"/>
          <w:w w:val="105"/>
        </w:rPr>
        <w:t>di</w:t>
      </w:r>
      <w:r>
        <w:rPr>
          <w:color w:val="231F20"/>
          <w:spacing w:val="-39"/>
          <w:w w:val="105"/>
        </w:rPr>
        <w:t> </w:t>
      </w:r>
      <w:r>
        <w:rPr>
          <w:color w:val="231F20"/>
          <w:w w:val="105"/>
        </w:rPr>
        <w:t>identità:</w:t>
      </w:r>
      <w:r>
        <w:rPr>
          <w:color w:val="231F20"/>
          <w:spacing w:val="-39"/>
          <w:w w:val="105"/>
        </w:rPr>
        <w:t> </w:t>
      </w:r>
      <w:r>
        <w:rPr>
          <w:color w:val="231F20"/>
          <w:w w:val="105"/>
        </w:rPr>
        <w:t>risalendo</w:t>
      </w:r>
      <w:r>
        <w:rPr>
          <w:color w:val="231F20"/>
          <w:spacing w:val="-39"/>
          <w:w w:val="105"/>
        </w:rPr>
        <w:t> </w:t>
      </w:r>
      <w:r>
        <w:rPr>
          <w:color w:val="231F20"/>
          <w:w w:val="105"/>
        </w:rPr>
        <w:t>in</w:t>
      </w:r>
      <w:r>
        <w:rPr>
          <w:color w:val="231F20"/>
          <w:spacing w:val="-39"/>
          <w:w w:val="105"/>
        </w:rPr>
        <w:t> </w:t>
      </w:r>
      <w:r>
        <w:rPr>
          <w:color w:val="231F20"/>
          <w:w w:val="105"/>
        </w:rPr>
        <w:t>qualche modo dalle identità individuali o di gruppo essi giungono a costituire la possibile</w:t>
      </w:r>
      <w:r>
        <w:rPr>
          <w:color w:val="231F20"/>
          <w:spacing w:val="-24"/>
          <w:w w:val="105"/>
        </w:rPr>
        <w:t> </w:t>
      </w:r>
      <w:r>
        <w:rPr>
          <w:color w:val="231F20"/>
          <w:w w:val="105"/>
        </w:rPr>
        <w:t>identità</w:t>
      </w:r>
      <w:r>
        <w:rPr>
          <w:color w:val="231F20"/>
          <w:spacing w:val="-24"/>
          <w:w w:val="105"/>
        </w:rPr>
        <w:t> </w:t>
      </w:r>
      <w:r>
        <w:rPr>
          <w:color w:val="231F20"/>
          <w:w w:val="105"/>
        </w:rPr>
        <w:t>politica</w:t>
      </w:r>
      <w:r>
        <w:rPr>
          <w:color w:val="231F20"/>
          <w:spacing w:val="-24"/>
          <w:w w:val="105"/>
        </w:rPr>
        <w:t> </w:t>
      </w:r>
      <w:r>
        <w:rPr>
          <w:color w:val="231F20"/>
          <w:w w:val="105"/>
        </w:rPr>
        <w:t>che</w:t>
      </w:r>
      <w:r>
        <w:rPr>
          <w:color w:val="231F20"/>
          <w:spacing w:val="-24"/>
          <w:w w:val="105"/>
        </w:rPr>
        <w:t> </w:t>
      </w:r>
      <w:r>
        <w:rPr>
          <w:color w:val="231F20"/>
          <w:w w:val="105"/>
        </w:rPr>
        <w:t>dovrebbe</w:t>
      </w:r>
      <w:r>
        <w:rPr>
          <w:color w:val="231F20"/>
          <w:spacing w:val="-24"/>
          <w:w w:val="105"/>
        </w:rPr>
        <w:t> </w:t>
      </w:r>
      <w:r>
        <w:rPr>
          <w:color w:val="231F20"/>
          <w:w w:val="105"/>
        </w:rPr>
        <w:t>legittimare</w:t>
      </w:r>
      <w:r>
        <w:rPr>
          <w:color w:val="231F20"/>
          <w:spacing w:val="-24"/>
          <w:w w:val="105"/>
        </w:rPr>
        <w:t> </w:t>
      </w:r>
      <w:r>
        <w:rPr>
          <w:color w:val="231F20"/>
          <w:w w:val="105"/>
        </w:rPr>
        <w:t>l’azione</w:t>
      </w:r>
      <w:r>
        <w:rPr>
          <w:color w:val="231F20"/>
          <w:spacing w:val="-24"/>
          <w:w w:val="105"/>
        </w:rPr>
        <w:t> </w:t>
      </w:r>
      <w:r>
        <w:rPr>
          <w:color w:val="231F20"/>
          <w:w w:val="105"/>
        </w:rPr>
        <w:t>dello</w:t>
      </w:r>
      <w:r>
        <w:rPr>
          <w:color w:val="231F20"/>
          <w:spacing w:val="-24"/>
          <w:w w:val="105"/>
        </w:rPr>
        <w:t> </w:t>
      </w:r>
      <w:r>
        <w:rPr>
          <w:color w:val="231F20"/>
          <w:w w:val="105"/>
        </w:rPr>
        <w:t>Stato.</w:t>
      </w:r>
    </w:p>
    <w:p>
      <w:pPr>
        <w:pStyle w:val="BodyText"/>
        <w:spacing w:before="5"/>
        <w:rPr>
          <w:sz w:val="24"/>
        </w:rPr>
      </w:pPr>
    </w:p>
    <w:p>
      <w:pPr>
        <w:spacing w:before="1"/>
        <w:ind w:left="103" w:right="0" w:firstLine="0"/>
        <w:jc w:val="both"/>
        <w:rPr>
          <w:rFonts w:ascii="Arial"/>
          <w:i/>
          <w:sz w:val="21"/>
        </w:rPr>
      </w:pPr>
      <w:r>
        <w:rPr>
          <w:rFonts w:ascii="Arial"/>
          <w:i/>
          <w:color w:val="231F20"/>
          <w:w w:val="105"/>
          <w:sz w:val="21"/>
        </w:rPr>
        <w:t>Problemi dello Stato globale</w:t>
      </w:r>
    </w:p>
    <w:p>
      <w:pPr>
        <w:pStyle w:val="BodyText"/>
        <w:rPr>
          <w:rFonts w:ascii="Arial"/>
          <w:i/>
          <w:sz w:val="20"/>
        </w:rPr>
      </w:pPr>
    </w:p>
    <w:p>
      <w:pPr>
        <w:pStyle w:val="BodyText"/>
        <w:spacing w:line="247" w:lineRule="auto" w:before="172"/>
        <w:ind w:left="103" w:right="111"/>
        <w:jc w:val="both"/>
      </w:pPr>
      <w:r>
        <w:rPr>
          <w:color w:val="231F20"/>
          <w:w w:val="105"/>
        </w:rPr>
        <w:t>In</w:t>
      </w:r>
      <w:r>
        <w:rPr>
          <w:color w:val="231F20"/>
          <w:spacing w:val="-46"/>
          <w:w w:val="105"/>
        </w:rPr>
        <w:t> </w:t>
      </w:r>
      <w:r>
        <w:rPr>
          <w:color w:val="231F20"/>
          <w:spacing w:val="-3"/>
          <w:w w:val="105"/>
        </w:rPr>
        <w:t>realtà</w:t>
      </w:r>
      <w:r>
        <w:rPr>
          <w:color w:val="231F20"/>
          <w:spacing w:val="-46"/>
          <w:w w:val="105"/>
        </w:rPr>
        <w:t> </w:t>
      </w:r>
      <w:r>
        <w:rPr>
          <w:color w:val="231F20"/>
          <w:w w:val="105"/>
        </w:rPr>
        <w:t>si</w:t>
      </w:r>
      <w:r>
        <w:rPr>
          <w:color w:val="231F20"/>
          <w:spacing w:val="-46"/>
          <w:w w:val="105"/>
        </w:rPr>
        <w:t> </w:t>
      </w:r>
      <w:r>
        <w:rPr>
          <w:color w:val="231F20"/>
          <w:w w:val="105"/>
        </w:rPr>
        <w:t>tratta</w:t>
      </w:r>
      <w:r>
        <w:rPr>
          <w:color w:val="231F20"/>
          <w:spacing w:val="-46"/>
          <w:w w:val="105"/>
        </w:rPr>
        <w:t> </w:t>
      </w:r>
      <w:r>
        <w:rPr>
          <w:color w:val="231F20"/>
          <w:w w:val="105"/>
        </w:rPr>
        <w:t>di</w:t>
      </w:r>
      <w:r>
        <w:rPr>
          <w:color w:val="231F20"/>
          <w:spacing w:val="-46"/>
          <w:w w:val="105"/>
        </w:rPr>
        <w:t> </w:t>
      </w:r>
      <w:r>
        <w:rPr>
          <w:color w:val="231F20"/>
          <w:w w:val="105"/>
        </w:rPr>
        <w:t>una</w:t>
      </w:r>
      <w:r>
        <w:rPr>
          <w:color w:val="231F20"/>
          <w:spacing w:val="-46"/>
          <w:w w:val="105"/>
        </w:rPr>
        <w:t> </w:t>
      </w:r>
      <w:r>
        <w:rPr>
          <w:color w:val="231F20"/>
          <w:spacing w:val="-3"/>
          <w:w w:val="105"/>
        </w:rPr>
        <w:t>prospettiva</w:t>
      </w:r>
      <w:r>
        <w:rPr>
          <w:color w:val="231F20"/>
          <w:spacing w:val="-46"/>
          <w:w w:val="105"/>
        </w:rPr>
        <w:t> </w:t>
      </w:r>
      <w:r>
        <w:rPr>
          <w:color w:val="231F20"/>
          <w:w w:val="105"/>
        </w:rPr>
        <w:t>che</w:t>
      </w:r>
      <w:r>
        <w:rPr>
          <w:color w:val="231F20"/>
          <w:spacing w:val="-46"/>
          <w:w w:val="105"/>
        </w:rPr>
        <w:t> </w:t>
      </w:r>
      <w:r>
        <w:rPr>
          <w:color w:val="231F20"/>
          <w:w w:val="105"/>
        </w:rPr>
        <w:t>può</w:t>
      </w:r>
      <w:r>
        <w:rPr>
          <w:color w:val="231F20"/>
          <w:spacing w:val="-46"/>
          <w:w w:val="105"/>
        </w:rPr>
        <w:t> </w:t>
      </w:r>
      <w:r>
        <w:rPr>
          <w:color w:val="231F20"/>
          <w:spacing w:val="-3"/>
          <w:w w:val="105"/>
        </w:rPr>
        <w:t>risultare</w:t>
      </w:r>
      <w:r>
        <w:rPr>
          <w:color w:val="231F20"/>
          <w:spacing w:val="-46"/>
          <w:w w:val="105"/>
        </w:rPr>
        <w:t> </w:t>
      </w:r>
      <w:r>
        <w:rPr>
          <w:color w:val="231F20"/>
          <w:spacing w:val="-3"/>
          <w:w w:val="105"/>
        </w:rPr>
        <w:t>complementare</w:t>
      </w:r>
      <w:r>
        <w:rPr>
          <w:color w:val="231F20"/>
          <w:spacing w:val="-46"/>
          <w:w w:val="105"/>
        </w:rPr>
        <w:t> </w:t>
      </w:r>
      <w:r>
        <w:rPr>
          <w:color w:val="231F20"/>
          <w:w w:val="105"/>
        </w:rPr>
        <w:t>a</w:t>
      </w:r>
      <w:r>
        <w:rPr>
          <w:color w:val="231F20"/>
          <w:spacing w:val="-46"/>
          <w:w w:val="105"/>
        </w:rPr>
        <w:t> </w:t>
      </w:r>
      <w:r>
        <w:rPr>
          <w:color w:val="231F20"/>
          <w:spacing w:val="-2"/>
          <w:w w:val="105"/>
        </w:rPr>
        <w:t>quella </w:t>
      </w:r>
      <w:r>
        <w:rPr>
          <w:color w:val="231F20"/>
          <w:w w:val="105"/>
        </w:rPr>
        <w:t>classicamente</w:t>
      </w:r>
      <w:r>
        <w:rPr>
          <w:color w:val="231F20"/>
          <w:spacing w:val="-12"/>
          <w:w w:val="105"/>
        </w:rPr>
        <w:t> </w:t>
      </w:r>
      <w:r>
        <w:rPr>
          <w:color w:val="231F20"/>
          <w:w w:val="105"/>
        </w:rPr>
        <w:t>politica</w:t>
      </w:r>
      <w:r>
        <w:rPr>
          <w:color w:val="231F20"/>
          <w:spacing w:val="-12"/>
          <w:w w:val="105"/>
        </w:rPr>
        <w:t> </w:t>
      </w:r>
      <w:r>
        <w:rPr>
          <w:color w:val="231F20"/>
          <w:w w:val="105"/>
        </w:rPr>
        <w:t>che</w:t>
      </w:r>
      <w:r>
        <w:rPr>
          <w:color w:val="231F20"/>
          <w:spacing w:val="-12"/>
          <w:w w:val="105"/>
        </w:rPr>
        <w:t> </w:t>
      </w:r>
      <w:r>
        <w:rPr>
          <w:color w:val="231F20"/>
          <w:w w:val="105"/>
        </w:rPr>
        <w:t>assegna</w:t>
      </w:r>
      <w:r>
        <w:rPr>
          <w:color w:val="231F20"/>
          <w:spacing w:val="-12"/>
          <w:w w:val="105"/>
        </w:rPr>
        <w:t> </w:t>
      </w:r>
      <w:r>
        <w:rPr>
          <w:color w:val="231F20"/>
          <w:w w:val="105"/>
        </w:rPr>
        <w:t>allo</w:t>
      </w:r>
      <w:r>
        <w:rPr>
          <w:color w:val="231F20"/>
          <w:spacing w:val="-12"/>
          <w:w w:val="105"/>
        </w:rPr>
        <w:t> </w:t>
      </w:r>
      <w:r>
        <w:rPr>
          <w:color w:val="231F20"/>
          <w:w w:val="105"/>
        </w:rPr>
        <w:t>Stato</w:t>
      </w:r>
      <w:r>
        <w:rPr>
          <w:color w:val="231F20"/>
          <w:spacing w:val="-12"/>
          <w:w w:val="105"/>
        </w:rPr>
        <w:t> </w:t>
      </w:r>
      <w:r>
        <w:rPr>
          <w:color w:val="231F20"/>
          <w:w w:val="105"/>
        </w:rPr>
        <w:t>il</w:t>
      </w:r>
      <w:r>
        <w:rPr>
          <w:color w:val="231F20"/>
          <w:spacing w:val="-12"/>
          <w:w w:val="105"/>
        </w:rPr>
        <w:t> </w:t>
      </w:r>
      <w:r>
        <w:rPr>
          <w:color w:val="231F20"/>
          <w:w w:val="105"/>
        </w:rPr>
        <w:t>compito</w:t>
      </w:r>
      <w:r>
        <w:rPr>
          <w:color w:val="231F20"/>
          <w:spacing w:val="-12"/>
          <w:w w:val="105"/>
        </w:rPr>
        <w:t> </w:t>
      </w:r>
      <w:r>
        <w:rPr>
          <w:color w:val="231F20"/>
          <w:w w:val="105"/>
        </w:rPr>
        <w:t>di</w:t>
      </w:r>
      <w:r>
        <w:rPr>
          <w:color w:val="231F20"/>
          <w:spacing w:val="-12"/>
          <w:w w:val="105"/>
        </w:rPr>
        <w:t> </w:t>
      </w:r>
      <w:r>
        <w:rPr>
          <w:color w:val="231F20"/>
          <w:w w:val="105"/>
        </w:rPr>
        <w:t>rappresentare l’unità politica. “Le analisi antropologiche dello Stato cominciano con la nozione</w:t>
      </w:r>
      <w:r>
        <w:rPr>
          <w:color w:val="231F20"/>
          <w:spacing w:val="-50"/>
          <w:w w:val="105"/>
        </w:rPr>
        <w:t> </w:t>
      </w:r>
      <w:r>
        <w:rPr>
          <w:color w:val="231F20"/>
          <w:w w:val="105"/>
        </w:rPr>
        <w:t>controintuitiva</w:t>
      </w:r>
      <w:r>
        <w:rPr>
          <w:color w:val="231F20"/>
          <w:spacing w:val="-50"/>
          <w:w w:val="105"/>
        </w:rPr>
        <w:t> </w:t>
      </w:r>
      <w:r>
        <w:rPr>
          <w:color w:val="231F20"/>
          <w:w w:val="105"/>
        </w:rPr>
        <w:t>che</w:t>
      </w:r>
      <w:r>
        <w:rPr>
          <w:color w:val="231F20"/>
          <w:spacing w:val="-50"/>
          <w:w w:val="105"/>
        </w:rPr>
        <w:t> </w:t>
      </w:r>
      <w:r>
        <w:rPr>
          <w:color w:val="231F20"/>
          <w:w w:val="105"/>
        </w:rPr>
        <w:t>gli</w:t>
      </w:r>
      <w:r>
        <w:rPr>
          <w:color w:val="231F20"/>
          <w:spacing w:val="-50"/>
          <w:w w:val="105"/>
        </w:rPr>
        <w:t> </w:t>
      </w:r>
      <w:r>
        <w:rPr>
          <w:color w:val="231F20"/>
          <w:w w:val="105"/>
        </w:rPr>
        <w:t>Stati</w:t>
      </w:r>
      <w:r>
        <w:rPr>
          <w:color w:val="231F20"/>
          <w:spacing w:val="-50"/>
          <w:w w:val="105"/>
        </w:rPr>
        <w:t> </w:t>
      </w:r>
      <w:r>
        <w:rPr>
          <w:color w:val="231F20"/>
          <w:w w:val="105"/>
        </w:rPr>
        <w:t>che</w:t>
      </w:r>
      <w:r>
        <w:rPr>
          <w:color w:val="231F20"/>
          <w:spacing w:val="-50"/>
          <w:w w:val="105"/>
        </w:rPr>
        <w:t> </w:t>
      </w:r>
      <w:r>
        <w:rPr>
          <w:color w:val="231F20"/>
          <w:w w:val="105"/>
        </w:rPr>
        <w:t>sono</w:t>
      </w:r>
      <w:r>
        <w:rPr>
          <w:color w:val="231F20"/>
          <w:spacing w:val="-50"/>
          <w:w w:val="105"/>
        </w:rPr>
        <w:t> </w:t>
      </w:r>
      <w:r>
        <w:rPr>
          <w:color w:val="231F20"/>
          <w:w w:val="105"/>
        </w:rPr>
        <w:t>strutturalmente</w:t>
      </w:r>
      <w:r>
        <w:rPr>
          <w:color w:val="231F20"/>
          <w:spacing w:val="-50"/>
          <w:w w:val="105"/>
        </w:rPr>
        <w:t> </w:t>
      </w:r>
      <w:r>
        <w:rPr>
          <w:color w:val="231F20"/>
          <w:w w:val="105"/>
        </w:rPr>
        <w:t>simili</w:t>
      </w:r>
      <w:r>
        <w:rPr>
          <w:color w:val="231F20"/>
          <w:spacing w:val="-50"/>
          <w:w w:val="105"/>
        </w:rPr>
        <w:t> </w:t>
      </w:r>
      <w:r>
        <w:rPr>
          <w:color w:val="231F20"/>
          <w:w w:val="105"/>
        </w:rPr>
        <w:t>possono nondimeno</w:t>
      </w:r>
      <w:r>
        <w:rPr>
          <w:color w:val="231F20"/>
          <w:spacing w:val="-21"/>
          <w:w w:val="105"/>
        </w:rPr>
        <w:t> </w:t>
      </w:r>
      <w:r>
        <w:rPr>
          <w:color w:val="231F20"/>
          <w:w w:val="105"/>
        </w:rPr>
        <w:t>essere</w:t>
      </w:r>
      <w:r>
        <w:rPr>
          <w:color w:val="231F20"/>
          <w:spacing w:val="-21"/>
          <w:w w:val="105"/>
        </w:rPr>
        <w:t> </w:t>
      </w:r>
      <w:r>
        <w:rPr>
          <w:color w:val="231F20"/>
          <w:w w:val="105"/>
        </w:rPr>
        <w:t>profondamente</w:t>
      </w:r>
      <w:r>
        <w:rPr>
          <w:color w:val="231F20"/>
          <w:spacing w:val="-21"/>
          <w:w w:val="105"/>
        </w:rPr>
        <w:t> </w:t>
      </w:r>
      <w:r>
        <w:rPr>
          <w:color w:val="231F20"/>
          <w:w w:val="105"/>
        </w:rPr>
        <w:t>differenti</w:t>
      </w:r>
      <w:r>
        <w:rPr>
          <w:color w:val="231F20"/>
          <w:spacing w:val="-21"/>
          <w:w w:val="105"/>
        </w:rPr>
        <w:t> </w:t>
      </w:r>
      <w:r>
        <w:rPr>
          <w:color w:val="231F20"/>
          <w:w w:val="105"/>
        </w:rPr>
        <w:t>uno</w:t>
      </w:r>
      <w:r>
        <w:rPr>
          <w:color w:val="231F20"/>
          <w:spacing w:val="-21"/>
          <w:w w:val="105"/>
        </w:rPr>
        <w:t> </w:t>
      </w:r>
      <w:r>
        <w:rPr>
          <w:color w:val="231F20"/>
          <w:w w:val="105"/>
        </w:rPr>
        <w:t>dall’altro</w:t>
      </w:r>
      <w:r>
        <w:rPr>
          <w:color w:val="231F20"/>
          <w:spacing w:val="-21"/>
          <w:w w:val="105"/>
        </w:rPr>
        <w:t> </w:t>
      </w:r>
      <w:r>
        <w:rPr>
          <w:color w:val="231F20"/>
          <w:w w:val="105"/>
        </w:rPr>
        <w:t>per</w:t>
      </w:r>
      <w:r>
        <w:rPr>
          <w:color w:val="231F20"/>
          <w:spacing w:val="-21"/>
          <w:w w:val="105"/>
        </w:rPr>
        <w:t> </w:t>
      </w:r>
      <w:r>
        <w:rPr>
          <w:color w:val="231F20"/>
          <w:w w:val="105"/>
        </w:rPr>
        <w:t>i</w:t>
      </w:r>
      <w:r>
        <w:rPr>
          <w:color w:val="231F20"/>
          <w:spacing w:val="-21"/>
          <w:w w:val="105"/>
        </w:rPr>
        <w:t> </w:t>
      </w:r>
      <w:r>
        <w:rPr>
          <w:color w:val="231F20"/>
          <w:w w:val="105"/>
        </w:rPr>
        <w:t>significati che</w:t>
      </w:r>
      <w:r>
        <w:rPr>
          <w:color w:val="231F20"/>
          <w:spacing w:val="-25"/>
          <w:w w:val="105"/>
        </w:rPr>
        <w:t> </w:t>
      </w:r>
      <w:r>
        <w:rPr>
          <w:color w:val="231F20"/>
          <w:w w:val="105"/>
        </w:rPr>
        <w:t>essi</w:t>
      </w:r>
      <w:r>
        <w:rPr>
          <w:color w:val="231F20"/>
          <w:spacing w:val="-25"/>
          <w:w w:val="105"/>
        </w:rPr>
        <w:t> </w:t>
      </w:r>
      <w:r>
        <w:rPr>
          <w:color w:val="231F20"/>
          <w:w w:val="105"/>
        </w:rPr>
        <w:t>hanno</w:t>
      </w:r>
      <w:r>
        <w:rPr>
          <w:color w:val="231F20"/>
          <w:spacing w:val="-25"/>
          <w:w w:val="105"/>
        </w:rPr>
        <w:t> </w:t>
      </w:r>
      <w:r>
        <w:rPr>
          <w:color w:val="231F20"/>
          <w:w w:val="105"/>
        </w:rPr>
        <w:t>per</w:t>
      </w:r>
      <w:r>
        <w:rPr>
          <w:color w:val="231F20"/>
          <w:spacing w:val="-25"/>
          <w:w w:val="105"/>
        </w:rPr>
        <w:t> </w:t>
      </w:r>
      <w:r>
        <w:rPr>
          <w:color w:val="231F20"/>
          <w:w w:val="105"/>
        </w:rPr>
        <w:t>le</w:t>
      </w:r>
      <w:r>
        <w:rPr>
          <w:color w:val="231F20"/>
          <w:spacing w:val="-25"/>
          <w:w w:val="105"/>
        </w:rPr>
        <w:t> </w:t>
      </w:r>
      <w:r>
        <w:rPr>
          <w:color w:val="231F20"/>
          <w:w w:val="105"/>
        </w:rPr>
        <w:t>loro</w:t>
      </w:r>
      <w:r>
        <w:rPr>
          <w:color w:val="231F20"/>
          <w:spacing w:val="-25"/>
          <w:w w:val="105"/>
        </w:rPr>
        <w:t> </w:t>
      </w:r>
      <w:r>
        <w:rPr>
          <w:color w:val="231F20"/>
          <w:w w:val="105"/>
        </w:rPr>
        <w:t>popolazioni”</w:t>
      </w:r>
      <w:r>
        <w:rPr>
          <w:w w:val="105"/>
          <w:position w:val="7"/>
          <w:sz w:val="12"/>
        </w:rPr>
        <w:t>57</w:t>
      </w:r>
      <w:r>
        <w:rPr>
          <w:color w:val="231F20"/>
          <w:w w:val="105"/>
        </w:rPr>
        <w:t>.</w:t>
      </w:r>
      <w:r>
        <w:rPr>
          <w:color w:val="231F20"/>
          <w:spacing w:val="-25"/>
          <w:w w:val="105"/>
        </w:rPr>
        <w:t> </w:t>
      </w:r>
      <w:r>
        <w:rPr>
          <w:color w:val="231F20"/>
          <w:w w:val="105"/>
        </w:rPr>
        <w:t>Non</w:t>
      </w:r>
      <w:r>
        <w:rPr>
          <w:color w:val="231F20"/>
          <w:spacing w:val="-25"/>
          <w:w w:val="105"/>
        </w:rPr>
        <w:t> </w:t>
      </w:r>
      <w:r>
        <w:rPr>
          <w:color w:val="231F20"/>
          <w:w w:val="105"/>
        </w:rPr>
        <w:t>si</w:t>
      </w:r>
      <w:r>
        <w:rPr>
          <w:color w:val="231F20"/>
          <w:spacing w:val="-25"/>
          <w:w w:val="105"/>
        </w:rPr>
        <w:t> </w:t>
      </w:r>
      <w:r>
        <w:rPr>
          <w:color w:val="231F20"/>
          <w:w w:val="105"/>
        </w:rPr>
        <w:t>può</w:t>
      </w:r>
      <w:r>
        <w:rPr>
          <w:color w:val="231F20"/>
          <w:spacing w:val="-25"/>
          <w:w w:val="105"/>
        </w:rPr>
        <w:t> </w:t>
      </w:r>
      <w:r>
        <w:rPr>
          <w:color w:val="231F20"/>
          <w:w w:val="105"/>
        </w:rPr>
        <w:t>fare</w:t>
      </w:r>
      <w:r>
        <w:rPr>
          <w:color w:val="231F20"/>
          <w:spacing w:val="-25"/>
          <w:w w:val="105"/>
        </w:rPr>
        <w:t> </w:t>
      </w:r>
      <w:r>
        <w:rPr>
          <w:color w:val="231F20"/>
          <w:w w:val="105"/>
        </w:rPr>
        <w:t>a</w:t>
      </w:r>
      <w:r>
        <w:rPr>
          <w:color w:val="231F20"/>
          <w:spacing w:val="-25"/>
          <w:w w:val="105"/>
        </w:rPr>
        <w:t> </w:t>
      </w:r>
      <w:r>
        <w:rPr>
          <w:color w:val="231F20"/>
          <w:w w:val="105"/>
        </w:rPr>
        <w:t>meno</w:t>
      </w:r>
      <w:r>
        <w:rPr>
          <w:color w:val="231F20"/>
          <w:spacing w:val="-25"/>
          <w:w w:val="105"/>
        </w:rPr>
        <w:t> </w:t>
      </w:r>
      <w:r>
        <w:rPr>
          <w:color w:val="231F20"/>
          <w:w w:val="105"/>
        </w:rPr>
        <w:t>di</w:t>
      </w:r>
      <w:r>
        <w:rPr>
          <w:color w:val="231F20"/>
          <w:spacing w:val="-25"/>
          <w:w w:val="105"/>
        </w:rPr>
        <w:t> </w:t>
      </w:r>
      <w:r>
        <w:rPr>
          <w:color w:val="231F20"/>
          <w:w w:val="105"/>
        </w:rPr>
        <w:t>notare che</w:t>
      </w:r>
      <w:r>
        <w:rPr>
          <w:color w:val="231F20"/>
          <w:spacing w:val="-51"/>
          <w:w w:val="105"/>
        </w:rPr>
        <w:t> </w:t>
      </w:r>
      <w:r>
        <w:rPr>
          <w:color w:val="231F20"/>
          <w:w w:val="105"/>
        </w:rPr>
        <w:t>nella</w:t>
      </w:r>
      <w:r>
        <w:rPr>
          <w:color w:val="231F20"/>
          <w:spacing w:val="-51"/>
          <w:w w:val="105"/>
        </w:rPr>
        <w:t> </w:t>
      </w:r>
      <w:r>
        <w:rPr>
          <w:color w:val="231F20"/>
          <w:w w:val="105"/>
        </w:rPr>
        <w:t>classica</w:t>
      </w:r>
      <w:r>
        <w:rPr>
          <w:color w:val="231F20"/>
          <w:spacing w:val="-51"/>
          <w:w w:val="105"/>
        </w:rPr>
        <w:t> </w:t>
      </w:r>
      <w:r>
        <w:rPr>
          <w:color w:val="231F20"/>
          <w:w w:val="105"/>
        </w:rPr>
        <w:t>definizione</w:t>
      </w:r>
      <w:r>
        <w:rPr>
          <w:color w:val="231F20"/>
          <w:spacing w:val="-51"/>
          <w:w w:val="105"/>
        </w:rPr>
        <w:t> </w:t>
      </w:r>
      <w:r>
        <w:rPr>
          <w:color w:val="231F20"/>
          <w:w w:val="105"/>
        </w:rPr>
        <w:t>weberiana</w:t>
      </w:r>
      <w:r>
        <w:rPr>
          <w:color w:val="231F20"/>
          <w:spacing w:val="-51"/>
          <w:w w:val="105"/>
        </w:rPr>
        <w:t> </w:t>
      </w:r>
      <w:r>
        <w:rPr>
          <w:color w:val="231F20"/>
          <w:w w:val="105"/>
        </w:rPr>
        <w:t>dello</w:t>
      </w:r>
      <w:r>
        <w:rPr>
          <w:color w:val="231F20"/>
          <w:spacing w:val="-51"/>
          <w:w w:val="105"/>
        </w:rPr>
        <w:t> </w:t>
      </w:r>
      <w:r>
        <w:rPr>
          <w:color w:val="231F20"/>
          <w:w w:val="105"/>
        </w:rPr>
        <w:t>Stato</w:t>
      </w:r>
      <w:r>
        <w:rPr>
          <w:w w:val="105"/>
          <w:position w:val="7"/>
          <w:sz w:val="12"/>
        </w:rPr>
        <w:t>58</w:t>
      </w:r>
      <w:r>
        <w:rPr>
          <w:spacing w:val="-22"/>
          <w:w w:val="105"/>
          <w:position w:val="7"/>
          <w:sz w:val="12"/>
        </w:rPr>
        <w:t> </w:t>
      </w:r>
      <w:r>
        <w:rPr>
          <w:color w:val="231F20"/>
          <w:w w:val="105"/>
        </w:rPr>
        <w:t>l’elemento</w:t>
      </w:r>
      <w:r>
        <w:rPr>
          <w:color w:val="231F20"/>
          <w:spacing w:val="-51"/>
          <w:w w:val="105"/>
        </w:rPr>
        <w:t> </w:t>
      </w:r>
      <w:r>
        <w:rPr>
          <w:color w:val="231F20"/>
          <w:w w:val="105"/>
        </w:rPr>
        <w:t>mancante</w:t>
      </w:r>
      <w:r>
        <w:rPr>
          <w:color w:val="231F20"/>
          <w:spacing w:val="-51"/>
          <w:w w:val="105"/>
        </w:rPr>
        <w:t> </w:t>
      </w:r>
      <w:r>
        <w:rPr>
          <w:color w:val="231F20"/>
          <w:w w:val="105"/>
        </w:rPr>
        <w:t>è</w:t>
      </w:r>
    </w:p>
    <w:p>
      <w:pPr>
        <w:pStyle w:val="BodyText"/>
        <w:rPr>
          <w:sz w:val="20"/>
        </w:rPr>
      </w:pPr>
    </w:p>
    <w:p>
      <w:pPr>
        <w:pStyle w:val="BodyText"/>
        <w:spacing w:before="5"/>
        <w:rPr>
          <w:sz w:val="11"/>
        </w:rPr>
      </w:pPr>
      <w:r>
        <w:rPr/>
        <w:pict>
          <v:line style="position:absolute;mso-position-horizontal-relative:page;mso-position-vertical-relative:paragraph;z-index:10648;mso-wrap-distance-left:0;mso-wrap-distance-right:0" from="65.196899pt,9.020864pt" to="178.582899pt,9.020864pt" stroked="true" strokeweight=".3pt" strokecolor="#231f20">
            <w10:wrap type="topAndBottom"/>
          </v:line>
        </w:pict>
      </w:r>
    </w:p>
    <w:p>
      <w:pPr>
        <w:spacing w:line="204" w:lineRule="exact" w:before="8"/>
        <w:ind w:left="103" w:right="115" w:firstLine="0"/>
        <w:jc w:val="both"/>
        <w:rPr>
          <w:rFonts w:ascii="Calibri" w:hAnsi="Calibri"/>
          <w:sz w:val="17"/>
        </w:rPr>
      </w:pPr>
      <w:r>
        <w:rPr>
          <w:rFonts w:ascii="Calibri" w:hAnsi="Calibri"/>
          <w:color w:val="231F20"/>
          <w:position w:val="6"/>
          <w:sz w:val="10"/>
        </w:rPr>
        <w:t>55 </w:t>
      </w:r>
      <w:r>
        <w:rPr>
          <w:rFonts w:ascii="Calibri" w:hAnsi="Calibri"/>
          <w:color w:val="231F20"/>
          <w:sz w:val="17"/>
        </w:rPr>
        <w:t>D. Sacchetto (Ed.), </w:t>
      </w:r>
      <w:r>
        <w:rPr>
          <w:rFonts w:ascii="Calibri" w:hAnsi="Calibri"/>
          <w:i/>
          <w:color w:val="231F20"/>
          <w:sz w:val="17"/>
        </w:rPr>
        <w:t>Ai margini dell’Unione Europea</w:t>
      </w:r>
      <w:r>
        <w:rPr>
          <w:rFonts w:ascii="Calibri" w:hAnsi="Calibri"/>
          <w:color w:val="231F20"/>
          <w:sz w:val="17"/>
        </w:rPr>
        <w:t>, Roma, Carrocci, 2011; R. H. Jackson, </w:t>
      </w:r>
      <w:r>
        <w:rPr>
          <w:rFonts w:ascii="Calibri" w:hAnsi="Calibri"/>
          <w:i/>
          <w:color w:val="231F20"/>
          <w:sz w:val="17"/>
        </w:rPr>
        <w:t>Quasi– </w:t>
      </w:r>
      <w:r>
        <w:rPr>
          <w:rFonts w:ascii="Calibri" w:hAnsi="Calibri"/>
          <w:i/>
          <w:color w:val="231F20"/>
          <w:sz w:val="17"/>
        </w:rPr>
        <w:t>States: Sovereignty, International Relations</w:t>
      </w:r>
      <w:r>
        <w:rPr>
          <w:rFonts w:ascii="Calibri" w:hAnsi="Calibri"/>
          <w:color w:val="231F20"/>
          <w:sz w:val="17"/>
        </w:rPr>
        <w:t>, </w:t>
      </w:r>
      <w:r>
        <w:rPr>
          <w:rFonts w:ascii="Calibri" w:hAnsi="Calibri"/>
          <w:i/>
          <w:color w:val="231F20"/>
          <w:sz w:val="17"/>
        </w:rPr>
        <w:t>And The Third World</w:t>
      </w:r>
      <w:r>
        <w:rPr>
          <w:rFonts w:ascii="Calibri" w:hAnsi="Calibri"/>
          <w:color w:val="231F20"/>
          <w:sz w:val="17"/>
        </w:rPr>
        <w:t>, Cambridge, Cambridge University Press, 1996.</w:t>
      </w:r>
    </w:p>
    <w:p>
      <w:pPr>
        <w:spacing w:line="206" w:lineRule="exact" w:before="1"/>
        <w:ind w:left="103" w:right="0" w:firstLine="0"/>
        <w:jc w:val="both"/>
        <w:rPr>
          <w:rFonts w:ascii="Calibri"/>
          <w:i/>
          <w:sz w:val="17"/>
        </w:rPr>
      </w:pPr>
      <w:r>
        <w:rPr>
          <w:rFonts w:ascii="Calibri"/>
          <w:color w:val="231F20"/>
          <w:position w:val="6"/>
          <w:sz w:val="10"/>
        </w:rPr>
        <w:t>56  </w:t>
      </w:r>
      <w:r>
        <w:rPr>
          <w:rFonts w:ascii="Calibri"/>
          <w:color w:val="231F20"/>
          <w:sz w:val="17"/>
        </w:rPr>
        <w:t>Entrambi sono raccolti in C. Geertz, </w:t>
      </w:r>
      <w:r>
        <w:rPr>
          <w:rFonts w:ascii="Calibri"/>
          <w:i/>
          <w:color w:val="231F20"/>
          <w:sz w:val="17"/>
        </w:rPr>
        <w:t>Mondo globale, mondi locali. Cultura e politica alla fine del</w:t>
      </w:r>
    </w:p>
    <w:p>
      <w:pPr>
        <w:spacing w:line="204" w:lineRule="exact" w:before="0"/>
        <w:ind w:left="103" w:right="0" w:firstLine="0"/>
        <w:jc w:val="both"/>
        <w:rPr>
          <w:rFonts w:ascii="Calibri"/>
          <w:sz w:val="17"/>
        </w:rPr>
      </w:pPr>
      <w:r>
        <w:rPr>
          <w:rFonts w:ascii="Calibri"/>
          <w:i/>
          <w:color w:val="231F20"/>
          <w:sz w:val="17"/>
        </w:rPr>
        <w:t>ventesimo secolo</w:t>
      </w:r>
      <w:r>
        <w:rPr>
          <w:rFonts w:ascii="Calibri"/>
          <w:color w:val="231F20"/>
          <w:sz w:val="17"/>
        </w:rPr>
        <w:t>, Bologna, il Mulino, 1995.</w:t>
      </w:r>
    </w:p>
    <w:p>
      <w:pPr>
        <w:spacing w:line="204" w:lineRule="exact" w:before="0"/>
        <w:ind w:left="103" w:right="0" w:firstLine="0"/>
        <w:jc w:val="both"/>
        <w:rPr>
          <w:rFonts w:ascii="Calibri" w:hAnsi="Calibri"/>
          <w:sz w:val="17"/>
        </w:rPr>
      </w:pPr>
      <w:r>
        <w:rPr>
          <w:rFonts w:ascii="Calibri" w:hAnsi="Calibri"/>
          <w:color w:val="231F20"/>
          <w:w w:val="105"/>
          <w:position w:val="6"/>
          <w:sz w:val="10"/>
        </w:rPr>
        <w:t>57</w:t>
      </w:r>
      <w:r>
        <w:rPr>
          <w:rFonts w:ascii="Calibri" w:hAnsi="Calibri"/>
          <w:color w:val="231F20"/>
          <w:spacing w:val="2"/>
          <w:w w:val="105"/>
          <w:position w:val="6"/>
          <w:sz w:val="10"/>
        </w:rPr>
        <w:t> </w:t>
      </w:r>
      <w:r>
        <w:rPr>
          <w:rFonts w:ascii="Calibri" w:hAnsi="Calibri"/>
          <w:color w:val="231F20"/>
          <w:w w:val="105"/>
          <w:sz w:val="17"/>
        </w:rPr>
        <w:t>A.</w:t>
      </w:r>
      <w:r>
        <w:rPr>
          <w:rFonts w:ascii="Calibri" w:hAnsi="Calibri"/>
          <w:color w:val="231F20"/>
          <w:spacing w:val="-16"/>
          <w:w w:val="105"/>
          <w:sz w:val="17"/>
        </w:rPr>
        <w:t> </w:t>
      </w:r>
      <w:r>
        <w:rPr>
          <w:rFonts w:ascii="Calibri" w:hAnsi="Calibri"/>
          <w:color w:val="231F20"/>
          <w:w w:val="105"/>
          <w:sz w:val="17"/>
        </w:rPr>
        <w:t>Sharma</w:t>
      </w:r>
      <w:r>
        <w:rPr>
          <w:rFonts w:ascii="Calibri" w:hAnsi="Calibri"/>
          <w:color w:val="231F20"/>
          <w:spacing w:val="-16"/>
          <w:w w:val="105"/>
          <w:sz w:val="17"/>
        </w:rPr>
        <w:t> </w:t>
      </w:r>
      <w:r>
        <w:rPr>
          <w:rFonts w:ascii="Calibri" w:hAnsi="Calibri"/>
          <w:color w:val="231F20"/>
          <w:w w:val="105"/>
          <w:sz w:val="17"/>
        </w:rPr>
        <w:t>y</w:t>
      </w:r>
      <w:r>
        <w:rPr>
          <w:rFonts w:ascii="Calibri" w:hAnsi="Calibri"/>
          <w:color w:val="231F20"/>
          <w:spacing w:val="-16"/>
          <w:w w:val="105"/>
          <w:sz w:val="17"/>
        </w:rPr>
        <w:t> </w:t>
      </w:r>
      <w:r>
        <w:rPr>
          <w:rFonts w:ascii="Calibri" w:hAnsi="Calibri"/>
          <w:color w:val="231F20"/>
          <w:w w:val="105"/>
          <w:sz w:val="17"/>
        </w:rPr>
        <w:t>A.</w:t>
      </w:r>
      <w:r>
        <w:rPr>
          <w:rFonts w:ascii="Calibri" w:hAnsi="Calibri"/>
          <w:color w:val="231F20"/>
          <w:spacing w:val="-16"/>
          <w:w w:val="105"/>
          <w:sz w:val="17"/>
        </w:rPr>
        <w:t> </w:t>
      </w:r>
      <w:r>
        <w:rPr>
          <w:rFonts w:ascii="Calibri" w:hAnsi="Calibri"/>
          <w:color w:val="231F20"/>
          <w:w w:val="105"/>
          <w:sz w:val="17"/>
        </w:rPr>
        <w:t>Gupta,</w:t>
      </w:r>
      <w:r>
        <w:rPr>
          <w:rFonts w:ascii="Calibri" w:hAnsi="Calibri"/>
          <w:color w:val="231F20"/>
          <w:spacing w:val="-16"/>
          <w:w w:val="105"/>
          <w:sz w:val="17"/>
        </w:rPr>
        <w:t> </w:t>
      </w:r>
      <w:r>
        <w:rPr>
          <w:rFonts w:ascii="Calibri" w:hAnsi="Calibri"/>
          <w:color w:val="231F20"/>
          <w:w w:val="105"/>
          <w:sz w:val="17"/>
        </w:rPr>
        <w:t>“Introduction:</w:t>
      </w:r>
      <w:r>
        <w:rPr>
          <w:rFonts w:ascii="Calibri" w:hAnsi="Calibri"/>
          <w:color w:val="231F20"/>
          <w:spacing w:val="-16"/>
          <w:w w:val="105"/>
          <w:sz w:val="17"/>
        </w:rPr>
        <w:t> </w:t>
      </w:r>
      <w:r>
        <w:rPr>
          <w:rFonts w:ascii="Calibri" w:hAnsi="Calibri"/>
          <w:color w:val="231F20"/>
          <w:w w:val="105"/>
          <w:sz w:val="17"/>
        </w:rPr>
        <w:t>Rethinking</w:t>
      </w:r>
      <w:r>
        <w:rPr>
          <w:rFonts w:ascii="Calibri" w:hAnsi="Calibri"/>
          <w:color w:val="231F20"/>
          <w:spacing w:val="-18"/>
          <w:w w:val="105"/>
          <w:sz w:val="17"/>
        </w:rPr>
        <w:t> </w:t>
      </w:r>
      <w:r>
        <w:rPr>
          <w:rFonts w:ascii="Calibri" w:hAnsi="Calibri"/>
          <w:color w:val="231F20"/>
          <w:w w:val="105"/>
          <w:sz w:val="17"/>
        </w:rPr>
        <w:t>Theories</w:t>
      </w:r>
      <w:r>
        <w:rPr>
          <w:rFonts w:ascii="Calibri" w:hAnsi="Calibri"/>
          <w:color w:val="231F20"/>
          <w:spacing w:val="-16"/>
          <w:w w:val="105"/>
          <w:sz w:val="17"/>
        </w:rPr>
        <w:t> </w:t>
      </w:r>
      <w:r>
        <w:rPr>
          <w:rFonts w:ascii="Calibri" w:hAnsi="Calibri"/>
          <w:color w:val="231F20"/>
          <w:w w:val="105"/>
          <w:sz w:val="17"/>
        </w:rPr>
        <w:t>of</w:t>
      </w:r>
      <w:r>
        <w:rPr>
          <w:rFonts w:ascii="Calibri" w:hAnsi="Calibri"/>
          <w:color w:val="231F20"/>
          <w:spacing w:val="-16"/>
          <w:w w:val="105"/>
          <w:sz w:val="17"/>
        </w:rPr>
        <w:t> </w:t>
      </w:r>
      <w:r>
        <w:rPr>
          <w:rFonts w:ascii="Calibri" w:hAnsi="Calibri"/>
          <w:color w:val="231F20"/>
          <w:w w:val="105"/>
          <w:sz w:val="17"/>
        </w:rPr>
        <w:t>the</w:t>
      </w:r>
      <w:r>
        <w:rPr>
          <w:rFonts w:ascii="Calibri" w:hAnsi="Calibri"/>
          <w:color w:val="231F20"/>
          <w:spacing w:val="-16"/>
          <w:w w:val="105"/>
          <w:sz w:val="17"/>
        </w:rPr>
        <w:t> </w:t>
      </w:r>
      <w:r>
        <w:rPr>
          <w:rFonts w:ascii="Calibri" w:hAnsi="Calibri"/>
          <w:color w:val="231F20"/>
          <w:w w:val="105"/>
          <w:sz w:val="17"/>
        </w:rPr>
        <w:t>State</w:t>
      </w:r>
      <w:r>
        <w:rPr>
          <w:rFonts w:ascii="Calibri" w:hAnsi="Calibri"/>
          <w:color w:val="231F20"/>
          <w:spacing w:val="-16"/>
          <w:w w:val="105"/>
          <w:sz w:val="17"/>
        </w:rPr>
        <w:t> </w:t>
      </w:r>
      <w:r>
        <w:rPr>
          <w:rFonts w:ascii="Calibri" w:hAnsi="Calibri"/>
          <w:color w:val="231F20"/>
          <w:w w:val="105"/>
          <w:sz w:val="17"/>
        </w:rPr>
        <w:t>in</w:t>
      </w:r>
      <w:r>
        <w:rPr>
          <w:rFonts w:ascii="Calibri" w:hAnsi="Calibri"/>
          <w:color w:val="231F20"/>
          <w:spacing w:val="-16"/>
          <w:w w:val="105"/>
          <w:sz w:val="17"/>
        </w:rPr>
        <w:t> </w:t>
      </w:r>
      <w:r>
        <w:rPr>
          <w:rFonts w:ascii="Calibri" w:hAnsi="Calibri"/>
          <w:color w:val="231F20"/>
          <w:w w:val="105"/>
          <w:sz w:val="17"/>
        </w:rPr>
        <w:t>an</w:t>
      </w:r>
      <w:r>
        <w:rPr>
          <w:rFonts w:ascii="Calibri" w:hAnsi="Calibri"/>
          <w:color w:val="231F20"/>
          <w:spacing w:val="-16"/>
          <w:w w:val="105"/>
          <w:sz w:val="17"/>
        </w:rPr>
        <w:t> </w:t>
      </w:r>
      <w:r>
        <w:rPr>
          <w:rFonts w:ascii="Calibri" w:hAnsi="Calibri"/>
          <w:color w:val="231F20"/>
          <w:spacing w:val="-2"/>
          <w:w w:val="105"/>
          <w:sz w:val="17"/>
        </w:rPr>
        <w:t>Age</w:t>
      </w:r>
      <w:r>
        <w:rPr>
          <w:rFonts w:ascii="Calibri" w:hAnsi="Calibri"/>
          <w:color w:val="231F20"/>
          <w:spacing w:val="-16"/>
          <w:w w:val="105"/>
          <w:sz w:val="17"/>
        </w:rPr>
        <w:t> </w:t>
      </w:r>
      <w:r>
        <w:rPr>
          <w:rFonts w:ascii="Calibri" w:hAnsi="Calibri"/>
          <w:color w:val="231F20"/>
          <w:w w:val="105"/>
          <w:sz w:val="17"/>
        </w:rPr>
        <w:t>of</w:t>
      </w:r>
      <w:r>
        <w:rPr>
          <w:rFonts w:ascii="Calibri" w:hAnsi="Calibri"/>
          <w:color w:val="231F20"/>
          <w:spacing w:val="-16"/>
          <w:w w:val="105"/>
          <w:sz w:val="17"/>
        </w:rPr>
        <w:t> </w:t>
      </w:r>
      <w:r>
        <w:rPr>
          <w:rFonts w:ascii="Calibri" w:hAnsi="Calibri"/>
          <w:color w:val="231F20"/>
          <w:spacing w:val="-3"/>
          <w:w w:val="105"/>
          <w:sz w:val="17"/>
        </w:rPr>
        <w:t>Globalization”,</w:t>
      </w:r>
    </w:p>
    <w:p>
      <w:pPr>
        <w:spacing w:line="204" w:lineRule="exact" w:before="0"/>
        <w:ind w:left="103" w:right="0" w:firstLine="0"/>
        <w:jc w:val="both"/>
        <w:rPr>
          <w:rFonts w:ascii="Calibri"/>
          <w:sz w:val="17"/>
        </w:rPr>
      </w:pPr>
      <w:r>
        <w:rPr>
          <w:rFonts w:ascii="Calibri"/>
          <w:color w:val="231F20"/>
          <w:sz w:val="17"/>
        </w:rPr>
        <w:t>A. Sharma y A. Gupta (Eds.), </w:t>
      </w:r>
      <w:r>
        <w:rPr>
          <w:rFonts w:ascii="Calibri"/>
          <w:i/>
          <w:color w:val="231F20"/>
          <w:sz w:val="17"/>
        </w:rPr>
        <w:t>The Anthropology of the State. A Reader</w:t>
      </w:r>
      <w:r>
        <w:rPr>
          <w:rFonts w:ascii="Calibri"/>
          <w:color w:val="231F20"/>
          <w:sz w:val="17"/>
        </w:rPr>
        <w:t>, London, Blackwell, 2006, p. 31.</w:t>
      </w:r>
    </w:p>
    <w:p>
      <w:pPr>
        <w:spacing w:line="206" w:lineRule="exact" w:before="0"/>
        <w:ind w:left="103" w:right="0" w:firstLine="0"/>
        <w:jc w:val="both"/>
        <w:rPr>
          <w:rFonts w:ascii="Calibri" w:hAnsi="Calibri"/>
          <w:sz w:val="17"/>
        </w:rPr>
      </w:pPr>
      <w:r>
        <w:rPr>
          <w:rFonts w:ascii="Calibri" w:hAnsi="Calibri"/>
          <w:color w:val="231F20"/>
          <w:position w:val="6"/>
          <w:sz w:val="10"/>
        </w:rPr>
        <w:t>58  </w:t>
      </w:r>
      <w:r>
        <w:rPr>
          <w:rFonts w:ascii="Calibri" w:hAnsi="Calibri"/>
          <w:color w:val="231F20"/>
          <w:sz w:val="17"/>
        </w:rPr>
        <w:t>“Per </w:t>
      </w:r>
      <w:r>
        <w:rPr>
          <w:rFonts w:ascii="Calibri" w:hAnsi="Calibri"/>
          <w:i/>
          <w:color w:val="231F20"/>
          <w:sz w:val="17"/>
        </w:rPr>
        <w:t>Stato </w:t>
      </w:r>
      <w:r>
        <w:rPr>
          <w:rFonts w:ascii="Calibri" w:hAnsi="Calibri"/>
          <w:color w:val="231F20"/>
          <w:sz w:val="17"/>
        </w:rPr>
        <w:t>si deve intendere un’</w:t>
      </w:r>
      <w:r>
        <w:rPr>
          <w:rFonts w:ascii="Calibri" w:hAnsi="Calibri"/>
          <w:i/>
          <w:color w:val="231F20"/>
          <w:sz w:val="17"/>
        </w:rPr>
        <w:t>impresa istituzionale </w:t>
      </w:r>
      <w:r>
        <w:rPr>
          <w:rFonts w:ascii="Calibri" w:hAnsi="Calibri"/>
          <w:color w:val="231F20"/>
          <w:sz w:val="17"/>
        </w:rPr>
        <w:t>di carattere politico nella quale —e nella</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sz w:val="16"/>
        </w:rPr>
      </w:pPr>
      <w:r>
        <w:rPr/>
        <w:pict>
          <v:group style="position:absolute;margin-left:98.079102pt;margin-top:-3.358812pt;width:20.4pt;height:43pt;mso-position-horizontal-relative:page;mso-position-vertical-relative:paragraph;z-index:-164728"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52</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900"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468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28"/>
          <w:sz w:val="14"/>
        </w:rPr>
        <w:t> </w:t>
      </w:r>
      <w:r>
        <w:rPr>
          <w:rFonts w:ascii="Lucida Sans Unicode" w:hAnsi="Lucida Sans Unicode"/>
          <w:color w:val="6D6E71"/>
          <w:spacing w:val="-4"/>
          <w:sz w:val="14"/>
        </w:rPr>
        <w:t>STATO</w:t>
      </w:r>
      <w:r>
        <w:rPr>
          <w:rFonts w:ascii="Lucida Sans Unicode" w:hAnsi="Lucida Sans Unicode"/>
          <w:color w:val="6D6E71"/>
          <w:spacing w:val="-28"/>
          <w:sz w:val="14"/>
        </w:rPr>
        <w:t> </w:t>
      </w:r>
      <w:r>
        <w:rPr>
          <w:rFonts w:ascii="Lucida Sans Unicode" w:hAnsi="Lucida Sans Unicode"/>
          <w:color w:val="6D6E71"/>
          <w:sz w:val="14"/>
        </w:rPr>
        <w:t>GLOBALE</w:t>
      </w:r>
      <w:r>
        <w:rPr>
          <w:rFonts w:ascii="Lucida Sans Unicode" w:hAnsi="Lucida Sans Unicode"/>
          <w:color w:val="6D6E71"/>
          <w:spacing w:val="-28"/>
          <w:sz w:val="14"/>
        </w:rPr>
        <w:t> </w:t>
      </w:r>
      <w:r>
        <w:rPr>
          <w:rFonts w:ascii="Lucida Sans Unicode" w:hAnsi="Lucida Sans Unicode"/>
          <w:color w:val="6D6E71"/>
          <w:sz w:val="14"/>
        </w:rPr>
        <w:t>E</w:t>
      </w:r>
      <w:r>
        <w:rPr>
          <w:rFonts w:ascii="Lucida Sans Unicode" w:hAnsi="Lucida Sans Unicode"/>
          <w:color w:val="6D6E71"/>
          <w:spacing w:val="-28"/>
          <w:sz w:val="14"/>
        </w:rPr>
        <w:t> </w:t>
      </w:r>
      <w:r>
        <w:rPr>
          <w:rFonts w:ascii="Lucida Sans Unicode" w:hAnsi="Lucida Sans Unicode"/>
          <w:color w:val="6D6E71"/>
          <w:sz w:val="14"/>
        </w:rPr>
        <w:t>L’EVOLUZIONE</w:t>
      </w:r>
      <w:r>
        <w:rPr>
          <w:rFonts w:ascii="Lucida Sans Unicode" w:hAnsi="Lucida Sans Unicode"/>
          <w:color w:val="6D6E71"/>
          <w:spacing w:val="-28"/>
          <w:sz w:val="14"/>
        </w:rPr>
        <w:t> </w:t>
      </w:r>
      <w:r>
        <w:rPr>
          <w:rFonts w:ascii="Lucida Sans Unicode" w:hAnsi="Lucida Sans Unicode"/>
          <w:color w:val="6D6E71"/>
          <w:sz w:val="14"/>
        </w:rPr>
        <w:t>DELLA</w:t>
      </w:r>
      <w:r>
        <w:rPr>
          <w:rFonts w:ascii="Lucida Sans Unicode" w:hAnsi="Lucida Sans Unicode"/>
          <w:color w:val="6D6E71"/>
          <w:spacing w:val="-28"/>
          <w:sz w:val="14"/>
        </w:rPr>
        <w:t> </w:t>
      </w:r>
      <w:r>
        <w:rPr>
          <w:rFonts w:ascii="Lucida Sans Unicode" w:hAnsi="Lucida Sans Unicode"/>
          <w:color w:val="6D6E71"/>
          <w:sz w:val="14"/>
        </w:rPr>
        <w:t>SOVRANITÀ</w:t>
      </w:r>
      <w:r>
        <w:rPr>
          <w:rFonts w:ascii="Trebuchet MS" w:hAnsi="Trebuchet MS"/>
          <w:color w:val="414042"/>
          <w:position w:val="-3"/>
          <w:sz w:val="20"/>
        </w:rPr>
        <w:tab/>
        <w:t>53</w:t>
      </w:r>
    </w:p>
    <w:p>
      <w:pPr>
        <w:pStyle w:val="BodyText"/>
        <w:spacing w:line="244" w:lineRule="auto" w:before="621"/>
        <w:ind w:left="117" w:right="117"/>
        <w:jc w:val="both"/>
      </w:pPr>
      <w:r>
        <w:rPr>
          <w:color w:val="231F20"/>
        </w:rPr>
        <w:t>proprio</w:t>
      </w:r>
      <w:r>
        <w:rPr>
          <w:color w:val="231F20"/>
          <w:spacing w:val="-8"/>
        </w:rPr>
        <w:t> </w:t>
      </w:r>
      <w:r>
        <w:rPr>
          <w:color w:val="231F20"/>
        </w:rPr>
        <w:t>la</w:t>
      </w:r>
      <w:r>
        <w:rPr>
          <w:color w:val="231F20"/>
          <w:spacing w:val="-8"/>
        </w:rPr>
        <w:t> </w:t>
      </w:r>
      <w:r>
        <w:rPr>
          <w:color w:val="231F20"/>
        </w:rPr>
        <w:t>popolazione,</w:t>
      </w:r>
      <w:r>
        <w:rPr>
          <w:color w:val="231F20"/>
          <w:spacing w:val="-8"/>
        </w:rPr>
        <w:t> </w:t>
      </w:r>
      <w:r>
        <w:rPr>
          <w:color w:val="231F20"/>
        </w:rPr>
        <w:t>nonostante</w:t>
      </w:r>
      <w:r>
        <w:rPr>
          <w:color w:val="231F20"/>
          <w:spacing w:val="-8"/>
        </w:rPr>
        <w:t> </w:t>
      </w:r>
      <w:r>
        <w:rPr>
          <w:color w:val="231F20"/>
        </w:rPr>
        <w:t>sia</w:t>
      </w:r>
      <w:r>
        <w:rPr>
          <w:color w:val="231F20"/>
          <w:spacing w:val="-8"/>
        </w:rPr>
        <w:t> </w:t>
      </w:r>
      <w:r>
        <w:rPr>
          <w:color w:val="231F20"/>
        </w:rPr>
        <w:t>poi</w:t>
      </w:r>
      <w:r>
        <w:rPr>
          <w:color w:val="231F20"/>
          <w:spacing w:val="-8"/>
        </w:rPr>
        <w:t> </w:t>
      </w:r>
      <w:r>
        <w:rPr>
          <w:color w:val="231F20"/>
        </w:rPr>
        <w:t>l’obbedienza</w:t>
      </w:r>
      <w:r>
        <w:rPr>
          <w:color w:val="231F20"/>
          <w:spacing w:val="-8"/>
        </w:rPr>
        <w:t> </w:t>
      </w:r>
      <w:r>
        <w:rPr>
          <w:color w:val="231F20"/>
        </w:rPr>
        <w:t>esistente</w:t>
      </w:r>
      <w:r>
        <w:rPr>
          <w:color w:val="231F20"/>
          <w:spacing w:val="-8"/>
        </w:rPr>
        <w:t> </w:t>
      </w:r>
      <w:r>
        <w:rPr>
          <w:color w:val="231F20"/>
        </w:rPr>
        <w:t>a</w:t>
      </w:r>
      <w:r>
        <w:rPr>
          <w:color w:val="231F20"/>
          <w:spacing w:val="-8"/>
        </w:rPr>
        <w:t> </w:t>
      </w:r>
      <w:r>
        <w:rPr>
          <w:color w:val="231F20"/>
        </w:rPr>
        <w:t>rendere legittimo</w:t>
      </w:r>
      <w:r>
        <w:rPr>
          <w:color w:val="231F20"/>
          <w:spacing w:val="-15"/>
        </w:rPr>
        <w:t> </w:t>
      </w:r>
      <w:r>
        <w:rPr>
          <w:color w:val="231F20"/>
        </w:rPr>
        <w:t>lo</w:t>
      </w:r>
      <w:r>
        <w:rPr>
          <w:color w:val="231F20"/>
          <w:spacing w:val="-15"/>
        </w:rPr>
        <w:t> </w:t>
      </w:r>
      <w:r>
        <w:rPr>
          <w:color w:val="231F20"/>
        </w:rPr>
        <w:t>Stato</w:t>
      </w:r>
      <w:r>
        <w:rPr>
          <w:color w:val="231F20"/>
          <w:spacing w:val="-15"/>
        </w:rPr>
        <w:t> </w:t>
      </w:r>
      <w:r>
        <w:rPr>
          <w:color w:val="231F20"/>
        </w:rPr>
        <w:t>in</w:t>
      </w:r>
      <w:r>
        <w:rPr>
          <w:color w:val="231F20"/>
          <w:spacing w:val="-15"/>
        </w:rPr>
        <w:t> </w:t>
      </w:r>
      <w:r>
        <w:rPr>
          <w:color w:val="231F20"/>
        </w:rPr>
        <w:t>quanto</w:t>
      </w:r>
      <w:r>
        <w:rPr>
          <w:color w:val="231F20"/>
          <w:spacing w:val="-15"/>
        </w:rPr>
        <w:t> </w:t>
      </w:r>
      <w:r>
        <w:rPr>
          <w:color w:val="231F20"/>
        </w:rPr>
        <w:t>specifica</w:t>
      </w:r>
      <w:r>
        <w:rPr>
          <w:color w:val="231F20"/>
          <w:spacing w:val="-15"/>
        </w:rPr>
        <w:t> </w:t>
      </w:r>
      <w:r>
        <w:rPr>
          <w:color w:val="231F20"/>
        </w:rPr>
        <w:t>forma</w:t>
      </w:r>
      <w:r>
        <w:rPr>
          <w:color w:val="231F20"/>
          <w:spacing w:val="-15"/>
        </w:rPr>
        <w:t> </w:t>
      </w:r>
      <w:r>
        <w:rPr>
          <w:color w:val="231F20"/>
        </w:rPr>
        <w:t>di</w:t>
      </w:r>
      <w:r>
        <w:rPr>
          <w:color w:val="231F20"/>
          <w:spacing w:val="-15"/>
        </w:rPr>
        <w:t> </w:t>
      </w:r>
      <w:r>
        <w:rPr>
          <w:color w:val="231F20"/>
        </w:rPr>
        <w:t>potere.</w:t>
      </w:r>
      <w:r>
        <w:rPr>
          <w:color w:val="231F20"/>
          <w:spacing w:val="-15"/>
        </w:rPr>
        <w:t> </w:t>
      </w:r>
      <w:r>
        <w:rPr>
          <w:color w:val="231F20"/>
        </w:rPr>
        <w:t>Il</w:t>
      </w:r>
      <w:r>
        <w:rPr>
          <w:color w:val="231F20"/>
          <w:spacing w:val="-15"/>
        </w:rPr>
        <w:t> </w:t>
      </w:r>
      <w:r>
        <w:rPr>
          <w:color w:val="231F20"/>
        </w:rPr>
        <w:t>popolo</w:t>
      </w:r>
      <w:r>
        <w:rPr>
          <w:color w:val="231F20"/>
          <w:spacing w:val="-15"/>
        </w:rPr>
        <w:t> </w:t>
      </w:r>
      <w:r>
        <w:rPr>
          <w:color w:val="231F20"/>
        </w:rPr>
        <w:t>e</w:t>
      </w:r>
      <w:r>
        <w:rPr>
          <w:color w:val="231F20"/>
          <w:spacing w:val="-15"/>
        </w:rPr>
        <w:t> </w:t>
      </w:r>
      <w:r>
        <w:rPr>
          <w:color w:val="231F20"/>
        </w:rPr>
        <w:t>il</w:t>
      </w:r>
      <w:r>
        <w:rPr>
          <w:color w:val="231F20"/>
          <w:spacing w:val="-15"/>
        </w:rPr>
        <w:t> </w:t>
      </w:r>
      <w:r>
        <w:rPr>
          <w:color w:val="231F20"/>
        </w:rPr>
        <w:t>territorio, se non sono proprio identificati da </w:t>
      </w:r>
      <w:r>
        <w:rPr>
          <w:color w:val="231F20"/>
          <w:spacing w:val="-4"/>
        </w:rPr>
        <w:t>Weber, </w:t>
      </w:r>
      <w:r>
        <w:rPr>
          <w:color w:val="231F20"/>
        </w:rPr>
        <w:t>sono comunque strettamente connessi in uno spazio di ubbidienza allo stesso tempo personale e fisico.  Il popolo weberiano è completamente interno al tipo burocratico della </w:t>
      </w:r>
      <w:r>
        <w:rPr>
          <w:rFonts w:ascii="Arial" w:hAnsi="Arial"/>
          <w:i/>
          <w:color w:val="231F20"/>
          <w:spacing w:val="3"/>
        </w:rPr>
        <w:t>Herrschaft</w:t>
      </w:r>
      <w:r>
        <w:rPr>
          <w:color w:val="231F20"/>
          <w:spacing w:val="3"/>
        </w:rPr>
        <w:t>, dato </w:t>
      </w:r>
      <w:r>
        <w:rPr>
          <w:color w:val="231F20"/>
          <w:spacing w:val="2"/>
        </w:rPr>
        <w:t>che </w:t>
      </w:r>
      <w:r>
        <w:rPr>
          <w:color w:val="231F20"/>
        </w:rPr>
        <w:t>la </w:t>
      </w:r>
      <w:r>
        <w:rPr>
          <w:color w:val="231F20"/>
          <w:spacing w:val="2"/>
        </w:rPr>
        <w:t>routine </w:t>
      </w:r>
      <w:r>
        <w:rPr>
          <w:color w:val="231F20"/>
          <w:spacing w:val="3"/>
        </w:rPr>
        <w:t>come caratteristica specifica dell’agire </w:t>
      </w:r>
      <w:r>
        <w:rPr>
          <w:color w:val="231F20"/>
        </w:rPr>
        <w:t>burocratico ha anche il senso di rendere evidente la continuità dello Stato nonostante</w:t>
      </w:r>
      <w:r>
        <w:rPr>
          <w:color w:val="231F20"/>
          <w:spacing w:val="-10"/>
        </w:rPr>
        <w:t> </w:t>
      </w:r>
      <w:r>
        <w:rPr>
          <w:color w:val="231F20"/>
        </w:rPr>
        <w:t>le</w:t>
      </w:r>
      <w:r>
        <w:rPr>
          <w:color w:val="231F20"/>
          <w:spacing w:val="-10"/>
        </w:rPr>
        <w:t> </w:t>
      </w:r>
      <w:r>
        <w:rPr>
          <w:color w:val="231F20"/>
        </w:rPr>
        <w:t>distanze</w:t>
      </w:r>
      <w:r>
        <w:rPr>
          <w:color w:val="231F20"/>
          <w:spacing w:val="-10"/>
        </w:rPr>
        <w:t> </w:t>
      </w:r>
      <w:r>
        <w:rPr>
          <w:color w:val="231F20"/>
        </w:rPr>
        <w:t>e</w:t>
      </w:r>
      <w:r>
        <w:rPr>
          <w:color w:val="231F20"/>
          <w:spacing w:val="-10"/>
        </w:rPr>
        <w:t> </w:t>
      </w:r>
      <w:r>
        <w:rPr>
          <w:color w:val="231F20"/>
        </w:rPr>
        <w:t>le</w:t>
      </w:r>
      <w:r>
        <w:rPr>
          <w:color w:val="231F20"/>
          <w:spacing w:val="-10"/>
        </w:rPr>
        <w:t> </w:t>
      </w:r>
      <w:r>
        <w:rPr>
          <w:color w:val="231F20"/>
        </w:rPr>
        <w:t>differenze</w:t>
      </w:r>
      <w:r>
        <w:rPr>
          <w:color w:val="231F20"/>
          <w:position w:val="7"/>
          <w:sz w:val="12"/>
        </w:rPr>
        <w:t>59</w:t>
      </w:r>
      <w:r>
        <w:rPr>
          <w:color w:val="231F20"/>
        </w:rPr>
        <w:t>.</w:t>
      </w:r>
      <w:r>
        <w:rPr>
          <w:color w:val="231F20"/>
          <w:spacing w:val="-10"/>
        </w:rPr>
        <w:t> </w:t>
      </w:r>
      <w:r>
        <w:rPr>
          <w:color w:val="231F20"/>
        </w:rPr>
        <w:t>La</w:t>
      </w:r>
      <w:r>
        <w:rPr>
          <w:color w:val="231F20"/>
          <w:spacing w:val="-10"/>
        </w:rPr>
        <w:t> </w:t>
      </w:r>
      <w:r>
        <w:rPr>
          <w:color w:val="231F20"/>
        </w:rPr>
        <w:t>ripetizione</w:t>
      </w:r>
      <w:r>
        <w:rPr>
          <w:color w:val="231F20"/>
          <w:spacing w:val="-10"/>
        </w:rPr>
        <w:t> </w:t>
      </w:r>
      <w:r>
        <w:rPr>
          <w:color w:val="231F20"/>
        </w:rPr>
        <w:t>burocratica</w:t>
      </w:r>
      <w:r>
        <w:rPr>
          <w:color w:val="231F20"/>
          <w:spacing w:val="-10"/>
        </w:rPr>
        <w:t> </w:t>
      </w:r>
      <w:r>
        <w:rPr>
          <w:color w:val="231F20"/>
        </w:rPr>
        <w:t>è</w:t>
      </w:r>
      <w:r>
        <w:rPr>
          <w:color w:val="231F20"/>
          <w:spacing w:val="-10"/>
        </w:rPr>
        <w:t> </w:t>
      </w:r>
      <w:r>
        <w:rPr>
          <w:color w:val="231F20"/>
        </w:rPr>
        <w:t>il</w:t>
      </w:r>
      <w:r>
        <w:rPr>
          <w:color w:val="231F20"/>
          <w:spacing w:val="-10"/>
        </w:rPr>
        <w:t> </w:t>
      </w:r>
      <w:r>
        <w:rPr>
          <w:color w:val="231F20"/>
        </w:rPr>
        <w:t>segno di un’uguaglianza di trattamento che è anche la base della legittimazione. </w:t>
      </w:r>
      <w:r>
        <w:rPr>
          <w:color w:val="231F20"/>
          <w:spacing w:val="-3"/>
        </w:rPr>
        <w:t>L’irruzione</w:t>
      </w:r>
      <w:r>
        <w:rPr>
          <w:color w:val="231F20"/>
          <w:spacing w:val="-11"/>
        </w:rPr>
        <w:t> </w:t>
      </w:r>
      <w:r>
        <w:rPr>
          <w:color w:val="231F20"/>
        </w:rPr>
        <w:t>delle</w:t>
      </w:r>
      <w:r>
        <w:rPr>
          <w:color w:val="231F20"/>
          <w:spacing w:val="-11"/>
        </w:rPr>
        <w:t> </w:t>
      </w:r>
      <w:r>
        <w:rPr>
          <w:color w:val="231F20"/>
        </w:rPr>
        <w:t>pratiche</w:t>
      </w:r>
      <w:r>
        <w:rPr>
          <w:color w:val="231F20"/>
          <w:spacing w:val="-11"/>
        </w:rPr>
        <w:t> </w:t>
      </w:r>
      <w:r>
        <w:rPr>
          <w:color w:val="231F20"/>
        </w:rPr>
        <w:t>di</w:t>
      </w:r>
      <w:r>
        <w:rPr>
          <w:color w:val="231F20"/>
          <w:spacing w:val="-11"/>
        </w:rPr>
        <w:t> </w:t>
      </w:r>
      <w:r>
        <w:rPr>
          <w:rFonts w:ascii="Arial" w:hAnsi="Arial"/>
          <w:i/>
          <w:color w:val="231F20"/>
        </w:rPr>
        <w:t>governance</w:t>
      </w:r>
      <w:r>
        <w:rPr>
          <w:rFonts w:ascii="Arial" w:hAnsi="Arial"/>
          <w:i/>
          <w:color w:val="231F20"/>
          <w:spacing w:val="-4"/>
        </w:rPr>
        <w:t> </w:t>
      </w:r>
      <w:r>
        <w:rPr>
          <w:color w:val="231F20"/>
        </w:rPr>
        <w:t>e</w:t>
      </w:r>
      <w:r>
        <w:rPr>
          <w:color w:val="231F20"/>
          <w:spacing w:val="-11"/>
        </w:rPr>
        <w:t> </w:t>
      </w:r>
      <w:r>
        <w:rPr>
          <w:color w:val="231F20"/>
        </w:rPr>
        <w:t>governamentali</w:t>
      </w:r>
      <w:r>
        <w:rPr>
          <w:color w:val="231F20"/>
          <w:spacing w:val="-11"/>
        </w:rPr>
        <w:t> </w:t>
      </w:r>
      <w:r>
        <w:rPr>
          <w:color w:val="231F20"/>
        </w:rPr>
        <w:t>ha</w:t>
      </w:r>
      <w:r>
        <w:rPr>
          <w:color w:val="231F20"/>
          <w:spacing w:val="-11"/>
        </w:rPr>
        <w:t> </w:t>
      </w:r>
      <w:r>
        <w:rPr>
          <w:color w:val="231F20"/>
        </w:rPr>
        <w:t>ripetutamente messo a repentaglio, quando non ha interrotto, questi effetti politici del dominio burocratico, in corrispondenza della trasformazione dei modelli amministrativi pubblici e</w:t>
      </w:r>
      <w:r>
        <w:rPr>
          <w:color w:val="231F20"/>
          <w:spacing w:val="5"/>
        </w:rPr>
        <w:t> </w:t>
      </w:r>
      <w:r>
        <w:rPr>
          <w:color w:val="231F20"/>
        </w:rPr>
        <w:t>privati.</w:t>
      </w:r>
    </w:p>
    <w:p>
      <w:pPr>
        <w:pStyle w:val="BodyText"/>
        <w:spacing w:line="247" w:lineRule="auto" w:before="1"/>
        <w:ind w:left="117" w:right="116" w:firstLine="566"/>
        <w:jc w:val="both"/>
      </w:pPr>
      <w:r>
        <w:rPr>
          <w:color w:val="231F20"/>
        </w:rPr>
        <w:t>Negli ultimi decenni all’interno della storia del pensiero politico si     è assistito a un lento ma inesorabile passaggio di accento e di significato all’interno della formula: governo del popolo</w:t>
      </w:r>
      <w:r>
        <w:rPr>
          <w:color w:val="231F20"/>
          <w:position w:val="7"/>
          <w:sz w:val="12"/>
        </w:rPr>
        <w:t>60</w:t>
      </w:r>
      <w:r>
        <w:rPr>
          <w:color w:val="231F20"/>
        </w:rPr>
        <w:t>. Fino a non molto tempo    fa essa significava l’indiscussa sovranità del popolo all’interno dello Stato democratico. Di questo Stato e di quel popolo veniva ricostruita la comune storia per legittimare l’affermazione che ognuno dei due era impossibile senza l’altro. Il popolo era la soluzione sempre data dell’enigma dello</w:t>
      </w:r>
      <w:r>
        <w:rPr>
          <w:color w:val="231F20"/>
          <w:spacing w:val="-31"/>
        </w:rPr>
        <w:t> </w:t>
      </w:r>
      <w:r>
        <w:rPr>
          <w:color w:val="231F20"/>
        </w:rPr>
        <w:t>Stato democratico. Dagli anni Settanta si afferma però una variazione che fa del popolo non il soggetto, ma l’oggetto delle politiche di un governo che   non coincide necessariamente con l’idea che se ne ha all’interno </w:t>
      </w:r>
      <w:r>
        <w:rPr>
          <w:color w:val="231F20"/>
          <w:spacing w:val="2"/>
        </w:rPr>
        <w:t>dello</w:t>
      </w:r>
      <w:r>
        <w:rPr>
          <w:color w:val="231F20"/>
          <w:spacing w:val="69"/>
        </w:rPr>
        <w:t> </w:t>
      </w:r>
      <w:r>
        <w:rPr>
          <w:color w:val="231F20"/>
        </w:rPr>
        <w:t>Stato democratico. Com’è evidente dalle ricerche di Michel Foucault, la trasformazione è talmente imponente che alla fine di questo processo il popolo diventa popolazione e il governo diviene governamentalità</w:t>
      </w:r>
      <w:r>
        <w:rPr>
          <w:color w:val="231F20"/>
          <w:position w:val="7"/>
          <w:sz w:val="12"/>
        </w:rPr>
        <w:t>61</w:t>
      </w:r>
      <w:r>
        <w:rPr>
          <w:color w:val="231F20"/>
        </w:rPr>
        <w:t>. Per </w:t>
      </w:r>
      <w:r>
        <w:rPr>
          <w:color w:val="231F20"/>
          <w:spacing w:val="3"/>
        </w:rPr>
        <w:t>quanto riguarda </w:t>
      </w:r>
      <w:r>
        <w:rPr>
          <w:color w:val="231F20"/>
        </w:rPr>
        <w:t>il </w:t>
      </w:r>
      <w:r>
        <w:rPr>
          <w:color w:val="231F20"/>
          <w:spacing w:val="3"/>
        </w:rPr>
        <w:t>popolo, tuttavia, </w:t>
      </w:r>
      <w:r>
        <w:rPr>
          <w:color w:val="231F20"/>
          <w:spacing w:val="2"/>
        </w:rPr>
        <w:t>non </w:t>
      </w:r>
      <w:r>
        <w:rPr>
          <w:color w:val="231F20"/>
        </w:rPr>
        <w:t>si </w:t>
      </w:r>
      <w:r>
        <w:rPr>
          <w:color w:val="231F20"/>
          <w:spacing w:val="3"/>
        </w:rPr>
        <w:t>tratta semplicemente </w:t>
      </w:r>
      <w:r>
        <w:rPr>
          <w:color w:val="231F20"/>
          <w:spacing w:val="4"/>
        </w:rPr>
        <w:t>della </w:t>
      </w:r>
      <w:r>
        <w:rPr>
          <w:color w:val="231F20"/>
        </w:rPr>
        <w:t>sovrapposizione di un nuovo lessico a quello precedente. Nell’Europa del Settecento popolazione ha un’esistenza concettualmente rilevante che si snoda accanto a quella del popolo. Popolo e popolazione stabiliscono un campo di tensione irrinunciabile per il discorso politico della democrazia.   Il</w:t>
      </w:r>
      <w:r>
        <w:rPr>
          <w:color w:val="231F20"/>
          <w:spacing w:val="46"/>
        </w:rPr>
        <w:t> </w:t>
      </w:r>
      <w:r>
        <w:rPr>
          <w:color w:val="231F20"/>
        </w:rPr>
        <w:t>popolo</w:t>
      </w:r>
      <w:r>
        <w:rPr>
          <w:color w:val="231F20"/>
          <w:spacing w:val="46"/>
        </w:rPr>
        <w:t> </w:t>
      </w:r>
      <w:r>
        <w:rPr>
          <w:color w:val="231F20"/>
        </w:rPr>
        <w:t>è</w:t>
      </w:r>
      <w:r>
        <w:rPr>
          <w:color w:val="231F20"/>
          <w:spacing w:val="46"/>
        </w:rPr>
        <w:t> </w:t>
      </w:r>
      <w:r>
        <w:rPr>
          <w:color w:val="231F20"/>
        </w:rPr>
        <w:t>costantemente</w:t>
      </w:r>
      <w:r>
        <w:rPr>
          <w:color w:val="231F20"/>
          <w:spacing w:val="46"/>
        </w:rPr>
        <w:t> </w:t>
      </w:r>
      <w:r>
        <w:rPr>
          <w:color w:val="231F20"/>
        </w:rPr>
        <w:t>evocato</w:t>
      </w:r>
      <w:r>
        <w:rPr>
          <w:color w:val="231F20"/>
          <w:spacing w:val="46"/>
        </w:rPr>
        <w:t> </w:t>
      </w:r>
      <w:r>
        <w:rPr>
          <w:color w:val="231F20"/>
        </w:rPr>
        <w:t>quale</w:t>
      </w:r>
      <w:r>
        <w:rPr>
          <w:color w:val="231F20"/>
          <w:spacing w:val="46"/>
        </w:rPr>
        <w:t> </w:t>
      </w:r>
      <w:r>
        <w:rPr>
          <w:color w:val="231F20"/>
        </w:rPr>
        <w:t>fondamento</w:t>
      </w:r>
      <w:r>
        <w:rPr>
          <w:color w:val="231F20"/>
          <w:spacing w:val="46"/>
        </w:rPr>
        <w:t> </w:t>
      </w:r>
      <w:r>
        <w:rPr>
          <w:color w:val="231F20"/>
        </w:rPr>
        <w:t>necessario</w:t>
      </w:r>
      <w:r>
        <w:rPr>
          <w:color w:val="231F20"/>
          <w:spacing w:val="46"/>
        </w:rPr>
        <w:t> </w:t>
      </w:r>
      <w:r>
        <w:rPr>
          <w:color w:val="231F20"/>
          <w:spacing w:val="2"/>
        </w:rPr>
        <w:t>della</w:t>
      </w:r>
    </w:p>
    <w:p>
      <w:pPr>
        <w:pStyle w:val="BodyText"/>
        <w:spacing w:before="2"/>
        <w:rPr>
          <w:sz w:val="20"/>
        </w:rPr>
      </w:pPr>
      <w:r>
        <w:rPr/>
        <w:pict>
          <v:line style="position:absolute;mso-position-horizontal-relative:page;mso-position-vertical-relative:paragraph;z-index:10696;mso-wrap-distance-left:0;mso-wrap-distance-right:0" from="70.866096pt,14.306985pt" to="184.252096pt,14.306985pt" stroked="true" strokeweight=".3pt" strokecolor="#231f20">
            <w10:wrap type="topAndBottom"/>
          </v:line>
        </w:pict>
      </w:r>
    </w:p>
    <w:p>
      <w:pPr>
        <w:spacing w:line="204" w:lineRule="exact" w:before="9"/>
        <w:ind w:left="117" w:right="121" w:firstLine="0"/>
        <w:jc w:val="both"/>
        <w:rPr>
          <w:rFonts w:ascii="Calibri" w:hAnsi="Calibri"/>
          <w:sz w:val="17"/>
        </w:rPr>
      </w:pPr>
      <w:r>
        <w:rPr>
          <w:rFonts w:ascii="Calibri" w:hAnsi="Calibri"/>
          <w:color w:val="231F20"/>
          <w:w w:val="105"/>
          <w:sz w:val="17"/>
        </w:rPr>
        <w:t>misura in cui— l’apparato amministrativo avanza con successo una pretesa di </w:t>
      </w:r>
      <w:r>
        <w:rPr>
          <w:rFonts w:ascii="Calibri" w:hAnsi="Calibri"/>
          <w:i/>
          <w:color w:val="231F20"/>
          <w:w w:val="105"/>
          <w:sz w:val="17"/>
        </w:rPr>
        <w:t>monopolio </w:t>
      </w:r>
      <w:r>
        <w:rPr>
          <w:rFonts w:ascii="Calibri" w:hAnsi="Calibri"/>
          <w:color w:val="231F20"/>
          <w:w w:val="105"/>
          <w:sz w:val="17"/>
        </w:rPr>
        <w:t>della coercizione</w:t>
      </w:r>
      <w:r>
        <w:rPr>
          <w:rFonts w:ascii="Calibri" w:hAnsi="Calibri"/>
          <w:color w:val="231F20"/>
          <w:spacing w:val="-18"/>
          <w:w w:val="105"/>
          <w:sz w:val="17"/>
        </w:rPr>
        <w:t> </w:t>
      </w:r>
      <w:r>
        <w:rPr>
          <w:rFonts w:ascii="Calibri" w:hAnsi="Calibri"/>
          <w:color w:val="231F20"/>
          <w:w w:val="105"/>
          <w:sz w:val="17"/>
        </w:rPr>
        <w:t>fisica</w:t>
      </w:r>
      <w:r>
        <w:rPr>
          <w:rFonts w:ascii="Calibri" w:hAnsi="Calibri"/>
          <w:color w:val="231F20"/>
          <w:spacing w:val="-18"/>
          <w:w w:val="105"/>
          <w:sz w:val="17"/>
        </w:rPr>
        <w:t> </w:t>
      </w:r>
      <w:r>
        <w:rPr>
          <w:rFonts w:ascii="Calibri" w:hAnsi="Calibri"/>
          <w:i/>
          <w:color w:val="231F20"/>
          <w:w w:val="105"/>
          <w:sz w:val="17"/>
        </w:rPr>
        <w:t>legittima</w:t>
      </w:r>
      <w:r>
        <w:rPr>
          <w:rFonts w:ascii="Calibri" w:hAnsi="Calibri"/>
          <w:color w:val="231F20"/>
          <w:w w:val="105"/>
          <w:sz w:val="17"/>
        </w:rPr>
        <w:t>,</w:t>
      </w:r>
      <w:r>
        <w:rPr>
          <w:rFonts w:ascii="Calibri" w:hAnsi="Calibri"/>
          <w:color w:val="231F20"/>
          <w:spacing w:val="-19"/>
          <w:w w:val="105"/>
          <w:sz w:val="17"/>
        </w:rPr>
        <w:t> </w:t>
      </w:r>
      <w:r>
        <w:rPr>
          <w:rFonts w:ascii="Calibri" w:hAnsi="Calibri"/>
          <w:color w:val="231F20"/>
          <w:w w:val="105"/>
          <w:sz w:val="17"/>
        </w:rPr>
        <w:t>in</w:t>
      </w:r>
      <w:r>
        <w:rPr>
          <w:rFonts w:ascii="Calibri" w:hAnsi="Calibri"/>
          <w:color w:val="231F20"/>
          <w:spacing w:val="-20"/>
          <w:w w:val="105"/>
          <w:sz w:val="17"/>
        </w:rPr>
        <w:t> </w:t>
      </w:r>
      <w:r>
        <w:rPr>
          <w:rFonts w:ascii="Calibri" w:hAnsi="Calibri"/>
          <w:color w:val="231F20"/>
          <w:w w:val="105"/>
          <w:sz w:val="17"/>
        </w:rPr>
        <w:t>vista</w:t>
      </w:r>
      <w:r>
        <w:rPr>
          <w:rFonts w:ascii="Calibri" w:hAnsi="Calibri"/>
          <w:color w:val="231F20"/>
          <w:spacing w:val="-19"/>
          <w:w w:val="105"/>
          <w:sz w:val="17"/>
        </w:rPr>
        <w:t> </w:t>
      </w:r>
      <w:r>
        <w:rPr>
          <w:rFonts w:ascii="Calibri" w:hAnsi="Calibri"/>
          <w:color w:val="231F20"/>
          <w:w w:val="105"/>
          <w:sz w:val="17"/>
        </w:rPr>
        <w:t>dell’attuazione</w:t>
      </w:r>
      <w:r>
        <w:rPr>
          <w:rFonts w:ascii="Calibri" w:hAnsi="Calibri"/>
          <w:color w:val="231F20"/>
          <w:spacing w:val="-19"/>
          <w:w w:val="105"/>
          <w:sz w:val="17"/>
        </w:rPr>
        <w:t> </w:t>
      </w:r>
      <w:r>
        <w:rPr>
          <w:rFonts w:ascii="Calibri" w:hAnsi="Calibri"/>
          <w:color w:val="231F20"/>
          <w:w w:val="105"/>
          <w:sz w:val="17"/>
        </w:rPr>
        <w:t>degli</w:t>
      </w:r>
      <w:r>
        <w:rPr>
          <w:rFonts w:ascii="Calibri" w:hAnsi="Calibri"/>
          <w:color w:val="231F20"/>
          <w:spacing w:val="-19"/>
          <w:w w:val="105"/>
          <w:sz w:val="17"/>
        </w:rPr>
        <w:t> </w:t>
      </w:r>
      <w:r>
        <w:rPr>
          <w:rFonts w:ascii="Calibri" w:hAnsi="Calibri"/>
          <w:color w:val="231F20"/>
          <w:w w:val="105"/>
          <w:sz w:val="17"/>
        </w:rPr>
        <w:t>ordinamenti</w:t>
      </w:r>
      <w:r>
        <w:rPr>
          <w:rFonts w:ascii="Calibri" w:hAnsi="Calibri"/>
          <w:color w:val="231F20"/>
          <w:spacing w:val="-19"/>
          <w:w w:val="105"/>
          <w:sz w:val="17"/>
        </w:rPr>
        <w:t> </w:t>
      </w:r>
      <w:r>
        <w:rPr>
          <w:rFonts w:ascii="Calibri" w:hAnsi="Calibri"/>
          <w:color w:val="231F20"/>
          <w:w w:val="105"/>
          <w:sz w:val="17"/>
        </w:rPr>
        <w:t>all’interno</w:t>
      </w:r>
      <w:r>
        <w:rPr>
          <w:rFonts w:ascii="Calibri" w:hAnsi="Calibri"/>
          <w:color w:val="231F20"/>
          <w:spacing w:val="-19"/>
          <w:w w:val="105"/>
          <w:sz w:val="17"/>
        </w:rPr>
        <w:t> </w:t>
      </w:r>
      <w:r>
        <w:rPr>
          <w:rFonts w:ascii="Calibri" w:hAnsi="Calibri"/>
          <w:color w:val="231F20"/>
          <w:w w:val="105"/>
          <w:sz w:val="17"/>
        </w:rPr>
        <w:t>di</w:t>
      </w:r>
      <w:r>
        <w:rPr>
          <w:rFonts w:ascii="Calibri" w:hAnsi="Calibri"/>
          <w:color w:val="231F20"/>
          <w:spacing w:val="-19"/>
          <w:w w:val="105"/>
          <w:sz w:val="17"/>
        </w:rPr>
        <w:t> </w:t>
      </w:r>
      <w:r>
        <w:rPr>
          <w:rFonts w:ascii="Calibri" w:hAnsi="Calibri"/>
          <w:color w:val="231F20"/>
          <w:w w:val="105"/>
          <w:sz w:val="17"/>
        </w:rPr>
        <w:t>un</w:t>
      </w:r>
      <w:r>
        <w:rPr>
          <w:rFonts w:ascii="Calibri" w:hAnsi="Calibri"/>
          <w:color w:val="231F20"/>
          <w:spacing w:val="-19"/>
          <w:w w:val="105"/>
          <w:sz w:val="17"/>
        </w:rPr>
        <w:t> </w:t>
      </w:r>
      <w:r>
        <w:rPr>
          <w:rFonts w:ascii="Calibri" w:hAnsi="Calibri"/>
          <w:color w:val="231F20"/>
          <w:w w:val="105"/>
          <w:sz w:val="17"/>
        </w:rPr>
        <w:t>determinato territorio”, M. </w:t>
      </w:r>
      <w:r>
        <w:rPr>
          <w:rFonts w:ascii="Calibri" w:hAnsi="Calibri"/>
          <w:color w:val="231F20"/>
          <w:spacing w:val="-3"/>
          <w:w w:val="105"/>
          <w:sz w:val="17"/>
        </w:rPr>
        <w:t>Weber, </w:t>
      </w:r>
      <w:r>
        <w:rPr>
          <w:rFonts w:ascii="Calibri" w:hAnsi="Calibri"/>
          <w:i/>
          <w:color w:val="231F20"/>
          <w:w w:val="105"/>
          <w:sz w:val="17"/>
        </w:rPr>
        <w:t>Economia e società</w:t>
      </w:r>
      <w:r>
        <w:rPr>
          <w:rFonts w:ascii="Calibri" w:hAnsi="Calibri"/>
          <w:color w:val="231F20"/>
          <w:w w:val="105"/>
          <w:sz w:val="17"/>
        </w:rPr>
        <w:t>. 1. </w:t>
      </w:r>
      <w:r>
        <w:rPr>
          <w:rFonts w:ascii="Calibri" w:hAnsi="Calibri"/>
          <w:i/>
          <w:color w:val="231F20"/>
          <w:spacing w:val="-3"/>
          <w:w w:val="105"/>
          <w:sz w:val="17"/>
        </w:rPr>
        <w:t>Teoria </w:t>
      </w:r>
      <w:r>
        <w:rPr>
          <w:rFonts w:ascii="Calibri" w:hAnsi="Calibri"/>
          <w:i/>
          <w:color w:val="231F20"/>
          <w:w w:val="105"/>
          <w:sz w:val="17"/>
        </w:rPr>
        <w:t>delle categorie sociologiche </w:t>
      </w:r>
      <w:r>
        <w:rPr>
          <w:rFonts w:ascii="Calibri" w:hAnsi="Calibri"/>
          <w:color w:val="231F20"/>
          <w:w w:val="105"/>
          <w:sz w:val="17"/>
        </w:rPr>
        <w:t>(1922), Milano, Comunità,</w:t>
      </w:r>
      <w:r>
        <w:rPr>
          <w:rFonts w:ascii="Calibri" w:hAnsi="Calibri"/>
          <w:color w:val="231F20"/>
          <w:spacing w:val="-23"/>
          <w:w w:val="105"/>
          <w:sz w:val="17"/>
        </w:rPr>
        <w:t> </w:t>
      </w:r>
      <w:r>
        <w:rPr>
          <w:rFonts w:ascii="Calibri" w:hAnsi="Calibri"/>
          <w:color w:val="231F20"/>
          <w:w w:val="105"/>
          <w:sz w:val="17"/>
        </w:rPr>
        <w:t>1980,</w:t>
      </w:r>
      <w:r>
        <w:rPr>
          <w:rFonts w:ascii="Calibri" w:hAnsi="Calibri"/>
          <w:color w:val="231F20"/>
          <w:spacing w:val="-23"/>
          <w:w w:val="105"/>
          <w:sz w:val="17"/>
        </w:rPr>
        <w:t> </w:t>
      </w:r>
      <w:r>
        <w:rPr>
          <w:rFonts w:ascii="Calibri" w:hAnsi="Calibri"/>
          <w:color w:val="231F20"/>
          <w:w w:val="105"/>
          <w:sz w:val="17"/>
        </w:rPr>
        <w:t>p.</w:t>
      </w:r>
      <w:r>
        <w:rPr>
          <w:rFonts w:ascii="Calibri" w:hAnsi="Calibri"/>
          <w:color w:val="231F20"/>
          <w:spacing w:val="-23"/>
          <w:w w:val="105"/>
          <w:sz w:val="17"/>
        </w:rPr>
        <w:t> </w:t>
      </w:r>
      <w:r>
        <w:rPr>
          <w:rFonts w:ascii="Calibri" w:hAnsi="Calibri"/>
          <w:color w:val="231F20"/>
          <w:w w:val="105"/>
          <w:sz w:val="17"/>
        </w:rPr>
        <w:t>53.</w:t>
      </w:r>
    </w:p>
    <w:p>
      <w:pPr>
        <w:spacing w:line="204" w:lineRule="exact" w:before="0"/>
        <w:ind w:left="117" w:right="122" w:firstLine="0"/>
        <w:jc w:val="both"/>
        <w:rPr>
          <w:rFonts w:ascii="Calibri" w:hAnsi="Calibri"/>
          <w:sz w:val="17"/>
        </w:rPr>
      </w:pPr>
      <w:r>
        <w:rPr>
          <w:rFonts w:ascii="Calibri" w:hAnsi="Calibri"/>
          <w:color w:val="231F20"/>
          <w:position w:val="6"/>
          <w:sz w:val="10"/>
        </w:rPr>
        <w:t>59 </w:t>
      </w:r>
      <w:r>
        <w:rPr>
          <w:rFonts w:ascii="Calibri" w:hAnsi="Calibri"/>
          <w:color w:val="231F20"/>
          <w:sz w:val="17"/>
        </w:rPr>
        <w:t>D. Rueschemeyer, “Building States —Inherently a </w:t>
      </w:r>
      <w:r>
        <w:rPr>
          <w:rFonts w:ascii="Calibri" w:hAnsi="Calibri"/>
          <w:color w:val="231F20"/>
          <w:spacing w:val="-3"/>
          <w:sz w:val="17"/>
        </w:rPr>
        <w:t>Long–Term </w:t>
      </w:r>
      <w:r>
        <w:rPr>
          <w:rFonts w:ascii="Calibri" w:hAnsi="Calibri"/>
          <w:color w:val="231F20"/>
          <w:sz w:val="17"/>
        </w:rPr>
        <w:t>Process? An Argument from  Theory”, M. Lange y D. Rueschemeyer (Eds.), </w:t>
      </w:r>
      <w:r>
        <w:rPr>
          <w:rFonts w:ascii="Calibri" w:hAnsi="Calibri"/>
          <w:i/>
          <w:color w:val="231F20"/>
          <w:sz w:val="17"/>
        </w:rPr>
        <w:t>States and Development. Historical Antecedents of </w:t>
      </w:r>
      <w:r>
        <w:rPr>
          <w:rFonts w:ascii="Calibri" w:hAnsi="Calibri"/>
          <w:i/>
          <w:color w:val="231F20"/>
          <w:sz w:val="17"/>
        </w:rPr>
        <w:t>Stagnation and Advance</w:t>
      </w:r>
      <w:r>
        <w:rPr>
          <w:rFonts w:ascii="Calibri" w:hAnsi="Calibri"/>
          <w:color w:val="231F20"/>
          <w:sz w:val="17"/>
        </w:rPr>
        <w:t>, Basingstoke 2005, pp.</w:t>
      </w:r>
      <w:r>
        <w:rPr>
          <w:rFonts w:ascii="Calibri" w:hAnsi="Calibri"/>
          <w:color w:val="231F20"/>
          <w:spacing w:val="-17"/>
          <w:sz w:val="17"/>
        </w:rPr>
        <w:t> </w:t>
      </w:r>
      <w:r>
        <w:rPr>
          <w:rFonts w:ascii="Calibri" w:hAnsi="Calibri"/>
          <w:color w:val="231F20"/>
          <w:sz w:val="17"/>
        </w:rPr>
        <w:t>165–182.</w:t>
      </w:r>
    </w:p>
    <w:p>
      <w:pPr>
        <w:spacing w:line="204" w:lineRule="exact" w:before="0"/>
        <w:ind w:left="117" w:right="121" w:firstLine="0"/>
        <w:jc w:val="both"/>
        <w:rPr>
          <w:rFonts w:ascii="Calibri" w:hAnsi="Calibri"/>
          <w:sz w:val="17"/>
        </w:rPr>
      </w:pPr>
      <w:r>
        <w:rPr>
          <w:rFonts w:ascii="Calibri" w:hAnsi="Calibri"/>
          <w:color w:val="231F20"/>
          <w:position w:val="6"/>
          <w:sz w:val="10"/>
        </w:rPr>
        <w:t>60 </w:t>
      </w:r>
      <w:r>
        <w:rPr>
          <w:rFonts w:ascii="Calibri" w:hAnsi="Calibri"/>
          <w:i/>
          <w:color w:val="231F20"/>
          <w:sz w:val="17"/>
        </w:rPr>
        <w:t>Cfr</w:t>
      </w:r>
      <w:r>
        <w:rPr>
          <w:rFonts w:ascii="Calibri" w:hAnsi="Calibri"/>
          <w:color w:val="231F20"/>
          <w:sz w:val="17"/>
        </w:rPr>
        <w:t>. a questo proposito G. Ruocco y L. Scuccimarra (Eds.), </w:t>
      </w:r>
      <w:r>
        <w:rPr>
          <w:rFonts w:ascii="Calibri" w:hAnsi="Calibri"/>
          <w:i/>
          <w:color w:val="231F20"/>
          <w:sz w:val="17"/>
        </w:rPr>
        <w:t>Il governo del popolo. Rappresentanza, </w:t>
      </w:r>
      <w:r>
        <w:rPr>
          <w:rFonts w:ascii="Calibri" w:hAnsi="Calibri"/>
          <w:i/>
          <w:color w:val="231F20"/>
          <w:sz w:val="17"/>
        </w:rPr>
        <w:t>partecipazione,</w:t>
      </w:r>
      <w:r>
        <w:rPr>
          <w:rFonts w:ascii="Calibri" w:hAnsi="Calibri"/>
          <w:i/>
          <w:color w:val="231F20"/>
          <w:spacing w:val="-15"/>
          <w:sz w:val="17"/>
        </w:rPr>
        <w:t> </w:t>
      </w:r>
      <w:r>
        <w:rPr>
          <w:rFonts w:ascii="Calibri" w:hAnsi="Calibri"/>
          <w:i/>
          <w:color w:val="231F20"/>
          <w:sz w:val="17"/>
        </w:rPr>
        <w:t>esclusione</w:t>
      </w:r>
      <w:r>
        <w:rPr>
          <w:rFonts w:ascii="Calibri" w:hAnsi="Calibri"/>
          <w:i/>
          <w:color w:val="231F20"/>
          <w:spacing w:val="-15"/>
          <w:sz w:val="17"/>
        </w:rPr>
        <w:t> </w:t>
      </w:r>
      <w:r>
        <w:rPr>
          <w:rFonts w:ascii="Calibri" w:hAnsi="Calibri"/>
          <w:i/>
          <w:color w:val="231F20"/>
          <w:sz w:val="17"/>
        </w:rPr>
        <w:t>alle</w:t>
      </w:r>
      <w:r>
        <w:rPr>
          <w:rFonts w:ascii="Calibri" w:hAnsi="Calibri"/>
          <w:i/>
          <w:color w:val="231F20"/>
          <w:spacing w:val="-15"/>
          <w:sz w:val="17"/>
        </w:rPr>
        <w:t> </w:t>
      </w:r>
      <w:r>
        <w:rPr>
          <w:rFonts w:ascii="Calibri" w:hAnsi="Calibri"/>
          <w:i/>
          <w:color w:val="231F20"/>
          <w:sz w:val="17"/>
        </w:rPr>
        <w:t>origini</w:t>
      </w:r>
      <w:r>
        <w:rPr>
          <w:rFonts w:ascii="Calibri" w:hAnsi="Calibri"/>
          <w:i/>
          <w:color w:val="231F20"/>
          <w:spacing w:val="-15"/>
          <w:sz w:val="17"/>
        </w:rPr>
        <w:t> </w:t>
      </w:r>
      <w:r>
        <w:rPr>
          <w:rFonts w:ascii="Calibri" w:hAnsi="Calibri"/>
          <w:i/>
          <w:color w:val="231F20"/>
          <w:sz w:val="17"/>
        </w:rPr>
        <w:t>della</w:t>
      </w:r>
      <w:r>
        <w:rPr>
          <w:rFonts w:ascii="Calibri" w:hAnsi="Calibri"/>
          <w:i/>
          <w:color w:val="231F20"/>
          <w:spacing w:val="-15"/>
          <w:sz w:val="17"/>
        </w:rPr>
        <w:t> </w:t>
      </w:r>
      <w:r>
        <w:rPr>
          <w:rFonts w:ascii="Calibri" w:hAnsi="Calibri"/>
          <w:i/>
          <w:color w:val="231F20"/>
          <w:sz w:val="17"/>
        </w:rPr>
        <w:t>democrazia</w:t>
      </w:r>
      <w:r>
        <w:rPr>
          <w:rFonts w:ascii="Calibri" w:hAnsi="Calibri"/>
          <w:i/>
          <w:color w:val="231F20"/>
          <w:spacing w:val="-15"/>
          <w:sz w:val="17"/>
        </w:rPr>
        <w:t> </w:t>
      </w:r>
      <w:r>
        <w:rPr>
          <w:rFonts w:ascii="Calibri" w:hAnsi="Calibri"/>
          <w:i/>
          <w:color w:val="231F20"/>
          <w:sz w:val="17"/>
        </w:rPr>
        <w:t>moderna</w:t>
      </w:r>
      <w:r>
        <w:rPr>
          <w:rFonts w:ascii="Calibri" w:hAnsi="Calibri"/>
          <w:color w:val="231F20"/>
          <w:sz w:val="17"/>
        </w:rPr>
        <w:t>,</w:t>
      </w:r>
      <w:r>
        <w:rPr>
          <w:rFonts w:ascii="Calibri" w:hAnsi="Calibri"/>
          <w:color w:val="231F20"/>
          <w:spacing w:val="-15"/>
          <w:sz w:val="17"/>
        </w:rPr>
        <w:t> </w:t>
      </w:r>
      <w:r>
        <w:rPr>
          <w:rFonts w:ascii="Calibri" w:hAnsi="Calibri"/>
          <w:color w:val="231F20"/>
          <w:sz w:val="17"/>
        </w:rPr>
        <w:t>1.</w:t>
      </w:r>
      <w:r>
        <w:rPr>
          <w:rFonts w:ascii="Calibri" w:hAnsi="Calibri"/>
          <w:color w:val="231F20"/>
          <w:spacing w:val="-15"/>
          <w:sz w:val="17"/>
        </w:rPr>
        <w:t> </w:t>
      </w:r>
      <w:r>
        <w:rPr>
          <w:rFonts w:ascii="Calibri" w:hAnsi="Calibri"/>
          <w:i/>
          <w:color w:val="231F20"/>
          <w:sz w:val="17"/>
        </w:rPr>
        <w:t>Dall’antico</w:t>
      </w:r>
      <w:r>
        <w:rPr>
          <w:rFonts w:ascii="Calibri" w:hAnsi="Calibri"/>
          <w:i/>
          <w:color w:val="231F20"/>
          <w:spacing w:val="-15"/>
          <w:sz w:val="17"/>
        </w:rPr>
        <w:t> </w:t>
      </w:r>
      <w:r>
        <w:rPr>
          <w:rFonts w:ascii="Calibri" w:hAnsi="Calibri"/>
          <w:i/>
          <w:color w:val="231F20"/>
          <w:sz w:val="17"/>
        </w:rPr>
        <w:t>regime</w:t>
      </w:r>
      <w:r>
        <w:rPr>
          <w:rFonts w:ascii="Calibri" w:hAnsi="Calibri"/>
          <w:i/>
          <w:color w:val="231F20"/>
          <w:spacing w:val="-15"/>
          <w:sz w:val="17"/>
        </w:rPr>
        <w:t> </w:t>
      </w:r>
      <w:r>
        <w:rPr>
          <w:rFonts w:ascii="Calibri" w:hAnsi="Calibri"/>
          <w:i/>
          <w:color w:val="231F20"/>
          <w:sz w:val="17"/>
        </w:rPr>
        <w:t>alla</w:t>
      </w:r>
      <w:r>
        <w:rPr>
          <w:rFonts w:ascii="Calibri" w:hAnsi="Calibri"/>
          <w:i/>
          <w:color w:val="231F20"/>
          <w:spacing w:val="-15"/>
          <w:sz w:val="17"/>
        </w:rPr>
        <w:t> </w:t>
      </w:r>
      <w:r>
        <w:rPr>
          <w:rFonts w:ascii="Calibri" w:hAnsi="Calibri"/>
          <w:i/>
          <w:color w:val="231F20"/>
          <w:sz w:val="17"/>
        </w:rPr>
        <w:t>rivoluzione</w:t>
      </w:r>
      <w:r>
        <w:rPr>
          <w:rFonts w:ascii="Calibri" w:hAnsi="Calibri"/>
          <w:color w:val="231F20"/>
          <w:sz w:val="17"/>
        </w:rPr>
        <w:t>, Roma,</w:t>
      </w:r>
      <w:r>
        <w:rPr>
          <w:rFonts w:ascii="Calibri" w:hAnsi="Calibri"/>
          <w:color w:val="231F20"/>
          <w:spacing w:val="-17"/>
          <w:sz w:val="17"/>
        </w:rPr>
        <w:t> </w:t>
      </w:r>
      <w:r>
        <w:rPr>
          <w:rFonts w:ascii="Calibri" w:hAnsi="Calibri"/>
          <w:color w:val="231F20"/>
          <w:sz w:val="17"/>
        </w:rPr>
        <w:t>2011,</w:t>
      </w:r>
      <w:r>
        <w:rPr>
          <w:rFonts w:ascii="Calibri" w:hAnsi="Calibri"/>
          <w:color w:val="231F20"/>
          <w:spacing w:val="-17"/>
          <w:sz w:val="17"/>
        </w:rPr>
        <w:t> </w:t>
      </w:r>
      <w:r>
        <w:rPr>
          <w:rFonts w:ascii="Calibri" w:hAnsi="Calibri"/>
          <w:color w:val="231F20"/>
          <w:sz w:val="17"/>
        </w:rPr>
        <w:t>e</w:t>
      </w:r>
      <w:r>
        <w:rPr>
          <w:rFonts w:ascii="Calibri" w:hAnsi="Calibri"/>
          <w:color w:val="231F20"/>
          <w:spacing w:val="-17"/>
          <w:sz w:val="17"/>
        </w:rPr>
        <w:t> </w:t>
      </w:r>
      <w:r>
        <w:rPr>
          <w:rFonts w:ascii="Calibri" w:hAnsi="Calibri"/>
          <w:color w:val="231F20"/>
          <w:sz w:val="17"/>
        </w:rPr>
        <w:t>2.</w:t>
      </w:r>
      <w:r>
        <w:rPr>
          <w:rFonts w:ascii="Calibri" w:hAnsi="Calibri"/>
          <w:color w:val="231F20"/>
          <w:spacing w:val="-17"/>
          <w:sz w:val="17"/>
        </w:rPr>
        <w:t> </w:t>
      </w:r>
      <w:r>
        <w:rPr>
          <w:rFonts w:ascii="Calibri" w:hAnsi="Calibri"/>
          <w:i/>
          <w:color w:val="231F20"/>
          <w:sz w:val="17"/>
        </w:rPr>
        <w:t>Dalla</w:t>
      </w:r>
      <w:r>
        <w:rPr>
          <w:rFonts w:ascii="Calibri" w:hAnsi="Calibri"/>
          <w:i/>
          <w:color w:val="231F20"/>
          <w:spacing w:val="-18"/>
          <w:sz w:val="17"/>
        </w:rPr>
        <w:t> </w:t>
      </w:r>
      <w:r>
        <w:rPr>
          <w:rFonts w:ascii="Calibri" w:hAnsi="Calibri"/>
          <w:i/>
          <w:color w:val="231F20"/>
          <w:sz w:val="17"/>
        </w:rPr>
        <w:t>Restaurazione</w:t>
      </w:r>
      <w:r>
        <w:rPr>
          <w:rFonts w:ascii="Calibri" w:hAnsi="Calibri"/>
          <w:i/>
          <w:color w:val="231F20"/>
          <w:spacing w:val="-18"/>
          <w:sz w:val="17"/>
        </w:rPr>
        <w:t> </w:t>
      </w:r>
      <w:r>
        <w:rPr>
          <w:rFonts w:ascii="Calibri" w:hAnsi="Calibri"/>
          <w:i/>
          <w:color w:val="231F20"/>
          <w:sz w:val="17"/>
        </w:rPr>
        <w:t>alla</w:t>
      </w:r>
      <w:r>
        <w:rPr>
          <w:rFonts w:ascii="Calibri" w:hAnsi="Calibri"/>
          <w:i/>
          <w:color w:val="231F20"/>
          <w:spacing w:val="-18"/>
          <w:sz w:val="17"/>
        </w:rPr>
        <w:t> </w:t>
      </w:r>
      <w:r>
        <w:rPr>
          <w:rFonts w:ascii="Calibri" w:hAnsi="Calibri"/>
          <w:i/>
          <w:color w:val="231F20"/>
          <w:sz w:val="17"/>
        </w:rPr>
        <w:t>guerra</w:t>
      </w:r>
      <w:r>
        <w:rPr>
          <w:rFonts w:ascii="Calibri" w:hAnsi="Calibri"/>
          <w:i/>
          <w:color w:val="231F20"/>
          <w:spacing w:val="-18"/>
          <w:sz w:val="17"/>
        </w:rPr>
        <w:t> </w:t>
      </w:r>
      <w:r>
        <w:rPr>
          <w:rFonts w:ascii="Calibri" w:hAnsi="Calibri"/>
          <w:i/>
          <w:color w:val="231F20"/>
          <w:sz w:val="17"/>
        </w:rPr>
        <w:t>franco–prussiana</w:t>
      </w:r>
      <w:r>
        <w:rPr>
          <w:rFonts w:ascii="Calibri" w:hAnsi="Calibri"/>
          <w:color w:val="231F20"/>
          <w:sz w:val="17"/>
        </w:rPr>
        <w:t>,</w:t>
      </w:r>
      <w:r>
        <w:rPr>
          <w:rFonts w:ascii="Calibri" w:hAnsi="Calibri"/>
          <w:color w:val="231F20"/>
          <w:spacing w:val="-17"/>
          <w:sz w:val="17"/>
        </w:rPr>
        <w:t> </w:t>
      </w:r>
      <w:r>
        <w:rPr>
          <w:rFonts w:ascii="Calibri" w:hAnsi="Calibri"/>
          <w:color w:val="231F20"/>
          <w:sz w:val="17"/>
        </w:rPr>
        <w:t>Roma,</w:t>
      </w:r>
      <w:r>
        <w:rPr>
          <w:rFonts w:ascii="Calibri" w:hAnsi="Calibri"/>
          <w:color w:val="231F20"/>
          <w:spacing w:val="-20"/>
          <w:sz w:val="17"/>
        </w:rPr>
        <w:t> </w:t>
      </w:r>
      <w:r>
        <w:rPr>
          <w:rFonts w:ascii="Calibri" w:hAnsi="Calibri"/>
          <w:color w:val="231F20"/>
          <w:sz w:val="17"/>
        </w:rPr>
        <w:t>Viella,</w:t>
      </w:r>
      <w:r>
        <w:rPr>
          <w:rFonts w:ascii="Calibri" w:hAnsi="Calibri"/>
          <w:color w:val="231F20"/>
          <w:spacing w:val="-17"/>
          <w:sz w:val="17"/>
        </w:rPr>
        <w:t> </w:t>
      </w:r>
      <w:r>
        <w:rPr>
          <w:rFonts w:ascii="Calibri" w:hAnsi="Calibri"/>
          <w:color w:val="231F20"/>
          <w:sz w:val="17"/>
        </w:rPr>
        <w:t>2012.</w:t>
      </w:r>
    </w:p>
    <w:p>
      <w:pPr>
        <w:spacing w:line="206" w:lineRule="exact" w:before="1"/>
        <w:ind w:left="117" w:right="0" w:firstLine="0"/>
        <w:jc w:val="both"/>
        <w:rPr>
          <w:rFonts w:ascii="Calibri" w:hAnsi="Calibri"/>
          <w:sz w:val="17"/>
        </w:rPr>
      </w:pPr>
      <w:r>
        <w:rPr>
          <w:rFonts w:ascii="Calibri" w:hAnsi="Calibri"/>
          <w:color w:val="231F20"/>
          <w:position w:val="6"/>
          <w:sz w:val="10"/>
        </w:rPr>
        <w:t>61 </w:t>
      </w:r>
      <w:r>
        <w:rPr>
          <w:rFonts w:ascii="Calibri" w:hAnsi="Calibri"/>
          <w:color w:val="231F20"/>
          <w:sz w:val="17"/>
        </w:rPr>
        <w:t>M. Foucault, </w:t>
      </w:r>
      <w:r>
        <w:rPr>
          <w:rFonts w:ascii="Calibri" w:hAnsi="Calibri"/>
          <w:i/>
          <w:color w:val="231F20"/>
          <w:sz w:val="17"/>
        </w:rPr>
        <w:t>Sécurité, Territoire, population. Cours au Collège de France 1997–1978</w:t>
      </w:r>
      <w:r>
        <w:rPr>
          <w:rFonts w:ascii="Calibri" w:hAnsi="Calibri"/>
          <w:color w:val="231F20"/>
          <w:sz w:val="17"/>
        </w:rPr>
        <w:t>, Paris, Gallimard</w:t>
      </w:r>
    </w:p>
    <w:p>
      <w:pPr>
        <w:spacing w:line="206" w:lineRule="exact" w:before="0"/>
        <w:ind w:left="117" w:right="0" w:firstLine="0"/>
        <w:jc w:val="both"/>
        <w:rPr>
          <w:rFonts w:ascii="Calibri"/>
          <w:sz w:val="17"/>
        </w:rPr>
      </w:pPr>
      <w:r>
        <w:rPr>
          <w:rFonts w:ascii="Calibri"/>
          <w:color w:val="231F20"/>
          <w:w w:val="105"/>
          <w:sz w:val="17"/>
        </w:rPr>
        <w:t>/ Seuil, 2004.</w:t>
      </w:r>
    </w:p>
    <w:p>
      <w:pPr>
        <w:spacing w:after="0" w:line="206" w:lineRule="exact"/>
        <w:jc w:val="both"/>
        <w:rPr>
          <w:rFonts w:ascii="Calibri"/>
          <w:sz w:val="17"/>
        </w:rPr>
        <w:sectPr>
          <w:pgSz w:w="9640" w:h="13890"/>
          <w:pgMar w:top="0" w:bottom="280" w:left="1300" w:right="1180"/>
        </w:sectPr>
      </w:pPr>
    </w:p>
    <w:p>
      <w:pPr>
        <w:pStyle w:val="BodyText"/>
        <w:spacing w:line="247" w:lineRule="auto" w:before="107"/>
        <w:ind w:left="103" w:right="110"/>
        <w:jc w:val="both"/>
      </w:pPr>
      <w:r>
        <w:rPr>
          <w:color w:val="231F20"/>
        </w:rPr>
        <w:t>legittimità del governo democratico, ma materialmente può solo esistere per</w:t>
      </w:r>
      <w:r>
        <w:rPr>
          <w:color w:val="231F20"/>
          <w:spacing w:val="-20"/>
        </w:rPr>
        <w:t> </w:t>
      </w:r>
      <w:r>
        <w:rPr>
          <w:color w:val="231F20"/>
          <w:spacing w:val="-3"/>
        </w:rPr>
        <w:t>essere</w:t>
      </w:r>
      <w:r>
        <w:rPr>
          <w:color w:val="231F20"/>
          <w:spacing w:val="-20"/>
        </w:rPr>
        <w:t> </w:t>
      </w:r>
      <w:r>
        <w:rPr>
          <w:color w:val="231F20"/>
        </w:rPr>
        <w:t>governato</w:t>
      </w:r>
      <w:r>
        <w:rPr>
          <w:color w:val="231F20"/>
          <w:spacing w:val="-20"/>
        </w:rPr>
        <w:t> </w:t>
      </w:r>
      <w:r>
        <w:rPr>
          <w:color w:val="231F20"/>
        </w:rPr>
        <w:t>in</w:t>
      </w:r>
      <w:r>
        <w:rPr>
          <w:color w:val="231F20"/>
          <w:spacing w:val="-20"/>
        </w:rPr>
        <w:t> </w:t>
      </w:r>
      <w:r>
        <w:rPr>
          <w:color w:val="231F20"/>
        </w:rPr>
        <w:t>quanto</w:t>
      </w:r>
      <w:r>
        <w:rPr>
          <w:color w:val="231F20"/>
          <w:spacing w:val="-20"/>
        </w:rPr>
        <w:t> </w:t>
      </w:r>
      <w:r>
        <w:rPr>
          <w:color w:val="231F20"/>
        </w:rPr>
        <w:t>popolazione,</w:t>
      </w:r>
      <w:r>
        <w:rPr>
          <w:color w:val="231F20"/>
          <w:spacing w:val="-20"/>
        </w:rPr>
        <w:t> </w:t>
      </w:r>
      <w:r>
        <w:rPr>
          <w:color w:val="231F20"/>
        </w:rPr>
        <w:t>o,</w:t>
      </w:r>
      <w:r>
        <w:rPr>
          <w:color w:val="231F20"/>
          <w:spacing w:val="-20"/>
        </w:rPr>
        <w:t> </w:t>
      </w:r>
      <w:r>
        <w:rPr>
          <w:color w:val="231F20"/>
        </w:rPr>
        <w:t>se</w:t>
      </w:r>
      <w:r>
        <w:rPr>
          <w:color w:val="231F20"/>
          <w:spacing w:val="-20"/>
        </w:rPr>
        <w:t> </w:t>
      </w:r>
      <w:r>
        <w:rPr>
          <w:color w:val="231F20"/>
        </w:rPr>
        <w:t>si</w:t>
      </w:r>
      <w:r>
        <w:rPr>
          <w:color w:val="231F20"/>
          <w:spacing w:val="-20"/>
        </w:rPr>
        <w:t> </w:t>
      </w:r>
      <w:r>
        <w:rPr>
          <w:color w:val="231F20"/>
        </w:rPr>
        <w:t>vuole,</w:t>
      </w:r>
      <w:r>
        <w:rPr>
          <w:color w:val="231F20"/>
          <w:spacing w:val="-20"/>
        </w:rPr>
        <w:t> </w:t>
      </w:r>
      <w:r>
        <w:rPr>
          <w:color w:val="231F20"/>
        </w:rPr>
        <w:t>in</w:t>
      </w:r>
      <w:r>
        <w:rPr>
          <w:color w:val="231F20"/>
          <w:spacing w:val="-20"/>
        </w:rPr>
        <w:t> </w:t>
      </w:r>
      <w:r>
        <w:rPr>
          <w:color w:val="231F20"/>
        </w:rPr>
        <w:t>quanto</w:t>
      </w:r>
      <w:r>
        <w:rPr>
          <w:color w:val="231F20"/>
          <w:spacing w:val="-20"/>
        </w:rPr>
        <w:t> </w:t>
      </w:r>
      <w:r>
        <w:rPr>
          <w:color w:val="231F20"/>
        </w:rPr>
        <w:t>società del popolo. La tensione giunge al punto che il popolo ancorché sovrano può rischiare di apparire come una sorta di impedimento alla cura della popolazione. Il popolo, quale fondamento dell’ordine sovrano, infatti, è titolare di diritti che nessun governo può teoricamente infrangere. Come ha scritto giustamente Partha Chatterjee: “Diversamente dal concetto di cittadino, quello di popolazione è interamente descrittivo ed empirico, è  del tutto privo di valore normativo”</w:t>
      </w:r>
      <w:r>
        <w:rPr>
          <w:color w:val="231F20"/>
          <w:position w:val="7"/>
          <w:sz w:val="12"/>
        </w:rPr>
        <w:t>62</w:t>
      </w:r>
      <w:r>
        <w:rPr>
          <w:color w:val="231F20"/>
        </w:rPr>
        <w:t>. Anche a questo riguardo lo Stato coloniale prima e quello postcoloniale poi funzionano da anticipazione significativa dello Stato globale in quanto Stati con una popolazione che  ha faticato e fatica a presentarsi come popolo. Conoscere la popolazione significa, come vedremo, occuparsi positivamente delle culture del popolo. La tensione tra popolo e popolazione si è rispecchiata nella dialettica tra </w:t>
      </w:r>
      <w:r>
        <w:rPr>
          <w:color w:val="231F20"/>
          <w:spacing w:val="2"/>
        </w:rPr>
        <w:t>costituzione </w:t>
      </w:r>
      <w:r>
        <w:rPr>
          <w:color w:val="231F20"/>
        </w:rPr>
        <w:t>e </w:t>
      </w:r>
      <w:r>
        <w:rPr>
          <w:color w:val="231F20"/>
          <w:spacing w:val="2"/>
        </w:rPr>
        <w:t>governamentalità, </w:t>
      </w:r>
      <w:r>
        <w:rPr>
          <w:color w:val="231F20"/>
        </w:rPr>
        <w:t>al </w:t>
      </w:r>
      <w:r>
        <w:rPr>
          <w:color w:val="231F20"/>
          <w:spacing w:val="2"/>
        </w:rPr>
        <w:t>punto </w:t>
      </w:r>
      <w:r>
        <w:rPr>
          <w:color w:val="231F20"/>
        </w:rPr>
        <w:t>da mettere in </w:t>
      </w:r>
      <w:r>
        <w:rPr>
          <w:color w:val="231F20"/>
          <w:spacing w:val="2"/>
        </w:rPr>
        <w:t>discussione </w:t>
      </w:r>
      <w:r>
        <w:rPr>
          <w:color w:val="231F20"/>
          <w:spacing w:val="3"/>
        </w:rPr>
        <w:t>la </w:t>
      </w:r>
      <w:r>
        <w:rPr>
          <w:color w:val="231F20"/>
        </w:rPr>
        <w:t>fiducia</w:t>
      </w:r>
      <w:r>
        <w:rPr>
          <w:color w:val="231F20"/>
          <w:spacing w:val="-13"/>
        </w:rPr>
        <w:t> </w:t>
      </w:r>
      <w:r>
        <w:rPr>
          <w:color w:val="231F20"/>
        </w:rPr>
        <w:t>dei</w:t>
      </w:r>
      <w:r>
        <w:rPr>
          <w:color w:val="231F20"/>
          <w:spacing w:val="-13"/>
        </w:rPr>
        <w:t> </w:t>
      </w:r>
      <w:r>
        <w:rPr>
          <w:color w:val="231F20"/>
        </w:rPr>
        <w:t>giuristi</w:t>
      </w:r>
      <w:r>
        <w:rPr>
          <w:color w:val="231F20"/>
          <w:spacing w:val="-13"/>
        </w:rPr>
        <w:t> </w:t>
      </w:r>
      <w:r>
        <w:rPr>
          <w:color w:val="231F20"/>
        </w:rPr>
        <w:t>sul</w:t>
      </w:r>
      <w:r>
        <w:rPr>
          <w:color w:val="231F20"/>
          <w:spacing w:val="-13"/>
        </w:rPr>
        <w:t> </w:t>
      </w:r>
      <w:r>
        <w:rPr>
          <w:color w:val="231F20"/>
        </w:rPr>
        <w:t>fatto</w:t>
      </w:r>
      <w:r>
        <w:rPr>
          <w:color w:val="231F20"/>
          <w:spacing w:val="-13"/>
        </w:rPr>
        <w:t> </w:t>
      </w:r>
      <w:r>
        <w:rPr>
          <w:color w:val="231F20"/>
        </w:rPr>
        <w:t>che</w:t>
      </w:r>
      <w:r>
        <w:rPr>
          <w:color w:val="231F20"/>
          <w:spacing w:val="-13"/>
        </w:rPr>
        <w:t> </w:t>
      </w:r>
      <w:r>
        <w:rPr>
          <w:color w:val="231F20"/>
        </w:rPr>
        <w:t>la</w:t>
      </w:r>
      <w:r>
        <w:rPr>
          <w:color w:val="231F20"/>
          <w:spacing w:val="-13"/>
        </w:rPr>
        <w:t> </w:t>
      </w:r>
      <w:r>
        <w:rPr>
          <w:color w:val="231F20"/>
        </w:rPr>
        <w:t>costituzione</w:t>
      </w:r>
      <w:r>
        <w:rPr>
          <w:color w:val="231F20"/>
          <w:spacing w:val="-13"/>
        </w:rPr>
        <w:t> </w:t>
      </w:r>
      <w:r>
        <w:rPr>
          <w:color w:val="231F20"/>
        </w:rPr>
        <w:t>possa</w:t>
      </w:r>
      <w:r>
        <w:rPr>
          <w:color w:val="231F20"/>
          <w:spacing w:val="-13"/>
        </w:rPr>
        <w:t> </w:t>
      </w:r>
      <w:r>
        <w:rPr>
          <w:color w:val="231F20"/>
        </w:rPr>
        <w:t>più</w:t>
      </w:r>
      <w:r>
        <w:rPr>
          <w:color w:val="231F20"/>
          <w:spacing w:val="-13"/>
        </w:rPr>
        <w:t> </w:t>
      </w:r>
      <w:r>
        <w:rPr>
          <w:color w:val="231F20"/>
        </w:rPr>
        <w:t>essere</w:t>
      </w:r>
      <w:r>
        <w:rPr>
          <w:color w:val="231F20"/>
          <w:spacing w:val="-13"/>
        </w:rPr>
        <w:t> </w:t>
      </w:r>
      <w:r>
        <w:rPr>
          <w:color w:val="231F20"/>
        </w:rPr>
        <w:t>la</w:t>
      </w:r>
      <w:r>
        <w:rPr>
          <w:color w:val="231F20"/>
          <w:spacing w:val="-13"/>
        </w:rPr>
        <w:t> </w:t>
      </w:r>
      <w:r>
        <w:rPr>
          <w:color w:val="231F20"/>
        </w:rPr>
        <w:t>risposta</w:t>
      </w:r>
      <w:r>
        <w:rPr>
          <w:color w:val="231F20"/>
          <w:spacing w:val="-13"/>
        </w:rPr>
        <w:t> </w:t>
      </w:r>
      <w:r>
        <w:rPr>
          <w:color w:val="231F20"/>
        </w:rPr>
        <w:t>ai </w:t>
      </w:r>
      <w:r>
        <w:rPr>
          <w:color w:val="231F20"/>
          <w:spacing w:val="-4"/>
        </w:rPr>
        <w:t>problemi</w:t>
      </w:r>
      <w:r>
        <w:rPr>
          <w:color w:val="231F20"/>
          <w:spacing w:val="-12"/>
        </w:rPr>
        <w:t> </w:t>
      </w:r>
      <w:r>
        <w:rPr>
          <w:color w:val="231F20"/>
          <w:spacing w:val="-3"/>
        </w:rPr>
        <w:t>della</w:t>
      </w:r>
      <w:r>
        <w:rPr>
          <w:color w:val="231F20"/>
          <w:spacing w:val="-12"/>
        </w:rPr>
        <w:t> </w:t>
      </w:r>
      <w:r>
        <w:rPr>
          <w:color w:val="231F20"/>
          <w:spacing w:val="-3"/>
        </w:rPr>
        <w:t>statualità</w:t>
      </w:r>
      <w:r>
        <w:rPr>
          <w:color w:val="231F20"/>
          <w:spacing w:val="-12"/>
        </w:rPr>
        <w:t> </w:t>
      </w:r>
      <w:r>
        <w:rPr>
          <w:color w:val="231F20"/>
          <w:spacing w:val="-3"/>
        </w:rPr>
        <w:t>contemporanea</w:t>
      </w:r>
      <w:r>
        <w:rPr>
          <w:color w:val="231F20"/>
          <w:spacing w:val="-12"/>
        </w:rPr>
        <w:t> </w:t>
      </w:r>
      <w:r>
        <w:rPr>
          <w:color w:val="231F20"/>
        </w:rPr>
        <w:t>e</w:t>
      </w:r>
      <w:r>
        <w:rPr>
          <w:color w:val="231F20"/>
          <w:spacing w:val="-12"/>
        </w:rPr>
        <w:t> </w:t>
      </w:r>
      <w:r>
        <w:rPr>
          <w:color w:val="231F20"/>
          <w:spacing w:val="-3"/>
        </w:rPr>
        <w:t>debba</w:t>
      </w:r>
      <w:r>
        <w:rPr>
          <w:color w:val="231F20"/>
          <w:spacing w:val="-12"/>
        </w:rPr>
        <w:t> </w:t>
      </w:r>
      <w:r>
        <w:rPr>
          <w:color w:val="231F20"/>
        </w:rPr>
        <w:t>a</w:t>
      </w:r>
      <w:r>
        <w:rPr>
          <w:color w:val="231F20"/>
          <w:spacing w:val="-12"/>
        </w:rPr>
        <w:t> </w:t>
      </w:r>
      <w:r>
        <w:rPr>
          <w:color w:val="231F20"/>
        </w:rPr>
        <w:t>sua</w:t>
      </w:r>
      <w:r>
        <w:rPr>
          <w:color w:val="231F20"/>
          <w:spacing w:val="-12"/>
        </w:rPr>
        <w:t> </w:t>
      </w:r>
      <w:r>
        <w:rPr>
          <w:color w:val="231F20"/>
          <w:spacing w:val="-3"/>
        </w:rPr>
        <w:t>volta</w:t>
      </w:r>
      <w:r>
        <w:rPr>
          <w:color w:val="231F20"/>
          <w:spacing w:val="-12"/>
        </w:rPr>
        <w:t> </w:t>
      </w:r>
      <w:r>
        <w:rPr>
          <w:color w:val="231F20"/>
          <w:spacing w:val="-4"/>
        </w:rPr>
        <w:t>essere</w:t>
      </w:r>
      <w:r>
        <w:rPr>
          <w:color w:val="231F20"/>
          <w:spacing w:val="-12"/>
        </w:rPr>
        <w:t> </w:t>
      </w:r>
      <w:r>
        <w:rPr>
          <w:color w:val="231F20"/>
          <w:spacing w:val="-3"/>
        </w:rPr>
        <w:t>trasposta </w:t>
      </w:r>
      <w:r>
        <w:rPr>
          <w:color w:val="231F20"/>
        </w:rPr>
        <w:t>sul piano della società mondiale</w:t>
      </w:r>
      <w:r>
        <w:rPr>
          <w:color w:val="231F20"/>
          <w:position w:val="7"/>
          <w:sz w:val="12"/>
        </w:rPr>
        <w:t>63</w:t>
      </w:r>
      <w:r>
        <w:rPr>
          <w:color w:val="231F20"/>
        </w:rPr>
        <w:t>. Nello Stato postcoloniale —così come nello Stato globale— costituzione è infatti la forma nella quale “ogni cosa  è</w:t>
      </w:r>
      <w:r>
        <w:rPr>
          <w:color w:val="231F20"/>
          <w:spacing w:val="-7"/>
        </w:rPr>
        <w:t> </w:t>
      </w:r>
      <w:r>
        <w:rPr>
          <w:color w:val="231F20"/>
        </w:rPr>
        <w:t>designata,</w:t>
      </w:r>
      <w:r>
        <w:rPr>
          <w:color w:val="231F20"/>
          <w:spacing w:val="-7"/>
        </w:rPr>
        <w:t> </w:t>
      </w:r>
      <w:r>
        <w:rPr>
          <w:color w:val="231F20"/>
        </w:rPr>
        <w:t>ogni</w:t>
      </w:r>
      <w:r>
        <w:rPr>
          <w:color w:val="231F20"/>
          <w:spacing w:val="-7"/>
        </w:rPr>
        <w:t> </w:t>
      </w:r>
      <w:r>
        <w:rPr>
          <w:color w:val="231F20"/>
        </w:rPr>
        <w:t>cosa</w:t>
      </w:r>
      <w:r>
        <w:rPr>
          <w:color w:val="231F20"/>
          <w:spacing w:val="-7"/>
        </w:rPr>
        <w:t> </w:t>
      </w:r>
      <w:r>
        <w:rPr>
          <w:color w:val="231F20"/>
        </w:rPr>
        <w:t>è</w:t>
      </w:r>
      <w:r>
        <w:rPr>
          <w:color w:val="231F20"/>
          <w:spacing w:val="-7"/>
        </w:rPr>
        <w:t> </w:t>
      </w:r>
      <w:r>
        <w:rPr>
          <w:color w:val="231F20"/>
        </w:rPr>
        <w:t>costruita,</w:t>
      </w:r>
      <w:r>
        <w:rPr>
          <w:color w:val="231F20"/>
          <w:spacing w:val="-7"/>
        </w:rPr>
        <w:t> </w:t>
      </w:r>
      <w:r>
        <w:rPr>
          <w:color w:val="231F20"/>
        </w:rPr>
        <w:t>non</w:t>
      </w:r>
      <w:r>
        <w:rPr>
          <w:color w:val="231F20"/>
          <w:spacing w:val="-7"/>
        </w:rPr>
        <w:t> </w:t>
      </w:r>
      <w:r>
        <w:rPr>
          <w:color w:val="231F20"/>
        </w:rPr>
        <w:t>lasciando</w:t>
      </w:r>
      <w:r>
        <w:rPr>
          <w:color w:val="231F20"/>
          <w:spacing w:val="-7"/>
        </w:rPr>
        <w:t> </w:t>
      </w:r>
      <w:r>
        <w:rPr>
          <w:color w:val="231F20"/>
        </w:rPr>
        <w:t>nulla</w:t>
      </w:r>
      <w:r>
        <w:rPr>
          <w:color w:val="231F20"/>
          <w:spacing w:val="-7"/>
        </w:rPr>
        <w:t> </w:t>
      </w:r>
      <w:r>
        <w:rPr>
          <w:color w:val="231F20"/>
        </w:rPr>
        <w:t>al</w:t>
      </w:r>
      <w:r>
        <w:rPr>
          <w:color w:val="231F20"/>
          <w:spacing w:val="-7"/>
        </w:rPr>
        <w:t> </w:t>
      </w:r>
      <w:r>
        <w:rPr>
          <w:color w:val="231F20"/>
        </w:rPr>
        <w:t>caso:</w:t>
      </w:r>
      <w:r>
        <w:rPr>
          <w:color w:val="231F20"/>
          <w:spacing w:val="-7"/>
        </w:rPr>
        <w:t> </w:t>
      </w:r>
      <w:r>
        <w:rPr>
          <w:color w:val="231F20"/>
        </w:rPr>
        <w:t>dagli</w:t>
      </w:r>
      <w:r>
        <w:rPr>
          <w:color w:val="231F20"/>
          <w:spacing w:val="-7"/>
        </w:rPr>
        <w:t> </w:t>
      </w:r>
      <w:r>
        <w:rPr>
          <w:color w:val="231F20"/>
        </w:rPr>
        <w:t>aspetti ordinari del governo quotidiano [</w:t>
      </w:r>
      <w:r>
        <w:rPr>
          <w:rFonts w:ascii="Arial" w:hAnsi="Arial"/>
          <w:i/>
          <w:color w:val="231F20"/>
        </w:rPr>
        <w:t>daily rule</w:t>
      </w:r>
      <w:r>
        <w:rPr>
          <w:color w:val="231F20"/>
        </w:rPr>
        <w:t>] fino a regolare l’intera durata di vita del soggetto politico”</w:t>
      </w:r>
      <w:r>
        <w:rPr>
          <w:color w:val="231F20"/>
          <w:position w:val="7"/>
          <w:sz w:val="12"/>
        </w:rPr>
        <w:t>64</w:t>
      </w:r>
      <w:r>
        <w:rPr>
          <w:color w:val="231F20"/>
        </w:rPr>
        <w:t>. La costituzione è la forma dell’ordine e il costituzionalismo coloniale, sia in quanto sistema istituzionale organizzato sia</w:t>
      </w:r>
      <w:r>
        <w:rPr>
          <w:color w:val="231F20"/>
          <w:spacing w:val="-10"/>
        </w:rPr>
        <w:t> </w:t>
      </w:r>
      <w:r>
        <w:rPr>
          <w:color w:val="231F20"/>
        </w:rPr>
        <w:t>come</w:t>
      </w:r>
      <w:r>
        <w:rPr>
          <w:color w:val="231F20"/>
          <w:spacing w:val="-10"/>
        </w:rPr>
        <w:t> </w:t>
      </w:r>
      <w:r>
        <w:rPr>
          <w:color w:val="231F20"/>
        </w:rPr>
        <w:t>discorso</w:t>
      </w:r>
      <w:r>
        <w:rPr>
          <w:color w:val="231F20"/>
          <w:spacing w:val="-10"/>
        </w:rPr>
        <w:t> </w:t>
      </w:r>
      <w:r>
        <w:rPr>
          <w:color w:val="231F20"/>
        </w:rPr>
        <w:t>sulla</w:t>
      </w:r>
      <w:r>
        <w:rPr>
          <w:color w:val="231F20"/>
          <w:spacing w:val="-10"/>
        </w:rPr>
        <w:t> </w:t>
      </w:r>
      <w:r>
        <w:rPr>
          <w:color w:val="231F20"/>
        </w:rPr>
        <w:t>costituzione,</w:t>
      </w:r>
      <w:r>
        <w:rPr>
          <w:color w:val="231F20"/>
          <w:spacing w:val="-10"/>
        </w:rPr>
        <w:t> </w:t>
      </w:r>
      <w:r>
        <w:rPr>
          <w:color w:val="231F20"/>
        </w:rPr>
        <w:t>è</w:t>
      </w:r>
      <w:r>
        <w:rPr>
          <w:color w:val="231F20"/>
          <w:spacing w:val="-10"/>
        </w:rPr>
        <w:t> </w:t>
      </w:r>
      <w:r>
        <w:rPr>
          <w:color w:val="231F20"/>
        </w:rPr>
        <w:t>la</w:t>
      </w:r>
      <w:r>
        <w:rPr>
          <w:color w:val="231F20"/>
          <w:spacing w:val="-10"/>
        </w:rPr>
        <w:t> </w:t>
      </w:r>
      <w:r>
        <w:rPr>
          <w:color w:val="231F20"/>
        </w:rPr>
        <w:t>verità</w:t>
      </w:r>
      <w:r>
        <w:rPr>
          <w:color w:val="231F20"/>
          <w:spacing w:val="-10"/>
        </w:rPr>
        <w:t> </w:t>
      </w:r>
      <w:r>
        <w:rPr>
          <w:color w:val="231F20"/>
        </w:rPr>
        <w:t>del</w:t>
      </w:r>
      <w:r>
        <w:rPr>
          <w:color w:val="231F20"/>
          <w:spacing w:val="-10"/>
        </w:rPr>
        <w:t> </w:t>
      </w:r>
      <w:r>
        <w:rPr>
          <w:color w:val="231F20"/>
        </w:rPr>
        <w:t>costituzionalismo</w:t>
      </w:r>
      <w:r>
        <w:rPr>
          <w:color w:val="231F20"/>
          <w:spacing w:val="-10"/>
        </w:rPr>
        <w:t> </w:t>
      </w:r>
      <w:r>
        <w:rPr>
          <w:color w:val="231F20"/>
        </w:rPr>
        <w:t>stesso, poiché obbliga l’ordine tenendo sempre in considerazione la possibilità di una guerra che deve essere localizzata e non può in alcun caso investire la metropoli. Allo stesso tempo esso è la garanzia che esiste un ordine non fondato sui rapporti immediati e quotidiani e che basta rispettarlo. Proprio per questo esso abbisogna di un supplemento interno a questi rapporti in grado</w:t>
      </w:r>
      <w:r>
        <w:rPr>
          <w:color w:val="231F20"/>
          <w:spacing w:val="-8"/>
        </w:rPr>
        <w:t> </w:t>
      </w:r>
      <w:r>
        <w:rPr>
          <w:color w:val="231F20"/>
        </w:rPr>
        <w:t>di</w:t>
      </w:r>
      <w:r>
        <w:rPr>
          <w:color w:val="231F20"/>
          <w:spacing w:val="-8"/>
        </w:rPr>
        <w:t> </w:t>
      </w:r>
      <w:r>
        <w:rPr>
          <w:color w:val="231F20"/>
        </w:rPr>
        <w:t>determinare</w:t>
      </w:r>
      <w:r>
        <w:rPr>
          <w:color w:val="231F20"/>
          <w:spacing w:val="-8"/>
        </w:rPr>
        <w:t> </w:t>
      </w:r>
      <w:r>
        <w:rPr>
          <w:color w:val="231F20"/>
        </w:rPr>
        <w:t>le</w:t>
      </w:r>
      <w:r>
        <w:rPr>
          <w:color w:val="231F20"/>
          <w:spacing w:val="-8"/>
        </w:rPr>
        <w:t> </w:t>
      </w:r>
      <w:r>
        <w:rPr>
          <w:color w:val="231F20"/>
        </w:rPr>
        <w:t>loro</w:t>
      </w:r>
      <w:r>
        <w:rPr>
          <w:color w:val="231F20"/>
          <w:spacing w:val="-8"/>
        </w:rPr>
        <w:t> </w:t>
      </w:r>
      <w:r>
        <w:rPr>
          <w:color w:val="231F20"/>
        </w:rPr>
        <w:t>pratiche</w:t>
      </w:r>
      <w:r>
        <w:rPr>
          <w:color w:val="231F20"/>
          <w:spacing w:val="-8"/>
        </w:rPr>
        <w:t> </w:t>
      </w:r>
      <w:r>
        <w:rPr>
          <w:color w:val="231F20"/>
        </w:rPr>
        <w:t>quotidiane.</w:t>
      </w:r>
      <w:r>
        <w:rPr>
          <w:color w:val="231F20"/>
          <w:spacing w:val="-8"/>
        </w:rPr>
        <w:t> </w:t>
      </w:r>
      <w:r>
        <w:rPr>
          <w:color w:val="231F20"/>
        </w:rPr>
        <w:t>Questo</w:t>
      </w:r>
      <w:r>
        <w:rPr>
          <w:color w:val="231F20"/>
          <w:spacing w:val="-8"/>
        </w:rPr>
        <w:t> </w:t>
      </w:r>
      <w:r>
        <w:rPr>
          <w:color w:val="231F20"/>
        </w:rPr>
        <w:t>costante</w:t>
      </w:r>
      <w:r>
        <w:rPr>
          <w:color w:val="231F20"/>
          <w:spacing w:val="-8"/>
        </w:rPr>
        <w:t> </w:t>
      </w:r>
      <w:r>
        <w:rPr>
          <w:color w:val="231F20"/>
        </w:rPr>
        <w:t>processo di disciplinamento, per dirla con </w:t>
      </w:r>
      <w:r>
        <w:rPr>
          <w:color w:val="231F20"/>
          <w:spacing w:val="-4"/>
        </w:rPr>
        <w:t>Weber, </w:t>
      </w:r>
      <w:r>
        <w:rPr>
          <w:color w:val="231F20"/>
        </w:rPr>
        <w:t>o governamentalità, come direbbe Foucault, istituisce l’individuo non come soggetto astratto, titolare di</w:t>
      </w:r>
      <w:r>
        <w:rPr>
          <w:color w:val="231F20"/>
          <w:spacing w:val="-29"/>
        </w:rPr>
        <w:t> </w:t>
      </w:r>
      <w:r>
        <w:rPr>
          <w:color w:val="231F20"/>
        </w:rPr>
        <w:t>diritti, ma</w:t>
      </w:r>
      <w:r>
        <w:rPr>
          <w:color w:val="231F20"/>
          <w:spacing w:val="-15"/>
        </w:rPr>
        <w:t> </w:t>
      </w:r>
      <w:r>
        <w:rPr>
          <w:color w:val="231F20"/>
        </w:rPr>
        <w:t>come</w:t>
      </w:r>
      <w:r>
        <w:rPr>
          <w:color w:val="231F20"/>
          <w:spacing w:val="-15"/>
        </w:rPr>
        <w:t> </w:t>
      </w:r>
      <w:r>
        <w:rPr>
          <w:color w:val="231F20"/>
        </w:rPr>
        <w:t>singolo</w:t>
      </w:r>
      <w:r>
        <w:rPr>
          <w:color w:val="231F20"/>
          <w:spacing w:val="-15"/>
        </w:rPr>
        <w:t> </w:t>
      </w:r>
      <w:r>
        <w:rPr>
          <w:color w:val="231F20"/>
        </w:rPr>
        <w:t>o</w:t>
      </w:r>
      <w:r>
        <w:rPr>
          <w:color w:val="231F20"/>
          <w:spacing w:val="-15"/>
        </w:rPr>
        <w:t> </w:t>
      </w:r>
      <w:r>
        <w:rPr>
          <w:color w:val="231F20"/>
        </w:rPr>
        <w:t>appartenente</w:t>
      </w:r>
      <w:r>
        <w:rPr>
          <w:color w:val="231F20"/>
          <w:spacing w:val="-15"/>
        </w:rPr>
        <w:t> </w:t>
      </w:r>
      <w:r>
        <w:rPr>
          <w:color w:val="231F20"/>
        </w:rPr>
        <w:t>a</w:t>
      </w:r>
      <w:r>
        <w:rPr>
          <w:color w:val="231F20"/>
          <w:spacing w:val="-15"/>
        </w:rPr>
        <w:t> </w:t>
      </w:r>
      <w:r>
        <w:rPr>
          <w:color w:val="231F20"/>
        </w:rPr>
        <w:t>un</w:t>
      </w:r>
      <w:r>
        <w:rPr>
          <w:color w:val="231F20"/>
          <w:spacing w:val="-15"/>
        </w:rPr>
        <w:t> </w:t>
      </w:r>
      <w:r>
        <w:rPr>
          <w:color w:val="231F20"/>
        </w:rPr>
        <w:t>gruppo</w:t>
      </w:r>
      <w:r>
        <w:rPr>
          <w:color w:val="231F20"/>
          <w:spacing w:val="-15"/>
        </w:rPr>
        <w:t> </w:t>
      </w:r>
      <w:r>
        <w:rPr>
          <w:color w:val="231F20"/>
        </w:rPr>
        <w:t>che</w:t>
      </w:r>
      <w:r>
        <w:rPr>
          <w:color w:val="231F20"/>
          <w:spacing w:val="-15"/>
        </w:rPr>
        <w:t> </w:t>
      </w:r>
      <w:r>
        <w:rPr>
          <w:color w:val="231F20"/>
        </w:rPr>
        <w:t>deve</w:t>
      </w:r>
      <w:r>
        <w:rPr>
          <w:color w:val="231F20"/>
          <w:spacing w:val="-15"/>
        </w:rPr>
        <w:t> </w:t>
      </w:r>
      <w:r>
        <w:rPr>
          <w:color w:val="231F20"/>
          <w:spacing w:val="-2"/>
        </w:rPr>
        <w:t>praticare</w:t>
      </w:r>
      <w:r>
        <w:rPr>
          <w:color w:val="231F20"/>
          <w:spacing w:val="-15"/>
        </w:rPr>
        <w:t> </w:t>
      </w:r>
      <w:r>
        <w:rPr>
          <w:color w:val="231F20"/>
        </w:rPr>
        <w:t>più</w:t>
      </w:r>
      <w:r>
        <w:rPr>
          <w:color w:val="231F20"/>
          <w:spacing w:val="-15"/>
        </w:rPr>
        <w:t> </w:t>
      </w:r>
      <w:r>
        <w:rPr>
          <w:color w:val="231F20"/>
        </w:rPr>
        <w:t>facoltà</w:t>
      </w:r>
    </w:p>
    <w:p>
      <w:pPr>
        <w:pStyle w:val="BodyText"/>
        <w:rPr>
          <w:sz w:val="20"/>
        </w:rPr>
      </w:pPr>
    </w:p>
    <w:p>
      <w:pPr>
        <w:pStyle w:val="BodyText"/>
        <w:spacing w:before="4"/>
        <w:rPr>
          <w:sz w:val="29"/>
        </w:rPr>
      </w:pPr>
      <w:r>
        <w:rPr/>
        <w:pict>
          <v:line style="position:absolute;mso-position-horizontal-relative:page;mso-position-vertical-relative:paragraph;z-index:10744;mso-wrap-distance-left:0;mso-wrap-distance-right:0" from="65.1968pt,19.836672pt" to="178.5828pt,19.836672pt" stroked="true" strokeweight=".3pt" strokecolor="#231f20">
            <w10:wrap type="topAndBottom"/>
          </v:line>
        </w:pict>
      </w:r>
    </w:p>
    <w:p>
      <w:pPr>
        <w:spacing w:line="206" w:lineRule="exact" w:before="10"/>
        <w:ind w:left="103" w:right="0" w:firstLine="0"/>
        <w:jc w:val="both"/>
        <w:rPr>
          <w:rFonts w:ascii="Calibri"/>
          <w:sz w:val="17"/>
        </w:rPr>
      </w:pPr>
      <w:r>
        <w:rPr>
          <w:rFonts w:ascii="Calibri"/>
          <w:color w:val="231F20"/>
          <w:position w:val="6"/>
          <w:sz w:val="10"/>
        </w:rPr>
        <w:t>62  </w:t>
      </w:r>
      <w:r>
        <w:rPr>
          <w:rFonts w:ascii="Calibri"/>
          <w:color w:val="231F20"/>
          <w:sz w:val="17"/>
        </w:rPr>
        <w:t>P.  Chatterjee, </w:t>
      </w:r>
      <w:r>
        <w:rPr>
          <w:rFonts w:ascii="Calibri"/>
          <w:i/>
          <w:color w:val="231F20"/>
          <w:sz w:val="17"/>
        </w:rPr>
        <w:t>Oltre la cittadinanza. La politica dei governati </w:t>
      </w:r>
      <w:r>
        <w:rPr>
          <w:rFonts w:ascii="Calibri"/>
          <w:color w:val="231F20"/>
          <w:sz w:val="17"/>
        </w:rPr>
        <w:t>(2004), Roma, Meltemi, 2006, p.  50.</w:t>
      </w:r>
    </w:p>
    <w:p>
      <w:pPr>
        <w:spacing w:line="235" w:lineRule="auto" w:before="1"/>
        <w:ind w:left="103" w:right="115" w:firstLine="0"/>
        <w:jc w:val="both"/>
        <w:rPr>
          <w:rFonts w:ascii="Calibri" w:hAnsi="Calibri"/>
          <w:sz w:val="17"/>
        </w:rPr>
      </w:pPr>
      <w:r>
        <w:rPr>
          <w:rFonts w:ascii="Calibri" w:hAnsi="Calibri"/>
          <w:color w:val="231F20"/>
          <w:position w:val="6"/>
          <w:sz w:val="10"/>
        </w:rPr>
        <w:t>63 </w:t>
      </w:r>
      <w:r>
        <w:rPr>
          <w:rFonts w:ascii="Calibri" w:hAnsi="Calibri"/>
          <w:color w:val="231F20"/>
          <w:sz w:val="17"/>
        </w:rPr>
        <w:t>G. Teubner, </w:t>
      </w:r>
      <w:r>
        <w:rPr>
          <w:rFonts w:ascii="Calibri" w:hAnsi="Calibri"/>
          <w:i/>
          <w:color w:val="231F20"/>
          <w:sz w:val="17"/>
        </w:rPr>
        <w:t>Verfassungsfragmente. Gesellschaftlicher Konstitutionalismus in der Globalisierung</w:t>
      </w:r>
      <w:r>
        <w:rPr>
          <w:rFonts w:ascii="Calibri" w:hAnsi="Calibri"/>
          <w:color w:val="231F20"/>
          <w:sz w:val="17"/>
        </w:rPr>
        <w:t>, Frankfurt am Main, Suhrkamp, 2012; D. Grimm, </w:t>
      </w:r>
      <w:r>
        <w:rPr>
          <w:rFonts w:ascii="Calibri" w:hAnsi="Calibri"/>
          <w:i/>
          <w:color w:val="231F20"/>
          <w:sz w:val="17"/>
        </w:rPr>
        <w:t>Die Zukunft der Verfassung II. Auswirkungen von </w:t>
      </w:r>
      <w:r>
        <w:rPr>
          <w:rFonts w:ascii="Calibri" w:hAnsi="Calibri"/>
          <w:i/>
          <w:color w:val="231F20"/>
          <w:sz w:val="17"/>
        </w:rPr>
        <w:t>Europäisierung und Globalisierung</w:t>
      </w:r>
      <w:r>
        <w:rPr>
          <w:rFonts w:ascii="Calibri" w:hAnsi="Calibri"/>
          <w:color w:val="231F20"/>
          <w:sz w:val="17"/>
        </w:rPr>
        <w:t>, Frankfurt am Main 2012, in particolare pp. 203–204.; A. Peters, “The Merits of Global Constitutionalism”, </w:t>
      </w:r>
      <w:r>
        <w:rPr>
          <w:rFonts w:ascii="Calibri" w:hAnsi="Calibri"/>
          <w:i/>
          <w:color w:val="231F20"/>
          <w:sz w:val="17"/>
        </w:rPr>
        <w:t>Indiana Journal of Global Legal Studies</w:t>
      </w:r>
      <w:r>
        <w:rPr>
          <w:rFonts w:ascii="Calibri" w:hAnsi="Calibri"/>
          <w:color w:val="231F20"/>
          <w:sz w:val="17"/>
        </w:rPr>
        <w:t>, 16 ,2, 2009, pp. 397–411.</w:t>
      </w:r>
    </w:p>
    <w:p>
      <w:pPr>
        <w:spacing w:line="235" w:lineRule="auto" w:before="0"/>
        <w:ind w:left="103" w:right="115" w:firstLine="0"/>
        <w:jc w:val="both"/>
        <w:rPr>
          <w:rFonts w:ascii="Calibri" w:hAnsi="Calibri"/>
          <w:sz w:val="17"/>
        </w:rPr>
      </w:pPr>
      <w:r>
        <w:rPr>
          <w:rFonts w:ascii="Calibri" w:hAnsi="Calibri"/>
          <w:color w:val="231F20"/>
          <w:w w:val="105"/>
          <w:position w:val="6"/>
          <w:sz w:val="10"/>
        </w:rPr>
        <w:t>64</w:t>
      </w:r>
      <w:r>
        <w:rPr>
          <w:rFonts w:ascii="Calibri" w:hAnsi="Calibri"/>
          <w:color w:val="231F20"/>
          <w:spacing w:val="-6"/>
          <w:w w:val="105"/>
          <w:position w:val="6"/>
          <w:sz w:val="10"/>
        </w:rPr>
        <w:t> </w:t>
      </w:r>
      <w:r>
        <w:rPr>
          <w:rFonts w:ascii="Calibri" w:hAnsi="Calibri"/>
          <w:color w:val="231F20"/>
          <w:w w:val="105"/>
          <w:sz w:val="17"/>
        </w:rPr>
        <w:t>Samaddar,</w:t>
      </w:r>
      <w:r>
        <w:rPr>
          <w:rFonts w:ascii="Calibri" w:hAnsi="Calibri"/>
          <w:color w:val="231F20"/>
          <w:spacing w:val="-9"/>
          <w:w w:val="105"/>
          <w:sz w:val="17"/>
        </w:rPr>
        <w:t> </w:t>
      </w:r>
      <w:r>
        <w:rPr>
          <w:rFonts w:ascii="Calibri" w:hAnsi="Calibri"/>
          <w:i/>
          <w:color w:val="231F20"/>
          <w:w w:val="105"/>
          <w:sz w:val="17"/>
        </w:rPr>
        <w:t>The</w:t>
      </w:r>
      <w:r>
        <w:rPr>
          <w:rFonts w:ascii="Calibri" w:hAnsi="Calibri"/>
          <w:i/>
          <w:color w:val="231F20"/>
          <w:spacing w:val="-9"/>
          <w:w w:val="105"/>
          <w:sz w:val="17"/>
        </w:rPr>
        <w:t> </w:t>
      </w:r>
      <w:r>
        <w:rPr>
          <w:rFonts w:ascii="Calibri" w:hAnsi="Calibri"/>
          <w:i/>
          <w:color w:val="231F20"/>
          <w:w w:val="105"/>
          <w:sz w:val="17"/>
        </w:rPr>
        <w:t>Materiality</w:t>
      </w:r>
      <w:r>
        <w:rPr>
          <w:rFonts w:ascii="Calibri" w:hAnsi="Calibri"/>
          <w:i/>
          <w:color w:val="231F20"/>
          <w:spacing w:val="-9"/>
          <w:w w:val="105"/>
          <w:sz w:val="17"/>
        </w:rPr>
        <w:t> </w:t>
      </w:r>
      <w:r>
        <w:rPr>
          <w:rFonts w:ascii="Calibri" w:hAnsi="Calibri"/>
          <w:i/>
          <w:color w:val="231F20"/>
          <w:w w:val="105"/>
          <w:sz w:val="17"/>
        </w:rPr>
        <w:t>of</w:t>
      </w:r>
      <w:r>
        <w:rPr>
          <w:rFonts w:ascii="Calibri" w:hAnsi="Calibri"/>
          <w:i/>
          <w:color w:val="231F20"/>
          <w:spacing w:val="-9"/>
          <w:w w:val="105"/>
          <w:sz w:val="17"/>
        </w:rPr>
        <w:t> </w:t>
      </w:r>
      <w:r>
        <w:rPr>
          <w:rFonts w:ascii="Calibri" w:hAnsi="Calibri"/>
          <w:i/>
          <w:color w:val="231F20"/>
          <w:w w:val="105"/>
          <w:sz w:val="17"/>
        </w:rPr>
        <w:t>Politics.</w:t>
      </w:r>
      <w:r>
        <w:rPr>
          <w:rFonts w:ascii="Calibri" w:hAnsi="Calibri"/>
          <w:i/>
          <w:color w:val="231F20"/>
          <w:spacing w:val="-11"/>
          <w:w w:val="105"/>
          <w:sz w:val="17"/>
        </w:rPr>
        <w:t> </w:t>
      </w:r>
      <w:r>
        <w:rPr>
          <w:rFonts w:ascii="Calibri" w:hAnsi="Calibri"/>
          <w:i/>
          <w:color w:val="231F20"/>
          <w:w w:val="105"/>
          <w:sz w:val="17"/>
        </w:rPr>
        <w:t>The</w:t>
      </w:r>
      <w:r>
        <w:rPr>
          <w:rFonts w:ascii="Calibri" w:hAnsi="Calibri"/>
          <w:i/>
          <w:color w:val="231F20"/>
          <w:spacing w:val="-11"/>
          <w:w w:val="105"/>
          <w:sz w:val="17"/>
        </w:rPr>
        <w:t> </w:t>
      </w:r>
      <w:r>
        <w:rPr>
          <w:rFonts w:ascii="Calibri" w:hAnsi="Calibri"/>
          <w:i/>
          <w:color w:val="231F20"/>
          <w:w w:val="105"/>
          <w:sz w:val="17"/>
        </w:rPr>
        <w:t>Technologies</w:t>
      </w:r>
      <w:r>
        <w:rPr>
          <w:rFonts w:ascii="Calibri" w:hAnsi="Calibri"/>
          <w:i/>
          <w:color w:val="231F20"/>
          <w:spacing w:val="-9"/>
          <w:w w:val="105"/>
          <w:sz w:val="17"/>
        </w:rPr>
        <w:t> </w:t>
      </w:r>
      <w:r>
        <w:rPr>
          <w:rFonts w:ascii="Calibri" w:hAnsi="Calibri"/>
          <w:i/>
          <w:color w:val="231F20"/>
          <w:w w:val="105"/>
          <w:sz w:val="17"/>
        </w:rPr>
        <w:t>of</w:t>
      </w:r>
      <w:r>
        <w:rPr>
          <w:rFonts w:ascii="Calibri" w:hAnsi="Calibri"/>
          <w:i/>
          <w:color w:val="231F20"/>
          <w:spacing w:val="-9"/>
          <w:w w:val="105"/>
          <w:sz w:val="17"/>
        </w:rPr>
        <w:t> </w:t>
      </w:r>
      <w:r>
        <w:rPr>
          <w:rFonts w:ascii="Calibri" w:hAnsi="Calibri"/>
          <w:i/>
          <w:color w:val="231F20"/>
          <w:w w:val="105"/>
          <w:sz w:val="17"/>
        </w:rPr>
        <w:t>Rule</w:t>
      </w:r>
      <w:r>
        <w:rPr>
          <w:rFonts w:ascii="Calibri" w:hAnsi="Calibri"/>
          <w:color w:val="231F20"/>
          <w:w w:val="105"/>
          <w:sz w:val="17"/>
        </w:rPr>
        <w:t>,</w:t>
      </w:r>
      <w:r>
        <w:rPr>
          <w:rFonts w:ascii="Calibri" w:hAnsi="Calibri"/>
          <w:color w:val="231F20"/>
          <w:spacing w:val="-9"/>
          <w:w w:val="105"/>
          <w:sz w:val="17"/>
        </w:rPr>
        <w:t> </w:t>
      </w:r>
      <w:r>
        <w:rPr>
          <w:rFonts w:ascii="Calibri" w:hAnsi="Calibri"/>
          <w:color w:val="231F20"/>
          <w:w w:val="105"/>
          <w:sz w:val="17"/>
        </w:rPr>
        <w:t>p.</w:t>
      </w:r>
      <w:r>
        <w:rPr>
          <w:rFonts w:ascii="Calibri" w:hAnsi="Calibri"/>
          <w:color w:val="231F20"/>
          <w:spacing w:val="-9"/>
          <w:w w:val="105"/>
          <w:sz w:val="17"/>
        </w:rPr>
        <w:t> </w:t>
      </w:r>
      <w:r>
        <w:rPr>
          <w:rFonts w:ascii="Calibri" w:hAnsi="Calibri"/>
          <w:color w:val="231F20"/>
          <w:w w:val="105"/>
          <w:sz w:val="17"/>
        </w:rPr>
        <w:t>25.</w:t>
      </w:r>
      <w:r>
        <w:rPr>
          <w:rFonts w:ascii="Calibri" w:hAnsi="Calibri"/>
          <w:color w:val="231F20"/>
          <w:spacing w:val="-9"/>
          <w:w w:val="105"/>
          <w:sz w:val="17"/>
        </w:rPr>
        <w:t> </w:t>
      </w:r>
      <w:r>
        <w:rPr>
          <w:rFonts w:ascii="Calibri" w:hAnsi="Calibri"/>
          <w:color w:val="231F20"/>
          <w:w w:val="105"/>
          <w:sz w:val="17"/>
        </w:rPr>
        <w:t>Ma</w:t>
      </w:r>
      <w:r>
        <w:rPr>
          <w:rFonts w:ascii="Calibri" w:hAnsi="Calibri"/>
          <w:color w:val="231F20"/>
          <w:spacing w:val="-9"/>
          <w:w w:val="105"/>
          <w:sz w:val="17"/>
        </w:rPr>
        <w:t> </w:t>
      </w:r>
      <w:r>
        <w:rPr>
          <w:rFonts w:ascii="Calibri" w:hAnsi="Calibri"/>
          <w:i/>
          <w:color w:val="231F20"/>
          <w:w w:val="105"/>
          <w:sz w:val="17"/>
        </w:rPr>
        <w:t>cfr</w:t>
      </w:r>
      <w:r>
        <w:rPr>
          <w:rFonts w:ascii="Calibri" w:hAnsi="Calibri"/>
          <w:color w:val="231F20"/>
          <w:w w:val="105"/>
          <w:sz w:val="17"/>
        </w:rPr>
        <w:t>.</w:t>
      </w:r>
      <w:r>
        <w:rPr>
          <w:rFonts w:ascii="Calibri" w:hAnsi="Calibri"/>
          <w:color w:val="231F20"/>
          <w:spacing w:val="-9"/>
          <w:w w:val="105"/>
          <w:sz w:val="17"/>
        </w:rPr>
        <w:t> </w:t>
      </w:r>
      <w:r>
        <w:rPr>
          <w:rFonts w:ascii="Calibri" w:hAnsi="Calibri"/>
          <w:color w:val="231F20"/>
          <w:w w:val="105"/>
          <w:sz w:val="17"/>
        </w:rPr>
        <w:t>anche</w:t>
      </w:r>
      <w:r>
        <w:rPr>
          <w:rFonts w:ascii="Calibri" w:hAnsi="Calibri"/>
          <w:color w:val="231F20"/>
          <w:spacing w:val="-9"/>
          <w:w w:val="105"/>
          <w:sz w:val="17"/>
        </w:rPr>
        <w:t> </w:t>
      </w:r>
      <w:r>
        <w:rPr>
          <w:rFonts w:ascii="Calibri" w:hAnsi="Calibri"/>
          <w:color w:val="231F20"/>
          <w:w w:val="105"/>
          <w:sz w:val="17"/>
        </w:rPr>
        <w:t>la</w:t>
      </w:r>
      <w:r>
        <w:rPr>
          <w:rFonts w:ascii="Calibri" w:hAnsi="Calibri"/>
          <w:color w:val="231F20"/>
          <w:spacing w:val="-9"/>
          <w:w w:val="105"/>
          <w:sz w:val="17"/>
        </w:rPr>
        <w:t> </w:t>
      </w:r>
      <w:r>
        <w:rPr>
          <w:rFonts w:ascii="Calibri" w:hAnsi="Calibri"/>
          <w:color w:val="231F20"/>
          <w:spacing w:val="-10"/>
          <w:w w:val="105"/>
          <w:sz w:val="17"/>
        </w:rPr>
        <w:t>P.</w:t>
      </w:r>
      <w:r>
        <w:rPr>
          <w:rFonts w:ascii="Calibri" w:hAnsi="Calibri"/>
          <w:color w:val="231F20"/>
          <w:spacing w:val="-9"/>
          <w:w w:val="105"/>
          <w:sz w:val="17"/>
        </w:rPr>
        <w:t> </w:t>
      </w:r>
      <w:r>
        <w:rPr>
          <w:rFonts w:ascii="Calibri" w:hAnsi="Calibri"/>
          <w:color w:val="231F20"/>
          <w:w w:val="105"/>
          <w:sz w:val="17"/>
        </w:rPr>
        <w:t>Rudan, “Constitution”</w:t>
      </w:r>
      <w:r>
        <w:rPr>
          <w:rFonts w:ascii="Calibri" w:hAnsi="Calibri"/>
          <w:color w:val="231F20"/>
          <w:spacing w:val="-14"/>
          <w:w w:val="105"/>
          <w:sz w:val="17"/>
        </w:rPr>
        <w:t> </w:t>
      </w:r>
      <w:r>
        <w:rPr>
          <w:rFonts w:ascii="Calibri" w:hAnsi="Calibri"/>
          <w:color w:val="231F20"/>
          <w:w w:val="105"/>
          <w:sz w:val="17"/>
        </w:rPr>
        <w:t>in</w:t>
      </w:r>
      <w:r>
        <w:rPr>
          <w:rFonts w:ascii="Calibri" w:hAnsi="Calibri"/>
          <w:color w:val="231F20"/>
          <w:spacing w:val="-14"/>
          <w:w w:val="105"/>
          <w:sz w:val="17"/>
        </w:rPr>
        <w:t> </w:t>
      </w:r>
      <w:r>
        <w:rPr>
          <w:rFonts w:ascii="Calibri" w:hAnsi="Calibri"/>
          <w:i/>
          <w:color w:val="231F20"/>
          <w:w w:val="105"/>
          <w:sz w:val="17"/>
        </w:rPr>
        <w:t>The</w:t>
      </w:r>
      <w:r>
        <w:rPr>
          <w:rFonts w:ascii="Calibri" w:hAnsi="Calibri"/>
          <w:i/>
          <w:color w:val="231F20"/>
          <w:spacing w:val="-15"/>
          <w:w w:val="105"/>
          <w:sz w:val="17"/>
        </w:rPr>
        <w:t> </w:t>
      </w:r>
      <w:r>
        <w:rPr>
          <w:rFonts w:ascii="Calibri" w:hAnsi="Calibri"/>
          <w:i/>
          <w:color w:val="231F20"/>
          <w:w w:val="105"/>
          <w:sz w:val="17"/>
        </w:rPr>
        <w:t>Encyclopedia</w:t>
      </w:r>
      <w:r>
        <w:rPr>
          <w:rFonts w:ascii="Calibri" w:hAnsi="Calibri"/>
          <w:i/>
          <w:color w:val="231F20"/>
          <w:spacing w:val="-15"/>
          <w:w w:val="105"/>
          <w:sz w:val="17"/>
        </w:rPr>
        <w:t> </w:t>
      </w:r>
      <w:r>
        <w:rPr>
          <w:rFonts w:ascii="Calibri" w:hAnsi="Calibri"/>
          <w:i/>
          <w:color w:val="231F20"/>
          <w:w w:val="105"/>
          <w:sz w:val="17"/>
        </w:rPr>
        <w:t>of</w:t>
      </w:r>
      <w:r>
        <w:rPr>
          <w:rFonts w:ascii="Calibri" w:hAnsi="Calibri"/>
          <w:i/>
          <w:color w:val="231F20"/>
          <w:spacing w:val="-15"/>
          <w:w w:val="105"/>
          <w:sz w:val="17"/>
        </w:rPr>
        <w:t> </w:t>
      </w:r>
      <w:r>
        <w:rPr>
          <w:rFonts w:ascii="Calibri" w:hAnsi="Calibri"/>
          <w:i/>
          <w:color w:val="231F20"/>
          <w:w w:val="105"/>
          <w:sz w:val="17"/>
        </w:rPr>
        <w:t>Postcolonial</w:t>
      </w:r>
      <w:r>
        <w:rPr>
          <w:rFonts w:ascii="Calibri" w:hAnsi="Calibri"/>
          <w:i/>
          <w:color w:val="231F20"/>
          <w:spacing w:val="-15"/>
          <w:w w:val="105"/>
          <w:sz w:val="17"/>
        </w:rPr>
        <w:t> </w:t>
      </w:r>
      <w:r>
        <w:rPr>
          <w:rFonts w:ascii="Calibri" w:hAnsi="Calibri"/>
          <w:i/>
          <w:color w:val="231F20"/>
          <w:w w:val="105"/>
          <w:sz w:val="17"/>
        </w:rPr>
        <w:t>Studies</w:t>
      </w:r>
      <w:r>
        <w:rPr>
          <w:rFonts w:ascii="Calibri" w:hAnsi="Calibri"/>
          <w:color w:val="231F20"/>
          <w:w w:val="105"/>
          <w:sz w:val="17"/>
        </w:rPr>
        <w:t>,</w:t>
      </w:r>
      <w:r>
        <w:rPr>
          <w:rFonts w:ascii="Calibri" w:hAnsi="Calibri"/>
          <w:color w:val="231F20"/>
          <w:spacing w:val="-14"/>
          <w:w w:val="105"/>
          <w:sz w:val="17"/>
        </w:rPr>
        <w:t> </w:t>
      </w:r>
      <w:r>
        <w:rPr>
          <w:rFonts w:ascii="Calibri" w:hAnsi="Calibri"/>
          <w:color w:val="231F20"/>
          <w:w w:val="105"/>
          <w:sz w:val="17"/>
        </w:rPr>
        <w:t>di</w:t>
      </w:r>
      <w:r>
        <w:rPr>
          <w:rFonts w:ascii="Calibri" w:hAnsi="Calibri"/>
          <w:color w:val="231F20"/>
          <w:spacing w:val="-14"/>
          <w:w w:val="105"/>
          <w:sz w:val="17"/>
        </w:rPr>
        <w:t> </w:t>
      </w:r>
      <w:r>
        <w:rPr>
          <w:rFonts w:ascii="Calibri" w:hAnsi="Calibri"/>
          <w:color w:val="231F20"/>
          <w:w w:val="105"/>
          <w:sz w:val="17"/>
        </w:rPr>
        <w:t>prossima</w:t>
      </w:r>
      <w:r>
        <w:rPr>
          <w:rFonts w:ascii="Calibri" w:hAnsi="Calibri"/>
          <w:color w:val="231F20"/>
          <w:spacing w:val="-14"/>
          <w:w w:val="105"/>
          <w:sz w:val="17"/>
        </w:rPr>
        <w:t> </w:t>
      </w:r>
      <w:r>
        <w:rPr>
          <w:rFonts w:ascii="Calibri" w:hAnsi="Calibri"/>
          <w:color w:val="231F20"/>
          <w:w w:val="105"/>
          <w:sz w:val="17"/>
        </w:rPr>
        <w:t>pubblicazione</w:t>
      </w:r>
      <w:r>
        <w:rPr>
          <w:rFonts w:ascii="Calibri" w:hAnsi="Calibri"/>
          <w:color w:val="231F20"/>
          <w:spacing w:val="-14"/>
          <w:w w:val="105"/>
          <w:sz w:val="17"/>
        </w:rPr>
        <w:t> </w:t>
      </w:r>
      <w:r>
        <w:rPr>
          <w:rFonts w:ascii="Calibri" w:hAnsi="Calibri"/>
          <w:color w:val="231F20"/>
          <w:w w:val="105"/>
          <w:sz w:val="17"/>
        </w:rPr>
        <w:t>(inizio</w:t>
      </w:r>
      <w:r>
        <w:rPr>
          <w:rFonts w:ascii="Calibri" w:hAnsi="Calibri"/>
          <w:color w:val="231F20"/>
          <w:spacing w:val="-14"/>
          <w:w w:val="105"/>
          <w:sz w:val="17"/>
        </w:rPr>
        <w:t> </w:t>
      </w:r>
      <w:r>
        <w:rPr>
          <w:rFonts w:ascii="Calibri" w:hAnsi="Calibri"/>
          <w:color w:val="231F20"/>
          <w:w w:val="105"/>
          <w:sz w:val="17"/>
        </w:rPr>
        <w:t>2016) per</w:t>
      </w:r>
      <w:r>
        <w:rPr>
          <w:rFonts w:ascii="Calibri" w:hAnsi="Calibri"/>
          <w:color w:val="231F20"/>
          <w:spacing w:val="-20"/>
          <w:w w:val="105"/>
          <w:sz w:val="17"/>
        </w:rPr>
        <w:t> </w:t>
      </w:r>
      <w:r>
        <w:rPr>
          <w:rFonts w:ascii="Calibri" w:hAnsi="Calibri"/>
          <w:color w:val="231F20"/>
          <w:w w:val="105"/>
          <w:sz w:val="17"/>
        </w:rPr>
        <w:t>Blackwell.</w:t>
      </w:r>
    </w:p>
    <w:p>
      <w:pPr>
        <w:pStyle w:val="BodyText"/>
        <w:rPr>
          <w:rFonts w:ascii="Calibri"/>
          <w:sz w:val="20"/>
        </w:rPr>
      </w:pPr>
    </w:p>
    <w:p>
      <w:pPr>
        <w:pStyle w:val="BodyText"/>
        <w:spacing w:before="10"/>
        <w:rPr>
          <w:rFonts w:ascii="Calibri"/>
          <w:sz w:val="27"/>
        </w:rPr>
      </w:pPr>
    </w:p>
    <w:p>
      <w:pPr>
        <w:tabs>
          <w:tab w:pos="1317" w:val="left" w:leader="none"/>
        </w:tabs>
        <w:spacing w:before="68"/>
        <w:ind w:left="267" w:right="0" w:firstLine="0"/>
        <w:jc w:val="left"/>
        <w:rPr>
          <w:rFonts w:ascii="Calibri"/>
          <w:sz w:val="16"/>
        </w:rPr>
      </w:pPr>
      <w:r>
        <w:rPr/>
        <w:pict>
          <v:group style="position:absolute;margin-left:98.079102pt;margin-top:-3.358812pt;width:20.4pt;height:43pt;mso-position-horizontal-relative:page;mso-position-vertical-relative:paragraph;z-index:-164632"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54</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900"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458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28"/>
          <w:sz w:val="14"/>
        </w:rPr>
        <w:t> </w:t>
      </w:r>
      <w:r>
        <w:rPr>
          <w:rFonts w:ascii="Lucida Sans Unicode" w:hAnsi="Lucida Sans Unicode"/>
          <w:color w:val="6D6E71"/>
          <w:spacing w:val="-4"/>
          <w:sz w:val="14"/>
        </w:rPr>
        <w:t>STATO</w:t>
      </w:r>
      <w:r>
        <w:rPr>
          <w:rFonts w:ascii="Lucida Sans Unicode" w:hAnsi="Lucida Sans Unicode"/>
          <w:color w:val="6D6E71"/>
          <w:spacing w:val="-28"/>
          <w:sz w:val="14"/>
        </w:rPr>
        <w:t> </w:t>
      </w:r>
      <w:r>
        <w:rPr>
          <w:rFonts w:ascii="Lucida Sans Unicode" w:hAnsi="Lucida Sans Unicode"/>
          <w:color w:val="6D6E71"/>
          <w:sz w:val="14"/>
        </w:rPr>
        <w:t>GLOBALE</w:t>
      </w:r>
      <w:r>
        <w:rPr>
          <w:rFonts w:ascii="Lucida Sans Unicode" w:hAnsi="Lucida Sans Unicode"/>
          <w:color w:val="6D6E71"/>
          <w:spacing w:val="-28"/>
          <w:sz w:val="14"/>
        </w:rPr>
        <w:t> </w:t>
      </w:r>
      <w:r>
        <w:rPr>
          <w:rFonts w:ascii="Lucida Sans Unicode" w:hAnsi="Lucida Sans Unicode"/>
          <w:color w:val="6D6E71"/>
          <w:sz w:val="14"/>
        </w:rPr>
        <w:t>E</w:t>
      </w:r>
      <w:r>
        <w:rPr>
          <w:rFonts w:ascii="Lucida Sans Unicode" w:hAnsi="Lucida Sans Unicode"/>
          <w:color w:val="6D6E71"/>
          <w:spacing w:val="-28"/>
          <w:sz w:val="14"/>
        </w:rPr>
        <w:t> </w:t>
      </w:r>
      <w:r>
        <w:rPr>
          <w:rFonts w:ascii="Lucida Sans Unicode" w:hAnsi="Lucida Sans Unicode"/>
          <w:color w:val="6D6E71"/>
          <w:sz w:val="14"/>
        </w:rPr>
        <w:t>L’EVOLUZIONE</w:t>
      </w:r>
      <w:r>
        <w:rPr>
          <w:rFonts w:ascii="Lucida Sans Unicode" w:hAnsi="Lucida Sans Unicode"/>
          <w:color w:val="6D6E71"/>
          <w:spacing w:val="-28"/>
          <w:sz w:val="14"/>
        </w:rPr>
        <w:t> </w:t>
      </w:r>
      <w:r>
        <w:rPr>
          <w:rFonts w:ascii="Lucida Sans Unicode" w:hAnsi="Lucida Sans Unicode"/>
          <w:color w:val="6D6E71"/>
          <w:sz w:val="14"/>
        </w:rPr>
        <w:t>DELLA</w:t>
      </w:r>
      <w:r>
        <w:rPr>
          <w:rFonts w:ascii="Lucida Sans Unicode" w:hAnsi="Lucida Sans Unicode"/>
          <w:color w:val="6D6E71"/>
          <w:spacing w:val="-28"/>
          <w:sz w:val="14"/>
        </w:rPr>
        <w:t> </w:t>
      </w:r>
      <w:r>
        <w:rPr>
          <w:rFonts w:ascii="Lucida Sans Unicode" w:hAnsi="Lucida Sans Unicode"/>
          <w:color w:val="6D6E71"/>
          <w:sz w:val="14"/>
        </w:rPr>
        <w:t>SOVRANITÀ</w:t>
      </w:r>
      <w:r>
        <w:rPr>
          <w:rFonts w:ascii="Trebuchet MS" w:hAnsi="Trebuchet MS"/>
          <w:color w:val="414042"/>
          <w:position w:val="-3"/>
          <w:sz w:val="20"/>
        </w:rPr>
        <w:tab/>
        <w:t>55</w:t>
      </w:r>
    </w:p>
    <w:p>
      <w:pPr>
        <w:pStyle w:val="BodyText"/>
        <w:rPr>
          <w:rFonts w:ascii="Trebuchet MS"/>
          <w:sz w:val="20"/>
        </w:rPr>
      </w:pPr>
    </w:p>
    <w:p>
      <w:pPr>
        <w:pStyle w:val="BodyText"/>
        <w:rPr>
          <w:rFonts w:ascii="Trebuchet MS"/>
          <w:sz w:val="20"/>
        </w:rPr>
      </w:pPr>
    </w:p>
    <w:p>
      <w:pPr>
        <w:pStyle w:val="BodyText"/>
        <w:spacing w:line="247" w:lineRule="auto" w:before="156"/>
        <w:ind w:left="117"/>
      </w:pPr>
      <w:r>
        <w:rPr>
          <w:color w:val="231F20"/>
          <w:w w:val="105"/>
        </w:rPr>
        <w:t>che diritti. La governamentalità è un ordine che pretende di costituirsi dall’interno dei rapporti.</w:t>
      </w:r>
    </w:p>
    <w:p>
      <w:pPr>
        <w:pStyle w:val="BodyText"/>
        <w:spacing w:line="247" w:lineRule="auto"/>
        <w:ind w:left="117" w:right="116" w:firstLine="566"/>
        <w:jc w:val="both"/>
      </w:pPr>
      <w:r>
        <w:rPr>
          <w:color w:val="231F20"/>
          <w:w w:val="105"/>
        </w:rPr>
        <w:t>La </w:t>
      </w:r>
      <w:r>
        <w:rPr>
          <w:color w:val="231F20"/>
          <w:spacing w:val="3"/>
          <w:w w:val="105"/>
        </w:rPr>
        <w:t>svolta culturale </w:t>
      </w:r>
      <w:r>
        <w:rPr>
          <w:color w:val="231F20"/>
          <w:spacing w:val="2"/>
          <w:w w:val="105"/>
        </w:rPr>
        <w:t>che </w:t>
      </w:r>
      <w:r>
        <w:rPr>
          <w:color w:val="231F20"/>
          <w:w w:val="105"/>
        </w:rPr>
        <w:t>ha </w:t>
      </w:r>
      <w:r>
        <w:rPr>
          <w:color w:val="231F20"/>
          <w:spacing w:val="3"/>
          <w:w w:val="105"/>
        </w:rPr>
        <w:t>investito anche </w:t>
      </w:r>
      <w:r>
        <w:rPr>
          <w:color w:val="231F20"/>
          <w:w w:val="105"/>
        </w:rPr>
        <w:t>la </w:t>
      </w:r>
      <w:r>
        <w:rPr>
          <w:color w:val="231F20"/>
          <w:spacing w:val="3"/>
          <w:w w:val="105"/>
        </w:rPr>
        <w:t>concettualizzazione </w:t>
      </w:r>
      <w:r>
        <w:rPr>
          <w:color w:val="231F20"/>
          <w:w w:val="105"/>
        </w:rPr>
        <w:t>contemporanea</w:t>
      </w:r>
      <w:r>
        <w:rPr>
          <w:color w:val="231F20"/>
          <w:spacing w:val="-53"/>
          <w:w w:val="105"/>
        </w:rPr>
        <w:t> </w:t>
      </w:r>
      <w:r>
        <w:rPr>
          <w:color w:val="231F20"/>
          <w:w w:val="105"/>
        </w:rPr>
        <w:t>dello</w:t>
      </w:r>
      <w:r>
        <w:rPr>
          <w:color w:val="231F20"/>
          <w:spacing w:val="-53"/>
          <w:w w:val="105"/>
        </w:rPr>
        <w:t> </w:t>
      </w:r>
      <w:r>
        <w:rPr>
          <w:color w:val="231F20"/>
          <w:w w:val="105"/>
        </w:rPr>
        <w:t>Stato</w:t>
      </w:r>
      <w:r>
        <w:rPr>
          <w:color w:val="231F20"/>
          <w:spacing w:val="-53"/>
          <w:w w:val="105"/>
        </w:rPr>
        <w:t> </w:t>
      </w:r>
      <w:r>
        <w:rPr>
          <w:color w:val="231F20"/>
          <w:w w:val="105"/>
        </w:rPr>
        <w:t>mira</w:t>
      </w:r>
      <w:r>
        <w:rPr>
          <w:color w:val="231F20"/>
          <w:spacing w:val="-53"/>
          <w:w w:val="105"/>
        </w:rPr>
        <w:t> </w:t>
      </w:r>
      <w:r>
        <w:rPr>
          <w:color w:val="231F20"/>
          <w:w w:val="105"/>
        </w:rPr>
        <w:t>esattamente</w:t>
      </w:r>
      <w:r>
        <w:rPr>
          <w:color w:val="231F20"/>
          <w:spacing w:val="-53"/>
          <w:w w:val="105"/>
        </w:rPr>
        <w:t> </w:t>
      </w:r>
      <w:r>
        <w:rPr>
          <w:color w:val="231F20"/>
          <w:w w:val="105"/>
        </w:rPr>
        <w:t>a</w:t>
      </w:r>
      <w:r>
        <w:rPr>
          <w:color w:val="231F20"/>
          <w:spacing w:val="-53"/>
          <w:w w:val="105"/>
        </w:rPr>
        <w:t> </w:t>
      </w:r>
      <w:r>
        <w:rPr>
          <w:color w:val="231F20"/>
          <w:spacing w:val="-3"/>
          <w:w w:val="105"/>
        </w:rPr>
        <w:t>rilevare</w:t>
      </w:r>
      <w:r>
        <w:rPr>
          <w:color w:val="231F20"/>
          <w:spacing w:val="-53"/>
          <w:w w:val="105"/>
        </w:rPr>
        <w:t> </w:t>
      </w:r>
      <w:r>
        <w:rPr>
          <w:color w:val="231F20"/>
          <w:w w:val="105"/>
        </w:rPr>
        <w:t>le</w:t>
      </w:r>
      <w:r>
        <w:rPr>
          <w:color w:val="231F20"/>
          <w:spacing w:val="-53"/>
          <w:w w:val="105"/>
        </w:rPr>
        <w:t> </w:t>
      </w:r>
      <w:r>
        <w:rPr>
          <w:color w:val="231F20"/>
          <w:spacing w:val="-3"/>
          <w:w w:val="105"/>
        </w:rPr>
        <w:t>differenti</w:t>
      </w:r>
      <w:r>
        <w:rPr>
          <w:color w:val="231F20"/>
          <w:spacing w:val="-53"/>
          <w:w w:val="105"/>
        </w:rPr>
        <w:t> </w:t>
      </w:r>
      <w:r>
        <w:rPr>
          <w:color w:val="231F20"/>
          <w:w w:val="105"/>
        </w:rPr>
        <w:t>modalità con le quali viene recepita l’azione dello Stato, nel momento in cui alla </w:t>
      </w:r>
      <w:r>
        <w:rPr>
          <w:color w:val="231F20"/>
          <w:spacing w:val="3"/>
          <w:w w:val="105"/>
        </w:rPr>
        <w:t>frammentazione </w:t>
      </w:r>
      <w:r>
        <w:rPr>
          <w:color w:val="231F20"/>
          <w:spacing w:val="2"/>
          <w:w w:val="105"/>
        </w:rPr>
        <w:t>dei </w:t>
      </w:r>
      <w:r>
        <w:rPr>
          <w:color w:val="231F20"/>
          <w:spacing w:val="3"/>
          <w:w w:val="105"/>
        </w:rPr>
        <w:t>tipi </w:t>
      </w:r>
      <w:r>
        <w:rPr>
          <w:color w:val="231F20"/>
          <w:w w:val="105"/>
        </w:rPr>
        <w:t>di </w:t>
      </w:r>
      <w:r>
        <w:rPr>
          <w:color w:val="231F20"/>
          <w:spacing w:val="2"/>
          <w:w w:val="105"/>
        </w:rPr>
        <w:t>agire </w:t>
      </w:r>
      <w:r>
        <w:rPr>
          <w:color w:val="231F20"/>
          <w:spacing w:val="3"/>
          <w:w w:val="105"/>
        </w:rPr>
        <w:t>costituzionale burocratico </w:t>
      </w:r>
      <w:r>
        <w:rPr>
          <w:color w:val="231F20"/>
          <w:spacing w:val="2"/>
          <w:w w:val="105"/>
        </w:rPr>
        <w:t>finisce </w:t>
      </w:r>
      <w:r>
        <w:rPr>
          <w:color w:val="231F20"/>
          <w:spacing w:val="4"/>
          <w:w w:val="105"/>
        </w:rPr>
        <w:t>per </w:t>
      </w:r>
      <w:r>
        <w:rPr>
          <w:color w:val="231F20"/>
          <w:w w:val="105"/>
        </w:rPr>
        <w:t>corrispondere</w:t>
      </w:r>
      <w:r>
        <w:rPr>
          <w:color w:val="231F20"/>
          <w:spacing w:val="-7"/>
          <w:w w:val="105"/>
        </w:rPr>
        <w:t> </w:t>
      </w:r>
      <w:r>
        <w:rPr>
          <w:color w:val="231F20"/>
          <w:w w:val="105"/>
        </w:rPr>
        <w:t>una</w:t>
      </w:r>
      <w:r>
        <w:rPr>
          <w:color w:val="231F20"/>
          <w:spacing w:val="-7"/>
          <w:w w:val="105"/>
        </w:rPr>
        <w:t> </w:t>
      </w:r>
      <w:r>
        <w:rPr>
          <w:color w:val="231F20"/>
          <w:w w:val="105"/>
        </w:rPr>
        <w:t>pluralità</w:t>
      </w:r>
      <w:r>
        <w:rPr>
          <w:color w:val="231F20"/>
          <w:spacing w:val="-7"/>
          <w:w w:val="105"/>
        </w:rPr>
        <w:t> </w:t>
      </w:r>
      <w:r>
        <w:rPr>
          <w:color w:val="231F20"/>
          <w:w w:val="105"/>
        </w:rPr>
        <w:t>di</w:t>
      </w:r>
      <w:r>
        <w:rPr>
          <w:color w:val="231F20"/>
          <w:spacing w:val="-7"/>
          <w:w w:val="105"/>
        </w:rPr>
        <w:t> </w:t>
      </w:r>
      <w:r>
        <w:rPr>
          <w:color w:val="231F20"/>
          <w:w w:val="105"/>
        </w:rPr>
        <w:t>posizioni</w:t>
      </w:r>
      <w:r>
        <w:rPr>
          <w:color w:val="231F20"/>
          <w:spacing w:val="-7"/>
          <w:w w:val="105"/>
        </w:rPr>
        <w:t> </w:t>
      </w:r>
      <w:r>
        <w:rPr>
          <w:color w:val="231F20"/>
          <w:w w:val="105"/>
        </w:rPr>
        <w:t>occupate</w:t>
      </w:r>
      <w:r>
        <w:rPr>
          <w:color w:val="231F20"/>
          <w:spacing w:val="-7"/>
          <w:w w:val="105"/>
        </w:rPr>
        <w:t> </w:t>
      </w:r>
      <w:r>
        <w:rPr>
          <w:color w:val="231F20"/>
          <w:w w:val="105"/>
        </w:rPr>
        <w:t>dai</w:t>
      </w:r>
      <w:r>
        <w:rPr>
          <w:color w:val="231F20"/>
          <w:spacing w:val="-7"/>
          <w:w w:val="105"/>
        </w:rPr>
        <w:t> </w:t>
      </w:r>
      <w:r>
        <w:rPr>
          <w:color w:val="231F20"/>
          <w:w w:val="105"/>
        </w:rPr>
        <w:t>soggetti</w:t>
      </w:r>
      <w:r>
        <w:rPr>
          <w:color w:val="231F20"/>
          <w:spacing w:val="-7"/>
          <w:w w:val="105"/>
        </w:rPr>
        <w:t> </w:t>
      </w:r>
      <w:r>
        <w:rPr>
          <w:color w:val="231F20"/>
          <w:w w:val="105"/>
        </w:rPr>
        <w:t>allo</w:t>
      </w:r>
      <w:r>
        <w:rPr>
          <w:color w:val="231F20"/>
          <w:spacing w:val="-7"/>
          <w:w w:val="105"/>
        </w:rPr>
        <w:t> </w:t>
      </w:r>
      <w:r>
        <w:rPr>
          <w:color w:val="231F20"/>
          <w:w w:val="105"/>
        </w:rPr>
        <w:t>Stato. Ciò</w:t>
      </w:r>
      <w:r>
        <w:rPr>
          <w:color w:val="231F20"/>
          <w:spacing w:val="-11"/>
          <w:w w:val="105"/>
        </w:rPr>
        <w:t> </w:t>
      </w:r>
      <w:r>
        <w:rPr>
          <w:color w:val="231F20"/>
          <w:w w:val="105"/>
        </w:rPr>
        <w:t>evidentemente</w:t>
      </w:r>
      <w:r>
        <w:rPr>
          <w:color w:val="231F20"/>
          <w:spacing w:val="-11"/>
          <w:w w:val="105"/>
        </w:rPr>
        <w:t> </w:t>
      </w:r>
      <w:r>
        <w:rPr>
          <w:color w:val="231F20"/>
          <w:w w:val="105"/>
        </w:rPr>
        <w:t>non</w:t>
      </w:r>
      <w:r>
        <w:rPr>
          <w:color w:val="231F20"/>
          <w:spacing w:val="-11"/>
          <w:w w:val="105"/>
        </w:rPr>
        <w:t> </w:t>
      </w:r>
      <w:r>
        <w:rPr>
          <w:color w:val="231F20"/>
          <w:w w:val="105"/>
        </w:rPr>
        <w:t>significa</w:t>
      </w:r>
      <w:r>
        <w:rPr>
          <w:color w:val="231F20"/>
          <w:spacing w:val="-11"/>
          <w:w w:val="105"/>
        </w:rPr>
        <w:t> </w:t>
      </w:r>
      <w:r>
        <w:rPr>
          <w:color w:val="231F20"/>
          <w:w w:val="105"/>
        </w:rPr>
        <w:t>che</w:t>
      </w:r>
      <w:r>
        <w:rPr>
          <w:color w:val="231F20"/>
          <w:spacing w:val="-11"/>
          <w:w w:val="105"/>
        </w:rPr>
        <w:t> </w:t>
      </w:r>
      <w:r>
        <w:rPr>
          <w:color w:val="231F20"/>
          <w:w w:val="105"/>
        </w:rPr>
        <w:t>nella</w:t>
      </w:r>
      <w:r>
        <w:rPr>
          <w:color w:val="231F20"/>
          <w:spacing w:val="-11"/>
          <w:w w:val="105"/>
        </w:rPr>
        <w:t> </w:t>
      </w:r>
      <w:r>
        <w:rPr>
          <w:color w:val="231F20"/>
          <w:w w:val="105"/>
        </w:rPr>
        <w:t>storia</w:t>
      </w:r>
      <w:r>
        <w:rPr>
          <w:color w:val="231F20"/>
          <w:spacing w:val="-11"/>
          <w:w w:val="105"/>
        </w:rPr>
        <w:t> </w:t>
      </w:r>
      <w:r>
        <w:rPr>
          <w:color w:val="231F20"/>
          <w:w w:val="105"/>
        </w:rPr>
        <w:t>dello</w:t>
      </w:r>
      <w:r>
        <w:rPr>
          <w:color w:val="231F20"/>
          <w:spacing w:val="-11"/>
          <w:w w:val="105"/>
        </w:rPr>
        <w:t> </w:t>
      </w:r>
      <w:r>
        <w:rPr>
          <w:color w:val="231F20"/>
          <w:w w:val="105"/>
        </w:rPr>
        <w:t>Stato</w:t>
      </w:r>
      <w:r>
        <w:rPr>
          <w:color w:val="231F20"/>
          <w:spacing w:val="-11"/>
          <w:w w:val="105"/>
        </w:rPr>
        <w:t> </w:t>
      </w:r>
      <w:r>
        <w:rPr>
          <w:color w:val="231F20"/>
          <w:w w:val="105"/>
        </w:rPr>
        <w:t>in</w:t>
      </w:r>
      <w:r>
        <w:rPr>
          <w:color w:val="231F20"/>
          <w:spacing w:val="-11"/>
          <w:w w:val="105"/>
        </w:rPr>
        <w:t> </w:t>
      </w:r>
      <w:r>
        <w:rPr>
          <w:color w:val="231F20"/>
          <w:w w:val="105"/>
        </w:rPr>
        <w:t>Occidente questa</w:t>
      </w:r>
      <w:r>
        <w:rPr>
          <w:color w:val="231F20"/>
          <w:spacing w:val="-50"/>
          <w:w w:val="105"/>
        </w:rPr>
        <w:t> </w:t>
      </w:r>
      <w:r>
        <w:rPr>
          <w:color w:val="231F20"/>
          <w:w w:val="105"/>
        </w:rPr>
        <w:t>dimensione</w:t>
      </w:r>
      <w:r>
        <w:rPr>
          <w:color w:val="231F20"/>
          <w:spacing w:val="-50"/>
          <w:w w:val="105"/>
        </w:rPr>
        <w:t> </w:t>
      </w:r>
      <w:r>
        <w:rPr>
          <w:color w:val="231F20"/>
          <w:w w:val="105"/>
        </w:rPr>
        <w:t>sia</w:t>
      </w:r>
      <w:r>
        <w:rPr>
          <w:color w:val="231F20"/>
          <w:spacing w:val="-50"/>
          <w:w w:val="105"/>
        </w:rPr>
        <w:t> </w:t>
      </w:r>
      <w:r>
        <w:rPr>
          <w:color w:val="231F20"/>
          <w:w w:val="105"/>
        </w:rPr>
        <w:t>stata</w:t>
      </w:r>
      <w:r>
        <w:rPr>
          <w:color w:val="231F20"/>
          <w:spacing w:val="-50"/>
          <w:w w:val="105"/>
        </w:rPr>
        <w:t> </w:t>
      </w:r>
      <w:r>
        <w:rPr>
          <w:color w:val="231F20"/>
          <w:w w:val="105"/>
        </w:rPr>
        <w:t>assente.</w:t>
      </w:r>
      <w:r>
        <w:rPr>
          <w:color w:val="231F20"/>
          <w:spacing w:val="-50"/>
          <w:w w:val="105"/>
        </w:rPr>
        <w:t> </w:t>
      </w:r>
      <w:r>
        <w:rPr>
          <w:color w:val="231F20"/>
          <w:w w:val="105"/>
        </w:rPr>
        <w:t>Anche</w:t>
      </w:r>
      <w:r>
        <w:rPr>
          <w:color w:val="231F20"/>
          <w:spacing w:val="-50"/>
          <w:w w:val="105"/>
        </w:rPr>
        <w:t> </w:t>
      </w:r>
      <w:r>
        <w:rPr>
          <w:color w:val="231F20"/>
          <w:w w:val="105"/>
        </w:rPr>
        <w:t>la</w:t>
      </w:r>
      <w:r>
        <w:rPr>
          <w:color w:val="231F20"/>
          <w:spacing w:val="-50"/>
          <w:w w:val="105"/>
        </w:rPr>
        <w:t> </w:t>
      </w:r>
      <w:r>
        <w:rPr>
          <w:color w:val="231F20"/>
          <w:w w:val="105"/>
        </w:rPr>
        <w:t>vicenda</w:t>
      </w:r>
      <w:r>
        <w:rPr>
          <w:color w:val="231F20"/>
          <w:spacing w:val="-50"/>
          <w:w w:val="105"/>
        </w:rPr>
        <w:t> </w:t>
      </w:r>
      <w:r>
        <w:rPr>
          <w:color w:val="231F20"/>
          <w:w w:val="105"/>
        </w:rPr>
        <w:t>dello</w:t>
      </w:r>
      <w:r>
        <w:rPr>
          <w:color w:val="231F20"/>
          <w:spacing w:val="-50"/>
          <w:w w:val="105"/>
        </w:rPr>
        <w:t> </w:t>
      </w:r>
      <w:r>
        <w:rPr>
          <w:color w:val="231F20"/>
          <w:w w:val="105"/>
        </w:rPr>
        <w:t>Stato</w:t>
      </w:r>
      <w:r>
        <w:rPr>
          <w:color w:val="231F20"/>
          <w:spacing w:val="-50"/>
          <w:w w:val="105"/>
        </w:rPr>
        <w:t> </w:t>
      </w:r>
      <w:r>
        <w:rPr>
          <w:color w:val="231F20"/>
          <w:w w:val="105"/>
        </w:rPr>
        <w:t>britannico è</w:t>
      </w:r>
      <w:r>
        <w:rPr>
          <w:color w:val="231F20"/>
          <w:spacing w:val="-44"/>
          <w:w w:val="105"/>
        </w:rPr>
        <w:t> </w:t>
      </w:r>
      <w:r>
        <w:rPr>
          <w:color w:val="231F20"/>
          <w:spacing w:val="-3"/>
          <w:w w:val="105"/>
        </w:rPr>
        <w:t>stata</w:t>
      </w:r>
      <w:r>
        <w:rPr>
          <w:color w:val="231F20"/>
          <w:spacing w:val="-44"/>
          <w:w w:val="105"/>
        </w:rPr>
        <w:t> </w:t>
      </w:r>
      <w:r>
        <w:rPr>
          <w:color w:val="231F20"/>
          <w:spacing w:val="-3"/>
          <w:w w:val="105"/>
        </w:rPr>
        <w:t>ricostruita</w:t>
      </w:r>
      <w:r>
        <w:rPr>
          <w:color w:val="231F20"/>
          <w:spacing w:val="-44"/>
          <w:w w:val="105"/>
        </w:rPr>
        <w:t> </w:t>
      </w:r>
      <w:r>
        <w:rPr>
          <w:color w:val="231F20"/>
          <w:spacing w:val="-3"/>
          <w:w w:val="105"/>
        </w:rPr>
        <w:t>come</w:t>
      </w:r>
      <w:r>
        <w:rPr>
          <w:color w:val="231F20"/>
          <w:spacing w:val="-44"/>
          <w:w w:val="105"/>
        </w:rPr>
        <w:t> </w:t>
      </w:r>
      <w:r>
        <w:rPr>
          <w:color w:val="231F20"/>
          <w:spacing w:val="-3"/>
          <w:w w:val="105"/>
        </w:rPr>
        <w:t>successo</w:t>
      </w:r>
      <w:r>
        <w:rPr>
          <w:color w:val="231F20"/>
          <w:spacing w:val="-44"/>
          <w:w w:val="105"/>
        </w:rPr>
        <w:t> </w:t>
      </w:r>
      <w:r>
        <w:rPr>
          <w:color w:val="231F20"/>
          <w:w w:val="105"/>
        </w:rPr>
        <w:t>di</w:t>
      </w:r>
      <w:r>
        <w:rPr>
          <w:color w:val="231F20"/>
          <w:spacing w:val="-44"/>
          <w:w w:val="105"/>
        </w:rPr>
        <w:t> </w:t>
      </w:r>
      <w:r>
        <w:rPr>
          <w:color w:val="231F20"/>
          <w:w w:val="105"/>
        </w:rPr>
        <w:t>un</w:t>
      </w:r>
      <w:r>
        <w:rPr>
          <w:color w:val="231F20"/>
          <w:spacing w:val="-44"/>
          <w:w w:val="105"/>
        </w:rPr>
        <w:t> </w:t>
      </w:r>
      <w:r>
        <w:rPr>
          <w:color w:val="231F20"/>
          <w:spacing w:val="-4"/>
          <w:w w:val="105"/>
        </w:rPr>
        <w:t>prodotto</w:t>
      </w:r>
      <w:r>
        <w:rPr>
          <w:color w:val="231F20"/>
          <w:spacing w:val="-44"/>
          <w:w w:val="105"/>
        </w:rPr>
        <w:t> </w:t>
      </w:r>
      <w:r>
        <w:rPr>
          <w:color w:val="231F20"/>
          <w:spacing w:val="-3"/>
          <w:w w:val="105"/>
        </w:rPr>
        <w:t>culturale,</w:t>
      </w:r>
      <w:r>
        <w:rPr>
          <w:color w:val="231F20"/>
          <w:spacing w:val="-44"/>
          <w:w w:val="105"/>
        </w:rPr>
        <w:t> </w:t>
      </w:r>
      <w:r>
        <w:rPr>
          <w:color w:val="231F20"/>
          <w:spacing w:val="-3"/>
          <w:w w:val="105"/>
        </w:rPr>
        <w:t>piuttosto</w:t>
      </w:r>
      <w:r>
        <w:rPr>
          <w:color w:val="231F20"/>
          <w:spacing w:val="-44"/>
          <w:w w:val="105"/>
        </w:rPr>
        <w:t> </w:t>
      </w:r>
      <w:r>
        <w:rPr>
          <w:color w:val="231F20"/>
          <w:w w:val="105"/>
        </w:rPr>
        <w:t>che</w:t>
      </w:r>
      <w:r>
        <w:rPr>
          <w:color w:val="231F20"/>
          <w:spacing w:val="-44"/>
          <w:w w:val="105"/>
        </w:rPr>
        <w:t> </w:t>
      </w:r>
      <w:r>
        <w:rPr>
          <w:color w:val="231F20"/>
          <w:spacing w:val="-3"/>
          <w:w w:val="105"/>
        </w:rPr>
        <w:t>come </w:t>
      </w:r>
      <w:r>
        <w:rPr>
          <w:color w:val="231F20"/>
          <w:w w:val="105"/>
        </w:rPr>
        <w:t>avanzata</w:t>
      </w:r>
      <w:r>
        <w:rPr>
          <w:color w:val="231F20"/>
          <w:spacing w:val="-32"/>
          <w:w w:val="105"/>
        </w:rPr>
        <w:t> </w:t>
      </w:r>
      <w:r>
        <w:rPr>
          <w:color w:val="231F20"/>
          <w:w w:val="105"/>
        </w:rPr>
        <w:t>irresistibile</w:t>
      </w:r>
      <w:r>
        <w:rPr>
          <w:color w:val="231F20"/>
          <w:spacing w:val="-32"/>
          <w:w w:val="105"/>
        </w:rPr>
        <w:t> </w:t>
      </w:r>
      <w:r>
        <w:rPr>
          <w:color w:val="231F20"/>
          <w:w w:val="105"/>
        </w:rPr>
        <w:t>della</w:t>
      </w:r>
      <w:r>
        <w:rPr>
          <w:color w:val="231F20"/>
          <w:spacing w:val="-31"/>
          <w:w w:val="105"/>
        </w:rPr>
        <w:t> </w:t>
      </w:r>
      <w:r>
        <w:rPr>
          <w:color w:val="231F20"/>
          <w:w w:val="105"/>
        </w:rPr>
        <w:t>monopolizzazione</w:t>
      </w:r>
      <w:r>
        <w:rPr>
          <w:color w:val="231F20"/>
          <w:spacing w:val="-32"/>
          <w:w w:val="105"/>
        </w:rPr>
        <w:t> </w:t>
      </w:r>
      <w:r>
        <w:rPr>
          <w:color w:val="231F20"/>
          <w:w w:val="105"/>
        </w:rPr>
        <w:t>della</w:t>
      </w:r>
      <w:r>
        <w:rPr>
          <w:color w:val="231F20"/>
          <w:spacing w:val="-32"/>
          <w:w w:val="105"/>
        </w:rPr>
        <w:t> </w:t>
      </w:r>
      <w:r>
        <w:rPr>
          <w:color w:val="231F20"/>
          <w:w w:val="105"/>
        </w:rPr>
        <w:t>forza</w:t>
      </w:r>
      <w:r>
        <w:rPr>
          <w:color w:val="231F20"/>
          <w:spacing w:val="-31"/>
          <w:w w:val="105"/>
        </w:rPr>
        <w:t> </w:t>
      </w:r>
      <w:r>
        <w:rPr>
          <w:color w:val="231F20"/>
          <w:w w:val="105"/>
        </w:rPr>
        <w:t>o</w:t>
      </w:r>
      <w:r>
        <w:rPr>
          <w:color w:val="231F20"/>
          <w:spacing w:val="-32"/>
          <w:w w:val="105"/>
        </w:rPr>
        <w:t> </w:t>
      </w:r>
      <w:r>
        <w:rPr>
          <w:color w:val="231F20"/>
          <w:w w:val="105"/>
        </w:rPr>
        <w:t>della</w:t>
      </w:r>
      <w:r>
        <w:rPr>
          <w:color w:val="231F20"/>
          <w:spacing w:val="-32"/>
          <w:w w:val="105"/>
        </w:rPr>
        <w:t> </w:t>
      </w:r>
      <w:r>
        <w:rPr>
          <w:color w:val="231F20"/>
          <w:w w:val="105"/>
        </w:rPr>
        <w:t>fiscalità.</w:t>
      </w:r>
      <w:r>
        <w:rPr>
          <w:color w:val="231F20"/>
          <w:spacing w:val="-31"/>
          <w:w w:val="105"/>
        </w:rPr>
        <w:t> </w:t>
      </w:r>
      <w:r>
        <w:rPr>
          <w:color w:val="231F20"/>
          <w:w w:val="105"/>
        </w:rPr>
        <w:t>In altri</w:t>
      </w:r>
      <w:r>
        <w:rPr>
          <w:color w:val="231F20"/>
          <w:spacing w:val="-28"/>
          <w:w w:val="105"/>
        </w:rPr>
        <w:t> </w:t>
      </w:r>
      <w:r>
        <w:rPr>
          <w:color w:val="231F20"/>
          <w:w w:val="105"/>
        </w:rPr>
        <w:t>termini</w:t>
      </w:r>
      <w:r>
        <w:rPr>
          <w:color w:val="231F20"/>
          <w:spacing w:val="-28"/>
          <w:w w:val="105"/>
        </w:rPr>
        <w:t> </w:t>
      </w:r>
      <w:r>
        <w:rPr>
          <w:color w:val="231F20"/>
          <w:w w:val="105"/>
        </w:rPr>
        <w:t>la</w:t>
      </w:r>
      <w:r>
        <w:rPr>
          <w:color w:val="231F20"/>
          <w:spacing w:val="-28"/>
          <w:w w:val="105"/>
        </w:rPr>
        <w:t> </w:t>
      </w:r>
      <w:r>
        <w:rPr>
          <w:color w:val="231F20"/>
          <w:w w:val="105"/>
        </w:rPr>
        <w:t>Gran</w:t>
      </w:r>
      <w:r>
        <w:rPr>
          <w:color w:val="231F20"/>
          <w:spacing w:val="-28"/>
          <w:w w:val="105"/>
        </w:rPr>
        <w:t> </w:t>
      </w:r>
      <w:r>
        <w:rPr>
          <w:color w:val="231F20"/>
          <w:w w:val="105"/>
        </w:rPr>
        <w:t>Bretagna</w:t>
      </w:r>
      <w:r>
        <w:rPr>
          <w:color w:val="231F20"/>
          <w:spacing w:val="-28"/>
          <w:w w:val="105"/>
        </w:rPr>
        <w:t> </w:t>
      </w:r>
      <w:r>
        <w:rPr>
          <w:color w:val="231F20"/>
          <w:w w:val="105"/>
        </w:rPr>
        <w:t>appare</w:t>
      </w:r>
      <w:r>
        <w:rPr>
          <w:color w:val="231F20"/>
          <w:spacing w:val="-28"/>
          <w:w w:val="105"/>
        </w:rPr>
        <w:t> </w:t>
      </w:r>
      <w:r>
        <w:rPr>
          <w:color w:val="231F20"/>
          <w:w w:val="105"/>
        </w:rPr>
        <w:t>come</w:t>
      </w:r>
      <w:r>
        <w:rPr>
          <w:color w:val="231F20"/>
          <w:spacing w:val="-28"/>
          <w:w w:val="105"/>
        </w:rPr>
        <w:t> </w:t>
      </w:r>
      <w:r>
        <w:rPr>
          <w:color w:val="231F20"/>
          <w:w w:val="105"/>
        </w:rPr>
        <w:t>uno</w:t>
      </w:r>
      <w:r>
        <w:rPr>
          <w:color w:val="231F20"/>
          <w:spacing w:val="-28"/>
          <w:w w:val="105"/>
        </w:rPr>
        <w:t> </w:t>
      </w:r>
      <w:r>
        <w:rPr>
          <w:color w:val="231F20"/>
          <w:w w:val="105"/>
        </w:rPr>
        <w:t>Stato</w:t>
      </w:r>
      <w:r>
        <w:rPr>
          <w:color w:val="231F20"/>
          <w:spacing w:val="-28"/>
          <w:w w:val="105"/>
        </w:rPr>
        <w:t> </w:t>
      </w:r>
      <w:r>
        <w:rPr>
          <w:color w:val="231F20"/>
          <w:w w:val="105"/>
        </w:rPr>
        <w:t>basato</w:t>
      </w:r>
      <w:r>
        <w:rPr>
          <w:color w:val="231F20"/>
          <w:spacing w:val="-28"/>
          <w:w w:val="105"/>
        </w:rPr>
        <w:t> </w:t>
      </w:r>
      <w:r>
        <w:rPr>
          <w:color w:val="231F20"/>
          <w:w w:val="105"/>
        </w:rPr>
        <w:t>sull’arcaismo della costituzione sociale e sull’anacronismo dell’organizzazione</w:t>
      </w:r>
      <w:r>
        <w:rPr>
          <w:color w:val="231F20"/>
          <w:spacing w:val="-35"/>
          <w:w w:val="105"/>
        </w:rPr>
        <w:t> </w:t>
      </w:r>
      <w:r>
        <w:rPr>
          <w:color w:val="231F20"/>
          <w:w w:val="105"/>
        </w:rPr>
        <w:t>politica, che</w:t>
      </w:r>
      <w:r>
        <w:rPr>
          <w:color w:val="231F20"/>
          <w:spacing w:val="-30"/>
          <w:w w:val="105"/>
        </w:rPr>
        <w:t> </w:t>
      </w:r>
      <w:r>
        <w:rPr>
          <w:color w:val="231F20"/>
          <w:w w:val="105"/>
        </w:rPr>
        <w:t>contraddice</w:t>
      </w:r>
      <w:r>
        <w:rPr>
          <w:color w:val="231F20"/>
          <w:spacing w:val="-30"/>
          <w:w w:val="105"/>
        </w:rPr>
        <w:t> </w:t>
      </w:r>
      <w:r>
        <w:rPr>
          <w:color w:val="231F20"/>
          <w:w w:val="105"/>
        </w:rPr>
        <w:t>la</w:t>
      </w:r>
      <w:r>
        <w:rPr>
          <w:color w:val="231F20"/>
          <w:spacing w:val="-30"/>
          <w:w w:val="105"/>
        </w:rPr>
        <w:t> </w:t>
      </w:r>
      <w:r>
        <w:rPr>
          <w:color w:val="231F20"/>
          <w:w w:val="105"/>
        </w:rPr>
        <w:t>tesi</w:t>
      </w:r>
      <w:r>
        <w:rPr>
          <w:color w:val="231F20"/>
          <w:spacing w:val="-30"/>
          <w:w w:val="105"/>
        </w:rPr>
        <w:t> </w:t>
      </w:r>
      <w:r>
        <w:rPr>
          <w:color w:val="231F20"/>
          <w:w w:val="105"/>
        </w:rPr>
        <w:t>classica</w:t>
      </w:r>
      <w:r>
        <w:rPr>
          <w:color w:val="231F20"/>
          <w:spacing w:val="-30"/>
          <w:w w:val="105"/>
        </w:rPr>
        <w:t> </w:t>
      </w:r>
      <w:r>
        <w:rPr>
          <w:color w:val="231F20"/>
          <w:w w:val="105"/>
        </w:rPr>
        <w:t>che</w:t>
      </w:r>
      <w:r>
        <w:rPr>
          <w:color w:val="231F20"/>
          <w:spacing w:val="-30"/>
          <w:w w:val="105"/>
        </w:rPr>
        <w:t> </w:t>
      </w:r>
      <w:r>
        <w:rPr>
          <w:color w:val="231F20"/>
          <w:w w:val="105"/>
        </w:rPr>
        <w:t>fa</w:t>
      </w:r>
      <w:r>
        <w:rPr>
          <w:color w:val="231F20"/>
          <w:spacing w:val="-30"/>
          <w:w w:val="105"/>
        </w:rPr>
        <w:t> </w:t>
      </w:r>
      <w:r>
        <w:rPr>
          <w:color w:val="231F20"/>
          <w:w w:val="105"/>
        </w:rPr>
        <w:t>del</w:t>
      </w:r>
      <w:r>
        <w:rPr>
          <w:color w:val="231F20"/>
          <w:spacing w:val="-30"/>
          <w:w w:val="105"/>
        </w:rPr>
        <w:t> </w:t>
      </w:r>
      <w:r>
        <w:rPr>
          <w:color w:val="231F20"/>
          <w:w w:val="105"/>
        </w:rPr>
        <w:t>processo</w:t>
      </w:r>
      <w:r>
        <w:rPr>
          <w:color w:val="231F20"/>
          <w:spacing w:val="-30"/>
          <w:w w:val="105"/>
        </w:rPr>
        <w:t> </w:t>
      </w:r>
      <w:r>
        <w:rPr>
          <w:color w:val="231F20"/>
          <w:w w:val="105"/>
        </w:rPr>
        <w:t>rivoluzionario</w:t>
      </w:r>
      <w:r>
        <w:rPr>
          <w:color w:val="231F20"/>
          <w:spacing w:val="-30"/>
          <w:w w:val="105"/>
        </w:rPr>
        <w:t> </w:t>
      </w:r>
      <w:r>
        <w:rPr>
          <w:color w:val="231F20"/>
          <w:w w:val="105"/>
        </w:rPr>
        <w:t>—spesso </w:t>
      </w:r>
      <w:r>
        <w:rPr>
          <w:color w:val="231F20"/>
          <w:spacing w:val="2"/>
          <w:w w:val="105"/>
        </w:rPr>
        <w:t>ritagliato </w:t>
      </w:r>
      <w:r>
        <w:rPr>
          <w:color w:val="231F20"/>
          <w:w w:val="105"/>
        </w:rPr>
        <w:t>sul </w:t>
      </w:r>
      <w:r>
        <w:rPr>
          <w:color w:val="231F20"/>
          <w:spacing w:val="2"/>
          <w:w w:val="105"/>
        </w:rPr>
        <w:t>modello francese— </w:t>
      </w:r>
      <w:r>
        <w:rPr>
          <w:color w:val="231F20"/>
          <w:w w:val="105"/>
        </w:rPr>
        <w:t>il </w:t>
      </w:r>
      <w:r>
        <w:rPr>
          <w:color w:val="231F20"/>
          <w:spacing w:val="2"/>
          <w:w w:val="105"/>
        </w:rPr>
        <w:t>presupposto della </w:t>
      </w:r>
      <w:r>
        <w:rPr>
          <w:color w:val="231F20"/>
          <w:spacing w:val="3"/>
          <w:w w:val="105"/>
        </w:rPr>
        <w:t>modernizzazione </w:t>
      </w:r>
      <w:r>
        <w:rPr>
          <w:color w:val="231F20"/>
          <w:w w:val="105"/>
        </w:rPr>
        <w:t>capitalistica</w:t>
      </w:r>
      <w:r>
        <w:rPr>
          <w:color w:val="231F20"/>
          <w:spacing w:val="-14"/>
          <w:w w:val="105"/>
        </w:rPr>
        <w:t> </w:t>
      </w:r>
      <w:r>
        <w:rPr>
          <w:color w:val="231F20"/>
          <w:w w:val="105"/>
        </w:rPr>
        <w:t>della</w:t>
      </w:r>
      <w:r>
        <w:rPr>
          <w:color w:val="231F20"/>
          <w:spacing w:val="-14"/>
          <w:w w:val="105"/>
        </w:rPr>
        <w:t> </w:t>
      </w:r>
      <w:r>
        <w:rPr>
          <w:color w:val="231F20"/>
          <w:w w:val="105"/>
        </w:rPr>
        <w:t>società</w:t>
      </w:r>
      <w:r>
        <w:rPr>
          <w:color w:val="231F20"/>
          <w:spacing w:val="-14"/>
          <w:w w:val="105"/>
        </w:rPr>
        <w:t> </w:t>
      </w:r>
      <w:r>
        <w:rPr>
          <w:color w:val="231F20"/>
          <w:w w:val="105"/>
        </w:rPr>
        <w:t>e</w:t>
      </w:r>
      <w:r>
        <w:rPr>
          <w:color w:val="231F20"/>
          <w:spacing w:val="-14"/>
          <w:w w:val="105"/>
        </w:rPr>
        <w:t> </w:t>
      </w:r>
      <w:r>
        <w:rPr>
          <w:color w:val="231F20"/>
          <w:w w:val="105"/>
        </w:rPr>
        <w:t>quindi</w:t>
      </w:r>
      <w:r>
        <w:rPr>
          <w:color w:val="231F20"/>
          <w:spacing w:val="-14"/>
          <w:w w:val="105"/>
        </w:rPr>
        <w:t> </w:t>
      </w:r>
      <w:r>
        <w:rPr>
          <w:color w:val="231F20"/>
          <w:w w:val="105"/>
        </w:rPr>
        <w:t>della</w:t>
      </w:r>
      <w:r>
        <w:rPr>
          <w:color w:val="231F20"/>
          <w:spacing w:val="-14"/>
          <w:w w:val="105"/>
        </w:rPr>
        <w:t> </w:t>
      </w:r>
      <w:r>
        <w:rPr>
          <w:color w:val="231F20"/>
          <w:w w:val="105"/>
        </w:rPr>
        <w:t>trasformazione</w:t>
      </w:r>
      <w:r>
        <w:rPr>
          <w:color w:val="231F20"/>
          <w:spacing w:val="-14"/>
          <w:w w:val="105"/>
        </w:rPr>
        <w:t> </w:t>
      </w:r>
      <w:r>
        <w:rPr>
          <w:color w:val="231F20"/>
          <w:w w:val="105"/>
        </w:rPr>
        <w:t>dello</w:t>
      </w:r>
      <w:r>
        <w:rPr>
          <w:color w:val="231F20"/>
          <w:spacing w:val="-14"/>
          <w:w w:val="105"/>
        </w:rPr>
        <w:t> </w:t>
      </w:r>
      <w:r>
        <w:rPr>
          <w:color w:val="231F20"/>
          <w:w w:val="105"/>
        </w:rPr>
        <w:t>Stato</w:t>
      </w:r>
      <w:r>
        <w:rPr>
          <w:color w:val="231F20"/>
          <w:w w:val="105"/>
          <w:position w:val="7"/>
          <w:sz w:val="12"/>
        </w:rPr>
        <w:t>65</w:t>
      </w:r>
      <w:r>
        <w:rPr>
          <w:color w:val="231F20"/>
          <w:w w:val="105"/>
        </w:rPr>
        <w:t>.</w:t>
      </w:r>
      <w:r>
        <w:rPr>
          <w:color w:val="231F20"/>
          <w:spacing w:val="-14"/>
          <w:w w:val="105"/>
        </w:rPr>
        <w:t> </w:t>
      </w:r>
      <w:r>
        <w:rPr>
          <w:color w:val="231F20"/>
          <w:w w:val="105"/>
        </w:rPr>
        <w:t>Se</w:t>
      </w:r>
      <w:r>
        <w:rPr>
          <w:color w:val="231F20"/>
          <w:spacing w:val="-14"/>
          <w:w w:val="105"/>
        </w:rPr>
        <w:t> </w:t>
      </w:r>
      <w:r>
        <w:rPr>
          <w:color w:val="231F20"/>
          <w:w w:val="105"/>
        </w:rPr>
        <w:t>il capitalismo</w:t>
      </w:r>
      <w:r>
        <w:rPr>
          <w:color w:val="231F20"/>
          <w:spacing w:val="-24"/>
          <w:w w:val="105"/>
        </w:rPr>
        <w:t> </w:t>
      </w:r>
      <w:r>
        <w:rPr>
          <w:color w:val="231F20"/>
          <w:w w:val="105"/>
        </w:rPr>
        <w:t>può</w:t>
      </w:r>
      <w:r>
        <w:rPr>
          <w:color w:val="231F20"/>
          <w:spacing w:val="-24"/>
          <w:w w:val="105"/>
        </w:rPr>
        <w:t> </w:t>
      </w:r>
      <w:r>
        <w:rPr>
          <w:color w:val="231F20"/>
          <w:w w:val="105"/>
        </w:rPr>
        <w:t>presentarsi,</w:t>
      </w:r>
      <w:r>
        <w:rPr>
          <w:color w:val="231F20"/>
          <w:spacing w:val="-24"/>
          <w:w w:val="105"/>
        </w:rPr>
        <w:t> </w:t>
      </w:r>
      <w:r>
        <w:rPr>
          <w:color w:val="231F20"/>
          <w:w w:val="105"/>
        </w:rPr>
        <w:t>in</w:t>
      </w:r>
      <w:r>
        <w:rPr>
          <w:color w:val="231F20"/>
          <w:spacing w:val="-24"/>
          <w:w w:val="105"/>
        </w:rPr>
        <w:t> </w:t>
      </w:r>
      <w:r>
        <w:rPr>
          <w:color w:val="231F20"/>
          <w:w w:val="105"/>
        </w:rPr>
        <w:t>maniera</w:t>
      </w:r>
      <w:r>
        <w:rPr>
          <w:color w:val="231F20"/>
          <w:spacing w:val="-24"/>
          <w:w w:val="105"/>
        </w:rPr>
        <w:t> </w:t>
      </w:r>
      <w:r>
        <w:rPr>
          <w:color w:val="231F20"/>
          <w:w w:val="105"/>
        </w:rPr>
        <w:t>molto</w:t>
      </w:r>
      <w:r>
        <w:rPr>
          <w:color w:val="231F20"/>
          <w:spacing w:val="-24"/>
          <w:w w:val="105"/>
        </w:rPr>
        <w:t> </w:t>
      </w:r>
      <w:r>
        <w:rPr>
          <w:color w:val="231F20"/>
          <w:w w:val="105"/>
        </w:rPr>
        <w:t>poco</w:t>
      </w:r>
      <w:r>
        <w:rPr>
          <w:color w:val="231F20"/>
          <w:spacing w:val="-24"/>
          <w:w w:val="105"/>
        </w:rPr>
        <w:t> </w:t>
      </w:r>
      <w:r>
        <w:rPr>
          <w:color w:val="231F20"/>
          <w:w w:val="105"/>
        </w:rPr>
        <w:t>weberiana,</w:t>
      </w:r>
      <w:r>
        <w:rPr>
          <w:color w:val="231F20"/>
          <w:spacing w:val="-24"/>
          <w:w w:val="105"/>
        </w:rPr>
        <w:t> </w:t>
      </w:r>
      <w:r>
        <w:rPr>
          <w:color w:val="231F20"/>
          <w:w w:val="105"/>
        </w:rPr>
        <w:t>come</w:t>
      </w:r>
      <w:r>
        <w:rPr>
          <w:color w:val="231F20"/>
          <w:spacing w:val="-24"/>
          <w:w w:val="105"/>
        </w:rPr>
        <w:t> </w:t>
      </w:r>
      <w:r>
        <w:rPr>
          <w:color w:val="231F20"/>
          <w:w w:val="105"/>
        </w:rPr>
        <w:t>una “contro-modernizzazione”</w:t>
      </w:r>
      <w:r>
        <w:rPr>
          <w:color w:val="231F20"/>
          <w:spacing w:val="-50"/>
          <w:w w:val="105"/>
        </w:rPr>
        <w:t> </w:t>
      </w:r>
      <w:r>
        <w:rPr>
          <w:color w:val="231F20"/>
          <w:w w:val="105"/>
        </w:rPr>
        <w:t>—indifferente</w:t>
      </w:r>
      <w:r>
        <w:rPr>
          <w:color w:val="231F20"/>
          <w:spacing w:val="-50"/>
          <w:w w:val="105"/>
        </w:rPr>
        <w:t> </w:t>
      </w:r>
      <w:r>
        <w:rPr>
          <w:color w:val="231F20"/>
          <w:w w:val="105"/>
        </w:rPr>
        <w:t>cioè</w:t>
      </w:r>
      <w:r>
        <w:rPr>
          <w:color w:val="231F20"/>
          <w:spacing w:val="-50"/>
          <w:w w:val="105"/>
        </w:rPr>
        <w:t> </w:t>
      </w:r>
      <w:r>
        <w:rPr>
          <w:color w:val="231F20"/>
          <w:w w:val="105"/>
        </w:rPr>
        <w:t>alla</w:t>
      </w:r>
      <w:r>
        <w:rPr>
          <w:color w:val="231F20"/>
          <w:spacing w:val="-50"/>
          <w:w w:val="105"/>
        </w:rPr>
        <w:t> </w:t>
      </w:r>
      <w:r>
        <w:rPr>
          <w:color w:val="231F20"/>
          <w:w w:val="105"/>
        </w:rPr>
        <w:t>costituzione</w:t>
      </w:r>
      <w:r>
        <w:rPr>
          <w:color w:val="231F20"/>
          <w:spacing w:val="-50"/>
          <w:w w:val="105"/>
        </w:rPr>
        <w:t> </w:t>
      </w:r>
      <w:r>
        <w:rPr>
          <w:color w:val="231F20"/>
          <w:w w:val="105"/>
        </w:rPr>
        <w:t>sociale</w:t>
      </w:r>
      <w:r>
        <w:rPr>
          <w:color w:val="231F20"/>
          <w:spacing w:val="-50"/>
          <w:w w:val="105"/>
        </w:rPr>
        <w:t> </w:t>
      </w:r>
      <w:r>
        <w:rPr>
          <w:color w:val="231F20"/>
          <w:w w:val="105"/>
        </w:rPr>
        <w:t>e</w:t>
      </w:r>
      <w:r>
        <w:rPr>
          <w:color w:val="231F20"/>
          <w:spacing w:val="-50"/>
          <w:w w:val="105"/>
        </w:rPr>
        <w:t> </w:t>
      </w:r>
      <w:r>
        <w:rPr>
          <w:color w:val="231F20"/>
          <w:w w:val="105"/>
        </w:rPr>
        <w:t>alla forma</w:t>
      </w:r>
      <w:r>
        <w:rPr>
          <w:color w:val="231F20"/>
          <w:spacing w:val="-31"/>
          <w:w w:val="105"/>
        </w:rPr>
        <w:t> </w:t>
      </w:r>
      <w:r>
        <w:rPr>
          <w:color w:val="231F20"/>
          <w:w w:val="105"/>
        </w:rPr>
        <w:t>politica—</w:t>
      </w:r>
      <w:r>
        <w:rPr>
          <w:color w:val="231F20"/>
          <w:spacing w:val="-31"/>
          <w:w w:val="105"/>
        </w:rPr>
        <w:t> </w:t>
      </w:r>
      <w:r>
        <w:rPr>
          <w:color w:val="231F20"/>
          <w:w w:val="105"/>
        </w:rPr>
        <w:t>allora</w:t>
      </w:r>
      <w:r>
        <w:rPr>
          <w:color w:val="231F20"/>
          <w:spacing w:val="-31"/>
          <w:w w:val="105"/>
        </w:rPr>
        <w:t> </w:t>
      </w:r>
      <w:r>
        <w:rPr>
          <w:color w:val="231F20"/>
          <w:w w:val="105"/>
        </w:rPr>
        <w:t>si</w:t>
      </w:r>
      <w:r>
        <w:rPr>
          <w:color w:val="231F20"/>
          <w:spacing w:val="-31"/>
          <w:w w:val="105"/>
        </w:rPr>
        <w:t> </w:t>
      </w:r>
      <w:r>
        <w:rPr>
          <w:color w:val="231F20"/>
          <w:w w:val="105"/>
        </w:rPr>
        <w:t>può</w:t>
      </w:r>
      <w:r>
        <w:rPr>
          <w:color w:val="231F20"/>
          <w:spacing w:val="-31"/>
          <w:w w:val="105"/>
        </w:rPr>
        <w:t> </w:t>
      </w:r>
      <w:r>
        <w:rPr>
          <w:color w:val="231F20"/>
          <w:w w:val="105"/>
        </w:rPr>
        <w:t>spiegare</w:t>
      </w:r>
      <w:r>
        <w:rPr>
          <w:color w:val="231F20"/>
          <w:spacing w:val="-31"/>
          <w:w w:val="105"/>
        </w:rPr>
        <w:t> </w:t>
      </w:r>
      <w:r>
        <w:rPr>
          <w:color w:val="231F20"/>
          <w:w w:val="105"/>
        </w:rPr>
        <w:t>la</w:t>
      </w:r>
      <w:r>
        <w:rPr>
          <w:color w:val="231F20"/>
          <w:spacing w:val="-31"/>
          <w:w w:val="105"/>
        </w:rPr>
        <w:t> </w:t>
      </w:r>
      <w:r>
        <w:rPr>
          <w:color w:val="231F20"/>
          <w:w w:val="105"/>
        </w:rPr>
        <w:t>sua</w:t>
      </w:r>
      <w:r>
        <w:rPr>
          <w:color w:val="231F20"/>
          <w:spacing w:val="-31"/>
          <w:w w:val="105"/>
        </w:rPr>
        <w:t> </w:t>
      </w:r>
      <w:r>
        <w:rPr>
          <w:color w:val="231F20"/>
          <w:w w:val="105"/>
        </w:rPr>
        <w:t>fortuna</w:t>
      </w:r>
      <w:r>
        <w:rPr>
          <w:color w:val="231F20"/>
          <w:spacing w:val="-31"/>
          <w:w w:val="105"/>
        </w:rPr>
        <w:t> </w:t>
      </w:r>
      <w:r>
        <w:rPr>
          <w:color w:val="231F20"/>
          <w:w w:val="105"/>
        </w:rPr>
        <w:t>culturale</w:t>
      </w:r>
      <w:r>
        <w:rPr>
          <w:color w:val="231F20"/>
          <w:spacing w:val="-31"/>
          <w:w w:val="105"/>
        </w:rPr>
        <w:t> </w:t>
      </w:r>
      <w:r>
        <w:rPr>
          <w:color w:val="231F20"/>
          <w:w w:val="105"/>
        </w:rPr>
        <w:t>in</w:t>
      </w:r>
      <w:r>
        <w:rPr>
          <w:color w:val="231F20"/>
          <w:spacing w:val="-31"/>
          <w:w w:val="105"/>
        </w:rPr>
        <w:t> </w:t>
      </w:r>
      <w:r>
        <w:rPr>
          <w:color w:val="231F20"/>
          <w:w w:val="105"/>
        </w:rPr>
        <w:t>molti</w:t>
      </w:r>
      <w:r>
        <w:rPr>
          <w:color w:val="231F20"/>
          <w:spacing w:val="-31"/>
          <w:w w:val="105"/>
        </w:rPr>
        <w:t> </w:t>
      </w:r>
      <w:r>
        <w:rPr>
          <w:color w:val="231F20"/>
          <w:w w:val="105"/>
        </w:rPr>
        <w:t>Stati postcoloniali,</w:t>
      </w:r>
      <w:r>
        <w:rPr>
          <w:color w:val="231F20"/>
          <w:spacing w:val="-51"/>
          <w:w w:val="105"/>
        </w:rPr>
        <w:t> </w:t>
      </w:r>
      <w:r>
        <w:rPr>
          <w:color w:val="231F20"/>
          <w:w w:val="105"/>
        </w:rPr>
        <w:t>nonostante</w:t>
      </w:r>
      <w:r>
        <w:rPr>
          <w:color w:val="231F20"/>
          <w:spacing w:val="-51"/>
          <w:w w:val="105"/>
        </w:rPr>
        <w:t> </w:t>
      </w:r>
      <w:r>
        <w:rPr>
          <w:color w:val="231F20"/>
          <w:w w:val="105"/>
        </w:rPr>
        <w:t>essi</w:t>
      </w:r>
      <w:r>
        <w:rPr>
          <w:color w:val="231F20"/>
          <w:spacing w:val="-51"/>
          <w:w w:val="105"/>
        </w:rPr>
        <w:t> </w:t>
      </w:r>
      <w:r>
        <w:rPr>
          <w:color w:val="231F20"/>
          <w:w w:val="105"/>
        </w:rPr>
        <w:t>non</w:t>
      </w:r>
      <w:r>
        <w:rPr>
          <w:color w:val="231F20"/>
          <w:spacing w:val="-51"/>
          <w:w w:val="105"/>
        </w:rPr>
        <w:t> </w:t>
      </w:r>
      <w:r>
        <w:rPr>
          <w:color w:val="231F20"/>
          <w:w w:val="105"/>
        </w:rPr>
        <w:t>abbiamo</w:t>
      </w:r>
      <w:r>
        <w:rPr>
          <w:color w:val="231F20"/>
          <w:spacing w:val="-51"/>
          <w:w w:val="105"/>
        </w:rPr>
        <w:t> </w:t>
      </w:r>
      <w:r>
        <w:rPr>
          <w:color w:val="231F20"/>
          <w:w w:val="105"/>
        </w:rPr>
        <w:t>replicato</w:t>
      </w:r>
      <w:r>
        <w:rPr>
          <w:color w:val="231F20"/>
          <w:spacing w:val="-51"/>
          <w:w w:val="105"/>
        </w:rPr>
        <w:t> </w:t>
      </w:r>
      <w:r>
        <w:rPr>
          <w:color w:val="231F20"/>
          <w:w w:val="105"/>
        </w:rPr>
        <w:t>né</w:t>
      </w:r>
      <w:r>
        <w:rPr>
          <w:color w:val="231F20"/>
          <w:spacing w:val="-51"/>
          <w:w w:val="105"/>
        </w:rPr>
        <w:t> </w:t>
      </w:r>
      <w:r>
        <w:rPr>
          <w:color w:val="231F20"/>
          <w:w w:val="105"/>
        </w:rPr>
        <w:t>la</w:t>
      </w:r>
      <w:r>
        <w:rPr>
          <w:color w:val="231F20"/>
          <w:spacing w:val="-51"/>
          <w:w w:val="105"/>
        </w:rPr>
        <w:t> </w:t>
      </w:r>
      <w:r>
        <w:rPr>
          <w:color w:val="231F20"/>
          <w:w w:val="105"/>
        </w:rPr>
        <w:t>razionalizzazione dell’amministrazione</w:t>
      </w:r>
      <w:r>
        <w:rPr>
          <w:color w:val="231F20"/>
          <w:spacing w:val="-19"/>
          <w:w w:val="105"/>
        </w:rPr>
        <w:t> </w:t>
      </w:r>
      <w:r>
        <w:rPr>
          <w:color w:val="231F20"/>
          <w:w w:val="105"/>
        </w:rPr>
        <w:t>né</w:t>
      </w:r>
      <w:r>
        <w:rPr>
          <w:color w:val="231F20"/>
          <w:spacing w:val="-19"/>
          <w:w w:val="105"/>
        </w:rPr>
        <w:t> </w:t>
      </w:r>
      <w:r>
        <w:rPr>
          <w:color w:val="231F20"/>
          <w:w w:val="105"/>
        </w:rPr>
        <w:t>quella</w:t>
      </w:r>
      <w:r>
        <w:rPr>
          <w:color w:val="231F20"/>
          <w:spacing w:val="-19"/>
          <w:w w:val="105"/>
        </w:rPr>
        <w:t> </w:t>
      </w:r>
      <w:r>
        <w:rPr>
          <w:color w:val="231F20"/>
          <w:w w:val="105"/>
        </w:rPr>
        <w:t>della</w:t>
      </w:r>
      <w:r>
        <w:rPr>
          <w:color w:val="231F20"/>
          <w:spacing w:val="-19"/>
          <w:w w:val="105"/>
        </w:rPr>
        <w:t> </w:t>
      </w:r>
      <w:r>
        <w:rPr>
          <w:color w:val="231F20"/>
          <w:w w:val="105"/>
        </w:rPr>
        <w:t>società</w:t>
      </w:r>
      <w:r>
        <w:rPr>
          <w:color w:val="231F20"/>
          <w:w w:val="105"/>
          <w:position w:val="7"/>
          <w:sz w:val="12"/>
        </w:rPr>
        <w:t>66</w:t>
      </w:r>
      <w:r>
        <w:rPr>
          <w:color w:val="231F20"/>
          <w:w w:val="105"/>
        </w:rPr>
        <w:t>.</w:t>
      </w:r>
      <w:r>
        <w:rPr>
          <w:color w:val="231F20"/>
          <w:spacing w:val="-19"/>
          <w:w w:val="105"/>
        </w:rPr>
        <w:t> </w:t>
      </w:r>
      <w:r>
        <w:rPr>
          <w:color w:val="231F20"/>
          <w:w w:val="105"/>
        </w:rPr>
        <w:t>La</w:t>
      </w:r>
      <w:r>
        <w:rPr>
          <w:color w:val="231F20"/>
          <w:spacing w:val="-19"/>
          <w:w w:val="105"/>
        </w:rPr>
        <w:t> </w:t>
      </w:r>
      <w:r>
        <w:rPr>
          <w:color w:val="231F20"/>
          <w:w w:val="105"/>
        </w:rPr>
        <w:t>riproduzione</w:t>
      </w:r>
      <w:r>
        <w:rPr>
          <w:color w:val="231F20"/>
          <w:spacing w:val="-19"/>
          <w:w w:val="105"/>
        </w:rPr>
        <w:t> </w:t>
      </w:r>
      <w:r>
        <w:rPr>
          <w:color w:val="231F20"/>
          <w:w w:val="105"/>
        </w:rPr>
        <w:t>dello</w:t>
      </w:r>
      <w:r>
        <w:rPr>
          <w:color w:val="231F20"/>
          <w:spacing w:val="-19"/>
          <w:w w:val="105"/>
        </w:rPr>
        <w:t> </w:t>
      </w:r>
      <w:r>
        <w:rPr>
          <w:color w:val="231F20"/>
          <w:w w:val="105"/>
        </w:rPr>
        <w:t>Stato e</w:t>
      </w:r>
      <w:r>
        <w:rPr>
          <w:color w:val="231F20"/>
          <w:spacing w:val="-8"/>
          <w:w w:val="105"/>
        </w:rPr>
        <w:t> </w:t>
      </w:r>
      <w:r>
        <w:rPr>
          <w:color w:val="231F20"/>
          <w:w w:val="105"/>
        </w:rPr>
        <w:t>della</w:t>
      </w:r>
      <w:r>
        <w:rPr>
          <w:color w:val="231F20"/>
          <w:spacing w:val="-8"/>
          <w:w w:val="105"/>
        </w:rPr>
        <w:t> </w:t>
      </w:r>
      <w:r>
        <w:rPr>
          <w:color w:val="231F20"/>
          <w:w w:val="105"/>
        </w:rPr>
        <w:t>sua</w:t>
      </w:r>
      <w:r>
        <w:rPr>
          <w:color w:val="231F20"/>
          <w:spacing w:val="-8"/>
          <w:w w:val="105"/>
        </w:rPr>
        <w:t> </w:t>
      </w:r>
      <w:r>
        <w:rPr>
          <w:color w:val="231F20"/>
          <w:w w:val="105"/>
        </w:rPr>
        <w:t>legittimità</w:t>
      </w:r>
      <w:r>
        <w:rPr>
          <w:color w:val="231F20"/>
          <w:spacing w:val="-8"/>
          <w:w w:val="105"/>
        </w:rPr>
        <w:t> </w:t>
      </w:r>
      <w:r>
        <w:rPr>
          <w:color w:val="231F20"/>
          <w:w w:val="105"/>
        </w:rPr>
        <w:t>viene</w:t>
      </w:r>
      <w:r>
        <w:rPr>
          <w:color w:val="231F20"/>
          <w:spacing w:val="-8"/>
          <w:w w:val="105"/>
        </w:rPr>
        <w:t> </w:t>
      </w:r>
      <w:r>
        <w:rPr>
          <w:color w:val="231F20"/>
          <w:w w:val="105"/>
        </w:rPr>
        <w:t>messa</w:t>
      </w:r>
      <w:r>
        <w:rPr>
          <w:color w:val="231F20"/>
          <w:spacing w:val="-8"/>
          <w:w w:val="105"/>
        </w:rPr>
        <w:t> </w:t>
      </w:r>
      <w:r>
        <w:rPr>
          <w:color w:val="231F20"/>
          <w:w w:val="105"/>
        </w:rPr>
        <w:t>significativamente</w:t>
      </w:r>
      <w:r>
        <w:rPr>
          <w:color w:val="231F20"/>
          <w:spacing w:val="-8"/>
          <w:w w:val="105"/>
        </w:rPr>
        <w:t> </w:t>
      </w:r>
      <w:r>
        <w:rPr>
          <w:color w:val="231F20"/>
          <w:w w:val="105"/>
        </w:rPr>
        <w:t>in</w:t>
      </w:r>
      <w:r>
        <w:rPr>
          <w:color w:val="231F20"/>
          <w:spacing w:val="-8"/>
          <w:w w:val="105"/>
        </w:rPr>
        <w:t> </w:t>
      </w:r>
      <w:r>
        <w:rPr>
          <w:color w:val="231F20"/>
          <w:w w:val="105"/>
        </w:rPr>
        <w:t>discussione</w:t>
      </w:r>
      <w:r>
        <w:rPr>
          <w:color w:val="231F20"/>
          <w:spacing w:val="-8"/>
          <w:w w:val="105"/>
        </w:rPr>
        <w:t> </w:t>
      </w:r>
      <w:r>
        <w:rPr>
          <w:color w:val="231F20"/>
          <w:w w:val="105"/>
        </w:rPr>
        <w:t>se</w:t>
      </w:r>
      <w:r>
        <w:rPr>
          <w:color w:val="231F20"/>
          <w:spacing w:val="-8"/>
          <w:w w:val="105"/>
        </w:rPr>
        <w:t> </w:t>
      </w:r>
      <w:r>
        <w:rPr>
          <w:color w:val="231F20"/>
          <w:w w:val="105"/>
        </w:rPr>
        <w:t>i cittadini/soggetti</w:t>
      </w:r>
      <w:r>
        <w:rPr>
          <w:color w:val="231F20"/>
          <w:spacing w:val="-20"/>
          <w:w w:val="105"/>
        </w:rPr>
        <w:t> </w:t>
      </w:r>
      <w:r>
        <w:rPr>
          <w:color w:val="231F20"/>
          <w:w w:val="105"/>
        </w:rPr>
        <w:t>percepiscono</w:t>
      </w:r>
      <w:r>
        <w:rPr>
          <w:color w:val="231F20"/>
          <w:spacing w:val="-20"/>
          <w:w w:val="105"/>
        </w:rPr>
        <w:t> </w:t>
      </w:r>
      <w:r>
        <w:rPr>
          <w:color w:val="231F20"/>
          <w:w w:val="105"/>
        </w:rPr>
        <w:t>in</w:t>
      </w:r>
      <w:r>
        <w:rPr>
          <w:color w:val="231F20"/>
          <w:spacing w:val="-20"/>
          <w:w w:val="105"/>
        </w:rPr>
        <w:t> </w:t>
      </w:r>
      <w:r>
        <w:rPr>
          <w:color w:val="231F20"/>
          <w:w w:val="105"/>
        </w:rPr>
        <w:t>maniera</w:t>
      </w:r>
      <w:r>
        <w:rPr>
          <w:color w:val="231F20"/>
          <w:spacing w:val="-21"/>
          <w:w w:val="105"/>
        </w:rPr>
        <w:t> </w:t>
      </w:r>
      <w:r>
        <w:rPr>
          <w:color w:val="231F20"/>
          <w:w w:val="105"/>
        </w:rPr>
        <w:t>altamente</w:t>
      </w:r>
      <w:r>
        <w:rPr>
          <w:color w:val="231F20"/>
          <w:spacing w:val="-20"/>
          <w:w w:val="105"/>
        </w:rPr>
        <w:t> </w:t>
      </w:r>
      <w:r>
        <w:rPr>
          <w:color w:val="231F20"/>
          <w:w w:val="105"/>
        </w:rPr>
        <w:t>differenziata</w:t>
      </w:r>
      <w:r>
        <w:rPr>
          <w:color w:val="231F20"/>
          <w:spacing w:val="-21"/>
          <w:w w:val="105"/>
        </w:rPr>
        <w:t> </w:t>
      </w:r>
      <w:r>
        <w:rPr>
          <w:color w:val="231F20"/>
          <w:w w:val="105"/>
        </w:rPr>
        <w:t>l’agire </w:t>
      </w:r>
      <w:r>
        <w:rPr>
          <w:color w:val="231F20"/>
          <w:spacing w:val="3"/>
          <w:w w:val="105"/>
        </w:rPr>
        <w:t>burocratico. </w:t>
      </w:r>
      <w:r>
        <w:rPr>
          <w:color w:val="231F20"/>
          <w:w w:val="105"/>
        </w:rPr>
        <w:t>La </w:t>
      </w:r>
      <w:r>
        <w:rPr>
          <w:color w:val="231F20"/>
          <w:spacing w:val="3"/>
          <w:w w:val="105"/>
        </w:rPr>
        <w:t>rinuncia </w:t>
      </w:r>
      <w:r>
        <w:rPr>
          <w:color w:val="231F20"/>
          <w:w w:val="105"/>
        </w:rPr>
        <w:t>o </w:t>
      </w:r>
      <w:r>
        <w:rPr>
          <w:color w:val="231F20"/>
          <w:spacing w:val="3"/>
          <w:w w:val="105"/>
        </w:rPr>
        <w:t>forse l’impossibilità dell’universalismo </w:t>
      </w:r>
      <w:r>
        <w:rPr>
          <w:color w:val="231F20"/>
          <w:w w:val="105"/>
        </w:rPr>
        <w:t>apre o forse obbliga la strada a una gestione amministrativa dei conflitti,</w:t>
      </w:r>
      <w:r>
        <w:rPr>
          <w:color w:val="231F20"/>
          <w:spacing w:val="-46"/>
          <w:w w:val="105"/>
        </w:rPr>
        <w:t> </w:t>
      </w:r>
      <w:r>
        <w:rPr>
          <w:color w:val="231F20"/>
          <w:w w:val="105"/>
        </w:rPr>
        <w:t>ma </w:t>
      </w:r>
      <w:r>
        <w:rPr>
          <w:color w:val="231F20"/>
          <w:spacing w:val="-3"/>
          <w:w w:val="105"/>
        </w:rPr>
        <w:t>soprattutto</w:t>
      </w:r>
      <w:r>
        <w:rPr>
          <w:color w:val="231F20"/>
          <w:spacing w:val="-44"/>
          <w:w w:val="105"/>
        </w:rPr>
        <w:t> </w:t>
      </w:r>
      <w:r>
        <w:rPr>
          <w:color w:val="231F20"/>
          <w:w w:val="105"/>
        </w:rPr>
        <w:t>dei</w:t>
      </w:r>
      <w:r>
        <w:rPr>
          <w:color w:val="231F20"/>
          <w:spacing w:val="-44"/>
          <w:w w:val="105"/>
        </w:rPr>
        <w:t> </w:t>
      </w:r>
      <w:r>
        <w:rPr>
          <w:color w:val="231F20"/>
          <w:spacing w:val="-3"/>
          <w:w w:val="105"/>
        </w:rPr>
        <w:t>diritti.</w:t>
      </w:r>
      <w:r>
        <w:rPr>
          <w:color w:val="231F20"/>
          <w:spacing w:val="-44"/>
          <w:w w:val="105"/>
        </w:rPr>
        <w:t> </w:t>
      </w:r>
      <w:r>
        <w:rPr>
          <w:color w:val="231F20"/>
          <w:spacing w:val="-3"/>
          <w:w w:val="105"/>
        </w:rPr>
        <w:t>Questi</w:t>
      </w:r>
      <w:r>
        <w:rPr>
          <w:color w:val="231F20"/>
          <w:spacing w:val="-44"/>
          <w:w w:val="105"/>
        </w:rPr>
        <w:t> </w:t>
      </w:r>
      <w:r>
        <w:rPr>
          <w:color w:val="231F20"/>
          <w:spacing w:val="-3"/>
          <w:w w:val="105"/>
        </w:rPr>
        <w:t>ultimi</w:t>
      </w:r>
      <w:r>
        <w:rPr>
          <w:color w:val="231F20"/>
          <w:spacing w:val="-44"/>
          <w:w w:val="105"/>
        </w:rPr>
        <w:t> </w:t>
      </w:r>
      <w:r>
        <w:rPr>
          <w:color w:val="231F20"/>
          <w:spacing w:val="-3"/>
          <w:w w:val="105"/>
        </w:rPr>
        <w:t>vengono</w:t>
      </w:r>
      <w:r>
        <w:rPr>
          <w:color w:val="231F20"/>
          <w:spacing w:val="-44"/>
          <w:w w:val="105"/>
        </w:rPr>
        <w:t> </w:t>
      </w:r>
      <w:r>
        <w:rPr>
          <w:color w:val="231F20"/>
          <w:spacing w:val="-4"/>
          <w:w w:val="105"/>
        </w:rPr>
        <w:t>progressivamente</w:t>
      </w:r>
      <w:r>
        <w:rPr>
          <w:color w:val="231F20"/>
          <w:spacing w:val="-44"/>
          <w:w w:val="105"/>
        </w:rPr>
        <w:t> </w:t>
      </w:r>
      <w:r>
        <w:rPr>
          <w:color w:val="231F20"/>
          <w:spacing w:val="-3"/>
          <w:w w:val="105"/>
        </w:rPr>
        <w:t>ridotti</w:t>
      </w:r>
      <w:r>
        <w:rPr>
          <w:color w:val="231F20"/>
          <w:spacing w:val="-44"/>
          <w:w w:val="105"/>
        </w:rPr>
        <w:t> </w:t>
      </w:r>
      <w:r>
        <w:rPr>
          <w:color w:val="231F20"/>
          <w:spacing w:val="-3"/>
          <w:w w:val="105"/>
        </w:rPr>
        <w:t>alla</w:t>
      </w:r>
      <w:r>
        <w:rPr>
          <w:color w:val="231F20"/>
          <w:spacing w:val="-44"/>
          <w:w w:val="105"/>
        </w:rPr>
        <w:t> </w:t>
      </w:r>
      <w:r>
        <w:rPr>
          <w:color w:val="231F20"/>
          <w:spacing w:val="-4"/>
          <w:w w:val="105"/>
        </w:rPr>
        <w:t>loro </w:t>
      </w:r>
      <w:r>
        <w:rPr>
          <w:color w:val="231F20"/>
          <w:w w:val="105"/>
        </w:rPr>
        <w:t>dimensione</w:t>
      </w:r>
      <w:r>
        <w:rPr>
          <w:color w:val="231F20"/>
          <w:spacing w:val="-45"/>
          <w:w w:val="105"/>
        </w:rPr>
        <w:t> </w:t>
      </w:r>
      <w:r>
        <w:rPr>
          <w:color w:val="231F20"/>
          <w:w w:val="105"/>
        </w:rPr>
        <w:t>civile</w:t>
      </w:r>
      <w:r>
        <w:rPr>
          <w:color w:val="231F20"/>
          <w:spacing w:val="-45"/>
          <w:w w:val="105"/>
        </w:rPr>
        <w:t> </w:t>
      </w:r>
      <w:r>
        <w:rPr>
          <w:color w:val="231F20"/>
          <w:w w:val="105"/>
        </w:rPr>
        <w:t>e</w:t>
      </w:r>
      <w:r>
        <w:rPr>
          <w:color w:val="231F20"/>
          <w:spacing w:val="-45"/>
          <w:w w:val="105"/>
        </w:rPr>
        <w:t> </w:t>
      </w:r>
      <w:r>
        <w:rPr>
          <w:color w:val="231F20"/>
          <w:w w:val="105"/>
        </w:rPr>
        <w:t>politica,</w:t>
      </w:r>
      <w:r>
        <w:rPr>
          <w:color w:val="231F20"/>
          <w:spacing w:val="-45"/>
          <w:w w:val="105"/>
        </w:rPr>
        <w:t> </w:t>
      </w:r>
      <w:r>
        <w:rPr>
          <w:color w:val="231F20"/>
          <w:w w:val="105"/>
        </w:rPr>
        <w:t>per</w:t>
      </w:r>
      <w:r>
        <w:rPr>
          <w:color w:val="231F20"/>
          <w:spacing w:val="-45"/>
          <w:w w:val="105"/>
        </w:rPr>
        <w:t> </w:t>
      </w:r>
      <w:r>
        <w:rPr>
          <w:color w:val="231F20"/>
          <w:w w:val="105"/>
        </w:rPr>
        <w:t>dirla</w:t>
      </w:r>
      <w:r>
        <w:rPr>
          <w:color w:val="231F20"/>
          <w:spacing w:val="-45"/>
          <w:w w:val="105"/>
        </w:rPr>
        <w:t> </w:t>
      </w:r>
      <w:r>
        <w:rPr>
          <w:color w:val="231F20"/>
          <w:w w:val="105"/>
        </w:rPr>
        <w:t>con</w:t>
      </w:r>
      <w:r>
        <w:rPr>
          <w:color w:val="231F20"/>
          <w:spacing w:val="-45"/>
          <w:w w:val="105"/>
        </w:rPr>
        <w:t> </w:t>
      </w:r>
      <w:r>
        <w:rPr>
          <w:color w:val="231F20"/>
          <w:w w:val="105"/>
        </w:rPr>
        <w:t>Thomas</w:t>
      </w:r>
      <w:r>
        <w:rPr>
          <w:color w:val="231F20"/>
          <w:spacing w:val="-45"/>
          <w:w w:val="105"/>
        </w:rPr>
        <w:t> </w:t>
      </w:r>
      <w:r>
        <w:rPr>
          <w:color w:val="231F20"/>
          <w:w w:val="105"/>
        </w:rPr>
        <w:t>H.</w:t>
      </w:r>
      <w:r>
        <w:rPr>
          <w:color w:val="231F20"/>
          <w:spacing w:val="-45"/>
          <w:w w:val="105"/>
        </w:rPr>
        <w:t> </w:t>
      </w:r>
      <w:r>
        <w:rPr>
          <w:color w:val="231F20"/>
          <w:w w:val="105"/>
        </w:rPr>
        <w:t>Marshall,</w:t>
      </w:r>
      <w:r>
        <w:rPr>
          <w:color w:val="231F20"/>
          <w:spacing w:val="-45"/>
          <w:w w:val="105"/>
        </w:rPr>
        <w:t> </w:t>
      </w:r>
      <w:r>
        <w:rPr>
          <w:color w:val="231F20"/>
          <w:w w:val="105"/>
        </w:rPr>
        <w:t>mentre</w:t>
      </w:r>
      <w:r>
        <w:rPr>
          <w:color w:val="231F20"/>
          <w:spacing w:val="-45"/>
          <w:w w:val="105"/>
        </w:rPr>
        <w:t> </w:t>
      </w:r>
      <w:r>
        <w:rPr>
          <w:color w:val="231F20"/>
          <w:w w:val="105"/>
        </w:rPr>
        <w:t>i</w:t>
      </w:r>
      <w:r>
        <w:rPr>
          <w:color w:val="231F20"/>
          <w:spacing w:val="-45"/>
          <w:w w:val="105"/>
        </w:rPr>
        <w:t> </w:t>
      </w:r>
      <w:r>
        <w:rPr>
          <w:color w:val="231F20"/>
          <w:w w:val="105"/>
        </w:rPr>
        <w:t>diritti sociali</w:t>
      </w:r>
      <w:r>
        <w:rPr>
          <w:color w:val="231F20"/>
          <w:spacing w:val="-23"/>
          <w:w w:val="105"/>
        </w:rPr>
        <w:t> </w:t>
      </w:r>
      <w:r>
        <w:rPr>
          <w:color w:val="231F20"/>
          <w:w w:val="105"/>
        </w:rPr>
        <w:t>non</w:t>
      </w:r>
      <w:r>
        <w:rPr>
          <w:color w:val="231F20"/>
          <w:spacing w:val="-23"/>
          <w:w w:val="105"/>
        </w:rPr>
        <w:t> </w:t>
      </w:r>
      <w:r>
        <w:rPr>
          <w:color w:val="231F20"/>
          <w:w w:val="105"/>
        </w:rPr>
        <w:t>vengono</w:t>
      </w:r>
      <w:r>
        <w:rPr>
          <w:color w:val="231F20"/>
          <w:spacing w:val="-23"/>
          <w:w w:val="105"/>
        </w:rPr>
        <w:t> </w:t>
      </w:r>
      <w:r>
        <w:rPr>
          <w:color w:val="231F20"/>
          <w:w w:val="105"/>
        </w:rPr>
        <w:t>negati</w:t>
      </w:r>
      <w:r>
        <w:rPr>
          <w:color w:val="231F20"/>
          <w:spacing w:val="-23"/>
          <w:w w:val="105"/>
        </w:rPr>
        <w:t> </w:t>
      </w:r>
      <w:r>
        <w:rPr>
          <w:color w:val="231F20"/>
          <w:w w:val="105"/>
        </w:rPr>
        <w:t>in</w:t>
      </w:r>
      <w:r>
        <w:rPr>
          <w:color w:val="231F20"/>
          <w:spacing w:val="-23"/>
          <w:w w:val="105"/>
        </w:rPr>
        <w:t> </w:t>
      </w:r>
      <w:r>
        <w:rPr>
          <w:color w:val="231F20"/>
          <w:w w:val="105"/>
        </w:rPr>
        <w:t>assoluto,</w:t>
      </w:r>
      <w:r>
        <w:rPr>
          <w:color w:val="231F20"/>
          <w:spacing w:val="-23"/>
          <w:w w:val="105"/>
        </w:rPr>
        <w:t> </w:t>
      </w:r>
      <w:r>
        <w:rPr>
          <w:color w:val="231F20"/>
          <w:w w:val="105"/>
        </w:rPr>
        <w:t>ma</w:t>
      </w:r>
      <w:r>
        <w:rPr>
          <w:color w:val="231F20"/>
          <w:spacing w:val="-23"/>
          <w:w w:val="105"/>
        </w:rPr>
        <w:t> </w:t>
      </w:r>
      <w:r>
        <w:rPr>
          <w:color w:val="231F20"/>
          <w:w w:val="105"/>
        </w:rPr>
        <w:t>negoziati</w:t>
      </w:r>
      <w:r>
        <w:rPr>
          <w:color w:val="231F20"/>
          <w:spacing w:val="-23"/>
          <w:w w:val="105"/>
        </w:rPr>
        <w:t> </w:t>
      </w:r>
      <w:r>
        <w:rPr>
          <w:color w:val="231F20"/>
          <w:w w:val="105"/>
        </w:rPr>
        <w:t>in</w:t>
      </w:r>
      <w:r>
        <w:rPr>
          <w:color w:val="231F20"/>
          <w:spacing w:val="-23"/>
          <w:w w:val="105"/>
        </w:rPr>
        <w:t> </w:t>
      </w:r>
      <w:r>
        <w:rPr>
          <w:color w:val="231F20"/>
          <w:w w:val="105"/>
        </w:rPr>
        <w:t>continuazione</w:t>
      </w:r>
      <w:r>
        <w:rPr>
          <w:color w:val="231F20"/>
          <w:spacing w:val="-23"/>
          <w:w w:val="105"/>
        </w:rPr>
        <w:t> </w:t>
      </w:r>
      <w:r>
        <w:rPr>
          <w:color w:val="231F20"/>
          <w:w w:val="105"/>
        </w:rPr>
        <w:t>con differenti</w:t>
      </w:r>
      <w:r>
        <w:rPr>
          <w:color w:val="231F20"/>
          <w:spacing w:val="-44"/>
          <w:w w:val="105"/>
        </w:rPr>
        <w:t> </w:t>
      </w:r>
      <w:r>
        <w:rPr>
          <w:color w:val="231F20"/>
          <w:w w:val="105"/>
        </w:rPr>
        <w:t>gruppi</w:t>
      </w:r>
      <w:r>
        <w:rPr>
          <w:color w:val="231F20"/>
          <w:spacing w:val="-44"/>
          <w:w w:val="105"/>
        </w:rPr>
        <w:t> </w:t>
      </w:r>
      <w:r>
        <w:rPr>
          <w:color w:val="231F20"/>
          <w:w w:val="105"/>
        </w:rPr>
        <w:t>della</w:t>
      </w:r>
      <w:r>
        <w:rPr>
          <w:color w:val="231F20"/>
          <w:spacing w:val="-44"/>
          <w:w w:val="105"/>
        </w:rPr>
        <w:t> </w:t>
      </w:r>
      <w:r>
        <w:rPr>
          <w:color w:val="231F20"/>
          <w:w w:val="105"/>
        </w:rPr>
        <w:t>popolazione.</w:t>
      </w:r>
      <w:r>
        <w:rPr>
          <w:color w:val="231F20"/>
          <w:spacing w:val="-44"/>
          <w:w w:val="105"/>
        </w:rPr>
        <w:t> </w:t>
      </w:r>
      <w:r>
        <w:rPr>
          <w:color w:val="231F20"/>
          <w:w w:val="105"/>
        </w:rPr>
        <w:t>Qui</w:t>
      </w:r>
      <w:r>
        <w:rPr>
          <w:color w:val="231F20"/>
          <w:spacing w:val="-44"/>
          <w:w w:val="105"/>
        </w:rPr>
        <w:t> </w:t>
      </w:r>
      <w:r>
        <w:rPr>
          <w:color w:val="231F20"/>
          <w:w w:val="105"/>
        </w:rPr>
        <w:t>abbiamo</w:t>
      </w:r>
      <w:r>
        <w:rPr>
          <w:color w:val="231F20"/>
          <w:spacing w:val="-44"/>
          <w:w w:val="105"/>
        </w:rPr>
        <w:t> </w:t>
      </w:r>
      <w:r>
        <w:rPr>
          <w:color w:val="231F20"/>
          <w:w w:val="105"/>
        </w:rPr>
        <w:t>una</w:t>
      </w:r>
      <w:r>
        <w:rPr>
          <w:color w:val="231F20"/>
          <w:spacing w:val="-44"/>
          <w:w w:val="105"/>
        </w:rPr>
        <w:t> </w:t>
      </w:r>
      <w:r>
        <w:rPr>
          <w:color w:val="231F20"/>
          <w:w w:val="105"/>
        </w:rPr>
        <w:t>nuova</w:t>
      </w:r>
      <w:r>
        <w:rPr>
          <w:color w:val="231F20"/>
          <w:spacing w:val="-44"/>
          <w:w w:val="105"/>
        </w:rPr>
        <w:t> </w:t>
      </w:r>
      <w:r>
        <w:rPr>
          <w:color w:val="231F20"/>
          <w:w w:val="105"/>
        </w:rPr>
        <w:t>contraddizione perché quello che negli Stati europei si presenta come un processo di dismissione</w:t>
      </w:r>
      <w:r>
        <w:rPr>
          <w:color w:val="231F20"/>
          <w:spacing w:val="-26"/>
          <w:w w:val="105"/>
        </w:rPr>
        <w:t> </w:t>
      </w:r>
      <w:r>
        <w:rPr>
          <w:color w:val="231F20"/>
          <w:w w:val="105"/>
        </w:rPr>
        <w:t>controllata</w:t>
      </w:r>
      <w:r>
        <w:rPr>
          <w:color w:val="231F20"/>
          <w:spacing w:val="-26"/>
          <w:w w:val="105"/>
        </w:rPr>
        <w:t> </w:t>
      </w:r>
      <w:r>
        <w:rPr>
          <w:color w:val="231F20"/>
          <w:w w:val="105"/>
        </w:rPr>
        <w:t>dei</w:t>
      </w:r>
      <w:r>
        <w:rPr>
          <w:color w:val="231F20"/>
          <w:spacing w:val="-26"/>
          <w:w w:val="105"/>
        </w:rPr>
        <w:t> </w:t>
      </w:r>
      <w:r>
        <w:rPr>
          <w:color w:val="231F20"/>
          <w:w w:val="105"/>
        </w:rPr>
        <w:t>diritti,</w:t>
      </w:r>
      <w:r>
        <w:rPr>
          <w:color w:val="231F20"/>
          <w:spacing w:val="-26"/>
          <w:w w:val="105"/>
        </w:rPr>
        <w:t> </w:t>
      </w:r>
      <w:r>
        <w:rPr>
          <w:color w:val="231F20"/>
          <w:w w:val="105"/>
        </w:rPr>
        <w:t>negli</w:t>
      </w:r>
      <w:r>
        <w:rPr>
          <w:color w:val="231F20"/>
          <w:spacing w:val="-26"/>
          <w:w w:val="105"/>
        </w:rPr>
        <w:t> </w:t>
      </w:r>
      <w:r>
        <w:rPr>
          <w:color w:val="231F20"/>
          <w:w w:val="105"/>
        </w:rPr>
        <w:t>Stati</w:t>
      </w:r>
      <w:r>
        <w:rPr>
          <w:color w:val="231F20"/>
          <w:spacing w:val="-26"/>
          <w:w w:val="105"/>
        </w:rPr>
        <w:t> </w:t>
      </w:r>
      <w:r>
        <w:rPr>
          <w:color w:val="231F20"/>
          <w:w w:val="105"/>
        </w:rPr>
        <w:t>postcoloniali</w:t>
      </w:r>
      <w:r>
        <w:rPr>
          <w:color w:val="231F20"/>
          <w:spacing w:val="-26"/>
          <w:w w:val="105"/>
        </w:rPr>
        <w:t> </w:t>
      </w:r>
      <w:r>
        <w:rPr>
          <w:color w:val="231F20"/>
          <w:w w:val="105"/>
        </w:rPr>
        <w:t>si</w:t>
      </w:r>
      <w:r>
        <w:rPr>
          <w:color w:val="231F20"/>
          <w:spacing w:val="-26"/>
          <w:w w:val="105"/>
        </w:rPr>
        <w:t> </w:t>
      </w:r>
      <w:r>
        <w:rPr>
          <w:color w:val="231F20"/>
          <w:w w:val="105"/>
        </w:rPr>
        <w:t>pone</w:t>
      </w:r>
      <w:r>
        <w:rPr>
          <w:color w:val="231F20"/>
          <w:spacing w:val="-26"/>
          <w:w w:val="105"/>
        </w:rPr>
        <w:t> </w:t>
      </w:r>
      <w:r>
        <w:rPr>
          <w:color w:val="231F20"/>
          <w:w w:val="105"/>
        </w:rPr>
        <w:t>come</w:t>
      </w:r>
      <w:r>
        <w:rPr>
          <w:color w:val="231F20"/>
          <w:spacing w:val="-26"/>
          <w:w w:val="105"/>
        </w:rPr>
        <w:t> </w:t>
      </w:r>
      <w:r>
        <w:rPr>
          <w:color w:val="231F20"/>
          <w:w w:val="105"/>
        </w:rPr>
        <w:t>un riconoscimento</w:t>
      </w:r>
      <w:r>
        <w:rPr>
          <w:color w:val="231F20"/>
          <w:spacing w:val="-40"/>
          <w:w w:val="105"/>
        </w:rPr>
        <w:t> </w:t>
      </w:r>
      <w:r>
        <w:rPr>
          <w:color w:val="231F20"/>
          <w:w w:val="105"/>
        </w:rPr>
        <w:t>governato</w:t>
      </w:r>
      <w:r>
        <w:rPr>
          <w:color w:val="231F20"/>
          <w:spacing w:val="-40"/>
          <w:w w:val="105"/>
        </w:rPr>
        <w:t> </w:t>
      </w:r>
      <w:r>
        <w:rPr>
          <w:color w:val="231F20"/>
          <w:w w:val="105"/>
        </w:rPr>
        <w:t>e</w:t>
      </w:r>
      <w:r>
        <w:rPr>
          <w:color w:val="231F20"/>
          <w:spacing w:val="-40"/>
          <w:w w:val="105"/>
        </w:rPr>
        <w:t> </w:t>
      </w:r>
      <w:r>
        <w:rPr>
          <w:color w:val="231F20"/>
          <w:w w:val="105"/>
        </w:rPr>
        <w:t>revocabile</w:t>
      </w:r>
      <w:r>
        <w:rPr>
          <w:color w:val="231F20"/>
          <w:spacing w:val="-40"/>
          <w:w w:val="105"/>
        </w:rPr>
        <w:t> </w:t>
      </w:r>
      <w:r>
        <w:rPr>
          <w:color w:val="231F20"/>
          <w:w w:val="105"/>
        </w:rPr>
        <w:t>di</w:t>
      </w:r>
      <w:r>
        <w:rPr>
          <w:color w:val="231F20"/>
          <w:spacing w:val="-40"/>
          <w:w w:val="105"/>
        </w:rPr>
        <w:t> </w:t>
      </w:r>
      <w:r>
        <w:rPr>
          <w:color w:val="231F20"/>
          <w:w w:val="105"/>
        </w:rPr>
        <w:t>diritti</w:t>
      </w:r>
      <w:r>
        <w:rPr>
          <w:color w:val="231F20"/>
          <w:spacing w:val="-40"/>
          <w:w w:val="105"/>
        </w:rPr>
        <w:t> </w:t>
      </w:r>
      <w:r>
        <w:rPr>
          <w:color w:val="231F20"/>
          <w:w w:val="105"/>
        </w:rPr>
        <w:t>a</w:t>
      </w:r>
      <w:r>
        <w:rPr>
          <w:color w:val="231F20"/>
          <w:spacing w:val="-40"/>
          <w:w w:val="105"/>
        </w:rPr>
        <w:t> </w:t>
      </w:r>
      <w:r>
        <w:rPr>
          <w:color w:val="231F20"/>
          <w:w w:val="105"/>
        </w:rPr>
        <w:t>gruppi</w:t>
      </w:r>
      <w:r>
        <w:rPr>
          <w:color w:val="231F20"/>
          <w:spacing w:val="-40"/>
          <w:w w:val="105"/>
        </w:rPr>
        <w:t> </w:t>
      </w:r>
      <w:r>
        <w:rPr>
          <w:color w:val="231F20"/>
          <w:w w:val="105"/>
        </w:rPr>
        <w:t>della</w:t>
      </w:r>
      <w:r>
        <w:rPr>
          <w:color w:val="231F20"/>
          <w:spacing w:val="-40"/>
          <w:w w:val="105"/>
        </w:rPr>
        <w:t> </w:t>
      </w:r>
      <w:r>
        <w:rPr>
          <w:color w:val="231F20"/>
          <w:w w:val="105"/>
        </w:rPr>
        <w:t>popolazione. Il</w:t>
      </w:r>
      <w:r>
        <w:rPr>
          <w:color w:val="231F20"/>
          <w:spacing w:val="-9"/>
          <w:w w:val="105"/>
        </w:rPr>
        <w:t> </w:t>
      </w:r>
      <w:r>
        <w:rPr>
          <w:color w:val="231F20"/>
          <w:w w:val="105"/>
        </w:rPr>
        <w:t>tratto</w:t>
      </w:r>
      <w:r>
        <w:rPr>
          <w:color w:val="231F20"/>
          <w:spacing w:val="-9"/>
          <w:w w:val="105"/>
        </w:rPr>
        <w:t> </w:t>
      </w:r>
      <w:r>
        <w:rPr>
          <w:color w:val="231F20"/>
          <w:w w:val="105"/>
        </w:rPr>
        <w:t>comune</w:t>
      </w:r>
      <w:r>
        <w:rPr>
          <w:color w:val="231F20"/>
          <w:spacing w:val="-9"/>
          <w:w w:val="105"/>
        </w:rPr>
        <w:t> </w:t>
      </w:r>
      <w:r>
        <w:rPr>
          <w:color w:val="231F20"/>
          <w:w w:val="105"/>
        </w:rPr>
        <w:t>—quello</w:t>
      </w:r>
      <w:r>
        <w:rPr>
          <w:color w:val="231F20"/>
          <w:spacing w:val="-9"/>
          <w:w w:val="105"/>
        </w:rPr>
        <w:t> </w:t>
      </w:r>
      <w:r>
        <w:rPr>
          <w:color w:val="231F20"/>
          <w:w w:val="105"/>
        </w:rPr>
        <w:t>cioè</w:t>
      </w:r>
      <w:r>
        <w:rPr>
          <w:color w:val="231F20"/>
          <w:spacing w:val="-9"/>
          <w:w w:val="105"/>
        </w:rPr>
        <w:t> </w:t>
      </w:r>
      <w:r>
        <w:rPr>
          <w:color w:val="231F20"/>
          <w:w w:val="105"/>
        </w:rPr>
        <w:t>che</w:t>
      </w:r>
      <w:r>
        <w:rPr>
          <w:color w:val="231F20"/>
          <w:spacing w:val="-9"/>
          <w:w w:val="105"/>
        </w:rPr>
        <w:t> </w:t>
      </w:r>
      <w:r>
        <w:rPr>
          <w:color w:val="231F20"/>
          <w:w w:val="105"/>
        </w:rPr>
        <w:t>risulta</w:t>
      </w:r>
      <w:r>
        <w:rPr>
          <w:color w:val="231F20"/>
          <w:spacing w:val="-9"/>
          <w:w w:val="105"/>
        </w:rPr>
        <w:t> </w:t>
      </w:r>
      <w:r>
        <w:rPr>
          <w:color w:val="231F20"/>
          <w:w w:val="105"/>
        </w:rPr>
        <w:t>in</w:t>
      </w:r>
      <w:r>
        <w:rPr>
          <w:color w:val="231F20"/>
          <w:spacing w:val="-9"/>
          <w:w w:val="105"/>
        </w:rPr>
        <w:t> </w:t>
      </w:r>
      <w:r>
        <w:rPr>
          <w:color w:val="231F20"/>
          <w:w w:val="105"/>
        </w:rPr>
        <w:t>definitiva</w:t>
      </w:r>
      <w:r>
        <w:rPr>
          <w:color w:val="231F20"/>
          <w:spacing w:val="-9"/>
          <w:w w:val="105"/>
        </w:rPr>
        <w:t> </w:t>
      </w:r>
      <w:r>
        <w:rPr>
          <w:color w:val="231F20"/>
          <w:w w:val="105"/>
        </w:rPr>
        <w:t>proprio</w:t>
      </w:r>
      <w:r>
        <w:rPr>
          <w:color w:val="231F20"/>
          <w:spacing w:val="-9"/>
          <w:w w:val="105"/>
        </w:rPr>
        <w:t> </w:t>
      </w:r>
      <w:r>
        <w:rPr>
          <w:color w:val="231F20"/>
          <w:w w:val="105"/>
        </w:rPr>
        <w:t>dello</w:t>
      </w:r>
      <w:r>
        <w:rPr>
          <w:color w:val="231F20"/>
          <w:spacing w:val="-9"/>
          <w:w w:val="105"/>
        </w:rPr>
        <w:t> </w:t>
      </w:r>
      <w:r>
        <w:rPr>
          <w:color w:val="231F20"/>
          <w:w w:val="105"/>
        </w:rPr>
        <w:t>Stato globale—</w:t>
      </w:r>
      <w:r>
        <w:rPr>
          <w:color w:val="231F20"/>
          <w:spacing w:val="-9"/>
          <w:w w:val="105"/>
        </w:rPr>
        <w:t> </w:t>
      </w:r>
      <w:r>
        <w:rPr>
          <w:color w:val="231F20"/>
          <w:w w:val="105"/>
        </w:rPr>
        <w:t>è</w:t>
      </w:r>
      <w:r>
        <w:rPr>
          <w:color w:val="231F20"/>
          <w:spacing w:val="-9"/>
          <w:w w:val="105"/>
        </w:rPr>
        <w:t> </w:t>
      </w:r>
      <w:r>
        <w:rPr>
          <w:color w:val="231F20"/>
          <w:w w:val="105"/>
        </w:rPr>
        <w:t>comunque</w:t>
      </w:r>
      <w:r>
        <w:rPr>
          <w:color w:val="231F20"/>
          <w:spacing w:val="-9"/>
          <w:w w:val="105"/>
        </w:rPr>
        <w:t> </w:t>
      </w:r>
      <w:r>
        <w:rPr>
          <w:color w:val="231F20"/>
          <w:w w:val="105"/>
        </w:rPr>
        <w:t>rappresentato</w:t>
      </w:r>
      <w:r>
        <w:rPr>
          <w:color w:val="231F20"/>
          <w:spacing w:val="-9"/>
          <w:w w:val="105"/>
        </w:rPr>
        <w:t> </w:t>
      </w:r>
      <w:r>
        <w:rPr>
          <w:color w:val="231F20"/>
          <w:w w:val="105"/>
        </w:rPr>
        <w:t>dal</w:t>
      </w:r>
      <w:r>
        <w:rPr>
          <w:color w:val="231F20"/>
          <w:spacing w:val="-9"/>
          <w:w w:val="105"/>
        </w:rPr>
        <w:t> </w:t>
      </w:r>
      <w:r>
        <w:rPr>
          <w:color w:val="231F20"/>
          <w:w w:val="105"/>
        </w:rPr>
        <w:t>fatto</w:t>
      </w:r>
      <w:r>
        <w:rPr>
          <w:color w:val="231F20"/>
          <w:spacing w:val="-9"/>
          <w:w w:val="105"/>
        </w:rPr>
        <w:t> </w:t>
      </w:r>
      <w:r>
        <w:rPr>
          <w:color w:val="231F20"/>
          <w:w w:val="105"/>
        </w:rPr>
        <w:t>che</w:t>
      </w:r>
      <w:r>
        <w:rPr>
          <w:color w:val="231F20"/>
          <w:spacing w:val="-9"/>
          <w:w w:val="105"/>
        </w:rPr>
        <w:t> </w:t>
      </w:r>
      <w:r>
        <w:rPr>
          <w:color w:val="231F20"/>
          <w:w w:val="105"/>
        </w:rPr>
        <w:t>l’amministrazione</w:t>
      </w:r>
      <w:r>
        <w:rPr>
          <w:color w:val="231F20"/>
          <w:spacing w:val="-9"/>
          <w:w w:val="105"/>
        </w:rPr>
        <w:t> </w:t>
      </w:r>
      <w:r>
        <w:rPr>
          <w:color w:val="231F20"/>
          <w:w w:val="105"/>
        </w:rPr>
        <w:t>dei diritti</w:t>
      </w:r>
      <w:r>
        <w:rPr>
          <w:color w:val="231F20"/>
          <w:spacing w:val="-30"/>
          <w:w w:val="105"/>
        </w:rPr>
        <w:t> </w:t>
      </w:r>
      <w:r>
        <w:rPr>
          <w:color w:val="231F20"/>
          <w:w w:val="105"/>
        </w:rPr>
        <w:t>si</w:t>
      </w:r>
      <w:r>
        <w:rPr>
          <w:color w:val="231F20"/>
          <w:spacing w:val="-30"/>
          <w:w w:val="105"/>
        </w:rPr>
        <w:t> </w:t>
      </w:r>
      <w:r>
        <w:rPr>
          <w:color w:val="231F20"/>
          <w:w w:val="105"/>
        </w:rPr>
        <w:t>basa</w:t>
      </w:r>
      <w:r>
        <w:rPr>
          <w:color w:val="231F20"/>
          <w:spacing w:val="-30"/>
          <w:w w:val="105"/>
        </w:rPr>
        <w:t> </w:t>
      </w:r>
      <w:r>
        <w:rPr>
          <w:color w:val="231F20"/>
          <w:w w:val="105"/>
        </w:rPr>
        <w:t>sul</w:t>
      </w:r>
      <w:r>
        <w:rPr>
          <w:color w:val="231F20"/>
          <w:spacing w:val="-30"/>
          <w:w w:val="105"/>
        </w:rPr>
        <w:t> </w:t>
      </w:r>
      <w:r>
        <w:rPr>
          <w:color w:val="231F20"/>
          <w:w w:val="105"/>
        </w:rPr>
        <w:t>riconoscimento</w:t>
      </w:r>
      <w:r>
        <w:rPr>
          <w:color w:val="231F20"/>
          <w:spacing w:val="-30"/>
          <w:w w:val="105"/>
        </w:rPr>
        <w:t> </w:t>
      </w:r>
      <w:r>
        <w:rPr>
          <w:color w:val="231F20"/>
          <w:w w:val="105"/>
        </w:rPr>
        <w:t>che</w:t>
      </w:r>
      <w:r>
        <w:rPr>
          <w:color w:val="231F20"/>
          <w:spacing w:val="-30"/>
          <w:w w:val="105"/>
        </w:rPr>
        <w:t> </w:t>
      </w:r>
      <w:r>
        <w:rPr>
          <w:color w:val="231F20"/>
          <w:w w:val="105"/>
        </w:rPr>
        <w:t>non</w:t>
      </w:r>
      <w:r>
        <w:rPr>
          <w:color w:val="231F20"/>
          <w:spacing w:val="-30"/>
          <w:w w:val="105"/>
        </w:rPr>
        <w:t> </w:t>
      </w:r>
      <w:r>
        <w:rPr>
          <w:color w:val="231F20"/>
          <w:w w:val="105"/>
        </w:rPr>
        <w:t>tutti</w:t>
      </w:r>
      <w:r>
        <w:rPr>
          <w:color w:val="231F20"/>
          <w:spacing w:val="-30"/>
          <w:w w:val="105"/>
        </w:rPr>
        <w:t> </w:t>
      </w:r>
      <w:r>
        <w:rPr>
          <w:color w:val="231F20"/>
          <w:w w:val="105"/>
        </w:rPr>
        <w:t>i</w:t>
      </w:r>
      <w:r>
        <w:rPr>
          <w:color w:val="231F20"/>
          <w:spacing w:val="-30"/>
          <w:w w:val="105"/>
        </w:rPr>
        <w:t> </w:t>
      </w:r>
      <w:r>
        <w:rPr>
          <w:color w:val="231F20"/>
          <w:w w:val="105"/>
        </w:rPr>
        <w:t>cittadini</w:t>
      </w:r>
      <w:r>
        <w:rPr>
          <w:color w:val="231F20"/>
          <w:spacing w:val="-30"/>
          <w:w w:val="105"/>
        </w:rPr>
        <w:t> </w:t>
      </w:r>
      <w:r>
        <w:rPr>
          <w:color w:val="231F20"/>
          <w:w w:val="105"/>
        </w:rPr>
        <w:t>sono</w:t>
      </w:r>
      <w:r>
        <w:rPr>
          <w:color w:val="231F20"/>
          <w:spacing w:val="-30"/>
          <w:w w:val="105"/>
        </w:rPr>
        <w:t> </w:t>
      </w:r>
      <w:r>
        <w:rPr>
          <w:color w:val="231F20"/>
          <w:w w:val="105"/>
        </w:rPr>
        <w:t>uguali.</w:t>
      </w:r>
    </w:p>
    <w:p>
      <w:pPr>
        <w:pStyle w:val="BodyText"/>
        <w:spacing w:line="247" w:lineRule="auto"/>
        <w:ind w:left="117" w:right="123" w:firstLine="566"/>
        <w:jc w:val="both"/>
      </w:pPr>
      <w:r>
        <w:rPr>
          <w:color w:val="231F20"/>
        </w:rPr>
        <w:t>La domanda che si pone è se lo Stato globale può fare a meno di rappresentare l’unità politica del popolo, stabilendo di conseguenza una relazione differente con  la  sua  popolazione. In  questo modo a   essere</w:t>
      </w:r>
    </w:p>
    <w:p>
      <w:pPr>
        <w:pStyle w:val="BodyText"/>
        <w:spacing w:before="2"/>
        <w:rPr>
          <w:sz w:val="26"/>
        </w:rPr>
      </w:pPr>
      <w:r>
        <w:rPr/>
        <w:pict>
          <v:line style="position:absolute;mso-position-horizontal-relative:page;mso-position-vertical-relative:paragraph;z-index:10792;mso-wrap-distance-left:0;mso-wrap-distance-right:0" from="70.866096pt,17.906984pt" to="184.252096pt,17.906984pt" stroked="true" strokeweight=".3pt" strokecolor="#231f20">
            <w10:wrap type="topAndBottom"/>
          </v:line>
        </w:pict>
      </w:r>
    </w:p>
    <w:p>
      <w:pPr>
        <w:spacing w:line="206" w:lineRule="exact" w:before="10"/>
        <w:ind w:left="117" w:right="0" w:firstLine="0"/>
        <w:jc w:val="left"/>
        <w:rPr>
          <w:rFonts w:ascii="Calibri"/>
          <w:sz w:val="17"/>
        </w:rPr>
      </w:pPr>
      <w:r>
        <w:rPr>
          <w:rFonts w:ascii="Calibri"/>
          <w:color w:val="231F20"/>
          <w:position w:val="6"/>
          <w:sz w:val="10"/>
        </w:rPr>
        <w:t>65   </w:t>
      </w:r>
      <w:r>
        <w:rPr>
          <w:rFonts w:ascii="Calibri"/>
          <w:color w:val="231F20"/>
          <w:sz w:val="17"/>
        </w:rPr>
        <w:t>Ph. R.D. Corrigan y D. Sayer, </w:t>
      </w:r>
      <w:r>
        <w:rPr>
          <w:rFonts w:ascii="Calibri"/>
          <w:i/>
          <w:color w:val="231F20"/>
          <w:sz w:val="17"/>
        </w:rPr>
        <w:t>The Great Arch. English State Formation as Cultural Revolution</w:t>
      </w:r>
      <w:r>
        <w:rPr>
          <w:rFonts w:ascii="Calibri"/>
          <w:color w:val="231F20"/>
          <w:sz w:val="17"/>
        </w:rPr>
        <w:t>,</w:t>
      </w:r>
    </w:p>
    <w:p>
      <w:pPr>
        <w:spacing w:line="204" w:lineRule="exact" w:before="0"/>
        <w:ind w:left="117" w:right="0" w:firstLine="0"/>
        <w:jc w:val="left"/>
        <w:rPr>
          <w:rFonts w:ascii="Calibri"/>
          <w:sz w:val="17"/>
        </w:rPr>
      </w:pPr>
      <w:r>
        <w:rPr>
          <w:rFonts w:ascii="Calibri"/>
          <w:color w:val="231F20"/>
          <w:w w:val="105"/>
          <w:sz w:val="17"/>
        </w:rPr>
        <w:t>Oxford, Blackwell, 1985.</w:t>
      </w:r>
    </w:p>
    <w:p>
      <w:pPr>
        <w:spacing w:line="235" w:lineRule="auto" w:before="1"/>
        <w:ind w:left="117" w:right="0" w:firstLine="0"/>
        <w:jc w:val="left"/>
        <w:rPr>
          <w:rFonts w:ascii="Calibri"/>
          <w:sz w:val="17"/>
        </w:rPr>
      </w:pPr>
      <w:r>
        <w:rPr>
          <w:rFonts w:ascii="Calibri"/>
          <w:color w:val="231F20"/>
          <w:w w:val="105"/>
          <w:position w:val="6"/>
          <w:sz w:val="10"/>
        </w:rPr>
        <w:t>66</w:t>
      </w:r>
      <w:r>
        <w:rPr>
          <w:rFonts w:ascii="Calibri"/>
          <w:color w:val="231F20"/>
          <w:spacing w:val="-2"/>
          <w:w w:val="105"/>
          <w:position w:val="6"/>
          <w:sz w:val="10"/>
        </w:rPr>
        <w:t> </w:t>
      </w:r>
      <w:r>
        <w:rPr>
          <w:rFonts w:ascii="Calibri"/>
          <w:color w:val="231F20"/>
          <w:w w:val="105"/>
          <w:sz w:val="17"/>
        </w:rPr>
        <w:t>J.</w:t>
      </w:r>
      <w:r>
        <w:rPr>
          <w:rFonts w:ascii="Calibri"/>
          <w:color w:val="231F20"/>
          <w:spacing w:val="-18"/>
          <w:w w:val="105"/>
          <w:sz w:val="17"/>
        </w:rPr>
        <w:t> </w:t>
      </w:r>
      <w:r>
        <w:rPr>
          <w:rFonts w:ascii="Calibri"/>
          <w:color w:val="231F20"/>
          <w:w w:val="105"/>
          <w:sz w:val="17"/>
        </w:rPr>
        <w:t>C.</w:t>
      </w:r>
      <w:r>
        <w:rPr>
          <w:rFonts w:ascii="Calibri"/>
          <w:color w:val="231F20"/>
          <w:spacing w:val="-18"/>
          <w:w w:val="105"/>
          <w:sz w:val="17"/>
        </w:rPr>
        <w:t> </w:t>
      </w:r>
      <w:r>
        <w:rPr>
          <w:rFonts w:ascii="Calibri"/>
          <w:color w:val="231F20"/>
          <w:w w:val="105"/>
          <w:sz w:val="17"/>
        </w:rPr>
        <w:t>Scott,</w:t>
      </w:r>
      <w:r>
        <w:rPr>
          <w:rFonts w:ascii="Calibri"/>
          <w:color w:val="231F20"/>
          <w:spacing w:val="-18"/>
          <w:w w:val="105"/>
          <w:sz w:val="17"/>
        </w:rPr>
        <w:t> </w:t>
      </w:r>
      <w:r>
        <w:rPr>
          <w:rFonts w:ascii="Calibri"/>
          <w:i/>
          <w:color w:val="231F20"/>
          <w:w w:val="105"/>
          <w:sz w:val="17"/>
        </w:rPr>
        <w:t>Seeing</w:t>
      </w:r>
      <w:r>
        <w:rPr>
          <w:rFonts w:ascii="Calibri"/>
          <w:i/>
          <w:color w:val="231F20"/>
          <w:spacing w:val="-19"/>
          <w:w w:val="105"/>
          <w:sz w:val="17"/>
        </w:rPr>
        <w:t> </w:t>
      </w:r>
      <w:r>
        <w:rPr>
          <w:rFonts w:ascii="Calibri"/>
          <w:i/>
          <w:color w:val="231F20"/>
          <w:w w:val="105"/>
          <w:sz w:val="17"/>
        </w:rPr>
        <w:t>like</w:t>
      </w:r>
      <w:r>
        <w:rPr>
          <w:rFonts w:ascii="Calibri"/>
          <w:i/>
          <w:color w:val="231F20"/>
          <w:spacing w:val="-19"/>
          <w:w w:val="105"/>
          <w:sz w:val="17"/>
        </w:rPr>
        <w:t> </w:t>
      </w:r>
      <w:r>
        <w:rPr>
          <w:rFonts w:ascii="Calibri"/>
          <w:i/>
          <w:color w:val="231F20"/>
          <w:w w:val="105"/>
          <w:sz w:val="17"/>
        </w:rPr>
        <w:t>a</w:t>
      </w:r>
      <w:r>
        <w:rPr>
          <w:rFonts w:ascii="Calibri"/>
          <w:i/>
          <w:color w:val="231F20"/>
          <w:spacing w:val="-19"/>
          <w:w w:val="105"/>
          <w:sz w:val="17"/>
        </w:rPr>
        <w:t> </w:t>
      </w:r>
      <w:r>
        <w:rPr>
          <w:rFonts w:ascii="Calibri"/>
          <w:i/>
          <w:color w:val="231F20"/>
          <w:w w:val="105"/>
          <w:sz w:val="17"/>
        </w:rPr>
        <w:t>State.</w:t>
      </w:r>
      <w:r>
        <w:rPr>
          <w:rFonts w:ascii="Calibri"/>
          <w:i/>
          <w:color w:val="231F20"/>
          <w:spacing w:val="-19"/>
          <w:w w:val="105"/>
          <w:sz w:val="17"/>
        </w:rPr>
        <w:t> </w:t>
      </w:r>
      <w:r>
        <w:rPr>
          <w:rFonts w:ascii="Calibri"/>
          <w:i/>
          <w:color w:val="231F20"/>
          <w:w w:val="105"/>
          <w:sz w:val="17"/>
        </w:rPr>
        <w:t>How</w:t>
      </w:r>
      <w:r>
        <w:rPr>
          <w:rFonts w:ascii="Calibri"/>
          <w:i/>
          <w:color w:val="231F20"/>
          <w:spacing w:val="-19"/>
          <w:w w:val="105"/>
          <w:sz w:val="17"/>
        </w:rPr>
        <w:t> </w:t>
      </w:r>
      <w:r>
        <w:rPr>
          <w:rFonts w:ascii="Calibri"/>
          <w:i/>
          <w:color w:val="231F20"/>
          <w:w w:val="105"/>
          <w:sz w:val="17"/>
        </w:rPr>
        <w:t>Certain</w:t>
      </w:r>
      <w:r>
        <w:rPr>
          <w:rFonts w:ascii="Calibri"/>
          <w:i/>
          <w:color w:val="231F20"/>
          <w:spacing w:val="-19"/>
          <w:w w:val="105"/>
          <w:sz w:val="17"/>
        </w:rPr>
        <w:t> </w:t>
      </w:r>
      <w:r>
        <w:rPr>
          <w:rFonts w:ascii="Calibri"/>
          <w:i/>
          <w:color w:val="231F20"/>
          <w:w w:val="105"/>
          <w:sz w:val="17"/>
        </w:rPr>
        <w:t>Schemes</w:t>
      </w:r>
      <w:r>
        <w:rPr>
          <w:rFonts w:ascii="Calibri"/>
          <w:i/>
          <w:color w:val="231F20"/>
          <w:spacing w:val="-19"/>
          <w:w w:val="105"/>
          <w:sz w:val="17"/>
        </w:rPr>
        <w:t> </w:t>
      </w:r>
      <w:r>
        <w:rPr>
          <w:rFonts w:ascii="Calibri"/>
          <w:i/>
          <w:color w:val="231F20"/>
          <w:w w:val="105"/>
          <w:sz w:val="17"/>
        </w:rPr>
        <w:t>to</w:t>
      </w:r>
      <w:r>
        <w:rPr>
          <w:rFonts w:ascii="Calibri"/>
          <w:i/>
          <w:color w:val="231F20"/>
          <w:spacing w:val="-19"/>
          <w:w w:val="105"/>
          <w:sz w:val="17"/>
        </w:rPr>
        <w:t> </w:t>
      </w:r>
      <w:r>
        <w:rPr>
          <w:rFonts w:ascii="Calibri"/>
          <w:i/>
          <w:color w:val="231F20"/>
          <w:w w:val="105"/>
          <w:sz w:val="17"/>
        </w:rPr>
        <w:t>Improve</w:t>
      </w:r>
      <w:r>
        <w:rPr>
          <w:rFonts w:ascii="Calibri"/>
          <w:i/>
          <w:color w:val="231F20"/>
          <w:spacing w:val="-19"/>
          <w:w w:val="105"/>
          <w:sz w:val="17"/>
        </w:rPr>
        <w:t> </w:t>
      </w:r>
      <w:r>
        <w:rPr>
          <w:rFonts w:ascii="Calibri"/>
          <w:i/>
          <w:color w:val="231F20"/>
          <w:w w:val="105"/>
          <w:sz w:val="17"/>
        </w:rPr>
        <w:t>the</w:t>
      </w:r>
      <w:r>
        <w:rPr>
          <w:rFonts w:ascii="Calibri"/>
          <w:i/>
          <w:color w:val="231F20"/>
          <w:spacing w:val="-19"/>
          <w:w w:val="105"/>
          <w:sz w:val="17"/>
        </w:rPr>
        <w:t> </w:t>
      </w:r>
      <w:r>
        <w:rPr>
          <w:rFonts w:ascii="Calibri"/>
          <w:i/>
          <w:color w:val="231F20"/>
          <w:w w:val="105"/>
          <w:sz w:val="17"/>
        </w:rPr>
        <w:t>Human</w:t>
      </w:r>
      <w:r>
        <w:rPr>
          <w:rFonts w:ascii="Calibri"/>
          <w:i/>
          <w:color w:val="231F20"/>
          <w:spacing w:val="-19"/>
          <w:w w:val="105"/>
          <w:sz w:val="17"/>
        </w:rPr>
        <w:t> </w:t>
      </w:r>
      <w:r>
        <w:rPr>
          <w:rFonts w:ascii="Calibri"/>
          <w:i/>
          <w:color w:val="231F20"/>
          <w:w w:val="105"/>
          <w:sz w:val="17"/>
        </w:rPr>
        <w:t>Condition</w:t>
      </w:r>
      <w:r>
        <w:rPr>
          <w:rFonts w:ascii="Calibri"/>
          <w:i/>
          <w:color w:val="231F20"/>
          <w:spacing w:val="-19"/>
          <w:w w:val="105"/>
          <w:sz w:val="17"/>
        </w:rPr>
        <w:t> </w:t>
      </w:r>
      <w:r>
        <w:rPr>
          <w:rFonts w:ascii="Calibri"/>
          <w:i/>
          <w:color w:val="231F20"/>
          <w:w w:val="105"/>
          <w:sz w:val="17"/>
        </w:rPr>
        <w:t>Have</w:t>
      </w:r>
      <w:r>
        <w:rPr>
          <w:rFonts w:ascii="Calibri"/>
          <w:i/>
          <w:color w:val="231F20"/>
          <w:spacing w:val="-19"/>
          <w:w w:val="105"/>
          <w:sz w:val="17"/>
        </w:rPr>
        <w:t> </w:t>
      </w:r>
      <w:r>
        <w:rPr>
          <w:rFonts w:ascii="Calibri"/>
          <w:i/>
          <w:color w:val="231F20"/>
          <w:w w:val="105"/>
          <w:sz w:val="17"/>
        </w:rPr>
        <w:t>Failed</w:t>
      </w:r>
      <w:r>
        <w:rPr>
          <w:rFonts w:ascii="Calibri"/>
          <w:color w:val="231F20"/>
          <w:w w:val="105"/>
          <w:sz w:val="17"/>
        </w:rPr>
        <w:t>, New</w:t>
      </w:r>
      <w:r>
        <w:rPr>
          <w:rFonts w:ascii="Calibri"/>
          <w:color w:val="231F20"/>
          <w:spacing w:val="-25"/>
          <w:w w:val="105"/>
          <w:sz w:val="17"/>
        </w:rPr>
        <w:t> </w:t>
      </w:r>
      <w:r>
        <w:rPr>
          <w:rFonts w:ascii="Calibri"/>
          <w:color w:val="231F20"/>
          <w:w w:val="105"/>
          <w:sz w:val="17"/>
        </w:rPr>
        <w:t>Haven/London,</w:t>
      </w:r>
      <w:r>
        <w:rPr>
          <w:rFonts w:ascii="Calibri"/>
          <w:color w:val="231F20"/>
          <w:spacing w:val="-28"/>
          <w:w w:val="105"/>
          <w:sz w:val="17"/>
        </w:rPr>
        <w:t> </w:t>
      </w:r>
      <w:r>
        <w:rPr>
          <w:rFonts w:ascii="Calibri"/>
          <w:color w:val="231F20"/>
          <w:spacing w:val="-3"/>
          <w:w w:val="105"/>
          <w:sz w:val="17"/>
        </w:rPr>
        <w:t>Yale</w:t>
      </w:r>
      <w:r>
        <w:rPr>
          <w:rFonts w:ascii="Calibri"/>
          <w:color w:val="231F20"/>
          <w:spacing w:val="-25"/>
          <w:w w:val="105"/>
          <w:sz w:val="17"/>
        </w:rPr>
        <w:t> </w:t>
      </w:r>
      <w:r>
        <w:rPr>
          <w:rFonts w:ascii="Calibri"/>
          <w:color w:val="231F20"/>
          <w:w w:val="105"/>
          <w:sz w:val="17"/>
        </w:rPr>
        <w:t>University</w:t>
      </w:r>
      <w:r>
        <w:rPr>
          <w:rFonts w:ascii="Calibri"/>
          <w:color w:val="231F20"/>
          <w:spacing w:val="-25"/>
          <w:w w:val="105"/>
          <w:sz w:val="17"/>
        </w:rPr>
        <w:t> </w:t>
      </w:r>
      <w:r>
        <w:rPr>
          <w:rFonts w:ascii="Calibri"/>
          <w:color w:val="231F20"/>
          <w:w w:val="105"/>
          <w:sz w:val="17"/>
        </w:rPr>
        <w:t>Press,</w:t>
      </w:r>
      <w:r>
        <w:rPr>
          <w:rFonts w:ascii="Calibri"/>
          <w:color w:val="231F20"/>
          <w:spacing w:val="-25"/>
          <w:w w:val="105"/>
          <w:sz w:val="17"/>
        </w:rPr>
        <w:t> </w:t>
      </w:r>
      <w:r>
        <w:rPr>
          <w:rFonts w:ascii="Calibri"/>
          <w:color w:val="231F20"/>
          <w:w w:val="105"/>
          <w:sz w:val="17"/>
        </w:rPr>
        <w:t>1998.</w:t>
      </w:r>
    </w:p>
    <w:p>
      <w:pPr>
        <w:spacing w:after="0" w:line="235" w:lineRule="auto"/>
        <w:jc w:val="left"/>
        <w:rPr>
          <w:rFonts w:ascii="Calibri"/>
          <w:sz w:val="17"/>
        </w:rPr>
        <w:sectPr>
          <w:pgSz w:w="9640" w:h="13890"/>
          <w:pgMar w:top="0" w:bottom="280" w:left="1300" w:right="1180"/>
        </w:sectPr>
      </w:pPr>
    </w:p>
    <w:p>
      <w:pPr>
        <w:pStyle w:val="BodyText"/>
        <w:spacing w:line="247" w:lineRule="auto" w:before="107"/>
        <w:ind w:left="64" w:right="108"/>
        <w:jc w:val="right"/>
      </w:pPr>
      <w:r>
        <w:rPr>
          <w:color w:val="231F20"/>
          <w:spacing w:val="3"/>
        </w:rPr>
        <w:t>sottoposta </w:t>
      </w:r>
      <w:r>
        <w:rPr>
          <w:color w:val="231F20"/>
        </w:rPr>
        <w:t>a</w:t>
      </w:r>
      <w:r>
        <w:rPr>
          <w:color w:val="231F20"/>
          <w:spacing w:val="51"/>
        </w:rPr>
        <w:t> </w:t>
      </w:r>
      <w:r>
        <w:rPr>
          <w:color w:val="231F20"/>
          <w:spacing w:val="3"/>
        </w:rPr>
        <w:t>un’evidente tensione </w:t>
      </w:r>
      <w:r>
        <w:rPr>
          <w:color w:val="231F20"/>
        </w:rPr>
        <w:t>è</w:t>
      </w:r>
      <w:r>
        <w:rPr>
          <w:color w:val="231F20"/>
          <w:spacing w:val="51"/>
        </w:rPr>
        <w:t> </w:t>
      </w:r>
      <w:r>
        <w:rPr>
          <w:color w:val="231F20"/>
        </w:rPr>
        <w:t>la</w:t>
      </w:r>
      <w:r>
        <w:rPr>
          <w:color w:val="231F20"/>
          <w:spacing w:val="51"/>
        </w:rPr>
        <w:t> </w:t>
      </w:r>
      <w:r>
        <w:rPr>
          <w:color w:val="231F20"/>
          <w:spacing w:val="3"/>
        </w:rPr>
        <w:t>rappresentanza politica </w:t>
      </w:r>
      <w:r>
        <w:rPr>
          <w:color w:val="231F20"/>
          <w:spacing w:val="4"/>
        </w:rPr>
        <w:t>quale</w:t>
      </w:r>
      <w:r>
        <w:rPr>
          <w:color w:val="231F20"/>
          <w:spacing w:val="4"/>
          <w:w w:val="103"/>
        </w:rPr>
        <w:t> </w:t>
      </w:r>
      <w:r>
        <w:rPr>
          <w:color w:val="231F20"/>
        </w:rPr>
        <w:t>pilastro organizzativo dello Stato. Questa tensione non è una generica crisi</w:t>
      </w:r>
      <w:r>
        <w:rPr>
          <w:color w:val="231F20"/>
          <w:w w:val="99"/>
        </w:rPr>
        <w:t> </w:t>
      </w:r>
      <w:r>
        <w:rPr>
          <w:color w:val="231F20"/>
        </w:rPr>
        <w:t>della rappresentanza causata dal decadimento più o meno contingente</w:t>
      </w:r>
      <w:r>
        <w:rPr>
          <w:color w:val="231F20"/>
          <w:spacing w:val="1"/>
          <w:w w:val="103"/>
        </w:rPr>
        <w:t> </w:t>
      </w:r>
      <w:r>
        <w:rPr>
          <w:color w:val="231F20"/>
        </w:rPr>
        <w:t>della qualità dei rappresentanti, quanto il venir meno della capacità di</w:t>
      </w:r>
      <w:r>
        <w:rPr>
          <w:color w:val="231F20"/>
          <w:w w:val="105"/>
        </w:rPr>
        <w:t> </w:t>
      </w:r>
      <w:r>
        <w:rPr>
          <w:color w:val="231F20"/>
        </w:rPr>
        <w:t>rappresentare continuativamente l’unità politica del popolo come invece</w:t>
      </w:r>
      <w:r>
        <w:rPr>
          <w:color w:val="231F20"/>
          <w:w w:val="101"/>
        </w:rPr>
        <w:t> </w:t>
      </w:r>
      <w:r>
        <w:rPr>
          <w:color w:val="231F20"/>
          <w:spacing w:val="2"/>
        </w:rPr>
        <w:t>previsto dalla dottrina politica moderna </w:t>
      </w:r>
      <w:r>
        <w:rPr>
          <w:color w:val="231F20"/>
        </w:rPr>
        <w:t>da </w:t>
      </w:r>
      <w:r>
        <w:rPr>
          <w:color w:val="231F20"/>
          <w:spacing w:val="2"/>
        </w:rPr>
        <w:t>Hobbes </w:t>
      </w:r>
      <w:r>
        <w:rPr>
          <w:color w:val="231F20"/>
        </w:rPr>
        <w:t>a </w:t>
      </w:r>
      <w:r>
        <w:rPr>
          <w:color w:val="231F20"/>
          <w:spacing w:val="2"/>
        </w:rPr>
        <w:t>Schmitt. </w:t>
      </w:r>
      <w:r>
        <w:rPr>
          <w:color w:val="231F20"/>
          <w:spacing w:val="3"/>
        </w:rPr>
        <w:t>Questa</w:t>
      </w:r>
      <w:r>
        <w:rPr>
          <w:color w:val="231F20"/>
          <w:spacing w:val="3"/>
          <w:w w:val="104"/>
        </w:rPr>
        <w:t> </w:t>
      </w:r>
      <w:r>
        <w:rPr>
          <w:color w:val="231F20"/>
        </w:rPr>
        <w:t>indecisione rispetto all’unità ha l’effetto di rendere evidente il deficit di</w:t>
      </w:r>
      <w:r>
        <w:rPr>
          <w:color w:val="231F20"/>
          <w:w w:val="105"/>
        </w:rPr>
        <w:t> </w:t>
      </w:r>
      <w:r>
        <w:rPr>
          <w:color w:val="231F20"/>
        </w:rPr>
        <w:t>istituzionalizzazione che sembra caratterizzare lo Stato globale. </w:t>
      </w:r>
      <w:r>
        <w:rPr>
          <w:color w:val="231F20"/>
          <w:spacing w:val="2"/>
        </w:rPr>
        <w:t>Questo</w:t>
      </w:r>
      <w:r>
        <w:rPr>
          <w:color w:val="231F20"/>
          <w:spacing w:val="2"/>
          <w:w w:val="105"/>
        </w:rPr>
        <w:t> </w:t>
      </w:r>
      <w:r>
        <w:rPr>
          <w:color w:val="231F20"/>
        </w:rPr>
        <w:t>deficit non è solamente procedurale, ma riguarda direttamente le modalità</w:t>
      </w:r>
      <w:r>
        <w:rPr>
          <w:color w:val="231F20"/>
          <w:w w:val="100"/>
        </w:rPr>
        <w:t> </w:t>
      </w:r>
      <w:r>
        <w:rPr>
          <w:color w:val="231F20"/>
        </w:rPr>
        <w:t>con cui viene riconosciuto lo Stato e quindi obbedito. Si ripropone così il</w:t>
      </w:r>
      <w:r>
        <w:rPr>
          <w:color w:val="231F20"/>
          <w:w w:val="105"/>
        </w:rPr>
        <w:t> </w:t>
      </w:r>
      <w:r>
        <w:rPr>
          <w:color w:val="231F20"/>
        </w:rPr>
        <w:t>problema della legittimazione dello Stato, questa volta non riferita al suo</w:t>
      </w:r>
      <w:r>
        <w:rPr>
          <w:color w:val="231F20"/>
          <w:w w:val="101"/>
        </w:rPr>
        <w:t> </w:t>
      </w:r>
      <w:r>
        <w:rPr>
          <w:color w:val="231F20"/>
        </w:rPr>
        <w:t>funzionamento, ma direttamente di fronte al soggetto della sua legittimità.</w:t>
      </w:r>
    </w:p>
    <w:p>
      <w:pPr>
        <w:pStyle w:val="BodyText"/>
        <w:spacing w:line="247" w:lineRule="auto"/>
        <w:ind w:left="103" w:right="108" w:firstLine="566"/>
        <w:jc w:val="both"/>
      </w:pPr>
      <w:r>
        <w:rPr>
          <w:color w:val="231F20"/>
          <w:w w:val="105"/>
        </w:rPr>
        <w:t>Non</w:t>
      </w:r>
      <w:r>
        <w:rPr>
          <w:color w:val="231F20"/>
          <w:spacing w:val="-39"/>
          <w:w w:val="105"/>
        </w:rPr>
        <w:t> </w:t>
      </w:r>
      <w:r>
        <w:rPr>
          <w:color w:val="231F20"/>
          <w:w w:val="105"/>
        </w:rPr>
        <w:t>è</w:t>
      </w:r>
      <w:r>
        <w:rPr>
          <w:color w:val="231F20"/>
          <w:spacing w:val="-39"/>
          <w:w w:val="105"/>
        </w:rPr>
        <w:t> </w:t>
      </w:r>
      <w:r>
        <w:rPr>
          <w:color w:val="231F20"/>
          <w:w w:val="105"/>
        </w:rPr>
        <w:t>dunque</w:t>
      </w:r>
      <w:r>
        <w:rPr>
          <w:color w:val="231F20"/>
          <w:spacing w:val="-39"/>
          <w:w w:val="105"/>
        </w:rPr>
        <w:t> </w:t>
      </w:r>
      <w:r>
        <w:rPr>
          <w:color w:val="231F20"/>
          <w:w w:val="105"/>
        </w:rPr>
        <w:t>un</w:t>
      </w:r>
      <w:r>
        <w:rPr>
          <w:color w:val="231F20"/>
          <w:spacing w:val="-39"/>
          <w:w w:val="105"/>
        </w:rPr>
        <w:t> </w:t>
      </w:r>
      <w:r>
        <w:rPr>
          <w:color w:val="231F20"/>
          <w:w w:val="105"/>
        </w:rPr>
        <w:t>caso</w:t>
      </w:r>
      <w:r>
        <w:rPr>
          <w:color w:val="231F20"/>
          <w:spacing w:val="-39"/>
          <w:w w:val="105"/>
        </w:rPr>
        <w:t> </w:t>
      </w:r>
      <w:r>
        <w:rPr>
          <w:color w:val="231F20"/>
          <w:w w:val="105"/>
        </w:rPr>
        <w:t>che</w:t>
      </w:r>
      <w:r>
        <w:rPr>
          <w:color w:val="231F20"/>
          <w:spacing w:val="-39"/>
          <w:w w:val="105"/>
        </w:rPr>
        <w:t> </w:t>
      </w:r>
      <w:r>
        <w:rPr>
          <w:color w:val="231F20"/>
          <w:w w:val="105"/>
        </w:rPr>
        <w:t>anche</w:t>
      </w:r>
      <w:r>
        <w:rPr>
          <w:color w:val="231F20"/>
          <w:spacing w:val="-39"/>
          <w:w w:val="105"/>
        </w:rPr>
        <w:t> </w:t>
      </w:r>
      <w:r>
        <w:rPr>
          <w:color w:val="231F20"/>
          <w:w w:val="105"/>
        </w:rPr>
        <w:t>gli</w:t>
      </w:r>
      <w:r>
        <w:rPr>
          <w:color w:val="231F20"/>
          <w:spacing w:val="-39"/>
          <w:w w:val="105"/>
        </w:rPr>
        <w:t> </w:t>
      </w:r>
      <w:r>
        <w:rPr>
          <w:color w:val="231F20"/>
          <w:w w:val="105"/>
        </w:rPr>
        <w:t>scienziati</w:t>
      </w:r>
      <w:r>
        <w:rPr>
          <w:color w:val="231F20"/>
          <w:spacing w:val="-39"/>
          <w:w w:val="105"/>
        </w:rPr>
        <w:t> </w:t>
      </w:r>
      <w:r>
        <w:rPr>
          <w:color w:val="231F20"/>
          <w:w w:val="105"/>
        </w:rPr>
        <w:t>politici</w:t>
      </w:r>
      <w:r>
        <w:rPr>
          <w:color w:val="231F20"/>
          <w:spacing w:val="-39"/>
          <w:w w:val="105"/>
        </w:rPr>
        <w:t> </w:t>
      </w:r>
      <w:r>
        <w:rPr>
          <w:color w:val="231F20"/>
          <w:w w:val="105"/>
        </w:rPr>
        <w:t>abbiano</w:t>
      </w:r>
      <w:r>
        <w:rPr>
          <w:color w:val="231F20"/>
          <w:spacing w:val="-39"/>
          <w:w w:val="105"/>
        </w:rPr>
        <w:t> </w:t>
      </w:r>
      <w:r>
        <w:rPr>
          <w:color w:val="231F20"/>
          <w:w w:val="105"/>
        </w:rPr>
        <w:t>iniziato a indagare il nesso tra Stato e cultura. La cosiddetta “svolta </w:t>
      </w:r>
      <w:r>
        <w:rPr>
          <w:color w:val="231F20"/>
          <w:spacing w:val="2"/>
          <w:w w:val="105"/>
        </w:rPr>
        <w:t>culturale” </w:t>
      </w:r>
      <w:r>
        <w:rPr>
          <w:color w:val="231F20"/>
          <w:w w:val="105"/>
        </w:rPr>
        <w:t>corrisponde</w:t>
      </w:r>
      <w:r>
        <w:rPr>
          <w:color w:val="231F20"/>
          <w:spacing w:val="-23"/>
          <w:w w:val="105"/>
        </w:rPr>
        <w:t> </w:t>
      </w:r>
      <w:r>
        <w:rPr>
          <w:color w:val="231F20"/>
          <w:w w:val="105"/>
        </w:rPr>
        <w:t>a</w:t>
      </w:r>
      <w:r>
        <w:rPr>
          <w:color w:val="231F20"/>
          <w:spacing w:val="-23"/>
          <w:w w:val="105"/>
        </w:rPr>
        <w:t> </w:t>
      </w:r>
      <w:r>
        <w:rPr>
          <w:color w:val="231F20"/>
          <w:w w:val="105"/>
        </w:rPr>
        <w:t>un</w:t>
      </w:r>
      <w:r>
        <w:rPr>
          <w:color w:val="231F20"/>
          <w:spacing w:val="-23"/>
          <w:w w:val="105"/>
        </w:rPr>
        <w:t> </w:t>
      </w:r>
      <w:r>
        <w:rPr>
          <w:color w:val="231F20"/>
          <w:w w:val="105"/>
        </w:rPr>
        <w:t>mutamento</w:t>
      </w:r>
      <w:r>
        <w:rPr>
          <w:color w:val="231F20"/>
          <w:spacing w:val="-23"/>
          <w:w w:val="105"/>
        </w:rPr>
        <w:t> </w:t>
      </w:r>
      <w:r>
        <w:rPr>
          <w:color w:val="231F20"/>
          <w:w w:val="105"/>
        </w:rPr>
        <w:t>di</w:t>
      </w:r>
      <w:r>
        <w:rPr>
          <w:color w:val="231F20"/>
          <w:spacing w:val="-23"/>
          <w:w w:val="105"/>
        </w:rPr>
        <w:t> </w:t>
      </w:r>
      <w:r>
        <w:rPr>
          <w:color w:val="231F20"/>
          <w:w w:val="105"/>
        </w:rPr>
        <w:t>prospettiva</w:t>
      </w:r>
      <w:r>
        <w:rPr>
          <w:color w:val="231F20"/>
          <w:spacing w:val="-23"/>
          <w:w w:val="105"/>
        </w:rPr>
        <w:t> </w:t>
      </w:r>
      <w:r>
        <w:rPr>
          <w:color w:val="231F20"/>
          <w:w w:val="105"/>
        </w:rPr>
        <w:t>che</w:t>
      </w:r>
      <w:r>
        <w:rPr>
          <w:color w:val="231F20"/>
          <w:spacing w:val="-23"/>
          <w:w w:val="105"/>
        </w:rPr>
        <w:t> </w:t>
      </w:r>
      <w:r>
        <w:rPr>
          <w:color w:val="231F20"/>
          <w:w w:val="105"/>
        </w:rPr>
        <w:t>allo</w:t>
      </w:r>
      <w:r>
        <w:rPr>
          <w:color w:val="231F20"/>
          <w:spacing w:val="-23"/>
          <w:w w:val="105"/>
        </w:rPr>
        <w:t> </w:t>
      </w:r>
      <w:r>
        <w:rPr>
          <w:color w:val="231F20"/>
          <w:w w:val="105"/>
        </w:rPr>
        <w:t>stesso</w:t>
      </w:r>
      <w:r>
        <w:rPr>
          <w:color w:val="231F20"/>
          <w:spacing w:val="-23"/>
          <w:w w:val="105"/>
        </w:rPr>
        <w:t> </w:t>
      </w:r>
      <w:r>
        <w:rPr>
          <w:color w:val="231F20"/>
          <w:w w:val="105"/>
        </w:rPr>
        <w:t>tempo</w:t>
      </w:r>
      <w:r>
        <w:rPr>
          <w:color w:val="231F20"/>
          <w:spacing w:val="-23"/>
          <w:w w:val="105"/>
        </w:rPr>
        <w:t> </w:t>
      </w:r>
      <w:r>
        <w:rPr>
          <w:color w:val="231F20"/>
          <w:w w:val="105"/>
        </w:rPr>
        <w:t>politico e</w:t>
      </w:r>
      <w:r>
        <w:rPr>
          <w:color w:val="231F20"/>
          <w:spacing w:val="-20"/>
          <w:w w:val="105"/>
        </w:rPr>
        <w:t> </w:t>
      </w:r>
      <w:r>
        <w:rPr>
          <w:color w:val="231F20"/>
          <w:w w:val="105"/>
        </w:rPr>
        <w:t>disciplinare</w:t>
      </w:r>
      <w:r>
        <w:rPr>
          <w:w w:val="105"/>
          <w:position w:val="7"/>
          <w:sz w:val="12"/>
        </w:rPr>
        <w:t>67</w:t>
      </w:r>
      <w:r>
        <w:rPr>
          <w:color w:val="231F20"/>
          <w:w w:val="105"/>
        </w:rPr>
        <w:t>.</w:t>
      </w:r>
      <w:r>
        <w:rPr>
          <w:color w:val="231F20"/>
          <w:spacing w:val="-20"/>
          <w:w w:val="105"/>
        </w:rPr>
        <w:t> </w:t>
      </w:r>
      <w:r>
        <w:rPr>
          <w:color w:val="231F20"/>
          <w:w w:val="105"/>
        </w:rPr>
        <w:t>Ciò</w:t>
      </w:r>
      <w:r>
        <w:rPr>
          <w:color w:val="231F20"/>
          <w:spacing w:val="-20"/>
          <w:w w:val="105"/>
        </w:rPr>
        <w:t> </w:t>
      </w:r>
      <w:r>
        <w:rPr>
          <w:color w:val="231F20"/>
          <w:w w:val="105"/>
        </w:rPr>
        <w:t>che</w:t>
      </w:r>
      <w:r>
        <w:rPr>
          <w:color w:val="231F20"/>
          <w:spacing w:val="-20"/>
          <w:w w:val="105"/>
        </w:rPr>
        <w:t> </w:t>
      </w:r>
      <w:r>
        <w:rPr>
          <w:color w:val="231F20"/>
          <w:w w:val="105"/>
        </w:rPr>
        <w:t>rileva</w:t>
      </w:r>
      <w:r>
        <w:rPr>
          <w:color w:val="231F20"/>
          <w:spacing w:val="-20"/>
          <w:w w:val="105"/>
        </w:rPr>
        <w:t> </w:t>
      </w:r>
      <w:r>
        <w:rPr>
          <w:color w:val="231F20"/>
          <w:w w:val="105"/>
        </w:rPr>
        <w:t>dal</w:t>
      </w:r>
      <w:r>
        <w:rPr>
          <w:color w:val="231F20"/>
          <w:spacing w:val="-20"/>
          <w:w w:val="105"/>
        </w:rPr>
        <w:t> </w:t>
      </w:r>
      <w:r>
        <w:rPr>
          <w:color w:val="231F20"/>
          <w:w w:val="105"/>
        </w:rPr>
        <w:t>nostro</w:t>
      </w:r>
      <w:r>
        <w:rPr>
          <w:color w:val="231F20"/>
          <w:spacing w:val="-20"/>
          <w:w w:val="105"/>
        </w:rPr>
        <w:t> </w:t>
      </w:r>
      <w:r>
        <w:rPr>
          <w:color w:val="231F20"/>
          <w:w w:val="105"/>
        </w:rPr>
        <w:t>punto</w:t>
      </w:r>
      <w:r>
        <w:rPr>
          <w:color w:val="231F20"/>
          <w:spacing w:val="-20"/>
          <w:w w:val="105"/>
        </w:rPr>
        <w:t> </w:t>
      </w:r>
      <w:r>
        <w:rPr>
          <w:color w:val="231F20"/>
          <w:w w:val="105"/>
        </w:rPr>
        <w:t>di</w:t>
      </w:r>
      <w:r>
        <w:rPr>
          <w:color w:val="231F20"/>
          <w:spacing w:val="-20"/>
          <w:w w:val="105"/>
        </w:rPr>
        <w:t> </w:t>
      </w:r>
      <w:r>
        <w:rPr>
          <w:color w:val="231F20"/>
          <w:w w:val="105"/>
        </w:rPr>
        <w:t>vista</w:t>
      </w:r>
      <w:r>
        <w:rPr>
          <w:color w:val="231F20"/>
          <w:spacing w:val="-20"/>
          <w:w w:val="105"/>
        </w:rPr>
        <w:t> </w:t>
      </w:r>
      <w:r>
        <w:rPr>
          <w:color w:val="231F20"/>
          <w:w w:val="105"/>
        </w:rPr>
        <w:t>è</w:t>
      </w:r>
      <w:r>
        <w:rPr>
          <w:color w:val="231F20"/>
          <w:spacing w:val="-20"/>
          <w:w w:val="105"/>
        </w:rPr>
        <w:t> </w:t>
      </w:r>
      <w:r>
        <w:rPr>
          <w:color w:val="231F20"/>
          <w:w w:val="105"/>
        </w:rPr>
        <w:t>che</w:t>
      </w:r>
      <w:r>
        <w:rPr>
          <w:color w:val="231F20"/>
          <w:spacing w:val="-20"/>
          <w:w w:val="105"/>
        </w:rPr>
        <w:t> </w:t>
      </w:r>
      <w:r>
        <w:rPr>
          <w:color w:val="231F20"/>
          <w:w w:val="105"/>
        </w:rPr>
        <w:t>il</w:t>
      </w:r>
      <w:r>
        <w:rPr>
          <w:color w:val="231F20"/>
          <w:spacing w:val="-20"/>
          <w:w w:val="105"/>
        </w:rPr>
        <w:t> </w:t>
      </w:r>
      <w:r>
        <w:rPr>
          <w:color w:val="231F20"/>
          <w:w w:val="105"/>
        </w:rPr>
        <w:t>riferimento alla</w:t>
      </w:r>
      <w:r>
        <w:rPr>
          <w:color w:val="231F20"/>
          <w:spacing w:val="-43"/>
          <w:w w:val="105"/>
        </w:rPr>
        <w:t> </w:t>
      </w:r>
      <w:r>
        <w:rPr>
          <w:color w:val="231F20"/>
          <w:w w:val="105"/>
        </w:rPr>
        <w:t>cultura</w:t>
      </w:r>
      <w:r>
        <w:rPr>
          <w:color w:val="231F20"/>
          <w:spacing w:val="-43"/>
          <w:w w:val="105"/>
        </w:rPr>
        <w:t> </w:t>
      </w:r>
      <w:r>
        <w:rPr>
          <w:color w:val="231F20"/>
          <w:w w:val="105"/>
        </w:rPr>
        <w:t>affianca</w:t>
      </w:r>
      <w:r>
        <w:rPr>
          <w:color w:val="231F20"/>
          <w:spacing w:val="-43"/>
          <w:w w:val="105"/>
        </w:rPr>
        <w:t> </w:t>
      </w:r>
      <w:r>
        <w:rPr>
          <w:color w:val="231F20"/>
          <w:w w:val="105"/>
        </w:rPr>
        <w:t>e</w:t>
      </w:r>
      <w:r>
        <w:rPr>
          <w:color w:val="231F20"/>
          <w:spacing w:val="-43"/>
          <w:w w:val="105"/>
        </w:rPr>
        <w:t> </w:t>
      </w:r>
      <w:r>
        <w:rPr>
          <w:color w:val="231F20"/>
          <w:w w:val="105"/>
        </w:rPr>
        <w:t>per</w:t>
      </w:r>
      <w:r>
        <w:rPr>
          <w:color w:val="231F20"/>
          <w:spacing w:val="-43"/>
          <w:w w:val="105"/>
        </w:rPr>
        <w:t> </w:t>
      </w:r>
      <w:r>
        <w:rPr>
          <w:color w:val="231F20"/>
          <w:w w:val="105"/>
        </w:rPr>
        <w:t>certi</w:t>
      </w:r>
      <w:r>
        <w:rPr>
          <w:color w:val="231F20"/>
          <w:spacing w:val="-43"/>
          <w:w w:val="105"/>
        </w:rPr>
        <w:t> </w:t>
      </w:r>
      <w:r>
        <w:rPr>
          <w:color w:val="231F20"/>
          <w:w w:val="105"/>
        </w:rPr>
        <w:t>versi</w:t>
      </w:r>
      <w:r>
        <w:rPr>
          <w:color w:val="231F20"/>
          <w:spacing w:val="-43"/>
          <w:w w:val="105"/>
        </w:rPr>
        <w:t> </w:t>
      </w:r>
      <w:r>
        <w:rPr>
          <w:color w:val="231F20"/>
          <w:w w:val="105"/>
        </w:rPr>
        <w:t>sostituisce</w:t>
      </w:r>
      <w:r>
        <w:rPr>
          <w:color w:val="231F20"/>
          <w:spacing w:val="-43"/>
          <w:w w:val="105"/>
        </w:rPr>
        <w:t> </w:t>
      </w:r>
      <w:r>
        <w:rPr>
          <w:color w:val="231F20"/>
          <w:w w:val="105"/>
        </w:rPr>
        <w:t>quello</w:t>
      </w:r>
      <w:r>
        <w:rPr>
          <w:color w:val="231F20"/>
          <w:spacing w:val="-43"/>
          <w:w w:val="105"/>
        </w:rPr>
        <w:t> </w:t>
      </w:r>
      <w:r>
        <w:rPr>
          <w:color w:val="231F20"/>
          <w:w w:val="105"/>
        </w:rPr>
        <w:t>all’opinione.</w:t>
      </w:r>
      <w:r>
        <w:rPr>
          <w:color w:val="231F20"/>
          <w:spacing w:val="-43"/>
          <w:w w:val="105"/>
        </w:rPr>
        <w:t> </w:t>
      </w:r>
      <w:r>
        <w:rPr>
          <w:color w:val="231F20"/>
          <w:w w:val="105"/>
        </w:rPr>
        <w:t>Ben</w:t>
      </w:r>
      <w:r>
        <w:rPr>
          <w:color w:val="231F20"/>
          <w:spacing w:val="-43"/>
          <w:w w:val="105"/>
        </w:rPr>
        <w:t> </w:t>
      </w:r>
      <w:r>
        <w:rPr>
          <w:color w:val="231F20"/>
          <w:w w:val="105"/>
        </w:rPr>
        <w:t>oltre il</w:t>
      </w:r>
      <w:r>
        <w:rPr>
          <w:color w:val="231F20"/>
          <w:spacing w:val="-53"/>
          <w:w w:val="105"/>
        </w:rPr>
        <w:t> </w:t>
      </w:r>
      <w:r>
        <w:rPr>
          <w:color w:val="231F20"/>
          <w:w w:val="105"/>
        </w:rPr>
        <w:t>classico</w:t>
      </w:r>
      <w:r>
        <w:rPr>
          <w:color w:val="231F20"/>
          <w:spacing w:val="-53"/>
          <w:w w:val="105"/>
        </w:rPr>
        <w:t> </w:t>
      </w:r>
      <w:r>
        <w:rPr>
          <w:color w:val="231F20"/>
          <w:w w:val="105"/>
        </w:rPr>
        <w:t>riferimento</w:t>
      </w:r>
      <w:r>
        <w:rPr>
          <w:color w:val="231F20"/>
          <w:spacing w:val="-53"/>
          <w:w w:val="105"/>
        </w:rPr>
        <w:t> </w:t>
      </w:r>
      <w:r>
        <w:rPr>
          <w:color w:val="231F20"/>
          <w:w w:val="105"/>
        </w:rPr>
        <w:t>alla</w:t>
      </w:r>
      <w:r>
        <w:rPr>
          <w:color w:val="231F20"/>
          <w:spacing w:val="-53"/>
          <w:w w:val="105"/>
        </w:rPr>
        <w:t> </w:t>
      </w:r>
      <w:r>
        <w:rPr>
          <w:color w:val="231F20"/>
          <w:w w:val="105"/>
        </w:rPr>
        <w:t>cultura</w:t>
      </w:r>
      <w:r>
        <w:rPr>
          <w:color w:val="231F20"/>
          <w:spacing w:val="-53"/>
          <w:w w:val="105"/>
        </w:rPr>
        <w:t> </w:t>
      </w:r>
      <w:r>
        <w:rPr>
          <w:color w:val="231F20"/>
          <w:w w:val="105"/>
        </w:rPr>
        <w:t>civica</w:t>
      </w:r>
      <w:r>
        <w:rPr>
          <w:color w:val="231F20"/>
          <w:spacing w:val="-53"/>
          <w:w w:val="105"/>
        </w:rPr>
        <w:t> </w:t>
      </w:r>
      <w:r>
        <w:rPr>
          <w:color w:val="231F20"/>
          <w:w w:val="105"/>
        </w:rPr>
        <w:t>e</w:t>
      </w:r>
      <w:r>
        <w:rPr>
          <w:color w:val="231F20"/>
          <w:spacing w:val="-53"/>
          <w:w w:val="105"/>
        </w:rPr>
        <w:t> </w:t>
      </w:r>
      <w:r>
        <w:rPr>
          <w:color w:val="231F20"/>
          <w:w w:val="105"/>
        </w:rPr>
        <w:t>politica,</w:t>
      </w:r>
      <w:r>
        <w:rPr>
          <w:color w:val="231F20"/>
          <w:spacing w:val="-53"/>
          <w:w w:val="105"/>
        </w:rPr>
        <w:t> </w:t>
      </w:r>
      <w:r>
        <w:rPr>
          <w:color w:val="231F20"/>
          <w:spacing w:val="-3"/>
          <w:w w:val="105"/>
        </w:rPr>
        <w:t>mettere</w:t>
      </w:r>
      <w:r>
        <w:rPr>
          <w:color w:val="231F20"/>
          <w:spacing w:val="-53"/>
          <w:w w:val="105"/>
        </w:rPr>
        <w:t> </w:t>
      </w:r>
      <w:r>
        <w:rPr>
          <w:color w:val="231F20"/>
          <w:w w:val="105"/>
        </w:rPr>
        <w:t>in</w:t>
      </w:r>
      <w:r>
        <w:rPr>
          <w:color w:val="231F20"/>
          <w:spacing w:val="-53"/>
          <w:w w:val="105"/>
        </w:rPr>
        <w:t> </w:t>
      </w:r>
      <w:r>
        <w:rPr>
          <w:color w:val="231F20"/>
          <w:spacing w:val="-3"/>
          <w:w w:val="105"/>
        </w:rPr>
        <w:t>relazione</w:t>
      </w:r>
      <w:r>
        <w:rPr>
          <w:color w:val="231F20"/>
          <w:spacing w:val="-53"/>
          <w:w w:val="105"/>
        </w:rPr>
        <w:t> </w:t>
      </w:r>
      <w:r>
        <w:rPr>
          <w:color w:val="231F20"/>
          <w:w w:val="105"/>
        </w:rPr>
        <w:t>cultura e</w:t>
      </w:r>
      <w:r>
        <w:rPr>
          <w:color w:val="231F20"/>
          <w:spacing w:val="-10"/>
          <w:w w:val="105"/>
        </w:rPr>
        <w:t> </w:t>
      </w:r>
      <w:r>
        <w:rPr>
          <w:color w:val="231F20"/>
          <w:w w:val="105"/>
        </w:rPr>
        <w:t>Stato</w:t>
      </w:r>
      <w:r>
        <w:rPr>
          <w:color w:val="231F20"/>
          <w:spacing w:val="-10"/>
          <w:w w:val="105"/>
        </w:rPr>
        <w:t> </w:t>
      </w:r>
      <w:r>
        <w:rPr>
          <w:color w:val="231F20"/>
          <w:w w:val="105"/>
        </w:rPr>
        <w:t>significa</w:t>
      </w:r>
      <w:r>
        <w:rPr>
          <w:color w:val="231F20"/>
          <w:spacing w:val="-10"/>
          <w:w w:val="105"/>
        </w:rPr>
        <w:t> </w:t>
      </w:r>
      <w:r>
        <w:rPr>
          <w:color w:val="231F20"/>
          <w:w w:val="105"/>
        </w:rPr>
        <w:t>contestualizzare</w:t>
      </w:r>
      <w:r>
        <w:rPr>
          <w:color w:val="231F20"/>
          <w:spacing w:val="-10"/>
          <w:w w:val="105"/>
        </w:rPr>
        <w:t> </w:t>
      </w:r>
      <w:r>
        <w:rPr>
          <w:color w:val="231F20"/>
          <w:w w:val="105"/>
        </w:rPr>
        <w:t>quest’ultimo</w:t>
      </w:r>
      <w:r>
        <w:rPr>
          <w:color w:val="231F20"/>
          <w:spacing w:val="-10"/>
          <w:w w:val="105"/>
        </w:rPr>
        <w:t> </w:t>
      </w:r>
      <w:r>
        <w:rPr>
          <w:color w:val="231F20"/>
          <w:w w:val="105"/>
        </w:rPr>
        <w:t>in</w:t>
      </w:r>
      <w:r>
        <w:rPr>
          <w:color w:val="231F20"/>
          <w:spacing w:val="-10"/>
          <w:w w:val="105"/>
        </w:rPr>
        <w:t> </w:t>
      </w:r>
      <w:r>
        <w:rPr>
          <w:color w:val="231F20"/>
          <w:w w:val="105"/>
        </w:rPr>
        <w:t>un</w:t>
      </w:r>
      <w:r>
        <w:rPr>
          <w:color w:val="231F20"/>
          <w:spacing w:val="-10"/>
          <w:w w:val="105"/>
        </w:rPr>
        <w:t> </w:t>
      </w:r>
      <w:r>
        <w:rPr>
          <w:color w:val="231F20"/>
          <w:w w:val="105"/>
        </w:rPr>
        <w:t>ambito</w:t>
      </w:r>
      <w:r>
        <w:rPr>
          <w:color w:val="231F20"/>
          <w:spacing w:val="-10"/>
          <w:w w:val="105"/>
        </w:rPr>
        <w:t> </w:t>
      </w:r>
      <w:r>
        <w:rPr>
          <w:color w:val="231F20"/>
          <w:w w:val="105"/>
        </w:rPr>
        <w:t>prepolitico</w:t>
      </w:r>
      <w:r>
        <w:rPr>
          <w:color w:val="231F20"/>
          <w:spacing w:val="-10"/>
          <w:w w:val="105"/>
        </w:rPr>
        <w:t> </w:t>
      </w:r>
      <w:r>
        <w:rPr>
          <w:color w:val="231F20"/>
          <w:w w:val="105"/>
        </w:rPr>
        <w:t>e </w:t>
      </w:r>
      <w:r>
        <w:rPr>
          <w:color w:val="231F20"/>
          <w:spacing w:val="-3"/>
          <w:w w:val="105"/>
        </w:rPr>
        <w:t>addirittura</w:t>
      </w:r>
      <w:r>
        <w:rPr>
          <w:color w:val="231F20"/>
          <w:spacing w:val="-43"/>
          <w:w w:val="105"/>
        </w:rPr>
        <w:t> </w:t>
      </w:r>
      <w:r>
        <w:rPr>
          <w:color w:val="231F20"/>
          <w:spacing w:val="-3"/>
          <w:w w:val="105"/>
        </w:rPr>
        <w:t>apolitico.</w:t>
      </w:r>
      <w:r>
        <w:rPr>
          <w:color w:val="231F20"/>
          <w:spacing w:val="-43"/>
          <w:w w:val="105"/>
        </w:rPr>
        <w:t> </w:t>
      </w:r>
      <w:r>
        <w:rPr>
          <w:color w:val="231F20"/>
          <w:w w:val="105"/>
        </w:rPr>
        <w:t>Di</w:t>
      </w:r>
      <w:r>
        <w:rPr>
          <w:color w:val="231F20"/>
          <w:spacing w:val="-43"/>
          <w:w w:val="105"/>
        </w:rPr>
        <w:t> </w:t>
      </w:r>
      <w:r>
        <w:rPr>
          <w:color w:val="231F20"/>
          <w:spacing w:val="-3"/>
          <w:w w:val="105"/>
        </w:rPr>
        <w:t>fronte</w:t>
      </w:r>
      <w:r>
        <w:rPr>
          <w:color w:val="231F20"/>
          <w:spacing w:val="-43"/>
          <w:w w:val="105"/>
        </w:rPr>
        <w:t> </w:t>
      </w:r>
      <w:r>
        <w:rPr>
          <w:color w:val="231F20"/>
          <w:w w:val="105"/>
        </w:rPr>
        <w:t>alla</w:t>
      </w:r>
      <w:r>
        <w:rPr>
          <w:color w:val="231F20"/>
          <w:spacing w:val="-43"/>
          <w:w w:val="105"/>
        </w:rPr>
        <w:t> </w:t>
      </w:r>
      <w:r>
        <w:rPr>
          <w:color w:val="231F20"/>
          <w:spacing w:val="-3"/>
          <w:w w:val="105"/>
        </w:rPr>
        <w:t>molteplicità</w:t>
      </w:r>
      <w:r>
        <w:rPr>
          <w:color w:val="231F20"/>
          <w:spacing w:val="-43"/>
          <w:w w:val="105"/>
        </w:rPr>
        <w:t> </w:t>
      </w:r>
      <w:r>
        <w:rPr>
          <w:color w:val="231F20"/>
          <w:spacing w:val="-3"/>
          <w:w w:val="105"/>
        </w:rPr>
        <w:t>delle</w:t>
      </w:r>
      <w:r>
        <w:rPr>
          <w:color w:val="231F20"/>
          <w:spacing w:val="-43"/>
          <w:w w:val="105"/>
        </w:rPr>
        <w:t> </w:t>
      </w:r>
      <w:r>
        <w:rPr>
          <w:color w:val="231F20"/>
          <w:spacing w:val="-3"/>
          <w:w w:val="105"/>
        </w:rPr>
        <w:t>culture</w:t>
      </w:r>
      <w:r>
        <w:rPr>
          <w:color w:val="231F20"/>
          <w:spacing w:val="-43"/>
          <w:w w:val="105"/>
        </w:rPr>
        <w:t> </w:t>
      </w:r>
      <w:r>
        <w:rPr>
          <w:color w:val="231F20"/>
          <w:w w:val="105"/>
        </w:rPr>
        <w:t>non</w:t>
      </w:r>
      <w:r>
        <w:rPr>
          <w:color w:val="231F20"/>
          <w:spacing w:val="-43"/>
          <w:w w:val="105"/>
        </w:rPr>
        <w:t> </w:t>
      </w:r>
      <w:r>
        <w:rPr>
          <w:color w:val="231F20"/>
          <w:w w:val="105"/>
        </w:rPr>
        <w:t>si</w:t>
      </w:r>
      <w:r>
        <w:rPr>
          <w:color w:val="231F20"/>
          <w:spacing w:val="-43"/>
          <w:w w:val="105"/>
        </w:rPr>
        <w:t> </w:t>
      </w:r>
      <w:r>
        <w:rPr>
          <w:color w:val="231F20"/>
          <w:spacing w:val="-3"/>
          <w:w w:val="105"/>
        </w:rPr>
        <w:t>tratta</w:t>
      </w:r>
      <w:r>
        <w:rPr>
          <w:color w:val="231F20"/>
          <w:spacing w:val="-43"/>
          <w:w w:val="105"/>
        </w:rPr>
        <w:t> </w:t>
      </w:r>
      <w:r>
        <w:rPr>
          <w:color w:val="231F20"/>
          <w:spacing w:val="-3"/>
          <w:w w:val="105"/>
        </w:rPr>
        <w:t>tanto </w:t>
      </w:r>
      <w:r>
        <w:rPr>
          <w:color w:val="231F20"/>
          <w:w w:val="105"/>
        </w:rPr>
        <w:t>di</w:t>
      </w:r>
      <w:r>
        <w:rPr>
          <w:color w:val="231F20"/>
          <w:spacing w:val="-47"/>
          <w:w w:val="105"/>
        </w:rPr>
        <w:t> </w:t>
      </w:r>
      <w:r>
        <w:rPr>
          <w:color w:val="231F20"/>
          <w:w w:val="105"/>
        </w:rPr>
        <w:t>cogliere</w:t>
      </w:r>
      <w:r>
        <w:rPr>
          <w:color w:val="231F20"/>
          <w:spacing w:val="-47"/>
          <w:w w:val="105"/>
        </w:rPr>
        <w:t> </w:t>
      </w:r>
      <w:r>
        <w:rPr>
          <w:color w:val="231F20"/>
          <w:w w:val="105"/>
        </w:rPr>
        <w:t>o</w:t>
      </w:r>
      <w:r>
        <w:rPr>
          <w:color w:val="231F20"/>
          <w:spacing w:val="-47"/>
          <w:w w:val="105"/>
        </w:rPr>
        <w:t> </w:t>
      </w:r>
      <w:r>
        <w:rPr>
          <w:color w:val="231F20"/>
          <w:w w:val="105"/>
        </w:rPr>
        <w:t>sottolineare</w:t>
      </w:r>
      <w:r>
        <w:rPr>
          <w:color w:val="231F20"/>
          <w:spacing w:val="-47"/>
          <w:w w:val="105"/>
        </w:rPr>
        <w:t> </w:t>
      </w:r>
      <w:r>
        <w:rPr>
          <w:color w:val="231F20"/>
          <w:w w:val="105"/>
        </w:rPr>
        <w:t>come</w:t>
      </w:r>
      <w:r>
        <w:rPr>
          <w:color w:val="231F20"/>
          <w:spacing w:val="-47"/>
          <w:w w:val="105"/>
        </w:rPr>
        <w:t> </w:t>
      </w:r>
      <w:r>
        <w:rPr>
          <w:color w:val="231F20"/>
          <w:w w:val="105"/>
        </w:rPr>
        <w:t>lo</w:t>
      </w:r>
      <w:r>
        <w:rPr>
          <w:color w:val="231F20"/>
          <w:spacing w:val="-47"/>
          <w:w w:val="105"/>
        </w:rPr>
        <w:t> </w:t>
      </w:r>
      <w:r>
        <w:rPr>
          <w:color w:val="231F20"/>
          <w:w w:val="105"/>
        </w:rPr>
        <w:t>Stato</w:t>
      </w:r>
      <w:r>
        <w:rPr>
          <w:color w:val="231F20"/>
          <w:spacing w:val="-47"/>
          <w:w w:val="105"/>
        </w:rPr>
        <w:t> </w:t>
      </w:r>
      <w:r>
        <w:rPr>
          <w:color w:val="231F20"/>
          <w:w w:val="105"/>
        </w:rPr>
        <w:t>influenzi,</w:t>
      </w:r>
      <w:r>
        <w:rPr>
          <w:color w:val="231F20"/>
          <w:spacing w:val="-47"/>
          <w:w w:val="105"/>
        </w:rPr>
        <w:t> </w:t>
      </w:r>
      <w:r>
        <w:rPr>
          <w:color w:val="231F20"/>
          <w:w w:val="105"/>
        </w:rPr>
        <w:t>relativizzi</w:t>
      </w:r>
      <w:r>
        <w:rPr>
          <w:color w:val="231F20"/>
          <w:spacing w:val="-47"/>
          <w:w w:val="105"/>
        </w:rPr>
        <w:t> </w:t>
      </w:r>
      <w:r>
        <w:rPr>
          <w:color w:val="231F20"/>
          <w:w w:val="105"/>
        </w:rPr>
        <w:t>e</w:t>
      </w:r>
      <w:r>
        <w:rPr>
          <w:color w:val="231F20"/>
          <w:spacing w:val="-47"/>
          <w:w w:val="105"/>
        </w:rPr>
        <w:t> </w:t>
      </w:r>
      <w:r>
        <w:rPr>
          <w:color w:val="231F20"/>
          <w:w w:val="105"/>
        </w:rPr>
        <w:t>infine</w:t>
      </w:r>
      <w:r>
        <w:rPr>
          <w:color w:val="231F20"/>
          <w:spacing w:val="-47"/>
          <w:w w:val="105"/>
        </w:rPr>
        <w:t> </w:t>
      </w:r>
      <w:r>
        <w:rPr>
          <w:color w:val="231F20"/>
          <w:w w:val="105"/>
        </w:rPr>
        <w:t>modifichi le</w:t>
      </w:r>
      <w:r>
        <w:rPr>
          <w:color w:val="231F20"/>
          <w:spacing w:val="-41"/>
          <w:w w:val="105"/>
        </w:rPr>
        <w:t> </w:t>
      </w:r>
      <w:r>
        <w:rPr>
          <w:color w:val="231F20"/>
          <w:w w:val="105"/>
        </w:rPr>
        <w:t>culture</w:t>
      </w:r>
      <w:r>
        <w:rPr>
          <w:color w:val="231F20"/>
          <w:spacing w:val="-41"/>
          <w:w w:val="105"/>
        </w:rPr>
        <w:t> </w:t>
      </w:r>
      <w:r>
        <w:rPr>
          <w:color w:val="231F20"/>
          <w:w w:val="105"/>
        </w:rPr>
        <w:t>che</w:t>
      </w:r>
      <w:r>
        <w:rPr>
          <w:color w:val="231F20"/>
          <w:spacing w:val="-41"/>
          <w:w w:val="105"/>
        </w:rPr>
        <w:t> </w:t>
      </w:r>
      <w:r>
        <w:rPr>
          <w:color w:val="231F20"/>
          <w:w w:val="105"/>
        </w:rPr>
        <w:t>incontra,</w:t>
      </w:r>
      <w:r>
        <w:rPr>
          <w:color w:val="231F20"/>
          <w:spacing w:val="-41"/>
          <w:w w:val="105"/>
        </w:rPr>
        <w:t> </w:t>
      </w:r>
      <w:r>
        <w:rPr>
          <w:color w:val="231F20"/>
          <w:w w:val="105"/>
        </w:rPr>
        <w:t>quanto</w:t>
      </w:r>
      <w:r>
        <w:rPr>
          <w:color w:val="231F20"/>
          <w:spacing w:val="-41"/>
          <w:w w:val="105"/>
        </w:rPr>
        <w:t> </w:t>
      </w:r>
      <w:r>
        <w:rPr>
          <w:color w:val="231F20"/>
          <w:w w:val="105"/>
        </w:rPr>
        <w:t>piuttosto</w:t>
      </w:r>
      <w:r>
        <w:rPr>
          <w:color w:val="231F20"/>
          <w:spacing w:val="-41"/>
          <w:w w:val="105"/>
        </w:rPr>
        <w:t> </w:t>
      </w:r>
      <w:r>
        <w:rPr>
          <w:color w:val="231F20"/>
          <w:w w:val="105"/>
        </w:rPr>
        <w:t>di</w:t>
      </w:r>
      <w:r>
        <w:rPr>
          <w:color w:val="231F20"/>
          <w:spacing w:val="-41"/>
          <w:w w:val="105"/>
        </w:rPr>
        <w:t> </w:t>
      </w:r>
      <w:r>
        <w:rPr>
          <w:color w:val="231F20"/>
          <w:w w:val="105"/>
        </w:rPr>
        <w:t>registrare</w:t>
      </w:r>
      <w:r>
        <w:rPr>
          <w:color w:val="231F20"/>
          <w:spacing w:val="-41"/>
          <w:w w:val="105"/>
        </w:rPr>
        <w:t> </w:t>
      </w:r>
      <w:r>
        <w:rPr>
          <w:color w:val="231F20"/>
          <w:w w:val="105"/>
        </w:rPr>
        <w:t>il</w:t>
      </w:r>
      <w:r>
        <w:rPr>
          <w:color w:val="231F20"/>
          <w:spacing w:val="-41"/>
          <w:w w:val="105"/>
        </w:rPr>
        <w:t> </w:t>
      </w:r>
      <w:r>
        <w:rPr>
          <w:color w:val="231F20"/>
          <w:w w:val="105"/>
        </w:rPr>
        <w:t>suo</w:t>
      </w:r>
      <w:r>
        <w:rPr>
          <w:color w:val="231F20"/>
          <w:spacing w:val="-41"/>
          <w:w w:val="105"/>
        </w:rPr>
        <w:t> </w:t>
      </w:r>
      <w:r>
        <w:rPr>
          <w:color w:val="231F20"/>
          <w:w w:val="105"/>
        </w:rPr>
        <w:t>essere</w:t>
      </w:r>
      <w:r>
        <w:rPr>
          <w:color w:val="231F20"/>
          <w:spacing w:val="-41"/>
          <w:w w:val="105"/>
        </w:rPr>
        <w:t> </w:t>
      </w:r>
      <w:r>
        <w:rPr>
          <w:color w:val="231F20"/>
          <w:w w:val="105"/>
        </w:rPr>
        <w:t>catturato da</w:t>
      </w:r>
      <w:r>
        <w:rPr>
          <w:color w:val="231F20"/>
          <w:spacing w:val="-44"/>
          <w:w w:val="105"/>
        </w:rPr>
        <w:t> </w:t>
      </w:r>
      <w:r>
        <w:rPr>
          <w:color w:val="231F20"/>
          <w:w w:val="105"/>
        </w:rPr>
        <w:t>relazioni</w:t>
      </w:r>
      <w:r>
        <w:rPr>
          <w:color w:val="231F20"/>
          <w:spacing w:val="-44"/>
          <w:w w:val="105"/>
        </w:rPr>
        <w:t> </w:t>
      </w:r>
      <w:r>
        <w:rPr>
          <w:color w:val="231F20"/>
          <w:w w:val="105"/>
        </w:rPr>
        <w:t>particolari</w:t>
      </w:r>
      <w:r>
        <w:rPr>
          <w:color w:val="231F20"/>
          <w:spacing w:val="-44"/>
          <w:w w:val="105"/>
        </w:rPr>
        <w:t> </w:t>
      </w:r>
      <w:r>
        <w:rPr>
          <w:color w:val="231F20"/>
          <w:w w:val="105"/>
        </w:rPr>
        <w:t>e</w:t>
      </w:r>
      <w:r>
        <w:rPr>
          <w:color w:val="231F20"/>
          <w:spacing w:val="-44"/>
          <w:w w:val="105"/>
        </w:rPr>
        <w:t> </w:t>
      </w:r>
      <w:r>
        <w:rPr>
          <w:color w:val="231F20"/>
          <w:w w:val="105"/>
        </w:rPr>
        <w:t>decentrate</w:t>
      </w:r>
      <w:r>
        <w:rPr>
          <w:color w:val="231F20"/>
          <w:spacing w:val="-44"/>
          <w:w w:val="105"/>
        </w:rPr>
        <w:t> </w:t>
      </w:r>
      <w:r>
        <w:rPr>
          <w:color w:val="231F20"/>
          <w:w w:val="105"/>
        </w:rPr>
        <w:t>che</w:t>
      </w:r>
      <w:r>
        <w:rPr>
          <w:color w:val="231F20"/>
          <w:spacing w:val="-44"/>
          <w:w w:val="105"/>
        </w:rPr>
        <w:t> </w:t>
      </w:r>
      <w:r>
        <w:rPr>
          <w:color w:val="231F20"/>
          <w:w w:val="105"/>
        </w:rPr>
        <w:t>non</w:t>
      </w:r>
      <w:r>
        <w:rPr>
          <w:color w:val="231F20"/>
          <w:spacing w:val="-44"/>
          <w:w w:val="105"/>
        </w:rPr>
        <w:t> </w:t>
      </w:r>
      <w:r>
        <w:rPr>
          <w:color w:val="231F20"/>
          <w:w w:val="105"/>
        </w:rPr>
        <w:t>consentono</w:t>
      </w:r>
      <w:r>
        <w:rPr>
          <w:color w:val="231F20"/>
          <w:spacing w:val="-44"/>
          <w:w w:val="105"/>
        </w:rPr>
        <w:t> </w:t>
      </w:r>
      <w:r>
        <w:rPr>
          <w:color w:val="231F20"/>
          <w:w w:val="105"/>
        </w:rPr>
        <w:t>né</w:t>
      </w:r>
      <w:r>
        <w:rPr>
          <w:color w:val="231F20"/>
          <w:spacing w:val="-44"/>
          <w:w w:val="105"/>
        </w:rPr>
        <w:t> </w:t>
      </w:r>
      <w:r>
        <w:rPr>
          <w:color w:val="231F20"/>
          <w:w w:val="105"/>
        </w:rPr>
        <w:t>le</w:t>
      </w:r>
      <w:r>
        <w:rPr>
          <w:color w:val="231F20"/>
          <w:spacing w:val="-44"/>
          <w:w w:val="105"/>
        </w:rPr>
        <w:t> </w:t>
      </w:r>
      <w:r>
        <w:rPr>
          <w:color w:val="231F20"/>
          <w:w w:val="105"/>
        </w:rPr>
        <w:t>certezze</w:t>
      </w:r>
      <w:r>
        <w:rPr>
          <w:color w:val="231F20"/>
          <w:spacing w:val="-44"/>
          <w:w w:val="105"/>
        </w:rPr>
        <w:t> </w:t>
      </w:r>
      <w:r>
        <w:rPr>
          <w:color w:val="231F20"/>
          <w:w w:val="105"/>
        </w:rPr>
        <w:t>della </w:t>
      </w:r>
      <w:r>
        <w:rPr>
          <w:color w:val="231F20"/>
        </w:rPr>
        <w:t>scelta</w:t>
      </w:r>
      <w:r>
        <w:rPr>
          <w:color w:val="231F20"/>
          <w:spacing w:val="-19"/>
        </w:rPr>
        <w:t> </w:t>
      </w:r>
      <w:r>
        <w:rPr>
          <w:color w:val="231F20"/>
        </w:rPr>
        <w:t>razionale</w:t>
      </w:r>
      <w:r>
        <w:rPr>
          <w:color w:val="231F20"/>
          <w:spacing w:val="-19"/>
        </w:rPr>
        <w:t> </w:t>
      </w:r>
      <w:r>
        <w:rPr>
          <w:color w:val="231F20"/>
        </w:rPr>
        <w:t>né</w:t>
      </w:r>
      <w:r>
        <w:rPr>
          <w:color w:val="231F20"/>
          <w:spacing w:val="-19"/>
        </w:rPr>
        <w:t> </w:t>
      </w:r>
      <w:r>
        <w:rPr>
          <w:color w:val="231F20"/>
        </w:rPr>
        <w:t>l’inclusione</w:t>
      </w:r>
      <w:r>
        <w:rPr>
          <w:color w:val="231F20"/>
          <w:spacing w:val="-19"/>
        </w:rPr>
        <w:t> </w:t>
      </w:r>
      <w:r>
        <w:rPr>
          <w:color w:val="231F20"/>
        </w:rPr>
        <w:t>differenziale</w:t>
      </w:r>
      <w:r>
        <w:rPr>
          <w:color w:val="231F20"/>
          <w:spacing w:val="-19"/>
        </w:rPr>
        <w:t> </w:t>
      </w:r>
      <w:r>
        <w:rPr>
          <w:color w:val="231F20"/>
        </w:rPr>
        <w:t>della</w:t>
      </w:r>
      <w:r>
        <w:rPr>
          <w:color w:val="231F20"/>
          <w:spacing w:val="-19"/>
        </w:rPr>
        <w:t> </w:t>
      </w:r>
      <w:r>
        <w:rPr>
          <w:color w:val="231F20"/>
        </w:rPr>
        <w:t>cittadinanza</w:t>
      </w:r>
      <w:r>
        <w:rPr>
          <w:color w:val="231F20"/>
          <w:spacing w:val="-19"/>
        </w:rPr>
        <w:t> </w:t>
      </w:r>
      <w:r>
        <w:rPr>
          <w:color w:val="231F20"/>
        </w:rPr>
        <w:t>multiculturale. </w:t>
      </w:r>
      <w:r>
        <w:rPr>
          <w:color w:val="231F20"/>
          <w:w w:val="105"/>
        </w:rPr>
        <w:t>La</w:t>
      </w:r>
      <w:r>
        <w:rPr>
          <w:color w:val="231F20"/>
          <w:spacing w:val="-42"/>
          <w:w w:val="105"/>
        </w:rPr>
        <w:t> </w:t>
      </w:r>
      <w:r>
        <w:rPr>
          <w:color w:val="231F20"/>
          <w:w w:val="105"/>
        </w:rPr>
        <w:t>centralità</w:t>
      </w:r>
      <w:r>
        <w:rPr>
          <w:color w:val="231F20"/>
          <w:spacing w:val="-42"/>
          <w:w w:val="105"/>
        </w:rPr>
        <w:t> </w:t>
      </w:r>
      <w:r>
        <w:rPr>
          <w:color w:val="231F20"/>
          <w:w w:val="105"/>
        </w:rPr>
        <w:t>riconosciuta</w:t>
      </w:r>
      <w:r>
        <w:rPr>
          <w:color w:val="231F20"/>
          <w:spacing w:val="-42"/>
          <w:w w:val="105"/>
        </w:rPr>
        <w:t> </w:t>
      </w:r>
      <w:r>
        <w:rPr>
          <w:color w:val="231F20"/>
          <w:w w:val="105"/>
        </w:rPr>
        <w:t>alla</w:t>
      </w:r>
      <w:r>
        <w:rPr>
          <w:color w:val="231F20"/>
          <w:spacing w:val="-42"/>
          <w:w w:val="105"/>
        </w:rPr>
        <w:t> </w:t>
      </w:r>
      <w:r>
        <w:rPr>
          <w:color w:val="231F20"/>
          <w:w w:val="105"/>
        </w:rPr>
        <w:t>cultura</w:t>
      </w:r>
      <w:r>
        <w:rPr>
          <w:color w:val="231F20"/>
          <w:spacing w:val="-42"/>
          <w:w w:val="105"/>
        </w:rPr>
        <w:t> </w:t>
      </w:r>
      <w:r>
        <w:rPr>
          <w:color w:val="231F20"/>
          <w:w w:val="105"/>
        </w:rPr>
        <w:t>è</w:t>
      </w:r>
      <w:r>
        <w:rPr>
          <w:color w:val="231F20"/>
          <w:spacing w:val="-42"/>
          <w:w w:val="105"/>
        </w:rPr>
        <w:t> </w:t>
      </w:r>
      <w:r>
        <w:rPr>
          <w:color w:val="231F20"/>
          <w:w w:val="105"/>
        </w:rPr>
        <w:t>un</w:t>
      </w:r>
      <w:r>
        <w:rPr>
          <w:color w:val="231F20"/>
          <w:spacing w:val="-42"/>
          <w:w w:val="105"/>
        </w:rPr>
        <w:t> </w:t>
      </w:r>
      <w:r>
        <w:rPr>
          <w:color w:val="231F20"/>
          <w:w w:val="105"/>
        </w:rPr>
        <w:t>momento</w:t>
      </w:r>
      <w:r>
        <w:rPr>
          <w:color w:val="231F20"/>
          <w:spacing w:val="-42"/>
          <w:w w:val="105"/>
        </w:rPr>
        <w:t> </w:t>
      </w:r>
      <w:r>
        <w:rPr>
          <w:color w:val="231F20"/>
          <w:w w:val="105"/>
        </w:rPr>
        <w:t>fondamentale</w:t>
      </w:r>
      <w:r>
        <w:rPr>
          <w:color w:val="231F20"/>
          <w:spacing w:val="-42"/>
          <w:w w:val="105"/>
        </w:rPr>
        <w:t> </w:t>
      </w:r>
      <w:r>
        <w:rPr>
          <w:color w:val="231F20"/>
          <w:w w:val="105"/>
        </w:rPr>
        <w:t>di</w:t>
      </w:r>
      <w:r>
        <w:rPr>
          <w:color w:val="231F20"/>
          <w:spacing w:val="-42"/>
          <w:w w:val="105"/>
        </w:rPr>
        <w:t> </w:t>
      </w:r>
      <w:r>
        <w:rPr>
          <w:color w:val="231F20"/>
          <w:w w:val="105"/>
        </w:rPr>
        <w:t>quella che</w:t>
      </w:r>
      <w:r>
        <w:rPr>
          <w:color w:val="231F20"/>
          <w:spacing w:val="-50"/>
          <w:w w:val="105"/>
        </w:rPr>
        <w:t> </w:t>
      </w:r>
      <w:r>
        <w:rPr>
          <w:color w:val="231F20"/>
          <w:spacing w:val="-3"/>
          <w:w w:val="105"/>
        </w:rPr>
        <w:t>possiamo</w:t>
      </w:r>
      <w:r>
        <w:rPr>
          <w:color w:val="231F20"/>
          <w:spacing w:val="-50"/>
          <w:w w:val="105"/>
        </w:rPr>
        <w:t> </w:t>
      </w:r>
      <w:r>
        <w:rPr>
          <w:color w:val="231F20"/>
          <w:spacing w:val="-3"/>
          <w:w w:val="105"/>
        </w:rPr>
        <w:t>definire</w:t>
      </w:r>
      <w:r>
        <w:rPr>
          <w:color w:val="231F20"/>
          <w:spacing w:val="-50"/>
          <w:w w:val="105"/>
        </w:rPr>
        <w:t> </w:t>
      </w:r>
      <w:r>
        <w:rPr>
          <w:color w:val="231F20"/>
          <w:spacing w:val="-3"/>
          <w:w w:val="105"/>
        </w:rPr>
        <w:t>l’evanescenza</w:t>
      </w:r>
      <w:r>
        <w:rPr>
          <w:color w:val="231F20"/>
          <w:spacing w:val="-50"/>
          <w:w w:val="105"/>
        </w:rPr>
        <w:t> </w:t>
      </w:r>
      <w:r>
        <w:rPr>
          <w:color w:val="231F20"/>
          <w:spacing w:val="-3"/>
          <w:w w:val="105"/>
        </w:rPr>
        <w:t>dell’individuale</w:t>
      </w:r>
      <w:r>
        <w:rPr>
          <w:spacing w:val="-3"/>
          <w:w w:val="105"/>
          <w:position w:val="7"/>
          <w:sz w:val="12"/>
        </w:rPr>
        <w:t>68</w:t>
      </w:r>
      <w:r>
        <w:rPr>
          <w:color w:val="231F20"/>
          <w:spacing w:val="-3"/>
          <w:w w:val="105"/>
        </w:rPr>
        <w:t>.</w:t>
      </w:r>
      <w:r>
        <w:rPr>
          <w:color w:val="231F20"/>
          <w:spacing w:val="-50"/>
          <w:w w:val="105"/>
        </w:rPr>
        <w:t> </w:t>
      </w:r>
      <w:r>
        <w:rPr>
          <w:color w:val="231F20"/>
          <w:w w:val="105"/>
        </w:rPr>
        <w:t>Con</w:t>
      </w:r>
      <w:r>
        <w:rPr>
          <w:color w:val="231F20"/>
          <w:spacing w:val="-50"/>
          <w:w w:val="105"/>
        </w:rPr>
        <w:t> </w:t>
      </w:r>
      <w:r>
        <w:rPr>
          <w:color w:val="231F20"/>
          <w:w w:val="105"/>
        </w:rPr>
        <w:t>la</w:t>
      </w:r>
      <w:r>
        <w:rPr>
          <w:color w:val="231F20"/>
          <w:spacing w:val="-50"/>
          <w:w w:val="105"/>
        </w:rPr>
        <w:t> </w:t>
      </w:r>
      <w:r>
        <w:rPr>
          <w:color w:val="231F20"/>
          <w:spacing w:val="-3"/>
          <w:w w:val="105"/>
        </w:rPr>
        <w:t>svolta</w:t>
      </w:r>
      <w:r>
        <w:rPr>
          <w:color w:val="231F20"/>
          <w:spacing w:val="-50"/>
          <w:w w:val="105"/>
        </w:rPr>
        <w:t> </w:t>
      </w:r>
      <w:r>
        <w:rPr>
          <w:color w:val="231F20"/>
          <w:spacing w:val="-3"/>
          <w:w w:val="105"/>
        </w:rPr>
        <w:t>culturale, </w:t>
      </w:r>
      <w:r>
        <w:rPr>
          <w:color w:val="231F20"/>
          <w:w w:val="105"/>
        </w:rPr>
        <w:t>infatti,</w:t>
      </w:r>
      <w:r>
        <w:rPr>
          <w:color w:val="231F20"/>
          <w:spacing w:val="-20"/>
          <w:w w:val="105"/>
        </w:rPr>
        <w:t> </w:t>
      </w:r>
      <w:r>
        <w:rPr>
          <w:color w:val="231F20"/>
          <w:w w:val="105"/>
        </w:rPr>
        <w:t>l’individuo</w:t>
      </w:r>
      <w:r>
        <w:rPr>
          <w:color w:val="231F20"/>
          <w:spacing w:val="-20"/>
          <w:w w:val="105"/>
        </w:rPr>
        <w:t> </w:t>
      </w:r>
      <w:r>
        <w:rPr>
          <w:color w:val="231F20"/>
          <w:w w:val="105"/>
        </w:rPr>
        <w:t>viene</w:t>
      </w:r>
      <w:r>
        <w:rPr>
          <w:color w:val="231F20"/>
          <w:spacing w:val="-20"/>
          <w:w w:val="105"/>
        </w:rPr>
        <w:t> </w:t>
      </w:r>
      <w:r>
        <w:rPr>
          <w:color w:val="231F20"/>
          <w:w w:val="105"/>
        </w:rPr>
        <w:t>definitivamente</w:t>
      </w:r>
      <w:r>
        <w:rPr>
          <w:color w:val="231F20"/>
          <w:spacing w:val="-20"/>
          <w:w w:val="105"/>
        </w:rPr>
        <w:t> </w:t>
      </w:r>
      <w:r>
        <w:rPr>
          <w:color w:val="231F20"/>
          <w:w w:val="105"/>
        </w:rPr>
        <w:t>spodestato</w:t>
      </w:r>
      <w:r>
        <w:rPr>
          <w:color w:val="231F20"/>
          <w:spacing w:val="-20"/>
          <w:w w:val="105"/>
        </w:rPr>
        <w:t> </w:t>
      </w:r>
      <w:r>
        <w:rPr>
          <w:color w:val="231F20"/>
          <w:w w:val="105"/>
        </w:rPr>
        <w:t>dalla</w:t>
      </w:r>
      <w:r>
        <w:rPr>
          <w:color w:val="231F20"/>
          <w:spacing w:val="-20"/>
          <w:w w:val="105"/>
        </w:rPr>
        <w:t> </w:t>
      </w:r>
      <w:r>
        <w:rPr>
          <w:color w:val="231F20"/>
          <w:w w:val="105"/>
        </w:rPr>
        <w:t>sua</w:t>
      </w:r>
      <w:r>
        <w:rPr>
          <w:color w:val="231F20"/>
          <w:spacing w:val="-20"/>
          <w:w w:val="105"/>
        </w:rPr>
        <w:t> </w:t>
      </w:r>
      <w:r>
        <w:rPr>
          <w:color w:val="231F20"/>
          <w:w w:val="105"/>
        </w:rPr>
        <w:t>posizione</w:t>
      </w:r>
      <w:r>
        <w:rPr>
          <w:color w:val="231F20"/>
          <w:spacing w:val="-20"/>
          <w:w w:val="105"/>
        </w:rPr>
        <w:t> </w:t>
      </w:r>
      <w:r>
        <w:rPr>
          <w:color w:val="231F20"/>
          <w:w w:val="105"/>
        </w:rPr>
        <w:t>di </w:t>
      </w:r>
      <w:r>
        <w:rPr>
          <w:color w:val="231F20"/>
          <w:spacing w:val="-3"/>
          <w:w w:val="105"/>
        </w:rPr>
        <w:t>presupposto</w:t>
      </w:r>
      <w:r>
        <w:rPr>
          <w:color w:val="231F20"/>
          <w:spacing w:val="-43"/>
          <w:w w:val="105"/>
        </w:rPr>
        <w:t> </w:t>
      </w:r>
      <w:r>
        <w:rPr>
          <w:color w:val="231F20"/>
          <w:spacing w:val="-3"/>
          <w:w w:val="105"/>
        </w:rPr>
        <w:t>dell’ordine</w:t>
      </w:r>
      <w:r>
        <w:rPr>
          <w:color w:val="231F20"/>
          <w:spacing w:val="-43"/>
          <w:w w:val="105"/>
        </w:rPr>
        <w:t> </w:t>
      </w:r>
      <w:r>
        <w:rPr>
          <w:color w:val="231F20"/>
          <w:w w:val="105"/>
        </w:rPr>
        <w:t>politico</w:t>
      </w:r>
      <w:r>
        <w:rPr>
          <w:color w:val="231F20"/>
          <w:spacing w:val="-43"/>
          <w:w w:val="105"/>
        </w:rPr>
        <w:t> </w:t>
      </w:r>
      <w:r>
        <w:rPr>
          <w:color w:val="231F20"/>
          <w:w w:val="105"/>
        </w:rPr>
        <w:t>moderno.</w:t>
      </w:r>
      <w:r>
        <w:rPr>
          <w:color w:val="231F20"/>
          <w:spacing w:val="-43"/>
          <w:w w:val="105"/>
        </w:rPr>
        <w:t> </w:t>
      </w:r>
      <w:r>
        <w:rPr>
          <w:color w:val="231F20"/>
          <w:w w:val="105"/>
        </w:rPr>
        <w:t>Viene</w:t>
      </w:r>
      <w:r>
        <w:rPr>
          <w:color w:val="231F20"/>
          <w:spacing w:val="-43"/>
          <w:w w:val="105"/>
        </w:rPr>
        <w:t> </w:t>
      </w:r>
      <w:r>
        <w:rPr>
          <w:color w:val="231F20"/>
          <w:w w:val="105"/>
        </w:rPr>
        <w:t>di</w:t>
      </w:r>
      <w:r>
        <w:rPr>
          <w:color w:val="231F20"/>
          <w:spacing w:val="-43"/>
          <w:w w:val="105"/>
        </w:rPr>
        <w:t> </w:t>
      </w:r>
      <w:r>
        <w:rPr>
          <w:color w:val="231F20"/>
          <w:w w:val="105"/>
        </w:rPr>
        <w:t>conseguenza</w:t>
      </w:r>
      <w:r>
        <w:rPr>
          <w:color w:val="231F20"/>
          <w:spacing w:val="-43"/>
          <w:w w:val="105"/>
        </w:rPr>
        <w:t> </w:t>
      </w:r>
      <w:r>
        <w:rPr>
          <w:color w:val="231F20"/>
          <w:w w:val="105"/>
        </w:rPr>
        <w:t>modificata </w:t>
      </w:r>
      <w:r>
        <w:rPr>
          <w:color w:val="231F20"/>
          <w:spacing w:val="3"/>
          <w:w w:val="105"/>
        </w:rPr>
        <w:t>l’idea </w:t>
      </w:r>
      <w:r>
        <w:rPr>
          <w:color w:val="231F20"/>
          <w:w w:val="105"/>
        </w:rPr>
        <w:t>di </w:t>
      </w:r>
      <w:r>
        <w:rPr>
          <w:color w:val="231F20"/>
          <w:spacing w:val="2"/>
          <w:w w:val="105"/>
        </w:rPr>
        <w:t>una </w:t>
      </w:r>
      <w:r>
        <w:rPr>
          <w:color w:val="231F20"/>
          <w:spacing w:val="3"/>
          <w:w w:val="105"/>
        </w:rPr>
        <w:t>sfera pubblica unitaria così come </w:t>
      </w:r>
      <w:r>
        <w:rPr>
          <w:color w:val="231F20"/>
          <w:w w:val="105"/>
        </w:rPr>
        <w:t>si è </w:t>
      </w:r>
      <w:r>
        <w:rPr>
          <w:color w:val="231F20"/>
          <w:spacing w:val="3"/>
          <w:w w:val="105"/>
        </w:rPr>
        <w:t>storicamente </w:t>
      </w:r>
      <w:r>
        <w:rPr>
          <w:color w:val="231F20"/>
          <w:spacing w:val="4"/>
          <w:w w:val="105"/>
        </w:rPr>
        <w:t>data </w:t>
      </w:r>
      <w:r>
        <w:rPr>
          <w:color w:val="231F20"/>
          <w:w w:val="105"/>
        </w:rPr>
        <w:t>all’interno</w:t>
      </w:r>
      <w:r>
        <w:rPr>
          <w:color w:val="231F20"/>
          <w:spacing w:val="-42"/>
          <w:w w:val="105"/>
        </w:rPr>
        <w:t> </w:t>
      </w:r>
      <w:r>
        <w:rPr>
          <w:color w:val="231F20"/>
          <w:w w:val="105"/>
        </w:rPr>
        <w:t>dello</w:t>
      </w:r>
      <w:r>
        <w:rPr>
          <w:color w:val="231F20"/>
          <w:spacing w:val="-41"/>
          <w:w w:val="105"/>
        </w:rPr>
        <w:t> </w:t>
      </w:r>
      <w:r>
        <w:rPr>
          <w:color w:val="231F20"/>
          <w:w w:val="105"/>
        </w:rPr>
        <w:t>Stato</w:t>
      </w:r>
      <w:r>
        <w:rPr>
          <w:color w:val="231F20"/>
          <w:spacing w:val="-41"/>
          <w:w w:val="105"/>
        </w:rPr>
        <w:t> </w:t>
      </w:r>
      <w:r>
        <w:rPr>
          <w:color w:val="231F20"/>
          <w:w w:val="105"/>
        </w:rPr>
        <w:t>nazionale,</w:t>
      </w:r>
      <w:r>
        <w:rPr>
          <w:color w:val="231F20"/>
          <w:spacing w:val="-41"/>
          <w:w w:val="105"/>
        </w:rPr>
        <w:t> </w:t>
      </w:r>
      <w:r>
        <w:rPr>
          <w:color w:val="231F20"/>
          <w:w w:val="105"/>
        </w:rPr>
        <w:t>ovvero</w:t>
      </w:r>
      <w:r>
        <w:rPr>
          <w:color w:val="231F20"/>
          <w:spacing w:val="-41"/>
          <w:w w:val="105"/>
        </w:rPr>
        <w:t> </w:t>
      </w:r>
      <w:r>
        <w:rPr>
          <w:color w:val="231F20"/>
          <w:w w:val="105"/>
        </w:rPr>
        <w:t>come</w:t>
      </w:r>
      <w:r>
        <w:rPr>
          <w:color w:val="231F20"/>
          <w:spacing w:val="-42"/>
          <w:w w:val="105"/>
        </w:rPr>
        <w:t> </w:t>
      </w:r>
      <w:r>
        <w:rPr>
          <w:color w:val="231F20"/>
          <w:w w:val="105"/>
        </w:rPr>
        <w:t>correlato</w:t>
      </w:r>
      <w:r>
        <w:rPr>
          <w:color w:val="231F20"/>
          <w:spacing w:val="-42"/>
          <w:w w:val="105"/>
        </w:rPr>
        <w:t> </w:t>
      </w:r>
      <w:r>
        <w:rPr>
          <w:color w:val="231F20"/>
          <w:w w:val="105"/>
        </w:rPr>
        <w:t>e</w:t>
      </w:r>
      <w:r>
        <w:rPr>
          <w:color w:val="231F20"/>
          <w:spacing w:val="-41"/>
          <w:w w:val="105"/>
        </w:rPr>
        <w:t> </w:t>
      </w:r>
      <w:r>
        <w:rPr>
          <w:color w:val="231F20"/>
          <w:w w:val="105"/>
        </w:rPr>
        <w:t>fondamento</w:t>
      </w:r>
      <w:r>
        <w:rPr>
          <w:color w:val="231F20"/>
          <w:spacing w:val="-41"/>
          <w:w w:val="105"/>
        </w:rPr>
        <w:t> </w:t>
      </w:r>
      <w:r>
        <w:rPr>
          <w:color w:val="231F20"/>
          <w:w w:val="105"/>
        </w:rPr>
        <w:t>della sua legittimità. Le opinioni, le posizioni rispetto ai valori non si formano nel</w:t>
      </w:r>
      <w:r>
        <w:rPr>
          <w:color w:val="231F20"/>
          <w:spacing w:val="-27"/>
          <w:w w:val="105"/>
        </w:rPr>
        <w:t> </w:t>
      </w:r>
      <w:r>
        <w:rPr>
          <w:color w:val="231F20"/>
          <w:w w:val="105"/>
        </w:rPr>
        <w:t>dibattito</w:t>
      </w:r>
      <w:r>
        <w:rPr>
          <w:color w:val="231F20"/>
          <w:spacing w:val="-27"/>
          <w:w w:val="105"/>
        </w:rPr>
        <w:t> </w:t>
      </w:r>
      <w:r>
        <w:rPr>
          <w:color w:val="231F20"/>
          <w:w w:val="105"/>
        </w:rPr>
        <w:t>tra</w:t>
      </w:r>
      <w:r>
        <w:rPr>
          <w:color w:val="231F20"/>
          <w:spacing w:val="-27"/>
          <w:w w:val="105"/>
        </w:rPr>
        <w:t> </w:t>
      </w:r>
      <w:r>
        <w:rPr>
          <w:color w:val="231F20"/>
          <w:w w:val="105"/>
        </w:rPr>
        <w:t>individui,</w:t>
      </w:r>
      <w:r>
        <w:rPr>
          <w:color w:val="231F20"/>
          <w:spacing w:val="-27"/>
          <w:w w:val="105"/>
        </w:rPr>
        <w:t> </w:t>
      </w:r>
      <w:r>
        <w:rPr>
          <w:color w:val="231F20"/>
          <w:w w:val="105"/>
        </w:rPr>
        <w:t>ma</w:t>
      </w:r>
      <w:r>
        <w:rPr>
          <w:color w:val="231F20"/>
          <w:spacing w:val="-27"/>
          <w:w w:val="105"/>
        </w:rPr>
        <w:t> </w:t>
      </w:r>
      <w:r>
        <w:rPr>
          <w:color w:val="231F20"/>
          <w:w w:val="105"/>
        </w:rPr>
        <w:t>sono</w:t>
      </w:r>
      <w:r>
        <w:rPr>
          <w:color w:val="231F20"/>
          <w:spacing w:val="-27"/>
          <w:w w:val="105"/>
        </w:rPr>
        <w:t> </w:t>
      </w:r>
      <w:r>
        <w:rPr>
          <w:color w:val="231F20"/>
          <w:w w:val="105"/>
        </w:rPr>
        <w:t>assegnate</w:t>
      </w:r>
      <w:r>
        <w:rPr>
          <w:color w:val="231F20"/>
          <w:spacing w:val="-27"/>
          <w:w w:val="105"/>
        </w:rPr>
        <w:t> </w:t>
      </w:r>
      <w:r>
        <w:rPr>
          <w:color w:val="231F20"/>
          <w:w w:val="105"/>
        </w:rPr>
        <w:t>e</w:t>
      </w:r>
      <w:r>
        <w:rPr>
          <w:color w:val="231F20"/>
          <w:spacing w:val="-27"/>
          <w:w w:val="105"/>
        </w:rPr>
        <w:t> </w:t>
      </w:r>
      <w:r>
        <w:rPr>
          <w:color w:val="231F20"/>
          <w:w w:val="105"/>
        </w:rPr>
        <w:t>riconosciute</w:t>
      </w:r>
      <w:r>
        <w:rPr>
          <w:color w:val="231F20"/>
          <w:spacing w:val="-27"/>
          <w:w w:val="105"/>
        </w:rPr>
        <w:t> </w:t>
      </w:r>
      <w:r>
        <w:rPr>
          <w:color w:val="231F20"/>
          <w:w w:val="105"/>
        </w:rPr>
        <w:t>a</w:t>
      </w:r>
      <w:r>
        <w:rPr>
          <w:color w:val="231F20"/>
          <w:spacing w:val="-27"/>
          <w:w w:val="105"/>
        </w:rPr>
        <w:t> </w:t>
      </w:r>
      <w:r>
        <w:rPr>
          <w:color w:val="231F20"/>
          <w:w w:val="105"/>
        </w:rPr>
        <w:t>partire</w:t>
      </w:r>
      <w:r>
        <w:rPr>
          <w:color w:val="231F20"/>
          <w:spacing w:val="-27"/>
          <w:w w:val="105"/>
        </w:rPr>
        <w:t> </w:t>
      </w:r>
      <w:r>
        <w:rPr>
          <w:color w:val="231F20"/>
          <w:w w:val="105"/>
        </w:rPr>
        <w:t>dagli ambiti</w:t>
      </w:r>
      <w:r>
        <w:rPr>
          <w:color w:val="231F20"/>
          <w:spacing w:val="-36"/>
          <w:w w:val="105"/>
        </w:rPr>
        <w:t> </w:t>
      </w:r>
      <w:r>
        <w:rPr>
          <w:color w:val="231F20"/>
          <w:w w:val="105"/>
        </w:rPr>
        <w:t>culturali,</w:t>
      </w:r>
      <w:r>
        <w:rPr>
          <w:color w:val="231F20"/>
          <w:spacing w:val="-36"/>
          <w:w w:val="105"/>
        </w:rPr>
        <w:t> </w:t>
      </w:r>
      <w:r>
        <w:rPr>
          <w:color w:val="231F20"/>
          <w:w w:val="105"/>
        </w:rPr>
        <w:t>che</w:t>
      </w:r>
      <w:r>
        <w:rPr>
          <w:color w:val="231F20"/>
          <w:spacing w:val="-36"/>
          <w:w w:val="105"/>
        </w:rPr>
        <w:t> </w:t>
      </w:r>
      <w:r>
        <w:rPr>
          <w:color w:val="231F20"/>
          <w:w w:val="105"/>
        </w:rPr>
        <w:t>sono</w:t>
      </w:r>
      <w:r>
        <w:rPr>
          <w:color w:val="231F20"/>
          <w:spacing w:val="-36"/>
          <w:w w:val="105"/>
        </w:rPr>
        <w:t> </w:t>
      </w:r>
      <w:r>
        <w:rPr>
          <w:color w:val="231F20"/>
          <w:w w:val="105"/>
        </w:rPr>
        <w:t>per</w:t>
      </w:r>
      <w:r>
        <w:rPr>
          <w:color w:val="231F20"/>
          <w:spacing w:val="-36"/>
          <w:w w:val="105"/>
        </w:rPr>
        <w:t> </w:t>
      </w:r>
      <w:r>
        <w:rPr>
          <w:color w:val="231F20"/>
          <w:w w:val="105"/>
        </w:rPr>
        <w:t>definizione</w:t>
      </w:r>
      <w:r>
        <w:rPr>
          <w:color w:val="231F20"/>
          <w:spacing w:val="-36"/>
          <w:w w:val="105"/>
        </w:rPr>
        <w:t> </w:t>
      </w:r>
      <w:r>
        <w:rPr>
          <w:color w:val="231F20"/>
          <w:w w:val="105"/>
        </w:rPr>
        <w:t>plurali</w:t>
      </w:r>
      <w:r>
        <w:rPr>
          <w:color w:val="231F20"/>
          <w:spacing w:val="-36"/>
          <w:w w:val="105"/>
        </w:rPr>
        <w:t> </w:t>
      </w:r>
      <w:r>
        <w:rPr>
          <w:color w:val="231F20"/>
          <w:w w:val="105"/>
        </w:rPr>
        <w:t>e</w:t>
      </w:r>
      <w:r>
        <w:rPr>
          <w:color w:val="231F20"/>
          <w:spacing w:val="-36"/>
          <w:w w:val="105"/>
        </w:rPr>
        <w:t> </w:t>
      </w:r>
      <w:r>
        <w:rPr>
          <w:color w:val="231F20"/>
          <w:w w:val="105"/>
        </w:rPr>
        <w:t>non</w:t>
      </w:r>
      <w:r>
        <w:rPr>
          <w:color w:val="231F20"/>
          <w:spacing w:val="-36"/>
          <w:w w:val="105"/>
        </w:rPr>
        <w:t> </w:t>
      </w:r>
      <w:r>
        <w:rPr>
          <w:color w:val="231F20"/>
          <w:w w:val="105"/>
        </w:rPr>
        <w:t>confinabili</w:t>
      </w:r>
      <w:r>
        <w:rPr>
          <w:color w:val="231F20"/>
          <w:spacing w:val="-36"/>
          <w:w w:val="105"/>
        </w:rPr>
        <w:t> </w:t>
      </w:r>
      <w:r>
        <w:rPr>
          <w:color w:val="231F20"/>
          <w:w w:val="105"/>
        </w:rPr>
        <w:t>all’interno dello</w:t>
      </w:r>
      <w:r>
        <w:rPr>
          <w:color w:val="231F20"/>
          <w:spacing w:val="-28"/>
          <w:w w:val="105"/>
        </w:rPr>
        <w:t> </w:t>
      </w:r>
      <w:r>
        <w:rPr>
          <w:color w:val="231F20"/>
          <w:w w:val="105"/>
        </w:rPr>
        <w:t>Stato.</w:t>
      </w:r>
      <w:r>
        <w:rPr>
          <w:color w:val="231F20"/>
          <w:spacing w:val="-28"/>
          <w:w w:val="105"/>
        </w:rPr>
        <w:t> </w:t>
      </w:r>
      <w:r>
        <w:rPr>
          <w:color w:val="231F20"/>
          <w:w w:val="105"/>
        </w:rPr>
        <w:t>Un</w:t>
      </w:r>
      <w:r>
        <w:rPr>
          <w:color w:val="231F20"/>
          <w:spacing w:val="-28"/>
          <w:w w:val="105"/>
        </w:rPr>
        <w:t> </w:t>
      </w:r>
      <w:r>
        <w:rPr>
          <w:color w:val="231F20"/>
          <w:w w:val="105"/>
        </w:rPr>
        <w:t>secondo</w:t>
      </w:r>
      <w:r>
        <w:rPr>
          <w:color w:val="231F20"/>
          <w:spacing w:val="-28"/>
          <w:w w:val="105"/>
        </w:rPr>
        <w:t> </w:t>
      </w:r>
      <w:r>
        <w:rPr>
          <w:color w:val="231F20"/>
          <w:w w:val="105"/>
        </w:rPr>
        <w:t>effetto</w:t>
      </w:r>
      <w:r>
        <w:rPr>
          <w:color w:val="231F20"/>
          <w:spacing w:val="-28"/>
          <w:w w:val="105"/>
        </w:rPr>
        <w:t> </w:t>
      </w:r>
      <w:r>
        <w:rPr>
          <w:color w:val="231F20"/>
          <w:w w:val="105"/>
        </w:rPr>
        <w:t>è</w:t>
      </w:r>
      <w:r>
        <w:rPr>
          <w:color w:val="231F20"/>
          <w:spacing w:val="-28"/>
          <w:w w:val="105"/>
        </w:rPr>
        <w:t> </w:t>
      </w:r>
      <w:r>
        <w:rPr>
          <w:color w:val="231F20"/>
          <w:w w:val="105"/>
        </w:rPr>
        <w:t>quello</w:t>
      </w:r>
      <w:r>
        <w:rPr>
          <w:color w:val="231F20"/>
          <w:spacing w:val="-28"/>
          <w:w w:val="105"/>
        </w:rPr>
        <w:t> </w:t>
      </w:r>
      <w:r>
        <w:rPr>
          <w:color w:val="231F20"/>
          <w:w w:val="105"/>
        </w:rPr>
        <w:t>di</w:t>
      </w:r>
      <w:r>
        <w:rPr>
          <w:color w:val="231F20"/>
          <w:spacing w:val="-28"/>
          <w:w w:val="105"/>
        </w:rPr>
        <w:t> </w:t>
      </w:r>
      <w:r>
        <w:rPr>
          <w:color w:val="231F20"/>
          <w:w w:val="105"/>
        </w:rPr>
        <w:t>mostrare</w:t>
      </w:r>
      <w:r>
        <w:rPr>
          <w:color w:val="231F20"/>
          <w:spacing w:val="-28"/>
          <w:w w:val="105"/>
        </w:rPr>
        <w:t> </w:t>
      </w:r>
      <w:r>
        <w:rPr>
          <w:color w:val="231F20"/>
          <w:w w:val="105"/>
        </w:rPr>
        <w:t>la</w:t>
      </w:r>
      <w:r>
        <w:rPr>
          <w:color w:val="231F20"/>
          <w:spacing w:val="-28"/>
          <w:w w:val="105"/>
        </w:rPr>
        <w:t> </w:t>
      </w:r>
      <w:r>
        <w:rPr>
          <w:color w:val="231F20"/>
          <w:w w:val="105"/>
        </w:rPr>
        <w:t>globalizzazione</w:t>
      </w:r>
      <w:r>
        <w:rPr>
          <w:color w:val="231F20"/>
          <w:spacing w:val="-28"/>
          <w:w w:val="105"/>
        </w:rPr>
        <w:t> </w:t>
      </w:r>
      <w:r>
        <w:rPr>
          <w:color w:val="231F20"/>
          <w:w w:val="105"/>
        </w:rPr>
        <w:t>non solo</w:t>
      </w:r>
      <w:r>
        <w:rPr>
          <w:color w:val="231F20"/>
          <w:spacing w:val="-39"/>
          <w:w w:val="105"/>
        </w:rPr>
        <w:t> </w:t>
      </w:r>
      <w:r>
        <w:rPr>
          <w:color w:val="231F20"/>
          <w:w w:val="105"/>
        </w:rPr>
        <w:t>come</w:t>
      </w:r>
      <w:r>
        <w:rPr>
          <w:color w:val="231F20"/>
          <w:spacing w:val="-39"/>
          <w:w w:val="105"/>
        </w:rPr>
        <w:t> </w:t>
      </w:r>
      <w:r>
        <w:rPr>
          <w:color w:val="231F20"/>
          <w:w w:val="105"/>
        </w:rPr>
        <w:t>ingenua</w:t>
      </w:r>
      <w:r>
        <w:rPr>
          <w:color w:val="231F20"/>
          <w:spacing w:val="-39"/>
          <w:w w:val="105"/>
        </w:rPr>
        <w:t> </w:t>
      </w:r>
      <w:r>
        <w:rPr>
          <w:color w:val="231F20"/>
          <w:w w:val="105"/>
        </w:rPr>
        <w:t>e</w:t>
      </w:r>
      <w:r>
        <w:rPr>
          <w:color w:val="231F20"/>
          <w:spacing w:val="-39"/>
          <w:w w:val="105"/>
        </w:rPr>
        <w:t> </w:t>
      </w:r>
      <w:r>
        <w:rPr>
          <w:color w:val="231F20"/>
          <w:w w:val="105"/>
        </w:rPr>
        <w:t>universale</w:t>
      </w:r>
      <w:r>
        <w:rPr>
          <w:color w:val="231F20"/>
          <w:spacing w:val="-39"/>
          <w:w w:val="105"/>
        </w:rPr>
        <w:t> </w:t>
      </w:r>
      <w:r>
        <w:rPr>
          <w:color w:val="231F20"/>
          <w:w w:val="105"/>
        </w:rPr>
        <w:t>connessione</w:t>
      </w:r>
      <w:r>
        <w:rPr>
          <w:color w:val="231F20"/>
          <w:spacing w:val="-39"/>
          <w:w w:val="105"/>
        </w:rPr>
        <w:t> </w:t>
      </w:r>
      <w:r>
        <w:rPr>
          <w:color w:val="231F20"/>
          <w:w w:val="105"/>
        </w:rPr>
        <w:t>di</w:t>
      </w:r>
      <w:r>
        <w:rPr>
          <w:color w:val="231F20"/>
          <w:spacing w:val="-39"/>
          <w:w w:val="105"/>
        </w:rPr>
        <w:t> </w:t>
      </w:r>
      <w:r>
        <w:rPr>
          <w:color w:val="231F20"/>
          <w:w w:val="105"/>
        </w:rPr>
        <w:t>particolarità</w:t>
      </w:r>
      <w:r>
        <w:rPr>
          <w:color w:val="231F20"/>
          <w:spacing w:val="-39"/>
          <w:w w:val="105"/>
        </w:rPr>
        <w:t> </w:t>
      </w:r>
      <w:r>
        <w:rPr>
          <w:color w:val="231F20"/>
          <w:w w:val="105"/>
        </w:rPr>
        <w:t>e</w:t>
      </w:r>
      <w:r>
        <w:rPr>
          <w:color w:val="231F20"/>
          <w:spacing w:val="-39"/>
          <w:w w:val="105"/>
        </w:rPr>
        <w:t> </w:t>
      </w:r>
      <w:r>
        <w:rPr>
          <w:color w:val="231F20"/>
          <w:w w:val="105"/>
        </w:rPr>
        <w:t>di</w:t>
      </w:r>
      <w:r>
        <w:rPr>
          <w:color w:val="231F20"/>
          <w:spacing w:val="-39"/>
          <w:w w:val="105"/>
        </w:rPr>
        <w:t> </w:t>
      </w:r>
      <w:r>
        <w:rPr>
          <w:color w:val="231F20"/>
          <w:w w:val="105"/>
        </w:rPr>
        <w:t>differenze, ma</w:t>
      </w:r>
      <w:r>
        <w:rPr>
          <w:color w:val="231F20"/>
          <w:spacing w:val="-32"/>
          <w:w w:val="105"/>
        </w:rPr>
        <w:t> </w:t>
      </w:r>
      <w:r>
        <w:rPr>
          <w:color w:val="231F20"/>
          <w:w w:val="105"/>
        </w:rPr>
        <w:t>anche</w:t>
      </w:r>
      <w:r>
        <w:rPr>
          <w:color w:val="231F20"/>
          <w:spacing w:val="-32"/>
          <w:w w:val="105"/>
        </w:rPr>
        <w:t> </w:t>
      </w:r>
      <w:r>
        <w:rPr>
          <w:color w:val="231F20"/>
          <w:w w:val="105"/>
        </w:rPr>
        <w:t>come</w:t>
      </w:r>
      <w:r>
        <w:rPr>
          <w:color w:val="231F20"/>
          <w:spacing w:val="-32"/>
          <w:w w:val="105"/>
        </w:rPr>
        <w:t> </w:t>
      </w:r>
      <w:r>
        <w:rPr>
          <w:color w:val="231F20"/>
          <w:w w:val="105"/>
        </w:rPr>
        <w:t>irruzione</w:t>
      </w:r>
      <w:r>
        <w:rPr>
          <w:color w:val="231F20"/>
          <w:spacing w:val="-32"/>
          <w:w w:val="105"/>
        </w:rPr>
        <w:t> </w:t>
      </w:r>
      <w:r>
        <w:rPr>
          <w:color w:val="231F20"/>
          <w:w w:val="105"/>
        </w:rPr>
        <w:t>di</w:t>
      </w:r>
      <w:r>
        <w:rPr>
          <w:color w:val="231F20"/>
          <w:spacing w:val="-32"/>
          <w:w w:val="105"/>
        </w:rPr>
        <w:t> </w:t>
      </w:r>
      <w:r>
        <w:rPr>
          <w:color w:val="231F20"/>
          <w:w w:val="105"/>
        </w:rPr>
        <w:t>differenze</w:t>
      </w:r>
      <w:r>
        <w:rPr>
          <w:color w:val="231F20"/>
          <w:spacing w:val="-32"/>
          <w:w w:val="105"/>
        </w:rPr>
        <w:t> </w:t>
      </w:r>
      <w:r>
        <w:rPr>
          <w:color w:val="231F20"/>
          <w:w w:val="105"/>
        </w:rPr>
        <w:t>inconciliabili</w:t>
      </w:r>
      <w:r>
        <w:rPr>
          <w:color w:val="231F20"/>
          <w:spacing w:val="-32"/>
          <w:w w:val="105"/>
        </w:rPr>
        <w:t> </w:t>
      </w:r>
      <w:r>
        <w:rPr>
          <w:color w:val="231F20"/>
          <w:w w:val="105"/>
        </w:rPr>
        <w:t>dentro</w:t>
      </w:r>
      <w:r>
        <w:rPr>
          <w:color w:val="231F20"/>
          <w:spacing w:val="-32"/>
          <w:w w:val="105"/>
        </w:rPr>
        <w:t> </w:t>
      </w:r>
      <w:r>
        <w:rPr>
          <w:color w:val="231F20"/>
          <w:w w:val="105"/>
        </w:rPr>
        <w:t>la</w:t>
      </w:r>
      <w:r>
        <w:rPr>
          <w:color w:val="231F20"/>
          <w:spacing w:val="-32"/>
          <w:w w:val="105"/>
        </w:rPr>
        <w:t> </w:t>
      </w:r>
      <w:r>
        <w:rPr>
          <w:color w:val="231F20"/>
          <w:w w:val="105"/>
        </w:rPr>
        <w:t>forma</w:t>
      </w:r>
      <w:r>
        <w:rPr>
          <w:color w:val="231F20"/>
          <w:spacing w:val="-32"/>
          <w:w w:val="105"/>
        </w:rPr>
        <w:t> </w:t>
      </w:r>
      <w:r>
        <w:rPr>
          <w:color w:val="231F20"/>
          <w:w w:val="105"/>
        </w:rPr>
        <w:t>storica dello</w:t>
      </w:r>
      <w:r>
        <w:rPr>
          <w:color w:val="231F20"/>
          <w:spacing w:val="-47"/>
          <w:w w:val="105"/>
        </w:rPr>
        <w:t> </w:t>
      </w:r>
      <w:r>
        <w:rPr>
          <w:color w:val="231F20"/>
          <w:w w:val="105"/>
        </w:rPr>
        <w:t>Stato</w:t>
      </w:r>
      <w:r>
        <w:rPr>
          <w:color w:val="231F20"/>
          <w:spacing w:val="-47"/>
          <w:w w:val="105"/>
        </w:rPr>
        <w:t> </w:t>
      </w:r>
      <w:r>
        <w:rPr>
          <w:color w:val="231F20"/>
          <w:w w:val="105"/>
        </w:rPr>
        <w:t>nazionale</w:t>
      </w:r>
      <w:r>
        <w:rPr>
          <w:color w:val="231F20"/>
          <w:spacing w:val="-47"/>
          <w:w w:val="105"/>
        </w:rPr>
        <w:t> </w:t>
      </w:r>
      <w:r>
        <w:rPr>
          <w:color w:val="231F20"/>
          <w:w w:val="105"/>
        </w:rPr>
        <w:t>moderno.</w:t>
      </w:r>
      <w:r>
        <w:rPr>
          <w:color w:val="231F20"/>
          <w:spacing w:val="-47"/>
          <w:w w:val="105"/>
        </w:rPr>
        <w:t> </w:t>
      </w:r>
      <w:r>
        <w:rPr>
          <w:color w:val="231F20"/>
          <w:w w:val="105"/>
        </w:rPr>
        <w:t>Se</w:t>
      </w:r>
      <w:r>
        <w:rPr>
          <w:color w:val="231F20"/>
          <w:spacing w:val="-47"/>
          <w:w w:val="105"/>
        </w:rPr>
        <w:t> </w:t>
      </w:r>
      <w:r>
        <w:rPr>
          <w:color w:val="231F20"/>
          <w:w w:val="105"/>
        </w:rPr>
        <w:t>la</w:t>
      </w:r>
      <w:r>
        <w:rPr>
          <w:color w:val="231F20"/>
          <w:spacing w:val="-47"/>
          <w:w w:val="105"/>
        </w:rPr>
        <w:t> </w:t>
      </w:r>
      <w:r>
        <w:rPr>
          <w:color w:val="231F20"/>
          <w:w w:val="105"/>
        </w:rPr>
        <w:t>globalizzazione</w:t>
      </w:r>
      <w:r>
        <w:rPr>
          <w:color w:val="231F20"/>
          <w:spacing w:val="-47"/>
          <w:w w:val="105"/>
        </w:rPr>
        <w:t> </w:t>
      </w:r>
      <w:r>
        <w:rPr>
          <w:color w:val="231F20"/>
          <w:w w:val="105"/>
        </w:rPr>
        <w:t>non</w:t>
      </w:r>
      <w:r>
        <w:rPr>
          <w:color w:val="231F20"/>
          <w:spacing w:val="-47"/>
          <w:w w:val="105"/>
        </w:rPr>
        <w:t> </w:t>
      </w:r>
      <w:r>
        <w:rPr>
          <w:color w:val="231F20"/>
          <w:w w:val="105"/>
        </w:rPr>
        <w:t>ha</w:t>
      </w:r>
      <w:r>
        <w:rPr>
          <w:color w:val="231F20"/>
          <w:spacing w:val="-47"/>
          <w:w w:val="105"/>
        </w:rPr>
        <w:t> </w:t>
      </w:r>
      <w:r>
        <w:rPr>
          <w:color w:val="231F20"/>
          <w:w w:val="105"/>
        </w:rPr>
        <w:t>evidentemente cancellato</w:t>
      </w:r>
      <w:r>
        <w:rPr>
          <w:color w:val="231F20"/>
          <w:spacing w:val="-24"/>
          <w:w w:val="105"/>
        </w:rPr>
        <w:t> </w:t>
      </w:r>
      <w:r>
        <w:rPr>
          <w:color w:val="231F20"/>
          <w:w w:val="105"/>
        </w:rPr>
        <w:t>la</w:t>
      </w:r>
      <w:r>
        <w:rPr>
          <w:color w:val="231F20"/>
          <w:spacing w:val="-24"/>
          <w:w w:val="105"/>
        </w:rPr>
        <w:t> </w:t>
      </w:r>
      <w:r>
        <w:rPr>
          <w:color w:val="231F20"/>
          <w:w w:val="105"/>
        </w:rPr>
        <w:t>presenza</w:t>
      </w:r>
      <w:r>
        <w:rPr>
          <w:color w:val="231F20"/>
          <w:spacing w:val="-24"/>
          <w:w w:val="105"/>
        </w:rPr>
        <w:t> </w:t>
      </w:r>
      <w:r>
        <w:rPr>
          <w:color w:val="231F20"/>
          <w:w w:val="105"/>
        </w:rPr>
        <w:t>o</w:t>
      </w:r>
      <w:r>
        <w:rPr>
          <w:color w:val="231F20"/>
          <w:spacing w:val="-24"/>
          <w:w w:val="105"/>
        </w:rPr>
        <w:t> </w:t>
      </w:r>
      <w:r>
        <w:rPr>
          <w:color w:val="231F20"/>
          <w:w w:val="105"/>
        </w:rPr>
        <w:t>la</w:t>
      </w:r>
      <w:r>
        <w:rPr>
          <w:color w:val="231F20"/>
          <w:spacing w:val="-24"/>
          <w:w w:val="105"/>
        </w:rPr>
        <w:t> </w:t>
      </w:r>
      <w:r>
        <w:rPr>
          <w:color w:val="231F20"/>
          <w:w w:val="105"/>
        </w:rPr>
        <w:t>rilevanza</w:t>
      </w:r>
      <w:r>
        <w:rPr>
          <w:color w:val="231F20"/>
          <w:spacing w:val="-24"/>
          <w:w w:val="105"/>
        </w:rPr>
        <w:t> </w:t>
      </w:r>
      <w:r>
        <w:rPr>
          <w:color w:val="231F20"/>
          <w:w w:val="105"/>
        </w:rPr>
        <w:t>assoluta</w:t>
      </w:r>
      <w:r>
        <w:rPr>
          <w:color w:val="231F20"/>
          <w:spacing w:val="-24"/>
          <w:w w:val="105"/>
        </w:rPr>
        <w:t> </w:t>
      </w:r>
      <w:r>
        <w:rPr>
          <w:color w:val="231F20"/>
          <w:w w:val="105"/>
        </w:rPr>
        <w:t>degli</w:t>
      </w:r>
      <w:r>
        <w:rPr>
          <w:color w:val="231F20"/>
          <w:spacing w:val="-24"/>
          <w:w w:val="105"/>
        </w:rPr>
        <w:t> </w:t>
      </w:r>
      <w:r>
        <w:rPr>
          <w:color w:val="231F20"/>
          <w:w w:val="105"/>
        </w:rPr>
        <w:t>Stati</w:t>
      </w:r>
      <w:r>
        <w:rPr>
          <w:color w:val="231F20"/>
          <w:spacing w:val="-24"/>
          <w:w w:val="105"/>
        </w:rPr>
        <w:t> </w:t>
      </w:r>
      <w:r>
        <w:rPr>
          <w:color w:val="231F20"/>
          <w:w w:val="105"/>
        </w:rPr>
        <w:t>nazionali,</w:t>
      </w:r>
      <w:r>
        <w:rPr>
          <w:color w:val="231F20"/>
          <w:spacing w:val="-24"/>
          <w:w w:val="105"/>
        </w:rPr>
        <w:t> </w:t>
      </w:r>
      <w:r>
        <w:rPr>
          <w:color w:val="231F20"/>
          <w:w w:val="105"/>
        </w:rPr>
        <w:t>essa</w:t>
      </w:r>
      <w:r>
        <w:rPr>
          <w:color w:val="231F20"/>
          <w:spacing w:val="-24"/>
          <w:w w:val="105"/>
        </w:rPr>
        <w:t> </w:t>
      </w:r>
      <w:r>
        <w:rPr>
          <w:color w:val="231F20"/>
          <w:w w:val="105"/>
        </w:rPr>
        <w:t>ha certamente</w:t>
      </w:r>
      <w:r>
        <w:rPr>
          <w:color w:val="231F20"/>
          <w:spacing w:val="-49"/>
          <w:w w:val="105"/>
        </w:rPr>
        <w:t> </w:t>
      </w:r>
      <w:r>
        <w:rPr>
          <w:color w:val="231F20"/>
          <w:w w:val="105"/>
        </w:rPr>
        <w:t>interrotto</w:t>
      </w:r>
      <w:r>
        <w:rPr>
          <w:color w:val="231F20"/>
          <w:spacing w:val="-49"/>
          <w:w w:val="105"/>
        </w:rPr>
        <w:t> </w:t>
      </w:r>
      <w:r>
        <w:rPr>
          <w:color w:val="231F20"/>
          <w:w w:val="105"/>
        </w:rPr>
        <w:t>il</w:t>
      </w:r>
      <w:r>
        <w:rPr>
          <w:color w:val="231F20"/>
          <w:spacing w:val="-49"/>
          <w:w w:val="105"/>
        </w:rPr>
        <w:t> </w:t>
      </w:r>
      <w:r>
        <w:rPr>
          <w:color w:val="231F20"/>
          <w:w w:val="105"/>
        </w:rPr>
        <w:t>processo</w:t>
      </w:r>
      <w:r>
        <w:rPr>
          <w:color w:val="231F20"/>
          <w:spacing w:val="-49"/>
          <w:w w:val="105"/>
        </w:rPr>
        <w:t> </w:t>
      </w:r>
      <w:r>
        <w:rPr>
          <w:color w:val="231F20"/>
          <w:w w:val="105"/>
        </w:rPr>
        <w:t>della</w:t>
      </w:r>
      <w:r>
        <w:rPr>
          <w:color w:val="231F20"/>
          <w:spacing w:val="-49"/>
          <w:w w:val="105"/>
        </w:rPr>
        <w:t> </w:t>
      </w:r>
      <w:r>
        <w:rPr>
          <w:color w:val="231F20"/>
          <w:w w:val="105"/>
        </w:rPr>
        <w:t>loro</w:t>
      </w:r>
      <w:r>
        <w:rPr>
          <w:color w:val="231F20"/>
          <w:spacing w:val="-49"/>
          <w:w w:val="105"/>
        </w:rPr>
        <w:t> </w:t>
      </w:r>
      <w:r>
        <w:rPr>
          <w:color w:val="231F20"/>
          <w:w w:val="105"/>
        </w:rPr>
        <w:t>affermazione</w:t>
      </w:r>
      <w:r>
        <w:rPr>
          <w:color w:val="231F20"/>
          <w:spacing w:val="-49"/>
          <w:w w:val="105"/>
        </w:rPr>
        <w:t> </w:t>
      </w:r>
      <w:r>
        <w:rPr>
          <w:color w:val="231F20"/>
          <w:w w:val="105"/>
        </w:rPr>
        <w:t>quali</w:t>
      </w:r>
      <w:r>
        <w:rPr>
          <w:color w:val="231F20"/>
          <w:spacing w:val="-49"/>
          <w:w w:val="105"/>
        </w:rPr>
        <w:t> </w:t>
      </w:r>
      <w:r>
        <w:rPr>
          <w:color w:val="231F20"/>
          <w:w w:val="105"/>
        </w:rPr>
        <w:t>attori</w:t>
      </w:r>
      <w:r>
        <w:rPr>
          <w:color w:val="231F20"/>
          <w:spacing w:val="-49"/>
          <w:w w:val="105"/>
        </w:rPr>
        <w:t> </w:t>
      </w:r>
      <w:r>
        <w:rPr>
          <w:color w:val="231F20"/>
          <w:w w:val="105"/>
        </w:rPr>
        <w:t>sovrani</w:t>
      </w:r>
    </w:p>
    <w:p>
      <w:pPr>
        <w:pStyle w:val="BodyText"/>
        <w:spacing w:before="6"/>
      </w:pPr>
      <w:r>
        <w:rPr/>
        <w:pict>
          <v:line style="position:absolute;mso-position-horizontal-relative:page;mso-position-vertical-relative:paragraph;z-index:10840;mso-wrap-distance-left:0;mso-wrap-distance-right:0" from="65.1968pt,15.106985pt" to="178.5828pt,15.106985pt" stroked="true" strokeweight=".3pt" strokecolor="#231f20">
            <w10:wrap type="topAndBottom"/>
          </v:line>
        </w:pict>
      </w:r>
    </w:p>
    <w:p>
      <w:pPr>
        <w:spacing w:line="204" w:lineRule="exact" w:before="9"/>
        <w:ind w:left="103" w:right="0" w:firstLine="0"/>
        <w:jc w:val="left"/>
        <w:rPr>
          <w:rFonts w:ascii="Calibri"/>
          <w:sz w:val="17"/>
        </w:rPr>
      </w:pPr>
      <w:r>
        <w:rPr>
          <w:rFonts w:ascii="Calibri"/>
          <w:color w:val="231F20"/>
          <w:w w:val="105"/>
          <w:position w:val="6"/>
          <w:sz w:val="10"/>
        </w:rPr>
        <w:t>67</w:t>
      </w:r>
      <w:r>
        <w:rPr>
          <w:rFonts w:ascii="Calibri"/>
          <w:color w:val="231F20"/>
          <w:spacing w:val="-1"/>
          <w:w w:val="105"/>
          <w:position w:val="6"/>
          <w:sz w:val="10"/>
        </w:rPr>
        <w:t> </w:t>
      </w:r>
      <w:r>
        <w:rPr>
          <w:rFonts w:ascii="Calibri"/>
          <w:color w:val="231F20"/>
          <w:w w:val="105"/>
          <w:sz w:val="17"/>
        </w:rPr>
        <w:t>J.</w:t>
      </w:r>
      <w:r>
        <w:rPr>
          <w:rFonts w:ascii="Calibri"/>
          <w:color w:val="231F20"/>
          <w:spacing w:val="-18"/>
          <w:w w:val="105"/>
          <w:sz w:val="17"/>
        </w:rPr>
        <w:t> </w:t>
      </w:r>
      <w:r>
        <w:rPr>
          <w:rFonts w:ascii="Calibri"/>
          <w:color w:val="231F20"/>
          <w:w w:val="105"/>
          <w:sz w:val="17"/>
        </w:rPr>
        <w:t>C.</w:t>
      </w:r>
      <w:r>
        <w:rPr>
          <w:rFonts w:ascii="Calibri"/>
          <w:color w:val="231F20"/>
          <w:spacing w:val="-18"/>
          <w:w w:val="105"/>
          <w:sz w:val="17"/>
        </w:rPr>
        <w:t> </w:t>
      </w:r>
      <w:r>
        <w:rPr>
          <w:rFonts w:ascii="Calibri"/>
          <w:color w:val="231F20"/>
          <w:w w:val="105"/>
          <w:sz w:val="17"/>
        </w:rPr>
        <w:t>Scott,</w:t>
      </w:r>
      <w:r>
        <w:rPr>
          <w:rFonts w:ascii="Calibri"/>
          <w:color w:val="231F20"/>
          <w:spacing w:val="-19"/>
          <w:w w:val="105"/>
          <w:sz w:val="17"/>
        </w:rPr>
        <w:t> </w:t>
      </w:r>
      <w:r>
        <w:rPr>
          <w:rFonts w:ascii="Calibri"/>
          <w:i/>
          <w:color w:val="231F20"/>
          <w:w w:val="105"/>
          <w:sz w:val="17"/>
        </w:rPr>
        <w:t>Seeing</w:t>
      </w:r>
      <w:r>
        <w:rPr>
          <w:rFonts w:ascii="Calibri"/>
          <w:i/>
          <w:color w:val="231F20"/>
          <w:spacing w:val="-19"/>
          <w:w w:val="105"/>
          <w:sz w:val="17"/>
        </w:rPr>
        <w:t> </w:t>
      </w:r>
      <w:r>
        <w:rPr>
          <w:rFonts w:ascii="Calibri"/>
          <w:i/>
          <w:color w:val="231F20"/>
          <w:w w:val="105"/>
          <w:sz w:val="17"/>
        </w:rPr>
        <w:t>like</w:t>
      </w:r>
      <w:r>
        <w:rPr>
          <w:rFonts w:ascii="Calibri"/>
          <w:i/>
          <w:color w:val="231F20"/>
          <w:spacing w:val="-19"/>
          <w:w w:val="105"/>
          <w:sz w:val="17"/>
        </w:rPr>
        <w:t> </w:t>
      </w:r>
      <w:r>
        <w:rPr>
          <w:rFonts w:ascii="Calibri"/>
          <w:i/>
          <w:color w:val="231F20"/>
          <w:w w:val="105"/>
          <w:sz w:val="17"/>
        </w:rPr>
        <w:t>a</w:t>
      </w:r>
      <w:r>
        <w:rPr>
          <w:rFonts w:ascii="Calibri"/>
          <w:i/>
          <w:color w:val="231F20"/>
          <w:spacing w:val="-19"/>
          <w:w w:val="105"/>
          <w:sz w:val="17"/>
        </w:rPr>
        <w:t> </w:t>
      </w:r>
      <w:r>
        <w:rPr>
          <w:rFonts w:ascii="Calibri"/>
          <w:i/>
          <w:color w:val="231F20"/>
          <w:w w:val="105"/>
          <w:sz w:val="17"/>
        </w:rPr>
        <w:t>State.</w:t>
      </w:r>
      <w:r>
        <w:rPr>
          <w:rFonts w:ascii="Calibri"/>
          <w:i/>
          <w:color w:val="231F20"/>
          <w:spacing w:val="-19"/>
          <w:w w:val="105"/>
          <w:sz w:val="17"/>
        </w:rPr>
        <w:t> </w:t>
      </w:r>
      <w:r>
        <w:rPr>
          <w:rFonts w:ascii="Calibri"/>
          <w:i/>
          <w:color w:val="231F20"/>
          <w:w w:val="105"/>
          <w:sz w:val="17"/>
        </w:rPr>
        <w:t>How</w:t>
      </w:r>
      <w:r>
        <w:rPr>
          <w:rFonts w:ascii="Calibri"/>
          <w:i/>
          <w:color w:val="231F20"/>
          <w:spacing w:val="-19"/>
          <w:w w:val="105"/>
          <w:sz w:val="17"/>
        </w:rPr>
        <w:t> </w:t>
      </w:r>
      <w:r>
        <w:rPr>
          <w:rFonts w:ascii="Calibri"/>
          <w:i/>
          <w:color w:val="231F20"/>
          <w:w w:val="105"/>
          <w:sz w:val="17"/>
        </w:rPr>
        <w:t>Certain</w:t>
      </w:r>
      <w:r>
        <w:rPr>
          <w:rFonts w:ascii="Calibri"/>
          <w:i/>
          <w:color w:val="231F20"/>
          <w:spacing w:val="-19"/>
          <w:w w:val="105"/>
          <w:sz w:val="17"/>
        </w:rPr>
        <w:t> </w:t>
      </w:r>
      <w:r>
        <w:rPr>
          <w:rFonts w:ascii="Calibri"/>
          <w:i/>
          <w:color w:val="231F20"/>
          <w:w w:val="105"/>
          <w:sz w:val="17"/>
        </w:rPr>
        <w:t>Schemes</w:t>
      </w:r>
      <w:r>
        <w:rPr>
          <w:rFonts w:ascii="Calibri"/>
          <w:i/>
          <w:color w:val="231F20"/>
          <w:spacing w:val="-19"/>
          <w:w w:val="105"/>
          <w:sz w:val="17"/>
        </w:rPr>
        <w:t> </w:t>
      </w:r>
      <w:r>
        <w:rPr>
          <w:rFonts w:ascii="Calibri"/>
          <w:i/>
          <w:color w:val="231F20"/>
          <w:w w:val="105"/>
          <w:sz w:val="17"/>
        </w:rPr>
        <w:t>to</w:t>
      </w:r>
      <w:r>
        <w:rPr>
          <w:rFonts w:ascii="Calibri"/>
          <w:i/>
          <w:color w:val="231F20"/>
          <w:spacing w:val="-19"/>
          <w:w w:val="105"/>
          <w:sz w:val="17"/>
        </w:rPr>
        <w:t> </w:t>
      </w:r>
      <w:r>
        <w:rPr>
          <w:rFonts w:ascii="Calibri"/>
          <w:i/>
          <w:color w:val="231F20"/>
          <w:w w:val="105"/>
          <w:sz w:val="17"/>
        </w:rPr>
        <w:t>Improve</w:t>
      </w:r>
      <w:r>
        <w:rPr>
          <w:rFonts w:ascii="Calibri"/>
          <w:i/>
          <w:color w:val="231F20"/>
          <w:spacing w:val="-19"/>
          <w:w w:val="105"/>
          <w:sz w:val="17"/>
        </w:rPr>
        <w:t> </w:t>
      </w:r>
      <w:r>
        <w:rPr>
          <w:rFonts w:ascii="Calibri"/>
          <w:i/>
          <w:color w:val="231F20"/>
          <w:w w:val="105"/>
          <w:sz w:val="17"/>
        </w:rPr>
        <w:t>the</w:t>
      </w:r>
      <w:r>
        <w:rPr>
          <w:rFonts w:ascii="Calibri"/>
          <w:i/>
          <w:color w:val="231F20"/>
          <w:spacing w:val="-19"/>
          <w:w w:val="105"/>
          <w:sz w:val="17"/>
        </w:rPr>
        <w:t> </w:t>
      </w:r>
      <w:r>
        <w:rPr>
          <w:rFonts w:ascii="Calibri"/>
          <w:i/>
          <w:color w:val="231F20"/>
          <w:w w:val="105"/>
          <w:sz w:val="17"/>
        </w:rPr>
        <w:t>Human</w:t>
      </w:r>
      <w:r>
        <w:rPr>
          <w:rFonts w:ascii="Calibri"/>
          <w:i/>
          <w:color w:val="231F20"/>
          <w:spacing w:val="-19"/>
          <w:w w:val="105"/>
          <w:sz w:val="17"/>
        </w:rPr>
        <w:t> </w:t>
      </w:r>
      <w:r>
        <w:rPr>
          <w:rFonts w:ascii="Calibri"/>
          <w:i/>
          <w:color w:val="231F20"/>
          <w:w w:val="105"/>
          <w:sz w:val="17"/>
        </w:rPr>
        <w:t>Condition</w:t>
      </w:r>
      <w:r>
        <w:rPr>
          <w:rFonts w:ascii="Calibri"/>
          <w:i/>
          <w:color w:val="231F20"/>
          <w:spacing w:val="-19"/>
          <w:w w:val="105"/>
          <w:sz w:val="17"/>
        </w:rPr>
        <w:t> </w:t>
      </w:r>
      <w:r>
        <w:rPr>
          <w:rFonts w:ascii="Calibri"/>
          <w:i/>
          <w:color w:val="231F20"/>
          <w:w w:val="105"/>
          <w:sz w:val="17"/>
        </w:rPr>
        <w:t>Have</w:t>
      </w:r>
      <w:r>
        <w:rPr>
          <w:rFonts w:ascii="Calibri"/>
          <w:i/>
          <w:color w:val="231F20"/>
          <w:spacing w:val="-19"/>
          <w:w w:val="105"/>
          <w:sz w:val="17"/>
        </w:rPr>
        <w:t> </w:t>
      </w:r>
      <w:r>
        <w:rPr>
          <w:rFonts w:ascii="Calibri"/>
          <w:i/>
          <w:color w:val="231F20"/>
          <w:w w:val="105"/>
          <w:sz w:val="17"/>
        </w:rPr>
        <w:t>Failed</w:t>
      </w:r>
      <w:r>
        <w:rPr>
          <w:rFonts w:ascii="Calibri"/>
          <w:color w:val="231F20"/>
          <w:w w:val="105"/>
          <w:sz w:val="17"/>
        </w:rPr>
        <w:t>, New</w:t>
      </w:r>
      <w:r>
        <w:rPr>
          <w:rFonts w:ascii="Calibri"/>
          <w:color w:val="231F20"/>
          <w:spacing w:val="-25"/>
          <w:w w:val="105"/>
          <w:sz w:val="17"/>
        </w:rPr>
        <w:t> </w:t>
      </w:r>
      <w:r>
        <w:rPr>
          <w:rFonts w:ascii="Calibri"/>
          <w:color w:val="231F20"/>
          <w:w w:val="105"/>
          <w:sz w:val="17"/>
        </w:rPr>
        <w:t>Haven/London,</w:t>
      </w:r>
      <w:r>
        <w:rPr>
          <w:rFonts w:ascii="Calibri"/>
          <w:color w:val="231F20"/>
          <w:spacing w:val="-28"/>
          <w:w w:val="105"/>
          <w:sz w:val="17"/>
        </w:rPr>
        <w:t> </w:t>
      </w:r>
      <w:r>
        <w:rPr>
          <w:rFonts w:ascii="Calibri"/>
          <w:color w:val="231F20"/>
          <w:spacing w:val="-3"/>
          <w:w w:val="105"/>
          <w:sz w:val="17"/>
        </w:rPr>
        <w:t>Yale</w:t>
      </w:r>
      <w:r>
        <w:rPr>
          <w:rFonts w:ascii="Calibri"/>
          <w:color w:val="231F20"/>
          <w:spacing w:val="-25"/>
          <w:w w:val="105"/>
          <w:sz w:val="17"/>
        </w:rPr>
        <w:t> </w:t>
      </w:r>
      <w:r>
        <w:rPr>
          <w:rFonts w:ascii="Calibri"/>
          <w:color w:val="231F20"/>
          <w:w w:val="105"/>
          <w:sz w:val="17"/>
        </w:rPr>
        <w:t>University</w:t>
      </w:r>
      <w:r>
        <w:rPr>
          <w:rFonts w:ascii="Calibri"/>
          <w:color w:val="231F20"/>
          <w:spacing w:val="-25"/>
          <w:w w:val="105"/>
          <w:sz w:val="17"/>
        </w:rPr>
        <w:t> </w:t>
      </w:r>
      <w:r>
        <w:rPr>
          <w:rFonts w:ascii="Calibri"/>
          <w:color w:val="231F20"/>
          <w:w w:val="105"/>
          <w:sz w:val="17"/>
        </w:rPr>
        <w:t>Press,</w:t>
      </w:r>
      <w:r>
        <w:rPr>
          <w:rFonts w:ascii="Calibri"/>
          <w:color w:val="231F20"/>
          <w:spacing w:val="-25"/>
          <w:w w:val="105"/>
          <w:sz w:val="17"/>
        </w:rPr>
        <w:t> </w:t>
      </w:r>
      <w:r>
        <w:rPr>
          <w:rFonts w:ascii="Calibri"/>
          <w:color w:val="231F20"/>
          <w:w w:val="105"/>
          <w:sz w:val="17"/>
        </w:rPr>
        <w:t>1998.</w:t>
      </w:r>
    </w:p>
    <w:p>
      <w:pPr>
        <w:spacing w:before="1"/>
        <w:ind w:left="103" w:right="0" w:firstLine="0"/>
        <w:jc w:val="left"/>
        <w:rPr>
          <w:rFonts w:ascii="Calibri" w:hAnsi="Calibri"/>
          <w:sz w:val="17"/>
        </w:rPr>
      </w:pPr>
      <w:r>
        <w:rPr>
          <w:rFonts w:ascii="Calibri" w:hAnsi="Calibri"/>
          <w:color w:val="231F20"/>
          <w:position w:val="6"/>
          <w:sz w:val="10"/>
        </w:rPr>
        <w:t>68 </w:t>
      </w:r>
      <w:r>
        <w:rPr>
          <w:rFonts w:ascii="Calibri" w:hAnsi="Calibri"/>
          <w:color w:val="231F20"/>
          <w:sz w:val="17"/>
        </w:rPr>
        <w:t>Ricciardi, </w:t>
      </w:r>
      <w:r>
        <w:rPr>
          <w:rFonts w:ascii="Calibri" w:hAnsi="Calibri"/>
          <w:i/>
          <w:color w:val="231F20"/>
          <w:sz w:val="17"/>
        </w:rPr>
        <w:t>La società come ordine</w:t>
      </w:r>
      <w:r>
        <w:rPr>
          <w:rFonts w:ascii="Calibri" w:hAnsi="Calibri"/>
          <w:color w:val="231F20"/>
          <w:sz w:val="17"/>
        </w:rPr>
        <w:t>, pp. 223–224.</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sz w:val="16"/>
        </w:rPr>
      </w:pPr>
      <w:r>
        <w:rPr/>
        <w:pict>
          <v:group style="position:absolute;margin-left:98.079102pt;margin-top:-3.358812pt;width:20.4pt;height:43pt;mso-position-horizontal-relative:page;mso-position-vertical-relative:paragraph;z-index:-164536"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56</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900"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448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28"/>
          <w:sz w:val="14"/>
        </w:rPr>
        <w:t> </w:t>
      </w:r>
      <w:r>
        <w:rPr>
          <w:rFonts w:ascii="Lucida Sans Unicode" w:hAnsi="Lucida Sans Unicode"/>
          <w:color w:val="6D6E71"/>
          <w:spacing w:val="-4"/>
          <w:sz w:val="14"/>
        </w:rPr>
        <w:t>STATO</w:t>
      </w:r>
      <w:r>
        <w:rPr>
          <w:rFonts w:ascii="Lucida Sans Unicode" w:hAnsi="Lucida Sans Unicode"/>
          <w:color w:val="6D6E71"/>
          <w:spacing w:val="-28"/>
          <w:sz w:val="14"/>
        </w:rPr>
        <w:t> </w:t>
      </w:r>
      <w:r>
        <w:rPr>
          <w:rFonts w:ascii="Lucida Sans Unicode" w:hAnsi="Lucida Sans Unicode"/>
          <w:color w:val="6D6E71"/>
          <w:sz w:val="14"/>
        </w:rPr>
        <w:t>GLOBALE</w:t>
      </w:r>
      <w:r>
        <w:rPr>
          <w:rFonts w:ascii="Lucida Sans Unicode" w:hAnsi="Lucida Sans Unicode"/>
          <w:color w:val="6D6E71"/>
          <w:spacing w:val="-28"/>
          <w:sz w:val="14"/>
        </w:rPr>
        <w:t> </w:t>
      </w:r>
      <w:r>
        <w:rPr>
          <w:rFonts w:ascii="Lucida Sans Unicode" w:hAnsi="Lucida Sans Unicode"/>
          <w:color w:val="6D6E71"/>
          <w:sz w:val="14"/>
        </w:rPr>
        <w:t>E</w:t>
      </w:r>
      <w:r>
        <w:rPr>
          <w:rFonts w:ascii="Lucida Sans Unicode" w:hAnsi="Lucida Sans Unicode"/>
          <w:color w:val="6D6E71"/>
          <w:spacing w:val="-28"/>
          <w:sz w:val="14"/>
        </w:rPr>
        <w:t> </w:t>
      </w:r>
      <w:r>
        <w:rPr>
          <w:rFonts w:ascii="Lucida Sans Unicode" w:hAnsi="Lucida Sans Unicode"/>
          <w:color w:val="6D6E71"/>
          <w:sz w:val="14"/>
        </w:rPr>
        <w:t>L’EVOLUZIONE</w:t>
      </w:r>
      <w:r>
        <w:rPr>
          <w:rFonts w:ascii="Lucida Sans Unicode" w:hAnsi="Lucida Sans Unicode"/>
          <w:color w:val="6D6E71"/>
          <w:spacing w:val="-28"/>
          <w:sz w:val="14"/>
        </w:rPr>
        <w:t> </w:t>
      </w:r>
      <w:r>
        <w:rPr>
          <w:rFonts w:ascii="Lucida Sans Unicode" w:hAnsi="Lucida Sans Unicode"/>
          <w:color w:val="6D6E71"/>
          <w:sz w:val="14"/>
        </w:rPr>
        <w:t>DELLA</w:t>
      </w:r>
      <w:r>
        <w:rPr>
          <w:rFonts w:ascii="Lucida Sans Unicode" w:hAnsi="Lucida Sans Unicode"/>
          <w:color w:val="6D6E71"/>
          <w:spacing w:val="-28"/>
          <w:sz w:val="14"/>
        </w:rPr>
        <w:t> </w:t>
      </w:r>
      <w:r>
        <w:rPr>
          <w:rFonts w:ascii="Lucida Sans Unicode" w:hAnsi="Lucida Sans Unicode"/>
          <w:color w:val="6D6E71"/>
          <w:sz w:val="14"/>
        </w:rPr>
        <w:t>SOVRANITÀ</w:t>
      </w:r>
      <w:r>
        <w:rPr>
          <w:rFonts w:ascii="Trebuchet MS" w:hAnsi="Trebuchet MS"/>
          <w:color w:val="414042"/>
          <w:position w:val="-3"/>
          <w:sz w:val="20"/>
        </w:rPr>
        <w:tab/>
        <w:t>57</w:t>
      </w:r>
    </w:p>
    <w:p>
      <w:pPr>
        <w:pStyle w:val="BodyText"/>
        <w:spacing w:line="247" w:lineRule="auto" w:before="621"/>
        <w:ind w:left="117" w:right="32"/>
      </w:pPr>
      <w:r>
        <w:rPr>
          <w:color w:val="231F20"/>
          <w:spacing w:val="-3"/>
        </w:rPr>
        <w:t>esclusivi, della </w:t>
      </w:r>
      <w:r>
        <w:rPr>
          <w:color w:val="231F20"/>
        </w:rPr>
        <w:t>cui </w:t>
      </w:r>
      <w:r>
        <w:rPr>
          <w:color w:val="231F20"/>
          <w:spacing w:val="-3"/>
        </w:rPr>
        <w:t>uniformità </w:t>
      </w:r>
      <w:r>
        <w:rPr>
          <w:color w:val="231F20"/>
        </w:rPr>
        <w:t>e </w:t>
      </w:r>
      <w:r>
        <w:rPr>
          <w:color w:val="231F20"/>
          <w:spacing w:val="-3"/>
        </w:rPr>
        <w:t>conformità </w:t>
      </w:r>
      <w:r>
        <w:rPr>
          <w:color w:val="231F20"/>
        </w:rPr>
        <w:t>a un </w:t>
      </w:r>
      <w:r>
        <w:rPr>
          <w:color w:val="231F20"/>
          <w:spacing w:val="-3"/>
        </w:rPr>
        <w:t>unico modello vale comunque </w:t>
      </w:r>
      <w:r>
        <w:rPr>
          <w:color w:val="231F20"/>
        </w:rPr>
        <w:t>la pena di dubitare</w:t>
      </w:r>
      <w:r>
        <w:rPr>
          <w:position w:val="7"/>
          <w:sz w:val="12"/>
        </w:rPr>
        <w:t>69</w:t>
      </w:r>
      <w:r>
        <w:rPr>
          <w:color w:val="231F20"/>
        </w:rPr>
        <w:t>.</w:t>
      </w:r>
    </w:p>
    <w:p>
      <w:pPr>
        <w:pStyle w:val="BodyText"/>
        <w:spacing w:line="247" w:lineRule="auto"/>
        <w:ind w:left="117" w:right="113" w:firstLine="566"/>
        <w:jc w:val="both"/>
      </w:pPr>
      <w:r>
        <w:rPr>
          <w:color w:val="231F20"/>
        </w:rPr>
        <w:t>A</w:t>
      </w:r>
      <w:r>
        <w:rPr>
          <w:color w:val="231F20"/>
          <w:spacing w:val="-18"/>
        </w:rPr>
        <w:t> </w:t>
      </w:r>
      <w:r>
        <w:rPr>
          <w:color w:val="231F20"/>
          <w:spacing w:val="-3"/>
        </w:rPr>
        <w:t>proposito</w:t>
      </w:r>
      <w:r>
        <w:rPr>
          <w:color w:val="231F20"/>
          <w:spacing w:val="-18"/>
        </w:rPr>
        <w:t> </w:t>
      </w:r>
      <w:r>
        <w:rPr>
          <w:color w:val="231F20"/>
        </w:rPr>
        <w:t>di</w:t>
      </w:r>
      <w:r>
        <w:rPr>
          <w:color w:val="231F20"/>
          <w:spacing w:val="-18"/>
        </w:rPr>
        <w:t> </w:t>
      </w:r>
      <w:r>
        <w:rPr>
          <w:color w:val="231F20"/>
        </w:rPr>
        <w:t>questa</w:t>
      </w:r>
      <w:r>
        <w:rPr>
          <w:color w:val="231F20"/>
          <w:spacing w:val="-18"/>
        </w:rPr>
        <w:t> </w:t>
      </w:r>
      <w:r>
        <w:rPr>
          <w:color w:val="231F20"/>
        </w:rPr>
        <w:t>oscillazione</w:t>
      </w:r>
      <w:r>
        <w:rPr>
          <w:color w:val="231F20"/>
          <w:spacing w:val="-18"/>
        </w:rPr>
        <w:t> </w:t>
      </w:r>
      <w:r>
        <w:rPr>
          <w:color w:val="231F20"/>
        </w:rPr>
        <w:t>della</w:t>
      </w:r>
      <w:r>
        <w:rPr>
          <w:color w:val="231F20"/>
          <w:spacing w:val="-18"/>
        </w:rPr>
        <w:t> </w:t>
      </w:r>
      <w:r>
        <w:rPr>
          <w:color w:val="231F20"/>
        </w:rPr>
        <w:t>sovranità</w:t>
      </w:r>
      <w:r>
        <w:rPr>
          <w:color w:val="231F20"/>
          <w:spacing w:val="-18"/>
        </w:rPr>
        <w:t> </w:t>
      </w:r>
      <w:r>
        <w:rPr>
          <w:color w:val="231F20"/>
        </w:rPr>
        <w:t>Robert</w:t>
      </w:r>
      <w:r>
        <w:rPr>
          <w:color w:val="231F20"/>
          <w:spacing w:val="-18"/>
        </w:rPr>
        <w:t> </w:t>
      </w:r>
      <w:r>
        <w:rPr>
          <w:color w:val="231F20"/>
        </w:rPr>
        <w:t>Latham</w:t>
      </w:r>
      <w:r>
        <w:rPr>
          <w:color w:val="231F20"/>
          <w:spacing w:val="-18"/>
        </w:rPr>
        <w:t> </w:t>
      </w:r>
      <w:r>
        <w:rPr>
          <w:color w:val="231F20"/>
          <w:spacing w:val="-2"/>
        </w:rPr>
        <w:t>scrive </w:t>
      </w:r>
      <w:r>
        <w:rPr>
          <w:color w:val="231F20"/>
        </w:rPr>
        <w:t>giustamente</w:t>
      </w:r>
      <w:r>
        <w:rPr>
          <w:color w:val="231F20"/>
          <w:spacing w:val="-6"/>
        </w:rPr>
        <w:t> </w:t>
      </w:r>
      <w:r>
        <w:rPr>
          <w:color w:val="231F20"/>
        </w:rPr>
        <w:t>che</w:t>
      </w:r>
      <w:r>
        <w:rPr>
          <w:color w:val="231F20"/>
          <w:spacing w:val="-6"/>
        </w:rPr>
        <w:t> </w:t>
      </w:r>
      <w:r>
        <w:rPr>
          <w:color w:val="231F20"/>
        </w:rPr>
        <w:t>“la</w:t>
      </w:r>
      <w:r>
        <w:rPr>
          <w:color w:val="231F20"/>
          <w:spacing w:val="-6"/>
        </w:rPr>
        <w:t> </w:t>
      </w:r>
      <w:r>
        <w:rPr>
          <w:color w:val="231F20"/>
        </w:rPr>
        <w:t>sovranità</w:t>
      </w:r>
      <w:r>
        <w:rPr>
          <w:color w:val="231F20"/>
          <w:spacing w:val="-6"/>
        </w:rPr>
        <w:t> </w:t>
      </w:r>
      <w:r>
        <w:rPr>
          <w:color w:val="231F20"/>
        </w:rPr>
        <w:t>può</w:t>
      </w:r>
      <w:r>
        <w:rPr>
          <w:color w:val="231F20"/>
          <w:spacing w:val="-6"/>
        </w:rPr>
        <w:t> </w:t>
      </w:r>
      <w:r>
        <w:rPr>
          <w:color w:val="231F20"/>
        </w:rPr>
        <w:t>essere</w:t>
      </w:r>
      <w:r>
        <w:rPr>
          <w:color w:val="231F20"/>
          <w:spacing w:val="-6"/>
        </w:rPr>
        <w:t> </w:t>
      </w:r>
      <w:r>
        <w:rPr>
          <w:color w:val="231F20"/>
        </w:rPr>
        <w:t>associata</w:t>
      </w:r>
      <w:r>
        <w:rPr>
          <w:color w:val="231F20"/>
          <w:spacing w:val="-6"/>
        </w:rPr>
        <w:t> </w:t>
      </w:r>
      <w:r>
        <w:rPr>
          <w:color w:val="231F20"/>
        </w:rPr>
        <w:t>a</w:t>
      </w:r>
      <w:r>
        <w:rPr>
          <w:color w:val="231F20"/>
          <w:spacing w:val="-6"/>
        </w:rPr>
        <w:t> </w:t>
      </w:r>
      <w:r>
        <w:rPr>
          <w:color w:val="231F20"/>
        </w:rPr>
        <w:t>una</w:t>
      </w:r>
      <w:r>
        <w:rPr>
          <w:color w:val="231F20"/>
          <w:spacing w:val="-6"/>
        </w:rPr>
        <w:t> </w:t>
      </w:r>
      <w:r>
        <w:rPr>
          <w:color w:val="231F20"/>
        </w:rPr>
        <w:t>gamma</w:t>
      </w:r>
      <w:r>
        <w:rPr>
          <w:color w:val="231F20"/>
          <w:spacing w:val="-6"/>
        </w:rPr>
        <w:t> </w:t>
      </w:r>
      <w:r>
        <w:rPr>
          <w:color w:val="231F20"/>
        </w:rPr>
        <w:t>più</w:t>
      </w:r>
      <w:r>
        <w:rPr>
          <w:color w:val="231F20"/>
          <w:spacing w:val="-6"/>
        </w:rPr>
        <w:t> </w:t>
      </w:r>
      <w:r>
        <w:rPr>
          <w:color w:val="231F20"/>
        </w:rPr>
        <w:t>vasta di strutture di quella identificata solo come Stato o dello Stato; a essere   in gioco nella sovranità non è lo status di un agente (come può essere lo Stato), ma di un corpo di relazioni che danno forma a sfere di vita</w:t>
      </w:r>
      <w:r>
        <w:rPr>
          <w:color w:val="231F20"/>
          <w:spacing w:val="-42"/>
        </w:rPr>
        <w:t> </w:t>
      </w:r>
      <w:r>
        <w:rPr>
          <w:color w:val="231F20"/>
        </w:rPr>
        <w:t>operanti all’interno,</w:t>
      </w:r>
      <w:r>
        <w:rPr>
          <w:color w:val="231F20"/>
          <w:spacing w:val="-8"/>
        </w:rPr>
        <w:t> </w:t>
      </w:r>
      <w:r>
        <w:rPr>
          <w:color w:val="231F20"/>
        </w:rPr>
        <w:t>ma</w:t>
      </w:r>
      <w:r>
        <w:rPr>
          <w:color w:val="231F20"/>
          <w:spacing w:val="-8"/>
        </w:rPr>
        <w:t> </w:t>
      </w:r>
      <w:r>
        <w:rPr>
          <w:color w:val="231F20"/>
        </w:rPr>
        <w:t>anche</w:t>
      </w:r>
      <w:r>
        <w:rPr>
          <w:color w:val="231F20"/>
          <w:spacing w:val="-8"/>
        </w:rPr>
        <w:t> </w:t>
      </w:r>
      <w:r>
        <w:rPr>
          <w:color w:val="231F20"/>
        </w:rPr>
        <w:t>attraverso</w:t>
      </w:r>
      <w:r>
        <w:rPr>
          <w:color w:val="231F20"/>
          <w:spacing w:val="-8"/>
        </w:rPr>
        <w:t> </w:t>
      </w:r>
      <w:r>
        <w:rPr>
          <w:color w:val="231F20"/>
        </w:rPr>
        <w:t>i</w:t>
      </w:r>
      <w:r>
        <w:rPr>
          <w:color w:val="231F20"/>
          <w:spacing w:val="-8"/>
        </w:rPr>
        <w:t> </w:t>
      </w:r>
      <w:r>
        <w:rPr>
          <w:color w:val="231F20"/>
        </w:rPr>
        <w:t>confini</w:t>
      </w:r>
      <w:r>
        <w:rPr>
          <w:color w:val="231F20"/>
          <w:spacing w:val="-8"/>
        </w:rPr>
        <w:t> </w:t>
      </w:r>
      <w:r>
        <w:rPr>
          <w:color w:val="231F20"/>
        </w:rPr>
        <w:t>statali”</w:t>
      </w:r>
      <w:r>
        <w:rPr>
          <w:position w:val="7"/>
          <w:sz w:val="12"/>
        </w:rPr>
        <w:t>70</w:t>
      </w:r>
      <w:r>
        <w:rPr>
          <w:color w:val="231F20"/>
        </w:rPr>
        <w:t>.</w:t>
      </w:r>
      <w:r>
        <w:rPr>
          <w:color w:val="231F20"/>
          <w:spacing w:val="-8"/>
        </w:rPr>
        <w:t> </w:t>
      </w:r>
      <w:r>
        <w:rPr>
          <w:color w:val="231F20"/>
          <w:spacing w:val="-3"/>
        </w:rPr>
        <w:t>Tuttavia,</w:t>
      </w:r>
      <w:r>
        <w:rPr>
          <w:color w:val="231F20"/>
          <w:spacing w:val="-8"/>
        </w:rPr>
        <w:t> </w:t>
      </w:r>
      <w:r>
        <w:rPr>
          <w:color w:val="231F20"/>
        </w:rPr>
        <w:t>anche</w:t>
      </w:r>
      <w:r>
        <w:rPr>
          <w:color w:val="231F20"/>
          <w:spacing w:val="-8"/>
        </w:rPr>
        <w:t> </w:t>
      </w:r>
      <w:r>
        <w:rPr>
          <w:color w:val="231F20"/>
        </w:rPr>
        <w:t>se</w:t>
      </w:r>
      <w:r>
        <w:rPr>
          <w:color w:val="231F20"/>
          <w:spacing w:val="-8"/>
        </w:rPr>
        <w:t> </w:t>
      </w:r>
      <w:r>
        <w:rPr>
          <w:color w:val="231F20"/>
        </w:rPr>
        <w:t>intesa come un insieme di relazioni, la sovranità comporta necessariamente la possibilità</w:t>
      </w:r>
      <w:r>
        <w:rPr>
          <w:color w:val="231F20"/>
          <w:spacing w:val="-10"/>
        </w:rPr>
        <w:t> </w:t>
      </w:r>
      <w:r>
        <w:rPr>
          <w:color w:val="231F20"/>
          <w:spacing w:val="-3"/>
        </w:rPr>
        <w:t>concreta</w:t>
      </w:r>
      <w:r>
        <w:rPr>
          <w:color w:val="231F20"/>
          <w:spacing w:val="-10"/>
        </w:rPr>
        <w:t> </w:t>
      </w:r>
      <w:r>
        <w:rPr>
          <w:color w:val="231F20"/>
        </w:rPr>
        <w:t>che</w:t>
      </w:r>
      <w:r>
        <w:rPr>
          <w:color w:val="231F20"/>
          <w:spacing w:val="-10"/>
        </w:rPr>
        <w:t> </w:t>
      </w:r>
      <w:r>
        <w:rPr>
          <w:color w:val="231F20"/>
        </w:rPr>
        <w:t>uno</w:t>
      </w:r>
      <w:r>
        <w:rPr>
          <w:color w:val="231F20"/>
          <w:spacing w:val="-10"/>
        </w:rPr>
        <w:t> </w:t>
      </w:r>
      <w:r>
        <w:rPr>
          <w:color w:val="231F20"/>
        </w:rPr>
        <w:t>dei</w:t>
      </w:r>
      <w:r>
        <w:rPr>
          <w:color w:val="231F20"/>
          <w:spacing w:val="-10"/>
        </w:rPr>
        <w:t> </w:t>
      </w:r>
      <w:r>
        <w:rPr>
          <w:color w:val="231F20"/>
        </w:rPr>
        <w:t>soggetti</w:t>
      </w:r>
      <w:r>
        <w:rPr>
          <w:color w:val="231F20"/>
          <w:spacing w:val="-10"/>
        </w:rPr>
        <w:t> </w:t>
      </w:r>
      <w:r>
        <w:rPr>
          <w:color w:val="231F20"/>
        </w:rPr>
        <w:t>della</w:t>
      </w:r>
      <w:r>
        <w:rPr>
          <w:color w:val="231F20"/>
          <w:spacing w:val="-10"/>
        </w:rPr>
        <w:t> </w:t>
      </w:r>
      <w:r>
        <w:rPr>
          <w:color w:val="231F20"/>
          <w:spacing w:val="-3"/>
        </w:rPr>
        <w:t>relazione</w:t>
      </w:r>
      <w:r>
        <w:rPr>
          <w:color w:val="231F20"/>
          <w:spacing w:val="-10"/>
        </w:rPr>
        <w:t> </w:t>
      </w:r>
      <w:r>
        <w:rPr>
          <w:color w:val="231F20"/>
        </w:rPr>
        <w:t>possa</w:t>
      </w:r>
      <w:r>
        <w:rPr>
          <w:color w:val="231F20"/>
          <w:spacing w:val="-10"/>
        </w:rPr>
        <w:t> </w:t>
      </w:r>
      <w:r>
        <w:rPr>
          <w:color w:val="231F20"/>
          <w:spacing w:val="-3"/>
        </w:rPr>
        <w:t>interromperla, </w:t>
      </w:r>
      <w:r>
        <w:rPr>
          <w:color w:val="231F20"/>
        </w:rPr>
        <w:t>imponendo coattivamente comportamenti determinati.  La  dissociazione </w:t>
      </w:r>
      <w:r>
        <w:rPr>
          <w:color w:val="231F20"/>
          <w:spacing w:val="3"/>
        </w:rPr>
        <w:t>del </w:t>
      </w:r>
      <w:r>
        <w:rPr>
          <w:color w:val="231F20"/>
          <w:spacing w:val="4"/>
        </w:rPr>
        <w:t>connubio classico </w:t>
      </w:r>
      <w:r>
        <w:rPr>
          <w:color w:val="231F20"/>
          <w:spacing w:val="3"/>
        </w:rPr>
        <w:t>con </w:t>
      </w:r>
      <w:r>
        <w:rPr>
          <w:color w:val="231F20"/>
          <w:spacing w:val="2"/>
        </w:rPr>
        <w:t>lo </w:t>
      </w:r>
      <w:r>
        <w:rPr>
          <w:color w:val="231F20"/>
          <w:spacing w:val="3"/>
        </w:rPr>
        <w:t>Stato</w:t>
      </w:r>
      <w:r>
        <w:rPr>
          <w:color w:val="231F20"/>
          <w:spacing w:val="3"/>
          <w:position w:val="7"/>
          <w:sz w:val="12"/>
        </w:rPr>
        <w:t>71</w:t>
      </w:r>
      <w:r>
        <w:rPr>
          <w:color w:val="231F20"/>
          <w:spacing w:val="3"/>
        </w:rPr>
        <w:t>, produce una </w:t>
      </w:r>
      <w:r>
        <w:rPr>
          <w:color w:val="231F20"/>
          <w:spacing w:val="4"/>
        </w:rPr>
        <w:t>moltiplicazione </w:t>
      </w:r>
      <w:r>
        <w:rPr>
          <w:color w:val="231F20"/>
          <w:spacing w:val="2"/>
        </w:rPr>
        <w:t>di </w:t>
      </w:r>
      <w:r>
        <w:rPr>
          <w:color w:val="231F20"/>
        </w:rPr>
        <w:t>manifestazioni</w:t>
      </w:r>
      <w:r>
        <w:rPr>
          <w:color w:val="231F20"/>
          <w:spacing w:val="-8"/>
        </w:rPr>
        <w:t> </w:t>
      </w:r>
      <w:r>
        <w:rPr>
          <w:color w:val="231F20"/>
        </w:rPr>
        <w:t>di</w:t>
      </w:r>
      <w:r>
        <w:rPr>
          <w:color w:val="231F20"/>
          <w:spacing w:val="-8"/>
        </w:rPr>
        <w:t> </w:t>
      </w:r>
      <w:r>
        <w:rPr>
          <w:color w:val="231F20"/>
        </w:rPr>
        <w:t>una</w:t>
      </w:r>
      <w:r>
        <w:rPr>
          <w:color w:val="231F20"/>
          <w:spacing w:val="-8"/>
        </w:rPr>
        <w:t> </w:t>
      </w:r>
      <w:r>
        <w:rPr>
          <w:color w:val="231F20"/>
        </w:rPr>
        <w:t>sovranità</w:t>
      </w:r>
      <w:r>
        <w:rPr>
          <w:color w:val="231F20"/>
          <w:spacing w:val="-8"/>
        </w:rPr>
        <w:t> </w:t>
      </w:r>
      <w:r>
        <w:rPr>
          <w:color w:val="231F20"/>
        </w:rPr>
        <w:t>sociale</w:t>
      </w:r>
      <w:r>
        <w:rPr>
          <w:color w:val="231F20"/>
          <w:spacing w:val="-8"/>
        </w:rPr>
        <w:t> </w:t>
      </w:r>
      <w:r>
        <w:rPr>
          <w:color w:val="231F20"/>
        </w:rPr>
        <w:t>che</w:t>
      </w:r>
      <w:r>
        <w:rPr>
          <w:color w:val="231F20"/>
          <w:spacing w:val="-8"/>
        </w:rPr>
        <w:t> </w:t>
      </w:r>
      <w:r>
        <w:rPr>
          <w:color w:val="231F20"/>
        </w:rPr>
        <w:t>rafforza</w:t>
      </w:r>
      <w:r>
        <w:rPr>
          <w:color w:val="231F20"/>
          <w:spacing w:val="-8"/>
        </w:rPr>
        <w:t> </w:t>
      </w:r>
      <w:r>
        <w:rPr>
          <w:color w:val="231F20"/>
        </w:rPr>
        <w:t>la</w:t>
      </w:r>
      <w:r>
        <w:rPr>
          <w:color w:val="231F20"/>
          <w:spacing w:val="-8"/>
        </w:rPr>
        <w:t> </w:t>
      </w:r>
      <w:r>
        <w:rPr>
          <w:color w:val="231F20"/>
        </w:rPr>
        <w:t>necessità</w:t>
      </w:r>
      <w:r>
        <w:rPr>
          <w:color w:val="231F20"/>
          <w:spacing w:val="-8"/>
        </w:rPr>
        <w:t> </w:t>
      </w:r>
      <w:r>
        <w:rPr>
          <w:color w:val="231F20"/>
        </w:rPr>
        <w:t>di</w:t>
      </w:r>
      <w:r>
        <w:rPr>
          <w:color w:val="231F20"/>
          <w:spacing w:val="-8"/>
        </w:rPr>
        <w:t> </w:t>
      </w:r>
      <w:r>
        <w:rPr>
          <w:color w:val="231F20"/>
        </w:rPr>
        <w:t>un</w:t>
      </w:r>
      <w:r>
        <w:rPr>
          <w:color w:val="231F20"/>
          <w:spacing w:val="-8"/>
        </w:rPr>
        <w:t> </w:t>
      </w:r>
      <w:r>
        <w:rPr>
          <w:color w:val="231F20"/>
        </w:rPr>
        <w:t>nesso costitutivo dello Stato moderno, ovvero quello tra legittimità e disciplina. Trasmettere, </w:t>
      </w:r>
      <w:r>
        <w:rPr>
          <w:color w:val="231F20"/>
          <w:spacing w:val="3"/>
        </w:rPr>
        <w:t>favorire, </w:t>
      </w:r>
      <w:r>
        <w:rPr>
          <w:color w:val="231F20"/>
          <w:spacing w:val="2"/>
        </w:rPr>
        <w:t>imporre </w:t>
      </w:r>
      <w:r>
        <w:rPr>
          <w:color w:val="231F20"/>
          <w:spacing w:val="3"/>
        </w:rPr>
        <w:t>comportanti disciplinati </w:t>
      </w:r>
      <w:r>
        <w:rPr>
          <w:color w:val="231F20"/>
        </w:rPr>
        <w:t>è </w:t>
      </w:r>
      <w:r>
        <w:rPr>
          <w:color w:val="231F20"/>
          <w:spacing w:val="3"/>
        </w:rPr>
        <w:t>infatti </w:t>
      </w:r>
      <w:r>
        <w:rPr>
          <w:color w:val="231F20"/>
        </w:rPr>
        <w:t>la </w:t>
      </w:r>
      <w:r>
        <w:rPr>
          <w:color w:val="231F20"/>
          <w:spacing w:val="4"/>
        </w:rPr>
        <w:t>sola </w:t>
      </w:r>
      <w:r>
        <w:rPr>
          <w:color w:val="231F20"/>
          <w:spacing w:val="3"/>
        </w:rPr>
        <w:t>possibilità </w:t>
      </w:r>
      <w:r>
        <w:rPr>
          <w:color w:val="231F20"/>
          <w:spacing w:val="2"/>
        </w:rPr>
        <w:t>per non </w:t>
      </w:r>
      <w:r>
        <w:rPr>
          <w:color w:val="231F20"/>
          <w:spacing w:val="3"/>
        </w:rPr>
        <w:t>dover </w:t>
      </w:r>
      <w:r>
        <w:rPr>
          <w:color w:val="231F20"/>
          <w:spacing w:val="2"/>
        </w:rPr>
        <w:t>ricorrere </w:t>
      </w:r>
      <w:r>
        <w:rPr>
          <w:color w:val="231F20"/>
          <w:spacing w:val="3"/>
        </w:rPr>
        <w:t>all’uso della forza </w:t>
      </w:r>
      <w:r>
        <w:rPr>
          <w:color w:val="231F20"/>
        </w:rPr>
        <w:t>in </w:t>
      </w:r>
      <w:r>
        <w:rPr>
          <w:color w:val="231F20"/>
          <w:spacing w:val="3"/>
        </w:rPr>
        <w:t>ultima </w:t>
      </w:r>
      <w:r>
        <w:rPr>
          <w:color w:val="231F20"/>
          <w:spacing w:val="4"/>
        </w:rPr>
        <w:t>istanza  </w:t>
      </w:r>
      <w:r>
        <w:rPr>
          <w:color w:val="231F20"/>
        </w:rPr>
        <w:t>che comunque è presente in ogni riferimento alla sovranità. Ciò che va </w:t>
      </w:r>
      <w:r>
        <w:rPr>
          <w:color w:val="231F20"/>
          <w:spacing w:val="2"/>
        </w:rPr>
        <w:t>sottolineato </w:t>
      </w:r>
      <w:r>
        <w:rPr>
          <w:color w:val="231F20"/>
        </w:rPr>
        <w:t>è che per quanto sia evidentemente vero che la </w:t>
      </w:r>
      <w:r>
        <w:rPr>
          <w:color w:val="231F20"/>
          <w:spacing w:val="2"/>
        </w:rPr>
        <w:t>disciplina </w:t>
      </w:r>
      <w:r>
        <w:rPr>
          <w:color w:val="231F20"/>
        </w:rPr>
        <w:t>agisca modulando i singoli comportamenti, ovvero in assenza di norme generali astrattamente riconosciute, essa comunque contiene un discorso pubblico funzionale alla costante riproposizione della relazioni sovrane</w:t>
      </w:r>
      <w:r>
        <w:rPr>
          <w:position w:val="7"/>
          <w:sz w:val="12"/>
        </w:rPr>
        <w:t>72</w:t>
      </w:r>
      <w:r>
        <w:rPr>
          <w:color w:val="231F20"/>
        </w:rPr>
        <w:t>.  Si tratta evidentemente di relazioni asimmetriche, nelle quali non si deve supporre</w:t>
      </w:r>
      <w:r>
        <w:rPr>
          <w:color w:val="231F20"/>
          <w:spacing w:val="-9"/>
        </w:rPr>
        <w:t> </w:t>
      </w:r>
      <w:r>
        <w:rPr>
          <w:color w:val="231F20"/>
        </w:rPr>
        <w:t>un</w:t>
      </w:r>
      <w:r>
        <w:rPr>
          <w:color w:val="231F20"/>
          <w:spacing w:val="-9"/>
        </w:rPr>
        <w:t> </w:t>
      </w:r>
      <w:r>
        <w:rPr>
          <w:color w:val="231F20"/>
        </w:rPr>
        <w:t>uguale</w:t>
      </w:r>
      <w:r>
        <w:rPr>
          <w:color w:val="231F20"/>
          <w:spacing w:val="-9"/>
        </w:rPr>
        <w:t> </w:t>
      </w:r>
      <w:r>
        <w:rPr>
          <w:color w:val="231F20"/>
        </w:rPr>
        <w:t>riconoscimento</w:t>
      </w:r>
      <w:r>
        <w:rPr>
          <w:color w:val="231F20"/>
          <w:spacing w:val="-9"/>
        </w:rPr>
        <w:t> </w:t>
      </w:r>
      <w:r>
        <w:rPr>
          <w:color w:val="231F20"/>
        </w:rPr>
        <w:t>tra</w:t>
      </w:r>
      <w:r>
        <w:rPr>
          <w:color w:val="231F20"/>
          <w:spacing w:val="-9"/>
        </w:rPr>
        <w:t> </w:t>
      </w:r>
      <w:r>
        <w:rPr>
          <w:color w:val="231F20"/>
        </w:rPr>
        <w:t>la</w:t>
      </w:r>
      <w:r>
        <w:rPr>
          <w:color w:val="231F20"/>
          <w:spacing w:val="-9"/>
        </w:rPr>
        <w:t> </w:t>
      </w:r>
      <w:r>
        <w:rPr>
          <w:color w:val="231F20"/>
        </w:rPr>
        <w:t>struttura</w:t>
      </w:r>
      <w:r>
        <w:rPr>
          <w:color w:val="231F20"/>
          <w:spacing w:val="-9"/>
        </w:rPr>
        <w:t> </w:t>
      </w:r>
      <w:r>
        <w:rPr>
          <w:color w:val="231F20"/>
        </w:rPr>
        <w:t>e</w:t>
      </w:r>
      <w:r>
        <w:rPr>
          <w:color w:val="231F20"/>
          <w:spacing w:val="-9"/>
        </w:rPr>
        <w:t> </w:t>
      </w:r>
      <w:r>
        <w:rPr>
          <w:color w:val="231F20"/>
        </w:rPr>
        <w:t>i</w:t>
      </w:r>
      <w:r>
        <w:rPr>
          <w:color w:val="231F20"/>
          <w:spacing w:val="-9"/>
        </w:rPr>
        <w:t> </w:t>
      </w:r>
      <w:r>
        <w:rPr>
          <w:color w:val="231F20"/>
        </w:rPr>
        <w:t>singoli</w:t>
      </w:r>
      <w:r>
        <w:rPr>
          <w:color w:val="231F20"/>
          <w:spacing w:val="-9"/>
        </w:rPr>
        <w:t> </w:t>
      </w:r>
      <w:r>
        <w:rPr>
          <w:color w:val="231F20"/>
        </w:rPr>
        <w:t>che</w:t>
      </w:r>
      <w:r>
        <w:rPr>
          <w:color w:val="231F20"/>
          <w:spacing w:val="-9"/>
        </w:rPr>
        <w:t> </w:t>
      </w:r>
      <w:r>
        <w:rPr>
          <w:color w:val="231F20"/>
        </w:rPr>
        <w:t>vi</w:t>
      </w:r>
      <w:r>
        <w:rPr>
          <w:color w:val="231F20"/>
          <w:spacing w:val="-9"/>
        </w:rPr>
        <w:t> </w:t>
      </w:r>
      <w:r>
        <w:rPr>
          <w:color w:val="231F20"/>
        </w:rPr>
        <w:t>entrano più o meno liberamente in relazione. Proprio la necessità di mantenere </w:t>
      </w:r>
      <w:r>
        <w:rPr>
          <w:color w:val="231F20"/>
          <w:spacing w:val="3"/>
        </w:rPr>
        <w:t>connesse queste strutture </w:t>
      </w:r>
      <w:r>
        <w:rPr>
          <w:color w:val="231F20"/>
          <w:spacing w:val="2"/>
        </w:rPr>
        <w:t>che </w:t>
      </w:r>
      <w:r>
        <w:rPr>
          <w:color w:val="231F20"/>
          <w:spacing w:val="3"/>
        </w:rPr>
        <w:t>attraversano </w:t>
      </w:r>
      <w:r>
        <w:rPr>
          <w:color w:val="231F20"/>
        </w:rPr>
        <w:t>i </w:t>
      </w:r>
      <w:r>
        <w:rPr>
          <w:color w:val="231F20"/>
          <w:spacing w:val="2"/>
        </w:rPr>
        <w:t>confini </w:t>
      </w:r>
      <w:r>
        <w:rPr>
          <w:color w:val="231F20"/>
          <w:spacing w:val="3"/>
        </w:rPr>
        <w:t>storici degli Stati </w:t>
      </w:r>
      <w:r>
        <w:rPr>
          <w:color w:val="231F20"/>
        </w:rPr>
        <w:t>nazionali fa sì che il processo dallo Stato moderno allo Stato globale non comporti esclusivamente un “appassimento dello Stato”</w:t>
      </w:r>
      <w:r>
        <w:rPr>
          <w:position w:val="7"/>
          <w:sz w:val="12"/>
        </w:rPr>
        <w:t>73</w:t>
      </w:r>
      <w:r>
        <w:rPr>
          <w:color w:val="231F20"/>
        </w:rPr>
        <w:t>. Lo Stato globale rappresenta piuttosto un momento storico specifico della degenerazione dello Stato, ovvero letteralmente del suo passaggio ad altro genere di dominio e coordinazione</w:t>
      </w:r>
      <w:r>
        <w:rPr>
          <w:position w:val="7"/>
          <w:sz w:val="12"/>
        </w:rPr>
        <w:t>74</w:t>
      </w:r>
      <w:r>
        <w:rPr>
          <w:color w:val="231F20"/>
        </w:rPr>
        <w:t>. Nonostante le trasformazioni della sovranità   la portino all’interno di relazioni sociali sempre più complesse, ciò non significa che il concetto di Stato globale preveda un’inclusione </w:t>
      </w:r>
      <w:r>
        <w:rPr>
          <w:color w:val="231F20"/>
          <w:spacing w:val="57"/>
        </w:rPr>
        <w:t> </w:t>
      </w:r>
      <w:r>
        <w:rPr>
          <w:color w:val="231F20"/>
        </w:rPr>
        <w:t>universale,</w:t>
      </w:r>
    </w:p>
    <w:p>
      <w:pPr>
        <w:pStyle w:val="BodyText"/>
        <w:rPr>
          <w:sz w:val="20"/>
        </w:rPr>
      </w:pPr>
    </w:p>
    <w:p>
      <w:pPr>
        <w:pStyle w:val="BodyText"/>
        <w:spacing w:before="1"/>
        <w:rPr>
          <w:sz w:val="17"/>
        </w:rPr>
      </w:pPr>
      <w:r>
        <w:rPr/>
        <w:pict>
          <v:line style="position:absolute;mso-position-horizontal-relative:page;mso-position-vertical-relative:paragraph;z-index:10888;mso-wrap-distance-left:0;mso-wrap-distance-right:0" from="70.866096pt,12.436772pt" to="184.252096pt,12.436772pt" stroked="true" strokeweight=".3pt" strokecolor="#231f20">
            <w10:wrap type="topAndBottom"/>
          </v:line>
        </w:pict>
      </w:r>
    </w:p>
    <w:p>
      <w:pPr>
        <w:spacing w:line="204" w:lineRule="exact" w:before="8"/>
        <w:ind w:left="117" w:right="123" w:firstLine="0"/>
        <w:jc w:val="both"/>
        <w:rPr>
          <w:rFonts w:ascii="Calibri" w:hAnsi="Calibri"/>
          <w:sz w:val="17"/>
        </w:rPr>
      </w:pPr>
      <w:r>
        <w:rPr>
          <w:rFonts w:ascii="Calibri" w:hAnsi="Calibri"/>
          <w:color w:val="231F20"/>
          <w:w w:val="105"/>
          <w:position w:val="6"/>
          <w:sz w:val="10"/>
        </w:rPr>
        <w:t>69 </w:t>
      </w:r>
      <w:r>
        <w:rPr>
          <w:rFonts w:ascii="Calibri" w:hAnsi="Calibri"/>
          <w:color w:val="231F20"/>
          <w:w w:val="105"/>
          <w:sz w:val="17"/>
        </w:rPr>
        <w:t>M. Mann, “Has Globalization Ended the Rise and Rise of the Nation–State?”, </w:t>
      </w:r>
      <w:r>
        <w:rPr>
          <w:rFonts w:ascii="Calibri" w:hAnsi="Calibri"/>
          <w:i/>
          <w:color w:val="231F20"/>
          <w:w w:val="105"/>
          <w:sz w:val="17"/>
        </w:rPr>
        <w:t>Review of </w:t>
      </w:r>
      <w:r>
        <w:rPr>
          <w:rFonts w:ascii="Calibri" w:hAnsi="Calibri"/>
          <w:i/>
          <w:color w:val="231F20"/>
          <w:sz w:val="17"/>
        </w:rPr>
        <w:t>International Political Economy</w:t>
      </w:r>
      <w:r>
        <w:rPr>
          <w:rFonts w:ascii="Calibri" w:hAnsi="Calibri"/>
          <w:color w:val="231F20"/>
          <w:sz w:val="17"/>
        </w:rPr>
        <w:t>, 4, 3, 1998, pp. 472–496.</w:t>
      </w:r>
    </w:p>
    <w:p>
      <w:pPr>
        <w:spacing w:line="206" w:lineRule="exact" w:before="1"/>
        <w:ind w:left="117" w:right="0" w:firstLine="0"/>
        <w:jc w:val="both"/>
        <w:rPr>
          <w:rFonts w:ascii="Calibri" w:hAnsi="Calibri"/>
          <w:sz w:val="17"/>
        </w:rPr>
      </w:pPr>
      <w:r>
        <w:rPr>
          <w:rFonts w:ascii="Calibri" w:hAnsi="Calibri"/>
          <w:color w:val="231F20"/>
          <w:position w:val="6"/>
          <w:sz w:val="10"/>
        </w:rPr>
        <w:t>70  </w:t>
      </w:r>
      <w:r>
        <w:rPr>
          <w:rFonts w:ascii="Calibri" w:hAnsi="Calibri"/>
          <w:color w:val="231F20"/>
          <w:sz w:val="17"/>
        </w:rPr>
        <w:t>R. Latham, “Social Sovereignty”, </w:t>
      </w:r>
      <w:r>
        <w:rPr>
          <w:rFonts w:ascii="Calibri" w:hAnsi="Calibri"/>
          <w:i/>
          <w:color w:val="231F20"/>
          <w:sz w:val="17"/>
        </w:rPr>
        <w:t>Theory Culture Society</w:t>
      </w:r>
      <w:r>
        <w:rPr>
          <w:rFonts w:ascii="Calibri" w:hAnsi="Calibri"/>
          <w:color w:val="231F20"/>
          <w:sz w:val="17"/>
        </w:rPr>
        <w:t>, 17, 1, 2000, p. 3.</w:t>
      </w:r>
    </w:p>
    <w:p>
      <w:pPr>
        <w:spacing w:line="235" w:lineRule="auto" w:before="1"/>
        <w:ind w:left="117" w:right="121" w:firstLine="0"/>
        <w:jc w:val="both"/>
        <w:rPr>
          <w:rFonts w:ascii="Calibri" w:hAnsi="Calibri"/>
          <w:sz w:val="17"/>
        </w:rPr>
      </w:pPr>
      <w:r>
        <w:rPr>
          <w:rFonts w:ascii="Calibri" w:hAnsi="Calibri"/>
          <w:color w:val="231F20"/>
          <w:position w:val="6"/>
          <w:sz w:val="10"/>
        </w:rPr>
        <w:t>71 </w:t>
      </w:r>
      <w:r>
        <w:rPr>
          <w:rFonts w:ascii="Calibri" w:hAnsi="Calibri"/>
          <w:color w:val="231F20"/>
          <w:sz w:val="17"/>
        </w:rPr>
        <w:t>H. Quaritsch, </w:t>
      </w:r>
      <w:r>
        <w:rPr>
          <w:rFonts w:ascii="Calibri" w:hAnsi="Calibri"/>
          <w:i/>
          <w:color w:val="231F20"/>
          <w:sz w:val="17"/>
        </w:rPr>
        <w:t>Staat und Souveränität. Die Grundlagen</w:t>
      </w:r>
      <w:r>
        <w:rPr>
          <w:rFonts w:ascii="Calibri" w:hAnsi="Calibri"/>
          <w:color w:val="231F20"/>
          <w:sz w:val="17"/>
        </w:rPr>
        <w:t>, Frankfurt am Main, Athenaum, 1970; R. Prokhovnik, </w:t>
      </w:r>
      <w:r>
        <w:rPr>
          <w:rFonts w:ascii="Calibri" w:hAnsi="Calibri"/>
          <w:i/>
          <w:color w:val="231F20"/>
          <w:sz w:val="17"/>
        </w:rPr>
        <w:t>Sovereignties. Contemporary Theory and Practice</w:t>
      </w:r>
      <w:r>
        <w:rPr>
          <w:rFonts w:ascii="Calibri" w:hAnsi="Calibri"/>
          <w:color w:val="231F20"/>
          <w:sz w:val="17"/>
        </w:rPr>
        <w:t>, Basingstoke, Palgrave Macmillan, 2007; N. MacCormick, “Questioning Post–Sovereignty”, </w:t>
      </w:r>
      <w:r>
        <w:rPr>
          <w:rFonts w:ascii="Calibri" w:hAnsi="Calibri"/>
          <w:i/>
          <w:color w:val="231F20"/>
          <w:sz w:val="17"/>
        </w:rPr>
        <w:t>European Law Review</w:t>
      </w:r>
      <w:r>
        <w:rPr>
          <w:rFonts w:ascii="Calibri" w:hAnsi="Calibri"/>
          <w:color w:val="231F20"/>
          <w:sz w:val="17"/>
        </w:rPr>
        <w:t>, 29, 2004, pp. 852– 863.</w:t>
      </w:r>
    </w:p>
    <w:p>
      <w:pPr>
        <w:spacing w:line="203" w:lineRule="exact" w:before="0"/>
        <w:ind w:left="117" w:right="0" w:firstLine="0"/>
        <w:jc w:val="both"/>
        <w:rPr>
          <w:rFonts w:ascii="Calibri" w:hAnsi="Calibri"/>
          <w:sz w:val="17"/>
        </w:rPr>
      </w:pPr>
      <w:r>
        <w:rPr>
          <w:rFonts w:ascii="Calibri" w:hAnsi="Calibri"/>
          <w:color w:val="231F20"/>
          <w:position w:val="6"/>
          <w:sz w:val="10"/>
        </w:rPr>
        <w:t>72  </w:t>
      </w:r>
      <w:r>
        <w:rPr>
          <w:rFonts w:ascii="Calibri" w:hAnsi="Calibri"/>
          <w:color w:val="231F20"/>
          <w:sz w:val="17"/>
        </w:rPr>
        <w:t>T. P.  Mitchell, “Society, Economy and the State Effect”, </w:t>
      </w:r>
      <w:r>
        <w:rPr>
          <w:rFonts w:ascii="Calibri" w:hAnsi="Calibri"/>
          <w:i/>
          <w:color w:val="231F20"/>
          <w:sz w:val="17"/>
        </w:rPr>
        <w:t>State/Culture</w:t>
      </w:r>
      <w:r>
        <w:rPr>
          <w:rFonts w:ascii="Calibri" w:hAnsi="Calibri"/>
          <w:color w:val="231F20"/>
          <w:sz w:val="17"/>
        </w:rPr>
        <w:t>, pp.  76–97.</w:t>
      </w:r>
    </w:p>
    <w:p>
      <w:pPr>
        <w:spacing w:line="235" w:lineRule="auto" w:before="1"/>
        <w:ind w:left="117" w:right="121" w:firstLine="0"/>
        <w:jc w:val="both"/>
        <w:rPr>
          <w:rFonts w:ascii="Calibri" w:hAnsi="Calibri"/>
          <w:sz w:val="17"/>
        </w:rPr>
      </w:pPr>
      <w:r>
        <w:rPr>
          <w:rFonts w:ascii="Calibri" w:hAnsi="Calibri"/>
          <w:color w:val="231F20"/>
          <w:w w:val="105"/>
          <w:position w:val="6"/>
          <w:sz w:val="10"/>
        </w:rPr>
        <w:t>73</w:t>
      </w:r>
      <w:r>
        <w:rPr>
          <w:rFonts w:ascii="Calibri" w:hAnsi="Calibri"/>
          <w:color w:val="231F20"/>
          <w:spacing w:val="-2"/>
          <w:w w:val="105"/>
          <w:position w:val="6"/>
          <w:sz w:val="10"/>
        </w:rPr>
        <w:t> </w:t>
      </w:r>
      <w:r>
        <w:rPr>
          <w:rFonts w:ascii="Calibri" w:hAnsi="Calibri"/>
          <w:color w:val="231F20"/>
          <w:w w:val="105"/>
          <w:sz w:val="17"/>
        </w:rPr>
        <w:t>H.</w:t>
      </w:r>
      <w:r>
        <w:rPr>
          <w:rFonts w:ascii="Calibri" w:hAnsi="Calibri"/>
          <w:color w:val="231F20"/>
          <w:spacing w:val="-19"/>
          <w:w w:val="105"/>
          <w:sz w:val="17"/>
        </w:rPr>
        <w:t> </w:t>
      </w:r>
      <w:r>
        <w:rPr>
          <w:rFonts w:ascii="Calibri" w:hAnsi="Calibri"/>
          <w:color w:val="231F20"/>
          <w:w w:val="105"/>
          <w:sz w:val="17"/>
        </w:rPr>
        <w:t>Spruyt,</w:t>
      </w:r>
      <w:r>
        <w:rPr>
          <w:rFonts w:ascii="Calibri" w:hAnsi="Calibri"/>
          <w:color w:val="231F20"/>
          <w:spacing w:val="-19"/>
          <w:w w:val="105"/>
          <w:sz w:val="17"/>
        </w:rPr>
        <w:t> </w:t>
      </w:r>
      <w:r>
        <w:rPr>
          <w:rFonts w:ascii="Calibri" w:hAnsi="Calibri"/>
          <w:color w:val="231F20"/>
          <w:w w:val="105"/>
          <w:sz w:val="17"/>
        </w:rPr>
        <w:t>“The</w:t>
      </w:r>
      <w:r>
        <w:rPr>
          <w:rFonts w:ascii="Calibri" w:hAnsi="Calibri"/>
          <w:color w:val="231F20"/>
          <w:spacing w:val="-19"/>
          <w:w w:val="105"/>
          <w:sz w:val="17"/>
        </w:rPr>
        <w:t> </w:t>
      </w:r>
      <w:r>
        <w:rPr>
          <w:rFonts w:ascii="Calibri" w:hAnsi="Calibri"/>
          <w:color w:val="231F20"/>
          <w:w w:val="105"/>
          <w:sz w:val="17"/>
        </w:rPr>
        <w:t>Origins,</w:t>
      </w:r>
      <w:r>
        <w:rPr>
          <w:rFonts w:ascii="Calibri" w:hAnsi="Calibri"/>
          <w:color w:val="231F20"/>
          <w:spacing w:val="-19"/>
          <w:w w:val="105"/>
          <w:sz w:val="17"/>
        </w:rPr>
        <w:t> </w:t>
      </w:r>
      <w:r>
        <w:rPr>
          <w:rFonts w:ascii="Calibri" w:hAnsi="Calibri"/>
          <w:color w:val="231F20"/>
          <w:w w:val="105"/>
          <w:sz w:val="17"/>
        </w:rPr>
        <w:t>Development,</w:t>
      </w:r>
      <w:r>
        <w:rPr>
          <w:rFonts w:ascii="Calibri" w:hAnsi="Calibri"/>
          <w:color w:val="231F20"/>
          <w:spacing w:val="-19"/>
          <w:w w:val="105"/>
          <w:sz w:val="17"/>
        </w:rPr>
        <w:t> </w:t>
      </w:r>
      <w:r>
        <w:rPr>
          <w:rFonts w:ascii="Calibri" w:hAnsi="Calibri"/>
          <w:color w:val="231F20"/>
          <w:w w:val="105"/>
          <w:sz w:val="17"/>
        </w:rPr>
        <w:t>and</w:t>
      </w:r>
      <w:r>
        <w:rPr>
          <w:rFonts w:ascii="Calibri" w:hAnsi="Calibri"/>
          <w:color w:val="231F20"/>
          <w:spacing w:val="-19"/>
          <w:w w:val="105"/>
          <w:sz w:val="17"/>
        </w:rPr>
        <w:t> </w:t>
      </w:r>
      <w:r>
        <w:rPr>
          <w:rFonts w:ascii="Calibri" w:hAnsi="Calibri"/>
          <w:color w:val="231F20"/>
          <w:w w:val="105"/>
          <w:sz w:val="17"/>
        </w:rPr>
        <w:t>Possible</w:t>
      </w:r>
      <w:r>
        <w:rPr>
          <w:rFonts w:ascii="Calibri" w:hAnsi="Calibri"/>
          <w:color w:val="231F20"/>
          <w:spacing w:val="-19"/>
          <w:w w:val="105"/>
          <w:sz w:val="17"/>
        </w:rPr>
        <w:t> </w:t>
      </w:r>
      <w:r>
        <w:rPr>
          <w:rFonts w:ascii="Calibri" w:hAnsi="Calibri"/>
          <w:color w:val="231F20"/>
          <w:w w:val="105"/>
          <w:sz w:val="17"/>
        </w:rPr>
        <w:t>Decline</w:t>
      </w:r>
      <w:r>
        <w:rPr>
          <w:rFonts w:ascii="Calibri" w:hAnsi="Calibri"/>
          <w:color w:val="231F20"/>
          <w:spacing w:val="-19"/>
          <w:w w:val="105"/>
          <w:sz w:val="17"/>
        </w:rPr>
        <w:t> </w:t>
      </w:r>
      <w:r>
        <w:rPr>
          <w:rFonts w:ascii="Calibri" w:hAnsi="Calibri"/>
          <w:color w:val="231F20"/>
          <w:w w:val="105"/>
          <w:sz w:val="17"/>
        </w:rPr>
        <w:t>of</w:t>
      </w:r>
      <w:r>
        <w:rPr>
          <w:rFonts w:ascii="Calibri" w:hAnsi="Calibri"/>
          <w:color w:val="231F20"/>
          <w:spacing w:val="-19"/>
          <w:w w:val="105"/>
          <w:sz w:val="17"/>
        </w:rPr>
        <w:t> </w:t>
      </w:r>
      <w:r>
        <w:rPr>
          <w:rFonts w:ascii="Calibri" w:hAnsi="Calibri"/>
          <w:color w:val="231F20"/>
          <w:w w:val="105"/>
          <w:sz w:val="17"/>
        </w:rPr>
        <w:t>the</w:t>
      </w:r>
      <w:r>
        <w:rPr>
          <w:rFonts w:ascii="Calibri" w:hAnsi="Calibri"/>
          <w:color w:val="231F20"/>
          <w:spacing w:val="-19"/>
          <w:w w:val="105"/>
          <w:sz w:val="17"/>
        </w:rPr>
        <w:t> </w:t>
      </w:r>
      <w:r>
        <w:rPr>
          <w:rFonts w:ascii="Calibri" w:hAnsi="Calibri"/>
          <w:color w:val="231F20"/>
          <w:w w:val="105"/>
          <w:sz w:val="17"/>
        </w:rPr>
        <w:t>Modern</w:t>
      </w:r>
      <w:r>
        <w:rPr>
          <w:rFonts w:ascii="Calibri" w:hAnsi="Calibri"/>
          <w:color w:val="231F20"/>
          <w:spacing w:val="-19"/>
          <w:w w:val="105"/>
          <w:sz w:val="17"/>
        </w:rPr>
        <w:t> </w:t>
      </w:r>
      <w:r>
        <w:rPr>
          <w:rFonts w:ascii="Calibri" w:hAnsi="Calibri"/>
          <w:color w:val="231F20"/>
          <w:w w:val="105"/>
          <w:sz w:val="17"/>
        </w:rPr>
        <w:t>State”,</w:t>
      </w:r>
      <w:r>
        <w:rPr>
          <w:rFonts w:ascii="Calibri" w:hAnsi="Calibri"/>
          <w:color w:val="231F20"/>
          <w:spacing w:val="-19"/>
          <w:w w:val="105"/>
          <w:sz w:val="17"/>
        </w:rPr>
        <w:t> </w:t>
      </w:r>
      <w:r>
        <w:rPr>
          <w:rFonts w:ascii="Calibri" w:hAnsi="Calibri"/>
          <w:i/>
          <w:color w:val="231F20"/>
          <w:w w:val="105"/>
          <w:sz w:val="17"/>
        </w:rPr>
        <w:t>Annual</w:t>
      </w:r>
      <w:r>
        <w:rPr>
          <w:rFonts w:ascii="Calibri" w:hAnsi="Calibri"/>
          <w:i/>
          <w:color w:val="231F20"/>
          <w:spacing w:val="-20"/>
          <w:w w:val="105"/>
          <w:sz w:val="17"/>
        </w:rPr>
        <w:t> </w:t>
      </w:r>
      <w:r>
        <w:rPr>
          <w:rFonts w:ascii="Calibri" w:hAnsi="Calibri"/>
          <w:i/>
          <w:color w:val="231F20"/>
          <w:w w:val="105"/>
          <w:sz w:val="17"/>
        </w:rPr>
        <w:t>Review </w:t>
      </w:r>
      <w:r>
        <w:rPr>
          <w:rFonts w:ascii="Calibri" w:hAnsi="Calibri"/>
          <w:i/>
          <w:color w:val="231F20"/>
          <w:sz w:val="17"/>
        </w:rPr>
        <w:t>of</w:t>
      </w:r>
      <w:r>
        <w:rPr>
          <w:rFonts w:ascii="Calibri" w:hAnsi="Calibri"/>
          <w:i/>
          <w:color w:val="231F20"/>
          <w:spacing w:val="-16"/>
          <w:sz w:val="17"/>
        </w:rPr>
        <w:t> </w:t>
      </w:r>
      <w:r>
        <w:rPr>
          <w:rFonts w:ascii="Calibri" w:hAnsi="Calibri"/>
          <w:i/>
          <w:color w:val="231F20"/>
          <w:sz w:val="17"/>
        </w:rPr>
        <w:t>Political</w:t>
      </w:r>
      <w:r>
        <w:rPr>
          <w:rFonts w:ascii="Calibri" w:hAnsi="Calibri"/>
          <w:i/>
          <w:color w:val="231F20"/>
          <w:spacing w:val="-16"/>
          <w:sz w:val="17"/>
        </w:rPr>
        <w:t> </w:t>
      </w:r>
      <w:r>
        <w:rPr>
          <w:rFonts w:ascii="Calibri" w:hAnsi="Calibri"/>
          <w:i/>
          <w:color w:val="231F20"/>
          <w:sz w:val="17"/>
        </w:rPr>
        <w:t>Science</w:t>
      </w:r>
      <w:r>
        <w:rPr>
          <w:rFonts w:ascii="Calibri" w:hAnsi="Calibri"/>
          <w:color w:val="231F20"/>
          <w:sz w:val="17"/>
        </w:rPr>
        <w:t>,</w:t>
      </w:r>
      <w:r>
        <w:rPr>
          <w:rFonts w:ascii="Calibri" w:hAnsi="Calibri"/>
          <w:color w:val="231F20"/>
          <w:spacing w:val="-15"/>
          <w:sz w:val="17"/>
        </w:rPr>
        <w:t> </w:t>
      </w:r>
      <w:r>
        <w:rPr>
          <w:rFonts w:ascii="Calibri" w:hAnsi="Calibri"/>
          <w:color w:val="231F20"/>
          <w:sz w:val="17"/>
        </w:rPr>
        <w:t>5,</w:t>
      </w:r>
      <w:r>
        <w:rPr>
          <w:rFonts w:ascii="Calibri" w:hAnsi="Calibri"/>
          <w:color w:val="231F20"/>
          <w:spacing w:val="-15"/>
          <w:sz w:val="17"/>
        </w:rPr>
        <w:t> </w:t>
      </w:r>
      <w:r>
        <w:rPr>
          <w:rFonts w:ascii="Calibri" w:hAnsi="Calibri"/>
          <w:color w:val="231F20"/>
          <w:sz w:val="17"/>
        </w:rPr>
        <w:t>1,</w:t>
      </w:r>
      <w:r>
        <w:rPr>
          <w:rFonts w:ascii="Calibri" w:hAnsi="Calibri"/>
          <w:color w:val="231F20"/>
          <w:spacing w:val="-15"/>
          <w:sz w:val="17"/>
        </w:rPr>
        <w:t> </w:t>
      </w:r>
      <w:r>
        <w:rPr>
          <w:rFonts w:ascii="Calibri" w:hAnsi="Calibri"/>
          <w:color w:val="231F20"/>
          <w:sz w:val="17"/>
        </w:rPr>
        <w:t>2002,</w:t>
      </w:r>
      <w:r>
        <w:rPr>
          <w:rFonts w:ascii="Calibri" w:hAnsi="Calibri"/>
          <w:color w:val="231F20"/>
          <w:spacing w:val="-15"/>
          <w:sz w:val="17"/>
        </w:rPr>
        <w:t> </w:t>
      </w:r>
      <w:r>
        <w:rPr>
          <w:rFonts w:ascii="Calibri" w:hAnsi="Calibri"/>
          <w:color w:val="231F20"/>
          <w:sz w:val="17"/>
        </w:rPr>
        <w:t>pp.</w:t>
      </w:r>
      <w:r>
        <w:rPr>
          <w:rFonts w:ascii="Calibri" w:hAnsi="Calibri"/>
          <w:color w:val="231F20"/>
          <w:spacing w:val="-15"/>
          <w:sz w:val="17"/>
        </w:rPr>
        <w:t> </w:t>
      </w:r>
      <w:r>
        <w:rPr>
          <w:rFonts w:ascii="Calibri" w:hAnsi="Calibri"/>
          <w:color w:val="231F20"/>
          <w:spacing w:val="-3"/>
          <w:sz w:val="17"/>
        </w:rPr>
        <w:t>127–149.</w:t>
      </w:r>
    </w:p>
    <w:p>
      <w:pPr>
        <w:spacing w:line="205" w:lineRule="exact" w:before="0"/>
        <w:ind w:left="117" w:right="0" w:firstLine="0"/>
        <w:jc w:val="both"/>
        <w:rPr>
          <w:rFonts w:ascii="Calibri"/>
          <w:sz w:val="17"/>
        </w:rPr>
      </w:pPr>
      <w:r>
        <w:rPr>
          <w:rFonts w:ascii="Calibri"/>
          <w:color w:val="231F20"/>
          <w:position w:val="6"/>
          <w:sz w:val="10"/>
        </w:rPr>
        <w:t>74  </w:t>
      </w:r>
      <w:r>
        <w:rPr>
          <w:rFonts w:ascii="Calibri"/>
          <w:color w:val="231F20"/>
          <w:sz w:val="17"/>
        </w:rPr>
        <w:t>P. Schiera, </w:t>
      </w:r>
      <w:r>
        <w:rPr>
          <w:rFonts w:ascii="Calibri"/>
          <w:i/>
          <w:color w:val="231F20"/>
          <w:sz w:val="17"/>
        </w:rPr>
        <w:t>Lo Stato moderno. Origini e degenerazioni</w:t>
      </w:r>
      <w:r>
        <w:rPr>
          <w:rFonts w:ascii="Calibri"/>
          <w:color w:val="231F20"/>
          <w:sz w:val="17"/>
        </w:rPr>
        <w:t>, Bologna, Clueb,  2004.</w:t>
      </w:r>
    </w:p>
    <w:p>
      <w:pPr>
        <w:spacing w:after="0" w:line="205" w:lineRule="exact"/>
        <w:jc w:val="both"/>
        <w:rPr>
          <w:rFonts w:ascii="Calibri"/>
          <w:sz w:val="17"/>
        </w:rPr>
        <w:sectPr>
          <w:pgSz w:w="9640" w:h="13890"/>
          <w:pgMar w:top="0" w:bottom="280" w:left="1300" w:right="1180"/>
        </w:sectPr>
      </w:pPr>
    </w:p>
    <w:p>
      <w:pPr>
        <w:pStyle w:val="BodyText"/>
        <w:spacing w:line="247" w:lineRule="auto" w:before="107"/>
        <w:ind w:left="103" w:right="110"/>
        <w:jc w:val="both"/>
      </w:pPr>
      <w:r>
        <w:rPr>
          <w:color w:val="231F20"/>
        </w:rPr>
        <w:t>come d’altra parte </w:t>
      </w:r>
      <w:r>
        <w:rPr>
          <w:color w:val="231F20"/>
          <w:spacing w:val="2"/>
        </w:rPr>
        <w:t>quest’ultima </w:t>
      </w:r>
      <w:r>
        <w:rPr>
          <w:color w:val="231F20"/>
        </w:rPr>
        <w:t>non è compresa nella </w:t>
      </w:r>
      <w:r>
        <w:rPr>
          <w:rFonts w:ascii="Arial" w:hAnsi="Arial"/>
          <w:i/>
          <w:color w:val="231F20"/>
        </w:rPr>
        <w:t>Weltgesellschaft </w:t>
      </w:r>
      <w:r>
        <w:rPr>
          <w:color w:val="231F20"/>
        </w:rPr>
        <w:t>luhmanniana</w:t>
      </w:r>
      <w:r>
        <w:rPr>
          <w:position w:val="7"/>
          <w:sz w:val="12"/>
        </w:rPr>
        <w:t>75</w:t>
      </w:r>
      <w:r>
        <w:rPr>
          <w:color w:val="231F20"/>
        </w:rPr>
        <w:t>. Nello Stato globale sembra invece comporsi praticamente la contraddizione tra riconoscimento ed esclusione. Vi sono infatti coloro che, come i migranti irregolari, non sono cittadini, ma la cui presenza è, per dirla con Saskia Sassen, “non autorizzata, ma riconosciuta”</w:t>
      </w:r>
      <w:r>
        <w:rPr>
          <w:color w:val="231F20"/>
          <w:position w:val="7"/>
          <w:sz w:val="12"/>
        </w:rPr>
        <w:t>76</w:t>
      </w:r>
      <w:r>
        <w:rPr>
          <w:color w:val="231F20"/>
        </w:rPr>
        <w:t>. E vi</w:t>
      </w:r>
      <w:r>
        <w:rPr>
          <w:color w:val="231F20"/>
          <w:spacing w:val="-23"/>
        </w:rPr>
        <w:t> </w:t>
      </w:r>
      <w:r>
        <w:rPr>
          <w:color w:val="231F20"/>
        </w:rPr>
        <w:t>sono anche coloro che sono cittadini, ma che non riescono a ottenere grazie a questo titolo né tutele, né garanzie, né diritti. Lo Stato globale deve così confrontarsi in continuazione con il problema politico che lo Stato</w:t>
      </w:r>
      <w:r>
        <w:rPr>
          <w:color w:val="231F20"/>
          <w:spacing w:val="-26"/>
        </w:rPr>
        <w:t> </w:t>
      </w:r>
      <w:r>
        <w:rPr>
          <w:color w:val="231F20"/>
        </w:rPr>
        <w:t>moderno pretendeva di aver risolto in modo definitivo</w:t>
      </w:r>
      <w:r>
        <w:rPr>
          <w:color w:val="231F20"/>
          <w:position w:val="7"/>
          <w:sz w:val="12"/>
        </w:rPr>
        <w:t>77</w:t>
      </w:r>
      <w:r>
        <w:rPr>
          <w:color w:val="231F20"/>
        </w:rPr>
        <w:t>. In quanto forma di dominio esso</w:t>
      </w:r>
      <w:r>
        <w:rPr>
          <w:color w:val="231F20"/>
          <w:spacing w:val="-13"/>
        </w:rPr>
        <w:t> </w:t>
      </w:r>
      <w:r>
        <w:rPr>
          <w:color w:val="231F20"/>
        </w:rPr>
        <w:t>deve</w:t>
      </w:r>
      <w:r>
        <w:rPr>
          <w:color w:val="231F20"/>
          <w:spacing w:val="-13"/>
        </w:rPr>
        <w:t> </w:t>
      </w:r>
      <w:r>
        <w:rPr>
          <w:color w:val="231F20"/>
        </w:rPr>
        <w:t>costantemente</w:t>
      </w:r>
      <w:r>
        <w:rPr>
          <w:color w:val="231F20"/>
          <w:spacing w:val="-13"/>
        </w:rPr>
        <w:t> </w:t>
      </w:r>
      <w:r>
        <w:rPr>
          <w:color w:val="231F20"/>
        </w:rPr>
        <w:t>fare</w:t>
      </w:r>
      <w:r>
        <w:rPr>
          <w:color w:val="231F20"/>
          <w:spacing w:val="-13"/>
        </w:rPr>
        <w:t> </w:t>
      </w:r>
      <w:r>
        <w:rPr>
          <w:color w:val="231F20"/>
        </w:rPr>
        <w:t>i</w:t>
      </w:r>
      <w:r>
        <w:rPr>
          <w:color w:val="231F20"/>
          <w:spacing w:val="-13"/>
        </w:rPr>
        <w:t> </w:t>
      </w:r>
      <w:r>
        <w:rPr>
          <w:color w:val="231F20"/>
        </w:rPr>
        <w:t>conti</w:t>
      </w:r>
      <w:r>
        <w:rPr>
          <w:color w:val="231F20"/>
          <w:spacing w:val="-13"/>
        </w:rPr>
        <w:t> </w:t>
      </w:r>
      <w:r>
        <w:rPr>
          <w:color w:val="231F20"/>
        </w:rPr>
        <w:t>con</w:t>
      </w:r>
      <w:r>
        <w:rPr>
          <w:color w:val="231F20"/>
          <w:spacing w:val="-13"/>
        </w:rPr>
        <w:t> </w:t>
      </w:r>
      <w:r>
        <w:rPr>
          <w:color w:val="231F20"/>
        </w:rPr>
        <w:t>una</w:t>
      </w:r>
      <w:r>
        <w:rPr>
          <w:color w:val="231F20"/>
          <w:spacing w:val="-13"/>
        </w:rPr>
        <w:t> </w:t>
      </w:r>
      <w:r>
        <w:rPr>
          <w:color w:val="231F20"/>
        </w:rPr>
        <w:t>sovranità</w:t>
      </w:r>
      <w:r>
        <w:rPr>
          <w:color w:val="231F20"/>
          <w:spacing w:val="-13"/>
        </w:rPr>
        <w:t> </w:t>
      </w:r>
      <w:r>
        <w:rPr>
          <w:color w:val="231F20"/>
        </w:rPr>
        <w:t>che</w:t>
      </w:r>
      <w:r>
        <w:rPr>
          <w:color w:val="231F20"/>
          <w:spacing w:val="-13"/>
        </w:rPr>
        <w:t> </w:t>
      </w:r>
      <w:r>
        <w:rPr>
          <w:color w:val="231F20"/>
        </w:rPr>
        <w:t>gli</w:t>
      </w:r>
      <w:r>
        <w:rPr>
          <w:color w:val="231F20"/>
          <w:spacing w:val="-13"/>
        </w:rPr>
        <w:t> </w:t>
      </w:r>
      <w:r>
        <w:rPr>
          <w:color w:val="231F20"/>
        </w:rPr>
        <w:t>sfugge</w:t>
      </w:r>
      <w:r>
        <w:rPr>
          <w:color w:val="231F20"/>
          <w:spacing w:val="-13"/>
        </w:rPr>
        <w:t> </w:t>
      </w:r>
      <w:r>
        <w:rPr>
          <w:color w:val="231F20"/>
        </w:rPr>
        <w:t>senza essere</w:t>
      </w:r>
      <w:r>
        <w:rPr>
          <w:color w:val="231F20"/>
          <w:spacing w:val="-7"/>
        </w:rPr>
        <w:t> </w:t>
      </w:r>
      <w:r>
        <w:rPr>
          <w:color w:val="231F20"/>
        </w:rPr>
        <w:t>davvero</w:t>
      </w:r>
      <w:r>
        <w:rPr>
          <w:color w:val="231F20"/>
          <w:spacing w:val="-7"/>
        </w:rPr>
        <w:t> </w:t>
      </w:r>
      <w:r>
        <w:rPr>
          <w:color w:val="231F20"/>
        </w:rPr>
        <w:t>evanescente.</w:t>
      </w:r>
      <w:r>
        <w:rPr>
          <w:color w:val="231F20"/>
          <w:spacing w:val="-7"/>
        </w:rPr>
        <w:t> </w:t>
      </w:r>
      <w:r>
        <w:rPr>
          <w:color w:val="231F20"/>
        </w:rPr>
        <w:t>Nella</w:t>
      </w:r>
      <w:r>
        <w:rPr>
          <w:color w:val="231F20"/>
          <w:spacing w:val="-7"/>
        </w:rPr>
        <w:t> </w:t>
      </w:r>
      <w:r>
        <w:rPr>
          <w:color w:val="231F20"/>
        </w:rPr>
        <w:t>sua</w:t>
      </w:r>
      <w:r>
        <w:rPr>
          <w:color w:val="231F20"/>
          <w:spacing w:val="-7"/>
        </w:rPr>
        <w:t> </w:t>
      </w:r>
      <w:r>
        <w:rPr>
          <w:color w:val="231F20"/>
        </w:rPr>
        <w:t>evoluzione</w:t>
      </w:r>
      <w:r>
        <w:rPr>
          <w:color w:val="231F20"/>
          <w:spacing w:val="-7"/>
        </w:rPr>
        <w:t> </w:t>
      </w:r>
      <w:r>
        <w:rPr>
          <w:color w:val="231F20"/>
        </w:rPr>
        <w:t>essa</w:t>
      </w:r>
      <w:r>
        <w:rPr>
          <w:color w:val="231F20"/>
          <w:spacing w:val="-7"/>
        </w:rPr>
        <w:t> </w:t>
      </w:r>
      <w:r>
        <w:rPr>
          <w:color w:val="231F20"/>
        </w:rPr>
        <w:t>è</w:t>
      </w:r>
      <w:r>
        <w:rPr>
          <w:color w:val="231F20"/>
          <w:spacing w:val="-7"/>
        </w:rPr>
        <w:t> </w:t>
      </w:r>
      <w:r>
        <w:rPr>
          <w:color w:val="231F20"/>
        </w:rPr>
        <w:t>anche</w:t>
      </w:r>
      <w:r>
        <w:rPr>
          <w:color w:val="231F20"/>
          <w:spacing w:val="-7"/>
        </w:rPr>
        <w:t> </w:t>
      </w:r>
      <w:r>
        <w:rPr>
          <w:color w:val="231F20"/>
        </w:rPr>
        <w:t>la</w:t>
      </w:r>
      <w:r>
        <w:rPr>
          <w:color w:val="231F20"/>
          <w:spacing w:val="-7"/>
        </w:rPr>
        <w:t> </w:t>
      </w:r>
      <w:r>
        <w:rPr>
          <w:color w:val="231F20"/>
        </w:rPr>
        <w:t>modalità di esercizio del potere tanto dello Stato quanto di altre formazioni </w:t>
      </w:r>
      <w:r>
        <w:rPr>
          <w:color w:val="231F20"/>
          <w:spacing w:val="2"/>
        </w:rPr>
        <w:t>non </w:t>
      </w:r>
      <w:r>
        <w:rPr>
          <w:color w:val="231F20"/>
        </w:rPr>
        <w:t>statali,</w:t>
      </w:r>
      <w:r>
        <w:rPr>
          <w:color w:val="231F20"/>
          <w:spacing w:val="-19"/>
        </w:rPr>
        <w:t> </w:t>
      </w:r>
      <w:r>
        <w:rPr>
          <w:color w:val="231F20"/>
        </w:rPr>
        <w:t>mentre</w:t>
      </w:r>
      <w:r>
        <w:rPr>
          <w:color w:val="231F20"/>
          <w:spacing w:val="-19"/>
        </w:rPr>
        <w:t> </w:t>
      </w:r>
      <w:r>
        <w:rPr>
          <w:color w:val="231F20"/>
        </w:rPr>
        <w:t>allo</w:t>
      </w:r>
      <w:r>
        <w:rPr>
          <w:color w:val="231F20"/>
          <w:spacing w:val="-19"/>
        </w:rPr>
        <w:t> </w:t>
      </w:r>
      <w:r>
        <w:rPr>
          <w:color w:val="231F20"/>
        </w:rPr>
        <w:t>stesso</w:t>
      </w:r>
      <w:r>
        <w:rPr>
          <w:color w:val="231F20"/>
          <w:spacing w:val="-19"/>
        </w:rPr>
        <w:t> </w:t>
      </w:r>
      <w:r>
        <w:rPr>
          <w:color w:val="231F20"/>
        </w:rPr>
        <w:t>tempo</w:t>
      </w:r>
      <w:r>
        <w:rPr>
          <w:color w:val="231F20"/>
          <w:spacing w:val="-19"/>
        </w:rPr>
        <w:t> </w:t>
      </w:r>
      <w:r>
        <w:rPr>
          <w:color w:val="231F20"/>
        </w:rPr>
        <w:t>che</w:t>
      </w:r>
      <w:r>
        <w:rPr>
          <w:color w:val="231F20"/>
          <w:spacing w:val="-19"/>
        </w:rPr>
        <w:t> </w:t>
      </w:r>
      <w:r>
        <w:rPr>
          <w:color w:val="231F20"/>
        </w:rPr>
        <w:t>non</w:t>
      </w:r>
      <w:r>
        <w:rPr>
          <w:color w:val="231F20"/>
          <w:spacing w:val="-19"/>
        </w:rPr>
        <w:t> </w:t>
      </w:r>
      <w:r>
        <w:rPr>
          <w:color w:val="231F20"/>
        </w:rPr>
        <w:t>ritrova</w:t>
      </w:r>
      <w:r>
        <w:rPr>
          <w:color w:val="231F20"/>
          <w:spacing w:val="-19"/>
        </w:rPr>
        <w:t> </w:t>
      </w:r>
      <w:r>
        <w:rPr>
          <w:color w:val="231F20"/>
        </w:rPr>
        <w:t>solo</w:t>
      </w:r>
      <w:r>
        <w:rPr>
          <w:color w:val="231F20"/>
          <w:spacing w:val="-19"/>
        </w:rPr>
        <w:t> </w:t>
      </w:r>
      <w:r>
        <w:rPr>
          <w:color w:val="231F20"/>
        </w:rPr>
        <w:t>come</w:t>
      </w:r>
      <w:r>
        <w:rPr>
          <w:color w:val="231F20"/>
          <w:spacing w:val="-19"/>
        </w:rPr>
        <w:t> </w:t>
      </w:r>
      <w:r>
        <w:rPr>
          <w:color w:val="231F20"/>
        </w:rPr>
        <w:t>possesso</w:t>
      </w:r>
      <w:r>
        <w:rPr>
          <w:color w:val="231F20"/>
          <w:spacing w:val="-19"/>
        </w:rPr>
        <w:t> </w:t>
      </w:r>
      <w:r>
        <w:rPr>
          <w:color w:val="231F20"/>
        </w:rPr>
        <w:t>di</w:t>
      </w:r>
      <w:r>
        <w:rPr>
          <w:color w:val="231F20"/>
          <w:spacing w:val="-19"/>
        </w:rPr>
        <w:t> </w:t>
      </w:r>
      <w:r>
        <w:rPr>
          <w:color w:val="231F20"/>
        </w:rPr>
        <w:t>altre strutture di potere, ma che è incapace di stabilire un rapporto stabilmente legittimo</w:t>
      </w:r>
      <w:r>
        <w:rPr>
          <w:color w:val="231F20"/>
          <w:spacing w:val="-16"/>
        </w:rPr>
        <w:t> </w:t>
      </w:r>
      <w:r>
        <w:rPr>
          <w:color w:val="231F20"/>
        </w:rPr>
        <w:t>tra</w:t>
      </w:r>
      <w:r>
        <w:rPr>
          <w:color w:val="231F20"/>
          <w:spacing w:val="-16"/>
        </w:rPr>
        <w:t> </w:t>
      </w:r>
      <w:r>
        <w:rPr>
          <w:color w:val="231F20"/>
        </w:rPr>
        <w:t>il</w:t>
      </w:r>
      <w:r>
        <w:rPr>
          <w:color w:val="231F20"/>
          <w:spacing w:val="-16"/>
        </w:rPr>
        <w:t> </w:t>
      </w:r>
      <w:r>
        <w:rPr>
          <w:color w:val="231F20"/>
        </w:rPr>
        <w:t>governo</w:t>
      </w:r>
      <w:r>
        <w:rPr>
          <w:color w:val="231F20"/>
          <w:spacing w:val="-16"/>
        </w:rPr>
        <w:t> </w:t>
      </w:r>
      <w:r>
        <w:rPr>
          <w:color w:val="231F20"/>
        </w:rPr>
        <w:t>e</w:t>
      </w:r>
      <w:r>
        <w:rPr>
          <w:color w:val="231F20"/>
          <w:spacing w:val="-16"/>
        </w:rPr>
        <w:t> </w:t>
      </w:r>
      <w:r>
        <w:rPr>
          <w:color w:val="231F20"/>
        </w:rPr>
        <w:t>gli</w:t>
      </w:r>
      <w:r>
        <w:rPr>
          <w:color w:val="231F20"/>
          <w:spacing w:val="-16"/>
        </w:rPr>
        <w:t> </w:t>
      </w:r>
      <w:r>
        <w:rPr>
          <w:color w:val="231F20"/>
        </w:rPr>
        <w:t>individui</w:t>
      </w:r>
      <w:r>
        <w:rPr>
          <w:color w:val="231F20"/>
          <w:spacing w:val="-16"/>
        </w:rPr>
        <w:t> </w:t>
      </w:r>
      <w:r>
        <w:rPr>
          <w:color w:val="231F20"/>
        </w:rPr>
        <w:t>che</w:t>
      </w:r>
      <w:r>
        <w:rPr>
          <w:color w:val="231F20"/>
          <w:spacing w:val="-16"/>
        </w:rPr>
        <w:t> </w:t>
      </w:r>
      <w:r>
        <w:rPr>
          <w:color w:val="231F20"/>
        </w:rPr>
        <w:t>si</w:t>
      </w:r>
      <w:r>
        <w:rPr>
          <w:color w:val="231F20"/>
          <w:spacing w:val="-16"/>
        </w:rPr>
        <w:t> </w:t>
      </w:r>
      <w:r>
        <w:rPr>
          <w:color w:val="231F20"/>
          <w:spacing w:val="-3"/>
        </w:rPr>
        <w:t>presentano</w:t>
      </w:r>
      <w:r>
        <w:rPr>
          <w:color w:val="231F20"/>
          <w:spacing w:val="-16"/>
        </w:rPr>
        <w:t> </w:t>
      </w:r>
      <w:r>
        <w:rPr>
          <w:color w:val="231F20"/>
        </w:rPr>
        <w:t>come</w:t>
      </w:r>
      <w:r>
        <w:rPr>
          <w:color w:val="231F20"/>
          <w:spacing w:val="-16"/>
        </w:rPr>
        <w:t> </w:t>
      </w:r>
      <w:r>
        <w:rPr>
          <w:color w:val="231F20"/>
        </w:rPr>
        <w:t>piuttosto</w:t>
      </w:r>
      <w:r>
        <w:rPr>
          <w:color w:val="231F20"/>
          <w:spacing w:val="-16"/>
        </w:rPr>
        <w:t> </w:t>
      </w:r>
      <w:r>
        <w:rPr>
          <w:color w:val="231F20"/>
        </w:rPr>
        <w:t>come una</w:t>
      </w:r>
      <w:r>
        <w:rPr>
          <w:color w:val="231F20"/>
          <w:spacing w:val="-9"/>
        </w:rPr>
        <w:t> </w:t>
      </w:r>
      <w:r>
        <w:rPr>
          <w:color w:val="231F20"/>
        </w:rPr>
        <w:t>società</w:t>
      </w:r>
      <w:r>
        <w:rPr>
          <w:color w:val="231F20"/>
          <w:spacing w:val="-9"/>
        </w:rPr>
        <w:t> </w:t>
      </w:r>
      <w:r>
        <w:rPr>
          <w:color w:val="231F20"/>
        </w:rPr>
        <w:t>globale</w:t>
      </w:r>
      <w:r>
        <w:rPr>
          <w:color w:val="231F20"/>
          <w:spacing w:val="-9"/>
        </w:rPr>
        <w:t> </w:t>
      </w:r>
      <w:r>
        <w:rPr>
          <w:color w:val="231F20"/>
        </w:rPr>
        <w:t>segmentata</w:t>
      </w:r>
      <w:r>
        <w:rPr>
          <w:color w:val="231F20"/>
          <w:spacing w:val="-9"/>
        </w:rPr>
        <w:t> </w:t>
      </w:r>
      <w:r>
        <w:rPr>
          <w:color w:val="231F20"/>
        </w:rPr>
        <w:t>e</w:t>
      </w:r>
      <w:r>
        <w:rPr>
          <w:color w:val="231F20"/>
          <w:spacing w:val="-9"/>
        </w:rPr>
        <w:t> </w:t>
      </w:r>
      <w:r>
        <w:rPr>
          <w:color w:val="231F20"/>
        </w:rPr>
        <w:t>differenziata</w:t>
      </w:r>
      <w:r>
        <w:rPr>
          <w:color w:val="231F20"/>
          <w:spacing w:val="-9"/>
        </w:rPr>
        <w:t> </w:t>
      </w:r>
      <w:r>
        <w:rPr>
          <w:color w:val="231F20"/>
        </w:rPr>
        <w:t>che</w:t>
      </w:r>
      <w:r>
        <w:rPr>
          <w:color w:val="231F20"/>
          <w:spacing w:val="-9"/>
        </w:rPr>
        <w:t> </w:t>
      </w:r>
      <w:r>
        <w:rPr>
          <w:color w:val="231F20"/>
        </w:rPr>
        <w:t>come</w:t>
      </w:r>
      <w:r>
        <w:rPr>
          <w:color w:val="231F20"/>
          <w:spacing w:val="-9"/>
        </w:rPr>
        <w:t> </w:t>
      </w:r>
      <w:r>
        <w:rPr>
          <w:color w:val="231F20"/>
        </w:rPr>
        <w:t>popolo</w:t>
      </w:r>
      <w:r>
        <w:rPr>
          <w:color w:val="231F20"/>
          <w:spacing w:val="-9"/>
        </w:rPr>
        <w:t> </w:t>
      </w:r>
      <w:r>
        <w:rPr>
          <w:color w:val="231F20"/>
        </w:rPr>
        <w:t>o</w:t>
      </w:r>
      <w:r>
        <w:rPr>
          <w:color w:val="231F20"/>
          <w:spacing w:val="-9"/>
        </w:rPr>
        <w:t> </w:t>
      </w:r>
      <w:r>
        <w:rPr>
          <w:color w:val="231F20"/>
        </w:rPr>
        <w:t>nazione.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r>
        <w:rPr/>
        <w:pict>
          <v:line style="position:absolute;mso-position-horizontal-relative:page;mso-position-vertical-relative:paragraph;z-index:10936;mso-wrap-distance-left:0;mso-wrap-distance-right:0" from="65.196899pt,16.089798pt" to="178.582899pt,16.089798pt" stroked="true" strokeweight=".3pt" strokecolor="#231f20">
            <w10:wrap type="topAndBottom"/>
          </v:line>
        </w:pict>
      </w:r>
    </w:p>
    <w:p>
      <w:pPr>
        <w:spacing w:line="204" w:lineRule="exact" w:before="9"/>
        <w:ind w:left="103" w:right="0" w:firstLine="0"/>
        <w:jc w:val="left"/>
        <w:rPr>
          <w:rFonts w:ascii="Calibri" w:hAnsi="Calibri"/>
          <w:sz w:val="17"/>
        </w:rPr>
      </w:pPr>
      <w:r>
        <w:rPr>
          <w:rFonts w:ascii="Calibri" w:hAnsi="Calibri"/>
          <w:color w:val="231F20"/>
          <w:position w:val="6"/>
          <w:sz w:val="10"/>
        </w:rPr>
        <w:t>75 </w:t>
      </w:r>
      <w:r>
        <w:rPr>
          <w:rFonts w:ascii="Calibri" w:hAnsi="Calibri"/>
          <w:color w:val="231F20"/>
          <w:sz w:val="17"/>
        </w:rPr>
        <w:t>N. Luhmann, </w:t>
      </w:r>
      <w:r>
        <w:rPr>
          <w:rFonts w:ascii="Calibri" w:hAnsi="Calibri"/>
          <w:i/>
          <w:color w:val="231F20"/>
          <w:sz w:val="17"/>
        </w:rPr>
        <w:t>Jenseits der Barbarei</w:t>
      </w:r>
      <w:r>
        <w:rPr>
          <w:rFonts w:ascii="Calibri" w:hAnsi="Calibri"/>
          <w:color w:val="231F20"/>
          <w:sz w:val="17"/>
        </w:rPr>
        <w:t>, N. Luhmann, </w:t>
      </w:r>
      <w:r>
        <w:rPr>
          <w:rFonts w:ascii="Calibri" w:hAnsi="Calibri"/>
          <w:i/>
          <w:color w:val="231F20"/>
          <w:sz w:val="17"/>
        </w:rPr>
        <w:t>Gesellschaftsstruktur und Semantik</w:t>
      </w:r>
      <w:r>
        <w:rPr>
          <w:rFonts w:ascii="Calibri" w:hAnsi="Calibri"/>
          <w:color w:val="231F20"/>
          <w:sz w:val="17"/>
        </w:rPr>
        <w:t>, Frankfurt am Main, Suhrkamp, 1999, pp. 138–150.</w:t>
      </w:r>
    </w:p>
    <w:p>
      <w:pPr>
        <w:spacing w:line="206" w:lineRule="exact" w:before="1"/>
        <w:ind w:left="103" w:right="0" w:firstLine="0"/>
        <w:jc w:val="left"/>
        <w:rPr>
          <w:rFonts w:ascii="Calibri" w:hAnsi="Calibri"/>
          <w:i/>
          <w:sz w:val="17"/>
        </w:rPr>
      </w:pPr>
      <w:r>
        <w:rPr>
          <w:rFonts w:ascii="Calibri" w:hAnsi="Calibri"/>
          <w:color w:val="231F20"/>
          <w:position w:val="6"/>
          <w:sz w:val="10"/>
        </w:rPr>
        <w:t>76  </w:t>
      </w:r>
      <w:r>
        <w:rPr>
          <w:rFonts w:ascii="Calibri" w:hAnsi="Calibri"/>
          <w:color w:val="231F20"/>
          <w:sz w:val="17"/>
        </w:rPr>
        <w:t>S. Mezzadra y M. Ricciardi, “Introduzione”, S. Mezzadra y M. Ricciardi, </w:t>
      </w:r>
      <w:r>
        <w:rPr>
          <w:rFonts w:ascii="Calibri" w:hAnsi="Calibri"/>
          <w:i/>
          <w:color w:val="231F20"/>
          <w:sz w:val="17"/>
        </w:rPr>
        <w:t>Movimenti indisciplinati.</w:t>
      </w:r>
    </w:p>
    <w:p>
      <w:pPr>
        <w:spacing w:line="204" w:lineRule="exact" w:before="0"/>
        <w:ind w:left="103" w:right="0" w:firstLine="0"/>
        <w:jc w:val="left"/>
        <w:rPr>
          <w:rFonts w:ascii="Calibri" w:hAnsi="Calibri"/>
          <w:sz w:val="17"/>
        </w:rPr>
      </w:pPr>
      <w:r>
        <w:rPr>
          <w:rFonts w:ascii="Calibri" w:hAnsi="Calibri"/>
          <w:i/>
          <w:color w:val="231F20"/>
          <w:sz w:val="17"/>
        </w:rPr>
        <w:t>Migrazioni, migranti e discipline scientifiche</w:t>
      </w:r>
      <w:r>
        <w:rPr>
          <w:rFonts w:ascii="Calibri" w:hAnsi="Calibri"/>
          <w:color w:val="231F20"/>
          <w:sz w:val="17"/>
        </w:rPr>
        <w:t>, Verona, ombre corte, 2013, pp. 7–28.</w:t>
      </w:r>
    </w:p>
    <w:p>
      <w:pPr>
        <w:spacing w:line="206" w:lineRule="exact" w:before="0"/>
        <w:ind w:left="103" w:right="0" w:firstLine="0"/>
        <w:jc w:val="left"/>
        <w:rPr>
          <w:rFonts w:ascii="Calibri" w:hAnsi="Calibri"/>
          <w:sz w:val="17"/>
        </w:rPr>
      </w:pPr>
      <w:r>
        <w:rPr>
          <w:rFonts w:ascii="Calibri" w:hAnsi="Calibri"/>
          <w:color w:val="231F20"/>
          <w:position w:val="6"/>
          <w:sz w:val="10"/>
        </w:rPr>
        <w:t>77  </w:t>
      </w:r>
      <w:r>
        <w:rPr>
          <w:rFonts w:ascii="Calibri" w:hAnsi="Calibri"/>
          <w:color w:val="231F20"/>
          <w:sz w:val="17"/>
        </w:rPr>
        <w:t>M. Ricciardi, “Il problema politico dello Stato globale”, </w:t>
      </w:r>
      <w:r>
        <w:rPr>
          <w:rFonts w:ascii="Calibri" w:hAnsi="Calibri"/>
          <w:i/>
          <w:color w:val="231F20"/>
          <w:sz w:val="17"/>
        </w:rPr>
        <w:t>Equilibri</w:t>
      </w:r>
      <w:r>
        <w:rPr>
          <w:rFonts w:ascii="Calibri" w:hAnsi="Calibri"/>
          <w:color w:val="231F20"/>
          <w:sz w:val="17"/>
        </w:rPr>
        <w:t>, 2, 2014, pp. 293–300.</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sz w:val="16"/>
        </w:rPr>
      </w:pPr>
      <w:r>
        <w:rPr/>
        <w:pict>
          <v:group style="position:absolute;margin-left:98.079102pt;margin-top:-3.358812pt;width:20.4pt;height:43pt;mso-position-horizontal-relative:page;mso-position-vertical-relative:paragraph;z-index:-164440"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58</w:t>
        <w:tab/>
      </w:r>
      <w:r>
        <w:rPr>
          <w:rFonts w:ascii="Calibri"/>
          <w:color w:val="6D6E71"/>
          <w:sz w:val="16"/>
        </w:rPr>
        <w:t>Maurizio</w:t>
      </w:r>
      <w:r>
        <w:rPr>
          <w:rFonts w:ascii="Calibri"/>
          <w:color w:val="6D6E71"/>
          <w:spacing w:val="18"/>
          <w:sz w:val="16"/>
        </w:rPr>
        <w:t> </w:t>
      </w:r>
      <w:r>
        <w:rPr>
          <w:rFonts w:ascii="Calibri"/>
          <w:color w:val="6D6E71"/>
          <w:sz w:val="16"/>
        </w:rPr>
        <w:t>Ricciardi</w:t>
      </w:r>
    </w:p>
    <w:p>
      <w:pPr>
        <w:spacing w:after="0"/>
        <w:jc w:val="left"/>
        <w:rPr>
          <w:rFonts w:ascii="Calibri"/>
          <w:sz w:val="16"/>
        </w:rPr>
        <w:sectPr>
          <w:pgSz w:w="9640" w:h="13890"/>
          <w:pgMar w:top="1300" w:bottom="0" w:left="1200" w:right="1300"/>
        </w:sectPr>
      </w:pPr>
    </w:p>
    <w:p>
      <w:pPr>
        <w:pStyle w:val="BodyText"/>
        <w:ind w:left="884"/>
        <w:rPr>
          <w:rFonts w:ascii="Calibri"/>
          <w:sz w:val="20"/>
        </w:rPr>
      </w:pPr>
      <w:r>
        <w:rPr/>
        <w:pict>
          <v:rect style="position:absolute;margin-left:1.021000pt;margin-top:-.000024pt;width:480.869pt;height:694.488pt;mso-position-horizontal-relative:page;mso-position-vertical-relative:page;z-index:-164392" filled="true" fillcolor="#6d6e71" stroked="false">
            <v:fill type="solid"/>
            <w10:wrap type="none"/>
          </v:rect>
        </w:pict>
      </w:r>
      <w:r>
        <w:rPr>
          <w:rFonts w:ascii="Calibri"/>
          <w:sz w:val="20"/>
        </w:rPr>
        <w:pict>
          <v:group style="width:259.5pt;height:425.1pt;mso-position-horizontal-relative:char;mso-position-vertical-relative:line" coordorigin="0,0" coordsize="5190,8502">
            <v:shape style="position:absolute;left:2843;top:633;width:2346;height:7869" type="#_x0000_t75" stroked="false">
              <v:imagedata r:id="rId64" o:title=""/>
            </v:shape>
            <v:shape style="position:absolute;left:2864;top:1653;width:1729;height:3773" coordorigin="2864,1653" coordsize="1729,3773" path="m2953,1653l2941,1678,2914,1749,2885,1854,2864,1984,3158,3145,3436,3890,3860,4543,4593,5425,4587,5306,4571,5018,4552,4668,4535,4361,4023,4075,3687,3697,3380,2974,2953,1653xe" filled="true" fillcolor="#7e8083" stroked="false">
              <v:path arrowok="t"/>
              <v:fill type="solid"/>
            </v:shape>
            <v:shape style="position:absolute;left:0;top:0;width:4665;height:6117" type="#_x0000_t75" stroked="false">
              <v:imagedata r:id="rId65" o:title=""/>
            </v:shape>
            <v:shape style="position:absolute;left:2253;top:9;width:721;height:3805" coordorigin="2253,9" coordsize="721,3805" path="m2757,9l2525,58,2286,1239,2253,2024,2468,2765,2973,3814,2757,9xe" filled="true" fillcolor="#a9abae" stroked="false">
              <v:path arrowok="t"/>
              <v:fill type="solid"/>
            </v:shape>
            <v:shape style="position:absolute;left:2385;top:7;width:602;height:3856" coordorigin="2385,7" coordsize="602,3856" path="m2759,7l2524,51,2520,52,2519,56,2493,174,2487,203,2481,233,2475,262,2470,292,2449,411,2444,441,2440,470,2436,500,2432,530,2424,590,2417,650,2411,710,2405,770,2402,800,2400,833,2398,863,2396,891,2392,952,2391,981,2390,1012,2386,1132,2385,1162,2385,1222,2385,1313,2386,1374,2389,1437,2391,1495,2394,1555,2398,1615,2402,1675,2413,1796,2419,1856,2426,1916,2433,1976,2441,2036,2449,2096,2458,2155,2468,2215,2473,2245,2478,2274,2484,2304,2495,2363,2501,2393,2506,2422,2513,2452,2538,2570,2566,2687,2581,2746,2596,2804,2612,2863,2628,2920,2645,2978,2662,3035,2680,3093,2698,3150,2718,3207,2737,3264,2757,3321,2778,3377,2799,3433,2821,3489,2843,3545,2866,3600,2889,3656,2913,3710,2939,3765,2965,3819,2986,3862,2983,3815,2964,3815,2961,3765,2957,3756,2933,3701,2910,3646,2888,3591,2866,3535,2845,3479,2824,3423,2804,3367,2785,3310,2766,3253,2747,3196,2729,3139,2712,3082,2695,3025,2679,2967,2663,2909,2647,2852,2632,2794,2618,2735,2603,2677,2577,2561,2552,2443,2546,2414,2541,2384,2535,2355,2530,2325,2525,2296,2519,2266,2515,2237,2510,2207,2500,2148,2491,2089,2483,2029,2474,1970,2460,1851,2454,1791,2449,1732,2443,1672,2439,1612,2431,1492,2427,1372,2425,1342,2424,1313,2424,1282,2424,1252,2423,1222,2423,1192,2422,1162,2423,1132,2425,1011,2425,982,2426,951,2428,923,2431,860,2432,830,2434,803,2436,773,2441,713,2446,653,2451,593,2458,534,2461,504,2465,474,2468,444,2472,414,2490,296,2494,266,2499,236,2504,207,2530,64,2526,64,2531,59,2548,59,2755,12,2759,12,2759,7xm2961,3765l2964,3815,2982,3810,2961,3765xm2759,12l2755,12,2758,91,2767,328,2771,414,2774,485,2796,961,2821,1437,2825,1516,2829,1596,2834,1675,2839,1754,2843,1834,2853,1992,2858,2071,2864,2150,2875,2309,2880,2388,2885,2467,2896,2626,2902,2705,2907,2784,2912,2863,2926,3101,2930,3161,2933,3220,2936,3280,2944,3418,2948,3498,2952,3577,2956,3656,2960,3736,2961,3765,2982,3810,2964,3815,2983,3815,2978,3735,2972,3655,2967,3576,2962,3497,2958,3418,2949,3279,2946,3219,2942,3160,2927,2862,2923,2783,2919,2704,2915,2625,2908,2466,2904,2384,2901,2304,2894,2148,2890,2069,2886,1990,2878,1831,2874,1752,2869,1672,2865,1594,2860,1514,2855,1434,2826,959,2794,484,2789,405,2783,326,2777,247,2765,88,2759,12xm2531,59l2526,64,2530,63,2531,59xm2530,63l2526,64,2530,64,2530,63xm2548,59l2531,59,2530,63,2548,59xe" filled="true" fillcolor="#ffffff" stroked="false">
              <v:path arrowok="t"/>
              <v:fill type="solid"/>
            </v:shape>
            <v:shape style="position:absolute;left:765;top:4108;width:1689;height:2056" coordorigin="765,4108" coordsize="1689,2056" path="m2396,4108l2330,4111,2257,4118,2175,4134,2085,4160,1988,4198,1882,4250,1826,4282,1769,4318,1709,4358,1648,4404,1584,4454,1519,4510,1452,4571,1383,4638,1312,4711,1239,4790,1165,4876,1088,4969,1010,5069,930,5176,848,5291,765,5413,874,6164,1348,5141,1671,4586,1990,4307,2453,4110,2425,4109,2396,4108xe" filled="true" fillcolor="#bec0c2" stroked="false">
              <v:path arrowok="t"/>
              <v:fill type="solid"/>
            </v:shape>
            <v:shape style="position:absolute;left:763;top:4090;width:1709;height:2094" coordorigin="763,4090" coordsize="1709,2094" path="m2385,4090l2350,4090,2315,4092,2280,4096,2246,4100,2211,4106,2177,4113,2109,4130,2027,4159,2010,4165,1994,4172,1978,4179,1946,4193,1931,4200,1915,4208,1838,4250,1823,4259,1808,4268,1705,4335,1622,4398,1608,4409,1594,4419,1580,4430,1461,4534,1337,4658,1313,4684,1290,4710,1266,4736,1243,4762,1219,4788,1196,4815,1174,4842,1086,4951,1064,4979,1043,5007,918,5177,899,5206,763,5412,763,5413,763,5414,785,5602,791,5649,796,5696,802,5743,818,5866,828,5941,838,6016,848,6092,858,6167,859,6172,862,6177,874,6183,884,6180,888,6171,888,6171,892,6162,889,6162,859,6157,881,6110,878,6087,866,6012,854,5937,842,5862,823,5740,815,5694,807,5647,799,5600,767,5414,912,5216,933,5188,1062,5023,1084,4996,1220,4837,1244,4812,1268,4786,1291,4761,1315,4736,1339,4710,1363,4685,1488,4565,1606,4464,1619,4453,1633,4443,1729,4371,1829,4306,1844,4297,1859,4289,1933,4248,1949,4241,2026,4206,2041,4199,2121,4171,2186,4153,2218,4146,2251,4140,2285,4135,2318,4132,2351,4129,2366,4129,2371,4126,2447,4093,2465,4093,2464,4092,2419,4090,2385,4090xm881,6110l859,6157,889,6162,881,6110xm2385,4128l2366,4129,2299,4166,2231,4212,2214,4224,2197,4236,2165,4261,2133,4287,2102,4314,2071,4342,2026,4384,2011,4398,1997,4413,1983,4428,1968,4443,1954,4457,1940,4472,1871,4549,1817,4612,1791,4644,1765,4676,1739,4708,1689,4773,1664,4806,1615,4872,1566,4939,1542,4973,1495,5041,1449,5110,1426,5144,1380,5213,1358,5247,1335,5282,1291,5352,1248,5423,1205,5494,1163,5566,1142,5602,1122,5638,1102,5674,1062,5747,1043,5784,1023,5821,1004,5858,967,5932,930,6006,894,6081,881,6110,889,6162,892,6162,924,6097,960,6022,998,5949,1036,5875,1074,5802,1113,5729,1152,5656,1192,5583,1272,5439,1287,5412,1313,5367,1334,5331,1355,5295,1397,5225,1441,5154,1485,5084,1531,5016,1554,4982,1577,4948,1625,4880,1649,4847,1674,4814,1699,4782,1750,4717,1776,4685,1802,4654,1829,4622,1883,4561,1954,4487,1968,4473,1983,4459,1999,4443,2012,4430,2027,4416,2042,4402,2088,4362,2119,4336,2150,4311,2182,4286,2199,4274,2231,4250,2248,4239,2316,4196,2386,4159,2456,4129,2452,4129,2418,4128,2385,4128xm2452,4128l2385,4128,2418,4128,2452,4129,2452,4128xm2465,4093l2447,4093,2452,4129,2456,4129,2459,4128,2460,4128,2466,4125,2471,4119,2472,4101,2465,4093xm2447,4093l2371,4126,2366,4129,2385,4128,2452,4128,2447,4093xe" filled="true" fillcolor="#ffffff" stroked="false">
              <v:path arrowok="t"/>
              <v:fill type="solid"/>
            </v:shape>
            <v:shape style="position:absolute;left:874;top:4111;width:2141;height:2054" coordorigin="874,4111" coordsize="2141,2054" path="m2486,4111l2096,4164,1797,4395,1440,4998,874,6164,985,6035,1092,5914,1196,5800,1296,5693,1392,5593,1485,5501,1575,5414,1660,5334,1743,5261,1822,5193,1898,5131,1971,5074,2042,5022,2109,4976,2173,4934,2235,4896,2294,4863,2350,4834,2404,4809,2455,4787,2504,4769,2551,4754,2596,4742,2638,4732,2679,4725,2717,4720,2754,4718,2789,4716,2975,4716,2959,4706,2904,4657,2850,4599,2797,4535,2746,4467,2696,4397,2604,4263,2561,4203,2522,4152,2486,4111xm2975,4716l2789,4716,2822,4717,2854,4719,2884,4721,2913,4725,2940,4729,2966,4734,3015,4743,2975,4716xe" filled="true" fillcolor="#828486" stroked="false">
              <v:path arrowok="t"/>
              <v:fill type="solid"/>
            </v:shape>
            <v:shape style="position:absolute;left:871;top:4104;width:2162;height:2063" coordorigin="871,4104" coordsize="2162,2063" path="m872,6166l873,6167,873,6166,872,6166xm875,6165l874,6166,873,6166,874,6167,875,6166,875,6165xm885,6147l872,6163,872,6163,872,6165,872,6166,872,6166,873,6166,874,6166,875,6165,885,6147xm872,6165l872,6166,872,6166,872,6165xm2810,4698l2768,4698,2725,4701,2683,4705,2642,4712,2600,4721,2559,4731,2519,4743,2479,4757,2439,4772,2400,4788,2362,4805,2324,4824,2286,4843,2249,4863,2213,4884,2141,4928,2071,4975,2036,5000,2002,5025,1968,5050,1934,5076,1901,5101,1868,5128,1803,5182,1739,5237,1708,5265,1645,5322,1614,5351,1553,5409,1523,5439,1493,5469,1433,5529,1345,5620,1316,5651,1230,5744,1117,5871,1090,5903,1035,5967,980,6032,885,6147,875,6165,988,6040,1132,5885,1248,5763,1337,5673,1456,5553,1547,5466,1578,5437,1639,5380,1671,5352,1733,5297,1765,5269,1797,5242,1829,5215,1894,5162,1926,5136,1993,5085,2026,5060,2060,5036,2094,5012,2163,4966,2234,4923,2269,4902,2306,4882,2342,4862,2379,4844,2416,4827,2454,4811,2492,4796,2530,4782,2569,4770,2609,4760,2648,4751,2688,4744,2728,4739,2769,4736,2809,4735,2974,4735,2963,4728,2944,4712,2936,4711,2894,4705,2852,4700,2810,4698xm872,6163l871,6164,871,6164,872,6163xm2488,4104l2486,4104,2444,4109,2404,4119,2365,4132,2327,4148,2289,4166,2253,4187,2218,4209,2184,4233,2119,4285,2056,4339,1995,4397,1937,4457,1880,4518,1825,4581,1772,4646,1719,4712,1668,4778,1619,4846,1571,4915,1523,4985,1477,5055,1432,5126,1387,5197,1343,5269,1300,5341,1258,5414,1216,5487,1175,5561,1135,5635,1095,5709,1056,5784,1018,5859,980,5934,943,6010,907,6087,872,6163,885,6147,915,6091,954,6016,994,5942,1075,5795,1116,5722,1158,5649,1200,5576,1242,5504,1285,5431,1328,5359,1372,5288,1416,5217,1461,5146,1507,5076,1553,5006,1599,4936,1647,4867,1695,4799,1744,4732,1794,4665,1845,4599,1898,4535,1952,4472,2008,4411,2067,4352,2128,4297,2193,4245,2226,4221,2260,4199,2295,4178,2332,4159,2369,4144,2407,4131,2447,4123,2483,4118,2481,4116,2500,4116,2491,4106,2489,4104,2488,4104xm2974,4735l2809,4735,2850,4737,2890,4740,2930,4745,2971,4752,3012,4760,3012,4760,3018,4761,3025,4758,3007,4758,2974,4735xm2944,4712l2963,4728,3007,4758,3017,4727,2977,4718,2944,4712xm2500,4116l2481,4116,2486,4118,2483,4118,2499,4135,2515,4154,2531,4175,2546,4195,2562,4216,2577,4237,2591,4259,2606,4280,2664,4367,2693,4410,2723,4453,2753,4495,2784,4537,2816,4578,2849,4619,2885,4657,2922,4694,2944,4712,2977,4718,3017,4727,3007,4758,3025,4758,3025,4758,3029,4751,3033,4743,3030,4733,3022,4728,3001,4716,2981,4702,2961,4687,2942,4671,2923,4654,2905,4636,2887,4618,2869,4599,2835,4561,2802,4521,2771,4481,2740,4439,2709,4398,2679,4355,2589,4228,2573,4207,2558,4186,2542,4165,2526,4145,2509,4125,2500,4116xm2481,4116l2483,4118,2486,4118,2481,4116xe" filled="true" fillcolor="#ffffff" stroked="false">
              <v:path arrowok="t"/>
              <v:fill type="solid"/>
            </v:shape>
            <v:shape style="position:absolute;left:1244;top:138;width:1771;height:4609" coordorigin="1244,138" coordsize="1771,4609" path="m2174,138l1618,256,1244,1778,1264,2753,1811,3602,3015,4747,3001,4483,2984,4202,2969,3979,2963,3887,2240,3071,1917,2408,1920,1547,2174,138xe" filled="true" fillcolor="#959799" stroked="false">
              <v:path arrowok="t"/>
              <v:fill type="solid"/>
            </v:shape>
            <v:shape style="position:absolute;left:1491;top:130;width:1535;height:4640" coordorigin="1491,130" coordsize="1535,4640" path="m2186,130l2172,130,1616,270,1597,350,1581,410,1566,490,1552,570,1540,650,1529,730,1520,790,1512,870,1506,950,1500,1030,1496,1110,1493,1190,1491,1270,1491,1350,1491,1430,1493,1490,1497,1570,1501,1650,1507,1730,1514,1810,1522,1890,1531,1970,1541,2050,1553,2110,1566,2190,1581,2270,1596,2350,1613,2430,1632,2490,1651,2570,1672,2650,1695,2730,1718,2790,1743,2870,1769,2950,1797,3010,1825,3090,1855,3150,1887,3230,1919,3290,1953,3370,1987,3430,2024,3510,2061,3570,2099,3630,2138,3710,2179,3770,2220,3830,2262,3890,2306,3970,2350,4030,2396,4090,2419,4110,2442,4150,2466,4170,2489,4210,2513,4230,2537,4270,2562,4290,2586,4330,2611,4350,2636,4390,2661,4410,2687,4430,2713,4470,2739,4490,2765,4530,2791,4550,2844,4610,2898,4650,2953,4710,3008,4770,3025,4770,3024,4750,3005,4750,3004,4732,2965,4690,2910,4650,2855,4590,2802,4550,2775,4510,2749,4490,2723,4450,2671,4410,2646,4370,2621,4350,2596,4310,2571,4290,2547,4250,2523,4230,2499,4190,2452,4130,2428,4110,2406,4070,2361,4010,2317,3950,2274,3890,2232,3830,2192,3770,2152,3690,2114,3630,2077,3570,2042,3490,2007,3430,1974,3350,1942,3290,1910,3210,1881,3150,1852,3070,1825,3010,1799,2930,1774,2850,1750,2790,1727,2710,1706,2630,1685,2570,1666,2490,1648,2410,1632,2330,1616,2270,1601,2190,1588,2110,1575,2030,1564,1950,1555,1890,1546,1810,1539,1730,1533,1650,1528,1570,1524,1490,1521,1410,1519,1350,1518,1270,1519,1190,1521,1110,1523,1030,1528,950,1533,870,1539,810,1547,730,1555,650,1565,570,1576,490,1589,410,1603,350,1620,270,2164,152,2165,150,2183,150,2186,130xm3004,4732l3005,4750,3021,4750,3004,4732xm2949,3906l2954,3990,2960,4070,2967,4150,2973,4250,2978,4330,3004,4732,3021,4750,3024,4750,2999,4250,2994,4150,2989,4070,2984,3990,2980,3910,2952,3910,2949,3906xm2947,3890l2949,3906,2952,3910,2947,3890xm2979,3890l2947,3890,2952,3910,2980,3910,2979,3890xm2183,150l2176,150,2164,152,2153,210,2141,270,2130,330,2120,390,2110,450,2102,510,2093,570,2086,630,2079,690,2073,770,2068,830,2063,890,2059,950,2056,1010,2053,1070,2052,1130,2051,1190,2051,1270,2051,1330,2052,1390,2055,1450,2057,1510,2061,1570,2066,1630,2074,1710,2083,1790,2093,1870,2105,1970,2119,2050,2134,2130,2151,2210,2169,2290,2188,2370,2209,2450,2232,2530,2256,2610,2281,2690,2308,2770,2337,2850,2367,2930,2399,2990,2432,3070,2467,3150,2503,3230,2540,3290,2579,3370,2620,3430,2662,3510,2695,3570,2728,3610,2763,3670,2798,3710,2835,3770,2872,3810,2911,3870,2949,3906,2947,3890,2974,3890,2935,3850,2898,3790,2861,3750,2826,3690,2791,3650,2758,3590,2725,3550,2693,3490,2652,3410,2613,3350,2574,3270,2538,3210,2502,3130,2469,3050,2436,2970,2405,2910,2376,2830,2348,2750,2322,2670,2296,2590,2272,2510,2250,2430,2229,2350,2209,2270,2191,2190,2175,2110,2160,2030,2146,1950,2134,1870,2123,1790,2114,1710,2106,1630,2100,1570,2096,1510,2092,1450,2089,1390,2085,1250,2085,1190,2085,1130,2085,1070,2087,1010,2089,950,2092,890,2096,830,2101,770,2106,710,2112,630,2118,570,2126,510,2134,450,2142,390,2152,330,2162,270,2172,210,2183,150xm2176,150l2165,150,2164,152,2176,150xe" filled="true" fillcolor="#ffffff" stroked="false">
              <v:path arrowok="t"/>
              <v:fill type="solid"/>
            </v:shape>
          </v:group>
        </w:pict>
      </w:r>
      <w:r>
        <w:rPr>
          <w:rFonts w:ascii="Calibri"/>
          <w:sz w:val="20"/>
        </w:rPr>
      </w:r>
    </w:p>
    <w:p>
      <w:pPr>
        <w:spacing w:line="187" w:lineRule="auto" w:before="22"/>
        <w:ind w:left="509" w:right="3001" w:firstLine="1273"/>
        <w:jc w:val="both"/>
        <w:rPr>
          <w:rFonts w:ascii="Lucida Sans Unicode"/>
          <w:sz w:val="28"/>
        </w:rPr>
      </w:pPr>
      <w:r>
        <w:rPr>
          <w:rFonts w:ascii="Lucida Sans Unicode"/>
          <w:color w:val="FFFFFF"/>
          <w:w w:val="90"/>
          <w:sz w:val="28"/>
        </w:rPr>
        <w:t>NATURALIZZARE I PARADOSSI: UN APPROCCIO ALLA ftLOBALIZZAZIONE </w:t>
      </w:r>
      <w:r>
        <w:rPr>
          <w:rFonts w:ascii="Lucida Sans Unicode"/>
          <w:color w:val="FFFFFF"/>
          <w:spacing w:val="-4"/>
          <w:w w:val="90"/>
          <w:sz w:val="28"/>
        </w:rPr>
        <w:t>DA</w:t>
      </w:r>
    </w:p>
    <w:p>
      <w:pPr>
        <w:spacing w:line="363" w:lineRule="exact" w:before="0"/>
        <w:ind w:left="1918" w:right="692" w:firstLine="0"/>
        <w:jc w:val="left"/>
        <w:rPr>
          <w:rFonts w:ascii="Lucida Sans Unicode"/>
          <w:sz w:val="28"/>
        </w:rPr>
      </w:pPr>
      <w:r>
        <w:rPr>
          <w:rFonts w:ascii="Lucida Sans Unicode"/>
          <w:color w:val="FFFFFF"/>
          <w:w w:val="95"/>
          <w:sz w:val="28"/>
        </w:rPr>
        <w:t>ftILLES DELEUZE</w:t>
      </w:r>
    </w:p>
    <w:p>
      <w:pPr>
        <w:pStyle w:val="BodyText"/>
        <w:rPr>
          <w:rFonts w:ascii="Lucida Sans Unicode"/>
          <w:sz w:val="20"/>
        </w:rPr>
      </w:pPr>
    </w:p>
    <w:p>
      <w:pPr>
        <w:pStyle w:val="BodyText"/>
        <w:spacing w:before="9"/>
        <w:rPr>
          <w:rFonts w:ascii="Lucida Sans Unicode"/>
          <w:sz w:val="22"/>
        </w:rPr>
      </w:pPr>
    </w:p>
    <w:p>
      <w:pPr>
        <w:spacing w:line="336" w:lineRule="exact" w:before="42"/>
        <w:ind w:left="3954" w:right="692" w:firstLine="0"/>
        <w:jc w:val="left"/>
        <w:rPr>
          <w:rFonts w:ascii="Calibri" w:hAnsi="Calibri"/>
          <w:sz w:val="28"/>
        </w:rPr>
      </w:pPr>
      <w:r>
        <w:rPr>
          <w:rFonts w:ascii="Calibri" w:hAnsi="Calibri"/>
          <w:color w:val="FFFFFF"/>
          <w:sz w:val="28"/>
        </w:rPr>
        <w:t>María Luisa Bacarlett Pérez</w:t>
      </w:r>
    </w:p>
    <w:p>
      <w:pPr>
        <w:spacing w:after="0" w:line="336" w:lineRule="exact"/>
        <w:jc w:val="left"/>
        <w:rPr>
          <w:rFonts w:ascii="Calibri" w:hAnsi="Calibri"/>
          <w:sz w:val="28"/>
        </w:rPr>
        <w:sectPr>
          <w:pgSz w:w="9640" w:h="13890"/>
          <w:pgMar w:top="118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6"/>
        </w:rPr>
      </w:pPr>
    </w:p>
    <w:p>
      <w:pPr>
        <w:spacing w:before="57"/>
        <w:ind w:left="117" w:right="0" w:firstLine="0"/>
        <w:jc w:val="both"/>
        <w:rPr>
          <w:rFonts w:ascii="Arial"/>
          <w:i/>
          <w:sz w:val="21"/>
        </w:rPr>
      </w:pPr>
      <w:r>
        <w:rPr>
          <w:rFonts w:ascii="Arial"/>
          <w:i/>
          <w:color w:val="231F20"/>
          <w:sz w:val="21"/>
        </w:rPr>
        <w:t>Introduzione. Definire la  globalizzazione</w:t>
      </w:r>
    </w:p>
    <w:p>
      <w:pPr>
        <w:pStyle w:val="BodyText"/>
        <w:rPr>
          <w:rFonts w:ascii="Arial"/>
          <w:i/>
          <w:sz w:val="20"/>
        </w:rPr>
      </w:pPr>
    </w:p>
    <w:p>
      <w:pPr>
        <w:pStyle w:val="BodyText"/>
        <w:spacing w:line="247" w:lineRule="auto" w:before="172"/>
        <w:ind w:left="1180" w:right="117"/>
        <w:jc w:val="both"/>
      </w:pPr>
      <w:r>
        <w:rPr/>
        <w:pict>
          <v:shape style="position:absolute;margin-left:76.553596pt;margin-top:13.778856pt;width:42.5pt;height:51pt;mso-position-horizontal-relative:page;mso-position-vertical-relative:paragraph;z-index:11056"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sz w:val="102"/>
                    </w:rPr>
                    <w:t>Q</w:t>
                  </w:r>
                </w:p>
              </w:txbxContent>
            </v:textbox>
            <w10:wrap type="none"/>
          </v:shape>
        </w:pict>
      </w:r>
      <w:r>
        <w:rPr>
          <w:color w:val="231F20"/>
          <w:w w:val="105"/>
        </w:rPr>
        <w:t>uando</w:t>
      </w:r>
      <w:r>
        <w:rPr>
          <w:color w:val="231F20"/>
          <w:spacing w:val="-40"/>
          <w:w w:val="105"/>
        </w:rPr>
        <w:t> </w:t>
      </w:r>
      <w:r>
        <w:rPr>
          <w:color w:val="231F20"/>
          <w:w w:val="105"/>
        </w:rPr>
        <w:t>una</w:t>
      </w:r>
      <w:r>
        <w:rPr>
          <w:color w:val="231F20"/>
          <w:spacing w:val="-40"/>
          <w:w w:val="105"/>
        </w:rPr>
        <w:t> </w:t>
      </w:r>
      <w:r>
        <w:rPr>
          <w:color w:val="231F20"/>
          <w:spacing w:val="-3"/>
          <w:w w:val="105"/>
        </w:rPr>
        <w:t>parola</w:t>
      </w:r>
      <w:r>
        <w:rPr>
          <w:color w:val="231F20"/>
          <w:spacing w:val="-40"/>
          <w:w w:val="105"/>
        </w:rPr>
        <w:t> </w:t>
      </w:r>
      <w:r>
        <w:rPr>
          <w:color w:val="231F20"/>
          <w:w w:val="105"/>
        </w:rPr>
        <w:t>è</w:t>
      </w:r>
      <w:r>
        <w:rPr>
          <w:color w:val="231F20"/>
          <w:spacing w:val="-40"/>
          <w:w w:val="105"/>
        </w:rPr>
        <w:t> </w:t>
      </w:r>
      <w:r>
        <w:rPr>
          <w:color w:val="231F20"/>
          <w:w w:val="105"/>
        </w:rPr>
        <w:t>di</w:t>
      </w:r>
      <w:r>
        <w:rPr>
          <w:color w:val="231F20"/>
          <w:spacing w:val="-40"/>
          <w:w w:val="105"/>
        </w:rPr>
        <w:t> </w:t>
      </w:r>
      <w:r>
        <w:rPr>
          <w:color w:val="231F20"/>
          <w:w w:val="105"/>
        </w:rPr>
        <w:t>uso</w:t>
      </w:r>
      <w:r>
        <w:rPr>
          <w:color w:val="231F20"/>
          <w:spacing w:val="-40"/>
          <w:w w:val="105"/>
        </w:rPr>
        <w:t> </w:t>
      </w:r>
      <w:r>
        <w:rPr>
          <w:color w:val="231F20"/>
          <w:spacing w:val="-3"/>
          <w:w w:val="105"/>
        </w:rPr>
        <w:t>recente,</w:t>
      </w:r>
      <w:r>
        <w:rPr>
          <w:color w:val="231F20"/>
          <w:spacing w:val="-40"/>
          <w:w w:val="105"/>
        </w:rPr>
        <w:t> </w:t>
      </w:r>
      <w:r>
        <w:rPr>
          <w:color w:val="231F20"/>
          <w:w w:val="105"/>
        </w:rPr>
        <w:t>è</w:t>
      </w:r>
      <w:r>
        <w:rPr>
          <w:color w:val="231F20"/>
          <w:spacing w:val="-40"/>
          <w:w w:val="105"/>
        </w:rPr>
        <w:t> </w:t>
      </w:r>
      <w:r>
        <w:rPr>
          <w:color w:val="231F20"/>
          <w:w w:val="105"/>
        </w:rPr>
        <w:t>possibile</w:t>
      </w:r>
      <w:r>
        <w:rPr>
          <w:color w:val="231F20"/>
          <w:spacing w:val="-40"/>
          <w:w w:val="105"/>
        </w:rPr>
        <w:t> </w:t>
      </w:r>
      <w:r>
        <w:rPr>
          <w:color w:val="231F20"/>
          <w:w w:val="105"/>
        </w:rPr>
        <w:t>che</w:t>
      </w:r>
      <w:r>
        <w:rPr>
          <w:color w:val="231F20"/>
          <w:spacing w:val="-40"/>
          <w:w w:val="105"/>
        </w:rPr>
        <w:t> </w:t>
      </w:r>
      <w:r>
        <w:rPr>
          <w:color w:val="231F20"/>
          <w:w w:val="105"/>
        </w:rPr>
        <w:t>la</w:t>
      </w:r>
      <w:r>
        <w:rPr>
          <w:color w:val="231F20"/>
          <w:spacing w:val="-40"/>
          <w:w w:val="105"/>
        </w:rPr>
        <w:t> </w:t>
      </w:r>
      <w:r>
        <w:rPr>
          <w:color w:val="231F20"/>
          <w:w w:val="105"/>
        </w:rPr>
        <w:t>pluralità</w:t>
      </w:r>
      <w:r>
        <w:rPr>
          <w:color w:val="231F20"/>
          <w:spacing w:val="-40"/>
          <w:w w:val="105"/>
        </w:rPr>
        <w:t> </w:t>
      </w:r>
      <w:r>
        <w:rPr>
          <w:color w:val="231F20"/>
          <w:spacing w:val="-2"/>
          <w:w w:val="105"/>
        </w:rPr>
        <w:t>dei </w:t>
      </w:r>
      <w:r>
        <w:rPr>
          <w:color w:val="231F20"/>
          <w:w w:val="105"/>
        </w:rPr>
        <w:t>suoi</w:t>
      </w:r>
      <w:r>
        <w:rPr>
          <w:color w:val="231F20"/>
          <w:spacing w:val="-26"/>
          <w:w w:val="105"/>
        </w:rPr>
        <w:t> </w:t>
      </w:r>
      <w:r>
        <w:rPr>
          <w:color w:val="231F20"/>
          <w:w w:val="105"/>
        </w:rPr>
        <w:t>sensi</w:t>
      </w:r>
      <w:r>
        <w:rPr>
          <w:color w:val="231F20"/>
          <w:spacing w:val="-26"/>
          <w:w w:val="105"/>
        </w:rPr>
        <w:t> </w:t>
      </w:r>
      <w:r>
        <w:rPr>
          <w:color w:val="231F20"/>
          <w:w w:val="105"/>
        </w:rPr>
        <w:t>si</w:t>
      </w:r>
      <w:r>
        <w:rPr>
          <w:color w:val="231F20"/>
          <w:spacing w:val="-26"/>
          <w:w w:val="105"/>
        </w:rPr>
        <w:t> </w:t>
      </w:r>
      <w:r>
        <w:rPr>
          <w:color w:val="231F20"/>
          <w:w w:val="105"/>
        </w:rPr>
        <w:t>stabilizzi</w:t>
      </w:r>
      <w:r>
        <w:rPr>
          <w:color w:val="231F20"/>
          <w:spacing w:val="-26"/>
          <w:w w:val="105"/>
        </w:rPr>
        <w:t> </w:t>
      </w:r>
      <w:r>
        <w:rPr>
          <w:color w:val="231F20"/>
          <w:w w:val="105"/>
        </w:rPr>
        <w:t>col</w:t>
      </w:r>
      <w:r>
        <w:rPr>
          <w:color w:val="231F20"/>
          <w:spacing w:val="-26"/>
          <w:w w:val="105"/>
        </w:rPr>
        <w:t> </w:t>
      </w:r>
      <w:r>
        <w:rPr>
          <w:color w:val="231F20"/>
          <w:w w:val="105"/>
        </w:rPr>
        <w:t>tempo,</w:t>
      </w:r>
      <w:r>
        <w:rPr>
          <w:color w:val="231F20"/>
          <w:spacing w:val="-26"/>
          <w:w w:val="105"/>
        </w:rPr>
        <w:t> </w:t>
      </w:r>
      <w:r>
        <w:rPr>
          <w:color w:val="231F20"/>
          <w:w w:val="105"/>
        </w:rPr>
        <w:t>ma</w:t>
      </w:r>
      <w:r>
        <w:rPr>
          <w:color w:val="231F20"/>
          <w:spacing w:val="-26"/>
          <w:w w:val="105"/>
        </w:rPr>
        <w:t> </w:t>
      </w:r>
      <w:r>
        <w:rPr>
          <w:color w:val="231F20"/>
          <w:w w:val="105"/>
        </w:rPr>
        <w:t>a</w:t>
      </w:r>
      <w:r>
        <w:rPr>
          <w:color w:val="231F20"/>
          <w:spacing w:val="-26"/>
          <w:w w:val="105"/>
        </w:rPr>
        <w:t> </w:t>
      </w:r>
      <w:r>
        <w:rPr>
          <w:color w:val="231F20"/>
          <w:w w:val="105"/>
        </w:rPr>
        <w:t>volte</w:t>
      </w:r>
      <w:r>
        <w:rPr>
          <w:color w:val="231F20"/>
          <w:spacing w:val="-26"/>
          <w:w w:val="105"/>
        </w:rPr>
        <w:t> </w:t>
      </w:r>
      <w:r>
        <w:rPr>
          <w:color w:val="231F20"/>
          <w:w w:val="105"/>
        </w:rPr>
        <w:t>accade</w:t>
      </w:r>
      <w:r>
        <w:rPr>
          <w:color w:val="231F20"/>
          <w:spacing w:val="-26"/>
          <w:w w:val="105"/>
        </w:rPr>
        <w:t> </w:t>
      </w:r>
      <w:r>
        <w:rPr>
          <w:color w:val="231F20"/>
          <w:w w:val="105"/>
        </w:rPr>
        <w:t>il</w:t>
      </w:r>
      <w:r>
        <w:rPr>
          <w:color w:val="231F20"/>
          <w:spacing w:val="-26"/>
          <w:w w:val="105"/>
        </w:rPr>
        <w:t> </w:t>
      </w:r>
      <w:r>
        <w:rPr>
          <w:color w:val="231F20"/>
          <w:w w:val="105"/>
        </w:rPr>
        <w:t>contrario. Ci sono termini che appaiono nel nostro vocabolario con un significato più puntuale, e attraverso gli anni questo diventa così diffuso, al punto che è difficile riconoscere la sua</w:t>
      </w:r>
      <w:r>
        <w:rPr>
          <w:color w:val="231F20"/>
          <w:spacing w:val="6"/>
          <w:w w:val="105"/>
        </w:rPr>
        <w:t> </w:t>
      </w:r>
      <w:r>
        <w:rPr>
          <w:color w:val="231F20"/>
          <w:spacing w:val="2"/>
          <w:w w:val="105"/>
        </w:rPr>
        <w:t>faccia</w:t>
      </w:r>
    </w:p>
    <w:p>
      <w:pPr>
        <w:pStyle w:val="BodyText"/>
        <w:spacing w:line="247" w:lineRule="auto"/>
        <w:ind w:left="117" w:right="117"/>
        <w:jc w:val="both"/>
      </w:pPr>
      <w:r>
        <w:rPr>
          <w:color w:val="231F20"/>
          <w:w w:val="105"/>
        </w:rPr>
        <w:t>originaria.</w:t>
      </w:r>
      <w:r>
        <w:rPr>
          <w:color w:val="231F20"/>
          <w:spacing w:val="-24"/>
          <w:w w:val="105"/>
        </w:rPr>
        <w:t> </w:t>
      </w:r>
      <w:r>
        <w:rPr>
          <w:color w:val="231F20"/>
          <w:w w:val="105"/>
        </w:rPr>
        <w:t>Forse</w:t>
      </w:r>
      <w:r>
        <w:rPr>
          <w:color w:val="231F20"/>
          <w:spacing w:val="-24"/>
          <w:w w:val="105"/>
        </w:rPr>
        <w:t> </w:t>
      </w:r>
      <w:r>
        <w:rPr>
          <w:color w:val="231F20"/>
          <w:w w:val="105"/>
        </w:rPr>
        <w:t>il</w:t>
      </w:r>
      <w:r>
        <w:rPr>
          <w:color w:val="231F20"/>
          <w:spacing w:val="-24"/>
          <w:w w:val="105"/>
        </w:rPr>
        <w:t> </w:t>
      </w:r>
      <w:r>
        <w:rPr>
          <w:color w:val="231F20"/>
          <w:w w:val="105"/>
        </w:rPr>
        <w:t>termine</w:t>
      </w:r>
      <w:r>
        <w:rPr>
          <w:color w:val="231F20"/>
          <w:spacing w:val="-24"/>
          <w:w w:val="105"/>
        </w:rPr>
        <w:t> </w:t>
      </w:r>
      <w:r>
        <w:rPr>
          <w:rFonts w:ascii="Arial" w:hAnsi="Arial"/>
          <w:i/>
          <w:color w:val="231F20"/>
          <w:w w:val="105"/>
        </w:rPr>
        <w:t>globalizzazione</w:t>
      </w:r>
      <w:r>
        <w:rPr>
          <w:rFonts w:ascii="Arial" w:hAnsi="Arial"/>
          <w:i/>
          <w:color w:val="231F20"/>
          <w:spacing w:val="-16"/>
          <w:w w:val="105"/>
        </w:rPr>
        <w:t> </w:t>
      </w:r>
      <w:r>
        <w:rPr>
          <w:color w:val="231F20"/>
          <w:w w:val="105"/>
        </w:rPr>
        <w:t>ha</w:t>
      </w:r>
      <w:r>
        <w:rPr>
          <w:color w:val="231F20"/>
          <w:spacing w:val="-24"/>
          <w:w w:val="105"/>
        </w:rPr>
        <w:t> </w:t>
      </w:r>
      <w:r>
        <w:rPr>
          <w:color w:val="231F20"/>
          <w:w w:val="105"/>
        </w:rPr>
        <w:t>avuto</w:t>
      </w:r>
      <w:r>
        <w:rPr>
          <w:color w:val="231F20"/>
          <w:spacing w:val="-24"/>
          <w:w w:val="105"/>
        </w:rPr>
        <w:t> </w:t>
      </w:r>
      <w:r>
        <w:rPr>
          <w:color w:val="231F20"/>
          <w:w w:val="105"/>
        </w:rPr>
        <w:t>questa</w:t>
      </w:r>
      <w:r>
        <w:rPr>
          <w:color w:val="231F20"/>
          <w:spacing w:val="-24"/>
          <w:w w:val="105"/>
        </w:rPr>
        <w:t> </w:t>
      </w:r>
      <w:r>
        <w:rPr>
          <w:color w:val="231F20"/>
          <w:w w:val="105"/>
        </w:rPr>
        <w:t>seconda</w:t>
      </w:r>
      <w:r>
        <w:rPr>
          <w:color w:val="231F20"/>
          <w:spacing w:val="-24"/>
          <w:w w:val="105"/>
        </w:rPr>
        <w:t> </w:t>
      </w:r>
      <w:r>
        <w:rPr>
          <w:color w:val="231F20"/>
          <w:w w:val="105"/>
        </w:rPr>
        <w:t>fine, sopratutto perchè è un concetto che ai tempi in cui si presentava come autentica novità parlava di un processo che in certo modo era già</w:t>
      </w:r>
      <w:r>
        <w:rPr>
          <w:color w:val="231F20"/>
          <w:spacing w:val="-38"/>
          <w:w w:val="105"/>
        </w:rPr>
        <w:t> </w:t>
      </w:r>
      <w:r>
        <w:rPr>
          <w:color w:val="231F20"/>
          <w:w w:val="105"/>
        </w:rPr>
        <w:t>parte della</w:t>
      </w:r>
      <w:r>
        <w:rPr>
          <w:color w:val="231F20"/>
          <w:spacing w:val="-25"/>
          <w:w w:val="105"/>
        </w:rPr>
        <w:t> </w:t>
      </w:r>
      <w:r>
        <w:rPr>
          <w:color w:val="231F20"/>
          <w:w w:val="105"/>
        </w:rPr>
        <w:t>storia</w:t>
      </w:r>
      <w:r>
        <w:rPr>
          <w:color w:val="231F20"/>
          <w:spacing w:val="-25"/>
          <w:w w:val="105"/>
        </w:rPr>
        <w:t> </w:t>
      </w:r>
      <w:r>
        <w:rPr>
          <w:color w:val="231F20"/>
          <w:w w:val="105"/>
        </w:rPr>
        <w:t>d’Occidente.</w:t>
      </w:r>
      <w:r>
        <w:rPr>
          <w:color w:val="231F20"/>
          <w:spacing w:val="-25"/>
          <w:w w:val="105"/>
        </w:rPr>
        <w:t> </w:t>
      </w:r>
      <w:r>
        <w:rPr>
          <w:color w:val="231F20"/>
          <w:w w:val="105"/>
        </w:rPr>
        <w:t>Come</w:t>
      </w:r>
      <w:r>
        <w:rPr>
          <w:color w:val="231F20"/>
          <w:spacing w:val="-25"/>
          <w:w w:val="105"/>
        </w:rPr>
        <w:t> </w:t>
      </w:r>
      <w:r>
        <w:rPr>
          <w:color w:val="231F20"/>
          <w:w w:val="105"/>
        </w:rPr>
        <w:t>espone</w:t>
      </w:r>
      <w:r>
        <w:rPr>
          <w:color w:val="231F20"/>
          <w:spacing w:val="-25"/>
          <w:w w:val="105"/>
        </w:rPr>
        <w:t> </w:t>
      </w:r>
      <w:r>
        <w:rPr>
          <w:color w:val="231F20"/>
          <w:w w:val="105"/>
        </w:rPr>
        <w:t>Michael</w:t>
      </w:r>
      <w:r>
        <w:rPr>
          <w:color w:val="231F20"/>
          <w:spacing w:val="-25"/>
          <w:w w:val="105"/>
        </w:rPr>
        <w:t> </w:t>
      </w:r>
      <w:r>
        <w:rPr>
          <w:color w:val="231F20"/>
          <w:spacing w:val="-4"/>
          <w:w w:val="105"/>
        </w:rPr>
        <w:t>Reder,</w:t>
      </w:r>
      <w:r>
        <w:rPr>
          <w:color w:val="231F20"/>
          <w:spacing w:val="-25"/>
          <w:w w:val="105"/>
        </w:rPr>
        <w:t> </w:t>
      </w:r>
      <w:r>
        <w:rPr>
          <w:color w:val="231F20"/>
          <w:w w:val="105"/>
        </w:rPr>
        <w:t>la</w:t>
      </w:r>
      <w:r>
        <w:rPr>
          <w:color w:val="231F20"/>
          <w:spacing w:val="-25"/>
          <w:w w:val="105"/>
        </w:rPr>
        <w:t> </w:t>
      </w:r>
      <w:r>
        <w:rPr>
          <w:color w:val="231F20"/>
          <w:w w:val="105"/>
        </w:rPr>
        <w:t>globalizzazione</w:t>
      </w:r>
      <w:r>
        <w:rPr>
          <w:color w:val="231F20"/>
          <w:spacing w:val="-25"/>
          <w:w w:val="105"/>
        </w:rPr>
        <w:t> </w:t>
      </w:r>
      <w:r>
        <w:rPr>
          <w:color w:val="231F20"/>
          <w:w w:val="105"/>
        </w:rPr>
        <w:t>è un</w:t>
      </w:r>
      <w:r>
        <w:rPr>
          <w:color w:val="231F20"/>
          <w:spacing w:val="-20"/>
          <w:w w:val="105"/>
        </w:rPr>
        <w:t> </w:t>
      </w:r>
      <w:r>
        <w:rPr>
          <w:color w:val="231F20"/>
          <w:w w:val="105"/>
        </w:rPr>
        <w:t>processo</w:t>
      </w:r>
      <w:r>
        <w:rPr>
          <w:color w:val="231F20"/>
          <w:spacing w:val="-20"/>
          <w:w w:val="105"/>
        </w:rPr>
        <w:t> </w:t>
      </w:r>
      <w:r>
        <w:rPr>
          <w:color w:val="231F20"/>
          <w:w w:val="105"/>
        </w:rPr>
        <w:t>che</w:t>
      </w:r>
      <w:r>
        <w:rPr>
          <w:color w:val="231F20"/>
          <w:spacing w:val="-20"/>
          <w:w w:val="105"/>
        </w:rPr>
        <w:t> </w:t>
      </w:r>
      <w:r>
        <w:rPr>
          <w:color w:val="231F20"/>
          <w:w w:val="105"/>
        </w:rPr>
        <w:t>va</w:t>
      </w:r>
      <w:r>
        <w:rPr>
          <w:color w:val="231F20"/>
          <w:spacing w:val="-20"/>
          <w:w w:val="105"/>
        </w:rPr>
        <w:t> </w:t>
      </w:r>
      <w:r>
        <w:rPr>
          <w:color w:val="231F20"/>
          <w:w w:val="105"/>
        </w:rPr>
        <w:t>molto</w:t>
      </w:r>
      <w:r>
        <w:rPr>
          <w:color w:val="231F20"/>
          <w:spacing w:val="-20"/>
          <w:w w:val="105"/>
        </w:rPr>
        <w:t> </w:t>
      </w:r>
      <w:r>
        <w:rPr>
          <w:color w:val="231F20"/>
          <w:w w:val="105"/>
        </w:rPr>
        <w:t>più</w:t>
      </w:r>
      <w:r>
        <w:rPr>
          <w:color w:val="231F20"/>
          <w:spacing w:val="-20"/>
          <w:w w:val="105"/>
        </w:rPr>
        <w:t> </w:t>
      </w:r>
      <w:r>
        <w:rPr>
          <w:color w:val="231F20"/>
          <w:w w:val="105"/>
        </w:rPr>
        <w:t>in</w:t>
      </w:r>
      <w:r>
        <w:rPr>
          <w:color w:val="231F20"/>
          <w:spacing w:val="-20"/>
          <w:w w:val="105"/>
        </w:rPr>
        <w:t> </w:t>
      </w:r>
      <w:r>
        <w:rPr>
          <w:color w:val="231F20"/>
          <w:w w:val="105"/>
        </w:rPr>
        <w:t>là</w:t>
      </w:r>
      <w:r>
        <w:rPr>
          <w:color w:val="231F20"/>
          <w:spacing w:val="-20"/>
          <w:w w:val="105"/>
        </w:rPr>
        <w:t> </w:t>
      </w:r>
      <w:r>
        <w:rPr>
          <w:color w:val="231F20"/>
          <w:w w:val="105"/>
        </w:rPr>
        <w:t>dal</w:t>
      </w:r>
      <w:r>
        <w:rPr>
          <w:color w:val="231F20"/>
          <w:spacing w:val="-20"/>
          <w:w w:val="105"/>
        </w:rPr>
        <w:t> </w:t>
      </w:r>
      <w:r>
        <w:rPr>
          <w:color w:val="231F20"/>
          <w:w w:val="105"/>
        </w:rPr>
        <w:t>secolo</w:t>
      </w:r>
      <w:r>
        <w:rPr>
          <w:color w:val="231F20"/>
          <w:spacing w:val="-20"/>
          <w:w w:val="105"/>
        </w:rPr>
        <w:t> </w:t>
      </w:r>
      <w:r>
        <w:rPr>
          <w:color w:val="231F20"/>
          <w:w w:val="105"/>
          <w:sz w:val="18"/>
        </w:rPr>
        <w:t>XX</w:t>
      </w:r>
      <w:r>
        <w:rPr>
          <w:color w:val="231F20"/>
          <w:w w:val="105"/>
        </w:rPr>
        <w:t>:</w:t>
      </w:r>
      <w:r>
        <w:rPr>
          <w:color w:val="231F20"/>
          <w:spacing w:val="-20"/>
          <w:w w:val="105"/>
        </w:rPr>
        <w:t> </w:t>
      </w:r>
      <w:r>
        <w:rPr>
          <w:color w:val="231F20"/>
          <w:w w:val="105"/>
        </w:rPr>
        <w:t>“[…]</w:t>
      </w:r>
      <w:r>
        <w:rPr>
          <w:color w:val="231F20"/>
          <w:spacing w:val="-20"/>
          <w:w w:val="105"/>
        </w:rPr>
        <w:t> </w:t>
      </w:r>
      <w:r>
        <w:rPr>
          <w:color w:val="231F20"/>
          <w:w w:val="105"/>
        </w:rPr>
        <w:t>non</w:t>
      </w:r>
      <w:r>
        <w:rPr>
          <w:color w:val="231F20"/>
          <w:spacing w:val="-20"/>
          <w:w w:val="105"/>
        </w:rPr>
        <w:t> </w:t>
      </w:r>
      <w:r>
        <w:rPr>
          <w:color w:val="231F20"/>
          <w:w w:val="105"/>
        </w:rPr>
        <w:t>è</w:t>
      </w:r>
      <w:r>
        <w:rPr>
          <w:color w:val="231F20"/>
          <w:spacing w:val="-20"/>
          <w:w w:val="105"/>
        </w:rPr>
        <w:t> </w:t>
      </w:r>
      <w:r>
        <w:rPr>
          <w:color w:val="231F20"/>
          <w:w w:val="105"/>
        </w:rPr>
        <w:t>un</w:t>
      </w:r>
      <w:r>
        <w:rPr>
          <w:color w:val="231F20"/>
          <w:spacing w:val="-20"/>
          <w:w w:val="105"/>
        </w:rPr>
        <w:t> </w:t>
      </w:r>
      <w:r>
        <w:rPr>
          <w:color w:val="231F20"/>
          <w:w w:val="105"/>
        </w:rPr>
        <w:t>fenomeno nuovo.</w:t>
      </w:r>
      <w:r>
        <w:rPr>
          <w:color w:val="231F20"/>
          <w:spacing w:val="-44"/>
          <w:w w:val="105"/>
        </w:rPr>
        <w:t> </w:t>
      </w:r>
      <w:r>
        <w:rPr>
          <w:color w:val="231F20"/>
          <w:w w:val="105"/>
        </w:rPr>
        <w:t>Gli</w:t>
      </w:r>
      <w:r>
        <w:rPr>
          <w:color w:val="231F20"/>
          <w:spacing w:val="-44"/>
          <w:w w:val="105"/>
        </w:rPr>
        <w:t> </w:t>
      </w:r>
      <w:r>
        <w:rPr>
          <w:color w:val="231F20"/>
          <w:w w:val="105"/>
        </w:rPr>
        <w:t>storici</w:t>
      </w:r>
      <w:r>
        <w:rPr>
          <w:color w:val="231F20"/>
          <w:spacing w:val="-44"/>
          <w:w w:val="105"/>
        </w:rPr>
        <w:t> </w:t>
      </w:r>
      <w:r>
        <w:rPr>
          <w:color w:val="231F20"/>
          <w:w w:val="105"/>
        </w:rPr>
        <w:t>segnalano,</w:t>
      </w:r>
      <w:r>
        <w:rPr>
          <w:color w:val="231F20"/>
          <w:spacing w:val="-44"/>
          <w:w w:val="105"/>
        </w:rPr>
        <w:t> </w:t>
      </w:r>
      <w:r>
        <w:rPr>
          <w:color w:val="231F20"/>
          <w:w w:val="105"/>
        </w:rPr>
        <w:t>invece,</w:t>
      </w:r>
      <w:r>
        <w:rPr>
          <w:color w:val="231F20"/>
          <w:spacing w:val="-44"/>
          <w:w w:val="105"/>
        </w:rPr>
        <w:t> </w:t>
      </w:r>
      <w:r>
        <w:rPr>
          <w:color w:val="231F20"/>
          <w:w w:val="105"/>
        </w:rPr>
        <w:t>che</w:t>
      </w:r>
      <w:r>
        <w:rPr>
          <w:color w:val="231F20"/>
          <w:spacing w:val="-44"/>
          <w:w w:val="105"/>
        </w:rPr>
        <w:t> </w:t>
      </w:r>
      <w:r>
        <w:rPr>
          <w:color w:val="231F20"/>
          <w:w w:val="105"/>
        </w:rPr>
        <w:t>la</w:t>
      </w:r>
      <w:r>
        <w:rPr>
          <w:color w:val="231F20"/>
          <w:spacing w:val="-44"/>
          <w:w w:val="105"/>
        </w:rPr>
        <w:t> </w:t>
      </w:r>
      <w:r>
        <w:rPr>
          <w:color w:val="231F20"/>
          <w:w w:val="105"/>
        </w:rPr>
        <w:t>storia</w:t>
      </w:r>
      <w:r>
        <w:rPr>
          <w:color w:val="231F20"/>
          <w:spacing w:val="-44"/>
          <w:w w:val="105"/>
        </w:rPr>
        <w:t> </w:t>
      </w:r>
      <w:r>
        <w:rPr>
          <w:color w:val="231F20"/>
          <w:w w:val="105"/>
        </w:rPr>
        <w:t>degli</w:t>
      </w:r>
      <w:r>
        <w:rPr>
          <w:color w:val="231F20"/>
          <w:spacing w:val="-44"/>
          <w:w w:val="105"/>
        </w:rPr>
        <w:t> </w:t>
      </w:r>
      <w:r>
        <w:rPr>
          <w:color w:val="231F20"/>
          <w:w w:val="105"/>
        </w:rPr>
        <w:t>ultimi</w:t>
      </w:r>
      <w:r>
        <w:rPr>
          <w:color w:val="231F20"/>
          <w:spacing w:val="-44"/>
          <w:w w:val="105"/>
        </w:rPr>
        <w:t> </w:t>
      </w:r>
      <w:r>
        <w:rPr>
          <w:color w:val="231F20"/>
          <w:w w:val="105"/>
        </w:rPr>
        <w:t>500</w:t>
      </w:r>
      <w:r>
        <w:rPr>
          <w:color w:val="231F20"/>
          <w:spacing w:val="-44"/>
          <w:w w:val="105"/>
        </w:rPr>
        <w:t> </w:t>
      </w:r>
      <w:r>
        <w:rPr>
          <w:color w:val="231F20"/>
          <w:w w:val="105"/>
        </w:rPr>
        <w:t>anni</w:t>
      </w:r>
      <w:r>
        <w:rPr>
          <w:color w:val="231F20"/>
          <w:spacing w:val="-44"/>
          <w:w w:val="105"/>
        </w:rPr>
        <w:t> </w:t>
      </w:r>
      <w:r>
        <w:rPr>
          <w:color w:val="231F20"/>
          <w:w w:val="105"/>
        </w:rPr>
        <w:t>ha</w:t>
      </w:r>
      <w:r>
        <w:rPr>
          <w:color w:val="231F20"/>
          <w:spacing w:val="-44"/>
          <w:w w:val="105"/>
        </w:rPr>
        <w:t> </w:t>
      </w:r>
      <w:r>
        <w:rPr>
          <w:color w:val="231F20"/>
          <w:w w:val="105"/>
        </w:rPr>
        <w:t>già conosciuto</w:t>
      </w:r>
      <w:r>
        <w:rPr>
          <w:color w:val="231F20"/>
          <w:spacing w:val="-16"/>
          <w:w w:val="105"/>
        </w:rPr>
        <w:t> </w:t>
      </w:r>
      <w:r>
        <w:rPr>
          <w:color w:val="231F20"/>
          <w:w w:val="105"/>
        </w:rPr>
        <w:t>diverse</w:t>
      </w:r>
      <w:r>
        <w:rPr>
          <w:color w:val="231F20"/>
          <w:spacing w:val="-16"/>
          <w:w w:val="105"/>
        </w:rPr>
        <w:t> </w:t>
      </w:r>
      <w:r>
        <w:rPr>
          <w:color w:val="231F20"/>
          <w:w w:val="105"/>
        </w:rPr>
        <w:t>fasi</w:t>
      </w:r>
      <w:r>
        <w:rPr>
          <w:color w:val="231F20"/>
          <w:spacing w:val="-16"/>
          <w:w w:val="105"/>
        </w:rPr>
        <w:t> </w:t>
      </w:r>
      <w:r>
        <w:rPr>
          <w:color w:val="231F20"/>
          <w:w w:val="105"/>
        </w:rPr>
        <w:t>di</w:t>
      </w:r>
      <w:r>
        <w:rPr>
          <w:color w:val="231F20"/>
          <w:spacing w:val="-16"/>
          <w:w w:val="105"/>
        </w:rPr>
        <w:t> </w:t>
      </w:r>
      <w:r>
        <w:rPr>
          <w:color w:val="231F20"/>
          <w:w w:val="105"/>
        </w:rPr>
        <w:t>globalizzazione”</w:t>
      </w:r>
      <w:r>
        <w:rPr>
          <w:color w:val="231F20"/>
          <w:w w:val="105"/>
          <w:position w:val="7"/>
          <w:sz w:val="12"/>
        </w:rPr>
        <w:t>1</w:t>
      </w:r>
      <w:r>
        <w:rPr>
          <w:color w:val="231F20"/>
          <w:w w:val="105"/>
        </w:rPr>
        <w:t>.</w:t>
      </w:r>
      <w:r>
        <w:rPr>
          <w:color w:val="231F20"/>
          <w:spacing w:val="-16"/>
          <w:w w:val="105"/>
        </w:rPr>
        <w:t> </w:t>
      </w:r>
      <w:r>
        <w:rPr>
          <w:color w:val="231F20"/>
          <w:w w:val="105"/>
        </w:rPr>
        <w:t>Parlare</w:t>
      </w:r>
      <w:r>
        <w:rPr>
          <w:color w:val="231F20"/>
          <w:spacing w:val="-16"/>
          <w:w w:val="105"/>
        </w:rPr>
        <w:t> </w:t>
      </w:r>
      <w:r>
        <w:rPr>
          <w:color w:val="231F20"/>
          <w:w w:val="105"/>
        </w:rPr>
        <w:t>di</w:t>
      </w:r>
      <w:r>
        <w:rPr>
          <w:color w:val="231F20"/>
          <w:spacing w:val="-16"/>
          <w:w w:val="105"/>
        </w:rPr>
        <w:t> </w:t>
      </w:r>
      <w:r>
        <w:rPr>
          <w:color w:val="231F20"/>
          <w:w w:val="105"/>
        </w:rPr>
        <w:t>globalizzazione</w:t>
      </w:r>
      <w:r>
        <w:rPr>
          <w:color w:val="231F20"/>
          <w:spacing w:val="-16"/>
          <w:w w:val="105"/>
        </w:rPr>
        <w:t> </w:t>
      </w:r>
      <w:r>
        <w:rPr>
          <w:color w:val="231F20"/>
          <w:w w:val="105"/>
        </w:rPr>
        <w:t>nel mondo</w:t>
      </w:r>
      <w:r>
        <w:rPr>
          <w:color w:val="231F20"/>
          <w:spacing w:val="-38"/>
          <w:w w:val="105"/>
        </w:rPr>
        <w:t> </w:t>
      </w:r>
      <w:r>
        <w:rPr>
          <w:color w:val="231F20"/>
          <w:w w:val="105"/>
        </w:rPr>
        <w:t>attuale</w:t>
      </w:r>
      <w:r>
        <w:rPr>
          <w:color w:val="231F20"/>
          <w:spacing w:val="-38"/>
          <w:w w:val="105"/>
        </w:rPr>
        <w:t> </w:t>
      </w:r>
      <w:r>
        <w:rPr>
          <w:color w:val="231F20"/>
          <w:w w:val="105"/>
        </w:rPr>
        <w:t>ci</w:t>
      </w:r>
      <w:r>
        <w:rPr>
          <w:color w:val="231F20"/>
          <w:spacing w:val="-38"/>
          <w:w w:val="105"/>
        </w:rPr>
        <w:t> </w:t>
      </w:r>
      <w:r>
        <w:rPr>
          <w:color w:val="231F20"/>
          <w:w w:val="105"/>
        </w:rPr>
        <w:t>porta</w:t>
      </w:r>
      <w:r>
        <w:rPr>
          <w:color w:val="231F20"/>
          <w:spacing w:val="-38"/>
          <w:w w:val="105"/>
        </w:rPr>
        <w:t> </w:t>
      </w:r>
      <w:r>
        <w:rPr>
          <w:color w:val="231F20"/>
          <w:w w:val="105"/>
        </w:rPr>
        <w:t>a</w:t>
      </w:r>
      <w:r>
        <w:rPr>
          <w:color w:val="231F20"/>
          <w:spacing w:val="-38"/>
          <w:w w:val="105"/>
        </w:rPr>
        <w:t> </w:t>
      </w:r>
      <w:r>
        <w:rPr>
          <w:color w:val="231F20"/>
          <w:w w:val="105"/>
        </w:rPr>
        <w:t>pensare</w:t>
      </w:r>
      <w:r>
        <w:rPr>
          <w:color w:val="231F20"/>
          <w:spacing w:val="-38"/>
          <w:w w:val="105"/>
        </w:rPr>
        <w:t> </w:t>
      </w:r>
      <w:r>
        <w:rPr>
          <w:color w:val="231F20"/>
          <w:w w:val="105"/>
        </w:rPr>
        <w:t>a</w:t>
      </w:r>
      <w:r>
        <w:rPr>
          <w:color w:val="231F20"/>
          <w:spacing w:val="-38"/>
          <w:w w:val="105"/>
        </w:rPr>
        <w:t> </w:t>
      </w:r>
      <w:r>
        <w:rPr>
          <w:color w:val="231F20"/>
          <w:w w:val="105"/>
        </w:rPr>
        <w:t>un</w:t>
      </w:r>
      <w:r>
        <w:rPr>
          <w:color w:val="231F20"/>
          <w:spacing w:val="-38"/>
          <w:w w:val="105"/>
        </w:rPr>
        <w:t> </w:t>
      </w:r>
      <w:r>
        <w:rPr>
          <w:color w:val="231F20"/>
          <w:w w:val="105"/>
        </w:rPr>
        <w:t>processo</w:t>
      </w:r>
      <w:r>
        <w:rPr>
          <w:color w:val="231F20"/>
          <w:spacing w:val="-38"/>
          <w:w w:val="105"/>
        </w:rPr>
        <w:t> </w:t>
      </w:r>
      <w:r>
        <w:rPr>
          <w:color w:val="231F20"/>
          <w:w w:val="105"/>
        </w:rPr>
        <w:t>legato</w:t>
      </w:r>
      <w:r>
        <w:rPr>
          <w:color w:val="231F20"/>
          <w:spacing w:val="-38"/>
          <w:w w:val="105"/>
        </w:rPr>
        <w:t> </w:t>
      </w:r>
      <w:r>
        <w:rPr>
          <w:color w:val="231F20"/>
          <w:w w:val="105"/>
        </w:rPr>
        <w:t>in</w:t>
      </w:r>
      <w:r>
        <w:rPr>
          <w:color w:val="231F20"/>
          <w:spacing w:val="-38"/>
          <w:w w:val="105"/>
        </w:rPr>
        <w:t> </w:t>
      </w:r>
      <w:r>
        <w:rPr>
          <w:color w:val="231F20"/>
          <w:w w:val="105"/>
        </w:rPr>
        <w:t>maniera</w:t>
      </w:r>
      <w:r>
        <w:rPr>
          <w:color w:val="231F20"/>
          <w:spacing w:val="-38"/>
          <w:w w:val="105"/>
        </w:rPr>
        <w:t> </w:t>
      </w:r>
      <w:r>
        <w:rPr>
          <w:color w:val="231F20"/>
          <w:w w:val="105"/>
        </w:rPr>
        <w:t>profonda al</w:t>
      </w:r>
      <w:r>
        <w:rPr>
          <w:color w:val="231F20"/>
          <w:spacing w:val="-36"/>
          <w:w w:val="105"/>
        </w:rPr>
        <w:t> </w:t>
      </w:r>
      <w:r>
        <w:rPr>
          <w:color w:val="231F20"/>
          <w:w w:val="105"/>
        </w:rPr>
        <w:t>capitalismo</w:t>
      </w:r>
      <w:r>
        <w:rPr>
          <w:color w:val="231F20"/>
          <w:spacing w:val="-36"/>
          <w:w w:val="105"/>
        </w:rPr>
        <w:t> </w:t>
      </w:r>
      <w:r>
        <w:rPr>
          <w:color w:val="231F20"/>
          <w:w w:val="105"/>
        </w:rPr>
        <w:t>e</w:t>
      </w:r>
      <w:r>
        <w:rPr>
          <w:color w:val="231F20"/>
          <w:spacing w:val="-36"/>
          <w:w w:val="105"/>
        </w:rPr>
        <w:t> </w:t>
      </w:r>
      <w:r>
        <w:rPr>
          <w:color w:val="231F20"/>
          <w:w w:val="105"/>
        </w:rPr>
        <w:t>alla</w:t>
      </w:r>
      <w:r>
        <w:rPr>
          <w:color w:val="231F20"/>
          <w:spacing w:val="-36"/>
          <w:w w:val="105"/>
        </w:rPr>
        <w:t> </w:t>
      </w:r>
      <w:r>
        <w:rPr>
          <w:color w:val="231F20"/>
          <w:w w:val="105"/>
        </w:rPr>
        <w:t>politica</w:t>
      </w:r>
      <w:r>
        <w:rPr>
          <w:color w:val="231F20"/>
          <w:spacing w:val="-36"/>
          <w:w w:val="105"/>
        </w:rPr>
        <w:t> </w:t>
      </w:r>
      <w:r>
        <w:rPr>
          <w:color w:val="231F20"/>
          <w:w w:val="105"/>
        </w:rPr>
        <w:t>liberale;</w:t>
      </w:r>
      <w:r>
        <w:rPr>
          <w:color w:val="231F20"/>
          <w:spacing w:val="-36"/>
          <w:w w:val="105"/>
        </w:rPr>
        <w:t> </w:t>
      </w:r>
      <w:r>
        <w:rPr>
          <w:color w:val="231F20"/>
          <w:w w:val="105"/>
        </w:rPr>
        <w:t>nonostante,</w:t>
      </w:r>
      <w:r>
        <w:rPr>
          <w:color w:val="231F20"/>
          <w:spacing w:val="-36"/>
          <w:w w:val="105"/>
        </w:rPr>
        <w:t> </w:t>
      </w:r>
      <w:r>
        <w:rPr>
          <w:color w:val="231F20"/>
          <w:w w:val="105"/>
        </w:rPr>
        <w:t>se</w:t>
      </w:r>
      <w:r>
        <w:rPr>
          <w:color w:val="231F20"/>
          <w:spacing w:val="-36"/>
          <w:w w:val="105"/>
        </w:rPr>
        <w:t> </w:t>
      </w:r>
      <w:r>
        <w:rPr>
          <w:color w:val="231F20"/>
          <w:w w:val="105"/>
        </w:rPr>
        <w:t>pensiamo</w:t>
      </w:r>
      <w:r>
        <w:rPr>
          <w:color w:val="231F20"/>
          <w:spacing w:val="-36"/>
          <w:w w:val="105"/>
        </w:rPr>
        <w:t> </w:t>
      </w:r>
      <w:r>
        <w:rPr>
          <w:color w:val="231F20"/>
          <w:w w:val="105"/>
        </w:rPr>
        <w:t>che</w:t>
      </w:r>
      <w:r>
        <w:rPr>
          <w:color w:val="231F20"/>
          <w:spacing w:val="-36"/>
          <w:w w:val="105"/>
        </w:rPr>
        <w:t> </w:t>
      </w:r>
      <w:r>
        <w:rPr>
          <w:color w:val="231F20"/>
          <w:w w:val="105"/>
        </w:rPr>
        <w:t>i</w:t>
      </w:r>
      <w:r>
        <w:rPr>
          <w:color w:val="231F20"/>
          <w:spacing w:val="-36"/>
          <w:w w:val="105"/>
        </w:rPr>
        <w:t> </w:t>
      </w:r>
      <w:r>
        <w:rPr>
          <w:color w:val="231F20"/>
          <w:w w:val="105"/>
        </w:rPr>
        <w:t>flussi</w:t>
      </w:r>
      <w:r>
        <w:rPr>
          <w:color w:val="231F20"/>
          <w:spacing w:val="-36"/>
          <w:w w:val="105"/>
        </w:rPr>
        <w:t> </w:t>
      </w:r>
      <w:r>
        <w:rPr>
          <w:color w:val="231F20"/>
          <w:w w:val="105"/>
        </w:rPr>
        <w:t>di </w:t>
      </w:r>
      <w:r>
        <w:rPr>
          <w:color w:val="231F20"/>
        </w:rPr>
        <w:t>gente,</w:t>
      </w:r>
      <w:r>
        <w:rPr>
          <w:color w:val="231F20"/>
          <w:spacing w:val="-33"/>
        </w:rPr>
        <w:t> </w:t>
      </w:r>
      <w:r>
        <w:rPr>
          <w:color w:val="231F20"/>
        </w:rPr>
        <w:t>alimentari,</w:t>
      </w:r>
      <w:r>
        <w:rPr>
          <w:color w:val="231F20"/>
          <w:spacing w:val="-33"/>
        </w:rPr>
        <w:t> </w:t>
      </w:r>
      <w:r>
        <w:rPr>
          <w:color w:val="231F20"/>
        </w:rPr>
        <w:t>simboli,</w:t>
      </w:r>
      <w:r>
        <w:rPr>
          <w:color w:val="231F20"/>
          <w:spacing w:val="-33"/>
        </w:rPr>
        <w:t> </w:t>
      </w:r>
      <w:r>
        <w:rPr>
          <w:color w:val="231F20"/>
        </w:rPr>
        <w:t>cultura,</w:t>
      </w:r>
      <w:r>
        <w:rPr>
          <w:color w:val="231F20"/>
          <w:spacing w:val="-33"/>
        </w:rPr>
        <w:t> </w:t>
      </w:r>
      <w:r>
        <w:rPr>
          <w:color w:val="231F20"/>
        </w:rPr>
        <w:t>ecc.,</w:t>
      </w:r>
      <w:r>
        <w:rPr>
          <w:color w:val="231F20"/>
          <w:spacing w:val="-33"/>
        </w:rPr>
        <w:t> </w:t>
      </w:r>
      <w:r>
        <w:rPr>
          <w:color w:val="231F20"/>
          <w:spacing w:val="-3"/>
        </w:rPr>
        <w:t>marcano</w:t>
      </w:r>
      <w:r>
        <w:rPr>
          <w:color w:val="231F20"/>
          <w:spacing w:val="-33"/>
        </w:rPr>
        <w:t> </w:t>
      </w:r>
      <w:r>
        <w:rPr>
          <w:color w:val="231F20"/>
        </w:rPr>
        <w:t>la</w:t>
      </w:r>
      <w:r>
        <w:rPr>
          <w:color w:val="231F20"/>
          <w:spacing w:val="-33"/>
        </w:rPr>
        <w:t> </w:t>
      </w:r>
      <w:r>
        <w:rPr>
          <w:color w:val="231F20"/>
        </w:rPr>
        <w:t>storia</w:t>
      </w:r>
      <w:r>
        <w:rPr>
          <w:color w:val="231F20"/>
          <w:spacing w:val="-33"/>
        </w:rPr>
        <w:t> </w:t>
      </w:r>
      <w:r>
        <w:rPr>
          <w:color w:val="231F20"/>
        </w:rPr>
        <w:t>stessa</w:t>
      </w:r>
      <w:r>
        <w:rPr>
          <w:color w:val="231F20"/>
          <w:spacing w:val="-33"/>
        </w:rPr>
        <w:t> </w:t>
      </w:r>
      <w:r>
        <w:rPr>
          <w:color w:val="231F20"/>
        </w:rPr>
        <w:t>dell’umanità, </w:t>
      </w:r>
      <w:r>
        <w:rPr>
          <w:color w:val="231F20"/>
          <w:w w:val="105"/>
        </w:rPr>
        <w:t>potremo</w:t>
      </w:r>
      <w:r>
        <w:rPr>
          <w:color w:val="231F20"/>
          <w:spacing w:val="-8"/>
          <w:w w:val="105"/>
        </w:rPr>
        <w:t> </w:t>
      </w:r>
      <w:r>
        <w:rPr>
          <w:color w:val="231F20"/>
          <w:w w:val="105"/>
        </w:rPr>
        <w:t>benissimo</w:t>
      </w:r>
      <w:r>
        <w:rPr>
          <w:color w:val="231F20"/>
          <w:spacing w:val="-8"/>
          <w:w w:val="105"/>
        </w:rPr>
        <w:t> </w:t>
      </w:r>
      <w:r>
        <w:rPr>
          <w:color w:val="231F20"/>
          <w:w w:val="105"/>
        </w:rPr>
        <w:t>segnalare</w:t>
      </w:r>
      <w:r>
        <w:rPr>
          <w:color w:val="231F20"/>
          <w:spacing w:val="-8"/>
          <w:w w:val="105"/>
        </w:rPr>
        <w:t> </w:t>
      </w:r>
      <w:r>
        <w:rPr>
          <w:color w:val="231F20"/>
          <w:w w:val="105"/>
        </w:rPr>
        <w:t>che</w:t>
      </w:r>
      <w:r>
        <w:rPr>
          <w:color w:val="231F20"/>
          <w:spacing w:val="-8"/>
          <w:w w:val="105"/>
        </w:rPr>
        <w:t> </w:t>
      </w:r>
      <w:r>
        <w:rPr>
          <w:color w:val="231F20"/>
          <w:w w:val="105"/>
        </w:rPr>
        <w:t>questa,</w:t>
      </w:r>
      <w:r>
        <w:rPr>
          <w:color w:val="231F20"/>
          <w:spacing w:val="-8"/>
          <w:w w:val="105"/>
        </w:rPr>
        <w:t> </w:t>
      </w:r>
      <w:r>
        <w:rPr>
          <w:color w:val="231F20"/>
          <w:w w:val="105"/>
        </w:rPr>
        <w:t>la</w:t>
      </w:r>
      <w:r>
        <w:rPr>
          <w:color w:val="231F20"/>
          <w:spacing w:val="-8"/>
          <w:w w:val="105"/>
        </w:rPr>
        <w:t> </w:t>
      </w:r>
      <w:r>
        <w:rPr>
          <w:color w:val="231F20"/>
          <w:w w:val="105"/>
        </w:rPr>
        <w:t>globalizzazione</w:t>
      </w:r>
      <w:r>
        <w:rPr>
          <w:color w:val="231F20"/>
          <w:spacing w:val="-8"/>
          <w:w w:val="105"/>
        </w:rPr>
        <w:t> </w:t>
      </w:r>
      <w:r>
        <w:rPr>
          <w:color w:val="231F20"/>
          <w:w w:val="105"/>
        </w:rPr>
        <w:t>odierna,</w:t>
      </w:r>
      <w:r>
        <w:rPr>
          <w:color w:val="231F20"/>
          <w:spacing w:val="-8"/>
          <w:w w:val="105"/>
        </w:rPr>
        <w:t> </w:t>
      </w:r>
      <w:r>
        <w:rPr>
          <w:color w:val="231F20"/>
          <w:w w:val="105"/>
        </w:rPr>
        <w:t>ha una</w:t>
      </w:r>
      <w:r>
        <w:rPr>
          <w:color w:val="231F20"/>
          <w:spacing w:val="-11"/>
          <w:w w:val="105"/>
        </w:rPr>
        <w:t> </w:t>
      </w:r>
      <w:r>
        <w:rPr>
          <w:color w:val="231F20"/>
          <w:w w:val="105"/>
        </w:rPr>
        <w:t>certa</w:t>
      </w:r>
      <w:r>
        <w:rPr>
          <w:color w:val="231F20"/>
          <w:spacing w:val="-11"/>
          <w:w w:val="105"/>
        </w:rPr>
        <w:t> </w:t>
      </w:r>
      <w:r>
        <w:rPr>
          <w:color w:val="231F20"/>
          <w:w w:val="105"/>
        </w:rPr>
        <w:t>continuità</w:t>
      </w:r>
      <w:r>
        <w:rPr>
          <w:color w:val="231F20"/>
          <w:spacing w:val="-11"/>
          <w:w w:val="105"/>
        </w:rPr>
        <w:t> </w:t>
      </w:r>
      <w:r>
        <w:rPr>
          <w:color w:val="231F20"/>
          <w:w w:val="105"/>
        </w:rPr>
        <w:t>con</w:t>
      </w:r>
      <w:r>
        <w:rPr>
          <w:color w:val="231F20"/>
          <w:spacing w:val="-11"/>
          <w:w w:val="105"/>
        </w:rPr>
        <w:t> </w:t>
      </w:r>
      <w:r>
        <w:rPr>
          <w:color w:val="231F20"/>
          <w:w w:val="105"/>
        </w:rPr>
        <w:t>un</w:t>
      </w:r>
      <w:r>
        <w:rPr>
          <w:color w:val="231F20"/>
          <w:spacing w:val="-11"/>
          <w:w w:val="105"/>
        </w:rPr>
        <w:t> </w:t>
      </w:r>
      <w:r>
        <w:rPr>
          <w:color w:val="231F20"/>
          <w:w w:val="105"/>
        </w:rPr>
        <w:t>processo</w:t>
      </w:r>
      <w:r>
        <w:rPr>
          <w:color w:val="231F20"/>
          <w:spacing w:val="-11"/>
          <w:w w:val="105"/>
        </w:rPr>
        <w:t> </w:t>
      </w:r>
      <w:r>
        <w:rPr>
          <w:color w:val="231F20"/>
          <w:w w:val="105"/>
        </w:rPr>
        <w:t>che</w:t>
      </w:r>
      <w:r>
        <w:rPr>
          <w:color w:val="231F20"/>
          <w:spacing w:val="-11"/>
          <w:w w:val="105"/>
        </w:rPr>
        <w:t> </w:t>
      </w:r>
      <w:r>
        <w:rPr>
          <w:color w:val="231F20"/>
          <w:w w:val="105"/>
        </w:rPr>
        <w:t>ha</w:t>
      </w:r>
      <w:r>
        <w:rPr>
          <w:color w:val="231F20"/>
          <w:spacing w:val="-11"/>
          <w:w w:val="105"/>
        </w:rPr>
        <w:t> </w:t>
      </w:r>
      <w:r>
        <w:rPr>
          <w:color w:val="231F20"/>
          <w:w w:val="105"/>
        </w:rPr>
        <w:t>accompagnato</w:t>
      </w:r>
      <w:r>
        <w:rPr>
          <w:color w:val="231F20"/>
          <w:spacing w:val="-11"/>
          <w:w w:val="105"/>
        </w:rPr>
        <w:t> </w:t>
      </w:r>
      <w:r>
        <w:rPr>
          <w:color w:val="231F20"/>
          <w:w w:val="105"/>
        </w:rPr>
        <w:t>e</w:t>
      </w:r>
      <w:r>
        <w:rPr>
          <w:color w:val="231F20"/>
          <w:spacing w:val="-11"/>
          <w:w w:val="105"/>
        </w:rPr>
        <w:t> </w:t>
      </w:r>
      <w:r>
        <w:rPr>
          <w:color w:val="231F20"/>
          <w:w w:val="105"/>
        </w:rPr>
        <w:t>forgiato</w:t>
      </w:r>
      <w:r>
        <w:rPr>
          <w:color w:val="231F20"/>
          <w:spacing w:val="-11"/>
          <w:w w:val="105"/>
        </w:rPr>
        <w:t> </w:t>
      </w:r>
      <w:r>
        <w:rPr>
          <w:color w:val="231F20"/>
          <w:w w:val="105"/>
        </w:rPr>
        <w:t>la storia</w:t>
      </w:r>
      <w:r>
        <w:rPr>
          <w:color w:val="231F20"/>
          <w:spacing w:val="-15"/>
          <w:w w:val="105"/>
        </w:rPr>
        <w:t> </w:t>
      </w:r>
      <w:r>
        <w:rPr>
          <w:color w:val="231F20"/>
          <w:w w:val="105"/>
        </w:rPr>
        <w:t>degli</w:t>
      </w:r>
      <w:r>
        <w:rPr>
          <w:color w:val="231F20"/>
          <w:spacing w:val="-15"/>
          <w:w w:val="105"/>
        </w:rPr>
        <w:t> </w:t>
      </w:r>
      <w:r>
        <w:rPr>
          <w:color w:val="231F20"/>
          <w:w w:val="105"/>
        </w:rPr>
        <w:t>esseri</w:t>
      </w:r>
      <w:r>
        <w:rPr>
          <w:color w:val="231F20"/>
          <w:spacing w:val="-15"/>
          <w:w w:val="105"/>
        </w:rPr>
        <w:t> </w:t>
      </w:r>
      <w:r>
        <w:rPr>
          <w:color w:val="231F20"/>
          <w:w w:val="105"/>
        </w:rPr>
        <w:t>umani</w:t>
      </w:r>
      <w:r>
        <w:rPr>
          <w:color w:val="231F20"/>
          <w:spacing w:val="-15"/>
          <w:w w:val="105"/>
        </w:rPr>
        <w:t> </w:t>
      </w:r>
      <w:r>
        <w:rPr>
          <w:color w:val="231F20"/>
          <w:w w:val="105"/>
        </w:rPr>
        <w:t>da</w:t>
      </w:r>
      <w:r>
        <w:rPr>
          <w:color w:val="231F20"/>
          <w:spacing w:val="-15"/>
          <w:w w:val="105"/>
        </w:rPr>
        <w:t> </w:t>
      </w:r>
      <w:r>
        <w:rPr>
          <w:color w:val="231F20"/>
          <w:w w:val="105"/>
        </w:rPr>
        <w:t>secoli.</w:t>
      </w:r>
      <w:r>
        <w:rPr>
          <w:color w:val="231F20"/>
          <w:spacing w:val="-15"/>
          <w:w w:val="105"/>
        </w:rPr>
        <w:t> </w:t>
      </w:r>
      <w:r>
        <w:rPr>
          <w:color w:val="231F20"/>
          <w:w w:val="105"/>
        </w:rPr>
        <w:t>Questo</w:t>
      </w:r>
      <w:r>
        <w:rPr>
          <w:color w:val="231F20"/>
          <w:spacing w:val="-15"/>
          <w:w w:val="105"/>
        </w:rPr>
        <w:t> </w:t>
      </w:r>
      <w:r>
        <w:rPr>
          <w:color w:val="231F20"/>
          <w:w w:val="105"/>
        </w:rPr>
        <w:t>argomento,</w:t>
      </w:r>
      <w:r>
        <w:rPr>
          <w:color w:val="231F20"/>
          <w:spacing w:val="-15"/>
          <w:w w:val="105"/>
        </w:rPr>
        <w:t> </w:t>
      </w:r>
      <w:r>
        <w:rPr>
          <w:color w:val="231F20"/>
          <w:w w:val="105"/>
        </w:rPr>
        <w:t>comunque,</w:t>
      </w:r>
      <w:r>
        <w:rPr>
          <w:color w:val="231F20"/>
          <w:spacing w:val="-15"/>
          <w:w w:val="105"/>
        </w:rPr>
        <w:t> </w:t>
      </w:r>
      <w:r>
        <w:rPr>
          <w:color w:val="231F20"/>
          <w:w w:val="105"/>
        </w:rPr>
        <w:t>ha</w:t>
      </w:r>
      <w:r>
        <w:rPr>
          <w:color w:val="231F20"/>
          <w:spacing w:val="-15"/>
          <w:w w:val="105"/>
        </w:rPr>
        <w:t> </w:t>
      </w:r>
      <w:r>
        <w:rPr>
          <w:color w:val="231F20"/>
          <w:w w:val="105"/>
        </w:rPr>
        <w:t>un lato</w:t>
      </w:r>
      <w:r>
        <w:rPr>
          <w:color w:val="231F20"/>
          <w:spacing w:val="-43"/>
          <w:w w:val="105"/>
        </w:rPr>
        <w:t> </w:t>
      </w:r>
      <w:r>
        <w:rPr>
          <w:color w:val="231F20"/>
          <w:w w:val="105"/>
        </w:rPr>
        <w:t>rischioso,</w:t>
      </w:r>
      <w:r>
        <w:rPr>
          <w:color w:val="231F20"/>
          <w:spacing w:val="-43"/>
          <w:w w:val="105"/>
        </w:rPr>
        <w:t> </w:t>
      </w:r>
      <w:r>
        <w:rPr>
          <w:color w:val="231F20"/>
          <w:w w:val="105"/>
        </w:rPr>
        <w:t>perchè</w:t>
      </w:r>
      <w:r>
        <w:rPr>
          <w:color w:val="231F20"/>
          <w:spacing w:val="-43"/>
          <w:w w:val="105"/>
        </w:rPr>
        <w:t> </w:t>
      </w:r>
      <w:r>
        <w:rPr>
          <w:color w:val="231F20"/>
          <w:w w:val="105"/>
        </w:rPr>
        <w:t>può</w:t>
      </w:r>
      <w:r>
        <w:rPr>
          <w:color w:val="231F20"/>
          <w:spacing w:val="-43"/>
          <w:w w:val="105"/>
        </w:rPr>
        <w:t> </w:t>
      </w:r>
      <w:r>
        <w:rPr>
          <w:color w:val="231F20"/>
          <w:w w:val="105"/>
        </w:rPr>
        <w:t>portarci</w:t>
      </w:r>
      <w:r>
        <w:rPr>
          <w:color w:val="231F20"/>
          <w:spacing w:val="-43"/>
          <w:w w:val="105"/>
        </w:rPr>
        <w:t> </w:t>
      </w:r>
      <w:r>
        <w:rPr>
          <w:color w:val="231F20"/>
          <w:w w:val="105"/>
        </w:rPr>
        <w:t>a</w:t>
      </w:r>
      <w:r>
        <w:rPr>
          <w:color w:val="231F20"/>
          <w:spacing w:val="-43"/>
          <w:w w:val="105"/>
        </w:rPr>
        <w:t> </w:t>
      </w:r>
      <w:r>
        <w:rPr>
          <w:color w:val="231F20"/>
          <w:w w:val="105"/>
        </w:rPr>
        <w:t>supporre</w:t>
      </w:r>
      <w:r>
        <w:rPr>
          <w:color w:val="231F20"/>
          <w:spacing w:val="-43"/>
          <w:w w:val="105"/>
        </w:rPr>
        <w:t> </w:t>
      </w:r>
      <w:r>
        <w:rPr>
          <w:color w:val="231F20"/>
          <w:w w:val="105"/>
        </w:rPr>
        <w:t>che</w:t>
      </w:r>
      <w:r>
        <w:rPr>
          <w:color w:val="231F20"/>
          <w:spacing w:val="-43"/>
          <w:w w:val="105"/>
        </w:rPr>
        <w:t> </w:t>
      </w:r>
      <w:r>
        <w:rPr>
          <w:color w:val="231F20"/>
          <w:w w:val="105"/>
        </w:rPr>
        <w:t>c’è</w:t>
      </w:r>
      <w:r>
        <w:rPr>
          <w:color w:val="231F20"/>
          <w:spacing w:val="-43"/>
          <w:w w:val="105"/>
        </w:rPr>
        <w:t> </w:t>
      </w:r>
      <w:r>
        <w:rPr>
          <w:color w:val="231F20"/>
          <w:w w:val="105"/>
        </w:rPr>
        <w:t>una</w:t>
      </w:r>
      <w:r>
        <w:rPr>
          <w:color w:val="231F20"/>
          <w:spacing w:val="-43"/>
          <w:w w:val="105"/>
        </w:rPr>
        <w:t> </w:t>
      </w:r>
      <w:r>
        <w:rPr>
          <w:color w:val="231F20"/>
          <w:w w:val="105"/>
        </w:rPr>
        <w:t>semplicità</w:t>
      </w:r>
      <w:r>
        <w:rPr>
          <w:color w:val="231F20"/>
          <w:spacing w:val="-43"/>
          <w:w w:val="105"/>
        </w:rPr>
        <w:t> </w:t>
      </w:r>
      <w:r>
        <w:rPr>
          <w:color w:val="231F20"/>
          <w:w w:val="105"/>
        </w:rPr>
        <w:t>in</w:t>
      </w:r>
      <w:r>
        <w:rPr>
          <w:color w:val="231F20"/>
          <w:spacing w:val="-43"/>
          <w:w w:val="105"/>
        </w:rPr>
        <w:t> </w:t>
      </w:r>
      <w:r>
        <w:rPr>
          <w:color w:val="231F20"/>
          <w:w w:val="105"/>
        </w:rPr>
        <w:t>tutti</w:t>
      </w:r>
      <w:r>
        <w:rPr>
          <w:color w:val="231F20"/>
          <w:spacing w:val="-43"/>
          <w:w w:val="105"/>
        </w:rPr>
        <w:t> </w:t>
      </w:r>
      <w:r>
        <w:rPr>
          <w:color w:val="231F20"/>
          <w:w w:val="105"/>
        </w:rPr>
        <w:t>i </w:t>
      </w:r>
      <w:r>
        <w:rPr>
          <w:color w:val="231F20"/>
          <w:spacing w:val="-3"/>
          <w:w w:val="105"/>
        </w:rPr>
        <w:t>processi</w:t>
      </w:r>
      <w:r>
        <w:rPr>
          <w:color w:val="231F20"/>
          <w:spacing w:val="-53"/>
          <w:w w:val="105"/>
        </w:rPr>
        <w:t> </w:t>
      </w:r>
      <w:r>
        <w:rPr>
          <w:color w:val="231F20"/>
          <w:w w:val="105"/>
        </w:rPr>
        <w:t>e</w:t>
      </w:r>
      <w:r>
        <w:rPr>
          <w:color w:val="231F20"/>
          <w:spacing w:val="-53"/>
          <w:w w:val="105"/>
        </w:rPr>
        <w:t> </w:t>
      </w:r>
      <w:r>
        <w:rPr>
          <w:color w:val="231F20"/>
          <w:w w:val="105"/>
        </w:rPr>
        <w:t>fenomeni</w:t>
      </w:r>
      <w:r>
        <w:rPr>
          <w:color w:val="231F20"/>
          <w:spacing w:val="-53"/>
          <w:w w:val="105"/>
        </w:rPr>
        <w:t> </w:t>
      </w:r>
      <w:r>
        <w:rPr>
          <w:color w:val="231F20"/>
          <w:w w:val="105"/>
        </w:rPr>
        <w:t>attuali</w:t>
      </w:r>
      <w:r>
        <w:rPr>
          <w:color w:val="231F20"/>
          <w:spacing w:val="-53"/>
          <w:w w:val="105"/>
        </w:rPr>
        <w:t> </w:t>
      </w:r>
      <w:r>
        <w:rPr>
          <w:color w:val="231F20"/>
          <w:w w:val="105"/>
        </w:rPr>
        <w:t>e,</w:t>
      </w:r>
      <w:r>
        <w:rPr>
          <w:color w:val="231F20"/>
          <w:spacing w:val="-53"/>
          <w:w w:val="105"/>
        </w:rPr>
        <w:t> </w:t>
      </w:r>
      <w:r>
        <w:rPr>
          <w:color w:val="231F20"/>
          <w:w w:val="105"/>
        </w:rPr>
        <w:t>quindi,</w:t>
      </w:r>
      <w:r>
        <w:rPr>
          <w:color w:val="231F20"/>
          <w:spacing w:val="-53"/>
          <w:w w:val="105"/>
        </w:rPr>
        <w:t> </w:t>
      </w:r>
      <w:r>
        <w:rPr>
          <w:color w:val="231F20"/>
          <w:w w:val="105"/>
        </w:rPr>
        <w:t>che</w:t>
      </w:r>
      <w:r>
        <w:rPr>
          <w:color w:val="231F20"/>
          <w:spacing w:val="-53"/>
          <w:w w:val="105"/>
        </w:rPr>
        <w:t> </w:t>
      </w:r>
      <w:r>
        <w:rPr>
          <w:color w:val="231F20"/>
          <w:w w:val="105"/>
        </w:rPr>
        <w:t>non</w:t>
      </w:r>
      <w:r>
        <w:rPr>
          <w:color w:val="231F20"/>
          <w:spacing w:val="-53"/>
          <w:w w:val="105"/>
        </w:rPr>
        <w:t> </w:t>
      </w:r>
      <w:r>
        <w:rPr>
          <w:color w:val="231F20"/>
          <w:w w:val="105"/>
        </w:rPr>
        <w:t>solo</w:t>
      </w:r>
      <w:r>
        <w:rPr>
          <w:color w:val="231F20"/>
          <w:spacing w:val="-53"/>
          <w:w w:val="105"/>
        </w:rPr>
        <w:t> </w:t>
      </w:r>
      <w:r>
        <w:rPr>
          <w:color w:val="231F20"/>
          <w:spacing w:val="-3"/>
          <w:w w:val="105"/>
        </w:rPr>
        <w:t>sarebbe</w:t>
      </w:r>
      <w:r>
        <w:rPr>
          <w:color w:val="231F20"/>
          <w:spacing w:val="-53"/>
          <w:w w:val="105"/>
        </w:rPr>
        <w:t> </w:t>
      </w:r>
      <w:r>
        <w:rPr>
          <w:color w:val="231F20"/>
          <w:w w:val="105"/>
        </w:rPr>
        <w:t>superflua</w:t>
      </w:r>
      <w:r>
        <w:rPr>
          <w:color w:val="231F20"/>
          <w:spacing w:val="-53"/>
          <w:w w:val="105"/>
        </w:rPr>
        <w:t> </w:t>
      </w:r>
      <w:r>
        <w:rPr>
          <w:color w:val="231F20"/>
          <w:w w:val="105"/>
        </w:rPr>
        <w:t>l’análisi, ma</w:t>
      </w:r>
      <w:r>
        <w:rPr>
          <w:color w:val="231F20"/>
          <w:spacing w:val="-52"/>
          <w:w w:val="105"/>
        </w:rPr>
        <w:t> </w:t>
      </w:r>
      <w:r>
        <w:rPr>
          <w:color w:val="231F20"/>
          <w:w w:val="105"/>
        </w:rPr>
        <w:t>anche</w:t>
      </w:r>
      <w:r>
        <w:rPr>
          <w:color w:val="231F20"/>
          <w:spacing w:val="-52"/>
          <w:w w:val="105"/>
        </w:rPr>
        <w:t> </w:t>
      </w:r>
      <w:r>
        <w:rPr>
          <w:color w:val="231F20"/>
          <w:w w:val="105"/>
        </w:rPr>
        <w:t>la</w:t>
      </w:r>
      <w:r>
        <w:rPr>
          <w:color w:val="231F20"/>
          <w:spacing w:val="-52"/>
          <w:w w:val="105"/>
        </w:rPr>
        <w:t> </w:t>
      </w:r>
      <w:r>
        <w:rPr>
          <w:color w:val="231F20"/>
          <w:w w:val="105"/>
        </w:rPr>
        <w:t>critica,</w:t>
      </w:r>
      <w:r>
        <w:rPr>
          <w:color w:val="231F20"/>
          <w:spacing w:val="-52"/>
          <w:w w:val="105"/>
        </w:rPr>
        <w:t> </w:t>
      </w:r>
      <w:r>
        <w:rPr>
          <w:color w:val="231F20"/>
          <w:w w:val="105"/>
        </w:rPr>
        <w:t>e</w:t>
      </w:r>
      <w:r>
        <w:rPr>
          <w:color w:val="231F20"/>
          <w:spacing w:val="-52"/>
          <w:w w:val="105"/>
        </w:rPr>
        <w:t> </w:t>
      </w:r>
      <w:r>
        <w:rPr>
          <w:color w:val="231F20"/>
          <w:w w:val="105"/>
        </w:rPr>
        <w:t>per</w:t>
      </w:r>
      <w:r>
        <w:rPr>
          <w:color w:val="231F20"/>
          <w:spacing w:val="-52"/>
          <w:w w:val="105"/>
        </w:rPr>
        <w:t> </w:t>
      </w:r>
      <w:r>
        <w:rPr>
          <w:color w:val="231F20"/>
          <w:w w:val="105"/>
        </w:rPr>
        <w:t>questo</w:t>
      </w:r>
      <w:r>
        <w:rPr>
          <w:color w:val="231F20"/>
          <w:spacing w:val="-52"/>
          <w:w w:val="105"/>
        </w:rPr>
        <w:t> </w:t>
      </w:r>
      <w:r>
        <w:rPr>
          <w:color w:val="231F20"/>
          <w:w w:val="105"/>
        </w:rPr>
        <w:t>smetteremmo</w:t>
      </w:r>
      <w:r>
        <w:rPr>
          <w:color w:val="231F20"/>
          <w:spacing w:val="-52"/>
          <w:w w:val="105"/>
        </w:rPr>
        <w:t> </w:t>
      </w:r>
      <w:r>
        <w:rPr>
          <w:color w:val="231F20"/>
          <w:w w:val="105"/>
        </w:rPr>
        <w:t>di</w:t>
      </w:r>
      <w:r>
        <w:rPr>
          <w:color w:val="231F20"/>
          <w:spacing w:val="-52"/>
          <w:w w:val="105"/>
        </w:rPr>
        <w:t> </w:t>
      </w:r>
      <w:r>
        <w:rPr>
          <w:color w:val="231F20"/>
          <w:w w:val="105"/>
        </w:rPr>
        <w:t>avvertire</w:t>
      </w:r>
      <w:r>
        <w:rPr>
          <w:color w:val="231F20"/>
          <w:spacing w:val="-52"/>
          <w:w w:val="105"/>
        </w:rPr>
        <w:t> </w:t>
      </w:r>
      <w:r>
        <w:rPr>
          <w:color w:val="231F20"/>
          <w:w w:val="105"/>
        </w:rPr>
        <w:t>gli</w:t>
      </w:r>
      <w:r>
        <w:rPr>
          <w:color w:val="231F20"/>
          <w:spacing w:val="-52"/>
          <w:w w:val="105"/>
        </w:rPr>
        <w:t> </w:t>
      </w:r>
      <w:r>
        <w:rPr>
          <w:color w:val="231F20"/>
          <w:w w:val="105"/>
        </w:rPr>
        <w:t>effetti</w:t>
      </w:r>
      <w:r>
        <w:rPr>
          <w:color w:val="231F20"/>
          <w:spacing w:val="-52"/>
          <w:w w:val="105"/>
        </w:rPr>
        <w:t> </w:t>
      </w:r>
      <w:r>
        <w:rPr>
          <w:color w:val="231F20"/>
          <w:w w:val="105"/>
        </w:rPr>
        <w:t>negativi e</w:t>
      </w:r>
      <w:r>
        <w:rPr>
          <w:color w:val="231F20"/>
          <w:spacing w:val="-39"/>
          <w:w w:val="105"/>
        </w:rPr>
        <w:t> </w:t>
      </w:r>
      <w:r>
        <w:rPr>
          <w:color w:val="231F20"/>
          <w:w w:val="105"/>
        </w:rPr>
        <w:t>ci</w:t>
      </w:r>
      <w:r>
        <w:rPr>
          <w:color w:val="231F20"/>
          <w:spacing w:val="-39"/>
          <w:w w:val="105"/>
        </w:rPr>
        <w:t> </w:t>
      </w:r>
      <w:r>
        <w:rPr>
          <w:color w:val="231F20"/>
          <w:w w:val="105"/>
        </w:rPr>
        <w:t>rassegneremmo</w:t>
      </w:r>
      <w:r>
        <w:rPr>
          <w:color w:val="231F20"/>
          <w:spacing w:val="-39"/>
          <w:w w:val="105"/>
        </w:rPr>
        <w:t> </w:t>
      </w:r>
      <w:r>
        <w:rPr>
          <w:color w:val="231F20"/>
          <w:w w:val="105"/>
        </w:rPr>
        <w:t>a</w:t>
      </w:r>
      <w:r>
        <w:rPr>
          <w:color w:val="231F20"/>
          <w:spacing w:val="-39"/>
          <w:w w:val="105"/>
        </w:rPr>
        <w:t> </w:t>
      </w:r>
      <w:r>
        <w:rPr>
          <w:color w:val="231F20"/>
          <w:w w:val="105"/>
        </w:rPr>
        <w:t>non</w:t>
      </w:r>
      <w:r>
        <w:rPr>
          <w:color w:val="231F20"/>
          <w:spacing w:val="-39"/>
          <w:w w:val="105"/>
        </w:rPr>
        <w:t> </w:t>
      </w:r>
      <w:r>
        <w:rPr>
          <w:color w:val="231F20"/>
          <w:w w:val="105"/>
        </w:rPr>
        <w:t>cercare</w:t>
      </w:r>
      <w:r>
        <w:rPr>
          <w:color w:val="231F20"/>
          <w:spacing w:val="-39"/>
          <w:w w:val="105"/>
        </w:rPr>
        <w:t> </w:t>
      </w:r>
      <w:r>
        <w:rPr>
          <w:color w:val="231F20"/>
          <w:w w:val="105"/>
        </w:rPr>
        <w:t>più</w:t>
      </w:r>
      <w:r>
        <w:rPr>
          <w:color w:val="231F20"/>
          <w:spacing w:val="-39"/>
          <w:w w:val="105"/>
        </w:rPr>
        <w:t> </w:t>
      </w:r>
      <w:r>
        <w:rPr>
          <w:color w:val="231F20"/>
          <w:w w:val="105"/>
        </w:rPr>
        <w:t>alternative.</w:t>
      </w:r>
    </w:p>
    <w:p>
      <w:pPr>
        <w:pStyle w:val="BodyText"/>
        <w:spacing w:line="247" w:lineRule="auto"/>
        <w:ind w:left="117" w:right="118" w:firstLine="566"/>
        <w:jc w:val="both"/>
      </w:pPr>
      <w:r>
        <w:rPr>
          <w:color w:val="231F20"/>
          <w:w w:val="105"/>
        </w:rPr>
        <w:t>Con</w:t>
      </w:r>
      <w:r>
        <w:rPr>
          <w:color w:val="231F20"/>
          <w:spacing w:val="-43"/>
          <w:w w:val="105"/>
        </w:rPr>
        <w:t> </w:t>
      </w:r>
      <w:r>
        <w:rPr>
          <w:color w:val="231F20"/>
          <w:spacing w:val="-3"/>
          <w:w w:val="105"/>
        </w:rPr>
        <w:t>tutto,</w:t>
      </w:r>
      <w:r>
        <w:rPr>
          <w:color w:val="231F20"/>
          <w:spacing w:val="-43"/>
          <w:w w:val="105"/>
        </w:rPr>
        <w:t> </w:t>
      </w:r>
      <w:r>
        <w:rPr>
          <w:color w:val="231F20"/>
          <w:w w:val="105"/>
        </w:rPr>
        <w:t>è</w:t>
      </w:r>
      <w:r>
        <w:rPr>
          <w:color w:val="231F20"/>
          <w:spacing w:val="-43"/>
          <w:w w:val="105"/>
        </w:rPr>
        <w:t> </w:t>
      </w:r>
      <w:r>
        <w:rPr>
          <w:color w:val="231F20"/>
          <w:spacing w:val="-3"/>
          <w:w w:val="105"/>
        </w:rPr>
        <w:t>innegabile</w:t>
      </w:r>
      <w:r>
        <w:rPr>
          <w:color w:val="231F20"/>
          <w:spacing w:val="-43"/>
          <w:w w:val="105"/>
        </w:rPr>
        <w:t> </w:t>
      </w:r>
      <w:r>
        <w:rPr>
          <w:color w:val="231F20"/>
          <w:w w:val="105"/>
        </w:rPr>
        <w:t>che</w:t>
      </w:r>
      <w:r>
        <w:rPr>
          <w:color w:val="231F20"/>
          <w:spacing w:val="-43"/>
          <w:w w:val="105"/>
        </w:rPr>
        <w:t> </w:t>
      </w:r>
      <w:r>
        <w:rPr>
          <w:color w:val="231F20"/>
          <w:spacing w:val="-3"/>
          <w:w w:val="105"/>
        </w:rPr>
        <w:t>l’espansione,</w:t>
      </w:r>
      <w:r>
        <w:rPr>
          <w:color w:val="231F20"/>
          <w:spacing w:val="-43"/>
          <w:w w:val="105"/>
        </w:rPr>
        <w:t> </w:t>
      </w:r>
      <w:r>
        <w:rPr>
          <w:color w:val="231F20"/>
          <w:spacing w:val="-3"/>
          <w:w w:val="105"/>
        </w:rPr>
        <w:t>l’esplorazione,</w:t>
      </w:r>
      <w:r>
        <w:rPr>
          <w:color w:val="231F20"/>
          <w:spacing w:val="-43"/>
          <w:w w:val="105"/>
        </w:rPr>
        <w:t> </w:t>
      </w:r>
      <w:r>
        <w:rPr>
          <w:color w:val="231F20"/>
          <w:w w:val="105"/>
        </w:rPr>
        <w:t>la</w:t>
      </w:r>
      <w:r>
        <w:rPr>
          <w:color w:val="231F20"/>
          <w:spacing w:val="-43"/>
          <w:w w:val="105"/>
        </w:rPr>
        <w:t> </w:t>
      </w:r>
      <w:r>
        <w:rPr>
          <w:color w:val="231F20"/>
          <w:spacing w:val="-3"/>
          <w:w w:val="105"/>
        </w:rPr>
        <w:t>migrazione, </w:t>
      </w:r>
      <w:r>
        <w:rPr>
          <w:color w:val="231F20"/>
          <w:w w:val="105"/>
        </w:rPr>
        <w:t>la</w:t>
      </w:r>
      <w:r>
        <w:rPr>
          <w:color w:val="231F20"/>
          <w:spacing w:val="-30"/>
          <w:w w:val="105"/>
        </w:rPr>
        <w:t> </w:t>
      </w:r>
      <w:r>
        <w:rPr>
          <w:color w:val="231F20"/>
          <w:w w:val="105"/>
        </w:rPr>
        <w:t>conquista,</w:t>
      </w:r>
      <w:r>
        <w:rPr>
          <w:color w:val="231F20"/>
          <w:spacing w:val="-30"/>
          <w:w w:val="105"/>
        </w:rPr>
        <w:t> </w:t>
      </w:r>
      <w:r>
        <w:rPr>
          <w:color w:val="231F20"/>
          <w:w w:val="105"/>
        </w:rPr>
        <w:t>lo</w:t>
      </w:r>
      <w:r>
        <w:rPr>
          <w:color w:val="231F20"/>
          <w:spacing w:val="-30"/>
          <w:w w:val="105"/>
        </w:rPr>
        <w:t> </w:t>
      </w:r>
      <w:r>
        <w:rPr>
          <w:color w:val="231F20"/>
          <w:w w:val="105"/>
        </w:rPr>
        <w:t>scambio,</w:t>
      </w:r>
      <w:r>
        <w:rPr>
          <w:color w:val="231F20"/>
          <w:spacing w:val="-30"/>
          <w:w w:val="105"/>
        </w:rPr>
        <w:t> </w:t>
      </w:r>
      <w:r>
        <w:rPr>
          <w:color w:val="231F20"/>
          <w:w w:val="105"/>
        </w:rPr>
        <w:t>la</w:t>
      </w:r>
      <w:r>
        <w:rPr>
          <w:color w:val="231F20"/>
          <w:spacing w:val="-30"/>
          <w:w w:val="105"/>
        </w:rPr>
        <w:t> </w:t>
      </w:r>
      <w:r>
        <w:rPr>
          <w:color w:val="231F20"/>
          <w:w w:val="105"/>
        </w:rPr>
        <w:t>dominazione</w:t>
      </w:r>
      <w:r>
        <w:rPr>
          <w:color w:val="231F20"/>
          <w:spacing w:val="-30"/>
          <w:w w:val="105"/>
        </w:rPr>
        <w:t> </w:t>
      </w:r>
      <w:r>
        <w:rPr>
          <w:color w:val="231F20"/>
          <w:w w:val="105"/>
        </w:rPr>
        <w:t>e</w:t>
      </w:r>
      <w:r>
        <w:rPr>
          <w:color w:val="231F20"/>
          <w:spacing w:val="-30"/>
          <w:w w:val="105"/>
        </w:rPr>
        <w:t> </w:t>
      </w:r>
      <w:r>
        <w:rPr>
          <w:color w:val="231F20"/>
          <w:w w:val="105"/>
        </w:rPr>
        <w:t>l’influenza,</w:t>
      </w:r>
      <w:r>
        <w:rPr>
          <w:color w:val="231F20"/>
          <w:spacing w:val="-30"/>
          <w:w w:val="105"/>
        </w:rPr>
        <w:t> </w:t>
      </w:r>
      <w:r>
        <w:rPr>
          <w:color w:val="231F20"/>
          <w:w w:val="105"/>
        </w:rPr>
        <w:t>tra</w:t>
      </w:r>
      <w:r>
        <w:rPr>
          <w:color w:val="231F20"/>
          <w:spacing w:val="-30"/>
          <w:w w:val="105"/>
        </w:rPr>
        <w:t> </w:t>
      </w:r>
      <w:r>
        <w:rPr>
          <w:color w:val="231F20"/>
          <w:w w:val="105"/>
        </w:rPr>
        <w:t>molte</w:t>
      </w:r>
      <w:r>
        <w:rPr>
          <w:color w:val="231F20"/>
          <w:spacing w:val="-30"/>
          <w:w w:val="105"/>
        </w:rPr>
        <w:t> </w:t>
      </w:r>
      <w:r>
        <w:rPr>
          <w:color w:val="231F20"/>
          <w:w w:val="105"/>
        </w:rPr>
        <w:t>altre</w:t>
      </w:r>
      <w:r>
        <w:rPr>
          <w:color w:val="231F20"/>
          <w:spacing w:val="-30"/>
          <w:w w:val="105"/>
        </w:rPr>
        <w:t> </w:t>
      </w:r>
      <w:r>
        <w:rPr>
          <w:color w:val="231F20"/>
          <w:w w:val="105"/>
        </w:rPr>
        <w:t>cose, sono</w:t>
      </w:r>
      <w:r>
        <w:rPr>
          <w:color w:val="231F20"/>
          <w:spacing w:val="-49"/>
          <w:w w:val="105"/>
        </w:rPr>
        <w:t> </w:t>
      </w:r>
      <w:r>
        <w:rPr>
          <w:color w:val="231F20"/>
          <w:w w:val="105"/>
        </w:rPr>
        <w:t>parte</w:t>
      </w:r>
      <w:r>
        <w:rPr>
          <w:color w:val="231F20"/>
          <w:spacing w:val="-49"/>
          <w:w w:val="105"/>
        </w:rPr>
        <w:t> </w:t>
      </w:r>
      <w:r>
        <w:rPr>
          <w:color w:val="231F20"/>
          <w:w w:val="105"/>
        </w:rPr>
        <w:t>intrinseca</w:t>
      </w:r>
      <w:r>
        <w:rPr>
          <w:color w:val="231F20"/>
          <w:spacing w:val="-49"/>
          <w:w w:val="105"/>
        </w:rPr>
        <w:t> </w:t>
      </w:r>
      <w:r>
        <w:rPr>
          <w:color w:val="231F20"/>
          <w:w w:val="105"/>
        </w:rPr>
        <w:t>della</w:t>
      </w:r>
      <w:r>
        <w:rPr>
          <w:color w:val="231F20"/>
          <w:spacing w:val="-49"/>
          <w:w w:val="105"/>
        </w:rPr>
        <w:t> </w:t>
      </w:r>
      <w:r>
        <w:rPr>
          <w:color w:val="231F20"/>
          <w:w w:val="105"/>
        </w:rPr>
        <w:t>storia</w:t>
      </w:r>
      <w:r>
        <w:rPr>
          <w:color w:val="231F20"/>
          <w:spacing w:val="-49"/>
          <w:w w:val="105"/>
        </w:rPr>
        <w:t> </w:t>
      </w:r>
      <w:r>
        <w:rPr>
          <w:color w:val="231F20"/>
          <w:w w:val="105"/>
        </w:rPr>
        <w:t>dell’umanità,</w:t>
      </w:r>
      <w:r>
        <w:rPr>
          <w:color w:val="231F20"/>
          <w:spacing w:val="-49"/>
          <w:w w:val="105"/>
        </w:rPr>
        <w:t> </w:t>
      </w:r>
      <w:r>
        <w:rPr>
          <w:color w:val="231F20"/>
          <w:w w:val="105"/>
        </w:rPr>
        <w:t>del</w:t>
      </w:r>
      <w:r>
        <w:rPr>
          <w:color w:val="231F20"/>
          <w:spacing w:val="-49"/>
          <w:w w:val="105"/>
        </w:rPr>
        <w:t> </w:t>
      </w:r>
      <w:r>
        <w:rPr>
          <w:color w:val="231F20"/>
          <w:w w:val="105"/>
        </w:rPr>
        <w:t>modo</w:t>
      </w:r>
      <w:r>
        <w:rPr>
          <w:color w:val="231F20"/>
          <w:spacing w:val="-49"/>
          <w:w w:val="105"/>
        </w:rPr>
        <w:t> </w:t>
      </w:r>
      <w:r>
        <w:rPr>
          <w:color w:val="231F20"/>
          <w:w w:val="105"/>
        </w:rPr>
        <w:t>in</w:t>
      </w:r>
      <w:r>
        <w:rPr>
          <w:color w:val="231F20"/>
          <w:spacing w:val="-49"/>
          <w:w w:val="105"/>
        </w:rPr>
        <w:t> </w:t>
      </w:r>
      <w:r>
        <w:rPr>
          <w:color w:val="231F20"/>
          <w:w w:val="105"/>
        </w:rPr>
        <w:t>cui</w:t>
      </w:r>
      <w:r>
        <w:rPr>
          <w:color w:val="231F20"/>
          <w:spacing w:val="-49"/>
          <w:w w:val="105"/>
        </w:rPr>
        <w:t> </w:t>
      </w:r>
      <w:r>
        <w:rPr>
          <w:color w:val="231F20"/>
          <w:w w:val="105"/>
        </w:rPr>
        <w:t>i</w:t>
      </w:r>
      <w:r>
        <w:rPr>
          <w:color w:val="231F20"/>
          <w:spacing w:val="-49"/>
          <w:w w:val="105"/>
        </w:rPr>
        <w:t> </w:t>
      </w:r>
      <w:r>
        <w:rPr>
          <w:color w:val="231F20"/>
          <w:w w:val="105"/>
        </w:rPr>
        <w:t>gruppi</w:t>
      </w:r>
      <w:r>
        <w:rPr>
          <w:color w:val="231F20"/>
          <w:spacing w:val="-49"/>
          <w:w w:val="105"/>
        </w:rPr>
        <w:t> </w:t>
      </w:r>
      <w:r>
        <w:rPr>
          <w:color w:val="231F20"/>
          <w:w w:val="105"/>
        </w:rPr>
        <w:t>umani si</w:t>
      </w:r>
      <w:r>
        <w:rPr>
          <w:color w:val="231F20"/>
          <w:spacing w:val="-42"/>
          <w:w w:val="105"/>
        </w:rPr>
        <w:t> </w:t>
      </w:r>
      <w:r>
        <w:rPr>
          <w:color w:val="231F20"/>
          <w:w w:val="105"/>
        </w:rPr>
        <w:t>relazionano</w:t>
      </w:r>
      <w:r>
        <w:rPr>
          <w:color w:val="231F20"/>
          <w:spacing w:val="-42"/>
          <w:w w:val="105"/>
        </w:rPr>
        <w:t> </w:t>
      </w:r>
      <w:r>
        <w:rPr>
          <w:color w:val="231F20"/>
          <w:w w:val="105"/>
        </w:rPr>
        <w:t>tra</w:t>
      </w:r>
      <w:r>
        <w:rPr>
          <w:color w:val="231F20"/>
          <w:spacing w:val="-42"/>
          <w:w w:val="105"/>
        </w:rPr>
        <w:t> </w:t>
      </w:r>
      <w:r>
        <w:rPr>
          <w:color w:val="231F20"/>
          <w:w w:val="105"/>
        </w:rPr>
        <w:t>loro</w:t>
      </w:r>
      <w:r>
        <w:rPr>
          <w:color w:val="231F20"/>
          <w:spacing w:val="-42"/>
          <w:w w:val="105"/>
        </w:rPr>
        <w:t> </w:t>
      </w:r>
      <w:r>
        <w:rPr>
          <w:color w:val="231F20"/>
          <w:w w:val="105"/>
        </w:rPr>
        <w:t>e</w:t>
      </w:r>
      <w:r>
        <w:rPr>
          <w:color w:val="231F20"/>
          <w:spacing w:val="-42"/>
          <w:w w:val="105"/>
        </w:rPr>
        <w:t> </w:t>
      </w:r>
      <w:r>
        <w:rPr>
          <w:color w:val="231F20"/>
          <w:w w:val="105"/>
        </w:rPr>
        <w:t>di</w:t>
      </w:r>
      <w:r>
        <w:rPr>
          <w:color w:val="231F20"/>
          <w:spacing w:val="-42"/>
          <w:w w:val="105"/>
        </w:rPr>
        <w:t> </w:t>
      </w:r>
      <w:r>
        <w:rPr>
          <w:color w:val="231F20"/>
          <w:w w:val="105"/>
        </w:rPr>
        <w:t>come</w:t>
      </w:r>
      <w:r>
        <w:rPr>
          <w:color w:val="231F20"/>
          <w:spacing w:val="-42"/>
          <w:w w:val="105"/>
        </w:rPr>
        <w:t> </w:t>
      </w:r>
      <w:r>
        <w:rPr>
          <w:color w:val="231F20"/>
          <w:w w:val="105"/>
        </w:rPr>
        <w:t>si</w:t>
      </w:r>
      <w:r>
        <w:rPr>
          <w:color w:val="231F20"/>
          <w:spacing w:val="-42"/>
          <w:w w:val="105"/>
        </w:rPr>
        <w:t> </w:t>
      </w:r>
      <w:r>
        <w:rPr>
          <w:color w:val="231F20"/>
          <w:w w:val="105"/>
        </w:rPr>
        <w:t>connettono</w:t>
      </w:r>
      <w:r>
        <w:rPr>
          <w:color w:val="231F20"/>
          <w:spacing w:val="-42"/>
          <w:w w:val="105"/>
        </w:rPr>
        <w:t> </w:t>
      </w:r>
      <w:r>
        <w:rPr>
          <w:color w:val="231F20"/>
          <w:w w:val="105"/>
        </w:rPr>
        <w:t>con</w:t>
      </w:r>
      <w:r>
        <w:rPr>
          <w:color w:val="231F20"/>
          <w:spacing w:val="-42"/>
          <w:w w:val="105"/>
        </w:rPr>
        <w:t> </w:t>
      </w:r>
      <w:r>
        <w:rPr>
          <w:color w:val="231F20"/>
          <w:w w:val="105"/>
        </w:rPr>
        <w:t>la</w:t>
      </w:r>
      <w:r>
        <w:rPr>
          <w:color w:val="231F20"/>
          <w:spacing w:val="-42"/>
          <w:w w:val="105"/>
        </w:rPr>
        <w:t> </w:t>
      </w:r>
      <w:r>
        <w:rPr>
          <w:color w:val="231F20"/>
          <w:w w:val="105"/>
        </w:rPr>
        <w:t>terra.</w:t>
      </w:r>
      <w:r>
        <w:rPr>
          <w:color w:val="231F20"/>
          <w:spacing w:val="-42"/>
          <w:w w:val="105"/>
        </w:rPr>
        <w:t> </w:t>
      </w:r>
      <w:r>
        <w:rPr>
          <w:color w:val="231F20"/>
          <w:w w:val="105"/>
        </w:rPr>
        <w:t>Questa</w:t>
      </w:r>
      <w:r>
        <w:rPr>
          <w:color w:val="231F20"/>
          <w:spacing w:val="-42"/>
          <w:w w:val="105"/>
        </w:rPr>
        <w:t> </w:t>
      </w:r>
      <w:r>
        <w:rPr>
          <w:color w:val="231F20"/>
          <w:w w:val="105"/>
        </w:rPr>
        <w:t>dinamica umana</w:t>
      </w:r>
      <w:r>
        <w:rPr>
          <w:color w:val="231F20"/>
          <w:spacing w:val="-31"/>
          <w:w w:val="105"/>
        </w:rPr>
        <w:t> </w:t>
      </w:r>
      <w:r>
        <w:rPr>
          <w:color w:val="231F20"/>
          <w:w w:val="105"/>
        </w:rPr>
        <w:t>legata</w:t>
      </w:r>
      <w:r>
        <w:rPr>
          <w:color w:val="231F20"/>
          <w:spacing w:val="-31"/>
          <w:w w:val="105"/>
        </w:rPr>
        <w:t> </w:t>
      </w:r>
      <w:r>
        <w:rPr>
          <w:color w:val="231F20"/>
          <w:w w:val="105"/>
        </w:rPr>
        <w:t>all’espansione,</w:t>
      </w:r>
      <w:r>
        <w:rPr>
          <w:color w:val="231F20"/>
          <w:spacing w:val="-31"/>
          <w:w w:val="105"/>
        </w:rPr>
        <w:t> </w:t>
      </w:r>
      <w:r>
        <w:rPr>
          <w:color w:val="231F20"/>
          <w:w w:val="105"/>
        </w:rPr>
        <w:t>alla</w:t>
      </w:r>
      <w:r>
        <w:rPr>
          <w:color w:val="231F20"/>
          <w:spacing w:val="-31"/>
          <w:w w:val="105"/>
        </w:rPr>
        <w:t> </w:t>
      </w:r>
      <w:r>
        <w:rPr>
          <w:color w:val="231F20"/>
          <w:w w:val="105"/>
        </w:rPr>
        <w:t>creazione</w:t>
      </w:r>
      <w:r>
        <w:rPr>
          <w:color w:val="231F20"/>
          <w:spacing w:val="-31"/>
          <w:w w:val="105"/>
        </w:rPr>
        <w:t> </w:t>
      </w:r>
      <w:r>
        <w:rPr>
          <w:color w:val="231F20"/>
          <w:w w:val="105"/>
        </w:rPr>
        <w:t>di</w:t>
      </w:r>
      <w:r>
        <w:rPr>
          <w:color w:val="231F20"/>
          <w:spacing w:val="-31"/>
          <w:w w:val="105"/>
        </w:rPr>
        <w:t> </w:t>
      </w:r>
      <w:r>
        <w:rPr>
          <w:color w:val="231F20"/>
          <w:w w:val="105"/>
        </w:rPr>
        <w:t>tragitti</w:t>
      </w:r>
      <w:r>
        <w:rPr>
          <w:color w:val="231F20"/>
          <w:spacing w:val="-31"/>
          <w:w w:val="105"/>
        </w:rPr>
        <w:t> </w:t>
      </w:r>
      <w:r>
        <w:rPr>
          <w:color w:val="231F20"/>
          <w:w w:val="105"/>
        </w:rPr>
        <w:t>e</w:t>
      </w:r>
      <w:r>
        <w:rPr>
          <w:color w:val="231F20"/>
          <w:spacing w:val="-31"/>
          <w:w w:val="105"/>
        </w:rPr>
        <w:t> </w:t>
      </w:r>
      <w:r>
        <w:rPr>
          <w:color w:val="231F20"/>
          <w:w w:val="105"/>
        </w:rPr>
        <w:t>alla</w:t>
      </w:r>
      <w:r>
        <w:rPr>
          <w:color w:val="231F20"/>
          <w:spacing w:val="-31"/>
          <w:w w:val="105"/>
        </w:rPr>
        <w:t> </w:t>
      </w:r>
      <w:r>
        <w:rPr>
          <w:color w:val="231F20"/>
          <w:w w:val="105"/>
        </w:rPr>
        <w:t>colonizzazione di</w:t>
      </w:r>
      <w:r>
        <w:rPr>
          <w:color w:val="231F20"/>
          <w:spacing w:val="-24"/>
          <w:w w:val="105"/>
        </w:rPr>
        <w:t> </w:t>
      </w:r>
      <w:r>
        <w:rPr>
          <w:color w:val="231F20"/>
          <w:w w:val="105"/>
        </w:rPr>
        <w:t>nuovi</w:t>
      </w:r>
      <w:r>
        <w:rPr>
          <w:color w:val="231F20"/>
          <w:spacing w:val="-24"/>
          <w:w w:val="105"/>
        </w:rPr>
        <w:t> </w:t>
      </w:r>
      <w:r>
        <w:rPr>
          <w:color w:val="231F20"/>
          <w:w w:val="105"/>
        </w:rPr>
        <w:t>territori</w:t>
      </w:r>
      <w:r>
        <w:rPr>
          <w:color w:val="231F20"/>
          <w:spacing w:val="-24"/>
          <w:w w:val="105"/>
        </w:rPr>
        <w:t> </w:t>
      </w:r>
      <w:r>
        <w:rPr>
          <w:color w:val="231F20"/>
          <w:w w:val="105"/>
        </w:rPr>
        <w:t>non</w:t>
      </w:r>
      <w:r>
        <w:rPr>
          <w:color w:val="231F20"/>
          <w:spacing w:val="-24"/>
          <w:w w:val="105"/>
        </w:rPr>
        <w:t> </w:t>
      </w:r>
      <w:r>
        <w:rPr>
          <w:color w:val="231F20"/>
          <w:w w:val="105"/>
        </w:rPr>
        <w:t>è</w:t>
      </w:r>
      <w:r>
        <w:rPr>
          <w:color w:val="231F20"/>
          <w:spacing w:val="-24"/>
          <w:w w:val="105"/>
        </w:rPr>
        <w:t> </w:t>
      </w:r>
      <w:r>
        <w:rPr>
          <w:color w:val="231F20"/>
          <w:w w:val="105"/>
        </w:rPr>
        <w:t>stata</w:t>
      </w:r>
      <w:r>
        <w:rPr>
          <w:color w:val="231F20"/>
          <w:spacing w:val="-24"/>
          <w:w w:val="105"/>
        </w:rPr>
        <w:t> </w:t>
      </w:r>
      <w:r>
        <w:rPr>
          <w:color w:val="231F20"/>
          <w:w w:val="105"/>
        </w:rPr>
        <w:t>una</w:t>
      </w:r>
      <w:r>
        <w:rPr>
          <w:color w:val="231F20"/>
          <w:spacing w:val="-24"/>
          <w:w w:val="105"/>
        </w:rPr>
        <w:t> </w:t>
      </w:r>
      <w:r>
        <w:rPr>
          <w:color w:val="231F20"/>
          <w:w w:val="105"/>
        </w:rPr>
        <w:t>guida</w:t>
      </w:r>
      <w:r>
        <w:rPr>
          <w:color w:val="231F20"/>
          <w:spacing w:val="-24"/>
          <w:w w:val="105"/>
        </w:rPr>
        <w:t> </w:t>
      </w:r>
      <w:r>
        <w:rPr>
          <w:color w:val="231F20"/>
          <w:w w:val="105"/>
        </w:rPr>
        <w:t>con</w:t>
      </w:r>
      <w:r>
        <w:rPr>
          <w:color w:val="231F20"/>
          <w:spacing w:val="-24"/>
          <w:w w:val="105"/>
        </w:rPr>
        <w:t> </w:t>
      </w:r>
      <w:r>
        <w:rPr>
          <w:color w:val="231F20"/>
          <w:w w:val="105"/>
        </w:rPr>
        <w:t>un</w:t>
      </w:r>
      <w:r>
        <w:rPr>
          <w:color w:val="231F20"/>
          <w:spacing w:val="-24"/>
          <w:w w:val="105"/>
        </w:rPr>
        <w:t> </w:t>
      </w:r>
      <w:r>
        <w:rPr>
          <w:color w:val="231F20"/>
          <w:w w:val="105"/>
        </w:rPr>
        <w:t>segno</w:t>
      </w:r>
      <w:r>
        <w:rPr>
          <w:color w:val="231F20"/>
          <w:spacing w:val="-24"/>
          <w:w w:val="105"/>
        </w:rPr>
        <w:t> </w:t>
      </w:r>
      <w:r>
        <w:rPr>
          <w:color w:val="231F20"/>
          <w:w w:val="105"/>
        </w:rPr>
        <w:t>meramente</w:t>
      </w:r>
      <w:r>
        <w:rPr>
          <w:color w:val="231F20"/>
          <w:spacing w:val="-24"/>
          <w:w w:val="105"/>
        </w:rPr>
        <w:t> </w:t>
      </w:r>
      <w:r>
        <w:rPr>
          <w:color w:val="231F20"/>
          <w:w w:val="105"/>
        </w:rPr>
        <w:t>positivo,</w:t>
      </w:r>
    </w:p>
    <w:p>
      <w:pPr>
        <w:pStyle w:val="BodyText"/>
        <w:spacing w:before="11"/>
        <w:rPr>
          <w:sz w:val="26"/>
        </w:rPr>
      </w:pPr>
      <w:r>
        <w:rPr/>
        <w:pict>
          <v:line style="position:absolute;mso-position-horizontal-relative:page;mso-position-vertical-relative:paragraph;z-index:11032;mso-wrap-distance-left:0;mso-wrap-distance-right:0" from="70.866203pt,18.388882pt" to="184.252203pt,18.388882pt" stroked="true" strokeweight=".3pt" strokecolor="#231f20">
            <w10:wrap type="topAndBottom"/>
          </v:line>
        </w:pict>
      </w:r>
    </w:p>
    <w:p>
      <w:pPr>
        <w:spacing w:before="10"/>
        <w:ind w:left="117" w:right="0" w:firstLine="0"/>
        <w:jc w:val="left"/>
        <w:rPr>
          <w:rFonts w:ascii="Calibri" w:hAnsi="Calibri"/>
          <w:sz w:val="17"/>
        </w:rPr>
      </w:pPr>
      <w:r>
        <w:rPr>
          <w:rFonts w:ascii="Calibri" w:hAnsi="Calibri"/>
          <w:color w:val="231F20"/>
          <w:position w:val="6"/>
          <w:sz w:val="10"/>
        </w:rPr>
        <w:t>1 </w:t>
      </w:r>
      <w:r>
        <w:rPr>
          <w:rFonts w:ascii="Calibri" w:hAnsi="Calibri"/>
          <w:color w:val="231F20"/>
          <w:sz w:val="17"/>
        </w:rPr>
        <w:t>M. Reder, </w:t>
      </w:r>
      <w:r>
        <w:rPr>
          <w:rFonts w:ascii="Calibri" w:hAnsi="Calibri"/>
          <w:i/>
          <w:color w:val="231F20"/>
          <w:sz w:val="17"/>
        </w:rPr>
        <w:t>Globalización y filosofía, </w:t>
      </w:r>
      <w:r>
        <w:rPr>
          <w:rFonts w:ascii="Calibri" w:hAnsi="Calibri"/>
          <w:color w:val="231F20"/>
          <w:sz w:val="17"/>
        </w:rPr>
        <w:t>Madrid, Herder, 2012, p. 11.</w:t>
      </w:r>
    </w:p>
    <w:p>
      <w:pPr>
        <w:spacing w:after="0"/>
        <w:jc w:val="left"/>
        <w:rPr>
          <w:rFonts w:ascii="Calibri" w:hAnsi="Calibri"/>
          <w:sz w:val="17"/>
        </w:rPr>
        <w:sectPr>
          <w:pgSz w:w="9640" w:h="13890"/>
          <w:pgMar w:top="1300" w:bottom="280" w:left="1300" w:right="1180"/>
        </w:sectPr>
      </w:pPr>
    </w:p>
    <w:p>
      <w:pPr>
        <w:pStyle w:val="BodyText"/>
        <w:spacing w:line="247" w:lineRule="auto" w:before="107"/>
        <w:ind w:left="103" w:right="107"/>
        <w:jc w:val="both"/>
      </w:pPr>
      <w:r>
        <w:rPr>
          <w:color w:val="231F20"/>
        </w:rPr>
        <w:t>dato che a tutta espansione ha seguito prima o poi una ritrazione; tutta territorializzazione è stata accompagnata di deterritorializzazione; a tutto attraversamento delle frontiere, l’innalzamento di nuovi limiti; a tutto</w:t>
      </w:r>
      <w:r>
        <w:rPr>
          <w:color w:val="231F20"/>
          <w:spacing w:val="-46"/>
        </w:rPr>
        <w:t> </w:t>
      </w:r>
      <w:r>
        <w:rPr>
          <w:color w:val="231F20"/>
        </w:rPr>
        <w:t>gesto di avanzamento, un gesto di ritiro; a tutto nomadismo, un momento di sedentarietà, ecc. Già Paul Virilio</w:t>
      </w:r>
      <w:r>
        <w:rPr>
          <w:color w:val="231F20"/>
          <w:position w:val="7"/>
          <w:sz w:val="12"/>
        </w:rPr>
        <w:t>2 </w:t>
      </w:r>
      <w:r>
        <w:rPr>
          <w:color w:val="231F20"/>
        </w:rPr>
        <w:t>diceva che l’umanità è stata costruita  nel tragitto, nel processo graduale attraverso il quale gli uomini, andando da un posto all’altro —molte volte senza sapere dove sarebbero finiti—, si connessero</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terra</w:t>
      </w:r>
      <w:r>
        <w:rPr>
          <w:color w:val="231F20"/>
          <w:spacing w:val="-13"/>
        </w:rPr>
        <w:t> </w:t>
      </w:r>
      <w:r>
        <w:rPr>
          <w:color w:val="231F20"/>
        </w:rPr>
        <w:t>e</w:t>
      </w:r>
      <w:r>
        <w:rPr>
          <w:color w:val="231F20"/>
          <w:spacing w:val="-13"/>
        </w:rPr>
        <w:t> </w:t>
      </w:r>
      <w:r>
        <w:rPr>
          <w:color w:val="231F20"/>
        </w:rPr>
        <w:t>i</w:t>
      </w:r>
      <w:r>
        <w:rPr>
          <w:color w:val="231F20"/>
          <w:spacing w:val="-13"/>
        </w:rPr>
        <w:t> </w:t>
      </w:r>
      <w:r>
        <w:rPr>
          <w:color w:val="231F20"/>
        </w:rPr>
        <w:t>suoi</w:t>
      </w:r>
      <w:r>
        <w:rPr>
          <w:color w:val="231F20"/>
          <w:spacing w:val="-13"/>
        </w:rPr>
        <w:t> </w:t>
      </w:r>
      <w:r>
        <w:rPr>
          <w:color w:val="231F20"/>
        </w:rPr>
        <w:t>diversi</w:t>
      </w:r>
      <w:r>
        <w:rPr>
          <w:color w:val="231F20"/>
          <w:spacing w:val="-13"/>
        </w:rPr>
        <w:t> </w:t>
      </w:r>
      <w:r>
        <w:rPr>
          <w:color w:val="231F20"/>
        </w:rPr>
        <w:t>climi,</w:t>
      </w:r>
      <w:r>
        <w:rPr>
          <w:color w:val="231F20"/>
          <w:spacing w:val="-13"/>
        </w:rPr>
        <w:t> </w:t>
      </w:r>
      <w:r>
        <w:rPr>
          <w:color w:val="231F20"/>
        </w:rPr>
        <w:t>fauna,</w:t>
      </w:r>
      <w:r>
        <w:rPr>
          <w:color w:val="231F20"/>
          <w:spacing w:val="-13"/>
        </w:rPr>
        <w:t> </w:t>
      </w:r>
      <w:r>
        <w:rPr>
          <w:color w:val="231F20"/>
        </w:rPr>
        <w:t>abitudini,</w:t>
      </w:r>
      <w:r>
        <w:rPr>
          <w:color w:val="231F20"/>
          <w:spacing w:val="-13"/>
        </w:rPr>
        <w:t> </w:t>
      </w:r>
      <w:r>
        <w:rPr>
          <w:color w:val="231F20"/>
        </w:rPr>
        <w:t>ecc.</w:t>
      </w:r>
      <w:r>
        <w:rPr>
          <w:color w:val="231F20"/>
          <w:spacing w:val="-13"/>
        </w:rPr>
        <w:t> </w:t>
      </w:r>
      <w:r>
        <w:rPr>
          <w:color w:val="231F20"/>
        </w:rPr>
        <w:t>In</w:t>
      </w:r>
      <w:r>
        <w:rPr>
          <w:color w:val="231F20"/>
          <w:spacing w:val="-13"/>
        </w:rPr>
        <w:t> </w:t>
      </w:r>
      <w:r>
        <w:rPr>
          <w:color w:val="231F20"/>
        </w:rPr>
        <w:t>questo processo di dilazione si formò l’umanità, —al tempo che si espandeva e differenziava— e con questo anche gli esseri umani territorializzarono una </w:t>
      </w:r>
      <w:r>
        <w:rPr>
          <w:color w:val="231F20"/>
          <w:spacing w:val="-3"/>
        </w:rPr>
        <w:t>terra</w:t>
      </w:r>
      <w:r>
        <w:rPr>
          <w:color w:val="231F20"/>
          <w:spacing w:val="-24"/>
        </w:rPr>
        <w:t> </w:t>
      </w:r>
      <w:r>
        <w:rPr>
          <w:color w:val="231F20"/>
          <w:spacing w:val="-3"/>
        </w:rPr>
        <w:t>che,</w:t>
      </w:r>
      <w:r>
        <w:rPr>
          <w:color w:val="231F20"/>
          <w:spacing w:val="-24"/>
        </w:rPr>
        <w:t> </w:t>
      </w:r>
      <w:r>
        <w:rPr>
          <w:color w:val="231F20"/>
        </w:rPr>
        <w:t>con</w:t>
      </w:r>
      <w:r>
        <w:rPr>
          <w:color w:val="231F20"/>
          <w:spacing w:val="-24"/>
        </w:rPr>
        <w:t> </w:t>
      </w:r>
      <w:r>
        <w:rPr>
          <w:color w:val="231F20"/>
          <w:spacing w:val="-3"/>
        </w:rPr>
        <w:t>tutto,</w:t>
      </w:r>
      <w:r>
        <w:rPr>
          <w:color w:val="231F20"/>
          <w:spacing w:val="-24"/>
        </w:rPr>
        <w:t> </w:t>
      </w:r>
      <w:r>
        <w:rPr>
          <w:color w:val="231F20"/>
        </w:rPr>
        <w:t>non</w:t>
      </w:r>
      <w:r>
        <w:rPr>
          <w:color w:val="231F20"/>
          <w:spacing w:val="-24"/>
        </w:rPr>
        <w:t> </w:t>
      </w:r>
      <w:r>
        <w:rPr>
          <w:color w:val="231F20"/>
        </w:rPr>
        <w:t>si</w:t>
      </w:r>
      <w:r>
        <w:rPr>
          <w:color w:val="231F20"/>
          <w:spacing w:val="-24"/>
        </w:rPr>
        <w:t> </w:t>
      </w:r>
      <w:r>
        <w:rPr>
          <w:color w:val="231F20"/>
        </w:rPr>
        <w:t>può</w:t>
      </w:r>
      <w:r>
        <w:rPr>
          <w:color w:val="231F20"/>
          <w:spacing w:val="-24"/>
        </w:rPr>
        <w:t> </w:t>
      </w:r>
      <w:r>
        <w:rPr>
          <w:color w:val="231F20"/>
        </w:rPr>
        <w:t>mai</w:t>
      </w:r>
      <w:r>
        <w:rPr>
          <w:color w:val="231F20"/>
          <w:spacing w:val="-24"/>
        </w:rPr>
        <w:t> </w:t>
      </w:r>
      <w:r>
        <w:rPr>
          <w:color w:val="231F20"/>
          <w:spacing w:val="-3"/>
        </w:rPr>
        <w:t>totalizzare</w:t>
      </w:r>
      <w:r>
        <w:rPr>
          <w:color w:val="231F20"/>
          <w:spacing w:val="-24"/>
        </w:rPr>
        <w:t> </w:t>
      </w:r>
      <w:r>
        <w:rPr>
          <w:color w:val="231F20"/>
          <w:spacing w:val="-3"/>
        </w:rPr>
        <w:t>sotto</w:t>
      </w:r>
      <w:r>
        <w:rPr>
          <w:color w:val="231F20"/>
          <w:spacing w:val="-24"/>
        </w:rPr>
        <w:t> </w:t>
      </w:r>
      <w:r>
        <w:rPr>
          <w:color w:val="231F20"/>
          <w:spacing w:val="-3"/>
        </w:rPr>
        <w:t>nessun</w:t>
      </w:r>
      <w:r>
        <w:rPr>
          <w:color w:val="231F20"/>
          <w:spacing w:val="-24"/>
        </w:rPr>
        <w:t> </w:t>
      </w:r>
      <w:r>
        <w:rPr>
          <w:color w:val="231F20"/>
          <w:spacing w:val="-3"/>
        </w:rPr>
        <w:t>tragitto</w:t>
      </w:r>
      <w:r>
        <w:rPr>
          <w:color w:val="231F20"/>
          <w:spacing w:val="-24"/>
        </w:rPr>
        <w:t> </w:t>
      </w:r>
      <w:r>
        <w:rPr>
          <w:color w:val="231F20"/>
          <w:spacing w:val="-3"/>
        </w:rPr>
        <w:t>umano.</w:t>
      </w:r>
      <w:r>
        <w:rPr>
          <w:color w:val="231F20"/>
          <w:spacing w:val="-24"/>
        </w:rPr>
        <w:t> </w:t>
      </w:r>
      <w:r>
        <w:rPr>
          <w:color w:val="231F20"/>
          <w:spacing w:val="-3"/>
        </w:rPr>
        <w:t>In questo</w:t>
      </w:r>
      <w:r>
        <w:rPr>
          <w:color w:val="231F20"/>
          <w:spacing w:val="-18"/>
        </w:rPr>
        <w:t> </w:t>
      </w:r>
      <w:r>
        <w:rPr>
          <w:color w:val="231F20"/>
          <w:spacing w:val="-3"/>
        </w:rPr>
        <w:t>senso,</w:t>
      </w:r>
      <w:r>
        <w:rPr>
          <w:color w:val="231F20"/>
          <w:spacing w:val="-18"/>
        </w:rPr>
        <w:t> </w:t>
      </w:r>
      <w:r>
        <w:rPr>
          <w:color w:val="231F20"/>
          <w:spacing w:val="-3"/>
        </w:rPr>
        <w:t>all’umanità</w:t>
      </w:r>
      <w:r>
        <w:rPr>
          <w:color w:val="231F20"/>
          <w:spacing w:val="-18"/>
        </w:rPr>
        <w:t> </w:t>
      </w:r>
      <w:r>
        <w:rPr>
          <w:color w:val="231F20"/>
          <w:spacing w:val="-3"/>
        </w:rPr>
        <w:t>sono</w:t>
      </w:r>
      <w:r>
        <w:rPr>
          <w:color w:val="231F20"/>
          <w:spacing w:val="-18"/>
        </w:rPr>
        <w:t> </w:t>
      </w:r>
      <w:r>
        <w:rPr>
          <w:color w:val="231F20"/>
          <w:spacing w:val="-3"/>
        </w:rPr>
        <w:t>intrinseci</w:t>
      </w:r>
      <w:r>
        <w:rPr>
          <w:color w:val="231F20"/>
          <w:spacing w:val="-18"/>
        </w:rPr>
        <w:t> </w:t>
      </w:r>
      <w:r>
        <w:rPr>
          <w:color w:val="231F20"/>
        </w:rPr>
        <w:t>i</w:t>
      </w:r>
      <w:r>
        <w:rPr>
          <w:color w:val="231F20"/>
          <w:spacing w:val="-18"/>
        </w:rPr>
        <w:t> </w:t>
      </w:r>
      <w:r>
        <w:rPr>
          <w:color w:val="231F20"/>
          <w:spacing w:val="-3"/>
        </w:rPr>
        <w:t>suoi</w:t>
      </w:r>
      <w:r>
        <w:rPr>
          <w:color w:val="231F20"/>
          <w:spacing w:val="-18"/>
        </w:rPr>
        <w:t> </w:t>
      </w:r>
      <w:r>
        <w:rPr>
          <w:color w:val="231F20"/>
          <w:spacing w:val="-3"/>
        </w:rPr>
        <w:t>tragitti</w:t>
      </w:r>
      <w:r>
        <w:rPr>
          <w:color w:val="231F20"/>
          <w:spacing w:val="-18"/>
        </w:rPr>
        <w:t> </w:t>
      </w:r>
      <w:r>
        <w:rPr>
          <w:color w:val="231F20"/>
        </w:rPr>
        <w:t>e</w:t>
      </w:r>
      <w:r>
        <w:rPr>
          <w:color w:val="231F20"/>
          <w:spacing w:val="-18"/>
        </w:rPr>
        <w:t> </w:t>
      </w:r>
      <w:r>
        <w:rPr>
          <w:color w:val="231F20"/>
        </w:rPr>
        <w:t>con</w:t>
      </w:r>
      <w:r>
        <w:rPr>
          <w:color w:val="231F20"/>
          <w:spacing w:val="-18"/>
        </w:rPr>
        <w:t> </w:t>
      </w:r>
      <w:r>
        <w:rPr>
          <w:color w:val="231F20"/>
          <w:spacing w:val="-3"/>
        </w:rPr>
        <w:t>loro,</w:t>
      </w:r>
      <w:r>
        <w:rPr>
          <w:color w:val="231F20"/>
          <w:spacing w:val="-18"/>
        </w:rPr>
        <w:t> </w:t>
      </w:r>
      <w:r>
        <w:rPr>
          <w:color w:val="231F20"/>
        </w:rPr>
        <w:t>i</w:t>
      </w:r>
      <w:r>
        <w:rPr>
          <w:color w:val="231F20"/>
          <w:spacing w:val="-18"/>
        </w:rPr>
        <w:t> </w:t>
      </w:r>
      <w:r>
        <w:rPr>
          <w:color w:val="231F20"/>
          <w:spacing w:val="-3"/>
        </w:rPr>
        <w:t>flussi</w:t>
      </w:r>
      <w:r>
        <w:rPr>
          <w:color w:val="231F20"/>
          <w:spacing w:val="-18"/>
        </w:rPr>
        <w:t> </w:t>
      </w:r>
      <w:r>
        <w:rPr>
          <w:color w:val="231F20"/>
          <w:spacing w:val="-3"/>
        </w:rPr>
        <w:t>aperti </w:t>
      </w:r>
      <w:r>
        <w:rPr>
          <w:color w:val="231F20"/>
        </w:rPr>
        <w:t>di</w:t>
      </w:r>
      <w:r>
        <w:rPr>
          <w:color w:val="231F20"/>
          <w:spacing w:val="-12"/>
        </w:rPr>
        <w:t> </w:t>
      </w:r>
      <w:r>
        <w:rPr>
          <w:color w:val="231F20"/>
        </w:rPr>
        <w:t>persone,</w:t>
      </w:r>
      <w:r>
        <w:rPr>
          <w:color w:val="231F20"/>
          <w:spacing w:val="-12"/>
        </w:rPr>
        <w:t> </w:t>
      </w:r>
      <w:r>
        <w:rPr>
          <w:color w:val="231F20"/>
        </w:rPr>
        <w:t>di</w:t>
      </w:r>
      <w:r>
        <w:rPr>
          <w:color w:val="231F20"/>
          <w:spacing w:val="-12"/>
        </w:rPr>
        <w:t> </w:t>
      </w:r>
      <w:r>
        <w:rPr>
          <w:color w:val="231F20"/>
        </w:rPr>
        <w:t>cibo,</w:t>
      </w:r>
      <w:r>
        <w:rPr>
          <w:color w:val="231F20"/>
          <w:spacing w:val="-12"/>
        </w:rPr>
        <w:t> </w:t>
      </w:r>
      <w:r>
        <w:rPr>
          <w:color w:val="231F20"/>
        </w:rPr>
        <w:t>di</w:t>
      </w:r>
      <w:r>
        <w:rPr>
          <w:color w:val="231F20"/>
          <w:spacing w:val="-12"/>
        </w:rPr>
        <w:t> </w:t>
      </w:r>
      <w:r>
        <w:rPr>
          <w:color w:val="231F20"/>
        </w:rPr>
        <w:t>animali,</w:t>
      </w:r>
      <w:r>
        <w:rPr>
          <w:color w:val="231F20"/>
          <w:spacing w:val="-12"/>
        </w:rPr>
        <w:t> </w:t>
      </w:r>
      <w:r>
        <w:rPr>
          <w:color w:val="231F20"/>
        </w:rPr>
        <w:t>di</w:t>
      </w:r>
      <w:r>
        <w:rPr>
          <w:color w:val="231F20"/>
          <w:spacing w:val="-12"/>
        </w:rPr>
        <w:t> </w:t>
      </w:r>
      <w:r>
        <w:rPr>
          <w:color w:val="231F20"/>
        </w:rPr>
        <w:t>simboli,</w:t>
      </w:r>
      <w:r>
        <w:rPr>
          <w:color w:val="231F20"/>
          <w:spacing w:val="-12"/>
        </w:rPr>
        <w:t> </w:t>
      </w:r>
      <w:r>
        <w:rPr>
          <w:color w:val="231F20"/>
        </w:rPr>
        <w:t>di</w:t>
      </w:r>
      <w:r>
        <w:rPr>
          <w:color w:val="231F20"/>
          <w:spacing w:val="-12"/>
        </w:rPr>
        <w:t> </w:t>
      </w:r>
      <w:r>
        <w:rPr>
          <w:color w:val="231F20"/>
        </w:rPr>
        <w:t>cultura,</w:t>
      </w:r>
      <w:r>
        <w:rPr>
          <w:color w:val="231F20"/>
          <w:spacing w:val="-12"/>
        </w:rPr>
        <w:t> </w:t>
      </w:r>
      <w:r>
        <w:rPr>
          <w:color w:val="231F20"/>
        </w:rPr>
        <w:t>di</w:t>
      </w:r>
      <w:r>
        <w:rPr>
          <w:color w:val="231F20"/>
          <w:spacing w:val="-12"/>
        </w:rPr>
        <w:t> </w:t>
      </w:r>
      <w:r>
        <w:rPr>
          <w:color w:val="231F20"/>
        </w:rPr>
        <w:t>denaro,</w:t>
      </w:r>
      <w:r>
        <w:rPr>
          <w:color w:val="231F20"/>
          <w:spacing w:val="-12"/>
        </w:rPr>
        <w:t> </w:t>
      </w:r>
      <w:r>
        <w:rPr>
          <w:color w:val="231F20"/>
        </w:rPr>
        <w:t>ecc.</w:t>
      </w:r>
      <w:r>
        <w:rPr>
          <w:color w:val="231F20"/>
          <w:spacing w:val="-12"/>
        </w:rPr>
        <w:t> </w:t>
      </w:r>
      <w:r>
        <w:rPr>
          <w:color w:val="231F20"/>
        </w:rPr>
        <w:t>La</w:t>
      </w:r>
      <w:r>
        <w:rPr>
          <w:color w:val="231F20"/>
          <w:spacing w:val="-12"/>
        </w:rPr>
        <w:t> </w:t>
      </w:r>
      <w:r>
        <w:rPr>
          <w:color w:val="231F20"/>
        </w:rPr>
        <w:t>storia dell’umanizzazione</w:t>
      </w:r>
      <w:r>
        <w:rPr>
          <w:color w:val="231F20"/>
          <w:spacing w:val="-13"/>
        </w:rPr>
        <w:t> </w:t>
      </w:r>
      <w:r>
        <w:rPr>
          <w:color w:val="231F20"/>
        </w:rPr>
        <w:t>non</w:t>
      </w:r>
      <w:r>
        <w:rPr>
          <w:color w:val="231F20"/>
          <w:spacing w:val="-13"/>
        </w:rPr>
        <w:t> </w:t>
      </w:r>
      <w:r>
        <w:rPr>
          <w:color w:val="231F20"/>
        </w:rPr>
        <w:t>si</w:t>
      </w:r>
      <w:r>
        <w:rPr>
          <w:color w:val="231F20"/>
          <w:spacing w:val="-13"/>
        </w:rPr>
        <w:t> </w:t>
      </w:r>
      <w:r>
        <w:rPr>
          <w:color w:val="231F20"/>
        </w:rPr>
        <w:t>può</w:t>
      </w:r>
      <w:r>
        <w:rPr>
          <w:color w:val="231F20"/>
          <w:spacing w:val="-13"/>
        </w:rPr>
        <w:t> </w:t>
      </w:r>
      <w:r>
        <w:rPr>
          <w:color w:val="231F20"/>
        </w:rPr>
        <w:t>svincolare</w:t>
      </w:r>
      <w:r>
        <w:rPr>
          <w:color w:val="231F20"/>
          <w:spacing w:val="-13"/>
        </w:rPr>
        <w:t> </w:t>
      </w:r>
      <w:r>
        <w:rPr>
          <w:color w:val="231F20"/>
        </w:rPr>
        <w:t>dalla</w:t>
      </w:r>
      <w:r>
        <w:rPr>
          <w:color w:val="231F20"/>
          <w:spacing w:val="-13"/>
        </w:rPr>
        <w:t> </w:t>
      </w:r>
      <w:r>
        <w:rPr>
          <w:color w:val="231F20"/>
        </w:rPr>
        <w:t>migrazione.</w:t>
      </w:r>
      <w:r>
        <w:rPr>
          <w:color w:val="231F20"/>
          <w:spacing w:val="-13"/>
        </w:rPr>
        <w:t> </w:t>
      </w:r>
      <w:r>
        <w:rPr>
          <w:color w:val="231F20"/>
        </w:rPr>
        <w:t>Circa</w:t>
      </w:r>
      <w:r>
        <w:rPr>
          <w:color w:val="231F20"/>
          <w:spacing w:val="-13"/>
        </w:rPr>
        <w:t> </w:t>
      </w:r>
      <w:r>
        <w:rPr>
          <w:color w:val="231F20"/>
        </w:rPr>
        <w:t>due</w:t>
      </w:r>
      <w:r>
        <w:rPr>
          <w:color w:val="231F20"/>
          <w:spacing w:val="-13"/>
        </w:rPr>
        <w:t> </w:t>
      </w:r>
      <w:r>
        <w:rPr>
          <w:color w:val="231F20"/>
        </w:rPr>
        <w:t>milioni di</w:t>
      </w:r>
      <w:r>
        <w:rPr>
          <w:color w:val="231F20"/>
          <w:spacing w:val="-16"/>
        </w:rPr>
        <w:t> </w:t>
      </w:r>
      <w:r>
        <w:rPr>
          <w:color w:val="231F20"/>
          <w:spacing w:val="-3"/>
        </w:rPr>
        <w:t>anni</w:t>
      </w:r>
      <w:r>
        <w:rPr>
          <w:color w:val="231F20"/>
          <w:spacing w:val="-16"/>
        </w:rPr>
        <w:t> </w:t>
      </w:r>
      <w:r>
        <w:rPr>
          <w:color w:val="231F20"/>
        </w:rPr>
        <w:t>fa</w:t>
      </w:r>
      <w:r>
        <w:rPr>
          <w:color w:val="231F20"/>
          <w:spacing w:val="-16"/>
        </w:rPr>
        <w:t> </w:t>
      </w:r>
      <w:r>
        <w:rPr>
          <w:color w:val="231F20"/>
          <w:spacing w:val="-3"/>
        </w:rPr>
        <w:t>l’</w:t>
      </w:r>
      <w:r>
        <w:rPr>
          <w:rFonts w:ascii="Arial" w:hAnsi="Arial"/>
          <w:i/>
          <w:color w:val="231F20"/>
          <w:spacing w:val="-3"/>
        </w:rPr>
        <w:t>Homo</w:t>
      </w:r>
      <w:r>
        <w:rPr>
          <w:rFonts w:ascii="Arial" w:hAnsi="Arial"/>
          <w:i/>
          <w:color w:val="231F20"/>
          <w:spacing w:val="-9"/>
        </w:rPr>
        <w:t> </w:t>
      </w:r>
      <w:r>
        <w:rPr>
          <w:rFonts w:ascii="Arial" w:hAnsi="Arial"/>
          <w:i/>
          <w:color w:val="231F20"/>
          <w:spacing w:val="-3"/>
        </w:rPr>
        <w:t>ergaster</w:t>
      </w:r>
      <w:r>
        <w:rPr>
          <w:rFonts w:ascii="Arial" w:hAnsi="Arial"/>
          <w:i/>
          <w:color w:val="231F20"/>
          <w:spacing w:val="-10"/>
        </w:rPr>
        <w:t> </w:t>
      </w:r>
      <w:r>
        <w:rPr>
          <w:color w:val="231F20"/>
          <w:spacing w:val="-3"/>
        </w:rPr>
        <w:t>uscì</w:t>
      </w:r>
      <w:r>
        <w:rPr>
          <w:color w:val="231F20"/>
          <w:spacing w:val="-16"/>
        </w:rPr>
        <w:t> </w:t>
      </w:r>
      <w:r>
        <w:rPr>
          <w:color w:val="231F20"/>
          <w:spacing w:val="-3"/>
        </w:rPr>
        <w:t>dall’Africa</w:t>
      </w:r>
      <w:r>
        <w:rPr>
          <w:color w:val="231F20"/>
          <w:spacing w:val="-16"/>
        </w:rPr>
        <w:t> </w:t>
      </w:r>
      <w:r>
        <w:rPr>
          <w:color w:val="231F20"/>
        </w:rPr>
        <w:t>per</w:t>
      </w:r>
      <w:r>
        <w:rPr>
          <w:color w:val="231F20"/>
          <w:spacing w:val="-16"/>
        </w:rPr>
        <w:t> </w:t>
      </w:r>
      <w:r>
        <w:rPr>
          <w:color w:val="231F20"/>
          <w:spacing w:val="-4"/>
        </w:rPr>
        <w:t>andare</w:t>
      </w:r>
      <w:r>
        <w:rPr>
          <w:color w:val="231F20"/>
          <w:spacing w:val="-16"/>
        </w:rPr>
        <w:t> </w:t>
      </w:r>
      <w:r>
        <w:rPr>
          <w:color w:val="231F20"/>
        </w:rPr>
        <w:t>sul</w:t>
      </w:r>
      <w:r>
        <w:rPr>
          <w:color w:val="231F20"/>
          <w:spacing w:val="-16"/>
        </w:rPr>
        <w:t> </w:t>
      </w:r>
      <w:r>
        <w:rPr>
          <w:color w:val="231F20"/>
          <w:spacing w:val="-4"/>
        </w:rPr>
        <w:t>prossimo</w:t>
      </w:r>
      <w:r>
        <w:rPr>
          <w:color w:val="231F20"/>
          <w:spacing w:val="-16"/>
        </w:rPr>
        <w:t> </w:t>
      </w:r>
      <w:r>
        <w:rPr>
          <w:color w:val="231F20"/>
          <w:spacing w:val="-3"/>
        </w:rPr>
        <w:t>oriente</w:t>
      </w:r>
      <w:r>
        <w:rPr>
          <w:color w:val="231F20"/>
          <w:spacing w:val="-16"/>
        </w:rPr>
        <w:t> </w:t>
      </w:r>
      <w:r>
        <w:rPr>
          <w:color w:val="231F20"/>
        </w:rPr>
        <w:t>e</w:t>
      </w:r>
      <w:r>
        <w:rPr>
          <w:color w:val="231F20"/>
          <w:spacing w:val="-16"/>
        </w:rPr>
        <w:t> </w:t>
      </w:r>
      <w:r>
        <w:rPr>
          <w:color w:val="231F20"/>
          <w:spacing w:val="-3"/>
        </w:rPr>
        <w:t>da </w:t>
      </w:r>
      <w:r>
        <w:rPr>
          <w:color w:val="231F20"/>
        </w:rPr>
        <w:t>lì</w:t>
      </w:r>
      <w:r>
        <w:rPr>
          <w:color w:val="231F20"/>
          <w:spacing w:val="-7"/>
        </w:rPr>
        <w:t> </w:t>
      </w:r>
      <w:r>
        <w:rPr>
          <w:color w:val="231F20"/>
        </w:rPr>
        <w:t>continuarono</w:t>
      </w:r>
      <w:r>
        <w:rPr>
          <w:color w:val="231F20"/>
          <w:spacing w:val="-7"/>
        </w:rPr>
        <w:t> </w:t>
      </w:r>
      <w:r>
        <w:rPr>
          <w:color w:val="231F20"/>
        </w:rPr>
        <w:t>senza</w:t>
      </w:r>
      <w:r>
        <w:rPr>
          <w:color w:val="231F20"/>
          <w:spacing w:val="-7"/>
        </w:rPr>
        <w:t> </w:t>
      </w:r>
      <w:r>
        <w:rPr>
          <w:color w:val="231F20"/>
        </w:rPr>
        <w:t>fermarsi</w:t>
      </w:r>
      <w:r>
        <w:rPr>
          <w:color w:val="231F20"/>
          <w:spacing w:val="-7"/>
        </w:rPr>
        <w:t> </w:t>
      </w:r>
      <w:r>
        <w:rPr>
          <w:color w:val="231F20"/>
        </w:rPr>
        <w:t>migrazioni</w:t>
      </w:r>
      <w:r>
        <w:rPr>
          <w:color w:val="231F20"/>
          <w:spacing w:val="-7"/>
        </w:rPr>
        <w:t> </w:t>
      </w:r>
      <w:r>
        <w:rPr>
          <w:color w:val="231F20"/>
        </w:rPr>
        <w:t>verso</w:t>
      </w:r>
      <w:r>
        <w:rPr>
          <w:color w:val="231F20"/>
          <w:spacing w:val="-7"/>
        </w:rPr>
        <w:t> </w:t>
      </w:r>
      <w:r>
        <w:rPr>
          <w:color w:val="231F20"/>
        </w:rPr>
        <w:t>l’Europa</w:t>
      </w:r>
      <w:r>
        <w:rPr>
          <w:color w:val="231F20"/>
          <w:spacing w:val="-7"/>
        </w:rPr>
        <w:t> </w:t>
      </w:r>
      <w:r>
        <w:rPr>
          <w:color w:val="231F20"/>
        </w:rPr>
        <w:t>e</w:t>
      </w:r>
      <w:r>
        <w:rPr>
          <w:color w:val="231F20"/>
          <w:spacing w:val="-7"/>
        </w:rPr>
        <w:t> </w:t>
      </w:r>
      <w:r>
        <w:rPr>
          <w:color w:val="231F20"/>
        </w:rPr>
        <w:t>l’Asia</w:t>
      </w:r>
      <w:r>
        <w:rPr>
          <w:color w:val="231F20"/>
          <w:position w:val="7"/>
          <w:sz w:val="12"/>
        </w:rPr>
        <w:t>3</w:t>
      </w:r>
      <w:r>
        <w:rPr>
          <w:color w:val="231F20"/>
        </w:rPr>
        <w:t>.</w:t>
      </w:r>
      <w:r>
        <w:rPr>
          <w:color w:val="231F20"/>
          <w:spacing w:val="-7"/>
        </w:rPr>
        <w:t> </w:t>
      </w:r>
      <w:r>
        <w:rPr>
          <w:color w:val="231F20"/>
        </w:rPr>
        <w:t>Ma</w:t>
      </w:r>
      <w:r>
        <w:rPr>
          <w:color w:val="231F20"/>
          <w:spacing w:val="-7"/>
        </w:rPr>
        <w:t> </w:t>
      </w:r>
      <w:r>
        <w:rPr>
          <w:color w:val="231F20"/>
        </w:rPr>
        <w:t>questi tragitti risposero sempre a una doppia logica, non aprirono una traiettoria senza</w:t>
      </w:r>
      <w:r>
        <w:rPr>
          <w:color w:val="231F20"/>
          <w:spacing w:val="-24"/>
        </w:rPr>
        <w:t> </w:t>
      </w:r>
      <w:r>
        <w:rPr>
          <w:color w:val="231F20"/>
          <w:spacing w:val="-3"/>
        </w:rPr>
        <w:t>chiudere</w:t>
      </w:r>
      <w:r>
        <w:rPr>
          <w:color w:val="231F20"/>
          <w:spacing w:val="-24"/>
        </w:rPr>
        <w:t> </w:t>
      </w:r>
      <w:r>
        <w:rPr>
          <w:color w:val="231F20"/>
        </w:rPr>
        <w:t>un’altra,</w:t>
      </w:r>
      <w:r>
        <w:rPr>
          <w:color w:val="231F20"/>
          <w:spacing w:val="-24"/>
        </w:rPr>
        <w:t> </w:t>
      </w:r>
      <w:r>
        <w:rPr>
          <w:color w:val="231F20"/>
        </w:rPr>
        <w:t>non</w:t>
      </w:r>
      <w:r>
        <w:rPr>
          <w:color w:val="231F20"/>
          <w:spacing w:val="-24"/>
        </w:rPr>
        <w:t> </w:t>
      </w:r>
      <w:r>
        <w:rPr>
          <w:color w:val="231F20"/>
          <w:spacing w:val="-3"/>
        </w:rPr>
        <w:t>forgiarono</w:t>
      </w:r>
      <w:r>
        <w:rPr>
          <w:color w:val="231F20"/>
          <w:spacing w:val="-24"/>
        </w:rPr>
        <w:t> </w:t>
      </w:r>
      <w:r>
        <w:rPr>
          <w:color w:val="231F20"/>
        </w:rPr>
        <w:t>territori</w:t>
      </w:r>
      <w:r>
        <w:rPr>
          <w:color w:val="231F20"/>
          <w:spacing w:val="-24"/>
        </w:rPr>
        <w:t> </w:t>
      </w:r>
      <w:r>
        <w:rPr>
          <w:color w:val="231F20"/>
        </w:rPr>
        <w:t>senza</w:t>
      </w:r>
      <w:r>
        <w:rPr>
          <w:color w:val="231F20"/>
          <w:spacing w:val="-24"/>
        </w:rPr>
        <w:t> </w:t>
      </w:r>
      <w:r>
        <w:rPr>
          <w:color w:val="231F20"/>
          <w:spacing w:val="-2"/>
        </w:rPr>
        <w:t>deterritorializzare</w:t>
      </w:r>
      <w:r>
        <w:rPr>
          <w:color w:val="231F20"/>
          <w:spacing w:val="-24"/>
        </w:rPr>
        <w:t> </w:t>
      </w:r>
      <w:r>
        <w:rPr>
          <w:color w:val="231F20"/>
        </w:rPr>
        <w:t>altri, non conquistarono senza aprire allo stesso tempo una soglia di reciproca influenza con quello conquistato. In questo modo, se il tragitto è</w:t>
      </w:r>
      <w:r>
        <w:rPr>
          <w:color w:val="231F20"/>
          <w:spacing w:val="-40"/>
        </w:rPr>
        <w:t> </w:t>
      </w:r>
      <w:r>
        <w:rPr>
          <w:color w:val="231F20"/>
        </w:rPr>
        <w:t>intrinseco alla storia dell’umanità, i flussi sono intrinseci a tutto tragitto, flussi </w:t>
      </w:r>
      <w:r>
        <w:rPr>
          <w:color w:val="231F20"/>
          <w:spacing w:val="2"/>
        </w:rPr>
        <w:t>che </w:t>
      </w:r>
      <w:r>
        <w:rPr>
          <w:color w:val="231F20"/>
        </w:rPr>
        <w:t>non vanno in un solo senso, che sono al meno bidirezionali. Da </w:t>
      </w:r>
      <w:r>
        <w:rPr>
          <w:color w:val="231F20"/>
          <w:spacing w:val="2"/>
        </w:rPr>
        <w:t>questa </w:t>
      </w:r>
      <w:r>
        <w:rPr>
          <w:color w:val="231F20"/>
          <w:spacing w:val="3"/>
        </w:rPr>
        <w:t>prospettiva, </w:t>
      </w:r>
      <w:r>
        <w:rPr>
          <w:color w:val="231F20"/>
        </w:rPr>
        <w:t>la </w:t>
      </w:r>
      <w:r>
        <w:rPr>
          <w:color w:val="231F20"/>
          <w:spacing w:val="3"/>
        </w:rPr>
        <w:t>globalizzazione </w:t>
      </w:r>
      <w:r>
        <w:rPr>
          <w:color w:val="231F20"/>
          <w:spacing w:val="2"/>
        </w:rPr>
        <w:t>non </w:t>
      </w:r>
      <w:r>
        <w:rPr>
          <w:color w:val="231F20"/>
          <w:spacing w:val="3"/>
        </w:rPr>
        <w:t>significherebbe </w:t>
      </w:r>
      <w:r>
        <w:rPr>
          <w:color w:val="231F20"/>
        </w:rPr>
        <w:t>un mero </w:t>
      </w:r>
      <w:r>
        <w:rPr>
          <w:color w:val="231F20"/>
          <w:spacing w:val="3"/>
        </w:rPr>
        <w:t>processo </w:t>
      </w:r>
      <w:r>
        <w:rPr>
          <w:color w:val="231F20"/>
        </w:rPr>
        <w:t>espansivo, </w:t>
      </w:r>
      <w:r>
        <w:rPr>
          <w:color w:val="231F20"/>
          <w:spacing w:val="-3"/>
        </w:rPr>
        <w:t>integratore oppure </w:t>
      </w:r>
      <w:r>
        <w:rPr>
          <w:color w:val="231F20"/>
        </w:rPr>
        <w:t>omogeneizzante, ma </w:t>
      </w:r>
      <w:r>
        <w:rPr>
          <w:color w:val="231F20"/>
          <w:spacing w:val="-3"/>
        </w:rPr>
        <w:t>prenderebbe </w:t>
      </w:r>
      <w:r>
        <w:rPr>
          <w:color w:val="231F20"/>
        </w:rPr>
        <w:t>una forma complessa</w:t>
      </w:r>
      <w:r>
        <w:rPr>
          <w:color w:val="231F20"/>
          <w:spacing w:val="-10"/>
        </w:rPr>
        <w:t> </w:t>
      </w:r>
      <w:r>
        <w:rPr>
          <w:color w:val="231F20"/>
        </w:rPr>
        <w:t>che</w:t>
      </w:r>
      <w:r>
        <w:rPr>
          <w:color w:val="231F20"/>
          <w:spacing w:val="-10"/>
        </w:rPr>
        <w:t> </w:t>
      </w:r>
      <w:r>
        <w:rPr>
          <w:color w:val="231F20"/>
        </w:rPr>
        <w:t>include</w:t>
      </w:r>
      <w:r>
        <w:rPr>
          <w:color w:val="231F20"/>
          <w:spacing w:val="-10"/>
        </w:rPr>
        <w:t> </w:t>
      </w:r>
      <w:r>
        <w:rPr>
          <w:color w:val="231F20"/>
        </w:rPr>
        <w:t>segni</w:t>
      </w:r>
      <w:r>
        <w:rPr>
          <w:color w:val="231F20"/>
          <w:spacing w:val="-10"/>
        </w:rPr>
        <w:t> </w:t>
      </w:r>
      <w:r>
        <w:rPr>
          <w:color w:val="231F20"/>
        </w:rPr>
        <w:t>di</w:t>
      </w:r>
      <w:r>
        <w:rPr>
          <w:color w:val="231F20"/>
          <w:spacing w:val="-10"/>
        </w:rPr>
        <w:t> </w:t>
      </w:r>
      <w:r>
        <w:rPr>
          <w:color w:val="231F20"/>
        </w:rPr>
        <w:t>conio</w:t>
      </w:r>
      <w:r>
        <w:rPr>
          <w:color w:val="231F20"/>
          <w:spacing w:val="-10"/>
        </w:rPr>
        <w:t> </w:t>
      </w:r>
      <w:r>
        <w:rPr>
          <w:color w:val="231F20"/>
        </w:rPr>
        <w:t>molto</w:t>
      </w:r>
      <w:r>
        <w:rPr>
          <w:color w:val="231F20"/>
          <w:spacing w:val="-10"/>
        </w:rPr>
        <w:t> </w:t>
      </w:r>
      <w:r>
        <w:rPr>
          <w:color w:val="231F20"/>
        </w:rPr>
        <w:t>distinto,</w:t>
      </w:r>
      <w:r>
        <w:rPr>
          <w:color w:val="231F20"/>
          <w:spacing w:val="-10"/>
        </w:rPr>
        <w:t> </w:t>
      </w:r>
      <w:r>
        <w:rPr>
          <w:color w:val="231F20"/>
        </w:rPr>
        <w:t>a</w:t>
      </w:r>
      <w:r>
        <w:rPr>
          <w:color w:val="231F20"/>
          <w:spacing w:val="-10"/>
        </w:rPr>
        <w:t> </w:t>
      </w:r>
      <w:r>
        <w:rPr>
          <w:color w:val="231F20"/>
        </w:rPr>
        <w:t>volte</w:t>
      </w:r>
      <w:r>
        <w:rPr>
          <w:color w:val="231F20"/>
          <w:spacing w:val="-10"/>
        </w:rPr>
        <w:t> </w:t>
      </w:r>
      <w:r>
        <w:rPr>
          <w:color w:val="231F20"/>
        </w:rPr>
        <w:t>contraddittorio. Comunque, molte delle definizioni della globalizzazione hanno fatto enfasi </w:t>
      </w:r>
      <w:r>
        <w:rPr>
          <w:color w:val="231F20"/>
          <w:spacing w:val="-3"/>
        </w:rPr>
        <w:t>sulla prospettiva contraria, cioè, come fenomeno omogeneizzante </w:t>
      </w:r>
      <w:r>
        <w:rPr>
          <w:color w:val="231F20"/>
        </w:rPr>
        <w:t>che </w:t>
      </w:r>
      <w:r>
        <w:rPr>
          <w:color w:val="231F20"/>
          <w:spacing w:val="-3"/>
        </w:rPr>
        <w:t>scorre </w:t>
      </w:r>
      <w:r>
        <w:rPr>
          <w:color w:val="231F20"/>
        </w:rPr>
        <w:t>in una sola direzione. Come espone William Scheuerman, tradizionalmente la globalizzazione è stata vista come un fenomeno abbastanza omogeneo e unidirezionale, in cui sono state privilegiate le figure dell’espansione, la crescita, l’integrazione e</w:t>
      </w:r>
      <w:r>
        <w:rPr>
          <w:color w:val="231F20"/>
          <w:spacing w:val="21"/>
        </w:rPr>
        <w:t> </w:t>
      </w:r>
      <w:r>
        <w:rPr>
          <w:color w:val="231F20"/>
        </w:rPr>
        <w:t>l’unificazione.</w:t>
      </w:r>
    </w:p>
    <w:p>
      <w:pPr>
        <w:pStyle w:val="BodyText"/>
        <w:spacing w:before="10"/>
        <w:rPr>
          <w:sz w:val="22"/>
        </w:rPr>
      </w:pPr>
    </w:p>
    <w:p>
      <w:pPr>
        <w:spacing w:line="220" w:lineRule="exact" w:before="1"/>
        <w:ind w:left="1521" w:right="109" w:firstLine="0"/>
        <w:jc w:val="both"/>
        <w:rPr>
          <w:sz w:val="19"/>
        </w:rPr>
      </w:pPr>
      <w:r>
        <w:rPr>
          <w:color w:val="231F20"/>
          <w:spacing w:val="4"/>
          <w:w w:val="105"/>
          <w:sz w:val="19"/>
        </w:rPr>
        <w:t>Nel </w:t>
      </w:r>
      <w:r>
        <w:rPr>
          <w:color w:val="231F20"/>
          <w:spacing w:val="6"/>
          <w:w w:val="105"/>
          <w:sz w:val="19"/>
        </w:rPr>
        <w:t>discorso </w:t>
      </w:r>
      <w:r>
        <w:rPr>
          <w:color w:val="231F20"/>
          <w:spacing w:val="5"/>
          <w:w w:val="105"/>
          <w:sz w:val="19"/>
        </w:rPr>
        <w:t>popolare, </w:t>
      </w:r>
      <w:r>
        <w:rPr>
          <w:color w:val="231F20"/>
          <w:spacing w:val="3"/>
          <w:w w:val="105"/>
          <w:sz w:val="19"/>
        </w:rPr>
        <w:t>la </w:t>
      </w:r>
      <w:r>
        <w:rPr>
          <w:color w:val="231F20"/>
          <w:spacing w:val="6"/>
          <w:w w:val="105"/>
          <w:sz w:val="19"/>
        </w:rPr>
        <w:t>globalizzazione funciona </w:t>
      </w:r>
      <w:r>
        <w:rPr>
          <w:color w:val="231F20"/>
          <w:spacing w:val="7"/>
          <w:w w:val="105"/>
          <w:sz w:val="19"/>
        </w:rPr>
        <w:t>come </w:t>
      </w:r>
      <w:r>
        <w:rPr>
          <w:color w:val="231F20"/>
          <w:w w:val="105"/>
          <w:sz w:val="19"/>
        </w:rPr>
        <w:t>sinonimo di uno o più dei seguenti fenomeni: l’irruzione delle </w:t>
      </w:r>
      <w:r>
        <w:rPr>
          <w:color w:val="231F20"/>
          <w:spacing w:val="4"/>
          <w:w w:val="105"/>
          <w:sz w:val="19"/>
        </w:rPr>
        <w:t>politiche liberali classiche (“libero mercato”) </w:t>
      </w:r>
      <w:r>
        <w:rPr>
          <w:color w:val="231F20"/>
          <w:spacing w:val="5"/>
          <w:w w:val="105"/>
          <w:sz w:val="19"/>
        </w:rPr>
        <w:t>nell’economia </w:t>
      </w:r>
      <w:r>
        <w:rPr>
          <w:color w:val="231F20"/>
          <w:spacing w:val="2"/>
          <w:w w:val="105"/>
          <w:sz w:val="19"/>
        </w:rPr>
        <w:t>mondiale (“liberalizzazione economica”), </w:t>
      </w:r>
      <w:r>
        <w:rPr>
          <w:color w:val="231F20"/>
          <w:w w:val="105"/>
          <w:sz w:val="19"/>
        </w:rPr>
        <w:t>il </w:t>
      </w:r>
      <w:r>
        <w:rPr>
          <w:color w:val="231F20"/>
          <w:spacing w:val="2"/>
          <w:w w:val="105"/>
          <w:sz w:val="19"/>
        </w:rPr>
        <w:t>crescente dominio </w:t>
      </w:r>
      <w:r>
        <w:rPr>
          <w:color w:val="231F20"/>
          <w:w w:val="105"/>
          <w:sz w:val="19"/>
        </w:rPr>
        <w:t>delle</w:t>
      </w:r>
      <w:r>
        <w:rPr>
          <w:color w:val="231F20"/>
          <w:spacing w:val="-8"/>
          <w:w w:val="105"/>
          <w:sz w:val="19"/>
        </w:rPr>
        <w:t> </w:t>
      </w:r>
      <w:r>
        <w:rPr>
          <w:color w:val="231F20"/>
          <w:w w:val="105"/>
          <w:sz w:val="19"/>
        </w:rPr>
        <w:t>forme</w:t>
      </w:r>
      <w:r>
        <w:rPr>
          <w:color w:val="231F20"/>
          <w:spacing w:val="-8"/>
          <w:w w:val="105"/>
          <w:sz w:val="19"/>
        </w:rPr>
        <w:t> </w:t>
      </w:r>
      <w:r>
        <w:rPr>
          <w:color w:val="231F20"/>
          <w:w w:val="105"/>
          <w:sz w:val="19"/>
        </w:rPr>
        <w:t>occidentali</w:t>
      </w:r>
      <w:r>
        <w:rPr>
          <w:color w:val="231F20"/>
          <w:spacing w:val="-8"/>
          <w:w w:val="105"/>
          <w:sz w:val="19"/>
        </w:rPr>
        <w:t> </w:t>
      </w:r>
      <w:r>
        <w:rPr>
          <w:color w:val="231F20"/>
          <w:w w:val="105"/>
          <w:sz w:val="19"/>
        </w:rPr>
        <w:t>della</w:t>
      </w:r>
      <w:r>
        <w:rPr>
          <w:color w:val="231F20"/>
          <w:spacing w:val="-8"/>
          <w:w w:val="105"/>
          <w:sz w:val="19"/>
        </w:rPr>
        <w:t> </w:t>
      </w:r>
      <w:r>
        <w:rPr>
          <w:color w:val="231F20"/>
          <w:w w:val="105"/>
          <w:sz w:val="19"/>
        </w:rPr>
        <w:t>vita</w:t>
      </w:r>
      <w:r>
        <w:rPr>
          <w:color w:val="231F20"/>
          <w:spacing w:val="-8"/>
          <w:w w:val="105"/>
          <w:sz w:val="19"/>
        </w:rPr>
        <w:t> </w:t>
      </w:r>
      <w:r>
        <w:rPr>
          <w:color w:val="231F20"/>
          <w:w w:val="105"/>
          <w:sz w:val="19"/>
        </w:rPr>
        <w:t>politica,</w:t>
      </w:r>
      <w:r>
        <w:rPr>
          <w:color w:val="231F20"/>
          <w:spacing w:val="-8"/>
          <w:w w:val="105"/>
          <w:sz w:val="19"/>
        </w:rPr>
        <w:t> </w:t>
      </w:r>
      <w:r>
        <w:rPr>
          <w:color w:val="231F20"/>
          <w:w w:val="105"/>
          <w:sz w:val="19"/>
        </w:rPr>
        <w:t>economica</w:t>
      </w:r>
      <w:r>
        <w:rPr>
          <w:color w:val="231F20"/>
          <w:spacing w:val="-8"/>
          <w:w w:val="105"/>
          <w:sz w:val="19"/>
        </w:rPr>
        <w:t> </w:t>
      </w:r>
      <w:r>
        <w:rPr>
          <w:color w:val="231F20"/>
          <w:w w:val="105"/>
          <w:sz w:val="19"/>
        </w:rPr>
        <w:t>e</w:t>
      </w:r>
      <w:r>
        <w:rPr>
          <w:color w:val="231F20"/>
          <w:spacing w:val="-8"/>
          <w:w w:val="105"/>
          <w:sz w:val="19"/>
        </w:rPr>
        <w:t> </w:t>
      </w:r>
      <w:r>
        <w:rPr>
          <w:color w:val="231F20"/>
          <w:w w:val="105"/>
          <w:sz w:val="19"/>
        </w:rPr>
        <w:t>culturale (“occidentalizzazione”</w:t>
      </w:r>
      <w:r>
        <w:rPr>
          <w:color w:val="231F20"/>
          <w:spacing w:val="-40"/>
          <w:w w:val="105"/>
          <w:sz w:val="19"/>
        </w:rPr>
        <w:t> </w:t>
      </w:r>
      <w:r>
        <w:rPr>
          <w:color w:val="231F20"/>
          <w:w w:val="105"/>
          <w:sz w:val="19"/>
        </w:rPr>
        <w:t>o</w:t>
      </w:r>
      <w:r>
        <w:rPr>
          <w:color w:val="231F20"/>
          <w:spacing w:val="-40"/>
          <w:w w:val="105"/>
          <w:sz w:val="19"/>
        </w:rPr>
        <w:t> </w:t>
      </w:r>
      <w:r>
        <w:rPr>
          <w:color w:val="231F20"/>
          <w:w w:val="105"/>
          <w:sz w:val="19"/>
        </w:rPr>
        <w:t>“americanizzazione”),</w:t>
      </w:r>
      <w:r>
        <w:rPr>
          <w:color w:val="231F20"/>
          <w:spacing w:val="-40"/>
          <w:w w:val="105"/>
          <w:sz w:val="19"/>
        </w:rPr>
        <w:t> </w:t>
      </w:r>
      <w:r>
        <w:rPr>
          <w:color w:val="231F20"/>
          <w:w w:val="105"/>
          <w:sz w:val="19"/>
        </w:rPr>
        <w:t>la</w:t>
      </w:r>
      <w:r>
        <w:rPr>
          <w:color w:val="231F20"/>
          <w:spacing w:val="-40"/>
          <w:w w:val="105"/>
          <w:sz w:val="19"/>
        </w:rPr>
        <w:t> </w:t>
      </w:r>
      <w:r>
        <w:rPr>
          <w:color w:val="231F20"/>
          <w:w w:val="105"/>
          <w:sz w:val="19"/>
        </w:rPr>
        <w:t>proliferazione</w:t>
      </w:r>
      <w:r>
        <w:rPr>
          <w:color w:val="231F20"/>
          <w:spacing w:val="-40"/>
          <w:w w:val="105"/>
          <w:sz w:val="19"/>
        </w:rPr>
        <w:t> </w:t>
      </w:r>
      <w:r>
        <w:rPr>
          <w:color w:val="231F20"/>
          <w:w w:val="105"/>
          <w:sz w:val="19"/>
        </w:rPr>
        <w:t>di nuove</w:t>
      </w:r>
      <w:r>
        <w:rPr>
          <w:color w:val="231F20"/>
          <w:spacing w:val="-13"/>
          <w:w w:val="105"/>
          <w:sz w:val="19"/>
        </w:rPr>
        <w:t> </w:t>
      </w:r>
      <w:r>
        <w:rPr>
          <w:color w:val="231F20"/>
          <w:w w:val="105"/>
          <w:sz w:val="19"/>
        </w:rPr>
        <w:t>tecnologie</w:t>
      </w:r>
      <w:r>
        <w:rPr>
          <w:color w:val="231F20"/>
          <w:spacing w:val="-13"/>
          <w:w w:val="105"/>
          <w:sz w:val="19"/>
        </w:rPr>
        <w:t> </w:t>
      </w:r>
      <w:r>
        <w:rPr>
          <w:color w:val="231F20"/>
          <w:w w:val="105"/>
          <w:sz w:val="19"/>
        </w:rPr>
        <w:t>dell’informazione</w:t>
      </w:r>
      <w:r>
        <w:rPr>
          <w:color w:val="231F20"/>
          <w:spacing w:val="-13"/>
          <w:w w:val="105"/>
          <w:sz w:val="19"/>
        </w:rPr>
        <w:t> </w:t>
      </w:r>
      <w:r>
        <w:rPr>
          <w:color w:val="231F20"/>
          <w:w w:val="105"/>
          <w:sz w:val="19"/>
        </w:rPr>
        <w:t>(la</w:t>
      </w:r>
      <w:r>
        <w:rPr>
          <w:color w:val="231F20"/>
          <w:spacing w:val="-13"/>
          <w:w w:val="105"/>
          <w:sz w:val="19"/>
        </w:rPr>
        <w:t> </w:t>
      </w:r>
      <w:r>
        <w:rPr>
          <w:color w:val="231F20"/>
          <w:w w:val="105"/>
          <w:sz w:val="19"/>
        </w:rPr>
        <w:t>“rivoluzione</w:t>
      </w:r>
      <w:r>
        <w:rPr>
          <w:color w:val="231F20"/>
          <w:spacing w:val="-13"/>
          <w:w w:val="105"/>
          <w:sz w:val="19"/>
        </w:rPr>
        <w:t> </w:t>
      </w:r>
      <w:r>
        <w:rPr>
          <w:color w:val="231F20"/>
          <w:w w:val="105"/>
          <w:sz w:val="19"/>
        </w:rPr>
        <w:t>d’internet”), </w:t>
      </w:r>
      <w:r>
        <w:rPr>
          <w:color w:val="231F20"/>
          <w:spacing w:val="2"/>
          <w:w w:val="105"/>
          <w:sz w:val="19"/>
        </w:rPr>
        <w:t>così come </w:t>
      </w:r>
      <w:r>
        <w:rPr>
          <w:color w:val="231F20"/>
          <w:w w:val="105"/>
          <w:sz w:val="19"/>
        </w:rPr>
        <w:t>la </w:t>
      </w:r>
      <w:r>
        <w:rPr>
          <w:color w:val="231F20"/>
          <w:spacing w:val="2"/>
          <w:w w:val="105"/>
          <w:sz w:val="19"/>
        </w:rPr>
        <w:t>nozione </w:t>
      </w:r>
      <w:r>
        <w:rPr>
          <w:color w:val="231F20"/>
          <w:w w:val="105"/>
          <w:sz w:val="19"/>
        </w:rPr>
        <w:t>che </w:t>
      </w:r>
      <w:r>
        <w:rPr>
          <w:color w:val="231F20"/>
          <w:spacing w:val="2"/>
          <w:w w:val="105"/>
          <w:sz w:val="19"/>
        </w:rPr>
        <w:t>l’umanità </w:t>
      </w:r>
      <w:r>
        <w:rPr>
          <w:color w:val="231F20"/>
          <w:w w:val="105"/>
          <w:sz w:val="19"/>
        </w:rPr>
        <w:t>si trova </w:t>
      </w:r>
      <w:r>
        <w:rPr>
          <w:color w:val="231F20"/>
          <w:spacing w:val="2"/>
          <w:w w:val="105"/>
          <w:sz w:val="19"/>
        </w:rPr>
        <w:t>nella soglia </w:t>
      </w:r>
      <w:r>
        <w:rPr>
          <w:color w:val="231F20"/>
          <w:spacing w:val="34"/>
          <w:w w:val="105"/>
          <w:sz w:val="19"/>
        </w:rPr>
        <w:t> </w:t>
      </w:r>
      <w:r>
        <w:rPr>
          <w:color w:val="231F20"/>
          <w:spacing w:val="3"/>
          <w:w w:val="105"/>
          <w:sz w:val="19"/>
        </w:rPr>
        <w:t>della</w:t>
      </w:r>
    </w:p>
    <w:p>
      <w:pPr>
        <w:pStyle w:val="BodyText"/>
        <w:rPr>
          <w:sz w:val="20"/>
        </w:rPr>
      </w:pPr>
    </w:p>
    <w:p>
      <w:pPr>
        <w:pStyle w:val="BodyText"/>
        <w:rPr>
          <w:sz w:val="22"/>
        </w:rPr>
      </w:pPr>
      <w:r>
        <w:rPr/>
        <w:pict>
          <v:line style="position:absolute;mso-position-horizontal-relative:page;mso-position-vertical-relative:paragraph;z-index:11080;mso-wrap-distance-left:0;mso-wrap-distance-right:0" from="65.196899pt,15.412386pt" to="178.582899pt,15.412386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position w:val="6"/>
          <w:sz w:val="10"/>
        </w:rPr>
        <w:t>2 </w:t>
      </w:r>
      <w:r>
        <w:rPr>
          <w:rFonts w:ascii="Calibri" w:hAnsi="Calibri"/>
          <w:color w:val="231F20"/>
          <w:sz w:val="17"/>
        </w:rPr>
        <w:t>P. Virilio, </w:t>
      </w:r>
      <w:r>
        <w:rPr>
          <w:rFonts w:ascii="Calibri" w:hAnsi="Calibri"/>
          <w:i/>
          <w:color w:val="231F20"/>
          <w:sz w:val="17"/>
        </w:rPr>
        <w:t>La velocidad de liberación</w:t>
      </w:r>
      <w:r>
        <w:rPr>
          <w:rFonts w:ascii="Calibri" w:hAnsi="Calibri"/>
          <w:color w:val="231F20"/>
          <w:sz w:val="17"/>
        </w:rPr>
        <w:t>, Argentina, Manantial, 1997.</w:t>
      </w:r>
    </w:p>
    <w:p>
      <w:pPr>
        <w:spacing w:line="206" w:lineRule="exact" w:before="0"/>
        <w:ind w:left="103" w:right="0" w:firstLine="0"/>
        <w:jc w:val="left"/>
        <w:rPr>
          <w:rFonts w:ascii="Calibri" w:hAnsi="Calibri"/>
          <w:sz w:val="17"/>
        </w:rPr>
      </w:pPr>
      <w:r>
        <w:rPr>
          <w:rFonts w:ascii="Calibri" w:hAnsi="Calibri"/>
          <w:color w:val="231F20"/>
          <w:position w:val="6"/>
          <w:sz w:val="10"/>
        </w:rPr>
        <w:t>3 </w:t>
      </w:r>
      <w:r>
        <w:rPr>
          <w:rFonts w:ascii="Calibri" w:hAnsi="Calibri"/>
          <w:color w:val="231F20"/>
          <w:sz w:val="17"/>
        </w:rPr>
        <w:t>G. Gallien, </w:t>
      </w:r>
      <w:r>
        <w:rPr>
          <w:rFonts w:ascii="Calibri" w:hAnsi="Calibri"/>
          <w:i/>
          <w:color w:val="231F20"/>
          <w:sz w:val="17"/>
        </w:rPr>
        <w:t>Homo. Histoire plurielle d’un genre très singulier</w:t>
      </w:r>
      <w:r>
        <w:rPr>
          <w:rFonts w:ascii="Calibri" w:hAnsi="Calibri"/>
          <w:color w:val="231F20"/>
          <w:sz w:val="17"/>
        </w:rPr>
        <w:t>, Paris, PUF, 2002.</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4296"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62</w:t>
        <w:tab/>
      </w:r>
      <w:r>
        <w:rPr>
          <w:rFonts w:ascii="Calibri" w:hAnsi="Calibri"/>
          <w:color w:val="6D6E71"/>
          <w:w w:val="105"/>
          <w:sz w:val="16"/>
        </w:rPr>
        <w:t>María</w:t>
      </w:r>
      <w:r>
        <w:rPr>
          <w:rFonts w:ascii="Calibri" w:hAnsi="Calibri"/>
          <w:color w:val="6D6E71"/>
          <w:spacing w:val="-19"/>
          <w:w w:val="105"/>
          <w:sz w:val="16"/>
        </w:rPr>
        <w:t> </w:t>
      </w:r>
      <w:r>
        <w:rPr>
          <w:rFonts w:ascii="Calibri" w:hAnsi="Calibri"/>
          <w:color w:val="6D6E71"/>
          <w:w w:val="105"/>
          <w:sz w:val="16"/>
        </w:rPr>
        <w:t>Luisa</w:t>
      </w:r>
      <w:r>
        <w:rPr>
          <w:rFonts w:ascii="Calibri" w:hAnsi="Calibri"/>
          <w:color w:val="6D6E71"/>
          <w:spacing w:val="-19"/>
          <w:w w:val="105"/>
          <w:sz w:val="16"/>
        </w:rPr>
        <w:t> </w:t>
      </w:r>
      <w:r>
        <w:rPr>
          <w:rFonts w:ascii="Calibri" w:hAnsi="Calibri"/>
          <w:color w:val="6D6E71"/>
          <w:w w:val="105"/>
          <w:sz w:val="16"/>
        </w:rPr>
        <w:t>Bacarlett</w:t>
      </w:r>
      <w:r>
        <w:rPr>
          <w:rFonts w:ascii="Calibri" w:hAnsi="Calibri"/>
          <w:color w:val="6D6E71"/>
          <w:spacing w:val="-19"/>
          <w:w w:val="105"/>
          <w:sz w:val="16"/>
        </w:rPr>
        <w:t> </w:t>
      </w:r>
      <w:r>
        <w:rPr>
          <w:rFonts w:ascii="Calibri" w:hAnsi="Calibri"/>
          <w:color w:val="6D6E71"/>
          <w:w w:val="105"/>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717" w:right="0" w:firstLine="0"/>
        <w:jc w:val="left"/>
        <w:rPr>
          <w:rFonts w:ascii="Trebuchet MS"/>
          <w:sz w:val="20"/>
        </w:rPr>
      </w:pPr>
      <w:r>
        <w:rPr/>
        <w:pict>
          <v:group style="position:absolute;margin-left:383.821014pt;margin-top:-25.479271pt;width:8.65pt;height:41pt;mso-position-horizontal-relative:page;mso-position-vertical-relative:paragraph;z-index:-16424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color w:val="6D6E71"/>
          <w:w w:val="95"/>
          <w:sz w:val="14"/>
        </w:rPr>
        <w:t>NATURALIZZARE</w:t>
      </w:r>
      <w:r>
        <w:rPr>
          <w:rFonts w:ascii="Lucida Sans Unicode"/>
          <w:color w:val="6D6E71"/>
          <w:spacing w:val="-18"/>
          <w:w w:val="95"/>
          <w:sz w:val="14"/>
        </w:rPr>
        <w:t> </w:t>
      </w:r>
      <w:r>
        <w:rPr>
          <w:rFonts w:ascii="Lucida Sans Unicode"/>
          <w:color w:val="6D6E71"/>
          <w:w w:val="95"/>
          <w:sz w:val="14"/>
        </w:rPr>
        <w:t>I</w:t>
      </w:r>
      <w:r>
        <w:rPr>
          <w:rFonts w:ascii="Lucida Sans Unicode"/>
          <w:color w:val="6D6E71"/>
          <w:spacing w:val="-18"/>
          <w:w w:val="95"/>
          <w:sz w:val="14"/>
        </w:rPr>
        <w:t> </w:t>
      </w:r>
      <w:r>
        <w:rPr>
          <w:rFonts w:ascii="Lucida Sans Unicode"/>
          <w:color w:val="6D6E71"/>
          <w:w w:val="95"/>
          <w:sz w:val="14"/>
        </w:rPr>
        <w:t>PARADOSSI:</w:t>
      </w:r>
      <w:r>
        <w:rPr>
          <w:rFonts w:ascii="Lucida Sans Unicode"/>
          <w:color w:val="6D6E71"/>
          <w:spacing w:val="-18"/>
          <w:w w:val="95"/>
          <w:sz w:val="14"/>
        </w:rPr>
        <w:t> </w:t>
      </w:r>
      <w:r>
        <w:rPr>
          <w:rFonts w:ascii="Lucida Sans Unicode"/>
          <w:color w:val="6D6E71"/>
          <w:w w:val="95"/>
          <w:sz w:val="14"/>
        </w:rPr>
        <w:t>UN</w:t>
      </w:r>
      <w:r>
        <w:rPr>
          <w:rFonts w:ascii="Lucida Sans Unicode"/>
          <w:color w:val="6D6E71"/>
          <w:spacing w:val="-18"/>
          <w:w w:val="95"/>
          <w:sz w:val="14"/>
        </w:rPr>
        <w:t> </w:t>
      </w:r>
      <w:r>
        <w:rPr>
          <w:rFonts w:ascii="Lucida Sans Unicode"/>
          <w:color w:val="6D6E71"/>
          <w:w w:val="95"/>
          <w:sz w:val="14"/>
        </w:rPr>
        <w:t>APPROCCIO</w:t>
      </w:r>
      <w:r>
        <w:rPr>
          <w:rFonts w:ascii="Lucida Sans Unicode"/>
          <w:color w:val="6D6E71"/>
          <w:spacing w:val="-18"/>
          <w:w w:val="95"/>
          <w:sz w:val="14"/>
        </w:rPr>
        <w:t> </w:t>
      </w:r>
      <w:r>
        <w:rPr>
          <w:rFonts w:ascii="Lucida Sans Unicode"/>
          <w:color w:val="6D6E71"/>
          <w:w w:val="95"/>
          <w:sz w:val="14"/>
        </w:rPr>
        <w:t>ALLA</w:t>
      </w:r>
      <w:r>
        <w:rPr>
          <w:rFonts w:ascii="Lucida Sans Unicode"/>
          <w:color w:val="6D6E71"/>
          <w:spacing w:val="-18"/>
          <w:w w:val="95"/>
          <w:sz w:val="14"/>
        </w:rPr>
        <w:t> </w:t>
      </w:r>
      <w:r>
        <w:rPr>
          <w:rFonts w:ascii="Lucida Sans Unicode"/>
          <w:color w:val="6D6E71"/>
          <w:w w:val="95"/>
          <w:sz w:val="14"/>
        </w:rPr>
        <w:t>GLOBALIZZAZIONE</w:t>
      </w:r>
      <w:r>
        <w:rPr>
          <w:rFonts w:ascii="Lucida Sans Unicode"/>
          <w:color w:val="6D6E71"/>
          <w:spacing w:val="-18"/>
          <w:w w:val="95"/>
          <w:sz w:val="14"/>
        </w:rPr>
        <w:t> </w:t>
      </w:r>
      <w:r>
        <w:rPr>
          <w:rFonts w:ascii="Lucida Sans Unicode"/>
          <w:color w:val="6D6E71"/>
          <w:w w:val="95"/>
          <w:sz w:val="14"/>
        </w:rPr>
        <w:t>DA</w:t>
      </w:r>
      <w:r>
        <w:rPr>
          <w:rFonts w:ascii="Lucida Sans Unicode"/>
          <w:color w:val="6D6E71"/>
          <w:spacing w:val="-18"/>
          <w:w w:val="95"/>
          <w:sz w:val="14"/>
        </w:rPr>
        <w:t> </w:t>
      </w:r>
      <w:r>
        <w:rPr>
          <w:rFonts w:ascii="Lucida Sans Unicode"/>
          <w:color w:val="6D6E71"/>
          <w:w w:val="95"/>
          <w:sz w:val="14"/>
        </w:rPr>
        <w:t>GILLES</w:t>
      </w:r>
      <w:r>
        <w:rPr>
          <w:rFonts w:ascii="Lucida Sans Unicode"/>
          <w:color w:val="6D6E71"/>
          <w:spacing w:val="-18"/>
          <w:w w:val="95"/>
          <w:sz w:val="14"/>
        </w:rPr>
        <w:t> </w:t>
      </w:r>
      <w:r>
        <w:rPr>
          <w:rFonts w:ascii="Lucida Sans Unicode"/>
          <w:color w:val="6D6E71"/>
          <w:w w:val="95"/>
          <w:sz w:val="14"/>
        </w:rPr>
        <w:t>DELEUZE</w:t>
      </w:r>
      <w:r>
        <w:rPr>
          <w:rFonts w:ascii="Trebuchet MS"/>
          <w:color w:val="414042"/>
          <w:w w:val="95"/>
          <w:position w:val="-3"/>
          <w:sz w:val="20"/>
        </w:rPr>
        <w:tab/>
        <w:t>63</w:t>
      </w:r>
    </w:p>
    <w:p>
      <w:pPr>
        <w:spacing w:line="220" w:lineRule="exact" w:before="635"/>
        <w:ind w:left="1534" w:right="47" w:firstLine="0"/>
        <w:jc w:val="left"/>
        <w:rPr>
          <w:sz w:val="19"/>
        </w:rPr>
      </w:pPr>
      <w:r>
        <w:rPr>
          <w:color w:val="231F20"/>
          <w:sz w:val="19"/>
        </w:rPr>
        <w:t>realizzazione di una sola comunità unificata in cui le maggiori fonti di conflitto sociale saranno cancellate (“integrazione  globale”)</w:t>
      </w:r>
      <w:r>
        <w:rPr>
          <w:color w:val="231F20"/>
          <w:position w:val="6"/>
          <w:sz w:val="11"/>
        </w:rPr>
        <w:t>4</w:t>
      </w:r>
      <w:r>
        <w:rPr>
          <w:color w:val="231F20"/>
          <w:sz w:val="19"/>
        </w:rPr>
        <w:t>.</w:t>
      </w:r>
    </w:p>
    <w:p>
      <w:pPr>
        <w:pStyle w:val="BodyText"/>
        <w:spacing w:line="244" w:lineRule="auto" w:before="289"/>
        <w:ind w:left="117" w:right="114"/>
        <w:jc w:val="both"/>
      </w:pPr>
      <w:r>
        <w:rPr>
          <w:color w:val="231F20"/>
          <w:w w:val="105"/>
        </w:rPr>
        <w:t>Quando</w:t>
      </w:r>
      <w:r>
        <w:rPr>
          <w:color w:val="231F20"/>
          <w:spacing w:val="-19"/>
          <w:w w:val="105"/>
        </w:rPr>
        <w:t> </w:t>
      </w:r>
      <w:r>
        <w:rPr>
          <w:color w:val="231F20"/>
          <w:w w:val="105"/>
        </w:rPr>
        <w:t>il</w:t>
      </w:r>
      <w:r>
        <w:rPr>
          <w:color w:val="231F20"/>
          <w:spacing w:val="-19"/>
          <w:w w:val="105"/>
        </w:rPr>
        <w:t> </w:t>
      </w:r>
      <w:r>
        <w:rPr>
          <w:color w:val="231F20"/>
          <w:w w:val="105"/>
        </w:rPr>
        <w:t>termine</w:t>
      </w:r>
      <w:r>
        <w:rPr>
          <w:color w:val="231F20"/>
          <w:spacing w:val="-19"/>
          <w:w w:val="105"/>
        </w:rPr>
        <w:t> </w:t>
      </w:r>
      <w:r>
        <w:rPr>
          <w:color w:val="231F20"/>
          <w:w w:val="105"/>
        </w:rPr>
        <w:t>cominciò</w:t>
      </w:r>
      <w:r>
        <w:rPr>
          <w:color w:val="231F20"/>
          <w:spacing w:val="-19"/>
          <w:w w:val="105"/>
        </w:rPr>
        <w:t> </w:t>
      </w:r>
      <w:r>
        <w:rPr>
          <w:color w:val="231F20"/>
          <w:w w:val="105"/>
        </w:rPr>
        <w:t>ad</w:t>
      </w:r>
      <w:r>
        <w:rPr>
          <w:color w:val="231F20"/>
          <w:spacing w:val="-19"/>
          <w:w w:val="105"/>
        </w:rPr>
        <w:t> </w:t>
      </w:r>
      <w:r>
        <w:rPr>
          <w:color w:val="231F20"/>
          <w:w w:val="105"/>
        </w:rPr>
        <w:t>usarsi</w:t>
      </w:r>
      <w:r>
        <w:rPr>
          <w:color w:val="231F20"/>
          <w:w w:val="105"/>
          <w:position w:val="7"/>
          <w:sz w:val="12"/>
        </w:rPr>
        <w:t>5</w:t>
      </w:r>
      <w:r>
        <w:rPr>
          <w:color w:val="231F20"/>
          <w:w w:val="105"/>
        </w:rPr>
        <w:t>,</w:t>
      </w:r>
      <w:r>
        <w:rPr>
          <w:color w:val="231F20"/>
          <w:spacing w:val="-19"/>
          <w:w w:val="105"/>
        </w:rPr>
        <w:t> </w:t>
      </w:r>
      <w:r>
        <w:rPr>
          <w:color w:val="231F20"/>
          <w:w w:val="105"/>
        </w:rPr>
        <w:t>la</w:t>
      </w:r>
      <w:r>
        <w:rPr>
          <w:color w:val="231F20"/>
          <w:spacing w:val="-19"/>
          <w:w w:val="105"/>
        </w:rPr>
        <w:t> </w:t>
      </w:r>
      <w:r>
        <w:rPr>
          <w:color w:val="231F20"/>
          <w:w w:val="105"/>
        </w:rPr>
        <w:t>maniera</w:t>
      </w:r>
      <w:r>
        <w:rPr>
          <w:color w:val="231F20"/>
          <w:spacing w:val="-19"/>
          <w:w w:val="105"/>
        </w:rPr>
        <w:t> </w:t>
      </w:r>
      <w:r>
        <w:rPr>
          <w:color w:val="231F20"/>
          <w:w w:val="105"/>
        </w:rPr>
        <w:t>in</w:t>
      </w:r>
      <w:r>
        <w:rPr>
          <w:color w:val="231F20"/>
          <w:spacing w:val="-19"/>
          <w:w w:val="105"/>
        </w:rPr>
        <w:t> </w:t>
      </w:r>
      <w:r>
        <w:rPr>
          <w:color w:val="231F20"/>
          <w:w w:val="105"/>
        </w:rPr>
        <w:t>cui</w:t>
      </w:r>
      <w:r>
        <w:rPr>
          <w:color w:val="231F20"/>
          <w:spacing w:val="-19"/>
          <w:w w:val="105"/>
        </w:rPr>
        <w:t> </w:t>
      </w:r>
      <w:r>
        <w:rPr>
          <w:color w:val="231F20"/>
          <w:w w:val="105"/>
        </w:rPr>
        <w:t>è</w:t>
      </w:r>
      <w:r>
        <w:rPr>
          <w:color w:val="231F20"/>
          <w:spacing w:val="-19"/>
          <w:w w:val="105"/>
        </w:rPr>
        <w:t> </w:t>
      </w:r>
      <w:r>
        <w:rPr>
          <w:color w:val="231F20"/>
          <w:w w:val="105"/>
        </w:rPr>
        <w:t>stata</w:t>
      </w:r>
      <w:r>
        <w:rPr>
          <w:color w:val="231F20"/>
          <w:spacing w:val="-19"/>
          <w:w w:val="105"/>
        </w:rPr>
        <w:t> </w:t>
      </w:r>
      <w:r>
        <w:rPr>
          <w:color w:val="231F20"/>
          <w:w w:val="105"/>
        </w:rPr>
        <w:t>concepita la</w:t>
      </w:r>
      <w:r>
        <w:rPr>
          <w:color w:val="231F20"/>
          <w:spacing w:val="-7"/>
          <w:w w:val="105"/>
        </w:rPr>
        <w:t> </w:t>
      </w:r>
      <w:r>
        <w:rPr>
          <w:color w:val="231F20"/>
          <w:spacing w:val="2"/>
          <w:w w:val="105"/>
        </w:rPr>
        <w:t>globalizzazione</w:t>
      </w:r>
      <w:r>
        <w:rPr>
          <w:color w:val="231F20"/>
          <w:spacing w:val="-7"/>
          <w:w w:val="105"/>
        </w:rPr>
        <w:t> </w:t>
      </w:r>
      <w:r>
        <w:rPr>
          <w:color w:val="231F20"/>
          <w:spacing w:val="2"/>
          <w:w w:val="105"/>
        </w:rPr>
        <w:t>privilegiava</w:t>
      </w:r>
      <w:r>
        <w:rPr>
          <w:color w:val="231F20"/>
          <w:spacing w:val="-7"/>
          <w:w w:val="105"/>
        </w:rPr>
        <w:t> </w:t>
      </w:r>
      <w:r>
        <w:rPr>
          <w:color w:val="231F20"/>
          <w:w w:val="105"/>
        </w:rPr>
        <w:t>il</w:t>
      </w:r>
      <w:r>
        <w:rPr>
          <w:color w:val="231F20"/>
          <w:spacing w:val="-7"/>
          <w:w w:val="105"/>
        </w:rPr>
        <w:t> </w:t>
      </w:r>
      <w:r>
        <w:rPr>
          <w:color w:val="231F20"/>
          <w:w w:val="105"/>
        </w:rPr>
        <w:t>suo</w:t>
      </w:r>
      <w:r>
        <w:rPr>
          <w:color w:val="231F20"/>
          <w:spacing w:val="-7"/>
          <w:w w:val="105"/>
        </w:rPr>
        <w:t> </w:t>
      </w:r>
      <w:r>
        <w:rPr>
          <w:color w:val="231F20"/>
          <w:spacing w:val="2"/>
          <w:w w:val="105"/>
        </w:rPr>
        <w:t>carattere</w:t>
      </w:r>
      <w:r>
        <w:rPr>
          <w:color w:val="231F20"/>
          <w:spacing w:val="-7"/>
          <w:w w:val="105"/>
        </w:rPr>
        <w:t> </w:t>
      </w:r>
      <w:r>
        <w:rPr>
          <w:color w:val="231F20"/>
          <w:spacing w:val="2"/>
          <w:w w:val="105"/>
        </w:rPr>
        <w:t>unificatore,</w:t>
      </w:r>
      <w:r>
        <w:rPr>
          <w:color w:val="231F20"/>
          <w:spacing w:val="-7"/>
          <w:w w:val="105"/>
        </w:rPr>
        <w:t> </w:t>
      </w:r>
      <w:r>
        <w:rPr>
          <w:color w:val="231F20"/>
          <w:spacing w:val="2"/>
          <w:w w:val="105"/>
        </w:rPr>
        <w:t>integratore</w:t>
      </w:r>
      <w:r>
        <w:rPr>
          <w:color w:val="231F20"/>
          <w:spacing w:val="-7"/>
          <w:w w:val="105"/>
        </w:rPr>
        <w:t> </w:t>
      </w:r>
      <w:r>
        <w:rPr>
          <w:color w:val="231F20"/>
          <w:w w:val="105"/>
        </w:rPr>
        <w:t>e </w:t>
      </w:r>
      <w:r>
        <w:rPr>
          <w:color w:val="231F20"/>
        </w:rPr>
        <w:t>omogeneizzante,</w:t>
      </w:r>
      <w:r>
        <w:rPr>
          <w:color w:val="231F20"/>
          <w:spacing w:val="-22"/>
        </w:rPr>
        <w:t> </w:t>
      </w:r>
      <w:r>
        <w:rPr>
          <w:color w:val="231F20"/>
        </w:rPr>
        <w:t>caratteristiche</w:t>
      </w:r>
      <w:r>
        <w:rPr>
          <w:color w:val="231F20"/>
          <w:spacing w:val="-22"/>
        </w:rPr>
        <w:t> </w:t>
      </w:r>
      <w:r>
        <w:rPr>
          <w:color w:val="231F20"/>
        </w:rPr>
        <w:t>che</w:t>
      </w:r>
      <w:r>
        <w:rPr>
          <w:color w:val="231F20"/>
          <w:spacing w:val="-22"/>
        </w:rPr>
        <w:t> </w:t>
      </w:r>
      <w:r>
        <w:rPr>
          <w:color w:val="231F20"/>
        </w:rPr>
        <w:t>spiegavano</w:t>
      </w:r>
      <w:r>
        <w:rPr>
          <w:color w:val="231F20"/>
          <w:spacing w:val="-22"/>
        </w:rPr>
        <w:t> </w:t>
      </w:r>
      <w:r>
        <w:rPr>
          <w:color w:val="231F20"/>
        </w:rPr>
        <w:t>conseguenze</w:t>
      </w:r>
      <w:r>
        <w:rPr>
          <w:color w:val="231F20"/>
          <w:spacing w:val="-22"/>
        </w:rPr>
        <w:t> </w:t>
      </w:r>
      <w:r>
        <w:rPr>
          <w:color w:val="231F20"/>
        </w:rPr>
        <w:t>tanto</w:t>
      </w:r>
      <w:r>
        <w:rPr>
          <w:color w:val="231F20"/>
          <w:spacing w:val="-22"/>
        </w:rPr>
        <w:t> </w:t>
      </w:r>
      <w:r>
        <w:rPr>
          <w:color w:val="231F20"/>
        </w:rPr>
        <w:t>positive </w:t>
      </w:r>
      <w:r>
        <w:rPr>
          <w:color w:val="231F20"/>
          <w:w w:val="105"/>
        </w:rPr>
        <w:t>come</w:t>
      </w:r>
      <w:r>
        <w:rPr>
          <w:color w:val="231F20"/>
          <w:spacing w:val="-26"/>
          <w:w w:val="105"/>
        </w:rPr>
        <w:t> </w:t>
      </w:r>
      <w:r>
        <w:rPr>
          <w:color w:val="231F20"/>
          <w:w w:val="105"/>
        </w:rPr>
        <w:t>negative.</w:t>
      </w:r>
      <w:r>
        <w:rPr>
          <w:color w:val="231F20"/>
          <w:spacing w:val="-26"/>
          <w:w w:val="105"/>
        </w:rPr>
        <w:t> </w:t>
      </w:r>
      <w:r>
        <w:rPr>
          <w:color w:val="231F20"/>
          <w:w w:val="105"/>
        </w:rPr>
        <w:t>È</w:t>
      </w:r>
      <w:r>
        <w:rPr>
          <w:color w:val="231F20"/>
          <w:spacing w:val="-26"/>
          <w:w w:val="105"/>
        </w:rPr>
        <w:t> </w:t>
      </w:r>
      <w:r>
        <w:rPr>
          <w:color w:val="231F20"/>
          <w:w w:val="105"/>
        </w:rPr>
        <w:t>vero</w:t>
      </w:r>
      <w:r>
        <w:rPr>
          <w:color w:val="231F20"/>
          <w:spacing w:val="-26"/>
          <w:w w:val="105"/>
        </w:rPr>
        <w:t> </w:t>
      </w:r>
      <w:r>
        <w:rPr>
          <w:color w:val="231F20"/>
          <w:w w:val="105"/>
        </w:rPr>
        <w:t>che</w:t>
      </w:r>
      <w:r>
        <w:rPr>
          <w:color w:val="231F20"/>
          <w:spacing w:val="-26"/>
          <w:w w:val="105"/>
        </w:rPr>
        <w:t> </w:t>
      </w:r>
      <w:r>
        <w:rPr>
          <w:color w:val="231F20"/>
          <w:w w:val="105"/>
        </w:rPr>
        <w:t>le</w:t>
      </w:r>
      <w:r>
        <w:rPr>
          <w:color w:val="231F20"/>
          <w:spacing w:val="-26"/>
          <w:w w:val="105"/>
        </w:rPr>
        <w:t> </w:t>
      </w:r>
      <w:r>
        <w:rPr>
          <w:color w:val="231F20"/>
          <w:w w:val="105"/>
        </w:rPr>
        <w:t>posizioni</w:t>
      </w:r>
      <w:r>
        <w:rPr>
          <w:color w:val="231F20"/>
          <w:spacing w:val="-26"/>
          <w:w w:val="105"/>
        </w:rPr>
        <w:t> </w:t>
      </w:r>
      <w:r>
        <w:rPr>
          <w:color w:val="231F20"/>
          <w:w w:val="105"/>
        </w:rPr>
        <w:t>critiche</w:t>
      </w:r>
      <w:r>
        <w:rPr>
          <w:color w:val="231F20"/>
          <w:spacing w:val="-26"/>
          <w:w w:val="105"/>
        </w:rPr>
        <w:t> </w:t>
      </w:r>
      <w:r>
        <w:rPr>
          <w:color w:val="231F20"/>
          <w:w w:val="105"/>
        </w:rPr>
        <w:t>sottolinearono</w:t>
      </w:r>
      <w:r>
        <w:rPr>
          <w:color w:val="231F20"/>
          <w:spacing w:val="-26"/>
          <w:w w:val="105"/>
        </w:rPr>
        <w:t> </w:t>
      </w:r>
      <w:r>
        <w:rPr>
          <w:color w:val="231F20"/>
          <w:w w:val="105"/>
        </w:rPr>
        <w:t>come</w:t>
      </w:r>
      <w:r>
        <w:rPr>
          <w:color w:val="231F20"/>
          <w:spacing w:val="-26"/>
          <w:w w:val="105"/>
        </w:rPr>
        <w:t> </w:t>
      </w:r>
      <w:r>
        <w:rPr>
          <w:color w:val="231F20"/>
          <w:w w:val="105"/>
        </w:rPr>
        <w:t>segno negativo</w:t>
      </w:r>
      <w:r>
        <w:rPr>
          <w:color w:val="231F20"/>
          <w:spacing w:val="-29"/>
          <w:w w:val="105"/>
        </w:rPr>
        <w:t> </w:t>
      </w:r>
      <w:r>
        <w:rPr>
          <w:color w:val="231F20"/>
          <w:w w:val="105"/>
        </w:rPr>
        <w:t>l’uguagliamento</w:t>
      </w:r>
      <w:r>
        <w:rPr>
          <w:color w:val="231F20"/>
          <w:spacing w:val="-29"/>
          <w:w w:val="105"/>
        </w:rPr>
        <w:t> </w:t>
      </w:r>
      <w:r>
        <w:rPr>
          <w:color w:val="231F20"/>
          <w:w w:val="105"/>
        </w:rPr>
        <w:t>del</w:t>
      </w:r>
      <w:r>
        <w:rPr>
          <w:color w:val="231F20"/>
          <w:spacing w:val="-29"/>
          <w:w w:val="105"/>
        </w:rPr>
        <w:t> </w:t>
      </w:r>
      <w:r>
        <w:rPr>
          <w:color w:val="231F20"/>
          <w:w w:val="105"/>
        </w:rPr>
        <w:t>mondo,</w:t>
      </w:r>
      <w:r>
        <w:rPr>
          <w:color w:val="231F20"/>
          <w:spacing w:val="-29"/>
          <w:w w:val="105"/>
        </w:rPr>
        <w:t> </w:t>
      </w:r>
      <w:r>
        <w:rPr>
          <w:color w:val="231F20"/>
          <w:w w:val="105"/>
        </w:rPr>
        <w:t>ma</w:t>
      </w:r>
      <w:r>
        <w:rPr>
          <w:color w:val="231F20"/>
          <w:spacing w:val="-29"/>
          <w:w w:val="105"/>
        </w:rPr>
        <w:t> </w:t>
      </w:r>
      <w:r>
        <w:rPr>
          <w:color w:val="231F20"/>
          <w:w w:val="105"/>
        </w:rPr>
        <w:t>questa</w:t>
      </w:r>
      <w:r>
        <w:rPr>
          <w:color w:val="231F20"/>
          <w:spacing w:val="-29"/>
          <w:w w:val="105"/>
        </w:rPr>
        <w:t> </w:t>
      </w:r>
      <w:r>
        <w:rPr>
          <w:color w:val="231F20"/>
          <w:w w:val="105"/>
        </w:rPr>
        <w:t>critica</w:t>
      </w:r>
      <w:r>
        <w:rPr>
          <w:color w:val="231F20"/>
          <w:spacing w:val="-29"/>
          <w:w w:val="105"/>
        </w:rPr>
        <w:t> </w:t>
      </w:r>
      <w:r>
        <w:rPr>
          <w:color w:val="231F20"/>
          <w:w w:val="105"/>
        </w:rPr>
        <w:t>continuò</w:t>
      </w:r>
      <w:r>
        <w:rPr>
          <w:color w:val="231F20"/>
          <w:spacing w:val="-29"/>
          <w:w w:val="105"/>
        </w:rPr>
        <w:t> </w:t>
      </w:r>
      <w:r>
        <w:rPr>
          <w:color w:val="231F20"/>
          <w:w w:val="105"/>
        </w:rPr>
        <w:t>ancorata in</w:t>
      </w:r>
      <w:r>
        <w:rPr>
          <w:color w:val="231F20"/>
          <w:spacing w:val="-45"/>
          <w:w w:val="105"/>
        </w:rPr>
        <w:t> </w:t>
      </w:r>
      <w:r>
        <w:rPr>
          <w:color w:val="231F20"/>
          <w:w w:val="105"/>
        </w:rPr>
        <w:t>una</w:t>
      </w:r>
      <w:r>
        <w:rPr>
          <w:color w:val="231F20"/>
          <w:spacing w:val="-45"/>
          <w:w w:val="105"/>
        </w:rPr>
        <w:t> </w:t>
      </w:r>
      <w:r>
        <w:rPr>
          <w:color w:val="231F20"/>
          <w:w w:val="105"/>
        </w:rPr>
        <w:t>logica</w:t>
      </w:r>
      <w:r>
        <w:rPr>
          <w:color w:val="231F20"/>
          <w:spacing w:val="-45"/>
          <w:w w:val="105"/>
        </w:rPr>
        <w:t> </w:t>
      </w:r>
      <w:r>
        <w:rPr>
          <w:color w:val="231F20"/>
          <w:w w:val="105"/>
        </w:rPr>
        <w:t>dicotomica</w:t>
      </w:r>
      <w:r>
        <w:rPr>
          <w:color w:val="231F20"/>
          <w:spacing w:val="-45"/>
          <w:w w:val="105"/>
        </w:rPr>
        <w:t> </w:t>
      </w:r>
      <w:r>
        <w:rPr>
          <w:color w:val="231F20"/>
          <w:w w:val="105"/>
        </w:rPr>
        <w:t>in</w:t>
      </w:r>
      <w:r>
        <w:rPr>
          <w:color w:val="231F20"/>
          <w:spacing w:val="-45"/>
          <w:w w:val="105"/>
        </w:rPr>
        <w:t> </w:t>
      </w:r>
      <w:r>
        <w:rPr>
          <w:color w:val="231F20"/>
          <w:w w:val="105"/>
        </w:rPr>
        <w:t>cui</w:t>
      </w:r>
      <w:r>
        <w:rPr>
          <w:color w:val="231F20"/>
          <w:spacing w:val="-45"/>
          <w:w w:val="105"/>
        </w:rPr>
        <w:t> </w:t>
      </w:r>
      <w:r>
        <w:rPr>
          <w:color w:val="231F20"/>
          <w:w w:val="105"/>
        </w:rPr>
        <w:t>l’espansione</w:t>
      </w:r>
      <w:r>
        <w:rPr>
          <w:color w:val="231F20"/>
          <w:spacing w:val="-45"/>
          <w:w w:val="105"/>
        </w:rPr>
        <w:t> </w:t>
      </w:r>
      <w:r>
        <w:rPr>
          <w:color w:val="231F20"/>
          <w:w w:val="105"/>
        </w:rPr>
        <w:t>si</w:t>
      </w:r>
      <w:r>
        <w:rPr>
          <w:color w:val="231F20"/>
          <w:spacing w:val="-45"/>
          <w:w w:val="105"/>
        </w:rPr>
        <w:t> </w:t>
      </w:r>
      <w:r>
        <w:rPr>
          <w:color w:val="231F20"/>
          <w:w w:val="105"/>
        </w:rPr>
        <w:t>contrapponeva</w:t>
      </w:r>
      <w:r>
        <w:rPr>
          <w:color w:val="231F20"/>
          <w:spacing w:val="-45"/>
          <w:w w:val="105"/>
        </w:rPr>
        <w:t> </w:t>
      </w:r>
      <w:r>
        <w:rPr>
          <w:color w:val="231F20"/>
          <w:w w:val="105"/>
        </w:rPr>
        <w:t>alla</w:t>
      </w:r>
      <w:r>
        <w:rPr>
          <w:color w:val="231F20"/>
          <w:spacing w:val="-45"/>
          <w:w w:val="105"/>
        </w:rPr>
        <w:t> </w:t>
      </w:r>
      <w:r>
        <w:rPr>
          <w:color w:val="231F20"/>
          <w:w w:val="105"/>
        </w:rPr>
        <w:t>ritrazione, l’omogeneo</w:t>
      </w:r>
      <w:r>
        <w:rPr>
          <w:color w:val="231F20"/>
          <w:spacing w:val="-21"/>
          <w:w w:val="105"/>
        </w:rPr>
        <w:t> </w:t>
      </w:r>
      <w:r>
        <w:rPr>
          <w:color w:val="231F20"/>
          <w:w w:val="105"/>
        </w:rPr>
        <w:t>all’eterogeneo,</w:t>
      </w:r>
      <w:r>
        <w:rPr>
          <w:color w:val="231F20"/>
          <w:spacing w:val="-21"/>
          <w:w w:val="105"/>
        </w:rPr>
        <w:t> </w:t>
      </w:r>
      <w:r>
        <w:rPr>
          <w:color w:val="231F20"/>
          <w:w w:val="105"/>
        </w:rPr>
        <w:t>il</w:t>
      </w:r>
      <w:r>
        <w:rPr>
          <w:color w:val="231F20"/>
          <w:spacing w:val="-21"/>
          <w:w w:val="105"/>
        </w:rPr>
        <w:t> </w:t>
      </w:r>
      <w:r>
        <w:rPr>
          <w:color w:val="231F20"/>
          <w:w w:val="105"/>
        </w:rPr>
        <w:t>centro</w:t>
      </w:r>
      <w:r>
        <w:rPr>
          <w:color w:val="231F20"/>
          <w:spacing w:val="-21"/>
          <w:w w:val="105"/>
        </w:rPr>
        <w:t> </w:t>
      </w:r>
      <w:r>
        <w:rPr>
          <w:color w:val="231F20"/>
          <w:w w:val="105"/>
        </w:rPr>
        <w:t>alla</w:t>
      </w:r>
      <w:r>
        <w:rPr>
          <w:color w:val="231F20"/>
          <w:spacing w:val="-21"/>
          <w:w w:val="105"/>
        </w:rPr>
        <w:t> </w:t>
      </w:r>
      <w:r>
        <w:rPr>
          <w:color w:val="231F20"/>
          <w:w w:val="105"/>
        </w:rPr>
        <w:t>periferia,</w:t>
      </w:r>
      <w:r>
        <w:rPr>
          <w:color w:val="231F20"/>
          <w:spacing w:val="-21"/>
          <w:w w:val="105"/>
        </w:rPr>
        <w:t> </w:t>
      </w:r>
      <w:r>
        <w:rPr>
          <w:color w:val="231F20"/>
          <w:w w:val="105"/>
        </w:rPr>
        <w:t>il</w:t>
      </w:r>
      <w:r>
        <w:rPr>
          <w:color w:val="231F20"/>
          <w:spacing w:val="-21"/>
          <w:w w:val="105"/>
        </w:rPr>
        <w:t> </w:t>
      </w:r>
      <w:r>
        <w:rPr>
          <w:color w:val="231F20"/>
          <w:w w:val="105"/>
        </w:rPr>
        <w:t>globale</w:t>
      </w:r>
      <w:r>
        <w:rPr>
          <w:color w:val="231F20"/>
          <w:spacing w:val="-21"/>
          <w:w w:val="105"/>
        </w:rPr>
        <w:t> </w:t>
      </w:r>
      <w:r>
        <w:rPr>
          <w:color w:val="231F20"/>
          <w:w w:val="105"/>
        </w:rPr>
        <w:t>al</w:t>
      </w:r>
      <w:r>
        <w:rPr>
          <w:color w:val="231F20"/>
          <w:spacing w:val="-21"/>
          <w:w w:val="105"/>
        </w:rPr>
        <w:t> </w:t>
      </w:r>
      <w:r>
        <w:rPr>
          <w:color w:val="231F20"/>
          <w:w w:val="105"/>
        </w:rPr>
        <w:t>locale,</w:t>
      </w:r>
      <w:r>
        <w:rPr>
          <w:color w:val="231F20"/>
          <w:spacing w:val="-21"/>
          <w:w w:val="105"/>
        </w:rPr>
        <w:t> </w:t>
      </w:r>
      <w:r>
        <w:rPr>
          <w:color w:val="231F20"/>
          <w:w w:val="105"/>
        </w:rPr>
        <w:t>ecc. Di</w:t>
      </w:r>
      <w:r>
        <w:rPr>
          <w:color w:val="231F20"/>
          <w:spacing w:val="-33"/>
          <w:w w:val="105"/>
        </w:rPr>
        <w:t> </w:t>
      </w:r>
      <w:r>
        <w:rPr>
          <w:color w:val="231F20"/>
          <w:w w:val="105"/>
        </w:rPr>
        <w:t>fronte</w:t>
      </w:r>
      <w:r>
        <w:rPr>
          <w:color w:val="231F20"/>
          <w:spacing w:val="-33"/>
          <w:w w:val="105"/>
        </w:rPr>
        <w:t> </w:t>
      </w:r>
      <w:r>
        <w:rPr>
          <w:color w:val="231F20"/>
          <w:w w:val="105"/>
        </w:rPr>
        <w:t>a</w:t>
      </w:r>
      <w:r>
        <w:rPr>
          <w:color w:val="231F20"/>
          <w:spacing w:val="-33"/>
          <w:w w:val="105"/>
        </w:rPr>
        <w:t> </w:t>
      </w:r>
      <w:r>
        <w:rPr>
          <w:color w:val="231F20"/>
          <w:w w:val="105"/>
        </w:rPr>
        <w:t>questa</w:t>
      </w:r>
      <w:r>
        <w:rPr>
          <w:color w:val="231F20"/>
          <w:spacing w:val="-33"/>
          <w:w w:val="105"/>
        </w:rPr>
        <w:t> </w:t>
      </w:r>
      <w:r>
        <w:rPr>
          <w:color w:val="231F20"/>
          <w:w w:val="105"/>
        </w:rPr>
        <w:t>prospettiva,</w:t>
      </w:r>
      <w:r>
        <w:rPr>
          <w:color w:val="231F20"/>
          <w:spacing w:val="-33"/>
          <w:w w:val="105"/>
        </w:rPr>
        <w:t> </w:t>
      </w:r>
      <w:r>
        <w:rPr>
          <w:color w:val="231F20"/>
          <w:w w:val="105"/>
        </w:rPr>
        <w:t>alcuni</w:t>
      </w:r>
      <w:r>
        <w:rPr>
          <w:color w:val="231F20"/>
          <w:spacing w:val="-33"/>
          <w:w w:val="105"/>
        </w:rPr>
        <w:t> </w:t>
      </w:r>
      <w:r>
        <w:rPr>
          <w:color w:val="231F20"/>
          <w:w w:val="105"/>
        </w:rPr>
        <w:t>analisti</w:t>
      </w:r>
      <w:r>
        <w:rPr>
          <w:color w:val="231F20"/>
          <w:spacing w:val="-33"/>
          <w:w w:val="105"/>
        </w:rPr>
        <w:t> </w:t>
      </w:r>
      <w:r>
        <w:rPr>
          <w:color w:val="231F20"/>
          <w:w w:val="105"/>
        </w:rPr>
        <w:t>avvertirono</w:t>
      </w:r>
      <w:r>
        <w:rPr>
          <w:color w:val="231F20"/>
          <w:spacing w:val="-33"/>
          <w:w w:val="105"/>
        </w:rPr>
        <w:t> </w:t>
      </w:r>
      <w:r>
        <w:rPr>
          <w:color w:val="231F20"/>
          <w:w w:val="105"/>
        </w:rPr>
        <w:t>che</w:t>
      </w:r>
      <w:r>
        <w:rPr>
          <w:color w:val="231F20"/>
          <w:spacing w:val="-33"/>
          <w:w w:val="105"/>
        </w:rPr>
        <w:t> </w:t>
      </w:r>
      <w:r>
        <w:rPr>
          <w:color w:val="231F20"/>
          <w:w w:val="105"/>
        </w:rPr>
        <w:t>c’erano</w:t>
      </w:r>
      <w:r>
        <w:rPr>
          <w:color w:val="231F20"/>
          <w:spacing w:val="-33"/>
          <w:w w:val="105"/>
        </w:rPr>
        <w:t> </w:t>
      </w:r>
      <w:r>
        <w:rPr>
          <w:color w:val="231F20"/>
          <w:w w:val="105"/>
        </w:rPr>
        <w:t>molti elementi</w:t>
      </w:r>
      <w:r>
        <w:rPr>
          <w:color w:val="231F20"/>
          <w:spacing w:val="-38"/>
          <w:w w:val="105"/>
        </w:rPr>
        <w:t> </w:t>
      </w:r>
      <w:r>
        <w:rPr>
          <w:color w:val="231F20"/>
          <w:w w:val="105"/>
        </w:rPr>
        <w:t>non</w:t>
      </w:r>
      <w:r>
        <w:rPr>
          <w:color w:val="231F20"/>
          <w:spacing w:val="-38"/>
          <w:w w:val="105"/>
        </w:rPr>
        <w:t> </w:t>
      </w:r>
      <w:r>
        <w:rPr>
          <w:color w:val="231F20"/>
          <w:w w:val="105"/>
        </w:rPr>
        <w:t>lineari</w:t>
      </w:r>
      <w:r>
        <w:rPr>
          <w:color w:val="231F20"/>
          <w:spacing w:val="-38"/>
          <w:w w:val="105"/>
        </w:rPr>
        <w:t> </w:t>
      </w:r>
      <w:r>
        <w:rPr>
          <w:color w:val="231F20"/>
          <w:w w:val="105"/>
        </w:rPr>
        <w:t>in</w:t>
      </w:r>
      <w:r>
        <w:rPr>
          <w:color w:val="231F20"/>
          <w:spacing w:val="-38"/>
          <w:w w:val="105"/>
        </w:rPr>
        <w:t> </w:t>
      </w:r>
      <w:r>
        <w:rPr>
          <w:color w:val="231F20"/>
          <w:w w:val="105"/>
        </w:rPr>
        <w:t>altrettanti</w:t>
      </w:r>
      <w:r>
        <w:rPr>
          <w:color w:val="231F20"/>
          <w:spacing w:val="-38"/>
          <w:w w:val="105"/>
        </w:rPr>
        <w:t> </w:t>
      </w:r>
      <w:r>
        <w:rPr>
          <w:color w:val="231F20"/>
          <w:w w:val="105"/>
        </w:rPr>
        <w:t>fenomeni</w:t>
      </w:r>
      <w:r>
        <w:rPr>
          <w:color w:val="231F20"/>
          <w:spacing w:val="-38"/>
          <w:w w:val="105"/>
        </w:rPr>
        <w:t> </w:t>
      </w:r>
      <w:r>
        <w:rPr>
          <w:color w:val="231F20"/>
          <w:w w:val="105"/>
        </w:rPr>
        <w:t>legati</w:t>
      </w:r>
      <w:r>
        <w:rPr>
          <w:color w:val="231F20"/>
          <w:spacing w:val="-38"/>
          <w:w w:val="105"/>
        </w:rPr>
        <w:t> </w:t>
      </w:r>
      <w:r>
        <w:rPr>
          <w:color w:val="231F20"/>
          <w:w w:val="105"/>
        </w:rPr>
        <w:t>alla</w:t>
      </w:r>
      <w:r>
        <w:rPr>
          <w:color w:val="231F20"/>
          <w:spacing w:val="-38"/>
          <w:w w:val="105"/>
        </w:rPr>
        <w:t> </w:t>
      </w:r>
      <w:r>
        <w:rPr>
          <w:color w:val="231F20"/>
          <w:w w:val="105"/>
        </w:rPr>
        <w:t>globalizzazione,</w:t>
      </w:r>
      <w:r>
        <w:rPr>
          <w:color w:val="231F20"/>
          <w:spacing w:val="-38"/>
          <w:w w:val="105"/>
        </w:rPr>
        <w:t> </w:t>
      </w:r>
      <w:r>
        <w:rPr>
          <w:color w:val="231F20"/>
          <w:w w:val="105"/>
        </w:rPr>
        <w:t>cioè, trovarono</w:t>
      </w:r>
      <w:r>
        <w:rPr>
          <w:color w:val="231F20"/>
          <w:spacing w:val="-46"/>
          <w:w w:val="105"/>
        </w:rPr>
        <w:t> </w:t>
      </w:r>
      <w:r>
        <w:rPr>
          <w:color w:val="231F20"/>
          <w:w w:val="105"/>
        </w:rPr>
        <w:t>alcuni</w:t>
      </w:r>
      <w:r>
        <w:rPr>
          <w:color w:val="231F20"/>
          <w:spacing w:val="-46"/>
          <w:w w:val="105"/>
        </w:rPr>
        <w:t> </w:t>
      </w:r>
      <w:r>
        <w:rPr>
          <w:color w:val="231F20"/>
          <w:w w:val="105"/>
        </w:rPr>
        <w:t>paradossi</w:t>
      </w:r>
      <w:r>
        <w:rPr>
          <w:color w:val="231F20"/>
          <w:spacing w:val="-46"/>
          <w:w w:val="105"/>
        </w:rPr>
        <w:t> </w:t>
      </w:r>
      <w:r>
        <w:rPr>
          <w:color w:val="231F20"/>
          <w:w w:val="105"/>
        </w:rPr>
        <w:t>che</w:t>
      </w:r>
      <w:r>
        <w:rPr>
          <w:color w:val="231F20"/>
          <w:spacing w:val="-46"/>
          <w:w w:val="105"/>
        </w:rPr>
        <w:t> </w:t>
      </w:r>
      <w:r>
        <w:rPr>
          <w:color w:val="231F20"/>
          <w:w w:val="105"/>
        </w:rPr>
        <w:t>facevano</w:t>
      </w:r>
      <w:r>
        <w:rPr>
          <w:color w:val="231F20"/>
          <w:spacing w:val="-46"/>
          <w:w w:val="105"/>
        </w:rPr>
        <w:t> </w:t>
      </w:r>
      <w:r>
        <w:rPr>
          <w:color w:val="231F20"/>
          <w:w w:val="105"/>
        </w:rPr>
        <w:t>difficile</w:t>
      </w:r>
      <w:r>
        <w:rPr>
          <w:color w:val="231F20"/>
          <w:spacing w:val="-46"/>
          <w:w w:val="105"/>
        </w:rPr>
        <w:t> </w:t>
      </w:r>
      <w:r>
        <w:rPr>
          <w:color w:val="231F20"/>
          <w:w w:val="105"/>
        </w:rPr>
        <w:t>definirla</w:t>
      </w:r>
      <w:r>
        <w:rPr>
          <w:color w:val="231F20"/>
          <w:spacing w:val="-46"/>
          <w:w w:val="105"/>
        </w:rPr>
        <w:t> </w:t>
      </w:r>
      <w:r>
        <w:rPr>
          <w:color w:val="231F20"/>
          <w:w w:val="105"/>
        </w:rPr>
        <w:t>come</w:t>
      </w:r>
      <w:r>
        <w:rPr>
          <w:color w:val="231F20"/>
          <w:spacing w:val="-46"/>
          <w:w w:val="105"/>
        </w:rPr>
        <w:t> </w:t>
      </w:r>
      <w:r>
        <w:rPr>
          <w:color w:val="231F20"/>
          <w:w w:val="105"/>
        </w:rPr>
        <w:t>un</w:t>
      </w:r>
      <w:r>
        <w:rPr>
          <w:color w:val="231F20"/>
          <w:spacing w:val="-46"/>
          <w:w w:val="105"/>
        </w:rPr>
        <w:t> </w:t>
      </w:r>
      <w:r>
        <w:rPr>
          <w:color w:val="231F20"/>
          <w:w w:val="105"/>
        </w:rPr>
        <w:t>semplice </w:t>
      </w:r>
      <w:r>
        <w:rPr>
          <w:color w:val="231F20"/>
          <w:spacing w:val="-3"/>
          <w:w w:val="105"/>
        </w:rPr>
        <w:t>processo</w:t>
      </w:r>
      <w:r>
        <w:rPr>
          <w:color w:val="231F20"/>
          <w:spacing w:val="-45"/>
          <w:w w:val="105"/>
        </w:rPr>
        <w:t> </w:t>
      </w:r>
      <w:r>
        <w:rPr>
          <w:color w:val="231F20"/>
          <w:w w:val="105"/>
        </w:rPr>
        <w:t>di</w:t>
      </w:r>
      <w:r>
        <w:rPr>
          <w:color w:val="231F20"/>
          <w:spacing w:val="-45"/>
          <w:w w:val="105"/>
        </w:rPr>
        <w:t> </w:t>
      </w:r>
      <w:r>
        <w:rPr>
          <w:color w:val="231F20"/>
          <w:w w:val="105"/>
        </w:rPr>
        <w:t>omogeneizzazione.</w:t>
      </w:r>
      <w:r>
        <w:rPr>
          <w:color w:val="231F20"/>
          <w:spacing w:val="-45"/>
          <w:w w:val="105"/>
        </w:rPr>
        <w:t> </w:t>
      </w:r>
      <w:r>
        <w:rPr>
          <w:color w:val="231F20"/>
          <w:w w:val="105"/>
        </w:rPr>
        <w:t>Senza</w:t>
      </w:r>
      <w:r>
        <w:rPr>
          <w:color w:val="231F20"/>
          <w:spacing w:val="-45"/>
          <w:w w:val="105"/>
        </w:rPr>
        <w:t> </w:t>
      </w:r>
      <w:r>
        <w:rPr>
          <w:color w:val="231F20"/>
          <w:w w:val="105"/>
        </w:rPr>
        <w:t>dubbio,</w:t>
      </w:r>
      <w:r>
        <w:rPr>
          <w:color w:val="231F20"/>
          <w:spacing w:val="-45"/>
          <w:w w:val="105"/>
        </w:rPr>
        <w:t> </w:t>
      </w:r>
      <w:r>
        <w:rPr>
          <w:color w:val="231F20"/>
          <w:w w:val="105"/>
        </w:rPr>
        <w:t>il</w:t>
      </w:r>
      <w:r>
        <w:rPr>
          <w:color w:val="231F20"/>
          <w:spacing w:val="-45"/>
          <w:w w:val="105"/>
        </w:rPr>
        <w:t> </w:t>
      </w:r>
      <w:r>
        <w:rPr>
          <w:color w:val="231F20"/>
          <w:w w:val="105"/>
        </w:rPr>
        <w:t>paradosso</w:t>
      </w:r>
      <w:r>
        <w:rPr>
          <w:color w:val="231F20"/>
          <w:spacing w:val="-45"/>
          <w:w w:val="105"/>
        </w:rPr>
        <w:t> </w:t>
      </w:r>
      <w:r>
        <w:rPr>
          <w:color w:val="231F20"/>
          <w:w w:val="105"/>
        </w:rPr>
        <w:t>più</w:t>
      </w:r>
      <w:r>
        <w:rPr>
          <w:color w:val="231F20"/>
          <w:spacing w:val="-45"/>
          <w:w w:val="105"/>
        </w:rPr>
        <w:t> </w:t>
      </w:r>
      <w:r>
        <w:rPr>
          <w:color w:val="231F20"/>
          <w:w w:val="105"/>
        </w:rPr>
        <w:t>evidente</w:t>
      </w:r>
      <w:r>
        <w:rPr>
          <w:color w:val="231F20"/>
          <w:spacing w:val="-45"/>
          <w:w w:val="105"/>
        </w:rPr>
        <w:t> </w:t>
      </w:r>
      <w:r>
        <w:rPr>
          <w:color w:val="231F20"/>
          <w:w w:val="105"/>
        </w:rPr>
        <w:t>è</w:t>
      </w:r>
      <w:r>
        <w:rPr>
          <w:color w:val="231F20"/>
          <w:spacing w:val="-45"/>
          <w:w w:val="105"/>
        </w:rPr>
        <w:t> </w:t>
      </w:r>
      <w:r>
        <w:rPr>
          <w:color w:val="231F20"/>
          <w:w w:val="105"/>
        </w:rPr>
        <w:t>la strana</w:t>
      </w:r>
      <w:r>
        <w:rPr>
          <w:color w:val="231F20"/>
          <w:spacing w:val="-28"/>
          <w:w w:val="105"/>
        </w:rPr>
        <w:t> </w:t>
      </w:r>
      <w:r>
        <w:rPr>
          <w:color w:val="231F20"/>
          <w:w w:val="105"/>
        </w:rPr>
        <w:t>embricazione</w:t>
      </w:r>
      <w:r>
        <w:rPr>
          <w:color w:val="231F20"/>
          <w:spacing w:val="-28"/>
          <w:w w:val="105"/>
        </w:rPr>
        <w:t> </w:t>
      </w:r>
      <w:r>
        <w:rPr>
          <w:color w:val="231F20"/>
          <w:w w:val="105"/>
        </w:rPr>
        <w:t>tra</w:t>
      </w:r>
      <w:r>
        <w:rPr>
          <w:color w:val="231F20"/>
          <w:spacing w:val="-28"/>
          <w:w w:val="105"/>
        </w:rPr>
        <w:t> </w:t>
      </w:r>
      <w:r>
        <w:rPr>
          <w:color w:val="231F20"/>
          <w:w w:val="105"/>
        </w:rPr>
        <w:t>il</w:t>
      </w:r>
      <w:r>
        <w:rPr>
          <w:color w:val="231F20"/>
          <w:spacing w:val="-28"/>
          <w:w w:val="105"/>
        </w:rPr>
        <w:t> </w:t>
      </w:r>
      <w:r>
        <w:rPr>
          <w:color w:val="231F20"/>
          <w:w w:val="105"/>
        </w:rPr>
        <w:t>locale</w:t>
      </w:r>
      <w:r>
        <w:rPr>
          <w:color w:val="231F20"/>
          <w:spacing w:val="-28"/>
          <w:w w:val="105"/>
        </w:rPr>
        <w:t> </w:t>
      </w:r>
      <w:r>
        <w:rPr>
          <w:color w:val="231F20"/>
          <w:w w:val="105"/>
        </w:rPr>
        <w:t>e</w:t>
      </w:r>
      <w:r>
        <w:rPr>
          <w:color w:val="231F20"/>
          <w:spacing w:val="-28"/>
          <w:w w:val="105"/>
        </w:rPr>
        <w:t> </w:t>
      </w:r>
      <w:r>
        <w:rPr>
          <w:color w:val="231F20"/>
          <w:w w:val="105"/>
        </w:rPr>
        <w:t>il</w:t>
      </w:r>
      <w:r>
        <w:rPr>
          <w:color w:val="231F20"/>
          <w:spacing w:val="-28"/>
          <w:w w:val="105"/>
        </w:rPr>
        <w:t> </w:t>
      </w:r>
      <w:r>
        <w:rPr>
          <w:color w:val="231F20"/>
          <w:w w:val="105"/>
        </w:rPr>
        <w:t>globale.</w:t>
      </w:r>
      <w:r>
        <w:rPr>
          <w:color w:val="231F20"/>
          <w:spacing w:val="-28"/>
          <w:w w:val="105"/>
        </w:rPr>
        <w:t> </w:t>
      </w:r>
      <w:r>
        <w:rPr>
          <w:color w:val="231F20"/>
          <w:w w:val="105"/>
        </w:rPr>
        <w:t>Col</w:t>
      </w:r>
      <w:r>
        <w:rPr>
          <w:color w:val="231F20"/>
          <w:spacing w:val="-28"/>
          <w:w w:val="105"/>
        </w:rPr>
        <w:t> </w:t>
      </w:r>
      <w:r>
        <w:rPr>
          <w:color w:val="231F20"/>
          <w:w w:val="105"/>
        </w:rPr>
        <w:t>termine</w:t>
      </w:r>
      <w:r>
        <w:rPr>
          <w:color w:val="231F20"/>
          <w:spacing w:val="-28"/>
          <w:w w:val="105"/>
        </w:rPr>
        <w:t> </w:t>
      </w:r>
      <w:r>
        <w:rPr>
          <w:rFonts w:ascii="Arial" w:hAnsi="Arial"/>
          <w:i/>
          <w:color w:val="231F20"/>
          <w:w w:val="105"/>
        </w:rPr>
        <w:t>glocale</w:t>
      </w:r>
      <w:r>
        <w:rPr>
          <w:rFonts w:ascii="Arial" w:hAnsi="Arial"/>
          <w:i/>
          <w:color w:val="231F20"/>
          <w:spacing w:val="-20"/>
          <w:w w:val="105"/>
        </w:rPr>
        <w:t> </w:t>
      </w:r>
      <w:r>
        <w:rPr>
          <w:color w:val="231F20"/>
          <w:w w:val="105"/>
        </w:rPr>
        <w:t>si</w:t>
      </w:r>
      <w:r>
        <w:rPr>
          <w:color w:val="231F20"/>
          <w:spacing w:val="-28"/>
          <w:w w:val="105"/>
        </w:rPr>
        <w:t> </w:t>
      </w:r>
      <w:r>
        <w:rPr>
          <w:color w:val="231F20"/>
          <w:w w:val="105"/>
        </w:rPr>
        <w:t>cercò</w:t>
      </w:r>
      <w:r>
        <w:rPr>
          <w:color w:val="231F20"/>
          <w:spacing w:val="-28"/>
          <w:w w:val="105"/>
        </w:rPr>
        <w:t> </w:t>
      </w:r>
      <w:r>
        <w:rPr>
          <w:color w:val="231F20"/>
          <w:w w:val="105"/>
        </w:rPr>
        <w:t>di spiegare</w:t>
      </w:r>
      <w:r>
        <w:rPr>
          <w:color w:val="231F20"/>
          <w:spacing w:val="-41"/>
          <w:w w:val="105"/>
        </w:rPr>
        <w:t> </w:t>
      </w:r>
      <w:r>
        <w:rPr>
          <w:color w:val="231F20"/>
          <w:w w:val="105"/>
        </w:rPr>
        <w:t>certe</w:t>
      </w:r>
      <w:r>
        <w:rPr>
          <w:color w:val="231F20"/>
          <w:spacing w:val="-41"/>
          <w:w w:val="105"/>
        </w:rPr>
        <w:t> </w:t>
      </w:r>
      <w:r>
        <w:rPr>
          <w:color w:val="231F20"/>
          <w:w w:val="105"/>
        </w:rPr>
        <w:t>pratiche</w:t>
      </w:r>
      <w:r>
        <w:rPr>
          <w:color w:val="231F20"/>
          <w:spacing w:val="-41"/>
          <w:w w:val="105"/>
        </w:rPr>
        <w:t> </w:t>
      </w:r>
      <w:r>
        <w:rPr>
          <w:color w:val="231F20"/>
          <w:w w:val="105"/>
        </w:rPr>
        <w:t>e</w:t>
      </w:r>
      <w:r>
        <w:rPr>
          <w:color w:val="231F20"/>
          <w:spacing w:val="-41"/>
          <w:w w:val="105"/>
        </w:rPr>
        <w:t> </w:t>
      </w:r>
      <w:r>
        <w:rPr>
          <w:color w:val="231F20"/>
          <w:w w:val="105"/>
        </w:rPr>
        <w:t>processi</w:t>
      </w:r>
      <w:r>
        <w:rPr>
          <w:color w:val="231F20"/>
          <w:spacing w:val="-41"/>
          <w:w w:val="105"/>
        </w:rPr>
        <w:t> </w:t>
      </w:r>
      <w:r>
        <w:rPr>
          <w:color w:val="231F20"/>
          <w:w w:val="105"/>
        </w:rPr>
        <w:t>che</w:t>
      </w:r>
      <w:r>
        <w:rPr>
          <w:color w:val="231F20"/>
          <w:spacing w:val="-41"/>
          <w:w w:val="105"/>
        </w:rPr>
        <w:t> </w:t>
      </w:r>
      <w:r>
        <w:rPr>
          <w:color w:val="231F20"/>
          <w:w w:val="105"/>
        </w:rPr>
        <w:t>hanno</w:t>
      </w:r>
      <w:r>
        <w:rPr>
          <w:color w:val="231F20"/>
          <w:spacing w:val="-41"/>
          <w:w w:val="105"/>
        </w:rPr>
        <w:t> </w:t>
      </w:r>
      <w:r>
        <w:rPr>
          <w:color w:val="231F20"/>
          <w:w w:val="105"/>
        </w:rPr>
        <w:t>allo</w:t>
      </w:r>
      <w:r>
        <w:rPr>
          <w:color w:val="231F20"/>
          <w:spacing w:val="-41"/>
          <w:w w:val="105"/>
        </w:rPr>
        <w:t> </w:t>
      </w:r>
      <w:r>
        <w:rPr>
          <w:color w:val="231F20"/>
          <w:w w:val="105"/>
        </w:rPr>
        <w:t>stesso</w:t>
      </w:r>
      <w:r>
        <w:rPr>
          <w:color w:val="231F20"/>
          <w:spacing w:val="-41"/>
          <w:w w:val="105"/>
        </w:rPr>
        <w:t> </w:t>
      </w:r>
      <w:r>
        <w:rPr>
          <w:color w:val="231F20"/>
          <w:w w:val="105"/>
        </w:rPr>
        <w:t>tempo</w:t>
      </w:r>
      <w:r>
        <w:rPr>
          <w:color w:val="231F20"/>
          <w:spacing w:val="-41"/>
          <w:w w:val="105"/>
        </w:rPr>
        <w:t> </w:t>
      </w:r>
      <w:r>
        <w:rPr>
          <w:color w:val="231F20"/>
          <w:w w:val="105"/>
        </w:rPr>
        <w:t>un</w:t>
      </w:r>
      <w:r>
        <w:rPr>
          <w:color w:val="231F20"/>
          <w:spacing w:val="-41"/>
          <w:w w:val="105"/>
        </w:rPr>
        <w:t> </w:t>
      </w:r>
      <w:r>
        <w:rPr>
          <w:color w:val="231F20"/>
          <w:w w:val="105"/>
        </w:rPr>
        <w:t>carattere globale</w:t>
      </w:r>
      <w:r>
        <w:rPr>
          <w:color w:val="231F20"/>
          <w:spacing w:val="-51"/>
          <w:w w:val="105"/>
        </w:rPr>
        <w:t> </w:t>
      </w:r>
      <w:r>
        <w:rPr>
          <w:color w:val="231F20"/>
          <w:w w:val="105"/>
        </w:rPr>
        <w:t>e</w:t>
      </w:r>
      <w:r>
        <w:rPr>
          <w:color w:val="231F20"/>
          <w:spacing w:val="-51"/>
          <w:w w:val="105"/>
        </w:rPr>
        <w:t> </w:t>
      </w:r>
      <w:r>
        <w:rPr>
          <w:color w:val="231F20"/>
          <w:w w:val="105"/>
        </w:rPr>
        <w:t>locale.</w:t>
      </w:r>
      <w:r>
        <w:rPr>
          <w:color w:val="231F20"/>
          <w:spacing w:val="-51"/>
          <w:w w:val="105"/>
        </w:rPr>
        <w:t> </w:t>
      </w:r>
      <w:r>
        <w:rPr>
          <w:color w:val="231F20"/>
          <w:w w:val="105"/>
        </w:rPr>
        <w:t>Il</w:t>
      </w:r>
      <w:r>
        <w:rPr>
          <w:color w:val="231F20"/>
          <w:spacing w:val="-51"/>
          <w:w w:val="105"/>
        </w:rPr>
        <w:t> </w:t>
      </w:r>
      <w:r>
        <w:rPr>
          <w:color w:val="231F20"/>
          <w:w w:val="105"/>
        </w:rPr>
        <w:t>termine</w:t>
      </w:r>
      <w:r>
        <w:rPr>
          <w:color w:val="231F20"/>
          <w:spacing w:val="-51"/>
          <w:w w:val="105"/>
        </w:rPr>
        <w:t> </w:t>
      </w:r>
      <w:r>
        <w:rPr>
          <w:color w:val="231F20"/>
          <w:w w:val="105"/>
        </w:rPr>
        <w:t>viene</w:t>
      </w:r>
      <w:r>
        <w:rPr>
          <w:color w:val="231F20"/>
          <w:spacing w:val="-51"/>
          <w:w w:val="105"/>
        </w:rPr>
        <w:t> </w:t>
      </w:r>
      <w:r>
        <w:rPr>
          <w:color w:val="231F20"/>
          <w:w w:val="105"/>
        </w:rPr>
        <w:t>dal</w:t>
      </w:r>
      <w:r>
        <w:rPr>
          <w:color w:val="231F20"/>
          <w:spacing w:val="-51"/>
          <w:w w:val="105"/>
        </w:rPr>
        <w:t> </w:t>
      </w:r>
      <w:r>
        <w:rPr>
          <w:color w:val="231F20"/>
          <w:w w:val="105"/>
        </w:rPr>
        <w:t>giapponese</w:t>
      </w:r>
      <w:r>
        <w:rPr>
          <w:color w:val="231F20"/>
          <w:spacing w:val="-51"/>
          <w:w w:val="105"/>
        </w:rPr>
        <w:t> </w:t>
      </w:r>
      <w:r>
        <w:rPr>
          <w:rFonts w:ascii="Arial" w:hAnsi="Arial"/>
          <w:i/>
          <w:color w:val="231F20"/>
          <w:w w:val="105"/>
        </w:rPr>
        <w:t>dochakuka</w:t>
      </w:r>
      <w:r>
        <w:rPr>
          <w:color w:val="231F20"/>
          <w:w w:val="105"/>
        </w:rPr>
        <w:t>,</w:t>
      </w:r>
      <w:r>
        <w:rPr>
          <w:color w:val="231F20"/>
          <w:spacing w:val="-51"/>
          <w:w w:val="105"/>
        </w:rPr>
        <w:t> </w:t>
      </w:r>
      <w:r>
        <w:rPr>
          <w:color w:val="231F20"/>
          <w:w w:val="105"/>
        </w:rPr>
        <w:t>parola</w:t>
      </w:r>
      <w:r>
        <w:rPr>
          <w:color w:val="231F20"/>
          <w:spacing w:val="-51"/>
          <w:w w:val="105"/>
        </w:rPr>
        <w:t> </w:t>
      </w:r>
      <w:r>
        <w:rPr>
          <w:color w:val="231F20"/>
          <w:w w:val="105"/>
        </w:rPr>
        <w:t>derivata da</w:t>
      </w:r>
      <w:r>
        <w:rPr>
          <w:color w:val="231F20"/>
          <w:spacing w:val="-24"/>
          <w:w w:val="105"/>
        </w:rPr>
        <w:t> </w:t>
      </w:r>
      <w:r>
        <w:rPr>
          <w:rFonts w:ascii="Arial" w:hAnsi="Arial"/>
          <w:i/>
          <w:color w:val="231F20"/>
          <w:w w:val="105"/>
        </w:rPr>
        <w:t>dochaku</w:t>
      </w:r>
      <w:r>
        <w:rPr>
          <w:color w:val="231F20"/>
          <w:w w:val="105"/>
        </w:rPr>
        <w:t>,</w:t>
      </w:r>
      <w:r>
        <w:rPr>
          <w:color w:val="231F20"/>
          <w:spacing w:val="-24"/>
          <w:w w:val="105"/>
        </w:rPr>
        <w:t> </w:t>
      </w:r>
      <w:r>
        <w:rPr>
          <w:color w:val="231F20"/>
          <w:w w:val="105"/>
        </w:rPr>
        <w:t>che</w:t>
      </w:r>
      <w:r>
        <w:rPr>
          <w:color w:val="231F20"/>
          <w:spacing w:val="-24"/>
          <w:w w:val="105"/>
        </w:rPr>
        <w:t> </w:t>
      </w:r>
      <w:r>
        <w:rPr>
          <w:color w:val="231F20"/>
          <w:w w:val="105"/>
        </w:rPr>
        <w:t>significa</w:t>
      </w:r>
      <w:r>
        <w:rPr>
          <w:color w:val="231F20"/>
          <w:spacing w:val="-24"/>
          <w:w w:val="105"/>
        </w:rPr>
        <w:t> </w:t>
      </w:r>
      <w:r>
        <w:rPr>
          <w:color w:val="231F20"/>
          <w:w w:val="105"/>
        </w:rPr>
        <w:t>“vivendo</w:t>
      </w:r>
      <w:r>
        <w:rPr>
          <w:color w:val="231F20"/>
          <w:spacing w:val="-24"/>
          <w:w w:val="105"/>
        </w:rPr>
        <w:t> </w:t>
      </w:r>
      <w:r>
        <w:rPr>
          <w:color w:val="231F20"/>
          <w:w w:val="105"/>
        </w:rPr>
        <w:t>nella</w:t>
      </w:r>
      <w:r>
        <w:rPr>
          <w:color w:val="231F20"/>
          <w:spacing w:val="-24"/>
          <w:w w:val="105"/>
        </w:rPr>
        <w:t> </w:t>
      </w:r>
      <w:r>
        <w:rPr>
          <w:color w:val="231F20"/>
          <w:w w:val="105"/>
        </w:rPr>
        <w:t>propria</w:t>
      </w:r>
      <w:r>
        <w:rPr>
          <w:color w:val="231F20"/>
          <w:spacing w:val="-24"/>
          <w:w w:val="105"/>
        </w:rPr>
        <w:t> </w:t>
      </w:r>
      <w:r>
        <w:rPr>
          <w:color w:val="231F20"/>
          <w:w w:val="105"/>
        </w:rPr>
        <w:t>terra</w:t>
      </w:r>
      <w:r>
        <w:rPr>
          <w:color w:val="231F20"/>
          <w:spacing w:val="-24"/>
          <w:w w:val="105"/>
        </w:rPr>
        <w:t> </w:t>
      </w:r>
      <w:r>
        <w:rPr>
          <w:color w:val="231F20"/>
          <w:w w:val="105"/>
        </w:rPr>
        <w:t>di</w:t>
      </w:r>
      <w:r>
        <w:rPr>
          <w:color w:val="231F20"/>
          <w:spacing w:val="-24"/>
          <w:w w:val="105"/>
        </w:rPr>
        <w:t> </w:t>
      </w:r>
      <w:r>
        <w:rPr>
          <w:color w:val="231F20"/>
          <w:w w:val="105"/>
        </w:rPr>
        <w:t>uno”</w:t>
      </w:r>
      <w:r>
        <w:rPr>
          <w:color w:val="231F20"/>
          <w:spacing w:val="-24"/>
          <w:w w:val="105"/>
        </w:rPr>
        <w:t> </w:t>
      </w:r>
      <w:r>
        <w:rPr>
          <w:color w:val="231F20"/>
          <w:w w:val="105"/>
        </w:rPr>
        <w:t>e</w:t>
      </w:r>
      <w:r>
        <w:rPr>
          <w:color w:val="231F20"/>
          <w:spacing w:val="-24"/>
          <w:w w:val="105"/>
        </w:rPr>
        <w:t> </w:t>
      </w:r>
      <w:r>
        <w:rPr>
          <w:color w:val="231F20"/>
          <w:w w:val="105"/>
        </w:rPr>
        <w:t>si</w:t>
      </w:r>
      <w:r>
        <w:rPr>
          <w:color w:val="231F20"/>
          <w:spacing w:val="-24"/>
          <w:w w:val="105"/>
        </w:rPr>
        <w:t> </w:t>
      </w:r>
      <w:r>
        <w:rPr>
          <w:color w:val="231F20"/>
          <w:w w:val="105"/>
        </w:rPr>
        <w:t>riferisce all’adattamento</w:t>
      </w:r>
      <w:r>
        <w:rPr>
          <w:color w:val="231F20"/>
          <w:spacing w:val="-41"/>
          <w:w w:val="105"/>
        </w:rPr>
        <w:t> </w:t>
      </w:r>
      <w:r>
        <w:rPr>
          <w:color w:val="231F20"/>
          <w:w w:val="105"/>
        </w:rPr>
        <w:t>di</w:t>
      </w:r>
      <w:r>
        <w:rPr>
          <w:color w:val="231F20"/>
          <w:spacing w:val="-41"/>
          <w:w w:val="105"/>
        </w:rPr>
        <w:t> </w:t>
      </w:r>
      <w:r>
        <w:rPr>
          <w:color w:val="231F20"/>
          <w:w w:val="105"/>
        </w:rPr>
        <w:t>certe</w:t>
      </w:r>
      <w:r>
        <w:rPr>
          <w:color w:val="231F20"/>
          <w:spacing w:val="-41"/>
          <w:w w:val="105"/>
        </w:rPr>
        <w:t> </w:t>
      </w:r>
      <w:r>
        <w:rPr>
          <w:color w:val="231F20"/>
          <w:w w:val="105"/>
        </w:rPr>
        <w:t>tecniche</w:t>
      </w:r>
      <w:r>
        <w:rPr>
          <w:color w:val="231F20"/>
          <w:spacing w:val="-41"/>
          <w:w w:val="105"/>
        </w:rPr>
        <w:t> </w:t>
      </w:r>
      <w:r>
        <w:rPr>
          <w:color w:val="231F20"/>
          <w:w w:val="105"/>
        </w:rPr>
        <w:t>agricole</w:t>
      </w:r>
      <w:r>
        <w:rPr>
          <w:color w:val="231F20"/>
          <w:spacing w:val="-41"/>
          <w:w w:val="105"/>
        </w:rPr>
        <w:t> </w:t>
      </w:r>
      <w:r>
        <w:rPr>
          <w:color w:val="231F20"/>
          <w:w w:val="105"/>
        </w:rPr>
        <w:t>moderne</w:t>
      </w:r>
      <w:r>
        <w:rPr>
          <w:color w:val="231F20"/>
          <w:spacing w:val="-41"/>
          <w:w w:val="105"/>
        </w:rPr>
        <w:t> </w:t>
      </w:r>
      <w:r>
        <w:rPr>
          <w:color w:val="231F20"/>
          <w:w w:val="105"/>
        </w:rPr>
        <w:t>alle</w:t>
      </w:r>
      <w:r>
        <w:rPr>
          <w:color w:val="231F20"/>
          <w:spacing w:val="-41"/>
          <w:w w:val="105"/>
        </w:rPr>
        <w:t> </w:t>
      </w:r>
      <w:r>
        <w:rPr>
          <w:color w:val="231F20"/>
          <w:w w:val="105"/>
        </w:rPr>
        <w:t>condizioni</w:t>
      </w:r>
      <w:r>
        <w:rPr>
          <w:color w:val="231F20"/>
          <w:spacing w:val="-41"/>
          <w:w w:val="105"/>
        </w:rPr>
        <w:t> </w:t>
      </w:r>
      <w:r>
        <w:rPr>
          <w:color w:val="231F20"/>
          <w:w w:val="105"/>
        </w:rPr>
        <w:t>locali</w:t>
      </w:r>
      <w:r>
        <w:rPr>
          <w:color w:val="231F20"/>
          <w:spacing w:val="-41"/>
          <w:w w:val="105"/>
        </w:rPr>
        <w:t> </w:t>
      </w:r>
      <w:r>
        <w:rPr>
          <w:color w:val="231F20"/>
          <w:w w:val="105"/>
        </w:rPr>
        <w:t>dei villaggi</w:t>
      </w:r>
      <w:r>
        <w:rPr>
          <w:color w:val="231F20"/>
          <w:w w:val="105"/>
          <w:position w:val="7"/>
          <w:sz w:val="12"/>
        </w:rPr>
        <w:t>6</w:t>
      </w:r>
      <w:r>
        <w:rPr>
          <w:color w:val="231F20"/>
          <w:w w:val="105"/>
        </w:rPr>
        <w:t>.</w:t>
      </w:r>
      <w:r>
        <w:rPr>
          <w:color w:val="231F20"/>
          <w:spacing w:val="-39"/>
          <w:w w:val="105"/>
        </w:rPr>
        <w:t> </w:t>
      </w:r>
      <w:r>
        <w:rPr>
          <w:color w:val="231F20"/>
          <w:w w:val="105"/>
        </w:rPr>
        <w:t>Per</w:t>
      </w:r>
      <w:r>
        <w:rPr>
          <w:color w:val="231F20"/>
          <w:spacing w:val="-39"/>
          <w:w w:val="105"/>
        </w:rPr>
        <w:t> </w:t>
      </w:r>
      <w:r>
        <w:rPr>
          <w:color w:val="231F20"/>
          <w:w w:val="105"/>
        </w:rPr>
        <w:t>Giacomo</w:t>
      </w:r>
      <w:r>
        <w:rPr>
          <w:color w:val="231F20"/>
          <w:spacing w:val="-39"/>
          <w:w w:val="105"/>
        </w:rPr>
        <w:t> </w:t>
      </w:r>
      <w:r>
        <w:rPr>
          <w:color w:val="231F20"/>
          <w:w w:val="105"/>
        </w:rPr>
        <w:t>Marramao,</w:t>
      </w:r>
      <w:r>
        <w:rPr>
          <w:color w:val="231F20"/>
          <w:spacing w:val="-39"/>
          <w:w w:val="105"/>
        </w:rPr>
        <w:t> </w:t>
      </w:r>
      <w:r>
        <w:rPr>
          <w:color w:val="231F20"/>
          <w:w w:val="105"/>
        </w:rPr>
        <w:t>il</w:t>
      </w:r>
      <w:r>
        <w:rPr>
          <w:color w:val="231F20"/>
          <w:spacing w:val="-39"/>
          <w:w w:val="105"/>
        </w:rPr>
        <w:t> </w:t>
      </w:r>
      <w:r>
        <w:rPr>
          <w:color w:val="231F20"/>
          <w:w w:val="105"/>
        </w:rPr>
        <w:t>neologismo</w:t>
      </w:r>
      <w:r>
        <w:rPr>
          <w:color w:val="231F20"/>
          <w:spacing w:val="-39"/>
          <w:w w:val="105"/>
        </w:rPr>
        <w:t> </w:t>
      </w:r>
      <w:r>
        <w:rPr>
          <w:rFonts w:ascii="Arial" w:hAnsi="Arial"/>
          <w:i/>
          <w:color w:val="231F20"/>
          <w:w w:val="105"/>
        </w:rPr>
        <w:t>glocale</w:t>
      </w:r>
      <w:r>
        <w:rPr>
          <w:rFonts w:ascii="Arial" w:hAnsi="Arial"/>
          <w:i/>
          <w:color w:val="231F20"/>
          <w:spacing w:val="-32"/>
          <w:w w:val="105"/>
        </w:rPr>
        <w:t> </w:t>
      </w:r>
      <w:r>
        <w:rPr>
          <w:color w:val="231F20"/>
          <w:w w:val="105"/>
        </w:rPr>
        <w:t>ritratta</w:t>
      </w:r>
      <w:r>
        <w:rPr>
          <w:color w:val="231F20"/>
          <w:spacing w:val="-39"/>
          <w:w w:val="105"/>
        </w:rPr>
        <w:t> </w:t>
      </w:r>
      <w:r>
        <w:rPr>
          <w:color w:val="231F20"/>
          <w:w w:val="105"/>
        </w:rPr>
        <w:t>abbastanza bene il carattere paradossale della globalizzazione, perchè ci parla</w:t>
      </w:r>
      <w:r>
        <w:rPr>
          <w:color w:val="231F20"/>
          <w:spacing w:val="-26"/>
          <w:w w:val="105"/>
        </w:rPr>
        <w:t> </w:t>
      </w:r>
      <w:r>
        <w:rPr>
          <w:color w:val="231F20"/>
          <w:w w:val="105"/>
        </w:rPr>
        <w:t>della embricazione</w:t>
      </w:r>
      <w:r>
        <w:rPr>
          <w:color w:val="231F20"/>
          <w:spacing w:val="-45"/>
          <w:w w:val="105"/>
        </w:rPr>
        <w:t> </w:t>
      </w:r>
      <w:r>
        <w:rPr>
          <w:color w:val="231F20"/>
          <w:w w:val="105"/>
        </w:rPr>
        <w:t>complessa</w:t>
      </w:r>
      <w:r>
        <w:rPr>
          <w:color w:val="231F20"/>
          <w:spacing w:val="-45"/>
          <w:w w:val="105"/>
        </w:rPr>
        <w:t> </w:t>
      </w:r>
      <w:r>
        <w:rPr>
          <w:color w:val="231F20"/>
          <w:w w:val="105"/>
        </w:rPr>
        <w:t>—non</w:t>
      </w:r>
      <w:r>
        <w:rPr>
          <w:color w:val="231F20"/>
          <w:spacing w:val="-45"/>
          <w:w w:val="105"/>
        </w:rPr>
        <w:t> </w:t>
      </w:r>
      <w:r>
        <w:rPr>
          <w:color w:val="231F20"/>
          <w:w w:val="105"/>
        </w:rPr>
        <w:t>solo</w:t>
      </w:r>
      <w:r>
        <w:rPr>
          <w:color w:val="231F20"/>
          <w:spacing w:val="-45"/>
          <w:w w:val="105"/>
        </w:rPr>
        <w:t> </w:t>
      </w:r>
      <w:r>
        <w:rPr>
          <w:color w:val="231F20"/>
          <w:w w:val="105"/>
        </w:rPr>
        <w:t>addizione,</w:t>
      </w:r>
      <w:r>
        <w:rPr>
          <w:color w:val="231F20"/>
          <w:spacing w:val="-45"/>
          <w:w w:val="105"/>
        </w:rPr>
        <w:t> </w:t>
      </w:r>
      <w:r>
        <w:rPr>
          <w:color w:val="231F20"/>
          <w:w w:val="105"/>
        </w:rPr>
        <w:t>ma</w:t>
      </w:r>
      <w:r>
        <w:rPr>
          <w:color w:val="231F20"/>
          <w:spacing w:val="-45"/>
          <w:w w:val="105"/>
        </w:rPr>
        <w:t> </w:t>
      </w:r>
      <w:r>
        <w:rPr>
          <w:color w:val="231F20"/>
          <w:w w:val="105"/>
        </w:rPr>
        <w:t>neanche</w:t>
      </w:r>
      <w:r>
        <w:rPr>
          <w:color w:val="231F20"/>
          <w:spacing w:val="-45"/>
          <w:w w:val="105"/>
        </w:rPr>
        <w:t> </w:t>
      </w:r>
      <w:r>
        <w:rPr>
          <w:color w:val="231F20"/>
          <w:w w:val="105"/>
        </w:rPr>
        <w:t>sottrazione;</w:t>
      </w:r>
      <w:r>
        <w:rPr>
          <w:color w:val="231F20"/>
          <w:spacing w:val="-45"/>
          <w:w w:val="105"/>
        </w:rPr>
        <w:t> </w:t>
      </w:r>
      <w:r>
        <w:rPr>
          <w:color w:val="231F20"/>
          <w:w w:val="105"/>
        </w:rPr>
        <w:t>ne solo</w:t>
      </w:r>
      <w:r>
        <w:rPr>
          <w:color w:val="231F20"/>
          <w:spacing w:val="-28"/>
          <w:w w:val="105"/>
        </w:rPr>
        <w:t> </w:t>
      </w:r>
      <w:r>
        <w:rPr>
          <w:color w:val="231F20"/>
          <w:w w:val="105"/>
        </w:rPr>
        <w:t>omogeneizzazione,</w:t>
      </w:r>
      <w:r>
        <w:rPr>
          <w:color w:val="231F20"/>
          <w:spacing w:val="-28"/>
          <w:w w:val="105"/>
        </w:rPr>
        <w:t> </w:t>
      </w:r>
      <w:r>
        <w:rPr>
          <w:color w:val="231F20"/>
          <w:w w:val="105"/>
        </w:rPr>
        <w:t>ma</w:t>
      </w:r>
      <w:r>
        <w:rPr>
          <w:color w:val="231F20"/>
          <w:spacing w:val="-28"/>
          <w:w w:val="105"/>
        </w:rPr>
        <w:t> </w:t>
      </w:r>
      <w:r>
        <w:rPr>
          <w:color w:val="231F20"/>
          <w:w w:val="105"/>
        </w:rPr>
        <w:t>neanche</w:t>
      </w:r>
      <w:r>
        <w:rPr>
          <w:color w:val="231F20"/>
          <w:spacing w:val="-28"/>
          <w:w w:val="105"/>
        </w:rPr>
        <w:t> </w:t>
      </w:r>
      <w:r>
        <w:rPr>
          <w:color w:val="231F20"/>
          <w:w w:val="105"/>
        </w:rPr>
        <w:t>pura</w:t>
      </w:r>
      <w:r>
        <w:rPr>
          <w:color w:val="231F20"/>
          <w:spacing w:val="-28"/>
          <w:w w:val="105"/>
        </w:rPr>
        <w:t> </w:t>
      </w:r>
      <w:r>
        <w:rPr>
          <w:color w:val="231F20"/>
          <w:w w:val="105"/>
        </w:rPr>
        <w:t>differenziazione—</w:t>
      </w:r>
      <w:r>
        <w:rPr>
          <w:color w:val="231F20"/>
          <w:spacing w:val="-28"/>
          <w:w w:val="105"/>
        </w:rPr>
        <w:t> </w:t>
      </w:r>
      <w:r>
        <w:rPr>
          <w:color w:val="231F20"/>
          <w:w w:val="105"/>
        </w:rPr>
        <w:t>tra</w:t>
      </w:r>
      <w:r>
        <w:rPr>
          <w:color w:val="231F20"/>
          <w:spacing w:val="-28"/>
          <w:w w:val="105"/>
        </w:rPr>
        <w:t> </w:t>
      </w:r>
      <w:r>
        <w:rPr>
          <w:color w:val="231F20"/>
          <w:w w:val="105"/>
        </w:rPr>
        <w:t>il</w:t>
      </w:r>
      <w:r>
        <w:rPr>
          <w:color w:val="231F20"/>
          <w:spacing w:val="-28"/>
          <w:w w:val="105"/>
        </w:rPr>
        <w:t> </w:t>
      </w:r>
      <w:r>
        <w:rPr>
          <w:color w:val="231F20"/>
          <w:w w:val="105"/>
        </w:rPr>
        <w:t>locale</w:t>
      </w:r>
      <w:r>
        <w:rPr>
          <w:color w:val="231F20"/>
          <w:spacing w:val="-28"/>
          <w:w w:val="105"/>
        </w:rPr>
        <w:t> </w:t>
      </w:r>
      <w:r>
        <w:rPr>
          <w:color w:val="231F20"/>
          <w:w w:val="105"/>
        </w:rPr>
        <w:t>e il</w:t>
      </w:r>
      <w:r>
        <w:rPr>
          <w:color w:val="231F20"/>
          <w:spacing w:val="-7"/>
          <w:w w:val="105"/>
        </w:rPr>
        <w:t> </w:t>
      </w:r>
      <w:r>
        <w:rPr>
          <w:color w:val="231F20"/>
          <w:w w:val="105"/>
        </w:rPr>
        <w:t>globale:</w:t>
      </w:r>
      <w:r>
        <w:rPr>
          <w:color w:val="231F20"/>
          <w:spacing w:val="-7"/>
          <w:w w:val="105"/>
        </w:rPr>
        <w:t> </w:t>
      </w:r>
      <w:r>
        <w:rPr>
          <w:color w:val="231F20"/>
          <w:w w:val="105"/>
        </w:rPr>
        <w:t>“All’ottica</w:t>
      </w:r>
      <w:r>
        <w:rPr>
          <w:color w:val="231F20"/>
          <w:spacing w:val="-7"/>
          <w:w w:val="105"/>
        </w:rPr>
        <w:t> </w:t>
      </w:r>
      <w:r>
        <w:rPr>
          <w:color w:val="231F20"/>
          <w:w w:val="105"/>
        </w:rPr>
        <w:t>dicotomica</w:t>
      </w:r>
      <w:r>
        <w:rPr>
          <w:color w:val="231F20"/>
          <w:spacing w:val="-7"/>
          <w:w w:val="105"/>
        </w:rPr>
        <w:t> </w:t>
      </w:r>
      <w:r>
        <w:rPr>
          <w:color w:val="231F20"/>
          <w:w w:val="105"/>
        </w:rPr>
        <w:t>sembra</w:t>
      </w:r>
      <w:r>
        <w:rPr>
          <w:color w:val="231F20"/>
          <w:spacing w:val="-7"/>
          <w:w w:val="105"/>
        </w:rPr>
        <w:t> </w:t>
      </w:r>
      <w:r>
        <w:rPr>
          <w:color w:val="231F20"/>
          <w:w w:val="105"/>
        </w:rPr>
        <w:t>scappare</w:t>
      </w:r>
      <w:r>
        <w:rPr>
          <w:color w:val="231F20"/>
          <w:spacing w:val="-7"/>
          <w:w w:val="105"/>
        </w:rPr>
        <w:t> </w:t>
      </w:r>
      <w:r>
        <w:rPr>
          <w:color w:val="231F20"/>
          <w:w w:val="105"/>
        </w:rPr>
        <w:t>un</w:t>
      </w:r>
      <w:r>
        <w:rPr>
          <w:color w:val="231F20"/>
          <w:spacing w:val="-7"/>
          <w:w w:val="105"/>
        </w:rPr>
        <w:t> </w:t>
      </w:r>
      <w:r>
        <w:rPr>
          <w:color w:val="231F20"/>
          <w:w w:val="105"/>
        </w:rPr>
        <w:t>elemento</w:t>
      </w:r>
      <w:r>
        <w:rPr>
          <w:color w:val="231F20"/>
          <w:spacing w:val="-7"/>
          <w:w w:val="105"/>
        </w:rPr>
        <w:t> </w:t>
      </w:r>
      <w:r>
        <w:rPr>
          <w:color w:val="231F20"/>
          <w:w w:val="105"/>
        </w:rPr>
        <w:t>decisivo: per </w:t>
      </w:r>
      <w:r>
        <w:rPr>
          <w:color w:val="231F20"/>
          <w:spacing w:val="2"/>
          <w:w w:val="105"/>
        </w:rPr>
        <w:t>superare </w:t>
      </w:r>
      <w:r>
        <w:rPr>
          <w:color w:val="231F20"/>
          <w:w w:val="105"/>
        </w:rPr>
        <w:t>la </w:t>
      </w:r>
      <w:r>
        <w:rPr>
          <w:color w:val="231F20"/>
          <w:spacing w:val="2"/>
          <w:w w:val="105"/>
        </w:rPr>
        <w:t>visione unilaterale </w:t>
      </w:r>
      <w:r>
        <w:rPr>
          <w:color w:val="231F20"/>
          <w:w w:val="105"/>
        </w:rPr>
        <w:t>del </w:t>
      </w:r>
      <w:r>
        <w:rPr>
          <w:color w:val="231F20"/>
          <w:spacing w:val="2"/>
          <w:w w:val="105"/>
        </w:rPr>
        <w:t>processo </w:t>
      </w:r>
      <w:r>
        <w:rPr>
          <w:color w:val="231F20"/>
          <w:w w:val="105"/>
        </w:rPr>
        <w:t>di </w:t>
      </w:r>
      <w:r>
        <w:rPr>
          <w:color w:val="231F20"/>
          <w:spacing w:val="2"/>
          <w:w w:val="105"/>
        </w:rPr>
        <w:t>globalizzazione </w:t>
      </w:r>
      <w:r>
        <w:rPr>
          <w:color w:val="231F20"/>
          <w:spacing w:val="3"/>
          <w:w w:val="105"/>
        </w:rPr>
        <w:t>non </w:t>
      </w:r>
      <w:r>
        <w:rPr>
          <w:color w:val="231F20"/>
          <w:w w:val="105"/>
        </w:rPr>
        <w:t>basta</w:t>
      </w:r>
      <w:r>
        <w:rPr>
          <w:color w:val="231F20"/>
          <w:spacing w:val="-17"/>
          <w:w w:val="105"/>
        </w:rPr>
        <w:t> </w:t>
      </w:r>
      <w:r>
        <w:rPr>
          <w:color w:val="231F20"/>
          <w:w w:val="105"/>
        </w:rPr>
        <w:t>produrre</w:t>
      </w:r>
      <w:r>
        <w:rPr>
          <w:color w:val="231F20"/>
          <w:spacing w:val="-17"/>
          <w:w w:val="105"/>
        </w:rPr>
        <w:t> </w:t>
      </w:r>
      <w:r>
        <w:rPr>
          <w:color w:val="231F20"/>
          <w:w w:val="105"/>
        </w:rPr>
        <w:t>uno</w:t>
      </w:r>
      <w:r>
        <w:rPr>
          <w:color w:val="231F20"/>
          <w:spacing w:val="-17"/>
          <w:w w:val="105"/>
        </w:rPr>
        <w:t> </w:t>
      </w:r>
      <w:r>
        <w:rPr>
          <w:color w:val="231F20"/>
          <w:w w:val="105"/>
        </w:rPr>
        <w:t>sdoppiamento,</w:t>
      </w:r>
      <w:r>
        <w:rPr>
          <w:color w:val="231F20"/>
          <w:spacing w:val="-17"/>
          <w:w w:val="105"/>
        </w:rPr>
        <w:t> </w:t>
      </w:r>
      <w:r>
        <w:rPr>
          <w:color w:val="231F20"/>
          <w:w w:val="105"/>
        </w:rPr>
        <w:t>piuttosto</w:t>
      </w:r>
      <w:r>
        <w:rPr>
          <w:color w:val="231F20"/>
          <w:spacing w:val="-17"/>
          <w:w w:val="105"/>
        </w:rPr>
        <w:t> </w:t>
      </w:r>
      <w:r>
        <w:rPr>
          <w:color w:val="231F20"/>
          <w:w w:val="105"/>
        </w:rPr>
        <w:t>bisogna</w:t>
      </w:r>
      <w:r>
        <w:rPr>
          <w:color w:val="231F20"/>
          <w:spacing w:val="-17"/>
          <w:w w:val="105"/>
        </w:rPr>
        <w:t> </w:t>
      </w:r>
      <w:r>
        <w:rPr>
          <w:color w:val="231F20"/>
          <w:w w:val="105"/>
        </w:rPr>
        <w:t>abbordare</w:t>
      </w:r>
      <w:r>
        <w:rPr>
          <w:color w:val="231F20"/>
          <w:spacing w:val="-17"/>
          <w:w w:val="105"/>
        </w:rPr>
        <w:t> </w:t>
      </w:r>
      <w:r>
        <w:rPr>
          <w:color w:val="231F20"/>
          <w:w w:val="105"/>
        </w:rPr>
        <w:t>il</w:t>
      </w:r>
      <w:r>
        <w:rPr>
          <w:color w:val="231F20"/>
          <w:spacing w:val="-17"/>
          <w:w w:val="105"/>
        </w:rPr>
        <w:t> </w:t>
      </w:r>
      <w:r>
        <w:rPr>
          <w:color w:val="231F20"/>
          <w:w w:val="105"/>
        </w:rPr>
        <w:t>nucleo </w:t>
      </w:r>
      <w:r>
        <w:rPr>
          <w:color w:val="231F20"/>
        </w:rPr>
        <w:t>paradossale,</w:t>
      </w:r>
      <w:r>
        <w:rPr>
          <w:color w:val="231F20"/>
          <w:spacing w:val="-20"/>
        </w:rPr>
        <w:t> </w:t>
      </w:r>
      <w:r>
        <w:rPr>
          <w:color w:val="231F20"/>
        </w:rPr>
        <w:t>che</w:t>
      </w:r>
      <w:r>
        <w:rPr>
          <w:color w:val="231F20"/>
          <w:spacing w:val="-20"/>
        </w:rPr>
        <w:t> </w:t>
      </w:r>
      <w:r>
        <w:rPr>
          <w:color w:val="231F20"/>
        </w:rPr>
        <w:t>si</w:t>
      </w:r>
      <w:r>
        <w:rPr>
          <w:color w:val="231F20"/>
          <w:spacing w:val="-20"/>
        </w:rPr>
        <w:t> </w:t>
      </w:r>
      <w:r>
        <w:rPr>
          <w:color w:val="231F20"/>
        </w:rPr>
        <w:t>può</w:t>
      </w:r>
      <w:r>
        <w:rPr>
          <w:color w:val="231F20"/>
          <w:spacing w:val="-20"/>
        </w:rPr>
        <w:t> </w:t>
      </w:r>
      <w:r>
        <w:rPr>
          <w:color w:val="231F20"/>
          <w:spacing w:val="-3"/>
        </w:rPr>
        <w:t>rintracciare</w:t>
      </w:r>
      <w:r>
        <w:rPr>
          <w:color w:val="231F20"/>
          <w:spacing w:val="-20"/>
        </w:rPr>
        <w:t> </w:t>
      </w:r>
      <w:r>
        <w:rPr>
          <w:color w:val="231F20"/>
        </w:rPr>
        <w:t>giustamente</w:t>
      </w:r>
      <w:r>
        <w:rPr>
          <w:color w:val="231F20"/>
          <w:spacing w:val="-20"/>
        </w:rPr>
        <w:t> </w:t>
      </w:r>
      <w:r>
        <w:rPr>
          <w:color w:val="231F20"/>
        </w:rPr>
        <w:t>nell’intima</w:t>
      </w:r>
      <w:r>
        <w:rPr>
          <w:color w:val="231F20"/>
          <w:spacing w:val="-20"/>
        </w:rPr>
        <w:t> </w:t>
      </w:r>
      <w:r>
        <w:rPr>
          <w:color w:val="231F20"/>
        </w:rPr>
        <w:t>coappartenenza </w:t>
      </w:r>
      <w:r>
        <w:rPr>
          <w:color w:val="231F20"/>
          <w:w w:val="105"/>
        </w:rPr>
        <w:t>e</w:t>
      </w:r>
      <w:r>
        <w:rPr>
          <w:color w:val="231F20"/>
          <w:spacing w:val="-38"/>
          <w:w w:val="105"/>
        </w:rPr>
        <w:t> </w:t>
      </w:r>
      <w:r>
        <w:rPr>
          <w:color w:val="231F20"/>
          <w:w w:val="105"/>
        </w:rPr>
        <w:t>interazione</w:t>
      </w:r>
      <w:r>
        <w:rPr>
          <w:color w:val="231F20"/>
          <w:spacing w:val="-38"/>
          <w:w w:val="105"/>
        </w:rPr>
        <w:t> </w:t>
      </w:r>
      <w:r>
        <w:rPr>
          <w:color w:val="231F20"/>
          <w:w w:val="105"/>
        </w:rPr>
        <w:t>tra</w:t>
      </w:r>
      <w:r>
        <w:rPr>
          <w:color w:val="231F20"/>
          <w:spacing w:val="-38"/>
          <w:w w:val="105"/>
        </w:rPr>
        <w:t> </w:t>
      </w:r>
      <w:r>
        <w:rPr>
          <w:color w:val="231F20"/>
          <w:w w:val="105"/>
        </w:rPr>
        <w:t>le</w:t>
      </w:r>
      <w:r>
        <w:rPr>
          <w:color w:val="231F20"/>
          <w:spacing w:val="-38"/>
          <w:w w:val="105"/>
        </w:rPr>
        <w:t> </w:t>
      </w:r>
      <w:r>
        <w:rPr>
          <w:color w:val="231F20"/>
          <w:w w:val="105"/>
        </w:rPr>
        <w:t>due</w:t>
      </w:r>
      <w:r>
        <w:rPr>
          <w:color w:val="231F20"/>
          <w:spacing w:val="-38"/>
          <w:w w:val="105"/>
        </w:rPr>
        <w:t> </w:t>
      </w:r>
      <w:r>
        <w:rPr>
          <w:color w:val="231F20"/>
          <w:w w:val="105"/>
        </w:rPr>
        <w:t>dimensioni</w:t>
      </w:r>
      <w:r>
        <w:rPr>
          <w:color w:val="231F20"/>
          <w:spacing w:val="-38"/>
          <w:w w:val="105"/>
        </w:rPr>
        <w:t> </w:t>
      </w:r>
      <w:r>
        <w:rPr>
          <w:color w:val="231F20"/>
          <w:w w:val="105"/>
        </w:rPr>
        <w:t>del</w:t>
      </w:r>
      <w:r>
        <w:rPr>
          <w:color w:val="231F20"/>
          <w:spacing w:val="-38"/>
          <w:w w:val="105"/>
        </w:rPr>
        <w:t> </w:t>
      </w:r>
      <w:r>
        <w:rPr>
          <w:color w:val="231F20"/>
          <w:w w:val="105"/>
        </w:rPr>
        <w:t>globale</w:t>
      </w:r>
      <w:r>
        <w:rPr>
          <w:color w:val="231F20"/>
          <w:spacing w:val="-38"/>
          <w:w w:val="105"/>
        </w:rPr>
        <w:t> </w:t>
      </w:r>
      <w:r>
        <w:rPr>
          <w:color w:val="231F20"/>
          <w:w w:val="105"/>
        </w:rPr>
        <w:t>e</w:t>
      </w:r>
      <w:r>
        <w:rPr>
          <w:color w:val="231F20"/>
          <w:spacing w:val="-38"/>
          <w:w w:val="105"/>
        </w:rPr>
        <w:t> </w:t>
      </w:r>
      <w:r>
        <w:rPr>
          <w:color w:val="231F20"/>
          <w:w w:val="105"/>
        </w:rPr>
        <w:t>il</w:t>
      </w:r>
      <w:r>
        <w:rPr>
          <w:color w:val="231F20"/>
          <w:spacing w:val="-38"/>
          <w:w w:val="105"/>
        </w:rPr>
        <w:t> </w:t>
      </w:r>
      <w:r>
        <w:rPr>
          <w:color w:val="231F20"/>
          <w:w w:val="105"/>
        </w:rPr>
        <w:t>locale”</w:t>
      </w:r>
      <w:r>
        <w:rPr>
          <w:color w:val="231F20"/>
          <w:w w:val="105"/>
          <w:position w:val="7"/>
          <w:sz w:val="12"/>
        </w:rPr>
        <w:t>7</w:t>
      </w:r>
      <w:r>
        <w:rPr>
          <w:color w:val="231F20"/>
          <w:w w:val="105"/>
        </w:rPr>
        <w:t>.</w:t>
      </w:r>
      <w:r>
        <w:rPr>
          <w:color w:val="231F20"/>
          <w:spacing w:val="-38"/>
          <w:w w:val="105"/>
        </w:rPr>
        <w:t> </w:t>
      </w:r>
      <w:r>
        <w:rPr>
          <w:color w:val="231F20"/>
          <w:w w:val="105"/>
        </w:rPr>
        <w:t>Superare</w:t>
      </w:r>
      <w:r>
        <w:rPr>
          <w:color w:val="231F20"/>
          <w:spacing w:val="-38"/>
          <w:w w:val="105"/>
        </w:rPr>
        <w:t> </w:t>
      </w:r>
      <w:r>
        <w:rPr>
          <w:color w:val="231F20"/>
          <w:w w:val="105"/>
        </w:rPr>
        <w:t>questa logica</w:t>
      </w:r>
      <w:r>
        <w:rPr>
          <w:color w:val="231F20"/>
          <w:spacing w:val="-32"/>
          <w:w w:val="105"/>
        </w:rPr>
        <w:t> </w:t>
      </w:r>
      <w:r>
        <w:rPr>
          <w:color w:val="231F20"/>
          <w:w w:val="105"/>
        </w:rPr>
        <w:t>dicotomica</w:t>
      </w:r>
      <w:r>
        <w:rPr>
          <w:color w:val="231F20"/>
          <w:spacing w:val="-32"/>
          <w:w w:val="105"/>
        </w:rPr>
        <w:t> </w:t>
      </w:r>
      <w:r>
        <w:rPr>
          <w:color w:val="231F20"/>
          <w:w w:val="105"/>
        </w:rPr>
        <w:t>suppone</w:t>
      </w:r>
      <w:r>
        <w:rPr>
          <w:color w:val="231F20"/>
          <w:spacing w:val="-32"/>
          <w:w w:val="105"/>
        </w:rPr>
        <w:t> </w:t>
      </w:r>
      <w:r>
        <w:rPr>
          <w:color w:val="231F20"/>
          <w:w w:val="105"/>
        </w:rPr>
        <w:t>alcune</w:t>
      </w:r>
      <w:r>
        <w:rPr>
          <w:color w:val="231F20"/>
          <w:spacing w:val="-32"/>
          <w:w w:val="105"/>
        </w:rPr>
        <w:t> </w:t>
      </w:r>
      <w:r>
        <w:rPr>
          <w:color w:val="231F20"/>
          <w:w w:val="105"/>
        </w:rPr>
        <w:t>cose;</w:t>
      </w:r>
      <w:r>
        <w:rPr>
          <w:color w:val="231F20"/>
          <w:spacing w:val="-32"/>
          <w:w w:val="105"/>
        </w:rPr>
        <w:t> </w:t>
      </w:r>
      <w:r>
        <w:rPr>
          <w:rFonts w:ascii="Arial" w:hAnsi="Arial"/>
          <w:i/>
          <w:color w:val="231F20"/>
          <w:w w:val="105"/>
        </w:rPr>
        <w:t>in</w:t>
      </w:r>
      <w:r>
        <w:rPr>
          <w:rFonts w:ascii="Arial" w:hAnsi="Arial"/>
          <w:i/>
          <w:color w:val="231F20"/>
          <w:spacing w:val="-24"/>
          <w:w w:val="105"/>
        </w:rPr>
        <w:t> </w:t>
      </w:r>
      <w:r>
        <w:rPr>
          <w:rFonts w:ascii="Arial" w:hAnsi="Arial"/>
          <w:i/>
          <w:color w:val="231F20"/>
          <w:w w:val="105"/>
        </w:rPr>
        <w:t>primis</w:t>
      </w:r>
      <w:r>
        <w:rPr>
          <w:color w:val="231F20"/>
          <w:w w:val="105"/>
        </w:rPr>
        <w:t>,</w:t>
      </w:r>
      <w:r>
        <w:rPr>
          <w:color w:val="231F20"/>
          <w:spacing w:val="-32"/>
          <w:w w:val="105"/>
        </w:rPr>
        <w:t> </w:t>
      </w:r>
      <w:r>
        <w:rPr>
          <w:color w:val="231F20"/>
          <w:w w:val="105"/>
        </w:rPr>
        <w:t>che</w:t>
      </w:r>
      <w:r>
        <w:rPr>
          <w:color w:val="231F20"/>
          <w:spacing w:val="-32"/>
          <w:w w:val="105"/>
        </w:rPr>
        <w:t> </w:t>
      </w:r>
      <w:r>
        <w:rPr>
          <w:color w:val="231F20"/>
          <w:w w:val="105"/>
        </w:rPr>
        <w:t>non</w:t>
      </w:r>
      <w:r>
        <w:rPr>
          <w:color w:val="231F20"/>
          <w:spacing w:val="-32"/>
          <w:w w:val="105"/>
        </w:rPr>
        <w:t> </w:t>
      </w:r>
      <w:r>
        <w:rPr>
          <w:color w:val="231F20"/>
          <w:w w:val="105"/>
        </w:rPr>
        <w:t>si</w:t>
      </w:r>
      <w:r>
        <w:rPr>
          <w:color w:val="231F20"/>
          <w:spacing w:val="-32"/>
          <w:w w:val="105"/>
        </w:rPr>
        <w:t> </w:t>
      </w:r>
      <w:r>
        <w:rPr>
          <w:color w:val="231F20"/>
          <w:w w:val="105"/>
        </w:rPr>
        <w:t>può</w:t>
      </w:r>
      <w:r>
        <w:rPr>
          <w:color w:val="231F20"/>
          <w:spacing w:val="-32"/>
          <w:w w:val="105"/>
        </w:rPr>
        <w:t> </w:t>
      </w:r>
      <w:r>
        <w:rPr>
          <w:color w:val="231F20"/>
          <w:w w:val="105"/>
        </w:rPr>
        <w:t>parlare</w:t>
      </w:r>
      <w:r>
        <w:rPr>
          <w:color w:val="231F20"/>
          <w:spacing w:val="-32"/>
          <w:w w:val="105"/>
        </w:rPr>
        <w:t> </w:t>
      </w:r>
      <w:r>
        <w:rPr>
          <w:color w:val="231F20"/>
          <w:w w:val="105"/>
        </w:rPr>
        <w:t>di nessun</w:t>
      </w:r>
      <w:r>
        <w:rPr>
          <w:color w:val="231F20"/>
          <w:spacing w:val="-26"/>
          <w:w w:val="105"/>
        </w:rPr>
        <w:t> </w:t>
      </w:r>
      <w:r>
        <w:rPr>
          <w:color w:val="231F20"/>
          <w:w w:val="105"/>
        </w:rPr>
        <w:t>gesto</w:t>
      </w:r>
      <w:r>
        <w:rPr>
          <w:color w:val="231F20"/>
          <w:spacing w:val="-26"/>
          <w:w w:val="105"/>
        </w:rPr>
        <w:t> </w:t>
      </w:r>
      <w:r>
        <w:rPr>
          <w:color w:val="231F20"/>
          <w:w w:val="105"/>
        </w:rPr>
        <w:t>originario:</w:t>
      </w:r>
      <w:r>
        <w:rPr>
          <w:color w:val="231F20"/>
          <w:spacing w:val="-26"/>
          <w:w w:val="105"/>
        </w:rPr>
        <w:t> </w:t>
      </w:r>
      <w:r>
        <w:rPr>
          <w:color w:val="231F20"/>
          <w:w w:val="105"/>
        </w:rPr>
        <w:t>non</w:t>
      </w:r>
      <w:r>
        <w:rPr>
          <w:color w:val="231F20"/>
          <w:spacing w:val="-26"/>
          <w:w w:val="105"/>
        </w:rPr>
        <w:t> </w:t>
      </w:r>
      <w:r>
        <w:rPr>
          <w:color w:val="231F20"/>
          <w:w w:val="105"/>
        </w:rPr>
        <w:t>esiste</w:t>
      </w:r>
      <w:r>
        <w:rPr>
          <w:color w:val="231F20"/>
          <w:spacing w:val="-26"/>
          <w:w w:val="105"/>
        </w:rPr>
        <w:t> </w:t>
      </w:r>
      <w:r>
        <w:rPr>
          <w:color w:val="231F20"/>
          <w:w w:val="105"/>
        </w:rPr>
        <w:t>globalizzazione</w:t>
      </w:r>
      <w:r>
        <w:rPr>
          <w:color w:val="231F20"/>
          <w:spacing w:val="-26"/>
          <w:w w:val="105"/>
        </w:rPr>
        <w:t> </w:t>
      </w:r>
      <w:r>
        <w:rPr>
          <w:color w:val="231F20"/>
          <w:w w:val="105"/>
        </w:rPr>
        <w:t>pura,</w:t>
      </w:r>
      <w:r>
        <w:rPr>
          <w:color w:val="231F20"/>
          <w:spacing w:val="-26"/>
          <w:w w:val="105"/>
        </w:rPr>
        <w:t> </w:t>
      </w:r>
      <w:r>
        <w:rPr>
          <w:color w:val="231F20"/>
          <w:w w:val="105"/>
        </w:rPr>
        <w:t>perchè</w:t>
      </w:r>
      <w:r>
        <w:rPr>
          <w:color w:val="231F20"/>
          <w:spacing w:val="-26"/>
          <w:w w:val="105"/>
        </w:rPr>
        <w:t> </w:t>
      </w:r>
      <w:r>
        <w:rPr>
          <w:color w:val="231F20"/>
          <w:w w:val="105"/>
        </w:rPr>
        <w:t>essa</w:t>
      </w:r>
      <w:r>
        <w:rPr>
          <w:color w:val="231F20"/>
          <w:spacing w:val="-26"/>
          <w:w w:val="105"/>
        </w:rPr>
        <w:t> </w:t>
      </w:r>
      <w:r>
        <w:rPr>
          <w:color w:val="231F20"/>
          <w:w w:val="105"/>
        </w:rPr>
        <w:t>non si</w:t>
      </w:r>
      <w:r>
        <w:rPr>
          <w:color w:val="231F20"/>
          <w:spacing w:val="-16"/>
          <w:w w:val="105"/>
        </w:rPr>
        <w:t> </w:t>
      </w:r>
      <w:r>
        <w:rPr>
          <w:color w:val="231F20"/>
          <w:w w:val="105"/>
        </w:rPr>
        <w:t>può</w:t>
      </w:r>
      <w:r>
        <w:rPr>
          <w:color w:val="231F20"/>
          <w:spacing w:val="-16"/>
          <w:w w:val="105"/>
        </w:rPr>
        <w:t> </w:t>
      </w:r>
      <w:r>
        <w:rPr>
          <w:color w:val="231F20"/>
          <w:w w:val="105"/>
        </w:rPr>
        <w:t>concepire</w:t>
      </w:r>
      <w:r>
        <w:rPr>
          <w:color w:val="231F20"/>
          <w:spacing w:val="-16"/>
          <w:w w:val="105"/>
        </w:rPr>
        <w:t> </w:t>
      </w:r>
      <w:r>
        <w:rPr>
          <w:color w:val="231F20"/>
          <w:w w:val="105"/>
        </w:rPr>
        <w:t>senza</w:t>
      </w:r>
      <w:r>
        <w:rPr>
          <w:color w:val="231F20"/>
          <w:spacing w:val="-16"/>
          <w:w w:val="105"/>
        </w:rPr>
        <w:t> </w:t>
      </w:r>
      <w:r>
        <w:rPr>
          <w:color w:val="231F20"/>
          <w:w w:val="105"/>
        </w:rPr>
        <w:t>mischiare</w:t>
      </w:r>
      <w:r>
        <w:rPr>
          <w:color w:val="231F20"/>
          <w:spacing w:val="-16"/>
          <w:w w:val="105"/>
        </w:rPr>
        <w:t> </w:t>
      </w:r>
      <w:r>
        <w:rPr>
          <w:color w:val="231F20"/>
          <w:w w:val="105"/>
        </w:rPr>
        <w:t>espressioni</w:t>
      </w:r>
      <w:r>
        <w:rPr>
          <w:color w:val="231F20"/>
          <w:spacing w:val="-16"/>
          <w:w w:val="105"/>
        </w:rPr>
        <w:t> </w:t>
      </w:r>
      <w:r>
        <w:rPr>
          <w:color w:val="231F20"/>
          <w:w w:val="105"/>
        </w:rPr>
        <w:t>locali;</w:t>
      </w:r>
      <w:r>
        <w:rPr>
          <w:color w:val="231F20"/>
          <w:spacing w:val="-16"/>
          <w:w w:val="105"/>
        </w:rPr>
        <w:t> </w:t>
      </w:r>
      <w:r>
        <w:rPr>
          <w:color w:val="231F20"/>
          <w:w w:val="105"/>
        </w:rPr>
        <w:t>ma</w:t>
      </w:r>
      <w:r>
        <w:rPr>
          <w:color w:val="231F20"/>
          <w:spacing w:val="-16"/>
          <w:w w:val="105"/>
        </w:rPr>
        <w:t> </w:t>
      </w:r>
      <w:r>
        <w:rPr>
          <w:color w:val="231F20"/>
          <w:w w:val="105"/>
        </w:rPr>
        <w:t>in</w:t>
      </w:r>
      <w:r>
        <w:rPr>
          <w:color w:val="231F20"/>
          <w:spacing w:val="-16"/>
          <w:w w:val="105"/>
        </w:rPr>
        <w:t> </w:t>
      </w:r>
      <w:r>
        <w:rPr>
          <w:color w:val="231F20"/>
          <w:w w:val="105"/>
        </w:rPr>
        <w:t>senso</w:t>
      </w:r>
      <w:r>
        <w:rPr>
          <w:color w:val="231F20"/>
          <w:spacing w:val="-16"/>
          <w:w w:val="105"/>
        </w:rPr>
        <w:t> </w:t>
      </w:r>
      <w:r>
        <w:rPr>
          <w:color w:val="231F20"/>
          <w:w w:val="105"/>
        </w:rPr>
        <w:t>inverso, non esiste il locale allo stato puro, perchè ogni gesto particolare è </w:t>
      </w:r>
      <w:r>
        <w:rPr>
          <w:color w:val="231F20"/>
          <w:spacing w:val="2"/>
          <w:w w:val="105"/>
        </w:rPr>
        <w:t>già </w:t>
      </w:r>
      <w:r>
        <w:rPr>
          <w:color w:val="231F20"/>
          <w:w w:val="105"/>
        </w:rPr>
        <w:t>un’espressione</w:t>
      </w:r>
      <w:r>
        <w:rPr>
          <w:color w:val="231F20"/>
          <w:spacing w:val="-32"/>
          <w:w w:val="105"/>
        </w:rPr>
        <w:t> </w:t>
      </w:r>
      <w:r>
        <w:rPr>
          <w:color w:val="231F20"/>
          <w:w w:val="105"/>
        </w:rPr>
        <w:t>che</w:t>
      </w:r>
      <w:r>
        <w:rPr>
          <w:color w:val="231F20"/>
          <w:spacing w:val="-32"/>
          <w:w w:val="105"/>
        </w:rPr>
        <w:t> </w:t>
      </w:r>
      <w:r>
        <w:rPr>
          <w:color w:val="231F20"/>
          <w:w w:val="105"/>
        </w:rPr>
        <w:t>include</w:t>
      </w:r>
      <w:r>
        <w:rPr>
          <w:color w:val="231F20"/>
          <w:spacing w:val="-32"/>
          <w:w w:val="105"/>
        </w:rPr>
        <w:t> </w:t>
      </w:r>
      <w:r>
        <w:rPr>
          <w:color w:val="231F20"/>
          <w:w w:val="105"/>
        </w:rPr>
        <w:t>tratti</w:t>
      </w:r>
      <w:r>
        <w:rPr>
          <w:color w:val="231F20"/>
          <w:spacing w:val="-32"/>
          <w:w w:val="105"/>
        </w:rPr>
        <w:t> </w:t>
      </w:r>
      <w:r>
        <w:rPr>
          <w:color w:val="231F20"/>
          <w:w w:val="105"/>
        </w:rPr>
        <w:t>e</w:t>
      </w:r>
      <w:r>
        <w:rPr>
          <w:color w:val="231F20"/>
          <w:spacing w:val="-32"/>
          <w:w w:val="105"/>
        </w:rPr>
        <w:t> </w:t>
      </w:r>
      <w:r>
        <w:rPr>
          <w:color w:val="231F20"/>
          <w:w w:val="105"/>
        </w:rPr>
        <w:t>relazioni</w:t>
      </w:r>
      <w:r>
        <w:rPr>
          <w:color w:val="231F20"/>
          <w:spacing w:val="-32"/>
          <w:w w:val="105"/>
        </w:rPr>
        <w:t> </w:t>
      </w:r>
      <w:r>
        <w:rPr>
          <w:color w:val="231F20"/>
          <w:w w:val="105"/>
        </w:rPr>
        <w:t>con</w:t>
      </w:r>
      <w:r>
        <w:rPr>
          <w:color w:val="231F20"/>
          <w:spacing w:val="-32"/>
          <w:w w:val="105"/>
        </w:rPr>
        <w:t> </w:t>
      </w:r>
      <w:r>
        <w:rPr>
          <w:color w:val="231F20"/>
          <w:w w:val="105"/>
        </w:rPr>
        <w:t>altri</w:t>
      </w:r>
      <w:r>
        <w:rPr>
          <w:color w:val="231F20"/>
          <w:spacing w:val="-32"/>
          <w:w w:val="105"/>
        </w:rPr>
        <w:t> </w:t>
      </w:r>
      <w:r>
        <w:rPr>
          <w:color w:val="231F20"/>
          <w:w w:val="105"/>
        </w:rPr>
        <w:t>popoli</w:t>
      </w:r>
      <w:r>
        <w:rPr>
          <w:color w:val="231F20"/>
          <w:spacing w:val="-32"/>
          <w:w w:val="105"/>
        </w:rPr>
        <w:t> </w:t>
      </w:r>
      <w:r>
        <w:rPr>
          <w:color w:val="231F20"/>
          <w:w w:val="105"/>
        </w:rPr>
        <w:t>e</w:t>
      </w:r>
      <w:r>
        <w:rPr>
          <w:color w:val="231F20"/>
          <w:spacing w:val="-32"/>
          <w:w w:val="105"/>
        </w:rPr>
        <w:t> </w:t>
      </w:r>
      <w:r>
        <w:rPr>
          <w:color w:val="231F20"/>
          <w:w w:val="105"/>
        </w:rPr>
        <w:t>con</w:t>
      </w:r>
      <w:r>
        <w:rPr>
          <w:color w:val="231F20"/>
          <w:spacing w:val="-32"/>
          <w:w w:val="105"/>
        </w:rPr>
        <w:t> </w:t>
      </w:r>
      <w:r>
        <w:rPr>
          <w:color w:val="231F20"/>
          <w:w w:val="105"/>
        </w:rPr>
        <w:t>il</w:t>
      </w:r>
      <w:r>
        <w:rPr>
          <w:color w:val="231F20"/>
          <w:spacing w:val="-32"/>
          <w:w w:val="105"/>
        </w:rPr>
        <w:t> </w:t>
      </w:r>
      <w:r>
        <w:rPr>
          <w:color w:val="231F20"/>
          <w:w w:val="105"/>
        </w:rPr>
        <w:t>globale. Ma</w:t>
      </w:r>
      <w:r>
        <w:rPr>
          <w:color w:val="231F20"/>
          <w:spacing w:val="-33"/>
          <w:w w:val="105"/>
        </w:rPr>
        <w:t> </w:t>
      </w:r>
      <w:r>
        <w:rPr>
          <w:color w:val="231F20"/>
          <w:w w:val="105"/>
        </w:rPr>
        <w:t>allo</w:t>
      </w:r>
      <w:r>
        <w:rPr>
          <w:color w:val="231F20"/>
          <w:spacing w:val="-33"/>
          <w:w w:val="105"/>
        </w:rPr>
        <w:t> </w:t>
      </w:r>
      <w:r>
        <w:rPr>
          <w:color w:val="231F20"/>
          <w:w w:val="105"/>
        </w:rPr>
        <w:t>stesso</w:t>
      </w:r>
      <w:r>
        <w:rPr>
          <w:color w:val="231F20"/>
          <w:spacing w:val="-33"/>
          <w:w w:val="105"/>
        </w:rPr>
        <w:t> </w:t>
      </w:r>
      <w:r>
        <w:rPr>
          <w:color w:val="231F20"/>
          <w:w w:val="105"/>
        </w:rPr>
        <w:t>modo,</w:t>
      </w:r>
      <w:r>
        <w:rPr>
          <w:color w:val="231F20"/>
          <w:spacing w:val="-33"/>
          <w:w w:val="105"/>
        </w:rPr>
        <w:t> </w:t>
      </w:r>
      <w:r>
        <w:rPr>
          <w:color w:val="231F20"/>
          <w:w w:val="105"/>
        </w:rPr>
        <w:t>quest’ultimo</w:t>
      </w:r>
      <w:r>
        <w:rPr>
          <w:color w:val="231F20"/>
          <w:spacing w:val="-33"/>
          <w:w w:val="105"/>
        </w:rPr>
        <w:t> </w:t>
      </w:r>
      <w:r>
        <w:rPr>
          <w:color w:val="231F20"/>
          <w:w w:val="105"/>
        </w:rPr>
        <w:t>non</w:t>
      </w:r>
      <w:r>
        <w:rPr>
          <w:color w:val="231F20"/>
          <w:spacing w:val="-33"/>
          <w:w w:val="105"/>
        </w:rPr>
        <w:t> </w:t>
      </w:r>
      <w:r>
        <w:rPr>
          <w:color w:val="231F20"/>
          <w:w w:val="105"/>
        </w:rPr>
        <w:t>si</w:t>
      </w:r>
      <w:r>
        <w:rPr>
          <w:color w:val="231F20"/>
          <w:spacing w:val="-33"/>
          <w:w w:val="105"/>
        </w:rPr>
        <w:t> </w:t>
      </w:r>
      <w:r>
        <w:rPr>
          <w:color w:val="231F20"/>
          <w:w w:val="105"/>
        </w:rPr>
        <w:t>riassume</w:t>
      </w:r>
      <w:r>
        <w:rPr>
          <w:color w:val="231F20"/>
          <w:spacing w:val="-33"/>
          <w:w w:val="105"/>
        </w:rPr>
        <w:t> </w:t>
      </w:r>
      <w:r>
        <w:rPr>
          <w:color w:val="231F20"/>
          <w:w w:val="105"/>
        </w:rPr>
        <w:t>nell’essere</w:t>
      </w:r>
      <w:r>
        <w:rPr>
          <w:color w:val="231F20"/>
          <w:spacing w:val="-33"/>
          <w:w w:val="105"/>
        </w:rPr>
        <w:t> </w:t>
      </w:r>
      <w:r>
        <w:rPr>
          <w:color w:val="231F20"/>
          <w:w w:val="105"/>
        </w:rPr>
        <w:t>la</w:t>
      </w:r>
      <w:r>
        <w:rPr>
          <w:color w:val="231F20"/>
          <w:spacing w:val="-33"/>
          <w:w w:val="105"/>
        </w:rPr>
        <w:t> </w:t>
      </w:r>
      <w:r>
        <w:rPr>
          <w:color w:val="231F20"/>
          <w:w w:val="105"/>
        </w:rPr>
        <w:t>sintesi</w:t>
      </w:r>
      <w:r>
        <w:rPr>
          <w:color w:val="231F20"/>
          <w:spacing w:val="-33"/>
          <w:w w:val="105"/>
        </w:rPr>
        <w:t> </w:t>
      </w:r>
      <w:r>
        <w:rPr>
          <w:color w:val="231F20"/>
          <w:w w:val="105"/>
        </w:rPr>
        <w:t>o</w:t>
      </w:r>
      <w:r>
        <w:rPr>
          <w:color w:val="231F20"/>
          <w:spacing w:val="-33"/>
          <w:w w:val="105"/>
        </w:rPr>
        <w:t> </w:t>
      </w:r>
      <w:r>
        <w:rPr>
          <w:color w:val="231F20"/>
          <w:w w:val="105"/>
        </w:rPr>
        <w:t>la</w:t>
      </w:r>
    </w:p>
    <w:p>
      <w:pPr>
        <w:pStyle w:val="BodyText"/>
        <w:rPr>
          <w:sz w:val="20"/>
        </w:rPr>
      </w:pPr>
    </w:p>
    <w:p>
      <w:pPr>
        <w:pStyle w:val="BodyText"/>
        <w:spacing w:before="1"/>
        <w:rPr>
          <w:sz w:val="11"/>
        </w:rPr>
      </w:pPr>
      <w:r>
        <w:rPr/>
        <w:pict>
          <v:line style="position:absolute;mso-position-horizontal-relative:page;mso-position-vertical-relative:paragraph;z-index:11128;mso-wrap-distance-left:0;mso-wrap-distance-right:0" from="70.866096pt,8.790208pt" to="184.252096pt,8.790208pt" stroked="true" strokeweight=".3pt" strokecolor="#231f20">
            <w10:wrap type="topAndBottom"/>
          </v:line>
        </w:pict>
      </w:r>
    </w:p>
    <w:p>
      <w:pPr>
        <w:spacing w:line="204" w:lineRule="exact" w:before="8"/>
        <w:ind w:left="117" w:right="121" w:firstLine="0"/>
        <w:jc w:val="both"/>
        <w:rPr>
          <w:rFonts w:ascii="Calibri" w:hAnsi="Calibri"/>
          <w:sz w:val="17"/>
        </w:rPr>
      </w:pPr>
      <w:r>
        <w:rPr>
          <w:rFonts w:ascii="Calibri" w:hAnsi="Calibri"/>
          <w:color w:val="231F20"/>
          <w:w w:val="105"/>
          <w:position w:val="6"/>
          <w:sz w:val="10"/>
        </w:rPr>
        <w:t>4 </w:t>
      </w:r>
      <w:r>
        <w:rPr>
          <w:rFonts w:ascii="Calibri" w:hAnsi="Calibri"/>
          <w:color w:val="231F20"/>
          <w:w w:val="105"/>
          <w:sz w:val="17"/>
        </w:rPr>
        <w:t>W. Scheuerman, “Globalization”, </w:t>
      </w:r>
      <w:r>
        <w:rPr>
          <w:rFonts w:ascii="Calibri" w:hAnsi="Calibri"/>
          <w:i/>
          <w:color w:val="231F20"/>
          <w:w w:val="105"/>
          <w:sz w:val="17"/>
        </w:rPr>
        <w:t>The Stanford Encyclopedia of Philosophy</w:t>
      </w:r>
      <w:r>
        <w:rPr>
          <w:rFonts w:ascii="Calibri" w:hAnsi="Calibri"/>
          <w:color w:val="231F20"/>
          <w:w w:val="105"/>
          <w:sz w:val="17"/>
        </w:rPr>
        <w:t>, Stanford, Stanford </w:t>
      </w:r>
      <w:r>
        <w:rPr>
          <w:rFonts w:ascii="Calibri" w:hAnsi="Calibri"/>
          <w:color w:val="231F20"/>
          <w:sz w:val="17"/>
        </w:rPr>
        <w:t>University, 2014.</w:t>
      </w:r>
    </w:p>
    <w:p>
      <w:pPr>
        <w:spacing w:line="204" w:lineRule="exact" w:before="0"/>
        <w:ind w:left="117" w:right="121" w:firstLine="0"/>
        <w:jc w:val="both"/>
        <w:rPr>
          <w:rFonts w:ascii="Calibri" w:hAnsi="Calibri"/>
          <w:sz w:val="17"/>
        </w:rPr>
      </w:pPr>
      <w:r>
        <w:rPr>
          <w:rFonts w:ascii="Calibri" w:hAnsi="Calibri"/>
          <w:color w:val="231F20"/>
          <w:position w:val="6"/>
          <w:sz w:val="10"/>
        </w:rPr>
        <w:t>5 </w:t>
      </w:r>
      <w:r>
        <w:rPr>
          <w:rFonts w:ascii="Calibri" w:hAnsi="Calibri"/>
          <w:color w:val="231F20"/>
          <w:sz w:val="17"/>
        </w:rPr>
        <w:t>Scheuerman segnala che il termine cominciò ad usarsi negli anni settanta, fu coniato per Ronald Robertson e con esso sottolineava il carattere non univoco bensì paradossale della globalizzazione, cercava così di superare il mito di vederla come un mero processo di unificazione. </w:t>
      </w:r>
      <w:r>
        <w:rPr>
          <w:rFonts w:ascii="Calibri" w:hAnsi="Calibri"/>
          <w:i/>
          <w:color w:val="231F20"/>
          <w:sz w:val="17"/>
        </w:rPr>
        <w:t>Cfr. </w:t>
      </w:r>
      <w:r>
        <w:rPr>
          <w:rFonts w:ascii="Calibri" w:hAnsi="Calibri"/>
          <w:color w:val="231F20"/>
          <w:sz w:val="17"/>
        </w:rPr>
        <w:t>R. Robertson, “Glocalization: Time–Space and Homogeneity–Heterogeneity”, M. Featherstone (Ed.), </w:t>
      </w:r>
      <w:r>
        <w:rPr>
          <w:rFonts w:ascii="Calibri" w:hAnsi="Calibri"/>
          <w:i/>
          <w:color w:val="231F20"/>
          <w:sz w:val="17"/>
        </w:rPr>
        <w:t>Global </w:t>
      </w:r>
      <w:r>
        <w:rPr>
          <w:rFonts w:ascii="Calibri" w:hAnsi="Calibri"/>
          <w:i/>
          <w:color w:val="231F20"/>
          <w:sz w:val="17"/>
        </w:rPr>
        <w:t>Modernities, </w:t>
      </w:r>
      <w:r>
        <w:rPr>
          <w:rFonts w:ascii="Calibri" w:hAnsi="Calibri"/>
          <w:color w:val="231F20"/>
          <w:sz w:val="17"/>
        </w:rPr>
        <w:t>London, London Sage, 1995.</w:t>
      </w:r>
    </w:p>
    <w:p>
      <w:pPr>
        <w:spacing w:line="206" w:lineRule="exact" w:before="1"/>
        <w:ind w:left="117" w:right="0" w:firstLine="0"/>
        <w:jc w:val="both"/>
        <w:rPr>
          <w:rFonts w:ascii="Calibri"/>
          <w:sz w:val="17"/>
        </w:rPr>
      </w:pPr>
      <w:r>
        <w:rPr>
          <w:rFonts w:ascii="Calibri"/>
          <w:color w:val="231F20"/>
          <w:position w:val="6"/>
          <w:sz w:val="10"/>
        </w:rPr>
        <w:t>6  </w:t>
      </w:r>
      <w:r>
        <w:rPr>
          <w:rFonts w:ascii="Calibri"/>
          <w:i/>
          <w:color w:val="231F20"/>
          <w:sz w:val="17"/>
        </w:rPr>
        <w:t>Cfr</w:t>
      </w:r>
      <w:r>
        <w:rPr>
          <w:rFonts w:ascii="Calibri"/>
          <w:color w:val="231F20"/>
          <w:sz w:val="17"/>
        </w:rPr>
        <w:t>. </w:t>
      </w:r>
      <w:r>
        <w:rPr>
          <w:rFonts w:ascii="Calibri"/>
          <w:i/>
          <w:color w:val="231F20"/>
          <w:sz w:val="17"/>
        </w:rPr>
        <w:t>Oxford Dictionary of New Words</w:t>
      </w:r>
      <w:r>
        <w:rPr>
          <w:rFonts w:ascii="Calibri"/>
          <w:color w:val="231F20"/>
          <w:sz w:val="17"/>
        </w:rPr>
        <w:t>, Oxford, Oxford University Press,  1999.</w:t>
      </w:r>
    </w:p>
    <w:p>
      <w:pPr>
        <w:spacing w:line="206" w:lineRule="exact" w:before="0"/>
        <w:ind w:left="117" w:right="0" w:firstLine="0"/>
        <w:jc w:val="both"/>
        <w:rPr>
          <w:rFonts w:ascii="Calibri" w:hAnsi="Calibri"/>
          <w:sz w:val="17"/>
        </w:rPr>
      </w:pPr>
      <w:r>
        <w:rPr>
          <w:rFonts w:ascii="Calibri" w:hAnsi="Calibri"/>
          <w:color w:val="231F20"/>
          <w:position w:val="6"/>
          <w:sz w:val="10"/>
        </w:rPr>
        <w:t>7  </w:t>
      </w:r>
      <w:r>
        <w:rPr>
          <w:rFonts w:ascii="Calibri" w:hAnsi="Calibri"/>
          <w:color w:val="231F20"/>
          <w:sz w:val="17"/>
        </w:rPr>
        <w:t>G. Marramao, </w:t>
      </w:r>
      <w:r>
        <w:rPr>
          <w:rFonts w:ascii="Calibri" w:hAnsi="Calibri"/>
          <w:i/>
          <w:color w:val="231F20"/>
          <w:sz w:val="17"/>
        </w:rPr>
        <w:t>Pasaje a Occidente. Filosofía y globalización</w:t>
      </w:r>
      <w:r>
        <w:rPr>
          <w:rFonts w:ascii="Calibri" w:hAnsi="Calibri"/>
          <w:color w:val="231F20"/>
          <w:sz w:val="17"/>
        </w:rPr>
        <w:t>, Buenos Aires, Katz, 2006, p.  40.</w:t>
      </w:r>
    </w:p>
    <w:p>
      <w:pPr>
        <w:spacing w:after="0" w:line="206" w:lineRule="exact"/>
        <w:jc w:val="both"/>
        <w:rPr>
          <w:rFonts w:ascii="Calibri" w:hAnsi="Calibri"/>
          <w:sz w:val="17"/>
        </w:rPr>
        <w:sectPr>
          <w:pgSz w:w="9640" w:h="13890"/>
          <w:pgMar w:top="0" w:bottom="280" w:left="1300" w:right="1180"/>
        </w:sectPr>
      </w:pPr>
    </w:p>
    <w:p>
      <w:pPr>
        <w:pStyle w:val="BodyText"/>
        <w:spacing w:line="247" w:lineRule="auto" w:before="107"/>
        <w:ind w:left="103" w:right="114"/>
        <w:jc w:val="both"/>
      </w:pPr>
      <w:r>
        <w:rPr>
          <w:color w:val="231F20"/>
          <w:w w:val="105"/>
        </w:rPr>
        <w:t>somma</w:t>
      </w:r>
      <w:r>
        <w:rPr>
          <w:color w:val="231F20"/>
          <w:spacing w:val="-26"/>
          <w:w w:val="105"/>
        </w:rPr>
        <w:t> </w:t>
      </w:r>
      <w:r>
        <w:rPr>
          <w:color w:val="231F20"/>
          <w:w w:val="105"/>
        </w:rPr>
        <w:t>delle</w:t>
      </w:r>
      <w:r>
        <w:rPr>
          <w:color w:val="231F20"/>
          <w:spacing w:val="-26"/>
          <w:w w:val="105"/>
        </w:rPr>
        <w:t> </w:t>
      </w:r>
      <w:r>
        <w:rPr>
          <w:color w:val="231F20"/>
          <w:w w:val="105"/>
        </w:rPr>
        <w:t>diverse</w:t>
      </w:r>
      <w:r>
        <w:rPr>
          <w:color w:val="231F20"/>
          <w:spacing w:val="-26"/>
          <w:w w:val="105"/>
        </w:rPr>
        <w:t> </w:t>
      </w:r>
      <w:r>
        <w:rPr>
          <w:color w:val="231F20"/>
          <w:w w:val="105"/>
        </w:rPr>
        <w:t>espressioni</w:t>
      </w:r>
      <w:r>
        <w:rPr>
          <w:color w:val="231F20"/>
          <w:spacing w:val="-26"/>
          <w:w w:val="105"/>
        </w:rPr>
        <w:t> </w:t>
      </w:r>
      <w:r>
        <w:rPr>
          <w:color w:val="231F20"/>
          <w:w w:val="105"/>
        </w:rPr>
        <w:t>locali;</w:t>
      </w:r>
      <w:r>
        <w:rPr>
          <w:color w:val="231F20"/>
          <w:spacing w:val="-26"/>
          <w:w w:val="105"/>
        </w:rPr>
        <w:t> </w:t>
      </w:r>
      <w:r>
        <w:rPr>
          <w:color w:val="231F20"/>
          <w:w w:val="105"/>
        </w:rPr>
        <w:t>mentre</w:t>
      </w:r>
      <w:r>
        <w:rPr>
          <w:color w:val="231F20"/>
          <w:spacing w:val="-26"/>
          <w:w w:val="105"/>
        </w:rPr>
        <w:t> </w:t>
      </w:r>
      <w:r>
        <w:rPr>
          <w:color w:val="231F20"/>
          <w:w w:val="105"/>
        </w:rPr>
        <w:t>il</w:t>
      </w:r>
      <w:r>
        <w:rPr>
          <w:color w:val="231F20"/>
          <w:spacing w:val="-26"/>
          <w:w w:val="105"/>
        </w:rPr>
        <w:t> </w:t>
      </w:r>
      <w:r>
        <w:rPr>
          <w:color w:val="231F20"/>
          <w:w w:val="105"/>
        </w:rPr>
        <w:t>locale</w:t>
      </w:r>
      <w:r>
        <w:rPr>
          <w:color w:val="231F20"/>
          <w:spacing w:val="-26"/>
          <w:w w:val="105"/>
        </w:rPr>
        <w:t> </w:t>
      </w:r>
      <w:r>
        <w:rPr>
          <w:color w:val="231F20"/>
          <w:w w:val="105"/>
        </w:rPr>
        <w:t>non</w:t>
      </w:r>
      <w:r>
        <w:rPr>
          <w:color w:val="231F20"/>
          <w:spacing w:val="-26"/>
          <w:w w:val="105"/>
        </w:rPr>
        <w:t> </w:t>
      </w:r>
      <w:r>
        <w:rPr>
          <w:color w:val="231F20"/>
          <w:w w:val="105"/>
        </w:rPr>
        <w:t>è</w:t>
      </w:r>
      <w:r>
        <w:rPr>
          <w:color w:val="231F20"/>
          <w:spacing w:val="-26"/>
          <w:w w:val="105"/>
        </w:rPr>
        <w:t> </w:t>
      </w:r>
      <w:r>
        <w:rPr>
          <w:color w:val="231F20"/>
          <w:w w:val="105"/>
        </w:rPr>
        <w:t>quello</w:t>
      </w:r>
      <w:r>
        <w:rPr>
          <w:color w:val="231F20"/>
          <w:spacing w:val="-26"/>
          <w:w w:val="105"/>
        </w:rPr>
        <w:t> </w:t>
      </w:r>
      <w:r>
        <w:rPr>
          <w:color w:val="231F20"/>
          <w:w w:val="105"/>
        </w:rPr>
        <w:t>che</w:t>
      </w:r>
      <w:r>
        <w:rPr>
          <w:color w:val="231F20"/>
          <w:spacing w:val="-26"/>
          <w:w w:val="105"/>
        </w:rPr>
        <w:t> </w:t>
      </w:r>
      <w:r>
        <w:rPr>
          <w:color w:val="231F20"/>
          <w:w w:val="105"/>
        </w:rPr>
        <w:t>si perde</w:t>
      </w:r>
      <w:r>
        <w:rPr>
          <w:color w:val="231F20"/>
          <w:spacing w:val="-40"/>
          <w:w w:val="105"/>
        </w:rPr>
        <w:t> </w:t>
      </w:r>
      <w:r>
        <w:rPr>
          <w:color w:val="231F20"/>
          <w:w w:val="105"/>
        </w:rPr>
        <w:t>e</w:t>
      </w:r>
      <w:r>
        <w:rPr>
          <w:color w:val="231F20"/>
          <w:spacing w:val="-40"/>
          <w:w w:val="105"/>
        </w:rPr>
        <w:t> </w:t>
      </w:r>
      <w:r>
        <w:rPr>
          <w:color w:val="231F20"/>
          <w:w w:val="105"/>
        </w:rPr>
        <w:t>integra</w:t>
      </w:r>
      <w:r>
        <w:rPr>
          <w:color w:val="231F20"/>
          <w:spacing w:val="-40"/>
          <w:w w:val="105"/>
        </w:rPr>
        <w:t> </w:t>
      </w:r>
      <w:r>
        <w:rPr>
          <w:color w:val="231F20"/>
          <w:w w:val="105"/>
        </w:rPr>
        <w:t>senza</w:t>
      </w:r>
      <w:r>
        <w:rPr>
          <w:color w:val="231F20"/>
          <w:spacing w:val="-40"/>
          <w:w w:val="105"/>
        </w:rPr>
        <w:t> </w:t>
      </w:r>
      <w:r>
        <w:rPr>
          <w:color w:val="231F20"/>
          <w:w w:val="105"/>
        </w:rPr>
        <w:t>più</w:t>
      </w:r>
      <w:r>
        <w:rPr>
          <w:color w:val="231F20"/>
          <w:spacing w:val="-40"/>
          <w:w w:val="105"/>
        </w:rPr>
        <w:t> </w:t>
      </w:r>
      <w:r>
        <w:rPr>
          <w:color w:val="231F20"/>
          <w:w w:val="105"/>
        </w:rPr>
        <w:t>nella</w:t>
      </w:r>
      <w:r>
        <w:rPr>
          <w:color w:val="231F20"/>
          <w:spacing w:val="-40"/>
          <w:w w:val="105"/>
        </w:rPr>
        <w:t> </w:t>
      </w:r>
      <w:r>
        <w:rPr>
          <w:color w:val="231F20"/>
          <w:w w:val="105"/>
        </w:rPr>
        <w:t>generalità.</w:t>
      </w:r>
      <w:r>
        <w:rPr>
          <w:color w:val="231F20"/>
          <w:spacing w:val="-40"/>
          <w:w w:val="105"/>
        </w:rPr>
        <w:t> </w:t>
      </w:r>
      <w:r>
        <w:rPr>
          <w:color w:val="231F20"/>
          <w:w w:val="105"/>
        </w:rPr>
        <w:t>Da</w:t>
      </w:r>
      <w:r>
        <w:rPr>
          <w:color w:val="231F20"/>
          <w:spacing w:val="-40"/>
          <w:w w:val="105"/>
        </w:rPr>
        <w:t> </w:t>
      </w:r>
      <w:r>
        <w:rPr>
          <w:color w:val="231F20"/>
          <w:w w:val="105"/>
        </w:rPr>
        <w:t>questa</w:t>
      </w:r>
      <w:r>
        <w:rPr>
          <w:color w:val="231F20"/>
          <w:spacing w:val="-40"/>
          <w:w w:val="105"/>
        </w:rPr>
        <w:t> </w:t>
      </w:r>
      <w:r>
        <w:rPr>
          <w:color w:val="231F20"/>
          <w:w w:val="105"/>
        </w:rPr>
        <w:t>prospettiva,</w:t>
      </w:r>
      <w:r>
        <w:rPr>
          <w:color w:val="231F20"/>
          <w:spacing w:val="-40"/>
          <w:w w:val="105"/>
        </w:rPr>
        <w:t> </w:t>
      </w:r>
      <w:r>
        <w:rPr>
          <w:color w:val="231F20"/>
          <w:w w:val="105"/>
        </w:rPr>
        <w:t>il</w:t>
      </w:r>
      <w:r>
        <w:rPr>
          <w:color w:val="231F20"/>
          <w:spacing w:val="-40"/>
          <w:w w:val="105"/>
        </w:rPr>
        <w:t> </w:t>
      </w:r>
      <w:r>
        <w:rPr>
          <w:color w:val="231F20"/>
          <w:w w:val="105"/>
        </w:rPr>
        <w:t>termine glocalizzazione</w:t>
      </w:r>
      <w:r>
        <w:rPr>
          <w:color w:val="231F20"/>
          <w:spacing w:val="-43"/>
          <w:w w:val="105"/>
        </w:rPr>
        <w:t> </w:t>
      </w:r>
      <w:r>
        <w:rPr>
          <w:color w:val="231F20"/>
          <w:spacing w:val="-3"/>
          <w:w w:val="105"/>
        </w:rPr>
        <w:t>potrebbe</w:t>
      </w:r>
      <w:r>
        <w:rPr>
          <w:color w:val="231F20"/>
          <w:spacing w:val="-43"/>
          <w:w w:val="105"/>
        </w:rPr>
        <w:t> </w:t>
      </w:r>
      <w:r>
        <w:rPr>
          <w:color w:val="231F20"/>
          <w:spacing w:val="-3"/>
          <w:w w:val="105"/>
        </w:rPr>
        <w:t>includere</w:t>
      </w:r>
      <w:r>
        <w:rPr>
          <w:color w:val="231F20"/>
          <w:spacing w:val="-43"/>
          <w:w w:val="105"/>
        </w:rPr>
        <w:t> </w:t>
      </w:r>
      <w:r>
        <w:rPr>
          <w:color w:val="231F20"/>
          <w:w w:val="105"/>
        </w:rPr>
        <w:t>il</w:t>
      </w:r>
      <w:r>
        <w:rPr>
          <w:color w:val="231F20"/>
          <w:spacing w:val="-43"/>
          <w:w w:val="105"/>
        </w:rPr>
        <w:t> </w:t>
      </w:r>
      <w:r>
        <w:rPr>
          <w:color w:val="231F20"/>
          <w:spacing w:val="-3"/>
          <w:w w:val="105"/>
        </w:rPr>
        <w:t>carattere</w:t>
      </w:r>
      <w:r>
        <w:rPr>
          <w:color w:val="231F20"/>
          <w:spacing w:val="-43"/>
          <w:w w:val="105"/>
        </w:rPr>
        <w:t> </w:t>
      </w:r>
      <w:r>
        <w:rPr>
          <w:color w:val="231F20"/>
          <w:w w:val="105"/>
        </w:rPr>
        <w:t>complesso</w:t>
      </w:r>
      <w:r>
        <w:rPr>
          <w:color w:val="231F20"/>
          <w:spacing w:val="-43"/>
          <w:w w:val="105"/>
        </w:rPr>
        <w:t> </w:t>
      </w:r>
      <w:r>
        <w:rPr>
          <w:color w:val="231F20"/>
          <w:w w:val="105"/>
        </w:rPr>
        <w:t>di</w:t>
      </w:r>
      <w:r>
        <w:rPr>
          <w:color w:val="231F20"/>
          <w:spacing w:val="-43"/>
          <w:w w:val="105"/>
        </w:rPr>
        <w:t> </w:t>
      </w:r>
      <w:r>
        <w:rPr>
          <w:color w:val="231F20"/>
          <w:w w:val="105"/>
        </w:rPr>
        <w:t>un</w:t>
      </w:r>
      <w:r>
        <w:rPr>
          <w:color w:val="231F20"/>
          <w:spacing w:val="-43"/>
          <w:w w:val="105"/>
        </w:rPr>
        <w:t> </w:t>
      </w:r>
      <w:r>
        <w:rPr>
          <w:color w:val="231F20"/>
          <w:spacing w:val="-3"/>
          <w:w w:val="105"/>
        </w:rPr>
        <w:t>processo</w:t>
      </w:r>
      <w:r>
        <w:rPr>
          <w:color w:val="231F20"/>
          <w:spacing w:val="-43"/>
          <w:w w:val="105"/>
        </w:rPr>
        <w:t> </w:t>
      </w:r>
      <w:r>
        <w:rPr>
          <w:color w:val="231F20"/>
          <w:spacing w:val="-2"/>
          <w:w w:val="105"/>
        </w:rPr>
        <w:t>che </w:t>
      </w:r>
      <w:r>
        <w:rPr>
          <w:color w:val="231F20"/>
          <w:w w:val="105"/>
        </w:rPr>
        <w:t>non</w:t>
      </w:r>
      <w:r>
        <w:rPr>
          <w:color w:val="231F20"/>
          <w:spacing w:val="-26"/>
          <w:w w:val="105"/>
        </w:rPr>
        <w:t> </w:t>
      </w:r>
      <w:r>
        <w:rPr>
          <w:color w:val="231F20"/>
          <w:w w:val="105"/>
        </w:rPr>
        <w:t>omogeneizza,</w:t>
      </w:r>
      <w:r>
        <w:rPr>
          <w:color w:val="231F20"/>
          <w:spacing w:val="-26"/>
          <w:w w:val="105"/>
        </w:rPr>
        <w:t> </w:t>
      </w:r>
      <w:r>
        <w:rPr>
          <w:color w:val="231F20"/>
          <w:w w:val="105"/>
        </w:rPr>
        <w:t>senza,</w:t>
      </w:r>
      <w:r>
        <w:rPr>
          <w:color w:val="231F20"/>
          <w:spacing w:val="-26"/>
          <w:w w:val="105"/>
        </w:rPr>
        <w:t> </w:t>
      </w:r>
      <w:r>
        <w:rPr>
          <w:color w:val="231F20"/>
          <w:w w:val="105"/>
        </w:rPr>
        <w:t>allo</w:t>
      </w:r>
      <w:r>
        <w:rPr>
          <w:color w:val="231F20"/>
          <w:spacing w:val="-26"/>
          <w:w w:val="105"/>
        </w:rPr>
        <w:t> </w:t>
      </w:r>
      <w:r>
        <w:rPr>
          <w:color w:val="231F20"/>
          <w:w w:val="105"/>
        </w:rPr>
        <w:t>stesso</w:t>
      </w:r>
      <w:r>
        <w:rPr>
          <w:color w:val="231F20"/>
          <w:spacing w:val="-26"/>
          <w:w w:val="105"/>
        </w:rPr>
        <w:t> </w:t>
      </w:r>
      <w:r>
        <w:rPr>
          <w:color w:val="231F20"/>
          <w:w w:val="105"/>
        </w:rPr>
        <w:t>tempo,</w:t>
      </w:r>
      <w:r>
        <w:rPr>
          <w:color w:val="231F20"/>
          <w:spacing w:val="-26"/>
          <w:w w:val="105"/>
        </w:rPr>
        <w:t> </w:t>
      </w:r>
      <w:r>
        <w:rPr>
          <w:color w:val="231F20"/>
          <w:w w:val="105"/>
        </w:rPr>
        <w:t>produrre</w:t>
      </w:r>
      <w:r>
        <w:rPr>
          <w:color w:val="231F20"/>
          <w:spacing w:val="-26"/>
          <w:w w:val="105"/>
        </w:rPr>
        <w:t> </w:t>
      </w:r>
      <w:r>
        <w:rPr>
          <w:color w:val="231F20"/>
          <w:w w:val="105"/>
        </w:rPr>
        <w:t>differenze;</w:t>
      </w:r>
      <w:r>
        <w:rPr>
          <w:color w:val="231F20"/>
          <w:spacing w:val="-26"/>
          <w:w w:val="105"/>
        </w:rPr>
        <w:t> </w:t>
      </w:r>
      <w:r>
        <w:rPr>
          <w:color w:val="231F20"/>
          <w:w w:val="105"/>
        </w:rPr>
        <w:t>che</w:t>
      </w:r>
      <w:r>
        <w:rPr>
          <w:color w:val="231F20"/>
          <w:spacing w:val="-26"/>
          <w:w w:val="105"/>
        </w:rPr>
        <w:t> </w:t>
      </w:r>
      <w:r>
        <w:rPr>
          <w:color w:val="231F20"/>
          <w:w w:val="105"/>
        </w:rPr>
        <w:t>non integra</w:t>
      </w:r>
      <w:r>
        <w:rPr>
          <w:color w:val="231F20"/>
          <w:spacing w:val="-23"/>
          <w:w w:val="105"/>
        </w:rPr>
        <w:t> </w:t>
      </w:r>
      <w:r>
        <w:rPr>
          <w:color w:val="231F20"/>
          <w:w w:val="105"/>
        </w:rPr>
        <w:t>in</w:t>
      </w:r>
      <w:r>
        <w:rPr>
          <w:color w:val="231F20"/>
          <w:spacing w:val="-23"/>
          <w:w w:val="105"/>
        </w:rPr>
        <w:t> </w:t>
      </w:r>
      <w:r>
        <w:rPr>
          <w:color w:val="231F20"/>
          <w:w w:val="105"/>
        </w:rPr>
        <w:t>una</w:t>
      </w:r>
      <w:r>
        <w:rPr>
          <w:color w:val="231F20"/>
          <w:spacing w:val="-23"/>
          <w:w w:val="105"/>
        </w:rPr>
        <w:t> </w:t>
      </w:r>
      <w:r>
        <w:rPr>
          <w:color w:val="231F20"/>
          <w:w w:val="105"/>
        </w:rPr>
        <w:t>totalità</w:t>
      </w:r>
      <w:r>
        <w:rPr>
          <w:color w:val="231F20"/>
          <w:spacing w:val="-23"/>
          <w:w w:val="105"/>
        </w:rPr>
        <w:t> </w:t>
      </w:r>
      <w:r>
        <w:rPr>
          <w:color w:val="231F20"/>
          <w:w w:val="105"/>
        </w:rPr>
        <w:t>senza</w:t>
      </w:r>
      <w:r>
        <w:rPr>
          <w:color w:val="231F20"/>
          <w:spacing w:val="-23"/>
          <w:w w:val="105"/>
        </w:rPr>
        <w:t> </w:t>
      </w:r>
      <w:r>
        <w:rPr>
          <w:color w:val="231F20"/>
          <w:w w:val="105"/>
        </w:rPr>
        <w:t>a</w:t>
      </w:r>
      <w:r>
        <w:rPr>
          <w:color w:val="231F20"/>
          <w:spacing w:val="-23"/>
          <w:w w:val="105"/>
        </w:rPr>
        <w:t> </w:t>
      </w:r>
      <w:r>
        <w:rPr>
          <w:color w:val="231F20"/>
          <w:w w:val="105"/>
        </w:rPr>
        <w:t>sua</w:t>
      </w:r>
      <w:r>
        <w:rPr>
          <w:color w:val="231F20"/>
          <w:spacing w:val="-23"/>
          <w:w w:val="105"/>
        </w:rPr>
        <w:t> </w:t>
      </w:r>
      <w:r>
        <w:rPr>
          <w:color w:val="231F20"/>
          <w:w w:val="105"/>
        </w:rPr>
        <w:t>volta,</w:t>
      </w:r>
      <w:r>
        <w:rPr>
          <w:color w:val="231F20"/>
          <w:spacing w:val="-23"/>
          <w:w w:val="105"/>
        </w:rPr>
        <w:t> </w:t>
      </w:r>
      <w:r>
        <w:rPr>
          <w:color w:val="231F20"/>
          <w:w w:val="105"/>
        </w:rPr>
        <w:t>moltiplicare</w:t>
      </w:r>
      <w:r>
        <w:rPr>
          <w:color w:val="231F20"/>
          <w:spacing w:val="-23"/>
          <w:w w:val="105"/>
        </w:rPr>
        <w:t> </w:t>
      </w:r>
      <w:r>
        <w:rPr>
          <w:color w:val="231F20"/>
          <w:w w:val="105"/>
        </w:rPr>
        <w:t>la</w:t>
      </w:r>
      <w:r>
        <w:rPr>
          <w:color w:val="231F20"/>
          <w:spacing w:val="-23"/>
          <w:w w:val="105"/>
        </w:rPr>
        <w:t> </w:t>
      </w:r>
      <w:r>
        <w:rPr>
          <w:color w:val="231F20"/>
          <w:w w:val="105"/>
        </w:rPr>
        <w:t>parzialità;</w:t>
      </w:r>
      <w:r>
        <w:rPr>
          <w:color w:val="231F20"/>
          <w:spacing w:val="-23"/>
          <w:w w:val="105"/>
        </w:rPr>
        <w:t> </w:t>
      </w:r>
      <w:r>
        <w:rPr>
          <w:color w:val="231F20"/>
          <w:w w:val="105"/>
        </w:rPr>
        <w:t>che</w:t>
      </w:r>
      <w:r>
        <w:rPr>
          <w:color w:val="231F20"/>
          <w:spacing w:val="-23"/>
          <w:w w:val="105"/>
        </w:rPr>
        <w:t> </w:t>
      </w:r>
      <w:r>
        <w:rPr>
          <w:color w:val="231F20"/>
          <w:w w:val="105"/>
        </w:rPr>
        <w:t>non </w:t>
      </w:r>
      <w:r>
        <w:rPr>
          <w:color w:val="231F20"/>
        </w:rPr>
        <w:t>universalizza</w:t>
      </w:r>
      <w:r>
        <w:rPr>
          <w:color w:val="231F20"/>
          <w:spacing w:val="-17"/>
        </w:rPr>
        <w:t> </w:t>
      </w:r>
      <w:r>
        <w:rPr>
          <w:color w:val="231F20"/>
        </w:rPr>
        <w:t>senza</w:t>
      </w:r>
      <w:r>
        <w:rPr>
          <w:color w:val="231F20"/>
          <w:spacing w:val="-17"/>
        </w:rPr>
        <w:t> </w:t>
      </w:r>
      <w:r>
        <w:rPr>
          <w:color w:val="231F20"/>
        </w:rPr>
        <w:t>particolarizzare.</w:t>
      </w:r>
      <w:r>
        <w:rPr>
          <w:color w:val="231F20"/>
          <w:spacing w:val="-17"/>
        </w:rPr>
        <w:t> </w:t>
      </w:r>
      <w:r>
        <w:rPr>
          <w:color w:val="231F20"/>
        </w:rPr>
        <w:t>In</w:t>
      </w:r>
      <w:r>
        <w:rPr>
          <w:color w:val="231F20"/>
          <w:spacing w:val="-17"/>
        </w:rPr>
        <w:t> </w:t>
      </w:r>
      <w:r>
        <w:rPr>
          <w:color w:val="231F20"/>
        </w:rPr>
        <w:t>un</w:t>
      </w:r>
      <w:r>
        <w:rPr>
          <w:color w:val="231F20"/>
          <w:spacing w:val="-17"/>
        </w:rPr>
        <w:t> </w:t>
      </w:r>
      <w:r>
        <w:rPr>
          <w:color w:val="231F20"/>
        </w:rPr>
        <w:t>panorama</w:t>
      </w:r>
      <w:r>
        <w:rPr>
          <w:color w:val="231F20"/>
          <w:spacing w:val="-17"/>
        </w:rPr>
        <w:t> </w:t>
      </w:r>
      <w:r>
        <w:rPr>
          <w:color w:val="231F20"/>
        </w:rPr>
        <w:t>tale,</w:t>
      </w:r>
      <w:r>
        <w:rPr>
          <w:color w:val="231F20"/>
          <w:spacing w:val="-17"/>
        </w:rPr>
        <w:t> </w:t>
      </w:r>
      <w:r>
        <w:rPr>
          <w:color w:val="231F20"/>
        </w:rPr>
        <w:t>la</w:t>
      </w:r>
      <w:r>
        <w:rPr>
          <w:color w:val="231F20"/>
          <w:spacing w:val="-17"/>
        </w:rPr>
        <w:t> </w:t>
      </w:r>
      <w:r>
        <w:rPr>
          <w:color w:val="231F20"/>
        </w:rPr>
        <w:t>globalizzazione, </w:t>
      </w:r>
      <w:r>
        <w:rPr>
          <w:color w:val="231F20"/>
          <w:w w:val="105"/>
        </w:rPr>
        <w:t>se</w:t>
      </w:r>
      <w:r>
        <w:rPr>
          <w:color w:val="231F20"/>
          <w:spacing w:val="-15"/>
          <w:w w:val="105"/>
        </w:rPr>
        <w:t> </w:t>
      </w:r>
      <w:r>
        <w:rPr>
          <w:color w:val="231F20"/>
          <w:w w:val="105"/>
        </w:rPr>
        <w:t>bene</w:t>
      </w:r>
      <w:r>
        <w:rPr>
          <w:color w:val="231F20"/>
          <w:spacing w:val="-15"/>
          <w:w w:val="105"/>
        </w:rPr>
        <w:t> </w:t>
      </w:r>
      <w:r>
        <w:rPr>
          <w:color w:val="231F20"/>
          <w:w w:val="105"/>
        </w:rPr>
        <w:t>presenta</w:t>
      </w:r>
      <w:r>
        <w:rPr>
          <w:color w:val="231F20"/>
          <w:spacing w:val="-15"/>
          <w:w w:val="105"/>
        </w:rPr>
        <w:t> </w:t>
      </w:r>
      <w:r>
        <w:rPr>
          <w:color w:val="231F20"/>
          <w:w w:val="105"/>
        </w:rPr>
        <w:t>una</w:t>
      </w:r>
      <w:r>
        <w:rPr>
          <w:color w:val="231F20"/>
          <w:spacing w:val="-15"/>
          <w:w w:val="105"/>
        </w:rPr>
        <w:t> </w:t>
      </w:r>
      <w:r>
        <w:rPr>
          <w:color w:val="231F20"/>
          <w:w w:val="105"/>
        </w:rPr>
        <w:t>tendenza</w:t>
      </w:r>
      <w:r>
        <w:rPr>
          <w:color w:val="231F20"/>
          <w:spacing w:val="-15"/>
          <w:w w:val="105"/>
        </w:rPr>
        <w:t> </w:t>
      </w:r>
      <w:r>
        <w:rPr>
          <w:color w:val="231F20"/>
          <w:w w:val="105"/>
        </w:rPr>
        <w:t>verso</w:t>
      </w:r>
      <w:r>
        <w:rPr>
          <w:color w:val="231F20"/>
          <w:spacing w:val="-15"/>
          <w:w w:val="105"/>
        </w:rPr>
        <w:t> </w:t>
      </w:r>
      <w:r>
        <w:rPr>
          <w:color w:val="231F20"/>
          <w:w w:val="105"/>
        </w:rPr>
        <w:t>l’omogeneizzazione</w:t>
      </w:r>
      <w:r>
        <w:rPr>
          <w:color w:val="231F20"/>
          <w:spacing w:val="-15"/>
          <w:w w:val="105"/>
        </w:rPr>
        <w:t> </w:t>
      </w:r>
      <w:r>
        <w:rPr>
          <w:color w:val="231F20"/>
          <w:w w:val="105"/>
        </w:rPr>
        <w:t>e</w:t>
      </w:r>
      <w:r>
        <w:rPr>
          <w:color w:val="231F20"/>
          <w:spacing w:val="-15"/>
          <w:w w:val="105"/>
        </w:rPr>
        <w:t> </w:t>
      </w:r>
      <w:r>
        <w:rPr>
          <w:color w:val="231F20"/>
          <w:w w:val="105"/>
        </w:rPr>
        <w:t>la</w:t>
      </w:r>
      <w:r>
        <w:rPr>
          <w:color w:val="231F20"/>
          <w:spacing w:val="-15"/>
          <w:w w:val="105"/>
        </w:rPr>
        <w:t> </w:t>
      </w:r>
      <w:r>
        <w:rPr>
          <w:color w:val="231F20"/>
          <w:w w:val="105"/>
        </w:rPr>
        <w:t>totalità,</w:t>
      </w:r>
      <w:r>
        <w:rPr>
          <w:color w:val="231F20"/>
          <w:spacing w:val="-15"/>
          <w:w w:val="105"/>
        </w:rPr>
        <w:t> </w:t>
      </w:r>
      <w:r>
        <w:rPr>
          <w:color w:val="231F20"/>
          <w:w w:val="105"/>
        </w:rPr>
        <w:t>in </w:t>
      </w:r>
      <w:r>
        <w:rPr>
          <w:color w:val="231F20"/>
          <w:spacing w:val="-3"/>
          <w:w w:val="105"/>
        </w:rPr>
        <w:t>realtà</w:t>
      </w:r>
      <w:r>
        <w:rPr>
          <w:color w:val="231F20"/>
          <w:spacing w:val="-52"/>
          <w:w w:val="105"/>
        </w:rPr>
        <w:t> </w:t>
      </w:r>
      <w:r>
        <w:rPr>
          <w:color w:val="231F20"/>
          <w:w w:val="105"/>
        </w:rPr>
        <w:t>non</w:t>
      </w:r>
      <w:r>
        <w:rPr>
          <w:color w:val="231F20"/>
          <w:spacing w:val="-52"/>
          <w:w w:val="105"/>
        </w:rPr>
        <w:t> </w:t>
      </w:r>
      <w:r>
        <w:rPr>
          <w:color w:val="231F20"/>
          <w:w w:val="105"/>
        </w:rPr>
        <w:t>può</w:t>
      </w:r>
      <w:r>
        <w:rPr>
          <w:color w:val="231F20"/>
          <w:spacing w:val="-52"/>
          <w:w w:val="105"/>
        </w:rPr>
        <w:t> </w:t>
      </w:r>
      <w:r>
        <w:rPr>
          <w:color w:val="231F20"/>
          <w:w w:val="105"/>
        </w:rPr>
        <w:t>mai</w:t>
      </w:r>
      <w:r>
        <w:rPr>
          <w:color w:val="231F20"/>
          <w:spacing w:val="-52"/>
          <w:w w:val="105"/>
        </w:rPr>
        <w:t> </w:t>
      </w:r>
      <w:r>
        <w:rPr>
          <w:color w:val="231F20"/>
          <w:spacing w:val="-3"/>
          <w:w w:val="105"/>
        </w:rPr>
        <w:t>raggiungere</w:t>
      </w:r>
      <w:r>
        <w:rPr>
          <w:color w:val="231F20"/>
          <w:spacing w:val="-52"/>
          <w:w w:val="105"/>
        </w:rPr>
        <w:t> </w:t>
      </w:r>
      <w:r>
        <w:rPr>
          <w:color w:val="231F20"/>
          <w:w w:val="105"/>
        </w:rPr>
        <w:t>tale</w:t>
      </w:r>
      <w:r>
        <w:rPr>
          <w:color w:val="231F20"/>
          <w:spacing w:val="-52"/>
          <w:w w:val="105"/>
        </w:rPr>
        <w:t> </w:t>
      </w:r>
      <w:r>
        <w:rPr>
          <w:color w:val="231F20"/>
          <w:w w:val="105"/>
        </w:rPr>
        <w:t>chiusura</w:t>
      </w:r>
      <w:r>
        <w:rPr>
          <w:color w:val="231F20"/>
          <w:spacing w:val="-52"/>
          <w:w w:val="105"/>
        </w:rPr>
        <w:t> </w:t>
      </w:r>
      <w:r>
        <w:rPr>
          <w:color w:val="231F20"/>
          <w:w w:val="105"/>
        </w:rPr>
        <w:t>fondamentalmente</w:t>
      </w:r>
      <w:r>
        <w:rPr>
          <w:color w:val="231F20"/>
          <w:spacing w:val="-52"/>
          <w:w w:val="105"/>
        </w:rPr>
        <w:t> </w:t>
      </w:r>
      <w:r>
        <w:rPr>
          <w:color w:val="231F20"/>
          <w:spacing w:val="-3"/>
          <w:w w:val="105"/>
        </w:rPr>
        <w:t>perchè</w:t>
      </w:r>
      <w:r>
        <w:rPr>
          <w:color w:val="231F20"/>
          <w:spacing w:val="-52"/>
          <w:w w:val="105"/>
        </w:rPr>
        <w:t> </w:t>
      </w:r>
      <w:r>
        <w:rPr>
          <w:color w:val="231F20"/>
          <w:spacing w:val="-2"/>
          <w:w w:val="105"/>
        </w:rPr>
        <w:t>non </w:t>
      </w:r>
      <w:r>
        <w:rPr>
          <w:color w:val="231F20"/>
          <w:w w:val="105"/>
        </w:rPr>
        <w:t>è</w:t>
      </w:r>
      <w:r>
        <w:rPr>
          <w:color w:val="231F20"/>
          <w:spacing w:val="-28"/>
          <w:w w:val="105"/>
        </w:rPr>
        <w:t> </w:t>
      </w:r>
      <w:r>
        <w:rPr>
          <w:color w:val="231F20"/>
          <w:w w:val="105"/>
        </w:rPr>
        <w:t>un</w:t>
      </w:r>
      <w:r>
        <w:rPr>
          <w:color w:val="231F20"/>
          <w:spacing w:val="-28"/>
          <w:w w:val="105"/>
        </w:rPr>
        <w:t> </w:t>
      </w:r>
      <w:r>
        <w:rPr>
          <w:color w:val="231F20"/>
          <w:w w:val="105"/>
        </w:rPr>
        <w:t>blocco</w:t>
      </w:r>
      <w:r>
        <w:rPr>
          <w:color w:val="231F20"/>
          <w:spacing w:val="-28"/>
          <w:w w:val="105"/>
        </w:rPr>
        <w:t> </w:t>
      </w:r>
      <w:r>
        <w:rPr>
          <w:color w:val="231F20"/>
          <w:w w:val="105"/>
        </w:rPr>
        <w:t>omogeneo,</w:t>
      </w:r>
      <w:r>
        <w:rPr>
          <w:color w:val="231F20"/>
          <w:spacing w:val="-28"/>
          <w:w w:val="105"/>
        </w:rPr>
        <w:t> </w:t>
      </w:r>
      <w:r>
        <w:rPr>
          <w:color w:val="231F20"/>
          <w:w w:val="105"/>
        </w:rPr>
        <w:t>è</w:t>
      </w:r>
      <w:r>
        <w:rPr>
          <w:color w:val="231F20"/>
          <w:spacing w:val="-28"/>
          <w:w w:val="105"/>
        </w:rPr>
        <w:t> </w:t>
      </w:r>
      <w:r>
        <w:rPr>
          <w:color w:val="231F20"/>
          <w:w w:val="105"/>
        </w:rPr>
        <w:t>fatta</w:t>
      </w:r>
      <w:r>
        <w:rPr>
          <w:color w:val="231F20"/>
          <w:spacing w:val="-28"/>
          <w:w w:val="105"/>
        </w:rPr>
        <w:t> </w:t>
      </w:r>
      <w:r>
        <w:rPr>
          <w:color w:val="231F20"/>
          <w:w w:val="105"/>
        </w:rPr>
        <w:t>di</w:t>
      </w:r>
      <w:r>
        <w:rPr>
          <w:color w:val="231F20"/>
          <w:spacing w:val="-28"/>
          <w:w w:val="105"/>
        </w:rPr>
        <w:t> </w:t>
      </w:r>
      <w:r>
        <w:rPr>
          <w:color w:val="231F20"/>
          <w:w w:val="105"/>
        </w:rPr>
        <w:t>espressioni</w:t>
      </w:r>
      <w:r>
        <w:rPr>
          <w:color w:val="231F20"/>
          <w:spacing w:val="-28"/>
          <w:w w:val="105"/>
        </w:rPr>
        <w:t> </w:t>
      </w:r>
      <w:r>
        <w:rPr>
          <w:color w:val="231F20"/>
          <w:w w:val="105"/>
        </w:rPr>
        <w:t>local</w:t>
      </w:r>
      <w:r>
        <w:rPr>
          <w:color w:val="231F20"/>
          <w:spacing w:val="-28"/>
          <w:w w:val="105"/>
        </w:rPr>
        <w:t> </w:t>
      </w:r>
      <w:r>
        <w:rPr>
          <w:color w:val="231F20"/>
          <w:w w:val="105"/>
        </w:rPr>
        <w:t>e</w:t>
      </w:r>
      <w:r>
        <w:rPr>
          <w:color w:val="231F20"/>
          <w:spacing w:val="-28"/>
          <w:w w:val="105"/>
        </w:rPr>
        <w:t> </w:t>
      </w:r>
      <w:r>
        <w:rPr>
          <w:color w:val="231F20"/>
          <w:w w:val="105"/>
        </w:rPr>
        <w:t>gesti</w:t>
      </w:r>
      <w:r>
        <w:rPr>
          <w:color w:val="231F20"/>
          <w:spacing w:val="-28"/>
          <w:w w:val="105"/>
        </w:rPr>
        <w:t> </w:t>
      </w:r>
      <w:r>
        <w:rPr>
          <w:color w:val="231F20"/>
          <w:w w:val="105"/>
        </w:rPr>
        <w:t>particolari</w:t>
      </w:r>
      <w:r>
        <w:rPr>
          <w:color w:val="231F20"/>
          <w:spacing w:val="-28"/>
          <w:w w:val="105"/>
        </w:rPr>
        <w:t> </w:t>
      </w:r>
      <w:r>
        <w:rPr>
          <w:color w:val="231F20"/>
          <w:w w:val="105"/>
        </w:rPr>
        <w:t>che,</w:t>
      </w:r>
      <w:r>
        <w:rPr>
          <w:color w:val="231F20"/>
          <w:spacing w:val="-28"/>
          <w:w w:val="105"/>
        </w:rPr>
        <w:t> </w:t>
      </w:r>
      <w:r>
        <w:rPr>
          <w:color w:val="231F20"/>
          <w:w w:val="105"/>
        </w:rPr>
        <w:t>a loro</w:t>
      </w:r>
      <w:r>
        <w:rPr>
          <w:color w:val="231F20"/>
          <w:spacing w:val="-24"/>
          <w:w w:val="105"/>
        </w:rPr>
        <w:t> </w:t>
      </w:r>
      <w:r>
        <w:rPr>
          <w:color w:val="231F20"/>
          <w:w w:val="105"/>
        </w:rPr>
        <w:t>volta,</w:t>
      </w:r>
      <w:r>
        <w:rPr>
          <w:color w:val="231F20"/>
          <w:spacing w:val="-24"/>
          <w:w w:val="105"/>
        </w:rPr>
        <w:t> </w:t>
      </w:r>
      <w:r>
        <w:rPr>
          <w:color w:val="231F20"/>
          <w:w w:val="105"/>
        </w:rPr>
        <w:t>si</w:t>
      </w:r>
      <w:r>
        <w:rPr>
          <w:color w:val="231F20"/>
          <w:spacing w:val="-24"/>
          <w:w w:val="105"/>
        </w:rPr>
        <w:t> </w:t>
      </w:r>
      <w:r>
        <w:rPr>
          <w:color w:val="231F20"/>
          <w:w w:val="105"/>
        </w:rPr>
        <w:t>producono</w:t>
      </w:r>
      <w:r>
        <w:rPr>
          <w:color w:val="231F20"/>
          <w:spacing w:val="21"/>
          <w:w w:val="105"/>
        </w:rPr>
        <w:t> </w:t>
      </w:r>
      <w:r>
        <w:rPr>
          <w:color w:val="231F20"/>
          <w:w w:val="105"/>
        </w:rPr>
        <w:t>in</w:t>
      </w:r>
      <w:r>
        <w:rPr>
          <w:color w:val="231F20"/>
          <w:spacing w:val="-24"/>
          <w:w w:val="105"/>
        </w:rPr>
        <w:t> </w:t>
      </w:r>
      <w:r>
        <w:rPr>
          <w:color w:val="231F20"/>
          <w:w w:val="105"/>
        </w:rPr>
        <w:t>relazione</w:t>
      </w:r>
      <w:r>
        <w:rPr>
          <w:color w:val="231F20"/>
          <w:spacing w:val="-24"/>
          <w:w w:val="105"/>
        </w:rPr>
        <w:t> </w:t>
      </w:r>
      <w:r>
        <w:rPr>
          <w:color w:val="231F20"/>
          <w:w w:val="105"/>
        </w:rPr>
        <w:t>con</w:t>
      </w:r>
      <w:r>
        <w:rPr>
          <w:color w:val="231F20"/>
          <w:spacing w:val="-24"/>
          <w:w w:val="105"/>
        </w:rPr>
        <w:t> </w:t>
      </w:r>
      <w:r>
        <w:rPr>
          <w:color w:val="231F20"/>
          <w:w w:val="105"/>
        </w:rPr>
        <w:t>il</w:t>
      </w:r>
      <w:r>
        <w:rPr>
          <w:color w:val="231F20"/>
          <w:spacing w:val="-24"/>
          <w:w w:val="105"/>
        </w:rPr>
        <w:t> </w:t>
      </w:r>
      <w:r>
        <w:rPr>
          <w:color w:val="231F20"/>
          <w:w w:val="105"/>
        </w:rPr>
        <w:t>globale.</w:t>
      </w:r>
    </w:p>
    <w:p>
      <w:pPr>
        <w:pStyle w:val="BodyText"/>
        <w:spacing w:before="10"/>
        <w:rPr>
          <w:sz w:val="22"/>
        </w:rPr>
      </w:pPr>
    </w:p>
    <w:p>
      <w:pPr>
        <w:spacing w:line="220" w:lineRule="exact" w:before="1"/>
        <w:ind w:left="1521" w:right="109" w:firstLine="0"/>
        <w:jc w:val="both"/>
        <w:rPr>
          <w:sz w:val="19"/>
        </w:rPr>
      </w:pPr>
      <w:r>
        <w:rPr>
          <w:color w:val="231F20"/>
          <w:spacing w:val="3"/>
          <w:w w:val="105"/>
          <w:sz w:val="19"/>
        </w:rPr>
        <w:t>L’argomento </w:t>
      </w:r>
      <w:r>
        <w:rPr>
          <w:color w:val="231F20"/>
          <w:spacing w:val="5"/>
          <w:w w:val="105"/>
          <w:sz w:val="19"/>
        </w:rPr>
        <w:t>soggiacente </w:t>
      </w:r>
      <w:r>
        <w:rPr>
          <w:color w:val="231F20"/>
          <w:spacing w:val="3"/>
          <w:w w:val="105"/>
          <w:sz w:val="19"/>
        </w:rPr>
        <w:t>in </w:t>
      </w:r>
      <w:r>
        <w:rPr>
          <w:color w:val="231F20"/>
          <w:spacing w:val="5"/>
          <w:w w:val="105"/>
          <w:sz w:val="19"/>
        </w:rPr>
        <w:t>questa discussione </w:t>
      </w:r>
      <w:r>
        <w:rPr>
          <w:color w:val="231F20"/>
          <w:w w:val="105"/>
          <w:sz w:val="19"/>
        </w:rPr>
        <w:t>è </w:t>
      </w:r>
      <w:r>
        <w:rPr>
          <w:color w:val="231F20"/>
          <w:spacing w:val="6"/>
          <w:w w:val="105"/>
          <w:sz w:val="19"/>
        </w:rPr>
        <w:t>centrato</w:t>
      </w:r>
      <w:r>
        <w:rPr>
          <w:color w:val="231F20"/>
          <w:spacing w:val="74"/>
          <w:w w:val="105"/>
          <w:sz w:val="19"/>
        </w:rPr>
        <w:t> </w:t>
      </w:r>
      <w:r>
        <w:rPr>
          <w:color w:val="231F20"/>
          <w:spacing w:val="-3"/>
          <w:w w:val="105"/>
          <w:sz w:val="19"/>
        </w:rPr>
        <w:t>nell’affermazione</w:t>
      </w:r>
      <w:r>
        <w:rPr>
          <w:color w:val="231F20"/>
          <w:spacing w:val="-41"/>
          <w:w w:val="105"/>
          <w:sz w:val="19"/>
        </w:rPr>
        <w:t> </w:t>
      </w:r>
      <w:r>
        <w:rPr>
          <w:color w:val="231F20"/>
          <w:w w:val="105"/>
          <w:sz w:val="19"/>
        </w:rPr>
        <w:t>che</w:t>
      </w:r>
      <w:r>
        <w:rPr>
          <w:color w:val="231F20"/>
          <w:spacing w:val="-41"/>
          <w:w w:val="105"/>
          <w:sz w:val="19"/>
        </w:rPr>
        <w:t> </w:t>
      </w:r>
      <w:r>
        <w:rPr>
          <w:color w:val="231F20"/>
          <w:w w:val="105"/>
          <w:sz w:val="19"/>
        </w:rPr>
        <w:t>il</w:t>
      </w:r>
      <w:r>
        <w:rPr>
          <w:color w:val="231F20"/>
          <w:spacing w:val="-41"/>
          <w:w w:val="105"/>
          <w:sz w:val="19"/>
        </w:rPr>
        <w:t> </w:t>
      </w:r>
      <w:r>
        <w:rPr>
          <w:color w:val="231F20"/>
          <w:spacing w:val="-3"/>
          <w:w w:val="105"/>
          <w:sz w:val="19"/>
        </w:rPr>
        <w:t>dibattito</w:t>
      </w:r>
      <w:r>
        <w:rPr>
          <w:color w:val="231F20"/>
          <w:spacing w:val="-41"/>
          <w:w w:val="105"/>
          <w:sz w:val="19"/>
        </w:rPr>
        <w:t> </w:t>
      </w:r>
      <w:r>
        <w:rPr>
          <w:color w:val="231F20"/>
          <w:spacing w:val="-3"/>
          <w:w w:val="105"/>
          <w:sz w:val="19"/>
        </w:rPr>
        <w:t>attorno</w:t>
      </w:r>
      <w:r>
        <w:rPr>
          <w:color w:val="231F20"/>
          <w:spacing w:val="-41"/>
          <w:w w:val="105"/>
          <w:sz w:val="19"/>
        </w:rPr>
        <w:t> </w:t>
      </w:r>
      <w:r>
        <w:rPr>
          <w:color w:val="231F20"/>
          <w:spacing w:val="-3"/>
          <w:w w:val="105"/>
          <w:sz w:val="19"/>
        </w:rPr>
        <w:t>all’omogeneizzazione</w:t>
      </w:r>
      <w:r>
        <w:rPr>
          <w:color w:val="231F20"/>
          <w:spacing w:val="-41"/>
          <w:w w:val="105"/>
          <w:sz w:val="19"/>
        </w:rPr>
        <w:t> </w:t>
      </w:r>
      <w:r>
        <w:rPr>
          <w:color w:val="231F20"/>
          <w:spacing w:val="-3"/>
          <w:w w:val="105"/>
          <w:sz w:val="19"/>
        </w:rPr>
        <w:t>deve </w:t>
      </w:r>
      <w:r>
        <w:rPr>
          <w:color w:val="231F20"/>
          <w:w w:val="105"/>
          <w:sz w:val="19"/>
        </w:rPr>
        <w:t>trascendere.</w:t>
      </w:r>
      <w:r>
        <w:rPr>
          <w:color w:val="231F20"/>
          <w:spacing w:val="-17"/>
          <w:w w:val="105"/>
          <w:sz w:val="19"/>
        </w:rPr>
        <w:t> </w:t>
      </w:r>
      <w:r>
        <w:rPr>
          <w:color w:val="231F20"/>
          <w:w w:val="105"/>
          <w:sz w:val="19"/>
        </w:rPr>
        <w:t>Non</w:t>
      </w:r>
      <w:r>
        <w:rPr>
          <w:color w:val="231F20"/>
          <w:spacing w:val="-16"/>
          <w:w w:val="105"/>
          <w:sz w:val="19"/>
        </w:rPr>
        <w:t> </w:t>
      </w:r>
      <w:r>
        <w:rPr>
          <w:color w:val="231F20"/>
          <w:w w:val="105"/>
          <w:sz w:val="19"/>
        </w:rPr>
        <w:t>è</w:t>
      </w:r>
      <w:r>
        <w:rPr>
          <w:color w:val="231F20"/>
          <w:spacing w:val="-17"/>
          <w:w w:val="105"/>
          <w:sz w:val="19"/>
        </w:rPr>
        <w:t> </w:t>
      </w:r>
      <w:r>
        <w:rPr>
          <w:color w:val="231F20"/>
          <w:w w:val="105"/>
          <w:sz w:val="19"/>
        </w:rPr>
        <w:t>una</w:t>
      </w:r>
      <w:r>
        <w:rPr>
          <w:color w:val="231F20"/>
          <w:spacing w:val="-17"/>
          <w:w w:val="105"/>
          <w:sz w:val="19"/>
        </w:rPr>
        <w:t> </w:t>
      </w:r>
      <w:r>
        <w:rPr>
          <w:color w:val="231F20"/>
          <w:w w:val="105"/>
          <w:sz w:val="19"/>
        </w:rPr>
        <w:t>questione</w:t>
      </w:r>
      <w:r>
        <w:rPr>
          <w:color w:val="231F20"/>
          <w:spacing w:val="-17"/>
          <w:w w:val="105"/>
          <w:sz w:val="19"/>
        </w:rPr>
        <w:t> </w:t>
      </w:r>
      <w:r>
        <w:rPr>
          <w:color w:val="231F20"/>
          <w:w w:val="105"/>
          <w:sz w:val="19"/>
        </w:rPr>
        <w:t>ne</w:t>
      </w:r>
      <w:r>
        <w:rPr>
          <w:color w:val="231F20"/>
          <w:spacing w:val="-17"/>
          <w:w w:val="105"/>
          <w:sz w:val="19"/>
        </w:rPr>
        <w:t> </w:t>
      </w:r>
      <w:r>
        <w:rPr>
          <w:color w:val="231F20"/>
          <w:w w:val="105"/>
          <w:sz w:val="19"/>
        </w:rPr>
        <w:t>di</w:t>
      </w:r>
      <w:r>
        <w:rPr>
          <w:color w:val="231F20"/>
          <w:spacing w:val="-17"/>
          <w:w w:val="105"/>
          <w:sz w:val="19"/>
        </w:rPr>
        <w:t> </w:t>
      </w:r>
      <w:r>
        <w:rPr>
          <w:color w:val="231F20"/>
          <w:w w:val="105"/>
          <w:sz w:val="19"/>
        </w:rPr>
        <w:t>omogeneizzazione</w:t>
      </w:r>
      <w:r>
        <w:rPr>
          <w:color w:val="231F20"/>
          <w:spacing w:val="-17"/>
          <w:w w:val="105"/>
          <w:sz w:val="19"/>
        </w:rPr>
        <w:t> </w:t>
      </w:r>
      <w:r>
        <w:rPr>
          <w:color w:val="231F20"/>
          <w:w w:val="105"/>
          <w:sz w:val="19"/>
        </w:rPr>
        <w:t>ne</w:t>
      </w:r>
      <w:r>
        <w:rPr>
          <w:color w:val="231F20"/>
          <w:spacing w:val="-17"/>
          <w:w w:val="105"/>
          <w:sz w:val="19"/>
        </w:rPr>
        <w:t> </w:t>
      </w:r>
      <w:r>
        <w:rPr>
          <w:color w:val="231F20"/>
          <w:w w:val="105"/>
          <w:sz w:val="19"/>
        </w:rPr>
        <w:t>di eterogeneizzazione,</w:t>
      </w:r>
      <w:r>
        <w:rPr>
          <w:color w:val="231F20"/>
          <w:spacing w:val="-27"/>
          <w:w w:val="105"/>
          <w:sz w:val="19"/>
        </w:rPr>
        <w:t> </w:t>
      </w:r>
      <w:r>
        <w:rPr>
          <w:color w:val="231F20"/>
          <w:w w:val="105"/>
          <w:sz w:val="19"/>
        </w:rPr>
        <w:t>ma</w:t>
      </w:r>
      <w:r>
        <w:rPr>
          <w:color w:val="231F20"/>
          <w:spacing w:val="-27"/>
          <w:w w:val="105"/>
          <w:sz w:val="19"/>
        </w:rPr>
        <w:t> </w:t>
      </w:r>
      <w:r>
        <w:rPr>
          <w:color w:val="231F20"/>
          <w:w w:val="105"/>
          <w:sz w:val="19"/>
        </w:rPr>
        <w:t>delle</w:t>
      </w:r>
      <w:r>
        <w:rPr>
          <w:color w:val="231F20"/>
          <w:spacing w:val="-27"/>
          <w:w w:val="105"/>
          <w:sz w:val="19"/>
        </w:rPr>
        <w:t> </w:t>
      </w:r>
      <w:r>
        <w:rPr>
          <w:color w:val="231F20"/>
          <w:w w:val="105"/>
          <w:sz w:val="19"/>
        </w:rPr>
        <w:t>vie</w:t>
      </w:r>
      <w:r>
        <w:rPr>
          <w:color w:val="231F20"/>
          <w:spacing w:val="-27"/>
          <w:w w:val="105"/>
          <w:sz w:val="19"/>
        </w:rPr>
        <w:t> </w:t>
      </w:r>
      <w:r>
        <w:rPr>
          <w:color w:val="231F20"/>
          <w:w w:val="105"/>
          <w:sz w:val="19"/>
        </w:rPr>
        <w:t>nelle</w:t>
      </w:r>
      <w:r>
        <w:rPr>
          <w:color w:val="231F20"/>
          <w:spacing w:val="-27"/>
          <w:w w:val="105"/>
          <w:sz w:val="19"/>
        </w:rPr>
        <w:t> </w:t>
      </w:r>
      <w:r>
        <w:rPr>
          <w:color w:val="231F20"/>
          <w:w w:val="105"/>
          <w:sz w:val="19"/>
        </w:rPr>
        <w:t>quali</w:t>
      </w:r>
      <w:r>
        <w:rPr>
          <w:color w:val="231F20"/>
          <w:spacing w:val="-27"/>
          <w:w w:val="105"/>
          <w:sz w:val="19"/>
        </w:rPr>
        <w:t> </w:t>
      </w:r>
      <w:r>
        <w:rPr>
          <w:color w:val="231F20"/>
          <w:w w:val="105"/>
          <w:sz w:val="19"/>
        </w:rPr>
        <w:t>queste</w:t>
      </w:r>
      <w:r>
        <w:rPr>
          <w:color w:val="231F20"/>
          <w:spacing w:val="-27"/>
          <w:w w:val="105"/>
          <w:sz w:val="19"/>
        </w:rPr>
        <w:t> </w:t>
      </w:r>
      <w:r>
        <w:rPr>
          <w:color w:val="231F20"/>
          <w:w w:val="105"/>
          <w:sz w:val="19"/>
        </w:rPr>
        <w:t>due</w:t>
      </w:r>
      <w:r>
        <w:rPr>
          <w:color w:val="231F20"/>
          <w:spacing w:val="-27"/>
          <w:w w:val="105"/>
          <w:sz w:val="19"/>
        </w:rPr>
        <w:t> </w:t>
      </w:r>
      <w:r>
        <w:rPr>
          <w:color w:val="231F20"/>
          <w:w w:val="105"/>
          <w:sz w:val="19"/>
        </w:rPr>
        <w:t>tendenze sono</w:t>
      </w:r>
      <w:r>
        <w:rPr>
          <w:color w:val="231F20"/>
          <w:spacing w:val="-12"/>
          <w:w w:val="105"/>
          <w:sz w:val="19"/>
        </w:rPr>
        <w:t> </w:t>
      </w:r>
      <w:r>
        <w:rPr>
          <w:color w:val="231F20"/>
          <w:w w:val="105"/>
          <w:sz w:val="19"/>
        </w:rPr>
        <w:t>diventate</w:t>
      </w:r>
      <w:r>
        <w:rPr>
          <w:color w:val="231F20"/>
          <w:spacing w:val="-12"/>
          <w:w w:val="105"/>
          <w:sz w:val="19"/>
        </w:rPr>
        <w:t> </w:t>
      </w:r>
      <w:r>
        <w:rPr>
          <w:color w:val="231F20"/>
          <w:w w:val="105"/>
          <w:sz w:val="19"/>
        </w:rPr>
        <w:t>forme</w:t>
      </w:r>
      <w:r>
        <w:rPr>
          <w:color w:val="231F20"/>
          <w:spacing w:val="-12"/>
          <w:w w:val="105"/>
          <w:sz w:val="19"/>
        </w:rPr>
        <w:t> </w:t>
      </w:r>
      <w:r>
        <w:rPr>
          <w:color w:val="231F20"/>
          <w:w w:val="105"/>
          <w:sz w:val="19"/>
        </w:rPr>
        <w:t>di</w:t>
      </w:r>
      <w:r>
        <w:rPr>
          <w:color w:val="231F20"/>
          <w:spacing w:val="-12"/>
          <w:w w:val="105"/>
          <w:sz w:val="19"/>
        </w:rPr>
        <w:t> </w:t>
      </w:r>
      <w:r>
        <w:rPr>
          <w:color w:val="231F20"/>
          <w:w w:val="105"/>
          <w:sz w:val="19"/>
        </w:rPr>
        <w:t>vita</w:t>
      </w:r>
      <w:r>
        <w:rPr>
          <w:color w:val="231F20"/>
          <w:spacing w:val="-12"/>
          <w:w w:val="105"/>
          <w:sz w:val="19"/>
        </w:rPr>
        <w:t> </w:t>
      </w:r>
      <w:r>
        <w:rPr>
          <w:color w:val="231F20"/>
          <w:w w:val="105"/>
          <w:sz w:val="19"/>
        </w:rPr>
        <w:t>durante</w:t>
      </w:r>
      <w:r>
        <w:rPr>
          <w:color w:val="231F20"/>
          <w:spacing w:val="-12"/>
          <w:w w:val="105"/>
          <w:sz w:val="19"/>
        </w:rPr>
        <w:t> </w:t>
      </w:r>
      <w:r>
        <w:rPr>
          <w:color w:val="231F20"/>
          <w:w w:val="105"/>
          <w:sz w:val="19"/>
        </w:rPr>
        <w:t>l’ultima</w:t>
      </w:r>
      <w:r>
        <w:rPr>
          <w:color w:val="231F20"/>
          <w:spacing w:val="-12"/>
          <w:w w:val="105"/>
          <w:sz w:val="19"/>
        </w:rPr>
        <w:t> </w:t>
      </w:r>
      <w:r>
        <w:rPr>
          <w:color w:val="231F20"/>
          <w:w w:val="105"/>
          <w:sz w:val="19"/>
        </w:rPr>
        <w:t>parte</w:t>
      </w:r>
      <w:r>
        <w:rPr>
          <w:color w:val="231F20"/>
          <w:spacing w:val="-12"/>
          <w:w w:val="105"/>
          <w:sz w:val="19"/>
        </w:rPr>
        <w:t> </w:t>
      </w:r>
      <w:r>
        <w:rPr>
          <w:color w:val="231F20"/>
          <w:w w:val="105"/>
          <w:sz w:val="19"/>
        </w:rPr>
        <w:t>del</w:t>
      </w:r>
      <w:r>
        <w:rPr>
          <w:color w:val="231F20"/>
          <w:spacing w:val="-12"/>
          <w:w w:val="105"/>
          <w:sz w:val="19"/>
        </w:rPr>
        <w:t> </w:t>
      </w:r>
      <w:r>
        <w:rPr>
          <w:color w:val="231F20"/>
          <w:w w:val="105"/>
          <w:sz w:val="19"/>
        </w:rPr>
        <w:t>secolo</w:t>
      </w:r>
      <w:r>
        <w:rPr>
          <w:color w:val="231F20"/>
          <w:spacing w:val="-12"/>
          <w:w w:val="105"/>
          <w:sz w:val="19"/>
        </w:rPr>
        <w:t> </w:t>
      </w:r>
      <w:r>
        <w:rPr>
          <w:color w:val="231F20"/>
          <w:w w:val="105"/>
          <w:sz w:val="16"/>
        </w:rPr>
        <w:t>XX </w:t>
      </w:r>
      <w:r>
        <w:rPr>
          <w:color w:val="231F20"/>
          <w:w w:val="105"/>
          <w:sz w:val="19"/>
        </w:rPr>
        <w:t>nel</w:t>
      </w:r>
      <w:r>
        <w:rPr>
          <w:color w:val="231F20"/>
          <w:spacing w:val="-31"/>
          <w:w w:val="105"/>
          <w:sz w:val="19"/>
        </w:rPr>
        <w:t> </w:t>
      </w:r>
      <w:r>
        <w:rPr>
          <w:color w:val="231F20"/>
          <w:w w:val="105"/>
          <w:sz w:val="19"/>
        </w:rPr>
        <w:t>mondo</w:t>
      </w:r>
      <w:r>
        <w:rPr>
          <w:color w:val="231F20"/>
          <w:w w:val="105"/>
          <w:position w:val="6"/>
          <w:sz w:val="11"/>
        </w:rPr>
        <w:t>8</w:t>
      </w:r>
      <w:r>
        <w:rPr>
          <w:color w:val="231F20"/>
          <w:w w:val="105"/>
          <w:sz w:val="19"/>
        </w:rPr>
        <w:t>.</w:t>
      </w:r>
    </w:p>
    <w:p>
      <w:pPr>
        <w:pStyle w:val="BodyText"/>
        <w:spacing w:before="11"/>
        <w:rPr>
          <w:sz w:val="23"/>
        </w:rPr>
      </w:pPr>
    </w:p>
    <w:p>
      <w:pPr>
        <w:pStyle w:val="BodyText"/>
        <w:spacing w:line="247" w:lineRule="auto"/>
        <w:ind w:left="103" w:right="111"/>
        <w:jc w:val="both"/>
      </w:pPr>
      <w:r>
        <w:rPr>
          <w:color w:val="231F20"/>
          <w:w w:val="105"/>
        </w:rPr>
        <w:t>Le</w:t>
      </w:r>
      <w:r>
        <w:rPr>
          <w:color w:val="231F20"/>
          <w:spacing w:val="-41"/>
          <w:w w:val="105"/>
        </w:rPr>
        <w:t> </w:t>
      </w:r>
      <w:r>
        <w:rPr>
          <w:color w:val="231F20"/>
          <w:spacing w:val="-3"/>
          <w:w w:val="105"/>
        </w:rPr>
        <w:t>posizioni</w:t>
      </w:r>
      <w:r>
        <w:rPr>
          <w:color w:val="231F20"/>
          <w:spacing w:val="-41"/>
          <w:w w:val="105"/>
        </w:rPr>
        <w:t> </w:t>
      </w:r>
      <w:r>
        <w:rPr>
          <w:color w:val="231F20"/>
          <w:w w:val="105"/>
        </w:rPr>
        <w:t>che</w:t>
      </w:r>
      <w:r>
        <w:rPr>
          <w:color w:val="231F20"/>
          <w:spacing w:val="-41"/>
          <w:w w:val="105"/>
        </w:rPr>
        <w:t> </w:t>
      </w:r>
      <w:r>
        <w:rPr>
          <w:color w:val="231F20"/>
          <w:w w:val="105"/>
        </w:rPr>
        <w:t>non</w:t>
      </w:r>
      <w:r>
        <w:rPr>
          <w:color w:val="231F20"/>
          <w:spacing w:val="-41"/>
          <w:w w:val="105"/>
        </w:rPr>
        <w:t> </w:t>
      </w:r>
      <w:r>
        <w:rPr>
          <w:color w:val="231F20"/>
          <w:spacing w:val="-3"/>
          <w:w w:val="105"/>
        </w:rPr>
        <w:t>vedono</w:t>
      </w:r>
      <w:r>
        <w:rPr>
          <w:color w:val="231F20"/>
          <w:spacing w:val="-41"/>
          <w:w w:val="105"/>
        </w:rPr>
        <w:t> </w:t>
      </w:r>
      <w:r>
        <w:rPr>
          <w:color w:val="231F20"/>
          <w:w w:val="105"/>
        </w:rPr>
        <w:t>più</w:t>
      </w:r>
      <w:r>
        <w:rPr>
          <w:color w:val="231F20"/>
          <w:spacing w:val="-41"/>
          <w:w w:val="105"/>
        </w:rPr>
        <w:t> </w:t>
      </w:r>
      <w:r>
        <w:rPr>
          <w:color w:val="231F20"/>
          <w:spacing w:val="-3"/>
          <w:w w:val="105"/>
        </w:rPr>
        <w:t>nella</w:t>
      </w:r>
      <w:r>
        <w:rPr>
          <w:color w:val="231F20"/>
          <w:spacing w:val="-41"/>
          <w:w w:val="105"/>
        </w:rPr>
        <w:t> </w:t>
      </w:r>
      <w:r>
        <w:rPr>
          <w:color w:val="231F20"/>
          <w:spacing w:val="-3"/>
          <w:w w:val="105"/>
        </w:rPr>
        <w:t>globalizzazione</w:t>
      </w:r>
      <w:r>
        <w:rPr>
          <w:color w:val="231F20"/>
          <w:spacing w:val="-41"/>
          <w:w w:val="105"/>
        </w:rPr>
        <w:t> </w:t>
      </w:r>
      <w:r>
        <w:rPr>
          <w:color w:val="231F20"/>
          <w:spacing w:val="-3"/>
          <w:w w:val="105"/>
        </w:rPr>
        <w:t>solamente</w:t>
      </w:r>
      <w:r>
        <w:rPr>
          <w:color w:val="231F20"/>
          <w:spacing w:val="-41"/>
          <w:w w:val="105"/>
        </w:rPr>
        <w:t> </w:t>
      </w:r>
      <w:r>
        <w:rPr>
          <w:color w:val="231F20"/>
          <w:w w:val="105"/>
        </w:rPr>
        <w:t>un</w:t>
      </w:r>
      <w:r>
        <w:rPr>
          <w:color w:val="231F20"/>
          <w:spacing w:val="-41"/>
          <w:w w:val="105"/>
        </w:rPr>
        <w:t> </w:t>
      </w:r>
      <w:r>
        <w:rPr>
          <w:color w:val="231F20"/>
          <w:spacing w:val="-4"/>
          <w:w w:val="105"/>
        </w:rPr>
        <w:t>processo </w:t>
      </w:r>
      <w:r>
        <w:rPr>
          <w:color w:val="231F20"/>
        </w:rPr>
        <w:t>unificato</w:t>
      </w:r>
      <w:r>
        <w:rPr>
          <w:color w:val="231F20"/>
          <w:spacing w:val="-16"/>
        </w:rPr>
        <w:t> </w:t>
      </w:r>
      <w:r>
        <w:rPr>
          <w:color w:val="231F20"/>
        </w:rPr>
        <w:t>e</w:t>
      </w:r>
      <w:r>
        <w:rPr>
          <w:color w:val="231F20"/>
          <w:spacing w:val="-16"/>
        </w:rPr>
        <w:t> </w:t>
      </w:r>
      <w:r>
        <w:rPr>
          <w:color w:val="231F20"/>
        </w:rPr>
        <w:t>omogeneizzante,</w:t>
      </w:r>
      <w:r>
        <w:rPr>
          <w:color w:val="231F20"/>
          <w:spacing w:val="-16"/>
        </w:rPr>
        <w:t> </w:t>
      </w:r>
      <w:r>
        <w:rPr>
          <w:color w:val="231F20"/>
        </w:rPr>
        <w:t>hanno</w:t>
      </w:r>
      <w:r>
        <w:rPr>
          <w:color w:val="231F20"/>
          <w:spacing w:val="-16"/>
        </w:rPr>
        <w:t> </w:t>
      </w:r>
      <w:r>
        <w:rPr>
          <w:color w:val="231F20"/>
        </w:rPr>
        <w:t>problematizzato</w:t>
      </w:r>
      <w:r>
        <w:rPr>
          <w:color w:val="231F20"/>
          <w:spacing w:val="-16"/>
        </w:rPr>
        <w:t> </w:t>
      </w:r>
      <w:r>
        <w:rPr>
          <w:color w:val="231F20"/>
        </w:rPr>
        <w:t>e</w:t>
      </w:r>
      <w:r>
        <w:rPr>
          <w:color w:val="231F20"/>
          <w:spacing w:val="-16"/>
        </w:rPr>
        <w:t> </w:t>
      </w:r>
      <w:r>
        <w:rPr>
          <w:color w:val="231F20"/>
        </w:rPr>
        <w:t>hanno</w:t>
      </w:r>
      <w:r>
        <w:rPr>
          <w:color w:val="231F20"/>
          <w:spacing w:val="-16"/>
        </w:rPr>
        <w:t> </w:t>
      </w:r>
      <w:r>
        <w:rPr>
          <w:color w:val="231F20"/>
        </w:rPr>
        <w:t>fatto</w:t>
      </w:r>
      <w:r>
        <w:rPr>
          <w:color w:val="231F20"/>
          <w:spacing w:val="-16"/>
        </w:rPr>
        <w:t> </w:t>
      </w:r>
      <w:r>
        <w:rPr>
          <w:color w:val="231F20"/>
        </w:rPr>
        <w:t>diventare </w:t>
      </w:r>
      <w:r>
        <w:rPr>
          <w:color w:val="231F20"/>
          <w:w w:val="105"/>
        </w:rPr>
        <w:t>ancora</w:t>
      </w:r>
      <w:r>
        <w:rPr>
          <w:color w:val="231F20"/>
          <w:spacing w:val="-42"/>
          <w:w w:val="105"/>
        </w:rPr>
        <w:t> </w:t>
      </w:r>
      <w:r>
        <w:rPr>
          <w:color w:val="231F20"/>
          <w:w w:val="105"/>
        </w:rPr>
        <w:t>più</w:t>
      </w:r>
      <w:r>
        <w:rPr>
          <w:color w:val="231F20"/>
          <w:spacing w:val="-42"/>
          <w:w w:val="105"/>
        </w:rPr>
        <w:t> </w:t>
      </w:r>
      <w:r>
        <w:rPr>
          <w:color w:val="231F20"/>
          <w:w w:val="105"/>
        </w:rPr>
        <w:t>complessa</w:t>
      </w:r>
      <w:r>
        <w:rPr>
          <w:color w:val="231F20"/>
          <w:spacing w:val="-42"/>
          <w:w w:val="105"/>
        </w:rPr>
        <w:t> </w:t>
      </w:r>
      <w:r>
        <w:rPr>
          <w:color w:val="231F20"/>
          <w:w w:val="105"/>
        </w:rPr>
        <w:t>la</w:t>
      </w:r>
      <w:r>
        <w:rPr>
          <w:color w:val="231F20"/>
          <w:spacing w:val="-42"/>
          <w:w w:val="105"/>
        </w:rPr>
        <w:t> </w:t>
      </w:r>
      <w:r>
        <w:rPr>
          <w:color w:val="231F20"/>
          <w:w w:val="105"/>
        </w:rPr>
        <w:t>maniera</w:t>
      </w:r>
      <w:r>
        <w:rPr>
          <w:color w:val="231F20"/>
          <w:spacing w:val="-42"/>
          <w:w w:val="105"/>
        </w:rPr>
        <w:t> </w:t>
      </w:r>
      <w:r>
        <w:rPr>
          <w:color w:val="231F20"/>
          <w:w w:val="105"/>
        </w:rPr>
        <w:t>di</w:t>
      </w:r>
      <w:r>
        <w:rPr>
          <w:color w:val="231F20"/>
          <w:spacing w:val="-42"/>
          <w:w w:val="105"/>
        </w:rPr>
        <w:t> </w:t>
      </w:r>
      <w:r>
        <w:rPr>
          <w:color w:val="231F20"/>
          <w:w w:val="105"/>
        </w:rPr>
        <w:t>vedere</w:t>
      </w:r>
      <w:r>
        <w:rPr>
          <w:color w:val="231F20"/>
          <w:spacing w:val="-42"/>
          <w:w w:val="105"/>
        </w:rPr>
        <w:t> </w:t>
      </w:r>
      <w:r>
        <w:rPr>
          <w:color w:val="231F20"/>
          <w:w w:val="105"/>
        </w:rPr>
        <w:t>un</w:t>
      </w:r>
      <w:r>
        <w:rPr>
          <w:color w:val="231F20"/>
          <w:spacing w:val="-42"/>
          <w:w w:val="105"/>
        </w:rPr>
        <w:t> </w:t>
      </w:r>
      <w:r>
        <w:rPr>
          <w:color w:val="231F20"/>
          <w:w w:val="105"/>
        </w:rPr>
        <w:t>fenomeno</w:t>
      </w:r>
      <w:r>
        <w:rPr>
          <w:color w:val="231F20"/>
          <w:spacing w:val="-42"/>
          <w:w w:val="105"/>
        </w:rPr>
        <w:t> </w:t>
      </w:r>
      <w:r>
        <w:rPr>
          <w:color w:val="231F20"/>
          <w:w w:val="105"/>
        </w:rPr>
        <w:t>che</w:t>
      </w:r>
      <w:r>
        <w:rPr>
          <w:color w:val="231F20"/>
          <w:spacing w:val="-42"/>
          <w:w w:val="105"/>
        </w:rPr>
        <w:t> </w:t>
      </w:r>
      <w:r>
        <w:rPr>
          <w:color w:val="231F20"/>
          <w:w w:val="105"/>
        </w:rPr>
        <w:t>ci</w:t>
      </w:r>
      <w:r>
        <w:rPr>
          <w:color w:val="231F20"/>
          <w:spacing w:val="-42"/>
          <w:w w:val="105"/>
        </w:rPr>
        <w:t> </w:t>
      </w:r>
      <w:r>
        <w:rPr>
          <w:color w:val="231F20"/>
          <w:w w:val="105"/>
        </w:rPr>
        <w:t>tocca</w:t>
      </w:r>
      <w:r>
        <w:rPr>
          <w:color w:val="231F20"/>
          <w:spacing w:val="-42"/>
          <w:w w:val="105"/>
        </w:rPr>
        <w:t> </w:t>
      </w:r>
      <w:r>
        <w:rPr>
          <w:color w:val="231F20"/>
          <w:w w:val="105"/>
        </w:rPr>
        <w:t>a</w:t>
      </w:r>
      <w:r>
        <w:rPr>
          <w:color w:val="231F20"/>
          <w:spacing w:val="-42"/>
          <w:w w:val="105"/>
        </w:rPr>
        <w:t> </w:t>
      </w:r>
      <w:r>
        <w:rPr>
          <w:color w:val="231F20"/>
          <w:w w:val="105"/>
        </w:rPr>
        <w:t>tutti, che</w:t>
      </w:r>
      <w:r>
        <w:rPr>
          <w:color w:val="231F20"/>
          <w:spacing w:val="-45"/>
          <w:w w:val="105"/>
        </w:rPr>
        <w:t> </w:t>
      </w:r>
      <w:r>
        <w:rPr>
          <w:color w:val="231F20"/>
          <w:w w:val="105"/>
        </w:rPr>
        <w:t>viviamo</w:t>
      </w:r>
      <w:r>
        <w:rPr>
          <w:color w:val="231F20"/>
          <w:spacing w:val="-45"/>
          <w:w w:val="105"/>
        </w:rPr>
        <w:t> </w:t>
      </w:r>
      <w:r>
        <w:rPr>
          <w:color w:val="231F20"/>
          <w:w w:val="105"/>
        </w:rPr>
        <w:t>direttamente</w:t>
      </w:r>
      <w:r>
        <w:rPr>
          <w:color w:val="231F20"/>
          <w:spacing w:val="-45"/>
          <w:w w:val="105"/>
        </w:rPr>
        <w:t> </w:t>
      </w:r>
      <w:r>
        <w:rPr>
          <w:color w:val="231F20"/>
          <w:w w:val="105"/>
        </w:rPr>
        <w:t>in</w:t>
      </w:r>
      <w:r>
        <w:rPr>
          <w:color w:val="231F20"/>
          <w:spacing w:val="-45"/>
          <w:w w:val="105"/>
        </w:rPr>
        <w:t> </w:t>
      </w:r>
      <w:r>
        <w:rPr>
          <w:color w:val="231F20"/>
          <w:w w:val="105"/>
        </w:rPr>
        <w:t>diversi</w:t>
      </w:r>
      <w:r>
        <w:rPr>
          <w:color w:val="231F20"/>
          <w:spacing w:val="-45"/>
          <w:w w:val="105"/>
        </w:rPr>
        <w:t> </w:t>
      </w:r>
      <w:r>
        <w:rPr>
          <w:color w:val="231F20"/>
          <w:w w:val="105"/>
        </w:rPr>
        <w:t>aspetti</w:t>
      </w:r>
      <w:r>
        <w:rPr>
          <w:color w:val="231F20"/>
          <w:spacing w:val="-45"/>
          <w:w w:val="105"/>
        </w:rPr>
        <w:t> </w:t>
      </w:r>
      <w:r>
        <w:rPr>
          <w:color w:val="231F20"/>
          <w:w w:val="105"/>
        </w:rPr>
        <w:t>della</w:t>
      </w:r>
      <w:r>
        <w:rPr>
          <w:color w:val="231F20"/>
          <w:spacing w:val="-45"/>
          <w:w w:val="105"/>
        </w:rPr>
        <w:t> </w:t>
      </w:r>
      <w:r>
        <w:rPr>
          <w:color w:val="231F20"/>
          <w:w w:val="105"/>
        </w:rPr>
        <w:t>nostra</w:t>
      </w:r>
      <w:r>
        <w:rPr>
          <w:color w:val="231F20"/>
          <w:spacing w:val="-45"/>
          <w:w w:val="105"/>
        </w:rPr>
        <w:t> </w:t>
      </w:r>
      <w:r>
        <w:rPr>
          <w:color w:val="231F20"/>
          <w:w w:val="105"/>
        </w:rPr>
        <w:t>vita,</w:t>
      </w:r>
      <w:r>
        <w:rPr>
          <w:color w:val="231F20"/>
          <w:spacing w:val="-45"/>
          <w:w w:val="105"/>
        </w:rPr>
        <w:t> </w:t>
      </w:r>
      <w:r>
        <w:rPr>
          <w:color w:val="231F20"/>
          <w:w w:val="105"/>
        </w:rPr>
        <w:t>e</w:t>
      </w:r>
      <w:r>
        <w:rPr>
          <w:color w:val="231F20"/>
          <w:spacing w:val="-45"/>
          <w:w w:val="105"/>
        </w:rPr>
        <w:t> </w:t>
      </w:r>
      <w:r>
        <w:rPr>
          <w:color w:val="231F20"/>
          <w:w w:val="105"/>
        </w:rPr>
        <w:t>precisamente </w:t>
      </w:r>
      <w:r>
        <w:rPr>
          <w:color w:val="231F20"/>
          <w:spacing w:val="-3"/>
          <w:w w:val="105"/>
        </w:rPr>
        <w:t>per</w:t>
      </w:r>
      <w:r>
        <w:rPr>
          <w:color w:val="231F20"/>
          <w:spacing w:val="-46"/>
          <w:w w:val="105"/>
        </w:rPr>
        <w:t> </w:t>
      </w:r>
      <w:r>
        <w:rPr>
          <w:color w:val="231F20"/>
          <w:spacing w:val="-4"/>
          <w:w w:val="105"/>
        </w:rPr>
        <w:t>questo</w:t>
      </w:r>
      <w:r>
        <w:rPr>
          <w:color w:val="231F20"/>
          <w:spacing w:val="-46"/>
          <w:w w:val="105"/>
        </w:rPr>
        <w:t> </w:t>
      </w:r>
      <w:r>
        <w:rPr>
          <w:color w:val="231F20"/>
          <w:spacing w:val="-3"/>
          <w:w w:val="105"/>
        </w:rPr>
        <w:t>non</w:t>
      </w:r>
      <w:r>
        <w:rPr>
          <w:color w:val="231F20"/>
          <w:spacing w:val="-46"/>
          <w:w w:val="105"/>
        </w:rPr>
        <w:t> </w:t>
      </w:r>
      <w:r>
        <w:rPr>
          <w:color w:val="231F20"/>
          <w:spacing w:val="-3"/>
          <w:w w:val="105"/>
        </w:rPr>
        <w:t>può</w:t>
      </w:r>
      <w:r>
        <w:rPr>
          <w:color w:val="231F20"/>
          <w:spacing w:val="-46"/>
          <w:w w:val="105"/>
        </w:rPr>
        <w:t> </w:t>
      </w:r>
      <w:r>
        <w:rPr>
          <w:color w:val="231F20"/>
          <w:spacing w:val="-4"/>
          <w:w w:val="105"/>
        </w:rPr>
        <w:t>ridursi</w:t>
      </w:r>
      <w:r>
        <w:rPr>
          <w:color w:val="231F20"/>
          <w:spacing w:val="-46"/>
          <w:w w:val="105"/>
        </w:rPr>
        <w:t> </w:t>
      </w:r>
      <w:r>
        <w:rPr>
          <w:color w:val="231F20"/>
          <w:w w:val="105"/>
        </w:rPr>
        <w:t>a</w:t>
      </w:r>
      <w:r>
        <w:rPr>
          <w:color w:val="231F20"/>
          <w:spacing w:val="-46"/>
          <w:w w:val="105"/>
        </w:rPr>
        <w:t> </w:t>
      </w:r>
      <w:r>
        <w:rPr>
          <w:color w:val="231F20"/>
          <w:spacing w:val="-3"/>
          <w:w w:val="105"/>
        </w:rPr>
        <w:t>uno</w:t>
      </w:r>
      <w:r>
        <w:rPr>
          <w:color w:val="231F20"/>
          <w:spacing w:val="-46"/>
          <w:w w:val="105"/>
        </w:rPr>
        <w:t> </w:t>
      </w:r>
      <w:r>
        <w:rPr>
          <w:color w:val="231F20"/>
          <w:spacing w:val="-4"/>
          <w:w w:val="105"/>
        </w:rPr>
        <w:t>schema</w:t>
      </w:r>
      <w:r>
        <w:rPr>
          <w:color w:val="231F20"/>
          <w:spacing w:val="-46"/>
          <w:w w:val="105"/>
        </w:rPr>
        <w:t> </w:t>
      </w:r>
      <w:r>
        <w:rPr>
          <w:color w:val="231F20"/>
          <w:w w:val="105"/>
        </w:rPr>
        <w:t>di</w:t>
      </w:r>
      <w:r>
        <w:rPr>
          <w:color w:val="231F20"/>
          <w:spacing w:val="-46"/>
          <w:w w:val="105"/>
        </w:rPr>
        <w:t> </w:t>
      </w:r>
      <w:r>
        <w:rPr>
          <w:color w:val="231F20"/>
          <w:spacing w:val="-4"/>
          <w:w w:val="105"/>
        </w:rPr>
        <w:t>causa–effetto</w:t>
      </w:r>
      <w:r>
        <w:rPr>
          <w:color w:val="231F20"/>
          <w:spacing w:val="-46"/>
          <w:w w:val="105"/>
        </w:rPr>
        <w:t> </w:t>
      </w:r>
      <w:r>
        <w:rPr>
          <w:color w:val="231F20"/>
          <w:spacing w:val="-4"/>
          <w:w w:val="105"/>
        </w:rPr>
        <w:t>oppure</w:t>
      </w:r>
      <w:r>
        <w:rPr>
          <w:color w:val="231F20"/>
          <w:spacing w:val="-46"/>
          <w:w w:val="105"/>
        </w:rPr>
        <w:t> </w:t>
      </w:r>
      <w:r>
        <w:rPr>
          <w:color w:val="231F20"/>
          <w:w w:val="105"/>
        </w:rPr>
        <w:t>a</w:t>
      </w:r>
      <w:r>
        <w:rPr>
          <w:color w:val="231F20"/>
          <w:spacing w:val="-46"/>
          <w:w w:val="105"/>
        </w:rPr>
        <w:t> </w:t>
      </w:r>
      <w:r>
        <w:rPr>
          <w:color w:val="231F20"/>
          <w:w w:val="105"/>
        </w:rPr>
        <w:t>un</w:t>
      </w:r>
      <w:r>
        <w:rPr>
          <w:color w:val="231F20"/>
          <w:spacing w:val="-46"/>
          <w:w w:val="105"/>
        </w:rPr>
        <w:t> </w:t>
      </w:r>
      <w:r>
        <w:rPr>
          <w:color w:val="231F20"/>
          <w:spacing w:val="-4"/>
          <w:w w:val="105"/>
        </w:rPr>
        <w:t>modello </w:t>
      </w:r>
      <w:r>
        <w:rPr>
          <w:color w:val="231F20"/>
          <w:w w:val="105"/>
        </w:rPr>
        <w:t>unificatore in cui tutto diverrebbe omogeneo e unitario. “Per descrivere queste</w:t>
      </w:r>
      <w:r>
        <w:rPr>
          <w:color w:val="231F20"/>
          <w:spacing w:val="-8"/>
          <w:w w:val="105"/>
        </w:rPr>
        <w:t> </w:t>
      </w:r>
      <w:r>
        <w:rPr>
          <w:color w:val="231F20"/>
          <w:w w:val="105"/>
        </w:rPr>
        <w:t>tendenze</w:t>
      </w:r>
      <w:r>
        <w:rPr>
          <w:color w:val="231F20"/>
          <w:spacing w:val="-8"/>
          <w:w w:val="105"/>
        </w:rPr>
        <w:t> </w:t>
      </w:r>
      <w:r>
        <w:rPr>
          <w:color w:val="231F20"/>
          <w:w w:val="105"/>
        </w:rPr>
        <w:t>contrarie</w:t>
      </w:r>
      <w:r>
        <w:rPr>
          <w:color w:val="231F20"/>
          <w:spacing w:val="-8"/>
          <w:w w:val="105"/>
        </w:rPr>
        <w:t> </w:t>
      </w:r>
      <w:r>
        <w:rPr>
          <w:color w:val="231F20"/>
          <w:w w:val="105"/>
        </w:rPr>
        <w:t>della</w:t>
      </w:r>
      <w:r>
        <w:rPr>
          <w:color w:val="231F20"/>
          <w:spacing w:val="-8"/>
          <w:w w:val="105"/>
        </w:rPr>
        <w:t> </w:t>
      </w:r>
      <w:r>
        <w:rPr>
          <w:color w:val="231F20"/>
          <w:w w:val="105"/>
        </w:rPr>
        <w:t>società</w:t>
      </w:r>
      <w:r>
        <w:rPr>
          <w:color w:val="231F20"/>
          <w:spacing w:val="-8"/>
          <w:w w:val="105"/>
        </w:rPr>
        <w:t> </w:t>
      </w:r>
      <w:r>
        <w:rPr>
          <w:color w:val="231F20"/>
          <w:w w:val="105"/>
        </w:rPr>
        <w:t>[…],</w:t>
      </w:r>
      <w:r>
        <w:rPr>
          <w:color w:val="231F20"/>
          <w:spacing w:val="-8"/>
          <w:w w:val="105"/>
        </w:rPr>
        <w:t> </w:t>
      </w:r>
      <w:r>
        <w:rPr>
          <w:color w:val="231F20"/>
          <w:w w:val="105"/>
        </w:rPr>
        <w:t>le</w:t>
      </w:r>
      <w:r>
        <w:rPr>
          <w:color w:val="231F20"/>
          <w:spacing w:val="-8"/>
          <w:w w:val="105"/>
        </w:rPr>
        <w:t> </w:t>
      </w:r>
      <w:r>
        <w:rPr>
          <w:color w:val="231F20"/>
          <w:w w:val="105"/>
        </w:rPr>
        <w:t>formulazioni</w:t>
      </w:r>
      <w:r>
        <w:rPr>
          <w:color w:val="231F20"/>
          <w:spacing w:val="-8"/>
          <w:w w:val="105"/>
        </w:rPr>
        <w:t> </w:t>
      </w:r>
      <w:r>
        <w:rPr>
          <w:color w:val="231F20"/>
          <w:w w:val="105"/>
        </w:rPr>
        <w:t>paradossali </w:t>
      </w:r>
      <w:r>
        <w:rPr>
          <w:color w:val="231F20"/>
          <w:spacing w:val="-3"/>
          <w:w w:val="105"/>
        </w:rPr>
        <w:t>sembrano</w:t>
      </w:r>
      <w:r>
        <w:rPr>
          <w:color w:val="231F20"/>
          <w:spacing w:val="-49"/>
          <w:w w:val="105"/>
        </w:rPr>
        <w:t> </w:t>
      </w:r>
      <w:r>
        <w:rPr>
          <w:color w:val="231F20"/>
          <w:spacing w:val="-3"/>
          <w:w w:val="105"/>
        </w:rPr>
        <w:t>specialmente</w:t>
      </w:r>
      <w:r>
        <w:rPr>
          <w:color w:val="231F20"/>
          <w:spacing w:val="-49"/>
          <w:w w:val="105"/>
        </w:rPr>
        <w:t> </w:t>
      </w:r>
      <w:r>
        <w:rPr>
          <w:color w:val="231F20"/>
          <w:spacing w:val="-3"/>
          <w:w w:val="105"/>
        </w:rPr>
        <w:t>adeguate</w:t>
      </w:r>
      <w:r>
        <w:rPr>
          <w:color w:val="231F20"/>
          <w:spacing w:val="-49"/>
          <w:w w:val="105"/>
        </w:rPr>
        <w:t> </w:t>
      </w:r>
      <w:r>
        <w:rPr>
          <w:color w:val="231F20"/>
          <w:w w:val="105"/>
        </w:rPr>
        <w:t>[…]</w:t>
      </w:r>
      <w:r>
        <w:rPr>
          <w:color w:val="231F20"/>
          <w:spacing w:val="-49"/>
          <w:w w:val="105"/>
        </w:rPr>
        <w:t> </w:t>
      </w:r>
      <w:r>
        <w:rPr>
          <w:color w:val="231F20"/>
          <w:spacing w:val="-3"/>
          <w:w w:val="105"/>
        </w:rPr>
        <w:t>mostrano</w:t>
      </w:r>
      <w:r>
        <w:rPr>
          <w:color w:val="231F20"/>
          <w:spacing w:val="-49"/>
          <w:w w:val="105"/>
        </w:rPr>
        <w:t> </w:t>
      </w:r>
      <w:r>
        <w:rPr>
          <w:color w:val="231F20"/>
          <w:w w:val="105"/>
        </w:rPr>
        <w:t>che</w:t>
      </w:r>
      <w:r>
        <w:rPr>
          <w:color w:val="231F20"/>
          <w:spacing w:val="-49"/>
          <w:w w:val="105"/>
        </w:rPr>
        <w:t> </w:t>
      </w:r>
      <w:r>
        <w:rPr>
          <w:color w:val="231F20"/>
          <w:w w:val="105"/>
        </w:rPr>
        <w:t>la</w:t>
      </w:r>
      <w:r>
        <w:rPr>
          <w:color w:val="231F20"/>
          <w:spacing w:val="-49"/>
          <w:w w:val="105"/>
        </w:rPr>
        <w:t> </w:t>
      </w:r>
      <w:r>
        <w:rPr>
          <w:color w:val="231F20"/>
          <w:spacing w:val="-3"/>
          <w:w w:val="105"/>
        </w:rPr>
        <w:t>globlalizzazione</w:t>
      </w:r>
      <w:r>
        <w:rPr>
          <w:color w:val="231F20"/>
          <w:spacing w:val="-49"/>
          <w:w w:val="105"/>
        </w:rPr>
        <w:t> </w:t>
      </w:r>
      <w:r>
        <w:rPr>
          <w:color w:val="231F20"/>
          <w:w w:val="105"/>
        </w:rPr>
        <w:t>non</w:t>
      </w:r>
      <w:r>
        <w:rPr>
          <w:color w:val="231F20"/>
          <w:spacing w:val="-49"/>
          <w:w w:val="105"/>
        </w:rPr>
        <w:t> </w:t>
      </w:r>
      <w:r>
        <w:rPr>
          <w:color w:val="231F20"/>
          <w:w w:val="105"/>
        </w:rPr>
        <w:t>è un</w:t>
      </w:r>
      <w:r>
        <w:rPr>
          <w:color w:val="231F20"/>
          <w:spacing w:val="-52"/>
          <w:w w:val="105"/>
        </w:rPr>
        <w:t> </w:t>
      </w:r>
      <w:r>
        <w:rPr>
          <w:color w:val="231F20"/>
          <w:spacing w:val="-3"/>
          <w:w w:val="105"/>
        </w:rPr>
        <w:t>processo</w:t>
      </w:r>
      <w:r>
        <w:rPr>
          <w:color w:val="231F20"/>
          <w:spacing w:val="-52"/>
          <w:w w:val="105"/>
        </w:rPr>
        <w:t> </w:t>
      </w:r>
      <w:r>
        <w:rPr>
          <w:color w:val="231F20"/>
          <w:spacing w:val="-3"/>
          <w:w w:val="105"/>
        </w:rPr>
        <w:t>lineare,</w:t>
      </w:r>
      <w:r>
        <w:rPr>
          <w:color w:val="231F20"/>
          <w:spacing w:val="-52"/>
          <w:w w:val="105"/>
        </w:rPr>
        <w:t> </w:t>
      </w:r>
      <w:r>
        <w:rPr>
          <w:color w:val="231F20"/>
          <w:w w:val="105"/>
        </w:rPr>
        <w:t>ma</w:t>
      </w:r>
      <w:r>
        <w:rPr>
          <w:color w:val="231F20"/>
          <w:spacing w:val="-52"/>
          <w:w w:val="105"/>
        </w:rPr>
        <w:t> </w:t>
      </w:r>
      <w:r>
        <w:rPr>
          <w:color w:val="231F20"/>
          <w:w w:val="105"/>
        </w:rPr>
        <w:t>che</w:t>
      </w:r>
      <w:r>
        <w:rPr>
          <w:color w:val="231F20"/>
          <w:spacing w:val="-52"/>
          <w:w w:val="105"/>
        </w:rPr>
        <w:t> </w:t>
      </w:r>
      <w:r>
        <w:rPr>
          <w:color w:val="231F20"/>
          <w:w w:val="105"/>
        </w:rPr>
        <w:t>piuttosto</w:t>
      </w:r>
      <w:r>
        <w:rPr>
          <w:color w:val="231F20"/>
          <w:spacing w:val="-52"/>
          <w:w w:val="105"/>
        </w:rPr>
        <w:t> </w:t>
      </w:r>
      <w:r>
        <w:rPr>
          <w:color w:val="231F20"/>
          <w:w w:val="105"/>
        </w:rPr>
        <w:t>consiste</w:t>
      </w:r>
      <w:r>
        <w:rPr>
          <w:color w:val="231F20"/>
          <w:spacing w:val="-52"/>
          <w:w w:val="105"/>
        </w:rPr>
        <w:t> </w:t>
      </w:r>
      <w:r>
        <w:rPr>
          <w:color w:val="231F20"/>
          <w:w w:val="105"/>
        </w:rPr>
        <w:t>di</w:t>
      </w:r>
      <w:r>
        <w:rPr>
          <w:color w:val="231F20"/>
          <w:spacing w:val="-52"/>
          <w:w w:val="105"/>
        </w:rPr>
        <w:t> </w:t>
      </w:r>
      <w:r>
        <w:rPr>
          <w:color w:val="231F20"/>
          <w:w w:val="105"/>
        </w:rPr>
        <w:t>tendenze</w:t>
      </w:r>
      <w:r>
        <w:rPr>
          <w:color w:val="231F20"/>
          <w:spacing w:val="-52"/>
          <w:w w:val="105"/>
        </w:rPr>
        <w:t> </w:t>
      </w:r>
      <w:r>
        <w:rPr>
          <w:color w:val="231F20"/>
          <w:w w:val="105"/>
        </w:rPr>
        <w:t>contraddittorie”</w:t>
      </w:r>
      <w:r>
        <w:rPr>
          <w:color w:val="231F20"/>
          <w:w w:val="105"/>
          <w:position w:val="7"/>
          <w:sz w:val="12"/>
        </w:rPr>
        <w:t>9</w:t>
      </w:r>
      <w:r>
        <w:rPr>
          <w:color w:val="231F20"/>
          <w:w w:val="105"/>
        </w:rPr>
        <w:t>. Senza</w:t>
      </w:r>
      <w:r>
        <w:rPr>
          <w:color w:val="231F20"/>
          <w:spacing w:val="-28"/>
          <w:w w:val="105"/>
        </w:rPr>
        <w:t> </w:t>
      </w:r>
      <w:r>
        <w:rPr>
          <w:color w:val="231F20"/>
          <w:w w:val="105"/>
        </w:rPr>
        <w:t>dubbio,</w:t>
      </w:r>
      <w:r>
        <w:rPr>
          <w:color w:val="231F20"/>
          <w:spacing w:val="-28"/>
          <w:w w:val="105"/>
        </w:rPr>
        <w:t> </w:t>
      </w:r>
      <w:r>
        <w:rPr>
          <w:color w:val="231F20"/>
          <w:w w:val="105"/>
        </w:rPr>
        <w:t>sono</w:t>
      </w:r>
      <w:r>
        <w:rPr>
          <w:color w:val="231F20"/>
          <w:spacing w:val="-28"/>
          <w:w w:val="105"/>
        </w:rPr>
        <w:t> </w:t>
      </w:r>
      <w:r>
        <w:rPr>
          <w:color w:val="231F20"/>
          <w:w w:val="105"/>
        </w:rPr>
        <w:t>molti</w:t>
      </w:r>
      <w:r>
        <w:rPr>
          <w:color w:val="231F20"/>
          <w:spacing w:val="-28"/>
          <w:w w:val="105"/>
        </w:rPr>
        <w:t> </w:t>
      </w:r>
      <w:r>
        <w:rPr>
          <w:color w:val="231F20"/>
          <w:w w:val="105"/>
        </w:rPr>
        <w:t>i</w:t>
      </w:r>
      <w:r>
        <w:rPr>
          <w:color w:val="231F20"/>
          <w:spacing w:val="-28"/>
          <w:w w:val="105"/>
        </w:rPr>
        <w:t> </w:t>
      </w:r>
      <w:r>
        <w:rPr>
          <w:color w:val="231F20"/>
          <w:w w:val="105"/>
        </w:rPr>
        <w:t>paradossi</w:t>
      </w:r>
      <w:r>
        <w:rPr>
          <w:color w:val="231F20"/>
          <w:spacing w:val="-28"/>
          <w:w w:val="105"/>
        </w:rPr>
        <w:t> </w:t>
      </w:r>
      <w:r>
        <w:rPr>
          <w:color w:val="231F20"/>
          <w:w w:val="105"/>
        </w:rPr>
        <w:t>che</w:t>
      </w:r>
      <w:r>
        <w:rPr>
          <w:color w:val="231F20"/>
          <w:spacing w:val="-28"/>
          <w:w w:val="105"/>
        </w:rPr>
        <w:t> </w:t>
      </w:r>
      <w:r>
        <w:rPr>
          <w:color w:val="231F20"/>
          <w:w w:val="105"/>
        </w:rPr>
        <w:t>hanno</w:t>
      </w:r>
      <w:r>
        <w:rPr>
          <w:color w:val="231F20"/>
          <w:spacing w:val="-28"/>
          <w:w w:val="105"/>
        </w:rPr>
        <w:t> </w:t>
      </w:r>
      <w:r>
        <w:rPr>
          <w:color w:val="231F20"/>
          <w:w w:val="105"/>
        </w:rPr>
        <w:t>risaltato</w:t>
      </w:r>
      <w:r>
        <w:rPr>
          <w:color w:val="231F20"/>
          <w:spacing w:val="-28"/>
          <w:w w:val="105"/>
        </w:rPr>
        <w:t> </w:t>
      </w:r>
      <w:r>
        <w:rPr>
          <w:color w:val="231F20"/>
          <w:w w:val="105"/>
        </w:rPr>
        <w:t>nei</w:t>
      </w:r>
      <w:r>
        <w:rPr>
          <w:color w:val="231F20"/>
          <w:spacing w:val="-28"/>
          <w:w w:val="105"/>
        </w:rPr>
        <w:t> </w:t>
      </w:r>
      <w:r>
        <w:rPr>
          <w:color w:val="231F20"/>
          <w:w w:val="105"/>
        </w:rPr>
        <w:t>diversi</w:t>
      </w:r>
      <w:r>
        <w:rPr>
          <w:color w:val="231F20"/>
          <w:spacing w:val="-28"/>
          <w:w w:val="105"/>
        </w:rPr>
        <w:t> </w:t>
      </w:r>
      <w:r>
        <w:rPr>
          <w:color w:val="231F20"/>
          <w:w w:val="105"/>
        </w:rPr>
        <w:t>analisi</w:t>
      </w:r>
    </w:p>
    <w:p>
      <w:pPr>
        <w:pStyle w:val="BodyText"/>
        <w:spacing w:line="247" w:lineRule="auto"/>
        <w:ind w:left="103" w:right="109"/>
        <w:jc w:val="both"/>
      </w:pPr>
      <w:r>
        <w:rPr>
          <w:color w:val="231F20"/>
          <w:w w:val="105"/>
        </w:rPr>
        <w:t>—come</w:t>
      </w:r>
      <w:r>
        <w:rPr>
          <w:color w:val="231F20"/>
          <w:spacing w:val="-28"/>
          <w:w w:val="105"/>
        </w:rPr>
        <w:t> </w:t>
      </w:r>
      <w:r>
        <w:rPr>
          <w:color w:val="231F20"/>
          <w:w w:val="105"/>
        </w:rPr>
        <w:t>quelli</w:t>
      </w:r>
      <w:r>
        <w:rPr>
          <w:color w:val="231F20"/>
          <w:spacing w:val="-28"/>
          <w:w w:val="105"/>
        </w:rPr>
        <w:t> </w:t>
      </w:r>
      <w:r>
        <w:rPr>
          <w:color w:val="231F20"/>
          <w:w w:val="105"/>
        </w:rPr>
        <w:t>di</w:t>
      </w:r>
      <w:r>
        <w:rPr>
          <w:color w:val="231F20"/>
          <w:spacing w:val="-28"/>
          <w:w w:val="105"/>
        </w:rPr>
        <w:t> </w:t>
      </w:r>
      <w:r>
        <w:rPr>
          <w:color w:val="231F20"/>
          <w:w w:val="105"/>
        </w:rPr>
        <w:t>Reder</w:t>
      </w:r>
      <w:r>
        <w:rPr>
          <w:color w:val="231F20"/>
          <w:w w:val="105"/>
          <w:position w:val="7"/>
          <w:sz w:val="12"/>
        </w:rPr>
        <w:t>10</w:t>
      </w:r>
      <w:r>
        <w:rPr>
          <w:color w:val="231F20"/>
          <w:w w:val="105"/>
        </w:rPr>
        <w:t>,</w:t>
      </w:r>
      <w:r>
        <w:rPr>
          <w:color w:val="231F20"/>
          <w:spacing w:val="-28"/>
          <w:w w:val="105"/>
        </w:rPr>
        <w:t> </w:t>
      </w:r>
      <w:r>
        <w:rPr>
          <w:color w:val="231F20"/>
          <w:w w:val="105"/>
        </w:rPr>
        <w:t>Marramao</w:t>
      </w:r>
      <w:r>
        <w:rPr>
          <w:color w:val="231F20"/>
          <w:w w:val="105"/>
          <w:position w:val="7"/>
          <w:sz w:val="12"/>
        </w:rPr>
        <w:t>11</w:t>
      </w:r>
      <w:r>
        <w:rPr>
          <w:color w:val="231F20"/>
          <w:w w:val="105"/>
        </w:rPr>
        <w:t>,</w:t>
      </w:r>
      <w:r>
        <w:rPr>
          <w:color w:val="231F20"/>
          <w:spacing w:val="-28"/>
          <w:w w:val="105"/>
        </w:rPr>
        <w:t> </w:t>
      </w:r>
      <w:r>
        <w:rPr>
          <w:color w:val="231F20"/>
          <w:w w:val="105"/>
        </w:rPr>
        <w:t>Robertson</w:t>
      </w:r>
      <w:r>
        <w:rPr>
          <w:color w:val="231F20"/>
          <w:w w:val="105"/>
          <w:position w:val="7"/>
          <w:sz w:val="12"/>
        </w:rPr>
        <w:t>12</w:t>
      </w:r>
      <w:r>
        <w:rPr>
          <w:color w:val="231F20"/>
          <w:w w:val="105"/>
        </w:rPr>
        <w:t>,</w:t>
      </w:r>
      <w:r>
        <w:rPr>
          <w:color w:val="231F20"/>
          <w:spacing w:val="-28"/>
          <w:w w:val="105"/>
        </w:rPr>
        <w:t> </w:t>
      </w:r>
      <w:r>
        <w:rPr>
          <w:color w:val="231F20"/>
          <w:w w:val="105"/>
        </w:rPr>
        <w:t>Ritzer</w:t>
      </w:r>
      <w:r>
        <w:rPr>
          <w:color w:val="231F20"/>
          <w:w w:val="105"/>
          <w:position w:val="7"/>
          <w:sz w:val="12"/>
        </w:rPr>
        <w:t>13</w:t>
      </w:r>
      <w:r>
        <w:rPr>
          <w:color w:val="231F20"/>
          <w:w w:val="105"/>
        </w:rPr>
        <w:t>,</w:t>
      </w:r>
      <w:r>
        <w:rPr>
          <w:color w:val="231F20"/>
          <w:spacing w:val="-28"/>
          <w:w w:val="105"/>
        </w:rPr>
        <w:t> </w:t>
      </w:r>
      <w:r>
        <w:rPr>
          <w:color w:val="231F20"/>
          <w:w w:val="105"/>
        </w:rPr>
        <w:t>Bauman</w:t>
      </w:r>
      <w:r>
        <w:rPr>
          <w:color w:val="231F20"/>
          <w:w w:val="105"/>
          <w:position w:val="7"/>
          <w:sz w:val="12"/>
        </w:rPr>
        <w:t>14</w:t>
      </w:r>
      <w:r>
        <w:rPr>
          <w:color w:val="231F20"/>
          <w:w w:val="105"/>
        </w:rPr>
        <w:t>,</w:t>
      </w:r>
      <w:r>
        <w:rPr>
          <w:color w:val="231F20"/>
          <w:spacing w:val="-28"/>
          <w:w w:val="105"/>
        </w:rPr>
        <w:t> </w:t>
      </w:r>
      <w:r>
        <w:rPr>
          <w:color w:val="231F20"/>
          <w:w w:val="105"/>
        </w:rPr>
        <w:t>tra altri—;</w:t>
      </w:r>
      <w:r>
        <w:rPr>
          <w:color w:val="231F20"/>
          <w:spacing w:val="-46"/>
          <w:w w:val="105"/>
        </w:rPr>
        <w:t> </w:t>
      </w:r>
      <w:r>
        <w:rPr>
          <w:color w:val="231F20"/>
          <w:w w:val="105"/>
        </w:rPr>
        <w:t>comunque,</w:t>
      </w:r>
      <w:r>
        <w:rPr>
          <w:color w:val="231F20"/>
          <w:spacing w:val="-46"/>
          <w:w w:val="105"/>
        </w:rPr>
        <w:t> </w:t>
      </w:r>
      <w:r>
        <w:rPr>
          <w:color w:val="231F20"/>
          <w:w w:val="105"/>
        </w:rPr>
        <w:t>la</w:t>
      </w:r>
      <w:r>
        <w:rPr>
          <w:color w:val="231F20"/>
          <w:spacing w:val="-46"/>
          <w:w w:val="105"/>
        </w:rPr>
        <w:t> </w:t>
      </w:r>
      <w:r>
        <w:rPr>
          <w:color w:val="231F20"/>
          <w:w w:val="105"/>
        </w:rPr>
        <w:t>finalità</w:t>
      </w:r>
      <w:r>
        <w:rPr>
          <w:color w:val="231F20"/>
          <w:spacing w:val="-46"/>
          <w:w w:val="105"/>
        </w:rPr>
        <w:t> </w:t>
      </w:r>
      <w:r>
        <w:rPr>
          <w:color w:val="231F20"/>
          <w:w w:val="105"/>
        </w:rPr>
        <w:t>del</w:t>
      </w:r>
      <w:r>
        <w:rPr>
          <w:color w:val="231F20"/>
          <w:spacing w:val="-46"/>
          <w:w w:val="105"/>
        </w:rPr>
        <w:t> </w:t>
      </w:r>
      <w:r>
        <w:rPr>
          <w:color w:val="231F20"/>
          <w:w w:val="105"/>
        </w:rPr>
        <w:t>presente</w:t>
      </w:r>
      <w:r>
        <w:rPr>
          <w:color w:val="231F20"/>
          <w:spacing w:val="-46"/>
          <w:w w:val="105"/>
        </w:rPr>
        <w:t> </w:t>
      </w:r>
      <w:r>
        <w:rPr>
          <w:color w:val="231F20"/>
          <w:w w:val="105"/>
        </w:rPr>
        <w:t>lavoro</w:t>
      </w:r>
      <w:r>
        <w:rPr>
          <w:color w:val="231F20"/>
          <w:spacing w:val="-46"/>
          <w:w w:val="105"/>
        </w:rPr>
        <w:t> </w:t>
      </w:r>
      <w:r>
        <w:rPr>
          <w:color w:val="231F20"/>
          <w:w w:val="105"/>
        </w:rPr>
        <w:t>è</w:t>
      </w:r>
      <w:r>
        <w:rPr>
          <w:color w:val="231F20"/>
          <w:spacing w:val="-46"/>
          <w:w w:val="105"/>
        </w:rPr>
        <w:t> </w:t>
      </w:r>
      <w:r>
        <w:rPr>
          <w:color w:val="231F20"/>
          <w:w w:val="105"/>
        </w:rPr>
        <w:t>chiederci</w:t>
      </w:r>
      <w:r>
        <w:rPr>
          <w:color w:val="231F20"/>
          <w:spacing w:val="-46"/>
          <w:w w:val="105"/>
        </w:rPr>
        <w:t> </w:t>
      </w:r>
      <w:r>
        <w:rPr>
          <w:color w:val="231F20"/>
          <w:w w:val="105"/>
        </w:rPr>
        <w:t>fino</w:t>
      </w:r>
      <w:r>
        <w:rPr>
          <w:color w:val="231F20"/>
          <w:spacing w:val="-46"/>
          <w:w w:val="105"/>
        </w:rPr>
        <w:t> </w:t>
      </w:r>
      <w:r>
        <w:rPr>
          <w:color w:val="231F20"/>
          <w:w w:val="105"/>
        </w:rPr>
        <w:t>a</w:t>
      </w:r>
      <w:r>
        <w:rPr>
          <w:color w:val="231F20"/>
          <w:spacing w:val="-46"/>
          <w:w w:val="105"/>
        </w:rPr>
        <w:t> </w:t>
      </w:r>
      <w:r>
        <w:rPr>
          <w:color w:val="231F20"/>
          <w:w w:val="105"/>
        </w:rPr>
        <w:t>che</w:t>
      </w:r>
      <w:r>
        <w:rPr>
          <w:color w:val="231F20"/>
          <w:spacing w:val="-46"/>
          <w:w w:val="105"/>
        </w:rPr>
        <w:t> </w:t>
      </w:r>
      <w:r>
        <w:rPr>
          <w:color w:val="231F20"/>
          <w:w w:val="105"/>
        </w:rPr>
        <w:t>punto quei paradossi non finirebbero per produrre l’omogeneità che cercano di evitare a tutti costi. È innegabile che c’è bisogno di uno schema </w:t>
      </w:r>
      <w:r>
        <w:rPr>
          <w:color w:val="231F20"/>
          <w:spacing w:val="2"/>
          <w:w w:val="105"/>
        </w:rPr>
        <w:t>più </w:t>
      </w:r>
      <w:r>
        <w:rPr>
          <w:color w:val="231F20"/>
          <w:w w:val="105"/>
        </w:rPr>
        <w:t>complesso</w:t>
      </w:r>
      <w:r>
        <w:rPr>
          <w:color w:val="231F20"/>
          <w:spacing w:val="-21"/>
          <w:w w:val="105"/>
        </w:rPr>
        <w:t> </w:t>
      </w:r>
      <w:r>
        <w:rPr>
          <w:color w:val="231F20"/>
          <w:w w:val="105"/>
        </w:rPr>
        <w:t>per</w:t>
      </w:r>
      <w:r>
        <w:rPr>
          <w:color w:val="231F20"/>
          <w:spacing w:val="-21"/>
          <w:w w:val="105"/>
        </w:rPr>
        <w:t> </w:t>
      </w:r>
      <w:r>
        <w:rPr>
          <w:color w:val="231F20"/>
          <w:w w:val="105"/>
        </w:rPr>
        <w:t>rendere</w:t>
      </w:r>
      <w:r>
        <w:rPr>
          <w:color w:val="231F20"/>
          <w:spacing w:val="-21"/>
          <w:w w:val="105"/>
        </w:rPr>
        <w:t> </w:t>
      </w:r>
      <w:r>
        <w:rPr>
          <w:color w:val="231F20"/>
          <w:w w:val="105"/>
        </w:rPr>
        <w:t>conto</w:t>
      </w:r>
      <w:r>
        <w:rPr>
          <w:color w:val="231F20"/>
          <w:spacing w:val="-21"/>
          <w:w w:val="105"/>
        </w:rPr>
        <w:t> </w:t>
      </w:r>
      <w:r>
        <w:rPr>
          <w:color w:val="231F20"/>
          <w:w w:val="105"/>
        </w:rPr>
        <w:t>di</w:t>
      </w:r>
      <w:r>
        <w:rPr>
          <w:color w:val="231F20"/>
          <w:spacing w:val="-21"/>
          <w:w w:val="105"/>
        </w:rPr>
        <w:t> </w:t>
      </w:r>
      <w:r>
        <w:rPr>
          <w:color w:val="231F20"/>
          <w:w w:val="105"/>
        </w:rPr>
        <w:t>tutti</w:t>
      </w:r>
      <w:r>
        <w:rPr>
          <w:color w:val="231F20"/>
          <w:spacing w:val="-21"/>
          <w:w w:val="105"/>
        </w:rPr>
        <w:t> </w:t>
      </w:r>
      <w:r>
        <w:rPr>
          <w:color w:val="231F20"/>
          <w:w w:val="105"/>
        </w:rPr>
        <w:t>i</w:t>
      </w:r>
      <w:r>
        <w:rPr>
          <w:color w:val="231F20"/>
          <w:spacing w:val="-21"/>
          <w:w w:val="105"/>
        </w:rPr>
        <w:t> </w:t>
      </w:r>
      <w:r>
        <w:rPr>
          <w:color w:val="231F20"/>
          <w:w w:val="105"/>
        </w:rPr>
        <w:t>problemi</w:t>
      </w:r>
      <w:r>
        <w:rPr>
          <w:color w:val="231F20"/>
          <w:spacing w:val="-21"/>
          <w:w w:val="105"/>
        </w:rPr>
        <w:t> </w:t>
      </w:r>
      <w:r>
        <w:rPr>
          <w:color w:val="231F20"/>
          <w:w w:val="105"/>
        </w:rPr>
        <w:t>e</w:t>
      </w:r>
      <w:r>
        <w:rPr>
          <w:color w:val="231F20"/>
          <w:spacing w:val="-21"/>
          <w:w w:val="105"/>
        </w:rPr>
        <w:t> </w:t>
      </w:r>
      <w:r>
        <w:rPr>
          <w:color w:val="231F20"/>
          <w:w w:val="105"/>
        </w:rPr>
        <w:t>conseguenze</w:t>
      </w:r>
      <w:r>
        <w:rPr>
          <w:color w:val="231F20"/>
          <w:spacing w:val="-21"/>
          <w:w w:val="105"/>
        </w:rPr>
        <w:t> </w:t>
      </w:r>
      <w:r>
        <w:rPr>
          <w:color w:val="231F20"/>
          <w:w w:val="105"/>
        </w:rPr>
        <w:t>portati</w:t>
      </w:r>
      <w:r>
        <w:rPr>
          <w:color w:val="231F20"/>
          <w:spacing w:val="-21"/>
          <w:w w:val="105"/>
        </w:rPr>
        <w:t> </w:t>
      </w:r>
      <w:r>
        <w:rPr>
          <w:color w:val="231F20"/>
          <w:w w:val="105"/>
        </w:rPr>
        <w:t>dal processo</w:t>
      </w:r>
      <w:r>
        <w:rPr>
          <w:color w:val="231F20"/>
          <w:spacing w:val="-29"/>
          <w:w w:val="105"/>
        </w:rPr>
        <w:t> </w:t>
      </w:r>
      <w:r>
        <w:rPr>
          <w:color w:val="231F20"/>
          <w:w w:val="105"/>
        </w:rPr>
        <w:t>di</w:t>
      </w:r>
      <w:r>
        <w:rPr>
          <w:color w:val="231F20"/>
          <w:spacing w:val="-29"/>
          <w:w w:val="105"/>
        </w:rPr>
        <w:t> </w:t>
      </w:r>
      <w:r>
        <w:rPr>
          <w:color w:val="231F20"/>
          <w:w w:val="105"/>
        </w:rPr>
        <w:t>globalizzazione,</w:t>
      </w:r>
      <w:r>
        <w:rPr>
          <w:color w:val="231F20"/>
          <w:spacing w:val="-29"/>
          <w:w w:val="105"/>
        </w:rPr>
        <w:t> </w:t>
      </w:r>
      <w:r>
        <w:rPr>
          <w:color w:val="231F20"/>
          <w:w w:val="105"/>
        </w:rPr>
        <w:t>per</w:t>
      </w:r>
      <w:r>
        <w:rPr>
          <w:color w:val="231F20"/>
          <w:spacing w:val="-29"/>
          <w:w w:val="105"/>
        </w:rPr>
        <w:t> </w:t>
      </w:r>
      <w:r>
        <w:rPr>
          <w:color w:val="231F20"/>
          <w:w w:val="105"/>
        </w:rPr>
        <w:t>questo</w:t>
      </w:r>
      <w:r>
        <w:rPr>
          <w:color w:val="231F20"/>
          <w:spacing w:val="-29"/>
          <w:w w:val="105"/>
        </w:rPr>
        <w:t> </w:t>
      </w:r>
      <w:r>
        <w:rPr>
          <w:color w:val="231F20"/>
          <w:w w:val="105"/>
        </w:rPr>
        <w:t>si</w:t>
      </w:r>
      <w:r>
        <w:rPr>
          <w:color w:val="231F20"/>
          <w:spacing w:val="-29"/>
          <w:w w:val="105"/>
        </w:rPr>
        <w:t> </w:t>
      </w:r>
      <w:r>
        <w:rPr>
          <w:color w:val="231F20"/>
          <w:w w:val="105"/>
        </w:rPr>
        <w:t>rende</w:t>
      </w:r>
      <w:r>
        <w:rPr>
          <w:color w:val="231F20"/>
          <w:spacing w:val="-29"/>
          <w:w w:val="105"/>
        </w:rPr>
        <w:t> </w:t>
      </w:r>
      <w:r>
        <w:rPr>
          <w:color w:val="231F20"/>
          <w:w w:val="105"/>
        </w:rPr>
        <w:t>necessario</w:t>
      </w:r>
      <w:r>
        <w:rPr>
          <w:color w:val="231F20"/>
          <w:spacing w:val="-29"/>
          <w:w w:val="105"/>
        </w:rPr>
        <w:t> </w:t>
      </w:r>
      <w:r>
        <w:rPr>
          <w:color w:val="231F20"/>
          <w:w w:val="105"/>
        </w:rPr>
        <w:t>riparare</w:t>
      </w:r>
      <w:r>
        <w:rPr>
          <w:color w:val="231F20"/>
          <w:spacing w:val="-29"/>
          <w:w w:val="105"/>
        </w:rPr>
        <w:t> </w:t>
      </w:r>
      <w:r>
        <w:rPr>
          <w:color w:val="231F20"/>
          <w:w w:val="105"/>
        </w:rPr>
        <w:t>che</w:t>
      </w:r>
      <w:r>
        <w:rPr>
          <w:color w:val="231F20"/>
          <w:spacing w:val="-29"/>
          <w:w w:val="105"/>
        </w:rPr>
        <w:t> </w:t>
      </w:r>
      <w:r>
        <w:rPr>
          <w:color w:val="231F20"/>
          <w:w w:val="105"/>
        </w:rPr>
        <w:t>in esso</w:t>
      </w:r>
      <w:r>
        <w:rPr>
          <w:color w:val="231F20"/>
          <w:spacing w:val="-32"/>
          <w:w w:val="105"/>
        </w:rPr>
        <w:t> </w:t>
      </w:r>
      <w:r>
        <w:rPr>
          <w:color w:val="231F20"/>
          <w:w w:val="105"/>
        </w:rPr>
        <w:t>non</w:t>
      </w:r>
      <w:r>
        <w:rPr>
          <w:color w:val="231F20"/>
          <w:spacing w:val="-32"/>
          <w:w w:val="105"/>
        </w:rPr>
        <w:t> </w:t>
      </w:r>
      <w:r>
        <w:rPr>
          <w:color w:val="231F20"/>
          <w:w w:val="105"/>
        </w:rPr>
        <w:t>tutto</w:t>
      </w:r>
      <w:r>
        <w:rPr>
          <w:color w:val="231F20"/>
          <w:spacing w:val="-32"/>
          <w:w w:val="105"/>
        </w:rPr>
        <w:t> </w:t>
      </w:r>
      <w:r>
        <w:rPr>
          <w:color w:val="231F20"/>
          <w:w w:val="105"/>
        </w:rPr>
        <w:t>è</w:t>
      </w:r>
      <w:r>
        <w:rPr>
          <w:color w:val="231F20"/>
          <w:spacing w:val="-32"/>
          <w:w w:val="105"/>
        </w:rPr>
        <w:t> </w:t>
      </w:r>
      <w:r>
        <w:rPr>
          <w:color w:val="231F20"/>
          <w:w w:val="105"/>
        </w:rPr>
        <w:t>lineare</w:t>
      </w:r>
      <w:r>
        <w:rPr>
          <w:color w:val="231F20"/>
          <w:spacing w:val="-32"/>
          <w:w w:val="105"/>
        </w:rPr>
        <w:t> </w:t>
      </w:r>
      <w:r>
        <w:rPr>
          <w:color w:val="231F20"/>
          <w:w w:val="105"/>
        </w:rPr>
        <w:t>ne</w:t>
      </w:r>
      <w:r>
        <w:rPr>
          <w:color w:val="231F20"/>
          <w:spacing w:val="-32"/>
          <w:w w:val="105"/>
        </w:rPr>
        <w:t> </w:t>
      </w:r>
      <w:r>
        <w:rPr>
          <w:color w:val="231F20"/>
          <w:w w:val="105"/>
        </w:rPr>
        <w:t>omogeneo,</w:t>
      </w:r>
      <w:r>
        <w:rPr>
          <w:color w:val="231F20"/>
          <w:spacing w:val="-32"/>
          <w:w w:val="105"/>
        </w:rPr>
        <w:t> </w:t>
      </w:r>
      <w:r>
        <w:rPr>
          <w:color w:val="231F20"/>
          <w:w w:val="105"/>
        </w:rPr>
        <w:t>è</w:t>
      </w:r>
      <w:r>
        <w:rPr>
          <w:color w:val="231F20"/>
          <w:spacing w:val="-32"/>
          <w:w w:val="105"/>
        </w:rPr>
        <w:t> </w:t>
      </w:r>
      <w:r>
        <w:rPr>
          <w:color w:val="231F20"/>
          <w:w w:val="105"/>
        </w:rPr>
        <w:t>necessario</w:t>
      </w:r>
      <w:r>
        <w:rPr>
          <w:color w:val="231F20"/>
          <w:spacing w:val="-32"/>
          <w:w w:val="105"/>
        </w:rPr>
        <w:t> </w:t>
      </w:r>
      <w:r>
        <w:rPr>
          <w:color w:val="231F20"/>
          <w:w w:val="105"/>
        </w:rPr>
        <w:t>vedere</w:t>
      </w:r>
      <w:r>
        <w:rPr>
          <w:color w:val="231F20"/>
          <w:spacing w:val="-32"/>
          <w:w w:val="105"/>
        </w:rPr>
        <w:t> </w:t>
      </w:r>
      <w:r>
        <w:rPr>
          <w:color w:val="231F20"/>
          <w:w w:val="105"/>
        </w:rPr>
        <w:t>il</w:t>
      </w:r>
      <w:r>
        <w:rPr>
          <w:color w:val="231F20"/>
          <w:spacing w:val="-32"/>
          <w:w w:val="105"/>
        </w:rPr>
        <w:t> </w:t>
      </w:r>
      <w:r>
        <w:rPr>
          <w:color w:val="231F20"/>
          <w:w w:val="105"/>
        </w:rPr>
        <w:t>suo</w:t>
      </w:r>
      <w:r>
        <w:rPr>
          <w:color w:val="231F20"/>
          <w:spacing w:val="-32"/>
          <w:w w:val="105"/>
        </w:rPr>
        <w:t> </w:t>
      </w:r>
      <w:r>
        <w:rPr>
          <w:color w:val="231F20"/>
          <w:w w:val="105"/>
        </w:rPr>
        <w:t>carattere paradossale;</w:t>
      </w:r>
      <w:r>
        <w:rPr>
          <w:color w:val="231F20"/>
          <w:spacing w:val="-33"/>
          <w:w w:val="105"/>
        </w:rPr>
        <w:t> </w:t>
      </w:r>
      <w:r>
        <w:rPr>
          <w:color w:val="231F20"/>
          <w:w w:val="105"/>
        </w:rPr>
        <w:t>comunque,</w:t>
      </w:r>
      <w:r>
        <w:rPr>
          <w:color w:val="231F20"/>
          <w:spacing w:val="-33"/>
          <w:w w:val="105"/>
        </w:rPr>
        <w:t> </w:t>
      </w:r>
      <w:r>
        <w:rPr>
          <w:color w:val="231F20"/>
          <w:w w:val="105"/>
        </w:rPr>
        <w:t>la</w:t>
      </w:r>
      <w:r>
        <w:rPr>
          <w:color w:val="231F20"/>
          <w:spacing w:val="-33"/>
          <w:w w:val="105"/>
        </w:rPr>
        <w:t> </w:t>
      </w:r>
      <w:r>
        <w:rPr>
          <w:color w:val="231F20"/>
          <w:w w:val="105"/>
        </w:rPr>
        <w:t>domanda</w:t>
      </w:r>
      <w:r>
        <w:rPr>
          <w:color w:val="231F20"/>
          <w:spacing w:val="-33"/>
          <w:w w:val="105"/>
        </w:rPr>
        <w:t> </w:t>
      </w:r>
      <w:r>
        <w:rPr>
          <w:color w:val="231F20"/>
          <w:w w:val="105"/>
        </w:rPr>
        <w:t>che</w:t>
      </w:r>
      <w:r>
        <w:rPr>
          <w:color w:val="231F20"/>
          <w:spacing w:val="-33"/>
          <w:w w:val="105"/>
        </w:rPr>
        <w:t> </w:t>
      </w:r>
      <w:r>
        <w:rPr>
          <w:color w:val="231F20"/>
          <w:w w:val="105"/>
        </w:rPr>
        <w:t>guida</w:t>
      </w:r>
      <w:r>
        <w:rPr>
          <w:color w:val="231F20"/>
          <w:spacing w:val="-33"/>
          <w:w w:val="105"/>
        </w:rPr>
        <w:t> </w:t>
      </w:r>
      <w:r>
        <w:rPr>
          <w:color w:val="231F20"/>
          <w:w w:val="105"/>
        </w:rPr>
        <w:t>questo</w:t>
      </w:r>
      <w:r>
        <w:rPr>
          <w:color w:val="231F20"/>
          <w:spacing w:val="-33"/>
          <w:w w:val="105"/>
        </w:rPr>
        <w:t> </w:t>
      </w:r>
      <w:r>
        <w:rPr>
          <w:color w:val="231F20"/>
          <w:w w:val="105"/>
        </w:rPr>
        <w:t>lavoro</w:t>
      </w:r>
      <w:r>
        <w:rPr>
          <w:color w:val="231F20"/>
          <w:spacing w:val="-33"/>
          <w:w w:val="105"/>
        </w:rPr>
        <w:t> </w:t>
      </w:r>
      <w:r>
        <w:rPr>
          <w:color w:val="231F20"/>
          <w:w w:val="105"/>
        </w:rPr>
        <w:t>è</w:t>
      </w:r>
      <w:r>
        <w:rPr>
          <w:color w:val="231F20"/>
          <w:spacing w:val="-33"/>
          <w:w w:val="105"/>
        </w:rPr>
        <w:t> </w:t>
      </w:r>
      <w:r>
        <w:rPr>
          <w:color w:val="231F20"/>
          <w:w w:val="105"/>
        </w:rPr>
        <w:t>sapere</w:t>
      </w:r>
      <w:r>
        <w:rPr>
          <w:color w:val="231F20"/>
          <w:spacing w:val="-33"/>
          <w:w w:val="105"/>
        </w:rPr>
        <w:t> </w:t>
      </w:r>
      <w:r>
        <w:rPr>
          <w:color w:val="231F20"/>
          <w:w w:val="105"/>
        </w:rPr>
        <w:t>se,</w:t>
      </w:r>
    </w:p>
    <w:p>
      <w:pPr>
        <w:pStyle w:val="BodyText"/>
        <w:rPr>
          <w:sz w:val="20"/>
        </w:rPr>
      </w:pPr>
    </w:p>
    <w:p>
      <w:pPr>
        <w:pStyle w:val="BodyText"/>
        <w:spacing w:before="6"/>
        <w:rPr>
          <w:sz w:val="14"/>
        </w:rPr>
      </w:pPr>
      <w:r>
        <w:rPr/>
        <w:pict>
          <v:line style="position:absolute;mso-position-horizontal-relative:page;mso-position-vertical-relative:paragraph;z-index:11176;mso-wrap-distance-left:0;mso-wrap-distance-right:0" from="65.1968pt,10.890176pt" to="178.5828pt,10.890176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position w:val="6"/>
          <w:sz w:val="10"/>
        </w:rPr>
        <w:t>8  </w:t>
      </w:r>
      <w:r>
        <w:rPr>
          <w:rFonts w:ascii="Calibri" w:hAnsi="Calibri"/>
          <w:color w:val="231F20"/>
          <w:sz w:val="17"/>
        </w:rPr>
        <w:t>Robertson, “Glocalization: Time–Space and Homogeneity–Heterogeneity”, p.   27.</w:t>
      </w:r>
    </w:p>
    <w:p>
      <w:pPr>
        <w:spacing w:line="235" w:lineRule="auto" w:before="1"/>
        <w:ind w:left="103" w:right="4359" w:firstLine="0"/>
        <w:jc w:val="left"/>
        <w:rPr>
          <w:rFonts w:ascii="Calibri" w:hAnsi="Calibri"/>
          <w:i/>
          <w:sz w:val="17"/>
        </w:rPr>
      </w:pPr>
      <w:r>
        <w:rPr>
          <w:rFonts w:ascii="Calibri" w:hAnsi="Calibri"/>
          <w:color w:val="231F20"/>
          <w:position w:val="6"/>
          <w:sz w:val="10"/>
        </w:rPr>
        <w:t>9 </w:t>
      </w:r>
      <w:r>
        <w:rPr>
          <w:rFonts w:ascii="Calibri" w:hAnsi="Calibri"/>
          <w:color w:val="231F20"/>
          <w:sz w:val="17"/>
        </w:rPr>
        <w:t>Reder, </w:t>
      </w:r>
      <w:r>
        <w:rPr>
          <w:rFonts w:ascii="Calibri" w:hAnsi="Calibri"/>
          <w:i/>
          <w:color w:val="231F20"/>
          <w:sz w:val="17"/>
        </w:rPr>
        <w:t>Globalización y filosofía</w:t>
      </w:r>
      <w:r>
        <w:rPr>
          <w:rFonts w:ascii="Calibri" w:hAnsi="Calibri"/>
          <w:color w:val="231F20"/>
          <w:sz w:val="17"/>
        </w:rPr>
        <w:t>, p. 56. </w:t>
      </w:r>
      <w:r>
        <w:rPr>
          <w:rFonts w:ascii="Calibri" w:hAnsi="Calibri"/>
          <w:color w:val="231F20"/>
          <w:position w:val="6"/>
          <w:sz w:val="10"/>
        </w:rPr>
        <w:t>10  </w:t>
      </w:r>
      <w:r>
        <w:rPr>
          <w:rFonts w:ascii="Calibri" w:hAnsi="Calibri"/>
          <w:i/>
          <w:color w:val="231F20"/>
          <w:sz w:val="17"/>
        </w:rPr>
        <w:t>Cfr</w:t>
      </w:r>
      <w:r>
        <w:rPr>
          <w:rFonts w:ascii="Calibri" w:hAnsi="Calibri"/>
          <w:color w:val="231F20"/>
          <w:sz w:val="17"/>
        </w:rPr>
        <w:t>. Reder, </w:t>
      </w:r>
      <w:r>
        <w:rPr>
          <w:rFonts w:ascii="Calibri" w:hAnsi="Calibri"/>
          <w:i/>
          <w:color w:val="231F20"/>
          <w:sz w:val="17"/>
        </w:rPr>
        <w:t>Globalización y filosofía</w:t>
      </w:r>
      <w:r>
        <w:rPr>
          <w:rFonts w:ascii="Calibri" w:hAnsi="Calibri"/>
          <w:color w:val="231F20"/>
          <w:sz w:val="17"/>
        </w:rPr>
        <w:t>. </w:t>
      </w:r>
      <w:r>
        <w:rPr>
          <w:rFonts w:ascii="Calibri" w:hAnsi="Calibri"/>
          <w:color w:val="231F20"/>
          <w:position w:val="6"/>
          <w:sz w:val="10"/>
        </w:rPr>
        <w:t>11 </w:t>
      </w:r>
      <w:r>
        <w:rPr>
          <w:rFonts w:ascii="Calibri" w:hAnsi="Calibri"/>
          <w:i/>
          <w:color w:val="231F20"/>
          <w:sz w:val="17"/>
        </w:rPr>
        <w:t>Cfr</w:t>
      </w:r>
      <w:r>
        <w:rPr>
          <w:rFonts w:ascii="Calibri" w:hAnsi="Calibri"/>
          <w:color w:val="231F20"/>
          <w:sz w:val="17"/>
        </w:rPr>
        <w:t>. Marramao, </w:t>
      </w:r>
      <w:r>
        <w:rPr>
          <w:rFonts w:ascii="Calibri" w:hAnsi="Calibri"/>
          <w:i/>
          <w:color w:val="231F20"/>
          <w:sz w:val="17"/>
        </w:rPr>
        <w:t>Pasaje a Occidente.</w:t>
      </w:r>
    </w:p>
    <w:p>
      <w:pPr>
        <w:spacing w:line="203" w:lineRule="exact" w:before="0"/>
        <w:ind w:left="103" w:right="0" w:firstLine="0"/>
        <w:jc w:val="left"/>
        <w:rPr>
          <w:rFonts w:ascii="Calibri" w:hAnsi="Calibri"/>
          <w:sz w:val="17"/>
        </w:rPr>
      </w:pPr>
      <w:r>
        <w:rPr>
          <w:rFonts w:ascii="Calibri" w:hAnsi="Calibri"/>
          <w:color w:val="231F20"/>
          <w:position w:val="6"/>
          <w:sz w:val="10"/>
        </w:rPr>
        <w:t>12  </w:t>
      </w:r>
      <w:r>
        <w:rPr>
          <w:rFonts w:ascii="Calibri" w:hAnsi="Calibri"/>
          <w:i/>
          <w:color w:val="231F20"/>
          <w:sz w:val="17"/>
        </w:rPr>
        <w:t>Cfr</w:t>
      </w:r>
      <w:r>
        <w:rPr>
          <w:rFonts w:ascii="Calibri" w:hAnsi="Calibri"/>
          <w:color w:val="231F20"/>
          <w:sz w:val="17"/>
        </w:rPr>
        <w:t>. Robertson, “Glocalization: Time–Space and   Homogeneity–Heterogeneity”.</w:t>
      </w:r>
    </w:p>
    <w:p>
      <w:pPr>
        <w:spacing w:line="204" w:lineRule="exact" w:before="0"/>
        <w:ind w:left="103" w:right="0" w:firstLine="0"/>
        <w:jc w:val="left"/>
        <w:rPr>
          <w:rFonts w:ascii="Calibri" w:hAnsi="Calibri"/>
          <w:sz w:val="17"/>
        </w:rPr>
      </w:pPr>
      <w:r>
        <w:rPr>
          <w:rFonts w:ascii="Calibri" w:hAnsi="Calibri"/>
          <w:color w:val="231F20"/>
          <w:position w:val="6"/>
          <w:sz w:val="10"/>
        </w:rPr>
        <w:t>13  </w:t>
      </w:r>
      <w:r>
        <w:rPr>
          <w:rFonts w:ascii="Calibri" w:hAnsi="Calibri"/>
          <w:i/>
          <w:color w:val="231F20"/>
          <w:sz w:val="17"/>
        </w:rPr>
        <w:t>Cfr</w:t>
      </w:r>
      <w:r>
        <w:rPr>
          <w:rFonts w:ascii="Calibri" w:hAnsi="Calibri"/>
          <w:color w:val="231F20"/>
          <w:sz w:val="17"/>
        </w:rPr>
        <w:t>. G. Ritzer, </w:t>
      </w:r>
      <w:r>
        <w:rPr>
          <w:rFonts w:ascii="Calibri" w:hAnsi="Calibri"/>
          <w:i/>
          <w:color w:val="231F20"/>
          <w:sz w:val="17"/>
        </w:rPr>
        <w:t>Globalization</w:t>
      </w:r>
      <w:r>
        <w:rPr>
          <w:rFonts w:ascii="Calibri" w:hAnsi="Calibri"/>
          <w:color w:val="231F20"/>
          <w:sz w:val="17"/>
        </w:rPr>
        <w:t>, West Sussex, Wiley–Blackwell, 2011.</w:t>
      </w:r>
    </w:p>
    <w:p>
      <w:pPr>
        <w:spacing w:line="206" w:lineRule="exact" w:before="0"/>
        <w:ind w:left="103" w:right="0" w:firstLine="0"/>
        <w:jc w:val="left"/>
        <w:rPr>
          <w:rFonts w:ascii="Calibri" w:hAnsi="Calibri"/>
          <w:sz w:val="17"/>
        </w:rPr>
      </w:pPr>
      <w:r>
        <w:rPr>
          <w:rFonts w:ascii="Calibri" w:hAnsi="Calibri"/>
          <w:color w:val="231F20"/>
          <w:position w:val="6"/>
          <w:sz w:val="10"/>
        </w:rPr>
        <w:t>14  </w:t>
      </w:r>
      <w:r>
        <w:rPr>
          <w:rFonts w:ascii="Calibri" w:hAnsi="Calibri"/>
          <w:i/>
          <w:color w:val="231F20"/>
          <w:sz w:val="17"/>
        </w:rPr>
        <w:t>Cfr</w:t>
      </w:r>
      <w:r>
        <w:rPr>
          <w:rFonts w:ascii="Calibri" w:hAnsi="Calibri"/>
          <w:color w:val="231F20"/>
          <w:sz w:val="17"/>
        </w:rPr>
        <w:t>. Z. Bauman, </w:t>
      </w:r>
      <w:r>
        <w:rPr>
          <w:rFonts w:ascii="Calibri" w:hAnsi="Calibri"/>
          <w:i/>
          <w:color w:val="231F20"/>
          <w:sz w:val="17"/>
        </w:rPr>
        <w:t>Modernidad líquida</w:t>
      </w:r>
      <w:r>
        <w:rPr>
          <w:rFonts w:ascii="Calibri" w:hAnsi="Calibri"/>
          <w:color w:val="231F20"/>
          <w:sz w:val="17"/>
        </w:rPr>
        <w:t>, México, FCE, 2003.</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4200"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64</w:t>
        <w:tab/>
      </w:r>
      <w:r>
        <w:rPr>
          <w:rFonts w:ascii="Calibri" w:hAnsi="Calibri"/>
          <w:color w:val="6D6E71"/>
          <w:w w:val="105"/>
          <w:sz w:val="16"/>
        </w:rPr>
        <w:t>María</w:t>
      </w:r>
      <w:r>
        <w:rPr>
          <w:rFonts w:ascii="Calibri" w:hAnsi="Calibri"/>
          <w:color w:val="6D6E71"/>
          <w:spacing w:val="-19"/>
          <w:w w:val="105"/>
          <w:sz w:val="16"/>
        </w:rPr>
        <w:t> </w:t>
      </w:r>
      <w:r>
        <w:rPr>
          <w:rFonts w:ascii="Calibri" w:hAnsi="Calibri"/>
          <w:color w:val="6D6E71"/>
          <w:w w:val="105"/>
          <w:sz w:val="16"/>
        </w:rPr>
        <w:t>Luisa</w:t>
      </w:r>
      <w:r>
        <w:rPr>
          <w:rFonts w:ascii="Calibri" w:hAnsi="Calibri"/>
          <w:color w:val="6D6E71"/>
          <w:spacing w:val="-19"/>
          <w:w w:val="105"/>
          <w:sz w:val="16"/>
        </w:rPr>
        <w:t> </w:t>
      </w:r>
      <w:r>
        <w:rPr>
          <w:rFonts w:ascii="Calibri" w:hAnsi="Calibri"/>
          <w:color w:val="6D6E71"/>
          <w:w w:val="105"/>
          <w:sz w:val="16"/>
        </w:rPr>
        <w:t>Bacarlett</w:t>
      </w:r>
      <w:r>
        <w:rPr>
          <w:rFonts w:ascii="Calibri" w:hAnsi="Calibri"/>
          <w:color w:val="6D6E71"/>
          <w:spacing w:val="-19"/>
          <w:w w:val="105"/>
          <w:sz w:val="16"/>
        </w:rPr>
        <w:t> </w:t>
      </w:r>
      <w:r>
        <w:rPr>
          <w:rFonts w:ascii="Calibri" w:hAnsi="Calibri"/>
          <w:color w:val="6D6E71"/>
          <w:w w:val="105"/>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717" w:right="0" w:firstLine="0"/>
        <w:jc w:val="left"/>
        <w:rPr>
          <w:rFonts w:ascii="Trebuchet MS"/>
          <w:sz w:val="20"/>
        </w:rPr>
      </w:pPr>
      <w:r>
        <w:rPr/>
        <w:pict>
          <v:group style="position:absolute;margin-left:383.821014pt;margin-top:-25.479271pt;width:8.65pt;height:41pt;mso-position-horizontal-relative:page;mso-position-vertical-relative:paragraph;z-index:-16415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color w:val="6D6E71"/>
          <w:w w:val="95"/>
          <w:sz w:val="14"/>
        </w:rPr>
        <w:t>NATURALIZZARE</w:t>
      </w:r>
      <w:r>
        <w:rPr>
          <w:rFonts w:ascii="Lucida Sans Unicode"/>
          <w:color w:val="6D6E71"/>
          <w:spacing w:val="-18"/>
          <w:w w:val="95"/>
          <w:sz w:val="14"/>
        </w:rPr>
        <w:t> </w:t>
      </w:r>
      <w:r>
        <w:rPr>
          <w:rFonts w:ascii="Lucida Sans Unicode"/>
          <w:color w:val="6D6E71"/>
          <w:w w:val="95"/>
          <w:sz w:val="14"/>
        </w:rPr>
        <w:t>I</w:t>
      </w:r>
      <w:r>
        <w:rPr>
          <w:rFonts w:ascii="Lucida Sans Unicode"/>
          <w:color w:val="6D6E71"/>
          <w:spacing w:val="-18"/>
          <w:w w:val="95"/>
          <w:sz w:val="14"/>
        </w:rPr>
        <w:t> </w:t>
      </w:r>
      <w:r>
        <w:rPr>
          <w:rFonts w:ascii="Lucida Sans Unicode"/>
          <w:color w:val="6D6E71"/>
          <w:w w:val="95"/>
          <w:sz w:val="14"/>
        </w:rPr>
        <w:t>PARADOSSI:</w:t>
      </w:r>
      <w:r>
        <w:rPr>
          <w:rFonts w:ascii="Lucida Sans Unicode"/>
          <w:color w:val="6D6E71"/>
          <w:spacing w:val="-18"/>
          <w:w w:val="95"/>
          <w:sz w:val="14"/>
        </w:rPr>
        <w:t> </w:t>
      </w:r>
      <w:r>
        <w:rPr>
          <w:rFonts w:ascii="Lucida Sans Unicode"/>
          <w:color w:val="6D6E71"/>
          <w:w w:val="95"/>
          <w:sz w:val="14"/>
        </w:rPr>
        <w:t>UN</w:t>
      </w:r>
      <w:r>
        <w:rPr>
          <w:rFonts w:ascii="Lucida Sans Unicode"/>
          <w:color w:val="6D6E71"/>
          <w:spacing w:val="-18"/>
          <w:w w:val="95"/>
          <w:sz w:val="14"/>
        </w:rPr>
        <w:t> </w:t>
      </w:r>
      <w:r>
        <w:rPr>
          <w:rFonts w:ascii="Lucida Sans Unicode"/>
          <w:color w:val="6D6E71"/>
          <w:w w:val="95"/>
          <w:sz w:val="14"/>
        </w:rPr>
        <w:t>APPROCCIO</w:t>
      </w:r>
      <w:r>
        <w:rPr>
          <w:rFonts w:ascii="Lucida Sans Unicode"/>
          <w:color w:val="6D6E71"/>
          <w:spacing w:val="-18"/>
          <w:w w:val="95"/>
          <w:sz w:val="14"/>
        </w:rPr>
        <w:t> </w:t>
      </w:r>
      <w:r>
        <w:rPr>
          <w:rFonts w:ascii="Lucida Sans Unicode"/>
          <w:color w:val="6D6E71"/>
          <w:w w:val="95"/>
          <w:sz w:val="14"/>
        </w:rPr>
        <w:t>ALLA</w:t>
      </w:r>
      <w:r>
        <w:rPr>
          <w:rFonts w:ascii="Lucida Sans Unicode"/>
          <w:color w:val="6D6E71"/>
          <w:spacing w:val="-18"/>
          <w:w w:val="95"/>
          <w:sz w:val="14"/>
        </w:rPr>
        <w:t> </w:t>
      </w:r>
      <w:r>
        <w:rPr>
          <w:rFonts w:ascii="Lucida Sans Unicode"/>
          <w:color w:val="6D6E71"/>
          <w:w w:val="95"/>
          <w:sz w:val="14"/>
        </w:rPr>
        <w:t>GLOBALIZZAZIONE</w:t>
      </w:r>
      <w:r>
        <w:rPr>
          <w:rFonts w:ascii="Lucida Sans Unicode"/>
          <w:color w:val="6D6E71"/>
          <w:spacing w:val="-18"/>
          <w:w w:val="95"/>
          <w:sz w:val="14"/>
        </w:rPr>
        <w:t> </w:t>
      </w:r>
      <w:r>
        <w:rPr>
          <w:rFonts w:ascii="Lucida Sans Unicode"/>
          <w:color w:val="6D6E71"/>
          <w:w w:val="95"/>
          <w:sz w:val="14"/>
        </w:rPr>
        <w:t>DA</w:t>
      </w:r>
      <w:r>
        <w:rPr>
          <w:rFonts w:ascii="Lucida Sans Unicode"/>
          <w:color w:val="6D6E71"/>
          <w:spacing w:val="-18"/>
          <w:w w:val="95"/>
          <w:sz w:val="14"/>
        </w:rPr>
        <w:t> </w:t>
      </w:r>
      <w:r>
        <w:rPr>
          <w:rFonts w:ascii="Lucida Sans Unicode"/>
          <w:color w:val="6D6E71"/>
          <w:w w:val="95"/>
          <w:sz w:val="14"/>
        </w:rPr>
        <w:t>GILLES</w:t>
      </w:r>
      <w:r>
        <w:rPr>
          <w:rFonts w:ascii="Lucida Sans Unicode"/>
          <w:color w:val="6D6E71"/>
          <w:spacing w:val="-18"/>
          <w:w w:val="95"/>
          <w:sz w:val="14"/>
        </w:rPr>
        <w:t> </w:t>
      </w:r>
      <w:r>
        <w:rPr>
          <w:rFonts w:ascii="Lucida Sans Unicode"/>
          <w:color w:val="6D6E71"/>
          <w:w w:val="95"/>
          <w:sz w:val="14"/>
        </w:rPr>
        <w:t>DELEUZE</w:t>
      </w:r>
      <w:r>
        <w:rPr>
          <w:rFonts w:ascii="Trebuchet MS"/>
          <w:color w:val="414042"/>
          <w:w w:val="95"/>
          <w:position w:val="-3"/>
          <w:sz w:val="20"/>
        </w:rPr>
        <w:tab/>
        <w:t>65</w:t>
      </w:r>
    </w:p>
    <w:p>
      <w:pPr>
        <w:pStyle w:val="BodyText"/>
        <w:rPr>
          <w:rFonts w:ascii="Trebuchet MS"/>
          <w:sz w:val="20"/>
        </w:rPr>
      </w:pPr>
    </w:p>
    <w:p>
      <w:pPr>
        <w:pStyle w:val="BodyText"/>
        <w:rPr>
          <w:rFonts w:ascii="Trebuchet MS"/>
          <w:sz w:val="20"/>
        </w:rPr>
      </w:pPr>
    </w:p>
    <w:p>
      <w:pPr>
        <w:pStyle w:val="BodyText"/>
        <w:spacing w:line="247" w:lineRule="auto" w:before="156"/>
        <w:ind w:left="117" w:right="118"/>
        <w:jc w:val="both"/>
      </w:pPr>
      <w:r>
        <w:rPr>
          <w:color w:val="231F20"/>
          <w:w w:val="105"/>
        </w:rPr>
        <w:t>alla</w:t>
      </w:r>
      <w:r>
        <w:rPr>
          <w:color w:val="231F20"/>
          <w:spacing w:val="-22"/>
          <w:w w:val="105"/>
        </w:rPr>
        <w:t> </w:t>
      </w:r>
      <w:r>
        <w:rPr>
          <w:color w:val="231F20"/>
          <w:w w:val="105"/>
        </w:rPr>
        <w:t>fine,</w:t>
      </w:r>
      <w:r>
        <w:rPr>
          <w:color w:val="231F20"/>
          <w:spacing w:val="-22"/>
          <w:w w:val="105"/>
        </w:rPr>
        <w:t> </w:t>
      </w:r>
      <w:r>
        <w:rPr>
          <w:color w:val="231F20"/>
          <w:w w:val="105"/>
        </w:rPr>
        <w:t>questi</w:t>
      </w:r>
      <w:r>
        <w:rPr>
          <w:color w:val="231F20"/>
          <w:spacing w:val="-22"/>
          <w:w w:val="105"/>
        </w:rPr>
        <w:t> </w:t>
      </w:r>
      <w:r>
        <w:rPr>
          <w:color w:val="231F20"/>
          <w:w w:val="105"/>
        </w:rPr>
        <w:t>paradossi</w:t>
      </w:r>
      <w:r>
        <w:rPr>
          <w:color w:val="231F20"/>
          <w:spacing w:val="-22"/>
          <w:w w:val="105"/>
        </w:rPr>
        <w:t> </w:t>
      </w:r>
      <w:r>
        <w:rPr>
          <w:color w:val="231F20"/>
          <w:w w:val="105"/>
        </w:rPr>
        <w:t>non</w:t>
      </w:r>
      <w:r>
        <w:rPr>
          <w:color w:val="231F20"/>
          <w:spacing w:val="-22"/>
          <w:w w:val="105"/>
        </w:rPr>
        <w:t> </w:t>
      </w:r>
      <w:r>
        <w:rPr>
          <w:color w:val="231F20"/>
          <w:w w:val="105"/>
        </w:rPr>
        <w:t>contribuirebbero</w:t>
      </w:r>
      <w:r>
        <w:rPr>
          <w:color w:val="231F20"/>
          <w:spacing w:val="-22"/>
          <w:w w:val="105"/>
        </w:rPr>
        <w:t> </w:t>
      </w:r>
      <w:r>
        <w:rPr>
          <w:color w:val="231F20"/>
          <w:w w:val="105"/>
        </w:rPr>
        <w:t>nel</w:t>
      </w:r>
      <w:r>
        <w:rPr>
          <w:color w:val="231F20"/>
          <w:spacing w:val="-22"/>
          <w:w w:val="105"/>
        </w:rPr>
        <w:t> </w:t>
      </w:r>
      <w:r>
        <w:rPr>
          <w:color w:val="231F20"/>
          <w:w w:val="105"/>
        </w:rPr>
        <w:t>dare</w:t>
      </w:r>
      <w:r>
        <w:rPr>
          <w:color w:val="231F20"/>
          <w:spacing w:val="-22"/>
          <w:w w:val="105"/>
        </w:rPr>
        <w:t> </w:t>
      </w:r>
      <w:r>
        <w:rPr>
          <w:color w:val="231F20"/>
          <w:w w:val="105"/>
        </w:rPr>
        <w:t>un’immagine</w:t>
      </w:r>
      <w:r>
        <w:rPr>
          <w:color w:val="231F20"/>
          <w:spacing w:val="-22"/>
          <w:w w:val="105"/>
        </w:rPr>
        <w:t> </w:t>
      </w:r>
      <w:r>
        <w:rPr>
          <w:color w:val="231F20"/>
          <w:w w:val="105"/>
        </w:rPr>
        <w:t>più </w:t>
      </w:r>
      <w:r>
        <w:rPr>
          <w:color w:val="231F20"/>
          <w:spacing w:val="-3"/>
          <w:w w:val="105"/>
        </w:rPr>
        <w:t>omogenea</w:t>
      </w:r>
      <w:r>
        <w:rPr>
          <w:color w:val="231F20"/>
          <w:spacing w:val="-43"/>
          <w:w w:val="105"/>
        </w:rPr>
        <w:t> </w:t>
      </w:r>
      <w:r>
        <w:rPr>
          <w:color w:val="231F20"/>
          <w:w w:val="105"/>
        </w:rPr>
        <w:t>e</w:t>
      </w:r>
      <w:r>
        <w:rPr>
          <w:color w:val="231F20"/>
          <w:spacing w:val="-43"/>
          <w:w w:val="105"/>
        </w:rPr>
        <w:t> </w:t>
      </w:r>
      <w:r>
        <w:rPr>
          <w:color w:val="231F20"/>
          <w:spacing w:val="-3"/>
          <w:w w:val="105"/>
        </w:rPr>
        <w:t>amichevole</w:t>
      </w:r>
      <w:r>
        <w:rPr>
          <w:color w:val="231F20"/>
          <w:spacing w:val="-43"/>
          <w:w w:val="105"/>
        </w:rPr>
        <w:t> </w:t>
      </w:r>
      <w:r>
        <w:rPr>
          <w:color w:val="231F20"/>
          <w:spacing w:val="-3"/>
          <w:w w:val="105"/>
        </w:rPr>
        <w:t>della</w:t>
      </w:r>
      <w:r>
        <w:rPr>
          <w:color w:val="231F20"/>
          <w:spacing w:val="-43"/>
          <w:w w:val="105"/>
        </w:rPr>
        <w:t> </w:t>
      </w:r>
      <w:r>
        <w:rPr>
          <w:color w:val="231F20"/>
          <w:spacing w:val="-3"/>
          <w:w w:val="105"/>
        </w:rPr>
        <w:t>globalizzazione.</w:t>
      </w:r>
      <w:r>
        <w:rPr>
          <w:color w:val="231F20"/>
          <w:spacing w:val="-43"/>
          <w:w w:val="105"/>
        </w:rPr>
        <w:t> </w:t>
      </w:r>
      <w:r>
        <w:rPr>
          <w:color w:val="231F20"/>
          <w:spacing w:val="-3"/>
          <w:w w:val="105"/>
        </w:rPr>
        <w:t>Nell’ultima</w:t>
      </w:r>
      <w:r>
        <w:rPr>
          <w:color w:val="231F20"/>
          <w:spacing w:val="-43"/>
          <w:w w:val="105"/>
        </w:rPr>
        <w:t> </w:t>
      </w:r>
      <w:r>
        <w:rPr>
          <w:color w:val="231F20"/>
          <w:spacing w:val="-3"/>
          <w:w w:val="105"/>
        </w:rPr>
        <w:t>parte</w:t>
      </w:r>
      <w:r>
        <w:rPr>
          <w:color w:val="231F20"/>
          <w:spacing w:val="-43"/>
          <w:w w:val="105"/>
        </w:rPr>
        <w:t> </w:t>
      </w:r>
      <w:r>
        <w:rPr>
          <w:color w:val="231F20"/>
          <w:w w:val="105"/>
        </w:rPr>
        <w:t>ci</w:t>
      </w:r>
      <w:r>
        <w:rPr>
          <w:color w:val="231F20"/>
          <w:spacing w:val="-43"/>
          <w:w w:val="105"/>
        </w:rPr>
        <w:t> </w:t>
      </w:r>
      <w:r>
        <w:rPr>
          <w:color w:val="231F20"/>
          <w:spacing w:val="-4"/>
          <w:w w:val="105"/>
        </w:rPr>
        <w:t>avvarremo </w:t>
      </w:r>
      <w:r>
        <w:rPr>
          <w:color w:val="231F20"/>
          <w:w w:val="105"/>
        </w:rPr>
        <w:t>delle</w:t>
      </w:r>
      <w:r>
        <w:rPr>
          <w:color w:val="231F20"/>
          <w:spacing w:val="-47"/>
          <w:w w:val="105"/>
        </w:rPr>
        <w:t> </w:t>
      </w:r>
      <w:r>
        <w:rPr>
          <w:color w:val="231F20"/>
          <w:w w:val="105"/>
        </w:rPr>
        <w:t>analisi</w:t>
      </w:r>
      <w:r>
        <w:rPr>
          <w:color w:val="231F20"/>
          <w:spacing w:val="-47"/>
          <w:w w:val="105"/>
        </w:rPr>
        <w:t> </w:t>
      </w:r>
      <w:r>
        <w:rPr>
          <w:color w:val="231F20"/>
          <w:spacing w:val="-3"/>
          <w:w w:val="105"/>
        </w:rPr>
        <w:t>realizzate</w:t>
      </w:r>
      <w:r>
        <w:rPr>
          <w:color w:val="231F20"/>
          <w:spacing w:val="-47"/>
          <w:w w:val="105"/>
        </w:rPr>
        <w:t> </w:t>
      </w:r>
      <w:r>
        <w:rPr>
          <w:color w:val="231F20"/>
          <w:w w:val="105"/>
        </w:rPr>
        <w:t>da</w:t>
      </w:r>
      <w:r>
        <w:rPr>
          <w:color w:val="231F20"/>
          <w:spacing w:val="-47"/>
          <w:w w:val="105"/>
        </w:rPr>
        <w:t> </w:t>
      </w:r>
      <w:r>
        <w:rPr>
          <w:color w:val="231F20"/>
          <w:w w:val="105"/>
        </w:rPr>
        <w:t>Gilles</w:t>
      </w:r>
      <w:r>
        <w:rPr>
          <w:color w:val="231F20"/>
          <w:spacing w:val="-47"/>
          <w:w w:val="105"/>
        </w:rPr>
        <w:t> </w:t>
      </w:r>
      <w:r>
        <w:rPr>
          <w:color w:val="231F20"/>
          <w:w w:val="105"/>
        </w:rPr>
        <w:t>Deleuze</w:t>
      </w:r>
      <w:r>
        <w:rPr>
          <w:color w:val="231F20"/>
          <w:w w:val="105"/>
          <w:position w:val="7"/>
          <w:sz w:val="12"/>
        </w:rPr>
        <w:t>15</w:t>
      </w:r>
      <w:r>
        <w:rPr>
          <w:color w:val="231F20"/>
          <w:w w:val="105"/>
        </w:rPr>
        <w:t>,</w:t>
      </w:r>
      <w:r>
        <w:rPr>
          <w:color w:val="231F20"/>
          <w:spacing w:val="-47"/>
          <w:w w:val="105"/>
        </w:rPr>
        <w:t> </w:t>
      </w:r>
      <w:r>
        <w:rPr>
          <w:color w:val="231F20"/>
          <w:w w:val="105"/>
        </w:rPr>
        <w:t>e</w:t>
      </w:r>
      <w:r>
        <w:rPr>
          <w:color w:val="231F20"/>
          <w:spacing w:val="-47"/>
          <w:w w:val="105"/>
        </w:rPr>
        <w:t> </w:t>
      </w:r>
      <w:r>
        <w:rPr>
          <w:color w:val="231F20"/>
          <w:w w:val="105"/>
        </w:rPr>
        <w:t>anche</w:t>
      </w:r>
      <w:r>
        <w:rPr>
          <w:color w:val="231F20"/>
          <w:spacing w:val="-47"/>
          <w:w w:val="105"/>
        </w:rPr>
        <w:t> </w:t>
      </w:r>
      <w:r>
        <w:rPr>
          <w:color w:val="231F20"/>
          <w:w w:val="105"/>
        </w:rPr>
        <w:t>da</w:t>
      </w:r>
      <w:r>
        <w:rPr>
          <w:color w:val="231F20"/>
          <w:spacing w:val="-47"/>
          <w:w w:val="105"/>
        </w:rPr>
        <w:t> </w:t>
      </w:r>
      <w:r>
        <w:rPr>
          <w:color w:val="231F20"/>
          <w:w w:val="105"/>
        </w:rPr>
        <w:t>quelle</w:t>
      </w:r>
      <w:r>
        <w:rPr>
          <w:color w:val="231F20"/>
          <w:spacing w:val="-47"/>
          <w:w w:val="105"/>
        </w:rPr>
        <w:t> </w:t>
      </w:r>
      <w:r>
        <w:rPr>
          <w:color w:val="231F20"/>
          <w:w w:val="105"/>
        </w:rPr>
        <w:t>di</w:t>
      </w:r>
      <w:r>
        <w:rPr>
          <w:color w:val="231F20"/>
          <w:spacing w:val="-47"/>
          <w:w w:val="105"/>
        </w:rPr>
        <w:t> </w:t>
      </w:r>
      <w:r>
        <w:rPr>
          <w:color w:val="231F20"/>
          <w:w w:val="105"/>
        </w:rPr>
        <w:t>Felix</w:t>
      </w:r>
      <w:r>
        <w:rPr>
          <w:color w:val="231F20"/>
          <w:spacing w:val="-47"/>
          <w:w w:val="105"/>
        </w:rPr>
        <w:t> </w:t>
      </w:r>
      <w:r>
        <w:rPr>
          <w:color w:val="231F20"/>
          <w:w w:val="105"/>
        </w:rPr>
        <w:t>Guattari, per</w:t>
      </w:r>
      <w:r>
        <w:rPr>
          <w:color w:val="231F20"/>
          <w:spacing w:val="-43"/>
          <w:w w:val="105"/>
        </w:rPr>
        <w:t> </w:t>
      </w:r>
      <w:r>
        <w:rPr>
          <w:color w:val="231F20"/>
          <w:spacing w:val="-3"/>
          <w:w w:val="105"/>
        </w:rPr>
        <w:t>cercare</w:t>
      </w:r>
      <w:r>
        <w:rPr>
          <w:color w:val="231F20"/>
          <w:spacing w:val="-43"/>
          <w:w w:val="105"/>
        </w:rPr>
        <w:t> </w:t>
      </w:r>
      <w:r>
        <w:rPr>
          <w:color w:val="231F20"/>
          <w:w w:val="105"/>
        </w:rPr>
        <w:t>di</w:t>
      </w:r>
      <w:r>
        <w:rPr>
          <w:color w:val="231F20"/>
          <w:spacing w:val="-43"/>
          <w:w w:val="105"/>
        </w:rPr>
        <w:t> </w:t>
      </w:r>
      <w:r>
        <w:rPr>
          <w:color w:val="231F20"/>
          <w:spacing w:val="-3"/>
          <w:w w:val="105"/>
        </w:rPr>
        <w:t>rispondere</w:t>
      </w:r>
      <w:r>
        <w:rPr>
          <w:color w:val="231F20"/>
          <w:spacing w:val="-43"/>
          <w:w w:val="105"/>
        </w:rPr>
        <w:t> </w:t>
      </w:r>
      <w:r>
        <w:rPr>
          <w:color w:val="231F20"/>
          <w:w w:val="105"/>
        </w:rPr>
        <w:t>a</w:t>
      </w:r>
      <w:r>
        <w:rPr>
          <w:color w:val="231F20"/>
          <w:spacing w:val="-43"/>
          <w:w w:val="105"/>
        </w:rPr>
        <w:t> </w:t>
      </w:r>
      <w:r>
        <w:rPr>
          <w:color w:val="231F20"/>
          <w:w w:val="105"/>
        </w:rPr>
        <w:t>tale</w:t>
      </w:r>
      <w:r>
        <w:rPr>
          <w:color w:val="231F20"/>
          <w:spacing w:val="-43"/>
          <w:w w:val="105"/>
        </w:rPr>
        <w:t> </w:t>
      </w:r>
      <w:r>
        <w:rPr>
          <w:color w:val="231F20"/>
          <w:w w:val="105"/>
        </w:rPr>
        <w:t>questione,</w:t>
      </w:r>
      <w:r>
        <w:rPr>
          <w:color w:val="231F20"/>
          <w:spacing w:val="-43"/>
          <w:w w:val="105"/>
        </w:rPr>
        <w:t> </w:t>
      </w:r>
      <w:r>
        <w:rPr>
          <w:color w:val="231F20"/>
          <w:w w:val="105"/>
        </w:rPr>
        <w:t>per</w:t>
      </w:r>
      <w:r>
        <w:rPr>
          <w:color w:val="231F20"/>
          <w:spacing w:val="-43"/>
          <w:w w:val="105"/>
        </w:rPr>
        <w:t> </w:t>
      </w:r>
      <w:r>
        <w:rPr>
          <w:color w:val="231F20"/>
          <w:spacing w:val="-3"/>
          <w:w w:val="105"/>
        </w:rPr>
        <w:t>sapere</w:t>
      </w:r>
      <w:r>
        <w:rPr>
          <w:color w:val="231F20"/>
          <w:spacing w:val="-43"/>
          <w:w w:val="105"/>
        </w:rPr>
        <w:t> </w:t>
      </w:r>
      <w:r>
        <w:rPr>
          <w:color w:val="231F20"/>
          <w:w w:val="105"/>
        </w:rPr>
        <w:t>se</w:t>
      </w:r>
      <w:r>
        <w:rPr>
          <w:color w:val="231F20"/>
          <w:spacing w:val="-43"/>
          <w:w w:val="105"/>
        </w:rPr>
        <w:t> </w:t>
      </w:r>
      <w:r>
        <w:rPr>
          <w:color w:val="231F20"/>
          <w:w w:val="105"/>
        </w:rPr>
        <w:t>un</w:t>
      </w:r>
      <w:r>
        <w:rPr>
          <w:color w:val="231F20"/>
          <w:spacing w:val="-43"/>
          <w:w w:val="105"/>
        </w:rPr>
        <w:t> </w:t>
      </w:r>
      <w:r>
        <w:rPr>
          <w:color w:val="231F20"/>
          <w:w w:val="105"/>
        </w:rPr>
        <w:t>paradosso</w:t>
      </w:r>
      <w:r>
        <w:rPr>
          <w:color w:val="231F20"/>
          <w:spacing w:val="-43"/>
          <w:w w:val="105"/>
        </w:rPr>
        <w:t> </w:t>
      </w:r>
      <w:r>
        <w:rPr>
          <w:color w:val="231F20"/>
          <w:w w:val="105"/>
        </w:rPr>
        <w:t>si</w:t>
      </w:r>
      <w:r>
        <w:rPr>
          <w:color w:val="231F20"/>
          <w:spacing w:val="-43"/>
          <w:w w:val="105"/>
        </w:rPr>
        <w:t> </w:t>
      </w:r>
      <w:r>
        <w:rPr>
          <w:color w:val="231F20"/>
          <w:spacing w:val="-2"/>
          <w:w w:val="105"/>
        </w:rPr>
        <w:t>può </w:t>
      </w:r>
      <w:r>
        <w:rPr>
          <w:color w:val="231F20"/>
          <w:w w:val="105"/>
        </w:rPr>
        <w:t>naturalizzare</w:t>
      </w:r>
      <w:r>
        <w:rPr>
          <w:color w:val="231F20"/>
          <w:spacing w:val="-43"/>
          <w:w w:val="105"/>
        </w:rPr>
        <w:t> </w:t>
      </w:r>
      <w:r>
        <w:rPr>
          <w:color w:val="231F20"/>
          <w:w w:val="105"/>
        </w:rPr>
        <w:t>e</w:t>
      </w:r>
      <w:r>
        <w:rPr>
          <w:color w:val="231F20"/>
          <w:spacing w:val="-43"/>
          <w:w w:val="105"/>
        </w:rPr>
        <w:t> </w:t>
      </w:r>
      <w:r>
        <w:rPr>
          <w:color w:val="231F20"/>
          <w:w w:val="105"/>
        </w:rPr>
        <w:t>così,</w:t>
      </w:r>
      <w:r>
        <w:rPr>
          <w:color w:val="231F20"/>
          <w:spacing w:val="-43"/>
          <w:w w:val="105"/>
        </w:rPr>
        <w:t> </w:t>
      </w:r>
      <w:r>
        <w:rPr>
          <w:color w:val="231F20"/>
          <w:w w:val="105"/>
        </w:rPr>
        <w:t>disattivare</w:t>
      </w:r>
      <w:r>
        <w:rPr>
          <w:color w:val="231F20"/>
          <w:spacing w:val="-43"/>
          <w:w w:val="105"/>
        </w:rPr>
        <w:t> </w:t>
      </w:r>
      <w:r>
        <w:rPr>
          <w:color w:val="231F20"/>
          <w:w w:val="105"/>
        </w:rPr>
        <w:t>la</w:t>
      </w:r>
      <w:r>
        <w:rPr>
          <w:color w:val="231F20"/>
          <w:spacing w:val="-43"/>
          <w:w w:val="105"/>
        </w:rPr>
        <w:t> </w:t>
      </w:r>
      <w:r>
        <w:rPr>
          <w:color w:val="231F20"/>
          <w:w w:val="105"/>
        </w:rPr>
        <w:t>sua</w:t>
      </w:r>
      <w:r>
        <w:rPr>
          <w:color w:val="231F20"/>
          <w:spacing w:val="-43"/>
          <w:w w:val="105"/>
        </w:rPr>
        <w:t> </w:t>
      </w:r>
      <w:r>
        <w:rPr>
          <w:color w:val="231F20"/>
          <w:w w:val="105"/>
        </w:rPr>
        <w:t>carica</w:t>
      </w:r>
      <w:r>
        <w:rPr>
          <w:color w:val="231F20"/>
          <w:spacing w:val="-43"/>
          <w:w w:val="105"/>
        </w:rPr>
        <w:t> </w:t>
      </w:r>
      <w:r>
        <w:rPr>
          <w:color w:val="231F20"/>
          <w:w w:val="105"/>
        </w:rPr>
        <w:t>critica.</w:t>
      </w:r>
      <w:r>
        <w:rPr>
          <w:color w:val="231F20"/>
          <w:spacing w:val="-43"/>
          <w:w w:val="105"/>
        </w:rPr>
        <w:t> </w:t>
      </w:r>
      <w:r>
        <w:rPr>
          <w:color w:val="231F20"/>
          <w:w w:val="105"/>
        </w:rPr>
        <w:t>Ma</w:t>
      </w:r>
      <w:r>
        <w:rPr>
          <w:color w:val="231F20"/>
          <w:spacing w:val="-43"/>
          <w:w w:val="105"/>
        </w:rPr>
        <w:t> </w:t>
      </w:r>
      <w:r>
        <w:rPr>
          <w:color w:val="231F20"/>
          <w:w w:val="105"/>
        </w:rPr>
        <w:t>prima</w:t>
      </w:r>
      <w:r>
        <w:rPr>
          <w:color w:val="231F20"/>
          <w:spacing w:val="-43"/>
          <w:w w:val="105"/>
        </w:rPr>
        <w:t> </w:t>
      </w:r>
      <w:r>
        <w:rPr>
          <w:color w:val="231F20"/>
          <w:w w:val="105"/>
        </w:rPr>
        <w:t>di</w:t>
      </w:r>
      <w:r>
        <w:rPr>
          <w:color w:val="231F20"/>
          <w:spacing w:val="-43"/>
          <w:w w:val="105"/>
        </w:rPr>
        <w:t> </w:t>
      </w:r>
      <w:r>
        <w:rPr>
          <w:color w:val="231F20"/>
          <w:w w:val="105"/>
        </w:rPr>
        <w:t>trattare</w:t>
      </w:r>
      <w:r>
        <w:rPr>
          <w:color w:val="231F20"/>
          <w:spacing w:val="-43"/>
          <w:w w:val="105"/>
        </w:rPr>
        <w:t> </w:t>
      </w:r>
      <w:r>
        <w:rPr>
          <w:color w:val="231F20"/>
          <w:w w:val="105"/>
        </w:rPr>
        <w:t>tale questione,</w:t>
      </w:r>
      <w:r>
        <w:rPr>
          <w:color w:val="231F20"/>
          <w:spacing w:val="-21"/>
          <w:w w:val="105"/>
        </w:rPr>
        <w:t> </w:t>
      </w:r>
      <w:r>
        <w:rPr>
          <w:color w:val="231F20"/>
          <w:w w:val="105"/>
        </w:rPr>
        <w:t>cercheremo</w:t>
      </w:r>
      <w:r>
        <w:rPr>
          <w:color w:val="231F20"/>
          <w:spacing w:val="-21"/>
          <w:w w:val="105"/>
        </w:rPr>
        <w:t> </w:t>
      </w:r>
      <w:r>
        <w:rPr>
          <w:color w:val="231F20"/>
          <w:w w:val="105"/>
        </w:rPr>
        <w:t>di</w:t>
      </w:r>
      <w:r>
        <w:rPr>
          <w:color w:val="231F20"/>
          <w:spacing w:val="-21"/>
          <w:w w:val="105"/>
        </w:rPr>
        <w:t> </w:t>
      </w:r>
      <w:r>
        <w:rPr>
          <w:color w:val="231F20"/>
          <w:w w:val="105"/>
        </w:rPr>
        <w:t>esporre,</w:t>
      </w:r>
      <w:r>
        <w:rPr>
          <w:color w:val="231F20"/>
          <w:spacing w:val="-21"/>
          <w:w w:val="105"/>
        </w:rPr>
        <w:t> </w:t>
      </w:r>
      <w:r>
        <w:rPr>
          <w:color w:val="231F20"/>
          <w:w w:val="105"/>
        </w:rPr>
        <w:t>in</w:t>
      </w:r>
      <w:r>
        <w:rPr>
          <w:color w:val="231F20"/>
          <w:spacing w:val="-21"/>
          <w:w w:val="105"/>
        </w:rPr>
        <w:t> </w:t>
      </w:r>
      <w:r>
        <w:rPr>
          <w:color w:val="231F20"/>
          <w:w w:val="105"/>
        </w:rPr>
        <w:t>modo</w:t>
      </w:r>
      <w:r>
        <w:rPr>
          <w:color w:val="231F20"/>
          <w:spacing w:val="-21"/>
          <w:w w:val="105"/>
        </w:rPr>
        <w:t> </w:t>
      </w:r>
      <w:r>
        <w:rPr>
          <w:color w:val="231F20"/>
          <w:w w:val="105"/>
        </w:rPr>
        <w:t>generale,</w:t>
      </w:r>
      <w:r>
        <w:rPr>
          <w:color w:val="231F20"/>
          <w:spacing w:val="-21"/>
          <w:w w:val="105"/>
        </w:rPr>
        <w:t> </w:t>
      </w:r>
      <w:r>
        <w:rPr>
          <w:color w:val="231F20"/>
          <w:w w:val="105"/>
        </w:rPr>
        <w:t>di</w:t>
      </w:r>
      <w:r>
        <w:rPr>
          <w:color w:val="231F20"/>
          <w:spacing w:val="-21"/>
          <w:w w:val="105"/>
        </w:rPr>
        <w:t> </w:t>
      </w:r>
      <w:r>
        <w:rPr>
          <w:color w:val="231F20"/>
          <w:w w:val="105"/>
        </w:rPr>
        <w:t>cosa</w:t>
      </w:r>
      <w:r>
        <w:rPr>
          <w:color w:val="231F20"/>
          <w:spacing w:val="-21"/>
          <w:w w:val="105"/>
        </w:rPr>
        <w:t> </w:t>
      </w:r>
      <w:r>
        <w:rPr>
          <w:color w:val="231F20"/>
          <w:w w:val="105"/>
        </w:rPr>
        <w:t>consistono</w:t>
      </w:r>
      <w:r>
        <w:rPr>
          <w:color w:val="231F20"/>
          <w:spacing w:val="-21"/>
          <w:w w:val="105"/>
        </w:rPr>
        <w:t> </w:t>
      </w:r>
      <w:r>
        <w:rPr>
          <w:color w:val="231F20"/>
          <w:w w:val="105"/>
        </w:rPr>
        <w:t>i </w:t>
      </w:r>
      <w:r>
        <w:rPr>
          <w:color w:val="231F20"/>
        </w:rPr>
        <w:t>chiamati </w:t>
      </w:r>
      <w:r>
        <w:rPr>
          <w:rFonts w:ascii="Arial" w:hAnsi="Arial"/>
          <w:i/>
          <w:color w:val="231F20"/>
        </w:rPr>
        <w:t>paradossi della</w:t>
      </w:r>
      <w:r>
        <w:rPr>
          <w:rFonts w:ascii="Arial" w:hAnsi="Arial"/>
          <w:i/>
          <w:color w:val="231F20"/>
          <w:spacing w:val="-30"/>
        </w:rPr>
        <w:t> </w:t>
      </w:r>
      <w:r>
        <w:rPr>
          <w:rFonts w:ascii="Arial" w:hAnsi="Arial"/>
          <w:i/>
          <w:color w:val="231F20"/>
        </w:rPr>
        <w:t>globalizzazione</w:t>
      </w:r>
      <w:r>
        <w:rPr>
          <w:color w:val="231F20"/>
        </w:rPr>
        <w:t>.</w:t>
      </w:r>
    </w:p>
    <w:p>
      <w:pPr>
        <w:pStyle w:val="BodyText"/>
        <w:spacing w:before="4"/>
        <w:rPr>
          <w:sz w:val="24"/>
        </w:rPr>
      </w:pPr>
    </w:p>
    <w:p>
      <w:pPr>
        <w:spacing w:before="0"/>
        <w:ind w:left="117" w:right="0" w:firstLine="0"/>
        <w:jc w:val="both"/>
        <w:rPr>
          <w:rFonts w:ascii="Arial"/>
          <w:i/>
          <w:sz w:val="21"/>
        </w:rPr>
      </w:pPr>
      <w:r>
        <w:rPr>
          <w:rFonts w:ascii="Arial"/>
          <w:i/>
          <w:color w:val="231F20"/>
          <w:sz w:val="21"/>
        </w:rPr>
        <w:t>Alcuni paradossi della globalizzazione</w:t>
      </w:r>
    </w:p>
    <w:p>
      <w:pPr>
        <w:pStyle w:val="BodyText"/>
        <w:rPr>
          <w:rFonts w:ascii="Arial"/>
          <w:i/>
          <w:sz w:val="20"/>
        </w:rPr>
      </w:pPr>
    </w:p>
    <w:p>
      <w:pPr>
        <w:pStyle w:val="BodyText"/>
        <w:spacing w:line="247" w:lineRule="auto" w:before="172"/>
        <w:ind w:left="117" w:right="116"/>
        <w:jc w:val="both"/>
      </w:pPr>
      <w:r>
        <w:rPr>
          <w:color w:val="231F20"/>
        </w:rPr>
        <w:t>Il paradosso che è servito come punto di partenza per capire il carattere complesso della globalizzazione è quello che si esprime sotto il motto di </w:t>
      </w:r>
      <w:r>
        <w:rPr>
          <w:rFonts w:ascii="Arial" w:hAnsi="Arial"/>
          <w:i/>
          <w:color w:val="231F20"/>
        </w:rPr>
        <w:t>glocale</w:t>
      </w:r>
      <w:r>
        <w:rPr>
          <w:color w:val="231F20"/>
        </w:rPr>
        <w:t>.</w:t>
      </w:r>
      <w:r>
        <w:rPr>
          <w:color w:val="231F20"/>
          <w:spacing w:val="-20"/>
        </w:rPr>
        <w:t> </w:t>
      </w:r>
      <w:r>
        <w:rPr>
          <w:color w:val="231F20"/>
        </w:rPr>
        <w:t>Abbiamo</w:t>
      </w:r>
      <w:r>
        <w:rPr>
          <w:color w:val="231F20"/>
          <w:spacing w:val="-20"/>
        </w:rPr>
        <w:t> </w:t>
      </w:r>
      <w:r>
        <w:rPr>
          <w:color w:val="231F20"/>
        </w:rPr>
        <w:t>accenato</w:t>
      </w:r>
      <w:r>
        <w:rPr>
          <w:color w:val="231F20"/>
          <w:spacing w:val="-20"/>
        </w:rPr>
        <w:t> </w:t>
      </w:r>
      <w:r>
        <w:rPr>
          <w:color w:val="231F20"/>
        </w:rPr>
        <w:t>che</w:t>
      </w:r>
      <w:r>
        <w:rPr>
          <w:color w:val="231F20"/>
          <w:spacing w:val="-20"/>
        </w:rPr>
        <w:t> </w:t>
      </w:r>
      <w:r>
        <w:rPr>
          <w:color w:val="231F20"/>
        </w:rPr>
        <w:t>attraverso</w:t>
      </w:r>
      <w:r>
        <w:rPr>
          <w:color w:val="231F20"/>
          <w:spacing w:val="-20"/>
        </w:rPr>
        <w:t> </w:t>
      </w:r>
      <w:r>
        <w:rPr>
          <w:color w:val="231F20"/>
        </w:rPr>
        <w:t>questo</w:t>
      </w:r>
      <w:r>
        <w:rPr>
          <w:color w:val="231F20"/>
          <w:spacing w:val="-20"/>
        </w:rPr>
        <w:t> </w:t>
      </w:r>
      <w:r>
        <w:rPr>
          <w:color w:val="231F20"/>
        </w:rPr>
        <w:t>termine</w:t>
      </w:r>
      <w:r>
        <w:rPr>
          <w:color w:val="231F20"/>
          <w:spacing w:val="-20"/>
        </w:rPr>
        <w:t> </w:t>
      </w:r>
      <w:r>
        <w:rPr>
          <w:color w:val="231F20"/>
        </w:rPr>
        <w:t>la</w:t>
      </w:r>
      <w:r>
        <w:rPr>
          <w:color w:val="231F20"/>
          <w:spacing w:val="-20"/>
        </w:rPr>
        <w:t> </w:t>
      </w:r>
      <w:r>
        <w:rPr>
          <w:color w:val="231F20"/>
        </w:rPr>
        <w:t>globalizzazione </w:t>
      </w:r>
      <w:r>
        <w:rPr>
          <w:color w:val="231F20"/>
          <w:spacing w:val="3"/>
        </w:rPr>
        <w:t>si </w:t>
      </w:r>
      <w:r>
        <w:rPr>
          <w:color w:val="231F20"/>
          <w:spacing w:val="6"/>
        </w:rPr>
        <w:t>concepisce </w:t>
      </w:r>
      <w:r>
        <w:rPr>
          <w:color w:val="231F20"/>
          <w:spacing w:val="4"/>
        </w:rPr>
        <w:t>non </w:t>
      </w:r>
      <w:r>
        <w:rPr>
          <w:color w:val="231F20"/>
          <w:spacing w:val="5"/>
        </w:rPr>
        <w:t>come </w:t>
      </w:r>
      <w:r>
        <w:rPr>
          <w:color w:val="231F20"/>
          <w:spacing w:val="3"/>
        </w:rPr>
        <w:t>un </w:t>
      </w:r>
      <w:r>
        <w:rPr>
          <w:color w:val="231F20"/>
          <w:spacing w:val="6"/>
        </w:rPr>
        <w:t>fenomeno esclusivamente unitario </w:t>
      </w:r>
      <w:r>
        <w:rPr>
          <w:color w:val="231F20"/>
          <w:spacing w:val="7"/>
        </w:rPr>
        <w:t>ne </w:t>
      </w:r>
      <w:r>
        <w:rPr>
          <w:color w:val="231F20"/>
          <w:spacing w:val="-3"/>
        </w:rPr>
        <w:t>omogeneizzante,</w:t>
      </w:r>
      <w:r>
        <w:rPr>
          <w:color w:val="231F20"/>
          <w:spacing w:val="-10"/>
        </w:rPr>
        <w:t> </w:t>
      </w:r>
      <w:r>
        <w:rPr>
          <w:color w:val="231F20"/>
        </w:rPr>
        <w:t>ma</w:t>
      </w:r>
      <w:r>
        <w:rPr>
          <w:color w:val="231F20"/>
          <w:spacing w:val="-10"/>
        </w:rPr>
        <w:t> </w:t>
      </w:r>
      <w:r>
        <w:rPr>
          <w:color w:val="231F20"/>
          <w:spacing w:val="-3"/>
        </w:rPr>
        <w:t>come</w:t>
      </w:r>
      <w:r>
        <w:rPr>
          <w:color w:val="231F20"/>
          <w:spacing w:val="-10"/>
        </w:rPr>
        <w:t> </w:t>
      </w:r>
      <w:r>
        <w:rPr>
          <w:color w:val="231F20"/>
          <w:spacing w:val="-3"/>
        </w:rPr>
        <w:t>qualcosa</w:t>
      </w:r>
      <w:r>
        <w:rPr>
          <w:color w:val="231F20"/>
          <w:spacing w:val="-10"/>
        </w:rPr>
        <w:t> </w:t>
      </w:r>
      <w:r>
        <w:rPr>
          <w:color w:val="231F20"/>
        </w:rPr>
        <w:t>di</w:t>
      </w:r>
      <w:r>
        <w:rPr>
          <w:color w:val="231F20"/>
          <w:spacing w:val="-10"/>
        </w:rPr>
        <w:t> </w:t>
      </w:r>
      <w:r>
        <w:rPr>
          <w:color w:val="231F20"/>
          <w:spacing w:val="-3"/>
        </w:rPr>
        <w:t>contraddittorio.</w:t>
      </w:r>
      <w:r>
        <w:rPr>
          <w:color w:val="231F20"/>
          <w:spacing w:val="-10"/>
        </w:rPr>
        <w:t> </w:t>
      </w:r>
      <w:r>
        <w:rPr>
          <w:color w:val="231F20"/>
        </w:rPr>
        <w:t>Cioè,</w:t>
      </w:r>
      <w:r>
        <w:rPr>
          <w:color w:val="231F20"/>
          <w:spacing w:val="-10"/>
        </w:rPr>
        <w:t> </w:t>
      </w:r>
      <w:r>
        <w:rPr>
          <w:color w:val="231F20"/>
        </w:rPr>
        <w:t>la</w:t>
      </w:r>
      <w:r>
        <w:rPr>
          <w:color w:val="231F20"/>
          <w:spacing w:val="-10"/>
        </w:rPr>
        <w:t> </w:t>
      </w:r>
      <w:r>
        <w:rPr>
          <w:color w:val="231F20"/>
        </w:rPr>
        <w:t>sua</w:t>
      </w:r>
      <w:r>
        <w:rPr>
          <w:color w:val="231F20"/>
          <w:spacing w:val="-10"/>
        </w:rPr>
        <w:t> </w:t>
      </w:r>
      <w:r>
        <w:rPr>
          <w:color w:val="231F20"/>
          <w:spacing w:val="-3"/>
        </w:rPr>
        <w:t>tendenza </w:t>
      </w:r>
      <w:r>
        <w:rPr>
          <w:color w:val="231F20"/>
        </w:rPr>
        <w:t>all’uniformità si vale del locale, del diverso e del particolare e non solo, anche gli produce. Il globale è locale e viceversa. Pensiamo ai fusi orari. </w:t>
      </w:r>
      <w:r>
        <w:rPr>
          <w:color w:val="231F20"/>
          <w:spacing w:val="-3"/>
        </w:rPr>
        <w:t>Implementati</w:t>
      </w:r>
      <w:r>
        <w:rPr>
          <w:color w:val="231F20"/>
          <w:spacing w:val="-14"/>
        </w:rPr>
        <w:t> </w:t>
      </w:r>
      <w:r>
        <w:rPr>
          <w:color w:val="231F20"/>
          <w:spacing w:val="-3"/>
        </w:rPr>
        <w:t>mondialmente</w:t>
      </w:r>
      <w:r>
        <w:rPr>
          <w:color w:val="231F20"/>
          <w:spacing w:val="-14"/>
        </w:rPr>
        <w:t> </w:t>
      </w:r>
      <w:r>
        <w:rPr>
          <w:color w:val="231F20"/>
        </w:rPr>
        <w:t>nel</w:t>
      </w:r>
      <w:r>
        <w:rPr>
          <w:color w:val="231F20"/>
          <w:spacing w:val="-14"/>
        </w:rPr>
        <w:t> </w:t>
      </w:r>
      <w:r>
        <w:rPr>
          <w:color w:val="231F20"/>
          <w:spacing w:val="-3"/>
        </w:rPr>
        <w:t>1929,</w:t>
      </w:r>
      <w:r>
        <w:rPr>
          <w:color w:val="231F20"/>
          <w:spacing w:val="-14"/>
        </w:rPr>
        <w:t> </w:t>
      </w:r>
      <w:r>
        <w:rPr>
          <w:color w:val="231F20"/>
          <w:spacing w:val="-4"/>
        </w:rPr>
        <w:t>rappresentarono</w:t>
      </w:r>
      <w:r>
        <w:rPr>
          <w:color w:val="231F20"/>
          <w:spacing w:val="-14"/>
        </w:rPr>
        <w:t> </w:t>
      </w:r>
      <w:r>
        <w:rPr>
          <w:color w:val="231F20"/>
        </w:rPr>
        <w:t>nel</w:t>
      </w:r>
      <w:r>
        <w:rPr>
          <w:color w:val="231F20"/>
          <w:spacing w:val="-14"/>
        </w:rPr>
        <w:t> </w:t>
      </w:r>
      <w:r>
        <w:rPr>
          <w:color w:val="231F20"/>
          <w:spacing w:val="-3"/>
        </w:rPr>
        <w:t>loro</w:t>
      </w:r>
      <w:r>
        <w:rPr>
          <w:color w:val="231F20"/>
          <w:spacing w:val="-14"/>
        </w:rPr>
        <w:t> </w:t>
      </w:r>
      <w:r>
        <w:rPr>
          <w:color w:val="231F20"/>
          <w:spacing w:val="-3"/>
        </w:rPr>
        <w:t>momento</w:t>
      </w:r>
      <w:r>
        <w:rPr>
          <w:color w:val="231F20"/>
          <w:spacing w:val="-14"/>
        </w:rPr>
        <w:t> </w:t>
      </w:r>
      <w:r>
        <w:rPr>
          <w:color w:val="231F20"/>
        </w:rPr>
        <w:t>un chiaro</w:t>
      </w:r>
      <w:r>
        <w:rPr>
          <w:color w:val="231F20"/>
          <w:spacing w:val="-8"/>
        </w:rPr>
        <w:t> </w:t>
      </w:r>
      <w:r>
        <w:rPr>
          <w:color w:val="231F20"/>
        </w:rPr>
        <w:t>movimento</w:t>
      </w:r>
      <w:r>
        <w:rPr>
          <w:color w:val="231F20"/>
          <w:spacing w:val="-8"/>
        </w:rPr>
        <w:t> </w:t>
      </w:r>
      <w:r>
        <w:rPr>
          <w:color w:val="231F20"/>
        </w:rPr>
        <w:t>verso</w:t>
      </w:r>
      <w:r>
        <w:rPr>
          <w:color w:val="231F20"/>
          <w:spacing w:val="-8"/>
        </w:rPr>
        <w:t> </w:t>
      </w:r>
      <w:r>
        <w:rPr>
          <w:color w:val="231F20"/>
        </w:rPr>
        <w:t>l’unificazione.</w:t>
      </w:r>
      <w:r>
        <w:rPr>
          <w:color w:val="231F20"/>
          <w:spacing w:val="-8"/>
        </w:rPr>
        <w:t> </w:t>
      </w:r>
      <w:r>
        <w:rPr>
          <w:color w:val="231F20"/>
        </w:rPr>
        <w:t>I</w:t>
      </w:r>
      <w:r>
        <w:rPr>
          <w:color w:val="231F20"/>
          <w:spacing w:val="-8"/>
        </w:rPr>
        <w:t> </w:t>
      </w:r>
      <w:r>
        <w:rPr>
          <w:color w:val="231F20"/>
        </w:rPr>
        <w:t>paesi</w:t>
      </w:r>
      <w:r>
        <w:rPr>
          <w:color w:val="231F20"/>
          <w:spacing w:val="-8"/>
        </w:rPr>
        <w:t> </w:t>
      </w:r>
      <w:r>
        <w:rPr>
          <w:color w:val="231F20"/>
        </w:rPr>
        <w:t>non</w:t>
      </w:r>
      <w:r>
        <w:rPr>
          <w:color w:val="231F20"/>
          <w:spacing w:val="-8"/>
        </w:rPr>
        <w:t> </w:t>
      </w:r>
      <w:r>
        <w:rPr>
          <w:color w:val="231F20"/>
        </w:rPr>
        <w:t>sono</w:t>
      </w:r>
      <w:r>
        <w:rPr>
          <w:color w:val="231F20"/>
          <w:spacing w:val="-8"/>
        </w:rPr>
        <w:t> </w:t>
      </w:r>
      <w:r>
        <w:rPr>
          <w:color w:val="231F20"/>
        </w:rPr>
        <w:t>più</w:t>
      </w:r>
      <w:r>
        <w:rPr>
          <w:color w:val="231F20"/>
          <w:spacing w:val="-8"/>
        </w:rPr>
        <w:t> </w:t>
      </w:r>
      <w:r>
        <w:rPr>
          <w:color w:val="231F20"/>
        </w:rPr>
        <w:t>stati</w:t>
      </w:r>
      <w:r>
        <w:rPr>
          <w:color w:val="231F20"/>
          <w:spacing w:val="-8"/>
        </w:rPr>
        <w:t> </w:t>
      </w:r>
      <w:r>
        <w:rPr>
          <w:color w:val="231F20"/>
        </w:rPr>
        <w:t>in</w:t>
      </w:r>
      <w:r>
        <w:rPr>
          <w:color w:val="231F20"/>
          <w:spacing w:val="-8"/>
        </w:rPr>
        <w:t> </w:t>
      </w:r>
      <w:r>
        <w:rPr>
          <w:color w:val="231F20"/>
        </w:rPr>
        <w:t>grado</w:t>
      </w:r>
      <w:r>
        <w:rPr>
          <w:color w:val="231F20"/>
          <w:spacing w:val="-8"/>
        </w:rPr>
        <w:t> </w:t>
      </w:r>
      <w:r>
        <w:rPr>
          <w:color w:val="231F20"/>
        </w:rPr>
        <w:t>di </w:t>
      </w:r>
      <w:r>
        <w:rPr>
          <w:color w:val="231F20"/>
          <w:spacing w:val="-4"/>
        </w:rPr>
        <w:t>decidere</w:t>
      </w:r>
      <w:r>
        <w:rPr>
          <w:color w:val="231F20"/>
          <w:spacing w:val="-13"/>
        </w:rPr>
        <w:t> </w:t>
      </w:r>
      <w:r>
        <w:rPr>
          <w:color w:val="231F20"/>
        </w:rPr>
        <w:t>da</w:t>
      </w:r>
      <w:r>
        <w:rPr>
          <w:color w:val="231F20"/>
          <w:spacing w:val="-13"/>
        </w:rPr>
        <w:t> </w:t>
      </w:r>
      <w:r>
        <w:rPr>
          <w:color w:val="231F20"/>
          <w:spacing w:val="-3"/>
        </w:rPr>
        <w:t>soli</w:t>
      </w:r>
      <w:r>
        <w:rPr>
          <w:color w:val="231F20"/>
          <w:spacing w:val="-11"/>
        </w:rPr>
        <w:t> </w:t>
      </w:r>
      <w:r>
        <w:rPr>
          <w:color w:val="231F20"/>
          <w:spacing w:val="-3"/>
        </w:rPr>
        <w:t>quale</w:t>
      </w:r>
      <w:r>
        <w:rPr>
          <w:color w:val="231F20"/>
          <w:spacing w:val="-13"/>
        </w:rPr>
        <w:t> </w:t>
      </w:r>
      <w:r>
        <w:rPr>
          <w:color w:val="231F20"/>
          <w:spacing w:val="-3"/>
        </w:rPr>
        <w:t>orario</w:t>
      </w:r>
      <w:r>
        <w:rPr>
          <w:color w:val="231F20"/>
          <w:spacing w:val="-13"/>
        </w:rPr>
        <w:t> </w:t>
      </w:r>
      <w:r>
        <w:rPr>
          <w:color w:val="231F20"/>
          <w:spacing w:val="-4"/>
        </w:rPr>
        <w:t>utilizzare,</w:t>
      </w:r>
      <w:r>
        <w:rPr>
          <w:color w:val="231F20"/>
          <w:spacing w:val="-13"/>
        </w:rPr>
        <w:t> </w:t>
      </w:r>
      <w:r>
        <w:rPr>
          <w:color w:val="231F20"/>
          <w:spacing w:val="-3"/>
        </w:rPr>
        <w:t>anzi,</w:t>
      </w:r>
      <w:r>
        <w:rPr>
          <w:color w:val="231F20"/>
          <w:spacing w:val="-13"/>
        </w:rPr>
        <w:t> </w:t>
      </w:r>
      <w:r>
        <w:rPr>
          <w:color w:val="231F20"/>
          <w:spacing w:val="-3"/>
        </w:rPr>
        <w:t>dovevano</w:t>
      </w:r>
      <w:r>
        <w:rPr>
          <w:color w:val="231F20"/>
          <w:spacing w:val="-13"/>
        </w:rPr>
        <w:t> </w:t>
      </w:r>
      <w:r>
        <w:rPr>
          <w:color w:val="231F20"/>
          <w:spacing w:val="-3"/>
        </w:rPr>
        <w:t>includersi</w:t>
      </w:r>
      <w:r>
        <w:rPr>
          <w:color w:val="231F20"/>
          <w:spacing w:val="-13"/>
        </w:rPr>
        <w:t> </w:t>
      </w:r>
      <w:r>
        <w:rPr>
          <w:color w:val="231F20"/>
          <w:spacing w:val="-3"/>
        </w:rPr>
        <w:t>nella</w:t>
      </w:r>
      <w:r>
        <w:rPr>
          <w:color w:val="231F20"/>
          <w:spacing w:val="-13"/>
        </w:rPr>
        <w:t> </w:t>
      </w:r>
      <w:r>
        <w:rPr>
          <w:color w:val="231F20"/>
          <w:spacing w:val="-3"/>
        </w:rPr>
        <w:t>gamma </w:t>
      </w:r>
      <w:r>
        <w:rPr>
          <w:color w:val="231F20"/>
        </w:rPr>
        <w:t>unificatrice di fusi che davano ad ogni stato e città un orario particolare. </w:t>
      </w:r>
      <w:r>
        <w:rPr>
          <w:color w:val="231F20"/>
          <w:spacing w:val="-6"/>
        </w:rPr>
        <w:t>Tale </w:t>
      </w:r>
      <w:r>
        <w:rPr>
          <w:color w:val="231F20"/>
        </w:rPr>
        <w:t>movimiento fu esclusivamente unificatore? La risposta è chiaramente negativa:</w:t>
      </w:r>
      <w:r>
        <w:rPr>
          <w:color w:val="231F20"/>
          <w:spacing w:val="-21"/>
        </w:rPr>
        <w:t> </w:t>
      </w:r>
      <w:r>
        <w:rPr>
          <w:color w:val="231F20"/>
        </w:rPr>
        <w:t>unificò,</w:t>
      </w:r>
      <w:r>
        <w:rPr>
          <w:color w:val="231F20"/>
          <w:spacing w:val="-21"/>
        </w:rPr>
        <w:t> </w:t>
      </w:r>
      <w:r>
        <w:rPr>
          <w:color w:val="231F20"/>
        </w:rPr>
        <w:t>ma</w:t>
      </w:r>
      <w:r>
        <w:rPr>
          <w:color w:val="231F20"/>
          <w:spacing w:val="-21"/>
        </w:rPr>
        <w:t> </w:t>
      </w:r>
      <w:r>
        <w:rPr>
          <w:color w:val="231F20"/>
        </w:rPr>
        <w:t>dando</w:t>
      </w:r>
      <w:r>
        <w:rPr>
          <w:color w:val="231F20"/>
          <w:spacing w:val="-21"/>
        </w:rPr>
        <w:t> </w:t>
      </w:r>
      <w:r>
        <w:rPr>
          <w:color w:val="231F20"/>
        </w:rPr>
        <w:t>luogo</w:t>
      </w:r>
      <w:r>
        <w:rPr>
          <w:color w:val="231F20"/>
          <w:spacing w:val="-21"/>
        </w:rPr>
        <w:t> </w:t>
      </w:r>
      <w:r>
        <w:rPr>
          <w:color w:val="231F20"/>
        </w:rPr>
        <w:t>alle</w:t>
      </w:r>
      <w:r>
        <w:rPr>
          <w:color w:val="231F20"/>
          <w:spacing w:val="-21"/>
        </w:rPr>
        <w:t> </w:t>
      </w:r>
      <w:r>
        <w:rPr>
          <w:color w:val="231F20"/>
          <w:spacing w:val="-3"/>
        </w:rPr>
        <w:t>differenze;</w:t>
      </w:r>
      <w:r>
        <w:rPr>
          <w:color w:val="231F20"/>
          <w:spacing w:val="-21"/>
        </w:rPr>
        <w:t> </w:t>
      </w:r>
      <w:r>
        <w:rPr>
          <w:color w:val="231F20"/>
        </w:rPr>
        <w:t>omogeneizzò,</w:t>
      </w:r>
      <w:r>
        <w:rPr>
          <w:color w:val="231F20"/>
          <w:spacing w:val="-21"/>
        </w:rPr>
        <w:t> </w:t>
      </w:r>
      <w:r>
        <w:rPr>
          <w:color w:val="231F20"/>
        </w:rPr>
        <w:t>ma</w:t>
      </w:r>
      <w:r>
        <w:rPr>
          <w:color w:val="231F20"/>
          <w:spacing w:val="-21"/>
        </w:rPr>
        <w:t> </w:t>
      </w:r>
      <w:r>
        <w:rPr>
          <w:color w:val="231F20"/>
        </w:rPr>
        <w:t>a</w:t>
      </w:r>
      <w:r>
        <w:rPr>
          <w:color w:val="231F20"/>
          <w:spacing w:val="-21"/>
        </w:rPr>
        <w:t> </w:t>
      </w:r>
      <w:r>
        <w:rPr>
          <w:color w:val="231F20"/>
          <w:spacing w:val="-3"/>
        </w:rPr>
        <w:t>partire </w:t>
      </w:r>
      <w:r>
        <w:rPr>
          <w:color w:val="231F20"/>
        </w:rPr>
        <w:t>da certe particolarità che si sono aggiustate senza cancellarsi. “In altre </w:t>
      </w:r>
      <w:r>
        <w:rPr>
          <w:color w:val="231F20"/>
          <w:spacing w:val="-3"/>
        </w:rPr>
        <w:t>parole, </w:t>
      </w:r>
      <w:r>
        <w:rPr>
          <w:color w:val="231F20"/>
        </w:rPr>
        <w:t>l’omogeneizzazione va mano nella mano con</w:t>
      </w:r>
      <w:r>
        <w:rPr>
          <w:color w:val="231F20"/>
          <w:spacing w:val="-20"/>
        </w:rPr>
        <w:t> </w:t>
      </w:r>
      <w:r>
        <w:rPr>
          <w:color w:val="231F20"/>
          <w:spacing w:val="-3"/>
        </w:rPr>
        <w:t>l’eterogeneizzazione”</w:t>
      </w:r>
      <w:r>
        <w:rPr>
          <w:color w:val="231F20"/>
          <w:spacing w:val="-3"/>
          <w:position w:val="7"/>
          <w:sz w:val="12"/>
        </w:rPr>
        <w:t>16</w:t>
      </w:r>
      <w:r>
        <w:rPr>
          <w:color w:val="231F20"/>
          <w:spacing w:val="-3"/>
        </w:rPr>
        <w:t>. </w:t>
      </w:r>
      <w:r>
        <w:rPr>
          <w:color w:val="231F20"/>
        </w:rPr>
        <w:t>Comunque, questo paradosso è lontano da avere un senso univoco, anzi, si spiega in una infinità di aporie che affettano gli ambienti più quotidiani della vita. Nonostante le molteplici forme che prendono, crediamo </w:t>
      </w:r>
      <w:r>
        <w:rPr>
          <w:color w:val="231F20"/>
          <w:spacing w:val="2"/>
        </w:rPr>
        <w:t>che </w:t>
      </w:r>
      <w:r>
        <w:rPr>
          <w:color w:val="231F20"/>
        </w:rPr>
        <w:t>queste possono trovarsi in cinque forme diverse che cercano di rendere conto della complessità del paradosso di base. Abbiamo deciso di esporre tali</w:t>
      </w:r>
      <w:r>
        <w:rPr>
          <w:color w:val="231F20"/>
          <w:spacing w:val="-18"/>
        </w:rPr>
        <w:t> </w:t>
      </w:r>
      <w:r>
        <w:rPr>
          <w:color w:val="231F20"/>
        </w:rPr>
        <w:t>paradossi</w:t>
      </w:r>
      <w:r>
        <w:rPr>
          <w:color w:val="231F20"/>
          <w:spacing w:val="-18"/>
        </w:rPr>
        <w:t> </w:t>
      </w:r>
      <w:r>
        <w:rPr>
          <w:color w:val="231F20"/>
        </w:rPr>
        <w:t>in</w:t>
      </w:r>
      <w:r>
        <w:rPr>
          <w:color w:val="231F20"/>
          <w:spacing w:val="-18"/>
        </w:rPr>
        <w:t> </w:t>
      </w:r>
      <w:r>
        <w:rPr>
          <w:color w:val="231F20"/>
        </w:rPr>
        <w:t>termini</w:t>
      </w:r>
      <w:r>
        <w:rPr>
          <w:color w:val="231F20"/>
          <w:spacing w:val="-18"/>
        </w:rPr>
        <w:t> </w:t>
      </w:r>
      <w:r>
        <w:rPr>
          <w:color w:val="231F20"/>
        </w:rPr>
        <w:t>di</w:t>
      </w:r>
      <w:r>
        <w:rPr>
          <w:color w:val="231F20"/>
          <w:spacing w:val="-18"/>
        </w:rPr>
        <w:t> </w:t>
      </w:r>
      <w:r>
        <w:rPr>
          <w:color w:val="231F20"/>
        </w:rPr>
        <w:t>elementi</w:t>
      </w:r>
      <w:r>
        <w:rPr>
          <w:color w:val="231F20"/>
          <w:spacing w:val="-18"/>
        </w:rPr>
        <w:t> </w:t>
      </w:r>
      <w:r>
        <w:rPr>
          <w:color w:val="231F20"/>
        </w:rPr>
        <w:t>contrari,</w:t>
      </w:r>
      <w:r>
        <w:rPr>
          <w:color w:val="231F20"/>
          <w:spacing w:val="-18"/>
        </w:rPr>
        <w:t> </w:t>
      </w:r>
      <w:r>
        <w:rPr>
          <w:color w:val="231F20"/>
        </w:rPr>
        <w:t>per</w:t>
      </w:r>
      <w:r>
        <w:rPr>
          <w:color w:val="231F20"/>
          <w:spacing w:val="-18"/>
        </w:rPr>
        <w:t> </w:t>
      </w:r>
      <w:r>
        <w:rPr>
          <w:color w:val="231F20"/>
        </w:rPr>
        <w:t>sottolineare</w:t>
      </w:r>
      <w:r>
        <w:rPr>
          <w:color w:val="231F20"/>
          <w:spacing w:val="-18"/>
        </w:rPr>
        <w:t> </w:t>
      </w:r>
      <w:r>
        <w:rPr>
          <w:color w:val="231F20"/>
        </w:rPr>
        <w:t>il</w:t>
      </w:r>
      <w:r>
        <w:rPr>
          <w:color w:val="231F20"/>
          <w:spacing w:val="-18"/>
        </w:rPr>
        <w:t> </w:t>
      </w:r>
      <w:r>
        <w:rPr>
          <w:color w:val="231F20"/>
        </w:rPr>
        <w:t>loro</w:t>
      </w:r>
      <w:r>
        <w:rPr>
          <w:color w:val="231F20"/>
          <w:spacing w:val="-18"/>
        </w:rPr>
        <w:t> </w:t>
      </w:r>
      <w:r>
        <w:rPr>
          <w:color w:val="231F20"/>
        </w:rPr>
        <w:t>carattere contraddittorio.</w:t>
      </w:r>
    </w:p>
    <w:p>
      <w:pPr>
        <w:pStyle w:val="BodyText"/>
        <w:spacing w:before="5"/>
      </w:pPr>
    </w:p>
    <w:p>
      <w:pPr>
        <w:pStyle w:val="ListParagraph"/>
        <w:numPr>
          <w:ilvl w:val="0"/>
          <w:numId w:val="11"/>
        </w:numPr>
        <w:tabs>
          <w:tab w:pos="903" w:val="left" w:leader="none"/>
        </w:tabs>
        <w:spacing w:line="240" w:lineRule="auto" w:before="0" w:after="0"/>
        <w:ind w:left="902" w:right="0" w:hanging="218"/>
        <w:jc w:val="left"/>
        <w:rPr>
          <w:sz w:val="21"/>
        </w:rPr>
      </w:pPr>
      <w:r>
        <w:rPr>
          <w:color w:val="231F20"/>
          <w:w w:val="105"/>
          <w:sz w:val="21"/>
        </w:rPr>
        <w:t>Omogeneizzazione–eterogeneizzazione</w:t>
      </w:r>
    </w:p>
    <w:p>
      <w:pPr>
        <w:pStyle w:val="BodyText"/>
        <w:rPr>
          <w:sz w:val="22"/>
        </w:rPr>
      </w:pPr>
    </w:p>
    <w:p>
      <w:pPr>
        <w:pStyle w:val="BodyText"/>
        <w:spacing w:line="244" w:lineRule="auto" w:before="1"/>
        <w:ind w:left="117" w:right="120"/>
        <w:jc w:val="both"/>
      </w:pPr>
      <w:r>
        <w:rPr>
          <w:color w:val="231F20"/>
          <w:w w:val="105"/>
        </w:rPr>
        <w:t>La globalizzazione ha una chiara </w:t>
      </w:r>
      <w:r>
        <w:rPr>
          <w:rFonts w:ascii="Arial" w:hAnsi="Arial"/>
          <w:i/>
          <w:color w:val="231F20"/>
          <w:w w:val="105"/>
        </w:rPr>
        <w:t>tendenza </w:t>
      </w:r>
      <w:r>
        <w:rPr>
          <w:color w:val="231F20"/>
          <w:w w:val="105"/>
        </w:rPr>
        <w:t>verso l’omogeneizzazione di elementi</w:t>
      </w:r>
      <w:r>
        <w:rPr>
          <w:color w:val="231F20"/>
          <w:spacing w:val="-45"/>
          <w:w w:val="105"/>
        </w:rPr>
        <w:t> </w:t>
      </w:r>
      <w:r>
        <w:rPr>
          <w:color w:val="231F20"/>
          <w:w w:val="105"/>
        </w:rPr>
        <w:t>molto</w:t>
      </w:r>
      <w:r>
        <w:rPr>
          <w:color w:val="231F20"/>
          <w:spacing w:val="-45"/>
          <w:w w:val="105"/>
        </w:rPr>
        <w:t> </w:t>
      </w:r>
      <w:r>
        <w:rPr>
          <w:color w:val="231F20"/>
          <w:w w:val="105"/>
        </w:rPr>
        <w:t>diversi:</w:t>
      </w:r>
      <w:r>
        <w:rPr>
          <w:color w:val="231F20"/>
          <w:spacing w:val="-45"/>
          <w:w w:val="105"/>
        </w:rPr>
        <w:t> </w:t>
      </w:r>
      <w:r>
        <w:rPr>
          <w:color w:val="231F20"/>
          <w:w w:val="105"/>
        </w:rPr>
        <w:t>informazione,</w:t>
      </w:r>
      <w:r>
        <w:rPr>
          <w:color w:val="231F20"/>
          <w:spacing w:val="-45"/>
          <w:w w:val="105"/>
        </w:rPr>
        <w:t> </w:t>
      </w:r>
      <w:r>
        <w:rPr>
          <w:color w:val="231F20"/>
          <w:w w:val="105"/>
        </w:rPr>
        <w:t>abitudini,</w:t>
      </w:r>
      <w:r>
        <w:rPr>
          <w:color w:val="231F20"/>
          <w:spacing w:val="-45"/>
          <w:w w:val="105"/>
        </w:rPr>
        <w:t> </w:t>
      </w:r>
      <w:r>
        <w:rPr>
          <w:color w:val="231F20"/>
          <w:w w:val="105"/>
        </w:rPr>
        <w:t>costumi,</w:t>
      </w:r>
      <w:r>
        <w:rPr>
          <w:color w:val="231F20"/>
          <w:spacing w:val="-45"/>
          <w:w w:val="105"/>
        </w:rPr>
        <w:t> </w:t>
      </w:r>
      <w:r>
        <w:rPr>
          <w:color w:val="231F20"/>
          <w:w w:val="105"/>
        </w:rPr>
        <w:t>prospettive,</w:t>
      </w:r>
      <w:r>
        <w:rPr>
          <w:color w:val="231F20"/>
          <w:spacing w:val="-45"/>
          <w:w w:val="105"/>
        </w:rPr>
        <w:t> </w:t>
      </w:r>
      <w:r>
        <w:rPr>
          <w:color w:val="231F20"/>
          <w:w w:val="105"/>
        </w:rPr>
        <w:t>modi</w:t>
      </w:r>
    </w:p>
    <w:p>
      <w:pPr>
        <w:pStyle w:val="BodyText"/>
        <w:spacing w:before="9"/>
        <w:rPr>
          <w:sz w:val="17"/>
        </w:rPr>
      </w:pPr>
      <w:r>
        <w:rPr/>
        <w:pict>
          <v:line style="position:absolute;mso-position-horizontal-relative:page;mso-position-vertical-relative:paragraph;z-index:11224;mso-wrap-distance-left:0;mso-wrap-distance-right:0" from="70.866096pt,12.817915pt" to="184.252096pt,12.817915pt" stroked="true" strokeweight=".3pt" strokecolor="#231f20">
            <w10:wrap type="topAndBottom"/>
          </v:line>
        </w:pict>
      </w:r>
    </w:p>
    <w:p>
      <w:pPr>
        <w:spacing w:line="204" w:lineRule="exact" w:before="9"/>
        <w:ind w:left="117" w:right="121" w:firstLine="0"/>
        <w:jc w:val="both"/>
        <w:rPr>
          <w:rFonts w:ascii="Calibri" w:hAnsi="Calibri"/>
          <w:sz w:val="17"/>
        </w:rPr>
      </w:pPr>
      <w:r>
        <w:rPr>
          <w:rFonts w:ascii="Calibri" w:hAnsi="Calibri"/>
          <w:color w:val="231F20"/>
          <w:position w:val="6"/>
          <w:sz w:val="10"/>
        </w:rPr>
        <w:t>15 </w:t>
      </w:r>
      <w:r>
        <w:rPr>
          <w:rFonts w:ascii="Calibri" w:hAnsi="Calibri"/>
          <w:color w:val="231F20"/>
          <w:sz w:val="17"/>
        </w:rPr>
        <w:t>In particolare ci siamo centrati in opere come: </w:t>
      </w:r>
      <w:r>
        <w:rPr>
          <w:rFonts w:ascii="Calibri" w:hAnsi="Calibri"/>
          <w:i/>
          <w:color w:val="231F20"/>
          <w:sz w:val="17"/>
        </w:rPr>
        <w:t>Différence et répétition</w:t>
      </w:r>
      <w:r>
        <w:rPr>
          <w:rFonts w:ascii="Calibri" w:hAnsi="Calibri"/>
          <w:color w:val="231F20"/>
          <w:sz w:val="17"/>
        </w:rPr>
        <w:t>, Paris, </w:t>
      </w:r>
      <w:r>
        <w:rPr>
          <w:rFonts w:ascii="Calibri" w:hAnsi="Calibri"/>
          <w:color w:val="231F20"/>
          <w:spacing w:val="-3"/>
          <w:sz w:val="17"/>
        </w:rPr>
        <w:t>PUF,  </w:t>
      </w:r>
      <w:r>
        <w:rPr>
          <w:rFonts w:ascii="Calibri" w:hAnsi="Calibri"/>
          <w:color w:val="231F20"/>
          <w:sz w:val="17"/>
        </w:rPr>
        <w:t>1968; </w:t>
      </w:r>
      <w:r>
        <w:rPr>
          <w:rFonts w:ascii="Calibri" w:hAnsi="Calibri"/>
          <w:i/>
          <w:color w:val="231F20"/>
          <w:sz w:val="17"/>
        </w:rPr>
        <w:t>Lógica  </w:t>
      </w:r>
      <w:r>
        <w:rPr>
          <w:rFonts w:ascii="Calibri" w:hAnsi="Calibri"/>
          <w:i/>
          <w:color w:val="231F20"/>
          <w:sz w:val="17"/>
        </w:rPr>
        <w:t>del sentido</w:t>
      </w:r>
      <w:r>
        <w:rPr>
          <w:rFonts w:ascii="Calibri" w:hAnsi="Calibri"/>
          <w:color w:val="231F20"/>
          <w:sz w:val="17"/>
        </w:rPr>
        <w:t>, Buenos Aires, Paidós, 1989; </w:t>
      </w:r>
      <w:r>
        <w:rPr>
          <w:rFonts w:ascii="Calibri" w:hAnsi="Calibri"/>
          <w:i/>
          <w:color w:val="231F20"/>
          <w:sz w:val="17"/>
        </w:rPr>
        <w:t>Pourparlers</w:t>
      </w:r>
      <w:r>
        <w:rPr>
          <w:rFonts w:ascii="Calibri" w:hAnsi="Calibri"/>
          <w:color w:val="231F20"/>
          <w:sz w:val="17"/>
        </w:rPr>
        <w:t>, Paris, Minuit, 1990. (Con C. Parnet) </w:t>
      </w:r>
      <w:r>
        <w:rPr>
          <w:rFonts w:ascii="Calibri" w:hAnsi="Calibri"/>
          <w:i/>
          <w:color w:val="231F20"/>
          <w:sz w:val="17"/>
        </w:rPr>
        <w:t>Dialogues</w:t>
      </w:r>
      <w:r>
        <w:rPr>
          <w:rFonts w:ascii="Calibri" w:hAnsi="Calibri"/>
          <w:color w:val="231F20"/>
          <w:sz w:val="17"/>
        </w:rPr>
        <w:t>, Paris, Flammarion, 1977 ; (con </w:t>
      </w:r>
      <w:r>
        <w:rPr>
          <w:rFonts w:ascii="Calibri" w:hAnsi="Calibri"/>
          <w:color w:val="231F20"/>
          <w:spacing w:val="-7"/>
          <w:sz w:val="17"/>
        </w:rPr>
        <w:t>F. </w:t>
      </w:r>
      <w:r>
        <w:rPr>
          <w:rFonts w:ascii="Calibri" w:hAnsi="Calibri"/>
          <w:color w:val="231F20"/>
          <w:sz w:val="17"/>
        </w:rPr>
        <w:t>Guattari) </w:t>
      </w:r>
      <w:r>
        <w:rPr>
          <w:rFonts w:ascii="Calibri" w:hAnsi="Calibri"/>
          <w:i/>
          <w:color w:val="231F20"/>
          <w:sz w:val="17"/>
        </w:rPr>
        <w:t>Le Anti–Œdipe. Capitalisme et schizophrénie 1</w:t>
      </w:r>
      <w:r>
        <w:rPr>
          <w:rFonts w:ascii="Calibri" w:hAnsi="Calibri"/>
          <w:color w:val="231F20"/>
          <w:sz w:val="17"/>
        </w:rPr>
        <w:t>, Paris, Minuit,</w:t>
      </w:r>
      <w:r>
        <w:rPr>
          <w:rFonts w:ascii="Calibri" w:hAnsi="Calibri"/>
          <w:color w:val="231F20"/>
          <w:spacing w:val="-8"/>
          <w:sz w:val="17"/>
        </w:rPr>
        <w:t> </w:t>
      </w:r>
      <w:r>
        <w:rPr>
          <w:rFonts w:ascii="Calibri" w:hAnsi="Calibri"/>
          <w:color w:val="231F20"/>
          <w:sz w:val="17"/>
        </w:rPr>
        <w:t>1972</w:t>
      </w:r>
      <w:r>
        <w:rPr>
          <w:rFonts w:ascii="Calibri" w:hAnsi="Calibri"/>
          <w:color w:val="231F20"/>
          <w:spacing w:val="-11"/>
          <w:sz w:val="17"/>
        </w:rPr>
        <w:t> </w:t>
      </w:r>
      <w:r>
        <w:rPr>
          <w:rFonts w:ascii="Calibri" w:hAnsi="Calibri"/>
          <w:color w:val="231F20"/>
          <w:sz w:val="17"/>
        </w:rPr>
        <w:t>;</w:t>
      </w:r>
      <w:r>
        <w:rPr>
          <w:rFonts w:ascii="Calibri" w:hAnsi="Calibri"/>
          <w:color w:val="231F20"/>
          <w:spacing w:val="-10"/>
          <w:sz w:val="17"/>
        </w:rPr>
        <w:t> </w:t>
      </w:r>
      <w:r>
        <w:rPr>
          <w:rFonts w:ascii="Calibri" w:hAnsi="Calibri"/>
          <w:color w:val="231F20"/>
          <w:sz w:val="17"/>
        </w:rPr>
        <w:t>y</w:t>
      </w:r>
      <w:r>
        <w:rPr>
          <w:rFonts w:ascii="Calibri" w:hAnsi="Calibri"/>
          <w:color w:val="231F20"/>
          <w:spacing w:val="-8"/>
          <w:sz w:val="17"/>
        </w:rPr>
        <w:t> </w:t>
      </w:r>
      <w:r>
        <w:rPr>
          <w:rFonts w:ascii="Calibri" w:hAnsi="Calibri"/>
          <w:i/>
          <w:color w:val="231F20"/>
          <w:sz w:val="17"/>
        </w:rPr>
        <w:t>Mille</w:t>
      </w:r>
      <w:r>
        <w:rPr>
          <w:rFonts w:ascii="Calibri" w:hAnsi="Calibri"/>
          <w:i/>
          <w:color w:val="231F20"/>
          <w:spacing w:val="-9"/>
          <w:sz w:val="17"/>
        </w:rPr>
        <w:t> </w:t>
      </w:r>
      <w:r>
        <w:rPr>
          <w:rFonts w:ascii="Calibri" w:hAnsi="Calibri"/>
          <w:i/>
          <w:color w:val="231F20"/>
          <w:sz w:val="17"/>
        </w:rPr>
        <w:t>plateaux.</w:t>
      </w:r>
      <w:r>
        <w:rPr>
          <w:rFonts w:ascii="Calibri" w:hAnsi="Calibri"/>
          <w:i/>
          <w:color w:val="231F20"/>
          <w:spacing w:val="-9"/>
          <w:sz w:val="17"/>
        </w:rPr>
        <w:t> </w:t>
      </w:r>
      <w:r>
        <w:rPr>
          <w:rFonts w:ascii="Calibri" w:hAnsi="Calibri"/>
          <w:i/>
          <w:color w:val="231F20"/>
          <w:sz w:val="17"/>
        </w:rPr>
        <w:t>Capitalisme</w:t>
      </w:r>
      <w:r>
        <w:rPr>
          <w:rFonts w:ascii="Calibri" w:hAnsi="Calibri"/>
          <w:i/>
          <w:color w:val="231F20"/>
          <w:spacing w:val="-9"/>
          <w:sz w:val="17"/>
        </w:rPr>
        <w:t> </w:t>
      </w:r>
      <w:r>
        <w:rPr>
          <w:rFonts w:ascii="Calibri" w:hAnsi="Calibri"/>
          <w:i/>
          <w:color w:val="231F20"/>
          <w:sz w:val="17"/>
        </w:rPr>
        <w:t>et</w:t>
      </w:r>
      <w:r>
        <w:rPr>
          <w:rFonts w:ascii="Calibri" w:hAnsi="Calibri"/>
          <w:i/>
          <w:color w:val="231F20"/>
          <w:spacing w:val="-9"/>
          <w:sz w:val="17"/>
        </w:rPr>
        <w:t> </w:t>
      </w:r>
      <w:r>
        <w:rPr>
          <w:rFonts w:ascii="Calibri" w:hAnsi="Calibri"/>
          <w:i/>
          <w:color w:val="231F20"/>
          <w:sz w:val="17"/>
        </w:rPr>
        <w:t>schizophrénie</w:t>
      </w:r>
      <w:r>
        <w:rPr>
          <w:rFonts w:ascii="Calibri" w:hAnsi="Calibri"/>
          <w:i/>
          <w:color w:val="231F20"/>
          <w:spacing w:val="-9"/>
          <w:sz w:val="17"/>
        </w:rPr>
        <w:t> </w:t>
      </w:r>
      <w:r>
        <w:rPr>
          <w:rFonts w:ascii="Calibri" w:hAnsi="Calibri"/>
          <w:i/>
          <w:color w:val="231F20"/>
          <w:sz w:val="17"/>
        </w:rPr>
        <w:t>2</w:t>
      </w:r>
      <w:r>
        <w:rPr>
          <w:rFonts w:ascii="Calibri" w:hAnsi="Calibri"/>
          <w:color w:val="231F20"/>
          <w:sz w:val="17"/>
        </w:rPr>
        <w:t>,</w:t>
      </w:r>
      <w:r>
        <w:rPr>
          <w:rFonts w:ascii="Calibri" w:hAnsi="Calibri"/>
          <w:color w:val="231F20"/>
          <w:spacing w:val="-8"/>
          <w:sz w:val="17"/>
        </w:rPr>
        <w:t> </w:t>
      </w:r>
      <w:r>
        <w:rPr>
          <w:rFonts w:ascii="Calibri" w:hAnsi="Calibri"/>
          <w:color w:val="231F20"/>
          <w:sz w:val="17"/>
        </w:rPr>
        <w:t>Paris,</w:t>
      </w:r>
      <w:r>
        <w:rPr>
          <w:rFonts w:ascii="Calibri" w:hAnsi="Calibri"/>
          <w:color w:val="231F20"/>
          <w:spacing w:val="-8"/>
          <w:sz w:val="17"/>
        </w:rPr>
        <w:t> </w:t>
      </w:r>
      <w:r>
        <w:rPr>
          <w:rFonts w:ascii="Calibri" w:hAnsi="Calibri"/>
          <w:color w:val="231F20"/>
          <w:sz w:val="17"/>
        </w:rPr>
        <w:t>Minuit,</w:t>
      </w:r>
      <w:r>
        <w:rPr>
          <w:rFonts w:ascii="Calibri" w:hAnsi="Calibri"/>
          <w:color w:val="231F20"/>
          <w:spacing w:val="-8"/>
          <w:sz w:val="17"/>
        </w:rPr>
        <w:t> </w:t>
      </w:r>
      <w:r>
        <w:rPr>
          <w:rFonts w:ascii="Calibri" w:hAnsi="Calibri"/>
          <w:color w:val="231F20"/>
          <w:sz w:val="17"/>
        </w:rPr>
        <w:t>1980.</w:t>
      </w:r>
    </w:p>
    <w:p>
      <w:pPr>
        <w:spacing w:before="1"/>
        <w:ind w:left="117" w:right="0" w:firstLine="0"/>
        <w:jc w:val="both"/>
        <w:rPr>
          <w:rFonts w:ascii="Calibri" w:hAnsi="Calibri"/>
          <w:sz w:val="17"/>
        </w:rPr>
      </w:pPr>
      <w:r>
        <w:rPr>
          <w:rFonts w:ascii="Calibri" w:hAnsi="Calibri"/>
          <w:color w:val="231F20"/>
          <w:position w:val="6"/>
          <w:sz w:val="10"/>
        </w:rPr>
        <w:t>16  </w:t>
      </w:r>
      <w:r>
        <w:rPr>
          <w:rFonts w:ascii="Calibri" w:hAnsi="Calibri"/>
          <w:i/>
          <w:color w:val="231F20"/>
          <w:sz w:val="17"/>
        </w:rPr>
        <w:t>Cfr</w:t>
      </w:r>
      <w:r>
        <w:rPr>
          <w:rFonts w:ascii="Calibri" w:hAnsi="Calibri"/>
          <w:color w:val="231F20"/>
          <w:sz w:val="17"/>
        </w:rPr>
        <w:t>. Robertson, “Glocalization: Time–Space and Homogeneity–Heterogeneity”, p.    36.</w:t>
      </w:r>
    </w:p>
    <w:p>
      <w:pPr>
        <w:spacing w:after="0"/>
        <w:jc w:val="both"/>
        <w:rPr>
          <w:rFonts w:ascii="Calibri" w:hAnsi="Calibri"/>
          <w:sz w:val="17"/>
        </w:rPr>
        <w:sectPr>
          <w:pgSz w:w="9640" w:h="13890"/>
          <w:pgMar w:top="0" w:bottom="280" w:left="1300" w:right="1180"/>
        </w:sectPr>
      </w:pPr>
    </w:p>
    <w:p>
      <w:pPr>
        <w:pStyle w:val="BodyText"/>
        <w:spacing w:line="244" w:lineRule="auto" w:before="107"/>
        <w:ind w:left="103" w:right="111"/>
        <w:jc w:val="both"/>
      </w:pPr>
      <w:r>
        <w:rPr>
          <w:color w:val="231F20"/>
          <w:w w:val="105"/>
        </w:rPr>
        <w:t>di vita, ecc. Questa tendenza è una conseguenza logica dell’estensione e complessità dei mass media e delle tecnologie dell’informazione. Nel momento</w:t>
      </w:r>
      <w:r>
        <w:rPr>
          <w:color w:val="231F20"/>
          <w:spacing w:val="-42"/>
          <w:w w:val="105"/>
        </w:rPr>
        <w:t> </w:t>
      </w:r>
      <w:r>
        <w:rPr>
          <w:color w:val="231F20"/>
          <w:w w:val="105"/>
        </w:rPr>
        <w:t>in</w:t>
      </w:r>
      <w:r>
        <w:rPr>
          <w:color w:val="231F20"/>
          <w:spacing w:val="-42"/>
          <w:w w:val="105"/>
        </w:rPr>
        <w:t> </w:t>
      </w:r>
      <w:r>
        <w:rPr>
          <w:color w:val="231F20"/>
          <w:w w:val="105"/>
        </w:rPr>
        <w:t>cui</w:t>
      </w:r>
      <w:r>
        <w:rPr>
          <w:color w:val="231F20"/>
          <w:spacing w:val="-42"/>
          <w:w w:val="105"/>
        </w:rPr>
        <w:t> </w:t>
      </w:r>
      <w:r>
        <w:rPr>
          <w:color w:val="231F20"/>
          <w:w w:val="105"/>
        </w:rPr>
        <w:t>accade</w:t>
      </w:r>
      <w:r>
        <w:rPr>
          <w:color w:val="231F20"/>
          <w:spacing w:val="-42"/>
          <w:w w:val="105"/>
        </w:rPr>
        <w:t> </w:t>
      </w:r>
      <w:r>
        <w:rPr>
          <w:color w:val="231F20"/>
          <w:w w:val="105"/>
        </w:rPr>
        <w:t>un</w:t>
      </w:r>
      <w:r>
        <w:rPr>
          <w:color w:val="231F20"/>
          <w:spacing w:val="-42"/>
          <w:w w:val="105"/>
        </w:rPr>
        <w:t> </w:t>
      </w:r>
      <w:r>
        <w:rPr>
          <w:color w:val="231F20"/>
          <w:w w:val="105"/>
        </w:rPr>
        <w:t>evento</w:t>
      </w:r>
      <w:r>
        <w:rPr>
          <w:color w:val="231F20"/>
          <w:spacing w:val="-42"/>
          <w:w w:val="105"/>
        </w:rPr>
        <w:t> </w:t>
      </w:r>
      <w:r>
        <w:rPr>
          <w:color w:val="231F20"/>
          <w:w w:val="105"/>
        </w:rPr>
        <w:t>importante</w:t>
      </w:r>
      <w:r>
        <w:rPr>
          <w:color w:val="231F20"/>
          <w:spacing w:val="-42"/>
          <w:w w:val="105"/>
        </w:rPr>
        <w:t> </w:t>
      </w:r>
      <w:r>
        <w:rPr>
          <w:color w:val="231F20"/>
          <w:w w:val="105"/>
        </w:rPr>
        <w:t>—una</w:t>
      </w:r>
      <w:r>
        <w:rPr>
          <w:color w:val="231F20"/>
          <w:spacing w:val="-42"/>
          <w:w w:val="105"/>
        </w:rPr>
        <w:t> </w:t>
      </w:r>
      <w:r>
        <w:rPr>
          <w:color w:val="231F20"/>
          <w:w w:val="105"/>
        </w:rPr>
        <w:t>catastrofe</w:t>
      </w:r>
      <w:r>
        <w:rPr>
          <w:color w:val="231F20"/>
          <w:spacing w:val="-42"/>
          <w:w w:val="105"/>
        </w:rPr>
        <w:t> </w:t>
      </w:r>
      <w:r>
        <w:rPr>
          <w:color w:val="231F20"/>
          <w:w w:val="105"/>
        </w:rPr>
        <w:t>naturale,</w:t>
      </w:r>
      <w:r>
        <w:rPr>
          <w:color w:val="231F20"/>
          <w:spacing w:val="-42"/>
          <w:w w:val="105"/>
        </w:rPr>
        <w:t> </w:t>
      </w:r>
      <w:r>
        <w:rPr>
          <w:color w:val="231F20"/>
          <w:w w:val="105"/>
        </w:rPr>
        <w:t>un colpo</w:t>
      </w:r>
      <w:r>
        <w:rPr>
          <w:color w:val="231F20"/>
          <w:spacing w:val="-20"/>
          <w:w w:val="105"/>
        </w:rPr>
        <w:t> </w:t>
      </w:r>
      <w:r>
        <w:rPr>
          <w:color w:val="231F20"/>
          <w:w w:val="105"/>
        </w:rPr>
        <w:t>di</w:t>
      </w:r>
      <w:r>
        <w:rPr>
          <w:color w:val="231F20"/>
          <w:spacing w:val="-20"/>
          <w:w w:val="105"/>
        </w:rPr>
        <w:t> </w:t>
      </w:r>
      <w:r>
        <w:rPr>
          <w:color w:val="231F20"/>
          <w:w w:val="105"/>
        </w:rPr>
        <w:t>Stato,</w:t>
      </w:r>
      <w:r>
        <w:rPr>
          <w:color w:val="231F20"/>
          <w:spacing w:val="-20"/>
          <w:w w:val="105"/>
        </w:rPr>
        <w:t> </w:t>
      </w:r>
      <w:r>
        <w:rPr>
          <w:color w:val="231F20"/>
          <w:w w:val="105"/>
        </w:rPr>
        <w:t>ad</w:t>
      </w:r>
      <w:r>
        <w:rPr>
          <w:color w:val="231F20"/>
          <w:spacing w:val="-20"/>
          <w:w w:val="105"/>
        </w:rPr>
        <w:t> </w:t>
      </w:r>
      <w:r>
        <w:rPr>
          <w:color w:val="231F20"/>
          <w:w w:val="105"/>
        </w:rPr>
        <w:t>esempio—</w:t>
      </w:r>
      <w:r>
        <w:rPr>
          <w:color w:val="231F20"/>
          <w:spacing w:val="-20"/>
          <w:w w:val="105"/>
        </w:rPr>
        <w:t> </w:t>
      </w:r>
      <w:r>
        <w:rPr>
          <w:color w:val="231F20"/>
          <w:w w:val="105"/>
        </w:rPr>
        <w:t>in</w:t>
      </w:r>
      <w:r>
        <w:rPr>
          <w:color w:val="231F20"/>
          <w:spacing w:val="-20"/>
          <w:w w:val="105"/>
        </w:rPr>
        <w:t> </w:t>
      </w:r>
      <w:r>
        <w:rPr>
          <w:color w:val="231F20"/>
          <w:w w:val="105"/>
        </w:rPr>
        <w:t>questione</w:t>
      </w:r>
      <w:r>
        <w:rPr>
          <w:color w:val="231F20"/>
          <w:spacing w:val="-20"/>
          <w:w w:val="105"/>
        </w:rPr>
        <w:t> </w:t>
      </w:r>
      <w:r>
        <w:rPr>
          <w:color w:val="231F20"/>
          <w:w w:val="105"/>
        </w:rPr>
        <w:t>di</w:t>
      </w:r>
      <w:r>
        <w:rPr>
          <w:color w:val="231F20"/>
          <w:spacing w:val="-20"/>
          <w:w w:val="105"/>
        </w:rPr>
        <w:t> </w:t>
      </w:r>
      <w:r>
        <w:rPr>
          <w:color w:val="231F20"/>
          <w:w w:val="105"/>
        </w:rPr>
        <w:t>minuti</w:t>
      </w:r>
      <w:r>
        <w:rPr>
          <w:color w:val="231F20"/>
          <w:spacing w:val="-20"/>
          <w:w w:val="105"/>
        </w:rPr>
        <w:t> </w:t>
      </w:r>
      <w:r>
        <w:rPr>
          <w:color w:val="231F20"/>
          <w:w w:val="105"/>
        </w:rPr>
        <w:t>la</w:t>
      </w:r>
      <w:r>
        <w:rPr>
          <w:color w:val="231F20"/>
          <w:spacing w:val="-20"/>
          <w:w w:val="105"/>
        </w:rPr>
        <w:t> </w:t>
      </w:r>
      <w:r>
        <w:rPr>
          <w:color w:val="231F20"/>
          <w:w w:val="105"/>
        </w:rPr>
        <w:t>notizia</w:t>
      </w:r>
      <w:r>
        <w:rPr>
          <w:color w:val="231F20"/>
          <w:spacing w:val="-20"/>
          <w:w w:val="105"/>
        </w:rPr>
        <w:t> </w:t>
      </w:r>
      <w:r>
        <w:rPr>
          <w:color w:val="231F20"/>
          <w:w w:val="105"/>
        </w:rPr>
        <w:t>si</w:t>
      </w:r>
      <w:r>
        <w:rPr>
          <w:color w:val="231F20"/>
          <w:spacing w:val="-20"/>
          <w:w w:val="105"/>
        </w:rPr>
        <w:t> </w:t>
      </w:r>
      <w:r>
        <w:rPr>
          <w:color w:val="231F20"/>
          <w:w w:val="105"/>
        </w:rPr>
        <w:t>infiltra</w:t>
      </w:r>
      <w:r>
        <w:rPr>
          <w:color w:val="231F20"/>
          <w:spacing w:val="-20"/>
          <w:w w:val="105"/>
        </w:rPr>
        <w:t> </w:t>
      </w:r>
      <w:r>
        <w:rPr>
          <w:color w:val="231F20"/>
          <w:w w:val="105"/>
        </w:rPr>
        <w:t>per internet,</w:t>
      </w:r>
      <w:r>
        <w:rPr>
          <w:color w:val="231F20"/>
          <w:spacing w:val="-24"/>
          <w:w w:val="105"/>
        </w:rPr>
        <w:t> </w:t>
      </w:r>
      <w:r>
        <w:rPr>
          <w:color w:val="231F20"/>
          <w:w w:val="105"/>
        </w:rPr>
        <w:t>per</w:t>
      </w:r>
      <w:r>
        <w:rPr>
          <w:color w:val="231F20"/>
          <w:spacing w:val="-24"/>
          <w:w w:val="105"/>
        </w:rPr>
        <w:t> </w:t>
      </w:r>
      <w:r>
        <w:rPr>
          <w:color w:val="231F20"/>
          <w:w w:val="105"/>
        </w:rPr>
        <w:t>i</w:t>
      </w:r>
      <w:r>
        <w:rPr>
          <w:color w:val="231F20"/>
          <w:spacing w:val="-24"/>
          <w:w w:val="105"/>
        </w:rPr>
        <w:t> </w:t>
      </w:r>
      <w:r>
        <w:rPr>
          <w:color w:val="231F20"/>
          <w:w w:val="105"/>
        </w:rPr>
        <w:t>social</w:t>
      </w:r>
      <w:r>
        <w:rPr>
          <w:color w:val="231F20"/>
          <w:spacing w:val="-24"/>
          <w:w w:val="105"/>
        </w:rPr>
        <w:t> </w:t>
      </w:r>
      <w:r>
        <w:rPr>
          <w:color w:val="231F20"/>
          <w:w w:val="105"/>
        </w:rPr>
        <w:t>network,</w:t>
      </w:r>
      <w:r>
        <w:rPr>
          <w:color w:val="231F20"/>
          <w:spacing w:val="-24"/>
          <w:w w:val="105"/>
        </w:rPr>
        <w:t> </w:t>
      </w:r>
      <w:r>
        <w:rPr>
          <w:color w:val="231F20"/>
          <w:w w:val="105"/>
        </w:rPr>
        <w:t>per</w:t>
      </w:r>
      <w:r>
        <w:rPr>
          <w:color w:val="231F20"/>
          <w:spacing w:val="-24"/>
          <w:w w:val="105"/>
        </w:rPr>
        <w:t> </w:t>
      </w:r>
      <w:r>
        <w:rPr>
          <w:color w:val="231F20"/>
          <w:w w:val="105"/>
        </w:rPr>
        <w:t>messaggi</w:t>
      </w:r>
      <w:r>
        <w:rPr>
          <w:color w:val="231F20"/>
          <w:spacing w:val="-24"/>
          <w:w w:val="105"/>
        </w:rPr>
        <w:t> </w:t>
      </w:r>
      <w:r>
        <w:rPr>
          <w:color w:val="231F20"/>
          <w:w w:val="105"/>
        </w:rPr>
        <w:t>telefonici,</w:t>
      </w:r>
      <w:r>
        <w:rPr>
          <w:color w:val="231F20"/>
          <w:spacing w:val="-24"/>
          <w:w w:val="105"/>
        </w:rPr>
        <w:t> </w:t>
      </w:r>
      <w:r>
        <w:rPr>
          <w:color w:val="231F20"/>
          <w:w w:val="105"/>
        </w:rPr>
        <w:t>per</w:t>
      </w:r>
      <w:r>
        <w:rPr>
          <w:color w:val="231F20"/>
          <w:spacing w:val="-24"/>
          <w:w w:val="105"/>
        </w:rPr>
        <w:t> </w:t>
      </w:r>
      <w:r>
        <w:rPr>
          <w:color w:val="231F20"/>
          <w:w w:val="105"/>
        </w:rPr>
        <w:t>la</w:t>
      </w:r>
      <w:r>
        <w:rPr>
          <w:color w:val="231F20"/>
          <w:spacing w:val="-24"/>
          <w:w w:val="105"/>
        </w:rPr>
        <w:t> </w:t>
      </w:r>
      <w:r>
        <w:rPr>
          <w:color w:val="231F20"/>
          <w:spacing w:val="-6"/>
          <w:w w:val="105"/>
        </w:rPr>
        <w:t>tv,</w:t>
      </w:r>
      <w:r>
        <w:rPr>
          <w:color w:val="231F20"/>
          <w:spacing w:val="-24"/>
          <w:w w:val="105"/>
        </w:rPr>
        <w:t> </w:t>
      </w:r>
      <w:r>
        <w:rPr>
          <w:color w:val="231F20"/>
          <w:w w:val="105"/>
        </w:rPr>
        <w:t>ecc.</w:t>
      </w:r>
      <w:r>
        <w:rPr>
          <w:color w:val="231F20"/>
          <w:spacing w:val="-24"/>
          <w:w w:val="105"/>
        </w:rPr>
        <w:t> </w:t>
      </w:r>
      <w:r>
        <w:rPr>
          <w:color w:val="231F20"/>
          <w:w w:val="105"/>
        </w:rPr>
        <w:t>Molte </w:t>
      </w:r>
      <w:r>
        <w:rPr>
          <w:color w:val="231F20"/>
          <w:spacing w:val="-4"/>
          <w:w w:val="105"/>
        </w:rPr>
        <w:t>volte</w:t>
      </w:r>
      <w:r>
        <w:rPr>
          <w:color w:val="231F20"/>
          <w:spacing w:val="-48"/>
          <w:w w:val="105"/>
        </w:rPr>
        <w:t> </w:t>
      </w:r>
      <w:r>
        <w:rPr>
          <w:color w:val="231F20"/>
          <w:w w:val="105"/>
        </w:rPr>
        <w:t>la</w:t>
      </w:r>
      <w:r>
        <w:rPr>
          <w:color w:val="231F20"/>
          <w:spacing w:val="-48"/>
          <w:w w:val="105"/>
        </w:rPr>
        <w:t> </w:t>
      </w:r>
      <w:r>
        <w:rPr>
          <w:color w:val="231F20"/>
          <w:spacing w:val="-4"/>
          <w:w w:val="105"/>
        </w:rPr>
        <w:t>notizia</w:t>
      </w:r>
      <w:r>
        <w:rPr>
          <w:color w:val="231F20"/>
          <w:spacing w:val="-48"/>
          <w:w w:val="105"/>
        </w:rPr>
        <w:t> </w:t>
      </w:r>
      <w:r>
        <w:rPr>
          <w:color w:val="231F20"/>
          <w:spacing w:val="-4"/>
          <w:w w:val="105"/>
        </w:rPr>
        <w:t>arriva</w:t>
      </w:r>
      <w:r>
        <w:rPr>
          <w:color w:val="231F20"/>
          <w:spacing w:val="-48"/>
          <w:w w:val="105"/>
        </w:rPr>
        <w:t> </w:t>
      </w:r>
      <w:r>
        <w:rPr>
          <w:color w:val="231F20"/>
          <w:spacing w:val="-4"/>
          <w:w w:val="105"/>
        </w:rPr>
        <w:t>ovunque</w:t>
      </w:r>
      <w:r>
        <w:rPr>
          <w:color w:val="231F20"/>
          <w:spacing w:val="-48"/>
          <w:w w:val="105"/>
        </w:rPr>
        <w:t> </w:t>
      </w:r>
      <w:r>
        <w:rPr>
          <w:color w:val="231F20"/>
          <w:spacing w:val="-3"/>
          <w:w w:val="105"/>
        </w:rPr>
        <w:t>con</w:t>
      </w:r>
      <w:r>
        <w:rPr>
          <w:color w:val="231F20"/>
          <w:spacing w:val="-48"/>
          <w:w w:val="105"/>
        </w:rPr>
        <w:t> </w:t>
      </w:r>
      <w:r>
        <w:rPr>
          <w:color w:val="231F20"/>
          <w:w w:val="105"/>
        </w:rPr>
        <w:t>le</w:t>
      </w:r>
      <w:r>
        <w:rPr>
          <w:color w:val="231F20"/>
          <w:spacing w:val="-48"/>
          <w:w w:val="105"/>
        </w:rPr>
        <w:t> </w:t>
      </w:r>
      <w:r>
        <w:rPr>
          <w:color w:val="231F20"/>
          <w:spacing w:val="-4"/>
          <w:w w:val="105"/>
        </w:rPr>
        <w:t>stesse</w:t>
      </w:r>
      <w:r>
        <w:rPr>
          <w:color w:val="231F20"/>
          <w:spacing w:val="-48"/>
          <w:w w:val="105"/>
        </w:rPr>
        <w:t> </w:t>
      </w:r>
      <w:r>
        <w:rPr>
          <w:color w:val="231F20"/>
          <w:spacing w:val="-4"/>
          <w:w w:val="105"/>
        </w:rPr>
        <w:t>parole</w:t>
      </w:r>
      <w:r>
        <w:rPr>
          <w:color w:val="231F20"/>
          <w:spacing w:val="-48"/>
          <w:w w:val="105"/>
        </w:rPr>
        <w:t> </w:t>
      </w:r>
      <w:r>
        <w:rPr>
          <w:color w:val="231F20"/>
          <w:w w:val="105"/>
        </w:rPr>
        <w:t>ed</w:t>
      </w:r>
      <w:r>
        <w:rPr>
          <w:color w:val="231F20"/>
          <w:spacing w:val="-48"/>
          <w:w w:val="105"/>
        </w:rPr>
        <w:t> </w:t>
      </w:r>
      <w:r>
        <w:rPr>
          <w:color w:val="231F20"/>
          <w:spacing w:val="-4"/>
          <w:w w:val="105"/>
        </w:rPr>
        <w:t>espressioni,</w:t>
      </w:r>
      <w:r>
        <w:rPr>
          <w:color w:val="231F20"/>
          <w:spacing w:val="-48"/>
          <w:w w:val="105"/>
        </w:rPr>
        <w:t> </w:t>
      </w:r>
      <w:r>
        <w:rPr>
          <w:color w:val="231F20"/>
          <w:spacing w:val="-3"/>
          <w:w w:val="105"/>
        </w:rPr>
        <w:t>con</w:t>
      </w:r>
      <w:r>
        <w:rPr>
          <w:color w:val="231F20"/>
          <w:spacing w:val="-48"/>
          <w:w w:val="105"/>
        </w:rPr>
        <w:t> </w:t>
      </w:r>
      <w:r>
        <w:rPr>
          <w:color w:val="231F20"/>
          <w:w w:val="105"/>
        </w:rPr>
        <w:t>le</w:t>
      </w:r>
      <w:r>
        <w:rPr>
          <w:color w:val="231F20"/>
          <w:spacing w:val="-48"/>
          <w:w w:val="105"/>
        </w:rPr>
        <w:t> </w:t>
      </w:r>
      <w:r>
        <w:rPr>
          <w:color w:val="231F20"/>
          <w:spacing w:val="-4"/>
          <w:w w:val="105"/>
        </w:rPr>
        <w:t>stesse </w:t>
      </w:r>
      <w:r>
        <w:rPr>
          <w:color w:val="231F20"/>
          <w:w w:val="105"/>
        </w:rPr>
        <w:t>immagini</w:t>
      </w:r>
      <w:r>
        <w:rPr>
          <w:color w:val="231F20"/>
          <w:spacing w:val="-45"/>
          <w:w w:val="105"/>
        </w:rPr>
        <w:t> </w:t>
      </w:r>
      <w:r>
        <w:rPr>
          <w:color w:val="231F20"/>
          <w:w w:val="105"/>
        </w:rPr>
        <w:t>e</w:t>
      </w:r>
      <w:r>
        <w:rPr>
          <w:color w:val="231F20"/>
          <w:spacing w:val="-45"/>
          <w:w w:val="105"/>
        </w:rPr>
        <w:t> </w:t>
      </w:r>
      <w:r>
        <w:rPr>
          <w:color w:val="231F20"/>
          <w:w w:val="105"/>
        </w:rPr>
        <w:t>commenti.</w:t>
      </w:r>
      <w:r>
        <w:rPr>
          <w:color w:val="231F20"/>
          <w:spacing w:val="-45"/>
          <w:w w:val="105"/>
        </w:rPr>
        <w:t> </w:t>
      </w:r>
      <w:r>
        <w:rPr>
          <w:color w:val="231F20"/>
          <w:w w:val="105"/>
        </w:rPr>
        <w:t>Nell’intero</w:t>
      </w:r>
      <w:r>
        <w:rPr>
          <w:color w:val="231F20"/>
          <w:spacing w:val="-45"/>
          <w:w w:val="105"/>
        </w:rPr>
        <w:t> </w:t>
      </w:r>
      <w:r>
        <w:rPr>
          <w:color w:val="231F20"/>
          <w:w w:val="105"/>
        </w:rPr>
        <w:t>globo</w:t>
      </w:r>
      <w:r>
        <w:rPr>
          <w:color w:val="231F20"/>
          <w:spacing w:val="-45"/>
          <w:w w:val="105"/>
        </w:rPr>
        <w:t> </w:t>
      </w:r>
      <w:r>
        <w:rPr>
          <w:color w:val="231F20"/>
          <w:w w:val="105"/>
        </w:rPr>
        <w:t>si</w:t>
      </w:r>
      <w:r>
        <w:rPr>
          <w:color w:val="231F20"/>
          <w:spacing w:val="-45"/>
          <w:w w:val="105"/>
        </w:rPr>
        <w:t> </w:t>
      </w:r>
      <w:r>
        <w:rPr>
          <w:color w:val="231F20"/>
          <w:w w:val="105"/>
        </w:rPr>
        <w:t>ha</w:t>
      </w:r>
      <w:r>
        <w:rPr>
          <w:color w:val="231F20"/>
          <w:spacing w:val="-45"/>
          <w:w w:val="105"/>
        </w:rPr>
        <w:t> </w:t>
      </w:r>
      <w:r>
        <w:rPr>
          <w:color w:val="231F20"/>
          <w:w w:val="105"/>
        </w:rPr>
        <w:t>lo</w:t>
      </w:r>
      <w:r>
        <w:rPr>
          <w:color w:val="231F20"/>
          <w:spacing w:val="-45"/>
          <w:w w:val="105"/>
        </w:rPr>
        <w:t> </w:t>
      </w:r>
      <w:r>
        <w:rPr>
          <w:color w:val="231F20"/>
          <w:w w:val="105"/>
        </w:rPr>
        <w:t>stesso</w:t>
      </w:r>
      <w:r>
        <w:rPr>
          <w:color w:val="231F20"/>
          <w:spacing w:val="-45"/>
          <w:w w:val="105"/>
        </w:rPr>
        <w:t> </w:t>
      </w:r>
      <w:r>
        <w:rPr>
          <w:rFonts w:ascii="Arial" w:hAnsi="Arial"/>
          <w:i/>
          <w:color w:val="231F20"/>
          <w:w w:val="105"/>
        </w:rPr>
        <w:t>format</w:t>
      </w:r>
      <w:r>
        <w:rPr>
          <w:rFonts w:ascii="Arial" w:hAnsi="Arial"/>
          <w:i/>
          <w:color w:val="231F20"/>
          <w:spacing w:val="-37"/>
          <w:w w:val="105"/>
        </w:rPr>
        <w:t> </w:t>
      </w:r>
      <w:r>
        <w:rPr>
          <w:color w:val="231F20"/>
          <w:w w:val="105"/>
        </w:rPr>
        <w:t>dell’accaduto, ma</w:t>
      </w:r>
      <w:r>
        <w:rPr>
          <w:color w:val="231F20"/>
          <w:spacing w:val="-39"/>
          <w:w w:val="105"/>
        </w:rPr>
        <w:t> </w:t>
      </w:r>
      <w:r>
        <w:rPr>
          <w:color w:val="231F20"/>
          <w:w w:val="105"/>
        </w:rPr>
        <w:t>in</w:t>
      </w:r>
      <w:r>
        <w:rPr>
          <w:color w:val="231F20"/>
          <w:spacing w:val="-39"/>
          <w:w w:val="105"/>
        </w:rPr>
        <w:t> </w:t>
      </w:r>
      <w:r>
        <w:rPr>
          <w:color w:val="231F20"/>
          <w:w w:val="105"/>
        </w:rPr>
        <w:t>definitiva</w:t>
      </w:r>
      <w:r>
        <w:rPr>
          <w:color w:val="231F20"/>
          <w:spacing w:val="-39"/>
          <w:w w:val="105"/>
        </w:rPr>
        <w:t> </w:t>
      </w:r>
      <w:r>
        <w:rPr>
          <w:color w:val="231F20"/>
          <w:w w:val="105"/>
        </w:rPr>
        <w:t>non</w:t>
      </w:r>
      <w:r>
        <w:rPr>
          <w:color w:val="231F20"/>
          <w:spacing w:val="-39"/>
          <w:w w:val="105"/>
        </w:rPr>
        <w:t> </w:t>
      </w:r>
      <w:r>
        <w:rPr>
          <w:color w:val="231F20"/>
          <w:w w:val="105"/>
        </w:rPr>
        <w:t>si</w:t>
      </w:r>
      <w:r>
        <w:rPr>
          <w:color w:val="231F20"/>
          <w:spacing w:val="-39"/>
          <w:w w:val="105"/>
        </w:rPr>
        <w:t> </w:t>
      </w:r>
      <w:r>
        <w:rPr>
          <w:color w:val="231F20"/>
          <w:w w:val="105"/>
        </w:rPr>
        <w:t>riceve</w:t>
      </w:r>
      <w:r>
        <w:rPr>
          <w:color w:val="231F20"/>
          <w:spacing w:val="-39"/>
          <w:w w:val="105"/>
        </w:rPr>
        <w:t> </w:t>
      </w:r>
      <w:r>
        <w:rPr>
          <w:color w:val="231F20"/>
          <w:w w:val="105"/>
        </w:rPr>
        <w:t>ne</w:t>
      </w:r>
      <w:r>
        <w:rPr>
          <w:color w:val="231F20"/>
          <w:spacing w:val="-39"/>
          <w:w w:val="105"/>
        </w:rPr>
        <w:t> </w:t>
      </w:r>
      <w:r>
        <w:rPr>
          <w:color w:val="231F20"/>
          <w:w w:val="105"/>
        </w:rPr>
        <w:t>interpreta</w:t>
      </w:r>
      <w:r>
        <w:rPr>
          <w:color w:val="231F20"/>
          <w:spacing w:val="-39"/>
          <w:w w:val="105"/>
        </w:rPr>
        <w:t> </w:t>
      </w:r>
      <w:r>
        <w:rPr>
          <w:color w:val="231F20"/>
          <w:w w:val="105"/>
        </w:rPr>
        <w:t>nella</w:t>
      </w:r>
      <w:r>
        <w:rPr>
          <w:color w:val="231F20"/>
          <w:spacing w:val="-39"/>
          <w:w w:val="105"/>
        </w:rPr>
        <w:t> </w:t>
      </w:r>
      <w:r>
        <w:rPr>
          <w:color w:val="231F20"/>
          <w:w w:val="105"/>
        </w:rPr>
        <w:t>stessa</w:t>
      </w:r>
      <w:r>
        <w:rPr>
          <w:color w:val="231F20"/>
          <w:spacing w:val="-39"/>
          <w:w w:val="105"/>
        </w:rPr>
        <w:t> </w:t>
      </w:r>
      <w:r>
        <w:rPr>
          <w:color w:val="231F20"/>
          <w:w w:val="105"/>
        </w:rPr>
        <w:t>forma</w:t>
      </w:r>
      <w:r>
        <w:rPr>
          <w:color w:val="231F20"/>
          <w:spacing w:val="-39"/>
          <w:w w:val="105"/>
        </w:rPr>
        <w:t> </w:t>
      </w:r>
      <w:r>
        <w:rPr>
          <w:color w:val="231F20"/>
          <w:w w:val="105"/>
        </w:rPr>
        <w:t>e</w:t>
      </w:r>
      <w:r>
        <w:rPr>
          <w:color w:val="231F20"/>
          <w:spacing w:val="-39"/>
          <w:w w:val="105"/>
        </w:rPr>
        <w:t> </w:t>
      </w:r>
      <w:r>
        <w:rPr>
          <w:color w:val="231F20"/>
          <w:w w:val="105"/>
        </w:rPr>
        <w:t>non</w:t>
      </w:r>
      <w:r>
        <w:rPr>
          <w:color w:val="231F20"/>
          <w:spacing w:val="-39"/>
          <w:w w:val="105"/>
        </w:rPr>
        <w:t> </w:t>
      </w:r>
      <w:r>
        <w:rPr>
          <w:color w:val="231F20"/>
          <w:w w:val="105"/>
        </w:rPr>
        <w:t>significa lo</w:t>
      </w:r>
      <w:r>
        <w:rPr>
          <w:color w:val="231F20"/>
          <w:spacing w:val="-29"/>
          <w:w w:val="105"/>
        </w:rPr>
        <w:t> </w:t>
      </w:r>
      <w:r>
        <w:rPr>
          <w:color w:val="231F20"/>
          <w:w w:val="105"/>
        </w:rPr>
        <w:t>stesso;</w:t>
      </w:r>
      <w:r>
        <w:rPr>
          <w:color w:val="231F20"/>
          <w:spacing w:val="-29"/>
          <w:w w:val="105"/>
        </w:rPr>
        <w:t> </w:t>
      </w:r>
      <w:r>
        <w:rPr>
          <w:color w:val="231F20"/>
          <w:w w:val="105"/>
        </w:rPr>
        <w:t>cioè,</w:t>
      </w:r>
      <w:r>
        <w:rPr>
          <w:color w:val="231F20"/>
          <w:spacing w:val="-29"/>
          <w:w w:val="105"/>
        </w:rPr>
        <w:t> </w:t>
      </w:r>
      <w:r>
        <w:rPr>
          <w:color w:val="231F20"/>
          <w:w w:val="105"/>
        </w:rPr>
        <w:t>l’omogeneo</w:t>
      </w:r>
      <w:r>
        <w:rPr>
          <w:color w:val="231F20"/>
          <w:spacing w:val="-29"/>
          <w:w w:val="105"/>
        </w:rPr>
        <w:t> </w:t>
      </w:r>
      <w:r>
        <w:rPr>
          <w:color w:val="231F20"/>
          <w:w w:val="105"/>
        </w:rPr>
        <w:t>finisce</w:t>
      </w:r>
      <w:r>
        <w:rPr>
          <w:color w:val="231F20"/>
          <w:spacing w:val="-30"/>
          <w:w w:val="105"/>
        </w:rPr>
        <w:t> </w:t>
      </w:r>
      <w:r>
        <w:rPr>
          <w:color w:val="231F20"/>
          <w:w w:val="105"/>
        </w:rPr>
        <w:t>appropriandosi</w:t>
      </w:r>
      <w:r>
        <w:rPr>
          <w:color w:val="231F20"/>
          <w:spacing w:val="-29"/>
          <w:w w:val="105"/>
        </w:rPr>
        <w:t> </w:t>
      </w:r>
      <w:r>
        <w:rPr>
          <w:color w:val="231F20"/>
          <w:w w:val="105"/>
        </w:rPr>
        <w:t>in</w:t>
      </w:r>
      <w:r>
        <w:rPr>
          <w:color w:val="231F20"/>
          <w:spacing w:val="-29"/>
          <w:w w:val="105"/>
        </w:rPr>
        <w:t> </w:t>
      </w:r>
      <w:r>
        <w:rPr>
          <w:color w:val="231F20"/>
          <w:w w:val="105"/>
        </w:rPr>
        <w:t>maniera</w:t>
      </w:r>
      <w:r>
        <w:rPr>
          <w:color w:val="231F20"/>
          <w:spacing w:val="-29"/>
          <w:w w:val="105"/>
        </w:rPr>
        <w:t> </w:t>
      </w:r>
      <w:r>
        <w:rPr>
          <w:color w:val="231F20"/>
          <w:w w:val="105"/>
        </w:rPr>
        <w:t>eterogenea, forse</w:t>
      </w:r>
      <w:r>
        <w:rPr>
          <w:color w:val="231F20"/>
          <w:spacing w:val="-30"/>
          <w:w w:val="105"/>
        </w:rPr>
        <w:t> </w:t>
      </w:r>
      <w:r>
        <w:rPr>
          <w:color w:val="231F20"/>
          <w:w w:val="105"/>
        </w:rPr>
        <w:t>perchè</w:t>
      </w:r>
      <w:r>
        <w:rPr>
          <w:color w:val="231F20"/>
          <w:spacing w:val="-30"/>
          <w:w w:val="105"/>
        </w:rPr>
        <w:t> </w:t>
      </w:r>
      <w:r>
        <w:rPr>
          <w:color w:val="231F20"/>
          <w:w w:val="105"/>
        </w:rPr>
        <w:t>il</w:t>
      </w:r>
      <w:r>
        <w:rPr>
          <w:color w:val="231F20"/>
          <w:spacing w:val="-30"/>
          <w:w w:val="105"/>
        </w:rPr>
        <w:t> </w:t>
      </w:r>
      <w:r>
        <w:rPr>
          <w:color w:val="231F20"/>
          <w:w w:val="105"/>
        </w:rPr>
        <w:t>locale</w:t>
      </w:r>
      <w:r>
        <w:rPr>
          <w:color w:val="231F20"/>
          <w:spacing w:val="-30"/>
          <w:w w:val="105"/>
        </w:rPr>
        <w:t> </w:t>
      </w:r>
      <w:r>
        <w:rPr>
          <w:color w:val="231F20"/>
          <w:w w:val="105"/>
        </w:rPr>
        <w:t>è</w:t>
      </w:r>
      <w:r>
        <w:rPr>
          <w:color w:val="231F20"/>
          <w:spacing w:val="-30"/>
          <w:w w:val="105"/>
        </w:rPr>
        <w:t> </w:t>
      </w:r>
      <w:r>
        <w:rPr>
          <w:color w:val="231F20"/>
          <w:w w:val="105"/>
        </w:rPr>
        <w:t>anche</w:t>
      </w:r>
      <w:r>
        <w:rPr>
          <w:color w:val="231F20"/>
          <w:spacing w:val="-30"/>
          <w:w w:val="105"/>
        </w:rPr>
        <w:t> </w:t>
      </w:r>
      <w:r>
        <w:rPr>
          <w:color w:val="231F20"/>
          <w:w w:val="105"/>
        </w:rPr>
        <w:t>complesso,</w:t>
      </w:r>
      <w:r>
        <w:rPr>
          <w:color w:val="231F20"/>
          <w:spacing w:val="-30"/>
          <w:w w:val="105"/>
        </w:rPr>
        <w:t> </w:t>
      </w:r>
      <w:r>
        <w:rPr>
          <w:color w:val="231F20"/>
          <w:w w:val="105"/>
        </w:rPr>
        <w:t>non</w:t>
      </w:r>
      <w:r>
        <w:rPr>
          <w:color w:val="231F20"/>
          <w:spacing w:val="-30"/>
          <w:w w:val="105"/>
        </w:rPr>
        <w:t> </w:t>
      </w:r>
      <w:r>
        <w:rPr>
          <w:color w:val="231F20"/>
          <w:w w:val="105"/>
        </w:rPr>
        <w:t>esiste</w:t>
      </w:r>
      <w:r>
        <w:rPr>
          <w:color w:val="231F20"/>
          <w:spacing w:val="-30"/>
          <w:w w:val="105"/>
        </w:rPr>
        <w:t> </w:t>
      </w:r>
      <w:r>
        <w:rPr>
          <w:color w:val="231F20"/>
          <w:w w:val="105"/>
        </w:rPr>
        <w:t>in</w:t>
      </w:r>
      <w:r>
        <w:rPr>
          <w:color w:val="231F20"/>
          <w:spacing w:val="-30"/>
          <w:w w:val="105"/>
        </w:rPr>
        <w:t> </w:t>
      </w:r>
      <w:r>
        <w:rPr>
          <w:color w:val="231F20"/>
          <w:w w:val="105"/>
        </w:rPr>
        <w:t>modo</w:t>
      </w:r>
      <w:r>
        <w:rPr>
          <w:color w:val="231F20"/>
          <w:spacing w:val="-30"/>
          <w:w w:val="105"/>
        </w:rPr>
        <w:t> </w:t>
      </w:r>
      <w:r>
        <w:rPr>
          <w:color w:val="231F20"/>
          <w:w w:val="105"/>
        </w:rPr>
        <w:t>puro</w:t>
      </w:r>
      <w:r>
        <w:rPr>
          <w:color w:val="231F20"/>
          <w:spacing w:val="-30"/>
          <w:w w:val="105"/>
        </w:rPr>
        <w:t> </w:t>
      </w:r>
      <w:r>
        <w:rPr>
          <w:color w:val="231F20"/>
          <w:w w:val="105"/>
        </w:rPr>
        <w:t>o</w:t>
      </w:r>
      <w:r>
        <w:rPr>
          <w:color w:val="231F20"/>
          <w:spacing w:val="-30"/>
          <w:w w:val="105"/>
        </w:rPr>
        <w:t> </w:t>
      </w:r>
      <w:r>
        <w:rPr>
          <w:color w:val="231F20"/>
          <w:w w:val="105"/>
        </w:rPr>
        <w:t>isolato da tutto contatto con altre particolarità e con il globale; per Marramao, ad</w:t>
      </w:r>
      <w:r>
        <w:rPr>
          <w:color w:val="231F20"/>
          <w:spacing w:val="-9"/>
          <w:w w:val="105"/>
        </w:rPr>
        <w:t> </w:t>
      </w:r>
      <w:r>
        <w:rPr>
          <w:color w:val="231F20"/>
          <w:w w:val="105"/>
        </w:rPr>
        <w:t>esempio,</w:t>
      </w:r>
      <w:r>
        <w:rPr>
          <w:color w:val="231F20"/>
          <w:spacing w:val="-9"/>
          <w:w w:val="105"/>
        </w:rPr>
        <w:t> </w:t>
      </w:r>
      <w:r>
        <w:rPr>
          <w:color w:val="231F20"/>
          <w:w w:val="105"/>
        </w:rPr>
        <w:t>qui</w:t>
      </w:r>
      <w:r>
        <w:rPr>
          <w:color w:val="231F20"/>
          <w:spacing w:val="-9"/>
          <w:w w:val="105"/>
        </w:rPr>
        <w:t> </w:t>
      </w:r>
      <w:r>
        <w:rPr>
          <w:color w:val="231F20"/>
          <w:w w:val="105"/>
        </w:rPr>
        <w:t>può</w:t>
      </w:r>
      <w:r>
        <w:rPr>
          <w:color w:val="231F20"/>
          <w:spacing w:val="-9"/>
          <w:w w:val="105"/>
        </w:rPr>
        <w:t> </w:t>
      </w:r>
      <w:r>
        <w:rPr>
          <w:color w:val="231F20"/>
          <w:w w:val="105"/>
        </w:rPr>
        <w:t>parlarsi</w:t>
      </w:r>
      <w:r>
        <w:rPr>
          <w:color w:val="231F20"/>
          <w:spacing w:val="-9"/>
          <w:w w:val="105"/>
        </w:rPr>
        <w:t> </w:t>
      </w:r>
      <w:r>
        <w:rPr>
          <w:color w:val="231F20"/>
          <w:w w:val="105"/>
        </w:rPr>
        <w:t>di</w:t>
      </w:r>
      <w:r>
        <w:rPr>
          <w:color w:val="231F20"/>
          <w:spacing w:val="-9"/>
          <w:w w:val="105"/>
        </w:rPr>
        <w:t> </w:t>
      </w:r>
      <w:r>
        <w:rPr>
          <w:color w:val="231F20"/>
          <w:w w:val="105"/>
        </w:rPr>
        <w:t>una</w:t>
      </w:r>
      <w:r>
        <w:rPr>
          <w:color w:val="231F20"/>
          <w:spacing w:val="-9"/>
          <w:w w:val="105"/>
        </w:rPr>
        <w:t> </w:t>
      </w:r>
      <w:r>
        <w:rPr>
          <w:color w:val="231F20"/>
          <w:w w:val="105"/>
        </w:rPr>
        <w:t>"produzione</w:t>
      </w:r>
      <w:r>
        <w:rPr>
          <w:color w:val="231F20"/>
          <w:spacing w:val="-9"/>
          <w:w w:val="105"/>
        </w:rPr>
        <w:t> </w:t>
      </w:r>
      <w:r>
        <w:rPr>
          <w:color w:val="231F20"/>
          <w:w w:val="105"/>
        </w:rPr>
        <w:t>globale</w:t>
      </w:r>
      <w:r>
        <w:rPr>
          <w:color w:val="231F20"/>
          <w:spacing w:val="-9"/>
          <w:w w:val="105"/>
        </w:rPr>
        <w:t> </w:t>
      </w:r>
      <w:r>
        <w:rPr>
          <w:color w:val="231F20"/>
          <w:w w:val="105"/>
        </w:rPr>
        <w:t>della</w:t>
      </w:r>
      <w:r>
        <w:rPr>
          <w:color w:val="231F20"/>
          <w:spacing w:val="-9"/>
          <w:w w:val="105"/>
        </w:rPr>
        <w:t> </w:t>
      </w:r>
      <w:r>
        <w:rPr>
          <w:color w:val="231F20"/>
          <w:w w:val="105"/>
        </w:rPr>
        <w:t>località"</w:t>
      </w:r>
      <w:r>
        <w:rPr>
          <w:color w:val="231F20"/>
          <w:w w:val="105"/>
          <w:position w:val="7"/>
          <w:sz w:val="12"/>
        </w:rPr>
        <w:t>17</w:t>
      </w:r>
      <w:r>
        <w:rPr>
          <w:color w:val="231F20"/>
          <w:w w:val="105"/>
        </w:rPr>
        <w:t>, il che non implica che il locale non esista, solamente sottolinea che</w:t>
      </w:r>
      <w:r>
        <w:rPr>
          <w:color w:val="231F20"/>
          <w:spacing w:val="-35"/>
          <w:w w:val="105"/>
        </w:rPr>
        <w:t> </w:t>
      </w:r>
      <w:r>
        <w:rPr>
          <w:color w:val="231F20"/>
          <w:w w:val="105"/>
        </w:rPr>
        <w:t>non esiste</w:t>
      </w:r>
      <w:r>
        <w:rPr>
          <w:color w:val="231F20"/>
          <w:spacing w:val="-33"/>
          <w:w w:val="105"/>
        </w:rPr>
        <w:t> </w:t>
      </w:r>
      <w:r>
        <w:rPr>
          <w:color w:val="231F20"/>
          <w:w w:val="105"/>
        </w:rPr>
        <w:t>come</w:t>
      </w:r>
      <w:r>
        <w:rPr>
          <w:color w:val="231F20"/>
          <w:spacing w:val="-33"/>
          <w:w w:val="105"/>
        </w:rPr>
        <w:t> </w:t>
      </w:r>
      <w:r>
        <w:rPr>
          <w:color w:val="231F20"/>
          <w:w w:val="105"/>
        </w:rPr>
        <w:t>forma</w:t>
      </w:r>
      <w:r>
        <w:rPr>
          <w:color w:val="231F20"/>
          <w:spacing w:val="-33"/>
          <w:w w:val="105"/>
        </w:rPr>
        <w:t> </w:t>
      </w:r>
      <w:r>
        <w:rPr>
          <w:color w:val="231F20"/>
          <w:w w:val="105"/>
        </w:rPr>
        <w:t>pura</w:t>
      </w:r>
      <w:r>
        <w:rPr>
          <w:color w:val="231F20"/>
          <w:spacing w:val="-33"/>
          <w:w w:val="105"/>
        </w:rPr>
        <w:t> </w:t>
      </w:r>
      <w:r>
        <w:rPr>
          <w:color w:val="231F20"/>
          <w:w w:val="105"/>
        </w:rPr>
        <w:t>ed</w:t>
      </w:r>
      <w:r>
        <w:rPr>
          <w:color w:val="231F20"/>
          <w:spacing w:val="-33"/>
          <w:w w:val="105"/>
        </w:rPr>
        <w:t> </w:t>
      </w:r>
      <w:r>
        <w:rPr>
          <w:color w:val="231F20"/>
          <w:w w:val="105"/>
        </w:rPr>
        <w:t>isolata.</w:t>
      </w:r>
      <w:r>
        <w:rPr>
          <w:color w:val="231F20"/>
          <w:spacing w:val="-33"/>
          <w:w w:val="105"/>
        </w:rPr>
        <w:t> </w:t>
      </w:r>
      <w:r>
        <w:rPr>
          <w:color w:val="231F20"/>
          <w:w w:val="105"/>
        </w:rPr>
        <w:t>Per</w:t>
      </w:r>
      <w:r>
        <w:rPr>
          <w:color w:val="231F20"/>
          <w:spacing w:val="-33"/>
          <w:w w:val="105"/>
        </w:rPr>
        <w:t> </w:t>
      </w:r>
      <w:r>
        <w:rPr>
          <w:color w:val="231F20"/>
          <w:w w:val="105"/>
        </w:rPr>
        <w:t>Robertson,</w:t>
      </w:r>
      <w:r>
        <w:rPr>
          <w:color w:val="231F20"/>
          <w:spacing w:val="-32"/>
          <w:w w:val="105"/>
        </w:rPr>
        <w:t> </w:t>
      </w:r>
      <w:r>
        <w:rPr>
          <w:rFonts w:ascii="Arial" w:hAnsi="Arial"/>
          <w:i/>
          <w:color w:val="231F20"/>
          <w:w w:val="105"/>
        </w:rPr>
        <w:t>non</w:t>
      </w:r>
      <w:r>
        <w:rPr>
          <w:rFonts w:ascii="Arial" w:hAnsi="Arial"/>
          <w:i/>
          <w:color w:val="231F20"/>
          <w:spacing w:val="-25"/>
          <w:w w:val="105"/>
        </w:rPr>
        <w:t> </w:t>
      </w:r>
      <w:r>
        <w:rPr>
          <w:rFonts w:ascii="Arial" w:hAnsi="Arial"/>
          <w:i/>
          <w:color w:val="231F20"/>
          <w:w w:val="105"/>
        </w:rPr>
        <w:t>c</w:t>
      </w:r>
      <w:r>
        <w:rPr>
          <w:color w:val="231F20"/>
          <w:w w:val="105"/>
        </w:rPr>
        <w:t>’è</w:t>
      </w:r>
      <w:r>
        <w:rPr>
          <w:color w:val="231F20"/>
          <w:spacing w:val="-32"/>
          <w:w w:val="105"/>
        </w:rPr>
        <w:t> </w:t>
      </w:r>
      <w:r>
        <w:rPr>
          <w:rFonts w:ascii="Arial" w:hAnsi="Arial"/>
          <w:i/>
          <w:color w:val="231F20"/>
          <w:w w:val="105"/>
        </w:rPr>
        <w:t>cosmopolitismo </w:t>
      </w:r>
      <w:r>
        <w:rPr>
          <w:rFonts w:ascii="Arial" w:hAnsi="Arial"/>
          <w:i/>
          <w:color w:val="231F20"/>
          <w:w w:val="105"/>
        </w:rPr>
        <w:t>senza</w:t>
      </w:r>
      <w:r>
        <w:rPr>
          <w:rFonts w:ascii="Arial" w:hAnsi="Arial"/>
          <w:i/>
          <w:color w:val="231F20"/>
          <w:spacing w:val="-11"/>
          <w:w w:val="105"/>
        </w:rPr>
        <w:t> </w:t>
      </w:r>
      <w:r>
        <w:rPr>
          <w:rFonts w:ascii="Arial" w:hAnsi="Arial"/>
          <w:i/>
          <w:color w:val="231F20"/>
          <w:w w:val="105"/>
        </w:rPr>
        <w:t>localismo</w:t>
      </w:r>
      <w:r>
        <w:rPr>
          <w:color w:val="231F20"/>
          <w:w w:val="105"/>
        </w:rPr>
        <w:t>.</w:t>
      </w:r>
      <w:r>
        <w:rPr>
          <w:color w:val="231F20"/>
          <w:spacing w:val="-18"/>
          <w:w w:val="105"/>
        </w:rPr>
        <w:t> </w:t>
      </w:r>
      <w:r>
        <w:rPr>
          <w:color w:val="231F20"/>
          <w:w w:val="105"/>
        </w:rPr>
        <w:t>Ritzer</w:t>
      </w:r>
      <w:r>
        <w:rPr>
          <w:color w:val="231F20"/>
          <w:w w:val="105"/>
          <w:position w:val="7"/>
          <w:sz w:val="12"/>
        </w:rPr>
        <w:t>18</w:t>
      </w:r>
      <w:r>
        <w:rPr>
          <w:color w:val="231F20"/>
          <w:w w:val="105"/>
        </w:rPr>
        <w:t>,</w:t>
      </w:r>
      <w:r>
        <w:rPr>
          <w:color w:val="231F20"/>
          <w:spacing w:val="-18"/>
          <w:w w:val="105"/>
        </w:rPr>
        <w:t> </w:t>
      </w:r>
      <w:r>
        <w:rPr>
          <w:color w:val="231F20"/>
          <w:w w:val="105"/>
        </w:rPr>
        <w:t>per</w:t>
      </w:r>
      <w:r>
        <w:rPr>
          <w:color w:val="231F20"/>
          <w:spacing w:val="-18"/>
          <w:w w:val="105"/>
        </w:rPr>
        <w:t> </w:t>
      </w:r>
      <w:r>
        <w:rPr>
          <w:color w:val="231F20"/>
          <w:w w:val="105"/>
        </w:rPr>
        <w:t>conto</w:t>
      </w:r>
      <w:r>
        <w:rPr>
          <w:color w:val="231F20"/>
          <w:spacing w:val="-18"/>
          <w:w w:val="105"/>
        </w:rPr>
        <w:t> </w:t>
      </w:r>
      <w:r>
        <w:rPr>
          <w:color w:val="231F20"/>
          <w:w w:val="105"/>
        </w:rPr>
        <w:t>suo,</w:t>
      </w:r>
      <w:r>
        <w:rPr>
          <w:color w:val="231F20"/>
          <w:spacing w:val="-18"/>
          <w:w w:val="105"/>
        </w:rPr>
        <w:t> </w:t>
      </w:r>
      <w:r>
        <w:rPr>
          <w:color w:val="231F20"/>
          <w:w w:val="105"/>
        </w:rPr>
        <w:t>adduce</w:t>
      </w:r>
      <w:r>
        <w:rPr>
          <w:color w:val="231F20"/>
          <w:spacing w:val="-18"/>
          <w:w w:val="105"/>
        </w:rPr>
        <w:t> </w:t>
      </w:r>
      <w:r>
        <w:rPr>
          <w:color w:val="231F20"/>
          <w:w w:val="105"/>
        </w:rPr>
        <w:t>il</w:t>
      </w:r>
      <w:r>
        <w:rPr>
          <w:color w:val="231F20"/>
          <w:spacing w:val="-18"/>
          <w:w w:val="105"/>
        </w:rPr>
        <w:t> </w:t>
      </w:r>
      <w:r>
        <w:rPr>
          <w:color w:val="231F20"/>
          <w:w w:val="105"/>
        </w:rPr>
        <w:t>rischio</w:t>
      </w:r>
      <w:r>
        <w:rPr>
          <w:color w:val="231F20"/>
          <w:spacing w:val="-18"/>
          <w:w w:val="105"/>
        </w:rPr>
        <w:t> </w:t>
      </w:r>
      <w:r>
        <w:rPr>
          <w:color w:val="231F20"/>
          <w:w w:val="105"/>
        </w:rPr>
        <w:t>di</w:t>
      </w:r>
      <w:r>
        <w:rPr>
          <w:color w:val="231F20"/>
          <w:spacing w:val="-18"/>
          <w:w w:val="105"/>
        </w:rPr>
        <w:t> </w:t>
      </w:r>
      <w:r>
        <w:rPr>
          <w:color w:val="231F20"/>
          <w:w w:val="105"/>
        </w:rPr>
        <w:t>continuare</w:t>
      </w:r>
      <w:r>
        <w:rPr>
          <w:color w:val="231F20"/>
          <w:spacing w:val="-18"/>
          <w:w w:val="105"/>
        </w:rPr>
        <w:t> </w:t>
      </w:r>
      <w:r>
        <w:rPr>
          <w:color w:val="231F20"/>
          <w:w w:val="105"/>
        </w:rPr>
        <w:t>a concepire</w:t>
      </w:r>
      <w:r>
        <w:rPr>
          <w:color w:val="231F20"/>
          <w:spacing w:val="-25"/>
          <w:w w:val="105"/>
        </w:rPr>
        <w:t> </w:t>
      </w:r>
      <w:r>
        <w:rPr>
          <w:color w:val="231F20"/>
          <w:w w:val="105"/>
        </w:rPr>
        <w:t>la</w:t>
      </w:r>
      <w:r>
        <w:rPr>
          <w:color w:val="231F20"/>
          <w:spacing w:val="-25"/>
          <w:w w:val="105"/>
        </w:rPr>
        <w:t> </w:t>
      </w:r>
      <w:r>
        <w:rPr>
          <w:color w:val="231F20"/>
          <w:w w:val="105"/>
        </w:rPr>
        <w:t>globalizzazione</w:t>
      </w:r>
      <w:r>
        <w:rPr>
          <w:color w:val="231F20"/>
          <w:spacing w:val="-25"/>
          <w:w w:val="105"/>
        </w:rPr>
        <w:t> </w:t>
      </w:r>
      <w:r>
        <w:rPr>
          <w:color w:val="231F20"/>
          <w:w w:val="105"/>
        </w:rPr>
        <w:t>come</w:t>
      </w:r>
      <w:r>
        <w:rPr>
          <w:color w:val="231F20"/>
          <w:spacing w:val="-25"/>
          <w:w w:val="105"/>
        </w:rPr>
        <w:t> </w:t>
      </w:r>
      <w:r>
        <w:rPr>
          <w:color w:val="231F20"/>
          <w:w w:val="105"/>
        </w:rPr>
        <w:t>una</w:t>
      </w:r>
      <w:r>
        <w:rPr>
          <w:color w:val="231F20"/>
          <w:spacing w:val="-25"/>
          <w:w w:val="105"/>
        </w:rPr>
        <w:t> </w:t>
      </w:r>
      <w:r>
        <w:rPr>
          <w:color w:val="231F20"/>
          <w:w w:val="105"/>
        </w:rPr>
        <w:t>questione</w:t>
      </w:r>
      <w:r>
        <w:rPr>
          <w:color w:val="231F20"/>
          <w:spacing w:val="-25"/>
          <w:w w:val="105"/>
        </w:rPr>
        <w:t> </w:t>
      </w:r>
      <w:r>
        <w:rPr>
          <w:color w:val="231F20"/>
          <w:w w:val="105"/>
        </w:rPr>
        <w:t>meramente</w:t>
      </w:r>
      <w:r>
        <w:rPr>
          <w:color w:val="231F20"/>
          <w:spacing w:val="-25"/>
          <w:w w:val="105"/>
        </w:rPr>
        <w:t> </w:t>
      </w:r>
      <w:r>
        <w:rPr>
          <w:color w:val="231F20"/>
          <w:w w:val="105"/>
        </w:rPr>
        <w:t>unificatrice, </w:t>
      </w:r>
      <w:r>
        <w:rPr>
          <w:color w:val="231F20"/>
          <w:spacing w:val="-3"/>
          <w:w w:val="105"/>
        </w:rPr>
        <w:t>perchè</w:t>
      </w:r>
      <w:r>
        <w:rPr>
          <w:color w:val="231F20"/>
          <w:spacing w:val="-38"/>
          <w:w w:val="105"/>
        </w:rPr>
        <w:t> </w:t>
      </w:r>
      <w:r>
        <w:rPr>
          <w:color w:val="231F20"/>
          <w:spacing w:val="-3"/>
          <w:w w:val="105"/>
        </w:rPr>
        <w:t>supporrebbe</w:t>
      </w:r>
      <w:r>
        <w:rPr>
          <w:color w:val="231F20"/>
          <w:spacing w:val="-38"/>
          <w:w w:val="105"/>
        </w:rPr>
        <w:t> </w:t>
      </w:r>
      <w:r>
        <w:rPr>
          <w:color w:val="231F20"/>
          <w:spacing w:val="-3"/>
          <w:w w:val="105"/>
        </w:rPr>
        <w:t>pensare</w:t>
      </w:r>
      <w:r>
        <w:rPr>
          <w:color w:val="231F20"/>
          <w:spacing w:val="-38"/>
          <w:w w:val="105"/>
        </w:rPr>
        <w:t> </w:t>
      </w:r>
      <w:r>
        <w:rPr>
          <w:color w:val="231F20"/>
          <w:w w:val="105"/>
        </w:rPr>
        <w:t>che</w:t>
      </w:r>
      <w:r>
        <w:rPr>
          <w:color w:val="231F20"/>
          <w:spacing w:val="-38"/>
          <w:w w:val="105"/>
        </w:rPr>
        <w:t> </w:t>
      </w:r>
      <w:r>
        <w:rPr>
          <w:color w:val="231F20"/>
          <w:w w:val="105"/>
        </w:rPr>
        <w:t>la</w:t>
      </w:r>
      <w:r>
        <w:rPr>
          <w:color w:val="231F20"/>
          <w:spacing w:val="-38"/>
          <w:w w:val="105"/>
        </w:rPr>
        <w:t> </w:t>
      </w:r>
      <w:r>
        <w:rPr>
          <w:color w:val="231F20"/>
          <w:w w:val="105"/>
        </w:rPr>
        <w:t>gente,</w:t>
      </w:r>
      <w:r>
        <w:rPr>
          <w:color w:val="231F20"/>
          <w:spacing w:val="-38"/>
          <w:w w:val="105"/>
        </w:rPr>
        <w:t> </w:t>
      </w:r>
      <w:r>
        <w:rPr>
          <w:color w:val="231F20"/>
          <w:w w:val="105"/>
        </w:rPr>
        <w:t>le</w:t>
      </w:r>
      <w:r>
        <w:rPr>
          <w:color w:val="231F20"/>
          <w:spacing w:val="-38"/>
          <w:w w:val="105"/>
        </w:rPr>
        <w:t> </w:t>
      </w:r>
      <w:r>
        <w:rPr>
          <w:color w:val="231F20"/>
          <w:w w:val="105"/>
        </w:rPr>
        <w:t>comunità</w:t>
      </w:r>
      <w:r>
        <w:rPr>
          <w:color w:val="231F20"/>
          <w:spacing w:val="-38"/>
          <w:w w:val="105"/>
        </w:rPr>
        <w:t> </w:t>
      </w:r>
      <w:r>
        <w:rPr>
          <w:color w:val="231F20"/>
          <w:w w:val="105"/>
        </w:rPr>
        <w:t>e</w:t>
      </w:r>
      <w:r>
        <w:rPr>
          <w:color w:val="231F20"/>
          <w:spacing w:val="-38"/>
          <w:w w:val="105"/>
        </w:rPr>
        <w:t> </w:t>
      </w:r>
      <w:r>
        <w:rPr>
          <w:color w:val="231F20"/>
          <w:w w:val="105"/>
        </w:rPr>
        <w:t>i</w:t>
      </w:r>
      <w:r>
        <w:rPr>
          <w:color w:val="231F20"/>
          <w:spacing w:val="-38"/>
          <w:w w:val="105"/>
        </w:rPr>
        <w:t> </w:t>
      </w:r>
      <w:r>
        <w:rPr>
          <w:color w:val="231F20"/>
          <w:w w:val="105"/>
        </w:rPr>
        <w:t>popoli</w:t>
      </w:r>
      <w:r>
        <w:rPr>
          <w:color w:val="231F20"/>
          <w:spacing w:val="-38"/>
          <w:w w:val="105"/>
        </w:rPr>
        <w:t> </w:t>
      </w:r>
      <w:r>
        <w:rPr>
          <w:color w:val="231F20"/>
          <w:w w:val="105"/>
        </w:rPr>
        <w:t>sono</w:t>
      </w:r>
      <w:r>
        <w:rPr>
          <w:color w:val="231F20"/>
          <w:spacing w:val="-38"/>
          <w:w w:val="105"/>
        </w:rPr>
        <w:t> </w:t>
      </w:r>
      <w:r>
        <w:rPr>
          <w:color w:val="231F20"/>
          <w:spacing w:val="-2"/>
          <w:w w:val="105"/>
        </w:rPr>
        <w:t>entità </w:t>
      </w:r>
      <w:r>
        <w:rPr>
          <w:color w:val="231F20"/>
          <w:w w:val="105"/>
        </w:rPr>
        <w:t>passive</w:t>
      </w:r>
      <w:r>
        <w:rPr>
          <w:color w:val="231F20"/>
          <w:spacing w:val="-10"/>
          <w:w w:val="105"/>
        </w:rPr>
        <w:t> </w:t>
      </w:r>
      <w:r>
        <w:rPr>
          <w:color w:val="231F20"/>
          <w:w w:val="105"/>
        </w:rPr>
        <w:t>su</w:t>
      </w:r>
      <w:r>
        <w:rPr>
          <w:color w:val="231F20"/>
          <w:spacing w:val="-10"/>
          <w:w w:val="105"/>
        </w:rPr>
        <w:t> </w:t>
      </w:r>
      <w:r>
        <w:rPr>
          <w:color w:val="231F20"/>
          <w:w w:val="105"/>
        </w:rPr>
        <w:t>cui</w:t>
      </w:r>
      <w:r>
        <w:rPr>
          <w:color w:val="231F20"/>
          <w:spacing w:val="-10"/>
          <w:w w:val="105"/>
        </w:rPr>
        <w:t> </w:t>
      </w:r>
      <w:r>
        <w:rPr>
          <w:color w:val="231F20"/>
          <w:w w:val="105"/>
        </w:rPr>
        <w:t>si</w:t>
      </w:r>
      <w:r>
        <w:rPr>
          <w:color w:val="231F20"/>
          <w:spacing w:val="-10"/>
          <w:w w:val="105"/>
        </w:rPr>
        <w:t> </w:t>
      </w:r>
      <w:r>
        <w:rPr>
          <w:color w:val="231F20"/>
          <w:w w:val="105"/>
        </w:rPr>
        <w:t>impongono,</w:t>
      </w:r>
      <w:r>
        <w:rPr>
          <w:color w:val="231F20"/>
          <w:spacing w:val="-10"/>
          <w:w w:val="105"/>
        </w:rPr>
        <w:t> </w:t>
      </w:r>
      <w:r>
        <w:rPr>
          <w:color w:val="231F20"/>
          <w:w w:val="105"/>
        </w:rPr>
        <w:t>senza</w:t>
      </w:r>
      <w:r>
        <w:rPr>
          <w:color w:val="231F20"/>
          <w:spacing w:val="-10"/>
          <w:w w:val="105"/>
        </w:rPr>
        <w:t> </w:t>
      </w:r>
      <w:r>
        <w:rPr>
          <w:color w:val="231F20"/>
          <w:w w:val="105"/>
        </w:rPr>
        <w:t>maggiore</w:t>
      </w:r>
      <w:r>
        <w:rPr>
          <w:color w:val="231F20"/>
          <w:spacing w:val="-10"/>
          <w:w w:val="105"/>
        </w:rPr>
        <w:t> </w:t>
      </w:r>
      <w:r>
        <w:rPr>
          <w:color w:val="231F20"/>
          <w:w w:val="105"/>
        </w:rPr>
        <w:t>resistenza</w:t>
      </w:r>
      <w:r>
        <w:rPr>
          <w:color w:val="231F20"/>
          <w:spacing w:val="-10"/>
          <w:w w:val="105"/>
        </w:rPr>
        <w:t> </w:t>
      </w:r>
      <w:r>
        <w:rPr>
          <w:color w:val="231F20"/>
          <w:w w:val="105"/>
        </w:rPr>
        <w:t>o</w:t>
      </w:r>
      <w:r>
        <w:rPr>
          <w:color w:val="231F20"/>
          <w:spacing w:val="-10"/>
          <w:w w:val="105"/>
        </w:rPr>
        <w:t> </w:t>
      </w:r>
      <w:r>
        <w:rPr>
          <w:color w:val="231F20"/>
          <w:w w:val="105"/>
        </w:rPr>
        <w:t>modificazioni, patroni</w:t>
      </w:r>
      <w:r>
        <w:rPr>
          <w:color w:val="231F20"/>
          <w:spacing w:val="-36"/>
          <w:w w:val="105"/>
        </w:rPr>
        <w:t> </w:t>
      </w:r>
      <w:r>
        <w:rPr>
          <w:color w:val="231F20"/>
          <w:w w:val="105"/>
        </w:rPr>
        <w:t>globali.</w:t>
      </w:r>
    </w:p>
    <w:p>
      <w:pPr>
        <w:pStyle w:val="BodyText"/>
        <w:spacing w:line="247" w:lineRule="auto" w:before="1"/>
        <w:ind w:left="103" w:right="108" w:firstLine="566"/>
        <w:jc w:val="both"/>
      </w:pPr>
      <w:r>
        <w:rPr>
          <w:color w:val="231F20"/>
          <w:w w:val="105"/>
        </w:rPr>
        <w:t>Strettamente legato all’anteriore paradosso, si trova il complesso rapporto tra il particolare e l’universale. La prospettiva unificatrice della globalizzazione suppone que stiamo entrando in un mondo in cui certi valori,</w:t>
      </w:r>
      <w:r>
        <w:rPr>
          <w:color w:val="231F20"/>
          <w:spacing w:val="-43"/>
          <w:w w:val="105"/>
        </w:rPr>
        <w:t> </w:t>
      </w:r>
      <w:r>
        <w:rPr>
          <w:color w:val="231F20"/>
          <w:w w:val="105"/>
        </w:rPr>
        <w:t>modelli</w:t>
      </w:r>
      <w:r>
        <w:rPr>
          <w:color w:val="231F20"/>
          <w:spacing w:val="-43"/>
          <w:w w:val="105"/>
        </w:rPr>
        <w:t> </w:t>
      </w:r>
      <w:r>
        <w:rPr>
          <w:color w:val="231F20"/>
          <w:w w:val="105"/>
        </w:rPr>
        <w:t>e</w:t>
      </w:r>
      <w:r>
        <w:rPr>
          <w:color w:val="231F20"/>
          <w:spacing w:val="-43"/>
          <w:w w:val="105"/>
        </w:rPr>
        <w:t> </w:t>
      </w:r>
      <w:r>
        <w:rPr>
          <w:color w:val="231F20"/>
          <w:w w:val="105"/>
        </w:rPr>
        <w:t>idee</w:t>
      </w:r>
      <w:r>
        <w:rPr>
          <w:color w:val="231F20"/>
          <w:spacing w:val="-43"/>
          <w:w w:val="105"/>
        </w:rPr>
        <w:t> </w:t>
      </w:r>
      <w:r>
        <w:rPr>
          <w:color w:val="231F20"/>
          <w:w w:val="105"/>
        </w:rPr>
        <w:t>hanno</w:t>
      </w:r>
      <w:r>
        <w:rPr>
          <w:color w:val="231F20"/>
          <w:spacing w:val="-43"/>
          <w:w w:val="105"/>
        </w:rPr>
        <w:t> </w:t>
      </w:r>
      <w:r>
        <w:rPr>
          <w:color w:val="231F20"/>
          <w:w w:val="105"/>
        </w:rPr>
        <w:t>un</w:t>
      </w:r>
      <w:r>
        <w:rPr>
          <w:color w:val="231F20"/>
          <w:spacing w:val="-43"/>
          <w:w w:val="105"/>
        </w:rPr>
        <w:t> </w:t>
      </w:r>
      <w:r>
        <w:rPr>
          <w:color w:val="231F20"/>
          <w:w w:val="105"/>
        </w:rPr>
        <w:t>carattere</w:t>
      </w:r>
      <w:r>
        <w:rPr>
          <w:color w:val="231F20"/>
          <w:spacing w:val="-43"/>
          <w:w w:val="105"/>
        </w:rPr>
        <w:t> </w:t>
      </w:r>
      <w:r>
        <w:rPr>
          <w:color w:val="231F20"/>
          <w:w w:val="105"/>
        </w:rPr>
        <w:t>universale</w:t>
      </w:r>
      <w:r>
        <w:rPr>
          <w:color w:val="231F20"/>
          <w:spacing w:val="-43"/>
          <w:w w:val="105"/>
        </w:rPr>
        <w:t> </w:t>
      </w:r>
      <w:r>
        <w:rPr>
          <w:color w:val="231F20"/>
          <w:w w:val="105"/>
        </w:rPr>
        <w:t>che</w:t>
      </w:r>
      <w:r>
        <w:rPr>
          <w:color w:val="231F20"/>
          <w:spacing w:val="-43"/>
          <w:w w:val="105"/>
        </w:rPr>
        <w:t> </w:t>
      </w:r>
      <w:r>
        <w:rPr>
          <w:color w:val="231F20"/>
          <w:w w:val="105"/>
        </w:rPr>
        <w:t>finirà</w:t>
      </w:r>
      <w:r>
        <w:rPr>
          <w:color w:val="231F20"/>
          <w:spacing w:val="-43"/>
          <w:w w:val="105"/>
        </w:rPr>
        <w:t> </w:t>
      </w:r>
      <w:r>
        <w:rPr>
          <w:color w:val="231F20"/>
          <w:w w:val="105"/>
        </w:rPr>
        <w:t>per</w:t>
      </w:r>
      <w:r>
        <w:rPr>
          <w:color w:val="231F20"/>
          <w:spacing w:val="-43"/>
          <w:w w:val="105"/>
        </w:rPr>
        <w:t> </w:t>
      </w:r>
      <w:r>
        <w:rPr>
          <w:color w:val="231F20"/>
          <w:w w:val="105"/>
        </w:rPr>
        <w:t>eclissare</w:t>
      </w:r>
      <w:r>
        <w:rPr>
          <w:color w:val="231F20"/>
          <w:spacing w:val="-43"/>
          <w:w w:val="105"/>
        </w:rPr>
        <w:t> </w:t>
      </w:r>
      <w:r>
        <w:rPr>
          <w:color w:val="231F20"/>
          <w:w w:val="105"/>
        </w:rPr>
        <w:t>e diluire</w:t>
      </w:r>
      <w:r>
        <w:rPr>
          <w:color w:val="231F20"/>
          <w:spacing w:val="-37"/>
          <w:w w:val="105"/>
        </w:rPr>
        <w:t> </w:t>
      </w:r>
      <w:r>
        <w:rPr>
          <w:color w:val="231F20"/>
          <w:w w:val="105"/>
        </w:rPr>
        <w:t>qualsiasi</w:t>
      </w:r>
      <w:r>
        <w:rPr>
          <w:color w:val="231F20"/>
          <w:spacing w:val="-37"/>
          <w:w w:val="105"/>
        </w:rPr>
        <w:t> </w:t>
      </w:r>
      <w:r>
        <w:rPr>
          <w:color w:val="231F20"/>
          <w:w w:val="105"/>
        </w:rPr>
        <w:t>prospettiva</w:t>
      </w:r>
      <w:r>
        <w:rPr>
          <w:color w:val="231F20"/>
          <w:spacing w:val="-37"/>
          <w:w w:val="105"/>
        </w:rPr>
        <w:t> </w:t>
      </w:r>
      <w:r>
        <w:rPr>
          <w:color w:val="231F20"/>
          <w:w w:val="105"/>
        </w:rPr>
        <w:t>particolare.</w:t>
      </w:r>
      <w:r>
        <w:rPr>
          <w:color w:val="231F20"/>
          <w:spacing w:val="-37"/>
          <w:w w:val="105"/>
        </w:rPr>
        <w:t> </w:t>
      </w:r>
      <w:r>
        <w:rPr>
          <w:color w:val="231F20"/>
          <w:spacing w:val="-3"/>
          <w:w w:val="105"/>
        </w:rPr>
        <w:t>L’elemento</w:t>
      </w:r>
      <w:r>
        <w:rPr>
          <w:color w:val="231F20"/>
          <w:spacing w:val="-37"/>
          <w:w w:val="105"/>
        </w:rPr>
        <w:t> </w:t>
      </w:r>
      <w:r>
        <w:rPr>
          <w:color w:val="231F20"/>
          <w:w w:val="105"/>
        </w:rPr>
        <w:t>problematico</w:t>
      </w:r>
      <w:r>
        <w:rPr>
          <w:color w:val="231F20"/>
          <w:spacing w:val="-37"/>
          <w:w w:val="105"/>
        </w:rPr>
        <w:t> </w:t>
      </w:r>
      <w:r>
        <w:rPr>
          <w:color w:val="231F20"/>
          <w:w w:val="105"/>
        </w:rPr>
        <w:t>di</w:t>
      </w:r>
      <w:r>
        <w:rPr>
          <w:color w:val="231F20"/>
          <w:spacing w:val="-37"/>
          <w:w w:val="105"/>
        </w:rPr>
        <w:t> </w:t>
      </w:r>
      <w:r>
        <w:rPr>
          <w:color w:val="231F20"/>
          <w:w w:val="105"/>
        </w:rPr>
        <w:t>questa </w:t>
      </w:r>
      <w:r>
        <w:rPr>
          <w:color w:val="231F20"/>
          <w:spacing w:val="-3"/>
          <w:w w:val="105"/>
        </w:rPr>
        <w:t>situazione</w:t>
      </w:r>
      <w:r>
        <w:rPr>
          <w:color w:val="231F20"/>
          <w:spacing w:val="-50"/>
          <w:w w:val="105"/>
        </w:rPr>
        <w:t> </w:t>
      </w:r>
      <w:r>
        <w:rPr>
          <w:color w:val="231F20"/>
          <w:w w:val="105"/>
        </w:rPr>
        <w:t>è</w:t>
      </w:r>
      <w:r>
        <w:rPr>
          <w:color w:val="231F20"/>
          <w:spacing w:val="-50"/>
          <w:w w:val="105"/>
        </w:rPr>
        <w:t> </w:t>
      </w:r>
      <w:r>
        <w:rPr>
          <w:color w:val="231F20"/>
          <w:w w:val="105"/>
        </w:rPr>
        <w:t>che</w:t>
      </w:r>
      <w:r>
        <w:rPr>
          <w:color w:val="231F20"/>
          <w:spacing w:val="-50"/>
          <w:w w:val="105"/>
        </w:rPr>
        <w:t> </w:t>
      </w:r>
      <w:r>
        <w:rPr>
          <w:color w:val="231F20"/>
          <w:spacing w:val="-3"/>
          <w:w w:val="105"/>
        </w:rPr>
        <w:t>questa</w:t>
      </w:r>
      <w:r>
        <w:rPr>
          <w:color w:val="231F20"/>
          <w:spacing w:val="-50"/>
          <w:w w:val="105"/>
        </w:rPr>
        <w:t> </w:t>
      </w:r>
      <w:r>
        <w:rPr>
          <w:color w:val="231F20"/>
          <w:spacing w:val="-3"/>
          <w:w w:val="105"/>
        </w:rPr>
        <w:t>piattaforma</w:t>
      </w:r>
      <w:r>
        <w:rPr>
          <w:color w:val="231F20"/>
          <w:spacing w:val="-50"/>
          <w:w w:val="105"/>
        </w:rPr>
        <w:t> </w:t>
      </w:r>
      <w:r>
        <w:rPr>
          <w:color w:val="231F20"/>
          <w:spacing w:val="-3"/>
          <w:w w:val="105"/>
        </w:rPr>
        <w:t>universale</w:t>
      </w:r>
      <w:r>
        <w:rPr>
          <w:color w:val="231F20"/>
          <w:spacing w:val="-50"/>
          <w:w w:val="105"/>
        </w:rPr>
        <w:t> </w:t>
      </w:r>
      <w:r>
        <w:rPr>
          <w:color w:val="231F20"/>
          <w:w w:val="105"/>
        </w:rPr>
        <w:t>è</w:t>
      </w:r>
      <w:r>
        <w:rPr>
          <w:color w:val="231F20"/>
          <w:spacing w:val="-50"/>
          <w:w w:val="105"/>
        </w:rPr>
        <w:t> </w:t>
      </w:r>
      <w:r>
        <w:rPr>
          <w:color w:val="231F20"/>
          <w:spacing w:val="-3"/>
          <w:w w:val="105"/>
        </w:rPr>
        <w:t>anche</w:t>
      </w:r>
      <w:r>
        <w:rPr>
          <w:color w:val="231F20"/>
          <w:spacing w:val="-50"/>
          <w:w w:val="105"/>
        </w:rPr>
        <w:t> </w:t>
      </w:r>
      <w:r>
        <w:rPr>
          <w:color w:val="231F20"/>
          <w:w w:val="105"/>
        </w:rPr>
        <w:t>un</w:t>
      </w:r>
      <w:r>
        <w:rPr>
          <w:color w:val="231F20"/>
          <w:spacing w:val="-50"/>
          <w:w w:val="105"/>
        </w:rPr>
        <w:t> </w:t>
      </w:r>
      <w:r>
        <w:rPr>
          <w:color w:val="231F20"/>
          <w:spacing w:val="-3"/>
          <w:w w:val="105"/>
        </w:rPr>
        <w:t>modello</w:t>
      </w:r>
      <w:r>
        <w:rPr>
          <w:color w:val="231F20"/>
          <w:spacing w:val="-50"/>
          <w:w w:val="105"/>
        </w:rPr>
        <w:t> </w:t>
      </w:r>
      <w:r>
        <w:rPr>
          <w:color w:val="231F20"/>
          <w:spacing w:val="-4"/>
          <w:w w:val="105"/>
        </w:rPr>
        <w:t>particolare</w:t>
      </w:r>
    </w:p>
    <w:p>
      <w:pPr>
        <w:pStyle w:val="BodyText"/>
        <w:spacing w:line="247" w:lineRule="auto"/>
        <w:ind w:left="103" w:right="111"/>
        <w:jc w:val="both"/>
      </w:pPr>
      <w:r>
        <w:rPr>
          <w:color w:val="231F20"/>
          <w:w w:val="105"/>
        </w:rPr>
        <w:t>—europeo–nordamericano— che è diventato egemonico per </w:t>
      </w:r>
      <w:r>
        <w:rPr>
          <w:color w:val="231F20"/>
          <w:spacing w:val="2"/>
          <w:w w:val="105"/>
        </w:rPr>
        <w:t>questioni </w:t>
      </w:r>
      <w:r>
        <w:rPr>
          <w:color w:val="231F20"/>
          <w:w w:val="105"/>
        </w:rPr>
        <w:t>politiche,</w:t>
      </w:r>
      <w:r>
        <w:rPr>
          <w:color w:val="231F20"/>
          <w:spacing w:val="-53"/>
          <w:w w:val="105"/>
        </w:rPr>
        <w:t> </w:t>
      </w:r>
      <w:r>
        <w:rPr>
          <w:color w:val="231F20"/>
          <w:w w:val="105"/>
        </w:rPr>
        <w:t>economiche</w:t>
      </w:r>
      <w:r>
        <w:rPr>
          <w:color w:val="231F20"/>
          <w:spacing w:val="-54"/>
          <w:w w:val="105"/>
        </w:rPr>
        <w:t> </w:t>
      </w:r>
      <w:r>
        <w:rPr>
          <w:color w:val="231F20"/>
          <w:w w:val="105"/>
        </w:rPr>
        <w:t>e</w:t>
      </w:r>
      <w:r>
        <w:rPr>
          <w:color w:val="231F20"/>
          <w:spacing w:val="-54"/>
          <w:w w:val="105"/>
        </w:rPr>
        <w:t> </w:t>
      </w:r>
      <w:r>
        <w:rPr>
          <w:color w:val="231F20"/>
          <w:w w:val="105"/>
        </w:rPr>
        <w:t>culturali.</w:t>
      </w:r>
      <w:r>
        <w:rPr>
          <w:color w:val="231F20"/>
          <w:spacing w:val="-54"/>
          <w:w w:val="105"/>
        </w:rPr>
        <w:t> </w:t>
      </w:r>
      <w:r>
        <w:rPr>
          <w:color w:val="231F20"/>
          <w:w w:val="105"/>
        </w:rPr>
        <w:t>Viste</w:t>
      </w:r>
      <w:r>
        <w:rPr>
          <w:color w:val="231F20"/>
          <w:spacing w:val="-54"/>
          <w:w w:val="105"/>
        </w:rPr>
        <w:t> </w:t>
      </w:r>
      <w:r>
        <w:rPr>
          <w:color w:val="231F20"/>
          <w:w w:val="105"/>
        </w:rPr>
        <w:t>così</w:t>
      </w:r>
      <w:r>
        <w:rPr>
          <w:color w:val="231F20"/>
          <w:spacing w:val="-54"/>
          <w:w w:val="105"/>
        </w:rPr>
        <w:t> </w:t>
      </w:r>
      <w:r>
        <w:rPr>
          <w:color w:val="231F20"/>
          <w:w w:val="105"/>
        </w:rPr>
        <w:t>le</w:t>
      </w:r>
      <w:r>
        <w:rPr>
          <w:color w:val="231F20"/>
          <w:spacing w:val="-54"/>
          <w:w w:val="105"/>
        </w:rPr>
        <w:t> </w:t>
      </w:r>
      <w:r>
        <w:rPr>
          <w:color w:val="231F20"/>
          <w:w w:val="105"/>
        </w:rPr>
        <w:t>cose,</w:t>
      </w:r>
      <w:r>
        <w:rPr>
          <w:color w:val="231F20"/>
          <w:spacing w:val="-54"/>
          <w:w w:val="105"/>
        </w:rPr>
        <w:t> </w:t>
      </w:r>
      <w:r>
        <w:rPr>
          <w:color w:val="231F20"/>
          <w:w w:val="105"/>
        </w:rPr>
        <w:t>l’universale</w:t>
      </w:r>
      <w:r>
        <w:rPr>
          <w:color w:val="231F20"/>
          <w:spacing w:val="-54"/>
          <w:w w:val="105"/>
        </w:rPr>
        <w:t> </w:t>
      </w:r>
      <w:r>
        <w:rPr>
          <w:color w:val="231F20"/>
          <w:w w:val="105"/>
        </w:rPr>
        <w:t>si</w:t>
      </w:r>
      <w:r>
        <w:rPr>
          <w:color w:val="231F20"/>
          <w:spacing w:val="-54"/>
          <w:w w:val="105"/>
        </w:rPr>
        <w:t> </w:t>
      </w:r>
      <w:r>
        <w:rPr>
          <w:color w:val="231F20"/>
          <w:w w:val="105"/>
        </w:rPr>
        <w:t>distacca</w:t>
      </w:r>
      <w:r>
        <w:rPr>
          <w:color w:val="231F20"/>
          <w:spacing w:val="-54"/>
          <w:w w:val="105"/>
        </w:rPr>
        <w:t> </w:t>
      </w:r>
      <w:r>
        <w:rPr>
          <w:color w:val="231F20"/>
          <w:w w:val="105"/>
        </w:rPr>
        <w:t>da una</w:t>
      </w:r>
      <w:r>
        <w:rPr>
          <w:color w:val="231F20"/>
          <w:spacing w:val="-30"/>
          <w:w w:val="105"/>
        </w:rPr>
        <w:t> </w:t>
      </w:r>
      <w:r>
        <w:rPr>
          <w:color w:val="231F20"/>
          <w:w w:val="105"/>
        </w:rPr>
        <w:t>pluralità</w:t>
      </w:r>
      <w:r>
        <w:rPr>
          <w:color w:val="231F20"/>
          <w:spacing w:val="-30"/>
          <w:w w:val="105"/>
        </w:rPr>
        <w:t> </w:t>
      </w:r>
      <w:r>
        <w:rPr>
          <w:color w:val="231F20"/>
          <w:w w:val="105"/>
        </w:rPr>
        <w:t>di</w:t>
      </w:r>
      <w:r>
        <w:rPr>
          <w:color w:val="231F20"/>
          <w:spacing w:val="-30"/>
          <w:w w:val="105"/>
        </w:rPr>
        <w:t> </w:t>
      </w:r>
      <w:r>
        <w:rPr>
          <w:color w:val="231F20"/>
          <w:w w:val="105"/>
        </w:rPr>
        <w:t>particolarità</w:t>
      </w:r>
      <w:r>
        <w:rPr>
          <w:color w:val="231F20"/>
          <w:spacing w:val="-30"/>
          <w:w w:val="105"/>
        </w:rPr>
        <w:t> </w:t>
      </w:r>
      <w:r>
        <w:rPr>
          <w:color w:val="231F20"/>
          <w:w w:val="105"/>
        </w:rPr>
        <w:t>—non</w:t>
      </w:r>
      <w:r>
        <w:rPr>
          <w:color w:val="231F20"/>
          <w:spacing w:val="-30"/>
          <w:w w:val="105"/>
        </w:rPr>
        <w:t> </w:t>
      </w:r>
      <w:r>
        <w:rPr>
          <w:color w:val="231F20"/>
          <w:w w:val="105"/>
        </w:rPr>
        <w:t>omogenee,</w:t>
      </w:r>
      <w:r>
        <w:rPr>
          <w:color w:val="231F20"/>
          <w:spacing w:val="-30"/>
          <w:w w:val="105"/>
        </w:rPr>
        <w:t> </w:t>
      </w:r>
      <w:r>
        <w:rPr>
          <w:color w:val="231F20"/>
          <w:w w:val="105"/>
        </w:rPr>
        <w:t>ma</w:t>
      </w:r>
      <w:r>
        <w:rPr>
          <w:color w:val="231F20"/>
          <w:spacing w:val="-30"/>
          <w:w w:val="105"/>
        </w:rPr>
        <w:t> </w:t>
      </w:r>
      <w:r>
        <w:rPr>
          <w:color w:val="231F20"/>
          <w:w w:val="105"/>
        </w:rPr>
        <w:t>loro</w:t>
      </w:r>
      <w:r>
        <w:rPr>
          <w:color w:val="231F20"/>
          <w:spacing w:val="-30"/>
          <w:w w:val="105"/>
        </w:rPr>
        <w:t> </w:t>
      </w:r>
      <w:r>
        <w:rPr>
          <w:color w:val="231F20"/>
          <w:w w:val="105"/>
        </w:rPr>
        <w:t>stesse</w:t>
      </w:r>
      <w:r>
        <w:rPr>
          <w:color w:val="231F20"/>
          <w:spacing w:val="-30"/>
          <w:w w:val="105"/>
        </w:rPr>
        <w:t> </w:t>
      </w:r>
      <w:r>
        <w:rPr>
          <w:color w:val="231F20"/>
          <w:w w:val="105"/>
        </w:rPr>
        <w:t>plurali—</w:t>
      </w:r>
      <w:r>
        <w:rPr>
          <w:color w:val="231F20"/>
          <w:spacing w:val="-30"/>
          <w:w w:val="105"/>
        </w:rPr>
        <w:t> </w:t>
      </w:r>
      <w:r>
        <w:rPr>
          <w:color w:val="231F20"/>
          <w:w w:val="105"/>
        </w:rPr>
        <w:t>che si</w:t>
      </w:r>
      <w:r>
        <w:rPr>
          <w:color w:val="231F20"/>
          <w:spacing w:val="-13"/>
          <w:w w:val="105"/>
        </w:rPr>
        <w:t> </w:t>
      </w:r>
      <w:r>
        <w:rPr>
          <w:color w:val="231F20"/>
          <w:w w:val="105"/>
        </w:rPr>
        <w:t>sono</w:t>
      </w:r>
      <w:r>
        <w:rPr>
          <w:color w:val="231F20"/>
          <w:spacing w:val="-13"/>
          <w:w w:val="105"/>
        </w:rPr>
        <w:t> </w:t>
      </w:r>
      <w:r>
        <w:rPr>
          <w:color w:val="231F20"/>
          <w:w w:val="105"/>
        </w:rPr>
        <w:t>estese</w:t>
      </w:r>
      <w:r>
        <w:rPr>
          <w:color w:val="231F20"/>
          <w:spacing w:val="-13"/>
          <w:w w:val="105"/>
        </w:rPr>
        <w:t> </w:t>
      </w:r>
      <w:r>
        <w:rPr>
          <w:color w:val="231F20"/>
          <w:w w:val="105"/>
        </w:rPr>
        <w:t>e</w:t>
      </w:r>
      <w:r>
        <w:rPr>
          <w:color w:val="231F20"/>
          <w:spacing w:val="-13"/>
          <w:w w:val="105"/>
        </w:rPr>
        <w:t> </w:t>
      </w:r>
      <w:r>
        <w:rPr>
          <w:color w:val="231F20"/>
          <w:w w:val="105"/>
        </w:rPr>
        <w:t>sono</w:t>
      </w:r>
      <w:r>
        <w:rPr>
          <w:color w:val="231F20"/>
          <w:spacing w:val="-13"/>
          <w:w w:val="105"/>
        </w:rPr>
        <w:t> </w:t>
      </w:r>
      <w:r>
        <w:rPr>
          <w:color w:val="231F20"/>
          <w:w w:val="105"/>
        </w:rPr>
        <w:t>diventate</w:t>
      </w:r>
      <w:r>
        <w:rPr>
          <w:color w:val="231F20"/>
          <w:spacing w:val="-13"/>
          <w:w w:val="105"/>
        </w:rPr>
        <w:t> </w:t>
      </w:r>
      <w:r>
        <w:rPr>
          <w:color w:val="231F20"/>
          <w:w w:val="105"/>
        </w:rPr>
        <w:t>egemoniche.</w:t>
      </w:r>
      <w:r>
        <w:rPr>
          <w:color w:val="231F20"/>
          <w:spacing w:val="-13"/>
          <w:w w:val="105"/>
        </w:rPr>
        <w:t> </w:t>
      </w:r>
      <w:r>
        <w:rPr>
          <w:color w:val="231F20"/>
          <w:w w:val="105"/>
        </w:rPr>
        <w:t>Daltronde,</w:t>
      </w:r>
      <w:r>
        <w:rPr>
          <w:color w:val="231F20"/>
          <w:spacing w:val="-13"/>
          <w:w w:val="105"/>
        </w:rPr>
        <w:t> </w:t>
      </w:r>
      <w:r>
        <w:rPr>
          <w:color w:val="231F20"/>
          <w:w w:val="105"/>
        </w:rPr>
        <w:t>l’universale</w:t>
      </w:r>
      <w:r>
        <w:rPr>
          <w:color w:val="231F20"/>
          <w:spacing w:val="-13"/>
          <w:w w:val="105"/>
        </w:rPr>
        <w:t> </w:t>
      </w:r>
      <w:r>
        <w:rPr>
          <w:color w:val="231F20"/>
          <w:w w:val="105"/>
        </w:rPr>
        <w:t>non annichilisce</w:t>
      </w:r>
      <w:r>
        <w:rPr>
          <w:color w:val="231F20"/>
          <w:spacing w:val="-37"/>
          <w:w w:val="105"/>
        </w:rPr>
        <w:t> </w:t>
      </w:r>
      <w:r>
        <w:rPr>
          <w:color w:val="231F20"/>
          <w:w w:val="105"/>
        </w:rPr>
        <w:t>il</w:t>
      </w:r>
      <w:r>
        <w:rPr>
          <w:color w:val="231F20"/>
          <w:spacing w:val="-37"/>
          <w:w w:val="105"/>
        </w:rPr>
        <w:t> </w:t>
      </w:r>
      <w:r>
        <w:rPr>
          <w:color w:val="231F20"/>
          <w:w w:val="105"/>
        </w:rPr>
        <w:t>particulare,</w:t>
      </w:r>
      <w:r>
        <w:rPr>
          <w:color w:val="231F20"/>
          <w:spacing w:val="-37"/>
          <w:w w:val="105"/>
        </w:rPr>
        <w:t> </w:t>
      </w:r>
      <w:r>
        <w:rPr>
          <w:color w:val="231F20"/>
          <w:w w:val="105"/>
        </w:rPr>
        <w:t>anzi,</w:t>
      </w:r>
      <w:r>
        <w:rPr>
          <w:color w:val="231F20"/>
          <w:spacing w:val="-37"/>
          <w:w w:val="105"/>
        </w:rPr>
        <w:t> </w:t>
      </w:r>
      <w:r>
        <w:rPr>
          <w:color w:val="231F20"/>
          <w:w w:val="105"/>
        </w:rPr>
        <w:t>lo</w:t>
      </w:r>
      <w:r>
        <w:rPr>
          <w:color w:val="231F20"/>
          <w:spacing w:val="-37"/>
          <w:w w:val="105"/>
        </w:rPr>
        <w:t> </w:t>
      </w:r>
      <w:r>
        <w:rPr>
          <w:color w:val="231F20"/>
          <w:w w:val="105"/>
        </w:rPr>
        <w:t>integra</w:t>
      </w:r>
      <w:r>
        <w:rPr>
          <w:color w:val="231F20"/>
          <w:spacing w:val="-37"/>
          <w:w w:val="105"/>
        </w:rPr>
        <w:t> </w:t>
      </w:r>
      <w:r>
        <w:rPr>
          <w:color w:val="231F20"/>
          <w:w w:val="105"/>
        </w:rPr>
        <w:t>e</w:t>
      </w:r>
      <w:r>
        <w:rPr>
          <w:color w:val="231F20"/>
          <w:spacing w:val="-37"/>
          <w:w w:val="105"/>
        </w:rPr>
        <w:t> </w:t>
      </w:r>
      <w:r>
        <w:rPr>
          <w:color w:val="231F20"/>
          <w:w w:val="105"/>
        </w:rPr>
        <w:t>anche</w:t>
      </w:r>
      <w:r>
        <w:rPr>
          <w:color w:val="231F20"/>
          <w:spacing w:val="-37"/>
          <w:w w:val="105"/>
        </w:rPr>
        <w:t> </w:t>
      </w:r>
      <w:r>
        <w:rPr>
          <w:color w:val="231F20"/>
          <w:w w:val="105"/>
        </w:rPr>
        <w:t>lo</w:t>
      </w:r>
      <w:r>
        <w:rPr>
          <w:color w:val="231F20"/>
          <w:spacing w:val="-37"/>
          <w:w w:val="105"/>
        </w:rPr>
        <w:t> </w:t>
      </w:r>
      <w:r>
        <w:rPr>
          <w:color w:val="231F20"/>
          <w:w w:val="105"/>
        </w:rPr>
        <w:t>produce,</w:t>
      </w:r>
      <w:r>
        <w:rPr>
          <w:color w:val="231F20"/>
          <w:spacing w:val="-37"/>
          <w:w w:val="105"/>
        </w:rPr>
        <w:t> </w:t>
      </w:r>
      <w:r>
        <w:rPr>
          <w:color w:val="231F20"/>
          <w:w w:val="105"/>
        </w:rPr>
        <w:t>sia</w:t>
      </w:r>
      <w:r>
        <w:rPr>
          <w:color w:val="231F20"/>
          <w:spacing w:val="-37"/>
          <w:w w:val="105"/>
        </w:rPr>
        <w:t> </w:t>
      </w:r>
      <w:r>
        <w:rPr>
          <w:color w:val="231F20"/>
          <w:w w:val="105"/>
        </w:rPr>
        <w:t>in</w:t>
      </w:r>
      <w:r>
        <w:rPr>
          <w:color w:val="231F20"/>
          <w:spacing w:val="-37"/>
          <w:w w:val="105"/>
        </w:rPr>
        <w:t> </w:t>
      </w:r>
      <w:r>
        <w:rPr>
          <w:color w:val="231F20"/>
          <w:w w:val="105"/>
        </w:rPr>
        <w:t>forma</w:t>
      </w:r>
      <w:r>
        <w:rPr>
          <w:color w:val="231F20"/>
          <w:spacing w:val="-37"/>
          <w:w w:val="105"/>
        </w:rPr>
        <w:t> </w:t>
      </w:r>
      <w:r>
        <w:rPr>
          <w:color w:val="231F20"/>
          <w:w w:val="105"/>
        </w:rPr>
        <w:t>di resistenza</w:t>
      </w:r>
      <w:r>
        <w:rPr>
          <w:color w:val="231F20"/>
          <w:spacing w:val="-45"/>
          <w:w w:val="105"/>
        </w:rPr>
        <w:t> </w:t>
      </w:r>
      <w:r>
        <w:rPr>
          <w:color w:val="231F20"/>
          <w:w w:val="105"/>
        </w:rPr>
        <w:t>sia</w:t>
      </w:r>
      <w:r>
        <w:rPr>
          <w:color w:val="231F20"/>
          <w:spacing w:val="-45"/>
          <w:w w:val="105"/>
        </w:rPr>
        <w:t> </w:t>
      </w:r>
      <w:r>
        <w:rPr>
          <w:color w:val="231F20"/>
          <w:w w:val="105"/>
        </w:rPr>
        <w:t>come</w:t>
      </w:r>
      <w:r>
        <w:rPr>
          <w:color w:val="231F20"/>
          <w:spacing w:val="-45"/>
          <w:w w:val="105"/>
        </w:rPr>
        <w:t> </w:t>
      </w:r>
      <w:r>
        <w:rPr>
          <w:color w:val="231F20"/>
          <w:w w:val="105"/>
        </w:rPr>
        <w:t>appropriazione</w:t>
      </w:r>
      <w:r>
        <w:rPr>
          <w:color w:val="231F20"/>
          <w:spacing w:val="-45"/>
          <w:w w:val="105"/>
        </w:rPr>
        <w:t> </w:t>
      </w:r>
      <w:r>
        <w:rPr>
          <w:color w:val="231F20"/>
          <w:w w:val="105"/>
        </w:rPr>
        <w:t>singola.</w:t>
      </w:r>
    </w:p>
    <w:p>
      <w:pPr>
        <w:pStyle w:val="BodyText"/>
        <w:spacing w:before="5"/>
      </w:pPr>
    </w:p>
    <w:p>
      <w:pPr>
        <w:pStyle w:val="ListParagraph"/>
        <w:numPr>
          <w:ilvl w:val="0"/>
          <w:numId w:val="11"/>
        </w:numPr>
        <w:tabs>
          <w:tab w:pos="909" w:val="left" w:leader="none"/>
        </w:tabs>
        <w:spacing w:line="240" w:lineRule="auto" w:before="0" w:after="0"/>
        <w:ind w:left="908" w:right="0" w:hanging="238"/>
        <w:jc w:val="left"/>
        <w:rPr>
          <w:sz w:val="21"/>
        </w:rPr>
      </w:pPr>
      <w:r>
        <w:rPr>
          <w:color w:val="231F20"/>
          <w:sz w:val="21"/>
        </w:rPr>
        <w:t>Totalità–parzialità</w:t>
      </w:r>
    </w:p>
    <w:p>
      <w:pPr>
        <w:pStyle w:val="BodyText"/>
        <w:rPr>
          <w:sz w:val="22"/>
        </w:rPr>
      </w:pPr>
    </w:p>
    <w:p>
      <w:pPr>
        <w:pStyle w:val="BodyText"/>
        <w:spacing w:line="247" w:lineRule="auto" w:before="1"/>
        <w:ind w:left="103" w:right="112"/>
        <w:jc w:val="both"/>
      </w:pPr>
      <w:r>
        <w:rPr>
          <w:color w:val="231F20"/>
          <w:spacing w:val="3"/>
          <w:w w:val="105"/>
        </w:rPr>
        <w:t>Un’altro pregiudizio frequentemente legato </w:t>
      </w:r>
      <w:r>
        <w:rPr>
          <w:color w:val="231F20"/>
          <w:w w:val="105"/>
        </w:rPr>
        <w:t>al </w:t>
      </w:r>
      <w:r>
        <w:rPr>
          <w:color w:val="231F20"/>
          <w:spacing w:val="3"/>
          <w:w w:val="105"/>
        </w:rPr>
        <w:t>carattere omogeneo </w:t>
      </w:r>
      <w:r>
        <w:rPr>
          <w:color w:val="231F20"/>
          <w:w w:val="105"/>
        </w:rPr>
        <w:t>e unificatore della globalizzazione consiste nel vederla come una </w:t>
      </w:r>
      <w:r>
        <w:rPr>
          <w:color w:val="231F20"/>
          <w:spacing w:val="2"/>
          <w:w w:val="105"/>
        </w:rPr>
        <w:t>totalità </w:t>
      </w:r>
      <w:r>
        <w:rPr>
          <w:color w:val="231F20"/>
          <w:w w:val="105"/>
        </w:rPr>
        <w:t>continua</w:t>
      </w:r>
      <w:r>
        <w:rPr>
          <w:color w:val="231F20"/>
          <w:spacing w:val="-10"/>
          <w:w w:val="105"/>
        </w:rPr>
        <w:t> </w:t>
      </w:r>
      <w:r>
        <w:rPr>
          <w:color w:val="231F20"/>
          <w:w w:val="105"/>
        </w:rPr>
        <w:t>e</w:t>
      </w:r>
      <w:r>
        <w:rPr>
          <w:color w:val="231F20"/>
          <w:spacing w:val="-10"/>
          <w:w w:val="105"/>
        </w:rPr>
        <w:t> </w:t>
      </w:r>
      <w:r>
        <w:rPr>
          <w:color w:val="231F20"/>
          <w:w w:val="105"/>
        </w:rPr>
        <w:t>completa,</w:t>
      </w:r>
      <w:r>
        <w:rPr>
          <w:color w:val="231F20"/>
          <w:spacing w:val="-10"/>
          <w:w w:val="105"/>
        </w:rPr>
        <w:t> </w:t>
      </w:r>
      <w:r>
        <w:rPr>
          <w:color w:val="231F20"/>
          <w:w w:val="105"/>
        </w:rPr>
        <w:t>come</w:t>
      </w:r>
      <w:r>
        <w:rPr>
          <w:color w:val="231F20"/>
          <w:spacing w:val="-10"/>
          <w:w w:val="105"/>
        </w:rPr>
        <w:t> </w:t>
      </w:r>
      <w:r>
        <w:rPr>
          <w:color w:val="231F20"/>
          <w:w w:val="105"/>
        </w:rPr>
        <w:t>fosse</w:t>
      </w:r>
      <w:r>
        <w:rPr>
          <w:color w:val="231F20"/>
          <w:spacing w:val="-10"/>
          <w:w w:val="105"/>
        </w:rPr>
        <w:t> </w:t>
      </w:r>
      <w:r>
        <w:rPr>
          <w:color w:val="231F20"/>
          <w:w w:val="105"/>
        </w:rPr>
        <w:t>un</w:t>
      </w:r>
      <w:r>
        <w:rPr>
          <w:color w:val="231F20"/>
          <w:spacing w:val="-10"/>
          <w:w w:val="105"/>
        </w:rPr>
        <w:t> </w:t>
      </w:r>
      <w:r>
        <w:rPr>
          <w:color w:val="231F20"/>
          <w:w w:val="105"/>
        </w:rPr>
        <w:t>blocco</w:t>
      </w:r>
      <w:r>
        <w:rPr>
          <w:color w:val="231F20"/>
          <w:spacing w:val="-10"/>
          <w:w w:val="105"/>
        </w:rPr>
        <w:t> </w:t>
      </w:r>
      <w:r>
        <w:rPr>
          <w:color w:val="231F20"/>
          <w:w w:val="105"/>
        </w:rPr>
        <w:t>di</w:t>
      </w:r>
      <w:r>
        <w:rPr>
          <w:color w:val="231F20"/>
          <w:spacing w:val="-10"/>
          <w:w w:val="105"/>
        </w:rPr>
        <w:t> </w:t>
      </w:r>
      <w:r>
        <w:rPr>
          <w:color w:val="231F20"/>
          <w:w w:val="105"/>
        </w:rPr>
        <w:t>misure,</w:t>
      </w:r>
      <w:r>
        <w:rPr>
          <w:color w:val="231F20"/>
          <w:spacing w:val="-10"/>
          <w:w w:val="105"/>
        </w:rPr>
        <w:t> </w:t>
      </w:r>
      <w:r>
        <w:rPr>
          <w:color w:val="231F20"/>
          <w:w w:val="105"/>
        </w:rPr>
        <w:t>processi,</w:t>
      </w:r>
      <w:r>
        <w:rPr>
          <w:color w:val="231F20"/>
          <w:spacing w:val="-10"/>
          <w:w w:val="105"/>
        </w:rPr>
        <w:t> </w:t>
      </w:r>
      <w:r>
        <w:rPr>
          <w:color w:val="231F20"/>
          <w:w w:val="105"/>
        </w:rPr>
        <w:t>principi, pratiche,</w:t>
      </w:r>
      <w:r>
        <w:rPr>
          <w:color w:val="231F20"/>
          <w:spacing w:val="-16"/>
          <w:w w:val="105"/>
        </w:rPr>
        <w:t> </w:t>
      </w:r>
      <w:r>
        <w:rPr>
          <w:color w:val="231F20"/>
          <w:w w:val="105"/>
        </w:rPr>
        <w:t>immagini</w:t>
      </w:r>
      <w:r>
        <w:rPr>
          <w:color w:val="231F20"/>
          <w:spacing w:val="-16"/>
          <w:w w:val="105"/>
        </w:rPr>
        <w:t> </w:t>
      </w:r>
      <w:r>
        <w:rPr>
          <w:color w:val="231F20"/>
          <w:w w:val="105"/>
        </w:rPr>
        <w:t>e</w:t>
      </w:r>
      <w:r>
        <w:rPr>
          <w:color w:val="231F20"/>
          <w:spacing w:val="-16"/>
          <w:w w:val="105"/>
        </w:rPr>
        <w:t> </w:t>
      </w:r>
      <w:r>
        <w:rPr>
          <w:color w:val="231F20"/>
          <w:w w:val="105"/>
        </w:rPr>
        <w:t>valori</w:t>
      </w:r>
      <w:r>
        <w:rPr>
          <w:color w:val="231F20"/>
          <w:spacing w:val="-16"/>
          <w:w w:val="105"/>
        </w:rPr>
        <w:t> </w:t>
      </w:r>
      <w:r>
        <w:rPr>
          <w:color w:val="231F20"/>
          <w:w w:val="105"/>
        </w:rPr>
        <w:t>che</w:t>
      </w:r>
      <w:r>
        <w:rPr>
          <w:color w:val="231F20"/>
          <w:spacing w:val="-16"/>
          <w:w w:val="105"/>
        </w:rPr>
        <w:t> </w:t>
      </w:r>
      <w:r>
        <w:rPr>
          <w:color w:val="231F20"/>
          <w:w w:val="105"/>
        </w:rPr>
        <w:t>rispondono</w:t>
      </w:r>
      <w:r>
        <w:rPr>
          <w:color w:val="231F20"/>
          <w:spacing w:val="-16"/>
          <w:w w:val="105"/>
        </w:rPr>
        <w:t> </w:t>
      </w:r>
      <w:r>
        <w:rPr>
          <w:color w:val="231F20"/>
          <w:w w:val="105"/>
        </w:rPr>
        <w:t>a</w:t>
      </w:r>
      <w:r>
        <w:rPr>
          <w:color w:val="231F20"/>
          <w:spacing w:val="-16"/>
          <w:w w:val="105"/>
        </w:rPr>
        <w:t> </w:t>
      </w:r>
      <w:r>
        <w:rPr>
          <w:color w:val="231F20"/>
          <w:w w:val="105"/>
        </w:rPr>
        <w:t>una</w:t>
      </w:r>
      <w:r>
        <w:rPr>
          <w:color w:val="231F20"/>
          <w:spacing w:val="-16"/>
          <w:w w:val="105"/>
        </w:rPr>
        <w:t> </w:t>
      </w:r>
      <w:r>
        <w:rPr>
          <w:color w:val="231F20"/>
          <w:w w:val="105"/>
        </w:rPr>
        <w:t>stessa</w:t>
      </w:r>
      <w:r>
        <w:rPr>
          <w:color w:val="231F20"/>
          <w:spacing w:val="-16"/>
          <w:w w:val="105"/>
        </w:rPr>
        <w:t> </w:t>
      </w:r>
      <w:r>
        <w:rPr>
          <w:color w:val="231F20"/>
          <w:w w:val="105"/>
        </w:rPr>
        <w:t>logica</w:t>
      </w:r>
      <w:r>
        <w:rPr>
          <w:color w:val="231F20"/>
          <w:spacing w:val="-16"/>
          <w:w w:val="105"/>
        </w:rPr>
        <w:t> </w:t>
      </w:r>
      <w:r>
        <w:rPr>
          <w:color w:val="231F20"/>
          <w:w w:val="105"/>
        </w:rPr>
        <w:t>e</w:t>
      </w:r>
      <w:r>
        <w:rPr>
          <w:color w:val="231F20"/>
          <w:spacing w:val="-16"/>
          <w:w w:val="105"/>
        </w:rPr>
        <w:t> </w:t>
      </w:r>
      <w:r>
        <w:rPr>
          <w:color w:val="231F20"/>
          <w:w w:val="105"/>
        </w:rPr>
        <w:t>che,</w:t>
      </w:r>
      <w:r>
        <w:rPr>
          <w:color w:val="231F20"/>
          <w:spacing w:val="-16"/>
          <w:w w:val="105"/>
        </w:rPr>
        <w:t> </w:t>
      </w:r>
      <w:r>
        <w:rPr>
          <w:color w:val="231F20"/>
          <w:w w:val="105"/>
        </w:rPr>
        <w:t>per questo,</w:t>
      </w:r>
      <w:r>
        <w:rPr>
          <w:color w:val="231F20"/>
          <w:spacing w:val="-52"/>
          <w:w w:val="105"/>
        </w:rPr>
        <w:t> </w:t>
      </w:r>
      <w:r>
        <w:rPr>
          <w:color w:val="231F20"/>
          <w:w w:val="105"/>
        </w:rPr>
        <w:t>formano</w:t>
      </w:r>
      <w:r>
        <w:rPr>
          <w:color w:val="231F20"/>
          <w:spacing w:val="-52"/>
          <w:w w:val="105"/>
        </w:rPr>
        <w:t> </w:t>
      </w:r>
      <w:r>
        <w:rPr>
          <w:color w:val="231F20"/>
          <w:w w:val="105"/>
        </w:rPr>
        <w:t>un</w:t>
      </w:r>
      <w:r>
        <w:rPr>
          <w:color w:val="231F20"/>
          <w:spacing w:val="-52"/>
          <w:w w:val="105"/>
        </w:rPr>
        <w:t> </w:t>
      </w:r>
      <w:r>
        <w:rPr>
          <w:color w:val="231F20"/>
          <w:w w:val="105"/>
        </w:rPr>
        <w:t>sistema</w:t>
      </w:r>
      <w:r>
        <w:rPr>
          <w:color w:val="231F20"/>
          <w:spacing w:val="-52"/>
          <w:w w:val="105"/>
        </w:rPr>
        <w:t> </w:t>
      </w:r>
      <w:r>
        <w:rPr>
          <w:color w:val="231F20"/>
          <w:w w:val="105"/>
        </w:rPr>
        <w:t>ben</w:t>
      </w:r>
      <w:r>
        <w:rPr>
          <w:color w:val="231F20"/>
          <w:spacing w:val="-52"/>
          <w:w w:val="105"/>
        </w:rPr>
        <w:t> </w:t>
      </w:r>
      <w:r>
        <w:rPr>
          <w:color w:val="231F20"/>
          <w:w w:val="105"/>
        </w:rPr>
        <w:t>delimitato</w:t>
      </w:r>
      <w:r>
        <w:rPr>
          <w:color w:val="231F20"/>
          <w:spacing w:val="-52"/>
          <w:w w:val="105"/>
        </w:rPr>
        <w:t> </w:t>
      </w:r>
      <w:r>
        <w:rPr>
          <w:color w:val="231F20"/>
          <w:w w:val="105"/>
        </w:rPr>
        <w:t>e</w:t>
      </w:r>
      <w:r>
        <w:rPr>
          <w:color w:val="231F20"/>
          <w:spacing w:val="-52"/>
          <w:w w:val="105"/>
        </w:rPr>
        <w:t> </w:t>
      </w:r>
      <w:r>
        <w:rPr>
          <w:color w:val="231F20"/>
          <w:w w:val="105"/>
        </w:rPr>
        <w:t>coerente,</w:t>
      </w:r>
      <w:r>
        <w:rPr>
          <w:color w:val="231F20"/>
          <w:spacing w:val="-52"/>
          <w:w w:val="105"/>
        </w:rPr>
        <w:t> </w:t>
      </w:r>
      <w:r>
        <w:rPr>
          <w:color w:val="231F20"/>
          <w:w w:val="105"/>
        </w:rPr>
        <w:t>senza</w:t>
      </w:r>
      <w:r>
        <w:rPr>
          <w:color w:val="231F20"/>
          <w:spacing w:val="-52"/>
          <w:w w:val="105"/>
        </w:rPr>
        <w:t> </w:t>
      </w:r>
      <w:r>
        <w:rPr>
          <w:color w:val="231F20"/>
          <w:w w:val="105"/>
        </w:rPr>
        <w:t>contraddizioni ne</w:t>
      </w:r>
      <w:r>
        <w:rPr>
          <w:color w:val="231F20"/>
          <w:spacing w:val="-21"/>
          <w:w w:val="105"/>
        </w:rPr>
        <w:t> </w:t>
      </w:r>
      <w:r>
        <w:rPr>
          <w:color w:val="231F20"/>
          <w:w w:val="105"/>
        </w:rPr>
        <w:t>vuoti.</w:t>
      </w:r>
      <w:r>
        <w:rPr>
          <w:color w:val="231F20"/>
          <w:spacing w:val="-21"/>
          <w:w w:val="105"/>
        </w:rPr>
        <w:t> </w:t>
      </w:r>
      <w:r>
        <w:rPr>
          <w:color w:val="231F20"/>
          <w:w w:val="105"/>
        </w:rPr>
        <w:t>Dall’altra</w:t>
      </w:r>
      <w:r>
        <w:rPr>
          <w:color w:val="231F20"/>
          <w:spacing w:val="-21"/>
          <w:w w:val="105"/>
        </w:rPr>
        <w:t> </w:t>
      </w:r>
      <w:r>
        <w:rPr>
          <w:color w:val="231F20"/>
          <w:w w:val="105"/>
        </w:rPr>
        <w:t>parte,</w:t>
      </w:r>
      <w:r>
        <w:rPr>
          <w:color w:val="231F20"/>
          <w:spacing w:val="-21"/>
          <w:w w:val="105"/>
        </w:rPr>
        <w:t> </w:t>
      </w:r>
      <w:r>
        <w:rPr>
          <w:color w:val="231F20"/>
          <w:w w:val="105"/>
        </w:rPr>
        <w:t>il</w:t>
      </w:r>
      <w:r>
        <w:rPr>
          <w:color w:val="231F20"/>
          <w:spacing w:val="-21"/>
          <w:w w:val="105"/>
        </w:rPr>
        <w:t> </w:t>
      </w:r>
      <w:r>
        <w:rPr>
          <w:color w:val="231F20"/>
          <w:w w:val="105"/>
        </w:rPr>
        <w:t>parziale</w:t>
      </w:r>
      <w:r>
        <w:rPr>
          <w:color w:val="231F20"/>
          <w:spacing w:val="-21"/>
          <w:w w:val="105"/>
        </w:rPr>
        <w:t> </w:t>
      </w:r>
      <w:r>
        <w:rPr>
          <w:color w:val="231F20"/>
          <w:w w:val="105"/>
        </w:rPr>
        <w:t>si</w:t>
      </w:r>
      <w:r>
        <w:rPr>
          <w:color w:val="231F20"/>
          <w:spacing w:val="-21"/>
          <w:w w:val="105"/>
        </w:rPr>
        <w:t> </w:t>
      </w:r>
      <w:r>
        <w:rPr>
          <w:color w:val="231F20"/>
          <w:w w:val="105"/>
        </w:rPr>
        <w:t>vede</w:t>
      </w:r>
      <w:r>
        <w:rPr>
          <w:color w:val="231F20"/>
          <w:spacing w:val="-21"/>
          <w:w w:val="105"/>
        </w:rPr>
        <w:t> </w:t>
      </w:r>
      <w:r>
        <w:rPr>
          <w:color w:val="231F20"/>
          <w:w w:val="105"/>
        </w:rPr>
        <w:t>sempre</w:t>
      </w:r>
      <w:r>
        <w:rPr>
          <w:color w:val="231F20"/>
          <w:spacing w:val="-21"/>
          <w:w w:val="105"/>
        </w:rPr>
        <w:t> </w:t>
      </w:r>
      <w:r>
        <w:rPr>
          <w:color w:val="231F20"/>
          <w:w w:val="105"/>
        </w:rPr>
        <w:t>come</w:t>
      </w:r>
      <w:r>
        <w:rPr>
          <w:color w:val="231F20"/>
          <w:spacing w:val="-21"/>
          <w:w w:val="105"/>
        </w:rPr>
        <w:t> </w:t>
      </w:r>
      <w:r>
        <w:rPr>
          <w:color w:val="231F20"/>
          <w:w w:val="105"/>
        </w:rPr>
        <w:t>il</w:t>
      </w:r>
      <w:r>
        <w:rPr>
          <w:color w:val="231F20"/>
          <w:spacing w:val="-21"/>
          <w:w w:val="105"/>
        </w:rPr>
        <w:t> </w:t>
      </w:r>
      <w:r>
        <w:rPr>
          <w:color w:val="231F20"/>
          <w:w w:val="105"/>
        </w:rPr>
        <w:t>non</w:t>
      </w:r>
      <w:r>
        <w:rPr>
          <w:color w:val="231F20"/>
          <w:spacing w:val="-21"/>
          <w:w w:val="105"/>
        </w:rPr>
        <w:t> </w:t>
      </w:r>
      <w:r>
        <w:rPr>
          <w:color w:val="231F20"/>
          <w:w w:val="105"/>
        </w:rPr>
        <w:t>completo,</w:t>
      </w:r>
    </w:p>
    <w:p>
      <w:pPr>
        <w:pStyle w:val="BodyText"/>
        <w:spacing w:before="11"/>
        <w:rPr>
          <w:sz w:val="16"/>
        </w:rPr>
      </w:pPr>
      <w:r>
        <w:rPr/>
        <w:pict>
          <v:line style="position:absolute;mso-position-horizontal-relative:page;mso-position-vertical-relative:paragraph;z-index:11272;mso-wrap-distance-left:0;mso-wrap-distance-right:0" from="65.1968pt,12.306985pt" to="178.5828pt,12.306985pt" stroked="true" strokeweight=".3pt" strokecolor="#231f20">
            <w10:wrap type="topAndBottom"/>
          </v:line>
        </w:pict>
      </w:r>
    </w:p>
    <w:p>
      <w:pPr>
        <w:spacing w:line="206" w:lineRule="exact" w:before="10"/>
        <w:ind w:left="103" w:right="0" w:firstLine="0"/>
        <w:jc w:val="left"/>
        <w:rPr>
          <w:rFonts w:ascii="Calibri"/>
          <w:sz w:val="17"/>
        </w:rPr>
      </w:pPr>
      <w:r>
        <w:rPr>
          <w:rFonts w:ascii="Calibri"/>
          <w:color w:val="231F20"/>
          <w:position w:val="6"/>
          <w:sz w:val="10"/>
        </w:rPr>
        <w:t>17 </w:t>
      </w:r>
      <w:r>
        <w:rPr>
          <w:rFonts w:ascii="Calibri"/>
          <w:color w:val="231F20"/>
          <w:sz w:val="17"/>
        </w:rPr>
        <w:t>Marramao, </w:t>
      </w:r>
      <w:r>
        <w:rPr>
          <w:rFonts w:ascii="Calibri"/>
          <w:i/>
          <w:color w:val="231F20"/>
          <w:sz w:val="17"/>
        </w:rPr>
        <w:t>Pasaje a Occidente</w:t>
      </w:r>
      <w:r>
        <w:rPr>
          <w:rFonts w:ascii="Calibri"/>
          <w:color w:val="231F20"/>
          <w:sz w:val="17"/>
        </w:rPr>
        <w:t>, p. 42.</w:t>
      </w:r>
    </w:p>
    <w:p>
      <w:pPr>
        <w:spacing w:line="206" w:lineRule="exact" w:before="0"/>
        <w:ind w:left="103" w:right="0" w:firstLine="0"/>
        <w:jc w:val="left"/>
        <w:rPr>
          <w:rFonts w:ascii="Calibri"/>
          <w:sz w:val="17"/>
        </w:rPr>
      </w:pPr>
      <w:r>
        <w:rPr>
          <w:rFonts w:ascii="Calibri"/>
          <w:color w:val="231F20"/>
          <w:position w:val="6"/>
          <w:sz w:val="10"/>
        </w:rPr>
        <w:t>18  </w:t>
      </w:r>
      <w:r>
        <w:rPr>
          <w:rFonts w:ascii="Calibri"/>
          <w:color w:val="231F20"/>
          <w:sz w:val="17"/>
        </w:rPr>
        <w:t>Ritzer, </w:t>
      </w:r>
      <w:r>
        <w:rPr>
          <w:rFonts w:ascii="Calibri"/>
          <w:i/>
          <w:color w:val="231F20"/>
          <w:sz w:val="17"/>
        </w:rPr>
        <w:t>Globalization</w:t>
      </w:r>
      <w:r>
        <w:rPr>
          <w:rFonts w:ascii="Calibri"/>
          <w:color w:val="231F20"/>
          <w:sz w:val="17"/>
        </w:rPr>
        <w:t>.</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4104"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66</w:t>
        <w:tab/>
      </w:r>
      <w:r>
        <w:rPr>
          <w:rFonts w:ascii="Calibri" w:hAnsi="Calibri"/>
          <w:color w:val="6D6E71"/>
          <w:w w:val="105"/>
          <w:sz w:val="16"/>
        </w:rPr>
        <w:t>María</w:t>
      </w:r>
      <w:r>
        <w:rPr>
          <w:rFonts w:ascii="Calibri" w:hAnsi="Calibri"/>
          <w:color w:val="6D6E71"/>
          <w:spacing w:val="-19"/>
          <w:w w:val="105"/>
          <w:sz w:val="16"/>
        </w:rPr>
        <w:t> </w:t>
      </w:r>
      <w:r>
        <w:rPr>
          <w:rFonts w:ascii="Calibri" w:hAnsi="Calibri"/>
          <w:color w:val="6D6E71"/>
          <w:w w:val="105"/>
          <w:sz w:val="16"/>
        </w:rPr>
        <w:t>Luisa</w:t>
      </w:r>
      <w:r>
        <w:rPr>
          <w:rFonts w:ascii="Calibri" w:hAnsi="Calibri"/>
          <w:color w:val="6D6E71"/>
          <w:spacing w:val="-19"/>
          <w:w w:val="105"/>
          <w:sz w:val="16"/>
        </w:rPr>
        <w:t> </w:t>
      </w:r>
      <w:r>
        <w:rPr>
          <w:rFonts w:ascii="Calibri" w:hAnsi="Calibri"/>
          <w:color w:val="6D6E71"/>
          <w:w w:val="105"/>
          <w:sz w:val="16"/>
        </w:rPr>
        <w:t>Bacarlett</w:t>
      </w:r>
      <w:r>
        <w:rPr>
          <w:rFonts w:ascii="Calibri" w:hAnsi="Calibri"/>
          <w:color w:val="6D6E71"/>
          <w:spacing w:val="-19"/>
          <w:w w:val="105"/>
          <w:sz w:val="16"/>
        </w:rPr>
        <w:t> </w:t>
      </w:r>
      <w:r>
        <w:rPr>
          <w:rFonts w:ascii="Calibri" w:hAnsi="Calibri"/>
          <w:color w:val="6D6E71"/>
          <w:w w:val="105"/>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717" w:right="0" w:firstLine="0"/>
        <w:jc w:val="left"/>
        <w:rPr>
          <w:rFonts w:ascii="Trebuchet MS"/>
          <w:sz w:val="20"/>
        </w:rPr>
      </w:pPr>
      <w:r>
        <w:rPr/>
        <w:pict>
          <v:group style="position:absolute;margin-left:383.821014pt;margin-top:-25.479271pt;width:8.65pt;height:41pt;mso-position-horizontal-relative:page;mso-position-vertical-relative:paragraph;z-index:-16405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color w:val="6D6E71"/>
          <w:w w:val="95"/>
          <w:sz w:val="14"/>
        </w:rPr>
        <w:t>NATURALIZZARE</w:t>
      </w:r>
      <w:r>
        <w:rPr>
          <w:rFonts w:ascii="Lucida Sans Unicode"/>
          <w:color w:val="6D6E71"/>
          <w:spacing w:val="-18"/>
          <w:w w:val="95"/>
          <w:sz w:val="14"/>
        </w:rPr>
        <w:t> </w:t>
      </w:r>
      <w:r>
        <w:rPr>
          <w:rFonts w:ascii="Lucida Sans Unicode"/>
          <w:color w:val="6D6E71"/>
          <w:w w:val="95"/>
          <w:sz w:val="14"/>
        </w:rPr>
        <w:t>I</w:t>
      </w:r>
      <w:r>
        <w:rPr>
          <w:rFonts w:ascii="Lucida Sans Unicode"/>
          <w:color w:val="6D6E71"/>
          <w:spacing w:val="-18"/>
          <w:w w:val="95"/>
          <w:sz w:val="14"/>
        </w:rPr>
        <w:t> </w:t>
      </w:r>
      <w:r>
        <w:rPr>
          <w:rFonts w:ascii="Lucida Sans Unicode"/>
          <w:color w:val="6D6E71"/>
          <w:w w:val="95"/>
          <w:sz w:val="14"/>
        </w:rPr>
        <w:t>PARADOSSI:</w:t>
      </w:r>
      <w:r>
        <w:rPr>
          <w:rFonts w:ascii="Lucida Sans Unicode"/>
          <w:color w:val="6D6E71"/>
          <w:spacing w:val="-18"/>
          <w:w w:val="95"/>
          <w:sz w:val="14"/>
        </w:rPr>
        <w:t> </w:t>
      </w:r>
      <w:r>
        <w:rPr>
          <w:rFonts w:ascii="Lucida Sans Unicode"/>
          <w:color w:val="6D6E71"/>
          <w:w w:val="95"/>
          <w:sz w:val="14"/>
        </w:rPr>
        <w:t>UN</w:t>
      </w:r>
      <w:r>
        <w:rPr>
          <w:rFonts w:ascii="Lucida Sans Unicode"/>
          <w:color w:val="6D6E71"/>
          <w:spacing w:val="-18"/>
          <w:w w:val="95"/>
          <w:sz w:val="14"/>
        </w:rPr>
        <w:t> </w:t>
      </w:r>
      <w:r>
        <w:rPr>
          <w:rFonts w:ascii="Lucida Sans Unicode"/>
          <w:color w:val="6D6E71"/>
          <w:w w:val="95"/>
          <w:sz w:val="14"/>
        </w:rPr>
        <w:t>APPROCCIO</w:t>
      </w:r>
      <w:r>
        <w:rPr>
          <w:rFonts w:ascii="Lucida Sans Unicode"/>
          <w:color w:val="6D6E71"/>
          <w:spacing w:val="-18"/>
          <w:w w:val="95"/>
          <w:sz w:val="14"/>
        </w:rPr>
        <w:t> </w:t>
      </w:r>
      <w:r>
        <w:rPr>
          <w:rFonts w:ascii="Lucida Sans Unicode"/>
          <w:color w:val="6D6E71"/>
          <w:w w:val="95"/>
          <w:sz w:val="14"/>
        </w:rPr>
        <w:t>ALLA</w:t>
      </w:r>
      <w:r>
        <w:rPr>
          <w:rFonts w:ascii="Lucida Sans Unicode"/>
          <w:color w:val="6D6E71"/>
          <w:spacing w:val="-18"/>
          <w:w w:val="95"/>
          <w:sz w:val="14"/>
        </w:rPr>
        <w:t> </w:t>
      </w:r>
      <w:r>
        <w:rPr>
          <w:rFonts w:ascii="Lucida Sans Unicode"/>
          <w:color w:val="6D6E71"/>
          <w:w w:val="95"/>
          <w:sz w:val="14"/>
        </w:rPr>
        <w:t>GLOBALIZZAZIONE</w:t>
      </w:r>
      <w:r>
        <w:rPr>
          <w:rFonts w:ascii="Lucida Sans Unicode"/>
          <w:color w:val="6D6E71"/>
          <w:spacing w:val="-18"/>
          <w:w w:val="95"/>
          <w:sz w:val="14"/>
        </w:rPr>
        <w:t> </w:t>
      </w:r>
      <w:r>
        <w:rPr>
          <w:rFonts w:ascii="Lucida Sans Unicode"/>
          <w:color w:val="6D6E71"/>
          <w:w w:val="95"/>
          <w:sz w:val="14"/>
        </w:rPr>
        <w:t>DA</w:t>
      </w:r>
      <w:r>
        <w:rPr>
          <w:rFonts w:ascii="Lucida Sans Unicode"/>
          <w:color w:val="6D6E71"/>
          <w:spacing w:val="-18"/>
          <w:w w:val="95"/>
          <w:sz w:val="14"/>
        </w:rPr>
        <w:t> </w:t>
      </w:r>
      <w:r>
        <w:rPr>
          <w:rFonts w:ascii="Lucida Sans Unicode"/>
          <w:color w:val="6D6E71"/>
          <w:w w:val="95"/>
          <w:sz w:val="14"/>
        </w:rPr>
        <w:t>GILLES</w:t>
      </w:r>
      <w:r>
        <w:rPr>
          <w:rFonts w:ascii="Lucida Sans Unicode"/>
          <w:color w:val="6D6E71"/>
          <w:spacing w:val="-18"/>
          <w:w w:val="95"/>
          <w:sz w:val="14"/>
        </w:rPr>
        <w:t> </w:t>
      </w:r>
      <w:r>
        <w:rPr>
          <w:rFonts w:ascii="Lucida Sans Unicode"/>
          <w:color w:val="6D6E71"/>
          <w:w w:val="95"/>
          <w:sz w:val="14"/>
        </w:rPr>
        <w:t>DELEUZE</w:t>
      </w:r>
      <w:r>
        <w:rPr>
          <w:rFonts w:ascii="Trebuchet MS"/>
          <w:color w:val="414042"/>
          <w:w w:val="95"/>
          <w:position w:val="-3"/>
          <w:sz w:val="20"/>
        </w:rPr>
        <w:tab/>
        <w:t>67</w:t>
      </w:r>
    </w:p>
    <w:p>
      <w:pPr>
        <w:pStyle w:val="BodyText"/>
        <w:rPr>
          <w:rFonts w:ascii="Trebuchet MS"/>
          <w:sz w:val="20"/>
        </w:rPr>
      </w:pPr>
    </w:p>
    <w:p>
      <w:pPr>
        <w:pStyle w:val="BodyText"/>
        <w:rPr>
          <w:rFonts w:ascii="Trebuchet MS"/>
          <w:sz w:val="20"/>
        </w:rPr>
      </w:pPr>
    </w:p>
    <w:p>
      <w:pPr>
        <w:pStyle w:val="BodyText"/>
        <w:spacing w:line="247" w:lineRule="auto" w:before="156"/>
        <w:ind w:left="117" w:right="120"/>
        <w:jc w:val="both"/>
      </w:pPr>
      <w:r>
        <w:rPr>
          <w:color w:val="231F20"/>
          <w:w w:val="105"/>
        </w:rPr>
        <w:t>bisognoso</w:t>
      </w:r>
      <w:r>
        <w:rPr>
          <w:color w:val="231F20"/>
          <w:spacing w:val="-24"/>
          <w:w w:val="105"/>
        </w:rPr>
        <w:t> </w:t>
      </w:r>
      <w:r>
        <w:rPr>
          <w:color w:val="231F20"/>
          <w:w w:val="105"/>
        </w:rPr>
        <w:t>di</w:t>
      </w:r>
      <w:r>
        <w:rPr>
          <w:color w:val="231F20"/>
          <w:spacing w:val="-24"/>
          <w:w w:val="105"/>
        </w:rPr>
        <w:t> </w:t>
      </w:r>
      <w:r>
        <w:rPr>
          <w:color w:val="231F20"/>
          <w:w w:val="105"/>
        </w:rPr>
        <w:t>coerenza</w:t>
      </w:r>
      <w:r>
        <w:rPr>
          <w:color w:val="231F20"/>
          <w:spacing w:val="-24"/>
          <w:w w:val="105"/>
        </w:rPr>
        <w:t> </w:t>
      </w:r>
      <w:r>
        <w:rPr>
          <w:color w:val="231F20"/>
          <w:w w:val="105"/>
        </w:rPr>
        <w:t>e</w:t>
      </w:r>
      <w:r>
        <w:rPr>
          <w:color w:val="231F20"/>
          <w:spacing w:val="-24"/>
          <w:w w:val="105"/>
        </w:rPr>
        <w:t> </w:t>
      </w:r>
      <w:r>
        <w:rPr>
          <w:color w:val="231F20"/>
          <w:w w:val="105"/>
        </w:rPr>
        <w:t>integrazione</w:t>
      </w:r>
      <w:r>
        <w:rPr>
          <w:color w:val="231F20"/>
          <w:spacing w:val="-24"/>
          <w:w w:val="105"/>
        </w:rPr>
        <w:t> </w:t>
      </w:r>
      <w:r>
        <w:rPr>
          <w:color w:val="231F20"/>
          <w:w w:val="105"/>
        </w:rPr>
        <w:t>in</w:t>
      </w:r>
      <w:r>
        <w:rPr>
          <w:color w:val="231F20"/>
          <w:spacing w:val="-24"/>
          <w:w w:val="105"/>
        </w:rPr>
        <w:t> </w:t>
      </w:r>
      <w:r>
        <w:rPr>
          <w:color w:val="231F20"/>
          <w:w w:val="105"/>
        </w:rPr>
        <w:t>un</w:t>
      </w:r>
      <w:r>
        <w:rPr>
          <w:color w:val="231F20"/>
          <w:spacing w:val="-24"/>
          <w:w w:val="105"/>
        </w:rPr>
        <w:t> </w:t>
      </w:r>
      <w:r>
        <w:rPr>
          <w:color w:val="231F20"/>
          <w:w w:val="105"/>
        </w:rPr>
        <w:t>tutto</w:t>
      </w:r>
      <w:r>
        <w:rPr>
          <w:color w:val="231F20"/>
          <w:spacing w:val="-24"/>
          <w:w w:val="105"/>
        </w:rPr>
        <w:t> </w:t>
      </w:r>
      <w:r>
        <w:rPr>
          <w:color w:val="231F20"/>
          <w:w w:val="105"/>
        </w:rPr>
        <w:t>più</w:t>
      </w:r>
      <w:r>
        <w:rPr>
          <w:color w:val="231F20"/>
          <w:spacing w:val="-24"/>
          <w:w w:val="105"/>
        </w:rPr>
        <w:t> </w:t>
      </w:r>
      <w:r>
        <w:rPr>
          <w:color w:val="231F20"/>
          <w:w w:val="105"/>
        </w:rPr>
        <w:t>ampio.</w:t>
      </w:r>
      <w:r>
        <w:rPr>
          <w:color w:val="231F20"/>
          <w:spacing w:val="-24"/>
          <w:w w:val="105"/>
        </w:rPr>
        <w:t> </w:t>
      </w:r>
      <w:r>
        <w:rPr>
          <w:color w:val="231F20"/>
          <w:w w:val="105"/>
        </w:rPr>
        <w:t>L’unificazione che implica la logica globale si esprimerebbe come integrazione di un insieme</w:t>
      </w:r>
      <w:r>
        <w:rPr>
          <w:color w:val="231F20"/>
          <w:spacing w:val="-25"/>
          <w:w w:val="105"/>
        </w:rPr>
        <w:t> </w:t>
      </w:r>
      <w:r>
        <w:rPr>
          <w:color w:val="231F20"/>
          <w:w w:val="105"/>
        </w:rPr>
        <w:t>di</w:t>
      </w:r>
      <w:r>
        <w:rPr>
          <w:color w:val="231F20"/>
          <w:spacing w:val="-25"/>
          <w:w w:val="105"/>
        </w:rPr>
        <w:t> </w:t>
      </w:r>
      <w:r>
        <w:rPr>
          <w:color w:val="231F20"/>
          <w:w w:val="105"/>
        </w:rPr>
        <w:t>espressioni</w:t>
      </w:r>
      <w:r>
        <w:rPr>
          <w:color w:val="231F20"/>
          <w:spacing w:val="-25"/>
          <w:w w:val="105"/>
        </w:rPr>
        <w:t> </w:t>
      </w:r>
      <w:r>
        <w:rPr>
          <w:color w:val="231F20"/>
          <w:w w:val="105"/>
        </w:rPr>
        <w:t>parziali</w:t>
      </w:r>
      <w:r>
        <w:rPr>
          <w:color w:val="231F20"/>
          <w:spacing w:val="-25"/>
          <w:w w:val="105"/>
        </w:rPr>
        <w:t> </w:t>
      </w:r>
      <w:r>
        <w:rPr>
          <w:color w:val="231F20"/>
          <w:w w:val="105"/>
        </w:rPr>
        <w:t>che</w:t>
      </w:r>
      <w:r>
        <w:rPr>
          <w:color w:val="231F20"/>
          <w:spacing w:val="-25"/>
          <w:w w:val="105"/>
        </w:rPr>
        <w:t> </w:t>
      </w:r>
      <w:r>
        <w:rPr>
          <w:color w:val="231F20"/>
          <w:w w:val="105"/>
        </w:rPr>
        <w:t>per</w:t>
      </w:r>
      <w:r>
        <w:rPr>
          <w:color w:val="231F20"/>
          <w:spacing w:val="-25"/>
          <w:w w:val="105"/>
        </w:rPr>
        <w:t> </w:t>
      </w:r>
      <w:r>
        <w:rPr>
          <w:color w:val="231F20"/>
          <w:w w:val="105"/>
        </w:rPr>
        <w:t>loro</w:t>
      </w:r>
      <w:r>
        <w:rPr>
          <w:color w:val="231F20"/>
          <w:spacing w:val="-25"/>
          <w:w w:val="105"/>
        </w:rPr>
        <w:t> </w:t>
      </w:r>
      <w:r>
        <w:rPr>
          <w:color w:val="231F20"/>
          <w:w w:val="105"/>
        </w:rPr>
        <w:t>stesse</w:t>
      </w:r>
      <w:r>
        <w:rPr>
          <w:color w:val="231F20"/>
          <w:spacing w:val="-25"/>
          <w:w w:val="105"/>
        </w:rPr>
        <w:t> </w:t>
      </w:r>
      <w:r>
        <w:rPr>
          <w:color w:val="231F20"/>
          <w:w w:val="105"/>
        </w:rPr>
        <w:t>mancano</w:t>
      </w:r>
      <w:r>
        <w:rPr>
          <w:color w:val="231F20"/>
          <w:spacing w:val="-25"/>
          <w:w w:val="105"/>
        </w:rPr>
        <w:t> </w:t>
      </w:r>
      <w:r>
        <w:rPr>
          <w:color w:val="231F20"/>
          <w:w w:val="105"/>
        </w:rPr>
        <w:t>di</w:t>
      </w:r>
      <w:r>
        <w:rPr>
          <w:color w:val="231F20"/>
          <w:spacing w:val="-25"/>
          <w:w w:val="105"/>
        </w:rPr>
        <w:t> </w:t>
      </w:r>
      <w:r>
        <w:rPr>
          <w:color w:val="231F20"/>
          <w:w w:val="105"/>
        </w:rPr>
        <w:t>consistenza e</w:t>
      </w:r>
      <w:r>
        <w:rPr>
          <w:color w:val="231F20"/>
          <w:spacing w:val="-52"/>
          <w:w w:val="105"/>
        </w:rPr>
        <w:t> </w:t>
      </w:r>
      <w:r>
        <w:rPr>
          <w:color w:val="231F20"/>
          <w:w w:val="105"/>
        </w:rPr>
        <w:t>completezza.</w:t>
      </w:r>
      <w:r>
        <w:rPr>
          <w:color w:val="231F20"/>
          <w:spacing w:val="-52"/>
          <w:w w:val="105"/>
        </w:rPr>
        <w:t> </w:t>
      </w:r>
      <w:r>
        <w:rPr>
          <w:color w:val="231F20"/>
          <w:w w:val="105"/>
        </w:rPr>
        <w:t>Nonostante,</w:t>
      </w:r>
      <w:r>
        <w:rPr>
          <w:color w:val="231F20"/>
          <w:spacing w:val="-52"/>
          <w:w w:val="105"/>
        </w:rPr>
        <w:t> </w:t>
      </w:r>
      <w:r>
        <w:rPr>
          <w:color w:val="231F20"/>
          <w:w w:val="105"/>
        </w:rPr>
        <w:t>entrambi</w:t>
      </w:r>
      <w:r>
        <w:rPr>
          <w:color w:val="231F20"/>
          <w:spacing w:val="-52"/>
          <w:w w:val="105"/>
        </w:rPr>
        <w:t> </w:t>
      </w:r>
      <w:r>
        <w:rPr>
          <w:color w:val="231F20"/>
          <w:w w:val="105"/>
        </w:rPr>
        <w:t>gli</w:t>
      </w:r>
      <w:r>
        <w:rPr>
          <w:color w:val="231F20"/>
          <w:spacing w:val="-52"/>
          <w:w w:val="105"/>
        </w:rPr>
        <w:t> </w:t>
      </w:r>
      <w:r>
        <w:rPr>
          <w:color w:val="231F20"/>
          <w:w w:val="105"/>
        </w:rPr>
        <w:t>elementi</w:t>
      </w:r>
      <w:r>
        <w:rPr>
          <w:color w:val="231F20"/>
          <w:spacing w:val="-52"/>
          <w:w w:val="105"/>
        </w:rPr>
        <w:t> </w:t>
      </w:r>
      <w:r>
        <w:rPr>
          <w:color w:val="231F20"/>
          <w:w w:val="105"/>
        </w:rPr>
        <w:t>in</w:t>
      </w:r>
      <w:r>
        <w:rPr>
          <w:color w:val="231F20"/>
          <w:spacing w:val="-52"/>
          <w:w w:val="105"/>
        </w:rPr>
        <w:t> </w:t>
      </w:r>
      <w:r>
        <w:rPr>
          <w:color w:val="231F20"/>
          <w:spacing w:val="-3"/>
          <w:w w:val="105"/>
        </w:rPr>
        <w:t>realtà</w:t>
      </w:r>
      <w:r>
        <w:rPr>
          <w:color w:val="231F20"/>
          <w:spacing w:val="-52"/>
          <w:w w:val="105"/>
        </w:rPr>
        <w:t> </w:t>
      </w:r>
      <w:r>
        <w:rPr>
          <w:color w:val="231F20"/>
          <w:w w:val="105"/>
        </w:rPr>
        <w:t>non</w:t>
      </w:r>
      <w:r>
        <w:rPr>
          <w:color w:val="231F20"/>
          <w:spacing w:val="-52"/>
          <w:w w:val="105"/>
        </w:rPr>
        <w:t> </w:t>
      </w:r>
      <w:r>
        <w:rPr>
          <w:color w:val="231F20"/>
          <w:w w:val="105"/>
        </w:rPr>
        <w:t>si</w:t>
      </w:r>
      <w:r>
        <w:rPr>
          <w:color w:val="231F20"/>
          <w:spacing w:val="-52"/>
          <w:w w:val="105"/>
        </w:rPr>
        <w:t> </w:t>
      </w:r>
      <w:r>
        <w:rPr>
          <w:color w:val="231F20"/>
          <w:w w:val="105"/>
        </w:rPr>
        <w:t>escludono, ma si completano: nessuno dei due ne completo ne mancante in modo assoluto. Ne il globale è una totalità coerente e uniforme, ne il locale è parziale</w:t>
      </w:r>
      <w:r>
        <w:rPr>
          <w:color w:val="231F20"/>
          <w:spacing w:val="-47"/>
          <w:w w:val="105"/>
        </w:rPr>
        <w:t> </w:t>
      </w:r>
      <w:r>
        <w:rPr>
          <w:color w:val="231F20"/>
          <w:w w:val="105"/>
        </w:rPr>
        <w:t>e</w:t>
      </w:r>
      <w:r>
        <w:rPr>
          <w:color w:val="231F20"/>
          <w:spacing w:val="-47"/>
          <w:w w:val="105"/>
        </w:rPr>
        <w:t> </w:t>
      </w:r>
      <w:r>
        <w:rPr>
          <w:color w:val="231F20"/>
          <w:spacing w:val="-3"/>
          <w:w w:val="105"/>
        </w:rPr>
        <w:t>incoerente;</w:t>
      </w:r>
      <w:r>
        <w:rPr>
          <w:color w:val="231F20"/>
          <w:spacing w:val="-47"/>
          <w:w w:val="105"/>
        </w:rPr>
        <w:t> </w:t>
      </w:r>
      <w:r>
        <w:rPr>
          <w:color w:val="231F20"/>
          <w:w w:val="105"/>
        </w:rPr>
        <w:t>ma</w:t>
      </w:r>
      <w:r>
        <w:rPr>
          <w:color w:val="231F20"/>
          <w:spacing w:val="-47"/>
          <w:w w:val="105"/>
        </w:rPr>
        <w:t> </w:t>
      </w:r>
      <w:r>
        <w:rPr>
          <w:color w:val="231F20"/>
          <w:w w:val="105"/>
        </w:rPr>
        <w:t>neanche</w:t>
      </w:r>
      <w:r>
        <w:rPr>
          <w:color w:val="231F20"/>
          <w:spacing w:val="-47"/>
          <w:w w:val="105"/>
        </w:rPr>
        <w:t> </w:t>
      </w:r>
      <w:r>
        <w:rPr>
          <w:color w:val="231F20"/>
          <w:w w:val="105"/>
        </w:rPr>
        <w:t>il</w:t>
      </w:r>
      <w:r>
        <w:rPr>
          <w:color w:val="231F20"/>
          <w:spacing w:val="-47"/>
          <w:w w:val="105"/>
        </w:rPr>
        <w:t> </w:t>
      </w:r>
      <w:r>
        <w:rPr>
          <w:color w:val="231F20"/>
          <w:w w:val="105"/>
        </w:rPr>
        <w:t>locale</w:t>
      </w:r>
      <w:r>
        <w:rPr>
          <w:color w:val="231F20"/>
          <w:spacing w:val="-49"/>
          <w:w w:val="105"/>
        </w:rPr>
        <w:t> </w:t>
      </w:r>
      <w:r>
        <w:rPr>
          <w:color w:val="231F20"/>
          <w:w w:val="105"/>
        </w:rPr>
        <w:t>è</w:t>
      </w:r>
      <w:r>
        <w:rPr>
          <w:color w:val="231F20"/>
          <w:spacing w:val="-47"/>
          <w:w w:val="105"/>
        </w:rPr>
        <w:t> </w:t>
      </w:r>
      <w:r>
        <w:rPr>
          <w:color w:val="231F20"/>
          <w:w w:val="105"/>
        </w:rPr>
        <w:t>unitario</w:t>
      </w:r>
      <w:r>
        <w:rPr>
          <w:color w:val="231F20"/>
          <w:spacing w:val="-47"/>
          <w:w w:val="105"/>
        </w:rPr>
        <w:t> </w:t>
      </w:r>
      <w:r>
        <w:rPr>
          <w:color w:val="231F20"/>
          <w:w w:val="105"/>
        </w:rPr>
        <w:t>e</w:t>
      </w:r>
      <w:r>
        <w:rPr>
          <w:color w:val="231F20"/>
          <w:spacing w:val="-47"/>
          <w:w w:val="105"/>
        </w:rPr>
        <w:t> </w:t>
      </w:r>
      <w:r>
        <w:rPr>
          <w:color w:val="231F20"/>
          <w:w w:val="105"/>
        </w:rPr>
        <w:t>completo</w:t>
      </w:r>
      <w:r>
        <w:rPr>
          <w:color w:val="231F20"/>
          <w:spacing w:val="-47"/>
          <w:w w:val="105"/>
        </w:rPr>
        <w:t> </w:t>
      </w:r>
      <w:r>
        <w:rPr>
          <w:color w:val="231F20"/>
          <w:w w:val="105"/>
        </w:rPr>
        <w:t>in</w:t>
      </w:r>
      <w:r>
        <w:rPr>
          <w:color w:val="231F20"/>
          <w:spacing w:val="-47"/>
          <w:w w:val="105"/>
        </w:rPr>
        <w:t> </w:t>
      </w:r>
      <w:r>
        <w:rPr>
          <w:color w:val="231F20"/>
          <w:w w:val="105"/>
        </w:rPr>
        <w:t>se</w:t>
      </w:r>
      <w:r>
        <w:rPr>
          <w:color w:val="231F20"/>
          <w:spacing w:val="-47"/>
          <w:w w:val="105"/>
        </w:rPr>
        <w:t> </w:t>
      </w:r>
      <w:r>
        <w:rPr>
          <w:color w:val="231F20"/>
          <w:w w:val="105"/>
        </w:rPr>
        <w:t>stesso, </w:t>
      </w:r>
      <w:r>
        <w:rPr>
          <w:color w:val="231F20"/>
          <w:spacing w:val="-3"/>
          <w:w w:val="105"/>
        </w:rPr>
        <w:t>prospettiva</w:t>
      </w:r>
      <w:r>
        <w:rPr>
          <w:color w:val="231F20"/>
          <w:spacing w:val="-44"/>
          <w:w w:val="105"/>
        </w:rPr>
        <w:t> </w:t>
      </w:r>
      <w:r>
        <w:rPr>
          <w:color w:val="231F20"/>
          <w:w w:val="105"/>
        </w:rPr>
        <w:t>che</w:t>
      </w:r>
      <w:r>
        <w:rPr>
          <w:color w:val="231F20"/>
          <w:spacing w:val="-44"/>
          <w:w w:val="105"/>
        </w:rPr>
        <w:t> </w:t>
      </w:r>
      <w:r>
        <w:rPr>
          <w:color w:val="231F20"/>
          <w:w w:val="105"/>
        </w:rPr>
        <w:t>si</w:t>
      </w:r>
      <w:r>
        <w:rPr>
          <w:color w:val="231F20"/>
          <w:spacing w:val="-44"/>
          <w:w w:val="105"/>
        </w:rPr>
        <w:t> </w:t>
      </w:r>
      <w:r>
        <w:rPr>
          <w:color w:val="231F20"/>
          <w:spacing w:val="-3"/>
          <w:w w:val="105"/>
        </w:rPr>
        <w:t>trova</w:t>
      </w:r>
      <w:r>
        <w:rPr>
          <w:color w:val="231F20"/>
          <w:spacing w:val="-44"/>
          <w:w w:val="105"/>
        </w:rPr>
        <w:t> </w:t>
      </w:r>
      <w:r>
        <w:rPr>
          <w:color w:val="231F20"/>
          <w:spacing w:val="-3"/>
          <w:w w:val="105"/>
        </w:rPr>
        <w:t>spesso</w:t>
      </w:r>
      <w:r>
        <w:rPr>
          <w:color w:val="231F20"/>
          <w:spacing w:val="-44"/>
          <w:w w:val="105"/>
        </w:rPr>
        <w:t> </w:t>
      </w:r>
      <w:r>
        <w:rPr>
          <w:color w:val="231F20"/>
          <w:w w:val="105"/>
        </w:rPr>
        <w:t>in</w:t>
      </w:r>
      <w:r>
        <w:rPr>
          <w:color w:val="231F20"/>
          <w:spacing w:val="-44"/>
          <w:w w:val="105"/>
        </w:rPr>
        <w:t> </w:t>
      </w:r>
      <w:r>
        <w:rPr>
          <w:color w:val="231F20"/>
          <w:spacing w:val="-3"/>
          <w:w w:val="105"/>
        </w:rPr>
        <w:t>certe</w:t>
      </w:r>
      <w:r>
        <w:rPr>
          <w:color w:val="231F20"/>
          <w:spacing w:val="-44"/>
          <w:w w:val="105"/>
        </w:rPr>
        <w:t> </w:t>
      </w:r>
      <w:r>
        <w:rPr>
          <w:color w:val="231F20"/>
          <w:spacing w:val="-3"/>
          <w:w w:val="105"/>
        </w:rPr>
        <w:t>apologie</w:t>
      </w:r>
      <w:r>
        <w:rPr>
          <w:color w:val="231F20"/>
          <w:spacing w:val="-44"/>
          <w:w w:val="105"/>
        </w:rPr>
        <w:t> </w:t>
      </w:r>
      <w:r>
        <w:rPr>
          <w:color w:val="231F20"/>
          <w:w w:val="105"/>
        </w:rPr>
        <w:t>che</w:t>
      </w:r>
      <w:r>
        <w:rPr>
          <w:color w:val="231F20"/>
          <w:spacing w:val="-44"/>
          <w:w w:val="105"/>
        </w:rPr>
        <w:t> </w:t>
      </w:r>
      <w:r>
        <w:rPr>
          <w:color w:val="231F20"/>
          <w:spacing w:val="-3"/>
          <w:w w:val="105"/>
        </w:rPr>
        <w:t>patrocinano</w:t>
      </w:r>
      <w:r>
        <w:rPr>
          <w:color w:val="231F20"/>
          <w:spacing w:val="-44"/>
          <w:w w:val="105"/>
        </w:rPr>
        <w:t> </w:t>
      </w:r>
      <w:r>
        <w:rPr>
          <w:color w:val="231F20"/>
          <w:spacing w:val="-3"/>
          <w:w w:val="105"/>
        </w:rPr>
        <w:t>l’autenticità </w:t>
      </w:r>
      <w:r>
        <w:rPr>
          <w:color w:val="231F20"/>
          <w:w w:val="105"/>
        </w:rPr>
        <w:t>e</w:t>
      </w:r>
      <w:r>
        <w:rPr>
          <w:color w:val="231F20"/>
          <w:spacing w:val="-32"/>
          <w:w w:val="105"/>
        </w:rPr>
        <w:t> </w:t>
      </w:r>
      <w:r>
        <w:rPr>
          <w:color w:val="231F20"/>
          <w:w w:val="105"/>
        </w:rPr>
        <w:t>purezza</w:t>
      </w:r>
      <w:r>
        <w:rPr>
          <w:color w:val="231F20"/>
          <w:spacing w:val="-32"/>
          <w:w w:val="105"/>
        </w:rPr>
        <w:t> </w:t>
      </w:r>
      <w:r>
        <w:rPr>
          <w:color w:val="231F20"/>
          <w:w w:val="105"/>
        </w:rPr>
        <w:t>del</w:t>
      </w:r>
      <w:r>
        <w:rPr>
          <w:color w:val="231F20"/>
          <w:spacing w:val="-32"/>
          <w:w w:val="105"/>
        </w:rPr>
        <w:t> </w:t>
      </w:r>
      <w:r>
        <w:rPr>
          <w:color w:val="231F20"/>
          <w:w w:val="105"/>
        </w:rPr>
        <w:t>locale,</w:t>
      </w:r>
      <w:r>
        <w:rPr>
          <w:color w:val="231F20"/>
          <w:spacing w:val="-32"/>
          <w:w w:val="105"/>
        </w:rPr>
        <w:t> </w:t>
      </w:r>
      <w:r>
        <w:rPr>
          <w:color w:val="231F20"/>
          <w:w w:val="105"/>
        </w:rPr>
        <w:t>attributi</w:t>
      </w:r>
      <w:r>
        <w:rPr>
          <w:color w:val="231F20"/>
          <w:spacing w:val="-32"/>
          <w:w w:val="105"/>
        </w:rPr>
        <w:t> </w:t>
      </w:r>
      <w:r>
        <w:rPr>
          <w:color w:val="231F20"/>
          <w:w w:val="105"/>
        </w:rPr>
        <w:t>che,</w:t>
      </w:r>
      <w:r>
        <w:rPr>
          <w:color w:val="231F20"/>
          <w:spacing w:val="-32"/>
          <w:w w:val="105"/>
        </w:rPr>
        <w:t> </w:t>
      </w:r>
      <w:r>
        <w:rPr>
          <w:color w:val="231F20"/>
          <w:w w:val="105"/>
        </w:rPr>
        <w:t>in</w:t>
      </w:r>
      <w:r>
        <w:rPr>
          <w:color w:val="231F20"/>
          <w:spacing w:val="-32"/>
          <w:w w:val="105"/>
        </w:rPr>
        <w:t> </w:t>
      </w:r>
      <w:r>
        <w:rPr>
          <w:color w:val="231F20"/>
          <w:w w:val="105"/>
        </w:rPr>
        <w:t>contrasto,</w:t>
      </w:r>
      <w:r>
        <w:rPr>
          <w:color w:val="231F20"/>
          <w:spacing w:val="-32"/>
          <w:w w:val="105"/>
        </w:rPr>
        <w:t> </w:t>
      </w:r>
      <w:r>
        <w:rPr>
          <w:color w:val="231F20"/>
          <w:w w:val="105"/>
        </w:rPr>
        <w:t>mancherebbero</w:t>
      </w:r>
      <w:r>
        <w:rPr>
          <w:color w:val="231F20"/>
          <w:spacing w:val="-32"/>
          <w:w w:val="105"/>
        </w:rPr>
        <w:t> </w:t>
      </w:r>
      <w:r>
        <w:rPr>
          <w:color w:val="231F20"/>
          <w:w w:val="105"/>
        </w:rPr>
        <w:t>al</w:t>
      </w:r>
      <w:r>
        <w:rPr>
          <w:color w:val="231F20"/>
          <w:spacing w:val="-32"/>
          <w:w w:val="105"/>
        </w:rPr>
        <w:t> </w:t>
      </w:r>
      <w:r>
        <w:rPr>
          <w:color w:val="231F20"/>
          <w:w w:val="105"/>
        </w:rPr>
        <w:t>globale. Quelli</w:t>
      </w:r>
      <w:r>
        <w:rPr>
          <w:color w:val="231F20"/>
          <w:spacing w:val="-14"/>
          <w:w w:val="105"/>
        </w:rPr>
        <w:t> </w:t>
      </w:r>
      <w:r>
        <w:rPr>
          <w:color w:val="231F20"/>
          <w:w w:val="105"/>
        </w:rPr>
        <w:t>che</w:t>
      </w:r>
      <w:r>
        <w:rPr>
          <w:color w:val="231F20"/>
          <w:spacing w:val="-14"/>
          <w:w w:val="105"/>
        </w:rPr>
        <w:t> </w:t>
      </w:r>
      <w:r>
        <w:rPr>
          <w:color w:val="231F20"/>
          <w:w w:val="105"/>
        </w:rPr>
        <w:t>sottolineano</w:t>
      </w:r>
      <w:r>
        <w:rPr>
          <w:color w:val="231F20"/>
          <w:spacing w:val="-14"/>
          <w:w w:val="105"/>
        </w:rPr>
        <w:t> </w:t>
      </w:r>
      <w:r>
        <w:rPr>
          <w:color w:val="231F20"/>
          <w:w w:val="105"/>
        </w:rPr>
        <w:t>questo</w:t>
      </w:r>
      <w:r>
        <w:rPr>
          <w:color w:val="231F20"/>
          <w:spacing w:val="-14"/>
          <w:w w:val="105"/>
        </w:rPr>
        <w:t> </w:t>
      </w:r>
      <w:r>
        <w:rPr>
          <w:color w:val="231F20"/>
          <w:w w:val="105"/>
        </w:rPr>
        <w:t>paradosso</w:t>
      </w:r>
      <w:r>
        <w:rPr>
          <w:color w:val="231F20"/>
          <w:spacing w:val="-14"/>
          <w:w w:val="105"/>
        </w:rPr>
        <w:t> </w:t>
      </w:r>
      <w:r>
        <w:rPr>
          <w:color w:val="231F20"/>
          <w:w w:val="105"/>
        </w:rPr>
        <w:t>assumono,</w:t>
      </w:r>
      <w:r>
        <w:rPr>
          <w:color w:val="231F20"/>
          <w:spacing w:val="-14"/>
          <w:w w:val="105"/>
        </w:rPr>
        <w:t> </w:t>
      </w:r>
      <w:r>
        <w:rPr>
          <w:color w:val="231F20"/>
          <w:w w:val="105"/>
        </w:rPr>
        <w:t>quindi,</w:t>
      </w:r>
      <w:r>
        <w:rPr>
          <w:color w:val="231F20"/>
          <w:spacing w:val="-14"/>
          <w:w w:val="105"/>
        </w:rPr>
        <w:t> </w:t>
      </w:r>
      <w:r>
        <w:rPr>
          <w:color w:val="231F20"/>
          <w:w w:val="105"/>
        </w:rPr>
        <w:t>che</w:t>
      </w:r>
      <w:r>
        <w:rPr>
          <w:color w:val="231F20"/>
          <w:spacing w:val="-14"/>
          <w:w w:val="105"/>
        </w:rPr>
        <w:t> </w:t>
      </w:r>
      <w:r>
        <w:rPr>
          <w:color w:val="231F20"/>
          <w:w w:val="105"/>
        </w:rPr>
        <w:t>il</w:t>
      </w:r>
      <w:r>
        <w:rPr>
          <w:color w:val="231F20"/>
          <w:spacing w:val="-14"/>
          <w:w w:val="105"/>
        </w:rPr>
        <w:t> </w:t>
      </w:r>
      <w:r>
        <w:rPr>
          <w:color w:val="231F20"/>
          <w:w w:val="105"/>
        </w:rPr>
        <w:t>totale ha</w:t>
      </w:r>
      <w:r>
        <w:rPr>
          <w:color w:val="231F20"/>
          <w:spacing w:val="-31"/>
          <w:w w:val="105"/>
        </w:rPr>
        <w:t> </w:t>
      </w:r>
      <w:r>
        <w:rPr>
          <w:color w:val="231F20"/>
          <w:w w:val="105"/>
        </w:rPr>
        <w:t>qualcosa</w:t>
      </w:r>
      <w:r>
        <w:rPr>
          <w:color w:val="231F20"/>
          <w:spacing w:val="-31"/>
          <w:w w:val="105"/>
        </w:rPr>
        <w:t> </w:t>
      </w:r>
      <w:r>
        <w:rPr>
          <w:color w:val="231F20"/>
          <w:w w:val="105"/>
        </w:rPr>
        <w:t>di</w:t>
      </w:r>
      <w:r>
        <w:rPr>
          <w:color w:val="231F20"/>
          <w:spacing w:val="-31"/>
          <w:w w:val="105"/>
        </w:rPr>
        <w:t> </w:t>
      </w:r>
      <w:r>
        <w:rPr>
          <w:color w:val="231F20"/>
          <w:w w:val="105"/>
        </w:rPr>
        <w:t>parziale</w:t>
      </w:r>
      <w:r>
        <w:rPr>
          <w:color w:val="231F20"/>
          <w:spacing w:val="-31"/>
          <w:w w:val="105"/>
        </w:rPr>
        <w:t> </w:t>
      </w:r>
      <w:r>
        <w:rPr>
          <w:color w:val="231F20"/>
          <w:w w:val="105"/>
        </w:rPr>
        <w:t>e</w:t>
      </w:r>
      <w:r>
        <w:rPr>
          <w:color w:val="231F20"/>
          <w:spacing w:val="-31"/>
          <w:w w:val="105"/>
        </w:rPr>
        <w:t> </w:t>
      </w:r>
      <w:r>
        <w:rPr>
          <w:color w:val="231F20"/>
          <w:w w:val="105"/>
        </w:rPr>
        <w:t>viceversa.</w:t>
      </w:r>
      <w:r>
        <w:rPr>
          <w:color w:val="231F20"/>
          <w:spacing w:val="-31"/>
          <w:w w:val="105"/>
        </w:rPr>
        <w:t> </w:t>
      </w:r>
      <w:r>
        <w:rPr>
          <w:color w:val="231F20"/>
          <w:w w:val="105"/>
        </w:rPr>
        <w:t>Così,</w:t>
      </w:r>
      <w:r>
        <w:rPr>
          <w:color w:val="231F20"/>
          <w:spacing w:val="-31"/>
          <w:w w:val="105"/>
        </w:rPr>
        <w:t> </w:t>
      </w:r>
      <w:r>
        <w:rPr>
          <w:color w:val="231F20"/>
          <w:w w:val="105"/>
        </w:rPr>
        <w:t>il</w:t>
      </w:r>
      <w:r>
        <w:rPr>
          <w:color w:val="231F20"/>
          <w:spacing w:val="-31"/>
          <w:w w:val="105"/>
        </w:rPr>
        <w:t> </w:t>
      </w:r>
      <w:r>
        <w:rPr>
          <w:color w:val="231F20"/>
          <w:w w:val="105"/>
        </w:rPr>
        <w:t>rapporto</w:t>
      </w:r>
      <w:r>
        <w:rPr>
          <w:color w:val="231F20"/>
          <w:spacing w:val="-31"/>
          <w:w w:val="105"/>
        </w:rPr>
        <w:t> </w:t>
      </w:r>
      <w:r>
        <w:rPr>
          <w:color w:val="231F20"/>
          <w:w w:val="105"/>
        </w:rPr>
        <w:t>tra</w:t>
      </w:r>
      <w:r>
        <w:rPr>
          <w:color w:val="231F20"/>
          <w:spacing w:val="-31"/>
          <w:w w:val="105"/>
        </w:rPr>
        <w:t> </w:t>
      </w:r>
      <w:r>
        <w:rPr>
          <w:color w:val="231F20"/>
          <w:w w:val="105"/>
        </w:rPr>
        <w:t>il</w:t>
      </w:r>
      <w:r>
        <w:rPr>
          <w:color w:val="231F20"/>
          <w:spacing w:val="-31"/>
          <w:w w:val="105"/>
        </w:rPr>
        <w:t> </w:t>
      </w:r>
      <w:r>
        <w:rPr>
          <w:color w:val="231F20"/>
          <w:w w:val="105"/>
        </w:rPr>
        <w:t>totale</w:t>
      </w:r>
      <w:r>
        <w:rPr>
          <w:color w:val="231F20"/>
          <w:spacing w:val="-31"/>
          <w:w w:val="105"/>
        </w:rPr>
        <w:t> </w:t>
      </w:r>
      <w:r>
        <w:rPr>
          <w:color w:val="231F20"/>
          <w:w w:val="105"/>
        </w:rPr>
        <w:t>e</w:t>
      </w:r>
      <w:r>
        <w:rPr>
          <w:color w:val="231F20"/>
          <w:spacing w:val="-31"/>
          <w:w w:val="105"/>
        </w:rPr>
        <w:t> </w:t>
      </w:r>
      <w:r>
        <w:rPr>
          <w:color w:val="231F20"/>
          <w:w w:val="105"/>
        </w:rPr>
        <w:t>il</w:t>
      </w:r>
      <w:r>
        <w:rPr>
          <w:color w:val="231F20"/>
          <w:spacing w:val="-31"/>
          <w:w w:val="105"/>
        </w:rPr>
        <w:t> </w:t>
      </w:r>
      <w:r>
        <w:rPr>
          <w:color w:val="231F20"/>
          <w:w w:val="105"/>
        </w:rPr>
        <w:t>parziale non è sempre di scontro e confronto, ma piuttosto di una</w:t>
      </w:r>
      <w:r>
        <w:rPr>
          <w:color w:val="231F20"/>
          <w:spacing w:val="-28"/>
          <w:w w:val="105"/>
        </w:rPr>
        <w:t> </w:t>
      </w:r>
      <w:r>
        <w:rPr>
          <w:color w:val="231F20"/>
          <w:w w:val="105"/>
        </w:rPr>
        <w:t>embricazione complessa:</w:t>
      </w:r>
      <w:r>
        <w:rPr>
          <w:color w:val="231F20"/>
          <w:spacing w:val="-33"/>
          <w:w w:val="105"/>
        </w:rPr>
        <w:t> </w:t>
      </w:r>
      <w:r>
        <w:rPr>
          <w:color w:val="231F20"/>
          <w:w w:val="105"/>
        </w:rPr>
        <w:t>entrambi</w:t>
      </w:r>
      <w:r>
        <w:rPr>
          <w:color w:val="231F20"/>
          <w:spacing w:val="-33"/>
          <w:w w:val="105"/>
        </w:rPr>
        <w:t> </w:t>
      </w:r>
      <w:r>
        <w:rPr>
          <w:color w:val="231F20"/>
          <w:w w:val="105"/>
        </w:rPr>
        <w:t>si</w:t>
      </w:r>
      <w:r>
        <w:rPr>
          <w:color w:val="231F20"/>
          <w:spacing w:val="-33"/>
          <w:w w:val="105"/>
        </w:rPr>
        <w:t> </w:t>
      </w:r>
      <w:r>
        <w:rPr>
          <w:color w:val="231F20"/>
          <w:w w:val="105"/>
        </w:rPr>
        <w:t>producono</w:t>
      </w:r>
      <w:r>
        <w:rPr>
          <w:color w:val="231F20"/>
          <w:spacing w:val="-33"/>
          <w:w w:val="105"/>
        </w:rPr>
        <w:t> </w:t>
      </w:r>
      <w:r>
        <w:rPr>
          <w:color w:val="231F20"/>
          <w:w w:val="105"/>
        </w:rPr>
        <w:t>a</w:t>
      </w:r>
      <w:r>
        <w:rPr>
          <w:color w:val="231F20"/>
          <w:spacing w:val="-33"/>
          <w:w w:val="105"/>
        </w:rPr>
        <w:t> </w:t>
      </w:r>
      <w:r>
        <w:rPr>
          <w:color w:val="231F20"/>
          <w:w w:val="105"/>
        </w:rPr>
        <w:t>vicenda.</w:t>
      </w:r>
      <w:r>
        <w:rPr>
          <w:color w:val="231F20"/>
          <w:spacing w:val="-33"/>
          <w:w w:val="105"/>
        </w:rPr>
        <w:t> </w:t>
      </w:r>
      <w:r>
        <w:rPr>
          <w:color w:val="231F20"/>
          <w:w w:val="105"/>
        </w:rPr>
        <w:t>Non</w:t>
      </w:r>
      <w:r>
        <w:rPr>
          <w:color w:val="231F20"/>
          <w:spacing w:val="-33"/>
          <w:w w:val="105"/>
        </w:rPr>
        <w:t> </w:t>
      </w:r>
      <w:r>
        <w:rPr>
          <w:color w:val="231F20"/>
          <w:w w:val="105"/>
        </w:rPr>
        <w:t>esistono</w:t>
      </w:r>
      <w:r>
        <w:rPr>
          <w:color w:val="231F20"/>
          <w:spacing w:val="-33"/>
          <w:w w:val="105"/>
        </w:rPr>
        <w:t> </w:t>
      </w:r>
      <w:r>
        <w:rPr>
          <w:color w:val="231F20"/>
          <w:w w:val="105"/>
        </w:rPr>
        <w:t>ne</w:t>
      </w:r>
      <w:r>
        <w:rPr>
          <w:color w:val="231F20"/>
          <w:spacing w:val="-33"/>
          <w:w w:val="105"/>
        </w:rPr>
        <w:t> </w:t>
      </w:r>
      <w:r>
        <w:rPr>
          <w:color w:val="231F20"/>
          <w:w w:val="105"/>
        </w:rPr>
        <w:t>il</w:t>
      </w:r>
      <w:r>
        <w:rPr>
          <w:color w:val="231F20"/>
          <w:spacing w:val="-33"/>
          <w:w w:val="105"/>
        </w:rPr>
        <w:t> </w:t>
      </w:r>
      <w:r>
        <w:rPr>
          <w:color w:val="231F20"/>
          <w:w w:val="105"/>
        </w:rPr>
        <w:t>globale</w:t>
      </w:r>
      <w:r>
        <w:rPr>
          <w:color w:val="231F20"/>
          <w:spacing w:val="-33"/>
          <w:w w:val="105"/>
        </w:rPr>
        <w:t> </w:t>
      </w:r>
      <w:r>
        <w:rPr>
          <w:color w:val="231F20"/>
          <w:w w:val="105"/>
        </w:rPr>
        <w:t>ne il</w:t>
      </w:r>
      <w:r>
        <w:rPr>
          <w:color w:val="231F20"/>
          <w:spacing w:val="-43"/>
          <w:w w:val="105"/>
        </w:rPr>
        <w:t> </w:t>
      </w:r>
      <w:r>
        <w:rPr>
          <w:color w:val="231F20"/>
          <w:w w:val="105"/>
        </w:rPr>
        <w:t>locale</w:t>
      </w:r>
      <w:r>
        <w:rPr>
          <w:color w:val="231F20"/>
          <w:spacing w:val="-43"/>
          <w:w w:val="105"/>
        </w:rPr>
        <w:t> </w:t>
      </w:r>
      <w:r>
        <w:rPr>
          <w:color w:val="231F20"/>
          <w:w w:val="105"/>
        </w:rPr>
        <w:t>per</w:t>
      </w:r>
      <w:r>
        <w:rPr>
          <w:color w:val="231F20"/>
          <w:spacing w:val="-43"/>
          <w:w w:val="105"/>
        </w:rPr>
        <w:t> </w:t>
      </w:r>
      <w:r>
        <w:rPr>
          <w:color w:val="231F20"/>
          <w:w w:val="105"/>
        </w:rPr>
        <w:t>se.</w:t>
      </w:r>
      <w:r>
        <w:rPr>
          <w:color w:val="231F20"/>
          <w:spacing w:val="-43"/>
          <w:w w:val="105"/>
        </w:rPr>
        <w:t> </w:t>
      </w:r>
      <w:r>
        <w:rPr>
          <w:color w:val="231F20"/>
          <w:w w:val="105"/>
        </w:rPr>
        <w:t>Non</w:t>
      </w:r>
      <w:r>
        <w:rPr>
          <w:color w:val="231F20"/>
          <w:spacing w:val="-43"/>
          <w:w w:val="105"/>
        </w:rPr>
        <w:t> </w:t>
      </w:r>
      <w:r>
        <w:rPr>
          <w:color w:val="231F20"/>
          <w:w w:val="105"/>
        </w:rPr>
        <w:t>tutto</w:t>
      </w:r>
      <w:r>
        <w:rPr>
          <w:color w:val="231F20"/>
          <w:spacing w:val="-43"/>
          <w:w w:val="105"/>
        </w:rPr>
        <w:t> </w:t>
      </w:r>
      <w:r>
        <w:rPr>
          <w:color w:val="231F20"/>
          <w:w w:val="105"/>
        </w:rPr>
        <w:t>il</w:t>
      </w:r>
      <w:r>
        <w:rPr>
          <w:color w:val="231F20"/>
          <w:spacing w:val="-43"/>
          <w:w w:val="105"/>
        </w:rPr>
        <w:t> </w:t>
      </w:r>
      <w:r>
        <w:rPr>
          <w:color w:val="231F20"/>
          <w:w w:val="105"/>
        </w:rPr>
        <w:t>mondo</w:t>
      </w:r>
      <w:r>
        <w:rPr>
          <w:color w:val="231F20"/>
          <w:spacing w:val="-43"/>
          <w:w w:val="105"/>
        </w:rPr>
        <w:t> </w:t>
      </w:r>
      <w:r>
        <w:rPr>
          <w:color w:val="231F20"/>
          <w:w w:val="105"/>
        </w:rPr>
        <w:t>è</w:t>
      </w:r>
      <w:r>
        <w:rPr>
          <w:color w:val="231F20"/>
          <w:spacing w:val="-43"/>
          <w:w w:val="105"/>
        </w:rPr>
        <w:t> </w:t>
      </w:r>
      <w:r>
        <w:rPr>
          <w:rFonts w:ascii="Arial" w:hAnsi="Arial"/>
          <w:i/>
          <w:color w:val="231F20"/>
          <w:w w:val="105"/>
        </w:rPr>
        <w:t>McDonalds</w:t>
      </w:r>
      <w:r>
        <w:rPr>
          <w:color w:val="231F20"/>
          <w:w w:val="105"/>
        </w:rPr>
        <w:t>,</w:t>
      </w:r>
      <w:r>
        <w:rPr>
          <w:color w:val="231F20"/>
          <w:spacing w:val="-43"/>
          <w:w w:val="105"/>
        </w:rPr>
        <w:t> </w:t>
      </w:r>
      <w:r>
        <w:rPr>
          <w:color w:val="231F20"/>
          <w:w w:val="105"/>
        </w:rPr>
        <w:t>ma</w:t>
      </w:r>
      <w:r>
        <w:rPr>
          <w:color w:val="231F20"/>
          <w:spacing w:val="-43"/>
          <w:w w:val="105"/>
        </w:rPr>
        <w:t> </w:t>
      </w:r>
      <w:r>
        <w:rPr>
          <w:color w:val="231F20"/>
          <w:w w:val="105"/>
        </w:rPr>
        <w:t>neanche</w:t>
      </w:r>
      <w:r>
        <w:rPr>
          <w:color w:val="231F20"/>
          <w:spacing w:val="-43"/>
          <w:w w:val="105"/>
        </w:rPr>
        <w:t> </w:t>
      </w:r>
      <w:r>
        <w:rPr>
          <w:color w:val="231F20"/>
          <w:w w:val="105"/>
        </w:rPr>
        <w:t>tutto</w:t>
      </w:r>
      <w:r>
        <w:rPr>
          <w:color w:val="231F20"/>
          <w:spacing w:val="-43"/>
          <w:w w:val="105"/>
        </w:rPr>
        <w:t> </w:t>
      </w:r>
      <w:r>
        <w:rPr>
          <w:color w:val="231F20"/>
          <w:w w:val="105"/>
        </w:rPr>
        <w:t>il</w:t>
      </w:r>
      <w:r>
        <w:rPr>
          <w:color w:val="231F20"/>
          <w:spacing w:val="-43"/>
          <w:w w:val="105"/>
        </w:rPr>
        <w:t> </w:t>
      </w:r>
      <w:r>
        <w:rPr>
          <w:color w:val="231F20"/>
          <w:w w:val="105"/>
        </w:rPr>
        <w:t>mondo è</w:t>
      </w:r>
      <w:r>
        <w:rPr>
          <w:color w:val="231F20"/>
          <w:spacing w:val="-19"/>
          <w:w w:val="105"/>
        </w:rPr>
        <w:t> </w:t>
      </w:r>
      <w:r>
        <w:rPr>
          <w:rFonts w:ascii="Arial" w:hAnsi="Arial"/>
          <w:i/>
          <w:color w:val="231F20"/>
          <w:w w:val="105"/>
        </w:rPr>
        <w:t>Jihad</w:t>
      </w:r>
      <w:r>
        <w:rPr>
          <w:color w:val="231F20"/>
          <w:w w:val="105"/>
        </w:rPr>
        <w:t>.</w:t>
      </w:r>
      <w:r>
        <w:rPr>
          <w:color w:val="231F20"/>
          <w:spacing w:val="-19"/>
          <w:w w:val="105"/>
        </w:rPr>
        <w:t> </w:t>
      </w:r>
      <w:r>
        <w:rPr>
          <w:color w:val="231F20"/>
          <w:spacing w:val="-3"/>
          <w:w w:val="105"/>
        </w:rPr>
        <w:t>Totalizzare</w:t>
      </w:r>
      <w:r>
        <w:rPr>
          <w:color w:val="231F20"/>
          <w:spacing w:val="-19"/>
          <w:w w:val="105"/>
        </w:rPr>
        <w:t> </w:t>
      </w:r>
      <w:r>
        <w:rPr>
          <w:color w:val="231F20"/>
          <w:w w:val="105"/>
        </w:rPr>
        <w:t>tanto</w:t>
      </w:r>
      <w:r>
        <w:rPr>
          <w:color w:val="231F20"/>
          <w:spacing w:val="-19"/>
          <w:w w:val="105"/>
        </w:rPr>
        <w:t> </w:t>
      </w:r>
      <w:r>
        <w:rPr>
          <w:color w:val="231F20"/>
          <w:w w:val="105"/>
        </w:rPr>
        <w:t>il</w:t>
      </w:r>
      <w:r>
        <w:rPr>
          <w:color w:val="231F20"/>
          <w:spacing w:val="-19"/>
          <w:w w:val="105"/>
        </w:rPr>
        <w:t> </w:t>
      </w:r>
      <w:r>
        <w:rPr>
          <w:color w:val="231F20"/>
          <w:w w:val="105"/>
        </w:rPr>
        <w:t>globale</w:t>
      </w:r>
      <w:r>
        <w:rPr>
          <w:color w:val="231F20"/>
          <w:spacing w:val="-19"/>
          <w:w w:val="105"/>
        </w:rPr>
        <w:t> </w:t>
      </w:r>
      <w:r>
        <w:rPr>
          <w:color w:val="231F20"/>
          <w:w w:val="105"/>
        </w:rPr>
        <w:t>come</w:t>
      </w:r>
      <w:r>
        <w:rPr>
          <w:color w:val="231F20"/>
          <w:spacing w:val="-19"/>
          <w:w w:val="105"/>
        </w:rPr>
        <w:t> </w:t>
      </w:r>
      <w:r>
        <w:rPr>
          <w:color w:val="231F20"/>
          <w:w w:val="105"/>
        </w:rPr>
        <w:t>il</w:t>
      </w:r>
      <w:r>
        <w:rPr>
          <w:color w:val="231F20"/>
          <w:spacing w:val="-19"/>
          <w:w w:val="105"/>
        </w:rPr>
        <w:t> </w:t>
      </w:r>
      <w:r>
        <w:rPr>
          <w:color w:val="231F20"/>
          <w:w w:val="105"/>
        </w:rPr>
        <w:t>locale</w:t>
      </w:r>
      <w:r>
        <w:rPr>
          <w:color w:val="231F20"/>
          <w:spacing w:val="-19"/>
          <w:w w:val="105"/>
        </w:rPr>
        <w:t> </w:t>
      </w:r>
      <w:r>
        <w:rPr>
          <w:color w:val="231F20"/>
          <w:w w:val="105"/>
        </w:rPr>
        <w:t>può</w:t>
      </w:r>
      <w:r>
        <w:rPr>
          <w:color w:val="231F20"/>
          <w:spacing w:val="-19"/>
          <w:w w:val="105"/>
        </w:rPr>
        <w:t> </w:t>
      </w:r>
      <w:r>
        <w:rPr>
          <w:color w:val="231F20"/>
          <w:w w:val="105"/>
        </w:rPr>
        <w:t>avere</w:t>
      </w:r>
      <w:r>
        <w:rPr>
          <w:color w:val="231F20"/>
          <w:spacing w:val="-19"/>
          <w:w w:val="105"/>
        </w:rPr>
        <w:t> </w:t>
      </w:r>
      <w:r>
        <w:rPr>
          <w:color w:val="231F20"/>
          <w:w w:val="105"/>
        </w:rPr>
        <w:t>conseguenze fatali</w:t>
      </w:r>
      <w:r>
        <w:rPr>
          <w:color w:val="231F20"/>
          <w:spacing w:val="-31"/>
          <w:w w:val="105"/>
        </w:rPr>
        <w:t> </w:t>
      </w:r>
      <w:r>
        <w:rPr>
          <w:color w:val="231F20"/>
          <w:w w:val="105"/>
        </w:rPr>
        <w:t>per</w:t>
      </w:r>
      <w:r>
        <w:rPr>
          <w:color w:val="231F20"/>
          <w:spacing w:val="-31"/>
          <w:w w:val="105"/>
        </w:rPr>
        <w:t> </w:t>
      </w:r>
      <w:r>
        <w:rPr>
          <w:color w:val="231F20"/>
          <w:w w:val="105"/>
        </w:rPr>
        <w:t>la</w:t>
      </w:r>
      <w:r>
        <w:rPr>
          <w:color w:val="231F20"/>
          <w:spacing w:val="-31"/>
          <w:w w:val="105"/>
        </w:rPr>
        <w:t> </w:t>
      </w:r>
      <w:r>
        <w:rPr>
          <w:color w:val="231F20"/>
          <w:w w:val="105"/>
        </w:rPr>
        <w:t>politica.</w:t>
      </w:r>
    </w:p>
    <w:p>
      <w:pPr>
        <w:pStyle w:val="BodyText"/>
        <w:spacing w:before="11"/>
        <w:rPr>
          <w:sz w:val="20"/>
        </w:rPr>
      </w:pPr>
    </w:p>
    <w:p>
      <w:pPr>
        <w:spacing w:line="220" w:lineRule="exact" w:before="0"/>
        <w:ind w:left="1534" w:right="114" w:firstLine="0"/>
        <w:jc w:val="both"/>
        <w:rPr>
          <w:sz w:val="19"/>
        </w:rPr>
      </w:pPr>
      <w:r>
        <w:rPr>
          <w:color w:val="231F20"/>
          <w:spacing w:val="5"/>
          <w:sz w:val="19"/>
        </w:rPr>
        <w:t>Prendere </w:t>
      </w:r>
      <w:r>
        <w:rPr>
          <w:color w:val="231F20"/>
          <w:spacing w:val="6"/>
          <w:sz w:val="19"/>
        </w:rPr>
        <w:t>entrambi, </w:t>
      </w:r>
      <w:r>
        <w:rPr>
          <w:rFonts w:ascii="Arial" w:hAnsi="Arial"/>
          <w:i/>
          <w:color w:val="231F20"/>
          <w:spacing w:val="6"/>
          <w:sz w:val="19"/>
        </w:rPr>
        <w:t>McMundo </w:t>
      </w:r>
      <w:r>
        <w:rPr>
          <w:color w:val="231F20"/>
          <w:sz w:val="19"/>
        </w:rPr>
        <w:t>o </w:t>
      </w:r>
      <w:r>
        <w:rPr>
          <w:rFonts w:ascii="Arial" w:hAnsi="Arial"/>
          <w:i/>
          <w:color w:val="231F20"/>
          <w:spacing w:val="5"/>
          <w:sz w:val="19"/>
        </w:rPr>
        <w:t>Jihad</w:t>
      </w:r>
      <w:r>
        <w:rPr>
          <w:color w:val="231F20"/>
          <w:spacing w:val="5"/>
          <w:sz w:val="19"/>
        </w:rPr>
        <w:t>, come </w:t>
      </w:r>
      <w:r>
        <w:rPr>
          <w:color w:val="231F20"/>
          <w:spacing w:val="4"/>
          <w:sz w:val="19"/>
        </w:rPr>
        <w:t>una </w:t>
      </w:r>
      <w:r>
        <w:rPr>
          <w:color w:val="231F20"/>
          <w:spacing w:val="7"/>
          <w:sz w:val="19"/>
        </w:rPr>
        <w:t>politica </w:t>
      </w:r>
      <w:r>
        <w:rPr>
          <w:color w:val="231F20"/>
          <w:sz w:val="19"/>
        </w:rPr>
        <w:t>naturale, risulta piuttosto una antipolitica. Nel caso del</w:t>
      </w:r>
      <w:r>
        <w:rPr>
          <w:color w:val="231F20"/>
          <w:spacing w:val="-34"/>
          <w:sz w:val="19"/>
        </w:rPr>
        <w:t> </w:t>
      </w:r>
      <w:r>
        <w:rPr>
          <w:rFonts w:ascii="Arial" w:hAnsi="Arial"/>
          <w:i/>
          <w:color w:val="231F20"/>
          <w:sz w:val="19"/>
        </w:rPr>
        <w:t>McMundo</w:t>
      </w:r>
      <w:r>
        <w:rPr>
          <w:color w:val="231F20"/>
          <w:sz w:val="19"/>
        </w:rPr>
        <w:t>, sarebbe l’antipolitica del globalismo: burocratico, tecnocratico y meritocratico, basato […] sull’amministrazione delle cose —con la gente tra le cose che si devono amministrare.</w:t>
      </w:r>
      <w:r>
        <w:rPr>
          <w:color w:val="231F20"/>
          <w:spacing w:val="-32"/>
          <w:sz w:val="19"/>
        </w:rPr>
        <w:t> </w:t>
      </w:r>
      <w:r>
        <w:rPr>
          <w:color w:val="231F20"/>
          <w:sz w:val="19"/>
        </w:rPr>
        <w:t>[…]</w:t>
      </w:r>
    </w:p>
    <w:p>
      <w:pPr>
        <w:pStyle w:val="BodyText"/>
        <w:spacing w:before="1"/>
        <w:rPr>
          <w:sz w:val="14"/>
        </w:rPr>
      </w:pPr>
    </w:p>
    <w:p>
      <w:pPr>
        <w:spacing w:line="220" w:lineRule="exact" w:before="0"/>
        <w:ind w:left="1534" w:right="116" w:firstLine="0"/>
        <w:jc w:val="both"/>
        <w:rPr>
          <w:sz w:val="19"/>
        </w:rPr>
      </w:pPr>
      <w:r>
        <w:rPr>
          <w:color w:val="231F20"/>
          <w:spacing w:val="4"/>
          <w:w w:val="105"/>
          <w:sz w:val="19"/>
        </w:rPr>
        <w:t>Nel </w:t>
      </w:r>
      <w:r>
        <w:rPr>
          <w:color w:val="231F20"/>
          <w:spacing w:val="5"/>
          <w:w w:val="105"/>
          <w:sz w:val="19"/>
        </w:rPr>
        <w:t>caso della </w:t>
      </w:r>
      <w:r>
        <w:rPr>
          <w:rFonts w:ascii="Arial" w:hAnsi="Arial"/>
          <w:i/>
          <w:color w:val="231F20"/>
          <w:spacing w:val="5"/>
          <w:w w:val="105"/>
          <w:sz w:val="19"/>
        </w:rPr>
        <w:t>Jihad</w:t>
      </w:r>
      <w:r>
        <w:rPr>
          <w:color w:val="231F20"/>
          <w:spacing w:val="5"/>
          <w:w w:val="105"/>
          <w:sz w:val="19"/>
        </w:rPr>
        <w:t>, </w:t>
      </w:r>
      <w:r>
        <w:rPr>
          <w:color w:val="231F20"/>
          <w:spacing w:val="3"/>
          <w:w w:val="105"/>
          <w:sz w:val="19"/>
        </w:rPr>
        <w:t>la </w:t>
      </w:r>
      <w:r>
        <w:rPr>
          <w:color w:val="231F20"/>
          <w:spacing w:val="6"/>
          <w:w w:val="105"/>
          <w:sz w:val="19"/>
        </w:rPr>
        <w:t>antipolitica </w:t>
      </w:r>
      <w:r>
        <w:rPr>
          <w:color w:val="231F20"/>
          <w:w w:val="105"/>
          <w:sz w:val="19"/>
        </w:rPr>
        <w:t>o </w:t>
      </w:r>
      <w:r>
        <w:rPr>
          <w:color w:val="231F20"/>
          <w:spacing w:val="3"/>
          <w:w w:val="105"/>
          <w:sz w:val="19"/>
        </w:rPr>
        <w:t>la </w:t>
      </w:r>
      <w:r>
        <w:rPr>
          <w:color w:val="231F20"/>
          <w:spacing w:val="6"/>
          <w:w w:val="105"/>
          <w:sz w:val="19"/>
        </w:rPr>
        <w:t>tribalizzazione </w:t>
      </w:r>
      <w:r>
        <w:rPr>
          <w:color w:val="231F20"/>
          <w:w w:val="105"/>
          <w:sz w:val="19"/>
        </w:rPr>
        <w:t>è </w:t>
      </w:r>
      <w:r>
        <w:rPr>
          <w:color w:val="231F20"/>
          <w:spacing w:val="2"/>
          <w:w w:val="105"/>
          <w:sz w:val="19"/>
        </w:rPr>
        <w:t>espressamente antidemocratica: dittatura </w:t>
      </w:r>
      <w:r>
        <w:rPr>
          <w:color w:val="231F20"/>
          <w:w w:val="105"/>
          <w:sz w:val="19"/>
        </w:rPr>
        <w:t>di un </w:t>
      </w:r>
      <w:r>
        <w:rPr>
          <w:color w:val="231F20"/>
          <w:spacing w:val="2"/>
          <w:w w:val="105"/>
          <w:sz w:val="19"/>
        </w:rPr>
        <w:t>partito </w:t>
      </w:r>
      <w:r>
        <w:rPr>
          <w:color w:val="231F20"/>
          <w:spacing w:val="3"/>
          <w:w w:val="105"/>
          <w:sz w:val="19"/>
        </w:rPr>
        <w:t>unico, </w:t>
      </w:r>
      <w:r>
        <w:rPr>
          <w:color w:val="231F20"/>
          <w:w w:val="105"/>
          <w:sz w:val="19"/>
        </w:rPr>
        <w:t>governo</w:t>
      </w:r>
      <w:r>
        <w:rPr>
          <w:color w:val="231F20"/>
          <w:spacing w:val="-13"/>
          <w:w w:val="105"/>
          <w:sz w:val="19"/>
        </w:rPr>
        <w:t> </w:t>
      </w:r>
      <w:r>
        <w:rPr>
          <w:color w:val="231F20"/>
          <w:w w:val="105"/>
          <w:sz w:val="19"/>
        </w:rPr>
        <w:t>per</w:t>
      </w:r>
      <w:r>
        <w:rPr>
          <w:color w:val="231F20"/>
          <w:spacing w:val="-13"/>
          <w:w w:val="105"/>
          <w:sz w:val="19"/>
        </w:rPr>
        <w:t> </w:t>
      </w:r>
      <w:r>
        <w:rPr>
          <w:color w:val="231F20"/>
          <w:w w:val="105"/>
          <w:sz w:val="19"/>
        </w:rPr>
        <w:t>una</w:t>
      </w:r>
      <w:r>
        <w:rPr>
          <w:color w:val="231F20"/>
          <w:spacing w:val="-13"/>
          <w:w w:val="105"/>
          <w:sz w:val="19"/>
        </w:rPr>
        <w:t> </w:t>
      </w:r>
      <w:r>
        <w:rPr>
          <w:color w:val="231F20"/>
          <w:w w:val="105"/>
          <w:sz w:val="19"/>
        </w:rPr>
        <w:t>giunta</w:t>
      </w:r>
      <w:r>
        <w:rPr>
          <w:color w:val="231F20"/>
          <w:spacing w:val="-13"/>
          <w:w w:val="105"/>
          <w:sz w:val="19"/>
        </w:rPr>
        <w:t> </w:t>
      </w:r>
      <w:r>
        <w:rPr>
          <w:color w:val="231F20"/>
          <w:w w:val="105"/>
          <w:sz w:val="19"/>
        </w:rPr>
        <w:t>militare,</w:t>
      </w:r>
      <w:r>
        <w:rPr>
          <w:color w:val="231F20"/>
          <w:spacing w:val="-13"/>
          <w:w w:val="105"/>
          <w:sz w:val="19"/>
        </w:rPr>
        <w:t> </w:t>
      </w:r>
      <w:r>
        <w:rPr>
          <w:color w:val="231F20"/>
          <w:w w:val="105"/>
          <w:sz w:val="19"/>
        </w:rPr>
        <w:t>fondamentalismo</w:t>
      </w:r>
      <w:r>
        <w:rPr>
          <w:color w:val="231F20"/>
          <w:spacing w:val="-13"/>
          <w:w w:val="105"/>
          <w:sz w:val="19"/>
        </w:rPr>
        <w:t> </w:t>
      </w:r>
      <w:r>
        <w:rPr>
          <w:color w:val="231F20"/>
          <w:w w:val="105"/>
          <w:sz w:val="19"/>
        </w:rPr>
        <w:t>teocratico</w:t>
      </w:r>
      <w:r>
        <w:rPr>
          <w:color w:val="231F20"/>
          <w:spacing w:val="-13"/>
          <w:w w:val="105"/>
          <w:sz w:val="19"/>
        </w:rPr>
        <w:t> </w:t>
      </w:r>
      <w:r>
        <w:rPr>
          <w:color w:val="231F20"/>
          <w:w w:val="105"/>
          <w:sz w:val="19"/>
        </w:rPr>
        <w:t>— </w:t>
      </w:r>
      <w:r>
        <w:rPr>
          <w:color w:val="231F20"/>
          <w:spacing w:val="-3"/>
          <w:w w:val="105"/>
          <w:sz w:val="19"/>
        </w:rPr>
        <w:t>frequentemente</w:t>
      </w:r>
      <w:r>
        <w:rPr>
          <w:color w:val="231F20"/>
          <w:spacing w:val="-48"/>
          <w:w w:val="105"/>
          <w:sz w:val="19"/>
        </w:rPr>
        <w:t> </w:t>
      </w:r>
      <w:r>
        <w:rPr>
          <w:color w:val="231F20"/>
          <w:spacing w:val="-3"/>
          <w:w w:val="105"/>
          <w:sz w:val="19"/>
        </w:rPr>
        <w:t>associato</w:t>
      </w:r>
      <w:r>
        <w:rPr>
          <w:color w:val="231F20"/>
          <w:spacing w:val="-48"/>
          <w:w w:val="105"/>
          <w:sz w:val="19"/>
        </w:rPr>
        <w:t> </w:t>
      </w:r>
      <w:r>
        <w:rPr>
          <w:color w:val="231F20"/>
          <w:w w:val="105"/>
          <w:sz w:val="19"/>
        </w:rPr>
        <w:t>a</w:t>
      </w:r>
      <w:r>
        <w:rPr>
          <w:color w:val="231F20"/>
          <w:spacing w:val="-48"/>
          <w:w w:val="105"/>
          <w:sz w:val="19"/>
        </w:rPr>
        <w:t> </w:t>
      </w:r>
      <w:r>
        <w:rPr>
          <w:color w:val="231F20"/>
          <w:w w:val="105"/>
          <w:sz w:val="19"/>
        </w:rPr>
        <w:t>una</w:t>
      </w:r>
      <w:r>
        <w:rPr>
          <w:color w:val="231F20"/>
          <w:spacing w:val="-48"/>
          <w:w w:val="105"/>
          <w:sz w:val="19"/>
        </w:rPr>
        <w:t> </w:t>
      </w:r>
      <w:r>
        <w:rPr>
          <w:color w:val="231F20"/>
          <w:spacing w:val="-3"/>
          <w:w w:val="105"/>
          <w:sz w:val="19"/>
        </w:rPr>
        <w:t>versione</w:t>
      </w:r>
      <w:r>
        <w:rPr>
          <w:color w:val="231F20"/>
          <w:spacing w:val="-48"/>
          <w:w w:val="105"/>
          <w:sz w:val="19"/>
        </w:rPr>
        <w:t> </w:t>
      </w:r>
      <w:r>
        <w:rPr>
          <w:color w:val="231F20"/>
          <w:w w:val="105"/>
          <w:sz w:val="19"/>
        </w:rPr>
        <w:t>del</w:t>
      </w:r>
      <w:r>
        <w:rPr>
          <w:color w:val="231F20"/>
          <w:spacing w:val="-48"/>
          <w:w w:val="105"/>
          <w:sz w:val="19"/>
        </w:rPr>
        <w:t> </w:t>
      </w:r>
      <w:r>
        <w:rPr>
          <w:rFonts w:ascii="Arial" w:hAnsi="Arial"/>
          <w:i/>
          <w:color w:val="231F20"/>
          <w:spacing w:val="-3"/>
          <w:w w:val="105"/>
          <w:sz w:val="19"/>
        </w:rPr>
        <w:t>Führerprinzip</w:t>
      </w:r>
      <w:r>
        <w:rPr>
          <w:rFonts w:ascii="Arial" w:hAnsi="Arial"/>
          <w:i/>
          <w:color w:val="231F20"/>
          <w:spacing w:val="-41"/>
          <w:w w:val="105"/>
          <w:sz w:val="19"/>
        </w:rPr>
        <w:t> </w:t>
      </w:r>
      <w:r>
        <w:rPr>
          <w:color w:val="231F20"/>
          <w:spacing w:val="-3"/>
          <w:w w:val="105"/>
          <w:sz w:val="19"/>
        </w:rPr>
        <w:t>concede </w:t>
      </w:r>
      <w:r>
        <w:rPr>
          <w:color w:val="231F20"/>
          <w:w w:val="105"/>
          <w:sz w:val="19"/>
        </w:rPr>
        <w:t>potere</w:t>
      </w:r>
      <w:r>
        <w:rPr>
          <w:color w:val="231F20"/>
          <w:spacing w:val="-19"/>
          <w:w w:val="105"/>
          <w:sz w:val="19"/>
        </w:rPr>
        <w:t> </w:t>
      </w:r>
      <w:r>
        <w:rPr>
          <w:color w:val="231F20"/>
          <w:w w:val="105"/>
          <w:sz w:val="19"/>
        </w:rPr>
        <w:t>ad</w:t>
      </w:r>
      <w:r>
        <w:rPr>
          <w:color w:val="231F20"/>
          <w:spacing w:val="-19"/>
          <w:w w:val="105"/>
          <w:sz w:val="19"/>
        </w:rPr>
        <w:t> </w:t>
      </w:r>
      <w:r>
        <w:rPr>
          <w:color w:val="231F20"/>
          <w:w w:val="105"/>
          <w:sz w:val="19"/>
        </w:rPr>
        <w:t>un</w:t>
      </w:r>
      <w:r>
        <w:rPr>
          <w:color w:val="231F20"/>
          <w:spacing w:val="-19"/>
          <w:w w:val="105"/>
          <w:sz w:val="19"/>
        </w:rPr>
        <w:t> </w:t>
      </w:r>
      <w:r>
        <w:rPr>
          <w:color w:val="231F20"/>
          <w:w w:val="105"/>
          <w:sz w:val="19"/>
        </w:rPr>
        <w:t>individuo</w:t>
      </w:r>
      <w:r>
        <w:rPr>
          <w:color w:val="231F20"/>
          <w:spacing w:val="-19"/>
          <w:w w:val="105"/>
          <w:sz w:val="19"/>
        </w:rPr>
        <w:t> </w:t>
      </w:r>
      <w:r>
        <w:rPr>
          <w:color w:val="231F20"/>
          <w:w w:val="105"/>
          <w:sz w:val="19"/>
        </w:rPr>
        <w:t>per</w:t>
      </w:r>
      <w:r>
        <w:rPr>
          <w:color w:val="231F20"/>
          <w:spacing w:val="-19"/>
          <w:w w:val="105"/>
          <w:sz w:val="19"/>
        </w:rPr>
        <w:t> </w:t>
      </w:r>
      <w:r>
        <w:rPr>
          <w:color w:val="231F20"/>
          <w:w w:val="105"/>
          <w:sz w:val="19"/>
        </w:rPr>
        <w:t>dirigere</w:t>
      </w:r>
      <w:r>
        <w:rPr>
          <w:color w:val="231F20"/>
          <w:spacing w:val="-19"/>
          <w:w w:val="105"/>
          <w:sz w:val="19"/>
        </w:rPr>
        <w:t> </w:t>
      </w:r>
      <w:r>
        <w:rPr>
          <w:color w:val="231F20"/>
          <w:w w:val="105"/>
          <w:sz w:val="19"/>
        </w:rPr>
        <w:t>un</w:t>
      </w:r>
      <w:r>
        <w:rPr>
          <w:color w:val="231F20"/>
          <w:spacing w:val="-19"/>
          <w:w w:val="105"/>
          <w:sz w:val="19"/>
        </w:rPr>
        <w:t> </w:t>
      </w:r>
      <w:r>
        <w:rPr>
          <w:color w:val="231F20"/>
          <w:w w:val="105"/>
          <w:sz w:val="19"/>
        </w:rPr>
        <w:t>popolo</w:t>
      </w:r>
      <w:r>
        <w:rPr>
          <w:color w:val="231F20"/>
          <w:w w:val="105"/>
          <w:position w:val="6"/>
          <w:sz w:val="11"/>
        </w:rPr>
        <w:t>19</w:t>
      </w:r>
      <w:r>
        <w:rPr>
          <w:color w:val="231F20"/>
          <w:w w:val="105"/>
          <w:sz w:val="19"/>
        </w:rPr>
        <w:t>.</w:t>
      </w:r>
    </w:p>
    <w:p>
      <w:pPr>
        <w:pStyle w:val="BodyText"/>
        <w:spacing w:before="11"/>
        <w:rPr>
          <w:sz w:val="23"/>
        </w:rPr>
      </w:pPr>
    </w:p>
    <w:p>
      <w:pPr>
        <w:pStyle w:val="BodyText"/>
        <w:spacing w:line="247" w:lineRule="auto"/>
        <w:ind w:left="117" w:right="116"/>
        <w:jc w:val="both"/>
      </w:pPr>
      <w:r>
        <w:rPr>
          <w:color w:val="231F20"/>
          <w:spacing w:val="2"/>
          <w:w w:val="105"/>
        </w:rPr>
        <w:t>Finalmente, anche </w:t>
      </w:r>
      <w:r>
        <w:rPr>
          <w:color w:val="231F20"/>
          <w:w w:val="105"/>
        </w:rPr>
        <w:t>se </w:t>
      </w:r>
      <w:r>
        <w:rPr>
          <w:color w:val="231F20"/>
          <w:spacing w:val="2"/>
          <w:w w:val="105"/>
        </w:rPr>
        <w:t>pensassimo tanto </w:t>
      </w:r>
      <w:r>
        <w:rPr>
          <w:color w:val="231F20"/>
          <w:w w:val="105"/>
        </w:rPr>
        <w:t>il </w:t>
      </w:r>
      <w:r>
        <w:rPr>
          <w:color w:val="231F20"/>
          <w:spacing w:val="2"/>
          <w:w w:val="105"/>
        </w:rPr>
        <w:t>locale come </w:t>
      </w:r>
      <w:r>
        <w:rPr>
          <w:color w:val="231F20"/>
          <w:w w:val="105"/>
        </w:rPr>
        <w:t>il </w:t>
      </w:r>
      <w:r>
        <w:rPr>
          <w:color w:val="231F20"/>
          <w:spacing w:val="2"/>
          <w:w w:val="105"/>
        </w:rPr>
        <w:t>globale </w:t>
      </w:r>
      <w:r>
        <w:rPr>
          <w:color w:val="231F20"/>
          <w:spacing w:val="3"/>
          <w:w w:val="105"/>
        </w:rPr>
        <w:t>come </w:t>
      </w:r>
      <w:r>
        <w:rPr>
          <w:color w:val="231F20"/>
          <w:w w:val="105"/>
        </w:rPr>
        <w:t>unità,</w:t>
      </w:r>
      <w:r>
        <w:rPr>
          <w:color w:val="231F20"/>
          <w:spacing w:val="-42"/>
          <w:w w:val="105"/>
        </w:rPr>
        <w:t> </w:t>
      </w:r>
      <w:r>
        <w:rPr>
          <w:color w:val="231F20"/>
          <w:w w:val="105"/>
        </w:rPr>
        <w:t>queste</w:t>
      </w:r>
      <w:r>
        <w:rPr>
          <w:color w:val="231F20"/>
          <w:spacing w:val="-42"/>
          <w:w w:val="105"/>
        </w:rPr>
        <w:t> </w:t>
      </w:r>
      <w:r>
        <w:rPr>
          <w:color w:val="231F20"/>
          <w:w w:val="105"/>
        </w:rPr>
        <w:t>non</w:t>
      </w:r>
      <w:r>
        <w:rPr>
          <w:color w:val="231F20"/>
          <w:spacing w:val="-42"/>
          <w:w w:val="105"/>
        </w:rPr>
        <w:t> </w:t>
      </w:r>
      <w:r>
        <w:rPr>
          <w:color w:val="231F20"/>
          <w:w w:val="105"/>
        </w:rPr>
        <w:t>sono</w:t>
      </w:r>
      <w:r>
        <w:rPr>
          <w:color w:val="231F20"/>
          <w:spacing w:val="-42"/>
          <w:w w:val="105"/>
        </w:rPr>
        <w:t> </w:t>
      </w:r>
      <w:r>
        <w:rPr>
          <w:color w:val="231F20"/>
          <w:w w:val="105"/>
        </w:rPr>
        <w:t>solo</w:t>
      </w:r>
      <w:r>
        <w:rPr>
          <w:color w:val="231F20"/>
          <w:spacing w:val="-42"/>
          <w:w w:val="105"/>
        </w:rPr>
        <w:t> </w:t>
      </w:r>
      <w:r>
        <w:rPr>
          <w:color w:val="231F20"/>
          <w:w w:val="105"/>
        </w:rPr>
        <w:t>parziali</w:t>
      </w:r>
      <w:r>
        <w:rPr>
          <w:color w:val="231F20"/>
          <w:spacing w:val="-42"/>
          <w:w w:val="105"/>
        </w:rPr>
        <w:t> </w:t>
      </w:r>
      <w:r>
        <w:rPr>
          <w:color w:val="231F20"/>
          <w:w w:val="105"/>
        </w:rPr>
        <w:t>e</w:t>
      </w:r>
      <w:r>
        <w:rPr>
          <w:color w:val="231F20"/>
          <w:spacing w:val="-42"/>
          <w:w w:val="105"/>
        </w:rPr>
        <w:t> </w:t>
      </w:r>
      <w:r>
        <w:rPr>
          <w:color w:val="231F20"/>
          <w:w w:val="105"/>
        </w:rPr>
        <w:t>momentanee,</w:t>
      </w:r>
      <w:r>
        <w:rPr>
          <w:color w:val="231F20"/>
          <w:spacing w:val="-42"/>
          <w:w w:val="105"/>
        </w:rPr>
        <w:t> </w:t>
      </w:r>
      <w:r>
        <w:rPr>
          <w:color w:val="231F20"/>
          <w:w w:val="105"/>
        </w:rPr>
        <w:t>ma</w:t>
      </w:r>
      <w:r>
        <w:rPr>
          <w:color w:val="231F20"/>
          <w:spacing w:val="-42"/>
          <w:w w:val="105"/>
        </w:rPr>
        <w:t> </w:t>
      </w:r>
      <w:r>
        <w:rPr>
          <w:color w:val="231F20"/>
          <w:w w:val="105"/>
        </w:rPr>
        <w:t>anche</w:t>
      </w:r>
      <w:r>
        <w:rPr>
          <w:color w:val="231F20"/>
          <w:spacing w:val="-42"/>
          <w:w w:val="105"/>
        </w:rPr>
        <w:t> </w:t>
      </w:r>
      <w:r>
        <w:rPr>
          <w:color w:val="231F20"/>
          <w:w w:val="105"/>
        </w:rPr>
        <w:t>sono</w:t>
      </w:r>
      <w:r>
        <w:rPr>
          <w:color w:val="231F20"/>
          <w:spacing w:val="-42"/>
          <w:w w:val="105"/>
        </w:rPr>
        <w:t> </w:t>
      </w:r>
      <w:r>
        <w:rPr>
          <w:color w:val="231F20"/>
          <w:w w:val="105"/>
        </w:rPr>
        <w:t>sempre fatte</w:t>
      </w:r>
      <w:r>
        <w:rPr>
          <w:color w:val="231F20"/>
          <w:spacing w:val="-31"/>
          <w:w w:val="105"/>
        </w:rPr>
        <w:t> </w:t>
      </w:r>
      <w:r>
        <w:rPr>
          <w:color w:val="231F20"/>
          <w:w w:val="105"/>
        </w:rPr>
        <w:t>di</w:t>
      </w:r>
      <w:r>
        <w:rPr>
          <w:color w:val="231F20"/>
          <w:spacing w:val="-31"/>
          <w:w w:val="105"/>
        </w:rPr>
        <w:t> </w:t>
      </w:r>
      <w:r>
        <w:rPr>
          <w:color w:val="231F20"/>
          <w:w w:val="105"/>
        </w:rPr>
        <w:t>rapporti</w:t>
      </w:r>
      <w:r>
        <w:rPr>
          <w:color w:val="231F20"/>
          <w:spacing w:val="-31"/>
          <w:w w:val="105"/>
        </w:rPr>
        <w:t> </w:t>
      </w:r>
      <w:r>
        <w:rPr>
          <w:color w:val="231F20"/>
          <w:w w:val="105"/>
        </w:rPr>
        <w:t>e</w:t>
      </w:r>
      <w:r>
        <w:rPr>
          <w:color w:val="231F20"/>
          <w:spacing w:val="-31"/>
          <w:w w:val="105"/>
        </w:rPr>
        <w:t> </w:t>
      </w:r>
      <w:r>
        <w:rPr>
          <w:color w:val="231F20"/>
          <w:w w:val="105"/>
        </w:rPr>
        <w:t>connessioni</w:t>
      </w:r>
      <w:r>
        <w:rPr>
          <w:color w:val="231F20"/>
          <w:spacing w:val="-31"/>
          <w:w w:val="105"/>
        </w:rPr>
        <w:t> </w:t>
      </w:r>
      <w:r>
        <w:rPr>
          <w:color w:val="231F20"/>
          <w:w w:val="105"/>
        </w:rPr>
        <w:t>dinamiche,</w:t>
      </w:r>
      <w:r>
        <w:rPr>
          <w:color w:val="231F20"/>
          <w:spacing w:val="-31"/>
          <w:w w:val="105"/>
        </w:rPr>
        <w:t> </w:t>
      </w:r>
      <w:r>
        <w:rPr>
          <w:color w:val="231F20"/>
          <w:w w:val="105"/>
        </w:rPr>
        <w:t>in</w:t>
      </w:r>
      <w:r>
        <w:rPr>
          <w:color w:val="231F20"/>
          <w:spacing w:val="-31"/>
          <w:w w:val="105"/>
        </w:rPr>
        <w:t> </w:t>
      </w:r>
      <w:r>
        <w:rPr>
          <w:color w:val="231F20"/>
          <w:w w:val="105"/>
        </w:rPr>
        <w:t>costante</w:t>
      </w:r>
      <w:r>
        <w:rPr>
          <w:color w:val="231F20"/>
          <w:spacing w:val="-31"/>
          <w:w w:val="105"/>
        </w:rPr>
        <w:t> </w:t>
      </w:r>
      <w:r>
        <w:rPr>
          <w:color w:val="231F20"/>
          <w:w w:val="105"/>
        </w:rPr>
        <w:t>rotazione.</w:t>
      </w:r>
      <w:r>
        <w:rPr>
          <w:color w:val="231F20"/>
          <w:spacing w:val="-31"/>
          <w:w w:val="105"/>
        </w:rPr>
        <w:t> </w:t>
      </w:r>
      <w:r>
        <w:rPr>
          <w:color w:val="231F20"/>
          <w:w w:val="105"/>
        </w:rPr>
        <w:t>“[…]</w:t>
      </w:r>
      <w:r>
        <w:rPr>
          <w:color w:val="231F20"/>
          <w:spacing w:val="-31"/>
          <w:w w:val="105"/>
        </w:rPr>
        <w:t> </w:t>
      </w:r>
      <w:r>
        <w:rPr>
          <w:color w:val="231F20"/>
          <w:w w:val="105"/>
        </w:rPr>
        <w:t>nelle </w:t>
      </w:r>
      <w:r>
        <w:rPr>
          <w:color w:val="231F20"/>
          <w:spacing w:val="3"/>
          <w:w w:val="105"/>
        </w:rPr>
        <w:t>descrizione della globalizzazione l’importante </w:t>
      </w:r>
      <w:r>
        <w:rPr>
          <w:color w:val="231F20"/>
          <w:spacing w:val="2"/>
          <w:w w:val="105"/>
        </w:rPr>
        <w:t>non </w:t>
      </w:r>
      <w:r>
        <w:rPr>
          <w:color w:val="231F20"/>
          <w:spacing w:val="3"/>
          <w:w w:val="105"/>
        </w:rPr>
        <w:t>sono </w:t>
      </w:r>
      <w:r>
        <w:rPr>
          <w:color w:val="231F20"/>
          <w:w w:val="105"/>
        </w:rPr>
        <w:t>le </w:t>
      </w:r>
      <w:r>
        <w:rPr>
          <w:color w:val="231F20"/>
          <w:spacing w:val="4"/>
          <w:w w:val="105"/>
        </w:rPr>
        <w:t>descrizioni </w:t>
      </w:r>
      <w:r>
        <w:rPr>
          <w:color w:val="231F20"/>
          <w:w w:val="105"/>
        </w:rPr>
        <w:t>sostanziali</w:t>
      </w:r>
      <w:r>
        <w:rPr>
          <w:color w:val="231F20"/>
          <w:spacing w:val="-45"/>
          <w:w w:val="105"/>
        </w:rPr>
        <w:t> </w:t>
      </w:r>
      <w:r>
        <w:rPr>
          <w:color w:val="231F20"/>
          <w:w w:val="105"/>
        </w:rPr>
        <w:t>dei</w:t>
      </w:r>
      <w:r>
        <w:rPr>
          <w:color w:val="231F20"/>
          <w:spacing w:val="-45"/>
          <w:w w:val="105"/>
        </w:rPr>
        <w:t> </w:t>
      </w:r>
      <w:r>
        <w:rPr>
          <w:color w:val="231F20"/>
          <w:w w:val="105"/>
        </w:rPr>
        <w:t>diversi</w:t>
      </w:r>
      <w:r>
        <w:rPr>
          <w:color w:val="231F20"/>
          <w:spacing w:val="-45"/>
          <w:w w:val="105"/>
        </w:rPr>
        <w:t> </w:t>
      </w:r>
      <w:r>
        <w:rPr>
          <w:color w:val="231F20"/>
          <w:w w:val="105"/>
        </w:rPr>
        <w:t>attori</w:t>
      </w:r>
      <w:r>
        <w:rPr>
          <w:color w:val="231F20"/>
          <w:spacing w:val="-45"/>
          <w:w w:val="105"/>
        </w:rPr>
        <w:t> </w:t>
      </w:r>
      <w:r>
        <w:rPr>
          <w:color w:val="231F20"/>
          <w:w w:val="105"/>
        </w:rPr>
        <w:t>o</w:t>
      </w:r>
      <w:r>
        <w:rPr>
          <w:color w:val="231F20"/>
          <w:spacing w:val="-45"/>
          <w:w w:val="105"/>
        </w:rPr>
        <w:t> </w:t>
      </w:r>
      <w:r>
        <w:rPr>
          <w:color w:val="231F20"/>
          <w:w w:val="105"/>
        </w:rPr>
        <w:t>sistemi,</w:t>
      </w:r>
      <w:r>
        <w:rPr>
          <w:color w:val="231F20"/>
          <w:spacing w:val="-45"/>
          <w:w w:val="105"/>
        </w:rPr>
        <w:t> </w:t>
      </w:r>
      <w:r>
        <w:rPr>
          <w:color w:val="231F20"/>
          <w:w w:val="105"/>
        </w:rPr>
        <w:t>ma</w:t>
      </w:r>
      <w:r>
        <w:rPr>
          <w:color w:val="231F20"/>
          <w:spacing w:val="-45"/>
          <w:w w:val="105"/>
        </w:rPr>
        <w:t> </w:t>
      </w:r>
      <w:r>
        <w:rPr>
          <w:color w:val="231F20"/>
          <w:w w:val="105"/>
        </w:rPr>
        <w:t>la</w:t>
      </w:r>
      <w:r>
        <w:rPr>
          <w:color w:val="231F20"/>
          <w:spacing w:val="-45"/>
          <w:w w:val="105"/>
        </w:rPr>
        <w:t> </w:t>
      </w:r>
      <w:r>
        <w:rPr>
          <w:color w:val="231F20"/>
          <w:w w:val="105"/>
        </w:rPr>
        <w:t>connessione</w:t>
      </w:r>
      <w:r>
        <w:rPr>
          <w:color w:val="231F20"/>
          <w:spacing w:val="-45"/>
          <w:w w:val="105"/>
        </w:rPr>
        <w:t> </w:t>
      </w:r>
      <w:r>
        <w:rPr>
          <w:color w:val="231F20"/>
          <w:w w:val="105"/>
        </w:rPr>
        <w:t>tra</w:t>
      </w:r>
      <w:r>
        <w:rPr>
          <w:color w:val="231F20"/>
          <w:spacing w:val="-45"/>
          <w:w w:val="105"/>
        </w:rPr>
        <w:t> </w:t>
      </w:r>
      <w:r>
        <w:rPr>
          <w:color w:val="231F20"/>
          <w:w w:val="105"/>
        </w:rPr>
        <w:t>loro.</w:t>
      </w:r>
      <w:r>
        <w:rPr>
          <w:color w:val="231F20"/>
          <w:spacing w:val="-45"/>
          <w:w w:val="105"/>
        </w:rPr>
        <w:t> </w:t>
      </w:r>
      <w:r>
        <w:rPr>
          <w:color w:val="231F20"/>
          <w:w w:val="105"/>
        </w:rPr>
        <w:t>Quello</w:t>
      </w:r>
      <w:r>
        <w:rPr>
          <w:color w:val="231F20"/>
          <w:spacing w:val="-45"/>
          <w:w w:val="105"/>
        </w:rPr>
        <w:t> </w:t>
      </w:r>
      <w:r>
        <w:rPr>
          <w:color w:val="231F20"/>
          <w:w w:val="105"/>
        </w:rPr>
        <w:t>che costituisce</w:t>
      </w:r>
      <w:r>
        <w:rPr>
          <w:color w:val="231F20"/>
          <w:spacing w:val="-38"/>
          <w:w w:val="105"/>
        </w:rPr>
        <w:t> </w:t>
      </w:r>
      <w:r>
        <w:rPr>
          <w:color w:val="231F20"/>
          <w:w w:val="105"/>
        </w:rPr>
        <w:t>la</w:t>
      </w:r>
      <w:r>
        <w:rPr>
          <w:color w:val="231F20"/>
          <w:spacing w:val="-38"/>
          <w:w w:val="105"/>
        </w:rPr>
        <w:t> </w:t>
      </w:r>
      <w:r>
        <w:rPr>
          <w:color w:val="231F20"/>
          <w:w w:val="105"/>
        </w:rPr>
        <w:t>globalizzazione</w:t>
      </w:r>
      <w:r>
        <w:rPr>
          <w:color w:val="231F20"/>
          <w:spacing w:val="-38"/>
          <w:w w:val="105"/>
        </w:rPr>
        <w:t> </w:t>
      </w:r>
      <w:r>
        <w:rPr>
          <w:color w:val="231F20"/>
          <w:w w:val="105"/>
        </w:rPr>
        <w:t>sono</w:t>
      </w:r>
      <w:r>
        <w:rPr>
          <w:color w:val="231F20"/>
          <w:spacing w:val="-38"/>
          <w:w w:val="105"/>
        </w:rPr>
        <w:t> </w:t>
      </w:r>
      <w:r>
        <w:rPr>
          <w:color w:val="231F20"/>
          <w:w w:val="105"/>
        </w:rPr>
        <w:t>le</w:t>
      </w:r>
      <w:r>
        <w:rPr>
          <w:color w:val="231F20"/>
          <w:spacing w:val="-38"/>
          <w:w w:val="105"/>
        </w:rPr>
        <w:t> </w:t>
      </w:r>
      <w:r>
        <w:rPr>
          <w:color w:val="231F20"/>
          <w:w w:val="105"/>
        </w:rPr>
        <w:t>connessioni</w:t>
      </w:r>
      <w:r>
        <w:rPr>
          <w:color w:val="231F20"/>
          <w:spacing w:val="-38"/>
          <w:w w:val="105"/>
        </w:rPr>
        <w:t> </w:t>
      </w:r>
      <w:r>
        <w:rPr>
          <w:color w:val="231F20"/>
          <w:w w:val="105"/>
        </w:rPr>
        <w:t>[…],</w:t>
      </w:r>
      <w:r>
        <w:rPr>
          <w:color w:val="231F20"/>
          <w:spacing w:val="-38"/>
          <w:w w:val="105"/>
        </w:rPr>
        <w:t> </w:t>
      </w:r>
      <w:r>
        <w:rPr>
          <w:color w:val="231F20"/>
          <w:w w:val="105"/>
        </w:rPr>
        <w:t>il</w:t>
      </w:r>
      <w:r>
        <w:rPr>
          <w:color w:val="231F20"/>
          <w:spacing w:val="-38"/>
          <w:w w:val="105"/>
        </w:rPr>
        <w:t> </w:t>
      </w:r>
      <w:r>
        <w:rPr>
          <w:color w:val="231F20"/>
          <w:w w:val="105"/>
        </w:rPr>
        <w:t>rapporto</w:t>
      </w:r>
      <w:r>
        <w:rPr>
          <w:color w:val="231F20"/>
          <w:spacing w:val="-38"/>
          <w:w w:val="105"/>
        </w:rPr>
        <w:t> </w:t>
      </w:r>
      <w:r>
        <w:rPr>
          <w:color w:val="231F20"/>
          <w:w w:val="105"/>
        </w:rPr>
        <w:t>diventa</w:t>
      </w:r>
      <w:r>
        <w:rPr>
          <w:color w:val="231F20"/>
          <w:spacing w:val="-38"/>
          <w:w w:val="105"/>
        </w:rPr>
        <w:t> </w:t>
      </w:r>
      <w:r>
        <w:rPr>
          <w:color w:val="231F20"/>
          <w:w w:val="105"/>
        </w:rPr>
        <w:t>la categoria</w:t>
      </w:r>
      <w:r>
        <w:rPr>
          <w:color w:val="231F20"/>
          <w:spacing w:val="-35"/>
          <w:w w:val="105"/>
        </w:rPr>
        <w:t> </w:t>
      </w:r>
      <w:r>
        <w:rPr>
          <w:color w:val="231F20"/>
          <w:w w:val="105"/>
        </w:rPr>
        <w:t>fondamentale</w:t>
      </w:r>
      <w:r>
        <w:rPr>
          <w:color w:val="231F20"/>
          <w:spacing w:val="-35"/>
          <w:w w:val="105"/>
        </w:rPr>
        <w:t> </w:t>
      </w:r>
      <w:r>
        <w:rPr>
          <w:color w:val="231F20"/>
          <w:w w:val="105"/>
        </w:rPr>
        <w:t>di</w:t>
      </w:r>
      <w:r>
        <w:rPr>
          <w:color w:val="231F20"/>
          <w:spacing w:val="-35"/>
          <w:w w:val="105"/>
        </w:rPr>
        <w:t> </w:t>
      </w:r>
      <w:r>
        <w:rPr>
          <w:color w:val="231F20"/>
          <w:w w:val="105"/>
        </w:rPr>
        <w:t>una</w:t>
      </w:r>
      <w:r>
        <w:rPr>
          <w:color w:val="231F20"/>
          <w:spacing w:val="-35"/>
          <w:w w:val="105"/>
        </w:rPr>
        <w:t> </w:t>
      </w:r>
      <w:r>
        <w:rPr>
          <w:color w:val="231F20"/>
          <w:w w:val="105"/>
        </w:rPr>
        <w:t>convincente</w:t>
      </w:r>
      <w:r>
        <w:rPr>
          <w:color w:val="231F20"/>
          <w:spacing w:val="-35"/>
          <w:w w:val="105"/>
        </w:rPr>
        <w:t> </w:t>
      </w:r>
      <w:r>
        <w:rPr>
          <w:color w:val="231F20"/>
          <w:w w:val="105"/>
        </w:rPr>
        <w:t>teoria</w:t>
      </w:r>
      <w:r>
        <w:rPr>
          <w:color w:val="231F20"/>
          <w:spacing w:val="-35"/>
          <w:w w:val="105"/>
        </w:rPr>
        <w:t> </w:t>
      </w:r>
      <w:r>
        <w:rPr>
          <w:color w:val="231F20"/>
          <w:w w:val="105"/>
        </w:rPr>
        <w:t>della</w:t>
      </w:r>
      <w:r>
        <w:rPr>
          <w:color w:val="231F20"/>
          <w:spacing w:val="-35"/>
          <w:w w:val="105"/>
        </w:rPr>
        <w:t> </w:t>
      </w:r>
      <w:r>
        <w:rPr>
          <w:color w:val="231F20"/>
          <w:w w:val="105"/>
        </w:rPr>
        <w:t>globalizzazione”</w:t>
      </w:r>
      <w:r>
        <w:rPr>
          <w:color w:val="231F20"/>
          <w:w w:val="105"/>
          <w:position w:val="7"/>
          <w:sz w:val="12"/>
        </w:rPr>
        <w:t>20</w:t>
      </w:r>
      <w:r>
        <w:rPr>
          <w:color w:val="231F20"/>
          <w:w w:val="105"/>
        </w:rPr>
        <w:t>.</w:t>
      </w:r>
    </w:p>
    <w:p>
      <w:pPr>
        <w:pStyle w:val="BodyText"/>
        <w:spacing w:before="5"/>
      </w:pPr>
    </w:p>
    <w:p>
      <w:pPr>
        <w:pStyle w:val="ListParagraph"/>
        <w:numPr>
          <w:ilvl w:val="0"/>
          <w:numId w:val="11"/>
        </w:numPr>
        <w:tabs>
          <w:tab w:pos="895" w:val="left" w:leader="none"/>
        </w:tabs>
        <w:spacing w:line="240" w:lineRule="auto" w:before="0" w:after="0"/>
        <w:ind w:left="894" w:right="0" w:hanging="210"/>
        <w:jc w:val="left"/>
        <w:rPr>
          <w:sz w:val="21"/>
        </w:rPr>
      </w:pPr>
      <w:r>
        <w:rPr>
          <w:color w:val="231F20"/>
          <w:sz w:val="21"/>
        </w:rPr>
        <w:t>Finitezza–pluralità</w:t>
      </w:r>
    </w:p>
    <w:p>
      <w:pPr>
        <w:pStyle w:val="BodyText"/>
        <w:rPr>
          <w:sz w:val="22"/>
        </w:rPr>
      </w:pPr>
    </w:p>
    <w:p>
      <w:pPr>
        <w:pStyle w:val="BodyText"/>
        <w:spacing w:line="247" w:lineRule="auto" w:before="1"/>
        <w:ind w:left="117" w:right="121"/>
        <w:jc w:val="both"/>
      </w:pPr>
      <w:r>
        <w:rPr>
          <w:color w:val="231F20"/>
          <w:w w:val="105"/>
        </w:rPr>
        <w:t>Insieme</w:t>
      </w:r>
      <w:r>
        <w:rPr>
          <w:color w:val="231F20"/>
          <w:spacing w:val="-48"/>
          <w:w w:val="105"/>
        </w:rPr>
        <w:t> </w:t>
      </w:r>
      <w:r>
        <w:rPr>
          <w:color w:val="231F20"/>
          <w:w w:val="105"/>
        </w:rPr>
        <w:t>all’idea</w:t>
      </w:r>
      <w:r>
        <w:rPr>
          <w:color w:val="231F20"/>
          <w:spacing w:val="-48"/>
          <w:w w:val="105"/>
        </w:rPr>
        <w:t> </w:t>
      </w:r>
      <w:r>
        <w:rPr>
          <w:color w:val="231F20"/>
          <w:w w:val="105"/>
        </w:rPr>
        <w:t>di</w:t>
      </w:r>
      <w:r>
        <w:rPr>
          <w:color w:val="231F20"/>
          <w:spacing w:val="-48"/>
          <w:w w:val="105"/>
        </w:rPr>
        <w:t> </w:t>
      </w:r>
      <w:r>
        <w:rPr>
          <w:color w:val="231F20"/>
          <w:w w:val="105"/>
        </w:rPr>
        <w:t>omogeneizzazione</w:t>
      </w:r>
      <w:r>
        <w:rPr>
          <w:color w:val="231F20"/>
          <w:spacing w:val="-48"/>
          <w:w w:val="105"/>
        </w:rPr>
        <w:t> </w:t>
      </w:r>
      <w:r>
        <w:rPr>
          <w:color w:val="231F20"/>
          <w:w w:val="105"/>
        </w:rPr>
        <w:t>è</w:t>
      </w:r>
      <w:r>
        <w:rPr>
          <w:color w:val="231F20"/>
          <w:spacing w:val="-48"/>
          <w:w w:val="105"/>
        </w:rPr>
        <w:t> </w:t>
      </w:r>
      <w:r>
        <w:rPr>
          <w:color w:val="231F20"/>
          <w:w w:val="105"/>
        </w:rPr>
        <w:t>anche</w:t>
      </w:r>
      <w:r>
        <w:rPr>
          <w:color w:val="231F20"/>
          <w:spacing w:val="-48"/>
          <w:w w:val="105"/>
        </w:rPr>
        <w:t> </w:t>
      </w:r>
      <w:r>
        <w:rPr>
          <w:color w:val="231F20"/>
          <w:w w:val="105"/>
        </w:rPr>
        <w:t>apparsa</w:t>
      </w:r>
      <w:r>
        <w:rPr>
          <w:color w:val="231F20"/>
          <w:spacing w:val="-48"/>
          <w:w w:val="105"/>
        </w:rPr>
        <w:t> </w:t>
      </w:r>
      <w:r>
        <w:rPr>
          <w:color w:val="231F20"/>
          <w:w w:val="105"/>
        </w:rPr>
        <w:t>la</w:t>
      </w:r>
      <w:r>
        <w:rPr>
          <w:color w:val="231F20"/>
          <w:spacing w:val="-48"/>
          <w:w w:val="105"/>
        </w:rPr>
        <w:t> </w:t>
      </w:r>
      <w:r>
        <w:rPr>
          <w:color w:val="231F20"/>
          <w:w w:val="105"/>
        </w:rPr>
        <w:t>figura</w:t>
      </w:r>
      <w:r>
        <w:rPr>
          <w:color w:val="231F20"/>
          <w:spacing w:val="-48"/>
          <w:w w:val="105"/>
        </w:rPr>
        <w:t> </w:t>
      </w:r>
      <w:r>
        <w:rPr>
          <w:color w:val="231F20"/>
          <w:w w:val="105"/>
        </w:rPr>
        <w:t>di</w:t>
      </w:r>
      <w:r>
        <w:rPr>
          <w:color w:val="231F20"/>
          <w:spacing w:val="-48"/>
          <w:w w:val="105"/>
        </w:rPr>
        <w:t> </w:t>
      </w:r>
      <w:r>
        <w:rPr>
          <w:color w:val="231F20"/>
          <w:w w:val="105"/>
        </w:rPr>
        <w:t>un</w:t>
      </w:r>
      <w:r>
        <w:rPr>
          <w:color w:val="231F20"/>
          <w:spacing w:val="-48"/>
          <w:w w:val="105"/>
        </w:rPr>
        <w:t> </w:t>
      </w:r>
      <w:r>
        <w:rPr>
          <w:color w:val="231F20"/>
          <w:w w:val="105"/>
        </w:rPr>
        <w:t>mondo più</w:t>
      </w:r>
      <w:r>
        <w:rPr>
          <w:color w:val="231F20"/>
          <w:spacing w:val="-51"/>
          <w:w w:val="105"/>
        </w:rPr>
        <w:t> </w:t>
      </w:r>
      <w:r>
        <w:rPr>
          <w:color w:val="231F20"/>
          <w:w w:val="105"/>
        </w:rPr>
        <w:t>compatto,</w:t>
      </w:r>
      <w:r>
        <w:rPr>
          <w:color w:val="231F20"/>
          <w:spacing w:val="-51"/>
          <w:w w:val="105"/>
        </w:rPr>
        <w:t> </w:t>
      </w:r>
      <w:r>
        <w:rPr>
          <w:color w:val="231F20"/>
          <w:w w:val="105"/>
        </w:rPr>
        <w:t>più</w:t>
      </w:r>
      <w:r>
        <w:rPr>
          <w:color w:val="231F20"/>
          <w:spacing w:val="-51"/>
          <w:w w:val="105"/>
        </w:rPr>
        <w:t> </w:t>
      </w:r>
      <w:r>
        <w:rPr>
          <w:color w:val="231F20"/>
          <w:w w:val="105"/>
        </w:rPr>
        <w:t>finito,</w:t>
      </w:r>
      <w:r>
        <w:rPr>
          <w:color w:val="231F20"/>
          <w:spacing w:val="-51"/>
          <w:w w:val="105"/>
        </w:rPr>
        <w:t> </w:t>
      </w:r>
      <w:r>
        <w:rPr>
          <w:color w:val="231F20"/>
          <w:w w:val="105"/>
        </w:rPr>
        <w:t>che</w:t>
      </w:r>
      <w:r>
        <w:rPr>
          <w:color w:val="231F20"/>
          <w:spacing w:val="-51"/>
          <w:w w:val="105"/>
        </w:rPr>
        <w:t> </w:t>
      </w:r>
      <w:r>
        <w:rPr>
          <w:color w:val="231F20"/>
          <w:w w:val="105"/>
        </w:rPr>
        <w:t>implodeva</w:t>
      </w:r>
      <w:r>
        <w:rPr>
          <w:color w:val="231F20"/>
          <w:spacing w:val="-51"/>
          <w:w w:val="105"/>
        </w:rPr>
        <w:t> </w:t>
      </w:r>
      <w:r>
        <w:rPr>
          <w:color w:val="231F20"/>
          <w:w w:val="105"/>
        </w:rPr>
        <w:t>verso</w:t>
      </w:r>
      <w:r>
        <w:rPr>
          <w:color w:val="231F20"/>
          <w:spacing w:val="-51"/>
          <w:w w:val="105"/>
        </w:rPr>
        <w:t> </w:t>
      </w:r>
      <w:r>
        <w:rPr>
          <w:color w:val="231F20"/>
          <w:w w:val="105"/>
        </w:rPr>
        <w:t>l’uniformità</w:t>
      </w:r>
      <w:r>
        <w:rPr>
          <w:color w:val="231F20"/>
          <w:spacing w:val="-51"/>
          <w:w w:val="105"/>
        </w:rPr>
        <w:t> </w:t>
      </w:r>
      <w:r>
        <w:rPr>
          <w:color w:val="231F20"/>
          <w:w w:val="105"/>
        </w:rPr>
        <w:t>di</w:t>
      </w:r>
      <w:r>
        <w:rPr>
          <w:color w:val="231F20"/>
          <w:spacing w:val="-51"/>
          <w:w w:val="105"/>
        </w:rPr>
        <w:t> </w:t>
      </w:r>
      <w:r>
        <w:rPr>
          <w:color w:val="231F20"/>
          <w:w w:val="105"/>
        </w:rPr>
        <w:t>un</w:t>
      </w:r>
      <w:r>
        <w:rPr>
          <w:color w:val="231F20"/>
          <w:spacing w:val="-51"/>
          <w:w w:val="105"/>
        </w:rPr>
        <w:t> </w:t>
      </w:r>
      <w:r>
        <w:rPr>
          <w:color w:val="231F20"/>
          <w:w w:val="105"/>
        </w:rPr>
        <w:t>solo</w:t>
      </w:r>
      <w:r>
        <w:rPr>
          <w:color w:val="231F20"/>
          <w:spacing w:val="-51"/>
          <w:w w:val="105"/>
        </w:rPr>
        <w:t> </w:t>
      </w:r>
      <w:r>
        <w:rPr>
          <w:color w:val="231F20"/>
          <w:w w:val="105"/>
        </w:rPr>
        <w:t>modello.</w:t>
      </w:r>
    </w:p>
    <w:p>
      <w:pPr>
        <w:pStyle w:val="BodyText"/>
        <w:rPr>
          <w:sz w:val="20"/>
        </w:rPr>
      </w:pPr>
    </w:p>
    <w:p>
      <w:pPr>
        <w:pStyle w:val="BodyText"/>
        <w:rPr>
          <w:sz w:val="14"/>
        </w:rPr>
      </w:pPr>
      <w:r>
        <w:rPr/>
        <w:pict>
          <v:line style="position:absolute;mso-position-horizontal-relative:page;mso-position-vertical-relative:paragraph;z-index:11320;mso-wrap-distance-left:0;mso-wrap-distance-right:0" from="70.866203pt,10.559472pt" to="184.252203pt,10.559472pt" stroked="true" strokeweight=".3pt" strokecolor="#231f20">
            <w10:wrap type="topAndBottom"/>
          </v:line>
        </w:pict>
      </w:r>
    </w:p>
    <w:p>
      <w:pPr>
        <w:spacing w:line="206" w:lineRule="exact" w:before="10"/>
        <w:ind w:left="117" w:right="0" w:firstLine="0"/>
        <w:jc w:val="left"/>
        <w:rPr>
          <w:rFonts w:ascii="Calibri" w:hAnsi="Calibri"/>
          <w:sz w:val="17"/>
        </w:rPr>
      </w:pPr>
      <w:r>
        <w:rPr>
          <w:rFonts w:ascii="Calibri" w:hAnsi="Calibri"/>
          <w:color w:val="231F20"/>
          <w:position w:val="6"/>
          <w:sz w:val="10"/>
        </w:rPr>
        <w:t>19 </w:t>
      </w:r>
      <w:r>
        <w:rPr>
          <w:rFonts w:ascii="Calibri" w:hAnsi="Calibri"/>
          <w:color w:val="231F20"/>
          <w:sz w:val="17"/>
        </w:rPr>
        <w:t>B. Barber, “Jihad Vs. McWorld”, </w:t>
      </w:r>
      <w:r>
        <w:rPr>
          <w:rFonts w:ascii="Calibri" w:hAnsi="Calibri"/>
          <w:i/>
          <w:color w:val="231F20"/>
          <w:sz w:val="17"/>
        </w:rPr>
        <w:t>The Atlantic</w:t>
      </w:r>
      <w:r>
        <w:rPr>
          <w:rFonts w:ascii="Calibri" w:hAnsi="Calibri"/>
          <w:color w:val="231F20"/>
          <w:sz w:val="17"/>
        </w:rPr>
        <w:t>, vol. 3, no. 269, 1992, p. 64.</w:t>
      </w:r>
    </w:p>
    <w:p>
      <w:pPr>
        <w:spacing w:line="206" w:lineRule="exact" w:before="0"/>
        <w:ind w:left="117" w:right="0" w:firstLine="0"/>
        <w:jc w:val="left"/>
        <w:rPr>
          <w:rFonts w:ascii="Calibri" w:hAnsi="Calibri"/>
          <w:sz w:val="17"/>
        </w:rPr>
      </w:pPr>
      <w:r>
        <w:rPr>
          <w:rFonts w:ascii="Calibri" w:hAnsi="Calibri"/>
          <w:color w:val="231F20"/>
          <w:position w:val="6"/>
          <w:sz w:val="10"/>
        </w:rPr>
        <w:t>20  </w:t>
      </w:r>
      <w:r>
        <w:rPr>
          <w:rFonts w:ascii="Calibri" w:hAnsi="Calibri"/>
          <w:color w:val="231F20"/>
          <w:sz w:val="17"/>
        </w:rPr>
        <w:t>Reder, </w:t>
      </w:r>
      <w:r>
        <w:rPr>
          <w:rFonts w:ascii="Calibri" w:hAnsi="Calibri"/>
          <w:i/>
          <w:color w:val="231F20"/>
          <w:sz w:val="17"/>
        </w:rPr>
        <w:t>Globalización y filosofía</w:t>
      </w:r>
      <w:r>
        <w:rPr>
          <w:rFonts w:ascii="Calibri" w:hAnsi="Calibri"/>
          <w:color w:val="231F20"/>
          <w:sz w:val="17"/>
        </w:rPr>
        <w:t>, pp. 54–55.</w:t>
      </w:r>
    </w:p>
    <w:p>
      <w:pPr>
        <w:spacing w:after="0" w:line="206" w:lineRule="exact"/>
        <w:jc w:val="left"/>
        <w:rPr>
          <w:rFonts w:ascii="Calibri" w:hAnsi="Calibri"/>
          <w:sz w:val="17"/>
        </w:rPr>
        <w:sectPr>
          <w:pgSz w:w="9640" w:h="13890"/>
          <w:pgMar w:top="0" w:bottom="280" w:left="1300" w:right="1180"/>
        </w:sectPr>
      </w:pPr>
    </w:p>
    <w:p>
      <w:pPr>
        <w:pStyle w:val="BodyText"/>
        <w:spacing w:line="247" w:lineRule="auto" w:before="107"/>
        <w:ind w:left="103" w:right="110"/>
        <w:jc w:val="both"/>
      </w:pPr>
      <w:r>
        <w:rPr>
          <w:color w:val="231F20"/>
          <w:w w:val="105"/>
        </w:rPr>
        <w:t>Con</w:t>
      </w:r>
      <w:r>
        <w:rPr>
          <w:color w:val="231F20"/>
          <w:spacing w:val="-29"/>
          <w:w w:val="105"/>
        </w:rPr>
        <w:t> </w:t>
      </w:r>
      <w:r>
        <w:rPr>
          <w:color w:val="231F20"/>
          <w:w w:val="105"/>
        </w:rPr>
        <w:t>l’apparizione</w:t>
      </w:r>
      <w:r>
        <w:rPr>
          <w:color w:val="231F20"/>
          <w:spacing w:val="-29"/>
          <w:w w:val="105"/>
        </w:rPr>
        <w:t> </w:t>
      </w:r>
      <w:r>
        <w:rPr>
          <w:color w:val="231F20"/>
          <w:w w:val="105"/>
        </w:rPr>
        <w:t>di</w:t>
      </w:r>
      <w:r>
        <w:rPr>
          <w:color w:val="231F20"/>
          <w:spacing w:val="-29"/>
          <w:w w:val="105"/>
        </w:rPr>
        <w:t> </w:t>
      </w:r>
      <w:r>
        <w:rPr>
          <w:rFonts w:ascii="Arial" w:hAnsi="Arial"/>
          <w:i/>
          <w:color w:val="231F20"/>
          <w:w w:val="105"/>
        </w:rPr>
        <w:t>The</w:t>
      </w:r>
      <w:r>
        <w:rPr>
          <w:rFonts w:ascii="Arial" w:hAnsi="Arial"/>
          <w:i/>
          <w:color w:val="231F20"/>
          <w:spacing w:val="-21"/>
          <w:w w:val="105"/>
        </w:rPr>
        <w:t> </w:t>
      </w:r>
      <w:r>
        <w:rPr>
          <w:rFonts w:ascii="Arial" w:hAnsi="Arial"/>
          <w:i/>
          <w:color w:val="231F20"/>
          <w:w w:val="105"/>
        </w:rPr>
        <w:t>End</w:t>
      </w:r>
      <w:r>
        <w:rPr>
          <w:rFonts w:ascii="Arial" w:hAnsi="Arial"/>
          <w:i/>
          <w:color w:val="231F20"/>
          <w:spacing w:val="-21"/>
          <w:w w:val="105"/>
        </w:rPr>
        <w:t> </w:t>
      </w:r>
      <w:r>
        <w:rPr>
          <w:rFonts w:ascii="Arial" w:hAnsi="Arial"/>
          <w:i/>
          <w:color w:val="231F20"/>
          <w:w w:val="105"/>
        </w:rPr>
        <w:t>of</w:t>
      </w:r>
      <w:r>
        <w:rPr>
          <w:rFonts w:ascii="Arial" w:hAnsi="Arial"/>
          <w:i/>
          <w:color w:val="231F20"/>
          <w:spacing w:val="-21"/>
          <w:w w:val="105"/>
        </w:rPr>
        <w:t> </w:t>
      </w:r>
      <w:r>
        <w:rPr>
          <w:rFonts w:ascii="Arial" w:hAnsi="Arial"/>
          <w:i/>
          <w:color w:val="231F20"/>
          <w:w w:val="105"/>
        </w:rPr>
        <w:t>History</w:t>
      </w:r>
      <w:r>
        <w:rPr>
          <w:rFonts w:ascii="Arial" w:hAnsi="Arial"/>
          <w:i/>
          <w:color w:val="231F20"/>
          <w:spacing w:val="-21"/>
          <w:w w:val="105"/>
        </w:rPr>
        <w:t> </w:t>
      </w:r>
      <w:r>
        <w:rPr>
          <w:rFonts w:ascii="Arial" w:hAnsi="Arial"/>
          <w:i/>
          <w:color w:val="231F20"/>
          <w:w w:val="105"/>
        </w:rPr>
        <w:t>and</w:t>
      </w:r>
      <w:r>
        <w:rPr>
          <w:rFonts w:ascii="Arial" w:hAnsi="Arial"/>
          <w:i/>
          <w:color w:val="231F20"/>
          <w:spacing w:val="-21"/>
          <w:w w:val="105"/>
        </w:rPr>
        <w:t> </w:t>
      </w:r>
      <w:r>
        <w:rPr>
          <w:rFonts w:ascii="Arial" w:hAnsi="Arial"/>
          <w:i/>
          <w:color w:val="231F20"/>
          <w:w w:val="105"/>
        </w:rPr>
        <w:t>the</w:t>
      </w:r>
      <w:r>
        <w:rPr>
          <w:rFonts w:ascii="Arial" w:hAnsi="Arial"/>
          <w:i/>
          <w:color w:val="231F20"/>
          <w:spacing w:val="-21"/>
          <w:w w:val="105"/>
        </w:rPr>
        <w:t> </w:t>
      </w:r>
      <w:r>
        <w:rPr>
          <w:rFonts w:ascii="Arial" w:hAnsi="Arial"/>
          <w:i/>
          <w:color w:val="231F20"/>
          <w:w w:val="105"/>
        </w:rPr>
        <w:t>Last</w:t>
      </w:r>
      <w:r>
        <w:rPr>
          <w:rFonts w:ascii="Arial" w:hAnsi="Arial"/>
          <w:i/>
          <w:color w:val="231F20"/>
          <w:spacing w:val="-21"/>
          <w:w w:val="105"/>
        </w:rPr>
        <w:t> </w:t>
      </w:r>
      <w:r>
        <w:rPr>
          <w:rFonts w:ascii="Arial" w:hAnsi="Arial"/>
          <w:i/>
          <w:color w:val="231F20"/>
          <w:w w:val="105"/>
        </w:rPr>
        <w:t>Man</w:t>
      </w:r>
      <w:r>
        <w:rPr>
          <w:color w:val="231F20"/>
          <w:w w:val="105"/>
        </w:rPr>
        <w:t>,</w:t>
      </w:r>
      <w:r>
        <w:rPr>
          <w:color w:val="231F20"/>
          <w:spacing w:val="-29"/>
          <w:w w:val="105"/>
        </w:rPr>
        <w:t> </w:t>
      </w:r>
      <w:r>
        <w:rPr>
          <w:color w:val="231F20"/>
          <w:w w:val="105"/>
        </w:rPr>
        <w:t>in</w:t>
      </w:r>
      <w:r>
        <w:rPr>
          <w:color w:val="231F20"/>
          <w:spacing w:val="-29"/>
          <w:w w:val="105"/>
        </w:rPr>
        <w:t> </w:t>
      </w:r>
      <w:r>
        <w:rPr>
          <w:color w:val="231F20"/>
          <w:w w:val="105"/>
        </w:rPr>
        <w:t>1992,</w:t>
      </w:r>
      <w:r>
        <w:rPr>
          <w:color w:val="231F20"/>
          <w:spacing w:val="-29"/>
          <w:w w:val="105"/>
        </w:rPr>
        <w:t> </w:t>
      </w:r>
      <w:r>
        <w:rPr>
          <w:color w:val="231F20"/>
          <w:w w:val="105"/>
        </w:rPr>
        <w:t>Francis </w:t>
      </w:r>
      <w:r>
        <w:rPr>
          <w:color w:val="231F20"/>
          <w:spacing w:val="3"/>
          <w:w w:val="105"/>
        </w:rPr>
        <w:t>Fukuyama </w:t>
      </w:r>
      <w:r>
        <w:rPr>
          <w:color w:val="231F20"/>
          <w:spacing w:val="2"/>
          <w:w w:val="105"/>
        </w:rPr>
        <w:t>sembrò </w:t>
      </w:r>
      <w:r>
        <w:rPr>
          <w:color w:val="231F20"/>
          <w:spacing w:val="3"/>
          <w:w w:val="105"/>
        </w:rPr>
        <w:t>incoraggiare tale posizione </w:t>
      </w:r>
      <w:r>
        <w:rPr>
          <w:color w:val="231F20"/>
          <w:w w:val="105"/>
        </w:rPr>
        <w:t>al </w:t>
      </w:r>
      <w:r>
        <w:rPr>
          <w:color w:val="231F20"/>
          <w:spacing w:val="2"/>
          <w:w w:val="105"/>
        </w:rPr>
        <w:t>riprendere </w:t>
      </w:r>
      <w:r>
        <w:rPr>
          <w:color w:val="231F20"/>
          <w:w w:val="105"/>
        </w:rPr>
        <w:t>un </w:t>
      </w:r>
      <w:r>
        <w:rPr>
          <w:color w:val="231F20"/>
          <w:spacing w:val="4"/>
          <w:w w:val="105"/>
        </w:rPr>
        <w:t>antico </w:t>
      </w:r>
      <w:r>
        <w:rPr>
          <w:color w:val="231F20"/>
          <w:w w:val="105"/>
        </w:rPr>
        <w:t>dibattito:</w:t>
      </w:r>
      <w:r>
        <w:rPr>
          <w:color w:val="231F20"/>
          <w:spacing w:val="-12"/>
          <w:w w:val="105"/>
        </w:rPr>
        <w:t> </w:t>
      </w:r>
      <w:r>
        <w:rPr>
          <w:color w:val="231F20"/>
          <w:w w:val="105"/>
        </w:rPr>
        <w:t>la</w:t>
      </w:r>
      <w:r>
        <w:rPr>
          <w:color w:val="231F20"/>
          <w:spacing w:val="-12"/>
          <w:w w:val="105"/>
        </w:rPr>
        <w:t> </w:t>
      </w:r>
      <w:r>
        <w:rPr>
          <w:color w:val="231F20"/>
          <w:w w:val="105"/>
        </w:rPr>
        <w:t>fine</w:t>
      </w:r>
      <w:r>
        <w:rPr>
          <w:color w:val="231F20"/>
          <w:spacing w:val="-12"/>
          <w:w w:val="105"/>
        </w:rPr>
        <w:t> </w:t>
      </w:r>
      <w:r>
        <w:rPr>
          <w:color w:val="231F20"/>
          <w:w w:val="105"/>
        </w:rPr>
        <w:t>della</w:t>
      </w:r>
      <w:r>
        <w:rPr>
          <w:color w:val="231F20"/>
          <w:spacing w:val="-12"/>
          <w:w w:val="105"/>
        </w:rPr>
        <w:t> </w:t>
      </w:r>
      <w:r>
        <w:rPr>
          <w:color w:val="231F20"/>
          <w:w w:val="105"/>
        </w:rPr>
        <w:t>storia,</w:t>
      </w:r>
      <w:r>
        <w:rPr>
          <w:color w:val="231F20"/>
          <w:spacing w:val="-12"/>
          <w:w w:val="105"/>
        </w:rPr>
        <w:t> </w:t>
      </w:r>
      <w:r>
        <w:rPr>
          <w:color w:val="231F20"/>
          <w:w w:val="105"/>
        </w:rPr>
        <w:t>questione</w:t>
      </w:r>
      <w:r>
        <w:rPr>
          <w:color w:val="231F20"/>
          <w:spacing w:val="-12"/>
          <w:w w:val="105"/>
        </w:rPr>
        <w:t> </w:t>
      </w:r>
      <w:r>
        <w:rPr>
          <w:color w:val="231F20"/>
          <w:w w:val="105"/>
        </w:rPr>
        <w:t>che</w:t>
      </w:r>
      <w:r>
        <w:rPr>
          <w:color w:val="231F20"/>
          <w:spacing w:val="-12"/>
          <w:w w:val="105"/>
        </w:rPr>
        <w:t> </w:t>
      </w:r>
      <w:r>
        <w:rPr>
          <w:color w:val="231F20"/>
          <w:w w:val="105"/>
        </w:rPr>
        <w:t>già</w:t>
      </w:r>
      <w:r>
        <w:rPr>
          <w:color w:val="231F20"/>
          <w:spacing w:val="-12"/>
          <w:w w:val="105"/>
        </w:rPr>
        <w:t> </w:t>
      </w:r>
      <w:r>
        <w:rPr>
          <w:color w:val="231F20"/>
          <w:w w:val="105"/>
        </w:rPr>
        <w:t>avevano</w:t>
      </w:r>
      <w:r>
        <w:rPr>
          <w:color w:val="231F20"/>
          <w:spacing w:val="-12"/>
          <w:w w:val="105"/>
        </w:rPr>
        <w:t> </w:t>
      </w:r>
      <w:r>
        <w:rPr>
          <w:color w:val="231F20"/>
          <w:w w:val="105"/>
        </w:rPr>
        <w:t>anticipato</w:t>
      </w:r>
      <w:r>
        <w:rPr>
          <w:color w:val="231F20"/>
          <w:spacing w:val="-12"/>
          <w:w w:val="105"/>
        </w:rPr>
        <w:t> </w:t>
      </w:r>
      <w:r>
        <w:rPr>
          <w:color w:val="231F20"/>
          <w:w w:val="105"/>
        </w:rPr>
        <w:t>Hegel e</w:t>
      </w:r>
      <w:r>
        <w:rPr>
          <w:color w:val="231F20"/>
          <w:spacing w:val="-20"/>
          <w:w w:val="105"/>
        </w:rPr>
        <w:t> </w:t>
      </w:r>
      <w:r>
        <w:rPr>
          <w:color w:val="231F20"/>
          <w:w w:val="105"/>
        </w:rPr>
        <w:t>Marx.</w:t>
      </w:r>
      <w:r>
        <w:rPr>
          <w:color w:val="231F20"/>
          <w:spacing w:val="-20"/>
          <w:w w:val="105"/>
        </w:rPr>
        <w:t> </w:t>
      </w:r>
      <w:r>
        <w:rPr>
          <w:color w:val="231F20"/>
          <w:w w:val="105"/>
        </w:rPr>
        <w:t>Nel</w:t>
      </w:r>
      <w:r>
        <w:rPr>
          <w:color w:val="231F20"/>
          <w:spacing w:val="-20"/>
          <w:w w:val="105"/>
        </w:rPr>
        <w:t> </w:t>
      </w:r>
      <w:r>
        <w:rPr>
          <w:color w:val="231F20"/>
          <w:w w:val="105"/>
        </w:rPr>
        <w:t>contesto</w:t>
      </w:r>
      <w:r>
        <w:rPr>
          <w:color w:val="231F20"/>
          <w:spacing w:val="-20"/>
          <w:w w:val="105"/>
        </w:rPr>
        <w:t> </w:t>
      </w:r>
      <w:r>
        <w:rPr>
          <w:color w:val="231F20"/>
          <w:w w:val="105"/>
        </w:rPr>
        <w:t>attuale,</w:t>
      </w:r>
      <w:r>
        <w:rPr>
          <w:color w:val="231F20"/>
          <w:spacing w:val="-20"/>
          <w:w w:val="105"/>
        </w:rPr>
        <w:t> </w:t>
      </w:r>
      <w:r>
        <w:rPr>
          <w:color w:val="231F20"/>
          <w:w w:val="105"/>
        </w:rPr>
        <w:t>supponeva</w:t>
      </w:r>
      <w:r>
        <w:rPr>
          <w:color w:val="231F20"/>
          <w:spacing w:val="-20"/>
          <w:w w:val="105"/>
        </w:rPr>
        <w:t> </w:t>
      </w:r>
      <w:r>
        <w:rPr>
          <w:color w:val="231F20"/>
          <w:w w:val="105"/>
        </w:rPr>
        <w:t>l’avvenimento</w:t>
      </w:r>
      <w:r>
        <w:rPr>
          <w:color w:val="231F20"/>
          <w:spacing w:val="-20"/>
          <w:w w:val="105"/>
        </w:rPr>
        <w:t> </w:t>
      </w:r>
      <w:r>
        <w:rPr>
          <w:color w:val="231F20"/>
          <w:w w:val="105"/>
        </w:rPr>
        <w:t>di</w:t>
      </w:r>
      <w:r>
        <w:rPr>
          <w:color w:val="231F20"/>
          <w:spacing w:val="-20"/>
          <w:w w:val="105"/>
        </w:rPr>
        <w:t> </w:t>
      </w:r>
      <w:r>
        <w:rPr>
          <w:color w:val="231F20"/>
          <w:w w:val="105"/>
        </w:rPr>
        <w:t>una</w:t>
      </w:r>
      <w:r>
        <w:rPr>
          <w:color w:val="231F20"/>
          <w:spacing w:val="-20"/>
          <w:w w:val="105"/>
        </w:rPr>
        <w:t> </w:t>
      </w:r>
      <w:r>
        <w:rPr>
          <w:color w:val="231F20"/>
          <w:w w:val="105"/>
        </w:rPr>
        <w:t>tappa</w:t>
      </w:r>
      <w:r>
        <w:rPr>
          <w:color w:val="231F20"/>
          <w:spacing w:val="-20"/>
          <w:w w:val="105"/>
        </w:rPr>
        <w:t> </w:t>
      </w:r>
      <w:r>
        <w:rPr>
          <w:color w:val="231F20"/>
          <w:w w:val="105"/>
        </w:rPr>
        <w:t>post storica</w:t>
      </w:r>
      <w:r>
        <w:rPr>
          <w:color w:val="231F20"/>
          <w:spacing w:val="-9"/>
          <w:w w:val="105"/>
        </w:rPr>
        <w:t> </w:t>
      </w:r>
      <w:r>
        <w:rPr>
          <w:color w:val="231F20"/>
          <w:w w:val="105"/>
        </w:rPr>
        <w:t>nella</w:t>
      </w:r>
      <w:r>
        <w:rPr>
          <w:color w:val="231F20"/>
          <w:spacing w:val="-9"/>
          <w:w w:val="105"/>
        </w:rPr>
        <w:t> </w:t>
      </w:r>
      <w:r>
        <w:rPr>
          <w:color w:val="231F20"/>
          <w:w w:val="105"/>
        </w:rPr>
        <w:t>quale</w:t>
      </w:r>
      <w:r>
        <w:rPr>
          <w:color w:val="231F20"/>
          <w:spacing w:val="-9"/>
          <w:w w:val="105"/>
        </w:rPr>
        <w:t> </w:t>
      </w:r>
      <w:r>
        <w:rPr>
          <w:color w:val="231F20"/>
          <w:w w:val="105"/>
        </w:rPr>
        <w:t>—una</w:t>
      </w:r>
      <w:r>
        <w:rPr>
          <w:color w:val="231F20"/>
          <w:spacing w:val="-9"/>
          <w:w w:val="105"/>
        </w:rPr>
        <w:t> </w:t>
      </w:r>
      <w:r>
        <w:rPr>
          <w:color w:val="231F20"/>
          <w:w w:val="105"/>
        </w:rPr>
        <w:t>volta</w:t>
      </w:r>
      <w:r>
        <w:rPr>
          <w:color w:val="231F20"/>
          <w:spacing w:val="-9"/>
          <w:w w:val="105"/>
        </w:rPr>
        <w:t> </w:t>
      </w:r>
      <w:r>
        <w:rPr>
          <w:color w:val="231F20"/>
          <w:w w:val="105"/>
        </w:rPr>
        <w:t>caduto</w:t>
      </w:r>
      <w:r>
        <w:rPr>
          <w:color w:val="231F20"/>
          <w:spacing w:val="-9"/>
          <w:w w:val="105"/>
        </w:rPr>
        <w:t> </w:t>
      </w:r>
      <w:r>
        <w:rPr>
          <w:color w:val="231F20"/>
          <w:w w:val="105"/>
        </w:rPr>
        <w:t>il</w:t>
      </w:r>
      <w:r>
        <w:rPr>
          <w:color w:val="231F20"/>
          <w:spacing w:val="-9"/>
          <w:w w:val="105"/>
        </w:rPr>
        <w:t> </w:t>
      </w:r>
      <w:r>
        <w:rPr>
          <w:color w:val="231F20"/>
          <w:w w:val="105"/>
        </w:rPr>
        <w:t>Muro</w:t>
      </w:r>
      <w:r>
        <w:rPr>
          <w:color w:val="231F20"/>
          <w:spacing w:val="-9"/>
          <w:w w:val="105"/>
        </w:rPr>
        <w:t> </w:t>
      </w:r>
      <w:r>
        <w:rPr>
          <w:color w:val="231F20"/>
          <w:w w:val="105"/>
        </w:rPr>
        <w:t>di</w:t>
      </w:r>
      <w:r>
        <w:rPr>
          <w:color w:val="231F20"/>
          <w:spacing w:val="-9"/>
          <w:w w:val="105"/>
        </w:rPr>
        <w:t> </w:t>
      </w:r>
      <w:r>
        <w:rPr>
          <w:color w:val="231F20"/>
          <w:w w:val="105"/>
        </w:rPr>
        <w:t>Berlino</w:t>
      </w:r>
      <w:r>
        <w:rPr>
          <w:color w:val="231F20"/>
          <w:spacing w:val="-9"/>
          <w:w w:val="105"/>
        </w:rPr>
        <w:t> </w:t>
      </w:r>
      <w:r>
        <w:rPr>
          <w:color w:val="231F20"/>
          <w:w w:val="105"/>
        </w:rPr>
        <w:t>e</w:t>
      </w:r>
      <w:r>
        <w:rPr>
          <w:color w:val="231F20"/>
          <w:spacing w:val="-9"/>
          <w:w w:val="105"/>
        </w:rPr>
        <w:t> </w:t>
      </w:r>
      <w:r>
        <w:rPr>
          <w:color w:val="231F20"/>
          <w:w w:val="105"/>
        </w:rPr>
        <w:t>finito</w:t>
      </w:r>
      <w:r>
        <w:rPr>
          <w:color w:val="231F20"/>
          <w:spacing w:val="-9"/>
          <w:w w:val="105"/>
        </w:rPr>
        <w:t> </w:t>
      </w:r>
      <w:r>
        <w:rPr>
          <w:color w:val="231F20"/>
          <w:w w:val="105"/>
        </w:rPr>
        <w:t>il</w:t>
      </w:r>
      <w:r>
        <w:rPr>
          <w:color w:val="231F20"/>
          <w:spacing w:val="-9"/>
          <w:w w:val="105"/>
        </w:rPr>
        <w:t> </w:t>
      </w:r>
      <w:r>
        <w:rPr>
          <w:color w:val="231F20"/>
          <w:w w:val="105"/>
        </w:rPr>
        <w:t>grande confronto</w:t>
      </w:r>
      <w:r>
        <w:rPr>
          <w:color w:val="231F20"/>
          <w:spacing w:val="-38"/>
          <w:w w:val="105"/>
        </w:rPr>
        <w:t> </w:t>
      </w:r>
      <w:r>
        <w:rPr>
          <w:color w:val="231F20"/>
          <w:w w:val="105"/>
        </w:rPr>
        <w:t>tra</w:t>
      </w:r>
      <w:r>
        <w:rPr>
          <w:color w:val="231F20"/>
          <w:spacing w:val="-38"/>
          <w:w w:val="105"/>
        </w:rPr>
        <w:t> </w:t>
      </w:r>
      <w:r>
        <w:rPr>
          <w:color w:val="231F20"/>
          <w:w w:val="105"/>
        </w:rPr>
        <w:t>capitalismo</w:t>
      </w:r>
      <w:r>
        <w:rPr>
          <w:color w:val="231F20"/>
          <w:spacing w:val="-38"/>
          <w:w w:val="105"/>
        </w:rPr>
        <w:t> </w:t>
      </w:r>
      <w:r>
        <w:rPr>
          <w:color w:val="231F20"/>
          <w:w w:val="105"/>
        </w:rPr>
        <w:t>e</w:t>
      </w:r>
      <w:r>
        <w:rPr>
          <w:color w:val="231F20"/>
          <w:spacing w:val="-38"/>
          <w:w w:val="105"/>
        </w:rPr>
        <w:t> </w:t>
      </w:r>
      <w:r>
        <w:rPr>
          <w:color w:val="231F20"/>
          <w:w w:val="105"/>
        </w:rPr>
        <w:t>socialismo—</w:t>
      </w:r>
      <w:r>
        <w:rPr>
          <w:color w:val="231F20"/>
          <w:spacing w:val="-38"/>
          <w:w w:val="105"/>
        </w:rPr>
        <w:t> </w:t>
      </w:r>
      <w:r>
        <w:rPr>
          <w:color w:val="231F20"/>
          <w:w w:val="105"/>
        </w:rPr>
        <w:t>il</w:t>
      </w:r>
      <w:r>
        <w:rPr>
          <w:color w:val="231F20"/>
          <w:spacing w:val="-38"/>
          <w:w w:val="105"/>
        </w:rPr>
        <w:t> </w:t>
      </w:r>
      <w:r>
        <w:rPr>
          <w:color w:val="231F20"/>
          <w:w w:val="105"/>
        </w:rPr>
        <w:t>mondo</w:t>
      </w:r>
      <w:r>
        <w:rPr>
          <w:color w:val="231F20"/>
          <w:spacing w:val="-38"/>
          <w:w w:val="105"/>
        </w:rPr>
        <w:t> </w:t>
      </w:r>
      <w:r>
        <w:rPr>
          <w:color w:val="231F20"/>
          <w:w w:val="105"/>
        </w:rPr>
        <w:t>si</w:t>
      </w:r>
      <w:r>
        <w:rPr>
          <w:color w:val="231F20"/>
          <w:spacing w:val="-38"/>
          <w:w w:val="105"/>
        </w:rPr>
        <w:t> </w:t>
      </w:r>
      <w:r>
        <w:rPr>
          <w:color w:val="231F20"/>
          <w:w w:val="105"/>
        </w:rPr>
        <w:t>sarebbe</w:t>
      </w:r>
      <w:r>
        <w:rPr>
          <w:color w:val="231F20"/>
          <w:spacing w:val="-38"/>
          <w:w w:val="105"/>
        </w:rPr>
        <w:t> </w:t>
      </w:r>
      <w:r>
        <w:rPr>
          <w:color w:val="231F20"/>
          <w:w w:val="105"/>
        </w:rPr>
        <w:t>installato</w:t>
      </w:r>
      <w:r>
        <w:rPr>
          <w:color w:val="231F20"/>
          <w:spacing w:val="-38"/>
          <w:w w:val="105"/>
        </w:rPr>
        <w:t> </w:t>
      </w:r>
      <w:r>
        <w:rPr>
          <w:color w:val="231F20"/>
          <w:w w:val="105"/>
        </w:rPr>
        <w:t>nella pianura</w:t>
      </w:r>
      <w:r>
        <w:rPr>
          <w:color w:val="231F20"/>
          <w:spacing w:val="-23"/>
          <w:w w:val="105"/>
        </w:rPr>
        <w:t> </w:t>
      </w:r>
      <w:r>
        <w:rPr>
          <w:color w:val="231F20"/>
          <w:w w:val="105"/>
        </w:rPr>
        <w:t>di</w:t>
      </w:r>
      <w:r>
        <w:rPr>
          <w:color w:val="231F20"/>
          <w:spacing w:val="-23"/>
          <w:w w:val="105"/>
        </w:rPr>
        <w:t> </w:t>
      </w:r>
      <w:r>
        <w:rPr>
          <w:color w:val="231F20"/>
          <w:w w:val="105"/>
        </w:rPr>
        <w:t>una</w:t>
      </w:r>
      <w:r>
        <w:rPr>
          <w:color w:val="231F20"/>
          <w:spacing w:val="-23"/>
          <w:w w:val="105"/>
        </w:rPr>
        <w:t> </w:t>
      </w:r>
      <w:r>
        <w:rPr>
          <w:color w:val="231F20"/>
          <w:w w:val="105"/>
        </w:rPr>
        <w:t>sola</w:t>
      </w:r>
      <w:r>
        <w:rPr>
          <w:color w:val="231F20"/>
          <w:spacing w:val="-23"/>
          <w:w w:val="105"/>
        </w:rPr>
        <w:t> </w:t>
      </w:r>
      <w:r>
        <w:rPr>
          <w:color w:val="231F20"/>
          <w:w w:val="105"/>
        </w:rPr>
        <w:t>e</w:t>
      </w:r>
      <w:r>
        <w:rPr>
          <w:color w:val="231F20"/>
          <w:spacing w:val="-23"/>
          <w:w w:val="105"/>
        </w:rPr>
        <w:t> </w:t>
      </w:r>
      <w:r>
        <w:rPr>
          <w:color w:val="231F20"/>
          <w:w w:val="105"/>
        </w:rPr>
        <w:t>unica</w:t>
      </w:r>
      <w:r>
        <w:rPr>
          <w:color w:val="231F20"/>
          <w:spacing w:val="-23"/>
          <w:w w:val="105"/>
        </w:rPr>
        <w:t> </w:t>
      </w:r>
      <w:r>
        <w:rPr>
          <w:color w:val="231F20"/>
          <w:w w:val="105"/>
        </w:rPr>
        <w:t>visione</w:t>
      </w:r>
      <w:r>
        <w:rPr>
          <w:color w:val="231F20"/>
          <w:spacing w:val="-23"/>
          <w:w w:val="105"/>
        </w:rPr>
        <w:t> </w:t>
      </w:r>
      <w:r>
        <w:rPr>
          <w:color w:val="231F20"/>
          <w:w w:val="105"/>
        </w:rPr>
        <w:t>trionfante,</w:t>
      </w:r>
      <w:r>
        <w:rPr>
          <w:color w:val="231F20"/>
          <w:spacing w:val="-23"/>
          <w:w w:val="105"/>
        </w:rPr>
        <w:t> </w:t>
      </w:r>
      <w:r>
        <w:rPr>
          <w:color w:val="231F20"/>
          <w:w w:val="105"/>
        </w:rPr>
        <w:t>la</w:t>
      </w:r>
      <w:r>
        <w:rPr>
          <w:color w:val="231F20"/>
          <w:spacing w:val="-23"/>
          <w:w w:val="105"/>
        </w:rPr>
        <w:t> </w:t>
      </w:r>
      <w:r>
        <w:rPr>
          <w:color w:val="231F20"/>
          <w:w w:val="105"/>
        </w:rPr>
        <w:t>logica</w:t>
      </w:r>
      <w:r>
        <w:rPr>
          <w:color w:val="231F20"/>
          <w:spacing w:val="-23"/>
          <w:w w:val="105"/>
        </w:rPr>
        <w:t> </w:t>
      </w:r>
      <w:r>
        <w:rPr>
          <w:color w:val="231F20"/>
          <w:w w:val="105"/>
        </w:rPr>
        <w:t>capitalista.</w:t>
      </w:r>
      <w:r>
        <w:rPr>
          <w:color w:val="231F20"/>
          <w:spacing w:val="-23"/>
          <w:w w:val="105"/>
        </w:rPr>
        <w:t> </w:t>
      </w:r>
      <w:r>
        <w:rPr>
          <w:color w:val="231F20"/>
          <w:w w:val="105"/>
        </w:rPr>
        <w:t>Questo significava</w:t>
      </w:r>
      <w:r>
        <w:rPr>
          <w:color w:val="231F20"/>
          <w:spacing w:val="-10"/>
          <w:w w:val="105"/>
        </w:rPr>
        <w:t> </w:t>
      </w:r>
      <w:r>
        <w:rPr>
          <w:color w:val="231F20"/>
          <w:w w:val="105"/>
        </w:rPr>
        <w:t>la</w:t>
      </w:r>
      <w:r>
        <w:rPr>
          <w:color w:val="231F20"/>
          <w:spacing w:val="-10"/>
          <w:w w:val="105"/>
        </w:rPr>
        <w:t> </w:t>
      </w:r>
      <w:r>
        <w:rPr>
          <w:color w:val="231F20"/>
          <w:w w:val="105"/>
        </w:rPr>
        <w:t>fine</w:t>
      </w:r>
      <w:r>
        <w:rPr>
          <w:color w:val="231F20"/>
          <w:spacing w:val="-10"/>
          <w:w w:val="105"/>
        </w:rPr>
        <w:t> </w:t>
      </w:r>
      <w:r>
        <w:rPr>
          <w:color w:val="231F20"/>
          <w:w w:val="105"/>
        </w:rPr>
        <w:t>della</w:t>
      </w:r>
      <w:r>
        <w:rPr>
          <w:color w:val="231F20"/>
          <w:spacing w:val="-10"/>
          <w:w w:val="105"/>
        </w:rPr>
        <w:t> </w:t>
      </w:r>
      <w:r>
        <w:rPr>
          <w:color w:val="231F20"/>
          <w:w w:val="105"/>
        </w:rPr>
        <w:t>Guerra</w:t>
      </w:r>
      <w:r>
        <w:rPr>
          <w:color w:val="231F20"/>
          <w:spacing w:val="-10"/>
          <w:w w:val="105"/>
        </w:rPr>
        <w:t> </w:t>
      </w:r>
      <w:r>
        <w:rPr>
          <w:color w:val="231F20"/>
          <w:w w:val="105"/>
        </w:rPr>
        <w:t>fredda,</w:t>
      </w:r>
      <w:r>
        <w:rPr>
          <w:color w:val="231F20"/>
          <w:spacing w:val="-10"/>
          <w:w w:val="105"/>
        </w:rPr>
        <w:t> </w:t>
      </w:r>
      <w:r>
        <w:rPr>
          <w:color w:val="231F20"/>
          <w:w w:val="105"/>
        </w:rPr>
        <w:t>della</w:t>
      </w:r>
      <w:r>
        <w:rPr>
          <w:color w:val="231F20"/>
          <w:spacing w:val="-10"/>
          <w:w w:val="105"/>
        </w:rPr>
        <w:t> </w:t>
      </w:r>
      <w:r>
        <w:rPr>
          <w:color w:val="231F20"/>
          <w:w w:val="105"/>
        </w:rPr>
        <w:t>minaccia</w:t>
      </w:r>
      <w:r>
        <w:rPr>
          <w:color w:val="231F20"/>
          <w:spacing w:val="-10"/>
          <w:w w:val="105"/>
        </w:rPr>
        <w:t> </w:t>
      </w:r>
      <w:r>
        <w:rPr>
          <w:color w:val="231F20"/>
          <w:w w:val="105"/>
        </w:rPr>
        <w:t>bellica</w:t>
      </w:r>
      <w:r>
        <w:rPr>
          <w:color w:val="231F20"/>
          <w:spacing w:val="-10"/>
          <w:w w:val="105"/>
        </w:rPr>
        <w:t> </w:t>
      </w:r>
      <w:r>
        <w:rPr>
          <w:color w:val="231F20"/>
          <w:w w:val="105"/>
        </w:rPr>
        <w:t>e</w:t>
      </w:r>
      <w:r>
        <w:rPr>
          <w:color w:val="231F20"/>
          <w:spacing w:val="-10"/>
          <w:w w:val="105"/>
        </w:rPr>
        <w:t> </w:t>
      </w:r>
      <w:r>
        <w:rPr>
          <w:color w:val="231F20"/>
          <w:w w:val="105"/>
        </w:rPr>
        <w:t>dei</w:t>
      </w:r>
      <w:r>
        <w:rPr>
          <w:color w:val="231F20"/>
          <w:spacing w:val="-10"/>
          <w:w w:val="105"/>
        </w:rPr>
        <w:t> </w:t>
      </w:r>
      <w:r>
        <w:rPr>
          <w:color w:val="231F20"/>
          <w:w w:val="105"/>
        </w:rPr>
        <w:t>grandi conflitti</w:t>
      </w:r>
      <w:r>
        <w:rPr>
          <w:color w:val="231F20"/>
          <w:spacing w:val="-27"/>
          <w:w w:val="105"/>
        </w:rPr>
        <w:t> </w:t>
      </w:r>
      <w:r>
        <w:rPr>
          <w:color w:val="231F20"/>
          <w:w w:val="105"/>
        </w:rPr>
        <w:t>dell’umanità</w:t>
      </w:r>
      <w:r>
        <w:rPr>
          <w:color w:val="231F20"/>
          <w:spacing w:val="-27"/>
          <w:w w:val="105"/>
        </w:rPr>
        <w:t> </w:t>
      </w:r>
      <w:r>
        <w:rPr>
          <w:color w:val="231F20"/>
          <w:w w:val="105"/>
        </w:rPr>
        <w:t>e</w:t>
      </w:r>
      <w:r>
        <w:rPr>
          <w:color w:val="231F20"/>
          <w:spacing w:val="-27"/>
          <w:w w:val="105"/>
        </w:rPr>
        <w:t> </w:t>
      </w:r>
      <w:r>
        <w:rPr>
          <w:color w:val="231F20"/>
          <w:w w:val="105"/>
        </w:rPr>
        <w:t>con</w:t>
      </w:r>
      <w:r>
        <w:rPr>
          <w:color w:val="231F20"/>
          <w:spacing w:val="-27"/>
          <w:w w:val="105"/>
        </w:rPr>
        <w:t> </w:t>
      </w:r>
      <w:r>
        <w:rPr>
          <w:color w:val="231F20"/>
          <w:w w:val="105"/>
        </w:rPr>
        <w:t>esso</w:t>
      </w:r>
      <w:r>
        <w:rPr>
          <w:color w:val="231F20"/>
          <w:spacing w:val="-27"/>
          <w:w w:val="105"/>
        </w:rPr>
        <w:t> </w:t>
      </w:r>
      <w:r>
        <w:rPr>
          <w:color w:val="231F20"/>
          <w:w w:val="105"/>
        </w:rPr>
        <w:t>una</w:t>
      </w:r>
      <w:r>
        <w:rPr>
          <w:color w:val="231F20"/>
          <w:spacing w:val="-27"/>
          <w:w w:val="105"/>
        </w:rPr>
        <w:t> </w:t>
      </w:r>
      <w:r>
        <w:rPr>
          <w:color w:val="231F20"/>
          <w:w w:val="105"/>
        </w:rPr>
        <w:t>specie</w:t>
      </w:r>
      <w:r>
        <w:rPr>
          <w:color w:val="231F20"/>
          <w:spacing w:val="-27"/>
          <w:w w:val="105"/>
        </w:rPr>
        <w:t> </w:t>
      </w:r>
      <w:r>
        <w:rPr>
          <w:color w:val="231F20"/>
          <w:w w:val="105"/>
        </w:rPr>
        <w:t>di</w:t>
      </w:r>
      <w:r>
        <w:rPr>
          <w:color w:val="231F20"/>
          <w:spacing w:val="-27"/>
          <w:w w:val="105"/>
        </w:rPr>
        <w:t> </w:t>
      </w:r>
      <w:r>
        <w:rPr>
          <w:color w:val="231F20"/>
          <w:w w:val="105"/>
        </w:rPr>
        <w:t>riduzione</w:t>
      </w:r>
      <w:r>
        <w:rPr>
          <w:color w:val="231F20"/>
          <w:spacing w:val="-27"/>
          <w:w w:val="105"/>
        </w:rPr>
        <w:t> </w:t>
      </w:r>
      <w:r>
        <w:rPr>
          <w:color w:val="231F20"/>
          <w:w w:val="105"/>
        </w:rPr>
        <w:t>del</w:t>
      </w:r>
      <w:r>
        <w:rPr>
          <w:color w:val="231F20"/>
          <w:spacing w:val="-27"/>
          <w:w w:val="105"/>
        </w:rPr>
        <w:t> </w:t>
      </w:r>
      <w:r>
        <w:rPr>
          <w:color w:val="231F20"/>
          <w:w w:val="105"/>
        </w:rPr>
        <w:t>globo</w:t>
      </w:r>
      <w:r>
        <w:rPr>
          <w:color w:val="231F20"/>
          <w:spacing w:val="-27"/>
          <w:w w:val="105"/>
        </w:rPr>
        <w:t> </w:t>
      </w:r>
      <w:r>
        <w:rPr>
          <w:color w:val="231F20"/>
          <w:w w:val="105"/>
        </w:rPr>
        <w:t>a</w:t>
      </w:r>
      <w:r>
        <w:rPr>
          <w:color w:val="231F20"/>
          <w:spacing w:val="-27"/>
          <w:w w:val="105"/>
        </w:rPr>
        <w:t> </w:t>
      </w:r>
      <w:r>
        <w:rPr>
          <w:color w:val="231F20"/>
          <w:w w:val="105"/>
        </w:rPr>
        <w:t>un</w:t>
      </w:r>
      <w:r>
        <w:rPr>
          <w:color w:val="231F20"/>
          <w:spacing w:val="-27"/>
          <w:w w:val="105"/>
        </w:rPr>
        <w:t> </w:t>
      </w:r>
      <w:r>
        <w:rPr>
          <w:color w:val="231F20"/>
          <w:w w:val="105"/>
        </w:rPr>
        <w:t>solo modello</w:t>
      </w:r>
      <w:r>
        <w:rPr>
          <w:color w:val="231F20"/>
          <w:spacing w:val="-7"/>
          <w:w w:val="105"/>
        </w:rPr>
        <w:t> </w:t>
      </w:r>
      <w:r>
        <w:rPr>
          <w:color w:val="231F20"/>
          <w:w w:val="105"/>
        </w:rPr>
        <w:t>economico</w:t>
      </w:r>
      <w:r>
        <w:rPr>
          <w:color w:val="231F20"/>
          <w:spacing w:val="-7"/>
          <w:w w:val="105"/>
        </w:rPr>
        <w:t> </w:t>
      </w:r>
      <w:r>
        <w:rPr>
          <w:color w:val="231F20"/>
          <w:w w:val="105"/>
        </w:rPr>
        <w:t>e</w:t>
      </w:r>
      <w:r>
        <w:rPr>
          <w:color w:val="231F20"/>
          <w:spacing w:val="-7"/>
          <w:w w:val="105"/>
        </w:rPr>
        <w:t> </w:t>
      </w:r>
      <w:r>
        <w:rPr>
          <w:color w:val="231F20"/>
          <w:w w:val="105"/>
        </w:rPr>
        <w:t>culturale,</w:t>
      </w:r>
      <w:r>
        <w:rPr>
          <w:color w:val="231F20"/>
          <w:spacing w:val="-7"/>
          <w:w w:val="105"/>
        </w:rPr>
        <w:t> </w:t>
      </w:r>
      <w:r>
        <w:rPr>
          <w:color w:val="231F20"/>
          <w:w w:val="105"/>
        </w:rPr>
        <w:t>così</w:t>
      </w:r>
      <w:r>
        <w:rPr>
          <w:color w:val="231F20"/>
          <w:spacing w:val="-7"/>
          <w:w w:val="105"/>
        </w:rPr>
        <w:t> </w:t>
      </w:r>
      <w:r>
        <w:rPr>
          <w:color w:val="231F20"/>
          <w:w w:val="105"/>
        </w:rPr>
        <w:t>come</w:t>
      </w:r>
      <w:r>
        <w:rPr>
          <w:color w:val="231F20"/>
          <w:spacing w:val="-7"/>
          <w:w w:val="105"/>
        </w:rPr>
        <w:t> </w:t>
      </w:r>
      <w:r>
        <w:rPr>
          <w:color w:val="231F20"/>
          <w:w w:val="105"/>
        </w:rPr>
        <w:t>l’unificazione</w:t>
      </w:r>
      <w:r>
        <w:rPr>
          <w:color w:val="231F20"/>
          <w:spacing w:val="-7"/>
          <w:w w:val="105"/>
        </w:rPr>
        <w:t> </w:t>
      </w:r>
      <w:r>
        <w:rPr>
          <w:color w:val="231F20"/>
          <w:w w:val="105"/>
        </w:rPr>
        <w:t>della</w:t>
      </w:r>
      <w:r>
        <w:rPr>
          <w:color w:val="231F20"/>
          <w:spacing w:val="-7"/>
          <w:w w:val="105"/>
        </w:rPr>
        <w:t> </w:t>
      </w:r>
      <w:r>
        <w:rPr>
          <w:color w:val="231F20"/>
          <w:w w:val="105"/>
        </w:rPr>
        <w:t>pluralità</w:t>
      </w:r>
      <w:r>
        <w:rPr>
          <w:color w:val="231F20"/>
          <w:spacing w:val="-7"/>
          <w:w w:val="105"/>
        </w:rPr>
        <w:t> </w:t>
      </w:r>
      <w:r>
        <w:rPr>
          <w:color w:val="231F20"/>
          <w:w w:val="105"/>
        </w:rPr>
        <w:t>di posizioni,</w:t>
      </w:r>
      <w:r>
        <w:rPr>
          <w:color w:val="231F20"/>
          <w:spacing w:val="-28"/>
          <w:w w:val="105"/>
        </w:rPr>
        <w:t> </w:t>
      </w:r>
      <w:r>
        <w:rPr>
          <w:color w:val="231F20"/>
          <w:w w:val="105"/>
        </w:rPr>
        <w:t>idiosincrasie</w:t>
      </w:r>
      <w:r>
        <w:rPr>
          <w:color w:val="231F20"/>
          <w:spacing w:val="-28"/>
          <w:w w:val="105"/>
        </w:rPr>
        <w:t> </w:t>
      </w:r>
      <w:r>
        <w:rPr>
          <w:color w:val="231F20"/>
          <w:w w:val="105"/>
        </w:rPr>
        <w:t>e</w:t>
      </w:r>
      <w:r>
        <w:rPr>
          <w:color w:val="231F20"/>
          <w:spacing w:val="-28"/>
          <w:w w:val="105"/>
        </w:rPr>
        <w:t> </w:t>
      </w:r>
      <w:r>
        <w:rPr>
          <w:color w:val="231F20"/>
          <w:w w:val="105"/>
        </w:rPr>
        <w:t>particolarità</w:t>
      </w:r>
      <w:r>
        <w:rPr>
          <w:color w:val="231F20"/>
          <w:spacing w:val="-28"/>
          <w:w w:val="105"/>
        </w:rPr>
        <w:t> </w:t>
      </w:r>
      <w:r>
        <w:rPr>
          <w:color w:val="231F20"/>
          <w:w w:val="105"/>
        </w:rPr>
        <w:t>che</w:t>
      </w:r>
      <w:r>
        <w:rPr>
          <w:color w:val="231F20"/>
          <w:spacing w:val="-28"/>
          <w:w w:val="105"/>
        </w:rPr>
        <w:t> </w:t>
      </w:r>
      <w:r>
        <w:rPr>
          <w:color w:val="231F20"/>
          <w:w w:val="105"/>
        </w:rPr>
        <w:t>popolano</w:t>
      </w:r>
      <w:r>
        <w:rPr>
          <w:color w:val="231F20"/>
          <w:spacing w:val="-28"/>
          <w:w w:val="105"/>
        </w:rPr>
        <w:t> </w:t>
      </w:r>
      <w:r>
        <w:rPr>
          <w:color w:val="231F20"/>
          <w:w w:val="105"/>
        </w:rPr>
        <w:t>il</w:t>
      </w:r>
      <w:r>
        <w:rPr>
          <w:color w:val="231F20"/>
          <w:spacing w:val="-28"/>
          <w:w w:val="105"/>
        </w:rPr>
        <w:t> </w:t>
      </w:r>
      <w:r>
        <w:rPr>
          <w:color w:val="231F20"/>
          <w:w w:val="105"/>
        </w:rPr>
        <w:t>mondo.</w:t>
      </w:r>
      <w:r>
        <w:rPr>
          <w:color w:val="231F20"/>
          <w:spacing w:val="-28"/>
          <w:w w:val="105"/>
        </w:rPr>
        <w:t> </w:t>
      </w:r>
      <w:r>
        <w:rPr>
          <w:color w:val="231F20"/>
          <w:w w:val="105"/>
        </w:rPr>
        <w:t>Nonostante, </w:t>
      </w:r>
      <w:r>
        <w:rPr>
          <w:color w:val="231F20"/>
          <w:spacing w:val="-3"/>
          <w:w w:val="105"/>
        </w:rPr>
        <w:t>tale</w:t>
      </w:r>
      <w:r>
        <w:rPr>
          <w:color w:val="231F20"/>
          <w:spacing w:val="-46"/>
          <w:w w:val="105"/>
        </w:rPr>
        <w:t> </w:t>
      </w:r>
      <w:r>
        <w:rPr>
          <w:color w:val="231F20"/>
          <w:spacing w:val="-3"/>
          <w:w w:val="105"/>
        </w:rPr>
        <w:t>riduzione</w:t>
      </w:r>
      <w:r>
        <w:rPr>
          <w:color w:val="231F20"/>
          <w:spacing w:val="-46"/>
          <w:w w:val="105"/>
        </w:rPr>
        <w:t> </w:t>
      </w:r>
      <w:r>
        <w:rPr>
          <w:color w:val="231F20"/>
          <w:w w:val="105"/>
        </w:rPr>
        <w:t>è</w:t>
      </w:r>
      <w:r>
        <w:rPr>
          <w:color w:val="231F20"/>
          <w:spacing w:val="-46"/>
          <w:w w:val="105"/>
        </w:rPr>
        <w:t> </w:t>
      </w:r>
      <w:r>
        <w:rPr>
          <w:color w:val="231F20"/>
          <w:spacing w:val="-3"/>
          <w:w w:val="105"/>
        </w:rPr>
        <w:t>lontana</w:t>
      </w:r>
      <w:r>
        <w:rPr>
          <w:color w:val="231F20"/>
          <w:spacing w:val="-46"/>
          <w:w w:val="105"/>
        </w:rPr>
        <w:t> </w:t>
      </w:r>
      <w:r>
        <w:rPr>
          <w:color w:val="231F20"/>
          <w:spacing w:val="-4"/>
          <w:w w:val="105"/>
        </w:rPr>
        <w:t>dall’essere</w:t>
      </w:r>
      <w:r>
        <w:rPr>
          <w:color w:val="231F20"/>
          <w:spacing w:val="-46"/>
          <w:w w:val="105"/>
        </w:rPr>
        <w:t> </w:t>
      </w:r>
      <w:r>
        <w:rPr>
          <w:color w:val="231F20"/>
          <w:spacing w:val="-3"/>
          <w:w w:val="105"/>
        </w:rPr>
        <w:t>totale,</w:t>
      </w:r>
      <w:r>
        <w:rPr>
          <w:color w:val="231F20"/>
          <w:spacing w:val="-46"/>
          <w:w w:val="105"/>
        </w:rPr>
        <w:t> </w:t>
      </w:r>
      <w:r>
        <w:rPr>
          <w:color w:val="231F20"/>
          <w:w w:val="105"/>
        </w:rPr>
        <w:t>la</w:t>
      </w:r>
      <w:r>
        <w:rPr>
          <w:color w:val="231F20"/>
          <w:spacing w:val="-46"/>
          <w:w w:val="105"/>
        </w:rPr>
        <w:t> </w:t>
      </w:r>
      <w:r>
        <w:rPr>
          <w:color w:val="231F20"/>
          <w:spacing w:val="-3"/>
          <w:w w:val="105"/>
        </w:rPr>
        <w:t>globalizzazione</w:t>
      </w:r>
      <w:r>
        <w:rPr>
          <w:color w:val="231F20"/>
          <w:spacing w:val="-46"/>
          <w:w w:val="105"/>
        </w:rPr>
        <w:t> </w:t>
      </w:r>
      <w:r>
        <w:rPr>
          <w:color w:val="231F20"/>
          <w:w w:val="105"/>
        </w:rPr>
        <w:t>ha</w:t>
      </w:r>
      <w:r>
        <w:rPr>
          <w:color w:val="231F20"/>
          <w:spacing w:val="-46"/>
          <w:w w:val="105"/>
        </w:rPr>
        <w:t> </w:t>
      </w:r>
      <w:r>
        <w:rPr>
          <w:color w:val="231F20"/>
          <w:spacing w:val="-4"/>
          <w:w w:val="105"/>
        </w:rPr>
        <w:t>rappresentato senza</w:t>
      </w:r>
      <w:r>
        <w:rPr>
          <w:color w:val="231F20"/>
          <w:spacing w:val="-46"/>
          <w:w w:val="105"/>
        </w:rPr>
        <w:t> </w:t>
      </w:r>
      <w:r>
        <w:rPr>
          <w:color w:val="231F20"/>
          <w:spacing w:val="-4"/>
          <w:w w:val="105"/>
        </w:rPr>
        <w:t>dubbio</w:t>
      </w:r>
      <w:r>
        <w:rPr>
          <w:color w:val="231F20"/>
          <w:spacing w:val="-46"/>
          <w:w w:val="105"/>
        </w:rPr>
        <w:t> </w:t>
      </w:r>
      <w:r>
        <w:rPr>
          <w:color w:val="231F20"/>
          <w:spacing w:val="-3"/>
          <w:w w:val="105"/>
        </w:rPr>
        <w:t>una</w:t>
      </w:r>
      <w:r>
        <w:rPr>
          <w:color w:val="231F20"/>
          <w:spacing w:val="-46"/>
          <w:w w:val="105"/>
        </w:rPr>
        <w:t> </w:t>
      </w:r>
      <w:r>
        <w:rPr>
          <w:color w:val="231F20"/>
          <w:spacing w:val="-4"/>
          <w:w w:val="105"/>
        </w:rPr>
        <w:t>tendenza</w:t>
      </w:r>
      <w:r>
        <w:rPr>
          <w:color w:val="231F20"/>
          <w:spacing w:val="-46"/>
          <w:w w:val="105"/>
        </w:rPr>
        <w:t> </w:t>
      </w:r>
      <w:r>
        <w:rPr>
          <w:color w:val="231F20"/>
          <w:spacing w:val="-3"/>
          <w:w w:val="105"/>
        </w:rPr>
        <w:t>alla</w:t>
      </w:r>
      <w:r>
        <w:rPr>
          <w:color w:val="231F20"/>
          <w:spacing w:val="-46"/>
          <w:w w:val="105"/>
        </w:rPr>
        <w:t> </w:t>
      </w:r>
      <w:r>
        <w:rPr>
          <w:color w:val="231F20"/>
          <w:spacing w:val="-4"/>
          <w:w w:val="105"/>
        </w:rPr>
        <w:t>finitezza,</w:t>
      </w:r>
      <w:r>
        <w:rPr>
          <w:color w:val="231F20"/>
          <w:spacing w:val="-46"/>
          <w:w w:val="105"/>
        </w:rPr>
        <w:t> </w:t>
      </w:r>
      <w:r>
        <w:rPr>
          <w:color w:val="231F20"/>
          <w:w w:val="105"/>
        </w:rPr>
        <w:t>ma</w:t>
      </w:r>
      <w:r>
        <w:rPr>
          <w:color w:val="231F20"/>
          <w:spacing w:val="-46"/>
          <w:w w:val="105"/>
        </w:rPr>
        <w:t> </w:t>
      </w:r>
      <w:r>
        <w:rPr>
          <w:color w:val="231F20"/>
          <w:spacing w:val="-3"/>
          <w:w w:val="105"/>
        </w:rPr>
        <w:t>allo</w:t>
      </w:r>
      <w:r>
        <w:rPr>
          <w:color w:val="231F20"/>
          <w:spacing w:val="-46"/>
          <w:w w:val="105"/>
        </w:rPr>
        <w:t> </w:t>
      </w:r>
      <w:r>
        <w:rPr>
          <w:color w:val="231F20"/>
          <w:spacing w:val="-4"/>
          <w:w w:val="105"/>
        </w:rPr>
        <w:t>stesso</w:t>
      </w:r>
      <w:r>
        <w:rPr>
          <w:color w:val="231F20"/>
          <w:spacing w:val="-46"/>
          <w:w w:val="105"/>
        </w:rPr>
        <w:t> </w:t>
      </w:r>
      <w:r>
        <w:rPr>
          <w:color w:val="231F20"/>
          <w:spacing w:val="-4"/>
          <w:w w:val="105"/>
        </w:rPr>
        <w:t>tempo</w:t>
      </w:r>
      <w:r>
        <w:rPr>
          <w:color w:val="231F20"/>
          <w:spacing w:val="-46"/>
          <w:w w:val="105"/>
        </w:rPr>
        <w:t> </w:t>
      </w:r>
      <w:r>
        <w:rPr>
          <w:color w:val="231F20"/>
          <w:w w:val="105"/>
        </w:rPr>
        <w:t>ha</w:t>
      </w:r>
      <w:r>
        <w:rPr>
          <w:color w:val="231F20"/>
          <w:spacing w:val="-46"/>
          <w:w w:val="105"/>
        </w:rPr>
        <w:t> </w:t>
      </w:r>
      <w:r>
        <w:rPr>
          <w:color w:val="231F20"/>
          <w:spacing w:val="-4"/>
          <w:w w:val="105"/>
        </w:rPr>
        <w:t>moltiplicato </w:t>
      </w:r>
      <w:r>
        <w:rPr>
          <w:color w:val="231F20"/>
          <w:w w:val="105"/>
        </w:rPr>
        <w:t>gesti</w:t>
      </w:r>
      <w:r>
        <w:rPr>
          <w:color w:val="231F20"/>
          <w:spacing w:val="-46"/>
          <w:w w:val="105"/>
        </w:rPr>
        <w:t> </w:t>
      </w:r>
      <w:r>
        <w:rPr>
          <w:color w:val="231F20"/>
          <w:w w:val="105"/>
        </w:rPr>
        <w:t>e</w:t>
      </w:r>
      <w:r>
        <w:rPr>
          <w:color w:val="231F20"/>
          <w:spacing w:val="-46"/>
          <w:w w:val="105"/>
        </w:rPr>
        <w:t> </w:t>
      </w:r>
      <w:r>
        <w:rPr>
          <w:color w:val="231F20"/>
          <w:w w:val="105"/>
        </w:rPr>
        <w:t>reazioni</w:t>
      </w:r>
      <w:r>
        <w:rPr>
          <w:color w:val="231F20"/>
          <w:spacing w:val="-46"/>
          <w:w w:val="105"/>
        </w:rPr>
        <w:t> </w:t>
      </w:r>
      <w:r>
        <w:rPr>
          <w:color w:val="231F20"/>
          <w:w w:val="105"/>
        </w:rPr>
        <w:t>particolari,</w:t>
      </w:r>
      <w:r>
        <w:rPr>
          <w:color w:val="231F20"/>
          <w:spacing w:val="-46"/>
          <w:w w:val="105"/>
        </w:rPr>
        <w:t> </w:t>
      </w:r>
      <w:r>
        <w:rPr>
          <w:color w:val="231F20"/>
          <w:w w:val="105"/>
        </w:rPr>
        <w:t>a</w:t>
      </w:r>
      <w:r>
        <w:rPr>
          <w:color w:val="231F20"/>
          <w:spacing w:val="-46"/>
          <w:w w:val="105"/>
        </w:rPr>
        <w:t> </w:t>
      </w:r>
      <w:r>
        <w:rPr>
          <w:color w:val="231F20"/>
          <w:w w:val="105"/>
        </w:rPr>
        <w:t>volte</w:t>
      </w:r>
      <w:r>
        <w:rPr>
          <w:color w:val="231F20"/>
          <w:spacing w:val="-46"/>
          <w:w w:val="105"/>
        </w:rPr>
        <w:t> </w:t>
      </w:r>
      <w:r>
        <w:rPr>
          <w:color w:val="231F20"/>
          <w:w w:val="105"/>
        </w:rPr>
        <w:t>estremi</w:t>
      </w:r>
      <w:r>
        <w:rPr>
          <w:color w:val="231F20"/>
          <w:spacing w:val="-46"/>
          <w:w w:val="105"/>
        </w:rPr>
        <w:t> </w:t>
      </w:r>
      <w:r>
        <w:rPr>
          <w:color w:val="231F20"/>
          <w:w w:val="105"/>
        </w:rPr>
        <w:t>o</w:t>
      </w:r>
      <w:r>
        <w:rPr>
          <w:color w:val="231F20"/>
          <w:spacing w:val="-46"/>
          <w:w w:val="105"/>
        </w:rPr>
        <w:t> </w:t>
      </w:r>
      <w:r>
        <w:rPr>
          <w:color w:val="231F20"/>
          <w:w w:val="105"/>
        </w:rPr>
        <w:t>violenti,</w:t>
      </w:r>
      <w:r>
        <w:rPr>
          <w:color w:val="231F20"/>
          <w:spacing w:val="-46"/>
          <w:w w:val="105"/>
        </w:rPr>
        <w:t> </w:t>
      </w:r>
      <w:r>
        <w:rPr>
          <w:color w:val="231F20"/>
          <w:w w:val="105"/>
        </w:rPr>
        <w:t>così</w:t>
      </w:r>
      <w:r>
        <w:rPr>
          <w:color w:val="231F20"/>
          <w:spacing w:val="-46"/>
          <w:w w:val="105"/>
        </w:rPr>
        <w:t> </w:t>
      </w:r>
      <w:r>
        <w:rPr>
          <w:color w:val="231F20"/>
          <w:w w:val="105"/>
        </w:rPr>
        <w:t>come</w:t>
      </w:r>
      <w:r>
        <w:rPr>
          <w:color w:val="231F20"/>
          <w:spacing w:val="-46"/>
          <w:w w:val="105"/>
        </w:rPr>
        <w:t> </w:t>
      </w:r>
      <w:r>
        <w:rPr>
          <w:color w:val="231F20"/>
          <w:w w:val="105"/>
        </w:rPr>
        <w:t>una</w:t>
      </w:r>
      <w:r>
        <w:rPr>
          <w:color w:val="231F20"/>
          <w:spacing w:val="-46"/>
          <w:w w:val="105"/>
        </w:rPr>
        <w:t> </w:t>
      </w:r>
      <w:r>
        <w:rPr>
          <w:color w:val="231F20"/>
          <w:w w:val="105"/>
        </w:rPr>
        <w:t>diversità di</w:t>
      </w:r>
      <w:r>
        <w:rPr>
          <w:color w:val="231F20"/>
          <w:spacing w:val="-20"/>
          <w:w w:val="105"/>
        </w:rPr>
        <w:t> </w:t>
      </w:r>
      <w:r>
        <w:rPr>
          <w:color w:val="231F20"/>
          <w:w w:val="105"/>
        </w:rPr>
        <w:t>visioni</w:t>
      </w:r>
      <w:r>
        <w:rPr>
          <w:color w:val="231F20"/>
          <w:spacing w:val="-20"/>
          <w:w w:val="105"/>
        </w:rPr>
        <w:t> </w:t>
      </w:r>
      <w:r>
        <w:rPr>
          <w:color w:val="231F20"/>
          <w:w w:val="105"/>
        </w:rPr>
        <w:t>del</w:t>
      </w:r>
      <w:r>
        <w:rPr>
          <w:color w:val="231F20"/>
          <w:spacing w:val="-20"/>
          <w:w w:val="105"/>
        </w:rPr>
        <w:t> </w:t>
      </w:r>
      <w:r>
        <w:rPr>
          <w:color w:val="231F20"/>
          <w:w w:val="105"/>
        </w:rPr>
        <w:t>mondo.</w:t>
      </w:r>
      <w:r>
        <w:rPr>
          <w:color w:val="231F20"/>
          <w:spacing w:val="-20"/>
          <w:w w:val="105"/>
        </w:rPr>
        <w:t> </w:t>
      </w:r>
      <w:r>
        <w:rPr>
          <w:color w:val="231F20"/>
          <w:w w:val="105"/>
        </w:rPr>
        <w:t>Ciò</w:t>
      </w:r>
      <w:r>
        <w:rPr>
          <w:color w:val="231F20"/>
          <w:spacing w:val="-20"/>
          <w:w w:val="105"/>
        </w:rPr>
        <w:t> </w:t>
      </w:r>
      <w:r>
        <w:rPr>
          <w:color w:val="231F20"/>
          <w:w w:val="105"/>
        </w:rPr>
        <w:t>vuol</w:t>
      </w:r>
      <w:r>
        <w:rPr>
          <w:color w:val="231F20"/>
          <w:spacing w:val="-20"/>
          <w:w w:val="105"/>
        </w:rPr>
        <w:t> </w:t>
      </w:r>
      <w:r>
        <w:rPr>
          <w:color w:val="231F20"/>
          <w:w w:val="105"/>
        </w:rPr>
        <w:t>dire,</w:t>
      </w:r>
      <w:r>
        <w:rPr>
          <w:color w:val="231F20"/>
          <w:spacing w:val="-20"/>
          <w:w w:val="105"/>
        </w:rPr>
        <w:t> </w:t>
      </w:r>
      <w:r>
        <w:rPr>
          <w:color w:val="231F20"/>
          <w:w w:val="105"/>
        </w:rPr>
        <w:t>se</w:t>
      </w:r>
      <w:r>
        <w:rPr>
          <w:color w:val="231F20"/>
          <w:spacing w:val="-20"/>
          <w:w w:val="105"/>
        </w:rPr>
        <w:t> </w:t>
      </w:r>
      <w:r>
        <w:rPr>
          <w:color w:val="231F20"/>
          <w:w w:val="105"/>
        </w:rPr>
        <w:t>il</w:t>
      </w:r>
      <w:r>
        <w:rPr>
          <w:color w:val="231F20"/>
          <w:spacing w:val="-20"/>
          <w:w w:val="105"/>
        </w:rPr>
        <w:t> </w:t>
      </w:r>
      <w:r>
        <w:rPr>
          <w:color w:val="231F20"/>
          <w:w w:val="105"/>
        </w:rPr>
        <w:t>binomio</w:t>
      </w:r>
      <w:r>
        <w:rPr>
          <w:color w:val="231F20"/>
          <w:spacing w:val="-20"/>
          <w:w w:val="105"/>
        </w:rPr>
        <w:t> </w:t>
      </w:r>
      <w:r>
        <w:rPr>
          <w:color w:val="231F20"/>
          <w:w w:val="105"/>
        </w:rPr>
        <w:t>finitezza–pluralità</w:t>
      </w:r>
      <w:r>
        <w:rPr>
          <w:color w:val="231F20"/>
          <w:spacing w:val="-20"/>
          <w:w w:val="105"/>
        </w:rPr>
        <w:t> </w:t>
      </w:r>
      <w:r>
        <w:rPr>
          <w:color w:val="231F20"/>
          <w:w w:val="105"/>
        </w:rPr>
        <w:t>è</w:t>
      </w:r>
      <w:r>
        <w:rPr>
          <w:color w:val="231F20"/>
          <w:spacing w:val="-20"/>
          <w:w w:val="105"/>
        </w:rPr>
        <w:t> </w:t>
      </w:r>
      <w:r>
        <w:rPr>
          <w:color w:val="231F20"/>
          <w:w w:val="105"/>
        </w:rPr>
        <w:t>stato visto</w:t>
      </w:r>
      <w:r>
        <w:rPr>
          <w:color w:val="231F20"/>
          <w:spacing w:val="-30"/>
          <w:w w:val="105"/>
        </w:rPr>
        <w:t> </w:t>
      </w:r>
      <w:r>
        <w:rPr>
          <w:color w:val="231F20"/>
          <w:w w:val="105"/>
        </w:rPr>
        <w:t>maggiormente</w:t>
      </w:r>
      <w:r>
        <w:rPr>
          <w:color w:val="231F20"/>
          <w:spacing w:val="-30"/>
          <w:w w:val="105"/>
        </w:rPr>
        <w:t> </w:t>
      </w:r>
      <w:r>
        <w:rPr>
          <w:color w:val="231F20"/>
          <w:w w:val="105"/>
        </w:rPr>
        <w:t>in</w:t>
      </w:r>
      <w:r>
        <w:rPr>
          <w:color w:val="231F20"/>
          <w:spacing w:val="-30"/>
          <w:w w:val="105"/>
        </w:rPr>
        <w:t> </w:t>
      </w:r>
      <w:r>
        <w:rPr>
          <w:color w:val="231F20"/>
          <w:w w:val="105"/>
        </w:rPr>
        <w:t>termini</w:t>
      </w:r>
      <w:r>
        <w:rPr>
          <w:color w:val="231F20"/>
          <w:spacing w:val="-30"/>
          <w:w w:val="105"/>
        </w:rPr>
        <w:t> </w:t>
      </w:r>
      <w:r>
        <w:rPr>
          <w:color w:val="231F20"/>
          <w:w w:val="105"/>
        </w:rPr>
        <w:t>lineari</w:t>
      </w:r>
      <w:r>
        <w:rPr>
          <w:color w:val="231F20"/>
          <w:spacing w:val="-30"/>
          <w:w w:val="105"/>
        </w:rPr>
        <w:t> </w:t>
      </w:r>
      <w:r>
        <w:rPr>
          <w:color w:val="231F20"/>
          <w:w w:val="105"/>
        </w:rPr>
        <w:t>ed</w:t>
      </w:r>
      <w:r>
        <w:rPr>
          <w:color w:val="231F20"/>
          <w:spacing w:val="-30"/>
          <w:w w:val="105"/>
        </w:rPr>
        <w:t> </w:t>
      </w:r>
      <w:r>
        <w:rPr>
          <w:color w:val="231F20"/>
          <w:w w:val="105"/>
        </w:rPr>
        <w:t>escludenti,</w:t>
      </w:r>
      <w:r>
        <w:rPr>
          <w:color w:val="231F20"/>
          <w:spacing w:val="-30"/>
          <w:w w:val="105"/>
        </w:rPr>
        <w:t> </w:t>
      </w:r>
      <w:r>
        <w:rPr>
          <w:color w:val="231F20"/>
          <w:w w:val="105"/>
        </w:rPr>
        <w:t>piuttosto</w:t>
      </w:r>
      <w:r>
        <w:rPr>
          <w:color w:val="231F20"/>
          <w:spacing w:val="-30"/>
          <w:w w:val="105"/>
        </w:rPr>
        <w:t> </w:t>
      </w:r>
      <w:r>
        <w:rPr>
          <w:color w:val="231F20"/>
          <w:w w:val="105"/>
        </w:rPr>
        <w:t>tra</w:t>
      </w:r>
      <w:r>
        <w:rPr>
          <w:color w:val="231F20"/>
          <w:spacing w:val="-30"/>
          <w:w w:val="105"/>
        </w:rPr>
        <w:t> </w:t>
      </w:r>
      <w:r>
        <w:rPr>
          <w:color w:val="231F20"/>
          <w:w w:val="105"/>
        </w:rPr>
        <w:t>entrambi si</w:t>
      </w:r>
      <w:r>
        <w:rPr>
          <w:color w:val="231F20"/>
          <w:spacing w:val="-26"/>
          <w:w w:val="105"/>
        </w:rPr>
        <w:t> </w:t>
      </w:r>
      <w:r>
        <w:rPr>
          <w:color w:val="231F20"/>
          <w:w w:val="105"/>
        </w:rPr>
        <w:t>apre</w:t>
      </w:r>
      <w:r>
        <w:rPr>
          <w:color w:val="231F20"/>
          <w:spacing w:val="-26"/>
          <w:w w:val="105"/>
        </w:rPr>
        <w:t> </w:t>
      </w:r>
      <w:r>
        <w:rPr>
          <w:color w:val="231F20"/>
          <w:w w:val="105"/>
        </w:rPr>
        <w:t>un</w:t>
      </w:r>
      <w:r>
        <w:rPr>
          <w:color w:val="231F20"/>
          <w:spacing w:val="-26"/>
          <w:w w:val="105"/>
        </w:rPr>
        <w:t> </w:t>
      </w:r>
      <w:r>
        <w:rPr>
          <w:color w:val="231F20"/>
          <w:w w:val="105"/>
        </w:rPr>
        <w:t>paradosso</w:t>
      </w:r>
      <w:r>
        <w:rPr>
          <w:color w:val="231F20"/>
          <w:spacing w:val="-26"/>
          <w:w w:val="105"/>
        </w:rPr>
        <w:t> </w:t>
      </w:r>
      <w:r>
        <w:rPr>
          <w:color w:val="231F20"/>
          <w:w w:val="105"/>
        </w:rPr>
        <w:t>in</w:t>
      </w:r>
      <w:r>
        <w:rPr>
          <w:color w:val="231F20"/>
          <w:spacing w:val="-26"/>
          <w:w w:val="105"/>
        </w:rPr>
        <w:t> </w:t>
      </w:r>
      <w:r>
        <w:rPr>
          <w:color w:val="231F20"/>
          <w:w w:val="105"/>
        </w:rPr>
        <w:t>cui</w:t>
      </w:r>
      <w:r>
        <w:rPr>
          <w:color w:val="231F20"/>
          <w:spacing w:val="-26"/>
          <w:w w:val="105"/>
        </w:rPr>
        <w:t> </w:t>
      </w:r>
      <w:r>
        <w:rPr>
          <w:color w:val="231F20"/>
          <w:w w:val="105"/>
        </w:rPr>
        <w:t>non</w:t>
      </w:r>
      <w:r>
        <w:rPr>
          <w:color w:val="231F20"/>
          <w:spacing w:val="-26"/>
          <w:w w:val="105"/>
        </w:rPr>
        <w:t> </w:t>
      </w:r>
      <w:r>
        <w:rPr>
          <w:color w:val="231F20"/>
          <w:w w:val="105"/>
        </w:rPr>
        <w:t>c’è</w:t>
      </w:r>
      <w:r>
        <w:rPr>
          <w:color w:val="231F20"/>
          <w:spacing w:val="-26"/>
          <w:w w:val="105"/>
        </w:rPr>
        <w:t> </w:t>
      </w:r>
      <w:r>
        <w:rPr>
          <w:color w:val="231F20"/>
          <w:w w:val="105"/>
        </w:rPr>
        <w:t>finitezza</w:t>
      </w:r>
      <w:r>
        <w:rPr>
          <w:color w:val="231F20"/>
          <w:spacing w:val="-26"/>
          <w:w w:val="105"/>
        </w:rPr>
        <w:t> </w:t>
      </w:r>
      <w:r>
        <w:rPr>
          <w:color w:val="231F20"/>
          <w:w w:val="105"/>
        </w:rPr>
        <w:t>senza</w:t>
      </w:r>
      <w:r>
        <w:rPr>
          <w:color w:val="231F20"/>
          <w:spacing w:val="-26"/>
          <w:w w:val="105"/>
        </w:rPr>
        <w:t> </w:t>
      </w:r>
      <w:r>
        <w:rPr>
          <w:color w:val="231F20"/>
          <w:w w:val="105"/>
        </w:rPr>
        <w:t>creazione</w:t>
      </w:r>
      <w:r>
        <w:rPr>
          <w:color w:val="231F20"/>
          <w:spacing w:val="-26"/>
          <w:w w:val="105"/>
        </w:rPr>
        <w:t> </w:t>
      </w:r>
      <w:r>
        <w:rPr>
          <w:color w:val="231F20"/>
          <w:w w:val="105"/>
        </w:rPr>
        <w:t>di</w:t>
      </w:r>
      <w:r>
        <w:rPr>
          <w:color w:val="231F20"/>
          <w:spacing w:val="-26"/>
          <w:w w:val="105"/>
        </w:rPr>
        <w:t> </w:t>
      </w:r>
      <w:r>
        <w:rPr>
          <w:color w:val="231F20"/>
          <w:w w:val="105"/>
        </w:rPr>
        <w:t>pluralità,</w:t>
      </w:r>
      <w:r>
        <w:rPr>
          <w:color w:val="231F20"/>
          <w:spacing w:val="-26"/>
          <w:w w:val="105"/>
        </w:rPr>
        <w:t> </w:t>
      </w:r>
      <w:r>
        <w:rPr>
          <w:color w:val="231F20"/>
          <w:w w:val="105"/>
        </w:rPr>
        <w:t>al tempo</w:t>
      </w:r>
      <w:r>
        <w:rPr>
          <w:color w:val="231F20"/>
          <w:spacing w:val="-33"/>
          <w:w w:val="105"/>
        </w:rPr>
        <w:t> </w:t>
      </w:r>
      <w:r>
        <w:rPr>
          <w:color w:val="231F20"/>
          <w:w w:val="105"/>
        </w:rPr>
        <w:t>che</w:t>
      </w:r>
      <w:r>
        <w:rPr>
          <w:color w:val="231F20"/>
          <w:spacing w:val="-33"/>
          <w:w w:val="105"/>
        </w:rPr>
        <w:t> </w:t>
      </w:r>
      <w:r>
        <w:rPr>
          <w:color w:val="231F20"/>
          <w:w w:val="105"/>
        </w:rPr>
        <w:t>il</w:t>
      </w:r>
      <w:r>
        <w:rPr>
          <w:color w:val="231F20"/>
          <w:spacing w:val="-33"/>
          <w:w w:val="105"/>
        </w:rPr>
        <w:t> </w:t>
      </w:r>
      <w:r>
        <w:rPr>
          <w:color w:val="231F20"/>
          <w:w w:val="105"/>
        </w:rPr>
        <w:t>plurale</w:t>
      </w:r>
      <w:r>
        <w:rPr>
          <w:color w:val="231F20"/>
          <w:spacing w:val="-33"/>
          <w:w w:val="105"/>
        </w:rPr>
        <w:t> </w:t>
      </w:r>
      <w:r>
        <w:rPr>
          <w:color w:val="231F20"/>
          <w:w w:val="105"/>
        </w:rPr>
        <w:t>si</w:t>
      </w:r>
      <w:r>
        <w:rPr>
          <w:color w:val="231F20"/>
          <w:spacing w:val="-33"/>
          <w:w w:val="105"/>
        </w:rPr>
        <w:t> </w:t>
      </w:r>
      <w:r>
        <w:rPr>
          <w:color w:val="231F20"/>
          <w:w w:val="105"/>
        </w:rPr>
        <w:t>integra</w:t>
      </w:r>
      <w:r>
        <w:rPr>
          <w:color w:val="231F20"/>
          <w:spacing w:val="-33"/>
          <w:w w:val="105"/>
        </w:rPr>
        <w:t> </w:t>
      </w:r>
      <w:r>
        <w:rPr>
          <w:color w:val="231F20"/>
          <w:w w:val="105"/>
        </w:rPr>
        <w:t>e</w:t>
      </w:r>
      <w:r>
        <w:rPr>
          <w:color w:val="231F20"/>
          <w:spacing w:val="-33"/>
          <w:w w:val="105"/>
        </w:rPr>
        <w:t> </w:t>
      </w:r>
      <w:r>
        <w:rPr>
          <w:color w:val="231F20"/>
          <w:w w:val="105"/>
        </w:rPr>
        <w:t>si</w:t>
      </w:r>
      <w:r>
        <w:rPr>
          <w:color w:val="231F20"/>
          <w:spacing w:val="-33"/>
          <w:w w:val="105"/>
        </w:rPr>
        <w:t> </w:t>
      </w:r>
      <w:r>
        <w:rPr>
          <w:color w:val="231F20"/>
          <w:w w:val="105"/>
        </w:rPr>
        <w:t>produce</w:t>
      </w:r>
      <w:r>
        <w:rPr>
          <w:color w:val="231F20"/>
          <w:spacing w:val="-33"/>
          <w:w w:val="105"/>
        </w:rPr>
        <w:t> </w:t>
      </w:r>
      <w:r>
        <w:rPr>
          <w:color w:val="231F20"/>
          <w:w w:val="105"/>
        </w:rPr>
        <w:t>in</w:t>
      </w:r>
      <w:r>
        <w:rPr>
          <w:color w:val="231F20"/>
          <w:spacing w:val="-33"/>
          <w:w w:val="105"/>
        </w:rPr>
        <w:t> </w:t>
      </w:r>
      <w:r>
        <w:rPr>
          <w:color w:val="231F20"/>
          <w:w w:val="105"/>
        </w:rPr>
        <w:t>parte</w:t>
      </w:r>
      <w:r>
        <w:rPr>
          <w:color w:val="231F20"/>
          <w:spacing w:val="-33"/>
          <w:w w:val="105"/>
        </w:rPr>
        <w:t> </w:t>
      </w:r>
      <w:r>
        <w:rPr>
          <w:color w:val="231F20"/>
          <w:w w:val="105"/>
        </w:rPr>
        <w:t>dentro</w:t>
      </w:r>
      <w:r>
        <w:rPr>
          <w:color w:val="231F20"/>
          <w:spacing w:val="-33"/>
          <w:w w:val="105"/>
        </w:rPr>
        <w:t> </w:t>
      </w:r>
      <w:r>
        <w:rPr>
          <w:color w:val="231F20"/>
          <w:w w:val="105"/>
        </w:rPr>
        <w:t>questa</w:t>
      </w:r>
      <w:r>
        <w:rPr>
          <w:color w:val="231F20"/>
          <w:spacing w:val="-33"/>
          <w:w w:val="105"/>
        </w:rPr>
        <w:t> </w:t>
      </w:r>
      <w:r>
        <w:rPr>
          <w:color w:val="231F20"/>
          <w:w w:val="105"/>
        </w:rPr>
        <w:t>tendenza alla</w:t>
      </w:r>
      <w:r>
        <w:rPr>
          <w:color w:val="231F20"/>
          <w:spacing w:val="-47"/>
          <w:w w:val="105"/>
        </w:rPr>
        <w:t> </w:t>
      </w:r>
      <w:r>
        <w:rPr>
          <w:color w:val="231F20"/>
          <w:w w:val="105"/>
        </w:rPr>
        <w:t>finitezza.</w:t>
      </w:r>
      <w:r>
        <w:rPr>
          <w:color w:val="231F20"/>
          <w:spacing w:val="-47"/>
          <w:w w:val="105"/>
        </w:rPr>
        <w:t> </w:t>
      </w:r>
      <w:r>
        <w:rPr>
          <w:color w:val="231F20"/>
          <w:w w:val="105"/>
        </w:rPr>
        <w:t>Lo</w:t>
      </w:r>
      <w:r>
        <w:rPr>
          <w:color w:val="231F20"/>
          <w:spacing w:val="-47"/>
          <w:w w:val="105"/>
        </w:rPr>
        <w:t> </w:t>
      </w:r>
      <w:r>
        <w:rPr>
          <w:color w:val="231F20"/>
          <w:w w:val="105"/>
        </w:rPr>
        <w:t>stesso</w:t>
      </w:r>
      <w:r>
        <w:rPr>
          <w:color w:val="231F20"/>
          <w:spacing w:val="-47"/>
          <w:w w:val="105"/>
        </w:rPr>
        <w:t> </w:t>
      </w:r>
      <w:r>
        <w:rPr>
          <w:color w:val="231F20"/>
          <w:w w:val="105"/>
        </w:rPr>
        <w:t>Fukuyama</w:t>
      </w:r>
      <w:r>
        <w:rPr>
          <w:color w:val="231F20"/>
          <w:spacing w:val="-47"/>
          <w:w w:val="105"/>
        </w:rPr>
        <w:t> </w:t>
      </w:r>
      <w:r>
        <w:rPr>
          <w:color w:val="231F20"/>
          <w:w w:val="105"/>
        </w:rPr>
        <w:t>mostrava</w:t>
      </w:r>
      <w:r>
        <w:rPr>
          <w:color w:val="231F20"/>
          <w:spacing w:val="-47"/>
          <w:w w:val="105"/>
        </w:rPr>
        <w:t> </w:t>
      </w:r>
      <w:r>
        <w:rPr>
          <w:color w:val="231F20"/>
          <w:w w:val="105"/>
        </w:rPr>
        <w:t>le</w:t>
      </w:r>
      <w:r>
        <w:rPr>
          <w:color w:val="231F20"/>
          <w:spacing w:val="-47"/>
          <w:w w:val="105"/>
        </w:rPr>
        <w:t> </w:t>
      </w:r>
      <w:r>
        <w:rPr>
          <w:color w:val="231F20"/>
          <w:w w:val="105"/>
        </w:rPr>
        <w:t>sue</w:t>
      </w:r>
      <w:r>
        <w:rPr>
          <w:color w:val="231F20"/>
          <w:spacing w:val="-47"/>
          <w:w w:val="105"/>
        </w:rPr>
        <w:t> </w:t>
      </w:r>
      <w:r>
        <w:rPr>
          <w:color w:val="231F20"/>
          <w:w w:val="105"/>
        </w:rPr>
        <w:t>diffidenze</w:t>
      </w:r>
      <w:r>
        <w:rPr>
          <w:color w:val="231F20"/>
          <w:spacing w:val="-47"/>
          <w:w w:val="105"/>
        </w:rPr>
        <w:t> </w:t>
      </w:r>
      <w:r>
        <w:rPr>
          <w:color w:val="231F20"/>
          <w:w w:val="105"/>
        </w:rPr>
        <w:t>davanti</w:t>
      </w:r>
      <w:r>
        <w:rPr>
          <w:color w:val="231F20"/>
          <w:spacing w:val="-47"/>
          <w:w w:val="105"/>
        </w:rPr>
        <w:t> </w:t>
      </w:r>
      <w:r>
        <w:rPr>
          <w:color w:val="231F20"/>
          <w:w w:val="105"/>
        </w:rPr>
        <w:t>ad</w:t>
      </w:r>
      <w:r>
        <w:rPr>
          <w:color w:val="231F20"/>
          <w:spacing w:val="-47"/>
          <w:w w:val="105"/>
        </w:rPr>
        <w:t> </w:t>
      </w:r>
      <w:r>
        <w:rPr>
          <w:color w:val="231F20"/>
          <w:w w:val="105"/>
        </w:rPr>
        <w:t>una concezzione totalmente finita del mondo e, quindi, la fine radicale della storia,</w:t>
      </w:r>
      <w:r>
        <w:rPr>
          <w:color w:val="231F20"/>
          <w:spacing w:val="-13"/>
          <w:w w:val="105"/>
        </w:rPr>
        <w:t> </w:t>
      </w:r>
      <w:r>
        <w:rPr>
          <w:color w:val="231F20"/>
          <w:w w:val="105"/>
        </w:rPr>
        <w:t>lasciando</w:t>
      </w:r>
      <w:r>
        <w:rPr>
          <w:color w:val="231F20"/>
          <w:spacing w:val="-13"/>
          <w:w w:val="105"/>
        </w:rPr>
        <w:t> </w:t>
      </w:r>
      <w:r>
        <w:rPr>
          <w:color w:val="231F20"/>
          <w:w w:val="105"/>
        </w:rPr>
        <w:t>così</w:t>
      </w:r>
      <w:r>
        <w:rPr>
          <w:color w:val="231F20"/>
          <w:spacing w:val="-13"/>
          <w:w w:val="105"/>
        </w:rPr>
        <w:t> </w:t>
      </w:r>
      <w:r>
        <w:rPr>
          <w:color w:val="231F20"/>
          <w:w w:val="105"/>
        </w:rPr>
        <w:t>aperta</w:t>
      </w:r>
      <w:r>
        <w:rPr>
          <w:color w:val="231F20"/>
          <w:spacing w:val="-13"/>
          <w:w w:val="105"/>
        </w:rPr>
        <w:t> </w:t>
      </w:r>
      <w:r>
        <w:rPr>
          <w:color w:val="231F20"/>
          <w:w w:val="105"/>
        </w:rPr>
        <w:t>la</w:t>
      </w:r>
      <w:r>
        <w:rPr>
          <w:color w:val="231F20"/>
          <w:spacing w:val="-13"/>
          <w:w w:val="105"/>
        </w:rPr>
        <w:t> </w:t>
      </w:r>
      <w:r>
        <w:rPr>
          <w:color w:val="231F20"/>
          <w:w w:val="105"/>
        </w:rPr>
        <w:t>porta</w:t>
      </w:r>
      <w:r>
        <w:rPr>
          <w:color w:val="231F20"/>
          <w:spacing w:val="-13"/>
          <w:w w:val="105"/>
        </w:rPr>
        <w:t> </w:t>
      </w:r>
      <w:r>
        <w:rPr>
          <w:color w:val="231F20"/>
          <w:w w:val="105"/>
        </w:rPr>
        <w:t>all’apparizione</w:t>
      </w:r>
      <w:r>
        <w:rPr>
          <w:color w:val="231F20"/>
          <w:spacing w:val="-13"/>
          <w:w w:val="105"/>
        </w:rPr>
        <w:t> </w:t>
      </w:r>
      <w:r>
        <w:rPr>
          <w:color w:val="231F20"/>
          <w:w w:val="105"/>
        </w:rPr>
        <w:t>di</w:t>
      </w:r>
      <w:r>
        <w:rPr>
          <w:color w:val="231F20"/>
          <w:spacing w:val="-13"/>
          <w:w w:val="105"/>
        </w:rPr>
        <w:t> </w:t>
      </w:r>
      <w:r>
        <w:rPr>
          <w:color w:val="231F20"/>
          <w:w w:val="105"/>
        </w:rPr>
        <w:t>contraddizioni</w:t>
      </w:r>
      <w:r>
        <w:rPr>
          <w:color w:val="231F20"/>
          <w:spacing w:val="-13"/>
          <w:w w:val="105"/>
        </w:rPr>
        <w:t> </w:t>
      </w:r>
      <w:r>
        <w:rPr>
          <w:color w:val="231F20"/>
          <w:w w:val="105"/>
        </w:rPr>
        <w:t>che finirebbero</w:t>
      </w:r>
      <w:r>
        <w:rPr>
          <w:color w:val="231F20"/>
          <w:spacing w:val="-26"/>
          <w:w w:val="105"/>
        </w:rPr>
        <w:t> </w:t>
      </w:r>
      <w:r>
        <w:rPr>
          <w:color w:val="231F20"/>
          <w:w w:val="105"/>
        </w:rPr>
        <w:t>per</w:t>
      </w:r>
      <w:r>
        <w:rPr>
          <w:color w:val="231F20"/>
          <w:spacing w:val="-26"/>
          <w:w w:val="105"/>
        </w:rPr>
        <w:t> </w:t>
      </w:r>
      <w:r>
        <w:rPr>
          <w:color w:val="231F20"/>
          <w:w w:val="105"/>
        </w:rPr>
        <w:t>rilanciare</w:t>
      </w:r>
      <w:r>
        <w:rPr>
          <w:color w:val="231F20"/>
          <w:spacing w:val="-26"/>
          <w:w w:val="105"/>
        </w:rPr>
        <w:t> </w:t>
      </w:r>
      <w:r>
        <w:rPr>
          <w:color w:val="231F20"/>
          <w:w w:val="105"/>
        </w:rPr>
        <w:t>la</w:t>
      </w:r>
      <w:r>
        <w:rPr>
          <w:color w:val="231F20"/>
          <w:spacing w:val="-26"/>
          <w:w w:val="105"/>
        </w:rPr>
        <w:t> </w:t>
      </w:r>
      <w:r>
        <w:rPr>
          <w:color w:val="231F20"/>
          <w:w w:val="105"/>
        </w:rPr>
        <w:t>storia:</w:t>
      </w:r>
      <w:r>
        <w:rPr>
          <w:color w:val="231F20"/>
          <w:spacing w:val="-26"/>
          <w:w w:val="105"/>
        </w:rPr>
        <w:t> </w:t>
      </w:r>
      <w:r>
        <w:rPr>
          <w:color w:val="231F20"/>
          <w:w w:val="105"/>
        </w:rPr>
        <w:t>“Il</w:t>
      </w:r>
      <w:r>
        <w:rPr>
          <w:color w:val="231F20"/>
          <w:spacing w:val="-26"/>
          <w:w w:val="105"/>
        </w:rPr>
        <w:t> </w:t>
      </w:r>
      <w:r>
        <w:rPr>
          <w:color w:val="231F20"/>
          <w:w w:val="105"/>
        </w:rPr>
        <w:t>problema</w:t>
      </w:r>
      <w:r>
        <w:rPr>
          <w:color w:val="231F20"/>
          <w:spacing w:val="-26"/>
          <w:w w:val="105"/>
        </w:rPr>
        <w:t> </w:t>
      </w:r>
      <w:r>
        <w:rPr>
          <w:color w:val="231F20"/>
          <w:w w:val="105"/>
        </w:rPr>
        <w:t>con</w:t>
      </w:r>
      <w:r>
        <w:rPr>
          <w:color w:val="231F20"/>
          <w:spacing w:val="-26"/>
          <w:w w:val="105"/>
        </w:rPr>
        <w:t> </w:t>
      </w:r>
      <w:r>
        <w:rPr>
          <w:color w:val="231F20"/>
          <w:w w:val="105"/>
        </w:rPr>
        <w:t>la</w:t>
      </w:r>
      <w:r>
        <w:rPr>
          <w:color w:val="231F20"/>
          <w:spacing w:val="-26"/>
          <w:w w:val="105"/>
        </w:rPr>
        <w:t> </w:t>
      </w:r>
      <w:r>
        <w:rPr>
          <w:color w:val="231F20"/>
          <w:w w:val="105"/>
        </w:rPr>
        <w:t>fine</w:t>
      </w:r>
      <w:r>
        <w:rPr>
          <w:color w:val="231F20"/>
          <w:spacing w:val="-26"/>
          <w:w w:val="105"/>
        </w:rPr>
        <w:t> </w:t>
      </w:r>
      <w:r>
        <w:rPr>
          <w:color w:val="231F20"/>
          <w:w w:val="105"/>
        </w:rPr>
        <w:t>della</w:t>
      </w:r>
      <w:r>
        <w:rPr>
          <w:color w:val="231F20"/>
          <w:spacing w:val="-26"/>
          <w:w w:val="105"/>
        </w:rPr>
        <w:t> </w:t>
      </w:r>
      <w:r>
        <w:rPr>
          <w:color w:val="231F20"/>
          <w:w w:val="105"/>
        </w:rPr>
        <w:t>storia</w:t>
      </w:r>
      <w:r>
        <w:rPr>
          <w:color w:val="231F20"/>
          <w:spacing w:val="-26"/>
          <w:w w:val="105"/>
        </w:rPr>
        <w:t> </w:t>
      </w:r>
      <w:r>
        <w:rPr>
          <w:color w:val="231F20"/>
          <w:w w:val="105"/>
        </w:rPr>
        <w:t>può essere esposto come segue: esistono ‘contraddizioni’, nel nostro ordine sociale contemporaneo, liberale e democratico che ci permetterebbero di</w:t>
      </w:r>
      <w:r>
        <w:rPr>
          <w:color w:val="231F20"/>
          <w:spacing w:val="-9"/>
          <w:w w:val="105"/>
        </w:rPr>
        <w:t> </w:t>
      </w:r>
      <w:r>
        <w:rPr>
          <w:color w:val="231F20"/>
          <w:w w:val="105"/>
        </w:rPr>
        <w:t>sperare</w:t>
      </w:r>
      <w:r>
        <w:rPr>
          <w:color w:val="231F20"/>
          <w:spacing w:val="-9"/>
          <w:w w:val="105"/>
        </w:rPr>
        <w:t> </w:t>
      </w:r>
      <w:r>
        <w:rPr>
          <w:color w:val="231F20"/>
          <w:w w:val="105"/>
        </w:rPr>
        <w:t>che</w:t>
      </w:r>
      <w:r>
        <w:rPr>
          <w:color w:val="231F20"/>
          <w:spacing w:val="-9"/>
          <w:w w:val="105"/>
        </w:rPr>
        <w:t> </w:t>
      </w:r>
      <w:r>
        <w:rPr>
          <w:color w:val="231F20"/>
          <w:w w:val="105"/>
        </w:rPr>
        <w:t>il</w:t>
      </w:r>
      <w:r>
        <w:rPr>
          <w:color w:val="231F20"/>
          <w:spacing w:val="-9"/>
          <w:w w:val="105"/>
        </w:rPr>
        <w:t> </w:t>
      </w:r>
      <w:r>
        <w:rPr>
          <w:color w:val="231F20"/>
          <w:w w:val="105"/>
        </w:rPr>
        <w:t>processo</w:t>
      </w:r>
      <w:r>
        <w:rPr>
          <w:color w:val="231F20"/>
          <w:spacing w:val="-9"/>
          <w:w w:val="105"/>
        </w:rPr>
        <w:t> </w:t>
      </w:r>
      <w:r>
        <w:rPr>
          <w:color w:val="231F20"/>
          <w:w w:val="105"/>
        </w:rPr>
        <w:t>storico</w:t>
      </w:r>
      <w:r>
        <w:rPr>
          <w:color w:val="231F20"/>
          <w:spacing w:val="-9"/>
          <w:w w:val="105"/>
        </w:rPr>
        <w:t> </w:t>
      </w:r>
      <w:r>
        <w:rPr>
          <w:color w:val="231F20"/>
          <w:w w:val="105"/>
        </w:rPr>
        <w:t>continui</w:t>
      </w:r>
      <w:r>
        <w:rPr>
          <w:color w:val="231F20"/>
          <w:spacing w:val="-9"/>
          <w:w w:val="105"/>
        </w:rPr>
        <w:t> </w:t>
      </w:r>
      <w:r>
        <w:rPr>
          <w:color w:val="231F20"/>
          <w:w w:val="105"/>
        </w:rPr>
        <w:t>e</w:t>
      </w:r>
      <w:r>
        <w:rPr>
          <w:color w:val="231F20"/>
          <w:spacing w:val="-9"/>
          <w:w w:val="105"/>
        </w:rPr>
        <w:t> </w:t>
      </w:r>
      <w:r>
        <w:rPr>
          <w:color w:val="231F20"/>
          <w:w w:val="105"/>
        </w:rPr>
        <w:t>produca</w:t>
      </w:r>
      <w:r>
        <w:rPr>
          <w:color w:val="231F20"/>
          <w:spacing w:val="-9"/>
          <w:w w:val="105"/>
        </w:rPr>
        <w:t> </w:t>
      </w:r>
      <w:r>
        <w:rPr>
          <w:color w:val="231F20"/>
          <w:w w:val="105"/>
        </w:rPr>
        <w:t>un</w:t>
      </w:r>
      <w:r>
        <w:rPr>
          <w:color w:val="231F20"/>
          <w:spacing w:val="-9"/>
          <w:w w:val="105"/>
        </w:rPr>
        <w:t> </w:t>
      </w:r>
      <w:r>
        <w:rPr>
          <w:color w:val="231F20"/>
          <w:w w:val="105"/>
        </w:rPr>
        <w:t>nuovo</w:t>
      </w:r>
      <w:r>
        <w:rPr>
          <w:color w:val="231F20"/>
          <w:spacing w:val="-9"/>
          <w:w w:val="105"/>
        </w:rPr>
        <w:t> </w:t>
      </w:r>
      <w:r>
        <w:rPr>
          <w:color w:val="231F20"/>
          <w:w w:val="105"/>
        </w:rPr>
        <w:t>e</w:t>
      </w:r>
      <w:r>
        <w:rPr>
          <w:color w:val="231F20"/>
          <w:spacing w:val="-9"/>
          <w:w w:val="105"/>
        </w:rPr>
        <w:t> </w:t>
      </w:r>
      <w:r>
        <w:rPr>
          <w:color w:val="231F20"/>
          <w:w w:val="105"/>
        </w:rPr>
        <w:t>più</w:t>
      </w:r>
      <w:r>
        <w:rPr>
          <w:color w:val="231F20"/>
          <w:spacing w:val="-9"/>
          <w:w w:val="105"/>
        </w:rPr>
        <w:t> </w:t>
      </w:r>
      <w:r>
        <w:rPr>
          <w:color w:val="231F20"/>
          <w:w w:val="105"/>
        </w:rPr>
        <w:t>alto ordine?”</w:t>
      </w:r>
      <w:r>
        <w:rPr>
          <w:color w:val="231F20"/>
          <w:w w:val="105"/>
          <w:position w:val="7"/>
          <w:sz w:val="12"/>
        </w:rPr>
        <w:t>21</w:t>
      </w:r>
      <w:r>
        <w:rPr>
          <w:color w:val="231F20"/>
          <w:w w:val="105"/>
        </w:rPr>
        <w:t>.</w:t>
      </w:r>
      <w:r>
        <w:rPr>
          <w:color w:val="231F20"/>
          <w:spacing w:val="-52"/>
          <w:w w:val="105"/>
        </w:rPr>
        <w:t> </w:t>
      </w:r>
      <w:r>
        <w:rPr>
          <w:color w:val="231F20"/>
          <w:w w:val="105"/>
        </w:rPr>
        <w:t>Insomma,</w:t>
      </w:r>
      <w:r>
        <w:rPr>
          <w:color w:val="231F20"/>
          <w:spacing w:val="-52"/>
          <w:w w:val="105"/>
        </w:rPr>
        <w:t> </w:t>
      </w:r>
      <w:r>
        <w:rPr>
          <w:color w:val="231F20"/>
          <w:w w:val="105"/>
        </w:rPr>
        <w:t>la</w:t>
      </w:r>
      <w:r>
        <w:rPr>
          <w:color w:val="231F20"/>
          <w:spacing w:val="-52"/>
          <w:w w:val="105"/>
        </w:rPr>
        <w:t> </w:t>
      </w:r>
      <w:r>
        <w:rPr>
          <w:color w:val="231F20"/>
          <w:w w:val="105"/>
        </w:rPr>
        <w:t>finitezza</w:t>
      </w:r>
      <w:r>
        <w:rPr>
          <w:color w:val="231F20"/>
          <w:spacing w:val="-52"/>
          <w:w w:val="105"/>
        </w:rPr>
        <w:t> </w:t>
      </w:r>
      <w:r>
        <w:rPr>
          <w:color w:val="231F20"/>
          <w:w w:val="105"/>
        </w:rPr>
        <w:t>a</w:t>
      </w:r>
      <w:r>
        <w:rPr>
          <w:color w:val="231F20"/>
          <w:spacing w:val="-52"/>
          <w:w w:val="105"/>
        </w:rPr>
        <w:t> </w:t>
      </w:r>
      <w:r>
        <w:rPr>
          <w:color w:val="231F20"/>
          <w:w w:val="105"/>
        </w:rPr>
        <w:t>cui</w:t>
      </w:r>
      <w:r>
        <w:rPr>
          <w:color w:val="231F20"/>
          <w:spacing w:val="-52"/>
          <w:w w:val="105"/>
        </w:rPr>
        <w:t> </w:t>
      </w:r>
      <w:r>
        <w:rPr>
          <w:color w:val="231F20"/>
          <w:w w:val="105"/>
        </w:rPr>
        <w:t>ci</w:t>
      </w:r>
      <w:r>
        <w:rPr>
          <w:color w:val="231F20"/>
          <w:spacing w:val="-52"/>
          <w:w w:val="105"/>
        </w:rPr>
        <w:t> </w:t>
      </w:r>
      <w:r>
        <w:rPr>
          <w:color w:val="231F20"/>
          <w:w w:val="105"/>
        </w:rPr>
        <w:t>avvicina</w:t>
      </w:r>
      <w:r>
        <w:rPr>
          <w:color w:val="231F20"/>
          <w:spacing w:val="-52"/>
          <w:w w:val="105"/>
        </w:rPr>
        <w:t> </w:t>
      </w:r>
      <w:r>
        <w:rPr>
          <w:color w:val="231F20"/>
          <w:w w:val="105"/>
        </w:rPr>
        <w:t>la</w:t>
      </w:r>
      <w:r>
        <w:rPr>
          <w:color w:val="231F20"/>
          <w:spacing w:val="-52"/>
          <w:w w:val="105"/>
        </w:rPr>
        <w:t> </w:t>
      </w:r>
      <w:r>
        <w:rPr>
          <w:color w:val="231F20"/>
          <w:w w:val="105"/>
        </w:rPr>
        <w:t>globalizzazione</w:t>
      </w:r>
      <w:r>
        <w:rPr>
          <w:color w:val="231F20"/>
          <w:spacing w:val="-52"/>
          <w:w w:val="105"/>
        </w:rPr>
        <w:t> </w:t>
      </w:r>
      <w:r>
        <w:rPr>
          <w:color w:val="231F20"/>
          <w:w w:val="105"/>
        </w:rPr>
        <w:t>è</w:t>
      </w:r>
      <w:r>
        <w:rPr>
          <w:color w:val="231F20"/>
          <w:spacing w:val="-52"/>
          <w:w w:val="105"/>
        </w:rPr>
        <w:t> </w:t>
      </w:r>
      <w:r>
        <w:rPr>
          <w:color w:val="231F20"/>
          <w:w w:val="105"/>
        </w:rPr>
        <w:t>una</w:t>
      </w:r>
      <w:r>
        <w:rPr>
          <w:color w:val="231F20"/>
          <w:spacing w:val="-52"/>
          <w:w w:val="105"/>
        </w:rPr>
        <w:t> </w:t>
      </w:r>
      <w:r>
        <w:rPr>
          <w:color w:val="231F20"/>
          <w:w w:val="105"/>
        </w:rPr>
        <w:t>che si</w:t>
      </w:r>
      <w:r>
        <w:rPr>
          <w:color w:val="231F20"/>
          <w:spacing w:val="-43"/>
          <w:w w:val="105"/>
        </w:rPr>
        <w:t> </w:t>
      </w:r>
      <w:r>
        <w:rPr>
          <w:color w:val="231F20"/>
          <w:w w:val="105"/>
        </w:rPr>
        <w:t>sostiene</w:t>
      </w:r>
      <w:r>
        <w:rPr>
          <w:color w:val="231F20"/>
          <w:spacing w:val="-43"/>
          <w:w w:val="105"/>
        </w:rPr>
        <w:t> </w:t>
      </w:r>
      <w:r>
        <w:rPr>
          <w:color w:val="231F20"/>
          <w:w w:val="105"/>
        </w:rPr>
        <w:t>e</w:t>
      </w:r>
      <w:r>
        <w:rPr>
          <w:color w:val="231F20"/>
          <w:spacing w:val="-43"/>
          <w:w w:val="105"/>
        </w:rPr>
        <w:t> </w:t>
      </w:r>
      <w:r>
        <w:rPr>
          <w:color w:val="231F20"/>
          <w:w w:val="105"/>
        </w:rPr>
        <w:t>non</w:t>
      </w:r>
      <w:r>
        <w:rPr>
          <w:color w:val="231F20"/>
          <w:spacing w:val="-43"/>
          <w:w w:val="105"/>
        </w:rPr>
        <w:t> </w:t>
      </w:r>
      <w:r>
        <w:rPr>
          <w:color w:val="231F20"/>
          <w:w w:val="105"/>
        </w:rPr>
        <w:t>smette</w:t>
      </w:r>
      <w:r>
        <w:rPr>
          <w:color w:val="231F20"/>
          <w:spacing w:val="-43"/>
          <w:w w:val="105"/>
        </w:rPr>
        <w:t> </w:t>
      </w:r>
      <w:r>
        <w:rPr>
          <w:color w:val="231F20"/>
          <w:w w:val="105"/>
        </w:rPr>
        <w:t>di</w:t>
      </w:r>
      <w:r>
        <w:rPr>
          <w:color w:val="231F20"/>
          <w:spacing w:val="-43"/>
          <w:w w:val="105"/>
        </w:rPr>
        <w:t> </w:t>
      </w:r>
      <w:r>
        <w:rPr>
          <w:color w:val="231F20"/>
          <w:spacing w:val="-3"/>
          <w:w w:val="105"/>
        </w:rPr>
        <w:t>produrre</w:t>
      </w:r>
      <w:r>
        <w:rPr>
          <w:color w:val="231F20"/>
          <w:spacing w:val="-43"/>
          <w:w w:val="105"/>
        </w:rPr>
        <w:t> </w:t>
      </w:r>
      <w:r>
        <w:rPr>
          <w:color w:val="231F20"/>
          <w:w w:val="105"/>
        </w:rPr>
        <w:t>gesti</w:t>
      </w:r>
      <w:r>
        <w:rPr>
          <w:color w:val="231F20"/>
          <w:spacing w:val="-43"/>
          <w:w w:val="105"/>
        </w:rPr>
        <w:t> </w:t>
      </w:r>
      <w:r>
        <w:rPr>
          <w:color w:val="231F20"/>
          <w:w w:val="105"/>
        </w:rPr>
        <w:t>e</w:t>
      </w:r>
      <w:r>
        <w:rPr>
          <w:color w:val="231F20"/>
          <w:spacing w:val="-43"/>
          <w:w w:val="105"/>
        </w:rPr>
        <w:t> </w:t>
      </w:r>
      <w:r>
        <w:rPr>
          <w:color w:val="231F20"/>
          <w:spacing w:val="-3"/>
          <w:w w:val="105"/>
        </w:rPr>
        <w:t>prospettive</w:t>
      </w:r>
      <w:r>
        <w:rPr>
          <w:color w:val="231F20"/>
          <w:spacing w:val="-43"/>
          <w:w w:val="105"/>
        </w:rPr>
        <w:t> </w:t>
      </w:r>
      <w:r>
        <w:rPr>
          <w:color w:val="231F20"/>
          <w:w w:val="105"/>
        </w:rPr>
        <w:t>plurali,</w:t>
      </w:r>
      <w:r>
        <w:rPr>
          <w:color w:val="231F20"/>
          <w:spacing w:val="-43"/>
          <w:w w:val="105"/>
        </w:rPr>
        <w:t> </w:t>
      </w:r>
      <w:r>
        <w:rPr>
          <w:color w:val="231F20"/>
          <w:w w:val="105"/>
        </w:rPr>
        <w:t>e</w:t>
      </w:r>
      <w:r>
        <w:rPr>
          <w:color w:val="231F20"/>
          <w:spacing w:val="-43"/>
          <w:w w:val="105"/>
        </w:rPr>
        <w:t> </w:t>
      </w:r>
      <w:r>
        <w:rPr>
          <w:color w:val="231F20"/>
          <w:w w:val="105"/>
        </w:rPr>
        <w:t>con</w:t>
      </w:r>
      <w:r>
        <w:rPr>
          <w:color w:val="231F20"/>
          <w:spacing w:val="-43"/>
          <w:w w:val="105"/>
        </w:rPr>
        <w:t> </w:t>
      </w:r>
      <w:r>
        <w:rPr>
          <w:color w:val="231F20"/>
          <w:w w:val="105"/>
        </w:rPr>
        <w:t>questo, non c’è qualcosa di propriamente globale ne qualcosa di propriamente locale, o nel caso, si tratterebbe di una proprietà abbastanza peculiare: picchiettata</w:t>
      </w:r>
      <w:r>
        <w:rPr>
          <w:color w:val="231F20"/>
          <w:spacing w:val="-22"/>
          <w:w w:val="105"/>
        </w:rPr>
        <w:t> </w:t>
      </w:r>
      <w:r>
        <w:rPr>
          <w:color w:val="231F20"/>
          <w:w w:val="105"/>
        </w:rPr>
        <w:t>di</w:t>
      </w:r>
      <w:r>
        <w:rPr>
          <w:color w:val="231F20"/>
          <w:spacing w:val="-22"/>
          <w:w w:val="105"/>
        </w:rPr>
        <w:t> </w:t>
      </w:r>
      <w:r>
        <w:rPr>
          <w:color w:val="231F20"/>
          <w:w w:val="105"/>
        </w:rPr>
        <w:t>elementi</w:t>
      </w:r>
      <w:r>
        <w:rPr>
          <w:color w:val="231F20"/>
          <w:spacing w:val="-22"/>
          <w:w w:val="105"/>
        </w:rPr>
        <w:t> </w:t>
      </w:r>
      <w:r>
        <w:rPr>
          <w:color w:val="231F20"/>
          <w:w w:val="105"/>
        </w:rPr>
        <w:t>estranei</w:t>
      </w:r>
      <w:r>
        <w:rPr>
          <w:color w:val="231F20"/>
          <w:spacing w:val="-22"/>
          <w:w w:val="105"/>
        </w:rPr>
        <w:t> </w:t>
      </w:r>
      <w:r>
        <w:rPr>
          <w:color w:val="231F20"/>
          <w:w w:val="105"/>
        </w:rPr>
        <w:t>e</w:t>
      </w:r>
      <w:r>
        <w:rPr>
          <w:color w:val="231F20"/>
          <w:spacing w:val="-22"/>
          <w:w w:val="105"/>
        </w:rPr>
        <w:t> </w:t>
      </w:r>
      <w:r>
        <w:rPr>
          <w:color w:val="231F20"/>
          <w:w w:val="105"/>
        </w:rPr>
        <w:t>alieni,</w:t>
      </w:r>
      <w:r>
        <w:rPr>
          <w:color w:val="231F20"/>
          <w:spacing w:val="-22"/>
          <w:w w:val="105"/>
        </w:rPr>
        <w:t> </w:t>
      </w:r>
      <w:r>
        <w:rPr>
          <w:color w:val="231F20"/>
          <w:w w:val="105"/>
        </w:rPr>
        <w:t>di</w:t>
      </w:r>
      <w:r>
        <w:rPr>
          <w:color w:val="231F20"/>
          <w:spacing w:val="-22"/>
          <w:w w:val="105"/>
        </w:rPr>
        <w:t> </w:t>
      </w:r>
      <w:r>
        <w:rPr>
          <w:color w:val="231F20"/>
          <w:w w:val="105"/>
        </w:rPr>
        <w:t>elementi</w:t>
      </w:r>
      <w:r>
        <w:rPr>
          <w:color w:val="231F20"/>
          <w:spacing w:val="-22"/>
          <w:w w:val="105"/>
        </w:rPr>
        <w:t> </w:t>
      </w:r>
      <w:r>
        <w:rPr>
          <w:color w:val="231F20"/>
          <w:w w:val="105"/>
        </w:rPr>
        <w:t>che</w:t>
      </w:r>
      <w:r>
        <w:rPr>
          <w:color w:val="231F20"/>
          <w:spacing w:val="-22"/>
          <w:w w:val="105"/>
        </w:rPr>
        <w:t> </w:t>
      </w:r>
      <w:r>
        <w:rPr>
          <w:color w:val="231F20"/>
          <w:w w:val="105"/>
        </w:rPr>
        <w:t>non</w:t>
      </w:r>
      <w:r>
        <w:rPr>
          <w:color w:val="231F20"/>
          <w:spacing w:val="-22"/>
          <w:w w:val="105"/>
        </w:rPr>
        <w:t> </w:t>
      </w:r>
      <w:r>
        <w:rPr>
          <w:color w:val="231F20"/>
          <w:w w:val="105"/>
        </w:rPr>
        <w:t>sono</w:t>
      </w:r>
      <w:r>
        <w:rPr>
          <w:color w:val="231F20"/>
          <w:spacing w:val="-22"/>
          <w:w w:val="105"/>
        </w:rPr>
        <w:t> </w:t>
      </w:r>
      <w:r>
        <w:rPr>
          <w:color w:val="231F20"/>
          <w:w w:val="105"/>
        </w:rPr>
        <w:t>propri, ma</w:t>
      </w:r>
      <w:r>
        <w:rPr>
          <w:color w:val="231F20"/>
          <w:spacing w:val="-7"/>
          <w:w w:val="105"/>
        </w:rPr>
        <w:t> </w:t>
      </w:r>
      <w:r>
        <w:rPr>
          <w:color w:val="231F20"/>
          <w:w w:val="105"/>
        </w:rPr>
        <w:t>che</w:t>
      </w:r>
      <w:r>
        <w:rPr>
          <w:color w:val="231F20"/>
          <w:spacing w:val="-7"/>
          <w:w w:val="105"/>
        </w:rPr>
        <w:t> </w:t>
      </w:r>
      <w:r>
        <w:rPr>
          <w:color w:val="231F20"/>
          <w:w w:val="105"/>
        </w:rPr>
        <w:t>finiscono</w:t>
      </w:r>
      <w:r>
        <w:rPr>
          <w:color w:val="231F20"/>
          <w:spacing w:val="-7"/>
          <w:w w:val="105"/>
        </w:rPr>
        <w:t> </w:t>
      </w:r>
      <w:r>
        <w:rPr>
          <w:color w:val="231F20"/>
          <w:w w:val="105"/>
        </w:rPr>
        <w:t>per</w:t>
      </w:r>
      <w:r>
        <w:rPr>
          <w:color w:val="231F20"/>
          <w:spacing w:val="-7"/>
          <w:w w:val="105"/>
        </w:rPr>
        <w:t> </w:t>
      </w:r>
      <w:r>
        <w:rPr>
          <w:color w:val="231F20"/>
          <w:w w:val="105"/>
        </w:rPr>
        <w:t>assumersi</w:t>
      </w:r>
      <w:r>
        <w:rPr>
          <w:color w:val="231F20"/>
          <w:spacing w:val="-7"/>
          <w:w w:val="105"/>
        </w:rPr>
        <w:t> </w:t>
      </w:r>
      <w:r>
        <w:rPr>
          <w:color w:val="231F20"/>
          <w:w w:val="105"/>
        </w:rPr>
        <w:t>come</w:t>
      </w:r>
      <w:r>
        <w:rPr>
          <w:color w:val="231F20"/>
          <w:spacing w:val="-7"/>
          <w:w w:val="105"/>
        </w:rPr>
        <w:t> </w:t>
      </w:r>
      <w:r>
        <w:rPr>
          <w:color w:val="231F20"/>
          <w:w w:val="105"/>
        </w:rPr>
        <w:t>tali;</w:t>
      </w:r>
      <w:r>
        <w:rPr>
          <w:color w:val="231F20"/>
          <w:spacing w:val="-7"/>
          <w:w w:val="105"/>
        </w:rPr>
        <w:t> </w:t>
      </w:r>
      <w:r>
        <w:rPr>
          <w:color w:val="231F20"/>
          <w:w w:val="105"/>
        </w:rPr>
        <w:t>una</w:t>
      </w:r>
      <w:r>
        <w:rPr>
          <w:color w:val="231F20"/>
          <w:spacing w:val="-7"/>
          <w:w w:val="105"/>
        </w:rPr>
        <w:t> </w:t>
      </w:r>
      <w:r>
        <w:rPr>
          <w:color w:val="231F20"/>
          <w:w w:val="105"/>
        </w:rPr>
        <w:t>proprietà</w:t>
      </w:r>
      <w:r>
        <w:rPr>
          <w:color w:val="231F20"/>
          <w:spacing w:val="-7"/>
          <w:w w:val="105"/>
        </w:rPr>
        <w:t> </w:t>
      </w:r>
      <w:r>
        <w:rPr>
          <w:color w:val="231F20"/>
          <w:w w:val="105"/>
        </w:rPr>
        <w:t>che</w:t>
      </w:r>
      <w:r>
        <w:rPr>
          <w:color w:val="231F20"/>
          <w:spacing w:val="-7"/>
          <w:w w:val="105"/>
        </w:rPr>
        <w:t> </w:t>
      </w:r>
      <w:r>
        <w:rPr>
          <w:color w:val="231F20"/>
          <w:w w:val="105"/>
        </w:rPr>
        <w:t>si</w:t>
      </w:r>
      <w:r>
        <w:rPr>
          <w:color w:val="231F20"/>
          <w:spacing w:val="-7"/>
          <w:w w:val="105"/>
        </w:rPr>
        <w:t> </w:t>
      </w:r>
      <w:r>
        <w:rPr>
          <w:color w:val="231F20"/>
          <w:w w:val="105"/>
        </w:rPr>
        <w:t>sostiene </w:t>
      </w:r>
      <w:r>
        <w:rPr>
          <w:color w:val="231F20"/>
          <w:spacing w:val="3"/>
          <w:w w:val="105"/>
        </w:rPr>
        <w:t>sull’improprio. </w:t>
      </w:r>
      <w:r>
        <w:rPr>
          <w:color w:val="231F20"/>
          <w:spacing w:val="2"/>
          <w:w w:val="105"/>
        </w:rPr>
        <w:t>Con </w:t>
      </w:r>
      <w:r>
        <w:rPr>
          <w:color w:val="231F20"/>
          <w:spacing w:val="3"/>
          <w:w w:val="105"/>
        </w:rPr>
        <w:t>questo, </w:t>
      </w:r>
      <w:r>
        <w:rPr>
          <w:color w:val="231F20"/>
          <w:spacing w:val="2"/>
          <w:w w:val="105"/>
        </w:rPr>
        <w:t>saremmo </w:t>
      </w:r>
      <w:r>
        <w:rPr>
          <w:color w:val="231F20"/>
          <w:spacing w:val="3"/>
          <w:w w:val="105"/>
        </w:rPr>
        <w:t>lontani dall’osservare identità </w:t>
      </w:r>
      <w:r>
        <w:rPr>
          <w:color w:val="231F20"/>
          <w:w w:val="105"/>
        </w:rPr>
        <w:t>e </w:t>
      </w:r>
      <w:r>
        <w:rPr>
          <w:rFonts w:ascii="Arial" w:hAnsi="Arial"/>
          <w:i/>
          <w:color w:val="231F20"/>
          <w:w w:val="105"/>
        </w:rPr>
        <w:t>differenze</w:t>
      </w:r>
      <w:r>
        <w:rPr>
          <w:rFonts w:ascii="Arial" w:hAnsi="Arial"/>
          <w:i/>
          <w:color w:val="231F20"/>
          <w:spacing w:val="-22"/>
          <w:w w:val="105"/>
        </w:rPr>
        <w:t> </w:t>
      </w:r>
      <w:r>
        <w:rPr>
          <w:rFonts w:ascii="Arial" w:hAnsi="Arial"/>
          <w:i/>
          <w:color w:val="231F20"/>
          <w:w w:val="105"/>
        </w:rPr>
        <w:t>blindate</w:t>
      </w:r>
      <w:r>
        <w:rPr>
          <w:color w:val="231F20"/>
          <w:w w:val="105"/>
        </w:rPr>
        <w:t>,</w:t>
      </w:r>
      <w:r>
        <w:rPr>
          <w:color w:val="231F20"/>
          <w:spacing w:val="-30"/>
          <w:w w:val="105"/>
        </w:rPr>
        <w:t> </w:t>
      </w:r>
      <w:r>
        <w:rPr>
          <w:color w:val="231F20"/>
          <w:w w:val="105"/>
        </w:rPr>
        <w:t>cioè,</w:t>
      </w:r>
      <w:r>
        <w:rPr>
          <w:color w:val="231F20"/>
          <w:spacing w:val="-30"/>
          <w:w w:val="105"/>
        </w:rPr>
        <w:t> </w:t>
      </w:r>
      <w:r>
        <w:rPr>
          <w:color w:val="231F20"/>
          <w:w w:val="105"/>
        </w:rPr>
        <w:t>totalmente</w:t>
      </w:r>
      <w:r>
        <w:rPr>
          <w:color w:val="231F20"/>
          <w:spacing w:val="-30"/>
          <w:w w:val="105"/>
        </w:rPr>
        <w:t> </w:t>
      </w:r>
      <w:r>
        <w:rPr>
          <w:color w:val="231F20"/>
          <w:w w:val="105"/>
        </w:rPr>
        <w:t>proprie:</w:t>
      </w:r>
      <w:r>
        <w:rPr>
          <w:color w:val="231F20"/>
          <w:spacing w:val="-30"/>
          <w:w w:val="105"/>
        </w:rPr>
        <w:t> </w:t>
      </w:r>
      <w:r>
        <w:rPr>
          <w:color w:val="231F20"/>
          <w:w w:val="105"/>
        </w:rPr>
        <w:t>non</w:t>
      </w:r>
      <w:r>
        <w:rPr>
          <w:color w:val="231F20"/>
          <w:spacing w:val="-30"/>
          <w:w w:val="105"/>
        </w:rPr>
        <w:t> </w:t>
      </w:r>
      <w:r>
        <w:rPr>
          <w:color w:val="231F20"/>
          <w:w w:val="105"/>
        </w:rPr>
        <w:t>c’è</w:t>
      </w:r>
      <w:r>
        <w:rPr>
          <w:color w:val="231F20"/>
          <w:spacing w:val="-30"/>
          <w:w w:val="105"/>
        </w:rPr>
        <w:t> </w:t>
      </w:r>
      <w:r>
        <w:rPr>
          <w:color w:val="231F20"/>
          <w:w w:val="105"/>
        </w:rPr>
        <w:t>niente</w:t>
      </w:r>
      <w:r>
        <w:rPr>
          <w:color w:val="231F20"/>
          <w:spacing w:val="-30"/>
          <w:w w:val="105"/>
        </w:rPr>
        <w:t> </w:t>
      </w:r>
      <w:r>
        <w:rPr>
          <w:color w:val="231F20"/>
          <w:w w:val="105"/>
        </w:rPr>
        <w:t>di</w:t>
      </w:r>
      <w:r>
        <w:rPr>
          <w:color w:val="231F20"/>
          <w:spacing w:val="-30"/>
          <w:w w:val="105"/>
        </w:rPr>
        <w:t> </w:t>
      </w:r>
      <w:r>
        <w:rPr>
          <w:color w:val="231F20"/>
          <w:w w:val="105"/>
        </w:rPr>
        <w:t>proprio</w:t>
      </w:r>
      <w:r>
        <w:rPr>
          <w:color w:val="231F20"/>
          <w:spacing w:val="-30"/>
          <w:w w:val="105"/>
        </w:rPr>
        <w:t> </w:t>
      </w:r>
      <w:r>
        <w:rPr>
          <w:color w:val="231F20"/>
          <w:w w:val="105"/>
        </w:rPr>
        <w:t>che in</w:t>
      </w:r>
      <w:r>
        <w:rPr>
          <w:color w:val="231F20"/>
          <w:spacing w:val="-25"/>
          <w:w w:val="105"/>
        </w:rPr>
        <w:t> </w:t>
      </w:r>
      <w:r>
        <w:rPr>
          <w:color w:val="231F20"/>
          <w:w w:val="105"/>
        </w:rPr>
        <w:t>qualche</w:t>
      </w:r>
      <w:r>
        <w:rPr>
          <w:color w:val="231F20"/>
          <w:spacing w:val="-25"/>
          <w:w w:val="105"/>
        </w:rPr>
        <w:t> </w:t>
      </w:r>
      <w:r>
        <w:rPr>
          <w:color w:val="231F20"/>
          <w:w w:val="105"/>
        </w:rPr>
        <w:t>modo</w:t>
      </w:r>
      <w:r>
        <w:rPr>
          <w:color w:val="231F20"/>
          <w:spacing w:val="-25"/>
          <w:w w:val="105"/>
        </w:rPr>
        <w:t> </w:t>
      </w:r>
      <w:r>
        <w:rPr>
          <w:color w:val="231F20"/>
          <w:w w:val="105"/>
        </w:rPr>
        <w:t>non</w:t>
      </w:r>
      <w:r>
        <w:rPr>
          <w:color w:val="231F20"/>
          <w:spacing w:val="-25"/>
          <w:w w:val="105"/>
        </w:rPr>
        <w:t> </w:t>
      </w:r>
      <w:r>
        <w:rPr>
          <w:color w:val="231F20"/>
          <w:w w:val="105"/>
        </w:rPr>
        <w:t>sia</w:t>
      </w:r>
      <w:r>
        <w:rPr>
          <w:color w:val="231F20"/>
          <w:spacing w:val="-25"/>
          <w:w w:val="105"/>
        </w:rPr>
        <w:t> </w:t>
      </w:r>
      <w:r>
        <w:rPr>
          <w:color w:val="231F20"/>
          <w:w w:val="105"/>
        </w:rPr>
        <w:t>o</w:t>
      </w:r>
      <w:r>
        <w:rPr>
          <w:color w:val="231F20"/>
          <w:spacing w:val="-25"/>
          <w:w w:val="105"/>
        </w:rPr>
        <w:t> </w:t>
      </w:r>
      <w:r>
        <w:rPr>
          <w:color w:val="231F20"/>
          <w:w w:val="105"/>
        </w:rPr>
        <w:t>sia</w:t>
      </w:r>
      <w:r>
        <w:rPr>
          <w:color w:val="231F20"/>
          <w:spacing w:val="-25"/>
          <w:w w:val="105"/>
        </w:rPr>
        <w:t> </w:t>
      </w:r>
      <w:r>
        <w:rPr>
          <w:color w:val="231F20"/>
          <w:w w:val="105"/>
        </w:rPr>
        <w:t>stato</w:t>
      </w:r>
      <w:r>
        <w:rPr>
          <w:color w:val="231F20"/>
          <w:spacing w:val="-25"/>
          <w:w w:val="105"/>
        </w:rPr>
        <w:t> </w:t>
      </w:r>
      <w:r>
        <w:rPr>
          <w:color w:val="231F20"/>
          <w:w w:val="105"/>
        </w:rPr>
        <w:t>di</w:t>
      </w:r>
      <w:r>
        <w:rPr>
          <w:color w:val="231F20"/>
          <w:spacing w:val="-25"/>
          <w:w w:val="105"/>
        </w:rPr>
        <w:t> </w:t>
      </w:r>
      <w:r>
        <w:rPr>
          <w:color w:val="231F20"/>
          <w:w w:val="105"/>
        </w:rPr>
        <w:t>altri.</w:t>
      </w:r>
    </w:p>
    <w:p>
      <w:pPr>
        <w:pStyle w:val="BodyText"/>
        <w:spacing w:before="5"/>
      </w:pPr>
    </w:p>
    <w:p>
      <w:pPr>
        <w:pStyle w:val="ListParagraph"/>
        <w:numPr>
          <w:ilvl w:val="0"/>
          <w:numId w:val="11"/>
        </w:numPr>
        <w:tabs>
          <w:tab w:pos="909" w:val="left" w:leader="none"/>
        </w:tabs>
        <w:spacing w:line="240" w:lineRule="auto" w:before="0" w:after="0"/>
        <w:ind w:left="908" w:right="0" w:hanging="238"/>
        <w:jc w:val="left"/>
        <w:rPr>
          <w:sz w:val="21"/>
        </w:rPr>
      </w:pPr>
      <w:r>
        <w:rPr>
          <w:color w:val="231F20"/>
          <w:w w:val="105"/>
          <w:sz w:val="21"/>
        </w:rPr>
        <w:t>Origine–fine</w:t>
      </w:r>
    </w:p>
    <w:p>
      <w:pPr>
        <w:pStyle w:val="BodyText"/>
        <w:rPr>
          <w:sz w:val="22"/>
        </w:rPr>
      </w:pPr>
    </w:p>
    <w:p>
      <w:pPr>
        <w:pStyle w:val="BodyText"/>
        <w:spacing w:line="247" w:lineRule="auto" w:before="1"/>
        <w:ind w:left="103" w:right="113"/>
        <w:jc w:val="both"/>
      </w:pPr>
      <w:r>
        <w:rPr>
          <w:color w:val="231F20"/>
          <w:spacing w:val="2"/>
          <w:w w:val="105"/>
        </w:rPr>
        <w:t>Legato </w:t>
      </w:r>
      <w:r>
        <w:rPr>
          <w:color w:val="231F20"/>
          <w:w w:val="105"/>
        </w:rPr>
        <w:t>al </w:t>
      </w:r>
      <w:r>
        <w:rPr>
          <w:color w:val="231F20"/>
          <w:spacing w:val="2"/>
          <w:w w:val="105"/>
        </w:rPr>
        <w:t>tema della proprietà </w:t>
      </w:r>
      <w:r>
        <w:rPr>
          <w:color w:val="231F20"/>
          <w:w w:val="105"/>
        </w:rPr>
        <w:t>sta </w:t>
      </w:r>
      <w:r>
        <w:rPr>
          <w:color w:val="231F20"/>
          <w:spacing w:val="2"/>
          <w:w w:val="105"/>
        </w:rPr>
        <w:t>quello dell’origine </w:t>
      </w:r>
      <w:r>
        <w:rPr>
          <w:color w:val="231F20"/>
          <w:w w:val="105"/>
        </w:rPr>
        <w:t>e </w:t>
      </w:r>
      <w:r>
        <w:rPr>
          <w:color w:val="231F20"/>
          <w:spacing w:val="2"/>
          <w:w w:val="105"/>
        </w:rPr>
        <w:t>l’autenticità. </w:t>
      </w:r>
      <w:r>
        <w:rPr>
          <w:color w:val="231F20"/>
          <w:w w:val="105"/>
        </w:rPr>
        <w:t>È </w:t>
      </w:r>
      <w:r>
        <w:rPr>
          <w:color w:val="231F20"/>
          <w:spacing w:val="-4"/>
          <w:w w:val="105"/>
        </w:rPr>
        <w:t>indiscutibile</w:t>
      </w:r>
      <w:r>
        <w:rPr>
          <w:color w:val="231F20"/>
          <w:spacing w:val="-46"/>
          <w:w w:val="105"/>
        </w:rPr>
        <w:t> </w:t>
      </w:r>
      <w:r>
        <w:rPr>
          <w:color w:val="231F20"/>
          <w:spacing w:val="-3"/>
          <w:w w:val="105"/>
        </w:rPr>
        <w:t>che</w:t>
      </w:r>
      <w:r>
        <w:rPr>
          <w:color w:val="231F20"/>
          <w:spacing w:val="-46"/>
          <w:w w:val="105"/>
        </w:rPr>
        <w:t> </w:t>
      </w:r>
      <w:r>
        <w:rPr>
          <w:color w:val="231F20"/>
          <w:w w:val="105"/>
        </w:rPr>
        <w:t>la</w:t>
      </w:r>
      <w:r>
        <w:rPr>
          <w:color w:val="231F20"/>
          <w:spacing w:val="-46"/>
          <w:w w:val="105"/>
        </w:rPr>
        <w:t> </w:t>
      </w:r>
      <w:r>
        <w:rPr>
          <w:color w:val="231F20"/>
          <w:spacing w:val="-4"/>
          <w:w w:val="105"/>
        </w:rPr>
        <w:t>difesa</w:t>
      </w:r>
      <w:r>
        <w:rPr>
          <w:color w:val="231F20"/>
          <w:spacing w:val="-46"/>
          <w:w w:val="105"/>
        </w:rPr>
        <w:t> </w:t>
      </w:r>
      <w:r>
        <w:rPr>
          <w:color w:val="231F20"/>
          <w:spacing w:val="-3"/>
          <w:w w:val="105"/>
        </w:rPr>
        <w:t>del</w:t>
      </w:r>
      <w:r>
        <w:rPr>
          <w:color w:val="231F20"/>
          <w:spacing w:val="-46"/>
          <w:w w:val="105"/>
        </w:rPr>
        <w:t> </w:t>
      </w:r>
      <w:r>
        <w:rPr>
          <w:color w:val="231F20"/>
          <w:spacing w:val="-4"/>
          <w:w w:val="105"/>
        </w:rPr>
        <w:t>proprio,</w:t>
      </w:r>
      <w:r>
        <w:rPr>
          <w:color w:val="231F20"/>
          <w:spacing w:val="-46"/>
          <w:w w:val="105"/>
        </w:rPr>
        <w:t> </w:t>
      </w:r>
      <w:r>
        <w:rPr>
          <w:color w:val="231F20"/>
          <w:spacing w:val="-4"/>
          <w:w w:val="105"/>
        </w:rPr>
        <w:t>delle</w:t>
      </w:r>
      <w:r>
        <w:rPr>
          <w:color w:val="231F20"/>
          <w:spacing w:val="-46"/>
          <w:w w:val="105"/>
        </w:rPr>
        <w:t> </w:t>
      </w:r>
      <w:r>
        <w:rPr>
          <w:color w:val="231F20"/>
          <w:spacing w:val="-4"/>
          <w:w w:val="105"/>
        </w:rPr>
        <w:t>identità</w:t>
      </w:r>
      <w:r>
        <w:rPr>
          <w:color w:val="231F20"/>
          <w:spacing w:val="-46"/>
          <w:w w:val="105"/>
        </w:rPr>
        <w:t> </w:t>
      </w:r>
      <w:r>
        <w:rPr>
          <w:color w:val="231F20"/>
          <w:spacing w:val="-4"/>
          <w:w w:val="105"/>
        </w:rPr>
        <w:t>nazionali,</w:t>
      </w:r>
      <w:r>
        <w:rPr>
          <w:color w:val="231F20"/>
          <w:spacing w:val="-46"/>
          <w:w w:val="105"/>
        </w:rPr>
        <w:t> </w:t>
      </w:r>
      <w:r>
        <w:rPr>
          <w:color w:val="231F20"/>
          <w:spacing w:val="-4"/>
          <w:w w:val="105"/>
        </w:rPr>
        <w:t>delle</w:t>
      </w:r>
      <w:r>
        <w:rPr>
          <w:color w:val="231F20"/>
          <w:spacing w:val="-46"/>
          <w:w w:val="105"/>
        </w:rPr>
        <w:t> </w:t>
      </w:r>
      <w:r>
        <w:rPr>
          <w:color w:val="231F20"/>
          <w:spacing w:val="-4"/>
          <w:w w:val="105"/>
        </w:rPr>
        <w:t>particolarità </w:t>
      </w:r>
      <w:r>
        <w:rPr>
          <w:color w:val="231F20"/>
          <w:w w:val="105"/>
        </w:rPr>
        <w:t>etniche</w:t>
      </w:r>
      <w:r>
        <w:rPr>
          <w:color w:val="231F20"/>
          <w:spacing w:val="-50"/>
          <w:w w:val="105"/>
        </w:rPr>
        <w:t> </w:t>
      </w:r>
      <w:r>
        <w:rPr>
          <w:color w:val="231F20"/>
          <w:w w:val="105"/>
        </w:rPr>
        <w:t>e</w:t>
      </w:r>
      <w:r>
        <w:rPr>
          <w:color w:val="231F20"/>
          <w:spacing w:val="-50"/>
          <w:w w:val="105"/>
        </w:rPr>
        <w:t> </w:t>
      </w:r>
      <w:r>
        <w:rPr>
          <w:color w:val="231F20"/>
          <w:w w:val="105"/>
        </w:rPr>
        <w:t>culturali,</w:t>
      </w:r>
      <w:r>
        <w:rPr>
          <w:color w:val="231F20"/>
          <w:spacing w:val="-50"/>
          <w:w w:val="105"/>
        </w:rPr>
        <w:t> </w:t>
      </w:r>
      <w:r>
        <w:rPr>
          <w:color w:val="231F20"/>
          <w:w w:val="105"/>
        </w:rPr>
        <w:t>si</w:t>
      </w:r>
      <w:r>
        <w:rPr>
          <w:color w:val="231F20"/>
          <w:spacing w:val="-51"/>
          <w:w w:val="105"/>
        </w:rPr>
        <w:t> </w:t>
      </w:r>
      <w:r>
        <w:rPr>
          <w:color w:val="231F20"/>
          <w:w w:val="105"/>
        </w:rPr>
        <w:t>è</w:t>
      </w:r>
      <w:r>
        <w:rPr>
          <w:color w:val="231F20"/>
          <w:spacing w:val="-50"/>
          <w:w w:val="105"/>
        </w:rPr>
        <w:t> </w:t>
      </w:r>
      <w:r>
        <w:rPr>
          <w:color w:val="231F20"/>
          <w:w w:val="105"/>
        </w:rPr>
        <w:t>esacerbato</w:t>
      </w:r>
      <w:r>
        <w:rPr>
          <w:color w:val="231F20"/>
          <w:spacing w:val="-50"/>
          <w:w w:val="105"/>
        </w:rPr>
        <w:t> </w:t>
      </w:r>
      <w:r>
        <w:rPr>
          <w:color w:val="231F20"/>
          <w:w w:val="105"/>
        </w:rPr>
        <w:t>con</w:t>
      </w:r>
      <w:r>
        <w:rPr>
          <w:color w:val="231F20"/>
          <w:spacing w:val="-50"/>
          <w:w w:val="105"/>
        </w:rPr>
        <w:t> </w:t>
      </w:r>
      <w:r>
        <w:rPr>
          <w:color w:val="231F20"/>
          <w:w w:val="105"/>
        </w:rPr>
        <w:t>l’accelerazione</w:t>
      </w:r>
      <w:r>
        <w:rPr>
          <w:color w:val="231F20"/>
          <w:spacing w:val="-50"/>
          <w:w w:val="105"/>
        </w:rPr>
        <w:t> </w:t>
      </w:r>
      <w:r>
        <w:rPr>
          <w:color w:val="231F20"/>
          <w:w w:val="105"/>
        </w:rPr>
        <w:t>della</w:t>
      </w:r>
      <w:r>
        <w:rPr>
          <w:color w:val="231F20"/>
          <w:spacing w:val="-50"/>
          <w:w w:val="105"/>
        </w:rPr>
        <w:t> </w:t>
      </w:r>
      <w:r>
        <w:rPr>
          <w:color w:val="231F20"/>
          <w:w w:val="105"/>
        </w:rPr>
        <w:t>globalizzazione.</w:t>
      </w:r>
    </w:p>
    <w:p>
      <w:pPr>
        <w:pStyle w:val="BodyText"/>
        <w:rPr>
          <w:sz w:val="20"/>
        </w:rPr>
      </w:pPr>
    </w:p>
    <w:p>
      <w:pPr>
        <w:pStyle w:val="BodyText"/>
        <w:spacing w:before="9"/>
        <w:rPr>
          <w:sz w:val="13"/>
        </w:rPr>
      </w:pPr>
      <w:r>
        <w:rPr/>
        <w:pict>
          <v:line style="position:absolute;mso-position-horizontal-relative:page;mso-position-vertical-relative:paragraph;z-index:11368;mso-wrap-distance-left:0;mso-wrap-distance-right:0" from="65.196899pt,10.436672pt" to="178.582899pt,10.436672pt" stroked="true" strokeweight=".3pt" strokecolor="#231f20">
            <w10:wrap type="topAndBottom"/>
          </v:line>
        </w:pict>
      </w:r>
    </w:p>
    <w:p>
      <w:pPr>
        <w:spacing w:before="10"/>
        <w:ind w:left="103" w:right="0" w:firstLine="0"/>
        <w:jc w:val="left"/>
        <w:rPr>
          <w:rFonts w:ascii="Calibri"/>
          <w:sz w:val="17"/>
        </w:rPr>
      </w:pPr>
      <w:r>
        <w:rPr>
          <w:rFonts w:ascii="Calibri"/>
          <w:color w:val="231F20"/>
          <w:position w:val="6"/>
          <w:sz w:val="10"/>
        </w:rPr>
        <w:t>21 </w:t>
      </w:r>
      <w:r>
        <w:rPr>
          <w:rFonts w:ascii="Calibri"/>
          <w:color w:val="231F20"/>
          <w:sz w:val="17"/>
        </w:rPr>
        <w:t>F. Fukuyama, </w:t>
      </w:r>
      <w:r>
        <w:rPr>
          <w:rFonts w:ascii="Calibri"/>
          <w:i/>
          <w:color w:val="231F20"/>
          <w:sz w:val="17"/>
        </w:rPr>
        <w:t>The End of History and the Last Man</w:t>
      </w:r>
      <w:r>
        <w:rPr>
          <w:rFonts w:ascii="Calibri"/>
          <w:color w:val="231F20"/>
          <w:sz w:val="17"/>
        </w:rPr>
        <w:t>, New York, The Free Press, 1992, p. 136.</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4008"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68</w:t>
        <w:tab/>
      </w:r>
      <w:r>
        <w:rPr>
          <w:rFonts w:ascii="Calibri" w:hAnsi="Calibri"/>
          <w:color w:val="6D6E71"/>
          <w:w w:val="105"/>
          <w:sz w:val="16"/>
        </w:rPr>
        <w:t>María</w:t>
      </w:r>
      <w:r>
        <w:rPr>
          <w:rFonts w:ascii="Calibri" w:hAnsi="Calibri"/>
          <w:color w:val="6D6E71"/>
          <w:spacing w:val="-19"/>
          <w:w w:val="105"/>
          <w:sz w:val="16"/>
        </w:rPr>
        <w:t> </w:t>
      </w:r>
      <w:r>
        <w:rPr>
          <w:rFonts w:ascii="Calibri" w:hAnsi="Calibri"/>
          <w:color w:val="6D6E71"/>
          <w:w w:val="105"/>
          <w:sz w:val="16"/>
        </w:rPr>
        <w:t>Luisa</w:t>
      </w:r>
      <w:r>
        <w:rPr>
          <w:rFonts w:ascii="Calibri" w:hAnsi="Calibri"/>
          <w:color w:val="6D6E71"/>
          <w:spacing w:val="-19"/>
          <w:w w:val="105"/>
          <w:sz w:val="16"/>
        </w:rPr>
        <w:t> </w:t>
      </w:r>
      <w:r>
        <w:rPr>
          <w:rFonts w:ascii="Calibri" w:hAnsi="Calibri"/>
          <w:color w:val="6D6E71"/>
          <w:w w:val="105"/>
          <w:sz w:val="16"/>
        </w:rPr>
        <w:t>Bacarlett</w:t>
      </w:r>
      <w:r>
        <w:rPr>
          <w:rFonts w:ascii="Calibri" w:hAnsi="Calibri"/>
          <w:color w:val="6D6E71"/>
          <w:spacing w:val="-19"/>
          <w:w w:val="105"/>
          <w:sz w:val="16"/>
        </w:rPr>
        <w:t> </w:t>
      </w:r>
      <w:r>
        <w:rPr>
          <w:rFonts w:ascii="Calibri" w:hAnsi="Calibri"/>
          <w:color w:val="6D6E71"/>
          <w:w w:val="105"/>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717" w:right="0" w:firstLine="0"/>
        <w:jc w:val="left"/>
        <w:rPr>
          <w:rFonts w:ascii="Trebuchet MS"/>
          <w:sz w:val="20"/>
        </w:rPr>
      </w:pPr>
      <w:r>
        <w:rPr/>
        <w:pict>
          <v:group style="position:absolute;margin-left:383.821014pt;margin-top:-25.479271pt;width:8.65pt;height:41pt;mso-position-horizontal-relative:page;mso-position-vertical-relative:paragraph;z-index:-16396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color w:val="6D6E71"/>
          <w:w w:val="95"/>
          <w:sz w:val="14"/>
        </w:rPr>
        <w:t>NATURALIZZARE</w:t>
      </w:r>
      <w:r>
        <w:rPr>
          <w:rFonts w:ascii="Lucida Sans Unicode"/>
          <w:color w:val="6D6E71"/>
          <w:spacing w:val="-18"/>
          <w:w w:val="95"/>
          <w:sz w:val="14"/>
        </w:rPr>
        <w:t> </w:t>
      </w:r>
      <w:r>
        <w:rPr>
          <w:rFonts w:ascii="Lucida Sans Unicode"/>
          <w:color w:val="6D6E71"/>
          <w:w w:val="95"/>
          <w:sz w:val="14"/>
        </w:rPr>
        <w:t>I</w:t>
      </w:r>
      <w:r>
        <w:rPr>
          <w:rFonts w:ascii="Lucida Sans Unicode"/>
          <w:color w:val="6D6E71"/>
          <w:spacing w:val="-18"/>
          <w:w w:val="95"/>
          <w:sz w:val="14"/>
        </w:rPr>
        <w:t> </w:t>
      </w:r>
      <w:r>
        <w:rPr>
          <w:rFonts w:ascii="Lucida Sans Unicode"/>
          <w:color w:val="6D6E71"/>
          <w:w w:val="95"/>
          <w:sz w:val="14"/>
        </w:rPr>
        <w:t>PARADOSSI:</w:t>
      </w:r>
      <w:r>
        <w:rPr>
          <w:rFonts w:ascii="Lucida Sans Unicode"/>
          <w:color w:val="6D6E71"/>
          <w:spacing w:val="-18"/>
          <w:w w:val="95"/>
          <w:sz w:val="14"/>
        </w:rPr>
        <w:t> </w:t>
      </w:r>
      <w:r>
        <w:rPr>
          <w:rFonts w:ascii="Lucida Sans Unicode"/>
          <w:color w:val="6D6E71"/>
          <w:w w:val="95"/>
          <w:sz w:val="14"/>
        </w:rPr>
        <w:t>UN</w:t>
      </w:r>
      <w:r>
        <w:rPr>
          <w:rFonts w:ascii="Lucida Sans Unicode"/>
          <w:color w:val="6D6E71"/>
          <w:spacing w:val="-18"/>
          <w:w w:val="95"/>
          <w:sz w:val="14"/>
        </w:rPr>
        <w:t> </w:t>
      </w:r>
      <w:r>
        <w:rPr>
          <w:rFonts w:ascii="Lucida Sans Unicode"/>
          <w:color w:val="6D6E71"/>
          <w:w w:val="95"/>
          <w:sz w:val="14"/>
        </w:rPr>
        <w:t>APPROCCIO</w:t>
      </w:r>
      <w:r>
        <w:rPr>
          <w:rFonts w:ascii="Lucida Sans Unicode"/>
          <w:color w:val="6D6E71"/>
          <w:spacing w:val="-18"/>
          <w:w w:val="95"/>
          <w:sz w:val="14"/>
        </w:rPr>
        <w:t> </w:t>
      </w:r>
      <w:r>
        <w:rPr>
          <w:rFonts w:ascii="Lucida Sans Unicode"/>
          <w:color w:val="6D6E71"/>
          <w:w w:val="95"/>
          <w:sz w:val="14"/>
        </w:rPr>
        <w:t>ALLA</w:t>
      </w:r>
      <w:r>
        <w:rPr>
          <w:rFonts w:ascii="Lucida Sans Unicode"/>
          <w:color w:val="6D6E71"/>
          <w:spacing w:val="-18"/>
          <w:w w:val="95"/>
          <w:sz w:val="14"/>
        </w:rPr>
        <w:t> </w:t>
      </w:r>
      <w:r>
        <w:rPr>
          <w:rFonts w:ascii="Lucida Sans Unicode"/>
          <w:color w:val="6D6E71"/>
          <w:w w:val="95"/>
          <w:sz w:val="14"/>
        </w:rPr>
        <w:t>GLOBALIZZAZIONE</w:t>
      </w:r>
      <w:r>
        <w:rPr>
          <w:rFonts w:ascii="Lucida Sans Unicode"/>
          <w:color w:val="6D6E71"/>
          <w:spacing w:val="-18"/>
          <w:w w:val="95"/>
          <w:sz w:val="14"/>
        </w:rPr>
        <w:t> </w:t>
      </w:r>
      <w:r>
        <w:rPr>
          <w:rFonts w:ascii="Lucida Sans Unicode"/>
          <w:color w:val="6D6E71"/>
          <w:w w:val="95"/>
          <w:sz w:val="14"/>
        </w:rPr>
        <w:t>DA</w:t>
      </w:r>
      <w:r>
        <w:rPr>
          <w:rFonts w:ascii="Lucida Sans Unicode"/>
          <w:color w:val="6D6E71"/>
          <w:spacing w:val="-18"/>
          <w:w w:val="95"/>
          <w:sz w:val="14"/>
        </w:rPr>
        <w:t> </w:t>
      </w:r>
      <w:r>
        <w:rPr>
          <w:rFonts w:ascii="Lucida Sans Unicode"/>
          <w:color w:val="6D6E71"/>
          <w:w w:val="95"/>
          <w:sz w:val="14"/>
        </w:rPr>
        <w:t>GILLES</w:t>
      </w:r>
      <w:r>
        <w:rPr>
          <w:rFonts w:ascii="Lucida Sans Unicode"/>
          <w:color w:val="6D6E71"/>
          <w:spacing w:val="-18"/>
          <w:w w:val="95"/>
          <w:sz w:val="14"/>
        </w:rPr>
        <w:t> </w:t>
      </w:r>
      <w:r>
        <w:rPr>
          <w:rFonts w:ascii="Lucida Sans Unicode"/>
          <w:color w:val="6D6E71"/>
          <w:w w:val="95"/>
          <w:sz w:val="14"/>
        </w:rPr>
        <w:t>DELEUZE</w:t>
      </w:r>
      <w:r>
        <w:rPr>
          <w:rFonts w:ascii="Trebuchet MS"/>
          <w:color w:val="414042"/>
          <w:w w:val="95"/>
          <w:position w:val="-3"/>
          <w:sz w:val="20"/>
        </w:rPr>
        <w:tab/>
        <w:t>69</w:t>
      </w:r>
    </w:p>
    <w:p>
      <w:pPr>
        <w:pStyle w:val="BodyText"/>
        <w:rPr>
          <w:rFonts w:ascii="Trebuchet MS"/>
          <w:sz w:val="20"/>
        </w:rPr>
      </w:pPr>
    </w:p>
    <w:p>
      <w:pPr>
        <w:pStyle w:val="BodyText"/>
        <w:rPr>
          <w:rFonts w:ascii="Trebuchet MS"/>
          <w:sz w:val="20"/>
        </w:rPr>
      </w:pPr>
    </w:p>
    <w:p>
      <w:pPr>
        <w:pStyle w:val="BodyText"/>
        <w:spacing w:line="247" w:lineRule="auto" w:before="156"/>
        <w:ind w:left="117" w:right="117"/>
        <w:jc w:val="both"/>
      </w:pPr>
      <w:r>
        <w:rPr>
          <w:color w:val="231F20"/>
          <w:spacing w:val="-3"/>
          <w:w w:val="105"/>
        </w:rPr>
        <w:t>L’esposizione</w:t>
      </w:r>
      <w:r>
        <w:rPr>
          <w:color w:val="231F20"/>
          <w:spacing w:val="-34"/>
          <w:w w:val="105"/>
        </w:rPr>
        <w:t> </w:t>
      </w:r>
      <w:r>
        <w:rPr>
          <w:color w:val="231F20"/>
          <w:w w:val="105"/>
        </w:rPr>
        <w:t>di</w:t>
      </w:r>
      <w:r>
        <w:rPr>
          <w:color w:val="231F20"/>
          <w:spacing w:val="-34"/>
          <w:w w:val="105"/>
        </w:rPr>
        <w:t> </w:t>
      </w:r>
      <w:r>
        <w:rPr>
          <w:color w:val="231F20"/>
          <w:w w:val="105"/>
        </w:rPr>
        <w:t>gesti</w:t>
      </w:r>
      <w:r>
        <w:rPr>
          <w:color w:val="231F20"/>
          <w:spacing w:val="-35"/>
          <w:w w:val="105"/>
        </w:rPr>
        <w:t> </w:t>
      </w:r>
      <w:r>
        <w:rPr>
          <w:color w:val="231F20"/>
          <w:w w:val="105"/>
        </w:rPr>
        <w:t>che</w:t>
      </w:r>
      <w:r>
        <w:rPr>
          <w:color w:val="231F20"/>
          <w:spacing w:val="-34"/>
          <w:w w:val="105"/>
        </w:rPr>
        <w:t> </w:t>
      </w:r>
      <w:r>
        <w:rPr>
          <w:color w:val="231F20"/>
          <w:w w:val="105"/>
        </w:rPr>
        <w:t>difendono</w:t>
      </w:r>
      <w:r>
        <w:rPr>
          <w:color w:val="231F20"/>
          <w:spacing w:val="-35"/>
          <w:w w:val="105"/>
        </w:rPr>
        <w:t> </w:t>
      </w:r>
      <w:r>
        <w:rPr>
          <w:color w:val="231F20"/>
          <w:w w:val="105"/>
        </w:rPr>
        <w:t>il</w:t>
      </w:r>
      <w:r>
        <w:rPr>
          <w:color w:val="231F20"/>
          <w:spacing w:val="-35"/>
          <w:w w:val="105"/>
        </w:rPr>
        <w:t> </w:t>
      </w:r>
      <w:r>
        <w:rPr>
          <w:color w:val="231F20"/>
          <w:w w:val="105"/>
        </w:rPr>
        <w:t>particolare,</w:t>
      </w:r>
      <w:r>
        <w:rPr>
          <w:color w:val="231F20"/>
          <w:spacing w:val="-34"/>
          <w:w w:val="105"/>
        </w:rPr>
        <w:t> </w:t>
      </w:r>
      <w:r>
        <w:rPr>
          <w:color w:val="231F20"/>
          <w:w w:val="105"/>
        </w:rPr>
        <w:t>la</w:t>
      </w:r>
      <w:r>
        <w:rPr>
          <w:color w:val="231F20"/>
          <w:spacing w:val="-35"/>
          <w:w w:val="105"/>
        </w:rPr>
        <w:t> </w:t>
      </w:r>
      <w:r>
        <w:rPr>
          <w:color w:val="231F20"/>
          <w:w w:val="105"/>
        </w:rPr>
        <w:t>differenza</w:t>
      </w:r>
      <w:r>
        <w:rPr>
          <w:color w:val="231F20"/>
          <w:spacing w:val="-34"/>
          <w:w w:val="105"/>
        </w:rPr>
        <w:t> </w:t>
      </w:r>
      <w:r>
        <w:rPr>
          <w:color w:val="231F20"/>
          <w:w w:val="105"/>
        </w:rPr>
        <w:t>o</w:t>
      </w:r>
      <w:r>
        <w:rPr>
          <w:color w:val="231F20"/>
          <w:spacing w:val="-35"/>
          <w:w w:val="105"/>
        </w:rPr>
        <w:t> </w:t>
      </w:r>
      <w:r>
        <w:rPr>
          <w:color w:val="231F20"/>
          <w:w w:val="105"/>
        </w:rPr>
        <w:t>quello</w:t>
      </w:r>
      <w:r>
        <w:rPr>
          <w:color w:val="231F20"/>
          <w:spacing w:val="-35"/>
          <w:w w:val="105"/>
        </w:rPr>
        <w:t> </w:t>
      </w:r>
      <w:r>
        <w:rPr>
          <w:color w:val="231F20"/>
          <w:w w:val="105"/>
        </w:rPr>
        <w:t>che distingue</w:t>
      </w:r>
      <w:r>
        <w:rPr>
          <w:color w:val="231F20"/>
          <w:spacing w:val="-54"/>
          <w:w w:val="105"/>
        </w:rPr>
        <w:t> </w:t>
      </w:r>
      <w:r>
        <w:rPr>
          <w:color w:val="231F20"/>
          <w:w w:val="105"/>
        </w:rPr>
        <w:t>alle</w:t>
      </w:r>
      <w:r>
        <w:rPr>
          <w:color w:val="231F20"/>
          <w:spacing w:val="-54"/>
          <w:w w:val="105"/>
        </w:rPr>
        <w:t> </w:t>
      </w:r>
      <w:r>
        <w:rPr>
          <w:color w:val="231F20"/>
          <w:w w:val="105"/>
        </w:rPr>
        <w:t>comunità</w:t>
      </w:r>
      <w:r>
        <w:rPr>
          <w:color w:val="231F20"/>
          <w:spacing w:val="-54"/>
          <w:w w:val="105"/>
        </w:rPr>
        <w:t> </w:t>
      </w:r>
      <w:r>
        <w:rPr>
          <w:color w:val="231F20"/>
          <w:w w:val="105"/>
        </w:rPr>
        <w:t>concrete,</w:t>
      </w:r>
      <w:r>
        <w:rPr>
          <w:color w:val="231F20"/>
          <w:spacing w:val="-54"/>
          <w:w w:val="105"/>
        </w:rPr>
        <w:t> </w:t>
      </w:r>
      <w:r>
        <w:rPr>
          <w:color w:val="231F20"/>
          <w:w w:val="105"/>
        </w:rPr>
        <w:t>di</w:t>
      </w:r>
      <w:r>
        <w:rPr>
          <w:color w:val="231F20"/>
          <w:spacing w:val="-54"/>
          <w:w w:val="105"/>
        </w:rPr>
        <w:t> </w:t>
      </w:r>
      <w:r>
        <w:rPr>
          <w:color w:val="231F20"/>
          <w:w w:val="105"/>
        </w:rPr>
        <w:t>fronte</w:t>
      </w:r>
      <w:r>
        <w:rPr>
          <w:color w:val="231F20"/>
          <w:spacing w:val="-54"/>
          <w:w w:val="105"/>
        </w:rPr>
        <w:t> </w:t>
      </w:r>
      <w:r>
        <w:rPr>
          <w:color w:val="231F20"/>
          <w:w w:val="105"/>
        </w:rPr>
        <w:t>all’affanno</w:t>
      </w:r>
      <w:r>
        <w:rPr>
          <w:color w:val="231F20"/>
          <w:spacing w:val="-54"/>
          <w:w w:val="105"/>
        </w:rPr>
        <w:t> </w:t>
      </w:r>
      <w:r>
        <w:rPr>
          <w:color w:val="231F20"/>
          <w:w w:val="105"/>
        </w:rPr>
        <w:t>unificante</w:t>
      </w:r>
      <w:r>
        <w:rPr>
          <w:color w:val="231F20"/>
          <w:spacing w:val="-54"/>
          <w:w w:val="105"/>
        </w:rPr>
        <w:t> </w:t>
      </w:r>
      <w:r>
        <w:rPr>
          <w:color w:val="231F20"/>
          <w:w w:val="105"/>
        </w:rPr>
        <w:t>dei</w:t>
      </w:r>
      <w:r>
        <w:rPr>
          <w:color w:val="231F20"/>
          <w:spacing w:val="-54"/>
          <w:w w:val="105"/>
        </w:rPr>
        <w:t> </w:t>
      </w:r>
      <w:r>
        <w:rPr>
          <w:color w:val="231F20"/>
          <w:w w:val="105"/>
        </w:rPr>
        <w:t>processi globali,</w:t>
      </w:r>
      <w:r>
        <w:rPr>
          <w:color w:val="231F20"/>
          <w:spacing w:val="-21"/>
          <w:w w:val="105"/>
        </w:rPr>
        <w:t> </w:t>
      </w:r>
      <w:r>
        <w:rPr>
          <w:color w:val="231F20"/>
          <w:w w:val="105"/>
        </w:rPr>
        <w:t>è</w:t>
      </w:r>
      <w:r>
        <w:rPr>
          <w:color w:val="231F20"/>
          <w:spacing w:val="-21"/>
          <w:w w:val="105"/>
        </w:rPr>
        <w:t> </w:t>
      </w:r>
      <w:r>
        <w:rPr>
          <w:color w:val="231F20"/>
          <w:w w:val="105"/>
        </w:rPr>
        <w:t>una</w:t>
      </w:r>
      <w:r>
        <w:rPr>
          <w:color w:val="231F20"/>
          <w:spacing w:val="-21"/>
          <w:w w:val="105"/>
        </w:rPr>
        <w:t> </w:t>
      </w:r>
      <w:r>
        <w:rPr>
          <w:color w:val="231F20"/>
          <w:w w:val="105"/>
        </w:rPr>
        <w:t>caratteristica</w:t>
      </w:r>
      <w:r>
        <w:rPr>
          <w:color w:val="231F20"/>
          <w:spacing w:val="-21"/>
          <w:w w:val="105"/>
        </w:rPr>
        <w:t> </w:t>
      </w:r>
      <w:r>
        <w:rPr>
          <w:color w:val="231F20"/>
          <w:w w:val="105"/>
        </w:rPr>
        <w:t>dei</w:t>
      </w:r>
      <w:r>
        <w:rPr>
          <w:color w:val="231F20"/>
          <w:spacing w:val="-21"/>
          <w:w w:val="105"/>
        </w:rPr>
        <w:t> </w:t>
      </w:r>
      <w:r>
        <w:rPr>
          <w:color w:val="231F20"/>
          <w:w w:val="105"/>
        </w:rPr>
        <w:t>nostri</w:t>
      </w:r>
      <w:r>
        <w:rPr>
          <w:color w:val="231F20"/>
          <w:spacing w:val="-21"/>
          <w:w w:val="105"/>
        </w:rPr>
        <w:t> </w:t>
      </w:r>
      <w:r>
        <w:rPr>
          <w:color w:val="231F20"/>
          <w:w w:val="105"/>
        </w:rPr>
        <w:t>tempi;</w:t>
      </w:r>
      <w:r>
        <w:rPr>
          <w:color w:val="231F20"/>
          <w:spacing w:val="-21"/>
          <w:w w:val="105"/>
        </w:rPr>
        <w:t> </w:t>
      </w:r>
      <w:r>
        <w:rPr>
          <w:color w:val="231F20"/>
          <w:w w:val="105"/>
        </w:rPr>
        <w:t>comunque,</w:t>
      </w:r>
      <w:r>
        <w:rPr>
          <w:color w:val="231F20"/>
          <w:spacing w:val="-21"/>
          <w:w w:val="105"/>
        </w:rPr>
        <w:t> </w:t>
      </w:r>
      <w:r>
        <w:rPr>
          <w:color w:val="231F20"/>
          <w:w w:val="105"/>
        </w:rPr>
        <w:t>come</w:t>
      </w:r>
      <w:r>
        <w:rPr>
          <w:color w:val="231F20"/>
          <w:spacing w:val="-21"/>
          <w:w w:val="105"/>
        </w:rPr>
        <w:t> </w:t>
      </w:r>
      <w:r>
        <w:rPr>
          <w:color w:val="231F20"/>
          <w:w w:val="105"/>
        </w:rPr>
        <w:t>l’aveva</w:t>
      </w:r>
      <w:r>
        <w:rPr>
          <w:color w:val="231F20"/>
          <w:spacing w:val="-21"/>
          <w:w w:val="105"/>
        </w:rPr>
        <w:t> </w:t>
      </w:r>
      <w:r>
        <w:rPr>
          <w:color w:val="231F20"/>
          <w:w w:val="105"/>
        </w:rPr>
        <w:t>già annunziato</w:t>
      </w:r>
      <w:r>
        <w:rPr>
          <w:color w:val="231F20"/>
          <w:spacing w:val="-52"/>
          <w:w w:val="105"/>
        </w:rPr>
        <w:t> </w:t>
      </w:r>
      <w:r>
        <w:rPr>
          <w:color w:val="231F20"/>
          <w:w w:val="105"/>
        </w:rPr>
        <w:t>Benedict</w:t>
      </w:r>
      <w:r>
        <w:rPr>
          <w:color w:val="231F20"/>
          <w:spacing w:val="-52"/>
          <w:w w:val="105"/>
        </w:rPr>
        <w:t> </w:t>
      </w:r>
      <w:r>
        <w:rPr>
          <w:color w:val="231F20"/>
          <w:w w:val="105"/>
        </w:rPr>
        <w:t>Anderson,</w:t>
      </w:r>
      <w:r>
        <w:rPr>
          <w:color w:val="231F20"/>
          <w:spacing w:val="-52"/>
          <w:w w:val="105"/>
        </w:rPr>
        <w:t> </w:t>
      </w:r>
      <w:r>
        <w:rPr>
          <w:color w:val="231F20"/>
          <w:w w:val="105"/>
        </w:rPr>
        <w:t>buona</w:t>
      </w:r>
      <w:r>
        <w:rPr>
          <w:color w:val="231F20"/>
          <w:spacing w:val="-52"/>
          <w:w w:val="105"/>
        </w:rPr>
        <w:t> </w:t>
      </w:r>
      <w:r>
        <w:rPr>
          <w:color w:val="231F20"/>
          <w:w w:val="105"/>
        </w:rPr>
        <w:t>parte</w:t>
      </w:r>
      <w:r>
        <w:rPr>
          <w:color w:val="231F20"/>
          <w:spacing w:val="-52"/>
          <w:w w:val="105"/>
        </w:rPr>
        <w:t> </w:t>
      </w:r>
      <w:r>
        <w:rPr>
          <w:color w:val="231F20"/>
          <w:w w:val="105"/>
        </w:rPr>
        <w:t>di</w:t>
      </w:r>
      <w:r>
        <w:rPr>
          <w:color w:val="231F20"/>
          <w:spacing w:val="-52"/>
          <w:w w:val="105"/>
        </w:rPr>
        <w:t> </w:t>
      </w:r>
      <w:r>
        <w:rPr>
          <w:color w:val="231F20"/>
          <w:w w:val="105"/>
        </w:rPr>
        <w:t>questa</w:t>
      </w:r>
      <w:r>
        <w:rPr>
          <w:color w:val="231F20"/>
          <w:spacing w:val="-53"/>
          <w:w w:val="105"/>
        </w:rPr>
        <w:t> </w:t>
      </w:r>
      <w:r>
        <w:rPr>
          <w:rFonts w:ascii="Arial" w:hAnsi="Arial"/>
          <w:i/>
          <w:color w:val="231F20"/>
          <w:w w:val="105"/>
        </w:rPr>
        <w:t>nostalgia</w:t>
      </w:r>
      <w:r>
        <w:rPr>
          <w:rFonts w:ascii="Arial" w:hAnsi="Arial"/>
          <w:i/>
          <w:color w:val="231F20"/>
          <w:spacing w:val="-45"/>
          <w:w w:val="105"/>
        </w:rPr>
        <w:t> </w:t>
      </w:r>
      <w:r>
        <w:rPr>
          <w:rFonts w:ascii="Arial" w:hAnsi="Arial"/>
          <w:i/>
          <w:color w:val="231F20"/>
          <w:w w:val="105"/>
        </w:rPr>
        <w:t>dell’</w:t>
      </w:r>
      <w:r>
        <w:rPr>
          <w:rFonts w:ascii="Arial" w:hAnsi="Arial"/>
          <w:i/>
          <w:color w:val="231F20"/>
          <w:spacing w:val="-45"/>
          <w:w w:val="105"/>
        </w:rPr>
        <w:t> </w:t>
      </w:r>
      <w:r>
        <w:rPr>
          <w:rFonts w:ascii="Arial" w:hAnsi="Arial"/>
          <w:i/>
          <w:color w:val="231F20"/>
          <w:w w:val="105"/>
        </w:rPr>
        <w:t>origine </w:t>
      </w:r>
      <w:r>
        <w:rPr>
          <w:color w:val="231F20"/>
          <w:w w:val="105"/>
        </w:rPr>
        <w:t>è</w:t>
      </w:r>
      <w:r>
        <w:rPr>
          <w:color w:val="231F20"/>
          <w:spacing w:val="-33"/>
          <w:w w:val="105"/>
        </w:rPr>
        <w:t> </w:t>
      </w:r>
      <w:r>
        <w:rPr>
          <w:color w:val="231F20"/>
          <w:w w:val="105"/>
        </w:rPr>
        <w:t>stata</w:t>
      </w:r>
      <w:r>
        <w:rPr>
          <w:color w:val="231F20"/>
          <w:spacing w:val="-33"/>
          <w:w w:val="105"/>
        </w:rPr>
        <w:t> </w:t>
      </w:r>
      <w:r>
        <w:rPr>
          <w:color w:val="231F20"/>
          <w:w w:val="105"/>
        </w:rPr>
        <w:t>prodotta</w:t>
      </w:r>
      <w:r>
        <w:rPr>
          <w:color w:val="231F20"/>
          <w:spacing w:val="-33"/>
          <w:w w:val="105"/>
        </w:rPr>
        <w:t> </w:t>
      </w:r>
      <w:r>
        <w:rPr>
          <w:color w:val="231F20"/>
          <w:w w:val="105"/>
        </w:rPr>
        <w:t>dalla</w:t>
      </w:r>
      <w:r>
        <w:rPr>
          <w:color w:val="231F20"/>
          <w:spacing w:val="-33"/>
          <w:w w:val="105"/>
        </w:rPr>
        <w:t> </w:t>
      </w:r>
      <w:r>
        <w:rPr>
          <w:color w:val="231F20"/>
          <w:w w:val="105"/>
        </w:rPr>
        <w:t>propria</w:t>
      </w:r>
      <w:r>
        <w:rPr>
          <w:color w:val="231F20"/>
          <w:spacing w:val="-33"/>
          <w:w w:val="105"/>
        </w:rPr>
        <w:t> </w:t>
      </w:r>
      <w:r>
        <w:rPr>
          <w:color w:val="231F20"/>
          <w:w w:val="105"/>
        </w:rPr>
        <w:t>dinamica</w:t>
      </w:r>
      <w:r>
        <w:rPr>
          <w:color w:val="231F20"/>
          <w:spacing w:val="-33"/>
          <w:w w:val="105"/>
        </w:rPr>
        <w:t> </w:t>
      </w:r>
      <w:r>
        <w:rPr>
          <w:color w:val="231F20"/>
          <w:w w:val="105"/>
        </w:rPr>
        <w:t>globale.</w:t>
      </w:r>
      <w:r>
        <w:rPr>
          <w:color w:val="231F20"/>
          <w:spacing w:val="-33"/>
          <w:w w:val="105"/>
        </w:rPr>
        <w:t> </w:t>
      </w:r>
      <w:r>
        <w:rPr>
          <w:color w:val="231F20"/>
          <w:w w:val="105"/>
        </w:rPr>
        <w:t>Quei</w:t>
      </w:r>
      <w:r>
        <w:rPr>
          <w:color w:val="231F20"/>
          <w:spacing w:val="-33"/>
          <w:w w:val="105"/>
        </w:rPr>
        <w:t> </w:t>
      </w:r>
      <w:r>
        <w:rPr>
          <w:color w:val="231F20"/>
          <w:w w:val="105"/>
        </w:rPr>
        <w:t>paradisi</w:t>
      </w:r>
      <w:r>
        <w:rPr>
          <w:color w:val="231F20"/>
          <w:spacing w:val="-33"/>
          <w:w w:val="105"/>
        </w:rPr>
        <w:t> </w:t>
      </w:r>
      <w:r>
        <w:rPr>
          <w:color w:val="231F20"/>
          <w:w w:val="105"/>
        </w:rPr>
        <w:t>perduti,</w:t>
      </w:r>
      <w:r>
        <w:rPr>
          <w:color w:val="231F20"/>
          <w:spacing w:val="-33"/>
          <w:w w:val="105"/>
        </w:rPr>
        <w:t> </w:t>
      </w:r>
      <w:r>
        <w:rPr>
          <w:color w:val="231F20"/>
          <w:w w:val="105"/>
        </w:rPr>
        <w:t>quel </w:t>
      </w:r>
      <w:r>
        <w:rPr>
          <w:color w:val="231F20"/>
          <w:spacing w:val="-3"/>
          <w:w w:val="105"/>
        </w:rPr>
        <w:t>passato</w:t>
      </w:r>
      <w:r>
        <w:rPr>
          <w:color w:val="231F20"/>
          <w:spacing w:val="-44"/>
          <w:w w:val="105"/>
        </w:rPr>
        <w:t> </w:t>
      </w:r>
      <w:r>
        <w:rPr>
          <w:color w:val="231F20"/>
          <w:w w:val="105"/>
        </w:rPr>
        <w:t>che</w:t>
      </w:r>
      <w:r>
        <w:rPr>
          <w:color w:val="231F20"/>
          <w:spacing w:val="-44"/>
          <w:w w:val="105"/>
        </w:rPr>
        <w:t> </w:t>
      </w:r>
      <w:r>
        <w:rPr>
          <w:color w:val="231F20"/>
          <w:w w:val="105"/>
        </w:rPr>
        <w:t>non</w:t>
      </w:r>
      <w:r>
        <w:rPr>
          <w:color w:val="231F20"/>
          <w:spacing w:val="-44"/>
          <w:w w:val="105"/>
        </w:rPr>
        <w:t> </w:t>
      </w:r>
      <w:r>
        <w:rPr>
          <w:color w:val="231F20"/>
          <w:spacing w:val="-3"/>
          <w:w w:val="105"/>
        </w:rPr>
        <w:t>tornerà,</w:t>
      </w:r>
      <w:r>
        <w:rPr>
          <w:color w:val="231F20"/>
          <w:spacing w:val="-44"/>
          <w:w w:val="105"/>
        </w:rPr>
        <w:t> </w:t>
      </w:r>
      <w:r>
        <w:rPr>
          <w:color w:val="231F20"/>
          <w:w w:val="105"/>
        </w:rPr>
        <w:t>in</w:t>
      </w:r>
      <w:r>
        <w:rPr>
          <w:color w:val="231F20"/>
          <w:spacing w:val="-44"/>
          <w:w w:val="105"/>
        </w:rPr>
        <w:t> </w:t>
      </w:r>
      <w:r>
        <w:rPr>
          <w:color w:val="231F20"/>
          <w:spacing w:val="-3"/>
          <w:w w:val="105"/>
        </w:rPr>
        <w:t>realtà</w:t>
      </w:r>
      <w:r>
        <w:rPr>
          <w:color w:val="231F20"/>
          <w:spacing w:val="-44"/>
          <w:w w:val="105"/>
        </w:rPr>
        <w:t> </w:t>
      </w:r>
      <w:r>
        <w:rPr>
          <w:color w:val="231F20"/>
          <w:w w:val="105"/>
        </w:rPr>
        <w:t>non</w:t>
      </w:r>
      <w:r>
        <w:rPr>
          <w:color w:val="231F20"/>
          <w:spacing w:val="-42"/>
          <w:w w:val="105"/>
        </w:rPr>
        <w:t> </w:t>
      </w:r>
      <w:r>
        <w:rPr>
          <w:color w:val="231F20"/>
          <w:w w:val="105"/>
        </w:rPr>
        <w:t>è</w:t>
      </w:r>
      <w:r>
        <w:rPr>
          <w:color w:val="231F20"/>
          <w:spacing w:val="-44"/>
          <w:w w:val="105"/>
        </w:rPr>
        <w:t> </w:t>
      </w:r>
      <w:r>
        <w:rPr>
          <w:color w:val="231F20"/>
          <w:w w:val="105"/>
        </w:rPr>
        <w:t>mai</w:t>
      </w:r>
      <w:r>
        <w:rPr>
          <w:color w:val="231F20"/>
          <w:spacing w:val="-44"/>
          <w:w w:val="105"/>
        </w:rPr>
        <w:t> </w:t>
      </w:r>
      <w:r>
        <w:rPr>
          <w:color w:val="231F20"/>
          <w:spacing w:val="-3"/>
          <w:w w:val="105"/>
        </w:rPr>
        <w:t>esistito</w:t>
      </w:r>
      <w:r>
        <w:rPr>
          <w:color w:val="231F20"/>
          <w:spacing w:val="-44"/>
          <w:w w:val="105"/>
        </w:rPr>
        <w:t> </w:t>
      </w:r>
      <w:r>
        <w:rPr>
          <w:color w:val="231F20"/>
          <w:spacing w:val="-3"/>
          <w:w w:val="105"/>
        </w:rPr>
        <w:t>come</w:t>
      </w:r>
      <w:r>
        <w:rPr>
          <w:color w:val="231F20"/>
          <w:spacing w:val="-44"/>
          <w:w w:val="105"/>
        </w:rPr>
        <w:t> </w:t>
      </w:r>
      <w:r>
        <w:rPr>
          <w:color w:val="231F20"/>
          <w:spacing w:val="-3"/>
          <w:w w:val="105"/>
        </w:rPr>
        <w:t>tale,</w:t>
      </w:r>
      <w:r>
        <w:rPr>
          <w:color w:val="231F20"/>
          <w:spacing w:val="-44"/>
          <w:w w:val="105"/>
        </w:rPr>
        <w:t> </w:t>
      </w:r>
      <w:r>
        <w:rPr>
          <w:color w:val="231F20"/>
          <w:w w:val="105"/>
        </w:rPr>
        <w:t>ma</w:t>
      </w:r>
      <w:r>
        <w:rPr>
          <w:color w:val="231F20"/>
          <w:spacing w:val="-43"/>
          <w:w w:val="105"/>
        </w:rPr>
        <w:t> </w:t>
      </w:r>
      <w:r>
        <w:rPr>
          <w:color w:val="231F20"/>
          <w:w w:val="105"/>
        </w:rPr>
        <w:t>è</w:t>
      </w:r>
      <w:r>
        <w:rPr>
          <w:color w:val="231F20"/>
          <w:spacing w:val="-44"/>
          <w:w w:val="105"/>
        </w:rPr>
        <w:t> </w:t>
      </w:r>
      <w:r>
        <w:rPr>
          <w:color w:val="231F20"/>
          <w:spacing w:val="-3"/>
          <w:w w:val="105"/>
        </w:rPr>
        <w:t>piuttosto </w:t>
      </w:r>
      <w:r>
        <w:rPr>
          <w:color w:val="231F20"/>
          <w:w w:val="105"/>
        </w:rPr>
        <w:t>prodotto</w:t>
      </w:r>
      <w:r>
        <w:rPr>
          <w:color w:val="231F20"/>
          <w:spacing w:val="-21"/>
          <w:w w:val="105"/>
        </w:rPr>
        <w:t> </w:t>
      </w:r>
      <w:r>
        <w:rPr>
          <w:color w:val="231F20"/>
          <w:w w:val="105"/>
        </w:rPr>
        <w:t>di</w:t>
      </w:r>
      <w:r>
        <w:rPr>
          <w:color w:val="231F20"/>
          <w:spacing w:val="-21"/>
          <w:w w:val="105"/>
        </w:rPr>
        <w:t> </w:t>
      </w:r>
      <w:r>
        <w:rPr>
          <w:color w:val="231F20"/>
          <w:w w:val="105"/>
        </w:rPr>
        <w:t>un’idealizzazione</w:t>
      </w:r>
      <w:r>
        <w:rPr>
          <w:color w:val="231F20"/>
          <w:spacing w:val="-21"/>
          <w:w w:val="105"/>
        </w:rPr>
        <w:t> </w:t>
      </w:r>
      <w:r>
        <w:rPr>
          <w:color w:val="231F20"/>
          <w:w w:val="105"/>
        </w:rPr>
        <w:t>che</w:t>
      </w:r>
      <w:r>
        <w:rPr>
          <w:color w:val="231F20"/>
          <w:spacing w:val="-21"/>
          <w:w w:val="105"/>
        </w:rPr>
        <w:t> </w:t>
      </w:r>
      <w:r>
        <w:rPr>
          <w:color w:val="231F20"/>
          <w:w w:val="105"/>
        </w:rPr>
        <w:t>si</w:t>
      </w:r>
      <w:r>
        <w:rPr>
          <w:color w:val="231F20"/>
          <w:spacing w:val="-21"/>
          <w:w w:val="105"/>
        </w:rPr>
        <w:t> </w:t>
      </w:r>
      <w:r>
        <w:rPr>
          <w:color w:val="231F20"/>
          <w:w w:val="105"/>
        </w:rPr>
        <w:t>è</w:t>
      </w:r>
      <w:r>
        <w:rPr>
          <w:color w:val="231F20"/>
          <w:spacing w:val="-21"/>
          <w:w w:val="105"/>
        </w:rPr>
        <w:t> </w:t>
      </w:r>
      <w:r>
        <w:rPr>
          <w:color w:val="231F20"/>
          <w:w w:val="105"/>
        </w:rPr>
        <w:t>esacerbata</w:t>
      </w:r>
      <w:r>
        <w:rPr>
          <w:color w:val="231F20"/>
          <w:spacing w:val="-21"/>
          <w:w w:val="105"/>
        </w:rPr>
        <w:t> </w:t>
      </w:r>
      <w:r>
        <w:rPr>
          <w:color w:val="231F20"/>
          <w:w w:val="105"/>
        </w:rPr>
        <w:t>con</w:t>
      </w:r>
      <w:r>
        <w:rPr>
          <w:color w:val="231F20"/>
          <w:spacing w:val="-21"/>
          <w:w w:val="105"/>
        </w:rPr>
        <w:t> </w:t>
      </w:r>
      <w:r>
        <w:rPr>
          <w:color w:val="231F20"/>
          <w:w w:val="105"/>
        </w:rPr>
        <w:t>l’accelerazione</w:t>
      </w:r>
      <w:r>
        <w:rPr>
          <w:color w:val="231F20"/>
          <w:spacing w:val="-21"/>
          <w:w w:val="105"/>
        </w:rPr>
        <w:t> </w:t>
      </w:r>
      <w:r>
        <w:rPr>
          <w:color w:val="231F20"/>
          <w:w w:val="105"/>
        </w:rPr>
        <w:t>della logica</w:t>
      </w:r>
      <w:r>
        <w:rPr>
          <w:color w:val="231F20"/>
          <w:spacing w:val="-35"/>
          <w:w w:val="105"/>
        </w:rPr>
        <w:t> </w:t>
      </w:r>
      <w:r>
        <w:rPr>
          <w:color w:val="231F20"/>
          <w:w w:val="105"/>
        </w:rPr>
        <w:t>globale</w:t>
      </w:r>
      <w:r>
        <w:rPr>
          <w:color w:val="231F20"/>
          <w:spacing w:val="-35"/>
          <w:w w:val="105"/>
        </w:rPr>
        <w:t> </w:t>
      </w:r>
      <w:r>
        <w:rPr>
          <w:color w:val="231F20"/>
          <w:w w:val="105"/>
        </w:rPr>
        <w:t>e</w:t>
      </w:r>
      <w:r>
        <w:rPr>
          <w:color w:val="231F20"/>
          <w:spacing w:val="-35"/>
          <w:w w:val="105"/>
        </w:rPr>
        <w:t> </w:t>
      </w:r>
      <w:r>
        <w:rPr>
          <w:color w:val="231F20"/>
          <w:w w:val="105"/>
        </w:rPr>
        <w:t>la</w:t>
      </w:r>
      <w:r>
        <w:rPr>
          <w:color w:val="231F20"/>
          <w:spacing w:val="-35"/>
          <w:w w:val="105"/>
        </w:rPr>
        <w:t> </w:t>
      </w:r>
      <w:r>
        <w:rPr>
          <w:color w:val="231F20"/>
          <w:w w:val="105"/>
        </w:rPr>
        <w:t>sua</w:t>
      </w:r>
      <w:r>
        <w:rPr>
          <w:color w:val="231F20"/>
          <w:spacing w:val="-35"/>
          <w:w w:val="105"/>
        </w:rPr>
        <w:t> </w:t>
      </w:r>
      <w:r>
        <w:rPr>
          <w:color w:val="231F20"/>
          <w:w w:val="105"/>
        </w:rPr>
        <w:t>tendenza</w:t>
      </w:r>
      <w:r>
        <w:rPr>
          <w:color w:val="231F20"/>
          <w:spacing w:val="-35"/>
          <w:w w:val="105"/>
        </w:rPr>
        <w:t> </w:t>
      </w:r>
      <w:r>
        <w:rPr>
          <w:color w:val="231F20"/>
          <w:w w:val="105"/>
        </w:rPr>
        <w:t>all’omogeneizzazione.</w:t>
      </w:r>
      <w:r>
        <w:rPr>
          <w:color w:val="231F20"/>
          <w:spacing w:val="-35"/>
          <w:w w:val="105"/>
        </w:rPr>
        <w:t> </w:t>
      </w:r>
      <w:r>
        <w:rPr>
          <w:color w:val="231F20"/>
          <w:w w:val="105"/>
        </w:rPr>
        <w:t>Quelle</w:t>
      </w:r>
      <w:r>
        <w:rPr>
          <w:color w:val="231F20"/>
          <w:spacing w:val="-35"/>
          <w:w w:val="105"/>
        </w:rPr>
        <w:t> </w:t>
      </w:r>
      <w:r>
        <w:rPr>
          <w:color w:val="231F20"/>
          <w:w w:val="105"/>
        </w:rPr>
        <w:t>forme</w:t>
      </w:r>
      <w:r>
        <w:rPr>
          <w:color w:val="231F20"/>
          <w:spacing w:val="-35"/>
          <w:w w:val="105"/>
        </w:rPr>
        <w:t> </w:t>
      </w:r>
      <w:r>
        <w:rPr>
          <w:color w:val="231F20"/>
          <w:w w:val="105"/>
        </w:rPr>
        <w:t>di</w:t>
      </w:r>
      <w:r>
        <w:rPr>
          <w:color w:val="231F20"/>
          <w:spacing w:val="-35"/>
          <w:w w:val="105"/>
        </w:rPr>
        <w:t> </w:t>
      </w:r>
      <w:r>
        <w:rPr>
          <w:color w:val="231F20"/>
          <w:w w:val="105"/>
        </w:rPr>
        <w:t>vita perdute</w:t>
      </w:r>
      <w:r>
        <w:rPr>
          <w:color w:val="231F20"/>
          <w:spacing w:val="-8"/>
          <w:w w:val="105"/>
        </w:rPr>
        <w:t> </w:t>
      </w:r>
      <w:r>
        <w:rPr>
          <w:color w:val="231F20"/>
          <w:w w:val="105"/>
        </w:rPr>
        <w:t>sarebbero</w:t>
      </w:r>
      <w:r>
        <w:rPr>
          <w:color w:val="231F20"/>
          <w:spacing w:val="-8"/>
          <w:w w:val="105"/>
        </w:rPr>
        <w:t> </w:t>
      </w:r>
      <w:r>
        <w:rPr>
          <w:color w:val="231F20"/>
          <w:w w:val="105"/>
        </w:rPr>
        <w:t>allora,</w:t>
      </w:r>
      <w:r>
        <w:rPr>
          <w:color w:val="231F20"/>
          <w:spacing w:val="-8"/>
          <w:w w:val="105"/>
        </w:rPr>
        <w:t> </w:t>
      </w:r>
      <w:r>
        <w:rPr>
          <w:color w:val="231F20"/>
          <w:w w:val="105"/>
        </w:rPr>
        <w:t>in</w:t>
      </w:r>
      <w:r>
        <w:rPr>
          <w:color w:val="231F20"/>
          <w:spacing w:val="-8"/>
          <w:w w:val="105"/>
        </w:rPr>
        <w:t> </w:t>
      </w:r>
      <w:r>
        <w:rPr>
          <w:color w:val="231F20"/>
          <w:w w:val="105"/>
        </w:rPr>
        <w:t>gran</w:t>
      </w:r>
      <w:r>
        <w:rPr>
          <w:color w:val="231F20"/>
          <w:spacing w:val="-8"/>
          <w:w w:val="105"/>
        </w:rPr>
        <w:t> </w:t>
      </w:r>
      <w:r>
        <w:rPr>
          <w:color w:val="231F20"/>
          <w:w w:val="105"/>
        </w:rPr>
        <w:t>parte,</w:t>
      </w:r>
      <w:r>
        <w:rPr>
          <w:color w:val="231F20"/>
          <w:spacing w:val="-8"/>
          <w:w w:val="105"/>
        </w:rPr>
        <w:t> </w:t>
      </w:r>
      <w:r>
        <w:rPr>
          <w:color w:val="231F20"/>
          <w:w w:val="105"/>
        </w:rPr>
        <w:t>creazione</w:t>
      </w:r>
      <w:r>
        <w:rPr>
          <w:color w:val="231F20"/>
          <w:spacing w:val="-8"/>
          <w:w w:val="105"/>
        </w:rPr>
        <w:t> </w:t>
      </w:r>
      <w:r>
        <w:rPr>
          <w:color w:val="231F20"/>
          <w:w w:val="105"/>
        </w:rPr>
        <w:t>della</w:t>
      </w:r>
      <w:r>
        <w:rPr>
          <w:color w:val="231F20"/>
          <w:spacing w:val="-8"/>
          <w:w w:val="105"/>
        </w:rPr>
        <w:t> </w:t>
      </w:r>
      <w:r>
        <w:rPr>
          <w:color w:val="231F20"/>
          <w:w w:val="105"/>
        </w:rPr>
        <w:t>globalizzazione, perciò,</w:t>
      </w:r>
      <w:r>
        <w:rPr>
          <w:color w:val="231F20"/>
          <w:spacing w:val="-26"/>
          <w:w w:val="105"/>
        </w:rPr>
        <w:t> </w:t>
      </w:r>
      <w:r>
        <w:rPr>
          <w:color w:val="231F20"/>
          <w:w w:val="105"/>
        </w:rPr>
        <w:t>quelle</w:t>
      </w:r>
      <w:r>
        <w:rPr>
          <w:color w:val="231F20"/>
          <w:spacing w:val="-26"/>
          <w:w w:val="105"/>
        </w:rPr>
        <w:t> </w:t>
      </w:r>
      <w:r>
        <w:rPr>
          <w:color w:val="231F20"/>
          <w:w w:val="105"/>
        </w:rPr>
        <w:t>comunità</w:t>
      </w:r>
      <w:r>
        <w:rPr>
          <w:color w:val="231F20"/>
          <w:spacing w:val="-26"/>
          <w:w w:val="105"/>
        </w:rPr>
        <w:t> </w:t>
      </w:r>
      <w:r>
        <w:rPr>
          <w:color w:val="231F20"/>
          <w:w w:val="105"/>
        </w:rPr>
        <w:t>paradisiache</w:t>
      </w:r>
      <w:r>
        <w:rPr>
          <w:color w:val="231F20"/>
          <w:spacing w:val="-26"/>
          <w:w w:val="105"/>
        </w:rPr>
        <w:t> </w:t>
      </w:r>
      <w:r>
        <w:rPr>
          <w:color w:val="231F20"/>
          <w:w w:val="105"/>
        </w:rPr>
        <w:t>non</w:t>
      </w:r>
      <w:r>
        <w:rPr>
          <w:color w:val="231F20"/>
          <w:spacing w:val="-26"/>
          <w:w w:val="105"/>
        </w:rPr>
        <w:t> </w:t>
      </w:r>
      <w:r>
        <w:rPr>
          <w:color w:val="231F20"/>
          <w:w w:val="105"/>
        </w:rPr>
        <w:t>sarebbero</w:t>
      </w:r>
      <w:r>
        <w:rPr>
          <w:color w:val="231F20"/>
          <w:spacing w:val="-26"/>
          <w:w w:val="105"/>
        </w:rPr>
        <w:t> </w:t>
      </w:r>
      <w:r>
        <w:rPr>
          <w:color w:val="231F20"/>
          <w:w w:val="105"/>
        </w:rPr>
        <w:t>in</w:t>
      </w:r>
      <w:r>
        <w:rPr>
          <w:color w:val="231F20"/>
          <w:spacing w:val="-26"/>
          <w:w w:val="105"/>
        </w:rPr>
        <w:t> </w:t>
      </w:r>
      <w:r>
        <w:rPr>
          <w:color w:val="231F20"/>
          <w:w w:val="105"/>
        </w:rPr>
        <w:t>realtà</w:t>
      </w:r>
      <w:r>
        <w:rPr>
          <w:color w:val="231F20"/>
          <w:spacing w:val="-26"/>
          <w:w w:val="105"/>
        </w:rPr>
        <w:t> </w:t>
      </w:r>
      <w:r>
        <w:rPr>
          <w:color w:val="231F20"/>
          <w:w w:val="105"/>
        </w:rPr>
        <w:t>l’origine,</w:t>
      </w:r>
      <w:r>
        <w:rPr>
          <w:color w:val="231F20"/>
          <w:spacing w:val="-26"/>
          <w:w w:val="105"/>
        </w:rPr>
        <w:t> </w:t>
      </w:r>
      <w:r>
        <w:rPr>
          <w:color w:val="231F20"/>
          <w:w w:val="105"/>
        </w:rPr>
        <w:t>ma alla</w:t>
      </w:r>
      <w:r>
        <w:rPr>
          <w:color w:val="231F20"/>
          <w:spacing w:val="-32"/>
          <w:w w:val="105"/>
        </w:rPr>
        <w:t> </w:t>
      </w:r>
      <w:r>
        <w:rPr>
          <w:color w:val="231F20"/>
          <w:w w:val="105"/>
        </w:rPr>
        <w:t>fine,</w:t>
      </w:r>
      <w:r>
        <w:rPr>
          <w:color w:val="231F20"/>
          <w:spacing w:val="-32"/>
          <w:w w:val="105"/>
        </w:rPr>
        <w:t> </w:t>
      </w:r>
      <w:r>
        <w:rPr>
          <w:color w:val="231F20"/>
          <w:w w:val="105"/>
        </w:rPr>
        <w:t>un</w:t>
      </w:r>
      <w:r>
        <w:rPr>
          <w:color w:val="231F20"/>
          <w:spacing w:val="-32"/>
          <w:w w:val="105"/>
        </w:rPr>
        <w:t> </w:t>
      </w:r>
      <w:r>
        <w:rPr>
          <w:color w:val="231F20"/>
          <w:w w:val="105"/>
        </w:rPr>
        <w:t>tentativo</w:t>
      </w:r>
      <w:r>
        <w:rPr>
          <w:color w:val="231F20"/>
          <w:spacing w:val="-32"/>
          <w:w w:val="105"/>
        </w:rPr>
        <w:t> </w:t>
      </w:r>
      <w:r>
        <w:rPr>
          <w:color w:val="231F20"/>
          <w:w w:val="105"/>
        </w:rPr>
        <w:t>di</w:t>
      </w:r>
      <w:r>
        <w:rPr>
          <w:color w:val="231F20"/>
          <w:spacing w:val="-32"/>
          <w:w w:val="105"/>
        </w:rPr>
        <w:t> </w:t>
      </w:r>
      <w:r>
        <w:rPr>
          <w:color w:val="231F20"/>
          <w:w w:val="105"/>
        </w:rPr>
        <w:t>narrare</w:t>
      </w:r>
      <w:r>
        <w:rPr>
          <w:color w:val="231F20"/>
          <w:spacing w:val="-32"/>
          <w:w w:val="105"/>
        </w:rPr>
        <w:t> </w:t>
      </w:r>
      <w:r>
        <w:rPr>
          <w:color w:val="231F20"/>
          <w:w w:val="105"/>
        </w:rPr>
        <w:t>e</w:t>
      </w:r>
      <w:r>
        <w:rPr>
          <w:color w:val="231F20"/>
          <w:spacing w:val="-32"/>
          <w:w w:val="105"/>
        </w:rPr>
        <w:t> </w:t>
      </w:r>
      <w:r>
        <w:rPr>
          <w:color w:val="231F20"/>
          <w:w w:val="105"/>
        </w:rPr>
        <w:t>dare</w:t>
      </w:r>
      <w:r>
        <w:rPr>
          <w:color w:val="231F20"/>
          <w:spacing w:val="-32"/>
          <w:w w:val="105"/>
        </w:rPr>
        <w:t> </w:t>
      </w:r>
      <w:r>
        <w:rPr>
          <w:color w:val="231F20"/>
          <w:w w:val="105"/>
        </w:rPr>
        <w:t>senso</w:t>
      </w:r>
      <w:r>
        <w:rPr>
          <w:color w:val="231F20"/>
          <w:spacing w:val="-32"/>
          <w:w w:val="105"/>
        </w:rPr>
        <w:t> </w:t>
      </w:r>
      <w:r>
        <w:rPr>
          <w:color w:val="231F20"/>
          <w:w w:val="105"/>
        </w:rPr>
        <w:t>al</w:t>
      </w:r>
      <w:r>
        <w:rPr>
          <w:color w:val="231F20"/>
          <w:spacing w:val="-32"/>
          <w:w w:val="105"/>
        </w:rPr>
        <w:t> </w:t>
      </w:r>
      <w:r>
        <w:rPr>
          <w:color w:val="231F20"/>
          <w:w w:val="105"/>
        </w:rPr>
        <w:t>locale</w:t>
      </w:r>
      <w:r>
        <w:rPr>
          <w:color w:val="231F20"/>
          <w:spacing w:val="-32"/>
          <w:w w:val="105"/>
        </w:rPr>
        <w:t> </w:t>
      </w:r>
      <w:r>
        <w:rPr>
          <w:color w:val="231F20"/>
          <w:w w:val="105"/>
        </w:rPr>
        <w:t>di</w:t>
      </w:r>
      <w:r>
        <w:rPr>
          <w:color w:val="231F20"/>
          <w:spacing w:val="-32"/>
          <w:w w:val="105"/>
        </w:rPr>
        <w:t> </w:t>
      </w:r>
      <w:r>
        <w:rPr>
          <w:color w:val="231F20"/>
          <w:w w:val="105"/>
        </w:rPr>
        <w:t>fronte</w:t>
      </w:r>
      <w:r>
        <w:rPr>
          <w:color w:val="231F20"/>
          <w:spacing w:val="-32"/>
          <w:w w:val="105"/>
        </w:rPr>
        <w:t> </w:t>
      </w:r>
      <w:r>
        <w:rPr>
          <w:color w:val="231F20"/>
          <w:w w:val="105"/>
        </w:rPr>
        <w:t>a</w:t>
      </w:r>
      <w:r>
        <w:rPr>
          <w:color w:val="231F20"/>
          <w:spacing w:val="-32"/>
          <w:w w:val="105"/>
        </w:rPr>
        <w:t> </w:t>
      </w:r>
      <w:r>
        <w:rPr>
          <w:color w:val="231F20"/>
          <w:w w:val="105"/>
        </w:rPr>
        <w:t>una</w:t>
      </w:r>
      <w:r>
        <w:rPr>
          <w:color w:val="231F20"/>
          <w:spacing w:val="-32"/>
          <w:w w:val="105"/>
        </w:rPr>
        <w:t> </w:t>
      </w:r>
      <w:r>
        <w:rPr>
          <w:color w:val="231F20"/>
          <w:w w:val="105"/>
        </w:rPr>
        <w:t>realtà che</w:t>
      </w:r>
      <w:r>
        <w:rPr>
          <w:color w:val="231F20"/>
          <w:spacing w:val="-31"/>
          <w:w w:val="105"/>
        </w:rPr>
        <w:t> </w:t>
      </w:r>
      <w:r>
        <w:rPr>
          <w:color w:val="231F20"/>
          <w:w w:val="105"/>
        </w:rPr>
        <w:t>tende</w:t>
      </w:r>
      <w:r>
        <w:rPr>
          <w:color w:val="231F20"/>
          <w:spacing w:val="-31"/>
          <w:w w:val="105"/>
        </w:rPr>
        <w:t> </w:t>
      </w:r>
      <w:r>
        <w:rPr>
          <w:color w:val="231F20"/>
          <w:w w:val="105"/>
        </w:rPr>
        <w:t>ad</w:t>
      </w:r>
      <w:r>
        <w:rPr>
          <w:color w:val="231F20"/>
          <w:spacing w:val="-31"/>
          <w:w w:val="105"/>
        </w:rPr>
        <w:t> </w:t>
      </w:r>
      <w:r>
        <w:rPr>
          <w:color w:val="231F20"/>
          <w:w w:val="105"/>
        </w:rPr>
        <w:t>essere</w:t>
      </w:r>
      <w:r>
        <w:rPr>
          <w:color w:val="231F20"/>
          <w:spacing w:val="-31"/>
          <w:w w:val="105"/>
        </w:rPr>
        <w:t> </w:t>
      </w:r>
      <w:r>
        <w:rPr>
          <w:color w:val="231F20"/>
          <w:w w:val="105"/>
        </w:rPr>
        <w:t>omogenea.</w:t>
      </w:r>
      <w:r>
        <w:rPr>
          <w:color w:val="231F20"/>
          <w:spacing w:val="-31"/>
          <w:w w:val="105"/>
        </w:rPr>
        <w:t> </w:t>
      </w:r>
      <w:r>
        <w:rPr>
          <w:color w:val="231F20"/>
          <w:w w:val="105"/>
        </w:rPr>
        <w:t>Così</w:t>
      </w:r>
      <w:r>
        <w:rPr>
          <w:color w:val="231F20"/>
          <w:spacing w:val="-31"/>
          <w:w w:val="105"/>
        </w:rPr>
        <w:t> </w:t>
      </w:r>
      <w:r>
        <w:rPr>
          <w:color w:val="231F20"/>
          <w:w w:val="105"/>
        </w:rPr>
        <w:t>come</w:t>
      </w:r>
      <w:r>
        <w:rPr>
          <w:color w:val="231F20"/>
          <w:spacing w:val="-31"/>
          <w:w w:val="105"/>
        </w:rPr>
        <w:t> </w:t>
      </w:r>
      <w:r>
        <w:rPr>
          <w:color w:val="231F20"/>
          <w:w w:val="105"/>
        </w:rPr>
        <w:t>una</w:t>
      </w:r>
      <w:r>
        <w:rPr>
          <w:color w:val="231F20"/>
          <w:spacing w:val="-31"/>
          <w:w w:val="105"/>
        </w:rPr>
        <w:t> </w:t>
      </w:r>
      <w:r>
        <w:rPr>
          <w:color w:val="231F20"/>
          <w:w w:val="105"/>
        </w:rPr>
        <w:t>persona</w:t>
      </w:r>
      <w:r>
        <w:rPr>
          <w:color w:val="231F20"/>
          <w:spacing w:val="-31"/>
          <w:w w:val="105"/>
        </w:rPr>
        <w:t> </w:t>
      </w:r>
      <w:r>
        <w:rPr>
          <w:color w:val="231F20"/>
          <w:w w:val="105"/>
        </w:rPr>
        <w:t>non</w:t>
      </w:r>
      <w:r>
        <w:rPr>
          <w:color w:val="231F20"/>
          <w:spacing w:val="-31"/>
          <w:w w:val="105"/>
        </w:rPr>
        <w:t> </w:t>
      </w:r>
      <w:r>
        <w:rPr>
          <w:color w:val="231F20"/>
          <w:w w:val="105"/>
        </w:rPr>
        <w:t>può</w:t>
      </w:r>
      <w:r>
        <w:rPr>
          <w:color w:val="231F20"/>
          <w:spacing w:val="-31"/>
          <w:w w:val="105"/>
        </w:rPr>
        <w:t> </w:t>
      </w:r>
      <w:r>
        <w:rPr>
          <w:color w:val="231F20"/>
          <w:w w:val="105"/>
        </w:rPr>
        <w:t>ricordare da</w:t>
      </w:r>
      <w:r>
        <w:rPr>
          <w:color w:val="231F20"/>
          <w:spacing w:val="-15"/>
          <w:w w:val="105"/>
        </w:rPr>
        <w:t> </w:t>
      </w:r>
      <w:r>
        <w:rPr>
          <w:color w:val="231F20"/>
          <w:w w:val="105"/>
        </w:rPr>
        <w:t>testa</w:t>
      </w:r>
      <w:r>
        <w:rPr>
          <w:color w:val="231F20"/>
          <w:spacing w:val="-15"/>
          <w:w w:val="105"/>
        </w:rPr>
        <w:t> </w:t>
      </w:r>
      <w:r>
        <w:rPr>
          <w:color w:val="231F20"/>
          <w:w w:val="105"/>
        </w:rPr>
        <w:t>a</w:t>
      </w:r>
      <w:r>
        <w:rPr>
          <w:color w:val="231F20"/>
          <w:spacing w:val="-15"/>
          <w:w w:val="105"/>
        </w:rPr>
        <w:t> </w:t>
      </w:r>
      <w:r>
        <w:rPr>
          <w:color w:val="231F20"/>
          <w:w w:val="105"/>
        </w:rPr>
        <w:t>coda</w:t>
      </w:r>
      <w:r>
        <w:rPr>
          <w:color w:val="231F20"/>
          <w:spacing w:val="-15"/>
          <w:w w:val="105"/>
        </w:rPr>
        <w:t> </w:t>
      </w:r>
      <w:r>
        <w:rPr>
          <w:color w:val="231F20"/>
          <w:w w:val="105"/>
        </w:rPr>
        <w:t>tutti</w:t>
      </w:r>
      <w:r>
        <w:rPr>
          <w:color w:val="231F20"/>
          <w:spacing w:val="-15"/>
          <w:w w:val="105"/>
        </w:rPr>
        <w:t> </w:t>
      </w:r>
      <w:r>
        <w:rPr>
          <w:color w:val="231F20"/>
          <w:w w:val="105"/>
        </w:rPr>
        <w:t>gli</w:t>
      </w:r>
      <w:r>
        <w:rPr>
          <w:color w:val="231F20"/>
          <w:spacing w:val="-15"/>
          <w:w w:val="105"/>
        </w:rPr>
        <w:t> </w:t>
      </w:r>
      <w:r>
        <w:rPr>
          <w:color w:val="231F20"/>
          <w:w w:val="105"/>
        </w:rPr>
        <w:t>eventi</w:t>
      </w:r>
      <w:r>
        <w:rPr>
          <w:color w:val="231F20"/>
          <w:spacing w:val="-15"/>
          <w:w w:val="105"/>
        </w:rPr>
        <w:t> </w:t>
      </w:r>
      <w:r>
        <w:rPr>
          <w:color w:val="231F20"/>
          <w:w w:val="105"/>
        </w:rPr>
        <w:t>della</w:t>
      </w:r>
      <w:r>
        <w:rPr>
          <w:color w:val="231F20"/>
          <w:spacing w:val="-15"/>
          <w:w w:val="105"/>
        </w:rPr>
        <w:t> </w:t>
      </w:r>
      <w:r>
        <w:rPr>
          <w:color w:val="231F20"/>
          <w:w w:val="105"/>
        </w:rPr>
        <w:t>sua</w:t>
      </w:r>
      <w:r>
        <w:rPr>
          <w:color w:val="231F20"/>
          <w:spacing w:val="-15"/>
          <w:w w:val="105"/>
        </w:rPr>
        <w:t> </w:t>
      </w:r>
      <w:r>
        <w:rPr>
          <w:color w:val="231F20"/>
          <w:w w:val="105"/>
        </w:rPr>
        <w:t>vita</w:t>
      </w:r>
      <w:r>
        <w:rPr>
          <w:color w:val="231F20"/>
          <w:spacing w:val="-15"/>
          <w:w w:val="105"/>
        </w:rPr>
        <w:t> </w:t>
      </w:r>
      <w:r>
        <w:rPr>
          <w:color w:val="231F20"/>
          <w:w w:val="105"/>
        </w:rPr>
        <w:t>e</w:t>
      </w:r>
      <w:r>
        <w:rPr>
          <w:color w:val="231F20"/>
          <w:spacing w:val="-15"/>
          <w:w w:val="105"/>
        </w:rPr>
        <w:t> </w:t>
      </w:r>
      <w:r>
        <w:rPr>
          <w:color w:val="231F20"/>
          <w:w w:val="105"/>
        </w:rPr>
        <w:t>per</w:t>
      </w:r>
      <w:r>
        <w:rPr>
          <w:color w:val="231F20"/>
          <w:spacing w:val="-15"/>
          <w:w w:val="105"/>
        </w:rPr>
        <w:t> </w:t>
      </w:r>
      <w:r>
        <w:rPr>
          <w:color w:val="231F20"/>
          <w:w w:val="105"/>
        </w:rPr>
        <w:t>questo</w:t>
      </w:r>
      <w:r>
        <w:rPr>
          <w:color w:val="231F20"/>
          <w:spacing w:val="-15"/>
          <w:w w:val="105"/>
        </w:rPr>
        <w:t> </w:t>
      </w:r>
      <w:r>
        <w:rPr>
          <w:color w:val="231F20"/>
          <w:w w:val="105"/>
        </w:rPr>
        <w:t>la</w:t>
      </w:r>
      <w:r>
        <w:rPr>
          <w:color w:val="231F20"/>
          <w:spacing w:val="-15"/>
          <w:w w:val="105"/>
        </w:rPr>
        <w:t> </w:t>
      </w:r>
      <w:r>
        <w:rPr>
          <w:color w:val="231F20"/>
          <w:w w:val="105"/>
        </w:rPr>
        <w:t>racconta,</w:t>
      </w:r>
      <w:r>
        <w:rPr>
          <w:color w:val="231F20"/>
          <w:spacing w:val="-15"/>
          <w:w w:val="105"/>
        </w:rPr>
        <w:t> </w:t>
      </w:r>
      <w:r>
        <w:rPr>
          <w:color w:val="231F20"/>
          <w:w w:val="105"/>
        </w:rPr>
        <w:t>per dare</w:t>
      </w:r>
      <w:r>
        <w:rPr>
          <w:color w:val="231F20"/>
          <w:spacing w:val="-19"/>
          <w:w w:val="105"/>
        </w:rPr>
        <w:t> </w:t>
      </w:r>
      <w:r>
        <w:rPr>
          <w:color w:val="231F20"/>
          <w:w w:val="105"/>
        </w:rPr>
        <w:t>senso</w:t>
      </w:r>
      <w:r>
        <w:rPr>
          <w:color w:val="231F20"/>
          <w:spacing w:val="-19"/>
          <w:w w:val="105"/>
        </w:rPr>
        <w:t> </w:t>
      </w:r>
      <w:r>
        <w:rPr>
          <w:color w:val="231F20"/>
          <w:w w:val="105"/>
        </w:rPr>
        <w:t>e</w:t>
      </w:r>
      <w:r>
        <w:rPr>
          <w:color w:val="231F20"/>
          <w:spacing w:val="-19"/>
          <w:w w:val="105"/>
        </w:rPr>
        <w:t> </w:t>
      </w:r>
      <w:r>
        <w:rPr>
          <w:color w:val="231F20"/>
          <w:w w:val="105"/>
        </w:rPr>
        <w:t>costruire</w:t>
      </w:r>
      <w:r>
        <w:rPr>
          <w:color w:val="231F20"/>
          <w:spacing w:val="-19"/>
          <w:w w:val="105"/>
        </w:rPr>
        <w:t> </w:t>
      </w:r>
      <w:r>
        <w:rPr>
          <w:color w:val="231F20"/>
          <w:w w:val="105"/>
        </w:rPr>
        <w:t>un</w:t>
      </w:r>
      <w:r>
        <w:rPr>
          <w:color w:val="231F20"/>
          <w:spacing w:val="-19"/>
          <w:w w:val="105"/>
        </w:rPr>
        <w:t> </w:t>
      </w:r>
      <w:r>
        <w:rPr>
          <w:color w:val="231F20"/>
          <w:w w:val="105"/>
        </w:rPr>
        <w:t>passato</w:t>
      </w:r>
      <w:r>
        <w:rPr>
          <w:color w:val="231F20"/>
          <w:spacing w:val="-19"/>
          <w:w w:val="105"/>
        </w:rPr>
        <w:t> </w:t>
      </w:r>
      <w:r>
        <w:rPr>
          <w:color w:val="231F20"/>
          <w:w w:val="105"/>
        </w:rPr>
        <w:t>che</w:t>
      </w:r>
      <w:r>
        <w:rPr>
          <w:color w:val="231F20"/>
          <w:spacing w:val="-19"/>
          <w:w w:val="105"/>
        </w:rPr>
        <w:t> </w:t>
      </w:r>
      <w:r>
        <w:rPr>
          <w:color w:val="231F20"/>
          <w:w w:val="105"/>
        </w:rPr>
        <w:t>non</w:t>
      </w:r>
      <w:r>
        <w:rPr>
          <w:color w:val="231F20"/>
          <w:spacing w:val="-19"/>
          <w:w w:val="105"/>
        </w:rPr>
        <w:t> </w:t>
      </w:r>
      <w:r>
        <w:rPr>
          <w:color w:val="231F20"/>
          <w:w w:val="105"/>
        </w:rPr>
        <w:t>possiede</w:t>
      </w:r>
      <w:r>
        <w:rPr>
          <w:color w:val="231F20"/>
          <w:spacing w:val="-19"/>
          <w:w w:val="105"/>
        </w:rPr>
        <w:t> </w:t>
      </w:r>
      <w:r>
        <w:rPr>
          <w:color w:val="231F20"/>
          <w:w w:val="105"/>
        </w:rPr>
        <w:t>in</w:t>
      </w:r>
      <w:r>
        <w:rPr>
          <w:color w:val="231F20"/>
          <w:spacing w:val="-19"/>
          <w:w w:val="105"/>
        </w:rPr>
        <w:t> </w:t>
      </w:r>
      <w:r>
        <w:rPr>
          <w:color w:val="231F20"/>
          <w:w w:val="105"/>
        </w:rPr>
        <w:t>maniera</w:t>
      </w:r>
      <w:r>
        <w:rPr>
          <w:color w:val="231F20"/>
          <w:spacing w:val="-19"/>
          <w:w w:val="105"/>
        </w:rPr>
        <w:t> </w:t>
      </w:r>
      <w:r>
        <w:rPr>
          <w:color w:val="231F20"/>
          <w:w w:val="105"/>
        </w:rPr>
        <w:t>integrale, allo</w:t>
      </w:r>
      <w:r>
        <w:rPr>
          <w:color w:val="231F20"/>
          <w:spacing w:val="-42"/>
          <w:w w:val="105"/>
        </w:rPr>
        <w:t> </w:t>
      </w:r>
      <w:r>
        <w:rPr>
          <w:color w:val="231F20"/>
          <w:w w:val="105"/>
        </w:rPr>
        <w:t>stesso</w:t>
      </w:r>
      <w:r>
        <w:rPr>
          <w:color w:val="231F20"/>
          <w:spacing w:val="-42"/>
          <w:w w:val="105"/>
        </w:rPr>
        <w:t> </w:t>
      </w:r>
      <w:r>
        <w:rPr>
          <w:color w:val="231F20"/>
          <w:w w:val="105"/>
        </w:rPr>
        <w:t>modo</w:t>
      </w:r>
      <w:r>
        <w:rPr>
          <w:color w:val="231F20"/>
          <w:spacing w:val="-42"/>
          <w:w w:val="105"/>
        </w:rPr>
        <w:t> </w:t>
      </w:r>
      <w:r>
        <w:rPr>
          <w:color w:val="231F20"/>
          <w:w w:val="105"/>
        </w:rPr>
        <w:t>i</w:t>
      </w:r>
      <w:r>
        <w:rPr>
          <w:color w:val="231F20"/>
          <w:spacing w:val="-42"/>
          <w:w w:val="105"/>
        </w:rPr>
        <w:t> </w:t>
      </w:r>
      <w:r>
        <w:rPr>
          <w:color w:val="231F20"/>
          <w:w w:val="105"/>
        </w:rPr>
        <w:t>popoli,</w:t>
      </w:r>
      <w:r>
        <w:rPr>
          <w:color w:val="231F20"/>
          <w:spacing w:val="-42"/>
          <w:w w:val="105"/>
        </w:rPr>
        <w:t> </w:t>
      </w:r>
      <w:r>
        <w:rPr>
          <w:color w:val="231F20"/>
          <w:w w:val="105"/>
        </w:rPr>
        <w:t>le</w:t>
      </w:r>
      <w:r>
        <w:rPr>
          <w:color w:val="231F20"/>
          <w:spacing w:val="-42"/>
          <w:w w:val="105"/>
        </w:rPr>
        <w:t> </w:t>
      </w:r>
      <w:r>
        <w:rPr>
          <w:color w:val="231F20"/>
          <w:w w:val="105"/>
        </w:rPr>
        <w:t>comunità</w:t>
      </w:r>
      <w:r>
        <w:rPr>
          <w:color w:val="231F20"/>
          <w:spacing w:val="-42"/>
          <w:w w:val="105"/>
        </w:rPr>
        <w:t> </w:t>
      </w:r>
      <w:r>
        <w:rPr>
          <w:color w:val="231F20"/>
          <w:w w:val="105"/>
        </w:rPr>
        <w:t>e</w:t>
      </w:r>
      <w:r>
        <w:rPr>
          <w:color w:val="231F20"/>
          <w:spacing w:val="-42"/>
          <w:w w:val="105"/>
        </w:rPr>
        <w:t> </w:t>
      </w:r>
      <w:r>
        <w:rPr>
          <w:color w:val="231F20"/>
          <w:w w:val="105"/>
        </w:rPr>
        <w:t>le</w:t>
      </w:r>
      <w:r>
        <w:rPr>
          <w:color w:val="231F20"/>
          <w:spacing w:val="-42"/>
          <w:w w:val="105"/>
        </w:rPr>
        <w:t> </w:t>
      </w:r>
      <w:r>
        <w:rPr>
          <w:color w:val="231F20"/>
          <w:w w:val="105"/>
        </w:rPr>
        <w:t>nazioni</w:t>
      </w:r>
      <w:r>
        <w:rPr>
          <w:color w:val="231F20"/>
          <w:spacing w:val="-42"/>
          <w:w w:val="105"/>
        </w:rPr>
        <w:t> </w:t>
      </w:r>
      <w:r>
        <w:rPr>
          <w:color w:val="231F20"/>
          <w:w w:val="105"/>
        </w:rPr>
        <w:t>ricorrono</w:t>
      </w:r>
      <w:r>
        <w:rPr>
          <w:color w:val="231F20"/>
          <w:spacing w:val="-42"/>
          <w:w w:val="105"/>
        </w:rPr>
        <w:t> </w:t>
      </w:r>
      <w:r>
        <w:rPr>
          <w:color w:val="231F20"/>
          <w:w w:val="105"/>
        </w:rPr>
        <w:t>alla</w:t>
      </w:r>
      <w:r>
        <w:rPr>
          <w:color w:val="231F20"/>
          <w:spacing w:val="-42"/>
          <w:w w:val="105"/>
        </w:rPr>
        <w:t> </w:t>
      </w:r>
      <w:r>
        <w:rPr>
          <w:color w:val="231F20"/>
          <w:w w:val="105"/>
        </w:rPr>
        <w:t>narrazione</w:t>
      </w:r>
      <w:r>
        <w:rPr>
          <w:color w:val="231F20"/>
          <w:spacing w:val="-42"/>
          <w:w w:val="105"/>
        </w:rPr>
        <w:t> </w:t>
      </w:r>
      <w:r>
        <w:rPr>
          <w:color w:val="231F20"/>
          <w:w w:val="105"/>
        </w:rPr>
        <w:t>e alla</w:t>
      </w:r>
      <w:r>
        <w:rPr>
          <w:color w:val="231F20"/>
          <w:spacing w:val="-48"/>
          <w:w w:val="105"/>
        </w:rPr>
        <w:t> </w:t>
      </w:r>
      <w:r>
        <w:rPr>
          <w:color w:val="231F20"/>
          <w:w w:val="105"/>
        </w:rPr>
        <w:t>ricostruzione</w:t>
      </w:r>
      <w:r>
        <w:rPr>
          <w:color w:val="231F20"/>
          <w:spacing w:val="-48"/>
          <w:w w:val="105"/>
        </w:rPr>
        <w:t> </w:t>
      </w:r>
      <w:r>
        <w:rPr>
          <w:color w:val="231F20"/>
          <w:w w:val="105"/>
        </w:rPr>
        <w:t>delle</w:t>
      </w:r>
      <w:r>
        <w:rPr>
          <w:color w:val="231F20"/>
          <w:spacing w:val="-48"/>
          <w:w w:val="105"/>
        </w:rPr>
        <w:t> </w:t>
      </w:r>
      <w:r>
        <w:rPr>
          <w:color w:val="231F20"/>
          <w:w w:val="105"/>
        </w:rPr>
        <w:t>proprie</w:t>
      </w:r>
      <w:r>
        <w:rPr>
          <w:color w:val="231F20"/>
          <w:spacing w:val="-48"/>
          <w:w w:val="105"/>
        </w:rPr>
        <w:t> </w:t>
      </w:r>
      <w:r>
        <w:rPr>
          <w:color w:val="231F20"/>
          <w:w w:val="105"/>
        </w:rPr>
        <w:t>origini,</w:t>
      </w:r>
      <w:r>
        <w:rPr>
          <w:color w:val="231F20"/>
          <w:spacing w:val="-48"/>
          <w:w w:val="105"/>
        </w:rPr>
        <w:t> </w:t>
      </w:r>
      <w:r>
        <w:rPr>
          <w:color w:val="231F20"/>
          <w:w w:val="105"/>
        </w:rPr>
        <w:t>per</w:t>
      </w:r>
      <w:r>
        <w:rPr>
          <w:color w:val="231F20"/>
          <w:spacing w:val="-48"/>
          <w:w w:val="105"/>
        </w:rPr>
        <w:t> </w:t>
      </w:r>
      <w:r>
        <w:rPr>
          <w:color w:val="231F20"/>
          <w:w w:val="105"/>
        </w:rPr>
        <w:t>darsi</w:t>
      </w:r>
      <w:r>
        <w:rPr>
          <w:color w:val="231F20"/>
          <w:spacing w:val="-48"/>
          <w:w w:val="105"/>
        </w:rPr>
        <w:t> </w:t>
      </w:r>
      <w:r>
        <w:rPr>
          <w:color w:val="231F20"/>
          <w:w w:val="105"/>
        </w:rPr>
        <w:t>una</w:t>
      </w:r>
      <w:r>
        <w:rPr>
          <w:color w:val="231F20"/>
          <w:spacing w:val="-48"/>
          <w:w w:val="105"/>
        </w:rPr>
        <w:t> </w:t>
      </w:r>
      <w:r>
        <w:rPr>
          <w:color w:val="231F20"/>
          <w:w w:val="105"/>
        </w:rPr>
        <w:t>identità</w:t>
      </w:r>
      <w:r>
        <w:rPr>
          <w:color w:val="231F20"/>
          <w:spacing w:val="-48"/>
          <w:w w:val="105"/>
        </w:rPr>
        <w:t> </w:t>
      </w:r>
      <w:r>
        <w:rPr>
          <w:color w:val="231F20"/>
          <w:w w:val="105"/>
        </w:rPr>
        <w:t>e</w:t>
      </w:r>
      <w:r>
        <w:rPr>
          <w:color w:val="231F20"/>
          <w:spacing w:val="-48"/>
          <w:w w:val="105"/>
        </w:rPr>
        <w:t> </w:t>
      </w:r>
      <w:r>
        <w:rPr>
          <w:color w:val="231F20"/>
          <w:w w:val="105"/>
        </w:rPr>
        <w:t>una</w:t>
      </w:r>
      <w:r>
        <w:rPr>
          <w:color w:val="231F20"/>
          <w:spacing w:val="-48"/>
          <w:w w:val="105"/>
        </w:rPr>
        <w:t> </w:t>
      </w:r>
      <w:r>
        <w:rPr>
          <w:color w:val="231F20"/>
          <w:w w:val="105"/>
        </w:rPr>
        <w:t>proprietà: </w:t>
      </w:r>
      <w:r>
        <w:rPr>
          <w:color w:val="231F20"/>
          <w:spacing w:val="-3"/>
          <w:w w:val="105"/>
        </w:rPr>
        <w:t>quello</w:t>
      </w:r>
      <w:r>
        <w:rPr>
          <w:color w:val="231F20"/>
          <w:spacing w:val="-43"/>
          <w:w w:val="105"/>
        </w:rPr>
        <w:t> </w:t>
      </w:r>
      <w:r>
        <w:rPr>
          <w:color w:val="231F20"/>
          <w:w w:val="105"/>
        </w:rPr>
        <w:t>che</w:t>
      </w:r>
      <w:r>
        <w:rPr>
          <w:color w:val="231F20"/>
          <w:spacing w:val="-43"/>
          <w:w w:val="105"/>
        </w:rPr>
        <w:t> </w:t>
      </w:r>
      <w:r>
        <w:rPr>
          <w:color w:val="231F20"/>
          <w:w w:val="105"/>
        </w:rPr>
        <w:t>non</w:t>
      </w:r>
      <w:r>
        <w:rPr>
          <w:color w:val="231F20"/>
          <w:spacing w:val="-43"/>
          <w:w w:val="105"/>
        </w:rPr>
        <w:t> </w:t>
      </w:r>
      <w:r>
        <w:rPr>
          <w:color w:val="231F20"/>
          <w:w w:val="105"/>
        </w:rPr>
        <w:t>può</w:t>
      </w:r>
      <w:r>
        <w:rPr>
          <w:color w:val="231F20"/>
          <w:spacing w:val="-43"/>
          <w:w w:val="105"/>
        </w:rPr>
        <w:t> </w:t>
      </w:r>
      <w:r>
        <w:rPr>
          <w:color w:val="231F20"/>
          <w:spacing w:val="-4"/>
          <w:w w:val="105"/>
        </w:rPr>
        <w:t>essere</w:t>
      </w:r>
      <w:r>
        <w:rPr>
          <w:color w:val="231F20"/>
          <w:spacing w:val="-43"/>
          <w:w w:val="105"/>
        </w:rPr>
        <w:t> </w:t>
      </w:r>
      <w:r>
        <w:rPr>
          <w:color w:val="231F20"/>
          <w:spacing w:val="-4"/>
          <w:w w:val="105"/>
        </w:rPr>
        <w:t>ricordato</w:t>
      </w:r>
      <w:r>
        <w:rPr>
          <w:color w:val="231F20"/>
          <w:spacing w:val="-43"/>
          <w:w w:val="105"/>
        </w:rPr>
        <w:t> </w:t>
      </w:r>
      <w:r>
        <w:rPr>
          <w:color w:val="231F20"/>
          <w:w w:val="105"/>
        </w:rPr>
        <w:t>in</w:t>
      </w:r>
      <w:r>
        <w:rPr>
          <w:color w:val="231F20"/>
          <w:spacing w:val="-43"/>
          <w:w w:val="105"/>
        </w:rPr>
        <w:t> </w:t>
      </w:r>
      <w:r>
        <w:rPr>
          <w:color w:val="231F20"/>
          <w:spacing w:val="-3"/>
          <w:w w:val="105"/>
        </w:rPr>
        <w:t>maniera</w:t>
      </w:r>
      <w:r>
        <w:rPr>
          <w:color w:val="231F20"/>
          <w:spacing w:val="-43"/>
          <w:w w:val="105"/>
        </w:rPr>
        <w:t> </w:t>
      </w:r>
      <w:r>
        <w:rPr>
          <w:color w:val="231F20"/>
          <w:spacing w:val="-3"/>
          <w:w w:val="105"/>
        </w:rPr>
        <w:t>attendibile,</w:t>
      </w:r>
      <w:r>
        <w:rPr>
          <w:color w:val="231F20"/>
          <w:spacing w:val="-43"/>
          <w:w w:val="105"/>
        </w:rPr>
        <w:t> </w:t>
      </w:r>
      <w:r>
        <w:rPr>
          <w:color w:val="231F20"/>
          <w:spacing w:val="-3"/>
          <w:w w:val="105"/>
        </w:rPr>
        <w:t>allora</w:t>
      </w:r>
      <w:r>
        <w:rPr>
          <w:color w:val="231F20"/>
          <w:spacing w:val="-43"/>
          <w:w w:val="105"/>
        </w:rPr>
        <w:t> </w:t>
      </w:r>
      <w:r>
        <w:rPr>
          <w:color w:val="231F20"/>
          <w:spacing w:val="-3"/>
          <w:w w:val="105"/>
        </w:rPr>
        <w:t>deve</w:t>
      </w:r>
      <w:r>
        <w:rPr>
          <w:color w:val="231F20"/>
          <w:spacing w:val="-43"/>
          <w:w w:val="105"/>
        </w:rPr>
        <w:t> </w:t>
      </w:r>
      <w:r>
        <w:rPr>
          <w:color w:val="231F20"/>
          <w:spacing w:val="-4"/>
          <w:w w:val="105"/>
        </w:rPr>
        <w:t>essere </w:t>
      </w:r>
      <w:r>
        <w:rPr>
          <w:color w:val="231F20"/>
          <w:w w:val="105"/>
        </w:rPr>
        <w:t>raccontato,</w:t>
      </w:r>
      <w:r>
        <w:rPr>
          <w:color w:val="231F20"/>
          <w:spacing w:val="-30"/>
          <w:w w:val="105"/>
        </w:rPr>
        <w:t> </w:t>
      </w:r>
      <w:r>
        <w:rPr>
          <w:color w:val="231F20"/>
          <w:w w:val="105"/>
        </w:rPr>
        <w:t>cioè,</w:t>
      </w:r>
      <w:r>
        <w:rPr>
          <w:color w:val="231F20"/>
          <w:spacing w:val="-30"/>
          <w:w w:val="105"/>
        </w:rPr>
        <w:t> </w:t>
      </w:r>
      <w:r>
        <w:rPr>
          <w:color w:val="231F20"/>
          <w:w w:val="105"/>
        </w:rPr>
        <w:t>creato</w:t>
      </w:r>
      <w:r>
        <w:rPr>
          <w:color w:val="231F20"/>
          <w:spacing w:val="-30"/>
          <w:w w:val="105"/>
        </w:rPr>
        <w:t> </w:t>
      </w:r>
      <w:r>
        <w:rPr>
          <w:color w:val="231F20"/>
          <w:w w:val="105"/>
        </w:rPr>
        <w:t>a</w:t>
      </w:r>
      <w:r>
        <w:rPr>
          <w:color w:val="231F20"/>
          <w:spacing w:val="-30"/>
          <w:w w:val="105"/>
        </w:rPr>
        <w:t> </w:t>
      </w:r>
      <w:r>
        <w:rPr>
          <w:color w:val="231F20"/>
          <w:w w:val="105"/>
        </w:rPr>
        <w:t>partire</w:t>
      </w:r>
      <w:r>
        <w:rPr>
          <w:color w:val="231F20"/>
          <w:spacing w:val="-30"/>
          <w:w w:val="105"/>
        </w:rPr>
        <w:t> </w:t>
      </w:r>
      <w:r>
        <w:rPr>
          <w:color w:val="231F20"/>
          <w:w w:val="105"/>
        </w:rPr>
        <w:t>da</w:t>
      </w:r>
      <w:r>
        <w:rPr>
          <w:color w:val="231F20"/>
          <w:spacing w:val="-30"/>
          <w:w w:val="105"/>
        </w:rPr>
        <w:t> </w:t>
      </w:r>
      <w:r>
        <w:rPr>
          <w:color w:val="231F20"/>
          <w:w w:val="105"/>
        </w:rPr>
        <w:t>una</w:t>
      </w:r>
      <w:r>
        <w:rPr>
          <w:color w:val="231F20"/>
          <w:spacing w:val="-30"/>
          <w:w w:val="105"/>
        </w:rPr>
        <w:t> </w:t>
      </w:r>
      <w:r>
        <w:rPr>
          <w:color w:val="231F20"/>
          <w:w w:val="105"/>
        </w:rPr>
        <w:t>narrativa.</w:t>
      </w:r>
      <w:r>
        <w:rPr>
          <w:color w:val="231F20"/>
          <w:spacing w:val="-30"/>
          <w:w w:val="105"/>
        </w:rPr>
        <w:t> </w:t>
      </w:r>
      <w:r>
        <w:rPr>
          <w:color w:val="231F20"/>
          <w:w w:val="105"/>
        </w:rPr>
        <w:t>Incrostate</w:t>
      </w:r>
      <w:r>
        <w:rPr>
          <w:color w:val="231F20"/>
          <w:spacing w:val="-30"/>
          <w:w w:val="105"/>
        </w:rPr>
        <w:t> </w:t>
      </w:r>
      <w:r>
        <w:rPr>
          <w:color w:val="231F20"/>
          <w:w w:val="105"/>
        </w:rPr>
        <w:t>in</w:t>
      </w:r>
      <w:r>
        <w:rPr>
          <w:color w:val="231F20"/>
          <w:spacing w:val="-30"/>
          <w:w w:val="105"/>
        </w:rPr>
        <w:t> </w:t>
      </w:r>
      <w:r>
        <w:rPr>
          <w:color w:val="231F20"/>
          <w:w w:val="105"/>
        </w:rPr>
        <w:t>una</w:t>
      </w:r>
      <w:r>
        <w:rPr>
          <w:color w:val="231F20"/>
          <w:spacing w:val="-30"/>
          <w:w w:val="105"/>
        </w:rPr>
        <w:t> </w:t>
      </w:r>
      <w:r>
        <w:rPr>
          <w:color w:val="231F20"/>
          <w:w w:val="105"/>
        </w:rPr>
        <w:t>storia che</w:t>
      </w:r>
      <w:r>
        <w:rPr>
          <w:color w:val="231F20"/>
          <w:spacing w:val="-26"/>
          <w:w w:val="105"/>
        </w:rPr>
        <w:t> </w:t>
      </w:r>
      <w:r>
        <w:rPr>
          <w:color w:val="231F20"/>
          <w:w w:val="105"/>
        </w:rPr>
        <w:t>non</w:t>
      </w:r>
      <w:r>
        <w:rPr>
          <w:color w:val="231F20"/>
          <w:spacing w:val="-26"/>
          <w:w w:val="105"/>
        </w:rPr>
        <w:t> </w:t>
      </w:r>
      <w:r>
        <w:rPr>
          <w:color w:val="231F20"/>
          <w:w w:val="105"/>
        </w:rPr>
        <w:t>ha</w:t>
      </w:r>
      <w:r>
        <w:rPr>
          <w:color w:val="231F20"/>
          <w:spacing w:val="-26"/>
          <w:w w:val="105"/>
        </w:rPr>
        <w:t> </w:t>
      </w:r>
      <w:r>
        <w:rPr>
          <w:color w:val="231F20"/>
          <w:w w:val="105"/>
        </w:rPr>
        <w:t>finalità</w:t>
      </w:r>
      <w:r>
        <w:rPr>
          <w:color w:val="231F20"/>
          <w:spacing w:val="-26"/>
          <w:w w:val="105"/>
        </w:rPr>
        <w:t> </w:t>
      </w:r>
      <w:r>
        <w:rPr>
          <w:color w:val="231F20"/>
          <w:w w:val="105"/>
        </w:rPr>
        <w:t>ne</w:t>
      </w:r>
      <w:r>
        <w:rPr>
          <w:color w:val="231F20"/>
          <w:spacing w:val="-26"/>
          <w:w w:val="105"/>
        </w:rPr>
        <w:t> </w:t>
      </w:r>
      <w:r>
        <w:rPr>
          <w:color w:val="231F20"/>
          <w:w w:val="105"/>
        </w:rPr>
        <w:t>scioglimento</w:t>
      </w:r>
      <w:r>
        <w:rPr>
          <w:color w:val="231F20"/>
          <w:spacing w:val="-26"/>
          <w:w w:val="105"/>
        </w:rPr>
        <w:t> </w:t>
      </w:r>
      <w:r>
        <w:rPr>
          <w:color w:val="231F20"/>
          <w:w w:val="105"/>
        </w:rPr>
        <w:t>prestabilito</w:t>
      </w:r>
      <w:r>
        <w:rPr>
          <w:color w:val="231F20"/>
          <w:spacing w:val="-26"/>
          <w:w w:val="105"/>
        </w:rPr>
        <w:t> </w:t>
      </w:r>
      <w:r>
        <w:rPr>
          <w:color w:val="231F20"/>
          <w:w w:val="105"/>
        </w:rPr>
        <w:t>—cioè</w:t>
      </w:r>
      <w:r>
        <w:rPr>
          <w:color w:val="231F20"/>
          <w:spacing w:val="-26"/>
          <w:w w:val="105"/>
        </w:rPr>
        <w:t> </w:t>
      </w:r>
      <w:r>
        <w:rPr>
          <w:color w:val="231F20"/>
          <w:w w:val="105"/>
        </w:rPr>
        <w:t>quello</w:t>
      </w:r>
      <w:r>
        <w:rPr>
          <w:color w:val="231F20"/>
          <w:spacing w:val="-26"/>
          <w:w w:val="105"/>
        </w:rPr>
        <w:t> </w:t>
      </w:r>
      <w:r>
        <w:rPr>
          <w:color w:val="231F20"/>
          <w:w w:val="105"/>
        </w:rPr>
        <w:t>che</w:t>
      </w:r>
      <w:r>
        <w:rPr>
          <w:color w:val="231F20"/>
          <w:spacing w:val="-26"/>
          <w:w w:val="105"/>
        </w:rPr>
        <w:t> </w:t>
      </w:r>
      <w:r>
        <w:rPr>
          <w:color w:val="231F20"/>
          <w:w w:val="105"/>
        </w:rPr>
        <w:t>è</w:t>
      </w:r>
      <w:r>
        <w:rPr>
          <w:color w:val="231F20"/>
          <w:spacing w:val="-26"/>
          <w:w w:val="105"/>
        </w:rPr>
        <w:t> </w:t>
      </w:r>
      <w:r>
        <w:rPr>
          <w:color w:val="231F20"/>
          <w:w w:val="105"/>
        </w:rPr>
        <w:t>proprio dal</w:t>
      </w:r>
      <w:r>
        <w:rPr>
          <w:color w:val="231F20"/>
          <w:spacing w:val="-7"/>
          <w:w w:val="105"/>
        </w:rPr>
        <w:t> </w:t>
      </w:r>
      <w:r>
        <w:rPr>
          <w:color w:val="231F20"/>
          <w:w w:val="105"/>
        </w:rPr>
        <w:t>tempo</w:t>
      </w:r>
      <w:r>
        <w:rPr>
          <w:color w:val="231F20"/>
          <w:spacing w:val="-7"/>
          <w:w w:val="105"/>
        </w:rPr>
        <w:t> </w:t>
      </w:r>
      <w:r>
        <w:rPr>
          <w:color w:val="231F20"/>
          <w:w w:val="105"/>
        </w:rPr>
        <w:t>secolare—,</w:t>
      </w:r>
      <w:r>
        <w:rPr>
          <w:color w:val="231F20"/>
          <w:spacing w:val="-7"/>
          <w:w w:val="105"/>
        </w:rPr>
        <w:t> </w:t>
      </w:r>
      <w:r>
        <w:rPr>
          <w:color w:val="231F20"/>
          <w:w w:val="105"/>
        </w:rPr>
        <w:t>le</w:t>
      </w:r>
      <w:r>
        <w:rPr>
          <w:color w:val="231F20"/>
          <w:spacing w:val="-7"/>
          <w:w w:val="105"/>
        </w:rPr>
        <w:t> </w:t>
      </w:r>
      <w:r>
        <w:rPr>
          <w:color w:val="231F20"/>
          <w:w w:val="105"/>
        </w:rPr>
        <w:t>comunità</w:t>
      </w:r>
      <w:r>
        <w:rPr>
          <w:color w:val="231F20"/>
          <w:spacing w:val="-7"/>
          <w:w w:val="105"/>
        </w:rPr>
        <w:t> </w:t>
      </w:r>
      <w:r>
        <w:rPr>
          <w:color w:val="231F20"/>
          <w:w w:val="105"/>
        </w:rPr>
        <w:t>e</w:t>
      </w:r>
      <w:r>
        <w:rPr>
          <w:color w:val="231F20"/>
          <w:spacing w:val="-7"/>
          <w:w w:val="105"/>
        </w:rPr>
        <w:t> </w:t>
      </w:r>
      <w:r>
        <w:rPr>
          <w:color w:val="231F20"/>
          <w:w w:val="105"/>
        </w:rPr>
        <w:t>le</w:t>
      </w:r>
      <w:r>
        <w:rPr>
          <w:color w:val="231F20"/>
          <w:spacing w:val="-7"/>
          <w:w w:val="105"/>
        </w:rPr>
        <w:t> </w:t>
      </w:r>
      <w:r>
        <w:rPr>
          <w:color w:val="231F20"/>
          <w:w w:val="105"/>
        </w:rPr>
        <w:t>nazioni</w:t>
      </w:r>
      <w:r>
        <w:rPr>
          <w:color w:val="231F20"/>
          <w:spacing w:val="-7"/>
          <w:w w:val="105"/>
        </w:rPr>
        <w:t> </w:t>
      </w:r>
      <w:r>
        <w:rPr>
          <w:color w:val="231F20"/>
          <w:w w:val="105"/>
        </w:rPr>
        <w:t>si</w:t>
      </w:r>
      <w:r>
        <w:rPr>
          <w:color w:val="231F20"/>
          <w:spacing w:val="-7"/>
          <w:w w:val="105"/>
        </w:rPr>
        <w:t> </w:t>
      </w:r>
      <w:r>
        <w:rPr>
          <w:color w:val="231F20"/>
          <w:w w:val="105"/>
        </w:rPr>
        <w:t>vedono</w:t>
      </w:r>
      <w:r>
        <w:rPr>
          <w:color w:val="231F20"/>
          <w:spacing w:val="-7"/>
          <w:w w:val="105"/>
        </w:rPr>
        <w:t> </w:t>
      </w:r>
      <w:r>
        <w:rPr>
          <w:color w:val="231F20"/>
          <w:w w:val="105"/>
        </w:rPr>
        <w:t>nella</w:t>
      </w:r>
      <w:r>
        <w:rPr>
          <w:color w:val="231F20"/>
          <w:spacing w:val="-7"/>
          <w:w w:val="105"/>
        </w:rPr>
        <w:t> </w:t>
      </w:r>
      <w:r>
        <w:rPr>
          <w:color w:val="231F20"/>
          <w:w w:val="105"/>
        </w:rPr>
        <w:t>necessità di</w:t>
      </w:r>
      <w:r>
        <w:rPr>
          <w:color w:val="231F20"/>
          <w:spacing w:val="-23"/>
          <w:w w:val="105"/>
        </w:rPr>
        <w:t> </w:t>
      </w:r>
      <w:r>
        <w:rPr>
          <w:color w:val="231F20"/>
          <w:w w:val="105"/>
        </w:rPr>
        <w:t>ricreare</w:t>
      </w:r>
      <w:r>
        <w:rPr>
          <w:color w:val="231F20"/>
          <w:spacing w:val="-23"/>
          <w:w w:val="105"/>
        </w:rPr>
        <w:t> </w:t>
      </w:r>
      <w:r>
        <w:rPr>
          <w:color w:val="231F20"/>
          <w:w w:val="105"/>
        </w:rPr>
        <w:t>le</w:t>
      </w:r>
      <w:r>
        <w:rPr>
          <w:color w:val="231F20"/>
          <w:spacing w:val="-23"/>
          <w:w w:val="105"/>
        </w:rPr>
        <w:t> </w:t>
      </w:r>
      <w:r>
        <w:rPr>
          <w:color w:val="231F20"/>
          <w:w w:val="105"/>
        </w:rPr>
        <w:t>proprie</w:t>
      </w:r>
      <w:r>
        <w:rPr>
          <w:color w:val="231F20"/>
          <w:spacing w:val="-23"/>
          <w:w w:val="105"/>
        </w:rPr>
        <w:t> </w:t>
      </w:r>
      <w:r>
        <w:rPr>
          <w:color w:val="231F20"/>
          <w:w w:val="105"/>
        </w:rPr>
        <w:t>origini</w:t>
      </w:r>
      <w:r>
        <w:rPr>
          <w:color w:val="231F20"/>
          <w:spacing w:val="-23"/>
          <w:w w:val="105"/>
        </w:rPr>
        <w:t> </w:t>
      </w:r>
      <w:r>
        <w:rPr>
          <w:color w:val="231F20"/>
          <w:w w:val="105"/>
        </w:rPr>
        <w:t>e,</w:t>
      </w:r>
      <w:r>
        <w:rPr>
          <w:color w:val="231F20"/>
          <w:spacing w:val="-23"/>
          <w:w w:val="105"/>
        </w:rPr>
        <w:t> </w:t>
      </w:r>
      <w:r>
        <w:rPr>
          <w:color w:val="231F20"/>
          <w:w w:val="105"/>
        </w:rPr>
        <w:t>con</w:t>
      </w:r>
      <w:r>
        <w:rPr>
          <w:color w:val="231F20"/>
          <w:spacing w:val="-23"/>
          <w:w w:val="105"/>
        </w:rPr>
        <w:t> </w:t>
      </w:r>
      <w:r>
        <w:rPr>
          <w:color w:val="231F20"/>
          <w:w w:val="105"/>
        </w:rPr>
        <w:t>questo,</w:t>
      </w:r>
      <w:r>
        <w:rPr>
          <w:color w:val="231F20"/>
          <w:spacing w:val="-23"/>
          <w:w w:val="105"/>
        </w:rPr>
        <w:t> </w:t>
      </w:r>
      <w:r>
        <w:rPr>
          <w:color w:val="231F20"/>
          <w:w w:val="105"/>
        </w:rPr>
        <w:t>la</w:t>
      </w:r>
      <w:r>
        <w:rPr>
          <w:color w:val="231F20"/>
          <w:spacing w:val="-23"/>
          <w:w w:val="105"/>
        </w:rPr>
        <w:t> </w:t>
      </w:r>
      <w:r>
        <w:rPr>
          <w:color w:val="231F20"/>
          <w:w w:val="105"/>
        </w:rPr>
        <w:t>loro</w:t>
      </w:r>
      <w:r>
        <w:rPr>
          <w:color w:val="231F20"/>
          <w:spacing w:val="-23"/>
          <w:w w:val="105"/>
        </w:rPr>
        <w:t> </w:t>
      </w:r>
      <w:r>
        <w:rPr>
          <w:color w:val="231F20"/>
          <w:w w:val="105"/>
        </w:rPr>
        <w:t>identità:</w:t>
      </w:r>
      <w:r>
        <w:rPr>
          <w:color w:val="231F20"/>
          <w:spacing w:val="-23"/>
          <w:w w:val="105"/>
        </w:rPr>
        <w:t> </w:t>
      </w:r>
      <w:r>
        <w:rPr>
          <w:color w:val="231F20"/>
          <w:w w:val="105"/>
        </w:rPr>
        <w:t>“La</w:t>
      </w:r>
      <w:r>
        <w:rPr>
          <w:color w:val="231F20"/>
          <w:spacing w:val="-23"/>
          <w:w w:val="105"/>
        </w:rPr>
        <w:t> </w:t>
      </w:r>
      <w:r>
        <w:rPr>
          <w:color w:val="231F20"/>
          <w:w w:val="105"/>
        </w:rPr>
        <w:t>coscenza</w:t>
      </w:r>
      <w:r>
        <w:rPr>
          <w:color w:val="231F20"/>
          <w:spacing w:val="-23"/>
          <w:w w:val="105"/>
        </w:rPr>
        <w:t> </w:t>
      </w:r>
      <w:r>
        <w:rPr>
          <w:color w:val="231F20"/>
          <w:w w:val="105"/>
        </w:rPr>
        <w:t>di essere</w:t>
      </w:r>
      <w:r>
        <w:rPr>
          <w:color w:val="231F20"/>
          <w:spacing w:val="-27"/>
          <w:w w:val="105"/>
        </w:rPr>
        <w:t> </w:t>
      </w:r>
      <w:r>
        <w:rPr>
          <w:color w:val="231F20"/>
          <w:w w:val="105"/>
        </w:rPr>
        <w:t>parte</w:t>
      </w:r>
      <w:r>
        <w:rPr>
          <w:color w:val="231F20"/>
          <w:spacing w:val="-27"/>
          <w:w w:val="105"/>
        </w:rPr>
        <w:t> </w:t>
      </w:r>
      <w:r>
        <w:rPr>
          <w:color w:val="231F20"/>
          <w:w w:val="105"/>
        </w:rPr>
        <w:t>di</w:t>
      </w:r>
      <w:r>
        <w:rPr>
          <w:color w:val="231F20"/>
          <w:spacing w:val="-27"/>
          <w:w w:val="105"/>
        </w:rPr>
        <w:t> </w:t>
      </w:r>
      <w:r>
        <w:rPr>
          <w:color w:val="231F20"/>
          <w:w w:val="105"/>
        </w:rPr>
        <w:t>un</w:t>
      </w:r>
      <w:r>
        <w:rPr>
          <w:color w:val="231F20"/>
          <w:spacing w:val="-27"/>
          <w:w w:val="105"/>
        </w:rPr>
        <w:t> </w:t>
      </w:r>
      <w:r>
        <w:rPr>
          <w:color w:val="231F20"/>
          <w:w w:val="105"/>
        </w:rPr>
        <w:t>tempo</w:t>
      </w:r>
      <w:r>
        <w:rPr>
          <w:color w:val="231F20"/>
          <w:spacing w:val="-27"/>
          <w:w w:val="105"/>
        </w:rPr>
        <w:t> </w:t>
      </w:r>
      <w:r>
        <w:rPr>
          <w:color w:val="231F20"/>
          <w:w w:val="105"/>
        </w:rPr>
        <w:t>secolare,</w:t>
      </w:r>
      <w:r>
        <w:rPr>
          <w:color w:val="231F20"/>
          <w:spacing w:val="-27"/>
          <w:w w:val="105"/>
        </w:rPr>
        <w:t> </w:t>
      </w:r>
      <w:r>
        <w:rPr>
          <w:color w:val="231F20"/>
          <w:w w:val="105"/>
        </w:rPr>
        <w:t>seriale,</w:t>
      </w:r>
      <w:r>
        <w:rPr>
          <w:color w:val="231F20"/>
          <w:spacing w:val="-27"/>
          <w:w w:val="105"/>
        </w:rPr>
        <w:t> </w:t>
      </w:r>
      <w:r>
        <w:rPr>
          <w:color w:val="231F20"/>
          <w:w w:val="105"/>
        </w:rPr>
        <w:t>con</w:t>
      </w:r>
      <w:r>
        <w:rPr>
          <w:color w:val="231F20"/>
          <w:spacing w:val="-27"/>
          <w:w w:val="105"/>
        </w:rPr>
        <w:t> </w:t>
      </w:r>
      <w:r>
        <w:rPr>
          <w:color w:val="231F20"/>
          <w:w w:val="105"/>
        </w:rPr>
        <w:t>tutto</w:t>
      </w:r>
      <w:r>
        <w:rPr>
          <w:color w:val="231F20"/>
          <w:spacing w:val="-27"/>
          <w:w w:val="105"/>
        </w:rPr>
        <w:t> </w:t>
      </w:r>
      <w:r>
        <w:rPr>
          <w:color w:val="231F20"/>
          <w:w w:val="105"/>
        </w:rPr>
        <w:t>quello</w:t>
      </w:r>
      <w:r>
        <w:rPr>
          <w:color w:val="231F20"/>
          <w:spacing w:val="-27"/>
          <w:w w:val="105"/>
        </w:rPr>
        <w:t> </w:t>
      </w:r>
      <w:r>
        <w:rPr>
          <w:color w:val="231F20"/>
          <w:w w:val="105"/>
        </w:rPr>
        <w:t>che</w:t>
      </w:r>
      <w:r>
        <w:rPr>
          <w:color w:val="231F20"/>
          <w:spacing w:val="-27"/>
          <w:w w:val="105"/>
        </w:rPr>
        <w:t> </w:t>
      </w:r>
      <w:r>
        <w:rPr>
          <w:color w:val="231F20"/>
          <w:w w:val="105"/>
        </w:rPr>
        <w:t>ciò</w:t>
      </w:r>
      <w:r>
        <w:rPr>
          <w:color w:val="231F20"/>
          <w:spacing w:val="-27"/>
          <w:w w:val="105"/>
        </w:rPr>
        <w:t> </w:t>
      </w:r>
      <w:r>
        <w:rPr>
          <w:color w:val="231F20"/>
          <w:w w:val="105"/>
        </w:rPr>
        <w:t>implica in quanto a continuità […] da luogo a una narrazione dell’identità”</w:t>
      </w:r>
      <w:r>
        <w:rPr>
          <w:color w:val="231F20"/>
          <w:w w:val="105"/>
          <w:position w:val="7"/>
          <w:sz w:val="12"/>
        </w:rPr>
        <w:t>22</w:t>
      </w:r>
      <w:r>
        <w:rPr>
          <w:color w:val="231F20"/>
          <w:w w:val="105"/>
        </w:rPr>
        <w:t>. Il paradosso implica, così, che quella pretesa origine perduta sia alla</w:t>
      </w:r>
      <w:r>
        <w:rPr>
          <w:color w:val="231F20"/>
          <w:spacing w:val="-45"/>
          <w:w w:val="105"/>
        </w:rPr>
        <w:t> </w:t>
      </w:r>
      <w:r>
        <w:rPr>
          <w:color w:val="231F20"/>
          <w:w w:val="105"/>
        </w:rPr>
        <w:t>fine, nelle</w:t>
      </w:r>
      <w:r>
        <w:rPr>
          <w:color w:val="231F20"/>
          <w:spacing w:val="-39"/>
          <w:w w:val="105"/>
        </w:rPr>
        <w:t> </w:t>
      </w:r>
      <w:r>
        <w:rPr>
          <w:color w:val="231F20"/>
          <w:w w:val="105"/>
        </w:rPr>
        <w:t>narrazioni</w:t>
      </w:r>
      <w:r>
        <w:rPr>
          <w:color w:val="231F20"/>
          <w:spacing w:val="-39"/>
          <w:w w:val="105"/>
        </w:rPr>
        <w:t> </w:t>
      </w:r>
      <w:r>
        <w:rPr>
          <w:color w:val="231F20"/>
          <w:w w:val="105"/>
        </w:rPr>
        <w:t>locali</w:t>
      </w:r>
      <w:r>
        <w:rPr>
          <w:color w:val="231F20"/>
          <w:spacing w:val="-39"/>
          <w:w w:val="105"/>
        </w:rPr>
        <w:t> </w:t>
      </w:r>
      <w:r>
        <w:rPr>
          <w:color w:val="231F20"/>
          <w:w w:val="105"/>
        </w:rPr>
        <w:t>che</w:t>
      </w:r>
      <w:r>
        <w:rPr>
          <w:color w:val="231F20"/>
          <w:spacing w:val="-39"/>
          <w:w w:val="105"/>
        </w:rPr>
        <w:t> </w:t>
      </w:r>
      <w:r>
        <w:rPr>
          <w:color w:val="231F20"/>
          <w:w w:val="105"/>
        </w:rPr>
        <w:t>cercano</w:t>
      </w:r>
      <w:r>
        <w:rPr>
          <w:color w:val="231F20"/>
          <w:spacing w:val="-39"/>
          <w:w w:val="105"/>
        </w:rPr>
        <w:t> </w:t>
      </w:r>
      <w:r>
        <w:rPr>
          <w:color w:val="231F20"/>
          <w:w w:val="105"/>
        </w:rPr>
        <w:t>di</w:t>
      </w:r>
      <w:r>
        <w:rPr>
          <w:color w:val="231F20"/>
          <w:spacing w:val="-39"/>
          <w:w w:val="105"/>
        </w:rPr>
        <w:t> </w:t>
      </w:r>
      <w:r>
        <w:rPr>
          <w:color w:val="231F20"/>
          <w:w w:val="105"/>
        </w:rPr>
        <w:t>far</w:t>
      </w:r>
      <w:r>
        <w:rPr>
          <w:color w:val="231F20"/>
          <w:spacing w:val="-39"/>
          <w:w w:val="105"/>
        </w:rPr>
        <w:t> </w:t>
      </w:r>
      <w:r>
        <w:rPr>
          <w:color w:val="231F20"/>
          <w:w w:val="105"/>
        </w:rPr>
        <w:t>fronte</w:t>
      </w:r>
      <w:r>
        <w:rPr>
          <w:color w:val="231F20"/>
          <w:spacing w:val="-39"/>
          <w:w w:val="105"/>
        </w:rPr>
        <w:t> </w:t>
      </w:r>
      <w:r>
        <w:rPr>
          <w:color w:val="231F20"/>
          <w:w w:val="105"/>
        </w:rPr>
        <w:t>alla</w:t>
      </w:r>
      <w:r>
        <w:rPr>
          <w:color w:val="231F20"/>
          <w:spacing w:val="-39"/>
          <w:w w:val="105"/>
        </w:rPr>
        <w:t> </w:t>
      </w:r>
      <w:r>
        <w:rPr>
          <w:color w:val="231F20"/>
          <w:w w:val="105"/>
        </w:rPr>
        <w:t>tendenza</w:t>
      </w:r>
      <w:r>
        <w:rPr>
          <w:color w:val="231F20"/>
          <w:spacing w:val="-39"/>
          <w:w w:val="105"/>
        </w:rPr>
        <w:t> </w:t>
      </w:r>
      <w:r>
        <w:rPr>
          <w:color w:val="231F20"/>
          <w:w w:val="105"/>
        </w:rPr>
        <w:t>unificatrice</w:t>
      </w:r>
      <w:r>
        <w:rPr>
          <w:color w:val="231F20"/>
          <w:spacing w:val="-39"/>
          <w:w w:val="105"/>
        </w:rPr>
        <w:t> </w:t>
      </w:r>
      <w:r>
        <w:rPr>
          <w:color w:val="231F20"/>
          <w:w w:val="105"/>
        </w:rPr>
        <w:t>del globale.</w:t>
      </w:r>
    </w:p>
    <w:p>
      <w:pPr>
        <w:pStyle w:val="BodyText"/>
        <w:spacing w:before="5"/>
      </w:pPr>
    </w:p>
    <w:p>
      <w:pPr>
        <w:pStyle w:val="ListParagraph"/>
        <w:numPr>
          <w:ilvl w:val="0"/>
          <w:numId w:val="11"/>
        </w:numPr>
        <w:tabs>
          <w:tab w:pos="911" w:val="left" w:leader="none"/>
        </w:tabs>
        <w:spacing w:line="240" w:lineRule="auto" w:before="0" w:after="0"/>
        <w:ind w:left="910" w:right="0" w:hanging="226"/>
        <w:jc w:val="left"/>
        <w:rPr>
          <w:sz w:val="21"/>
        </w:rPr>
      </w:pPr>
      <w:r>
        <w:rPr>
          <w:color w:val="231F20"/>
          <w:w w:val="105"/>
          <w:sz w:val="21"/>
        </w:rPr>
        <w:t>Centro–margini</w:t>
      </w:r>
    </w:p>
    <w:p>
      <w:pPr>
        <w:pStyle w:val="BodyText"/>
        <w:rPr>
          <w:sz w:val="22"/>
        </w:rPr>
      </w:pPr>
    </w:p>
    <w:p>
      <w:pPr>
        <w:pStyle w:val="BodyText"/>
        <w:spacing w:line="247" w:lineRule="auto" w:before="1"/>
        <w:ind w:left="117" w:right="120"/>
        <w:jc w:val="both"/>
      </w:pPr>
      <w:r>
        <w:rPr>
          <w:color w:val="231F20"/>
          <w:w w:val="105"/>
        </w:rPr>
        <w:t>Quest’ultima aporia rifiuta che la globalizzazione tenda a centralizzare i processi</w:t>
      </w:r>
      <w:r>
        <w:rPr>
          <w:color w:val="231F20"/>
          <w:spacing w:val="-36"/>
          <w:w w:val="105"/>
        </w:rPr>
        <w:t> </w:t>
      </w:r>
      <w:r>
        <w:rPr>
          <w:color w:val="231F20"/>
          <w:w w:val="105"/>
        </w:rPr>
        <w:t>e</w:t>
      </w:r>
      <w:r>
        <w:rPr>
          <w:color w:val="231F20"/>
          <w:spacing w:val="-36"/>
          <w:w w:val="105"/>
        </w:rPr>
        <w:t> </w:t>
      </w:r>
      <w:r>
        <w:rPr>
          <w:color w:val="231F20"/>
          <w:w w:val="105"/>
        </w:rPr>
        <w:t>la</w:t>
      </w:r>
      <w:r>
        <w:rPr>
          <w:color w:val="231F20"/>
          <w:spacing w:val="-36"/>
          <w:w w:val="105"/>
        </w:rPr>
        <w:t> </w:t>
      </w:r>
      <w:r>
        <w:rPr>
          <w:color w:val="231F20"/>
          <w:w w:val="105"/>
        </w:rPr>
        <w:t>vita</w:t>
      </w:r>
      <w:r>
        <w:rPr>
          <w:color w:val="231F20"/>
          <w:spacing w:val="-36"/>
          <w:w w:val="105"/>
        </w:rPr>
        <w:t> </w:t>
      </w:r>
      <w:r>
        <w:rPr>
          <w:color w:val="231F20"/>
          <w:w w:val="105"/>
        </w:rPr>
        <w:t>stessa</w:t>
      </w:r>
      <w:r>
        <w:rPr>
          <w:color w:val="231F20"/>
          <w:spacing w:val="-36"/>
          <w:w w:val="105"/>
        </w:rPr>
        <w:t> </w:t>
      </w:r>
      <w:r>
        <w:rPr>
          <w:color w:val="231F20"/>
          <w:w w:val="105"/>
        </w:rPr>
        <w:t>sotto</w:t>
      </w:r>
      <w:r>
        <w:rPr>
          <w:color w:val="231F20"/>
          <w:spacing w:val="-36"/>
          <w:w w:val="105"/>
        </w:rPr>
        <w:t> </w:t>
      </w:r>
      <w:r>
        <w:rPr>
          <w:color w:val="231F20"/>
          <w:w w:val="105"/>
        </w:rPr>
        <w:t>un</w:t>
      </w:r>
      <w:r>
        <w:rPr>
          <w:color w:val="231F20"/>
          <w:spacing w:val="-36"/>
          <w:w w:val="105"/>
        </w:rPr>
        <w:t> </w:t>
      </w:r>
      <w:r>
        <w:rPr>
          <w:color w:val="231F20"/>
          <w:w w:val="105"/>
        </w:rPr>
        <w:t>modello</w:t>
      </w:r>
      <w:r>
        <w:rPr>
          <w:color w:val="231F20"/>
          <w:spacing w:val="-36"/>
          <w:w w:val="105"/>
        </w:rPr>
        <w:t> </w:t>
      </w:r>
      <w:r>
        <w:rPr>
          <w:color w:val="231F20"/>
          <w:w w:val="105"/>
        </w:rPr>
        <w:t>dirigente;</w:t>
      </w:r>
      <w:r>
        <w:rPr>
          <w:color w:val="231F20"/>
          <w:spacing w:val="-36"/>
          <w:w w:val="105"/>
        </w:rPr>
        <w:t> </w:t>
      </w:r>
      <w:r>
        <w:rPr>
          <w:color w:val="231F20"/>
          <w:w w:val="105"/>
        </w:rPr>
        <w:t>tutto</w:t>
      </w:r>
      <w:r>
        <w:rPr>
          <w:color w:val="231F20"/>
          <w:spacing w:val="-36"/>
          <w:w w:val="105"/>
        </w:rPr>
        <w:t> </w:t>
      </w:r>
      <w:r>
        <w:rPr>
          <w:color w:val="231F20"/>
          <w:w w:val="105"/>
        </w:rPr>
        <w:t>il</w:t>
      </w:r>
      <w:r>
        <w:rPr>
          <w:color w:val="231F20"/>
          <w:spacing w:val="-36"/>
          <w:w w:val="105"/>
        </w:rPr>
        <w:t> </w:t>
      </w:r>
      <w:r>
        <w:rPr>
          <w:color w:val="231F20"/>
          <w:w w:val="105"/>
        </w:rPr>
        <w:t>contrario,</w:t>
      </w:r>
      <w:r>
        <w:rPr>
          <w:color w:val="231F20"/>
          <w:spacing w:val="-36"/>
          <w:w w:val="105"/>
        </w:rPr>
        <w:t> </w:t>
      </w:r>
      <w:r>
        <w:rPr>
          <w:color w:val="231F20"/>
          <w:w w:val="105"/>
        </w:rPr>
        <w:t>quello che</w:t>
      </w:r>
      <w:r>
        <w:rPr>
          <w:color w:val="231F20"/>
          <w:spacing w:val="-16"/>
          <w:w w:val="105"/>
        </w:rPr>
        <w:t> </w:t>
      </w:r>
      <w:r>
        <w:rPr>
          <w:color w:val="231F20"/>
          <w:w w:val="105"/>
        </w:rPr>
        <w:t>si</w:t>
      </w:r>
      <w:r>
        <w:rPr>
          <w:color w:val="231F20"/>
          <w:spacing w:val="-16"/>
          <w:w w:val="105"/>
        </w:rPr>
        <w:t> </w:t>
      </w:r>
      <w:r>
        <w:rPr>
          <w:color w:val="231F20"/>
          <w:w w:val="105"/>
        </w:rPr>
        <w:t>produce</w:t>
      </w:r>
      <w:r>
        <w:rPr>
          <w:color w:val="231F20"/>
          <w:spacing w:val="-16"/>
          <w:w w:val="105"/>
        </w:rPr>
        <w:t> </w:t>
      </w:r>
      <w:r>
        <w:rPr>
          <w:color w:val="231F20"/>
          <w:w w:val="105"/>
        </w:rPr>
        <w:t>è</w:t>
      </w:r>
      <w:r>
        <w:rPr>
          <w:color w:val="231F20"/>
          <w:spacing w:val="-16"/>
          <w:w w:val="105"/>
        </w:rPr>
        <w:t> </w:t>
      </w:r>
      <w:r>
        <w:rPr>
          <w:color w:val="231F20"/>
          <w:w w:val="105"/>
        </w:rPr>
        <w:t>un</w:t>
      </w:r>
      <w:r>
        <w:rPr>
          <w:color w:val="231F20"/>
          <w:spacing w:val="-16"/>
          <w:w w:val="105"/>
        </w:rPr>
        <w:t> </w:t>
      </w:r>
      <w:r>
        <w:rPr>
          <w:color w:val="231F20"/>
          <w:w w:val="105"/>
        </w:rPr>
        <w:t>movimento</w:t>
      </w:r>
      <w:r>
        <w:rPr>
          <w:color w:val="231F20"/>
          <w:spacing w:val="-16"/>
          <w:w w:val="105"/>
        </w:rPr>
        <w:t> </w:t>
      </w:r>
      <w:r>
        <w:rPr>
          <w:color w:val="231F20"/>
          <w:w w:val="105"/>
        </w:rPr>
        <w:t>inverso</w:t>
      </w:r>
      <w:r>
        <w:rPr>
          <w:color w:val="231F20"/>
          <w:spacing w:val="-16"/>
          <w:w w:val="105"/>
        </w:rPr>
        <w:t> </w:t>
      </w:r>
      <w:r>
        <w:rPr>
          <w:color w:val="231F20"/>
          <w:w w:val="105"/>
        </w:rPr>
        <w:t>in</w:t>
      </w:r>
      <w:r>
        <w:rPr>
          <w:color w:val="231F20"/>
          <w:spacing w:val="-16"/>
          <w:w w:val="105"/>
        </w:rPr>
        <w:t> </w:t>
      </w:r>
      <w:r>
        <w:rPr>
          <w:color w:val="231F20"/>
          <w:w w:val="105"/>
        </w:rPr>
        <w:t>cui</w:t>
      </w:r>
      <w:r>
        <w:rPr>
          <w:color w:val="231F20"/>
          <w:spacing w:val="-16"/>
          <w:w w:val="105"/>
        </w:rPr>
        <w:t> </w:t>
      </w:r>
      <w:r>
        <w:rPr>
          <w:color w:val="231F20"/>
          <w:w w:val="105"/>
        </w:rPr>
        <w:t>il</w:t>
      </w:r>
      <w:r>
        <w:rPr>
          <w:color w:val="231F20"/>
          <w:spacing w:val="-16"/>
          <w:w w:val="105"/>
        </w:rPr>
        <w:t> </w:t>
      </w:r>
      <w:r>
        <w:rPr>
          <w:color w:val="231F20"/>
          <w:w w:val="105"/>
        </w:rPr>
        <w:t>centro</w:t>
      </w:r>
      <w:r>
        <w:rPr>
          <w:color w:val="231F20"/>
          <w:spacing w:val="-16"/>
          <w:w w:val="105"/>
        </w:rPr>
        <w:t> </w:t>
      </w:r>
      <w:r>
        <w:rPr>
          <w:color w:val="231F20"/>
          <w:w w:val="105"/>
        </w:rPr>
        <w:t>è</w:t>
      </w:r>
      <w:r>
        <w:rPr>
          <w:color w:val="231F20"/>
          <w:spacing w:val="-16"/>
          <w:w w:val="105"/>
        </w:rPr>
        <w:t> </w:t>
      </w:r>
      <w:r>
        <w:rPr>
          <w:color w:val="231F20"/>
          <w:w w:val="105"/>
        </w:rPr>
        <w:t>ora</w:t>
      </w:r>
      <w:r>
        <w:rPr>
          <w:color w:val="231F20"/>
          <w:spacing w:val="-16"/>
          <w:w w:val="105"/>
        </w:rPr>
        <w:t> </w:t>
      </w:r>
      <w:r>
        <w:rPr>
          <w:color w:val="231F20"/>
          <w:w w:val="105"/>
        </w:rPr>
        <w:t>dappertutto. Non</w:t>
      </w:r>
      <w:r>
        <w:rPr>
          <w:color w:val="231F20"/>
          <w:spacing w:val="-41"/>
          <w:w w:val="105"/>
        </w:rPr>
        <w:t> </w:t>
      </w:r>
      <w:r>
        <w:rPr>
          <w:color w:val="231F20"/>
          <w:w w:val="105"/>
        </w:rPr>
        <w:t>c’è</w:t>
      </w:r>
      <w:r>
        <w:rPr>
          <w:color w:val="231F20"/>
          <w:spacing w:val="-41"/>
          <w:w w:val="105"/>
        </w:rPr>
        <w:t> </w:t>
      </w:r>
      <w:r>
        <w:rPr>
          <w:color w:val="231F20"/>
          <w:w w:val="105"/>
        </w:rPr>
        <w:t>più</w:t>
      </w:r>
      <w:r>
        <w:rPr>
          <w:color w:val="231F20"/>
          <w:spacing w:val="-41"/>
          <w:w w:val="105"/>
        </w:rPr>
        <w:t> </w:t>
      </w:r>
      <w:r>
        <w:rPr>
          <w:color w:val="231F20"/>
          <w:w w:val="105"/>
        </w:rPr>
        <w:t>un</w:t>
      </w:r>
      <w:r>
        <w:rPr>
          <w:color w:val="231F20"/>
          <w:spacing w:val="-41"/>
          <w:w w:val="105"/>
        </w:rPr>
        <w:t> </w:t>
      </w:r>
      <w:r>
        <w:rPr>
          <w:color w:val="231F20"/>
          <w:w w:val="105"/>
        </w:rPr>
        <w:t>solo</w:t>
      </w:r>
      <w:r>
        <w:rPr>
          <w:color w:val="231F20"/>
          <w:spacing w:val="-41"/>
          <w:w w:val="105"/>
        </w:rPr>
        <w:t> </w:t>
      </w:r>
      <w:r>
        <w:rPr>
          <w:color w:val="231F20"/>
          <w:spacing w:val="-3"/>
          <w:w w:val="105"/>
        </w:rPr>
        <w:t>centro</w:t>
      </w:r>
      <w:r>
        <w:rPr>
          <w:color w:val="231F20"/>
          <w:spacing w:val="-41"/>
          <w:w w:val="105"/>
        </w:rPr>
        <w:t> </w:t>
      </w:r>
      <w:r>
        <w:rPr>
          <w:color w:val="231F20"/>
          <w:w w:val="105"/>
        </w:rPr>
        <w:t>dal</w:t>
      </w:r>
      <w:r>
        <w:rPr>
          <w:color w:val="231F20"/>
          <w:spacing w:val="-41"/>
          <w:w w:val="105"/>
        </w:rPr>
        <w:t> </w:t>
      </w:r>
      <w:r>
        <w:rPr>
          <w:color w:val="231F20"/>
          <w:w w:val="105"/>
        </w:rPr>
        <w:t>quale</w:t>
      </w:r>
      <w:r>
        <w:rPr>
          <w:color w:val="231F20"/>
          <w:spacing w:val="-41"/>
          <w:w w:val="105"/>
        </w:rPr>
        <w:t> </w:t>
      </w:r>
      <w:r>
        <w:rPr>
          <w:color w:val="231F20"/>
          <w:w w:val="105"/>
        </w:rPr>
        <w:t>si</w:t>
      </w:r>
      <w:r>
        <w:rPr>
          <w:color w:val="231F20"/>
          <w:spacing w:val="-41"/>
          <w:w w:val="105"/>
        </w:rPr>
        <w:t> </w:t>
      </w:r>
      <w:r>
        <w:rPr>
          <w:color w:val="231F20"/>
          <w:w w:val="105"/>
        </w:rPr>
        <w:t>irradiano</w:t>
      </w:r>
      <w:r>
        <w:rPr>
          <w:color w:val="231F20"/>
          <w:spacing w:val="-41"/>
          <w:w w:val="105"/>
        </w:rPr>
        <w:t> </w:t>
      </w:r>
      <w:r>
        <w:rPr>
          <w:color w:val="231F20"/>
          <w:w w:val="105"/>
        </w:rPr>
        <w:t>in</w:t>
      </w:r>
      <w:r>
        <w:rPr>
          <w:color w:val="231F20"/>
          <w:spacing w:val="-41"/>
          <w:w w:val="105"/>
        </w:rPr>
        <w:t> </w:t>
      </w:r>
      <w:r>
        <w:rPr>
          <w:color w:val="231F20"/>
          <w:w w:val="105"/>
        </w:rPr>
        <w:t>modo</w:t>
      </w:r>
      <w:r>
        <w:rPr>
          <w:color w:val="231F20"/>
          <w:spacing w:val="-41"/>
          <w:w w:val="105"/>
        </w:rPr>
        <w:t> </w:t>
      </w:r>
      <w:r>
        <w:rPr>
          <w:color w:val="231F20"/>
          <w:w w:val="105"/>
        </w:rPr>
        <w:t>univoco</w:t>
      </w:r>
      <w:r>
        <w:rPr>
          <w:color w:val="231F20"/>
          <w:spacing w:val="-41"/>
          <w:w w:val="105"/>
        </w:rPr>
        <w:t> </w:t>
      </w:r>
      <w:r>
        <w:rPr>
          <w:color w:val="231F20"/>
          <w:w w:val="105"/>
        </w:rPr>
        <w:t>le</w:t>
      </w:r>
      <w:r>
        <w:rPr>
          <w:color w:val="231F20"/>
          <w:spacing w:val="-41"/>
          <w:w w:val="105"/>
        </w:rPr>
        <w:t> </w:t>
      </w:r>
      <w:r>
        <w:rPr>
          <w:color w:val="231F20"/>
          <w:w w:val="105"/>
        </w:rPr>
        <w:t>politiche, la </w:t>
      </w:r>
      <w:r>
        <w:rPr>
          <w:color w:val="231F20"/>
          <w:spacing w:val="2"/>
          <w:w w:val="105"/>
        </w:rPr>
        <w:t>produzione, </w:t>
      </w:r>
      <w:r>
        <w:rPr>
          <w:color w:val="231F20"/>
          <w:w w:val="105"/>
        </w:rPr>
        <w:t>le </w:t>
      </w:r>
      <w:r>
        <w:rPr>
          <w:color w:val="231F20"/>
          <w:spacing w:val="2"/>
          <w:w w:val="105"/>
        </w:rPr>
        <w:t>forme </w:t>
      </w:r>
      <w:r>
        <w:rPr>
          <w:color w:val="231F20"/>
          <w:w w:val="105"/>
        </w:rPr>
        <w:t>di </w:t>
      </w:r>
      <w:r>
        <w:rPr>
          <w:color w:val="231F20"/>
          <w:spacing w:val="2"/>
          <w:w w:val="105"/>
        </w:rPr>
        <w:t>vita, </w:t>
      </w:r>
      <w:r>
        <w:rPr>
          <w:color w:val="231F20"/>
          <w:w w:val="105"/>
        </w:rPr>
        <w:t>la </w:t>
      </w:r>
      <w:r>
        <w:rPr>
          <w:color w:val="231F20"/>
          <w:spacing w:val="2"/>
          <w:w w:val="105"/>
        </w:rPr>
        <w:t>moda, </w:t>
      </w:r>
      <w:r>
        <w:rPr>
          <w:color w:val="231F20"/>
          <w:w w:val="105"/>
        </w:rPr>
        <w:t>le </w:t>
      </w:r>
      <w:r>
        <w:rPr>
          <w:color w:val="231F20"/>
          <w:spacing w:val="2"/>
          <w:w w:val="105"/>
        </w:rPr>
        <w:t>normative, ecc.: </w:t>
      </w:r>
      <w:r>
        <w:rPr>
          <w:color w:val="231F20"/>
          <w:w w:val="105"/>
        </w:rPr>
        <w:t>“il </w:t>
      </w:r>
      <w:r>
        <w:rPr>
          <w:color w:val="231F20"/>
          <w:spacing w:val="3"/>
          <w:w w:val="105"/>
        </w:rPr>
        <w:t>mondo </w:t>
      </w:r>
      <w:r>
        <w:rPr>
          <w:color w:val="231F20"/>
          <w:w w:val="105"/>
        </w:rPr>
        <w:t>globalizzato</w:t>
      </w:r>
      <w:r>
        <w:rPr>
          <w:color w:val="231F20"/>
          <w:spacing w:val="-47"/>
          <w:w w:val="105"/>
        </w:rPr>
        <w:t> </w:t>
      </w:r>
      <w:r>
        <w:rPr>
          <w:color w:val="231F20"/>
          <w:w w:val="105"/>
        </w:rPr>
        <w:t>si</w:t>
      </w:r>
      <w:r>
        <w:rPr>
          <w:color w:val="231F20"/>
          <w:spacing w:val="-47"/>
          <w:w w:val="105"/>
        </w:rPr>
        <w:t> </w:t>
      </w:r>
      <w:r>
        <w:rPr>
          <w:color w:val="231F20"/>
          <w:w w:val="105"/>
        </w:rPr>
        <w:t>presenta</w:t>
      </w:r>
      <w:r>
        <w:rPr>
          <w:color w:val="231F20"/>
          <w:spacing w:val="-47"/>
          <w:w w:val="105"/>
        </w:rPr>
        <w:t> </w:t>
      </w:r>
      <w:r>
        <w:rPr>
          <w:color w:val="231F20"/>
          <w:w w:val="105"/>
        </w:rPr>
        <w:t>come</w:t>
      </w:r>
      <w:r>
        <w:rPr>
          <w:color w:val="231F20"/>
          <w:spacing w:val="-47"/>
          <w:w w:val="105"/>
        </w:rPr>
        <w:t> </w:t>
      </w:r>
      <w:r>
        <w:rPr>
          <w:color w:val="231F20"/>
          <w:w w:val="105"/>
        </w:rPr>
        <w:t>un</w:t>
      </w:r>
      <w:r>
        <w:rPr>
          <w:color w:val="231F20"/>
          <w:spacing w:val="-47"/>
          <w:w w:val="105"/>
        </w:rPr>
        <w:t> </w:t>
      </w:r>
      <w:r>
        <w:rPr>
          <w:color w:val="231F20"/>
          <w:w w:val="105"/>
        </w:rPr>
        <w:t>mondo</w:t>
      </w:r>
      <w:r>
        <w:rPr>
          <w:color w:val="231F20"/>
          <w:spacing w:val="-47"/>
          <w:w w:val="105"/>
        </w:rPr>
        <w:t> </w:t>
      </w:r>
      <w:r>
        <w:rPr>
          <w:color w:val="231F20"/>
          <w:w w:val="105"/>
        </w:rPr>
        <w:t>sommamente</w:t>
      </w:r>
      <w:r>
        <w:rPr>
          <w:color w:val="231F20"/>
          <w:spacing w:val="-47"/>
          <w:w w:val="105"/>
        </w:rPr>
        <w:t> </w:t>
      </w:r>
      <w:r>
        <w:rPr>
          <w:color w:val="231F20"/>
          <w:w w:val="105"/>
        </w:rPr>
        <w:t>policentrico,</w:t>
      </w:r>
      <w:r>
        <w:rPr>
          <w:color w:val="231F20"/>
          <w:spacing w:val="-47"/>
          <w:w w:val="105"/>
        </w:rPr>
        <w:t> </w:t>
      </w:r>
      <w:r>
        <w:rPr>
          <w:color w:val="231F20"/>
          <w:w w:val="105"/>
        </w:rPr>
        <w:t>quindi, in</w:t>
      </w:r>
      <w:r>
        <w:rPr>
          <w:color w:val="231F20"/>
          <w:spacing w:val="-51"/>
          <w:w w:val="105"/>
        </w:rPr>
        <w:t> </w:t>
      </w:r>
      <w:r>
        <w:rPr>
          <w:color w:val="231F20"/>
          <w:spacing w:val="-3"/>
          <w:w w:val="105"/>
        </w:rPr>
        <w:t>loro</w:t>
      </w:r>
      <w:r>
        <w:rPr>
          <w:color w:val="231F20"/>
          <w:spacing w:val="-51"/>
          <w:w w:val="105"/>
        </w:rPr>
        <w:t> </w:t>
      </w:r>
      <w:r>
        <w:rPr>
          <w:color w:val="231F20"/>
          <w:w w:val="105"/>
        </w:rPr>
        <w:t>coesistono</w:t>
      </w:r>
      <w:r>
        <w:rPr>
          <w:color w:val="231F20"/>
          <w:spacing w:val="-51"/>
          <w:w w:val="105"/>
        </w:rPr>
        <w:t> </w:t>
      </w:r>
      <w:r>
        <w:rPr>
          <w:color w:val="231F20"/>
          <w:spacing w:val="-3"/>
          <w:w w:val="105"/>
        </w:rPr>
        <w:t>numerosi</w:t>
      </w:r>
      <w:r>
        <w:rPr>
          <w:color w:val="231F20"/>
          <w:spacing w:val="-51"/>
          <w:w w:val="105"/>
        </w:rPr>
        <w:t> </w:t>
      </w:r>
      <w:r>
        <w:rPr>
          <w:color w:val="231F20"/>
          <w:w w:val="105"/>
        </w:rPr>
        <w:t>stati,</w:t>
      </w:r>
      <w:r>
        <w:rPr>
          <w:color w:val="231F20"/>
          <w:spacing w:val="-51"/>
          <w:w w:val="105"/>
        </w:rPr>
        <w:t> </w:t>
      </w:r>
      <w:r>
        <w:rPr>
          <w:color w:val="231F20"/>
          <w:spacing w:val="-3"/>
          <w:w w:val="105"/>
        </w:rPr>
        <w:t>culture,</w:t>
      </w:r>
      <w:r>
        <w:rPr>
          <w:color w:val="231F20"/>
          <w:spacing w:val="-51"/>
          <w:w w:val="105"/>
        </w:rPr>
        <w:t> </w:t>
      </w:r>
      <w:r>
        <w:rPr>
          <w:color w:val="231F20"/>
          <w:spacing w:val="-3"/>
          <w:w w:val="105"/>
        </w:rPr>
        <w:t>religioni,</w:t>
      </w:r>
      <w:r>
        <w:rPr>
          <w:color w:val="231F20"/>
          <w:spacing w:val="-51"/>
          <w:w w:val="105"/>
        </w:rPr>
        <w:t> </w:t>
      </w:r>
      <w:r>
        <w:rPr>
          <w:color w:val="231F20"/>
          <w:w w:val="105"/>
        </w:rPr>
        <w:t>ecc.,</w:t>
      </w:r>
      <w:r>
        <w:rPr>
          <w:color w:val="231F20"/>
          <w:spacing w:val="-51"/>
          <w:w w:val="105"/>
        </w:rPr>
        <w:t> </w:t>
      </w:r>
      <w:r>
        <w:rPr>
          <w:color w:val="231F20"/>
          <w:w w:val="105"/>
        </w:rPr>
        <w:t>non</w:t>
      </w:r>
      <w:r>
        <w:rPr>
          <w:color w:val="231F20"/>
          <w:spacing w:val="-51"/>
          <w:w w:val="105"/>
        </w:rPr>
        <w:t> </w:t>
      </w:r>
      <w:r>
        <w:rPr>
          <w:color w:val="231F20"/>
          <w:w w:val="105"/>
        </w:rPr>
        <w:t>essendoci</w:t>
      </w:r>
      <w:r>
        <w:rPr>
          <w:color w:val="231F20"/>
          <w:spacing w:val="-51"/>
          <w:w w:val="105"/>
        </w:rPr>
        <w:t> </w:t>
      </w:r>
      <w:r>
        <w:rPr>
          <w:color w:val="231F20"/>
          <w:w w:val="105"/>
        </w:rPr>
        <w:t>più</w:t>
      </w:r>
      <w:r>
        <w:rPr>
          <w:color w:val="231F20"/>
          <w:spacing w:val="-51"/>
          <w:w w:val="105"/>
        </w:rPr>
        <w:t> </w:t>
      </w:r>
      <w:r>
        <w:rPr>
          <w:color w:val="231F20"/>
          <w:w w:val="105"/>
        </w:rPr>
        <w:t>un </w:t>
      </w:r>
      <w:r>
        <w:rPr>
          <w:color w:val="231F20"/>
          <w:spacing w:val="-3"/>
          <w:w w:val="105"/>
        </w:rPr>
        <w:t>centro</w:t>
      </w:r>
      <w:r>
        <w:rPr>
          <w:color w:val="231F20"/>
          <w:spacing w:val="-42"/>
          <w:w w:val="105"/>
        </w:rPr>
        <w:t> </w:t>
      </w:r>
      <w:r>
        <w:rPr>
          <w:color w:val="231F20"/>
          <w:w w:val="105"/>
        </w:rPr>
        <w:t>unico</w:t>
      </w:r>
      <w:r>
        <w:rPr>
          <w:color w:val="231F20"/>
          <w:spacing w:val="-42"/>
          <w:w w:val="105"/>
        </w:rPr>
        <w:t> </w:t>
      </w:r>
      <w:r>
        <w:rPr>
          <w:color w:val="231F20"/>
          <w:w w:val="105"/>
        </w:rPr>
        <w:t>della</w:t>
      </w:r>
      <w:r>
        <w:rPr>
          <w:color w:val="231F20"/>
          <w:spacing w:val="-42"/>
          <w:w w:val="105"/>
        </w:rPr>
        <w:t> </w:t>
      </w:r>
      <w:r>
        <w:rPr>
          <w:color w:val="231F20"/>
          <w:w w:val="105"/>
        </w:rPr>
        <w:t>società</w:t>
      </w:r>
      <w:r>
        <w:rPr>
          <w:color w:val="231F20"/>
          <w:spacing w:val="-42"/>
          <w:w w:val="105"/>
        </w:rPr>
        <w:t> </w:t>
      </w:r>
      <w:r>
        <w:rPr>
          <w:color w:val="231F20"/>
          <w:w w:val="105"/>
        </w:rPr>
        <w:t>mondiale”</w:t>
      </w:r>
      <w:r>
        <w:rPr>
          <w:color w:val="231F20"/>
          <w:w w:val="105"/>
          <w:position w:val="7"/>
          <w:sz w:val="12"/>
        </w:rPr>
        <w:t>23</w:t>
      </w:r>
      <w:r>
        <w:rPr>
          <w:color w:val="231F20"/>
          <w:w w:val="105"/>
        </w:rPr>
        <w:t>.</w:t>
      </w:r>
      <w:r>
        <w:rPr>
          <w:color w:val="231F20"/>
          <w:spacing w:val="-42"/>
          <w:w w:val="105"/>
        </w:rPr>
        <w:t> </w:t>
      </w:r>
      <w:r>
        <w:rPr>
          <w:color w:val="231F20"/>
          <w:spacing w:val="-4"/>
          <w:w w:val="105"/>
        </w:rPr>
        <w:t>L’espressione</w:t>
      </w:r>
      <w:r>
        <w:rPr>
          <w:color w:val="231F20"/>
          <w:spacing w:val="-43"/>
          <w:w w:val="105"/>
        </w:rPr>
        <w:t> </w:t>
      </w:r>
      <w:r>
        <w:rPr>
          <w:rFonts w:ascii="Arial" w:hAnsi="Arial"/>
          <w:i/>
          <w:color w:val="231F20"/>
          <w:w w:val="105"/>
        </w:rPr>
        <w:t>il</w:t>
      </w:r>
      <w:r>
        <w:rPr>
          <w:rFonts w:ascii="Arial" w:hAnsi="Arial"/>
          <w:i/>
          <w:color w:val="231F20"/>
          <w:spacing w:val="-34"/>
          <w:w w:val="105"/>
        </w:rPr>
        <w:t> </w:t>
      </w:r>
      <w:r>
        <w:rPr>
          <w:rFonts w:ascii="Arial" w:hAnsi="Arial"/>
          <w:i/>
          <w:color w:val="231F20"/>
          <w:spacing w:val="-3"/>
          <w:w w:val="105"/>
        </w:rPr>
        <w:t>centro</w:t>
      </w:r>
      <w:r>
        <w:rPr>
          <w:rFonts w:ascii="Arial" w:hAnsi="Arial"/>
          <w:i/>
          <w:color w:val="231F20"/>
          <w:spacing w:val="-33"/>
          <w:w w:val="105"/>
        </w:rPr>
        <w:t> </w:t>
      </w:r>
      <w:r>
        <w:rPr>
          <w:color w:val="231F20"/>
          <w:w w:val="105"/>
        </w:rPr>
        <w:t>è</w:t>
      </w:r>
      <w:r>
        <w:rPr>
          <w:color w:val="231F20"/>
          <w:spacing w:val="-41"/>
          <w:w w:val="105"/>
        </w:rPr>
        <w:t> </w:t>
      </w:r>
      <w:r>
        <w:rPr>
          <w:rFonts w:ascii="Arial" w:hAnsi="Arial"/>
          <w:i/>
          <w:color w:val="231F20"/>
          <w:w w:val="105"/>
        </w:rPr>
        <w:t>dappertutto, </w:t>
      </w:r>
      <w:r>
        <w:rPr>
          <w:color w:val="231F20"/>
          <w:w w:val="105"/>
        </w:rPr>
        <w:t>si</w:t>
      </w:r>
      <w:r>
        <w:rPr>
          <w:color w:val="231F20"/>
          <w:spacing w:val="-32"/>
          <w:w w:val="105"/>
        </w:rPr>
        <w:t> </w:t>
      </w:r>
      <w:r>
        <w:rPr>
          <w:color w:val="231F20"/>
          <w:w w:val="105"/>
        </w:rPr>
        <w:t>è</w:t>
      </w:r>
      <w:r>
        <w:rPr>
          <w:color w:val="231F20"/>
          <w:spacing w:val="-32"/>
          <w:w w:val="105"/>
        </w:rPr>
        <w:t> </w:t>
      </w:r>
      <w:r>
        <w:rPr>
          <w:color w:val="231F20"/>
          <w:w w:val="105"/>
        </w:rPr>
        <w:t>popolarizzata</w:t>
      </w:r>
      <w:r>
        <w:rPr>
          <w:color w:val="231F20"/>
          <w:spacing w:val="-32"/>
          <w:w w:val="105"/>
        </w:rPr>
        <w:t> </w:t>
      </w:r>
      <w:r>
        <w:rPr>
          <w:color w:val="231F20"/>
          <w:w w:val="105"/>
        </w:rPr>
        <w:t>per</w:t>
      </w:r>
      <w:r>
        <w:rPr>
          <w:color w:val="231F20"/>
          <w:spacing w:val="-32"/>
          <w:w w:val="105"/>
        </w:rPr>
        <w:t> </w:t>
      </w:r>
      <w:r>
        <w:rPr>
          <w:color w:val="231F20"/>
          <w:w w:val="105"/>
        </w:rPr>
        <w:t>indicare</w:t>
      </w:r>
      <w:r>
        <w:rPr>
          <w:color w:val="231F20"/>
          <w:spacing w:val="-32"/>
          <w:w w:val="105"/>
        </w:rPr>
        <w:t> </w:t>
      </w:r>
      <w:r>
        <w:rPr>
          <w:color w:val="231F20"/>
          <w:w w:val="105"/>
        </w:rPr>
        <w:t>la</w:t>
      </w:r>
      <w:r>
        <w:rPr>
          <w:color w:val="231F20"/>
          <w:spacing w:val="-32"/>
          <w:w w:val="105"/>
        </w:rPr>
        <w:t> </w:t>
      </w:r>
      <w:r>
        <w:rPr>
          <w:color w:val="231F20"/>
          <w:w w:val="105"/>
        </w:rPr>
        <w:t>sua</w:t>
      </w:r>
      <w:r>
        <w:rPr>
          <w:color w:val="231F20"/>
          <w:spacing w:val="-32"/>
          <w:w w:val="105"/>
        </w:rPr>
        <w:t> </w:t>
      </w:r>
      <w:r>
        <w:rPr>
          <w:color w:val="231F20"/>
          <w:w w:val="105"/>
        </w:rPr>
        <w:t>atomizzazione</w:t>
      </w:r>
      <w:r>
        <w:rPr>
          <w:color w:val="231F20"/>
          <w:spacing w:val="-32"/>
          <w:w w:val="105"/>
        </w:rPr>
        <w:t> </w:t>
      </w:r>
      <w:r>
        <w:rPr>
          <w:color w:val="231F20"/>
          <w:w w:val="105"/>
        </w:rPr>
        <w:t>in</w:t>
      </w:r>
      <w:r>
        <w:rPr>
          <w:color w:val="231F20"/>
          <w:spacing w:val="-32"/>
          <w:w w:val="105"/>
        </w:rPr>
        <w:t> </w:t>
      </w:r>
      <w:r>
        <w:rPr>
          <w:color w:val="231F20"/>
          <w:w w:val="105"/>
        </w:rPr>
        <w:t>una</w:t>
      </w:r>
      <w:r>
        <w:rPr>
          <w:color w:val="231F20"/>
          <w:spacing w:val="-32"/>
          <w:w w:val="105"/>
        </w:rPr>
        <w:t> </w:t>
      </w:r>
      <w:r>
        <w:rPr>
          <w:color w:val="231F20"/>
          <w:w w:val="105"/>
        </w:rPr>
        <w:t>pluralità</w:t>
      </w:r>
      <w:r>
        <w:rPr>
          <w:color w:val="231F20"/>
          <w:spacing w:val="-32"/>
          <w:w w:val="105"/>
        </w:rPr>
        <w:t> </w:t>
      </w:r>
      <w:r>
        <w:rPr>
          <w:color w:val="231F20"/>
          <w:w w:val="105"/>
        </w:rPr>
        <w:t>di</w:t>
      </w:r>
      <w:r>
        <w:rPr>
          <w:color w:val="231F20"/>
          <w:spacing w:val="-32"/>
          <w:w w:val="105"/>
        </w:rPr>
        <w:t> </w:t>
      </w:r>
      <w:r>
        <w:rPr>
          <w:color w:val="231F20"/>
          <w:w w:val="105"/>
        </w:rPr>
        <w:t>punti difficilmente</w:t>
      </w:r>
      <w:r>
        <w:rPr>
          <w:color w:val="231F20"/>
          <w:spacing w:val="-10"/>
          <w:w w:val="105"/>
        </w:rPr>
        <w:t> </w:t>
      </w:r>
      <w:r>
        <w:rPr>
          <w:color w:val="231F20"/>
          <w:w w:val="105"/>
        </w:rPr>
        <w:t>identificabili.</w:t>
      </w:r>
      <w:r>
        <w:rPr>
          <w:color w:val="231F20"/>
          <w:spacing w:val="-10"/>
          <w:w w:val="105"/>
        </w:rPr>
        <w:t> </w:t>
      </w:r>
      <w:r>
        <w:rPr>
          <w:color w:val="231F20"/>
          <w:w w:val="105"/>
        </w:rPr>
        <w:t>Sono</w:t>
      </w:r>
      <w:r>
        <w:rPr>
          <w:color w:val="231F20"/>
          <w:spacing w:val="-10"/>
          <w:w w:val="105"/>
        </w:rPr>
        <w:t> </w:t>
      </w:r>
      <w:r>
        <w:rPr>
          <w:color w:val="231F20"/>
          <w:w w:val="105"/>
        </w:rPr>
        <w:t>stati</w:t>
      </w:r>
      <w:r>
        <w:rPr>
          <w:color w:val="231F20"/>
          <w:spacing w:val="-10"/>
          <w:w w:val="105"/>
        </w:rPr>
        <w:t> </w:t>
      </w:r>
      <w:r>
        <w:rPr>
          <w:color w:val="231F20"/>
          <w:w w:val="105"/>
        </w:rPr>
        <w:t>sopratutto</w:t>
      </w:r>
      <w:r>
        <w:rPr>
          <w:color w:val="231F20"/>
          <w:spacing w:val="-10"/>
          <w:w w:val="105"/>
        </w:rPr>
        <w:t> </w:t>
      </w:r>
      <w:r>
        <w:rPr>
          <w:color w:val="231F20"/>
          <w:w w:val="105"/>
        </w:rPr>
        <w:t>Michael</w:t>
      </w:r>
      <w:r>
        <w:rPr>
          <w:color w:val="231F20"/>
          <w:spacing w:val="-10"/>
          <w:w w:val="105"/>
        </w:rPr>
        <w:t> </w:t>
      </w:r>
      <w:r>
        <w:rPr>
          <w:color w:val="231F20"/>
          <w:w w:val="105"/>
        </w:rPr>
        <w:t>Hardt</w:t>
      </w:r>
      <w:r>
        <w:rPr>
          <w:color w:val="231F20"/>
          <w:spacing w:val="-10"/>
          <w:w w:val="105"/>
        </w:rPr>
        <w:t> </w:t>
      </w:r>
      <w:r>
        <w:rPr>
          <w:color w:val="231F20"/>
          <w:w w:val="105"/>
        </w:rPr>
        <w:t>e</w:t>
      </w:r>
      <w:r>
        <w:rPr>
          <w:color w:val="231F20"/>
          <w:spacing w:val="-10"/>
          <w:w w:val="105"/>
        </w:rPr>
        <w:t> </w:t>
      </w:r>
      <w:r>
        <w:rPr>
          <w:color w:val="231F20"/>
          <w:w w:val="105"/>
        </w:rPr>
        <w:t>Antonio </w:t>
      </w:r>
      <w:r>
        <w:rPr>
          <w:color w:val="231F20"/>
          <w:spacing w:val="-3"/>
          <w:w w:val="105"/>
        </w:rPr>
        <w:t>Negri</w:t>
      </w:r>
      <w:r>
        <w:rPr>
          <w:color w:val="231F20"/>
          <w:spacing w:val="-42"/>
          <w:w w:val="105"/>
        </w:rPr>
        <w:t> </w:t>
      </w:r>
      <w:r>
        <w:rPr>
          <w:color w:val="231F20"/>
          <w:w w:val="105"/>
        </w:rPr>
        <w:t>che</w:t>
      </w:r>
      <w:r>
        <w:rPr>
          <w:color w:val="231F20"/>
          <w:spacing w:val="-42"/>
          <w:w w:val="105"/>
        </w:rPr>
        <w:t> </w:t>
      </w:r>
      <w:r>
        <w:rPr>
          <w:color w:val="231F20"/>
          <w:spacing w:val="-3"/>
          <w:w w:val="105"/>
        </w:rPr>
        <w:t>hanno</w:t>
      </w:r>
      <w:r>
        <w:rPr>
          <w:color w:val="231F20"/>
          <w:spacing w:val="-42"/>
          <w:w w:val="105"/>
        </w:rPr>
        <w:t> </w:t>
      </w:r>
      <w:r>
        <w:rPr>
          <w:color w:val="231F20"/>
          <w:spacing w:val="-3"/>
          <w:w w:val="105"/>
        </w:rPr>
        <w:t>spinto</w:t>
      </w:r>
      <w:r>
        <w:rPr>
          <w:color w:val="231F20"/>
          <w:spacing w:val="-42"/>
          <w:w w:val="105"/>
        </w:rPr>
        <w:t> </w:t>
      </w:r>
      <w:r>
        <w:rPr>
          <w:color w:val="231F20"/>
          <w:spacing w:val="-3"/>
          <w:w w:val="105"/>
        </w:rPr>
        <w:t>questa</w:t>
      </w:r>
      <w:r>
        <w:rPr>
          <w:color w:val="231F20"/>
          <w:spacing w:val="-42"/>
          <w:w w:val="105"/>
        </w:rPr>
        <w:t> </w:t>
      </w:r>
      <w:r>
        <w:rPr>
          <w:color w:val="231F20"/>
          <w:spacing w:val="-4"/>
          <w:w w:val="105"/>
        </w:rPr>
        <w:t>prospettiva</w:t>
      </w:r>
      <w:r>
        <w:rPr>
          <w:color w:val="231F20"/>
          <w:spacing w:val="-42"/>
          <w:w w:val="105"/>
        </w:rPr>
        <w:t> </w:t>
      </w:r>
      <w:r>
        <w:rPr>
          <w:color w:val="231F20"/>
          <w:w w:val="105"/>
        </w:rPr>
        <w:t>con</w:t>
      </w:r>
      <w:r>
        <w:rPr>
          <w:color w:val="231F20"/>
          <w:spacing w:val="-42"/>
          <w:w w:val="105"/>
        </w:rPr>
        <w:t> </w:t>
      </w:r>
      <w:r>
        <w:rPr>
          <w:color w:val="231F20"/>
          <w:spacing w:val="-3"/>
          <w:w w:val="105"/>
        </w:rPr>
        <w:t>l’idea</w:t>
      </w:r>
      <w:r>
        <w:rPr>
          <w:color w:val="231F20"/>
          <w:spacing w:val="-42"/>
          <w:w w:val="105"/>
        </w:rPr>
        <w:t> </w:t>
      </w:r>
      <w:r>
        <w:rPr>
          <w:color w:val="231F20"/>
          <w:w w:val="105"/>
        </w:rPr>
        <w:t>del</w:t>
      </w:r>
      <w:r>
        <w:rPr>
          <w:color w:val="231F20"/>
          <w:spacing w:val="-42"/>
          <w:w w:val="105"/>
        </w:rPr>
        <w:t> </w:t>
      </w:r>
      <w:r>
        <w:rPr>
          <w:rFonts w:ascii="Arial" w:hAnsi="Arial"/>
          <w:i/>
          <w:color w:val="231F20"/>
          <w:spacing w:val="-4"/>
          <w:w w:val="105"/>
        </w:rPr>
        <w:t>impero</w:t>
      </w:r>
      <w:r>
        <w:rPr>
          <w:color w:val="231F20"/>
          <w:spacing w:val="-4"/>
          <w:w w:val="105"/>
        </w:rPr>
        <w:t>:</w:t>
      </w:r>
      <w:r>
        <w:rPr>
          <w:color w:val="231F20"/>
          <w:spacing w:val="-42"/>
          <w:w w:val="105"/>
        </w:rPr>
        <w:t> </w:t>
      </w:r>
      <w:r>
        <w:rPr>
          <w:color w:val="231F20"/>
          <w:w w:val="105"/>
        </w:rPr>
        <w:t>non</w:t>
      </w:r>
      <w:r>
        <w:rPr>
          <w:color w:val="231F20"/>
          <w:spacing w:val="-42"/>
          <w:w w:val="105"/>
        </w:rPr>
        <w:t> </w:t>
      </w:r>
      <w:r>
        <w:rPr>
          <w:color w:val="231F20"/>
          <w:spacing w:val="-3"/>
          <w:w w:val="105"/>
        </w:rPr>
        <w:t>viviamo</w:t>
      </w:r>
    </w:p>
    <w:p>
      <w:pPr>
        <w:pStyle w:val="BodyText"/>
        <w:spacing w:before="9"/>
        <w:rPr>
          <w:sz w:val="16"/>
        </w:rPr>
      </w:pPr>
      <w:r>
        <w:rPr/>
        <w:pict>
          <v:line style="position:absolute;mso-position-horizontal-relative:page;mso-position-vertical-relative:paragraph;z-index:11416;mso-wrap-distance-left:0;mso-wrap-distance-right:0" from="70.866096pt,12.248897pt" to="184.252096pt,12.248897pt" stroked="true" strokeweight=".3pt" strokecolor="#231f20">
            <w10:wrap type="topAndBottom"/>
          </v:line>
        </w:pict>
      </w:r>
    </w:p>
    <w:p>
      <w:pPr>
        <w:spacing w:line="206" w:lineRule="exact" w:before="10"/>
        <w:ind w:left="117" w:right="0" w:firstLine="0"/>
        <w:jc w:val="left"/>
        <w:rPr>
          <w:rFonts w:ascii="Calibri" w:hAnsi="Calibri"/>
          <w:sz w:val="17"/>
        </w:rPr>
      </w:pPr>
      <w:r>
        <w:rPr>
          <w:rFonts w:ascii="Calibri" w:hAnsi="Calibri"/>
          <w:color w:val="231F20"/>
          <w:position w:val="6"/>
          <w:sz w:val="10"/>
        </w:rPr>
        <w:t>22  </w:t>
      </w:r>
      <w:r>
        <w:rPr>
          <w:rFonts w:ascii="Calibri" w:hAnsi="Calibri"/>
          <w:color w:val="231F20"/>
          <w:sz w:val="17"/>
        </w:rPr>
        <w:t>B. Anderson, </w:t>
      </w:r>
      <w:r>
        <w:rPr>
          <w:rFonts w:ascii="Calibri" w:hAnsi="Calibri"/>
          <w:i/>
          <w:color w:val="231F20"/>
          <w:sz w:val="17"/>
        </w:rPr>
        <w:t>Comunidades imaginadas</w:t>
      </w:r>
      <w:r>
        <w:rPr>
          <w:rFonts w:ascii="Calibri" w:hAnsi="Calibri"/>
          <w:color w:val="231F20"/>
          <w:sz w:val="17"/>
        </w:rPr>
        <w:t>, México: FCE, 1993, p. 285.</w:t>
      </w:r>
    </w:p>
    <w:p>
      <w:pPr>
        <w:spacing w:line="206" w:lineRule="exact" w:before="0"/>
        <w:ind w:left="117" w:right="0" w:firstLine="0"/>
        <w:jc w:val="left"/>
        <w:rPr>
          <w:rFonts w:ascii="Calibri" w:hAnsi="Calibri"/>
          <w:sz w:val="17"/>
        </w:rPr>
      </w:pPr>
      <w:r>
        <w:rPr>
          <w:rFonts w:ascii="Calibri" w:hAnsi="Calibri"/>
          <w:color w:val="231F20"/>
          <w:position w:val="6"/>
          <w:sz w:val="10"/>
        </w:rPr>
        <w:t>23 </w:t>
      </w:r>
      <w:r>
        <w:rPr>
          <w:rFonts w:ascii="Calibri" w:hAnsi="Calibri"/>
          <w:color w:val="231F20"/>
          <w:sz w:val="17"/>
        </w:rPr>
        <w:t>Reder, </w:t>
      </w:r>
      <w:r>
        <w:rPr>
          <w:rFonts w:ascii="Calibri" w:hAnsi="Calibri"/>
          <w:i/>
          <w:color w:val="231F20"/>
          <w:sz w:val="17"/>
        </w:rPr>
        <w:t>Globalización y filosofía</w:t>
      </w:r>
      <w:r>
        <w:rPr>
          <w:rFonts w:ascii="Calibri" w:hAnsi="Calibri"/>
          <w:color w:val="231F20"/>
          <w:sz w:val="17"/>
        </w:rPr>
        <w:t>, p. 55.</w:t>
      </w:r>
    </w:p>
    <w:p>
      <w:pPr>
        <w:spacing w:after="0" w:line="206" w:lineRule="exact"/>
        <w:jc w:val="left"/>
        <w:rPr>
          <w:rFonts w:ascii="Calibri" w:hAnsi="Calibri"/>
          <w:sz w:val="17"/>
        </w:rPr>
        <w:sectPr>
          <w:pgSz w:w="9640" w:h="13890"/>
          <w:pgMar w:top="0" w:bottom="280" w:left="1300" w:right="1180"/>
        </w:sectPr>
      </w:pPr>
    </w:p>
    <w:p>
      <w:pPr>
        <w:pStyle w:val="BodyText"/>
        <w:spacing w:line="247" w:lineRule="auto" w:before="107"/>
        <w:ind w:left="103" w:right="111"/>
        <w:jc w:val="both"/>
      </w:pPr>
      <w:r>
        <w:rPr>
          <w:color w:val="231F20"/>
        </w:rPr>
        <w:t>più in un mondo dominato per una sola nazione, o uno Stato chiaramente localizzato —quello che loro potrebbero identificare come </w:t>
      </w:r>
      <w:r>
        <w:rPr>
          <w:rFonts w:ascii="Arial" w:hAnsi="Arial"/>
          <w:i/>
          <w:color w:val="231F20"/>
        </w:rPr>
        <w:t>imperialismo—</w:t>
      </w:r>
      <w:r>
        <w:rPr>
          <w:color w:val="231F20"/>
        </w:rPr>
        <w:t>, ma per un dominio globale decentrato, che per questo stesso motivo è diventato ancora più efficiente nello esercitare una egemonia planetaria, dinamica e polimorfa. Il centro si è atomizzato in una pluralità di punti non localizzabili —per cui, onnipresenti— così, irradiano in maniera più</w:t>
      </w:r>
      <w:r>
        <w:rPr>
          <w:color w:val="231F20"/>
          <w:spacing w:val="-33"/>
        </w:rPr>
        <w:t> </w:t>
      </w:r>
      <w:r>
        <w:rPr>
          <w:color w:val="231F20"/>
        </w:rPr>
        <w:t>effettiva i modelli e forme di vita del capitalismo globale. Sono stati principalmente due i processi che hanno spinto questa tendenza alla decentralizzazione: </w:t>
      </w:r>
      <w:r>
        <w:rPr>
          <w:color w:val="231F20"/>
          <w:spacing w:val="-3"/>
        </w:rPr>
        <w:t>l’apparizione</w:t>
      </w:r>
      <w:r>
        <w:rPr>
          <w:color w:val="231F20"/>
          <w:spacing w:val="-12"/>
        </w:rPr>
        <w:t> </w:t>
      </w:r>
      <w:r>
        <w:rPr>
          <w:color w:val="231F20"/>
        </w:rPr>
        <w:t>di</w:t>
      </w:r>
      <w:r>
        <w:rPr>
          <w:color w:val="231F20"/>
          <w:spacing w:val="-12"/>
        </w:rPr>
        <w:t> </w:t>
      </w:r>
      <w:r>
        <w:rPr>
          <w:color w:val="231F20"/>
          <w:spacing w:val="-3"/>
        </w:rPr>
        <w:t>aziende</w:t>
      </w:r>
      <w:r>
        <w:rPr>
          <w:color w:val="231F20"/>
          <w:spacing w:val="-12"/>
        </w:rPr>
        <w:t> </w:t>
      </w:r>
      <w:r>
        <w:rPr>
          <w:color w:val="231F20"/>
          <w:spacing w:val="-3"/>
        </w:rPr>
        <w:t>transnazionali</w:t>
      </w:r>
      <w:r>
        <w:rPr>
          <w:color w:val="231F20"/>
          <w:spacing w:val="-12"/>
        </w:rPr>
        <w:t> </w:t>
      </w:r>
      <w:r>
        <w:rPr>
          <w:color w:val="231F20"/>
        </w:rPr>
        <w:t>che</w:t>
      </w:r>
      <w:r>
        <w:rPr>
          <w:color w:val="231F20"/>
          <w:spacing w:val="-12"/>
        </w:rPr>
        <w:t> </w:t>
      </w:r>
      <w:r>
        <w:rPr>
          <w:color w:val="231F20"/>
          <w:spacing w:val="-4"/>
        </w:rPr>
        <w:t>istallarono</w:t>
      </w:r>
      <w:r>
        <w:rPr>
          <w:color w:val="231F20"/>
          <w:spacing w:val="-12"/>
        </w:rPr>
        <w:t> </w:t>
      </w:r>
      <w:r>
        <w:rPr>
          <w:color w:val="231F20"/>
          <w:spacing w:val="-3"/>
        </w:rPr>
        <w:t>piante</w:t>
      </w:r>
      <w:r>
        <w:rPr>
          <w:color w:val="231F20"/>
          <w:spacing w:val="-12"/>
        </w:rPr>
        <w:t> </w:t>
      </w:r>
      <w:r>
        <w:rPr>
          <w:color w:val="231F20"/>
          <w:spacing w:val="-3"/>
        </w:rPr>
        <w:t>industriali</w:t>
      </w:r>
      <w:r>
        <w:rPr>
          <w:color w:val="231F20"/>
          <w:spacing w:val="-12"/>
        </w:rPr>
        <w:t> </w:t>
      </w:r>
      <w:r>
        <w:rPr>
          <w:color w:val="231F20"/>
        </w:rPr>
        <w:t>e</w:t>
      </w:r>
      <w:r>
        <w:rPr>
          <w:color w:val="231F20"/>
          <w:spacing w:val="-12"/>
        </w:rPr>
        <w:t> </w:t>
      </w:r>
      <w:r>
        <w:rPr>
          <w:color w:val="231F20"/>
          <w:spacing w:val="-3"/>
        </w:rPr>
        <w:t>uffici </w:t>
      </w:r>
      <w:r>
        <w:rPr>
          <w:color w:val="231F20"/>
        </w:rPr>
        <w:t>in</w:t>
      </w:r>
      <w:r>
        <w:rPr>
          <w:color w:val="231F20"/>
          <w:spacing w:val="-6"/>
        </w:rPr>
        <w:t> </w:t>
      </w:r>
      <w:r>
        <w:rPr>
          <w:color w:val="231F20"/>
        </w:rPr>
        <w:t>paesi</w:t>
      </w:r>
      <w:r>
        <w:rPr>
          <w:color w:val="231F20"/>
          <w:spacing w:val="-6"/>
        </w:rPr>
        <w:t> </w:t>
      </w:r>
      <w:r>
        <w:rPr>
          <w:color w:val="231F20"/>
        </w:rPr>
        <w:t>periferici</w:t>
      </w:r>
      <w:r>
        <w:rPr>
          <w:color w:val="231F20"/>
          <w:spacing w:val="-6"/>
        </w:rPr>
        <w:t> </w:t>
      </w:r>
      <w:r>
        <w:rPr>
          <w:color w:val="231F20"/>
        </w:rPr>
        <w:t>e,</w:t>
      </w:r>
      <w:r>
        <w:rPr>
          <w:color w:val="231F20"/>
          <w:spacing w:val="-6"/>
        </w:rPr>
        <w:t> </w:t>
      </w:r>
      <w:r>
        <w:rPr>
          <w:color w:val="231F20"/>
        </w:rPr>
        <w:t>con</w:t>
      </w:r>
      <w:r>
        <w:rPr>
          <w:color w:val="231F20"/>
          <w:spacing w:val="-6"/>
        </w:rPr>
        <w:t> </w:t>
      </w:r>
      <w:r>
        <w:rPr>
          <w:color w:val="231F20"/>
        </w:rPr>
        <w:t>questo,</w:t>
      </w:r>
      <w:r>
        <w:rPr>
          <w:color w:val="231F20"/>
          <w:spacing w:val="-6"/>
        </w:rPr>
        <w:t> </w:t>
      </w:r>
      <w:r>
        <w:rPr>
          <w:color w:val="231F20"/>
        </w:rPr>
        <w:t>trasferirono</w:t>
      </w:r>
      <w:r>
        <w:rPr>
          <w:color w:val="231F20"/>
          <w:spacing w:val="-6"/>
        </w:rPr>
        <w:t> </w:t>
      </w:r>
      <w:r>
        <w:rPr>
          <w:color w:val="231F20"/>
        </w:rPr>
        <w:t>tecnologia</w:t>
      </w:r>
      <w:r>
        <w:rPr>
          <w:color w:val="231F20"/>
          <w:spacing w:val="-6"/>
        </w:rPr>
        <w:t> </w:t>
      </w:r>
      <w:r>
        <w:rPr>
          <w:color w:val="231F20"/>
        </w:rPr>
        <w:t>e</w:t>
      </w:r>
      <w:r>
        <w:rPr>
          <w:color w:val="231F20"/>
          <w:spacing w:val="-6"/>
        </w:rPr>
        <w:t> </w:t>
      </w:r>
      <w:r>
        <w:rPr>
          <w:color w:val="231F20"/>
        </w:rPr>
        <w:t>anche</w:t>
      </w:r>
      <w:r>
        <w:rPr>
          <w:color w:val="231F20"/>
          <w:spacing w:val="-6"/>
        </w:rPr>
        <w:t> </w:t>
      </w:r>
      <w:r>
        <w:rPr>
          <w:color w:val="231F20"/>
        </w:rPr>
        <w:t>uno</w:t>
      </w:r>
      <w:r>
        <w:rPr>
          <w:color w:val="231F20"/>
          <w:spacing w:val="-6"/>
        </w:rPr>
        <w:t> </w:t>
      </w:r>
      <w:r>
        <w:rPr>
          <w:color w:val="231F20"/>
        </w:rPr>
        <w:t>stile</w:t>
      </w:r>
      <w:r>
        <w:rPr>
          <w:color w:val="231F20"/>
          <w:spacing w:val="-6"/>
        </w:rPr>
        <w:t> </w:t>
      </w:r>
      <w:r>
        <w:rPr>
          <w:color w:val="231F20"/>
        </w:rPr>
        <w:t>di vita</w:t>
      </w:r>
      <w:r>
        <w:rPr>
          <w:color w:val="231F20"/>
          <w:spacing w:val="-20"/>
        </w:rPr>
        <w:t> </w:t>
      </w:r>
      <w:r>
        <w:rPr>
          <w:color w:val="231F20"/>
        </w:rPr>
        <w:t>alle</w:t>
      </w:r>
      <w:r>
        <w:rPr>
          <w:color w:val="231F20"/>
          <w:spacing w:val="-20"/>
        </w:rPr>
        <w:t> </w:t>
      </w:r>
      <w:r>
        <w:rPr>
          <w:color w:val="231F20"/>
        </w:rPr>
        <w:t>popolazioni</w:t>
      </w:r>
      <w:r>
        <w:rPr>
          <w:color w:val="231F20"/>
          <w:spacing w:val="-20"/>
        </w:rPr>
        <w:t> </w:t>
      </w:r>
      <w:r>
        <w:rPr>
          <w:color w:val="231F20"/>
        </w:rPr>
        <w:t>dove</w:t>
      </w:r>
      <w:r>
        <w:rPr>
          <w:color w:val="231F20"/>
          <w:spacing w:val="-20"/>
        </w:rPr>
        <w:t> </w:t>
      </w:r>
      <w:r>
        <w:rPr>
          <w:color w:val="231F20"/>
        </w:rPr>
        <w:t>si</w:t>
      </w:r>
      <w:r>
        <w:rPr>
          <w:color w:val="231F20"/>
          <w:spacing w:val="-20"/>
        </w:rPr>
        <w:t> </w:t>
      </w:r>
      <w:r>
        <w:rPr>
          <w:color w:val="231F20"/>
        </w:rPr>
        <w:t>sono</w:t>
      </w:r>
      <w:r>
        <w:rPr>
          <w:color w:val="231F20"/>
          <w:spacing w:val="-20"/>
        </w:rPr>
        <w:t> </w:t>
      </w:r>
      <w:r>
        <w:rPr>
          <w:color w:val="231F20"/>
        </w:rPr>
        <w:t>situate;</w:t>
      </w:r>
      <w:r>
        <w:rPr>
          <w:color w:val="231F20"/>
          <w:spacing w:val="-20"/>
        </w:rPr>
        <w:t> </w:t>
      </w:r>
      <w:r>
        <w:rPr>
          <w:color w:val="231F20"/>
        </w:rPr>
        <w:t>e</w:t>
      </w:r>
      <w:r>
        <w:rPr>
          <w:color w:val="231F20"/>
          <w:spacing w:val="-20"/>
        </w:rPr>
        <w:t> </w:t>
      </w:r>
      <w:r>
        <w:rPr>
          <w:color w:val="231F20"/>
        </w:rPr>
        <w:t>al</w:t>
      </w:r>
      <w:r>
        <w:rPr>
          <w:color w:val="231F20"/>
          <w:spacing w:val="-20"/>
        </w:rPr>
        <w:t> </w:t>
      </w:r>
      <w:r>
        <w:rPr>
          <w:color w:val="231F20"/>
        </w:rPr>
        <w:t>secondo</w:t>
      </w:r>
      <w:r>
        <w:rPr>
          <w:color w:val="231F20"/>
          <w:spacing w:val="-20"/>
        </w:rPr>
        <w:t> </w:t>
      </w:r>
      <w:r>
        <w:rPr>
          <w:color w:val="231F20"/>
        </w:rPr>
        <w:t>posto</w:t>
      </w:r>
      <w:r>
        <w:rPr>
          <w:color w:val="231F20"/>
          <w:spacing w:val="-20"/>
        </w:rPr>
        <w:t> </w:t>
      </w:r>
      <w:r>
        <w:rPr>
          <w:color w:val="231F20"/>
        </w:rPr>
        <w:t>ci</w:t>
      </w:r>
      <w:r>
        <w:rPr>
          <w:color w:val="231F20"/>
          <w:spacing w:val="-20"/>
        </w:rPr>
        <w:t> </w:t>
      </w:r>
      <w:r>
        <w:rPr>
          <w:color w:val="231F20"/>
        </w:rPr>
        <w:t>sono</w:t>
      </w:r>
      <w:r>
        <w:rPr>
          <w:color w:val="231F20"/>
          <w:spacing w:val="-20"/>
        </w:rPr>
        <w:t> </w:t>
      </w:r>
      <w:r>
        <w:rPr>
          <w:color w:val="231F20"/>
        </w:rPr>
        <w:t>le</w:t>
      </w:r>
      <w:r>
        <w:rPr>
          <w:color w:val="231F20"/>
          <w:spacing w:val="-20"/>
        </w:rPr>
        <w:t> </w:t>
      </w:r>
      <w:r>
        <w:rPr>
          <w:color w:val="231F20"/>
        </w:rPr>
        <w:t>nuove tecnologie dell’informazione, che finirono per spingere questo processo ancora di più, perchè milioni di transazioni, di volumi d’informazione, di </w:t>
      </w:r>
      <w:r>
        <w:rPr>
          <w:color w:val="231F20"/>
          <w:spacing w:val="-3"/>
        </w:rPr>
        <w:t>vendite</w:t>
      </w:r>
      <w:r>
        <w:rPr>
          <w:color w:val="231F20"/>
          <w:spacing w:val="-13"/>
        </w:rPr>
        <w:t> </w:t>
      </w:r>
      <w:r>
        <w:rPr>
          <w:color w:val="231F20"/>
        </w:rPr>
        <w:t>e</w:t>
      </w:r>
      <w:r>
        <w:rPr>
          <w:color w:val="231F20"/>
          <w:spacing w:val="-13"/>
        </w:rPr>
        <w:t> </w:t>
      </w:r>
      <w:r>
        <w:rPr>
          <w:color w:val="231F20"/>
          <w:spacing w:val="-4"/>
        </w:rPr>
        <w:t>compere,</w:t>
      </w:r>
      <w:r>
        <w:rPr>
          <w:color w:val="231F20"/>
          <w:spacing w:val="-13"/>
        </w:rPr>
        <w:t> </w:t>
      </w:r>
      <w:r>
        <w:rPr>
          <w:color w:val="231F20"/>
        </w:rPr>
        <w:t>di</w:t>
      </w:r>
      <w:r>
        <w:rPr>
          <w:color w:val="231F20"/>
          <w:spacing w:val="-13"/>
        </w:rPr>
        <w:t> </w:t>
      </w:r>
      <w:r>
        <w:rPr>
          <w:color w:val="231F20"/>
          <w:spacing w:val="-3"/>
        </w:rPr>
        <w:t>decisioni</w:t>
      </w:r>
      <w:r>
        <w:rPr>
          <w:color w:val="231F20"/>
          <w:spacing w:val="-13"/>
        </w:rPr>
        <w:t> </w:t>
      </w:r>
      <w:r>
        <w:rPr>
          <w:color w:val="231F20"/>
        </w:rPr>
        <w:t>e</w:t>
      </w:r>
      <w:r>
        <w:rPr>
          <w:color w:val="231F20"/>
          <w:spacing w:val="-13"/>
        </w:rPr>
        <w:t> </w:t>
      </w:r>
      <w:r>
        <w:rPr>
          <w:color w:val="231F20"/>
          <w:spacing w:val="-3"/>
        </w:rPr>
        <w:t>bussines,</w:t>
      </w:r>
      <w:r>
        <w:rPr>
          <w:color w:val="231F20"/>
          <w:spacing w:val="-13"/>
        </w:rPr>
        <w:t> </w:t>
      </w:r>
      <w:r>
        <w:rPr>
          <w:color w:val="231F20"/>
        </w:rPr>
        <w:t>si</w:t>
      </w:r>
      <w:r>
        <w:rPr>
          <w:color w:val="231F20"/>
          <w:spacing w:val="-13"/>
        </w:rPr>
        <w:t> </w:t>
      </w:r>
      <w:r>
        <w:rPr>
          <w:color w:val="231F20"/>
          <w:spacing w:val="-4"/>
        </w:rPr>
        <w:t>realizzano</w:t>
      </w:r>
      <w:r>
        <w:rPr>
          <w:color w:val="231F20"/>
          <w:spacing w:val="-13"/>
        </w:rPr>
        <w:t> </w:t>
      </w:r>
      <w:r>
        <w:rPr>
          <w:color w:val="231F20"/>
          <w:spacing w:val="-3"/>
        </w:rPr>
        <w:t>oggi</w:t>
      </w:r>
      <w:r>
        <w:rPr>
          <w:color w:val="231F20"/>
          <w:spacing w:val="-13"/>
        </w:rPr>
        <w:t> </w:t>
      </w:r>
      <w:r>
        <w:rPr>
          <w:color w:val="231F20"/>
          <w:spacing w:val="-3"/>
        </w:rPr>
        <w:t>tramite</w:t>
      </w:r>
      <w:r>
        <w:rPr>
          <w:color w:val="231F20"/>
          <w:spacing w:val="-13"/>
        </w:rPr>
        <w:t> </w:t>
      </w:r>
      <w:r>
        <w:rPr>
          <w:color w:val="231F20"/>
          <w:spacing w:val="-3"/>
        </w:rPr>
        <w:t>internet, </w:t>
      </w:r>
      <w:r>
        <w:rPr>
          <w:color w:val="231F20"/>
        </w:rPr>
        <w:t>tra</w:t>
      </w:r>
      <w:r>
        <w:rPr>
          <w:color w:val="231F20"/>
          <w:spacing w:val="-6"/>
        </w:rPr>
        <w:t> </w:t>
      </w:r>
      <w:r>
        <w:rPr>
          <w:color w:val="231F20"/>
        </w:rPr>
        <w:t>agenti</w:t>
      </w:r>
      <w:r>
        <w:rPr>
          <w:color w:val="231F20"/>
          <w:spacing w:val="-6"/>
        </w:rPr>
        <w:t> </w:t>
      </w:r>
      <w:r>
        <w:rPr>
          <w:color w:val="231F20"/>
        </w:rPr>
        <w:t>che</w:t>
      </w:r>
      <w:r>
        <w:rPr>
          <w:color w:val="231F20"/>
          <w:spacing w:val="-6"/>
        </w:rPr>
        <w:t> </w:t>
      </w:r>
      <w:r>
        <w:rPr>
          <w:color w:val="231F20"/>
        </w:rPr>
        <w:t>non</w:t>
      </w:r>
      <w:r>
        <w:rPr>
          <w:color w:val="231F20"/>
          <w:spacing w:val="-6"/>
        </w:rPr>
        <w:t> </w:t>
      </w:r>
      <w:r>
        <w:rPr>
          <w:color w:val="231F20"/>
        </w:rPr>
        <w:t>solo</w:t>
      </w:r>
      <w:r>
        <w:rPr>
          <w:color w:val="231F20"/>
          <w:spacing w:val="-6"/>
        </w:rPr>
        <w:t> </w:t>
      </w:r>
      <w:r>
        <w:rPr>
          <w:color w:val="231F20"/>
        </w:rPr>
        <w:t>non</w:t>
      </w:r>
      <w:r>
        <w:rPr>
          <w:color w:val="231F20"/>
          <w:spacing w:val="-6"/>
        </w:rPr>
        <w:t> </w:t>
      </w:r>
      <w:r>
        <w:rPr>
          <w:color w:val="231F20"/>
        </w:rPr>
        <w:t>si</w:t>
      </w:r>
      <w:r>
        <w:rPr>
          <w:color w:val="231F20"/>
          <w:spacing w:val="-6"/>
        </w:rPr>
        <w:t> </w:t>
      </w:r>
      <w:r>
        <w:rPr>
          <w:color w:val="231F20"/>
        </w:rPr>
        <w:t>conoscono</w:t>
      </w:r>
      <w:r>
        <w:rPr>
          <w:color w:val="231F20"/>
          <w:spacing w:val="-6"/>
        </w:rPr>
        <w:t> </w:t>
      </w:r>
      <w:r>
        <w:rPr>
          <w:color w:val="231F20"/>
        </w:rPr>
        <w:t>e</w:t>
      </w:r>
      <w:r>
        <w:rPr>
          <w:color w:val="231F20"/>
          <w:spacing w:val="-6"/>
        </w:rPr>
        <w:t> </w:t>
      </w:r>
      <w:r>
        <w:rPr>
          <w:color w:val="231F20"/>
        </w:rPr>
        <w:t>possono</w:t>
      </w:r>
      <w:r>
        <w:rPr>
          <w:color w:val="231F20"/>
          <w:spacing w:val="-6"/>
        </w:rPr>
        <w:t> </w:t>
      </w:r>
      <w:r>
        <w:rPr>
          <w:color w:val="231F20"/>
        </w:rPr>
        <w:t>essere</w:t>
      </w:r>
      <w:r>
        <w:rPr>
          <w:color w:val="231F20"/>
          <w:spacing w:val="-6"/>
        </w:rPr>
        <w:t> </w:t>
      </w:r>
      <w:r>
        <w:rPr>
          <w:color w:val="231F20"/>
        </w:rPr>
        <w:t>distanti</w:t>
      </w:r>
      <w:r>
        <w:rPr>
          <w:color w:val="231F20"/>
          <w:spacing w:val="-6"/>
        </w:rPr>
        <w:t> </w:t>
      </w:r>
      <w:r>
        <w:rPr>
          <w:color w:val="231F20"/>
        </w:rPr>
        <w:t>migliaia di kilometri, ma dei quali è difficile, se non impossibile, determinare la loro reale</w:t>
      </w:r>
      <w:r>
        <w:rPr>
          <w:color w:val="231F20"/>
          <w:spacing w:val="15"/>
        </w:rPr>
        <w:t> </w:t>
      </w:r>
      <w:r>
        <w:rPr>
          <w:color w:val="231F20"/>
        </w:rPr>
        <w:t>ubicazione.</w:t>
      </w:r>
    </w:p>
    <w:p>
      <w:pPr>
        <w:pStyle w:val="BodyText"/>
        <w:spacing w:line="244" w:lineRule="auto"/>
        <w:ind w:left="103" w:right="110" w:firstLine="566"/>
        <w:jc w:val="both"/>
      </w:pPr>
      <w:r>
        <w:rPr>
          <w:color w:val="231F20"/>
          <w:spacing w:val="-3"/>
          <w:w w:val="105"/>
        </w:rPr>
        <w:t>L’immagine</w:t>
      </w:r>
      <w:r>
        <w:rPr>
          <w:color w:val="231F20"/>
          <w:spacing w:val="-18"/>
          <w:w w:val="105"/>
        </w:rPr>
        <w:t> </w:t>
      </w:r>
      <w:r>
        <w:rPr>
          <w:color w:val="231F20"/>
          <w:w w:val="105"/>
        </w:rPr>
        <w:t>di</w:t>
      </w:r>
      <w:r>
        <w:rPr>
          <w:color w:val="231F20"/>
          <w:spacing w:val="-18"/>
          <w:w w:val="105"/>
        </w:rPr>
        <w:t> </w:t>
      </w:r>
      <w:r>
        <w:rPr>
          <w:color w:val="231F20"/>
          <w:w w:val="105"/>
        </w:rPr>
        <w:t>un</w:t>
      </w:r>
      <w:r>
        <w:rPr>
          <w:color w:val="231F20"/>
          <w:spacing w:val="-18"/>
          <w:w w:val="105"/>
        </w:rPr>
        <w:t> </w:t>
      </w:r>
      <w:r>
        <w:rPr>
          <w:color w:val="231F20"/>
          <w:w w:val="105"/>
        </w:rPr>
        <w:t>centro</w:t>
      </w:r>
      <w:r>
        <w:rPr>
          <w:color w:val="231F20"/>
          <w:spacing w:val="-18"/>
          <w:w w:val="105"/>
        </w:rPr>
        <w:t> </w:t>
      </w:r>
      <w:r>
        <w:rPr>
          <w:color w:val="231F20"/>
          <w:w w:val="105"/>
        </w:rPr>
        <w:t>che</w:t>
      </w:r>
      <w:r>
        <w:rPr>
          <w:color w:val="231F20"/>
          <w:spacing w:val="-17"/>
          <w:w w:val="105"/>
        </w:rPr>
        <w:t> </w:t>
      </w:r>
      <w:r>
        <w:rPr>
          <w:color w:val="231F20"/>
          <w:w w:val="105"/>
        </w:rPr>
        <w:t>è</w:t>
      </w:r>
      <w:r>
        <w:rPr>
          <w:color w:val="231F20"/>
          <w:spacing w:val="-18"/>
          <w:w w:val="105"/>
        </w:rPr>
        <w:t> </w:t>
      </w:r>
      <w:r>
        <w:rPr>
          <w:color w:val="231F20"/>
          <w:w w:val="105"/>
        </w:rPr>
        <w:t>dappertutto,</w:t>
      </w:r>
      <w:r>
        <w:rPr>
          <w:color w:val="231F20"/>
          <w:spacing w:val="-18"/>
          <w:w w:val="105"/>
        </w:rPr>
        <w:t> </w:t>
      </w:r>
      <w:r>
        <w:rPr>
          <w:color w:val="231F20"/>
          <w:w w:val="105"/>
        </w:rPr>
        <w:t>disseminato</w:t>
      </w:r>
      <w:r>
        <w:rPr>
          <w:color w:val="231F20"/>
          <w:spacing w:val="-18"/>
          <w:w w:val="105"/>
        </w:rPr>
        <w:t> </w:t>
      </w:r>
      <w:r>
        <w:rPr>
          <w:color w:val="231F20"/>
          <w:w w:val="105"/>
        </w:rPr>
        <w:t>ai</w:t>
      </w:r>
      <w:r>
        <w:rPr>
          <w:color w:val="231F20"/>
          <w:spacing w:val="-18"/>
          <w:w w:val="105"/>
        </w:rPr>
        <w:t> </w:t>
      </w:r>
      <w:r>
        <w:rPr>
          <w:color w:val="231F20"/>
          <w:w w:val="105"/>
        </w:rPr>
        <w:t>margini, ha </w:t>
      </w:r>
      <w:r>
        <w:rPr>
          <w:color w:val="231F20"/>
          <w:spacing w:val="2"/>
          <w:w w:val="105"/>
        </w:rPr>
        <w:t>contribuito </w:t>
      </w:r>
      <w:r>
        <w:rPr>
          <w:color w:val="231F20"/>
          <w:w w:val="105"/>
        </w:rPr>
        <w:t>in </w:t>
      </w:r>
      <w:r>
        <w:rPr>
          <w:color w:val="231F20"/>
          <w:spacing w:val="2"/>
          <w:w w:val="105"/>
        </w:rPr>
        <w:t>occasioni </w:t>
      </w:r>
      <w:r>
        <w:rPr>
          <w:color w:val="231F20"/>
          <w:w w:val="105"/>
        </w:rPr>
        <w:t>a vedere </w:t>
      </w:r>
      <w:r>
        <w:rPr>
          <w:color w:val="231F20"/>
          <w:spacing w:val="2"/>
          <w:w w:val="105"/>
        </w:rPr>
        <w:t>nella globalizzazione </w:t>
      </w:r>
      <w:r>
        <w:rPr>
          <w:color w:val="231F20"/>
          <w:w w:val="105"/>
        </w:rPr>
        <w:t>un </w:t>
      </w:r>
      <w:r>
        <w:rPr>
          <w:color w:val="231F20"/>
          <w:spacing w:val="2"/>
          <w:w w:val="105"/>
        </w:rPr>
        <w:t>processo </w:t>
      </w:r>
      <w:r>
        <w:rPr>
          <w:color w:val="231F20"/>
          <w:w w:val="105"/>
        </w:rPr>
        <w:t>positivo,</w:t>
      </w:r>
      <w:r>
        <w:rPr>
          <w:color w:val="231F20"/>
          <w:spacing w:val="-35"/>
          <w:w w:val="105"/>
        </w:rPr>
        <w:t> </w:t>
      </w:r>
      <w:r>
        <w:rPr>
          <w:color w:val="231F20"/>
          <w:w w:val="105"/>
        </w:rPr>
        <w:t>prospettiva</w:t>
      </w:r>
      <w:r>
        <w:rPr>
          <w:color w:val="231F20"/>
          <w:spacing w:val="-35"/>
          <w:w w:val="105"/>
        </w:rPr>
        <w:t> </w:t>
      </w:r>
      <w:r>
        <w:rPr>
          <w:color w:val="231F20"/>
          <w:w w:val="105"/>
        </w:rPr>
        <w:t>che</w:t>
      </w:r>
      <w:r>
        <w:rPr>
          <w:color w:val="231F20"/>
          <w:spacing w:val="-35"/>
          <w:w w:val="105"/>
        </w:rPr>
        <w:t> </w:t>
      </w:r>
      <w:r>
        <w:rPr>
          <w:color w:val="231F20"/>
          <w:w w:val="105"/>
        </w:rPr>
        <w:t>si</w:t>
      </w:r>
      <w:r>
        <w:rPr>
          <w:color w:val="231F20"/>
          <w:spacing w:val="-35"/>
          <w:w w:val="105"/>
        </w:rPr>
        <w:t> </w:t>
      </w:r>
      <w:r>
        <w:rPr>
          <w:color w:val="231F20"/>
          <w:w w:val="105"/>
        </w:rPr>
        <w:t>dovrebbe</w:t>
      </w:r>
      <w:r>
        <w:rPr>
          <w:color w:val="231F20"/>
          <w:spacing w:val="-35"/>
          <w:w w:val="105"/>
        </w:rPr>
        <w:t> </w:t>
      </w:r>
      <w:r>
        <w:rPr>
          <w:color w:val="231F20"/>
          <w:w w:val="105"/>
        </w:rPr>
        <w:t>sfumare,</w:t>
      </w:r>
      <w:r>
        <w:rPr>
          <w:color w:val="231F20"/>
          <w:spacing w:val="-35"/>
          <w:w w:val="105"/>
        </w:rPr>
        <w:t> </w:t>
      </w:r>
      <w:r>
        <w:rPr>
          <w:color w:val="231F20"/>
          <w:w w:val="105"/>
        </w:rPr>
        <w:t>perchè</w:t>
      </w:r>
      <w:r>
        <w:rPr>
          <w:color w:val="231F20"/>
          <w:spacing w:val="-35"/>
          <w:w w:val="105"/>
        </w:rPr>
        <w:t> </w:t>
      </w:r>
      <w:r>
        <w:rPr>
          <w:color w:val="231F20"/>
          <w:w w:val="105"/>
        </w:rPr>
        <w:t>se</w:t>
      </w:r>
      <w:r>
        <w:rPr>
          <w:color w:val="231F20"/>
          <w:spacing w:val="-35"/>
          <w:w w:val="105"/>
        </w:rPr>
        <w:t> </w:t>
      </w:r>
      <w:r>
        <w:rPr>
          <w:color w:val="231F20"/>
          <w:w w:val="105"/>
        </w:rPr>
        <w:t>bene</w:t>
      </w:r>
      <w:r>
        <w:rPr>
          <w:color w:val="231F20"/>
          <w:spacing w:val="-35"/>
          <w:w w:val="105"/>
        </w:rPr>
        <w:t> </w:t>
      </w:r>
      <w:r>
        <w:rPr>
          <w:color w:val="231F20"/>
          <w:w w:val="105"/>
        </w:rPr>
        <w:t>si</w:t>
      </w:r>
      <w:r>
        <w:rPr>
          <w:color w:val="231F20"/>
          <w:spacing w:val="-35"/>
          <w:w w:val="105"/>
        </w:rPr>
        <w:t> </w:t>
      </w:r>
      <w:r>
        <w:rPr>
          <w:color w:val="231F20"/>
          <w:w w:val="105"/>
        </w:rPr>
        <w:t>è</w:t>
      </w:r>
      <w:r>
        <w:rPr>
          <w:color w:val="231F20"/>
          <w:spacing w:val="-35"/>
          <w:w w:val="105"/>
        </w:rPr>
        <w:t> </w:t>
      </w:r>
      <w:r>
        <w:rPr>
          <w:color w:val="231F20"/>
          <w:w w:val="105"/>
        </w:rPr>
        <w:t>tradotto in</w:t>
      </w:r>
      <w:r>
        <w:rPr>
          <w:color w:val="231F20"/>
          <w:spacing w:val="-51"/>
          <w:w w:val="105"/>
        </w:rPr>
        <w:t> </w:t>
      </w:r>
      <w:r>
        <w:rPr>
          <w:color w:val="231F20"/>
          <w:spacing w:val="-3"/>
          <w:w w:val="105"/>
        </w:rPr>
        <w:t>trasferenza</w:t>
      </w:r>
      <w:r>
        <w:rPr>
          <w:color w:val="231F20"/>
          <w:spacing w:val="-51"/>
          <w:w w:val="105"/>
        </w:rPr>
        <w:t> </w:t>
      </w:r>
      <w:r>
        <w:rPr>
          <w:color w:val="231F20"/>
          <w:w w:val="105"/>
        </w:rPr>
        <w:t>di</w:t>
      </w:r>
      <w:r>
        <w:rPr>
          <w:color w:val="231F20"/>
          <w:spacing w:val="-51"/>
          <w:w w:val="105"/>
        </w:rPr>
        <w:t> </w:t>
      </w:r>
      <w:r>
        <w:rPr>
          <w:color w:val="231F20"/>
          <w:w w:val="105"/>
        </w:rPr>
        <w:t>tecnologia</w:t>
      </w:r>
      <w:r>
        <w:rPr>
          <w:color w:val="231F20"/>
          <w:spacing w:val="-51"/>
          <w:w w:val="105"/>
        </w:rPr>
        <w:t> </w:t>
      </w:r>
      <w:r>
        <w:rPr>
          <w:color w:val="231F20"/>
          <w:w w:val="105"/>
        </w:rPr>
        <w:t>e</w:t>
      </w:r>
      <w:r>
        <w:rPr>
          <w:color w:val="231F20"/>
          <w:spacing w:val="-51"/>
          <w:w w:val="105"/>
        </w:rPr>
        <w:t> </w:t>
      </w:r>
      <w:r>
        <w:rPr>
          <w:color w:val="231F20"/>
          <w:w w:val="105"/>
        </w:rPr>
        <w:t>informazione</w:t>
      </w:r>
      <w:r>
        <w:rPr>
          <w:color w:val="231F20"/>
          <w:spacing w:val="-51"/>
          <w:w w:val="105"/>
        </w:rPr>
        <w:t> </w:t>
      </w:r>
      <w:r>
        <w:rPr>
          <w:color w:val="231F20"/>
          <w:w w:val="105"/>
        </w:rPr>
        <w:t>a</w:t>
      </w:r>
      <w:r>
        <w:rPr>
          <w:color w:val="231F20"/>
          <w:spacing w:val="-51"/>
          <w:w w:val="105"/>
        </w:rPr>
        <w:t> </w:t>
      </w:r>
      <w:r>
        <w:rPr>
          <w:color w:val="231F20"/>
          <w:w w:val="105"/>
        </w:rPr>
        <w:t>comunità</w:t>
      </w:r>
      <w:r>
        <w:rPr>
          <w:color w:val="231F20"/>
          <w:spacing w:val="-51"/>
          <w:w w:val="105"/>
        </w:rPr>
        <w:t> </w:t>
      </w:r>
      <w:r>
        <w:rPr>
          <w:color w:val="231F20"/>
          <w:w w:val="105"/>
        </w:rPr>
        <w:t>che</w:t>
      </w:r>
      <w:r>
        <w:rPr>
          <w:color w:val="231F20"/>
          <w:spacing w:val="-51"/>
          <w:w w:val="105"/>
        </w:rPr>
        <w:t> </w:t>
      </w:r>
      <w:r>
        <w:rPr>
          <w:color w:val="231F20"/>
          <w:w w:val="105"/>
        </w:rPr>
        <w:t>con</w:t>
      </w:r>
      <w:r>
        <w:rPr>
          <w:color w:val="231F20"/>
          <w:spacing w:val="-51"/>
          <w:w w:val="105"/>
        </w:rPr>
        <w:t> </w:t>
      </w:r>
      <w:r>
        <w:rPr>
          <w:color w:val="231F20"/>
          <w:w w:val="105"/>
        </w:rPr>
        <w:t>questo</w:t>
      </w:r>
      <w:r>
        <w:rPr>
          <w:color w:val="231F20"/>
          <w:spacing w:val="-51"/>
          <w:w w:val="105"/>
        </w:rPr>
        <w:t> </w:t>
      </w:r>
      <w:r>
        <w:rPr>
          <w:color w:val="231F20"/>
          <w:w w:val="105"/>
        </w:rPr>
        <w:t>hanno potuto migliorare il loro livello di vita, ha nonostante significato </w:t>
      </w:r>
      <w:r>
        <w:rPr>
          <w:color w:val="231F20"/>
          <w:spacing w:val="2"/>
          <w:w w:val="105"/>
        </w:rPr>
        <w:t>anche, </w:t>
      </w:r>
      <w:r>
        <w:rPr>
          <w:color w:val="231F20"/>
          <w:w w:val="105"/>
        </w:rPr>
        <w:t>paradossalmente,</w:t>
      </w:r>
      <w:r>
        <w:rPr>
          <w:color w:val="231F20"/>
          <w:spacing w:val="-10"/>
          <w:w w:val="105"/>
        </w:rPr>
        <w:t> </w:t>
      </w:r>
      <w:r>
        <w:rPr>
          <w:color w:val="231F20"/>
          <w:w w:val="105"/>
        </w:rPr>
        <w:t>un</w:t>
      </w:r>
      <w:r>
        <w:rPr>
          <w:color w:val="231F20"/>
          <w:spacing w:val="-10"/>
          <w:w w:val="105"/>
        </w:rPr>
        <w:t> </w:t>
      </w:r>
      <w:r>
        <w:rPr>
          <w:color w:val="231F20"/>
          <w:w w:val="105"/>
        </w:rPr>
        <w:t>rinvigorimento</w:t>
      </w:r>
      <w:r>
        <w:rPr>
          <w:color w:val="231F20"/>
          <w:spacing w:val="-10"/>
          <w:w w:val="105"/>
        </w:rPr>
        <w:t> </w:t>
      </w:r>
      <w:r>
        <w:rPr>
          <w:color w:val="231F20"/>
          <w:w w:val="105"/>
        </w:rPr>
        <w:t>di</w:t>
      </w:r>
      <w:r>
        <w:rPr>
          <w:color w:val="231F20"/>
          <w:spacing w:val="-10"/>
          <w:w w:val="105"/>
        </w:rPr>
        <w:t> </w:t>
      </w:r>
      <w:r>
        <w:rPr>
          <w:color w:val="231F20"/>
          <w:w w:val="105"/>
        </w:rPr>
        <w:t>questo</w:t>
      </w:r>
      <w:r>
        <w:rPr>
          <w:color w:val="231F20"/>
          <w:spacing w:val="-10"/>
          <w:w w:val="105"/>
        </w:rPr>
        <w:t> </w:t>
      </w:r>
      <w:r>
        <w:rPr>
          <w:color w:val="231F20"/>
          <w:w w:val="105"/>
        </w:rPr>
        <w:t>centro</w:t>
      </w:r>
      <w:r>
        <w:rPr>
          <w:color w:val="231F20"/>
          <w:spacing w:val="-10"/>
          <w:w w:val="105"/>
        </w:rPr>
        <w:t> </w:t>
      </w:r>
      <w:r>
        <w:rPr>
          <w:color w:val="231F20"/>
          <w:w w:val="105"/>
        </w:rPr>
        <w:t>che</w:t>
      </w:r>
      <w:r>
        <w:rPr>
          <w:color w:val="231F20"/>
          <w:spacing w:val="-10"/>
          <w:w w:val="105"/>
        </w:rPr>
        <w:t> </w:t>
      </w:r>
      <w:r>
        <w:rPr>
          <w:color w:val="231F20"/>
          <w:w w:val="105"/>
        </w:rPr>
        <w:t>ora</w:t>
      </w:r>
      <w:r>
        <w:rPr>
          <w:color w:val="231F20"/>
          <w:spacing w:val="-10"/>
          <w:w w:val="105"/>
        </w:rPr>
        <w:t> </w:t>
      </w:r>
      <w:r>
        <w:rPr>
          <w:color w:val="231F20"/>
          <w:w w:val="105"/>
        </w:rPr>
        <w:t>non</w:t>
      </w:r>
      <w:r>
        <w:rPr>
          <w:color w:val="231F20"/>
          <w:spacing w:val="-10"/>
          <w:w w:val="105"/>
        </w:rPr>
        <w:t> </w:t>
      </w:r>
      <w:r>
        <w:rPr>
          <w:color w:val="231F20"/>
          <w:w w:val="105"/>
        </w:rPr>
        <w:t>c’è</w:t>
      </w:r>
      <w:r>
        <w:rPr>
          <w:color w:val="231F20"/>
          <w:spacing w:val="-10"/>
          <w:w w:val="105"/>
        </w:rPr>
        <w:t> </w:t>
      </w:r>
      <w:r>
        <w:rPr>
          <w:color w:val="231F20"/>
          <w:w w:val="105"/>
        </w:rPr>
        <w:t>da nessuna</w:t>
      </w:r>
      <w:r>
        <w:rPr>
          <w:color w:val="231F20"/>
          <w:spacing w:val="-15"/>
          <w:w w:val="105"/>
        </w:rPr>
        <w:t> </w:t>
      </w:r>
      <w:r>
        <w:rPr>
          <w:color w:val="231F20"/>
          <w:w w:val="105"/>
        </w:rPr>
        <w:t>parte.</w:t>
      </w:r>
      <w:r>
        <w:rPr>
          <w:color w:val="231F20"/>
          <w:spacing w:val="-15"/>
          <w:w w:val="105"/>
        </w:rPr>
        <w:t> </w:t>
      </w:r>
      <w:r>
        <w:rPr>
          <w:color w:val="231F20"/>
          <w:w w:val="105"/>
        </w:rPr>
        <w:t>Ciò</w:t>
      </w:r>
      <w:r>
        <w:rPr>
          <w:color w:val="231F20"/>
          <w:spacing w:val="-15"/>
          <w:w w:val="105"/>
        </w:rPr>
        <w:t> </w:t>
      </w:r>
      <w:r>
        <w:rPr>
          <w:color w:val="231F20"/>
          <w:w w:val="105"/>
        </w:rPr>
        <w:t>vuol</w:t>
      </w:r>
      <w:r>
        <w:rPr>
          <w:color w:val="231F20"/>
          <w:spacing w:val="-15"/>
          <w:w w:val="105"/>
        </w:rPr>
        <w:t> </w:t>
      </w:r>
      <w:r>
        <w:rPr>
          <w:color w:val="231F20"/>
          <w:w w:val="105"/>
        </w:rPr>
        <w:t>dire</w:t>
      </w:r>
      <w:r>
        <w:rPr>
          <w:color w:val="231F20"/>
          <w:spacing w:val="-15"/>
          <w:w w:val="105"/>
        </w:rPr>
        <w:t> </w:t>
      </w:r>
      <w:r>
        <w:rPr>
          <w:color w:val="231F20"/>
          <w:w w:val="105"/>
        </w:rPr>
        <w:t>che</w:t>
      </w:r>
      <w:r>
        <w:rPr>
          <w:color w:val="231F20"/>
          <w:spacing w:val="-15"/>
          <w:w w:val="105"/>
        </w:rPr>
        <w:t> </w:t>
      </w:r>
      <w:r>
        <w:rPr>
          <w:color w:val="231F20"/>
          <w:w w:val="105"/>
        </w:rPr>
        <w:t>anche</w:t>
      </w:r>
      <w:r>
        <w:rPr>
          <w:color w:val="231F20"/>
          <w:spacing w:val="-15"/>
          <w:w w:val="105"/>
        </w:rPr>
        <w:t> </w:t>
      </w:r>
      <w:r>
        <w:rPr>
          <w:color w:val="231F20"/>
          <w:w w:val="105"/>
        </w:rPr>
        <w:t>se</w:t>
      </w:r>
      <w:r>
        <w:rPr>
          <w:color w:val="231F20"/>
          <w:spacing w:val="-15"/>
          <w:w w:val="105"/>
        </w:rPr>
        <w:t> </w:t>
      </w:r>
      <w:r>
        <w:rPr>
          <w:color w:val="231F20"/>
          <w:w w:val="105"/>
        </w:rPr>
        <w:t>non</w:t>
      </w:r>
      <w:r>
        <w:rPr>
          <w:color w:val="231F20"/>
          <w:spacing w:val="-15"/>
          <w:w w:val="105"/>
        </w:rPr>
        <w:t> </w:t>
      </w:r>
      <w:r>
        <w:rPr>
          <w:color w:val="231F20"/>
          <w:w w:val="105"/>
        </w:rPr>
        <w:t>c’è</w:t>
      </w:r>
      <w:r>
        <w:rPr>
          <w:color w:val="231F20"/>
          <w:spacing w:val="-14"/>
          <w:w w:val="105"/>
        </w:rPr>
        <w:t> </w:t>
      </w:r>
      <w:r>
        <w:rPr>
          <w:color w:val="231F20"/>
          <w:w w:val="105"/>
        </w:rPr>
        <w:t>un</w:t>
      </w:r>
      <w:r>
        <w:rPr>
          <w:color w:val="231F20"/>
          <w:spacing w:val="-15"/>
          <w:w w:val="105"/>
        </w:rPr>
        <w:t> </w:t>
      </w:r>
      <w:r>
        <w:rPr>
          <w:color w:val="231F20"/>
          <w:w w:val="105"/>
        </w:rPr>
        <w:t>centro</w:t>
      </w:r>
      <w:r>
        <w:rPr>
          <w:color w:val="231F20"/>
          <w:spacing w:val="-14"/>
          <w:w w:val="105"/>
        </w:rPr>
        <w:t> </w:t>
      </w:r>
      <w:r>
        <w:rPr>
          <w:color w:val="231F20"/>
          <w:w w:val="105"/>
        </w:rPr>
        <w:t>geografica</w:t>
      </w:r>
      <w:r>
        <w:rPr>
          <w:color w:val="231F20"/>
          <w:spacing w:val="-14"/>
          <w:w w:val="105"/>
        </w:rPr>
        <w:t> </w:t>
      </w:r>
      <w:r>
        <w:rPr>
          <w:color w:val="231F20"/>
          <w:w w:val="105"/>
        </w:rPr>
        <w:t>e strettamente</w:t>
      </w:r>
      <w:r>
        <w:rPr>
          <w:color w:val="231F20"/>
          <w:spacing w:val="-34"/>
          <w:w w:val="105"/>
        </w:rPr>
        <w:t> </w:t>
      </w:r>
      <w:r>
        <w:rPr>
          <w:color w:val="231F20"/>
          <w:w w:val="105"/>
        </w:rPr>
        <w:t>identificabile,</w:t>
      </w:r>
      <w:r>
        <w:rPr>
          <w:color w:val="231F20"/>
          <w:spacing w:val="-34"/>
          <w:w w:val="105"/>
        </w:rPr>
        <w:t> </w:t>
      </w:r>
      <w:r>
        <w:rPr>
          <w:color w:val="231F20"/>
          <w:w w:val="105"/>
        </w:rPr>
        <w:t>la</w:t>
      </w:r>
      <w:r>
        <w:rPr>
          <w:color w:val="231F20"/>
          <w:spacing w:val="-34"/>
          <w:w w:val="105"/>
        </w:rPr>
        <w:t> </w:t>
      </w:r>
      <w:r>
        <w:rPr>
          <w:rFonts w:ascii="Arial" w:hAnsi="Arial"/>
          <w:i/>
          <w:color w:val="231F20"/>
          <w:w w:val="105"/>
        </w:rPr>
        <w:t>funzione</w:t>
      </w:r>
      <w:r>
        <w:rPr>
          <w:rFonts w:ascii="Arial" w:hAnsi="Arial"/>
          <w:i/>
          <w:color w:val="231F20"/>
          <w:spacing w:val="-27"/>
          <w:w w:val="105"/>
        </w:rPr>
        <w:t> </w:t>
      </w:r>
      <w:r>
        <w:rPr>
          <w:rFonts w:ascii="Arial" w:hAnsi="Arial"/>
          <w:i/>
          <w:color w:val="231F20"/>
          <w:w w:val="105"/>
        </w:rPr>
        <w:t>centro</w:t>
      </w:r>
      <w:r>
        <w:rPr>
          <w:rFonts w:ascii="Arial" w:hAnsi="Arial"/>
          <w:i/>
          <w:color w:val="231F20"/>
          <w:spacing w:val="-27"/>
          <w:w w:val="105"/>
        </w:rPr>
        <w:t> </w:t>
      </w:r>
      <w:r>
        <w:rPr>
          <w:color w:val="231F20"/>
          <w:w w:val="105"/>
        </w:rPr>
        <w:t>non</w:t>
      </w:r>
      <w:r>
        <w:rPr>
          <w:color w:val="231F20"/>
          <w:spacing w:val="-34"/>
          <w:w w:val="105"/>
        </w:rPr>
        <w:t> </w:t>
      </w:r>
      <w:r>
        <w:rPr>
          <w:color w:val="231F20"/>
          <w:w w:val="105"/>
        </w:rPr>
        <w:t>è</w:t>
      </w:r>
      <w:r>
        <w:rPr>
          <w:color w:val="231F20"/>
          <w:spacing w:val="-34"/>
          <w:w w:val="105"/>
        </w:rPr>
        <w:t> </w:t>
      </w:r>
      <w:r>
        <w:rPr>
          <w:color w:val="231F20"/>
          <w:w w:val="105"/>
        </w:rPr>
        <w:t>sparita,</w:t>
      </w:r>
      <w:r>
        <w:rPr>
          <w:color w:val="231F20"/>
          <w:spacing w:val="-34"/>
          <w:w w:val="105"/>
        </w:rPr>
        <w:t> </w:t>
      </w:r>
      <w:r>
        <w:rPr>
          <w:color w:val="231F20"/>
          <w:w w:val="105"/>
        </w:rPr>
        <w:t>solo</w:t>
      </w:r>
      <w:r>
        <w:rPr>
          <w:color w:val="231F20"/>
          <w:spacing w:val="-34"/>
          <w:w w:val="105"/>
        </w:rPr>
        <w:t> </w:t>
      </w:r>
      <w:r>
        <w:rPr>
          <w:color w:val="231F20"/>
          <w:w w:val="105"/>
        </w:rPr>
        <w:t>che</w:t>
      </w:r>
      <w:r>
        <w:rPr>
          <w:color w:val="231F20"/>
          <w:spacing w:val="-34"/>
          <w:w w:val="105"/>
        </w:rPr>
        <w:t> </w:t>
      </w:r>
      <w:r>
        <w:rPr>
          <w:color w:val="231F20"/>
          <w:w w:val="105"/>
        </w:rPr>
        <w:t>ora</w:t>
      </w:r>
      <w:r>
        <w:rPr>
          <w:color w:val="231F20"/>
          <w:spacing w:val="-34"/>
          <w:w w:val="105"/>
        </w:rPr>
        <w:t> </w:t>
      </w:r>
      <w:r>
        <w:rPr>
          <w:color w:val="231F20"/>
          <w:w w:val="105"/>
        </w:rPr>
        <w:t>si presenta</w:t>
      </w:r>
      <w:r>
        <w:rPr>
          <w:color w:val="231F20"/>
          <w:spacing w:val="-25"/>
          <w:w w:val="105"/>
        </w:rPr>
        <w:t> </w:t>
      </w:r>
      <w:r>
        <w:rPr>
          <w:color w:val="231F20"/>
          <w:w w:val="105"/>
        </w:rPr>
        <w:t>come</w:t>
      </w:r>
      <w:r>
        <w:rPr>
          <w:color w:val="231F20"/>
          <w:spacing w:val="-25"/>
          <w:w w:val="105"/>
        </w:rPr>
        <w:t> </w:t>
      </w:r>
      <w:r>
        <w:rPr>
          <w:color w:val="231F20"/>
          <w:w w:val="105"/>
        </w:rPr>
        <w:t>una</w:t>
      </w:r>
      <w:r>
        <w:rPr>
          <w:color w:val="231F20"/>
          <w:spacing w:val="-25"/>
          <w:w w:val="105"/>
        </w:rPr>
        <w:t> </w:t>
      </w:r>
      <w:r>
        <w:rPr>
          <w:rFonts w:ascii="Arial" w:hAnsi="Arial"/>
          <w:i/>
          <w:color w:val="231F20"/>
          <w:w w:val="105"/>
        </w:rPr>
        <w:t>nuvola</w:t>
      </w:r>
      <w:r>
        <w:rPr>
          <w:rFonts w:ascii="Arial" w:hAnsi="Arial"/>
          <w:i/>
          <w:color w:val="231F20"/>
          <w:spacing w:val="-18"/>
          <w:w w:val="105"/>
        </w:rPr>
        <w:t> </w:t>
      </w:r>
      <w:r>
        <w:rPr>
          <w:rFonts w:ascii="Arial" w:hAnsi="Arial"/>
          <w:i/>
          <w:color w:val="231F20"/>
          <w:w w:val="105"/>
        </w:rPr>
        <w:t>di</w:t>
      </w:r>
      <w:r>
        <w:rPr>
          <w:rFonts w:ascii="Arial" w:hAnsi="Arial"/>
          <w:i/>
          <w:color w:val="231F20"/>
          <w:spacing w:val="-18"/>
          <w:w w:val="105"/>
        </w:rPr>
        <w:t> </w:t>
      </w:r>
      <w:r>
        <w:rPr>
          <w:rFonts w:ascii="Arial" w:hAnsi="Arial"/>
          <w:i/>
          <w:color w:val="231F20"/>
          <w:w w:val="105"/>
        </w:rPr>
        <w:t>influenza</w:t>
      </w:r>
      <w:r>
        <w:rPr>
          <w:rFonts w:ascii="Arial" w:hAnsi="Arial"/>
          <w:i/>
          <w:color w:val="231F20"/>
          <w:spacing w:val="-14"/>
          <w:w w:val="105"/>
        </w:rPr>
        <w:t> </w:t>
      </w:r>
      <w:r>
        <w:rPr>
          <w:color w:val="231F20"/>
          <w:w w:val="105"/>
        </w:rPr>
        <w:t>che</w:t>
      </w:r>
      <w:r>
        <w:rPr>
          <w:color w:val="231F20"/>
          <w:spacing w:val="-25"/>
          <w:w w:val="105"/>
        </w:rPr>
        <w:t> </w:t>
      </w:r>
      <w:r>
        <w:rPr>
          <w:color w:val="231F20"/>
          <w:w w:val="105"/>
        </w:rPr>
        <w:t>può</w:t>
      </w:r>
      <w:r>
        <w:rPr>
          <w:color w:val="231F20"/>
          <w:spacing w:val="-25"/>
          <w:w w:val="105"/>
        </w:rPr>
        <w:t> </w:t>
      </w:r>
      <w:r>
        <w:rPr>
          <w:color w:val="231F20"/>
          <w:w w:val="105"/>
        </w:rPr>
        <w:t>stare</w:t>
      </w:r>
      <w:r>
        <w:rPr>
          <w:color w:val="231F20"/>
          <w:spacing w:val="-25"/>
          <w:w w:val="105"/>
        </w:rPr>
        <w:t> </w:t>
      </w:r>
      <w:r>
        <w:rPr>
          <w:color w:val="231F20"/>
          <w:w w:val="105"/>
        </w:rPr>
        <w:t>ovunque,</w:t>
      </w:r>
      <w:r>
        <w:rPr>
          <w:color w:val="231F20"/>
          <w:spacing w:val="-25"/>
          <w:w w:val="105"/>
        </w:rPr>
        <w:t> </w:t>
      </w:r>
      <w:r>
        <w:rPr>
          <w:color w:val="231F20"/>
          <w:w w:val="105"/>
        </w:rPr>
        <w:t>ma</w:t>
      </w:r>
      <w:r>
        <w:rPr>
          <w:color w:val="231F20"/>
          <w:spacing w:val="-25"/>
          <w:w w:val="105"/>
        </w:rPr>
        <w:t> </w:t>
      </w:r>
      <w:r>
        <w:rPr>
          <w:color w:val="231F20"/>
          <w:w w:val="105"/>
        </w:rPr>
        <w:t>no</w:t>
      </w:r>
      <w:r>
        <w:rPr>
          <w:color w:val="231F20"/>
          <w:spacing w:val="-25"/>
          <w:w w:val="105"/>
        </w:rPr>
        <w:t> </w:t>
      </w:r>
      <w:r>
        <w:rPr>
          <w:color w:val="231F20"/>
          <w:w w:val="105"/>
        </w:rPr>
        <w:t>per questo</w:t>
      </w:r>
      <w:r>
        <w:rPr>
          <w:color w:val="231F20"/>
          <w:spacing w:val="-12"/>
          <w:w w:val="105"/>
        </w:rPr>
        <w:t> </w:t>
      </w:r>
      <w:r>
        <w:rPr>
          <w:color w:val="231F20"/>
          <w:w w:val="105"/>
        </w:rPr>
        <w:t>perde</w:t>
      </w:r>
      <w:r>
        <w:rPr>
          <w:color w:val="231F20"/>
          <w:spacing w:val="-12"/>
          <w:w w:val="105"/>
        </w:rPr>
        <w:t> </w:t>
      </w:r>
      <w:r>
        <w:rPr>
          <w:color w:val="231F20"/>
          <w:w w:val="105"/>
        </w:rPr>
        <w:t>certa</w:t>
      </w:r>
      <w:r>
        <w:rPr>
          <w:color w:val="231F20"/>
          <w:spacing w:val="-12"/>
          <w:w w:val="105"/>
        </w:rPr>
        <w:t> </w:t>
      </w:r>
      <w:r>
        <w:rPr>
          <w:color w:val="231F20"/>
          <w:w w:val="105"/>
        </w:rPr>
        <w:t>consistenza</w:t>
      </w:r>
      <w:r>
        <w:rPr>
          <w:color w:val="231F20"/>
          <w:spacing w:val="-12"/>
          <w:w w:val="105"/>
        </w:rPr>
        <w:t> </w:t>
      </w:r>
      <w:r>
        <w:rPr>
          <w:color w:val="231F20"/>
          <w:w w:val="105"/>
        </w:rPr>
        <w:t>e</w:t>
      </w:r>
      <w:r>
        <w:rPr>
          <w:color w:val="231F20"/>
          <w:spacing w:val="-12"/>
          <w:w w:val="105"/>
        </w:rPr>
        <w:t> </w:t>
      </w:r>
      <w:r>
        <w:rPr>
          <w:color w:val="231F20"/>
          <w:w w:val="105"/>
        </w:rPr>
        <w:t>forza.</w:t>
      </w:r>
      <w:r>
        <w:rPr>
          <w:color w:val="231F20"/>
          <w:spacing w:val="-12"/>
          <w:w w:val="105"/>
        </w:rPr>
        <w:t> </w:t>
      </w:r>
      <w:r>
        <w:rPr>
          <w:color w:val="231F20"/>
          <w:w w:val="105"/>
        </w:rPr>
        <w:t>Come</w:t>
      </w:r>
      <w:r>
        <w:rPr>
          <w:color w:val="231F20"/>
          <w:spacing w:val="-12"/>
          <w:w w:val="105"/>
        </w:rPr>
        <w:t> </w:t>
      </w:r>
      <w:r>
        <w:rPr>
          <w:color w:val="231F20"/>
          <w:w w:val="105"/>
        </w:rPr>
        <w:t>espongono</w:t>
      </w:r>
      <w:r>
        <w:rPr>
          <w:color w:val="231F20"/>
          <w:spacing w:val="-12"/>
          <w:w w:val="105"/>
        </w:rPr>
        <w:t> </w:t>
      </w:r>
      <w:r>
        <w:rPr>
          <w:color w:val="231F20"/>
          <w:w w:val="105"/>
        </w:rPr>
        <w:t>Hardt</w:t>
      </w:r>
      <w:r>
        <w:rPr>
          <w:color w:val="231F20"/>
          <w:spacing w:val="-12"/>
          <w:w w:val="105"/>
        </w:rPr>
        <w:t> </w:t>
      </w:r>
      <w:r>
        <w:rPr>
          <w:color w:val="231F20"/>
          <w:w w:val="105"/>
        </w:rPr>
        <w:t>e</w:t>
      </w:r>
      <w:r>
        <w:rPr>
          <w:color w:val="231F20"/>
          <w:spacing w:val="-12"/>
          <w:w w:val="105"/>
        </w:rPr>
        <w:t> </w:t>
      </w:r>
      <w:r>
        <w:rPr>
          <w:color w:val="231F20"/>
          <w:w w:val="105"/>
        </w:rPr>
        <w:t>Negri, è</w:t>
      </w:r>
      <w:r>
        <w:rPr>
          <w:color w:val="231F20"/>
          <w:spacing w:val="-9"/>
          <w:w w:val="105"/>
        </w:rPr>
        <w:t> </w:t>
      </w:r>
      <w:r>
        <w:rPr>
          <w:color w:val="231F20"/>
          <w:w w:val="105"/>
        </w:rPr>
        <w:t>proprio</w:t>
      </w:r>
      <w:r>
        <w:rPr>
          <w:color w:val="231F20"/>
          <w:spacing w:val="-9"/>
          <w:w w:val="105"/>
        </w:rPr>
        <w:t> </w:t>
      </w:r>
      <w:r>
        <w:rPr>
          <w:color w:val="231F20"/>
          <w:w w:val="105"/>
        </w:rPr>
        <w:t>quel</w:t>
      </w:r>
      <w:r>
        <w:rPr>
          <w:color w:val="231F20"/>
          <w:spacing w:val="-9"/>
          <w:w w:val="105"/>
        </w:rPr>
        <w:t> </w:t>
      </w:r>
      <w:r>
        <w:rPr>
          <w:color w:val="231F20"/>
          <w:w w:val="105"/>
        </w:rPr>
        <w:t>decentramento</w:t>
      </w:r>
      <w:r>
        <w:rPr>
          <w:color w:val="231F20"/>
          <w:spacing w:val="-9"/>
          <w:w w:val="105"/>
        </w:rPr>
        <w:t> </w:t>
      </w:r>
      <w:r>
        <w:rPr>
          <w:color w:val="231F20"/>
          <w:w w:val="105"/>
        </w:rPr>
        <w:t>ciò</w:t>
      </w:r>
      <w:r>
        <w:rPr>
          <w:color w:val="231F20"/>
          <w:spacing w:val="-9"/>
          <w:w w:val="105"/>
        </w:rPr>
        <w:t> </w:t>
      </w:r>
      <w:r>
        <w:rPr>
          <w:color w:val="231F20"/>
          <w:w w:val="105"/>
        </w:rPr>
        <w:t>che</w:t>
      </w:r>
      <w:r>
        <w:rPr>
          <w:color w:val="231F20"/>
          <w:spacing w:val="-9"/>
          <w:w w:val="105"/>
        </w:rPr>
        <w:t> </w:t>
      </w:r>
      <w:r>
        <w:rPr>
          <w:color w:val="231F20"/>
          <w:w w:val="105"/>
        </w:rPr>
        <w:t>ha</w:t>
      </w:r>
      <w:r>
        <w:rPr>
          <w:color w:val="231F20"/>
          <w:spacing w:val="-9"/>
          <w:w w:val="105"/>
        </w:rPr>
        <w:t> </w:t>
      </w:r>
      <w:r>
        <w:rPr>
          <w:color w:val="231F20"/>
          <w:w w:val="105"/>
        </w:rPr>
        <w:t>reso</w:t>
      </w:r>
      <w:r>
        <w:rPr>
          <w:color w:val="231F20"/>
          <w:spacing w:val="-9"/>
          <w:w w:val="105"/>
        </w:rPr>
        <w:t> </w:t>
      </w:r>
      <w:r>
        <w:rPr>
          <w:color w:val="231F20"/>
          <w:w w:val="105"/>
        </w:rPr>
        <w:t>le</w:t>
      </w:r>
      <w:r>
        <w:rPr>
          <w:color w:val="231F20"/>
          <w:spacing w:val="-9"/>
          <w:w w:val="105"/>
        </w:rPr>
        <w:t> </w:t>
      </w:r>
      <w:r>
        <w:rPr>
          <w:color w:val="231F20"/>
          <w:w w:val="105"/>
        </w:rPr>
        <w:t>transnazionali</w:t>
      </w:r>
      <w:r>
        <w:rPr>
          <w:color w:val="231F20"/>
          <w:spacing w:val="-9"/>
          <w:w w:val="105"/>
        </w:rPr>
        <w:t> </w:t>
      </w:r>
      <w:r>
        <w:rPr>
          <w:color w:val="231F20"/>
          <w:w w:val="105"/>
        </w:rPr>
        <w:t>più</w:t>
      </w:r>
      <w:r>
        <w:rPr>
          <w:color w:val="231F20"/>
          <w:spacing w:val="-9"/>
          <w:w w:val="105"/>
        </w:rPr>
        <w:t> </w:t>
      </w:r>
      <w:r>
        <w:rPr>
          <w:color w:val="231F20"/>
          <w:w w:val="105"/>
        </w:rPr>
        <w:t>forti: possono</w:t>
      </w:r>
      <w:r>
        <w:rPr>
          <w:color w:val="231F20"/>
          <w:spacing w:val="-29"/>
          <w:w w:val="105"/>
        </w:rPr>
        <w:t> </w:t>
      </w:r>
      <w:r>
        <w:rPr>
          <w:color w:val="231F20"/>
          <w:w w:val="105"/>
        </w:rPr>
        <w:t>ritirarsi</w:t>
      </w:r>
      <w:r>
        <w:rPr>
          <w:color w:val="231F20"/>
          <w:spacing w:val="-29"/>
          <w:w w:val="105"/>
        </w:rPr>
        <w:t> </w:t>
      </w:r>
      <w:r>
        <w:rPr>
          <w:color w:val="231F20"/>
          <w:w w:val="105"/>
        </w:rPr>
        <w:t>da</w:t>
      </w:r>
      <w:r>
        <w:rPr>
          <w:color w:val="231F20"/>
          <w:spacing w:val="-29"/>
          <w:w w:val="105"/>
        </w:rPr>
        <w:t> </w:t>
      </w:r>
      <w:r>
        <w:rPr>
          <w:color w:val="231F20"/>
          <w:w w:val="105"/>
        </w:rPr>
        <w:t>un</w:t>
      </w:r>
      <w:r>
        <w:rPr>
          <w:color w:val="231F20"/>
          <w:spacing w:val="-29"/>
          <w:w w:val="105"/>
        </w:rPr>
        <w:t> </w:t>
      </w:r>
      <w:r>
        <w:rPr>
          <w:color w:val="231F20"/>
          <w:w w:val="105"/>
        </w:rPr>
        <w:t>paese</w:t>
      </w:r>
      <w:r>
        <w:rPr>
          <w:color w:val="231F20"/>
          <w:spacing w:val="-29"/>
          <w:w w:val="105"/>
        </w:rPr>
        <w:t> </w:t>
      </w:r>
      <w:r>
        <w:rPr>
          <w:color w:val="231F20"/>
          <w:w w:val="105"/>
        </w:rPr>
        <w:t>e</w:t>
      </w:r>
      <w:r>
        <w:rPr>
          <w:color w:val="231F20"/>
          <w:spacing w:val="-29"/>
          <w:w w:val="105"/>
        </w:rPr>
        <w:t> </w:t>
      </w:r>
      <w:r>
        <w:rPr>
          <w:color w:val="231F20"/>
          <w:w w:val="105"/>
        </w:rPr>
        <w:t>rovinare</w:t>
      </w:r>
      <w:r>
        <w:rPr>
          <w:color w:val="231F20"/>
          <w:spacing w:val="-29"/>
          <w:w w:val="105"/>
        </w:rPr>
        <w:t> </w:t>
      </w:r>
      <w:r>
        <w:rPr>
          <w:color w:val="231F20"/>
          <w:w w:val="105"/>
        </w:rPr>
        <w:t>una</w:t>
      </w:r>
      <w:r>
        <w:rPr>
          <w:color w:val="231F20"/>
          <w:spacing w:val="-29"/>
          <w:w w:val="105"/>
        </w:rPr>
        <w:t> </w:t>
      </w:r>
      <w:r>
        <w:rPr>
          <w:color w:val="231F20"/>
          <w:w w:val="105"/>
        </w:rPr>
        <w:t>popolazione,</w:t>
      </w:r>
      <w:r>
        <w:rPr>
          <w:color w:val="231F20"/>
          <w:spacing w:val="-29"/>
          <w:w w:val="105"/>
        </w:rPr>
        <w:t> </w:t>
      </w:r>
      <w:r>
        <w:rPr>
          <w:color w:val="231F20"/>
          <w:w w:val="105"/>
        </w:rPr>
        <w:t>senza</w:t>
      </w:r>
      <w:r>
        <w:rPr>
          <w:color w:val="231F20"/>
          <w:spacing w:val="-29"/>
          <w:w w:val="105"/>
        </w:rPr>
        <w:t> </w:t>
      </w:r>
      <w:r>
        <w:rPr>
          <w:color w:val="231F20"/>
          <w:w w:val="105"/>
        </w:rPr>
        <w:t>che</w:t>
      </w:r>
      <w:r>
        <w:rPr>
          <w:color w:val="231F20"/>
          <w:spacing w:val="-29"/>
          <w:w w:val="105"/>
        </w:rPr>
        <w:t> </w:t>
      </w:r>
      <w:r>
        <w:rPr>
          <w:color w:val="231F20"/>
          <w:w w:val="105"/>
        </w:rPr>
        <w:t>esista la</w:t>
      </w:r>
      <w:r>
        <w:rPr>
          <w:color w:val="231F20"/>
          <w:spacing w:val="-16"/>
          <w:w w:val="105"/>
        </w:rPr>
        <w:t> </w:t>
      </w:r>
      <w:r>
        <w:rPr>
          <w:color w:val="231F20"/>
          <w:w w:val="105"/>
        </w:rPr>
        <w:t>minaccia</w:t>
      </w:r>
      <w:r>
        <w:rPr>
          <w:color w:val="231F20"/>
          <w:spacing w:val="-16"/>
          <w:w w:val="105"/>
        </w:rPr>
        <w:t> </w:t>
      </w:r>
      <w:r>
        <w:rPr>
          <w:color w:val="231F20"/>
          <w:w w:val="105"/>
        </w:rPr>
        <w:t>di</w:t>
      </w:r>
      <w:r>
        <w:rPr>
          <w:color w:val="231F20"/>
          <w:spacing w:val="-16"/>
          <w:w w:val="105"/>
        </w:rPr>
        <w:t> </w:t>
      </w:r>
      <w:r>
        <w:rPr>
          <w:color w:val="231F20"/>
          <w:w w:val="105"/>
        </w:rPr>
        <w:t>sanzioni</w:t>
      </w:r>
      <w:r>
        <w:rPr>
          <w:color w:val="231F20"/>
          <w:spacing w:val="-16"/>
          <w:w w:val="105"/>
        </w:rPr>
        <w:t> </w:t>
      </w:r>
      <w:r>
        <w:rPr>
          <w:color w:val="231F20"/>
          <w:w w:val="105"/>
        </w:rPr>
        <w:t>legali</w:t>
      </w:r>
      <w:r>
        <w:rPr>
          <w:color w:val="231F20"/>
          <w:spacing w:val="-16"/>
          <w:w w:val="105"/>
        </w:rPr>
        <w:t> </w:t>
      </w:r>
      <w:r>
        <w:rPr>
          <w:color w:val="231F20"/>
          <w:w w:val="105"/>
        </w:rPr>
        <w:t>effettive.</w:t>
      </w:r>
      <w:r>
        <w:rPr>
          <w:color w:val="231F20"/>
          <w:spacing w:val="-16"/>
          <w:w w:val="105"/>
        </w:rPr>
        <w:t> </w:t>
      </w:r>
      <w:r>
        <w:rPr>
          <w:color w:val="231F20"/>
          <w:w w:val="105"/>
        </w:rPr>
        <w:t>Allo</w:t>
      </w:r>
      <w:r>
        <w:rPr>
          <w:color w:val="231F20"/>
          <w:spacing w:val="-16"/>
          <w:w w:val="105"/>
        </w:rPr>
        <w:t> </w:t>
      </w:r>
      <w:r>
        <w:rPr>
          <w:color w:val="231F20"/>
          <w:w w:val="105"/>
        </w:rPr>
        <w:t>stesso</w:t>
      </w:r>
      <w:r>
        <w:rPr>
          <w:color w:val="231F20"/>
          <w:spacing w:val="-16"/>
          <w:w w:val="105"/>
        </w:rPr>
        <w:t> </w:t>
      </w:r>
      <w:r>
        <w:rPr>
          <w:color w:val="231F20"/>
          <w:w w:val="105"/>
        </w:rPr>
        <w:t>modo,</w:t>
      </w:r>
      <w:r>
        <w:rPr>
          <w:color w:val="231F20"/>
          <w:spacing w:val="-16"/>
          <w:w w:val="105"/>
        </w:rPr>
        <w:t> </w:t>
      </w:r>
      <w:r>
        <w:rPr>
          <w:color w:val="231F20"/>
          <w:w w:val="105"/>
        </w:rPr>
        <w:t>i</w:t>
      </w:r>
      <w:r>
        <w:rPr>
          <w:color w:val="231F20"/>
          <w:spacing w:val="-16"/>
          <w:w w:val="105"/>
        </w:rPr>
        <w:t> </w:t>
      </w:r>
      <w:r>
        <w:rPr>
          <w:color w:val="231F20"/>
          <w:w w:val="105"/>
        </w:rPr>
        <w:t>dirigenti</w:t>
      </w:r>
      <w:r>
        <w:rPr>
          <w:color w:val="231F20"/>
          <w:spacing w:val="-16"/>
          <w:w w:val="105"/>
        </w:rPr>
        <w:t> </w:t>
      </w:r>
      <w:r>
        <w:rPr>
          <w:color w:val="231F20"/>
          <w:w w:val="105"/>
        </w:rPr>
        <w:t>di</w:t>
      </w:r>
      <w:r>
        <w:rPr>
          <w:color w:val="231F20"/>
          <w:spacing w:val="-16"/>
          <w:w w:val="105"/>
        </w:rPr>
        <w:t> </w:t>
      </w:r>
      <w:r>
        <w:rPr>
          <w:color w:val="231F20"/>
          <w:w w:val="105"/>
        </w:rPr>
        <w:t>una azienda,</w:t>
      </w:r>
      <w:r>
        <w:rPr>
          <w:color w:val="231F20"/>
          <w:spacing w:val="-46"/>
          <w:w w:val="105"/>
        </w:rPr>
        <w:t> </w:t>
      </w:r>
      <w:r>
        <w:rPr>
          <w:color w:val="231F20"/>
          <w:w w:val="105"/>
        </w:rPr>
        <w:t>anche</w:t>
      </w:r>
      <w:r>
        <w:rPr>
          <w:color w:val="231F20"/>
          <w:spacing w:val="-46"/>
          <w:w w:val="105"/>
        </w:rPr>
        <w:t> </w:t>
      </w:r>
      <w:r>
        <w:rPr>
          <w:color w:val="231F20"/>
          <w:w w:val="105"/>
        </w:rPr>
        <w:t>se</w:t>
      </w:r>
      <w:r>
        <w:rPr>
          <w:color w:val="231F20"/>
          <w:spacing w:val="-46"/>
          <w:w w:val="105"/>
        </w:rPr>
        <w:t> </w:t>
      </w:r>
      <w:r>
        <w:rPr>
          <w:color w:val="231F20"/>
          <w:w w:val="105"/>
        </w:rPr>
        <w:t>sono</w:t>
      </w:r>
      <w:r>
        <w:rPr>
          <w:color w:val="231F20"/>
          <w:spacing w:val="-46"/>
          <w:w w:val="105"/>
        </w:rPr>
        <w:t> </w:t>
      </w:r>
      <w:r>
        <w:rPr>
          <w:color w:val="231F20"/>
          <w:w w:val="105"/>
        </w:rPr>
        <w:t>lontani</w:t>
      </w:r>
      <w:r>
        <w:rPr>
          <w:color w:val="231F20"/>
          <w:spacing w:val="-46"/>
          <w:w w:val="105"/>
        </w:rPr>
        <w:t> </w:t>
      </w:r>
      <w:r>
        <w:rPr>
          <w:color w:val="231F20"/>
          <w:w w:val="105"/>
        </w:rPr>
        <w:t>dei</w:t>
      </w:r>
      <w:r>
        <w:rPr>
          <w:color w:val="231F20"/>
          <w:spacing w:val="-46"/>
          <w:w w:val="105"/>
        </w:rPr>
        <w:t> </w:t>
      </w:r>
      <w:r>
        <w:rPr>
          <w:color w:val="231F20"/>
          <w:w w:val="105"/>
        </w:rPr>
        <w:t>kilometri,</w:t>
      </w:r>
      <w:r>
        <w:rPr>
          <w:color w:val="231F20"/>
          <w:spacing w:val="-46"/>
          <w:w w:val="105"/>
        </w:rPr>
        <w:t> </w:t>
      </w:r>
      <w:r>
        <w:rPr>
          <w:color w:val="231F20"/>
          <w:w w:val="105"/>
        </w:rPr>
        <w:t>quindi</w:t>
      </w:r>
      <w:r>
        <w:rPr>
          <w:color w:val="231F20"/>
          <w:spacing w:val="-46"/>
          <w:w w:val="105"/>
        </w:rPr>
        <w:t> </w:t>
      </w:r>
      <w:r>
        <w:rPr>
          <w:rFonts w:ascii="Arial" w:hAnsi="Arial"/>
          <w:i/>
          <w:color w:val="231F20"/>
          <w:w w:val="105"/>
        </w:rPr>
        <w:t>assenti</w:t>
      </w:r>
      <w:r>
        <w:rPr>
          <w:color w:val="231F20"/>
          <w:w w:val="105"/>
        </w:rPr>
        <w:t>,</w:t>
      </w:r>
      <w:r>
        <w:rPr>
          <w:color w:val="231F20"/>
          <w:spacing w:val="-46"/>
          <w:w w:val="105"/>
        </w:rPr>
        <w:t> </w:t>
      </w:r>
      <w:r>
        <w:rPr>
          <w:color w:val="231F20"/>
          <w:w w:val="105"/>
        </w:rPr>
        <w:t>possono</w:t>
      </w:r>
      <w:r>
        <w:rPr>
          <w:color w:val="231F20"/>
          <w:spacing w:val="-46"/>
          <w:w w:val="105"/>
        </w:rPr>
        <w:t> </w:t>
      </w:r>
      <w:r>
        <w:rPr>
          <w:color w:val="231F20"/>
          <w:w w:val="105"/>
        </w:rPr>
        <w:t>essere abbastanza</w:t>
      </w:r>
      <w:r>
        <w:rPr>
          <w:color w:val="231F20"/>
          <w:spacing w:val="-38"/>
          <w:w w:val="105"/>
        </w:rPr>
        <w:t> </w:t>
      </w:r>
      <w:r>
        <w:rPr>
          <w:rFonts w:ascii="Arial" w:hAnsi="Arial"/>
          <w:i/>
          <w:color w:val="231F20"/>
          <w:w w:val="105"/>
        </w:rPr>
        <w:t>presenti</w:t>
      </w:r>
      <w:r>
        <w:rPr>
          <w:rFonts w:ascii="Arial" w:hAnsi="Arial"/>
          <w:i/>
          <w:color w:val="231F20"/>
          <w:spacing w:val="-31"/>
          <w:w w:val="105"/>
        </w:rPr>
        <w:t> </w:t>
      </w:r>
      <w:r>
        <w:rPr>
          <w:color w:val="231F20"/>
          <w:w w:val="105"/>
        </w:rPr>
        <w:t>quando</w:t>
      </w:r>
      <w:r>
        <w:rPr>
          <w:color w:val="231F20"/>
          <w:spacing w:val="-38"/>
          <w:w w:val="105"/>
        </w:rPr>
        <w:t> </w:t>
      </w:r>
      <w:r>
        <w:rPr>
          <w:color w:val="231F20"/>
          <w:w w:val="105"/>
        </w:rPr>
        <w:t>controllano</w:t>
      </w:r>
      <w:r>
        <w:rPr>
          <w:color w:val="231F20"/>
          <w:spacing w:val="-38"/>
          <w:w w:val="105"/>
        </w:rPr>
        <w:t> </w:t>
      </w:r>
      <w:r>
        <w:rPr>
          <w:color w:val="231F20"/>
          <w:w w:val="105"/>
        </w:rPr>
        <w:t>in</w:t>
      </w:r>
      <w:r>
        <w:rPr>
          <w:color w:val="231F20"/>
          <w:spacing w:val="-38"/>
          <w:w w:val="105"/>
        </w:rPr>
        <w:t> </w:t>
      </w:r>
      <w:r>
        <w:rPr>
          <w:color w:val="231F20"/>
          <w:w w:val="105"/>
        </w:rPr>
        <w:t>maniera</w:t>
      </w:r>
      <w:r>
        <w:rPr>
          <w:color w:val="231F20"/>
          <w:spacing w:val="-38"/>
          <w:w w:val="105"/>
        </w:rPr>
        <w:t> </w:t>
      </w:r>
      <w:r>
        <w:rPr>
          <w:color w:val="231F20"/>
          <w:w w:val="105"/>
        </w:rPr>
        <w:t>remota,</w:t>
      </w:r>
      <w:r>
        <w:rPr>
          <w:color w:val="231F20"/>
          <w:spacing w:val="-38"/>
          <w:w w:val="105"/>
        </w:rPr>
        <w:t> </w:t>
      </w:r>
      <w:r>
        <w:rPr>
          <w:color w:val="231F20"/>
          <w:w w:val="105"/>
        </w:rPr>
        <w:t>ma</w:t>
      </w:r>
      <w:r>
        <w:rPr>
          <w:color w:val="231F20"/>
          <w:spacing w:val="-38"/>
          <w:w w:val="105"/>
        </w:rPr>
        <w:t> </w:t>
      </w:r>
      <w:r>
        <w:rPr>
          <w:color w:val="231F20"/>
          <w:w w:val="105"/>
        </w:rPr>
        <w:t>altamente effettiva,</w:t>
      </w:r>
      <w:r>
        <w:rPr>
          <w:color w:val="231F20"/>
          <w:spacing w:val="-13"/>
          <w:w w:val="105"/>
        </w:rPr>
        <w:t> </w:t>
      </w:r>
      <w:r>
        <w:rPr>
          <w:color w:val="231F20"/>
          <w:w w:val="105"/>
        </w:rPr>
        <w:t>la</w:t>
      </w:r>
      <w:r>
        <w:rPr>
          <w:color w:val="231F20"/>
          <w:spacing w:val="-13"/>
          <w:w w:val="105"/>
        </w:rPr>
        <w:t> </w:t>
      </w:r>
      <w:r>
        <w:rPr>
          <w:color w:val="231F20"/>
          <w:w w:val="105"/>
        </w:rPr>
        <w:t>produzione</w:t>
      </w:r>
      <w:r>
        <w:rPr>
          <w:color w:val="231F20"/>
          <w:spacing w:val="-13"/>
          <w:w w:val="105"/>
        </w:rPr>
        <w:t> </w:t>
      </w:r>
      <w:r>
        <w:rPr>
          <w:color w:val="231F20"/>
          <w:w w:val="105"/>
        </w:rPr>
        <w:t>nelle</w:t>
      </w:r>
      <w:r>
        <w:rPr>
          <w:color w:val="231F20"/>
          <w:spacing w:val="-13"/>
          <w:w w:val="105"/>
        </w:rPr>
        <w:t> </w:t>
      </w:r>
      <w:r>
        <w:rPr>
          <w:color w:val="231F20"/>
          <w:w w:val="105"/>
        </w:rPr>
        <w:t>loro</w:t>
      </w:r>
      <w:r>
        <w:rPr>
          <w:color w:val="231F20"/>
          <w:spacing w:val="-13"/>
          <w:w w:val="105"/>
        </w:rPr>
        <w:t> </w:t>
      </w:r>
      <w:r>
        <w:rPr>
          <w:color w:val="231F20"/>
          <w:w w:val="105"/>
        </w:rPr>
        <w:t>fabbriche,</w:t>
      </w:r>
      <w:r>
        <w:rPr>
          <w:color w:val="231F20"/>
          <w:spacing w:val="-13"/>
          <w:w w:val="105"/>
        </w:rPr>
        <w:t> </w:t>
      </w:r>
      <w:r>
        <w:rPr>
          <w:color w:val="231F20"/>
          <w:w w:val="105"/>
        </w:rPr>
        <w:t>grazie</w:t>
      </w:r>
      <w:r>
        <w:rPr>
          <w:color w:val="231F20"/>
          <w:spacing w:val="-13"/>
          <w:w w:val="105"/>
        </w:rPr>
        <w:t> </w:t>
      </w:r>
      <w:r>
        <w:rPr>
          <w:color w:val="231F20"/>
          <w:w w:val="105"/>
        </w:rPr>
        <w:t>alle</w:t>
      </w:r>
      <w:r>
        <w:rPr>
          <w:color w:val="231F20"/>
          <w:spacing w:val="-13"/>
          <w:w w:val="105"/>
        </w:rPr>
        <w:t> </w:t>
      </w:r>
      <w:r>
        <w:rPr>
          <w:color w:val="231F20"/>
          <w:w w:val="105"/>
        </w:rPr>
        <w:t>nuove</w:t>
      </w:r>
      <w:r>
        <w:rPr>
          <w:color w:val="231F20"/>
          <w:spacing w:val="-13"/>
          <w:w w:val="105"/>
        </w:rPr>
        <w:t> </w:t>
      </w:r>
      <w:r>
        <w:rPr>
          <w:color w:val="231F20"/>
          <w:w w:val="105"/>
        </w:rPr>
        <w:t>tecnologie dell’informazione.</w:t>
      </w:r>
    </w:p>
    <w:p>
      <w:pPr>
        <w:pStyle w:val="BodyText"/>
        <w:spacing w:before="1"/>
        <w:rPr>
          <w:sz w:val="23"/>
        </w:rPr>
      </w:pPr>
    </w:p>
    <w:p>
      <w:pPr>
        <w:spacing w:line="220" w:lineRule="exact" w:before="0"/>
        <w:ind w:left="1521" w:right="102" w:firstLine="0"/>
        <w:jc w:val="both"/>
        <w:rPr>
          <w:sz w:val="19"/>
        </w:rPr>
      </w:pPr>
      <w:r>
        <w:rPr>
          <w:color w:val="231F20"/>
          <w:w w:val="105"/>
          <w:sz w:val="19"/>
        </w:rPr>
        <w:t>La decentralizzazione e la dispersione globale dei processi e le aree di </w:t>
      </w:r>
      <w:r>
        <w:rPr>
          <w:color w:val="231F20"/>
          <w:spacing w:val="2"/>
          <w:w w:val="105"/>
          <w:sz w:val="19"/>
        </w:rPr>
        <w:t>produzione, caratteristiche della </w:t>
      </w:r>
      <w:r>
        <w:rPr>
          <w:color w:val="231F20"/>
          <w:spacing w:val="3"/>
          <w:w w:val="105"/>
          <w:sz w:val="19"/>
        </w:rPr>
        <w:t>postmodernizzazione </w:t>
      </w:r>
      <w:r>
        <w:rPr>
          <w:color w:val="231F20"/>
          <w:w w:val="105"/>
          <w:sz w:val="19"/>
        </w:rPr>
        <w:t>o </w:t>
      </w:r>
      <w:r>
        <w:rPr>
          <w:color w:val="231F20"/>
          <w:spacing w:val="10"/>
          <w:w w:val="105"/>
          <w:sz w:val="19"/>
        </w:rPr>
        <w:t>dell’informatizzazione dell’economia, </w:t>
      </w:r>
      <w:r>
        <w:rPr>
          <w:color w:val="231F20"/>
          <w:spacing w:val="9"/>
          <w:w w:val="105"/>
          <w:sz w:val="19"/>
        </w:rPr>
        <w:t>provocano </w:t>
      </w:r>
      <w:r>
        <w:rPr>
          <w:color w:val="231F20"/>
          <w:spacing w:val="11"/>
          <w:w w:val="105"/>
          <w:sz w:val="19"/>
        </w:rPr>
        <w:t>una </w:t>
      </w:r>
      <w:r>
        <w:rPr>
          <w:color w:val="231F20"/>
          <w:w w:val="105"/>
          <w:sz w:val="19"/>
        </w:rPr>
        <w:t>corrispondente centralizzazione del controllo della produzione. Il</w:t>
      </w:r>
      <w:r>
        <w:rPr>
          <w:color w:val="231F20"/>
          <w:spacing w:val="-15"/>
          <w:w w:val="105"/>
          <w:sz w:val="19"/>
        </w:rPr>
        <w:t> </w:t>
      </w:r>
      <w:r>
        <w:rPr>
          <w:color w:val="231F20"/>
          <w:w w:val="105"/>
          <w:sz w:val="19"/>
        </w:rPr>
        <w:t>movimento</w:t>
      </w:r>
      <w:r>
        <w:rPr>
          <w:color w:val="231F20"/>
          <w:spacing w:val="-15"/>
          <w:w w:val="105"/>
          <w:sz w:val="19"/>
        </w:rPr>
        <w:t> </w:t>
      </w:r>
      <w:r>
        <w:rPr>
          <w:color w:val="231F20"/>
          <w:w w:val="105"/>
          <w:sz w:val="19"/>
        </w:rPr>
        <w:t>centrifugo</w:t>
      </w:r>
      <w:r>
        <w:rPr>
          <w:color w:val="231F20"/>
          <w:spacing w:val="-15"/>
          <w:w w:val="105"/>
          <w:sz w:val="19"/>
        </w:rPr>
        <w:t> </w:t>
      </w:r>
      <w:r>
        <w:rPr>
          <w:color w:val="231F20"/>
          <w:w w:val="105"/>
          <w:sz w:val="19"/>
        </w:rPr>
        <w:t>della</w:t>
      </w:r>
      <w:r>
        <w:rPr>
          <w:color w:val="231F20"/>
          <w:spacing w:val="-15"/>
          <w:w w:val="105"/>
          <w:sz w:val="19"/>
        </w:rPr>
        <w:t> </w:t>
      </w:r>
      <w:r>
        <w:rPr>
          <w:color w:val="231F20"/>
          <w:w w:val="105"/>
          <w:sz w:val="19"/>
        </w:rPr>
        <w:t>produzione</w:t>
      </w:r>
      <w:r>
        <w:rPr>
          <w:color w:val="231F20"/>
          <w:spacing w:val="-15"/>
          <w:w w:val="105"/>
          <w:sz w:val="19"/>
        </w:rPr>
        <w:t> </w:t>
      </w:r>
      <w:r>
        <w:rPr>
          <w:color w:val="231F20"/>
          <w:w w:val="105"/>
          <w:sz w:val="19"/>
        </w:rPr>
        <w:t>si</w:t>
      </w:r>
      <w:r>
        <w:rPr>
          <w:color w:val="231F20"/>
          <w:spacing w:val="-15"/>
          <w:w w:val="105"/>
          <w:sz w:val="19"/>
        </w:rPr>
        <w:t> </w:t>
      </w:r>
      <w:r>
        <w:rPr>
          <w:color w:val="231F20"/>
          <w:w w:val="105"/>
          <w:sz w:val="19"/>
        </w:rPr>
        <w:t>equilibra</w:t>
      </w:r>
      <w:r>
        <w:rPr>
          <w:color w:val="231F20"/>
          <w:spacing w:val="-15"/>
          <w:w w:val="105"/>
          <w:sz w:val="19"/>
        </w:rPr>
        <w:t> </w:t>
      </w:r>
      <w:r>
        <w:rPr>
          <w:color w:val="231F20"/>
          <w:w w:val="105"/>
          <w:sz w:val="19"/>
        </w:rPr>
        <w:t>attraverso la</w:t>
      </w:r>
      <w:r>
        <w:rPr>
          <w:color w:val="231F20"/>
          <w:spacing w:val="-11"/>
          <w:w w:val="105"/>
          <w:sz w:val="19"/>
        </w:rPr>
        <w:t> </w:t>
      </w:r>
      <w:r>
        <w:rPr>
          <w:color w:val="231F20"/>
          <w:w w:val="105"/>
          <w:sz w:val="19"/>
        </w:rPr>
        <w:t>tendenza</w:t>
      </w:r>
      <w:r>
        <w:rPr>
          <w:color w:val="231F20"/>
          <w:spacing w:val="-11"/>
          <w:w w:val="105"/>
          <w:sz w:val="19"/>
        </w:rPr>
        <w:t> </w:t>
      </w:r>
      <w:r>
        <w:rPr>
          <w:color w:val="231F20"/>
          <w:w w:val="105"/>
          <w:sz w:val="19"/>
        </w:rPr>
        <w:t>centripeta</w:t>
      </w:r>
      <w:r>
        <w:rPr>
          <w:color w:val="231F20"/>
          <w:spacing w:val="-11"/>
          <w:w w:val="105"/>
          <w:sz w:val="19"/>
        </w:rPr>
        <w:t> </w:t>
      </w:r>
      <w:r>
        <w:rPr>
          <w:color w:val="231F20"/>
          <w:w w:val="105"/>
          <w:sz w:val="19"/>
        </w:rPr>
        <w:t>del</w:t>
      </w:r>
      <w:r>
        <w:rPr>
          <w:color w:val="231F20"/>
          <w:spacing w:val="-11"/>
          <w:w w:val="105"/>
          <w:sz w:val="19"/>
        </w:rPr>
        <w:t> </w:t>
      </w:r>
      <w:r>
        <w:rPr>
          <w:color w:val="231F20"/>
          <w:w w:val="105"/>
          <w:sz w:val="19"/>
        </w:rPr>
        <w:t>comando.</w:t>
      </w:r>
      <w:r>
        <w:rPr>
          <w:color w:val="231F20"/>
          <w:spacing w:val="-11"/>
          <w:w w:val="105"/>
          <w:sz w:val="19"/>
        </w:rPr>
        <w:t> </w:t>
      </w:r>
      <w:r>
        <w:rPr>
          <w:color w:val="231F20"/>
          <w:w w:val="105"/>
          <w:sz w:val="19"/>
        </w:rPr>
        <w:t>Dalla</w:t>
      </w:r>
      <w:r>
        <w:rPr>
          <w:color w:val="231F20"/>
          <w:spacing w:val="-11"/>
          <w:w w:val="105"/>
          <w:sz w:val="19"/>
        </w:rPr>
        <w:t> </w:t>
      </w:r>
      <w:r>
        <w:rPr>
          <w:color w:val="231F20"/>
          <w:w w:val="105"/>
          <w:sz w:val="19"/>
        </w:rPr>
        <w:t>prospettiva</w:t>
      </w:r>
      <w:r>
        <w:rPr>
          <w:color w:val="231F20"/>
          <w:spacing w:val="-11"/>
          <w:w w:val="105"/>
          <w:sz w:val="19"/>
        </w:rPr>
        <w:t> </w:t>
      </w:r>
      <w:r>
        <w:rPr>
          <w:color w:val="231F20"/>
          <w:w w:val="105"/>
          <w:sz w:val="19"/>
        </w:rPr>
        <w:t>locale,</w:t>
      </w:r>
      <w:r>
        <w:rPr>
          <w:color w:val="231F20"/>
          <w:spacing w:val="-11"/>
          <w:w w:val="105"/>
          <w:sz w:val="19"/>
        </w:rPr>
        <w:t> </w:t>
      </w:r>
      <w:r>
        <w:rPr>
          <w:color w:val="231F20"/>
          <w:w w:val="105"/>
          <w:sz w:val="19"/>
        </w:rPr>
        <w:t>le reti informatizzate e le tecnologie delle comunicazione proprie dei sistemi di produzione attuali permettono di controllare</w:t>
      </w:r>
      <w:r>
        <w:rPr>
          <w:color w:val="231F20"/>
          <w:spacing w:val="60"/>
          <w:w w:val="105"/>
          <w:sz w:val="19"/>
        </w:rPr>
        <w:t> </w:t>
      </w:r>
      <w:r>
        <w:rPr>
          <w:color w:val="231F20"/>
          <w:spacing w:val="2"/>
          <w:w w:val="105"/>
          <w:sz w:val="19"/>
        </w:rPr>
        <w:t>più</w:t>
      </w:r>
    </w:p>
    <w:p>
      <w:pPr>
        <w:pStyle w:val="BodyText"/>
        <w:rPr>
          <w:sz w:val="20"/>
        </w:rPr>
      </w:pPr>
    </w:p>
    <w:p>
      <w:pPr>
        <w:pStyle w:val="BodyText"/>
        <w:rPr>
          <w:sz w:val="20"/>
        </w:rPr>
      </w:pPr>
    </w:p>
    <w:p>
      <w:pPr>
        <w:pStyle w:val="BodyText"/>
        <w:spacing w:before="9"/>
        <w:rPr>
          <w:sz w:val="26"/>
        </w:rPr>
      </w:pPr>
    </w:p>
    <w:p>
      <w:pPr>
        <w:tabs>
          <w:tab w:pos="1317" w:val="left" w:leader="none"/>
        </w:tabs>
        <w:spacing w:before="69"/>
        <w:ind w:left="267" w:right="0" w:firstLine="0"/>
        <w:jc w:val="left"/>
        <w:rPr>
          <w:rFonts w:ascii="Calibri" w:hAnsi="Calibri"/>
          <w:sz w:val="16"/>
        </w:rPr>
      </w:pPr>
      <w:r>
        <w:rPr/>
        <w:pict>
          <v:group style="position:absolute;margin-left:98.079102pt;margin-top:-3.308812pt;width:20.4pt;height:43pt;mso-position-horizontal-relative:page;mso-position-vertical-relative:paragraph;z-index:-163936" coordorigin="1962,-66" coordsize="408,860">
            <v:line style="position:absolute" from="2211,73" to="2211,789" stroked="true" strokeweight=".35pt" strokecolor="#231f20"/>
            <v:shape style="position:absolute;left:2179;top:-13;width:190;height:445" type="#_x0000_t75" stroked="false">
              <v:imagedata r:id="rId34" o:title=""/>
            </v:shape>
            <v:shape style="position:absolute;left:1962;top:-66;width:250;height:502" type="#_x0000_t75" stroked="false">
              <v:imagedata r:id="rId35" o:title=""/>
            </v:shape>
            <w10:wrap type="none"/>
          </v:group>
        </w:pict>
      </w:r>
      <w:r>
        <w:rPr>
          <w:rFonts w:ascii="Trebuchet MS" w:hAnsi="Trebuchet MS"/>
          <w:color w:val="414042"/>
          <w:w w:val="105"/>
          <w:position w:val="-4"/>
          <w:sz w:val="20"/>
        </w:rPr>
        <w:t>70</w:t>
        <w:tab/>
      </w:r>
      <w:r>
        <w:rPr>
          <w:rFonts w:ascii="Calibri" w:hAnsi="Calibri"/>
          <w:color w:val="6D6E71"/>
          <w:w w:val="105"/>
          <w:sz w:val="16"/>
        </w:rPr>
        <w:t>María</w:t>
      </w:r>
      <w:r>
        <w:rPr>
          <w:rFonts w:ascii="Calibri" w:hAnsi="Calibri"/>
          <w:color w:val="6D6E71"/>
          <w:spacing w:val="-19"/>
          <w:w w:val="105"/>
          <w:sz w:val="16"/>
        </w:rPr>
        <w:t> </w:t>
      </w:r>
      <w:r>
        <w:rPr>
          <w:rFonts w:ascii="Calibri" w:hAnsi="Calibri"/>
          <w:color w:val="6D6E71"/>
          <w:w w:val="105"/>
          <w:sz w:val="16"/>
        </w:rPr>
        <w:t>Luisa</w:t>
      </w:r>
      <w:r>
        <w:rPr>
          <w:rFonts w:ascii="Calibri" w:hAnsi="Calibri"/>
          <w:color w:val="6D6E71"/>
          <w:spacing w:val="-19"/>
          <w:w w:val="105"/>
          <w:sz w:val="16"/>
        </w:rPr>
        <w:t> </w:t>
      </w:r>
      <w:r>
        <w:rPr>
          <w:rFonts w:ascii="Calibri" w:hAnsi="Calibri"/>
          <w:color w:val="6D6E71"/>
          <w:w w:val="105"/>
          <w:sz w:val="16"/>
        </w:rPr>
        <w:t>Bacarlett</w:t>
      </w:r>
      <w:r>
        <w:rPr>
          <w:rFonts w:ascii="Calibri" w:hAnsi="Calibri"/>
          <w:color w:val="6D6E71"/>
          <w:spacing w:val="-19"/>
          <w:w w:val="105"/>
          <w:sz w:val="16"/>
        </w:rPr>
        <w:t> </w:t>
      </w:r>
      <w:r>
        <w:rPr>
          <w:rFonts w:ascii="Calibri" w:hAnsi="Calibri"/>
          <w:color w:val="6D6E71"/>
          <w:w w:val="105"/>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717" w:right="0" w:firstLine="0"/>
        <w:jc w:val="left"/>
        <w:rPr>
          <w:rFonts w:ascii="Trebuchet MS"/>
          <w:sz w:val="20"/>
        </w:rPr>
      </w:pPr>
      <w:r>
        <w:rPr/>
        <w:pict>
          <v:group style="position:absolute;margin-left:383.821014pt;margin-top:-25.479271pt;width:8.65pt;height:41pt;mso-position-horizontal-relative:page;mso-position-vertical-relative:paragraph;z-index:-16388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color w:val="6D6E71"/>
          <w:w w:val="95"/>
          <w:sz w:val="14"/>
        </w:rPr>
        <w:t>NATURALIZZARE</w:t>
      </w:r>
      <w:r>
        <w:rPr>
          <w:rFonts w:ascii="Lucida Sans Unicode"/>
          <w:color w:val="6D6E71"/>
          <w:spacing w:val="-18"/>
          <w:w w:val="95"/>
          <w:sz w:val="14"/>
        </w:rPr>
        <w:t> </w:t>
      </w:r>
      <w:r>
        <w:rPr>
          <w:rFonts w:ascii="Lucida Sans Unicode"/>
          <w:color w:val="6D6E71"/>
          <w:w w:val="95"/>
          <w:sz w:val="14"/>
        </w:rPr>
        <w:t>I</w:t>
      </w:r>
      <w:r>
        <w:rPr>
          <w:rFonts w:ascii="Lucida Sans Unicode"/>
          <w:color w:val="6D6E71"/>
          <w:spacing w:val="-18"/>
          <w:w w:val="95"/>
          <w:sz w:val="14"/>
        </w:rPr>
        <w:t> </w:t>
      </w:r>
      <w:r>
        <w:rPr>
          <w:rFonts w:ascii="Lucida Sans Unicode"/>
          <w:color w:val="6D6E71"/>
          <w:w w:val="95"/>
          <w:sz w:val="14"/>
        </w:rPr>
        <w:t>PARADOSSI:</w:t>
      </w:r>
      <w:r>
        <w:rPr>
          <w:rFonts w:ascii="Lucida Sans Unicode"/>
          <w:color w:val="6D6E71"/>
          <w:spacing w:val="-18"/>
          <w:w w:val="95"/>
          <w:sz w:val="14"/>
        </w:rPr>
        <w:t> </w:t>
      </w:r>
      <w:r>
        <w:rPr>
          <w:rFonts w:ascii="Lucida Sans Unicode"/>
          <w:color w:val="6D6E71"/>
          <w:w w:val="95"/>
          <w:sz w:val="14"/>
        </w:rPr>
        <w:t>UN</w:t>
      </w:r>
      <w:r>
        <w:rPr>
          <w:rFonts w:ascii="Lucida Sans Unicode"/>
          <w:color w:val="6D6E71"/>
          <w:spacing w:val="-18"/>
          <w:w w:val="95"/>
          <w:sz w:val="14"/>
        </w:rPr>
        <w:t> </w:t>
      </w:r>
      <w:r>
        <w:rPr>
          <w:rFonts w:ascii="Lucida Sans Unicode"/>
          <w:color w:val="6D6E71"/>
          <w:w w:val="95"/>
          <w:sz w:val="14"/>
        </w:rPr>
        <w:t>APPROCCIO</w:t>
      </w:r>
      <w:r>
        <w:rPr>
          <w:rFonts w:ascii="Lucida Sans Unicode"/>
          <w:color w:val="6D6E71"/>
          <w:spacing w:val="-18"/>
          <w:w w:val="95"/>
          <w:sz w:val="14"/>
        </w:rPr>
        <w:t> </w:t>
      </w:r>
      <w:r>
        <w:rPr>
          <w:rFonts w:ascii="Lucida Sans Unicode"/>
          <w:color w:val="6D6E71"/>
          <w:w w:val="95"/>
          <w:sz w:val="14"/>
        </w:rPr>
        <w:t>ALLA</w:t>
      </w:r>
      <w:r>
        <w:rPr>
          <w:rFonts w:ascii="Lucida Sans Unicode"/>
          <w:color w:val="6D6E71"/>
          <w:spacing w:val="-18"/>
          <w:w w:val="95"/>
          <w:sz w:val="14"/>
        </w:rPr>
        <w:t> </w:t>
      </w:r>
      <w:r>
        <w:rPr>
          <w:rFonts w:ascii="Lucida Sans Unicode"/>
          <w:color w:val="6D6E71"/>
          <w:w w:val="95"/>
          <w:sz w:val="14"/>
        </w:rPr>
        <w:t>GLOBALIZZAZIONE</w:t>
      </w:r>
      <w:r>
        <w:rPr>
          <w:rFonts w:ascii="Lucida Sans Unicode"/>
          <w:color w:val="6D6E71"/>
          <w:spacing w:val="-18"/>
          <w:w w:val="95"/>
          <w:sz w:val="14"/>
        </w:rPr>
        <w:t> </w:t>
      </w:r>
      <w:r>
        <w:rPr>
          <w:rFonts w:ascii="Lucida Sans Unicode"/>
          <w:color w:val="6D6E71"/>
          <w:w w:val="95"/>
          <w:sz w:val="14"/>
        </w:rPr>
        <w:t>DA</w:t>
      </w:r>
      <w:r>
        <w:rPr>
          <w:rFonts w:ascii="Lucida Sans Unicode"/>
          <w:color w:val="6D6E71"/>
          <w:spacing w:val="-18"/>
          <w:w w:val="95"/>
          <w:sz w:val="14"/>
        </w:rPr>
        <w:t> </w:t>
      </w:r>
      <w:r>
        <w:rPr>
          <w:rFonts w:ascii="Lucida Sans Unicode"/>
          <w:color w:val="6D6E71"/>
          <w:w w:val="95"/>
          <w:sz w:val="14"/>
        </w:rPr>
        <w:t>GILLES</w:t>
      </w:r>
      <w:r>
        <w:rPr>
          <w:rFonts w:ascii="Lucida Sans Unicode"/>
          <w:color w:val="6D6E71"/>
          <w:spacing w:val="-18"/>
          <w:w w:val="95"/>
          <w:sz w:val="14"/>
        </w:rPr>
        <w:t> </w:t>
      </w:r>
      <w:r>
        <w:rPr>
          <w:rFonts w:ascii="Lucida Sans Unicode"/>
          <w:color w:val="6D6E71"/>
          <w:w w:val="95"/>
          <w:sz w:val="14"/>
        </w:rPr>
        <w:t>DELEUZE</w:t>
      </w:r>
      <w:r>
        <w:rPr>
          <w:rFonts w:ascii="Trebuchet MS"/>
          <w:color w:val="414042"/>
          <w:w w:val="95"/>
          <w:position w:val="-3"/>
          <w:sz w:val="20"/>
        </w:rPr>
        <w:tab/>
        <w:t>71</w:t>
      </w:r>
    </w:p>
    <w:p>
      <w:pPr>
        <w:pStyle w:val="BodyText"/>
        <w:rPr>
          <w:rFonts w:ascii="Trebuchet MS"/>
          <w:sz w:val="20"/>
        </w:rPr>
      </w:pPr>
    </w:p>
    <w:p>
      <w:pPr>
        <w:pStyle w:val="BodyText"/>
        <w:rPr>
          <w:rFonts w:ascii="Trebuchet MS"/>
          <w:sz w:val="20"/>
        </w:rPr>
      </w:pPr>
    </w:p>
    <w:p>
      <w:pPr>
        <w:spacing w:line="220" w:lineRule="exact" w:before="171"/>
        <w:ind w:left="1534" w:right="110" w:firstLine="0"/>
        <w:jc w:val="left"/>
        <w:rPr>
          <w:sz w:val="19"/>
        </w:rPr>
      </w:pPr>
      <w:r>
        <w:rPr>
          <w:color w:val="231F20"/>
          <w:w w:val="105"/>
          <w:sz w:val="19"/>
        </w:rPr>
        <w:t>ampiamente</w:t>
      </w:r>
      <w:r>
        <w:rPr>
          <w:color w:val="231F20"/>
          <w:spacing w:val="-13"/>
          <w:w w:val="105"/>
          <w:sz w:val="19"/>
        </w:rPr>
        <w:t> </w:t>
      </w:r>
      <w:r>
        <w:rPr>
          <w:color w:val="231F20"/>
          <w:w w:val="105"/>
          <w:sz w:val="19"/>
        </w:rPr>
        <w:t>l’adempimento</w:t>
      </w:r>
      <w:r>
        <w:rPr>
          <w:color w:val="231F20"/>
          <w:spacing w:val="-13"/>
          <w:w w:val="105"/>
          <w:sz w:val="19"/>
        </w:rPr>
        <w:t> </w:t>
      </w:r>
      <w:r>
        <w:rPr>
          <w:color w:val="231F20"/>
          <w:w w:val="105"/>
          <w:sz w:val="19"/>
        </w:rPr>
        <w:t>dei</w:t>
      </w:r>
      <w:r>
        <w:rPr>
          <w:color w:val="231F20"/>
          <w:spacing w:val="-13"/>
          <w:w w:val="105"/>
          <w:sz w:val="19"/>
        </w:rPr>
        <w:t> </w:t>
      </w:r>
      <w:r>
        <w:rPr>
          <w:color w:val="231F20"/>
          <w:w w:val="105"/>
          <w:sz w:val="19"/>
        </w:rPr>
        <w:t>lavoratori,</w:t>
      </w:r>
      <w:r>
        <w:rPr>
          <w:color w:val="231F20"/>
          <w:spacing w:val="-13"/>
          <w:w w:val="105"/>
          <w:sz w:val="19"/>
        </w:rPr>
        <w:t> </w:t>
      </w:r>
      <w:r>
        <w:rPr>
          <w:color w:val="231F20"/>
          <w:w w:val="105"/>
          <w:sz w:val="19"/>
        </w:rPr>
        <w:t>da</w:t>
      </w:r>
      <w:r>
        <w:rPr>
          <w:color w:val="231F20"/>
          <w:spacing w:val="-13"/>
          <w:w w:val="105"/>
          <w:sz w:val="19"/>
        </w:rPr>
        <w:t> </w:t>
      </w:r>
      <w:r>
        <w:rPr>
          <w:color w:val="231F20"/>
          <w:w w:val="105"/>
          <w:sz w:val="19"/>
        </w:rPr>
        <w:t>un</w:t>
      </w:r>
      <w:r>
        <w:rPr>
          <w:color w:val="231F20"/>
          <w:spacing w:val="-13"/>
          <w:w w:val="105"/>
          <w:sz w:val="19"/>
        </w:rPr>
        <w:t> </w:t>
      </w:r>
      <w:r>
        <w:rPr>
          <w:color w:val="231F20"/>
          <w:w w:val="105"/>
          <w:sz w:val="19"/>
        </w:rPr>
        <w:t>luogo</w:t>
      </w:r>
      <w:r>
        <w:rPr>
          <w:color w:val="231F20"/>
          <w:spacing w:val="-13"/>
          <w:w w:val="105"/>
          <w:sz w:val="19"/>
        </w:rPr>
        <w:t> </w:t>
      </w:r>
      <w:r>
        <w:rPr>
          <w:color w:val="231F20"/>
          <w:w w:val="105"/>
          <w:sz w:val="19"/>
        </w:rPr>
        <w:t>centrale remoto</w:t>
      </w:r>
      <w:r>
        <w:rPr>
          <w:color w:val="231F20"/>
          <w:w w:val="105"/>
          <w:position w:val="6"/>
          <w:sz w:val="11"/>
        </w:rPr>
        <w:t>24</w:t>
      </w:r>
      <w:r>
        <w:rPr>
          <w:color w:val="231F20"/>
          <w:w w:val="105"/>
          <w:sz w:val="19"/>
        </w:rPr>
        <w:t>.</w:t>
      </w:r>
    </w:p>
    <w:p>
      <w:pPr>
        <w:pStyle w:val="BodyText"/>
        <w:spacing w:before="11"/>
        <w:rPr>
          <w:sz w:val="23"/>
        </w:rPr>
      </w:pPr>
    </w:p>
    <w:p>
      <w:pPr>
        <w:pStyle w:val="BodyText"/>
        <w:spacing w:line="247" w:lineRule="auto"/>
        <w:ind w:left="117" w:right="121"/>
        <w:jc w:val="both"/>
      </w:pPr>
      <w:r>
        <w:rPr>
          <w:color w:val="231F20"/>
        </w:rPr>
        <w:t>Il paradosso centro–margini è servito da molto presto per caratterizzare il </w:t>
      </w:r>
      <w:r>
        <w:rPr>
          <w:color w:val="231F20"/>
          <w:spacing w:val="-3"/>
        </w:rPr>
        <w:t>processo</w:t>
      </w:r>
      <w:r>
        <w:rPr>
          <w:color w:val="231F20"/>
          <w:spacing w:val="-17"/>
        </w:rPr>
        <w:t> </w:t>
      </w:r>
      <w:r>
        <w:rPr>
          <w:color w:val="231F20"/>
        </w:rPr>
        <w:t>di</w:t>
      </w:r>
      <w:r>
        <w:rPr>
          <w:color w:val="231F20"/>
          <w:spacing w:val="-17"/>
        </w:rPr>
        <w:t> </w:t>
      </w:r>
      <w:r>
        <w:rPr>
          <w:color w:val="231F20"/>
        </w:rPr>
        <w:t>globalizzazione;</w:t>
      </w:r>
      <w:r>
        <w:rPr>
          <w:color w:val="231F20"/>
          <w:spacing w:val="-17"/>
        </w:rPr>
        <w:t> </w:t>
      </w:r>
      <w:r>
        <w:rPr>
          <w:color w:val="231F20"/>
        </w:rPr>
        <w:t>nonostante,</w:t>
      </w:r>
      <w:r>
        <w:rPr>
          <w:color w:val="231F20"/>
          <w:spacing w:val="-17"/>
        </w:rPr>
        <w:t> </w:t>
      </w:r>
      <w:r>
        <w:rPr>
          <w:color w:val="231F20"/>
        </w:rPr>
        <w:t>è</w:t>
      </w:r>
      <w:r>
        <w:rPr>
          <w:color w:val="231F20"/>
          <w:spacing w:val="-17"/>
        </w:rPr>
        <w:t> </w:t>
      </w:r>
      <w:r>
        <w:rPr>
          <w:color w:val="231F20"/>
        </w:rPr>
        <w:t>anche</w:t>
      </w:r>
      <w:r>
        <w:rPr>
          <w:color w:val="231F20"/>
          <w:spacing w:val="-17"/>
        </w:rPr>
        <w:t> </w:t>
      </w:r>
      <w:r>
        <w:rPr>
          <w:color w:val="231F20"/>
        </w:rPr>
        <w:t>un</w:t>
      </w:r>
      <w:r>
        <w:rPr>
          <w:color w:val="231F20"/>
          <w:spacing w:val="-17"/>
        </w:rPr>
        <w:t> </w:t>
      </w:r>
      <w:r>
        <w:rPr>
          <w:color w:val="231F20"/>
        </w:rPr>
        <w:t>paradosso</w:t>
      </w:r>
      <w:r>
        <w:rPr>
          <w:color w:val="231F20"/>
          <w:spacing w:val="-17"/>
        </w:rPr>
        <w:t> </w:t>
      </w:r>
      <w:r>
        <w:rPr>
          <w:color w:val="231F20"/>
        </w:rPr>
        <w:t>ingannevole o, se si vuole, un paradosso che chiude in se stesso un’altra aporia che invalida</w:t>
      </w:r>
      <w:r>
        <w:rPr>
          <w:color w:val="231F20"/>
          <w:spacing w:val="-15"/>
        </w:rPr>
        <w:t> </w:t>
      </w:r>
      <w:r>
        <w:rPr>
          <w:color w:val="231F20"/>
        </w:rPr>
        <w:t>la</w:t>
      </w:r>
      <w:r>
        <w:rPr>
          <w:color w:val="231F20"/>
          <w:spacing w:val="-15"/>
        </w:rPr>
        <w:t> </w:t>
      </w:r>
      <w:r>
        <w:rPr>
          <w:color w:val="231F20"/>
        </w:rPr>
        <w:t>prima:</w:t>
      </w:r>
      <w:r>
        <w:rPr>
          <w:color w:val="231F20"/>
          <w:spacing w:val="-15"/>
        </w:rPr>
        <w:t> </w:t>
      </w:r>
      <w:r>
        <w:rPr>
          <w:color w:val="231F20"/>
        </w:rPr>
        <w:t>se</w:t>
      </w:r>
      <w:r>
        <w:rPr>
          <w:color w:val="231F20"/>
          <w:spacing w:val="-15"/>
        </w:rPr>
        <w:t> </w:t>
      </w:r>
      <w:r>
        <w:rPr>
          <w:color w:val="231F20"/>
        </w:rPr>
        <w:t>bene</w:t>
      </w:r>
      <w:r>
        <w:rPr>
          <w:color w:val="231F20"/>
          <w:spacing w:val="-15"/>
        </w:rPr>
        <w:t> </w:t>
      </w:r>
      <w:r>
        <w:rPr>
          <w:color w:val="231F20"/>
        </w:rPr>
        <w:t>il</w:t>
      </w:r>
      <w:r>
        <w:rPr>
          <w:color w:val="231F20"/>
          <w:spacing w:val="-15"/>
        </w:rPr>
        <w:t> </w:t>
      </w:r>
      <w:r>
        <w:rPr>
          <w:color w:val="231F20"/>
        </w:rPr>
        <w:t>centro</w:t>
      </w:r>
      <w:r>
        <w:rPr>
          <w:color w:val="231F20"/>
          <w:spacing w:val="-15"/>
        </w:rPr>
        <w:t> </w:t>
      </w:r>
      <w:r>
        <w:rPr>
          <w:color w:val="231F20"/>
        </w:rPr>
        <w:t>non</w:t>
      </w:r>
      <w:r>
        <w:rPr>
          <w:color w:val="231F20"/>
          <w:spacing w:val="-15"/>
        </w:rPr>
        <w:t> </w:t>
      </w:r>
      <w:r>
        <w:rPr>
          <w:color w:val="231F20"/>
        </w:rPr>
        <w:t>appartiene</w:t>
      </w:r>
      <w:r>
        <w:rPr>
          <w:color w:val="231F20"/>
          <w:spacing w:val="-15"/>
        </w:rPr>
        <w:t> </w:t>
      </w:r>
      <w:r>
        <w:rPr>
          <w:color w:val="231F20"/>
        </w:rPr>
        <w:t>più</w:t>
      </w:r>
      <w:r>
        <w:rPr>
          <w:color w:val="231F20"/>
          <w:spacing w:val="-15"/>
        </w:rPr>
        <w:t> </w:t>
      </w:r>
      <w:r>
        <w:rPr>
          <w:color w:val="231F20"/>
        </w:rPr>
        <w:t>a</w:t>
      </w:r>
      <w:r>
        <w:rPr>
          <w:color w:val="231F20"/>
          <w:spacing w:val="-15"/>
        </w:rPr>
        <w:t> </w:t>
      </w:r>
      <w:r>
        <w:rPr>
          <w:color w:val="231F20"/>
        </w:rPr>
        <w:t>un</w:t>
      </w:r>
      <w:r>
        <w:rPr>
          <w:color w:val="231F20"/>
          <w:spacing w:val="-15"/>
        </w:rPr>
        <w:t> </w:t>
      </w:r>
      <w:r>
        <w:rPr>
          <w:color w:val="231F20"/>
        </w:rPr>
        <w:t>luogo</w:t>
      </w:r>
      <w:r>
        <w:rPr>
          <w:color w:val="231F20"/>
          <w:spacing w:val="-15"/>
        </w:rPr>
        <w:t> </w:t>
      </w:r>
      <w:r>
        <w:rPr>
          <w:color w:val="231F20"/>
        </w:rPr>
        <w:t>geografico determinato, non si circoscrive più alla logica dello Stato–nazione, non per questo sparisce, anzi, prende la forma di una funzione e di una nuvola di influenza, che senza essere omogenea ne completa, agisce per questo in modo più</w:t>
      </w:r>
      <w:r>
        <w:rPr>
          <w:color w:val="231F20"/>
          <w:spacing w:val="27"/>
        </w:rPr>
        <w:t> </w:t>
      </w:r>
      <w:r>
        <w:rPr>
          <w:color w:val="231F20"/>
        </w:rPr>
        <w:t>efficiente.</w:t>
      </w:r>
    </w:p>
    <w:p>
      <w:pPr>
        <w:pStyle w:val="BodyText"/>
        <w:spacing w:line="247" w:lineRule="auto"/>
        <w:ind w:left="117" w:right="114" w:firstLine="566"/>
        <w:jc w:val="both"/>
      </w:pPr>
      <w:r>
        <w:rPr>
          <w:color w:val="231F20"/>
          <w:spacing w:val="5"/>
          <w:w w:val="105"/>
        </w:rPr>
        <w:t>Finora </w:t>
      </w:r>
      <w:r>
        <w:rPr>
          <w:color w:val="231F20"/>
          <w:spacing w:val="6"/>
          <w:w w:val="105"/>
        </w:rPr>
        <w:t>abbiamo esposto </w:t>
      </w:r>
      <w:r>
        <w:rPr>
          <w:color w:val="231F20"/>
          <w:spacing w:val="5"/>
          <w:w w:val="105"/>
        </w:rPr>
        <w:t>alcuni </w:t>
      </w:r>
      <w:r>
        <w:rPr>
          <w:color w:val="231F20"/>
          <w:spacing w:val="4"/>
          <w:w w:val="105"/>
        </w:rPr>
        <w:t>dei </w:t>
      </w:r>
      <w:r>
        <w:rPr>
          <w:color w:val="231F20"/>
          <w:spacing w:val="6"/>
          <w:w w:val="105"/>
        </w:rPr>
        <w:t>principali paradossi </w:t>
      </w:r>
      <w:r>
        <w:rPr>
          <w:color w:val="231F20"/>
          <w:spacing w:val="7"/>
          <w:w w:val="105"/>
        </w:rPr>
        <w:t>della </w:t>
      </w:r>
      <w:r>
        <w:rPr>
          <w:color w:val="231F20"/>
          <w:w w:val="105"/>
        </w:rPr>
        <w:t>globalizzazione,</w:t>
      </w:r>
      <w:r>
        <w:rPr>
          <w:color w:val="231F20"/>
          <w:spacing w:val="-54"/>
          <w:w w:val="105"/>
        </w:rPr>
        <w:t> </w:t>
      </w:r>
      <w:r>
        <w:rPr>
          <w:color w:val="231F20"/>
          <w:spacing w:val="-3"/>
          <w:w w:val="105"/>
        </w:rPr>
        <w:t>cercando</w:t>
      </w:r>
      <w:r>
        <w:rPr>
          <w:color w:val="231F20"/>
          <w:spacing w:val="-54"/>
          <w:w w:val="105"/>
        </w:rPr>
        <w:t> </w:t>
      </w:r>
      <w:r>
        <w:rPr>
          <w:color w:val="231F20"/>
          <w:w w:val="105"/>
        </w:rPr>
        <w:t>di</w:t>
      </w:r>
      <w:r>
        <w:rPr>
          <w:color w:val="231F20"/>
          <w:spacing w:val="-54"/>
          <w:w w:val="105"/>
        </w:rPr>
        <w:t> </w:t>
      </w:r>
      <w:r>
        <w:rPr>
          <w:color w:val="231F20"/>
          <w:spacing w:val="-3"/>
          <w:w w:val="105"/>
        </w:rPr>
        <w:t>sottolineare</w:t>
      </w:r>
      <w:r>
        <w:rPr>
          <w:color w:val="231F20"/>
          <w:spacing w:val="-54"/>
          <w:w w:val="105"/>
        </w:rPr>
        <w:t> </w:t>
      </w:r>
      <w:r>
        <w:rPr>
          <w:color w:val="231F20"/>
          <w:w w:val="105"/>
        </w:rPr>
        <w:t>il</w:t>
      </w:r>
      <w:r>
        <w:rPr>
          <w:color w:val="231F20"/>
          <w:spacing w:val="-54"/>
          <w:w w:val="105"/>
        </w:rPr>
        <w:t> </w:t>
      </w:r>
      <w:r>
        <w:rPr>
          <w:color w:val="231F20"/>
          <w:spacing w:val="-3"/>
          <w:w w:val="105"/>
        </w:rPr>
        <w:t>loro</w:t>
      </w:r>
      <w:r>
        <w:rPr>
          <w:color w:val="231F20"/>
          <w:spacing w:val="-54"/>
          <w:w w:val="105"/>
        </w:rPr>
        <w:t> </w:t>
      </w:r>
      <w:r>
        <w:rPr>
          <w:color w:val="231F20"/>
          <w:spacing w:val="-3"/>
          <w:w w:val="105"/>
        </w:rPr>
        <w:t>carattere</w:t>
      </w:r>
      <w:r>
        <w:rPr>
          <w:color w:val="231F20"/>
          <w:spacing w:val="-54"/>
          <w:w w:val="105"/>
        </w:rPr>
        <w:t> </w:t>
      </w:r>
      <w:r>
        <w:rPr>
          <w:color w:val="231F20"/>
          <w:w w:val="105"/>
        </w:rPr>
        <w:t>non</w:t>
      </w:r>
      <w:r>
        <w:rPr>
          <w:color w:val="231F20"/>
          <w:spacing w:val="-54"/>
          <w:w w:val="105"/>
        </w:rPr>
        <w:t> </w:t>
      </w:r>
      <w:r>
        <w:rPr>
          <w:color w:val="231F20"/>
          <w:w w:val="105"/>
        </w:rPr>
        <w:t>esclusivamente unificatore</w:t>
      </w:r>
      <w:r>
        <w:rPr>
          <w:color w:val="231F20"/>
          <w:spacing w:val="-12"/>
          <w:w w:val="105"/>
        </w:rPr>
        <w:t> </w:t>
      </w:r>
      <w:r>
        <w:rPr>
          <w:color w:val="231F20"/>
          <w:w w:val="105"/>
        </w:rPr>
        <w:t>e</w:t>
      </w:r>
      <w:r>
        <w:rPr>
          <w:color w:val="231F20"/>
          <w:spacing w:val="-12"/>
          <w:w w:val="105"/>
        </w:rPr>
        <w:t> </w:t>
      </w:r>
      <w:r>
        <w:rPr>
          <w:color w:val="231F20"/>
          <w:w w:val="105"/>
        </w:rPr>
        <w:t>omogeneo.</w:t>
      </w:r>
      <w:r>
        <w:rPr>
          <w:color w:val="231F20"/>
          <w:spacing w:val="-12"/>
          <w:w w:val="105"/>
        </w:rPr>
        <w:t> </w:t>
      </w:r>
      <w:r>
        <w:rPr>
          <w:color w:val="231F20"/>
          <w:w w:val="105"/>
        </w:rPr>
        <w:t>In</w:t>
      </w:r>
      <w:r>
        <w:rPr>
          <w:color w:val="231F20"/>
          <w:spacing w:val="-12"/>
          <w:w w:val="105"/>
        </w:rPr>
        <w:t> </w:t>
      </w:r>
      <w:r>
        <w:rPr>
          <w:color w:val="231F20"/>
          <w:w w:val="105"/>
        </w:rPr>
        <w:t>questo</w:t>
      </w:r>
      <w:r>
        <w:rPr>
          <w:color w:val="231F20"/>
          <w:spacing w:val="-12"/>
          <w:w w:val="105"/>
        </w:rPr>
        <w:t> </w:t>
      </w:r>
      <w:r>
        <w:rPr>
          <w:color w:val="231F20"/>
          <w:w w:val="105"/>
        </w:rPr>
        <w:t>approccio</w:t>
      </w:r>
      <w:r>
        <w:rPr>
          <w:color w:val="231F20"/>
          <w:spacing w:val="-12"/>
          <w:w w:val="105"/>
        </w:rPr>
        <w:t> </w:t>
      </w:r>
      <w:r>
        <w:rPr>
          <w:color w:val="231F20"/>
          <w:w w:val="105"/>
        </w:rPr>
        <w:t>paradossale,</w:t>
      </w:r>
      <w:r>
        <w:rPr>
          <w:color w:val="231F20"/>
          <w:spacing w:val="-12"/>
          <w:w w:val="105"/>
        </w:rPr>
        <w:t> </w:t>
      </w:r>
      <w:r>
        <w:rPr>
          <w:color w:val="231F20"/>
          <w:w w:val="105"/>
        </w:rPr>
        <w:t>il</w:t>
      </w:r>
      <w:r>
        <w:rPr>
          <w:color w:val="231F20"/>
          <w:spacing w:val="-12"/>
          <w:w w:val="105"/>
        </w:rPr>
        <w:t> </w:t>
      </w:r>
      <w:r>
        <w:rPr>
          <w:color w:val="231F20"/>
          <w:w w:val="105"/>
        </w:rPr>
        <w:t>globale</w:t>
      </w:r>
      <w:r>
        <w:rPr>
          <w:color w:val="231F20"/>
          <w:spacing w:val="-12"/>
          <w:w w:val="105"/>
        </w:rPr>
        <w:t> </w:t>
      </w:r>
      <w:r>
        <w:rPr>
          <w:color w:val="231F20"/>
          <w:w w:val="105"/>
        </w:rPr>
        <w:t>non si</w:t>
      </w:r>
      <w:r>
        <w:rPr>
          <w:color w:val="231F20"/>
          <w:spacing w:val="-16"/>
          <w:w w:val="105"/>
        </w:rPr>
        <w:t> </w:t>
      </w:r>
      <w:r>
        <w:rPr>
          <w:color w:val="231F20"/>
          <w:w w:val="105"/>
        </w:rPr>
        <w:t>contrapone</w:t>
      </w:r>
      <w:r>
        <w:rPr>
          <w:color w:val="231F20"/>
          <w:spacing w:val="-16"/>
          <w:w w:val="105"/>
        </w:rPr>
        <w:t> </w:t>
      </w:r>
      <w:r>
        <w:rPr>
          <w:color w:val="231F20"/>
          <w:w w:val="105"/>
        </w:rPr>
        <w:t>al</w:t>
      </w:r>
      <w:r>
        <w:rPr>
          <w:color w:val="231F20"/>
          <w:spacing w:val="-16"/>
          <w:w w:val="105"/>
        </w:rPr>
        <w:t> </w:t>
      </w:r>
      <w:r>
        <w:rPr>
          <w:color w:val="231F20"/>
          <w:w w:val="105"/>
        </w:rPr>
        <w:t>locale,</w:t>
      </w:r>
      <w:r>
        <w:rPr>
          <w:color w:val="231F20"/>
          <w:spacing w:val="-16"/>
          <w:w w:val="105"/>
        </w:rPr>
        <w:t> </w:t>
      </w:r>
      <w:r>
        <w:rPr>
          <w:color w:val="231F20"/>
          <w:w w:val="105"/>
        </w:rPr>
        <w:t>anzi,</w:t>
      </w:r>
      <w:r>
        <w:rPr>
          <w:color w:val="231F20"/>
          <w:spacing w:val="-16"/>
          <w:w w:val="105"/>
        </w:rPr>
        <w:t> </w:t>
      </w:r>
      <w:r>
        <w:rPr>
          <w:color w:val="231F20"/>
          <w:w w:val="105"/>
        </w:rPr>
        <w:t>lo</w:t>
      </w:r>
      <w:r>
        <w:rPr>
          <w:color w:val="231F20"/>
          <w:spacing w:val="-16"/>
          <w:w w:val="105"/>
        </w:rPr>
        <w:t> </w:t>
      </w:r>
      <w:r>
        <w:rPr>
          <w:color w:val="231F20"/>
          <w:w w:val="105"/>
        </w:rPr>
        <w:t>integra,</w:t>
      </w:r>
      <w:r>
        <w:rPr>
          <w:color w:val="231F20"/>
          <w:spacing w:val="-16"/>
          <w:w w:val="105"/>
        </w:rPr>
        <w:t> </w:t>
      </w:r>
      <w:r>
        <w:rPr>
          <w:color w:val="231F20"/>
          <w:w w:val="105"/>
        </w:rPr>
        <w:t>lo</w:t>
      </w:r>
      <w:r>
        <w:rPr>
          <w:color w:val="231F20"/>
          <w:spacing w:val="-16"/>
          <w:w w:val="105"/>
        </w:rPr>
        <w:t> </w:t>
      </w:r>
      <w:r>
        <w:rPr>
          <w:color w:val="231F20"/>
          <w:w w:val="105"/>
        </w:rPr>
        <w:t>usa</w:t>
      </w:r>
      <w:r>
        <w:rPr>
          <w:color w:val="231F20"/>
          <w:spacing w:val="-16"/>
          <w:w w:val="105"/>
        </w:rPr>
        <w:t> </w:t>
      </w:r>
      <w:r>
        <w:rPr>
          <w:color w:val="231F20"/>
          <w:w w:val="105"/>
        </w:rPr>
        <w:t>e</w:t>
      </w:r>
      <w:r>
        <w:rPr>
          <w:color w:val="231F20"/>
          <w:spacing w:val="-16"/>
          <w:w w:val="105"/>
        </w:rPr>
        <w:t> </w:t>
      </w:r>
      <w:r>
        <w:rPr>
          <w:color w:val="231F20"/>
          <w:w w:val="105"/>
        </w:rPr>
        <w:t>lo</w:t>
      </w:r>
      <w:r>
        <w:rPr>
          <w:color w:val="231F20"/>
          <w:spacing w:val="-16"/>
          <w:w w:val="105"/>
        </w:rPr>
        <w:t> </w:t>
      </w:r>
      <w:r>
        <w:rPr>
          <w:color w:val="231F20"/>
          <w:w w:val="105"/>
        </w:rPr>
        <w:t>produce,</w:t>
      </w:r>
      <w:r>
        <w:rPr>
          <w:color w:val="231F20"/>
          <w:spacing w:val="-16"/>
          <w:w w:val="105"/>
        </w:rPr>
        <w:t> </w:t>
      </w:r>
      <w:r>
        <w:rPr>
          <w:color w:val="231F20"/>
          <w:w w:val="105"/>
        </w:rPr>
        <w:t>al</w:t>
      </w:r>
      <w:r>
        <w:rPr>
          <w:color w:val="231F20"/>
          <w:spacing w:val="-16"/>
          <w:w w:val="105"/>
        </w:rPr>
        <w:t> </w:t>
      </w:r>
      <w:r>
        <w:rPr>
          <w:color w:val="231F20"/>
          <w:w w:val="105"/>
        </w:rPr>
        <w:t>tempo</w:t>
      </w:r>
      <w:r>
        <w:rPr>
          <w:color w:val="231F20"/>
          <w:spacing w:val="-16"/>
          <w:w w:val="105"/>
        </w:rPr>
        <w:t> </w:t>
      </w:r>
      <w:r>
        <w:rPr>
          <w:color w:val="231F20"/>
          <w:w w:val="105"/>
        </w:rPr>
        <w:t>che il</w:t>
      </w:r>
      <w:r>
        <w:rPr>
          <w:color w:val="231F20"/>
          <w:spacing w:val="-17"/>
          <w:w w:val="105"/>
        </w:rPr>
        <w:t> </w:t>
      </w:r>
      <w:r>
        <w:rPr>
          <w:color w:val="231F20"/>
          <w:w w:val="105"/>
        </w:rPr>
        <w:t>locale</w:t>
      </w:r>
      <w:r>
        <w:rPr>
          <w:color w:val="231F20"/>
          <w:spacing w:val="-17"/>
          <w:w w:val="105"/>
        </w:rPr>
        <w:t> </w:t>
      </w:r>
      <w:r>
        <w:rPr>
          <w:color w:val="231F20"/>
          <w:w w:val="105"/>
        </w:rPr>
        <w:t>emerge</w:t>
      </w:r>
      <w:r>
        <w:rPr>
          <w:color w:val="231F20"/>
          <w:spacing w:val="-17"/>
          <w:w w:val="105"/>
        </w:rPr>
        <w:t> </w:t>
      </w:r>
      <w:r>
        <w:rPr>
          <w:color w:val="231F20"/>
          <w:w w:val="105"/>
        </w:rPr>
        <w:t>in</w:t>
      </w:r>
      <w:r>
        <w:rPr>
          <w:color w:val="231F20"/>
          <w:spacing w:val="-17"/>
          <w:w w:val="105"/>
        </w:rPr>
        <w:t> </w:t>
      </w:r>
      <w:r>
        <w:rPr>
          <w:color w:val="231F20"/>
          <w:w w:val="105"/>
        </w:rPr>
        <w:t>consonanza</w:t>
      </w:r>
      <w:r>
        <w:rPr>
          <w:color w:val="231F20"/>
          <w:spacing w:val="-17"/>
          <w:w w:val="105"/>
        </w:rPr>
        <w:t> </w:t>
      </w:r>
      <w:r>
        <w:rPr>
          <w:color w:val="231F20"/>
          <w:w w:val="105"/>
        </w:rPr>
        <w:t>con</w:t>
      </w:r>
      <w:r>
        <w:rPr>
          <w:color w:val="231F20"/>
          <w:spacing w:val="-17"/>
          <w:w w:val="105"/>
        </w:rPr>
        <w:t> </w:t>
      </w:r>
      <w:r>
        <w:rPr>
          <w:color w:val="231F20"/>
          <w:w w:val="105"/>
        </w:rPr>
        <w:t>il</w:t>
      </w:r>
      <w:r>
        <w:rPr>
          <w:color w:val="231F20"/>
          <w:spacing w:val="-17"/>
          <w:w w:val="105"/>
        </w:rPr>
        <w:t> </w:t>
      </w:r>
      <w:r>
        <w:rPr>
          <w:color w:val="231F20"/>
          <w:w w:val="105"/>
        </w:rPr>
        <w:t>globale</w:t>
      </w:r>
      <w:r>
        <w:rPr>
          <w:color w:val="231F20"/>
          <w:spacing w:val="-17"/>
          <w:w w:val="105"/>
        </w:rPr>
        <w:t> </w:t>
      </w:r>
      <w:r>
        <w:rPr>
          <w:color w:val="231F20"/>
          <w:w w:val="105"/>
        </w:rPr>
        <w:t>e</w:t>
      </w:r>
      <w:r>
        <w:rPr>
          <w:color w:val="231F20"/>
          <w:spacing w:val="-17"/>
          <w:w w:val="105"/>
        </w:rPr>
        <w:t> </w:t>
      </w:r>
      <w:r>
        <w:rPr>
          <w:color w:val="231F20"/>
          <w:w w:val="105"/>
        </w:rPr>
        <w:t>anche</w:t>
      </w:r>
      <w:r>
        <w:rPr>
          <w:color w:val="231F20"/>
          <w:spacing w:val="-17"/>
          <w:w w:val="105"/>
        </w:rPr>
        <w:t> </w:t>
      </w:r>
      <w:r>
        <w:rPr>
          <w:color w:val="231F20"/>
          <w:w w:val="105"/>
        </w:rPr>
        <w:t>lo</w:t>
      </w:r>
      <w:r>
        <w:rPr>
          <w:color w:val="231F20"/>
          <w:spacing w:val="-17"/>
          <w:w w:val="105"/>
        </w:rPr>
        <w:t> </w:t>
      </w:r>
      <w:r>
        <w:rPr>
          <w:color w:val="231F20"/>
          <w:w w:val="105"/>
        </w:rPr>
        <w:t>genera</w:t>
      </w:r>
      <w:r>
        <w:rPr>
          <w:color w:val="231F20"/>
          <w:spacing w:val="-17"/>
          <w:w w:val="105"/>
        </w:rPr>
        <w:t> </w:t>
      </w:r>
      <w:r>
        <w:rPr>
          <w:color w:val="231F20"/>
          <w:w w:val="105"/>
        </w:rPr>
        <w:t>e</w:t>
      </w:r>
      <w:r>
        <w:rPr>
          <w:color w:val="231F20"/>
          <w:spacing w:val="-17"/>
          <w:w w:val="105"/>
        </w:rPr>
        <w:t> </w:t>
      </w:r>
      <w:r>
        <w:rPr>
          <w:color w:val="231F20"/>
          <w:w w:val="105"/>
        </w:rPr>
        <w:t>utilizza: glocalizzazione.</w:t>
      </w:r>
      <w:r>
        <w:rPr>
          <w:color w:val="231F20"/>
          <w:spacing w:val="-22"/>
          <w:w w:val="105"/>
        </w:rPr>
        <w:t> </w:t>
      </w:r>
      <w:r>
        <w:rPr>
          <w:color w:val="231F20"/>
          <w:w w:val="105"/>
        </w:rPr>
        <w:t>Abbiamo</w:t>
      </w:r>
      <w:r>
        <w:rPr>
          <w:color w:val="231F20"/>
          <w:spacing w:val="-22"/>
          <w:w w:val="105"/>
        </w:rPr>
        <w:t> </w:t>
      </w:r>
      <w:r>
        <w:rPr>
          <w:color w:val="231F20"/>
          <w:w w:val="105"/>
        </w:rPr>
        <w:t>detto,</w:t>
      </w:r>
      <w:r>
        <w:rPr>
          <w:color w:val="231F20"/>
          <w:spacing w:val="-22"/>
          <w:w w:val="105"/>
        </w:rPr>
        <w:t> </w:t>
      </w:r>
      <w:r>
        <w:rPr>
          <w:color w:val="231F20"/>
          <w:w w:val="105"/>
        </w:rPr>
        <w:t>ugualmente,</w:t>
      </w:r>
      <w:r>
        <w:rPr>
          <w:color w:val="231F20"/>
          <w:spacing w:val="-22"/>
          <w:w w:val="105"/>
        </w:rPr>
        <w:t> </w:t>
      </w:r>
      <w:r>
        <w:rPr>
          <w:color w:val="231F20"/>
          <w:w w:val="105"/>
        </w:rPr>
        <w:t>che</w:t>
      </w:r>
      <w:r>
        <w:rPr>
          <w:color w:val="231F20"/>
          <w:spacing w:val="-22"/>
          <w:w w:val="105"/>
        </w:rPr>
        <w:t> </w:t>
      </w:r>
      <w:r>
        <w:rPr>
          <w:color w:val="231F20"/>
          <w:w w:val="105"/>
        </w:rPr>
        <w:t>l’accelerato</w:t>
      </w:r>
      <w:r>
        <w:rPr>
          <w:color w:val="231F20"/>
          <w:spacing w:val="-22"/>
          <w:w w:val="105"/>
        </w:rPr>
        <w:t> </w:t>
      </w:r>
      <w:r>
        <w:rPr>
          <w:color w:val="231F20"/>
          <w:w w:val="105"/>
        </w:rPr>
        <w:t>processo</w:t>
      </w:r>
      <w:r>
        <w:rPr>
          <w:color w:val="231F20"/>
          <w:spacing w:val="-22"/>
          <w:w w:val="105"/>
        </w:rPr>
        <w:t> </w:t>
      </w:r>
      <w:r>
        <w:rPr>
          <w:color w:val="231F20"/>
          <w:w w:val="105"/>
        </w:rPr>
        <w:t>di globalizzazione</w:t>
      </w:r>
      <w:r>
        <w:rPr>
          <w:color w:val="231F20"/>
          <w:spacing w:val="-27"/>
          <w:w w:val="105"/>
        </w:rPr>
        <w:t> </w:t>
      </w:r>
      <w:r>
        <w:rPr>
          <w:color w:val="231F20"/>
          <w:w w:val="105"/>
        </w:rPr>
        <w:t>che</w:t>
      </w:r>
      <w:r>
        <w:rPr>
          <w:color w:val="231F20"/>
          <w:spacing w:val="-27"/>
          <w:w w:val="105"/>
        </w:rPr>
        <w:t> </w:t>
      </w:r>
      <w:r>
        <w:rPr>
          <w:color w:val="231F20"/>
          <w:w w:val="105"/>
        </w:rPr>
        <w:t>viviamo</w:t>
      </w:r>
      <w:r>
        <w:rPr>
          <w:color w:val="231F20"/>
          <w:spacing w:val="-27"/>
          <w:w w:val="105"/>
        </w:rPr>
        <w:t> </w:t>
      </w:r>
      <w:r>
        <w:rPr>
          <w:color w:val="231F20"/>
          <w:w w:val="105"/>
        </w:rPr>
        <w:t>oggi</w:t>
      </w:r>
      <w:r>
        <w:rPr>
          <w:color w:val="231F20"/>
          <w:spacing w:val="-27"/>
          <w:w w:val="105"/>
        </w:rPr>
        <w:t> </w:t>
      </w:r>
      <w:r>
        <w:rPr>
          <w:color w:val="231F20"/>
          <w:w w:val="105"/>
        </w:rPr>
        <w:t>è</w:t>
      </w:r>
      <w:r>
        <w:rPr>
          <w:color w:val="231F20"/>
          <w:spacing w:val="-27"/>
          <w:w w:val="105"/>
        </w:rPr>
        <w:t> </w:t>
      </w:r>
      <w:r>
        <w:rPr>
          <w:color w:val="231F20"/>
          <w:w w:val="105"/>
        </w:rPr>
        <w:t>la</w:t>
      </w:r>
      <w:r>
        <w:rPr>
          <w:color w:val="231F20"/>
          <w:spacing w:val="-27"/>
          <w:w w:val="105"/>
        </w:rPr>
        <w:t> </w:t>
      </w:r>
      <w:r>
        <w:rPr>
          <w:color w:val="231F20"/>
          <w:w w:val="105"/>
        </w:rPr>
        <w:t>radicalizzazione</w:t>
      </w:r>
      <w:r>
        <w:rPr>
          <w:color w:val="231F20"/>
          <w:spacing w:val="-27"/>
          <w:w w:val="105"/>
        </w:rPr>
        <w:t> </w:t>
      </w:r>
      <w:r>
        <w:rPr>
          <w:color w:val="231F20"/>
          <w:w w:val="105"/>
        </w:rPr>
        <w:t>di</w:t>
      </w:r>
      <w:r>
        <w:rPr>
          <w:color w:val="231F20"/>
          <w:spacing w:val="-27"/>
          <w:w w:val="105"/>
        </w:rPr>
        <w:t> </w:t>
      </w:r>
      <w:r>
        <w:rPr>
          <w:color w:val="231F20"/>
          <w:w w:val="105"/>
        </w:rPr>
        <w:t>una</w:t>
      </w:r>
      <w:r>
        <w:rPr>
          <w:color w:val="231F20"/>
          <w:spacing w:val="-27"/>
          <w:w w:val="105"/>
        </w:rPr>
        <w:t> </w:t>
      </w:r>
      <w:r>
        <w:rPr>
          <w:color w:val="231F20"/>
          <w:w w:val="105"/>
        </w:rPr>
        <w:t>tendenza</w:t>
      </w:r>
      <w:r>
        <w:rPr>
          <w:color w:val="231F20"/>
          <w:spacing w:val="-27"/>
          <w:w w:val="105"/>
        </w:rPr>
        <w:t> </w:t>
      </w:r>
      <w:r>
        <w:rPr>
          <w:color w:val="231F20"/>
          <w:w w:val="105"/>
        </w:rPr>
        <w:t>che ha</w:t>
      </w:r>
      <w:r>
        <w:rPr>
          <w:color w:val="231F20"/>
          <w:spacing w:val="-31"/>
          <w:w w:val="105"/>
        </w:rPr>
        <w:t> </w:t>
      </w:r>
      <w:r>
        <w:rPr>
          <w:color w:val="231F20"/>
          <w:w w:val="105"/>
        </w:rPr>
        <w:t>accompagnato</w:t>
      </w:r>
      <w:r>
        <w:rPr>
          <w:color w:val="231F20"/>
          <w:spacing w:val="-31"/>
          <w:w w:val="105"/>
        </w:rPr>
        <w:t> </w:t>
      </w:r>
      <w:r>
        <w:rPr>
          <w:color w:val="231F20"/>
          <w:w w:val="105"/>
        </w:rPr>
        <w:t>una</w:t>
      </w:r>
      <w:r>
        <w:rPr>
          <w:color w:val="231F20"/>
          <w:spacing w:val="-31"/>
          <w:w w:val="105"/>
        </w:rPr>
        <w:t> </w:t>
      </w:r>
      <w:r>
        <w:rPr>
          <w:color w:val="231F20"/>
          <w:w w:val="105"/>
        </w:rPr>
        <w:t>buona</w:t>
      </w:r>
      <w:r>
        <w:rPr>
          <w:color w:val="231F20"/>
          <w:spacing w:val="-31"/>
          <w:w w:val="105"/>
        </w:rPr>
        <w:t> </w:t>
      </w:r>
      <w:r>
        <w:rPr>
          <w:color w:val="231F20"/>
          <w:w w:val="105"/>
        </w:rPr>
        <w:t>parte</w:t>
      </w:r>
      <w:r>
        <w:rPr>
          <w:color w:val="231F20"/>
          <w:spacing w:val="-31"/>
          <w:w w:val="105"/>
        </w:rPr>
        <w:t> </w:t>
      </w:r>
      <w:r>
        <w:rPr>
          <w:color w:val="231F20"/>
          <w:w w:val="105"/>
        </w:rPr>
        <w:t>dell’umanità</w:t>
      </w:r>
      <w:r>
        <w:rPr>
          <w:color w:val="231F20"/>
          <w:spacing w:val="-31"/>
          <w:w w:val="105"/>
        </w:rPr>
        <w:t> </w:t>
      </w:r>
      <w:r>
        <w:rPr>
          <w:color w:val="231F20"/>
          <w:w w:val="105"/>
        </w:rPr>
        <w:t>dai</w:t>
      </w:r>
      <w:r>
        <w:rPr>
          <w:color w:val="231F20"/>
          <w:spacing w:val="-31"/>
          <w:w w:val="105"/>
        </w:rPr>
        <w:t> </w:t>
      </w:r>
      <w:r>
        <w:rPr>
          <w:color w:val="231F20"/>
          <w:w w:val="105"/>
        </w:rPr>
        <w:t>suoi</w:t>
      </w:r>
      <w:r>
        <w:rPr>
          <w:color w:val="231F20"/>
          <w:spacing w:val="-31"/>
          <w:w w:val="105"/>
        </w:rPr>
        <w:t> </w:t>
      </w:r>
      <w:r>
        <w:rPr>
          <w:color w:val="231F20"/>
          <w:w w:val="105"/>
        </w:rPr>
        <w:t>inizi:</w:t>
      </w:r>
      <w:r>
        <w:rPr>
          <w:color w:val="231F20"/>
          <w:spacing w:val="-31"/>
          <w:w w:val="105"/>
        </w:rPr>
        <w:t> </w:t>
      </w:r>
      <w:r>
        <w:rPr>
          <w:color w:val="231F20"/>
          <w:w w:val="105"/>
        </w:rPr>
        <w:t>espansione, esplorazione,</w:t>
      </w:r>
      <w:r>
        <w:rPr>
          <w:color w:val="231F20"/>
          <w:spacing w:val="-51"/>
          <w:w w:val="105"/>
        </w:rPr>
        <w:t> </w:t>
      </w:r>
      <w:r>
        <w:rPr>
          <w:color w:val="231F20"/>
          <w:w w:val="105"/>
        </w:rPr>
        <w:t>conquista,</w:t>
      </w:r>
      <w:r>
        <w:rPr>
          <w:color w:val="231F20"/>
          <w:spacing w:val="-51"/>
          <w:w w:val="105"/>
        </w:rPr>
        <w:t> </w:t>
      </w:r>
      <w:r>
        <w:rPr>
          <w:color w:val="231F20"/>
          <w:w w:val="105"/>
        </w:rPr>
        <w:t>dominio,</w:t>
      </w:r>
      <w:r>
        <w:rPr>
          <w:color w:val="231F20"/>
          <w:spacing w:val="-51"/>
          <w:w w:val="105"/>
        </w:rPr>
        <w:t> </w:t>
      </w:r>
      <w:r>
        <w:rPr>
          <w:color w:val="231F20"/>
          <w:w w:val="105"/>
        </w:rPr>
        <w:t>ecc.</w:t>
      </w:r>
      <w:r>
        <w:rPr>
          <w:color w:val="231F20"/>
          <w:spacing w:val="-51"/>
          <w:w w:val="105"/>
        </w:rPr>
        <w:t> </w:t>
      </w:r>
      <w:r>
        <w:rPr>
          <w:color w:val="231F20"/>
          <w:w w:val="105"/>
        </w:rPr>
        <w:t>Nonostante,</w:t>
      </w:r>
      <w:r>
        <w:rPr>
          <w:color w:val="231F20"/>
          <w:spacing w:val="-51"/>
          <w:w w:val="105"/>
        </w:rPr>
        <w:t> </w:t>
      </w:r>
      <w:r>
        <w:rPr>
          <w:color w:val="231F20"/>
          <w:w w:val="105"/>
        </w:rPr>
        <w:t>dare</w:t>
      </w:r>
      <w:r>
        <w:rPr>
          <w:color w:val="231F20"/>
          <w:spacing w:val="-51"/>
          <w:w w:val="105"/>
        </w:rPr>
        <w:t> </w:t>
      </w:r>
      <w:r>
        <w:rPr>
          <w:color w:val="231F20"/>
          <w:w w:val="105"/>
        </w:rPr>
        <w:t>per</w:t>
      </w:r>
      <w:r>
        <w:rPr>
          <w:color w:val="231F20"/>
          <w:spacing w:val="-51"/>
          <w:w w:val="105"/>
        </w:rPr>
        <w:t> </w:t>
      </w:r>
      <w:r>
        <w:rPr>
          <w:color w:val="231F20"/>
          <w:w w:val="105"/>
        </w:rPr>
        <w:t>scontati</w:t>
      </w:r>
      <w:r>
        <w:rPr>
          <w:color w:val="231F20"/>
          <w:spacing w:val="-51"/>
          <w:w w:val="105"/>
        </w:rPr>
        <w:t> </w:t>
      </w:r>
      <w:r>
        <w:rPr>
          <w:color w:val="231F20"/>
          <w:w w:val="105"/>
        </w:rPr>
        <w:t>questi </w:t>
      </w:r>
      <w:r>
        <w:rPr>
          <w:color w:val="231F20"/>
          <w:spacing w:val="-4"/>
          <w:w w:val="105"/>
        </w:rPr>
        <w:t>due</w:t>
      </w:r>
      <w:r>
        <w:rPr>
          <w:color w:val="231F20"/>
          <w:spacing w:val="-48"/>
          <w:w w:val="105"/>
        </w:rPr>
        <w:t> </w:t>
      </w:r>
      <w:r>
        <w:rPr>
          <w:color w:val="231F20"/>
          <w:spacing w:val="-5"/>
          <w:w w:val="105"/>
        </w:rPr>
        <w:t>elementi</w:t>
      </w:r>
      <w:r>
        <w:rPr>
          <w:color w:val="231F20"/>
          <w:spacing w:val="-48"/>
          <w:w w:val="105"/>
        </w:rPr>
        <w:t> </w:t>
      </w:r>
      <w:r>
        <w:rPr>
          <w:color w:val="231F20"/>
          <w:spacing w:val="-3"/>
          <w:w w:val="105"/>
        </w:rPr>
        <w:t>ha</w:t>
      </w:r>
      <w:r>
        <w:rPr>
          <w:color w:val="231F20"/>
          <w:spacing w:val="-48"/>
          <w:w w:val="105"/>
        </w:rPr>
        <w:t> </w:t>
      </w:r>
      <w:r>
        <w:rPr>
          <w:color w:val="231F20"/>
          <w:spacing w:val="-3"/>
          <w:w w:val="105"/>
        </w:rPr>
        <w:t>un</w:t>
      </w:r>
      <w:r>
        <w:rPr>
          <w:color w:val="231F20"/>
          <w:spacing w:val="-48"/>
          <w:w w:val="105"/>
        </w:rPr>
        <w:t> </w:t>
      </w:r>
      <w:r>
        <w:rPr>
          <w:color w:val="231F20"/>
          <w:spacing w:val="-4"/>
          <w:w w:val="105"/>
        </w:rPr>
        <w:t>certo</w:t>
      </w:r>
      <w:r>
        <w:rPr>
          <w:color w:val="231F20"/>
          <w:spacing w:val="-48"/>
          <w:w w:val="105"/>
        </w:rPr>
        <w:t> </w:t>
      </w:r>
      <w:r>
        <w:rPr>
          <w:color w:val="231F20"/>
          <w:spacing w:val="-5"/>
          <w:w w:val="105"/>
        </w:rPr>
        <w:t>rischio,</w:t>
      </w:r>
      <w:r>
        <w:rPr>
          <w:color w:val="231F20"/>
          <w:spacing w:val="-48"/>
          <w:w w:val="105"/>
        </w:rPr>
        <w:t> </w:t>
      </w:r>
      <w:r>
        <w:rPr>
          <w:color w:val="231F20"/>
          <w:spacing w:val="-4"/>
          <w:w w:val="105"/>
        </w:rPr>
        <w:t>che</w:t>
      </w:r>
      <w:r>
        <w:rPr>
          <w:color w:val="231F20"/>
          <w:spacing w:val="-47"/>
          <w:w w:val="105"/>
        </w:rPr>
        <w:t> </w:t>
      </w:r>
      <w:r>
        <w:rPr>
          <w:color w:val="231F20"/>
          <w:w w:val="105"/>
        </w:rPr>
        <w:t>è</w:t>
      </w:r>
      <w:r>
        <w:rPr>
          <w:color w:val="231F20"/>
          <w:spacing w:val="-47"/>
          <w:w w:val="105"/>
        </w:rPr>
        <w:t> </w:t>
      </w:r>
      <w:r>
        <w:rPr>
          <w:color w:val="231F20"/>
          <w:spacing w:val="-5"/>
          <w:w w:val="105"/>
        </w:rPr>
        <w:t>quello</w:t>
      </w:r>
      <w:r>
        <w:rPr>
          <w:color w:val="231F20"/>
          <w:spacing w:val="-48"/>
          <w:w w:val="105"/>
        </w:rPr>
        <w:t> </w:t>
      </w:r>
      <w:r>
        <w:rPr>
          <w:color w:val="231F20"/>
          <w:spacing w:val="-4"/>
          <w:w w:val="105"/>
        </w:rPr>
        <w:t>che</w:t>
      </w:r>
      <w:r>
        <w:rPr>
          <w:color w:val="231F20"/>
          <w:spacing w:val="-48"/>
          <w:w w:val="105"/>
        </w:rPr>
        <w:t> </w:t>
      </w:r>
      <w:r>
        <w:rPr>
          <w:color w:val="231F20"/>
          <w:spacing w:val="-4"/>
          <w:w w:val="105"/>
        </w:rPr>
        <w:t>ora</w:t>
      </w:r>
      <w:r>
        <w:rPr>
          <w:color w:val="231F20"/>
          <w:spacing w:val="-48"/>
          <w:w w:val="105"/>
        </w:rPr>
        <w:t> </w:t>
      </w:r>
      <w:r>
        <w:rPr>
          <w:color w:val="231F20"/>
          <w:spacing w:val="-3"/>
          <w:w w:val="105"/>
        </w:rPr>
        <w:t>ci</w:t>
      </w:r>
      <w:r>
        <w:rPr>
          <w:color w:val="231F20"/>
          <w:spacing w:val="-48"/>
          <w:w w:val="105"/>
        </w:rPr>
        <w:t> </w:t>
      </w:r>
      <w:r>
        <w:rPr>
          <w:color w:val="231F20"/>
          <w:spacing w:val="-5"/>
          <w:w w:val="105"/>
        </w:rPr>
        <w:t>disponiamo</w:t>
      </w:r>
      <w:r>
        <w:rPr>
          <w:color w:val="231F20"/>
          <w:spacing w:val="-48"/>
          <w:w w:val="105"/>
        </w:rPr>
        <w:t> </w:t>
      </w:r>
      <w:r>
        <w:rPr>
          <w:color w:val="231F20"/>
          <w:w w:val="105"/>
        </w:rPr>
        <w:t>a</w:t>
      </w:r>
      <w:r>
        <w:rPr>
          <w:color w:val="231F20"/>
          <w:spacing w:val="-48"/>
          <w:w w:val="105"/>
        </w:rPr>
        <w:t> </w:t>
      </w:r>
      <w:r>
        <w:rPr>
          <w:color w:val="231F20"/>
          <w:spacing w:val="-6"/>
          <w:w w:val="105"/>
        </w:rPr>
        <w:t>esplorare. </w:t>
      </w:r>
      <w:r>
        <w:rPr>
          <w:color w:val="231F20"/>
          <w:w w:val="105"/>
        </w:rPr>
        <w:t>Entrambi</w:t>
      </w:r>
      <w:r>
        <w:rPr>
          <w:color w:val="231F20"/>
          <w:spacing w:val="-18"/>
          <w:w w:val="105"/>
        </w:rPr>
        <w:t> </w:t>
      </w:r>
      <w:r>
        <w:rPr>
          <w:color w:val="231F20"/>
          <w:w w:val="105"/>
        </w:rPr>
        <w:t>gli</w:t>
      </w:r>
      <w:r>
        <w:rPr>
          <w:color w:val="231F20"/>
          <w:spacing w:val="-18"/>
          <w:w w:val="105"/>
        </w:rPr>
        <w:t> </w:t>
      </w:r>
      <w:r>
        <w:rPr>
          <w:color w:val="231F20"/>
          <w:w w:val="105"/>
        </w:rPr>
        <w:t>elementi</w:t>
      </w:r>
      <w:r>
        <w:rPr>
          <w:color w:val="231F20"/>
          <w:spacing w:val="-18"/>
          <w:w w:val="105"/>
        </w:rPr>
        <w:t> </w:t>
      </w:r>
      <w:r>
        <w:rPr>
          <w:color w:val="231F20"/>
          <w:w w:val="105"/>
        </w:rPr>
        <w:t>—vedere</w:t>
      </w:r>
      <w:r>
        <w:rPr>
          <w:color w:val="231F20"/>
          <w:spacing w:val="-18"/>
          <w:w w:val="105"/>
        </w:rPr>
        <w:t> </w:t>
      </w:r>
      <w:r>
        <w:rPr>
          <w:color w:val="231F20"/>
          <w:w w:val="105"/>
        </w:rPr>
        <w:t>nella</w:t>
      </w:r>
      <w:r>
        <w:rPr>
          <w:color w:val="231F20"/>
          <w:spacing w:val="-18"/>
          <w:w w:val="105"/>
        </w:rPr>
        <w:t> </w:t>
      </w:r>
      <w:r>
        <w:rPr>
          <w:color w:val="231F20"/>
          <w:w w:val="105"/>
        </w:rPr>
        <w:t>globalizzazione</w:t>
      </w:r>
      <w:r>
        <w:rPr>
          <w:color w:val="231F20"/>
          <w:spacing w:val="-18"/>
          <w:w w:val="105"/>
        </w:rPr>
        <w:t> </w:t>
      </w:r>
      <w:r>
        <w:rPr>
          <w:color w:val="231F20"/>
          <w:w w:val="105"/>
        </w:rPr>
        <w:t>l’accelerazione</w:t>
      </w:r>
      <w:r>
        <w:rPr>
          <w:color w:val="231F20"/>
          <w:spacing w:val="-18"/>
          <w:w w:val="105"/>
        </w:rPr>
        <w:t> </w:t>
      </w:r>
      <w:r>
        <w:rPr>
          <w:color w:val="231F20"/>
          <w:w w:val="105"/>
        </w:rPr>
        <w:t>di</w:t>
      </w:r>
      <w:r>
        <w:rPr>
          <w:color w:val="231F20"/>
          <w:spacing w:val="-18"/>
          <w:w w:val="105"/>
        </w:rPr>
        <w:t> </w:t>
      </w:r>
      <w:r>
        <w:rPr>
          <w:color w:val="231F20"/>
          <w:w w:val="105"/>
        </w:rPr>
        <w:t>un processo</w:t>
      </w:r>
      <w:r>
        <w:rPr>
          <w:color w:val="231F20"/>
          <w:spacing w:val="-14"/>
          <w:w w:val="105"/>
        </w:rPr>
        <w:t> </w:t>
      </w:r>
      <w:r>
        <w:rPr>
          <w:color w:val="231F20"/>
          <w:w w:val="105"/>
        </w:rPr>
        <w:t>tanto</w:t>
      </w:r>
      <w:r>
        <w:rPr>
          <w:color w:val="231F20"/>
          <w:spacing w:val="-14"/>
          <w:w w:val="105"/>
        </w:rPr>
        <w:t> </w:t>
      </w:r>
      <w:r>
        <w:rPr>
          <w:color w:val="231F20"/>
          <w:w w:val="105"/>
        </w:rPr>
        <w:t>antico</w:t>
      </w:r>
      <w:r>
        <w:rPr>
          <w:color w:val="231F20"/>
          <w:spacing w:val="-14"/>
          <w:w w:val="105"/>
        </w:rPr>
        <w:t> </w:t>
      </w:r>
      <w:r>
        <w:rPr>
          <w:color w:val="231F20"/>
          <w:w w:val="105"/>
        </w:rPr>
        <w:t>come</w:t>
      </w:r>
      <w:r>
        <w:rPr>
          <w:color w:val="231F20"/>
          <w:spacing w:val="-14"/>
          <w:w w:val="105"/>
        </w:rPr>
        <w:t> </w:t>
      </w:r>
      <w:r>
        <w:rPr>
          <w:color w:val="231F20"/>
          <w:w w:val="105"/>
        </w:rPr>
        <w:t>l’umanità</w:t>
      </w:r>
      <w:r>
        <w:rPr>
          <w:color w:val="231F20"/>
          <w:spacing w:val="-14"/>
          <w:w w:val="105"/>
        </w:rPr>
        <w:t> </w:t>
      </w:r>
      <w:r>
        <w:rPr>
          <w:color w:val="231F20"/>
          <w:w w:val="105"/>
        </w:rPr>
        <w:t>e</w:t>
      </w:r>
      <w:r>
        <w:rPr>
          <w:color w:val="231F20"/>
          <w:spacing w:val="-14"/>
          <w:w w:val="105"/>
        </w:rPr>
        <w:t> </w:t>
      </w:r>
      <w:r>
        <w:rPr>
          <w:color w:val="231F20"/>
          <w:w w:val="105"/>
        </w:rPr>
        <w:t>concepirla</w:t>
      </w:r>
      <w:r>
        <w:rPr>
          <w:color w:val="231F20"/>
          <w:spacing w:val="-14"/>
          <w:w w:val="105"/>
        </w:rPr>
        <w:t> </w:t>
      </w:r>
      <w:r>
        <w:rPr>
          <w:color w:val="231F20"/>
          <w:w w:val="105"/>
        </w:rPr>
        <w:t>come</w:t>
      </w:r>
      <w:r>
        <w:rPr>
          <w:color w:val="231F20"/>
          <w:spacing w:val="-14"/>
          <w:w w:val="105"/>
        </w:rPr>
        <w:t> </w:t>
      </w:r>
      <w:r>
        <w:rPr>
          <w:color w:val="231F20"/>
          <w:w w:val="105"/>
        </w:rPr>
        <w:t>qualcosa</w:t>
      </w:r>
      <w:r>
        <w:rPr>
          <w:color w:val="231F20"/>
          <w:spacing w:val="-14"/>
          <w:w w:val="105"/>
        </w:rPr>
        <w:t> </w:t>
      </w:r>
      <w:r>
        <w:rPr>
          <w:color w:val="231F20"/>
          <w:w w:val="105"/>
        </w:rPr>
        <w:t>di</w:t>
      </w:r>
      <w:r>
        <w:rPr>
          <w:color w:val="231F20"/>
          <w:spacing w:val="-14"/>
          <w:w w:val="105"/>
        </w:rPr>
        <w:t> </w:t>
      </w:r>
      <w:r>
        <w:rPr>
          <w:color w:val="231F20"/>
          <w:w w:val="105"/>
        </w:rPr>
        <w:t>non completo</w:t>
      </w:r>
      <w:r>
        <w:rPr>
          <w:color w:val="231F20"/>
          <w:spacing w:val="-36"/>
          <w:w w:val="105"/>
        </w:rPr>
        <w:t> </w:t>
      </w:r>
      <w:r>
        <w:rPr>
          <w:color w:val="231F20"/>
          <w:w w:val="105"/>
        </w:rPr>
        <w:t>e</w:t>
      </w:r>
      <w:r>
        <w:rPr>
          <w:color w:val="231F20"/>
          <w:spacing w:val="-36"/>
          <w:w w:val="105"/>
        </w:rPr>
        <w:t> </w:t>
      </w:r>
      <w:r>
        <w:rPr>
          <w:color w:val="231F20"/>
          <w:w w:val="105"/>
        </w:rPr>
        <w:t>non</w:t>
      </w:r>
      <w:r>
        <w:rPr>
          <w:color w:val="231F20"/>
          <w:spacing w:val="-36"/>
          <w:w w:val="105"/>
        </w:rPr>
        <w:t> </w:t>
      </w:r>
      <w:r>
        <w:rPr>
          <w:color w:val="231F20"/>
          <w:w w:val="105"/>
        </w:rPr>
        <w:t>omogeneo,</w:t>
      </w:r>
      <w:r>
        <w:rPr>
          <w:color w:val="231F20"/>
          <w:spacing w:val="-36"/>
          <w:w w:val="105"/>
        </w:rPr>
        <w:t> </w:t>
      </w:r>
      <w:r>
        <w:rPr>
          <w:color w:val="231F20"/>
          <w:w w:val="105"/>
        </w:rPr>
        <w:t>quindi,</w:t>
      </w:r>
      <w:r>
        <w:rPr>
          <w:color w:val="231F20"/>
          <w:spacing w:val="-36"/>
          <w:w w:val="105"/>
        </w:rPr>
        <w:t> </w:t>
      </w:r>
      <w:r>
        <w:rPr>
          <w:color w:val="231F20"/>
          <w:w w:val="105"/>
        </w:rPr>
        <w:t>pieno</w:t>
      </w:r>
      <w:r>
        <w:rPr>
          <w:color w:val="231F20"/>
          <w:spacing w:val="-36"/>
          <w:w w:val="105"/>
        </w:rPr>
        <w:t> </w:t>
      </w:r>
      <w:r>
        <w:rPr>
          <w:color w:val="231F20"/>
          <w:w w:val="105"/>
        </w:rPr>
        <w:t>di</w:t>
      </w:r>
      <w:r>
        <w:rPr>
          <w:color w:val="231F20"/>
          <w:spacing w:val="-36"/>
          <w:w w:val="105"/>
        </w:rPr>
        <w:t> </w:t>
      </w:r>
      <w:r>
        <w:rPr>
          <w:color w:val="231F20"/>
          <w:w w:val="105"/>
        </w:rPr>
        <w:t>paradossi—</w:t>
      </w:r>
      <w:r>
        <w:rPr>
          <w:color w:val="231F20"/>
          <w:spacing w:val="-36"/>
          <w:w w:val="105"/>
        </w:rPr>
        <w:t> </w:t>
      </w:r>
      <w:r>
        <w:rPr>
          <w:color w:val="231F20"/>
          <w:w w:val="105"/>
        </w:rPr>
        <w:t>non</w:t>
      </w:r>
      <w:r>
        <w:rPr>
          <w:color w:val="231F20"/>
          <w:spacing w:val="-36"/>
          <w:w w:val="105"/>
        </w:rPr>
        <w:t> </w:t>
      </w:r>
      <w:r>
        <w:rPr>
          <w:color w:val="231F20"/>
          <w:w w:val="105"/>
        </w:rPr>
        <w:t>ci</w:t>
      </w:r>
      <w:r>
        <w:rPr>
          <w:color w:val="231F20"/>
          <w:spacing w:val="-36"/>
          <w:w w:val="105"/>
        </w:rPr>
        <w:t> </w:t>
      </w:r>
      <w:r>
        <w:rPr>
          <w:color w:val="231F20"/>
          <w:w w:val="105"/>
        </w:rPr>
        <w:t>metterebbe a rischio di vedere in essa un processo naturale e quasi inevitabile che, anche,</w:t>
      </w:r>
      <w:r>
        <w:rPr>
          <w:color w:val="231F20"/>
          <w:spacing w:val="-33"/>
          <w:w w:val="105"/>
        </w:rPr>
        <w:t> </w:t>
      </w:r>
      <w:r>
        <w:rPr>
          <w:color w:val="231F20"/>
          <w:w w:val="105"/>
        </w:rPr>
        <w:t>avrebbe</w:t>
      </w:r>
      <w:r>
        <w:rPr>
          <w:color w:val="231F20"/>
          <w:spacing w:val="-33"/>
          <w:w w:val="105"/>
        </w:rPr>
        <w:t> </w:t>
      </w:r>
      <w:r>
        <w:rPr>
          <w:color w:val="231F20"/>
          <w:w w:val="105"/>
        </w:rPr>
        <w:t>un</w:t>
      </w:r>
      <w:r>
        <w:rPr>
          <w:color w:val="231F20"/>
          <w:spacing w:val="-33"/>
          <w:w w:val="105"/>
        </w:rPr>
        <w:t> </w:t>
      </w:r>
      <w:r>
        <w:rPr>
          <w:color w:val="231F20"/>
          <w:w w:val="105"/>
        </w:rPr>
        <w:t>certo</w:t>
      </w:r>
      <w:r>
        <w:rPr>
          <w:color w:val="231F20"/>
          <w:spacing w:val="-33"/>
          <w:w w:val="105"/>
        </w:rPr>
        <w:t> </w:t>
      </w:r>
      <w:r>
        <w:rPr>
          <w:color w:val="231F20"/>
          <w:w w:val="105"/>
        </w:rPr>
        <w:t>aspetto</w:t>
      </w:r>
      <w:r>
        <w:rPr>
          <w:color w:val="231F20"/>
          <w:spacing w:val="-33"/>
          <w:w w:val="105"/>
        </w:rPr>
        <w:t> </w:t>
      </w:r>
      <w:r>
        <w:rPr>
          <w:color w:val="231F20"/>
          <w:w w:val="105"/>
        </w:rPr>
        <w:t>inclusivo</w:t>
      </w:r>
      <w:r>
        <w:rPr>
          <w:color w:val="231F20"/>
          <w:spacing w:val="-33"/>
          <w:w w:val="105"/>
        </w:rPr>
        <w:t> </w:t>
      </w:r>
      <w:r>
        <w:rPr>
          <w:color w:val="231F20"/>
          <w:w w:val="105"/>
        </w:rPr>
        <w:t>e</w:t>
      </w:r>
      <w:r>
        <w:rPr>
          <w:color w:val="231F20"/>
          <w:spacing w:val="-33"/>
          <w:w w:val="105"/>
        </w:rPr>
        <w:t> </w:t>
      </w:r>
      <w:r>
        <w:rPr>
          <w:color w:val="231F20"/>
          <w:w w:val="105"/>
        </w:rPr>
        <w:t>democratico,</w:t>
      </w:r>
      <w:r>
        <w:rPr>
          <w:color w:val="231F20"/>
          <w:spacing w:val="-33"/>
          <w:w w:val="105"/>
        </w:rPr>
        <w:t> </w:t>
      </w:r>
      <w:r>
        <w:rPr>
          <w:color w:val="231F20"/>
          <w:w w:val="105"/>
        </w:rPr>
        <w:t>in</w:t>
      </w:r>
      <w:r>
        <w:rPr>
          <w:color w:val="231F20"/>
          <w:spacing w:val="-33"/>
          <w:w w:val="105"/>
        </w:rPr>
        <w:t> </w:t>
      </w:r>
      <w:r>
        <w:rPr>
          <w:color w:val="231F20"/>
          <w:w w:val="105"/>
        </w:rPr>
        <w:t>tanto</w:t>
      </w:r>
      <w:r>
        <w:rPr>
          <w:color w:val="231F20"/>
          <w:spacing w:val="-33"/>
          <w:w w:val="105"/>
        </w:rPr>
        <w:t> </w:t>
      </w:r>
      <w:r>
        <w:rPr>
          <w:color w:val="231F20"/>
          <w:w w:val="105"/>
        </w:rPr>
        <w:t>non</w:t>
      </w:r>
      <w:r>
        <w:rPr>
          <w:color w:val="231F20"/>
          <w:spacing w:val="-33"/>
          <w:w w:val="105"/>
        </w:rPr>
        <w:t> </w:t>
      </w:r>
      <w:r>
        <w:rPr>
          <w:color w:val="231F20"/>
          <w:w w:val="105"/>
        </w:rPr>
        <w:t>solo comprende ma anche produce differenze? Per caso non il capitalismo</w:t>
      </w:r>
      <w:r>
        <w:rPr>
          <w:color w:val="231F20"/>
          <w:spacing w:val="-40"/>
          <w:w w:val="105"/>
        </w:rPr>
        <w:t> </w:t>
      </w:r>
      <w:r>
        <w:rPr>
          <w:color w:val="231F20"/>
          <w:w w:val="105"/>
        </w:rPr>
        <w:t>si è</w:t>
      </w:r>
      <w:r>
        <w:rPr>
          <w:color w:val="231F20"/>
          <w:spacing w:val="-17"/>
          <w:w w:val="105"/>
        </w:rPr>
        <w:t> </w:t>
      </w:r>
      <w:r>
        <w:rPr>
          <w:color w:val="231F20"/>
          <w:w w:val="105"/>
        </w:rPr>
        <w:t>mostrato</w:t>
      </w:r>
      <w:r>
        <w:rPr>
          <w:color w:val="231F20"/>
          <w:spacing w:val="-17"/>
          <w:w w:val="105"/>
        </w:rPr>
        <w:t> </w:t>
      </w:r>
      <w:r>
        <w:rPr>
          <w:color w:val="231F20"/>
          <w:w w:val="105"/>
        </w:rPr>
        <w:t>sommamente</w:t>
      </w:r>
      <w:r>
        <w:rPr>
          <w:color w:val="231F20"/>
          <w:spacing w:val="-17"/>
          <w:w w:val="105"/>
        </w:rPr>
        <w:t> </w:t>
      </w:r>
      <w:r>
        <w:rPr>
          <w:color w:val="231F20"/>
          <w:w w:val="105"/>
        </w:rPr>
        <w:t>destro</w:t>
      </w:r>
      <w:r>
        <w:rPr>
          <w:color w:val="231F20"/>
          <w:spacing w:val="-17"/>
          <w:w w:val="105"/>
        </w:rPr>
        <w:t> </w:t>
      </w:r>
      <w:r>
        <w:rPr>
          <w:color w:val="231F20"/>
          <w:w w:val="105"/>
        </w:rPr>
        <w:t>all’ora</w:t>
      </w:r>
      <w:r>
        <w:rPr>
          <w:color w:val="231F20"/>
          <w:spacing w:val="-17"/>
          <w:w w:val="105"/>
        </w:rPr>
        <w:t> </w:t>
      </w:r>
      <w:r>
        <w:rPr>
          <w:color w:val="231F20"/>
          <w:w w:val="105"/>
        </w:rPr>
        <w:t>di</w:t>
      </w:r>
      <w:r>
        <w:rPr>
          <w:color w:val="231F20"/>
          <w:spacing w:val="-17"/>
          <w:w w:val="105"/>
        </w:rPr>
        <w:t> </w:t>
      </w:r>
      <w:r>
        <w:rPr>
          <w:color w:val="231F20"/>
          <w:w w:val="105"/>
        </w:rPr>
        <w:t>assorbire</w:t>
      </w:r>
      <w:r>
        <w:rPr>
          <w:color w:val="231F20"/>
          <w:spacing w:val="-17"/>
          <w:w w:val="105"/>
        </w:rPr>
        <w:t> </w:t>
      </w:r>
      <w:r>
        <w:rPr>
          <w:color w:val="231F20"/>
          <w:w w:val="105"/>
        </w:rPr>
        <w:t>e</w:t>
      </w:r>
      <w:r>
        <w:rPr>
          <w:color w:val="231F20"/>
          <w:spacing w:val="-17"/>
          <w:w w:val="105"/>
        </w:rPr>
        <w:t> </w:t>
      </w:r>
      <w:r>
        <w:rPr>
          <w:color w:val="231F20"/>
          <w:w w:val="105"/>
        </w:rPr>
        <w:t>naturalizzare</w:t>
      </w:r>
      <w:r>
        <w:rPr>
          <w:color w:val="231F20"/>
          <w:spacing w:val="-17"/>
          <w:w w:val="105"/>
        </w:rPr>
        <w:t> </w:t>
      </w:r>
      <w:r>
        <w:rPr>
          <w:color w:val="231F20"/>
          <w:w w:val="105"/>
        </w:rPr>
        <w:t>le</w:t>
      </w:r>
      <w:r>
        <w:rPr>
          <w:color w:val="231F20"/>
          <w:spacing w:val="-17"/>
          <w:w w:val="105"/>
        </w:rPr>
        <w:t> </w:t>
      </w:r>
      <w:r>
        <w:rPr>
          <w:color w:val="231F20"/>
          <w:w w:val="105"/>
        </w:rPr>
        <w:t>sue contraddizioni?</w:t>
      </w:r>
      <w:r>
        <w:rPr>
          <w:color w:val="231F20"/>
          <w:spacing w:val="-26"/>
          <w:w w:val="105"/>
        </w:rPr>
        <w:t> </w:t>
      </w:r>
      <w:r>
        <w:rPr>
          <w:color w:val="231F20"/>
          <w:w w:val="105"/>
        </w:rPr>
        <w:t>Fino</w:t>
      </w:r>
      <w:r>
        <w:rPr>
          <w:color w:val="231F20"/>
          <w:spacing w:val="-26"/>
          <w:w w:val="105"/>
        </w:rPr>
        <w:t> </w:t>
      </w:r>
      <w:r>
        <w:rPr>
          <w:color w:val="231F20"/>
          <w:w w:val="105"/>
        </w:rPr>
        <w:t>a</w:t>
      </w:r>
      <w:r>
        <w:rPr>
          <w:color w:val="231F20"/>
          <w:spacing w:val="-26"/>
          <w:w w:val="105"/>
        </w:rPr>
        <w:t> </w:t>
      </w:r>
      <w:r>
        <w:rPr>
          <w:color w:val="231F20"/>
          <w:w w:val="105"/>
        </w:rPr>
        <w:t>che</w:t>
      </w:r>
      <w:r>
        <w:rPr>
          <w:color w:val="231F20"/>
          <w:spacing w:val="-26"/>
          <w:w w:val="105"/>
        </w:rPr>
        <w:t> </w:t>
      </w:r>
      <w:r>
        <w:rPr>
          <w:color w:val="231F20"/>
          <w:w w:val="105"/>
        </w:rPr>
        <w:t>punto</w:t>
      </w:r>
      <w:r>
        <w:rPr>
          <w:color w:val="231F20"/>
          <w:spacing w:val="-26"/>
          <w:w w:val="105"/>
        </w:rPr>
        <w:t> </w:t>
      </w:r>
      <w:r>
        <w:rPr>
          <w:color w:val="231F20"/>
          <w:w w:val="105"/>
        </w:rPr>
        <w:t>riconoscerle</w:t>
      </w:r>
      <w:r>
        <w:rPr>
          <w:color w:val="231F20"/>
          <w:spacing w:val="-26"/>
          <w:w w:val="105"/>
        </w:rPr>
        <w:t> </w:t>
      </w:r>
      <w:r>
        <w:rPr>
          <w:color w:val="231F20"/>
          <w:w w:val="105"/>
        </w:rPr>
        <w:t>e</w:t>
      </w:r>
      <w:r>
        <w:rPr>
          <w:color w:val="231F20"/>
          <w:spacing w:val="-26"/>
          <w:w w:val="105"/>
        </w:rPr>
        <w:t> </w:t>
      </w:r>
      <w:r>
        <w:rPr>
          <w:color w:val="231F20"/>
          <w:w w:val="105"/>
        </w:rPr>
        <w:t>vederle</w:t>
      </w:r>
      <w:r>
        <w:rPr>
          <w:color w:val="231F20"/>
          <w:spacing w:val="-26"/>
          <w:w w:val="105"/>
        </w:rPr>
        <w:t> </w:t>
      </w:r>
      <w:r>
        <w:rPr>
          <w:color w:val="231F20"/>
          <w:w w:val="105"/>
        </w:rPr>
        <w:t>come</w:t>
      </w:r>
      <w:r>
        <w:rPr>
          <w:color w:val="231F20"/>
          <w:spacing w:val="-26"/>
          <w:w w:val="105"/>
        </w:rPr>
        <w:t> </w:t>
      </w:r>
      <w:r>
        <w:rPr>
          <w:color w:val="231F20"/>
          <w:w w:val="105"/>
        </w:rPr>
        <w:t>naturali</w:t>
      </w:r>
      <w:r>
        <w:rPr>
          <w:color w:val="231F20"/>
          <w:spacing w:val="-26"/>
          <w:w w:val="105"/>
        </w:rPr>
        <w:t> </w:t>
      </w:r>
      <w:r>
        <w:rPr>
          <w:color w:val="231F20"/>
          <w:w w:val="105"/>
        </w:rPr>
        <w:t>può farci</w:t>
      </w:r>
      <w:r>
        <w:rPr>
          <w:color w:val="231F20"/>
          <w:spacing w:val="-9"/>
          <w:w w:val="105"/>
        </w:rPr>
        <w:t> </w:t>
      </w:r>
      <w:r>
        <w:rPr>
          <w:color w:val="231F20"/>
          <w:w w:val="105"/>
        </w:rPr>
        <w:t>cadere</w:t>
      </w:r>
      <w:r>
        <w:rPr>
          <w:color w:val="231F20"/>
          <w:spacing w:val="-9"/>
          <w:w w:val="105"/>
        </w:rPr>
        <w:t> </w:t>
      </w:r>
      <w:r>
        <w:rPr>
          <w:color w:val="231F20"/>
          <w:w w:val="105"/>
        </w:rPr>
        <w:t>in</w:t>
      </w:r>
      <w:r>
        <w:rPr>
          <w:color w:val="231F20"/>
          <w:spacing w:val="-9"/>
          <w:w w:val="105"/>
        </w:rPr>
        <w:t> </w:t>
      </w:r>
      <w:r>
        <w:rPr>
          <w:color w:val="231F20"/>
          <w:w w:val="105"/>
        </w:rPr>
        <w:t>un</w:t>
      </w:r>
      <w:r>
        <w:rPr>
          <w:color w:val="231F20"/>
          <w:spacing w:val="-9"/>
          <w:w w:val="105"/>
        </w:rPr>
        <w:t> </w:t>
      </w:r>
      <w:r>
        <w:rPr>
          <w:color w:val="231F20"/>
          <w:w w:val="105"/>
        </w:rPr>
        <w:t>abbandono</w:t>
      </w:r>
      <w:r>
        <w:rPr>
          <w:color w:val="231F20"/>
          <w:spacing w:val="-9"/>
          <w:w w:val="105"/>
        </w:rPr>
        <w:t> </w:t>
      </w:r>
      <w:r>
        <w:rPr>
          <w:color w:val="231F20"/>
          <w:w w:val="105"/>
        </w:rPr>
        <w:t>della</w:t>
      </w:r>
      <w:r>
        <w:rPr>
          <w:color w:val="231F20"/>
          <w:spacing w:val="-9"/>
          <w:w w:val="105"/>
        </w:rPr>
        <w:t> </w:t>
      </w:r>
      <w:r>
        <w:rPr>
          <w:color w:val="231F20"/>
          <w:w w:val="105"/>
        </w:rPr>
        <w:t>critica</w:t>
      </w:r>
      <w:r>
        <w:rPr>
          <w:color w:val="231F20"/>
          <w:spacing w:val="-9"/>
          <w:w w:val="105"/>
        </w:rPr>
        <w:t> </w:t>
      </w:r>
      <w:r>
        <w:rPr>
          <w:color w:val="231F20"/>
          <w:w w:val="105"/>
        </w:rPr>
        <w:t>e</w:t>
      </w:r>
      <w:r>
        <w:rPr>
          <w:color w:val="231F20"/>
          <w:spacing w:val="-9"/>
          <w:w w:val="105"/>
        </w:rPr>
        <w:t> </w:t>
      </w:r>
      <w:r>
        <w:rPr>
          <w:color w:val="231F20"/>
          <w:w w:val="105"/>
        </w:rPr>
        <w:t>dell’urgenza</w:t>
      </w:r>
      <w:r>
        <w:rPr>
          <w:color w:val="231F20"/>
          <w:spacing w:val="-9"/>
          <w:w w:val="105"/>
        </w:rPr>
        <w:t> </w:t>
      </w:r>
      <w:r>
        <w:rPr>
          <w:color w:val="231F20"/>
          <w:w w:val="105"/>
        </w:rPr>
        <w:t>di</w:t>
      </w:r>
      <w:r>
        <w:rPr>
          <w:color w:val="231F20"/>
          <w:spacing w:val="-9"/>
          <w:w w:val="105"/>
        </w:rPr>
        <w:t> </w:t>
      </w:r>
      <w:r>
        <w:rPr>
          <w:color w:val="231F20"/>
          <w:w w:val="105"/>
        </w:rPr>
        <w:t>pensare</w:t>
      </w:r>
      <w:r>
        <w:rPr>
          <w:color w:val="231F20"/>
          <w:spacing w:val="-9"/>
          <w:w w:val="105"/>
        </w:rPr>
        <w:t> </w:t>
      </w:r>
      <w:r>
        <w:rPr>
          <w:color w:val="231F20"/>
          <w:w w:val="105"/>
        </w:rPr>
        <w:t>altre forme</w:t>
      </w:r>
      <w:r>
        <w:rPr>
          <w:color w:val="231F20"/>
          <w:spacing w:val="-35"/>
          <w:w w:val="105"/>
        </w:rPr>
        <w:t> </w:t>
      </w:r>
      <w:r>
        <w:rPr>
          <w:color w:val="231F20"/>
          <w:w w:val="105"/>
        </w:rPr>
        <w:t>di</w:t>
      </w:r>
      <w:r>
        <w:rPr>
          <w:color w:val="231F20"/>
          <w:spacing w:val="-35"/>
          <w:w w:val="105"/>
        </w:rPr>
        <w:t> </w:t>
      </w:r>
      <w:r>
        <w:rPr>
          <w:color w:val="231F20"/>
          <w:w w:val="105"/>
        </w:rPr>
        <w:t>vita,</w:t>
      </w:r>
      <w:r>
        <w:rPr>
          <w:color w:val="231F20"/>
          <w:spacing w:val="-35"/>
          <w:w w:val="105"/>
        </w:rPr>
        <w:t> </w:t>
      </w:r>
      <w:r>
        <w:rPr>
          <w:color w:val="231F20"/>
          <w:w w:val="105"/>
        </w:rPr>
        <w:t>precisamente</w:t>
      </w:r>
      <w:r>
        <w:rPr>
          <w:color w:val="231F20"/>
          <w:spacing w:val="-35"/>
          <w:w w:val="105"/>
        </w:rPr>
        <w:t> </w:t>
      </w:r>
      <w:r>
        <w:rPr>
          <w:color w:val="231F20"/>
          <w:w w:val="105"/>
        </w:rPr>
        <w:t>perchè</w:t>
      </w:r>
      <w:r>
        <w:rPr>
          <w:color w:val="231F20"/>
          <w:spacing w:val="-35"/>
          <w:w w:val="105"/>
        </w:rPr>
        <w:t> </w:t>
      </w:r>
      <w:r>
        <w:rPr>
          <w:color w:val="231F20"/>
          <w:w w:val="105"/>
        </w:rPr>
        <w:t>finiremo</w:t>
      </w:r>
      <w:r>
        <w:rPr>
          <w:color w:val="231F20"/>
          <w:spacing w:val="-35"/>
          <w:w w:val="105"/>
        </w:rPr>
        <w:t> </w:t>
      </w:r>
      <w:r>
        <w:rPr>
          <w:color w:val="231F20"/>
          <w:w w:val="105"/>
        </w:rPr>
        <w:t>vedendo</w:t>
      </w:r>
      <w:r>
        <w:rPr>
          <w:color w:val="231F20"/>
          <w:spacing w:val="-35"/>
          <w:w w:val="105"/>
        </w:rPr>
        <w:t> </w:t>
      </w:r>
      <w:r>
        <w:rPr>
          <w:color w:val="231F20"/>
          <w:w w:val="105"/>
        </w:rPr>
        <w:t>nella</w:t>
      </w:r>
      <w:r>
        <w:rPr>
          <w:color w:val="231F20"/>
          <w:spacing w:val="-35"/>
          <w:w w:val="105"/>
        </w:rPr>
        <w:t> </w:t>
      </w:r>
      <w:r>
        <w:rPr>
          <w:color w:val="231F20"/>
          <w:w w:val="105"/>
        </w:rPr>
        <w:t>globalizzazione un</w:t>
      </w:r>
      <w:r>
        <w:rPr>
          <w:color w:val="231F20"/>
          <w:spacing w:val="-21"/>
          <w:w w:val="105"/>
        </w:rPr>
        <w:t> </w:t>
      </w:r>
      <w:r>
        <w:rPr>
          <w:rFonts w:ascii="Arial" w:hAnsi="Arial"/>
          <w:i/>
          <w:color w:val="231F20"/>
          <w:w w:val="105"/>
        </w:rPr>
        <w:t>amabile</w:t>
      </w:r>
      <w:r>
        <w:rPr>
          <w:rFonts w:ascii="Arial" w:hAnsi="Arial"/>
          <w:i/>
          <w:color w:val="231F20"/>
          <w:spacing w:val="-14"/>
          <w:w w:val="105"/>
        </w:rPr>
        <w:t> </w:t>
      </w:r>
      <w:r>
        <w:rPr>
          <w:rFonts w:ascii="Arial" w:hAnsi="Arial"/>
          <w:i/>
          <w:color w:val="231F20"/>
          <w:w w:val="105"/>
        </w:rPr>
        <w:t>mostro</w:t>
      </w:r>
      <w:r>
        <w:rPr>
          <w:rFonts w:ascii="Arial" w:hAnsi="Arial"/>
          <w:i/>
          <w:color w:val="231F20"/>
          <w:spacing w:val="-14"/>
          <w:w w:val="105"/>
        </w:rPr>
        <w:t> </w:t>
      </w:r>
      <w:r>
        <w:rPr>
          <w:color w:val="231F20"/>
          <w:w w:val="105"/>
        </w:rPr>
        <w:t>—per</w:t>
      </w:r>
      <w:r>
        <w:rPr>
          <w:color w:val="231F20"/>
          <w:spacing w:val="-21"/>
          <w:w w:val="105"/>
        </w:rPr>
        <w:t> </w:t>
      </w:r>
      <w:r>
        <w:rPr>
          <w:color w:val="231F20"/>
          <w:w w:val="105"/>
        </w:rPr>
        <w:t>utilizzare</w:t>
      </w:r>
      <w:r>
        <w:rPr>
          <w:color w:val="231F20"/>
          <w:spacing w:val="-21"/>
          <w:w w:val="105"/>
        </w:rPr>
        <w:t> </w:t>
      </w:r>
      <w:r>
        <w:rPr>
          <w:color w:val="231F20"/>
          <w:w w:val="105"/>
        </w:rPr>
        <w:t>il</w:t>
      </w:r>
      <w:r>
        <w:rPr>
          <w:color w:val="231F20"/>
          <w:spacing w:val="-21"/>
          <w:w w:val="105"/>
        </w:rPr>
        <w:t> </w:t>
      </w:r>
      <w:r>
        <w:rPr>
          <w:color w:val="231F20"/>
          <w:w w:val="105"/>
        </w:rPr>
        <w:t>termine</w:t>
      </w:r>
      <w:r>
        <w:rPr>
          <w:color w:val="231F20"/>
          <w:spacing w:val="-21"/>
          <w:w w:val="105"/>
        </w:rPr>
        <w:t> </w:t>
      </w:r>
      <w:r>
        <w:rPr>
          <w:color w:val="231F20"/>
          <w:w w:val="105"/>
        </w:rPr>
        <w:t>di</w:t>
      </w:r>
      <w:r>
        <w:rPr>
          <w:color w:val="231F20"/>
          <w:spacing w:val="-21"/>
          <w:w w:val="105"/>
        </w:rPr>
        <w:t> </w:t>
      </w:r>
      <w:r>
        <w:rPr>
          <w:color w:val="231F20"/>
          <w:w w:val="105"/>
        </w:rPr>
        <w:t>Raffaele</w:t>
      </w:r>
      <w:r>
        <w:rPr>
          <w:color w:val="231F20"/>
          <w:spacing w:val="-21"/>
          <w:w w:val="105"/>
        </w:rPr>
        <w:t> </w:t>
      </w:r>
      <w:r>
        <w:rPr>
          <w:color w:val="231F20"/>
          <w:w w:val="105"/>
        </w:rPr>
        <w:t>Simone</w:t>
      </w:r>
      <w:r>
        <w:rPr>
          <w:color w:val="231F20"/>
          <w:w w:val="105"/>
          <w:position w:val="7"/>
          <w:sz w:val="12"/>
        </w:rPr>
        <w:t>25</w:t>
      </w:r>
      <w:r>
        <w:rPr>
          <w:color w:val="231F20"/>
          <w:w w:val="105"/>
        </w:rPr>
        <w:t>—</w:t>
      </w:r>
      <w:r>
        <w:rPr>
          <w:color w:val="231F20"/>
          <w:spacing w:val="-21"/>
          <w:w w:val="105"/>
        </w:rPr>
        <w:t> </w:t>
      </w:r>
      <w:r>
        <w:rPr>
          <w:color w:val="231F20"/>
          <w:w w:val="105"/>
        </w:rPr>
        <w:t>che</w:t>
      </w:r>
      <w:r>
        <w:rPr>
          <w:color w:val="231F20"/>
          <w:spacing w:val="-21"/>
          <w:w w:val="105"/>
        </w:rPr>
        <w:t> </w:t>
      </w:r>
      <w:r>
        <w:rPr>
          <w:color w:val="231F20"/>
          <w:w w:val="105"/>
        </w:rPr>
        <w:t>è condannato</w:t>
      </w:r>
      <w:r>
        <w:rPr>
          <w:color w:val="231F20"/>
          <w:spacing w:val="-14"/>
          <w:w w:val="105"/>
        </w:rPr>
        <w:t> </w:t>
      </w:r>
      <w:r>
        <w:rPr>
          <w:color w:val="231F20"/>
          <w:w w:val="105"/>
        </w:rPr>
        <w:t>alle</w:t>
      </w:r>
      <w:r>
        <w:rPr>
          <w:color w:val="231F20"/>
          <w:spacing w:val="-14"/>
          <w:w w:val="105"/>
        </w:rPr>
        <w:t> </w:t>
      </w:r>
      <w:r>
        <w:rPr>
          <w:color w:val="231F20"/>
          <w:w w:val="105"/>
        </w:rPr>
        <w:t>sue</w:t>
      </w:r>
      <w:r>
        <w:rPr>
          <w:color w:val="231F20"/>
          <w:spacing w:val="-14"/>
          <w:w w:val="105"/>
        </w:rPr>
        <w:t> </w:t>
      </w:r>
      <w:r>
        <w:rPr>
          <w:color w:val="231F20"/>
          <w:w w:val="105"/>
        </w:rPr>
        <w:t>proprie</w:t>
      </w:r>
      <w:r>
        <w:rPr>
          <w:color w:val="231F20"/>
          <w:spacing w:val="-14"/>
          <w:w w:val="105"/>
        </w:rPr>
        <w:t> </w:t>
      </w:r>
      <w:r>
        <w:rPr>
          <w:color w:val="231F20"/>
          <w:w w:val="105"/>
        </w:rPr>
        <w:t>aporie?</w:t>
      </w:r>
      <w:r>
        <w:rPr>
          <w:color w:val="231F20"/>
          <w:spacing w:val="-14"/>
          <w:w w:val="105"/>
        </w:rPr>
        <w:t> </w:t>
      </w:r>
      <w:r>
        <w:rPr>
          <w:color w:val="231F20"/>
          <w:w w:val="105"/>
        </w:rPr>
        <w:t>Naturalismo</w:t>
      </w:r>
      <w:r>
        <w:rPr>
          <w:color w:val="231F20"/>
          <w:spacing w:val="-14"/>
          <w:w w:val="105"/>
        </w:rPr>
        <w:t> </w:t>
      </w:r>
      <w:r>
        <w:rPr>
          <w:color w:val="231F20"/>
          <w:w w:val="105"/>
        </w:rPr>
        <w:t>e</w:t>
      </w:r>
      <w:r>
        <w:rPr>
          <w:color w:val="231F20"/>
          <w:spacing w:val="-14"/>
          <w:w w:val="105"/>
        </w:rPr>
        <w:t> </w:t>
      </w:r>
      <w:r>
        <w:rPr>
          <w:color w:val="231F20"/>
          <w:w w:val="105"/>
        </w:rPr>
        <w:t>acriticismo</w:t>
      </w:r>
      <w:r>
        <w:rPr>
          <w:color w:val="231F20"/>
          <w:spacing w:val="-14"/>
          <w:w w:val="105"/>
        </w:rPr>
        <w:t> </w:t>
      </w:r>
      <w:r>
        <w:rPr>
          <w:color w:val="231F20"/>
          <w:w w:val="105"/>
        </w:rPr>
        <w:t>sarebbero forse</w:t>
      </w:r>
      <w:r>
        <w:rPr>
          <w:color w:val="231F20"/>
          <w:spacing w:val="-45"/>
          <w:w w:val="105"/>
        </w:rPr>
        <w:t> </w:t>
      </w:r>
      <w:r>
        <w:rPr>
          <w:color w:val="231F20"/>
          <w:w w:val="105"/>
        </w:rPr>
        <w:t>il</w:t>
      </w:r>
      <w:r>
        <w:rPr>
          <w:color w:val="231F20"/>
          <w:spacing w:val="-45"/>
          <w:w w:val="105"/>
        </w:rPr>
        <w:t> </w:t>
      </w:r>
      <w:r>
        <w:rPr>
          <w:color w:val="231F20"/>
          <w:w w:val="105"/>
        </w:rPr>
        <w:t>costo</w:t>
      </w:r>
      <w:r>
        <w:rPr>
          <w:color w:val="231F20"/>
          <w:spacing w:val="-45"/>
          <w:w w:val="105"/>
        </w:rPr>
        <w:t> </w:t>
      </w:r>
      <w:r>
        <w:rPr>
          <w:color w:val="231F20"/>
          <w:w w:val="105"/>
        </w:rPr>
        <w:t>di</w:t>
      </w:r>
      <w:r>
        <w:rPr>
          <w:color w:val="231F20"/>
          <w:spacing w:val="-45"/>
          <w:w w:val="105"/>
        </w:rPr>
        <w:t> </w:t>
      </w:r>
      <w:r>
        <w:rPr>
          <w:color w:val="231F20"/>
          <w:spacing w:val="-3"/>
          <w:w w:val="105"/>
        </w:rPr>
        <w:t>assumere</w:t>
      </w:r>
      <w:r>
        <w:rPr>
          <w:color w:val="231F20"/>
          <w:spacing w:val="-45"/>
          <w:w w:val="105"/>
        </w:rPr>
        <w:t> </w:t>
      </w:r>
      <w:r>
        <w:rPr>
          <w:color w:val="231F20"/>
          <w:w w:val="105"/>
        </w:rPr>
        <w:t>che</w:t>
      </w:r>
      <w:r>
        <w:rPr>
          <w:color w:val="231F20"/>
          <w:spacing w:val="-45"/>
          <w:w w:val="105"/>
        </w:rPr>
        <w:t> </w:t>
      </w:r>
      <w:r>
        <w:rPr>
          <w:color w:val="231F20"/>
          <w:w w:val="105"/>
        </w:rPr>
        <w:t>la</w:t>
      </w:r>
      <w:r>
        <w:rPr>
          <w:color w:val="231F20"/>
          <w:spacing w:val="-45"/>
          <w:w w:val="105"/>
        </w:rPr>
        <w:t> </w:t>
      </w:r>
      <w:r>
        <w:rPr>
          <w:color w:val="231F20"/>
          <w:w w:val="105"/>
        </w:rPr>
        <w:t>globalizzazione</w:t>
      </w:r>
      <w:r>
        <w:rPr>
          <w:color w:val="231F20"/>
          <w:spacing w:val="-45"/>
          <w:w w:val="105"/>
        </w:rPr>
        <w:t> </w:t>
      </w:r>
      <w:r>
        <w:rPr>
          <w:color w:val="231F20"/>
          <w:w w:val="105"/>
        </w:rPr>
        <w:t>e</w:t>
      </w:r>
      <w:r>
        <w:rPr>
          <w:color w:val="231F20"/>
          <w:spacing w:val="-45"/>
          <w:w w:val="105"/>
        </w:rPr>
        <w:t> </w:t>
      </w:r>
      <w:r>
        <w:rPr>
          <w:color w:val="231F20"/>
          <w:w w:val="105"/>
        </w:rPr>
        <w:t>i</w:t>
      </w:r>
      <w:r>
        <w:rPr>
          <w:color w:val="231F20"/>
          <w:spacing w:val="-45"/>
          <w:w w:val="105"/>
        </w:rPr>
        <w:t> </w:t>
      </w:r>
      <w:r>
        <w:rPr>
          <w:color w:val="231F20"/>
          <w:w w:val="105"/>
        </w:rPr>
        <w:t>suoi</w:t>
      </w:r>
      <w:r>
        <w:rPr>
          <w:color w:val="231F20"/>
          <w:spacing w:val="-45"/>
          <w:w w:val="105"/>
        </w:rPr>
        <w:t> </w:t>
      </w:r>
      <w:r>
        <w:rPr>
          <w:color w:val="231F20"/>
          <w:w w:val="105"/>
        </w:rPr>
        <w:t>effetti</w:t>
      </w:r>
      <w:r>
        <w:rPr>
          <w:color w:val="231F20"/>
          <w:spacing w:val="-45"/>
          <w:w w:val="105"/>
        </w:rPr>
        <w:t> </w:t>
      </w:r>
      <w:r>
        <w:rPr>
          <w:color w:val="231F20"/>
          <w:w w:val="105"/>
        </w:rPr>
        <w:t>sono</w:t>
      </w:r>
      <w:r>
        <w:rPr>
          <w:color w:val="231F20"/>
          <w:spacing w:val="-45"/>
          <w:w w:val="105"/>
        </w:rPr>
        <w:t> </w:t>
      </w:r>
      <w:r>
        <w:rPr>
          <w:color w:val="231F20"/>
          <w:w w:val="105"/>
        </w:rPr>
        <w:t>qualcosa di </w:t>
      </w:r>
      <w:r>
        <w:rPr>
          <w:color w:val="231F20"/>
          <w:spacing w:val="2"/>
          <w:w w:val="105"/>
        </w:rPr>
        <w:t>naturale, qualcosa </w:t>
      </w:r>
      <w:r>
        <w:rPr>
          <w:color w:val="231F20"/>
          <w:w w:val="105"/>
        </w:rPr>
        <w:t>che si </w:t>
      </w:r>
      <w:r>
        <w:rPr>
          <w:color w:val="231F20"/>
          <w:spacing w:val="2"/>
          <w:w w:val="105"/>
        </w:rPr>
        <w:t>autolimita dovuto </w:t>
      </w:r>
      <w:r>
        <w:rPr>
          <w:color w:val="231F20"/>
          <w:w w:val="105"/>
        </w:rPr>
        <w:t>ai </w:t>
      </w:r>
      <w:r>
        <w:rPr>
          <w:color w:val="231F20"/>
          <w:spacing w:val="2"/>
          <w:w w:val="105"/>
        </w:rPr>
        <w:t>suoi </w:t>
      </w:r>
      <w:r>
        <w:rPr>
          <w:color w:val="231F20"/>
          <w:w w:val="105"/>
        </w:rPr>
        <w:t>propri </w:t>
      </w:r>
      <w:r>
        <w:rPr>
          <w:color w:val="231F20"/>
          <w:spacing w:val="3"/>
          <w:w w:val="105"/>
        </w:rPr>
        <w:t>paradossi. </w:t>
      </w:r>
      <w:r>
        <w:rPr>
          <w:color w:val="231F20"/>
          <w:w w:val="105"/>
        </w:rPr>
        <w:t>Quindi,</w:t>
      </w:r>
      <w:r>
        <w:rPr>
          <w:color w:val="231F20"/>
          <w:spacing w:val="-6"/>
          <w:w w:val="105"/>
        </w:rPr>
        <w:t> </w:t>
      </w:r>
      <w:r>
        <w:rPr>
          <w:color w:val="231F20"/>
          <w:w w:val="105"/>
        </w:rPr>
        <w:t>non</w:t>
      </w:r>
      <w:r>
        <w:rPr>
          <w:color w:val="231F20"/>
          <w:spacing w:val="-6"/>
          <w:w w:val="105"/>
        </w:rPr>
        <w:t> </w:t>
      </w:r>
      <w:r>
        <w:rPr>
          <w:color w:val="231F20"/>
          <w:w w:val="105"/>
        </w:rPr>
        <w:t>bisognerebbe</w:t>
      </w:r>
      <w:r>
        <w:rPr>
          <w:color w:val="231F20"/>
          <w:spacing w:val="-6"/>
          <w:w w:val="105"/>
        </w:rPr>
        <w:t> </w:t>
      </w:r>
      <w:r>
        <w:rPr>
          <w:color w:val="231F20"/>
          <w:w w:val="105"/>
        </w:rPr>
        <w:t>allarmarci</w:t>
      </w:r>
      <w:r>
        <w:rPr>
          <w:color w:val="231F20"/>
          <w:spacing w:val="-6"/>
          <w:w w:val="105"/>
        </w:rPr>
        <w:t> </w:t>
      </w:r>
      <w:r>
        <w:rPr>
          <w:color w:val="231F20"/>
          <w:w w:val="105"/>
        </w:rPr>
        <w:t>troppo,</w:t>
      </w:r>
      <w:r>
        <w:rPr>
          <w:color w:val="231F20"/>
          <w:spacing w:val="-6"/>
          <w:w w:val="105"/>
        </w:rPr>
        <w:t> </w:t>
      </w:r>
      <w:r>
        <w:rPr>
          <w:color w:val="231F20"/>
          <w:w w:val="105"/>
        </w:rPr>
        <w:t>la</w:t>
      </w:r>
      <w:r>
        <w:rPr>
          <w:color w:val="231F20"/>
          <w:spacing w:val="-6"/>
          <w:w w:val="105"/>
        </w:rPr>
        <w:t> </w:t>
      </w:r>
      <w:r>
        <w:rPr>
          <w:color w:val="231F20"/>
          <w:w w:val="105"/>
        </w:rPr>
        <w:t>possibilità</w:t>
      </w:r>
      <w:r>
        <w:rPr>
          <w:color w:val="231F20"/>
          <w:spacing w:val="-6"/>
          <w:w w:val="105"/>
        </w:rPr>
        <w:t> </w:t>
      </w:r>
      <w:r>
        <w:rPr>
          <w:color w:val="231F20"/>
          <w:w w:val="105"/>
        </w:rPr>
        <w:t>di</w:t>
      </w:r>
      <w:r>
        <w:rPr>
          <w:color w:val="231F20"/>
          <w:spacing w:val="-6"/>
          <w:w w:val="105"/>
        </w:rPr>
        <w:t> </w:t>
      </w:r>
      <w:r>
        <w:rPr>
          <w:color w:val="231F20"/>
          <w:w w:val="105"/>
        </w:rPr>
        <w:t>accedere</w:t>
      </w:r>
      <w:r>
        <w:rPr>
          <w:color w:val="231F20"/>
          <w:spacing w:val="-6"/>
          <w:w w:val="105"/>
        </w:rPr>
        <w:t> </w:t>
      </w:r>
      <w:r>
        <w:rPr>
          <w:color w:val="231F20"/>
          <w:w w:val="105"/>
        </w:rPr>
        <w:t>al consumo</w:t>
      </w:r>
      <w:r>
        <w:rPr>
          <w:color w:val="231F20"/>
          <w:spacing w:val="-24"/>
          <w:w w:val="105"/>
        </w:rPr>
        <w:t> </w:t>
      </w:r>
      <w:r>
        <w:rPr>
          <w:color w:val="231F20"/>
          <w:w w:val="105"/>
        </w:rPr>
        <w:t>di</w:t>
      </w:r>
      <w:r>
        <w:rPr>
          <w:color w:val="231F20"/>
          <w:spacing w:val="-24"/>
          <w:w w:val="105"/>
        </w:rPr>
        <w:t> </w:t>
      </w:r>
      <w:r>
        <w:rPr>
          <w:color w:val="231F20"/>
          <w:w w:val="105"/>
        </w:rPr>
        <w:t>merci</w:t>
      </w:r>
      <w:r>
        <w:rPr>
          <w:color w:val="231F20"/>
          <w:spacing w:val="-24"/>
          <w:w w:val="105"/>
        </w:rPr>
        <w:t> </w:t>
      </w:r>
      <w:r>
        <w:rPr>
          <w:color w:val="231F20"/>
          <w:w w:val="105"/>
        </w:rPr>
        <w:t>che</w:t>
      </w:r>
      <w:r>
        <w:rPr>
          <w:color w:val="231F20"/>
          <w:spacing w:val="-24"/>
          <w:w w:val="105"/>
        </w:rPr>
        <w:t> </w:t>
      </w:r>
      <w:r>
        <w:rPr>
          <w:color w:val="231F20"/>
          <w:w w:val="105"/>
        </w:rPr>
        <w:t>prima</w:t>
      </w:r>
      <w:r>
        <w:rPr>
          <w:color w:val="231F20"/>
          <w:spacing w:val="-24"/>
          <w:w w:val="105"/>
        </w:rPr>
        <w:t> </w:t>
      </w:r>
      <w:r>
        <w:rPr>
          <w:color w:val="231F20"/>
          <w:w w:val="105"/>
        </w:rPr>
        <w:t>erano</w:t>
      </w:r>
      <w:r>
        <w:rPr>
          <w:color w:val="231F20"/>
          <w:spacing w:val="-24"/>
          <w:w w:val="105"/>
        </w:rPr>
        <w:t> </w:t>
      </w:r>
      <w:r>
        <w:rPr>
          <w:color w:val="231F20"/>
          <w:w w:val="105"/>
        </w:rPr>
        <w:t>lontane</w:t>
      </w:r>
      <w:r>
        <w:rPr>
          <w:color w:val="231F20"/>
          <w:spacing w:val="-24"/>
          <w:w w:val="105"/>
        </w:rPr>
        <w:t> </w:t>
      </w:r>
      <w:r>
        <w:rPr>
          <w:color w:val="231F20"/>
          <w:w w:val="105"/>
        </w:rPr>
        <w:t>da</w:t>
      </w:r>
      <w:r>
        <w:rPr>
          <w:color w:val="231F20"/>
          <w:spacing w:val="-24"/>
          <w:w w:val="105"/>
        </w:rPr>
        <w:t> </w:t>
      </w:r>
      <w:r>
        <w:rPr>
          <w:color w:val="231F20"/>
          <w:w w:val="105"/>
        </w:rPr>
        <w:t>noi,</w:t>
      </w:r>
      <w:r>
        <w:rPr>
          <w:color w:val="231F20"/>
          <w:spacing w:val="-24"/>
          <w:w w:val="105"/>
        </w:rPr>
        <w:t> </w:t>
      </w:r>
      <w:r>
        <w:rPr>
          <w:color w:val="231F20"/>
          <w:w w:val="105"/>
        </w:rPr>
        <w:t>la</w:t>
      </w:r>
      <w:r>
        <w:rPr>
          <w:color w:val="231F20"/>
          <w:spacing w:val="-24"/>
          <w:w w:val="105"/>
        </w:rPr>
        <w:t> </w:t>
      </w:r>
      <w:r>
        <w:rPr>
          <w:color w:val="231F20"/>
          <w:w w:val="105"/>
        </w:rPr>
        <w:t>comodità</w:t>
      </w:r>
      <w:r>
        <w:rPr>
          <w:color w:val="231F20"/>
          <w:spacing w:val="-24"/>
          <w:w w:val="105"/>
        </w:rPr>
        <w:t> </w:t>
      </w:r>
      <w:r>
        <w:rPr>
          <w:color w:val="231F20"/>
          <w:w w:val="105"/>
        </w:rPr>
        <w:t>di</w:t>
      </w:r>
      <w:r>
        <w:rPr>
          <w:color w:val="231F20"/>
          <w:spacing w:val="-24"/>
          <w:w w:val="105"/>
        </w:rPr>
        <w:t> </w:t>
      </w:r>
      <w:r>
        <w:rPr>
          <w:color w:val="231F20"/>
          <w:w w:val="105"/>
        </w:rPr>
        <w:t>vivere</w:t>
      </w:r>
      <w:r>
        <w:rPr>
          <w:color w:val="231F20"/>
          <w:spacing w:val="-24"/>
          <w:w w:val="105"/>
        </w:rPr>
        <w:t> </w:t>
      </w:r>
      <w:r>
        <w:rPr>
          <w:color w:val="231F20"/>
          <w:w w:val="105"/>
        </w:rPr>
        <w:t>in un</w:t>
      </w:r>
      <w:r>
        <w:rPr>
          <w:color w:val="231F20"/>
          <w:spacing w:val="-19"/>
          <w:w w:val="105"/>
        </w:rPr>
        <w:t> </w:t>
      </w:r>
      <w:r>
        <w:rPr>
          <w:color w:val="231F20"/>
          <w:w w:val="105"/>
        </w:rPr>
        <w:t>mondo</w:t>
      </w:r>
      <w:r>
        <w:rPr>
          <w:color w:val="231F20"/>
          <w:spacing w:val="-19"/>
          <w:w w:val="105"/>
        </w:rPr>
        <w:t> </w:t>
      </w:r>
      <w:r>
        <w:rPr>
          <w:color w:val="231F20"/>
          <w:w w:val="105"/>
        </w:rPr>
        <w:t>lontano</w:t>
      </w:r>
      <w:r>
        <w:rPr>
          <w:color w:val="231F20"/>
          <w:spacing w:val="-19"/>
          <w:w w:val="105"/>
        </w:rPr>
        <w:t> </w:t>
      </w:r>
      <w:r>
        <w:rPr>
          <w:color w:val="231F20"/>
          <w:w w:val="105"/>
        </w:rPr>
        <w:t>dalla</w:t>
      </w:r>
      <w:r>
        <w:rPr>
          <w:color w:val="231F20"/>
          <w:spacing w:val="-19"/>
          <w:w w:val="105"/>
        </w:rPr>
        <w:t> </w:t>
      </w:r>
      <w:r>
        <w:rPr>
          <w:color w:val="231F20"/>
          <w:w w:val="105"/>
        </w:rPr>
        <w:t>perfezione,</w:t>
      </w:r>
      <w:r>
        <w:rPr>
          <w:color w:val="231F20"/>
          <w:spacing w:val="-19"/>
          <w:w w:val="105"/>
        </w:rPr>
        <w:t> </w:t>
      </w:r>
      <w:r>
        <w:rPr>
          <w:color w:val="231F20"/>
          <w:w w:val="105"/>
        </w:rPr>
        <w:t>ma</w:t>
      </w:r>
      <w:r>
        <w:rPr>
          <w:color w:val="231F20"/>
          <w:spacing w:val="-19"/>
          <w:w w:val="105"/>
        </w:rPr>
        <w:t> </w:t>
      </w:r>
      <w:r>
        <w:rPr>
          <w:color w:val="231F20"/>
          <w:w w:val="105"/>
        </w:rPr>
        <w:t>che</w:t>
      </w:r>
      <w:r>
        <w:rPr>
          <w:color w:val="231F20"/>
          <w:spacing w:val="-19"/>
          <w:w w:val="105"/>
        </w:rPr>
        <w:t> </w:t>
      </w:r>
      <w:r>
        <w:rPr>
          <w:color w:val="231F20"/>
          <w:w w:val="105"/>
        </w:rPr>
        <w:t>ci</w:t>
      </w:r>
      <w:r>
        <w:rPr>
          <w:color w:val="231F20"/>
          <w:spacing w:val="-19"/>
          <w:w w:val="105"/>
        </w:rPr>
        <w:t> </w:t>
      </w:r>
      <w:r>
        <w:rPr>
          <w:color w:val="231F20"/>
          <w:w w:val="105"/>
        </w:rPr>
        <w:t>offre</w:t>
      </w:r>
      <w:r>
        <w:rPr>
          <w:color w:val="231F20"/>
          <w:spacing w:val="-19"/>
          <w:w w:val="105"/>
        </w:rPr>
        <w:t> </w:t>
      </w:r>
      <w:r>
        <w:rPr>
          <w:color w:val="231F20"/>
          <w:w w:val="105"/>
        </w:rPr>
        <w:t>satisfattori</w:t>
      </w:r>
      <w:r>
        <w:rPr>
          <w:color w:val="231F20"/>
          <w:spacing w:val="-19"/>
          <w:w w:val="105"/>
        </w:rPr>
        <w:t> </w:t>
      </w:r>
      <w:r>
        <w:rPr>
          <w:color w:val="231F20"/>
          <w:w w:val="105"/>
        </w:rPr>
        <w:t>necessari, tutto</w:t>
      </w:r>
      <w:r>
        <w:rPr>
          <w:color w:val="231F20"/>
          <w:spacing w:val="-23"/>
          <w:w w:val="105"/>
        </w:rPr>
        <w:t> </w:t>
      </w:r>
      <w:r>
        <w:rPr>
          <w:color w:val="231F20"/>
          <w:w w:val="105"/>
        </w:rPr>
        <w:t>questo</w:t>
      </w:r>
      <w:r>
        <w:rPr>
          <w:color w:val="231F20"/>
          <w:spacing w:val="-23"/>
          <w:w w:val="105"/>
        </w:rPr>
        <w:t> </w:t>
      </w:r>
      <w:r>
        <w:rPr>
          <w:color w:val="231F20"/>
          <w:w w:val="105"/>
        </w:rPr>
        <w:t>farebbe</w:t>
      </w:r>
      <w:r>
        <w:rPr>
          <w:color w:val="231F20"/>
          <w:spacing w:val="-23"/>
          <w:w w:val="105"/>
        </w:rPr>
        <w:t> </w:t>
      </w:r>
      <w:r>
        <w:rPr>
          <w:color w:val="231F20"/>
          <w:w w:val="105"/>
        </w:rPr>
        <w:t>sopportabili</w:t>
      </w:r>
      <w:r>
        <w:rPr>
          <w:color w:val="231F20"/>
          <w:spacing w:val="-23"/>
          <w:w w:val="105"/>
        </w:rPr>
        <w:t> </w:t>
      </w:r>
      <w:r>
        <w:rPr>
          <w:color w:val="231F20"/>
          <w:w w:val="105"/>
        </w:rPr>
        <w:t>i</w:t>
      </w:r>
      <w:r>
        <w:rPr>
          <w:color w:val="231F20"/>
          <w:spacing w:val="-23"/>
          <w:w w:val="105"/>
        </w:rPr>
        <w:t> </w:t>
      </w:r>
      <w:r>
        <w:rPr>
          <w:color w:val="231F20"/>
          <w:w w:val="105"/>
        </w:rPr>
        <w:t>costi</w:t>
      </w:r>
      <w:r>
        <w:rPr>
          <w:color w:val="231F20"/>
          <w:spacing w:val="-23"/>
          <w:w w:val="105"/>
        </w:rPr>
        <w:t> </w:t>
      </w:r>
      <w:r>
        <w:rPr>
          <w:color w:val="231F20"/>
          <w:w w:val="105"/>
        </w:rPr>
        <w:t>di</w:t>
      </w:r>
      <w:r>
        <w:rPr>
          <w:color w:val="231F20"/>
          <w:spacing w:val="-23"/>
          <w:w w:val="105"/>
        </w:rPr>
        <w:t> </w:t>
      </w:r>
      <w:r>
        <w:rPr>
          <w:color w:val="231F20"/>
          <w:w w:val="105"/>
        </w:rPr>
        <w:t>una</w:t>
      </w:r>
      <w:r>
        <w:rPr>
          <w:color w:val="231F20"/>
          <w:spacing w:val="-23"/>
          <w:w w:val="105"/>
        </w:rPr>
        <w:t> </w:t>
      </w:r>
      <w:r>
        <w:rPr>
          <w:color w:val="231F20"/>
          <w:w w:val="105"/>
        </w:rPr>
        <w:t>realtà</w:t>
      </w:r>
      <w:r>
        <w:rPr>
          <w:color w:val="231F20"/>
          <w:spacing w:val="-23"/>
          <w:w w:val="105"/>
        </w:rPr>
        <w:t> </w:t>
      </w:r>
      <w:r>
        <w:rPr>
          <w:color w:val="231F20"/>
          <w:w w:val="105"/>
        </w:rPr>
        <w:t>che</w:t>
      </w:r>
      <w:r>
        <w:rPr>
          <w:color w:val="231F20"/>
          <w:spacing w:val="-23"/>
          <w:w w:val="105"/>
        </w:rPr>
        <w:t> </w:t>
      </w:r>
      <w:r>
        <w:rPr>
          <w:color w:val="231F20"/>
          <w:w w:val="105"/>
        </w:rPr>
        <w:t>potrebbe</w:t>
      </w:r>
      <w:r>
        <w:rPr>
          <w:color w:val="231F20"/>
          <w:spacing w:val="-23"/>
          <w:w w:val="105"/>
        </w:rPr>
        <w:t> </w:t>
      </w:r>
      <w:r>
        <w:rPr>
          <w:color w:val="231F20"/>
          <w:w w:val="105"/>
        </w:rPr>
        <w:t>essere molto</w:t>
      </w:r>
      <w:r>
        <w:rPr>
          <w:color w:val="231F20"/>
          <w:spacing w:val="-38"/>
          <w:w w:val="105"/>
        </w:rPr>
        <w:t> </w:t>
      </w:r>
      <w:r>
        <w:rPr>
          <w:color w:val="231F20"/>
          <w:w w:val="105"/>
        </w:rPr>
        <w:t>peggiore,</w:t>
      </w:r>
      <w:r>
        <w:rPr>
          <w:color w:val="231F20"/>
          <w:spacing w:val="-38"/>
          <w:w w:val="105"/>
        </w:rPr>
        <w:t> </w:t>
      </w:r>
      <w:r>
        <w:rPr>
          <w:color w:val="231F20"/>
          <w:w w:val="105"/>
        </w:rPr>
        <w:t>o</w:t>
      </w:r>
      <w:r>
        <w:rPr>
          <w:color w:val="231F20"/>
          <w:spacing w:val="-38"/>
          <w:w w:val="105"/>
        </w:rPr>
        <w:t> </w:t>
      </w:r>
      <w:r>
        <w:rPr>
          <w:color w:val="231F20"/>
          <w:w w:val="105"/>
        </w:rPr>
        <w:t>che,</w:t>
      </w:r>
      <w:r>
        <w:rPr>
          <w:color w:val="231F20"/>
          <w:spacing w:val="-38"/>
          <w:w w:val="105"/>
        </w:rPr>
        <w:t> </w:t>
      </w:r>
      <w:r>
        <w:rPr>
          <w:color w:val="231F20"/>
          <w:w w:val="105"/>
        </w:rPr>
        <w:t>alla</w:t>
      </w:r>
      <w:r>
        <w:rPr>
          <w:color w:val="231F20"/>
          <w:spacing w:val="-38"/>
          <w:w w:val="105"/>
        </w:rPr>
        <w:t> </w:t>
      </w:r>
      <w:r>
        <w:rPr>
          <w:color w:val="231F20"/>
          <w:w w:val="105"/>
        </w:rPr>
        <w:t>maniera</w:t>
      </w:r>
      <w:r>
        <w:rPr>
          <w:color w:val="231F20"/>
          <w:spacing w:val="-38"/>
          <w:w w:val="105"/>
        </w:rPr>
        <w:t> </w:t>
      </w:r>
      <w:r>
        <w:rPr>
          <w:color w:val="231F20"/>
          <w:w w:val="105"/>
        </w:rPr>
        <w:t>della</w:t>
      </w:r>
      <w:r>
        <w:rPr>
          <w:color w:val="231F20"/>
          <w:spacing w:val="-39"/>
          <w:w w:val="105"/>
        </w:rPr>
        <w:t> </w:t>
      </w:r>
      <w:r>
        <w:rPr>
          <w:rFonts w:ascii="Arial" w:hAnsi="Arial"/>
          <w:i/>
          <w:color w:val="231F20"/>
          <w:spacing w:val="-3"/>
          <w:w w:val="105"/>
        </w:rPr>
        <w:t>Teodicea</w:t>
      </w:r>
      <w:r>
        <w:rPr>
          <w:rFonts w:ascii="Arial" w:hAnsi="Arial"/>
          <w:i/>
          <w:color w:val="231F20"/>
          <w:spacing w:val="-31"/>
          <w:w w:val="105"/>
        </w:rPr>
        <w:t> </w:t>
      </w:r>
      <w:r>
        <w:rPr>
          <w:color w:val="231F20"/>
          <w:w w:val="105"/>
        </w:rPr>
        <w:t>di</w:t>
      </w:r>
      <w:r>
        <w:rPr>
          <w:color w:val="231F20"/>
          <w:spacing w:val="-38"/>
          <w:w w:val="105"/>
        </w:rPr>
        <w:t> </w:t>
      </w:r>
      <w:r>
        <w:rPr>
          <w:color w:val="231F20"/>
          <w:w w:val="105"/>
        </w:rPr>
        <w:t>Leibniz,</w:t>
      </w:r>
      <w:r>
        <w:rPr>
          <w:color w:val="231F20"/>
          <w:spacing w:val="-38"/>
          <w:w w:val="105"/>
        </w:rPr>
        <w:t> </w:t>
      </w:r>
      <w:r>
        <w:rPr>
          <w:color w:val="231F20"/>
          <w:w w:val="105"/>
        </w:rPr>
        <w:t>risulta</w:t>
      </w:r>
      <w:r>
        <w:rPr>
          <w:color w:val="231F20"/>
          <w:spacing w:val="-38"/>
          <w:w w:val="105"/>
        </w:rPr>
        <w:t> </w:t>
      </w:r>
      <w:r>
        <w:rPr>
          <w:color w:val="231F20"/>
          <w:w w:val="105"/>
        </w:rPr>
        <w:t>essere</w:t>
      </w:r>
    </w:p>
    <w:p>
      <w:pPr>
        <w:pStyle w:val="BodyText"/>
        <w:spacing w:before="10"/>
        <w:rPr>
          <w:sz w:val="19"/>
        </w:rPr>
      </w:pPr>
      <w:r>
        <w:rPr/>
        <w:pict>
          <v:line style="position:absolute;mso-position-horizontal-relative:page;mso-position-vertical-relative:paragraph;z-index:11488;mso-wrap-distance-left:0;mso-wrap-distance-right:0" from="70.866096pt,14.075694pt" to="184.252096pt,14.075694pt" stroked="true" strokeweight=".3pt" strokecolor="#231f20">
            <w10:wrap type="topAndBottom"/>
          </v:line>
        </w:pict>
      </w:r>
    </w:p>
    <w:p>
      <w:pPr>
        <w:spacing w:line="206" w:lineRule="exact" w:before="10"/>
        <w:ind w:left="117" w:right="0" w:firstLine="0"/>
        <w:jc w:val="left"/>
        <w:rPr>
          <w:rFonts w:ascii="Calibri" w:hAnsi="Calibri"/>
          <w:sz w:val="17"/>
        </w:rPr>
      </w:pPr>
      <w:r>
        <w:rPr>
          <w:rFonts w:ascii="Calibri" w:hAnsi="Calibri"/>
          <w:color w:val="231F20"/>
          <w:position w:val="6"/>
          <w:sz w:val="10"/>
        </w:rPr>
        <w:t>24  </w:t>
      </w:r>
      <w:r>
        <w:rPr>
          <w:rFonts w:ascii="Calibri" w:hAnsi="Calibri"/>
          <w:color w:val="231F20"/>
          <w:sz w:val="17"/>
        </w:rPr>
        <w:t>M. Hardt y A. Negri, </w:t>
      </w:r>
      <w:r>
        <w:rPr>
          <w:rFonts w:ascii="Calibri" w:hAnsi="Calibri"/>
          <w:i/>
          <w:color w:val="231F20"/>
          <w:sz w:val="17"/>
        </w:rPr>
        <w:t>Imperio</w:t>
      </w:r>
      <w:r>
        <w:rPr>
          <w:rFonts w:ascii="Calibri" w:hAnsi="Calibri"/>
          <w:color w:val="231F20"/>
          <w:sz w:val="17"/>
        </w:rPr>
        <w:t>, Barcelona, Paidós, 2005, p. 320.</w:t>
      </w:r>
    </w:p>
    <w:p>
      <w:pPr>
        <w:spacing w:line="206" w:lineRule="exact" w:before="0"/>
        <w:ind w:left="117" w:right="0" w:firstLine="0"/>
        <w:jc w:val="left"/>
        <w:rPr>
          <w:rFonts w:ascii="Calibri" w:hAnsi="Calibri"/>
          <w:sz w:val="17"/>
        </w:rPr>
      </w:pPr>
      <w:r>
        <w:rPr>
          <w:rFonts w:ascii="Calibri" w:hAnsi="Calibri"/>
          <w:color w:val="231F20"/>
          <w:position w:val="6"/>
          <w:sz w:val="10"/>
        </w:rPr>
        <w:t>25 </w:t>
      </w:r>
      <w:r>
        <w:rPr>
          <w:rFonts w:ascii="Calibri" w:hAnsi="Calibri"/>
          <w:color w:val="231F20"/>
          <w:sz w:val="17"/>
        </w:rPr>
        <w:t>R. Simone, </w:t>
      </w:r>
      <w:r>
        <w:rPr>
          <w:rFonts w:ascii="Calibri" w:hAnsi="Calibri"/>
          <w:i/>
          <w:color w:val="231F20"/>
          <w:sz w:val="17"/>
        </w:rPr>
        <w:t>El monstruo amable, </w:t>
      </w:r>
      <w:r>
        <w:rPr>
          <w:rFonts w:ascii="Calibri" w:hAnsi="Calibri"/>
          <w:color w:val="231F20"/>
          <w:sz w:val="17"/>
        </w:rPr>
        <w:t>México, Taurus, 2011.</w:t>
      </w:r>
    </w:p>
    <w:p>
      <w:pPr>
        <w:spacing w:after="0" w:line="206" w:lineRule="exact"/>
        <w:jc w:val="left"/>
        <w:rPr>
          <w:rFonts w:ascii="Calibri" w:hAnsi="Calibri"/>
          <w:sz w:val="17"/>
        </w:rPr>
        <w:sectPr>
          <w:pgSz w:w="9640" w:h="13890"/>
          <w:pgMar w:top="0" w:bottom="280" w:left="1300" w:right="1180"/>
        </w:sectPr>
      </w:pPr>
    </w:p>
    <w:p>
      <w:pPr>
        <w:pStyle w:val="BodyText"/>
        <w:spacing w:line="244" w:lineRule="auto" w:before="107"/>
        <w:ind w:left="103" w:right="114"/>
        <w:jc w:val="both"/>
      </w:pPr>
      <w:r>
        <w:rPr>
          <w:rFonts w:ascii="Arial" w:hAnsi="Arial"/>
          <w:i/>
          <w:color w:val="231F20"/>
          <w:w w:val="105"/>
        </w:rPr>
        <w:t>il migliore dei mondi possibili</w:t>
      </w:r>
      <w:r>
        <w:rPr>
          <w:color w:val="231F20"/>
          <w:w w:val="105"/>
        </w:rPr>
        <w:t>, perchè tutto il male che troviamo in loro sarebbe</w:t>
      </w:r>
      <w:r>
        <w:rPr>
          <w:color w:val="231F20"/>
          <w:spacing w:val="-25"/>
          <w:w w:val="105"/>
        </w:rPr>
        <w:t> </w:t>
      </w:r>
      <w:r>
        <w:rPr>
          <w:color w:val="231F20"/>
          <w:w w:val="105"/>
        </w:rPr>
        <w:t>predisposto</w:t>
      </w:r>
      <w:r>
        <w:rPr>
          <w:color w:val="231F20"/>
          <w:spacing w:val="-25"/>
          <w:w w:val="105"/>
        </w:rPr>
        <w:t> </w:t>
      </w:r>
      <w:r>
        <w:rPr>
          <w:color w:val="231F20"/>
          <w:w w:val="105"/>
        </w:rPr>
        <w:t>verso</w:t>
      </w:r>
      <w:r>
        <w:rPr>
          <w:color w:val="231F20"/>
          <w:spacing w:val="-25"/>
          <w:w w:val="105"/>
        </w:rPr>
        <w:t> </w:t>
      </w:r>
      <w:r>
        <w:rPr>
          <w:color w:val="231F20"/>
          <w:w w:val="105"/>
        </w:rPr>
        <w:t>un</w:t>
      </w:r>
      <w:r>
        <w:rPr>
          <w:color w:val="231F20"/>
          <w:spacing w:val="-25"/>
          <w:w w:val="105"/>
        </w:rPr>
        <w:t> </w:t>
      </w:r>
      <w:r>
        <w:rPr>
          <w:color w:val="231F20"/>
          <w:w w:val="105"/>
        </w:rPr>
        <w:t>bene</w:t>
      </w:r>
      <w:r>
        <w:rPr>
          <w:color w:val="231F20"/>
          <w:spacing w:val="-25"/>
          <w:w w:val="105"/>
        </w:rPr>
        <w:t> </w:t>
      </w:r>
      <w:r>
        <w:rPr>
          <w:color w:val="231F20"/>
          <w:w w:val="105"/>
        </w:rPr>
        <w:t>maggiore,</w:t>
      </w:r>
      <w:r>
        <w:rPr>
          <w:color w:val="231F20"/>
          <w:spacing w:val="-25"/>
          <w:w w:val="105"/>
        </w:rPr>
        <w:t> </w:t>
      </w:r>
      <w:r>
        <w:rPr>
          <w:color w:val="231F20"/>
          <w:w w:val="105"/>
        </w:rPr>
        <w:t>un</w:t>
      </w:r>
      <w:r>
        <w:rPr>
          <w:color w:val="231F20"/>
          <w:spacing w:val="-25"/>
          <w:w w:val="105"/>
        </w:rPr>
        <w:t> </w:t>
      </w:r>
      <w:r>
        <w:rPr>
          <w:color w:val="231F20"/>
          <w:w w:val="105"/>
        </w:rPr>
        <w:t>bene</w:t>
      </w:r>
      <w:r>
        <w:rPr>
          <w:color w:val="231F20"/>
          <w:spacing w:val="-25"/>
          <w:w w:val="105"/>
        </w:rPr>
        <w:t> </w:t>
      </w:r>
      <w:r>
        <w:rPr>
          <w:color w:val="231F20"/>
          <w:w w:val="105"/>
        </w:rPr>
        <w:t>che</w:t>
      </w:r>
      <w:r>
        <w:rPr>
          <w:color w:val="231F20"/>
          <w:spacing w:val="-25"/>
          <w:w w:val="105"/>
        </w:rPr>
        <w:t> </w:t>
      </w:r>
      <w:r>
        <w:rPr>
          <w:color w:val="231F20"/>
          <w:w w:val="105"/>
        </w:rPr>
        <w:t>i</w:t>
      </w:r>
      <w:r>
        <w:rPr>
          <w:color w:val="231F20"/>
          <w:spacing w:val="-25"/>
          <w:w w:val="105"/>
        </w:rPr>
        <w:t> </w:t>
      </w:r>
      <w:r>
        <w:rPr>
          <w:color w:val="231F20"/>
          <w:w w:val="105"/>
        </w:rPr>
        <w:t>nostri</w:t>
      </w:r>
      <w:r>
        <w:rPr>
          <w:color w:val="231F20"/>
          <w:spacing w:val="-25"/>
          <w:w w:val="105"/>
        </w:rPr>
        <w:t> </w:t>
      </w:r>
      <w:r>
        <w:rPr>
          <w:color w:val="231F20"/>
          <w:w w:val="105"/>
        </w:rPr>
        <w:t>limitati occhi</w:t>
      </w:r>
      <w:r>
        <w:rPr>
          <w:color w:val="231F20"/>
          <w:spacing w:val="-30"/>
          <w:w w:val="105"/>
        </w:rPr>
        <w:t> </w:t>
      </w:r>
      <w:r>
        <w:rPr>
          <w:color w:val="231F20"/>
          <w:w w:val="105"/>
        </w:rPr>
        <w:t>non</w:t>
      </w:r>
      <w:r>
        <w:rPr>
          <w:color w:val="231F20"/>
          <w:spacing w:val="-30"/>
          <w:w w:val="105"/>
        </w:rPr>
        <w:t> </w:t>
      </w:r>
      <w:r>
        <w:rPr>
          <w:color w:val="231F20"/>
          <w:w w:val="105"/>
        </w:rPr>
        <w:t>possono</w:t>
      </w:r>
      <w:r>
        <w:rPr>
          <w:color w:val="231F20"/>
          <w:spacing w:val="-30"/>
          <w:w w:val="105"/>
        </w:rPr>
        <w:t> </w:t>
      </w:r>
      <w:r>
        <w:rPr>
          <w:color w:val="231F20"/>
          <w:w w:val="105"/>
        </w:rPr>
        <w:t>vedere.</w:t>
      </w:r>
    </w:p>
    <w:p>
      <w:pPr>
        <w:pStyle w:val="BodyText"/>
        <w:spacing w:line="247" w:lineRule="auto" w:before="1"/>
        <w:ind w:left="103" w:right="105" w:firstLine="566"/>
        <w:jc w:val="both"/>
      </w:pPr>
      <w:r>
        <w:rPr>
          <w:color w:val="231F20"/>
          <w:spacing w:val="5"/>
          <w:w w:val="105"/>
        </w:rPr>
        <w:t>La </w:t>
      </w:r>
      <w:r>
        <w:rPr>
          <w:color w:val="231F20"/>
          <w:spacing w:val="8"/>
          <w:w w:val="105"/>
        </w:rPr>
        <w:t>domanda centrale </w:t>
      </w:r>
      <w:r>
        <w:rPr>
          <w:color w:val="231F20"/>
          <w:spacing w:val="6"/>
          <w:w w:val="105"/>
        </w:rPr>
        <w:t>non </w:t>
      </w:r>
      <w:r>
        <w:rPr>
          <w:color w:val="231F20"/>
          <w:w w:val="105"/>
        </w:rPr>
        <w:t>è </w:t>
      </w:r>
      <w:r>
        <w:rPr>
          <w:color w:val="231F20"/>
          <w:spacing w:val="6"/>
          <w:w w:val="105"/>
        </w:rPr>
        <w:t>più che </w:t>
      </w:r>
      <w:r>
        <w:rPr>
          <w:color w:val="231F20"/>
          <w:spacing w:val="7"/>
          <w:w w:val="105"/>
        </w:rPr>
        <w:t>fare, </w:t>
      </w:r>
      <w:r>
        <w:rPr>
          <w:color w:val="231F20"/>
          <w:spacing w:val="5"/>
          <w:w w:val="105"/>
        </w:rPr>
        <w:t>se </w:t>
      </w:r>
      <w:r>
        <w:rPr>
          <w:color w:val="231F20"/>
          <w:spacing w:val="7"/>
          <w:w w:val="105"/>
        </w:rPr>
        <w:t>optare </w:t>
      </w:r>
      <w:r>
        <w:rPr>
          <w:color w:val="231F20"/>
          <w:spacing w:val="10"/>
          <w:w w:val="105"/>
        </w:rPr>
        <w:t>per </w:t>
      </w:r>
      <w:r>
        <w:rPr>
          <w:color w:val="231F20"/>
        </w:rPr>
        <w:t>l’omogeneizzazione o l’eterogeneizzazione, per l’interpretazione </w:t>
      </w:r>
      <w:r>
        <w:rPr>
          <w:color w:val="231F20"/>
          <w:spacing w:val="-2"/>
        </w:rPr>
        <w:t>unificatrice </w:t>
      </w:r>
      <w:r>
        <w:rPr>
          <w:color w:val="231F20"/>
          <w:w w:val="105"/>
        </w:rPr>
        <w:t>o</w:t>
      </w:r>
      <w:r>
        <w:rPr>
          <w:color w:val="231F20"/>
          <w:spacing w:val="-42"/>
          <w:w w:val="105"/>
        </w:rPr>
        <w:t> </w:t>
      </w:r>
      <w:r>
        <w:rPr>
          <w:color w:val="231F20"/>
          <w:w w:val="105"/>
        </w:rPr>
        <w:t>per</w:t>
      </w:r>
      <w:r>
        <w:rPr>
          <w:color w:val="231F20"/>
          <w:spacing w:val="-42"/>
          <w:w w:val="105"/>
        </w:rPr>
        <w:t> </w:t>
      </w:r>
      <w:r>
        <w:rPr>
          <w:color w:val="231F20"/>
          <w:w w:val="105"/>
        </w:rPr>
        <w:t>quella</w:t>
      </w:r>
      <w:r>
        <w:rPr>
          <w:color w:val="231F20"/>
          <w:spacing w:val="-42"/>
          <w:w w:val="105"/>
        </w:rPr>
        <w:t> </w:t>
      </w:r>
      <w:r>
        <w:rPr>
          <w:color w:val="231F20"/>
          <w:w w:val="105"/>
        </w:rPr>
        <w:t>che</w:t>
      </w:r>
      <w:r>
        <w:rPr>
          <w:color w:val="231F20"/>
          <w:spacing w:val="-42"/>
          <w:w w:val="105"/>
        </w:rPr>
        <w:t> </w:t>
      </w:r>
      <w:r>
        <w:rPr>
          <w:color w:val="231F20"/>
          <w:w w:val="105"/>
        </w:rPr>
        <w:t>fa</w:t>
      </w:r>
      <w:r>
        <w:rPr>
          <w:color w:val="231F20"/>
          <w:spacing w:val="-42"/>
          <w:w w:val="105"/>
        </w:rPr>
        <w:t> </w:t>
      </w:r>
      <w:r>
        <w:rPr>
          <w:color w:val="231F20"/>
          <w:w w:val="105"/>
        </w:rPr>
        <w:t>enfasi</w:t>
      </w:r>
      <w:r>
        <w:rPr>
          <w:color w:val="231F20"/>
          <w:spacing w:val="-42"/>
          <w:w w:val="105"/>
        </w:rPr>
        <w:t> </w:t>
      </w:r>
      <w:r>
        <w:rPr>
          <w:color w:val="231F20"/>
          <w:w w:val="105"/>
        </w:rPr>
        <w:t>nello</w:t>
      </w:r>
      <w:r>
        <w:rPr>
          <w:color w:val="231F20"/>
          <w:spacing w:val="-42"/>
          <w:w w:val="105"/>
        </w:rPr>
        <w:t> </w:t>
      </w:r>
      <w:r>
        <w:rPr>
          <w:color w:val="231F20"/>
          <w:w w:val="105"/>
        </w:rPr>
        <w:t>esplodere</w:t>
      </w:r>
      <w:r>
        <w:rPr>
          <w:color w:val="231F20"/>
          <w:spacing w:val="-42"/>
          <w:w w:val="105"/>
        </w:rPr>
        <w:t> </w:t>
      </w:r>
      <w:r>
        <w:rPr>
          <w:color w:val="231F20"/>
          <w:w w:val="105"/>
        </w:rPr>
        <w:t>di</w:t>
      </w:r>
      <w:r>
        <w:rPr>
          <w:color w:val="231F20"/>
          <w:spacing w:val="-42"/>
          <w:w w:val="105"/>
        </w:rPr>
        <w:t> </w:t>
      </w:r>
      <w:r>
        <w:rPr>
          <w:color w:val="231F20"/>
          <w:w w:val="105"/>
        </w:rPr>
        <w:t>una</w:t>
      </w:r>
      <w:r>
        <w:rPr>
          <w:color w:val="231F20"/>
          <w:spacing w:val="-42"/>
          <w:w w:val="105"/>
        </w:rPr>
        <w:t> </w:t>
      </w:r>
      <w:r>
        <w:rPr>
          <w:color w:val="231F20"/>
          <w:w w:val="105"/>
        </w:rPr>
        <w:t>infinità</w:t>
      </w:r>
      <w:r>
        <w:rPr>
          <w:color w:val="231F20"/>
          <w:spacing w:val="-42"/>
          <w:w w:val="105"/>
        </w:rPr>
        <w:t> </w:t>
      </w:r>
      <w:r>
        <w:rPr>
          <w:color w:val="231F20"/>
          <w:w w:val="105"/>
        </w:rPr>
        <w:t>di</w:t>
      </w:r>
      <w:r>
        <w:rPr>
          <w:color w:val="231F20"/>
          <w:spacing w:val="-42"/>
          <w:w w:val="105"/>
        </w:rPr>
        <w:t> </w:t>
      </w:r>
      <w:r>
        <w:rPr>
          <w:color w:val="231F20"/>
          <w:w w:val="105"/>
        </w:rPr>
        <w:t>differenze.</w:t>
      </w:r>
      <w:r>
        <w:rPr>
          <w:color w:val="231F20"/>
          <w:spacing w:val="-42"/>
          <w:w w:val="105"/>
        </w:rPr>
        <w:t> </w:t>
      </w:r>
      <w:r>
        <w:rPr>
          <w:color w:val="231F20"/>
          <w:w w:val="105"/>
        </w:rPr>
        <w:t>Alcune di</w:t>
      </w:r>
      <w:r>
        <w:rPr>
          <w:color w:val="231F20"/>
          <w:spacing w:val="-22"/>
          <w:w w:val="105"/>
        </w:rPr>
        <w:t> </w:t>
      </w:r>
      <w:r>
        <w:rPr>
          <w:color w:val="231F20"/>
          <w:w w:val="105"/>
        </w:rPr>
        <w:t>queste</w:t>
      </w:r>
      <w:r>
        <w:rPr>
          <w:color w:val="231F20"/>
          <w:spacing w:val="-22"/>
          <w:w w:val="105"/>
        </w:rPr>
        <w:t> </w:t>
      </w:r>
      <w:r>
        <w:rPr>
          <w:color w:val="231F20"/>
          <w:w w:val="105"/>
        </w:rPr>
        <w:t>risposte</w:t>
      </w:r>
      <w:r>
        <w:rPr>
          <w:color w:val="231F20"/>
          <w:spacing w:val="-22"/>
          <w:w w:val="105"/>
        </w:rPr>
        <w:t> </w:t>
      </w:r>
      <w:r>
        <w:rPr>
          <w:color w:val="231F20"/>
          <w:w w:val="105"/>
        </w:rPr>
        <w:t>a</w:t>
      </w:r>
      <w:r>
        <w:rPr>
          <w:color w:val="231F20"/>
          <w:spacing w:val="-22"/>
          <w:w w:val="105"/>
        </w:rPr>
        <w:t> </w:t>
      </w:r>
      <w:r>
        <w:rPr>
          <w:color w:val="231F20"/>
          <w:w w:val="105"/>
        </w:rPr>
        <w:t>tale</w:t>
      </w:r>
      <w:r>
        <w:rPr>
          <w:color w:val="231F20"/>
          <w:spacing w:val="-22"/>
          <w:w w:val="105"/>
        </w:rPr>
        <w:t> </w:t>
      </w:r>
      <w:r>
        <w:rPr>
          <w:color w:val="231F20"/>
          <w:w w:val="105"/>
        </w:rPr>
        <w:t>questione</w:t>
      </w:r>
      <w:r>
        <w:rPr>
          <w:color w:val="231F20"/>
          <w:spacing w:val="-22"/>
          <w:w w:val="105"/>
        </w:rPr>
        <w:t> </w:t>
      </w:r>
      <w:r>
        <w:rPr>
          <w:color w:val="231F20"/>
          <w:w w:val="105"/>
        </w:rPr>
        <w:t>—ad</w:t>
      </w:r>
      <w:r>
        <w:rPr>
          <w:color w:val="231F20"/>
          <w:spacing w:val="-22"/>
          <w:w w:val="105"/>
        </w:rPr>
        <w:t> </w:t>
      </w:r>
      <w:r>
        <w:rPr>
          <w:color w:val="231F20"/>
          <w:w w:val="105"/>
        </w:rPr>
        <w:t>esempio,</w:t>
      </w:r>
      <w:r>
        <w:rPr>
          <w:color w:val="231F20"/>
          <w:spacing w:val="-22"/>
          <w:w w:val="105"/>
        </w:rPr>
        <w:t> </w:t>
      </w:r>
      <w:r>
        <w:rPr>
          <w:color w:val="231F20"/>
          <w:w w:val="105"/>
        </w:rPr>
        <w:t>quella</w:t>
      </w:r>
      <w:r>
        <w:rPr>
          <w:color w:val="231F20"/>
          <w:spacing w:val="-22"/>
          <w:w w:val="105"/>
        </w:rPr>
        <w:t> </w:t>
      </w:r>
      <w:r>
        <w:rPr>
          <w:color w:val="231F20"/>
          <w:w w:val="105"/>
        </w:rPr>
        <w:t>di</w:t>
      </w:r>
      <w:r>
        <w:rPr>
          <w:color w:val="231F20"/>
          <w:spacing w:val="-22"/>
          <w:w w:val="105"/>
        </w:rPr>
        <w:t> </w:t>
      </w:r>
      <w:r>
        <w:rPr>
          <w:color w:val="231F20"/>
          <w:w w:val="105"/>
        </w:rPr>
        <w:t>Marramao</w:t>
      </w:r>
      <w:r>
        <w:rPr>
          <w:color w:val="231F20"/>
          <w:w w:val="105"/>
          <w:position w:val="7"/>
          <w:sz w:val="12"/>
        </w:rPr>
        <w:t>26</w:t>
      </w:r>
      <w:r>
        <w:rPr>
          <w:color w:val="231F20"/>
          <w:w w:val="105"/>
        </w:rPr>
        <w:t>—, </w:t>
      </w:r>
      <w:r>
        <w:rPr>
          <w:color w:val="231F20"/>
          <w:spacing w:val="2"/>
          <w:w w:val="105"/>
        </w:rPr>
        <w:t>hanno optato </w:t>
      </w:r>
      <w:r>
        <w:rPr>
          <w:color w:val="231F20"/>
          <w:w w:val="105"/>
        </w:rPr>
        <w:t>per non </w:t>
      </w:r>
      <w:r>
        <w:rPr>
          <w:color w:val="231F20"/>
          <w:spacing w:val="2"/>
          <w:w w:val="105"/>
        </w:rPr>
        <w:t>scegliere </w:t>
      </w:r>
      <w:r>
        <w:rPr>
          <w:color w:val="231F20"/>
          <w:w w:val="105"/>
        </w:rPr>
        <w:t>ne una ne </w:t>
      </w:r>
      <w:r>
        <w:rPr>
          <w:color w:val="231F20"/>
          <w:spacing w:val="2"/>
          <w:w w:val="105"/>
        </w:rPr>
        <w:t>l’altra, </w:t>
      </w:r>
      <w:r>
        <w:rPr>
          <w:color w:val="231F20"/>
          <w:w w:val="105"/>
        </w:rPr>
        <w:t>ma </w:t>
      </w:r>
      <w:r>
        <w:rPr>
          <w:color w:val="231F20"/>
          <w:spacing w:val="2"/>
          <w:w w:val="105"/>
        </w:rPr>
        <w:t>tutte </w:t>
      </w:r>
      <w:r>
        <w:rPr>
          <w:color w:val="231F20"/>
          <w:w w:val="105"/>
        </w:rPr>
        <w:t>e </w:t>
      </w:r>
      <w:r>
        <w:rPr>
          <w:color w:val="231F20"/>
          <w:spacing w:val="2"/>
          <w:w w:val="105"/>
        </w:rPr>
        <w:t>due, </w:t>
      </w:r>
      <w:r>
        <w:rPr>
          <w:color w:val="231F20"/>
          <w:spacing w:val="3"/>
          <w:w w:val="105"/>
        </w:rPr>
        <w:t>per </w:t>
      </w:r>
      <w:r>
        <w:rPr>
          <w:color w:val="231F20"/>
          <w:spacing w:val="-3"/>
        </w:rPr>
        <w:t>affermare</w:t>
      </w:r>
      <w:r>
        <w:rPr>
          <w:color w:val="231F20"/>
          <w:spacing w:val="-23"/>
        </w:rPr>
        <w:t> </w:t>
      </w:r>
      <w:r>
        <w:rPr>
          <w:color w:val="231F20"/>
        </w:rPr>
        <w:t>il</w:t>
      </w:r>
      <w:r>
        <w:rPr>
          <w:color w:val="231F20"/>
          <w:spacing w:val="-23"/>
        </w:rPr>
        <w:t> </w:t>
      </w:r>
      <w:r>
        <w:rPr>
          <w:color w:val="231F20"/>
          <w:spacing w:val="-3"/>
        </w:rPr>
        <w:t>carattere</w:t>
      </w:r>
      <w:r>
        <w:rPr>
          <w:color w:val="231F20"/>
          <w:spacing w:val="-23"/>
        </w:rPr>
        <w:t> </w:t>
      </w:r>
      <w:r>
        <w:rPr>
          <w:color w:val="231F20"/>
        </w:rPr>
        <w:t>paradossale</w:t>
      </w:r>
      <w:r>
        <w:rPr>
          <w:color w:val="231F20"/>
          <w:spacing w:val="-23"/>
        </w:rPr>
        <w:t> </w:t>
      </w:r>
      <w:r>
        <w:rPr>
          <w:color w:val="231F20"/>
        </w:rPr>
        <w:t>della</w:t>
      </w:r>
      <w:r>
        <w:rPr>
          <w:color w:val="231F20"/>
          <w:spacing w:val="-23"/>
        </w:rPr>
        <w:t> </w:t>
      </w:r>
      <w:r>
        <w:rPr>
          <w:color w:val="231F20"/>
        </w:rPr>
        <w:t>risposta:</w:t>
      </w:r>
      <w:r>
        <w:rPr>
          <w:color w:val="231F20"/>
          <w:spacing w:val="-23"/>
        </w:rPr>
        <w:t> </w:t>
      </w:r>
      <w:r>
        <w:rPr>
          <w:color w:val="231F20"/>
        </w:rPr>
        <w:t>entrambe</w:t>
      </w:r>
      <w:r>
        <w:rPr>
          <w:color w:val="231F20"/>
          <w:spacing w:val="-23"/>
        </w:rPr>
        <w:t> </w:t>
      </w:r>
      <w:r>
        <w:rPr>
          <w:color w:val="231F20"/>
        </w:rPr>
        <w:t>allo</w:t>
      </w:r>
      <w:r>
        <w:rPr>
          <w:color w:val="231F20"/>
          <w:spacing w:val="-23"/>
        </w:rPr>
        <w:t> </w:t>
      </w:r>
      <w:r>
        <w:rPr>
          <w:color w:val="231F20"/>
        </w:rPr>
        <w:t>stesso</w:t>
      </w:r>
      <w:r>
        <w:rPr>
          <w:color w:val="231F20"/>
          <w:spacing w:val="-23"/>
        </w:rPr>
        <w:t> </w:t>
      </w:r>
      <w:r>
        <w:rPr>
          <w:color w:val="231F20"/>
          <w:spacing w:val="-2"/>
        </w:rPr>
        <w:t>tempo, </w:t>
      </w:r>
      <w:r>
        <w:rPr>
          <w:color w:val="231F20"/>
          <w:spacing w:val="2"/>
          <w:w w:val="105"/>
        </w:rPr>
        <w:t>omogeneizzazione </w:t>
      </w:r>
      <w:r>
        <w:rPr>
          <w:color w:val="231F20"/>
          <w:w w:val="105"/>
        </w:rPr>
        <w:t>ed </w:t>
      </w:r>
      <w:r>
        <w:rPr>
          <w:color w:val="231F20"/>
          <w:spacing w:val="2"/>
          <w:w w:val="105"/>
        </w:rPr>
        <w:t>eterogeneizzazione simultaneamente. Anche</w:t>
      </w:r>
      <w:r>
        <w:rPr>
          <w:color w:val="231F20"/>
          <w:spacing w:val="-34"/>
          <w:w w:val="105"/>
        </w:rPr>
        <w:t> </w:t>
      </w:r>
      <w:r>
        <w:rPr>
          <w:color w:val="231F20"/>
          <w:spacing w:val="3"/>
          <w:w w:val="105"/>
        </w:rPr>
        <w:t>noi </w:t>
      </w:r>
      <w:r>
        <w:rPr>
          <w:color w:val="231F20"/>
          <w:w w:val="105"/>
        </w:rPr>
        <w:t>scegliamo</w:t>
      </w:r>
      <w:r>
        <w:rPr>
          <w:color w:val="231F20"/>
          <w:spacing w:val="-8"/>
          <w:w w:val="105"/>
        </w:rPr>
        <w:t> </w:t>
      </w:r>
      <w:r>
        <w:rPr>
          <w:color w:val="231F20"/>
          <w:w w:val="105"/>
        </w:rPr>
        <w:t>questa</w:t>
      </w:r>
      <w:r>
        <w:rPr>
          <w:color w:val="231F20"/>
          <w:spacing w:val="-8"/>
          <w:w w:val="105"/>
        </w:rPr>
        <w:t> </w:t>
      </w:r>
      <w:r>
        <w:rPr>
          <w:color w:val="231F20"/>
          <w:w w:val="105"/>
        </w:rPr>
        <w:t>risposta,</w:t>
      </w:r>
      <w:r>
        <w:rPr>
          <w:color w:val="231F20"/>
          <w:spacing w:val="-8"/>
          <w:w w:val="105"/>
        </w:rPr>
        <w:t> </w:t>
      </w:r>
      <w:r>
        <w:rPr>
          <w:color w:val="231F20"/>
          <w:w w:val="105"/>
        </w:rPr>
        <w:t>comunque,</w:t>
      </w:r>
      <w:r>
        <w:rPr>
          <w:color w:val="231F20"/>
          <w:spacing w:val="-8"/>
          <w:w w:val="105"/>
        </w:rPr>
        <w:t> </w:t>
      </w:r>
      <w:r>
        <w:rPr>
          <w:color w:val="231F20"/>
          <w:w w:val="105"/>
        </w:rPr>
        <w:t>crediamo</w:t>
      </w:r>
      <w:r>
        <w:rPr>
          <w:color w:val="231F20"/>
          <w:spacing w:val="-8"/>
          <w:w w:val="105"/>
        </w:rPr>
        <w:t> </w:t>
      </w:r>
      <w:r>
        <w:rPr>
          <w:color w:val="231F20"/>
          <w:w w:val="105"/>
        </w:rPr>
        <w:t>che</w:t>
      </w:r>
      <w:r>
        <w:rPr>
          <w:color w:val="231F20"/>
          <w:spacing w:val="-8"/>
          <w:w w:val="105"/>
        </w:rPr>
        <w:t> </w:t>
      </w:r>
      <w:r>
        <w:rPr>
          <w:color w:val="231F20"/>
          <w:w w:val="105"/>
        </w:rPr>
        <w:t>su</w:t>
      </w:r>
      <w:r>
        <w:rPr>
          <w:color w:val="231F20"/>
          <w:spacing w:val="-8"/>
          <w:w w:val="105"/>
        </w:rPr>
        <w:t> </w:t>
      </w:r>
      <w:r>
        <w:rPr>
          <w:color w:val="231F20"/>
          <w:w w:val="105"/>
        </w:rPr>
        <w:t>essa</w:t>
      </w:r>
      <w:r>
        <w:rPr>
          <w:color w:val="231F20"/>
          <w:spacing w:val="-8"/>
          <w:w w:val="105"/>
        </w:rPr>
        <w:t> </w:t>
      </w:r>
      <w:r>
        <w:rPr>
          <w:color w:val="231F20"/>
          <w:w w:val="105"/>
        </w:rPr>
        <w:t>si</w:t>
      </w:r>
      <w:r>
        <w:rPr>
          <w:color w:val="231F20"/>
          <w:spacing w:val="-8"/>
          <w:w w:val="105"/>
        </w:rPr>
        <w:t> </w:t>
      </w:r>
      <w:r>
        <w:rPr>
          <w:color w:val="231F20"/>
          <w:w w:val="105"/>
        </w:rPr>
        <w:t>alza</w:t>
      </w:r>
      <w:r>
        <w:rPr>
          <w:color w:val="231F20"/>
          <w:spacing w:val="-8"/>
          <w:w w:val="105"/>
        </w:rPr>
        <w:t> </w:t>
      </w:r>
      <w:r>
        <w:rPr>
          <w:color w:val="231F20"/>
          <w:w w:val="105"/>
        </w:rPr>
        <w:t>una domanda</w:t>
      </w:r>
      <w:r>
        <w:rPr>
          <w:color w:val="231F20"/>
          <w:spacing w:val="-51"/>
          <w:w w:val="105"/>
        </w:rPr>
        <w:t> </w:t>
      </w:r>
      <w:r>
        <w:rPr>
          <w:color w:val="231F20"/>
          <w:w w:val="105"/>
        </w:rPr>
        <w:t>ancora</w:t>
      </w:r>
      <w:r>
        <w:rPr>
          <w:color w:val="231F20"/>
          <w:spacing w:val="-51"/>
          <w:w w:val="105"/>
        </w:rPr>
        <w:t> </w:t>
      </w:r>
      <w:r>
        <w:rPr>
          <w:color w:val="231F20"/>
          <w:w w:val="105"/>
        </w:rPr>
        <w:t>più</w:t>
      </w:r>
      <w:r>
        <w:rPr>
          <w:color w:val="231F20"/>
          <w:spacing w:val="-51"/>
          <w:w w:val="105"/>
        </w:rPr>
        <w:t> </w:t>
      </w:r>
      <w:r>
        <w:rPr>
          <w:color w:val="231F20"/>
          <w:w w:val="105"/>
        </w:rPr>
        <w:t>importante:</w:t>
      </w:r>
      <w:r>
        <w:rPr>
          <w:color w:val="231F20"/>
          <w:spacing w:val="-51"/>
          <w:w w:val="105"/>
        </w:rPr>
        <w:t> </w:t>
      </w:r>
      <w:r>
        <w:rPr>
          <w:color w:val="231F20"/>
          <w:w w:val="105"/>
        </w:rPr>
        <w:t>se</w:t>
      </w:r>
      <w:r>
        <w:rPr>
          <w:color w:val="231F20"/>
          <w:spacing w:val="-51"/>
          <w:w w:val="105"/>
        </w:rPr>
        <w:t> </w:t>
      </w:r>
      <w:r>
        <w:rPr>
          <w:color w:val="231F20"/>
          <w:w w:val="105"/>
        </w:rPr>
        <w:t>dobbiamo</w:t>
      </w:r>
      <w:r>
        <w:rPr>
          <w:color w:val="231F20"/>
          <w:spacing w:val="-51"/>
          <w:w w:val="105"/>
        </w:rPr>
        <w:t> </w:t>
      </w:r>
      <w:r>
        <w:rPr>
          <w:color w:val="231F20"/>
          <w:w w:val="105"/>
        </w:rPr>
        <w:t>accettarle,</w:t>
      </w:r>
      <w:r>
        <w:rPr>
          <w:color w:val="231F20"/>
          <w:spacing w:val="-51"/>
          <w:w w:val="105"/>
        </w:rPr>
        <w:t> </w:t>
      </w:r>
      <w:r>
        <w:rPr>
          <w:color w:val="231F20"/>
          <w:w w:val="105"/>
        </w:rPr>
        <w:t>cosa</w:t>
      </w:r>
      <w:r>
        <w:rPr>
          <w:color w:val="231F20"/>
          <w:spacing w:val="-51"/>
          <w:w w:val="105"/>
        </w:rPr>
        <w:t> </w:t>
      </w:r>
      <w:r>
        <w:rPr>
          <w:color w:val="231F20"/>
          <w:w w:val="105"/>
        </w:rPr>
        <w:t>facciamo</w:t>
      </w:r>
      <w:r>
        <w:rPr>
          <w:color w:val="231F20"/>
          <w:spacing w:val="-51"/>
          <w:w w:val="105"/>
        </w:rPr>
        <w:t> </w:t>
      </w:r>
      <w:r>
        <w:rPr>
          <w:color w:val="231F20"/>
          <w:spacing w:val="-2"/>
          <w:w w:val="105"/>
        </w:rPr>
        <w:t>coi </w:t>
      </w:r>
      <w:r>
        <w:rPr>
          <w:color w:val="231F20"/>
          <w:w w:val="105"/>
        </w:rPr>
        <w:t>paradossi?</w:t>
      </w:r>
      <w:r>
        <w:rPr>
          <w:color w:val="231F20"/>
          <w:spacing w:val="-56"/>
          <w:w w:val="105"/>
        </w:rPr>
        <w:t> </w:t>
      </w:r>
      <w:r>
        <w:rPr>
          <w:color w:val="231F20"/>
          <w:w w:val="105"/>
        </w:rPr>
        <w:t>Li</w:t>
      </w:r>
      <w:r>
        <w:rPr>
          <w:color w:val="231F20"/>
          <w:spacing w:val="-56"/>
          <w:w w:val="105"/>
        </w:rPr>
        <w:t> </w:t>
      </w:r>
      <w:r>
        <w:rPr>
          <w:color w:val="231F20"/>
          <w:w w:val="105"/>
        </w:rPr>
        <w:t>naturalizziamo</w:t>
      </w:r>
      <w:r>
        <w:rPr>
          <w:color w:val="231F20"/>
          <w:spacing w:val="-56"/>
          <w:w w:val="105"/>
        </w:rPr>
        <w:t> </w:t>
      </w:r>
      <w:r>
        <w:rPr>
          <w:color w:val="231F20"/>
          <w:w w:val="105"/>
        </w:rPr>
        <w:t>e</w:t>
      </w:r>
      <w:r>
        <w:rPr>
          <w:color w:val="231F20"/>
          <w:spacing w:val="-56"/>
          <w:w w:val="105"/>
        </w:rPr>
        <w:t> </w:t>
      </w:r>
      <w:r>
        <w:rPr>
          <w:color w:val="231F20"/>
          <w:w w:val="105"/>
        </w:rPr>
        <w:t>quindi,</w:t>
      </w:r>
      <w:r>
        <w:rPr>
          <w:color w:val="231F20"/>
          <w:spacing w:val="-56"/>
          <w:w w:val="105"/>
        </w:rPr>
        <w:t> </w:t>
      </w:r>
      <w:r>
        <w:rPr>
          <w:color w:val="231F20"/>
          <w:w w:val="105"/>
        </w:rPr>
        <w:t>li</w:t>
      </w:r>
      <w:r>
        <w:rPr>
          <w:color w:val="231F20"/>
          <w:spacing w:val="-56"/>
          <w:w w:val="105"/>
        </w:rPr>
        <w:t> </w:t>
      </w:r>
      <w:r>
        <w:rPr>
          <w:color w:val="231F20"/>
          <w:w w:val="105"/>
        </w:rPr>
        <w:t>facciamo</w:t>
      </w:r>
      <w:r>
        <w:rPr>
          <w:color w:val="231F20"/>
          <w:spacing w:val="-56"/>
          <w:w w:val="105"/>
        </w:rPr>
        <w:t> </w:t>
      </w:r>
      <w:r>
        <w:rPr>
          <w:color w:val="231F20"/>
          <w:spacing w:val="-3"/>
          <w:w w:val="105"/>
        </w:rPr>
        <w:t>diventare</w:t>
      </w:r>
      <w:r>
        <w:rPr>
          <w:color w:val="231F20"/>
          <w:spacing w:val="-56"/>
          <w:w w:val="105"/>
        </w:rPr>
        <w:t> </w:t>
      </w:r>
      <w:r>
        <w:rPr>
          <w:color w:val="231F20"/>
          <w:w w:val="105"/>
        </w:rPr>
        <w:t>includenti</w:t>
      </w:r>
      <w:r>
        <w:rPr>
          <w:color w:val="231F20"/>
          <w:spacing w:val="-56"/>
          <w:w w:val="105"/>
        </w:rPr>
        <w:t> </w:t>
      </w:r>
      <w:r>
        <w:rPr>
          <w:color w:val="231F20"/>
          <w:spacing w:val="-3"/>
          <w:w w:val="105"/>
        </w:rPr>
        <w:t>oppure </w:t>
      </w:r>
      <w:r>
        <w:rPr>
          <w:color w:val="231F20"/>
          <w:w w:val="105"/>
        </w:rPr>
        <w:t>li</w:t>
      </w:r>
      <w:r>
        <w:rPr>
          <w:color w:val="231F20"/>
          <w:spacing w:val="-15"/>
          <w:w w:val="105"/>
        </w:rPr>
        <w:t> </w:t>
      </w:r>
      <w:r>
        <w:rPr>
          <w:color w:val="231F20"/>
          <w:w w:val="105"/>
        </w:rPr>
        <w:t>radicalizziamo?</w:t>
      </w:r>
      <w:r>
        <w:rPr>
          <w:color w:val="231F20"/>
          <w:spacing w:val="-15"/>
          <w:w w:val="105"/>
        </w:rPr>
        <w:t> </w:t>
      </w:r>
      <w:r>
        <w:rPr>
          <w:color w:val="231F20"/>
          <w:w w:val="105"/>
        </w:rPr>
        <w:t>Li</w:t>
      </w:r>
      <w:r>
        <w:rPr>
          <w:color w:val="231F20"/>
          <w:spacing w:val="-15"/>
          <w:w w:val="105"/>
        </w:rPr>
        <w:t> </w:t>
      </w:r>
      <w:r>
        <w:rPr>
          <w:color w:val="231F20"/>
          <w:w w:val="105"/>
        </w:rPr>
        <w:t>facciamo</w:t>
      </w:r>
      <w:r>
        <w:rPr>
          <w:color w:val="231F20"/>
          <w:spacing w:val="-15"/>
          <w:w w:val="105"/>
        </w:rPr>
        <w:t> </w:t>
      </w:r>
      <w:r>
        <w:rPr>
          <w:color w:val="231F20"/>
          <w:w w:val="105"/>
        </w:rPr>
        <w:t>diventare</w:t>
      </w:r>
      <w:r>
        <w:rPr>
          <w:color w:val="231F20"/>
          <w:spacing w:val="-15"/>
          <w:w w:val="105"/>
        </w:rPr>
        <w:t> </w:t>
      </w:r>
      <w:r>
        <w:rPr>
          <w:color w:val="231F20"/>
          <w:w w:val="105"/>
        </w:rPr>
        <w:t>amabili</w:t>
      </w:r>
      <w:r>
        <w:rPr>
          <w:color w:val="231F20"/>
          <w:spacing w:val="-15"/>
          <w:w w:val="105"/>
        </w:rPr>
        <w:t> </w:t>
      </w:r>
      <w:r>
        <w:rPr>
          <w:color w:val="231F20"/>
          <w:w w:val="105"/>
        </w:rPr>
        <w:t>oppure</w:t>
      </w:r>
      <w:r>
        <w:rPr>
          <w:color w:val="231F20"/>
          <w:spacing w:val="-15"/>
          <w:w w:val="105"/>
        </w:rPr>
        <w:t> </w:t>
      </w:r>
      <w:r>
        <w:rPr>
          <w:color w:val="231F20"/>
          <w:w w:val="105"/>
        </w:rPr>
        <w:t>rinforziamo</w:t>
      </w:r>
      <w:r>
        <w:rPr>
          <w:color w:val="231F20"/>
          <w:spacing w:val="-15"/>
          <w:w w:val="105"/>
        </w:rPr>
        <w:t> </w:t>
      </w:r>
      <w:r>
        <w:rPr>
          <w:color w:val="231F20"/>
          <w:w w:val="105"/>
        </w:rPr>
        <w:t>il</w:t>
      </w:r>
      <w:r>
        <w:rPr>
          <w:color w:val="231F20"/>
          <w:spacing w:val="-15"/>
          <w:w w:val="105"/>
        </w:rPr>
        <w:t> </w:t>
      </w:r>
      <w:r>
        <w:rPr>
          <w:color w:val="231F20"/>
          <w:w w:val="105"/>
        </w:rPr>
        <w:t>loro carattere</w:t>
      </w:r>
      <w:r>
        <w:rPr>
          <w:color w:val="231F20"/>
          <w:spacing w:val="-31"/>
          <w:w w:val="105"/>
        </w:rPr>
        <w:t> </w:t>
      </w:r>
      <w:r>
        <w:rPr>
          <w:color w:val="231F20"/>
          <w:w w:val="105"/>
        </w:rPr>
        <w:t>irresolubile</w:t>
      </w:r>
      <w:r>
        <w:rPr>
          <w:color w:val="231F20"/>
          <w:spacing w:val="-31"/>
          <w:w w:val="105"/>
        </w:rPr>
        <w:t> </w:t>
      </w:r>
      <w:r>
        <w:rPr>
          <w:color w:val="231F20"/>
          <w:w w:val="105"/>
        </w:rPr>
        <w:t>e</w:t>
      </w:r>
      <w:r>
        <w:rPr>
          <w:color w:val="231F20"/>
          <w:spacing w:val="-31"/>
          <w:w w:val="105"/>
        </w:rPr>
        <w:t> </w:t>
      </w:r>
      <w:r>
        <w:rPr>
          <w:color w:val="231F20"/>
          <w:w w:val="105"/>
        </w:rPr>
        <w:t>indecidibile?</w:t>
      </w:r>
      <w:r>
        <w:rPr>
          <w:color w:val="231F20"/>
          <w:spacing w:val="-31"/>
          <w:w w:val="105"/>
        </w:rPr>
        <w:t> </w:t>
      </w:r>
      <w:r>
        <w:rPr>
          <w:color w:val="231F20"/>
          <w:w w:val="105"/>
        </w:rPr>
        <w:t>La</w:t>
      </w:r>
      <w:r>
        <w:rPr>
          <w:color w:val="231F20"/>
          <w:spacing w:val="-31"/>
          <w:w w:val="105"/>
        </w:rPr>
        <w:t> </w:t>
      </w:r>
      <w:r>
        <w:rPr>
          <w:color w:val="231F20"/>
          <w:w w:val="105"/>
        </w:rPr>
        <w:t>risposta</w:t>
      </w:r>
      <w:r>
        <w:rPr>
          <w:color w:val="231F20"/>
          <w:spacing w:val="-31"/>
          <w:w w:val="105"/>
        </w:rPr>
        <w:t> </w:t>
      </w:r>
      <w:r>
        <w:rPr>
          <w:color w:val="231F20"/>
          <w:w w:val="105"/>
        </w:rPr>
        <w:t>che</w:t>
      </w:r>
      <w:r>
        <w:rPr>
          <w:color w:val="231F20"/>
          <w:spacing w:val="-31"/>
          <w:w w:val="105"/>
        </w:rPr>
        <w:t> </w:t>
      </w:r>
      <w:r>
        <w:rPr>
          <w:color w:val="231F20"/>
          <w:w w:val="105"/>
        </w:rPr>
        <w:t>vogliamo</w:t>
      </w:r>
      <w:r>
        <w:rPr>
          <w:color w:val="231F20"/>
          <w:spacing w:val="-31"/>
          <w:w w:val="105"/>
        </w:rPr>
        <w:t> </w:t>
      </w:r>
      <w:r>
        <w:rPr>
          <w:color w:val="231F20"/>
          <w:w w:val="105"/>
        </w:rPr>
        <w:t>abbozzare</w:t>
      </w:r>
      <w:r>
        <w:rPr>
          <w:color w:val="231F20"/>
          <w:spacing w:val="-31"/>
          <w:w w:val="105"/>
        </w:rPr>
        <w:t> </w:t>
      </w:r>
      <w:r>
        <w:rPr>
          <w:color w:val="231F20"/>
          <w:w w:val="105"/>
        </w:rPr>
        <w:t>in seguito</w:t>
      </w:r>
      <w:r>
        <w:rPr>
          <w:color w:val="231F20"/>
          <w:spacing w:val="-25"/>
          <w:w w:val="105"/>
        </w:rPr>
        <w:t> </w:t>
      </w:r>
      <w:r>
        <w:rPr>
          <w:color w:val="231F20"/>
          <w:w w:val="105"/>
        </w:rPr>
        <w:t>prende</w:t>
      </w:r>
      <w:r>
        <w:rPr>
          <w:color w:val="231F20"/>
          <w:spacing w:val="-25"/>
          <w:w w:val="105"/>
        </w:rPr>
        <w:t> </w:t>
      </w:r>
      <w:r>
        <w:rPr>
          <w:color w:val="231F20"/>
          <w:w w:val="105"/>
        </w:rPr>
        <w:t>come</w:t>
      </w:r>
      <w:r>
        <w:rPr>
          <w:color w:val="231F20"/>
          <w:spacing w:val="-25"/>
          <w:w w:val="105"/>
        </w:rPr>
        <w:t> </w:t>
      </w:r>
      <w:r>
        <w:rPr>
          <w:color w:val="231F20"/>
          <w:w w:val="105"/>
        </w:rPr>
        <w:t>motivo</w:t>
      </w:r>
      <w:r>
        <w:rPr>
          <w:color w:val="231F20"/>
          <w:spacing w:val="-25"/>
          <w:w w:val="105"/>
        </w:rPr>
        <w:t> </w:t>
      </w:r>
      <w:r>
        <w:rPr>
          <w:color w:val="231F20"/>
          <w:w w:val="105"/>
        </w:rPr>
        <w:t>il</w:t>
      </w:r>
      <w:r>
        <w:rPr>
          <w:color w:val="231F20"/>
          <w:spacing w:val="-25"/>
          <w:w w:val="105"/>
        </w:rPr>
        <w:t> </w:t>
      </w:r>
      <w:r>
        <w:rPr>
          <w:color w:val="231F20"/>
          <w:w w:val="105"/>
        </w:rPr>
        <w:t>pensiero</w:t>
      </w:r>
      <w:r>
        <w:rPr>
          <w:color w:val="231F20"/>
          <w:spacing w:val="-25"/>
          <w:w w:val="105"/>
        </w:rPr>
        <w:t> </w:t>
      </w:r>
      <w:r>
        <w:rPr>
          <w:color w:val="231F20"/>
          <w:w w:val="105"/>
        </w:rPr>
        <w:t>di</w:t>
      </w:r>
      <w:r>
        <w:rPr>
          <w:color w:val="231F20"/>
          <w:spacing w:val="-25"/>
          <w:w w:val="105"/>
        </w:rPr>
        <w:t> </w:t>
      </w:r>
      <w:r>
        <w:rPr>
          <w:color w:val="231F20"/>
          <w:w w:val="105"/>
        </w:rPr>
        <w:t>Gilles</w:t>
      </w:r>
      <w:r>
        <w:rPr>
          <w:color w:val="231F20"/>
          <w:spacing w:val="-25"/>
          <w:w w:val="105"/>
        </w:rPr>
        <w:t> </w:t>
      </w:r>
      <w:r>
        <w:rPr>
          <w:color w:val="231F20"/>
          <w:w w:val="105"/>
        </w:rPr>
        <w:t>Deleuze</w:t>
      </w:r>
      <w:r>
        <w:rPr>
          <w:color w:val="231F20"/>
          <w:spacing w:val="-25"/>
          <w:w w:val="105"/>
        </w:rPr>
        <w:t> </w:t>
      </w:r>
      <w:r>
        <w:rPr>
          <w:color w:val="231F20"/>
          <w:w w:val="105"/>
        </w:rPr>
        <w:t>—e</w:t>
      </w:r>
      <w:r>
        <w:rPr>
          <w:color w:val="231F20"/>
          <w:spacing w:val="-25"/>
          <w:w w:val="105"/>
        </w:rPr>
        <w:t> </w:t>
      </w:r>
      <w:r>
        <w:rPr>
          <w:color w:val="231F20"/>
          <w:w w:val="105"/>
        </w:rPr>
        <w:t>anche</w:t>
      </w:r>
      <w:r>
        <w:rPr>
          <w:color w:val="231F20"/>
          <w:spacing w:val="-25"/>
          <w:w w:val="105"/>
        </w:rPr>
        <w:t> </w:t>
      </w:r>
      <w:r>
        <w:rPr>
          <w:color w:val="231F20"/>
          <w:w w:val="105"/>
        </w:rPr>
        <w:t>quello di</w:t>
      </w:r>
      <w:r>
        <w:rPr>
          <w:color w:val="231F20"/>
          <w:spacing w:val="-29"/>
          <w:w w:val="105"/>
        </w:rPr>
        <w:t> </w:t>
      </w:r>
      <w:r>
        <w:rPr>
          <w:color w:val="231F20"/>
          <w:w w:val="105"/>
        </w:rPr>
        <w:t>Félix</w:t>
      </w:r>
      <w:r>
        <w:rPr>
          <w:color w:val="231F20"/>
          <w:spacing w:val="-29"/>
          <w:w w:val="105"/>
        </w:rPr>
        <w:t> </w:t>
      </w:r>
      <w:r>
        <w:rPr>
          <w:color w:val="231F20"/>
          <w:w w:val="105"/>
        </w:rPr>
        <w:t>Guattari—;</w:t>
      </w:r>
      <w:r>
        <w:rPr>
          <w:color w:val="231F20"/>
          <w:spacing w:val="-29"/>
          <w:w w:val="105"/>
        </w:rPr>
        <w:t> </w:t>
      </w:r>
      <w:r>
        <w:rPr>
          <w:color w:val="231F20"/>
          <w:w w:val="105"/>
        </w:rPr>
        <w:t>nella</w:t>
      </w:r>
      <w:r>
        <w:rPr>
          <w:color w:val="231F20"/>
          <w:spacing w:val="-29"/>
          <w:w w:val="105"/>
        </w:rPr>
        <w:t> </w:t>
      </w:r>
      <w:r>
        <w:rPr>
          <w:color w:val="231F20"/>
          <w:w w:val="105"/>
        </w:rPr>
        <w:t>loro</w:t>
      </w:r>
      <w:r>
        <w:rPr>
          <w:color w:val="231F20"/>
          <w:spacing w:val="-29"/>
          <w:w w:val="105"/>
        </w:rPr>
        <w:t> </w:t>
      </w:r>
      <w:r>
        <w:rPr>
          <w:color w:val="231F20"/>
          <w:w w:val="105"/>
        </w:rPr>
        <w:t>proposta,</w:t>
      </w:r>
      <w:r>
        <w:rPr>
          <w:color w:val="231F20"/>
          <w:spacing w:val="-29"/>
          <w:w w:val="105"/>
        </w:rPr>
        <w:t> </w:t>
      </w:r>
      <w:r>
        <w:rPr>
          <w:color w:val="231F20"/>
          <w:w w:val="105"/>
        </w:rPr>
        <w:t>l’unica</w:t>
      </w:r>
      <w:r>
        <w:rPr>
          <w:color w:val="231F20"/>
          <w:spacing w:val="-29"/>
          <w:w w:val="105"/>
        </w:rPr>
        <w:t> </w:t>
      </w:r>
      <w:r>
        <w:rPr>
          <w:color w:val="231F20"/>
          <w:w w:val="105"/>
        </w:rPr>
        <w:t>maniera</w:t>
      </w:r>
      <w:r>
        <w:rPr>
          <w:color w:val="231F20"/>
          <w:spacing w:val="-29"/>
          <w:w w:val="105"/>
        </w:rPr>
        <w:t> </w:t>
      </w:r>
      <w:r>
        <w:rPr>
          <w:color w:val="231F20"/>
          <w:w w:val="105"/>
        </w:rPr>
        <w:t>di</w:t>
      </w:r>
      <w:r>
        <w:rPr>
          <w:color w:val="231F20"/>
          <w:spacing w:val="-29"/>
          <w:w w:val="105"/>
        </w:rPr>
        <w:t> </w:t>
      </w:r>
      <w:r>
        <w:rPr>
          <w:color w:val="231F20"/>
          <w:w w:val="105"/>
        </w:rPr>
        <w:t>rimanere</w:t>
      </w:r>
      <w:r>
        <w:rPr>
          <w:color w:val="231F20"/>
          <w:spacing w:val="-29"/>
          <w:w w:val="105"/>
        </w:rPr>
        <w:t> </w:t>
      </w:r>
      <w:r>
        <w:rPr>
          <w:color w:val="231F20"/>
          <w:w w:val="105"/>
        </w:rPr>
        <w:t>critici</w:t>
      </w:r>
      <w:r>
        <w:rPr>
          <w:color w:val="231F20"/>
          <w:spacing w:val="-29"/>
          <w:w w:val="105"/>
        </w:rPr>
        <w:t> </w:t>
      </w:r>
      <w:r>
        <w:rPr>
          <w:color w:val="231F20"/>
          <w:w w:val="105"/>
        </w:rPr>
        <w:t>e all’erta</w:t>
      </w:r>
      <w:r>
        <w:rPr>
          <w:color w:val="231F20"/>
          <w:spacing w:val="-50"/>
          <w:w w:val="105"/>
        </w:rPr>
        <w:t> </w:t>
      </w:r>
      <w:r>
        <w:rPr>
          <w:color w:val="231F20"/>
          <w:w w:val="105"/>
        </w:rPr>
        <w:t>di</w:t>
      </w:r>
      <w:r>
        <w:rPr>
          <w:color w:val="231F20"/>
          <w:spacing w:val="-50"/>
          <w:w w:val="105"/>
        </w:rPr>
        <w:t> </w:t>
      </w:r>
      <w:r>
        <w:rPr>
          <w:color w:val="231F20"/>
          <w:spacing w:val="-3"/>
          <w:w w:val="105"/>
        </w:rPr>
        <w:t>fronte</w:t>
      </w:r>
      <w:r>
        <w:rPr>
          <w:color w:val="231F20"/>
          <w:spacing w:val="-50"/>
          <w:w w:val="105"/>
        </w:rPr>
        <w:t> </w:t>
      </w:r>
      <w:r>
        <w:rPr>
          <w:color w:val="231F20"/>
          <w:w w:val="105"/>
        </w:rPr>
        <w:t>alla</w:t>
      </w:r>
      <w:r>
        <w:rPr>
          <w:color w:val="231F20"/>
          <w:spacing w:val="-50"/>
          <w:w w:val="105"/>
        </w:rPr>
        <w:t> </w:t>
      </w:r>
      <w:r>
        <w:rPr>
          <w:color w:val="231F20"/>
          <w:w w:val="105"/>
        </w:rPr>
        <w:t>globalizzazione</w:t>
      </w:r>
      <w:r>
        <w:rPr>
          <w:color w:val="231F20"/>
          <w:spacing w:val="-50"/>
          <w:w w:val="105"/>
        </w:rPr>
        <w:t> </w:t>
      </w:r>
      <w:r>
        <w:rPr>
          <w:color w:val="231F20"/>
          <w:w w:val="105"/>
        </w:rPr>
        <w:t>e</w:t>
      </w:r>
      <w:r>
        <w:rPr>
          <w:color w:val="231F20"/>
          <w:spacing w:val="-50"/>
          <w:w w:val="105"/>
        </w:rPr>
        <w:t> </w:t>
      </w:r>
      <w:r>
        <w:rPr>
          <w:color w:val="231F20"/>
          <w:w w:val="105"/>
        </w:rPr>
        <w:t>il</w:t>
      </w:r>
      <w:r>
        <w:rPr>
          <w:color w:val="231F20"/>
          <w:spacing w:val="-50"/>
          <w:w w:val="105"/>
        </w:rPr>
        <w:t> </w:t>
      </w:r>
      <w:r>
        <w:rPr>
          <w:color w:val="231F20"/>
          <w:w w:val="105"/>
        </w:rPr>
        <w:t>capitalismo,</w:t>
      </w:r>
      <w:r>
        <w:rPr>
          <w:color w:val="231F20"/>
          <w:spacing w:val="-50"/>
          <w:w w:val="105"/>
        </w:rPr>
        <w:t> </w:t>
      </w:r>
      <w:r>
        <w:rPr>
          <w:color w:val="231F20"/>
          <w:w w:val="105"/>
        </w:rPr>
        <w:t>ed</w:t>
      </w:r>
      <w:r>
        <w:rPr>
          <w:color w:val="231F20"/>
          <w:spacing w:val="-50"/>
          <w:w w:val="105"/>
        </w:rPr>
        <w:t> </w:t>
      </w:r>
      <w:r>
        <w:rPr>
          <w:color w:val="231F20"/>
          <w:spacing w:val="-3"/>
          <w:w w:val="105"/>
        </w:rPr>
        <w:t>evitare</w:t>
      </w:r>
      <w:r>
        <w:rPr>
          <w:color w:val="231F20"/>
          <w:spacing w:val="-50"/>
          <w:w w:val="105"/>
        </w:rPr>
        <w:t> </w:t>
      </w:r>
      <w:r>
        <w:rPr>
          <w:color w:val="231F20"/>
          <w:spacing w:val="-3"/>
          <w:w w:val="105"/>
        </w:rPr>
        <w:t>effetivamente </w:t>
      </w:r>
      <w:r>
        <w:rPr>
          <w:color w:val="231F20"/>
          <w:w w:val="105"/>
        </w:rPr>
        <w:t>un’omogeneizzazione del mondo, è rifiutare la naturalizzazione dei suoi paradossi,</w:t>
      </w:r>
      <w:r>
        <w:rPr>
          <w:color w:val="231F20"/>
          <w:spacing w:val="-8"/>
          <w:w w:val="105"/>
        </w:rPr>
        <w:t> </w:t>
      </w:r>
      <w:r>
        <w:rPr>
          <w:color w:val="231F20"/>
          <w:w w:val="105"/>
        </w:rPr>
        <w:t>cioè,</w:t>
      </w:r>
      <w:r>
        <w:rPr>
          <w:color w:val="231F20"/>
          <w:spacing w:val="-8"/>
          <w:w w:val="105"/>
        </w:rPr>
        <w:t> </w:t>
      </w:r>
      <w:r>
        <w:rPr>
          <w:color w:val="231F20"/>
          <w:w w:val="105"/>
        </w:rPr>
        <w:t>evitare</w:t>
      </w:r>
      <w:r>
        <w:rPr>
          <w:color w:val="231F20"/>
          <w:spacing w:val="-8"/>
          <w:w w:val="105"/>
        </w:rPr>
        <w:t> </w:t>
      </w:r>
      <w:r>
        <w:rPr>
          <w:color w:val="231F20"/>
          <w:w w:val="105"/>
        </w:rPr>
        <w:t>di</w:t>
      </w:r>
      <w:r>
        <w:rPr>
          <w:color w:val="231F20"/>
          <w:spacing w:val="-8"/>
          <w:w w:val="105"/>
        </w:rPr>
        <w:t> </w:t>
      </w:r>
      <w:r>
        <w:rPr>
          <w:color w:val="231F20"/>
          <w:w w:val="105"/>
        </w:rPr>
        <w:t>vedere</w:t>
      </w:r>
      <w:r>
        <w:rPr>
          <w:color w:val="231F20"/>
          <w:spacing w:val="-8"/>
          <w:w w:val="105"/>
        </w:rPr>
        <w:t> </w:t>
      </w:r>
      <w:r>
        <w:rPr>
          <w:color w:val="231F20"/>
          <w:w w:val="105"/>
        </w:rPr>
        <w:t>in</w:t>
      </w:r>
      <w:r>
        <w:rPr>
          <w:color w:val="231F20"/>
          <w:spacing w:val="-8"/>
          <w:w w:val="105"/>
        </w:rPr>
        <w:t> </w:t>
      </w:r>
      <w:r>
        <w:rPr>
          <w:color w:val="231F20"/>
          <w:w w:val="105"/>
        </w:rPr>
        <w:t>loro</w:t>
      </w:r>
      <w:r>
        <w:rPr>
          <w:color w:val="231F20"/>
          <w:spacing w:val="-8"/>
          <w:w w:val="105"/>
        </w:rPr>
        <w:t> </w:t>
      </w:r>
      <w:r>
        <w:rPr>
          <w:color w:val="231F20"/>
          <w:w w:val="105"/>
        </w:rPr>
        <w:t>le</w:t>
      </w:r>
      <w:r>
        <w:rPr>
          <w:color w:val="231F20"/>
          <w:spacing w:val="-8"/>
          <w:w w:val="105"/>
        </w:rPr>
        <w:t> </w:t>
      </w:r>
      <w:r>
        <w:rPr>
          <w:color w:val="231F20"/>
          <w:w w:val="105"/>
        </w:rPr>
        <w:t>contraddizioni</w:t>
      </w:r>
      <w:r>
        <w:rPr>
          <w:color w:val="231F20"/>
          <w:spacing w:val="-8"/>
          <w:w w:val="105"/>
        </w:rPr>
        <w:t> </w:t>
      </w:r>
      <w:r>
        <w:rPr>
          <w:color w:val="231F20"/>
          <w:w w:val="105"/>
        </w:rPr>
        <w:t>includenti</w:t>
      </w:r>
      <w:r>
        <w:rPr>
          <w:color w:val="231F20"/>
          <w:spacing w:val="-8"/>
          <w:w w:val="105"/>
        </w:rPr>
        <w:t> </w:t>
      </w:r>
      <w:r>
        <w:rPr>
          <w:color w:val="231F20"/>
          <w:w w:val="105"/>
        </w:rPr>
        <w:t>che finirebbero</w:t>
      </w:r>
      <w:r>
        <w:rPr>
          <w:color w:val="231F20"/>
          <w:spacing w:val="-27"/>
          <w:w w:val="105"/>
        </w:rPr>
        <w:t> </w:t>
      </w:r>
      <w:r>
        <w:rPr>
          <w:color w:val="231F20"/>
          <w:w w:val="105"/>
        </w:rPr>
        <w:t>per</w:t>
      </w:r>
      <w:r>
        <w:rPr>
          <w:color w:val="231F20"/>
          <w:spacing w:val="-27"/>
          <w:w w:val="105"/>
        </w:rPr>
        <w:t> </w:t>
      </w:r>
      <w:r>
        <w:rPr>
          <w:color w:val="231F20"/>
          <w:w w:val="105"/>
        </w:rPr>
        <w:t>fare</w:t>
      </w:r>
      <w:r>
        <w:rPr>
          <w:color w:val="231F20"/>
          <w:spacing w:val="-27"/>
          <w:w w:val="105"/>
        </w:rPr>
        <w:t> </w:t>
      </w:r>
      <w:r>
        <w:rPr>
          <w:color w:val="231F20"/>
          <w:w w:val="105"/>
        </w:rPr>
        <w:t>del</w:t>
      </w:r>
      <w:r>
        <w:rPr>
          <w:color w:val="231F20"/>
          <w:spacing w:val="-27"/>
          <w:w w:val="105"/>
        </w:rPr>
        <w:t> </w:t>
      </w:r>
      <w:r>
        <w:rPr>
          <w:color w:val="231F20"/>
          <w:w w:val="105"/>
        </w:rPr>
        <w:t>globale</w:t>
      </w:r>
      <w:r>
        <w:rPr>
          <w:color w:val="231F20"/>
          <w:spacing w:val="-27"/>
          <w:w w:val="105"/>
        </w:rPr>
        <w:t> </w:t>
      </w:r>
      <w:r>
        <w:rPr>
          <w:color w:val="231F20"/>
          <w:w w:val="105"/>
        </w:rPr>
        <w:t>e</w:t>
      </w:r>
      <w:r>
        <w:rPr>
          <w:color w:val="231F20"/>
          <w:spacing w:val="-27"/>
          <w:w w:val="105"/>
        </w:rPr>
        <w:t> </w:t>
      </w:r>
      <w:r>
        <w:rPr>
          <w:color w:val="231F20"/>
          <w:w w:val="105"/>
        </w:rPr>
        <w:t>del</w:t>
      </w:r>
      <w:r>
        <w:rPr>
          <w:color w:val="231F20"/>
          <w:spacing w:val="-27"/>
          <w:w w:val="105"/>
        </w:rPr>
        <w:t> </w:t>
      </w:r>
      <w:r>
        <w:rPr>
          <w:color w:val="231F20"/>
          <w:w w:val="105"/>
        </w:rPr>
        <w:t>locale</w:t>
      </w:r>
      <w:r>
        <w:rPr>
          <w:color w:val="231F20"/>
          <w:spacing w:val="-27"/>
          <w:w w:val="105"/>
        </w:rPr>
        <w:t> </w:t>
      </w:r>
      <w:r>
        <w:rPr>
          <w:color w:val="231F20"/>
          <w:w w:val="105"/>
        </w:rPr>
        <w:t>opposti</w:t>
      </w:r>
      <w:r>
        <w:rPr>
          <w:color w:val="231F20"/>
          <w:spacing w:val="-27"/>
          <w:w w:val="105"/>
        </w:rPr>
        <w:t> </w:t>
      </w:r>
      <w:r>
        <w:rPr>
          <w:color w:val="231F20"/>
          <w:w w:val="105"/>
        </w:rPr>
        <w:t>complementari;</w:t>
      </w:r>
      <w:r>
        <w:rPr>
          <w:color w:val="231F20"/>
          <w:spacing w:val="-27"/>
          <w:w w:val="105"/>
        </w:rPr>
        <w:t> </w:t>
      </w:r>
      <w:r>
        <w:rPr>
          <w:color w:val="231F20"/>
          <w:w w:val="105"/>
        </w:rPr>
        <w:t>quello che loro propongono, invece, è accentuare il loro carattere irresolubile: che uno non si </w:t>
      </w:r>
      <w:r>
        <w:rPr>
          <w:color w:val="231F20"/>
          <w:spacing w:val="2"/>
          <w:w w:val="105"/>
        </w:rPr>
        <w:t>risolve </w:t>
      </w:r>
      <w:r>
        <w:rPr>
          <w:color w:val="231F20"/>
          <w:w w:val="105"/>
        </w:rPr>
        <w:t>ne si </w:t>
      </w:r>
      <w:r>
        <w:rPr>
          <w:color w:val="231F20"/>
          <w:spacing w:val="2"/>
          <w:w w:val="105"/>
        </w:rPr>
        <w:t>dissolve nel’altro. Senza dubbio, </w:t>
      </w:r>
      <w:r>
        <w:rPr>
          <w:color w:val="231F20"/>
          <w:w w:val="105"/>
        </w:rPr>
        <w:t>i </w:t>
      </w:r>
      <w:r>
        <w:rPr>
          <w:color w:val="231F20"/>
          <w:spacing w:val="2"/>
          <w:w w:val="105"/>
        </w:rPr>
        <w:t>termini </w:t>
      </w:r>
      <w:r>
        <w:rPr>
          <w:color w:val="231F20"/>
          <w:w w:val="105"/>
        </w:rPr>
        <w:t>della</w:t>
      </w:r>
      <w:r>
        <w:rPr>
          <w:color w:val="231F20"/>
          <w:spacing w:val="-25"/>
          <w:w w:val="105"/>
        </w:rPr>
        <w:t> </w:t>
      </w:r>
      <w:r>
        <w:rPr>
          <w:color w:val="231F20"/>
          <w:w w:val="105"/>
        </w:rPr>
        <w:t>contraddizione</w:t>
      </w:r>
      <w:r>
        <w:rPr>
          <w:color w:val="231F20"/>
          <w:spacing w:val="-25"/>
          <w:w w:val="105"/>
        </w:rPr>
        <w:t> </w:t>
      </w:r>
      <w:r>
        <w:rPr>
          <w:color w:val="231F20"/>
          <w:w w:val="105"/>
        </w:rPr>
        <w:t>restano</w:t>
      </w:r>
      <w:r>
        <w:rPr>
          <w:color w:val="231F20"/>
          <w:spacing w:val="-25"/>
          <w:w w:val="105"/>
        </w:rPr>
        <w:t> </w:t>
      </w:r>
      <w:r>
        <w:rPr>
          <w:color w:val="231F20"/>
          <w:w w:val="105"/>
        </w:rPr>
        <w:t>relazionati,</w:t>
      </w:r>
      <w:r>
        <w:rPr>
          <w:color w:val="231F20"/>
          <w:spacing w:val="-25"/>
          <w:w w:val="105"/>
        </w:rPr>
        <w:t> </w:t>
      </w:r>
      <w:r>
        <w:rPr>
          <w:color w:val="231F20"/>
          <w:w w:val="105"/>
        </w:rPr>
        <w:t>ma</w:t>
      </w:r>
      <w:r>
        <w:rPr>
          <w:color w:val="231F20"/>
          <w:spacing w:val="-25"/>
          <w:w w:val="105"/>
        </w:rPr>
        <w:t> </w:t>
      </w:r>
      <w:r>
        <w:rPr>
          <w:color w:val="231F20"/>
          <w:w w:val="105"/>
        </w:rPr>
        <w:t>non</w:t>
      </w:r>
      <w:r>
        <w:rPr>
          <w:color w:val="231F20"/>
          <w:spacing w:val="-25"/>
          <w:w w:val="105"/>
        </w:rPr>
        <w:t> </w:t>
      </w:r>
      <w:r>
        <w:rPr>
          <w:color w:val="231F20"/>
          <w:w w:val="105"/>
        </w:rPr>
        <w:t>sono</w:t>
      </w:r>
      <w:r>
        <w:rPr>
          <w:color w:val="231F20"/>
          <w:spacing w:val="-25"/>
          <w:w w:val="105"/>
        </w:rPr>
        <w:t> </w:t>
      </w:r>
      <w:r>
        <w:rPr>
          <w:color w:val="231F20"/>
          <w:w w:val="105"/>
        </w:rPr>
        <w:t>riducibili</w:t>
      </w:r>
      <w:r>
        <w:rPr>
          <w:color w:val="231F20"/>
          <w:spacing w:val="-25"/>
          <w:w w:val="105"/>
        </w:rPr>
        <w:t> </w:t>
      </w:r>
      <w:r>
        <w:rPr>
          <w:color w:val="231F20"/>
          <w:w w:val="105"/>
        </w:rPr>
        <w:t>tra</w:t>
      </w:r>
      <w:r>
        <w:rPr>
          <w:color w:val="231F20"/>
          <w:spacing w:val="-25"/>
          <w:w w:val="105"/>
        </w:rPr>
        <w:t> </w:t>
      </w:r>
      <w:r>
        <w:rPr>
          <w:color w:val="231F20"/>
          <w:w w:val="105"/>
        </w:rPr>
        <w:t>di</w:t>
      </w:r>
      <w:r>
        <w:rPr>
          <w:color w:val="231F20"/>
          <w:spacing w:val="-25"/>
          <w:w w:val="105"/>
        </w:rPr>
        <w:t> </w:t>
      </w:r>
      <w:r>
        <w:rPr>
          <w:color w:val="231F20"/>
          <w:w w:val="105"/>
        </w:rPr>
        <w:t>loro; rimangono</w:t>
      </w:r>
      <w:r>
        <w:rPr>
          <w:color w:val="231F20"/>
          <w:spacing w:val="-26"/>
          <w:w w:val="105"/>
        </w:rPr>
        <w:t> </w:t>
      </w:r>
      <w:r>
        <w:rPr>
          <w:color w:val="231F20"/>
          <w:w w:val="105"/>
        </w:rPr>
        <w:t>affermando</w:t>
      </w:r>
      <w:r>
        <w:rPr>
          <w:color w:val="231F20"/>
          <w:spacing w:val="-26"/>
          <w:w w:val="105"/>
        </w:rPr>
        <w:t> </w:t>
      </w:r>
      <w:r>
        <w:rPr>
          <w:color w:val="231F20"/>
          <w:w w:val="105"/>
        </w:rPr>
        <w:t>la</w:t>
      </w:r>
      <w:r>
        <w:rPr>
          <w:color w:val="231F20"/>
          <w:spacing w:val="-26"/>
          <w:w w:val="105"/>
        </w:rPr>
        <w:t> </w:t>
      </w:r>
      <w:r>
        <w:rPr>
          <w:color w:val="231F20"/>
          <w:w w:val="105"/>
        </w:rPr>
        <w:t>loro</w:t>
      </w:r>
      <w:r>
        <w:rPr>
          <w:color w:val="231F20"/>
          <w:spacing w:val="-26"/>
          <w:w w:val="105"/>
        </w:rPr>
        <w:t> </w:t>
      </w:r>
      <w:r>
        <w:rPr>
          <w:color w:val="231F20"/>
          <w:w w:val="105"/>
        </w:rPr>
        <w:t>differenza,</w:t>
      </w:r>
      <w:r>
        <w:rPr>
          <w:color w:val="231F20"/>
          <w:spacing w:val="-26"/>
          <w:w w:val="105"/>
        </w:rPr>
        <w:t> </w:t>
      </w:r>
      <w:r>
        <w:rPr>
          <w:color w:val="231F20"/>
          <w:w w:val="105"/>
        </w:rPr>
        <w:t>una</w:t>
      </w:r>
      <w:r>
        <w:rPr>
          <w:color w:val="231F20"/>
          <w:spacing w:val="-26"/>
          <w:w w:val="105"/>
        </w:rPr>
        <w:t> </w:t>
      </w:r>
      <w:r>
        <w:rPr>
          <w:color w:val="231F20"/>
          <w:w w:val="105"/>
        </w:rPr>
        <w:t>che</w:t>
      </w:r>
      <w:r>
        <w:rPr>
          <w:color w:val="231F20"/>
          <w:spacing w:val="-26"/>
          <w:w w:val="105"/>
        </w:rPr>
        <w:t> </w:t>
      </w:r>
      <w:r>
        <w:rPr>
          <w:color w:val="231F20"/>
          <w:w w:val="105"/>
        </w:rPr>
        <w:t>non</w:t>
      </w:r>
      <w:r>
        <w:rPr>
          <w:color w:val="231F20"/>
          <w:spacing w:val="-26"/>
          <w:w w:val="105"/>
        </w:rPr>
        <w:t> </w:t>
      </w:r>
      <w:r>
        <w:rPr>
          <w:color w:val="231F20"/>
          <w:w w:val="105"/>
        </w:rPr>
        <w:t>è</w:t>
      </w:r>
      <w:r>
        <w:rPr>
          <w:color w:val="231F20"/>
          <w:spacing w:val="-26"/>
          <w:w w:val="105"/>
        </w:rPr>
        <w:t> </w:t>
      </w:r>
      <w:r>
        <w:rPr>
          <w:color w:val="231F20"/>
          <w:w w:val="105"/>
        </w:rPr>
        <w:t>ne</w:t>
      </w:r>
      <w:r>
        <w:rPr>
          <w:color w:val="231F20"/>
          <w:spacing w:val="-26"/>
          <w:w w:val="105"/>
        </w:rPr>
        <w:t> </w:t>
      </w:r>
      <w:r>
        <w:rPr>
          <w:color w:val="231F20"/>
          <w:w w:val="105"/>
        </w:rPr>
        <w:t>sostanziale</w:t>
      </w:r>
      <w:r>
        <w:rPr>
          <w:color w:val="231F20"/>
          <w:spacing w:val="-26"/>
          <w:w w:val="105"/>
        </w:rPr>
        <w:t> </w:t>
      </w:r>
      <w:r>
        <w:rPr>
          <w:color w:val="231F20"/>
          <w:w w:val="105"/>
        </w:rPr>
        <w:t>ne </w:t>
      </w:r>
      <w:r>
        <w:rPr>
          <w:color w:val="231F20"/>
        </w:rPr>
        <w:t>permanente, ma sempre relazionale.</w:t>
      </w:r>
    </w:p>
    <w:p>
      <w:pPr>
        <w:pStyle w:val="BodyText"/>
        <w:spacing w:before="5"/>
        <w:rPr>
          <w:sz w:val="24"/>
        </w:rPr>
      </w:pPr>
    </w:p>
    <w:p>
      <w:pPr>
        <w:spacing w:before="1"/>
        <w:ind w:left="103" w:right="0" w:firstLine="0"/>
        <w:jc w:val="both"/>
        <w:rPr>
          <w:rFonts w:ascii="Arial"/>
          <w:i/>
          <w:sz w:val="21"/>
        </w:rPr>
      </w:pPr>
      <w:r>
        <w:rPr>
          <w:rFonts w:ascii="Arial"/>
          <w:i/>
          <w:color w:val="231F20"/>
          <w:w w:val="105"/>
          <w:sz w:val="21"/>
        </w:rPr>
        <w:t>Un mostro mite ed includente</w:t>
      </w:r>
    </w:p>
    <w:p>
      <w:pPr>
        <w:pStyle w:val="BodyText"/>
        <w:rPr>
          <w:rFonts w:ascii="Arial"/>
          <w:i/>
          <w:sz w:val="20"/>
        </w:rPr>
      </w:pPr>
    </w:p>
    <w:p>
      <w:pPr>
        <w:pStyle w:val="BodyText"/>
        <w:spacing w:line="247" w:lineRule="auto" w:before="172"/>
        <w:ind w:left="103" w:right="111"/>
        <w:jc w:val="both"/>
      </w:pPr>
      <w:r>
        <w:rPr>
          <w:color w:val="231F20"/>
        </w:rPr>
        <w:t>Il</w:t>
      </w:r>
      <w:r>
        <w:rPr>
          <w:color w:val="231F20"/>
          <w:spacing w:val="-7"/>
        </w:rPr>
        <w:t> </w:t>
      </w:r>
      <w:r>
        <w:rPr>
          <w:color w:val="231F20"/>
        </w:rPr>
        <w:t>carattere</w:t>
      </w:r>
      <w:r>
        <w:rPr>
          <w:color w:val="231F20"/>
          <w:spacing w:val="-7"/>
        </w:rPr>
        <w:t> </w:t>
      </w:r>
      <w:r>
        <w:rPr>
          <w:color w:val="231F20"/>
        </w:rPr>
        <w:t>autorigenerante</w:t>
      </w:r>
      <w:r>
        <w:rPr>
          <w:color w:val="231F20"/>
          <w:spacing w:val="-7"/>
        </w:rPr>
        <w:t> </w:t>
      </w:r>
      <w:r>
        <w:rPr>
          <w:color w:val="231F20"/>
        </w:rPr>
        <w:t>del</w:t>
      </w:r>
      <w:r>
        <w:rPr>
          <w:color w:val="231F20"/>
          <w:spacing w:val="-7"/>
        </w:rPr>
        <w:t> </w:t>
      </w:r>
      <w:r>
        <w:rPr>
          <w:color w:val="231F20"/>
        </w:rPr>
        <w:t>capitalismo</w:t>
      </w:r>
      <w:r>
        <w:rPr>
          <w:color w:val="231F20"/>
          <w:spacing w:val="-7"/>
        </w:rPr>
        <w:t> </w:t>
      </w:r>
      <w:r>
        <w:rPr>
          <w:color w:val="231F20"/>
        </w:rPr>
        <w:t>non</w:t>
      </w:r>
      <w:r>
        <w:rPr>
          <w:color w:val="231F20"/>
          <w:spacing w:val="-7"/>
        </w:rPr>
        <w:t> </w:t>
      </w:r>
      <w:r>
        <w:rPr>
          <w:color w:val="231F20"/>
        </w:rPr>
        <w:t>è</w:t>
      </w:r>
      <w:r>
        <w:rPr>
          <w:color w:val="231F20"/>
          <w:spacing w:val="-7"/>
        </w:rPr>
        <w:t> </w:t>
      </w:r>
      <w:r>
        <w:rPr>
          <w:color w:val="231F20"/>
        </w:rPr>
        <w:t>un</w:t>
      </w:r>
      <w:r>
        <w:rPr>
          <w:color w:val="231F20"/>
          <w:spacing w:val="-7"/>
        </w:rPr>
        <w:t> </w:t>
      </w:r>
      <w:r>
        <w:rPr>
          <w:color w:val="231F20"/>
        </w:rPr>
        <w:t>tema</w:t>
      </w:r>
      <w:r>
        <w:rPr>
          <w:color w:val="231F20"/>
          <w:spacing w:val="-7"/>
        </w:rPr>
        <w:t> </w:t>
      </w:r>
      <w:r>
        <w:rPr>
          <w:color w:val="231F20"/>
        </w:rPr>
        <w:t>nuovo,</w:t>
      </w:r>
      <w:r>
        <w:rPr>
          <w:color w:val="231F20"/>
          <w:spacing w:val="-7"/>
        </w:rPr>
        <w:t> </w:t>
      </w:r>
      <w:r>
        <w:rPr>
          <w:color w:val="231F20"/>
        </w:rPr>
        <w:t>già</w:t>
      </w:r>
      <w:r>
        <w:rPr>
          <w:color w:val="231F20"/>
          <w:spacing w:val="-7"/>
        </w:rPr>
        <w:t> </w:t>
      </w:r>
      <w:r>
        <w:rPr>
          <w:color w:val="231F20"/>
        </w:rPr>
        <w:t>Marx faceva enfasi sull’enorme capacità che questo ha non solo di rigenerarsi, ma anche di prendere nuovi impulsi dalle sue crisi. Questa sorprendente capacità di ristabilirsi, così come di sembrare amichevole e includente, è stata anche un tema centrale in alcuni lavori di Herbert Marcuse e di Pier Paolo Pasolini, in testi come </w:t>
      </w:r>
      <w:r>
        <w:rPr>
          <w:rFonts w:ascii="Arial" w:hAnsi="Arial"/>
          <w:i/>
          <w:color w:val="231F20"/>
          <w:spacing w:val="-4"/>
        </w:rPr>
        <w:t>L’uomo </w:t>
      </w:r>
      <w:r>
        <w:rPr>
          <w:rFonts w:ascii="Arial" w:hAnsi="Arial"/>
          <w:i/>
          <w:color w:val="231F20"/>
        </w:rPr>
        <w:t>ad una dimensione e Scritti corsari</w:t>
      </w:r>
      <w:r>
        <w:rPr>
          <w:rFonts w:ascii="Arial" w:hAnsi="Arial"/>
          <w:i/>
          <w:color w:val="231F20"/>
          <w:position w:val="7"/>
          <w:sz w:val="12"/>
        </w:rPr>
        <w:t>27</w:t>
      </w:r>
      <w:r>
        <w:rPr>
          <w:color w:val="231F20"/>
        </w:rPr>
        <w:t>, rispettivamente. Per il primo, ad esempio, restava chiaro che “La</w:t>
      </w:r>
      <w:r>
        <w:rPr>
          <w:color w:val="231F20"/>
          <w:spacing w:val="-37"/>
        </w:rPr>
        <w:t> </w:t>
      </w:r>
      <w:r>
        <w:rPr>
          <w:color w:val="231F20"/>
        </w:rPr>
        <w:t>conquista tecnologica e politica dei fattori trascendenti nell’esistenza umana, così </w:t>
      </w:r>
      <w:r>
        <w:rPr>
          <w:color w:val="231F20"/>
          <w:spacing w:val="-3"/>
        </w:rPr>
        <w:t>caratteristica</w:t>
      </w:r>
      <w:r>
        <w:rPr>
          <w:color w:val="231F20"/>
          <w:spacing w:val="-23"/>
        </w:rPr>
        <w:t> </w:t>
      </w:r>
      <w:r>
        <w:rPr>
          <w:color w:val="231F20"/>
          <w:spacing w:val="-3"/>
        </w:rPr>
        <w:t>della</w:t>
      </w:r>
      <w:r>
        <w:rPr>
          <w:color w:val="231F20"/>
          <w:spacing w:val="-23"/>
        </w:rPr>
        <w:t> </w:t>
      </w:r>
      <w:r>
        <w:rPr>
          <w:color w:val="231F20"/>
          <w:spacing w:val="-3"/>
        </w:rPr>
        <w:t>civiltà</w:t>
      </w:r>
      <w:r>
        <w:rPr>
          <w:color w:val="231F20"/>
          <w:spacing w:val="-23"/>
        </w:rPr>
        <w:t> </w:t>
      </w:r>
      <w:r>
        <w:rPr>
          <w:color w:val="231F20"/>
          <w:spacing w:val="-3"/>
        </w:rPr>
        <w:t>industriale</w:t>
      </w:r>
      <w:r>
        <w:rPr>
          <w:color w:val="231F20"/>
          <w:spacing w:val="-23"/>
        </w:rPr>
        <w:t> </w:t>
      </w:r>
      <w:r>
        <w:rPr>
          <w:color w:val="231F20"/>
          <w:spacing w:val="-3"/>
        </w:rPr>
        <w:t>avanzata,</w:t>
      </w:r>
      <w:r>
        <w:rPr>
          <w:color w:val="231F20"/>
          <w:spacing w:val="-23"/>
        </w:rPr>
        <w:t> </w:t>
      </w:r>
      <w:r>
        <w:rPr>
          <w:color w:val="231F20"/>
        </w:rPr>
        <w:t>si</w:t>
      </w:r>
      <w:r>
        <w:rPr>
          <w:color w:val="231F20"/>
          <w:spacing w:val="-23"/>
        </w:rPr>
        <w:t> </w:t>
      </w:r>
      <w:r>
        <w:rPr>
          <w:color w:val="231F20"/>
          <w:spacing w:val="-3"/>
        </w:rPr>
        <w:t>sottolinea</w:t>
      </w:r>
      <w:r>
        <w:rPr>
          <w:color w:val="231F20"/>
          <w:spacing w:val="-23"/>
        </w:rPr>
        <w:t> </w:t>
      </w:r>
      <w:r>
        <w:rPr>
          <w:color w:val="231F20"/>
          <w:spacing w:val="-3"/>
        </w:rPr>
        <w:t>nella</w:t>
      </w:r>
      <w:r>
        <w:rPr>
          <w:color w:val="231F20"/>
          <w:spacing w:val="-23"/>
        </w:rPr>
        <w:t> </w:t>
      </w:r>
      <w:r>
        <w:rPr>
          <w:color w:val="231F20"/>
          <w:spacing w:val="-3"/>
        </w:rPr>
        <w:t>sfera</w:t>
      </w:r>
      <w:r>
        <w:rPr>
          <w:color w:val="231F20"/>
          <w:spacing w:val="-23"/>
        </w:rPr>
        <w:t> </w:t>
      </w:r>
      <w:r>
        <w:rPr>
          <w:color w:val="231F20"/>
          <w:spacing w:val="-3"/>
        </w:rPr>
        <w:t>istintiva, </w:t>
      </w:r>
      <w:r>
        <w:rPr>
          <w:color w:val="231F20"/>
        </w:rPr>
        <w:t>come</w:t>
      </w:r>
      <w:r>
        <w:rPr>
          <w:color w:val="231F20"/>
          <w:spacing w:val="44"/>
        </w:rPr>
        <w:t> </w:t>
      </w:r>
      <w:r>
        <w:rPr>
          <w:color w:val="231F20"/>
        </w:rPr>
        <w:t>soddisfazione</w:t>
      </w:r>
      <w:r>
        <w:rPr>
          <w:color w:val="231F20"/>
          <w:spacing w:val="44"/>
        </w:rPr>
        <w:t> </w:t>
      </w:r>
      <w:r>
        <w:rPr>
          <w:color w:val="231F20"/>
        </w:rPr>
        <w:t>raggiunta</w:t>
      </w:r>
      <w:r>
        <w:rPr>
          <w:color w:val="231F20"/>
          <w:spacing w:val="44"/>
        </w:rPr>
        <w:t> </w:t>
      </w:r>
      <w:r>
        <w:rPr>
          <w:color w:val="231F20"/>
        </w:rPr>
        <w:t>in</w:t>
      </w:r>
      <w:r>
        <w:rPr>
          <w:color w:val="231F20"/>
          <w:spacing w:val="44"/>
        </w:rPr>
        <w:t> </w:t>
      </w:r>
      <w:r>
        <w:rPr>
          <w:color w:val="231F20"/>
        </w:rPr>
        <w:t>un</w:t>
      </w:r>
      <w:r>
        <w:rPr>
          <w:color w:val="231F20"/>
          <w:spacing w:val="44"/>
        </w:rPr>
        <w:t> </w:t>
      </w:r>
      <w:r>
        <w:rPr>
          <w:color w:val="231F20"/>
        </w:rPr>
        <w:t>modo</w:t>
      </w:r>
      <w:r>
        <w:rPr>
          <w:color w:val="231F20"/>
          <w:spacing w:val="44"/>
        </w:rPr>
        <w:t> </w:t>
      </w:r>
      <w:r>
        <w:rPr>
          <w:color w:val="231F20"/>
        </w:rPr>
        <w:t>che</w:t>
      </w:r>
      <w:r>
        <w:rPr>
          <w:color w:val="231F20"/>
          <w:spacing w:val="44"/>
        </w:rPr>
        <w:t> </w:t>
      </w:r>
      <w:r>
        <w:rPr>
          <w:color w:val="231F20"/>
        </w:rPr>
        <w:t>genera</w:t>
      </w:r>
      <w:r>
        <w:rPr>
          <w:color w:val="231F20"/>
          <w:spacing w:val="44"/>
        </w:rPr>
        <w:t> </w:t>
      </w:r>
      <w:r>
        <w:rPr>
          <w:color w:val="231F20"/>
        </w:rPr>
        <w:t>sottomissione</w:t>
      </w:r>
      <w:r>
        <w:rPr>
          <w:color w:val="231F20"/>
          <w:spacing w:val="44"/>
        </w:rPr>
        <w:t> </w:t>
      </w:r>
      <w:r>
        <w:rPr>
          <w:color w:val="231F20"/>
        </w:rPr>
        <w:t>e</w:t>
      </w:r>
    </w:p>
    <w:p>
      <w:pPr>
        <w:pStyle w:val="BodyText"/>
        <w:spacing w:before="2"/>
        <w:rPr>
          <w:sz w:val="25"/>
        </w:rPr>
      </w:pPr>
      <w:r>
        <w:rPr/>
        <w:pict>
          <v:line style="position:absolute;mso-position-horizontal-relative:page;mso-position-vertical-relative:paragraph;z-index:11536;mso-wrap-distance-left:0;mso-wrap-distance-right:0" from="65.1968pt,17.291183pt" to="178.5828pt,17.291183pt" stroked="true" strokeweight=".3pt" strokecolor="#231f20">
            <w10:wrap type="topAndBottom"/>
          </v:line>
        </w:pict>
      </w:r>
    </w:p>
    <w:p>
      <w:pPr>
        <w:spacing w:line="206" w:lineRule="exact" w:before="10"/>
        <w:ind w:left="103" w:right="0" w:firstLine="0"/>
        <w:jc w:val="left"/>
        <w:rPr>
          <w:rFonts w:ascii="Calibri"/>
          <w:i/>
          <w:sz w:val="17"/>
        </w:rPr>
      </w:pPr>
      <w:r>
        <w:rPr>
          <w:rFonts w:ascii="Calibri"/>
          <w:color w:val="231F20"/>
          <w:position w:val="6"/>
          <w:sz w:val="10"/>
        </w:rPr>
        <w:t>26  </w:t>
      </w:r>
      <w:r>
        <w:rPr>
          <w:rFonts w:ascii="Calibri"/>
          <w:i/>
          <w:color w:val="231F20"/>
          <w:sz w:val="17"/>
        </w:rPr>
        <w:t>Cfr</w:t>
      </w:r>
      <w:r>
        <w:rPr>
          <w:rFonts w:ascii="Calibri"/>
          <w:color w:val="231F20"/>
          <w:sz w:val="17"/>
        </w:rPr>
        <w:t>. Marramao, </w:t>
      </w:r>
      <w:r>
        <w:rPr>
          <w:rFonts w:ascii="Calibri"/>
          <w:i/>
          <w:color w:val="231F20"/>
          <w:sz w:val="17"/>
        </w:rPr>
        <w:t>Pasaje a Occidente.</w:t>
      </w:r>
    </w:p>
    <w:p>
      <w:pPr>
        <w:spacing w:line="206" w:lineRule="exact" w:before="0"/>
        <w:ind w:left="103" w:right="0" w:firstLine="0"/>
        <w:jc w:val="left"/>
        <w:rPr>
          <w:rFonts w:ascii="Calibri" w:hAnsi="Calibri"/>
          <w:sz w:val="17"/>
        </w:rPr>
      </w:pPr>
      <w:r>
        <w:rPr>
          <w:rFonts w:ascii="Calibri" w:hAnsi="Calibri"/>
          <w:color w:val="231F20"/>
          <w:position w:val="6"/>
          <w:sz w:val="10"/>
        </w:rPr>
        <w:t>27  </w:t>
      </w:r>
      <w:r>
        <w:rPr>
          <w:rFonts w:ascii="Calibri" w:hAnsi="Calibri"/>
          <w:color w:val="231F20"/>
          <w:sz w:val="17"/>
        </w:rPr>
        <w:t>P. P. Pasolini, </w:t>
      </w:r>
      <w:r>
        <w:rPr>
          <w:rFonts w:ascii="Calibri" w:hAnsi="Calibri"/>
          <w:i/>
          <w:color w:val="231F20"/>
          <w:sz w:val="17"/>
        </w:rPr>
        <w:t>Escritos corsarios, </w:t>
      </w:r>
      <w:r>
        <w:rPr>
          <w:rFonts w:ascii="Calibri" w:hAnsi="Calibri"/>
          <w:color w:val="231F20"/>
          <w:sz w:val="17"/>
        </w:rPr>
        <w:t>Madrid, Ediciones del Oriente y del Mediterráneo, 2009.</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3840"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72</w:t>
        <w:tab/>
      </w:r>
      <w:r>
        <w:rPr>
          <w:rFonts w:ascii="Calibri" w:hAnsi="Calibri"/>
          <w:color w:val="6D6E71"/>
          <w:w w:val="105"/>
          <w:sz w:val="16"/>
        </w:rPr>
        <w:t>María</w:t>
      </w:r>
      <w:r>
        <w:rPr>
          <w:rFonts w:ascii="Calibri" w:hAnsi="Calibri"/>
          <w:color w:val="6D6E71"/>
          <w:spacing w:val="-19"/>
          <w:w w:val="105"/>
          <w:sz w:val="16"/>
        </w:rPr>
        <w:t> </w:t>
      </w:r>
      <w:r>
        <w:rPr>
          <w:rFonts w:ascii="Calibri" w:hAnsi="Calibri"/>
          <w:color w:val="6D6E71"/>
          <w:w w:val="105"/>
          <w:sz w:val="16"/>
        </w:rPr>
        <w:t>Luisa</w:t>
      </w:r>
      <w:r>
        <w:rPr>
          <w:rFonts w:ascii="Calibri" w:hAnsi="Calibri"/>
          <w:color w:val="6D6E71"/>
          <w:spacing w:val="-19"/>
          <w:w w:val="105"/>
          <w:sz w:val="16"/>
        </w:rPr>
        <w:t> </w:t>
      </w:r>
      <w:r>
        <w:rPr>
          <w:rFonts w:ascii="Calibri" w:hAnsi="Calibri"/>
          <w:color w:val="6D6E71"/>
          <w:w w:val="105"/>
          <w:sz w:val="16"/>
        </w:rPr>
        <w:t>Bacarlett</w:t>
      </w:r>
      <w:r>
        <w:rPr>
          <w:rFonts w:ascii="Calibri" w:hAnsi="Calibri"/>
          <w:color w:val="6D6E71"/>
          <w:spacing w:val="-19"/>
          <w:w w:val="105"/>
          <w:sz w:val="16"/>
        </w:rPr>
        <w:t> </w:t>
      </w:r>
      <w:r>
        <w:rPr>
          <w:rFonts w:ascii="Calibri" w:hAnsi="Calibri"/>
          <w:color w:val="6D6E71"/>
          <w:w w:val="105"/>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717" w:right="0" w:firstLine="0"/>
        <w:jc w:val="left"/>
        <w:rPr>
          <w:rFonts w:ascii="Trebuchet MS"/>
          <w:sz w:val="20"/>
        </w:rPr>
      </w:pPr>
      <w:r>
        <w:rPr/>
        <w:pict>
          <v:group style="position:absolute;margin-left:383.821014pt;margin-top:-25.479271pt;width:8.65pt;height:41pt;mso-position-horizontal-relative:page;mso-position-vertical-relative:paragraph;z-index:-16379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color w:val="6D6E71"/>
          <w:w w:val="95"/>
          <w:sz w:val="14"/>
        </w:rPr>
        <w:t>NATURALIZZARE</w:t>
      </w:r>
      <w:r>
        <w:rPr>
          <w:rFonts w:ascii="Lucida Sans Unicode"/>
          <w:color w:val="6D6E71"/>
          <w:spacing w:val="-18"/>
          <w:w w:val="95"/>
          <w:sz w:val="14"/>
        </w:rPr>
        <w:t> </w:t>
      </w:r>
      <w:r>
        <w:rPr>
          <w:rFonts w:ascii="Lucida Sans Unicode"/>
          <w:color w:val="6D6E71"/>
          <w:w w:val="95"/>
          <w:sz w:val="14"/>
        </w:rPr>
        <w:t>I</w:t>
      </w:r>
      <w:r>
        <w:rPr>
          <w:rFonts w:ascii="Lucida Sans Unicode"/>
          <w:color w:val="6D6E71"/>
          <w:spacing w:val="-18"/>
          <w:w w:val="95"/>
          <w:sz w:val="14"/>
        </w:rPr>
        <w:t> </w:t>
      </w:r>
      <w:r>
        <w:rPr>
          <w:rFonts w:ascii="Lucida Sans Unicode"/>
          <w:color w:val="6D6E71"/>
          <w:w w:val="95"/>
          <w:sz w:val="14"/>
        </w:rPr>
        <w:t>PARADOSSI:</w:t>
      </w:r>
      <w:r>
        <w:rPr>
          <w:rFonts w:ascii="Lucida Sans Unicode"/>
          <w:color w:val="6D6E71"/>
          <w:spacing w:val="-18"/>
          <w:w w:val="95"/>
          <w:sz w:val="14"/>
        </w:rPr>
        <w:t> </w:t>
      </w:r>
      <w:r>
        <w:rPr>
          <w:rFonts w:ascii="Lucida Sans Unicode"/>
          <w:color w:val="6D6E71"/>
          <w:w w:val="95"/>
          <w:sz w:val="14"/>
        </w:rPr>
        <w:t>UN</w:t>
      </w:r>
      <w:r>
        <w:rPr>
          <w:rFonts w:ascii="Lucida Sans Unicode"/>
          <w:color w:val="6D6E71"/>
          <w:spacing w:val="-18"/>
          <w:w w:val="95"/>
          <w:sz w:val="14"/>
        </w:rPr>
        <w:t> </w:t>
      </w:r>
      <w:r>
        <w:rPr>
          <w:rFonts w:ascii="Lucida Sans Unicode"/>
          <w:color w:val="6D6E71"/>
          <w:w w:val="95"/>
          <w:sz w:val="14"/>
        </w:rPr>
        <w:t>APPROCCIO</w:t>
      </w:r>
      <w:r>
        <w:rPr>
          <w:rFonts w:ascii="Lucida Sans Unicode"/>
          <w:color w:val="6D6E71"/>
          <w:spacing w:val="-18"/>
          <w:w w:val="95"/>
          <w:sz w:val="14"/>
        </w:rPr>
        <w:t> </w:t>
      </w:r>
      <w:r>
        <w:rPr>
          <w:rFonts w:ascii="Lucida Sans Unicode"/>
          <w:color w:val="6D6E71"/>
          <w:w w:val="95"/>
          <w:sz w:val="14"/>
        </w:rPr>
        <w:t>ALLA</w:t>
      </w:r>
      <w:r>
        <w:rPr>
          <w:rFonts w:ascii="Lucida Sans Unicode"/>
          <w:color w:val="6D6E71"/>
          <w:spacing w:val="-18"/>
          <w:w w:val="95"/>
          <w:sz w:val="14"/>
        </w:rPr>
        <w:t> </w:t>
      </w:r>
      <w:r>
        <w:rPr>
          <w:rFonts w:ascii="Lucida Sans Unicode"/>
          <w:color w:val="6D6E71"/>
          <w:w w:val="95"/>
          <w:sz w:val="14"/>
        </w:rPr>
        <w:t>GLOBALIZZAZIONE</w:t>
      </w:r>
      <w:r>
        <w:rPr>
          <w:rFonts w:ascii="Lucida Sans Unicode"/>
          <w:color w:val="6D6E71"/>
          <w:spacing w:val="-18"/>
          <w:w w:val="95"/>
          <w:sz w:val="14"/>
        </w:rPr>
        <w:t> </w:t>
      </w:r>
      <w:r>
        <w:rPr>
          <w:rFonts w:ascii="Lucida Sans Unicode"/>
          <w:color w:val="6D6E71"/>
          <w:w w:val="95"/>
          <w:sz w:val="14"/>
        </w:rPr>
        <w:t>DA</w:t>
      </w:r>
      <w:r>
        <w:rPr>
          <w:rFonts w:ascii="Lucida Sans Unicode"/>
          <w:color w:val="6D6E71"/>
          <w:spacing w:val="-18"/>
          <w:w w:val="95"/>
          <w:sz w:val="14"/>
        </w:rPr>
        <w:t> </w:t>
      </w:r>
      <w:r>
        <w:rPr>
          <w:rFonts w:ascii="Lucida Sans Unicode"/>
          <w:color w:val="6D6E71"/>
          <w:w w:val="95"/>
          <w:sz w:val="14"/>
        </w:rPr>
        <w:t>GILLES</w:t>
      </w:r>
      <w:r>
        <w:rPr>
          <w:rFonts w:ascii="Lucida Sans Unicode"/>
          <w:color w:val="6D6E71"/>
          <w:spacing w:val="-18"/>
          <w:w w:val="95"/>
          <w:sz w:val="14"/>
        </w:rPr>
        <w:t> </w:t>
      </w:r>
      <w:r>
        <w:rPr>
          <w:rFonts w:ascii="Lucida Sans Unicode"/>
          <w:color w:val="6D6E71"/>
          <w:w w:val="95"/>
          <w:sz w:val="14"/>
        </w:rPr>
        <w:t>DELEUZE</w:t>
      </w:r>
      <w:r>
        <w:rPr>
          <w:rFonts w:ascii="Trebuchet MS"/>
          <w:color w:val="414042"/>
          <w:w w:val="95"/>
          <w:position w:val="-3"/>
          <w:sz w:val="20"/>
        </w:rPr>
        <w:tab/>
        <w:t>73</w:t>
      </w:r>
    </w:p>
    <w:p>
      <w:pPr>
        <w:pStyle w:val="BodyText"/>
        <w:rPr>
          <w:rFonts w:ascii="Trebuchet MS"/>
          <w:sz w:val="20"/>
        </w:rPr>
      </w:pPr>
    </w:p>
    <w:p>
      <w:pPr>
        <w:pStyle w:val="BodyText"/>
        <w:rPr>
          <w:rFonts w:ascii="Trebuchet MS"/>
          <w:sz w:val="20"/>
        </w:rPr>
      </w:pPr>
    </w:p>
    <w:p>
      <w:pPr>
        <w:pStyle w:val="BodyText"/>
        <w:spacing w:line="247" w:lineRule="auto" w:before="156"/>
        <w:ind w:left="117" w:right="118"/>
        <w:jc w:val="both"/>
      </w:pPr>
      <w:r>
        <w:rPr>
          <w:color w:val="231F20"/>
        </w:rPr>
        <w:t>indebolisce la razionalità della protesta. […] Il piacere, adattato in questo modo, genera sottomissione”</w:t>
      </w:r>
      <w:r>
        <w:rPr>
          <w:color w:val="231F20"/>
          <w:position w:val="7"/>
          <w:sz w:val="12"/>
        </w:rPr>
        <w:t>28</w:t>
      </w:r>
      <w:r>
        <w:rPr>
          <w:color w:val="231F20"/>
        </w:rPr>
        <w:t>. Il grande paradosso della felicità nei nostri tempi</w:t>
      </w:r>
      <w:r>
        <w:rPr>
          <w:color w:val="231F20"/>
          <w:spacing w:val="-24"/>
        </w:rPr>
        <w:t> </w:t>
      </w:r>
      <w:r>
        <w:rPr>
          <w:color w:val="231F20"/>
        </w:rPr>
        <w:t>è,</w:t>
      </w:r>
      <w:r>
        <w:rPr>
          <w:color w:val="231F20"/>
          <w:spacing w:val="-24"/>
        </w:rPr>
        <w:t> </w:t>
      </w:r>
      <w:r>
        <w:rPr>
          <w:color w:val="231F20"/>
        </w:rPr>
        <w:t>come</w:t>
      </w:r>
      <w:r>
        <w:rPr>
          <w:color w:val="231F20"/>
          <w:spacing w:val="-24"/>
        </w:rPr>
        <w:t> </w:t>
      </w:r>
      <w:r>
        <w:rPr>
          <w:color w:val="231F20"/>
          <w:spacing w:val="-3"/>
        </w:rPr>
        <w:t>afferma</w:t>
      </w:r>
      <w:r>
        <w:rPr>
          <w:color w:val="231F20"/>
          <w:spacing w:val="-24"/>
        </w:rPr>
        <w:t> </w:t>
      </w:r>
      <w:r>
        <w:rPr>
          <w:color w:val="231F20"/>
        </w:rPr>
        <w:t>Alain</w:t>
      </w:r>
      <w:r>
        <w:rPr>
          <w:color w:val="231F20"/>
          <w:spacing w:val="-24"/>
        </w:rPr>
        <w:t> </w:t>
      </w:r>
      <w:r>
        <w:rPr>
          <w:color w:val="231F20"/>
        </w:rPr>
        <w:t>Badiou</w:t>
      </w:r>
      <w:r>
        <w:rPr>
          <w:color w:val="231F20"/>
          <w:position w:val="7"/>
          <w:sz w:val="12"/>
        </w:rPr>
        <w:t>29</w:t>
      </w:r>
      <w:r>
        <w:rPr>
          <w:color w:val="231F20"/>
        </w:rPr>
        <w:t>,</w:t>
      </w:r>
      <w:r>
        <w:rPr>
          <w:color w:val="231F20"/>
          <w:spacing w:val="-24"/>
        </w:rPr>
        <w:t> </w:t>
      </w:r>
      <w:r>
        <w:rPr>
          <w:color w:val="231F20"/>
        </w:rPr>
        <w:t>che</w:t>
      </w:r>
      <w:r>
        <w:rPr>
          <w:color w:val="231F20"/>
          <w:spacing w:val="-24"/>
        </w:rPr>
        <w:t> </w:t>
      </w:r>
      <w:r>
        <w:rPr>
          <w:color w:val="231F20"/>
        </w:rPr>
        <w:t>essa</w:t>
      </w:r>
      <w:r>
        <w:rPr>
          <w:color w:val="231F20"/>
          <w:spacing w:val="-24"/>
        </w:rPr>
        <w:t> </w:t>
      </w:r>
      <w:r>
        <w:rPr>
          <w:color w:val="231F20"/>
        </w:rPr>
        <w:t>si</w:t>
      </w:r>
      <w:r>
        <w:rPr>
          <w:color w:val="231F20"/>
          <w:spacing w:val="-25"/>
        </w:rPr>
        <w:t> </w:t>
      </w:r>
      <w:r>
        <w:rPr>
          <w:color w:val="231F20"/>
        </w:rPr>
        <w:t>è</w:t>
      </w:r>
      <w:r>
        <w:rPr>
          <w:color w:val="231F20"/>
          <w:spacing w:val="-24"/>
        </w:rPr>
        <w:t> </w:t>
      </w:r>
      <w:r>
        <w:rPr>
          <w:color w:val="231F20"/>
        </w:rPr>
        <w:t>ridotta</w:t>
      </w:r>
      <w:r>
        <w:rPr>
          <w:color w:val="231F20"/>
          <w:spacing w:val="-24"/>
        </w:rPr>
        <w:t> </w:t>
      </w:r>
      <w:r>
        <w:rPr>
          <w:color w:val="231F20"/>
        </w:rPr>
        <w:t>alla</w:t>
      </w:r>
      <w:r>
        <w:rPr>
          <w:color w:val="231F20"/>
          <w:spacing w:val="-24"/>
        </w:rPr>
        <w:t> </w:t>
      </w:r>
      <w:r>
        <w:rPr>
          <w:color w:val="231F20"/>
        </w:rPr>
        <w:t>soddisfazione; essere felice è soddisfare tutte quelle necessità che la logica di consumo ha creato e che sono, per questo, interminabili. Il capitalismo globale ha saputo vendere una forma di sottomissione che si accetta in modo non solo succube, ma anche gioioso. Raffaele Simone trova anche in Alexis de Tocqueville, contemporaneo di Marx, un’altro esempio di pensatore quasi visionario</w:t>
      </w:r>
      <w:r>
        <w:rPr>
          <w:color w:val="231F20"/>
          <w:spacing w:val="-12"/>
        </w:rPr>
        <w:t> </w:t>
      </w:r>
      <w:r>
        <w:rPr>
          <w:color w:val="231F20"/>
        </w:rPr>
        <w:t>che</w:t>
      </w:r>
      <w:r>
        <w:rPr>
          <w:color w:val="231F20"/>
          <w:spacing w:val="-12"/>
        </w:rPr>
        <w:t> </w:t>
      </w:r>
      <w:r>
        <w:rPr>
          <w:color w:val="231F20"/>
        </w:rPr>
        <w:t>seppe</w:t>
      </w:r>
      <w:r>
        <w:rPr>
          <w:color w:val="231F20"/>
          <w:spacing w:val="-12"/>
        </w:rPr>
        <w:t> </w:t>
      </w:r>
      <w:r>
        <w:rPr>
          <w:color w:val="231F20"/>
        </w:rPr>
        <w:t>intravedere</w:t>
      </w:r>
      <w:r>
        <w:rPr>
          <w:color w:val="231F20"/>
          <w:spacing w:val="-12"/>
        </w:rPr>
        <w:t> </w:t>
      </w:r>
      <w:r>
        <w:rPr>
          <w:color w:val="231F20"/>
        </w:rPr>
        <w:t>l’arrivo</w:t>
      </w:r>
      <w:r>
        <w:rPr>
          <w:color w:val="231F20"/>
          <w:spacing w:val="-12"/>
        </w:rPr>
        <w:t> </w:t>
      </w:r>
      <w:r>
        <w:rPr>
          <w:color w:val="231F20"/>
        </w:rPr>
        <w:t>di</w:t>
      </w:r>
      <w:r>
        <w:rPr>
          <w:color w:val="231F20"/>
          <w:spacing w:val="-12"/>
        </w:rPr>
        <w:t> </w:t>
      </w:r>
      <w:r>
        <w:rPr>
          <w:color w:val="231F20"/>
        </w:rPr>
        <w:t>un</w:t>
      </w:r>
      <w:r>
        <w:rPr>
          <w:color w:val="231F20"/>
          <w:spacing w:val="-12"/>
        </w:rPr>
        <w:t> </w:t>
      </w:r>
      <w:r>
        <w:rPr>
          <w:color w:val="231F20"/>
        </w:rPr>
        <w:t>nuovo</w:t>
      </w:r>
      <w:r>
        <w:rPr>
          <w:color w:val="231F20"/>
          <w:spacing w:val="-12"/>
        </w:rPr>
        <w:t> </w:t>
      </w:r>
      <w:r>
        <w:rPr>
          <w:color w:val="231F20"/>
        </w:rPr>
        <w:t>sovrano</w:t>
      </w:r>
      <w:r>
        <w:rPr>
          <w:color w:val="231F20"/>
          <w:spacing w:val="-12"/>
        </w:rPr>
        <w:t> </w:t>
      </w:r>
      <w:r>
        <w:rPr>
          <w:color w:val="231F20"/>
        </w:rPr>
        <w:t>che</w:t>
      </w:r>
      <w:r>
        <w:rPr>
          <w:color w:val="231F20"/>
          <w:spacing w:val="-12"/>
        </w:rPr>
        <w:t> </w:t>
      </w:r>
      <w:r>
        <w:rPr>
          <w:color w:val="231F20"/>
        </w:rPr>
        <w:t>esercitava il potere in maniera despotica e totale, ma che invece di causare rivolte e proteste,</w:t>
      </w:r>
      <w:r>
        <w:rPr>
          <w:color w:val="231F20"/>
          <w:spacing w:val="-10"/>
        </w:rPr>
        <w:t> </w:t>
      </w:r>
      <w:r>
        <w:rPr>
          <w:color w:val="231F20"/>
        </w:rPr>
        <w:t>sarebbe</w:t>
      </w:r>
      <w:r>
        <w:rPr>
          <w:color w:val="231F20"/>
          <w:spacing w:val="-10"/>
        </w:rPr>
        <w:t> </w:t>
      </w:r>
      <w:r>
        <w:rPr>
          <w:color w:val="231F20"/>
        </w:rPr>
        <w:t>stato</w:t>
      </w:r>
      <w:r>
        <w:rPr>
          <w:color w:val="231F20"/>
          <w:spacing w:val="-10"/>
        </w:rPr>
        <w:t> </w:t>
      </w:r>
      <w:r>
        <w:rPr>
          <w:color w:val="231F20"/>
        </w:rPr>
        <w:t>ricevuto</w:t>
      </w:r>
      <w:r>
        <w:rPr>
          <w:color w:val="231F20"/>
          <w:spacing w:val="-10"/>
        </w:rPr>
        <w:t> </w:t>
      </w:r>
      <w:r>
        <w:rPr>
          <w:color w:val="231F20"/>
        </w:rPr>
        <w:t>con</w:t>
      </w:r>
      <w:r>
        <w:rPr>
          <w:color w:val="231F20"/>
          <w:spacing w:val="-10"/>
        </w:rPr>
        <w:t> </w:t>
      </w:r>
      <w:r>
        <w:rPr>
          <w:color w:val="231F20"/>
        </w:rPr>
        <w:t>beneplacito,</w:t>
      </w:r>
      <w:r>
        <w:rPr>
          <w:color w:val="231F20"/>
          <w:spacing w:val="-10"/>
        </w:rPr>
        <w:t> </w:t>
      </w:r>
      <w:r>
        <w:rPr>
          <w:color w:val="231F20"/>
        </w:rPr>
        <w:t>si</w:t>
      </w:r>
      <w:r>
        <w:rPr>
          <w:color w:val="231F20"/>
          <w:spacing w:val="-10"/>
        </w:rPr>
        <w:t> </w:t>
      </w:r>
      <w:r>
        <w:rPr>
          <w:color w:val="231F20"/>
        </w:rPr>
        <w:t>sarebbe</w:t>
      </w:r>
      <w:r>
        <w:rPr>
          <w:color w:val="231F20"/>
          <w:spacing w:val="-10"/>
        </w:rPr>
        <w:t> </w:t>
      </w:r>
      <w:r>
        <w:rPr>
          <w:color w:val="231F20"/>
        </w:rPr>
        <w:t>trattato,</w:t>
      </w:r>
      <w:r>
        <w:rPr>
          <w:color w:val="231F20"/>
          <w:spacing w:val="-10"/>
        </w:rPr>
        <w:t> </w:t>
      </w:r>
      <w:r>
        <w:rPr>
          <w:color w:val="231F20"/>
        </w:rPr>
        <w:t>allora, di un potere che avrebbe degradato gli uomini senza</w:t>
      </w:r>
      <w:r>
        <w:rPr>
          <w:color w:val="231F20"/>
          <w:spacing w:val="37"/>
        </w:rPr>
        <w:t> </w:t>
      </w:r>
      <w:r>
        <w:rPr>
          <w:color w:val="231F20"/>
        </w:rPr>
        <w:t>tormentarli.</w:t>
      </w:r>
    </w:p>
    <w:p>
      <w:pPr>
        <w:pStyle w:val="BodyText"/>
        <w:spacing w:before="10"/>
        <w:rPr>
          <w:sz w:val="22"/>
        </w:rPr>
      </w:pPr>
    </w:p>
    <w:p>
      <w:pPr>
        <w:spacing w:line="220" w:lineRule="exact" w:before="1"/>
        <w:ind w:left="1534" w:right="120" w:firstLine="0"/>
        <w:jc w:val="both"/>
        <w:rPr>
          <w:sz w:val="19"/>
        </w:rPr>
      </w:pPr>
      <w:r>
        <w:rPr>
          <w:color w:val="231F20"/>
          <w:sz w:val="19"/>
        </w:rPr>
        <w:t>[…] il regime abbozzato in modo allarmante da Tocqueville si è </w:t>
      </w:r>
      <w:r>
        <w:rPr>
          <w:color w:val="231F20"/>
          <w:spacing w:val="2"/>
          <w:sz w:val="19"/>
        </w:rPr>
        <w:t>materializzato pienamente oggigiorno, </w:t>
      </w:r>
      <w:r>
        <w:rPr>
          <w:color w:val="231F20"/>
          <w:sz w:val="19"/>
        </w:rPr>
        <w:t>ma con una </w:t>
      </w:r>
      <w:r>
        <w:rPr>
          <w:color w:val="231F20"/>
          <w:spacing w:val="2"/>
          <w:sz w:val="19"/>
        </w:rPr>
        <w:t>differenza </w:t>
      </w:r>
      <w:r>
        <w:rPr>
          <w:color w:val="231F20"/>
          <w:sz w:val="19"/>
        </w:rPr>
        <w:t>rispetto alla previsione: il posto del “sovrano assoluto” non lo occupa</w:t>
      </w:r>
      <w:r>
        <w:rPr>
          <w:color w:val="231F20"/>
          <w:spacing w:val="-27"/>
          <w:sz w:val="19"/>
        </w:rPr>
        <w:t> </w:t>
      </w:r>
      <w:r>
        <w:rPr>
          <w:color w:val="231F20"/>
          <w:sz w:val="19"/>
        </w:rPr>
        <w:t>il</w:t>
      </w:r>
      <w:r>
        <w:rPr>
          <w:color w:val="231F20"/>
          <w:spacing w:val="-27"/>
          <w:sz w:val="19"/>
        </w:rPr>
        <w:t> </w:t>
      </w:r>
      <w:r>
        <w:rPr>
          <w:color w:val="231F20"/>
          <w:spacing w:val="-3"/>
          <w:sz w:val="19"/>
        </w:rPr>
        <w:t>re</w:t>
      </w:r>
      <w:r>
        <w:rPr>
          <w:color w:val="231F20"/>
          <w:spacing w:val="-27"/>
          <w:sz w:val="19"/>
        </w:rPr>
        <w:t> </w:t>
      </w:r>
      <w:r>
        <w:rPr>
          <w:color w:val="231F20"/>
          <w:sz w:val="19"/>
        </w:rPr>
        <w:t>(come</w:t>
      </w:r>
      <w:r>
        <w:rPr>
          <w:color w:val="231F20"/>
          <w:spacing w:val="-27"/>
          <w:sz w:val="19"/>
        </w:rPr>
        <w:t> </w:t>
      </w:r>
      <w:r>
        <w:rPr>
          <w:color w:val="231F20"/>
          <w:sz w:val="19"/>
        </w:rPr>
        <w:t>lui</w:t>
      </w:r>
      <w:r>
        <w:rPr>
          <w:color w:val="231F20"/>
          <w:spacing w:val="-27"/>
          <w:sz w:val="19"/>
        </w:rPr>
        <w:t> </w:t>
      </w:r>
      <w:r>
        <w:rPr>
          <w:color w:val="231F20"/>
          <w:sz w:val="19"/>
        </w:rPr>
        <w:t>temeva),</w:t>
      </w:r>
      <w:r>
        <w:rPr>
          <w:color w:val="231F20"/>
          <w:spacing w:val="-27"/>
          <w:sz w:val="19"/>
        </w:rPr>
        <w:t> </w:t>
      </w:r>
      <w:r>
        <w:rPr>
          <w:color w:val="231F20"/>
          <w:sz w:val="19"/>
        </w:rPr>
        <w:t>ma</w:t>
      </w:r>
      <w:r>
        <w:rPr>
          <w:color w:val="231F20"/>
          <w:spacing w:val="-27"/>
          <w:sz w:val="19"/>
        </w:rPr>
        <w:t> </w:t>
      </w:r>
      <w:r>
        <w:rPr>
          <w:color w:val="231F20"/>
          <w:sz w:val="19"/>
        </w:rPr>
        <w:t>un</w:t>
      </w:r>
      <w:r>
        <w:rPr>
          <w:color w:val="231F20"/>
          <w:spacing w:val="-27"/>
          <w:sz w:val="19"/>
        </w:rPr>
        <w:t> </w:t>
      </w:r>
      <w:r>
        <w:rPr>
          <w:color w:val="231F20"/>
          <w:sz w:val="19"/>
        </w:rPr>
        <w:t>ente</w:t>
      </w:r>
      <w:r>
        <w:rPr>
          <w:color w:val="231F20"/>
          <w:spacing w:val="-27"/>
          <w:sz w:val="19"/>
        </w:rPr>
        <w:t> </w:t>
      </w:r>
      <w:r>
        <w:rPr>
          <w:color w:val="231F20"/>
          <w:sz w:val="19"/>
        </w:rPr>
        <w:t>immateriale</w:t>
      </w:r>
      <w:r>
        <w:rPr>
          <w:color w:val="231F20"/>
          <w:spacing w:val="-27"/>
          <w:sz w:val="19"/>
        </w:rPr>
        <w:t> </w:t>
      </w:r>
      <w:r>
        <w:rPr>
          <w:color w:val="231F20"/>
          <w:sz w:val="19"/>
        </w:rPr>
        <w:t>e</w:t>
      </w:r>
      <w:r>
        <w:rPr>
          <w:color w:val="231F20"/>
          <w:spacing w:val="-27"/>
          <w:sz w:val="19"/>
        </w:rPr>
        <w:t> </w:t>
      </w:r>
      <w:r>
        <w:rPr>
          <w:color w:val="231F20"/>
          <w:sz w:val="19"/>
        </w:rPr>
        <w:t>invisibile.</w:t>
      </w:r>
      <w:r>
        <w:rPr>
          <w:color w:val="231F20"/>
          <w:spacing w:val="-23"/>
          <w:sz w:val="19"/>
        </w:rPr>
        <w:t> </w:t>
      </w:r>
      <w:r>
        <w:rPr>
          <w:color w:val="231F20"/>
          <w:sz w:val="19"/>
        </w:rPr>
        <w:t>È una</w:t>
      </w:r>
      <w:r>
        <w:rPr>
          <w:color w:val="231F20"/>
          <w:spacing w:val="-16"/>
          <w:sz w:val="19"/>
        </w:rPr>
        <w:t> </w:t>
      </w:r>
      <w:r>
        <w:rPr>
          <w:color w:val="231F20"/>
          <w:spacing w:val="-3"/>
          <w:sz w:val="19"/>
        </w:rPr>
        <w:t>entità</w:t>
      </w:r>
      <w:r>
        <w:rPr>
          <w:color w:val="231F20"/>
          <w:spacing w:val="-16"/>
          <w:sz w:val="19"/>
        </w:rPr>
        <w:t> </w:t>
      </w:r>
      <w:r>
        <w:rPr>
          <w:color w:val="231F20"/>
          <w:sz w:val="19"/>
        </w:rPr>
        <w:t>che</w:t>
      </w:r>
      <w:r>
        <w:rPr>
          <w:color w:val="231F20"/>
          <w:spacing w:val="-16"/>
          <w:sz w:val="19"/>
        </w:rPr>
        <w:t> </w:t>
      </w:r>
      <w:r>
        <w:rPr>
          <w:color w:val="231F20"/>
          <w:sz w:val="19"/>
        </w:rPr>
        <w:t>non</w:t>
      </w:r>
      <w:r>
        <w:rPr>
          <w:color w:val="231F20"/>
          <w:spacing w:val="-16"/>
          <w:sz w:val="19"/>
        </w:rPr>
        <w:t> </w:t>
      </w:r>
      <w:r>
        <w:rPr>
          <w:color w:val="231F20"/>
          <w:sz w:val="19"/>
        </w:rPr>
        <w:t>ha</w:t>
      </w:r>
      <w:r>
        <w:rPr>
          <w:color w:val="231F20"/>
          <w:spacing w:val="-16"/>
          <w:sz w:val="19"/>
        </w:rPr>
        <w:t> </w:t>
      </w:r>
      <w:r>
        <w:rPr>
          <w:color w:val="231F20"/>
          <w:sz w:val="19"/>
        </w:rPr>
        <w:t>ne</w:t>
      </w:r>
      <w:r>
        <w:rPr>
          <w:color w:val="231F20"/>
          <w:spacing w:val="-16"/>
          <w:sz w:val="19"/>
        </w:rPr>
        <w:t> </w:t>
      </w:r>
      <w:r>
        <w:rPr>
          <w:color w:val="231F20"/>
          <w:spacing w:val="-3"/>
          <w:sz w:val="19"/>
        </w:rPr>
        <w:t>corpo</w:t>
      </w:r>
      <w:r>
        <w:rPr>
          <w:color w:val="231F20"/>
          <w:spacing w:val="-16"/>
          <w:sz w:val="19"/>
        </w:rPr>
        <w:t> </w:t>
      </w:r>
      <w:r>
        <w:rPr>
          <w:color w:val="231F20"/>
          <w:sz w:val="19"/>
        </w:rPr>
        <w:t>ne</w:t>
      </w:r>
      <w:r>
        <w:rPr>
          <w:color w:val="231F20"/>
          <w:spacing w:val="-16"/>
          <w:sz w:val="19"/>
        </w:rPr>
        <w:t> </w:t>
      </w:r>
      <w:r>
        <w:rPr>
          <w:color w:val="231F20"/>
          <w:spacing w:val="-3"/>
          <w:sz w:val="19"/>
        </w:rPr>
        <w:t>domicilio</w:t>
      </w:r>
      <w:r>
        <w:rPr>
          <w:color w:val="231F20"/>
          <w:spacing w:val="-16"/>
          <w:sz w:val="19"/>
        </w:rPr>
        <w:t> </w:t>
      </w:r>
      <w:r>
        <w:rPr>
          <w:color w:val="231F20"/>
          <w:spacing w:val="-3"/>
          <w:sz w:val="19"/>
        </w:rPr>
        <w:t>postale,</w:t>
      </w:r>
      <w:r>
        <w:rPr>
          <w:color w:val="231F20"/>
          <w:spacing w:val="-16"/>
          <w:sz w:val="19"/>
        </w:rPr>
        <w:t> </w:t>
      </w:r>
      <w:r>
        <w:rPr>
          <w:color w:val="231F20"/>
          <w:sz w:val="19"/>
        </w:rPr>
        <w:t>che</w:t>
      </w:r>
      <w:r>
        <w:rPr>
          <w:color w:val="231F20"/>
          <w:spacing w:val="-16"/>
          <w:sz w:val="19"/>
        </w:rPr>
        <w:t> </w:t>
      </w:r>
      <w:r>
        <w:rPr>
          <w:color w:val="231F20"/>
          <w:sz w:val="19"/>
        </w:rPr>
        <w:t>non</w:t>
      </w:r>
      <w:r>
        <w:rPr>
          <w:color w:val="231F20"/>
          <w:spacing w:val="-16"/>
          <w:sz w:val="19"/>
        </w:rPr>
        <w:t> </w:t>
      </w:r>
      <w:r>
        <w:rPr>
          <w:color w:val="231F20"/>
          <w:spacing w:val="-3"/>
          <w:sz w:val="19"/>
        </w:rPr>
        <w:t>risiede </w:t>
      </w:r>
      <w:r>
        <w:rPr>
          <w:color w:val="231F20"/>
          <w:sz w:val="19"/>
        </w:rPr>
        <w:t>da</w:t>
      </w:r>
      <w:r>
        <w:rPr>
          <w:color w:val="231F20"/>
          <w:spacing w:val="-20"/>
          <w:sz w:val="19"/>
        </w:rPr>
        <w:t> </w:t>
      </w:r>
      <w:r>
        <w:rPr>
          <w:color w:val="231F20"/>
          <w:sz w:val="19"/>
        </w:rPr>
        <w:t>nessuna</w:t>
      </w:r>
      <w:r>
        <w:rPr>
          <w:color w:val="231F20"/>
          <w:spacing w:val="-20"/>
          <w:sz w:val="19"/>
        </w:rPr>
        <w:t> </w:t>
      </w:r>
      <w:r>
        <w:rPr>
          <w:color w:val="231F20"/>
          <w:sz w:val="19"/>
        </w:rPr>
        <w:t>parte,</w:t>
      </w:r>
      <w:r>
        <w:rPr>
          <w:color w:val="231F20"/>
          <w:spacing w:val="-20"/>
          <w:sz w:val="19"/>
        </w:rPr>
        <w:t> </w:t>
      </w:r>
      <w:r>
        <w:rPr>
          <w:color w:val="231F20"/>
          <w:sz w:val="19"/>
        </w:rPr>
        <w:t>ma</w:t>
      </w:r>
      <w:r>
        <w:rPr>
          <w:color w:val="231F20"/>
          <w:spacing w:val="-20"/>
          <w:sz w:val="19"/>
        </w:rPr>
        <w:t> </w:t>
      </w:r>
      <w:r>
        <w:rPr>
          <w:color w:val="231F20"/>
          <w:sz w:val="19"/>
        </w:rPr>
        <w:t>che</w:t>
      </w:r>
      <w:r>
        <w:rPr>
          <w:color w:val="231F20"/>
          <w:spacing w:val="-20"/>
          <w:sz w:val="19"/>
        </w:rPr>
        <w:t> </w:t>
      </w:r>
      <w:r>
        <w:rPr>
          <w:color w:val="231F20"/>
          <w:sz w:val="19"/>
        </w:rPr>
        <w:t>ha</w:t>
      </w:r>
      <w:r>
        <w:rPr>
          <w:color w:val="231F20"/>
          <w:spacing w:val="-20"/>
          <w:sz w:val="19"/>
        </w:rPr>
        <w:t> </w:t>
      </w:r>
      <w:r>
        <w:rPr>
          <w:color w:val="231F20"/>
          <w:sz w:val="19"/>
        </w:rPr>
        <w:t>una</w:t>
      </w:r>
      <w:r>
        <w:rPr>
          <w:color w:val="231F20"/>
          <w:spacing w:val="-20"/>
          <w:sz w:val="19"/>
        </w:rPr>
        <w:t> </w:t>
      </w:r>
      <w:r>
        <w:rPr>
          <w:color w:val="231F20"/>
          <w:sz w:val="19"/>
        </w:rPr>
        <w:t>sede</w:t>
      </w:r>
      <w:r>
        <w:rPr>
          <w:color w:val="231F20"/>
          <w:spacing w:val="-20"/>
          <w:sz w:val="19"/>
        </w:rPr>
        <w:t> </w:t>
      </w:r>
      <w:r>
        <w:rPr>
          <w:color w:val="231F20"/>
          <w:sz w:val="19"/>
        </w:rPr>
        <w:t>diffusa,</w:t>
      </w:r>
      <w:r>
        <w:rPr>
          <w:color w:val="231F20"/>
          <w:spacing w:val="-20"/>
          <w:sz w:val="19"/>
        </w:rPr>
        <w:t> </w:t>
      </w:r>
      <w:r>
        <w:rPr>
          <w:color w:val="231F20"/>
          <w:sz w:val="19"/>
        </w:rPr>
        <w:t>perchè</w:t>
      </w:r>
      <w:r>
        <w:rPr>
          <w:color w:val="231F20"/>
          <w:spacing w:val="-20"/>
          <w:sz w:val="19"/>
        </w:rPr>
        <w:t> </w:t>
      </w:r>
      <w:r>
        <w:rPr>
          <w:color w:val="231F20"/>
          <w:sz w:val="19"/>
        </w:rPr>
        <w:t>è</w:t>
      </w:r>
      <w:r>
        <w:rPr>
          <w:color w:val="231F20"/>
          <w:spacing w:val="-20"/>
          <w:sz w:val="19"/>
        </w:rPr>
        <w:t> </w:t>
      </w:r>
      <w:r>
        <w:rPr>
          <w:color w:val="231F20"/>
          <w:sz w:val="19"/>
        </w:rPr>
        <w:t>formata</w:t>
      </w:r>
      <w:r>
        <w:rPr>
          <w:color w:val="231F20"/>
          <w:spacing w:val="-20"/>
          <w:sz w:val="19"/>
        </w:rPr>
        <w:t> </w:t>
      </w:r>
      <w:r>
        <w:rPr>
          <w:color w:val="231F20"/>
          <w:sz w:val="19"/>
        </w:rPr>
        <w:t>da tutti</w:t>
      </w:r>
      <w:r>
        <w:rPr>
          <w:color w:val="231F20"/>
          <w:spacing w:val="-25"/>
          <w:sz w:val="19"/>
        </w:rPr>
        <w:t> </w:t>
      </w:r>
      <w:r>
        <w:rPr>
          <w:color w:val="231F20"/>
          <w:sz w:val="19"/>
        </w:rPr>
        <w:t>quelli</w:t>
      </w:r>
      <w:r>
        <w:rPr>
          <w:color w:val="231F20"/>
          <w:spacing w:val="-25"/>
          <w:sz w:val="19"/>
        </w:rPr>
        <w:t> </w:t>
      </w:r>
      <w:r>
        <w:rPr>
          <w:color w:val="231F20"/>
          <w:sz w:val="19"/>
        </w:rPr>
        <w:t>che</w:t>
      </w:r>
      <w:r>
        <w:rPr>
          <w:color w:val="231F20"/>
          <w:spacing w:val="-25"/>
          <w:sz w:val="19"/>
        </w:rPr>
        <w:t> </w:t>
      </w:r>
      <w:r>
        <w:rPr>
          <w:color w:val="231F20"/>
          <w:sz w:val="19"/>
        </w:rPr>
        <w:t>governano</w:t>
      </w:r>
      <w:r>
        <w:rPr>
          <w:color w:val="231F20"/>
          <w:spacing w:val="-25"/>
          <w:sz w:val="19"/>
        </w:rPr>
        <w:t> </w:t>
      </w:r>
      <w:r>
        <w:rPr>
          <w:color w:val="231F20"/>
          <w:sz w:val="19"/>
        </w:rPr>
        <w:t>la</w:t>
      </w:r>
      <w:r>
        <w:rPr>
          <w:color w:val="231F20"/>
          <w:spacing w:val="-25"/>
          <w:sz w:val="19"/>
        </w:rPr>
        <w:t> </w:t>
      </w:r>
      <w:r>
        <w:rPr>
          <w:color w:val="231F20"/>
          <w:sz w:val="19"/>
        </w:rPr>
        <w:t>cultura</w:t>
      </w:r>
      <w:r>
        <w:rPr>
          <w:color w:val="231F20"/>
          <w:spacing w:val="-25"/>
          <w:sz w:val="19"/>
        </w:rPr>
        <w:t> </w:t>
      </w:r>
      <w:r>
        <w:rPr>
          <w:color w:val="231F20"/>
          <w:sz w:val="19"/>
        </w:rPr>
        <w:t>di</w:t>
      </w:r>
      <w:r>
        <w:rPr>
          <w:color w:val="231F20"/>
          <w:spacing w:val="-25"/>
          <w:sz w:val="19"/>
        </w:rPr>
        <w:t> </w:t>
      </w:r>
      <w:r>
        <w:rPr>
          <w:color w:val="231F20"/>
          <w:sz w:val="19"/>
        </w:rPr>
        <w:t>massa</w:t>
      </w:r>
      <w:r>
        <w:rPr>
          <w:color w:val="231F20"/>
          <w:spacing w:val="-25"/>
          <w:sz w:val="19"/>
        </w:rPr>
        <w:t> </w:t>
      </w:r>
      <w:r>
        <w:rPr>
          <w:color w:val="231F20"/>
          <w:sz w:val="19"/>
        </w:rPr>
        <w:t>del</w:t>
      </w:r>
      <w:r>
        <w:rPr>
          <w:color w:val="231F20"/>
          <w:spacing w:val="-25"/>
          <w:sz w:val="19"/>
        </w:rPr>
        <w:t> </w:t>
      </w:r>
      <w:r>
        <w:rPr>
          <w:color w:val="231F20"/>
          <w:sz w:val="19"/>
        </w:rPr>
        <w:t>pianeta:</w:t>
      </w:r>
      <w:r>
        <w:rPr>
          <w:color w:val="231F20"/>
          <w:spacing w:val="-25"/>
          <w:sz w:val="19"/>
        </w:rPr>
        <w:t> </w:t>
      </w:r>
      <w:r>
        <w:rPr>
          <w:color w:val="231F20"/>
          <w:sz w:val="19"/>
        </w:rPr>
        <w:t>insomma: per quello che denominerò “il mostro </w:t>
      </w:r>
      <w:r>
        <w:rPr>
          <w:color w:val="231F20"/>
          <w:spacing w:val="21"/>
          <w:sz w:val="19"/>
        </w:rPr>
        <w:t> </w:t>
      </w:r>
      <w:r>
        <w:rPr>
          <w:color w:val="231F20"/>
          <w:sz w:val="19"/>
        </w:rPr>
        <w:t>mite”</w:t>
      </w:r>
      <w:r>
        <w:rPr>
          <w:color w:val="231F20"/>
          <w:position w:val="6"/>
          <w:sz w:val="11"/>
        </w:rPr>
        <w:t>30</w:t>
      </w:r>
      <w:r>
        <w:rPr>
          <w:color w:val="231F20"/>
          <w:sz w:val="19"/>
        </w:rPr>
        <w:t>.</w:t>
      </w:r>
    </w:p>
    <w:p>
      <w:pPr>
        <w:pStyle w:val="BodyText"/>
        <w:spacing w:before="11"/>
        <w:rPr>
          <w:sz w:val="23"/>
        </w:rPr>
      </w:pPr>
    </w:p>
    <w:p>
      <w:pPr>
        <w:pStyle w:val="BodyText"/>
        <w:spacing w:line="247" w:lineRule="auto"/>
        <w:ind w:left="117" w:right="117"/>
        <w:jc w:val="both"/>
      </w:pPr>
      <w:r>
        <w:rPr>
          <w:color w:val="231F20"/>
          <w:spacing w:val="-3"/>
        </w:rPr>
        <w:t>Risulta</w:t>
      </w:r>
      <w:r>
        <w:rPr>
          <w:color w:val="231F20"/>
          <w:spacing w:val="-10"/>
        </w:rPr>
        <w:t> </w:t>
      </w:r>
      <w:r>
        <w:rPr>
          <w:color w:val="231F20"/>
          <w:spacing w:val="-3"/>
        </w:rPr>
        <w:t>quasi</w:t>
      </w:r>
      <w:r>
        <w:rPr>
          <w:color w:val="231F20"/>
          <w:spacing w:val="-10"/>
        </w:rPr>
        <w:t> </w:t>
      </w:r>
      <w:r>
        <w:rPr>
          <w:color w:val="231F20"/>
          <w:spacing w:val="-3"/>
        </w:rPr>
        <w:t>contraddittorio</w:t>
      </w:r>
      <w:r>
        <w:rPr>
          <w:color w:val="231F20"/>
          <w:spacing w:val="-10"/>
        </w:rPr>
        <w:t> </w:t>
      </w:r>
      <w:r>
        <w:rPr>
          <w:color w:val="231F20"/>
          <w:spacing w:val="-4"/>
        </w:rPr>
        <w:t>pensare</w:t>
      </w:r>
      <w:r>
        <w:rPr>
          <w:color w:val="231F20"/>
          <w:spacing w:val="-10"/>
        </w:rPr>
        <w:t> </w:t>
      </w:r>
      <w:r>
        <w:rPr>
          <w:color w:val="231F20"/>
        </w:rPr>
        <w:t>che</w:t>
      </w:r>
      <w:r>
        <w:rPr>
          <w:color w:val="231F20"/>
          <w:spacing w:val="-10"/>
        </w:rPr>
        <w:t> </w:t>
      </w:r>
      <w:r>
        <w:rPr>
          <w:color w:val="231F20"/>
        </w:rPr>
        <w:t>un</w:t>
      </w:r>
      <w:r>
        <w:rPr>
          <w:color w:val="231F20"/>
          <w:spacing w:val="-10"/>
        </w:rPr>
        <w:t> </w:t>
      </w:r>
      <w:r>
        <w:rPr>
          <w:color w:val="231F20"/>
          <w:spacing w:val="-4"/>
        </w:rPr>
        <w:t>regime</w:t>
      </w:r>
      <w:r>
        <w:rPr>
          <w:color w:val="231F20"/>
          <w:spacing w:val="-10"/>
        </w:rPr>
        <w:t> </w:t>
      </w:r>
      <w:r>
        <w:rPr>
          <w:color w:val="231F20"/>
          <w:spacing w:val="-3"/>
        </w:rPr>
        <w:t>pieno</w:t>
      </w:r>
      <w:r>
        <w:rPr>
          <w:color w:val="231F20"/>
          <w:spacing w:val="-10"/>
        </w:rPr>
        <w:t> </w:t>
      </w:r>
      <w:r>
        <w:rPr>
          <w:color w:val="231F20"/>
        </w:rPr>
        <w:t>di</w:t>
      </w:r>
      <w:r>
        <w:rPr>
          <w:color w:val="231F20"/>
          <w:spacing w:val="-10"/>
        </w:rPr>
        <w:t> </w:t>
      </w:r>
      <w:r>
        <w:rPr>
          <w:color w:val="231F20"/>
          <w:spacing w:val="-3"/>
        </w:rPr>
        <w:t>paradossi,</w:t>
      </w:r>
      <w:r>
        <w:rPr>
          <w:color w:val="231F20"/>
          <w:spacing w:val="-10"/>
        </w:rPr>
        <w:t> </w:t>
      </w:r>
      <w:r>
        <w:rPr>
          <w:color w:val="231F20"/>
          <w:spacing w:val="-3"/>
        </w:rPr>
        <w:t>come quelli</w:t>
      </w:r>
      <w:r>
        <w:rPr>
          <w:color w:val="231F20"/>
          <w:spacing w:val="-12"/>
        </w:rPr>
        <w:t> </w:t>
      </w:r>
      <w:r>
        <w:rPr>
          <w:color w:val="231F20"/>
          <w:spacing w:val="-3"/>
        </w:rPr>
        <w:t>esposti</w:t>
      </w:r>
      <w:r>
        <w:rPr>
          <w:color w:val="231F20"/>
          <w:spacing w:val="-12"/>
        </w:rPr>
        <w:t> </w:t>
      </w:r>
      <w:r>
        <w:rPr>
          <w:color w:val="231F20"/>
          <w:spacing w:val="-3"/>
        </w:rPr>
        <w:t>prima,</w:t>
      </w:r>
      <w:r>
        <w:rPr>
          <w:color w:val="231F20"/>
          <w:spacing w:val="-12"/>
        </w:rPr>
        <w:t> </w:t>
      </w:r>
      <w:r>
        <w:rPr>
          <w:color w:val="231F20"/>
          <w:spacing w:val="-3"/>
        </w:rPr>
        <w:t>possa</w:t>
      </w:r>
      <w:r>
        <w:rPr>
          <w:color w:val="231F20"/>
          <w:spacing w:val="-12"/>
        </w:rPr>
        <w:t> </w:t>
      </w:r>
      <w:r>
        <w:rPr>
          <w:color w:val="231F20"/>
          <w:spacing w:val="-3"/>
        </w:rPr>
        <w:t>alla</w:t>
      </w:r>
      <w:r>
        <w:rPr>
          <w:color w:val="231F20"/>
          <w:spacing w:val="-12"/>
        </w:rPr>
        <w:t> </w:t>
      </w:r>
      <w:r>
        <w:rPr>
          <w:color w:val="231F20"/>
        </w:rPr>
        <w:t>fine</w:t>
      </w:r>
      <w:r>
        <w:rPr>
          <w:color w:val="231F20"/>
          <w:spacing w:val="-12"/>
        </w:rPr>
        <w:t> </w:t>
      </w:r>
      <w:r>
        <w:rPr>
          <w:color w:val="231F20"/>
          <w:spacing w:val="-4"/>
        </w:rPr>
        <w:t>diventare</w:t>
      </w:r>
      <w:r>
        <w:rPr>
          <w:color w:val="231F20"/>
          <w:spacing w:val="-12"/>
        </w:rPr>
        <w:t> </w:t>
      </w:r>
      <w:r>
        <w:rPr>
          <w:color w:val="231F20"/>
        </w:rPr>
        <w:t>un</w:t>
      </w:r>
      <w:r>
        <w:rPr>
          <w:color w:val="231F20"/>
          <w:spacing w:val="-10"/>
        </w:rPr>
        <w:t> </w:t>
      </w:r>
      <w:r>
        <w:rPr>
          <w:rFonts w:ascii="Arial" w:hAnsi="Arial"/>
          <w:i/>
          <w:color w:val="231F20"/>
          <w:spacing w:val="-4"/>
        </w:rPr>
        <w:t>mostro</w:t>
      </w:r>
      <w:r>
        <w:rPr>
          <w:rFonts w:ascii="Arial" w:hAnsi="Arial"/>
          <w:i/>
          <w:color w:val="231F20"/>
          <w:spacing w:val="-5"/>
        </w:rPr>
        <w:t> </w:t>
      </w:r>
      <w:r>
        <w:rPr>
          <w:rFonts w:ascii="Arial" w:hAnsi="Arial"/>
          <w:i/>
          <w:color w:val="231F20"/>
          <w:spacing w:val="-3"/>
        </w:rPr>
        <w:t>mite</w:t>
      </w:r>
      <w:r>
        <w:rPr>
          <w:color w:val="231F20"/>
          <w:spacing w:val="-3"/>
        </w:rPr>
        <w:t>:</w:t>
      </w:r>
      <w:r>
        <w:rPr>
          <w:color w:val="231F20"/>
          <w:spacing w:val="-12"/>
        </w:rPr>
        <w:t> </w:t>
      </w:r>
      <w:r>
        <w:rPr>
          <w:color w:val="231F20"/>
          <w:spacing w:val="-3"/>
        </w:rPr>
        <w:t>come</w:t>
      </w:r>
      <w:r>
        <w:rPr>
          <w:color w:val="231F20"/>
          <w:spacing w:val="-12"/>
        </w:rPr>
        <w:t> </w:t>
      </w:r>
      <w:r>
        <w:rPr>
          <w:color w:val="231F20"/>
          <w:spacing w:val="-4"/>
        </w:rPr>
        <w:t>potrebbe </w:t>
      </w:r>
      <w:r>
        <w:rPr>
          <w:color w:val="231F20"/>
        </w:rPr>
        <w:t>amarsi un paradosso che finisce per sottometterci e umiliarci? La risposta è in se stessa aporetica. I paradossi sono diventati sopportabili e gentili perchè</w:t>
      </w:r>
      <w:r>
        <w:rPr>
          <w:color w:val="231F20"/>
          <w:spacing w:val="-11"/>
        </w:rPr>
        <w:t> </w:t>
      </w:r>
      <w:r>
        <w:rPr>
          <w:color w:val="231F20"/>
        </w:rPr>
        <w:t>si</w:t>
      </w:r>
      <w:r>
        <w:rPr>
          <w:color w:val="231F20"/>
          <w:spacing w:val="-11"/>
        </w:rPr>
        <w:t> </w:t>
      </w:r>
      <w:r>
        <w:rPr>
          <w:color w:val="231F20"/>
        </w:rPr>
        <w:t>sono</w:t>
      </w:r>
      <w:r>
        <w:rPr>
          <w:color w:val="231F20"/>
          <w:spacing w:val="-11"/>
        </w:rPr>
        <w:t> </w:t>
      </w:r>
      <w:r>
        <w:rPr>
          <w:color w:val="231F20"/>
        </w:rPr>
        <w:t>naturalizzati,</w:t>
      </w:r>
      <w:r>
        <w:rPr>
          <w:color w:val="231F20"/>
          <w:spacing w:val="-11"/>
        </w:rPr>
        <w:t> </w:t>
      </w:r>
      <w:r>
        <w:rPr>
          <w:color w:val="231F20"/>
        </w:rPr>
        <w:t>perchè</w:t>
      </w:r>
      <w:r>
        <w:rPr>
          <w:color w:val="231F20"/>
          <w:spacing w:val="-11"/>
        </w:rPr>
        <w:t> </w:t>
      </w:r>
      <w:r>
        <w:rPr>
          <w:color w:val="231F20"/>
        </w:rPr>
        <w:t>attraverso</w:t>
      </w:r>
      <w:r>
        <w:rPr>
          <w:color w:val="231F20"/>
          <w:spacing w:val="-11"/>
        </w:rPr>
        <w:t> </w:t>
      </w:r>
      <w:r>
        <w:rPr>
          <w:color w:val="231F20"/>
        </w:rPr>
        <w:t>loro</w:t>
      </w:r>
      <w:r>
        <w:rPr>
          <w:color w:val="231F20"/>
          <w:spacing w:val="-11"/>
        </w:rPr>
        <w:t> </w:t>
      </w:r>
      <w:r>
        <w:rPr>
          <w:color w:val="231F20"/>
        </w:rPr>
        <w:t>si</w:t>
      </w:r>
      <w:r>
        <w:rPr>
          <w:color w:val="231F20"/>
          <w:spacing w:val="-11"/>
        </w:rPr>
        <w:t> </w:t>
      </w:r>
      <w:r>
        <w:rPr>
          <w:color w:val="231F20"/>
        </w:rPr>
        <w:t>è</w:t>
      </w:r>
      <w:r>
        <w:rPr>
          <w:color w:val="231F20"/>
          <w:spacing w:val="-11"/>
        </w:rPr>
        <w:t> </w:t>
      </w:r>
      <w:r>
        <w:rPr>
          <w:color w:val="231F20"/>
        </w:rPr>
        <w:t>ammorbidito</w:t>
      </w:r>
      <w:r>
        <w:rPr>
          <w:color w:val="231F20"/>
          <w:spacing w:val="-11"/>
        </w:rPr>
        <w:t> </w:t>
      </w:r>
      <w:r>
        <w:rPr>
          <w:color w:val="231F20"/>
        </w:rPr>
        <w:t>il</w:t>
      </w:r>
      <w:r>
        <w:rPr>
          <w:color w:val="231F20"/>
          <w:spacing w:val="-11"/>
        </w:rPr>
        <w:t> </w:t>
      </w:r>
      <w:r>
        <w:rPr>
          <w:color w:val="231F20"/>
        </w:rPr>
        <w:t>colpo e la forza di un sistema che sottomette e umilia, ma che si presenta come amabile e includente, pieno di contraddizioni e debolezze che finiscono per </w:t>
      </w:r>
      <w:r>
        <w:rPr>
          <w:color w:val="231F20"/>
          <w:spacing w:val="-3"/>
        </w:rPr>
        <w:t>abbracciare</w:t>
      </w:r>
      <w:r>
        <w:rPr>
          <w:color w:val="231F20"/>
          <w:spacing w:val="-14"/>
        </w:rPr>
        <w:t> </w:t>
      </w:r>
      <w:r>
        <w:rPr>
          <w:color w:val="231F20"/>
          <w:spacing w:val="-3"/>
        </w:rPr>
        <w:t>quello</w:t>
      </w:r>
      <w:r>
        <w:rPr>
          <w:color w:val="231F20"/>
          <w:spacing w:val="-14"/>
        </w:rPr>
        <w:t> </w:t>
      </w:r>
      <w:r>
        <w:rPr>
          <w:color w:val="231F20"/>
        </w:rPr>
        <w:t>che</w:t>
      </w:r>
      <w:r>
        <w:rPr>
          <w:color w:val="231F20"/>
          <w:spacing w:val="-14"/>
        </w:rPr>
        <w:t> </w:t>
      </w:r>
      <w:r>
        <w:rPr>
          <w:color w:val="231F20"/>
          <w:spacing w:val="-3"/>
        </w:rPr>
        <w:t>sembra</w:t>
      </w:r>
      <w:r>
        <w:rPr>
          <w:color w:val="231F20"/>
          <w:spacing w:val="-14"/>
        </w:rPr>
        <w:t> </w:t>
      </w:r>
      <w:r>
        <w:rPr>
          <w:color w:val="231F20"/>
        </w:rPr>
        <w:t>il</w:t>
      </w:r>
      <w:r>
        <w:rPr>
          <w:color w:val="231F20"/>
          <w:spacing w:val="-14"/>
        </w:rPr>
        <w:t> </w:t>
      </w:r>
      <w:r>
        <w:rPr>
          <w:color w:val="231F20"/>
        </w:rPr>
        <w:t>suo</w:t>
      </w:r>
      <w:r>
        <w:rPr>
          <w:color w:val="231F20"/>
          <w:spacing w:val="-14"/>
        </w:rPr>
        <w:t> </w:t>
      </w:r>
      <w:r>
        <w:rPr>
          <w:color w:val="231F20"/>
          <w:spacing w:val="-3"/>
        </w:rPr>
        <w:t>contrario,</w:t>
      </w:r>
      <w:r>
        <w:rPr>
          <w:color w:val="231F20"/>
          <w:spacing w:val="-14"/>
        </w:rPr>
        <w:t> </w:t>
      </w:r>
      <w:r>
        <w:rPr>
          <w:color w:val="231F20"/>
          <w:spacing w:val="-3"/>
        </w:rPr>
        <w:t>quindi,</w:t>
      </w:r>
      <w:r>
        <w:rPr>
          <w:color w:val="231F20"/>
          <w:spacing w:val="-14"/>
        </w:rPr>
        <w:t> </w:t>
      </w:r>
      <w:r>
        <w:rPr>
          <w:color w:val="231F20"/>
          <w:spacing w:val="-3"/>
        </w:rPr>
        <w:t>mostro</w:t>
      </w:r>
      <w:r>
        <w:rPr>
          <w:color w:val="231F20"/>
          <w:spacing w:val="-14"/>
        </w:rPr>
        <w:t> </w:t>
      </w:r>
      <w:r>
        <w:rPr>
          <w:color w:val="231F20"/>
        </w:rPr>
        <w:t>con</w:t>
      </w:r>
      <w:r>
        <w:rPr>
          <w:color w:val="231F20"/>
          <w:spacing w:val="-14"/>
        </w:rPr>
        <w:t> </w:t>
      </w:r>
      <w:r>
        <w:rPr>
          <w:color w:val="231F20"/>
          <w:spacing w:val="-4"/>
        </w:rPr>
        <w:t>apparenza </w:t>
      </w:r>
      <w:r>
        <w:rPr>
          <w:color w:val="231F20"/>
          <w:spacing w:val="2"/>
        </w:rPr>
        <w:t>debole </w:t>
      </w:r>
      <w:r>
        <w:rPr>
          <w:color w:val="231F20"/>
        </w:rPr>
        <w:t>e </w:t>
      </w:r>
      <w:r>
        <w:rPr>
          <w:color w:val="231F20"/>
          <w:spacing w:val="2"/>
        </w:rPr>
        <w:t>comprensiva limitato </w:t>
      </w:r>
      <w:r>
        <w:rPr>
          <w:color w:val="231F20"/>
        </w:rPr>
        <w:t>per le sue proprie </w:t>
      </w:r>
      <w:r>
        <w:rPr>
          <w:color w:val="231F20"/>
          <w:spacing w:val="2"/>
        </w:rPr>
        <w:t>languidezze. </w:t>
      </w:r>
      <w:r>
        <w:rPr>
          <w:color w:val="231F20"/>
        </w:rPr>
        <w:t>Mostro accettabile che ci invita a tollerarlo e a diventare compiacenti. I paradossi della globalizzazione non spariscono, ma si sono disattivati perchè si sono ammorbiditi,</w:t>
      </w:r>
      <w:r>
        <w:rPr>
          <w:color w:val="231F20"/>
          <w:spacing w:val="-22"/>
        </w:rPr>
        <w:t> </w:t>
      </w:r>
      <w:r>
        <w:rPr>
          <w:color w:val="231F20"/>
        </w:rPr>
        <w:t>si</w:t>
      </w:r>
      <w:r>
        <w:rPr>
          <w:color w:val="231F20"/>
          <w:spacing w:val="-22"/>
        </w:rPr>
        <w:t> </w:t>
      </w:r>
      <w:r>
        <w:rPr>
          <w:color w:val="231F20"/>
        </w:rPr>
        <w:t>sono</w:t>
      </w:r>
      <w:r>
        <w:rPr>
          <w:color w:val="231F20"/>
          <w:spacing w:val="-22"/>
        </w:rPr>
        <w:t> </w:t>
      </w:r>
      <w:r>
        <w:rPr>
          <w:color w:val="231F20"/>
        </w:rPr>
        <w:t>naturalizzati</w:t>
      </w:r>
      <w:r>
        <w:rPr>
          <w:color w:val="231F20"/>
          <w:spacing w:val="-22"/>
        </w:rPr>
        <w:t> </w:t>
      </w:r>
      <w:r>
        <w:rPr>
          <w:color w:val="231F20"/>
        </w:rPr>
        <w:t>o</w:t>
      </w:r>
      <w:r>
        <w:rPr>
          <w:color w:val="231F20"/>
          <w:spacing w:val="-22"/>
        </w:rPr>
        <w:t> </w:t>
      </w:r>
      <w:r>
        <w:rPr>
          <w:color w:val="231F20"/>
        </w:rPr>
        <w:t>si</w:t>
      </w:r>
      <w:r>
        <w:rPr>
          <w:color w:val="231F20"/>
          <w:spacing w:val="-22"/>
        </w:rPr>
        <w:t> </w:t>
      </w:r>
      <w:r>
        <w:rPr>
          <w:color w:val="231F20"/>
        </w:rPr>
        <w:t>vedono</w:t>
      </w:r>
      <w:r>
        <w:rPr>
          <w:color w:val="231F20"/>
          <w:spacing w:val="-22"/>
        </w:rPr>
        <w:t> </w:t>
      </w:r>
      <w:r>
        <w:rPr>
          <w:color w:val="231F20"/>
        </w:rPr>
        <w:t>come</w:t>
      </w:r>
      <w:r>
        <w:rPr>
          <w:color w:val="231F20"/>
          <w:spacing w:val="-22"/>
        </w:rPr>
        <w:t> </w:t>
      </w:r>
      <w:r>
        <w:rPr>
          <w:color w:val="231F20"/>
        </w:rPr>
        <w:t>inevitabili,</w:t>
      </w:r>
      <w:r>
        <w:rPr>
          <w:color w:val="231F20"/>
          <w:spacing w:val="-22"/>
        </w:rPr>
        <w:t> </w:t>
      </w:r>
      <w:r>
        <w:rPr>
          <w:color w:val="231F20"/>
        </w:rPr>
        <w:t>allora</w:t>
      </w:r>
      <w:r>
        <w:rPr>
          <w:color w:val="231F20"/>
          <w:spacing w:val="-22"/>
        </w:rPr>
        <w:t> </w:t>
      </w:r>
      <w:r>
        <w:rPr>
          <w:color w:val="231F20"/>
        </w:rPr>
        <w:t>bisogna </w:t>
      </w:r>
      <w:r>
        <w:rPr>
          <w:rFonts w:ascii="Arial" w:hAnsi="Arial"/>
          <w:i/>
          <w:color w:val="231F20"/>
        </w:rPr>
        <w:t>lasciarli essere e lasciarli passare</w:t>
      </w:r>
      <w:r>
        <w:rPr>
          <w:color w:val="231F20"/>
        </w:rPr>
        <w:t>. D’accordo con Foucault, queste aporie hanno assunto il naturalismo proprio del liberalismo, si sono naturalizzate perchè</w:t>
      </w:r>
      <w:r>
        <w:rPr>
          <w:color w:val="231F20"/>
          <w:spacing w:val="-15"/>
        </w:rPr>
        <w:t> </w:t>
      </w:r>
      <w:r>
        <w:rPr>
          <w:color w:val="231F20"/>
        </w:rPr>
        <w:t>si</w:t>
      </w:r>
      <w:r>
        <w:rPr>
          <w:color w:val="231F20"/>
          <w:spacing w:val="-15"/>
        </w:rPr>
        <w:t> </w:t>
      </w:r>
      <w:r>
        <w:rPr>
          <w:color w:val="231F20"/>
        </w:rPr>
        <w:t>mostrano</w:t>
      </w:r>
      <w:r>
        <w:rPr>
          <w:color w:val="231F20"/>
          <w:spacing w:val="-15"/>
        </w:rPr>
        <w:t> </w:t>
      </w:r>
      <w:r>
        <w:rPr>
          <w:color w:val="231F20"/>
        </w:rPr>
        <w:t>come</w:t>
      </w:r>
      <w:r>
        <w:rPr>
          <w:color w:val="231F20"/>
          <w:spacing w:val="-15"/>
        </w:rPr>
        <w:t> </w:t>
      </w:r>
      <w:r>
        <w:rPr>
          <w:color w:val="231F20"/>
        </w:rPr>
        <w:t>la</w:t>
      </w:r>
      <w:r>
        <w:rPr>
          <w:color w:val="231F20"/>
          <w:spacing w:val="-15"/>
        </w:rPr>
        <w:t> </w:t>
      </w:r>
      <w:r>
        <w:rPr>
          <w:color w:val="231F20"/>
        </w:rPr>
        <w:t>forma</w:t>
      </w:r>
      <w:r>
        <w:rPr>
          <w:color w:val="231F20"/>
          <w:spacing w:val="-15"/>
        </w:rPr>
        <w:t> </w:t>
      </w:r>
      <w:r>
        <w:rPr>
          <w:color w:val="231F20"/>
        </w:rPr>
        <w:t>di</w:t>
      </w:r>
      <w:r>
        <w:rPr>
          <w:color w:val="231F20"/>
          <w:spacing w:val="-15"/>
        </w:rPr>
        <w:t> </w:t>
      </w:r>
      <w:r>
        <w:rPr>
          <w:color w:val="231F20"/>
        </w:rPr>
        <w:t>vivere</w:t>
      </w:r>
      <w:r>
        <w:rPr>
          <w:color w:val="231F20"/>
          <w:spacing w:val="-15"/>
        </w:rPr>
        <w:t> </w:t>
      </w:r>
      <w:r>
        <w:rPr>
          <w:color w:val="231F20"/>
        </w:rPr>
        <w:t>di</w:t>
      </w:r>
      <w:r>
        <w:rPr>
          <w:color w:val="231F20"/>
          <w:spacing w:val="-15"/>
        </w:rPr>
        <w:t> </w:t>
      </w:r>
      <w:r>
        <w:rPr>
          <w:color w:val="231F20"/>
        </w:rPr>
        <w:t>questi</w:t>
      </w:r>
      <w:r>
        <w:rPr>
          <w:color w:val="231F20"/>
          <w:spacing w:val="-15"/>
        </w:rPr>
        <w:t> </w:t>
      </w:r>
      <w:r>
        <w:rPr>
          <w:color w:val="231F20"/>
        </w:rPr>
        <w:t>tempi,</w:t>
      </w:r>
      <w:r>
        <w:rPr>
          <w:color w:val="231F20"/>
          <w:spacing w:val="-15"/>
        </w:rPr>
        <w:t> </w:t>
      </w:r>
      <w:r>
        <w:rPr>
          <w:color w:val="231F20"/>
        </w:rPr>
        <w:t>contro</w:t>
      </w:r>
      <w:r>
        <w:rPr>
          <w:color w:val="231F20"/>
          <w:spacing w:val="-15"/>
        </w:rPr>
        <w:t> </w:t>
      </w:r>
      <w:r>
        <w:rPr>
          <w:color w:val="231F20"/>
        </w:rPr>
        <w:t>loro</w:t>
      </w:r>
      <w:r>
        <w:rPr>
          <w:color w:val="231F20"/>
          <w:spacing w:val="-15"/>
        </w:rPr>
        <w:t> </w:t>
      </w:r>
      <w:r>
        <w:rPr>
          <w:color w:val="231F20"/>
        </w:rPr>
        <w:t>poco si può fare e non sono neanche tanto cattive, ci permettono di integrarci, consumare</w:t>
      </w:r>
      <w:r>
        <w:rPr>
          <w:color w:val="231F20"/>
          <w:spacing w:val="-17"/>
        </w:rPr>
        <w:t> </w:t>
      </w:r>
      <w:r>
        <w:rPr>
          <w:color w:val="231F20"/>
        </w:rPr>
        <w:t>e</w:t>
      </w:r>
      <w:r>
        <w:rPr>
          <w:color w:val="231F20"/>
          <w:spacing w:val="-17"/>
        </w:rPr>
        <w:t> </w:t>
      </w:r>
      <w:r>
        <w:rPr>
          <w:color w:val="231F20"/>
        </w:rPr>
        <w:t>soddisfarci.</w:t>
      </w:r>
      <w:r>
        <w:rPr>
          <w:color w:val="231F20"/>
          <w:spacing w:val="-17"/>
        </w:rPr>
        <w:t> </w:t>
      </w:r>
      <w:r>
        <w:rPr>
          <w:color w:val="231F20"/>
        </w:rPr>
        <w:t>Per</w:t>
      </w:r>
      <w:r>
        <w:rPr>
          <w:color w:val="231F20"/>
          <w:spacing w:val="-17"/>
        </w:rPr>
        <w:t> </w:t>
      </w:r>
      <w:r>
        <w:rPr>
          <w:color w:val="231F20"/>
        </w:rPr>
        <w:t>Foucault,</w:t>
      </w:r>
      <w:r>
        <w:rPr>
          <w:color w:val="231F20"/>
          <w:spacing w:val="-17"/>
        </w:rPr>
        <w:t> </w:t>
      </w:r>
      <w:r>
        <w:rPr>
          <w:color w:val="231F20"/>
        </w:rPr>
        <w:t>il</w:t>
      </w:r>
      <w:r>
        <w:rPr>
          <w:color w:val="231F20"/>
          <w:spacing w:val="-17"/>
        </w:rPr>
        <w:t> </w:t>
      </w:r>
      <w:r>
        <w:rPr>
          <w:color w:val="231F20"/>
        </w:rPr>
        <w:t>liberalismo</w:t>
      </w:r>
      <w:r>
        <w:rPr>
          <w:color w:val="231F20"/>
          <w:spacing w:val="-17"/>
        </w:rPr>
        <w:t> </w:t>
      </w:r>
      <w:r>
        <w:rPr>
          <w:color w:val="231F20"/>
        </w:rPr>
        <w:t>è</w:t>
      </w:r>
      <w:r>
        <w:rPr>
          <w:color w:val="231F20"/>
          <w:spacing w:val="-17"/>
        </w:rPr>
        <w:t> </w:t>
      </w:r>
      <w:r>
        <w:rPr>
          <w:color w:val="231F20"/>
        </w:rPr>
        <w:t>un</w:t>
      </w:r>
      <w:r>
        <w:rPr>
          <w:color w:val="231F20"/>
          <w:spacing w:val="-17"/>
        </w:rPr>
        <w:t> </w:t>
      </w:r>
      <w:r>
        <w:rPr>
          <w:color w:val="231F20"/>
        </w:rPr>
        <w:t>sistema</w:t>
      </w:r>
      <w:r>
        <w:rPr>
          <w:color w:val="231F20"/>
          <w:spacing w:val="-17"/>
        </w:rPr>
        <w:t> </w:t>
      </w:r>
      <w:r>
        <w:rPr>
          <w:color w:val="231F20"/>
        </w:rPr>
        <w:t>politico</w:t>
      </w:r>
      <w:r>
        <w:rPr>
          <w:color w:val="231F20"/>
          <w:spacing w:val="-17"/>
        </w:rPr>
        <w:t> </w:t>
      </w:r>
      <w:r>
        <w:rPr>
          <w:color w:val="231F20"/>
        </w:rPr>
        <w:t>ed economico che deve il suo successo al fatto che ha smesso di reprimere</w:t>
      </w:r>
      <w:r>
        <w:rPr>
          <w:color w:val="231F20"/>
          <w:spacing w:val="62"/>
        </w:rPr>
        <w:t> </w:t>
      </w:r>
      <w:r>
        <w:rPr>
          <w:color w:val="231F20"/>
        </w:rPr>
        <w:t>e</w:t>
      </w:r>
    </w:p>
    <w:p>
      <w:pPr>
        <w:pStyle w:val="BodyText"/>
        <w:spacing w:before="7"/>
        <w:rPr>
          <w:sz w:val="22"/>
        </w:rPr>
      </w:pPr>
      <w:r>
        <w:rPr/>
        <w:pict>
          <v:line style="position:absolute;mso-position-horizontal-relative:page;mso-position-vertical-relative:paragraph;z-index:11584;mso-wrap-distance-left:0;mso-wrap-distance-right:0" from="70.866096pt,15.760481pt" to="184.252096pt,15.760481pt" stroked="true" strokeweight=".3pt" strokecolor="#231f20">
            <w10:wrap type="topAndBottom"/>
          </v:line>
        </w:pict>
      </w:r>
    </w:p>
    <w:p>
      <w:pPr>
        <w:spacing w:line="206" w:lineRule="exact" w:before="10"/>
        <w:ind w:left="117" w:right="0" w:firstLine="0"/>
        <w:jc w:val="left"/>
        <w:rPr>
          <w:rFonts w:ascii="Calibri" w:hAnsi="Calibri"/>
          <w:sz w:val="17"/>
        </w:rPr>
      </w:pPr>
      <w:r>
        <w:rPr>
          <w:rFonts w:ascii="Calibri" w:hAnsi="Calibri"/>
          <w:color w:val="231F20"/>
          <w:position w:val="6"/>
          <w:sz w:val="10"/>
        </w:rPr>
        <w:t>28 </w:t>
      </w:r>
      <w:r>
        <w:rPr>
          <w:rFonts w:ascii="Calibri" w:hAnsi="Calibri"/>
          <w:color w:val="231F20"/>
          <w:sz w:val="17"/>
        </w:rPr>
        <w:t>H. Marcuse, </w:t>
      </w:r>
      <w:r>
        <w:rPr>
          <w:rFonts w:ascii="Calibri" w:hAnsi="Calibri"/>
          <w:i/>
          <w:color w:val="231F20"/>
          <w:sz w:val="17"/>
        </w:rPr>
        <w:t>El hombre unidimensional</w:t>
      </w:r>
      <w:r>
        <w:rPr>
          <w:rFonts w:ascii="Calibri" w:hAnsi="Calibri"/>
          <w:color w:val="231F20"/>
          <w:sz w:val="17"/>
        </w:rPr>
        <w:t>, México, Planeta, 1993, p. 105.</w:t>
      </w:r>
    </w:p>
    <w:p>
      <w:pPr>
        <w:spacing w:line="204" w:lineRule="exact" w:before="0"/>
        <w:ind w:left="117" w:right="0" w:firstLine="0"/>
        <w:jc w:val="left"/>
        <w:rPr>
          <w:rFonts w:ascii="Calibri" w:hAnsi="Calibri"/>
          <w:sz w:val="17"/>
        </w:rPr>
      </w:pPr>
      <w:r>
        <w:rPr>
          <w:rFonts w:ascii="Calibri" w:hAnsi="Calibri"/>
          <w:color w:val="231F20"/>
          <w:position w:val="6"/>
          <w:sz w:val="10"/>
        </w:rPr>
        <w:t>29 </w:t>
      </w:r>
      <w:r>
        <w:rPr>
          <w:rFonts w:ascii="Calibri" w:hAnsi="Calibri"/>
          <w:color w:val="231F20"/>
          <w:sz w:val="17"/>
        </w:rPr>
        <w:t>A. Badiou, </w:t>
      </w:r>
      <w:r>
        <w:rPr>
          <w:rFonts w:ascii="Calibri" w:hAnsi="Calibri"/>
          <w:i/>
          <w:color w:val="231F20"/>
          <w:sz w:val="17"/>
        </w:rPr>
        <w:t>Métaphysique du bonheur réel</w:t>
      </w:r>
      <w:r>
        <w:rPr>
          <w:rFonts w:ascii="Calibri" w:hAnsi="Calibri"/>
          <w:color w:val="231F20"/>
          <w:sz w:val="17"/>
        </w:rPr>
        <w:t>, Paris, PUF, 2015.</w:t>
      </w:r>
    </w:p>
    <w:p>
      <w:pPr>
        <w:spacing w:line="206" w:lineRule="exact" w:before="0"/>
        <w:ind w:left="117" w:right="0" w:firstLine="0"/>
        <w:jc w:val="left"/>
        <w:rPr>
          <w:rFonts w:ascii="Calibri"/>
          <w:sz w:val="17"/>
        </w:rPr>
      </w:pPr>
      <w:r>
        <w:rPr>
          <w:rFonts w:ascii="Calibri"/>
          <w:color w:val="231F20"/>
          <w:position w:val="6"/>
          <w:sz w:val="10"/>
        </w:rPr>
        <w:t>30 </w:t>
      </w:r>
      <w:r>
        <w:rPr>
          <w:rFonts w:ascii="Calibri"/>
          <w:color w:val="231F20"/>
          <w:sz w:val="17"/>
        </w:rPr>
        <w:t>Simone, </w:t>
      </w:r>
      <w:r>
        <w:rPr>
          <w:rFonts w:ascii="Calibri"/>
          <w:i/>
          <w:color w:val="231F20"/>
          <w:sz w:val="17"/>
        </w:rPr>
        <w:t>El monstruo amable</w:t>
      </w:r>
      <w:r>
        <w:rPr>
          <w:rFonts w:ascii="Calibri"/>
          <w:color w:val="231F20"/>
          <w:sz w:val="17"/>
        </w:rPr>
        <w:t>, p. 121.</w:t>
      </w:r>
    </w:p>
    <w:p>
      <w:pPr>
        <w:spacing w:after="0" w:line="206" w:lineRule="exact"/>
        <w:jc w:val="left"/>
        <w:rPr>
          <w:rFonts w:ascii="Calibri"/>
          <w:sz w:val="17"/>
        </w:rPr>
        <w:sectPr>
          <w:pgSz w:w="9640" w:h="13890"/>
          <w:pgMar w:top="0" w:bottom="280" w:left="1300" w:right="1180"/>
        </w:sectPr>
      </w:pPr>
    </w:p>
    <w:p>
      <w:pPr>
        <w:pStyle w:val="BodyText"/>
        <w:spacing w:line="247" w:lineRule="auto" w:before="107"/>
        <w:ind w:left="103" w:right="110"/>
        <w:jc w:val="both"/>
      </w:pPr>
      <w:r>
        <w:rPr>
          <w:color w:val="231F20"/>
          <w:spacing w:val="-4"/>
        </w:rPr>
        <w:t>costringere</w:t>
      </w:r>
      <w:r>
        <w:rPr>
          <w:color w:val="231F20"/>
          <w:spacing w:val="-11"/>
        </w:rPr>
        <w:t> </w:t>
      </w:r>
      <w:r>
        <w:rPr>
          <w:color w:val="231F20"/>
        </w:rPr>
        <w:t>per</w:t>
      </w:r>
      <w:r>
        <w:rPr>
          <w:color w:val="231F20"/>
          <w:spacing w:val="-11"/>
        </w:rPr>
        <w:t> </w:t>
      </w:r>
      <w:r>
        <w:rPr>
          <w:color w:val="231F20"/>
          <w:spacing w:val="-4"/>
        </w:rPr>
        <w:t>governare,</w:t>
      </w:r>
      <w:r>
        <w:rPr>
          <w:color w:val="231F20"/>
          <w:spacing w:val="-11"/>
        </w:rPr>
        <w:t> </w:t>
      </w:r>
      <w:r>
        <w:rPr>
          <w:color w:val="231F20"/>
        </w:rPr>
        <w:t>ora</w:t>
      </w:r>
      <w:r>
        <w:rPr>
          <w:color w:val="231F20"/>
          <w:spacing w:val="-11"/>
        </w:rPr>
        <w:t> </w:t>
      </w:r>
      <w:r>
        <w:rPr>
          <w:color w:val="231F20"/>
          <w:spacing w:val="-3"/>
        </w:rPr>
        <w:t>piuttosto</w:t>
      </w:r>
      <w:r>
        <w:rPr>
          <w:color w:val="231F20"/>
          <w:spacing w:val="-11"/>
        </w:rPr>
        <w:t> </w:t>
      </w:r>
      <w:r>
        <w:rPr>
          <w:color w:val="231F20"/>
          <w:spacing w:val="-4"/>
        </w:rPr>
        <w:t>produce</w:t>
      </w:r>
      <w:r>
        <w:rPr>
          <w:color w:val="231F20"/>
          <w:spacing w:val="-11"/>
        </w:rPr>
        <w:t> </w:t>
      </w:r>
      <w:r>
        <w:rPr>
          <w:color w:val="231F20"/>
          <w:spacing w:val="-3"/>
        </w:rPr>
        <w:t>libertà,</w:t>
      </w:r>
      <w:r>
        <w:rPr>
          <w:color w:val="231F20"/>
          <w:spacing w:val="-11"/>
        </w:rPr>
        <w:t> </w:t>
      </w:r>
      <w:r>
        <w:rPr>
          <w:color w:val="231F20"/>
        </w:rPr>
        <w:t>ma</w:t>
      </w:r>
      <w:r>
        <w:rPr>
          <w:color w:val="231F20"/>
          <w:spacing w:val="-11"/>
        </w:rPr>
        <w:t> </w:t>
      </w:r>
      <w:r>
        <w:rPr>
          <w:color w:val="231F20"/>
          <w:spacing w:val="-3"/>
        </w:rPr>
        <w:t>libertà</w:t>
      </w:r>
      <w:r>
        <w:rPr>
          <w:color w:val="231F20"/>
          <w:spacing w:val="-11"/>
        </w:rPr>
        <w:t> </w:t>
      </w:r>
      <w:r>
        <w:rPr>
          <w:color w:val="231F20"/>
          <w:spacing w:val="-3"/>
        </w:rPr>
        <w:t>funzionali </w:t>
      </w:r>
      <w:r>
        <w:rPr>
          <w:color w:val="231F20"/>
        </w:rPr>
        <w:t>per la logica liberale. In questa logica, i paradossi si vedono come un male necessario che viene compreso nell’ ambito dei rischi, ma che si possono sempre</w:t>
      </w:r>
      <w:r>
        <w:rPr>
          <w:color w:val="231F20"/>
          <w:spacing w:val="-17"/>
        </w:rPr>
        <w:t> </w:t>
      </w:r>
      <w:r>
        <w:rPr>
          <w:color w:val="231F20"/>
        </w:rPr>
        <w:t>gestire,</w:t>
      </w:r>
      <w:r>
        <w:rPr>
          <w:color w:val="231F20"/>
          <w:spacing w:val="-17"/>
        </w:rPr>
        <w:t> </w:t>
      </w:r>
      <w:r>
        <w:rPr>
          <w:color w:val="231F20"/>
        </w:rPr>
        <w:t>tollerare</w:t>
      </w:r>
      <w:r>
        <w:rPr>
          <w:color w:val="231F20"/>
          <w:spacing w:val="-17"/>
        </w:rPr>
        <w:t> </w:t>
      </w:r>
      <w:r>
        <w:rPr>
          <w:color w:val="231F20"/>
        </w:rPr>
        <w:t>e</w:t>
      </w:r>
      <w:r>
        <w:rPr>
          <w:color w:val="231F20"/>
          <w:spacing w:val="-17"/>
        </w:rPr>
        <w:t> </w:t>
      </w:r>
      <w:r>
        <w:rPr>
          <w:color w:val="231F20"/>
        </w:rPr>
        <w:t>includere.</w:t>
      </w:r>
      <w:r>
        <w:rPr>
          <w:color w:val="231F20"/>
          <w:spacing w:val="-17"/>
        </w:rPr>
        <w:t> </w:t>
      </w:r>
      <w:r>
        <w:rPr>
          <w:color w:val="231F20"/>
        </w:rPr>
        <w:t>Così,</w:t>
      </w:r>
      <w:r>
        <w:rPr>
          <w:color w:val="231F20"/>
          <w:spacing w:val="-17"/>
        </w:rPr>
        <w:t> </w:t>
      </w:r>
      <w:r>
        <w:rPr>
          <w:color w:val="231F20"/>
        </w:rPr>
        <w:t>la</w:t>
      </w:r>
      <w:r>
        <w:rPr>
          <w:color w:val="231F20"/>
          <w:spacing w:val="-17"/>
        </w:rPr>
        <w:t> </w:t>
      </w:r>
      <w:r>
        <w:rPr>
          <w:color w:val="231F20"/>
        </w:rPr>
        <w:t>caratteristica</w:t>
      </w:r>
      <w:r>
        <w:rPr>
          <w:color w:val="231F20"/>
          <w:spacing w:val="-17"/>
        </w:rPr>
        <w:t> </w:t>
      </w:r>
      <w:r>
        <w:rPr>
          <w:color w:val="231F20"/>
        </w:rPr>
        <w:t>propria</w:t>
      </w:r>
      <w:r>
        <w:rPr>
          <w:color w:val="231F20"/>
          <w:spacing w:val="-17"/>
        </w:rPr>
        <w:t> </w:t>
      </w:r>
      <w:r>
        <w:rPr>
          <w:color w:val="231F20"/>
        </w:rPr>
        <w:t>di</w:t>
      </w:r>
      <w:r>
        <w:rPr>
          <w:color w:val="231F20"/>
          <w:spacing w:val="-17"/>
        </w:rPr>
        <w:t> </w:t>
      </w:r>
      <w:r>
        <w:rPr>
          <w:color w:val="231F20"/>
        </w:rPr>
        <w:t>questa tappa</w:t>
      </w:r>
      <w:r>
        <w:rPr>
          <w:color w:val="231F20"/>
          <w:spacing w:val="-14"/>
        </w:rPr>
        <w:t> </w:t>
      </w:r>
      <w:r>
        <w:rPr>
          <w:color w:val="231F20"/>
        </w:rPr>
        <w:t>del</w:t>
      </w:r>
      <w:r>
        <w:rPr>
          <w:color w:val="231F20"/>
          <w:spacing w:val="-14"/>
        </w:rPr>
        <w:t> </w:t>
      </w:r>
      <w:r>
        <w:rPr>
          <w:color w:val="231F20"/>
        </w:rPr>
        <w:t>capitalismo</w:t>
      </w:r>
      <w:r>
        <w:rPr>
          <w:color w:val="231F20"/>
          <w:spacing w:val="-14"/>
        </w:rPr>
        <w:t> </w:t>
      </w:r>
      <w:r>
        <w:rPr>
          <w:color w:val="231F20"/>
        </w:rPr>
        <w:t>non</w:t>
      </w:r>
      <w:r>
        <w:rPr>
          <w:color w:val="231F20"/>
          <w:spacing w:val="-14"/>
        </w:rPr>
        <w:t> </w:t>
      </w:r>
      <w:r>
        <w:rPr>
          <w:color w:val="231F20"/>
        </w:rPr>
        <w:t>è</w:t>
      </w:r>
      <w:r>
        <w:rPr>
          <w:color w:val="231F20"/>
          <w:spacing w:val="-14"/>
        </w:rPr>
        <w:t> </w:t>
      </w:r>
      <w:r>
        <w:rPr>
          <w:color w:val="231F20"/>
        </w:rPr>
        <w:t>la</w:t>
      </w:r>
      <w:r>
        <w:rPr>
          <w:color w:val="231F20"/>
          <w:spacing w:val="-14"/>
        </w:rPr>
        <w:t> </w:t>
      </w:r>
      <w:r>
        <w:rPr>
          <w:color w:val="231F20"/>
          <w:spacing w:val="-3"/>
        </w:rPr>
        <w:t>repressione,</w:t>
      </w:r>
      <w:r>
        <w:rPr>
          <w:color w:val="231F20"/>
          <w:spacing w:val="-14"/>
        </w:rPr>
        <w:t> </w:t>
      </w:r>
      <w:r>
        <w:rPr>
          <w:color w:val="231F20"/>
        </w:rPr>
        <w:t>ma</w:t>
      </w:r>
      <w:r>
        <w:rPr>
          <w:color w:val="231F20"/>
          <w:spacing w:val="-14"/>
        </w:rPr>
        <w:t> </w:t>
      </w:r>
      <w:r>
        <w:rPr>
          <w:color w:val="231F20"/>
        </w:rPr>
        <w:t>il</w:t>
      </w:r>
      <w:r>
        <w:rPr>
          <w:color w:val="231F20"/>
          <w:spacing w:val="-14"/>
        </w:rPr>
        <w:t> </w:t>
      </w:r>
      <w:r>
        <w:rPr>
          <w:color w:val="231F20"/>
          <w:spacing w:val="-3"/>
        </w:rPr>
        <w:t>produrre</w:t>
      </w:r>
      <w:r>
        <w:rPr>
          <w:color w:val="231F20"/>
          <w:spacing w:val="-14"/>
        </w:rPr>
        <w:t> </w:t>
      </w:r>
      <w:r>
        <w:rPr>
          <w:color w:val="231F20"/>
        </w:rPr>
        <w:t>e</w:t>
      </w:r>
      <w:r>
        <w:rPr>
          <w:color w:val="231F20"/>
          <w:spacing w:val="-14"/>
        </w:rPr>
        <w:t> </w:t>
      </w:r>
      <w:r>
        <w:rPr>
          <w:color w:val="231F20"/>
          <w:spacing w:val="-3"/>
        </w:rPr>
        <w:t>consumare</w:t>
      </w:r>
      <w:r>
        <w:rPr>
          <w:color w:val="231F20"/>
          <w:spacing w:val="-14"/>
        </w:rPr>
        <w:t> </w:t>
      </w:r>
      <w:r>
        <w:rPr>
          <w:color w:val="231F20"/>
        </w:rPr>
        <w:t>delle libertà. Questa nuova arte di</w:t>
      </w:r>
      <w:r>
        <w:rPr>
          <w:color w:val="231F20"/>
          <w:spacing w:val="-20"/>
        </w:rPr>
        <w:t> </w:t>
      </w:r>
      <w:r>
        <w:rPr>
          <w:color w:val="231F20"/>
        </w:rPr>
        <w:t>governare:</w:t>
      </w:r>
    </w:p>
    <w:p>
      <w:pPr>
        <w:pStyle w:val="BodyText"/>
        <w:spacing w:before="10"/>
        <w:rPr>
          <w:sz w:val="22"/>
        </w:rPr>
      </w:pPr>
    </w:p>
    <w:p>
      <w:pPr>
        <w:spacing w:line="220" w:lineRule="exact" w:before="1"/>
        <w:ind w:left="1521" w:right="110" w:firstLine="0"/>
        <w:jc w:val="both"/>
        <w:rPr>
          <w:sz w:val="19"/>
        </w:rPr>
      </w:pPr>
      <w:r>
        <w:rPr>
          <w:color w:val="231F20"/>
          <w:w w:val="105"/>
          <w:sz w:val="19"/>
        </w:rPr>
        <w:t>[…]</w:t>
      </w:r>
      <w:r>
        <w:rPr>
          <w:color w:val="231F20"/>
          <w:spacing w:val="-36"/>
          <w:w w:val="105"/>
          <w:sz w:val="19"/>
        </w:rPr>
        <w:t> </w:t>
      </w:r>
      <w:r>
        <w:rPr>
          <w:color w:val="231F20"/>
          <w:w w:val="105"/>
          <w:sz w:val="19"/>
        </w:rPr>
        <w:t>non</w:t>
      </w:r>
      <w:r>
        <w:rPr>
          <w:color w:val="231F20"/>
          <w:spacing w:val="-36"/>
          <w:w w:val="105"/>
          <w:sz w:val="19"/>
        </w:rPr>
        <w:t> </w:t>
      </w:r>
      <w:r>
        <w:rPr>
          <w:color w:val="231F20"/>
          <w:w w:val="105"/>
          <w:sz w:val="19"/>
        </w:rPr>
        <w:t>si</w:t>
      </w:r>
      <w:r>
        <w:rPr>
          <w:color w:val="231F20"/>
          <w:spacing w:val="-36"/>
          <w:w w:val="105"/>
          <w:sz w:val="19"/>
        </w:rPr>
        <w:t> </w:t>
      </w:r>
      <w:r>
        <w:rPr>
          <w:color w:val="231F20"/>
          <w:w w:val="105"/>
          <w:sz w:val="19"/>
        </w:rPr>
        <w:t>accontenta</w:t>
      </w:r>
      <w:r>
        <w:rPr>
          <w:color w:val="231F20"/>
          <w:spacing w:val="-36"/>
          <w:w w:val="105"/>
          <w:sz w:val="19"/>
        </w:rPr>
        <w:t> </w:t>
      </w:r>
      <w:r>
        <w:rPr>
          <w:color w:val="231F20"/>
          <w:w w:val="105"/>
          <w:sz w:val="19"/>
        </w:rPr>
        <w:t>di</w:t>
      </w:r>
      <w:r>
        <w:rPr>
          <w:color w:val="231F20"/>
          <w:spacing w:val="-36"/>
          <w:w w:val="105"/>
          <w:sz w:val="19"/>
        </w:rPr>
        <w:t> </w:t>
      </w:r>
      <w:r>
        <w:rPr>
          <w:color w:val="231F20"/>
          <w:w w:val="105"/>
          <w:sz w:val="19"/>
        </w:rPr>
        <w:t>rispettare</w:t>
      </w:r>
      <w:r>
        <w:rPr>
          <w:color w:val="231F20"/>
          <w:spacing w:val="-36"/>
          <w:w w:val="105"/>
          <w:sz w:val="19"/>
        </w:rPr>
        <w:t> </w:t>
      </w:r>
      <w:r>
        <w:rPr>
          <w:color w:val="231F20"/>
          <w:w w:val="105"/>
          <w:sz w:val="19"/>
        </w:rPr>
        <w:t>tale</w:t>
      </w:r>
      <w:r>
        <w:rPr>
          <w:color w:val="231F20"/>
          <w:spacing w:val="-36"/>
          <w:w w:val="105"/>
          <w:sz w:val="19"/>
        </w:rPr>
        <w:t> </w:t>
      </w:r>
      <w:r>
        <w:rPr>
          <w:color w:val="231F20"/>
          <w:w w:val="105"/>
          <w:sz w:val="19"/>
        </w:rPr>
        <w:t>o</w:t>
      </w:r>
      <w:r>
        <w:rPr>
          <w:color w:val="231F20"/>
          <w:spacing w:val="-36"/>
          <w:w w:val="105"/>
          <w:sz w:val="19"/>
        </w:rPr>
        <w:t> </w:t>
      </w:r>
      <w:r>
        <w:rPr>
          <w:color w:val="231F20"/>
          <w:w w:val="105"/>
          <w:sz w:val="19"/>
        </w:rPr>
        <w:t>quale</w:t>
      </w:r>
      <w:r>
        <w:rPr>
          <w:color w:val="231F20"/>
          <w:spacing w:val="-36"/>
          <w:w w:val="105"/>
          <w:sz w:val="19"/>
        </w:rPr>
        <w:t> </w:t>
      </w:r>
      <w:r>
        <w:rPr>
          <w:color w:val="231F20"/>
          <w:w w:val="105"/>
          <w:sz w:val="19"/>
        </w:rPr>
        <w:t>libertà,</w:t>
      </w:r>
      <w:r>
        <w:rPr>
          <w:color w:val="231F20"/>
          <w:spacing w:val="-36"/>
          <w:w w:val="105"/>
          <w:sz w:val="19"/>
        </w:rPr>
        <w:t> </w:t>
      </w:r>
      <w:r>
        <w:rPr>
          <w:color w:val="231F20"/>
          <w:w w:val="105"/>
          <w:sz w:val="19"/>
        </w:rPr>
        <w:t>di</w:t>
      </w:r>
      <w:r>
        <w:rPr>
          <w:color w:val="231F20"/>
          <w:spacing w:val="-36"/>
          <w:w w:val="105"/>
          <w:sz w:val="19"/>
        </w:rPr>
        <w:t> </w:t>
      </w:r>
      <w:r>
        <w:rPr>
          <w:color w:val="231F20"/>
          <w:w w:val="105"/>
          <w:sz w:val="19"/>
        </w:rPr>
        <w:t>garantire tale</w:t>
      </w:r>
      <w:r>
        <w:rPr>
          <w:color w:val="231F20"/>
          <w:spacing w:val="-16"/>
          <w:w w:val="105"/>
          <w:sz w:val="19"/>
        </w:rPr>
        <w:t> </w:t>
      </w:r>
      <w:r>
        <w:rPr>
          <w:color w:val="231F20"/>
          <w:w w:val="105"/>
          <w:sz w:val="19"/>
        </w:rPr>
        <w:t>o</w:t>
      </w:r>
      <w:r>
        <w:rPr>
          <w:color w:val="231F20"/>
          <w:spacing w:val="-16"/>
          <w:w w:val="105"/>
          <w:sz w:val="19"/>
        </w:rPr>
        <w:t> </w:t>
      </w:r>
      <w:r>
        <w:rPr>
          <w:color w:val="231F20"/>
          <w:w w:val="105"/>
          <w:sz w:val="19"/>
        </w:rPr>
        <w:t>tale</w:t>
      </w:r>
      <w:r>
        <w:rPr>
          <w:color w:val="231F20"/>
          <w:spacing w:val="-16"/>
          <w:w w:val="105"/>
          <w:sz w:val="19"/>
        </w:rPr>
        <w:t> </w:t>
      </w:r>
      <w:r>
        <w:rPr>
          <w:color w:val="231F20"/>
          <w:w w:val="105"/>
          <w:sz w:val="19"/>
        </w:rPr>
        <w:t>libertà.</w:t>
      </w:r>
      <w:r>
        <w:rPr>
          <w:color w:val="231F20"/>
          <w:spacing w:val="-16"/>
          <w:w w:val="105"/>
          <w:sz w:val="19"/>
        </w:rPr>
        <w:t> </w:t>
      </w:r>
      <w:r>
        <w:rPr>
          <w:color w:val="231F20"/>
          <w:w w:val="105"/>
          <w:sz w:val="19"/>
        </w:rPr>
        <w:t>Più</w:t>
      </w:r>
      <w:r>
        <w:rPr>
          <w:color w:val="231F20"/>
          <w:spacing w:val="-16"/>
          <w:w w:val="105"/>
          <w:sz w:val="19"/>
        </w:rPr>
        <w:t> </w:t>
      </w:r>
      <w:r>
        <w:rPr>
          <w:color w:val="231F20"/>
          <w:w w:val="105"/>
          <w:sz w:val="19"/>
        </w:rPr>
        <w:t>profondamente,</w:t>
      </w:r>
      <w:r>
        <w:rPr>
          <w:color w:val="231F20"/>
          <w:spacing w:val="-16"/>
          <w:w w:val="105"/>
          <w:sz w:val="19"/>
        </w:rPr>
        <w:t> </w:t>
      </w:r>
      <w:r>
        <w:rPr>
          <w:color w:val="231F20"/>
          <w:w w:val="105"/>
          <w:sz w:val="19"/>
        </w:rPr>
        <w:t>consuma</w:t>
      </w:r>
      <w:r>
        <w:rPr>
          <w:color w:val="231F20"/>
          <w:spacing w:val="-16"/>
          <w:w w:val="105"/>
          <w:sz w:val="19"/>
        </w:rPr>
        <w:t> </w:t>
      </w:r>
      <w:r>
        <w:rPr>
          <w:color w:val="231F20"/>
          <w:w w:val="105"/>
          <w:sz w:val="19"/>
        </w:rPr>
        <w:t>libertà.</w:t>
      </w:r>
      <w:r>
        <w:rPr>
          <w:color w:val="231F20"/>
          <w:spacing w:val="-16"/>
          <w:w w:val="105"/>
          <w:sz w:val="19"/>
        </w:rPr>
        <w:t> </w:t>
      </w:r>
      <w:r>
        <w:rPr>
          <w:color w:val="231F20"/>
          <w:w w:val="105"/>
          <w:sz w:val="19"/>
        </w:rPr>
        <w:t>[…]</w:t>
      </w:r>
      <w:r>
        <w:rPr>
          <w:color w:val="231F20"/>
          <w:spacing w:val="-16"/>
          <w:w w:val="105"/>
          <w:sz w:val="19"/>
        </w:rPr>
        <w:t> </w:t>
      </w:r>
      <w:r>
        <w:rPr>
          <w:color w:val="231F20"/>
          <w:w w:val="105"/>
          <w:sz w:val="19"/>
        </w:rPr>
        <w:t>non può funzionare se non nella misura che </w:t>
      </w:r>
      <w:r>
        <w:rPr>
          <w:color w:val="231F20"/>
          <w:spacing w:val="2"/>
          <w:w w:val="105"/>
          <w:sz w:val="19"/>
        </w:rPr>
        <w:t>c’è </w:t>
      </w:r>
      <w:r>
        <w:rPr>
          <w:color w:val="231F20"/>
          <w:w w:val="105"/>
          <w:sz w:val="19"/>
        </w:rPr>
        <w:t>effettivamente un certo</w:t>
      </w:r>
      <w:r>
        <w:rPr>
          <w:color w:val="231F20"/>
          <w:spacing w:val="-11"/>
          <w:w w:val="105"/>
          <w:sz w:val="19"/>
        </w:rPr>
        <w:t> </w:t>
      </w:r>
      <w:r>
        <w:rPr>
          <w:color w:val="231F20"/>
          <w:w w:val="105"/>
          <w:sz w:val="19"/>
        </w:rPr>
        <w:t>numero</w:t>
      </w:r>
      <w:r>
        <w:rPr>
          <w:color w:val="231F20"/>
          <w:spacing w:val="-11"/>
          <w:w w:val="105"/>
          <w:sz w:val="19"/>
        </w:rPr>
        <w:t> </w:t>
      </w:r>
      <w:r>
        <w:rPr>
          <w:color w:val="231F20"/>
          <w:w w:val="105"/>
          <w:sz w:val="19"/>
        </w:rPr>
        <w:t>di</w:t>
      </w:r>
      <w:r>
        <w:rPr>
          <w:color w:val="231F20"/>
          <w:spacing w:val="-11"/>
          <w:w w:val="105"/>
          <w:sz w:val="19"/>
        </w:rPr>
        <w:t> </w:t>
      </w:r>
      <w:r>
        <w:rPr>
          <w:color w:val="231F20"/>
          <w:w w:val="105"/>
          <w:sz w:val="19"/>
        </w:rPr>
        <w:t>libertà:</w:t>
      </w:r>
      <w:r>
        <w:rPr>
          <w:color w:val="231F20"/>
          <w:spacing w:val="-11"/>
          <w:w w:val="105"/>
          <w:sz w:val="19"/>
        </w:rPr>
        <w:t> </w:t>
      </w:r>
      <w:r>
        <w:rPr>
          <w:color w:val="231F20"/>
          <w:w w:val="105"/>
          <w:sz w:val="19"/>
        </w:rPr>
        <w:t>libertà</w:t>
      </w:r>
      <w:r>
        <w:rPr>
          <w:color w:val="231F20"/>
          <w:spacing w:val="-11"/>
          <w:w w:val="105"/>
          <w:sz w:val="19"/>
        </w:rPr>
        <w:t> </w:t>
      </w:r>
      <w:r>
        <w:rPr>
          <w:color w:val="231F20"/>
          <w:w w:val="105"/>
          <w:sz w:val="19"/>
        </w:rPr>
        <w:t>di</w:t>
      </w:r>
      <w:r>
        <w:rPr>
          <w:color w:val="231F20"/>
          <w:spacing w:val="-11"/>
          <w:w w:val="105"/>
          <w:sz w:val="19"/>
        </w:rPr>
        <w:t> </w:t>
      </w:r>
      <w:r>
        <w:rPr>
          <w:color w:val="231F20"/>
          <w:w w:val="105"/>
          <w:sz w:val="19"/>
        </w:rPr>
        <w:t>mercato,</w:t>
      </w:r>
      <w:r>
        <w:rPr>
          <w:color w:val="231F20"/>
          <w:spacing w:val="-11"/>
          <w:w w:val="105"/>
          <w:sz w:val="19"/>
        </w:rPr>
        <w:t> </w:t>
      </w:r>
      <w:r>
        <w:rPr>
          <w:color w:val="231F20"/>
          <w:w w:val="105"/>
          <w:sz w:val="19"/>
        </w:rPr>
        <w:t>libertà</w:t>
      </w:r>
      <w:r>
        <w:rPr>
          <w:color w:val="231F20"/>
          <w:spacing w:val="-11"/>
          <w:w w:val="105"/>
          <w:sz w:val="19"/>
        </w:rPr>
        <w:t> </w:t>
      </w:r>
      <w:r>
        <w:rPr>
          <w:color w:val="231F20"/>
          <w:w w:val="105"/>
          <w:sz w:val="19"/>
        </w:rPr>
        <w:t>del</w:t>
      </w:r>
      <w:r>
        <w:rPr>
          <w:color w:val="231F20"/>
          <w:spacing w:val="-11"/>
          <w:w w:val="105"/>
          <w:sz w:val="19"/>
        </w:rPr>
        <w:t> </w:t>
      </w:r>
      <w:r>
        <w:rPr>
          <w:color w:val="231F20"/>
          <w:w w:val="105"/>
          <w:sz w:val="19"/>
        </w:rPr>
        <w:t>venditore e</w:t>
      </w:r>
      <w:r>
        <w:rPr>
          <w:color w:val="231F20"/>
          <w:spacing w:val="-9"/>
          <w:w w:val="105"/>
          <w:sz w:val="19"/>
        </w:rPr>
        <w:t> </w:t>
      </w:r>
      <w:r>
        <w:rPr>
          <w:color w:val="231F20"/>
          <w:w w:val="105"/>
          <w:sz w:val="19"/>
        </w:rPr>
        <w:t>del</w:t>
      </w:r>
      <w:r>
        <w:rPr>
          <w:color w:val="231F20"/>
          <w:spacing w:val="-9"/>
          <w:w w:val="105"/>
          <w:sz w:val="19"/>
        </w:rPr>
        <w:t> </w:t>
      </w:r>
      <w:r>
        <w:rPr>
          <w:color w:val="231F20"/>
          <w:w w:val="105"/>
          <w:sz w:val="19"/>
        </w:rPr>
        <w:t>compratore,</w:t>
      </w:r>
      <w:r>
        <w:rPr>
          <w:color w:val="231F20"/>
          <w:spacing w:val="-9"/>
          <w:w w:val="105"/>
          <w:sz w:val="19"/>
        </w:rPr>
        <w:t> </w:t>
      </w:r>
      <w:r>
        <w:rPr>
          <w:color w:val="231F20"/>
          <w:w w:val="105"/>
          <w:sz w:val="19"/>
        </w:rPr>
        <w:t>libero</w:t>
      </w:r>
      <w:r>
        <w:rPr>
          <w:color w:val="231F20"/>
          <w:spacing w:val="-9"/>
          <w:w w:val="105"/>
          <w:sz w:val="19"/>
        </w:rPr>
        <w:t> </w:t>
      </w:r>
      <w:r>
        <w:rPr>
          <w:color w:val="231F20"/>
          <w:w w:val="105"/>
          <w:sz w:val="19"/>
        </w:rPr>
        <w:t>esercizio</w:t>
      </w:r>
      <w:r>
        <w:rPr>
          <w:color w:val="231F20"/>
          <w:spacing w:val="-9"/>
          <w:w w:val="105"/>
          <w:sz w:val="19"/>
        </w:rPr>
        <w:t> </w:t>
      </w:r>
      <w:r>
        <w:rPr>
          <w:color w:val="231F20"/>
          <w:w w:val="105"/>
          <w:sz w:val="19"/>
        </w:rPr>
        <w:t>del</w:t>
      </w:r>
      <w:r>
        <w:rPr>
          <w:color w:val="231F20"/>
          <w:spacing w:val="-9"/>
          <w:w w:val="105"/>
          <w:sz w:val="19"/>
        </w:rPr>
        <w:t> </w:t>
      </w:r>
      <w:r>
        <w:rPr>
          <w:color w:val="231F20"/>
          <w:w w:val="105"/>
          <w:sz w:val="19"/>
        </w:rPr>
        <w:t>diritto</w:t>
      </w:r>
      <w:r>
        <w:rPr>
          <w:color w:val="231F20"/>
          <w:spacing w:val="-9"/>
          <w:w w:val="105"/>
          <w:sz w:val="19"/>
        </w:rPr>
        <w:t> </w:t>
      </w:r>
      <w:r>
        <w:rPr>
          <w:color w:val="231F20"/>
          <w:w w:val="105"/>
          <w:sz w:val="19"/>
        </w:rPr>
        <w:t>di</w:t>
      </w:r>
      <w:r>
        <w:rPr>
          <w:color w:val="231F20"/>
          <w:spacing w:val="-9"/>
          <w:w w:val="105"/>
          <w:sz w:val="19"/>
        </w:rPr>
        <w:t> </w:t>
      </w:r>
      <w:r>
        <w:rPr>
          <w:color w:val="231F20"/>
          <w:w w:val="105"/>
          <w:sz w:val="19"/>
        </w:rPr>
        <w:t>proprietà,</w:t>
      </w:r>
      <w:r>
        <w:rPr>
          <w:color w:val="231F20"/>
          <w:spacing w:val="-9"/>
          <w:w w:val="105"/>
          <w:sz w:val="19"/>
        </w:rPr>
        <w:t> </w:t>
      </w:r>
      <w:r>
        <w:rPr>
          <w:color w:val="231F20"/>
          <w:w w:val="105"/>
          <w:sz w:val="19"/>
        </w:rPr>
        <w:t>libertà di discussione ed eventualmente libertà d’espressione, ecc. La nuova ragione governativa ha bisogno di libertà, la nuova arte </w:t>
      </w:r>
      <w:r>
        <w:rPr>
          <w:color w:val="231F20"/>
          <w:spacing w:val="-3"/>
          <w:w w:val="105"/>
          <w:sz w:val="19"/>
        </w:rPr>
        <w:t>governativa</w:t>
      </w:r>
      <w:r>
        <w:rPr>
          <w:color w:val="231F20"/>
          <w:spacing w:val="-38"/>
          <w:w w:val="105"/>
          <w:sz w:val="19"/>
        </w:rPr>
        <w:t> </w:t>
      </w:r>
      <w:r>
        <w:rPr>
          <w:color w:val="231F20"/>
          <w:spacing w:val="-3"/>
          <w:w w:val="105"/>
          <w:sz w:val="19"/>
        </w:rPr>
        <w:t>consuma</w:t>
      </w:r>
      <w:r>
        <w:rPr>
          <w:color w:val="231F20"/>
          <w:spacing w:val="-38"/>
          <w:w w:val="105"/>
          <w:sz w:val="19"/>
        </w:rPr>
        <w:t> </w:t>
      </w:r>
      <w:r>
        <w:rPr>
          <w:color w:val="231F20"/>
          <w:spacing w:val="-3"/>
          <w:w w:val="105"/>
          <w:sz w:val="19"/>
        </w:rPr>
        <w:t>libertà</w:t>
      </w:r>
      <w:r>
        <w:rPr>
          <w:color w:val="231F20"/>
          <w:spacing w:val="-38"/>
          <w:w w:val="105"/>
          <w:sz w:val="19"/>
        </w:rPr>
        <w:t> </w:t>
      </w:r>
      <w:r>
        <w:rPr>
          <w:color w:val="231F20"/>
          <w:w w:val="105"/>
          <w:sz w:val="19"/>
        </w:rPr>
        <w:t>[…]</w:t>
      </w:r>
      <w:r>
        <w:rPr>
          <w:color w:val="231F20"/>
          <w:spacing w:val="-36"/>
          <w:w w:val="105"/>
          <w:sz w:val="19"/>
        </w:rPr>
        <w:t> </w:t>
      </w:r>
      <w:r>
        <w:rPr>
          <w:color w:val="231F20"/>
          <w:w w:val="105"/>
          <w:sz w:val="19"/>
        </w:rPr>
        <w:t>è</w:t>
      </w:r>
      <w:r>
        <w:rPr>
          <w:color w:val="231F20"/>
          <w:spacing w:val="-38"/>
          <w:w w:val="105"/>
          <w:sz w:val="19"/>
        </w:rPr>
        <w:t> </w:t>
      </w:r>
      <w:r>
        <w:rPr>
          <w:color w:val="231F20"/>
          <w:spacing w:val="-3"/>
          <w:w w:val="105"/>
          <w:sz w:val="19"/>
        </w:rPr>
        <w:t>obbligato</w:t>
      </w:r>
      <w:r>
        <w:rPr>
          <w:color w:val="231F20"/>
          <w:spacing w:val="-38"/>
          <w:w w:val="105"/>
          <w:sz w:val="19"/>
        </w:rPr>
        <w:t> </w:t>
      </w:r>
      <w:r>
        <w:rPr>
          <w:color w:val="231F20"/>
          <w:w w:val="105"/>
          <w:sz w:val="19"/>
        </w:rPr>
        <w:t>a</w:t>
      </w:r>
      <w:r>
        <w:rPr>
          <w:color w:val="231F20"/>
          <w:spacing w:val="-38"/>
          <w:w w:val="105"/>
          <w:sz w:val="19"/>
        </w:rPr>
        <w:t> </w:t>
      </w:r>
      <w:r>
        <w:rPr>
          <w:color w:val="231F20"/>
          <w:spacing w:val="-3"/>
          <w:w w:val="105"/>
          <w:sz w:val="19"/>
        </w:rPr>
        <w:t>produrla,</w:t>
      </w:r>
      <w:r>
        <w:rPr>
          <w:color w:val="231F20"/>
          <w:spacing w:val="-37"/>
          <w:w w:val="105"/>
          <w:sz w:val="19"/>
        </w:rPr>
        <w:t> </w:t>
      </w:r>
      <w:r>
        <w:rPr>
          <w:color w:val="231F20"/>
          <w:w w:val="105"/>
          <w:sz w:val="19"/>
        </w:rPr>
        <w:t>è</w:t>
      </w:r>
      <w:r>
        <w:rPr>
          <w:color w:val="231F20"/>
          <w:spacing w:val="-38"/>
          <w:w w:val="105"/>
          <w:sz w:val="19"/>
        </w:rPr>
        <w:t> </w:t>
      </w:r>
      <w:r>
        <w:rPr>
          <w:color w:val="231F20"/>
          <w:spacing w:val="-3"/>
          <w:w w:val="105"/>
          <w:sz w:val="19"/>
        </w:rPr>
        <w:t>obbligato </w:t>
      </w:r>
      <w:r>
        <w:rPr>
          <w:color w:val="231F20"/>
          <w:sz w:val="19"/>
        </w:rPr>
        <w:t>ad</w:t>
      </w:r>
      <w:r>
        <w:rPr>
          <w:color w:val="231F20"/>
          <w:spacing w:val="-22"/>
          <w:sz w:val="19"/>
        </w:rPr>
        <w:t> </w:t>
      </w:r>
      <w:r>
        <w:rPr>
          <w:color w:val="231F20"/>
          <w:sz w:val="19"/>
        </w:rPr>
        <w:t>organizzarla.</w:t>
      </w:r>
      <w:r>
        <w:rPr>
          <w:color w:val="231F20"/>
          <w:position w:val="6"/>
          <w:sz w:val="11"/>
        </w:rPr>
        <w:t>31</w:t>
      </w:r>
      <w:r>
        <w:rPr>
          <w:color w:val="231F20"/>
          <w:sz w:val="19"/>
        </w:rPr>
        <w:t>.</w:t>
      </w:r>
    </w:p>
    <w:p>
      <w:pPr>
        <w:pStyle w:val="BodyText"/>
        <w:spacing w:before="11"/>
        <w:rPr>
          <w:sz w:val="23"/>
        </w:rPr>
      </w:pPr>
    </w:p>
    <w:p>
      <w:pPr>
        <w:pStyle w:val="BodyText"/>
        <w:spacing w:line="247" w:lineRule="auto"/>
        <w:ind w:left="103" w:right="114"/>
        <w:jc w:val="both"/>
      </w:pPr>
      <w:r>
        <w:rPr>
          <w:color w:val="231F20"/>
        </w:rPr>
        <w:t>In “Poscritto alle società di controllo”, Gilles Deleuze torna sullo stesso tema e per questo riprende anche un motivo foucoltiano: il passaggio</w:t>
      </w:r>
      <w:r>
        <w:rPr>
          <w:color w:val="231F20"/>
          <w:spacing w:val="-36"/>
        </w:rPr>
        <w:t> </w:t>
      </w:r>
      <w:r>
        <w:rPr>
          <w:color w:val="231F20"/>
        </w:rPr>
        <w:t>delle </w:t>
      </w:r>
      <w:r>
        <w:rPr>
          <w:color w:val="231F20"/>
          <w:spacing w:val="-3"/>
        </w:rPr>
        <w:t>società disciplinare </w:t>
      </w:r>
      <w:r>
        <w:rPr>
          <w:color w:val="231F20"/>
        </w:rPr>
        <w:t>alle </w:t>
      </w:r>
      <w:r>
        <w:rPr>
          <w:color w:val="231F20"/>
          <w:spacing w:val="-3"/>
        </w:rPr>
        <w:t>società </w:t>
      </w:r>
      <w:r>
        <w:rPr>
          <w:color w:val="231F20"/>
        </w:rPr>
        <w:t>di </w:t>
      </w:r>
      <w:r>
        <w:rPr>
          <w:color w:val="231F20"/>
          <w:spacing w:val="-3"/>
        </w:rPr>
        <w:t>controllo. </w:t>
      </w:r>
      <w:r>
        <w:rPr>
          <w:color w:val="231F20"/>
        </w:rPr>
        <w:t>Le </w:t>
      </w:r>
      <w:r>
        <w:rPr>
          <w:color w:val="231F20"/>
          <w:spacing w:val="-3"/>
        </w:rPr>
        <w:t>collocazioni </w:t>
      </w:r>
      <w:r>
        <w:rPr>
          <w:color w:val="231F20"/>
        </w:rPr>
        <w:t>in </w:t>
      </w:r>
      <w:r>
        <w:rPr>
          <w:color w:val="231F20"/>
          <w:spacing w:val="-3"/>
        </w:rPr>
        <w:t>posti chiusi —la </w:t>
      </w:r>
      <w:r>
        <w:rPr>
          <w:color w:val="231F20"/>
        </w:rPr>
        <w:t>fabbrica, la scuola, la prigione, l’ospedale, ecc.—, il confinamento in piani ben quadrettati, un’amministrazione puntuale del tempo e delle attività,    è quello che ha dato alle discipline la loro principale forza ed effettività: produrre soggetti ubbidienti e capaci per il lavoro. Comunque, le cose  sono cambiate, vediamo apparire nuove forme che non si basano oramai sulla chiusura, ma in una forma di controllo più sottile, all’ </w:t>
      </w:r>
      <w:r>
        <w:rPr>
          <w:rFonts w:ascii="Arial" w:hAnsi="Arial"/>
          <w:i/>
          <w:color w:val="231F20"/>
        </w:rPr>
        <w:t>aria aperta</w:t>
      </w:r>
      <w:r>
        <w:rPr>
          <w:color w:val="231F20"/>
        </w:rPr>
        <w:t>, i flussi non si fermano ne si ostacolano, anzi, si animano, si reindirizzano, si spingono. La videosorveglianza, le nuove tecnologie dell’informazione, la delocalizzazione che loro permettono, la transnazionalizzazione, la porosità e indeterminazione degli Stati–nazionali e le frontiere, così come il flusso continuo</w:t>
      </w:r>
      <w:r>
        <w:rPr>
          <w:color w:val="231F20"/>
          <w:spacing w:val="-27"/>
        </w:rPr>
        <w:t> </w:t>
      </w:r>
      <w:r>
        <w:rPr>
          <w:color w:val="231F20"/>
        </w:rPr>
        <w:t>di</w:t>
      </w:r>
      <w:r>
        <w:rPr>
          <w:color w:val="231F20"/>
          <w:spacing w:val="-27"/>
        </w:rPr>
        <w:t> </w:t>
      </w:r>
      <w:r>
        <w:rPr>
          <w:color w:val="231F20"/>
        </w:rPr>
        <w:t>persone,</w:t>
      </w:r>
      <w:r>
        <w:rPr>
          <w:color w:val="231F20"/>
          <w:spacing w:val="-27"/>
        </w:rPr>
        <w:t> </w:t>
      </w:r>
      <w:r>
        <w:rPr>
          <w:color w:val="231F20"/>
          <w:spacing w:val="-3"/>
        </w:rPr>
        <w:t>merci,</w:t>
      </w:r>
      <w:r>
        <w:rPr>
          <w:color w:val="231F20"/>
          <w:spacing w:val="-27"/>
        </w:rPr>
        <w:t> </w:t>
      </w:r>
      <w:r>
        <w:rPr>
          <w:color w:val="231F20"/>
        </w:rPr>
        <w:t>dati,</w:t>
      </w:r>
      <w:r>
        <w:rPr>
          <w:color w:val="231F20"/>
          <w:spacing w:val="-27"/>
        </w:rPr>
        <w:t> </w:t>
      </w:r>
      <w:r>
        <w:rPr>
          <w:color w:val="231F20"/>
        </w:rPr>
        <w:t>soldi,</w:t>
      </w:r>
      <w:r>
        <w:rPr>
          <w:color w:val="231F20"/>
          <w:spacing w:val="-27"/>
        </w:rPr>
        <w:t> </w:t>
      </w:r>
      <w:r>
        <w:rPr>
          <w:color w:val="231F20"/>
        </w:rPr>
        <w:t>immagini,</w:t>
      </w:r>
      <w:r>
        <w:rPr>
          <w:color w:val="231F20"/>
          <w:spacing w:val="-27"/>
        </w:rPr>
        <w:t> </w:t>
      </w:r>
      <w:r>
        <w:rPr>
          <w:color w:val="231F20"/>
        </w:rPr>
        <w:t>ecc.,</w:t>
      </w:r>
      <w:r>
        <w:rPr>
          <w:color w:val="231F20"/>
          <w:spacing w:val="-27"/>
        </w:rPr>
        <w:t> </w:t>
      </w:r>
      <w:r>
        <w:rPr>
          <w:color w:val="231F20"/>
        </w:rPr>
        <w:t>hanno</w:t>
      </w:r>
      <w:r>
        <w:rPr>
          <w:color w:val="231F20"/>
          <w:spacing w:val="-27"/>
        </w:rPr>
        <w:t> </w:t>
      </w:r>
      <w:r>
        <w:rPr>
          <w:color w:val="231F20"/>
        </w:rPr>
        <w:t>fatto</w:t>
      </w:r>
      <w:r>
        <w:rPr>
          <w:color w:val="231F20"/>
          <w:spacing w:val="-27"/>
        </w:rPr>
        <w:t> </w:t>
      </w:r>
      <w:r>
        <w:rPr>
          <w:color w:val="231F20"/>
        </w:rPr>
        <w:t>necessaria tutta una nuova logica di governo non più basata sulle grandi</w:t>
      </w:r>
      <w:r>
        <w:rPr>
          <w:color w:val="231F20"/>
          <w:spacing w:val="-5"/>
        </w:rPr>
        <w:t> </w:t>
      </w:r>
      <w:r>
        <w:rPr>
          <w:color w:val="231F20"/>
        </w:rPr>
        <w:t>reclusioni.</w:t>
      </w:r>
    </w:p>
    <w:p>
      <w:pPr>
        <w:pStyle w:val="BodyText"/>
        <w:spacing w:before="10"/>
        <w:rPr>
          <w:sz w:val="22"/>
        </w:rPr>
      </w:pPr>
    </w:p>
    <w:p>
      <w:pPr>
        <w:spacing w:line="220" w:lineRule="exact" w:before="1"/>
        <w:ind w:left="1521" w:right="114" w:firstLine="0"/>
        <w:jc w:val="both"/>
        <w:rPr>
          <w:sz w:val="19"/>
        </w:rPr>
      </w:pPr>
      <w:r>
        <w:rPr>
          <w:color w:val="231F20"/>
          <w:w w:val="105"/>
          <w:sz w:val="19"/>
        </w:rPr>
        <w:t>Sono le società di controllo quelle in processo di rimpiazzare le società</w:t>
      </w:r>
      <w:r>
        <w:rPr>
          <w:color w:val="231F20"/>
          <w:spacing w:val="-29"/>
          <w:w w:val="105"/>
          <w:sz w:val="19"/>
        </w:rPr>
        <w:t> </w:t>
      </w:r>
      <w:r>
        <w:rPr>
          <w:color w:val="231F20"/>
          <w:w w:val="105"/>
          <w:sz w:val="19"/>
        </w:rPr>
        <w:t>disciplinare.</w:t>
      </w:r>
      <w:r>
        <w:rPr>
          <w:color w:val="231F20"/>
          <w:spacing w:val="-29"/>
          <w:w w:val="105"/>
          <w:sz w:val="19"/>
        </w:rPr>
        <w:t> </w:t>
      </w:r>
      <w:r>
        <w:rPr>
          <w:color w:val="231F20"/>
          <w:w w:val="105"/>
          <w:sz w:val="19"/>
        </w:rPr>
        <w:t>“Controllo”</w:t>
      </w:r>
      <w:r>
        <w:rPr>
          <w:color w:val="231F20"/>
          <w:spacing w:val="-29"/>
          <w:w w:val="105"/>
          <w:sz w:val="19"/>
        </w:rPr>
        <w:t> </w:t>
      </w:r>
      <w:r>
        <w:rPr>
          <w:color w:val="231F20"/>
          <w:w w:val="105"/>
          <w:sz w:val="19"/>
        </w:rPr>
        <w:t>è</w:t>
      </w:r>
      <w:r>
        <w:rPr>
          <w:color w:val="231F20"/>
          <w:spacing w:val="-29"/>
          <w:w w:val="105"/>
          <w:sz w:val="19"/>
        </w:rPr>
        <w:t> </w:t>
      </w:r>
      <w:r>
        <w:rPr>
          <w:color w:val="231F20"/>
          <w:w w:val="105"/>
          <w:sz w:val="19"/>
        </w:rPr>
        <w:t>il</w:t>
      </w:r>
      <w:r>
        <w:rPr>
          <w:color w:val="231F20"/>
          <w:spacing w:val="-29"/>
          <w:w w:val="105"/>
          <w:sz w:val="19"/>
        </w:rPr>
        <w:t> </w:t>
      </w:r>
      <w:r>
        <w:rPr>
          <w:color w:val="231F20"/>
          <w:w w:val="105"/>
          <w:sz w:val="19"/>
        </w:rPr>
        <w:t>nome</w:t>
      </w:r>
      <w:r>
        <w:rPr>
          <w:color w:val="231F20"/>
          <w:spacing w:val="-29"/>
          <w:w w:val="105"/>
          <w:sz w:val="19"/>
        </w:rPr>
        <w:t> </w:t>
      </w:r>
      <w:r>
        <w:rPr>
          <w:color w:val="231F20"/>
          <w:w w:val="105"/>
          <w:sz w:val="19"/>
        </w:rPr>
        <w:t>che</w:t>
      </w:r>
      <w:r>
        <w:rPr>
          <w:color w:val="231F20"/>
          <w:spacing w:val="-29"/>
          <w:w w:val="105"/>
          <w:sz w:val="19"/>
        </w:rPr>
        <w:t> </w:t>
      </w:r>
      <w:r>
        <w:rPr>
          <w:color w:val="231F20"/>
          <w:w w:val="105"/>
          <w:sz w:val="19"/>
        </w:rPr>
        <w:t>Burroughs</w:t>
      </w:r>
      <w:r>
        <w:rPr>
          <w:color w:val="231F20"/>
          <w:spacing w:val="-29"/>
          <w:w w:val="105"/>
          <w:sz w:val="19"/>
        </w:rPr>
        <w:t> </w:t>
      </w:r>
      <w:r>
        <w:rPr>
          <w:color w:val="231F20"/>
          <w:w w:val="105"/>
          <w:sz w:val="19"/>
        </w:rPr>
        <w:t>propone per</w:t>
      </w:r>
      <w:r>
        <w:rPr>
          <w:color w:val="231F20"/>
          <w:spacing w:val="-6"/>
          <w:w w:val="105"/>
          <w:sz w:val="19"/>
        </w:rPr>
        <w:t> </w:t>
      </w:r>
      <w:r>
        <w:rPr>
          <w:color w:val="231F20"/>
          <w:w w:val="105"/>
          <w:sz w:val="19"/>
        </w:rPr>
        <w:t>designare</w:t>
      </w:r>
      <w:r>
        <w:rPr>
          <w:color w:val="231F20"/>
          <w:spacing w:val="-6"/>
          <w:w w:val="105"/>
          <w:sz w:val="19"/>
        </w:rPr>
        <w:t> </w:t>
      </w:r>
      <w:r>
        <w:rPr>
          <w:color w:val="231F20"/>
          <w:w w:val="105"/>
          <w:sz w:val="19"/>
        </w:rPr>
        <w:t>il</w:t>
      </w:r>
      <w:r>
        <w:rPr>
          <w:color w:val="231F20"/>
          <w:spacing w:val="-6"/>
          <w:w w:val="105"/>
          <w:sz w:val="19"/>
        </w:rPr>
        <w:t> </w:t>
      </w:r>
      <w:r>
        <w:rPr>
          <w:color w:val="231F20"/>
          <w:w w:val="105"/>
          <w:sz w:val="19"/>
        </w:rPr>
        <w:t>nuovo</w:t>
      </w:r>
      <w:r>
        <w:rPr>
          <w:color w:val="231F20"/>
          <w:spacing w:val="-6"/>
          <w:w w:val="105"/>
          <w:sz w:val="19"/>
        </w:rPr>
        <w:t> </w:t>
      </w:r>
      <w:r>
        <w:rPr>
          <w:color w:val="231F20"/>
          <w:w w:val="105"/>
          <w:sz w:val="19"/>
        </w:rPr>
        <w:t>mostro</w:t>
      </w:r>
      <w:r>
        <w:rPr>
          <w:color w:val="231F20"/>
          <w:spacing w:val="-6"/>
          <w:w w:val="105"/>
          <w:sz w:val="19"/>
        </w:rPr>
        <w:t> </w:t>
      </w:r>
      <w:r>
        <w:rPr>
          <w:color w:val="231F20"/>
          <w:w w:val="105"/>
          <w:sz w:val="19"/>
        </w:rPr>
        <w:t>e</w:t>
      </w:r>
      <w:r>
        <w:rPr>
          <w:color w:val="231F20"/>
          <w:spacing w:val="-6"/>
          <w:w w:val="105"/>
          <w:sz w:val="19"/>
        </w:rPr>
        <w:t> </w:t>
      </w:r>
      <w:r>
        <w:rPr>
          <w:color w:val="231F20"/>
          <w:w w:val="105"/>
          <w:sz w:val="19"/>
        </w:rPr>
        <w:t>che</w:t>
      </w:r>
      <w:r>
        <w:rPr>
          <w:color w:val="231F20"/>
          <w:spacing w:val="-6"/>
          <w:w w:val="105"/>
          <w:sz w:val="19"/>
        </w:rPr>
        <w:t> </w:t>
      </w:r>
      <w:r>
        <w:rPr>
          <w:color w:val="231F20"/>
          <w:w w:val="105"/>
          <w:sz w:val="19"/>
        </w:rPr>
        <w:t>Foucault</w:t>
      </w:r>
      <w:r>
        <w:rPr>
          <w:color w:val="231F20"/>
          <w:spacing w:val="-6"/>
          <w:w w:val="105"/>
          <w:sz w:val="19"/>
        </w:rPr>
        <w:t> </w:t>
      </w:r>
      <w:r>
        <w:rPr>
          <w:color w:val="231F20"/>
          <w:w w:val="105"/>
          <w:sz w:val="19"/>
        </w:rPr>
        <w:t>riconosce</w:t>
      </w:r>
      <w:r>
        <w:rPr>
          <w:color w:val="231F20"/>
          <w:spacing w:val="-6"/>
          <w:w w:val="105"/>
          <w:sz w:val="19"/>
        </w:rPr>
        <w:t> </w:t>
      </w:r>
      <w:r>
        <w:rPr>
          <w:color w:val="231F20"/>
          <w:w w:val="105"/>
          <w:sz w:val="19"/>
        </w:rPr>
        <w:t>come</w:t>
      </w:r>
      <w:r>
        <w:rPr>
          <w:color w:val="231F20"/>
          <w:spacing w:val="-6"/>
          <w:w w:val="105"/>
          <w:sz w:val="19"/>
        </w:rPr>
        <w:t> </w:t>
      </w:r>
      <w:r>
        <w:rPr>
          <w:color w:val="231F20"/>
          <w:w w:val="105"/>
          <w:sz w:val="19"/>
        </w:rPr>
        <w:t>il nostro</w:t>
      </w:r>
      <w:r>
        <w:rPr>
          <w:color w:val="231F20"/>
          <w:spacing w:val="-30"/>
          <w:w w:val="105"/>
          <w:sz w:val="19"/>
        </w:rPr>
        <w:t> </w:t>
      </w:r>
      <w:r>
        <w:rPr>
          <w:color w:val="231F20"/>
          <w:w w:val="105"/>
          <w:sz w:val="19"/>
        </w:rPr>
        <w:t>futuro.</w:t>
      </w:r>
      <w:r>
        <w:rPr>
          <w:color w:val="231F20"/>
          <w:spacing w:val="-30"/>
          <w:w w:val="105"/>
          <w:sz w:val="19"/>
        </w:rPr>
        <w:t> </w:t>
      </w:r>
      <w:r>
        <w:rPr>
          <w:color w:val="231F20"/>
          <w:w w:val="105"/>
          <w:sz w:val="19"/>
        </w:rPr>
        <w:t>Anche</w:t>
      </w:r>
      <w:r>
        <w:rPr>
          <w:color w:val="231F20"/>
          <w:spacing w:val="-30"/>
          <w:w w:val="105"/>
          <w:sz w:val="19"/>
        </w:rPr>
        <w:t> </w:t>
      </w:r>
      <w:r>
        <w:rPr>
          <w:color w:val="231F20"/>
          <w:w w:val="105"/>
          <w:sz w:val="19"/>
        </w:rPr>
        <w:t>Paul</w:t>
      </w:r>
      <w:r>
        <w:rPr>
          <w:color w:val="231F20"/>
          <w:spacing w:val="-30"/>
          <w:w w:val="105"/>
          <w:sz w:val="19"/>
        </w:rPr>
        <w:t> </w:t>
      </w:r>
      <w:r>
        <w:rPr>
          <w:color w:val="231F20"/>
          <w:w w:val="105"/>
          <w:sz w:val="19"/>
        </w:rPr>
        <w:t>Virilio</w:t>
      </w:r>
      <w:r>
        <w:rPr>
          <w:color w:val="231F20"/>
          <w:spacing w:val="-30"/>
          <w:w w:val="105"/>
          <w:sz w:val="19"/>
        </w:rPr>
        <w:t> </w:t>
      </w:r>
      <w:r>
        <w:rPr>
          <w:color w:val="231F20"/>
          <w:w w:val="105"/>
          <w:sz w:val="19"/>
        </w:rPr>
        <w:t>non</w:t>
      </w:r>
      <w:r>
        <w:rPr>
          <w:color w:val="231F20"/>
          <w:spacing w:val="-30"/>
          <w:w w:val="105"/>
          <w:sz w:val="19"/>
        </w:rPr>
        <w:t> </w:t>
      </w:r>
      <w:r>
        <w:rPr>
          <w:color w:val="231F20"/>
          <w:w w:val="105"/>
          <w:sz w:val="19"/>
        </w:rPr>
        <w:t>smette</w:t>
      </w:r>
      <w:r>
        <w:rPr>
          <w:color w:val="231F20"/>
          <w:spacing w:val="-30"/>
          <w:w w:val="105"/>
          <w:sz w:val="19"/>
        </w:rPr>
        <w:t> </w:t>
      </w:r>
      <w:r>
        <w:rPr>
          <w:color w:val="231F20"/>
          <w:w w:val="105"/>
          <w:sz w:val="19"/>
        </w:rPr>
        <w:t>di</w:t>
      </w:r>
      <w:r>
        <w:rPr>
          <w:color w:val="231F20"/>
          <w:spacing w:val="-30"/>
          <w:w w:val="105"/>
          <w:sz w:val="19"/>
        </w:rPr>
        <w:t> </w:t>
      </w:r>
      <w:r>
        <w:rPr>
          <w:color w:val="231F20"/>
          <w:w w:val="105"/>
          <w:sz w:val="19"/>
        </w:rPr>
        <w:t>analizzare</w:t>
      </w:r>
      <w:r>
        <w:rPr>
          <w:color w:val="231F20"/>
          <w:spacing w:val="-30"/>
          <w:w w:val="105"/>
          <w:sz w:val="19"/>
        </w:rPr>
        <w:t> </w:t>
      </w:r>
      <w:r>
        <w:rPr>
          <w:color w:val="231F20"/>
          <w:w w:val="105"/>
          <w:sz w:val="19"/>
        </w:rPr>
        <w:t>le</w:t>
      </w:r>
      <w:r>
        <w:rPr>
          <w:color w:val="231F20"/>
          <w:spacing w:val="-30"/>
          <w:w w:val="105"/>
          <w:sz w:val="19"/>
        </w:rPr>
        <w:t> </w:t>
      </w:r>
      <w:r>
        <w:rPr>
          <w:color w:val="231F20"/>
          <w:w w:val="105"/>
          <w:sz w:val="19"/>
        </w:rPr>
        <w:t>forme ultrarapide</w:t>
      </w:r>
      <w:r>
        <w:rPr>
          <w:color w:val="231F20"/>
          <w:spacing w:val="-37"/>
          <w:w w:val="105"/>
          <w:sz w:val="19"/>
        </w:rPr>
        <w:t> </w:t>
      </w:r>
      <w:r>
        <w:rPr>
          <w:color w:val="231F20"/>
          <w:w w:val="105"/>
          <w:sz w:val="19"/>
        </w:rPr>
        <w:t>di</w:t>
      </w:r>
      <w:r>
        <w:rPr>
          <w:color w:val="231F20"/>
          <w:spacing w:val="-37"/>
          <w:w w:val="105"/>
          <w:sz w:val="19"/>
        </w:rPr>
        <w:t> </w:t>
      </w:r>
      <w:r>
        <w:rPr>
          <w:color w:val="231F20"/>
          <w:w w:val="105"/>
          <w:sz w:val="19"/>
        </w:rPr>
        <w:t>controllo</w:t>
      </w:r>
      <w:r>
        <w:rPr>
          <w:color w:val="231F20"/>
          <w:spacing w:val="-37"/>
          <w:w w:val="105"/>
          <w:sz w:val="19"/>
        </w:rPr>
        <w:t> </w:t>
      </w:r>
      <w:r>
        <w:rPr>
          <w:color w:val="231F20"/>
          <w:w w:val="105"/>
          <w:sz w:val="19"/>
        </w:rPr>
        <w:t>all’aria</w:t>
      </w:r>
      <w:r>
        <w:rPr>
          <w:color w:val="231F20"/>
          <w:spacing w:val="-37"/>
          <w:w w:val="105"/>
          <w:sz w:val="19"/>
        </w:rPr>
        <w:t> </w:t>
      </w:r>
      <w:r>
        <w:rPr>
          <w:color w:val="231F20"/>
          <w:w w:val="105"/>
          <w:sz w:val="19"/>
        </w:rPr>
        <w:t>aperta,</w:t>
      </w:r>
      <w:r>
        <w:rPr>
          <w:color w:val="231F20"/>
          <w:spacing w:val="-37"/>
          <w:w w:val="105"/>
          <w:sz w:val="19"/>
        </w:rPr>
        <w:t> </w:t>
      </w:r>
      <w:r>
        <w:rPr>
          <w:color w:val="231F20"/>
          <w:w w:val="105"/>
          <w:sz w:val="19"/>
        </w:rPr>
        <w:t>che</w:t>
      </w:r>
      <w:r>
        <w:rPr>
          <w:color w:val="231F20"/>
          <w:spacing w:val="-37"/>
          <w:w w:val="105"/>
          <w:sz w:val="19"/>
        </w:rPr>
        <w:t> </w:t>
      </w:r>
      <w:r>
        <w:rPr>
          <w:color w:val="231F20"/>
          <w:w w:val="105"/>
          <w:sz w:val="19"/>
        </w:rPr>
        <w:t>sostituiscono</w:t>
      </w:r>
      <w:r>
        <w:rPr>
          <w:color w:val="231F20"/>
          <w:spacing w:val="-37"/>
          <w:w w:val="105"/>
          <w:sz w:val="19"/>
        </w:rPr>
        <w:t> </w:t>
      </w:r>
      <w:r>
        <w:rPr>
          <w:color w:val="231F20"/>
          <w:w w:val="105"/>
          <w:sz w:val="19"/>
        </w:rPr>
        <w:t>le</w:t>
      </w:r>
      <w:r>
        <w:rPr>
          <w:color w:val="231F20"/>
          <w:spacing w:val="-37"/>
          <w:w w:val="105"/>
          <w:sz w:val="19"/>
        </w:rPr>
        <w:t> </w:t>
      </w:r>
      <w:r>
        <w:rPr>
          <w:color w:val="231F20"/>
          <w:w w:val="105"/>
          <w:sz w:val="19"/>
        </w:rPr>
        <w:t>vecchie discipline</w:t>
      </w:r>
      <w:r>
        <w:rPr>
          <w:color w:val="231F20"/>
          <w:spacing w:val="-28"/>
          <w:w w:val="105"/>
          <w:sz w:val="19"/>
        </w:rPr>
        <w:t> </w:t>
      </w:r>
      <w:r>
        <w:rPr>
          <w:color w:val="231F20"/>
          <w:w w:val="105"/>
          <w:sz w:val="19"/>
        </w:rPr>
        <w:t>che</w:t>
      </w:r>
      <w:r>
        <w:rPr>
          <w:color w:val="231F20"/>
          <w:spacing w:val="-28"/>
          <w:w w:val="105"/>
          <w:sz w:val="19"/>
        </w:rPr>
        <w:t> </w:t>
      </w:r>
      <w:r>
        <w:rPr>
          <w:color w:val="231F20"/>
          <w:w w:val="105"/>
          <w:sz w:val="19"/>
        </w:rPr>
        <w:t>operano</w:t>
      </w:r>
      <w:r>
        <w:rPr>
          <w:color w:val="231F20"/>
          <w:spacing w:val="-28"/>
          <w:w w:val="105"/>
          <w:sz w:val="19"/>
        </w:rPr>
        <w:t> </w:t>
      </w:r>
      <w:r>
        <w:rPr>
          <w:color w:val="231F20"/>
          <w:w w:val="105"/>
          <w:sz w:val="19"/>
        </w:rPr>
        <w:t>nella</w:t>
      </w:r>
      <w:r>
        <w:rPr>
          <w:color w:val="231F20"/>
          <w:spacing w:val="-28"/>
          <w:w w:val="105"/>
          <w:sz w:val="19"/>
        </w:rPr>
        <w:t> </w:t>
      </w:r>
      <w:r>
        <w:rPr>
          <w:color w:val="231F20"/>
          <w:w w:val="105"/>
          <w:sz w:val="19"/>
        </w:rPr>
        <w:t>durazione</w:t>
      </w:r>
      <w:r>
        <w:rPr>
          <w:color w:val="231F20"/>
          <w:spacing w:val="-28"/>
          <w:w w:val="105"/>
          <w:sz w:val="19"/>
        </w:rPr>
        <w:t> </w:t>
      </w:r>
      <w:r>
        <w:rPr>
          <w:color w:val="231F20"/>
          <w:w w:val="105"/>
          <w:sz w:val="19"/>
        </w:rPr>
        <w:t>di</w:t>
      </w:r>
      <w:r>
        <w:rPr>
          <w:color w:val="231F20"/>
          <w:spacing w:val="-28"/>
          <w:w w:val="105"/>
          <w:sz w:val="19"/>
        </w:rPr>
        <w:t> </w:t>
      </w:r>
      <w:r>
        <w:rPr>
          <w:color w:val="231F20"/>
          <w:w w:val="105"/>
          <w:sz w:val="19"/>
        </w:rPr>
        <w:t>un</w:t>
      </w:r>
      <w:r>
        <w:rPr>
          <w:color w:val="231F20"/>
          <w:spacing w:val="-28"/>
          <w:w w:val="105"/>
          <w:sz w:val="19"/>
        </w:rPr>
        <w:t> </w:t>
      </w:r>
      <w:r>
        <w:rPr>
          <w:color w:val="231F20"/>
          <w:w w:val="105"/>
          <w:sz w:val="19"/>
        </w:rPr>
        <w:t>sistema</w:t>
      </w:r>
      <w:r>
        <w:rPr>
          <w:color w:val="231F20"/>
          <w:spacing w:val="-28"/>
          <w:w w:val="105"/>
          <w:sz w:val="19"/>
        </w:rPr>
        <w:t> </w:t>
      </w:r>
      <w:r>
        <w:rPr>
          <w:color w:val="231F20"/>
          <w:w w:val="105"/>
          <w:sz w:val="19"/>
        </w:rPr>
        <w:t>chiuso</w:t>
      </w:r>
      <w:r>
        <w:rPr>
          <w:color w:val="231F20"/>
          <w:w w:val="105"/>
          <w:position w:val="6"/>
          <w:sz w:val="11"/>
        </w:rPr>
        <w:t>32</w:t>
      </w:r>
      <w:r>
        <w:rPr>
          <w:color w:val="231F20"/>
          <w:w w:val="105"/>
          <w:sz w:val="19"/>
        </w:rPr>
        <w:t>.</w:t>
      </w:r>
    </w:p>
    <w:p>
      <w:pPr>
        <w:pStyle w:val="BodyText"/>
        <w:rPr>
          <w:sz w:val="20"/>
        </w:rPr>
      </w:pPr>
    </w:p>
    <w:p>
      <w:pPr>
        <w:pStyle w:val="BodyText"/>
        <w:rPr>
          <w:sz w:val="20"/>
        </w:rPr>
      </w:pPr>
    </w:p>
    <w:p>
      <w:pPr>
        <w:pStyle w:val="BodyText"/>
        <w:rPr>
          <w:sz w:val="20"/>
        </w:rPr>
      </w:pPr>
    </w:p>
    <w:p>
      <w:pPr>
        <w:pStyle w:val="BodyText"/>
        <w:spacing w:before="10"/>
        <w:rPr>
          <w:sz w:val="22"/>
        </w:rPr>
      </w:pPr>
      <w:r>
        <w:rPr/>
        <w:pict>
          <v:line style="position:absolute;mso-position-horizontal-relative:page;mso-position-vertical-relative:paragraph;z-index:11632;mso-wrap-distance-left:0;mso-wrap-distance-right:0" from="65.1968pt,15.925264pt" to="178.5828pt,15.925264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w w:val="105"/>
          <w:position w:val="6"/>
          <w:sz w:val="10"/>
        </w:rPr>
        <w:t>31 </w:t>
      </w:r>
      <w:r>
        <w:rPr>
          <w:rFonts w:ascii="Calibri" w:hAnsi="Calibri"/>
          <w:color w:val="231F20"/>
          <w:w w:val="105"/>
          <w:sz w:val="17"/>
        </w:rPr>
        <w:t>M. Foucault, </w:t>
      </w:r>
      <w:r>
        <w:rPr>
          <w:rFonts w:ascii="Calibri" w:hAnsi="Calibri"/>
          <w:i/>
          <w:color w:val="231F20"/>
          <w:w w:val="105"/>
          <w:sz w:val="17"/>
        </w:rPr>
        <w:t>Naissance de la biopolitique</w:t>
      </w:r>
      <w:r>
        <w:rPr>
          <w:rFonts w:ascii="Calibri" w:hAnsi="Calibri"/>
          <w:color w:val="231F20"/>
          <w:w w:val="105"/>
          <w:sz w:val="17"/>
        </w:rPr>
        <w:t>, Paris, Gallimard–Seuil, 2004, p. 65.</w:t>
      </w:r>
    </w:p>
    <w:p>
      <w:pPr>
        <w:spacing w:line="206" w:lineRule="exact" w:before="0"/>
        <w:ind w:left="103" w:right="0" w:firstLine="0"/>
        <w:jc w:val="left"/>
        <w:rPr>
          <w:rFonts w:ascii="Calibri"/>
          <w:sz w:val="17"/>
        </w:rPr>
      </w:pPr>
      <w:r>
        <w:rPr>
          <w:rFonts w:ascii="Calibri"/>
          <w:color w:val="231F20"/>
          <w:position w:val="6"/>
          <w:sz w:val="10"/>
        </w:rPr>
        <w:t>32 </w:t>
      </w:r>
      <w:r>
        <w:rPr>
          <w:rFonts w:ascii="Calibri"/>
          <w:color w:val="231F20"/>
          <w:sz w:val="17"/>
        </w:rPr>
        <w:t>Deleuze, </w:t>
      </w:r>
      <w:r>
        <w:rPr>
          <w:rFonts w:ascii="Calibri"/>
          <w:i/>
          <w:color w:val="231F20"/>
          <w:sz w:val="17"/>
        </w:rPr>
        <w:t>Pourparlers, </w:t>
      </w:r>
      <w:r>
        <w:rPr>
          <w:rFonts w:ascii="Calibri"/>
          <w:color w:val="231F20"/>
          <w:sz w:val="17"/>
        </w:rPr>
        <w:t>p. 241.</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3744"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74</w:t>
        <w:tab/>
      </w:r>
      <w:r>
        <w:rPr>
          <w:rFonts w:ascii="Calibri" w:hAnsi="Calibri"/>
          <w:color w:val="6D6E71"/>
          <w:w w:val="105"/>
          <w:sz w:val="16"/>
        </w:rPr>
        <w:t>María</w:t>
      </w:r>
      <w:r>
        <w:rPr>
          <w:rFonts w:ascii="Calibri" w:hAnsi="Calibri"/>
          <w:color w:val="6D6E71"/>
          <w:spacing w:val="-19"/>
          <w:w w:val="105"/>
          <w:sz w:val="16"/>
        </w:rPr>
        <w:t> </w:t>
      </w:r>
      <w:r>
        <w:rPr>
          <w:rFonts w:ascii="Calibri" w:hAnsi="Calibri"/>
          <w:color w:val="6D6E71"/>
          <w:w w:val="105"/>
          <w:sz w:val="16"/>
        </w:rPr>
        <w:t>Luisa</w:t>
      </w:r>
      <w:r>
        <w:rPr>
          <w:rFonts w:ascii="Calibri" w:hAnsi="Calibri"/>
          <w:color w:val="6D6E71"/>
          <w:spacing w:val="-19"/>
          <w:w w:val="105"/>
          <w:sz w:val="16"/>
        </w:rPr>
        <w:t> </w:t>
      </w:r>
      <w:r>
        <w:rPr>
          <w:rFonts w:ascii="Calibri" w:hAnsi="Calibri"/>
          <w:color w:val="6D6E71"/>
          <w:w w:val="105"/>
          <w:sz w:val="16"/>
        </w:rPr>
        <w:t>Bacarlett</w:t>
      </w:r>
      <w:r>
        <w:rPr>
          <w:rFonts w:ascii="Calibri" w:hAnsi="Calibri"/>
          <w:color w:val="6D6E71"/>
          <w:spacing w:val="-19"/>
          <w:w w:val="105"/>
          <w:sz w:val="16"/>
        </w:rPr>
        <w:t> </w:t>
      </w:r>
      <w:r>
        <w:rPr>
          <w:rFonts w:ascii="Calibri" w:hAnsi="Calibri"/>
          <w:color w:val="6D6E71"/>
          <w:w w:val="105"/>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717" w:right="0" w:firstLine="0"/>
        <w:jc w:val="left"/>
        <w:rPr>
          <w:rFonts w:ascii="Trebuchet MS"/>
          <w:sz w:val="20"/>
        </w:rPr>
      </w:pPr>
      <w:r>
        <w:rPr/>
        <w:pict>
          <v:group style="position:absolute;margin-left:383.821014pt;margin-top:-25.479271pt;width:8.65pt;height:41pt;mso-position-horizontal-relative:page;mso-position-vertical-relative:paragraph;z-index:-16369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color w:val="6D6E71"/>
          <w:w w:val="95"/>
          <w:sz w:val="14"/>
        </w:rPr>
        <w:t>NATURALIZZARE</w:t>
      </w:r>
      <w:r>
        <w:rPr>
          <w:rFonts w:ascii="Lucida Sans Unicode"/>
          <w:color w:val="6D6E71"/>
          <w:spacing w:val="-18"/>
          <w:w w:val="95"/>
          <w:sz w:val="14"/>
        </w:rPr>
        <w:t> </w:t>
      </w:r>
      <w:r>
        <w:rPr>
          <w:rFonts w:ascii="Lucida Sans Unicode"/>
          <w:color w:val="6D6E71"/>
          <w:w w:val="95"/>
          <w:sz w:val="14"/>
        </w:rPr>
        <w:t>I</w:t>
      </w:r>
      <w:r>
        <w:rPr>
          <w:rFonts w:ascii="Lucida Sans Unicode"/>
          <w:color w:val="6D6E71"/>
          <w:spacing w:val="-18"/>
          <w:w w:val="95"/>
          <w:sz w:val="14"/>
        </w:rPr>
        <w:t> </w:t>
      </w:r>
      <w:r>
        <w:rPr>
          <w:rFonts w:ascii="Lucida Sans Unicode"/>
          <w:color w:val="6D6E71"/>
          <w:w w:val="95"/>
          <w:sz w:val="14"/>
        </w:rPr>
        <w:t>PARADOSSI:</w:t>
      </w:r>
      <w:r>
        <w:rPr>
          <w:rFonts w:ascii="Lucida Sans Unicode"/>
          <w:color w:val="6D6E71"/>
          <w:spacing w:val="-18"/>
          <w:w w:val="95"/>
          <w:sz w:val="14"/>
        </w:rPr>
        <w:t> </w:t>
      </w:r>
      <w:r>
        <w:rPr>
          <w:rFonts w:ascii="Lucida Sans Unicode"/>
          <w:color w:val="6D6E71"/>
          <w:w w:val="95"/>
          <w:sz w:val="14"/>
        </w:rPr>
        <w:t>UN</w:t>
      </w:r>
      <w:r>
        <w:rPr>
          <w:rFonts w:ascii="Lucida Sans Unicode"/>
          <w:color w:val="6D6E71"/>
          <w:spacing w:val="-18"/>
          <w:w w:val="95"/>
          <w:sz w:val="14"/>
        </w:rPr>
        <w:t> </w:t>
      </w:r>
      <w:r>
        <w:rPr>
          <w:rFonts w:ascii="Lucida Sans Unicode"/>
          <w:color w:val="6D6E71"/>
          <w:w w:val="95"/>
          <w:sz w:val="14"/>
        </w:rPr>
        <w:t>APPROCCIO</w:t>
      </w:r>
      <w:r>
        <w:rPr>
          <w:rFonts w:ascii="Lucida Sans Unicode"/>
          <w:color w:val="6D6E71"/>
          <w:spacing w:val="-18"/>
          <w:w w:val="95"/>
          <w:sz w:val="14"/>
        </w:rPr>
        <w:t> </w:t>
      </w:r>
      <w:r>
        <w:rPr>
          <w:rFonts w:ascii="Lucida Sans Unicode"/>
          <w:color w:val="6D6E71"/>
          <w:w w:val="95"/>
          <w:sz w:val="14"/>
        </w:rPr>
        <w:t>ALLA</w:t>
      </w:r>
      <w:r>
        <w:rPr>
          <w:rFonts w:ascii="Lucida Sans Unicode"/>
          <w:color w:val="6D6E71"/>
          <w:spacing w:val="-18"/>
          <w:w w:val="95"/>
          <w:sz w:val="14"/>
        </w:rPr>
        <w:t> </w:t>
      </w:r>
      <w:r>
        <w:rPr>
          <w:rFonts w:ascii="Lucida Sans Unicode"/>
          <w:color w:val="6D6E71"/>
          <w:w w:val="95"/>
          <w:sz w:val="14"/>
        </w:rPr>
        <w:t>GLOBALIZZAZIONE</w:t>
      </w:r>
      <w:r>
        <w:rPr>
          <w:rFonts w:ascii="Lucida Sans Unicode"/>
          <w:color w:val="6D6E71"/>
          <w:spacing w:val="-18"/>
          <w:w w:val="95"/>
          <w:sz w:val="14"/>
        </w:rPr>
        <w:t> </w:t>
      </w:r>
      <w:r>
        <w:rPr>
          <w:rFonts w:ascii="Lucida Sans Unicode"/>
          <w:color w:val="6D6E71"/>
          <w:w w:val="95"/>
          <w:sz w:val="14"/>
        </w:rPr>
        <w:t>DA</w:t>
      </w:r>
      <w:r>
        <w:rPr>
          <w:rFonts w:ascii="Lucida Sans Unicode"/>
          <w:color w:val="6D6E71"/>
          <w:spacing w:val="-18"/>
          <w:w w:val="95"/>
          <w:sz w:val="14"/>
        </w:rPr>
        <w:t> </w:t>
      </w:r>
      <w:r>
        <w:rPr>
          <w:rFonts w:ascii="Lucida Sans Unicode"/>
          <w:color w:val="6D6E71"/>
          <w:w w:val="95"/>
          <w:sz w:val="14"/>
        </w:rPr>
        <w:t>GILLES</w:t>
      </w:r>
      <w:r>
        <w:rPr>
          <w:rFonts w:ascii="Lucida Sans Unicode"/>
          <w:color w:val="6D6E71"/>
          <w:spacing w:val="-18"/>
          <w:w w:val="95"/>
          <w:sz w:val="14"/>
        </w:rPr>
        <w:t> </w:t>
      </w:r>
      <w:r>
        <w:rPr>
          <w:rFonts w:ascii="Lucida Sans Unicode"/>
          <w:color w:val="6D6E71"/>
          <w:w w:val="95"/>
          <w:sz w:val="14"/>
        </w:rPr>
        <w:t>DELEUZE</w:t>
      </w:r>
      <w:r>
        <w:rPr>
          <w:rFonts w:ascii="Trebuchet MS"/>
          <w:color w:val="414042"/>
          <w:w w:val="95"/>
          <w:position w:val="-3"/>
          <w:sz w:val="20"/>
        </w:rPr>
        <w:tab/>
        <w:t>75</w:t>
      </w:r>
    </w:p>
    <w:p>
      <w:pPr>
        <w:pStyle w:val="BodyText"/>
        <w:rPr>
          <w:rFonts w:ascii="Trebuchet MS"/>
          <w:sz w:val="20"/>
        </w:rPr>
      </w:pPr>
    </w:p>
    <w:p>
      <w:pPr>
        <w:pStyle w:val="BodyText"/>
        <w:rPr>
          <w:rFonts w:ascii="Trebuchet MS"/>
          <w:sz w:val="20"/>
        </w:rPr>
      </w:pPr>
    </w:p>
    <w:p>
      <w:pPr>
        <w:pStyle w:val="BodyText"/>
        <w:spacing w:line="247" w:lineRule="auto" w:before="156"/>
        <w:ind w:left="117" w:right="117"/>
        <w:jc w:val="both"/>
      </w:pPr>
      <w:r>
        <w:rPr>
          <w:color w:val="231F20"/>
          <w:spacing w:val="2"/>
        </w:rPr>
        <w:t>Deleuze segnala </w:t>
      </w:r>
      <w:r>
        <w:rPr>
          <w:color w:val="231F20"/>
        </w:rPr>
        <w:t>che non si </w:t>
      </w:r>
      <w:r>
        <w:rPr>
          <w:color w:val="231F20"/>
          <w:spacing w:val="2"/>
        </w:rPr>
        <w:t>trata </w:t>
      </w:r>
      <w:r>
        <w:rPr>
          <w:color w:val="231F20"/>
        </w:rPr>
        <w:t>di un </w:t>
      </w:r>
      <w:r>
        <w:rPr>
          <w:color w:val="231F20"/>
          <w:spacing w:val="2"/>
        </w:rPr>
        <w:t>modo </w:t>
      </w:r>
      <w:r>
        <w:rPr>
          <w:color w:val="231F20"/>
        </w:rPr>
        <w:t>più </w:t>
      </w:r>
      <w:r>
        <w:rPr>
          <w:color w:val="231F20"/>
          <w:spacing w:val="2"/>
        </w:rPr>
        <w:t>dolce </w:t>
      </w:r>
      <w:r>
        <w:rPr>
          <w:color w:val="231F20"/>
        </w:rPr>
        <w:t>o più duro di sorveglianza</w:t>
      </w:r>
      <w:r>
        <w:rPr>
          <w:color w:val="231F20"/>
          <w:spacing w:val="-16"/>
        </w:rPr>
        <w:t> </w:t>
      </w:r>
      <w:r>
        <w:rPr>
          <w:color w:val="231F20"/>
        </w:rPr>
        <w:t>—in</w:t>
      </w:r>
      <w:r>
        <w:rPr>
          <w:color w:val="231F20"/>
          <w:spacing w:val="-16"/>
        </w:rPr>
        <w:t> </w:t>
      </w:r>
      <w:r>
        <w:rPr>
          <w:color w:val="231F20"/>
        </w:rPr>
        <w:t>comparazione</w:t>
      </w:r>
      <w:r>
        <w:rPr>
          <w:color w:val="231F20"/>
          <w:spacing w:val="-16"/>
        </w:rPr>
        <w:t> </w:t>
      </w:r>
      <w:r>
        <w:rPr>
          <w:color w:val="231F20"/>
        </w:rPr>
        <w:t>con</w:t>
      </w:r>
      <w:r>
        <w:rPr>
          <w:color w:val="231F20"/>
          <w:spacing w:val="-16"/>
        </w:rPr>
        <w:t> </w:t>
      </w:r>
      <w:r>
        <w:rPr>
          <w:color w:val="231F20"/>
        </w:rPr>
        <w:t>le</w:t>
      </w:r>
      <w:r>
        <w:rPr>
          <w:color w:val="231F20"/>
          <w:spacing w:val="-16"/>
        </w:rPr>
        <w:t> </w:t>
      </w:r>
      <w:r>
        <w:rPr>
          <w:color w:val="231F20"/>
        </w:rPr>
        <w:t>società</w:t>
      </w:r>
      <w:r>
        <w:rPr>
          <w:color w:val="231F20"/>
          <w:spacing w:val="-16"/>
        </w:rPr>
        <w:t> </w:t>
      </w:r>
      <w:r>
        <w:rPr>
          <w:color w:val="231F20"/>
        </w:rPr>
        <w:t>disciplinari—,</w:t>
      </w:r>
      <w:r>
        <w:rPr>
          <w:color w:val="231F20"/>
          <w:spacing w:val="-16"/>
        </w:rPr>
        <w:t> </w:t>
      </w:r>
      <w:r>
        <w:rPr>
          <w:color w:val="231F20"/>
        </w:rPr>
        <w:t>semplicemente si</w:t>
      </w:r>
      <w:r>
        <w:rPr>
          <w:color w:val="231F20"/>
          <w:spacing w:val="-22"/>
        </w:rPr>
        <w:t> </w:t>
      </w:r>
      <w:r>
        <w:rPr>
          <w:color w:val="231F20"/>
          <w:spacing w:val="-3"/>
        </w:rPr>
        <w:t>trata</w:t>
      </w:r>
      <w:r>
        <w:rPr>
          <w:color w:val="231F20"/>
          <w:spacing w:val="-22"/>
        </w:rPr>
        <w:t> </w:t>
      </w:r>
      <w:r>
        <w:rPr>
          <w:color w:val="231F20"/>
        </w:rPr>
        <w:t>di</w:t>
      </w:r>
      <w:r>
        <w:rPr>
          <w:color w:val="231F20"/>
          <w:spacing w:val="-22"/>
        </w:rPr>
        <w:t> </w:t>
      </w:r>
      <w:r>
        <w:rPr>
          <w:color w:val="231F20"/>
          <w:spacing w:val="-3"/>
        </w:rPr>
        <w:t>un’altra</w:t>
      </w:r>
      <w:r>
        <w:rPr>
          <w:color w:val="231F20"/>
          <w:spacing w:val="-22"/>
        </w:rPr>
        <w:t> </w:t>
      </w:r>
      <w:r>
        <w:rPr>
          <w:color w:val="231F20"/>
          <w:spacing w:val="-3"/>
        </w:rPr>
        <w:t>forma</w:t>
      </w:r>
      <w:r>
        <w:rPr>
          <w:color w:val="231F20"/>
          <w:spacing w:val="-22"/>
        </w:rPr>
        <w:t> </w:t>
      </w:r>
      <w:r>
        <w:rPr>
          <w:color w:val="231F20"/>
        </w:rPr>
        <w:t>di</w:t>
      </w:r>
      <w:r>
        <w:rPr>
          <w:color w:val="231F20"/>
          <w:spacing w:val="-22"/>
        </w:rPr>
        <w:t> </w:t>
      </w:r>
      <w:r>
        <w:rPr>
          <w:color w:val="231F20"/>
          <w:spacing w:val="-4"/>
        </w:rPr>
        <w:t>controllo,</w:t>
      </w:r>
      <w:r>
        <w:rPr>
          <w:color w:val="231F20"/>
          <w:spacing w:val="-22"/>
        </w:rPr>
        <w:t> </w:t>
      </w:r>
      <w:r>
        <w:rPr>
          <w:color w:val="231F20"/>
        </w:rPr>
        <w:t>con</w:t>
      </w:r>
      <w:r>
        <w:rPr>
          <w:color w:val="231F20"/>
          <w:spacing w:val="-20"/>
        </w:rPr>
        <w:t> </w:t>
      </w:r>
      <w:r>
        <w:rPr>
          <w:rFonts w:ascii="Arial" w:hAnsi="Arial"/>
          <w:i/>
          <w:color w:val="231F20"/>
        </w:rPr>
        <w:t>le</w:t>
      </w:r>
      <w:r>
        <w:rPr>
          <w:rFonts w:ascii="Arial" w:hAnsi="Arial"/>
          <w:i/>
          <w:color w:val="231F20"/>
          <w:spacing w:val="-15"/>
        </w:rPr>
        <w:t> </w:t>
      </w:r>
      <w:r>
        <w:rPr>
          <w:rFonts w:ascii="Arial" w:hAnsi="Arial"/>
          <w:i/>
          <w:color w:val="231F20"/>
        </w:rPr>
        <w:t>sue</w:t>
      </w:r>
      <w:r>
        <w:rPr>
          <w:rFonts w:ascii="Arial" w:hAnsi="Arial"/>
          <w:i/>
          <w:color w:val="231F20"/>
          <w:spacing w:val="-15"/>
        </w:rPr>
        <w:t> </w:t>
      </w:r>
      <w:r>
        <w:rPr>
          <w:rFonts w:ascii="Arial" w:hAnsi="Arial"/>
          <w:i/>
          <w:color w:val="231F20"/>
          <w:spacing w:val="-4"/>
        </w:rPr>
        <w:t>proprie</w:t>
      </w:r>
      <w:r>
        <w:rPr>
          <w:rFonts w:ascii="Arial" w:hAnsi="Arial"/>
          <w:i/>
          <w:color w:val="231F20"/>
          <w:spacing w:val="-15"/>
        </w:rPr>
        <w:t> </w:t>
      </w:r>
      <w:r>
        <w:rPr>
          <w:rFonts w:ascii="Arial" w:hAnsi="Arial"/>
          <w:i/>
          <w:color w:val="231F20"/>
          <w:spacing w:val="-3"/>
        </w:rPr>
        <w:t>liberazioni</w:t>
      </w:r>
      <w:r>
        <w:rPr>
          <w:rFonts w:ascii="Arial" w:hAnsi="Arial"/>
          <w:i/>
          <w:color w:val="231F20"/>
          <w:spacing w:val="-15"/>
        </w:rPr>
        <w:t> </w:t>
      </w:r>
      <w:r>
        <w:rPr>
          <w:rFonts w:ascii="Arial" w:hAnsi="Arial"/>
          <w:i/>
          <w:color w:val="231F20"/>
        </w:rPr>
        <w:t>e</w:t>
      </w:r>
      <w:r>
        <w:rPr>
          <w:rFonts w:ascii="Arial" w:hAnsi="Arial"/>
          <w:i/>
          <w:color w:val="231F20"/>
          <w:spacing w:val="-15"/>
        </w:rPr>
        <w:t> </w:t>
      </w:r>
      <w:r>
        <w:rPr>
          <w:rFonts w:ascii="Arial" w:hAnsi="Arial"/>
          <w:i/>
          <w:color w:val="231F20"/>
          <w:spacing w:val="-3"/>
        </w:rPr>
        <w:t>servilismi</w:t>
      </w:r>
      <w:r>
        <w:rPr>
          <w:color w:val="231F20"/>
          <w:spacing w:val="-3"/>
        </w:rPr>
        <w:t>. </w:t>
      </w:r>
      <w:r>
        <w:rPr>
          <w:color w:val="231F20"/>
        </w:rPr>
        <w:t>Nonostante, si tratta di uno schema molto più effettivo che l’anteriore, in tanto fronteggia un mondo diverso, cioè, fluente e liquido. Se qualcosa distingue la logica capitalista è questa capacità di imparare dagli ostacoli  e farli diventare funzionali ai suoi requisiti; se la realtà è fluente e liquida, il capitalismo non solo ha abbandonato il blocco e il confinamento </w:t>
      </w:r>
      <w:r>
        <w:rPr>
          <w:color w:val="231F20"/>
          <w:spacing w:val="2"/>
        </w:rPr>
        <w:t>dei </w:t>
      </w:r>
      <w:r>
        <w:rPr>
          <w:color w:val="231F20"/>
        </w:rPr>
        <w:t>flussi, ora li propizia e si monta sulle sue onde. Questa flessibilità, questa grande capacità di opportunismo, di trarre vantaggio delle proprie crisi, risponde al fatto che il capitalismo è sopratutto un’arte di governare, una governamentalità</w:t>
      </w:r>
      <w:r>
        <w:rPr>
          <w:color w:val="231F20"/>
          <w:position w:val="7"/>
          <w:sz w:val="12"/>
        </w:rPr>
        <w:t>33</w:t>
      </w:r>
      <w:r>
        <w:rPr>
          <w:color w:val="231F20"/>
        </w:rPr>
        <w:t>,</w:t>
      </w:r>
      <w:r>
        <w:rPr>
          <w:color w:val="231F20"/>
          <w:spacing w:val="-8"/>
        </w:rPr>
        <w:t> </w:t>
      </w:r>
      <w:r>
        <w:rPr>
          <w:color w:val="231F20"/>
        </w:rPr>
        <w:t>prima</w:t>
      </w:r>
      <w:r>
        <w:rPr>
          <w:color w:val="231F20"/>
          <w:spacing w:val="-8"/>
        </w:rPr>
        <w:t> </w:t>
      </w:r>
      <w:r>
        <w:rPr>
          <w:color w:val="231F20"/>
        </w:rPr>
        <w:t>che</w:t>
      </w:r>
      <w:r>
        <w:rPr>
          <w:color w:val="231F20"/>
          <w:spacing w:val="-8"/>
        </w:rPr>
        <w:t> </w:t>
      </w:r>
      <w:r>
        <w:rPr>
          <w:color w:val="231F20"/>
        </w:rPr>
        <w:t>una</w:t>
      </w:r>
      <w:r>
        <w:rPr>
          <w:color w:val="231F20"/>
          <w:spacing w:val="-8"/>
        </w:rPr>
        <w:t> </w:t>
      </w:r>
      <w:r>
        <w:rPr>
          <w:color w:val="231F20"/>
        </w:rPr>
        <w:t>dottrina</w:t>
      </w:r>
      <w:r>
        <w:rPr>
          <w:color w:val="231F20"/>
          <w:spacing w:val="-8"/>
        </w:rPr>
        <w:t> </w:t>
      </w:r>
      <w:r>
        <w:rPr>
          <w:color w:val="231F20"/>
        </w:rPr>
        <w:t>rigida</w:t>
      </w:r>
      <w:r>
        <w:rPr>
          <w:color w:val="231F20"/>
          <w:spacing w:val="-8"/>
        </w:rPr>
        <w:t> </w:t>
      </w:r>
      <w:r>
        <w:rPr>
          <w:color w:val="231F20"/>
        </w:rPr>
        <w:t>la</w:t>
      </w:r>
      <w:r>
        <w:rPr>
          <w:color w:val="231F20"/>
          <w:spacing w:val="-8"/>
        </w:rPr>
        <w:t> </w:t>
      </w:r>
      <w:r>
        <w:rPr>
          <w:color w:val="231F20"/>
        </w:rPr>
        <w:t>cui</w:t>
      </w:r>
      <w:r>
        <w:rPr>
          <w:color w:val="231F20"/>
          <w:spacing w:val="-8"/>
        </w:rPr>
        <w:t> </w:t>
      </w:r>
      <w:r>
        <w:rPr>
          <w:color w:val="231F20"/>
        </w:rPr>
        <w:t>effettuazione</w:t>
      </w:r>
      <w:r>
        <w:rPr>
          <w:color w:val="231F20"/>
          <w:spacing w:val="-8"/>
        </w:rPr>
        <w:t> </w:t>
      </w:r>
      <w:r>
        <w:rPr>
          <w:color w:val="231F20"/>
        </w:rPr>
        <w:t>possa essere</w:t>
      </w:r>
      <w:r>
        <w:rPr>
          <w:color w:val="231F20"/>
          <w:spacing w:val="-17"/>
        </w:rPr>
        <w:t> </w:t>
      </w:r>
      <w:r>
        <w:rPr>
          <w:color w:val="231F20"/>
        </w:rPr>
        <w:t>qualificata</w:t>
      </w:r>
      <w:r>
        <w:rPr>
          <w:color w:val="231F20"/>
          <w:spacing w:val="-17"/>
        </w:rPr>
        <w:t> </w:t>
      </w:r>
      <w:r>
        <w:rPr>
          <w:color w:val="231F20"/>
        </w:rPr>
        <w:t>come</w:t>
      </w:r>
      <w:r>
        <w:rPr>
          <w:color w:val="231F20"/>
          <w:spacing w:val="-17"/>
        </w:rPr>
        <w:t> </w:t>
      </w:r>
      <w:r>
        <w:rPr>
          <w:color w:val="231F20"/>
        </w:rPr>
        <w:t>vera</w:t>
      </w:r>
      <w:r>
        <w:rPr>
          <w:color w:val="231F20"/>
          <w:spacing w:val="-17"/>
        </w:rPr>
        <w:t> </w:t>
      </w:r>
      <w:r>
        <w:rPr>
          <w:color w:val="231F20"/>
        </w:rPr>
        <w:t>o</w:t>
      </w:r>
      <w:r>
        <w:rPr>
          <w:color w:val="231F20"/>
          <w:spacing w:val="-17"/>
        </w:rPr>
        <w:t> </w:t>
      </w:r>
      <w:r>
        <w:rPr>
          <w:color w:val="231F20"/>
        </w:rPr>
        <w:t>falsa</w:t>
      </w:r>
      <w:r>
        <w:rPr>
          <w:color w:val="231F20"/>
          <w:spacing w:val="-17"/>
        </w:rPr>
        <w:t> </w:t>
      </w:r>
      <w:r>
        <w:rPr>
          <w:color w:val="231F20"/>
        </w:rPr>
        <w:t>rispetto</w:t>
      </w:r>
      <w:r>
        <w:rPr>
          <w:color w:val="231F20"/>
          <w:spacing w:val="-17"/>
        </w:rPr>
        <w:t> </w:t>
      </w:r>
      <w:r>
        <w:rPr>
          <w:color w:val="231F20"/>
        </w:rPr>
        <w:t>a</w:t>
      </w:r>
      <w:r>
        <w:rPr>
          <w:color w:val="231F20"/>
          <w:spacing w:val="-17"/>
        </w:rPr>
        <w:t> </w:t>
      </w:r>
      <w:r>
        <w:rPr>
          <w:color w:val="231F20"/>
        </w:rPr>
        <w:t>un</w:t>
      </w:r>
      <w:r>
        <w:rPr>
          <w:color w:val="231F20"/>
          <w:spacing w:val="-17"/>
        </w:rPr>
        <w:t> </w:t>
      </w:r>
      <w:r>
        <w:rPr>
          <w:color w:val="231F20"/>
        </w:rPr>
        <w:t>testo.</w:t>
      </w:r>
      <w:r>
        <w:rPr>
          <w:color w:val="231F20"/>
          <w:spacing w:val="-17"/>
        </w:rPr>
        <w:t> </w:t>
      </w:r>
      <w:r>
        <w:rPr>
          <w:color w:val="231F20"/>
        </w:rPr>
        <w:t>Ad</w:t>
      </w:r>
      <w:r>
        <w:rPr>
          <w:color w:val="231F20"/>
          <w:spacing w:val="-17"/>
        </w:rPr>
        <w:t> </w:t>
      </w:r>
      <w:r>
        <w:rPr>
          <w:color w:val="231F20"/>
        </w:rPr>
        <w:t>esempio,</w:t>
      </w:r>
      <w:r>
        <w:rPr>
          <w:color w:val="231F20"/>
          <w:spacing w:val="-17"/>
        </w:rPr>
        <w:t> </w:t>
      </w:r>
      <w:r>
        <w:rPr>
          <w:color w:val="231F20"/>
        </w:rPr>
        <w:t>quando si</w:t>
      </w:r>
      <w:r>
        <w:rPr>
          <w:color w:val="231F20"/>
          <w:spacing w:val="-11"/>
        </w:rPr>
        <w:t> </w:t>
      </w:r>
      <w:r>
        <w:rPr>
          <w:color w:val="231F20"/>
        </w:rPr>
        <w:t>prende</w:t>
      </w:r>
      <w:r>
        <w:rPr>
          <w:color w:val="231F20"/>
          <w:spacing w:val="-11"/>
        </w:rPr>
        <w:t> </w:t>
      </w:r>
      <w:r>
        <w:rPr>
          <w:color w:val="231F20"/>
        </w:rPr>
        <w:t>una</w:t>
      </w:r>
      <w:r>
        <w:rPr>
          <w:color w:val="231F20"/>
          <w:spacing w:val="-11"/>
        </w:rPr>
        <w:t> </w:t>
      </w:r>
      <w:r>
        <w:rPr>
          <w:color w:val="231F20"/>
        </w:rPr>
        <w:t>misura</w:t>
      </w:r>
      <w:r>
        <w:rPr>
          <w:color w:val="231F20"/>
          <w:spacing w:val="-11"/>
        </w:rPr>
        <w:t> </w:t>
      </w:r>
      <w:r>
        <w:rPr>
          <w:color w:val="231F20"/>
        </w:rPr>
        <w:t>liberale</w:t>
      </w:r>
      <w:r>
        <w:rPr>
          <w:color w:val="231F20"/>
          <w:spacing w:val="-11"/>
        </w:rPr>
        <w:t> </w:t>
      </w:r>
      <w:r>
        <w:rPr>
          <w:color w:val="231F20"/>
        </w:rPr>
        <w:t>di</w:t>
      </w:r>
      <w:r>
        <w:rPr>
          <w:color w:val="231F20"/>
          <w:spacing w:val="-11"/>
        </w:rPr>
        <w:t> </w:t>
      </w:r>
      <w:r>
        <w:rPr>
          <w:color w:val="231F20"/>
        </w:rPr>
        <w:t>governo,</w:t>
      </w:r>
      <w:r>
        <w:rPr>
          <w:color w:val="231F20"/>
          <w:spacing w:val="-11"/>
        </w:rPr>
        <w:t> </w:t>
      </w:r>
      <w:r>
        <w:rPr>
          <w:color w:val="231F20"/>
        </w:rPr>
        <w:t>uno</w:t>
      </w:r>
      <w:r>
        <w:rPr>
          <w:color w:val="231F20"/>
          <w:spacing w:val="-11"/>
        </w:rPr>
        <w:t> </w:t>
      </w:r>
      <w:r>
        <w:rPr>
          <w:color w:val="231F20"/>
        </w:rPr>
        <w:t>non</w:t>
      </w:r>
      <w:r>
        <w:rPr>
          <w:color w:val="231F20"/>
          <w:spacing w:val="-11"/>
        </w:rPr>
        <w:t> </w:t>
      </w:r>
      <w:r>
        <w:rPr>
          <w:color w:val="231F20"/>
        </w:rPr>
        <w:t>si</w:t>
      </w:r>
      <w:r>
        <w:rPr>
          <w:color w:val="231F20"/>
          <w:spacing w:val="-11"/>
        </w:rPr>
        <w:t> </w:t>
      </w:r>
      <w:r>
        <w:rPr>
          <w:color w:val="231F20"/>
        </w:rPr>
        <w:t>chiede</w:t>
      </w:r>
      <w:r>
        <w:rPr>
          <w:color w:val="231F20"/>
          <w:spacing w:val="-11"/>
        </w:rPr>
        <w:t> </w:t>
      </w:r>
      <w:r>
        <w:rPr>
          <w:color w:val="231F20"/>
        </w:rPr>
        <w:t>se</w:t>
      </w:r>
      <w:r>
        <w:rPr>
          <w:color w:val="231F20"/>
          <w:spacing w:val="-11"/>
        </w:rPr>
        <w:t> </w:t>
      </w:r>
      <w:r>
        <w:rPr>
          <w:color w:val="231F20"/>
        </w:rPr>
        <w:t>essa</w:t>
      </w:r>
      <w:r>
        <w:rPr>
          <w:color w:val="231F20"/>
          <w:spacing w:val="-11"/>
        </w:rPr>
        <w:t> </w:t>
      </w:r>
      <w:r>
        <w:rPr>
          <w:color w:val="231F20"/>
        </w:rPr>
        <w:t>è</w:t>
      </w:r>
      <w:r>
        <w:rPr>
          <w:color w:val="231F20"/>
          <w:spacing w:val="-11"/>
        </w:rPr>
        <w:t> </w:t>
      </w:r>
      <w:r>
        <w:rPr>
          <w:color w:val="231F20"/>
        </w:rPr>
        <w:t>fedele a</w:t>
      </w:r>
      <w:r>
        <w:rPr>
          <w:color w:val="231F20"/>
          <w:spacing w:val="-21"/>
        </w:rPr>
        <w:t> </w:t>
      </w:r>
      <w:r>
        <w:rPr>
          <w:color w:val="231F20"/>
        </w:rPr>
        <w:t>tale</w:t>
      </w:r>
      <w:r>
        <w:rPr>
          <w:color w:val="231F20"/>
          <w:spacing w:val="-21"/>
        </w:rPr>
        <w:t> </w:t>
      </w:r>
      <w:r>
        <w:rPr>
          <w:color w:val="231F20"/>
        </w:rPr>
        <w:t>testo</w:t>
      </w:r>
      <w:r>
        <w:rPr>
          <w:color w:val="231F20"/>
          <w:spacing w:val="-21"/>
        </w:rPr>
        <w:t> </w:t>
      </w:r>
      <w:r>
        <w:rPr>
          <w:color w:val="231F20"/>
        </w:rPr>
        <w:t>o</w:t>
      </w:r>
      <w:r>
        <w:rPr>
          <w:color w:val="231F20"/>
          <w:spacing w:val="-21"/>
        </w:rPr>
        <w:t> </w:t>
      </w:r>
      <w:r>
        <w:rPr>
          <w:color w:val="231F20"/>
        </w:rPr>
        <w:t>a</w:t>
      </w:r>
      <w:r>
        <w:rPr>
          <w:color w:val="231F20"/>
          <w:spacing w:val="-21"/>
        </w:rPr>
        <w:t> </w:t>
      </w:r>
      <w:r>
        <w:rPr>
          <w:color w:val="231F20"/>
        </w:rPr>
        <w:t>tale</w:t>
      </w:r>
      <w:r>
        <w:rPr>
          <w:color w:val="231F20"/>
          <w:spacing w:val="-21"/>
        </w:rPr>
        <w:t> </w:t>
      </w:r>
      <w:r>
        <w:rPr>
          <w:color w:val="231F20"/>
        </w:rPr>
        <w:t>insieme</w:t>
      </w:r>
      <w:r>
        <w:rPr>
          <w:color w:val="231F20"/>
          <w:spacing w:val="-21"/>
        </w:rPr>
        <w:t> </w:t>
      </w:r>
      <w:r>
        <w:rPr>
          <w:color w:val="231F20"/>
        </w:rPr>
        <w:t>di</w:t>
      </w:r>
      <w:r>
        <w:rPr>
          <w:color w:val="231F20"/>
          <w:spacing w:val="-21"/>
        </w:rPr>
        <w:t> </w:t>
      </w:r>
      <w:r>
        <w:rPr>
          <w:color w:val="231F20"/>
        </w:rPr>
        <w:t>principi,</w:t>
      </w:r>
      <w:r>
        <w:rPr>
          <w:color w:val="231F20"/>
          <w:spacing w:val="-21"/>
        </w:rPr>
        <w:t> </w:t>
      </w:r>
      <w:r>
        <w:rPr>
          <w:color w:val="231F20"/>
        </w:rPr>
        <w:t>ma</w:t>
      </w:r>
      <w:r>
        <w:rPr>
          <w:color w:val="231F20"/>
          <w:spacing w:val="-21"/>
        </w:rPr>
        <w:t> </w:t>
      </w:r>
      <w:r>
        <w:rPr>
          <w:color w:val="231F20"/>
        </w:rPr>
        <w:t>se</w:t>
      </w:r>
      <w:r>
        <w:rPr>
          <w:color w:val="231F20"/>
          <w:spacing w:val="-21"/>
        </w:rPr>
        <w:t> </w:t>
      </w:r>
      <w:r>
        <w:rPr>
          <w:color w:val="231F20"/>
        </w:rPr>
        <w:t>è</w:t>
      </w:r>
      <w:r>
        <w:rPr>
          <w:color w:val="231F20"/>
          <w:spacing w:val="-21"/>
        </w:rPr>
        <w:t> </w:t>
      </w:r>
      <w:r>
        <w:rPr>
          <w:color w:val="231F20"/>
        </w:rPr>
        <w:t>effettiva,</w:t>
      </w:r>
      <w:r>
        <w:rPr>
          <w:color w:val="231F20"/>
          <w:spacing w:val="-21"/>
        </w:rPr>
        <w:t> </w:t>
      </w:r>
      <w:r>
        <w:rPr>
          <w:color w:val="231F20"/>
        </w:rPr>
        <w:t>se</w:t>
      </w:r>
      <w:r>
        <w:rPr>
          <w:color w:val="231F20"/>
          <w:spacing w:val="-21"/>
        </w:rPr>
        <w:t> </w:t>
      </w:r>
      <w:r>
        <w:rPr>
          <w:color w:val="231F20"/>
        </w:rPr>
        <w:t>produce</w:t>
      </w:r>
      <w:r>
        <w:rPr>
          <w:color w:val="231F20"/>
          <w:spacing w:val="-21"/>
        </w:rPr>
        <w:t> </w:t>
      </w:r>
      <w:r>
        <w:rPr>
          <w:color w:val="231F20"/>
        </w:rPr>
        <w:t>i</w:t>
      </w:r>
      <w:r>
        <w:rPr>
          <w:color w:val="231F20"/>
          <w:spacing w:val="-21"/>
        </w:rPr>
        <w:t> </w:t>
      </w:r>
      <w:r>
        <w:rPr>
          <w:color w:val="231F20"/>
        </w:rPr>
        <w:t>risultati attesi,</w:t>
      </w:r>
      <w:r>
        <w:rPr>
          <w:color w:val="231F20"/>
          <w:spacing w:val="-18"/>
        </w:rPr>
        <w:t> </w:t>
      </w:r>
      <w:r>
        <w:rPr>
          <w:color w:val="231F20"/>
        </w:rPr>
        <w:t>se</w:t>
      </w:r>
      <w:r>
        <w:rPr>
          <w:color w:val="231F20"/>
          <w:spacing w:val="-18"/>
        </w:rPr>
        <w:t> </w:t>
      </w:r>
      <w:r>
        <w:rPr>
          <w:color w:val="231F20"/>
        </w:rPr>
        <w:t>è</w:t>
      </w:r>
      <w:r>
        <w:rPr>
          <w:color w:val="231F20"/>
          <w:spacing w:val="-18"/>
        </w:rPr>
        <w:t> </w:t>
      </w:r>
      <w:r>
        <w:rPr>
          <w:color w:val="231F20"/>
        </w:rPr>
        <w:t>radicale</w:t>
      </w:r>
      <w:r>
        <w:rPr>
          <w:color w:val="231F20"/>
          <w:spacing w:val="-18"/>
        </w:rPr>
        <w:t> </w:t>
      </w:r>
      <w:r>
        <w:rPr>
          <w:color w:val="231F20"/>
        </w:rPr>
        <w:t>o</w:t>
      </w:r>
      <w:r>
        <w:rPr>
          <w:color w:val="231F20"/>
          <w:spacing w:val="-18"/>
        </w:rPr>
        <w:t> </w:t>
      </w:r>
      <w:r>
        <w:rPr>
          <w:color w:val="231F20"/>
        </w:rPr>
        <w:t>timida.</w:t>
      </w:r>
      <w:r>
        <w:rPr>
          <w:color w:val="231F20"/>
          <w:spacing w:val="-18"/>
        </w:rPr>
        <w:t> </w:t>
      </w:r>
      <w:r>
        <w:rPr>
          <w:color w:val="231F20"/>
        </w:rPr>
        <w:t>In</w:t>
      </w:r>
      <w:r>
        <w:rPr>
          <w:color w:val="231F20"/>
          <w:spacing w:val="-18"/>
        </w:rPr>
        <w:t> </w:t>
      </w:r>
      <w:r>
        <w:rPr>
          <w:color w:val="231F20"/>
        </w:rPr>
        <w:t>cambio,</w:t>
      </w:r>
      <w:r>
        <w:rPr>
          <w:color w:val="231F20"/>
          <w:spacing w:val="-18"/>
        </w:rPr>
        <w:t> </w:t>
      </w:r>
      <w:r>
        <w:rPr>
          <w:color w:val="231F20"/>
        </w:rPr>
        <w:t>il</w:t>
      </w:r>
      <w:r>
        <w:rPr>
          <w:color w:val="231F20"/>
          <w:spacing w:val="-18"/>
        </w:rPr>
        <w:t> </w:t>
      </w:r>
      <w:r>
        <w:rPr>
          <w:color w:val="231F20"/>
        </w:rPr>
        <w:t>socialismo</w:t>
      </w:r>
      <w:r>
        <w:rPr>
          <w:color w:val="231F20"/>
          <w:spacing w:val="-18"/>
        </w:rPr>
        <w:t> </w:t>
      </w:r>
      <w:r>
        <w:rPr>
          <w:color w:val="231F20"/>
        </w:rPr>
        <w:t>ebbe</w:t>
      </w:r>
      <w:r>
        <w:rPr>
          <w:color w:val="231F20"/>
          <w:spacing w:val="-18"/>
        </w:rPr>
        <w:t> </w:t>
      </w:r>
      <w:r>
        <w:rPr>
          <w:color w:val="231F20"/>
        </w:rPr>
        <w:t>sempre</w:t>
      </w:r>
      <w:r>
        <w:rPr>
          <w:color w:val="231F20"/>
          <w:spacing w:val="-18"/>
        </w:rPr>
        <w:t> </w:t>
      </w:r>
      <w:r>
        <w:rPr>
          <w:color w:val="231F20"/>
        </w:rPr>
        <w:t>necessità di giustificarsi come vero o come falso di fronte ai testi che fondarono la dottrina.</w:t>
      </w:r>
    </w:p>
    <w:p>
      <w:pPr>
        <w:pStyle w:val="BodyText"/>
        <w:spacing w:before="10"/>
        <w:rPr>
          <w:sz w:val="22"/>
        </w:rPr>
      </w:pPr>
    </w:p>
    <w:p>
      <w:pPr>
        <w:spacing w:line="220" w:lineRule="exact" w:before="1"/>
        <w:ind w:left="1534" w:right="118" w:firstLine="0"/>
        <w:jc w:val="both"/>
        <w:rPr>
          <w:sz w:val="19"/>
        </w:rPr>
      </w:pPr>
      <w:r>
        <w:rPr>
          <w:color w:val="231F20"/>
          <w:sz w:val="19"/>
        </w:rPr>
        <w:t>Ma è che al liberalismo lo si fa la stessa domanda che uno</w:t>
      </w:r>
      <w:r>
        <w:rPr>
          <w:color w:val="231F20"/>
          <w:spacing w:val="-41"/>
          <w:sz w:val="19"/>
        </w:rPr>
        <w:t> </w:t>
      </w:r>
      <w:r>
        <w:rPr>
          <w:color w:val="231F20"/>
          <w:sz w:val="19"/>
        </w:rPr>
        <w:t>espone all’interno e a proposito del socialismo, cioè, sapere se è vero o falso? Al liberalismo si domanda se è puro, se è radicale, se è conseguente, se è mite, ecc. Ciò vuol dire, uno le chiede quali regole si </w:t>
      </w:r>
      <w:r>
        <w:rPr>
          <w:color w:val="231F20"/>
          <w:spacing w:val="2"/>
          <w:sz w:val="19"/>
        </w:rPr>
        <w:t>pone </w:t>
      </w:r>
      <w:r>
        <w:rPr>
          <w:color w:val="231F20"/>
          <w:sz w:val="19"/>
        </w:rPr>
        <w:t>a se </w:t>
      </w:r>
      <w:r>
        <w:rPr>
          <w:color w:val="231F20"/>
          <w:spacing w:val="2"/>
          <w:sz w:val="19"/>
        </w:rPr>
        <w:t>stesso </w:t>
      </w:r>
      <w:r>
        <w:rPr>
          <w:color w:val="231F20"/>
          <w:sz w:val="19"/>
        </w:rPr>
        <w:t>e </w:t>
      </w:r>
      <w:r>
        <w:rPr>
          <w:color w:val="231F20"/>
          <w:spacing w:val="2"/>
          <w:sz w:val="19"/>
        </w:rPr>
        <w:t>come compensa </w:t>
      </w:r>
      <w:r>
        <w:rPr>
          <w:color w:val="231F20"/>
          <w:sz w:val="19"/>
        </w:rPr>
        <w:t>i </w:t>
      </w:r>
      <w:r>
        <w:rPr>
          <w:color w:val="231F20"/>
          <w:spacing w:val="2"/>
          <w:sz w:val="19"/>
        </w:rPr>
        <w:t>meccanismi </w:t>
      </w:r>
      <w:r>
        <w:rPr>
          <w:color w:val="231F20"/>
          <w:sz w:val="19"/>
        </w:rPr>
        <w:t>di </w:t>
      </w:r>
      <w:r>
        <w:rPr>
          <w:color w:val="231F20"/>
          <w:spacing w:val="2"/>
          <w:sz w:val="19"/>
        </w:rPr>
        <w:t>compensazione, come misura </w:t>
      </w:r>
      <w:r>
        <w:rPr>
          <w:color w:val="231F20"/>
          <w:sz w:val="19"/>
        </w:rPr>
        <w:t>i </w:t>
      </w:r>
      <w:r>
        <w:rPr>
          <w:color w:val="231F20"/>
          <w:spacing w:val="2"/>
          <w:sz w:val="19"/>
        </w:rPr>
        <w:t>meccanismi </w:t>
      </w:r>
      <w:r>
        <w:rPr>
          <w:color w:val="231F20"/>
          <w:sz w:val="19"/>
        </w:rPr>
        <w:t>di </w:t>
      </w:r>
      <w:r>
        <w:rPr>
          <w:color w:val="231F20"/>
          <w:spacing w:val="2"/>
          <w:sz w:val="19"/>
        </w:rPr>
        <w:t>misura </w:t>
      </w:r>
      <w:r>
        <w:rPr>
          <w:color w:val="231F20"/>
          <w:sz w:val="19"/>
        </w:rPr>
        <w:t>che </w:t>
      </w:r>
      <w:r>
        <w:rPr>
          <w:color w:val="231F20"/>
          <w:spacing w:val="3"/>
          <w:sz w:val="19"/>
        </w:rPr>
        <w:t>ha </w:t>
      </w:r>
      <w:r>
        <w:rPr>
          <w:color w:val="231F20"/>
          <w:sz w:val="19"/>
        </w:rPr>
        <w:t>instaurato all’interno de la sua</w:t>
      </w:r>
      <w:r>
        <w:rPr>
          <w:color w:val="231F20"/>
          <w:spacing w:val="-6"/>
          <w:sz w:val="19"/>
        </w:rPr>
        <w:t> </w:t>
      </w:r>
      <w:r>
        <w:rPr>
          <w:color w:val="231F20"/>
          <w:sz w:val="19"/>
        </w:rPr>
        <w:t>governamentalità</w:t>
      </w:r>
      <w:r>
        <w:rPr>
          <w:color w:val="231F20"/>
          <w:position w:val="6"/>
          <w:sz w:val="11"/>
        </w:rPr>
        <w:t>34</w:t>
      </w:r>
      <w:r>
        <w:rPr>
          <w:color w:val="231F20"/>
          <w:sz w:val="19"/>
        </w:rPr>
        <w:t>.</w:t>
      </w:r>
    </w:p>
    <w:p>
      <w:pPr>
        <w:pStyle w:val="BodyText"/>
        <w:spacing w:before="11"/>
        <w:rPr>
          <w:sz w:val="23"/>
        </w:rPr>
      </w:pPr>
    </w:p>
    <w:p>
      <w:pPr>
        <w:pStyle w:val="BodyText"/>
        <w:spacing w:line="247" w:lineRule="auto"/>
        <w:ind w:left="117" w:right="117"/>
        <w:jc w:val="both"/>
      </w:pPr>
      <w:r>
        <w:rPr>
          <w:color w:val="231F20"/>
        </w:rPr>
        <w:t>Il</w:t>
      </w:r>
      <w:r>
        <w:rPr>
          <w:color w:val="231F20"/>
          <w:spacing w:val="-18"/>
        </w:rPr>
        <w:t> </w:t>
      </w:r>
      <w:r>
        <w:rPr>
          <w:color w:val="231F20"/>
        </w:rPr>
        <w:t>capitalismo</w:t>
      </w:r>
      <w:r>
        <w:rPr>
          <w:color w:val="231F20"/>
          <w:spacing w:val="-18"/>
        </w:rPr>
        <w:t> </w:t>
      </w:r>
      <w:r>
        <w:rPr>
          <w:color w:val="231F20"/>
        </w:rPr>
        <w:t>liberale</w:t>
      </w:r>
      <w:r>
        <w:rPr>
          <w:color w:val="231F20"/>
          <w:spacing w:val="-18"/>
        </w:rPr>
        <w:t> </w:t>
      </w:r>
      <w:r>
        <w:rPr>
          <w:color w:val="231F20"/>
        </w:rPr>
        <w:t>non</w:t>
      </w:r>
      <w:r>
        <w:rPr>
          <w:color w:val="231F20"/>
          <w:spacing w:val="-18"/>
        </w:rPr>
        <w:t> </w:t>
      </w:r>
      <w:r>
        <w:rPr>
          <w:color w:val="231F20"/>
        </w:rPr>
        <w:t>è</w:t>
      </w:r>
      <w:r>
        <w:rPr>
          <w:color w:val="231F20"/>
          <w:spacing w:val="-18"/>
        </w:rPr>
        <w:t> </w:t>
      </w:r>
      <w:r>
        <w:rPr>
          <w:color w:val="231F20"/>
        </w:rPr>
        <w:t>qualcosa</w:t>
      </w:r>
      <w:r>
        <w:rPr>
          <w:color w:val="231F20"/>
          <w:spacing w:val="-18"/>
        </w:rPr>
        <w:t> </w:t>
      </w:r>
      <w:r>
        <w:rPr>
          <w:color w:val="231F20"/>
        </w:rPr>
        <w:t>che</w:t>
      </w:r>
      <w:r>
        <w:rPr>
          <w:color w:val="231F20"/>
          <w:spacing w:val="-18"/>
        </w:rPr>
        <w:t> </w:t>
      </w:r>
      <w:r>
        <w:rPr>
          <w:color w:val="231F20"/>
        </w:rPr>
        <w:t>si</w:t>
      </w:r>
      <w:r>
        <w:rPr>
          <w:color w:val="231F20"/>
          <w:spacing w:val="-18"/>
        </w:rPr>
        <w:t> </w:t>
      </w:r>
      <w:r>
        <w:rPr>
          <w:color w:val="231F20"/>
        </w:rPr>
        <w:t>debba</w:t>
      </w:r>
      <w:r>
        <w:rPr>
          <w:color w:val="231F20"/>
          <w:spacing w:val="-18"/>
        </w:rPr>
        <w:t> </w:t>
      </w:r>
      <w:r>
        <w:rPr>
          <w:color w:val="231F20"/>
          <w:spacing w:val="-3"/>
        </w:rPr>
        <w:t>giustificare</w:t>
      </w:r>
      <w:r>
        <w:rPr>
          <w:color w:val="231F20"/>
          <w:spacing w:val="-18"/>
        </w:rPr>
        <w:t> </w:t>
      </w:r>
      <w:r>
        <w:rPr>
          <w:color w:val="231F20"/>
        </w:rPr>
        <w:t>di</w:t>
      </w:r>
      <w:r>
        <w:rPr>
          <w:color w:val="231F20"/>
          <w:spacing w:val="-18"/>
        </w:rPr>
        <w:t> </w:t>
      </w:r>
      <w:r>
        <w:rPr>
          <w:color w:val="231F20"/>
          <w:spacing w:val="-3"/>
        </w:rPr>
        <w:t>fronte</w:t>
      </w:r>
      <w:r>
        <w:rPr>
          <w:color w:val="231F20"/>
          <w:spacing w:val="-18"/>
        </w:rPr>
        <w:t> </w:t>
      </w:r>
      <w:r>
        <w:rPr>
          <w:color w:val="231F20"/>
        </w:rPr>
        <w:t>ad</w:t>
      </w:r>
      <w:r>
        <w:rPr>
          <w:color w:val="231F20"/>
          <w:spacing w:val="-18"/>
        </w:rPr>
        <w:t> </w:t>
      </w:r>
      <w:r>
        <w:rPr>
          <w:color w:val="231F20"/>
        </w:rPr>
        <w:t>un testo, non è qualcosa che possa fondarsi in un insieme di principi canonici, tutto il contrario, se qualcosa lo distingue, se qualcosa gli da forza e lo fa </w:t>
      </w:r>
      <w:r>
        <w:rPr>
          <w:color w:val="231F20"/>
          <w:spacing w:val="-4"/>
        </w:rPr>
        <w:t>malleabile,</w:t>
      </w:r>
      <w:r>
        <w:rPr>
          <w:color w:val="231F20"/>
          <w:spacing w:val="-19"/>
        </w:rPr>
        <w:t> </w:t>
      </w:r>
      <w:r>
        <w:rPr>
          <w:color w:val="231F20"/>
        </w:rPr>
        <w:t>è</w:t>
      </w:r>
      <w:r>
        <w:rPr>
          <w:color w:val="231F20"/>
          <w:spacing w:val="-19"/>
        </w:rPr>
        <w:t> </w:t>
      </w:r>
      <w:r>
        <w:rPr>
          <w:color w:val="231F20"/>
        </w:rPr>
        <w:t>la</w:t>
      </w:r>
      <w:r>
        <w:rPr>
          <w:color w:val="231F20"/>
          <w:spacing w:val="-19"/>
        </w:rPr>
        <w:t> </w:t>
      </w:r>
      <w:r>
        <w:rPr>
          <w:color w:val="231F20"/>
          <w:spacing w:val="-3"/>
        </w:rPr>
        <w:t>sua</w:t>
      </w:r>
      <w:r>
        <w:rPr>
          <w:color w:val="231F20"/>
          <w:spacing w:val="-19"/>
        </w:rPr>
        <w:t> </w:t>
      </w:r>
      <w:r>
        <w:rPr>
          <w:color w:val="231F20"/>
          <w:spacing w:val="-4"/>
        </w:rPr>
        <w:t>capacità</w:t>
      </w:r>
      <w:r>
        <w:rPr>
          <w:color w:val="231F20"/>
          <w:spacing w:val="-19"/>
        </w:rPr>
        <w:t> </w:t>
      </w:r>
      <w:r>
        <w:rPr>
          <w:color w:val="231F20"/>
        </w:rPr>
        <w:t>di</w:t>
      </w:r>
      <w:r>
        <w:rPr>
          <w:color w:val="231F20"/>
          <w:spacing w:val="-19"/>
        </w:rPr>
        <w:t> </w:t>
      </w:r>
      <w:r>
        <w:rPr>
          <w:color w:val="231F20"/>
          <w:spacing w:val="-4"/>
        </w:rPr>
        <w:t>ruotare</w:t>
      </w:r>
      <w:r>
        <w:rPr>
          <w:color w:val="231F20"/>
          <w:spacing w:val="-19"/>
        </w:rPr>
        <w:t> </w:t>
      </w:r>
      <w:r>
        <w:rPr>
          <w:color w:val="231F20"/>
        </w:rPr>
        <w:t>e</w:t>
      </w:r>
      <w:r>
        <w:rPr>
          <w:color w:val="231F20"/>
          <w:spacing w:val="-19"/>
        </w:rPr>
        <w:t> </w:t>
      </w:r>
      <w:r>
        <w:rPr>
          <w:color w:val="231F20"/>
          <w:spacing w:val="-4"/>
        </w:rPr>
        <w:t>adattare</w:t>
      </w:r>
      <w:r>
        <w:rPr>
          <w:color w:val="231F20"/>
          <w:spacing w:val="-19"/>
        </w:rPr>
        <w:t> </w:t>
      </w:r>
      <w:r>
        <w:rPr>
          <w:color w:val="231F20"/>
        </w:rPr>
        <w:t>le</w:t>
      </w:r>
      <w:r>
        <w:rPr>
          <w:color w:val="231F20"/>
          <w:spacing w:val="-19"/>
        </w:rPr>
        <w:t> </w:t>
      </w:r>
      <w:r>
        <w:rPr>
          <w:color w:val="231F20"/>
          <w:spacing w:val="-3"/>
        </w:rPr>
        <w:t>sve</w:t>
      </w:r>
      <w:r>
        <w:rPr>
          <w:color w:val="231F20"/>
          <w:spacing w:val="-19"/>
        </w:rPr>
        <w:t> </w:t>
      </w:r>
      <w:r>
        <w:rPr>
          <w:color w:val="231F20"/>
          <w:spacing w:val="-4"/>
        </w:rPr>
        <w:t>“fondamenta”</w:t>
      </w:r>
      <w:r>
        <w:rPr>
          <w:color w:val="231F20"/>
          <w:spacing w:val="-19"/>
        </w:rPr>
        <w:t> </w:t>
      </w:r>
      <w:r>
        <w:rPr>
          <w:color w:val="231F20"/>
        </w:rPr>
        <w:t>a</w:t>
      </w:r>
      <w:r>
        <w:rPr>
          <w:color w:val="231F20"/>
          <w:spacing w:val="-19"/>
        </w:rPr>
        <w:t> </w:t>
      </w:r>
      <w:r>
        <w:rPr>
          <w:color w:val="231F20"/>
          <w:spacing w:val="-4"/>
        </w:rPr>
        <w:t>quella </w:t>
      </w:r>
      <w:r>
        <w:rPr>
          <w:color w:val="231F20"/>
        </w:rPr>
        <w:t>che</w:t>
      </w:r>
      <w:r>
        <w:rPr>
          <w:color w:val="231F20"/>
          <w:spacing w:val="-21"/>
        </w:rPr>
        <w:t> </w:t>
      </w:r>
      <w:r>
        <w:rPr>
          <w:color w:val="231F20"/>
        </w:rPr>
        <w:t>è</w:t>
      </w:r>
      <w:r>
        <w:rPr>
          <w:color w:val="231F20"/>
          <w:spacing w:val="-21"/>
        </w:rPr>
        <w:t> </w:t>
      </w:r>
      <w:r>
        <w:rPr>
          <w:color w:val="231F20"/>
        </w:rPr>
        <w:t>l’occasione.</w:t>
      </w:r>
      <w:r>
        <w:rPr>
          <w:color w:val="231F20"/>
          <w:spacing w:val="-21"/>
        </w:rPr>
        <w:t> </w:t>
      </w:r>
      <w:r>
        <w:rPr>
          <w:color w:val="231F20"/>
        </w:rPr>
        <w:t>Infatti,</w:t>
      </w:r>
      <w:r>
        <w:rPr>
          <w:color w:val="231F20"/>
          <w:spacing w:val="-21"/>
        </w:rPr>
        <w:t> </w:t>
      </w:r>
      <w:r>
        <w:rPr>
          <w:color w:val="231F20"/>
        </w:rPr>
        <w:t>qui</w:t>
      </w:r>
      <w:r>
        <w:rPr>
          <w:color w:val="231F20"/>
          <w:spacing w:val="-21"/>
        </w:rPr>
        <w:t> </w:t>
      </w:r>
      <w:r>
        <w:rPr>
          <w:color w:val="231F20"/>
          <w:spacing w:val="-3"/>
        </w:rPr>
        <w:t>sarebbe</w:t>
      </w:r>
      <w:r>
        <w:rPr>
          <w:color w:val="231F20"/>
          <w:spacing w:val="-21"/>
        </w:rPr>
        <w:t> </w:t>
      </w:r>
      <w:r>
        <w:rPr>
          <w:color w:val="231F20"/>
        </w:rPr>
        <w:t>rischioso</w:t>
      </w:r>
      <w:r>
        <w:rPr>
          <w:color w:val="231F20"/>
          <w:spacing w:val="-21"/>
        </w:rPr>
        <w:t> </w:t>
      </w:r>
      <w:r>
        <w:rPr>
          <w:color w:val="231F20"/>
          <w:spacing w:val="-3"/>
        </w:rPr>
        <w:t>parlare</w:t>
      </w:r>
      <w:r>
        <w:rPr>
          <w:color w:val="231F20"/>
          <w:spacing w:val="-21"/>
        </w:rPr>
        <w:t> </w:t>
      </w:r>
      <w:r>
        <w:rPr>
          <w:color w:val="231F20"/>
        </w:rPr>
        <w:t>di</w:t>
      </w:r>
      <w:r>
        <w:rPr>
          <w:color w:val="231F20"/>
          <w:spacing w:val="-21"/>
        </w:rPr>
        <w:t> </w:t>
      </w:r>
      <w:r>
        <w:rPr>
          <w:color w:val="231F20"/>
        </w:rPr>
        <w:t>fondamenta,</w:t>
      </w:r>
      <w:r>
        <w:rPr>
          <w:color w:val="231F20"/>
          <w:spacing w:val="-21"/>
        </w:rPr>
        <w:t> </w:t>
      </w:r>
      <w:r>
        <w:rPr>
          <w:color w:val="231F20"/>
        </w:rPr>
        <w:t>quello che</w:t>
      </w:r>
      <w:r>
        <w:rPr>
          <w:color w:val="231F20"/>
          <w:spacing w:val="-7"/>
        </w:rPr>
        <w:t> </w:t>
      </w:r>
      <w:r>
        <w:rPr>
          <w:color w:val="231F20"/>
        </w:rPr>
        <w:t>c’è</w:t>
      </w:r>
      <w:r>
        <w:rPr>
          <w:color w:val="231F20"/>
          <w:spacing w:val="-7"/>
        </w:rPr>
        <w:t> </w:t>
      </w:r>
      <w:r>
        <w:rPr>
          <w:color w:val="231F20"/>
        </w:rPr>
        <w:t>in</w:t>
      </w:r>
      <w:r>
        <w:rPr>
          <w:color w:val="231F20"/>
          <w:spacing w:val="-7"/>
        </w:rPr>
        <w:t> </w:t>
      </w:r>
      <w:r>
        <w:rPr>
          <w:color w:val="231F20"/>
        </w:rPr>
        <w:t>fondo</w:t>
      </w:r>
      <w:r>
        <w:rPr>
          <w:color w:val="231F20"/>
          <w:spacing w:val="-7"/>
        </w:rPr>
        <w:t> </w:t>
      </w:r>
      <w:r>
        <w:rPr>
          <w:color w:val="231F20"/>
        </w:rPr>
        <w:t>alla</w:t>
      </w:r>
      <w:r>
        <w:rPr>
          <w:color w:val="231F20"/>
          <w:spacing w:val="-7"/>
        </w:rPr>
        <w:t> </w:t>
      </w:r>
      <w:r>
        <w:rPr>
          <w:color w:val="231F20"/>
        </w:rPr>
        <w:t>logica</w:t>
      </w:r>
      <w:r>
        <w:rPr>
          <w:color w:val="231F20"/>
          <w:spacing w:val="-7"/>
        </w:rPr>
        <w:t> </w:t>
      </w:r>
      <w:r>
        <w:rPr>
          <w:color w:val="231F20"/>
        </w:rPr>
        <w:t>capitalista</w:t>
      </w:r>
      <w:r>
        <w:rPr>
          <w:color w:val="231F20"/>
          <w:spacing w:val="-7"/>
        </w:rPr>
        <w:t> </w:t>
      </w:r>
      <w:r>
        <w:rPr>
          <w:color w:val="231F20"/>
        </w:rPr>
        <w:t>è</w:t>
      </w:r>
      <w:r>
        <w:rPr>
          <w:color w:val="231F20"/>
          <w:spacing w:val="-7"/>
        </w:rPr>
        <w:t> </w:t>
      </w:r>
      <w:r>
        <w:rPr>
          <w:color w:val="231F20"/>
        </w:rPr>
        <w:t>un</w:t>
      </w:r>
      <w:r>
        <w:rPr>
          <w:color w:val="231F20"/>
          <w:spacing w:val="-7"/>
        </w:rPr>
        <w:t> </w:t>
      </w:r>
      <w:r>
        <w:rPr>
          <w:color w:val="231F20"/>
        </w:rPr>
        <w:t>insieme</w:t>
      </w:r>
      <w:r>
        <w:rPr>
          <w:color w:val="231F20"/>
          <w:spacing w:val="-7"/>
        </w:rPr>
        <w:t> </w:t>
      </w:r>
      <w:r>
        <w:rPr>
          <w:color w:val="231F20"/>
        </w:rPr>
        <w:t>di</w:t>
      </w:r>
      <w:r>
        <w:rPr>
          <w:color w:val="231F20"/>
          <w:spacing w:val="-6"/>
        </w:rPr>
        <w:t> </w:t>
      </w:r>
      <w:r>
        <w:rPr>
          <w:rFonts w:ascii="Arial" w:hAnsi="Arial"/>
          <w:i/>
          <w:color w:val="231F20"/>
        </w:rPr>
        <w:t>assiomi </w:t>
      </w:r>
      <w:r>
        <w:rPr>
          <w:color w:val="231F20"/>
        </w:rPr>
        <w:t>che</w:t>
      </w:r>
      <w:r>
        <w:rPr>
          <w:color w:val="231F20"/>
          <w:spacing w:val="-7"/>
        </w:rPr>
        <w:t> </w:t>
      </w:r>
      <w:r>
        <w:rPr>
          <w:color w:val="231F20"/>
        </w:rPr>
        <w:t>si</w:t>
      </w:r>
      <w:r>
        <w:rPr>
          <w:color w:val="231F20"/>
          <w:spacing w:val="-7"/>
        </w:rPr>
        <w:t> </w:t>
      </w:r>
      <w:r>
        <w:rPr>
          <w:color w:val="231F20"/>
        </w:rPr>
        <w:t>rifanno ogni</w:t>
      </w:r>
      <w:r>
        <w:rPr>
          <w:color w:val="231F20"/>
          <w:spacing w:val="-14"/>
        </w:rPr>
        <w:t> </w:t>
      </w:r>
      <w:r>
        <w:rPr>
          <w:color w:val="231F20"/>
        </w:rPr>
        <w:t>volta</w:t>
      </w:r>
      <w:r>
        <w:rPr>
          <w:color w:val="231F20"/>
          <w:spacing w:val="-14"/>
        </w:rPr>
        <w:t> </w:t>
      </w:r>
      <w:r>
        <w:rPr>
          <w:color w:val="231F20"/>
        </w:rPr>
        <w:t>che</w:t>
      </w:r>
      <w:r>
        <w:rPr>
          <w:color w:val="231F20"/>
          <w:spacing w:val="-14"/>
        </w:rPr>
        <w:t> </w:t>
      </w:r>
      <w:r>
        <w:rPr>
          <w:color w:val="231F20"/>
        </w:rPr>
        <w:t>è</w:t>
      </w:r>
      <w:r>
        <w:rPr>
          <w:color w:val="231F20"/>
          <w:spacing w:val="-14"/>
        </w:rPr>
        <w:t> </w:t>
      </w:r>
      <w:r>
        <w:rPr>
          <w:color w:val="231F20"/>
        </w:rPr>
        <w:t>necessario.</w:t>
      </w:r>
      <w:r>
        <w:rPr>
          <w:color w:val="231F20"/>
          <w:spacing w:val="-14"/>
        </w:rPr>
        <w:t> </w:t>
      </w:r>
      <w:r>
        <w:rPr>
          <w:color w:val="231F20"/>
        </w:rPr>
        <w:t>Dalla</w:t>
      </w:r>
      <w:r>
        <w:rPr>
          <w:color w:val="231F20"/>
          <w:spacing w:val="-14"/>
        </w:rPr>
        <w:t> </w:t>
      </w:r>
      <w:r>
        <w:rPr>
          <w:color w:val="231F20"/>
        </w:rPr>
        <w:t>prospettiva</w:t>
      </w:r>
      <w:r>
        <w:rPr>
          <w:color w:val="231F20"/>
          <w:spacing w:val="-14"/>
        </w:rPr>
        <w:t> </w:t>
      </w:r>
      <w:r>
        <w:rPr>
          <w:color w:val="231F20"/>
        </w:rPr>
        <w:t>di</w:t>
      </w:r>
      <w:r>
        <w:rPr>
          <w:color w:val="231F20"/>
          <w:spacing w:val="-14"/>
        </w:rPr>
        <w:t> </w:t>
      </w:r>
      <w:r>
        <w:rPr>
          <w:color w:val="231F20"/>
        </w:rPr>
        <w:t>Deleuze,</w:t>
      </w:r>
      <w:r>
        <w:rPr>
          <w:color w:val="231F20"/>
          <w:spacing w:val="-14"/>
        </w:rPr>
        <w:t> </w:t>
      </w:r>
      <w:r>
        <w:rPr>
          <w:color w:val="231F20"/>
        </w:rPr>
        <w:t>il</w:t>
      </w:r>
      <w:r>
        <w:rPr>
          <w:color w:val="231F20"/>
          <w:spacing w:val="-14"/>
        </w:rPr>
        <w:t> </w:t>
      </w:r>
      <w:r>
        <w:rPr>
          <w:color w:val="231F20"/>
        </w:rPr>
        <w:t>capitalismo</w:t>
      </w:r>
      <w:r>
        <w:rPr>
          <w:color w:val="231F20"/>
          <w:spacing w:val="-14"/>
        </w:rPr>
        <w:t> </w:t>
      </w:r>
      <w:r>
        <w:rPr>
          <w:color w:val="231F20"/>
        </w:rPr>
        <w:t>deve il suo grande potere di riattivazione e riabilitazione, nonostante le sue</w:t>
      </w:r>
      <w:r>
        <w:rPr>
          <w:color w:val="231F20"/>
          <w:spacing w:val="-33"/>
        </w:rPr>
        <w:t> </w:t>
      </w:r>
      <w:r>
        <w:rPr>
          <w:color w:val="231F20"/>
        </w:rPr>
        <w:t>crisi, alla sua grande capacità assiomatizzante. Quello che è proprio della logica capitalista</w:t>
      </w:r>
      <w:r>
        <w:rPr>
          <w:color w:val="231F20"/>
          <w:spacing w:val="-14"/>
        </w:rPr>
        <w:t> </w:t>
      </w:r>
      <w:r>
        <w:rPr>
          <w:color w:val="231F20"/>
        </w:rPr>
        <w:t>non</w:t>
      </w:r>
      <w:r>
        <w:rPr>
          <w:color w:val="231F20"/>
          <w:spacing w:val="-14"/>
        </w:rPr>
        <w:t> </w:t>
      </w:r>
      <w:r>
        <w:rPr>
          <w:color w:val="231F20"/>
        </w:rPr>
        <w:t>è</w:t>
      </w:r>
      <w:r>
        <w:rPr>
          <w:color w:val="231F20"/>
          <w:spacing w:val="-14"/>
        </w:rPr>
        <w:t> </w:t>
      </w:r>
      <w:r>
        <w:rPr>
          <w:color w:val="231F20"/>
        </w:rPr>
        <w:t>dare</w:t>
      </w:r>
      <w:r>
        <w:rPr>
          <w:color w:val="231F20"/>
          <w:spacing w:val="-14"/>
        </w:rPr>
        <w:t> </w:t>
      </w:r>
      <w:r>
        <w:rPr>
          <w:color w:val="231F20"/>
        </w:rPr>
        <w:t>luogo</w:t>
      </w:r>
      <w:r>
        <w:rPr>
          <w:color w:val="231F20"/>
          <w:spacing w:val="-14"/>
        </w:rPr>
        <w:t> </w:t>
      </w:r>
      <w:r>
        <w:rPr>
          <w:color w:val="231F20"/>
        </w:rPr>
        <w:t>a</w:t>
      </w:r>
      <w:r>
        <w:rPr>
          <w:color w:val="231F20"/>
          <w:spacing w:val="-14"/>
        </w:rPr>
        <w:t> </w:t>
      </w:r>
      <w:r>
        <w:rPr>
          <w:color w:val="231F20"/>
        </w:rPr>
        <w:t>un</w:t>
      </w:r>
      <w:r>
        <w:rPr>
          <w:color w:val="231F20"/>
          <w:spacing w:val="-14"/>
        </w:rPr>
        <w:t> </w:t>
      </w:r>
      <w:r>
        <w:rPr>
          <w:color w:val="231F20"/>
        </w:rPr>
        <w:t>fondamento</w:t>
      </w:r>
      <w:r>
        <w:rPr>
          <w:color w:val="231F20"/>
          <w:spacing w:val="-14"/>
        </w:rPr>
        <w:t> </w:t>
      </w:r>
      <w:r>
        <w:rPr>
          <w:color w:val="231F20"/>
        </w:rPr>
        <w:t>o</w:t>
      </w:r>
      <w:r>
        <w:rPr>
          <w:color w:val="231F20"/>
          <w:spacing w:val="-14"/>
        </w:rPr>
        <w:t> </w:t>
      </w:r>
      <w:r>
        <w:rPr>
          <w:color w:val="231F20"/>
        </w:rPr>
        <w:t>a</w:t>
      </w:r>
      <w:r>
        <w:rPr>
          <w:color w:val="231F20"/>
          <w:spacing w:val="-14"/>
        </w:rPr>
        <w:t> </w:t>
      </w:r>
      <w:r>
        <w:rPr>
          <w:color w:val="231F20"/>
        </w:rPr>
        <w:t>un</w:t>
      </w:r>
      <w:r>
        <w:rPr>
          <w:color w:val="231F20"/>
          <w:spacing w:val="-14"/>
        </w:rPr>
        <w:t> </w:t>
      </w:r>
      <w:r>
        <w:rPr>
          <w:color w:val="231F20"/>
        </w:rPr>
        <w:t>codice</w:t>
      </w:r>
      <w:r>
        <w:rPr>
          <w:color w:val="231F20"/>
          <w:spacing w:val="-14"/>
        </w:rPr>
        <w:t> </w:t>
      </w:r>
      <w:r>
        <w:rPr>
          <w:color w:val="231F20"/>
        </w:rPr>
        <w:t>di</w:t>
      </w:r>
      <w:r>
        <w:rPr>
          <w:color w:val="231F20"/>
          <w:spacing w:val="-14"/>
        </w:rPr>
        <w:t> </w:t>
      </w:r>
      <w:r>
        <w:rPr>
          <w:color w:val="231F20"/>
        </w:rPr>
        <w:t>base</w:t>
      </w:r>
      <w:r>
        <w:rPr>
          <w:color w:val="231F20"/>
          <w:spacing w:val="-14"/>
        </w:rPr>
        <w:t> </w:t>
      </w:r>
      <w:r>
        <w:rPr>
          <w:color w:val="231F20"/>
        </w:rPr>
        <w:t>a</w:t>
      </w:r>
      <w:r>
        <w:rPr>
          <w:color w:val="231F20"/>
          <w:spacing w:val="-14"/>
        </w:rPr>
        <w:t> </w:t>
      </w:r>
      <w:r>
        <w:rPr>
          <w:color w:val="231F20"/>
        </w:rPr>
        <w:t>partire</w:t>
      </w:r>
    </w:p>
    <w:p>
      <w:pPr>
        <w:pStyle w:val="BodyText"/>
        <w:rPr>
          <w:sz w:val="20"/>
        </w:rPr>
      </w:pPr>
    </w:p>
    <w:p>
      <w:pPr>
        <w:pStyle w:val="BodyText"/>
        <w:spacing w:before="2"/>
        <w:rPr>
          <w:sz w:val="13"/>
        </w:rPr>
      </w:pPr>
      <w:r>
        <w:rPr/>
        <w:pict>
          <v:line style="position:absolute;mso-position-horizontal-relative:page;mso-position-vertical-relative:paragraph;z-index:11680;mso-wrap-distance-left:0;mso-wrap-distance-right:0" from="70.866096pt,10.090276pt" to="184.252096pt,10.090276pt" stroked="true" strokeweight=".3pt" strokecolor="#231f20">
            <w10:wrap type="topAndBottom"/>
          </v:line>
        </w:pict>
      </w:r>
    </w:p>
    <w:p>
      <w:pPr>
        <w:spacing w:line="204" w:lineRule="exact" w:before="9"/>
        <w:ind w:left="117" w:right="121" w:firstLine="0"/>
        <w:jc w:val="both"/>
        <w:rPr>
          <w:rFonts w:ascii="Calibri" w:hAnsi="Calibri"/>
          <w:sz w:val="17"/>
        </w:rPr>
      </w:pPr>
      <w:r>
        <w:rPr>
          <w:rFonts w:ascii="Calibri" w:hAnsi="Calibri"/>
          <w:color w:val="231F20"/>
          <w:w w:val="105"/>
          <w:position w:val="6"/>
          <w:sz w:val="10"/>
        </w:rPr>
        <w:t>33</w:t>
      </w:r>
      <w:r>
        <w:rPr>
          <w:rFonts w:ascii="Calibri" w:hAnsi="Calibri"/>
          <w:color w:val="231F20"/>
          <w:spacing w:val="-4"/>
          <w:w w:val="105"/>
          <w:position w:val="6"/>
          <w:sz w:val="10"/>
        </w:rPr>
        <w:t> </w:t>
      </w:r>
      <w:r>
        <w:rPr>
          <w:rFonts w:ascii="Calibri" w:hAnsi="Calibri"/>
          <w:color w:val="231F20"/>
          <w:w w:val="105"/>
          <w:sz w:val="17"/>
        </w:rPr>
        <w:t>Bisogna</w:t>
      </w:r>
      <w:r>
        <w:rPr>
          <w:rFonts w:ascii="Calibri" w:hAnsi="Calibri"/>
          <w:color w:val="231F20"/>
          <w:spacing w:val="-21"/>
          <w:w w:val="105"/>
          <w:sz w:val="17"/>
        </w:rPr>
        <w:t> </w:t>
      </w:r>
      <w:r>
        <w:rPr>
          <w:rFonts w:ascii="Calibri" w:hAnsi="Calibri"/>
          <w:color w:val="231F20"/>
          <w:w w:val="105"/>
          <w:sz w:val="17"/>
        </w:rPr>
        <w:t>intendere</w:t>
      </w:r>
      <w:r>
        <w:rPr>
          <w:rFonts w:ascii="Calibri" w:hAnsi="Calibri"/>
          <w:color w:val="231F20"/>
          <w:spacing w:val="-21"/>
          <w:w w:val="105"/>
          <w:sz w:val="17"/>
        </w:rPr>
        <w:t> </w:t>
      </w:r>
      <w:r>
        <w:rPr>
          <w:rFonts w:ascii="Calibri" w:hAnsi="Calibri"/>
          <w:color w:val="231F20"/>
          <w:w w:val="105"/>
          <w:sz w:val="17"/>
        </w:rPr>
        <w:t>per</w:t>
      </w:r>
      <w:r>
        <w:rPr>
          <w:rFonts w:ascii="Calibri" w:hAnsi="Calibri"/>
          <w:color w:val="231F20"/>
          <w:spacing w:val="-21"/>
          <w:w w:val="105"/>
          <w:sz w:val="17"/>
        </w:rPr>
        <w:t> </w:t>
      </w:r>
      <w:r>
        <w:rPr>
          <w:rFonts w:ascii="Calibri" w:hAnsi="Calibri"/>
          <w:color w:val="231F20"/>
          <w:w w:val="105"/>
          <w:sz w:val="17"/>
        </w:rPr>
        <w:t>governamentalità</w:t>
      </w:r>
      <w:r>
        <w:rPr>
          <w:rFonts w:ascii="Calibri" w:hAnsi="Calibri"/>
          <w:color w:val="231F20"/>
          <w:spacing w:val="-21"/>
          <w:w w:val="105"/>
          <w:sz w:val="17"/>
        </w:rPr>
        <w:t> </w:t>
      </w:r>
      <w:r>
        <w:rPr>
          <w:rFonts w:ascii="Calibri" w:hAnsi="Calibri"/>
          <w:color w:val="231F20"/>
          <w:w w:val="105"/>
          <w:sz w:val="17"/>
        </w:rPr>
        <w:t>le</w:t>
      </w:r>
      <w:r>
        <w:rPr>
          <w:rFonts w:ascii="Calibri" w:hAnsi="Calibri"/>
          <w:color w:val="231F20"/>
          <w:spacing w:val="-21"/>
          <w:w w:val="105"/>
          <w:sz w:val="17"/>
        </w:rPr>
        <w:t> </w:t>
      </w:r>
      <w:r>
        <w:rPr>
          <w:rFonts w:ascii="Calibri" w:hAnsi="Calibri"/>
          <w:color w:val="231F20"/>
          <w:w w:val="105"/>
          <w:sz w:val="17"/>
        </w:rPr>
        <w:t>azioni</w:t>
      </w:r>
      <w:r>
        <w:rPr>
          <w:rFonts w:ascii="Calibri" w:hAnsi="Calibri"/>
          <w:color w:val="231F20"/>
          <w:spacing w:val="-21"/>
          <w:w w:val="105"/>
          <w:sz w:val="17"/>
        </w:rPr>
        <w:t> </w:t>
      </w:r>
      <w:r>
        <w:rPr>
          <w:rFonts w:ascii="Calibri" w:hAnsi="Calibri"/>
          <w:color w:val="231F20"/>
          <w:w w:val="105"/>
          <w:sz w:val="17"/>
        </w:rPr>
        <w:t>effettive</w:t>
      </w:r>
      <w:r>
        <w:rPr>
          <w:rFonts w:ascii="Calibri" w:hAnsi="Calibri"/>
          <w:color w:val="231F20"/>
          <w:spacing w:val="-21"/>
          <w:w w:val="105"/>
          <w:sz w:val="17"/>
        </w:rPr>
        <w:t> </w:t>
      </w:r>
      <w:r>
        <w:rPr>
          <w:rFonts w:ascii="Calibri" w:hAnsi="Calibri"/>
          <w:color w:val="231F20"/>
          <w:w w:val="105"/>
          <w:sz w:val="17"/>
        </w:rPr>
        <w:t>e</w:t>
      </w:r>
      <w:r>
        <w:rPr>
          <w:rFonts w:ascii="Calibri" w:hAnsi="Calibri"/>
          <w:color w:val="231F20"/>
          <w:spacing w:val="-21"/>
          <w:w w:val="105"/>
          <w:sz w:val="17"/>
        </w:rPr>
        <w:t> </w:t>
      </w:r>
      <w:r>
        <w:rPr>
          <w:rFonts w:ascii="Calibri" w:hAnsi="Calibri"/>
          <w:color w:val="231F20"/>
          <w:w w:val="105"/>
          <w:sz w:val="17"/>
        </w:rPr>
        <w:t>le</w:t>
      </w:r>
      <w:r>
        <w:rPr>
          <w:rFonts w:ascii="Calibri" w:hAnsi="Calibri"/>
          <w:color w:val="231F20"/>
          <w:spacing w:val="-21"/>
          <w:w w:val="105"/>
          <w:sz w:val="17"/>
        </w:rPr>
        <w:t> </w:t>
      </w:r>
      <w:r>
        <w:rPr>
          <w:rFonts w:ascii="Calibri" w:hAnsi="Calibri"/>
          <w:color w:val="231F20"/>
          <w:w w:val="105"/>
          <w:sz w:val="17"/>
        </w:rPr>
        <w:t>tecnologie</w:t>
      </w:r>
      <w:r>
        <w:rPr>
          <w:rFonts w:ascii="Calibri" w:hAnsi="Calibri"/>
          <w:color w:val="231F20"/>
          <w:spacing w:val="-21"/>
          <w:w w:val="105"/>
          <w:sz w:val="17"/>
        </w:rPr>
        <w:t> </w:t>
      </w:r>
      <w:r>
        <w:rPr>
          <w:rFonts w:ascii="Calibri" w:hAnsi="Calibri"/>
          <w:color w:val="231F20"/>
          <w:w w:val="105"/>
          <w:sz w:val="17"/>
        </w:rPr>
        <w:t>coinvolte</w:t>
      </w:r>
      <w:r>
        <w:rPr>
          <w:rFonts w:ascii="Calibri" w:hAnsi="Calibri"/>
          <w:color w:val="231F20"/>
          <w:spacing w:val="-21"/>
          <w:w w:val="105"/>
          <w:sz w:val="17"/>
        </w:rPr>
        <w:t> </w:t>
      </w:r>
      <w:r>
        <w:rPr>
          <w:rFonts w:ascii="Calibri" w:hAnsi="Calibri"/>
          <w:color w:val="231F20"/>
          <w:w w:val="105"/>
          <w:sz w:val="17"/>
        </w:rPr>
        <w:t>nell’esercizio del</w:t>
      </w:r>
      <w:r>
        <w:rPr>
          <w:rFonts w:ascii="Calibri" w:hAnsi="Calibri"/>
          <w:color w:val="231F20"/>
          <w:spacing w:val="-17"/>
          <w:w w:val="105"/>
          <w:sz w:val="17"/>
        </w:rPr>
        <w:t> </w:t>
      </w:r>
      <w:r>
        <w:rPr>
          <w:rFonts w:ascii="Calibri" w:hAnsi="Calibri"/>
          <w:color w:val="231F20"/>
          <w:w w:val="105"/>
          <w:sz w:val="17"/>
        </w:rPr>
        <w:t>governo,</w:t>
      </w:r>
      <w:r>
        <w:rPr>
          <w:rFonts w:ascii="Calibri" w:hAnsi="Calibri"/>
          <w:color w:val="231F20"/>
          <w:spacing w:val="-17"/>
          <w:w w:val="105"/>
          <w:sz w:val="17"/>
        </w:rPr>
        <w:t> </w:t>
      </w:r>
      <w:r>
        <w:rPr>
          <w:rFonts w:ascii="Calibri" w:hAnsi="Calibri"/>
          <w:color w:val="231F20"/>
          <w:w w:val="105"/>
          <w:sz w:val="17"/>
        </w:rPr>
        <w:t>quindi,</w:t>
      </w:r>
      <w:r>
        <w:rPr>
          <w:rFonts w:ascii="Calibri" w:hAnsi="Calibri"/>
          <w:color w:val="231F20"/>
          <w:spacing w:val="-17"/>
          <w:w w:val="105"/>
          <w:sz w:val="17"/>
        </w:rPr>
        <w:t> </w:t>
      </w:r>
      <w:r>
        <w:rPr>
          <w:rFonts w:ascii="Calibri" w:hAnsi="Calibri"/>
          <w:color w:val="231F20"/>
          <w:w w:val="105"/>
          <w:sz w:val="17"/>
        </w:rPr>
        <w:t>tutte</w:t>
      </w:r>
      <w:r>
        <w:rPr>
          <w:rFonts w:ascii="Calibri" w:hAnsi="Calibri"/>
          <w:color w:val="231F20"/>
          <w:spacing w:val="-17"/>
          <w:w w:val="105"/>
          <w:sz w:val="17"/>
        </w:rPr>
        <w:t> </w:t>
      </w:r>
      <w:r>
        <w:rPr>
          <w:rFonts w:ascii="Calibri" w:hAnsi="Calibri"/>
          <w:color w:val="231F20"/>
          <w:w w:val="105"/>
          <w:sz w:val="17"/>
        </w:rPr>
        <w:t>quelle</w:t>
      </w:r>
      <w:r>
        <w:rPr>
          <w:rFonts w:ascii="Calibri" w:hAnsi="Calibri"/>
          <w:color w:val="231F20"/>
          <w:spacing w:val="-17"/>
          <w:w w:val="105"/>
          <w:sz w:val="17"/>
        </w:rPr>
        <w:t> </w:t>
      </w:r>
      <w:r>
        <w:rPr>
          <w:rFonts w:ascii="Calibri" w:hAnsi="Calibri"/>
          <w:color w:val="231F20"/>
          <w:w w:val="105"/>
          <w:sz w:val="17"/>
        </w:rPr>
        <w:t>decisioni</w:t>
      </w:r>
      <w:r>
        <w:rPr>
          <w:rFonts w:ascii="Calibri" w:hAnsi="Calibri"/>
          <w:color w:val="231F20"/>
          <w:spacing w:val="-17"/>
          <w:w w:val="105"/>
          <w:sz w:val="17"/>
        </w:rPr>
        <w:t> </w:t>
      </w:r>
      <w:r>
        <w:rPr>
          <w:rFonts w:ascii="Calibri" w:hAnsi="Calibri"/>
          <w:color w:val="231F20"/>
          <w:w w:val="105"/>
          <w:sz w:val="17"/>
        </w:rPr>
        <w:t>e</w:t>
      </w:r>
      <w:r>
        <w:rPr>
          <w:rFonts w:ascii="Calibri" w:hAnsi="Calibri"/>
          <w:color w:val="231F20"/>
          <w:spacing w:val="-17"/>
          <w:w w:val="105"/>
          <w:sz w:val="17"/>
        </w:rPr>
        <w:t> </w:t>
      </w:r>
      <w:r>
        <w:rPr>
          <w:rFonts w:ascii="Calibri" w:hAnsi="Calibri"/>
          <w:color w:val="231F20"/>
          <w:w w:val="105"/>
          <w:sz w:val="17"/>
        </w:rPr>
        <w:t>misure</w:t>
      </w:r>
      <w:r>
        <w:rPr>
          <w:rFonts w:ascii="Calibri" w:hAnsi="Calibri"/>
          <w:color w:val="231F20"/>
          <w:spacing w:val="-17"/>
          <w:w w:val="105"/>
          <w:sz w:val="17"/>
        </w:rPr>
        <w:t> </w:t>
      </w:r>
      <w:r>
        <w:rPr>
          <w:rFonts w:ascii="Calibri" w:hAnsi="Calibri"/>
          <w:color w:val="231F20"/>
          <w:w w:val="105"/>
          <w:sz w:val="17"/>
        </w:rPr>
        <w:t>che</w:t>
      </w:r>
      <w:r>
        <w:rPr>
          <w:rFonts w:ascii="Calibri" w:hAnsi="Calibri"/>
          <w:color w:val="231F20"/>
          <w:spacing w:val="-17"/>
          <w:w w:val="105"/>
          <w:sz w:val="17"/>
        </w:rPr>
        <w:t> </w:t>
      </w:r>
      <w:r>
        <w:rPr>
          <w:rFonts w:ascii="Calibri" w:hAnsi="Calibri"/>
          <w:color w:val="231F20"/>
          <w:w w:val="105"/>
          <w:sz w:val="17"/>
        </w:rPr>
        <w:t>giustificano</w:t>
      </w:r>
      <w:r>
        <w:rPr>
          <w:rFonts w:ascii="Calibri" w:hAnsi="Calibri"/>
          <w:color w:val="231F20"/>
          <w:spacing w:val="-17"/>
          <w:w w:val="105"/>
          <w:sz w:val="17"/>
        </w:rPr>
        <w:t> </w:t>
      </w:r>
      <w:r>
        <w:rPr>
          <w:rFonts w:ascii="Calibri" w:hAnsi="Calibri"/>
          <w:color w:val="231F20"/>
          <w:w w:val="105"/>
          <w:sz w:val="17"/>
        </w:rPr>
        <w:t>e</w:t>
      </w:r>
      <w:r>
        <w:rPr>
          <w:rFonts w:ascii="Calibri" w:hAnsi="Calibri"/>
          <w:color w:val="231F20"/>
          <w:spacing w:val="-17"/>
          <w:w w:val="105"/>
          <w:sz w:val="17"/>
        </w:rPr>
        <w:t> </w:t>
      </w:r>
      <w:r>
        <w:rPr>
          <w:rFonts w:ascii="Calibri" w:hAnsi="Calibri"/>
          <w:color w:val="231F20"/>
          <w:w w:val="105"/>
          <w:sz w:val="17"/>
        </w:rPr>
        <w:t>danno</w:t>
      </w:r>
      <w:r>
        <w:rPr>
          <w:rFonts w:ascii="Calibri" w:hAnsi="Calibri"/>
          <w:color w:val="231F20"/>
          <w:spacing w:val="-17"/>
          <w:w w:val="105"/>
          <w:sz w:val="17"/>
        </w:rPr>
        <w:t> </w:t>
      </w:r>
      <w:r>
        <w:rPr>
          <w:rFonts w:ascii="Calibri" w:hAnsi="Calibri"/>
          <w:color w:val="231F20"/>
          <w:w w:val="105"/>
          <w:sz w:val="17"/>
        </w:rPr>
        <w:t>concrezione</w:t>
      </w:r>
      <w:r>
        <w:rPr>
          <w:rFonts w:ascii="Calibri" w:hAnsi="Calibri"/>
          <w:color w:val="231F20"/>
          <w:spacing w:val="-17"/>
          <w:w w:val="105"/>
          <w:sz w:val="17"/>
        </w:rPr>
        <w:t> </w:t>
      </w:r>
      <w:r>
        <w:rPr>
          <w:rFonts w:ascii="Calibri" w:hAnsi="Calibri"/>
          <w:color w:val="231F20"/>
          <w:w w:val="105"/>
          <w:sz w:val="17"/>
        </w:rPr>
        <w:t>all’atto</w:t>
      </w:r>
      <w:r>
        <w:rPr>
          <w:rFonts w:ascii="Calibri" w:hAnsi="Calibri"/>
          <w:color w:val="231F20"/>
          <w:spacing w:val="-17"/>
          <w:w w:val="105"/>
          <w:sz w:val="17"/>
        </w:rPr>
        <w:t> </w:t>
      </w:r>
      <w:r>
        <w:rPr>
          <w:rFonts w:ascii="Calibri" w:hAnsi="Calibri"/>
          <w:color w:val="231F20"/>
          <w:w w:val="105"/>
          <w:sz w:val="17"/>
        </w:rPr>
        <w:t>di governare.</w:t>
      </w:r>
      <w:r>
        <w:rPr>
          <w:rFonts w:ascii="Calibri" w:hAnsi="Calibri"/>
          <w:color w:val="231F20"/>
          <w:spacing w:val="-16"/>
          <w:w w:val="105"/>
          <w:sz w:val="17"/>
        </w:rPr>
        <w:t> </w:t>
      </w:r>
      <w:r>
        <w:rPr>
          <w:rFonts w:ascii="Calibri" w:hAnsi="Calibri"/>
          <w:color w:val="231F20"/>
          <w:w w:val="105"/>
          <w:sz w:val="17"/>
        </w:rPr>
        <w:t>In</w:t>
      </w:r>
      <w:r>
        <w:rPr>
          <w:rFonts w:ascii="Calibri" w:hAnsi="Calibri"/>
          <w:color w:val="231F20"/>
          <w:spacing w:val="-16"/>
          <w:w w:val="105"/>
          <w:sz w:val="17"/>
        </w:rPr>
        <w:t> </w:t>
      </w:r>
      <w:r>
        <w:rPr>
          <w:rFonts w:ascii="Calibri" w:hAnsi="Calibri"/>
          <w:color w:val="231F20"/>
          <w:w w:val="105"/>
          <w:sz w:val="17"/>
        </w:rPr>
        <w:t>modo</w:t>
      </w:r>
      <w:r>
        <w:rPr>
          <w:rFonts w:ascii="Calibri" w:hAnsi="Calibri"/>
          <w:color w:val="231F20"/>
          <w:spacing w:val="-16"/>
          <w:w w:val="105"/>
          <w:sz w:val="17"/>
        </w:rPr>
        <w:t> </w:t>
      </w:r>
      <w:r>
        <w:rPr>
          <w:rFonts w:ascii="Calibri" w:hAnsi="Calibri"/>
          <w:color w:val="231F20"/>
          <w:w w:val="105"/>
          <w:sz w:val="17"/>
        </w:rPr>
        <w:t>più</w:t>
      </w:r>
      <w:r>
        <w:rPr>
          <w:rFonts w:ascii="Calibri" w:hAnsi="Calibri"/>
          <w:color w:val="231F20"/>
          <w:spacing w:val="-16"/>
          <w:w w:val="105"/>
          <w:sz w:val="17"/>
        </w:rPr>
        <w:t> </w:t>
      </w:r>
      <w:r>
        <w:rPr>
          <w:rFonts w:ascii="Calibri" w:hAnsi="Calibri"/>
          <w:color w:val="231F20"/>
          <w:w w:val="105"/>
          <w:sz w:val="17"/>
        </w:rPr>
        <w:t>specifico,</w:t>
      </w:r>
      <w:r>
        <w:rPr>
          <w:rFonts w:ascii="Calibri" w:hAnsi="Calibri"/>
          <w:color w:val="231F20"/>
          <w:spacing w:val="-16"/>
          <w:w w:val="105"/>
          <w:sz w:val="17"/>
        </w:rPr>
        <w:t> </w:t>
      </w:r>
      <w:r>
        <w:rPr>
          <w:rFonts w:ascii="Calibri" w:hAnsi="Calibri"/>
          <w:color w:val="231F20"/>
          <w:w w:val="105"/>
          <w:sz w:val="17"/>
        </w:rPr>
        <w:t>con</w:t>
      </w:r>
      <w:r>
        <w:rPr>
          <w:rFonts w:ascii="Calibri" w:hAnsi="Calibri"/>
          <w:color w:val="231F20"/>
          <w:spacing w:val="-16"/>
          <w:w w:val="105"/>
          <w:sz w:val="17"/>
        </w:rPr>
        <w:t> </w:t>
      </w:r>
      <w:r>
        <w:rPr>
          <w:rFonts w:ascii="Calibri" w:hAnsi="Calibri"/>
          <w:color w:val="231F20"/>
          <w:w w:val="105"/>
          <w:sz w:val="17"/>
        </w:rPr>
        <w:t>questo</w:t>
      </w:r>
      <w:r>
        <w:rPr>
          <w:rFonts w:ascii="Calibri" w:hAnsi="Calibri"/>
          <w:color w:val="231F20"/>
          <w:spacing w:val="-16"/>
          <w:w w:val="105"/>
          <w:sz w:val="17"/>
        </w:rPr>
        <w:t> </w:t>
      </w:r>
      <w:r>
        <w:rPr>
          <w:rFonts w:ascii="Calibri" w:hAnsi="Calibri"/>
          <w:color w:val="231F20"/>
          <w:w w:val="105"/>
          <w:sz w:val="17"/>
        </w:rPr>
        <w:t>concetto</w:t>
      </w:r>
      <w:r>
        <w:rPr>
          <w:rFonts w:ascii="Calibri" w:hAnsi="Calibri"/>
          <w:color w:val="231F20"/>
          <w:spacing w:val="-16"/>
          <w:w w:val="105"/>
          <w:sz w:val="17"/>
        </w:rPr>
        <w:t> </w:t>
      </w:r>
      <w:r>
        <w:rPr>
          <w:rFonts w:ascii="Calibri" w:hAnsi="Calibri"/>
          <w:color w:val="231F20"/>
          <w:w w:val="105"/>
          <w:sz w:val="17"/>
        </w:rPr>
        <w:t>Foucault</w:t>
      </w:r>
      <w:r>
        <w:rPr>
          <w:rFonts w:ascii="Calibri" w:hAnsi="Calibri"/>
          <w:color w:val="231F20"/>
          <w:spacing w:val="-16"/>
          <w:w w:val="105"/>
          <w:sz w:val="17"/>
        </w:rPr>
        <w:t> </w:t>
      </w:r>
      <w:r>
        <w:rPr>
          <w:rFonts w:ascii="Calibri" w:hAnsi="Calibri"/>
          <w:color w:val="231F20"/>
          <w:w w:val="105"/>
          <w:sz w:val="17"/>
        </w:rPr>
        <w:t>si</w:t>
      </w:r>
      <w:r>
        <w:rPr>
          <w:rFonts w:ascii="Calibri" w:hAnsi="Calibri"/>
          <w:color w:val="231F20"/>
          <w:spacing w:val="-16"/>
          <w:w w:val="105"/>
          <w:sz w:val="17"/>
        </w:rPr>
        <w:t> </w:t>
      </w:r>
      <w:r>
        <w:rPr>
          <w:rFonts w:ascii="Calibri" w:hAnsi="Calibri"/>
          <w:color w:val="231F20"/>
          <w:w w:val="105"/>
          <w:sz w:val="17"/>
        </w:rPr>
        <w:t>riferisce</w:t>
      </w:r>
      <w:r>
        <w:rPr>
          <w:rFonts w:ascii="Calibri" w:hAnsi="Calibri"/>
          <w:color w:val="231F20"/>
          <w:spacing w:val="-16"/>
          <w:w w:val="105"/>
          <w:sz w:val="17"/>
        </w:rPr>
        <w:t> </w:t>
      </w:r>
      <w:r>
        <w:rPr>
          <w:rFonts w:ascii="Calibri" w:hAnsi="Calibri"/>
          <w:color w:val="231F20"/>
          <w:w w:val="105"/>
          <w:sz w:val="17"/>
        </w:rPr>
        <w:t>a</w:t>
      </w:r>
      <w:r>
        <w:rPr>
          <w:rFonts w:ascii="Calibri" w:hAnsi="Calibri"/>
          <w:color w:val="231F20"/>
          <w:spacing w:val="-16"/>
          <w:w w:val="105"/>
          <w:sz w:val="17"/>
        </w:rPr>
        <w:t> </w:t>
      </w:r>
      <w:r>
        <w:rPr>
          <w:rFonts w:ascii="Calibri" w:hAnsi="Calibri"/>
          <w:color w:val="231F20"/>
          <w:w w:val="105"/>
          <w:sz w:val="17"/>
        </w:rPr>
        <w:t>una</w:t>
      </w:r>
      <w:r>
        <w:rPr>
          <w:rFonts w:ascii="Calibri" w:hAnsi="Calibri"/>
          <w:color w:val="231F20"/>
          <w:spacing w:val="-16"/>
          <w:w w:val="105"/>
          <w:sz w:val="17"/>
        </w:rPr>
        <w:t> </w:t>
      </w:r>
      <w:r>
        <w:rPr>
          <w:rFonts w:ascii="Calibri" w:hAnsi="Calibri"/>
          <w:color w:val="231F20"/>
          <w:w w:val="105"/>
          <w:sz w:val="17"/>
        </w:rPr>
        <w:t>forma</w:t>
      </w:r>
      <w:r>
        <w:rPr>
          <w:rFonts w:ascii="Calibri" w:hAnsi="Calibri"/>
          <w:color w:val="231F20"/>
          <w:spacing w:val="-16"/>
          <w:w w:val="105"/>
          <w:sz w:val="17"/>
        </w:rPr>
        <w:t> </w:t>
      </w:r>
      <w:r>
        <w:rPr>
          <w:rFonts w:ascii="Calibri" w:hAnsi="Calibri"/>
          <w:color w:val="231F20"/>
          <w:w w:val="105"/>
          <w:sz w:val="17"/>
        </w:rPr>
        <w:t>di</w:t>
      </w:r>
      <w:r>
        <w:rPr>
          <w:rFonts w:ascii="Calibri" w:hAnsi="Calibri"/>
          <w:color w:val="231F20"/>
          <w:spacing w:val="-16"/>
          <w:w w:val="105"/>
          <w:sz w:val="17"/>
        </w:rPr>
        <w:t> </w:t>
      </w:r>
      <w:r>
        <w:rPr>
          <w:rFonts w:ascii="Calibri" w:hAnsi="Calibri"/>
          <w:color w:val="231F20"/>
          <w:w w:val="105"/>
          <w:sz w:val="17"/>
        </w:rPr>
        <w:t>esercizio del potere apparsa nel secolo XVIII e che ha come principale obiettivo la popolazione, la sua principale</w:t>
      </w:r>
      <w:r>
        <w:rPr>
          <w:rFonts w:ascii="Calibri" w:hAnsi="Calibri"/>
          <w:color w:val="231F20"/>
          <w:spacing w:val="-14"/>
          <w:w w:val="105"/>
          <w:sz w:val="17"/>
        </w:rPr>
        <w:t> </w:t>
      </w:r>
      <w:r>
        <w:rPr>
          <w:rFonts w:ascii="Calibri" w:hAnsi="Calibri"/>
          <w:color w:val="231F20"/>
          <w:w w:val="105"/>
          <w:sz w:val="17"/>
        </w:rPr>
        <w:t>strategia</w:t>
      </w:r>
      <w:r>
        <w:rPr>
          <w:rFonts w:ascii="Calibri" w:hAnsi="Calibri"/>
          <w:color w:val="231F20"/>
          <w:spacing w:val="-14"/>
          <w:w w:val="105"/>
          <w:sz w:val="17"/>
        </w:rPr>
        <w:t> </w:t>
      </w:r>
      <w:r>
        <w:rPr>
          <w:rFonts w:ascii="Calibri" w:hAnsi="Calibri"/>
          <w:color w:val="231F20"/>
          <w:w w:val="105"/>
          <w:sz w:val="17"/>
        </w:rPr>
        <w:t>l’economia</w:t>
      </w:r>
      <w:r>
        <w:rPr>
          <w:rFonts w:ascii="Calibri" w:hAnsi="Calibri"/>
          <w:color w:val="231F20"/>
          <w:spacing w:val="-14"/>
          <w:w w:val="105"/>
          <w:sz w:val="17"/>
        </w:rPr>
        <w:t> </w:t>
      </w:r>
      <w:r>
        <w:rPr>
          <w:rFonts w:ascii="Calibri" w:hAnsi="Calibri"/>
          <w:color w:val="231F20"/>
          <w:w w:val="105"/>
          <w:sz w:val="17"/>
        </w:rPr>
        <w:t>política</w:t>
      </w:r>
      <w:r>
        <w:rPr>
          <w:rFonts w:ascii="Calibri" w:hAnsi="Calibri"/>
          <w:color w:val="231F20"/>
          <w:spacing w:val="-14"/>
          <w:w w:val="105"/>
          <w:sz w:val="17"/>
        </w:rPr>
        <w:t> </w:t>
      </w:r>
      <w:r>
        <w:rPr>
          <w:rFonts w:ascii="Calibri" w:hAnsi="Calibri"/>
          <w:color w:val="231F20"/>
          <w:w w:val="105"/>
          <w:sz w:val="17"/>
        </w:rPr>
        <w:t>e</w:t>
      </w:r>
      <w:r>
        <w:rPr>
          <w:rFonts w:ascii="Calibri" w:hAnsi="Calibri"/>
          <w:color w:val="231F20"/>
          <w:spacing w:val="-14"/>
          <w:w w:val="105"/>
          <w:sz w:val="17"/>
        </w:rPr>
        <w:t> </w:t>
      </w:r>
      <w:r>
        <w:rPr>
          <w:rFonts w:ascii="Calibri" w:hAnsi="Calibri"/>
          <w:color w:val="231F20"/>
          <w:w w:val="105"/>
          <w:sz w:val="17"/>
        </w:rPr>
        <w:t>il</w:t>
      </w:r>
      <w:r>
        <w:rPr>
          <w:rFonts w:ascii="Calibri" w:hAnsi="Calibri"/>
          <w:color w:val="231F20"/>
          <w:spacing w:val="-14"/>
          <w:w w:val="105"/>
          <w:sz w:val="17"/>
        </w:rPr>
        <w:t> </w:t>
      </w:r>
      <w:r>
        <w:rPr>
          <w:rFonts w:ascii="Calibri" w:hAnsi="Calibri"/>
          <w:color w:val="231F20"/>
          <w:w w:val="105"/>
          <w:sz w:val="17"/>
        </w:rPr>
        <w:t>suo</w:t>
      </w:r>
      <w:r>
        <w:rPr>
          <w:rFonts w:ascii="Calibri" w:hAnsi="Calibri"/>
          <w:color w:val="231F20"/>
          <w:spacing w:val="-14"/>
          <w:w w:val="105"/>
          <w:sz w:val="17"/>
        </w:rPr>
        <w:t> </w:t>
      </w:r>
      <w:r>
        <w:rPr>
          <w:rFonts w:ascii="Calibri" w:hAnsi="Calibri"/>
          <w:color w:val="231F20"/>
          <w:w w:val="105"/>
          <w:sz w:val="17"/>
        </w:rPr>
        <w:t>principale</w:t>
      </w:r>
      <w:r>
        <w:rPr>
          <w:rFonts w:ascii="Calibri" w:hAnsi="Calibri"/>
          <w:color w:val="231F20"/>
          <w:spacing w:val="-14"/>
          <w:w w:val="105"/>
          <w:sz w:val="17"/>
        </w:rPr>
        <w:t> </w:t>
      </w:r>
      <w:r>
        <w:rPr>
          <w:rFonts w:ascii="Calibri" w:hAnsi="Calibri"/>
          <w:color w:val="231F20"/>
          <w:w w:val="105"/>
          <w:sz w:val="17"/>
        </w:rPr>
        <w:t>scopo</w:t>
      </w:r>
      <w:r>
        <w:rPr>
          <w:rFonts w:ascii="Calibri" w:hAnsi="Calibri"/>
          <w:color w:val="231F20"/>
          <w:spacing w:val="-14"/>
          <w:w w:val="105"/>
          <w:sz w:val="17"/>
        </w:rPr>
        <w:t> </w:t>
      </w:r>
      <w:r>
        <w:rPr>
          <w:rFonts w:ascii="Calibri" w:hAnsi="Calibri"/>
          <w:color w:val="231F20"/>
          <w:w w:val="105"/>
          <w:sz w:val="17"/>
        </w:rPr>
        <w:t>tecnico,</w:t>
      </w:r>
      <w:r>
        <w:rPr>
          <w:rFonts w:ascii="Calibri" w:hAnsi="Calibri"/>
          <w:color w:val="231F20"/>
          <w:spacing w:val="-14"/>
          <w:w w:val="105"/>
          <w:sz w:val="17"/>
        </w:rPr>
        <w:t> </w:t>
      </w:r>
      <w:r>
        <w:rPr>
          <w:rFonts w:ascii="Calibri" w:hAnsi="Calibri"/>
          <w:color w:val="231F20"/>
          <w:w w:val="105"/>
          <w:sz w:val="17"/>
        </w:rPr>
        <w:t>la</w:t>
      </w:r>
      <w:r>
        <w:rPr>
          <w:rFonts w:ascii="Calibri" w:hAnsi="Calibri"/>
          <w:color w:val="231F20"/>
          <w:spacing w:val="-14"/>
          <w:w w:val="105"/>
          <w:sz w:val="17"/>
        </w:rPr>
        <w:t> </w:t>
      </w:r>
      <w:r>
        <w:rPr>
          <w:rFonts w:ascii="Calibri" w:hAnsi="Calibri"/>
          <w:color w:val="231F20"/>
          <w:w w:val="105"/>
          <w:sz w:val="17"/>
        </w:rPr>
        <w:t>sicurezza.</w:t>
      </w:r>
    </w:p>
    <w:p>
      <w:pPr>
        <w:spacing w:before="1"/>
        <w:ind w:left="117" w:right="0" w:firstLine="0"/>
        <w:jc w:val="both"/>
        <w:rPr>
          <w:rFonts w:ascii="Calibri"/>
          <w:sz w:val="17"/>
        </w:rPr>
      </w:pPr>
      <w:r>
        <w:rPr>
          <w:rFonts w:ascii="Calibri"/>
          <w:color w:val="231F20"/>
          <w:position w:val="6"/>
          <w:sz w:val="10"/>
        </w:rPr>
        <w:t>34  </w:t>
      </w:r>
      <w:r>
        <w:rPr>
          <w:rFonts w:ascii="Calibri"/>
          <w:color w:val="231F20"/>
          <w:sz w:val="17"/>
        </w:rPr>
        <w:t>Foucault, </w:t>
      </w:r>
      <w:r>
        <w:rPr>
          <w:rFonts w:ascii="Calibri"/>
          <w:i/>
          <w:color w:val="231F20"/>
          <w:sz w:val="17"/>
        </w:rPr>
        <w:t>Naissance de la biopolitique</w:t>
      </w:r>
      <w:r>
        <w:rPr>
          <w:rFonts w:ascii="Calibri"/>
          <w:color w:val="231F20"/>
          <w:sz w:val="17"/>
        </w:rPr>
        <w:t>, p. 94.</w:t>
      </w:r>
    </w:p>
    <w:p>
      <w:pPr>
        <w:spacing w:after="0"/>
        <w:jc w:val="both"/>
        <w:rPr>
          <w:rFonts w:ascii="Calibri"/>
          <w:sz w:val="17"/>
        </w:rPr>
        <w:sectPr>
          <w:pgSz w:w="9640" w:h="13890"/>
          <w:pgMar w:top="0" w:bottom="280" w:left="1300" w:right="1180"/>
        </w:sectPr>
      </w:pPr>
    </w:p>
    <w:p>
      <w:pPr>
        <w:pStyle w:val="BodyText"/>
        <w:spacing w:line="247" w:lineRule="auto" w:before="107"/>
        <w:ind w:left="103" w:right="110"/>
        <w:jc w:val="both"/>
      </w:pPr>
      <w:r>
        <w:rPr>
          <w:color w:val="231F20"/>
        </w:rPr>
        <w:t>dal quale tutti gli altri codici si dovrebbero aggiustare, tutto il contrario, quello che crea sono assiomi che, come enunciati autoevidenti che non hanno</w:t>
      </w:r>
      <w:r>
        <w:rPr>
          <w:color w:val="231F20"/>
          <w:spacing w:val="-18"/>
        </w:rPr>
        <w:t> </w:t>
      </w:r>
      <w:r>
        <w:rPr>
          <w:color w:val="231F20"/>
        </w:rPr>
        <w:t>bisogno</w:t>
      </w:r>
      <w:r>
        <w:rPr>
          <w:color w:val="231F20"/>
          <w:spacing w:val="-18"/>
        </w:rPr>
        <w:t> </w:t>
      </w:r>
      <w:r>
        <w:rPr>
          <w:color w:val="231F20"/>
        </w:rPr>
        <w:t>di</w:t>
      </w:r>
      <w:r>
        <w:rPr>
          <w:color w:val="231F20"/>
          <w:spacing w:val="-18"/>
        </w:rPr>
        <w:t> </w:t>
      </w:r>
      <w:r>
        <w:rPr>
          <w:color w:val="231F20"/>
        </w:rPr>
        <w:t>dimostrasi</w:t>
      </w:r>
      <w:r>
        <w:rPr>
          <w:color w:val="231F20"/>
          <w:spacing w:val="-18"/>
        </w:rPr>
        <w:t> </w:t>
      </w:r>
      <w:r>
        <w:rPr>
          <w:color w:val="231F20"/>
        </w:rPr>
        <w:t>ne</w:t>
      </w:r>
      <w:r>
        <w:rPr>
          <w:color w:val="231F20"/>
          <w:spacing w:val="-18"/>
        </w:rPr>
        <w:t> </w:t>
      </w:r>
      <w:r>
        <w:rPr>
          <w:color w:val="231F20"/>
        </w:rPr>
        <w:t>derivarsi</w:t>
      </w:r>
      <w:r>
        <w:rPr>
          <w:color w:val="231F20"/>
          <w:spacing w:val="-18"/>
        </w:rPr>
        <w:t> </w:t>
      </w:r>
      <w:r>
        <w:rPr>
          <w:color w:val="231F20"/>
        </w:rPr>
        <w:t>da</w:t>
      </w:r>
      <w:r>
        <w:rPr>
          <w:color w:val="231F20"/>
          <w:spacing w:val="-18"/>
        </w:rPr>
        <w:t> </w:t>
      </w:r>
      <w:r>
        <w:rPr>
          <w:color w:val="231F20"/>
        </w:rPr>
        <w:t>niente</w:t>
      </w:r>
      <w:r>
        <w:rPr>
          <w:color w:val="231F20"/>
          <w:spacing w:val="-18"/>
        </w:rPr>
        <w:t> </w:t>
      </w:r>
      <w:r>
        <w:rPr>
          <w:color w:val="231F20"/>
        </w:rPr>
        <w:t>anteriore</w:t>
      </w:r>
      <w:r>
        <w:rPr>
          <w:color w:val="231F20"/>
          <w:spacing w:val="-18"/>
        </w:rPr>
        <w:t> </w:t>
      </w:r>
      <w:r>
        <w:rPr>
          <w:color w:val="231F20"/>
        </w:rPr>
        <w:t>a</w:t>
      </w:r>
      <w:r>
        <w:rPr>
          <w:color w:val="231F20"/>
          <w:spacing w:val="-18"/>
        </w:rPr>
        <w:t> </w:t>
      </w:r>
      <w:r>
        <w:rPr>
          <w:color w:val="231F20"/>
        </w:rPr>
        <w:t>loro,</w:t>
      </w:r>
      <w:r>
        <w:rPr>
          <w:color w:val="231F20"/>
          <w:spacing w:val="-18"/>
        </w:rPr>
        <w:t> </w:t>
      </w:r>
      <w:r>
        <w:rPr>
          <w:color w:val="231F20"/>
        </w:rPr>
        <w:t>risultano sommamente</w:t>
      </w:r>
      <w:r>
        <w:rPr>
          <w:color w:val="231F20"/>
          <w:spacing w:val="-18"/>
        </w:rPr>
        <w:t> </w:t>
      </w:r>
      <w:r>
        <w:rPr>
          <w:color w:val="231F20"/>
        </w:rPr>
        <w:t>adatti</w:t>
      </w:r>
      <w:r>
        <w:rPr>
          <w:color w:val="231F20"/>
          <w:spacing w:val="-18"/>
        </w:rPr>
        <w:t> </w:t>
      </w:r>
      <w:r>
        <w:rPr>
          <w:color w:val="231F20"/>
        </w:rPr>
        <w:t>per</w:t>
      </w:r>
      <w:r>
        <w:rPr>
          <w:color w:val="231F20"/>
          <w:spacing w:val="-18"/>
        </w:rPr>
        <w:t> </w:t>
      </w:r>
      <w:r>
        <w:rPr>
          <w:color w:val="231F20"/>
        </w:rPr>
        <w:t>accomodarsi</w:t>
      </w:r>
      <w:r>
        <w:rPr>
          <w:color w:val="231F20"/>
          <w:spacing w:val="-18"/>
        </w:rPr>
        <w:t> </w:t>
      </w:r>
      <w:r>
        <w:rPr>
          <w:color w:val="231F20"/>
        </w:rPr>
        <w:t>e</w:t>
      </w:r>
      <w:r>
        <w:rPr>
          <w:color w:val="231F20"/>
          <w:spacing w:val="-18"/>
        </w:rPr>
        <w:t> </w:t>
      </w:r>
      <w:r>
        <w:rPr>
          <w:color w:val="231F20"/>
        </w:rPr>
        <w:t>riformarsi</w:t>
      </w:r>
      <w:r>
        <w:rPr>
          <w:color w:val="231F20"/>
          <w:spacing w:val="-18"/>
        </w:rPr>
        <w:t> </w:t>
      </w:r>
      <w:r>
        <w:rPr>
          <w:color w:val="231F20"/>
        </w:rPr>
        <w:t>a</w:t>
      </w:r>
      <w:r>
        <w:rPr>
          <w:color w:val="231F20"/>
          <w:spacing w:val="-18"/>
        </w:rPr>
        <w:t> </w:t>
      </w:r>
      <w:r>
        <w:rPr>
          <w:color w:val="231F20"/>
        </w:rPr>
        <w:t>partire</w:t>
      </w:r>
      <w:r>
        <w:rPr>
          <w:color w:val="231F20"/>
          <w:spacing w:val="-18"/>
        </w:rPr>
        <w:t> </w:t>
      </w:r>
      <w:r>
        <w:rPr>
          <w:color w:val="231F20"/>
        </w:rPr>
        <w:t>dalle</w:t>
      </w:r>
      <w:r>
        <w:rPr>
          <w:color w:val="231F20"/>
          <w:spacing w:val="-18"/>
        </w:rPr>
        <w:t> </w:t>
      </w:r>
      <w:r>
        <w:rPr>
          <w:color w:val="231F20"/>
        </w:rPr>
        <w:t>necessità</w:t>
      </w:r>
      <w:r>
        <w:rPr>
          <w:color w:val="231F20"/>
          <w:spacing w:val="-18"/>
        </w:rPr>
        <w:t> </w:t>
      </w:r>
      <w:r>
        <w:rPr>
          <w:color w:val="231F20"/>
        </w:rPr>
        <w:t>di ogni</w:t>
      </w:r>
      <w:r>
        <w:rPr>
          <w:color w:val="231F20"/>
          <w:spacing w:val="-9"/>
        </w:rPr>
        <w:t> </w:t>
      </w:r>
      <w:r>
        <w:rPr>
          <w:color w:val="231F20"/>
        </w:rPr>
        <w:t>situazione.</w:t>
      </w:r>
      <w:r>
        <w:rPr>
          <w:color w:val="231F20"/>
          <w:spacing w:val="-9"/>
        </w:rPr>
        <w:t> </w:t>
      </w:r>
      <w:r>
        <w:rPr>
          <w:color w:val="231F20"/>
        </w:rPr>
        <w:t>Un</w:t>
      </w:r>
      <w:r>
        <w:rPr>
          <w:color w:val="231F20"/>
          <w:spacing w:val="-9"/>
        </w:rPr>
        <w:t> </w:t>
      </w:r>
      <w:r>
        <w:rPr>
          <w:color w:val="231F20"/>
        </w:rPr>
        <w:t>assioma</w:t>
      </w:r>
      <w:r>
        <w:rPr>
          <w:color w:val="231F20"/>
          <w:spacing w:val="-9"/>
        </w:rPr>
        <w:t> </w:t>
      </w:r>
      <w:r>
        <w:rPr>
          <w:color w:val="231F20"/>
        </w:rPr>
        <w:t>non</w:t>
      </w:r>
      <w:r>
        <w:rPr>
          <w:color w:val="231F20"/>
          <w:spacing w:val="-9"/>
        </w:rPr>
        <w:t> </w:t>
      </w:r>
      <w:r>
        <w:rPr>
          <w:color w:val="231F20"/>
        </w:rPr>
        <w:t>solo</w:t>
      </w:r>
      <w:r>
        <w:rPr>
          <w:color w:val="231F20"/>
          <w:spacing w:val="-9"/>
        </w:rPr>
        <w:t> </w:t>
      </w:r>
      <w:r>
        <w:rPr>
          <w:color w:val="231F20"/>
        </w:rPr>
        <w:t>imprime</w:t>
      </w:r>
      <w:r>
        <w:rPr>
          <w:color w:val="231F20"/>
          <w:spacing w:val="-9"/>
        </w:rPr>
        <w:t> </w:t>
      </w:r>
      <w:r>
        <w:rPr>
          <w:color w:val="231F20"/>
        </w:rPr>
        <w:t>ordine,</w:t>
      </w:r>
      <w:r>
        <w:rPr>
          <w:color w:val="231F20"/>
          <w:spacing w:val="-9"/>
        </w:rPr>
        <w:t> </w:t>
      </w:r>
      <w:r>
        <w:rPr>
          <w:color w:val="231F20"/>
        </w:rPr>
        <w:t>ma</w:t>
      </w:r>
      <w:r>
        <w:rPr>
          <w:color w:val="231F20"/>
          <w:spacing w:val="-9"/>
        </w:rPr>
        <w:t> </w:t>
      </w:r>
      <w:r>
        <w:rPr>
          <w:color w:val="231F20"/>
        </w:rPr>
        <w:t>anche</w:t>
      </w:r>
      <w:r>
        <w:rPr>
          <w:color w:val="231F20"/>
          <w:spacing w:val="-9"/>
        </w:rPr>
        <w:t> </w:t>
      </w:r>
      <w:r>
        <w:rPr>
          <w:color w:val="231F20"/>
        </w:rPr>
        <w:t>può</w:t>
      </w:r>
      <w:r>
        <w:rPr>
          <w:color w:val="231F20"/>
          <w:spacing w:val="-9"/>
        </w:rPr>
        <w:t> </w:t>
      </w:r>
      <w:r>
        <w:rPr>
          <w:color w:val="231F20"/>
        </w:rPr>
        <w:t>essere modificato per stabilire uno nuovo. Ogni cosa che esca da questo   </w:t>
      </w:r>
      <w:r>
        <w:rPr>
          <w:color w:val="231F20"/>
          <w:spacing w:val="19"/>
        </w:rPr>
        <w:t> </w:t>
      </w:r>
      <w:r>
        <w:rPr>
          <w:color w:val="231F20"/>
        </w:rPr>
        <w:t>ordine</w:t>
      </w:r>
    </w:p>
    <w:p>
      <w:pPr>
        <w:pStyle w:val="BodyText"/>
        <w:spacing w:line="244" w:lineRule="auto"/>
        <w:ind w:left="103" w:right="113"/>
        <w:jc w:val="both"/>
      </w:pPr>
      <w:r>
        <w:rPr>
          <w:color w:val="231F20"/>
        </w:rPr>
        <w:t>—una </w:t>
      </w:r>
      <w:r>
        <w:rPr>
          <w:rFonts w:ascii="Arial" w:hAnsi="Arial"/>
          <w:i/>
          <w:color w:val="231F20"/>
        </w:rPr>
        <w:t>linea di fuga</w:t>
      </w:r>
      <w:r>
        <w:rPr>
          <w:color w:val="231F20"/>
          <w:position w:val="7"/>
          <w:sz w:val="12"/>
        </w:rPr>
        <w:t>35</w:t>
      </w:r>
      <w:r>
        <w:rPr>
          <w:color w:val="231F20"/>
        </w:rPr>
        <w:t>, ad esempio— può essere integrata e reinterpretata sotto la luce di un cambiamento negli assiomi, loro possono sempre</w:t>
      </w:r>
      <w:r>
        <w:rPr>
          <w:color w:val="231F20"/>
          <w:spacing w:val="-36"/>
        </w:rPr>
        <w:t> </w:t>
      </w:r>
      <w:r>
        <w:rPr>
          <w:color w:val="231F20"/>
        </w:rPr>
        <w:t>essere risemiotizzati,</w:t>
      </w:r>
      <w:r>
        <w:rPr>
          <w:color w:val="231F20"/>
          <w:spacing w:val="-21"/>
        </w:rPr>
        <w:t> </w:t>
      </w:r>
      <w:r>
        <w:rPr>
          <w:color w:val="231F20"/>
        </w:rPr>
        <w:t>ristrutturati</w:t>
      </w:r>
      <w:r>
        <w:rPr>
          <w:color w:val="231F20"/>
          <w:spacing w:val="-21"/>
        </w:rPr>
        <w:t> </w:t>
      </w:r>
      <w:r>
        <w:rPr>
          <w:color w:val="231F20"/>
        </w:rPr>
        <w:t>e</w:t>
      </w:r>
      <w:r>
        <w:rPr>
          <w:color w:val="231F20"/>
          <w:spacing w:val="-21"/>
        </w:rPr>
        <w:t> </w:t>
      </w:r>
      <w:r>
        <w:rPr>
          <w:color w:val="231F20"/>
        </w:rPr>
        <w:t>flessibilizzati</w:t>
      </w:r>
      <w:r>
        <w:rPr>
          <w:color w:val="231F20"/>
          <w:spacing w:val="-21"/>
        </w:rPr>
        <w:t> </w:t>
      </w:r>
      <w:r>
        <w:rPr>
          <w:color w:val="231F20"/>
        </w:rPr>
        <w:t>per</w:t>
      </w:r>
      <w:r>
        <w:rPr>
          <w:color w:val="231F20"/>
          <w:spacing w:val="-21"/>
        </w:rPr>
        <w:t> </w:t>
      </w:r>
      <w:r>
        <w:rPr>
          <w:color w:val="231F20"/>
        </w:rPr>
        <w:t>includere</w:t>
      </w:r>
      <w:r>
        <w:rPr>
          <w:color w:val="231F20"/>
          <w:spacing w:val="-21"/>
        </w:rPr>
        <w:t> </w:t>
      </w:r>
      <w:r>
        <w:rPr>
          <w:color w:val="231F20"/>
        </w:rPr>
        <w:t>quello</w:t>
      </w:r>
      <w:r>
        <w:rPr>
          <w:color w:val="231F20"/>
          <w:spacing w:val="-21"/>
        </w:rPr>
        <w:t> </w:t>
      </w:r>
      <w:r>
        <w:rPr>
          <w:color w:val="231F20"/>
        </w:rPr>
        <w:t>che</w:t>
      </w:r>
      <w:r>
        <w:rPr>
          <w:color w:val="231F20"/>
          <w:spacing w:val="-21"/>
        </w:rPr>
        <w:t> </w:t>
      </w:r>
      <w:r>
        <w:rPr>
          <w:color w:val="231F20"/>
        </w:rPr>
        <w:t>gli</w:t>
      </w:r>
      <w:r>
        <w:rPr>
          <w:color w:val="231F20"/>
          <w:spacing w:val="-21"/>
        </w:rPr>
        <w:t> </w:t>
      </w:r>
      <w:r>
        <w:rPr>
          <w:color w:val="231F20"/>
        </w:rPr>
        <w:t>scappa, possono sempre territorializzare quello che si era</w:t>
      </w:r>
      <w:r>
        <w:rPr>
          <w:color w:val="231F20"/>
          <w:spacing w:val="14"/>
        </w:rPr>
        <w:t> </w:t>
      </w:r>
      <w:r>
        <w:rPr>
          <w:color w:val="231F20"/>
        </w:rPr>
        <w:t>deterritorializzato</w:t>
      </w:r>
      <w:r>
        <w:rPr>
          <w:color w:val="231F20"/>
          <w:position w:val="7"/>
          <w:sz w:val="12"/>
        </w:rPr>
        <w:t>36</w:t>
      </w:r>
      <w:r>
        <w:rPr>
          <w:color w:val="231F20"/>
        </w:rPr>
        <w:t>.</w:t>
      </w:r>
    </w:p>
    <w:p>
      <w:pPr>
        <w:pStyle w:val="BodyText"/>
        <w:spacing w:before="1"/>
        <w:rPr>
          <w:sz w:val="23"/>
        </w:rPr>
      </w:pPr>
    </w:p>
    <w:p>
      <w:pPr>
        <w:spacing w:line="220" w:lineRule="exact" w:before="0"/>
        <w:ind w:left="1521" w:right="113" w:firstLine="0"/>
        <w:jc w:val="both"/>
        <w:rPr>
          <w:sz w:val="19"/>
        </w:rPr>
      </w:pPr>
      <w:r>
        <w:rPr>
          <w:color w:val="231F20"/>
          <w:sz w:val="19"/>
        </w:rPr>
        <w:t>Lontano da tracciare linee di fuga creatrici e di coniugare tratti di deterritorializzazione</w:t>
      </w:r>
      <w:r>
        <w:rPr>
          <w:color w:val="231F20"/>
          <w:spacing w:val="-17"/>
          <w:sz w:val="19"/>
        </w:rPr>
        <w:t> </w:t>
      </w:r>
      <w:r>
        <w:rPr>
          <w:color w:val="231F20"/>
          <w:sz w:val="19"/>
        </w:rPr>
        <w:t>positiva,</w:t>
      </w:r>
      <w:r>
        <w:rPr>
          <w:color w:val="231F20"/>
          <w:spacing w:val="-17"/>
          <w:sz w:val="19"/>
        </w:rPr>
        <w:t> </w:t>
      </w:r>
      <w:r>
        <w:rPr>
          <w:color w:val="231F20"/>
          <w:sz w:val="19"/>
        </w:rPr>
        <w:t>l’assiomatica</w:t>
      </w:r>
      <w:r>
        <w:rPr>
          <w:color w:val="231F20"/>
          <w:spacing w:val="-17"/>
          <w:sz w:val="19"/>
        </w:rPr>
        <w:t> </w:t>
      </w:r>
      <w:r>
        <w:rPr>
          <w:color w:val="231F20"/>
          <w:sz w:val="19"/>
        </w:rPr>
        <w:t>spiana</w:t>
      </w:r>
      <w:r>
        <w:rPr>
          <w:color w:val="231F20"/>
          <w:spacing w:val="-17"/>
          <w:sz w:val="19"/>
        </w:rPr>
        <w:t> </w:t>
      </w:r>
      <w:r>
        <w:rPr>
          <w:color w:val="231F20"/>
          <w:sz w:val="19"/>
        </w:rPr>
        <w:t>tutte</w:t>
      </w:r>
      <w:r>
        <w:rPr>
          <w:color w:val="231F20"/>
          <w:spacing w:val="-17"/>
          <w:sz w:val="19"/>
        </w:rPr>
        <w:t> </w:t>
      </w:r>
      <w:r>
        <w:rPr>
          <w:color w:val="231F20"/>
          <w:sz w:val="19"/>
        </w:rPr>
        <w:t>le</w:t>
      </w:r>
      <w:r>
        <w:rPr>
          <w:color w:val="231F20"/>
          <w:spacing w:val="-17"/>
          <w:sz w:val="19"/>
        </w:rPr>
        <w:t> </w:t>
      </w:r>
      <w:r>
        <w:rPr>
          <w:color w:val="231F20"/>
          <w:sz w:val="19"/>
        </w:rPr>
        <w:t>linee,</w:t>
      </w:r>
      <w:r>
        <w:rPr>
          <w:color w:val="231F20"/>
          <w:spacing w:val="-17"/>
          <w:sz w:val="19"/>
        </w:rPr>
        <w:t> </w:t>
      </w:r>
      <w:r>
        <w:rPr>
          <w:color w:val="231F20"/>
          <w:sz w:val="19"/>
        </w:rPr>
        <w:t>le sottomette</w:t>
      </w:r>
      <w:r>
        <w:rPr>
          <w:color w:val="231F20"/>
          <w:spacing w:val="-7"/>
          <w:sz w:val="19"/>
        </w:rPr>
        <w:t> </w:t>
      </w:r>
      <w:r>
        <w:rPr>
          <w:color w:val="231F20"/>
          <w:sz w:val="19"/>
        </w:rPr>
        <w:t>a</w:t>
      </w:r>
      <w:r>
        <w:rPr>
          <w:color w:val="231F20"/>
          <w:spacing w:val="-7"/>
          <w:sz w:val="19"/>
        </w:rPr>
        <w:t> </w:t>
      </w:r>
      <w:r>
        <w:rPr>
          <w:color w:val="231F20"/>
          <w:sz w:val="19"/>
        </w:rPr>
        <w:t>un</w:t>
      </w:r>
      <w:r>
        <w:rPr>
          <w:color w:val="231F20"/>
          <w:spacing w:val="-7"/>
          <w:sz w:val="19"/>
        </w:rPr>
        <w:t> </w:t>
      </w:r>
      <w:r>
        <w:rPr>
          <w:color w:val="231F20"/>
          <w:sz w:val="19"/>
        </w:rPr>
        <w:t>sistema</w:t>
      </w:r>
      <w:r>
        <w:rPr>
          <w:color w:val="231F20"/>
          <w:spacing w:val="-7"/>
          <w:sz w:val="19"/>
        </w:rPr>
        <w:t> </w:t>
      </w:r>
      <w:r>
        <w:rPr>
          <w:color w:val="231F20"/>
          <w:sz w:val="19"/>
        </w:rPr>
        <w:t>puntuale</w:t>
      </w:r>
      <w:r>
        <w:rPr>
          <w:color w:val="231F20"/>
          <w:spacing w:val="-7"/>
          <w:sz w:val="19"/>
        </w:rPr>
        <w:t> </w:t>
      </w:r>
      <w:r>
        <w:rPr>
          <w:color w:val="231F20"/>
          <w:sz w:val="19"/>
        </w:rPr>
        <w:t>e</w:t>
      </w:r>
      <w:r>
        <w:rPr>
          <w:color w:val="231F20"/>
          <w:spacing w:val="-7"/>
          <w:sz w:val="19"/>
        </w:rPr>
        <w:t> </w:t>
      </w:r>
      <w:r>
        <w:rPr>
          <w:color w:val="231F20"/>
          <w:sz w:val="19"/>
        </w:rPr>
        <w:t>ferma</w:t>
      </w:r>
      <w:r>
        <w:rPr>
          <w:color w:val="231F20"/>
          <w:spacing w:val="-7"/>
          <w:sz w:val="19"/>
        </w:rPr>
        <w:t> </w:t>
      </w:r>
      <w:r>
        <w:rPr>
          <w:color w:val="231F20"/>
          <w:sz w:val="19"/>
        </w:rPr>
        <w:t>le</w:t>
      </w:r>
      <w:r>
        <w:rPr>
          <w:color w:val="231F20"/>
          <w:spacing w:val="-7"/>
          <w:sz w:val="19"/>
        </w:rPr>
        <w:t> </w:t>
      </w:r>
      <w:r>
        <w:rPr>
          <w:color w:val="231F20"/>
          <w:sz w:val="19"/>
        </w:rPr>
        <w:t>scritture</w:t>
      </w:r>
      <w:r>
        <w:rPr>
          <w:color w:val="231F20"/>
          <w:spacing w:val="-7"/>
          <w:sz w:val="19"/>
        </w:rPr>
        <w:t> </w:t>
      </w:r>
      <w:r>
        <w:rPr>
          <w:color w:val="231F20"/>
          <w:sz w:val="19"/>
        </w:rPr>
        <w:t>algebriche</w:t>
      </w:r>
      <w:r>
        <w:rPr>
          <w:color w:val="231F20"/>
          <w:spacing w:val="-7"/>
          <w:sz w:val="19"/>
        </w:rPr>
        <w:t> </w:t>
      </w:r>
      <w:r>
        <w:rPr>
          <w:color w:val="231F20"/>
          <w:sz w:val="19"/>
        </w:rPr>
        <w:t>e geometriche che scappano dappertutto. È come con la questione dell’indeterminismo in fisica: si realizza una “messa in ordine” per riconciliarlo col determinismo fisico. Le scritture matematiche si fanno assiomatizzare, cioè, ri-stratificare, ri-semiotizzare; i flussi materiali</w:t>
      </w:r>
      <w:r>
        <w:rPr>
          <w:color w:val="231F20"/>
          <w:spacing w:val="-15"/>
          <w:sz w:val="19"/>
        </w:rPr>
        <w:t> </w:t>
      </w:r>
      <w:r>
        <w:rPr>
          <w:color w:val="231F20"/>
          <w:sz w:val="19"/>
        </w:rPr>
        <w:t>si</w:t>
      </w:r>
      <w:r>
        <w:rPr>
          <w:color w:val="231F20"/>
          <w:spacing w:val="-15"/>
          <w:sz w:val="19"/>
        </w:rPr>
        <w:t> </w:t>
      </w:r>
      <w:r>
        <w:rPr>
          <w:color w:val="231F20"/>
          <w:sz w:val="19"/>
        </w:rPr>
        <w:t>riconfigurano.</w:t>
      </w:r>
      <w:r>
        <w:rPr>
          <w:color w:val="231F20"/>
          <w:spacing w:val="-16"/>
          <w:sz w:val="19"/>
        </w:rPr>
        <w:t> </w:t>
      </w:r>
      <w:r>
        <w:rPr>
          <w:color w:val="231F20"/>
          <w:sz w:val="19"/>
        </w:rPr>
        <w:t>È</w:t>
      </w:r>
      <w:r>
        <w:rPr>
          <w:color w:val="231F20"/>
          <w:spacing w:val="-15"/>
          <w:sz w:val="19"/>
        </w:rPr>
        <w:t> </w:t>
      </w:r>
      <w:r>
        <w:rPr>
          <w:color w:val="231F20"/>
          <w:sz w:val="19"/>
        </w:rPr>
        <w:t>una</w:t>
      </w:r>
      <w:r>
        <w:rPr>
          <w:color w:val="231F20"/>
          <w:spacing w:val="-13"/>
          <w:sz w:val="19"/>
        </w:rPr>
        <w:t> </w:t>
      </w:r>
      <w:r>
        <w:rPr>
          <w:color w:val="231F20"/>
          <w:sz w:val="19"/>
        </w:rPr>
        <w:t>questione</w:t>
      </w:r>
      <w:r>
        <w:rPr>
          <w:color w:val="231F20"/>
          <w:spacing w:val="-13"/>
          <w:sz w:val="19"/>
        </w:rPr>
        <w:t> </w:t>
      </w:r>
      <w:r>
        <w:rPr>
          <w:color w:val="231F20"/>
          <w:sz w:val="19"/>
        </w:rPr>
        <w:t>tanto</w:t>
      </w:r>
      <w:r>
        <w:rPr>
          <w:color w:val="231F20"/>
          <w:spacing w:val="-13"/>
          <w:sz w:val="19"/>
        </w:rPr>
        <w:t> </w:t>
      </w:r>
      <w:r>
        <w:rPr>
          <w:color w:val="231F20"/>
          <w:sz w:val="19"/>
        </w:rPr>
        <w:t>di</w:t>
      </w:r>
      <w:r>
        <w:rPr>
          <w:color w:val="231F20"/>
          <w:spacing w:val="-13"/>
          <w:sz w:val="19"/>
        </w:rPr>
        <w:t> </w:t>
      </w:r>
      <w:r>
        <w:rPr>
          <w:color w:val="231F20"/>
          <w:sz w:val="19"/>
        </w:rPr>
        <w:t>politica</w:t>
      </w:r>
      <w:r>
        <w:rPr>
          <w:color w:val="231F20"/>
          <w:spacing w:val="-13"/>
          <w:sz w:val="19"/>
        </w:rPr>
        <w:t> </w:t>
      </w:r>
      <w:r>
        <w:rPr>
          <w:color w:val="231F20"/>
          <w:sz w:val="19"/>
        </w:rPr>
        <w:t>come</w:t>
      </w:r>
      <w:r>
        <w:rPr>
          <w:color w:val="231F20"/>
          <w:spacing w:val="-13"/>
          <w:sz w:val="19"/>
        </w:rPr>
        <w:t> </w:t>
      </w:r>
      <w:r>
        <w:rPr>
          <w:color w:val="231F20"/>
          <w:sz w:val="19"/>
        </w:rPr>
        <w:t>di scienza: la scienza non deve divenire pazza… Hilbert e de Broglie furono uomini politici tanto quanto degli scienziati: hanno messo ordine</w:t>
      </w:r>
      <w:r>
        <w:rPr>
          <w:color w:val="231F20"/>
          <w:position w:val="6"/>
          <w:sz w:val="11"/>
        </w:rPr>
        <w:t>37</w:t>
      </w:r>
      <w:r>
        <w:rPr>
          <w:color w:val="231F20"/>
          <w:sz w:val="19"/>
        </w:rPr>
        <w:t>.</w:t>
      </w:r>
    </w:p>
    <w:p>
      <w:pPr>
        <w:pStyle w:val="BodyText"/>
        <w:spacing w:before="11"/>
        <w:rPr>
          <w:sz w:val="23"/>
        </w:rPr>
      </w:pPr>
    </w:p>
    <w:p>
      <w:pPr>
        <w:pStyle w:val="BodyText"/>
        <w:spacing w:line="244" w:lineRule="auto"/>
        <w:ind w:left="103" w:right="114"/>
        <w:jc w:val="both"/>
      </w:pPr>
      <w:r>
        <w:rPr>
          <w:color w:val="231F20"/>
          <w:w w:val="105"/>
        </w:rPr>
        <w:t>Gli</w:t>
      </w:r>
      <w:r>
        <w:rPr>
          <w:color w:val="231F20"/>
          <w:spacing w:val="-43"/>
          <w:w w:val="105"/>
        </w:rPr>
        <w:t> </w:t>
      </w:r>
      <w:r>
        <w:rPr>
          <w:color w:val="231F20"/>
          <w:w w:val="105"/>
        </w:rPr>
        <w:t>assiomi</w:t>
      </w:r>
      <w:r>
        <w:rPr>
          <w:color w:val="231F20"/>
          <w:spacing w:val="-43"/>
          <w:w w:val="105"/>
        </w:rPr>
        <w:t> </w:t>
      </w:r>
      <w:r>
        <w:rPr>
          <w:color w:val="231F20"/>
          <w:w w:val="105"/>
        </w:rPr>
        <w:t>funzionano</w:t>
      </w:r>
      <w:r>
        <w:rPr>
          <w:color w:val="231F20"/>
          <w:spacing w:val="-43"/>
          <w:w w:val="105"/>
        </w:rPr>
        <w:t> </w:t>
      </w:r>
      <w:r>
        <w:rPr>
          <w:color w:val="231F20"/>
          <w:w w:val="105"/>
        </w:rPr>
        <w:t>come</w:t>
      </w:r>
      <w:r>
        <w:rPr>
          <w:color w:val="231F20"/>
          <w:spacing w:val="-43"/>
          <w:w w:val="105"/>
        </w:rPr>
        <w:t> </w:t>
      </w:r>
      <w:r>
        <w:rPr>
          <w:color w:val="231F20"/>
          <w:w w:val="105"/>
        </w:rPr>
        <w:t>le</w:t>
      </w:r>
      <w:r>
        <w:rPr>
          <w:color w:val="231F20"/>
          <w:spacing w:val="-43"/>
          <w:w w:val="105"/>
        </w:rPr>
        <w:t> </w:t>
      </w:r>
      <w:r>
        <w:rPr>
          <w:color w:val="231F20"/>
          <w:w w:val="105"/>
        </w:rPr>
        <w:t>ipotesi</w:t>
      </w:r>
      <w:r>
        <w:rPr>
          <w:color w:val="231F20"/>
          <w:spacing w:val="-41"/>
          <w:w w:val="105"/>
        </w:rPr>
        <w:t> </w:t>
      </w:r>
      <w:r>
        <w:rPr>
          <w:rFonts w:ascii="Arial" w:hAnsi="Arial"/>
          <w:i/>
          <w:color w:val="231F20"/>
          <w:w w:val="105"/>
        </w:rPr>
        <w:t>ad</w:t>
      </w:r>
      <w:r>
        <w:rPr>
          <w:rFonts w:ascii="Arial" w:hAnsi="Arial"/>
          <w:i/>
          <w:color w:val="231F20"/>
          <w:spacing w:val="-35"/>
          <w:w w:val="105"/>
        </w:rPr>
        <w:t> </w:t>
      </w:r>
      <w:r>
        <w:rPr>
          <w:rFonts w:ascii="Arial" w:hAnsi="Arial"/>
          <w:i/>
          <w:color w:val="231F20"/>
          <w:w w:val="105"/>
        </w:rPr>
        <w:t>hoc</w:t>
      </w:r>
      <w:r>
        <w:rPr>
          <w:rFonts w:ascii="Arial" w:hAnsi="Arial"/>
          <w:i/>
          <w:color w:val="231F20"/>
          <w:spacing w:val="-35"/>
          <w:w w:val="105"/>
        </w:rPr>
        <w:t> </w:t>
      </w:r>
      <w:r>
        <w:rPr>
          <w:color w:val="231F20"/>
          <w:w w:val="105"/>
        </w:rPr>
        <w:t>in</w:t>
      </w:r>
      <w:r>
        <w:rPr>
          <w:color w:val="231F20"/>
          <w:spacing w:val="-43"/>
          <w:w w:val="105"/>
        </w:rPr>
        <w:t> </w:t>
      </w:r>
      <w:r>
        <w:rPr>
          <w:color w:val="231F20"/>
          <w:w w:val="105"/>
        </w:rPr>
        <w:t>epistemologia:</w:t>
      </w:r>
      <w:r>
        <w:rPr>
          <w:color w:val="231F20"/>
          <w:spacing w:val="-43"/>
          <w:w w:val="105"/>
        </w:rPr>
        <w:t> </w:t>
      </w:r>
      <w:r>
        <w:rPr>
          <w:color w:val="231F20"/>
          <w:w w:val="105"/>
        </w:rPr>
        <w:t>se</w:t>
      </w:r>
      <w:r>
        <w:rPr>
          <w:color w:val="231F20"/>
          <w:spacing w:val="-43"/>
          <w:w w:val="105"/>
        </w:rPr>
        <w:t> </w:t>
      </w:r>
      <w:r>
        <w:rPr>
          <w:color w:val="231F20"/>
          <w:w w:val="105"/>
        </w:rPr>
        <w:t>qualcosa non</w:t>
      </w:r>
      <w:r>
        <w:rPr>
          <w:color w:val="231F20"/>
          <w:spacing w:val="-45"/>
          <w:w w:val="105"/>
        </w:rPr>
        <w:t> </w:t>
      </w:r>
      <w:r>
        <w:rPr>
          <w:color w:val="231F20"/>
          <w:w w:val="105"/>
        </w:rPr>
        <w:t>si</w:t>
      </w:r>
      <w:r>
        <w:rPr>
          <w:color w:val="231F20"/>
          <w:spacing w:val="-45"/>
          <w:w w:val="105"/>
        </w:rPr>
        <w:t> </w:t>
      </w:r>
      <w:r>
        <w:rPr>
          <w:color w:val="231F20"/>
          <w:spacing w:val="-3"/>
          <w:w w:val="105"/>
        </w:rPr>
        <w:t>aggiusta</w:t>
      </w:r>
      <w:r>
        <w:rPr>
          <w:color w:val="231F20"/>
          <w:spacing w:val="-45"/>
          <w:w w:val="105"/>
        </w:rPr>
        <w:t> </w:t>
      </w:r>
      <w:r>
        <w:rPr>
          <w:color w:val="231F20"/>
          <w:spacing w:val="-3"/>
          <w:w w:val="105"/>
        </w:rPr>
        <w:t>alla</w:t>
      </w:r>
      <w:r>
        <w:rPr>
          <w:color w:val="231F20"/>
          <w:spacing w:val="-45"/>
          <w:w w:val="105"/>
        </w:rPr>
        <w:t> </w:t>
      </w:r>
      <w:r>
        <w:rPr>
          <w:color w:val="231F20"/>
          <w:spacing w:val="-3"/>
          <w:w w:val="105"/>
        </w:rPr>
        <w:t>teoria,</w:t>
      </w:r>
      <w:r>
        <w:rPr>
          <w:color w:val="231F20"/>
          <w:spacing w:val="-45"/>
          <w:w w:val="105"/>
        </w:rPr>
        <w:t> </w:t>
      </w:r>
      <w:r>
        <w:rPr>
          <w:color w:val="231F20"/>
          <w:w w:val="105"/>
        </w:rPr>
        <w:t>si</w:t>
      </w:r>
      <w:r>
        <w:rPr>
          <w:color w:val="231F20"/>
          <w:spacing w:val="-45"/>
          <w:w w:val="105"/>
        </w:rPr>
        <w:t> </w:t>
      </w:r>
      <w:r>
        <w:rPr>
          <w:color w:val="231F20"/>
          <w:spacing w:val="-4"/>
          <w:w w:val="105"/>
        </w:rPr>
        <w:t>introduce</w:t>
      </w:r>
      <w:r>
        <w:rPr>
          <w:color w:val="231F20"/>
          <w:spacing w:val="-45"/>
          <w:w w:val="105"/>
        </w:rPr>
        <w:t> </w:t>
      </w:r>
      <w:r>
        <w:rPr>
          <w:color w:val="231F20"/>
          <w:w w:val="105"/>
        </w:rPr>
        <w:t>una</w:t>
      </w:r>
      <w:r>
        <w:rPr>
          <w:color w:val="231F20"/>
          <w:spacing w:val="-45"/>
          <w:w w:val="105"/>
        </w:rPr>
        <w:t> </w:t>
      </w:r>
      <w:r>
        <w:rPr>
          <w:color w:val="231F20"/>
          <w:spacing w:val="-3"/>
          <w:w w:val="105"/>
        </w:rPr>
        <w:t>piccola</w:t>
      </w:r>
      <w:r>
        <w:rPr>
          <w:color w:val="231F20"/>
          <w:spacing w:val="-45"/>
          <w:w w:val="105"/>
        </w:rPr>
        <w:t> </w:t>
      </w:r>
      <w:r>
        <w:rPr>
          <w:color w:val="231F20"/>
          <w:spacing w:val="-3"/>
          <w:w w:val="105"/>
        </w:rPr>
        <w:t>modifica</w:t>
      </w:r>
      <w:r>
        <w:rPr>
          <w:color w:val="231F20"/>
          <w:spacing w:val="-45"/>
          <w:w w:val="105"/>
        </w:rPr>
        <w:t> </w:t>
      </w:r>
      <w:r>
        <w:rPr>
          <w:color w:val="231F20"/>
          <w:w w:val="105"/>
        </w:rPr>
        <w:t>in</w:t>
      </w:r>
      <w:r>
        <w:rPr>
          <w:color w:val="231F20"/>
          <w:spacing w:val="-45"/>
          <w:w w:val="105"/>
        </w:rPr>
        <w:t> </w:t>
      </w:r>
      <w:r>
        <w:rPr>
          <w:color w:val="231F20"/>
          <w:spacing w:val="-3"/>
          <w:w w:val="105"/>
        </w:rPr>
        <w:t>alcuni</w:t>
      </w:r>
      <w:r>
        <w:rPr>
          <w:color w:val="231F20"/>
          <w:spacing w:val="-45"/>
          <w:w w:val="105"/>
        </w:rPr>
        <w:t> </w:t>
      </w:r>
      <w:r>
        <w:rPr>
          <w:color w:val="231F20"/>
          <w:spacing w:val="-3"/>
          <w:w w:val="105"/>
        </w:rPr>
        <w:t>enunciati </w:t>
      </w:r>
      <w:r>
        <w:rPr>
          <w:color w:val="231F20"/>
          <w:spacing w:val="-4"/>
          <w:w w:val="105"/>
        </w:rPr>
        <w:t>secondari</w:t>
      </w:r>
      <w:r>
        <w:rPr>
          <w:color w:val="231F20"/>
          <w:spacing w:val="-47"/>
          <w:w w:val="105"/>
        </w:rPr>
        <w:t> </w:t>
      </w:r>
      <w:r>
        <w:rPr>
          <w:color w:val="231F20"/>
          <w:spacing w:val="-4"/>
          <w:w w:val="105"/>
        </w:rPr>
        <w:t>perchè</w:t>
      </w:r>
      <w:r>
        <w:rPr>
          <w:color w:val="231F20"/>
          <w:spacing w:val="-47"/>
          <w:w w:val="105"/>
        </w:rPr>
        <w:t> </w:t>
      </w:r>
      <w:r>
        <w:rPr>
          <w:color w:val="231F20"/>
          <w:w w:val="105"/>
        </w:rPr>
        <w:t>le</w:t>
      </w:r>
      <w:r>
        <w:rPr>
          <w:color w:val="231F20"/>
          <w:spacing w:val="-47"/>
          <w:w w:val="105"/>
        </w:rPr>
        <w:t> </w:t>
      </w:r>
      <w:r>
        <w:rPr>
          <w:color w:val="231F20"/>
          <w:spacing w:val="-3"/>
          <w:w w:val="105"/>
        </w:rPr>
        <w:t>cose</w:t>
      </w:r>
      <w:r>
        <w:rPr>
          <w:color w:val="231F20"/>
          <w:spacing w:val="-47"/>
          <w:w w:val="105"/>
        </w:rPr>
        <w:t> </w:t>
      </w:r>
      <w:r>
        <w:rPr>
          <w:color w:val="231F20"/>
          <w:spacing w:val="-4"/>
          <w:w w:val="105"/>
        </w:rPr>
        <w:t>abbiano</w:t>
      </w:r>
      <w:r>
        <w:rPr>
          <w:color w:val="231F20"/>
          <w:spacing w:val="-47"/>
          <w:w w:val="105"/>
        </w:rPr>
        <w:t> </w:t>
      </w:r>
      <w:r>
        <w:rPr>
          <w:color w:val="231F20"/>
          <w:spacing w:val="-4"/>
          <w:w w:val="105"/>
        </w:rPr>
        <w:t>senso</w:t>
      </w:r>
      <w:r>
        <w:rPr>
          <w:color w:val="231F20"/>
          <w:spacing w:val="-47"/>
          <w:w w:val="105"/>
        </w:rPr>
        <w:t> </w:t>
      </w:r>
      <w:r>
        <w:rPr>
          <w:color w:val="231F20"/>
          <w:w w:val="105"/>
        </w:rPr>
        <w:t>e</w:t>
      </w:r>
      <w:r>
        <w:rPr>
          <w:color w:val="231F20"/>
          <w:spacing w:val="-47"/>
          <w:w w:val="105"/>
        </w:rPr>
        <w:t> </w:t>
      </w:r>
      <w:r>
        <w:rPr>
          <w:color w:val="231F20"/>
          <w:w w:val="105"/>
        </w:rPr>
        <w:t>le</w:t>
      </w:r>
      <w:r>
        <w:rPr>
          <w:color w:val="231F20"/>
          <w:spacing w:val="-47"/>
          <w:w w:val="105"/>
        </w:rPr>
        <w:t> </w:t>
      </w:r>
      <w:r>
        <w:rPr>
          <w:color w:val="231F20"/>
          <w:spacing w:val="-4"/>
          <w:w w:val="105"/>
        </w:rPr>
        <w:t>teorie</w:t>
      </w:r>
      <w:r>
        <w:rPr>
          <w:color w:val="231F20"/>
          <w:spacing w:val="-47"/>
          <w:w w:val="105"/>
        </w:rPr>
        <w:t> </w:t>
      </w:r>
      <w:r>
        <w:rPr>
          <w:color w:val="231F20"/>
          <w:spacing w:val="-3"/>
          <w:w w:val="105"/>
        </w:rPr>
        <w:t>non</w:t>
      </w:r>
      <w:r>
        <w:rPr>
          <w:color w:val="231F20"/>
          <w:spacing w:val="-47"/>
          <w:w w:val="105"/>
        </w:rPr>
        <w:t> </w:t>
      </w:r>
      <w:r>
        <w:rPr>
          <w:color w:val="231F20"/>
          <w:spacing w:val="-4"/>
          <w:w w:val="105"/>
        </w:rPr>
        <w:t>cadano</w:t>
      </w:r>
      <w:r>
        <w:rPr>
          <w:color w:val="231F20"/>
          <w:spacing w:val="-4"/>
          <w:w w:val="105"/>
          <w:position w:val="7"/>
          <w:sz w:val="12"/>
        </w:rPr>
        <w:t>38</w:t>
      </w:r>
      <w:r>
        <w:rPr>
          <w:color w:val="231F20"/>
          <w:spacing w:val="-4"/>
          <w:w w:val="105"/>
        </w:rPr>
        <w:t>.</w:t>
      </w:r>
      <w:r>
        <w:rPr>
          <w:color w:val="231F20"/>
          <w:spacing w:val="-47"/>
          <w:w w:val="105"/>
        </w:rPr>
        <w:t> </w:t>
      </w:r>
      <w:r>
        <w:rPr>
          <w:color w:val="231F20"/>
          <w:w w:val="105"/>
        </w:rPr>
        <w:t>Il</w:t>
      </w:r>
      <w:r>
        <w:rPr>
          <w:color w:val="231F20"/>
          <w:spacing w:val="-47"/>
          <w:w w:val="105"/>
        </w:rPr>
        <w:t> </w:t>
      </w:r>
      <w:r>
        <w:rPr>
          <w:color w:val="231F20"/>
          <w:spacing w:val="-4"/>
          <w:w w:val="105"/>
        </w:rPr>
        <w:t>capitalismo</w:t>
      </w:r>
    </w:p>
    <w:p>
      <w:pPr>
        <w:pStyle w:val="BodyText"/>
        <w:rPr>
          <w:sz w:val="20"/>
        </w:rPr>
      </w:pPr>
    </w:p>
    <w:p>
      <w:pPr>
        <w:pStyle w:val="BodyText"/>
        <w:spacing w:before="1"/>
        <w:rPr>
          <w:sz w:val="10"/>
        </w:rPr>
      </w:pPr>
      <w:r>
        <w:rPr/>
        <w:pict>
          <v:line style="position:absolute;mso-position-horizontal-relative:page;mso-position-vertical-relative:paragraph;z-index:11728;mso-wrap-distance-left:0;mso-wrap-distance-right:0" from="65.1968pt,8.216914pt" to="178.5828pt,8.216914pt" stroked="true" strokeweight=".3pt" strokecolor="#231f20">
            <w10:wrap type="topAndBottom"/>
          </v:line>
        </w:pict>
      </w:r>
    </w:p>
    <w:p>
      <w:pPr>
        <w:spacing w:line="204" w:lineRule="exact" w:before="9"/>
        <w:ind w:left="103" w:right="114" w:firstLine="0"/>
        <w:jc w:val="both"/>
        <w:rPr>
          <w:rFonts w:ascii="Calibri" w:hAnsi="Calibri"/>
          <w:sz w:val="17"/>
        </w:rPr>
      </w:pPr>
      <w:r>
        <w:rPr>
          <w:rFonts w:ascii="Calibri" w:hAnsi="Calibri"/>
          <w:color w:val="231F20"/>
          <w:w w:val="105"/>
          <w:position w:val="6"/>
          <w:sz w:val="10"/>
        </w:rPr>
        <w:t>35</w:t>
      </w:r>
      <w:r>
        <w:rPr>
          <w:rFonts w:ascii="Calibri" w:hAnsi="Calibri"/>
          <w:color w:val="231F20"/>
          <w:spacing w:val="5"/>
          <w:w w:val="105"/>
          <w:position w:val="6"/>
          <w:sz w:val="10"/>
        </w:rPr>
        <w:t> </w:t>
      </w:r>
      <w:r>
        <w:rPr>
          <w:rFonts w:ascii="Calibri" w:hAnsi="Calibri"/>
          <w:color w:val="231F20"/>
          <w:w w:val="105"/>
          <w:sz w:val="17"/>
        </w:rPr>
        <w:t>Le</w:t>
      </w:r>
      <w:r>
        <w:rPr>
          <w:rFonts w:ascii="Calibri" w:hAnsi="Calibri"/>
          <w:color w:val="231F20"/>
          <w:spacing w:val="-12"/>
          <w:w w:val="105"/>
          <w:sz w:val="17"/>
        </w:rPr>
        <w:t> </w:t>
      </w:r>
      <w:r>
        <w:rPr>
          <w:rFonts w:ascii="Calibri" w:hAnsi="Calibri"/>
          <w:i/>
          <w:color w:val="231F20"/>
          <w:w w:val="105"/>
          <w:sz w:val="17"/>
        </w:rPr>
        <w:t>linee</w:t>
      </w:r>
      <w:r>
        <w:rPr>
          <w:rFonts w:ascii="Calibri" w:hAnsi="Calibri"/>
          <w:i/>
          <w:color w:val="231F20"/>
          <w:spacing w:val="-12"/>
          <w:w w:val="105"/>
          <w:sz w:val="17"/>
        </w:rPr>
        <w:t> </w:t>
      </w:r>
      <w:r>
        <w:rPr>
          <w:rFonts w:ascii="Calibri" w:hAnsi="Calibri"/>
          <w:i/>
          <w:color w:val="231F20"/>
          <w:w w:val="105"/>
          <w:sz w:val="17"/>
        </w:rPr>
        <w:t>di</w:t>
      </w:r>
      <w:r>
        <w:rPr>
          <w:rFonts w:ascii="Calibri" w:hAnsi="Calibri"/>
          <w:i/>
          <w:color w:val="231F20"/>
          <w:spacing w:val="-12"/>
          <w:w w:val="105"/>
          <w:sz w:val="17"/>
        </w:rPr>
        <w:t> </w:t>
      </w:r>
      <w:r>
        <w:rPr>
          <w:rFonts w:ascii="Calibri" w:hAnsi="Calibri"/>
          <w:i/>
          <w:color w:val="231F20"/>
          <w:w w:val="105"/>
          <w:sz w:val="17"/>
        </w:rPr>
        <w:t>fuga</w:t>
      </w:r>
      <w:r>
        <w:rPr>
          <w:rFonts w:ascii="Calibri" w:hAnsi="Calibri"/>
          <w:i/>
          <w:color w:val="231F20"/>
          <w:spacing w:val="-12"/>
          <w:w w:val="105"/>
          <w:sz w:val="17"/>
        </w:rPr>
        <w:t> </w:t>
      </w:r>
      <w:r>
        <w:rPr>
          <w:rFonts w:ascii="Calibri" w:hAnsi="Calibri"/>
          <w:color w:val="231F20"/>
          <w:w w:val="105"/>
          <w:sz w:val="17"/>
        </w:rPr>
        <w:t>sono</w:t>
      </w:r>
      <w:r>
        <w:rPr>
          <w:rFonts w:ascii="Calibri" w:hAnsi="Calibri"/>
          <w:color w:val="231F20"/>
          <w:spacing w:val="-12"/>
          <w:w w:val="105"/>
          <w:sz w:val="17"/>
        </w:rPr>
        <w:t> </w:t>
      </w:r>
      <w:r>
        <w:rPr>
          <w:rFonts w:ascii="Calibri" w:hAnsi="Calibri"/>
          <w:color w:val="231F20"/>
          <w:w w:val="105"/>
          <w:sz w:val="17"/>
        </w:rPr>
        <w:t>tutti</w:t>
      </w:r>
      <w:r>
        <w:rPr>
          <w:rFonts w:ascii="Calibri" w:hAnsi="Calibri"/>
          <w:color w:val="231F20"/>
          <w:spacing w:val="-12"/>
          <w:w w:val="105"/>
          <w:sz w:val="17"/>
        </w:rPr>
        <w:t> </w:t>
      </w:r>
      <w:r>
        <w:rPr>
          <w:rFonts w:ascii="Calibri" w:hAnsi="Calibri"/>
          <w:color w:val="231F20"/>
          <w:w w:val="105"/>
          <w:sz w:val="17"/>
        </w:rPr>
        <w:t>quei</w:t>
      </w:r>
      <w:r>
        <w:rPr>
          <w:rFonts w:ascii="Calibri" w:hAnsi="Calibri"/>
          <w:color w:val="231F20"/>
          <w:spacing w:val="-12"/>
          <w:w w:val="105"/>
          <w:sz w:val="17"/>
        </w:rPr>
        <w:t> </w:t>
      </w:r>
      <w:r>
        <w:rPr>
          <w:rFonts w:ascii="Calibri" w:hAnsi="Calibri"/>
          <w:color w:val="231F20"/>
          <w:w w:val="105"/>
          <w:sz w:val="17"/>
        </w:rPr>
        <w:t>gesti</w:t>
      </w:r>
      <w:r>
        <w:rPr>
          <w:rFonts w:ascii="Calibri" w:hAnsi="Calibri"/>
          <w:color w:val="231F20"/>
          <w:spacing w:val="-12"/>
          <w:w w:val="105"/>
          <w:sz w:val="17"/>
        </w:rPr>
        <w:t> </w:t>
      </w:r>
      <w:r>
        <w:rPr>
          <w:rFonts w:ascii="Calibri" w:hAnsi="Calibri"/>
          <w:color w:val="231F20"/>
          <w:w w:val="105"/>
          <w:sz w:val="17"/>
        </w:rPr>
        <w:t>ed</w:t>
      </w:r>
      <w:r>
        <w:rPr>
          <w:rFonts w:ascii="Calibri" w:hAnsi="Calibri"/>
          <w:color w:val="231F20"/>
          <w:spacing w:val="-12"/>
          <w:w w:val="105"/>
          <w:sz w:val="17"/>
        </w:rPr>
        <w:t> </w:t>
      </w:r>
      <w:r>
        <w:rPr>
          <w:rFonts w:ascii="Calibri" w:hAnsi="Calibri"/>
          <w:color w:val="231F20"/>
          <w:w w:val="105"/>
          <w:sz w:val="17"/>
        </w:rPr>
        <w:t>atti</w:t>
      </w:r>
      <w:r>
        <w:rPr>
          <w:rFonts w:ascii="Calibri" w:hAnsi="Calibri"/>
          <w:color w:val="231F20"/>
          <w:spacing w:val="-12"/>
          <w:w w:val="105"/>
          <w:sz w:val="17"/>
        </w:rPr>
        <w:t> </w:t>
      </w:r>
      <w:r>
        <w:rPr>
          <w:rFonts w:ascii="Calibri" w:hAnsi="Calibri"/>
          <w:color w:val="231F20"/>
          <w:w w:val="105"/>
          <w:sz w:val="17"/>
        </w:rPr>
        <w:t>che</w:t>
      </w:r>
      <w:r>
        <w:rPr>
          <w:rFonts w:ascii="Calibri" w:hAnsi="Calibri"/>
          <w:color w:val="231F20"/>
          <w:spacing w:val="-12"/>
          <w:w w:val="105"/>
          <w:sz w:val="17"/>
        </w:rPr>
        <w:t> </w:t>
      </w:r>
      <w:r>
        <w:rPr>
          <w:rFonts w:ascii="Calibri" w:hAnsi="Calibri"/>
          <w:color w:val="231F20"/>
          <w:w w:val="105"/>
          <w:sz w:val="17"/>
        </w:rPr>
        <w:t>scappano</w:t>
      </w:r>
      <w:r>
        <w:rPr>
          <w:rFonts w:ascii="Calibri" w:hAnsi="Calibri"/>
          <w:color w:val="231F20"/>
          <w:spacing w:val="-12"/>
          <w:w w:val="105"/>
          <w:sz w:val="17"/>
        </w:rPr>
        <w:t> </w:t>
      </w:r>
      <w:r>
        <w:rPr>
          <w:rFonts w:ascii="Calibri" w:hAnsi="Calibri"/>
          <w:color w:val="231F20"/>
          <w:w w:val="105"/>
          <w:sz w:val="17"/>
        </w:rPr>
        <w:t>dagli</w:t>
      </w:r>
      <w:r>
        <w:rPr>
          <w:rFonts w:ascii="Calibri" w:hAnsi="Calibri"/>
          <w:color w:val="231F20"/>
          <w:spacing w:val="-12"/>
          <w:w w:val="105"/>
          <w:sz w:val="17"/>
        </w:rPr>
        <w:t> </w:t>
      </w:r>
      <w:r>
        <w:rPr>
          <w:rFonts w:ascii="Calibri" w:hAnsi="Calibri"/>
          <w:color w:val="231F20"/>
          <w:w w:val="105"/>
          <w:sz w:val="17"/>
        </w:rPr>
        <w:t>strati</w:t>
      </w:r>
      <w:r>
        <w:rPr>
          <w:rFonts w:ascii="Calibri" w:hAnsi="Calibri"/>
          <w:color w:val="231F20"/>
          <w:spacing w:val="-12"/>
          <w:w w:val="105"/>
          <w:sz w:val="17"/>
        </w:rPr>
        <w:t> </w:t>
      </w:r>
      <w:r>
        <w:rPr>
          <w:rFonts w:ascii="Calibri" w:hAnsi="Calibri"/>
          <w:color w:val="231F20"/>
          <w:w w:val="105"/>
          <w:sz w:val="17"/>
        </w:rPr>
        <w:t>duri</w:t>
      </w:r>
      <w:r>
        <w:rPr>
          <w:rFonts w:ascii="Calibri" w:hAnsi="Calibri"/>
          <w:color w:val="231F20"/>
          <w:spacing w:val="-12"/>
          <w:w w:val="105"/>
          <w:sz w:val="17"/>
        </w:rPr>
        <w:t> </w:t>
      </w:r>
      <w:r>
        <w:rPr>
          <w:rFonts w:ascii="Calibri" w:hAnsi="Calibri"/>
          <w:color w:val="231F20"/>
          <w:w w:val="105"/>
          <w:sz w:val="17"/>
        </w:rPr>
        <w:t>indotti</w:t>
      </w:r>
      <w:r>
        <w:rPr>
          <w:rFonts w:ascii="Calibri" w:hAnsi="Calibri"/>
          <w:color w:val="231F20"/>
          <w:spacing w:val="-12"/>
          <w:w w:val="105"/>
          <w:sz w:val="17"/>
        </w:rPr>
        <w:t> </w:t>
      </w:r>
      <w:r>
        <w:rPr>
          <w:rFonts w:ascii="Calibri" w:hAnsi="Calibri"/>
          <w:color w:val="231F20"/>
          <w:w w:val="105"/>
          <w:sz w:val="17"/>
        </w:rPr>
        <w:t>dalle</w:t>
      </w:r>
      <w:r>
        <w:rPr>
          <w:rFonts w:ascii="Calibri" w:hAnsi="Calibri"/>
          <w:color w:val="231F20"/>
          <w:spacing w:val="-12"/>
          <w:w w:val="105"/>
          <w:sz w:val="17"/>
        </w:rPr>
        <w:t> </w:t>
      </w:r>
      <w:r>
        <w:rPr>
          <w:rFonts w:ascii="Calibri" w:hAnsi="Calibri"/>
          <w:color w:val="231F20"/>
          <w:w w:val="105"/>
          <w:sz w:val="17"/>
        </w:rPr>
        <w:t>istituzioni, per la logica capitalista e lo Stato, che cercano di tradurre e introdurre tutta condotta e azione umana</w:t>
      </w:r>
      <w:r>
        <w:rPr>
          <w:rFonts w:ascii="Calibri" w:hAnsi="Calibri"/>
          <w:color w:val="231F20"/>
          <w:spacing w:val="-17"/>
          <w:w w:val="105"/>
          <w:sz w:val="17"/>
        </w:rPr>
        <w:t> </w:t>
      </w:r>
      <w:r>
        <w:rPr>
          <w:rFonts w:ascii="Calibri" w:hAnsi="Calibri"/>
          <w:color w:val="231F20"/>
          <w:w w:val="105"/>
          <w:sz w:val="17"/>
        </w:rPr>
        <w:t>dentro</w:t>
      </w:r>
      <w:r>
        <w:rPr>
          <w:rFonts w:ascii="Calibri" w:hAnsi="Calibri"/>
          <w:color w:val="231F20"/>
          <w:spacing w:val="-17"/>
          <w:w w:val="105"/>
          <w:sz w:val="17"/>
        </w:rPr>
        <w:t> </w:t>
      </w:r>
      <w:r>
        <w:rPr>
          <w:rFonts w:ascii="Calibri" w:hAnsi="Calibri"/>
          <w:color w:val="231F20"/>
          <w:w w:val="105"/>
          <w:sz w:val="17"/>
        </w:rPr>
        <w:t>un’etichetta,</w:t>
      </w:r>
      <w:r>
        <w:rPr>
          <w:rFonts w:ascii="Calibri" w:hAnsi="Calibri"/>
          <w:color w:val="231F20"/>
          <w:spacing w:val="-17"/>
          <w:w w:val="105"/>
          <w:sz w:val="17"/>
        </w:rPr>
        <w:t> </w:t>
      </w:r>
      <w:r>
        <w:rPr>
          <w:rFonts w:ascii="Calibri" w:hAnsi="Calibri"/>
          <w:color w:val="231F20"/>
          <w:w w:val="105"/>
          <w:sz w:val="17"/>
        </w:rPr>
        <w:t>identità</w:t>
      </w:r>
      <w:r>
        <w:rPr>
          <w:rFonts w:ascii="Calibri" w:hAnsi="Calibri"/>
          <w:color w:val="231F20"/>
          <w:spacing w:val="-17"/>
          <w:w w:val="105"/>
          <w:sz w:val="17"/>
        </w:rPr>
        <w:t> </w:t>
      </w:r>
      <w:r>
        <w:rPr>
          <w:rFonts w:ascii="Calibri" w:hAnsi="Calibri"/>
          <w:color w:val="231F20"/>
          <w:w w:val="105"/>
          <w:sz w:val="17"/>
        </w:rPr>
        <w:t>o</w:t>
      </w:r>
      <w:r>
        <w:rPr>
          <w:rFonts w:ascii="Calibri" w:hAnsi="Calibri"/>
          <w:color w:val="231F20"/>
          <w:spacing w:val="-17"/>
          <w:w w:val="105"/>
          <w:sz w:val="17"/>
        </w:rPr>
        <w:t> </w:t>
      </w:r>
      <w:r>
        <w:rPr>
          <w:rFonts w:ascii="Calibri" w:hAnsi="Calibri"/>
          <w:color w:val="231F20"/>
          <w:w w:val="105"/>
          <w:sz w:val="17"/>
        </w:rPr>
        <w:t>casella.</w:t>
      </w:r>
      <w:r>
        <w:rPr>
          <w:rFonts w:ascii="Calibri" w:hAnsi="Calibri"/>
          <w:color w:val="231F20"/>
          <w:spacing w:val="-17"/>
          <w:w w:val="105"/>
          <w:sz w:val="17"/>
        </w:rPr>
        <w:t> </w:t>
      </w:r>
      <w:r>
        <w:rPr>
          <w:rFonts w:ascii="Calibri" w:hAnsi="Calibri"/>
          <w:color w:val="231F20"/>
          <w:w w:val="105"/>
          <w:sz w:val="17"/>
        </w:rPr>
        <w:t>È</w:t>
      </w:r>
      <w:r>
        <w:rPr>
          <w:rFonts w:ascii="Calibri" w:hAnsi="Calibri"/>
          <w:color w:val="231F20"/>
          <w:spacing w:val="-17"/>
          <w:w w:val="105"/>
          <w:sz w:val="17"/>
        </w:rPr>
        <w:t> </w:t>
      </w:r>
      <w:r>
        <w:rPr>
          <w:rFonts w:ascii="Calibri" w:hAnsi="Calibri"/>
          <w:color w:val="231F20"/>
          <w:w w:val="105"/>
          <w:sz w:val="17"/>
        </w:rPr>
        <w:t>una</w:t>
      </w:r>
      <w:r>
        <w:rPr>
          <w:rFonts w:ascii="Calibri" w:hAnsi="Calibri"/>
          <w:color w:val="231F20"/>
          <w:spacing w:val="-17"/>
          <w:w w:val="105"/>
          <w:sz w:val="17"/>
        </w:rPr>
        <w:t> </w:t>
      </w:r>
      <w:r>
        <w:rPr>
          <w:rFonts w:ascii="Calibri" w:hAnsi="Calibri"/>
          <w:color w:val="231F20"/>
          <w:w w:val="105"/>
          <w:sz w:val="17"/>
        </w:rPr>
        <w:t>linea</w:t>
      </w:r>
      <w:r>
        <w:rPr>
          <w:rFonts w:ascii="Calibri" w:hAnsi="Calibri"/>
          <w:color w:val="231F20"/>
          <w:spacing w:val="-17"/>
          <w:w w:val="105"/>
          <w:sz w:val="17"/>
        </w:rPr>
        <w:t> </w:t>
      </w:r>
      <w:r>
        <w:rPr>
          <w:rFonts w:ascii="Calibri" w:hAnsi="Calibri"/>
          <w:color w:val="231F20"/>
          <w:w w:val="105"/>
          <w:sz w:val="17"/>
        </w:rPr>
        <w:t>che</w:t>
      </w:r>
      <w:r>
        <w:rPr>
          <w:rFonts w:ascii="Calibri" w:hAnsi="Calibri"/>
          <w:color w:val="231F20"/>
          <w:spacing w:val="-17"/>
          <w:w w:val="105"/>
          <w:sz w:val="17"/>
        </w:rPr>
        <w:t> </w:t>
      </w:r>
      <w:r>
        <w:rPr>
          <w:rFonts w:ascii="Calibri" w:hAnsi="Calibri"/>
          <w:color w:val="231F20"/>
          <w:w w:val="105"/>
          <w:sz w:val="17"/>
        </w:rPr>
        <w:t>fugge</w:t>
      </w:r>
      <w:r>
        <w:rPr>
          <w:rFonts w:ascii="Calibri" w:hAnsi="Calibri"/>
          <w:color w:val="231F20"/>
          <w:spacing w:val="-17"/>
          <w:w w:val="105"/>
          <w:sz w:val="17"/>
        </w:rPr>
        <w:t> </w:t>
      </w:r>
      <w:r>
        <w:rPr>
          <w:rFonts w:ascii="Calibri" w:hAnsi="Calibri"/>
          <w:color w:val="231F20"/>
          <w:w w:val="105"/>
          <w:sz w:val="17"/>
        </w:rPr>
        <w:t>da</w:t>
      </w:r>
      <w:r>
        <w:rPr>
          <w:rFonts w:ascii="Calibri" w:hAnsi="Calibri"/>
          <w:color w:val="231F20"/>
          <w:spacing w:val="-17"/>
          <w:w w:val="105"/>
          <w:sz w:val="17"/>
        </w:rPr>
        <w:t> </w:t>
      </w:r>
      <w:r>
        <w:rPr>
          <w:rFonts w:ascii="Calibri" w:hAnsi="Calibri"/>
          <w:color w:val="231F20"/>
          <w:w w:val="105"/>
          <w:sz w:val="17"/>
        </w:rPr>
        <w:t>un</w:t>
      </w:r>
      <w:r>
        <w:rPr>
          <w:rFonts w:ascii="Calibri" w:hAnsi="Calibri"/>
          <w:color w:val="231F20"/>
          <w:spacing w:val="-17"/>
          <w:w w:val="105"/>
          <w:sz w:val="17"/>
        </w:rPr>
        <w:t> </w:t>
      </w:r>
      <w:r>
        <w:rPr>
          <w:rFonts w:ascii="Calibri" w:hAnsi="Calibri"/>
          <w:color w:val="231F20"/>
          <w:w w:val="105"/>
          <w:sz w:val="17"/>
        </w:rPr>
        <w:t>territorio</w:t>
      </w:r>
      <w:r>
        <w:rPr>
          <w:rFonts w:ascii="Calibri" w:hAnsi="Calibri"/>
          <w:color w:val="231F20"/>
          <w:spacing w:val="-17"/>
          <w:w w:val="105"/>
          <w:sz w:val="17"/>
        </w:rPr>
        <w:t> </w:t>
      </w:r>
      <w:r>
        <w:rPr>
          <w:rFonts w:ascii="Calibri" w:hAnsi="Calibri"/>
          <w:color w:val="231F20"/>
          <w:w w:val="105"/>
          <w:sz w:val="17"/>
        </w:rPr>
        <w:t>e</w:t>
      </w:r>
      <w:r>
        <w:rPr>
          <w:rFonts w:ascii="Calibri" w:hAnsi="Calibri"/>
          <w:color w:val="231F20"/>
          <w:spacing w:val="-17"/>
          <w:w w:val="105"/>
          <w:sz w:val="17"/>
        </w:rPr>
        <w:t> </w:t>
      </w:r>
      <w:r>
        <w:rPr>
          <w:rFonts w:ascii="Calibri" w:hAnsi="Calibri"/>
          <w:color w:val="231F20"/>
          <w:w w:val="105"/>
          <w:sz w:val="17"/>
        </w:rPr>
        <w:t>dalle</w:t>
      </w:r>
      <w:r>
        <w:rPr>
          <w:rFonts w:ascii="Calibri" w:hAnsi="Calibri"/>
          <w:color w:val="231F20"/>
          <w:spacing w:val="-17"/>
          <w:w w:val="105"/>
          <w:sz w:val="17"/>
        </w:rPr>
        <w:t> </w:t>
      </w:r>
      <w:r>
        <w:rPr>
          <w:rFonts w:ascii="Calibri" w:hAnsi="Calibri"/>
          <w:color w:val="231F20"/>
          <w:w w:val="105"/>
          <w:sz w:val="17"/>
        </w:rPr>
        <w:t>identità fisse,</w:t>
      </w:r>
      <w:r>
        <w:rPr>
          <w:rFonts w:ascii="Calibri" w:hAnsi="Calibri"/>
          <w:color w:val="231F20"/>
          <w:spacing w:val="-17"/>
          <w:w w:val="105"/>
          <w:sz w:val="17"/>
        </w:rPr>
        <w:t> </w:t>
      </w:r>
      <w:r>
        <w:rPr>
          <w:rFonts w:ascii="Calibri" w:hAnsi="Calibri"/>
          <w:color w:val="231F20"/>
          <w:w w:val="105"/>
          <w:sz w:val="17"/>
        </w:rPr>
        <w:t>implica,</w:t>
      </w:r>
      <w:r>
        <w:rPr>
          <w:rFonts w:ascii="Calibri" w:hAnsi="Calibri"/>
          <w:color w:val="231F20"/>
          <w:spacing w:val="-17"/>
          <w:w w:val="105"/>
          <w:sz w:val="17"/>
        </w:rPr>
        <w:t> </w:t>
      </w:r>
      <w:r>
        <w:rPr>
          <w:rFonts w:ascii="Calibri" w:hAnsi="Calibri"/>
          <w:color w:val="231F20"/>
          <w:w w:val="105"/>
          <w:sz w:val="17"/>
        </w:rPr>
        <w:t>perciò,</w:t>
      </w:r>
      <w:r>
        <w:rPr>
          <w:rFonts w:ascii="Calibri" w:hAnsi="Calibri"/>
          <w:color w:val="231F20"/>
          <w:spacing w:val="-17"/>
          <w:w w:val="105"/>
          <w:sz w:val="17"/>
        </w:rPr>
        <w:t> </w:t>
      </w:r>
      <w:r>
        <w:rPr>
          <w:rFonts w:ascii="Calibri" w:hAnsi="Calibri"/>
          <w:color w:val="231F20"/>
          <w:w w:val="105"/>
          <w:sz w:val="17"/>
        </w:rPr>
        <w:t>l’impossibilità</w:t>
      </w:r>
      <w:r>
        <w:rPr>
          <w:rFonts w:ascii="Calibri" w:hAnsi="Calibri"/>
          <w:color w:val="231F20"/>
          <w:spacing w:val="-17"/>
          <w:w w:val="105"/>
          <w:sz w:val="17"/>
        </w:rPr>
        <w:t> </w:t>
      </w:r>
      <w:r>
        <w:rPr>
          <w:rFonts w:ascii="Calibri" w:hAnsi="Calibri"/>
          <w:color w:val="231F20"/>
          <w:w w:val="105"/>
          <w:sz w:val="17"/>
        </w:rPr>
        <w:t>di</w:t>
      </w:r>
      <w:r>
        <w:rPr>
          <w:rFonts w:ascii="Calibri" w:hAnsi="Calibri"/>
          <w:color w:val="231F20"/>
          <w:spacing w:val="-17"/>
          <w:w w:val="105"/>
          <w:sz w:val="17"/>
        </w:rPr>
        <w:t> </w:t>
      </w:r>
      <w:r>
        <w:rPr>
          <w:rFonts w:ascii="Calibri" w:hAnsi="Calibri"/>
          <w:color w:val="231F20"/>
          <w:w w:val="105"/>
          <w:sz w:val="17"/>
        </w:rPr>
        <w:t>dare</w:t>
      </w:r>
      <w:r>
        <w:rPr>
          <w:rFonts w:ascii="Calibri" w:hAnsi="Calibri"/>
          <w:color w:val="231F20"/>
          <w:spacing w:val="-17"/>
          <w:w w:val="105"/>
          <w:sz w:val="17"/>
        </w:rPr>
        <w:t> </w:t>
      </w:r>
      <w:r>
        <w:rPr>
          <w:rFonts w:ascii="Calibri" w:hAnsi="Calibri"/>
          <w:color w:val="231F20"/>
          <w:w w:val="105"/>
          <w:sz w:val="17"/>
        </w:rPr>
        <w:t>una</w:t>
      </w:r>
      <w:r>
        <w:rPr>
          <w:rFonts w:ascii="Calibri" w:hAnsi="Calibri"/>
          <w:color w:val="231F20"/>
          <w:spacing w:val="-17"/>
          <w:w w:val="105"/>
          <w:sz w:val="17"/>
        </w:rPr>
        <w:t> </w:t>
      </w:r>
      <w:r>
        <w:rPr>
          <w:rFonts w:ascii="Calibri" w:hAnsi="Calibri"/>
          <w:color w:val="231F20"/>
          <w:w w:val="105"/>
          <w:sz w:val="17"/>
        </w:rPr>
        <w:t>ubicazione</w:t>
      </w:r>
      <w:r>
        <w:rPr>
          <w:rFonts w:ascii="Calibri" w:hAnsi="Calibri"/>
          <w:color w:val="231F20"/>
          <w:spacing w:val="-17"/>
          <w:w w:val="105"/>
          <w:sz w:val="17"/>
        </w:rPr>
        <w:t> </w:t>
      </w:r>
      <w:r>
        <w:rPr>
          <w:rFonts w:ascii="Calibri" w:hAnsi="Calibri"/>
          <w:color w:val="231F20"/>
          <w:w w:val="105"/>
          <w:sz w:val="17"/>
        </w:rPr>
        <w:t>esatta;</w:t>
      </w:r>
      <w:r>
        <w:rPr>
          <w:rFonts w:ascii="Calibri" w:hAnsi="Calibri"/>
          <w:color w:val="231F20"/>
          <w:spacing w:val="-17"/>
          <w:w w:val="105"/>
          <w:sz w:val="17"/>
        </w:rPr>
        <w:t> </w:t>
      </w:r>
      <w:r>
        <w:rPr>
          <w:rFonts w:ascii="Calibri" w:hAnsi="Calibri"/>
          <w:color w:val="231F20"/>
          <w:w w:val="105"/>
          <w:sz w:val="17"/>
        </w:rPr>
        <w:t>in</w:t>
      </w:r>
      <w:r>
        <w:rPr>
          <w:rFonts w:ascii="Calibri" w:hAnsi="Calibri"/>
          <w:color w:val="231F20"/>
          <w:spacing w:val="-17"/>
          <w:w w:val="105"/>
          <w:sz w:val="17"/>
        </w:rPr>
        <w:t> </w:t>
      </w:r>
      <w:r>
        <w:rPr>
          <w:rFonts w:ascii="Calibri" w:hAnsi="Calibri"/>
          <w:color w:val="231F20"/>
          <w:w w:val="105"/>
          <w:sz w:val="17"/>
        </w:rPr>
        <w:t>questo</w:t>
      </w:r>
      <w:r>
        <w:rPr>
          <w:rFonts w:ascii="Calibri" w:hAnsi="Calibri"/>
          <w:color w:val="231F20"/>
          <w:spacing w:val="-17"/>
          <w:w w:val="105"/>
          <w:sz w:val="17"/>
        </w:rPr>
        <w:t> </w:t>
      </w:r>
      <w:r>
        <w:rPr>
          <w:rFonts w:ascii="Calibri" w:hAnsi="Calibri"/>
          <w:color w:val="231F20"/>
          <w:w w:val="105"/>
          <w:sz w:val="17"/>
        </w:rPr>
        <w:t>senso,</w:t>
      </w:r>
      <w:r>
        <w:rPr>
          <w:rFonts w:ascii="Calibri" w:hAnsi="Calibri"/>
          <w:color w:val="231F20"/>
          <w:spacing w:val="-17"/>
          <w:w w:val="105"/>
          <w:sz w:val="17"/>
        </w:rPr>
        <w:t> </w:t>
      </w:r>
      <w:r>
        <w:rPr>
          <w:rFonts w:ascii="Calibri" w:hAnsi="Calibri"/>
          <w:color w:val="231F20"/>
          <w:w w:val="105"/>
          <w:sz w:val="17"/>
        </w:rPr>
        <w:t>si</w:t>
      </w:r>
      <w:r>
        <w:rPr>
          <w:rFonts w:ascii="Calibri" w:hAnsi="Calibri"/>
          <w:color w:val="231F20"/>
          <w:spacing w:val="-17"/>
          <w:w w:val="105"/>
          <w:sz w:val="17"/>
        </w:rPr>
        <w:t> </w:t>
      </w:r>
      <w:r>
        <w:rPr>
          <w:rFonts w:ascii="Calibri" w:hAnsi="Calibri"/>
          <w:color w:val="231F20"/>
          <w:w w:val="105"/>
          <w:sz w:val="17"/>
        </w:rPr>
        <w:t>trova</w:t>
      </w:r>
      <w:r>
        <w:rPr>
          <w:rFonts w:ascii="Calibri" w:hAnsi="Calibri"/>
          <w:color w:val="231F20"/>
          <w:spacing w:val="-17"/>
          <w:w w:val="105"/>
          <w:sz w:val="17"/>
        </w:rPr>
        <w:t> </w:t>
      </w:r>
      <w:r>
        <w:rPr>
          <w:rFonts w:ascii="Calibri" w:hAnsi="Calibri"/>
          <w:color w:val="231F20"/>
          <w:w w:val="105"/>
          <w:sz w:val="17"/>
        </w:rPr>
        <w:t>sempre nel</w:t>
      </w:r>
      <w:r>
        <w:rPr>
          <w:rFonts w:ascii="Calibri" w:hAnsi="Calibri"/>
          <w:color w:val="231F20"/>
          <w:spacing w:val="-10"/>
          <w:w w:val="105"/>
          <w:sz w:val="17"/>
        </w:rPr>
        <w:t> </w:t>
      </w:r>
      <w:r>
        <w:rPr>
          <w:rFonts w:ascii="Calibri" w:hAnsi="Calibri"/>
          <w:i/>
          <w:color w:val="231F20"/>
          <w:w w:val="105"/>
          <w:sz w:val="17"/>
        </w:rPr>
        <w:t>tra</w:t>
      </w:r>
      <w:r>
        <w:rPr>
          <w:rFonts w:ascii="Calibri" w:hAnsi="Calibri"/>
          <w:color w:val="231F20"/>
          <w:w w:val="105"/>
          <w:sz w:val="17"/>
        </w:rPr>
        <w:t>,</w:t>
      </w:r>
      <w:r>
        <w:rPr>
          <w:rFonts w:ascii="Calibri" w:hAnsi="Calibri"/>
          <w:color w:val="231F20"/>
          <w:spacing w:val="-10"/>
          <w:w w:val="105"/>
          <w:sz w:val="17"/>
        </w:rPr>
        <w:t> </w:t>
      </w:r>
      <w:r>
        <w:rPr>
          <w:rFonts w:ascii="Calibri" w:hAnsi="Calibri"/>
          <w:color w:val="231F20"/>
          <w:w w:val="105"/>
          <w:sz w:val="17"/>
        </w:rPr>
        <w:t>passa</w:t>
      </w:r>
      <w:r>
        <w:rPr>
          <w:rFonts w:ascii="Calibri" w:hAnsi="Calibri"/>
          <w:color w:val="231F20"/>
          <w:spacing w:val="-10"/>
          <w:w w:val="105"/>
          <w:sz w:val="17"/>
        </w:rPr>
        <w:t> </w:t>
      </w:r>
      <w:r>
        <w:rPr>
          <w:rFonts w:ascii="Calibri" w:hAnsi="Calibri"/>
          <w:i/>
          <w:color w:val="231F20"/>
          <w:w w:val="105"/>
          <w:sz w:val="17"/>
        </w:rPr>
        <w:t>tra</w:t>
      </w:r>
      <w:r>
        <w:rPr>
          <w:rFonts w:ascii="Calibri" w:hAnsi="Calibri"/>
          <w:i/>
          <w:color w:val="231F20"/>
          <w:spacing w:val="-10"/>
          <w:w w:val="105"/>
          <w:sz w:val="17"/>
        </w:rPr>
        <w:t> </w:t>
      </w:r>
      <w:r>
        <w:rPr>
          <w:rFonts w:ascii="Calibri" w:hAnsi="Calibri"/>
          <w:color w:val="231F20"/>
          <w:w w:val="105"/>
          <w:sz w:val="17"/>
        </w:rPr>
        <w:t>i</w:t>
      </w:r>
      <w:r>
        <w:rPr>
          <w:rFonts w:ascii="Calibri" w:hAnsi="Calibri"/>
          <w:color w:val="231F20"/>
          <w:spacing w:val="-10"/>
          <w:w w:val="105"/>
          <w:sz w:val="17"/>
        </w:rPr>
        <w:t> </w:t>
      </w:r>
      <w:r>
        <w:rPr>
          <w:rFonts w:ascii="Calibri" w:hAnsi="Calibri"/>
          <w:color w:val="231F20"/>
          <w:w w:val="105"/>
          <w:sz w:val="17"/>
        </w:rPr>
        <w:t>punti,</w:t>
      </w:r>
      <w:r>
        <w:rPr>
          <w:rFonts w:ascii="Calibri" w:hAnsi="Calibri"/>
          <w:color w:val="231F20"/>
          <w:spacing w:val="-10"/>
          <w:w w:val="105"/>
          <w:sz w:val="17"/>
        </w:rPr>
        <w:t> </w:t>
      </w:r>
      <w:r>
        <w:rPr>
          <w:rFonts w:ascii="Calibri" w:hAnsi="Calibri"/>
          <w:color w:val="231F20"/>
          <w:w w:val="105"/>
          <w:sz w:val="17"/>
        </w:rPr>
        <w:t>senza</w:t>
      </w:r>
      <w:r>
        <w:rPr>
          <w:rFonts w:ascii="Calibri" w:hAnsi="Calibri"/>
          <w:color w:val="231F20"/>
          <w:spacing w:val="-10"/>
          <w:w w:val="105"/>
          <w:sz w:val="17"/>
        </w:rPr>
        <w:t> </w:t>
      </w:r>
      <w:r>
        <w:rPr>
          <w:rFonts w:ascii="Calibri" w:hAnsi="Calibri"/>
          <w:color w:val="231F20"/>
          <w:w w:val="105"/>
          <w:sz w:val="17"/>
        </w:rPr>
        <w:t>mai</w:t>
      </w:r>
      <w:r>
        <w:rPr>
          <w:rFonts w:ascii="Calibri" w:hAnsi="Calibri"/>
          <w:color w:val="231F20"/>
          <w:spacing w:val="-10"/>
          <w:w w:val="105"/>
          <w:sz w:val="17"/>
        </w:rPr>
        <w:t> </w:t>
      </w:r>
      <w:r>
        <w:rPr>
          <w:rFonts w:ascii="Calibri" w:hAnsi="Calibri"/>
          <w:color w:val="231F20"/>
          <w:w w:val="105"/>
          <w:sz w:val="17"/>
        </w:rPr>
        <w:t>installarsi</w:t>
      </w:r>
      <w:r>
        <w:rPr>
          <w:rFonts w:ascii="Calibri" w:hAnsi="Calibri"/>
          <w:color w:val="231F20"/>
          <w:spacing w:val="-10"/>
          <w:w w:val="105"/>
          <w:sz w:val="17"/>
        </w:rPr>
        <w:t> </w:t>
      </w:r>
      <w:r>
        <w:rPr>
          <w:rFonts w:ascii="Calibri" w:hAnsi="Calibri"/>
          <w:color w:val="231F20"/>
          <w:w w:val="105"/>
          <w:sz w:val="17"/>
        </w:rPr>
        <w:t>in</w:t>
      </w:r>
      <w:r>
        <w:rPr>
          <w:rFonts w:ascii="Calibri" w:hAnsi="Calibri"/>
          <w:color w:val="231F20"/>
          <w:spacing w:val="-10"/>
          <w:w w:val="105"/>
          <w:sz w:val="17"/>
        </w:rPr>
        <w:t> </w:t>
      </w:r>
      <w:r>
        <w:rPr>
          <w:rFonts w:ascii="Calibri" w:hAnsi="Calibri"/>
          <w:color w:val="231F20"/>
          <w:w w:val="105"/>
          <w:sz w:val="17"/>
        </w:rPr>
        <w:t>uno</w:t>
      </w:r>
      <w:r>
        <w:rPr>
          <w:rFonts w:ascii="Calibri" w:hAnsi="Calibri"/>
          <w:color w:val="231F20"/>
          <w:spacing w:val="-10"/>
          <w:w w:val="105"/>
          <w:sz w:val="17"/>
        </w:rPr>
        <w:t> </w:t>
      </w:r>
      <w:r>
        <w:rPr>
          <w:rFonts w:ascii="Calibri" w:hAnsi="Calibri"/>
          <w:color w:val="231F20"/>
          <w:w w:val="105"/>
          <w:sz w:val="17"/>
        </w:rPr>
        <w:t>di</w:t>
      </w:r>
      <w:r>
        <w:rPr>
          <w:rFonts w:ascii="Calibri" w:hAnsi="Calibri"/>
          <w:color w:val="231F20"/>
          <w:spacing w:val="-10"/>
          <w:w w:val="105"/>
          <w:sz w:val="17"/>
        </w:rPr>
        <w:t> </w:t>
      </w:r>
      <w:r>
        <w:rPr>
          <w:rFonts w:ascii="Calibri" w:hAnsi="Calibri"/>
          <w:color w:val="231F20"/>
          <w:w w:val="105"/>
          <w:sz w:val="17"/>
        </w:rPr>
        <w:t>loro.</w:t>
      </w:r>
    </w:p>
    <w:p>
      <w:pPr>
        <w:spacing w:line="204" w:lineRule="exact" w:before="0"/>
        <w:ind w:left="103" w:right="114" w:firstLine="0"/>
        <w:jc w:val="both"/>
        <w:rPr>
          <w:rFonts w:ascii="Calibri" w:hAnsi="Calibri"/>
          <w:sz w:val="17"/>
        </w:rPr>
      </w:pPr>
      <w:r>
        <w:rPr>
          <w:rFonts w:ascii="Calibri" w:hAnsi="Calibri"/>
          <w:color w:val="231F20"/>
          <w:w w:val="105"/>
          <w:position w:val="6"/>
          <w:sz w:val="10"/>
        </w:rPr>
        <w:t>36 </w:t>
      </w:r>
      <w:r>
        <w:rPr>
          <w:rFonts w:ascii="Calibri" w:hAnsi="Calibri"/>
          <w:color w:val="231F20"/>
          <w:w w:val="105"/>
          <w:sz w:val="17"/>
        </w:rPr>
        <w:t>Nell’ontologia deleuziana la coppia territorializzazione–deterritorializzazione risulta centrale. Per</w:t>
      </w:r>
      <w:r>
        <w:rPr>
          <w:rFonts w:ascii="Calibri" w:hAnsi="Calibri"/>
          <w:color w:val="231F20"/>
          <w:spacing w:val="-6"/>
          <w:w w:val="105"/>
          <w:sz w:val="17"/>
        </w:rPr>
        <w:t> </w:t>
      </w:r>
      <w:r>
        <w:rPr>
          <w:rFonts w:ascii="Calibri" w:hAnsi="Calibri"/>
          <w:color w:val="231F20"/>
          <w:w w:val="105"/>
          <w:sz w:val="17"/>
        </w:rPr>
        <w:t>cominciare,</w:t>
      </w:r>
      <w:r>
        <w:rPr>
          <w:rFonts w:ascii="Calibri" w:hAnsi="Calibri"/>
          <w:color w:val="231F20"/>
          <w:spacing w:val="-6"/>
          <w:w w:val="105"/>
          <w:sz w:val="17"/>
        </w:rPr>
        <w:t> </w:t>
      </w:r>
      <w:r>
        <w:rPr>
          <w:rFonts w:ascii="Calibri" w:hAnsi="Calibri"/>
          <w:color w:val="231F20"/>
          <w:w w:val="105"/>
          <w:sz w:val="17"/>
        </w:rPr>
        <w:t>seguendo</w:t>
      </w:r>
      <w:r>
        <w:rPr>
          <w:rFonts w:ascii="Calibri" w:hAnsi="Calibri"/>
          <w:color w:val="231F20"/>
          <w:spacing w:val="-6"/>
          <w:w w:val="105"/>
          <w:sz w:val="17"/>
        </w:rPr>
        <w:t> </w:t>
      </w:r>
      <w:r>
        <w:rPr>
          <w:rFonts w:ascii="Calibri" w:hAnsi="Calibri"/>
          <w:color w:val="231F20"/>
          <w:w w:val="105"/>
          <w:sz w:val="17"/>
        </w:rPr>
        <w:t>le</w:t>
      </w:r>
      <w:r>
        <w:rPr>
          <w:rFonts w:ascii="Calibri" w:hAnsi="Calibri"/>
          <w:color w:val="231F20"/>
          <w:spacing w:val="-6"/>
          <w:w w:val="105"/>
          <w:sz w:val="17"/>
        </w:rPr>
        <w:t> </w:t>
      </w:r>
      <w:r>
        <w:rPr>
          <w:rFonts w:ascii="Calibri" w:hAnsi="Calibri"/>
          <w:color w:val="231F20"/>
          <w:w w:val="105"/>
          <w:sz w:val="17"/>
        </w:rPr>
        <w:t>tracce</w:t>
      </w:r>
      <w:r>
        <w:rPr>
          <w:rFonts w:ascii="Calibri" w:hAnsi="Calibri"/>
          <w:color w:val="231F20"/>
          <w:spacing w:val="-6"/>
          <w:w w:val="105"/>
          <w:sz w:val="17"/>
        </w:rPr>
        <w:t> </w:t>
      </w:r>
      <w:r>
        <w:rPr>
          <w:rFonts w:ascii="Calibri" w:hAnsi="Calibri"/>
          <w:color w:val="231F20"/>
          <w:w w:val="105"/>
          <w:sz w:val="17"/>
        </w:rPr>
        <w:t>di</w:t>
      </w:r>
      <w:r>
        <w:rPr>
          <w:rFonts w:ascii="Calibri" w:hAnsi="Calibri"/>
          <w:color w:val="231F20"/>
          <w:spacing w:val="-6"/>
          <w:w w:val="105"/>
          <w:sz w:val="17"/>
        </w:rPr>
        <w:t> </w:t>
      </w:r>
      <w:r>
        <w:rPr>
          <w:rFonts w:ascii="Calibri" w:hAnsi="Calibri"/>
          <w:color w:val="231F20"/>
          <w:w w:val="105"/>
          <w:sz w:val="17"/>
        </w:rPr>
        <w:t>Jacob</w:t>
      </w:r>
      <w:r>
        <w:rPr>
          <w:rFonts w:ascii="Calibri" w:hAnsi="Calibri"/>
          <w:color w:val="231F20"/>
          <w:spacing w:val="-8"/>
          <w:w w:val="105"/>
          <w:sz w:val="17"/>
        </w:rPr>
        <w:t> </w:t>
      </w:r>
      <w:r>
        <w:rPr>
          <w:rFonts w:ascii="Calibri" w:hAnsi="Calibri"/>
          <w:color w:val="231F20"/>
          <w:w w:val="105"/>
          <w:sz w:val="17"/>
        </w:rPr>
        <w:t>von</w:t>
      </w:r>
      <w:r>
        <w:rPr>
          <w:rFonts w:ascii="Calibri" w:hAnsi="Calibri"/>
          <w:color w:val="231F20"/>
          <w:spacing w:val="-6"/>
          <w:w w:val="105"/>
          <w:sz w:val="17"/>
        </w:rPr>
        <w:t> </w:t>
      </w:r>
      <w:r>
        <w:rPr>
          <w:rFonts w:ascii="Calibri" w:hAnsi="Calibri"/>
          <w:color w:val="231F20"/>
          <w:w w:val="105"/>
          <w:sz w:val="17"/>
        </w:rPr>
        <w:t>Uexküll</w:t>
      </w:r>
      <w:r>
        <w:rPr>
          <w:rFonts w:ascii="Calibri" w:hAnsi="Calibri"/>
          <w:color w:val="231F20"/>
          <w:spacing w:val="-6"/>
          <w:w w:val="105"/>
          <w:sz w:val="17"/>
        </w:rPr>
        <w:t> </w:t>
      </w:r>
      <w:r>
        <w:rPr>
          <w:rFonts w:ascii="Calibri" w:hAnsi="Calibri"/>
          <w:color w:val="231F20"/>
          <w:w w:val="105"/>
          <w:sz w:val="17"/>
        </w:rPr>
        <w:t>(etologo</w:t>
      </w:r>
      <w:r>
        <w:rPr>
          <w:rFonts w:ascii="Calibri" w:hAnsi="Calibri"/>
          <w:color w:val="231F20"/>
          <w:spacing w:val="-6"/>
          <w:w w:val="105"/>
          <w:sz w:val="17"/>
        </w:rPr>
        <w:t> </w:t>
      </w:r>
      <w:r>
        <w:rPr>
          <w:rFonts w:ascii="Calibri" w:hAnsi="Calibri"/>
          <w:color w:val="231F20"/>
          <w:w w:val="105"/>
          <w:sz w:val="17"/>
        </w:rPr>
        <w:t>estone,</w:t>
      </w:r>
      <w:r>
        <w:rPr>
          <w:rFonts w:ascii="Calibri" w:hAnsi="Calibri"/>
          <w:color w:val="231F20"/>
          <w:spacing w:val="-6"/>
          <w:w w:val="105"/>
          <w:sz w:val="17"/>
        </w:rPr>
        <w:t> </w:t>
      </w:r>
      <w:r>
        <w:rPr>
          <w:rFonts w:ascii="Calibri" w:hAnsi="Calibri"/>
          <w:color w:val="231F20"/>
          <w:w w:val="105"/>
          <w:sz w:val="17"/>
        </w:rPr>
        <w:t>fondatore</w:t>
      </w:r>
      <w:r>
        <w:rPr>
          <w:rFonts w:ascii="Calibri" w:hAnsi="Calibri"/>
          <w:color w:val="231F20"/>
          <w:spacing w:val="-6"/>
          <w:w w:val="105"/>
          <w:sz w:val="17"/>
        </w:rPr>
        <w:t> </w:t>
      </w:r>
      <w:r>
        <w:rPr>
          <w:rFonts w:ascii="Calibri" w:hAnsi="Calibri"/>
          <w:color w:val="231F20"/>
          <w:w w:val="105"/>
          <w:sz w:val="17"/>
        </w:rPr>
        <w:t>dell’etologia chi visse da 1864 fino a 1944), non c’è un territorio in se per nessun essere vivente, ma esso è prodotto di una dinamica di territorializzazione che fa diventare familiare l’entorno attraverso marche, odori, abitudini, tracce, tane, canti, insomma, una pluralità di materie d’espressione. Territorializzare significa costruirsi un territorio che sia familiare attraverso diverse marche d’espressione,</w:t>
      </w:r>
      <w:r>
        <w:rPr>
          <w:rFonts w:ascii="Calibri" w:hAnsi="Calibri"/>
          <w:color w:val="231F20"/>
          <w:spacing w:val="-12"/>
          <w:w w:val="105"/>
          <w:sz w:val="17"/>
        </w:rPr>
        <w:t> </w:t>
      </w:r>
      <w:r>
        <w:rPr>
          <w:rFonts w:ascii="Calibri" w:hAnsi="Calibri"/>
          <w:color w:val="231F20"/>
          <w:w w:val="105"/>
          <w:sz w:val="17"/>
        </w:rPr>
        <w:t>ma</w:t>
      </w:r>
      <w:r>
        <w:rPr>
          <w:rFonts w:ascii="Calibri" w:hAnsi="Calibri"/>
          <w:color w:val="231F20"/>
          <w:spacing w:val="-12"/>
          <w:w w:val="105"/>
          <w:sz w:val="17"/>
        </w:rPr>
        <w:t> </w:t>
      </w:r>
      <w:r>
        <w:rPr>
          <w:rFonts w:ascii="Calibri" w:hAnsi="Calibri"/>
          <w:color w:val="231F20"/>
          <w:w w:val="105"/>
          <w:sz w:val="17"/>
        </w:rPr>
        <w:t>non</w:t>
      </w:r>
      <w:r>
        <w:rPr>
          <w:rFonts w:ascii="Calibri" w:hAnsi="Calibri"/>
          <w:color w:val="231F20"/>
          <w:spacing w:val="-12"/>
          <w:w w:val="105"/>
          <w:sz w:val="17"/>
        </w:rPr>
        <w:t> </w:t>
      </w:r>
      <w:r>
        <w:rPr>
          <w:rFonts w:ascii="Calibri" w:hAnsi="Calibri"/>
          <w:color w:val="231F20"/>
          <w:w w:val="105"/>
          <w:sz w:val="17"/>
        </w:rPr>
        <w:t>c’è</w:t>
      </w:r>
      <w:r>
        <w:rPr>
          <w:rFonts w:ascii="Calibri" w:hAnsi="Calibri"/>
          <w:color w:val="231F20"/>
          <w:spacing w:val="-12"/>
          <w:w w:val="105"/>
          <w:sz w:val="17"/>
        </w:rPr>
        <w:t> </w:t>
      </w:r>
      <w:r>
        <w:rPr>
          <w:rFonts w:ascii="Calibri" w:hAnsi="Calibri"/>
          <w:color w:val="231F20"/>
          <w:w w:val="105"/>
          <w:sz w:val="17"/>
        </w:rPr>
        <w:t>territorio</w:t>
      </w:r>
      <w:r>
        <w:rPr>
          <w:rFonts w:ascii="Calibri" w:hAnsi="Calibri"/>
          <w:color w:val="231F20"/>
          <w:spacing w:val="-12"/>
          <w:w w:val="105"/>
          <w:sz w:val="17"/>
        </w:rPr>
        <w:t> </w:t>
      </w:r>
      <w:r>
        <w:rPr>
          <w:rFonts w:ascii="Calibri" w:hAnsi="Calibri"/>
          <w:color w:val="231F20"/>
          <w:w w:val="105"/>
          <w:sz w:val="17"/>
        </w:rPr>
        <w:t>fisso.</w:t>
      </w:r>
      <w:r>
        <w:rPr>
          <w:rFonts w:ascii="Calibri" w:hAnsi="Calibri"/>
          <w:color w:val="231F20"/>
          <w:spacing w:val="-14"/>
          <w:w w:val="105"/>
          <w:sz w:val="17"/>
        </w:rPr>
        <w:t> </w:t>
      </w:r>
      <w:r>
        <w:rPr>
          <w:rFonts w:ascii="Calibri" w:hAnsi="Calibri"/>
          <w:color w:val="231F20"/>
          <w:w w:val="105"/>
          <w:sz w:val="17"/>
        </w:rPr>
        <w:t>Territorializzare</w:t>
      </w:r>
      <w:r>
        <w:rPr>
          <w:rFonts w:ascii="Calibri" w:hAnsi="Calibri"/>
          <w:color w:val="231F20"/>
          <w:spacing w:val="-12"/>
          <w:w w:val="105"/>
          <w:sz w:val="17"/>
        </w:rPr>
        <w:t> </w:t>
      </w:r>
      <w:r>
        <w:rPr>
          <w:rFonts w:ascii="Calibri" w:hAnsi="Calibri"/>
          <w:color w:val="231F20"/>
          <w:w w:val="105"/>
          <w:sz w:val="17"/>
        </w:rPr>
        <w:t>è</w:t>
      </w:r>
      <w:r>
        <w:rPr>
          <w:rFonts w:ascii="Calibri" w:hAnsi="Calibri"/>
          <w:color w:val="231F20"/>
          <w:spacing w:val="-12"/>
          <w:w w:val="105"/>
          <w:sz w:val="17"/>
        </w:rPr>
        <w:t> </w:t>
      </w:r>
      <w:r>
        <w:rPr>
          <w:rFonts w:ascii="Calibri" w:hAnsi="Calibri"/>
          <w:color w:val="231F20"/>
          <w:w w:val="105"/>
          <w:sz w:val="17"/>
        </w:rPr>
        <w:t>una</w:t>
      </w:r>
      <w:r>
        <w:rPr>
          <w:rFonts w:ascii="Calibri" w:hAnsi="Calibri"/>
          <w:color w:val="231F20"/>
          <w:spacing w:val="-12"/>
          <w:w w:val="105"/>
          <w:sz w:val="17"/>
        </w:rPr>
        <w:t> </w:t>
      </w:r>
      <w:r>
        <w:rPr>
          <w:rFonts w:ascii="Calibri" w:hAnsi="Calibri"/>
          <w:color w:val="231F20"/>
          <w:w w:val="105"/>
          <w:sz w:val="17"/>
        </w:rPr>
        <w:t>dinamica</w:t>
      </w:r>
      <w:r>
        <w:rPr>
          <w:rFonts w:ascii="Calibri" w:hAnsi="Calibri"/>
          <w:color w:val="231F20"/>
          <w:spacing w:val="-12"/>
          <w:w w:val="105"/>
          <w:sz w:val="17"/>
        </w:rPr>
        <w:t> </w:t>
      </w:r>
      <w:r>
        <w:rPr>
          <w:rFonts w:ascii="Calibri" w:hAnsi="Calibri"/>
          <w:color w:val="231F20"/>
          <w:w w:val="105"/>
          <w:sz w:val="17"/>
        </w:rPr>
        <w:t>continua</w:t>
      </w:r>
      <w:r>
        <w:rPr>
          <w:rFonts w:ascii="Calibri" w:hAnsi="Calibri"/>
          <w:color w:val="231F20"/>
          <w:spacing w:val="-12"/>
          <w:w w:val="105"/>
          <w:sz w:val="17"/>
        </w:rPr>
        <w:t> </w:t>
      </w:r>
      <w:r>
        <w:rPr>
          <w:rFonts w:ascii="Calibri" w:hAnsi="Calibri"/>
          <w:color w:val="231F20"/>
          <w:w w:val="105"/>
          <w:sz w:val="17"/>
        </w:rPr>
        <w:t>di</w:t>
      </w:r>
      <w:r>
        <w:rPr>
          <w:rFonts w:ascii="Calibri" w:hAnsi="Calibri"/>
          <w:color w:val="231F20"/>
          <w:spacing w:val="-12"/>
          <w:w w:val="105"/>
          <w:sz w:val="17"/>
        </w:rPr>
        <w:t> </w:t>
      </w:r>
      <w:r>
        <w:rPr>
          <w:rFonts w:ascii="Calibri" w:hAnsi="Calibri"/>
          <w:color w:val="231F20"/>
          <w:w w:val="105"/>
          <w:sz w:val="17"/>
        </w:rPr>
        <w:t>rimarcare</w:t>
      </w:r>
      <w:r>
        <w:rPr>
          <w:rFonts w:ascii="Calibri" w:hAnsi="Calibri"/>
          <w:color w:val="231F20"/>
          <w:spacing w:val="-12"/>
          <w:w w:val="105"/>
          <w:sz w:val="17"/>
        </w:rPr>
        <w:t> </w:t>
      </w:r>
      <w:r>
        <w:rPr>
          <w:rFonts w:ascii="Calibri" w:hAnsi="Calibri"/>
          <w:color w:val="231F20"/>
          <w:w w:val="105"/>
          <w:sz w:val="17"/>
        </w:rPr>
        <w:t>e ritardare,</w:t>
      </w:r>
      <w:r>
        <w:rPr>
          <w:rFonts w:ascii="Calibri" w:hAnsi="Calibri"/>
          <w:color w:val="231F20"/>
          <w:spacing w:val="-26"/>
          <w:w w:val="105"/>
          <w:sz w:val="17"/>
        </w:rPr>
        <w:t> </w:t>
      </w:r>
      <w:r>
        <w:rPr>
          <w:rFonts w:ascii="Calibri" w:hAnsi="Calibri"/>
          <w:color w:val="231F20"/>
          <w:w w:val="105"/>
          <w:sz w:val="17"/>
        </w:rPr>
        <w:t>estendere</w:t>
      </w:r>
      <w:r>
        <w:rPr>
          <w:rFonts w:ascii="Calibri" w:hAnsi="Calibri"/>
          <w:color w:val="231F20"/>
          <w:spacing w:val="-26"/>
          <w:w w:val="105"/>
          <w:sz w:val="17"/>
        </w:rPr>
        <w:t> </w:t>
      </w:r>
      <w:r>
        <w:rPr>
          <w:rFonts w:ascii="Calibri" w:hAnsi="Calibri"/>
          <w:color w:val="231F20"/>
          <w:w w:val="105"/>
          <w:sz w:val="17"/>
        </w:rPr>
        <w:t>ed</w:t>
      </w:r>
      <w:r>
        <w:rPr>
          <w:rFonts w:ascii="Calibri" w:hAnsi="Calibri"/>
          <w:color w:val="231F20"/>
          <w:spacing w:val="-26"/>
          <w:w w:val="105"/>
          <w:sz w:val="17"/>
        </w:rPr>
        <w:t> </w:t>
      </w:r>
      <w:r>
        <w:rPr>
          <w:rFonts w:ascii="Calibri" w:hAnsi="Calibri"/>
          <w:color w:val="231F20"/>
          <w:w w:val="105"/>
          <w:sz w:val="17"/>
        </w:rPr>
        <w:t>alterare,</w:t>
      </w:r>
      <w:r>
        <w:rPr>
          <w:rFonts w:ascii="Calibri" w:hAnsi="Calibri"/>
          <w:color w:val="231F20"/>
          <w:spacing w:val="-26"/>
          <w:w w:val="105"/>
          <w:sz w:val="17"/>
        </w:rPr>
        <w:t> </w:t>
      </w:r>
      <w:r>
        <w:rPr>
          <w:rFonts w:ascii="Calibri" w:hAnsi="Calibri"/>
          <w:color w:val="231F20"/>
          <w:w w:val="105"/>
          <w:sz w:val="17"/>
        </w:rPr>
        <w:t>abbandonando</w:t>
      </w:r>
      <w:r>
        <w:rPr>
          <w:rFonts w:ascii="Calibri" w:hAnsi="Calibri"/>
          <w:color w:val="231F20"/>
          <w:spacing w:val="-26"/>
          <w:w w:val="105"/>
          <w:sz w:val="17"/>
        </w:rPr>
        <w:t> </w:t>
      </w:r>
      <w:r>
        <w:rPr>
          <w:rFonts w:ascii="Calibri" w:hAnsi="Calibri"/>
          <w:color w:val="231F20"/>
          <w:w w:val="105"/>
          <w:sz w:val="17"/>
        </w:rPr>
        <w:t>paraggi</w:t>
      </w:r>
      <w:r>
        <w:rPr>
          <w:rFonts w:ascii="Calibri" w:hAnsi="Calibri"/>
          <w:color w:val="231F20"/>
          <w:spacing w:val="-26"/>
          <w:w w:val="105"/>
          <w:sz w:val="17"/>
        </w:rPr>
        <w:t> </w:t>
      </w:r>
      <w:r>
        <w:rPr>
          <w:rFonts w:ascii="Calibri" w:hAnsi="Calibri"/>
          <w:color w:val="231F20"/>
          <w:w w:val="105"/>
          <w:sz w:val="17"/>
        </w:rPr>
        <w:t>o</w:t>
      </w:r>
      <w:r>
        <w:rPr>
          <w:rFonts w:ascii="Calibri" w:hAnsi="Calibri"/>
          <w:color w:val="231F20"/>
          <w:spacing w:val="-26"/>
          <w:w w:val="105"/>
          <w:sz w:val="17"/>
        </w:rPr>
        <w:t> </w:t>
      </w:r>
      <w:r>
        <w:rPr>
          <w:rFonts w:ascii="Calibri" w:hAnsi="Calibri"/>
          <w:color w:val="231F20"/>
          <w:w w:val="105"/>
          <w:sz w:val="17"/>
        </w:rPr>
        <w:t>modificando</w:t>
      </w:r>
      <w:r>
        <w:rPr>
          <w:rFonts w:ascii="Calibri" w:hAnsi="Calibri"/>
          <w:color w:val="231F20"/>
          <w:spacing w:val="-26"/>
          <w:w w:val="105"/>
          <w:sz w:val="17"/>
        </w:rPr>
        <w:t> </w:t>
      </w:r>
      <w:r>
        <w:rPr>
          <w:rFonts w:ascii="Calibri" w:hAnsi="Calibri"/>
          <w:color w:val="231F20"/>
          <w:w w:val="105"/>
          <w:sz w:val="17"/>
        </w:rPr>
        <w:t>quelli</w:t>
      </w:r>
      <w:r>
        <w:rPr>
          <w:rFonts w:ascii="Calibri" w:hAnsi="Calibri"/>
          <w:color w:val="231F20"/>
          <w:spacing w:val="-26"/>
          <w:w w:val="105"/>
          <w:sz w:val="17"/>
        </w:rPr>
        <w:t> </w:t>
      </w:r>
      <w:r>
        <w:rPr>
          <w:rFonts w:ascii="Calibri" w:hAnsi="Calibri"/>
          <w:color w:val="231F20"/>
          <w:w w:val="105"/>
          <w:sz w:val="17"/>
        </w:rPr>
        <w:t>già</w:t>
      </w:r>
      <w:r>
        <w:rPr>
          <w:rFonts w:ascii="Calibri" w:hAnsi="Calibri"/>
          <w:color w:val="231F20"/>
          <w:spacing w:val="-26"/>
          <w:w w:val="105"/>
          <w:sz w:val="17"/>
        </w:rPr>
        <w:t> </w:t>
      </w:r>
      <w:r>
        <w:rPr>
          <w:rFonts w:ascii="Calibri" w:hAnsi="Calibri"/>
          <w:color w:val="231F20"/>
          <w:w w:val="105"/>
          <w:sz w:val="17"/>
        </w:rPr>
        <w:t>conosciuti;</w:t>
      </w:r>
      <w:r>
        <w:rPr>
          <w:rFonts w:ascii="Calibri" w:hAnsi="Calibri"/>
          <w:color w:val="231F20"/>
          <w:spacing w:val="-26"/>
          <w:w w:val="105"/>
          <w:sz w:val="17"/>
        </w:rPr>
        <w:t> </w:t>
      </w:r>
      <w:r>
        <w:rPr>
          <w:rFonts w:ascii="Calibri" w:hAnsi="Calibri"/>
          <w:color w:val="231F20"/>
          <w:w w:val="105"/>
          <w:sz w:val="17"/>
        </w:rPr>
        <w:t>perciò, non</w:t>
      </w:r>
      <w:r>
        <w:rPr>
          <w:rFonts w:ascii="Calibri" w:hAnsi="Calibri"/>
          <w:color w:val="231F20"/>
          <w:spacing w:val="-16"/>
          <w:w w:val="105"/>
          <w:sz w:val="17"/>
        </w:rPr>
        <w:t> </w:t>
      </w:r>
      <w:r>
        <w:rPr>
          <w:rFonts w:ascii="Calibri" w:hAnsi="Calibri"/>
          <w:color w:val="231F20"/>
          <w:w w:val="105"/>
          <w:sz w:val="17"/>
        </w:rPr>
        <w:t>c’è</w:t>
      </w:r>
      <w:r>
        <w:rPr>
          <w:rFonts w:ascii="Calibri" w:hAnsi="Calibri"/>
          <w:color w:val="231F20"/>
          <w:spacing w:val="-16"/>
          <w:w w:val="105"/>
          <w:sz w:val="17"/>
        </w:rPr>
        <w:t> </w:t>
      </w:r>
      <w:r>
        <w:rPr>
          <w:rFonts w:ascii="Calibri" w:hAnsi="Calibri"/>
          <w:color w:val="231F20"/>
          <w:w w:val="105"/>
          <w:sz w:val="17"/>
        </w:rPr>
        <w:t>territorializzazione</w:t>
      </w:r>
      <w:r>
        <w:rPr>
          <w:rFonts w:ascii="Calibri" w:hAnsi="Calibri"/>
          <w:color w:val="231F20"/>
          <w:spacing w:val="-16"/>
          <w:w w:val="105"/>
          <w:sz w:val="17"/>
        </w:rPr>
        <w:t> </w:t>
      </w:r>
      <w:r>
        <w:rPr>
          <w:rFonts w:ascii="Calibri" w:hAnsi="Calibri"/>
          <w:color w:val="231F20"/>
          <w:w w:val="105"/>
          <w:sz w:val="17"/>
        </w:rPr>
        <w:t>senza</w:t>
      </w:r>
      <w:r>
        <w:rPr>
          <w:rFonts w:ascii="Calibri" w:hAnsi="Calibri"/>
          <w:color w:val="231F20"/>
          <w:spacing w:val="-16"/>
          <w:w w:val="105"/>
          <w:sz w:val="17"/>
        </w:rPr>
        <w:t> </w:t>
      </w:r>
      <w:r>
        <w:rPr>
          <w:rFonts w:ascii="Calibri" w:hAnsi="Calibri"/>
          <w:color w:val="231F20"/>
          <w:w w:val="105"/>
          <w:sz w:val="17"/>
        </w:rPr>
        <w:t>una</w:t>
      </w:r>
      <w:r>
        <w:rPr>
          <w:rFonts w:ascii="Calibri" w:hAnsi="Calibri"/>
          <w:color w:val="231F20"/>
          <w:spacing w:val="-16"/>
          <w:w w:val="105"/>
          <w:sz w:val="17"/>
        </w:rPr>
        <w:t> </w:t>
      </w:r>
      <w:r>
        <w:rPr>
          <w:rFonts w:ascii="Calibri" w:hAnsi="Calibri"/>
          <w:color w:val="231F20"/>
          <w:w w:val="105"/>
          <w:sz w:val="17"/>
        </w:rPr>
        <w:t>parallela</w:t>
      </w:r>
      <w:r>
        <w:rPr>
          <w:rFonts w:ascii="Calibri" w:hAnsi="Calibri"/>
          <w:color w:val="231F20"/>
          <w:spacing w:val="-16"/>
          <w:w w:val="105"/>
          <w:sz w:val="17"/>
        </w:rPr>
        <w:t> </w:t>
      </w:r>
      <w:r>
        <w:rPr>
          <w:rFonts w:ascii="Calibri" w:hAnsi="Calibri"/>
          <w:color w:val="231F20"/>
          <w:w w:val="105"/>
          <w:sz w:val="17"/>
        </w:rPr>
        <w:t>deterritorializzazione.</w:t>
      </w:r>
      <w:r>
        <w:rPr>
          <w:rFonts w:ascii="Calibri" w:hAnsi="Calibri"/>
          <w:color w:val="231F20"/>
          <w:spacing w:val="-16"/>
          <w:w w:val="105"/>
          <w:sz w:val="17"/>
        </w:rPr>
        <w:t> </w:t>
      </w:r>
      <w:r>
        <w:rPr>
          <w:rFonts w:ascii="Calibri" w:hAnsi="Calibri"/>
          <w:color w:val="231F20"/>
          <w:w w:val="105"/>
          <w:sz w:val="17"/>
        </w:rPr>
        <w:t>In</w:t>
      </w:r>
      <w:r>
        <w:rPr>
          <w:rFonts w:ascii="Calibri" w:hAnsi="Calibri"/>
          <w:color w:val="231F20"/>
          <w:spacing w:val="-16"/>
          <w:w w:val="105"/>
          <w:sz w:val="17"/>
        </w:rPr>
        <w:t> </w:t>
      </w:r>
      <w:r>
        <w:rPr>
          <w:rFonts w:ascii="Calibri" w:hAnsi="Calibri"/>
          <w:color w:val="231F20"/>
          <w:w w:val="105"/>
          <w:sz w:val="17"/>
        </w:rPr>
        <w:t>questa</w:t>
      </w:r>
      <w:r>
        <w:rPr>
          <w:rFonts w:ascii="Calibri" w:hAnsi="Calibri"/>
          <w:color w:val="231F20"/>
          <w:spacing w:val="-16"/>
          <w:w w:val="105"/>
          <w:sz w:val="17"/>
        </w:rPr>
        <w:t> </w:t>
      </w:r>
      <w:r>
        <w:rPr>
          <w:rFonts w:ascii="Calibri" w:hAnsi="Calibri"/>
          <w:color w:val="231F20"/>
          <w:w w:val="105"/>
          <w:sz w:val="17"/>
        </w:rPr>
        <w:t>dinamica,</w:t>
      </w:r>
      <w:r>
        <w:rPr>
          <w:rFonts w:ascii="Calibri" w:hAnsi="Calibri"/>
          <w:color w:val="231F20"/>
          <w:spacing w:val="-16"/>
          <w:w w:val="105"/>
          <w:sz w:val="17"/>
        </w:rPr>
        <w:t> </w:t>
      </w:r>
      <w:r>
        <w:rPr>
          <w:rFonts w:ascii="Calibri" w:hAnsi="Calibri"/>
          <w:color w:val="231F20"/>
          <w:w w:val="105"/>
          <w:sz w:val="17"/>
        </w:rPr>
        <w:t>non</w:t>
      </w:r>
      <w:r>
        <w:rPr>
          <w:rFonts w:ascii="Calibri" w:hAnsi="Calibri"/>
          <w:color w:val="231F20"/>
          <w:spacing w:val="-16"/>
          <w:w w:val="105"/>
          <w:sz w:val="17"/>
        </w:rPr>
        <w:t> </w:t>
      </w:r>
      <w:r>
        <w:rPr>
          <w:rFonts w:ascii="Calibri" w:hAnsi="Calibri"/>
          <w:color w:val="231F20"/>
          <w:w w:val="105"/>
          <w:sz w:val="17"/>
        </w:rPr>
        <w:t>solo si</w:t>
      </w:r>
      <w:r>
        <w:rPr>
          <w:rFonts w:ascii="Calibri" w:hAnsi="Calibri"/>
          <w:color w:val="231F20"/>
          <w:spacing w:val="-5"/>
          <w:w w:val="105"/>
          <w:sz w:val="17"/>
        </w:rPr>
        <w:t> </w:t>
      </w:r>
      <w:r>
        <w:rPr>
          <w:rFonts w:ascii="Calibri" w:hAnsi="Calibri"/>
          <w:color w:val="231F20"/>
          <w:w w:val="105"/>
          <w:sz w:val="17"/>
        </w:rPr>
        <w:t>deterritorializza</w:t>
      </w:r>
      <w:r>
        <w:rPr>
          <w:rFonts w:ascii="Calibri" w:hAnsi="Calibri"/>
          <w:color w:val="231F20"/>
          <w:spacing w:val="-5"/>
          <w:w w:val="105"/>
          <w:sz w:val="17"/>
        </w:rPr>
        <w:t> </w:t>
      </w:r>
      <w:r>
        <w:rPr>
          <w:rFonts w:ascii="Calibri" w:hAnsi="Calibri"/>
          <w:color w:val="231F20"/>
          <w:w w:val="105"/>
          <w:sz w:val="17"/>
        </w:rPr>
        <w:t>la</w:t>
      </w:r>
      <w:r>
        <w:rPr>
          <w:rFonts w:ascii="Calibri" w:hAnsi="Calibri"/>
          <w:color w:val="231F20"/>
          <w:spacing w:val="-5"/>
          <w:w w:val="105"/>
          <w:sz w:val="17"/>
        </w:rPr>
        <w:t> </w:t>
      </w:r>
      <w:r>
        <w:rPr>
          <w:rFonts w:ascii="Calibri" w:hAnsi="Calibri"/>
          <w:color w:val="231F20"/>
          <w:w w:val="105"/>
          <w:sz w:val="17"/>
        </w:rPr>
        <w:t>terra,</w:t>
      </w:r>
      <w:r>
        <w:rPr>
          <w:rFonts w:ascii="Calibri" w:hAnsi="Calibri"/>
          <w:color w:val="231F20"/>
          <w:spacing w:val="-5"/>
          <w:w w:val="105"/>
          <w:sz w:val="17"/>
        </w:rPr>
        <w:t> </w:t>
      </w:r>
      <w:r>
        <w:rPr>
          <w:rFonts w:ascii="Calibri" w:hAnsi="Calibri"/>
          <w:color w:val="231F20"/>
          <w:w w:val="105"/>
          <w:sz w:val="17"/>
        </w:rPr>
        <w:t>ma</w:t>
      </w:r>
      <w:r>
        <w:rPr>
          <w:rFonts w:ascii="Calibri" w:hAnsi="Calibri"/>
          <w:color w:val="231F20"/>
          <w:spacing w:val="-5"/>
          <w:w w:val="105"/>
          <w:sz w:val="17"/>
        </w:rPr>
        <w:t> </w:t>
      </w:r>
      <w:r>
        <w:rPr>
          <w:rFonts w:ascii="Calibri" w:hAnsi="Calibri"/>
          <w:color w:val="231F20"/>
          <w:w w:val="105"/>
          <w:sz w:val="17"/>
        </w:rPr>
        <w:t>anche</w:t>
      </w:r>
      <w:r>
        <w:rPr>
          <w:rFonts w:ascii="Calibri" w:hAnsi="Calibri"/>
          <w:color w:val="231F20"/>
          <w:spacing w:val="-5"/>
          <w:w w:val="105"/>
          <w:sz w:val="17"/>
        </w:rPr>
        <w:t> </w:t>
      </w:r>
      <w:r>
        <w:rPr>
          <w:rFonts w:ascii="Calibri" w:hAnsi="Calibri"/>
          <w:color w:val="231F20"/>
          <w:w w:val="105"/>
          <w:sz w:val="17"/>
        </w:rPr>
        <w:t>altri</w:t>
      </w:r>
      <w:r>
        <w:rPr>
          <w:rFonts w:ascii="Calibri" w:hAnsi="Calibri"/>
          <w:color w:val="231F20"/>
          <w:spacing w:val="-5"/>
          <w:w w:val="105"/>
          <w:sz w:val="17"/>
        </w:rPr>
        <w:t> </w:t>
      </w:r>
      <w:r>
        <w:rPr>
          <w:rFonts w:ascii="Calibri" w:hAnsi="Calibri"/>
          <w:color w:val="231F20"/>
          <w:w w:val="105"/>
          <w:sz w:val="17"/>
        </w:rPr>
        <w:t>corpi,</w:t>
      </w:r>
      <w:r>
        <w:rPr>
          <w:rFonts w:ascii="Calibri" w:hAnsi="Calibri"/>
          <w:color w:val="231F20"/>
          <w:spacing w:val="-5"/>
          <w:w w:val="105"/>
          <w:sz w:val="17"/>
        </w:rPr>
        <w:t> </w:t>
      </w:r>
      <w:r>
        <w:rPr>
          <w:rFonts w:ascii="Calibri" w:hAnsi="Calibri"/>
          <w:color w:val="231F20"/>
          <w:w w:val="105"/>
          <w:sz w:val="17"/>
        </w:rPr>
        <w:t>altri</w:t>
      </w:r>
      <w:r>
        <w:rPr>
          <w:rFonts w:ascii="Calibri" w:hAnsi="Calibri"/>
          <w:color w:val="231F20"/>
          <w:spacing w:val="-5"/>
          <w:w w:val="105"/>
          <w:sz w:val="17"/>
        </w:rPr>
        <w:t> </w:t>
      </w:r>
      <w:r>
        <w:rPr>
          <w:rFonts w:ascii="Calibri" w:hAnsi="Calibri"/>
          <w:color w:val="231F20"/>
          <w:w w:val="105"/>
          <w:sz w:val="17"/>
        </w:rPr>
        <w:t>soggetti,</w:t>
      </w:r>
      <w:r>
        <w:rPr>
          <w:rFonts w:ascii="Calibri" w:hAnsi="Calibri"/>
          <w:color w:val="231F20"/>
          <w:spacing w:val="-5"/>
          <w:w w:val="105"/>
          <w:sz w:val="17"/>
        </w:rPr>
        <w:t> </w:t>
      </w:r>
      <w:r>
        <w:rPr>
          <w:rFonts w:ascii="Calibri" w:hAnsi="Calibri"/>
          <w:color w:val="231F20"/>
          <w:w w:val="105"/>
          <w:sz w:val="17"/>
        </w:rPr>
        <w:t>essi</w:t>
      </w:r>
      <w:r>
        <w:rPr>
          <w:rFonts w:ascii="Calibri" w:hAnsi="Calibri"/>
          <w:color w:val="231F20"/>
          <w:spacing w:val="-5"/>
          <w:w w:val="105"/>
          <w:sz w:val="17"/>
        </w:rPr>
        <w:t> </w:t>
      </w:r>
      <w:r>
        <w:rPr>
          <w:rFonts w:ascii="Calibri" w:hAnsi="Calibri"/>
          <w:color w:val="231F20"/>
          <w:w w:val="105"/>
          <w:sz w:val="17"/>
        </w:rPr>
        <w:t>anche</w:t>
      </w:r>
      <w:r>
        <w:rPr>
          <w:rFonts w:ascii="Calibri" w:hAnsi="Calibri"/>
          <w:color w:val="231F20"/>
          <w:spacing w:val="-5"/>
          <w:w w:val="105"/>
          <w:sz w:val="17"/>
        </w:rPr>
        <w:t> </w:t>
      </w:r>
      <w:r>
        <w:rPr>
          <w:rFonts w:ascii="Calibri" w:hAnsi="Calibri"/>
          <w:color w:val="231F20"/>
          <w:w w:val="105"/>
          <w:sz w:val="17"/>
        </w:rPr>
        <w:t>si</w:t>
      </w:r>
      <w:r>
        <w:rPr>
          <w:rFonts w:ascii="Calibri" w:hAnsi="Calibri"/>
          <w:color w:val="231F20"/>
          <w:spacing w:val="-5"/>
          <w:w w:val="105"/>
          <w:sz w:val="17"/>
        </w:rPr>
        <w:t> </w:t>
      </w:r>
      <w:r>
        <w:rPr>
          <w:rFonts w:ascii="Calibri" w:hAnsi="Calibri"/>
          <w:color w:val="231F20"/>
          <w:w w:val="105"/>
          <w:sz w:val="17"/>
        </w:rPr>
        <w:t>marcano,</w:t>
      </w:r>
      <w:r>
        <w:rPr>
          <w:rFonts w:ascii="Calibri" w:hAnsi="Calibri"/>
          <w:color w:val="231F20"/>
          <w:spacing w:val="-5"/>
          <w:w w:val="105"/>
          <w:sz w:val="17"/>
        </w:rPr>
        <w:t> </w:t>
      </w:r>
      <w:r>
        <w:rPr>
          <w:rFonts w:ascii="Calibri" w:hAnsi="Calibri"/>
          <w:color w:val="231F20"/>
          <w:w w:val="105"/>
          <w:sz w:val="17"/>
        </w:rPr>
        <w:t>entriamo</w:t>
      </w:r>
      <w:r>
        <w:rPr>
          <w:rFonts w:ascii="Calibri" w:hAnsi="Calibri"/>
          <w:color w:val="231F20"/>
          <w:spacing w:val="-5"/>
          <w:w w:val="105"/>
          <w:sz w:val="17"/>
        </w:rPr>
        <w:t> </w:t>
      </w:r>
      <w:r>
        <w:rPr>
          <w:rFonts w:ascii="Calibri" w:hAnsi="Calibri"/>
          <w:color w:val="231F20"/>
          <w:w w:val="105"/>
          <w:sz w:val="17"/>
        </w:rPr>
        <w:t>in simbiosi</w:t>
      </w:r>
      <w:r>
        <w:rPr>
          <w:rFonts w:ascii="Calibri" w:hAnsi="Calibri"/>
          <w:color w:val="231F20"/>
          <w:spacing w:val="-7"/>
          <w:w w:val="105"/>
          <w:sz w:val="17"/>
        </w:rPr>
        <w:t> </w:t>
      </w:r>
      <w:r>
        <w:rPr>
          <w:rFonts w:ascii="Calibri" w:hAnsi="Calibri"/>
          <w:color w:val="231F20"/>
          <w:w w:val="105"/>
          <w:sz w:val="17"/>
        </w:rPr>
        <w:t>con</w:t>
      </w:r>
      <w:r>
        <w:rPr>
          <w:rFonts w:ascii="Calibri" w:hAnsi="Calibri"/>
          <w:color w:val="231F20"/>
          <w:spacing w:val="-7"/>
          <w:w w:val="105"/>
          <w:sz w:val="17"/>
        </w:rPr>
        <w:t> </w:t>
      </w:r>
      <w:r>
        <w:rPr>
          <w:rFonts w:ascii="Calibri" w:hAnsi="Calibri"/>
          <w:color w:val="231F20"/>
          <w:w w:val="105"/>
          <w:sz w:val="17"/>
        </w:rPr>
        <w:t>loro,</w:t>
      </w:r>
      <w:r>
        <w:rPr>
          <w:rFonts w:ascii="Calibri" w:hAnsi="Calibri"/>
          <w:color w:val="231F20"/>
          <w:spacing w:val="-7"/>
          <w:w w:val="105"/>
          <w:sz w:val="17"/>
        </w:rPr>
        <w:t> </w:t>
      </w:r>
      <w:r>
        <w:rPr>
          <w:rFonts w:ascii="Calibri" w:hAnsi="Calibri"/>
          <w:color w:val="231F20"/>
          <w:w w:val="105"/>
          <w:sz w:val="17"/>
        </w:rPr>
        <w:t>facciamo</w:t>
      </w:r>
      <w:r>
        <w:rPr>
          <w:rFonts w:ascii="Calibri" w:hAnsi="Calibri"/>
          <w:color w:val="231F20"/>
          <w:spacing w:val="-7"/>
          <w:w w:val="105"/>
          <w:sz w:val="17"/>
        </w:rPr>
        <w:t> </w:t>
      </w:r>
      <w:r>
        <w:rPr>
          <w:rFonts w:ascii="Calibri" w:hAnsi="Calibri"/>
          <w:color w:val="231F20"/>
          <w:w w:val="105"/>
          <w:sz w:val="17"/>
        </w:rPr>
        <w:t>marche</w:t>
      </w:r>
      <w:r>
        <w:rPr>
          <w:rFonts w:ascii="Calibri" w:hAnsi="Calibri"/>
          <w:color w:val="231F20"/>
          <w:spacing w:val="-7"/>
          <w:w w:val="105"/>
          <w:sz w:val="17"/>
        </w:rPr>
        <w:t> </w:t>
      </w:r>
      <w:r>
        <w:rPr>
          <w:rFonts w:ascii="Calibri" w:hAnsi="Calibri"/>
          <w:color w:val="231F20"/>
          <w:w w:val="105"/>
          <w:sz w:val="17"/>
        </w:rPr>
        <w:t>e</w:t>
      </w:r>
      <w:r>
        <w:rPr>
          <w:rFonts w:ascii="Calibri" w:hAnsi="Calibri"/>
          <w:color w:val="231F20"/>
          <w:spacing w:val="-7"/>
          <w:w w:val="105"/>
          <w:sz w:val="17"/>
        </w:rPr>
        <w:t> </w:t>
      </w:r>
      <w:r>
        <w:rPr>
          <w:rFonts w:ascii="Calibri" w:hAnsi="Calibri"/>
          <w:color w:val="231F20"/>
          <w:w w:val="105"/>
          <w:sz w:val="17"/>
        </w:rPr>
        <w:t>tratti</w:t>
      </w:r>
      <w:r>
        <w:rPr>
          <w:rFonts w:ascii="Calibri" w:hAnsi="Calibri"/>
          <w:color w:val="231F20"/>
          <w:spacing w:val="-7"/>
          <w:w w:val="105"/>
          <w:sz w:val="17"/>
        </w:rPr>
        <w:t> </w:t>
      </w:r>
      <w:r>
        <w:rPr>
          <w:rFonts w:ascii="Calibri" w:hAnsi="Calibri"/>
          <w:color w:val="231F20"/>
          <w:w w:val="105"/>
          <w:sz w:val="17"/>
        </w:rPr>
        <w:t>su</w:t>
      </w:r>
      <w:r>
        <w:rPr>
          <w:rFonts w:ascii="Calibri" w:hAnsi="Calibri"/>
          <w:color w:val="231F20"/>
          <w:spacing w:val="-7"/>
          <w:w w:val="105"/>
          <w:sz w:val="17"/>
        </w:rPr>
        <w:t> </w:t>
      </w:r>
      <w:r>
        <w:rPr>
          <w:rFonts w:ascii="Calibri" w:hAnsi="Calibri"/>
          <w:color w:val="231F20"/>
          <w:w w:val="105"/>
          <w:sz w:val="17"/>
        </w:rPr>
        <w:t>di</w:t>
      </w:r>
      <w:r>
        <w:rPr>
          <w:rFonts w:ascii="Calibri" w:hAnsi="Calibri"/>
          <w:color w:val="231F20"/>
          <w:spacing w:val="-7"/>
          <w:w w:val="105"/>
          <w:sz w:val="17"/>
        </w:rPr>
        <w:t> </w:t>
      </w:r>
      <w:r>
        <w:rPr>
          <w:rFonts w:ascii="Calibri" w:hAnsi="Calibri"/>
          <w:color w:val="231F20"/>
          <w:w w:val="105"/>
          <w:sz w:val="17"/>
        </w:rPr>
        <w:t>loro,</w:t>
      </w:r>
      <w:r>
        <w:rPr>
          <w:rFonts w:ascii="Calibri" w:hAnsi="Calibri"/>
          <w:color w:val="231F20"/>
          <w:spacing w:val="-7"/>
          <w:w w:val="105"/>
          <w:sz w:val="17"/>
        </w:rPr>
        <w:t> </w:t>
      </w:r>
      <w:r>
        <w:rPr>
          <w:rFonts w:ascii="Calibri" w:hAnsi="Calibri"/>
          <w:color w:val="231F20"/>
          <w:w w:val="105"/>
          <w:sz w:val="17"/>
        </w:rPr>
        <w:t>gli</w:t>
      </w:r>
      <w:r>
        <w:rPr>
          <w:rFonts w:ascii="Calibri" w:hAnsi="Calibri"/>
          <w:color w:val="231F20"/>
          <w:spacing w:val="-7"/>
          <w:w w:val="105"/>
          <w:sz w:val="17"/>
        </w:rPr>
        <w:t> </w:t>
      </w:r>
      <w:r>
        <w:rPr>
          <w:rFonts w:ascii="Calibri" w:hAnsi="Calibri"/>
          <w:color w:val="231F20"/>
          <w:w w:val="105"/>
          <w:sz w:val="17"/>
        </w:rPr>
        <w:t>organizziamo</w:t>
      </w:r>
      <w:r>
        <w:rPr>
          <w:rFonts w:ascii="Calibri" w:hAnsi="Calibri"/>
          <w:color w:val="231F20"/>
          <w:spacing w:val="-7"/>
          <w:w w:val="105"/>
          <w:sz w:val="17"/>
        </w:rPr>
        <w:t> </w:t>
      </w:r>
      <w:r>
        <w:rPr>
          <w:rFonts w:ascii="Calibri" w:hAnsi="Calibri"/>
          <w:color w:val="231F20"/>
          <w:w w:val="105"/>
          <w:sz w:val="17"/>
        </w:rPr>
        <w:t>e</w:t>
      </w:r>
      <w:r>
        <w:rPr>
          <w:rFonts w:ascii="Calibri" w:hAnsi="Calibri"/>
          <w:color w:val="231F20"/>
          <w:spacing w:val="-7"/>
          <w:w w:val="105"/>
          <w:sz w:val="17"/>
        </w:rPr>
        <w:t> </w:t>
      </w:r>
      <w:r>
        <w:rPr>
          <w:rFonts w:ascii="Calibri" w:hAnsi="Calibri"/>
          <w:color w:val="231F20"/>
          <w:w w:val="105"/>
          <w:sz w:val="17"/>
        </w:rPr>
        <w:t>disorganizziamo</w:t>
      </w:r>
      <w:r>
        <w:rPr>
          <w:rFonts w:ascii="Calibri" w:hAnsi="Calibri"/>
          <w:color w:val="231F20"/>
          <w:spacing w:val="-7"/>
          <w:w w:val="105"/>
          <w:sz w:val="17"/>
        </w:rPr>
        <w:t> </w:t>
      </w:r>
      <w:r>
        <w:rPr>
          <w:rFonts w:ascii="Calibri" w:hAnsi="Calibri"/>
          <w:color w:val="231F20"/>
          <w:w w:val="105"/>
          <w:sz w:val="17"/>
        </w:rPr>
        <w:t>in</w:t>
      </w:r>
      <w:r>
        <w:rPr>
          <w:rFonts w:ascii="Calibri" w:hAnsi="Calibri"/>
          <w:color w:val="231F20"/>
          <w:spacing w:val="-7"/>
          <w:w w:val="105"/>
          <w:sz w:val="17"/>
        </w:rPr>
        <w:t> </w:t>
      </w:r>
      <w:r>
        <w:rPr>
          <w:rFonts w:ascii="Calibri" w:hAnsi="Calibri"/>
          <w:color w:val="231F20"/>
          <w:w w:val="105"/>
          <w:sz w:val="17"/>
        </w:rPr>
        <w:t>certo modo,</w:t>
      </w:r>
      <w:r>
        <w:rPr>
          <w:rFonts w:ascii="Calibri" w:hAnsi="Calibri"/>
          <w:color w:val="231F20"/>
          <w:spacing w:val="-16"/>
          <w:w w:val="105"/>
          <w:sz w:val="17"/>
        </w:rPr>
        <w:t> </w:t>
      </w:r>
      <w:r>
        <w:rPr>
          <w:rFonts w:ascii="Calibri" w:hAnsi="Calibri"/>
          <w:color w:val="231F20"/>
          <w:w w:val="105"/>
          <w:sz w:val="17"/>
        </w:rPr>
        <w:t>nella</w:t>
      </w:r>
      <w:r>
        <w:rPr>
          <w:rFonts w:ascii="Calibri" w:hAnsi="Calibri"/>
          <w:color w:val="231F20"/>
          <w:spacing w:val="-16"/>
          <w:w w:val="105"/>
          <w:sz w:val="17"/>
        </w:rPr>
        <w:t> </w:t>
      </w:r>
      <w:r>
        <w:rPr>
          <w:rFonts w:ascii="Calibri" w:hAnsi="Calibri"/>
          <w:color w:val="231F20"/>
          <w:w w:val="105"/>
          <w:sz w:val="17"/>
        </w:rPr>
        <w:t>stessa</w:t>
      </w:r>
      <w:r>
        <w:rPr>
          <w:rFonts w:ascii="Calibri" w:hAnsi="Calibri"/>
          <w:color w:val="231F20"/>
          <w:spacing w:val="-16"/>
          <w:w w:val="105"/>
          <w:sz w:val="17"/>
        </w:rPr>
        <w:t> </w:t>
      </w:r>
      <w:r>
        <w:rPr>
          <w:rFonts w:ascii="Calibri" w:hAnsi="Calibri"/>
          <w:color w:val="231F20"/>
          <w:w w:val="105"/>
          <w:sz w:val="17"/>
        </w:rPr>
        <w:t>maniera</w:t>
      </w:r>
      <w:r>
        <w:rPr>
          <w:rFonts w:ascii="Calibri" w:hAnsi="Calibri"/>
          <w:color w:val="231F20"/>
          <w:spacing w:val="-16"/>
          <w:w w:val="105"/>
          <w:sz w:val="17"/>
        </w:rPr>
        <w:t> </w:t>
      </w:r>
      <w:r>
        <w:rPr>
          <w:rFonts w:ascii="Calibri" w:hAnsi="Calibri"/>
          <w:color w:val="231F20"/>
          <w:w w:val="105"/>
          <w:sz w:val="17"/>
        </w:rPr>
        <w:t>che</w:t>
      </w:r>
      <w:r>
        <w:rPr>
          <w:rFonts w:ascii="Calibri" w:hAnsi="Calibri"/>
          <w:color w:val="231F20"/>
          <w:spacing w:val="-16"/>
          <w:w w:val="105"/>
          <w:sz w:val="17"/>
        </w:rPr>
        <w:t> </w:t>
      </w:r>
      <w:r>
        <w:rPr>
          <w:rFonts w:ascii="Calibri" w:hAnsi="Calibri"/>
          <w:color w:val="231F20"/>
          <w:w w:val="105"/>
          <w:sz w:val="17"/>
        </w:rPr>
        <w:t>cerchiamo</w:t>
      </w:r>
      <w:r>
        <w:rPr>
          <w:rFonts w:ascii="Calibri" w:hAnsi="Calibri"/>
          <w:color w:val="231F20"/>
          <w:spacing w:val="-16"/>
          <w:w w:val="105"/>
          <w:sz w:val="17"/>
        </w:rPr>
        <w:t> </w:t>
      </w:r>
      <w:r>
        <w:rPr>
          <w:rFonts w:ascii="Calibri" w:hAnsi="Calibri"/>
          <w:color w:val="231F20"/>
          <w:w w:val="105"/>
          <w:sz w:val="17"/>
        </w:rPr>
        <w:t>di</w:t>
      </w:r>
      <w:r>
        <w:rPr>
          <w:rFonts w:ascii="Calibri" w:hAnsi="Calibri"/>
          <w:color w:val="231F20"/>
          <w:spacing w:val="-16"/>
          <w:w w:val="105"/>
          <w:sz w:val="17"/>
        </w:rPr>
        <w:t> </w:t>
      </w:r>
      <w:r>
        <w:rPr>
          <w:rFonts w:ascii="Calibri" w:hAnsi="Calibri"/>
          <w:color w:val="231F20"/>
          <w:w w:val="105"/>
          <w:sz w:val="17"/>
        </w:rPr>
        <w:t>far</w:t>
      </w:r>
      <w:r>
        <w:rPr>
          <w:rFonts w:ascii="Calibri" w:hAnsi="Calibri"/>
          <w:color w:val="231F20"/>
          <w:spacing w:val="-16"/>
          <w:w w:val="105"/>
          <w:sz w:val="17"/>
        </w:rPr>
        <w:t> </w:t>
      </w:r>
      <w:r>
        <w:rPr>
          <w:rFonts w:ascii="Calibri" w:hAnsi="Calibri"/>
          <w:color w:val="231F20"/>
          <w:w w:val="105"/>
          <w:sz w:val="17"/>
        </w:rPr>
        <w:t>diventare</w:t>
      </w:r>
      <w:r>
        <w:rPr>
          <w:rFonts w:ascii="Calibri" w:hAnsi="Calibri"/>
          <w:color w:val="231F20"/>
          <w:spacing w:val="-16"/>
          <w:w w:val="105"/>
          <w:sz w:val="17"/>
        </w:rPr>
        <w:t> </w:t>
      </w:r>
      <w:r>
        <w:rPr>
          <w:rFonts w:ascii="Calibri" w:hAnsi="Calibri"/>
          <w:color w:val="231F20"/>
          <w:w w:val="105"/>
          <w:sz w:val="17"/>
        </w:rPr>
        <w:t>familiare</w:t>
      </w:r>
      <w:r>
        <w:rPr>
          <w:rFonts w:ascii="Calibri" w:hAnsi="Calibri"/>
          <w:color w:val="231F20"/>
          <w:spacing w:val="-16"/>
          <w:w w:val="105"/>
          <w:sz w:val="17"/>
        </w:rPr>
        <w:t> </w:t>
      </w:r>
      <w:r>
        <w:rPr>
          <w:rFonts w:ascii="Calibri" w:hAnsi="Calibri"/>
          <w:color w:val="231F20"/>
          <w:w w:val="105"/>
          <w:sz w:val="17"/>
        </w:rPr>
        <w:t>un</w:t>
      </w:r>
      <w:r>
        <w:rPr>
          <w:rFonts w:ascii="Calibri" w:hAnsi="Calibri"/>
          <w:color w:val="231F20"/>
          <w:spacing w:val="-16"/>
          <w:w w:val="105"/>
          <w:sz w:val="17"/>
        </w:rPr>
        <w:t> </w:t>
      </w:r>
      <w:r>
        <w:rPr>
          <w:rFonts w:ascii="Calibri" w:hAnsi="Calibri"/>
          <w:color w:val="231F20"/>
          <w:w w:val="105"/>
          <w:sz w:val="17"/>
        </w:rPr>
        <w:t>territorio.</w:t>
      </w:r>
    </w:p>
    <w:p>
      <w:pPr>
        <w:spacing w:line="206" w:lineRule="exact" w:before="1"/>
        <w:ind w:left="103" w:right="0" w:firstLine="0"/>
        <w:jc w:val="both"/>
        <w:rPr>
          <w:rFonts w:ascii="Calibri"/>
          <w:sz w:val="17"/>
        </w:rPr>
      </w:pPr>
      <w:r>
        <w:rPr>
          <w:rFonts w:ascii="Calibri"/>
          <w:color w:val="231F20"/>
          <w:position w:val="6"/>
          <w:sz w:val="10"/>
        </w:rPr>
        <w:t>37 </w:t>
      </w:r>
      <w:r>
        <w:rPr>
          <w:rFonts w:ascii="Calibri"/>
          <w:color w:val="231F20"/>
          <w:sz w:val="17"/>
        </w:rPr>
        <w:t>Deleuze y Guattari, </w:t>
      </w:r>
      <w:r>
        <w:rPr>
          <w:rFonts w:ascii="Calibri"/>
          <w:i/>
          <w:color w:val="231F20"/>
          <w:sz w:val="17"/>
        </w:rPr>
        <w:t>Mille plateaux</w:t>
      </w:r>
      <w:r>
        <w:rPr>
          <w:rFonts w:ascii="Calibri"/>
          <w:color w:val="231F20"/>
          <w:sz w:val="17"/>
        </w:rPr>
        <w:t>, p. 179.</w:t>
      </w:r>
    </w:p>
    <w:p>
      <w:pPr>
        <w:spacing w:line="235" w:lineRule="auto" w:before="1"/>
        <w:ind w:left="103" w:right="115" w:firstLine="0"/>
        <w:jc w:val="both"/>
        <w:rPr>
          <w:rFonts w:ascii="Calibri" w:hAnsi="Calibri"/>
          <w:sz w:val="17"/>
        </w:rPr>
      </w:pPr>
      <w:r>
        <w:rPr>
          <w:rFonts w:ascii="Calibri" w:hAnsi="Calibri"/>
          <w:color w:val="231F20"/>
          <w:position w:val="6"/>
          <w:sz w:val="10"/>
        </w:rPr>
        <w:t>38 </w:t>
      </w:r>
      <w:r>
        <w:rPr>
          <w:rFonts w:ascii="Calibri" w:hAnsi="Calibri"/>
          <w:color w:val="231F20"/>
          <w:sz w:val="17"/>
        </w:rPr>
        <w:t>D’accordo con Imre Lakatos, le ipotesi </w:t>
      </w:r>
      <w:r>
        <w:rPr>
          <w:rFonts w:ascii="Calibri" w:hAnsi="Calibri"/>
          <w:i/>
          <w:color w:val="231F20"/>
          <w:sz w:val="17"/>
        </w:rPr>
        <w:t>ad hoc </w:t>
      </w:r>
      <w:r>
        <w:rPr>
          <w:rFonts w:ascii="Calibri" w:hAnsi="Calibri"/>
          <w:color w:val="231F20"/>
          <w:sz w:val="17"/>
        </w:rPr>
        <w:t>sono quelle che possono introdursi espressamente per evitare che una teoria sia falsificata oppure per aggiustare in modo più coerente la teoria con i fatti. </w:t>
      </w:r>
      <w:r>
        <w:rPr>
          <w:rFonts w:ascii="Calibri" w:hAnsi="Calibri"/>
          <w:i/>
          <w:color w:val="231F20"/>
          <w:sz w:val="17"/>
        </w:rPr>
        <w:t>Cfr</w:t>
      </w:r>
      <w:r>
        <w:rPr>
          <w:rFonts w:ascii="Calibri" w:hAnsi="Calibri"/>
          <w:color w:val="231F20"/>
          <w:sz w:val="17"/>
        </w:rPr>
        <w:t>. </w:t>
      </w:r>
      <w:r>
        <w:rPr>
          <w:rFonts w:ascii="Calibri" w:hAnsi="Calibri"/>
          <w:i/>
          <w:color w:val="231F20"/>
          <w:sz w:val="17"/>
        </w:rPr>
        <w:t>Escritos filosóficos I. Los programas de investigación científica</w:t>
      </w:r>
      <w:r>
        <w:rPr>
          <w:rFonts w:ascii="Calibri" w:hAnsi="Calibri"/>
          <w:color w:val="231F20"/>
          <w:sz w:val="17"/>
        </w:rPr>
        <w:t>, Madrid: Alianza, 2007.</w:t>
      </w:r>
    </w:p>
    <w:p>
      <w:pPr>
        <w:pStyle w:val="BodyText"/>
        <w:rPr>
          <w:rFonts w:ascii="Calibri"/>
          <w:sz w:val="20"/>
        </w:rPr>
      </w:pPr>
    </w:p>
    <w:p>
      <w:pPr>
        <w:pStyle w:val="BodyText"/>
        <w:spacing w:before="10"/>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3648"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76</w:t>
        <w:tab/>
      </w:r>
      <w:r>
        <w:rPr>
          <w:rFonts w:ascii="Calibri" w:hAnsi="Calibri"/>
          <w:color w:val="6D6E71"/>
          <w:w w:val="105"/>
          <w:sz w:val="16"/>
        </w:rPr>
        <w:t>María</w:t>
      </w:r>
      <w:r>
        <w:rPr>
          <w:rFonts w:ascii="Calibri" w:hAnsi="Calibri"/>
          <w:color w:val="6D6E71"/>
          <w:spacing w:val="-19"/>
          <w:w w:val="105"/>
          <w:sz w:val="16"/>
        </w:rPr>
        <w:t> </w:t>
      </w:r>
      <w:r>
        <w:rPr>
          <w:rFonts w:ascii="Calibri" w:hAnsi="Calibri"/>
          <w:color w:val="6D6E71"/>
          <w:w w:val="105"/>
          <w:sz w:val="16"/>
        </w:rPr>
        <w:t>Luisa</w:t>
      </w:r>
      <w:r>
        <w:rPr>
          <w:rFonts w:ascii="Calibri" w:hAnsi="Calibri"/>
          <w:color w:val="6D6E71"/>
          <w:spacing w:val="-19"/>
          <w:w w:val="105"/>
          <w:sz w:val="16"/>
        </w:rPr>
        <w:t> </w:t>
      </w:r>
      <w:r>
        <w:rPr>
          <w:rFonts w:ascii="Calibri" w:hAnsi="Calibri"/>
          <w:color w:val="6D6E71"/>
          <w:w w:val="105"/>
          <w:sz w:val="16"/>
        </w:rPr>
        <w:t>Bacarlett</w:t>
      </w:r>
      <w:r>
        <w:rPr>
          <w:rFonts w:ascii="Calibri" w:hAnsi="Calibri"/>
          <w:color w:val="6D6E71"/>
          <w:spacing w:val="-19"/>
          <w:w w:val="105"/>
          <w:sz w:val="16"/>
        </w:rPr>
        <w:t> </w:t>
      </w:r>
      <w:r>
        <w:rPr>
          <w:rFonts w:ascii="Calibri" w:hAnsi="Calibri"/>
          <w:color w:val="6D6E71"/>
          <w:w w:val="105"/>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717" w:right="0" w:firstLine="0"/>
        <w:jc w:val="left"/>
        <w:rPr>
          <w:rFonts w:ascii="Trebuchet MS"/>
          <w:sz w:val="20"/>
        </w:rPr>
      </w:pPr>
      <w:r>
        <w:rPr/>
        <w:pict>
          <v:group style="position:absolute;margin-left:383.821014pt;margin-top:-25.479271pt;width:8.65pt;height:41pt;mso-position-horizontal-relative:page;mso-position-vertical-relative:paragraph;z-index:-16360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color w:val="6D6E71"/>
          <w:w w:val="95"/>
          <w:sz w:val="14"/>
        </w:rPr>
        <w:t>NATURALIZZARE</w:t>
      </w:r>
      <w:r>
        <w:rPr>
          <w:rFonts w:ascii="Lucida Sans Unicode"/>
          <w:color w:val="6D6E71"/>
          <w:spacing w:val="-18"/>
          <w:w w:val="95"/>
          <w:sz w:val="14"/>
        </w:rPr>
        <w:t> </w:t>
      </w:r>
      <w:r>
        <w:rPr>
          <w:rFonts w:ascii="Lucida Sans Unicode"/>
          <w:color w:val="6D6E71"/>
          <w:w w:val="95"/>
          <w:sz w:val="14"/>
        </w:rPr>
        <w:t>I</w:t>
      </w:r>
      <w:r>
        <w:rPr>
          <w:rFonts w:ascii="Lucida Sans Unicode"/>
          <w:color w:val="6D6E71"/>
          <w:spacing w:val="-18"/>
          <w:w w:val="95"/>
          <w:sz w:val="14"/>
        </w:rPr>
        <w:t> </w:t>
      </w:r>
      <w:r>
        <w:rPr>
          <w:rFonts w:ascii="Lucida Sans Unicode"/>
          <w:color w:val="6D6E71"/>
          <w:w w:val="95"/>
          <w:sz w:val="14"/>
        </w:rPr>
        <w:t>PARADOSSI:</w:t>
      </w:r>
      <w:r>
        <w:rPr>
          <w:rFonts w:ascii="Lucida Sans Unicode"/>
          <w:color w:val="6D6E71"/>
          <w:spacing w:val="-18"/>
          <w:w w:val="95"/>
          <w:sz w:val="14"/>
        </w:rPr>
        <w:t> </w:t>
      </w:r>
      <w:r>
        <w:rPr>
          <w:rFonts w:ascii="Lucida Sans Unicode"/>
          <w:color w:val="6D6E71"/>
          <w:w w:val="95"/>
          <w:sz w:val="14"/>
        </w:rPr>
        <w:t>UN</w:t>
      </w:r>
      <w:r>
        <w:rPr>
          <w:rFonts w:ascii="Lucida Sans Unicode"/>
          <w:color w:val="6D6E71"/>
          <w:spacing w:val="-18"/>
          <w:w w:val="95"/>
          <w:sz w:val="14"/>
        </w:rPr>
        <w:t> </w:t>
      </w:r>
      <w:r>
        <w:rPr>
          <w:rFonts w:ascii="Lucida Sans Unicode"/>
          <w:color w:val="6D6E71"/>
          <w:w w:val="95"/>
          <w:sz w:val="14"/>
        </w:rPr>
        <w:t>APPROCCIO</w:t>
      </w:r>
      <w:r>
        <w:rPr>
          <w:rFonts w:ascii="Lucida Sans Unicode"/>
          <w:color w:val="6D6E71"/>
          <w:spacing w:val="-18"/>
          <w:w w:val="95"/>
          <w:sz w:val="14"/>
        </w:rPr>
        <w:t> </w:t>
      </w:r>
      <w:r>
        <w:rPr>
          <w:rFonts w:ascii="Lucida Sans Unicode"/>
          <w:color w:val="6D6E71"/>
          <w:w w:val="95"/>
          <w:sz w:val="14"/>
        </w:rPr>
        <w:t>ALLA</w:t>
      </w:r>
      <w:r>
        <w:rPr>
          <w:rFonts w:ascii="Lucida Sans Unicode"/>
          <w:color w:val="6D6E71"/>
          <w:spacing w:val="-18"/>
          <w:w w:val="95"/>
          <w:sz w:val="14"/>
        </w:rPr>
        <w:t> </w:t>
      </w:r>
      <w:r>
        <w:rPr>
          <w:rFonts w:ascii="Lucida Sans Unicode"/>
          <w:color w:val="6D6E71"/>
          <w:w w:val="95"/>
          <w:sz w:val="14"/>
        </w:rPr>
        <w:t>GLOBALIZZAZIONE</w:t>
      </w:r>
      <w:r>
        <w:rPr>
          <w:rFonts w:ascii="Lucida Sans Unicode"/>
          <w:color w:val="6D6E71"/>
          <w:spacing w:val="-18"/>
          <w:w w:val="95"/>
          <w:sz w:val="14"/>
        </w:rPr>
        <w:t> </w:t>
      </w:r>
      <w:r>
        <w:rPr>
          <w:rFonts w:ascii="Lucida Sans Unicode"/>
          <w:color w:val="6D6E71"/>
          <w:w w:val="95"/>
          <w:sz w:val="14"/>
        </w:rPr>
        <w:t>DA</w:t>
      </w:r>
      <w:r>
        <w:rPr>
          <w:rFonts w:ascii="Lucida Sans Unicode"/>
          <w:color w:val="6D6E71"/>
          <w:spacing w:val="-18"/>
          <w:w w:val="95"/>
          <w:sz w:val="14"/>
        </w:rPr>
        <w:t> </w:t>
      </w:r>
      <w:r>
        <w:rPr>
          <w:rFonts w:ascii="Lucida Sans Unicode"/>
          <w:color w:val="6D6E71"/>
          <w:w w:val="95"/>
          <w:sz w:val="14"/>
        </w:rPr>
        <w:t>GILLES</w:t>
      </w:r>
      <w:r>
        <w:rPr>
          <w:rFonts w:ascii="Lucida Sans Unicode"/>
          <w:color w:val="6D6E71"/>
          <w:spacing w:val="-18"/>
          <w:w w:val="95"/>
          <w:sz w:val="14"/>
        </w:rPr>
        <w:t> </w:t>
      </w:r>
      <w:r>
        <w:rPr>
          <w:rFonts w:ascii="Lucida Sans Unicode"/>
          <w:color w:val="6D6E71"/>
          <w:w w:val="95"/>
          <w:sz w:val="14"/>
        </w:rPr>
        <w:t>DELEUZE</w:t>
      </w:r>
      <w:r>
        <w:rPr>
          <w:rFonts w:ascii="Trebuchet MS"/>
          <w:color w:val="414042"/>
          <w:w w:val="95"/>
          <w:position w:val="-3"/>
          <w:sz w:val="20"/>
        </w:rPr>
        <w:tab/>
        <w:t>77</w:t>
      </w:r>
    </w:p>
    <w:p>
      <w:pPr>
        <w:pStyle w:val="BodyText"/>
        <w:rPr>
          <w:rFonts w:ascii="Trebuchet MS"/>
          <w:sz w:val="20"/>
        </w:rPr>
      </w:pPr>
    </w:p>
    <w:p>
      <w:pPr>
        <w:pStyle w:val="BodyText"/>
        <w:rPr>
          <w:rFonts w:ascii="Trebuchet MS"/>
          <w:sz w:val="20"/>
        </w:rPr>
      </w:pPr>
    </w:p>
    <w:p>
      <w:pPr>
        <w:pStyle w:val="BodyText"/>
        <w:spacing w:line="247" w:lineRule="auto" w:before="156"/>
        <w:ind w:left="117" w:right="120"/>
        <w:jc w:val="both"/>
      </w:pPr>
      <w:r>
        <w:rPr>
          <w:color w:val="231F20"/>
        </w:rPr>
        <w:t>agisce in modo simile: manca di fondamenti e di principi permanenti, si </w:t>
      </w:r>
      <w:r>
        <w:rPr>
          <w:color w:val="231F20"/>
          <w:spacing w:val="-4"/>
        </w:rPr>
        <w:t>sostenta</w:t>
      </w:r>
      <w:r>
        <w:rPr>
          <w:color w:val="231F20"/>
          <w:spacing w:val="-13"/>
        </w:rPr>
        <w:t> </w:t>
      </w:r>
      <w:r>
        <w:rPr>
          <w:color w:val="231F20"/>
          <w:spacing w:val="-4"/>
        </w:rPr>
        <w:t>piuttosto</w:t>
      </w:r>
      <w:r>
        <w:rPr>
          <w:color w:val="231F20"/>
          <w:spacing w:val="-13"/>
        </w:rPr>
        <w:t> </w:t>
      </w:r>
      <w:r>
        <w:rPr>
          <w:color w:val="231F20"/>
        </w:rPr>
        <w:t>in</w:t>
      </w:r>
      <w:r>
        <w:rPr>
          <w:color w:val="231F20"/>
          <w:spacing w:val="-13"/>
        </w:rPr>
        <w:t> </w:t>
      </w:r>
      <w:r>
        <w:rPr>
          <w:color w:val="231F20"/>
        </w:rPr>
        <w:t>un</w:t>
      </w:r>
      <w:r>
        <w:rPr>
          <w:color w:val="231F20"/>
          <w:spacing w:val="-13"/>
        </w:rPr>
        <w:t> </w:t>
      </w:r>
      <w:r>
        <w:rPr>
          <w:color w:val="231F20"/>
          <w:spacing w:val="-4"/>
        </w:rPr>
        <w:t>insieme</w:t>
      </w:r>
      <w:r>
        <w:rPr>
          <w:color w:val="231F20"/>
          <w:spacing w:val="-13"/>
        </w:rPr>
        <w:t> </w:t>
      </w:r>
      <w:r>
        <w:rPr>
          <w:color w:val="231F20"/>
        </w:rPr>
        <w:t>di</w:t>
      </w:r>
      <w:r>
        <w:rPr>
          <w:color w:val="231F20"/>
          <w:spacing w:val="-13"/>
        </w:rPr>
        <w:t> </w:t>
      </w:r>
      <w:r>
        <w:rPr>
          <w:color w:val="231F20"/>
          <w:spacing w:val="-4"/>
        </w:rPr>
        <w:t>assiomi</w:t>
      </w:r>
      <w:r>
        <w:rPr>
          <w:color w:val="231F20"/>
          <w:spacing w:val="-13"/>
        </w:rPr>
        <w:t> </w:t>
      </w:r>
      <w:r>
        <w:rPr>
          <w:color w:val="231F20"/>
          <w:spacing w:val="-3"/>
        </w:rPr>
        <w:t>che</w:t>
      </w:r>
      <w:r>
        <w:rPr>
          <w:color w:val="231F20"/>
          <w:spacing w:val="-13"/>
        </w:rPr>
        <w:t> </w:t>
      </w:r>
      <w:r>
        <w:rPr>
          <w:color w:val="231F20"/>
          <w:spacing w:val="-3"/>
        </w:rPr>
        <w:t>sono</w:t>
      </w:r>
      <w:r>
        <w:rPr>
          <w:color w:val="231F20"/>
          <w:spacing w:val="-13"/>
        </w:rPr>
        <w:t> </w:t>
      </w:r>
      <w:r>
        <w:rPr>
          <w:color w:val="231F20"/>
          <w:spacing w:val="-4"/>
        </w:rPr>
        <w:t>modificabili</w:t>
      </w:r>
      <w:r>
        <w:rPr>
          <w:color w:val="231F20"/>
          <w:spacing w:val="-13"/>
        </w:rPr>
        <w:t> </w:t>
      </w:r>
      <w:r>
        <w:rPr>
          <w:color w:val="231F20"/>
        </w:rPr>
        <w:t>e</w:t>
      </w:r>
      <w:r>
        <w:rPr>
          <w:color w:val="231F20"/>
          <w:spacing w:val="-13"/>
        </w:rPr>
        <w:t> </w:t>
      </w:r>
      <w:r>
        <w:rPr>
          <w:color w:val="231F20"/>
          <w:spacing w:val="-4"/>
        </w:rPr>
        <w:t>aggiustabili secondo</w:t>
      </w:r>
      <w:r>
        <w:rPr>
          <w:color w:val="231F20"/>
          <w:spacing w:val="-22"/>
        </w:rPr>
        <w:t> </w:t>
      </w:r>
      <w:r>
        <w:rPr>
          <w:color w:val="231F20"/>
        </w:rPr>
        <w:t>lo</w:t>
      </w:r>
      <w:r>
        <w:rPr>
          <w:color w:val="231F20"/>
          <w:spacing w:val="-22"/>
        </w:rPr>
        <w:t> </w:t>
      </w:r>
      <w:r>
        <w:rPr>
          <w:color w:val="231F20"/>
          <w:spacing w:val="-4"/>
        </w:rPr>
        <w:t>scenario,</w:t>
      </w:r>
      <w:r>
        <w:rPr>
          <w:color w:val="231F20"/>
          <w:spacing w:val="-22"/>
        </w:rPr>
        <w:t> </w:t>
      </w:r>
      <w:r>
        <w:rPr>
          <w:color w:val="231F20"/>
          <w:spacing w:val="-4"/>
        </w:rPr>
        <w:t>l’importante</w:t>
      </w:r>
      <w:r>
        <w:rPr>
          <w:color w:val="231F20"/>
          <w:spacing w:val="-22"/>
        </w:rPr>
        <w:t> </w:t>
      </w:r>
      <w:r>
        <w:rPr>
          <w:color w:val="231F20"/>
        </w:rPr>
        <w:t>è</w:t>
      </w:r>
      <w:r>
        <w:rPr>
          <w:color w:val="231F20"/>
          <w:spacing w:val="-22"/>
        </w:rPr>
        <w:t> </w:t>
      </w:r>
      <w:r>
        <w:rPr>
          <w:color w:val="231F20"/>
          <w:spacing w:val="-3"/>
        </w:rPr>
        <w:t>che</w:t>
      </w:r>
      <w:r>
        <w:rPr>
          <w:color w:val="231F20"/>
          <w:spacing w:val="-22"/>
        </w:rPr>
        <w:t> </w:t>
      </w:r>
      <w:r>
        <w:rPr>
          <w:color w:val="231F20"/>
        </w:rPr>
        <w:t>la</w:t>
      </w:r>
      <w:r>
        <w:rPr>
          <w:color w:val="231F20"/>
          <w:spacing w:val="-22"/>
        </w:rPr>
        <w:t> </w:t>
      </w:r>
      <w:r>
        <w:rPr>
          <w:color w:val="231F20"/>
          <w:spacing w:val="-4"/>
        </w:rPr>
        <w:t>situazione</w:t>
      </w:r>
      <w:r>
        <w:rPr>
          <w:color w:val="231F20"/>
          <w:spacing w:val="-22"/>
        </w:rPr>
        <w:t> </w:t>
      </w:r>
      <w:r>
        <w:rPr>
          <w:color w:val="231F20"/>
          <w:spacing w:val="-3"/>
        </w:rPr>
        <w:t>non</w:t>
      </w:r>
      <w:r>
        <w:rPr>
          <w:color w:val="231F20"/>
          <w:spacing w:val="-22"/>
        </w:rPr>
        <w:t> </w:t>
      </w:r>
      <w:r>
        <w:rPr>
          <w:rFonts w:ascii="Arial" w:hAnsi="Arial"/>
          <w:i/>
          <w:color w:val="231F20"/>
          <w:spacing w:val="-4"/>
        </w:rPr>
        <w:t>diventi</w:t>
      </w:r>
      <w:r>
        <w:rPr>
          <w:rFonts w:ascii="Arial" w:hAnsi="Arial"/>
          <w:i/>
          <w:color w:val="231F20"/>
          <w:spacing w:val="-14"/>
        </w:rPr>
        <w:t> </w:t>
      </w:r>
      <w:r>
        <w:rPr>
          <w:rFonts w:ascii="Arial" w:hAnsi="Arial"/>
          <w:i/>
          <w:color w:val="231F20"/>
          <w:spacing w:val="-4"/>
        </w:rPr>
        <w:t>pazza</w:t>
      </w:r>
      <w:r>
        <w:rPr>
          <w:color w:val="231F20"/>
          <w:spacing w:val="-4"/>
        </w:rPr>
        <w:t>,</w:t>
      </w:r>
      <w:r>
        <w:rPr>
          <w:color w:val="231F20"/>
          <w:spacing w:val="-22"/>
        </w:rPr>
        <w:t> </w:t>
      </w:r>
      <w:r>
        <w:rPr>
          <w:color w:val="231F20"/>
        </w:rPr>
        <w:t>ma</w:t>
      </w:r>
      <w:r>
        <w:rPr>
          <w:color w:val="231F20"/>
          <w:spacing w:val="-22"/>
        </w:rPr>
        <w:t> </w:t>
      </w:r>
      <w:r>
        <w:rPr>
          <w:color w:val="231F20"/>
          <w:spacing w:val="-4"/>
        </w:rPr>
        <w:t>che </w:t>
      </w:r>
      <w:r>
        <w:rPr>
          <w:color w:val="231F20"/>
        </w:rPr>
        <w:t>possa essere capita prima o poi dentro dell’ordine. Ora, per mettere</w:t>
      </w:r>
      <w:r>
        <w:rPr>
          <w:color w:val="231F20"/>
          <w:spacing w:val="-28"/>
        </w:rPr>
        <w:t> </w:t>
      </w:r>
      <w:r>
        <w:rPr>
          <w:color w:val="231F20"/>
        </w:rPr>
        <w:t>ordine non è necessario creare ne principi ne codici permanenti, non è necessario territorializzare in modo rigido perchè tutte le altre deterritorializzazioni fermino il loro folle gioco. La parte innovativa della logica capitalista è che non cerca di fermare le deterritorializzazioni del locale, delle tribù e gesti particolari</w:t>
      </w:r>
      <w:r>
        <w:rPr>
          <w:color w:val="231F20"/>
          <w:spacing w:val="-22"/>
        </w:rPr>
        <w:t> </w:t>
      </w:r>
      <w:r>
        <w:rPr>
          <w:color w:val="231F20"/>
        </w:rPr>
        <w:t>con</w:t>
      </w:r>
      <w:r>
        <w:rPr>
          <w:color w:val="231F20"/>
          <w:spacing w:val="-22"/>
        </w:rPr>
        <w:t> </w:t>
      </w:r>
      <w:r>
        <w:rPr>
          <w:color w:val="231F20"/>
        </w:rPr>
        <w:t>una</w:t>
      </w:r>
      <w:r>
        <w:rPr>
          <w:color w:val="231F20"/>
          <w:spacing w:val="-22"/>
        </w:rPr>
        <w:t> </w:t>
      </w:r>
      <w:r>
        <w:rPr>
          <w:color w:val="231F20"/>
        </w:rPr>
        <w:t>territorializzazione</w:t>
      </w:r>
      <w:r>
        <w:rPr>
          <w:color w:val="231F20"/>
          <w:spacing w:val="-22"/>
        </w:rPr>
        <w:t> </w:t>
      </w:r>
      <w:r>
        <w:rPr>
          <w:color w:val="231F20"/>
          <w:spacing w:val="-3"/>
        </w:rPr>
        <w:t>oppure</w:t>
      </w:r>
      <w:r>
        <w:rPr>
          <w:color w:val="231F20"/>
          <w:spacing w:val="-22"/>
        </w:rPr>
        <w:t> </w:t>
      </w:r>
      <w:r>
        <w:rPr>
          <w:color w:val="231F20"/>
        </w:rPr>
        <w:t>con</w:t>
      </w:r>
      <w:r>
        <w:rPr>
          <w:color w:val="231F20"/>
          <w:spacing w:val="-22"/>
        </w:rPr>
        <w:t> </w:t>
      </w:r>
      <w:r>
        <w:rPr>
          <w:color w:val="231F20"/>
        </w:rPr>
        <w:t>un</w:t>
      </w:r>
      <w:r>
        <w:rPr>
          <w:color w:val="231F20"/>
          <w:spacing w:val="-22"/>
        </w:rPr>
        <w:t> </w:t>
      </w:r>
      <w:r>
        <w:rPr>
          <w:color w:val="231F20"/>
        </w:rPr>
        <w:t>modello</w:t>
      </w:r>
      <w:r>
        <w:rPr>
          <w:color w:val="231F20"/>
          <w:spacing w:val="-22"/>
        </w:rPr>
        <w:t> </w:t>
      </w:r>
      <w:r>
        <w:rPr>
          <w:color w:val="231F20"/>
        </w:rPr>
        <w:t>universale,</w:t>
      </w:r>
      <w:r>
        <w:rPr>
          <w:color w:val="231F20"/>
          <w:spacing w:val="-22"/>
        </w:rPr>
        <w:t> </w:t>
      </w:r>
      <w:r>
        <w:rPr>
          <w:color w:val="231F20"/>
        </w:rPr>
        <w:t>ma precisamente</w:t>
      </w:r>
      <w:r>
        <w:rPr>
          <w:color w:val="231F20"/>
          <w:spacing w:val="-14"/>
        </w:rPr>
        <w:t> </w:t>
      </w:r>
      <w:r>
        <w:rPr>
          <w:color w:val="231F20"/>
        </w:rPr>
        <w:t>le</w:t>
      </w:r>
      <w:r>
        <w:rPr>
          <w:color w:val="231F20"/>
          <w:spacing w:val="-14"/>
        </w:rPr>
        <w:t> </w:t>
      </w:r>
      <w:r>
        <w:rPr>
          <w:color w:val="231F20"/>
        </w:rPr>
        <w:t>attacca</w:t>
      </w:r>
      <w:r>
        <w:rPr>
          <w:color w:val="231F20"/>
          <w:spacing w:val="-14"/>
        </w:rPr>
        <w:t> </w:t>
      </w:r>
      <w:r>
        <w:rPr>
          <w:color w:val="231F20"/>
        </w:rPr>
        <w:t>con</w:t>
      </w:r>
      <w:r>
        <w:rPr>
          <w:color w:val="231F20"/>
          <w:spacing w:val="-14"/>
        </w:rPr>
        <w:t> </w:t>
      </w:r>
      <w:r>
        <w:rPr>
          <w:color w:val="231F20"/>
        </w:rPr>
        <w:t>un</w:t>
      </w:r>
      <w:r>
        <w:rPr>
          <w:color w:val="231F20"/>
          <w:spacing w:val="-14"/>
        </w:rPr>
        <w:t> </w:t>
      </w:r>
      <w:r>
        <w:rPr>
          <w:color w:val="231F20"/>
        </w:rPr>
        <w:t>gesto</w:t>
      </w:r>
      <w:r>
        <w:rPr>
          <w:color w:val="231F20"/>
          <w:spacing w:val="-14"/>
        </w:rPr>
        <w:t> </w:t>
      </w:r>
      <w:r>
        <w:rPr>
          <w:color w:val="231F20"/>
        </w:rPr>
        <w:t>ugualmente</w:t>
      </w:r>
      <w:r>
        <w:rPr>
          <w:color w:val="231F20"/>
          <w:spacing w:val="-14"/>
        </w:rPr>
        <w:t> </w:t>
      </w:r>
      <w:r>
        <w:rPr>
          <w:color w:val="231F20"/>
        </w:rPr>
        <w:t>diverso:</w:t>
      </w:r>
      <w:r>
        <w:rPr>
          <w:color w:val="231F20"/>
          <w:spacing w:val="-14"/>
        </w:rPr>
        <w:t> </w:t>
      </w:r>
      <w:r>
        <w:rPr>
          <w:color w:val="231F20"/>
        </w:rPr>
        <w:t>producendo</w:t>
      </w:r>
      <w:r>
        <w:rPr>
          <w:color w:val="231F20"/>
          <w:spacing w:val="-14"/>
        </w:rPr>
        <w:t> </w:t>
      </w:r>
      <w:r>
        <w:rPr>
          <w:color w:val="231F20"/>
        </w:rPr>
        <w:t>una deterritorializzazione senza sosta, un gioco ugualmente</w:t>
      </w:r>
      <w:r>
        <w:rPr>
          <w:color w:val="231F20"/>
          <w:spacing w:val="23"/>
        </w:rPr>
        <w:t> </w:t>
      </w:r>
      <w:r>
        <w:rPr>
          <w:color w:val="231F20"/>
        </w:rPr>
        <w:t>folle.</w:t>
      </w:r>
    </w:p>
    <w:p>
      <w:pPr>
        <w:pStyle w:val="BodyText"/>
        <w:spacing w:line="247" w:lineRule="auto"/>
        <w:ind w:left="117" w:right="117" w:firstLine="566"/>
        <w:jc w:val="both"/>
      </w:pPr>
      <w:r>
        <w:rPr>
          <w:color w:val="231F20"/>
          <w:spacing w:val="3"/>
        </w:rPr>
        <w:t>Non c’è </w:t>
      </w:r>
      <w:r>
        <w:rPr>
          <w:color w:val="231F20"/>
          <w:spacing w:val="4"/>
        </w:rPr>
        <w:t>forma </w:t>
      </w:r>
      <w:r>
        <w:rPr>
          <w:color w:val="231F20"/>
          <w:spacing w:val="3"/>
        </w:rPr>
        <w:t>di vita che non </w:t>
      </w:r>
      <w:r>
        <w:rPr>
          <w:color w:val="231F20"/>
          <w:spacing w:val="2"/>
        </w:rPr>
        <w:t>si </w:t>
      </w:r>
      <w:r>
        <w:rPr>
          <w:color w:val="231F20"/>
          <w:spacing w:val="4"/>
        </w:rPr>
        <w:t>esprima </w:t>
      </w:r>
      <w:r>
        <w:rPr>
          <w:color w:val="231F20"/>
          <w:spacing w:val="3"/>
        </w:rPr>
        <w:t>come una </w:t>
      </w:r>
      <w:r>
        <w:rPr>
          <w:color w:val="231F20"/>
          <w:spacing w:val="4"/>
        </w:rPr>
        <w:t>forma </w:t>
      </w:r>
      <w:r>
        <w:rPr>
          <w:color w:val="231F20"/>
          <w:spacing w:val="3"/>
        </w:rPr>
        <w:t>di </w:t>
      </w:r>
      <w:r>
        <w:rPr>
          <w:color w:val="231F20"/>
        </w:rPr>
        <w:t>territorializzazione</w:t>
      </w:r>
      <w:r>
        <w:rPr>
          <w:color w:val="231F20"/>
          <w:spacing w:val="-24"/>
        </w:rPr>
        <w:t> </w:t>
      </w:r>
      <w:r>
        <w:rPr>
          <w:color w:val="231F20"/>
        </w:rPr>
        <w:t>sulla</w:t>
      </w:r>
      <w:r>
        <w:rPr>
          <w:color w:val="231F20"/>
          <w:spacing w:val="-24"/>
        </w:rPr>
        <w:t> </w:t>
      </w:r>
      <w:r>
        <w:rPr>
          <w:color w:val="231F20"/>
          <w:spacing w:val="-6"/>
        </w:rPr>
        <w:t>Terra,</w:t>
      </w:r>
      <w:r>
        <w:rPr>
          <w:color w:val="231F20"/>
          <w:spacing w:val="-24"/>
        </w:rPr>
        <w:t> </w:t>
      </w:r>
      <w:r>
        <w:rPr>
          <w:color w:val="231F20"/>
        </w:rPr>
        <w:t>la</w:t>
      </w:r>
      <w:r>
        <w:rPr>
          <w:color w:val="231F20"/>
          <w:spacing w:val="-24"/>
        </w:rPr>
        <w:t> </w:t>
      </w:r>
      <w:r>
        <w:rPr>
          <w:color w:val="231F20"/>
          <w:spacing w:val="-7"/>
        </w:rPr>
        <w:t>Terra</w:t>
      </w:r>
      <w:r>
        <w:rPr>
          <w:color w:val="231F20"/>
          <w:spacing w:val="-24"/>
        </w:rPr>
        <w:t> </w:t>
      </w:r>
      <w:r>
        <w:rPr>
          <w:color w:val="231F20"/>
          <w:spacing w:val="-3"/>
        </w:rPr>
        <w:t>sarebbe</w:t>
      </w:r>
      <w:r>
        <w:rPr>
          <w:color w:val="231F20"/>
          <w:spacing w:val="-24"/>
        </w:rPr>
        <w:t> </w:t>
      </w:r>
      <w:r>
        <w:rPr>
          <w:color w:val="231F20"/>
        </w:rPr>
        <w:t>il</w:t>
      </w:r>
      <w:r>
        <w:rPr>
          <w:color w:val="231F20"/>
          <w:spacing w:val="-24"/>
        </w:rPr>
        <w:t> </w:t>
      </w:r>
      <w:r>
        <w:rPr>
          <w:color w:val="231F20"/>
        </w:rPr>
        <w:t>grande</w:t>
      </w:r>
      <w:r>
        <w:rPr>
          <w:color w:val="231F20"/>
          <w:spacing w:val="-24"/>
        </w:rPr>
        <w:t> </w:t>
      </w:r>
      <w:r>
        <w:rPr>
          <w:color w:val="231F20"/>
        </w:rPr>
        <w:t>spazio</w:t>
      </w:r>
      <w:r>
        <w:rPr>
          <w:color w:val="231F20"/>
          <w:spacing w:val="-24"/>
        </w:rPr>
        <w:t> </w:t>
      </w:r>
      <w:r>
        <w:rPr>
          <w:color w:val="231F20"/>
        </w:rPr>
        <w:t>sul</w:t>
      </w:r>
      <w:r>
        <w:rPr>
          <w:color w:val="231F20"/>
          <w:spacing w:val="-24"/>
        </w:rPr>
        <w:t> </w:t>
      </w:r>
      <w:r>
        <w:rPr>
          <w:color w:val="231F20"/>
        </w:rPr>
        <w:t>quale</w:t>
      </w:r>
      <w:r>
        <w:rPr>
          <w:color w:val="231F20"/>
          <w:spacing w:val="-24"/>
        </w:rPr>
        <w:t> </w:t>
      </w:r>
      <w:r>
        <w:rPr>
          <w:color w:val="231F20"/>
        </w:rPr>
        <w:t>ogni forma de vida si crea un territorio. Dunque, la </w:t>
      </w:r>
      <w:r>
        <w:rPr>
          <w:color w:val="231F20"/>
          <w:spacing w:val="-5"/>
        </w:rPr>
        <w:t>Terra </w:t>
      </w:r>
      <w:r>
        <w:rPr>
          <w:color w:val="231F20"/>
        </w:rPr>
        <w:t>non è in realtà nessun territorio,</w:t>
      </w:r>
      <w:r>
        <w:rPr>
          <w:color w:val="231F20"/>
          <w:spacing w:val="-19"/>
        </w:rPr>
        <w:t> </w:t>
      </w:r>
      <w:r>
        <w:rPr>
          <w:color w:val="231F20"/>
        </w:rPr>
        <w:t>ma</w:t>
      </w:r>
      <w:r>
        <w:rPr>
          <w:color w:val="231F20"/>
          <w:spacing w:val="-19"/>
        </w:rPr>
        <w:t> </w:t>
      </w:r>
      <w:r>
        <w:rPr>
          <w:color w:val="231F20"/>
        </w:rPr>
        <w:t>è</w:t>
      </w:r>
      <w:r>
        <w:rPr>
          <w:color w:val="231F20"/>
          <w:spacing w:val="-19"/>
        </w:rPr>
        <w:t> </w:t>
      </w:r>
      <w:r>
        <w:rPr>
          <w:color w:val="231F20"/>
        </w:rPr>
        <w:t>piuttosto</w:t>
      </w:r>
      <w:r>
        <w:rPr>
          <w:color w:val="231F20"/>
          <w:spacing w:val="-19"/>
        </w:rPr>
        <w:t> </w:t>
      </w:r>
      <w:r>
        <w:rPr>
          <w:color w:val="231F20"/>
        </w:rPr>
        <w:t>la</w:t>
      </w:r>
      <w:r>
        <w:rPr>
          <w:color w:val="231F20"/>
          <w:spacing w:val="-19"/>
        </w:rPr>
        <w:t> </w:t>
      </w:r>
      <w:r>
        <w:rPr>
          <w:color w:val="231F20"/>
        </w:rPr>
        <w:t>possibilità</w:t>
      </w:r>
      <w:r>
        <w:rPr>
          <w:color w:val="231F20"/>
          <w:spacing w:val="-19"/>
        </w:rPr>
        <w:t> </w:t>
      </w:r>
      <w:r>
        <w:rPr>
          <w:color w:val="231F20"/>
        </w:rPr>
        <w:t>di</w:t>
      </w:r>
      <w:r>
        <w:rPr>
          <w:color w:val="231F20"/>
          <w:spacing w:val="-19"/>
        </w:rPr>
        <w:t> </w:t>
      </w:r>
      <w:r>
        <w:rPr>
          <w:color w:val="231F20"/>
        </w:rPr>
        <w:t>ogni</w:t>
      </w:r>
      <w:r>
        <w:rPr>
          <w:color w:val="231F20"/>
          <w:spacing w:val="-19"/>
        </w:rPr>
        <w:t> </w:t>
      </w:r>
      <w:r>
        <w:rPr>
          <w:color w:val="231F20"/>
        </w:rPr>
        <w:t>territorio,</w:t>
      </w:r>
      <w:r>
        <w:rPr>
          <w:color w:val="231F20"/>
          <w:spacing w:val="-19"/>
        </w:rPr>
        <w:t> </w:t>
      </w:r>
      <w:r>
        <w:rPr>
          <w:color w:val="231F20"/>
        </w:rPr>
        <w:t>è</w:t>
      </w:r>
      <w:r>
        <w:rPr>
          <w:color w:val="231F20"/>
          <w:spacing w:val="-19"/>
        </w:rPr>
        <w:t> </w:t>
      </w:r>
      <w:r>
        <w:rPr>
          <w:color w:val="231F20"/>
        </w:rPr>
        <w:t>quello</w:t>
      </w:r>
      <w:r>
        <w:rPr>
          <w:color w:val="231F20"/>
          <w:spacing w:val="-19"/>
        </w:rPr>
        <w:t> </w:t>
      </w:r>
      <w:r>
        <w:rPr>
          <w:color w:val="231F20"/>
        </w:rPr>
        <w:t>che</w:t>
      </w:r>
      <w:r>
        <w:rPr>
          <w:color w:val="231F20"/>
          <w:spacing w:val="-19"/>
        </w:rPr>
        <w:t> </w:t>
      </w:r>
      <w:r>
        <w:rPr>
          <w:color w:val="231F20"/>
        </w:rPr>
        <w:t>Deleuze chiama </w:t>
      </w:r>
      <w:r>
        <w:rPr>
          <w:rFonts w:ascii="Arial" w:hAnsi="Arial"/>
          <w:i/>
          <w:color w:val="231F20"/>
        </w:rPr>
        <w:t>la deterritorializzata</w:t>
      </w:r>
      <w:r>
        <w:rPr>
          <w:color w:val="231F20"/>
        </w:rPr>
        <w:t>, perchè in essa non c’è un territorio ne </w:t>
      </w:r>
      <w:r>
        <w:rPr>
          <w:color w:val="231F20"/>
          <w:spacing w:val="2"/>
        </w:rPr>
        <w:t>una </w:t>
      </w:r>
      <w:r>
        <w:rPr>
          <w:color w:val="231F20"/>
        </w:rPr>
        <w:t>forma</w:t>
      </w:r>
      <w:r>
        <w:rPr>
          <w:color w:val="231F20"/>
          <w:spacing w:val="-21"/>
        </w:rPr>
        <w:t> </w:t>
      </w:r>
      <w:r>
        <w:rPr>
          <w:color w:val="231F20"/>
        </w:rPr>
        <w:t>di</w:t>
      </w:r>
      <w:r>
        <w:rPr>
          <w:color w:val="231F20"/>
          <w:spacing w:val="-21"/>
        </w:rPr>
        <w:t> </w:t>
      </w:r>
      <w:r>
        <w:rPr>
          <w:color w:val="231F20"/>
        </w:rPr>
        <w:t>vita</w:t>
      </w:r>
      <w:r>
        <w:rPr>
          <w:color w:val="231F20"/>
          <w:spacing w:val="-21"/>
        </w:rPr>
        <w:t> </w:t>
      </w:r>
      <w:r>
        <w:rPr>
          <w:color w:val="231F20"/>
        </w:rPr>
        <w:t>in</w:t>
      </w:r>
      <w:r>
        <w:rPr>
          <w:color w:val="231F20"/>
          <w:spacing w:val="-21"/>
        </w:rPr>
        <w:t> </w:t>
      </w:r>
      <w:r>
        <w:rPr>
          <w:color w:val="231F20"/>
        </w:rPr>
        <w:t>se,</w:t>
      </w:r>
      <w:r>
        <w:rPr>
          <w:color w:val="231F20"/>
          <w:spacing w:val="-21"/>
        </w:rPr>
        <w:t> </w:t>
      </w:r>
      <w:r>
        <w:rPr>
          <w:color w:val="231F20"/>
        </w:rPr>
        <w:t>ma</w:t>
      </w:r>
      <w:r>
        <w:rPr>
          <w:color w:val="231F20"/>
          <w:spacing w:val="-21"/>
        </w:rPr>
        <w:t> </w:t>
      </w:r>
      <w:r>
        <w:rPr>
          <w:color w:val="231F20"/>
        </w:rPr>
        <w:t>la</w:t>
      </w:r>
      <w:r>
        <w:rPr>
          <w:color w:val="231F20"/>
          <w:spacing w:val="-21"/>
        </w:rPr>
        <w:t> </w:t>
      </w:r>
      <w:r>
        <w:rPr>
          <w:color w:val="231F20"/>
        </w:rPr>
        <w:t>possibilità</w:t>
      </w:r>
      <w:r>
        <w:rPr>
          <w:color w:val="231F20"/>
          <w:spacing w:val="-21"/>
        </w:rPr>
        <w:t> </w:t>
      </w:r>
      <w:r>
        <w:rPr>
          <w:color w:val="231F20"/>
        </w:rPr>
        <w:t>che</w:t>
      </w:r>
      <w:r>
        <w:rPr>
          <w:color w:val="231F20"/>
          <w:spacing w:val="-21"/>
        </w:rPr>
        <w:t> </w:t>
      </w:r>
      <w:r>
        <w:rPr>
          <w:color w:val="231F20"/>
        </w:rPr>
        <w:t>le</w:t>
      </w:r>
      <w:r>
        <w:rPr>
          <w:color w:val="231F20"/>
          <w:spacing w:val="-21"/>
        </w:rPr>
        <w:t> </w:t>
      </w:r>
      <w:r>
        <w:rPr>
          <w:color w:val="231F20"/>
        </w:rPr>
        <w:t>particolarità</w:t>
      </w:r>
      <w:r>
        <w:rPr>
          <w:color w:val="231F20"/>
          <w:spacing w:val="-21"/>
        </w:rPr>
        <w:t> </w:t>
      </w:r>
      <w:r>
        <w:rPr>
          <w:color w:val="231F20"/>
        </w:rPr>
        <w:t>e</w:t>
      </w:r>
      <w:r>
        <w:rPr>
          <w:color w:val="231F20"/>
          <w:spacing w:val="-21"/>
        </w:rPr>
        <w:t> </w:t>
      </w:r>
      <w:r>
        <w:rPr>
          <w:color w:val="231F20"/>
        </w:rPr>
        <w:t>singolarità</w:t>
      </w:r>
      <w:r>
        <w:rPr>
          <w:color w:val="231F20"/>
          <w:spacing w:val="-21"/>
        </w:rPr>
        <w:t> </w:t>
      </w:r>
      <w:r>
        <w:rPr>
          <w:color w:val="231F20"/>
        </w:rPr>
        <w:t>essistano sempre</w:t>
      </w:r>
      <w:r>
        <w:rPr>
          <w:color w:val="231F20"/>
          <w:spacing w:val="-12"/>
        </w:rPr>
        <w:t> </w:t>
      </w:r>
      <w:r>
        <w:rPr>
          <w:color w:val="231F20"/>
        </w:rPr>
        <w:t>in</w:t>
      </w:r>
      <w:r>
        <w:rPr>
          <w:color w:val="231F20"/>
          <w:spacing w:val="-12"/>
        </w:rPr>
        <w:t> </w:t>
      </w:r>
      <w:r>
        <w:rPr>
          <w:color w:val="231F20"/>
        </w:rPr>
        <w:t>modo</w:t>
      </w:r>
      <w:r>
        <w:rPr>
          <w:color w:val="231F20"/>
          <w:spacing w:val="-12"/>
        </w:rPr>
        <w:t> </w:t>
      </w:r>
      <w:r>
        <w:rPr>
          <w:color w:val="231F20"/>
        </w:rPr>
        <w:t>plurale</w:t>
      </w:r>
      <w:r>
        <w:rPr>
          <w:color w:val="231F20"/>
          <w:spacing w:val="-12"/>
        </w:rPr>
        <w:t> </w:t>
      </w:r>
      <w:r>
        <w:rPr>
          <w:color w:val="231F20"/>
        </w:rPr>
        <w:t>e</w:t>
      </w:r>
      <w:r>
        <w:rPr>
          <w:color w:val="231F20"/>
          <w:spacing w:val="-12"/>
        </w:rPr>
        <w:t> </w:t>
      </w:r>
      <w:r>
        <w:rPr>
          <w:color w:val="231F20"/>
        </w:rPr>
        <w:t>dinamico,</w:t>
      </w:r>
      <w:r>
        <w:rPr>
          <w:color w:val="231F20"/>
          <w:spacing w:val="-12"/>
        </w:rPr>
        <w:t> </w:t>
      </w:r>
      <w:r>
        <w:rPr>
          <w:color w:val="231F20"/>
        </w:rPr>
        <w:t>interconnettendosi,</w:t>
      </w:r>
      <w:r>
        <w:rPr>
          <w:color w:val="231F20"/>
          <w:spacing w:val="-12"/>
        </w:rPr>
        <w:t> </w:t>
      </w:r>
      <w:r>
        <w:rPr>
          <w:color w:val="231F20"/>
        </w:rPr>
        <w:t>territorializzando</w:t>
      </w:r>
      <w:r>
        <w:rPr>
          <w:color w:val="231F20"/>
          <w:spacing w:val="-12"/>
        </w:rPr>
        <w:t> </w:t>
      </w:r>
      <w:r>
        <w:rPr>
          <w:color w:val="231F20"/>
        </w:rPr>
        <w:t>e deterritorializzando:</w:t>
      </w:r>
      <w:r>
        <w:rPr>
          <w:color w:val="231F20"/>
          <w:spacing w:val="-26"/>
        </w:rPr>
        <w:t> </w:t>
      </w:r>
      <w:r>
        <w:rPr>
          <w:color w:val="231F20"/>
        </w:rPr>
        <w:t>“[…]</w:t>
      </w:r>
      <w:r>
        <w:rPr>
          <w:color w:val="231F20"/>
          <w:spacing w:val="-26"/>
        </w:rPr>
        <w:t> </w:t>
      </w:r>
      <w:r>
        <w:rPr>
          <w:color w:val="231F20"/>
        </w:rPr>
        <w:t>la</w:t>
      </w:r>
      <w:r>
        <w:rPr>
          <w:color w:val="231F20"/>
          <w:spacing w:val="-26"/>
        </w:rPr>
        <w:t> </w:t>
      </w:r>
      <w:r>
        <w:rPr>
          <w:color w:val="231F20"/>
          <w:spacing w:val="-7"/>
        </w:rPr>
        <w:t>Terra</w:t>
      </w:r>
      <w:r>
        <w:rPr>
          <w:color w:val="231F20"/>
          <w:spacing w:val="-26"/>
        </w:rPr>
        <w:t> </w:t>
      </w:r>
      <w:r>
        <w:rPr>
          <w:color w:val="231F20"/>
        </w:rPr>
        <w:t>è</w:t>
      </w:r>
      <w:r>
        <w:rPr>
          <w:color w:val="231F20"/>
          <w:spacing w:val="-26"/>
        </w:rPr>
        <w:t> </w:t>
      </w:r>
      <w:r>
        <w:rPr>
          <w:color w:val="231F20"/>
        </w:rPr>
        <w:t>allora</w:t>
      </w:r>
      <w:r>
        <w:rPr>
          <w:color w:val="231F20"/>
          <w:spacing w:val="-26"/>
        </w:rPr>
        <w:t> </w:t>
      </w:r>
      <w:r>
        <w:rPr>
          <w:color w:val="231F20"/>
        </w:rPr>
        <w:t>la</w:t>
      </w:r>
      <w:r>
        <w:rPr>
          <w:color w:val="231F20"/>
          <w:spacing w:val="-26"/>
        </w:rPr>
        <w:t> </w:t>
      </w:r>
      <w:r>
        <w:rPr>
          <w:color w:val="231F20"/>
        </w:rPr>
        <w:t>Deterritorializzata,</w:t>
      </w:r>
      <w:r>
        <w:rPr>
          <w:color w:val="231F20"/>
          <w:spacing w:val="-26"/>
        </w:rPr>
        <w:t> </w:t>
      </w:r>
      <w:r>
        <w:rPr>
          <w:color w:val="231F20"/>
        </w:rPr>
        <w:t>è</w:t>
      </w:r>
      <w:r>
        <w:rPr>
          <w:color w:val="231F20"/>
          <w:spacing w:val="-26"/>
        </w:rPr>
        <w:t> </w:t>
      </w:r>
      <w:r>
        <w:rPr>
          <w:color w:val="231F20"/>
          <w:spacing w:val="-2"/>
        </w:rPr>
        <w:t>inseparabile </w:t>
      </w:r>
      <w:r>
        <w:rPr>
          <w:color w:val="231F20"/>
        </w:rPr>
        <w:t>da un processo di deterritorializzazione che è il suo movimento aberrante […]: le molteplicità la popolano, le singolarità si connettano, i processi o i diveniri si sviluppano, le intensità salgono o scendono”</w:t>
      </w:r>
      <w:r>
        <w:rPr>
          <w:color w:val="231F20"/>
          <w:position w:val="7"/>
          <w:sz w:val="12"/>
        </w:rPr>
        <w:t>39</w:t>
      </w:r>
      <w:r>
        <w:rPr>
          <w:color w:val="231F20"/>
        </w:rPr>
        <w:t>. La peculiarità del capitalismo è che non si è impiantato nella </w:t>
      </w:r>
      <w:r>
        <w:rPr>
          <w:color w:val="231F20"/>
          <w:spacing w:val="-5"/>
        </w:rPr>
        <w:t>Terra </w:t>
      </w:r>
      <w:r>
        <w:rPr>
          <w:color w:val="231F20"/>
        </w:rPr>
        <w:t>come un processo in più di territorializzazione, ma che precisamente ha messo in moto la strategia contraria, emulando a la </w:t>
      </w:r>
      <w:r>
        <w:rPr>
          <w:color w:val="231F20"/>
          <w:spacing w:val="-4"/>
        </w:rPr>
        <w:t>Terra, </w:t>
      </w:r>
      <w:r>
        <w:rPr>
          <w:color w:val="231F20"/>
        </w:rPr>
        <w:t>la sua dinamica è la deterritorializzazione permanente.</w:t>
      </w:r>
    </w:p>
    <w:p>
      <w:pPr>
        <w:pStyle w:val="BodyText"/>
        <w:spacing w:before="10"/>
        <w:rPr>
          <w:sz w:val="22"/>
        </w:rPr>
      </w:pPr>
    </w:p>
    <w:p>
      <w:pPr>
        <w:spacing w:line="220" w:lineRule="exact" w:before="1"/>
        <w:ind w:left="1534" w:right="116" w:firstLine="0"/>
        <w:jc w:val="both"/>
        <w:rPr>
          <w:sz w:val="19"/>
        </w:rPr>
      </w:pPr>
      <w:r>
        <w:rPr>
          <w:color w:val="231F20"/>
          <w:sz w:val="19"/>
        </w:rPr>
        <w:t>Il </w:t>
      </w:r>
      <w:r>
        <w:rPr>
          <w:color w:val="231F20"/>
          <w:spacing w:val="2"/>
          <w:sz w:val="19"/>
        </w:rPr>
        <w:t>capitalismo </w:t>
      </w:r>
      <w:r>
        <w:rPr>
          <w:color w:val="231F20"/>
          <w:sz w:val="19"/>
        </w:rPr>
        <w:t>è </w:t>
      </w:r>
      <w:r>
        <w:rPr>
          <w:color w:val="231F20"/>
          <w:spacing w:val="2"/>
          <w:sz w:val="19"/>
        </w:rPr>
        <w:t>piuttosto quello </w:t>
      </w:r>
      <w:r>
        <w:rPr>
          <w:color w:val="231F20"/>
          <w:sz w:val="19"/>
        </w:rPr>
        <w:t>che </w:t>
      </w:r>
      <w:r>
        <w:rPr>
          <w:color w:val="231F20"/>
          <w:spacing w:val="2"/>
          <w:sz w:val="19"/>
        </w:rPr>
        <w:t>deterritorializza </w:t>
      </w:r>
      <w:r>
        <w:rPr>
          <w:color w:val="231F20"/>
          <w:sz w:val="19"/>
        </w:rPr>
        <w:t>la  Terra, ma per seguire e controllare i suoi flussi di merce, di lavoro e     di denaro si distribuiscono su essa in tutte le direzioni; </w:t>
      </w:r>
      <w:r>
        <w:rPr>
          <w:color w:val="231F20"/>
          <w:spacing w:val="2"/>
          <w:sz w:val="19"/>
        </w:rPr>
        <w:t>questa </w:t>
      </w:r>
      <w:r>
        <w:rPr>
          <w:color w:val="231F20"/>
          <w:sz w:val="19"/>
        </w:rPr>
        <w:t>deterritorializzazione generalizzata, propria del capitalismo, non si realizza</w:t>
      </w:r>
      <w:r>
        <w:rPr>
          <w:color w:val="231F20"/>
          <w:spacing w:val="-32"/>
          <w:sz w:val="19"/>
        </w:rPr>
        <w:t> </w:t>
      </w:r>
      <w:r>
        <w:rPr>
          <w:color w:val="231F20"/>
          <w:sz w:val="19"/>
        </w:rPr>
        <w:t>senza</w:t>
      </w:r>
      <w:r>
        <w:rPr>
          <w:color w:val="231F20"/>
          <w:spacing w:val="-32"/>
          <w:sz w:val="19"/>
        </w:rPr>
        <w:t> </w:t>
      </w:r>
      <w:r>
        <w:rPr>
          <w:color w:val="231F20"/>
          <w:sz w:val="19"/>
        </w:rPr>
        <w:t>suscitare</w:t>
      </w:r>
      <w:r>
        <w:rPr>
          <w:color w:val="231F20"/>
          <w:spacing w:val="-32"/>
          <w:sz w:val="19"/>
        </w:rPr>
        <w:t> </w:t>
      </w:r>
      <w:r>
        <w:rPr>
          <w:color w:val="231F20"/>
          <w:sz w:val="19"/>
        </w:rPr>
        <w:t>le</w:t>
      </w:r>
      <w:r>
        <w:rPr>
          <w:color w:val="231F20"/>
          <w:spacing w:val="-32"/>
          <w:sz w:val="19"/>
        </w:rPr>
        <w:t> </w:t>
      </w:r>
      <w:r>
        <w:rPr>
          <w:color w:val="231F20"/>
          <w:sz w:val="19"/>
        </w:rPr>
        <w:t>reterritorializzazioni</w:t>
      </w:r>
      <w:r>
        <w:rPr>
          <w:color w:val="231F20"/>
          <w:spacing w:val="-32"/>
          <w:sz w:val="19"/>
        </w:rPr>
        <w:t> </w:t>
      </w:r>
      <w:r>
        <w:rPr>
          <w:color w:val="231F20"/>
          <w:sz w:val="19"/>
        </w:rPr>
        <w:t>più</w:t>
      </w:r>
      <w:r>
        <w:rPr>
          <w:color w:val="231F20"/>
          <w:spacing w:val="-32"/>
          <w:sz w:val="19"/>
        </w:rPr>
        <w:t> </w:t>
      </w:r>
      <w:r>
        <w:rPr>
          <w:color w:val="231F20"/>
          <w:sz w:val="19"/>
        </w:rPr>
        <w:t>fittizie</w:t>
      </w:r>
      <w:r>
        <w:rPr>
          <w:color w:val="231F20"/>
          <w:spacing w:val="-32"/>
          <w:sz w:val="19"/>
        </w:rPr>
        <w:t> </w:t>
      </w:r>
      <w:r>
        <w:rPr>
          <w:color w:val="231F20"/>
          <w:sz w:val="19"/>
        </w:rPr>
        <w:t>(familismo, regionalismo, ritorno alle tradizioni, al</w:t>
      </w:r>
      <w:r>
        <w:rPr>
          <w:color w:val="231F20"/>
          <w:spacing w:val="-16"/>
          <w:sz w:val="19"/>
        </w:rPr>
        <w:t> </w:t>
      </w:r>
      <w:r>
        <w:rPr>
          <w:color w:val="231F20"/>
          <w:sz w:val="19"/>
        </w:rPr>
        <w:t>folclore)</w:t>
      </w:r>
      <w:r>
        <w:rPr>
          <w:color w:val="231F20"/>
          <w:position w:val="6"/>
          <w:sz w:val="11"/>
        </w:rPr>
        <w:t>40</w:t>
      </w:r>
      <w:r>
        <w:rPr>
          <w:color w:val="231F20"/>
          <w:sz w:val="19"/>
        </w:rPr>
        <w:t>.</w:t>
      </w:r>
    </w:p>
    <w:p>
      <w:pPr>
        <w:pStyle w:val="BodyText"/>
        <w:spacing w:before="11"/>
        <w:rPr>
          <w:sz w:val="23"/>
        </w:rPr>
      </w:pPr>
    </w:p>
    <w:p>
      <w:pPr>
        <w:pStyle w:val="BodyText"/>
        <w:spacing w:line="247" w:lineRule="auto"/>
        <w:ind w:left="117" w:right="121"/>
        <w:jc w:val="both"/>
      </w:pPr>
      <w:r>
        <w:rPr>
          <w:color w:val="231F20"/>
        </w:rPr>
        <w:t>Non c’è deterritorializzazione senza reterritorializzazione, l’effettività del capitalismo, in particolare del liberalismo, radica nel fatto che ha trovato che si può governare e gestire seguendo gli spostamenti naturali delle cose,</w:t>
      </w:r>
      <w:r>
        <w:rPr>
          <w:color w:val="231F20"/>
          <w:spacing w:val="-7"/>
        </w:rPr>
        <w:t> </w:t>
      </w:r>
      <w:r>
        <w:rPr>
          <w:color w:val="231F20"/>
        </w:rPr>
        <w:t>propiciando</w:t>
      </w:r>
      <w:r>
        <w:rPr>
          <w:color w:val="231F20"/>
          <w:spacing w:val="-7"/>
        </w:rPr>
        <w:t> </w:t>
      </w:r>
      <w:r>
        <w:rPr>
          <w:color w:val="231F20"/>
        </w:rPr>
        <w:t>i</w:t>
      </w:r>
      <w:r>
        <w:rPr>
          <w:color w:val="231F20"/>
          <w:spacing w:val="-7"/>
        </w:rPr>
        <w:t> </w:t>
      </w:r>
      <w:r>
        <w:rPr>
          <w:color w:val="231F20"/>
        </w:rPr>
        <w:t>flussi</w:t>
      </w:r>
      <w:r>
        <w:rPr>
          <w:color w:val="231F20"/>
          <w:spacing w:val="-7"/>
        </w:rPr>
        <w:t> </w:t>
      </w:r>
      <w:r>
        <w:rPr>
          <w:color w:val="231F20"/>
        </w:rPr>
        <w:t>più</w:t>
      </w:r>
      <w:r>
        <w:rPr>
          <w:color w:val="231F20"/>
          <w:spacing w:val="-7"/>
        </w:rPr>
        <w:t> </w:t>
      </w:r>
      <w:r>
        <w:rPr>
          <w:color w:val="231F20"/>
        </w:rPr>
        <w:t>che</w:t>
      </w:r>
      <w:r>
        <w:rPr>
          <w:color w:val="231F20"/>
          <w:spacing w:val="-7"/>
        </w:rPr>
        <w:t> </w:t>
      </w:r>
      <w:r>
        <w:rPr>
          <w:color w:val="231F20"/>
        </w:rPr>
        <w:t>bloccandoli;</w:t>
      </w:r>
      <w:r>
        <w:rPr>
          <w:color w:val="231F20"/>
          <w:spacing w:val="-7"/>
        </w:rPr>
        <w:t> </w:t>
      </w:r>
      <w:r>
        <w:rPr>
          <w:color w:val="231F20"/>
        </w:rPr>
        <w:t>comunque,</w:t>
      </w:r>
      <w:r>
        <w:rPr>
          <w:color w:val="231F20"/>
          <w:spacing w:val="-7"/>
        </w:rPr>
        <w:t> </w:t>
      </w:r>
      <w:r>
        <w:rPr>
          <w:color w:val="231F20"/>
        </w:rPr>
        <w:t>per</w:t>
      </w:r>
      <w:r>
        <w:rPr>
          <w:color w:val="231F20"/>
          <w:spacing w:val="-7"/>
        </w:rPr>
        <w:t> </w:t>
      </w:r>
      <w:r>
        <w:rPr>
          <w:color w:val="231F20"/>
        </w:rPr>
        <w:t>realizzare</w:t>
      </w:r>
      <w:r>
        <w:rPr>
          <w:color w:val="231F20"/>
          <w:spacing w:val="-7"/>
        </w:rPr>
        <w:t> </w:t>
      </w:r>
      <w:r>
        <w:rPr>
          <w:color w:val="231F20"/>
        </w:rPr>
        <w:t>tale decodificazione e deterritorializzazione si può  anche valere del  </w:t>
      </w:r>
      <w:r>
        <w:rPr>
          <w:color w:val="231F20"/>
          <w:spacing w:val="11"/>
        </w:rPr>
        <w:t> </w:t>
      </w:r>
      <w:r>
        <w:rPr>
          <w:color w:val="231F20"/>
        </w:rPr>
        <w:t>contrario,</w:t>
      </w:r>
    </w:p>
    <w:p>
      <w:pPr>
        <w:pStyle w:val="BodyText"/>
        <w:rPr>
          <w:sz w:val="20"/>
        </w:rPr>
      </w:pPr>
    </w:p>
    <w:p>
      <w:pPr>
        <w:pStyle w:val="BodyText"/>
        <w:rPr>
          <w:sz w:val="20"/>
        </w:rPr>
      </w:pPr>
    </w:p>
    <w:p>
      <w:pPr>
        <w:pStyle w:val="BodyText"/>
        <w:spacing w:before="5"/>
        <w:rPr>
          <w:sz w:val="14"/>
        </w:rPr>
      </w:pPr>
      <w:r>
        <w:rPr/>
        <w:pict>
          <v:line style="position:absolute;mso-position-horizontal-relative:page;mso-position-vertical-relative:paragraph;z-index:11776;mso-wrap-distance-left:0;mso-wrap-distance-right:0" from="70.866096pt,10.819863pt" to="184.252096pt,10.819863pt" stroked="true" strokeweight=".3pt" strokecolor="#231f20">
            <w10:wrap type="topAndBottom"/>
          </v:line>
        </w:pict>
      </w:r>
    </w:p>
    <w:p>
      <w:pPr>
        <w:spacing w:line="206" w:lineRule="exact" w:before="10"/>
        <w:ind w:left="117" w:right="0" w:firstLine="0"/>
        <w:jc w:val="left"/>
        <w:rPr>
          <w:rFonts w:ascii="Calibri"/>
          <w:sz w:val="17"/>
        </w:rPr>
      </w:pPr>
      <w:r>
        <w:rPr>
          <w:rFonts w:ascii="Calibri"/>
          <w:color w:val="231F20"/>
          <w:position w:val="6"/>
          <w:sz w:val="10"/>
        </w:rPr>
        <w:t>39 </w:t>
      </w:r>
      <w:r>
        <w:rPr>
          <w:rFonts w:ascii="Calibri"/>
          <w:color w:val="231F20"/>
          <w:sz w:val="17"/>
        </w:rPr>
        <w:t>Deleuze, </w:t>
      </w:r>
      <w:r>
        <w:rPr>
          <w:rFonts w:ascii="Calibri"/>
          <w:i/>
          <w:color w:val="231F20"/>
          <w:sz w:val="17"/>
        </w:rPr>
        <w:t>Pourparlers</w:t>
      </w:r>
      <w:r>
        <w:rPr>
          <w:rFonts w:ascii="Calibri"/>
          <w:color w:val="231F20"/>
          <w:sz w:val="17"/>
        </w:rPr>
        <w:t>, p. 201.</w:t>
      </w:r>
    </w:p>
    <w:p>
      <w:pPr>
        <w:spacing w:line="206" w:lineRule="exact" w:before="0"/>
        <w:ind w:left="117" w:right="0" w:firstLine="0"/>
        <w:jc w:val="left"/>
        <w:rPr>
          <w:rFonts w:ascii="Calibri"/>
          <w:sz w:val="17"/>
        </w:rPr>
      </w:pPr>
      <w:r>
        <w:rPr>
          <w:rFonts w:ascii="Calibri"/>
          <w:color w:val="231F20"/>
          <w:position w:val="6"/>
          <w:sz w:val="10"/>
        </w:rPr>
        <w:t>40 </w:t>
      </w:r>
      <w:r>
        <w:rPr>
          <w:rFonts w:ascii="Calibri"/>
          <w:color w:val="231F20"/>
          <w:sz w:val="17"/>
        </w:rPr>
        <w:t>D. Lapoujade, </w:t>
      </w:r>
      <w:r>
        <w:rPr>
          <w:rFonts w:ascii="Calibri"/>
          <w:i/>
          <w:color w:val="231F20"/>
          <w:sz w:val="17"/>
        </w:rPr>
        <w:t>Deleuze, les mouvements aberrants, </w:t>
      </w:r>
      <w:r>
        <w:rPr>
          <w:rFonts w:ascii="Calibri"/>
          <w:color w:val="231F20"/>
          <w:sz w:val="17"/>
        </w:rPr>
        <w:t>Paris, Editions du Minuit, 2014, p. 41.</w:t>
      </w:r>
    </w:p>
    <w:p>
      <w:pPr>
        <w:spacing w:after="0" w:line="206" w:lineRule="exact"/>
        <w:jc w:val="left"/>
        <w:rPr>
          <w:rFonts w:ascii="Calibri"/>
          <w:sz w:val="17"/>
        </w:rPr>
        <w:sectPr>
          <w:pgSz w:w="9640" w:h="13890"/>
          <w:pgMar w:top="0" w:bottom="280" w:left="1300" w:right="1180"/>
        </w:sectPr>
      </w:pPr>
    </w:p>
    <w:p>
      <w:pPr>
        <w:pStyle w:val="BodyText"/>
        <w:spacing w:before="107"/>
        <w:ind w:left="103"/>
        <w:jc w:val="both"/>
      </w:pPr>
      <w:r>
        <w:rPr>
          <w:color w:val="231F20"/>
          <w:w w:val="105"/>
        </w:rPr>
        <w:t>di</w:t>
      </w:r>
      <w:r>
        <w:rPr>
          <w:color w:val="231F20"/>
          <w:spacing w:val="-37"/>
          <w:w w:val="105"/>
        </w:rPr>
        <w:t> </w:t>
      </w:r>
      <w:r>
        <w:rPr>
          <w:color w:val="231F20"/>
          <w:w w:val="105"/>
        </w:rPr>
        <w:t>codificazioni</w:t>
      </w:r>
      <w:r>
        <w:rPr>
          <w:color w:val="231F20"/>
          <w:spacing w:val="-37"/>
          <w:w w:val="105"/>
        </w:rPr>
        <w:t> </w:t>
      </w:r>
      <w:r>
        <w:rPr>
          <w:color w:val="231F20"/>
          <w:w w:val="105"/>
        </w:rPr>
        <w:t>e</w:t>
      </w:r>
      <w:r>
        <w:rPr>
          <w:color w:val="231F20"/>
          <w:spacing w:val="-37"/>
          <w:w w:val="105"/>
        </w:rPr>
        <w:t> </w:t>
      </w:r>
      <w:r>
        <w:rPr>
          <w:color w:val="231F20"/>
          <w:w w:val="105"/>
        </w:rPr>
        <w:t>territorializzazioni,</w:t>
      </w:r>
      <w:r>
        <w:rPr>
          <w:color w:val="231F20"/>
          <w:spacing w:val="-37"/>
          <w:w w:val="105"/>
        </w:rPr>
        <w:t> </w:t>
      </w:r>
      <w:r>
        <w:rPr>
          <w:color w:val="231F20"/>
          <w:w w:val="105"/>
        </w:rPr>
        <w:t>della</w:t>
      </w:r>
      <w:r>
        <w:rPr>
          <w:color w:val="231F20"/>
          <w:spacing w:val="-37"/>
          <w:w w:val="105"/>
        </w:rPr>
        <w:t> </w:t>
      </w:r>
      <w:r>
        <w:rPr>
          <w:color w:val="231F20"/>
          <w:w w:val="105"/>
        </w:rPr>
        <w:t>possibilità</w:t>
      </w:r>
      <w:r>
        <w:rPr>
          <w:color w:val="231F20"/>
          <w:spacing w:val="-37"/>
          <w:w w:val="105"/>
        </w:rPr>
        <w:t> </w:t>
      </w:r>
      <w:r>
        <w:rPr>
          <w:color w:val="231F20"/>
          <w:w w:val="105"/>
        </w:rPr>
        <w:t>di</w:t>
      </w:r>
      <w:r>
        <w:rPr>
          <w:color w:val="231F20"/>
          <w:spacing w:val="-37"/>
          <w:w w:val="105"/>
        </w:rPr>
        <w:t> </w:t>
      </w:r>
      <w:r>
        <w:rPr>
          <w:color w:val="231F20"/>
          <w:w w:val="105"/>
        </w:rPr>
        <w:t>designare</w:t>
      </w:r>
      <w:r>
        <w:rPr>
          <w:color w:val="231F20"/>
          <w:spacing w:val="-37"/>
          <w:w w:val="105"/>
        </w:rPr>
        <w:t> </w:t>
      </w:r>
      <w:r>
        <w:rPr>
          <w:color w:val="231F20"/>
          <w:w w:val="105"/>
        </w:rPr>
        <w:t>e</w:t>
      </w:r>
      <w:r>
        <w:rPr>
          <w:color w:val="231F20"/>
          <w:spacing w:val="-37"/>
          <w:w w:val="105"/>
        </w:rPr>
        <w:t> </w:t>
      </w:r>
      <w:r>
        <w:rPr>
          <w:color w:val="231F20"/>
          <w:w w:val="105"/>
        </w:rPr>
        <w:t>stabilire</w:t>
      </w:r>
    </w:p>
    <w:p>
      <w:pPr>
        <w:pStyle w:val="BodyText"/>
        <w:spacing w:before="6"/>
        <w:ind w:left="103"/>
        <w:jc w:val="both"/>
      </w:pPr>
      <w:r>
        <w:rPr>
          <w:color w:val="231F20"/>
          <w:w w:val="105"/>
        </w:rPr>
        <w:t>delle identità.</w:t>
      </w:r>
    </w:p>
    <w:p>
      <w:pPr>
        <w:pStyle w:val="BodyText"/>
        <w:spacing w:before="1"/>
        <w:rPr>
          <w:sz w:val="25"/>
        </w:rPr>
      </w:pPr>
    </w:p>
    <w:p>
      <w:pPr>
        <w:spacing w:before="0"/>
        <w:ind w:left="103" w:right="0" w:firstLine="0"/>
        <w:jc w:val="both"/>
        <w:rPr>
          <w:rFonts w:ascii="Arial"/>
          <w:i/>
          <w:sz w:val="21"/>
        </w:rPr>
      </w:pPr>
      <w:r>
        <w:rPr>
          <w:rFonts w:ascii="Arial"/>
          <w:i/>
          <w:color w:val="231F20"/>
          <w:sz w:val="21"/>
        </w:rPr>
        <w:t>Paradossi fittizie vs. Paradossi radicali</w:t>
      </w:r>
    </w:p>
    <w:p>
      <w:pPr>
        <w:pStyle w:val="BodyText"/>
        <w:rPr>
          <w:rFonts w:ascii="Arial"/>
          <w:i/>
          <w:sz w:val="20"/>
        </w:rPr>
      </w:pPr>
    </w:p>
    <w:p>
      <w:pPr>
        <w:pStyle w:val="BodyText"/>
        <w:spacing w:line="247" w:lineRule="auto" w:before="172"/>
        <w:ind w:left="103" w:right="105"/>
        <w:jc w:val="both"/>
      </w:pPr>
      <w:r>
        <w:rPr>
          <w:color w:val="231F20"/>
          <w:spacing w:val="3"/>
        </w:rPr>
        <w:t>Come </w:t>
      </w:r>
      <w:r>
        <w:rPr>
          <w:color w:val="231F20"/>
          <w:spacing w:val="4"/>
        </w:rPr>
        <w:t>abbiamo visto, </w:t>
      </w:r>
      <w:r>
        <w:rPr>
          <w:color w:val="231F20"/>
          <w:spacing w:val="2"/>
        </w:rPr>
        <w:t>il </w:t>
      </w:r>
      <w:r>
        <w:rPr>
          <w:color w:val="231F20"/>
          <w:spacing w:val="4"/>
        </w:rPr>
        <w:t>capitalismo </w:t>
      </w:r>
      <w:r>
        <w:rPr>
          <w:color w:val="231F20"/>
          <w:spacing w:val="3"/>
        </w:rPr>
        <w:t>non </w:t>
      </w:r>
      <w:r>
        <w:rPr>
          <w:color w:val="231F20"/>
          <w:spacing w:val="4"/>
        </w:rPr>
        <w:t>risponde </w:t>
      </w:r>
      <w:r>
        <w:rPr>
          <w:color w:val="231F20"/>
        </w:rPr>
        <w:t>a </w:t>
      </w:r>
      <w:r>
        <w:rPr>
          <w:color w:val="231F20"/>
          <w:spacing w:val="2"/>
        </w:rPr>
        <w:t>un </w:t>
      </w:r>
      <w:r>
        <w:rPr>
          <w:color w:val="231F20"/>
          <w:spacing w:val="4"/>
        </w:rPr>
        <w:t>codice </w:t>
      </w:r>
      <w:r>
        <w:rPr>
          <w:color w:val="231F20"/>
        </w:rPr>
        <w:t>o a </w:t>
      </w:r>
      <w:r>
        <w:rPr>
          <w:color w:val="231F20"/>
          <w:spacing w:val="5"/>
        </w:rPr>
        <w:t>un fondamento </w:t>
      </w:r>
      <w:r>
        <w:rPr>
          <w:color w:val="231F20"/>
          <w:spacing w:val="4"/>
        </w:rPr>
        <w:t>fisso, </w:t>
      </w:r>
      <w:r>
        <w:rPr>
          <w:color w:val="231F20"/>
          <w:spacing w:val="3"/>
        </w:rPr>
        <w:t>la </w:t>
      </w:r>
      <w:r>
        <w:rPr>
          <w:color w:val="231F20"/>
          <w:spacing w:val="4"/>
        </w:rPr>
        <w:t>sua </w:t>
      </w:r>
      <w:r>
        <w:rPr>
          <w:color w:val="231F20"/>
          <w:spacing w:val="5"/>
        </w:rPr>
        <w:t>logica risponde </w:t>
      </w:r>
      <w:r>
        <w:rPr>
          <w:color w:val="231F20"/>
        </w:rPr>
        <w:t>a </w:t>
      </w:r>
      <w:r>
        <w:rPr>
          <w:color w:val="231F20"/>
          <w:spacing w:val="4"/>
        </w:rPr>
        <w:t>una </w:t>
      </w:r>
      <w:r>
        <w:rPr>
          <w:color w:val="231F20"/>
          <w:spacing w:val="6"/>
        </w:rPr>
        <w:t>deterritorializzazione </w:t>
      </w:r>
      <w:r>
        <w:rPr>
          <w:color w:val="231F20"/>
        </w:rPr>
        <w:t>permanente, ma in questa dinamica non respinge la creazione di </w:t>
      </w:r>
      <w:r>
        <w:rPr>
          <w:color w:val="231F20"/>
          <w:spacing w:val="2"/>
        </w:rPr>
        <w:t>codici    </w:t>
      </w:r>
      <w:r>
        <w:rPr>
          <w:color w:val="231F20"/>
        </w:rPr>
        <w:t>e </w:t>
      </w:r>
      <w:r>
        <w:rPr>
          <w:color w:val="231F20"/>
          <w:spacing w:val="5"/>
        </w:rPr>
        <w:t>reterritorializzazioni </w:t>
      </w:r>
      <w:r>
        <w:rPr>
          <w:color w:val="231F20"/>
          <w:spacing w:val="3"/>
        </w:rPr>
        <w:t>di </w:t>
      </w:r>
      <w:r>
        <w:rPr>
          <w:color w:val="231F20"/>
          <w:spacing w:val="4"/>
        </w:rPr>
        <w:t>ogni tipo: dalla </w:t>
      </w:r>
      <w:r>
        <w:rPr>
          <w:color w:val="231F20"/>
          <w:spacing w:val="5"/>
        </w:rPr>
        <w:t>famiglia </w:t>
      </w:r>
      <w:r>
        <w:rPr>
          <w:color w:val="231F20"/>
          <w:spacing w:val="4"/>
        </w:rPr>
        <w:t>alle </w:t>
      </w:r>
      <w:r>
        <w:rPr>
          <w:color w:val="231F20"/>
          <w:spacing w:val="5"/>
        </w:rPr>
        <w:t>tribù, </w:t>
      </w:r>
      <w:r>
        <w:rPr>
          <w:color w:val="231F20"/>
          <w:spacing w:val="3"/>
        </w:rPr>
        <w:t>da il </w:t>
      </w:r>
      <w:r>
        <w:rPr>
          <w:color w:val="231F20"/>
          <w:spacing w:val="6"/>
        </w:rPr>
        <w:t>più </w:t>
      </w:r>
      <w:r>
        <w:rPr>
          <w:color w:val="231F20"/>
        </w:rPr>
        <w:t>tradizionale fino al più avanguardista, da il più classico fino al più </w:t>
      </w:r>
      <w:r>
        <w:rPr>
          <w:rFonts w:ascii="Arial" w:hAnsi="Arial"/>
          <w:i/>
          <w:color w:val="231F20"/>
        </w:rPr>
        <w:t>kistch</w:t>
      </w:r>
      <w:r>
        <w:rPr>
          <w:color w:val="231F20"/>
        </w:rPr>
        <w:t>. Si mostra,</w:t>
      </w:r>
      <w:r>
        <w:rPr>
          <w:color w:val="231F20"/>
          <w:spacing w:val="-20"/>
        </w:rPr>
        <w:t> </w:t>
      </w:r>
      <w:r>
        <w:rPr>
          <w:color w:val="231F20"/>
        </w:rPr>
        <w:t>in</w:t>
      </w:r>
      <w:r>
        <w:rPr>
          <w:color w:val="231F20"/>
          <w:spacing w:val="-20"/>
        </w:rPr>
        <w:t> </w:t>
      </w:r>
      <w:r>
        <w:rPr>
          <w:color w:val="231F20"/>
        </w:rPr>
        <w:t>modo</w:t>
      </w:r>
      <w:r>
        <w:rPr>
          <w:color w:val="231F20"/>
          <w:spacing w:val="-20"/>
        </w:rPr>
        <w:t> </w:t>
      </w:r>
      <w:r>
        <w:rPr>
          <w:color w:val="231F20"/>
        </w:rPr>
        <w:t>simile</w:t>
      </w:r>
      <w:r>
        <w:rPr>
          <w:color w:val="231F20"/>
          <w:spacing w:val="-20"/>
        </w:rPr>
        <w:t> </w:t>
      </w:r>
      <w:r>
        <w:rPr>
          <w:color w:val="231F20"/>
        </w:rPr>
        <w:t>alla</w:t>
      </w:r>
      <w:r>
        <w:rPr>
          <w:color w:val="231F20"/>
          <w:spacing w:val="-20"/>
        </w:rPr>
        <w:t> </w:t>
      </w:r>
      <w:r>
        <w:rPr>
          <w:rFonts w:ascii="Arial" w:hAnsi="Arial"/>
          <w:i/>
          <w:color w:val="231F20"/>
        </w:rPr>
        <w:t>gran</w:t>
      </w:r>
      <w:r>
        <w:rPr>
          <w:rFonts w:ascii="Arial" w:hAnsi="Arial"/>
          <w:i/>
          <w:color w:val="231F20"/>
          <w:spacing w:val="-11"/>
        </w:rPr>
        <w:t> </w:t>
      </w:r>
      <w:r>
        <w:rPr>
          <w:rFonts w:ascii="Arial" w:hAnsi="Arial"/>
          <w:i/>
          <w:color w:val="231F20"/>
        </w:rPr>
        <w:t>deterritorializzata</w:t>
      </w:r>
      <w:r>
        <w:rPr>
          <w:rFonts w:ascii="Arial" w:hAnsi="Arial"/>
          <w:i/>
          <w:color w:val="231F20"/>
          <w:spacing w:val="-11"/>
        </w:rPr>
        <w:t> </w:t>
      </w:r>
      <w:r>
        <w:rPr>
          <w:color w:val="231F20"/>
        </w:rPr>
        <w:t>(la</w:t>
      </w:r>
      <w:r>
        <w:rPr>
          <w:color w:val="231F20"/>
          <w:spacing w:val="-20"/>
        </w:rPr>
        <w:t> </w:t>
      </w:r>
      <w:r>
        <w:rPr>
          <w:color w:val="231F20"/>
          <w:spacing w:val="-4"/>
        </w:rPr>
        <w:t>Terra),</w:t>
      </w:r>
      <w:r>
        <w:rPr>
          <w:color w:val="231F20"/>
          <w:spacing w:val="-20"/>
        </w:rPr>
        <w:t> </w:t>
      </w:r>
      <w:r>
        <w:rPr>
          <w:color w:val="231F20"/>
        </w:rPr>
        <w:t>come</w:t>
      </w:r>
      <w:r>
        <w:rPr>
          <w:color w:val="231F20"/>
          <w:spacing w:val="-20"/>
        </w:rPr>
        <w:t> </w:t>
      </w:r>
      <w:r>
        <w:rPr>
          <w:color w:val="231F20"/>
        </w:rPr>
        <w:t>il</w:t>
      </w:r>
      <w:r>
        <w:rPr>
          <w:color w:val="231F20"/>
          <w:spacing w:val="-20"/>
        </w:rPr>
        <w:t> </w:t>
      </w:r>
      <w:r>
        <w:rPr>
          <w:color w:val="231F20"/>
        </w:rPr>
        <w:t>terreno dal quale è possibile includere e flessibilizzare tutto. Nonostante, </w:t>
      </w:r>
      <w:r>
        <w:rPr>
          <w:color w:val="231F20"/>
          <w:spacing w:val="2"/>
        </w:rPr>
        <w:t>questo </w:t>
      </w:r>
      <w:r>
        <w:rPr>
          <w:color w:val="231F20"/>
        </w:rPr>
        <w:t>gesto inclusivo finisce per eliminare la possibilità della differenza</w:t>
      </w:r>
      <w:r>
        <w:rPr>
          <w:color w:val="231F20"/>
          <w:position w:val="7"/>
          <w:sz w:val="12"/>
        </w:rPr>
        <w:t>41</w:t>
      </w:r>
      <w:r>
        <w:rPr>
          <w:color w:val="231F20"/>
        </w:rPr>
        <w:t>, </w:t>
      </w:r>
      <w:r>
        <w:rPr>
          <w:color w:val="231F20"/>
          <w:spacing w:val="2"/>
        </w:rPr>
        <w:t>non </w:t>
      </w:r>
      <w:r>
        <w:rPr>
          <w:color w:val="231F20"/>
        </w:rPr>
        <w:t>solo perchè il singolo e il locale si omogeneizzano, ma anche perchè </w:t>
      </w:r>
      <w:r>
        <w:rPr>
          <w:color w:val="231F20"/>
          <w:spacing w:val="2"/>
        </w:rPr>
        <w:t>non </w:t>
      </w:r>
      <w:r>
        <w:rPr>
          <w:color w:val="231F20"/>
        </w:rPr>
        <w:t>gli</w:t>
      </w:r>
      <w:r>
        <w:rPr>
          <w:color w:val="231F20"/>
          <w:spacing w:val="-10"/>
        </w:rPr>
        <w:t> </w:t>
      </w:r>
      <w:r>
        <w:rPr>
          <w:color w:val="231F20"/>
        </w:rPr>
        <w:t>può</w:t>
      </w:r>
      <w:r>
        <w:rPr>
          <w:color w:val="231F20"/>
          <w:spacing w:val="-10"/>
        </w:rPr>
        <w:t> </w:t>
      </w:r>
      <w:r>
        <w:rPr>
          <w:color w:val="231F20"/>
        </w:rPr>
        <w:t>integrare</w:t>
      </w:r>
      <w:r>
        <w:rPr>
          <w:color w:val="231F20"/>
          <w:spacing w:val="-10"/>
        </w:rPr>
        <w:t> </w:t>
      </w:r>
      <w:r>
        <w:rPr>
          <w:color w:val="231F20"/>
        </w:rPr>
        <w:t>senza</w:t>
      </w:r>
      <w:r>
        <w:rPr>
          <w:color w:val="231F20"/>
          <w:spacing w:val="-10"/>
        </w:rPr>
        <w:t> </w:t>
      </w:r>
      <w:r>
        <w:rPr>
          <w:color w:val="231F20"/>
        </w:rPr>
        <w:t>dargli</w:t>
      </w:r>
      <w:r>
        <w:rPr>
          <w:color w:val="231F20"/>
          <w:spacing w:val="-10"/>
        </w:rPr>
        <w:t> </w:t>
      </w:r>
      <w:r>
        <w:rPr>
          <w:color w:val="231F20"/>
        </w:rPr>
        <w:t>un</w:t>
      </w:r>
      <w:r>
        <w:rPr>
          <w:color w:val="231F20"/>
          <w:spacing w:val="-10"/>
        </w:rPr>
        <w:t> </w:t>
      </w:r>
      <w:r>
        <w:rPr>
          <w:color w:val="231F20"/>
        </w:rPr>
        <w:t>nome,</w:t>
      </w:r>
      <w:r>
        <w:rPr>
          <w:color w:val="231F20"/>
          <w:spacing w:val="-10"/>
        </w:rPr>
        <w:t> </w:t>
      </w:r>
      <w:r>
        <w:rPr>
          <w:color w:val="231F20"/>
        </w:rPr>
        <w:t>una</w:t>
      </w:r>
      <w:r>
        <w:rPr>
          <w:color w:val="231F20"/>
          <w:spacing w:val="-10"/>
        </w:rPr>
        <w:t> </w:t>
      </w:r>
      <w:r>
        <w:rPr>
          <w:color w:val="231F20"/>
        </w:rPr>
        <w:t>etichetta,</w:t>
      </w:r>
      <w:r>
        <w:rPr>
          <w:color w:val="231F20"/>
          <w:spacing w:val="-10"/>
        </w:rPr>
        <w:t> </w:t>
      </w:r>
      <w:r>
        <w:rPr>
          <w:color w:val="231F20"/>
        </w:rPr>
        <w:t>un’identità.</w:t>
      </w:r>
      <w:r>
        <w:rPr>
          <w:color w:val="231F20"/>
          <w:spacing w:val="-10"/>
        </w:rPr>
        <w:t> </w:t>
      </w:r>
      <w:r>
        <w:rPr>
          <w:color w:val="231F20"/>
        </w:rPr>
        <w:t>La</w:t>
      </w:r>
      <w:r>
        <w:rPr>
          <w:color w:val="231F20"/>
          <w:spacing w:val="-10"/>
        </w:rPr>
        <w:t> </w:t>
      </w:r>
      <w:r>
        <w:rPr>
          <w:color w:val="231F20"/>
        </w:rPr>
        <w:t>logica capitalista non include senza esigere alcun tipo d’identità, d’appartenenza o proprietà, ma non solo le esige, anche le fissa, e con questo il paradosso diventa ancora più ingannevole, diventa il meccanismo attraverso il quale si crea un fuori fittizio per poter nominarlo e poi assorbirlo. Fuori fittizio che</w:t>
      </w:r>
      <w:r>
        <w:rPr>
          <w:color w:val="231F20"/>
          <w:spacing w:val="24"/>
        </w:rPr>
        <w:t> </w:t>
      </w:r>
      <w:r>
        <w:rPr>
          <w:color w:val="231F20"/>
        </w:rPr>
        <w:t>crea</w:t>
      </w:r>
      <w:r>
        <w:rPr>
          <w:color w:val="231F20"/>
          <w:spacing w:val="24"/>
        </w:rPr>
        <w:t> </w:t>
      </w:r>
      <w:r>
        <w:rPr>
          <w:color w:val="231F20"/>
        </w:rPr>
        <w:t>un’altra</w:t>
      </w:r>
      <w:r>
        <w:rPr>
          <w:color w:val="231F20"/>
          <w:spacing w:val="24"/>
        </w:rPr>
        <w:t> </w:t>
      </w:r>
      <w:r>
        <w:rPr>
          <w:color w:val="231F20"/>
        </w:rPr>
        <w:t>finzione:</w:t>
      </w:r>
      <w:r>
        <w:rPr>
          <w:color w:val="231F20"/>
          <w:spacing w:val="24"/>
        </w:rPr>
        <w:t> </w:t>
      </w:r>
      <w:r>
        <w:rPr>
          <w:color w:val="231F20"/>
        </w:rPr>
        <w:t>che</w:t>
      </w:r>
      <w:r>
        <w:rPr>
          <w:color w:val="231F20"/>
          <w:spacing w:val="24"/>
        </w:rPr>
        <w:t> </w:t>
      </w:r>
      <w:r>
        <w:rPr>
          <w:color w:val="231F20"/>
        </w:rPr>
        <w:t>il</w:t>
      </w:r>
      <w:r>
        <w:rPr>
          <w:color w:val="231F20"/>
          <w:spacing w:val="24"/>
        </w:rPr>
        <w:t> </w:t>
      </w:r>
      <w:r>
        <w:rPr>
          <w:color w:val="231F20"/>
        </w:rPr>
        <w:t>capitalismo</w:t>
      </w:r>
      <w:r>
        <w:rPr>
          <w:color w:val="231F20"/>
          <w:spacing w:val="24"/>
        </w:rPr>
        <w:t> </w:t>
      </w:r>
      <w:r>
        <w:rPr>
          <w:color w:val="231F20"/>
        </w:rPr>
        <w:t>manca</w:t>
      </w:r>
      <w:r>
        <w:rPr>
          <w:color w:val="231F20"/>
          <w:spacing w:val="24"/>
        </w:rPr>
        <w:t> </w:t>
      </w:r>
      <w:r>
        <w:rPr>
          <w:color w:val="231F20"/>
        </w:rPr>
        <w:t>di</w:t>
      </w:r>
      <w:r>
        <w:rPr>
          <w:color w:val="231F20"/>
          <w:spacing w:val="24"/>
        </w:rPr>
        <w:t> </w:t>
      </w:r>
      <w:r>
        <w:rPr>
          <w:color w:val="231F20"/>
        </w:rPr>
        <w:t>esterno</w:t>
      </w:r>
      <w:r>
        <w:rPr>
          <w:color w:val="231F20"/>
          <w:position w:val="7"/>
          <w:sz w:val="12"/>
        </w:rPr>
        <w:t>42</w:t>
      </w:r>
      <w:r>
        <w:rPr>
          <w:color w:val="231F20"/>
        </w:rPr>
        <w:t>,</w:t>
      </w:r>
      <w:r>
        <w:rPr>
          <w:color w:val="231F20"/>
          <w:spacing w:val="24"/>
        </w:rPr>
        <w:t> </w:t>
      </w:r>
      <w:r>
        <w:rPr>
          <w:color w:val="231F20"/>
        </w:rPr>
        <w:t>perchè,</w:t>
      </w:r>
    </w:p>
    <w:p>
      <w:pPr>
        <w:pStyle w:val="BodyText"/>
        <w:spacing w:before="9"/>
        <w:rPr>
          <w:sz w:val="28"/>
        </w:rPr>
      </w:pPr>
      <w:r>
        <w:rPr/>
        <w:pict>
          <v:line style="position:absolute;mso-position-horizontal-relative:page;mso-position-vertical-relative:paragraph;z-index:11824;mso-wrap-distance-left:0;mso-wrap-distance-right:0" from="65.1968pt,19.491177pt" to="178.5828pt,19.491177pt" stroked="true" strokeweight=".3pt" strokecolor="#231f20">
            <w10:wrap type="topAndBottom"/>
          </v:line>
        </w:pict>
      </w:r>
    </w:p>
    <w:p>
      <w:pPr>
        <w:spacing w:line="204" w:lineRule="exact" w:before="9"/>
        <w:ind w:left="103" w:right="114" w:firstLine="0"/>
        <w:jc w:val="both"/>
        <w:rPr>
          <w:rFonts w:ascii="Calibri" w:hAnsi="Calibri"/>
          <w:sz w:val="17"/>
        </w:rPr>
      </w:pPr>
      <w:r>
        <w:rPr>
          <w:rFonts w:ascii="Calibri" w:hAnsi="Calibri"/>
          <w:color w:val="231F20"/>
          <w:w w:val="105"/>
          <w:position w:val="6"/>
          <w:sz w:val="10"/>
        </w:rPr>
        <w:t>41 </w:t>
      </w:r>
      <w:r>
        <w:rPr>
          <w:rFonts w:ascii="Calibri" w:hAnsi="Calibri"/>
          <w:color w:val="231F20"/>
          <w:w w:val="105"/>
          <w:sz w:val="17"/>
        </w:rPr>
        <w:t>La </w:t>
      </w:r>
      <w:r>
        <w:rPr>
          <w:rFonts w:ascii="Calibri" w:hAnsi="Calibri"/>
          <w:i/>
          <w:color w:val="231F20"/>
          <w:w w:val="105"/>
          <w:sz w:val="17"/>
        </w:rPr>
        <w:t>differenza </w:t>
      </w:r>
      <w:r>
        <w:rPr>
          <w:rFonts w:ascii="Calibri" w:hAnsi="Calibri"/>
          <w:color w:val="231F20"/>
          <w:w w:val="105"/>
          <w:sz w:val="17"/>
        </w:rPr>
        <w:t>a cui pensa Deleuze è una che non può stabilirsi a partire da un’origine, non è la deviazione</w:t>
      </w:r>
      <w:r>
        <w:rPr>
          <w:rFonts w:ascii="Calibri" w:hAnsi="Calibri"/>
          <w:color w:val="231F20"/>
          <w:spacing w:val="-18"/>
          <w:w w:val="105"/>
          <w:sz w:val="17"/>
        </w:rPr>
        <w:t> </w:t>
      </w:r>
      <w:r>
        <w:rPr>
          <w:rFonts w:ascii="Calibri" w:hAnsi="Calibri"/>
          <w:color w:val="231F20"/>
          <w:w w:val="105"/>
          <w:sz w:val="17"/>
        </w:rPr>
        <w:t>da</w:t>
      </w:r>
      <w:r>
        <w:rPr>
          <w:rFonts w:ascii="Calibri" w:hAnsi="Calibri"/>
          <w:color w:val="231F20"/>
          <w:spacing w:val="-18"/>
          <w:w w:val="105"/>
          <w:sz w:val="17"/>
        </w:rPr>
        <w:t> </w:t>
      </w:r>
      <w:r>
        <w:rPr>
          <w:rFonts w:ascii="Calibri" w:hAnsi="Calibri"/>
          <w:color w:val="231F20"/>
          <w:w w:val="105"/>
          <w:sz w:val="17"/>
        </w:rPr>
        <w:t>un</w:t>
      </w:r>
      <w:r>
        <w:rPr>
          <w:rFonts w:ascii="Calibri" w:hAnsi="Calibri"/>
          <w:color w:val="231F20"/>
          <w:spacing w:val="-18"/>
          <w:w w:val="105"/>
          <w:sz w:val="17"/>
        </w:rPr>
        <w:t> </w:t>
      </w:r>
      <w:r>
        <w:rPr>
          <w:rFonts w:ascii="Calibri" w:hAnsi="Calibri"/>
          <w:color w:val="231F20"/>
          <w:w w:val="105"/>
          <w:sz w:val="17"/>
        </w:rPr>
        <w:t>originale</w:t>
      </w:r>
      <w:r>
        <w:rPr>
          <w:rFonts w:ascii="Calibri" w:hAnsi="Calibri"/>
          <w:color w:val="231F20"/>
          <w:spacing w:val="-18"/>
          <w:w w:val="105"/>
          <w:sz w:val="17"/>
        </w:rPr>
        <w:t> </w:t>
      </w:r>
      <w:r>
        <w:rPr>
          <w:rFonts w:ascii="Calibri" w:hAnsi="Calibri"/>
          <w:color w:val="231F20"/>
          <w:w w:val="105"/>
          <w:sz w:val="17"/>
        </w:rPr>
        <w:t>che</w:t>
      </w:r>
      <w:r>
        <w:rPr>
          <w:rFonts w:ascii="Calibri" w:hAnsi="Calibri"/>
          <w:color w:val="231F20"/>
          <w:spacing w:val="-18"/>
          <w:w w:val="105"/>
          <w:sz w:val="17"/>
        </w:rPr>
        <w:t> </w:t>
      </w:r>
      <w:r>
        <w:rPr>
          <w:rFonts w:ascii="Calibri" w:hAnsi="Calibri"/>
          <w:color w:val="231F20"/>
          <w:w w:val="105"/>
          <w:sz w:val="17"/>
        </w:rPr>
        <w:t>finì</w:t>
      </w:r>
      <w:r>
        <w:rPr>
          <w:rFonts w:ascii="Calibri" w:hAnsi="Calibri"/>
          <w:color w:val="231F20"/>
          <w:spacing w:val="-18"/>
          <w:w w:val="105"/>
          <w:sz w:val="17"/>
        </w:rPr>
        <w:t> </w:t>
      </w:r>
      <w:r>
        <w:rPr>
          <w:rFonts w:ascii="Calibri" w:hAnsi="Calibri"/>
          <w:color w:val="231F20"/>
          <w:w w:val="105"/>
          <w:sz w:val="17"/>
        </w:rPr>
        <w:t>spiegandosi</w:t>
      </w:r>
      <w:r>
        <w:rPr>
          <w:rFonts w:ascii="Calibri" w:hAnsi="Calibri"/>
          <w:color w:val="231F20"/>
          <w:spacing w:val="-18"/>
          <w:w w:val="105"/>
          <w:sz w:val="17"/>
        </w:rPr>
        <w:t> </w:t>
      </w:r>
      <w:r>
        <w:rPr>
          <w:rFonts w:ascii="Calibri" w:hAnsi="Calibri"/>
          <w:color w:val="231F20"/>
          <w:w w:val="105"/>
          <w:sz w:val="17"/>
        </w:rPr>
        <w:t>o</w:t>
      </w:r>
      <w:r>
        <w:rPr>
          <w:rFonts w:ascii="Calibri" w:hAnsi="Calibri"/>
          <w:color w:val="231F20"/>
          <w:spacing w:val="-18"/>
          <w:w w:val="105"/>
          <w:sz w:val="17"/>
        </w:rPr>
        <w:t> </w:t>
      </w:r>
      <w:r>
        <w:rPr>
          <w:rFonts w:ascii="Calibri" w:hAnsi="Calibri"/>
          <w:color w:val="231F20"/>
          <w:w w:val="105"/>
          <w:sz w:val="17"/>
        </w:rPr>
        <w:t>alterandosi;</w:t>
      </w:r>
      <w:r>
        <w:rPr>
          <w:rFonts w:ascii="Calibri" w:hAnsi="Calibri"/>
          <w:color w:val="231F20"/>
          <w:spacing w:val="-18"/>
          <w:w w:val="105"/>
          <w:sz w:val="17"/>
        </w:rPr>
        <w:t> </w:t>
      </w:r>
      <w:r>
        <w:rPr>
          <w:rFonts w:ascii="Calibri" w:hAnsi="Calibri"/>
          <w:color w:val="231F20"/>
          <w:w w:val="105"/>
          <w:sz w:val="17"/>
        </w:rPr>
        <w:t>ma</w:t>
      </w:r>
      <w:r>
        <w:rPr>
          <w:rFonts w:ascii="Calibri" w:hAnsi="Calibri"/>
          <w:color w:val="231F20"/>
          <w:spacing w:val="-18"/>
          <w:w w:val="105"/>
          <w:sz w:val="17"/>
        </w:rPr>
        <w:t> </w:t>
      </w:r>
      <w:r>
        <w:rPr>
          <w:rFonts w:ascii="Calibri" w:hAnsi="Calibri"/>
          <w:color w:val="231F20"/>
          <w:w w:val="105"/>
          <w:sz w:val="17"/>
        </w:rPr>
        <w:t>la</w:t>
      </w:r>
      <w:r>
        <w:rPr>
          <w:rFonts w:ascii="Calibri" w:hAnsi="Calibri"/>
          <w:color w:val="231F20"/>
          <w:spacing w:val="-18"/>
          <w:w w:val="105"/>
          <w:sz w:val="17"/>
        </w:rPr>
        <w:t> </w:t>
      </w:r>
      <w:r>
        <w:rPr>
          <w:rFonts w:ascii="Calibri" w:hAnsi="Calibri"/>
          <w:color w:val="231F20"/>
          <w:w w:val="105"/>
          <w:sz w:val="17"/>
        </w:rPr>
        <w:t>differenza</w:t>
      </w:r>
      <w:r>
        <w:rPr>
          <w:rFonts w:ascii="Calibri" w:hAnsi="Calibri"/>
          <w:color w:val="231F20"/>
          <w:spacing w:val="-18"/>
          <w:w w:val="105"/>
          <w:sz w:val="17"/>
        </w:rPr>
        <w:t> </w:t>
      </w:r>
      <w:r>
        <w:rPr>
          <w:rFonts w:ascii="Calibri" w:hAnsi="Calibri"/>
          <w:color w:val="231F20"/>
          <w:w w:val="105"/>
          <w:sz w:val="17"/>
        </w:rPr>
        <w:t>è</w:t>
      </w:r>
      <w:r>
        <w:rPr>
          <w:rFonts w:ascii="Calibri" w:hAnsi="Calibri"/>
          <w:color w:val="231F20"/>
          <w:spacing w:val="-18"/>
          <w:w w:val="105"/>
          <w:sz w:val="17"/>
        </w:rPr>
        <w:t> </w:t>
      </w:r>
      <w:r>
        <w:rPr>
          <w:rFonts w:ascii="Calibri" w:hAnsi="Calibri"/>
          <w:color w:val="231F20"/>
          <w:w w:val="105"/>
          <w:sz w:val="17"/>
        </w:rPr>
        <w:t>l’originario,</w:t>
      </w:r>
      <w:r>
        <w:rPr>
          <w:rFonts w:ascii="Calibri" w:hAnsi="Calibri"/>
          <w:color w:val="231F20"/>
          <w:spacing w:val="-18"/>
          <w:w w:val="105"/>
          <w:sz w:val="17"/>
        </w:rPr>
        <w:t> </w:t>
      </w:r>
      <w:r>
        <w:rPr>
          <w:rFonts w:ascii="Calibri" w:hAnsi="Calibri"/>
          <w:color w:val="231F20"/>
          <w:w w:val="105"/>
          <w:sz w:val="17"/>
        </w:rPr>
        <w:t>è</w:t>
      </w:r>
      <w:r>
        <w:rPr>
          <w:rFonts w:ascii="Calibri" w:hAnsi="Calibri"/>
          <w:color w:val="231F20"/>
          <w:spacing w:val="-18"/>
          <w:w w:val="105"/>
          <w:sz w:val="17"/>
        </w:rPr>
        <w:t> </w:t>
      </w:r>
      <w:r>
        <w:rPr>
          <w:rFonts w:ascii="Calibri" w:hAnsi="Calibri"/>
          <w:color w:val="231F20"/>
          <w:w w:val="105"/>
          <w:sz w:val="17"/>
        </w:rPr>
        <w:t>la</w:t>
      </w:r>
      <w:r>
        <w:rPr>
          <w:rFonts w:ascii="Calibri" w:hAnsi="Calibri"/>
          <w:color w:val="231F20"/>
          <w:spacing w:val="-18"/>
          <w:w w:val="105"/>
          <w:sz w:val="17"/>
        </w:rPr>
        <w:t> </w:t>
      </w:r>
      <w:r>
        <w:rPr>
          <w:rFonts w:ascii="Calibri" w:hAnsi="Calibri"/>
          <w:color w:val="231F20"/>
          <w:w w:val="105"/>
          <w:sz w:val="17"/>
        </w:rPr>
        <w:t>sua differenziazione</w:t>
      </w:r>
      <w:r>
        <w:rPr>
          <w:rFonts w:ascii="Calibri" w:hAnsi="Calibri"/>
          <w:color w:val="231F20"/>
          <w:spacing w:val="-13"/>
          <w:w w:val="105"/>
          <w:sz w:val="17"/>
        </w:rPr>
        <w:t> </w:t>
      </w:r>
      <w:r>
        <w:rPr>
          <w:rFonts w:ascii="Calibri" w:hAnsi="Calibri"/>
          <w:i/>
          <w:color w:val="231F20"/>
          <w:w w:val="105"/>
          <w:sz w:val="17"/>
        </w:rPr>
        <w:t>intensiva</w:t>
      </w:r>
      <w:r>
        <w:rPr>
          <w:rFonts w:ascii="Calibri" w:hAnsi="Calibri"/>
          <w:i/>
          <w:color w:val="231F20"/>
          <w:spacing w:val="-13"/>
          <w:w w:val="105"/>
          <w:sz w:val="17"/>
        </w:rPr>
        <w:t> </w:t>
      </w:r>
      <w:r>
        <w:rPr>
          <w:rFonts w:ascii="Calibri" w:hAnsi="Calibri"/>
          <w:color w:val="231F20"/>
          <w:w w:val="105"/>
          <w:sz w:val="17"/>
        </w:rPr>
        <w:t>e</w:t>
      </w:r>
      <w:r>
        <w:rPr>
          <w:rFonts w:ascii="Calibri" w:hAnsi="Calibri"/>
          <w:color w:val="231F20"/>
          <w:spacing w:val="-13"/>
          <w:w w:val="105"/>
          <w:sz w:val="17"/>
        </w:rPr>
        <w:t> </w:t>
      </w:r>
      <w:r>
        <w:rPr>
          <w:rFonts w:ascii="Calibri" w:hAnsi="Calibri"/>
          <w:color w:val="231F20"/>
          <w:w w:val="105"/>
          <w:sz w:val="17"/>
        </w:rPr>
        <w:t>non</w:t>
      </w:r>
      <w:r>
        <w:rPr>
          <w:rFonts w:ascii="Calibri" w:hAnsi="Calibri"/>
          <w:color w:val="231F20"/>
          <w:spacing w:val="-13"/>
          <w:w w:val="105"/>
          <w:sz w:val="17"/>
        </w:rPr>
        <w:t> </w:t>
      </w:r>
      <w:r>
        <w:rPr>
          <w:rFonts w:ascii="Calibri" w:hAnsi="Calibri"/>
          <w:color w:val="231F20"/>
          <w:w w:val="105"/>
          <w:sz w:val="17"/>
        </w:rPr>
        <w:t>risponde</w:t>
      </w:r>
      <w:r>
        <w:rPr>
          <w:rFonts w:ascii="Calibri" w:hAnsi="Calibri"/>
          <w:color w:val="231F20"/>
          <w:spacing w:val="-13"/>
          <w:w w:val="105"/>
          <w:sz w:val="17"/>
        </w:rPr>
        <w:t> </w:t>
      </w:r>
      <w:r>
        <w:rPr>
          <w:rFonts w:ascii="Calibri" w:hAnsi="Calibri"/>
          <w:color w:val="231F20"/>
          <w:w w:val="105"/>
          <w:sz w:val="17"/>
        </w:rPr>
        <w:t>a</w:t>
      </w:r>
      <w:r>
        <w:rPr>
          <w:rFonts w:ascii="Calibri" w:hAnsi="Calibri"/>
          <w:color w:val="231F20"/>
          <w:spacing w:val="-13"/>
          <w:w w:val="105"/>
          <w:sz w:val="17"/>
        </w:rPr>
        <w:t> </w:t>
      </w:r>
      <w:r>
        <w:rPr>
          <w:rFonts w:ascii="Calibri" w:hAnsi="Calibri"/>
          <w:color w:val="231F20"/>
          <w:w w:val="105"/>
          <w:sz w:val="17"/>
        </w:rPr>
        <w:t>nessun</w:t>
      </w:r>
      <w:r>
        <w:rPr>
          <w:rFonts w:ascii="Calibri" w:hAnsi="Calibri"/>
          <w:color w:val="231F20"/>
          <w:spacing w:val="-13"/>
          <w:w w:val="105"/>
          <w:sz w:val="17"/>
        </w:rPr>
        <w:t> </w:t>
      </w:r>
      <w:r>
        <w:rPr>
          <w:rFonts w:ascii="Calibri" w:hAnsi="Calibri"/>
          <w:color w:val="231F20"/>
          <w:w w:val="105"/>
          <w:sz w:val="17"/>
        </w:rPr>
        <w:t>originale,</w:t>
      </w:r>
      <w:r>
        <w:rPr>
          <w:rFonts w:ascii="Calibri" w:hAnsi="Calibri"/>
          <w:color w:val="231F20"/>
          <w:spacing w:val="-13"/>
          <w:w w:val="105"/>
          <w:sz w:val="17"/>
        </w:rPr>
        <w:t> </w:t>
      </w:r>
      <w:r>
        <w:rPr>
          <w:rFonts w:ascii="Calibri" w:hAnsi="Calibri"/>
          <w:color w:val="231F20"/>
          <w:w w:val="105"/>
          <w:sz w:val="17"/>
        </w:rPr>
        <w:t>per</w:t>
      </w:r>
      <w:r>
        <w:rPr>
          <w:rFonts w:ascii="Calibri" w:hAnsi="Calibri"/>
          <w:color w:val="231F20"/>
          <w:spacing w:val="-13"/>
          <w:w w:val="105"/>
          <w:sz w:val="17"/>
        </w:rPr>
        <w:t> </w:t>
      </w:r>
      <w:r>
        <w:rPr>
          <w:rFonts w:ascii="Calibri" w:hAnsi="Calibri"/>
          <w:color w:val="231F20"/>
          <w:w w:val="105"/>
          <w:sz w:val="17"/>
        </w:rPr>
        <w:t>questo,</w:t>
      </w:r>
      <w:r>
        <w:rPr>
          <w:rFonts w:ascii="Calibri" w:hAnsi="Calibri"/>
          <w:color w:val="231F20"/>
          <w:spacing w:val="-13"/>
          <w:w w:val="105"/>
          <w:sz w:val="17"/>
        </w:rPr>
        <w:t> </w:t>
      </w:r>
      <w:r>
        <w:rPr>
          <w:rFonts w:ascii="Calibri" w:hAnsi="Calibri"/>
          <w:color w:val="231F20"/>
          <w:w w:val="105"/>
          <w:sz w:val="17"/>
        </w:rPr>
        <w:t>non</w:t>
      </w:r>
      <w:r>
        <w:rPr>
          <w:rFonts w:ascii="Calibri" w:hAnsi="Calibri"/>
          <w:color w:val="231F20"/>
          <w:spacing w:val="-13"/>
          <w:w w:val="105"/>
          <w:sz w:val="17"/>
        </w:rPr>
        <w:t> </w:t>
      </w:r>
      <w:r>
        <w:rPr>
          <w:rFonts w:ascii="Calibri" w:hAnsi="Calibri"/>
          <w:color w:val="231F20"/>
          <w:w w:val="105"/>
          <w:sz w:val="17"/>
        </w:rPr>
        <w:t>può</w:t>
      </w:r>
      <w:r>
        <w:rPr>
          <w:rFonts w:ascii="Calibri" w:hAnsi="Calibri"/>
          <w:color w:val="231F20"/>
          <w:spacing w:val="-13"/>
          <w:w w:val="105"/>
          <w:sz w:val="17"/>
        </w:rPr>
        <w:t> </w:t>
      </w:r>
      <w:r>
        <w:rPr>
          <w:rFonts w:ascii="Calibri" w:hAnsi="Calibri"/>
          <w:color w:val="231F20"/>
          <w:w w:val="105"/>
          <w:sz w:val="17"/>
        </w:rPr>
        <w:t>determinarsi</w:t>
      </w:r>
      <w:r>
        <w:rPr>
          <w:rFonts w:ascii="Calibri" w:hAnsi="Calibri"/>
          <w:color w:val="231F20"/>
          <w:spacing w:val="-13"/>
          <w:w w:val="105"/>
          <w:sz w:val="17"/>
        </w:rPr>
        <w:t> </w:t>
      </w:r>
      <w:r>
        <w:rPr>
          <w:rFonts w:ascii="Calibri" w:hAnsi="Calibri"/>
          <w:color w:val="231F20"/>
          <w:w w:val="105"/>
          <w:sz w:val="17"/>
        </w:rPr>
        <w:t>ne confrontarsi</w:t>
      </w:r>
      <w:r>
        <w:rPr>
          <w:rFonts w:ascii="Calibri" w:hAnsi="Calibri"/>
          <w:color w:val="231F20"/>
          <w:spacing w:val="-10"/>
          <w:w w:val="105"/>
          <w:sz w:val="17"/>
        </w:rPr>
        <w:t> </w:t>
      </w:r>
      <w:r>
        <w:rPr>
          <w:rFonts w:ascii="Calibri" w:hAnsi="Calibri"/>
          <w:color w:val="231F20"/>
          <w:w w:val="105"/>
          <w:sz w:val="17"/>
        </w:rPr>
        <w:t>con</w:t>
      </w:r>
      <w:r>
        <w:rPr>
          <w:rFonts w:ascii="Calibri" w:hAnsi="Calibri"/>
          <w:color w:val="231F20"/>
          <w:spacing w:val="-10"/>
          <w:w w:val="105"/>
          <w:sz w:val="17"/>
        </w:rPr>
        <w:t> </w:t>
      </w:r>
      <w:r>
        <w:rPr>
          <w:rFonts w:ascii="Calibri" w:hAnsi="Calibri"/>
          <w:color w:val="231F20"/>
          <w:w w:val="105"/>
          <w:sz w:val="17"/>
        </w:rPr>
        <w:t>alcun</w:t>
      </w:r>
      <w:r>
        <w:rPr>
          <w:rFonts w:ascii="Calibri" w:hAnsi="Calibri"/>
          <w:color w:val="231F20"/>
          <w:spacing w:val="-10"/>
          <w:w w:val="105"/>
          <w:sz w:val="17"/>
        </w:rPr>
        <w:t> </w:t>
      </w:r>
      <w:r>
        <w:rPr>
          <w:rFonts w:ascii="Calibri" w:hAnsi="Calibri"/>
          <w:color w:val="231F20"/>
          <w:w w:val="105"/>
          <w:sz w:val="17"/>
        </w:rPr>
        <w:t>riferimento</w:t>
      </w:r>
      <w:r>
        <w:rPr>
          <w:rFonts w:ascii="Calibri" w:hAnsi="Calibri"/>
          <w:color w:val="231F20"/>
          <w:spacing w:val="-10"/>
          <w:w w:val="105"/>
          <w:sz w:val="17"/>
        </w:rPr>
        <w:t> </w:t>
      </w:r>
      <w:r>
        <w:rPr>
          <w:rFonts w:ascii="Calibri" w:hAnsi="Calibri"/>
          <w:color w:val="231F20"/>
          <w:w w:val="105"/>
          <w:sz w:val="17"/>
        </w:rPr>
        <w:t>esterno</w:t>
      </w:r>
      <w:r>
        <w:rPr>
          <w:rFonts w:ascii="Calibri" w:hAnsi="Calibri"/>
          <w:color w:val="231F20"/>
          <w:spacing w:val="-10"/>
          <w:w w:val="105"/>
          <w:sz w:val="17"/>
        </w:rPr>
        <w:t> </w:t>
      </w:r>
      <w:r>
        <w:rPr>
          <w:rFonts w:ascii="Calibri" w:hAnsi="Calibri"/>
          <w:color w:val="231F20"/>
          <w:w w:val="105"/>
          <w:sz w:val="17"/>
        </w:rPr>
        <w:t>a</w:t>
      </w:r>
      <w:r>
        <w:rPr>
          <w:rFonts w:ascii="Calibri" w:hAnsi="Calibri"/>
          <w:color w:val="231F20"/>
          <w:spacing w:val="-10"/>
          <w:w w:val="105"/>
          <w:sz w:val="17"/>
        </w:rPr>
        <w:t> </w:t>
      </w:r>
      <w:r>
        <w:rPr>
          <w:rFonts w:ascii="Calibri" w:hAnsi="Calibri"/>
          <w:color w:val="231F20"/>
          <w:w w:val="105"/>
          <w:sz w:val="17"/>
        </w:rPr>
        <w:t>“più</w:t>
      </w:r>
      <w:r>
        <w:rPr>
          <w:rFonts w:ascii="Calibri" w:hAnsi="Calibri"/>
          <w:color w:val="231F20"/>
          <w:spacing w:val="-10"/>
          <w:w w:val="105"/>
          <w:sz w:val="17"/>
        </w:rPr>
        <w:t> </w:t>
      </w:r>
      <w:r>
        <w:rPr>
          <w:rFonts w:ascii="Calibri" w:hAnsi="Calibri"/>
          <w:color w:val="231F20"/>
          <w:w w:val="105"/>
          <w:sz w:val="17"/>
        </w:rPr>
        <w:t>autentico”,</w:t>
      </w:r>
      <w:r>
        <w:rPr>
          <w:rFonts w:ascii="Calibri" w:hAnsi="Calibri"/>
          <w:color w:val="231F20"/>
          <w:spacing w:val="-10"/>
          <w:w w:val="105"/>
          <w:sz w:val="17"/>
        </w:rPr>
        <w:t> </w:t>
      </w:r>
      <w:r>
        <w:rPr>
          <w:rFonts w:ascii="Calibri" w:hAnsi="Calibri"/>
          <w:color w:val="231F20"/>
          <w:w w:val="105"/>
          <w:sz w:val="17"/>
        </w:rPr>
        <w:t>non</w:t>
      </w:r>
      <w:r>
        <w:rPr>
          <w:rFonts w:ascii="Calibri" w:hAnsi="Calibri"/>
          <w:color w:val="231F20"/>
          <w:spacing w:val="-10"/>
          <w:w w:val="105"/>
          <w:sz w:val="17"/>
        </w:rPr>
        <w:t> </w:t>
      </w:r>
      <w:r>
        <w:rPr>
          <w:rFonts w:ascii="Calibri" w:hAnsi="Calibri"/>
          <w:color w:val="231F20"/>
          <w:w w:val="105"/>
          <w:sz w:val="17"/>
        </w:rPr>
        <w:t>può</w:t>
      </w:r>
      <w:r>
        <w:rPr>
          <w:rFonts w:ascii="Calibri" w:hAnsi="Calibri"/>
          <w:color w:val="231F20"/>
          <w:spacing w:val="-10"/>
          <w:w w:val="105"/>
          <w:sz w:val="17"/>
        </w:rPr>
        <w:t> </w:t>
      </w:r>
      <w:r>
        <w:rPr>
          <w:rFonts w:ascii="Calibri" w:hAnsi="Calibri"/>
          <w:color w:val="231F20"/>
          <w:w w:val="105"/>
          <w:sz w:val="17"/>
        </w:rPr>
        <w:t>rappresentare</w:t>
      </w:r>
      <w:r>
        <w:rPr>
          <w:rFonts w:ascii="Calibri" w:hAnsi="Calibri"/>
          <w:color w:val="231F20"/>
          <w:spacing w:val="-10"/>
          <w:w w:val="105"/>
          <w:sz w:val="17"/>
        </w:rPr>
        <w:t> </w:t>
      </w:r>
      <w:r>
        <w:rPr>
          <w:rFonts w:ascii="Calibri" w:hAnsi="Calibri"/>
          <w:color w:val="231F20"/>
          <w:w w:val="105"/>
          <w:sz w:val="17"/>
        </w:rPr>
        <w:t>niente</w:t>
      </w:r>
      <w:r>
        <w:rPr>
          <w:rFonts w:ascii="Calibri" w:hAnsi="Calibri"/>
          <w:color w:val="231F20"/>
          <w:spacing w:val="-10"/>
          <w:w w:val="105"/>
          <w:sz w:val="17"/>
        </w:rPr>
        <w:t> </w:t>
      </w:r>
      <w:r>
        <w:rPr>
          <w:rFonts w:ascii="Calibri" w:hAnsi="Calibri"/>
          <w:color w:val="231F20"/>
          <w:w w:val="105"/>
          <w:sz w:val="17"/>
        </w:rPr>
        <w:t>fuori da</w:t>
      </w:r>
      <w:r>
        <w:rPr>
          <w:rFonts w:ascii="Calibri" w:hAnsi="Calibri"/>
          <w:color w:val="231F20"/>
          <w:spacing w:val="-17"/>
          <w:w w:val="105"/>
          <w:sz w:val="17"/>
        </w:rPr>
        <w:t> </w:t>
      </w:r>
      <w:r>
        <w:rPr>
          <w:rFonts w:ascii="Calibri" w:hAnsi="Calibri"/>
          <w:color w:val="231F20"/>
          <w:w w:val="105"/>
          <w:sz w:val="17"/>
        </w:rPr>
        <w:t>se.</w:t>
      </w:r>
      <w:r>
        <w:rPr>
          <w:rFonts w:ascii="Calibri" w:hAnsi="Calibri"/>
          <w:color w:val="231F20"/>
          <w:spacing w:val="-17"/>
          <w:w w:val="105"/>
          <w:sz w:val="17"/>
        </w:rPr>
        <w:t> </w:t>
      </w:r>
      <w:r>
        <w:rPr>
          <w:rFonts w:ascii="Calibri" w:hAnsi="Calibri"/>
          <w:color w:val="231F20"/>
          <w:w w:val="105"/>
          <w:sz w:val="17"/>
        </w:rPr>
        <w:t>Questa</w:t>
      </w:r>
      <w:r>
        <w:rPr>
          <w:rFonts w:ascii="Calibri" w:hAnsi="Calibri"/>
          <w:color w:val="231F20"/>
          <w:spacing w:val="-17"/>
          <w:w w:val="105"/>
          <w:sz w:val="17"/>
        </w:rPr>
        <w:t> </w:t>
      </w:r>
      <w:r>
        <w:rPr>
          <w:rFonts w:ascii="Calibri" w:hAnsi="Calibri"/>
          <w:color w:val="231F20"/>
          <w:w w:val="105"/>
          <w:sz w:val="17"/>
        </w:rPr>
        <w:t>differenziazione</w:t>
      </w:r>
      <w:r>
        <w:rPr>
          <w:rFonts w:ascii="Calibri" w:hAnsi="Calibri"/>
          <w:color w:val="231F20"/>
          <w:spacing w:val="-17"/>
          <w:w w:val="105"/>
          <w:sz w:val="17"/>
        </w:rPr>
        <w:t> </w:t>
      </w:r>
      <w:r>
        <w:rPr>
          <w:rFonts w:ascii="Calibri" w:hAnsi="Calibri"/>
          <w:color w:val="231F20"/>
          <w:w w:val="105"/>
          <w:sz w:val="17"/>
        </w:rPr>
        <w:t>intensiva</w:t>
      </w:r>
      <w:r>
        <w:rPr>
          <w:rFonts w:ascii="Calibri" w:hAnsi="Calibri"/>
          <w:color w:val="231F20"/>
          <w:spacing w:val="-17"/>
          <w:w w:val="105"/>
          <w:sz w:val="17"/>
        </w:rPr>
        <w:t> </w:t>
      </w:r>
      <w:r>
        <w:rPr>
          <w:rFonts w:ascii="Calibri" w:hAnsi="Calibri"/>
          <w:color w:val="231F20"/>
          <w:w w:val="105"/>
          <w:sz w:val="17"/>
        </w:rPr>
        <w:t>si</w:t>
      </w:r>
      <w:r>
        <w:rPr>
          <w:rFonts w:ascii="Calibri" w:hAnsi="Calibri"/>
          <w:color w:val="231F20"/>
          <w:spacing w:val="-17"/>
          <w:w w:val="105"/>
          <w:sz w:val="17"/>
        </w:rPr>
        <w:t> </w:t>
      </w:r>
      <w:r>
        <w:rPr>
          <w:rFonts w:ascii="Calibri" w:hAnsi="Calibri"/>
          <w:color w:val="231F20"/>
          <w:w w:val="105"/>
          <w:sz w:val="17"/>
        </w:rPr>
        <w:t>realizza</w:t>
      </w:r>
      <w:r>
        <w:rPr>
          <w:rFonts w:ascii="Calibri" w:hAnsi="Calibri"/>
          <w:color w:val="231F20"/>
          <w:spacing w:val="-17"/>
          <w:w w:val="105"/>
          <w:sz w:val="17"/>
        </w:rPr>
        <w:t> </w:t>
      </w:r>
      <w:r>
        <w:rPr>
          <w:rFonts w:ascii="Calibri" w:hAnsi="Calibri"/>
          <w:color w:val="231F20"/>
          <w:w w:val="105"/>
          <w:sz w:val="17"/>
        </w:rPr>
        <w:t>sempre</w:t>
      </w:r>
      <w:r>
        <w:rPr>
          <w:rFonts w:ascii="Calibri" w:hAnsi="Calibri"/>
          <w:color w:val="231F20"/>
          <w:spacing w:val="-17"/>
          <w:w w:val="105"/>
          <w:sz w:val="17"/>
        </w:rPr>
        <w:t> </w:t>
      </w:r>
      <w:r>
        <w:rPr>
          <w:rFonts w:ascii="Calibri" w:hAnsi="Calibri"/>
          <w:color w:val="231F20"/>
          <w:w w:val="105"/>
          <w:sz w:val="17"/>
        </w:rPr>
        <w:t>in</w:t>
      </w:r>
      <w:r>
        <w:rPr>
          <w:rFonts w:ascii="Calibri" w:hAnsi="Calibri"/>
          <w:color w:val="231F20"/>
          <w:spacing w:val="-17"/>
          <w:w w:val="105"/>
          <w:sz w:val="17"/>
        </w:rPr>
        <w:t> </w:t>
      </w:r>
      <w:r>
        <w:rPr>
          <w:rFonts w:ascii="Calibri" w:hAnsi="Calibri"/>
          <w:color w:val="231F20"/>
          <w:w w:val="105"/>
          <w:sz w:val="17"/>
        </w:rPr>
        <w:t>conessione</w:t>
      </w:r>
      <w:r>
        <w:rPr>
          <w:rFonts w:ascii="Calibri" w:hAnsi="Calibri"/>
          <w:color w:val="231F20"/>
          <w:spacing w:val="-17"/>
          <w:w w:val="105"/>
          <w:sz w:val="17"/>
        </w:rPr>
        <w:t> </w:t>
      </w:r>
      <w:r>
        <w:rPr>
          <w:rFonts w:ascii="Calibri" w:hAnsi="Calibri"/>
          <w:color w:val="231F20"/>
          <w:w w:val="105"/>
          <w:sz w:val="17"/>
        </w:rPr>
        <w:t>con</w:t>
      </w:r>
      <w:r>
        <w:rPr>
          <w:rFonts w:ascii="Calibri" w:hAnsi="Calibri"/>
          <w:color w:val="231F20"/>
          <w:spacing w:val="-17"/>
          <w:w w:val="105"/>
          <w:sz w:val="17"/>
        </w:rPr>
        <w:t> </w:t>
      </w:r>
      <w:r>
        <w:rPr>
          <w:rFonts w:ascii="Calibri" w:hAnsi="Calibri"/>
          <w:color w:val="231F20"/>
          <w:w w:val="105"/>
          <w:sz w:val="17"/>
        </w:rPr>
        <w:t>altre</w:t>
      </w:r>
      <w:r>
        <w:rPr>
          <w:rFonts w:ascii="Calibri" w:hAnsi="Calibri"/>
          <w:color w:val="231F20"/>
          <w:spacing w:val="-17"/>
          <w:w w:val="105"/>
          <w:sz w:val="17"/>
        </w:rPr>
        <w:t> </w:t>
      </w:r>
      <w:r>
        <w:rPr>
          <w:rFonts w:ascii="Calibri" w:hAnsi="Calibri"/>
          <w:color w:val="231F20"/>
          <w:w w:val="105"/>
          <w:sz w:val="17"/>
        </w:rPr>
        <w:t>cose,</w:t>
      </w:r>
      <w:r>
        <w:rPr>
          <w:rFonts w:ascii="Calibri" w:hAnsi="Calibri"/>
          <w:color w:val="231F20"/>
          <w:spacing w:val="-17"/>
          <w:w w:val="105"/>
          <w:sz w:val="17"/>
        </w:rPr>
        <w:t> </w:t>
      </w:r>
      <w:r>
        <w:rPr>
          <w:rFonts w:ascii="Calibri" w:hAnsi="Calibri"/>
          <w:color w:val="231F20"/>
          <w:w w:val="105"/>
          <w:sz w:val="17"/>
        </w:rPr>
        <w:t>loro</w:t>
      </w:r>
      <w:r>
        <w:rPr>
          <w:rFonts w:ascii="Calibri" w:hAnsi="Calibri"/>
          <w:color w:val="231F20"/>
          <w:spacing w:val="-17"/>
          <w:w w:val="105"/>
          <w:sz w:val="17"/>
        </w:rPr>
        <w:t> </w:t>
      </w:r>
      <w:r>
        <w:rPr>
          <w:rFonts w:ascii="Calibri" w:hAnsi="Calibri"/>
          <w:color w:val="231F20"/>
          <w:w w:val="105"/>
          <w:sz w:val="17"/>
        </w:rPr>
        <w:t>stesse differenziandosi,</w:t>
      </w:r>
      <w:r>
        <w:rPr>
          <w:rFonts w:ascii="Calibri" w:hAnsi="Calibri"/>
          <w:color w:val="231F20"/>
          <w:spacing w:val="-17"/>
          <w:w w:val="105"/>
          <w:sz w:val="17"/>
        </w:rPr>
        <w:t> </w:t>
      </w:r>
      <w:r>
        <w:rPr>
          <w:rFonts w:ascii="Calibri" w:hAnsi="Calibri"/>
          <w:color w:val="231F20"/>
          <w:w w:val="105"/>
          <w:sz w:val="17"/>
        </w:rPr>
        <w:t>senza</w:t>
      </w:r>
      <w:r>
        <w:rPr>
          <w:rFonts w:ascii="Calibri" w:hAnsi="Calibri"/>
          <w:color w:val="231F20"/>
          <w:spacing w:val="-17"/>
          <w:w w:val="105"/>
          <w:sz w:val="17"/>
        </w:rPr>
        <w:t> </w:t>
      </w:r>
      <w:r>
        <w:rPr>
          <w:rFonts w:ascii="Calibri" w:hAnsi="Calibri"/>
          <w:color w:val="231F20"/>
          <w:w w:val="105"/>
          <w:sz w:val="17"/>
        </w:rPr>
        <w:t>che</w:t>
      </w:r>
      <w:r>
        <w:rPr>
          <w:rFonts w:ascii="Calibri" w:hAnsi="Calibri"/>
          <w:color w:val="231F20"/>
          <w:spacing w:val="-17"/>
          <w:w w:val="105"/>
          <w:sz w:val="17"/>
        </w:rPr>
        <w:t> </w:t>
      </w:r>
      <w:r>
        <w:rPr>
          <w:rFonts w:ascii="Calibri" w:hAnsi="Calibri"/>
          <w:color w:val="231F20"/>
          <w:w w:val="105"/>
          <w:sz w:val="17"/>
        </w:rPr>
        <w:t>debbano</w:t>
      </w:r>
      <w:r>
        <w:rPr>
          <w:rFonts w:ascii="Calibri" w:hAnsi="Calibri"/>
          <w:color w:val="231F20"/>
          <w:spacing w:val="-17"/>
          <w:w w:val="105"/>
          <w:sz w:val="17"/>
        </w:rPr>
        <w:t> </w:t>
      </w:r>
      <w:r>
        <w:rPr>
          <w:rFonts w:ascii="Calibri" w:hAnsi="Calibri"/>
          <w:color w:val="231F20"/>
          <w:w w:val="105"/>
          <w:sz w:val="17"/>
        </w:rPr>
        <w:t>ridursi</w:t>
      </w:r>
      <w:r>
        <w:rPr>
          <w:rFonts w:ascii="Calibri" w:hAnsi="Calibri"/>
          <w:color w:val="231F20"/>
          <w:spacing w:val="-17"/>
          <w:w w:val="105"/>
          <w:sz w:val="17"/>
        </w:rPr>
        <w:t> </w:t>
      </w:r>
      <w:r>
        <w:rPr>
          <w:rFonts w:ascii="Calibri" w:hAnsi="Calibri"/>
          <w:color w:val="231F20"/>
          <w:w w:val="105"/>
          <w:sz w:val="17"/>
        </w:rPr>
        <w:t>a</w:t>
      </w:r>
      <w:r>
        <w:rPr>
          <w:rFonts w:ascii="Calibri" w:hAnsi="Calibri"/>
          <w:color w:val="231F20"/>
          <w:spacing w:val="-19"/>
          <w:w w:val="105"/>
          <w:sz w:val="17"/>
        </w:rPr>
        <w:t> </w:t>
      </w:r>
      <w:r>
        <w:rPr>
          <w:rFonts w:ascii="Calibri" w:hAnsi="Calibri"/>
          <w:color w:val="231F20"/>
          <w:w w:val="105"/>
          <w:sz w:val="17"/>
        </w:rPr>
        <w:t>vicenda</w:t>
      </w:r>
      <w:r>
        <w:rPr>
          <w:rFonts w:ascii="Calibri" w:hAnsi="Calibri"/>
          <w:color w:val="231F20"/>
          <w:spacing w:val="-17"/>
          <w:w w:val="105"/>
          <w:sz w:val="17"/>
        </w:rPr>
        <w:t> </w:t>
      </w:r>
      <w:r>
        <w:rPr>
          <w:rFonts w:ascii="Calibri" w:hAnsi="Calibri"/>
          <w:color w:val="231F20"/>
          <w:w w:val="105"/>
          <w:sz w:val="17"/>
        </w:rPr>
        <w:t>o</w:t>
      </w:r>
      <w:r>
        <w:rPr>
          <w:rFonts w:ascii="Calibri" w:hAnsi="Calibri"/>
          <w:color w:val="231F20"/>
          <w:spacing w:val="-17"/>
          <w:w w:val="105"/>
          <w:sz w:val="17"/>
        </w:rPr>
        <w:t> </w:t>
      </w:r>
      <w:r>
        <w:rPr>
          <w:rFonts w:ascii="Calibri" w:hAnsi="Calibri"/>
          <w:color w:val="231F20"/>
          <w:w w:val="105"/>
          <w:sz w:val="17"/>
        </w:rPr>
        <w:t>ibridarsi.</w:t>
      </w:r>
      <w:r>
        <w:rPr>
          <w:rFonts w:ascii="Calibri" w:hAnsi="Calibri"/>
          <w:color w:val="231F20"/>
          <w:spacing w:val="-17"/>
          <w:w w:val="105"/>
          <w:sz w:val="17"/>
        </w:rPr>
        <w:t> </w:t>
      </w:r>
      <w:r>
        <w:rPr>
          <w:rFonts w:ascii="Calibri" w:hAnsi="Calibri"/>
          <w:color w:val="231F20"/>
          <w:w w:val="105"/>
          <w:sz w:val="17"/>
        </w:rPr>
        <w:t>In</w:t>
      </w:r>
      <w:r>
        <w:rPr>
          <w:rFonts w:ascii="Calibri" w:hAnsi="Calibri"/>
          <w:color w:val="231F20"/>
          <w:spacing w:val="-17"/>
          <w:w w:val="105"/>
          <w:sz w:val="17"/>
        </w:rPr>
        <w:t> </w:t>
      </w:r>
      <w:r>
        <w:rPr>
          <w:rFonts w:ascii="Calibri" w:hAnsi="Calibri"/>
          <w:color w:val="231F20"/>
          <w:w w:val="105"/>
          <w:sz w:val="17"/>
        </w:rPr>
        <w:t>questo</w:t>
      </w:r>
      <w:r>
        <w:rPr>
          <w:rFonts w:ascii="Calibri" w:hAnsi="Calibri"/>
          <w:color w:val="231F20"/>
          <w:spacing w:val="-17"/>
          <w:w w:val="105"/>
          <w:sz w:val="17"/>
        </w:rPr>
        <w:t> </w:t>
      </w:r>
      <w:r>
        <w:rPr>
          <w:rFonts w:ascii="Calibri" w:hAnsi="Calibri"/>
          <w:color w:val="231F20"/>
          <w:w w:val="105"/>
          <w:sz w:val="17"/>
        </w:rPr>
        <w:t>aspetto,</w:t>
      </w:r>
      <w:r>
        <w:rPr>
          <w:rFonts w:ascii="Calibri" w:hAnsi="Calibri"/>
          <w:color w:val="231F20"/>
          <w:spacing w:val="-17"/>
          <w:w w:val="105"/>
          <w:sz w:val="17"/>
        </w:rPr>
        <w:t> </w:t>
      </w:r>
      <w:r>
        <w:rPr>
          <w:rFonts w:ascii="Calibri" w:hAnsi="Calibri"/>
          <w:color w:val="231F20"/>
          <w:w w:val="105"/>
          <w:sz w:val="17"/>
        </w:rPr>
        <w:t>le</w:t>
      </w:r>
      <w:r>
        <w:rPr>
          <w:rFonts w:ascii="Calibri" w:hAnsi="Calibri"/>
          <w:color w:val="231F20"/>
          <w:spacing w:val="-17"/>
          <w:w w:val="105"/>
          <w:sz w:val="17"/>
        </w:rPr>
        <w:t> </w:t>
      </w:r>
      <w:r>
        <w:rPr>
          <w:rFonts w:ascii="Calibri" w:hAnsi="Calibri"/>
          <w:color w:val="231F20"/>
          <w:w w:val="105"/>
          <w:sz w:val="17"/>
        </w:rPr>
        <w:t>particolarità e</w:t>
      </w:r>
      <w:r>
        <w:rPr>
          <w:rFonts w:ascii="Calibri" w:hAnsi="Calibri"/>
          <w:color w:val="231F20"/>
          <w:spacing w:val="-21"/>
          <w:w w:val="105"/>
          <w:sz w:val="17"/>
        </w:rPr>
        <w:t> </w:t>
      </w:r>
      <w:r>
        <w:rPr>
          <w:rFonts w:ascii="Calibri" w:hAnsi="Calibri"/>
          <w:color w:val="231F20"/>
          <w:w w:val="105"/>
          <w:sz w:val="17"/>
        </w:rPr>
        <w:t>le</w:t>
      </w:r>
      <w:r>
        <w:rPr>
          <w:rFonts w:ascii="Calibri" w:hAnsi="Calibri"/>
          <w:color w:val="231F20"/>
          <w:spacing w:val="-21"/>
          <w:w w:val="105"/>
          <w:sz w:val="17"/>
        </w:rPr>
        <w:t> </w:t>
      </w:r>
      <w:r>
        <w:rPr>
          <w:rFonts w:ascii="Calibri" w:hAnsi="Calibri"/>
          <w:color w:val="231F20"/>
          <w:w w:val="105"/>
          <w:sz w:val="17"/>
        </w:rPr>
        <w:t>singolarità</w:t>
      </w:r>
      <w:r>
        <w:rPr>
          <w:rFonts w:ascii="Calibri" w:hAnsi="Calibri"/>
          <w:color w:val="231F20"/>
          <w:spacing w:val="-21"/>
          <w:w w:val="105"/>
          <w:sz w:val="17"/>
        </w:rPr>
        <w:t> </w:t>
      </w:r>
      <w:r>
        <w:rPr>
          <w:rFonts w:ascii="Calibri" w:hAnsi="Calibri"/>
          <w:color w:val="231F20"/>
          <w:w w:val="105"/>
          <w:sz w:val="17"/>
        </w:rPr>
        <w:t>a</w:t>
      </w:r>
      <w:r>
        <w:rPr>
          <w:rFonts w:ascii="Calibri" w:hAnsi="Calibri"/>
          <w:color w:val="231F20"/>
          <w:spacing w:val="-21"/>
          <w:w w:val="105"/>
          <w:sz w:val="17"/>
        </w:rPr>
        <w:t> </w:t>
      </w:r>
      <w:r>
        <w:rPr>
          <w:rFonts w:ascii="Calibri" w:hAnsi="Calibri"/>
          <w:color w:val="231F20"/>
          <w:w w:val="105"/>
          <w:sz w:val="17"/>
        </w:rPr>
        <w:t>cui</w:t>
      </w:r>
      <w:r>
        <w:rPr>
          <w:rFonts w:ascii="Calibri" w:hAnsi="Calibri"/>
          <w:color w:val="231F20"/>
          <w:spacing w:val="-21"/>
          <w:w w:val="105"/>
          <w:sz w:val="17"/>
        </w:rPr>
        <w:t> </w:t>
      </w:r>
      <w:r>
        <w:rPr>
          <w:rFonts w:ascii="Calibri" w:hAnsi="Calibri"/>
          <w:color w:val="231F20"/>
          <w:w w:val="105"/>
          <w:sz w:val="17"/>
        </w:rPr>
        <w:t>scommette</w:t>
      </w:r>
      <w:r>
        <w:rPr>
          <w:rFonts w:ascii="Calibri" w:hAnsi="Calibri"/>
          <w:color w:val="231F20"/>
          <w:spacing w:val="-21"/>
          <w:w w:val="105"/>
          <w:sz w:val="17"/>
        </w:rPr>
        <w:t> </w:t>
      </w:r>
      <w:r>
        <w:rPr>
          <w:rFonts w:ascii="Calibri" w:hAnsi="Calibri"/>
          <w:color w:val="231F20"/>
          <w:w w:val="105"/>
          <w:sz w:val="17"/>
        </w:rPr>
        <w:t>Deleuze</w:t>
      </w:r>
      <w:r>
        <w:rPr>
          <w:rFonts w:ascii="Calibri" w:hAnsi="Calibri"/>
          <w:color w:val="231F20"/>
          <w:spacing w:val="-21"/>
          <w:w w:val="105"/>
          <w:sz w:val="17"/>
        </w:rPr>
        <w:t> </w:t>
      </w:r>
      <w:r>
        <w:rPr>
          <w:rFonts w:ascii="Calibri" w:hAnsi="Calibri"/>
          <w:color w:val="231F20"/>
          <w:w w:val="105"/>
          <w:sz w:val="17"/>
        </w:rPr>
        <w:t>—culturali,</w:t>
      </w:r>
      <w:r>
        <w:rPr>
          <w:rFonts w:ascii="Calibri" w:hAnsi="Calibri"/>
          <w:color w:val="231F20"/>
          <w:spacing w:val="-21"/>
          <w:w w:val="105"/>
          <w:sz w:val="17"/>
        </w:rPr>
        <w:t> </w:t>
      </w:r>
      <w:r>
        <w:rPr>
          <w:rFonts w:ascii="Calibri" w:hAnsi="Calibri"/>
          <w:color w:val="231F20"/>
          <w:w w:val="105"/>
          <w:sz w:val="17"/>
        </w:rPr>
        <w:t>politiche,</w:t>
      </w:r>
      <w:r>
        <w:rPr>
          <w:rFonts w:ascii="Calibri" w:hAnsi="Calibri"/>
          <w:color w:val="231F20"/>
          <w:spacing w:val="-21"/>
          <w:w w:val="105"/>
          <w:sz w:val="17"/>
        </w:rPr>
        <w:t> </w:t>
      </w:r>
      <w:r>
        <w:rPr>
          <w:rFonts w:ascii="Calibri" w:hAnsi="Calibri"/>
          <w:color w:val="231F20"/>
          <w:w w:val="105"/>
          <w:sz w:val="17"/>
        </w:rPr>
        <w:t>sociali,</w:t>
      </w:r>
      <w:r>
        <w:rPr>
          <w:rFonts w:ascii="Calibri" w:hAnsi="Calibri"/>
          <w:color w:val="231F20"/>
          <w:spacing w:val="-21"/>
          <w:w w:val="105"/>
          <w:sz w:val="17"/>
        </w:rPr>
        <w:t> </w:t>
      </w:r>
      <w:r>
        <w:rPr>
          <w:rFonts w:ascii="Calibri" w:hAnsi="Calibri"/>
          <w:color w:val="231F20"/>
          <w:w w:val="105"/>
          <w:sz w:val="17"/>
        </w:rPr>
        <w:t>ecc.—</w:t>
      </w:r>
      <w:r>
        <w:rPr>
          <w:rFonts w:ascii="Calibri" w:hAnsi="Calibri"/>
          <w:color w:val="231F20"/>
          <w:spacing w:val="-21"/>
          <w:w w:val="105"/>
          <w:sz w:val="17"/>
        </w:rPr>
        <w:t> </w:t>
      </w:r>
      <w:r>
        <w:rPr>
          <w:rFonts w:ascii="Calibri" w:hAnsi="Calibri"/>
          <w:color w:val="231F20"/>
          <w:w w:val="105"/>
          <w:sz w:val="17"/>
        </w:rPr>
        <w:t>non</w:t>
      </w:r>
      <w:r>
        <w:rPr>
          <w:rFonts w:ascii="Calibri" w:hAnsi="Calibri"/>
          <w:color w:val="231F20"/>
          <w:spacing w:val="-21"/>
          <w:w w:val="105"/>
          <w:sz w:val="17"/>
        </w:rPr>
        <w:t> </w:t>
      </w:r>
      <w:r>
        <w:rPr>
          <w:rFonts w:ascii="Calibri" w:hAnsi="Calibri"/>
          <w:color w:val="231F20"/>
          <w:w w:val="105"/>
          <w:sz w:val="17"/>
        </w:rPr>
        <w:t>potrebbero</w:t>
      </w:r>
      <w:r>
        <w:rPr>
          <w:rFonts w:ascii="Calibri" w:hAnsi="Calibri"/>
          <w:color w:val="231F20"/>
          <w:spacing w:val="-21"/>
          <w:w w:val="105"/>
          <w:sz w:val="17"/>
        </w:rPr>
        <w:t> </w:t>
      </w:r>
      <w:r>
        <w:rPr>
          <w:rFonts w:ascii="Calibri" w:hAnsi="Calibri"/>
          <w:color w:val="231F20"/>
          <w:w w:val="105"/>
          <w:sz w:val="17"/>
        </w:rPr>
        <w:t>ridursi a</w:t>
      </w:r>
      <w:r>
        <w:rPr>
          <w:rFonts w:ascii="Calibri" w:hAnsi="Calibri"/>
          <w:color w:val="231F20"/>
          <w:spacing w:val="-3"/>
          <w:w w:val="105"/>
          <w:sz w:val="17"/>
        </w:rPr>
        <w:t> </w:t>
      </w:r>
      <w:r>
        <w:rPr>
          <w:rFonts w:ascii="Calibri" w:hAnsi="Calibri"/>
          <w:color w:val="231F20"/>
          <w:w w:val="105"/>
          <w:sz w:val="17"/>
        </w:rPr>
        <w:t>nessun</w:t>
      </w:r>
      <w:r>
        <w:rPr>
          <w:rFonts w:ascii="Calibri" w:hAnsi="Calibri"/>
          <w:color w:val="231F20"/>
          <w:spacing w:val="-3"/>
          <w:w w:val="105"/>
          <w:sz w:val="17"/>
        </w:rPr>
        <w:t> </w:t>
      </w:r>
      <w:r>
        <w:rPr>
          <w:rFonts w:ascii="Calibri" w:hAnsi="Calibri"/>
          <w:color w:val="231F20"/>
          <w:w w:val="105"/>
          <w:sz w:val="17"/>
        </w:rPr>
        <w:t>modello</w:t>
      </w:r>
      <w:r>
        <w:rPr>
          <w:rFonts w:ascii="Calibri" w:hAnsi="Calibri"/>
          <w:color w:val="231F20"/>
          <w:spacing w:val="-3"/>
          <w:w w:val="105"/>
          <w:sz w:val="17"/>
        </w:rPr>
        <w:t> </w:t>
      </w:r>
      <w:r>
        <w:rPr>
          <w:rFonts w:ascii="Calibri" w:hAnsi="Calibri"/>
          <w:color w:val="231F20"/>
          <w:w w:val="105"/>
          <w:sz w:val="17"/>
        </w:rPr>
        <w:t>generale</w:t>
      </w:r>
      <w:r>
        <w:rPr>
          <w:rFonts w:ascii="Calibri" w:hAnsi="Calibri"/>
          <w:color w:val="231F20"/>
          <w:spacing w:val="-3"/>
          <w:w w:val="105"/>
          <w:sz w:val="17"/>
        </w:rPr>
        <w:t> </w:t>
      </w:r>
      <w:r>
        <w:rPr>
          <w:rFonts w:ascii="Calibri" w:hAnsi="Calibri"/>
          <w:color w:val="231F20"/>
          <w:w w:val="105"/>
          <w:sz w:val="17"/>
        </w:rPr>
        <w:t>oppure</w:t>
      </w:r>
      <w:r>
        <w:rPr>
          <w:rFonts w:ascii="Calibri" w:hAnsi="Calibri"/>
          <w:color w:val="231F20"/>
          <w:spacing w:val="-3"/>
          <w:w w:val="105"/>
          <w:sz w:val="17"/>
        </w:rPr>
        <w:t> </w:t>
      </w:r>
      <w:r>
        <w:rPr>
          <w:rFonts w:ascii="Calibri" w:hAnsi="Calibri"/>
          <w:color w:val="231F20"/>
          <w:w w:val="105"/>
          <w:sz w:val="17"/>
        </w:rPr>
        <w:t>originale,</w:t>
      </w:r>
      <w:r>
        <w:rPr>
          <w:rFonts w:ascii="Calibri" w:hAnsi="Calibri"/>
          <w:color w:val="231F20"/>
          <w:spacing w:val="-3"/>
          <w:w w:val="105"/>
          <w:sz w:val="17"/>
        </w:rPr>
        <w:t> </w:t>
      </w:r>
      <w:r>
        <w:rPr>
          <w:rFonts w:ascii="Calibri" w:hAnsi="Calibri"/>
          <w:color w:val="231F20"/>
          <w:w w:val="105"/>
          <w:sz w:val="17"/>
        </w:rPr>
        <w:t>ma</w:t>
      </w:r>
      <w:r>
        <w:rPr>
          <w:rFonts w:ascii="Calibri" w:hAnsi="Calibri"/>
          <w:color w:val="231F20"/>
          <w:spacing w:val="-3"/>
          <w:w w:val="105"/>
          <w:sz w:val="17"/>
        </w:rPr>
        <w:t> </w:t>
      </w:r>
      <w:r>
        <w:rPr>
          <w:rFonts w:ascii="Calibri" w:hAnsi="Calibri"/>
          <w:color w:val="231F20"/>
          <w:w w:val="105"/>
          <w:sz w:val="17"/>
        </w:rPr>
        <w:t>neanche</w:t>
      </w:r>
      <w:r>
        <w:rPr>
          <w:rFonts w:ascii="Calibri" w:hAnsi="Calibri"/>
          <w:color w:val="231F20"/>
          <w:spacing w:val="-3"/>
          <w:w w:val="105"/>
          <w:sz w:val="17"/>
        </w:rPr>
        <w:t> </w:t>
      </w:r>
      <w:r>
        <w:rPr>
          <w:rFonts w:ascii="Calibri" w:hAnsi="Calibri"/>
          <w:color w:val="231F20"/>
          <w:w w:val="105"/>
          <w:sz w:val="17"/>
        </w:rPr>
        <w:t>conformerebbero</w:t>
      </w:r>
      <w:r>
        <w:rPr>
          <w:rFonts w:ascii="Calibri" w:hAnsi="Calibri"/>
          <w:color w:val="231F20"/>
          <w:spacing w:val="-3"/>
          <w:w w:val="105"/>
          <w:sz w:val="17"/>
        </w:rPr>
        <w:t> </w:t>
      </w:r>
      <w:r>
        <w:rPr>
          <w:rFonts w:ascii="Calibri" w:hAnsi="Calibri"/>
          <w:color w:val="231F20"/>
          <w:w w:val="105"/>
          <w:sz w:val="17"/>
        </w:rPr>
        <w:t>delle</w:t>
      </w:r>
      <w:r>
        <w:rPr>
          <w:rFonts w:ascii="Calibri" w:hAnsi="Calibri"/>
          <w:color w:val="231F20"/>
          <w:spacing w:val="-3"/>
          <w:w w:val="105"/>
          <w:sz w:val="17"/>
        </w:rPr>
        <w:t> </w:t>
      </w:r>
      <w:r>
        <w:rPr>
          <w:rFonts w:ascii="Calibri" w:hAnsi="Calibri"/>
          <w:color w:val="231F20"/>
          <w:w w:val="105"/>
          <w:sz w:val="17"/>
        </w:rPr>
        <w:t>unità</w:t>
      </w:r>
      <w:r>
        <w:rPr>
          <w:rFonts w:ascii="Calibri" w:hAnsi="Calibri"/>
          <w:color w:val="231F20"/>
          <w:spacing w:val="-3"/>
          <w:w w:val="105"/>
          <w:sz w:val="17"/>
        </w:rPr>
        <w:t> </w:t>
      </w:r>
      <w:r>
        <w:rPr>
          <w:rFonts w:ascii="Calibri" w:hAnsi="Calibri"/>
          <w:color w:val="231F20"/>
          <w:w w:val="105"/>
          <w:sz w:val="17"/>
        </w:rPr>
        <w:t>coerenti e permanenti, precisamente perchè non smettono di differenziarsi e di crearsi ad ogni nuova connessione. Non c’è origine ma solo superficie, così, i simulacri sono tutto, perchè non hanno più</w:t>
      </w:r>
      <w:r>
        <w:rPr>
          <w:rFonts w:ascii="Calibri" w:hAnsi="Calibri"/>
          <w:color w:val="231F20"/>
          <w:spacing w:val="-11"/>
          <w:w w:val="105"/>
          <w:sz w:val="17"/>
        </w:rPr>
        <w:t> </w:t>
      </w:r>
      <w:r>
        <w:rPr>
          <w:rFonts w:ascii="Calibri" w:hAnsi="Calibri"/>
          <w:color w:val="231F20"/>
          <w:w w:val="105"/>
          <w:sz w:val="17"/>
        </w:rPr>
        <w:t>un</w:t>
      </w:r>
      <w:r>
        <w:rPr>
          <w:rFonts w:ascii="Calibri" w:hAnsi="Calibri"/>
          <w:color w:val="231F20"/>
          <w:spacing w:val="-11"/>
          <w:w w:val="105"/>
          <w:sz w:val="17"/>
        </w:rPr>
        <w:t> </w:t>
      </w:r>
      <w:r>
        <w:rPr>
          <w:rFonts w:ascii="Calibri" w:hAnsi="Calibri"/>
          <w:color w:val="231F20"/>
          <w:w w:val="105"/>
          <w:sz w:val="17"/>
        </w:rPr>
        <w:t>originale</w:t>
      </w:r>
      <w:r>
        <w:rPr>
          <w:rFonts w:ascii="Calibri" w:hAnsi="Calibri"/>
          <w:color w:val="231F20"/>
          <w:spacing w:val="-11"/>
          <w:w w:val="105"/>
          <w:sz w:val="17"/>
        </w:rPr>
        <w:t> </w:t>
      </w:r>
      <w:r>
        <w:rPr>
          <w:rFonts w:ascii="Calibri" w:hAnsi="Calibri"/>
          <w:color w:val="231F20"/>
          <w:w w:val="105"/>
          <w:sz w:val="17"/>
        </w:rPr>
        <w:t>a</w:t>
      </w:r>
      <w:r>
        <w:rPr>
          <w:rFonts w:ascii="Calibri" w:hAnsi="Calibri"/>
          <w:color w:val="231F20"/>
          <w:spacing w:val="-11"/>
          <w:w w:val="105"/>
          <w:sz w:val="17"/>
        </w:rPr>
        <w:t> </w:t>
      </w:r>
      <w:r>
        <w:rPr>
          <w:rFonts w:ascii="Calibri" w:hAnsi="Calibri"/>
          <w:color w:val="231F20"/>
          <w:w w:val="105"/>
          <w:sz w:val="17"/>
        </w:rPr>
        <w:t>cui</w:t>
      </w:r>
      <w:r>
        <w:rPr>
          <w:rFonts w:ascii="Calibri" w:hAnsi="Calibri"/>
          <w:color w:val="231F20"/>
          <w:spacing w:val="-11"/>
          <w:w w:val="105"/>
          <w:sz w:val="17"/>
        </w:rPr>
        <w:t> </w:t>
      </w:r>
      <w:r>
        <w:rPr>
          <w:rFonts w:ascii="Calibri" w:hAnsi="Calibri"/>
          <w:color w:val="231F20"/>
          <w:w w:val="105"/>
          <w:sz w:val="17"/>
        </w:rPr>
        <w:t>rispondere.</w:t>
      </w:r>
      <w:r>
        <w:rPr>
          <w:rFonts w:ascii="Calibri" w:hAnsi="Calibri"/>
          <w:color w:val="231F20"/>
          <w:spacing w:val="-11"/>
          <w:w w:val="105"/>
          <w:sz w:val="17"/>
        </w:rPr>
        <w:t> </w:t>
      </w:r>
      <w:r>
        <w:rPr>
          <w:rFonts w:ascii="Calibri" w:hAnsi="Calibri"/>
          <w:color w:val="231F20"/>
          <w:w w:val="105"/>
          <w:sz w:val="17"/>
        </w:rPr>
        <w:t>Il</w:t>
      </w:r>
      <w:r>
        <w:rPr>
          <w:rFonts w:ascii="Calibri" w:hAnsi="Calibri"/>
          <w:color w:val="231F20"/>
          <w:spacing w:val="-11"/>
          <w:w w:val="105"/>
          <w:sz w:val="17"/>
        </w:rPr>
        <w:t> </w:t>
      </w:r>
      <w:r>
        <w:rPr>
          <w:rFonts w:ascii="Calibri" w:hAnsi="Calibri"/>
          <w:color w:val="231F20"/>
          <w:w w:val="105"/>
          <w:sz w:val="17"/>
        </w:rPr>
        <w:t>mondo</w:t>
      </w:r>
      <w:r>
        <w:rPr>
          <w:rFonts w:ascii="Calibri" w:hAnsi="Calibri"/>
          <w:color w:val="231F20"/>
          <w:spacing w:val="-11"/>
          <w:w w:val="105"/>
          <w:sz w:val="17"/>
        </w:rPr>
        <w:t> </w:t>
      </w:r>
      <w:r>
        <w:rPr>
          <w:rFonts w:ascii="Calibri" w:hAnsi="Calibri"/>
          <w:color w:val="231F20"/>
          <w:w w:val="105"/>
          <w:sz w:val="17"/>
        </w:rPr>
        <w:t>risponde</w:t>
      </w:r>
      <w:r>
        <w:rPr>
          <w:rFonts w:ascii="Calibri" w:hAnsi="Calibri"/>
          <w:color w:val="231F20"/>
          <w:spacing w:val="-11"/>
          <w:w w:val="105"/>
          <w:sz w:val="17"/>
        </w:rPr>
        <w:t> </w:t>
      </w:r>
      <w:r>
        <w:rPr>
          <w:rFonts w:ascii="Calibri" w:hAnsi="Calibri"/>
          <w:color w:val="231F20"/>
          <w:w w:val="105"/>
          <w:sz w:val="17"/>
        </w:rPr>
        <w:t>ad</w:t>
      </w:r>
      <w:r>
        <w:rPr>
          <w:rFonts w:ascii="Calibri" w:hAnsi="Calibri"/>
          <w:color w:val="231F20"/>
          <w:spacing w:val="-11"/>
          <w:w w:val="105"/>
          <w:sz w:val="17"/>
        </w:rPr>
        <w:t> </w:t>
      </w:r>
      <w:r>
        <w:rPr>
          <w:rFonts w:ascii="Calibri" w:hAnsi="Calibri"/>
          <w:color w:val="231F20"/>
          <w:w w:val="105"/>
          <w:sz w:val="17"/>
        </w:rPr>
        <w:t>una</w:t>
      </w:r>
      <w:r>
        <w:rPr>
          <w:rFonts w:ascii="Calibri" w:hAnsi="Calibri"/>
          <w:color w:val="231F20"/>
          <w:spacing w:val="-11"/>
          <w:w w:val="105"/>
          <w:sz w:val="17"/>
        </w:rPr>
        <w:t> </w:t>
      </w:r>
      <w:r>
        <w:rPr>
          <w:rFonts w:ascii="Calibri" w:hAnsi="Calibri"/>
          <w:color w:val="231F20"/>
          <w:w w:val="105"/>
          <w:sz w:val="17"/>
        </w:rPr>
        <w:t>interminabile</w:t>
      </w:r>
      <w:r>
        <w:rPr>
          <w:rFonts w:ascii="Calibri" w:hAnsi="Calibri"/>
          <w:color w:val="231F20"/>
          <w:spacing w:val="-11"/>
          <w:w w:val="105"/>
          <w:sz w:val="17"/>
        </w:rPr>
        <w:t> </w:t>
      </w:r>
      <w:r>
        <w:rPr>
          <w:rFonts w:ascii="Calibri" w:hAnsi="Calibri"/>
          <w:color w:val="231F20"/>
          <w:w w:val="105"/>
          <w:sz w:val="17"/>
        </w:rPr>
        <w:t>dinamica</w:t>
      </w:r>
      <w:r>
        <w:rPr>
          <w:rFonts w:ascii="Calibri" w:hAnsi="Calibri"/>
          <w:color w:val="231F20"/>
          <w:spacing w:val="-11"/>
          <w:w w:val="105"/>
          <w:sz w:val="17"/>
        </w:rPr>
        <w:t> </w:t>
      </w:r>
      <w:r>
        <w:rPr>
          <w:rFonts w:ascii="Calibri" w:hAnsi="Calibri"/>
          <w:color w:val="231F20"/>
          <w:w w:val="105"/>
          <w:sz w:val="17"/>
        </w:rPr>
        <w:t>di</w:t>
      </w:r>
      <w:r>
        <w:rPr>
          <w:rFonts w:ascii="Calibri" w:hAnsi="Calibri"/>
          <w:color w:val="231F20"/>
          <w:spacing w:val="-11"/>
          <w:w w:val="105"/>
          <w:sz w:val="17"/>
        </w:rPr>
        <w:t> </w:t>
      </w:r>
      <w:r>
        <w:rPr>
          <w:rFonts w:ascii="Calibri" w:hAnsi="Calibri"/>
          <w:color w:val="231F20"/>
          <w:w w:val="105"/>
          <w:sz w:val="17"/>
        </w:rPr>
        <w:t>connessioni e sconnessioni, accoppiamenti e disaccoppiamenti, territorializzazioni e deterritorializzazioni,</w:t>
      </w:r>
      <w:r>
        <w:rPr>
          <w:rFonts w:ascii="Calibri" w:hAnsi="Calibri"/>
          <w:color w:val="231F20"/>
          <w:spacing w:val="-8"/>
          <w:w w:val="105"/>
          <w:sz w:val="17"/>
        </w:rPr>
        <w:t> </w:t>
      </w:r>
      <w:r>
        <w:rPr>
          <w:rFonts w:ascii="Calibri" w:hAnsi="Calibri"/>
          <w:color w:val="231F20"/>
          <w:w w:val="105"/>
          <w:sz w:val="17"/>
        </w:rPr>
        <w:t>di differenze che si collegano con altre differenze a partire dalle loro differenze: “Il simulacro è il sistema</w:t>
      </w:r>
      <w:r>
        <w:rPr>
          <w:rFonts w:ascii="Calibri" w:hAnsi="Calibri"/>
          <w:color w:val="231F20"/>
          <w:spacing w:val="-13"/>
          <w:w w:val="105"/>
          <w:sz w:val="17"/>
        </w:rPr>
        <w:t> </w:t>
      </w:r>
      <w:r>
        <w:rPr>
          <w:rFonts w:ascii="Calibri" w:hAnsi="Calibri"/>
          <w:color w:val="231F20"/>
          <w:w w:val="105"/>
          <w:sz w:val="17"/>
        </w:rPr>
        <w:t>dove</w:t>
      </w:r>
      <w:r>
        <w:rPr>
          <w:rFonts w:ascii="Calibri" w:hAnsi="Calibri"/>
          <w:color w:val="231F20"/>
          <w:spacing w:val="-13"/>
          <w:w w:val="105"/>
          <w:sz w:val="17"/>
        </w:rPr>
        <w:t> </w:t>
      </w:r>
      <w:r>
        <w:rPr>
          <w:rFonts w:ascii="Calibri" w:hAnsi="Calibri"/>
          <w:color w:val="231F20"/>
          <w:w w:val="105"/>
          <w:sz w:val="17"/>
        </w:rPr>
        <w:t>il</w:t>
      </w:r>
      <w:r>
        <w:rPr>
          <w:rFonts w:ascii="Calibri" w:hAnsi="Calibri"/>
          <w:color w:val="231F20"/>
          <w:spacing w:val="-13"/>
          <w:w w:val="105"/>
          <w:sz w:val="17"/>
        </w:rPr>
        <w:t> </w:t>
      </w:r>
      <w:r>
        <w:rPr>
          <w:rFonts w:ascii="Calibri" w:hAnsi="Calibri"/>
          <w:color w:val="231F20"/>
          <w:w w:val="105"/>
          <w:sz w:val="17"/>
        </w:rPr>
        <w:t>differente</w:t>
      </w:r>
      <w:r>
        <w:rPr>
          <w:rFonts w:ascii="Calibri" w:hAnsi="Calibri"/>
          <w:color w:val="231F20"/>
          <w:spacing w:val="-13"/>
          <w:w w:val="105"/>
          <w:sz w:val="17"/>
        </w:rPr>
        <w:t> </w:t>
      </w:r>
      <w:r>
        <w:rPr>
          <w:rFonts w:ascii="Calibri" w:hAnsi="Calibri"/>
          <w:color w:val="231F20"/>
          <w:w w:val="105"/>
          <w:sz w:val="17"/>
        </w:rPr>
        <w:t>si</w:t>
      </w:r>
      <w:r>
        <w:rPr>
          <w:rFonts w:ascii="Calibri" w:hAnsi="Calibri"/>
          <w:color w:val="231F20"/>
          <w:spacing w:val="-13"/>
          <w:w w:val="105"/>
          <w:sz w:val="17"/>
        </w:rPr>
        <w:t> </w:t>
      </w:r>
      <w:r>
        <w:rPr>
          <w:rFonts w:ascii="Calibri" w:hAnsi="Calibri"/>
          <w:color w:val="231F20"/>
          <w:w w:val="105"/>
          <w:sz w:val="17"/>
        </w:rPr>
        <w:t>relaziona</w:t>
      </w:r>
      <w:r>
        <w:rPr>
          <w:rFonts w:ascii="Calibri" w:hAnsi="Calibri"/>
          <w:color w:val="231F20"/>
          <w:spacing w:val="-13"/>
          <w:w w:val="105"/>
          <w:sz w:val="17"/>
        </w:rPr>
        <w:t> </w:t>
      </w:r>
      <w:r>
        <w:rPr>
          <w:rFonts w:ascii="Calibri" w:hAnsi="Calibri"/>
          <w:color w:val="231F20"/>
          <w:w w:val="105"/>
          <w:sz w:val="17"/>
        </w:rPr>
        <w:t>con</w:t>
      </w:r>
      <w:r>
        <w:rPr>
          <w:rFonts w:ascii="Calibri" w:hAnsi="Calibri"/>
          <w:color w:val="231F20"/>
          <w:spacing w:val="-13"/>
          <w:w w:val="105"/>
          <w:sz w:val="17"/>
        </w:rPr>
        <w:t> </w:t>
      </w:r>
      <w:r>
        <w:rPr>
          <w:rFonts w:ascii="Calibri" w:hAnsi="Calibri"/>
          <w:color w:val="231F20"/>
          <w:w w:val="105"/>
          <w:sz w:val="17"/>
        </w:rPr>
        <w:t>i</w:t>
      </w:r>
      <w:r>
        <w:rPr>
          <w:rFonts w:ascii="Calibri" w:hAnsi="Calibri"/>
          <w:color w:val="231F20"/>
          <w:spacing w:val="-13"/>
          <w:w w:val="105"/>
          <w:sz w:val="17"/>
        </w:rPr>
        <w:t> </w:t>
      </w:r>
      <w:r>
        <w:rPr>
          <w:rFonts w:ascii="Calibri" w:hAnsi="Calibri"/>
          <w:color w:val="231F20"/>
          <w:w w:val="105"/>
          <w:sz w:val="17"/>
        </w:rPr>
        <w:t>differenti</w:t>
      </w:r>
      <w:r>
        <w:rPr>
          <w:rFonts w:ascii="Calibri" w:hAnsi="Calibri"/>
          <w:color w:val="231F20"/>
          <w:spacing w:val="-13"/>
          <w:w w:val="105"/>
          <w:sz w:val="17"/>
        </w:rPr>
        <w:t> </w:t>
      </w:r>
      <w:r>
        <w:rPr>
          <w:rFonts w:ascii="Calibri" w:hAnsi="Calibri"/>
          <w:color w:val="231F20"/>
          <w:w w:val="105"/>
          <w:sz w:val="17"/>
        </w:rPr>
        <w:t>per</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differenza</w:t>
      </w:r>
      <w:r>
        <w:rPr>
          <w:rFonts w:ascii="Calibri" w:hAnsi="Calibri"/>
          <w:color w:val="231F20"/>
          <w:spacing w:val="-13"/>
          <w:w w:val="105"/>
          <w:sz w:val="17"/>
        </w:rPr>
        <w:t> </w:t>
      </w:r>
      <w:r>
        <w:rPr>
          <w:rFonts w:ascii="Calibri" w:hAnsi="Calibri"/>
          <w:color w:val="231F20"/>
          <w:w w:val="105"/>
          <w:sz w:val="17"/>
        </w:rPr>
        <w:t>stessa”</w:t>
      </w:r>
      <w:r>
        <w:rPr>
          <w:rFonts w:ascii="Calibri" w:hAnsi="Calibri"/>
          <w:color w:val="231F20"/>
          <w:spacing w:val="-13"/>
          <w:w w:val="105"/>
          <w:sz w:val="17"/>
        </w:rPr>
        <w:t> </w:t>
      </w:r>
      <w:r>
        <w:rPr>
          <w:rFonts w:ascii="Calibri" w:hAnsi="Calibri"/>
          <w:color w:val="231F20"/>
          <w:w w:val="105"/>
          <w:sz w:val="17"/>
        </w:rPr>
        <w:t>(Deleuze,</w:t>
      </w:r>
      <w:r>
        <w:rPr>
          <w:rFonts w:ascii="Calibri" w:hAnsi="Calibri"/>
          <w:color w:val="231F20"/>
          <w:spacing w:val="-14"/>
          <w:w w:val="105"/>
          <w:sz w:val="17"/>
        </w:rPr>
        <w:t> </w:t>
      </w:r>
      <w:r>
        <w:rPr>
          <w:rFonts w:ascii="Calibri" w:hAnsi="Calibri"/>
          <w:i/>
          <w:color w:val="231F20"/>
          <w:w w:val="105"/>
          <w:sz w:val="17"/>
        </w:rPr>
        <w:t>Différence </w:t>
      </w:r>
      <w:r>
        <w:rPr>
          <w:rFonts w:ascii="Calibri" w:hAnsi="Calibri"/>
          <w:i/>
          <w:color w:val="231F20"/>
          <w:w w:val="105"/>
          <w:sz w:val="17"/>
        </w:rPr>
        <w:t>et répétition</w:t>
      </w:r>
      <w:r>
        <w:rPr>
          <w:rFonts w:ascii="Calibri" w:hAnsi="Calibri"/>
          <w:color w:val="231F20"/>
          <w:w w:val="105"/>
          <w:sz w:val="17"/>
        </w:rPr>
        <w:t>, p. 355). Bisogna chiarire che per </w:t>
      </w:r>
      <w:r>
        <w:rPr>
          <w:rFonts w:ascii="Calibri" w:hAnsi="Calibri"/>
          <w:i/>
          <w:color w:val="231F20"/>
          <w:w w:val="105"/>
          <w:sz w:val="17"/>
        </w:rPr>
        <w:t>intensivo </w:t>
      </w:r>
      <w:r>
        <w:rPr>
          <w:rFonts w:ascii="Calibri" w:hAnsi="Calibri"/>
          <w:color w:val="231F20"/>
          <w:w w:val="105"/>
          <w:sz w:val="17"/>
        </w:rPr>
        <w:t>Deleuze intende tutto movimiento che accade</w:t>
      </w:r>
      <w:r>
        <w:rPr>
          <w:rFonts w:ascii="Calibri" w:hAnsi="Calibri"/>
          <w:color w:val="231F20"/>
          <w:spacing w:val="-23"/>
          <w:w w:val="105"/>
          <w:sz w:val="17"/>
        </w:rPr>
        <w:t> </w:t>
      </w:r>
      <w:r>
        <w:rPr>
          <w:rFonts w:ascii="Calibri" w:hAnsi="Calibri"/>
          <w:color w:val="231F20"/>
          <w:w w:val="105"/>
          <w:sz w:val="17"/>
        </w:rPr>
        <w:t>nello</w:t>
      </w:r>
      <w:r>
        <w:rPr>
          <w:rFonts w:ascii="Calibri" w:hAnsi="Calibri"/>
          <w:color w:val="231F20"/>
          <w:spacing w:val="-23"/>
          <w:w w:val="105"/>
          <w:sz w:val="17"/>
        </w:rPr>
        <w:t> </w:t>
      </w:r>
      <w:r>
        <w:rPr>
          <w:rFonts w:ascii="Calibri" w:hAnsi="Calibri"/>
          <w:color w:val="231F20"/>
          <w:w w:val="105"/>
          <w:sz w:val="17"/>
        </w:rPr>
        <w:t>stesso</w:t>
      </w:r>
      <w:r>
        <w:rPr>
          <w:rFonts w:ascii="Calibri" w:hAnsi="Calibri"/>
          <w:color w:val="231F20"/>
          <w:spacing w:val="-23"/>
          <w:w w:val="105"/>
          <w:sz w:val="17"/>
        </w:rPr>
        <w:t> </w:t>
      </w:r>
      <w:r>
        <w:rPr>
          <w:rFonts w:ascii="Calibri" w:hAnsi="Calibri"/>
          <w:color w:val="231F20"/>
          <w:w w:val="105"/>
          <w:sz w:val="17"/>
        </w:rPr>
        <w:t>luogo</w:t>
      </w:r>
      <w:r>
        <w:rPr>
          <w:rFonts w:ascii="Calibri" w:hAnsi="Calibri"/>
          <w:color w:val="231F20"/>
          <w:spacing w:val="-23"/>
          <w:w w:val="105"/>
          <w:sz w:val="17"/>
        </w:rPr>
        <w:t> </w:t>
      </w:r>
      <w:r>
        <w:rPr>
          <w:rFonts w:ascii="Calibri" w:hAnsi="Calibri"/>
          <w:color w:val="231F20"/>
          <w:w w:val="105"/>
          <w:sz w:val="17"/>
        </w:rPr>
        <w:t>e</w:t>
      </w:r>
      <w:r>
        <w:rPr>
          <w:rFonts w:ascii="Calibri" w:hAnsi="Calibri"/>
          <w:color w:val="231F20"/>
          <w:spacing w:val="-23"/>
          <w:w w:val="105"/>
          <w:sz w:val="17"/>
        </w:rPr>
        <w:t> </w:t>
      </w:r>
      <w:r>
        <w:rPr>
          <w:rFonts w:ascii="Calibri" w:hAnsi="Calibri"/>
          <w:color w:val="231F20"/>
          <w:w w:val="105"/>
          <w:sz w:val="17"/>
        </w:rPr>
        <w:t>che</w:t>
      </w:r>
      <w:r>
        <w:rPr>
          <w:rFonts w:ascii="Calibri" w:hAnsi="Calibri"/>
          <w:color w:val="231F20"/>
          <w:spacing w:val="-24"/>
          <w:w w:val="105"/>
          <w:sz w:val="17"/>
        </w:rPr>
        <w:t> </w:t>
      </w:r>
      <w:r>
        <w:rPr>
          <w:rFonts w:ascii="Calibri" w:hAnsi="Calibri"/>
          <w:color w:val="231F20"/>
          <w:w w:val="105"/>
          <w:sz w:val="17"/>
        </w:rPr>
        <w:t>varia</w:t>
      </w:r>
      <w:r>
        <w:rPr>
          <w:rFonts w:ascii="Calibri" w:hAnsi="Calibri"/>
          <w:color w:val="231F20"/>
          <w:spacing w:val="-23"/>
          <w:w w:val="105"/>
          <w:sz w:val="17"/>
        </w:rPr>
        <w:t> </w:t>
      </w:r>
      <w:r>
        <w:rPr>
          <w:rFonts w:ascii="Calibri" w:hAnsi="Calibri"/>
          <w:color w:val="231F20"/>
          <w:w w:val="105"/>
          <w:sz w:val="17"/>
        </w:rPr>
        <w:t>per</w:t>
      </w:r>
      <w:r>
        <w:rPr>
          <w:rFonts w:ascii="Calibri" w:hAnsi="Calibri"/>
          <w:color w:val="231F20"/>
          <w:spacing w:val="-23"/>
          <w:w w:val="105"/>
          <w:sz w:val="17"/>
        </w:rPr>
        <w:t> </w:t>
      </w:r>
      <w:r>
        <w:rPr>
          <w:rFonts w:ascii="Calibri" w:hAnsi="Calibri"/>
          <w:color w:val="231F20"/>
          <w:w w:val="105"/>
          <w:sz w:val="17"/>
        </w:rPr>
        <w:t>la</w:t>
      </w:r>
      <w:r>
        <w:rPr>
          <w:rFonts w:ascii="Calibri" w:hAnsi="Calibri"/>
          <w:color w:val="231F20"/>
          <w:spacing w:val="-23"/>
          <w:w w:val="105"/>
          <w:sz w:val="17"/>
        </w:rPr>
        <w:t> </w:t>
      </w:r>
      <w:r>
        <w:rPr>
          <w:rFonts w:ascii="Calibri" w:hAnsi="Calibri"/>
          <w:color w:val="231F20"/>
          <w:w w:val="105"/>
          <w:sz w:val="17"/>
        </w:rPr>
        <w:t>sua</w:t>
      </w:r>
      <w:r>
        <w:rPr>
          <w:rFonts w:ascii="Calibri" w:hAnsi="Calibri"/>
          <w:color w:val="231F20"/>
          <w:spacing w:val="-23"/>
          <w:w w:val="105"/>
          <w:sz w:val="17"/>
        </w:rPr>
        <w:t> </w:t>
      </w:r>
      <w:r>
        <w:rPr>
          <w:rFonts w:ascii="Calibri" w:hAnsi="Calibri"/>
          <w:color w:val="231F20"/>
          <w:w w:val="105"/>
          <w:sz w:val="17"/>
        </w:rPr>
        <w:t>propia</w:t>
      </w:r>
      <w:r>
        <w:rPr>
          <w:rFonts w:ascii="Calibri" w:hAnsi="Calibri"/>
          <w:color w:val="231F20"/>
          <w:spacing w:val="-23"/>
          <w:w w:val="105"/>
          <w:sz w:val="17"/>
        </w:rPr>
        <w:t> </w:t>
      </w:r>
      <w:r>
        <w:rPr>
          <w:rFonts w:ascii="Calibri" w:hAnsi="Calibri"/>
          <w:color w:val="231F20"/>
          <w:w w:val="105"/>
          <w:sz w:val="17"/>
        </w:rPr>
        <w:t>differenziazione</w:t>
      </w:r>
      <w:r>
        <w:rPr>
          <w:rFonts w:ascii="Calibri" w:hAnsi="Calibri"/>
          <w:color w:val="231F20"/>
          <w:spacing w:val="-23"/>
          <w:w w:val="105"/>
          <w:sz w:val="17"/>
        </w:rPr>
        <w:t> </w:t>
      </w:r>
      <w:r>
        <w:rPr>
          <w:rFonts w:ascii="Calibri" w:hAnsi="Calibri"/>
          <w:color w:val="231F20"/>
          <w:w w:val="105"/>
          <w:sz w:val="17"/>
        </w:rPr>
        <w:t>immanente;</w:t>
      </w:r>
      <w:r>
        <w:rPr>
          <w:rFonts w:ascii="Calibri" w:hAnsi="Calibri"/>
          <w:color w:val="231F20"/>
          <w:spacing w:val="-23"/>
          <w:w w:val="105"/>
          <w:sz w:val="17"/>
        </w:rPr>
        <w:t> </w:t>
      </w:r>
      <w:r>
        <w:rPr>
          <w:rFonts w:ascii="Calibri" w:hAnsi="Calibri"/>
          <w:color w:val="231F20"/>
          <w:w w:val="105"/>
          <w:sz w:val="17"/>
        </w:rPr>
        <w:t>cioè,</w:t>
      </w:r>
      <w:r>
        <w:rPr>
          <w:rFonts w:ascii="Calibri" w:hAnsi="Calibri"/>
          <w:color w:val="231F20"/>
          <w:spacing w:val="-23"/>
          <w:w w:val="105"/>
          <w:sz w:val="17"/>
        </w:rPr>
        <w:t> </w:t>
      </w:r>
      <w:r>
        <w:rPr>
          <w:rFonts w:ascii="Calibri" w:hAnsi="Calibri"/>
          <w:color w:val="231F20"/>
          <w:w w:val="105"/>
          <w:sz w:val="17"/>
        </w:rPr>
        <w:t>l’intensivo parla</w:t>
      </w:r>
      <w:r>
        <w:rPr>
          <w:rFonts w:ascii="Calibri" w:hAnsi="Calibri"/>
          <w:color w:val="231F20"/>
          <w:spacing w:val="-8"/>
          <w:w w:val="105"/>
          <w:sz w:val="17"/>
        </w:rPr>
        <w:t> </w:t>
      </w:r>
      <w:r>
        <w:rPr>
          <w:rFonts w:ascii="Calibri" w:hAnsi="Calibri"/>
          <w:color w:val="231F20"/>
          <w:w w:val="105"/>
          <w:sz w:val="17"/>
        </w:rPr>
        <w:t>di</w:t>
      </w:r>
      <w:r>
        <w:rPr>
          <w:rFonts w:ascii="Calibri" w:hAnsi="Calibri"/>
          <w:color w:val="231F20"/>
          <w:spacing w:val="-8"/>
          <w:w w:val="105"/>
          <w:sz w:val="17"/>
        </w:rPr>
        <w:t> </w:t>
      </w:r>
      <w:r>
        <w:rPr>
          <w:rFonts w:ascii="Calibri" w:hAnsi="Calibri"/>
          <w:color w:val="231F20"/>
          <w:w w:val="105"/>
          <w:sz w:val="17"/>
        </w:rPr>
        <w:t>una</w:t>
      </w:r>
      <w:r>
        <w:rPr>
          <w:rFonts w:ascii="Calibri" w:hAnsi="Calibri"/>
          <w:color w:val="231F20"/>
          <w:spacing w:val="-8"/>
          <w:w w:val="105"/>
          <w:sz w:val="17"/>
        </w:rPr>
        <w:t> </w:t>
      </w:r>
      <w:r>
        <w:rPr>
          <w:rFonts w:ascii="Calibri" w:hAnsi="Calibri"/>
          <w:color w:val="231F20"/>
          <w:w w:val="105"/>
          <w:sz w:val="17"/>
        </w:rPr>
        <w:t>differenza</w:t>
      </w:r>
      <w:r>
        <w:rPr>
          <w:rFonts w:ascii="Calibri" w:hAnsi="Calibri"/>
          <w:color w:val="231F20"/>
          <w:spacing w:val="-8"/>
          <w:w w:val="105"/>
          <w:sz w:val="17"/>
        </w:rPr>
        <w:t> </w:t>
      </w:r>
      <w:r>
        <w:rPr>
          <w:rFonts w:ascii="Calibri" w:hAnsi="Calibri"/>
          <w:color w:val="231F20"/>
          <w:w w:val="105"/>
          <w:sz w:val="17"/>
        </w:rPr>
        <w:t>non</w:t>
      </w:r>
      <w:r>
        <w:rPr>
          <w:rFonts w:ascii="Calibri" w:hAnsi="Calibri"/>
          <w:color w:val="231F20"/>
          <w:spacing w:val="-8"/>
          <w:w w:val="105"/>
          <w:sz w:val="17"/>
        </w:rPr>
        <w:t> </w:t>
      </w:r>
      <w:r>
        <w:rPr>
          <w:rFonts w:ascii="Calibri" w:hAnsi="Calibri"/>
          <w:color w:val="231F20"/>
          <w:w w:val="105"/>
          <w:sz w:val="17"/>
        </w:rPr>
        <w:t>estensiva</w:t>
      </w:r>
      <w:r>
        <w:rPr>
          <w:rFonts w:ascii="Calibri" w:hAnsi="Calibri"/>
          <w:color w:val="231F20"/>
          <w:spacing w:val="-8"/>
          <w:w w:val="105"/>
          <w:sz w:val="17"/>
        </w:rPr>
        <w:t> </w:t>
      </w:r>
      <w:r>
        <w:rPr>
          <w:rFonts w:ascii="Calibri" w:hAnsi="Calibri"/>
          <w:color w:val="231F20"/>
          <w:w w:val="105"/>
          <w:sz w:val="17"/>
        </w:rPr>
        <w:t>come,</w:t>
      </w:r>
      <w:r>
        <w:rPr>
          <w:rFonts w:ascii="Calibri" w:hAnsi="Calibri"/>
          <w:color w:val="231F20"/>
          <w:spacing w:val="-8"/>
          <w:w w:val="105"/>
          <w:sz w:val="17"/>
        </w:rPr>
        <w:t> </w:t>
      </w:r>
      <w:r>
        <w:rPr>
          <w:rFonts w:ascii="Calibri" w:hAnsi="Calibri"/>
          <w:color w:val="231F20"/>
          <w:w w:val="105"/>
          <w:sz w:val="17"/>
        </w:rPr>
        <w:t>ad</w:t>
      </w:r>
      <w:r>
        <w:rPr>
          <w:rFonts w:ascii="Calibri" w:hAnsi="Calibri"/>
          <w:color w:val="231F20"/>
          <w:spacing w:val="-8"/>
          <w:w w:val="105"/>
          <w:sz w:val="17"/>
        </w:rPr>
        <w:t> </w:t>
      </w:r>
      <w:r>
        <w:rPr>
          <w:rFonts w:ascii="Calibri" w:hAnsi="Calibri"/>
          <w:color w:val="231F20"/>
          <w:w w:val="105"/>
          <w:sz w:val="17"/>
        </w:rPr>
        <w:t>esempio,</w:t>
      </w:r>
      <w:r>
        <w:rPr>
          <w:rFonts w:ascii="Calibri" w:hAnsi="Calibri"/>
          <w:color w:val="231F20"/>
          <w:spacing w:val="-8"/>
          <w:w w:val="105"/>
          <w:sz w:val="17"/>
        </w:rPr>
        <w:t> </w:t>
      </w:r>
      <w:r>
        <w:rPr>
          <w:rFonts w:ascii="Calibri" w:hAnsi="Calibri"/>
          <w:color w:val="231F20"/>
          <w:w w:val="105"/>
          <w:sz w:val="17"/>
        </w:rPr>
        <w:t>quando</w:t>
      </w:r>
      <w:r>
        <w:rPr>
          <w:rFonts w:ascii="Calibri" w:hAnsi="Calibri"/>
          <w:color w:val="231F20"/>
          <w:spacing w:val="-8"/>
          <w:w w:val="105"/>
          <w:sz w:val="17"/>
        </w:rPr>
        <w:t> </w:t>
      </w:r>
      <w:r>
        <w:rPr>
          <w:rFonts w:ascii="Calibri" w:hAnsi="Calibri"/>
          <w:color w:val="231F20"/>
          <w:w w:val="105"/>
          <w:sz w:val="17"/>
        </w:rPr>
        <w:t>un</w:t>
      </w:r>
      <w:r>
        <w:rPr>
          <w:rFonts w:ascii="Calibri" w:hAnsi="Calibri"/>
          <w:color w:val="231F20"/>
          <w:spacing w:val="-8"/>
          <w:w w:val="105"/>
          <w:sz w:val="17"/>
        </w:rPr>
        <w:t> </w:t>
      </w:r>
      <w:r>
        <w:rPr>
          <w:rFonts w:ascii="Calibri" w:hAnsi="Calibri"/>
          <w:color w:val="231F20"/>
          <w:w w:val="105"/>
          <w:sz w:val="17"/>
        </w:rPr>
        <w:t>oggetto</w:t>
      </w:r>
      <w:r>
        <w:rPr>
          <w:rFonts w:ascii="Calibri" w:hAnsi="Calibri"/>
          <w:color w:val="231F20"/>
          <w:spacing w:val="-8"/>
          <w:w w:val="105"/>
          <w:sz w:val="17"/>
        </w:rPr>
        <w:t> </w:t>
      </w:r>
      <w:r>
        <w:rPr>
          <w:rFonts w:ascii="Calibri" w:hAnsi="Calibri"/>
          <w:color w:val="231F20"/>
          <w:w w:val="105"/>
          <w:sz w:val="17"/>
        </w:rPr>
        <w:t>cambia</w:t>
      </w:r>
      <w:r>
        <w:rPr>
          <w:rFonts w:ascii="Calibri" w:hAnsi="Calibri"/>
          <w:color w:val="231F20"/>
          <w:spacing w:val="-8"/>
          <w:w w:val="105"/>
          <w:sz w:val="17"/>
        </w:rPr>
        <w:t> </w:t>
      </w:r>
      <w:r>
        <w:rPr>
          <w:rFonts w:ascii="Calibri" w:hAnsi="Calibri"/>
          <w:color w:val="231F20"/>
          <w:w w:val="105"/>
          <w:sz w:val="17"/>
        </w:rPr>
        <w:t>di</w:t>
      </w:r>
      <w:r>
        <w:rPr>
          <w:rFonts w:ascii="Calibri" w:hAnsi="Calibri"/>
          <w:color w:val="231F20"/>
          <w:spacing w:val="-8"/>
          <w:w w:val="105"/>
          <w:sz w:val="17"/>
        </w:rPr>
        <w:t> </w:t>
      </w:r>
      <w:r>
        <w:rPr>
          <w:rFonts w:ascii="Calibri" w:hAnsi="Calibri"/>
          <w:color w:val="231F20"/>
          <w:w w:val="105"/>
          <w:sz w:val="17"/>
        </w:rPr>
        <w:t>posto;</w:t>
      </w:r>
      <w:r>
        <w:rPr>
          <w:rFonts w:ascii="Calibri" w:hAnsi="Calibri"/>
          <w:color w:val="231F20"/>
          <w:spacing w:val="-8"/>
          <w:w w:val="105"/>
          <w:sz w:val="17"/>
        </w:rPr>
        <w:t> </w:t>
      </w:r>
      <w:r>
        <w:rPr>
          <w:rFonts w:ascii="Calibri" w:hAnsi="Calibri"/>
          <w:color w:val="231F20"/>
          <w:w w:val="105"/>
          <w:sz w:val="17"/>
        </w:rPr>
        <w:t>ma di una differenziazione che non implica che l’oggetto semplicemente si muova o si mischi con l’altro. Possiamo mischiare acqua e sale, estensivamente questo ci darà acqua salata, come se entrambi</w:t>
      </w:r>
      <w:r>
        <w:rPr>
          <w:rFonts w:ascii="Calibri" w:hAnsi="Calibri"/>
          <w:color w:val="231F20"/>
          <w:spacing w:val="-9"/>
          <w:w w:val="105"/>
          <w:sz w:val="17"/>
        </w:rPr>
        <w:t> </w:t>
      </w:r>
      <w:r>
        <w:rPr>
          <w:rFonts w:ascii="Calibri" w:hAnsi="Calibri"/>
          <w:color w:val="231F20"/>
          <w:w w:val="105"/>
          <w:sz w:val="17"/>
        </w:rPr>
        <w:t>gli</w:t>
      </w:r>
      <w:r>
        <w:rPr>
          <w:rFonts w:ascii="Calibri" w:hAnsi="Calibri"/>
          <w:color w:val="231F20"/>
          <w:spacing w:val="-9"/>
          <w:w w:val="105"/>
          <w:sz w:val="17"/>
        </w:rPr>
        <w:t> </w:t>
      </w:r>
      <w:r>
        <w:rPr>
          <w:rFonts w:ascii="Calibri" w:hAnsi="Calibri"/>
          <w:color w:val="231F20"/>
          <w:w w:val="105"/>
          <w:sz w:val="17"/>
        </w:rPr>
        <w:t>elementi</w:t>
      </w:r>
      <w:r>
        <w:rPr>
          <w:rFonts w:ascii="Calibri" w:hAnsi="Calibri"/>
          <w:color w:val="231F20"/>
          <w:spacing w:val="-9"/>
          <w:w w:val="105"/>
          <w:sz w:val="17"/>
        </w:rPr>
        <w:t> </w:t>
      </w:r>
      <w:r>
        <w:rPr>
          <w:rFonts w:ascii="Calibri" w:hAnsi="Calibri"/>
          <w:color w:val="231F20"/>
          <w:w w:val="105"/>
          <w:sz w:val="17"/>
        </w:rPr>
        <w:t>fossero</w:t>
      </w:r>
      <w:r>
        <w:rPr>
          <w:rFonts w:ascii="Calibri" w:hAnsi="Calibri"/>
          <w:color w:val="231F20"/>
          <w:spacing w:val="-9"/>
          <w:w w:val="105"/>
          <w:sz w:val="17"/>
        </w:rPr>
        <w:t> </w:t>
      </w:r>
      <w:r>
        <w:rPr>
          <w:rFonts w:ascii="Calibri" w:hAnsi="Calibri"/>
          <w:color w:val="231F20"/>
          <w:w w:val="105"/>
          <w:sz w:val="17"/>
        </w:rPr>
        <w:t>unità</w:t>
      </w:r>
      <w:r>
        <w:rPr>
          <w:rFonts w:ascii="Calibri" w:hAnsi="Calibri"/>
          <w:color w:val="231F20"/>
          <w:spacing w:val="-9"/>
          <w:w w:val="105"/>
          <w:sz w:val="17"/>
        </w:rPr>
        <w:t> </w:t>
      </w:r>
      <w:r>
        <w:rPr>
          <w:rFonts w:ascii="Calibri" w:hAnsi="Calibri"/>
          <w:color w:val="231F20"/>
          <w:w w:val="105"/>
          <w:sz w:val="17"/>
        </w:rPr>
        <w:t>coerenti</w:t>
      </w:r>
      <w:r>
        <w:rPr>
          <w:rFonts w:ascii="Calibri" w:hAnsi="Calibri"/>
          <w:color w:val="231F20"/>
          <w:spacing w:val="-9"/>
          <w:w w:val="105"/>
          <w:sz w:val="17"/>
        </w:rPr>
        <w:t> </w:t>
      </w:r>
      <w:r>
        <w:rPr>
          <w:rFonts w:ascii="Calibri" w:hAnsi="Calibri"/>
          <w:color w:val="231F20"/>
          <w:w w:val="105"/>
          <w:sz w:val="17"/>
        </w:rPr>
        <w:t>e</w:t>
      </w:r>
      <w:r>
        <w:rPr>
          <w:rFonts w:ascii="Calibri" w:hAnsi="Calibri"/>
          <w:color w:val="231F20"/>
          <w:spacing w:val="-9"/>
          <w:w w:val="105"/>
          <w:sz w:val="17"/>
        </w:rPr>
        <w:t> </w:t>
      </w:r>
      <w:r>
        <w:rPr>
          <w:rFonts w:ascii="Calibri" w:hAnsi="Calibri"/>
          <w:color w:val="231F20"/>
          <w:w w:val="105"/>
          <w:sz w:val="17"/>
        </w:rPr>
        <w:t>unitarie</w:t>
      </w:r>
      <w:r>
        <w:rPr>
          <w:rFonts w:ascii="Calibri" w:hAnsi="Calibri"/>
          <w:color w:val="231F20"/>
          <w:spacing w:val="-9"/>
          <w:w w:val="105"/>
          <w:sz w:val="17"/>
        </w:rPr>
        <w:t> </w:t>
      </w:r>
      <w:r>
        <w:rPr>
          <w:rFonts w:ascii="Calibri" w:hAnsi="Calibri"/>
          <w:color w:val="231F20"/>
          <w:w w:val="105"/>
          <w:sz w:val="17"/>
        </w:rPr>
        <w:t>prima</w:t>
      </w:r>
      <w:r>
        <w:rPr>
          <w:rFonts w:ascii="Calibri" w:hAnsi="Calibri"/>
          <w:color w:val="231F20"/>
          <w:spacing w:val="-9"/>
          <w:w w:val="105"/>
          <w:sz w:val="17"/>
        </w:rPr>
        <w:t> </w:t>
      </w:r>
      <w:r>
        <w:rPr>
          <w:rFonts w:ascii="Calibri" w:hAnsi="Calibri"/>
          <w:color w:val="231F20"/>
          <w:w w:val="105"/>
          <w:sz w:val="17"/>
        </w:rPr>
        <w:t>dall’unione,</w:t>
      </w:r>
      <w:r>
        <w:rPr>
          <w:rFonts w:ascii="Calibri" w:hAnsi="Calibri"/>
          <w:color w:val="231F20"/>
          <w:spacing w:val="-9"/>
          <w:w w:val="105"/>
          <w:sz w:val="17"/>
        </w:rPr>
        <w:t> </w:t>
      </w:r>
      <w:r>
        <w:rPr>
          <w:rFonts w:ascii="Calibri" w:hAnsi="Calibri"/>
          <w:color w:val="231F20"/>
          <w:w w:val="105"/>
          <w:sz w:val="17"/>
        </w:rPr>
        <w:t>ma</w:t>
      </w:r>
      <w:r>
        <w:rPr>
          <w:rFonts w:ascii="Calibri" w:hAnsi="Calibri"/>
          <w:color w:val="231F20"/>
          <w:spacing w:val="-11"/>
          <w:w w:val="105"/>
          <w:sz w:val="17"/>
        </w:rPr>
        <w:t> </w:t>
      </w:r>
      <w:r>
        <w:rPr>
          <w:rFonts w:ascii="Calibri" w:hAnsi="Calibri"/>
          <w:color w:val="231F20"/>
          <w:w w:val="105"/>
          <w:sz w:val="17"/>
        </w:rPr>
        <w:t>visto</w:t>
      </w:r>
      <w:r>
        <w:rPr>
          <w:rFonts w:ascii="Calibri" w:hAnsi="Calibri"/>
          <w:color w:val="231F20"/>
          <w:spacing w:val="-9"/>
          <w:w w:val="105"/>
          <w:sz w:val="17"/>
        </w:rPr>
        <w:t> </w:t>
      </w:r>
      <w:r>
        <w:rPr>
          <w:rFonts w:ascii="Calibri" w:hAnsi="Calibri"/>
          <w:color w:val="231F20"/>
          <w:w w:val="105"/>
          <w:sz w:val="17"/>
        </w:rPr>
        <w:t>da</w:t>
      </w:r>
      <w:r>
        <w:rPr>
          <w:rFonts w:ascii="Calibri" w:hAnsi="Calibri"/>
          <w:color w:val="231F20"/>
          <w:spacing w:val="-9"/>
          <w:w w:val="105"/>
          <w:sz w:val="17"/>
        </w:rPr>
        <w:t> </w:t>
      </w:r>
      <w:r>
        <w:rPr>
          <w:rFonts w:ascii="Calibri" w:hAnsi="Calibri"/>
          <w:color w:val="231F20"/>
          <w:w w:val="105"/>
          <w:sz w:val="17"/>
        </w:rPr>
        <w:t>un</w:t>
      </w:r>
      <w:r>
        <w:rPr>
          <w:rFonts w:ascii="Calibri" w:hAnsi="Calibri"/>
          <w:color w:val="231F20"/>
          <w:spacing w:val="-9"/>
          <w:w w:val="105"/>
          <w:sz w:val="17"/>
        </w:rPr>
        <w:t> </w:t>
      </w:r>
      <w:r>
        <w:rPr>
          <w:rFonts w:ascii="Calibri" w:hAnsi="Calibri"/>
          <w:color w:val="231F20"/>
          <w:w w:val="105"/>
          <w:sz w:val="17"/>
        </w:rPr>
        <w:t>punto</w:t>
      </w:r>
      <w:r>
        <w:rPr>
          <w:rFonts w:ascii="Calibri" w:hAnsi="Calibri"/>
          <w:color w:val="231F20"/>
          <w:spacing w:val="-9"/>
          <w:w w:val="105"/>
          <w:sz w:val="17"/>
        </w:rPr>
        <w:t> </w:t>
      </w:r>
      <w:r>
        <w:rPr>
          <w:rFonts w:ascii="Calibri" w:hAnsi="Calibri"/>
          <w:color w:val="231F20"/>
          <w:w w:val="105"/>
          <w:sz w:val="17"/>
        </w:rPr>
        <w:t>di vista</w:t>
      </w:r>
      <w:r>
        <w:rPr>
          <w:rFonts w:ascii="Calibri" w:hAnsi="Calibri"/>
          <w:color w:val="231F20"/>
          <w:spacing w:val="-14"/>
          <w:w w:val="105"/>
          <w:sz w:val="17"/>
        </w:rPr>
        <w:t> </w:t>
      </w:r>
      <w:r>
        <w:rPr>
          <w:rFonts w:ascii="Calibri" w:hAnsi="Calibri"/>
          <w:color w:val="231F20"/>
          <w:w w:val="105"/>
          <w:sz w:val="17"/>
        </w:rPr>
        <w:t>intensivo,</w:t>
      </w:r>
      <w:r>
        <w:rPr>
          <w:rFonts w:ascii="Calibri" w:hAnsi="Calibri"/>
          <w:color w:val="231F20"/>
          <w:spacing w:val="-14"/>
          <w:w w:val="105"/>
          <w:sz w:val="17"/>
        </w:rPr>
        <w:t> </w:t>
      </w:r>
      <w:r>
        <w:rPr>
          <w:rFonts w:ascii="Calibri" w:hAnsi="Calibri"/>
          <w:color w:val="231F20"/>
          <w:w w:val="105"/>
          <w:sz w:val="17"/>
        </w:rPr>
        <w:t>non</w:t>
      </w:r>
      <w:r>
        <w:rPr>
          <w:rFonts w:ascii="Calibri" w:hAnsi="Calibri"/>
          <w:color w:val="231F20"/>
          <w:spacing w:val="-14"/>
          <w:w w:val="105"/>
          <w:sz w:val="17"/>
        </w:rPr>
        <w:t> </w:t>
      </w:r>
      <w:r>
        <w:rPr>
          <w:rFonts w:ascii="Calibri" w:hAnsi="Calibri"/>
          <w:color w:val="231F20"/>
          <w:w w:val="105"/>
          <w:sz w:val="17"/>
        </w:rPr>
        <w:t>c’è</w:t>
      </w:r>
      <w:r>
        <w:rPr>
          <w:rFonts w:ascii="Calibri" w:hAnsi="Calibri"/>
          <w:color w:val="231F20"/>
          <w:spacing w:val="-14"/>
          <w:w w:val="105"/>
          <w:sz w:val="17"/>
        </w:rPr>
        <w:t> </w:t>
      </w:r>
      <w:r>
        <w:rPr>
          <w:rFonts w:ascii="Calibri" w:hAnsi="Calibri"/>
          <w:color w:val="231F20"/>
          <w:w w:val="105"/>
          <w:sz w:val="17"/>
        </w:rPr>
        <w:t>in</w:t>
      </w:r>
      <w:r>
        <w:rPr>
          <w:rFonts w:ascii="Calibri" w:hAnsi="Calibri"/>
          <w:color w:val="231F20"/>
          <w:spacing w:val="-14"/>
          <w:w w:val="105"/>
          <w:sz w:val="17"/>
        </w:rPr>
        <w:t> </w:t>
      </w:r>
      <w:r>
        <w:rPr>
          <w:rFonts w:ascii="Calibri" w:hAnsi="Calibri"/>
          <w:color w:val="231F20"/>
          <w:w w:val="105"/>
          <w:sz w:val="17"/>
        </w:rPr>
        <w:t>realtà</w:t>
      </w:r>
      <w:r>
        <w:rPr>
          <w:rFonts w:ascii="Calibri" w:hAnsi="Calibri"/>
          <w:color w:val="231F20"/>
          <w:spacing w:val="-14"/>
          <w:w w:val="105"/>
          <w:sz w:val="17"/>
        </w:rPr>
        <w:t> </w:t>
      </w:r>
      <w:r>
        <w:rPr>
          <w:rFonts w:ascii="Calibri" w:hAnsi="Calibri"/>
          <w:color w:val="231F20"/>
          <w:w w:val="105"/>
          <w:sz w:val="17"/>
        </w:rPr>
        <w:t>nessuna</w:t>
      </w:r>
      <w:r>
        <w:rPr>
          <w:rFonts w:ascii="Calibri" w:hAnsi="Calibri"/>
          <w:color w:val="231F20"/>
          <w:spacing w:val="-14"/>
          <w:w w:val="105"/>
          <w:sz w:val="17"/>
        </w:rPr>
        <w:t> </w:t>
      </w:r>
      <w:r>
        <w:rPr>
          <w:rFonts w:ascii="Calibri" w:hAnsi="Calibri"/>
          <w:color w:val="231F20"/>
          <w:w w:val="105"/>
          <w:sz w:val="17"/>
        </w:rPr>
        <w:t>mescola,</w:t>
      </w:r>
      <w:r>
        <w:rPr>
          <w:rFonts w:ascii="Calibri" w:hAnsi="Calibri"/>
          <w:color w:val="231F20"/>
          <w:spacing w:val="-14"/>
          <w:w w:val="105"/>
          <w:sz w:val="17"/>
        </w:rPr>
        <w:t> </w:t>
      </w:r>
      <w:r>
        <w:rPr>
          <w:rFonts w:ascii="Calibri" w:hAnsi="Calibri"/>
          <w:color w:val="231F20"/>
          <w:w w:val="105"/>
          <w:sz w:val="17"/>
        </w:rPr>
        <w:t>ma</w:t>
      </w:r>
      <w:r>
        <w:rPr>
          <w:rFonts w:ascii="Calibri" w:hAnsi="Calibri"/>
          <w:color w:val="231F20"/>
          <w:spacing w:val="-14"/>
          <w:w w:val="105"/>
          <w:sz w:val="17"/>
        </w:rPr>
        <w:t> </w:t>
      </w:r>
      <w:r>
        <w:rPr>
          <w:rFonts w:ascii="Calibri" w:hAnsi="Calibri"/>
          <w:color w:val="231F20"/>
          <w:w w:val="105"/>
          <w:sz w:val="17"/>
        </w:rPr>
        <w:t>l’accoppiamento</w:t>
      </w:r>
      <w:r>
        <w:rPr>
          <w:rFonts w:ascii="Calibri" w:hAnsi="Calibri"/>
          <w:color w:val="231F20"/>
          <w:spacing w:val="-14"/>
          <w:w w:val="105"/>
          <w:sz w:val="17"/>
        </w:rPr>
        <w:t> </w:t>
      </w:r>
      <w:r>
        <w:rPr>
          <w:rFonts w:ascii="Calibri" w:hAnsi="Calibri"/>
          <w:color w:val="231F20"/>
          <w:w w:val="105"/>
          <w:sz w:val="17"/>
        </w:rPr>
        <w:t>di</w:t>
      </w:r>
      <w:r>
        <w:rPr>
          <w:rFonts w:ascii="Calibri" w:hAnsi="Calibri"/>
          <w:color w:val="231F20"/>
          <w:spacing w:val="-14"/>
          <w:w w:val="105"/>
          <w:sz w:val="17"/>
        </w:rPr>
        <w:t> </w:t>
      </w:r>
      <w:r>
        <w:rPr>
          <w:rFonts w:ascii="Calibri" w:hAnsi="Calibri"/>
          <w:color w:val="231F20"/>
          <w:w w:val="105"/>
          <w:sz w:val="17"/>
        </w:rPr>
        <w:t>due</w:t>
      </w:r>
      <w:r>
        <w:rPr>
          <w:rFonts w:ascii="Calibri" w:hAnsi="Calibri"/>
          <w:color w:val="231F20"/>
          <w:spacing w:val="-14"/>
          <w:w w:val="105"/>
          <w:sz w:val="17"/>
        </w:rPr>
        <w:t> </w:t>
      </w:r>
      <w:r>
        <w:rPr>
          <w:rFonts w:ascii="Calibri" w:hAnsi="Calibri"/>
          <w:color w:val="231F20"/>
          <w:w w:val="105"/>
          <w:sz w:val="17"/>
        </w:rPr>
        <w:t>elementi</w:t>
      </w:r>
      <w:r>
        <w:rPr>
          <w:rFonts w:ascii="Calibri" w:hAnsi="Calibri"/>
          <w:color w:val="231F20"/>
          <w:spacing w:val="-14"/>
          <w:w w:val="105"/>
          <w:sz w:val="17"/>
        </w:rPr>
        <w:t> </w:t>
      </w:r>
      <w:r>
        <w:rPr>
          <w:rFonts w:ascii="Calibri" w:hAnsi="Calibri"/>
          <w:color w:val="231F20"/>
          <w:w w:val="105"/>
          <w:sz w:val="17"/>
        </w:rPr>
        <w:t>che</w:t>
      </w:r>
      <w:r>
        <w:rPr>
          <w:rFonts w:ascii="Calibri" w:hAnsi="Calibri"/>
          <w:color w:val="231F20"/>
          <w:spacing w:val="-14"/>
          <w:w w:val="105"/>
          <w:sz w:val="17"/>
        </w:rPr>
        <w:t> </w:t>
      </w:r>
      <w:r>
        <w:rPr>
          <w:rFonts w:ascii="Calibri" w:hAnsi="Calibri"/>
          <w:color w:val="231F20"/>
          <w:w w:val="105"/>
          <w:sz w:val="17"/>
        </w:rPr>
        <w:t>in</w:t>
      </w:r>
      <w:r>
        <w:rPr>
          <w:rFonts w:ascii="Calibri" w:hAnsi="Calibri"/>
          <w:color w:val="231F20"/>
          <w:spacing w:val="-14"/>
          <w:w w:val="105"/>
          <w:sz w:val="17"/>
        </w:rPr>
        <w:t> </w:t>
      </w:r>
      <w:r>
        <w:rPr>
          <w:rFonts w:ascii="Calibri" w:hAnsi="Calibri"/>
          <w:color w:val="231F20"/>
          <w:w w:val="105"/>
          <w:sz w:val="17"/>
        </w:rPr>
        <w:t>loro stessi</w:t>
      </w:r>
      <w:r>
        <w:rPr>
          <w:rFonts w:ascii="Calibri" w:hAnsi="Calibri"/>
          <w:color w:val="231F20"/>
          <w:spacing w:val="-11"/>
          <w:w w:val="105"/>
          <w:sz w:val="17"/>
        </w:rPr>
        <w:t> </w:t>
      </w:r>
      <w:r>
        <w:rPr>
          <w:rFonts w:ascii="Calibri" w:hAnsi="Calibri"/>
          <w:color w:val="231F20"/>
          <w:w w:val="105"/>
          <w:sz w:val="17"/>
        </w:rPr>
        <w:t>si</w:t>
      </w:r>
      <w:r>
        <w:rPr>
          <w:rFonts w:ascii="Calibri" w:hAnsi="Calibri"/>
          <w:color w:val="231F20"/>
          <w:spacing w:val="-11"/>
          <w:w w:val="105"/>
          <w:sz w:val="17"/>
        </w:rPr>
        <w:t> </w:t>
      </w:r>
      <w:r>
        <w:rPr>
          <w:rFonts w:ascii="Calibri" w:hAnsi="Calibri"/>
          <w:color w:val="231F20"/>
          <w:w w:val="105"/>
          <w:sz w:val="17"/>
        </w:rPr>
        <w:t>stanno</w:t>
      </w:r>
      <w:r>
        <w:rPr>
          <w:rFonts w:ascii="Calibri" w:hAnsi="Calibri"/>
          <w:color w:val="231F20"/>
          <w:spacing w:val="-11"/>
          <w:w w:val="105"/>
          <w:sz w:val="17"/>
        </w:rPr>
        <w:t> </w:t>
      </w:r>
      <w:r>
        <w:rPr>
          <w:rFonts w:ascii="Calibri" w:hAnsi="Calibri"/>
          <w:color w:val="231F20"/>
          <w:w w:val="105"/>
          <w:sz w:val="17"/>
        </w:rPr>
        <w:t>differenziando</w:t>
      </w:r>
      <w:r>
        <w:rPr>
          <w:rFonts w:ascii="Calibri" w:hAnsi="Calibri"/>
          <w:color w:val="231F20"/>
          <w:spacing w:val="-11"/>
          <w:w w:val="105"/>
          <w:sz w:val="17"/>
        </w:rPr>
        <w:t> </w:t>
      </w:r>
      <w:r>
        <w:rPr>
          <w:rFonts w:ascii="Calibri" w:hAnsi="Calibri"/>
          <w:color w:val="231F20"/>
          <w:w w:val="105"/>
          <w:sz w:val="17"/>
        </w:rPr>
        <w:t>permanentemente</w:t>
      </w:r>
      <w:r>
        <w:rPr>
          <w:rFonts w:ascii="Calibri" w:hAnsi="Calibri"/>
          <w:color w:val="231F20"/>
          <w:spacing w:val="-11"/>
          <w:w w:val="105"/>
          <w:sz w:val="17"/>
        </w:rPr>
        <w:t> </w:t>
      </w:r>
      <w:r>
        <w:rPr>
          <w:rFonts w:ascii="Calibri" w:hAnsi="Calibri"/>
          <w:color w:val="231F20"/>
          <w:w w:val="105"/>
          <w:sz w:val="17"/>
        </w:rPr>
        <w:t>anche</w:t>
      </w:r>
      <w:r>
        <w:rPr>
          <w:rFonts w:ascii="Calibri" w:hAnsi="Calibri"/>
          <w:color w:val="231F20"/>
          <w:spacing w:val="-11"/>
          <w:w w:val="105"/>
          <w:sz w:val="17"/>
        </w:rPr>
        <w:t> </w:t>
      </w:r>
      <w:r>
        <w:rPr>
          <w:rFonts w:ascii="Calibri" w:hAnsi="Calibri"/>
          <w:color w:val="231F20"/>
          <w:w w:val="105"/>
          <w:sz w:val="17"/>
        </w:rPr>
        <w:t>prima</w:t>
      </w:r>
      <w:r>
        <w:rPr>
          <w:rFonts w:ascii="Calibri" w:hAnsi="Calibri"/>
          <w:color w:val="231F20"/>
          <w:spacing w:val="-11"/>
          <w:w w:val="105"/>
          <w:sz w:val="17"/>
        </w:rPr>
        <w:t> </w:t>
      </w:r>
      <w:r>
        <w:rPr>
          <w:rFonts w:ascii="Calibri" w:hAnsi="Calibri"/>
          <w:color w:val="231F20"/>
          <w:w w:val="105"/>
          <w:sz w:val="17"/>
        </w:rPr>
        <w:t>di</w:t>
      </w:r>
      <w:r>
        <w:rPr>
          <w:rFonts w:ascii="Calibri" w:hAnsi="Calibri"/>
          <w:color w:val="231F20"/>
          <w:spacing w:val="-11"/>
          <w:w w:val="105"/>
          <w:sz w:val="17"/>
        </w:rPr>
        <w:t> </w:t>
      </w:r>
      <w:r>
        <w:rPr>
          <w:rFonts w:ascii="Calibri" w:hAnsi="Calibri"/>
          <w:color w:val="231F20"/>
          <w:w w:val="105"/>
          <w:sz w:val="17"/>
        </w:rPr>
        <w:t>incontrarsi;</w:t>
      </w:r>
      <w:r>
        <w:rPr>
          <w:rFonts w:ascii="Calibri" w:hAnsi="Calibri"/>
          <w:color w:val="231F20"/>
          <w:spacing w:val="-11"/>
          <w:w w:val="105"/>
          <w:sz w:val="17"/>
        </w:rPr>
        <w:t> </w:t>
      </w:r>
      <w:r>
        <w:rPr>
          <w:rFonts w:ascii="Calibri" w:hAnsi="Calibri"/>
          <w:color w:val="231F20"/>
          <w:w w:val="105"/>
          <w:sz w:val="17"/>
        </w:rPr>
        <w:t>così,</w:t>
      </w:r>
      <w:r>
        <w:rPr>
          <w:rFonts w:ascii="Calibri" w:hAnsi="Calibri"/>
          <w:color w:val="231F20"/>
          <w:spacing w:val="-11"/>
          <w:w w:val="105"/>
          <w:sz w:val="17"/>
        </w:rPr>
        <w:t> </w:t>
      </w:r>
      <w:r>
        <w:rPr>
          <w:rFonts w:ascii="Calibri" w:hAnsi="Calibri"/>
          <w:color w:val="231F20"/>
          <w:w w:val="105"/>
          <w:sz w:val="17"/>
        </w:rPr>
        <w:t>la</w:t>
      </w:r>
      <w:r>
        <w:rPr>
          <w:rFonts w:ascii="Calibri" w:hAnsi="Calibri"/>
          <w:color w:val="231F20"/>
          <w:spacing w:val="-11"/>
          <w:w w:val="105"/>
          <w:sz w:val="17"/>
        </w:rPr>
        <w:t> </w:t>
      </w:r>
      <w:r>
        <w:rPr>
          <w:rFonts w:ascii="Calibri" w:hAnsi="Calibri"/>
          <w:color w:val="231F20"/>
          <w:w w:val="105"/>
          <w:sz w:val="17"/>
        </w:rPr>
        <w:t>relazzione</w:t>
      </w:r>
      <w:r>
        <w:rPr>
          <w:rFonts w:ascii="Calibri" w:hAnsi="Calibri"/>
          <w:color w:val="231F20"/>
          <w:spacing w:val="-11"/>
          <w:w w:val="105"/>
          <w:sz w:val="17"/>
        </w:rPr>
        <w:t> </w:t>
      </w:r>
      <w:r>
        <w:rPr>
          <w:rFonts w:ascii="Calibri" w:hAnsi="Calibri"/>
          <w:color w:val="231F20"/>
          <w:w w:val="105"/>
          <w:sz w:val="17"/>
        </w:rPr>
        <w:t>si stabilisce</w:t>
      </w:r>
      <w:r>
        <w:rPr>
          <w:rFonts w:ascii="Calibri" w:hAnsi="Calibri"/>
          <w:color w:val="231F20"/>
          <w:spacing w:val="-15"/>
          <w:w w:val="105"/>
          <w:sz w:val="17"/>
        </w:rPr>
        <w:t> </w:t>
      </w:r>
      <w:r>
        <w:rPr>
          <w:rFonts w:ascii="Calibri" w:hAnsi="Calibri"/>
          <w:color w:val="231F20"/>
          <w:w w:val="105"/>
          <w:sz w:val="17"/>
        </w:rPr>
        <w:t>non</w:t>
      </w:r>
      <w:r>
        <w:rPr>
          <w:rFonts w:ascii="Calibri" w:hAnsi="Calibri"/>
          <w:color w:val="231F20"/>
          <w:spacing w:val="-15"/>
          <w:w w:val="105"/>
          <w:sz w:val="17"/>
        </w:rPr>
        <w:t> </w:t>
      </w:r>
      <w:r>
        <w:rPr>
          <w:rFonts w:ascii="Calibri" w:hAnsi="Calibri"/>
          <w:color w:val="231F20"/>
          <w:w w:val="105"/>
          <w:sz w:val="17"/>
        </w:rPr>
        <w:t>attraverso</w:t>
      </w:r>
      <w:r>
        <w:rPr>
          <w:rFonts w:ascii="Calibri" w:hAnsi="Calibri"/>
          <w:color w:val="231F20"/>
          <w:spacing w:val="-15"/>
          <w:w w:val="105"/>
          <w:sz w:val="17"/>
        </w:rPr>
        <w:t> </w:t>
      </w:r>
      <w:r>
        <w:rPr>
          <w:rFonts w:ascii="Calibri" w:hAnsi="Calibri"/>
          <w:color w:val="231F20"/>
          <w:w w:val="105"/>
          <w:sz w:val="17"/>
        </w:rPr>
        <w:t>le</w:t>
      </w:r>
      <w:r>
        <w:rPr>
          <w:rFonts w:ascii="Calibri" w:hAnsi="Calibri"/>
          <w:color w:val="231F20"/>
          <w:spacing w:val="-15"/>
          <w:w w:val="105"/>
          <w:sz w:val="17"/>
        </w:rPr>
        <w:t> </w:t>
      </w:r>
      <w:r>
        <w:rPr>
          <w:rFonts w:ascii="Calibri" w:hAnsi="Calibri"/>
          <w:color w:val="231F20"/>
          <w:w w:val="105"/>
          <w:sz w:val="17"/>
        </w:rPr>
        <w:t>sue</w:t>
      </w:r>
      <w:r>
        <w:rPr>
          <w:rFonts w:ascii="Calibri" w:hAnsi="Calibri"/>
          <w:color w:val="231F20"/>
          <w:spacing w:val="-15"/>
          <w:w w:val="105"/>
          <w:sz w:val="17"/>
        </w:rPr>
        <w:t> </w:t>
      </w:r>
      <w:r>
        <w:rPr>
          <w:rFonts w:ascii="Calibri" w:hAnsi="Calibri"/>
          <w:color w:val="231F20"/>
          <w:w w:val="105"/>
          <w:sz w:val="17"/>
        </w:rPr>
        <w:t>consistenze,</w:t>
      </w:r>
      <w:r>
        <w:rPr>
          <w:rFonts w:ascii="Calibri" w:hAnsi="Calibri"/>
          <w:color w:val="231F20"/>
          <w:spacing w:val="-15"/>
          <w:w w:val="105"/>
          <w:sz w:val="17"/>
        </w:rPr>
        <w:t> </w:t>
      </w:r>
      <w:r>
        <w:rPr>
          <w:rFonts w:ascii="Calibri" w:hAnsi="Calibri"/>
          <w:color w:val="231F20"/>
          <w:w w:val="105"/>
          <w:sz w:val="17"/>
        </w:rPr>
        <w:t>ma</w:t>
      </w:r>
      <w:r>
        <w:rPr>
          <w:rFonts w:ascii="Calibri" w:hAnsi="Calibri"/>
          <w:color w:val="231F20"/>
          <w:spacing w:val="-15"/>
          <w:w w:val="105"/>
          <w:sz w:val="17"/>
        </w:rPr>
        <w:t> </w:t>
      </w:r>
      <w:r>
        <w:rPr>
          <w:rFonts w:ascii="Calibri" w:hAnsi="Calibri"/>
          <w:color w:val="231F20"/>
          <w:w w:val="105"/>
          <w:sz w:val="17"/>
        </w:rPr>
        <w:t>delle</w:t>
      </w:r>
      <w:r>
        <w:rPr>
          <w:rFonts w:ascii="Calibri" w:hAnsi="Calibri"/>
          <w:color w:val="231F20"/>
          <w:spacing w:val="-15"/>
          <w:w w:val="105"/>
          <w:sz w:val="17"/>
        </w:rPr>
        <w:t> </w:t>
      </w:r>
      <w:r>
        <w:rPr>
          <w:rFonts w:ascii="Calibri" w:hAnsi="Calibri"/>
          <w:color w:val="231F20"/>
          <w:w w:val="105"/>
          <w:sz w:val="17"/>
        </w:rPr>
        <w:t>sue</w:t>
      </w:r>
      <w:r>
        <w:rPr>
          <w:rFonts w:ascii="Calibri" w:hAnsi="Calibri"/>
          <w:color w:val="231F20"/>
          <w:spacing w:val="-15"/>
          <w:w w:val="105"/>
          <w:sz w:val="17"/>
        </w:rPr>
        <w:t> </w:t>
      </w:r>
      <w:r>
        <w:rPr>
          <w:rFonts w:ascii="Calibri" w:hAnsi="Calibri"/>
          <w:color w:val="231F20"/>
          <w:w w:val="105"/>
          <w:sz w:val="17"/>
        </w:rPr>
        <w:t>differenziazioni.</w:t>
      </w:r>
    </w:p>
    <w:p>
      <w:pPr>
        <w:spacing w:line="204" w:lineRule="exact" w:before="0"/>
        <w:ind w:left="103" w:right="114" w:firstLine="0"/>
        <w:jc w:val="both"/>
        <w:rPr>
          <w:rFonts w:ascii="Calibri" w:hAnsi="Calibri"/>
          <w:sz w:val="17"/>
        </w:rPr>
      </w:pPr>
      <w:r>
        <w:rPr>
          <w:rFonts w:ascii="Calibri" w:hAnsi="Calibri"/>
          <w:color w:val="231F20"/>
          <w:w w:val="105"/>
          <w:position w:val="6"/>
          <w:sz w:val="10"/>
        </w:rPr>
        <w:t>42 </w:t>
      </w:r>
      <w:r>
        <w:rPr>
          <w:rFonts w:ascii="Calibri" w:hAnsi="Calibri"/>
          <w:color w:val="231F20"/>
          <w:w w:val="105"/>
          <w:sz w:val="17"/>
        </w:rPr>
        <w:t>Quando diciamo che </w:t>
      </w:r>
      <w:r>
        <w:rPr>
          <w:rFonts w:ascii="Calibri" w:hAnsi="Calibri"/>
          <w:i/>
          <w:color w:val="231F20"/>
          <w:w w:val="105"/>
          <w:sz w:val="17"/>
        </w:rPr>
        <w:t>il capitalismo non ha esterno</w:t>
      </w:r>
      <w:r>
        <w:rPr>
          <w:rFonts w:ascii="Calibri" w:hAnsi="Calibri"/>
          <w:color w:val="231F20"/>
          <w:w w:val="105"/>
          <w:sz w:val="17"/>
        </w:rPr>
        <w:t>, in realtà stiamo segnalando la maniera come funziona, secondo Deleuze: come una realtà che abbraccia tutta la </w:t>
      </w:r>
      <w:r>
        <w:rPr>
          <w:rFonts w:ascii="Calibri" w:hAnsi="Calibri"/>
          <w:color w:val="231F20"/>
          <w:spacing w:val="-3"/>
          <w:w w:val="105"/>
          <w:sz w:val="17"/>
        </w:rPr>
        <w:t>Terra </w:t>
      </w:r>
      <w:r>
        <w:rPr>
          <w:rFonts w:ascii="Calibri" w:hAnsi="Calibri"/>
          <w:color w:val="231F20"/>
          <w:w w:val="105"/>
          <w:sz w:val="17"/>
        </w:rPr>
        <w:t>e che emula la deterritorializzazione</w:t>
      </w:r>
      <w:r>
        <w:rPr>
          <w:rFonts w:ascii="Calibri" w:hAnsi="Calibri"/>
          <w:color w:val="231F20"/>
          <w:spacing w:val="-12"/>
          <w:w w:val="105"/>
          <w:sz w:val="17"/>
        </w:rPr>
        <w:t> </w:t>
      </w:r>
      <w:r>
        <w:rPr>
          <w:rFonts w:ascii="Calibri" w:hAnsi="Calibri"/>
          <w:color w:val="231F20"/>
          <w:w w:val="105"/>
          <w:sz w:val="17"/>
        </w:rPr>
        <w:t>di</w:t>
      </w:r>
      <w:r>
        <w:rPr>
          <w:rFonts w:ascii="Calibri" w:hAnsi="Calibri"/>
          <w:color w:val="231F20"/>
          <w:spacing w:val="-12"/>
          <w:w w:val="105"/>
          <w:sz w:val="17"/>
        </w:rPr>
        <w:t> </w:t>
      </w:r>
      <w:r>
        <w:rPr>
          <w:rFonts w:ascii="Calibri" w:hAnsi="Calibri"/>
          <w:color w:val="231F20"/>
          <w:w w:val="105"/>
          <w:sz w:val="17"/>
        </w:rPr>
        <w:t>lei</w:t>
      </w:r>
      <w:r>
        <w:rPr>
          <w:rFonts w:ascii="Calibri" w:hAnsi="Calibri"/>
          <w:color w:val="231F20"/>
          <w:spacing w:val="-12"/>
          <w:w w:val="105"/>
          <w:sz w:val="17"/>
        </w:rPr>
        <w:t> </w:t>
      </w:r>
      <w:r>
        <w:rPr>
          <w:rFonts w:ascii="Calibri" w:hAnsi="Calibri"/>
          <w:color w:val="231F20"/>
          <w:w w:val="105"/>
          <w:sz w:val="17"/>
        </w:rPr>
        <w:t>stessa:</w:t>
      </w:r>
      <w:r>
        <w:rPr>
          <w:rFonts w:ascii="Calibri" w:hAnsi="Calibri"/>
          <w:color w:val="231F20"/>
          <w:spacing w:val="-12"/>
          <w:w w:val="105"/>
          <w:sz w:val="17"/>
        </w:rPr>
        <w:t> </w:t>
      </w:r>
      <w:r>
        <w:rPr>
          <w:rFonts w:ascii="Calibri" w:hAnsi="Calibri"/>
          <w:color w:val="231F20"/>
          <w:w w:val="105"/>
          <w:sz w:val="17"/>
        </w:rPr>
        <w:t>in</w:t>
      </w:r>
      <w:r>
        <w:rPr>
          <w:rFonts w:ascii="Calibri" w:hAnsi="Calibri"/>
          <w:color w:val="231F20"/>
          <w:spacing w:val="-12"/>
          <w:w w:val="105"/>
          <w:sz w:val="17"/>
        </w:rPr>
        <w:t> </w:t>
      </w:r>
      <w:r>
        <w:rPr>
          <w:rFonts w:ascii="Calibri" w:hAnsi="Calibri"/>
          <w:color w:val="231F20"/>
          <w:w w:val="105"/>
          <w:sz w:val="17"/>
        </w:rPr>
        <w:t>questa</w:t>
      </w:r>
      <w:r>
        <w:rPr>
          <w:rFonts w:ascii="Calibri" w:hAnsi="Calibri"/>
          <w:color w:val="231F20"/>
          <w:spacing w:val="-12"/>
          <w:w w:val="105"/>
          <w:sz w:val="17"/>
        </w:rPr>
        <w:t> </w:t>
      </w:r>
      <w:r>
        <w:rPr>
          <w:rFonts w:ascii="Calibri" w:hAnsi="Calibri"/>
          <w:color w:val="231F20"/>
          <w:w w:val="105"/>
          <w:sz w:val="17"/>
        </w:rPr>
        <w:t>maniera</w:t>
      </w:r>
      <w:r>
        <w:rPr>
          <w:rFonts w:ascii="Calibri" w:hAnsi="Calibri"/>
          <w:color w:val="231F20"/>
          <w:spacing w:val="-12"/>
          <w:w w:val="105"/>
          <w:sz w:val="17"/>
        </w:rPr>
        <w:t> </w:t>
      </w:r>
      <w:r>
        <w:rPr>
          <w:rFonts w:ascii="Calibri" w:hAnsi="Calibri"/>
          <w:color w:val="231F20"/>
          <w:w w:val="105"/>
          <w:sz w:val="17"/>
        </w:rPr>
        <w:t>si</w:t>
      </w:r>
      <w:r>
        <w:rPr>
          <w:rFonts w:ascii="Calibri" w:hAnsi="Calibri"/>
          <w:color w:val="231F20"/>
          <w:spacing w:val="-12"/>
          <w:w w:val="105"/>
          <w:sz w:val="17"/>
        </w:rPr>
        <w:t> </w:t>
      </w:r>
      <w:r>
        <w:rPr>
          <w:rFonts w:ascii="Calibri" w:hAnsi="Calibri"/>
          <w:color w:val="231F20"/>
          <w:w w:val="105"/>
          <w:sz w:val="17"/>
        </w:rPr>
        <w:t>presenta</w:t>
      </w:r>
      <w:r>
        <w:rPr>
          <w:rFonts w:ascii="Calibri" w:hAnsi="Calibri"/>
          <w:color w:val="231F20"/>
          <w:spacing w:val="-12"/>
          <w:w w:val="105"/>
          <w:sz w:val="17"/>
        </w:rPr>
        <w:t> </w:t>
      </w:r>
      <w:r>
        <w:rPr>
          <w:rFonts w:ascii="Calibri" w:hAnsi="Calibri"/>
          <w:color w:val="231F20"/>
          <w:w w:val="105"/>
          <w:sz w:val="17"/>
        </w:rPr>
        <w:t>come</w:t>
      </w:r>
      <w:r>
        <w:rPr>
          <w:rFonts w:ascii="Calibri" w:hAnsi="Calibri"/>
          <w:color w:val="231F20"/>
          <w:spacing w:val="-12"/>
          <w:w w:val="105"/>
          <w:sz w:val="17"/>
        </w:rPr>
        <w:t> </w:t>
      </w:r>
      <w:r>
        <w:rPr>
          <w:rFonts w:ascii="Calibri" w:hAnsi="Calibri"/>
          <w:color w:val="231F20"/>
          <w:w w:val="105"/>
          <w:sz w:val="17"/>
        </w:rPr>
        <w:t>il</w:t>
      </w:r>
      <w:r>
        <w:rPr>
          <w:rFonts w:ascii="Calibri" w:hAnsi="Calibri"/>
          <w:color w:val="231F20"/>
          <w:spacing w:val="-12"/>
          <w:w w:val="105"/>
          <w:sz w:val="17"/>
        </w:rPr>
        <w:t> </w:t>
      </w:r>
      <w:r>
        <w:rPr>
          <w:rFonts w:ascii="Calibri" w:hAnsi="Calibri"/>
          <w:color w:val="231F20"/>
          <w:w w:val="105"/>
          <w:sz w:val="17"/>
        </w:rPr>
        <w:t>suolo</w:t>
      </w:r>
      <w:r>
        <w:rPr>
          <w:rFonts w:ascii="Calibri" w:hAnsi="Calibri"/>
          <w:color w:val="231F20"/>
          <w:spacing w:val="-12"/>
          <w:w w:val="105"/>
          <w:sz w:val="17"/>
        </w:rPr>
        <w:t> </w:t>
      </w:r>
      <w:r>
        <w:rPr>
          <w:rFonts w:ascii="Calibri" w:hAnsi="Calibri"/>
          <w:color w:val="231F20"/>
          <w:w w:val="105"/>
          <w:sz w:val="17"/>
        </w:rPr>
        <w:t>naturale,</w:t>
      </w:r>
      <w:r>
        <w:rPr>
          <w:rFonts w:ascii="Calibri" w:hAnsi="Calibri"/>
          <w:color w:val="231F20"/>
          <w:spacing w:val="-12"/>
          <w:w w:val="105"/>
          <w:sz w:val="17"/>
        </w:rPr>
        <w:t> </w:t>
      </w:r>
      <w:r>
        <w:rPr>
          <w:rFonts w:ascii="Calibri" w:hAnsi="Calibri"/>
          <w:color w:val="231F20"/>
          <w:w w:val="105"/>
          <w:sz w:val="17"/>
        </w:rPr>
        <w:t>originario</w:t>
      </w:r>
    </w:p>
    <w:p>
      <w:pPr>
        <w:pStyle w:val="BodyText"/>
        <w:rPr>
          <w:rFonts w:ascii="Calibri"/>
          <w:sz w:val="20"/>
        </w:rPr>
      </w:pPr>
    </w:p>
    <w:p>
      <w:pPr>
        <w:pStyle w:val="BodyText"/>
        <w:spacing w:before="1"/>
        <w:rPr>
          <w:rFonts w:ascii="Calibri"/>
          <w:sz w:val="28"/>
        </w:rPr>
      </w:pPr>
    </w:p>
    <w:p>
      <w:pPr>
        <w:tabs>
          <w:tab w:pos="1317" w:val="left" w:leader="none"/>
        </w:tabs>
        <w:spacing w:before="69"/>
        <w:ind w:left="267" w:right="0" w:firstLine="0"/>
        <w:jc w:val="left"/>
        <w:rPr>
          <w:rFonts w:ascii="Calibri" w:hAnsi="Calibri"/>
          <w:sz w:val="16"/>
        </w:rPr>
      </w:pPr>
      <w:r>
        <w:rPr/>
        <w:pict>
          <v:group style="position:absolute;margin-left:98.079102pt;margin-top:-3.308812pt;width:20.4pt;height:43pt;mso-position-horizontal-relative:page;mso-position-vertical-relative:paragraph;z-index:-163552" coordorigin="1962,-66" coordsize="408,860">
            <v:line style="position:absolute" from="2211,73" to="2211,789" stroked="true" strokeweight=".35pt" strokecolor="#231f20"/>
            <v:shape style="position:absolute;left:2179;top:-13;width:190;height:445" type="#_x0000_t75" stroked="false">
              <v:imagedata r:id="rId34" o:title=""/>
            </v:shape>
            <v:shape style="position:absolute;left:1962;top:-66;width:250;height:502" type="#_x0000_t75" stroked="false">
              <v:imagedata r:id="rId35" o:title=""/>
            </v:shape>
            <w10:wrap type="none"/>
          </v:group>
        </w:pict>
      </w:r>
      <w:r>
        <w:rPr>
          <w:rFonts w:ascii="Trebuchet MS" w:hAnsi="Trebuchet MS"/>
          <w:color w:val="414042"/>
          <w:w w:val="105"/>
          <w:position w:val="-4"/>
          <w:sz w:val="20"/>
        </w:rPr>
        <w:t>78</w:t>
        <w:tab/>
      </w:r>
      <w:r>
        <w:rPr>
          <w:rFonts w:ascii="Calibri" w:hAnsi="Calibri"/>
          <w:color w:val="6D6E71"/>
          <w:w w:val="105"/>
          <w:sz w:val="16"/>
        </w:rPr>
        <w:t>María</w:t>
      </w:r>
      <w:r>
        <w:rPr>
          <w:rFonts w:ascii="Calibri" w:hAnsi="Calibri"/>
          <w:color w:val="6D6E71"/>
          <w:spacing w:val="-19"/>
          <w:w w:val="105"/>
          <w:sz w:val="16"/>
        </w:rPr>
        <w:t> </w:t>
      </w:r>
      <w:r>
        <w:rPr>
          <w:rFonts w:ascii="Calibri" w:hAnsi="Calibri"/>
          <w:color w:val="6D6E71"/>
          <w:w w:val="105"/>
          <w:sz w:val="16"/>
        </w:rPr>
        <w:t>Luisa</w:t>
      </w:r>
      <w:r>
        <w:rPr>
          <w:rFonts w:ascii="Calibri" w:hAnsi="Calibri"/>
          <w:color w:val="6D6E71"/>
          <w:spacing w:val="-19"/>
          <w:w w:val="105"/>
          <w:sz w:val="16"/>
        </w:rPr>
        <w:t> </w:t>
      </w:r>
      <w:r>
        <w:rPr>
          <w:rFonts w:ascii="Calibri" w:hAnsi="Calibri"/>
          <w:color w:val="6D6E71"/>
          <w:w w:val="105"/>
          <w:sz w:val="16"/>
        </w:rPr>
        <w:t>Bacarlett</w:t>
      </w:r>
      <w:r>
        <w:rPr>
          <w:rFonts w:ascii="Calibri" w:hAnsi="Calibri"/>
          <w:color w:val="6D6E71"/>
          <w:spacing w:val="-19"/>
          <w:w w:val="105"/>
          <w:sz w:val="16"/>
        </w:rPr>
        <w:t> </w:t>
      </w:r>
      <w:r>
        <w:rPr>
          <w:rFonts w:ascii="Calibri" w:hAnsi="Calibri"/>
          <w:color w:val="6D6E71"/>
          <w:w w:val="105"/>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717" w:right="0" w:firstLine="0"/>
        <w:jc w:val="left"/>
        <w:rPr>
          <w:rFonts w:ascii="Trebuchet MS"/>
          <w:sz w:val="20"/>
        </w:rPr>
      </w:pPr>
      <w:r>
        <w:rPr/>
        <w:pict>
          <v:group style="position:absolute;margin-left:383.821014pt;margin-top:-25.479271pt;width:8.65pt;height:41pt;mso-position-horizontal-relative:page;mso-position-vertical-relative:paragraph;z-index:-16350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color w:val="6D6E71"/>
          <w:w w:val="95"/>
          <w:sz w:val="14"/>
        </w:rPr>
        <w:t>NATURALIZZARE</w:t>
      </w:r>
      <w:r>
        <w:rPr>
          <w:rFonts w:ascii="Lucida Sans Unicode"/>
          <w:color w:val="6D6E71"/>
          <w:spacing w:val="-18"/>
          <w:w w:val="95"/>
          <w:sz w:val="14"/>
        </w:rPr>
        <w:t> </w:t>
      </w:r>
      <w:r>
        <w:rPr>
          <w:rFonts w:ascii="Lucida Sans Unicode"/>
          <w:color w:val="6D6E71"/>
          <w:w w:val="95"/>
          <w:sz w:val="14"/>
        </w:rPr>
        <w:t>I</w:t>
      </w:r>
      <w:r>
        <w:rPr>
          <w:rFonts w:ascii="Lucida Sans Unicode"/>
          <w:color w:val="6D6E71"/>
          <w:spacing w:val="-18"/>
          <w:w w:val="95"/>
          <w:sz w:val="14"/>
        </w:rPr>
        <w:t> </w:t>
      </w:r>
      <w:r>
        <w:rPr>
          <w:rFonts w:ascii="Lucida Sans Unicode"/>
          <w:color w:val="6D6E71"/>
          <w:w w:val="95"/>
          <w:sz w:val="14"/>
        </w:rPr>
        <w:t>PARADOSSI:</w:t>
      </w:r>
      <w:r>
        <w:rPr>
          <w:rFonts w:ascii="Lucida Sans Unicode"/>
          <w:color w:val="6D6E71"/>
          <w:spacing w:val="-18"/>
          <w:w w:val="95"/>
          <w:sz w:val="14"/>
        </w:rPr>
        <w:t> </w:t>
      </w:r>
      <w:r>
        <w:rPr>
          <w:rFonts w:ascii="Lucida Sans Unicode"/>
          <w:color w:val="6D6E71"/>
          <w:w w:val="95"/>
          <w:sz w:val="14"/>
        </w:rPr>
        <w:t>UN</w:t>
      </w:r>
      <w:r>
        <w:rPr>
          <w:rFonts w:ascii="Lucida Sans Unicode"/>
          <w:color w:val="6D6E71"/>
          <w:spacing w:val="-18"/>
          <w:w w:val="95"/>
          <w:sz w:val="14"/>
        </w:rPr>
        <w:t> </w:t>
      </w:r>
      <w:r>
        <w:rPr>
          <w:rFonts w:ascii="Lucida Sans Unicode"/>
          <w:color w:val="6D6E71"/>
          <w:w w:val="95"/>
          <w:sz w:val="14"/>
        </w:rPr>
        <w:t>APPROCCIO</w:t>
      </w:r>
      <w:r>
        <w:rPr>
          <w:rFonts w:ascii="Lucida Sans Unicode"/>
          <w:color w:val="6D6E71"/>
          <w:spacing w:val="-18"/>
          <w:w w:val="95"/>
          <w:sz w:val="14"/>
        </w:rPr>
        <w:t> </w:t>
      </w:r>
      <w:r>
        <w:rPr>
          <w:rFonts w:ascii="Lucida Sans Unicode"/>
          <w:color w:val="6D6E71"/>
          <w:w w:val="95"/>
          <w:sz w:val="14"/>
        </w:rPr>
        <w:t>ALLA</w:t>
      </w:r>
      <w:r>
        <w:rPr>
          <w:rFonts w:ascii="Lucida Sans Unicode"/>
          <w:color w:val="6D6E71"/>
          <w:spacing w:val="-18"/>
          <w:w w:val="95"/>
          <w:sz w:val="14"/>
        </w:rPr>
        <w:t> </w:t>
      </w:r>
      <w:r>
        <w:rPr>
          <w:rFonts w:ascii="Lucida Sans Unicode"/>
          <w:color w:val="6D6E71"/>
          <w:w w:val="95"/>
          <w:sz w:val="14"/>
        </w:rPr>
        <w:t>GLOBALIZZAZIONE</w:t>
      </w:r>
      <w:r>
        <w:rPr>
          <w:rFonts w:ascii="Lucida Sans Unicode"/>
          <w:color w:val="6D6E71"/>
          <w:spacing w:val="-18"/>
          <w:w w:val="95"/>
          <w:sz w:val="14"/>
        </w:rPr>
        <w:t> </w:t>
      </w:r>
      <w:r>
        <w:rPr>
          <w:rFonts w:ascii="Lucida Sans Unicode"/>
          <w:color w:val="6D6E71"/>
          <w:w w:val="95"/>
          <w:sz w:val="14"/>
        </w:rPr>
        <w:t>DA</w:t>
      </w:r>
      <w:r>
        <w:rPr>
          <w:rFonts w:ascii="Lucida Sans Unicode"/>
          <w:color w:val="6D6E71"/>
          <w:spacing w:val="-18"/>
          <w:w w:val="95"/>
          <w:sz w:val="14"/>
        </w:rPr>
        <w:t> </w:t>
      </w:r>
      <w:r>
        <w:rPr>
          <w:rFonts w:ascii="Lucida Sans Unicode"/>
          <w:color w:val="6D6E71"/>
          <w:w w:val="95"/>
          <w:sz w:val="14"/>
        </w:rPr>
        <w:t>GILLES</w:t>
      </w:r>
      <w:r>
        <w:rPr>
          <w:rFonts w:ascii="Lucida Sans Unicode"/>
          <w:color w:val="6D6E71"/>
          <w:spacing w:val="-18"/>
          <w:w w:val="95"/>
          <w:sz w:val="14"/>
        </w:rPr>
        <w:t> </w:t>
      </w:r>
      <w:r>
        <w:rPr>
          <w:rFonts w:ascii="Lucida Sans Unicode"/>
          <w:color w:val="6D6E71"/>
          <w:w w:val="95"/>
          <w:sz w:val="14"/>
        </w:rPr>
        <w:t>DELEUZE</w:t>
      </w:r>
      <w:r>
        <w:rPr>
          <w:rFonts w:ascii="Trebuchet MS"/>
          <w:color w:val="414042"/>
          <w:w w:val="95"/>
          <w:position w:val="-3"/>
          <w:sz w:val="20"/>
        </w:rPr>
        <w:tab/>
        <w:t>79</w:t>
      </w:r>
    </w:p>
    <w:p>
      <w:pPr>
        <w:pStyle w:val="BodyText"/>
        <w:rPr>
          <w:rFonts w:ascii="Trebuchet MS"/>
          <w:sz w:val="20"/>
        </w:rPr>
      </w:pPr>
    </w:p>
    <w:p>
      <w:pPr>
        <w:pStyle w:val="BodyText"/>
        <w:rPr>
          <w:rFonts w:ascii="Trebuchet MS"/>
          <w:sz w:val="20"/>
        </w:rPr>
      </w:pPr>
    </w:p>
    <w:p>
      <w:pPr>
        <w:pStyle w:val="BodyText"/>
        <w:spacing w:line="247" w:lineRule="auto" w:before="156"/>
        <w:ind w:left="117" w:right="114"/>
        <w:jc w:val="both"/>
      </w:pPr>
      <w:r>
        <w:rPr>
          <w:color w:val="231F20"/>
        </w:rPr>
        <w:t>alla fine, prima o poi quello che sembra esterno è già incluso in qualche </w:t>
      </w:r>
      <w:r>
        <w:rPr>
          <w:color w:val="231F20"/>
          <w:spacing w:val="2"/>
        </w:rPr>
        <w:t>maniera attraverso </w:t>
      </w:r>
      <w:r>
        <w:rPr>
          <w:color w:val="231F20"/>
        </w:rPr>
        <w:t>un </w:t>
      </w:r>
      <w:r>
        <w:rPr>
          <w:color w:val="231F20"/>
          <w:spacing w:val="2"/>
        </w:rPr>
        <w:t>paradosso </w:t>
      </w:r>
      <w:r>
        <w:rPr>
          <w:color w:val="231F20"/>
        </w:rPr>
        <w:t>che lo fa </w:t>
      </w:r>
      <w:r>
        <w:rPr>
          <w:color w:val="231F20"/>
          <w:spacing w:val="2"/>
        </w:rPr>
        <w:t>diventare complemento </w:t>
      </w:r>
      <w:r>
        <w:rPr>
          <w:color w:val="231F20"/>
          <w:spacing w:val="3"/>
        </w:rPr>
        <w:t>del </w:t>
      </w:r>
      <w:r>
        <w:rPr>
          <w:color w:val="231F20"/>
        </w:rPr>
        <w:t>suo contrario. Si tratta, così, di aporie che sono già state assiomatizzate   e che invece di dare luogo a differenze radicali che creano ibridi, fanno omogeneo quello che è disuguale, lo fanno digeribile a forza di nominarlo e farlo complementare. È difficile negare l’abbondanza di paradossi </w:t>
      </w:r>
      <w:r>
        <w:rPr>
          <w:color w:val="231F20"/>
          <w:spacing w:val="2"/>
        </w:rPr>
        <w:t>che </w:t>
      </w:r>
      <w:r>
        <w:rPr>
          <w:color w:val="231F20"/>
        </w:rPr>
        <w:t>conformano la globalizzazione; comunque, ciò che facciamo con loro </w:t>
      </w:r>
      <w:r>
        <w:rPr>
          <w:color w:val="231F20"/>
          <w:spacing w:val="2"/>
        </w:rPr>
        <w:t>non </w:t>
      </w:r>
      <w:r>
        <w:rPr>
          <w:color w:val="231F20"/>
        </w:rPr>
        <w:t>lancia risultati uguali. I paradossi possono naturalizzarsi, possono essere assorbiti da un assioma che gli strappa il loro carattere indecidibile e gli   fa </w:t>
      </w:r>
      <w:r>
        <w:rPr>
          <w:color w:val="231F20"/>
          <w:spacing w:val="2"/>
        </w:rPr>
        <w:t>apparire come fatti </w:t>
      </w:r>
      <w:r>
        <w:rPr>
          <w:color w:val="231F20"/>
        </w:rPr>
        <w:t>da </w:t>
      </w:r>
      <w:r>
        <w:rPr>
          <w:color w:val="231F20"/>
          <w:spacing w:val="2"/>
        </w:rPr>
        <w:t>opposti </w:t>
      </w:r>
      <w:r>
        <w:rPr>
          <w:color w:val="231F20"/>
        </w:rPr>
        <w:t>che si </w:t>
      </w:r>
      <w:r>
        <w:rPr>
          <w:color w:val="231F20"/>
          <w:spacing w:val="2"/>
        </w:rPr>
        <w:t>possono etichettare, </w:t>
      </w:r>
      <w:r>
        <w:rPr>
          <w:color w:val="231F20"/>
        </w:rPr>
        <w:t>e </w:t>
      </w:r>
      <w:r>
        <w:rPr>
          <w:color w:val="231F20"/>
          <w:spacing w:val="3"/>
        </w:rPr>
        <w:t>quindi, </w:t>
      </w:r>
      <w:r>
        <w:rPr>
          <w:color w:val="231F20"/>
          <w:spacing w:val="2"/>
        </w:rPr>
        <w:t>omogeneizzabili; </w:t>
      </w:r>
      <w:r>
        <w:rPr>
          <w:color w:val="231F20"/>
        </w:rPr>
        <w:t>in </w:t>
      </w:r>
      <w:r>
        <w:rPr>
          <w:color w:val="231F20"/>
          <w:spacing w:val="2"/>
        </w:rPr>
        <w:t>questa maniera </w:t>
      </w:r>
      <w:r>
        <w:rPr>
          <w:color w:val="231F20"/>
        </w:rPr>
        <w:t>le </w:t>
      </w:r>
      <w:r>
        <w:rPr>
          <w:color w:val="231F20"/>
          <w:spacing w:val="2"/>
        </w:rPr>
        <w:t>aporie diventano includenti </w:t>
      </w:r>
      <w:r>
        <w:rPr>
          <w:color w:val="231F20"/>
        </w:rPr>
        <w:t>e </w:t>
      </w:r>
      <w:r>
        <w:rPr>
          <w:color w:val="231F20"/>
          <w:spacing w:val="3"/>
        </w:rPr>
        <w:t>si </w:t>
      </w:r>
      <w:r>
        <w:rPr>
          <w:color w:val="231F20"/>
        </w:rPr>
        <w:t>indeboliscono; i contrari diventano visibili e ben delimitati: le minoranze    e i movimenti più contestatari finiscono per assumere una faccia definita, un’identità riconoscibile. Ma anche si possono fare cose con i paradossi, </w:t>
      </w:r>
      <w:r>
        <w:rPr>
          <w:color w:val="231F20"/>
          <w:spacing w:val="3"/>
        </w:rPr>
        <w:t>possiamo portarli all’estremo </w:t>
      </w:r>
      <w:r>
        <w:rPr>
          <w:color w:val="231F20"/>
        </w:rPr>
        <w:t>e </w:t>
      </w:r>
      <w:r>
        <w:rPr>
          <w:color w:val="231F20"/>
          <w:spacing w:val="2"/>
        </w:rPr>
        <w:t>affermare </w:t>
      </w:r>
      <w:r>
        <w:rPr>
          <w:color w:val="231F20"/>
        </w:rPr>
        <w:t>il loro </w:t>
      </w:r>
      <w:r>
        <w:rPr>
          <w:color w:val="231F20"/>
          <w:spacing w:val="3"/>
        </w:rPr>
        <w:t>carattere </w:t>
      </w:r>
      <w:r>
        <w:rPr>
          <w:color w:val="231F20"/>
          <w:spacing w:val="4"/>
        </w:rPr>
        <w:t>indecidibile, </w:t>
      </w:r>
      <w:r>
        <w:rPr>
          <w:color w:val="231F20"/>
        </w:rPr>
        <w:t>possiamo radicalizzarli e </w:t>
      </w:r>
      <w:r>
        <w:rPr>
          <w:rFonts w:ascii="Arial" w:hAnsi="Arial"/>
          <w:i/>
          <w:color w:val="231F20"/>
        </w:rPr>
        <w:t>accelerare il</w:t>
      </w:r>
      <w:r>
        <w:rPr>
          <w:rFonts w:ascii="Arial" w:hAnsi="Arial"/>
          <w:i/>
          <w:color w:val="231F20"/>
          <w:spacing w:val="58"/>
        </w:rPr>
        <w:t> </w:t>
      </w:r>
      <w:r>
        <w:rPr>
          <w:rFonts w:ascii="Arial" w:hAnsi="Arial"/>
          <w:i/>
          <w:color w:val="231F20"/>
        </w:rPr>
        <w:t>processo</w:t>
      </w:r>
      <w:r>
        <w:rPr>
          <w:color w:val="231F20"/>
        </w:rPr>
        <w:t>.</w:t>
      </w:r>
    </w:p>
    <w:p>
      <w:pPr>
        <w:pStyle w:val="BodyText"/>
        <w:spacing w:before="9"/>
        <w:rPr>
          <w:sz w:val="22"/>
        </w:rPr>
      </w:pPr>
    </w:p>
    <w:p>
      <w:pPr>
        <w:spacing w:line="220" w:lineRule="exact" w:before="0"/>
        <w:ind w:left="1534" w:right="119" w:firstLine="0"/>
        <w:jc w:val="both"/>
        <w:rPr>
          <w:sz w:val="19"/>
        </w:rPr>
      </w:pPr>
      <w:r>
        <w:rPr>
          <w:color w:val="231F20"/>
          <w:sz w:val="19"/>
        </w:rPr>
        <w:t>Ma per quale via rivoluzionaria se </w:t>
      </w:r>
      <w:r>
        <w:rPr>
          <w:color w:val="231F20"/>
          <w:spacing w:val="2"/>
          <w:sz w:val="19"/>
        </w:rPr>
        <w:t>c’è </w:t>
      </w:r>
      <w:r>
        <w:rPr>
          <w:color w:val="231F20"/>
          <w:sz w:val="19"/>
        </w:rPr>
        <w:t>qualcuna? —Ritirarsi </w:t>
      </w:r>
      <w:r>
        <w:rPr>
          <w:color w:val="231F20"/>
          <w:spacing w:val="2"/>
          <w:sz w:val="19"/>
        </w:rPr>
        <w:t>dal </w:t>
      </w:r>
      <w:r>
        <w:rPr>
          <w:color w:val="231F20"/>
          <w:sz w:val="19"/>
        </w:rPr>
        <w:t>mercato mondiale, come Samir Amin consiglia ai paesi del terzo mondo, in una curiosa rinnovazione della “soluzione economica” fascista? Oppure, andare in senso opposto? Cioè, andare ancora più </w:t>
      </w:r>
      <w:r>
        <w:rPr>
          <w:color w:val="231F20"/>
          <w:spacing w:val="2"/>
          <w:sz w:val="19"/>
        </w:rPr>
        <w:t>lontano </w:t>
      </w:r>
      <w:r>
        <w:rPr>
          <w:color w:val="231F20"/>
          <w:sz w:val="19"/>
        </w:rPr>
        <w:t>dal </w:t>
      </w:r>
      <w:r>
        <w:rPr>
          <w:color w:val="231F20"/>
          <w:spacing w:val="2"/>
          <w:sz w:val="19"/>
        </w:rPr>
        <w:t>movimento </w:t>
      </w:r>
      <w:r>
        <w:rPr>
          <w:color w:val="231F20"/>
          <w:sz w:val="19"/>
        </w:rPr>
        <w:t>del mercato </w:t>
      </w:r>
      <w:r>
        <w:rPr>
          <w:color w:val="231F20"/>
          <w:spacing w:val="2"/>
          <w:sz w:val="19"/>
        </w:rPr>
        <w:t>nella decodificazione     </w:t>
      </w:r>
      <w:r>
        <w:rPr>
          <w:color w:val="231F20"/>
          <w:sz w:val="19"/>
        </w:rPr>
        <w:t>e </w:t>
      </w:r>
      <w:r>
        <w:rPr>
          <w:color w:val="231F20"/>
          <w:spacing w:val="2"/>
          <w:sz w:val="19"/>
        </w:rPr>
        <w:t>deterritorializzazione? </w:t>
      </w:r>
      <w:r>
        <w:rPr>
          <w:color w:val="231F20"/>
          <w:sz w:val="19"/>
        </w:rPr>
        <w:t>È che </w:t>
      </w:r>
      <w:r>
        <w:rPr>
          <w:color w:val="231F20"/>
          <w:spacing w:val="2"/>
          <w:sz w:val="19"/>
        </w:rPr>
        <w:t>forse </w:t>
      </w:r>
      <w:r>
        <w:rPr>
          <w:color w:val="231F20"/>
          <w:sz w:val="19"/>
        </w:rPr>
        <w:t>i flussi non </w:t>
      </w:r>
      <w:r>
        <w:rPr>
          <w:color w:val="231F20"/>
          <w:spacing w:val="2"/>
          <w:sz w:val="19"/>
        </w:rPr>
        <w:t>sono </w:t>
      </w:r>
      <w:r>
        <w:rPr>
          <w:color w:val="231F20"/>
          <w:sz w:val="19"/>
        </w:rPr>
        <w:t>già </w:t>
      </w:r>
      <w:r>
        <w:rPr>
          <w:color w:val="231F20"/>
          <w:spacing w:val="3"/>
          <w:sz w:val="19"/>
        </w:rPr>
        <w:t>così </w:t>
      </w:r>
      <w:r>
        <w:rPr>
          <w:color w:val="231F20"/>
          <w:spacing w:val="2"/>
          <w:sz w:val="19"/>
        </w:rPr>
        <w:t>deterritorializzati, </w:t>
      </w:r>
      <w:r>
        <w:rPr>
          <w:color w:val="231F20"/>
          <w:sz w:val="19"/>
        </w:rPr>
        <w:t>non </w:t>
      </w:r>
      <w:r>
        <w:rPr>
          <w:color w:val="231F20"/>
          <w:spacing w:val="2"/>
          <w:sz w:val="19"/>
        </w:rPr>
        <w:t>tanto decodificati, </w:t>
      </w:r>
      <w:r>
        <w:rPr>
          <w:color w:val="231F20"/>
          <w:sz w:val="19"/>
        </w:rPr>
        <w:t>dal </w:t>
      </w:r>
      <w:r>
        <w:rPr>
          <w:color w:val="231F20"/>
          <w:spacing w:val="2"/>
          <w:sz w:val="19"/>
        </w:rPr>
        <w:t>punto </w:t>
      </w:r>
      <w:r>
        <w:rPr>
          <w:color w:val="231F20"/>
          <w:sz w:val="19"/>
        </w:rPr>
        <w:t>di </w:t>
      </w:r>
      <w:r>
        <w:rPr>
          <w:color w:val="231F20"/>
          <w:spacing w:val="2"/>
          <w:sz w:val="19"/>
        </w:rPr>
        <w:t>vista </w:t>
      </w:r>
      <w:r>
        <w:rPr>
          <w:color w:val="231F20"/>
          <w:sz w:val="19"/>
        </w:rPr>
        <w:t>di una teoria e una pratica di flussi di alto contenuto schizofrenico. Non ritirarsi dal processo, ma andare più lontano, “accelerare il processo”,</w:t>
      </w:r>
      <w:r>
        <w:rPr>
          <w:color w:val="231F20"/>
          <w:spacing w:val="-16"/>
          <w:sz w:val="19"/>
        </w:rPr>
        <w:t> </w:t>
      </w:r>
      <w:r>
        <w:rPr>
          <w:color w:val="231F20"/>
          <w:sz w:val="19"/>
        </w:rPr>
        <w:t>come</w:t>
      </w:r>
      <w:r>
        <w:rPr>
          <w:color w:val="231F20"/>
          <w:spacing w:val="-16"/>
          <w:sz w:val="19"/>
        </w:rPr>
        <w:t> </w:t>
      </w:r>
      <w:r>
        <w:rPr>
          <w:color w:val="231F20"/>
          <w:sz w:val="19"/>
        </w:rPr>
        <w:t>diceva</w:t>
      </w:r>
      <w:r>
        <w:rPr>
          <w:color w:val="231F20"/>
          <w:spacing w:val="-16"/>
          <w:sz w:val="19"/>
        </w:rPr>
        <w:t> </w:t>
      </w:r>
      <w:r>
        <w:rPr>
          <w:color w:val="231F20"/>
          <w:sz w:val="19"/>
        </w:rPr>
        <w:t>Nietzsche:</w:t>
      </w:r>
      <w:r>
        <w:rPr>
          <w:color w:val="231F20"/>
          <w:spacing w:val="-16"/>
          <w:sz w:val="19"/>
        </w:rPr>
        <w:t> </w:t>
      </w:r>
      <w:r>
        <w:rPr>
          <w:color w:val="231F20"/>
          <w:sz w:val="19"/>
        </w:rPr>
        <w:t>in</w:t>
      </w:r>
      <w:r>
        <w:rPr>
          <w:color w:val="231F20"/>
          <w:spacing w:val="-16"/>
          <w:sz w:val="19"/>
        </w:rPr>
        <w:t> </w:t>
      </w:r>
      <w:r>
        <w:rPr>
          <w:color w:val="231F20"/>
          <w:sz w:val="19"/>
        </w:rPr>
        <w:t>realtà,</w:t>
      </w:r>
      <w:r>
        <w:rPr>
          <w:color w:val="231F20"/>
          <w:spacing w:val="-16"/>
          <w:sz w:val="19"/>
        </w:rPr>
        <w:t> </w:t>
      </w:r>
      <w:r>
        <w:rPr>
          <w:color w:val="231F20"/>
          <w:sz w:val="19"/>
        </w:rPr>
        <w:t>in</w:t>
      </w:r>
      <w:r>
        <w:rPr>
          <w:color w:val="231F20"/>
          <w:spacing w:val="-16"/>
          <w:sz w:val="19"/>
        </w:rPr>
        <w:t> </w:t>
      </w:r>
      <w:r>
        <w:rPr>
          <w:color w:val="231F20"/>
          <w:sz w:val="19"/>
        </w:rPr>
        <w:t>questa</w:t>
      </w:r>
      <w:r>
        <w:rPr>
          <w:color w:val="231F20"/>
          <w:spacing w:val="-16"/>
          <w:sz w:val="19"/>
        </w:rPr>
        <w:t> </w:t>
      </w:r>
      <w:r>
        <w:rPr>
          <w:color w:val="231F20"/>
          <w:sz w:val="19"/>
        </w:rPr>
        <w:t>materia</w:t>
      </w:r>
      <w:r>
        <w:rPr>
          <w:color w:val="231F20"/>
          <w:spacing w:val="-16"/>
          <w:sz w:val="19"/>
        </w:rPr>
        <w:t> </w:t>
      </w:r>
      <w:r>
        <w:rPr>
          <w:color w:val="231F20"/>
          <w:sz w:val="19"/>
        </w:rPr>
        <w:t>non abbiamo ancora visto</w:t>
      </w:r>
      <w:r>
        <w:rPr>
          <w:color w:val="231F20"/>
          <w:spacing w:val="9"/>
          <w:sz w:val="19"/>
        </w:rPr>
        <w:t> </w:t>
      </w:r>
      <w:r>
        <w:rPr>
          <w:color w:val="231F20"/>
          <w:sz w:val="19"/>
        </w:rPr>
        <w:t>niente</w:t>
      </w:r>
      <w:r>
        <w:rPr>
          <w:color w:val="231F20"/>
          <w:position w:val="6"/>
          <w:sz w:val="11"/>
        </w:rPr>
        <w:t>43</w:t>
      </w:r>
      <w:r>
        <w:rPr>
          <w:color w:val="231F20"/>
          <w:sz w:val="19"/>
        </w:rPr>
        <w:t>.</w:t>
      </w:r>
    </w:p>
    <w:p>
      <w:pPr>
        <w:pStyle w:val="BodyText"/>
        <w:spacing w:before="11"/>
        <w:rPr>
          <w:sz w:val="23"/>
        </w:rPr>
      </w:pPr>
    </w:p>
    <w:p>
      <w:pPr>
        <w:pStyle w:val="BodyText"/>
        <w:spacing w:line="244" w:lineRule="auto"/>
        <w:ind w:left="117" w:right="118"/>
        <w:jc w:val="both"/>
      </w:pPr>
      <w:r>
        <w:rPr>
          <w:rFonts w:ascii="Arial" w:hAnsi="Arial"/>
          <w:i/>
          <w:color w:val="231F20"/>
          <w:spacing w:val="-4"/>
          <w:w w:val="105"/>
        </w:rPr>
        <w:t>Accelerare</w:t>
      </w:r>
      <w:r>
        <w:rPr>
          <w:rFonts w:ascii="Arial" w:hAnsi="Arial"/>
          <w:i/>
          <w:color w:val="231F20"/>
          <w:spacing w:val="-44"/>
          <w:w w:val="105"/>
        </w:rPr>
        <w:t> </w:t>
      </w:r>
      <w:r>
        <w:rPr>
          <w:rFonts w:ascii="Arial" w:hAnsi="Arial"/>
          <w:i/>
          <w:color w:val="231F20"/>
          <w:w w:val="105"/>
        </w:rPr>
        <w:t>il</w:t>
      </w:r>
      <w:r>
        <w:rPr>
          <w:rFonts w:ascii="Arial" w:hAnsi="Arial"/>
          <w:i/>
          <w:color w:val="231F20"/>
          <w:spacing w:val="-44"/>
          <w:w w:val="105"/>
        </w:rPr>
        <w:t> </w:t>
      </w:r>
      <w:r>
        <w:rPr>
          <w:rFonts w:ascii="Arial" w:hAnsi="Arial"/>
          <w:i/>
          <w:color w:val="231F20"/>
          <w:spacing w:val="-4"/>
          <w:w w:val="105"/>
        </w:rPr>
        <w:t>processo</w:t>
      </w:r>
      <w:r>
        <w:rPr>
          <w:rFonts w:ascii="Arial" w:hAnsi="Arial"/>
          <w:i/>
          <w:color w:val="231F20"/>
          <w:spacing w:val="-44"/>
          <w:w w:val="105"/>
        </w:rPr>
        <w:t> </w:t>
      </w:r>
      <w:r>
        <w:rPr>
          <w:color w:val="231F20"/>
          <w:spacing w:val="-4"/>
          <w:w w:val="105"/>
        </w:rPr>
        <w:t>significherebbe</w:t>
      </w:r>
      <w:r>
        <w:rPr>
          <w:color w:val="231F20"/>
          <w:spacing w:val="-51"/>
          <w:w w:val="105"/>
        </w:rPr>
        <w:t> </w:t>
      </w:r>
      <w:r>
        <w:rPr>
          <w:color w:val="231F20"/>
          <w:spacing w:val="-4"/>
          <w:w w:val="105"/>
        </w:rPr>
        <w:t>ipostatizzare</w:t>
      </w:r>
      <w:r>
        <w:rPr>
          <w:color w:val="231F20"/>
          <w:spacing w:val="-51"/>
          <w:w w:val="105"/>
        </w:rPr>
        <w:t> </w:t>
      </w:r>
      <w:r>
        <w:rPr>
          <w:color w:val="231F20"/>
          <w:spacing w:val="-4"/>
          <w:w w:val="105"/>
        </w:rPr>
        <w:t>l’opposizione</w:t>
      </w:r>
      <w:r>
        <w:rPr>
          <w:color w:val="231F20"/>
          <w:spacing w:val="-51"/>
          <w:w w:val="105"/>
        </w:rPr>
        <w:t> </w:t>
      </w:r>
      <w:r>
        <w:rPr>
          <w:color w:val="231F20"/>
          <w:spacing w:val="-3"/>
          <w:w w:val="105"/>
        </w:rPr>
        <w:t>tra</w:t>
      </w:r>
      <w:r>
        <w:rPr>
          <w:color w:val="231F20"/>
          <w:spacing w:val="-51"/>
          <w:w w:val="105"/>
        </w:rPr>
        <w:t> </w:t>
      </w:r>
      <w:r>
        <w:rPr>
          <w:color w:val="231F20"/>
          <w:w w:val="105"/>
        </w:rPr>
        <w:t>il</w:t>
      </w:r>
      <w:r>
        <w:rPr>
          <w:color w:val="231F20"/>
          <w:spacing w:val="-51"/>
          <w:w w:val="105"/>
        </w:rPr>
        <w:t> </w:t>
      </w:r>
      <w:r>
        <w:rPr>
          <w:color w:val="231F20"/>
          <w:spacing w:val="-4"/>
          <w:w w:val="105"/>
        </w:rPr>
        <w:t>globale </w:t>
      </w:r>
      <w:r>
        <w:rPr>
          <w:color w:val="231F20"/>
          <w:w w:val="105"/>
        </w:rPr>
        <w:t>e</w:t>
      </w:r>
      <w:r>
        <w:rPr>
          <w:color w:val="231F20"/>
          <w:spacing w:val="-52"/>
          <w:w w:val="105"/>
        </w:rPr>
        <w:t> </w:t>
      </w:r>
      <w:r>
        <w:rPr>
          <w:color w:val="231F20"/>
          <w:w w:val="105"/>
        </w:rPr>
        <w:t>il</w:t>
      </w:r>
      <w:r>
        <w:rPr>
          <w:color w:val="231F20"/>
          <w:spacing w:val="-52"/>
          <w:w w:val="105"/>
        </w:rPr>
        <w:t> </w:t>
      </w:r>
      <w:r>
        <w:rPr>
          <w:color w:val="231F20"/>
          <w:w w:val="105"/>
        </w:rPr>
        <w:t>locale?</w:t>
      </w:r>
      <w:r>
        <w:rPr>
          <w:color w:val="231F20"/>
          <w:spacing w:val="-52"/>
          <w:w w:val="105"/>
        </w:rPr>
        <w:t> </w:t>
      </w:r>
      <w:r>
        <w:rPr>
          <w:color w:val="231F20"/>
          <w:w w:val="105"/>
        </w:rPr>
        <w:t>La</w:t>
      </w:r>
      <w:r>
        <w:rPr>
          <w:color w:val="231F20"/>
          <w:spacing w:val="-52"/>
          <w:w w:val="105"/>
        </w:rPr>
        <w:t> </w:t>
      </w:r>
      <w:r>
        <w:rPr>
          <w:color w:val="231F20"/>
          <w:w w:val="105"/>
        </w:rPr>
        <w:t>risposta</w:t>
      </w:r>
      <w:r>
        <w:rPr>
          <w:color w:val="231F20"/>
          <w:spacing w:val="-52"/>
          <w:w w:val="105"/>
        </w:rPr>
        <w:t> </w:t>
      </w:r>
      <w:r>
        <w:rPr>
          <w:color w:val="231F20"/>
          <w:w w:val="105"/>
        </w:rPr>
        <w:t>è</w:t>
      </w:r>
      <w:r>
        <w:rPr>
          <w:color w:val="231F20"/>
          <w:spacing w:val="-52"/>
          <w:w w:val="105"/>
        </w:rPr>
        <w:t> </w:t>
      </w:r>
      <w:r>
        <w:rPr>
          <w:color w:val="231F20"/>
          <w:w w:val="105"/>
        </w:rPr>
        <w:t>chiaramente</w:t>
      </w:r>
      <w:r>
        <w:rPr>
          <w:color w:val="231F20"/>
          <w:spacing w:val="-52"/>
          <w:w w:val="105"/>
        </w:rPr>
        <w:t> </w:t>
      </w:r>
      <w:r>
        <w:rPr>
          <w:color w:val="231F20"/>
          <w:w w:val="105"/>
        </w:rPr>
        <w:t>negativa,</w:t>
      </w:r>
      <w:r>
        <w:rPr>
          <w:color w:val="231F20"/>
          <w:spacing w:val="-52"/>
          <w:w w:val="105"/>
        </w:rPr>
        <w:t> </w:t>
      </w:r>
      <w:r>
        <w:rPr>
          <w:color w:val="231F20"/>
          <w:spacing w:val="-3"/>
          <w:w w:val="105"/>
        </w:rPr>
        <w:t>perchè</w:t>
      </w:r>
      <w:r>
        <w:rPr>
          <w:color w:val="231F20"/>
          <w:spacing w:val="-52"/>
          <w:w w:val="105"/>
        </w:rPr>
        <w:t> </w:t>
      </w:r>
      <w:r>
        <w:rPr>
          <w:color w:val="231F20"/>
          <w:w w:val="105"/>
        </w:rPr>
        <w:t>è</w:t>
      </w:r>
      <w:r>
        <w:rPr>
          <w:color w:val="231F20"/>
          <w:spacing w:val="-52"/>
          <w:w w:val="105"/>
        </w:rPr>
        <w:t> </w:t>
      </w:r>
      <w:r>
        <w:rPr>
          <w:color w:val="231F20"/>
          <w:w w:val="105"/>
        </w:rPr>
        <w:t>grazie</w:t>
      </w:r>
      <w:r>
        <w:rPr>
          <w:color w:val="231F20"/>
          <w:spacing w:val="-52"/>
          <w:w w:val="105"/>
        </w:rPr>
        <w:t> </w:t>
      </w:r>
      <w:r>
        <w:rPr>
          <w:color w:val="231F20"/>
          <w:w w:val="105"/>
        </w:rPr>
        <w:t>ad</w:t>
      </w:r>
      <w:r>
        <w:rPr>
          <w:color w:val="231F20"/>
          <w:spacing w:val="-52"/>
          <w:w w:val="105"/>
        </w:rPr>
        <w:t> </w:t>
      </w:r>
      <w:r>
        <w:rPr>
          <w:color w:val="231F20"/>
          <w:w w:val="105"/>
        </w:rPr>
        <w:t>aver</w:t>
      </w:r>
      <w:r>
        <w:rPr>
          <w:color w:val="231F20"/>
          <w:spacing w:val="-52"/>
          <w:w w:val="105"/>
        </w:rPr>
        <w:t> </w:t>
      </w:r>
      <w:r>
        <w:rPr>
          <w:color w:val="231F20"/>
          <w:w w:val="105"/>
        </w:rPr>
        <w:t>fissato gli</w:t>
      </w:r>
      <w:r>
        <w:rPr>
          <w:color w:val="231F20"/>
          <w:spacing w:val="-39"/>
          <w:w w:val="105"/>
        </w:rPr>
        <w:t> </w:t>
      </w:r>
      <w:r>
        <w:rPr>
          <w:color w:val="231F20"/>
          <w:spacing w:val="-3"/>
          <w:w w:val="105"/>
        </w:rPr>
        <w:t>opposti,</w:t>
      </w:r>
      <w:r>
        <w:rPr>
          <w:color w:val="231F20"/>
          <w:spacing w:val="-39"/>
          <w:w w:val="105"/>
        </w:rPr>
        <w:t> </w:t>
      </w:r>
      <w:r>
        <w:rPr>
          <w:color w:val="231F20"/>
          <w:spacing w:val="-4"/>
          <w:w w:val="105"/>
        </w:rPr>
        <w:t>avergli</w:t>
      </w:r>
      <w:r>
        <w:rPr>
          <w:color w:val="231F20"/>
          <w:spacing w:val="-39"/>
          <w:w w:val="105"/>
        </w:rPr>
        <w:t> </w:t>
      </w:r>
      <w:r>
        <w:rPr>
          <w:color w:val="231F20"/>
          <w:spacing w:val="-3"/>
          <w:w w:val="105"/>
        </w:rPr>
        <w:t>dato</w:t>
      </w:r>
      <w:r>
        <w:rPr>
          <w:color w:val="231F20"/>
          <w:spacing w:val="-39"/>
          <w:w w:val="105"/>
        </w:rPr>
        <w:t> </w:t>
      </w:r>
      <w:r>
        <w:rPr>
          <w:color w:val="231F20"/>
          <w:w w:val="105"/>
        </w:rPr>
        <w:t>un</w:t>
      </w:r>
      <w:r>
        <w:rPr>
          <w:color w:val="231F20"/>
          <w:spacing w:val="-39"/>
          <w:w w:val="105"/>
        </w:rPr>
        <w:t> </w:t>
      </w:r>
      <w:r>
        <w:rPr>
          <w:color w:val="231F20"/>
          <w:spacing w:val="-3"/>
          <w:w w:val="105"/>
        </w:rPr>
        <w:t>nome</w:t>
      </w:r>
      <w:r>
        <w:rPr>
          <w:color w:val="231F20"/>
          <w:spacing w:val="-39"/>
          <w:w w:val="105"/>
        </w:rPr>
        <w:t> </w:t>
      </w:r>
      <w:r>
        <w:rPr>
          <w:color w:val="231F20"/>
          <w:w w:val="105"/>
        </w:rPr>
        <w:t>e</w:t>
      </w:r>
      <w:r>
        <w:rPr>
          <w:color w:val="231F20"/>
          <w:spacing w:val="-39"/>
          <w:w w:val="105"/>
        </w:rPr>
        <w:t> </w:t>
      </w:r>
      <w:r>
        <w:rPr>
          <w:color w:val="231F20"/>
          <w:w w:val="105"/>
        </w:rPr>
        <w:t>una</w:t>
      </w:r>
      <w:r>
        <w:rPr>
          <w:color w:val="231F20"/>
          <w:spacing w:val="-39"/>
          <w:w w:val="105"/>
        </w:rPr>
        <w:t> </w:t>
      </w:r>
      <w:r>
        <w:rPr>
          <w:color w:val="231F20"/>
          <w:spacing w:val="-3"/>
          <w:w w:val="105"/>
        </w:rPr>
        <w:t>etichetta,</w:t>
      </w:r>
      <w:r>
        <w:rPr>
          <w:color w:val="231F20"/>
          <w:spacing w:val="-39"/>
          <w:w w:val="105"/>
        </w:rPr>
        <w:t> </w:t>
      </w:r>
      <w:r>
        <w:rPr>
          <w:color w:val="231F20"/>
          <w:w w:val="105"/>
        </w:rPr>
        <w:t>che</w:t>
      </w:r>
      <w:r>
        <w:rPr>
          <w:color w:val="231F20"/>
          <w:spacing w:val="-39"/>
          <w:w w:val="105"/>
        </w:rPr>
        <w:t> </w:t>
      </w:r>
      <w:r>
        <w:rPr>
          <w:color w:val="231F20"/>
          <w:spacing w:val="-3"/>
          <w:w w:val="105"/>
        </w:rPr>
        <w:t>sono</w:t>
      </w:r>
      <w:r>
        <w:rPr>
          <w:color w:val="231F20"/>
          <w:spacing w:val="-39"/>
          <w:w w:val="105"/>
        </w:rPr>
        <w:t> </w:t>
      </w:r>
      <w:r>
        <w:rPr>
          <w:color w:val="231F20"/>
          <w:spacing w:val="-3"/>
          <w:w w:val="105"/>
        </w:rPr>
        <w:t>diventati</w:t>
      </w:r>
      <w:r>
        <w:rPr>
          <w:color w:val="231F20"/>
          <w:spacing w:val="-39"/>
          <w:w w:val="105"/>
        </w:rPr>
        <w:t> </w:t>
      </w:r>
      <w:r>
        <w:rPr>
          <w:color w:val="231F20"/>
          <w:spacing w:val="-3"/>
          <w:w w:val="105"/>
        </w:rPr>
        <w:t>digeribili </w:t>
      </w:r>
      <w:r>
        <w:rPr>
          <w:color w:val="231F20"/>
          <w:w w:val="105"/>
        </w:rPr>
        <w:t>e</w:t>
      </w:r>
      <w:r>
        <w:rPr>
          <w:color w:val="231F20"/>
          <w:spacing w:val="-13"/>
          <w:w w:val="105"/>
        </w:rPr>
        <w:t> </w:t>
      </w:r>
      <w:r>
        <w:rPr>
          <w:color w:val="231F20"/>
          <w:w w:val="105"/>
        </w:rPr>
        <w:t>omogenei.</w:t>
      </w:r>
      <w:r>
        <w:rPr>
          <w:color w:val="231F20"/>
          <w:spacing w:val="-13"/>
          <w:w w:val="105"/>
        </w:rPr>
        <w:t> </w:t>
      </w:r>
      <w:r>
        <w:rPr>
          <w:color w:val="231F20"/>
          <w:w w:val="105"/>
        </w:rPr>
        <w:t>Come</w:t>
      </w:r>
      <w:r>
        <w:rPr>
          <w:color w:val="231F20"/>
          <w:spacing w:val="-13"/>
          <w:w w:val="105"/>
        </w:rPr>
        <w:t> </w:t>
      </w:r>
      <w:r>
        <w:rPr>
          <w:color w:val="231F20"/>
          <w:w w:val="105"/>
        </w:rPr>
        <w:t>espone</w:t>
      </w:r>
      <w:r>
        <w:rPr>
          <w:color w:val="231F20"/>
          <w:spacing w:val="-13"/>
          <w:w w:val="105"/>
        </w:rPr>
        <w:t> </w:t>
      </w:r>
      <w:r>
        <w:rPr>
          <w:color w:val="231F20"/>
          <w:w w:val="105"/>
        </w:rPr>
        <w:t>Benjamin</w:t>
      </w:r>
      <w:r>
        <w:rPr>
          <w:color w:val="231F20"/>
          <w:spacing w:val="-13"/>
          <w:w w:val="105"/>
        </w:rPr>
        <w:t> </w:t>
      </w:r>
      <w:r>
        <w:rPr>
          <w:color w:val="231F20"/>
          <w:spacing w:val="-3"/>
          <w:w w:val="105"/>
        </w:rPr>
        <w:t>Barber,</w:t>
      </w:r>
      <w:r>
        <w:rPr>
          <w:color w:val="231F20"/>
          <w:spacing w:val="-13"/>
          <w:w w:val="105"/>
        </w:rPr>
        <w:t> </w:t>
      </w:r>
      <w:r>
        <w:rPr>
          <w:color w:val="231F20"/>
          <w:w w:val="105"/>
        </w:rPr>
        <w:t>è</w:t>
      </w:r>
      <w:r>
        <w:rPr>
          <w:color w:val="231F20"/>
          <w:spacing w:val="-13"/>
          <w:w w:val="105"/>
        </w:rPr>
        <w:t> </w:t>
      </w:r>
      <w:r>
        <w:rPr>
          <w:color w:val="231F20"/>
          <w:w w:val="105"/>
        </w:rPr>
        <w:t>ugualmente</w:t>
      </w:r>
      <w:r>
        <w:rPr>
          <w:color w:val="231F20"/>
          <w:spacing w:val="-13"/>
          <w:w w:val="105"/>
        </w:rPr>
        <w:t> </w:t>
      </w:r>
      <w:r>
        <w:rPr>
          <w:color w:val="231F20"/>
          <w:w w:val="105"/>
        </w:rPr>
        <w:t>pericoloso,</w:t>
      </w:r>
      <w:r>
        <w:rPr>
          <w:color w:val="231F20"/>
          <w:spacing w:val="-13"/>
          <w:w w:val="105"/>
        </w:rPr>
        <w:t> </w:t>
      </w:r>
      <w:r>
        <w:rPr>
          <w:color w:val="231F20"/>
          <w:w w:val="105"/>
        </w:rPr>
        <w:t>e in</w:t>
      </w:r>
      <w:r>
        <w:rPr>
          <w:color w:val="231F20"/>
          <w:spacing w:val="-28"/>
          <w:w w:val="105"/>
        </w:rPr>
        <w:t> </w:t>
      </w:r>
      <w:r>
        <w:rPr>
          <w:color w:val="231F20"/>
          <w:w w:val="105"/>
        </w:rPr>
        <w:t>molti</w:t>
      </w:r>
      <w:r>
        <w:rPr>
          <w:color w:val="231F20"/>
          <w:spacing w:val="-28"/>
          <w:w w:val="105"/>
        </w:rPr>
        <w:t> </w:t>
      </w:r>
      <w:r>
        <w:rPr>
          <w:color w:val="231F20"/>
          <w:w w:val="105"/>
        </w:rPr>
        <w:t>sensi</w:t>
      </w:r>
      <w:r>
        <w:rPr>
          <w:color w:val="231F20"/>
          <w:spacing w:val="-28"/>
          <w:w w:val="105"/>
        </w:rPr>
        <w:t> </w:t>
      </w:r>
      <w:r>
        <w:rPr>
          <w:color w:val="231F20"/>
          <w:w w:val="105"/>
        </w:rPr>
        <w:t>è</w:t>
      </w:r>
      <w:r>
        <w:rPr>
          <w:color w:val="231F20"/>
          <w:spacing w:val="-28"/>
          <w:w w:val="105"/>
        </w:rPr>
        <w:t> </w:t>
      </w:r>
      <w:r>
        <w:rPr>
          <w:color w:val="231F20"/>
          <w:w w:val="105"/>
        </w:rPr>
        <w:t>equivalente,</w:t>
      </w:r>
      <w:r>
        <w:rPr>
          <w:color w:val="231F20"/>
          <w:spacing w:val="-28"/>
          <w:w w:val="105"/>
        </w:rPr>
        <w:t> </w:t>
      </w:r>
      <w:r>
        <w:rPr>
          <w:rFonts w:ascii="Arial" w:hAnsi="Arial"/>
          <w:i/>
          <w:color w:val="231F20"/>
          <w:w w:val="105"/>
        </w:rPr>
        <w:t>mcdonalizzare</w:t>
      </w:r>
      <w:r>
        <w:rPr>
          <w:rFonts w:ascii="Arial" w:hAnsi="Arial"/>
          <w:i/>
          <w:color w:val="231F20"/>
          <w:spacing w:val="-20"/>
          <w:w w:val="105"/>
        </w:rPr>
        <w:t> </w:t>
      </w:r>
      <w:r>
        <w:rPr>
          <w:color w:val="231F20"/>
          <w:w w:val="105"/>
        </w:rPr>
        <w:t>il</w:t>
      </w:r>
      <w:r>
        <w:rPr>
          <w:color w:val="231F20"/>
          <w:spacing w:val="-28"/>
          <w:w w:val="105"/>
        </w:rPr>
        <w:t> </w:t>
      </w:r>
      <w:r>
        <w:rPr>
          <w:color w:val="231F20"/>
          <w:w w:val="105"/>
        </w:rPr>
        <w:t>mondo,</w:t>
      </w:r>
      <w:r>
        <w:rPr>
          <w:color w:val="231F20"/>
          <w:spacing w:val="-28"/>
          <w:w w:val="105"/>
        </w:rPr>
        <w:t> </w:t>
      </w:r>
      <w:r>
        <w:rPr>
          <w:color w:val="231F20"/>
          <w:w w:val="105"/>
        </w:rPr>
        <w:t>facendolo</w:t>
      </w:r>
      <w:r>
        <w:rPr>
          <w:color w:val="231F20"/>
          <w:spacing w:val="-28"/>
          <w:w w:val="105"/>
        </w:rPr>
        <w:t> </w:t>
      </w:r>
      <w:r>
        <w:rPr>
          <w:color w:val="231F20"/>
          <w:w w:val="105"/>
        </w:rPr>
        <w:t>diventare una</w:t>
      </w:r>
      <w:r>
        <w:rPr>
          <w:color w:val="231F20"/>
          <w:spacing w:val="-24"/>
          <w:w w:val="105"/>
        </w:rPr>
        <w:t> </w:t>
      </w:r>
      <w:r>
        <w:rPr>
          <w:color w:val="231F20"/>
          <w:w w:val="105"/>
        </w:rPr>
        <w:t>entità</w:t>
      </w:r>
      <w:r>
        <w:rPr>
          <w:color w:val="231F20"/>
          <w:spacing w:val="-24"/>
          <w:w w:val="105"/>
        </w:rPr>
        <w:t> </w:t>
      </w:r>
      <w:r>
        <w:rPr>
          <w:color w:val="231F20"/>
          <w:w w:val="105"/>
        </w:rPr>
        <w:t>uniforme</w:t>
      </w:r>
      <w:r>
        <w:rPr>
          <w:color w:val="231F20"/>
          <w:spacing w:val="-24"/>
          <w:w w:val="105"/>
        </w:rPr>
        <w:t> </w:t>
      </w:r>
      <w:r>
        <w:rPr>
          <w:color w:val="231F20"/>
          <w:w w:val="105"/>
        </w:rPr>
        <w:t>e</w:t>
      </w:r>
      <w:r>
        <w:rPr>
          <w:color w:val="231F20"/>
          <w:spacing w:val="-24"/>
          <w:w w:val="105"/>
        </w:rPr>
        <w:t> </w:t>
      </w:r>
      <w:r>
        <w:rPr>
          <w:color w:val="231F20"/>
          <w:w w:val="105"/>
        </w:rPr>
        <w:t>piatta,</w:t>
      </w:r>
      <w:r>
        <w:rPr>
          <w:color w:val="231F20"/>
          <w:spacing w:val="-24"/>
          <w:w w:val="105"/>
        </w:rPr>
        <w:t> </w:t>
      </w:r>
      <w:r>
        <w:rPr>
          <w:color w:val="231F20"/>
          <w:w w:val="105"/>
        </w:rPr>
        <w:t>sottomessa</w:t>
      </w:r>
      <w:r>
        <w:rPr>
          <w:color w:val="231F20"/>
          <w:spacing w:val="-24"/>
          <w:w w:val="105"/>
        </w:rPr>
        <w:t> </w:t>
      </w:r>
      <w:r>
        <w:rPr>
          <w:color w:val="231F20"/>
          <w:w w:val="105"/>
        </w:rPr>
        <w:t>agli</w:t>
      </w:r>
      <w:r>
        <w:rPr>
          <w:color w:val="231F20"/>
          <w:spacing w:val="-24"/>
          <w:w w:val="105"/>
        </w:rPr>
        <w:t> </w:t>
      </w:r>
      <w:r>
        <w:rPr>
          <w:color w:val="231F20"/>
          <w:w w:val="105"/>
        </w:rPr>
        <w:t>stessi</w:t>
      </w:r>
      <w:r>
        <w:rPr>
          <w:color w:val="231F20"/>
          <w:spacing w:val="-24"/>
          <w:w w:val="105"/>
        </w:rPr>
        <w:t> </w:t>
      </w:r>
      <w:r>
        <w:rPr>
          <w:color w:val="231F20"/>
          <w:w w:val="105"/>
        </w:rPr>
        <w:t>stile</w:t>
      </w:r>
      <w:r>
        <w:rPr>
          <w:color w:val="231F20"/>
          <w:spacing w:val="-24"/>
          <w:w w:val="105"/>
        </w:rPr>
        <w:t> </w:t>
      </w:r>
      <w:r>
        <w:rPr>
          <w:color w:val="231F20"/>
          <w:w w:val="105"/>
        </w:rPr>
        <w:t>e</w:t>
      </w:r>
      <w:r>
        <w:rPr>
          <w:color w:val="231F20"/>
          <w:spacing w:val="-24"/>
          <w:w w:val="105"/>
        </w:rPr>
        <w:t> </w:t>
      </w:r>
      <w:r>
        <w:rPr>
          <w:color w:val="231F20"/>
          <w:w w:val="105"/>
        </w:rPr>
        <w:t>modi</w:t>
      </w:r>
      <w:r>
        <w:rPr>
          <w:color w:val="231F20"/>
          <w:spacing w:val="-24"/>
          <w:w w:val="105"/>
        </w:rPr>
        <w:t> </w:t>
      </w:r>
      <w:r>
        <w:rPr>
          <w:color w:val="231F20"/>
          <w:w w:val="105"/>
        </w:rPr>
        <w:t>—musica, </w:t>
      </w:r>
      <w:r>
        <w:rPr>
          <w:color w:val="231F20"/>
          <w:spacing w:val="2"/>
          <w:w w:val="105"/>
        </w:rPr>
        <w:t>idee, mode, alimentari, tecnologia—; </w:t>
      </w:r>
      <w:r>
        <w:rPr>
          <w:color w:val="231F20"/>
          <w:w w:val="105"/>
        </w:rPr>
        <w:t>che </w:t>
      </w:r>
      <w:r>
        <w:rPr>
          <w:rFonts w:ascii="Arial" w:hAnsi="Arial"/>
          <w:i/>
          <w:color w:val="231F20"/>
          <w:spacing w:val="2"/>
          <w:w w:val="105"/>
        </w:rPr>
        <w:t>jihadizzarlo</w:t>
      </w:r>
      <w:r>
        <w:rPr>
          <w:color w:val="231F20"/>
          <w:spacing w:val="2"/>
          <w:w w:val="105"/>
        </w:rPr>
        <w:t>, parcellizzarlo</w:t>
      </w:r>
      <w:r>
        <w:rPr>
          <w:color w:val="231F20"/>
          <w:spacing w:val="-37"/>
          <w:w w:val="105"/>
        </w:rPr>
        <w:t> </w:t>
      </w:r>
      <w:r>
        <w:rPr>
          <w:color w:val="231F20"/>
          <w:w w:val="105"/>
        </w:rPr>
        <w:t>in posizioni</w:t>
      </w:r>
      <w:r>
        <w:rPr>
          <w:color w:val="231F20"/>
          <w:spacing w:val="-30"/>
          <w:w w:val="105"/>
        </w:rPr>
        <w:t> </w:t>
      </w:r>
      <w:r>
        <w:rPr>
          <w:color w:val="231F20"/>
          <w:w w:val="105"/>
        </w:rPr>
        <w:t>pure</w:t>
      </w:r>
      <w:r>
        <w:rPr>
          <w:color w:val="231F20"/>
          <w:spacing w:val="-30"/>
          <w:w w:val="105"/>
        </w:rPr>
        <w:t> </w:t>
      </w:r>
      <w:r>
        <w:rPr>
          <w:color w:val="231F20"/>
          <w:w w:val="105"/>
        </w:rPr>
        <w:t>e</w:t>
      </w:r>
      <w:r>
        <w:rPr>
          <w:color w:val="231F20"/>
          <w:spacing w:val="-30"/>
          <w:w w:val="105"/>
        </w:rPr>
        <w:t> </w:t>
      </w:r>
      <w:r>
        <w:rPr>
          <w:color w:val="231F20"/>
          <w:w w:val="105"/>
        </w:rPr>
        <w:t>blindate</w:t>
      </w:r>
      <w:r>
        <w:rPr>
          <w:color w:val="231F20"/>
          <w:spacing w:val="-30"/>
          <w:w w:val="105"/>
        </w:rPr>
        <w:t> </w:t>
      </w:r>
      <w:r>
        <w:rPr>
          <w:color w:val="231F20"/>
          <w:w w:val="105"/>
        </w:rPr>
        <w:t>in</w:t>
      </w:r>
      <w:r>
        <w:rPr>
          <w:color w:val="231F20"/>
          <w:spacing w:val="-30"/>
          <w:w w:val="105"/>
        </w:rPr>
        <w:t> </w:t>
      </w:r>
      <w:r>
        <w:rPr>
          <w:color w:val="231F20"/>
          <w:w w:val="105"/>
        </w:rPr>
        <w:t>cui</w:t>
      </w:r>
      <w:r>
        <w:rPr>
          <w:color w:val="231F20"/>
          <w:spacing w:val="-30"/>
          <w:w w:val="105"/>
        </w:rPr>
        <w:t> </w:t>
      </w:r>
      <w:r>
        <w:rPr>
          <w:color w:val="231F20"/>
          <w:w w:val="105"/>
        </w:rPr>
        <w:t>la</w:t>
      </w:r>
      <w:r>
        <w:rPr>
          <w:color w:val="231F20"/>
          <w:spacing w:val="-30"/>
          <w:w w:val="105"/>
        </w:rPr>
        <w:t> </w:t>
      </w:r>
      <w:r>
        <w:rPr>
          <w:color w:val="231F20"/>
          <w:w w:val="105"/>
        </w:rPr>
        <w:t>dissidenza</w:t>
      </w:r>
      <w:r>
        <w:rPr>
          <w:color w:val="231F20"/>
          <w:spacing w:val="-30"/>
          <w:w w:val="105"/>
        </w:rPr>
        <w:t> </w:t>
      </w:r>
      <w:r>
        <w:rPr>
          <w:color w:val="231F20"/>
          <w:w w:val="105"/>
        </w:rPr>
        <w:t>si</w:t>
      </w:r>
      <w:r>
        <w:rPr>
          <w:color w:val="231F20"/>
          <w:spacing w:val="-30"/>
          <w:w w:val="105"/>
        </w:rPr>
        <w:t> </w:t>
      </w:r>
      <w:r>
        <w:rPr>
          <w:color w:val="231F20"/>
          <w:w w:val="105"/>
        </w:rPr>
        <w:t>paga</w:t>
      </w:r>
      <w:r>
        <w:rPr>
          <w:color w:val="231F20"/>
          <w:spacing w:val="-30"/>
          <w:w w:val="105"/>
        </w:rPr>
        <w:t> </w:t>
      </w:r>
      <w:r>
        <w:rPr>
          <w:color w:val="231F20"/>
          <w:w w:val="105"/>
        </w:rPr>
        <w:t>con</w:t>
      </w:r>
      <w:r>
        <w:rPr>
          <w:color w:val="231F20"/>
          <w:spacing w:val="-30"/>
          <w:w w:val="105"/>
        </w:rPr>
        <w:t> </w:t>
      </w:r>
      <w:r>
        <w:rPr>
          <w:color w:val="231F20"/>
          <w:w w:val="105"/>
        </w:rPr>
        <w:t>sangue.</w:t>
      </w:r>
      <w:r>
        <w:rPr>
          <w:color w:val="231F20"/>
          <w:spacing w:val="-30"/>
          <w:w w:val="105"/>
        </w:rPr>
        <w:t> </w:t>
      </w:r>
      <w:r>
        <w:rPr>
          <w:color w:val="231F20"/>
          <w:w w:val="105"/>
        </w:rPr>
        <w:t>Entrambe fanno</w:t>
      </w:r>
      <w:r>
        <w:rPr>
          <w:color w:val="231F20"/>
          <w:spacing w:val="-12"/>
          <w:w w:val="105"/>
        </w:rPr>
        <w:t> </w:t>
      </w:r>
      <w:r>
        <w:rPr>
          <w:color w:val="231F20"/>
          <w:w w:val="105"/>
        </w:rPr>
        <w:t>diventare</w:t>
      </w:r>
      <w:r>
        <w:rPr>
          <w:color w:val="231F20"/>
          <w:spacing w:val="-12"/>
          <w:w w:val="105"/>
        </w:rPr>
        <w:t> </w:t>
      </w:r>
      <w:r>
        <w:rPr>
          <w:color w:val="231F20"/>
          <w:w w:val="105"/>
        </w:rPr>
        <w:t>la</w:t>
      </w:r>
      <w:r>
        <w:rPr>
          <w:color w:val="231F20"/>
          <w:spacing w:val="-12"/>
          <w:w w:val="105"/>
        </w:rPr>
        <w:t> </w:t>
      </w:r>
      <w:r>
        <w:rPr>
          <w:color w:val="231F20"/>
          <w:spacing w:val="-5"/>
          <w:w w:val="105"/>
        </w:rPr>
        <w:t>Terra</w:t>
      </w:r>
      <w:r>
        <w:rPr>
          <w:color w:val="231F20"/>
          <w:spacing w:val="-12"/>
          <w:w w:val="105"/>
        </w:rPr>
        <w:t> </w:t>
      </w:r>
      <w:r>
        <w:rPr>
          <w:color w:val="231F20"/>
          <w:w w:val="105"/>
        </w:rPr>
        <w:t>uno</w:t>
      </w:r>
      <w:r>
        <w:rPr>
          <w:color w:val="231F20"/>
          <w:spacing w:val="-12"/>
          <w:w w:val="105"/>
        </w:rPr>
        <w:t> </w:t>
      </w:r>
      <w:r>
        <w:rPr>
          <w:rFonts w:ascii="Arial" w:hAnsi="Arial"/>
          <w:i/>
          <w:color w:val="231F20"/>
          <w:w w:val="105"/>
        </w:rPr>
        <w:t>spazio</w:t>
      </w:r>
      <w:r>
        <w:rPr>
          <w:rFonts w:ascii="Arial" w:hAnsi="Arial"/>
          <w:i/>
          <w:color w:val="231F20"/>
          <w:spacing w:val="-4"/>
          <w:w w:val="105"/>
        </w:rPr>
        <w:t> </w:t>
      </w:r>
      <w:r>
        <w:rPr>
          <w:rFonts w:ascii="Arial" w:hAnsi="Arial"/>
          <w:i/>
          <w:color w:val="231F20"/>
          <w:w w:val="105"/>
        </w:rPr>
        <w:t>striato</w:t>
      </w:r>
      <w:r>
        <w:rPr>
          <w:rFonts w:ascii="Arial" w:hAnsi="Arial"/>
          <w:i/>
          <w:color w:val="231F20"/>
          <w:spacing w:val="-4"/>
          <w:w w:val="105"/>
        </w:rPr>
        <w:t> </w:t>
      </w:r>
      <w:r>
        <w:rPr>
          <w:color w:val="231F20"/>
          <w:w w:val="105"/>
        </w:rPr>
        <w:t>dove</w:t>
      </w:r>
      <w:r>
        <w:rPr>
          <w:color w:val="231F20"/>
          <w:spacing w:val="-12"/>
          <w:w w:val="105"/>
        </w:rPr>
        <w:t> </w:t>
      </w:r>
      <w:r>
        <w:rPr>
          <w:color w:val="231F20"/>
          <w:w w:val="105"/>
        </w:rPr>
        <w:t>in</w:t>
      </w:r>
      <w:r>
        <w:rPr>
          <w:color w:val="231F20"/>
          <w:spacing w:val="-12"/>
          <w:w w:val="105"/>
        </w:rPr>
        <w:t> </w:t>
      </w:r>
      <w:r>
        <w:rPr>
          <w:color w:val="231F20"/>
          <w:w w:val="105"/>
        </w:rPr>
        <w:t>anticipo</w:t>
      </w:r>
      <w:r>
        <w:rPr>
          <w:color w:val="231F20"/>
          <w:spacing w:val="-12"/>
          <w:w w:val="105"/>
        </w:rPr>
        <w:t> </w:t>
      </w:r>
      <w:r>
        <w:rPr>
          <w:color w:val="231F20"/>
          <w:w w:val="105"/>
        </w:rPr>
        <w:t>ad</w:t>
      </w:r>
      <w:r>
        <w:rPr>
          <w:color w:val="231F20"/>
          <w:spacing w:val="-12"/>
          <w:w w:val="105"/>
        </w:rPr>
        <w:t> </w:t>
      </w:r>
      <w:r>
        <w:rPr>
          <w:color w:val="231F20"/>
          <w:w w:val="105"/>
        </w:rPr>
        <w:t>ogni</w:t>
      </w:r>
      <w:r>
        <w:rPr>
          <w:color w:val="231F20"/>
          <w:spacing w:val="-12"/>
          <w:w w:val="105"/>
        </w:rPr>
        <w:t> </w:t>
      </w:r>
      <w:r>
        <w:rPr>
          <w:color w:val="231F20"/>
          <w:w w:val="105"/>
        </w:rPr>
        <w:t>cosa corrisponde</w:t>
      </w:r>
      <w:r>
        <w:rPr>
          <w:color w:val="231F20"/>
          <w:spacing w:val="-37"/>
          <w:w w:val="105"/>
        </w:rPr>
        <w:t> </w:t>
      </w:r>
      <w:r>
        <w:rPr>
          <w:color w:val="231F20"/>
          <w:w w:val="105"/>
        </w:rPr>
        <w:t>un</w:t>
      </w:r>
      <w:r>
        <w:rPr>
          <w:color w:val="231F20"/>
          <w:spacing w:val="-37"/>
          <w:w w:val="105"/>
        </w:rPr>
        <w:t> </w:t>
      </w:r>
      <w:r>
        <w:rPr>
          <w:color w:val="231F20"/>
          <w:w w:val="105"/>
        </w:rPr>
        <w:t>luogo,</w:t>
      </w:r>
      <w:r>
        <w:rPr>
          <w:color w:val="231F20"/>
          <w:spacing w:val="-37"/>
          <w:w w:val="105"/>
        </w:rPr>
        <w:t> </w:t>
      </w:r>
      <w:r>
        <w:rPr>
          <w:color w:val="231F20"/>
          <w:w w:val="105"/>
        </w:rPr>
        <w:t>dove</w:t>
      </w:r>
      <w:r>
        <w:rPr>
          <w:color w:val="231F20"/>
          <w:spacing w:val="-37"/>
          <w:w w:val="105"/>
        </w:rPr>
        <w:t> </w:t>
      </w:r>
      <w:r>
        <w:rPr>
          <w:color w:val="231F20"/>
          <w:w w:val="105"/>
        </w:rPr>
        <w:t>c’è</w:t>
      </w:r>
      <w:r>
        <w:rPr>
          <w:color w:val="231F20"/>
          <w:spacing w:val="-37"/>
          <w:w w:val="105"/>
        </w:rPr>
        <w:t> </w:t>
      </w:r>
      <w:r>
        <w:rPr>
          <w:color w:val="231F20"/>
          <w:w w:val="105"/>
        </w:rPr>
        <w:t>una</w:t>
      </w:r>
      <w:r>
        <w:rPr>
          <w:color w:val="231F20"/>
          <w:spacing w:val="-37"/>
          <w:w w:val="105"/>
        </w:rPr>
        <w:t> </w:t>
      </w:r>
      <w:r>
        <w:rPr>
          <w:color w:val="231F20"/>
          <w:w w:val="105"/>
        </w:rPr>
        <w:t>maniera</w:t>
      </w:r>
      <w:r>
        <w:rPr>
          <w:color w:val="231F20"/>
          <w:spacing w:val="-37"/>
          <w:w w:val="105"/>
        </w:rPr>
        <w:t> </w:t>
      </w:r>
      <w:r>
        <w:rPr>
          <w:color w:val="231F20"/>
          <w:w w:val="105"/>
        </w:rPr>
        <w:t>di</w:t>
      </w:r>
      <w:r>
        <w:rPr>
          <w:color w:val="231F20"/>
          <w:spacing w:val="-37"/>
          <w:w w:val="105"/>
        </w:rPr>
        <w:t> </w:t>
      </w:r>
      <w:r>
        <w:rPr>
          <w:color w:val="231F20"/>
          <w:w w:val="105"/>
        </w:rPr>
        <w:t>essere</w:t>
      </w:r>
      <w:r>
        <w:rPr>
          <w:color w:val="231F20"/>
          <w:spacing w:val="-37"/>
          <w:w w:val="105"/>
        </w:rPr>
        <w:t> </w:t>
      </w:r>
      <w:r>
        <w:rPr>
          <w:color w:val="231F20"/>
          <w:w w:val="105"/>
        </w:rPr>
        <w:t>e</w:t>
      </w:r>
      <w:r>
        <w:rPr>
          <w:color w:val="231F20"/>
          <w:spacing w:val="-37"/>
          <w:w w:val="105"/>
        </w:rPr>
        <w:t> </w:t>
      </w:r>
      <w:r>
        <w:rPr>
          <w:color w:val="231F20"/>
          <w:w w:val="105"/>
        </w:rPr>
        <w:t>di</w:t>
      </w:r>
      <w:r>
        <w:rPr>
          <w:color w:val="231F20"/>
          <w:spacing w:val="-37"/>
          <w:w w:val="105"/>
        </w:rPr>
        <w:t> </w:t>
      </w:r>
      <w:r>
        <w:rPr>
          <w:color w:val="231F20"/>
          <w:w w:val="105"/>
        </w:rPr>
        <w:t>vivere,</w:t>
      </w:r>
      <w:r>
        <w:rPr>
          <w:color w:val="231F20"/>
          <w:spacing w:val="-37"/>
          <w:w w:val="105"/>
        </w:rPr>
        <w:t> </w:t>
      </w:r>
      <w:r>
        <w:rPr>
          <w:color w:val="231F20"/>
          <w:w w:val="105"/>
        </w:rPr>
        <w:t>fuori</w:t>
      </w:r>
      <w:r>
        <w:rPr>
          <w:color w:val="231F20"/>
          <w:spacing w:val="-37"/>
          <w:w w:val="105"/>
        </w:rPr>
        <w:t> </w:t>
      </w:r>
      <w:r>
        <w:rPr>
          <w:color w:val="231F20"/>
          <w:w w:val="105"/>
        </w:rPr>
        <w:t>dalla</w:t>
      </w:r>
    </w:p>
    <w:p>
      <w:pPr>
        <w:pStyle w:val="BodyText"/>
        <w:spacing w:before="6"/>
        <w:rPr>
          <w:sz w:val="20"/>
        </w:rPr>
      </w:pPr>
      <w:r>
        <w:rPr/>
        <w:pict>
          <v:line style="position:absolute;mso-position-horizontal-relative:page;mso-position-vertical-relative:paragraph;z-index:11872;mso-wrap-distance-left:0;mso-wrap-distance-right:0" from="70.866203pt,14.487226pt" to="184.252203pt,14.487226pt" stroked="true" strokeweight=".3pt" strokecolor="#231f20">
            <w10:wrap type="topAndBottom"/>
          </v:line>
        </w:pict>
      </w:r>
    </w:p>
    <w:p>
      <w:pPr>
        <w:spacing w:line="204" w:lineRule="exact" w:before="9"/>
        <w:ind w:left="117" w:right="121" w:firstLine="0"/>
        <w:jc w:val="both"/>
        <w:rPr>
          <w:rFonts w:ascii="Calibri" w:hAnsi="Calibri"/>
          <w:sz w:val="17"/>
        </w:rPr>
      </w:pPr>
      <w:r>
        <w:rPr>
          <w:rFonts w:ascii="Calibri" w:hAnsi="Calibri"/>
          <w:color w:val="231F20"/>
          <w:w w:val="105"/>
          <w:sz w:val="17"/>
        </w:rPr>
        <w:t>e totale sul quale hanno luogo tutte le territorializzazioni, tragitti ed espressioni —dalle più conservatrici fino alle più marginali—. Nonostante, per il filosofo francese, questa immagine di totalità</w:t>
      </w:r>
      <w:r>
        <w:rPr>
          <w:rFonts w:ascii="Calibri" w:hAnsi="Calibri"/>
          <w:color w:val="231F20"/>
          <w:spacing w:val="-14"/>
          <w:w w:val="105"/>
          <w:sz w:val="17"/>
        </w:rPr>
        <w:t> </w:t>
      </w:r>
      <w:r>
        <w:rPr>
          <w:rFonts w:ascii="Calibri" w:hAnsi="Calibri"/>
          <w:color w:val="231F20"/>
          <w:w w:val="105"/>
          <w:sz w:val="17"/>
        </w:rPr>
        <w:t>è</w:t>
      </w:r>
      <w:r>
        <w:rPr>
          <w:rFonts w:ascii="Calibri" w:hAnsi="Calibri"/>
          <w:color w:val="231F20"/>
          <w:spacing w:val="-14"/>
          <w:w w:val="105"/>
          <w:sz w:val="17"/>
        </w:rPr>
        <w:t> </w:t>
      </w:r>
      <w:r>
        <w:rPr>
          <w:rFonts w:ascii="Calibri" w:hAnsi="Calibri"/>
          <w:color w:val="231F20"/>
          <w:w w:val="105"/>
          <w:sz w:val="17"/>
        </w:rPr>
        <w:t>illusoria.</w:t>
      </w:r>
      <w:r>
        <w:rPr>
          <w:rFonts w:ascii="Calibri" w:hAnsi="Calibri"/>
          <w:color w:val="231F20"/>
          <w:spacing w:val="-14"/>
          <w:w w:val="105"/>
          <w:sz w:val="17"/>
        </w:rPr>
        <w:t> </w:t>
      </w:r>
      <w:r>
        <w:rPr>
          <w:rFonts w:ascii="Calibri" w:hAnsi="Calibri"/>
          <w:color w:val="231F20"/>
          <w:w w:val="105"/>
          <w:sz w:val="17"/>
        </w:rPr>
        <w:t>C’è</w:t>
      </w:r>
      <w:r>
        <w:rPr>
          <w:rFonts w:ascii="Calibri" w:hAnsi="Calibri"/>
          <w:color w:val="231F20"/>
          <w:spacing w:val="-14"/>
          <w:w w:val="105"/>
          <w:sz w:val="17"/>
        </w:rPr>
        <w:t> </w:t>
      </w:r>
      <w:r>
        <w:rPr>
          <w:rFonts w:ascii="Calibri" w:hAnsi="Calibri"/>
          <w:color w:val="231F20"/>
          <w:w w:val="105"/>
          <w:sz w:val="17"/>
        </w:rPr>
        <w:t>un</w:t>
      </w:r>
      <w:r>
        <w:rPr>
          <w:rFonts w:ascii="Calibri" w:hAnsi="Calibri"/>
          <w:color w:val="231F20"/>
          <w:spacing w:val="-14"/>
          <w:w w:val="105"/>
          <w:sz w:val="17"/>
        </w:rPr>
        <w:t> </w:t>
      </w:r>
      <w:r>
        <w:rPr>
          <w:rFonts w:ascii="Calibri" w:hAnsi="Calibri"/>
          <w:color w:val="231F20"/>
          <w:w w:val="105"/>
          <w:sz w:val="17"/>
        </w:rPr>
        <w:t>fuori</w:t>
      </w:r>
      <w:r>
        <w:rPr>
          <w:rFonts w:ascii="Calibri" w:hAnsi="Calibri"/>
          <w:color w:val="231F20"/>
          <w:spacing w:val="-14"/>
          <w:w w:val="105"/>
          <w:sz w:val="17"/>
        </w:rPr>
        <w:t> </w:t>
      </w:r>
      <w:r>
        <w:rPr>
          <w:rFonts w:ascii="Calibri" w:hAnsi="Calibri"/>
          <w:color w:val="231F20"/>
          <w:w w:val="105"/>
          <w:sz w:val="17"/>
        </w:rPr>
        <w:t>dal</w:t>
      </w:r>
      <w:r>
        <w:rPr>
          <w:rFonts w:ascii="Calibri" w:hAnsi="Calibri"/>
          <w:color w:val="231F20"/>
          <w:spacing w:val="-14"/>
          <w:w w:val="105"/>
          <w:sz w:val="17"/>
        </w:rPr>
        <w:t> </w:t>
      </w:r>
      <w:r>
        <w:rPr>
          <w:rFonts w:ascii="Calibri" w:hAnsi="Calibri"/>
          <w:color w:val="231F20"/>
          <w:w w:val="105"/>
          <w:sz w:val="17"/>
        </w:rPr>
        <w:t>capitalismo,</w:t>
      </w:r>
      <w:r>
        <w:rPr>
          <w:rFonts w:ascii="Calibri" w:hAnsi="Calibri"/>
          <w:color w:val="231F20"/>
          <w:spacing w:val="-14"/>
          <w:w w:val="105"/>
          <w:sz w:val="17"/>
        </w:rPr>
        <w:t> </w:t>
      </w:r>
      <w:r>
        <w:rPr>
          <w:rFonts w:ascii="Calibri" w:hAnsi="Calibri"/>
          <w:color w:val="231F20"/>
          <w:w w:val="105"/>
          <w:sz w:val="17"/>
        </w:rPr>
        <w:t>un’esteriorità</w:t>
      </w:r>
      <w:r>
        <w:rPr>
          <w:rFonts w:ascii="Calibri" w:hAnsi="Calibri"/>
          <w:color w:val="231F20"/>
          <w:spacing w:val="-14"/>
          <w:w w:val="105"/>
          <w:sz w:val="17"/>
        </w:rPr>
        <w:t> </w:t>
      </w:r>
      <w:r>
        <w:rPr>
          <w:rFonts w:ascii="Calibri" w:hAnsi="Calibri"/>
          <w:color w:val="231F20"/>
          <w:w w:val="105"/>
          <w:sz w:val="17"/>
        </w:rPr>
        <w:t>che</w:t>
      </w:r>
      <w:r>
        <w:rPr>
          <w:rFonts w:ascii="Calibri" w:hAnsi="Calibri"/>
          <w:color w:val="231F20"/>
          <w:spacing w:val="-14"/>
          <w:w w:val="105"/>
          <w:sz w:val="17"/>
        </w:rPr>
        <w:t> </w:t>
      </w:r>
      <w:r>
        <w:rPr>
          <w:rFonts w:ascii="Calibri" w:hAnsi="Calibri"/>
          <w:color w:val="231F20"/>
          <w:w w:val="105"/>
          <w:sz w:val="17"/>
        </w:rPr>
        <w:t>questo</w:t>
      </w:r>
      <w:r>
        <w:rPr>
          <w:rFonts w:ascii="Calibri" w:hAnsi="Calibri"/>
          <w:color w:val="231F20"/>
          <w:spacing w:val="-14"/>
          <w:w w:val="105"/>
          <w:sz w:val="17"/>
        </w:rPr>
        <w:t> </w:t>
      </w:r>
      <w:r>
        <w:rPr>
          <w:rFonts w:ascii="Calibri" w:hAnsi="Calibri"/>
          <w:color w:val="231F20"/>
          <w:w w:val="105"/>
          <w:sz w:val="17"/>
        </w:rPr>
        <w:t>non</w:t>
      </w:r>
      <w:r>
        <w:rPr>
          <w:rFonts w:ascii="Calibri" w:hAnsi="Calibri"/>
          <w:color w:val="231F20"/>
          <w:spacing w:val="-14"/>
          <w:w w:val="105"/>
          <w:sz w:val="17"/>
        </w:rPr>
        <w:t> </w:t>
      </w:r>
      <w:r>
        <w:rPr>
          <w:rFonts w:ascii="Calibri" w:hAnsi="Calibri"/>
          <w:color w:val="231F20"/>
          <w:w w:val="105"/>
          <w:sz w:val="17"/>
        </w:rPr>
        <w:t>potrà</w:t>
      </w:r>
      <w:r>
        <w:rPr>
          <w:rFonts w:ascii="Calibri" w:hAnsi="Calibri"/>
          <w:color w:val="231F20"/>
          <w:spacing w:val="-14"/>
          <w:w w:val="105"/>
          <w:sz w:val="17"/>
        </w:rPr>
        <w:t> </w:t>
      </w:r>
      <w:r>
        <w:rPr>
          <w:rFonts w:ascii="Calibri" w:hAnsi="Calibri"/>
          <w:color w:val="231F20"/>
          <w:w w:val="105"/>
          <w:sz w:val="17"/>
        </w:rPr>
        <w:t>abbracciare</w:t>
      </w:r>
      <w:r>
        <w:rPr>
          <w:rFonts w:ascii="Calibri" w:hAnsi="Calibri"/>
          <w:color w:val="231F20"/>
          <w:spacing w:val="-14"/>
          <w:w w:val="105"/>
          <w:sz w:val="17"/>
        </w:rPr>
        <w:t> </w:t>
      </w:r>
      <w:r>
        <w:rPr>
          <w:rFonts w:ascii="Calibri" w:hAnsi="Calibri"/>
          <w:color w:val="231F20"/>
          <w:w w:val="105"/>
          <w:sz w:val="17"/>
        </w:rPr>
        <w:t>né inghiottire</w:t>
      </w:r>
      <w:r>
        <w:rPr>
          <w:rFonts w:ascii="Calibri" w:hAnsi="Calibri"/>
          <w:color w:val="231F20"/>
          <w:spacing w:val="-12"/>
          <w:w w:val="105"/>
          <w:sz w:val="17"/>
        </w:rPr>
        <w:t> </w:t>
      </w:r>
      <w:r>
        <w:rPr>
          <w:rFonts w:ascii="Calibri" w:hAnsi="Calibri"/>
          <w:color w:val="231F20"/>
          <w:w w:val="105"/>
          <w:sz w:val="17"/>
        </w:rPr>
        <w:t>dal</w:t>
      </w:r>
      <w:r>
        <w:rPr>
          <w:rFonts w:ascii="Calibri" w:hAnsi="Calibri"/>
          <w:color w:val="231F20"/>
          <w:spacing w:val="-12"/>
          <w:w w:val="105"/>
          <w:sz w:val="17"/>
        </w:rPr>
        <w:t> </w:t>
      </w:r>
      <w:r>
        <w:rPr>
          <w:rFonts w:ascii="Calibri" w:hAnsi="Calibri"/>
          <w:color w:val="231F20"/>
          <w:w w:val="105"/>
          <w:sz w:val="17"/>
        </w:rPr>
        <w:t>tutto,</w:t>
      </w:r>
      <w:r>
        <w:rPr>
          <w:rFonts w:ascii="Calibri" w:hAnsi="Calibri"/>
          <w:color w:val="231F20"/>
          <w:spacing w:val="-12"/>
          <w:w w:val="105"/>
          <w:sz w:val="17"/>
        </w:rPr>
        <w:t> </w:t>
      </w:r>
      <w:r>
        <w:rPr>
          <w:rFonts w:ascii="Calibri" w:hAnsi="Calibri"/>
          <w:color w:val="231F20"/>
          <w:w w:val="105"/>
          <w:sz w:val="17"/>
        </w:rPr>
        <w:t>quello</w:t>
      </w:r>
      <w:r>
        <w:rPr>
          <w:rFonts w:ascii="Calibri" w:hAnsi="Calibri"/>
          <w:color w:val="231F20"/>
          <w:spacing w:val="-12"/>
          <w:w w:val="105"/>
          <w:sz w:val="17"/>
        </w:rPr>
        <w:t> </w:t>
      </w:r>
      <w:r>
        <w:rPr>
          <w:rFonts w:ascii="Calibri" w:hAnsi="Calibri"/>
          <w:color w:val="231F20"/>
          <w:w w:val="105"/>
          <w:sz w:val="17"/>
        </w:rPr>
        <w:t>che</w:t>
      </w:r>
      <w:r>
        <w:rPr>
          <w:rFonts w:ascii="Calibri" w:hAnsi="Calibri"/>
          <w:color w:val="231F20"/>
          <w:spacing w:val="-12"/>
          <w:w w:val="105"/>
          <w:sz w:val="17"/>
        </w:rPr>
        <w:t> </w:t>
      </w:r>
      <w:r>
        <w:rPr>
          <w:rFonts w:ascii="Calibri" w:hAnsi="Calibri"/>
          <w:color w:val="231F20"/>
          <w:w w:val="105"/>
          <w:sz w:val="17"/>
        </w:rPr>
        <w:t>Deleuze</w:t>
      </w:r>
      <w:r>
        <w:rPr>
          <w:rFonts w:ascii="Calibri" w:hAnsi="Calibri"/>
          <w:color w:val="231F20"/>
          <w:spacing w:val="-12"/>
          <w:w w:val="105"/>
          <w:sz w:val="17"/>
        </w:rPr>
        <w:t> </w:t>
      </w:r>
      <w:r>
        <w:rPr>
          <w:rFonts w:ascii="Calibri" w:hAnsi="Calibri"/>
          <w:color w:val="231F20"/>
          <w:w w:val="105"/>
          <w:sz w:val="17"/>
        </w:rPr>
        <w:t>chiama</w:t>
      </w:r>
      <w:r>
        <w:rPr>
          <w:rFonts w:ascii="Calibri" w:hAnsi="Calibri"/>
          <w:color w:val="231F20"/>
          <w:spacing w:val="-12"/>
          <w:w w:val="105"/>
          <w:sz w:val="17"/>
        </w:rPr>
        <w:t> </w:t>
      </w:r>
      <w:r>
        <w:rPr>
          <w:rFonts w:ascii="Calibri" w:hAnsi="Calibri"/>
          <w:i/>
          <w:color w:val="231F20"/>
          <w:w w:val="105"/>
          <w:sz w:val="17"/>
        </w:rPr>
        <w:t>lo</w:t>
      </w:r>
      <w:r>
        <w:rPr>
          <w:rFonts w:ascii="Calibri" w:hAnsi="Calibri"/>
          <w:i/>
          <w:color w:val="231F20"/>
          <w:spacing w:val="-13"/>
          <w:w w:val="105"/>
          <w:sz w:val="17"/>
        </w:rPr>
        <w:t> </w:t>
      </w:r>
      <w:r>
        <w:rPr>
          <w:rFonts w:ascii="Calibri" w:hAnsi="Calibri"/>
          <w:i/>
          <w:color w:val="231F20"/>
          <w:w w:val="105"/>
          <w:sz w:val="17"/>
        </w:rPr>
        <w:t>schizo</w:t>
      </w:r>
      <w:r>
        <w:rPr>
          <w:rFonts w:ascii="Calibri" w:hAnsi="Calibri"/>
          <w:color w:val="231F20"/>
          <w:w w:val="105"/>
          <w:sz w:val="17"/>
        </w:rPr>
        <w:t>.</w:t>
      </w:r>
    </w:p>
    <w:p>
      <w:pPr>
        <w:spacing w:before="1"/>
        <w:ind w:left="117" w:right="0" w:firstLine="0"/>
        <w:jc w:val="both"/>
        <w:rPr>
          <w:rFonts w:ascii="Calibri" w:hAnsi="Calibri"/>
          <w:sz w:val="17"/>
        </w:rPr>
      </w:pPr>
      <w:r>
        <w:rPr>
          <w:rFonts w:ascii="Calibri" w:hAnsi="Calibri"/>
          <w:color w:val="231F20"/>
          <w:position w:val="6"/>
          <w:sz w:val="10"/>
        </w:rPr>
        <w:t>43  </w:t>
      </w:r>
      <w:r>
        <w:rPr>
          <w:rFonts w:ascii="Calibri" w:hAnsi="Calibri"/>
          <w:color w:val="231F20"/>
          <w:sz w:val="17"/>
        </w:rPr>
        <w:t>Deleuze e Guattari, </w:t>
      </w:r>
      <w:r>
        <w:rPr>
          <w:rFonts w:ascii="Calibri" w:hAnsi="Calibri"/>
          <w:i/>
          <w:color w:val="231F20"/>
          <w:sz w:val="17"/>
        </w:rPr>
        <w:t>Le Anti–Œdipe</w:t>
      </w:r>
      <w:r>
        <w:rPr>
          <w:rFonts w:ascii="Calibri" w:hAnsi="Calibri"/>
          <w:color w:val="231F20"/>
          <w:sz w:val="17"/>
        </w:rPr>
        <w:t>, p. 285.</w:t>
      </w:r>
    </w:p>
    <w:p>
      <w:pPr>
        <w:spacing w:after="0"/>
        <w:jc w:val="both"/>
        <w:rPr>
          <w:rFonts w:ascii="Calibri" w:hAnsi="Calibri"/>
          <w:sz w:val="17"/>
        </w:rPr>
        <w:sectPr>
          <w:pgSz w:w="9640" w:h="13890"/>
          <w:pgMar w:top="0" w:bottom="280" w:left="1300" w:right="1180"/>
        </w:sectPr>
      </w:pPr>
    </w:p>
    <w:p>
      <w:pPr>
        <w:pStyle w:val="BodyText"/>
        <w:spacing w:line="247" w:lineRule="auto" w:before="107"/>
        <w:ind w:left="103" w:right="113"/>
        <w:jc w:val="both"/>
      </w:pPr>
      <w:r>
        <w:rPr>
          <w:color w:val="231F20"/>
          <w:w w:val="105"/>
        </w:rPr>
        <w:t>quale c’è l’emarginazione o la morte. Entrambe le possibilità</w:t>
      </w:r>
      <w:r>
        <w:rPr>
          <w:color w:val="231F20"/>
          <w:spacing w:val="-46"/>
          <w:w w:val="105"/>
        </w:rPr>
        <w:t> </w:t>
      </w:r>
      <w:r>
        <w:rPr>
          <w:color w:val="231F20"/>
          <w:w w:val="105"/>
        </w:rPr>
        <w:t>producono alla</w:t>
      </w:r>
      <w:r>
        <w:rPr>
          <w:color w:val="231F20"/>
          <w:spacing w:val="-36"/>
          <w:w w:val="105"/>
        </w:rPr>
        <w:t> </w:t>
      </w:r>
      <w:r>
        <w:rPr>
          <w:color w:val="231F20"/>
          <w:w w:val="105"/>
        </w:rPr>
        <w:t>loro</w:t>
      </w:r>
      <w:r>
        <w:rPr>
          <w:color w:val="231F20"/>
          <w:spacing w:val="-36"/>
          <w:w w:val="105"/>
        </w:rPr>
        <w:t> </w:t>
      </w:r>
      <w:r>
        <w:rPr>
          <w:color w:val="231F20"/>
          <w:w w:val="105"/>
        </w:rPr>
        <w:t>maniera</w:t>
      </w:r>
      <w:r>
        <w:rPr>
          <w:color w:val="231F20"/>
          <w:spacing w:val="-36"/>
          <w:w w:val="105"/>
        </w:rPr>
        <w:t> </w:t>
      </w:r>
      <w:r>
        <w:rPr>
          <w:color w:val="231F20"/>
          <w:w w:val="105"/>
        </w:rPr>
        <w:t>gesti</w:t>
      </w:r>
      <w:r>
        <w:rPr>
          <w:color w:val="231F20"/>
          <w:spacing w:val="-36"/>
          <w:w w:val="105"/>
        </w:rPr>
        <w:t> </w:t>
      </w:r>
      <w:r>
        <w:rPr>
          <w:color w:val="231F20"/>
          <w:w w:val="105"/>
        </w:rPr>
        <w:t>di</w:t>
      </w:r>
      <w:r>
        <w:rPr>
          <w:color w:val="231F20"/>
          <w:spacing w:val="-36"/>
          <w:w w:val="105"/>
        </w:rPr>
        <w:t> </w:t>
      </w:r>
      <w:r>
        <w:rPr>
          <w:color w:val="231F20"/>
          <w:w w:val="105"/>
        </w:rPr>
        <w:t>violenza</w:t>
      </w:r>
      <w:r>
        <w:rPr>
          <w:color w:val="231F20"/>
          <w:spacing w:val="-36"/>
          <w:w w:val="105"/>
        </w:rPr>
        <w:t> </w:t>
      </w:r>
      <w:r>
        <w:rPr>
          <w:color w:val="231F20"/>
          <w:w w:val="105"/>
        </w:rPr>
        <w:t>e</w:t>
      </w:r>
      <w:r>
        <w:rPr>
          <w:color w:val="231F20"/>
          <w:spacing w:val="-36"/>
          <w:w w:val="105"/>
        </w:rPr>
        <w:t> </w:t>
      </w:r>
      <w:r>
        <w:rPr>
          <w:color w:val="231F20"/>
          <w:w w:val="105"/>
        </w:rPr>
        <w:t>intolleranza,</w:t>
      </w:r>
      <w:r>
        <w:rPr>
          <w:color w:val="231F20"/>
          <w:spacing w:val="-36"/>
          <w:w w:val="105"/>
        </w:rPr>
        <w:t> </w:t>
      </w:r>
      <w:r>
        <w:rPr>
          <w:color w:val="231F20"/>
          <w:w w:val="105"/>
        </w:rPr>
        <w:t>al</w:t>
      </w:r>
      <w:r>
        <w:rPr>
          <w:color w:val="231F20"/>
          <w:spacing w:val="-36"/>
          <w:w w:val="105"/>
        </w:rPr>
        <w:t> </w:t>
      </w:r>
      <w:r>
        <w:rPr>
          <w:color w:val="231F20"/>
          <w:w w:val="105"/>
        </w:rPr>
        <w:t>tempo</w:t>
      </w:r>
      <w:r>
        <w:rPr>
          <w:color w:val="231F20"/>
          <w:spacing w:val="-36"/>
          <w:w w:val="105"/>
        </w:rPr>
        <w:t> </w:t>
      </w:r>
      <w:r>
        <w:rPr>
          <w:color w:val="231F20"/>
          <w:w w:val="105"/>
        </w:rPr>
        <w:t>che</w:t>
      </w:r>
      <w:r>
        <w:rPr>
          <w:color w:val="231F20"/>
          <w:spacing w:val="-36"/>
          <w:w w:val="105"/>
        </w:rPr>
        <w:t> </w:t>
      </w:r>
      <w:r>
        <w:rPr>
          <w:color w:val="231F20"/>
          <w:w w:val="105"/>
        </w:rPr>
        <w:t>classificano</w:t>
      </w:r>
      <w:r>
        <w:rPr>
          <w:color w:val="231F20"/>
          <w:spacing w:val="-36"/>
          <w:w w:val="105"/>
        </w:rPr>
        <w:t> </w:t>
      </w:r>
      <w:r>
        <w:rPr>
          <w:color w:val="231F20"/>
          <w:w w:val="105"/>
        </w:rPr>
        <w:t>il mondo</w:t>
      </w:r>
      <w:r>
        <w:rPr>
          <w:color w:val="231F20"/>
          <w:spacing w:val="-34"/>
          <w:w w:val="105"/>
        </w:rPr>
        <w:t> </w:t>
      </w:r>
      <w:r>
        <w:rPr>
          <w:color w:val="231F20"/>
          <w:w w:val="105"/>
        </w:rPr>
        <w:t>dentro</w:t>
      </w:r>
      <w:r>
        <w:rPr>
          <w:color w:val="231F20"/>
          <w:spacing w:val="-34"/>
          <w:w w:val="105"/>
        </w:rPr>
        <w:t> </w:t>
      </w:r>
      <w:r>
        <w:rPr>
          <w:color w:val="231F20"/>
          <w:w w:val="105"/>
        </w:rPr>
        <w:t>determinate</w:t>
      </w:r>
      <w:r>
        <w:rPr>
          <w:color w:val="231F20"/>
          <w:spacing w:val="-34"/>
          <w:w w:val="105"/>
        </w:rPr>
        <w:t> </w:t>
      </w:r>
      <w:r>
        <w:rPr>
          <w:color w:val="231F20"/>
          <w:w w:val="105"/>
        </w:rPr>
        <w:t>strie,</w:t>
      </w:r>
      <w:r>
        <w:rPr>
          <w:color w:val="231F20"/>
          <w:spacing w:val="-34"/>
          <w:w w:val="105"/>
        </w:rPr>
        <w:t> </w:t>
      </w:r>
      <w:r>
        <w:rPr>
          <w:color w:val="231F20"/>
          <w:w w:val="105"/>
        </w:rPr>
        <w:t>caselle</w:t>
      </w:r>
      <w:r>
        <w:rPr>
          <w:color w:val="231F20"/>
          <w:spacing w:val="-34"/>
          <w:w w:val="105"/>
        </w:rPr>
        <w:t> </w:t>
      </w:r>
      <w:r>
        <w:rPr>
          <w:color w:val="231F20"/>
          <w:w w:val="105"/>
        </w:rPr>
        <w:t>e</w:t>
      </w:r>
      <w:r>
        <w:rPr>
          <w:color w:val="231F20"/>
          <w:spacing w:val="-34"/>
          <w:w w:val="105"/>
        </w:rPr>
        <w:t> </w:t>
      </w:r>
      <w:r>
        <w:rPr>
          <w:color w:val="231F20"/>
          <w:w w:val="105"/>
        </w:rPr>
        <w:t>direzioni.</w:t>
      </w:r>
    </w:p>
    <w:p>
      <w:pPr>
        <w:pStyle w:val="BodyText"/>
        <w:spacing w:before="10"/>
        <w:rPr>
          <w:sz w:val="22"/>
        </w:rPr>
      </w:pPr>
    </w:p>
    <w:p>
      <w:pPr>
        <w:spacing w:line="220" w:lineRule="exact" w:before="1"/>
        <w:ind w:left="1521" w:right="110" w:firstLine="0"/>
        <w:jc w:val="both"/>
        <w:rPr>
          <w:sz w:val="19"/>
        </w:rPr>
      </w:pPr>
      <w:r>
        <w:rPr>
          <w:color w:val="231F20"/>
          <w:spacing w:val="4"/>
          <w:sz w:val="19"/>
        </w:rPr>
        <w:t>Quello </w:t>
      </w:r>
      <w:r>
        <w:rPr>
          <w:color w:val="231F20"/>
          <w:spacing w:val="3"/>
          <w:sz w:val="19"/>
        </w:rPr>
        <w:t>che </w:t>
      </w:r>
      <w:r>
        <w:rPr>
          <w:color w:val="231F20"/>
          <w:spacing w:val="4"/>
          <w:sz w:val="19"/>
        </w:rPr>
        <w:t>chiamo forze della </w:t>
      </w:r>
      <w:r>
        <w:rPr>
          <w:rFonts w:ascii="Arial" w:hAnsi="Arial"/>
          <w:i/>
          <w:color w:val="231F20"/>
          <w:spacing w:val="4"/>
          <w:sz w:val="19"/>
        </w:rPr>
        <w:t>Jihad </w:t>
      </w:r>
      <w:r>
        <w:rPr>
          <w:color w:val="231F20"/>
          <w:sz w:val="19"/>
        </w:rPr>
        <w:t>e </w:t>
      </w:r>
      <w:r>
        <w:rPr>
          <w:color w:val="231F20"/>
          <w:spacing w:val="4"/>
          <w:sz w:val="19"/>
        </w:rPr>
        <w:t>forze </w:t>
      </w:r>
      <w:r>
        <w:rPr>
          <w:color w:val="231F20"/>
          <w:spacing w:val="3"/>
          <w:sz w:val="19"/>
        </w:rPr>
        <w:t>del </w:t>
      </w:r>
      <w:r>
        <w:rPr>
          <w:rFonts w:ascii="Arial" w:hAnsi="Arial"/>
          <w:i/>
          <w:color w:val="231F20"/>
          <w:spacing w:val="5"/>
          <w:sz w:val="19"/>
        </w:rPr>
        <w:t>McMondo </w:t>
      </w:r>
      <w:r>
        <w:rPr>
          <w:color w:val="231F20"/>
          <w:sz w:val="19"/>
        </w:rPr>
        <w:t>operano con uguale impeto in direzioni opposte, una diretta da odi</w:t>
      </w:r>
      <w:r>
        <w:rPr>
          <w:color w:val="231F20"/>
          <w:spacing w:val="-19"/>
          <w:sz w:val="19"/>
        </w:rPr>
        <w:t> </w:t>
      </w:r>
      <w:r>
        <w:rPr>
          <w:color w:val="231F20"/>
          <w:sz w:val="19"/>
        </w:rPr>
        <w:t>parrocchiali,</w:t>
      </w:r>
      <w:r>
        <w:rPr>
          <w:color w:val="231F20"/>
          <w:spacing w:val="-19"/>
          <w:sz w:val="19"/>
        </w:rPr>
        <w:t> </w:t>
      </w:r>
      <w:r>
        <w:rPr>
          <w:color w:val="231F20"/>
          <w:sz w:val="19"/>
        </w:rPr>
        <w:t>l’altra</w:t>
      </w:r>
      <w:r>
        <w:rPr>
          <w:color w:val="231F20"/>
          <w:spacing w:val="-19"/>
          <w:sz w:val="19"/>
        </w:rPr>
        <w:t> </w:t>
      </w:r>
      <w:r>
        <w:rPr>
          <w:color w:val="231F20"/>
          <w:sz w:val="19"/>
        </w:rPr>
        <w:t>da</w:t>
      </w:r>
      <w:r>
        <w:rPr>
          <w:color w:val="231F20"/>
          <w:spacing w:val="-19"/>
          <w:sz w:val="19"/>
        </w:rPr>
        <w:t> </w:t>
      </w:r>
      <w:r>
        <w:rPr>
          <w:color w:val="231F20"/>
          <w:sz w:val="19"/>
        </w:rPr>
        <w:t>mercati</w:t>
      </w:r>
      <w:r>
        <w:rPr>
          <w:color w:val="231F20"/>
          <w:spacing w:val="-19"/>
          <w:sz w:val="19"/>
        </w:rPr>
        <w:t> </w:t>
      </w:r>
      <w:r>
        <w:rPr>
          <w:color w:val="231F20"/>
          <w:sz w:val="19"/>
        </w:rPr>
        <w:t>universali;</w:t>
      </w:r>
      <w:r>
        <w:rPr>
          <w:color w:val="231F20"/>
          <w:spacing w:val="-19"/>
          <w:sz w:val="19"/>
        </w:rPr>
        <w:t> </w:t>
      </w:r>
      <w:r>
        <w:rPr>
          <w:color w:val="231F20"/>
          <w:sz w:val="19"/>
        </w:rPr>
        <w:t>uno</w:t>
      </w:r>
      <w:r>
        <w:rPr>
          <w:color w:val="231F20"/>
          <w:spacing w:val="-19"/>
          <w:sz w:val="19"/>
        </w:rPr>
        <w:t> </w:t>
      </w:r>
      <w:r>
        <w:rPr>
          <w:color w:val="231F20"/>
          <w:sz w:val="19"/>
        </w:rPr>
        <w:t>ricreando</w:t>
      </w:r>
      <w:r>
        <w:rPr>
          <w:color w:val="231F20"/>
          <w:spacing w:val="-19"/>
          <w:sz w:val="19"/>
        </w:rPr>
        <w:t> </w:t>
      </w:r>
      <w:r>
        <w:rPr>
          <w:color w:val="231F20"/>
          <w:sz w:val="19"/>
        </w:rPr>
        <w:t>vecchie frontiere subnazionali ed etniche, l’altro facendo diventare porose le</w:t>
      </w:r>
      <w:r>
        <w:rPr>
          <w:color w:val="231F20"/>
          <w:spacing w:val="-27"/>
          <w:sz w:val="19"/>
        </w:rPr>
        <w:t> </w:t>
      </w:r>
      <w:r>
        <w:rPr>
          <w:color w:val="231F20"/>
          <w:spacing w:val="-3"/>
          <w:sz w:val="19"/>
        </w:rPr>
        <w:t>frontiere</w:t>
      </w:r>
      <w:r>
        <w:rPr>
          <w:color w:val="231F20"/>
          <w:spacing w:val="-27"/>
          <w:sz w:val="19"/>
        </w:rPr>
        <w:t> </w:t>
      </w:r>
      <w:r>
        <w:rPr>
          <w:color w:val="231F20"/>
          <w:sz w:val="19"/>
        </w:rPr>
        <w:t>nazionali.</w:t>
      </w:r>
      <w:r>
        <w:rPr>
          <w:color w:val="231F20"/>
          <w:spacing w:val="-27"/>
          <w:sz w:val="19"/>
        </w:rPr>
        <w:t> </w:t>
      </w:r>
      <w:r>
        <w:rPr>
          <w:color w:val="231F20"/>
          <w:sz w:val="19"/>
        </w:rPr>
        <w:t>Entrambe</w:t>
      </w:r>
      <w:r>
        <w:rPr>
          <w:color w:val="231F20"/>
          <w:spacing w:val="-27"/>
          <w:sz w:val="19"/>
        </w:rPr>
        <w:t> </w:t>
      </w:r>
      <w:r>
        <w:rPr>
          <w:color w:val="231F20"/>
          <w:sz w:val="19"/>
        </w:rPr>
        <w:t>hanno</w:t>
      </w:r>
      <w:r>
        <w:rPr>
          <w:color w:val="231F20"/>
          <w:spacing w:val="-27"/>
          <w:sz w:val="19"/>
        </w:rPr>
        <w:t> </w:t>
      </w:r>
      <w:r>
        <w:rPr>
          <w:color w:val="231F20"/>
          <w:sz w:val="19"/>
        </w:rPr>
        <w:t>una</w:t>
      </w:r>
      <w:r>
        <w:rPr>
          <w:color w:val="231F20"/>
          <w:spacing w:val="-27"/>
          <w:sz w:val="19"/>
        </w:rPr>
        <w:t> </w:t>
      </w:r>
      <w:r>
        <w:rPr>
          <w:color w:val="231F20"/>
          <w:sz w:val="19"/>
        </w:rPr>
        <w:t>cosa</w:t>
      </w:r>
      <w:r>
        <w:rPr>
          <w:color w:val="231F20"/>
          <w:spacing w:val="-27"/>
          <w:sz w:val="19"/>
        </w:rPr>
        <w:t> </w:t>
      </w:r>
      <w:r>
        <w:rPr>
          <w:color w:val="231F20"/>
          <w:sz w:val="19"/>
        </w:rPr>
        <w:t>in</w:t>
      </w:r>
      <w:r>
        <w:rPr>
          <w:color w:val="231F20"/>
          <w:spacing w:val="-27"/>
          <w:sz w:val="19"/>
        </w:rPr>
        <w:t> </w:t>
      </w:r>
      <w:r>
        <w:rPr>
          <w:color w:val="231F20"/>
          <w:sz w:val="19"/>
        </w:rPr>
        <w:t>comune:</w:t>
      </w:r>
      <w:r>
        <w:rPr>
          <w:color w:val="231F20"/>
          <w:spacing w:val="-27"/>
          <w:sz w:val="19"/>
        </w:rPr>
        <w:t> </w:t>
      </w:r>
      <w:r>
        <w:rPr>
          <w:color w:val="231F20"/>
          <w:sz w:val="19"/>
        </w:rPr>
        <w:t>nessuna offre </w:t>
      </w:r>
      <w:r>
        <w:rPr>
          <w:color w:val="231F20"/>
          <w:spacing w:val="2"/>
          <w:sz w:val="19"/>
        </w:rPr>
        <w:t>molta speranza </w:t>
      </w:r>
      <w:r>
        <w:rPr>
          <w:color w:val="231F20"/>
          <w:sz w:val="19"/>
        </w:rPr>
        <w:t>ai </w:t>
      </w:r>
      <w:r>
        <w:rPr>
          <w:color w:val="231F20"/>
          <w:spacing w:val="2"/>
          <w:sz w:val="19"/>
        </w:rPr>
        <w:t>cittadini </w:t>
      </w:r>
      <w:r>
        <w:rPr>
          <w:color w:val="231F20"/>
          <w:sz w:val="19"/>
        </w:rPr>
        <w:t>che </w:t>
      </w:r>
      <w:r>
        <w:rPr>
          <w:color w:val="231F20"/>
          <w:spacing w:val="2"/>
          <w:sz w:val="19"/>
        </w:rPr>
        <w:t>cercano </w:t>
      </w:r>
      <w:r>
        <w:rPr>
          <w:color w:val="231F20"/>
          <w:sz w:val="19"/>
        </w:rPr>
        <w:t>vie </w:t>
      </w:r>
      <w:r>
        <w:rPr>
          <w:color w:val="231F20"/>
          <w:spacing w:val="2"/>
          <w:sz w:val="19"/>
        </w:rPr>
        <w:t>pratiche </w:t>
      </w:r>
      <w:r>
        <w:rPr>
          <w:color w:val="231F20"/>
          <w:spacing w:val="3"/>
          <w:sz w:val="19"/>
        </w:rPr>
        <w:t>per </w:t>
      </w:r>
      <w:r>
        <w:rPr>
          <w:color w:val="231F20"/>
          <w:sz w:val="19"/>
        </w:rPr>
        <w:t>governare se stessi in modo</w:t>
      </w:r>
      <w:r>
        <w:rPr>
          <w:color w:val="231F20"/>
          <w:spacing w:val="19"/>
          <w:sz w:val="19"/>
        </w:rPr>
        <w:t> </w:t>
      </w:r>
      <w:r>
        <w:rPr>
          <w:color w:val="231F20"/>
          <w:sz w:val="19"/>
        </w:rPr>
        <w:t>democratico</w:t>
      </w:r>
      <w:r>
        <w:rPr>
          <w:color w:val="231F20"/>
          <w:position w:val="6"/>
          <w:sz w:val="11"/>
        </w:rPr>
        <w:t>44</w:t>
      </w:r>
      <w:r>
        <w:rPr>
          <w:color w:val="231F20"/>
          <w:sz w:val="19"/>
        </w:rPr>
        <w:t>.</w:t>
      </w:r>
    </w:p>
    <w:p>
      <w:pPr>
        <w:pStyle w:val="BodyText"/>
        <w:spacing w:before="11"/>
        <w:rPr>
          <w:sz w:val="23"/>
        </w:rPr>
      </w:pPr>
    </w:p>
    <w:p>
      <w:pPr>
        <w:pStyle w:val="BodyText"/>
        <w:spacing w:line="247" w:lineRule="auto"/>
        <w:ind w:left="103" w:right="111"/>
        <w:jc w:val="both"/>
      </w:pPr>
      <w:r>
        <w:rPr>
          <w:color w:val="231F20"/>
          <w:w w:val="105"/>
        </w:rPr>
        <w:t>La</w:t>
      </w:r>
      <w:r>
        <w:rPr>
          <w:color w:val="231F20"/>
          <w:spacing w:val="-23"/>
          <w:w w:val="105"/>
        </w:rPr>
        <w:t> </w:t>
      </w:r>
      <w:r>
        <w:rPr>
          <w:rFonts w:ascii="Arial" w:hAnsi="Arial"/>
          <w:i/>
          <w:color w:val="231F20"/>
          <w:w w:val="105"/>
        </w:rPr>
        <w:t>jihadizazzione</w:t>
      </w:r>
      <w:r>
        <w:rPr>
          <w:rFonts w:ascii="Arial" w:hAnsi="Arial"/>
          <w:i/>
          <w:color w:val="231F20"/>
          <w:spacing w:val="-15"/>
          <w:w w:val="105"/>
        </w:rPr>
        <w:t> </w:t>
      </w:r>
      <w:r>
        <w:rPr>
          <w:color w:val="231F20"/>
          <w:w w:val="105"/>
        </w:rPr>
        <w:t>del</w:t>
      </w:r>
      <w:r>
        <w:rPr>
          <w:color w:val="231F20"/>
          <w:spacing w:val="-23"/>
          <w:w w:val="105"/>
        </w:rPr>
        <w:t> </w:t>
      </w:r>
      <w:r>
        <w:rPr>
          <w:color w:val="231F20"/>
          <w:w w:val="105"/>
        </w:rPr>
        <w:t>mondo</w:t>
      </w:r>
      <w:r>
        <w:rPr>
          <w:color w:val="231F20"/>
          <w:spacing w:val="-23"/>
          <w:w w:val="105"/>
        </w:rPr>
        <w:t> </w:t>
      </w:r>
      <w:r>
        <w:rPr>
          <w:color w:val="231F20"/>
          <w:w w:val="105"/>
        </w:rPr>
        <w:t>e</w:t>
      </w:r>
      <w:r>
        <w:rPr>
          <w:color w:val="231F20"/>
          <w:spacing w:val="-23"/>
          <w:w w:val="105"/>
        </w:rPr>
        <w:t> </w:t>
      </w:r>
      <w:r>
        <w:rPr>
          <w:color w:val="231F20"/>
          <w:w w:val="105"/>
        </w:rPr>
        <w:t>la</w:t>
      </w:r>
      <w:r>
        <w:rPr>
          <w:color w:val="231F20"/>
          <w:spacing w:val="-23"/>
          <w:w w:val="105"/>
        </w:rPr>
        <w:t> </w:t>
      </w:r>
      <w:r>
        <w:rPr>
          <w:color w:val="231F20"/>
          <w:w w:val="105"/>
        </w:rPr>
        <w:t>sua</w:t>
      </w:r>
      <w:r>
        <w:rPr>
          <w:color w:val="231F20"/>
          <w:spacing w:val="-22"/>
          <w:w w:val="105"/>
        </w:rPr>
        <w:t> </w:t>
      </w:r>
      <w:r>
        <w:rPr>
          <w:rFonts w:ascii="Arial" w:hAnsi="Arial"/>
          <w:i/>
          <w:color w:val="231F20"/>
          <w:w w:val="105"/>
        </w:rPr>
        <w:t>macdonalizazzione</w:t>
      </w:r>
      <w:r>
        <w:rPr>
          <w:rFonts w:ascii="Arial" w:hAnsi="Arial"/>
          <w:i/>
          <w:color w:val="231F20"/>
          <w:spacing w:val="-15"/>
          <w:w w:val="105"/>
        </w:rPr>
        <w:t> </w:t>
      </w:r>
      <w:r>
        <w:rPr>
          <w:color w:val="231F20"/>
          <w:w w:val="105"/>
        </w:rPr>
        <w:t>sono</w:t>
      </w:r>
      <w:r>
        <w:rPr>
          <w:color w:val="231F20"/>
          <w:spacing w:val="-23"/>
          <w:w w:val="105"/>
        </w:rPr>
        <w:t> </w:t>
      </w:r>
      <w:r>
        <w:rPr>
          <w:color w:val="231F20"/>
          <w:w w:val="105"/>
        </w:rPr>
        <w:t>due</w:t>
      </w:r>
      <w:r>
        <w:rPr>
          <w:color w:val="231F20"/>
          <w:spacing w:val="-23"/>
          <w:w w:val="105"/>
        </w:rPr>
        <w:t> </w:t>
      </w:r>
      <w:r>
        <w:rPr>
          <w:color w:val="231F20"/>
          <w:w w:val="105"/>
        </w:rPr>
        <w:t>realtà opposte</w:t>
      </w:r>
      <w:r>
        <w:rPr>
          <w:color w:val="231F20"/>
          <w:spacing w:val="-14"/>
          <w:w w:val="105"/>
        </w:rPr>
        <w:t> </w:t>
      </w:r>
      <w:r>
        <w:rPr>
          <w:color w:val="231F20"/>
          <w:w w:val="105"/>
        </w:rPr>
        <w:t>al</w:t>
      </w:r>
      <w:r>
        <w:rPr>
          <w:color w:val="231F20"/>
          <w:spacing w:val="-14"/>
          <w:w w:val="105"/>
        </w:rPr>
        <w:t> </w:t>
      </w:r>
      <w:r>
        <w:rPr>
          <w:color w:val="231F20"/>
          <w:w w:val="105"/>
        </w:rPr>
        <w:t>tempo</w:t>
      </w:r>
      <w:r>
        <w:rPr>
          <w:color w:val="231F20"/>
          <w:spacing w:val="-14"/>
          <w:w w:val="105"/>
        </w:rPr>
        <w:t> </w:t>
      </w:r>
      <w:r>
        <w:rPr>
          <w:color w:val="231F20"/>
          <w:w w:val="105"/>
        </w:rPr>
        <w:t>che</w:t>
      </w:r>
      <w:r>
        <w:rPr>
          <w:color w:val="231F20"/>
          <w:spacing w:val="-14"/>
          <w:w w:val="105"/>
        </w:rPr>
        <w:t> </w:t>
      </w:r>
      <w:r>
        <w:rPr>
          <w:color w:val="231F20"/>
          <w:w w:val="105"/>
        </w:rPr>
        <w:t>molto</w:t>
      </w:r>
      <w:r>
        <w:rPr>
          <w:color w:val="231F20"/>
          <w:spacing w:val="-14"/>
          <w:w w:val="105"/>
        </w:rPr>
        <w:t> </w:t>
      </w:r>
      <w:r>
        <w:rPr>
          <w:color w:val="231F20"/>
          <w:w w:val="105"/>
        </w:rPr>
        <w:t>omogenee:</w:t>
      </w:r>
      <w:r>
        <w:rPr>
          <w:color w:val="231F20"/>
          <w:spacing w:val="-14"/>
          <w:w w:val="105"/>
        </w:rPr>
        <w:t> </w:t>
      </w:r>
      <w:r>
        <w:rPr>
          <w:color w:val="231F20"/>
          <w:w w:val="105"/>
        </w:rPr>
        <w:t>una</w:t>
      </w:r>
      <w:r>
        <w:rPr>
          <w:color w:val="231F20"/>
          <w:spacing w:val="-14"/>
          <w:w w:val="105"/>
        </w:rPr>
        <w:t> </w:t>
      </w:r>
      <w:r>
        <w:rPr>
          <w:color w:val="231F20"/>
          <w:w w:val="105"/>
        </w:rPr>
        <w:t>può</w:t>
      </w:r>
      <w:r>
        <w:rPr>
          <w:color w:val="231F20"/>
          <w:spacing w:val="-14"/>
          <w:w w:val="105"/>
        </w:rPr>
        <w:t> </w:t>
      </w:r>
      <w:r>
        <w:rPr>
          <w:color w:val="231F20"/>
          <w:w w:val="105"/>
        </w:rPr>
        <w:t>vedersi</w:t>
      </w:r>
      <w:r>
        <w:rPr>
          <w:color w:val="231F20"/>
          <w:spacing w:val="-14"/>
          <w:w w:val="105"/>
        </w:rPr>
        <w:t> </w:t>
      </w:r>
      <w:r>
        <w:rPr>
          <w:color w:val="231F20"/>
          <w:w w:val="105"/>
        </w:rPr>
        <w:t>come</w:t>
      </w:r>
      <w:r>
        <w:rPr>
          <w:color w:val="231F20"/>
          <w:spacing w:val="-14"/>
          <w:w w:val="105"/>
        </w:rPr>
        <w:t> </w:t>
      </w:r>
      <w:r>
        <w:rPr>
          <w:color w:val="231F20"/>
          <w:w w:val="105"/>
        </w:rPr>
        <w:t>il</w:t>
      </w:r>
      <w:r>
        <w:rPr>
          <w:color w:val="231F20"/>
          <w:spacing w:val="-14"/>
          <w:w w:val="105"/>
        </w:rPr>
        <w:t> </w:t>
      </w:r>
      <w:r>
        <w:rPr>
          <w:color w:val="231F20"/>
          <w:w w:val="105"/>
        </w:rPr>
        <w:t>riverso, l’effetto</w:t>
      </w:r>
      <w:r>
        <w:rPr>
          <w:color w:val="231F20"/>
          <w:spacing w:val="-27"/>
          <w:w w:val="105"/>
        </w:rPr>
        <w:t> </w:t>
      </w:r>
      <w:r>
        <w:rPr>
          <w:color w:val="231F20"/>
          <w:w w:val="105"/>
        </w:rPr>
        <w:t>o</w:t>
      </w:r>
      <w:r>
        <w:rPr>
          <w:color w:val="231F20"/>
          <w:spacing w:val="-27"/>
          <w:w w:val="105"/>
        </w:rPr>
        <w:t> </w:t>
      </w:r>
      <w:r>
        <w:rPr>
          <w:color w:val="231F20"/>
          <w:w w:val="105"/>
        </w:rPr>
        <w:t>la</w:t>
      </w:r>
      <w:r>
        <w:rPr>
          <w:color w:val="231F20"/>
          <w:spacing w:val="-27"/>
          <w:w w:val="105"/>
        </w:rPr>
        <w:t> </w:t>
      </w:r>
      <w:r>
        <w:rPr>
          <w:color w:val="231F20"/>
          <w:w w:val="105"/>
        </w:rPr>
        <w:t>reazione</w:t>
      </w:r>
      <w:r>
        <w:rPr>
          <w:color w:val="231F20"/>
          <w:spacing w:val="-27"/>
          <w:w w:val="105"/>
        </w:rPr>
        <w:t> </w:t>
      </w:r>
      <w:r>
        <w:rPr>
          <w:color w:val="231F20"/>
          <w:w w:val="105"/>
        </w:rPr>
        <w:t>dell’altra,</w:t>
      </w:r>
      <w:r>
        <w:rPr>
          <w:color w:val="231F20"/>
          <w:spacing w:val="-27"/>
          <w:w w:val="105"/>
        </w:rPr>
        <w:t> </w:t>
      </w:r>
      <w:r>
        <w:rPr>
          <w:color w:val="231F20"/>
          <w:w w:val="105"/>
        </w:rPr>
        <w:t>quindi,</w:t>
      </w:r>
      <w:r>
        <w:rPr>
          <w:color w:val="231F20"/>
          <w:spacing w:val="-27"/>
          <w:w w:val="105"/>
        </w:rPr>
        <w:t> </w:t>
      </w:r>
      <w:r>
        <w:rPr>
          <w:color w:val="231F20"/>
          <w:w w:val="105"/>
        </w:rPr>
        <w:t>condividono</w:t>
      </w:r>
      <w:r>
        <w:rPr>
          <w:color w:val="231F20"/>
          <w:spacing w:val="-27"/>
          <w:w w:val="105"/>
        </w:rPr>
        <w:t> </w:t>
      </w:r>
      <w:r>
        <w:rPr>
          <w:color w:val="231F20"/>
          <w:w w:val="105"/>
        </w:rPr>
        <w:t>in</w:t>
      </w:r>
      <w:r>
        <w:rPr>
          <w:color w:val="231F20"/>
          <w:spacing w:val="-27"/>
          <w:w w:val="105"/>
        </w:rPr>
        <w:t> </w:t>
      </w:r>
      <w:r>
        <w:rPr>
          <w:color w:val="231F20"/>
          <w:w w:val="105"/>
        </w:rPr>
        <w:t>molti</w:t>
      </w:r>
      <w:r>
        <w:rPr>
          <w:color w:val="231F20"/>
          <w:spacing w:val="-27"/>
          <w:w w:val="105"/>
        </w:rPr>
        <w:t> </w:t>
      </w:r>
      <w:r>
        <w:rPr>
          <w:color w:val="231F20"/>
          <w:w w:val="105"/>
        </w:rPr>
        <w:t>sensi</w:t>
      </w:r>
      <w:r>
        <w:rPr>
          <w:color w:val="231F20"/>
          <w:spacing w:val="-27"/>
          <w:w w:val="105"/>
        </w:rPr>
        <w:t> </w:t>
      </w:r>
      <w:r>
        <w:rPr>
          <w:color w:val="231F20"/>
          <w:w w:val="105"/>
        </w:rPr>
        <w:t>la</w:t>
      </w:r>
      <w:r>
        <w:rPr>
          <w:color w:val="231F20"/>
          <w:spacing w:val="-27"/>
          <w:w w:val="105"/>
        </w:rPr>
        <w:t> </w:t>
      </w:r>
      <w:r>
        <w:rPr>
          <w:color w:val="231F20"/>
          <w:w w:val="105"/>
        </w:rPr>
        <w:t>stessa logica.</w:t>
      </w:r>
      <w:r>
        <w:rPr>
          <w:color w:val="231F20"/>
          <w:spacing w:val="-19"/>
          <w:w w:val="105"/>
        </w:rPr>
        <w:t> </w:t>
      </w:r>
      <w:r>
        <w:rPr>
          <w:color w:val="231F20"/>
          <w:w w:val="105"/>
        </w:rPr>
        <w:t>Siamo</w:t>
      </w:r>
      <w:r>
        <w:rPr>
          <w:color w:val="231F20"/>
          <w:spacing w:val="-19"/>
          <w:w w:val="105"/>
        </w:rPr>
        <w:t> </w:t>
      </w:r>
      <w:r>
        <w:rPr>
          <w:color w:val="231F20"/>
          <w:w w:val="105"/>
        </w:rPr>
        <w:t>qui</w:t>
      </w:r>
      <w:r>
        <w:rPr>
          <w:color w:val="231F20"/>
          <w:spacing w:val="-19"/>
          <w:w w:val="105"/>
        </w:rPr>
        <w:t> </w:t>
      </w:r>
      <w:r>
        <w:rPr>
          <w:color w:val="231F20"/>
          <w:w w:val="105"/>
        </w:rPr>
        <w:t>davanti</w:t>
      </w:r>
      <w:r>
        <w:rPr>
          <w:color w:val="231F20"/>
          <w:spacing w:val="-19"/>
          <w:w w:val="105"/>
        </w:rPr>
        <w:t> </w:t>
      </w:r>
      <w:r>
        <w:rPr>
          <w:color w:val="231F20"/>
          <w:w w:val="105"/>
        </w:rPr>
        <w:t>ad</w:t>
      </w:r>
      <w:r>
        <w:rPr>
          <w:color w:val="231F20"/>
          <w:spacing w:val="-19"/>
          <w:w w:val="105"/>
        </w:rPr>
        <w:t> </w:t>
      </w:r>
      <w:r>
        <w:rPr>
          <w:color w:val="231F20"/>
          <w:w w:val="105"/>
        </w:rPr>
        <w:t>un</w:t>
      </w:r>
      <w:r>
        <w:rPr>
          <w:color w:val="231F20"/>
          <w:spacing w:val="-19"/>
          <w:w w:val="105"/>
        </w:rPr>
        <w:t> </w:t>
      </w:r>
      <w:r>
        <w:rPr>
          <w:color w:val="231F20"/>
          <w:w w:val="105"/>
        </w:rPr>
        <w:t>paradosso</w:t>
      </w:r>
      <w:r>
        <w:rPr>
          <w:color w:val="231F20"/>
          <w:spacing w:val="-19"/>
          <w:w w:val="105"/>
        </w:rPr>
        <w:t> </w:t>
      </w:r>
      <w:r>
        <w:rPr>
          <w:color w:val="231F20"/>
          <w:w w:val="105"/>
        </w:rPr>
        <w:t>fittizio</w:t>
      </w:r>
      <w:r>
        <w:rPr>
          <w:color w:val="231F20"/>
          <w:spacing w:val="-19"/>
          <w:w w:val="105"/>
        </w:rPr>
        <w:t> </w:t>
      </w:r>
      <w:r>
        <w:rPr>
          <w:color w:val="231F20"/>
          <w:w w:val="105"/>
        </w:rPr>
        <w:t>che</w:t>
      </w:r>
      <w:r>
        <w:rPr>
          <w:color w:val="231F20"/>
          <w:spacing w:val="-19"/>
          <w:w w:val="105"/>
        </w:rPr>
        <w:t> </w:t>
      </w:r>
      <w:r>
        <w:rPr>
          <w:color w:val="231F20"/>
          <w:w w:val="105"/>
        </w:rPr>
        <w:t>può</w:t>
      </w:r>
      <w:r>
        <w:rPr>
          <w:color w:val="231F20"/>
          <w:spacing w:val="-19"/>
          <w:w w:val="105"/>
        </w:rPr>
        <w:t> </w:t>
      </w:r>
      <w:r>
        <w:rPr>
          <w:color w:val="231F20"/>
          <w:w w:val="105"/>
        </w:rPr>
        <w:t>solo</w:t>
      </w:r>
      <w:r>
        <w:rPr>
          <w:color w:val="231F20"/>
          <w:spacing w:val="-19"/>
          <w:w w:val="105"/>
        </w:rPr>
        <w:t> </w:t>
      </w:r>
      <w:r>
        <w:rPr>
          <w:color w:val="231F20"/>
          <w:w w:val="105"/>
        </w:rPr>
        <w:t>stabilire</w:t>
      </w:r>
      <w:r>
        <w:rPr>
          <w:color w:val="231F20"/>
          <w:spacing w:val="-19"/>
          <w:w w:val="105"/>
        </w:rPr>
        <w:t> </w:t>
      </w:r>
      <w:r>
        <w:rPr>
          <w:color w:val="231F20"/>
          <w:w w:val="105"/>
        </w:rPr>
        <w:t>la contraddizione</w:t>
      </w:r>
      <w:r>
        <w:rPr>
          <w:color w:val="231F20"/>
          <w:spacing w:val="-25"/>
          <w:w w:val="105"/>
        </w:rPr>
        <w:t> </w:t>
      </w:r>
      <w:r>
        <w:rPr>
          <w:color w:val="231F20"/>
          <w:w w:val="105"/>
        </w:rPr>
        <w:t>al</w:t>
      </w:r>
      <w:r>
        <w:rPr>
          <w:color w:val="231F20"/>
          <w:spacing w:val="-25"/>
          <w:w w:val="105"/>
        </w:rPr>
        <w:t> </w:t>
      </w:r>
      <w:r>
        <w:rPr>
          <w:color w:val="231F20"/>
          <w:w w:val="105"/>
        </w:rPr>
        <w:t>prezzo</w:t>
      </w:r>
      <w:r>
        <w:rPr>
          <w:color w:val="231F20"/>
          <w:spacing w:val="-25"/>
          <w:w w:val="105"/>
        </w:rPr>
        <w:t> </w:t>
      </w:r>
      <w:r>
        <w:rPr>
          <w:color w:val="231F20"/>
          <w:w w:val="105"/>
        </w:rPr>
        <w:t>di</w:t>
      </w:r>
      <w:r>
        <w:rPr>
          <w:color w:val="231F20"/>
          <w:spacing w:val="-25"/>
          <w:w w:val="105"/>
        </w:rPr>
        <w:t> </w:t>
      </w:r>
      <w:r>
        <w:rPr>
          <w:color w:val="231F20"/>
          <w:w w:val="105"/>
        </w:rPr>
        <w:t>far</w:t>
      </w:r>
      <w:r>
        <w:rPr>
          <w:color w:val="231F20"/>
          <w:spacing w:val="-25"/>
          <w:w w:val="105"/>
        </w:rPr>
        <w:t> </w:t>
      </w:r>
      <w:r>
        <w:rPr>
          <w:color w:val="231F20"/>
          <w:w w:val="105"/>
        </w:rPr>
        <w:t>diventare</w:t>
      </w:r>
      <w:r>
        <w:rPr>
          <w:color w:val="231F20"/>
          <w:spacing w:val="-25"/>
          <w:w w:val="105"/>
        </w:rPr>
        <w:t> </w:t>
      </w:r>
      <w:r>
        <w:rPr>
          <w:color w:val="231F20"/>
          <w:w w:val="105"/>
        </w:rPr>
        <w:t>omogenei</w:t>
      </w:r>
      <w:r>
        <w:rPr>
          <w:color w:val="231F20"/>
          <w:spacing w:val="-25"/>
          <w:w w:val="105"/>
        </w:rPr>
        <w:t> </w:t>
      </w:r>
      <w:r>
        <w:rPr>
          <w:color w:val="231F20"/>
          <w:w w:val="105"/>
        </w:rPr>
        <w:t>gli</w:t>
      </w:r>
      <w:r>
        <w:rPr>
          <w:color w:val="231F20"/>
          <w:spacing w:val="-25"/>
          <w:w w:val="105"/>
        </w:rPr>
        <w:t> </w:t>
      </w:r>
      <w:r>
        <w:rPr>
          <w:color w:val="231F20"/>
          <w:w w:val="105"/>
        </w:rPr>
        <w:t>opposti.</w:t>
      </w:r>
      <w:r>
        <w:rPr>
          <w:color w:val="231F20"/>
          <w:spacing w:val="-25"/>
          <w:w w:val="105"/>
        </w:rPr>
        <w:t> </w:t>
      </w:r>
      <w:r>
        <w:rPr>
          <w:color w:val="231F20"/>
          <w:w w:val="105"/>
        </w:rPr>
        <w:t>In</w:t>
      </w:r>
      <w:r>
        <w:rPr>
          <w:color w:val="231F20"/>
          <w:spacing w:val="-25"/>
          <w:w w:val="105"/>
        </w:rPr>
        <w:t> </w:t>
      </w:r>
      <w:r>
        <w:rPr>
          <w:color w:val="231F20"/>
          <w:w w:val="105"/>
        </w:rPr>
        <w:t>cambio, un</w:t>
      </w:r>
      <w:r>
        <w:rPr>
          <w:color w:val="231F20"/>
          <w:spacing w:val="-36"/>
          <w:w w:val="105"/>
        </w:rPr>
        <w:t> </w:t>
      </w:r>
      <w:r>
        <w:rPr>
          <w:color w:val="231F20"/>
          <w:w w:val="105"/>
        </w:rPr>
        <w:t>paradosso</w:t>
      </w:r>
      <w:r>
        <w:rPr>
          <w:color w:val="231F20"/>
          <w:spacing w:val="-36"/>
          <w:w w:val="105"/>
        </w:rPr>
        <w:t> </w:t>
      </w:r>
      <w:r>
        <w:rPr>
          <w:color w:val="231F20"/>
          <w:w w:val="105"/>
        </w:rPr>
        <w:t>radicale</w:t>
      </w:r>
      <w:r>
        <w:rPr>
          <w:color w:val="231F20"/>
          <w:spacing w:val="-36"/>
          <w:w w:val="105"/>
        </w:rPr>
        <w:t> </w:t>
      </w:r>
      <w:r>
        <w:rPr>
          <w:color w:val="231F20"/>
          <w:w w:val="105"/>
        </w:rPr>
        <w:t>affermerebbe</w:t>
      </w:r>
      <w:r>
        <w:rPr>
          <w:color w:val="231F20"/>
          <w:spacing w:val="-36"/>
          <w:w w:val="105"/>
        </w:rPr>
        <w:t> </w:t>
      </w:r>
      <w:r>
        <w:rPr>
          <w:color w:val="231F20"/>
          <w:w w:val="105"/>
        </w:rPr>
        <w:t>la</w:t>
      </w:r>
      <w:r>
        <w:rPr>
          <w:color w:val="231F20"/>
          <w:spacing w:val="-36"/>
          <w:w w:val="105"/>
        </w:rPr>
        <w:t> </w:t>
      </w:r>
      <w:r>
        <w:rPr>
          <w:color w:val="231F20"/>
          <w:w w:val="105"/>
        </w:rPr>
        <w:t>differenza</w:t>
      </w:r>
      <w:r>
        <w:rPr>
          <w:color w:val="231F20"/>
          <w:spacing w:val="-36"/>
          <w:w w:val="105"/>
        </w:rPr>
        <w:t> </w:t>
      </w:r>
      <w:r>
        <w:rPr>
          <w:color w:val="231F20"/>
          <w:w w:val="105"/>
        </w:rPr>
        <w:t>irriducibile</w:t>
      </w:r>
      <w:r>
        <w:rPr>
          <w:color w:val="231F20"/>
          <w:spacing w:val="-36"/>
          <w:w w:val="105"/>
        </w:rPr>
        <w:t> </w:t>
      </w:r>
      <w:r>
        <w:rPr>
          <w:color w:val="231F20"/>
          <w:w w:val="105"/>
        </w:rPr>
        <w:t>degli</w:t>
      </w:r>
      <w:r>
        <w:rPr>
          <w:color w:val="231F20"/>
          <w:spacing w:val="-36"/>
          <w:w w:val="105"/>
        </w:rPr>
        <w:t> </w:t>
      </w:r>
      <w:r>
        <w:rPr>
          <w:color w:val="231F20"/>
          <w:w w:val="105"/>
        </w:rPr>
        <w:t>opposti, in</w:t>
      </w:r>
      <w:r>
        <w:rPr>
          <w:color w:val="231F20"/>
          <w:spacing w:val="-35"/>
          <w:w w:val="105"/>
        </w:rPr>
        <w:t> </w:t>
      </w:r>
      <w:r>
        <w:rPr>
          <w:color w:val="231F20"/>
          <w:w w:val="105"/>
        </w:rPr>
        <w:t>grande</w:t>
      </w:r>
      <w:r>
        <w:rPr>
          <w:color w:val="231F20"/>
          <w:spacing w:val="-35"/>
          <w:w w:val="105"/>
        </w:rPr>
        <w:t> </w:t>
      </w:r>
      <w:r>
        <w:rPr>
          <w:color w:val="231F20"/>
          <w:w w:val="105"/>
        </w:rPr>
        <w:t>misura</w:t>
      </w:r>
      <w:r>
        <w:rPr>
          <w:color w:val="231F20"/>
          <w:spacing w:val="-35"/>
          <w:w w:val="105"/>
        </w:rPr>
        <w:t> </w:t>
      </w:r>
      <w:r>
        <w:rPr>
          <w:color w:val="231F20"/>
          <w:w w:val="105"/>
        </w:rPr>
        <w:t>smetterebbero</w:t>
      </w:r>
      <w:r>
        <w:rPr>
          <w:color w:val="231F20"/>
          <w:spacing w:val="-35"/>
          <w:w w:val="105"/>
        </w:rPr>
        <w:t> </w:t>
      </w:r>
      <w:r>
        <w:rPr>
          <w:color w:val="231F20"/>
          <w:w w:val="105"/>
        </w:rPr>
        <w:t>di</w:t>
      </w:r>
      <w:r>
        <w:rPr>
          <w:color w:val="231F20"/>
          <w:spacing w:val="-35"/>
          <w:w w:val="105"/>
        </w:rPr>
        <w:t> </w:t>
      </w:r>
      <w:r>
        <w:rPr>
          <w:color w:val="231F20"/>
          <w:w w:val="105"/>
        </w:rPr>
        <w:t>essere</w:t>
      </w:r>
      <w:r>
        <w:rPr>
          <w:color w:val="231F20"/>
          <w:spacing w:val="-35"/>
          <w:w w:val="105"/>
        </w:rPr>
        <w:t> </w:t>
      </w:r>
      <w:r>
        <w:rPr>
          <w:color w:val="231F20"/>
          <w:w w:val="105"/>
        </w:rPr>
        <w:t>opposti</w:t>
      </w:r>
      <w:r>
        <w:rPr>
          <w:color w:val="231F20"/>
          <w:spacing w:val="-35"/>
          <w:w w:val="105"/>
        </w:rPr>
        <w:t> </w:t>
      </w:r>
      <w:r>
        <w:rPr>
          <w:color w:val="231F20"/>
          <w:w w:val="105"/>
        </w:rPr>
        <w:t>per</w:t>
      </w:r>
      <w:r>
        <w:rPr>
          <w:color w:val="231F20"/>
          <w:spacing w:val="-35"/>
          <w:w w:val="105"/>
        </w:rPr>
        <w:t> </w:t>
      </w:r>
      <w:r>
        <w:rPr>
          <w:color w:val="231F20"/>
          <w:w w:val="105"/>
        </w:rPr>
        <w:t>diventare</w:t>
      </w:r>
      <w:r>
        <w:rPr>
          <w:color w:val="231F20"/>
          <w:spacing w:val="-35"/>
          <w:w w:val="105"/>
        </w:rPr>
        <w:t> </w:t>
      </w:r>
      <w:r>
        <w:rPr>
          <w:color w:val="231F20"/>
          <w:w w:val="105"/>
        </w:rPr>
        <w:t>differenze </w:t>
      </w:r>
      <w:r>
        <w:rPr>
          <w:color w:val="231F20"/>
          <w:spacing w:val="-3"/>
          <w:w w:val="105"/>
        </w:rPr>
        <w:t>radicali</w:t>
      </w:r>
      <w:r>
        <w:rPr>
          <w:color w:val="231F20"/>
          <w:spacing w:val="-43"/>
          <w:w w:val="105"/>
        </w:rPr>
        <w:t> </w:t>
      </w:r>
      <w:r>
        <w:rPr>
          <w:color w:val="231F20"/>
          <w:w w:val="105"/>
        </w:rPr>
        <w:t>che</w:t>
      </w:r>
      <w:r>
        <w:rPr>
          <w:color w:val="231F20"/>
          <w:spacing w:val="-43"/>
          <w:w w:val="105"/>
        </w:rPr>
        <w:t> </w:t>
      </w:r>
      <w:r>
        <w:rPr>
          <w:color w:val="231F20"/>
          <w:spacing w:val="-4"/>
          <w:w w:val="105"/>
        </w:rPr>
        <w:t>strettamente</w:t>
      </w:r>
      <w:r>
        <w:rPr>
          <w:color w:val="231F20"/>
          <w:spacing w:val="-43"/>
          <w:w w:val="105"/>
        </w:rPr>
        <w:t> </w:t>
      </w:r>
      <w:r>
        <w:rPr>
          <w:color w:val="231F20"/>
          <w:w w:val="105"/>
        </w:rPr>
        <w:t>non</w:t>
      </w:r>
      <w:r>
        <w:rPr>
          <w:color w:val="231F20"/>
          <w:spacing w:val="-43"/>
          <w:w w:val="105"/>
        </w:rPr>
        <w:t> </w:t>
      </w:r>
      <w:r>
        <w:rPr>
          <w:color w:val="231F20"/>
          <w:spacing w:val="-4"/>
          <w:w w:val="105"/>
        </w:rPr>
        <w:t>sarebbero</w:t>
      </w:r>
      <w:r>
        <w:rPr>
          <w:color w:val="231F20"/>
          <w:spacing w:val="-43"/>
          <w:w w:val="105"/>
        </w:rPr>
        <w:t> </w:t>
      </w:r>
      <w:r>
        <w:rPr>
          <w:color w:val="231F20"/>
          <w:spacing w:val="-3"/>
          <w:w w:val="105"/>
        </w:rPr>
        <w:t>assegnabili</w:t>
      </w:r>
      <w:r>
        <w:rPr>
          <w:color w:val="231F20"/>
          <w:spacing w:val="-43"/>
          <w:w w:val="105"/>
        </w:rPr>
        <w:t> </w:t>
      </w:r>
      <w:r>
        <w:rPr>
          <w:color w:val="231F20"/>
          <w:w w:val="105"/>
        </w:rPr>
        <w:t>ne</w:t>
      </w:r>
      <w:r>
        <w:rPr>
          <w:color w:val="231F20"/>
          <w:spacing w:val="-43"/>
          <w:w w:val="105"/>
        </w:rPr>
        <w:t> </w:t>
      </w:r>
      <w:r>
        <w:rPr>
          <w:color w:val="231F20"/>
          <w:w w:val="105"/>
        </w:rPr>
        <w:t>al</w:t>
      </w:r>
      <w:r>
        <w:rPr>
          <w:color w:val="231F20"/>
          <w:spacing w:val="-43"/>
          <w:w w:val="105"/>
        </w:rPr>
        <w:t> </w:t>
      </w:r>
      <w:r>
        <w:rPr>
          <w:color w:val="231F20"/>
          <w:spacing w:val="-3"/>
          <w:w w:val="105"/>
        </w:rPr>
        <w:t>locale</w:t>
      </w:r>
      <w:r>
        <w:rPr>
          <w:color w:val="231F20"/>
          <w:spacing w:val="-43"/>
          <w:w w:val="105"/>
        </w:rPr>
        <w:t> </w:t>
      </w:r>
      <w:r>
        <w:rPr>
          <w:color w:val="231F20"/>
          <w:w w:val="105"/>
        </w:rPr>
        <w:t>ne</w:t>
      </w:r>
      <w:r>
        <w:rPr>
          <w:color w:val="231F20"/>
          <w:spacing w:val="-43"/>
          <w:w w:val="105"/>
        </w:rPr>
        <w:t> </w:t>
      </w:r>
      <w:r>
        <w:rPr>
          <w:color w:val="231F20"/>
          <w:w w:val="105"/>
        </w:rPr>
        <w:t>al</w:t>
      </w:r>
      <w:r>
        <w:rPr>
          <w:color w:val="231F20"/>
          <w:spacing w:val="-43"/>
          <w:w w:val="105"/>
        </w:rPr>
        <w:t> </w:t>
      </w:r>
      <w:r>
        <w:rPr>
          <w:color w:val="231F20"/>
          <w:spacing w:val="-3"/>
          <w:w w:val="105"/>
        </w:rPr>
        <w:t>globale, </w:t>
      </w:r>
      <w:r>
        <w:rPr>
          <w:color w:val="231F20"/>
          <w:w w:val="105"/>
        </w:rPr>
        <w:t>ne all’ibrido di entrambe, ma che emergerebbe </w:t>
      </w:r>
      <w:r>
        <w:rPr>
          <w:rFonts w:ascii="Arial" w:hAnsi="Arial"/>
          <w:i/>
          <w:color w:val="231F20"/>
          <w:w w:val="105"/>
        </w:rPr>
        <w:t>tra </w:t>
      </w:r>
      <w:r>
        <w:rPr>
          <w:color w:val="231F20"/>
          <w:w w:val="105"/>
        </w:rPr>
        <w:t>loro, negli interstizi che</w:t>
      </w:r>
      <w:r>
        <w:rPr>
          <w:color w:val="231F20"/>
          <w:spacing w:val="-7"/>
          <w:w w:val="105"/>
        </w:rPr>
        <w:t> </w:t>
      </w:r>
      <w:r>
        <w:rPr>
          <w:color w:val="231F20"/>
          <w:w w:val="105"/>
        </w:rPr>
        <w:t>non</w:t>
      </w:r>
      <w:r>
        <w:rPr>
          <w:color w:val="231F20"/>
          <w:spacing w:val="-7"/>
          <w:w w:val="105"/>
        </w:rPr>
        <w:t> </w:t>
      </w:r>
      <w:r>
        <w:rPr>
          <w:color w:val="231F20"/>
          <w:w w:val="105"/>
        </w:rPr>
        <w:t>riescono</w:t>
      </w:r>
      <w:r>
        <w:rPr>
          <w:color w:val="231F20"/>
          <w:spacing w:val="-7"/>
          <w:w w:val="105"/>
        </w:rPr>
        <w:t> </w:t>
      </w:r>
      <w:r>
        <w:rPr>
          <w:color w:val="231F20"/>
          <w:w w:val="105"/>
        </w:rPr>
        <w:t>a</w:t>
      </w:r>
      <w:r>
        <w:rPr>
          <w:color w:val="231F20"/>
          <w:spacing w:val="-7"/>
          <w:w w:val="105"/>
        </w:rPr>
        <w:t> </w:t>
      </w:r>
      <w:r>
        <w:rPr>
          <w:color w:val="231F20"/>
          <w:w w:val="105"/>
        </w:rPr>
        <w:t>essere</w:t>
      </w:r>
      <w:r>
        <w:rPr>
          <w:color w:val="231F20"/>
          <w:spacing w:val="-7"/>
          <w:w w:val="105"/>
        </w:rPr>
        <w:t> </w:t>
      </w:r>
      <w:r>
        <w:rPr>
          <w:color w:val="231F20"/>
          <w:w w:val="105"/>
        </w:rPr>
        <w:t>compressi</w:t>
      </w:r>
      <w:r>
        <w:rPr>
          <w:color w:val="231F20"/>
          <w:spacing w:val="-7"/>
          <w:w w:val="105"/>
        </w:rPr>
        <w:t> </w:t>
      </w:r>
      <w:r>
        <w:rPr>
          <w:color w:val="231F20"/>
          <w:w w:val="105"/>
        </w:rPr>
        <w:t>per</w:t>
      </w:r>
      <w:r>
        <w:rPr>
          <w:color w:val="231F20"/>
          <w:spacing w:val="-7"/>
          <w:w w:val="105"/>
        </w:rPr>
        <w:t> </w:t>
      </w:r>
      <w:r>
        <w:rPr>
          <w:color w:val="231F20"/>
          <w:w w:val="105"/>
        </w:rPr>
        <w:t>nessuno</w:t>
      </w:r>
      <w:r>
        <w:rPr>
          <w:color w:val="231F20"/>
          <w:spacing w:val="-7"/>
          <w:w w:val="105"/>
        </w:rPr>
        <w:t> </w:t>
      </w:r>
      <w:r>
        <w:rPr>
          <w:color w:val="231F20"/>
          <w:w w:val="105"/>
        </w:rPr>
        <w:t>dei</w:t>
      </w:r>
      <w:r>
        <w:rPr>
          <w:color w:val="231F20"/>
          <w:spacing w:val="-7"/>
          <w:w w:val="105"/>
        </w:rPr>
        <w:t> </w:t>
      </w:r>
      <w:r>
        <w:rPr>
          <w:color w:val="231F20"/>
          <w:w w:val="105"/>
        </w:rPr>
        <w:t>due</w:t>
      </w:r>
      <w:r>
        <w:rPr>
          <w:color w:val="231F20"/>
          <w:spacing w:val="-7"/>
          <w:w w:val="105"/>
        </w:rPr>
        <w:t> </w:t>
      </w:r>
      <w:r>
        <w:rPr>
          <w:color w:val="231F20"/>
          <w:w w:val="105"/>
        </w:rPr>
        <w:t>ne</w:t>
      </w:r>
      <w:r>
        <w:rPr>
          <w:color w:val="231F20"/>
          <w:spacing w:val="-7"/>
          <w:w w:val="105"/>
        </w:rPr>
        <w:t> </w:t>
      </w:r>
      <w:r>
        <w:rPr>
          <w:color w:val="231F20"/>
          <w:w w:val="105"/>
        </w:rPr>
        <w:t>per</w:t>
      </w:r>
      <w:r>
        <w:rPr>
          <w:color w:val="231F20"/>
          <w:spacing w:val="-7"/>
          <w:w w:val="105"/>
        </w:rPr>
        <w:t> </w:t>
      </w:r>
      <w:r>
        <w:rPr>
          <w:color w:val="231F20"/>
          <w:w w:val="105"/>
        </w:rPr>
        <w:t>la</w:t>
      </w:r>
      <w:r>
        <w:rPr>
          <w:color w:val="231F20"/>
          <w:spacing w:val="-7"/>
          <w:w w:val="105"/>
        </w:rPr>
        <w:t> </w:t>
      </w:r>
      <w:r>
        <w:rPr>
          <w:color w:val="231F20"/>
          <w:w w:val="105"/>
        </w:rPr>
        <w:t>loro mescolanza.</w:t>
      </w:r>
      <w:r>
        <w:rPr>
          <w:color w:val="231F20"/>
          <w:spacing w:val="-24"/>
          <w:w w:val="105"/>
        </w:rPr>
        <w:t> </w:t>
      </w:r>
      <w:r>
        <w:rPr>
          <w:color w:val="231F20"/>
          <w:w w:val="105"/>
        </w:rPr>
        <w:t>Per</w:t>
      </w:r>
      <w:r>
        <w:rPr>
          <w:color w:val="231F20"/>
          <w:spacing w:val="-24"/>
          <w:w w:val="105"/>
        </w:rPr>
        <w:t> </w:t>
      </w:r>
      <w:r>
        <w:rPr>
          <w:color w:val="231F20"/>
          <w:w w:val="105"/>
        </w:rPr>
        <w:t>il</w:t>
      </w:r>
      <w:r>
        <w:rPr>
          <w:color w:val="231F20"/>
          <w:spacing w:val="-24"/>
          <w:w w:val="105"/>
        </w:rPr>
        <w:t> </w:t>
      </w:r>
      <w:r>
        <w:rPr>
          <w:color w:val="231F20"/>
          <w:w w:val="105"/>
        </w:rPr>
        <w:t>contrario,</w:t>
      </w:r>
      <w:r>
        <w:rPr>
          <w:color w:val="231F20"/>
          <w:spacing w:val="-24"/>
          <w:w w:val="105"/>
        </w:rPr>
        <w:t> </w:t>
      </w:r>
      <w:r>
        <w:rPr>
          <w:color w:val="231F20"/>
          <w:w w:val="105"/>
        </w:rPr>
        <w:t>se</w:t>
      </w:r>
      <w:r>
        <w:rPr>
          <w:color w:val="231F20"/>
          <w:spacing w:val="-24"/>
          <w:w w:val="105"/>
        </w:rPr>
        <w:t> </w:t>
      </w:r>
      <w:r>
        <w:rPr>
          <w:color w:val="231F20"/>
          <w:w w:val="105"/>
        </w:rPr>
        <w:t>pensiamo</w:t>
      </w:r>
      <w:r>
        <w:rPr>
          <w:color w:val="231F20"/>
          <w:spacing w:val="-24"/>
          <w:w w:val="105"/>
        </w:rPr>
        <w:t> </w:t>
      </w:r>
      <w:r>
        <w:rPr>
          <w:color w:val="231F20"/>
          <w:w w:val="105"/>
        </w:rPr>
        <w:t>che</w:t>
      </w:r>
      <w:r>
        <w:rPr>
          <w:color w:val="231F20"/>
          <w:spacing w:val="-24"/>
          <w:w w:val="105"/>
        </w:rPr>
        <w:t> </w:t>
      </w:r>
      <w:r>
        <w:rPr>
          <w:color w:val="231F20"/>
          <w:w w:val="105"/>
        </w:rPr>
        <w:t>la</w:t>
      </w:r>
      <w:r>
        <w:rPr>
          <w:color w:val="231F20"/>
          <w:spacing w:val="-24"/>
          <w:w w:val="105"/>
        </w:rPr>
        <w:t> </w:t>
      </w:r>
      <w:r>
        <w:rPr>
          <w:color w:val="231F20"/>
          <w:w w:val="105"/>
        </w:rPr>
        <w:t>finalità</w:t>
      </w:r>
      <w:r>
        <w:rPr>
          <w:color w:val="231F20"/>
          <w:spacing w:val="-24"/>
          <w:w w:val="105"/>
        </w:rPr>
        <w:t> </w:t>
      </w:r>
      <w:r>
        <w:rPr>
          <w:color w:val="231F20"/>
          <w:w w:val="105"/>
        </w:rPr>
        <w:t>di</w:t>
      </w:r>
      <w:r>
        <w:rPr>
          <w:color w:val="231F20"/>
          <w:spacing w:val="-24"/>
          <w:w w:val="105"/>
        </w:rPr>
        <w:t> </w:t>
      </w:r>
      <w:r>
        <w:rPr>
          <w:color w:val="231F20"/>
          <w:w w:val="105"/>
        </w:rPr>
        <w:t>un</w:t>
      </w:r>
      <w:r>
        <w:rPr>
          <w:color w:val="231F20"/>
          <w:spacing w:val="-24"/>
          <w:w w:val="105"/>
        </w:rPr>
        <w:t> </w:t>
      </w:r>
      <w:r>
        <w:rPr>
          <w:color w:val="231F20"/>
          <w:w w:val="105"/>
        </w:rPr>
        <w:t>paradosso</w:t>
      </w:r>
      <w:r>
        <w:rPr>
          <w:color w:val="231F20"/>
          <w:spacing w:val="-24"/>
          <w:w w:val="105"/>
        </w:rPr>
        <w:t> </w:t>
      </w:r>
      <w:r>
        <w:rPr>
          <w:color w:val="231F20"/>
          <w:w w:val="105"/>
        </w:rPr>
        <w:t>è produrre</w:t>
      </w:r>
      <w:r>
        <w:rPr>
          <w:color w:val="231F20"/>
          <w:spacing w:val="-40"/>
          <w:w w:val="105"/>
        </w:rPr>
        <w:t> </w:t>
      </w:r>
      <w:r>
        <w:rPr>
          <w:color w:val="231F20"/>
          <w:w w:val="105"/>
        </w:rPr>
        <w:t>ibridi,</w:t>
      </w:r>
      <w:r>
        <w:rPr>
          <w:color w:val="231F20"/>
          <w:spacing w:val="-40"/>
          <w:w w:val="105"/>
        </w:rPr>
        <w:t> </w:t>
      </w:r>
      <w:r>
        <w:rPr>
          <w:color w:val="231F20"/>
          <w:w w:val="105"/>
        </w:rPr>
        <w:t>siamo</w:t>
      </w:r>
      <w:r>
        <w:rPr>
          <w:color w:val="231F20"/>
          <w:spacing w:val="-40"/>
          <w:w w:val="105"/>
        </w:rPr>
        <w:t> </w:t>
      </w:r>
      <w:r>
        <w:rPr>
          <w:color w:val="231F20"/>
          <w:w w:val="105"/>
        </w:rPr>
        <w:t>davanti</w:t>
      </w:r>
      <w:r>
        <w:rPr>
          <w:color w:val="231F20"/>
          <w:spacing w:val="-40"/>
          <w:w w:val="105"/>
        </w:rPr>
        <w:t> </w:t>
      </w:r>
      <w:r>
        <w:rPr>
          <w:color w:val="231F20"/>
          <w:w w:val="105"/>
        </w:rPr>
        <w:t>ad</w:t>
      </w:r>
      <w:r>
        <w:rPr>
          <w:color w:val="231F20"/>
          <w:spacing w:val="-40"/>
          <w:w w:val="105"/>
        </w:rPr>
        <w:t> </w:t>
      </w:r>
      <w:r>
        <w:rPr>
          <w:color w:val="231F20"/>
          <w:w w:val="105"/>
        </w:rPr>
        <w:t>una</w:t>
      </w:r>
      <w:r>
        <w:rPr>
          <w:color w:val="231F20"/>
          <w:spacing w:val="-40"/>
          <w:w w:val="105"/>
        </w:rPr>
        <w:t> </w:t>
      </w:r>
      <w:r>
        <w:rPr>
          <w:color w:val="231F20"/>
          <w:w w:val="105"/>
        </w:rPr>
        <w:t>aporia</w:t>
      </w:r>
      <w:r>
        <w:rPr>
          <w:color w:val="231F20"/>
          <w:spacing w:val="-40"/>
          <w:w w:val="105"/>
        </w:rPr>
        <w:t> </w:t>
      </w:r>
      <w:r>
        <w:rPr>
          <w:color w:val="231F20"/>
          <w:w w:val="105"/>
        </w:rPr>
        <w:t>fittizia,</w:t>
      </w:r>
      <w:r>
        <w:rPr>
          <w:color w:val="231F20"/>
          <w:spacing w:val="-40"/>
          <w:w w:val="105"/>
        </w:rPr>
        <w:t> </w:t>
      </w:r>
      <w:r>
        <w:rPr>
          <w:color w:val="231F20"/>
          <w:w w:val="105"/>
        </w:rPr>
        <w:t>qui</w:t>
      </w:r>
      <w:r>
        <w:rPr>
          <w:color w:val="231F20"/>
          <w:spacing w:val="-40"/>
          <w:w w:val="105"/>
        </w:rPr>
        <w:t> </w:t>
      </w:r>
      <w:r>
        <w:rPr>
          <w:color w:val="231F20"/>
          <w:w w:val="105"/>
        </w:rPr>
        <w:t>gli</w:t>
      </w:r>
      <w:r>
        <w:rPr>
          <w:color w:val="231F20"/>
          <w:spacing w:val="-40"/>
          <w:w w:val="105"/>
        </w:rPr>
        <w:t> </w:t>
      </w:r>
      <w:r>
        <w:rPr>
          <w:color w:val="231F20"/>
          <w:w w:val="105"/>
        </w:rPr>
        <w:t>opposti</w:t>
      </w:r>
      <w:r>
        <w:rPr>
          <w:color w:val="231F20"/>
          <w:spacing w:val="-40"/>
          <w:w w:val="105"/>
        </w:rPr>
        <w:t> </w:t>
      </w:r>
      <w:r>
        <w:rPr>
          <w:color w:val="231F20"/>
          <w:w w:val="105"/>
        </w:rPr>
        <w:t>finiscono per</w:t>
      </w:r>
      <w:r>
        <w:rPr>
          <w:color w:val="231F20"/>
          <w:spacing w:val="-46"/>
          <w:w w:val="105"/>
        </w:rPr>
        <w:t> </w:t>
      </w:r>
      <w:r>
        <w:rPr>
          <w:color w:val="231F20"/>
          <w:w w:val="105"/>
        </w:rPr>
        <w:t>diventare</w:t>
      </w:r>
      <w:r>
        <w:rPr>
          <w:color w:val="231F20"/>
          <w:spacing w:val="-46"/>
          <w:w w:val="105"/>
        </w:rPr>
        <w:t> </w:t>
      </w:r>
      <w:r>
        <w:rPr>
          <w:color w:val="231F20"/>
          <w:w w:val="105"/>
        </w:rPr>
        <w:t>omogenei,</w:t>
      </w:r>
      <w:r>
        <w:rPr>
          <w:color w:val="231F20"/>
          <w:spacing w:val="-46"/>
          <w:w w:val="105"/>
        </w:rPr>
        <w:t> </w:t>
      </w:r>
      <w:r>
        <w:rPr>
          <w:color w:val="231F20"/>
          <w:w w:val="105"/>
        </w:rPr>
        <w:t>sia</w:t>
      </w:r>
      <w:r>
        <w:rPr>
          <w:color w:val="231F20"/>
          <w:spacing w:val="-46"/>
          <w:w w:val="105"/>
        </w:rPr>
        <w:t> </w:t>
      </w:r>
      <w:r>
        <w:rPr>
          <w:color w:val="231F20"/>
          <w:w w:val="105"/>
        </w:rPr>
        <w:t>perchè</w:t>
      </w:r>
      <w:r>
        <w:rPr>
          <w:color w:val="231F20"/>
          <w:spacing w:val="-46"/>
          <w:w w:val="105"/>
        </w:rPr>
        <w:t> </w:t>
      </w:r>
      <w:r>
        <w:rPr>
          <w:color w:val="231F20"/>
          <w:w w:val="105"/>
        </w:rPr>
        <w:t>uno</w:t>
      </w:r>
      <w:r>
        <w:rPr>
          <w:color w:val="231F20"/>
          <w:spacing w:val="-46"/>
          <w:w w:val="105"/>
        </w:rPr>
        <w:t> </w:t>
      </w:r>
      <w:r>
        <w:rPr>
          <w:color w:val="231F20"/>
          <w:w w:val="105"/>
        </w:rPr>
        <w:t>deriva</w:t>
      </w:r>
      <w:r>
        <w:rPr>
          <w:color w:val="231F20"/>
          <w:spacing w:val="-46"/>
          <w:w w:val="105"/>
        </w:rPr>
        <w:t> </w:t>
      </w:r>
      <w:r>
        <w:rPr>
          <w:color w:val="231F20"/>
          <w:w w:val="105"/>
        </w:rPr>
        <w:t>dall’altro,</w:t>
      </w:r>
      <w:r>
        <w:rPr>
          <w:color w:val="231F20"/>
          <w:spacing w:val="-46"/>
          <w:w w:val="105"/>
        </w:rPr>
        <w:t> </w:t>
      </w:r>
      <w:r>
        <w:rPr>
          <w:color w:val="231F20"/>
          <w:w w:val="105"/>
        </w:rPr>
        <w:t>sia</w:t>
      </w:r>
      <w:r>
        <w:rPr>
          <w:color w:val="231F20"/>
          <w:spacing w:val="-46"/>
          <w:w w:val="105"/>
        </w:rPr>
        <w:t> </w:t>
      </w:r>
      <w:r>
        <w:rPr>
          <w:color w:val="231F20"/>
          <w:w w:val="105"/>
        </w:rPr>
        <w:t>perchè</w:t>
      </w:r>
      <w:r>
        <w:rPr>
          <w:color w:val="231F20"/>
          <w:spacing w:val="-46"/>
          <w:w w:val="105"/>
        </w:rPr>
        <w:t> </w:t>
      </w:r>
      <w:r>
        <w:rPr>
          <w:color w:val="231F20"/>
          <w:w w:val="105"/>
        </w:rPr>
        <w:t>emerge come</w:t>
      </w:r>
      <w:r>
        <w:rPr>
          <w:color w:val="231F20"/>
          <w:spacing w:val="-37"/>
          <w:w w:val="105"/>
        </w:rPr>
        <w:t> </w:t>
      </w:r>
      <w:r>
        <w:rPr>
          <w:color w:val="231F20"/>
          <w:w w:val="105"/>
        </w:rPr>
        <w:t>una</w:t>
      </w:r>
      <w:r>
        <w:rPr>
          <w:color w:val="231F20"/>
          <w:spacing w:val="-37"/>
          <w:w w:val="105"/>
        </w:rPr>
        <w:t> </w:t>
      </w:r>
      <w:r>
        <w:rPr>
          <w:color w:val="231F20"/>
          <w:w w:val="105"/>
        </w:rPr>
        <w:t>mera</w:t>
      </w:r>
      <w:r>
        <w:rPr>
          <w:color w:val="231F20"/>
          <w:spacing w:val="-37"/>
          <w:w w:val="105"/>
        </w:rPr>
        <w:t> </w:t>
      </w:r>
      <w:r>
        <w:rPr>
          <w:color w:val="231F20"/>
          <w:w w:val="105"/>
        </w:rPr>
        <w:t>reazione</w:t>
      </w:r>
      <w:r>
        <w:rPr>
          <w:color w:val="231F20"/>
          <w:spacing w:val="-37"/>
          <w:w w:val="105"/>
        </w:rPr>
        <w:t> </w:t>
      </w:r>
      <w:r>
        <w:rPr>
          <w:color w:val="231F20"/>
          <w:w w:val="105"/>
        </w:rPr>
        <w:t>di</w:t>
      </w:r>
      <w:r>
        <w:rPr>
          <w:color w:val="231F20"/>
          <w:spacing w:val="-37"/>
          <w:w w:val="105"/>
        </w:rPr>
        <w:t> </w:t>
      </w:r>
      <w:r>
        <w:rPr>
          <w:color w:val="231F20"/>
          <w:w w:val="105"/>
        </w:rPr>
        <w:t>fronte</w:t>
      </w:r>
      <w:r>
        <w:rPr>
          <w:color w:val="231F20"/>
          <w:spacing w:val="-37"/>
          <w:w w:val="105"/>
        </w:rPr>
        <w:t> </w:t>
      </w:r>
      <w:r>
        <w:rPr>
          <w:color w:val="231F20"/>
          <w:w w:val="105"/>
        </w:rPr>
        <w:t>all’altro,</w:t>
      </w:r>
      <w:r>
        <w:rPr>
          <w:color w:val="231F20"/>
          <w:spacing w:val="-37"/>
          <w:w w:val="105"/>
        </w:rPr>
        <w:t> </w:t>
      </w:r>
      <w:r>
        <w:rPr>
          <w:color w:val="231F20"/>
          <w:w w:val="105"/>
        </w:rPr>
        <w:t>sia</w:t>
      </w:r>
      <w:r>
        <w:rPr>
          <w:color w:val="231F20"/>
          <w:spacing w:val="-37"/>
          <w:w w:val="105"/>
        </w:rPr>
        <w:t> </w:t>
      </w:r>
      <w:r>
        <w:rPr>
          <w:color w:val="231F20"/>
          <w:w w:val="105"/>
        </w:rPr>
        <w:t>perchè</w:t>
      </w:r>
      <w:r>
        <w:rPr>
          <w:color w:val="231F20"/>
          <w:spacing w:val="-37"/>
          <w:w w:val="105"/>
        </w:rPr>
        <w:t> </w:t>
      </w:r>
      <w:r>
        <w:rPr>
          <w:color w:val="231F20"/>
          <w:w w:val="105"/>
        </w:rPr>
        <w:t>si</w:t>
      </w:r>
      <w:r>
        <w:rPr>
          <w:color w:val="231F20"/>
          <w:spacing w:val="-37"/>
          <w:w w:val="105"/>
        </w:rPr>
        <w:t> </w:t>
      </w:r>
      <w:r>
        <w:rPr>
          <w:color w:val="231F20"/>
          <w:w w:val="105"/>
        </w:rPr>
        <w:t>mescola</w:t>
      </w:r>
      <w:r>
        <w:rPr>
          <w:color w:val="231F20"/>
          <w:spacing w:val="-37"/>
          <w:w w:val="105"/>
        </w:rPr>
        <w:t> </w:t>
      </w:r>
      <w:r>
        <w:rPr>
          <w:color w:val="231F20"/>
          <w:w w:val="105"/>
        </w:rPr>
        <w:t>con</w:t>
      </w:r>
      <w:r>
        <w:rPr>
          <w:color w:val="231F20"/>
          <w:spacing w:val="-37"/>
          <w:w w:val="105"/>
        </w:rPr>
        <w:t> </w:t>
      </w:r>
      <w:r>
        <w:rPr>
          <w:color w:val="231F20"/>
          <w:w w:val="105"/>
        </w:rPr>
        <w:t>l’altro. Un paradosso fittizio finisce per riconciliare gli opposti una volta che gli ha</w:t>
      </w:r>
      <w:r>
        <w:rPr>
          <w:color w:val="231F20"/>
          <w:spacing w:val="-18"/>
          <w:w w:val="105"/>
        </w:rPr>
        <w:t> </w:t>
      </w:r>
      <w:r>
        <w:rPr>
          <w:color w:val="231F20"/>
          <w:w w:val="105"/>
        </w:rPr>
        <w:t>nominati,</w:t>
      </w:r>
      <w:r>
        <w:rPr>
          <w:color w:val="231F20"/>
          <w:spacing w:val="-18"/>
          <w:w w:val="105"/>
        </w:rPr>
        <w:t> </w:t>
      </w:r>
      <w:r>
        <w:rPr>
          <w:color w:val="231F20"/>
          <w:w w:val="105"/>
        </w:rPr>
        <w:t>invece,</w:t>
      </w:r>
      <w:r>
        <w:rPr>
          <w:color w:val="231F20"/>
          <w:spacing w:val="-18"/>
          <w:w w:val="105"/>
        </w:rPr>
        <w:t> </w:t>
      </w:r>
      <w:r>
        <w:rPr>
          <w:color w:val="231F20"/>
          <w:w w:val="105"/>
        </w:rPr>
        <w:t>un</w:t>
      </w:r>
      <w:r>
        <w:rPr>
          <w:color w:val="231F20"/>
          <w:spacing w:val="-18"/>
          <w:w w:val="105"/>
        </w:rPr>
        <w:t> </w:t>
      </w:r>
      <w:r>
        <w:rPr>
          <w:color w:val="231F20"/>
          <w:w w:val="105"/>
        </w:rPr>
        <w:t>paradosso</w:t>
      </w:r>
      <w:r>
        <w:rPr>
          <w:color w:val="231F20"/>
          <w:spacing w:val="-18"/>
          <w:w w:val="105"/>
        </w:rPr>
        <w:t> </w:t>
      </w:r>
      <w:r>
        <w:rPr>
          <w:color w:val="231F20"/>
          <w:w w:val="105"/>
        </w:rPr>
        <w:t>radicale</w:t>
      </w:r>
      <w:r>
        <w:rPr>
          <w:color w:val="231F20"/>
          <w:spacing w:val="-18"/>
          <w:w w:val="105"/>
        </w:rPr>
        <w:t> </w:t>
      </w:r>
      <w:r>
        <w:rPr>
          <w:color w:val="231F20"/>
          <w:w w:val="105"/>
        </w:rPr>
        <w:t>afferma</w:t>
      </w:r>
      <w:r>
        <w:rPr>
          <w:color w:val="231F20"/>
          <w:spacing w:val="-18"/>
          <w:w w:val="105"/>
        </w:rPr>
        <w:t> </w:t>
      </w:r>
      <w:r>
        <w:rPr>
          <w:color w:val="231F20"/>
          <w:w w:val="105"/>
        </w:rPr>
        <w:t>la</w:t>
      </w:r>
      <w:r>
        <w:rPr>
          <w:color w:val="231F20"/>
          <w:spacing w:val="-18"/>
          <w:w w:val="105"/>
        </w:rPr>
        <w:t> </w:t>
      </w:r>
      <w:r>
        <w:rPr>
          <w:color w:val="231F20"/>
          <w:w w:val="105"/>
        </w:rPr>
        <w:t>differenza</w:t>
      </w:r>
      <w:r>
        <w:rPr>
          <w:color w:val="231F20"/>
          <w:spacing w:val="-18"/>
          <w:w w:val="105"/>
        </w:rPr>
        <w:t> </w:t>
      </w:r>
      <w:r>
        <w:rPr>
          <w:color w:val="231F20"/>
          <w:w w:val="105"/>
        </w:rPr>
        <w:t>dei</w:t>
      </w:r>
      <w:r>
        <w:rPr>
          <w:color w:val="231F20"/>
          <w:spacing w:val="-18"/>
          <w:w w:val="105"/>
        </w:rPr>
        <w:t> </w:t>
      </w:r>
      <w:r>
        <w:rPr>
          <w:color w:val="231F20"/>
          <w:w w:val="105"/>
        </w:rPr>
        <w:t>suoi elementi,</w:t>
      </w:r>
      <w:r>
        <w:rPr>
          <w:color w:val="231F20"/>
          <w:spacing w:val="-23"/>
          <w:w w:val="105"/>
        </w:rPr>
        <w:t> </w:t>
      </w:r>
      <w:r>
        <w:rPr>
          <w:color w:val="231F20"/>
          <w:w w:val="105"/>
        </w:rPr>
        <w:t>ma</w:t>
      </w:r>
      <w:r>
        <w:rPr>
          <w:color w:val="231F20"/>
          <w:spacing w:val="-23"/>
          <w:w w:val="105"/>
        </w:rPr>
        <w:t> </w:t>
      </w:r>
      <w:r>
        <w:rPr>
          <w:color w:val="231F20"/>
          <w:w w:val="105"/>
        </w:rPr>
        <w:t>senza</w:t>
      </w:r>
      <w:r>
        <w:rPr>
          <w:color w:val="231F20"/>
          <w:spacing w:val="-23"/>
          <w:w w:val="105"/>
        </w:rPr>
        <w:t> </w:t>
      </w:r>
      <w:r>
        <w:rPr>
          <w:color w:val="231F20"/>
          <w:w w:val="105"/>
        </w:rPr>
        <w:t>ridurre</w:t>
      </w:r>
      <w:r>
        <w:rPr>
          <w:color w:val="231F20"/>
          <w:spacing w:val="-23"/>
          <w:w w:val="105"/>
        </w:rPr>
        <w:t> </w:t>
      </w:r>
      <w:r>
        <w:rPr>
          <w:color w:val="231F20"/>
          <w:w w:val="105"/>
        </w:rPr>
        <w:t>uno</w:t>
      </w:r>
      <w:r>
        <w:rPr>
          <w:color w:val="231F20"/>
          <w:spacing w:val="-23"/>
          <w:w w:val="105"/>
        </w:rPr>
        <w:t> </w:t>
      </w:r>
      <w:r>
        <w:rPr>
          <w:color w:val="231F20"/>
          <w:w w:val="105"/>
        </w:rPr>
        <w:t>all’altro.</w:t>
      </w:r>
      <w:r>
        <w:rPr>
          <w:color w:val="231F20"/>
          <w:spacing w:val="-23"/>
          <w:w w:val="105"/>
        </w:rPr>
        <w:t> </w:t>
      </w:r>
      <w:r>
        <w:rPr>
          <w:color w:val="231F20"/>
          <w:spacing w:val="-4"/>
          <w:w w:val="105"/>
        </w:rPr>
        <w:t>L’idea,</w:t>
      </w:r>
      <w:r>
        <w:rPr>
          <w:color w:val="231F20"/>
          <w:spacing w:val="-23"/>
          <w:w w:val="105"/>
        </w:rPr>
        <w:t> </w:t>
      </w:r>
      <w:r>
        <w:rPr>
          <w:color w:val="231F20"/>
          <w:w w:val="105"/>
        </w:rPr>
        <w:t>ad</w:t>
      </w:r>
      <w:r>
        <w:rPr>
          <w:color w:val="231F20"/>
          <w:spacing w:val="-23"/>
          <w:w w:val="105"/>
        </w:rPr>
        <w:t> </w:t>
      </w:r>
      <w:r>
        <w:rPr>
          <w:color w:val="231F20"/>
          <w:w w:val="105"/>
        </w:rPr>
        <w:t>esempio,</w:t>
      </w:r>
      <w:r>
        <w:rPr>
          <w:color w:val="231F20"/>
          <w:spacing w:val="-23"/>
          <w:w w:val="105"/>
        </w:rPr>
        <w:t> </w:t>
      </w:r>
      <w:r>
        <w:rPr>
          <w:color w:val="231F20"/>
          <w:w w:val="105"/>
        </w:rPr>
        <w:t>che</w:t>
      </w:r>
      <w:r>
        <w:rPr>
          <w:color w:val="231F20"/>
          <w:spacing w:val="-23"/>
          <w:w w:val="105"/>
        </w:rPr>
        <w:t> </w:t>
      </w:r>
      <w:r>
        <w:rPr>
          <w:color w:val="231F20"/>
          <w:w w:val="105"/>
        </w:rPr>
        <w:t>il</w:t>
      </w:r>
      <w:r>
        <w:rPr>
          <w:color w:val="231F20"/>
          <w:spacing w:val="-23"/>
          <w:w w:val="105"/>
        </w:rPr>
        <w:t> </w:t>
      </w:r>
      <w:r>
        <w:rPr>
          <w:color w:val="231F20"/>
          <w:w w:val="105"/>
        </w:rPr>
        <w:t>locale</w:t>
      </w:r>
      <w:r>
        <w:rPr>
          <w:color w:val="231F20"/>
          <w:spacing w:val="-24"/>
          <w:w w:val="105"/>
        </w:rPr>
        <w:t> </w:t>
      </w:r>
      <w:r>
        <w:rPr>
          <w:color w:val="231F20"/>
          <w:w w:val="105"/>
        </w:rPr>
        <w:t>è </w:t>
      </w:r>
      <w:r>
        <w:rPr>
          <w:color w:val="231F20"/>
          <w:spacing w:val="-3"/>
          <w:w w:val="105"/>
        </w:rPr>
        <w:t>finalmente</w:t>
      </w:r>
      <w:r>
        <w:rPr>
          <w:color w:val="231F20"/>
          <w:spacing w:val="-37"/>
          <w:w w:val="105"/>
        </w:rPr>
        <w:t> </w:t>
      </w:r>
      <w:r>
        <w:rPr>
          <w:color w:val="231F20"/>
          <w:spacing w:val="-3"/>
          <w:w w:val="105"/>
        </w:rPr>
        <w:t>prodotto</w:t>
      </w:r>
      <w:r>
        <w:rPr>
          <w:color w:val="231F20"/>
          <w:spacing w:val="-37"/>
          <w:w w:val="105"/>
        </w:rPr>
        <w:t> </w:t>
      </w:r>
      <w:r>
        <w:rPr>
          <w:color w:val="231F20"/>
          <w:w w:val="105"/>
        </w:rPr>
        <w:t>per</w:t>
      </w:r>
      <w:r>
        <w:rPr>
          <w:color w:val="231F20"/>
          <w:spacing w:val="-37"/>
          <w:w w:val="105"/>
        </w:rPr>
        <w:t> </w:t>
      </w:r>
      <w:r>
        <w:rPr>
          <w:color w:val="231F20"/>
          <w:w w:val="105"/>
        </w:rPr>
        <w:t>il</w:t>
      </w:r>
      <w:r>
        <w:rPr>
          <w:color w:val="231F20"/>
          <w:spacing w:val="-37"/>
          <w:w w:val="105"/>
        </w:rPr>
        <w:t> </w:t>
      </w:r>
      <w:r>
        <w:rPr>
          <w:color w:val="231F20"/>
          <w:spacing w:val="-3"/>
          <w:w w:val="105"/>
        </w:rPr>
        <w:t>globale</w:t>
      </w:r>
      <w:r>
        <w:rPr>
          <w:color w:val="231F20"/>
          <w:spacing w:val="-37"/>
          <w:w w:val="105"/>
        </w:rPr>
        <w:t> </w:t>
      </w:r>
      <w:r>
        <w:rPr>
          <w:color w:val="231F20"/>
          <w:spacing w:val="-3"/>
          <w:w w:val="105"/>
        </w:rPr>
        <w:t>condivide</w:t>
      </w:r>
      <w:r>
        <w:rPr>
          <w:color w:val="231F20"/>
          <w:spacing w:val="-37"/>
          <w:w w:val="105"/>
        </w:rPr>
        <w:t> </w:t>
      </w:r>
      <w:r>
        <w:rPr>
          <w:color w:val="231F20"/>
          <w:spacing w:val="-3"/>
          <w:w w:val="105"/>
        </w:rPr>
        <w:t>quel</w:t>
      </w:r>
      <w:r>
        <w:rPr>
          <w:color w:val="231F20"/>
          <w:spacing w:val="-37"/>
          <w:w w:val="105"/>
        </w:rPr>
        <w:t> </w:t>
      </w:r>
      <w:r>
        <w:rPr>
          <w:color w:val="231F20"/>
          <w:spacing w:val="-3"/>
          <w:w w:val="105"/>
        </w:rPr>
        <w:t>conio,</w:t>
      </w:r>
      <w:r>
        <w:rPr>
          <w:color w:val="231F20"/>
          <w:spacing w:val="-37"/>
          <w:w w:val="105"/>
        </w:rPr>
        <w:t> </w:t>
      </w:r>
      <w:r>
        <w:rPr>
          <w:color w:val="231F20"/>
          <w:w w:val="105"/>
        </w:rPr>
        <w:t>non</w:t>
      </w:r>
      <w:r>
        <w:rPr>
          <w:color w:val="231F20"/>
          <w:spacing w:val="-37"/>
          <w:w w:val="105"/>
        </w:rPr>
        <w:t> </w:t>
      </w:r>
      <w:r>
        <w:rPr>
          <w:color w:val="231F20"/>
          <w:w w:val="105"/>
        </w:rPr>
        <w:t>ci</w:t>
      </w:r>
      <w:r>
        <w:rPr>
          <w:color w:val="231F20"/>
          <w:spacing w:val="-37"/>
          <w:w w:val="105"/>
        </w:rPr>
        <w:t> </w:t>
      </w:r>
      <w:r>
        <w:rPr>
          <w:color w:val="231F20"/>
          <w:spacing w:val="-3"/>
          <w:w w:val="105"/>
        </w:rPr>
        <w:t>lascia</w:t>
      </w:r>
      <w:r>
        <w:rPr>
          <w:color w:val="231F20"/>
          <w:spacing w:val="-37"/>
          <w:w w:val="105"/>
        </w:rPr>
        <w:t> </w:t>
      </w:r>
      <w:r>
        <w:rPr>
          <w:color w:val="231F20"/>
          <w:spacing w:val="-3"/>
          <w:w w:val="105"/>
        </w:rPr>
        <w:t>pensare </w:t>
      </w:r>
      <w:r>
        <w:rPr>
          <w:color w:val="231F20"/>
          <w:w w:val="105"/>
        </w:rPr>
        <w:t>alla</w:t>
      </w:r>
      <w:r>
        <w:rPr>
          <w:color w:val="231F20"/>
          <w:spacing w:val="-49"/>
          <w:w w:val="105"/>
        </w:rPr>
        <w:t> </w:t>
      </w:r>
      <w:r>
        <w:rPr>
          <w:color w:val="231F20"/>
          <w:w w:val="105"/>
        </w:rPr>
        <w:t>differenza,</w:t>
      </w:r>
      <w:r>
        <w:rPr>
          <w:color w:val="231F20"/>
          <w:spacing w:val="-49"/>
          <w:w w:val="105"/>
        </w:rPr>
        <w:t> </w:t>
      </w:r>
      <w:r>
        <w:rPr>
          <w:color w:val="231F20"/>
          <w:w w:val="105"/>
        </w:rPr>
        <w:t>cioè,</w:t>
      </w:r>
      <w:r>
        <w:rPr>
          <w:color w:val="231F20"/>
          <w:spacing w:val="-49"/>
          <w:w w:val="105"/>
        </w:rPr>
        <w:t> </w:t>
      </w:r>
      <w:r>
        <w:rPr>
          <w:color w:val="231F20"/>
          <w:w w:val="105"/>
        </w:rPr>
        <w:t>quale</w:t>
      </w:r>
      <w:r>
        <w:rPr>
          <w:color w:val="231F20"/>
          <w:spacing w:val="-49"/>
          <w:w w:val="105"/>
        </w:rPr>
        <w:t> </w:t>
      </w:r>
      <w:r>
        <w:rPr>
          <w:color w:val="231F20"/>
          <w:w w:val="105"/>
        </w:rPr>
        <w:t>forma</w:t>
      </w:r>
      <w:r>
        <w:rPr>
          <w:color w:val="231F20"/>
          <w:spacing w:val="-49"/>
          <w:w w:val="105"/>
        </w:rPr>
        <w:t> </w:t>
      </w:r>
      <w:r>
        <w:rPr>
          <w:color w:val="231F20"/>
          <w:w w:val="105"/>
        </w:rPr>
        <w:t>avrebbe</w:t>
      </w:r>
      <w:r>
        <w:rPr>
          <w:color w:val="231F20"/>
          <w:spacing w:val="-49"/>
          <w:w w:val="105"/>
        </w:rPr>
        <w:t> </w:t>
      </w:r>
      <w:r>
        <w:rPr>
          <w:color w:val="231F20"/>
          <w:w w:val="105"/>
        </w:rPr>
        <w:t>una</w:t>
      </w:r>
      <w:r>
        <w:rPr>
          <w:color w:val="231F20"/>
          <w:spacing w:val="-49"/>
          <w:w w:val="105"/>
        </w:rPr>
        <w:t> </w:t>
      </w:r>
      <w:r>
        <w:rPr>
          <w:color w:val="231F20"/>
          <w:w w:val="105"/>
        </w:rPr>
        <w:t>manifestazione</w:t>
      </w:r>
      <w:r>
        <w:rPr>
          <w:color w:val="231F20"/>
          <w:spacing w:val="-49"/>
          <w:w w:val="105"/>
        </w:rPr>
        <w:t> </w:t>
      </w:r>
      <w:r>
        <w:rPr>
          <w:color w:val="231F20"/>
          <w:w w:val="105"/>
        </w:rPr>
        <w:t>singola</w:t>
      </w:r>
      <w:r>
        <w:rPr>
          <w:color w:val="231F20"/>
          <w:spacing w:val="-49"/>
          <w:w w:val="105"/>
        </w:rPr>
        <w:t> </w:t>
      </w:r>
      <w:r>
        <w:rPr>
          <w:color w:val="231F20"/>
          <w:w w:val="105"/>
        </w:rPr>
        <w:t>senza dover</w:t>
      </w:r>
      <w:r>
        <w:rPr>
          <w:color w:val="231F20"/>
          <w:spacing w:val="-26"/>
          <w:w w:val="105"/>
        </w:rPr>
        <w:t> </w:t>
      </w:r>
      <w:r>
        <w:rPr>
          <w:color w:val="231F20"/>
          <w:w w:val="105"/>
        </w:rPr>
        <w:t>ridurla</w:t>
      </w:r>
      <w:r>
        <w:rPr>
          <w:color w:val="231F20"/>
          <w:spacing w:val="-26"/>
          <w:w w:val="105"/>
        </w:rPr>
        <w:t> </w:t>
      </w:r>
      <w:r>
        <w:rPr>
          <w:color w:val="231F20"/>
          <w:w w:val="105"/>
        </w:rPr>
        <w:t>al</w:t>
      </w:r>
      <w:r>
        <w:rPr>
          <w:color w:val="231F20"/>
          <w:spacing w:val="-26"/>
          <w:w w:val="105"/>
        </w:rPr>
        <w:t> </w:t>
      </w:r>
      <w:r>
        <w:rPr>
          <w:color w:val="231F20"/>
          <w:w w:val="105"/>
        </w:rPr>
        <w:t>globale</w:t>
      </w:r>
      <w:r>
        <w:rPr>
          <w:color w:val="231F20"/>
          <w:spacing w:val="-26"/>
          <w:w w:val="105"/>
        </w:rPr>
        <w:t> </w:t>
      </w:r>
      <w:r>
        <w:rPr>
          <w:color w:val="231F20"/>
          <w:w w:val="105"/>
        </w:rPr>
        <w:t>o</w:t>
      </w:r>
      <w:r>
        <w:rPr>
          <w:color w:val="231F20"/>
          <w:spacing w:val="-26"/>
          <w:w w:val="105"/>
        </w:rPr>
        <w:t> </w:t>
      </w:r>
      <w:r>
        <w:rPr>
          <w:color w:val="231F20"/>
          <w:w w:val="105"/>
        </w:rPr>
        <w:t>al</w:t>
      </w:r>
      <w:r>
        <w:rPr>
          <w:color w:val="231F20"/>
          <w:spacing w:val="-26"/>
          <w:w w:val="105"/>
        </w:rPr>
        <w:t> </w:t>
      </w:r>
      <w:r>
        <w:rPr>
          <w:color w:val="231F20"/>
          <w:w w:val="105"/>
        </w:rPr>
        <w:t>locale?</w:t>
      </w:r>
      <w:r>
        <w:rPr>
          <w:color w:val="231F20"/>
          <w:spacing w:val="-26"/>
          <w:w w:val="105"/>
        </w:rPr>
        <w:t> </w:t>
      </w:r>
      <w:r>
        <w:rPr>
          <w:color w:val="231F20"/>
          <w:w w:val="105"/>
        </w:rPr>
        <w:t>Ogni</w:t>
      </w:r>
      <w:r>
        <w:rPr>
          <w:color w:val="231F20"/>
          <w:spacing w:val="-26"/>
          <w:w w:val="105"/>
        </w:rPr>
        <w:t> </w:t>
      </w:r>
      <w:r>
        <w:rPr>
          <w:color w:val="231F20"/>
          <w:w w:val="105"/>
        </w:rPr>
        <w:t>differenza</w:t>
      </w:r>
      <w:r>
        <w:rPr>
          <w:color w:val="231F20"/>
          <w:spacing w:val="-26"/>
          <w:w w:val="105"/>
        </w:rPr>
        <w:t> </w:t>
      </w:r>
      <w:r>
        <w:rPr>
          <w:color w:val="231F20"/>
          <w:w w:val="105"/>
        </w:rPr>
        <w:t>deve</w:t>
      </w:r>
      <w:r>
        <w:rPr>
          <w:color w:val="231F20"/>
          <w:spacing w:val="-26"/>
          <w:w w:val="105"/>
        </w:rPr>
        <w:t> </w:t>
      </w:r>
      <w:r>
        <w:rPr>
          <w:color w:val="231F20"/>
          <w:w w:val="105"/>
        </w:rPr>
        <w:t>starci</w:t>
      </w:r>
      <w:r>
        <w:rPr>
          <w:color w:val="231F20"/>
          <w:spacing w:val="-26"/>
          <w:w w:val="105"/>
        </w:rPr>
        <w:t> </w:t>
      </w:r>
      <w:r>
        <w:rPr>
          <w:color w:val="231F20"/>
          <w:w w:val="105"/>
        </w:rPr>
        <w:t>in</w:t>
      </w:r>
      <w:r>
        <w:rPr>
          <w:color w:val="231F20"/>
          <w:spacing w:val="-26"/>
          <w:w w:val="105"/>
        </w:rPr>
        <w:t> </w:t>
      </w:r>
      <w:r>
        <w:rPr>
          <w:color w:val="231F20"/>
          <w:w w:val="105"/>
        </w:rPr>
        <w:t>alcuna</w:t>
      </w:r>
      <w:r>
        <w:rPr>
          <w:color w:val="231F20"/>
          <w:spacing w:val="-26"/>
          <w:w w:val="105"/>
        </w:rPr>
        <w:t> </w:t>
      </w:r>
      <w:r>
        <w:rPr>
          <w:color w:val="231F20"/>
          <w:w w:val="105"/>
        </w:rPr>
        <w:t>di queste</w:t>
      </w:r>
      <w:r>
        <w:rPr>
          <w:color w:val="231F20"/>
          <w:spacing w:val="-23"/>
          <w:w w:val="105"/>
        </w:rPr>
        <w:t> </w:t>
      </w:r>
      <w:r>
        <w:rPr>
          <w:color w:val="231F20"/>
          <w:w w:val="105"/>
        </w:rPr>
        <w:t>caselle?</w:t>
      </w:r>
      <w:r>
        <w:rPr>
          <w:color w:val="231F20"/>
          <w:spacing w:val="-23"/>
          <w:w w:val="105"/>
        </w:rPr>
        <w:t> </w:t>
      </w:r>
      <w:r>
        <w:rPr>
          <w:color w:val="231F20"/>
          <w:w w:val="105"/>
        </w:rPr>
        <w:t>Il</w:t>
      </w:r>
      <w:r>
        <w:rPr>
          <w:color w:val="231F20"/>
          <w:spacing w:val="-23"/>
          <w:w w:val="105"/>
        </w:rPr>
        <w:t> </w:t>
      </w:r>
      <w:r>
        <w:rPr>
          <w:color w:val="231F20"/>
          <w:w w:val="105"/>
        </w:rPr>
        <w:t>problema,</w:t>
      </w:r>
      <w:r>
        <w:rPr>
          <w:color w:val="231F20"/>
          <w:spacing w:val="-23"/>
          <w:w w:val="105"/>
        </w:rPr>
        <w:t> </w:t>
      </w:r>
      <w:r>
        <w:rPr>
          <w:color w:val="231F20"/>
          <w:w w:val="105"/>
        </w:rPr>
        <w:t>ad</w:t>
      </w:r>
      <w:r>
        <w:rPr>
          <w:color w:val="231F20"/>
          <w:spacing w:val="-23"/>
          <w:w w:val="105"/>
        </w:rPr>
        <w:t> </w:t>
      </w:r>
      <w:r>
        <w:rPr>
          <w:color w:val="231F20"/>
          <w:w w:val="105"/>
        </w:rPr>
        <w:t>esempio,</w:t>
      </w:r>
      <w:r>
        <w:rPr>
          <w:color w:val="231F20"/>
          <w:spacing w:val="-23"/>
          <w:w w:val="105"/>
        </w:rPr>
        <w:t> </w:t>
      </w:r>
      <w:r>
        <w:rPr>
          <w:color w:val="231F20"/>
          <w:w w:val="105"/>
        </w:rPr>
        <w:t>con</w:t>
      </w:r>
      <w:r>
        <w:rPr>
          <w:color w:val="231F20"/>
          <w:spacing w:val="-23"/>
          <w:w w:val="105"/>
        </w:rPr>
        <w:t> </w:t>
      </w:r>
      <w:r>
        <w:rPr>
          <w:color w:val="231F20"/>
          <w:w w:val="105"/>
        </w:rPr>
        <w:t>la</w:t>
      </w:r>
      <w:r>
        <w:rPr>
          <w:color w:val="231F20"/>
          <w:spacing w:val="-23"/>
          <w:w w:val="105"/>
        </w:rPr>
        <w:t> </w:t>
      </w:r>
      <w:r>
        <w:rPr>
          <w:rFonts w:ascii="Arial" w:hAnsi="Arial"/>
          <w:i/>
          <w:color w:val="231F20"/>
          <w:w w:val="105"/>
        </w:rPr>
        <w:t>jihadizazzione,</w:t>
      </w:r>
      <w:r>
        <w:rPr>
          <w:rFonts w:ascii="Arial" w:hAnsi="Arial"/>
          <w:i/>
          <w:color w:val="231F20"/>
          <w:spacing w:val="-15"/>
          <w:w w:val="105"/>
        </w:rPr>
        <w:t> </w:t>
      </w:r>
      <w:r>
        <w:rPr>
          <w:color w:val="231F20"/>
          <w:w w:val="105"/>
        </w:rPr>
        <w:t>è</w:t>
      </w:r>
      <w:r>
        <w:rPr>
          <w:color w:val="231F20"/>
          <w:spacing w:val="-23"/>
          <w:w w:val="105"/>
        </w:rPr>
        <w:t> </w:t>
      </w:r>
      <w:r>
        <w:rPr>
          <w:color w:val="231F20"/>
          <w:w w:val="105"/>
        </w:rPr>
        <w:t>che</w:t>
      </w:r>
      <w:r>
        <w:rPr>
          <w:color w:val="231F20"/>
          <w:spacing w:val="-23"/>
          <w:w w:val="105"/>
        </w:rPr>
        <w:t> </w:t>
      </w:r>
      <w:r>
        <w:rPr>
          <w:color w:val="231F20"/>
          <w:w w:val="105"/>
        </w:rPr>
        <w:t>non </w:t>
      </w:r>
      <w:r>
        <w:rPr>
          <w:color w:val="231F20"/>
          <w:spacing w:val="-3"/>
          <w:w w:val="105"/>
        </w:rPr>
        <w:t>troviamo</w:t>
      </w:r>
      <w:r>
        <w:rPr>
          <w:color w:val="231F20"/>
          <w:spacing w:val="-47"/>
          <w:w w:val="105"/>
        </w:rPr>
        <w:t> </w:t>
      </w:r>
      <w:r>
        <w:rPr>
          <w:color w:val="231F20"/>
          <w:w w:val="105"/>
        </w:rPr>
        <w:t>in</w:t>
      </w:r>
      <w:r>
        <w:rPr>
          <w:color w:val="231F20"/>
          <w:spacing w:val="-47"/>
          <w:w w:val="105"/>
        </w:rPr>
        <w:t> </w:t>
      </w:r>
      <w:r>
        <w:rPr>
          <w:color w:val="231F20"/>
          <w:w w:val="105"/>
        </w:rPr>
        <w:t>essa</w:t>
      </w:r>
      <w:r>
        <w:rPr>
          <w:color w:val="231F20"/>
          <w:spacing w:val="-47"/>
          <w:w w:val="105"/>
        </w:rPr>
        <w:t> </w:t>
      </w:r>
      <w:r>
        <w:rPr>
          <w:color w:val="231F20"/>
          <w:w w:val="105"/>
        </w:rPr>
        <w:t>una</w:t>
      </w:r>
      <w:r>
        <w:rPr>
          <w:color w:val="231F20"/>
          <w:spacing w:val="-47"/>
          <w:w w:val="105"/>
        </w:rPr>
        <w:t> </w:t>
      </w:r>
      <w:r>
        <w:rPr>
          <w:color w:val="231F20"/>
          <w:w w:val="105"/>
        </w:rPr>
        <w:t>vera</w:t>
      </w:r>
      <w:r>
        <w:rPr>
          <w:color w:val="231F20"/>
          <w:spacing w:val="-47"/>
          <w:w w:val="105"/>
        </w:rPr>
        <w:t> </w:t>
      </w:r>
      <w:r>
        <w:rPr>
          <w:color w:val="231F20"/>
          <w:spacing w:val="-3"/>
          <w:w w:val="105"/>
        </w:rPr>
        <w:t>differenza,</w:t>
      </w:r>
      <w:r>
        <w:rPr>
          <w:color w:val="231F20"/>
          <w:spacing w:val="-47"/>
          <w:w w:val="105"/>
        </w:rPr>
        <w:t> </w:t>
      </w:r>
      <w:r>
        <w:rPr>
          <w:color w:val="231F20"/>
          <w:spacing w:val="-3"/>
          <w:w w:val="105"/>
        </w:rPr>
        <w:t>perchè</w:t>
      </w:r>
      <w:r>
        <w:rPr>
          <w:color w:val="231F20"/>
          <w:spacing w:val="-47"/>
          <w:w w:val="105"/>
        </w:rPr>
        <w:t> </w:t>
      </w:r>
      <w:r>
        <w:rPr>
          <w:color w:val="231F20"/>
          <w:w w:val="105"/>
        </w:rPr>
        <w:t>la</w:t>
      </w:r>
      <w:r>
        <w:rPr>
          <w:color w:val="231F20"/>
          <w:spacing w:val="-47"/>
          <w:w w:val="105"/>
        </w:rPr>
        <w:t> </w:t>
      </w:r>
      <w:r>
        <w:rPr>
          <w:color w:val="231F20"/>
          <w:w w:val="105"/>
        </w:rPr>
        <w:t>sua</w:t>
      </w:r>
      <w:r>
        <w:rPr>
          <w:color w:val="231F20"/>
          <w:spacing w:val="-47"/>
          <w:w w:val="105"/>
        </w:rPr>
        <w:t> </w:t>
      </w:r>
      <w:r>
        <w:rPr>
          <w:color w:val="231F20"/>
          <w:w w:val="105"/>
        </w:rPr>
        <w:t>ragione</w:t>
      </w:r>
      <w:r>
        <w:rPr>
          <w:color w:val="231F20"/>
          <w:spacing w:val="-47"/>
          <w:w w:val="105"/>
        </w:rPr>
        <w:t> </w:t>
      </w:r>
      <w:r>
        <w:rPr>
          <w:color w:val="231F20"/>
          <w:w w:val="105"/>
        </w:rPr>
        <w:t>di</w:t>
      </w:r>
      <w:r>
        <w:rPr>
          <w:color w:val="231F20"/>
          <w:spacing w:val="-47"/>
          <w:w w:val="105"/>
        </w:rPr>
        <w:t> </w:t>
      </w:r>
      <w:r>
        <w:rPr>
          <w:color w:val="231F20"/>
          <w:spacing w:val="-3"/>
          <w:w w:val="105"/>
        </w:rPr>
        <w:t>essere</w:t>
      </w:r>
      <w:r>
        <w:rPr>
          <w:color w:val="231F20"/>
          <w:spacing w:val="-47"/>
          <w:w w:val="105"/>
        </w:rPr>
        <w:t> </w:t>
      </w:r>
      <w:r>
        <w:rPr>
          <w:color w:val="231F20"/>
          <w:w w:val="105"/>
        </w:rPr>
        <w:t>è</w:t>
      </w:r>
      <w:r>
        <w:rPr>
          <w:color w:val="231F20"/>
          <w:spacing w:val="-47"/>
          <w:w w:val="105"/>
        </w:rPr>
        <w:t> </w:t>
      </w:r>
      <w:r>
        <w:rPr>
          <w:color w:val="231F20"/>
          <w:w w:val="105"/>
        </w:rPr>
        <w:t>lottare contro</w:t>
      </w:r>
      <w:r>
        <w:rPr>
          <w:color w:val="231F20"/>
          <w:spacing w:val="-29"/>
          <w:w w:val="105"/>
        </w:rPr>
        <w:t> </w:t>
      </w:r>
      <w:r>
        <w:rPr>
          <w:color w:val="231F20"/>
          <w:w w:val="105"/>
        </w:rPr>
        <w:t>Occidente</w:t>
      </w:r>
      <w:r>
        <w:rPr>
          <w:color w:val="231F20"/>
          <w:spacing w:val="-29"/>
          <w:w w:val="105"/>
        </w:rPr>
        <w:t> </w:t>
      </w:r>
      <w:r>
        <w:rPr>
          <w:color w:val="231F20"/>
          <w:w w:val="105"/>
        </w:rPr>
        <w:t>e</w:t>
      </w:r>
      <w:r>
        <w:rPr>
          <w:color w:val="231F20"/>
          <w:spacing w:val="-29"/>
          <w:w w:val="105"/>
        </w:rPr>
        <w:t> </w:t>
      </w:r>
      <w:r>
        <w:rPr>
          <w:color w:val="231F20"/>
          <w:w w:val="105"/>
        </w:rPr>
        <w:t>il</w:t>
      </w:r>
      <w:r>
        <w:rPr>
          <w:color w:val="231F20"/>
          <w:spacing w:val="-29"/>
          <w:w w:val="105"/>
        </w:rPr>
        <w:t> </w:t>
      </w:r>
      <w:r>
        <w:rPr>
          <w:color w:val="231F20"/>
          <w:w w:val="105"/>
        </w:rPr>
        <w:t>McMondo,</w:t>
      </w:r>
      <w:r>
        <w:rPr>
          <w:color w:val="231F20"/>
          <w:spacing w:val="-29"/>
          <w:w w:val="105"/>
        </w:rPr>
        <w:t> </w:t>
      </w:r>
      <w:r>
        <w:rPr>
          <w:color w:val="231F20"/>
          <w:w w:val="105"/>
        </w:rPr>
        <w:t>contro</w:t>
      </w:r>
      <w:r>
        <w:rPr>
          <w:color w:val="231F20"/>
          <w:spacing w:val="-29"/>
          <w:w w:val="105"/>
        </w:rPr>
        <w:t> </w:t>
      </w:r>
      <w:r>
        <w:rPr>
          <w:color w:val="231F20"/>
          <w:w w:val="105"/>
        </w:rPr>
        <w:t>il</w:t>
      </w:r>
      <w:r>
        <w:rPr>
          <w:color w:val="231F20"/>
          <w:spacing w:val="-29"/>
          <w:w w:val="105"/>
        </w:rPr>
        <w:t> </w:t>
      </w:r>
      <w:r>
        <w:rPr>
          <w:color w:val="231F20"/>
          <w:w w:val="105"/>
        </w:rPr>
        <w:t>globale,</w:t>
      </w:r>
      <w:r>
        <w:rPr>
          <w:color w:val="231F20"/>
          <w:spacing w:val="-29"/>
          <w:w w:val="105"/>
        </w:rPr>
        <w:t> </w:t>
      </w:r>
      <w:r>
        <w:rPr>
          <w:color w:val="231F20"/>
          <w:w w:val="105"/>
        </w:rPr>
        <w:t>ma</w:t>
      </w:r>
      <w:r>
        <w:rPr>
          <w:color w:val="231F20"/>
          <w:spacing w:val="-29"/>
          <w:w w:val="105"/>
        </w:rPr>
        <w:t> </w:t>
      </w:r>
      <w:r>
        <w:rPr>
          <w:color w:val="231F20"/>
          <w:w w:val="105"/>
        </w:rPr>
        <w:t>quando</w:t>
      </w:r>
      <w:r>
        <w:rPr>
          <w:color w:val="231F20"/>
          <w:spacing w:val="-29"/>
          <w:w w:val="105"/>
        </w:rPr>
        <w:t> </w:t>
      </w:r>
      <w:r>
        <w:rPr>
          <w:color w:val="231F20"/>
          <w:w w:val="105"/>
        </w:rPr>
        <w:t>lo</w:t>
      </w:r>
      <w:r>
        <w:rPr>
          <w:color w:val="231F20"/>
          <w:spacing w:val="-29"/>
          <w:w w:val="105"/>
        </w:rPr>
        <w:t> </w:t>
      </w:r>
      <w:r>
        <w:rPr>
          <w:color w:val="231F20"/>
          <w:w w:val="105"/>
        </w:rPr>
        <w:t>fa,</w:t>
      </w:r>
      <w:r>
        <w:rPr>
          <w:color w:val="231F20"/>
          <w:spacing w:val="-29"/>
          <w:w w:val="105"/>
        </w:rPr>
        <w:t> </w:t>
      </w:r>
      <w:r>
        <w:rPr>
          <w:color w:val="231F20"/>
          <w:w w:val="105"/>
        </w:rPr>
        <w:t>diventa complementare</w:t>
      </w:r>
      <w:r>
        <w:rPr>
          <w:color w:val="231F20"/>
          <w:spacing w:val="-29"/>
          <w:w w:val="105"/>
        </w:rPr>
        <w:t> </w:t>
      </w:r>
      <w:r>
        <w:rPr>
          <w:color w:val="231F20"/>
          <w:w w:val="105"/>
        </w:rPr>
        <w:t>di</w:t>
      </w:r>
      <w:r>
        <w:rPr>
          <w:color w:val="231F20"/>
          <w:spacing w:val="-29"/>
          <w:w w:val="105"/>
        </w:rPr>
        <w:t> </w:t>
      </w:r>
      <w:r>
        <w:rPr>
          <w:color w:val="231F20"/>
          <w:w w:val="105"/>
        </w:rPr>
        <w:t>quello</w:t>
      </w:r>
      <w:r>
        <w:rPr>
          <w:color w:val="231F20"/>
          <w:spacing w:val="-29"/>
          <w:w w:val="105"/>
        </w:rPr>
        <w:t> </w:t>
      </w:r>
      <w:r>
        <w:rPr>
          <w:color w:val="231F20"/>
          <w:w w:val="105"/>
        </w:rPr>
        <w:t>contro</w:t>
      </w:r>
      <w:r>
        <w:rPr>
          <w:color w:val="231F20"/>
          <w:spacing w:val="-29"/>
          <w:w w:val="105"/>
        </w:rPr>
        <w:t> </w:t>
      </w:r>
      <w:r>
        <w:rPr>
          <w:color w:val="231F20"/>
          <w:w w:val="105"/>
        </w:rPr>
        <w:t>il</w:t>
      </w:r>
      <w:r>
        <w:rPr>
          <w:color w:val="231F20"/>
          <w:spacing w:val="-29"/>
          <w:w w:val="105"/>
        </w:rPr>
        <w:t> </w:t>
      </w:r>
      <w:r>
        <w:rPr>
          <w:color w:val="231F20"/>
          <w:w w:val="105"/>
        </w:rPr>
        <w:t>che</w:t>
      </w:r>
      <w:r>
        <w:rPr>
          <w:color w:val="231F20"/>
          <w:spacing w:val="-29"/>
          <w:w w:val="105"/>
        </w:rPr>
        <w:t> </w:t>
      </w:r>
      <w:r>
        <w:rPr>
          <w:color w:val="231F20"/>
          <w:w w:val="105"/>
        </w:rPr>
        <w:t>lotta.</w:t>
      </w:r>
      <w:r>
        <w:rPr>
          <w:color w:val="231F20"/>
          <w:spacing w:val="-29"/>
          <w:w w:val="105"/>
        </w:rPr>
        <w:t> </w:t>
      </w:r>
      <w:r>
        <w:rPr>
          <w:color w:val="231F20"/>
          <w:w w:val="105"/>
        </w:rPr>
        <w:t>Non</w:t>
      </w:r>
      <w:r>
        <w:rPr>
          <w:color w:val="231F20"/>
          <w:spacing w:val="-29"/>
          <w:w w:val="105"/>
        </w:rPr>
        <w:t> </w:t>
      </w:r>
      <w:r>
        <w:rPr>
          <w:color w:val="231F20"/>
          <w:w w:val="105"/>
        </w:rPr>
        <w:t>è</w:t>
      </w:r>
      <w:r>
        <w:rPr>
          <w:color w:val="231F20"/>
          <w:spacing w:val="-29"/>
          <w:w w:val="105"/>
        </w:rPr>
        <w:t> </w:t>
      </w:r>
      <w:r>
        <w:rPr>
          <w:color w:val="231F20"/>
          <w:w w:val="105"/>
        </w:rPr>
        <w:t>questo</w:t>
      </w:r>
      <w:r>
        <w:rPr>
          <w:color w:val="231F20"/>
          <w:spacing w:val="-29"/>
          <w:w w:val="105"/>
        </w:rPr>
        <w:t> </w:t>
      </w:r>
      <w:r>
        <w:rPr>
          <w:color w:val="231F20"/>
          <w:w w:val="105"/>
        </w:rPr>
        <w:t>per</w:t>
      </w:r>
      <w:r>
        <w:rPr>
          <w:color w:val="231F20"/>
          <w:spacing w:val="-29"/>
          <w:w w:val="105"/>
        </w:rPr>
        <w:t> </w:t>
      </w:r>
      <w:r>
        <w:rPr>
          <w:color w:val="231F20"/>
          <w:w w:val="105"/>
        </w:rPr>
        <w:t>caso</w:t>
      </w:r>
      <w:r>
        <w:rPr>
          <w:color w:val="231F20"/>
          <w:spacing w:val="-29"/>
          <w:w w:val="105"/>
        </w:rPr>
        <w:t> </w:t>
      </w:r>
      <w:r>
        <w:rPr>
          <w:color w:val="231F20"/>
          <w:w w:val="105"/>
        </w:rPr>
        <w:t>uno</w:t>
      </w:r>
      <w:r>
        <w:rPr>
          <w:color w:val="231F20"/>
          <w:spacing w:val="-29"/>
          <w:w w:val="105"/>
        </w:rPr>
        <w:t> </w:t>
      </w:r>
      <w:r>
        <w:rPr>
          <w:color w:val="231F20"/>
          <w:w w:val="105"/>
        </w:rPr>
        <w:t>dei pericoli</w:t>
      </w:r>
      <w:r>
        <w:rPr>
          <w:color w:val="231F20"/>
          <w:spacing w:val="-44"/>
          <w:w w:val="105"/>
        </w:rPr>
        <w:t> </w:t>
      </w:r>
      <w:r>
        <w:rPr>
          <w:color w:val="231F20"/>
          <w:w w:val="105"/>
        </w:rPr>
        <w:t>di</w:t>
      </w:r>
      <w:r>
        <w:rPr>
          <w:color w:val="231F20"/>
          <w:spacing w:val="-44"/>
          <w:w w:val="105"/>
        </w:rPr>
        <w:t> </w:t>
      </w:r>
      <w:r>
        <w:rPr>
          <w:color w:val="231F20"/>
          <w:w w:val="105"/>
        </w:rPr>
        <w:t>naturalizzare</w:t>
      </w:r>
      <w:r>
        <w:rPr>
          <w:color w:val="231F20"/>
          <w:spacing w:val="-44"/>
          <w:w w:val="105"/>
        </w:rPr>
        <w:t> </w:t>
      </w:r>
      <w:r>
        <w:rPr>
          <w:color w:val="231F20"/>
          <w:w w:val="105"/>
        </w:rPr>
        <w:t>i</w:t>
      </w:r>
      <w:r>
        <w:rPr>
          <w:color w:val="231F20"/>
          <w:spacing w:val="-44"/>
          <w:w w:val="105"/>
        </w:rPr>
        <w:t> </w:t>
      </w:r>
      <w:r>
        <w:rPr>
          <w:color w:val="231F20"/>
          <w:w w:val="105"/>
        </w:rPr>
        <w:t>paradossi?</w:t>
      </w:r>
      <w:r>
        <w:rPr>
          <w:color w:val="231F20"/>
          <w:spacing w:val="-44"/>
          <w:w w:val="105"/>
        </w:rPr>
        <w:t> </w:t>
      </w:r>
      <w:r>
        <w:rPr>
          <w:color w:val="231F20"/>
          <w:w w:val="105"/>
        </w:rPr>
        <w:t>Cioè,</w:t>
      </w:r>
      <w:r>
        <w:rPr>
          <w:color w:val="231F20"/>
          <w:spacing w:val="-44"/>
          <w:w w:val="105"/>
        </w:rPr>
        <w:t> </w:t>
      </w:r>
      <w:r>
        <w:rPr>
          <w:color w:val="231F20"/>
          <w:w w:val="105"/>
        </w:rPr>
        <w:t>vedere</w:t>
      </w:r>
      <w:r>
        <w:rPr>
          <w:color w:val="231F20"/>
          <w:spacing w:val="-44"/>
          <w:w w:val="105"/>
        </w:rPr>
        <w:t> </w:t>
      </w:r>
      <w:r>
        <w:rPr>
          <w:color w:val="231F20"/>
          <w:w w:val="105"/>
        </w:rPr>
        <w:t>che</w:t>
      </w:r>
      <w:r>
        <w:rPr>
          <w:color w:val="231F20"/>
          <w:spacing w:val="-44"/>
          <w:w w:val="105"/>
        </w:rPr>
        <w:t> </w:t>
      </w:r>
      <w:r>
        <w:rPr>
          <w:color w:val="231F20"/>
          <w:w w:val="105"/>
        </w:rPr>
        <w:t>le</w:t>
      </w:r>
      <w:r>
        <w:rPr>
          <w:color w:val="231F20"/>
          <w:spacing w:val="-44"/>
          <w:w w:val="105"/>
        </w:rPr>
        <w:t> </w:t>
      </w:r>
      <w:r>
        <w:rPr>
          <w:color w:val="231F20"/>
          <w:w w:val="105"/>
        </w:rPr>
        <w:t>contraddizioni</w:t>
      </w:r>
      <w:r>
        <w:rPr>
          <w:color w:val="231F20"/>
          <w:spacing w:val="-44"/>
          <w:w w:val="105"/>
        </w:rPr>
        <w:t> </w:t>
      </w:r>
      <w:r>
        <w:rPr>
          <w:color w:val="231F20"/>
          <w:w w:val="105"/>
        </w:rPr>
        <w:t>sono formate</w:t>
      </w:r>
      <w:r>
        <w:rPr>
          <w:color w:val="231F20"/>
          <w:spacing w:val="-43"/>
          <w:w w:val="105"/>
        </w:rPr>
        <w:t> </w:t>
      </w:r>
      <w:r>
        <w:rPr>
          <w:color w:val="231F20"/>
          <w:w w:val="105"/>
        </w:rPr>
        <w:t>da</w:t>
      </w:r>
      <w:r>
        <w:rPr>
          <w:color w:val="231F20"/>
          <w:spacing w:val="-43"/>
          <w:w w:val="105"/>
        </w:rPr>
        <w:t> </w:t>
      </w:r>
      <w:r>
        <w:rPr>
          <w:color w:val="231F20"/>
          <w:w w:val="105"/>
        </w:rPr>
        <w:t>opposti</w:t>
      </w:r>
      <w:r>
        <w:rPr>
          <w:color w:val="231F20"/>
          <w:spacing w:val="-43"/>
          <w:w w:val="105"/>
        </w:rPr>
        <w:t> </w:t>
      </w:r>
      <w:r>
        <w:rPr>
          <w:color w:val="231F20"/>
          <w:w w:val="105"/>
        </w:rPr>
        <w:t>definibili</w:t>
      </w:r>
      <w:r>
        <w:rPr>
          <w:color w:val="231F20"/>
          <w:spacing w:val="-43"/>
          <w:w w:val="105"/>
        </w:rPr>
        <w:t> </w:t>
      </w:r>
      <w:r>
        <w:rPr>
          <w:color w:val="231F20"/>
          <w:w w:val="105"/>
        </w:rPr>
        <w:t>e</w:t>
      </w:r>
      <w:r>
        <w:rPr>
          <w:color w:val="231F20"/>
          <w:spacing w:val="-43"/>
          <w:w w:val="105"/>
        </w:rPr>
        <w:t> </w:t>
      </w:r>
      <w:r>
        <w:rPr>
          <w:color w:val="231F20"/>
          <w:w w:val="105"/>
        </w:rPr>
        <w:t>delimitati</w:t>
      </w:r>
      <w:r>
        <w:rPr>
          <w:color w:val="231F20"/>
          <w:spacing w:val="-43"/>
          <w:w w:val="105"/>
        </w:rPr>
        <w:t> </w:t>
      </w:r>
      <w:r>
        <w:rPr>
          <w:color w:val="231F20"/>
          <w:w w:val="105"/>
        </w:rPr>
        <w:t>e</w:t>
      </w:r>
      <w:r>
        <w:rPr>
          <w:color w:val="231F20"/>
          <w:spacing w:val="-43"/>
          <w:w w:val="105"/>
        </w:rPr>
        <w:t> </w:t>
      </w:r>
      <w:r>
        <w:rPr>
          <w:color w:val="231F20"/>
          <w:w w:val="105"/>
        </w:rPr>
        <w:t>che</w:t>
      </w:r>
      <w:r>
        <w:rPr>
          <w:color w:val="231F20"/>
          <w:spacing w:val="-43"/>
          <w:w w:val="105"/>
        </w:rPr>
        <w:t> </w:t>
      </w:r>
      <w:r>
        <w:rPr>
          <w:color w:val="231F20"/>
          <w:w w:val="105"/>
        </w:rPr>
        <w:t>la</w:t>
      </w:r>
      <w:r>
        <w:rPr>
          <w:color w:val="231F20"/>
          <w:spacing w:val="-43"/>
          <w:w w:val="105"/>
        </w:rPr>
        <w:t> </w:t>
      </w:r>
      <w:r>
        <w:rPr>
          <w:color w:val="231F20"/>
          <w:spacing w:val="-3"/>
          <w:w w:val="105"/>
        </w:rPr>
        <w:t>differenza</w:t>
      </w:r>
      <w:r>
        <w:rPr>
          <w:color w:val="231F20"/>
          <w:spacing w:val="-43"/>
          <w:w w:val="105"/>
        </w:rPr>
        <w:t> </w:t>
      </w:r>
      <w:r>
        <w:rPr>
          <w:color w:val="231F20"/>
          <w:w w:val="105"/>
        </w:rPr>
        <w:t>solo</w:t>
      </w:r>
      <w:r>
        <w:rPr>
          <w:color w:val="231F20"/>
          <w:spacing w:val="-43"/>
          <w:w w:val="105"/>
        </w:rPr>
        <w:t> </w:t>
      </w:r>
      <w:r>
        <w:rPr>
          <w:color w:val="231F20"/>
          <w:w w:val="105"/>
        </w:rPr>
        <w:t>può</w:t>
      </w:r>
      <w:r>
        <w:rPr>
          <w:color w:val="231F20"/>
          <w:spacing w:val="-43"/>
          <w:w w:val="105"/>
        </w:rPr>
        <w:t> </w:t>
      </w:r>
      <w:r>
        <w:rPr>
          <w:color w:val="231F20"/>
          <w:spacing w:val="-3"/>
          <w:w w:val="105"/>
        </w:rPr>
        <w:t>apparire </w:t>
      </w:r>
      <w:r>
        <w:rPr>
          <w:color w:val="231F20"/>
          <w:w w:val="105"/>
        </w:rPr>
        <w:t>nella</w:t>
      </w:r>
      <w:r>
        <w:rPr>
          <w:color w:val="231F20"/>
          <w:spacing w:val="-10"/>
          <w:w w:val="105"/>
        </w:rPr>
        <w:t> </w:t>
      </w:r>
      <w:r>
        <w:rPr>
          <w:color w:val="231F20"/>
          <w:w w:val="105"/>
        </w:rPr>
        <w:t>mera</w:t>
      </w:r>
      <w:r>
        <w:rPr>
          <w:color w:val="231F20"/>
          <w:spacing w:val="-10"/>
          <w:w w:val="105"/>
        </w:rPr>
        <w:t> </w:t>
      </w:r>
      <w:r>
        <w:rPr>
          <w:color w:val="231F20"/>
          <w:w w:val="105"/>
        </w:rPr>
        <w:t>opposizione,</w:t>
      </w:r>
      <w:r>
        <w:rPr>
          <w:color w:val="231F20"/>
          <w:spacing w:val="-10"/>
          <w:w w:val="105"/>
        </w:rPr>
        <w:t> </w:t>
      </w:r>
      <w:r>
        <w:rPr>
          <w:color w:val="231F20"/>
          <w:w w:val="105"/>
        </w:rPr>
        <w:t>non</w:t>
      </w:r>
      <w:r>
        <w:rPr>
          <w:color w:val="231F20"/>
          <w:spacing w:val="-10"/>
          <w:w w:val="105"/>
        </w:rPr>
        <w:t> </w:t>
      </w:r>
      <w:r>
        <w:rPr>
          <w:color w:val="231F20"/>
          <w:w w:val="105"/>
        </w:rPr>
        <w:t>è</w:t>
      </w:r>
      <w:r>
        <w:rPr>
          <w:color w:val="231F20"/>
          <w:spacing w:val="-10"/>
          <w:w w:val="105"/>
        </w:rPr>
        <w:t> </w:t>
      </w:r>
      <w:r>
        <w:rPr>
          <w:color w:val="231F20"/>
          <w:w w:val="105"/>
        </w:rPr>
        <w:t>una</w:t>
      </w:r>
      <w:r>
        <w:rPr>
          <w:color w:val="231F20"/>
          <w:spacing w:val="-10"/>
          <w:w w:val="105"/>
        </w:rPr>
        <w:t> </w:t>
      </w:r>
      <w:r>
        <w:rPr>
          <w:color w:val="231F20"/>
          <w:w w:val="105"/>
        </w:rPr>
        <w:t>maniera</w:t>
      </w:r>
      <w:r>
        <w:rPr>
          <w:color w:val="231F20"/>
          <w:spacing w:val="-10"/>
          <w:w w:val="105"/>
        </w:rPr>
        <w:t> </w:t>
      </w:r>
      <w:r>
        <w:rPr>
          <w:color w:val="231F20"/>
          <w:w w:val="105"/>
        </w:rPr>
        <w:t>di</w:t>
      </w:r>
      <w:r>
        <w:rPr>
          <w:color w:val="231F20"/>
          <w:spacing w:val="-10"/>
          <w:w w:val="105"/>
        </w:rPr>
        <w:t> </w:t>
      </w:r>
      <w:r>
        <w:rPr>
          <w:color w:val="231F20"/>
          <w:w w:val="105"/>
        </w:rPr>
        <w:t>disattivare</w:t>
      </w:r>
      <w:r>
        <w:rPr>
          <w:color w:val="231F20"/>
          <w:spacing w:val="-10"/>
          <w:w w:val="105"/>
        </w:rPr>
        <w:t> </w:t>
      </w:r>
      <w:r>
        <w:rPr>
          <w:color w:val="231F20"/>
          <w:w w:val="105"/>
        </w:rPr>
        <w:t>quelle</w:t>
      </w:r>
      <w:r>
        <w:rPr>
          <w:color w:val="231F20"/>
          <w:spacing w:val="-10"/>
          <w:w w:val="105"/>
        </w:rPr>
        <w:t> </w:t>
      </w:r>
      <w:r>
        <w:rPr>
          <w:color w:val="231F20"/>
          <w:w w:val="105"/>
        </w:rPr>
        <w:t>aporie</w:t>
      </w:r>
      <w:r>
        <w:rPr>
          <w:color w:val="231F20"/>
          <w:spacing w:val="-10"/>
          <w:w w:val="105"/>
        </w:rPr>
        <w:t> </w:t>
      </w:r>
      <w:r>
        <w:rPr>
          <w:color w:val="231F20"/>
          <w:w w:val="105"/>
        </w:rPr>
        <w:t>e farle</w:t>
      </w:r>
      <w:r>
        <w:rPr>
          <w:color w:val="231F20"/>
          <w:spacing w:val="-25"/>
          <w:w w:val="105"/>
        </w:rPr>
        <w:t> </w:t>
      </w:r>
      <w:r>
        <w:rPr>
          <w:color w:val="231F20"/>
          <w:w w:val="105"/>
        </w:rPr>
        <w:t>amabili</w:t>
      </w:r>
      <w:r>
        <w:rPr>
          <w:color w:val="231F20"/>
          <w:spacing w:val="-25"/>
          <w:w w:val="105"/>
        </w:rPr>
        <w:t> </w:t>
      </w:r>
      <w:r>
        <w:rPr>
          <w:color w:val="231F20"/>
          <w:w w:val="105"/>
        </w:rPr>
        <w:t>ed</w:t>
      </w:r>
      <w:r>
        <w:rPr>
          <w:color w:val="231F20"/>
          <w:spacing w:val="-25"/>
          <w:w w:val="105"/>
        </w:rPr>
        <w:t> </w:t>
      </w:r>
      <w:r>
        <w:rPr>
          <w:color w:val="231F20"/>
          <w:w w:val="105"/>
        </w:rPr>
        <w:t>includenti,</w:t>
      </w:r>
      <w:r>
        <w:rPr>
          <w:color w:val="231F20"/>
          <w:spacing w:val="-25"/>
          <w:w w:val="105"/>
        </w:rPr>
        <w:t> </w:t>
      </w:r>
      <w:r>
        <w:rPr>
          <w:color w:val="231F20"/>
          <w:w w:val="105"/>
        </w:rPr>
        <w:t>al</w:t>
      </w:r>
      <w:r>
        <w:rPr>
          <w:color w:val="231F20"/>
          <w:spacing w:val="-25"/>
          <w:w w:val="105"/>
        </w:rPr>
        <w:t> </w:t>
      </w:r>
      <w:r>
        <w:rPr>
          <w:color w:val="231F20"/>
          <w:w w:val="105"/>
        </w:rPr>
        <w:t>tempo</w:t>
      </w:r>
      <w:r>
        <w:rPr>
          <w:color w:val="231F20"/>
          <w:spacing w:val="-25"/>
          <w:w w:val="105"/>
        </w:rPr>
        <w:t> </w:t>
      </w:r>
      <w:r>
        <w:rPr>
          <w:color w:val="231F20"/>
          <w:w w:val="105"/>
        </w:rPr>
        <w:t>che</w:t>
      </w:r>
      <w:r>
        <w:rPr>
          <w:color w:val="231F20"/>
          <w:spacing w:val="-25"/>
          <w:w w:val="105"/>
        </w:rPr>
        <w:t> </w:t>
      </w:r>
      <w:r>
        <w:rPr>
          <w:color w:val="231F20"/>
          <w:w w:val="105"/>
        </w:rPr>
        <w:t>univoche</w:t>
      </w:r>
      <w:r>
        <w:rPr>
          <w:color w:val="231F20"/>
          <w:spacing w:val="-25"/>
          <w:w w:val="105"/>
        </w:rPr>
        <w:t> </w:t>
      </w:r>
      <w:r>
        <w:rPr>
          <w:color w:val="231F20"/>
          <w:w w:val="105"/>
        </w:rPr>
        <w:t>e</w:t>
      </w:r>
      <w:r>
        <w:rPr>
          <w:color w:val="231F20"/>
          <w:spacing w:val="-25"/>
          <w:w w:val="105"/>
        </w:rPr>
        <w:t> </w:t>
      </w:r>
      <w:r>
        <w:rPr>
          <w:color w:val="231F20"/>
          <w:w w:val="105"/>
        </w:rPr>
        <w:t>omogeneizzanti?</w:t>
      </w:r>
      <w:r>
        <w:rPr>
          <w:color w:val="231F20"/>
          <w:spacing w:val="-25"/>
          <w:w w:val="105"/>
        </w:rPr>
        <w:t> </w:t>
      </w:r>
      <w:r>
        <w:rPr>
          <w:color w:val="231F20"/>
          <w:w w:val="105"/>
        </w:rPr>
        <w:t>Non è</w:t>
      </w:r>
      <w:r>
        <w:rPr>
          <w:color w:val="231F20"/>
          <w:spacing w:val="-25"/>
          <w:w w:val="105"/>
        </w:rPr>
        <w:t> </w:t>
      </w:r>
      <w:r>
        <w:rPr>
          <w:color w:val="231F20"/>
          <w:w w:val="105"/>
        </w:rPr>
        <w:t>una</w:t>
      </w:r>
      <w:r>
        <w:rPr>
          <w:color w:val="231F20"/>
          <w:spacing w:val="-25"/>
          <w:w w:val="105"/>
        </w:rPr>
        <w:t> </w:t>
      </w:r>
      <w:r>
        <w:rPr>
          <w:color w:val="231F20"/>
          <w:w w:val="105"/>
        </w:rPr>
        <w:t>maniera</w:t>
      </w:r>
      <w:r>
        <w:rPr>
          <w:color w:val="231F20"/>
          <w:spacing w:val="-25"/>
          <w:w w:val="105"/>
        </w:rPr>
        <w:t> </w:t>
      </w:r>
      <w:r>
        <w:rPr>
          <w:color w:val="231F20"/>
          <w:w w:val="105"/>
        </w:rPr>
        <w:t>anche</w:t>
      </w:r>
      <w:r>
        <w:rPr>
          <w:color w:val="231F20"/>
          <w:spacing w:val="-25"/>
          <w:w w:val="105"/>
        </w:rPr>
        <w:t> </w:t>
      </w:r>
      <w:r>
        <w:rPr>
          <w:color w:val="231F20"/>
          <w:w w:val="105"/>
        </w:rPr>
        <w:t>per</w:t>
      </w:r>
      <w:r>
        <w:rPr>
          <w:color w:val="231F20"/>
          <w:spacing w:val="-25"/>
          <w:w w:val="105"/>
        </w:rPr>
        <w:t> </w:t>
      </w:r>
      <w:r>
        <w:rPr>
          <w:color w:val="231F20"/>
          <w:w w:val="105"/>
        </w:rPr>
        <w:t>disattivare</w:t>
      </w:r>
      <w:r>
        <w:rPr>
          <w:color w:val="231F20"/>
          <w:spacing w:val="-25"/>
          <w:w w:val="105"/>
        </w:rPr>
        <w:t> </w:t>
      </w:r>
      <w:r>
        <w:rPr>
          <w:color w:val="231F20"/>
          <w:w w:val="105"/>
        </w:rPr>
        <w:t>la</w:t>
      </w:r>
      <w:r>
        <w:rPr>
          <w:color w:val="231F20"/>
          <w:spacing w:val="-25"/>
          <w:w w:val="105"/>
        </w:rPr>
        <w:t> </w:t>
      </w:r>
      <w:r>
        <w:rPr>
          <w:color w:val="231F20"/>
          <w:w w:val="105"/>
        </w:rPr>
        <w:t>critica</w:t>
      </w:r>
      <w:r>
        <w:rPr>
          <w:color w:val="231F20"/>
          <w:spacing w:val="-25"/>
          <w:w w:val="105"/>
        </w:rPr>
        <w:t> </w:t>
      </w:r>
      <w:r>
        <w:rPr>
          <w:color w:val="231F20"/>
          <w:w w:val="105"/>
        </w:rPr>
        <w:t>e</w:t>
      </w:r>
      <w:r>
        <w:rPr>
          <w:color w:val="231F20"/>
          <w:spacing w:val="-25"/>
          <w:w w:val="105"/>
        </w:rPr>
        <w:t> </w:t>
      </w:r>
      <w:r>
        <w:rPr>
          <w:color w:val="231F20"/>
          <w:w w:val="105"/>
        </w:rPr>
        <w:t>la</w:t>
      </w:r>
      <w:r>
        <w:rPr>
          <w:color w:val="231F20"/>
          <w:spacing w:val="-25"/>
          <w:w w:val="105"/>
        </w:rPr>
        <w:t> </w:t>
      </w:r>
      <w:r>
        <w:rPr>
          <w:color w:val="231F20"/>
          <w:w w:val="105"/>
        </w:rPr>
        <w:t>possibilità</w:t>
      </w:r>
      <w:r>
        <w:rPr>
          <w:color w:val="231F20"/>
          <w:spacing w:val="-25"/>
          <w:w w:val="105"/>
        </w:rPr>
        <w:t> </w:t>
      </w:r>
      <w:r>
        <w:rPr>
          <w:color w:val="231F20"/>
          <w:w w:val="105"/>
        </w:rPr>
        <w:t>di</w:t>
      </w:r>
      <w:r>
        <w:rPr>
          <w:color w:val="231F20"/>
          <w:spacing w:val="-25"/>
          <w:w w:val="105"/>
        </w:rPr>
        <w:t> </w:t>
      </w:r>
      <w:r>
        <w:rPr>
          <w:color w:val="231F20"/>
          <w:w w:val="105"/>
        </w:rPr>
        <w:t>resistenza?</w:t>
      </w:r>
    </w:p>
    <w:p>
      <w:pPr>
        <w:pStyle w:val="BodyText"/>
        <w:rPr>
          <w:sz w:val="20"/>
        </w:rPr>
      </w:pPr>
    </w:p>
    <w:p>
      <w:pPr>
        <w:pStyle w:val="BodyText"/>
        <w:spacing w:before="7"/>
        <w:rPr>
          <w:sz w:val="11"/>
        </w:rPr>
      </w:pPr>
      <w:r>
        <w:rPr/>
        <w:pict>
          <v:line style="position:absolute;mso-position-horizontal-relative:page;mso-position-vertical-relative:paragraph;z-index:11920;mso-wrap-distance-left:0;mso-wrap-distance-right:0" from="65.196899pt,9.090168pt" to="178.582899pt,9.090168pt" stroked="true" strokeweight=".3pt" strokecolor="#231f20">
            <w10:wrap type="topAndBottom"/>
          </v:line>
        </w:pict>
      </w:r>
    </w:p>
    <w:p>
      <w:pPr>
        <w:spacing w:before="10"/>
        <w:ind w:left="103" w:right="0" w:firstLine="0"/>
        <w:jc w:val="left"/>
        <w:rPr>
          <w:rFonts w:ascii="Calibri" w:hAnsi="Calibri"/>
          <w:sz w:val="17"/>
        </w:rPr>
      </w:pPr>
      <w:r>
        <w:rPr>
          <w:rFonts w:ascii="Calibri" w:hAnsi="Calibri"/>
          <w:color w:val="231F20"/>
          <w:position w:val="6"/>
          <w:sz w:val="10"/>
        </w:rPr>
        <w:t>44 </w:t>
      </w:r>
      <w:r>
        <w:rPr>
          <w:rFonts w:ascii="Calibri" w:hAnsi="Calibri"/>
          <w:color w:val="231F20"/>
          <w:sz w:val="17"/>
        </w:rPr>
        <w:t>Barber, “Jihad vs. McWorld”, p. 53.</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3456"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80</w:t>
        <w:tab/>
      </w:r>
      <w:r>
        <w:rPr>
          <w:rFonts w:ascii="Calibri" w:hAnsi="Calibri"/>
          <w:color w:val="6D6E71"/>
          <w:w w:val="105"/>
          <w:sz w:val="16"/>
        </w:rPr>
        <w:t>María</w:t>
      </w:r>
      <w:r>
        <w:rPr>
          <w:rFonts w:ascii="Calibri" w:hAnsi="Calibri"/>
          <w:color w:val="6D6E71"/>
          <w:spacing w:val="-19"/>
          <w:w w:val="105"/>
          <w:sz w:val="16"/>
        </w:rPr>
        <w:t> </w:t>
      </w:r>
      <w:r>
        <w:rPr>
          <w:rFonts w:ascii="Calibri" w:hAnsi="Calibri"/>
          <w:color w:val="6D6E71"/>
          <w:w w:val="105"/>
          <w:sz w:val="16"/>
        </w:rPr>
        <w:t>Luisa</w:t>
      </w:r>
      <w:r>
        <w:rPr>
          <w:rFonts w:ascii="Calibri" w:hAnsi="Calibri"/>
          <w:color w:val="6D6E71"/>
          <w:spacing w:val="-19"/>
          <w:w w:val="105"/>
          <w:sz w:val="16"/>
        </w:rPr>
        <w:t> </w:t>
      </w:r>
      <w:r>
        <w:rPr>
          <w:rFonts w:ascii="Calibri" w:hAnsi="Calibri"/>
          <w:color w:val="6D6E71"/>
          <w:w w:val="105"/>
          <w:sz w:val="16"/>
        </w:rPr>
        <w:t>Bacarlett</w:t>
      </w:r>
      <w:r>
        <w:rPr>
          <w:rFonts w:ascii="Calibri" w:hAnsi="Calibri"/>
          <w:color w:val="6D6E71"/>
          <w:spacing w:val="-19"/>
          <w:w w:val="105"/>
          <w:sz w:val="16"/>
        </w:rPr>
        <w:t> </w:t>
      </w:r>
      <w:r>
        <w:rPr>
          <w:rFonts w:ascii="Calibri" w:hAnsi="Calibri"/>
          <w:color w:val="6D6E71"/>
          <w:w w:val="105"/>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717" w:right="0" w:firstLine="0"/>
        <w:jc w:val="left"/>
        <w:rPr>
          <w:rFonts w:ascii="Trebuchet MS"/>
          <w:sz w:val="20"/>
        </w:rPr>
      </w:pPr>
      <w:r>
        <w:rPr/>
        <w:pict>
          <v:group style="position:absolute;margin-left:383.821014pt;margin-top:-25.479271pt;width:8.65pt;height:41pt;mso-position-horizontal-relative:page;mso-position-vertical-relative:paragraph;z-index:-16340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color w:val="6D6E71"/>
          <w:w w:val="95"/>
          <w:sz w:val="14"/>
        </w:rPr>
        <w:t>NATURALIZZARE</w:t>
      </w:r>
      <w:r>
        <w:rPr>
          <w:rFonts w:ascii="Lucida Sans Unicode"/>
          <w:color w:val="6D6E71"/>
          <w:spacing w:val="-18"/>
          <w:w w:val="95"/>
          <w:sz w:val="14"/>
        </w:rPr>
        <w:t> </w:t>
      </w:r>
      <w:r>
        <w:rPr>
          <w:rFonts w:ascii="Lucida Sans Unicode"/>
          <w:color w:val="6D6E71"/>
          <w:w w:val="95"/>
          <w:sz w:val="14"/>
        </w:rPr>
        <w:t>I</w:t>
      </w:r>
      <w:r>
        <w:rPr>
          <w:rFonts w:ascii="Lucida Sans Unicode"/>
          <w:color w:val="6D6E71"/>
          <w:spacing w:val="-18"/>
          <w:w w:val="95"/>
          <w:sz w:val="14"/>
        </w:rPr>
        <w:t> </w:t>
      </w:r>
      <w:r>
        <w:rPr>
          <w:rFonts w:ascii="Lucida Sans Unicode"/>
          <w:color w:val="6D6E71"/>
          <w:w w:val="95"/>
          <w:sz w:val="14"/>
        </w:rPr>
        <w:t>PARADOSSI:</w:t>
      </w:r>
      <w:r>
        <w:rPr>
          <w:rFonts w:ascii="Lucida Sans Unicode"/>
          <w:color w:val="6D6E71"/>
          <w:spacing w:val="-18"/>
          <w:w w:val="95"/>
          <w:sz w:val="14"/>
        </w:rPr>
        <w:t> </w:t>
      </w:r>
      <w:r>
        <w:rPr>
          <w:rFonts w:ascii="Lucida Sans Unicode"/>
          <w:color w:val="6D6E71"/>
          <w:w w:val="95"/>
          <w:sz w:val="14"/>
        </w:rPr>
        <w:t>UN</w:t>
      </w:r>
      <w:r>
        <w:rPr>
          <w:rFonts w:ascii="Lucida Sans Unicode"/>
          <w:color w:val="6D6E71"/>
          <w:spacing w:val="-18"/>
          <w:w w:val="95"/>
          <w:sz w:val="14"/>
        </w:rPr>
        <w:t> </w:t>
      </w:r>
      <w:r>
        <w:rPr>
          <w:rFonts w:ascii="Lucida Sans Unicode"/>
          <w:color w:val="6D6E71"/>
          <w:w w:val="95"/>
          <w:sz w:val="14"/>
        </w:rPr>
        <w:t>APPROCCIO</w:t>
      </w:r>
      <w:r>
        <w:rPr>
          <w:rFonts w:ascii="Lucida Sans Unicode"/>
          <w:color w:val="6D6E71"/>
          <w:spacing w:val="-18"/>
          <w:w w:val="95"/>
          <w:sz w:val="14"/>
        </w:rPr>
        <w:t> </w:t>
      </w:r>
      <w:r>
        <w:rPr>
          <w:rFonts w:ascii="Lucida Sans Unicode"/>
          <w:color w:val="6D6E71"/>
          <w:w w:val="95"/>
          <w:sz w:val="14"/>
        </w:rPr>
        <w:t>ALLA</w:t>
      </w:r>
      <w:r>
        <w:rPr>
          <w:rFonts w:ascii="Lucida Sans Unicode"/>
          <w:color w:val="6D6E71"/>
          <w:spacing w:val="-18"/>
          <w:w w:val="95"/>
          <w:sz w:val="14"/>
        </w:rPr>
        <w:t> </w:t>
      </w:r>
      <w:r>
        <w:rPr>
          <w:rFonts w:ascii="Lucida Sans Unicode"/>
          <w:color w:val="6D6E71"/>
          <w:w w:val="95"/>
          <w:sz w:val="14"/>
        </w:rPr>
        <w:t>GLOBALIZZAZIONE</w:t>
      </w:r>
      <w:r>
        <w:rPr>
          <w:rFonts w:ascii="Lucida Sans Unicode"/>
          <w:color w:val="6D6E71"/>
          <w:spacing w:val="-18"/>
          <w:w w:val="95"/>
          <w:sz w:val="14"/>
        </w:rPr>
        <w:t> </w:t>
      </w:r>
      <w:r>
        <w:rPr>
          <w:rFonts w:ascii="Lucida Sans Unicode"/>
          <w:color w:val="6D6E71"/>
          <w:w w:val="95"/>
          <w:sz w:val="14"/>
        </w:rPr>
        <w:t>DA</w:t>
      </w:r>
      <w:r>
        <w:rPr>
          <w:rFonts w:ascii="Lucida Sans Unicode"/>
          <w:color w:val="6D6E71"/>
          <w:spacing w:val="-18"/>
          <w:w w:val="95"/>
          <w:sz w:val="14"/>
        </w:rPr>
        <w:t> </w:t>
      </w:r>
      <w:r>
        <w:rPr>
          <w:rFonts w:ascii="Lucida Sans Unicode"/>
          <w:color w:val="6D6E71"/>
          <w:w w:val="95"/>
          <w:sz w:val="14"/>
        </w:rPr>
        <w:t>GILLES</w:t>
      </w:r>
      <w:r>
        <w:rPr>
          <w:rFonts w:ascii="Lucida Sans Unicode"/>
          <w:color w:val="6D6E71"/>
          <w:spacing w:val="-18"/>
          <w:w w:val="95"/>
          <w:sz w:val="14"/>
        </w:rPr>
        <w:t> </w:t>
      </w:r>
      <w:r>
        <w:rPr>
          <w:rFonts w:ascii="Lucida Sans Unicode"/>
          <w:color w:val="6D6E71"/>
          <w:w w:val="95"/>
          <w:sz w:val="14"/>
        </w:rPr>
        <w:t>DELEUZE</w:t>
      </w:r>
      <w:r>
        <w:rPr>
          <w:rFonts w:ascii="Trebuchet MS"/>
          <w:color w:val="414042"/>
          <w:w w:val="95"/>
          <w:position w:val="-3"/>
          <w:sz w:val="20"/>
        </w:rPr>
        <w:tab/>
        <w:t>81</w:t>
      </w:r>
    </w:p>
    <w:p>
      <w:pPr>
        <w:pStyle w:val="BodyText"/>
        <w:rPr>
          <w:rFonts w:ascii="Trebuchet MS"/>
          <w:sz w:val="20"/>
        </w:rPr>
      </w:pPr>
    </w:p>
    <w:p>
      <w:pPr>
        <w:pStyle w:val="BodyText"/>
        <w:rPr>
          <w:rFonts w:ascii="Trebuchet MS"/>
          <w:sz w:val="20"/>
        </w:rPr>
      </w:pPr>
    </w:p>
    <w:p>
      <w:pPr>
        <w:pStyle w:val="BodyText"/>
        <w:spacing w:line="247" w:lineRule="auto" w:before="156"/>
        <w:ind w:left="117" w:right="117"/>
        <w:jc w:val="both"/>
      </w:pPr>
      <w:r>
        <w:rPr>
          <w:color w:val="231F20"/>
          <w:w w:val="105"/>
        </w:rPr>
        <w:t>Da</w:t>
      </w:r>
      <w:r>
        <w:rPr>
          <w:color w:val="231F20"/>
          <w:spacing w:val="-36"/>
          <w:w w:val="105"/>
        </w:rPr>
        <w:t> </w:t>
      </w:r>
      <w:r>
        <w:rPr>
          <w:color w:val="231F20"/>
          <w:w w:val="105"/>
        </w:rPr>
        <w:t>una</w:t>
      </w:r>
      <w:r>
        <w:rPr>
          <w:color w:val="231F20"/>
          <w:spacing w:val="-36"/>
          <w:w w:val="105"/>
        </w:rPr>
        <w:t> </w:t>
      </w:r>
      <w:r>
        <w:rPr>
          <w:color w:val="231F20"/>
          <w:w w:val="105"/>
        </w:rPr>
        <w:t>prospettiva</w:t>
      </w:r>
      <w:r>
        <w:rPr>
          <w:color w:val="231F20"/>
          <w:spacing w:val="-36"/>
          <w:w w:val="105"/>
        </w:rPr>
        <w:t> </w:t>
      </w:r>
      <w:r>
        <w:rPr>
          <w:color w:val="231F20"/>
          <w:w w:val="105"/>
        </w:rPr>
        <w:t>tale,</w:t>
      </w:r>
      <w:r>
        <w:rPr>
          <w:color w:val="231F20"/>
          <w:spacing w:val="-36"/>
          <w:w w:val="105"/>
        </w:rPr>
        <w:t> </w:t>
      </w:r>
      <w:r>
        <w:rPr>
          <w:color w:val="231F20"/>
          <w:w w:val="105"/>
        </w:rPr>
        <w:t>il</w:t>
      </w:r>
      <w:r>
        <w:rPr>
          <w:color w:val="231F20"/>
          <w:spacing w:val="-36"/>
          <w:w w:val="105"/>
        </w:rPr>
        <w:t> </w:t>
      </w:r>
      <w:r>
        <w:rPr>
          <w:color w:val="231F20"/>
          <w:w w:val="105"/>
        </w:rPr>
        <w:t>locale,</w:t>
      </w:r>
      <w:r>
        <w:rPr>
          <w:color w:val="231F20"/>
          <w:spacing w:val="-36"/>
          <w:w w:val="105"/>
        </w:rPr>
        <w:t> </w:t>
      </w:r>
      <w:r>
        <w:rPr>
          <w:color w:val="231F20"/>
          <w:w w:val="105"/>
        </w:rPr>
        <w:t>il</w:t>
      </w:r>
      <w:r>
        <w:rPr>
          <w:color w:val="231F20"/>
          <w:spacing w:val="-36"/>
          <w:w w:val="105"/>
        </w:rPr>
        <w:t> </w:t>
      </w:r>
      <w:r>
        <w:rPr>
          <w:color w:val="231F20"/>
          <w:w w:val="105"/>
        </w:rPr>
        <w:t>tribale,</w:t>
      </w:r>
      <w:r>
        <w:rPr>
          <w:color w:val="231F20"/>
          <w:spacing w:val="-36"/>
          <w:w w:val="105"/>
        </w:rPr>
        <w:t> </w:t>
      </w:r>
      <w:r>
        <w:rPr>
          <w:color w:val="231F20"/>
          <w:w w:val="105"/>
        </w:rPr>
        <w:t>il</w:t>
      </w:r>
      <w:r>
        <w:rPr>
          <w:color w:val="231F20"/>
          <w:spacing w:val="-36"/>
          <w:w w:val="105"/>
        </w:rPr>
        <w:t> </w:t>
      </w:r>
      <w:r>
        <w:rPr>
          <w:color w:val="231F20"/>
          <w:w w:val="105"/>
        </w:rPr>
        <w:t>singolare,</w:t>
      </w:r>
      <w:r>
        <w:rPr>
          <w:color w:val="231F20"/>
          <w:spacing w:val="-36"/>
          <w:w w:val="105"/>
        </w:rPr>
        <w:t> </w:t>
      </w:r>
      <w:r>
        <w:rPr>
          <w:color w:val="231F20"/>
          <w:w w:val="105"/>
        </w:rPr>
        <w:t>vedrebbero</w:t>
      </w:r>
      <w:r>
        <w:rPr>
          <w:color w:val="231F20"/>
          <w:spacing w:val="-36"/>
          <w:w w:val="105"/>
        </w:rPr>
        <w:t> </w:t>
      </w:r>
      <w:r>
        <w:rPr>
          <w:color w:val="231F20"/>
          <w:w w:val="105"/>
        </w:rPr>
        <w:t>a</w:t>
      </w:r>
      <w:r>
        <w:rPr>
          <w:color w:val="231F20"/>
          <w:spacing w:val="-36"/>
          <w:w w:val="105"/>
        </w:rPr>
        <w:t> </w:t>
      </w:r>
      <w:r>
        <w:rPr>
          <w:color w:val="231F20"/>
          <w:w w:val="105"/>
        </w:rPr>
        <w:t>rischio la loro differenza e la </w:t>
      </w:r>
      <w:r>
        <w:rPr>
          <w:color w:val="231F20"/>
          <w:spacing w:val="2"/>
          <w:w w:val="105"/>
        </w:rPr>
        <w:t>possibilità </w:t>
      </w:r>
      <w:r>
        <w:rPr>
          <w:color w:val="231F20"/>
          <w:w w:val="105"/>
        </w:rPr>
        <w:t>di resistere, perchè </w:t>
      </w:r>
      <w:r>
        <w:rPr>
          <w:color w:val="231F20"/>
          <w:spacing w:val="2"/>
          <w:w w:val="105"/>
        </w:rPr>
        <w:t>semplicemente </w:t>
      </w:r>
      <w:r>
        <w:rPr>
          <w:color w:val="231F20"/>
          <w:spacing w:val="3"/>
          <w:w w:val="105"/>
        </w:rPr>
        <w:t>si </w:t>
      </w:r>
      <w:r>
        <w:rPr>
          <w:color w:val="231F20"/>
          <w:w w:val="105"/>
        </w:rPr>
        <w:t>tradurrebbero</w:t>
      </w:r>
      <w:r>
        <w:rPr>
          <w:color w:val="231F20"/>
          <w:spacing w:val="-24"/>
          <w:w w:val="105"/>
        </w:rPr>
        <w:t> </w:t>
      </w:r>
      <w:r>
        <w:rPr>
          <w:color w:val="231F20"/>
          <w:w w:val="105"/>
        </w:rPr>
        <w:t>nel</w:t>
      </w:r>
      <w:r>
        <w:rPr>
          <w:color w:val="231F20"/>
          <w:spacing w:val="-24"/>
          <w:w w:val="105"/>
        </w:rPr>
        <w:t> </w:t>
      </w:r>
      <w:r>
        <w:rPr>
          <w:color w:val="231F20"/>
          <w:w w:val="105"/>
        </w:rPr>
        <w:t>rovescio</w:t>
      </w:r>
      <w:r>
        <w:rPr>
          <w:color w:val="231F20"/>
          <w:spacing w:val="-24"/>
          <w:w w:val="105"/>
        </w:rPr>
        <w:t> </w:t>
      </w:r>
      <w:r>
        <w:rPr>
          <w:color w:val="231F20"/>
          <w:w w:val="105"/>
        </w:rPr>
        <w:t>di</w:t>
      </w:r>
      <w:r>
        <w:rPr>
          <w:color w:val="231F20"/>
          <w:spacing w:val="-24"/>
          <w:w w:val="105"/>
        </w:rPr>
        <w:t> </w:t>
      </w:r>
      <w:r>
        <w:rPr>
          <w:color w:val="231F20"/>
          <w:w w:val="105"/>
        </w:rPr>
        <w:t>quello</w:t>
      </w:r>
      <w:r>
        <w:rPr>
          <w:color w:val="231F20"/>
          <w:spacing w:val="-24"/>
          <w:w w:val="105"/>
        </w:rPr>
        <w:t> </w:t>
      </w:r>
      <w:r>
        <w:rPr>
          <w:color w:val="231F20"/>
          <w:w w:val="105"/>
        </w:rPr>
        <w:t>che</w:t>
      </w:r>
      <w:r>
        <w:rPr>
          <w:color w:val="231F20"/>
          <w:spacing w:val="-24"/>
          <w:w w:val="105"/>
        </w:rPr>
        <w:t> </w:t>
      </w:r>
      <w:r>
        <w:rPr>
          <w:color w:val="231F20"/>
          <w:w w:val="105"/>
        </w:rPr>
        <w:t>respingono,</w:t>
      </w:r>
      <w:r>
        <w:rPr>
          <w:color w:val="231F20"/>
          <w:spacing w:val="-24"/>
          <w:w w:val="105"/>
        </w:rPr>
        <w:t> </w:t>
      </w:r>
      <w:r>
        <w:rPr>
          <w:color w:val="231F20"/>
          <w:w w:val="105"/>
        </w:rPr>
        <w:t>in</w:t>
      </w:r>
      <w:r>
        <w:rPr>
          <w:color w:val="231F20"/>
          <w:spacing w:val="-24"/>
          <w:w w:val="105"/>
        </w:rPr>
        <w:t> </w:t>
      </w:r>
      <w:r>
        <w:rPr>
          <w:color w:val="231F20"/>
          <w:w w:val="105"/>
        </w:rPr>
        <w:t>ibridi</w:t>
      </w:r>
      <w:r>
        <w:rPr>
          <w:color w:val="231F20"/>
          <w:spacing w:val="-24"/>
          <w:w w:val="105"/>
        </w:rPr>
        <w:t> </w:t>
      </w:r>
      <w:r>
        <w:rPr>
          <w:color w:val="231F20"/>
          <w:w w:val="105"/>
        </w:rPr>
        <w:t>di</w:t>
      </w:r>
      <w:r>
        <w:rPr>
          <w:color w:val="231F20"/>
          <w:spacing w:val="-24"/>
          <w:w w:val="105"/>
        </w:rPr>
        <w:t> </w:t>
      </w:r>
      <w:r>
        <w:rPr>
          <w:color w:val="231F20"/>
          <w:w w:val="105"/>
        </w:rPr>
        <w:t>quello</w:t>
      </w:r>
      <w:r>
        <w:rPr>
          <w:color w:val="231F20"/>
          <w:spacing w:val="-24"/>
          <w:w w:val="105"/>
        </w:rPr>
        <w:t> </w:t>
      </w:r>
      <w:r>
        <w:rPr>
          <w:color w:val="231F20"/>
          <w:w w:val="105"/>
        </w:rPr>
        <w:t>con cui</w:t>
      </w:r>
      <w:r>
        <w:rPr>
          <w:color w:val="231F20"/>
          <w:spacing w:val="-45"/>
          <w:w w:val="105"/>
        </w:rPr>
        <w:t> </w:t>
      </w:r>
      <w:r>
        <w:rPr>
          <w:color w:val="231F20"/>
          <w:w w:val="105"/>
        </w:rPr>
        <w:t>si</w:t>
      </w:r>
      <w:r>
        <w:rPr>
          <w:color w:val="231F20"/>
          <w:spacing w:val="-45"/>
          <w:w w:val="105"/>
        </w:rPr>
        <w:t> </w:t>
      </w:r>
      <w:r>
        <w:rPr>
          <w:color w:val="231F20"/>
          <w:w w:val="105"/>
        </w:rPr>
        <w:t>confrontano.</w:t>
      </w:r>
      <w:r>
        <w:rPr>
          <w:color w:val="231F20"/>
          <w:spacing w:val="-45"/>
          <w:w w:val="105"/>
        </w:rPr>
        <w:t> </w:t>
      </w:r>
      <w:r>
        <w:rPr>
          <w:color w:val="231F20"/>
          <w:w w:val="105"/>
        </w:rPr>
        <w:t>Per</w:t>
      </w:r>
      <w:r>
        <w:rPr>
          <w:color w:val="231F20"/>
          <w:spacing w:val="-45"/>
          <w:w w:val="105"/>
        </w:rPr>
        <w:t> </w:t>
      </w:r>
      <w:r>
        <w:rPr>
          <w:color w:val="231F20"/>
          <w:w w:val="105"/>
        </w:rPr>
        <w:t>il</w:t>
      </w:r>
      <w:r>
        <w:rPr>
          <w:color w:val="231F20"/>
          <w:spacing w:val="-45"/>
          <w:w w:val="105"/>
        </w:rPr>
        <w:t> </w:t>
      </w:r>
      <w:r>
        <w:rPr>
          <w:color w:val="231F20"/>
          <w:w w:val="105"/>
        </w:rPr>
        <w:t>contrario,</w:t>
      </w:r>
      <w:r>
        <w:rPr>
          <w:color w:val="231F20"/>
          <w:spacing w:val="-45"/>
          <w:w w:val="105"/>
        </w:rPr>
        <w:t> </w:t>
      </w:r>
      <w:r>
        <w:rPr>
          <w:color w:val="231F20"/>
          <w:w w:val="105"/>
        </w:rPr>
        <w:t>come</w:t>
      </w:r>
      <w:r>
        <w:rPr>
          <w:color w:val="231F20"/>
          <w:spacing w:val="-45"/>
          <w:w w:val="105"/>
        </w:rPr>
        <w:t> </w:t>
      </w:r>
      <w:r>
        <w:rPr>
          <w:color w:val="231F20"/>
          <w:w w:val="105"/>
        </w:rPr>
        <w:t>espone</w:t>
      </w:r>
      <w:r>
        <w:rPr>
          <w:color w:val="231F20"/>
          <w:spacing w:val="-45"/>
          <w:w w:val="105"/>
        </w:rPr>
        <w:t> </w:t>
      </w:r>
      <w:r>
        <w:rPr>
          <w:color w:val="231F20"/>
          <w:w w:val="105"/>
        </w:rPr>
        <w:t>Ronald</w:t>
      </w:r>
      <w:r>
        <w:rPr>
          <w:color w:val="231F20"/>
          <w:spacing w:val="-45"/>
          <w:w w:val="105"/>
        </w:rPr>
        <w:t> </w:t>
      </w:r>
      <w:r>
        <w:rPr>
          <w:color w:val="231F20"/>
          <w:w w:val="105"/>
        </w:rPr>
        <w:t>Bogue,</w:t>
      </w:r>
      <w:r>
        <w:rPr>
          <w:color w:val="231F20"/>
          <w:spacing w:val="-45"/>
          <w:w w:val="105"/>
        </w:rPr>
        <w:t> </w:t>
      </w:r>
      <w:r>
        <w:rPr>
          <w:color w:val="231F20"/>
          <w:w w:val="105"/>
        </w:rPr>
        <w:t>la</w:t>
      </w:r>
      <w:r>
        <w:rPr>
          <w:color w:val="231F20"/>
          <w:spacing w:val="-45"/>
          <w:w w:val="105"/>
        </w:rPr>
        <w:t> </w:t>
      </w:r>
      <w:r>
        <w:rPr>
          <w:color w:val="231F20"/>
          <w:w w:val="105"/>
        </w:rPr>
        <w:t>autentica differenza</w:t>
      </w:r>
      <w:r>
        <w:rPr>
          <w:color w:val="231F20"/>
          <w:spacing w:val="-26"/>
          <w:w w:val="105"/>
        </w:rPr>
        <w:t> </w:t>
      </w:r>
      <w:r>
        <w:rPr>
          <w:color w:val="231F20"/>
          <w:w w:val="105"/>
        </w:rPr>
        <w:t>e</w:t>
      </w:r>
      <w:r>
        <w:rPr>
          <w:color w:val="231F20"/>
          <w:spacing w:val="-26"/>
          <w:w w:val="105"/>
        </w:rPr>
        <w:t> </w:t>
      </w:r>
      <w:r>
        <w:rPr>
          <w:color w:val="231F20"/>
          <w:w w:val="105"/>
        </w:rPr>
        <w:t>la</w:t>
      </w:r>
      <w:r>
        <w:rPr>
          <w:color w:val="231F20"/>
          <w:spacing w:val="-26"/>
          <w:w w:val="105"/>
        </w:rPr>
        <w:t> </w:t>
      </w:r>
      <w:r>
        <w:rPr>
          <w:color w:val="231F20"/>
          <w:w w:val="105"/>
        </w:rPr>
        <w:t>autentica</w:t>
      </w:r>
      <w:r>
        <w:rPr>
          <w:color w:val="231F20"/>
          <w:spacing w:val="-26"/>
          <w:w w:val="105"/>
        </w:rPr>
        <w:t> </w:t>
      </w:r>
      <w:r>
        <w:rPr>
          <w:color w:val="231F20"/>
          <w:w w:val="105"/>
        </w:rPr>
        <w:t>resistenza</w:t>
      </w:r>
      <w:r>
        <w:rPr>
          <w:color w:val="231F20"/>
          <w:spacing w:val="-26"/>
          <w:w w:val="105"/>
        </w:rPr>
        <w:t> </w:t>
      </w:r>
      <w:r>
        <w:rPr>
          <w:color w:val="231F20"/>
          <w:w w:val="105"/>
        </w:rPr>
        <w:t>solo</w:t>
      </w:r>
      <w:r>
        <w:rPr>
          <w:color w:val="231F20"/>
          <w:spacing w:val="-26"/>
          <w:w w:val="105"/>
        </w:rPr>
        <w:t> </w:t>
      </w:r>
      <w:r>
        <w:rPr>
          <w:color w:val="231F20"/>
          <w:w w:val="105"/>
        </w:rPr>
        <w:t>potrebbero</w:t>
      </w:r>
      <w:r>
        <w:rPr>
          <w:color w:val="231F20"/>
          <w:spacing w:val="-26"/>
          <w:w w:val="105"/>
        </w:rPr>
        <w:t> </w:t>
      </w:r>
      <w:r>
        <w:rPr>
          <w:color w:val="231F20"/>
          <w:w w:val="105"/>
        </w:rPr>
        <w:t>presentarsi</w:t>
      </w:r>
      <w:r>
        <w:rPr>
          <w:color w:val="231F20"/>
          <w:spacing w:val="-26"/>
          <w:w w:val="105"/>
        </w:rPr>
        <w:t> </w:t>
      </w:r>
      <w:r>
        <w:rPr>
          <w:color w:val="231F20"/>
          <w:w w:val="105"/>
        </w:rPr>
        <w:t>come</w:t>
      </w:r>
      <w:r>
        <w:rPr>
          <w:color w:val="231F20"/>
          <w:spacing w:val="-26"/>
          <w:w w:val="105"/>
        </w:rPr>
        <w:t> </w:t>
      </w:r>
      <w:r>
        <w:rPr>
          <w:color w:val="231F20"/>
          <w:w w:val="105"/>
        </w:rPr>
        <w:t>una linea</w:t>
      </w:r>
      <w:r>
        <w:rPr>
          <w:color w:val="231F20"/>
          <w:spacing w:val="-32"/>
          <w:w w:val="105"/>
        </w:rPr>
        <w:t> </w:t>
      </w:r>
      <w:r>
        <w:rPr>
          <w:color w:val="231F20"/>
          <w:w w:val="105"/>
        </w:rPr>
        <w:t>di</w:t>
      </w:r>
      <w:r>
        <w:rPr>
          <w:color w:val="231F20"/>
          <w:spacing w:val="-32"/>
          <w:w w:val="105"/>
        </w:rPr>
        <w:t> </w:t>
      </w:r>
      <w:r>
        <w:rPr>
          <w:color w:val="231F20"/>
          <w:w w:val="105"/>
        </w:rPr>
        <w:t>fuga.</w:t>
      </w:r>
    </w:p>
    <w:p>
      <w:pPr>
        <w:pStyle w:val="BodyText"/>
        <w:spacing w:before="10"/>
        <w:rPr>
          <w:sz w:val="22"/>
        </w:rPr>
      </w:pPr>
    </w:p>
    <w:p>
      <w:pPr>
        <w:spacing w:line="220" w:lineRule="exact" w:before="1"/>
        <w:ind w:left="1534" w:right="115" w:firstLine="0"/>
        <w:jc w:val="both"/>
        <w:rPr>
          <w:sz w:val="19"/>
        </w:rPr>
      </w:pPr>
      <w:r>
        <w:rPr>
          <w:color w:val="231F20"/>
          <w:sz w:val="19"/>
        </w:rPr>
        <w:t>Una linea di fuga è una linea che scappa da qualsiasi ordine fisso e stabile. È una linea </w:t>
      </w:r>
      <w:r>
        <w:rPr>
          <w:rFonts w:ascii="Arial" w:hAnsi="Arial"/>
          <w:i/>
          <w:color w:val="231F20"/>
          <w:sz w:val="19"/>
        </w:rPr>
        <w:t>tra le cose</w:t>
      </w:r>
      <w:r>
        <w:rPr>
          <w:color w:val="231F20"/>
          <w:sz w:val="19"/>
        </w:rPr>
        <w:t>, tra entità e identità chiaramente </w:t>
      </w:r>
      <w:r>
        <w:rPr>
          <w:color w:val="231F20"/>
          <w:spacing w:val="3"/>
          <w:sz w:val="19"/>
        </w:rPr>
        <w:t>demarcate, </w:t>
      </w:r>
      <w:r>
        <w:rPr>
          <w:color w:val="231F20"/>
          <w:spacing w:val="2"/>
          <w:sz w:val="19"/>
        </w:rPr>
        <w:t>uno </w:t>
      </w:r>
      <w:r>
        <w:rPr>
          <w:color w:val="231F20"/>
          <w:spacing w:val="3"/>
          <w:sz w:val="19"/>
        </w:rPr>
        <w:t>zigzag, corso imprevedibile </w:t>
      </w:r>
      <w:r>
        <w:rPr>
          <w:color w:val="231F20"/>
          <w:spacing w:val="2"/>
          <w:sz w:val="19"/>
        </w:rPr>
        <w:t>che </w:t>
      </w:r>
      <w:r>
        <w:rPr>
          <w:color w:val="231F20"/>
          <w:spacing w:val="3"/>
          <w:sz w:val="19"/>
        </w:rPr>
        <w:t>perturba </w:t>
      </w:r>
      <w:r>
        <w:rPr>
          <w:color w:val="231F20"/>
          <w:spacing w:val="4"/>
          <w:sz w:val="19"/>
        </w:rPr>
        <w:t>le </w:t>
      </w:r>
      <w:r>
        <w:rPr>
          <w:color w:val="231F20"/>
          <w:sz w:val="19"/>
        </w:rPr>
        <w:t>coordinate di uno spazio organizzato. La linea di fuga è, in poche parole,</w:t>
      </w:r>
      <w:r>
        <w:rPr>
          <w:color w:val="231F20"/>
          <w:spacing w:val="-8"/>
          <w:sz w:val="19"/>
        </w:rPr>
        <w:t> </w:t>
      </w:r>
      <w:r>
        <w:rPr>
          <w:color w:val="231F20"/>
          <w:sz w:val="19"/>
        </w:rPr>
        <w:t>la</w:t>
      </w:r>
      <w:r>
        <w:rPr>
          <w:color w:val="231F20"/>
          <w:spacing w:val="-8"/>
          <w:sz w:val="19"/>
        </w:rPr>
        <w:t> </w:t>
      </w:r>
      <w:r>
        <w:rPr>
          <w:color w:val="231F20"/>
          <w:sz w:val="19"/>
        </w:rPr>
        <w:t>linea</w:t>
      </w:r>
      <w:r>
        <w:rPr>
          <w:color w:val="231F20"/>
          <w:spacing w:val="-8"/>
          <w:sz w:val="19"/>
        </w:rPr>
        <w:t> </w:t>
      </w:r>
      <w:r>
        <w:rPr>
          <w:color w:val="231F20"/>
          <w:sz w:val="19"/>
        </w:rPr>
        <w:t>nomade</w:t>
      </w:r>
      <w:r>
        <w:rPr>
          <w:color w:val="231F20"/>
          <w:spacing w:val="-8"/>
          <w:sz w:val="19"/>
        </w:rPr>
        <w:t> </w:t>
      </w:r>
      <w:r>
        <w:rPr>
          <w:color w:val="231F20"/>
          <w:sz w:val="19"/>
        </w:rPr>
        <w:t>di</w:t>
      </w:r>
      <w:r>
        <w:rPr>
          <w:color w:val="231F20"/>
          <w:spacing w:val="-8"/>
          <w:sz w:val="19"/>
        </w:rPr>
        <w:t> </w:t>
      </w:r>
      <w:r>
        <w:rPr>
          <w:color w:val="231F20"/>
          <w:sz w:val="19"/>
        </w:rPr>
        <w:t>uno</w:t>
      </w:r>
      <w:r>
        <w:rPr>
          <w:color w:val="231F20"/>
          <w:spacing w:val="-8"/>
          <w:sz w:val="19"/>
        </w:rPr>
        <w:t> </w:t>
      </w:r>
      <w:r>
        <w:rPr>
          <w:color w:val="231F20"/>
          <w:sz w:val="19"/>
        </w:rPr>
        <w:t>spazio</w:t>
      </w:r>
      <w:r>
        <w:rPr>
          <w:color w:val="231F20"/>
          <w:spacing w:val="-8"/>
          <w:sz w:val="19"/>
        </w:rPr>
        <w:t> </w:t>
      </w:r>
      <w:r>
        <w:rPr>
          <w:color w:val="231F20"/>
          <w:sz w:val="19"/>
        </w:rPr>
        <w:t>liscio</w:t>
      </w:r>
      <w:r>
        <w:rPr>
          <w:color w:val="231F20"/>
          <w:position w:val="6"/>
          <w:sz w:val="11"/>
        </w:rPr>
        <w:t>45</w:t>
      </w:r>
      <w:r>
        <w:rPr>
          <w:color w:val="231F20"/>
          <w:sz w:val="19"/>
        </w:rPr>
        <w:t>.</w:t>
      </w:r>
      <w:r>
        <w:rPr>
          <w:color w:val="231F20"/>
          <w:spacing w:val="-8"/>
          <w:sz w:val="19"/>
        </w:rPr>
        <w:t> </w:t>
      </w:r>
      <w:r>
        <w:rPr>
          <w:color w:val="231F20"/>
          <w:sz w:val="19"/>
        </w:rPr>
        <w:t>E</w:t>
      </w:r>
      <w:r>
        <w:rPr>
          <w:color w:val="231F20"/>
          <w:spacing w:val="-8"/>
          <w:sz w:val="19"/>
        </w:rPr>
        <w:t> </w:t>
      </w:r>
      <w:r>
        <w:rPr>
          <w:color w:val="231F20"/>
          <w:sz w:val="19"/>
        </w:rPr>
        <w:t>quello</w:t>
      </w:r>
      <w:r>
        <w:rPr>
          <w:color w:val="231F20"/>
          <w:spacing w:val="-8"/>
          <w:sz w:val="19"/>
        </w:rPr>
        <w:t> </w:t>
      </w:r>
      <w:r>
        <w:rPr>
          <w:color w:val="231F20"/>
          <w:sz w:val="19"/>
        </w:rPr>
        <w:t>essenziale</w:t>
      </w:r>
      <w:r>
        <w:rPr>
          <w:color w:val="231F20"/>
          <w:spacing w:val="-8"/>
          <w:sz w:val="19"/>
        </w:rPr>
        <w:t> </w:t>
      </w:r>
      <w:r>
        <w:rPr>
          <w:color w:val="231F20"/>
          <w:sz w:val="19"/>
        </w:rPr>
        <w:t>è che</w:t>
      </w:r>
      <w:r>
        <w:rPr>
          <w:color w:val="231F20"/>
          <w:spacing w:val="-20"/>
          <w:sz w:val="19"/>
        </w:rPr>
        <w:t> </w:t>
      </w:r>
      <w:r>
        <w:rPr>
          <w:color w:val="231F20"/>
          <w:sz w:val="19"/>
        </w:rPr>
        <w:t>una</w:t>
      </w:r>
      <w:r>
        <w:rPr>
          <w:color w:val="231F20"/>
          <w:spacing w:val="-20"/>
          <w:sz w:val="19"/>
        </w:rPr>
        <w:t> </w:t>
      </w:r>
      <w:r>
        <w:rPr>
          <w:color w:val="231F20"/>
          <w:spacing w:val="-3"/>
          <w:sz w:val="19"/>
        </w:rPr>
        <w:t>linea</w:t>
      </w:r>
      <w:r>
        <w:rPr>
          <w:color w:val="231F20"/>
          <w:spacing w:val="-20"/>
          <w:sz w:val="19"/>
        </w:rPr>
        <w:t> </w:t>
      </w:r>
      <w:r>
        <w:rPr>
          <w:color w:val="231F20"/>
          <w:sz w:val="19"/>
        </w:rPr>
        <w:t>di</w:t>
      </w:r>
      <w:r>
        <w:rPr>
          <w:color w:val="231F20"/>
          <w:spacing w:val="-20"/>
          <w:sz w:val="19"/>
        </w:rPr>
        <w:t> </w:t>
      </w:r>
      <w:r>
        <w:rPr>
          <w:color w:val="231F20"/>
          <w:spacing w:val="-3"/>
          <w:sz w:val="19"/>
        </w:rPr>
        <w:t>fuga</w:t>
      </w:r>
      <w:r>
        <w:rPr>
          <w:color w:val="231F20"/>
          <w:spacing w:val="-20"/>
          <w:sz w:val="19"/>
        </w:rPr>
        <w:t> </w:t>
      </w:r>
      <w:r>
        <w:rPr>
          <w:color w:val="231F20"/>
          <w:sz w:val="19"/>
        </w:rPr>
        <w:t>è</w:t>
      </w:r>
      <w:r>
        <w:rPr>
          <w:color w:val="231F20"/>
          <w:spacing w:val="-20"/>
          <w:sz w:val="19"/>
        </w:rPr>
        <w:t> </w:t>
      </w:r>
      <w:r>
        <w:rPr>
          <w:color w:val="231F20"/>
          <w:sz w:val="19"/>
        </w:rPr>
        <w:t>una</w:t>
      </w:r>
      <w:r>
        <w:rPr>
          <w:color w:val="231F20"/>
          <w:spacing w:val="-20"/>
          <w:sz w:val="19"/>
        </w:rPr>
        <w:t> </w:t>
      </w:r>
      <w:r>
        <w:rPr>
          <w:color w:val="231F20"/>
          <w:spacing w:val="-3"/>
          <w:sz w:val="19"/>
        </w:rPr>
        <w:t>linea</w:t>
      </w:r>
      <w:r>
        <w:rPr>
          <w:color w:val="231F20"/>
          <w:spacing w:val="-20"/>
          <w:sz w:val="19"/>
        </w:rPr>
        <w:t> </w:t>
      </w:r>
      <w:r>
        <w:rPr>
          <w:color w:val="231F20"/>
          <w:sz w:val="19"/>
        </w:rPr>
        <w:t>di</w:t>
      </w:r>
      <w:r>
        <w:rPr>
          <w:color w:val="231F20"/>
          <w:spacing w:val="-20"/>
          <w:sz w:val="19"/>
        </w:rPr>
        <w:t> </w:t>
      </w:r>
      <w:r>
        <w:rPr>
          <w:color w:val="231F20"/>
          <w:spacing w:val="-4"/>
          <w:sz w:val="19"/>
        </w:rPr>
        <w:t>divenire–un’altro,</w:t>
      </w:r>
      <w:r>
        <w:rPr>
          <w:color w:val="231F20"/>
          <w:spacing w:val="-20"/>
          <w:sz w:val="19"/>
        </w:rPr>
        <w:t> </w:t>
      </w:r>
      <w:r>
        <w:rPr>
          <w:color w:val="231F20"/>
          <w:sz w:val="19"/>
        </w:rPr>
        <w:t>di</w:t>
      </w:r>
      <w:r>
        <w:rPr>
          <w:color w:val="231F20"/>
          <w:spacing w:val="-20"/>
          <w:sz w:val="19"/>
        </w:rPr>
        <w:t> </w:t>
      </w:r>
      <w:r>
        <w:rPr>
          <w:color w:val="231F20"/>
          <w:spacing w:val="-3"/>
          <w:sz w:val="19"/>
        </w:rPr>
        <w:t>metamorfosi, </w:t>
      </w:r>
      <w:r>
        <w:rPr>
          <w:color w:val="231F20"/>
          <w:sz w:val="19"/>
        </w:rPr>
        <w:t>di costante</w:t>
      </w:r>
      <w:r>
        <w:rPr>
          <w:color w:val="231F20"/>
          <w:spacing w:val="-3"/>
          <w:sz w:val="19"/>
        </w:rPr>
        <w:t> </w:t>
      </w:r>
      <w:r>
        <w:rPr>
          <w:color w:val="231F20"/>
          <w:sz w:val="19"/>
        </w:rPr>
        <w:t>trasformazione</w:t>
      </w:r>
      <w:r>
        <w:rPr>
          <w:color w:val="231F20"/>
          <w:position w:val="6"/>
          <w:sz w:val="11"/>
        </w:rPr>
        <w:t>46</w:t>
      </w:r>
      <w:r>
        <w:rPr>
          <w:color w:val="231F20"/>
          <w:sz w:val="19"/>
        </w:rPr>
        <w:t>.</w:t>
      </w:r>
    </w:p>
    <w:p>
      <w:pPr>
        <w:pStyle w:val="BodyText"/>
        <w:spacing w:before="11"/>
        <w:rPr>
          <w:sz w:val="23"/>
        </w:rPr>
      </w:pPr>
    </w:p>
    <w:p>
      <w:pPr>
        <w:pStyle w:val="BodyText"/>
        <w:spacing w:line="247" w:lineRule="auto"/>
        <w:ind w:left="117" w:right="116"/>
        <w:jc w:val="both"/>
      </w:pPr>
      <w:r>
        <w:rPr>
          <w:color w:val="231F20"/>
        </w:rPr>
        <w:t>Portare</w:t>
      </w:r>
      <w:r>
        <w:rPr>
          <w:color w:val="231F20"/>
          <w:spacing w:val="-8"/>
        </w:rPr>
        <w:t> </w:t>
      </w:r>
      <w:r>
        <w:rPr>
          <w:color w:val="231F20"/>
        </w:rPr>
        <w:t>i</w:t>
      </w:r>
      <w:r>
        <w:rPr>
          <w:color w:val="231F20"/>
          <w:spacing w:val="-8"/>
        </w:rPr>
        <w:t> </w:t>
      </w:r>
      <w:r>
        <w:rPr>
          <w:color w:val="231F20"/>
        </w:rPr>
        <w:t>paradossi</w:t>
      </w:r>
      <w:r>
        <w:rPr>
          <w:color w:val="231F20"/>
          <w:spacing w:val="-8"/>
        </w:rPr>
        <w:t> </w:t>
      </w:r>
      <w:r>
        <w:rPr>
          <w:color w:val="231F20"/>
        </w:rPr>
        <w:t>al</w:t>
      </w:r>
      <w:r>
        <w:rPr>
          <w:color w:val="231F20"/>
          <w:spacing w:val="-8"/>
        </w:rPr>
        <w:t> </w:t>
      </w:r>
      <w:r>
        <w:rPr>
          <w:color w:val="231F20"/>
        </w:rPr>
        <w:t>loro</w:t>
      </w:r>
      <w:r>
        <w:rPr>
          <w:color w:val="231F20"/>
          <w:spacing w:val="-8"/>
        </w:rPr>
        <w:t> </w:t>
      </w:r>
      <w:r>
        <w:rPr>
          <w:color w:val="231F20"/>
        </w:rPr>
        <w:t>limite,</w:t>
      </w:r>
      <w:r>
        <w:rPr>
          <w:color w:val="231F20"/>
          <w:spacing w:val="-8"/>
        </w:rPr>
        <w:t> </w:t>
      </w:r>
      <w:r>
        <w:rPr>
          <w:color w:val="231F20"/>
        </w:rPr>
        <w:t>accelerare</w:t>
      </w:r>
      <w:r>
        <w:rPr>
          <w:color w:val="231F20"/>
          <w:spacing w:val="-8"/>
        </w:rPr>
        <w:t> </w:t>
      </w:r>
      <w:r>
        <w:rPr>
          <w:color w:val="231F20"/>
        </w:rPr>
        <w:t>il</w:t>
      </w:r>
      <w:r>
        <w:rPr>
          <w:color w:val="231F20"/>
          <w:spacing w:val="-8"/>
        </w:rPr>
        <w:t> </w:t>
      </w:r>
      <w:r>
        <w:rPr>
          <w:color w:val="231F20"/>
        </w:rPr>
        <w:t>processo,</w:t>
      </w:r>
      <w:r>
        <w:rPr>
          <w:color w:val="231F20"/>
          <w:spacing w:val="-8"/>
        </w:rPr>
        <w:t> </w:t>
      </w:r>
      <w:r>
        <w:rPr>
          <w:color w:val="231F20"/>
        </w:rPr>
        <w:t>non</w:t>
      </w:r>
      <w:r>
        <w:rPr>
          <w:color w:val="231F20"/>
          <w:spacing w:val="-8"/>
        </w:rPr>
        <w:t> </w:t>
      </w:r>
      <w:r>
        <w:rPr>
          <w:color w:val="231F20"/>
        </w:rPr>
        <w:t>significherebbe superare il loro carattere indecidibile, ma affermarlo; implicherebbe non ibridare i loro termini in un processo di complementazione e</w:t>
      </w:r>
      <w:r>
        <w:rPr>
          <w:color w:val="231F20"/>
          <w:spacing w:val="-31"/>
        </w:rPr>
        <w:t> </w:t>
      </w:r>
      <w:r>
        <w:rPr>
          <w:color w:val="231F20"/>
        </w:rPr>
        <w:t>identificazione reciproca; anzi, il singolare, le espressioni particolari, le vere differenze</w:t>
      </w:r>
      <w:r>
        <w:rPr>
          <w:color w:val="231F20"/>
          <w:spacing w:val="-43"/>
        </w:rPr>
        <w:t> </w:t>
      </w:r>
      <w:r>
        <w:rPr>
          <w:color w:val="231F20"/>
        </w:rPr>
        <w:t>che potrebbero resistere e riattivare la critica, non nascerebbero ne dentro il locale ne dentro il globale, visti come opposti consistenti; sorgerebbero piuttosto </w:t>
      </w:r>
      <w:r>
        <w:rPr>
          <w:rFonts w:ascii="Arial" w:hAnsi="Arial"/>
          <w:i/>
          <w:color w:val="231F20"/>
        </w:rPr>
        <w:t>tra </w:t>
      </w:r>
      <w:r>
        <w:rPr>
          <w:color w:val="231F20"/>
        </w:rPr>
        <w:t>entrambi, in una </w:t>
      </w:r>
      <w:r>
        <w:rPr>
          <w:rFonts w:ascii="Arial" w:hAnsi="Arial"/>
          <w:i/>
          <w:color w:val="231F20"/>
        </w:rPr>
        <w:t>zona di indecidibilità </w:t>
      </w:r>
      <w:r>
        <w:rPr>
          <w:color w:val="231F20"/>
        </w:rPr>
        <w:t>tra il locale e il globale; ne propriamente globali ne propriamente locali. I paradossi radicali a cui aspira Deleuze ci parlano di poli non chiari, che si conformano e rifanno a seconda che si incontrano e</w:t>
      </w:r>
      <w:r>
        <w:rPr>
          <w:color w:val="231F20"/>
          <w:spacing w:val="11"/>
        </w:rPr>
        <w:t> </w:t>
      </w:r>
      <w:r>
        <w:rPr>
          <w:color w:val="231F20"/>
        </w:rPr>
        <w:t>confrontano.</w:t>
      </w:r>
    </w:p>
    <w:p>
      <w:pPr>
        <w:pStyle w:val="BodyText"/>
        <w:spacing w:line="247" w:lineRule="auto"/>
        <w:ind w:left="117" w:right="118" w:firstLine="566"/>
        <w:jc w:val="both"/>
      </w:pPr>
      <w:r>
        <w:rPr>
          <w:color w:val="231F20"/>
        </w:rPr>
        <w:t>Finalmente, il pericolo di naturalizzare i paradossi è che quando lo facciamo perdiamo la possibilità di esperimentare la differenza radicale, quella</w:t>
      </w:r>
      <w:r>
        <w:rPr>
          <w:color w:val="231F20"/>
          <w:spacing w:val="-13"/>
        </w:rPr>
        <w:t> </w:t>
      </w:r>
      <w:r>
        <w:rPr>
          <w:color w:val="231F20"/>
        </w:rPr>
        <w:t>irriducibile</w:t>
      </w:r>
      <w:r>
        <w:rPr>
          <w:color w:val="231F20"/>
          <w:spacing w:val="-13"/>
        </w:rPr>
        <w:t> </w:t>
      </w:r>
      <w:r>
        <w:rPr>
          <w:color w:val="231F20"/>
        </w:rPr>
        <w:t>a</w:t>
      </w:r>
      <w:r>
        <w:rPr>
          <w:color w:val="231F20"/>
          <w:spacing w:val="-13"/>
        </w:rPr>
        <w:t> </w:t>
      </w:r>
      <w:r>
        <w:rPr>
          <w:color w:val="231F20"/>
        </w:rPr>
        <w:t>una</w:t>
      </w:r>
      <w:r>
        <w:rPr>
          <w:color w:val="231F20"/>
          <w:spacing w:val="-13"/>
        </w:rPr>
        <w:t> </w:t>
      </w:r>
      <w:r>
        <w:rPr>
          <w:color w:val="231F20"/>
        </w:rPr>
        <w:t>dicotomia</w:t>
      </w:r>
      <w:r>
        <w:rPr>
          <w:color w:val="231F20"/>
          <w:spacing w:val="-13"/>
        </w:rPr>
        <w:t> </w:t>
      </w:r>
      <w:r>
        <w:rPr>
          <w:color w:val="231F20"/>
        </w:rPr>
        <w:t>prestabilita,</w:t>
      </w:r>
      <w:r>
        <w:rPr>
          <w:color w:val="231F20"/>
          <w:spacing w:val="-13"/>
        </w:rPr>
        <w:t> </w:t>
      </w:r>
      <w:r>
        <w:rPr>
          <w:color w:val="231F20"/>
        </w:rPr>
        <w:t>perche</w:t>
      </w:r>
      <w:r>
        <w:rPr>
          <w:color w:val="231F20"/>
          <w:spacing w:val="-13"/>
        </w:rPr>
        <w:t> </w:t>
      </w:r>
      <w:r>
        <w:rPr>
          <w:color w:val="231F20"/>
        </w:rPr>
        <w:t>tali</w:t>
      </w:r>
      <w:r>
        <w:rPr>
          <w:color w:val="231F20"/>
          <w:spacing w:val="-13"/>
        </w:rPr>
        <w:t> </w:t>
      </w:r>
      <w:r>
        <w:rPr>
          <w:color w:val="231F20"/>
        </w:rPr>
        <w:t>solfe</w:t>
      </w:r>
      <w:r>
        <w:rPr>
          <w:color w:val="231F20"/>
          <w:spacing w:val="-13"/>
        </w:rPr>
        <w:t> </w:t>
      </w:r>
      <w:r>
        <w:rPr>
          <w:color w:val="231F20"/>
        </w:rPr>
        <w:t>spesso</w:t>
      </w:r>
      <w:r>
        <w:rPr>
          <w:color w:val="231F20"/>
          <w:spacing w:val="-13"/>
        </w:rPr>
        <w:t> </w:t>
      </w:r>
      <w:r>
        <w:rPr>
          <w:color w:val="231F20"/>
        </w:rPr>
        <w:t>sono auspicate —in fondo— dall’egemonia di qualcuno degli opposti che le costituiscono. Nel caso del </w:t>
      </w:r>
      <w:r>
        <w:rPr>
          <w:rFonts w:ascii="Arial" w:hAnsi="Arial"/>
          <w:i/>
          <w:color w:val="231F20"/>
        </w:rPr>
        <w:t>glocale</w:t>
      </w:r>
      <w:r>
        <w:rPr>
          <w:color w:val="231F20"/>
        </w:rPr>
        <w:t>, è senza dubbio la prospettiva globale– liberale</w:t>
      </w:r>
      <w:r>
        <w:rPr>
          <w:color w:val="231F20"/>
          <w:spacing w:val="-19"/>
        </w:rPr>
        <w:t> </w:t>
      </w:r>
      <w:r>
        <w:rPr>
          <w:color w:val="231F20"/>
        </w:rPr>
        <w:t>quella</w:t>
      </w:r>
      <w:r>
        <w:rPr>
          <w:color w:val="231F20"/>
          <w:spacing w:val="-19"/>
        </w:rPr>
        <w:t> </w:t>
      </w:r>
      <w:r>
        <w:rPr>
          <w:color w:val="231F20"/>
        </w:rPr>
        <w:t>che</w:t>
      </w:r>
      <w:r>
        <w:rPr>
          <w:color w:val="231F20"/>
          <w:spacing w:val="-19"/>
        </w:rPr>
        <w:t> </w:t>
      </w:r>
      <w:r>
        <w:rPr>
          <w:color w:val="231F20"/>
        </w:rPr>
        <w:t>domina</w:t>
      </w:r>
      <w:r>
        <w:rPr>
          <w:color w:val="231F20"/>
          <w:spacing w:val="-19"/>
        </w:rPr>
        <w:t> </w:t>
      </w:r>
      <w:r>
        <w:rPr>
          <w:color w:val="231F20"/>
        </w:rPr>
        <w:t>nel</w:t>
      </w:r>
      <w:r>
        <w:rPr>
          <w:color w:val="231F20"/>
          <w:spacing w:val="-19"/>
        </w:rPr>
        <w:t> </w:t>
      </w:r>
      <w:r>
        <w:rPr>
          <w:color w:val="231F20"/>
        </w:rPr>
        <w:t>paradosso,</w:t>
      </w:r>
      <w:r>
        <w:rPr>
          <w:color w:val="231F20"/>
          <w:spacing w:val="-19"/>
        </w:rPr>
        <w:t> </w:t>
      </w:r>
      <w:r>
        <w:rPr>
          <w:color w:val="231F20"/>
        </w:rPr>
        <w:t>con</w:t>
      </w:r>
      <w:r>
        <w:rPr>
          <w:color w:val="231F20"/>
          <w:spacing w:val="-19"/>
        </w:rPr>
        <w:t> </w:t>
      </w:r>
      <w:r>
        <w:rPr>
          <w:color w:val="231F20"/>
        </w:rPr>
        <w:t>cui</w:t>
      </w:r>
      <w:r>
        <w:rPr>
          <w:color w:val="231F20"/>
          <w:spacing w:val="-19"/>
        </w:rPr>
        <w:t> </w:t>
      </w:r>
      <w:r>
        <w:rPr>
          <w:color w:val="231F20"/>
        </w:rPr>
        <w:t>il</w:t>
      </w:r>
      <w:r>
        <w:rPr>
          <w:color w:val="231F20"/>
          <w:spacing w:val="-19"/>
        </w:rPr>
        <w:t> </w:t>
      </w:r>
      <w:r>
        <w:rPr>
          <w:color w:val="231F20"/>
        </w:rPr>
        <w:t>locale</w:t>
      </w:r>
      <w:r>
        <w:rPr>
          <w:color w:val="231F20"/>
          <w:spacing w:val="-19"/>
        </w:rPr>
        <w:t> </w:t>
      </w:r>
      <w:r>
        <w:rPr>
          <w:color w:val="231F20"/>
        </w:rPr>
        <w:t>finisce</w:t>
      </w:r>
      <w:r>
        <w:rPr>
          <w:color w:val="231F20"/>
          <w:spacing w:val="-19"/>
        </w:rPr>
        <w:t> </w:t>
      </w:r>
      <w:r>
        <w:rPr>
          <w:color w:val="231F20"/>
        </w:rPr>
        <w:t>definendosi esclusivamente in opposizione a una dicotomia imposta dalla prospettiva egemonica, perdendo la possibilità di esplorarsi come differenza radicale.  A questo punto, autori come Marramao sarebbero apertamente d’accordo con la prospettiva</w:t>
      </w:r>
      <w:r>
        <w:rPr>
          <w:color w:val="231F20"/>
          <w:spacing w:val="13"/>
        </w:rPr>
        <w:t> </w:t>
      </w:r>
      <w:r>
        <w:rPr>
          <w:color w:val="231F20"/>
        </w:rPr>
        <w:t>deleuziana.</w:t>
      </w:r>
    </w:p>
    <w:p>
      <w:pPr>
        <w:pStyle w:val="BodyText"/>
        <w:rPr>
          <w:sz w:val="20"/>
        </w:rPr>
      </w:pPr>
    </w:p>
    <w:p>
      <w:pPr>
        <w:pStyle w:val="BodyText"/>
        <w:rPr>
          <w:sz w:val="20"/>
        </w:rPr>
      </w:pPr>
    </w:p>
    <w:p>
      <w:pPr>
        <w:pStyle w:val="BodyText"/>
        <w:spacing w:before="5"/>
        <w:rPr>
          <w:sz w:val="19"/>
        </w:rPr>
      </w:pPr>
      <w:r>
        <w:rPr/>
        <w:pict>
          <v:line style="position:absolute;mso-position-horizontal-relative:page;mso-position-vertical-relative:paragraph;z-index:11968;mso-wrap-distance-left:0;mso-wrap-distance-right:0" from="70.866203pt,13.819863pt" to="184.252203pt,13.819863pt" stroked="true" strokeweight=".3pt" strokecolor="#231f20">
            <w10:wrap type="topAndBottom"/>
          </v:line>
        </w:pict>
      </w:r>
    </w:p>
    <w:p>
      <w:pPr>
        <w:spacing w:line="204" w:lineRule="exact" w:before="9"/>
        <w:ind w:left="117" w:right="119" w:firstLine="0"/>
        <w:jc w:val="both"/>
        <w:rPr>
          <w:rFonts w:ascii="Calibri" w:hAnsi="Calibri"/>
          <w:sz w:val="17"/>
        </w:rPr>
      </w:pPr>
      <w:r>
        <w:rPr>
          <w:rFonts w:ascii="Calibri" w:hAnsi="Calibri"/>
          <w:color w:val="231F20"/>
          <w:w w:val="105"/>
          <w:position w:val="6"/>
          <w:sz w:val="10"/>
        </w:rPr>
        <w:t>45  </w:t>
      </w:r>
      <w:r>
        <w:rPr>
          <w:rFonts w:ascii="Calibri" w:hAnsi="Calibri"/>
          <w:color w:val="231F20"/>
          <w:w w:val="105"/>
          <w:sz w:val="17"/>
        </w:rPr>
        <w:t>Bisogna capire come </w:t>
      </w:r>
      <w:r>
        <w:rPr>
          <w:rFonts w:ascii="Calibri" w:hAnsi="Calibri"/>
          <w:i/>
          <w:color w:val="231F20"/>
          <w:w w:val="105"/>
          <w:sz w:val="17"/>
        </w:rPr>
        <w:t>spazio liscio </w:t>
      </w:r>
      <w:r>
        <w:rPr>
          <w:rFonts w:ascii="Calibri" w:hAnsi="Calibri"/>
          <w:color w:val="231F20"/>
          <w:w w:val="105"/>
          <w:sz w:val="17"/>
        </w:rPr>
        <w:t>uno spazio libero sul quale ogni tragitto e spostamento        è possibile, non ha ne vie, ne luoghi, me marche, ne caselle prestabiliti, ma si allarga come possibilità di tracciarli, di definire linee, vie, e di fare territorio. In contrasto, lo </w:t>
      </w:r>
      <w:r>
        <w:rPr>
          <w:rFonts w:ascii="Calibri" w:hAnsi="Calibri"/>
          <w:i/>
          <w:color w:val="231F20"/>
          <w:w w:val="105"/>
          <w:sz w:val="17"/>
        </w:rPr>
        <w:t>spazio striato   </w:t>
      </w:r>
      <w:r>
        <w:rPr>
          <w:rFonts w:ascii="Calibri" w:hAnsi="Calibri"/>
          <w:color w:val="231F20"/>
          <w:w w:val="105"/>
          <w:sz w:val="17"/>
        </w:rPr>
        <w:t>ha già vie, luoghi e nicchie prestabiliti, che ci dicono dove andare, quali tragitti prendere, come territorializzare, dove</w:t>
      </w:r>
      <w:r>
        <w:rPr>
          <w:rFonts w:ascii="Calibri" w:hAnsi="Calibri"/>
          <w:color w:val="231F20"/>
          <w:spacing w:val="-27"/>
          <w:w w:val="105"/>
          <w:sz w:val="17"/>
        </w:rPr>
        <w:t> </w:t>
      </w:r>
      <w:r>
        <w:rPr>
          <w:rFonts w:ascii="Calibri" w:hAnsi="Calibri"/>
          <w:color w:val="231F20"/>
          <w:w w:val="105"/>
          <w:sz w:val="17"/>
        </w:rPr>
        <w:t>fermarci.</w:t>
      </w:r>
    </w:p>
    <w:p>
      <w:pPr>
        <w:spacing w:line="204" w:lineRule="exact" w:before="0"/>
        <w:ind w:left="117" w:right="121" w:firstLine="0"/>
        <w:jc w:val="both"/>
        <w:rPr>
          <w:rFonts w:ascii="Calibri" w:hAnsi="Calibri"/>
          <w:sz w:val="17"/>
        </w:rPr>
      </w:pPr>
      <w:r>
        <w:rPr>
          <w:rFonts w:ascii="Calibri" w:hAnsi="Calibri"/>
          <w:color w:val="231F20"/>
          <w:position w:val="6"/>
          <w:sz w:val="10"/>
        </w:rPr>
        <w:t>46 </w:t>
      </w:r>
      <w:r>
        <w:rPr>
          <w:rFonts w:ascii="Calibri" w:hAnsi="Calibri"/>
          <w:color w:val="231F20"/>
          <w:sz w:val="17"/>
        </w:rPr>
        <w:t>R. Bogue, “Nomadic Flows: Globalism and the Local Absolute”, </w:t>
      </w:r>
      <w:r>
        <w:rPr>
          <w:rFonts w:ascii="Calibri" w:hAnsi="Calibri"/>
          <w:i/>
          <w:color w:val="231F20"/>
          <w:sz w:val="17"/>
        </w:rPr>
        <w:t>Concentric: Literary and Cultural </w:t>
      </w:r>
      <w:r>
        <w:rPr>
          <w:rFonts w:ascii="Calibri" w:hAnsi="Calibri"/>
          <w:i/>
          <w:color w:val="231F20"/>
          <w:sz w:val="17"/>
        </w:rPr>
        <w:t>Studies</w:t>
      </w:r>
      <w:r>
        <w:rPr>
          <w:rFonts w:ascii="Calibri" w:hAnsi="Calibri"/>
          <w:color w:val="231F20"/>
          <w:sz w:val="17"/>
        </w:rPr>
        <w:t>, vol. 31, no. 1, 2005, p. 18.</w:t>
      </w:r>
    </w:p>
    <w:p>
      <w:pPr>
        <w:spacing w:after="0" w:line="204" w:lineRule="exact"/>
        <w:jc w:val="both"/>
        <w:rPr>
          <w:rFonts w:ascii="Calibri" w:hAnsi="Calibri"/>
          <w:sz w:val="17"/>
        </w:rPr>
        <w:sectPr>
          <w:pgSz w:w="9640" w:h="13890"/>
          <w:pgMar w:top="0" w:bottom="280" w:left="1300" w:right="1180"/>
        </w:sectPr>
      </w:pPr>
    </w:p>
    <w:p>
      <w:pPr>
        <w:spacing w:line="220" w:lineRule="exact" w:before="121"/>
        <w:ind w:left="1521" w:right="114" w:firstLine="0"/>
        <w:jc w:val="both"/>
        <w:rPr>
          <w:sz w:val="19"/>
        </w:rPr>
      </w:pPr>
      <w:r>
        <w:rPr>
          <w:color w:val="231F20"/>
          <w:sz w:val="19"/>
        </w:rPr>
        <w:t>In questo conflitto, il locale non si costituisce come alternativa al globale</w:t>
      </w:r>
      <w:r>
        <w:rPr>
          <w:color w:val="231F20"/>
          <w:spacing w:val="-15"/>
          <w:sz w:val="19"/>
        </w:rPr>
        <w:t> </w:t>
      </w:r>
      <w:r>
        <w:rPr>
          <w:color w:val="231F20"/>
          <w:sz w:val="19"/>
        </w:rPr>
        <w:t>[…].</w:t>
      </w:r>
      <w:r>
        <w:rPr>
          <w:color w:val="231F20"/>
          <w:spacing w:val="-15"/>
          <w:sz w:val="19"/>
        </w:rPr>
        <w:t> </w:t>
      </w:r>
      <w:r>
        <w:rPr>
          <w:color w:val="231F20"/>
          <w:sz w:val="19"/>
        </w:rPr>
        <w:t>I</w:t>
      </w:r>
      <w:r>
        <w:rPr>
          <w:color w:val="231F20"/>
          <w:spacing w:val="-15"/>
          <w:sz w:val="19"/>
        </w:rPr>
        <w:t> </w:t>
      </w:r>
      <w:r>
        <w:rPr>
          <w:color w:val="231F20"/>
          <w:sz w:val="19"/>
        </w:rPr>
        <w:t>localismi</w:t>
      </w:r>
      <w:r>
        <w:rPr>
          <w:color w:val="231F20"/>
          <w:spacing w:val="-15"/>
          <w:sz w:val="19"/>
        </w:rPr>
        <w:t> </w:t>
      </w:r>
      <w:r>
        <w:rPr>
          <w:color w:val="231F20"/>
          <w:sz w:val="19"/>
        </w:rPr>
        <w:t>appartengono</w:t>
      </w:r>
      <w:r>
        <w:rPr>
          <w:color w:val="231F20"/>
          <w:spacing w:val="-15"/>
          <w:sz w:val="19"/>
        </w:rPr>
        <w:t> </w:t>
      </w:r>
      <w:r>
        <w:rPr>
          <w:color w:val="231F20"/>
          <w:sz w:val="19"/>
        </w:rPr>
        <w:t>in</w:t>
      </w:r>
      <w:r>
        <w:rPr>
          <w:color w:val="231F20"/>
          <w:spacing w:val="-15"/>
          <w:sz w:val="19"/>
        </w:rPr>
        <w:t> </w:t>
      </w:r>
      <w:r>
        <w:rPr>
          <w:color w:val="231F20"/>
          <w:sz w:val="19"/>
        </w:rPr>
        <w:t>tutto</w:t>
      </w:r>
      <w:r>
        <w:rPr>
          <w:color w:val="231F20"/>
          <w:spacing w:val="-15"/>
          <w:sz w:val="19"/>
        </w:rPr>
        <w:t> </w:t>
      </w:r>
      <w:r>
        <w:rPr>
          <w:color w:val="231F20"/>
          <w:sz w:val="19"/>
        </w:rPr>
        <w:t>e</w:t>
      </w:r>
      <w:r>
        <w:rPr>
          <w:color w:val="231F20"/>
          <w:spacing w:val="-15"/>
          <w:sz w:val="19"/>
        </w:rPr>
        <w:t> </w:t>
      </w:r>
      <w:r>
        <w:rPr>
          <w:color w:val="231F20"/>
          <w:sz w:val="19"/>
        </w:rPr>
        <w:t>per</w:t>
      </w:r>
      <w:r>
        <w:rPr>
          <w:color w:val="231F20"/>
          <w:spacing w:val="-15"/>
          <w:sz w:val="19"/>
        </w:rPr>
        <w:t> </w:t>
      </w:r>
      <w:r>
        <w:rPr>
          <w:color w:val="231F20"/>
          <w:sz w:val="19"/>
        </w:rPr>
        <w:t>tutto</w:t>
      </w:r>
      <w:r>
        <w:rPr>
          <w:color w:val="231F20"/>
          <w:spacing w:val="-15"/>
          <w:sz w:val="19"/>
        </w:rPr>
        <w:t> </w:t>
      </w:r>
      <w:r>
        <w:rPr>
          <w:color w:val="231F20"/>
          <w:sz w:val="19"/>
        </w:rPr>
        <w:t>alla</w:t>
      </w:r>
      <w:r>
        <w:rPr>
          <w:color w:val="231F20"/>
          <w:spacing w:val="-15"/>
          <w:sz w:val="19"/>
        </w:rPr>
        <w:t> </w:t>
      </w:r>
      <w:r>
        <w:rPr>
          <w:color w:val="231F20"/>
          <w:sz w:val="19"/>
        </w:rPr>
        <w:t>logica </w:t>
      </w:r>
      <w:r>
        <w:rPr>
          <w:color w:val="231F20"/>
          <w:spacing w:val="-3"/>
          <w:sz w:val="19"/>
        </w:rPr>
        <w:t>della</w:t>
      </w:r>
      <w:r>
        <w:rPr>
          <w:color w:val="231F20"/>
          <w:spacing w:val="-11"/>
          <w:sz w:val="19"/>
        </w:rPr>
        <w:t> </w:t>
      </w:r>
      <w:r>
        <w:rPr>
          <w:color w:val="231F20"/>
          <w:spacing w:val="-3"/>
          <w:sz w:val="19"/>
        </w:rPr>
        <w:t>globalizzazione:</w:t>
      </w:r>
      <w:r>
        <w:rPr>
          <w:color w:val="231F20"/>
          <w:spacing w:val="-11"/>
          <w:sz w:val="19"/>
        </w:rPr>
        <w:t> </w:t>
      </w:r>
      <w:r>
        <w:rPr>
          <w:color w:val="231F20"/>
          <w:sz w:val="19"/>
        </w:rPr>
        <w:t>si</w:t>
      </w:r>
      <w:r>
        <w:rPr>
          <w:color w:val="231F20"/>
          <w:spacing w:val="-11"/>
          <w:sz w:val="19"/>
        </w:rPr>
        <w:t> </w:t>
      </w:r>
      <w:r>
        <w:rPr>
          <w:color w:val="231F20"/>
          <w:spacing w:val="-3"/>
          <w:sz w:val="19"/>
        </w:rPr>
        <w:t>alimentano</w:t>
      </w:r>
      <w:r>
        <w:rPr>
          <w:color w:val="231F20"/>
          <w:spacing w:val="-11"/>
          <w:sz w:val="19"/>
        </w:rPr>
        <w:t> </w:t>
      </w:r>
      <w:r>
        <w:rPr>
          <w:color w:val="231F20"/>
          <w:sz w:val="19"/>
        </w:rPr>
        <w:t>di</w:t>
      </w:r>
      <w:r>
        <w:rPr>
          <w:color w:val="231F20"/>
          <w:spacing w:val="-11"/>
          <w:sz w:val="19"/>
        </w:rPr>
        <w:t> </w:t>
      </w:r>
      <w:r>
        <w:rPr>
          <w:color w:val="231F20"/>
          <w:spacing w:val="-3"/>
          <w:sz w:val="19"/>
        </w:rPr>
        <w:t>essa</w:t>
      </w:r>
      <w:r>
        <w:rPr>
          <w:color w:val="231F20"/>
          <w:spacing w:val="-11"/>
          <w:sz w:val="19"/>
        </w:rPr>
        <w:t> </w:t>
      </w:r>
      <w:r>
        <w:rPr>
          <w:color w:val="231F20"/>
          <w:spacing w:val="-3"/>
          <w:sz w:val="19"/>
        </w:rPr>
        <w:t>anche</w:t>
      </w:r>
      <w:r>
        <w:rPr>
          <w:color w:val="231F20"/>
          <w:spacing w:val="-11"/>
          <w:sz w:val="19"/>
        </w:rPr>
        <w:t> </w:t>
      </w:r>
      <w:r>
        <w:rPr>
          <w:color w:val="231F20"/>
          <w:spacing w:val="-3"/>
          <w:sz w:val="19"/>
        </w:rPr>
        <w:t>quando</w:t>
      </w:r>
      <w:r>
        <w:rPr>
          <w:color w:val="231F20"/>
          <w:spacing w:val="-11"/>
          <w:sz w:val="19"/>
        </w:rPr>
        <w:t> </w:t>
      </w:r>
      <w:r>
        <w:rPr>
          <w:color w:val="231F20"/>
          <w:spacing w:val="-3"/>
          <w:sz w:val="19"/>
        </w:rPr>
        <w:t>ostentano </w:t>
      </w:r>
      <w:r>
        <w:rPr>
          <w:color w:val="231F20"/>
          <w:sz w:val="19"/>
        </w:rPr>
        <w:t>irriducibile inimicizia […]. Autoreferenza tecnocratica della logica globale e deriva populista dei contesti locali di identificazione simbolica si relazionano tra loro come le due facce della stessa moneta,</w:t>
      </w:r>
      <w:r>
        <w:rPr>
          <w:color w:val="231F20"/>
          <w:spacing w:val="-5"/>
          <w:sz w:val="19"/>
        </w:rPr>
        <w:t> </w:t>
      </w:r>
      <w:r>
        <w:rPr>
          <w:color w:val="231F20"/>
          <w:sz w:val="19"/>
        </w:rPr>
        <w:t>progettando</w:t>
      </w:r>
      <w:r>
        <w:rPr>
          <w:color w:val="231F20"/>
          <w:spacing w:val="-5"/>
          <w:sz w:val="19"/>
        </w:rPr>
        <w:t> </w:t>
      </w:r>
      <w:r>
        <w:rPr>
          <w:color w:val="231F20"/>
          <w:sz w:val="19"/>
        </w:rPr>
        <w:t>in</w:t>
      </w:r>
      <w:r>
        <w:rPr>
          <w:color w:val="231F20"/>
          <w:spacing w:val="-5"/>
          <w:sz w:val="19"/>
        </w:rPr>
        <w:t> </w:t>
      </w:r>
      <w:r>
        <w:rPr>
          <w:color w:val="231F20"/>
          <w:sz w:val="19"/>
        </w:rPr>
        <w:t>forma</w:t>
      </w:r>
      <w:r>
        <w:rPr>
          <w:color w:val="231F20"/>
          <w:spacing w:val="-5"/>
          <w:sz w:val="19"/>
        </w:rPr>
        <w:t> </w:t>
      </w:r>
      <w:r>
        <w:rPr>
          <w:color w:val="231F20"/>
          <w:sz w:val="19"/>
        </w:rPr>
        <w:t>unita</w:t>
      </w:r>
      <w:r>
        <w:rPr>
          <w:color w:val="231F20"/>
          <w:spacing w:val="-5"/>
          <w:sz w:val="19"/>
        </w:rPr>
        <w:t> </w:t>
      </w:r>
      <w:r>
        <w:rPr>
          <w:color w:val="231F20"/>
          <w:sz w:val="19"/>
        </w:rPr>
        <w:t>un</w:t>
      </w:r>
      <w:r>
        <w:rPr>
          <w:color w:val="231F20"/>
          <w:spacing w:val="-5"/>
          <w:sz w:val="19"/>
        </w:rPr>
        <w:t> </w:t>
      </w:r>
      <w:r>
        <w:rPr>
          <w:color w:val="231F20"/>
          <w:sz w:val="19"/>
        </w:rPr>
        <w:t>asse</w:t>
      </w:r>
      <w:r>
        <w:rPr>
          <w:color w:val="231F20"/>
          <w:spacing w:val="-5"/>
          <w:sz w:val="19"/>
        </w:rPr>
        <w:t> </w:t>
      </w:r>
      <w:r>
        <w:rPr>
          <w:color w:val="231F20"/>
          <w:sz w:val="19"/>
        </w:rPr>
        <w:t>di</w:t>
      </w:r>
      <w:r>
        <w:rPr>
          <w:color w:val="231F20"/>
          <w:spacing w:val="-5"/>
          <w:sz w:val="19"/>
        </w:rPr>
        <w:t> </w:t>
      </w:r>
      <w:r>
        <w:rPr>
          <w:color w:val="231F20"/>
          <w:sz w:val="19"/>
        </w:rPr>
        <w:t>relazioni</w:t>
      </w:r>
      <w:r>
        <w:rPr>
          <w:color w:val="231F20"/>
          <w:spacing w:val="-5"/>
          <w:sz w:val="19"/>
        </w:rPr>
        <w:t> </w:t>
      </w:r>
      <w:r>
        <w:rPr>
          <w:color w:val="231F20"/>
          <w:sz w:val="19"/>
        </w:rPr>
        <w:t>conflittive rispetto alle politiche di</w:t>
      </w:r>
      <w:r>
        <w:rPr>
          <w:color w:val="231F20"/>
          <w:spacing w:val="23"/>
          <w:sz w:val="19"/>
        </w:rPr>
        <w:t> </w:t>
      </w:r>
      <w:r>
        <w:rPr>
          <w:color w:val="231F20"/>
          <w:sz w:val="19"/>
        </w:rPr>
        <w:t>universalizzazione</w:t>
      </w:r>
      <w:r>
        <w:rPr>
          <w:color w:val="231F20"/>
          <w:position w:val="6"/>
          <w:sz w:val="11"/>
        </w:rPr>
        <w:t>47</w:t>
      </w:r>
      <w:r>
        <w:rPr>
          <w:color w:val="231F20"/>
          <w:sz w:val="19"/>
        </w:rPr>
        <w:t>.</w:t>
      </w:r>
    </w:p>
    <w:p>
      <w:pPr>
        <w:pStyle w:val="BodyText"/>
        <w:rPr>
          <w:sz w:val="25"/>
        </w:rPr>
      </w:pPr>
    </w:p>
    <w:p>
      <w:pPr>
        <w:spacing w:before="0"/>
        <w:ind w:left="103" w:right="0" w:firstLine="0"/>
        <w:jc w:val="both"/>
        <w:rPr>
          <w:rFonts w:ascii="Arial"/>
          <w:i/>
          <w:sz w:val="21"/>
        </w:rPr>
      </w:pPr>
      <w:r>
        <w:rPr>
          <w:rFonts w:ascii="Arial"/>
          <w:i/>
          <w:color w:val="231F20"/>
          <w:w w:val="105"/>
          <w:sz w:val="21"/>
        </w:rPr>
        <w:t>Coda. Un popolo per venire</w:t>
      </w:r>
    </w:p>
    <w:p>
      <w:pPr>
        <w:pStyle w:val="BodyText"/>
        <w:rPr>
          <w:rFonts w:ascii="Arial"/>
          <w:i/>
          <w:sz w:val="20"/>
        </w:rPr>
      </w:pPr>
    </w:p>
    <w:p>
      <w:pPr>
        <w:pStyle w:val="BodyText"/>
        <w:spacing w:line="244" w:lineRule="auto" w:before="172"/>
        <w:ind w:left="103" w:right="109"/>
        <w:jc w:val="both"/>
      </w:pPr>
      <w:r>
        <w:rPr>
          <w:color w:val="231F20"/>
        </w:rPr>
        <w:t>È vero </w:t>
      </w:r>
      <w:r>
        <w:rPr>
          <w:color w:val="231F20"/>
          <w:spacing w:val="2"/>
        </w:rPr>
        <w:t>che </w:t>
      </w:r>
      <w:r>
        <w:rPr>
          <w:color w:val="231F20"/>
        </w:rPr>
        <w:t>il </w:t>
      </w:r>
      <w:r>
        <w:rPr>
          <w:color w:val="231F20"/>
          <w:spacing w:val="3"/>
        </w:rPr>
        <w:t>capitalismo, tale come </w:t>
      </w:r>
      <w:r>
        <w:rPr>
          <w:color w:val="231F20"/>
        </w:rPr>
        <w:t>lo </w:t>
      </w:r>
      <w:r>
        <w:rPr>
          <w:color w:val="231F20"/>
          <w:spacing w:val="3"/>
        </w:rPr>
        <w:t>definisce Deleuze, evade </w:t>
      </w:r>
      <w:r>
        <w:rPr>
          <w:color w:val="231F20"/>
          <w:spacing w:val="4"/>
        </w:rPr>
        <w:t>ogni </w:t>
      </w:r>
      <w:r>
        <w:rPr>
          <w:color w:val="231F20"/>
          <w:spacing w:val="2"/>
        </w:rPr>
        <w:t>fondamento, ogni territorializzazione permanente; nonostante, </w:t>
      </w:r>
      <w:r>
        <w:rPr>
          <w:color w:val="231F20"/>
          <w:spacing w:val="3"/>
        </w:rPr>
        <w:t>questo </w:t>
      </w:r>
      <w:r>
        <w:rPr>
          <w:color w:val="231F20"/>
        </w:rPr>
        <w:t>movimento deterritorializzatore non può prescindere di territorializzare, di assegnare delle identità e dei limiti stabili; è proprio lì dove le singolarità</w:t>
      </w:r>
      <w:r>
        <w:rPr>
          <w:color w:val="231F20"/>
          <w:position w:val="7"/>
          <w:sz w:val="12"/>
        </w:rPr>
        <w:t>48 </w:t>
      </w:r>
      <w:r>
        <w:rPr>
          <w:color w:val="231F20"/>
        </w:rPr>
        <w:t>corrono il pericolo di essere ridotte a un’espressione fissa. Se vogliamo preservare il locale come differenza radicale, se non vogliamo fissarlo in una identità stabile, non possiamo vederlo in semplice continuità o come </w:t>
      </w:r>
      <w:r>
        <w:rPr>
          <w:color w:val="231F20"/>
          <w:spacing w:val="-3"/>
        </w:rPr>
        <w:t>reazione </w:t>
      </w:r>
      <w:r>
        <w:rPr>
          <w:color w:val="231F20"/>
        </w:rPr>
        <w:t>di </w:t>
      </w:r>
      <w:r>
        <w:rPr>
          <w:color w:val="231F20"/>
          <w:spacing w:val="-3"/>
        </w:rPr>
        <w:t>fronte </w:t>
      </w:r>
      <w:r>
        <w:rPr>
          <w:color w:val="231F20"/>
        </w:rPr>
        <w:t>al globale; sopratutto </w:t>
      </w:r>
      <w:r>
        <w:rPr>
          <w:color w:val="231F20"/>
          <w:spacing w:val="-3"/>
        </w:rPr>
        <w:t>perchè </w:t>
      </w:r>
      <w:r>
        <w:rPr>
          <w:color w:val="231F20"/>
        </w:rPr>
        <w:t>esso </w:t>
      </w:r>
      <w:r>
        <w:rPr>
          <w:color w:val="231F20"/>
          <w:spacing w:val="-3"/>
        </w:rPr>
        <w:t>risponderebbe </w:t>
      </w:r>
      <w:r>
        <w:rPr>
          <w:color w:val="231F20"/>
        </w:rPr>
        <w:t>a quello che</w:t>
      </w:r>
      <w:r>
        <w:rPr>
          <w:color w:val="231F20"/>
          <w:spacing w:val="-18"/>
        </w:rPr>
        <w:t> </w:t>
      </w:r>
      <w:r>
        <w:rPr>
          <w:color w:val="231F20"/>
        </w:rPr>
        <w:t>Deleuze</w:t>
      </w:r>
      <w:r>
        <w:rPr>
          <w:color w:val="231F20"/>
          <w:spacing w:val="-18"/>
        </w:rPr>
        <w:t> </w:t>
      </w:r>
      <w:r>
        <w:rPr>
          <w:color w:val="231F20"/>
        </w:rPr>
        <w:t>e</w:t>
      </w:r>
      <w:r>
        <w:rPr>
          <w:color w:val="231F20"/>
          <w:spacing w:val="-18"/>
        </w:rPr>
        <w:t> </w:t>
      </w:r>
      <w:r>
        <w:rPr>
          <w:color w:val="231F20"/>
        </w:rPr>
        <w:t>Guattari</w:t>
      </w:r>
      <w:r>
        <w:rPr>
          <w:color w:val="231F20"/>
          <w:spacing w:val="-18"/>
        </w:rPr>
        <w:t> </w:t>
      </w:r>
      <w:r>
        <w:rPr>
          <w:color w:val="231F20"/>
        </w:rPr>
        <w:t>chiamano</w:t>
      </w:r>
      <w:r>
        <w:rPr>
          <w:color w:val="231F20"/>
          <w:spacing w:val="-18"/>
        </w:rPr>
        <w:t> </w:t>
      </w:r>
      <w:r>
        <w:rPr>
          <w:color w:val="231F20"/>
        </w:rPr>
        <w:t>il</w:t>
      </w:r>
      <w:r>
        <w:rPr>
          <w:color w:val="231F20"/>
          <w:spacing w:val="-14"/>
        </w:rPr>
        <w:t> </w:t>
      </w:r>
      <w:r>
        <w:rPr>
          <w:rFonts w:ascii="Arial" w:hAnsi="Arial"/>
          <w:i/>
          <w:color w:val="231F20"/>
        </w:rPr>
        <w:t>relativo</w:t>
      </w:r>
      <w:r>
        <w:rPr>
          <w:rFonts w:ascii="Arial" w:hAnsi="Arial"/>
          <w:i/>
          <w:color w:val="231F20"/>
          <w:spacing w:val="-11"/>
        </w:rPr>
        <w:t> </w:t>
      </w:r>
      <w:r>
        <w:rPr>
          <w:rFonts w:ascii="Arial" w:hAnsi="Arial"/>
          <w:i/>
          <w:color w:val="231F20"/>
        </w:rPr>
        <w:t>globale</w:t>
      </w:r>
      <w:r>
        <w:rPr>
          <w:color w:val="231F20"/>
        </w:rPr>
        <w:t>,</w:t>
      </w:r>
      <w:r>
        <w:rPr>
          <w:color w:val="231F20"/>
          <w:spacing w:val="-18"/>
        </w:rPr>
        <w:t> </w:t>
      </w:r>
      <w:r>
        <w:rPr>
          <w:color w:val="231F20"/>
        </w:rPr>
        <w:t>cioè,</w:t>
      </w:r>
      <w:r>
        <w:rPr>
          <w:color w:val="231F20"/>
          <w:spacing w:val="-18"/>
        </w:rPr>
        <w:t> </w:t>
      </w:r>
      <w:r>
        <w:rPr>
          <w:color w:val="231F20"/>
        </w:rPr>
        <w:t>uno</w:t>
      </w:r>
      <w:r>
        <w:rPr>
          <w:color w:val="231F20"/>
          <w:spacing w:val="-16"/>
        </w:rPr>
        <w:t> </w:t>
      </w:r>
      <w:r>
        <w:rPr>
          <w:rFonts w:ascii="Arial" w:hAnsi="Arial"/>
          <w:i/>
          <w:color w:val="231F20"/>
        </w:rPr>
        <w:t>spazio</w:t>
      </w:r>
      <w:r>
        <w:rPr>
          <w:rFonts w:ascii="Arial" w:hAnsi="Arial"/>
          <w:i/>
          <w:color w:val="231F20"/>
          <w:spacing w:val="-11"/>
        </w:rPr>
        <w:t> </w:t>
      </w:r>
      <w:r>
        <w:rPr>
          <w:rFonts w:ascii="Arial" w:hAnsi="Arial"/>
          <w:i/>
          <w:color w:val="231F20"/>
        </w:rPr>
        <w:t>striato</w:t>
      </w:r>
      <w:r>
        <w:rPr>
          <w:color w:val="231F20"/>
        </w:rPr>
        <w:t>, diviso in parti, in luoghi, che stabiliscono direzioni fisse e bordi, così come le maniere valide di oltrepassarli. Di fronte al relativo globale si alzerebbe l’</w:t>
      </w:r>
      <w:r>
        <w:rPr>
          <w:rFonts w:ascii="Arial" w:hAnsi="Arial"/>
          <w:i/>
          <w:color w:val="231F20"/>
        </w:rPr>
        <w:t>assoluto locale</w:t>
      </w:r>
      <w:r>
        <w:rPr>
          <w:color w:val="231F20"/>
        </w:rPr>
        <w:t>; cioè uno spazio </w:t>
      </w:r>
      <w:r>
        <w:rPr>
          <w:rFonts w:ascii="Arial" w:hAnsi="Arial"/>
          <w:i/>
          <w:color w:val="231F20"/>
        </w:rPr>
        <w:t>liscio </w:t>
      </w:r>
      <w:r>
        <w:rPr>
          <w:color w:val="231F20"/>
        </w:rPr>
        <w:t>che non ha ne compartimenti ne </w:t>
      </w:r>
      <w:r>
        <w:rPr>
          <w:color w:val="231F20"/>
          <w:spacing w:val="2"/>
        </w:rPr>
        <w:t>solchi </w:t>
      </w:r>
      <w:r>
        <w:rPr>
          <w:color w:val="231F20"/>
        </w:rPr>
        <w:t>che </w:t>
      </w:r>
      <w:r>
        <w:rPr>
          <w:color w:val="231F20"/>
          <w:spacing w:val="2"/>
        </w:rPr>
        <w:t>indichino </w:t>
      </w:r>
      <w:r>
        <w:rPr>
          <w:color w:val="231F20"/>
        </w:rPr>
        <w:t>in </w:t>
      </w:r>
      <w:r>
        <w:rPr>
          <w:color w:val="231F20"/>
          <w:spacing w:val="2"/>
        </w:rPr>
        <w:t>anticipo quale distribuzione </w:t>
      </w:r>
      <w:r>
        <w:rPr>
          <w:color w:val="231F20"/>
        </w:rPr>
        <w:t>prendere, in </w:t>
      </w:r>
      <w:r>
        <w:rPr>
          <w:color w:val="231F20"/>
          <w:spacing w:val="3"/>
        </w:rPr>
        <w:t>quale </w:t>
      </w:r>
      <w:r>
        <w:rPr>
          <w:color w:val="231F20"/>
          <w:spacing w:val="2"/>
        </w:rPr>
        <w:t>casella installarsi </w:t>
      </w:r>
      <w:r>
        <w:rPr>
          <w:color w:val="231F20"/>
        </w:rPr>
        <w:t>o </w:t>
      </w:r>
      <w:r>
        <w:rPr>
          <w:color w:val="231F20"/>
          <w:spacing w:val="2"/>
        </w:rPr>
        <w:t>quale forma </w:t>
      </w:r>
      <w:r>
        <w:rPr>
          <w:color w:val="231F20"/>
        </w:rPr>
        <w:t>prendere. L’</w:t>
      </w:r>
      <w:r>
        <w:rPr>
          <w:rFonts w:ascii="Arial" w:hAnsi="Arial"/>
          <w:i/>
          <w:color w:val="231F20"/>
        </w:rPr>
        <w:t>assoluto </w:t>
      </w:r>
      <w:r>
        <w:rPr>
          <w:rFonts w:ascii="Arial" w:hAnsi="Arial"/>
          <w:i/>
          <w:color w:val="231F20"/>
          <w:spacing w:val="2"/>
        </w:rPr>
        <w:t>locale </w:t>
      </w:r>
      <w:r>
        <w:rPr>
          <w:color w:val="231F20"/>
        </w:rPr>
        <w:t>si </w:t>
      </w:r>
      <w:r>
        <w:rPr>
          <w:color w:val="231F20"/>
          <w:spacing w:val="2"/>
        </w:rPr>
        <w:t>presenta </w:t>
      </w:r>
      <w:r>
        <w:rPr>
          <w:color w:val="231F20"/>
        </w:rPr>
        <w:t>come</w:t>
      </w:r>
      <w:r>
        <w:rPr>
          <w:color w:val="231F20"/>
          <w:spacing w:val="-11"/>
        </w:rPr>
        <w:t> </w:t>
      </w:r>
      <w:r>
        <w:rPr>
          <w:rFonts w:ascii="Arial" w:hAnsi="Arial"/>
          <w:i/>
          <w:color w:val="231F20"/>
        </w:rPr>
        <w:t>movimento</w:t>
      </w:r>
      <w:r>
        <w:rPr>
          <w:rFonts w:ascii="Arial" w:hAnsi="Arial"/>
          <w:i/>
          <w:color w:val="231F20"/>
          <w:spacing w:val="-4"/>
        </w:rPr>
        <w:t> </w:t>
      </w:r>
      <w:r>
        <w:rPr>
          <w:rFonts w:ascii="Arial" w:hAnsi="Arial"/>
          <w:i/>
          <w:color w:val="231F20"/>
        </w:rPr>
        <w:t>nomade</w:t>
      </w:r>
      <w:r>
        <w:rPr>
          <w:rFonts w:ascii="Arial" w:hAnsi="Arial"/>
          <w:i/>
          <w:color w:val="231F20"/>
          <w:spacing w:val="-3"/>
        </w:rPr>
        <w:t> </w:t>
      </w:r>
      <w:r>
        <w:rPr>
          <w:color w:val="231F20"/>
        </w:rPr>
        <w:t>che</w:t>
      </w:r>
      <w:r>
        <w:rPr>
          <w:color w:val="231F20"/>
          <w:spacing w:val="-11"/>
        </w:rPr>
        <w:t> </w:t>
      </w:r>
      <w:r>
        <w:rPr>
          <w:color w:val="231F20"/>
        </w:rPr>
        <w:t>non</w:t>
      </w:r>
      <w:r>
        <w:rPr>
          <w:color w:val="231F20"/>
          <w:spacing w:val="-11"/>
        </w:rPr>
        <w:t> </w:t>
      </w:r>
      <w:r>
        <w:rPr>
          <w:color w:val="231F20"/>
        </w:rPr>
        <w:t>è</w:t>
      </w:r>
      <w:r>
        <w:rPr>
          <w:color w:val="231F20"/>
          <w:spacing w:val="-11"/>
        </w:rPr>
        <w:t> </w:t>
      </w:r>
      <w:r>
        <w:rPr>
          <w:color w:val="231F20"/>
        </w:rPr>
        <w:t>localizzabile</w:t>
      </w:r>
      <w:r>
        <w:rPr>
          <w:color w:val="231F20"/>
          <w:spacing w:val="-11"/>
        </w:rPr>
        <w:t> </w:t>
      </w:r>
      <w:r>
        <w:rPr>
          <w:color w:val="231F20"/>
        </w:rPr>
        <w:t>ne</w:t>
      </w:r>
      <w:r>
        <w:rPr>
          <w:color w:val="231F20"/>
          <w:spacing w:val="-11"/>
        </w:rPr>
        <w:t> </w:t>
      </w:r>
      <w:r>
        <w:rPr>
          <w:color w:val="231F20"/>
        </w:rPr>
        <w:t>delimitabile</w:t>
      </w:r>
      <w:r>
        <w:rPr>
          <w:color w:val="231F20"/>
          <w:spacing w:val="-11"/>
        </w:rPr>
        <w:t> </w:t>
      </w:r>
      <w:r>
        <w:rPr>
          <w:color w:val="231F20"/>
        </w:rPr>
        <w:t>in</w:t>
      </w:r>
      <w:r>
        <w:rPr>
          <w:color w:val="231F20"/>
          <w:spacing w:val="-11"/>
        </w:rPr>
        <w:t> </w:t>
      </w:r>
      <w:r>
        <w:rPr>
          <w:color w:val="231F20"/>
        </w:rPr>
        <w:t>maniera permanente,</w:t>
      </w:r>
      <w:r>
        <w:rPr>
          <w:color w:val="231F20"/>
          <w:spacing w:val="-28"/>
        </w:rPr>
        <w:t> </w:t>
      </w:r>
      <w:r>
        <w:rPr>
          <w:color w:val="231F20"/>
        </w:rPr>
        <w:t>dato</w:t>
      </w:r>
      <w:r>
        <w:rPr>
          <w:color w:val="231F20"/>
          <w:spacing w:val="-28"/>
        </w:rPr>
        <w:t> </w:t>
      </w:r>
      <w:r>
        <w:rPr>
          <w:color w:val="231F20"/>
        </w:rPr>
        <w:t>che</w:t>
      </w:r>
      <w:r>
        <w:rPr>
          <w:color w:val="231F20"/>
          <w:spacing w:val="-28"/>
        </w:rPr>
        <w:t> </w:t>
      </w:r>
      <w:r>
        <w:rPr>
          <w:color w:val="231F20"/>
        </w:rPr>
        <w:t>si</w:t>
      </w:r>
      <w:r>
        <w:rPr>
          <w:color w:val="231F20"/>
          <w:spacing w:val="-28"/>
        </w:rPr>
        <w:t> </w:t>
      </w:r>
      <w:r>
        <w:rPr>
          <w:color w:val="231F20"/>
        </w:rPr>
        <w:t>orienta</w:t>
      </w:r>
      <w:r>
        <w:rPr>
          <w:color w:val="231F20"/>
          <w:spacing w:val="-28"/>
        </w:rPr>
        <w:t> </w:t>
      </w:r>
      <w:r>
        <w:rPr>
          <w:color w:val="231F20"/>
        </w:rPr>
        <w:t>e</w:t>
      </w:r>
      <w:r>
        <w:rPr>
          <w:color w:val="231F20"/>
          <w:spacing w:val="-28"/>
        </w:rPr>
        <w:t> </w:t>
      </w:r>
      <w:r>
        <w:rPr>
          <w:color w:val="231F20"/>
        </w:rPr>
        <w:t>si</w:t>
      </w:r>
      <w:r>
        <w:rPr>
          <w:color w:val="231F20"/>
          <w:spacing w:val="-28"/>
        </w:rPr>
        <w:t> </w:t>
      </w:r>
      <w:r>
        <w:rPr>
          <w:color w:val="231F20"/>
        </w:rPr>
        <w:t>riferisce</w:t>
      </w:r>
      <w:r>
        <w:rPr>
          <w:color w:val="231F20"/>
          <w:spacing w:val="-28"/>
        </w:rPr>
        <w:t> </w:t>
      </w:r>
      <w:r>
        <w:rPr>
          <w:color w:val="231F20"/>
        </w:rPr>
        <w:t>a</w:t>
      </w:r>
      <w:r>
        <w:rPr>
          <w:color w:val="231F20"/>
          <w:spacing w:val="-28"/>
        </w:rPr>
        <w:t> </w:t>
      </w:r>
      <w:r>
        <w:rPr>
          <w:color w:val="231F20"/>
        </w:rPr>
        <w:t>una</w:t>
      </w:r>
      <w:r>
        <w:rPr>
          <w:color w:val="231F20"/>
          <w:spacing w:val="-28"/>
        </w:rPr>
        <w:t> </w:t>
      </w:r>
      <w:r>
        <w:rPr>
          <w:color w:val="231F20"/>
        </w:rPr>
        <w:t>pluralità</w:t>
      </w:r>
      <w:r>
        <w:rPr>
          <w:color w:val="231F20"/>
          <w:spacing w:val="-28"/>
        </w:rPr>
        <w:t> </w:t>
      </w:r>
      <w:r>
        <w:rPr>
          <w:color w:val="231F20"/>
        </w:rPr>
        <w:t>di</w:t>
      </w:r>
      <w:r>
        <w:rPr>
          <w:color w:val="231F20"/>
          <w:spacing w:val="-28"/>
        </w:rPr>
        <w:t> </w:t>
      </w:r>
      <w:r>
        <w:rPr>
          <w:color w:val="231F20"/>
        </w:rPr>
        <w:t>manifestazioni, </w:t>
      </w:r>
      <w:r>
        <w:rPr>
          <w:color w:val="231F20"/>
          <w:spacing w:val="-4"/>
        </w:rPr>
        <w:t>loro</w:t>
      </w:r>
      <w:r>
        <w:rPr>
          <w:color w:val="231F20"/>
          <w:spacing w:val="-20"/>
        </w:rPr>
        <w:t> </w:t>
      </w:r>
      <w:r>
        <w:rPr>
          <w:color w:val="231F20"/>
          <w:spacing w:val="-3"/>
        </w:rPr>
        <w:t>stesse</w:t>
      </w:r>
      <w:r>
        <w:rPr>
          <w:color w:val="231F20"/>
          <w:spacing w:val="-20"/>
        </w:rPr>
        <w:t> </w:t>
      </w:r>
      <w:r>
        <w:rPr>
          <w:color w:val="231F20"/>
        </w:rPr>
        <w:t>in</w:t>
      </w:r>
      <w:r>
        <w:rPr>
          <w:color w:val="231F20"/>
          <w:spacing w:val="-20"/>
        </w:rPr>
        <w:t> </w:t>
      </w:r>
      <w:r>
        <w:rPr>
          <w:color w:val="231F20"/>
          <w:spacing w:val="-3"/>
        </w:rPr>
        <w:t>mutazione.</w:t>
      </w:r>
      <w:r>
        <w:rPr>
          <w:color w:val="231F20"/>
          <w:spacing w:val="-20"/>
        </w:rPr>
        <w:t> </w:t>
      </w:r>
      <w:r>
        <w:rPr>
          <w:color w:val="231F20"/>
          <w:spacing w:val="-14"/>
        </w:rPr>
        <w:t>L’</w:t>
      </w:r>
      <w:r>
        <w:rPr>
          <w:color w:val="231F20"/>
          <w:spacing w:val="-20"/>
        </w:rPr>
        <w:t> </w:t>
      </w:r>
      <w:r>
        <w:rPr>
          <w:color w:val="231F20"/>
          <w:spacing w:val="-3"/>
        </w:rPr>
        <w:t>assoluto</w:t>
      </w:r>
      <w:r>
        <w:rPr>
          <w:color w:val="231F20"/>
          <w:spacing w:val="-20"/>
        </w:rPr>
        <w:t> </w:t>
      </w:r>
      <w:r>
        <w:rPr>
          <w:color w:val="231F20"/>
          <w:spacing w:val="-3"/>
        </w:rPr>
        <w:t>locale</w:t>
      </w:r>
      <w:r>
        <w:rPr>
          <w:color w:val="231F20"/>
          <w:spacing w:val="-20"/>
        </w:rPr>
        <w:t> </w:t>
      </w:r>
      <w:r>
        <w:rPr>
          <w:color w:val="231F20"/>
        </w:rPr>
        <w:t>si</w:t>
      </w:r>
      <w:r>
        <w:rPr>
          <w:color w:val="231F20"/>
          <w:spacing w:val="-20"/>
        </w:rPr>
        <w:t> </w:t>
      </w:r>
      <w:r>
        <w:rPr>
          <w:color w:val="231F20"/>
          <w:spacing w:val="-3"/>
        </w:rPr>
        <w:t>riferisce</w:t>
      </w:r>
      <w:r>
        <w:rPr>
          <w:color w:val="231F20"/>
          <w:spacing w:val="-20"/>
        </w:rPr>
        <w:t> </w:t>
      </w:r>
      <w:r>
        <w:rPr>
          <w:color w:val="231F20"/>
          <w:spacing w:val="-3"/>
        </w:rPr>
        <w:t>allora</w:t>
      </w:r>
      <w:r>
        <w:rPr>
          <w:color w:val="231F20"/>
          <w:spacing w:val="-20"/>
        </w:rPr>
        <w:t> </w:t>
      </w:r>
      <w:r>
        <w:rPr>
          <w:color w:val="231F20"/>
        </w:rPr>
        <w:t>a:</w:t>
      </w:r>
      <w:r>
        <w:rPr>
          <w:color w:val="231F20"/>
          <w:spacing w:val="-20"/>
        </w:rPr>
        <w:t> </w:t>
      </w:r>
      <w:r>
        <w:rPr>
          <w:color w:val="231F20"/>
          <w:spacing w:val="-3"/>
        </w:rPr>
        <w:t>“[…]</w:t>
      </w:r>
      <w:r>
        <w:rPr>
          <w:color w:val="231F20"/>
          <w:spacing w:val="-20"/>
        </w:rPr>
        <w:t> </w:t>
      </w:r>
      <w:r>
        <w:rPr>
          <w:color w:val="231F20"/>
          <w:spacing w:val="-3"/>
        </w:rPr>
        <w:t>un’assoluto </w:t>
      </w:r>
      <w:r>
        <w:rPr>
          <w:color w:val="231F20"/>
        </w:rPr>
        <w:t>che</w:t>
      </w:r>
      <w:r>
        <w:rPr>
          <w:color w:val="231F20"/>
          <w:spacing w:val="-14"/>
        </w:rPr>
        <w:t> </w:t>
      </w:r>
      <w:r>
        <w:rPr>
          <w:color w:val="231F20"/>
        </w:rPr>
        <w:t>ha</w:t>
      </w:r>
      <w:r>
        <w:rPr>
          <w:color w:val="231F20"/>
          <w:spacing w:val="-14"/>
        </w:rPr>
        <w:t> </w:t>
      </w:r>
      <w:r>
        <w:rPr>
          <w:color w:val="231F20"/>
        </w:rPr>
        <w:t>la</w:t>
      </w:r>
      <w:r>
        <w:rPr>
          <w:color w:val="231F20"/>
          <w:spacing w:val="-14"/>
        </w:rPr>
        <w:t> </w:t>
      </w:r>
      <w:r>
        <w:rPr>
          <w:color w:val="231F20"/>
        </w:rPr>
        <w:t>sua</w:t>
      </w:r>
      <w:r>
        <w:rPr>
          <w:color w:val="231F20"/>
          <w:spacing w:val="-14"/>
        </w:rPr>
        <w:t> </w:t>
      </w:r>
      <w:r>
        <w:rPr>
          <w:color w:val="231F20"/>
        </w:rPr>
        <w:t>manifestazione</w:t>
      </w:r>
      <w:r>
        <w:rPr>
          <w:color w:val="231F20"/>
          <w:spacing w:val="-14"/>
        </w:rPr>
        <w:t> </w:t>
      </w:r>
      <w:r>
        <w:rPr>
          <w:color w:val="231F20"/>
        </w:rPr>
        <w:t>nel</w:t>
      </w:r>
      <w:r>
        <w:rPr>
          <w:color w:val="231F20"/>
          <w:spacing w:val="-14"/>
        </w:rPr>
        <w:t> </w:t>
      </w:r>
      <w:r>
        <w:rPr>
          <w:color w:val="231F20"/>
        </w:rPr>
        <w:t>locale</w:t>
      </w:r>
      <w:r>
        <w:rPr>
          <w:color w:val="231F20"/>
          <w:spacing w:val="-14"/>
        </w:rPr>
        <w:t> </w:t>
      </w:r>
      <w:r>
        <w:rPr>
          <w:color w:val="231F20"/>
        </w:rPr>
        <w:t>e</w:t>
      </w:r>
      <w:r>
        <w:rPr>
          <w:color w:val="231F20"/>
          <w:spacing w:val="-14"/>
        </w:rPr>
        <w:t> </w:t>
      </w:r>
      <w:r>
        <w:rPr>
          <w:color w:val="231F20"/>
        </w:rPr>
        <w:t>si</w:t>
      </w:r>
      <w:r>
        <w:rPr>
          <w:color w:val="231F20"/>
          <w:spacing w:val="-14"/>
        </w:rPr>
        <w:t> </w:t>
      </w:r>
      <w:r>
        <w:rPr>
          <w:color w:val="231F20"/>
        </w:rPr>
        <w:t>genera</w:t>
      </w:r>
      <w:r>
        <w:rPr>
          <w:color w:val="231F20"/>
          <w:spacing w:val="-14"/>
        </w:rPr>
        <w:t> </w:t>
      </w:r>
      <w:r>
        <w:rPr>
          <w:color w:val="231F20"/>
        </w:rPr>
        <w:t>in</w:t>
      </w:r>
      <w:r>
        <w:rPr>
          <w:color w:val="231F20"/>
          <w:spacing w:val="-14"/>
        </w:rPr>
        <w:t> </w:t>
      </w:r>
      <w:r>
        <w:rPr>
          <w:color w:val="231F20"/>
        </w:rPr>
        <w:t>una</w:t>
      </w:r>
      <w:r>
        <w:rPr>
          <w:color w:val="231F20"/>
          <w:spacing w:val="-14"/>
        </w:rPr>
        <w:t> </w:t>
      </w:r>
      <w:r>
        <w:rPr>
          <w:color w:val="231F20"/>
        </w:rPr>
        <w:t>serie</w:t>
      </w:r>
      <w:r>
        <w:rPr>
          <w:color w:val="231F20"/>
          <w:spacing w:val="-14"/>
        </w:rPr>
        <w:t> </w:t>
      </w:r>
      <w:r>
        <w:rPr>
          <w:color w:val="231F20"/>
        </w:rPr>
        <w:t>di</w:t>
      </w:r>
      <w:r>
        <w:rPr>
          <w:color w:val="231F20"/>
          <w:spacing w:val="-14"/>
        </w:rPr>
        <w:t> </w:t>
      </w:r>
      <w:r>
        <w:rPr>
          <w:color w:val="231F20"/>
        </w:rPr>
        <w:t>operazioni locali di orientamenti diversi: il deserto, la steppa, il ghiaccio, il mare”</w:t>
      </w:r>
      <w:r>
        <w:rPr>
          <w:color w:val="231F20"/>
          <w:position w:val="7"/>
          <w:sz w:val="12"/>
        </w:rPr>
        <w:t>49</w:t>
      </w:r>
      <w:r>
        <w:rPr>
          <w:color w:val="231F20"/>
        </w:rPr>
        <w:t>. </w:t>
      </w:r>
      <w:r>
        <w:rPr>
          <w:color w:val="231F20"/>
          <w:spacing w:val="3"/>
        </w:rPr>
        <w:t>Significa </w:t>
      </w:r>
      <w:r>
        <w:rPr>
          <w:rFonts w:ascii="Arial" w:hAnsi="Arial"/>
          <w:i/>
          <w:color w:val="231F20"/>
          <w:spacing w:val="2"/>
        </w:rPr>
        <w:t>far </w:t>
      </w:r>
      <w:r>
        <w:rPr>
          <w:rFonts w:ascii="Arial" w:hAnsi="Arial"/>
          <w:i/>
          <w:color w:val="231F20"/>
          <w:spacing w:val="3"/>
        </w:rPr>
        <w:t>apparire l’assoluto </w:t>
      </w:r>
      <w:r>
        <w:rPr>
          <w:rFonts w:ascii="Arial" w:hAnsi="Arial"/>
          <w:i/>
          <w:color w:val="231F20"/>
          <w:spacing w:val="2"/>
        </w:rPr>
        <w:t>nel </w:t>
      </w:r>
      <w:r>
        <w:rPr>
          <w:rFonts w:ascii="Arial" w:hAnsi="Arial"/>
          <w:i/>
          <w:color w:val="231F20"/>
          <w:spacing w:val="3"/>
        </w:rPr>
        <w:t>luogo</w:t>
      </w:r>
      <w:r>
        <w:rPr>
          <w:color w:val="231F20"/>
          <w:spacing w:val="3"/>
        </w:rPr>
        <w:t>, senza </w:t>
      </w:r>
      <w:r>
        <w:rPr>
          <w:color w:val="231F20"/>
          <w:spacing w:val="2"/>
        </w:rPr>
        <w:t>pretendere che </w:t>
      </w:r>
      <w:r>
        <w:rPr>
          <w:color w:val="231F20"/>
          <w:spacing w:val="4"/>
        </w:rPr>
        <w:t>quel </w:t>
      </w:r>
      <w:r>
        <w:rPr>
          <w:color w:val="231F20"/>
        </w:rPr>
        <w:t>luogo diventi assoluto. Far apparire il luogo nell’assoluto è precisamente  la strategia capitalista e della globalizazzione in generale: al presentarsi come un mostro senza fondamenti il cui compito è la</w:t>
      </w:r>
      <w:r>
        <w:rPr>
          <w:color w:val="231F20"/>
          <w:spacing w:val="49"/>
        </w:rPr>
        <w:t> </w:t>
      </w:r>
      <w:r>
        <w:rPr>
          <w:color w:val="231F20"/>
        </w:rPr>
        <w:t>deterritorializzazione</w:t>
      </w:r>
    </w:p>
    <w:p>
      <w:pPr>
        <w:pStyle w:val="BodyText"/>
        <w:rPr>
          <w:sz w:val="20"/>
        </w:rPr>
      </w:pPr>
    </w:p>
    <w:p>
      <w:pPr>
        <w:pStyle w:val="BodyText"/>
        <w:spacing w:before="7"/>
        <w:rPr>
          <w:sz w:val="19"/>
        </w:rPr>
      </w:pPr>
      <w:r>
        <w:rPr/>
        <w:pict>
          <v:line style="position:absolute;mso-position-horizontal-relative:page;mso-position-vertical-relative:paragraph;z-index:12016;mso-wrap-distance-left:0;mso-wrap-distance-right:0" from="65.1968pt,13.947602pt" to="178.5828pt,13.947602pt" stroked="true" strokeweight=".3pt" strokecolor="#231f20">
            <w10:wrap type="topAndBottom"/>
          </v:line>
        </w:pict>
      </w:r>
    </w:p>
    <w:p>
      <w:pPr>
        <w:spacing w:line="206" w:lineRule="exact" w:before="10"/>
        <w:ind w:left="103" w:right="0" w:firstLine="0"/>
        <w:jc w:val="both"/>
        <w:rPr>
          <w:rFonts w:ascii="Calibri"/>
          <w:sz w:val="17"/>
        </w:rPr>
      </w:pPr>
      <w:r>
        <w:rPr>
          <w:rFonts w:ascii="Calibri"/>
          <w:color w:val="231F20"/>
          <w:position w:val="6"/>
          <w:sz w:val="10"/>
        </w:rPr>
        <w:t>47 </w:t>
      </w:r>
      <w:r>
        <w:rPr>
          <w:rFonts w:ascii="Calibri"/>
          <w:color w:val="231F20"/>
          <w:sz w:val="17"/>
        </w:rPr>
        <w:t>Marramao, </w:t>
      </w:r>
      <w:r>
        <w:rPr>
          <w:rFonts w:ascii="Calibri"/>
          <w:i/>
          <w:color w:val="231F20"/>
          <w:sz w:val="17"/>
        </w:rPr>
        <w:t>Pasaje a Occidente</w:t>
      </w:r>
      <w:r>
        <w:rPr>
          <w:rFonts w:ascii="Calibri"/>
          <w:color w:val="231F20"/>
          <w:sz w:val="17"/>
        </w:rPr>
        <w:t>, p. 249.</w:t>
      </w:r>
    </w:p>
    <w:p>
      <w:pPr>
        <w:spacing w:line="235" w:lineRule="auto" w:before="1"/>
        <w:ind w:left="103" w:right="113" w:firstLine="0"/>
        <w:jc w:val="both"/>
        <w:rPr>
          <w:rFonts w:ascii="Calibri" w:hAnsi="Calibri"/>
          <w:sz w:val="17"/>
        </w:rPr>
      </w:pPr>
      <w:r>
        <w:rPr>
          <w:rFonts w:ascii="Calibri" w:hAnsi="Calibri"/>
          <w:color w:val="231F20"/>
          <w:position w:val="6"/>
          <w:sz w:val="10"/>
        </w:rPr>
        <w:t>48 </w:t>
      </w:r>
      <w:r>
        <w:rPr>
          <w:rFonts w:ascii="Calibri" w:hAnsi="Calibri"/>
          <w:color w:val="231F20"/>
          <w:sz w:val="17"/>
        </w:rPr>
        <w:t>Nella prospettiva deleuziana, le singolarità sono ciò che esiste prima degli individui e ciò che permette l’individuazione; è quello che emerge a partire da una dinamica intensiva di relazioni         e accoppiamenti,  perciò,  raggiunge  solo  una  stabilità  precaria  e  momentanea,  perchè  cambia di natura, così come cambiano le sue connessioni. Le singolarità non sono assolutamente indifferenziate, ma neanche ci rimettono ad individui completi e ben definiti. Possiamo ben dire, sono punti precari e diffusi che perdono la loro consistenza ad ogni nuovo accoppiamento e che raggiungono una nuova ad ogni nuova   </w:t>
      </w:r>
      <w:r>
        <w:rPr>
          <w:rFonts w:ascii="Calibri" w:hAnsi="Calibri"/>
          <w:color w:val="231F20"/>
          <w:spacing w:val="11"/>
          <w:sz w:val="17"/>
        </w:rPr>
        <w:t> </w:t>
      </w:r>
      <w:r>
        <w:rPr>
          <w:rFonts w:ascii="Calibri" w:hAnsi="Calibri"/>
          <w:color w:val="231F20"/>
          <w:sz w:val="17"/>
        </w:rPr>
        <w:t>connessione.</w:t>
      </w:r>
    </w:p>
    <w:p>
      <w:pPr>
        <w:spacing w:line="205" w:lineRule="exact" w:before="0"/>
        <w:ind w:left="103" w:right="0" w:firstLine="0"/>
        <w:jc w:val="both"/>
        <w:rPr>
          <w:rFonts w:ascii="Calibri"/>
          <w:sz w:val="17"/>
        </w:rPr>
      </w:pPr>
      <w:r>
        <w:rPr>
          <w:rFonts w:ascii="Calibri"/>
          <w:color w:val="231F20"/>
          <w:position w:val="6"/>
          <w:sz w:val="10"/>
        </w:rPr>
        <w:t>49  </w:t>
      </w:r>
      <w:r>
        <w:rPr>
          <w:rFonts w:ascii="Calibri"/>
          <w:color w:val="231F20"/>
          <w:sz w:val="17"/>
        </w:rPr>
        <w:t>Deleuze e Guattari, </w:t>
      </w:r>
      <w:r>
        <w:rPr>
          <w:rFonts w:ascii="Calibri"/>
          <w:i/>
          <w:color w:val="231F20"/>
          <w:sz w:val="17"/>
        </w:rPr>
        <w:t>Mille Plateaux</w:t>
      </w:r>
      <w:r>
        <w:rPr>
          <w:rFonts w:ascii="Calibri"/>
          <w:color w:val="231F20"/>
          <w:sz w:val="17"/>
        </w:rPr>
        <w:t>, p. 474.</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3360"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82</w:t>
        <w:tab/>
      </w:r>
      <w:r>
        <w:rPr>
          <w:rFonts w:ascii="Calibri" w:hAnsi="Calibri"/>
          <w:color w:val="6D6E71"/>
          <w:w w:val="105"/>
          <w:sz w:val="16"/>
        </w:rPr>
        <w:t>María</w:t>
      </w:r>
      <w:r>
        <w:rPr>
          <w:rFonts w:ascii="Calibri" w:hAnsi="Calibri"/>
          <w:color w:val="6D6E71"/>
          <w:spacing w:val="-19"/>
          <w:w w:val="105"/>
          <w:sz w:val="16"/>
        </w:rPr>
        <w:t> </w:t>
      </w:r>
      <w:r>
        <w:rPr>
          <w:rFonts w:ascii="Calibri" w:hAnsi="Calibri"/>
          <w:color w:val="6D6E71"/>
          <w:w w:val="105"/>
          <w:sz w:val="16"/>
        </w:rPr>
        <w:t>Luisa</w:t>
      </w:r>
      <w:r>
        <w:rPr>
          <w:rFonts w:ascii="Calibri" w:hAnsi="Calibri"/>
          <w:color w:val="6D6E71"/>
          <w:spacing w:val="-19"/>
          <w:w w:val="105"/>
          <w:sz w:val="16"/>
        </w:rPr>
        <w:t> </w:t>
      </w:r>
      <w:r>
        <w:rPr>
          <w:rFonts w:ascii="Calibri" w:hAnsi="Calibri"/>
          <w:color w:val="6D6E71"/>
          <w:w w:val="105"/>
          <w:sz w:val="16"/>
        </w:rPr>
        <w:t>Bacarlett</w:t>
      </w:r>
      <w:r>
        <w:rPr>
          <w:rFonts w:ascii="Calibri" w:hAnsi="Calibri"/>
          <w:color w:val="6D6E71"/>
          <w:spacing w:val="-19"/>
          <w:w w:val="105"/>
          <w:sz w:val="16"/>
        </w:rPr>
        <w:t> </w:t>
      </w:r>
      <w:r>
        <w:rPr>
          <w:rFonts w:ascii="Calibri" w:hAnsi="Calibri"/>
          <w:color w:val="6D6E71"/>
          <w:w w:val="105"/>
          <w:sz w:val="16"/>
        </w:rPr>
        <w:t>Pérez</w:t>
      </w:r>
    </w:p>
    <w:p>
      <w:pPr>
        <w:spacing w:after="0"/>
        <w:jc w:val="left"/>
        <w:rPr>
          <w:rFonts w:ascii="Calibri" w:hAns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717" w:right="0" w:firstLine="0"/>
        <w:jc w:val="left"/>
        <w:rPr>
          <w:rFonts w:ascii="Trebuchet MS"/>
          <w:sz w:val="20"/>
        </w:rPr>
      </w:pPr>
      <w:r>
        <w:rPr/>
        <w:pict>
          <v:group style="position:absolute;margin-left:383.821014pt;margin-top:-25.479271pt;width:8.65pt;height:41pt;mso-position-horizontal-relative:page;mso-position-vertical-relative:paragraph;z-index:-16333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color w:val="6D6E71"/>
          <w:w w:val="95"/>
          <w:sz w:val="14"/>
        </w:rPr>
        <w:t>NATURALIZZARE</w:t>
      </w:r>
      <w:r>
        <w:rPr>
          <w:rFonts w:ascii="Lucida Sans Unicode"/>
          <w:color w:val="6D6E71"/>
          <w:spacing w:val="-18"/>
          <w:w w:val="95"/>
          <w:sz w:val="14"/>
        </w:rPr>
        <w:t> </w:t>
      </w:r>
      <w:r>
        <w:rPr>
          <w:rFonts w:ascii="Lucida Sans Unicode"/>
          <w:color w:val="6D6E71"/>
          <w:w w:val="95"/>
          <w:sz w:val="14"/>
        </w:rPr>
        <w:t>I</w:t>
      </w:r>
      <w:r>
        <w:rPr>
          <w:rFonts w:ascii="Lucida Sans Unicode"/>
          <w:color w:val="6D6E71"/>
          <w:spacing w:val="-18"/>
          <w:w w:val="95"/>
          <w:sz w:val="14"/>
        </w:rPr>
        <w:t> </w:t>
      </w:r>
      <w:r>
        <w:rPr>
          <w:rFonts w:ascii="Lucida Sans Unicode"/>
          <w:color w:val="6D6E71"/>
          <w:w w:val="95"/>
          <w:sz w:val="14"/>
        </w:rPr>
        <w:t>PARADOSSI:</w:t>
      </w:r>
      <w:r>
        <w:rPr>
          <w:rFonts w:ascii="Lucida Sans Unicode"/>
          <w:color w:val="6D6E71"/>
          <w:spacing w:val="-18"/>
          <w:w w:val="95"/>
          <w:sz w:val="14"/>
        </w:rPr>
        <w:t> </w:t>
      </w:r>
      <w:r>
        <w:rPr>
          <w:rFonts w:ascii="Lucida Sans Unicode"/>
          <w:color w:val="6D6E71"/>
          <w:w w:val="95"/>
          <w:sz w:val="14"/>
        </w:rPr>
        <w:t>UN</w:t>
      </w:r>
      <w:r>
        <w:rPr>
          <w:rFonts w:ascii="Lucida Sans Unicode"/>
          <w:color w:val="6D6E71"/>
          <w:spacing w:val="-18"/>
          <w:w w:val="95"/>
          <w:sz w:val="14"/>
        </w:rPr>
        <w:t> </w:t>
      </w:r>
      <w:r>
        <w:rPr>
          <w:rFonts w:ascii="Lucida Sans Unicode"/>
          <w:color w:val="6D6E71"/>
          <w:w w:val="95"/>
          <w:sz w:val="14"/>
        </w:rPr>
        <w:t>APPROCCIO</w:t>
      </w:r>
      <w:r>
        <w:rPr>
          <w:rFonts w:ascii="Lucida Sans Unicode"/>
          <w:color w:val="6D6E71"/>
          <w:spacing w:val="-18"/>
          <w:w w:val="95"/>
          <w:sz w:val="14"/>
        </w:rPr>
        <w:t> </w:t>
      </w:r>
      <w:r>
        <w:rPr>
          <w:rFonts w:ascii="Lucida Sans Unicode"/>
          <w:color w:val="6D6E71"/>
          <w:w w:val="95"/>
          <w:sz w:val="14"/>
        </w:rPr>
        <w:t>ALLA</w:t>
      </w:r>
      <w:r>
        <w:rPr>
          <w:rFonts w:ascii="Lucida Sans Unicode"/>
          <w:color w:val="6D6E71"/>
          <w:spacing w:val="-18"/>
          <w:w w:val="95"/>
          <w:sz w:val="14"/>
        </w:rPr>
        <w:t> </w:t>
      </w:r>
      <w:r>
        <w:rPr>
          <w:rFonts w:ascii="Lucida Sans Unicode"/>
          <w:color w:val="6D6E71"/>
          <w:w w:val="95"/>
          <w:sz w:val="14"/>
        </w:rPr>
        <w:t>GLOBALIZZAZIONE</w:t>
      </w:r>
      <w:r>
        <w:rPr>
          <w:rFonts w:ascii="Lucida Sans Unicode"/>
          <w:color w:val="6D6E71"/>
          <w:spacing w:val="-18"/>
          <w:w w:val="95"/>
          <w:sz w:val="14"/>
        </w:rPr>
        <w:t> </w:t>
      </w:r>
      <w:r>
        <w:rPr>
          <w:rFonts w:ascii="Lucida Sans Unicode"/>
          <w:color w:val="6D6E71"/>
          <w:w w:val="95"/>
          <w:sz w:val="14"/>
        </w:rPr>
        <w:t>DA</w:t>
      </w:r>
      <w:r>
        <w:rPr>
          <w:rFonts w:ascii="Lucida Sans Unicode"/>
          <w:color w:val="6D6E71"/>
          <w:spacing w:val="-18"/>
          <w:w w:val="95"/>
          <w:sz w:val="14"/>
        </w:rPr>
        <w:t> </w:t>
      </w:r>
      <w:r>
        <w:rPr>
          <w:rFonts w:ascii="Lucida Sans Unicode"/>
          <w:color w:val="6D6E71"/>
          <w:w w:val="95"/>
          <w:sz w:val="14"/>
        </w:rPr>
        <w:t>GILLES</w:t>
      </w:r>
      <w:r>
        <w:rPr>
          <w:rFonts w:ascii="Lucida Sans Unicode"/>
          <w:color w:val="6D6E71"/>
          <w:spacing w:val="-18"/>
          <w:w w:val="95"/>
          <w:sz w:val="14"/>
        </w:rPr>
        <w:t> </w:t>
      </w:r>
      <w:r>
        <w:rPr>
          <w:rFonts w:ascii="Lucida Sans Unicode"/>
          <w:color w:val="6D6E71"/>
          <w:w w:val="95"/>
          <w:sz w:val="14"/>
        </w:rPr>
        <w:t>DELEUZE</w:t>
      </w:r>
      <w:r>
        <w:rPr>
          <w:rFonts w:ascii="Trebuchet MS"/>
          <w:color w:val="414042"/>
          <w:w w:val="95"/>
          <w:position w:val="-3"/>
          <w:sz w:val="20"/>
        </w:rPr>
        <w:tab/>
        <w:t>83</w:t>
      </w:r>
    </w:p>
    <w:p>
      <w:pPr>
        <w:pStyle w:val="BodyText"/>
        <w:spacing w:line="244" w:lineRule="auto" w:before="621"/>
        <w:ind w:left="117" w:right="117"/>
        <w:jc w:val="both"/>
      </w:pPr>
      <w:r>
        <w:rPr>
          <w:color w:val="231F20"/>
          <w:w w:val="105"/>
        </w:rPr>
        <w:t>intensiva</w:t>
      </w:r>
      <w:r>
        <w:rPr>
          <w:color w:val="231F20"/>
          <w:w w:val="105"/>
          <w:position w:val="7"/>
          <w:sz w:val="12"/>
        </w:rPr>
        <w:t>50</w:t>
      </w:r>
      <w:r>
        <w:rPr>
          <w:color w:val="231F20"/>
          <w:w w:val="105"/>
        </w:rPr>
        <w:t>,</w:t>
      </w:r>
      <w:r>
        <w:rPr>
          <w:color w:val="231F20"/>
          <w:spacing w:val="-21"/>
          <w:w w:val="105"/>
        </w:rPr>
        <w:t> </w:t>
      </w:r>
      <w:r>
        <w:rPr>
          <w:color w:val="231F20"/>
          <w:w w:val="105"/>
        </w:rPr>
        <w:t>si</w:t>
      </w:r>
      <w:r>
        <w:rPr>
          <w:color w:val="231F20"/>
          <w:spacing w:val="-21"/>
          <w:w w:val="105"/>
        </w:rPr>
        <w:t> </w:t>
      </w:r>
      <w:r>
        <w:rPr>
          <w:color w:val="231F20"/>
          <w:w w:val="105"/>
        </w:rPr>
        <w:t>manifesta</w:t>
      </w:r>
      <w:r>
        <w:rPr>
          <w:color w:val="231F20"/>
          <w:spacing w:val="-21"/>
          <w:w w:val="105"/>
        </w:rPr>
        <w:t> </w:t>
      </w:r>
      <w:r>
        <w:rPr>
          <w:color w:val="231F20"/>
          <w:w w:val="105"/>
        </w:rPr>
        <w:t>come</w:t>
      </w:r>
      <w:r>
        <w:rPr>
          <w:color w:val="231F20"/>
          <w:spacing w:val="-21"/>
          <w:w w:val="105"/>
        </w:rPr>
        <w:t> </w:t>
      </w:r>
      <w:r>
        <w:rPr>
          <w:color w:val="231F20"/>
          <w:w w:val="105"/>
        </w:rPr>
        <w:t>un</w:t>
      </w:r>
      <w:r>
        <w:rPr>
          <w:color w:val="231F20"/>
          <w:spacing w:val="-21"/>
          <w:w w:val="105"/>
        </w:rPr>
        <w:t> </w:t>
      </w:r>
      <w:r>
        <w:rPr>
          <w:color w:val="231F20"/>
          <w:w w:val="105"/>
        </w:rPr>
        <w:t>luogo</w:t>
      </w:r>
      <w:r>
        <w:rPr>
          <w:color w:val="231F20"/>
          <w:spacing w:val="-21"/>
          <w:w w:val="105"/>
        </w:rPr>
        <w:t> </w:t>
      </w:r>
      <w:r>
        <w:rPr>
          <w:color w:val="231F20"/>
          <w:w w:val="105"/>
        </w:rPr>
        <w:t>con</w:t>
      </w:r>
      <w:r>
        <w:rPr>
          <w:color w:val="231F20"/>
          <w:spacing w:val="-21"/>
          <w:w w:val="105"/>
        </w:rPr>
        <w:t> </w:t>
      </w:r>
      <w:r>
        <w:rPr>
          <w:color w:val="231F20"/>
          <w:w w:val="105"/>
        </w:rPr>
        <w:t>carattere</w:t>
      </w:r>
      <w:r>
        <w:rPr>
          <w:color w:val="231F20"/>
          <w:spacing w:val="-21"/>
          <w:w w:val="105"/>
        </w:rPr>
        <w:t> </w:t>
      </w:r>
      <w:r>
        <w:rPr>
          <w:color w:val="231F20"/>
          <w:w w:val="105"/>
        </w:rPr>
        <w:t>assoluto,</w:t>
      </w:r>
      <w:r>
        <w:rPr>
          <w:color w:val="231F20"/>
          <w:spacing w:val="-21"/>
          <w:w w:val="105"/>
        </w:rPr>
        <w:t> </w:t>
      </w:r>
      <w:r>
        <w:rPr>
          <w:color w:val="231F20"/>
          <w:w w:val="105"/>
        </w:rPr>
        <w:t>come</w:t>
      </w:r>
      <w:r>
        <w:rPr>
          <w:color w:val="231F20"/>
          <w:spacing w:val="-21"/>
          <w:w w:val="105"/>
        </w:rPr>
        <w:t> </w:t>
      </w:r>
      <w:r>
        <w:rPr>
          <w:color w:val="231F20"/>
          <w:w w:val="105"/>
        </w:rPr>
        <w:t>una prospettiva</w:t>
      </w:r>
      <w:r>
        <w:rPr>
          <w:color w:val="231F20"/>
          <w:spacing w:val="-32"/>
          <w:w w:val="105"/>
        </w:rPr>
        <w:t> </w:t>
      </w:r>
      <w:r>
        <w:rPr>
          <w:color w:val="231F20"/>
          <w:w w:val="105"/>
        </w:rPr>
        <w:t>particolare</w:t>
      </w:r>
      <w:r>
        <w:rPr>
          <w:color w:val="231F20"/>
          <w:spacing w:val="-32"/>
          <w:w w:val="105"/>
        </w:rPr>
        <w:t> </w:t>
      </w:r>
      <w:r>
        <w:rPr>
          <w:color w:val="231F20"/>
          <w:w w:val="105"/>
        </w:rPr>
        <w:t>che</w:t>
      </w:r>
      <w:r>
        <w:rPr>
          <w:color w:val="231F20"/>
          <w:spacing w:val="-32"/>
          <w:w w:val="105"/>
        </w:rPr>
        <w:t> </w:t>
      </w:r>
      <w:r>
        <w:rPr>
          <w:color w:val="231F20"/>
          <w:w w:val="105"/>
        </w:rPr>
        <w:t>diventa</w:t>
      </w:r>
      <w:r>
        <w:rPr>
          <w:color w:val="231F20"/>
          <w:spacing w:val="-32"/>
          <w:w w:val="105"/>
        </w:rPr>
        <w:t> </w:t>
      </w:r>
      <w:r>
        <w:rPr>
          <w:color w:val="231F20"/>
          <w:w w:val="105"/>
        </w:rPr>
        <w:t>totale</w:t>
      </w:r>
      <w:r>
        <w:rPr>
          <w:color w:val="231F20"/>
          <w:spacing w:val="-32"/>
          <w:w w:val="105"/>
        </w:rPr>
        <w:t> </w:t>
      </w:r>
      <w:r>
        <w:rPr>
          <w:color w:val="231F20"/>
          <w:w w:val="105"/>
        </w:rPr>
        <w:t>e</w:t>
      </w:r>
      <w:r>
        <w:rPr>
          <w:color w:val="231F20"/>
          <w:spacing w:val="-32"/>
          <w:w w:val="105"/>
        </w:rPr>
        <w:t> </w:t>
      </w:r>
      <w:r>
        <w:rPr>
          <w:color w:val="231F20"/>
          <w:w w:val="105"/>
        </w:rPr>
        <w:t>senza</w:t>
      </w:r>
      <w:r>
        <w:rPr>
          <w:color w:val="231F20"/>
          <w:spacing w:val="-32"/>
          <w:w w:val="105"/>
        </w:rPr>
        <w:t> </w:t>
      </w:r>
      <w:r>
        <w:rPr>
          <w:color w:val="231F20"/>
          <w:w w:val="105"/>
        </w:rPr>
        <w:t>esterno.</w:t>
      </w:r>
      <w:r>
        <w:rPr>
          <w:color w:val="231F20"/>
          <w:spacing w:val="-32"/>
          <w:w w:val="105"/>
        </w:rPr>
        <w:t> </w:t>
      </w:r>
      <w:r>
        <w:rPr>
          <w:color w:val="231F20"/>
          <w:w w:val="105"/>
        </w:rPr>
        <w:t>Far</w:t>
      </w:r>
      <w:r>
        <w:rPr>
          <w:color w:val="231F20"/>
          <w:spacing w:val="-32"/>
          <w:w w:val="105"/>
        </w:rPr>
        <w:t> </w:t>
      </w:r>
      <w:r>
        <w:rPr>
          <w:color w:val="231F20"/>
          <w:w w:val="105"/>
        </w:rPr>
        <w:t>passare</w:t>
      </w:r>
      <w:r>
        <w:rPr>
          <w:color w:val="231F20"/>
          <w:spacing w:val="-32"/>
          <w:w w:val="105"/>
        </w:rPr>
        <w:t> </w:t>
      </w:r>
      <w:r>
        <w:rPr>
          <w:color w:val="231F20"/>
          <w:w w:val="105"/>
        </w:rPr>
        <w:t>per globale</w:t>
      </w:r>
      <w:r>
        <w:rPr>
          <w:color w:val="231F20"/>
          <w:spacing w:val="-33"/>
          <w:w w:val="105"/>
        </w:rPr>
        <w:t> </w:t>
      </w:r>
      <w:r>
        <w:rPr>
          <w:color w:val="231F20"/>
          <w:w w:val="105"/>
        </w:rPr>
        <w:t>una</w:t>
      </w:r>
      <w:r>
        <w:rPr>
          <w:color w:val="231F20"/>
          <w:spacing w:val="-33"/>
          <w:w w:val="105"/>
        </w:rPr>
        <w:t> </w:t>
      </w:r>
      <w:r>
        <w:rPr>
          <w:color w:val="231F20"/>
          <w:w w:val="105"/>
        </w:rPr>
        <w:t>prospettiva</w:t>
      </w:r>
      <w:r>
        <w:rPr>
          <w:color w:val="231F20"/>
          <w:spacing w:val="-33"/>
          <w:w w:val="105"/>
        </w:rPr>
        <w:t> </w:t>
      </w:r>
      <w:r>
        <w:rPr>
          <w:color w:val="231F20"/>
          <w:w w:val="105"/>
        </w:rPr>
        <w:t>che</w:t>
      </w:r>
      <w:r>
        <w:rPr>
          <w:color w:val="231F20"/>
          <w:spacing w:val="-33"/>
          <w:w w:val="105"/>
        </w:rPr>
        <w:t> </w:t>
      </w:r>
      <w:r>
        <w:rPr>
          <w:color w:val="231F20"/>
          <w:w w:val="105"/>
        </w:rPr>
        <w:t>è</w:t>
      </w:r>
      <w:r>
        <w:rPr>
          <w:color w:val="231F20"/>
          <w:spacing w:val="-33"/>
          <w:w w:val="105"/>
        </w:rPr>
        <w:t> </w:t>
      </w:r>
      <w:r>
        <w:rPr>
          <w:color w:val="231F20"/>
          <w:w w:val="105"/>
        </w:rPr>
        <w:t>in</w:t>
      </w:r>
      <w:r>
        <w:rPr>
          <w:color w:val="231F20"/>
          <w:spacing w:val="-33"/>
          <w:w w:val="105"/>
        </w:rPr>
        <w:t> </w:t>
      </w:r>
      <w:r>
        <w:rPr>
          <w:color w:val="231F20"/>
          <w:w w:val="105"/>
        </w:rPr>
        <w:t>realtà</w:t>
      </w:r>
      <w:r>
        <w:rPr>
          <w:color w:val="231F20"/>
          <w:spacing w:val="-33"/>
          <w:w w:val="105"/>
        </w:rPr>
        <w:t> </w:t>
      </w:r>
      <w:r>
        <w:rPr>
          <w:color w:val="231F20"/>
          <w:w w:val="105"/>
        </w:rPr>
        <w:t>particolare,</w:t>
      </w:r>
      <w:r>
        <w:rPr>
          <w:color w:val="231F20"/>
          <w:spacing w:val="-33"/>
          <w:w w:val="105"/>
        </w:rPr>
        <w:t> </w:t>
      </w:r>
      <w:r>
        <w:rPr>
          <w:color w:val="231F20"/>
          <w:w w:val="105"/>
        </w:rPr>
        <w:t>è</w:t>
      </w:r>
      <w:r>
        <w:rPr>
          <w:color w:val="231F20"/>
          <w:spacing w:val="-33"/>
          <w:w w:val="105"/>
        </w:rPr>
        <w:t> </w:t>
      </w:r>
      <w:r>
        <w:rPr>
          <w:color w:val="231F20"/>
          <w:w w:val="105"/>
        </w:rPr>
        <w:t>la</w:t>
      </w:r>
      <w:r>
        <w:rPr>
          <w:color w:val="231F20"/>
          <w:spacing w:val="-33"/>
          <w:w w:val="105"/>
        </w:rPr>
        <w:t> </w:t>
      </w:r>
      <w:r>
        <w:rPr>
          <w:color w:val="231F20"/>
          <w:w w:val="105"/>
        </w:rPr>
        <w:t>strategia</w:t>
      </w:r>
      <w:r>
        <w:rPr>
          <w:color w:val="231F20"/>
          <w:spacing w:val="-33"/>
          <w:w w:val="105"/>
        </w:rPr>
        <w:t> </w:t>
      </w:r>
      <w:r>
        <w:rPr>
          <w:color w:val="231F20"/>
          <w:w w:val="105"/>
        </w:rPr>
        <w:t>ottima</w:t>
      </w:r>
      <w:r>
        <w:rPr>
          <w:color w:val="231F20"/>
          <w:spacing w:val="-33"/>
          <w:w w:val="105"/>
        </w:rPr>
        <w:t> </w:t>
      </w:r>
      <w:r>
        <w:rPr>
          <w:color w:val="231F20"/>
          <w:w w:val="105"/>
        </w:rPr>
        <w:t>per assorbire</w:t>
      </w:r>
      <w:r>
        <w:rPr>
          <w:color w:val="231F20"/>
          <w:spacing w:val="-50"/>
          <w:w w:val="105"/>
        </w:rPr>
        <w:t> </w:t>
      </w:r>
      <w:r>
        <w:rPr>
          <w:color w:val="231F20"/>
          <w:w w:val="105"/>
        </w:rPr>
        <w:t>tutte</w:t>
      </w:r>
      <w:r>
        <w:rPr>
          <w:color w:val="231F20"/>
          <w:spacing w:val="-50"/>
          <w:w w:val="105"/>
        </w:rPr>
        <w:t> </w:t>
      </w:r>
      <w:r>
        <w:rPr>
          <w:color w:val="231F20"/>
          <w:w w:val="105"/>
        </w:rPr>
        <w:t>le</w:t>
      </w:r>
      <w:r>
        <w:rPr>
          <w:color w:val="231F20"/>
          <w:spacing w:val="-50"/>
          <w:w w:val="105"/>
        </w:rPr>
        <w:t> </w:t>
      </w:r>
      <w:r>
        <w:rPr>
          <w:color w:val="231F20"/>
          <w:w w:val="105"/>
        </w:rPr>
        <w:t>altre</w:t>
      </w:r>
      <w:r>
        <w:rPr>
          <w:color w:val="231F20"/>
          <w:spacing w:val="-50"/>
          <w:w w:val="105"/>
        </w:rPr>
        <w:t> </w:t>
      </w:r>
      <w:r>
        <w:rPr>
          <w:color w:val="231F20"/>
          <w:w w:val="105"/>
        </w:rPr>
        <w:t>particolarità.</w:t>
      </w:r>
      <w:r>
        <w:rPr>
          <w:color w:val="231F20"/>
          <w:spacing w:val="-50"/>
          <w:w w:val="105"/>
        </w:rPr>
        <w:t> </w:t>
      </w:r>
      <w:r>
        <w:rPr>
          <w:color w:val="231F20"/>
          <w:w w:val="105"/>
        </w:rPr>
        <w:t>Questa</w:t>
      </w:r>
      <w:r>
        <w:rPr>
          <w:color w:val="231F20"/>
          <w:spacing w:val="-50"/>
          <w:w w:val="105"/>
        </w:rPr>
        <w:t> </w:t>
      </w:r>
      <w:r>
        <w:rPr>
          <w:color w:val="231F20"/>
          <w:w w:val="105"/>
        </w:rPr>
        <w:t>è</w:t>
      </w:r>
      <w:r>
        <w:rPr>
          <w:color w:val="231F20"/>
          <w:spacing w:val="-50"/>
          <w:w w:val="105"/>
        </w:rPr>
        <w:t> </w:t>
      </w:r>
      <w:r>
        <w:rPr>
          <w:color w:val="231F20"/>
          <w:w w:val="105"/>
        </w:rPr>
        <w:t>la</w:t>
      </w:r>
      <w:r>
        <w:rPr>
          <w:color w:val="231F20"/>
          <w:spacing w:val="-50"/>
          <w:w w:val="105"/>
        </w:rPr>
        <w:t> </w:t>
      </w:r>
      <w:r>
        <w:rPr>
          <w:color w:val="231F20"/>
          <w:w w:val="105"/>
        </w:rPr>
        <w:t>funzione</w:t>
      </w:r>
      <w:r>
        <w:rPr>
          <w:color w:val="231F20"/>
          <w:spacing w:val="-50"/>
          <w:w w:val="105"/>
        </w:rPr>
        <w:t> </w:t>
      </w:r>
      <w:r>
        <w:rPr>
          <w:color w:val="231F20"/>
          <w:w w:val="105"/>
        </w:rPr>
        <w:t>dei</w:t>
      </w:r>
      <w:r>
        <w:rPr>
          <w:color w:val="231F20"/>
          <w:spacing w:val="-50"/>
          <w:w w:val="105"/>
        </w:rPr>
        <w:t> </w:t>
      </w:r>
      <w:r>
        <w:rPr>
          <w:color w:val="231F20"/>
          <w:w w:val="105"/>
        </w:rPr>
        <w:t>paradossi</w:t>
      </w:r>
      <w:r>
        <w:rPr>
          <w:color w:val="231F20"/>
          <w:spacing w:val="-50"/>
          <w:w w:val="105"/>
        </w:rPr>
        <w:t> </w:t>
      </w:r>
      <w:r>
        <w:rPr>
          <w:color w:val="231F20"/>
          <w:w w:val="105"/>
        </w:rPr>
        <w:t>fittizi, </w:t>
      </w:r>
      <w:r>
        <w:rPr>
          <w:color w:val="231F20"/>
          <w:spacing w:val="-3"/>
          <w:w w:val="105"/>
        </w:rPr>
        <w:t>naturalizzare</w:t>
      </w:r>
      <w:r>
        <w:rPr>
          <w:color w:val="231F20"/>
          <w:spacing w:val="-56"/>
          <w:w w:val="105"/>
        </w:rPr>
        <w:t> </w:t>
      </w:r>
      <w:r>
        <w:rPr>
          <w:color w:val="231F20"/>
          <w:w w:val="105"/>
        </w:rPr>
        <w:t>le</w:t>
      </w:r>
      <w:r>
        <w:rPr>
          <w:color w:val="231F20"/>
          <w:spacing w:val="-56"/>
          <w:w w:val="105"/>
        </w:rPr>
        <w:t> </w:t>
      </w:r>
      <w:r>
        <w:rPr>
          <w:color w:val="231F20"/>
          <w:w w:val="105"/>
        </w:rPr>
        <w:t>contraddizioni</w:t>
      </w:r>
      <w:r>
        <w:rPr>
          <w:color w:val="231F20"/>
          <w:spacing w:val="-56"/>
          <w:w w:val="105"/>
        </w:rPr>
        <w:t> </w:t>
      </w:r>
      <w:r>
        <w:rPr>
          <w:color w:val="231F20"/>
          <w:w w:val="105"/>
        </w:rPr>
        <w:t>e</w:t>
      </w:r>
      <w:r>
        <w:rPr>
          <w:color w:val="231F20"/>
          <w:spacing w:val="-56"/>
          <w:w w:val="105"/>
        </w:rPr>
        <w:t> </w:t>
      </w:r>
      <w:r>
        <w:rPr>
          <w:color w:val="231F20"/>
          <w:spacing w:val="-3"/>
          <w:w w:val="105"/>
        </w:rPr>
        <w:t>assorbire</w:t>
      </w:r>
      <w:r>
        <w:rPr>
          <w:color w:val="231F20"/>
          <w:spacing w:val="-56"/>
          <w:w w:val="105"/>
        </w:rPr>
        <w:t> </w:t>
      </w:r>
      <w:r>
        <w:rPr>
          <w:color w:val="231F20"/>
          <w:w w:val="105"/>
        </w:rPr>
        <w:t>le</w:t>
      </w:r>
      <w:r>
        <w:rPr>
          <w:color w:val="231F20"/>
          <w:spacing w:val="-56"/>
          <w:w w:val="105"/>
        </w:rPr>
        <w:t> </w:t>
      </w:r>
      <w:r>
        <w:rPr>
          <w:color w:val="231F20"/>
          <w:spacing w:val="-3"/>
          <w:w w:val="105"/>
        </w:rPr>
        <w:t>differenze.</w:t>
      </w:r>
      <w:r>
        <w:rPr>
          <w:color w:val="231F20"/>
          <w:spacing w:val="-56"/>
          <w:w w:val="105"/>
        </w:rPr>
        <w:t> </w:t>
      </w:r>
      <w:r>
        <w:rPr>
          <w:color w:val="231F20"/>
          <w:w w:val="105"/>
        </w:rPr>
        <w:t>In</w:t>
      </w:r>
      <w:r>
        <w:rPr>
          <w:color w:val="231F20"/>
          <w:spacing w:val="-56"/>
          <w:w w:val="105"/>
        </w:rPr>
        <w:t> </w:t>
      </w:r>
      <w:r>
        <w:rPr>
          <w:color w:val="231F20"/>
          <w:w w:val="105"/>
        </w:rPr>
        <w:t>cambio,</w:t>
      </w:r>
      <w:r>
        <w:rPr>
          <w:color w:val="231F20"/>
          <w:spacing w:val="-56"/>
          <w:w w:val="105"/>
        </w:rPr>
        <w:t> </w:t>
      </w:r>
      <w:r>
        <w:rPr>
          <w:color w:val="231F20"/>
          <w:w w:val="105"/>
        </w:rPr>
        <w:t>i</w:t>
      </w:r>
      <w:r>
        <w:rPr>
          <w:color w:val="231F20"/>
          <w:spacing w:val="-56"/>
          <w:w w:val="105"/>
        </w:rPr>
        <w:t> </w:t>
      </w:r>
      <w:r>
        <w:rPr>
          <w:color w:val="231F20"/>
          <w:w w:val="105"/>
        </w:rPr>
        <w:t>paradossi radicali</w:t>
      </w:r>
      <w:r>
        <w:rPr>
          <w:color w:val="231F20"/>
          <w:spacing w:val="-48"/>
          <w:w w:val="105"/>
        </w:rPr>
        <w:t> </w:t>
      </w:r>
      <w:r>
        <w:rPr>
          <w:color w:val="231F20"/>
          <w:w w:val="105"/>
        </w:rPr>
        <w:t>conservano</w:t>
      </w:r>
      <w:r>
        <w:rPr>
          <w:color w:val="231F20"/>
          <w:spacing w:val="-48"/>
          <w:w w:val="105"/>
        </w:rPr>
        <w:t> </w:t>
      </w:r>
      <w:r>
        <w:rPr>
          <w:color w:val="231F20"/>
          <w:w w:val="105"/>
        </w:rPr>
        <w:t>e</w:t>
      </w:r>
      <w:r>
        <w:rPr>
          <w:color w:val="231F20"/>
          <w:spacing w:val="-48"/>
          <w:w w:val="105"/>
        </w:rPr>
        <w:t> </w:t>
      </w:r>
      <w:r>
        <w:rPr>
          <w:color w:val="231F20"/>
          <w:w w:val="105"/>
        </w:rPr>
        <w:t>potenziano</w:t>
      </w:r>
      <w:r>
        <w:rPr>
          <w:color w:val="231F20"/>
          <w:spacing w:val="-48"/>
          <w:w w:val="105"/>
        </w:rPr>
        <w:t> </w:t>
      </w:r>
      <w:r>
        <w:rPr>
          <w:color w:val="231F20"/>
          <w:w w:val="105"/>
        </w:rPr>
        <w:t>la</w:t>
      </w:r>
      <w:r>
        <w:rPr>
          <w:color w:val="231F20"/>
          <w:spacing w:val="-48"/>
          <w:w w:val="105"/>
        </w:rPr>
        <w:t> </w:t>
      </w:r>
      <w:r>
        <w:rPr>
          <w:color w:val="231F20"/>
          <w:w w:val="105"/>
        </w:rPr>
        <w:t>differenza,</w:t>
      </w:r>
      <w:r>
        <w:rPr>
          <w:color w:val="231F20"/>
          <w:spacing w:val="-48"/>
          <w:w w:val="105"/>
        </w:rPr>
        <w:t> </w:t>
      </w:r>
      <w:r>
        <w:rPr>
          <w:color w:val="231F20"/>
          <w:w w:val="105"/>
        </w:rPr>
        <w:t>i</w:t>
      </w:r>
      <w:r>
        <w:rPr>
          <w:color w:val="231F20"/>
          <w:spacing w:val="-48"/>
          <w:w w:val="105"/>
        </w:rPr>
        <w:t> </w:t>
      </w:r>
      <w:r>
        <w:rPr>
          <w:color w:val="231F20"/>
          <w:w w:val="105"/>
        </w:rPr>
        <w:t>loro</w:t>
      </w:r>
      <w:r>
        <w:rPr>
          <w:color w:val="231F20"/>
          <w:spacing w:val="-48"/>
          <w:w w:val="105"/>
        </w:rPr>
        <w:t> </w:t>
      </w:r>
      <w:r>
        <w:rPr>
          <w:color w:val="231F20"/>
          <w:w w:val="105"/>
        </w:rPr>
        <w:t>elementi</w:t>
      </w:r>
      <w:r>
        <w:rPr>
          <w:color w:val="231F20"/>
          <w:spacing w:val="-48"/>
          <w:w w:val="105"/>
        </w:rPr>
        <w:t> </w:t>
      </w:r>
      <w:r>
        <w:rPr>
          <w:color w:val="231F20"/>
          <w:w w:val="105"/>
        </w:rPr>
        <w:t>non</w:t>
      </w:r>
      <w:r>
        <w:rPr>
          <w:color w:val="231F20"/>
          <w:spacing w:val="-48"/>
          <w:w w:val="105"/>
        </w:rPr>
        <w:t> </w:t>
      </w:r>
      <w:r>
        <w:rPr>
          <w:color w:val="231F20"/>
          <w:w w:val="105"/>
        </w:rPr>
        <w:t>hanno</w:t>
      </w:r>
      <w:r>
        <w:rPr>
          <w:color w:val="231F20"/>
          <w:spacing w:val="-48"/>
          <w:w w:val="105"/>
        </w:rPr>
        <w:t> </w:t>
      </w:r>
      <w:r>
        <w:rPr>
          <w:color w:val="231F20"/>
          <w:w w:val="105"/>
        </w:rPr>
        <w:t>più forma</w:t>
      </w:r>
      <w:r>
        <w:rPr>
          <w:color w:val="231F20"/>
          <w:spacing w:val="-23"/>
          <w:w w:val="105"/>
        </w:rPr>
        <w:t> </w:t>
      </w:r>
      <w:r>
        <w:rPr>
          <w:color w:val="231F20"/>
          <w:w w:val="105"/>
        </w:rPr>
        <w:t>di</w:t>
      </w:r>
      <w:r>
        <w:rPr>
          <w:color w:val="231F20"/>
          <w:spacing w:val="-23"/>
          <w:w w:val="105"/>
        </w:rPr>
        <w:t> </w:t>
      </w:r>
      <w:r>
        <w:rPr>
          <w:color w:val="231F20"/>
          <w:w w:val="105"/>
        </w:rPr>
        <w:t>opposti,</w:t>
      </w:r>
      <w:r>
        <w:rPr>
          <w:color w:val="231F20"/>
          <w:spacing w:val="-23"/>
          <w:w w:val="105"/>
        </w:rPr>
        <w:t> </w:t>
      </w:r>
      <w:r>
        <w:rPr>
          <w:color w:val="231F20"/>
          <w:w w:val="105"/>
        </w:rPr>
        <w:t>ma</w:t>
      </w:r>
      <w:r>
        <w:rPr>
          <w:color w:val="231F20"/>
          <w:spacing w:val="-23"/>
          <w:w w:val="105"/>
        </w:rPr>
        <w:t> </w:t>
      </w:r>
      <w:r>
        <w:rPr>
          <w:color w:val="231F20"/>
          <w:w w:val="105"/>
        </w:rPr>
        <w:t>d’</w:t>
      </w:r>
      <w:r>
        <w:rPr>
          <w:rFonts w:ascii="Arial" w:hAnsi="Arial"/>
          <w:i/>
          <w:color w:val="231F20"/>
          <w:w w:val="105"/>
        </w:rPr>
        <w:t>entità</w:t>
      </w:r>
      <w:r>
        <w:rPr>
          <w:rFonts w:ascii="Arial" w:hAnsi="Arial"/>
          <w:i/>
          <w:color w:val="231F20"/>
          <w:spacing w:val="-16"/>
          <w:w w:val="105"/>
        </w:rPr>
        <w:t> </w:t>
      </w:r>
      <w:r>
        <w:rPr>
          <w:rFonts w:ascii="Arial" w:hAnsi="Arial"/>
          <w:i/>
          <w:color w:val="231F20"/>
          <w:w w:val="105"/>
        </w:rPr>
        <w:t>nomadi</w:t>
      </w:r>
      <w:r>
        <w:rPr>
          <w:rFonts w:ascii="Arial" w:hAnsi="Arial"/>
          <w:i/>
          <w:color w:val="231F20"/>
          <w:spacing w:val="-16"/>
          <w:w w:val="105"/>
        </w:rPr>
        <w:t> </w:t>
      </w:r>
      <w:r>
        <w:rPr>
          <w:color w:val="231F20"/>
          <w:w w:val="105"/>
        </w:rPr>
        <w:t>o</w:t>
      </w:r>
      <w:r>
        <w:rPr>
          <w:color w:val="231F20"/>
          <w:spacing w:val="-23"/>
          <w:w w:val="105"/>
        </w:rPr>
        <w:t> </w:t>
      </w:r>
      <w:r>
        <w:rPr>
          <w:color w:val="231F20"/>
          <w:w w:val="105"/>
        </w:rPr>
        <w:t>molteplicità</w:t>
      </w:r>
      <w:r>
        <w:rPr>
          <w:color w:val="231F20"/>
          <w:w w:val="105"/>
          <w:position w:val="7"/>
          <w:sz w:val="12"/>
        </w:rPr>
        <w:t>51</w:t>
      </w:r>
      <w:r>
        <w:rPr>
          <w:color w:val="231F20"/>
          <w:spacing w:val="6"/>
          <w:w w:val="105"/>
          <w:position w:val="7"/>
          <w:sz w:val="12"/>
        </w:rPr>
        <w:t> </w:t>
      </w:r>
      <w:r>
        <w:rPr>
          <w:color w:val="231F20"/>
          <w:w w:val="105"/>
        </w:rPr>
        <w:t>che</w:t>
      </w:r>
      <w:r>
        <w:rPr>
          <w:color w:val="231F20"/>
          <w:spacing w:val="-23"/>
          <w:w w:val="105"/>
        </w:rPr>
        <w:t> </w:t>
      </w:r>
      <w:r>
        <w:rPr>
          <w:color w:val="231F20"/>
          <w:w w:val="105"/>
        </w:rPr>
        <w:t>non</w:t>
      </w:r>
      <w:r>
        <w:rPr>
          <w:color w:val="231F20"/>
          <w:spacing w:val="-23"/>
          <w:w w:val="105"/>
        </w:rPr>
        <w:t> </w:t>
      </w:r>
      <w:r>
        <w:rPr>
          <w:color w:val="231F20"/>
          <w:w w:val="105"/>
        </w:rPr>
        <w:t>smettono</w:t>
      </w:r>
      <w:r>
        <w:rPr>
          <w:color w:val="231F20"/>
          <w:spacing w:val="-23"/>
          <w:w w:val="105"/>
        </w:rPr>
        <w:t> </w:t>
      </w:r>
      <w:r>
        <w:rPr>
          <w:color w:val="231F20"/>
          <w:w w:val="105"/>
        </w:rPr>
        <w:t>di differenziarsi,</w:t>
      </w:r>
      <w:r>
        <w:rPr>
          <w:color w:val="231F20"/>
          <w:spacing w:val="-55"/>
          <w:w w:val="105"/>
        </w:rPr>
        <w:t> </w:t>
      </w:r>
      <w:r>
        <w:rPr>
          <w:color w:val="231F20"/>
          <w:w w:val="105"/>
        </w:rPr>
        <w:t>che</w:t>
      </w:r>
      <w:r>
        <w:rPr>
          <w:color w:val="231F20"/>
          <w:spacing w:val="-55"/>
          <w:w w:val="105"/>
        </w:rPr>
        <w:t> </w:t>
      </w:r>
      <w:r>
        <w:rPr>
          <w:color w:val="231F20"/>
          <w:w w:val="105"/>
        </w:rPr>
        <w:t>hanno</w:t>
      </w:r>
      <w:r>
        <w:rPr>
          <w:color w:val="231F20"/>
          <w:spacing w:val="-55"/>
          <w:w w:val="105"/>
        </w:rPr>
        <w:t> </w:t>
      </w:r>
      <w:r>
        <w:rPr>
          <w:color w:val="231F20"/>
          <w:w w:val="105"/>
        </w:rPr>
        <w:t>una</w:t>
      </w:r>
      <w:r>
        <w:rPr>
          <w:color w:val="231F20"/>
          <w:spacing w:val="-55"/>
          <w:w w:val="105"/>
        </w:rPr>
        <w:t> </w:t>
      </w:r>
      <w:r>
        <w:rPr>
          <w:color w:val="231F20"/>
          <w:w w:val="105"/>
        </w:rPr>
        <w:t>pluralità</w:t>
      </w:r>
      <w:r>
        <w:rPr>
          <w:color w:val="231F20"/>
          <w:spacing w:val="-55"/>
          <w:w w:val="105"/>
        </w:rPr>
        <w:t> </w:t>
      </w:r>
      <w:r>
        <w:rPr>
          <w:color w:val="231F20"/>
          <w:w w:val="105"/>
        </w:rPr>
        <w:t>di</w:t>
      </w:r>
      <w:r>
        <w:rPr>
          <w:color w:val="231F20"/>
          <w:spacing w:val="-55"/>
          <w:w w:val="105"/>
        </w:rPr>
        <w:t> </w:t>
      </w:r>
      <w:r>
        <w:rPr>
          <w:color w:val="231F20"/>
          <w:w w:val="105"/>
        </w:rPr>
        <w:t>riferimenti</w:t>
      </w:r>
      <w:r>
        <w:rPr>
          <w:color w:val="231F20"/>
          <w:spacing w:val="-55"/>
          <w:w w:val="105"/>
        </w:rPr>
        <w:t> </w:t>
      </w:r>
      <w:r>
        <w:rPr>
          <w:color w:val="231F20"/>
          <w:w w:val="105"/>
        </w:rPr>
        <w:t>e</w:t>
      </w:r>
      <w:r>
        <w:rPr>
          <w:color w:val="231F20"/>
          <w:spacing w:val="-55"/>
          <w:w w:val="105"/>
        </w:rPr>
        <w:t> </w:t>
      </w:r>
      <w:r>
        <w:rPr>
          <w:color w:val="231F20"/>
          <w:w w:val="105"/>
        </w:rPr>
        <w:t>di</w:t>
      </w:r>
      <w:r>
        <w:rPr>
          <w:color w:val="231F20"/>
          <w:spacing w:val="-55"/>
          <w:w w:val="105"/>
        </w:rPr>
        <w:t> </w:t>
      </w:r>
      <w:r>
        <w:rPr>
          <w:color w:val="231F20"/>
          <w:w w:val="105"/>
        </w:rPr>
        <w:t>relazioni,</w:t>
      </w:r>
      <w:r>
        <w:rPr>
          <w:color w:val="231F20"/>
          <w:spacing w:val="-55"/>
          <w:w w:val="105"/>
        </w:rPr>
        <w:t> </w:t>
      </w:r>
      <w:r>
        <w:rPr>
          <w:color w:val="231F20"/>
          <w:w w:val="105"/>
        </w:rPr>
        <w:t>cambiando di</w:t>
      </w:r>
      <w:r>
        <w:rPr>
          <w:color w:val="231F20"/>
          <w:spacing w:val="-46"/>
          <w:w w:val="105"/>
        </w:rPr>
        <w:t> </w:t>
      </w:r>
      <w:r>
        <w:rPr>
          <w:color w:val="231F20"/>
          <w:w w:val="105"/>
        </w:rPr>
        <w:t>natura</w:t>
      </w:r>
      <w:r>
        <w:rPr>
          <w:color w:val="231F20"/>
          <w:spacing w:val="-46"/>
          <w:w w:val="105"/>
        </w:rPr>
        <w:t> </w:t>
      </w:r>
      <w:r>
        <w:rPr>
          <w:color w:val="231F20"/>
          <w:w w:val="105"/>
        </w:rPr>
        <w:t>ad</w:t>
      </w:r>
      <w:r>
        <w:rPr>
          <w:color w:val="231F20"/>
          <w:spacing w:val="-46"/>
          <w:w w:val="105"/>
        </w:rPr>
        <w:t> </w:t>
      </w:r>
      <w:r>
        <w:rPr>
          <w:color w:val="231F20"/>
          <w:w w:val="105"/>
        </w:rPr>
        <w:t>ogni</w:t>
      </w:r>
      <w:r>
        <w:rPr>
          <w:color w:val="231F20"/>
          <w:spacing w:val="-46"/>
          <w:w w:val="105"/>
        </w:rPr>
        <w:t> </w:t>
      </w:r>
      <w:r>
        <w:rPr>
          <w:color w:val="231F20"/>
          <w:w w:val="105"/>
        </w:rPr>
        <w:t>nuovo</w:t>
      </w:r>
      <w:r>
        <w:rPr>
          <w:color w:val="231F20"/>
          <w:spacing w:val="-46"/>
          <w:w w:val="105"/>
        </w:rPr>
        <w:t> </w:t>
      </w:r>
      <w:r>
        <w:rPr>
          <w:color w:val="231F20"/>
          <w:w w:val="105"/>
        </w:rPr>
        <w:t>rapporto</w:t>
      </w:r>
      <w:r>
        <w:rPr>
          <w:color w:val="231F20"/>
          <w:spacing w:val="-46"/>
          <w:w w:val="105"/>
        </w:rPr>
        <w:t> </w:t>
      </w:r>
      <w:r>
        <w:rPr>
          <w:color w:val="231F20"/>
          <w:w w:val="105"/>
        </w:rPr>
        <w:t>e</w:t>
      </w:r>
      <w:r>
        <w:rPr>
          <w:color w:val="231F20"/>
          <w:spacing w:val="-46"/>
          <w:w w:val="105"/>
        </w:rPr>
        <w:t> </w:t>
      </w:r>
      <w:r>
        <w:rPr>
          <w:color w:val="231F20"/>
          <w:w w:val="105"/>
        </w:rPr>
        <w:t>connessione.</w:t>
      </w:r>
      <w:r>
        <w:rPr>
          <w:color w:val="231F20"/>
          <w:spacing w:val="-46"/>
          <w:w w:val="105"/>
        </w:rPr>
        <w:t> </w:t>
      </w:r>
      <w:r>
        <w:rPr>
          <w:color w:val="231F20"/>
          <w:w w:val="105"/>
        </w:rPr>
        <w:t>Si</w:t>
      </w:r>
      <w:r>
        <w:rPr>
          <w:color w:val="231F20"/>
          <w:spacing w:val="-46"/>
          <w:w w:val="105"/>
        </w:rPr>
        <w:t> </w:t>
      </w:r>
      <w:r>
        <w:rPr>
          <w:color w:val="231F20"/>
          <w:w w:val="105"/>
        </w:rPr>
        <w:t>tratta</w:t>
      </w:r>
      <w:r>
        <w:rPr>
          <w:color w:val="231F20"/>
          <w:spacing w:val="-46"/>
          <w:w w:val="105"/>
        </w:rPr>
        <w:t> </w:t>
      </w:r>
      <w:r>
        <w:rPr>
          <w:color w:val="231F20"/>
          <w:w w:val="105"/>
        </w:rPr>
        <w:t>allora</w:t>
      </w:r>
      <w:r>
        <w:rPr>
          <w:color w:val="231F20"/>
          <w:spacing w:val="-46"/>
          <w:w w:val="105"/>
        </w:rPr>
        <w:t> </w:t>
      </w:r>
      <w:r>
        <w:rPr>
          <w:color w:val="231F20"/>
          <w:w w:val="105"/>
        </w:rPr>
        <w:t>di</w:t>
      </w:r>
      <w:r>
        <w:rPr>
          <w:color w:val="231F20"/>
          <w:spacing w:val="-46"/>
          <w:w w:val="105"/>
        </w:rPr>
        <w:t> </w:t>
      </w:r>
      <w:r>
        <w:rPr>
          <w:color w:val="231F20"/>
          <w:w w:val="105"/>
        </w:rPr>
        <w:t>differenze </w:t>
      </w:r>
      <w:r>
        <w:rPr>
          <w:color w:val="231F20"/>
        </w:rPr>
        <w:t>immanenti</w:t>
      </w:r>
      <w:r>
        <w:rPr>
          <w:color w:val="231F20"/>
          <w:spacing w:val="-36"/>
        </w:rPr>
        <w:t> </w:t>
      </w:r>
      <w:r>
        <w:rPr>
          <w:color w:val="231F20"/>
        </w:rPr>
        <w:t>che</w:t>
      </w:r>
      <w:r>
        <w:rPr>
          <w:color w:val="231F20"/>
          <w:spacing w:val="-36"/>
        </w:rPr>
        <w:t> </w:t>
      </w:r>
      <w:r>
        <w:rPr>
          <w:color w:val="231F20"/>
        </w:rPr>
        <w:t>non</w:t>
      </w:r>
      <w:r>
        <w:rPr>
          <w:color w:val="231F20"/>
          <w:spacing w:val="-36"/>
        </w:rPr>
        <w:t> </w:t>
      </w:r>
      <w:r>
        <w:rPr>
          <w:color w:val="231F20"/>
        </w:rPr>
        <w:t>possono</w:t>
      </w:r>
      <w:r>
        <w:rPr>
          <w:color w:val="231F20"/>
          <w:spacing w:val="-37"/>
        </w:rPr>
        <w:t> </w:t>
      </w:r>
      <w:r>
        <w:rPr>
          <w:rFonts w:ascii="Arial" w:hAnsi="Arial"/>
          <w:i/>
          <w:color w:val="231F20"/>
        </w:rPr>
        <w:t>essenzializzarsi</w:t>
      </w:r>
      <w:r>
        <w:rPr>
          <w:rFonts w:ascii="Arial" w:hAnsi="Arial"/>
          <w:i/>
          <w:color w:val="231F20"/>
          <w:spacing w:val="-30"/>
        </w:rPr>
        <w:t> </w:t>
      </w:r>
      <w:r>
        <w:rPr>
          <w:color w:val="231F20"/>
        </w:rPr>
        <w:t>ne</w:t>
      </w:r>
      <w:r>
        <w:rPr>
          <w:color w:val="231F20"/>
          <w:spacing w:val="-36"/>
        </w:rPr>
        <w:t> </w:t>
      </w:r>
      <w:r>
        <w:rPr>
          <w:color w:val="231F20"/>
        </w:rPr>
        <w:t>ridursi</w:t>
      </w:r>
      <w:r>
        <w:rPr>
          <w:color w:val="231F20"/>
          <w:spacing w:val="-36"/>
        </w:rPr>
        <w:t> </w:t>
      </w:r>
      <w:r>
        <w:rPr>
          <w:color w:val="231F20"/>
        </w:rPr>
        <w:t>in</w:t>
      </w:r>
      <w:r>
        <w:rPr>
          <w:color w:val="231F20"/>
          <w:spacing w:val="-36"/>
        </w:rPr>
        <w:t> </w:t>
      </w:r>
      <w:r>
        <w:rPr>
          <w:color w:val="231F20"/>
        </w:rPr>
        <w:t>un</w:t>
      </w:r>
      <w:r>
        <w:rPr>
          <w:color w:val="231F20"/>
          <w:spacing w:val="-36"/>
        </w:rPr>
        <w:t> </w:t>
      </w:r>
      <w:r>
        <w:rPr>
          <w:color w:val="231F20"/>
        </w:rPr>
        <w:t>riferimento</w:t>
      </w:r>
      <w:r>
        <w:rPr>
          <w:color w:val="231F20"/>
          <w:spacing w:val="-36"/>
        </w:rPr>
        <w:t> </w:t>
      </w:r>
      <w:r>
        <w:rPr>
          <w:color w:val="231F20"/>
        </w:rPr>
        <w:t>totale </w:t>
      </w:r>
      <w:r>
        <w:rPr>
          <w:color w:val="231F20"/>
          <w:w w:val="105"/>
        </w:rPr>
        <w:t>o</w:t>
      </w:r>
      <w:r>
        <w:rPr>
          <w:color w:val="231F20"/>
          <w:spacing w:val="-30"/>
          <w:w w:val="105"/>
        </w:rPr>
        <w:t> </w:t>
      </w:r>
      <w:r>
        <w:rPr>
          <w:color w:val="231F20"/>
          <w:w w:val="105"/>
        </w:rPr>
        <w:t>una</w:t>
      </w:r>
      <w:r>
        <w:rPr>
          <w:color w:val="231F20"/>
          <w:spacing w:val="-30"/>
          <w:w w:val="105"/>
        </w:rPr>
        <w:t> </w:t>
      </w:r>
      <w:r>
        <w:rPr>
          <w:color w:val="231F20"/>
          <w:w w:val="105"/>
        </w:rPr>
        <w:t>polarità</w:t>
      </w:r>
      <w:r>
        <w:rPr>
          <w:color w:val="231F20"/>
          <w:spacing w:val="-30"/>
          <w:w w:val="105"/>
        </w:rPr>
        <w:t> </w:t>
      </w:r>
      <w:r>
        <w:rPr>
          <w:color w:val="231F20"/>
          <w:w w:val="105"/>
        </w:rPr>
        <w:t>dicotomica</w:t>
      </w:r>
      <w:r>
        <w:rPr>
          <w:color w:val="231F20"/>
          <w:spacing w:val="-30"/>
          <w:w w:val="105"/>
        </w:rPr>
        <w:t> </w:t>
      </w:r>
      <w:r>
        <w:rPr>
          <w:color w:val="231F20"/>
          <w:w w:val="105"/>
        </w:rPr>
        <w:t>stabile.</w:t>
      </w:r>
    </w:p>
    <w:p>
      <w:pPr>
        <w:pStyle w:val="BodyText"/>
        <w:spacing w:line="247" w:lineRule="auto" w:before="1"/>
        <w:ind w:left="117" w:right="117" w:firstLine="566"/>
        <w:jc w:val="both"/>
      </w:pPr>
      <w:r>
        <w:rPr>
          <w:color w:val="231F20"/>
        </w:rPr>
        <w:t>I</w:t>
      </w:r>
      <w:r>
        <w:rPr>
          <w:color w:val="231F20"/>
          <w:spacing w:val="-6"/>
        </w:rPr>
        <w:t> </w:t>
      </w:r>
      <w:r>
        <w:rPr>
          <w:color w:val="231F20"/>
        </w:rPr>
        <w:t>paradossi</w:t>
      </w:r>
      <w:r>
        <w:rPr>
          <w:color w:val="231F20"/>
          <w:spacing w:val="-6"/>
        </w:rPr>
        <w:t> </w:t>
      </w:r>
      <w:r>
        <w:rPr>
          <w:color w:val="231F20"/>
        </w:rPr>
        <w:t>che</w:t>
      </w:r>
      <w:r>
        <w:rPr>
          <w:color w:val="231F20"/>
          <w:spacing w:val="-6"/>
        </w:rPr>
        <w:t> </w:t>
      </w:r>
      <w:r>
        <w:rPr>
          <w:color w:val="231F20"/>
        </w:rPr>
        <w:t>abbiamo</w:t>
      </w:r>
      <w:r>
        <w:rPr>
          <w:color w:val="231F20"/>
          <w:spacing w:val="-6"/>
        </w:rPr>
        <w:t> </w:t>
      </w:r>
      <w:r>
        <w:rPr>
          <w:color w:val="231F20"/>
        </w:rPr>
        <w:t>abbozzato</w:t>
      </w:r>
      <w:r>
        <w:rPr>
          <w:color w:val="231F20"/>
          <w:spacing w:val="-6"/>
        </w:rPr>
        <w:t> </w:t>
      </w:r>
      <w:r>
        <w:rPr>
          <w:color w:val="231F20"/>
        </w:rPr>
        <w:t>corrono</w:t>
      </w:r>
      <w:r>
        <w:rPr>
          <w:color w:val="231F20"/>
          <w:spacing w:val="-6"/>
        </w:rPr>
        <w:t> </w:t>
      </w:r>
      <w:r>
        <w:rPr>
          <w:color w:val="231F20"/>
        </w:rPr>
        <w:t>il</w:t>
      </w:r>
      <w:r>
        <w:rPr>
          <w:color w:val="231F20"/>
          <w:spacing w:val="-6"/>
        </w:rPr>
        <w:t> </w:t>
      </w:r>
      <w:r>
        <w:rPr>
          <w:color w:val="231F20"/>
        </w:rPr>
        <w:t>rischio</w:t>
      </w:r>
      <w:r>
        <w:rPr>
          <w:color w:val="231F20"/>
          <w:spacing w:val="-6"/>
        </w:rPr>
        <w:t> </w:t>
      </w:r>
      <w:r>
        <w:rPr>
          <w:color w:val="231F20"/>
        </w:rPr>
        <w:t>di</w:t>
      </w:r>
      <w:r>
        <w:rPr>
          <w:color w:val="231F20"/>
          <w:spacing w:val="-6"/>
        </w:rPr>
        <w:t> </w:t>
      </w:r>
      <w:r>
        <w:rPr>
          <w:color w:val="231F20"/>
        </w:rPr>
        <w:t>far</w:t>
      </w:r>
      <w:r>
        <w:rPr>
          <w:color w:val="231F20"/>
          <w:spacing w:val="-6"/>
        </w:rPr>
        <w:t> </w:t>
      </w:r>
      <w:r>
        <w:rPr>
          <w:color w:val="231F20"/>
        </w:rPr>
        <w:t>apparire</w:t>
      </w:r>
      <w:r>
        <w:rPr>
          <w:color w:val="231F20"/>
          <w:spacing w:val="-6"/>
        </w:rPr>
        <w:t> </w:t>
      </w:r>
      <w:r>
        <w:rPr>
          <w:color w:val="231F20"/>
        </w:rPr>
        <w:t>il locale</w:t>
      </w:r>
      <w:r>
        <w:rPr>
          <w:color w:val="231F20"/>
          <w:spacing w:val="-12"/>
        </w:rPr>
        <w:t> </w:t>
      </w:r>
      <w:r>
        <w:rPr>
          <w:color w:val="231F20"/>
        </w:rPr>
        <w:t>e</w:t>
      </w:r>
      <w:r>
        <w:rPr>
          <w:color w:val="231F20"/>
          <w:spacing w:val="-12"/>
        </w:rPr>
        <w:t> </w:t>
      </w:r>
      <w:r>
        <w:rPr>
          <w:color w:val="231F20"/>
        </w:rPr>
        <w:t>il</w:t>
      </w:r>
      <w:r>
        <w:rPr>
          <w:color w:val="231F20"/>
          <w:spacing w:val="-12"/>
        </w:rPr>
        <w:t> </w:t>
      </w:r>
      <w:r>
        <w:rPr>
          <w:color w:val="231F20"/>
        </w:rPr>
        <w:t>globale</w:t>
      </w:r>
      <w:r>
        <w:rPr>
          <w:color w:val="231F20"/>
          <w:spacing w:val="-12"/>
        </w:rPr>
        <w:t> </w:t>
      </w:r>
      <w:r>
        <w:rPr>
          <w:color w:val="231F20"/>
        </w:rPr>
        <w:t>come</w:t>
      </w:r>
      <w:r>
        <w:rPr>
          <w:color w:val="231F20"/>
          <w:spacing w:val="-12"/>
        </w:rPr>
        <w:t> </w:t>
      </w:r>
      <w:r>
        <w:rPr>
          <w:color w:val="231F20"/>
        </w:rPr>
        <w:t>due</w:t>
      </w:r>
      <w:r>
        <w:rPr>
          <w:color w:val="231F20"/>
          <w:spacing w:val="-12"/>
        </w:rPr>
        <w:t> </w:t>
      </w:r>
      <w:r>
        <w:rPr>
          <w:color w:val="231F20"/>
        </w:rPr>
        <w:t>poli</w:t>
      </w:r>
      <w:r>
        <w:rPr>
          <w:color w:val="231F20"/>
          <w:spacing w:val="-12"/>
        </w:rPr>
        <w:t> </w:t>
      </w:r>
      <w:r>
        <w:rPr>
          <w:color w:val="231F20"/>
        </w:rPr>
        <w:t>chiaramente</w:t>
      </w:r>
      <w:r>
        <w:rPr>
          <w:color w:val="231F20"/>
          <w:spacing w:val="-12"/>
        </w:rPr>
        <w:t> </w:t>
      </w:r>
      <w:r>
        <w:rPr>
          <w:color w:val="231F20"/>
        </w:rPr>
        <w:t>definiti</w:t>
      </w:r>
      <w:r>
        <w:rPr>
          <w:color w:val="231F20"/>
          <w:spacing w:val="-12"/>
        </w:rPr>
        <w:t> </w:t>
      </w:r>
      <w:r>
        <w:rPr>
          <w:color w:val="231F20"/>
        </w:rPr>
        <w:t>e</w:t>
      </w:r>
      <w:r>
        <w:rPr>
          <w:color w:val="231F20"/>
          <w:spacing w:val="-12"/>
        </w:rPr>
        <w:t> </w:t>
      </w:r>
      <w:r>
        <w:rPr>
          <w:color w:val="231F20"/>
        </w:rPr>
        <w:t>delimitati,</w:t>
      </w:r>
      <w:r>
        <w:rPr>
          <w:color w:val="231F20"/>
          <w:spacing w:val="-12"/>
        </w:rPr>
        <w:t> </w:t>
      </w:r>
      <w:r>
        <w:rPr>
          <w:color w:val="231F20"/>
        </w:rPr>
        <w:t>da</w:t>
      </w:r>
      <w:r>
        <w:rPr>
          <w:color w:val="231F20"/>
          <w:spacing w:val="-12"/>
        </w:rPr>
        <w:t> </w:t>
      </w:r>
      <w:r>
        <w:rPr>
          <w:color w:val="231F20"/>
        </w:rPr>
        <w:t>cui</w:t>
      </w:r>
      <w:r>
        <w:rPr>
          <w:color w:val="231F20"/>
          <w:spacing w:val="-12"/>
        </w:rPr>
        <w:t> </w:t>
      </w:r>
      <w:r>
        <w:rPr>
          <w:color w:val="231F20"/>
        </w:rPr>
        <w:t>che ogni</w:t>
      </w:r>
      <w:r>
        <w:rPr>
          <w:color w:val="231F20"/>
          <w:spacing w:val="-13"/>
        </w:rPr>
        <w:t> </w:t>
      </w:r>
      <w:r>
        <w:rPr>
          <w:color w:val="231F20"/>
        </w:rPr>
        <w:t>differenza</w:t>
      </w:r>
      <w:r>
        <w:rPr>
          <w:color w:val="231F20"/>
          <w:spacing w:val="-13"/>
        </w:rPr>
        <w:t> </w:t>
      </w:r>
      <w:r>
        <w:rPr>
          <w:color w:val="231F20"/>
        </w:rPr>
        <w:t>può</w:t>
      </w:r>
      <w:r>
        <w:rPr>
          <w:color w:val="231F20"/>
          <w:spacing w:val="-13"/>
        </w:rPr>
        <w:t> </w:t>
      </w:r>
      <w:r>
        <w:rPr>
          <w:color w:val="231F20"/>
        </w:rPr>
        <w:t>capirsi</w:t>
      </w:r>
      <w:r>
        <w:rPr>
          <w:color w:val="231F20"/>
          <w:spacing w:val="-13"/>
        </w:rPr>
        <w:t> </w:t>
      </w:r>
      <w:r>
        <w:rPr>
          <w:color w:val="231F20"/>
        </w:rPr>
        <w:t>solo</w:t>
      </w:r>
      <w:r>
        <w:rPr>
          <w:color w:val="231F20"/>
          <w:spacing w:val="-13"/>
        </w:rPr>
        <w:t> </w:t>
      </w:r>
      <w:r>
        <w:rPr>
          <w:color w:val="231F20"/>
        </w:rPr>
        <w:t>alla</w:t>
      </w:r>
      <w:r>
        <w:rPr>
          <w:color w:val="231F20"/>
          <w:spacing w:val="-13"/>
        </w:rPr>
        <w:t> </w:t>
      </w:r>
      <w:r>
        <w:rPr>
          <w:color w:val="231F20"/>
        </w:rPr>
        <w:t>luce</w:t>
      </w:r>
      <w:r>
        <w:rPr>
          <w:color w:val="231F20"/>
          <w:spacing w:val="-13"/>
        </w:rPr>
        <w:t> </w:t>
      </w:r>
      <w:r>
        <w:rPr>
          <w:color w:val="231F20"/>
        </w:rPr>
        <w:t>di</w:t>
      </w:r>
      <w:r>
        <w:rPr>
          <w:color w:val="231F20"/>
          <w:spacing w:val="-13"/>
        </w:rPr>
        <w:t> </w:t>
      </w:r>
      <w:r>
        <w:rPr>
          <w:color w:val="231F20"/>
        </w:rPr>
        <w:t>entrambi.</w:t>
      </w:r>
      <w:r>
        <w:rPr>
          <w:color w:val="231F20"/>
          <w:spacing w:val="-13"/>
        </w:rPr>
        <w:t> </w:t>
      </w:r>
      <w:r>
        <w:rPr>
          <w:color w:val="231F20"/>
        </w:rPr>
        <w:t>Quella</w:t>
      </w:r>
      <w:r>
        <w:rPr>
          <w:color w:val="231F20"/>
          <w:spacing w:val="-13"/>
        </w:rPr>
        <w:t> </w:t>
      </w:r>
      <w:r>
        <w:rPr>
          <w:color w:val="231F20"/>
        </w:rPr>
        <w:t>è</w:t>
      </w:r>
      <w:r>
        <w:rPr>
          <w:color w:val="231F20"/>
          <w:spacing w:val="-13"/>
        </w:rPr>
        <w:t> </w:t>
      </w:r>
      <w:r>
        <w:rPr>
          <w:color w:val="231F20"/>
        </w:rPr>
        <w:t>precisamente la</w:t>
      </w:r>
      <w:r>
        <w:rPr>
          <w:color w:val="231F20"/>
          <w:spacing w:val="-22"/>
        </w:rPr>
        <w:t> </w:t>
      </w:r>
      <w:r>
        <w:rPr>
          <w:color w:val="231F20"/>
          <w:spacing w:val="-3"/>
        </w:rPr>
        <w:t>maniera</w:t>
      </w:r>
      <w:r>
        <w:rPr>
          <w:color w:val="231F20"/>
          <w:spacing w:val="-22"/>
        </w:rPr>
        <w:t> </w:t>
      </w:r>
      <w:r>
        <w:rPr>
          <w:color w:val="231F20"/>
        </w:rPr>
        <w:t>in</w:t>
      </w:r>
      <w:r>
        <w:rPr>
          <w:color w:val="231F20"/>
          <w:spacing w:val="-22"/>
        </w:rPr>
        <w:t> </w:t>
      </w:r>
      <w:r>
        <w:rPr>
          <w:color w:val="231F20"/>
        </w:rPr>
        <w:t>cui</w:t>
      </w:r>
      <w:r>
        <w:rPr>
          <w:color w:val="231F20"/>
          <w:spacing w:val="-22"/>
        </w:rPr>
        <w:t> </w:t>
      </w:r>
      <w:r>
        <w:rPr>
          <w:color w:val="231F20"/>
        </w:rPr>
        <w:t>un</w:t>
      </w:r>
      <w:r>
        <w:rPr>
          <w:color w:val="231F20"/>
          <w:spacing w:val="-22"/>
        </w:rPr>
        <w:t> </w:t>
      </w:r>
      <w:r>
        <w:rPr>
          <w:color w:val="231F20"/>
          <w:spacing w:val="-3"/>
        </w:rPr>
        <w:t>paradosso</w:t>
      </w:r>
      <w:r>
        <w:rPr>
          <w:color w:val="231F20"/>
          <w:spacing w:val="-22"/>
        </w:rPr>
        <w:t> </w:t>
      </w:r>
      <w:r>
        <w:rPr>
          <w:color w:val="231F20"/>
          <w:spacing w:val="-3"/>
        </w:rPr>
        <w:t>diventa</w:t>
      </w:r>
      <w:r>
        <w:rPr>
          <w:color w:val="231F20"/>
          <w:spacing w:val="-22"/>
        </w:rPr>
        <w:t> </w:t>
      </w:r>
      <w:r>
        <w:rPr>
          <w:color w:val="231F20"/>
          <w:spacing w:val="-3"/>
        </w:rPr>
        <w:t>fittizio.</w:t>
      </w:r>
      <w:r>
        <w:rPr>
          <w:color w:val="231F20"/>
          <w:spacing w:val="-22"/>
        </w:rPr>
        <w:t> </w:t>
      </w:r>
      <w:r>
        <w:rPr>
          <w:color w:val="231F20"/>
        </w:rPr>
        <w:t>Per</w:t>
      </w:r>
      <w:r>
        <w:rPr>
          <w:color w:val="231F20"/>
          <w:spacing w:val="-22"/>
        </w:rPr>
        <w:t> </w:t>
      </w:r>
      <w:r>
        <w:rPr>
          <w:color w:val="231F20"/>
        </w:rPr>
        <w:t>il</w:t>
      </w:r>
      <w:r>
        <w:rPr>
          <w:color w:val="231F20"/>
          <w:spacing w:val="-22"/>
        </w:rPr>
        <w:t> </w:t>
      </w:r>
      <w:r>
        <w:rPr>
          <w:color w:val="231F20"/>
          <w:spacing w:val="-3"/>
        </w:rPr>
        <w:t>contrario,</w:t>
      </w:r>
      <w:r>
        <w:rPr>
          <w:color w:val="231F20"/>
          <w:spacing w:val="-22"/>
        </w:rPr>
        <w:t> </w:t>
      </w:r>
      <w:r>
        <w:rPr>
          <w:color w:val="231F20"/>
        </w:rPr>
        <w:t>in</w:t>
      </w:r>
      <w:r>
        <w:rPr>
          <w:color w:val="231F20"/>
          <w:spacing w:val="-22"/>
        </w:rPr>
        <w:t> </w:t>
      </w:r>
      <w:r>
        <w:rPr>
          <w:color w:val="231F20"/>
        </w:rPr>
        <w:t>un</w:t>
      </w:r>
      <w:r>
        <w:rPr>
          <w:color w:val="231F20"/>
          <w:spacing w:val="-22"/>
        </w:rPr>
        <w:t> </w:t>
      </w:r>
      <w:r>
        <w:rPr>
          <w:color w:val="231F20"/>
          <w:spacing w:val="-3"/>
        </w:rPr>
        <w:t>paradosso </w:t>
      </w:r>
      <w:r>
        <w:rPr>
          <w:color w:val="231F20"/>
        </w:rPr>
        <w:t>radicale</w:t>
      </w:r>
      <w:r>
        <w:rPr>
          <w:color w:val="231F20"/>
          <w:spacing w:val="-12"/>
        </w:rPr>
        <w:t> </w:t>
      </w:r>
      <w:r>
        <w:rPr>
          <w:color w:val="231F20"/>
        </w:rPr>
        <w:t>gli</w:t>
      </w:r>
      <w:r>
        <w:rPr>
          <w:color w:val="231F20"/>
          <w:spacing w:val="-12"/>
        </w:rPr>
        <w:t> </w:t>
      </w:r>
      <w:r>
        <w:rPr>
          <w:color w:val="231F20"/>
        </w:rPr>
        <w:t>opposti</w:t>
      </w:r>
      <w:r>
        <w:rPr>
          <w:color w:val="231F20"/>
          <w:spacing w:val="-12"/>
        </w:rPr>
        <w:t> </w:t>
      </w:r>
      <w:r>
        <w:rPr>
          <w:color w:val="231F20"/>
        </w:rPr>
        <w:t>si</w:t>
      </w:r>
      <w:r>
        <w:rPr>
          <w:color w:val="231F20"/>
          <w:spacing w:val="-12"/>
        </w:rPr>
        <w:t> </w:t>
      </w:r>
      <w:r>
        <w:rPr>
          <w:color w:val="231F20"/>
        </w:rPr>
        <w:t>stabiliscono</w:t>
      </w:r>
      <w:r>
        <w:rPr>
          <w:color w:val="231F20"/>
          <w:spacing w:val="-12"/>
        </w:rPr>
        <w:t> </w:t>
      </w:r>
      <w:r>
        <w:rPr>
          <w:color w:val="231F20"/>
        </w:rPr>
        <w:t>come</w:t>
      </w:r>
      <w:r>
        <w:rPr>
          <w:color w:val="231F20"/>
          <w:spacing w:val="-12"/>
        </w:rPr>
        <w:t> </w:t>
      </w:r>
      <w:r>
        <w:rPr>
          <w:color w:val="231F20"/>
        </w:rPr>
        <w:t>differenze</w:t>
      </w:r>
      <w:r>
        <w:rPr>
          <w:color w:val="231F20"/>
          <w:spacing w:val="-12"/>
        </w:rPr>
        <w:t> </w:t>
      </w:r>
      <w:r>
        <w:rPr>
          <w:color w:val="231F20"/>
        </w:rPr>
        <w:t>irriducibili</w:t>
      </w:r>
      <w:r>
        <w:rPr>
          <w:color w:val="231F20"/>
          <w:spacing w:val="-12"/>
        </w:rPr>
        <w:t> </w:t>
      </w:r>
      <w:r>
        <w:rPr>
          <w:color w:val="231F20"/>
        </w:rPr>
        <w:t>che,</w:t>
      </w:r>
      <w:r>
        <w:rPr>
          <w:color w:val="231F20"/>
          <w:spacing w:val="-12"/>
        </w:rPr>
        <w:t> </w:t>
      </w:r>
      <w:r>
        <w:rPr>
          <w:color w:val="231F20"/>
        </w:rPr>
        <w:t>se</w:t>
      </w:r>
      <w:r>
        <w:rPr>
          <w:color w:val="231F20"/>
          <w:spacing w:val="-12"/>
        </w:rPr>
        <w:t> </w:t>
      </w:r>
      <w:r>
        <w:rPr>
          <w:color w:val="231F20"/>
        </w:rPr>
        <w:t>bene</w:t>
      </w:r>
      <w:r>
        <w:rPr>
          <w:color w:val="231F20"/>
          <w:spacing w:val="-12"/>
        </w:rPr>
        <w:t> </w:t>
      </w:r>
      <w:r>
        <w:rPr>
          <w:color w:val="231F20"/>
        </w:rPr>
        <w:t>si </w:t>
      </w:r>
      <w:r>
        <w:rPr>
          <w:color w:val="231F20"/>
          <w:spacing w:val="-3"/>
        </w:rPr>
        <w:t>relazionano,</w:t>
      </w:r>
      <w:r>
        <w:rPr>
          <w:color w:val="231F20"/>
          <w:spacing w:val="-22"/>
        </w:rPr>
        <w:t> </w:t>
      </w:r>
      <w:r>
        <w:rPr>
          <w:color w:val="231F20"/>
        </w:rPr>
        <w:t>non</w:t>
      </w:r>
      <w:r>
        <w:rPr>
          <w:color w:val="231F20"/>
          <w:spacing w:val="-22"/>
        </w:rPr>
        <w:t> </w:t>
      </w:r>
      <w:r>
        <w:rPr>
          <w:color w:val="231F20"/>
        </w:rPr>
        <w:t>acquistano</w:t>
      </w:r>
      <w:r>
        <w:rPr>
          <w:color w:val="231F20"/>
          <w:spacing w:val="-22"/>
        </w:rPr>
        <w:t> </w:t>
      </w:r>
      <w:r>
        <w:rPr>
          <w:color w:val="231F20"/>
        </w:rPr>
        <w:t>ne</w:t>
      </w:r>
      <w:r>
        <w:rPr>
          <w:color w:val="231F20"/>
          <w:spacing w:val="-22"/>
        </w:rPr>
        <w:t> </w:t>
      </w:r>
      <w:r>
        <w:rPr>
          <w:color w:val="231F20"/>
        </w:rPr>
        <w:t>tratti</w:t>
      </w:r>
      <w:r>
        <w:rPr>
          <w:color w:val="231F20"/>
          <w:spacing w:val="-22"/>
        </w:rPr>
        <w:t> </w:t>
      </w:r>
      <w:r>
        <w:rPr>
          <w:color w:val="231F20"/>
        </w:rPr>
        <w:t>stabili</w:t>
      </w:r>
      <w:r>
        <w:rPr>
          <w:color w:val="231F20"/>
          <w:spacing w:val="-22"/>
        </w:rPr>
        <w:t> </w:t>
      </w:r>
      <w:r>
        <w:rPr>
          <w:color w:val="231F20"/>
        </w:rPr>
        <w:t>ne</w:t>
      </w:r>
      <w:r>
        <w:rPr>
          <w:color w:val="231F20"/>
          <w:spacing w:val="-22"/>
        </w:rPr>
        <w:t> </w:t>
      </w:r>
      <w:r>
        <w:rPr>
          <w:color w:val="231F20"/>
        </w:rPr>
        <w:t>delle</w:t>
      </w:r>
      <w:r>
        <w:rPr>
          <w:color w:val="231F20"/>
          <w:spacing w:val="-22"/>
        </w:rPr>
        <w:t> </w:t>
      </w:r>
      <w:r>
        <w:rPr>
          <w:color w:val="231F20"/>
        </w:rPr>
        <w:t>identità.</w:t>
      </w:r>
      <w:r>
        <w:rPr>
          <w:color w:val="231F20"/>
          <w:spacing w:val="-22"/>
        </w:rPr>
        <w:t> </w:t>
      </w:r>
      <w:r>
        <w:rPr>
          <w:color w:val="231F20"/>
        </w:rPr>
        <w:t>Si</w:t>
      </w:r>
      <w:r>
        <w:rPr>
          <w:color w:val="231F20"/>
          <w:spacing w:val="-22"/>
        </w:rPr>
        <w:t> </w:t>
      </w:r>
      <w:r>
        <w:rPr>
          <w:color w:val="231F20"/>
        </w:rPr>
        <w:t>trata</w:t>
      </w:r>
      <w:r>
        <w:rPr>
          <w:color w:val="231F20"/>
          <w:spacing w:val="-22"/>
        </w:rPr>
        <w:t> </w:t>
      </w:r>
      <w:r>
        <w:rPr>
          <w:color w:val="231F20"/>
        </w:rPr>
        <w:t>allora</w:t>
      </w:r>
      <w:r>
        <w:rPr>
          <w:color w:val="231F20"/>
          <w:spacing w:val="-22"/>
        </w:rPr>
        <w:t> </w:t>
      </w:r>
      <w:r>
        <w:rPr>
          <w:color w:val="231F20"/>
        </w:rPr>
        <w:t>di </w:t>
      </w:r>
      <w:r>
        <w:rPr>
          <w:color w:val="231F20"/>
          <w:spacing w:val="-3"/>
        </w:rPr>
        <w:t>differenze</w:t>
      </w:r>
      <w:r>
        <w:rPr>
          <w:color w:val="231F20"/>
          <w:spacing w:val="-20"/>
        </w:rPr>
        <w:t> </w:t>
      </w:r>
      <w:r>
        <w:rPr>
          <w:color w:val="231F20"/>
        </w:rPr>
        <w:t>nomadi.</w:t>
      </w:r>
      <w:r>
        <w:rPr>
          <w:color w:val="231F20"/>
          <w:spacing w:val="-20"/>
        </w:rPr>
        <w:t> </w:t>
      </w:r>
      <w:r>
        <w:rPr>
          <w:color w:val="231F20"/>
        </w:rPr>
        <w:t>Il</w:t>
      </w:r>
      <w:r>
        <w:rPr>
          <w:color w:val="231F20"/>
          <w:spacing w:val="-20"/>
        </w:rPr>
        <w:t> </w:t>
      </w:r>
      <w:r>
        <w:rPr>
          <w:color w:val="231F20"/>
        </w:rPr>
        <w:t>nomade</w:t>
      </w:r>
      <w:r>
        <w:rPr>
          <w:color w:val="231F20"/>
          <w:spacing w:val="-20"/>
        </w:rPr>
        <w:t> </w:t>
      </w:r>
      <w:r>
        <w:rPr>
          <w:color w:val="231F20"/>
        </w:rPr>
        <w:t>non</w:t>
      </w:r>
      <w:r>
        <w:rPr>
          <w:color w:val="231F20"/>
          <w:spacing w:val="-20"/>
        </w:rPr>
        <w:t> </w:t>
      </w:r>
      <w:r>
        <w:rPr>
          <w:color w:val="231F20"/>
        </w:rPr>
        <w:t>è</w:t>
      </w:r>
      <w:r>
        <w:rPr>
          <w:color w:val="231F20"/>
          <w:spacing w:val="-20"/>
        </w:rPr>
        <w:t> </w:t>
      </w:r>
      <w:r>
        <w:rPr>
          <w:color w:val="231F20"/>
        </w:rPr>
        <w:t>quello</w:t>
      </w:r>
      <w:r>
        <w:rPr>
          <w:color w:val="231F20"/>
          <w:spacing w:val="-20"/>
        </w:rPr>
        <w:t> </w:t>
      </w:r>
      <w:r>
        <w:rPr>
          <w:color w:val="231F20"/>
        </w:rPr>
        <w:t>che</w:t>
      </w:r>
      <w:r>
        <w:rPr>
          <w:color w:val="231F20"/>
          <w:spacing w:val="-20"/>
        </w:rPr>
        <w:t> </w:t>
      </w:r>
      <w:r>
        <w:rPr>
          <w:color w:val="231F20"/>
        </w:rPr>
        <w:t>va</w:t>
      </w:r>
      <w:r>
        <w:rPr>
          <w:color w:val="231F20"/>
          <w:spacing w:val="-20"/>
        </w:rPr>
        <w:t> </w:t>
      </w:r>
      <w:r>
        <w:rPr>
          <w:color w:val="231F20"/>
        </w:rPr>
        <w:t>da</w:t>
      </w:r>
      <w:r>
        <w:rPr>
          <w:color w:val="231F20"/>
          <w:spacing w:val="-20"/>
        </w:rPr>
        <w:t> </w:t>
      </w:r>
      <w:r>
        <w:rPr>
          <w:color w:val="231F20"/>
        </w:rPr>
        <w:t>un</w:t>
      </w:r>
      <w:r>
        <w:rPr>
          <w:color w:val="231F20"/>
          <w:spacing w:val="-20"/>
        </w:rPr>
        <w:t> </w:t>
      </w:r>
      <w:r>
        <w:rPr>
          <w:color w:val="231F20"/>
        </w:rPr>
        <w:t>punto</w:t>
      </w:r>
      <w:r>
        <w:rPr>
          <w:color w:val="231F20"/>
          <w:spacing w:val="-20"/>
        </w:rPr>
        <w:t> </w:t>
      </w:r>
      <w:r>
        <w:rPr>
          <w:color w:val="231F20"/>
          <w:spacing w:val="-3"/>
        </w:rPr>
        <w:t>all’altro,</w:t>
      </w:r>
      <w:r>
        <w:rPr>
          <w:color w:val="231F20"/>
          <w:spacing w:val="-20"/>
        </w:rPr>
        <w:t> </w:t>
      </w:r>
      <w:r>
        <w:rPr>
          <w:color w:val="231F20"/>
        </w:rPr>
        <w:t>la</w:t>
      </w:r>
      <w:r>
        <w:rPr>
          <w:color w:val="231F20"/>
          <w:spacing w:val="-20"/>
        </w:rPr>
        <w:t> </w:t>
      </w:r>
      <w:r>
        <w:rPr>
          <w:color w:val="231F20"/>
        </w:rPr>
        <w:t>sua ragione</w:t>
      </w:r>
      <w:r>
        <w:rPr>
          <w:color w:val="231F20"/>
          <w:spacing w:val="-4"/>
        </w:rPr>
        <w:t> </w:t>
      </w:r>
      <w:r>
        <w:rPr>
          <w:color w:val="231F20"/>
        </w:rPr>
        <w:t>di</w:t>
      </w:r>
      <w:r>
        <w:rPr>
          <w:color w:val="231F20"/>
          <w:spacing w:val="-4"/>
        </w:rPr>
        <w:t> </w:t>
      </w:r>
      <w:r>
        <w:rPr>
          <w:color w:val="231F20"/>
        </w:rPr>
        <w:t>essere</w:t>
      </w:r>
      <w:r>
        <w:rPr>
          <w:color w:val="231F20"/>
          <w:spacing w:val="-4"/>
        </w:rPr>
        <w:t> </w:t>
      </w:r>
      <w:r>
        <w:rPr>
          <w:color w:val="231F20"/>
        </w:rPr>
        <w:t>non</w:t>
      </w:r>
      <w:r>
        <w:rPr>
          <w:color w:val="231F20"/>
          <w:spacing w:val="-4"/>
        </w:rPr>
        <w:t> </w:t>
      </w:r>
      <w:r>
        <w:rPr>
          <w:color w:val="231F20"/>
        </w:rPr>
        <w:t>è</w:t>
      </w:r>
      <w:r>
        <w:rPr>
          <w:color w:val="231F20"/>
          <w:spacing w:val="-4"/>
        </w:rPr>
        <w:t> </w:t>
      </w:r>
      <w:r>
        <w:rPr>
          <w:color w:val="231F20"/>
        </w:rPr>
        <w:t>andare</w:t>
      </w:r>
      <w:r>
        <w:rPr>
          <w:color w:val="231F20"/>
          <w:spacing w:val="-4"/>
        </w:rPr>
        <w:t> </w:t>
      </w:r>
      <w:r>
        <w:rPr>
          <w:color w:val="231F20"/>
        </w:rPr>
        <w:t>da</w:t>
      </w:r>
      <w:r>
        <w:rPr>
          <w:color w:val="231F20"/>
          <w:spacing w:val="-4"/>
        </w:rPr>
        <w:t> </w:t>
      </w:r>
      <w:r>
        <w:rPr>
          <w:color w:val="231F20"/>
        </w:rPr>
        <w:t>A</w:t>
      </w:r>
      <w:r>
        <w:rPr>
          <w:color w:val="231F20"/>
          <w:spacing w:val="-4"/>
        </w:rPr>
        <w:t> </w:t>
      </w:r>
      <w:r>
        <w:rPr>
          <w:color w:val="231F20"/>
        </w:rPr>
        <w:t>verso</w:t>
      </w:r>
      <w:r>
        <w:rPr>
          <w:color w:val="231F20"/>
          <w:spacing w:val="-4"/>
        </w:rPr>
        <w:t> </w:t>
      </w:r>
      <w:r>
        <w:rPr>
          <w:color w:val="231F20"/>
        </w:rPr>
        <w:t>B,</w:t>
      </w:r>
      <w:r>
        <w:rPr>
          <w:color w:val="231F20"/>
          <w:spacing w:val="-4"/>
        </w:rPr>
        <w:t> </w:t>
      </w:r>
      <w:r>
        <w:rPr>
          <w:color w:val="231F20"/>
        </w:rPr>
        <w:t>ma</w:t>
      </w:r>
      <w:r>
        <w:rPr>
          <w:color w:val="231F20"/>
          <w:spacing w:val="-4"/>
        </w:rPr>
        <w:t> </w:t>
      </w:r>
      <w:r>
        <w:rPr>
          <w:color w:val="231F20"/>
        </w:rPr>
        <w:t>la</w:t>
      </w:r>
      <w:r>
        <w:rPr>
          <w:color w:val="231F20"/>
          <w:spacing w:val="-4"/>
        </w:rPr>
        <w:t> </w:t>
      </w:r>
      <w:r>
        <w:rPr>
          <w:color w:val="231F20"/>
        </w:rPr>
        <w:t>sua</w:t>
      </w:r>
      <w:r>
        <w:rPr>
          <w:color w:val="231F20"/>
          <w:spacing w:val="-4"/>
        </w:rPr>
        <w:t> </w:t>
      </w:r>
      <w:r>
        <w:rPr>
          <w:color w:val="231F20"/>
        </w:rPr>
        <w:t>ragione</w:t>
      </w:r>
      <w:r>
        <w:rPr>
          <w:color w:val="231F20"/>
          <w:spacing w:val="-4"/>
        </w:rPr>
        <w:t> </w:t>
      </w:r>
      <w:r>
        <w:rPr>
          <w:color w:val="231F20"/>
        </w:rPr>
        <w:t>di</w:t>
      </w:r>
      <w:r>
        <w:rPr>
          <w:color w:val="231F20"/>
          <w:spacing w:val="-4"/>
        </w:rPr>
        <w:t> </w:t>
      </w:r>
      <w:r>
        <w:rPr>
          <w:color w:val="231F20"/>
        </w:rPr>
        <w:t>essere</w:t>
      </w:r>
      <w:r>
        <w:rPr>
          <w:color w:val="231F20"/>
          <w:spacing w:val="-4"/>
        </w:rPr>
        <w:t> </w:t>
      </w:r>
      <w:r>
        <w:rPr>
          <w:color w:val="231F20"/>
        </w:rPr>
        <w:t>è nel</w:t>
      </w:r>
      <w:r>
        <w:rPr>
          <w:color w:val="231F20"/>
          <w:spacing w:val="-14"/>
        </w:rPr>
        <w:t> </w:t>
      </w:r>
      <w:r>
        <w:rPr>
          <w:color w:val="231F20"/>
        </w:rPr>
        <w:t>tragitto</w:t>
      </w:r>
      <w:r>
        <w:rPr>
          <w:color w:val="231F20"/>
          <w:spacing w:val="-14"/>
        </w:rPr>
        <w:t> </w:t>
      </w:r>
      <w:r>
        <w:rPr>
          <w:color w:val="231F20"/>
        </w:rPr>
        <w:t>stesso,</w:t>
      </w:r>
      <w:r>
        <w:rPr>
          <w:color w:val="231F20"/>
          <w:spacing w:val="-14"/>
        </w:rPr>
        <w:t> </w:t>
      </w:r>
      <w:r>
        <w:rPr>
          <w:color w:val="231F20"/>
        </w:rPr>
        <w:t>senza</w:t>
      </w:r>
      <w:r>
        <w:rPr>
          <w:color w:val="231F20"/>
          <w:spacing w:val="-14"/>
        </w:rPr>
        <w:t> </w:t>
      </w:r>
      <w:r>
        <w:rPr>
          <w:color w:val="231F20"/>
        </w:rPr>
        <w:t>origine</w:t>
      </w:r>
      <w:r>
        <w:rPr>
          <w:color w:val="231F20"/>
          <w:spacing w:val="-14"/>
        </w:rPr>
        <w:t> </w:t>
      </w:r>
      <w:r>
        <w:rPr>
          <w:color w:val="231F20"/>
        </w:rPr>
        <w:t>ne</w:t>
      </w:r>
      <w:r>
        <w:rPr>
          <w:color w:val="231F20"/>
          <w:spacing w:val="-14"/>
        </w:rPr>
        <w:t> </w:t>
      </w:r>
      <w:r>
        <w:rPr>
          <w:color w:val="231F20"/>
        </w:rPr>
        <w:t>fine</w:t>
      </w:r>
      <w:r>
        <w:rPr>
          <w:color w:val="231F20"/>
          <w:spacing w:val="-14"/>
        </w:rPr>
        <w:t> </w:t>
      </w:r>
      <w:r>
        <w:rPr>
          <w:color w:val="231F20"/>
        </w:rPr>
        <w:t>determinato.</w:t>
      </w:r>
      <w:r>
        <w:rPr>
          <w:color w:val="231F20"/>
          <w:spacing w:val="-14"/>
        </w:rPr>
        <w:t> </w:t>
      </w:r>
      <w:r>
        <w:rPr>
          <w:color w:val="231F20"/>
        </w:rPr>
        <w:t>In</w:t>
      </w:r>
      <w:r>
        <w:rPr>
          <w:color w:val="231F20"/>
          <w:spacing w:val="-14"/>
        </w:rPr>
        <w:t> </w:t>
      </w:r>
      <w:r>
        <w:rPr>
          <w:color w:val="231F20"/>
        </w:rPr>
        <w:t>questo</w:t>
      </w:r>
      <w:r>
        <w:rPr>
          <w:color w:val="231F20"/>
          <w:spacing w:val="-14"/>
        </w:rPr>
        <w:t> </w:t>
      </w:r>
      <w:r>
        <w:rPr>
          <w:color w:val="231F20"/>
        </w:rPr>
        <w:t>aspetto,</w:t>
      </w:r>
      <w:r>
        <w:rPr>
          <w:color w:val="231F20"/>
          <w:spacing w:val="-14"/>
        </w:rPr>
        <w:t> </w:t>
      </w:r>
      <w:r>
        <w:rPr>
          <w:color w:val="231F20"/>
        </w:rPr>
        <w:t>tali concetti</w:t>
      </w:r>
      <w:r>
        <w:rPr>
          <w:color w:val="231F20"/>
          <w:spacing w:val="-19"/>
        </w:rPr>
        <w:t> </w:t>
      </w:r>
      <w:r>
        <w:rPr>
          <w:color w:val="231F20"/>
        </w:rPr>
        <w:t>ci</w:t>
      </w:r>
      <w:r>
        <w:rPr>
          <w:color w:val="231F20"/>
          <w:spacing w:val="-19"/>
        </w:rPr>
        <w:t> </w:t>
      </w:r>
      <w:r>
        <w:rPr>
          <w:color w:val="231F20"/>
        </w:rPr>
        <w:t>danno</w:t>
      </w:r>
      <w:r>
        <w:rPr>
          <w:color w:val="231F20"/>
          <w:spacing w:val="-19"/>
        </w:rPr>
        <w:t> </w:t>
      </w:r>
      <w:r>
        <w:rPr>
          <w:color w:val="231F20"/>
        </w:rPr>
        <w:t>strumenti</w:t>
      </w:r>
      <w:r>
        <w:rPr>
          <w:color w:val="231F20"/>
          <w:spacing w:val="-19"/>
        </w:rPr>
        <w:t> </w:t>
      </w:r>
      <w:r>
        <w:rPr>
          <w:color w:val="231F20"/>
        </w:rPr>
        <w:t>nuovi</w:t>
      </w:r>
      <w:r>
        <w:rPr>
          <w:color w:val="231F20"/>
          <w:spacing w:val="-19"/>
        </w:rPr>
        <w:t> </w:t>
      </w:r>
      <w:r>
        <w:rPr>
          <w:color w:val="231F20"/>
        </w:rPr>
        <w:t>per</w:t>
      </w:r>
      <w:r>
        <w:rPr>
          <w:color w:val="231F20"/>
          <w:spacing w:val="-19"/>
        </w:rPr>
        <w:t> </w:t>
      </w:r>
      <w:r>
        <w:rPr>
          <w:color w:val="231F20"/>
        </w:rPr>
        <w:t>pensare</w:t>
      </w:r>
      <w:r>
        <w:rPr>
          <w:color w:val="231F20"/>
          <w:spacing w:val="-19"/>
        </w:rPr>
        <w:t> </w:t>
      </w:r>
      <w:r>
        <w:rPr>
          <w:color w:val="231F20"/>
        </w:rPr>
        <w:t>il</w:t>
      </w:r>
      <w:r>
        <w:rPr>
          <w:color w:val="231F20"/>
          <w:spacing w:val="-19"/>
        </w:rPr>
        <w:t> </w:t>
      </w:r>
      <w:r>
        <w:rPr>
          <w:color w:val="231F20"/>
        </w:rPr>
        <w:t>locale</w:t>
      </w:r>
      <w:r>
        <w:rPr>
          <w:color w:val="231F20"/>
          <w:spacing w:val="-19"/>
        </w:rPr>
        <w:t> </w:t>
      </w:r>
      <w:r>
        <w:rPr>
          <w:color w:val="231F20"/>
        </w:rPr>
        <w:t>come</w:t>
      </w:r>
      <w:r>
        <w:rPr>
          <w:color w:val="231F20"/>
          <w:spacing w:val="-19"/>
        </w:rPr>
        <w:t> </w:t>
      </w:r>
      <w:r>
        <w:rPr>
          <w:color w:val="231F20"/>
        </w:rPr>
        <w:t>vera</w:t>
      </w:r>
      <w:r>
        <w:rPr>
          <w:color w:val="231F20"/>
          <w:spacing w:val="-19"/>
        </w:rPr>
        <w:t> </w:t>
      </w:r>
      <w:r>
        <w:rPr>
          <w:color w:val="231F20"/>
        </w:rPr>
        <w:t>differenza, cioè, come pluralità di espressioni nomadi, non fisse e con una diversità di riferimenti, non solo il globale. La forma, espressioni e contenuti del locale sarebbero</w:t>
      </w:r>
      <w:r>
        <w:rPr>
          <w:color w:val="231F20"/>
          <w:spacing w:val="-22"/>
        </w:rPr>
        <w:t> </w:t>
      </w:r>
      <w:r>
        <w:rPr>
          <w:color w:val="231F20"/>
        </w:rPr>
        <w:t>allora</w:t>
      </w:r>
      <w:r>
        <w:rPr>
          <w:color w:val="231F20"/>
          <w:spacing w:val="-22"/>
        </w:rPr>
        <w:t> </w:t>
      </w:r>
      <w:r>
        <w:rPr>
          <w:color w:val="231F20"/>
        </w:rPr>
        <w:t>permeati</w:t>
      </w:r>
      <w:r>
        <w:rPr>
          <w:color w:val="231F20"/>
          <w:spacing w:val="-22"/>
        </w:rPr>
        <w:t> </w:t>
      </w:r>
      <w:r>
        <w:rPr>
          <w:color w:val="231F20"/>
        </w:rPr>
        <w:t>da</w:t>
      </w:r>
      <w:r>
        <w:rPr>
          <w:color w:val="231F20"/>
          <w:spacing w:val="-22"/>
        </w:rPr>
        <w:t> </w:t>
      </w:r>
      <w:r>
        <w:rPr>
          <w:color w:val="231F20"/>
        </w:rPr>
        <w:t>una</w:t>
      </w:r>
      <w:r>
        <w:rPr>
          <w:color w:val="231F20"/>
          <w:spacing w:val="-22"/>
        </w:rPr>
        <w:t> </w:t>
      </w:r>
      <w:r>
        <w:rPr>
          <w:color w:val="231F20"/>
        </w:rPr>
        <w:t>costante</w:t>
      </w:r>
      <w:r>
        <w:rPr>
          <w:color w:val="231F20"/>
          <w:spacing w:val="-22"/>
        </w:rPr>
        <w:t> </w:t>
      </w:r>
      <w:r>
        <w:rPr>
          <w:color w:val="231F20"/>
        </w:rPr>
        <w:t>differenziazione,</w:t>
      </w:r>
      <w:r>
        <w:rPr>
          <w:color w:val="231F20"/>
          <w:spacing w:val="-22"/>
        </w:rPr>
        <w:t> </w:t>
      </w:r>
      <w:r>
        <w:rPr>
          <w:color w:val="231F20"/>
        </w:rPr>
        <w:t>per</w:t>
      </w:r>
      <w:r>
        <w:rPr>
          <w:color w:val="231F20"/>
          <w:spacing w:val="-22"/>
        </w:rPr>
        <w:t> </w:t>
      </w:r>
      <w:r>
        <w:rPr>
          <w:color w:val="231F20"/>
        </w:rPr>
        <w:t>farsi</w:t>
      </w:r>
      <w:r>
        <w:rPr>
          <w:color w:val="231F20"/>
          <w:spacing w:val="-22"/>
        </w:rPr>
        <w:t> </w:t>
      </w:r>
      <w:r>
        <w:rPr>
          <w:color w:val="231F20"/>
        </w:rPr>
        <w:t>e</w:t>
      </w:r>
      <w:r>
        <w:rPr>
          <w:color w:val="231F20"/>
          <w:spacing w:val="-22"/>
        </w:rPr>
        <w:t> </w:t>
      </w:r>
      <w:r>
        <w:rPr>
          <w:color w:val="231F20"/>
        </w:rPr>
        <w:t>rifarsi secondo cambiano le loro relazioni. </w:t>
      </w:r>
      <w:r>
        <w:rPr>
          <w:color w:val="231F20"/>
          <w:spacing w:val="-3"/>
        </w:rPr>
        <w:t>L’eterogeneo </w:t>
      </w:r>
      <w:r>
        <w:rPr>
          <w:color w:val="231F20"/>
        </w:rPr>
        <w:t>non si potrebbe ridurre   a essere un effetto dell’omogeneo, il particolare non sarebbe una delle manifestazioni dell’universale, il plurale non sarebbe una delle forme in cui il</w:t>
      </w:r>
      <w:r>
        <w:rPr>
          <w:color w:val="231F20"/>
          <w:spacing w:val="-16"/>
        </w:rPr>
        <w:t> </w:t>
      </w:r>
      <w:r>
        <w:rPr>
          <w:color w:val="231F20"/>
        </w:rPr>
        <w:t>finito</w:t>
      </w:r>
      <w:r>
        <w:rPr>
          <w:color w:val="231F20"/>
          <w:spacing w:val="-16"/>
        </w:rPr>
        <w:t> </w:t>
      </w:r>
      <w:r>
        <w:rPr>
          <w:color w:val="231F20"/>
        </w:rPr>
        <w:t>implode,</w:t>
      </w:r>
      <w:r>
        <w:rPr>
          <w:color w:val="231F20"/>
          <w:spacing w:val="-16"/>
        </w:rPr>
        <w:t> </w:t>
      </w:r>
      <w:r>
        <w:rPr>
          <w:color w:val="231F20"/>
        </w:rPr>
        <w:t>i</w:t>
      </w:r>
      <w:r>
        <w:rPr>
          <w:color w:val="231F20"/>
          <w:spacing w:val="-16"/>
        </w:rPr>
        <w:t> </w:t>
      </w:r>
      <w:r>
        <w:rPr>
          <w:color w:val="231F20"/>
        </w:rPr>
        <w:t>margini</w:t>
      </w:r>
      <w:r>
        <w:rPr>
          <w:color w:val="231F20"/>
          <w:spacing w:val="-16"/>
        </w:rPr>
        <w:t> </w:t>
      </w:r>
      <w:r>
        <w:rPr>
          <w:color w:val="231F20"/>
        </w:rPr>
        <w:t>non</w:t>
      </w:r>
      <w:r>
        <w:rPr>
          <w:color w:val="231F20"/>
          <w:spacing w:val="-16"/>
        </w:rPr>
        <w:t> </w:t>
      </w:r>
      <w:r>
        <w:rPr>
          <w:color w:val="231F20"/>
        </w:rPr>
        <w:t>sarebbero</w:t>
      </w:r>
      <w:r>
        <w:rPr>
          <w:color w:val="231F20"/>
          <w:spacing w:val="-16"/>
        </w:rPr>
        <w:t> </w:t>
      </w:r>
      <w:r>
        <w:rPr>
          <w:color w:val="231F20"/>
        </w:rPr>
        <w:t>in</w:t>
      </w:r>
      <w:r>
        <w:rPr>
          <w:color w:val="231F20"/>
          <w:spacing w:val="-16"/>
        </w:rPr>
        <w:t> </w:t>
      </w:r>
      <w:r>
        <w:rPr>
          <w:color w:val="231F20"/>
        </w:rPr>
        <w:t>continuità</w:t>
      </w:r>
      <w:r>
        <w:rPr>
          <w:color w:val="231F20"/>
          <w:spacing w:val="-16"/>
        </w:rPr>
        <w:t> </w:t>
      </w:r>
      <w:r>
        <w:rPr>
          <w:color w:val="231F20"/>
        </w:rPr>
        <w:t>col</w:t>
      </w:r>
      <w:r>
        <w:rPr>
          <w:color w:val="231F20"/>
          <w:spacing w:val="-16"/>
        </w:rPr>
        <w:t> </w:t>
      </w:r>
      <w:r>
        <w:rPr>
          <w:color w:val="231F20"/>
        </w:rPr>
        <w:t>centro.</w:t>
      </w:r>
      <w:r>
        <w:rPr>
          <w:color w:val="231F20"/>
          <w:spacing w:val="-16"/>
        </w:rPr>
        <w:t> </w:t>
      </w:r>
      <w:r>
        <w:rPr>
          <w:color w:val="231F20"/>
        </w:rPr>
        <w:t>Il</w:t>
      </w:r>
      <w:r>
        <w:rPr>
          <w:color w:val="231F20"/>
          <w:spacing w:val="-16"/>
        </w:rPr>
        <w:t> </w:t>
      </w:r>
      <w:r>
        <w:rPr>
          <w:color w:val="231F20"/>
        </w:rPr>
        <w:t>locale,</w:t>
      </w:r>
      <w:r>
        <w:rPr>
          <w:color w:val="231F20"/>
          <w:spacing w:val="-16"/>
        </w:rPr>
        <w:t> </w:t>
      </w:r>
      <w:r>
        <w:rPr>
          <w:color w:val="231F20"/>
        </w:rPr>
        <w:t>le singolarità,</w:t>
      </w:r>
      <w:r>
        <w:rPr>
          <w:color w:val="231F20"/>
          <w:spacing w:val="-9"/>
        </w:rPr>
        <w:t> </w:t>
      </w:r>
      <w:r>
        <w:rPr>
          <w:color w:val="231F20"/>
        </w:rPr>
        <w:t>le</w:t>
      </w:r>
      <w:r>
        <w:rPr>
          <w:color w:val="231F20"/>
          <w:spacing w:val="-9"/>
        </w:rPr>
        <w:t> </w:t>
      </w:r>
      <w:r>
        <w:rPr>
          <w:color w:val="231F20"/>
        </w:rPr>
        <w:t>differenze,</w:t>
      </w:r>
      <w:r>
        <w:rPr>
          <w:color w:val="231F20"/>
          <w:spacing w:val="-9"/>
        </w:rPr>
        <w:t> </w:t>
      </w:r>
      <w:r>
        <w:rPr>
          <w:color w:val="231F20"/>
        </w:rPr>
        <w:t>non</w:t>
      </w:r>
      <w:r>
        <w:rPr>
          <w:color w:val="231F20"/>
          <w:spacing w:val="-9"/>
        </w:rPr>
        <w:t> </w:t>
      </w:r>
      <w:r>
        <w:rPr>
          <w:color w:val="231F20"/>
        </w:rPr>
        <w:t>dovrebbero</w:t>
      </w:r>
      <w:r>
        <w:rPr>
          <w:color w:val="231F20"/>
          <w:spacing w:val="-9"/>
        </w:rPr>
        <w:t> </w:t>
      </w:r>
      <w:r>
        <w:rPr>
          <w:color w:val="231F20"/>
        </w:rPr>
        <w:t>chiedere</w:t>
      </w:r>
      <w:r>
        <w:rPr>
          <w:color w:val="231F20"/>
          <w:spacing w:val="-9"/>
        </w:rPr>
        <w:t> </w:t>
      </w:r>
      <w:r>
        <w:rPr>
          <w:color w:val="231F20"/>
        </w:rPr>
        <w:t>una</w:t>
      </w:r>
      <w:r>
        <w:rPr>
          <w:color w:val="231F20"/>
          <w:spacing w:val="-9"/>
        </w:rPr>
        <w:t> </w:t>
      </w:r>
      <w:r>
        <w:rPr>
          <w:color w:val="231F20"/>
        </w:rPr>
        <w:t>carta</w:t>
      </w:r>
      <w:r>
        <w:rPr>
          <w:color w:val="231F20"/>
          <w:spacing w:val="-9"/>
        </w:rPr>
        <w:t> </w:t>
      </w:r>
      <w:r>
        <w:rPr>
          <w:color w:val="231F20"/>
        </w:rPr>
        <w:t>d’identità,</w:t>
      </w:r>
      <w:r>
        <w:rPr>
          <w:color w:val="231F20"/>
          <w:spacing w:val="-9"/>
        </w:rPr>
        <w:t> </w:t>
      </w:r>
      <w:r>
        <w:rPr>
          <w:color w:val="231F20"/>
        </w:rPr>
        <w:t>una </w:t>
      </w:r>
      <w:r>
        <w:rPr>
          <w:color w:val="231F20"/>
          <w:spacing w:val="-4"/>
        </w:rPr>
        <w:t>assegnazione</w:t>
      </w:r>
      <w:r>
        <w:rPr>
          <w:color w:val="231F20"/>
          <w:spacing w:val="-22"/>
        </w:rPr>
        <w:t> </w:t>
      </w:r>
      <w:r>
        <w:rPr>
          <w:color w:val="231F20"/>
        </w:rPr>
        <w:t>di</w:t>
      </w:r>
      <w:r>
        <w:rPr>
          <w:color w:val="231F20"/>
          <w:spacing w:val="-22"/>
        </w:rPr>
        <w:t> </w:t>
      </w:r>
      <w:r>
        <w:rPr>
          <w:color w:val="231F20"/>
          <w:spacing w:val="-3"/>
        </w:rPr>
        <w:t>nome</w:t>
      </w:r>
      <w:r>
        <w:rPr>
          <w:color w:val="231F20"/>
          <w:spacing w:val="-22"/>
        </w:rPr>
        <w:t> </w:t>
      </w:r>
      <w:r>
        <w:rPr>
          <w:color w:val="231F20"/>
        </w:rPr>
        <w:t>o</w:t>
      </w:r>
      <w:r>
        <w:rPr>
          <w:color w:val="231F20"/>
          <w:spacing w:val="-22"/>
        </w:rPr>
        <w:t> </w:t>
      </w:r>
      <w:r>
        <w:rPr>
          <w:color w:val="231F20"/>
        </w:rPr>
        <w:t>la</w:t>
      </w:r>
      <w:r>
        <w:rPr>
          <w:color w:val="231F20"/>
          <w:spacing w:val="-22"/>
        </w:rPr>
        <w:t> </w:t>
      </w:r>
      <w:r>
        <w:rPr>
          <w:color w:val="231F20"/>
          <w:spacing w:val="-4"/>
        </w:rPr>
        <w:t>riconoscenza</w:t>
      </w:r>
      <w:r>
        <w:rPr>
          <w:color w:val="231F20"/>
          <w:spacing w:val="-22"/>
        </w:rPr>
        <w:t> </w:t>
      </w:r>
      <w:r>
        <w:rPr>
          <w:color w:val="231F20"/>
          <w:spacing w:val="-4"/>
        </w:rPr>
        <w:t>della</w:t>
      </w:r>
      <w:r>
        <w:rPr>
          <w:color w:val="231F20"/>
          <w:spacing w:val="-22"/>
        </w:rPr>
        <w:t> </w:t>
      </w:r>
      <w:r>
        <w:rPr>
          <w:color w:val="231F20"/>
          <w:spacing w:val="-3"/>
        </w:rPr>
        <w:t>sua</w:t>
      </w:r>
      <w:r>
        <w:rPr>
          <w:color w:val="231F20"/>
          <w:spacing w:val="-22"/>
        </w:rPr>
        <w:t> </w:t>
      </w:r>
      <w:r>
        <w:rPr>
          <w:color w:val="231F20"/>
          <w:spacing w:val="-4"/>
        </w:rPr>
        <w:t>unità</w:t>
      </w:r>
      <w:r>
        <w:rPr>
          <w:color w:val="231F20"/>
          <w:spacing w:val="-22"/>
        </w:rPr>
        <w:t> </w:t>
      </w:r>
      <w:r>
        <w:rPr>
          <w:color w:val="231F20"/>
        </w:rPr>
        <w:t>e</w:t>
      </w:r>
      <w:r>
        <w:rPr>
          <w:color w:val="231F20"/>
          <w:spacing w:val="-22"/>
        </w:rPr>
        <w:t> </w:t>
      </w:r>
      <w:r>
        <w:rPr>
          <w:color w:val="231F20"/>
          <w:spacing w:val="-4"/>
        </w:rPr>
        <w:t>coerenza</w:t>
      </w:r>
      <w:r>
        <w:rPr>
          <w:color w:val="231F20"/>
          <w:spacing w:val="-22"/>
        </w:rPr>
        <w:t> </w:t>
      </w:r>
      <w:r>
        <w:rPr>
          <w:color w:val="231F20"/>
          <w:spacing w:val="-3"/>
        </w:rPr>
        <w:t>per</w:t>
      </w:r>
      <w:r>
        <w:rPr>
          <w:color w:val="231F20"/>
          <w:spacing w:val="-22"/>
        </w:rPr>
        <w:t> </w:t>
      </w:r>
      <w:r>
        <w:rPr>
          <w:color w:val="231F20"/>
          <w:spacing w:val="-5"/>
        </w:rPr>
        <w:t>attuare, </w:t>
      </w:r>
      <w:r>
        <w:rPr>
          <w:color w:val="231F20"/>
        </w:rPr>
        <w:t>resistere e creare nuove forme di vita. Se c’è qualche forma di resistenza al processo globalizzatore che viviamo, che si vale della naturalizzazione delle sue contraddizioni, quel ridotto sarebbe nel resistere all’identità e alla delimitazione permanenti, all’essere abdotti necessariamente da alcuno  dei</w:t>
      </w:r>
      <w:r>
        <w:rPr>
          <w:color w:val="231F20"/>
          <w:spacing w:val="57"/>
        </w:rPr>
        <w:t> </w:t>
      </w:r>
      <w:r>
        <w:rPr>
          <w:color w:val="231F20"/>
          <w:spacing w:val="2"/>
        </w:rPr>
        <w:t>poli</w:t>
      </w:r>
      <w:r>
        <w:rPr>
          <w:color w:val="231F20"/>
          <w:spacing w:val="57"/>
        </w:rPr>
        <w:t> </w:t>
      </w:r>
      <w:r>
        <w:rPr>
          <w:color w:val="231F20"/>
          <w:spacing w:val="2"/>
        </w:rPr>
        <w:t>della</w:t>
      </w:r>
      <w:r>
        <w:rPr>
          <w:color w:val="231F20"/>
          <w:spacing w:val="57"/>
        </w:rPr>
        <w:t> </w:t>
      </w:r>
      <w:r>
        <w:rPr>
          <w:color w:val="231F20"/>
          <w:spacing w:val="2"/>
        </w:rPr>
        <w:t>contraddizione.</w:t>
      </w:r>
      <w:r>
        <w:rPr>
          <w:color w:val="231F20"/>
          <w:spacing w:val="57"/>
        </w:rPr>
        <w:t> </w:t>
      </w:r>
      <w:r>
        <w:rPr>
          <w:color w:val="231F20"/>
          <w:spacing w:val="2"/>
        </w:rPr>
        <w:t>Come</w:t>
      </w:r>
      <w:r>
        <w:rPr>
          <w:color w:val="231F20"/>
          <w:spacing w:val="57"/>
        </w:rPr>
        <w:t> </w:t>
      </w:r>
      <w:r>
        <w:rPr>
          <w:color w:val="231F20"/>
          <w:spacing w:val="2"/>
        </w:rPr>
        <w:t>espone</w:t>
      </w:r>
      <w:r>
        <w:rPr>
          <w:color w:val="231F20"/>
          <w:spacing w:val="57"/>
        </w:rPr>
        <w:t> </w:t>
      </w:r>
      <w:r>
        <w:rPr>
          <w:color w:val="231F20"/>
        </w:rPr>
        <w:t>Giorgio</w:t>
      </w:r>
      <w:r>
        <w:rPr>
          <w:color w:val="231F20"/>
          <w:spacing w:val="57"/>
        </w:rPr>
        <w:t> </w:t>
      </w:r>
      <w:r>
        <w:rPr>
          <w:color w:val="231F20"/>
          <w:spacing w:val="2"/>
        </w:rPr>
        <w:t>Agamben,</w:t>
      </w:r>
      <w:r>
        <w:rPr>
          <w:color w:val="231F20"/>
          <w:spacing w:val="57"/>
        </w:rPr>
        <w:t> </w:t>
      </w:r>
      <w:r>
        <w:rPr>
          <w:color w:val="231F20"/>
        </w:rPr>
        <w:t>se</w:t>
      </w:r>
      <w:r>
        <w:rPr>
          <w:color w:val="231F20"/>
          <w:spacing w:val="57"/>
        </w:rPr>
        <w:t> </w:t>
      </w:r>
      <w:r>
        <w:rPr>
          <w:color w:val="231F20"/>
          <w:spacing w:val="3"/>
        </w:rPr>
        <w:t>c’è</w:t>
      </w:r>
    </w:p>
    <w:p>
      <w:pPr>
        <w:spacing w:line="206" w:lineRule="exact" w:before="364"/>
        <w:ind w:left="117" w:right="0" w:firstLine="0"/>
        <w:jc w:val="both"/>
        <w:rPr>
          <w:rFonts w:ascii="Calibri" w:hAnsi="Calibri"/>
          <w:sz w:val="17"/>
        </w:rPr>
      </w:pPr>
      <w:r>
        <w:rPr/>
        <w:pict>
          <v:line style="position:absolute;mso-position-horizontal-relative:page;mso-position-vertical-relative:paragraph;z-index:12088" from="70.866096pt,16.093267pt" to="184.252096pt,16.093267pt" stroked="true" strokeweight=".3pt" strokecolor="#231f20">
            <w10:wrap type="none"/>
          </v:line>
        </w:pict>
      </w:r>
      <w:r>
        <w:rPr>
          <w:rFonts w:ascii="Calibri" w:hAnsi="Calibri"/>
          <w:color w:val="231F20"/>
          <w:w w:val="105"/>
          <w:position w:val="6"/>
          <w:sz w:val="10"/>
        </w:rPr>
        <w:t>50 </w:t>
      </w:r>
      <w:r>
        <w:rPr>
          <w:rFonts w:ascii="Calibri" w:hAnsi="Calibri"/>
          <w:color w:val="231F20"/>
          <w:w w:val="105"/>
          <w:sz w:val="17"/>
        </w:rPr>
        <w:t>Il significato di </w:t>
      </w:r>
      <w:r>
        <w:rPr>
          <w:rFonts w:ascii="Calibri" w:hAnsi="Calibri"/>
          <w:i/>
          <w:color w:val="231F20"/>
          <w:w w:val="105"/>
          <w:sz w:val="17"/>
        </w:rPr>
        <w:t>intensivo </w:t>
      </w:r>
      <w:r>
        <w:rPr>
          <w:rFonts w:ascii="Calibri" w:hAnsi="Calibri"/>
          <w:color w:val="231F20"/>
          <w:w w:val="105"/>
          <w:sz w:val="17"/>
        </w:rPr>
        <w:t>è chiarito nella nota 41.</w:t>
      </w:r>
    </w:p>
    <w:p>
      <w:pPr>
        <w:spacing w:line="235" w:lineRule="auto" w:before="1"/>
        <w:ind w:left="117" w:right="121" w:firstLine="0"/>
        <w:jc w:val="both"/>
        <w:rPr>
          <w:rFonts w:ascii="Calibri" w:hAnsi="Calibri"/>
          <w:sz w:val="17"/>
        </w:rPr>
      </w:pPr>
      <w:r>
        <w:rPr>
          <w:rFonts w:ascii="Calibri" w:hAnsi="Calibri"/>
          <w:color w:val="231F20"/>
          <w:position w:val="6"/>
          <w:sz w:val="10"/>
        </w:rPr>
        <w:t>51   </w:t>
      </w:r>
      <w:r>
        <w:rPr>
          <w:rFonts w:ascii="Calibri" w:hAnsi="Calibri"/>
          <w:color w:val="231F20"/>
          <w:sz w:val="17"/>
        </w:rPr>
        <w:t>Col termine </w:t>
      </w:r>
      <w:r>
        <w:rPr>
          <w:rFonts w:ascii="Calibri" w:hAnsi="Calibri"/>
          <w:i/>
          <w:color w:val="231F20"/>
          <w:sz w:val="17"/>
        </w:rPr>
        <w:t>molteplicità </w:t>
      </w:r>
      <w:r>
        <w:rPr>
          <w:rFonts w:ascii="Calibri" w:hAnsi="Calibri"/>
          <w:color w:val="231F20"/>
          <w:sz w:val="17"/>
        </w:rPr>
        <w:t>Deleuze cerca di far fronte ad una concezione delle cose, dei corpi e     dei soggetti in termini d’identità e di proprietà. Per il filosofo francese, i corpi non rimangono mai identici a loro stessi, si differenziano da loro stessi in modo intensivo e costante, cambiano di  natura così come si dividono o si connettano con altri corpi, ancora così, i corpi sono molteplici in maniera immanente e non per una mera aggregazione: “ogni molteplicità è già composta da termini eterogenei in simbiosi, […] essa non smette di trasformarsi in altre molteplicità in fila, seguendo le loro soglie e le loro porte” (Deleuze y Guattari, </w:t>
      </w:r>
      <w:r>
        <w:rPr>
          <w:rFonts w:ascii="Calibri" w:hAnsi="Calibri"/>
          <w:i/>
          <w:color w:val="231F20"/>
          <w:sz w:val="17"/>
        </w:rPr>
        <w:t>Mille plateaux</w:t>
      </w:r>
      <w:r>
        <w:rPr>
          <w:rFonts w:ascii="Calibri" w:hAnsi="Calibri"/>
          <w:color w:val="231F20"/>
          <w:sz w:val="17"/>
        </w:rPr>
        <w:t>, p.</w:t>
      </w:r>
      <w:r>
        <w:rPr>
          <w:rFonts w:ascii="Calibri" w:hAnsi="Calibri"/>
          <w:color w:val="231F20"/>
          <w:spacing w:val="-21"/>
          <w:sz w:val="17"/>
        </w:rPr>
        <w:t> </w:t>
      </w:r>
      <w:r>
        <w:rPr>
          <w:rFonts w:ascii="Calibri" w:hAnsi="Calibri"/>
          <w:color w:val="231F20"/>
          <w:sz w:val="17"/>
        </w:rPr>
        <w:t>305).</w:t>
      </w:r>
    </w:p>
    <w:p>
      <w:pPr>
        <w:spacing w:after="0" w:line="235" w:lineRule="auto"/>
        <w:jc w:val="both"/>
        <w:rPr>
          <w:rFonts w:ascii="Calibri" w:hAnsi="Calibri"/>
          <w:sz w:val="17"/>
        </w:rPr>
        <w:sectPr>
          <w:pgSz w:w="9640" w:h="13890"/>
          <w:pgMar w:top="0" w:bottom="280" w:left="1300" w:right="1180"/>
        </w:sectPr>
      </w:pPr>
    </w:p>
    <w:p>
      <w:pPr>
        <w:pStyle w:val="BodyText"/>
        <w:spacing w:line="244" w:lineRule="auto" w:before="107"/>
        <w:ind w:left="103" w:right="112"/>
        <w:jc w:val="both"/>
      </w:pPr>
      <w:r>
        <w:rPr>
          <w:color w:val="231F20"/>
        </w:rPr>
        <w:t>qualcosa che lo Stato e le istituzioni che puntellano la logica globalizzante non possono tollerare “è che le singolarità che conformano una comunità non siano rivendicate in qualche identità, che ci siano essere umani che si coappartengono senza una condizione rappresentabile d’appartenenza, (essere</w:t>
      </w:r>
      <w:r>
        <w:rPr>
          <w:color w:val="231F20"/>
          <w:spacing w:val="-10"/>
        </w:rPr>
        <w:t> </w:t>
      </w:r>
      <w:r>
        <w:rPr>
          <w:color w:val="231F20"/>
        </w:rPr>
        <w:t>italiano,</w:t>
      </w:r>
      <w:r>
        <w:rPr>
          <w:color w:val="231F20"/>
          <w:spacing w:val="-10"/>
        </w:rPr>
        <w:t> </w:t>
      </w:r>
      <w:r>
        <w:rPr>
          <w:color w:val="231F20"/>
        </w:rPr>
        <w:t>di</w:t>
      </w:r>
      <w:r>
        <w:rPr>
          <w:color w:val="231F20"/>
          <w:spacing w:val="-10"/>
        </w:rPr>
        <w:t> </w:t>
      </w:r>
      <w:r>
        <w:rPr>
          <w:color w:val="231F20"/>
        </w:rPr>
        <w:t>classe</w:t>
      </w:r>
      <w:r>
        <w:rPr>
          <w:color w:val="231F20"/>
          <w:spacing w:val="-10"/>
        </w:rPr>
        <w:t> </w:t>
      </w:r>
      <w:r>
        <w:rPr>
          <w:color w:val="231F20"/>
        </w:rPr>
        <w:t>operaia,</w:t>
      </w:r>
      <w:r>
        <w:rPr>
          <w:color w:val="231F20"/>
          <w:spacing w:val="-10"/>
        </w:rPr>
        <w:t> </w:t>
      </w:r>
      <w:r>
        <w:rPr>
          <w:color w:val="231F20"/>
        </w:rPr>
        <w:t>cattolico,</w:t>
      </w:r>
      <w:r>
        <w:rPr>
          <w:color w:val="231F20"/>
          <w:spacing w:val="-10"/>
        </w:rPr>
        <w:t> </w:t>
      </w:r>
      <w:r>
        <w:rPr>
          <w:color w:val="231F20"/>
        </w:rPr>
        <w:t>terrorista,</w:t>
      </w:r>
      <w:r>
        <w:rPr>
          <w:color w:val="231F20"/>
          <w:spacing w:val="-10"/>
        </w:rPr>
        <w:t> </w:t>
      </w:r>
      <w:r>
        <w:rPr>
          <w:color w:val="231F20"/>
        </w:rPr>
        <w:t>ecc.)”</w:t>
      </w:r>
      <w:r>
        <w:rPr>
          <w:color w:val="231F20"/>
          <w:position w:val="7"/>
          <w:sz w:val="12"/>
        </w:rPr>
        <w:t>52</w:t>
      </w:r>
      <w:r>
        <w:rPr>
          <w:color w:val="231F20"/>
        </w:rPr>
        <w:t>.</w:t>
      </w:r>
      <w:r>
        <w:rPr>
          <w:color w:val="231F20"/>
          <w:spacing w:val="-10"/>
        </w:rPr>
        <w:t> </w:t>
      </w:r>
      <w:r>
        <w:rPr>
          <w:color w:val="231F20"/>
        </w:rPr>
        <w:t>La</w:t>
      </w:r>
      <w:r>
        <w:rPr>
          <w:color w:val="231F20"/>
          <w:spacing w:val="-10"/>
        </w:rPr>
        <w:t> </w:t>
      </w:r>
      <w:r>
        <w:rPr>
          <w:rFonts w:ascii="Arial" w:hAnsi="Arial"/>
          <w:i/>
          <w:color w:val="231F20"/>
        </w:rPr>
        <w:t>comunità </w:t>
      </w:r>
      <w:r>
        <w:rPr>
          <w:rFonts w:ascii="Arial" w:hAnsi="Arial"/>
          <w:i/>
          <w:color w:val="231F20"/>
        </w:rPr>
        <w:t>che</w:t>
      </w:r>
      <w:r>
        <w:rPr>
          <w:rFonts w:ascii="Arial" w:hAnsi="Arial"/>
          <w:i/>
          <w:color w:val="231F20"/>
          <w:spacing w:val="-4"/>
        </w:rPr>
        <w:t> </w:t>
      </w:r>
      <w:r>
        <w:rPr>
          <w:rFonts w:ascii="Arial" w:hAnsi="Arial"/>
          <w:i/>
          <w:color w:val="231F20"/>
          <w:spacing w:val="-3"/>
        </w:rPr>
        <w:t>viene</w:t>
      </w:r>
      <w:r>
        <w:rPr>
          <w:rFonts w:ascii="Arial" w:hAnsi="Arial"/>
          <w:i/>
          <w:color w:val="231F20"/>
          <w:spacing w:val="-4"/>
        </w:rPr>
        <w:t> </w:t>
      </w:r>
      <w:r>
        <w:rPr>
          <w:color w:val="231F20"/>
          <w:spacing w:val="-3"/>
        </w:rPr>
        <w:t>agambiana</w:t>
      </w:r>
      <w:r>
        <w:rPr>
          <w:color w:val="231F20"/>
          <w:spacing w:val="-11"/>
        </w:rPr>
        <w:t> </w:t>
      </w:r>
      <w:r>
        <w:rPr>
          <w:color w:val="231F20"/>
          <w:spacing w:val="-4"/>
        </w:rPr>
        <w:t>sarebbe</w:t>
      </w:r>
      <w:r>
        <w:rPr>
          <w:color w:val="231F20"/>
          <w:spacing w:val="-11"/>
        </w:rPr>
        <w:t> </w:t>
      </w:r>
      <w:r>
        <w:rPr>
          <w:color w:val="231F20"/>
          <w:spacing w:val="-4"/>
        </w:rPr>
        <w:t>precisamente</w:t>
      </w:r>
      <w:r>
        <w:rPr>
          <w:color w:val="231F20"/>
          <w:spacing w:val="-11"/>
        </w:rPr>
        <w:t> </w:t>
      </w:r>
      <w:r>
        <w:rPr>
          <w:color w:val="231F20"/>
          <w:spacing w:val="-4"/>
        </w:rPr>
        <w:t>l’espressione</w:t>
      </w:r>
      <w:r>
        <w:rPr>
          <w:color w:val="231F20"/>
          <w:spacing w:val="-11"/>
        </w:rPr>
        <w:t> </w:t>
      </w:r>
      <w:r>
        <w:rPr>
          <w:color w:val="231F20"/>
        </w:rPr>
        <w:t>di</w:t>
      </w:r>
      <w:r>
        <w:rPr>
          <w:color w:val="231F20"/>
          <w:spacing w:val="-11"/>
        </w:rPr>
        <w:t> </w:t>
      </w:r>
      <w:r>
        <w:rPr>
          <w:color w:val="231F20"/>
          <w:spacing w:val="-3"/>
        </w:rPr>
        <w:t>forme</w:t>
      </w:r>
      <w:r>
        <w:rPr>
          <w:color w:val="231F20"/>
          <w:spacing w:val="-11"/>
        </w:rPr>
        <w:t> </w:t>
      </w:r>
      <w:r>
        <w:rPr>
          <w:color w:val="231F20"/>
        </w:rPr>
        <w:t>di</w:t>
      </w:r>
      <w:r>
        <w:rPr>
          <w:color w:val="231F20"/>
          <w:spacing w:val="-11"/>
        </w:rPr>
        <w:t> </w:t>
      </w:r>
      <w:r>
        <w:rPr>
          <w:color w:val="231F20"/>
          <w:spacing w:val="-3"/>
        </w:rPr>
        <w:t>vita</w:t>
      </w:r>
      <w:r>
        <w:rPr>
          <w:color w:val="231F20"/>
          <w:spacing w:val="-11"/>
        </w:rPr>
        <w:t> </w:t>
      </w:r>
      <w:r>
        <w:rPr>
          <w:color w:val="231F20"/>
          <w:spacing w:val="-3"/>
        </w:rPr>
        <w:t>che </w:t>
      </w:r>
      <w:r>
        <w:rPr>
          <w:color w:val="231F20"/>
        </w:rPr>
        <w:t>non</w:t>
      </w:r>
      <w:r>
        <w:rPr>
          <w:color w:val="231F20"/>
          <w:spacing w:val="-19"/>
        </w:rPr>
        <w:t> </w:t>
      </w:r>
      <w:r>
        <w:rPr>
          <w:color w:val="231F20"/>
        </w:rPr>
        <w:t>hanno</w:t>
      </w:r>
      <w:r>
        <w:rPr>
          <w:color w:val="231F20"/>
          <w:spacing w:val="-19"/>
        </w:rPr>
        <w:t> </w:t>
      </w:r>
      <w:r>
        <w:rPr>
          <w:color w:val="231F20"/>
        </w:rPr>
        <w:t>bisogno</w:t>
      </w:r>
      <w:r>
        <w:rPr>
          <w:color w:val="231F20"/>
          <w:spacing w:val="-19"/>
        </w:rPr>
        <w:t> </w:t>
      </w:r>
      <w:r>
        <w:rPr>
          <w:color w:val="231F20"/>
        </w:rPr>
        <w:t>di</w:t>
      </w:r>
      <w:r>
        <w:rPr>
          <w:color w:val="231F20"/>
          <w:spacing w:val="-19"/>
        </w:rPr>
        <w:t> </w:t>
      </w:r>
      <w:r>
        <w:rPr>
          <w:color w:val="231F20"/>
        </w:rPr>
        <w:t>giustificarsi</w:t>
      </w:r>
      <w:r>
        <w:rPr>
          <w:color w:val="231F20"/>
          <w:spacing w:val="-19"/>
        </w:rPr>
        <w:t> </w:t>
      </w:r>
      <w:r>
        <w:rPr>
          <w:color w:val="231F20"/>
        </w:rPr>
        <w:t>o</w:t>
      </w:r>
      <w:r>
        <w:rPr>
          <w:color w:val="231F20"/>
          <w:spacing w:val="-19"/>
        </w:rPr>
        <w:t> </w:t>
      </w:r>
      <w:r>
        <w:rPr>
          <w:color w:val="231F20"/>
        </w:rPr>
        <w:t>modificarsi</w:t>
      </w:r>
      <w:r>
        <w:rPr>
          <w:color w:val="231F20"/>
          <w:spacing w:val="-19"/>
        </w:rPr>
        <w:t> </w:t>
      </w:r>
      <w:r>
        <w:rPr>
          <w:color w:val="231F20"/>
        </w:rPr>
        <w:t>per</w:t>
      </w:r>
      <w:r>
        <w:rPr>
          <w:color w:val="231F20"/>
          <w:spacing w:val="-19"/>
        </w:rPr>
        <w:t> </w:t>
      </w:r>
      <w:r>
        <w:rPr>
          <w:color w:val="231F20"/>
          <w:spacing w:val="-3"/>
        </w:rPr>
        <w:t>appartenere</w:t>
      </w:r>
      <w:r>
        <w:rPr>
          <w:color w:val="231F20"/>
          <w:spacing w:val="-19"/>
        </w:rPr>
        <w:t> </w:t>
      </w:r>
      <w:r>
        <w:rPr>
          <w:color w:val="231F20"/>
        </w:rPr>
        <w:t>a</w:t>
      </w:r>
      <w:r>
        <w:rPr>
          <w:color w:val="231F20"/>
          <w:spacing w:val="-19"/>
        </w:rPr>
        <w:t> </w:t>
      </w:r>
      <w:r>
        <w:rPr>
          <w:color w:val="231F20"/>
        </w:rPr>
        <w:t>un</w:t>
      </w:r>
      <w:r>
        <w:rPr>
          <w:color w:val="231F20"/>
          <w:spacing w:val="-19"/>
        </w:rPr>
        <w:t> </w:t>
      </w:r>
      <w:r>
        <w:rPr>
          <w:color w:val="231F20"/>
        </w:rPr>
        <w:t>insieme che in se stesso non può nominarsi ne fissarsi, non può acquisire nessuna identità. Si tratterebbe, come anche afferma Marramao, di </w:t>
      </w:r>
      <w:r>
        <w:rPr>
          <w:rFonts w:ascii="Arial" w:hAnsi="Arial"/>
          <w:i/>
          <w:color w:val="231F20"/>
        </w:rPr>
        <w:t>una comunità </w:t>
      </w:r>
      <w:r>
        <w:rPr>
          <w:rFonts w:ascii="Arial" w:hAnsi="Arial"/>
          <w:i/>
          <w:color w:val="231F20"/>
        </w:rPr>
        <w:t>paradossale, comunità dei senza comunità</w:t>
      </w:r>
      <w:r>
        <w:rPr>
          <w:color w:val="231F20"/>
        </w:rPr>
        <w:t>. Solo così sarebbe pensabile la democrazia, come qualcosa sempre “[…] ‘per venire’ giustamente perchè non sacrifica mai all’utopia di una tradizione assoluta l’opacità dell’attrito   e del conflitto”</w:t>
      </w:r>
      <w:r>
        <w:rPr>
          <w:color w:val="231F20"/>
          <w:position w:val="7"/>
          <w:sz w:val="12"/>
        </w:rPr>
        <w:t>53</w:t>
      </w:r>
      <w:r>
        <w:rPr>
          <w:color w:val="231F20"/>
        </w:rPr>
        <w:t>. Deleuze prendeva la stessa via al parlare di </w:t>
      </w:r>
      <w:r>
        <w:rPr>
          <w:rFonts w:ascii="Arial" w:hAnsi="Arial"/>
          <w:i/>
          <w:color w:val="231F20"/>
        </w:rPr>
        <w:t>un popolo </w:t>
      </w:r>
      <w:r>
        <w:rPr>
          <w:rFonts w:ascii="Arial" w:hAnsi="Arial"/>
          <w:i/>
          <w:color w:val="231F20"/>
        </w:rPr>
        <w:t>per venire</w:t>
      </w:r>
      <w:r>
        <w:rPr>
          <w:color w:val="231F20"/>
        </w:rPr>
        <w:t>, espressione che non avrebbe un carattere messianico, anzi, si tratta</w:t>
      </w:r>
      <w:r>
        <w:rPr>
          <w:color w:val="231F20"/>
          <w:spacing w:val="-10"/>
        </w:rPr>
        <w:t> </w:t>
      </w:r>
      <w:r>
        <w:rPr>
          <w:color w:val="231F20"/>
        </w:rPr>
        <w:t>di</w:t>
      </w:r>
      <w:r>
        <w:rPr>
          <w:color w:val="231F20"/>
          <w:spacing w:val="-10"/>
        </w:rPr>
        <w:t> </w:t>
      </w:r>
      <w:r>
        <w:rPr>
          <w:color w:val="231F20"/>
        </w:rPr>
        <w:t>un</w:t>
      </w:r>
      <w:r>
        <w:rPr>
          <w:color w:val="231F20"/>
          <w:spacing w:val="-10"/>
        </w:rPr>
        <w:t> </w:t>
      </w:r>
      <w:r>
        <w:rPr>
          <w:color w:val="231F20"/>
        </w:rPr>
        <w:t>popolo</w:t>
      </w:r>
      <w:r>
        <w:rPr>
          <w:color w:val="231F20"/>
          <w:spacing w:val="-10"/>
        </w:rPr>
        <w:t> </w:t>
      </w:r>
      <w:r>
        <w:rPr>
          <w:color w:val="231F20"/>
        </w:rPr>
        <w:t>per</w:t>
      </w:r>
      <w:r>
        <w:rPr>
          <w:color w:val="231F20"/>
          <w:spacing w:val="-10"/>
        </w:rPr>
        <w:t> </w:t>
      </w:r>
      <w:r>
        <w:rPr>
          <w:color w:val="231F20"/>
        </w:rPr>
        <w:t>venire</w:t>
      </w:r>
      <w:r>
        <w:rPr>
          <w:color w:val="231F20"/>
          <w:spacing w:val="-10"/>
        </w:rPr>
        <w:t> </w:t>
      </w:r>
      <w:r>
        <w:rPr>
          <w:color w:val="231F20"/>
        </w:rPr>
        <w:t>perchè</w:t>
      </w:r>
      <w:r>
        <w:rPr>
          <w:color w:val="231F20"/>
          <w:spacing w:val="-10"/>
        </w:rPr>
        <w:t> </w:t>
      </w:r>
      <w:r>
        <w:rPr>
          <w:color w:val="231F20"/>
        </w:rPr>
        <w:t>non</w:t>
      </w:r>
      <w:r>
        <w:rPr>
          <w:color w:val="231F20"/>
          <w:spacing w:val="-10"/>
        </w:rPr>
        <w:t> </w:t>
      </w:r>
      <w:r>
        <w:rPr>
          <w:color w:val="231F20"/>
        </w:rPr>
        <w:t>arriva</w:t>
      </w:r>
      <w:r>
        <w:rPr>
          <w:color w:val="231F20"/>
          <w:spacing w:val="-10"/>
        </w:rPr>
        <w:t> </w:t>
      </w:r>
      <w:r>
        <w:rPr>
          <w:color w:val="231F20"/>
        </w:rPr>
        <w:t>mai</w:t>
      </w:r>
      <w:r>
        <w:rPr>
          <w:color w:val="231F20"/>
          <w:spacing w:val="-10"/>
        </w:rPr>
        <w:t> </w:t>
      </w:r>
      <w:r>
        <w:rPr>
          <w:color w:val="231F20"/>
        </w:rPr>
        <w:t>del</w:t>
      </w:r>
      <w:r>
        <w:rPr>
          <w:color w:val="231F20"/>
          <w:spacing w:val="-10"/>
        </w:rPr>
        <w:t> </w:t>
      </w:r>
      <w:r>
        <w:rPr>
          <w:color w:val="231F20"/>
        </w:rPr>
        <w:t>tutto,</w:t>
      </w:r>
      <w:r>
        <w:rPr>
          <w:color w:val="231F20"/>
          <w:spacing w:val="-10"/>
        </w:rPr>
        <w:t> </w:t>
      </w:r>
      <w:r>
        <w:rPr>
          <w:color w:val="231F20"/>
        </w:rPr>
        <w:t>perche</w:t>
      </w:r>
      <w:r>
        <w:rPr>
          <w:color w:val="231F20"/>
          <w:spacing w:val="-10"/>
        </w:rPr>
        <w:t> </w:t>
      </w:r>
      <w:r>
        <w:rPr>
          <w:color w:val="231F20"/>
        </w:rPr>
        <w:t>non</w:t>
      </w:r>
      <w:r>
        <w:rPr>
          <w:color w:val="231F20"/>
          <w:spacing w:val="-10"/>
        </w:rPr>
        <w:t> </w:t>
      </w:r>
      <w:r>
        <w:rPr>
          <w:color w:val="231F20"/>
        </w:rPr>
        <w:t>si consolida</w:t>
      </w:r>
      <w:r>
        <w:rPr>
          <w:color w:val="231F20"/>
          <w:spacing w:val="-6"/>
        </w:rPr>
        <w:t> </w:t>
      </w:r>
      <w:r>
        <w:rPr>
          <w:color w:val="231F20"/>
        </w:rPr>
        <w:t>mai</w:t>
      </w:r>
      <w:r>
        <w:rPr>
          <w:color w:val="231F20"/>
          <w:spacing w:val="-6"/>
        </w:rPr>
        <w:t> </w:t>
      </w:r>
      <w:r>
        <w:rPr>
          <w:color w:val="231F20"/>
        </w:rPr>
        <w:t>in</w:t>
      </w:r>
      <w:r>
        <w:rPr>
          <w:color w:val="231F20"/>
          <w:spacing w:val="-6"/>
        </w:rPr>
        <w:t> </w:t>
      </w:r>
      <w:r>
        <w:rPr>
          <w:color w:val="231F20"/>
        </w:rPr>
        <w:t>un</w:t>
      </w:r>
      <w:r>
        <w:rPr>
          <w:color w:val="231F20"/>
          <w:spacing w:val="-6"/>
        </w:rPr>
        <w:t> </w:t>
      </w:r>
      <w:r>
        <w:rPr>
          <w:color w:val="231F20"/>
        </w:rPr>
        <w:t>programma,</w:t>
      </w:r>
      <w:r>
        <w:rPr>
          <w:color w:val="231F20"/>
          <w:spacing w:val="-6"/>
        </w:rPr>
        <w:t> </w:t>
      </w:r>
      <w:r>
        <w:rPr>
          <w:color w:val="231F20"/>
        </w:rPr>
        <w:t>in</w:t>
      </w:r>
      <w:r>
        <w:rPr>
          <w:color w:val="231F20"/>
          <w:spacing w:val="-6"/>
        </w:rPr>
        <w:t> </w:t>
      </w:r>
      <w:r>
        <w:rPr>
          <w:color w:val="231F20"/>
        </w:rPr>
        <w:t>una</w:t>
      </w:r>
      <w:r>
        <w:rPr>
          <w:color w:val="231F20"/>
          <w:spacing w:val="-6"/>
        </w:rPr>
        <w:t> </w:t>
      </w:r>
      <w:r>
        <w:rPr>
          <w:color w:val="231F20"/>
        </w:rPr>
        <w:t>identità</w:t>
      </w:r>
      <w:r>
        <w:rPr>
          <w:color w:val="231F20"/>
          <w:spacing w:val="-6"/>
        </w:rPr>
        <w:t> </w:t>
      </w:r>
      <w:r>
        <w:rPr>
          <w:color w:val="231F20"/>
        </w:rPr>
        <w:t>o</w:t>
      </w:r>
      <w:r>
        <w:rPr>
          <w:color w:val="231F20"/>
          <w:spacing w:val="-6"/>
        </w:rPr>
        <w:t> </w:t>
      </w:r>
      <w:r>
        <w:rPr>
          <w:color w:val="231F20"/>
        </w:rPr>
        <w:t>in</w:t>
      </w:r>
      <w:r>
        <w:rPr>
          <w:color w:val="231F20"/>
          <w:spacing w:val="-6"/>
        </w:rPr>
        <w:t> </w:t>
      </w:r>
      <w:r>
        <w:rPr>
          <w:color w:val="231F20"/>
        </w:rPr>
        <w:t>una</w:t>
      </w:r>
      <w:r>
        <w:rPr>
          <w:color w:val="231F20"/>
          <w:spacing w:val="-6"/>
        </w:rPr>
        <w:t> </w:t>
      </w:r>
      <w:r>
        <w:rPr>
          <w:color w:val="231F20"/>
        </w:rPr>
        <w:t>proprietà.</w:t>
      </w:r>
      <w:r>
        <w:rPr>
          <w:color w:val="231F20"/>
          <w:spacing w:val="-6"/>
        </w:rPr>
        <w:t> </w:t>
      </w:r>
      <w:r>
        <w:rPr>
          <w:color w:val="231F20"/>
        </w:rPr>
        <w:t>Si</w:t>
      </w:r>
      <w:r>
        <w:rPr>
          <w:color w:val="231F20"/>
          <w:spacing w:val="-6"/>
        </w:rPr>
        <w:t> </w:t>
      </w:r>
      <w:r>
        <w:rPr>
          <w:color w:val="231F20"/>
        </w:rPr>
        <w:t>tratta di un popolo che non comunica niente, perche non si assume in continuità con gli interlocutori stabiliti, un popolo che crea perchè scappa dalla la designazione</w:t>
      </w:r>
      <w:r>
        <w:rPr>
          <w:color w:val="231F20"/>
          <w:spacing w:val="-17"/>
        </w:rPr>
        <w:t> </w:t>
      </w:r>
      <w:r>
        <w:rPr>
          <w:color w:val="231F20"/>
        </w:rPr>
        <w:t>e</w:t>
      </w:r>
      <w:r>
        <w:rPr>
          <w:color w:val="231F20"/>
          <w:spacing w:val="-17"/>
        </w:rPr>
        <w:t> </w:t>
      </w:r>
      <w:r>
        <w:rPr>
          <w:color w:val="231F20"/>
        </w:rPr>
        <w:t>dal</w:t>
      </w:r>
      <w:r>
        <w:rPr>
          <w:color w:val="231F20"/>
          <w:spacing w:val="-17"/>
        </w:rPr>
        <w:t> </w:t>
      </w:r>
      <w:r>
        <w:rPr>
          <w:color w:val="231F20"/>
          <w:spacing w:val="-3"/>
        </w:rPr>
        <w:t>designare,</w:t>
      </w:r>
      <w:r>
        <w:rPr>
          <w:color w:val="231F20"/>
          <w:spacing w:val="-17"/>
        </w:rPr>
        <w:t> </w:t>
      </w:r>
      <w:r>
        <w:rPr>
          <w:color w:val="231F20"/>
        </w:rPr>
        <w:t>che</w:t>
      </w:r>
      <w:r>
        <w:rPr>
          <w:color w:val="231F20"/>
          <w:spacing w:val="-17"/>
        </w:rPr>
        <w:t> </w:t>
      </w:r>
      <w:r>
        <w:rPr>
          <w:color w:val="231F20"/>
        </w:rPr>
        <w:t>inventa</w:t>
      </w:r>
      <w:r>
        <w:rPr>
          <w:color w:val="231F20"/>
          <w:spacing w:val="-17"/>
        </w:rPr>
        <w:t> </w:t>
      </w:r>
      <w:r>
        <w:rPr>
          <w:color w:val="231F20"/>
        </w:rPr>
        <w:t>nuove</w:t>
      </w:r>
      <w:r>
        <w:rPr>
          <w:color w:val="231F20"/>
          <w:spacing w:val="-17"/>
        </w:rPr>
        <w:t> </w:t>
      </w:r>
      <w:r>
        <w:rPr>
          <w:color w:val="231F20"/>
        </w:rPr>
        <w:t>forme</w:t>
      </w:r>
      <w:r>
        <w:rPr>
          <w:color w:val="231F20"/>
          <w:spacing w:val="-17"/>
        </w:rPr>
        <w:t> </w:t>
      </w:r>
      <w:r>
        <w:rPr>
          <w:color w:val="231F20"/>
        </w:rPr>
        <w:t>di</w:t>
      </w:r>
      <w:r>
        <w:rPr>
          <w:color w:val="231F20"/>
          <w:spacing w:val="-17"/>
        </w:rPr>
        <w:t> </w:t>
      </w:r>
      <w:r>
        <w:rPr>
          <w:color w:val="231F20"/>
          <w:spacing w:val="-3"/>
        </w:rPr>
        <w:t>dire</w:t>
      </w:r>
      <w:r>
        <w:rPr>
          <w:color w:val="231F20"/>
          <w:spacing w:val="-17"/>
        </w:rPr>
        <w:t> </w:t>
      </w:r>
      <w:r>
        <w:rPr>
          <w:color w:val="231F20"/>
        </w:rPr>
        <w:t>e</w:t>
      </w:r>
      <w:r>
        <w:rPr>
          <w:color w:val="231F20"/>
          <w:spacing w:val="-17"/>
        </w:rPr>
        <w:t> </w:t>
      </w:r>
      <w:r>
        <w:rPr>
          <w:color w:val="231F20"/>
        </w:rPr>
        <w:t>di</w:t>
      </w:r>
      <w:r>
        <w:rPr>
          <w:color w:val="231F20"/>
          <w:spacing w:val="-17"/>
        </w:rPr>
        <w:t> </w:t>
      </w:r>
      <w:r>
        <w:rPr>
          <w:color w:val="231F20"/>
          <w:spacing w:val="-3"/>
        </w:rPr>
        <w:t>vivere.</w:t>
      </w:r>
      <w:r>
        <w:rPr>
          <w:color w:val="231F20"/>
          <w:spacing w:val="-17"/>
        </w:rPr>
        <w:t> </w:t>
      </w:r>
      <w:r>
        <w:rPr>
          <w:color w:val="231F20"/>
          <w:spacing w:val="-2"/>
        </w:rPr>
        <w:t>“Si </w:t>
      </w:r>
      <w:r>
        <w:rPr>
          <w:color w:val="231F20"/>
        </w:rPr>
        <w:t>scrive</w:t>
      </w:r>
      <w:r>
        <w:rPr>
          <w:color w:val="231F20"/>
          <w:spacing w:val="-20"/>
        </w:rPr>
        <w:t> </w:t>
      </w:r>
      <w:r>
        <w:rPr>
          <w:color w:val="231F20"/>
        </w:rPr>
        <w:t>in</w:t>
      </w:r>
      <w:r>
        <w:rPr>
          <w:color w:val="231F20"/>
          <w:spacing w:val="-20"/>
        </w:rPr>
        <w:t> </w:t>
      </w:r>
      <w:r>
        <w:rPr>
          <w:color w:val="231F20"/>
        </w:rPr>
        <w:t>funzione</w:t>
      </w:r>
      <w:r>
        <w:rPr>
          <w:color w:val="231F20"/>
          <w:spacing w:val="-20"/>
        </w:rPr>
        <w:t> </w:t>
      </w:r>
      <w:r>
        <w:rPr>
          <w:color w:val="231F20"/>
        </w:rPr>
        <w:t>di</w:t>
      </w:r>
      <w:r>
        <w:rPr>
          <w:color w:val="231F20"/>
          <w:spacing w:val="-20"/>
        </w:rPr>
        <w:t> </w:t>
      </w:r>
      <w:r>
        <w:rPr>
          <w:color w:val="231F20"/>
        </w:rPr>
        <w:t>un</w:t>
      </w:r>
      <w:r>
        <w:rPr>
          <w:color w:val="231F20"/>
          <w:spacing w:val="-20"/>
        </w:rPr>
        <w:t> </w:t>
      </w:r>
      <w:r>
        <w:rPr>
          <w:color w:val="231F20"/>
        </w:rPr>
        <w:t>popolo</w:t>
      </w:r>
      <w:r>
        <w:rPr>
          <w:color w:val="231F20"/>
          <w:spacing w:val="-20"/>
        </w:rPr>
        <w:t> </w:t>
      </w:r>
      <w:r>
        <w:rPr>
          <w:color w:val="231F20"/>
        </w:rPr>
        <w:t>per</w:t>
      </w:r>
      <w:r>
        <w:rPr>
          <w:color w:val="231F20"/>
          <w:spacing w:val="-20"/>
        </w:rPr>
        <w:t> </w:t>
      </w:r>
      <w:r>
        <w:rPr>
          <w:color w:val="231F20"/>
          <w:spacing w:val="-3"/>
        </w:rPr>
        <w:t>venire</w:t>
      </w:r>
      <w:r>
        <w:rPr>
          <w:color w:val="231F20"/>
          <w:spacing w:val="-20"/>
        </w:rPr>
        <w:t> </w:t>
      </w:r>
      <w:r>
        <w:rPr>
          <w:color w:val="231F20"/>
        </w:rPr>
        <w:t>e</w:t>
      </w:r>
      <w:r>
        <w:rPr>
          <w:color w:val="231F20"/>
          <w:spacing w:val="-20"/>
        </w:rPr>
        <w:t> </w:t>
      </w:r>
      <w:r>
        <w:rPr>
          <w:color w:val="231F20"/>
        </w:rPr>
        <w:t>che</w:t>
      </w:r>
      <w:r>
        <w:rPr>
          <w:color w:val="231F20"/>
          <w:spacing w:val="-20"/>
        </w:rPr>
        <w:t> </w:t>
      </w:r>
      <w:r>
        <w:rPr>
          <w:color w:val="231F20"/>
        </w:rPr>
        <w:t>ancora</w:t>
      </w:r>
      <w:r>
        <w:rPr>
          <w:color w:val="231F20"/>
          <w:spacing w:val="-20"/>
        </w:rPr>
        <w:t> </w:t>
      </w:r>
      <w:r>
        <w:rPr>
          <w:color w:val="231F20"/>
        </w:rPr>
        <w:t>non</w:t>
      </w:r>
      <w:r>
        <w:rPr>
          <w:color w:val="231F20"/>
          <w:spacing w:val="-20"/>
        </w:rPr>
        <w:t> </w:t>
      </w:r>
      <w:r>
        <w:rPr>
          <w:color w:val="231F20"/>
        </w:rPr>
        <w:t>ha</w:t>
      </w:r>
      <w:r>
        <w:rPr>
          <w:color w:val="231F20"/>
          <w:spacing w:val="-20"/>
        </w:rPr>
        <w:t> </w:t>
      </w:r>
      <w:r>
        <w:rPr>
          <w:color w:val="231F20"/>
        </w:rPr>
        <w:t>un</w:t>
      </w:r>
      <w:r>
        <w:rPr>
          <w:color w:val="231F20"/>
          <w:spacing w:val="-20"/>
        </w:rPr>
        <w:t> </w:t>
      </w:r>
      <w:r>
        <w:rPr>
          <w:color w:val="231F20"/>
        </w:rPr>
        <w:t>linguaggio. Creare non è comunicare, ma resistere. C’è una lega profonda tra i segni, l’accaduto, l’avvenimento, la vita, il vitalismo”</w:t>
      </w:r>
      <w:r>
        <w:rPr>
          <w:color w:val="231F20"/>
          <w:position w:val="7"/>
          <w:sz w:val="12"/>
        </w:rPr>
        <w:t>54</w:t>
      </w:r>
      <w:r>
        <w:rPr>
          <w:color w:val="231F20"/>
        </w:rPr>
        <w:t>. Deleuze evoca, così, un popolo che emerge nel tra, che si connette con tutto ciò che lo circonda, ma</w:t>
      </w:r>
      <w:r>
        <w:rPr>
          <w:color w:val="231F20"/>
          <w:spacing w:val="-18"/>
        </w:rPr>
        <w:t> </w:t>
      </w:r>
      <w:r>
        <w:rPr>
          <w:color w:val="231F20"/>
        </w:rPr>
        <w:t>che</w:t>
      </w:r>
      <w:r>
        <w:rPr>
          <w:color w:val="231F20"/>
          <w:spacing w:val="-18"/>
        </w:rPr>
        <w:t> </w:t>
      </w:r>
      <w:r>
        <w:rPr>
          <w:color w:val="231F20"/>
        </w:rPr>
        <w:t>si</w:t>
      </w:r>
      <w:r>
        <w:rPr>
          <w:color w:val="231F20"/>
          <w:spacing w:val="-18"/>
        </w:rPr>
        <w:t> </w:t>
      </w:r>
      <w:r>
        <w:rPr>
          <w:color w:val="231F20"/>
        </w:rPr>
        <w:t>rifiuta</w:t>
      </w:r>
      <w:r>
        <w:rPr>
          <w:color w:val="231F20"/>
          <w:spacing w:val="-18"/>
        </w:rPr>
        <w:t> </w:t>
      </w:r>
      <w:r>
        <w:rPr>
          <w:color w:val="231F20"/>
        </w:rPr>
        <w:t>di</w:t>
      </w:r>
      <w:r>
        <w:rPr>
          <w:color w:val="231F20"/>
          <w:spacing w:val="-18"/>
        </w:rPr>
        <w:t> </w:t>
      </w:r>
      <w:r>
        <w:rPr>
          <w:color w:val="231F20"/>
        </w:rPr>
        <w:t>fare</w:t>
      </w:r>
      <w:r>
        <w:rPr>
          <w:color w:val="231F20"/>
          <w:spacing w:val="-18"/>
        </w:rPr>
        <w:t> </w:t>
      </w:r>
      <w:r>
        <w:rPr>
          <w:color w:val="231F20"/>
        </w:rPr>
        <w:t>da</w:t>
      </w:r>
      <w:r>
        <w:rPr>
          <w:color w:val="231F20"/>
          <w:spacing w:val="-18"/>
        </w:rPr>
        <w:t> </w:t>
      </w:r>
      <w:r>
        <w:rPr>
          <w:color w:val="231F20"/>
        </w:rPr>
        <w:t>ponte</w:t>
      </w:r>
      <w:r>
        <w:rPr>
          <w:color w:val="231F20"/>
          <w:spacing w:val="-18"/>
        </w:rPr>
        <w:t> </w:t>
      </w:r>
      <w:r>
        <w:rPr>
          <w:color w:val="231F20"/>
        </w:rPr>
        <w:t>tra</w:t>
      </w:r>
      <w:r>
        <w:rPr>
          <w:color w:val="231F20"/>
          <w:spacing w:val="-18"/>
        </w:rPr>
        <w:t> </w:t>
      </w:r>
      <w:r>
        <w:rPr>
          <w:color w:val="231F20"/>
        </w:rPr>
        <w:t>le</w:t>
      </w:r>
      <w:r>
        <w:rPr>
          <w:color w:val="231F20"/>
          <w:spacing w:val="-18"/>
        </w:rPr>
        <w:t> </w:t>
      </w:r>
      <w:r>
        <w:rPr>
          <w:color w:val="231F20"/>
        </w:rPr>
        <w:t>grandi</w:t>
      </w:r>
      <w:r>
        <w:rPr>
          <w:color w:val="231F20"/>
          <w:spacing w:val="-18"/>
        </w:rPr>
        <w:t> </w:t>
      </w:r>
      <w:r>
        <w:rPr>
          <w:color w:val="231F20"/>
        </w:rPr>
        <w:t>dicotomie,</w:t>
      </w:r>
      <w:r>
        <w:rPr>
          <w:color w:val="231F20"/>
          <w:spacing w:val="-18"/>
        </w:rPr>
        <w:t> </w:t>
      </w:r>
      <w:r>
        <w:rPr>
          <w:color w:val="231F20"/>
        </w:rPr>
        <w:t>che</w:t>
      </w:r>
      <w:r>
        <w:rPr>
          <w:color w:val="231F20"/>
          <w:spacing w:val="-18"/>
        </w:rPr>
        <w:t> </w:t>
      </w:r>
      <w:r>
        <w:rPr>
          <w:color w:val="231F20"/>
        </w:rPr>
        <w:t>non</w:t>
      </w:r>
      <w:r>
        <w:rPr>
          <w:color w:val="231F20"/>
          <w:spacing w:val="-18"/>
        </w:rPr>
        <w:t> </w:t>
      </w:r>
      <w:r>
        <w:rPr>
          <w:color w:val="231F20"/>
        </w:rPr>
        <w:t>si</w:t>
      </w:r>
      <w:r>
        <w:rPr>
          <w:color w:val="231F20"/>
          <w:spacing w:val="-18"/>
        </w:rPr>
        <w:t> </w:t>
      </w:r>
      <w:r>
        <w:rPr>
          <w:color w:val="231F20"/>
        </w:rPr>
        <w:t>presenta come</w:t>
      </w:r>
      <w:r>
        <w:rPr>
          <w:color w:val="231F20"/>
          <w:spacing w:val="-23"/>
        </w:rPr>
        <w:t> </w:t>
      </w:r>
      <w:r>
        <w:rPr>
          <w:color w:val="231F20"/>
        </w:rPr>
        <w:t>ibrido</w:t>
      </w:r>
      <w:r>
        <w:rPr>
          <w:color w:val="231F20"/>
          <w:spacing w:val="-23"/>
        </w:rPr>
        <w:t> </w:t>
      </w:r>
      <w:r>
        <w:rPr>
          <w:color w:val="231F20"/>
        </w:rPr>
        <w:t>dei</w:t>
      </w:r>
      <w:r>
        <w:rPr>
          <w:color w:val="231F20"/>
          <w:spacing w:val="-23"/>
        </w:rPr>
        <w:t> </w:t>
      </w:r>
      <w:r>
        <w:rPr>
          <w:color w:val="231F20"/>
        </w:rPr>
        <w:t>grandi</w:t>
      </w:r>
      <w:r>
        <w:rPr>
          <w:color w:val="231F20"/>
          <w:spacing w:val="-23"/>
        </w:rPr>
        <w:t> </w:t>
      </w:r>
      <w:r>
        <w:rPr>
          <w:color w:val="231F20"/>
        </w:rPr>
        <w:t>riferimenti</w:t>
      </w:r>
      <w:r>
        <w:rPr>
          <w:color w:val="231F20"/>
          <w:spacing w:val="-23"/>
        </w:rPr>
        <w:t> </w:t>
      </w:r>
      <w:r>
        <w:rPr>
          <w:color w:val="231F20"/>
        </w:rPr>
        <w:t>e</w:t>
      </w:r>
      <w:r>
        <w:rPr>
          <w:color w:val="231F20"/>
          <w:spacing w:val="-23"/>
        </w:rPr>
        <w:t> </w:t>
      </w:r>
      <w:r>
        <w:rPr>
          <w:color w:val="231F20"/>
        </w:rPr>
        <w:t>che</w:t>
      </w:r>
      <w:r>
        <w:rPr>
          <w:color w:val="231F20"/>
          <w:spacing w:val="-23"/>
        </w:rPr>
        <w:t> </w:t>
      </w:r>
      <w:r>
        <w:rPr>
          <w:color w:val="231F20"/>
        </w:rPr>
        <w:t>non</w:t>
      </w:r>
      <w:r>
        <w:rPr>
          <w:color w:val="231F20"/>
          <w:spacing w:val="-23"/>
        </w:rPr>
        <w:t> </w:t>
      </w:r>
      <w:r>
        <w:rPr>
          <w:color w:val="231F20"/>
        </w:rPr>
        <w:t>assume</w:t>
      </w:r>
      <w:r>
        <w:rPr>
          <w:color w:val="231F20"/>
          <w:spacing w:val="-23"/>
        </w:rPr>
        <w:t> </w:t>
      </w:r>
      <w:r>
        <w:rPr>
          <w:color w:val="231F20"/>
        </w:rPr>
        <w:t>identità</w:t>
      </w:r>
      <w:r>
        <w:rPr>
          <w:color w:val="231F20"/>
          <w:spacing w:val="-23"/>
        </w:rPr>
        <w:t> </w:t>
      </w:r>
      <w:r>
        <w:rPr>
          <w:color w:val="231F20"/>
        </w:rPr>
        <w:t>alcuna.</w:t>
      </w:r>
      <w:r>
        <w:rPr>
          <w:color w:val="231F20"/>
          <w:spacing w:val="-23"/>
        </w:rPr>
        <w:t> </w:t>
      </w:r>
      <w:r>
        <w:rPr>
          <w:color w:val="231F20"/>
        </w:rPr>
        <w:t>Si</w:t>
      </w:r>
      <w:r>
        <w:rPr>
          <w:color w:val="231F20"/>
          <w:spacing w:val="-23"/>
        </w:rPr>
        <w:t> </w:t>
      </w:r>
      <w:r>
        <w:rPr>
          <w:color w:val="231F20"/>
        </w:rPr>
        <w:t>tratta di un popolo</w:t>
      </w:r>
      <w:r>
        <w:rPr>
          <w:color w:val="231F20"/>
          <w:spacing w:val="34"/>
        </w:rPr>
        <w:t> </w:t>
      </w:r>
      <w:r>
        <w:rPr>
          <w:color w:val="231F20"/>
        </w:rPr>
        <w:t>interstiziale.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4"/>
        </w:rPr>
      </w:pPr>
      <w:r>
        <w:rPr/>
        <w:pict>
          <v:line style="position:absolute;mso-position-horizontal-relative:page;mso-position-vertical-relative:paragraph;z-index:12112;mso-wrap-distance-left:0;mso-wrap-distance-right:0" from="65.196899pt,17.119661pt" to="178.582899pt,17.119661pt" stroked="true" strokeweight=".3pt" strokecolor="#231f20">
            <w10:wrap type="topAndBottom"/>
          </v:line>
        </w:pict>
      </w:r>
    </w:p>
    <w:p>
      <w:pPr>
        <w:spacing w:line="204" w:lineRule="exact" w:before="8"/>
        <w:ind w:left="103" w:right="0" w:firstLine="0"/>
        <w:jc w:val="left"/>
        <w:rPr>
          <w:rFonts w:ascii="Calibri"/>
          <w:sz w:val="17"/>
        </w:rPr>
      </w:pPr>
      <w:r>
        <w:rPr>
          <w:rFonts w:ascii="Calibri"/>
          <w:color w:val="231F20"/>
          <w:position w:val="6"/>
          <w:sz w:val="10"/>
        </w:rPr>
        <w:t>52 </w:t>
      </w:r>
      <w:r>
        <w:rPr>
          <w:rFonts w:ascii="Calibri"/>
          <w:color w:val="231F20"/>
          <w:sz w:val="17"/>
        </w:rPr>
        <w:t>G. Agamben, </w:t>
      </w:r>
      <w:r>
        <w:rPr>
          <w:rFonts w:ascii="Calibri"/>
          <w:i/>
          <w:color w:val="231F20"/>
          <w:sz w:val="17"/>
        </w:rPr>
        <w:t>Means without end. Notes on Politics</w:t>
      </w:r>
      <w:r>
        <w:rPr>
          <w:rFonts w:ascii="Calibri"/>
          <w:color w:val="231F20"/>
          <w:sz w:val="17"/>
        </w:rPr>
        <w:t>, Minneapolis, University of Minnesota Press, 2000, p. 87.</w:t>
      </w:r>
    </w:p>
    <w:p>
      <w:pPr>
        <w:spacing w:line="206" w:lineRule="exact" w:before="1"/>
        <w:ind w:left="103" w:right="0" w:firstLine="0"/>
        <w:jc w:val="left"/>
        <w:rPr>
          <w:rFonts w:ascii="Calibri"/>
          <w:sz w:val="17"/>
        </w:rPr>
      </w:pPr>
      <w:r>
        <w:rPr>
          <w:rFonts w:ascii="Calibri"/>
          <w:color w:val="231F20"/>
          <w:position w:val="6"/>
          <w:sz w:val="10"/>
        </w:rPr>
        <w:t>53 </w:t>
      </w:r>
      <w:r>
        <w:rPr>
          <w:rFonts w:ascii="Calibri"/>
          <w:color w:val="231F20"/>
          <w:sz w:val="17"/>
        </w:rPr>
        <w:t>Marramao, </w:t>
      </w:r>
      <w:r>
        <w:rPr>
          <w:rFonts w:ascii="Calibri"/>
          <w:i/>
          <w:color w:val="231F20"/>
          <w:sz w:val="17"/>
        </w:rPr>
        <w:t>Pasaje a Occidente</w:t>
      </w:r>
      <w:r>
        <w:rPr>
          <w:rFonts w:ascii="Calibri"/>
          <w:color w:val="231F20"/>
          <w:sz w:val="17"/>
        </w:rPr>
        <w:t>, p. 202.</w:t>
      </w:r>
    </w:p>
    <w:p>
      <w:pPr>
        <w:spacing w:line="206" w:lineRule="exact" w:before="0"/>
        <w:ind w:left="103" w:right="0" w:firstLine="0"/>
        <w:jc w:val="left"/>
        <w:rPr>
          <w:rFonts w:ascii="Calibri"/>
          <w:sz w:val="17"/>
        </w:rPr>
      </w:pPr>
      <w:r>
        <w:rPr>
          <w:rFonts w:ascii="Calibri"/>
          <w:color w:val="231F20"/>
          <w:position w:val="6"/>
          <w:sz w:val="10"/>
        </w:rPr>
        <w:t>54 </w:t>
      </w:r>
      <w:r>
        <w:rPr>
          <w:rFonts w:ascii="Calibri"/>
          <w:color w:val="231F20"/>
          <w:sz w:val="17"/>
        </w:rPr>
        <w:t>Deleuze, </w:t>
      </w:r>
      <w:r>
        <w:rPr>
          <w:rFonts w:ascii="Calibri"/>
          <w:i/>
          <w:color w:val="231F20"/>
          <w:sz w:val="17"/>
        </w:rPr>
        <w:t>Pourparlers</w:t>
      </w:r>
      <w:r>
        <w:rPr>
          <w:rFonts w:ascii="Calibri"/>
          <w:color w:val="231F20"/>
          <w:sz w:val="17"/>
        </w:rPr>
        <w:t>, p. 196.</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hAnsi="Calibri"/>
          <w:sz w:val="16"/>
        </w:rPr>
      </w:pPr>
      <w:r>
        <w:rPr/>
        <w:pict>
          <v:group style="position:absolute;margin-left:98.079102pt;margin-top:-3.358812pt;width:20.4pt;height:43pt;mso-position-horizontal-relative:page;mso-position-vertical-relative:paragraph;z-index:-163264"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hAnsi="Trebuchet MS"/>
          <w:color w:val="414042"/>
          <w:w w:val="105"/>
          <w:position w:val="-4"/>
          <w:sz w:val="20"/>
        </w:rPr>
        <w:t>84</w:t>
        <w:tab/>
      </w:r>
      <w:r>
        <w:rPr>
          <w:rFonts w:ascii="Calibri" w:hAnsi="Calibri"/>
          <w:color w:val="6D6E71"/>
          <w:w w:val="105"/>
          <w:sz w:val="16"/>
        </w:rPr>
        <w:t>María</w:t>
      </w:r>
      <w:r>
        <w:rPr>
          <w:rFonts w:ascii="Calibri" w:hAnsi="Calibri"/>
          <w:color w:val="6D6E71"/>
          <w:spacing w:val="-19"/>
          <w:w w:val="105"/>
          <w:sz w:val="16"/>
        </w:rPr>
        <w:t> </w:t>
      </w:r>
      <w:r>
        <w:rPr>
          <w:rFonts w:ascii="Calibri" w:hAnsi="Calibri"/>
          <w:color w:val="6D6E71"/>
          <w:w w:val="105"/>
          <w:sz w:val="16"/>
        </w:rPr>
        <w:t>Luisa</w:t>
      </w:r>
      <w:r>
        <w:rPr>
          <w:rFonts w:ascii="Calibri" w:hAnsi="Calibri"/>
          <w:color w:val="6D6E71"/>
          <w:spacing w:val="-19"/>
          <w:w w:val="105"/>
          <w:sz w:val="16"/>
        </w:rPr>
        <w:t> </w:t>
      </w:r>
      <w:r>
        <w:rPr>
          <w:rFonts w:ascii="Calibri" w:hAnsi="Calibri"/>
          <w:color w:val="6D6E71"/>
          <w:w w:val="105"/>
          <w:sz w:val="16"/>
        </w:rPr>
        <w:t>Bacarlett</w:t>
      </w:r>
      <w:r>
        <w:rPr>
          <w:rFonts w:ascii="Calibri" w:hAnsi="Calibri"/>
          <w:color w:val="6D6E71"/>
          <w:spacing w:val="-19"/>
          <w:w w:val="105"/>
          <w:sz w:val="16"/>
        </w:rPr>
        <w:t> </w:t>
      </w:r>
      <w:r>
        <w:rPr>
          <w:rFonts w:ascii="Calibri" w:hAnsi="Calibri"/>
          <w:color w:val="6D6E71"/>
          <w:w w:val="105"/>
          <w:sz w:val="16"/>
        </w:rPr>
        <w:t>Pérez</w:t>
      </w:r>
    </w:p>
    <w:p>
      <w:pPr>
        <w:spacing w:after="0"/>
        <w:jc w:val="left"/>
        <w:rPr>
          <w:rFonts w:ascii="Calibri" w:hAnsi="Calibri"/>
          <w:sz w:val="16"/>
        </w:rPr>
        <w:sectPr>
          <w:pgSz w:w="9640" w:h="13890"/>
          <w:pgMar w:top="1300" w:bottom="0" w:left="1200" w:right="1300"/>
        </w:sectPr>
      </w:pPr>
    </w:p>
    <w:p>
      <w:pPr>
        <w:pStyle w:val="BodyText"/>
        <w:ind w:left="884"/>
        <w:rPr>
          <w:rFonts w:ascii="Calibri"/>
          <w:sz w:val="20"/>
        </w:rPr>
      </w:pPr>
      <w:r>
        <w:rPr/>
        <w:pict>
          <v:rect style="position:absolute;margin-left:1.021000pt;margin-top:-.000024pt;width:480.869pt;height:694.488pt;mso-position-horizontal-relative:page;mso-position-vertical-relative:page;z-index:-163216" filled="true" fillcolor="#6d6e71" stroked="false">
            <v:fill type="solid"/>
            <w10:wrap type="none"/>
          </v:rect>
        </w:pict>
      </w:r>
      <w:r>
        <w:rPr>
          <w:rFonts w:ascii="Calibri"/>
          <w:sz w:val="20"/>
        </w:rPr>
        <w:pict>
          <v:group style="width:259.5pt;height:425.1pt;mso-position-horizontal-relative:char;mso-position-vertical-relative:line" coordorigin="0,0" coordsize="5190,8502">
            <v:shape style="position:absolute;left:2843;top:633;width:2346;height:7869" type="#_x0000_t75" stroked="false">
              <v:imagedata r:id="rId64" o:title=""/>
            </v:shape>
            <v:shape style="position:absolute;left:2864;top:1653;width:1729;height:3773" coordorigin="2864,1653" coordsize="1729,3773" path="m2953,1653l2941,1678,2914,1749,2885,1854,2864,1984,3158,3145,3436,3890,3860,4543,4593,5425,4587,5306,4571,5018,4552,4668,4535,4361,4023,4075,3687,3697,3380,2974,2953,1653xe" filled="true" fillcolor="#7e8083" stroked="false">
              <v:path arrowok="t"/>
              <v:fill type="solid"/>
            </v:shape>
            <v:shape style="position:absolute;left:0;top:0;width:4665;height:6117" type="#_x0000_t75" stroked="false">
              <v:imagedata r:id="rId65" o:title=""/>
            </v:shape>
            <v:shape style="position:absolute;left:2253;top:9;width:721;height:3805" coordorigin="2253,9" coordsize="721,3805" path="m2757,9l2525,58,2286,1239,2253,2024,2468,2765,2973,3814,2757,9xe" filled="true" fillcolor="#a9abae" stroked="false">
              <v:path arrowok="t"/>
              <v:fill type="solid"/>
            </v:shape>
            <v:shape style="position:absolute;left:2385;top:7;width:602;height:3856" coordorigin="2385,7" coordsize="602,3856" path="m2759,7l2524,51,2520,52,2519,56,2493,174,2487,203,2481,233,2475,262,2470,292,2449,411,2444,441,2440,470,2436,500,2432,530,2424,590,2417,650,2411,710,2405,770,2402,800,2400,833,2398,863,2396,891,2392,952,2391,981,2390,1012,2386,1132,2385,1162,2385,1222,2385,1313,2386,1374,2389,1437,2391,1495,2394,1555,2398,1615,2402,1675,2413,1796,2419,1856,2426,1916,2433,1976,2441,2036,2449,2096,2458,2155,2468,2215,2473,2245,2478,2274,2484,2304,2495,2363,2501,2393,2506,2422,2513,2452,2538,2570,2566,2687,2581,2746,2596,2804,2612,2863,2628,2920,2645,2978,2662,3035,2680,3093,2698,3150,2718,3207,2737,3264,2757,3321,2778,3377,2799,3433,2821,3489,2843,3545,2866,3600,2889,3656,2913,3710,2939,3765,2965,3819,2986,3862,2983,3815,2964,3815,2961,3765,2957,3756,2933,3701,2910,3646,2888,3591,2866,3535,2845,3479,2824,3423,2804,3367,2785,3310,2766,3253,2747,3196,2729,3139,2712,3082,2695,3025,2679,2967,2663,2909,2647,2852,2632,2794,2618,2735,2603,2677,2577,2561,2552,2443,2546,2414,2541,2384,2535,2355,2530,2325,2525,2296,2519,2266,2515,2237,2510,2207,2500,2148,2491,2089,2483,2029,2474,1970,2460,1851,2454,1791,2449,1732,2443,1672,2439,1612,2431,1492,2427,1372,2425,1342,2424,1313,2424,1282,2424,1252,2423,1222,2423,1192,2422,1162,2423,1132,2425,1011,2425,982,2426,951,2428,923,2431,860,2432,830,2434,803,2436,773,2441,713,2446,653,2451,593,2458,534,2461,504,2465,474,2468,444,2472,414,2490,296,2494,266,2499,236,2504,207,2530,64,2526,64,2531,59,2548,59,2755,12,2759,12,2759,7xm2961,3765l2964,3815,2982,3810,2961,3765xm2759,12l2755,12,2758,91,2767,328,2771,414,2774,485,2796,961,2821,1437,2825,1516,2829,1596,2834,1675,2839,1754,2843,1834,2853,1992,2858,2071,2864,2150,2875,2309,2880,2388,2885,2467,2896,2626,2902,2705,2907,2784,2912,2863,2926,3101,2930,3161,2933,3220,2936,3280,2944,3418,2948,3498,2952,3577,2956,3656,2960,3736,2961,3765,2982,3810,2964,3815,2983,3815,2978,3735,2972,3655,2967,3576,2962,3497,2958,3418,2949,3279,2946,3219,2942,3160,2927,2862,2923,2783,2919,2704,2915,2625,2908,2466,2904,2384,2901,2304,2894,2148,2890,2069,2886,1990,2878,1831,2874,1752,2869,1672,2865,1594,2860,1514,2855,1434,2826,959,2794,484,2789,405,2783,326,2777,247,2765,88,2759,12xm2531,59l2526,64,2530,63,2531,59xm2530,63l2526,64,2530,64,2530,63xm2548,59l2531,59,2530,63,2548,59xe" filled="true" fillcolor="#ffffff" stroked="false">
              <v:path arrowok="t"/>
              <v:fill type="solid"/>
            </v:shape>
            <v:shape style="position:absolute;left:765;top:4108;width:1689;height:2056" coordorigin="765,4108" coordsize="1689,2056" path="m2396,4108l2330,4111,2257,4118,2175,4134,2085,4160,1988,4198,1882,4250,1826,4282,1769,4318,1709,4358,1648,4404,1584,4454,1519,4510,1452,4571,1383,4638,1312,4711,1239,4790,1165,4876,1088,4969,1010,5069,930,5176,848,5291,765,5413,874,6164,1348,5141,1671,4586,1990,4307,2453,4110,2425,4109,2396,4108xe" filled="true" fillcolor="#bec0c2" stroked="false">
              <v:path arrowok="t"/>
              <v:fill type="solid"/>
            </v:shape>
            <v:shape style="position:absolute;left:763;top:4090;width:1709;height:2094" coordorigin="763,4090" coordsize="1709,2094" path="m2385,4090l2350,4090,2315,4092,2280,4096,2246,4100,2211,4106,2177,4113,2109,4130,2027,4159,2010,4165,1994,4172,1978,4179,1946,4193,1931,4200,1915,4208,1838,4250,1823,4259,1808,4268,1705,4335,1622,4398,1608,4409,1594,4419,1580,4430,1461,4534,1337,4658,1313,4684,1290,4710,1266,4736,1243,4762,1219,4788,1196,4815,1174,4842,1086,4951,1064,4979,1043,5007,918,5177,899,5206,763,5412,763,5413,763,5414,785,5602,791,5649,796,5696,802,5743,818,5866,828,5941,838,6016,848,6092,858,6167,859,6172,862,6177,874,6183,884,6180,888,6171,888,6171,892,6162,889,6162,859,6157,881,6110,878,6087,866,6012,854,5937,842,5862,823,5740,815,5694,807,5647,799,5600,767,5414,912,5216,933,5188,1062,5023,1084,4996,1220,4837,1244,4812,1268,4786,1291,4761,1315,4736,1339,4710,1363,4685,1488,4565,1606,4464,1619,4453,1633,4443,1729,4371,1829,4306,1844,4297,1859,4289,1933,4248,1949,4241,2026,4206,2041,4199,2121,4171,2186,4153,2218,4146,2251,4140,2285,4135,2318,4132,2351,4129,2366,4129,2371,4126,2447,4093,2465,4093,2464,4092,2419,4090,2385,4090xm881,6110l859,6157,889,6162,881,6110xm2385,4128l2366,4129,2299,4166,2231,4212,2214,4224,2197,4236,2165,4261,2133,4287,2102,4314,2071,4342,2026,4384,2011,4398,1997,4413,1983,4428,1968,4443,1954,4457,1940,4472,1871,4549,1817,4612,1791,4644,1765,4676,1739,4708,1689,4773,1664,4806,1615,4872,1566,4939,1542,4973,1495,5041,1449,5110,1426,5144,1380,5213,1358,5247,1335,5282,1291,5352,1248,5423,1205,5494,1163,5566,1142,5602,1122,5638,1102,5674,1062,5747,1043,5784,1023,5821,1004,5858,967,5932,930,6006,894,6081,881,6110,889,6162,892,6162,924,6097,960,6022,998,5949,1036,5875,1074,5802,1113,5729,1152,5656,1192,5583,1272,5439,1287,5412,1313,5367,1334,5331,1355,5295,1397,5225,1441,5154,1485,5084,1531,5016,1554,4982,1577,4948,1625,4880,1649,4847,1674,4814,1699,4782,1750,4717,1776,4685,1802,4654,1829,4622,1883,4561,1954,4487,1968,4473,1983,4459,1999,4443,2012,4430,2027,4416,2042,4402,2088,4362,2119,4336,2150,4311,2182,4286,2199,4274,2231,4250,2248,4239,2316,4196,2386,4159,2456,4129,2452,4129,2418,4128,2385,4128xm2452,4128l2385,4128,2418,4128,2452,4129,2452,4128xm2465,4093l2447,4093,2452,4129,2456,4129,2459,4128,2460,4128,2466,4125,2471,4119,2472,4101,2465,4093xm2447,4093l2371,4126,2366,4129,2385,4128,2452,4128,2447,4093xe" filled="true" fillcolor="#ffffff" stroked="false">
              <v:path arrowok="t"/>
              <v:fill type="solid"/>
            </v:shape>
            <v:shape style="position:absolute;left:874;top:4111;width:2141;height:2054" coordorigin="874,4111" coordsize="2141,2054" path="m2486,4111l2096,4164,1797,4395,1440,4998,874,6164,985,6035,1092,5914,1196,5800,1296,5693,1392,5593,1485,5501,1575,5414,1660,5334,1743,5261,1822,5193,1898,5131,1971,5074,2042,5022,2109,4976,2173,4934,2235,4896,2294,4863,2350,4834,2404,4809,2455,4787,2504,4769,2551,4754,2596,4742,2638,4732,2679,4725,2717,4720,2754,4718,2789,4716,2975,4716,2959,4706,2904,4657,2850,4599,2797,4535,2746,4467,2696,4397,2604,4263,2561,4203,2522,4152,2486,4111xm2975,4716l2789,4716,2822,4717,2854,4719,2884,4721,2913,4725,2940,4729,2966,4734,3015,4743,2975,4716xe" filled="true" fillcolor="#828486" stroked="false">
              <v:path arrowok="t"/>
              <v:fill type="solid"/>
            </v:shape>
            <v:shape style="position:absolute;left:871;top:4104;width:2162;height:2063" coordorigin="871,4104" coordsize="2162,2063" path="m872,6166l873,6167,873,6166,872,6166xm875,6165l874,6166,873,6166,874,6167,875,6166,875,6165xm885,6147l872,6163,872,6163,872,6165,872,6166,872,6166,873,6166,874,6166,875,6165,885,6147xm872,6165l872,6166,872,6166,872,6165xm2810,4698l2768,4698,2725,4701,2683,4705,2642,4712,2600,4721,2559,4731,2519,4743,2479,4757,2439,4772,2400,4788,2362,4805,2324,4824,2286,4843,2249,4863,2213,4884,2141,4928,2071,4975,2036,5000,2002,5025,1968,5050,1934,5076,1901,5101,1868,5128,1803,5182,1739,5237,1708,5265,1645,5322,1614,5351,1553,5409,1523,5439,1493,5469,1433,5529,1345,5620,1316,5651,1230,5744,1117,5871,1090,5903,1035,5967,980,6032,885,6147,875,6165,988,6040,1132,5885,1248,5763,1337,5673,1456,5553,1547,5466,1578,5437,1639,5380,1671,5352,1733,5297,1765,5269,1797,5242,1829,5215,1894,5162,1926,5136,1993,5085,2026,5060,2060,5036,2094,5012,2163,4966,2234,4923,2269,4902,2306,4882,2342,4862,2379,4844,2416,4827,2454,4811,2492,4796,2530,4782,2569,4770,2609,4760,2648,4751,2688,4744,2728,4739,2769,4736,2809,4735,2974,4735,2963,4728,2944,4712,2936,4711,2894,4705,2852,4700,2810,4698xm872,6163l871,6164,871,6164,872,6163xm2488,4104l2486,4104,2444,4109,2404,4119,2365,4132,2327,4148,2289,4166,2253,4187,2218,4209,2184,4233,2119,4285,2056,4339,1995,4397,1937,4457,1880,4518,1825,4581,1772,4646,1719,4712,1668,4778,1619,4846,1571,4915,1523,4985,1477,5055,1432,5126,1387,5197,1343,5269,1300,5341,1258,5414,1216,5487,1175,5561,1135,5635,1095,5709,1056,5784,1018,5859,980,5934,943,6010,907,6087,872,6163,885,6147,915,6091,954,6016,994,5942,1075,5795,1116,5722,1158,5649,1200,5576,1242,5504,1285,5431,1328,5359,1372,5288,1416,5217,1461,5146,1507,5076,1553,5006,1599,4936,1647,4867,1695,4799,1744,4732,1794,4665,1845,4599,1898,4535,1952,4472,2008,4411,2067,4352,2128,4297,2193,4245,2226,4221,2260,4199,2295,4178,2332,4159,2369,4144,2407,4131,2447,4123,2483,4118,2481,4116,2500,4116,2491,4106,2489,4104,2488,4104xm2974,4735l2809,4735,2850,4737,2890,4740,2930,4745,2971,4752,3012,4760,3012,4760,3018,4761,3025,4758,3007,4758,2974,4735xm2944,4712l2963,4728,3007,4758,3017,4727,2977,4718,2944,4712xm2500,4116l2481,4116,2486,4118,2483,4118,2499,4135,2515,4154,2531,4175,2546,4195,2562,4216,2577,4237,2591,4259,2606,4280,2664,4367,2693,4410,2723,4453,2753,4495,2784,4537,2816,4578,2849,4619,2885,4657,2922,4694,2944,4712,2977,4718,3017,4727,3007,4758,3025,4758,3025,4758,3029,4751,3033,4743,3030,4733,3022,4728,3001,4716,2981,4702,2961,4687,2942,4671,2923,4654,2905,4636,2887,4618,2869,4599,2835,4561,2802,4521,2771,4481,2740,4439,2709,4398,2679,4355,2589,4228,2573,4207,2558,4186,2542,4165,2526,4145,2509,4125,2500,4116xm2481,4116l2483,4118,2486,4118,2481,4116xe" filled="true" fillcolor="#ffffff" stroked="false">
              <v:path arrowok="t"/>
              <v:fill type="solid"/>
            </v:shape>
            <v:shape style="position:absolute;left:1244;top:138;width:1771;height:4609" coordorigin="1244,138" coordsize="1771,4609" path="m2174,138l1618,256,1244,1778,1264,2753,1811,3602,3015,4747,3001,4483,2984,4202,2969,3979,2963,3887,2240,3071,1917,2408,1920,1547,2174,138xe" filled="true" fillcolor="#959799" stroked="false">
              <v:path arrowok="t"/>
              <v:fill type="solid"/>
            </v:shape>
            <v:shape style="position:absolute;left:1491;top:130;width:1535;height:4640" coordorigin="1491,130" coordsize="1535,4640" path="m2186,130l2172,130,1616,270,1597,350,1581,410,1566,490,1552,570,1540,650,1529,730,1520,790,1512,870,1506,950,1500,1030,1496,1110,1493,1190,1491,1270,1491,1350,1491,1430,1493,1490,1497,1570,1501,1650,1507,1730,1514,1810,1522,1890,1531,1970,1541,2050,1553,2110,1566,2190,1581,2270,1596,2350,1613,2430,1632,2490,1651,2570,1672,2650,1695,2730,1718,2790,1743,2870,1769,2950,1797,3010,1825,3090,1855,3150,1887,3230,1919,3290,1953,3370,1987,3430,2024,3510,2061,3570,2099,3630,2138,3710,2179,3770,2220,3830,2262,3890,2306,3970,2350,4030,2396,4090,2419,4110,2442,4150,2466,4170,2489,4210,2513,4230,2537,4270,2562,4290,2586,4330,2611,4350,2636,4390,2661,4410,2687,4430,2713,4470,2739,4490,2765,4530,2791,4550,2844,4610,2898,4650,2953,4710,3008,4770,3025,4770,3024,4750,3005,4750,3004,4732,2965,4690,2910,4650,2855,4590,2802,4550,2775,4510,2749,4490,2723,4450,2671,4410,2646,4370,2621,4350,2596,4310,2571,4290,2547,4250,2523,4230,2499,4190,2452,4130,2428,4110,2406,4070,2361,4010,2317,3950,2274,3890,2232,3830,2192,3770,2152,3690,2114,3630,2077,3570,2042,3490,2007,3430,1974,3350,1942,3290,1910,3210,1881,3150,1852,3070,1825,3010,1799,2930,1774,2850,1750,2790,1727,2710,1706,2630,1685,2570,1666,2490,1648,2410,1632,2330,1616,2270,1601,2190,1588,2110,1575,2030,1564,1950,1555,1890,1546,1810,1539,1730,1533,1650,1528,1570,1524,1490,1521,1410,1519,1350,1518,1270,1519,1190,1521,1110,1523,1030,1528,950,1533,870,1539,810,1547,730,1555,650,1565,570,1576,490,1589,410,1603,350,1620,270,2164,152,2165,150,2183,150,2186,130xm3004,4732l3005,4750,3021,4750,3004,4732xm2949,3906l2954,3990,2960,4070,2967,4150,2973,4250,2978,4330,3004,4732,3021,4750,3024,4750,2999,4250,2994,4150,2989,4070,2984,3990,2980,3910,2952,3910,2949,3906xm2947,3890l2949,3906,2952,3910,2947,3890xm2979,3890l2947,3890,2952,3910,2980,3910,2979,3890xm2183,150l2176,150,2164,152,2153,210,2141,270,2130,330,2120,390,2110,450,2102,510,2093,570,2086,630,2079,690,2073,770,2068,830,2063,890,2059,950,2056,1010,2053,1070,2052,1130,2051,1190,2051,1270,2051,1330,2052,1390,2055,1450,2057,1510,2061,1570,2066,1630,2074,1710,2083,1790,2093,1870,2105,1970,2119,2050,2134,2130,2151,2210,2169,2290,2188,2370,2209,2450,2232,2530,2256,2610,2281,2690,2308,2770,2337,2850,2367,2930,2399,2990,2432,3070,2467,3150,2503,3230,2540,3290,2579,3370,2620,3430,2662,3510,2695,3570,2728,3610,2763,3670,2798,3710,2835,3770,2872,3810,2911,3870,2949,3906,2947,3890,2974,3890,2935,3850,2898,3790,2861,3750,2826,3690,2791,3650,2758,3590,2725,3550,2693,3490,2652,3410,2613,3350,2574,3270,2538,3210,2502,3130,2469,3050,2436,2970,2405,2910,2376,2830,2348,2750,2322,2670,2296,2590,2272,2510,2250,2430,2229,2350,2209,2270,2191,2190,2175,2110,2160,2030,2146,1950,2134,1870,2123,1790,2114,1710,2106,1630,2100,1570,2096,1510,2092,1450,2089,1390,2085,1250,2085,1190,2085,1130,2085,1070,2087,1010,2089,950,2092,890,2096,830,2101,770,2106,710,2112,630,2118,570,2126,510,2134,450,2142,390,2152,330,2162,270,2172,210,2183,150xm2176,150l2165,150,2164,152,2176,150xe" filled="true" fillcolor="#ffffff" stroked="false">
              <v:path arrowok="t"/>
              <v:fill type="solid"/>
            </v:shape>
          </v:group>
        </w:pict>
      </w:r>
      <w:r>
        <w:rPr>
          <w:rFonts w:ascii="Calibri"/>
          <w:sz w:val="20"/>
        </w:rPr>
      </w:r>
    </w:p>
    <w:p>
      <w:pPr>
        <w:spacing w:line="338" w:lineRule="exact" w:before="0"/>
        <w:ind w:left="957" w:right="692" w:firstLine="0"/>
        <w:jc w:val="left"/>
        <w:rPr>
          <w:rFonts w:ascii="Lucida Sans Unicode"/>
          <w:sz w:val="28"/>
        </w:rPr>
      </w:pPr>
      <w:r>
        <w:rPr>
          <w:rFonts w:ascii="Lucida Sans Unicode"/>
          <w:color w:val="FFFFFF"/>
          <w:w w:val="90"/>
          <w:sz w:val="28"/>
        </w:rPr>
        <w:t>LO STATO MODERNO, AL</w:t>
      </w:r>
    </w:p>
    <w:p>
      <w:pPr>
        <w:spacing w:line="187" w:lineRule="auto" w:before="20"/>
        <w:ind w:left="2377" w:right="2984" w:hanging="352"/>
        <w:jc w:val="left"/>
        <w:rPr>
          <w:rFonts w:ascii="Lucida Sans Unicode" w:hAnsi="Lucida Sans Unicode"/>
          <w:sz w:val="28"/>
        </w:rPr>
      </w:pPr>
      <w:r>
        <w:rPr>
          <w:rFonts w:ascii="Lucida Sans Unicode" w:hAnsi="Lucida Sans Unicode"/>
          <w:color w:val="FFFFFF"/>
          <w:w w:val="90"/>
          <w:sz w:val="28"/>
        </w:rPr>
        <w:t>ftIORNO</w:t>
      </w:r>
      <w:r>
        <w:rPr>
          <w:rFonts w:ascii="Lucida Sans Unicode" w:hAnsi="Lucida Sans Unicode"/>
          <w:color w:val="FFFFFF"/>
          <w:spacing w:val="-56"/>
          <w:w w:val="90"/>
          <w:sz w:val="28"/>
        </w:rPr>
        <w:t> </w:t>
      </w:r>
      <w:r>
        <w:rPr>
          <w:rFonts w:ascii="Lucida Sans Unicode" w:hAnsi="Lucida Sans Unicode"/>
          <w:color w:val="FFFFFF"/>
          <w:w w:val="90"/>
          <w:sz w:val="28"/>
        </w:rPr>
        <w:t>D’OftftI </w:t>
      </w:r>
      <w:r>
        <w:rPr>
          <w:rFonts w:ascii="Lucida Sans Unicode" w:hAnsi="Lucida Sans Unicode"/>
          <w:color w:val="FFFFFF"/>
          <w:w w:val="95"/>
          <w:sz w:val="28"/>
        </w:rPr>
        <w:t>E</w:t>
      </w:r>
      <w:r>
        <w:rPr>
          <w:rFonts w:ascii="Lucida Sans Unicode" w:hAnsi="Lucida Sans Unicode"/>
          <w:color w:val="FFFFFF"/>
          <w:spacing w:val="-53"/>
          <w:w w:val="95"/>
          <w:sz w:val="28"/>
        </w:rPr>
        <w:t> </w:t>
      </w:r>
      <w:r>
        <w:rPr>
          <w:rFonts w:ascii="Lucida Sans Unicode" w:hAnsi="Lucida Sans Unicode"/>
          <w:color w:val="FFFFFF"/>
          <w:w w:val="95"/>
          <w:sz w:val="28"/>
        </w:rPr>
        <w:t>DI</w:t>
      </w:r>
      <w:r>
        <w:rPr>
          <w:rFonts w:ascii="Lucida Sans Unicode" w:hAnsi="Lucida Sans Unicode"/>
          <w:color w:val="FFFFFF"/>
          <w:spacing w:val="-53"/>
          <w:w w:val="95"/>
          <w:sz w:val="28"/>
        </w:rPr>
        <w:t> </w:t>
      </w:r>
      <w:r>
        <w:rPr>
          <w:rFonts w:ascii="Lucida Sans Unicode" w:hAnsi="Lucida Sans Unicode"/>
          <w:color w:val="FFFFFF"/>
          <w:w w:val="95"/>
          <w:sz w:val="28"/>
        </w:rPr>
        <w:t>DOMANI</w:t>
      </w:r>
    </w:p>
    <w:p>
      <w:pPr>
        <w:pStyle w:val="BodyText"/>
        <w:rPr>
          <w:rFonts w:ascii="Lucida Sans Unicode"/>
          <w:sz w:val="20"/>
        </w:rPr>
      </w:pPr>
    </w:p>
    <w:p>
      <w:pPr>
        <w:pStyle w:val="BodyText"/>
        <w:rPr>
          <w:rFonts w:ascii="Lucida Sans Unicode"/>
          <w:sz w:val="20"/>
        </w:rPr>
      </w:pPr>
    </w:p>
    <w:p>
      <w:pPr>
        <w:pStyle w:val="BodyText"/>
        <w:spacing w:before="3"/>
        <w:rPr>
          <w:rFonts w:ascii="Lucida Sans Unicode"/>
          <w:sz w:val="26"/>
        </w:rPr>
      </w:pPr>
    </w:p>
    <w:p>
      <w:pPr>
        <w:spacing w:before="45"/>
        <w:ind w:left="3954" w:right="692" w:firstLine="0"/>
        <w:jc w:val="left"/>
        <w:rPr>
          <w:rFonts w:ascii="Calibri"/>
          <w:sz w:val="28"/>
        </w:rPr>
      </w:pPr>
      <w:r>
        <w:rPr>
          <w:rFonts w:ascii="Calibri"/>
          <w:color w:val="FFFFFF"/>
          <w:sz w:val="28"/>
        </w:rPr>
        <w:t>Pierangelo Schiera</w:t>
      </w:r>
    </w:p>
    <w:p>
      <w:pPr>
        <w:spacing w:after="0"/>
        <w:jc w:val="left"/>
        <w:rPr>
          <w:rFonts w:ascii="Calibri"/>
          <w:sz w:val="28"/>
        </w:rPr>
        <w:sectPr>
          <w:pgSz w:w="9640" w:h="13890"/>
          <w:pgMar w:top="118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7"/>
        </w:rPr>
      </w:pPr>
    </w:p>
    <w:p>
      <w:pPr>
        <w:pStyle w:val="BodyText"/>
        <w:spacing w:line="247" w:lineRule="auto" w:before="44"/>
        <w:ind w:left="1180" w:right="117" w:hanging="1"/>
        <w:jc w:val="both"/>
      </w:pPr>
      <w:r>
        <w:rPr/>
        <w:pict>
          <v:shape style="position:absolute;margin-left:82.218903pt;margin-top:9.230239pt;width:31.2pt;height:51pt;mso-position-horizontal-relative:page;mso-position-vertical-relative:paragraph;z-index:12232"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sz w:val="102"/>
                    </w:rPr>
                    <w:t>S</w:t>
                  </w:r>
                </w:p>
              </w:txbxContent>
            </v:textbox>
            <w10:wrap type="none"/>
          </v:shape>
        </w:pict>
      </w:r>
      <w:r>
        <w:rPr>
          <w:color w:val="231F20"/>
        </w:rPr>
        <w:t>e</w:t>
      </w:r>
      <w:r>
        <w:rPr>
          <w:color w:val="231F20"/>
          <w:spacing w:val="-13"/>
        </w:rPr>
        <w:t> </w:t>
      </w:r>
      <w:r>
        <w:rPr>
          <w:color w:val="231F20"/>
        </w:rPr>
        <w:t>si</w:t>
      </w:r>
      <w:r>
        <w:rPr>
          <w:color w:val="231F20"/>
          <w:spacing w:val="-13"/>
        </w:rPr>
        <w:t> </w:t>
      </w:r>
      <w:r>
        <w:rPr>
          <w:color w:val="231F20"/>
        </w:rPr>
        <w:t>vuol</w:t>
      </w:r>
      <w:r>
        <w:rPr>
          <w:color w:val="231F20"/>
          <w:spacing w:val="-13"/>
        </w:rPr>
        <w:t> </w:t>
      </w:r>
      <w:r>
        <w:rPr>
          <w:color w:val="231F20"/>
        </w:rPr>
        <w:t>parlare</w:t>
      </w:r>
      <w:r>
        <w:rPr>
          <w:color w:val="231F20"/>
          <w:spacing w:val="-13"/>
        </w:rPr>
        <w:t> </w:t>
      </w:r>
      <w:r>
        <w:rPr>
          <w:color w:val="231F20"/>
        </w:rPr>
        <w:t>dello</w:t>
      </w:r>
      <w:r>
        <w:rPr>
          <w:color w:val="231F20"/>
          <w:spacing w:val="-13"/>
        </w:rPr>
        <w:t> </w:t>
      </w:r>
      <w:r>
        <w:rPr>
          <w:color w:val="231F20"/>
        </w:rPr>
        <w:t>Stato</w:t>
      </w:r>
      <w:r>
        <w:rPr>
          <w:color w:val="231F20"/>
          <w:spacing w:val="-13"/>
        </w:rPr>
        <w:t> </w:t>
      </w:r>
      <w:r>
        <w:rPr>
          <w:color w:val="231F20"/>
        </w:rPr>
        <w:t>del</w:t>
      </w:r>
      <w:r>
        <w:rPr>
          <w:color w:val="231F20"/>
          <w:spacing w:val="-13"/>
        </w:rPr>
        <w:t> </w:t>
      </w:r>
      <w:r>
        <w:rPr>
          <w:color w:val="231F20"/>
        </w:rPr>
        <w:t>futuro,</w:t>
      </w:r>
      <w:r>
        <w:rPr>
          <w:color w:val="231F20"/>
          <w:spacing w:val="-13"/>
        </w:rPr>
        <w:t> </w:t>
      </w:r>
      <w:r>
        <w:rPr>
          <w:color w:val="231F20"/>
        </w:rPr>
        <w:t>o</w:t>
      </w:r>
      <w:r>
        <w:rPr>
          <w:color w:val="231F20"/>
          <w:spacing w:val="-13"/>
        </w:rPr>
        <w:t> </w:t>
      </w:r>
      <w:r>
        <w:rPr>
          <w:color w:val="231F20"/>
        </w:rPr>
        <w:t>meglio</w:t>
      </w:r>
      <w:r>
        <w:rPr>
          <w:color w:val="231F20"/>
          <w:spacing w:val="-13"/>
        </w:rPr>
        <w:t> </w:t>
      </w:r>
      <w:r>
        <w:rPr>
          <w:color w:val="231F20"/>
        </w:rPr>
        <w:t>della</w:t>
      </w:r>
      <w:r>
        <w:rPr>
          <w:color w:val="231F20"/>
          <w:spacing w:val="-13"/>
        </w:rPr>
        <w:t> </w:t>
      </w:r>
      <w:r>
        <w:rPr>
          <w:color w:val="231F20"/>
        </w:rPr>
        <w:t>condizione </w:t>
      </w:r>
      <w:r>
        <w:rPr>
          <w:color w:val="231F20"/>
          <w:spacing w:val="4"/>
        </w:rPr>
        <w:t>dello Stato </w:t>
      </w:r>
      <w:r>
        <w:rPr>
          <w:color w:val="231F20"/>
          <w:spacing w:val="3"/>
        </w:rPr>
        <w:t>nel futuro, cioè </w:t>
      </w:r>
      <w:r>
        <w:rPr>
          <w:color w:val="231F20"/>
          <w:spacing w:val="4"/>
        </w:rPr>
        <w:t>della </w:t>
      </w:r>
      <w:r>
        <w:rPr>
          <w:color w:val="231F20"/>
          <w:spacing w:val="3"/>
        </w:rPr>
        <w:t>sua </w:t>
      </w:r>
      <w:r>
        <w:rPr>
          <w:color w:val="231F20"/>
          <w:spacing w:val="2"/>
        </w:rPr>
        <w:t>da </w:t>
      </w:r>
      <w:r>
        <w:rPr>
          <w:color w:val="231F20"/>
          <w:spacing w:val="3"/>
        </w:rPr>
        <w:t>più </w:t>
      </w:r>
      <w:r>
        <w:rPr>
          <w:color w:val="231F20"/>
          <w:spacing w:val="2"/>
        </w:rPr>
        <w:t>di un </w:t>
      </w:r>
      <w:r>
        <w:rPr>
          <w:color w:val="231F20"/>
          <w:spacing w:val="5"/>
        </w:rPr>
        <w:t>secolo </w:t>
      </w:r>
      <w:r>
        <w:rPr>
          <w:color w:val="231F20"/>
        </w:rPr>
        <w:t>conclamata crisi, il punto di vista, la prospettiva storica</w:t>
      </w:r>
      <w:r>
        <w:rPr>
          <w:color w:val="231F20"/>
          <w:spacing w:val="-41"/>
        </w:rPr>
        <w:t> </w:t>
      </w:r>
      <w:r>
        <w:rPr>
          <w:color w:val="231F20"/>
        </w:rPr>
        <w:t>migliore non è quella di considerarne la vicenda nel periodo della sua fioritura</w:t>
      </w:r>
      <w:r>
        <w:rPr>
          <w:color w:val="231F20"/>
          <w:spacing w:val="-19"/>
        </w:rPr>
        <w:t> </w:t>
      </w:r>
      <w:r>
        <w:rPr>
          <w:color w:val="231F20"/>
        </w:rPr>
        <w:t>piena</w:t>
      </w:r>
      <w:r>
        <w:rPr>
          <w:color w:val="231F20"/>
          <w:spacing w:val="-19"/>
        </w:rPr>
        <w:t> </w:t>
      </w:r>
      <w:r>
        <w:rPr>
          <w:color w:val="231F20"/>
        </w:rPr>
        <w:t>(fra</w:t>
      </w:r>
      <w:r>
        <w:rPr>
          <w:color w:val="231F20"/>
          <w:spacing w:val="-19"/>
        </w:rPr>
        <w:t> </w:t>
      </w:r>
      <w:r>
        <w:rPr>
          <w:color w:val="231F20"/>
          <w:sz w:val="18"/>
        </w:rPr>
        <w:t>XVII</w:t>
      </w:r>
      <w:r>
        <w:rPr>
          <w:color w:val="231F20"/>
          <w:spacing w:val="-10"/>
          <w:sz w:val="18"/>
        </w:rPr>
        <w:t> </w:t>
      </w:r>
      <w:r>
        <w:rPr>
          <w:color w:val="231F20"/>
        </w:rPr>
        <w:t>e</w:t>
      </w:r>
      <w:r>
        <w:rPr>
          <w:color w:val="231F20"/>
          <w:spacing w:val="-19"/>
        </w:rPr>
        <w:t> </w:t>
      </w:r>
      <w:r>
        <w:rPr>
          <w:color w:val="231F20"/>
          <w:sz w:val="18"/>
        </w:rPr>
        <w:t>XX</w:t>
      </w:r>
      <w:r>
        <w:rPr>
          <w:color w:val="231F20"/>
          <w:spacing w:val="-10"/>
          <w:sz w:val="18"/>
        </w:rPr>
        <w:t> </w:t>
      </w:r>
      <w:r>
        <w:rPr>
          <w:color w:val="231F20"/>
        </w:rPr>
        <w:t>secolo),</w:t>
      </w:r>
      <w:r>
        <w:rPr>
          <w:color w:val="231F20"/>
          <w:spacing w:val="-19"/>
        </w:rPr>
        <w:t> </w:t>
      </w:r>
      <w:r>
        <w:rPr>
          <w:color w:val="231F20"/>
        </w:rPr>
        <w:t>ma</w:t>
      </w:r>
      <w:r>
        <w:rPr>
          <w:color w:val="231F20"/>
          <w:spacing w:val="-19"/>
        </w:rPr>
        <w:t> </w:t>
      </w:r>
      <w:r>
        <w:rPr>
          <w:color w:val="231F20"/>
        </w:rPr>
        <w:t>di</w:t>
      </w:r>
      <w:r>
        <w:rPr>
          <w:color w:val="231F20"/>
          <w:spacing w:val="-19"/>
        </w:rPr>
        <w:t> </w:t>
      </w:r>
      <w:r>
        <w:rPr>
          <w:color w:val="231F20"/>
        </w:rPr>
        <w:t>provare</w:t>
      </w:r>
      <w:r>
        <w:rPr>
          <w:color w:val="231F20"/>
          <w:spacing w:val="-19"/>
        </w:rPr>
        <w:t> </w:t>
      </w:r>
      <w:r>
        <w:rPr>
          <w:color w:val="231F20"/>
        </w:rPr>
        <w:t>a</w:t>
      </w:r>
      <w:r>
        <w:rPr>
          <w:color w:val="231F20"/>
          <w:spacing w:val="-19"/>
        </w:rPr>
        <w:t> </w:t>
      </w:r>
      <w:r>
        <w:rPr>
          <w:color w:val="231F20"/>
        </w:rPr>
        <w:t>collocarsi</w:t>
      </w:r>
      <w:r>
        <w:rPr>
          <w:color w:val="231F20"/>
          <w:spacing w:val="-19"/>
        </w:rPr>
        <w:t> </w:t>
      </w:r>
      <w:r>
        <w:rPr>
          <w:color w:val="231F20"/>
        </w:rPr>
        <w:t>da</w:t>
      </w:r>
    </w:p>
    <w:p>
      <w:pPr>
        <w:pStyle w:val="BodyText"/>
        <w:spacing w:line="247" w:lineRule="auto"/>
        <w:ind w:left="117" w:right="117"/>
        <w:jc w:val="both"/>
      </w:pPr>
      <w:r>
        <w:rPr>
          <w:color w:val="231F20"/>
        </w:rPr>
        <w:t>prima, a partire cioè dalle “strutture pre-statuali e pre-moderne”</w:t>
      </w:r>
      <w:r>
        <w:rPr>
          <w:color w:val="231F20"/>
          <w:position w:val="7"/>
          <w:sz w:val="12"/>
        </w:rPr>
        <w:t>1</w:t>
      </w:r>
      <w:r>
        <w:rPr>
          <w:color w:val="231F20"/>
        </w:rPr>
        <w:t>. Credo </w:t>
      </w:r>
      <w:r>
        <w:rPr>
          <w:color w:val="231F20"/>
          <w:spacing w:val="3"/>
        </w:rPr>
        <w:t>infatti </w:t>
      </w:r>
      <w:r>
        <w:rPr>
          <w:color w:val="231F20"/>
          <w:spacing w:val="2"/>
        </w:rPr>
        <w:t>che </w:t>
      </w:r>
      <w:r>
        <w:rPr>
          <w:color w:val="231F20"/>
          <w:spacing w:val="3"/>
        </w:rPr>
        <w:t>quella </w:t>
      </w:r>
      <w:r>
        <w:rPr>
          <w:color w:val="231F20"/>
          <w:spacing w:val="2"/>
        </w:rPr>
        <w:t>che </w:t>
      </w:r>
      <w:r>
        <w:rPr>
          <w:color w:val="231F20"/>
        </w:rPr>
        <w:t>è </w:t>
      </w:r>
      <w:r>
        <w:rPr>
          <w:color w:val="231F20"/>
          <w:spacing w:val="3"/>
        </w:rPr>
        <w:t>stata chiamata </w:t>
      </w:r>
      <w:r>
        <w:rPr>
          <w:color w:val="231F20"/>
        </w:rPr>
        <w:t>la </w:t>
      </w:r>
      <w:r>
        <w:rPr>
          <w:color w:val="231F20"/>
          <w:spacing w:val="3"/>
        </w:rPr>
        <w:t>crisi dello Stato </w:t>
      </w:r>
      <w:r>
        <w:rPr>
          <w:color w:val="231F20"/>
          <w:spacing w:val="2"/>
        </w:rPr>
        <w:t>sia </w:t>
      </w:r>
      <w:r>
        <w:rPr>
          <w:color w:val="231F20"/>
        </w:rPr>
        <w:t>la </w:t>
      </w:r>
      <w:r>
        <w:rPr>
          <w:color w:val="231F20"/>
          <w:spacing w:val="3"/>
        </w:rPr>
        <w:t>crisi </w:t>
      </w:r>
      <w:r>
        <w:rPr>
          <w:color w:val="231F20"/>
        </w:rPr>
        <w:t>dell’impronta unitaria, accentrativa e monolitica che lo “Stato (moderno)”</w:t>
      </w:r>
      <w:r>
        <w:rPr>
          <w:color w:val="231F20"/>
          <w:position w:val="7"/>
          <w:sz w:val="12"/>
        </w:rPr>
        <w:t>2 </w:t>
      </w:r>
      <w:r>
        <w:rPr>
          <w:color w:val="231F20"/>
        </w:rPr>
        <w:t>si è venuto costruendo nel suo periodo storico più alto, che è stato quello dell’assolutismo sei- e settecentesco. Poi, con la Rivoluzione, hanno vinto </w:t>
      </w:r>
      <w:r>
        <w:rPr>
          <w:rFonts w:ascii="Arial" w:hAnsi="Arial"/>
          <w:i/>
          <w:color w:val="231F20"/>
        </w:rPr>
        <w:t>Liberté </w:t>
      </w:r>
      <w:r>
        <w:rPr>
          <w:color w:val="231F20"/>
        </w:rPr>
        <w:t>e Égalité, debitamente registrate nelle Carte costituzionali; ma con </w:t>
      </w:r>
      <w:r>
        <w:rPr>
          <w:color w:val="231F20"/>
          <w:spacing w:val="3"/>
        </w:rPr>
        <w:t>la </w:t>
      </w:r>
      <w:r>
        <w:rPr>
          <w:color w:val="231F20"/>
          <w:spacing w:val="5"/>
        </w:rPr>
        <w:t>dominanza </w:t>
      </w:r>
      <w:r>
        <w:rPr>
          <w:color w:val="231F20"/>
          <w:spacing w:val="4"/>
        </w:rPr>
        <w:t>borghese </w:t>
      </w:r>
      <w:r>
        <w:rPr>
          <w:color w:val="231F20"/>
          <w:spacing w:val="3"/>
        </w:rPr>
        <w:t>il </w:t>
      </w:r>
      <w:r>
        <w:rPr>
          <w:color w:val="231F20"/>
          <w:spacing w:val="5"/>
        </w:rPr>
        <w:t>sistema statale </w:t>
      </w:r>
      <w:r>
        <w:rPr>
          <w:color w:val="231F20"/>
          <w:spacing w:val="3"/>
        </w:rPr>
        <w:t>si </w:t>
      </w:r>
      <w:r>
        <w:rPr>
          <w:color w:val="231F20"/>
        </w:rPr>
        <w:t>è </w:t>
      </w:r>
      <w:r>
        <w:rPr>
          <w:color w:val="231F20"/>
          <w:spacing w:val="5"/>
        </w:rPr>
        <w:t>irrigidito, </w:t>
      </w:r>
      <w:r>
        <w:rPr>
          <w:color w:val="231F20"/>
          <w:spacing w:val="6"/>
        </w:rPr>
        <w:t>diventando</w:t>
      </w:r>
      <w:r>
        <w:rPr>
          <w:color w:val="231F20"/>
          <w:spacing w:val="77"/>
        </w:rPr>
        <w:t> </w:t>
      </w:r>
      <w:r>
        <w:rPr>
          <w:color w:val="231F20"/>
        </w:rPr>
        <w:t>tendenzialmente</w:t>
      </w:r>
      <w:r>
        <w:rPr>
          <w:color w:val="231F20"/>
          <w:spacing w:val="-23"/>
        </w:rPr>
        <w:t> </w:t>
      </w:r>
      <w:r>
        <w:rPr>
          <w:color w:val="231F20"/>
        </w:rPr>
        <w:t>monolitico,</w:t>
      </w:r>
      <w:r>
        <w:rPr>
          <w:color w:val="231F20"/>
          <w:spacing w:val="-23"/>
        </w:rPr>
        <w:t> </w:t>
      </w:r>
      <w:r>
        <w:rPr>
          <w:color w:val="231F20"/>
        </w:rPr>
        <w:t>cioè</w:t>
      </w:r>
      <w:r>
        <w:rPr>
          <w:color w:val="231F20"/>
          <w:spacing w:val="-23"/>
        </w:rPr>
        <w:t> </w:t>
      </w:r>
      <w:r>
        <w:rPr>
          <w:color w:val="231F20"/>
        </w:rPr>
        <w:t>di</w:t>
      </w:r>
      <w:r>
        <w:rPr>
          <w:color w:val="231F20"/>
          <w:spacing w:val="-23"/>
        </w:rPr>
        <w:t> </w:t>
      </w:r>
      <w:r>
        <w:rPr>
          <w:color w:val="231F20"/>
        </w:rPr>
        <w:t>classe.</w:t>
      </w:r>
      <w:r>
        <w:rPr>
          <w:color w:val="231F20"/>
          <w:spacing w:val="-23"/>
        </w:rPr>
        <w:t> </w:t>
      </w:r>
      <w:r>
        <w:rPr>
          <w:color w:val="231F20"/>
          <w:spacing w:val="-7"/>
        </w:rPr>
        <w:t>Tanto</w:t>
      </w:r>
      <w:r>
        <w:rPr>
          <w:color w:val="231F20"/>
          <w:spacing w:val="-23"/>
        </w:rPr>
        <w:t> </w:t>
      </w:r>
      <w:r>
        <w:rPr>
          <w:color w:val="231F20"/>
        </w:rPr>
        <w:t>che,</w:t>
      </w:r>
      <w:r>
        <w:rPr>
          <w:color w:val="231F20"/>
          <w:spacing w:val="-23"/>
        </w:rPr>
        <w:t> </w:t>
      </w:r>
      <w:r>
        <w:rPr>
          <w:color w:val="231F20"/>
        </w:rPr>
        <w:t>come</w:t>
      </w:r>
      <w:r>
        <w:rPr>
          <w:color w:val="231F20"/>
          <w:spacing w:val="-23"/>
        </w:rPr>
        <w:t> </w:t>
      </w:r>
      <w:r>
        <w:rPr>
          <w:color w:val="231F20"/>
        </w:rPr>
        <w:t>si</w:t>
      </w:r>
      <w:r>
        <w:rPr>
          <w:color w:val="231F20"/>
          <w:spacing w:val="-23"/>
        </w:rPr>
        <w:t> </w:t>
      </w:r>
      <w:r>
        <w:rPr>
          <w:color w:val="231F20"/>
        </w:rPr>
        <w:t>sa,</w:t>
      </w:r>
      <w:r>
        <w:rPr>
          <w:color w:val="231F20"/>
          <w:spacing w:val="-23"/>
        </w:rPr>
        <w:t> </w:t>
      </w:r>
      <w:r>
        <w:rPr>
          <w:color w:val="231F20"/>
        </w:rPr>
        <w:t>la</w:t>
      </w:r>
      <w:r>
        <w:rPr>
          <w:color w:val="231F20"/>
          <w:spacing w:val="-23"/>
        </w:rPr>
        <w:t> </w:t>
      </w:r>
      <w:r>
        <w:rPr>
          <w:color w:val="231F20"/>
        </w:rPr>
        <w:t>tensione fra</w:t>
      </w:r>
      <w:r>
        <w:rPr>
          <w:color w:val="231F20"/>
          <w:spacing w:val="-22"/>
        </w:rPr>
        <w:t> </w:t>
      </w:r>
      <w:r>
        <w:rPr>
          <w:color w:val="231F20"/>
        </w:rPr>
        <w:t>democrazia</w:t>
      </w:r>
      <w:r>
        <w:rPr>
          <w:color w:val="231F20"/>
          <w:spacing w:val="-22"/>
        </w:rPr>
        <w:t> </w:t>
      </w:r>
      <w:r>
        <w:rPr>
          <w:color w:val="231F20"/>
        </w:rPr>
        <w:t>liberale</w:t>
      </w:r>
      <w:r>
        <w:rPr>
          <w:color w:val="231F20"/>
          <w:spacing w:val="-22"/>
        </w:rPr>
        <w:t> </w:t>
      </w:r>
      <w:r>
        <w:rPr>
          <w:color w:val="231F20"/>
        </w:rPr>
        <w:t>e</w:t>
      </w:r>
      <w:r>
        <w:rPr>
          <w:color w:val="231F20"/>
          <w:spacing w:val="-22"/>
        </w:rPr>
        <w:t> </w:t>
      </w:r>
      <w:r>
        <w:rPr>
          <w:color w:val="231F20"/>
        </w:rPr>
        <w:t>prestazione</w:t>
      </w:r>
      <w:r>
        <w:rPr>
          <w:color w:val="231F20"/>
          <w:spacing w:val="-22"/>
        </w:rPr>
        <w:t> </w:t>
      </w:r>
      <w:r>
        <w:rPr>
          <w:color w:val="231F20"/>
        </w:rPr>
        <w:t>amministrativa</w:t>
      </w:r>
      <w:r>
        <w:rPr>
          <w:color w:val="231F20"/>
          <w:spacing w:val="-22"/>
        </w:rPr>
        <w:t> </w:t>
      </w:r>
      <w:r>
        <w:rPr>
          <w:color w:val="231F20"/>
        </w:rPr>
        <w:t>e</w:t>
      </w:r>
      <w:r>
        <w:rPr>
          <w:color w:val="231F20"/>
          <w:spacing w:val="-22"/>
        </w:rPr>
        <w:t> </w:t>
      </w:r>
      <w:r>
        <w:rPr>
          <w:color w:val="231F20"/>
        </w:rPr>
        <w:t>burocratica</w:t>
      </w:r>
      <w:r>
        <w:rPr>
          <w:color w:val="231F20"/>
          <w:spacing w:val="-22"/>
        </w:rPr>
        <w:t> </w:t>
      </w:r>
      <w:r>
        <w:rPr>
          <w:color w:val="231F20"/>
        </w:rPr>
        <w:t>(la</w:t>
      </w:r>
      <w:r>
        <w:rPr>
          <w:color w:val="231F20"/>
          <w:spacing w:val="-22"/>
        </w:rPr>
        <w:t> </w:t>
      </w:r>
      <w:r>
        <w:rPr>
          <w:color w:val="231F20"/>
        </w:rPr>
        <w:t>gabbia </w:t>
      </w:r>
      <w:r>
        <w:rPr>
          <w:color w:val="231F20"/>
          <w:spacing w:val="2"/>
        </w:rPr>
        <w:t>d’acciaio </w:t>
      </w:r>
      <w:r>
        <w:rPr>
          <w:color w:val="231F20"/>
        </w:rPr>
        <w:t>di Weber) ha </w:t>
      </w:r>
      <w:r>
        <w:rPr>
          <w:color w:val="231F20"/>
          <w:spacing w:val="2"/>
        </w:rPr>
        <w:t>condotto </w:t>
      </w:r>
      <w:r>
        <w:rPr>
          <w:color w:val="231F20"/>
        </w:rPr>
        <w:t>al </w:t>
      </w:r>
      <w:r>
        <w:rPr>
          <w:color w:val="231F20"/>
          <w:spacing w:val="2"/>
        </w:rPr>
        <w:t>prodotto principale </w:t>
      </w:r>
      <w:r>
        <w:rPr>
          <w:color w:val="231F20"/>
        </w:rPr>
        <w:t>del </w:t>
      </w:r>
      <w:r>
        <w:rPr>
          <w:color w:val="231F20"/>
          <w:spacing w:val="3"/>
        </w:rPr>
        <w:t>Novecento </w:t>
      </w:r>
      <w:r>
        <w:rPr>
          <w:color w:val="231F20"/>
        </w:rPr>
        <w:t>politico che è stato il</w:t>
      </w:r>
      <w:r>
        <w:rPr>
          <w:color w:val="231F20"/>
          <w:spacing w:val="19"/>
        </w:rPr>
        <w:t> </w:t>
      </w:r>
      <w:r>
        <w:rPr>
          <w:color w:val="231F20"/>
        </w:rPr>
        <w:t>totalitarismo.</w:t>
      </w:r>
    </w:p>
    <w:p>
      <w:pPr>
        <w:pStyle w:val="BodyText"/>
        <w:spacing w:line="247" w:lineRule="auto"/>
        <w:ind w:left="117" w:right="116" w:firstLine="566"/>
        <w:jc w:val="both"/>
      </w:pPr>
      <w:r>
        <w:rPr>
          <w:color w:val="231F20"/>
        </w:rPr>
        <w:t>Quel fenomeno–Stato a cui risalire per guadagnare la migliore prospettiva per il nostro futuro, per il futuro del nostro stato cioè, lo descrivevo sommariamente così nel 1994: un processo di statizzazione “[…] in cui il carattere dell’unità tendenziale della forma di governo su un determinato territorio, con i corollari dell’uniformità dei comportamenti politici, della razionalizzazione istituzionale e della burocratizzazione del comando, coesiste e lotta con il carattere alternativo della pluralità degli ordinamenti e con la ricchezza delle pressioni sociali”</w:t>
      </w:r>
      <w:r>
        <w:rPr>
          <w:color w:val="231F20"/>
          <w:position w:val="7"/>
          <w:sz w:val="12"/>
        </w:rPr>
        <w:t>3</w:t>
      </w:r>
      <w:r>
        <w:rPr>
          <w:color w:val="231F20"/>
        </w:rPr>
        <w:t>.</w:t>
      </w:r>
    </w:p>
    <w:p>
      <w:pPr>
        <w:pStyle w:val="BodyText"/>
        <w:spacing w:before="5"/>
        <w:rPr>
          <w:sz w:val="23"/>
        </w:rPr>
      </w:pPr>
      <w:r>
        <w:rPr/>
        <w:pict>
          <v:line style="position:absolute;mso-position-horizontal-relative:page;mso-position-vertical-relative:paragraph;z-index:12208;mso-wrap-distance-left:0;mso-wrap-distance-right:0" from="70.866096pt,16.250288pt" to="184.252096pt,16.250288pt" stroked="true" strokeweight=".3pt" strokecolor="#231f20">
            <w10:wrap type="topAndBottom"/>
          </v:line>
        </w:pict>
      </w:r>
    </w:p>
    <w:p>
      <w:pPr>
        <w:spacing w:line="204" w:lineRule="exact" w:before="9"/>
        <w:ind w:left="117" w:right="121" w:firstLine="0"/>
        <w:jc w:val="both"/>
        <w:rPr>
          <w:rFonts w:ascii="Calibri" w:hAnsi="Calibri"/>
          <w:sz w:val="17"/>
        </w:rPr>
      </w:pPr>
      <w:r>
        <w:rPr>
          <w:rFonts w:ascii="Calibri" w:hAnsi="Calibri"/>
          <w:color w:val="231F20"/>
          <w:position w:val="6"/>
          <w:sz w:val="10"/>
        </w:rPr>
        <w:t>1 </w:t>
      </w:r>
      <w:r>
        <w:rPr>
          <w:rFonts w:ascii="Calibri" w:hAnsi="Calibri"/>
          <w:color w:val="231F20"/>
          <w:sz w:val="17"/>
        </w:rPr>
        <w:t>Come le ha chiamate mia moglie Giuliana Nobili nella traduzione (1983) del titolo dell’opera di Otto Brunner </w:t>
      </w:r>
      <w:r>
        <w:rPr>
          <w:rFonts w:ascii="Calibri" w:hAnsi="Calibri"/>
          <w:i/>
          <w:color w:val="231F20"/>
          <w:sz w:val="17"/>
        </w:rPr>
        <w:t>Land und Herrschaft. Grundfragen der territorialen Verfassungsgeschichte Österreichs </w:t>
      </w:r>
      <w:r>
        <w:rPr>
          <w:rFonts w:ascii="Calibri" w:hAnsi="Calibri"/>
          <w:i/>
          <w:color w:val="231F20"/>
          <w:sz w:val="17"/>
        </w:rPr>
        <w:t>im Mittelater </w:t>
      </w:r>
      <w:r>
        <w:rPr>
          <w:rFonts w:ascii="Calibri" w:hAnsi="Calibri"/>
          <w:color w:val="231F20"/>
          <w:sz w:val="17"/>
        </w:rPr>
        <w:t>(1939): G. Nobili Schiera, </w:t>
      </w:r>
      <w:r>
        <w:rPr>
          <w:rFonts w:ascii="Calibri" w:hAnsi="Calibri"/>
          <w:color w:val="231F20"/>
          <w:spacing w:val="-10"/>
          <w:sz w:val="17"/>
        </w:rPr>
        <w:t>“A </w:t>
      </w:r>
      <w:r>
        <w:rPr>
          <w:rFonts w:ascii="Calibri" w:hAnsi="Calibri"/>
          <w:color w:val="231F20"/>
          <w:sz w:val="17"/>
        </w:rPr>
        <w:t>proposito della traduzione recente di un’opera di Otto Brunner”, G. Nobili Schiera, </w:t>
      </w:r>
      <w:r>
        <w:rPr>
          <w:rFonts w:ascii="Calibri" w:hAnsi="Calibri"/>
          <w:i/>
          <w:color w:val="231F20"/>
          <w:spacing w:val="-5"/>
          <w:sz w:val="17"/>
        </w:rPr>
        <w:t>Tre </w:t>
      </w:r>
      <w:r>
        <w:rPr>
          <w:rFonts w:ascii="Calibri" w:hAnsi="Calibri"/>
          <w:i/>
          <w:color w:val="231F20"/>
          <w:sz w:val="17"/>
        </w:rPr>
        <w:t>scritti</w:t>
      </w:r>
      <w:r>
        <w:rPr>
          <w:rFonts w:ascii="Calibri" w:hAnsi="Calibri"/>
          <w:color w:val="231F20"/>
          <w:sz w:val="17"/>
        </w:rPr>
        <w:t>, </w:t>
      </w:r>
      <w:r>
        <w:rPr>
          <w:rFonts w:ascii="Calibri" w:hAnsi="Calibri"/>
          <w:color w:val="231F20"/>
          <w:spacing w:val="-3"/>
          <w:sz w:val="17"/>
        </w:rPr>
        <w:t>Trento, </w:t>
      </w:r>
      <w:r>
        <w:rPr>
          <w:rFonts w:ascii="Calibri" w:hAnsi="Calibri"/>
          <w:color w:val="231F20"/>
          <w:sz w:val="17"/>
        </w:rPr>
        <w:t>Fondazione Bruno Kessler Press, </w:t>
      </w:r>
      <w:r>
        <w:rPr>
          <w:rFonts w:ascii="Calibri" w:hAnsi="Calibri"/>
          <w:color w:val="231F20"/>
          <w:spacing w:val="13"/>
          <w:sz w:val="17"/>
        </w:rPr>
        <w:t> </w:t>
      </w:r>
      <w:r>
        <w:rPr>
          <w:rFonts w:ascii="Calibri" w:hAnsi="Calibri"/>
          <w:color w:val="231F20"/>
          <w:sz w:val="17"/>
        </w:rPr>
        <w:t>2015.</w:t>
      </w:r>
    </w:p>
    <w:p>
      <w:pPr>
        <w:spacing w:line="204" w:lineRule="exact" w:before="0"/>
        <w:ind w:left="117" w:right="121" w:firstLine="0"/>
        <w:jc w:val="both"/>
        <w:rPr>
          <w:rFonts w:ascii="Calibri" w:hAnsi="Calibri"/>
          <w:sz w:val="17"/>
        </w:rPr>
      </w:pPr>
      <w:r>
        <w:rPr>
          <w:rFonts w:ascii="Calibri" w:hAnsi="Calibri"/>
          <w:color w:val="231F20"/>
          <w:position w:val="6"/>
          <w:sz w:val="10"/>
        </w:rPr>
        <w:t>2  </w:t>
      </w:r>
      <w:r>
        <w:rPr>
          <w:rFonts w:ascii="Calibri" w:hAnsi="Calibri"/>
          <w:color w:val="231F20"/>
          <w:sz w:val="17"/>
        </w:rPr>
        <w:t>È questa l’espressione grafica usata dal mio Maestro Gianfranco Miglio (</w:t>
      </w:r>
      <w:r>
        <w:rPr>
          <w:rFonts w:ascii="Calibri" w:hAnsi="Calibri"/>
          <w:i/>
          <w:color w:val="231F20"/>
          <w:sz w:val="17"/>
        </w:rPr>
        <w:t>Genesi e trasformazioni  </w:t>
      </w:r>
      <w:r>
        <w:rPr>
          <w:rFonts w:ascii="Calibri" w:hAnsi="Calibri"/>
          <w:i/>
          <w:color w:val="231F20"/>
          <w:sz w:val="17"/>
        </w:rPr>
        <w:t>del termine–concetto ‘Stato’ </w:t>
      </w:r>
      <w:r>
        <w:rPr>
          <w:rFonts w:ascii="Calibri" w:hAnsi="Calibri"/>
          <w:color w:val="231F20"/>
          <w:sz w:val="17"/>
        </w:rPr>
        <w:t>[1981], Brescia 2007) per distinguere la forma di organizzazione del potere</w:t>
      </w:r>
      <w:r>
        <w:rPr>
          <w:rFonts w:ascii="Calibri" w:hAnsi="Calibri"/>
          <w:color w:val="231F20"/>
          <w:spacing w:val="12"/>
          <w:sz w:val="17"/>
        </w:rPr>
        <w:t> </w:t>
      </w:r>
      <w:r>
        <w:rPr>
          <w:rFonts w:ascii="Calibri" w:hAnsi="Calibri"/>
          <w:color w:val="231F20"/>
          <w:sz w:val="17"/>
        </w:rPr>
        <w:t>di</w:t>
      </w:r>
      <w:r>
        <w:rPr>
          <w:rFonts w:ascii="Calibri" w:hAnsi="Calibri"/>
          <w:color w:val="231F20"/>
          <w:spacing w:val="12"/>
          <w:sz w:val="17"/>
        </w:rPr>
        <w:t> </w:t>
      </w:r>
      <w:r>
        <w:rPr>
          <w:rFonts w:ascii="Calibri" w:hAnsi="Calibri"/>
          <w:color w:val="231F20"/>
          <w:sz w:val="17"/>
        </w:rPr>
        <w:t>cui</w:t>
      </w:r>
      <w:r>
        <w:rPr>
          <w:rFonts w:ascii="Calibri" w:hAnsi="Calibri"/>
          <w:color w:val="231F20"/>
          <w:spacing w:val="12"/>
          <w:sz w:val="17"/>
        </w:rPr>
        <w:t> </w:t>
      </w:r>
      <w:r>
        <w:rPr>
          <w:rFonts w:ascii="Calibri" w:hAnsi="Calibri"/>
          <w:color w:val="231F20"/>
          <w:sz w:val="17"/>
        </w:rPr>
        <w:t>stiamo</w:t>
      </w:r>
      <w:r>
        <w:rPr>
          <w:rFonts w:ascii="Calibri" w:hAnsi="Calibri"/>
          <w:color w:val="231F20"/>
          <w:spacing w:val="12"/>
          <w:sz w:val="17"/>
        </w:rPr>
        <w:t> </w:t>
      </w:r>
      <w:r>
        <w:rPr>
          <w:rFonts w:ascii="Calibri" w:hAnsi="Calibri"/>
          <w:color w:val="231F20"/>
          <w:sz w:val="17"/>
        </w:rPr>
        <w:t>qui</w:t>
      </w:r>
      <w:r>
        <w:rPr>
          <w:rFonts w:ascii="Calibri" w:hAnsi="Calibri"/>
          <w:color w:val="231F20"/>
          <w:spacing w:val="12"/>
          <w:sz w:val="17"/>
        </w:rPr>
        <w:t> </w:t>
      </w:r>
      <w:r>
        <w:rPr>
          <w:rFonts w:ascii="Calibri" w:hAnsi="Calibri"/>
          <w:color w:val="231F20"/>
          <w:sz w:val="17"/>
        </w:rPr>
        <w:t>trattando</w:t>
      </w:r>
      <w:r>
        <w:rPr>
          <w:rFonts w:ascii="Calibri" w:hAnsi="Calibri"/>
          <w:color w:val="231F20"/>
          <w:spacing w:val="12"/>
          <w:sz w:val="17"/>
        </w:rPr>
        <w:t> </w:t>
      </w:r>
      <w:r>
        <w:rPr>
          <w:rFonts w:ascii="Calibri" w:hAnsi="Calibri"/>
          <w:color w:val="231F20"/>
          <w:sz w:val="17"/>
        </w:rPr>
        <w:t>da</w:t>
      </w:r>
      <w:r>
        <w:rPr>
          <w:rFonts w:ascii="Calibri" w:hAnsi="Calibri"/>
          <w:color w:val="231F20"/>
          <w:spacing w:val="12"/>
          <w:sz w:val="17"/>
        </w:rPr>
        <w:t> </w:t>
      </w:r>
      <w:r>
        <w:rPr>
          <w:rFonts w:ascii="Calibri" w:hAnsi="Calibri"/>
          <w:color w:val="231F20"/>
          <w:sz w:val="17"/>
        </w:rPr>
        <w:t>ogni</w:t>
      </w:r>
      <w:r>
        <w:rPr>
          <w:rFonts w:ascii="Calibri" w:hAnsi="Calibri"/>
          <w:color w:val="231F20"/>
          <w:spacing w:val="12"/>
          <w:sz w:val="17"/>
        </w:rPr>
        <w:t> </w:t>
      </w:r>
      <w:r>
        <w:rPr>
          <w:rFonts w:ascii="Calibri" w:hAnsi="Calibri"/>
          <w:color w:val="231F20"/>
          <w:sz w:val="17"/>
        </w:rPr>
        <w:t>altra</w:t>
      </w:r>
      <w:r>
        <w:rPr>
          <w:rFonts w:ascii="Calibri" w:hAnsi="Calibri"/>
          <w:color w:val="231F20"/>
          <w:spacing w:val="12"/>
          <w:sz w:val="17"/>
        </w:rPr>
        <w:t> </w:t>
      </w:r>
      <w:r>
        <w:rPr>
          <w:rFonts w:ascii="Calibri" w:hAnsi="Calibri"/>
          <w:color w:val="231F20"/>
          <w:sz w:val="17"/>
        </w:rPr>
        <w:t>forma</w:t>
      </w:r>
      <w:r>
        <w:rPr>
          <w:rFonts w:ascii="Calibri" w:hAnsi="Calibri"/>
          <w:color w:val="231F20"/>
          <w:spacing w:val="12"/>
          <w:sz w:val="17"/>
        </w:rPr>
        <w:t> </w:t>
      </w:r>
      <w:r>
        <w:rPr>
          <w:rFonts w:ascii="Calibri" w:hAnsi="Calibri"/>
          <w:color w:val="231F20"/>
          <w:sz w:val="17"/>
        </w:rPr>
        <w:t>storica</w:t>
      </w:r>
      <w:r>
        <w:rPr>
          <w:rFonts w:ascii="Calibri" w:hAnsi="Calibri"/>
          <w:color w:val="231F20"/>
          <w:spacing w:val="12"/>
          <w:sz w:val="17"/>
        </w:rPr>
        <w:t> </w:t>
      </w:r>
      <w:r>
        <w:rPr>
          <w:rFonts w:ascii="Calibri" w:hAnsi="Calibri"/>
          <w:color w:val="231F20"/>
          <w:sz w:val="17"/>
        </w:rPr>
        <w:t>di</w:t>
      </w:r>
      <w:r>
        <w:rPr>
          <w:rFonts w:ascii="Calibri" w:hAnsi="Calibri"/>
          <w:color w:val="231F20"/>
          <w:spacing w:val="12"/>
          <w:sz w:val="17"/>
        </w:rPr>
        <w:t> </w:t>
      </w:r>
      <w:r>
        <w:rPr>
          <w:rFonts w:ascii="Calibri" w:hAnsi="Calibri"/>
          <w:color w:val="231F20"/>
          <w:sz w:val="17"/>
        </w:rPr>
        <w:t>quest’ultimo.</w:t>
      </w:r>
    </w:p>
    <w:p>
      <w:pPr>
        <w:spacing w:line="204" w:lineRule="exact" w:before="0"/>
        <w:ind w:left="117" w:right="122" w:firstLine="0"/>
        <w:jc w:val="both"/>
        <w:rPr>
          <w:rFonts w:ascii="Calibri" w:hAnsi="Calibri"/>
          <w:sz w:val="17"/>
        </w:rPr>
      </w:pPr>
      <w:r>
        <w:rPr>
          <w:rFonts w:ascii="Calibri" w:hAnsi="Calibri"/>
          <w:color w:val="231F20"/>
          <w:position w:val="6"/>
          <w:sz w:val="10"/>
        </w:rPr>
        <w:t>3 </w:t>
      </w:r>
      <w:r>
        <w:rPr>
          <w:rFonts w:ascii="Calibri" w:hAnsi="Calibri"/>
          <w:color w:val="231F20"/>
          <w:spacing w:val="-10"/>
          <w:sz w:val="17"/>
        </w:rPr>
        <w:t>P.  </w:t>
      </w:r>
      <w:r>
        <w:rPr>
          <w:rFonts w:ascii="Calibri" w:hAnsi="Calibri"/>
          <w:color w:val="231F20"/>
          <w:sz w:val="17"/>
        </w:rPr>
        <w:t>Schiera,  Presentazione  del volume  </w:t>
      </w:r>
      <w:r>
        <w:rPr>
          <w:rFonts w:ascii="Calibri" w:hAnsi="Calibri"/>
          <w:i/>
          <w:color w:val="231F20"/>
          <w:sz w:val="17"/>
        </w:rPr>
        <w:t>Origini dello Stato. Processi di formazione statale in Italia  </w:t>
      </w:r>
      <w:r>
        <w:rPr>
          <w:rFonts w:ascii="Calibri" w:hAnsi="Calibri"/>
          <w:i/>
          <w:color w:val="231F20"/>
          <w:sz w:val="17"/>
        </w:rPr>
        <w:t>fra medioevo ed età moderna</w:t>
      </w:r>
      <w:r>
        <w:rPr>
          <w:rFonts w:ascii="Calibri" w:hAnsi="Calibri"/>
          <w:color w:val="231F20"/>
          <w:sz w:val="17"/>
        </w:rPr>
        <w:t>, a cura di Giorgio Chittolini - Anthony Molho - Pierangelo Schiera, Bologna, il Mulino,</w:t>
      </w:r>
      <w:r>
        <w:rPr>
          <w:rFonts w:ascii="Calibri" w:hAnsi="Calibri"/>
          <w:color w:val="231F20"/>
          <w:spacing w:val="9"/>
          <w:sz w:val="17"/>
        </w:rPr>
        <w:t> </w:t>
      </w:r>
      <w:r>
        <w:rPr>
          <w:rFonts w:ascii="Calibri" w:hAnsi="Calibri"/>
          <w:color w:val="231F20"/>
          <w:sz w:val="17"/>
        </w:rPr>
        <w:t>1994.</w:t>
      </w:r>
    </w:p>
    <w:p>
      <w:pPr>
        <w:spacing w:after="0" w:line="204" w:lineRule="exact"/>
        <w:jc w:val="both"/>
        <w:rPr>
          <w:rFonts w:ascii="Calibri" w:hAnsi="Calibri"/>
          <w:sz w:val="17"/>
        </w:rPr>
        <w:sectPr>
          <w:pgSz w:w="9640" w:h="13890"/>
          <w:pgMar w:top="1300" w:bottom="280" w:left="1300" w:right="1180"/>
        </w:sectPr>
      </w:pPr>
    </w:p>
    <w:p>
      <w:pPr>
        <w:pStyle w:val="BodyText"/>
        <w:spacing w:line="247" w:lineRule="auto" w:before="107"/>
        <w:ind w:left="103" w:right="111"/>
        <w:jc w:val="both"/>
      </w:pPr>
      <w:r>
        <w:rPr>
          <w:color w:val="231F20"/>
          <w:w w:val="105"/>
        </w:rPr>
        <w:t>Il</w:t>
      </w:r>
      <w:r>
        <w:rPr>
          <w:color w:val="231F20"/>
          <w:spacing w:val="-16"/>
          <w:w w:val="105"/>
        </w:rPr>
        <w:t> </w:t>
      </w:r>
      <w:r>
        <w:rPr>
          <w:color w:val="231F20"/>
          <w:w w:val="105"/>
        </w:rPr>
        <w:t>punto</w:t>
      </w:r>
      <w:r>
        <w:rPr>
          <w:color w:val="231F20"/>
          <w:spacing w:val="-16"/>
          <w:w w:val="105"/>
        </w:rPr>
        <w:t> </w:t>
      </w:r>
      <w:r>
        <w:rPr>
          <w:color w:val="231F20"/>
          <w:w w:val="105"/>
        </w:rPr>
        <w:t>è</w:t>
      </w:r>
      <w:r>
        <w:rPr>
          <w:color w:val="231F20"/>
          <w:spacing w:val="-16"/>
          <w:w w:val="105"/>
        </w:rPr>
        <w:t> </w:t>
      </w:r>
      <w:r>
        <w:rPr>
          <w:color w:val="231F20"/>
          <w:w w:val="105"/>
        </w:rPr>
        <w:t>invece</w:t>
      </w:r>
      <w:r>
        <w:rPr>
          <w:color w:val="231F20"/>
          <w:spacing w:val="-16"/>
          <w:w w:val="105"/>
        </w:rPr>
        <w:t> </w:t>
      </w:r>
      <w:r>
        <w:rPr>
          <w:color w:val="231F20"/>
          <w:w w:val="105"/>
        </w:rPr>
        <w:t>che</w:t>
      </w:r>
      <w:r>
        <w:rPr>
          <w:color w:val="231F20"/>
          <w:spacing w:val="-16"/>
          <w:w w:val="105"/>
        </w:rPr>
        <w:t> </w:t>
      </w:r>
      <w:r>
        <w:rPr>
          <w:color w:val="231F20"/>
          <w:w w:val="105"/>
        </w:rPr>
        <w:t>la</w:t>
      </w:r>
      <w:r>
        <w:rPr>
          <w:color w:val="231F20"/>
          <w:spacing w:val="-16"/>
          <w:w w:val="105"/>
        </w:rPr>
        <w:t> </w:t>
      </w:r>
      <w:r>
        <w:rPr>
          <w:color w:val="231F20"/>
          <w:w w:val="105"/>
        </w:rPr>
        <w:t>nostra</w:t>
      </w:r>
      <w:r>
        <w:rPr>
          <w:color w:val="231F20"/>
          <w:spacing w:val="-16"/>
          <w:w w:val="105"/>
        </w:rPr>
        <w:t> </w:t>
      </w:r>
      <w:r>
        <w:rPr>
          <w:color w:val="231F20"/>
          <w:w w:val="105"/>
        </w:rPr>
        <w:t>visione</w:t>
      </w:r>
      <w:r>
        <w:rPr>
          <w:color w:val="231F20"/>
          <w:spacing w:val="-16"/>
          <w:w w:val="105"/>
        </w:rPr>
        <w:t> </w:t>
      </w:r>
      <w:r>
        <w:rPr>
          <w:color w:val="231F20"/>
          <w:w w:val="105"/>
        </w:rPr>
        <w:t>del</w:t>
      </w:r>
      <w:r>
        <w:rPr>
          <w:color w:val="231F20"/>
          <w:spacing w:val="-16"/>
          <w:w w:val="105"/>
        </w:rPr>
        <w:t> </w:t>
      </w:r>
      <w:r>
        <w:rPr>
          <w:color w:val="231F20"/>
          <w:w w:val="105"/>
        </w:rPr>
        <w:t>problema</w:t>
      </w:r>
      <w:r>
        <w:rPr>
          <w:color w:val="231F20"/>
          <w:spacing w:val="-16"/>
          <w:w w:val="105"/>
        </w:rPr>
        <w:t> </w:t>
      </w:r>
      <w:r>
        <w:rPr>
          <w:color w:val="231F20"/>
          <w:w w:val="105"/>
        </w:rPr>
        <w:t>Stato</w:t>
      </w:r>
      <w:r>
        <w:rPr>
          <w:color w:val="231F20"/>
          <w:spacing w:val="-16"/>
          <w:w w:val="105"/>
        </w:rPr>
        <w:t> </w:t>
      </w:r>
      <w:r>
        <w:rPr>
          <w:color w:val="231F20"/>
          <w:w w:val="105"/>
        </w:rPr>
        <w:t>è</w:t>
      </w:r>
      <w:r>
        <w:rPr>
          <w:color w:val="231F20"/>
          <w:spacing w:val="-16"/>
          <w:w w:val="105"/>
        </w:rPr>
        <w:t> </w:t>
      </w:r>
      <w:r>
        <w:rPr>
          <w:color w:val="231F20"/>
          <w:w w:val="105"/>
        </w:rPr>
        <w:t>strettamente appiattita sulla visione liberale del mondo che riporta tutto al </w:t>
      </w:r>
      <w:r>
        <w:rPr>
          <w:color w:val="231F20"/>
          <w:spacing w:val="2"/>
          <w:w w:val="105"/>
        </w:rPr>
        <w:t>modello </w:t>
      </w:r>
      <w:r>
        <w:rPr>
          <w:color w:val="231F20"/>
          <w:w w:val="105"/>
        </w:rPr>
        <w:t>classico</w:t>
      </w:r>
      <w:r>
        <w:rPr>
          <w:color w:val="231F20"/>
          <w:spacing w:val="-34"/>
          <w:w w:val="105"/>
        </w:rPr>
        <w:t> </w:t>
      </w:r>
      <w:r>
        <w:rPr>
          <w:color w:val="231F20"/>
          <w:w w:val="105"/>
        </w:rPr>
        <w:t>dello</w:t>
      </w:r>
      <w:r>
        <w:rPr>
          <w:color w:val="231F20"/>
          <w:spacing w:val="-34"/>
          <w:w w:val="105"/>
        </w:rPr>
        <w:t> </w:t>
      </w:r>
      <w:r>
        <w:rPr>
          <w:color w:val="231F20"/>
          <w:w w:val="105"/>
        </w:rPr>
        <w:t>Stato</w:t>
      </w:r>
      <w:r>
        <w:rPr>
          <w:color w:val="231F20"/>
          <w:spacing w:val="-34"/>
          <w:w w:val="105"/>
        </w:rPr>
        <w:t> </w:t>
      </w:r>
      <w:r>
        <w:rPr>
          <w:color w:val="231F20"/>
          <w:w w:val="105"/>
        </w:rPr>
        <w:t>di</w:t>
      </w:r>
      <w:r>
        <w:rPr>
          <w:color w:val="231F20"/>
          <w:spacing w:val="-34"/>
          <w:w w:val="105"/>
        </w:rPr>
        <w:t> </w:t>
      </w:r>
      <w:r>
        <w:rPr>
          <w:color w:val="231F20"/>
          <w:w w:val="105"/>
        </w:rPr>
        <w:t>diritto,</w:t>
      </w:r>
      <w:r>
        <w:rPr>
          <w:color w:val="231F20"/>
          <w:spacing w:val="-34"/>
          <w:w w:val="105"/>
        </w:rPr>
        <w:t> </w:t>
      </w:r>
      <w:r>
        <w:rPr>
          <w:color w:val="231F20"/>
          <w:w w:val="105"/>
        </w:rPr>
        <w:t>ad</w:t>
      </w:r>
      <w:r>
        <w:rPr>
          <w:color w:val="231F20"/>
          <w:spacing w:val="-34"/>
          <w:w w:val="105"/>
        </w:rPr>
        <w:t> </w:t>
      </w:r>
      <w:r>
        <w:rPr>
          <w:color w:val="231F20"/>
          <w:w w:val="105"/>
        </w:rPr>
        <w:t>esclusiva</w:t>
      </w:r>
      <w:r>
        <w:rPr>
          <w:color w:val="231F20"/>
          <w:spacing w:val="-34"/>
          <w:w w:val="105"/>
        </w:rPr>
        <w:t> </w:t>
      </w:r>
      <w:r>
        <w:rPr>
          <w:color w:val="231F20"/>
          <w:w w:val="105"/>
        </w:rPr>
        <w:t>connotazione</w:t>
      </w:r>
      <w:r>
        <w:rPr>
          <w:color w:val="231F20"/>
          <w:spacing w:val="-34"/>
          <w:w w:val="105"/>
        </w:rPr>
        <w:t> </w:t>
      </w:r>
      <w:r>
        <w:rPr>
          <w:color w:val="231F20"/>
          <w:w w:val="105"/>
        </w:rPr>
        <w:t>parlamentare,</w:t>
      </w:r>
      <w:r>
        <w:rPr>
          <w:color w:val="231F20"/>
          <w:spacing w:val="-34"/>
          <w:w w:val="105"/>
        </w:rPr>
        <w:t> </w:t>
      </w:r>
      <w:r>
        <w:rPr>
          <w:color w:val="231F20"/>
          <w:w w:val="105"/>
        </w:rPr>
        <w:t>con </w:t>
      </w:r>
      <w:r>
        <w:rPr>
          <w:color w:val="231F20"/>
        </w:rPr>
        <w:t>eventuale</w:t>
      </w:r>
      <w:r>
        <w:rPr>
          <w:color w:val="231F20"/>
          <w:spacing w:val="-26"/>
        </w:rPr>
        <w:t> </w:t>
      </w:r>
      <w:r>
        <w:rPr>
          <w:color w:val="231F20"/>
        </w:rPr>
        <w:t>apertura</w:t>
      </w:r>
      <w:r>
        <w:rPr>
          <w:color w:val="231F20"/>
          <w:spacing w:val="-26"/>
        </w:rPr>
        <w:t> </w:t>
      </w:r>
      <w:r>
        <w:rPr>
          <w:color w:val="231F20"/>
        </w:rPr>
        <w:t>al</w:t>
      </w:r>
      <w:r>
        <w:rPr>
          <w:color w:val="231F20"/>
          <w:spacing w:val="-26"/>
        </w:rPr>
        <w:t> </w:t>
      </w:r>
      <w:r>
        <w:rPr>
          <w:color w:val="231F20"/>
          <w:spacing w:val="-3"/>
        </w:rPr>
        <w:t>carattere</w:t>
      </w:r>
      <w:r>
        <w:rPr>
          <w:color w:val="231F20"/>
          <w:spacing w:val="-26"/>
        </w:rPr>
        <w:t> </w:t>
      </w:r>
      <w:r>
        <w:rPr>
          <w:color w:val="231F20"/>
        </w:rPr>
        <w:t>democratico–sociale</w:t>
      </w:r>
      <w:r>
        <w:rPr>
          <w:color w:val="231F20"/>
          <w:spacing w:val="-26"/>
        </w:rPr>
        <w:t> </w:t>
      </w:r>
      <w:r>
        <w:rPr>
          <w:color w:val="231F20"/>
        </w:rPr>
        <w:t>sviluppatosi</w:t>
      </w:r>
      <w:r>
        <w:rPr>
          <w:color w:val="231F20"/>
          <w:spacing w:val="-26"/>
        </w:rPr>
        <w:t> </w:t>
      </w:r>
      <w:r>
        <w:rPr>
          <w:color w:val="231F20"/>
        </w:rPr>
        <w:t>verso</w:t>
      </w:r>
      <w:r>
        <w:rPr>
          <w:color w:val="231F20"/>
          <w:spacing w:val="-26"/>
        </w:rPr>
        <w:t> </w:t>
      </w:r>
      <w:r>
        <w:rPr>
          <w:color w:val="231F20"/>
        </w:rPr>
        <w:t>la</w:t>
      </w:r>
      <w:r>
        <w:rPr>
          <w:color w:val="231F20"/>
          <w:spacing w:val="-26"/>
        </w:rPr>
        <w:t> </w:t>
      </w:r>
      <w:r>
        <w:rPr>
          <w:color w:val="231F20"/>
        </w:rPr>
        <w:t>fine </w:t>
      </w:r>
      <w:r>
        <w:rPr>
          <w:color w:val="231F20"/>
          <w:w w:val="105"/>
        </w:rPr>
        <w:t>dell’Ottocento.</w:t>
      </w:r>
      <w:r>
        <w:rPr>
          <w:color w:val="231F20"/>
          <w:spacing w:val="-41"/>
          <w:w w:val="105"/>
        </w:rPr>
        <w:t> </w:t>
      </w:r>
      <w:r>
        <w:rPr>
          <w:color w:val="231F20"/>
          <w:w w:val="105"/>
        </w:rPr>
        <w:t>Ciò</w:t>
      </w:r>
      <w:r>
        <w:rPr>
          <w:color w:val="231F20"/>
          <w:spacing w:val="-41"/>
          <w:w w:val="105"/>
        </w:rPr>
        <w:t> </w:t>
      </w:r>
      <w:r>
        <w:rPr>
          <w:color w:val="231F20"/>
          <w:w w:val="105"/>
        </w:rPr>
        <w:t>coincide</w:t>
      </w:r>
      <w:r>
        <w:rPr>
          <w:color w:val="231F20"/>
          <w:spacing w:val="-41"/>
          <w:w w:val="105"/>
        </w:rPr>
        <w:t> </w:t>
      </w:r>
      <w:r>
        <w:rPr>
          <w:color w:val="231F20"/>
          <w:w w:val="105"/>
        </w:rPr>
        <w:t>in</w:t>
      </w:r>
      <w:r>
        <w:rPr>
          <w:color w:val="231F20"/>
          <w:spacing w:val="-41"/>
          <w:w w:val="105"/>
        </w:rPr>
        <w:t> </w:t>
      </w:r>
      <w:r>
        <w:rPr>
          <w:color w:val="231F20"/>
          <w:spacing w:val="-3"/>
          <w:w w:val="105"/>
        </w:rPr>
        <w:t>larga</w:t>
      </w:r>
      <w:r>
        <w:rPr>
          <w:color w:val="231F20"/>
          <w:spacing w:val="-41"/>
          <w:w w:val="105"/>
        </w:rPr>
        <w:t> </w:t>
      </w:r>
      <w:r>
        <w:rPr>
          <w:color w:val="231F20"/>
          <w:w w:val="105"/>
        </w:rPr>
        <w:t>misura</w:t>
      </w:r>
      <w:r>
        <w:rPr>
          <w:color w:val="231F20"/>
          <w:spacing w:val="-41"/>
          <w:w w:val="105"/>
        </w:rPr>
        <w:t> </w:t>
      </w:r>
      <w:r>
        <w:rPr>
          <w:color w:val="231F20"/>
          <w:w w:val="105"/>
        </w:rPr>
        <w:t>con</w:t>
      </w:r>
      <w:r>
        <w:rPr>
          <w:color w:val="231F20"/>
          <w:spacing w:val="-41"/>
          <w:w w:val="105"/>
        </w:rPr>
        <w:t> </w:t>
      </w:r>
      <w:r>
        <w:rPr>
          <w:color w:val="231F20"/>
          <w:w w:val="105"/>
        </w:rPr>
        <w:t>la</w:t>
      </w:r>
      <w:r>
        <w:rPr>
          <w:color w:val="231F20"/>
          <w:spacing w:val="-41"/>
          <w:w w:val="105"/>
        </w:rPr>
        <w:t> </w:t>
      </w:r>
      <w:r>
        <w:rPr>
          <w:color w:val="231F20"/>
          <w:w w:val="105"/>
        </w:rPr>
        <w:t>tendenza</w:t>
      </w:r>
      <w:r>
        <w:rPr>
          <w:color w:val="231F20"/>
          <w:spacing w:val="-41"/>
          <w:w w:val="105"/>
        </w:rPr>
        <w:t> </w:t>
      </w:r>
      <w:r>
        <w:rPr>
          <w:color w:val="231F20"/>
          <w:w w:val="105"/>
        </w:rPr>
        <w:t>a</w:t>
      </w:r>
      <w:r>
        <w:rPr>
          <w:color w:val="231F20"/>
          <w:spacing w:val="-41"/>
          <w:w w:val="105"/>
        </w:rPr>
        <w:t> </w:t>
      </w:r>
      <w:r>
        <w:rPr>
          <w:color w:val="231F20"/>
          <w:spacing w:val="-3"/>
          <w:w w:val="105"/>
        </w:rPr>
        <w:t>considerare</w:t>
      </w:r>
      <w:r>
        <w:rPr>
          <w:color w:val="231F20"/>
          <w:spacing w:val="-41"/>
          <w:w w:val="105"/>
        </w:rPr>
        <w:t> </w:t>
      </w:r>
      <w:r>
        <w:rPr>
          <w:color w:val="231F20"/>
          <w:w w:val="105"/>
        </w:rPr>
        <w:t>lo Stato</w:t>
      </w:r>
      <w:r>
        <w:rPr>
          <w:color w:val="231F20"/>
          <w:spacing w:val="-42"/>
          <w:w w:val="105"/>
        </w:rPr>
        <w:t> </w:t>
      </w:r>
      <w:r>
        <w:rPr>
          <w:color w:val="231F20"/>
          <w:w w:val="105"/>
        </w:rPr>
        <w:t>come</w:t>
      </w:r>
      <w:r>
        <w:rPr>
          <w:color w:val="231F20"/>
          <w:spacing w:val="-42"/>
          <w:w w:val="105"/>
        </w:rPr>
        <w:t> </w:t>
      </w:r>
      <w:r>
        <w:rPr>
          <w:color w:val="231F20"/>
          <w:w w:val="105"/>
        </w:rPr>
        <w:t>un</w:t>
      </w:r>
      <w:r>
        <w:rPr>
          <w:color w:val="231F20"/>
          <w:spacing w:val="-42"/>
          <w:w w:val="105"/>
        </w:rPr>
        <w:t> </w:t>
      </w:r>
      <w:r>
        <w:rPr>
          <w:color w:val="231F20"/>
          <w:w w:val="105"/>
        </w:rPr>
        <w:t>“complessivo”</w:t>
      </w:r>
      <w:r>
        <w:rPr>
          <w:color w:val="231F20"/>
          <w:spacing w:val="-42"/>
          <w:w w:val="105"/>
        </w:rPr>
        <w:t> </w:t>
      </w:r>
      <w:r>
        <w:rPr>
          <w:color w:val="231F20"/>
          <w:w w:val="105"/>
        </w:rPr>
        <w:t>simbolico,</w:t>
      </w:r>
      <w:r>
        <w:rPr>
          <w:color w:val="231F20"/>
          <w:spacing w:val="-42"/>
          <w:w w:val="105"/>
        </w:rPr>
        <w:t> </w:t>
      </w:r>
      <w:r>
        <w:rPr>
          <w:color w:val="231F20"/>
          <w:w w:val="105"/>
        </w:rPr>
        <w:t>oltre</w:t>
      </w:r>
      <w:r>
        <w:rPr>
          <w:color w:val="231F20"/>
          <w:spacing w:val="-42"/>
          <w:w w:val="105"/>
        </w:rPr>
        <w:t> </w:t>
      </w:r>
      <w:r>
        <w:rPr>
          <w:color w:val="231F20"/>
          <w:w w:val="105"/>
        </w:rPr>
        <w:t>e</w:t>
      </w:r>
      <w:r>
        <w:rPr>
          <w:color w:val="231F20"/>
          <w:spacing w:val="-42"/>
          <w:w w:val="105"/>
        </w:rPr>
        <w:t> </w:t>
      </w:r>
      <w:r>
        <w:rPr>
          <w:color w:val="231F20"/>
          <w:w w:val="105"/>
        </w:rPr>
        <w:t>prima</w:t>
      </w:r>
      <w:r>
        <w:rPr>
          <w:color w:val="231F20"/>
          <w:spacing w:val="-42"/>
          <w:w w:val="105"/>
        </w:rPr>
        <w:t> </w:t>
      </w:r>
      <w:r>
        <w:rPr>
          <w:color w:val="231F20"/>
          <w:w w:val="105"/>
        </w:rPr>
        <w:t>che</w:t>
      </w:r>
      <w:r>
        <w:rPr>
          <w:color w:val="231F20"/>
          <w:spacing w:val="-42"/>
          <w:w w:val="105"/>
        </w:rPr>
        <w:t> </w:t>
      </w:r>
      <w:r>
        <w:rPr>
          <w:color w:val="231F20"/>
          <w:w w:val="105"/>
        </w:rPr>
        <w:t>istituzionale.</w:t>
      </w:r>
      <w:r>
        <w:rPr>
          <w:color w:val="231F20"/>
          <w:spacing w:val="-42"/>
          <w:w w:val="105"/>
        </w:rPr>
        <w:t> </w:t>
      </w:r>
      <w:r>
        <w:rPr>
          <w:color w:val="231F20"/>
          <w:w w:val="105"/>
        </w:rPr>
        <w:t>Non si</w:t>
      </w:r>
      <w:r>
        <w:rPr>
          <w:color w:val="231F20"/>
          <w:spacing w:val="-29"/>
          <w:w w:val="105"/>
        </w:rPr>
        <w:t> </w:t>
      </w:r>
      <w:r>
        <w:rPr>
          <w:color w:val="231F20"/>
          <w:w w:val="105"/>
        </w:rPr>
        <w:t>dà</w:t>
      </w:r>
      <w:r>
        <w:rPr>
          <w:color w:val="231F20"/>
          <w:spacing w:val="-29"/>
          <w:w w:val="105"/>
        </w:rPr>
        <w:t> </w:t>
      </w:r>
      <w:r>
        <w:rPr>
          <w:color w:val="231F20"/>
          <w:w w:val="105"/>
        </w:rPr>
        <w:t>però</w:t>
      </w:r>
      <w:r>
        <w:rPr>
          <w:color w:val="231F20"/>
          <w:spacing w:val="-29"/>
          <w:w w:val="105"/>
        </w:rPr>
        <w:t> </w:t>
      </w:r>
      <w:r>
        <w:rPr>
          <w:color w:val="231F20"/>
          <w:w w:val="105"/>
        </w:rPr>
        <w:t>sistema</w:t>
      </w:r>
      <w:r>
        <w:rPr>
          <w:color w:val="231F20"/>
          <w:spacing w:val="-29"/>
          <w:w w:val="105"/>
        </w:rPr>
        <w:t> </w:t>
      </w:r>
      <w:r>
        <w:rPr>
          <w:color w:val="231F20"/>
          <w:w w:val="105"/>
        </w:rPr>
        <w:t>simbolico</w:t>
      </w:r>
      <w:r>
        <w:rPr>
          <w:color w:val="231F20"/>
          <w:spacing w:val="-29"/>
          <w:w w:val="105"/>
        </w:rPr>
        <w:t> </w:t>
      </w:r>
      <w:r>
        <w:rPr>
          <w:color w:val="231F20"/>
          <w:w w:val="105"/>
        </w:rPr>
        <w:t>senza</w:t>
      </w:r>
      <w:r>
        <w:rPr>
          <w:color w:val="231F20"/>
          <w:spacing w:val="-29"/>
          <w:w w:val="105"/>
        </w:rPr>
        <w:t> </w:t>
      </w:r>
      <w:r>
        <w:rPr>
          <w:color w:val="231F20"/>
          <w:w w:val="105"/>
        </w:rPr>
        <w:t>potere</w:t>
      </w:r>
      <w:r>
        <w:rPr>
          <w:color w:val="231F20"/>
          <w:spacing w:val="-29"/>
          <w:w w:val="105"/>
        </w:rPr>
        <w:t> </w:t>
      </w:r>
      <w:r>
        <w:rPr>
          <w:color w:val="231F20"/>
          <w:w w:val="105"/>
        </w:rPr>
        <w:t>effettivo,</w:t>
      </w:r>
      <w:r>
        <w:rPr>
          <w:color w:val="231F20"/>
          <w:spacing w:val="-29"/>
          <w:w w:val="105"/>
        </w:rPr>
        <w:t> </w:t>
      </w:r>
      <w:r>
        <w:rPr>
          <w:color w:val="231F20"/>
          <w:w w:val="105"/>
        </w:rPr>
        <w:t>cioè</w:t>
      </w:r>
      <w:r>
        <w:rPr>
          <w:color w:val="231F20"/>
          <w:spacing w:val="-29"/>
          <w:w w:val="105"/>
        </w:rPr>
        <w:t> </w:t>
      </w:r>
      <w:r>
        <w:rPr>
          <w:color w:val="231F20"/>
          <w:w w:val="105"/>
        </w:rPr>
        <w:t>senza</w:t>
      </w:r>
      <w:r>
        <w:rPr>
          <w:color w:val="231F20"/>
          <w:spacing w:val="-29"/>
          <w:w w:val="105"/>
        </w:rPr>
        <w:t> </w:t>
      </w:r>
      <w:r>
        <w:rPr>
          <w:color w:val="231F20"/>
          <w:w w:val="105"/>
        </w:rPr>
        <w:t>riferimento alla</w:t>
      </w:r>
      <w:r>
        <w:rPr>
          <w:color w:val="231F20"/>
          <w:spacing w:val="-32"/>
          <w:w w:val="105"/>
        </w:rPr>
        <w:t> </w:t>
      </w:r>
      <w:r>
        <w:rPr>
          <w:color w:val="231F20"/>
          <w:w w:val="105"/>
        </w:rPr>
        <w:t>politica</w:t>
      </w:r>
      <w:r>
        <w:rPr>
          <w:color w:val="231F20"/>
          <w:w w:val="105"/>
          <w:position w:val="7"/>
          <w:sz w:val="12"/>
        </w:rPr>
        <w:t>4</w:t>
      </w:r>
      <w:r>
        <w:rPr>
          <w:color w:val="231F20"/>
          <w:w w:val="105"/>
        </w:rPr>
        <w:t>.</w:t>
      </w:r>
      <w:r>
        <w:rPr>
          <w:color w:val="231F20"/>
          <w:spacing w:val="-32"/>
          <w:w w:val="105"/>
        </w:rPr>
        <w:t> </w:t>
      </w:r>
      <w:r>
        <w:rPr>
          <w:color w:val="231F20"/>
          <w:w w:val="105"/>
        </w:rPr>
        <w:t>È</w:t>
      </w:r>
      <w:r>
        <w:rPr>
          <w:color w:val="231F20"/>
          <w:spacing w:val="-32"/>
          <w:w w:val="105"/>
        </w:rPr>
        <w:t> </w:t>
      </w:r>
      <w:r>
        <w:rPr>
          <w:color w:val="231F20"/>
          <w:w w:val="105"/>
        </w:rPr>
        <w:t>dentro</w:t>
      </w:r>
      <w:r>
        <w:rPr>
          <w:color w:val="231F20"/>
          <w:spacing w:val="-32"/>
          <w:w w:val="105"/>
        </w:rPr>
        <w:t> </w:t>
      </w:r>
      <w:r>
        <w:rPr>
          <w:color w:val="231F20"/>
          <w:w w:val="105"/>
        </w:rPr>
        <w:t>a</w:t>
      </w:r>
      <w:r>
        <w:rPr>
          <w:color w:val="231F20"/>
          <w:spacing w:val="-32"/>
          <w:w w:val="105"/>
        </w:rPr>
        <w:t> </w:t>
      </w:r>
      <w:r>
        <w:rPr>
          <w:color w:val="231F20"/>
          <w:w w:val="105"/>
        </w:rPr>
        <w:t>questa</w:t>
      </w:r>
      <w:r>
        <w:rPr>
          <w:color w:val="231F20"/>
          <w:spacing w:val="-32"/>
          <w:w w:val="105"/>
        </w:rPr>
        <w:t> </w:t>
      </w:r>
      <w:r>
        <w:rPr>
          <w:color w:val="231F20"/>
          <w:w w:val="105"/>
        </w:rPr>
        <w:t>forbice</w:t>
      </w:r>
      <w:r>
        <w:rPr>
          <w:color w:val="231F20"/>
          <w:spacing w:val="-32"/>
          <w:w w:val="105"/>
        </w:rPr>
        <w:t> </w:t>
      </w:r>
      <w:r>
        <w:rPr>
          <w:color w:val="231F20"/>
          <w:w w:val="105"/>
        </w:rPr>
        <w:t>che</w:t>
      </w:r>
      <w:r>
        <w:rPr>
          <w:color w:val="231F20"/>
          <w:spacing w:val="-32"/>
          <w:w w:val="105"/>
        </w:rPr>
        <w:t> </w:t>
      </w:r>
      <w:r>
        <w:rPr>
          <w:color w:val="231F20"/>
          <w:w w:val="105"/>
        </w:rPr>
        <w:t>sta</w:t>
      </w:r>
      <w:r>
        <w:rPr>
          <w:color w:val="231F20"/>
          <w:spacing w:val="-32"/>
          <w:w w:val="105"/>
        </w:rPr>
        <w:t> </w:t>
      </w:r>
      <w:r>
        <w:rPr>
          <w:color w:val="231F20"/>
          <w:w w:val="105"/>
        </w:rPr>
        <w:t>anche</w:t>
      </w:r>
      <w:r>
        <w:rPr>
          <w:color w:val="231F20"/>
          <w:spacing w:val="-32"/>
          <w:w w:val="105"/>
        </w:rPr>
        <w:t> </w:t>
      </w:r>
      <w:r>
        <w:rPr>
          <w:color w:val="231F20"/>
          <w:w w:val="105"/>
        </w:rPr>
        <w:t>il</w:t>
      </w:r>
      <w:r>
        <w:rPr>
          <w:color w:val="231F20"/>
          <w:spacing w:val="-32"/>
          <w:w w:val="105"/>
        </w:rPr>
        <w:t> </w:t>
      </w:r>
      <w:r>
        <w:rPr>
          <w:color w:val="231F20"/>
          <w:w w:val="105"/>
        </w:rPr>
        <w:t>presente</w:t>
      </w:r>
      <w:r>
        <w:rPr>
          <w:color w:val="231F20"/>
          <w:spacing w:val="-32"/>
          <w:w w:val="105"/>
        </w:rPr>
        <w:t> </w:t>
      </w:r>
      <w:r>
        <w:rPr>
          <w:color w:val="231F20"/>
          <w:w w:val="105"/>
        </w:rPr>
        <w:t>stato</w:t>
      </w:r>
      <w:r>
        <w:rPr>
          <w:color w:val="231F20"/>
          <w:spacing w:val="-32"/>
          <w:w w:val="105"/>
        </w:rPr>
        <w:t> </w:t>
      </w:r>
      <w:r>
        <w:rPr>
          <w:color w:val="231F20"/>
          <w:w w:val="105"/>
        </w:rPr>
        <w:t>dello Stato.</w:t>
      </w:r>
      <w:r>
        <w:rPr>
          <w:color w:val="231F20"/>
          <w:spacing w:val="-8"/>
          <w:w w:val="105"/>
        </w:rPr>
        <w:t> </w:t>
      </w:r>
      <w:r>
        <w:rPr>
          <w:color w:val="231F20"/>
          <w:w w:val="105"/>
        </w:rPr>
        <w:t>Il</w:t>
      </w:r>
      <w:r>
        <w:rPr>
          <w:color w:val="231F20"/>
          <w:spacing w:val="-8"/>
          <w:w w:val="105"/>
        </w:rPr>
        <w:t> </w:t>
      </w:r>
      <w:r>
        <w:rPr>
          <w:color w:val="231F20"/>
          <w:w w:val="105"/>
        </w:rPr>
        <w:t>fatto</w:t>
      </w:r>
      <w:r>
        <w:rPr>
          <w:color w:val="231F20"/>
          <w:spacing w:val="-8"/>
          <w:w w:val="105"/>
        </w:rPr>
        <w:t> </w:t>
      </w:r>
      <w:r>
        <w:rPr>
          <w:color w:val="231F20"/>
          <w:w w:val="105"/>
        </w:rPr>
        <w:t>è</w:t>
      </w:r>
      <w:r>
        <w:rPr>
          <w:color w:val="231F20"/>
          <w:spacing w:val="-8"/>
          <w:w w:val="105"/>
        </w:rPr>
        <w:t> </w:t>
      </w:r>
      <w:r>
        <w:rPr>
          <w:color w:val="231F20"/>
          <w:w w:val="105"/>
        </w:rPr>
        <w:t>che</w:t>
      </w:r>
      <w:r>
        <w:rPr>
          <w:color w:val="231F20"/>
          <w:spacing w:val="-8"/>
          <w:w w:val="105"/>
        </w:rPr>
        <w:t> </w:t>
      </w:r>
      <w:r>
        <w:rPr>
          <w:color w:val="231F20"/>
          <w:w w:val="105"/>
        </w:rPr>
        <w:t>questa</w:t>
      </w:r>
      <w:r>
        <w:rPr>
          <w:color w:val="231F20"/>
          <w:spacing w:val="-8"/>
          <w:w w:val="105"/>
        </w:rPr>
        <w:t> </w:t>
      </w:r>
      <w:r>
        <w:rPr>
          <w:color w:val="231F20"/>
          <w:w w:val="105"/>
        </w:rPr>
        <w:t>forbice</w:t>
      </w:r>
      <w:r>
        <w:rPr>
          <w:color w:val="231F20"/>
          <w:spacing w:val="-8"/>
          <w:w w:val="105"/>
        </w:rPr>
        <w:t> </w:t>
      </w:r>
      <w:r>
        <w:rPr>
          <w:color w:val="231F20"/>
          <w:w w:val="105"/>
        </w:rPr>
        <w:t>si</w:t>
      </w:r>
      <w:r>
        <w:rPr>
          <w:color w:val="231F20"/>
          <w:spacing w:val="-8"/>
          <w:w w:val="105"/>
        </w:rPr>
        <w:t> </w:t>
      </w:r>
      <w:r>
        <w:rPr>
          <w:color w:val="231F20"/>
          <w:w w:val="105"/>
        </w:rPr>
        <w:t>va</w:t>
      </w:r>
      <w:r>
        <w:rPr>
          <w:color w:val="231F20"/>
          <w:spacing w:val="-8"/>
          <w:w w:val="105"/>
        </w:rPr>
        <w:t> </w:t>
      </w:r>
      <w:r>
        <w:rPr>
          <w:color w:val="231F20"/>
          <w:w w:val="105"/>
        </w:rPr>
        <w:t>allargando</w:t>
      </w:r>
      <w:r>
        <w:rPr>
          <w:color w:val="231F20"/>
          <w:spacing w:val="-8"/>
          <w:w w:val="105"/>
        </w:rPr>
        <w:t> </w:t>
      </w:r>
      <w:r>
        <w:rPr>
          <w:color w:val="231F20"/>
          <w:w w:val="105"/>
        </w:rPr>
        <w:t>da</w:t>
      </w:r>
      <w:r>
        <w:rPr>
          <w:color w:val="231F20"/>
          <w:spacing w:val="-8"/>
          <w:w w:val="105"/>
        </w:rPr>
        <w:t> </w:t>
      </w:r>
      <w:r>
        <w:rPr>
          <w:color w:val="231F20"/>
          <w:w w:val="105"/>
        </w:rPr>
        <w:t>cent’anni</w:t>
      </w:r>
      <w:r>
        <w:rPr>
          <w:color w:val="231F20"/>
          <w:spacing w:val="-8"/>
          <w:w w:val="105"/>
        </w:rPr>
        <w:t> </w:t>
      </w:r>
      <w:r>
        <w:rPr>
          <w:color w:val="231F20"/>
          <w:w w:val="105"/>
        </w:rPr>
        <w:t>e</w:t>
      </w:r>
      <w:r>
        <w:rPr>
          <w:color w:val="231F20"/>
          <w:spacing w:val="-8"/>
          <w:w w:val="105"/>
        </w:rPr>
        <w:t> </w:t>
      </w:r>
      <w:r>
        <w:rPr>
          <w:color w:val="231F20"/>
          <w:w w:val="105"/>
        </w:rPr>
        <w:t>più,</w:t>
      </w:r>
      <w:r>
        <w:rPr>
          <w:color w:val="231F20"/>
          <w:spacing w:val="-8"/>
          <w:w w:val="105"/>
        </w:rPr>
        <w:t> </w:t>
      </w:r>
      <w:r>
        <w:rPr>
          <w:color w:val="231F20"/>
          <w:w w:val="105"/>
        </w:rPr>
        <w:t>e forse</w:t>
      </w:r>
      <w:r>
        <w:rPr>
          <w:color w:val="231F20"/>
          <w:spacing w:val="-33"/>
          <w:w w:val="105"/>
        </w:rPr>
        <w:t> </w:t>
      </w:r>
      <w:r>
        <w:rPr>
          <w:color w:val="231F20"/>
          <w:w w:val="105"/>
        </w:rPr>
        <w:t>ne</w:t>
      </w:r>
      <w:r>
        <w:rPr>
          <w:color w:val="231F20"/>
          <w:spacing w:val="-33"/>
          <w:w w:val="105"/>
        </w:rPr>
        <w:t> </w:t>
      </w:r>
      <w:r>
        <w:rPr>
          <w:color w:val="231F20"/>
          <w:w w:val="105"/>
        </w:rPr>
        <w:t>siamo</w:t>
      </w:r>
      <w:r>
        <w:rPr>
          <w:color w:val="231F20"/>
          <w:spacing w:val="-33"/>
          <w:w w:val="105"/>
        </w:rPr>
        <w:t> </w:t>
      </w:r>
      <w:r>
        <w:rPr>
          <w:color w:val="231F20"/>
          <w:w w:val="105"/>
        </w:rPr>
        <w:t>anche</w:t>
      </w:r>
      <w:r>
        <w:rPr>
          <w:color w:val="231F20"/>
          <w:spacing w:val="-33"/>
          <w:w w:val="105"/>
        </w:rPr>
        <w:t> </w:t>
      </w:r>
      <w:r>
        <w:rPr>
          <w:color w:val="231F20"/>
          <w:w w:val="105"/>
        </w:rPr>
        <w:t>usciti,</w:t>
      </w:r>
      <w:r>
        <w:rPr>
          <w:color w:val="231F20"/>
          <w:spacing w:val="-33"/>
          <w:w w:val="105"/>
        </w:rPr>
        <w:t> </w:t>
      </w:r>
      <w:r>
        <w:rPr>
          <w:color w:val="231F20"/>
          <w:w w:val="105"/>
        </w:rPr>
        <w:t>ma</w:t>
      </w:r>
      <w:r>
        <w:rPr>
          <w:color w:val="231F20"/>
          <w:spacing w:val="-33"/>
          <w:w w:val="105"/>
        </w:rPr>
        <w:t> </w:t>
      </w:r>
      <w:r>
        <w:rPr>
          <w:color w:val="231F20"/>
          <w:w w:val="105"/>
        </w:rPr>
        <w:t>senza</w:t>
      </w:r>
      <w:r>
        <w:rPr>
          <w:color w:val="231F20"/>
          <w:spacing w:val="-33"/>
          <w:w w:val="105"/>
        </w:rPr>
        <w:t> </w:t>
      </w:r>
      <w:r>
        <w:rPr>
          <w:color w:val="231F20"/>
          <w:w w:val="105"/>
        </w:rPr>
        <w:t>accorgercene,</w:t>
      </w:r>
      <w:r>
        <w:rPr>
          <w:color w:val="231F20"/>
          <w:spacing w:val="-33"/>
          <w:w w:val="105"/>
        </w:rPr>
        <w:t> </w:t>
      </w:r>
      <w:r>
        <w:rPr>
          <w:color w:val="231F20"/>
          <w:w w:val="105"/>
        </w:rPr>
        <w:t>nonostante</w:t>
      </w:r>
      <w:r>
        <w:rPr>
          <w:color w:val="231F20"/>
          <w:spacing w:val="-33"/>
          <w:w w:val="105"/>
        </w:rPr>
        <w:t> </w:t>
      </w:r>
      <w:r>
        <w:rPr>
          <w:color w:val="231F20"/>
          <w:w w:val="105"/>
        </w:rPr>
        <w:t>le</w:t>
      </w:r>
      <w:r>
        <w:rPr>
          <w:color w:val="231F20"/>
          <w:spacing w:val="-33"/>
          <w:w w:val="105"/>
        </w:rPr>
        <w:t> </w:t>
      </w:r>
      <w:r>
        <w:rPr>
          <w:color w:val="231F20"/>
          <w:w w:val="105"/>
        </w:rPr>
        <w:t>piaghe e</w:t>
      </w:r>
      <w:r>
        <w:rPr>
          <w:color w:val="231F20"/>
          <w:spacing w:val="-30"/>
          <w:w w:val="105"/>
        </w:rPr>
        <w:t> </w:t>
      </w:r>
      <w:r>
        <w:rPr>
          <w:color w:val="231F20"/>
          <w:w w:val="105"/>
        </w:rPr>
        <w:t>i</w:t>
      </w:r>
      <w:r>
        <w:rPr>
          <w:color w:val="231F20"/>
          <w:spacing w:val="-31"/>
          <w:w w:val="105"/>
        </w:rPr>
        <w:t> </w:t>
      </w:r>
      <w:r>
        <w:rPr>
          <w:color w:val="231F20"/>
          <w:w w:val="105"/>
        </w:rPr>
        <w:t>genocidi</w:t>
      </w:r>
      <w:r>
        <w:rPr>
          <w:color w:val="231F20"/>
          <w:spacing w:val="-31"/>
          <w:w w:val="105"/>
        </w:rPr>
        <w:t> </w:t>
      </w:r>
      <w:r>
        <w:rPr>
          <w:color w:val="231F20"/>
          <w:w w:val="105"/>
        </w:rPr>
        <w:t>nel</w:t>
      </w:r>
      <w:r>
        <w:rPr>
          <w:color w:val="231F20"/>
          <w:spacing w:val="-30"/>
          <w:w w:val="105"/>
        </w:rPr>
        <w:t> </w:t>
      </w:r>
      <w:r>
        <w:rPr>
          <w:color w:val="231F20"/>
          <w:w w:val="105"/>
        </w:rPr>
        <w:t>frattempo</w:t>
      </w:r>
      <w:r>
        <w:rPr>
          <w:color w:val="231F20"/>
          <w:spacing w:val="-31"/>
          <w:w w:val="105"/>
        </w:rPr>
        <w:t> </w:t>
      </w:r>
      <w:r>
        <w:rPr>
          <w:color w:val="231F20"/>
          <w:w w:val="105"/>
        </w:rPr>
        <w:t>intervenuti;</w:t>
      </w:r>
      <w:r>
        <w:rPr>
          <w:color w:val="231F20"/>
          <w:spacing w:val="-30"/>
          <w:w w:val="105"/>
        </w:rPr>
        <w:t> </w:t>
      </w:r>
      <w:r>
        <w:rPr>
          <w:color w:val="231F20"/>
          <w:w w:val="105"/>
        </w:rPr>
        <w:t>e</w:t>
      </w:r>
      <w:r>
        <w:rPr>
          <w:color w:val="231F20"/>
          <w:spacing w:val="-30"/>
          <w:w w:val="105"/>
        </w:rPr>
        <w:t> </w:t>
      </w:r>
      <w:r>
        <w:rPr>
          <w:color w:val="231F20"/>
          <w:w w:val="105"/>
        </w:rPr>
        <w:t>nonostante</w:t>
      </w:r>
      <w:r>
        <w:rPr>
          <w:color w:val="231F20"/>
          <w:spacing w:val="-31"/>
          <w:w w:val="105"/>
        </w:rPr>
        <w:t> </w:t>
      </w:r>
      <w:r>
        <w:rPr>
          <w:color w:val="231F20"/>
          <w:w w:val="105"/>
        </w:rPr>
        <w:t>i</w:t>
      </w:r>
      <w:r>
        <w:rPr>
          <w:color w:val="231F20"/>
          <w:spacing w:val="-30"/>
          <w:w w:val="105"/>
        </w:rPr>
        <w:t> </w:t>
      </w:r>
      <w:r>
        <w:rPr>
          <w:color w:val="231F20"/>
          <w:w w:val="105"/>
        </w:rPr>
        <w:t>sinceri</w:t>
      </w:r>
      <w:r>
        <w:rPr>
          <w:color w:val="231F20"/>
          <w:spacing w:val="-30"/>
          <w:w w:val="105"/>
        </w:rPr>
        <w:t> </w:t>
      </w:r>
      <w:r>
        <w:rPr>
          <w:color w:val="231F20"/>
          <w:w w:val="105"/>
        </w:rPr>
        <w:t>tentativi</w:t>
      </w:r>
      <w:r>
        <w:rPr>
          <w:color w:val="231F20"/>
          <w:spacing w:val="-30"/>
          <w:w w:val="105"/>
        </w:rPr>
        <w:t> </w:t>
      </w:r>
      <w:r>
        <w:rPr>
          <w:color w:val="231F20"/>
          <w:w w:val="105"/>
        </w:rPr>
        <w:t>post- coloniali</w:t>
      </w:r>
      <w:r>
        <w:rPr>
          <w:color w:val="231F20"/>
          <w:spacing w:val="-44"/>
          <w:w w:val="105"/>
        </w:rPr>
        <w:t> </w:t>
      </w:r>
      <w:r>
        <w:rPr>
          <w:color w:val="231F20"/>
          <w:w w:val="105"/>
        </w:rPr>
        <w:t>di</w:t>
      </w:r>
      <w:r>
        <w:rPr>
          <w:color w:val="231F20"/>
          <w:spacing w:val="-44"/>
          <w:w w:val="105"/>
        </w:rPr>
        <w:t> </w:t>
      </w:r>
      <w:r>
        <w:rPr>
          <w:color w:val="231F20"/>
          <w:spacing w:val="-3"/>
          <w:w w:val="105"/>
        </w:rPr>
        <w:t>“provincializzare”</w:t>
      </w:r>
      <w:r>
        <w:rPr>
          <w:color w:val="231F20"/>
          <w:spacing w:val="-44"/>
          <w:w w:val="105"/>
        </w:rPr>
        <w:t> </w:t>
      </w:r>
      <w:r>
        <w:rPr>
          <w:color w:val="231F20"/>
          <w:spacing w:val="-3"/>
          <w:w w:val="105"/>
        </w:rPr>
        <w:t>l’Europa,</w:t>
      </w:r>
      <w:r>
        <w:rPr>
          <w:color w:val="231F20"/>
          <w:spacing w:val="-44"/>
          <w:w w:val="105"/>
        </w:rPr>
        <w:t> </w:t>
      </w:r>
      <w:r>
        <w:rPr>
          <w:color w:val="231F20"/>
          <w:spacing w:val="-3"/>
          <w:w w:val="105"/>
        </w:rPr>
        <w:t>allargando</w:t>
      </w:r>
      <w:r>
        <w:rPr>
          <w:color w:val="231F20"/>
          <w:spacing w:val="-44"/>
          <w:w w:val="105"/>
        </w:rPr>
        <w:t> </w:t>
      </w:r>
      <w:r>
        <w:rPr>
          <w:color w:val="231F20"/>
          <w:w w:val="105"/>
        </w:rPr>
        <w:t>ad</w:t>
      </w:r>
      <w:r>
        <w:rPr>
          <w:color w:val="231F20"/>
          <w:spacing w:val="-44"/>
          <w:w w:val="105"/>
        </w:rPr>
        <w:t> </w:t>
      </w:r>
      <w:r>
        <w:rPr>
          <w:color w:val="231F20"/>
          <w:w w:val="105"/>
        </w:rPr>
        <w:t>essa</w:t>
      </w:r>
      <w:r>
        <w:rPr>
          <w:color w:val="231F20"/>
          <w:spacing w:val="-44"/>
          <w:w w:val="105"/>
        </w:rPr>
        <w:t> </w:t>
      </w:r>
      <w:r>
        <w:rPr>
          <w:color w:val="231F20"/>
          <w:w w:val="105"/>
        </w:rPr>
        <w:t>la</w:t>
      </w:r>
      <w:r>
        <w:rPr>
          <w:color w:val="231F20"/>
          <w:spacing w:val="-44"/>
          <w:w w:val="105"/>
        </w:rPr>
        <w:t> </w:t>
      </w:r>
      <w:r>
        <w:rPr>
          <w:color w:val="231F20"/>
          <w:w w:val="105"/>
        </w:rPr>
        <w:t>nuova</w:t>
      </w:r>
      <w:r>
        <w:rPr>
          <w:color w:val="231F20"/>
          <w:spacing w:val="-44"/>
          <w:w w:val="105"/>
        </w:rPr>
        <w:t> </w:t>
      </w:r>
      <w:r>
        <w:rPr>
          <w:color w:val="231F20"/>
          <w:w w:val="105"/>
        </w:rPr>
        <w:t>categoria di</w:t>
      </w:r>
      <w:r>
        <w:rPr>
          <w:color w:val="231F20"/>
          <w:spacing w:val="-22"/>
          <w:w w:val="105"/>
        </w:rPr>
        <w:t> </w:t>
      </w:r>
      <w:r>
        <w:rPr>
          <w:color w:val="231F20"/>
          <w:w w:val="105"/>
        </w:rPr>
        <w:t>“società</w:t>
      </w:r>
      <w:r>
        <w:rPr>
          <w:color w:val="231F20"/>
          <w:spacing w:val="-22"/>
          <w:w w:val="105"/>
        </w:rPr>
        <w:t> </w:t>
      </w:r>
      <w:r>
        <w:rPr>
          <w:color w:val="231F20"/>
          <w:w w:val="105"/>
        </w:rPr>
        <w:t>politica”,</w:t>
      </w:r>
      <w:r>
        <w:rPr>
          <w:color w:val="231F20"/>
          <w:spacing w:val="-22"/>
          <w:w w:val="105"/>
        </w:rPr>
        <w:t> </w:t>
      </w:r>
      <w:r>
        <w:rPr>
          <w:color w:val="231F20"/>
          <w:w w:val="105"/>
        </w:rPr>
        <w:t>al</w:t>
      </w:r>
      <w:r>
        <w:rPr>
          <w:color w:val="231F20"/>
          <w:spacing w:val="-22"/>
          <w:w w:val="105"/>
        </w:rPr>
        <w:t> </w:t>
      </w:r>
      <w:r>
        <w:rPr>
          <w:color w:val="231F20"/>
          <w:w w:val="105"/>
        </w:rPr>
        <w:t>posto</w:t>
      </w:r>
      <w:r>
        <w:rPr>
          <w:color w:val="231F20"/>
          <w:spacing w:val="-22"/>
          <w:w w:val="105"/>
        </w:rPr>
        <w:t> </w:t>
      </w:r>
      <w:r>
        <w:rPr>
          <w:color w:val="231F20"/>
          <w:w w:val="105"/>
        </w:rPr>
        <w:t>di</w:t>
      </w:r>
      <w:r>
        <w:rPr>
          <w:color w:val="231F20"/>
          <w:spacing w:val="-22"/>
          <w:w w:val="105"/>
        </w:rPr>
        <w:t> </w:t>
      </w:r>
      <w:r>
        <w:rPr>
          <w:color w:val="231F20"/>
          <w:w w:val="105"/>
        </w:rPr>
        <w:t>quella</w:t>
      </w:r>
      <w:r>
        <w:rPr>
          <w:color w:val="231F20"/>
          <w:spacing w:val="-22"/>
          <w:w w:val="105"/>
        </w:rPr>
        <w:t> </w:t>
      </w:r>
      <w:r>
        <w:rPr>
          <w:color w:val="231F20"/>
          <w:w w:val="105"/>
        </w:rPr>
        <w:t>stantia</w:t>
      </w:r>
      <w:r>
        <w:rPr>
          <w:color w:val="231F20"/>
          <w:spacing w:val="-22"/>
          <w:w w:val="105"/>
        </w:rPr>
        <w:t> </w:t>
      </w:r>
      <w:r>
        <w:rPr>
          <w:color w:val="231F20"/>
          <w:w w:val="105"/>
        </w:rPr>
        <w:t>di</w:t>
      </w:r>
      <w:r>
        <w:rPr>
          <w:color w:val="231F20"/>
          <w:spacing w:val="-22"/>
          <w:w w:val="105"/>
        </w:rPr>
        <w:t> </w:t>
      </w:r>
      <w:r>
        <w:rPr>
          <w:color w:val="231F20"/>
          <w:w w:val="105"/>
        </w:rPr>
        <w:t>“società</w:t>
      </w:r>
      <w:r>
        <w:rPr>
          <w:color w:val="231F20"/>
          <w:spacing w:val="-22"/>
          <w:w w:val="105"/>
        </w:rPr>
        <w:t> </w:t>
      </w:r>
      <w:r>
        <w:rPr>
          <w:color w:val="231F20"/>
          <w:w w:val="105"/>
        </w:rPr>
        <w:t>civile”</w:t>
      </w:r>
      <w:r>
        <w:rPr>
          <w:color w:val="231F20"/>
          <w:spacing w:val="-22"/>
          <w:w w:val="105"/>
        </w:rPr>
        <w:t> </w:t>
      </w:r>
      <w:r>
        <w:rPr>
          <w:color w:val="231F20"/>
          <w:w w:val="105"/>
        </w:rPr>
        <w:t>e</w:t>
      </w:r>
      <w:r>
        <w:rPr>
          <w:color w:val="231F20"/>
          <w:spacing w:val="-22"/>
          <w:w w:val="105"/>
        </w:rPr>
        <w:t> </w:t>
      </w:r>
      <w:r>
        <w:rPr>
          <w:color w:val="231F20"/>
          <w:w w:val="105"/>
        </w:rPr>
        <w:t>avendo</w:t>
      </w:r>
      <w:r>
        <w:rPr>
          <w:color w:val="231F20"/>
          <w:spacing w:val="-22"/>
          <w:w w:val="105"/>
        </w:rPr>
        <w:t> </w:t>
      </w:r>
      <w:r>
        <w:rPr>
          <w:color w:val="231F20"/>
          <w:w w:val="105"/>
        </w:rPr>
        <w:t>il </w:t>
      </w:r>
      <w:r>
        <w:rPr>
          <w:color w:val="231F20"/>
          <w:spacing w:val="-3"/>
          <w:w w:val="105"/>
        </w:rPr>
        <w:t>coraggio</w:t>
      </w:r>
      <w:r>
        <w:rPr>
          <w:color w:val="231F20"/>
          <w:spacing w:val="-32"/>
          <w:w w:val="105"/>
        </w:rPr>
        <w:t> </w:t>
      </w:r>
      <w:r>
        <w:rPr>
          <w:color w:val="231F20"/>
          <w:w w:val="105"/>
        </w:rPr>
        <w:t>di</w:t>
      </w:r>
      <w:r>
        <w:rPr>
          <w:color w:val="231F20"/>
          <w:spacing w:val="-32"/>
          <w:w w:val="105"/>
        </w:rPr>
        <w:t> </w:t>
      </w:r>
      <w:r>
        <w:rPr>
          <w:color w:val="231F20"/>
          <w:spacing w:val="-4"/>
          <w:w w:val="105"/>
        </w:rPr>
        <w:t>proporre</w:t>
      </w:r>
      <w:r>
        <w:rPr>
          <w:color w:val="231F20"/>
          <w:spacing w:val="-32"/>
          <w:w w:val="105"/>
        </w:rPr>
        <w:t> </w:t>
      </w:r>
      <w:r>
        <w:rPr>
          <w:color w:val="231F20"/>
          <w:w w:val="105"/>
        </w:rPr>
        <w:t>una</w:t>
      </w:r>
      <w:r>
        <w:rPr>
          <w:color w:val="231F20"/>
          <w:spacing w:val="-32"/>
          <w:w w:val="105"/>
        </w:rPr>
        <w:t> </w:t>
      </w:r>
      <w:r>
        <w:rPr>
          <w:color w:val="231F20"/>
          <w:spacing w:val="-3"/>
          <w:w w:val="105"/>
        </w:rPr>
        <w:t>“politica</w:t>
      </w:r>
      <w:r>
        <w:rPr>
          <w:color w:val="231F20"/>
          <w:spacing w:val="-32"/>
          <w:w w:val="105"/>
        </w:rPr>
        <w:t> </w:t>
      </w:r>
      <w:r>
        <w:rPr>
          <w:color w:val="231F20"/>
          <w:w w:val="105"/>
        </w:rPr>
        <w:t>dei</w:t>
      </w:r>
      <w:r>
        <w:rPr>
          <w:color w:val="231F20"/>
          <w:spacing w:val="-32"/>
          <w:w w:val="105"/>
        </w:rPr>
        <w:t> </w:t>
      </w:r>
      <w:r>
        <w:rPr>
          <w:color w:val="231F20"/>
          <w:spacing w:val="-3"/>
          <w:w w:val="105"/>
        </w:rPr>
        <w:t>governati”</w:t>
      </w:r>
      <w:r>
        <w:rPr>
          <w:color w:val="231F20"/>
          <w:spacing w:val="-32"/>
          <w:w w:val="105"/>
        </w:rPr>
        <w:t> </w:t>
      </w:r>
      <w:r>
        <w:rPr>
          <w:color w:val="231F20"/>
          <w:w w:val="105"/>
        </w:rPr>
        <w:t>al</w:t>
      </w:r>
      <w:r>
        <w:rPr>
          <w:color w:val="231F20"/>
          <w:spacing w:val="-32"/>
          <w:w w:val="105"/>
        </w:rPr>
        <w:t> </w:t>
      </w:r>
      <w:r>
        <w:rPr>
          <w:color w:val="231F20"/>
          <w:spacing w:val="-3"/>
          <w:w w:val="105"/>
        </w:rPr>
        <w:t>posto</w:t>
      </w:r>
      <w:r>
        <w:rPr>
          <w:color w:val="231F20"/>
          <w:spacing w:val="-32"/>
          <w:w w:val="105"/>
        </w:rPr>
        <w:t> </w:t>
      </w:r>
      <w:r>
        <w:rPr>
          <w:color w:val="231F20"/>
          <w:w w:val="105"/>
        </w:rPr>
        <w:t>di</w:t>
      </w:r>
      <w:r>
        <w:rPr>
          <w:color w:val="231F20"/>
          <w:spacing w:val="-32"/>
          <w:w w:val="105"/>
        </w:rPr>
        <w:t> </w:t>
      </w:r>
      <w:r>
        <w:rPr>
          <w:color w:val="231F20"/>
          <w:spacing w:val="-3"/>
          <w:w w:val="105"/>
        </w:rPr>
        <w:t>quella</w:t>
      </w:r>
      <w:r>
        <w:rPr>
          <w:color w:val="231F20"/>
          <w:spacing w:val="-32"/>
          <w:w w:val="105"/>
        </w:rPr>
        <w:t> </w:t>
      </w:r>
      <w:r>
        <w:rPr>
          <w:color w:val="231F20"/>
          <w:spacing w:val="-4"/>
          <w:w w:val="105"/>
        </w:rPr>
        <w:t>ricorrente </w:t>
      </w:r>
      <w:r>
        <w:rPr>
          <w:color w:val="231F20"/>
        </w:rPr>
        <w:t>dei</w:t>
      </w:r>
      <w:r>
        <w:rPr>
          <w:color w:val="231F20"/>
          <w:spacing w:val="14"/>
        </w:rPr>
        <w:t> </w:t>
      </w:r>
      <w:r>
        <w:rPr>
          <w:color w:val="231F20"/>
        </w:rPr>
        <w:t>governanti</w:t>
      </w:r>
      <w:r>
        <w:rPr>
          <w:color w:val="231F20"/>
          <w:position w:val="7"/>
          <w:sz w:val="12"/>
        </w:rPr>
        <w:t>5</w:t>
      </w:r>
      <w:r>
        <w:rPr>
          <w:color w:val="231F20"/>
        </w:rPr>
        <w:t>.</w:t>
      </w:r>
    </w:p>
    <w:p>
      <w:pPr>
        <w:pStyle w:val="BodyText"/>
        <w:spacing w:line="244" w:lineRule="auto"/>
        <w:ind w:left="103" w:right="107" w:firstLine="566"/>
        <w:jc w:val="both"/>
      </w:pPr>
      <w:r>
        <w:rPr>
          <w:color w:val="231F20"/>
        </w:rPr>
        <w:t>Bisognerebbe allora vedere se, col tramonto compiuto dello Stato di diritto,</w:t>
      </w:r>
      <w:r>
        <w:rPr>
          <w:color w:val="231F20"/>
          <w:spacing w:val="-6"/>
        </w:rPr>
        <w:t> </w:t>
      </w:r>
      <w:r>
        <w:rPr>
          <w:color w:val="231F20"/>
        </w:rPr>
        <w:t>qualche</w:t>
      </w:r>
      <w:r>
        <w:rPr>
          <w:color w:val="231F20"/>
          <w:spacing w:val="-6"/>
        </w:rPr>
        <w:t> </w:t>
      </w:r>
      <w:r>
        <w:rPr>
          <w:color w:val="231F20"/>
        </w:rPr>
        <w:t>altro</w:t>
      </w:r>
      <w:r>
        <w:rPr>
          <w:color w:val="231F20"/>
          <w:spacing w:val="-6"/>
        </w:rPr>
        <w:t> </w:t>
      </w:r>
      <w:r>
        <w:rPr>
          <w:color w:val="231F20"/>
        </w:rPr>
        <w:t>complessivo</w:t>
      </w:r>
      <w:r>
        <w:rPr>
          <w:color w:val="231F20"/>
          <w:spacing w:val="-6"/>
        </w:rPr>
        <w:t> </w:t>
      </w:r>
      <w:r>
        <w:rPr>
          <w:color w:val="231F20"/>
        </w:rPr>
        <w:t>simbolico</w:t>
      </w:r>
      <w:r>
        <w:rPr>
          <w:color w:val="231F20"/>
          <w:spacing w:val="-6"/>
        </w:rPr>
        <w:t> </w:t>
      </w:r>
      <w:r>
        <w:rPr>
          <w:color w:val="231F20"/>
        </w:rPr>
        <w:t>è</w:t>
      </w:r>
      <w:r>
        <w:rPr>
          <w:color w:val="231F20"/>
          <w:spacing w:val="-6"/>
        </w:rPr>
        <w:t> </w:t>
      </w:r>
      <w:r>
        <w:rPr>
          <w:color w:val="231F20"/>
        </w:rPr>
        <w:t>alle</w:t>
      </w:r>
      <w:r>
        <w:rPr>
          <w:color w:val="231F20"/>
          <w:spacing w:val="-6"/>
        </w:rPr>
        <w:t> </w:t>
      </w:r>
      <w:r>
        <w:rPr>
          <w:color w:val="231F20"/>
        </w:rPr>
        <w:t>viste,</w:t>
      </w:r>
      <w:r>
        <w:rPr>
          <w:color w:val="231F20"/>
          <w:spacing w:val="-6"/>
        </w:rPr>
        <w:t> </w:t>
      </w:r>
      <w:r>
        <w:rPr>
          <w:color w:val="231F20"/>
        </w:rPr>
        <w:t>capace</w:t>
      </w:r>
      <w:r>
        <w:rPr>
          <w:color w:val="231F20"/>
          <w:spacing w:val="-6"/>
        </w:rPr>
        <w:t> </w:t>
      </w:r>
      <w:r>
        <w:rPr>
          <w:color w:val="231F20"/>
        </w:rPr>
        <w:t>di</w:t>
      </w:r>
      <w:r>
        <w:rPr>
          <w:color w:val="231F20"/>
          <w:spacing w:val="-6"/>
        </w:rPr>
        <w:t> </w:t>
      </w:r>
      <w:r>
        <w:rPr>
          <w:color w:val="231F20"/>
        </w:rPr>
        <w:t>sostituirsi al nostro, “atlantico” (oppure forse lo ha già sostituito, a nostra insaputa), </w:t>
      </w:r>
      <w:r>
        <w:rPr>
          <w:color w:val="231F20"/>
          <w:spacing w:val="2"/>
        </w:rPr>
        <w:t>come quello cristiano aveva sostituito (“senza rumore”) quello </w:t>
      </w:r>
      <w:r>
        <w:rPr>
          <w:color w:val="231F20"/>
          <w:spacing w:val="3"/>
        </w:rPr>
        <w:t>classico </w:t>
      </w:r>
      <w:r>
        <w:rPr>
          <w:color w:val="231F20"/>
          <w:spacing w:val="2"/>
        </w:rPr>
        <w:t>della mitologia </w:t>
      </w:r>
      <w:r>
        <w:rPr>
          <w:color w:val="231F20"/>
        </w:rPr>
        <w:t>greca e romana: “Perciò si </w:t>
      </w:r>
      <w:r>
        <w:rPr>
          <w:color w:val="231F20"/>
          <w:spacing w:val="2"/>
        </w:rPr>
        <w:t>procedette alla </w:t>
      </w:r>
      <w:r>
        <w:rPr>
          <w:color w:val="231F20"/>
          <w:spacing w:val="3"/>
        </w:rPr>
        <w:t>distruzione     </w:t>
      </w:r>
      <w:r>
        <w:rPr>
          <w:color w:val="231F20"/>
        </w:rPr>
        <w:t>di teatri, alla distruzione dei templi o alla loro trasformazione in chiese e santuari</w:t>
      </w:r>
      <w:r>
        <w:rPr>
          <w:color w:val="231F20"/>
          <w:spacing w:val="-9"/>
        </w:rPr>
        <w:t> </w:t>
      </w:r>
      <w:r>
        <w:rPr>
          <w:color w:val="231F20"/>
        </w:rPr>
        <w:t>cristiani”.</w:t>
      </w:r>
      <w:r>
        <w:rPr>
          <w:color w:val="231F20"/>
          <w:spacing w:val="-9"/>
        </w:rPr>
        <w:t> </w:t>
      </w:r>
      <w:r>
        <w:rPr>
          <w:color w:val="231F20"/>
        </w:rPr>
        <w:t>A</w:t>
      </w:r>
      <w:r>
        <w:rPr>
          <w:color w:val="231F20"/>
          <w:spacing w:val="-9"/>
        </w:rPr>
        <w:t> </w:t>
      </w:r>
      <w:r>
        <w:rPr>
          <w:color w:val="231F20"/>
        </w:rPr>
        <w:t>me</w:t>
      </w:r>
      <w:r>
        <w:rPr>
          <w:color w:val="231F20"/>
          <w:spacing w:val="-9"/>
        </w:rPr>
        <w:t> </w:t>
      </w:r>
      <w:r>
        <w:rPr>
          <w:color w:val="231F20"/>
        </w:rPr>
        <w:t>interessa</w:t>
      </w:r>
      <w:r>
        <w:rPr>
          <w:color w:val="231F20"/>
          <w:spacing w:val="-9"/>
        </w:rPr>
        <w:t> </w:t>
      </w:r>
      <w:r>
        <w:rPr>
          <w:color w:val="231F20"/>
        </w:rPr>
        <w:t>il</w:t>
      </w:r>
      <w:r>
        <w:rPr>
          <w:color w:val="231F20"/>
          <w:spacing w:val="-9"/>
        </w:rPr>
        <w:t> </w:t>
      </w:r>
      <w:r>
        <w:rPr>
          <w:rFonts w:ascii="Arial" w:hAnsi="Arial"/>
          <w:i/>
          <w:color w:val="231F20"/>
        </w:rPr>
        <w:t>Welt–Bild</w:t>
      </w:r>
      <w:r>
        <w:rPr>
          <w:color w:val="231F20"/>
        </w:rPr>
        <w:t>:</w:t>
      </w:r>
      <w:r>
        <w:rPr>
          <w:color w:val="231F20"/>
          <w:spacing w:val="-9"/>
        </w:rPr>
        <w:t> </w:t>
      </w:r>
      <w:r>
        <w:rPr>
          <w:color w:val="231F20"/>
        </w:rPr>
        <w:t>più</w:t>
      </w:r>
      <w:r>
        <w:rPr>
          <w:color w:val="231F20"/>
          <w:spacing w:val="-9"/>
        </w:rPr>
        <w:t> </w:t>
      </w:r>
      <w:r>
        <w:rPr>
          <w:color w:val="231F20"/>
        </w:rPr>
        <w:t>della</w:t>
      </w:r>
      <w:r>
        <w:rPr>
          <w:color w:val="231F20"/>
          <w:spacing w:val="-9"/>
        </w:rPr>
        <w:t> </w:t>
      </w:r>
      <w:r>
        <w:rPr>
          <w:rFonts w:ascii="Arial" w:hAnsi="Arial"/>
          <w:i/>
          <w:color w:val="231F20"/>
        </w:rPr>
        <w:t>Welt–Anschauung</w:t>
      </w:r>
      <w:r>
        <w:rPr>
          <w:color w:val="231F20"/>
        </w:rPr>
        <w:t>: cioè non tanto la “concezione” quanto il “quadro” del mondo, o almeno quest’ultimo</w:t>
      </w:r>
      <w:r>
        <w:rPr>
          <w:color w:val="231F20"/>
          <w:spacing w:val="-15"/>
        </w:rPr>
        <w:t> </w:t>
      </w:r>
      <w:r>
        <w:rPr>
          <w:color w:val="231F20"/>
        </w:rPr>
        <w:t>come</w:t>
      </w:r>
      <w:r>
        <w:rPr>
          <w:color w:val="231F20"/>
          <w:spacing w:val="-15"/>
        </w:rPr>
        <w:t> </w:t>
      </w:r>
      <w:r>
        <w:rPr>
          <w:color w:val="231F20"/>
        </w:rPr>
        <w:t>figura,</w:t>
      </w:r>
      <w:r>
        <w:rPr>
          <w:color w:val="231F20"/>
          <w:spacing w:val="-15"/>
        </w:rPr>
        <w:t> </w:t>
      </w:r>
      <w:r>
        <w:rPr>
          <w:color w:val="231F20"/>
        </w:rPr>
        <w:t>cosa</w:t>
      </w:r>
      <w:r>
        <w:rPr>
          <w:color w:val="231F20"/>
          <w:spacing w:val="-15"/>
        </w:rPr>
        <w:t> </w:t>
      </w:r>
      <w:r>
        <w:rPr>
          <w:color w:val="231F20"/>
        </w:rPr>
        <w:t>rappresentabile</w:t>
      </w:r>
      <w:r>
        <w:rPr>
          <w:color w:val="231F20"/>
          <w:spacing w:val="-15"/>
        </w:rPr>
        <w:t> </w:t>
      </w:r>
      <w:r>
        <w:rPr>
          <w:color w:val="231F20"/>
        </w:rPr>
        <w:t>o</w:t>
      </w:r>
      <w:r>
        <w:rPr>
          <w:color w:val="231F20"/>
          <w:spacing w:val="-15"/>
        </w:rPr>
        <w:t> </w:t>
      </w:r>
      <w:r>
        <w:rPr>
          <w:color w:val="231F20"/>
        </w:rPr>
        <w:t>rappresentata,</w:t>
      </w:r>
      <w:r>
        <w:rPr>
          <w:color w:val="231F20"/>
          <w:spacing w:val="-15"/>
        </w:rPr>
        <w:t> </w:t>
      </w:r>
      <w:r>
        <w:rPr>
          <w:color w:val="231F20"/>
        </w:rPr>
        <w:t>immagine, rappresentazione, in senso quindi più strutturale che spirituale</w:t>
      </w:r>
      <w:r>
        <w:rPr>
          <w:color w:val="231F20"/>
          <w:position w:val="7"/>
          <w:sz w:val="12"/>
        </w:rPr>
        <w:t>6</w:t>
      </w:r>
      <w:r>
        <w:rPr>
          <w:color w:val="231F20"/>
        </w:rPr>
        <w:t>. Il </w:t>
      </w:r>
      <w:r>
        <w:rPr>
          <w:rFonts w:ascii="Arial" w:hAnsi="Arial"/>
          <w:i/>
          <w:color w:val="231F20"/>
        </w:rPr>
        <w:t>Weltbild </w:t>
      </w:r>
      <w:r>
        <w:rPr>
          <w:color w:val="231F20"/>
        </w:rPr>
        <w:t>si avvicina e comprende, mi pare, il sistema (ma ancor più il complessivo) simbolico e mi consente di dire qualcosa in più sullo Stato “storico” e sul suo</w:t>
      </w:r>
      <w:r>
        <w:rPr>
          <w:color w:val="231F20"/>
          <w:spacing w:val="-14"/>
        </w:rPr>
        <w:t> </w:t>
      </w:r>
      <w:r>
        <w:rPr>
          <w:color w:val="231F20"/>
        </w:rPr>
        <w:t>“stato”</w:t>
      </w:r>
      <w:r>
        <w:rPr>
          <w:color w:val="231F20"/>
          <w:spacing w:val="-14"/>
        </w:rPr>
        <w:t> </w:t>
      </w:r>
      <w:r>
        <w:rPr>
          <w:color w:val="231F20"/>
        </w:rPr>
        <w:t>attuale.</w:t>
      </w:r>
      <w:r>
        <w:rPr>
          <w:color w:val="231F20"/>
          <w:spacing w:val="-14"/>
        </w:rPr>
        <w:t> </w:t>
      </w:r>
      <w:r>
        <w:rPr>
          <w:color w:val="231F20"/>
        </w:rPr>
        <w:t>Quello</w:t>
      </w:r>
      <w:r>
        <w:rPr>
          <w:color w:val="231F20"/>
          <w:spacing w:val="-14"/>
        </w:rPr>
        <w:t> </w:t>
      </w:r>
      <w:r>
        <w:rPr>
          <w:color w:val="231F20"/>
        </w:rPr>
        <w:t>Stato,</w:t>
      </w:r>
      <w:r>
        <w:rPr>
          <w:color w:val="231F20"/>
          <w:spacing w:val="-14"/>
        </w:rPr>
        <w:t> </w:t>
      </w:r>
      <w:r>
        <w:rPr>
          <w:color w:val="231F20"/>
        </w:rPr>
        <w:t>a</w:t>
      </w:r>
      <w:r>
        <w:rPr>
          <w:color w:val="231F20"/>
          <w:spacing w:val="-14"/>
        </w:rPr>
        <w:t> </w:t>
      </w:r>
      <w:r>
        <w:rPr>
          <w:color w:val="231F20"/>
          <w:spacing w:val="-3"/>
        </w:rPr>
        <w:t>prescindere</w:t>
      </w:r>
      <w:r>
        <w:rPr>
          <w:color w:val="231F20"/>
          <w:spacing w:val="-14"/>
        </w:rPr>
        <w:t> </w:t>
      </w:r>
      <w:r>
        <w:rPr>
          <w:color w:val="231F20"/>
        </w:rPr>
        <w:t>dalle</w:t>
      </w:r>
      <w:r>
        <w:rPr>
          <w:color w:val="231F20"/>
          <w:spacing w:val="-14"/>
        </w:rPr>
        <w:t> </w:t>
      </w:r>
      <w:r>
        <w:rPr>
          <w:color w:val="231F20"/>
        </w:rPr>
        <w:t>modalità</w:t>
      </w:r>
      <w:r>
        <w:rPr>
          <w:color w:val="231F20"/>
          <w:spacing w:val="-14"/>
        </w:rPr>
        <w:t> </w:t>
      </w:r>
      <w:r>
        <w:rPr>
          <w:color w:val="231F20"/>
        </w:rPr>
        <w:t>non</w:t>
      </w:r>
      <w:r>
        <w:rPr>
          <w:color w:val="231F20"/>
          <w:spacing w:val="-14"/>
        </w:rPr>
        <w:t> </w:t>
      </w:r>
      <w:r>
        <w:rPr>
          <w:color w:val="231F20"/>
        </w:rPr>
        <w:t>univoche con cui era sorto e poi si è sviluppato, richiedeva di essere percepito come un </w:t>
      </w:r>
      <w:r>
        <w:rPr>
          <w:rFonts w:ascii="Arial" w:hAnsi="Arial"/>
          <w:i/>
          <w:color w:val="231F20"/>
        </w:rPr>
        <w:t>Bild</w:t>
      </w:r>
      <w:r>
        <w:rPr>
          <w:color w:val="231F20"/>
        </w:rPr>
        <w:t>, un’immagine, e di essere oggetto di rappresentazione. Molto più di</w:t>
      </w:r>
      <w:r>
        <w:rPr>
          <w:color w:val="231F20"/>
          <w:spacing w:val="-17"/>
        </w:rPr>
        <w:t> </w:t>
      </w:r>
      <w:r>
        <w:rPr>
          <w:color w:val="231F20"/>
        </w:rPr>
        <w:t>rappresentazione</w:t>
      </w:r>
      <w:r>
        <w:rPr>
          <w:color w:val="231F20"/>
          <w:spacing w:val="-17"/>
        </w:rPr>
        <w:t> </w:t>
      </w:r>
      <w:r>
        <w:rPr>
          <w:color w:val="231F20"/>
        </w:rPr>
        <w:t>che</w:t>
      </w:r>
      <w:r>
        <w:rPr>
          <w:color w:val="231F20"/>
          <w:spacing w:val="-17"/>
        </w:rPr>
        <w:t> </w:t>
      </w:r>
      <w:r>
        <w:rPr>
          <w:color w:val="231F20"/>
        </w:rPr>
        <w:t>di</w:t>
      </w:r>
      <w:r>
        <w:rPr>
          <w:color w:val="231F20"/>
          <w:spacing w:val="-17"/>
        </w:rPr>
        <w:t> </w:t>
      </w:r>
      <w:r>
        <w:rPr>
          <w:color w:val="231F20"/>
        </w:rPr>
        <w:t>rappresentanza,</w:t>
      </w:r>
      <w:r>
        <w:rPr>
          <w:color w:val="231F20"/>
          <w:spacing w:val="-17"/>
        </w:rPr>
        <w:t> </w:t>
      </w:r>
      <w:r>
        <w:rPr>
          <w:color w:val="231F20"/>
        </w:rPr>
        <w:t>devo</w:t>
      </w:r>
      <w:r>
        <w:rPr>
          <w:color w:val="231F20"/>
          <w:spacing w:val="-17"/>
        </w:rPr>
        <w:t> </w:t>
      </w:r>
      <w:r>
        <w:rPr>
          <w:color w:val="231F20"/>
        </w:rPr>
        <w:t>aggiungere:</w:t>
      </w:r>
      <w:r>
        <w:rPr>
          <w:color w:val="231F20"/>
          <w:spacing w:val="-17"/>
        </w:rPr>
        <w:t> </w:t>
      </w:r>
      <w:r>
        <w:rPr>
          <w:color w:val="231F20"/>
        </w:rPr>
        <w:t>che</w:t>
      </w:r>
      <w:r>
        <w:rPr>
          <w:color w:val="231F20"/>
          <w:spacing w:val="-17"/>
        </w:rPr>
        <w:t> </w:t>
      </w:r>
      <w:r>
        <w:rPr>
          <w:color w:val="231F20"/>
        </w:rPr>
        <w:t>anzi</w:t>
      </w:r>
      <w:r>
        <w:rPr>
          <w:color w:val="231F20"/>
          <w:spacing w:val="-17"/>
        </w:rPr>
        <w:t> </w:t>
      </w:r>
      <w:r>
        <w:rPr>
          <w:color w:val="231F20"/>
        </w:rPr>
        <w:t>forse</w:t>
      </w:r>
    </w:p>
    <w:p>
      <w:pPr>
        <w:pStyle w:val="BodyText"/>
        <w:rPr>
          <w:sz w:val="25"/>
        </w:rPr>
      </w:pPr>
      <w:r>
        <w:rPr/>
        <w:pict>
          <v:line style="position:absolute;mso-position-horizontal-relative:page;mso-position-vertical-relative:paragraph;z-index:12256;mso-wrap-distance-left:0;mso-wrap-distance-right:0" from="65.196899pt,17.233717pt" to="178.582899pt,17.233717pt" stroked="true" strokeweight=".3pt" strokecolor="#231f20">
            <w10:wrap type="topAndBottom"/>
          </v:line>
        </w:pict>
      </w:r>
    </w:p>
    <w:p>
      <w:pPr>
        <w:spacing w:line="204" w:lineRule="exact" w:before="9"/>
        <w:ind w:left="103" w:right="114" w:firstLine="0"/>
        <w:jc w:val="both"/>
        <w:rPr>
          <w:rFonts w:ascii="Calibri" w:hAnsi="Calibri"/>
          <w:sz w:val="17"/>
        </w:rPr>
      </w:pPr>
      <w:r>
        <w:rPr>
          <w:rFonts w:ascii="Calibri" w:hAnsi="Calibri"/>
          <w:color w:val="231F20"/>
          <w:position w:val="6"/>
          <w:sz w:val="10"/>
        </w:rPr>
        <w:t>4 </w:t>
      </w:r>
      <w:r>
        <w:rPr>
          <w:rFonts w:ascii="Calibri" w:hAnsi="Calibri"/>
          <w:color w:val="231F20"/>
          <w:spacing w:val="2"/>
          <w:sz w:val="17"/>
        </w:rPr>
        <w:t>ÈMauro </w:t>
      </w:r>
      <w:r>
        <w:rPr>
          <w:rFonts w:ascii="Calibri" w:hAnsi="Calibri"/>
          <w:color w:val="231F20"/>
          <w:sz w:val="17"/>
        </w:rPr>
        <w:t>Pesce —che </w:t>
      </w:r>
      <w:r>
        <w:rPr>
          <w:rFonts w:ascii="Calibri" w:hAnsi="Calibri"/>
          <w:color w:val="231F20"/>
          <w:spacing w:val="3"/>
          <w:sz w:val="17"/>
        </w:rPr>
        <w:t>nonè </w:t>
      </w:r>
      <w:r>
        <w:rPr>
          <w:rFonts w:ascii="Calibri" w:hAnsi="Calibri"/>
          <w:color w:val="231F20"/>
          <w:sz w:val="17"/>
        </w:rPr>
        <w:t>studiosodello </w:t>
      </w:r>
      <w:r>
        <w:rPr>
          <w:rFonts w:ascii="Calibri" w:hAnsi="Calibri"/>
          <w:color w:val="231F20"/>
          <w:spacing w:val="2"/>
          <w:sz w:val="17"/>
        </w:rPr>
        <w:t>Statomadellareligione— </w:t>
      </w:r>
      <w:r>
        <w:rPr>
          <w:rFonts w:ascii="Calibri" w:hAnsi="Calibri"/>
          <w:color w:val="231F20"/>
          <w:sz w:val="17"/>
        </w:rPr>
        <w:t>apresentare comeindispensabile </w:t>
      </w:r>
      <w:r>
        <w:rPr>
          <w:rFonts w:ascii="Calibri" w:hAnsi="Calibri"/>
          <w:color w:val="231F20"/>
          <w:w w:val="105"/>
          <w:sz w:val="17"/>
        </w:rPr>
        <w:t>al sistema simbolico della cosiddetta modernità “una mutazione nella organizzazione del vivere associato, riassumibile [allora, all’uscita dal complessivo cristiano] nella creazione dello Stato moderno</w:t>
      </w:r>
      <w:r>
        <w:rPr>
          <w:rFonts w:ascii="Calibri" w:hAnsi="Calibri"/>
          <w:color w:val="231F20"/>
          <w:spacing w:val="-13"/>
          <w:w w:val="105"/>
          <w:sz w:val="17"/>
        </w:rPr>
        <w:t> </w:t>
      </w:r>
      <w:r>
        <w:rPr>
          <w:rFonts w:ascii="Calibri" w:hAnsi="Calibri"/>
          <w:color w:val="231F20"/>
          <w:w w:val="105"/>
          <w:sz w:val="17"/>
        </w:rPr>
        <w:t>e</w:t>
      </w:r>
      <w:r>
        <w:rPr>
          <w:rFonts w:ascii="Calibri" w:hAnsi="Calibri"/>
          <w:color w:val="231F20"/>
          <w:spacing w:val="-13"/>
          <w:w w:val="105"/>
          <w:sz w:val="17"/>
        </w:rPr>
        <w:t> </w:t>
      </w:r>
      <w:r>
        <w:rPr>
          <w:rFonts w:ascii="Calibri" w:hAnsi="Calibri"/>
          <w:color w:val="231F20"/>
          <w:w w:val="105"/>
          <w:sz w:val="17"/>
        </w:rPr>
        <w:t>cioè</w:t>
      </w:r>
      <w:r>
        <w:rPr>
          <w:rFonts w:ascii="Calibri" w:hAnsi="Calibri"/>
          <w:color w:val="231F20"/>
          <w:spacing w:val="-13"/>
          <w:w w:val="105"/>
          <w:sz w:val="17"/>
        </w:rPr>
        <w:t> </w:t>
      </w:r>
      <w:r>
        <w:rPr>
          <w:rFonts w:ascii="Calibri" w:hAnsi="Calibri"/>
          <w:color w:val="231F20"/>
          <w:w w:val="105"/>
          <w:sz w:val="17"/>
        </w:rPr>
        <w:t>nella</w:t>
      </w:r>
      <w:r>
        <w:rPr>
          <w:rFonts w:ascii="Calibri" w:hAnsi="Calibri"/>
          <w:color w:val="231F20"/>
          <w:spacing w:val="-13"/>
          <w:w w:val="105"/>
          <w:sz w:val="17"/>
        </w:rPr>
        <w:t> </w:t>
      </w:r>
      <w:r>
        <w:rPr>
          <w:rFonts w:ascii="Calibri" w:hAnsi="Calibri"/>
          <w:color w:val="231F20"/>
          <w:w w:val="105"/>
          <w:sz w:val="17"/>
        </w:rPr>
        <w:t>pratica</w:t>
      </w:r>
      <w:r>
        <w:rPr>
          <w:rFonts w:ascii="Calibri" w:hAnsi="Calibri"/>
          <w:color w:val="231F20"/>
          <w:spacing w:val="-13"/>
          <w:w w:val="105"/>
          <w:sz w:val="17"/>
        </w:rPr>
        <w:t> </w:t>
      </w:r>
      <w:r>
        <w:rPr>
          <w:rFonts w:ascii="Calibri" w:hAnsi="Calibri"/>
          <w:color w:val="231F20"/>
          <w:w w:val="105"/>
          <w:sz w:val="17"/>
        </w:rPr>
        <w:t>e</w:t>
      </w:r>
      <w:r>
        <w:rPr>
          <w:rFonts w:ascii="Calibri" w:hAnsi="Calibri"/>
          <w:color w:val="231F20"/>
          <w:spacing w:val="-13"/>
          <w:w w:val="105"/>
          <w:sz w:val="17"/>
        </w:rPr>
        <w:t> </w:t>
      </w:r>
      <w:r>
        <w:rPr>
          <w:rFonts w:ascii="Calibri" w:hAnsi="Calibri"/>
          <w:color w:val="231F20"/>
          <w:w w:val="105"/>
          <w:sz w:val="17"/>
        </w:rPr>
        <w:t>nella</w:t>
      </w:r>
      <w:r>
        <w:rPr>
          <w:rFonts w:ascii="Calibri" w:hAnsi="Calibri"/>
          <w:color w:val="231F20"/>
          <w:spacing w:val="-13"/>
          <w:w w:val="105"/>
          <w:sz w:val="17"/>
        </w:rPr>
        <w:t> </w:t>
      </w:r>
      <w:r>
        <w:rPr>
          <w:rFonts w:ascii="Calibri" w:hAnsi="Calibri"/>
          <w:color w:val="231F20"/>
          <w:w w:val="105"/>
          <w:sz w:val="17"/>
        </w:rPr>
        <w:t>teoria</w:t>
      </w:r>
      <w:r>
        <w:rPr>
          <w:rFonts w:ascii="Calibri" w:hAnsi="Calibri"/>
          <w:color w:val="231F20"/>
          <w:spacing w:val="-13"/>
          <w:w w:val="105"/>
          <w:sz w:val="17"/>
        </w:rPr>
        <w:t> </w:t>
      </w:r>
      <w:r>
        <w:rPr>
          <w:rFonts w:ascii="Calibri" w:hAnsi="Calibri"/>
          <w:color w:val="231F20"/>
          <w:w w:val="105"/>
          <w:sz w:val="17"/>
        </w:rPr>
        <w:t>della</w:t>
      </w:r>
      <w:r>
        <w:rPr>
          <w:rFonts w:ascii="Calibri" w:hAnsi="Calibri"/>
          <w:color w:val="231F20"/>
          <w:spacing w:val="-13"/>
          <w:w w:val="105"/>
          <w:sz w:val="17"/>
        </w:rPr>
        <w:t> </w:t>
      </w:r>
      <w:r>
        <w:rPr>
          <w:rFonts w:ascii="Calibri" w:hAnsi="Calibri"/>
          <w:color w:val="231F20"/>
          <w:w w:val="105"/>
          <w:sz w:val="17"/>
        </w:rPr>
        <w:t>politica”:</w:t>
      </w:r>
      <w:r>
        <w:rPr>
          <w:rFonts w:ascii="Calibri" w:hAnsi="Calibri"/>
          <w:color w:val="231F20"/>
          <w:spacing w:val="-13"/>
          <w:w w:val="105"/>
          <w:sz w:val="17"/>
        </w:rPr>
        <w:t> </w:t>
      </w:r>
      <w:r>
        <w:rPr>
          <w:rFonts w:ascii="Calibri" w:hAnsi="Calibri"/>
          <w:color w:val="231F20"/>
          <w:w w:val="105"/>
          <w:sz w:val="17"/>
        </w:rPr>
        <w:t>M.</w:t>
      </w:r>
      <w:r>
        <w:rPr>
          <w:rFonts w:ascii="Calibri" w:hAnsi="Calibri"/>
          <w:color w:val="231F20"/>
          <w:spacing w:val="-13"/>
          <w:w w:val="105"/>
          <w:sz w:val="17"/>
        </w:rPr>
        <w:t> </w:t>
      </w:r>
      <w:r>
        <w:rPr>
          <w:rFonts w:ascii="Calibri" w:hAnsi="Calibri"/>
          <w:color w:val="231F20"/>
          <w:w w:val="105"/>
          <w:sz w:val="17"/>
        </w:rPr>
        <w:t>Pesce,</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modernità</w:t>
      </w:r>
      <w:r>
        <w:rPr>
          <w:rFonts w:ascii="Calibri" w:hAnsi="Calibri"/>
          <w:color w:val="231F20"/>
          <w:spacing w:val="-13"/>
          <w:w w:val="105"/>
          <w:sz w:val="17"/>
        </w:rPr>
        <w:t> </w:t>
      </w:r>
      <w:r>
        <w:rPr>
          <w:rFonts w:ascii="Calibri" w:hAnsi="Calibri"/>
          <w:color w:val="231F20"/>
          <w:w w:val="105"/>
          <w:sz w:val="17"/>
        </w:rPr>
        <w:t>ha</w:t>
      </w:r>
      <w:r>
        <w:rPr>
          <w:rFonts w:ascii="Calibri" w:hAnsi="Calibri"/>
          <w:color w:val="231F20"/>
          <w:spacing w:val="-13"/>
          <w:w w:val="105"/>
          <w:sz w:val="17"/>
        </w:rPr>
        <w:t> </w:t>
      </w:r>
      <w:r>
        <w:rPr>
          <w:rFonts w:ascii="Calibri" w:hAnsi="Calibri"/>
          <w:color w:val="231F20"/>
          <w:w w:val="105"/>
          <w:sz w:val="17"/>
        </w:rPr>
        <w:t>costruito</w:t>
      </w:r>
      <w:r>
        <w:rPr>
          <w:rFonts w:ascii="Calibri" w:hAnsi="Calibri"/>
          <w:color w:val="231F20"/>
          <w:spacing w:val="-13"/>
          <w:w w:val="105"/>
          <w:sz w:val="17"/>
        </w:rPr>
        <w:t> </w:t>
      </w:r>
      <w:r>
        <w:rPr>
          <w:rFonts w:ascii="Calibri" w:hAnsi="Calibri"/>
          <w:color w:val="231F20"/>
          <w:w w:val="105"/>
          <w:sz w:val="17"/>
        </w:rPr>
        <w:t>un sistema</w:t>
      </w:r>
      <w:r>
        <w:rPr>
          <w:rFonts w:ascii="Calibri" w:hAnsi="Calibri"/>
          <w:color w:val="231F20"/>
          <w:spacing w:val="-11"/>
          <w:w w:val="105"/>
          <w:sz w:val="17"/>
        </w:rPr>
        <w:t> </w:t>
      </w:r>
      <w:r>
        <w:rPr>
          <w:rFonts w:ascii="Calibri" w:hAnsi="Calibri"/>
          <w:color w:val="231F20"/>
          <w:w w:val="105"/>
          <w:sz w:val="17"/>
        </w:rPr>
        <w:t>simbolico</w:t>
      </w:r>
      <w:r>
        <w:rPr>
          <w:rFonts w:ascii="Calibri" w:hAnsi="Calibri"/>
          <w:color w:val="231F20"/>
          <w:spacing w:val="-11"/>
          <w:w w:val="105"/>
          <w:sz w:val="17"/>
        </w:rPr>
        <w:t> </w:t>
      </w:r>
      <w:r>
        <w:rPr>
          <w:rFonts w:ascii="Calibri" w:hAnsi="Calibri"/>
          <w:color w:val="231F20"/>
          <w:w w:val="105"/>
          <w:sz w:val="17"/>
        </w:rPr>
        <w:t>alternativo</w:t>
      </w:r>
      <w:r>
        <w:rPr>
          <w:rFonts w:ascii="Calibri" w:hAnsi="Calibri"/>
          <w:color w:val="231F20"/>
          <w:spacing w:val="-11"/>
          <w:w w:val="105"/>
          <w:sz w:val="17"/>
        </w:rPr>
        <w:t> </w:t>
      </w:r>
      <w:r>
        <w:rPr>
          <w:rFonts w:ascii="Calibri" w:hAnsi="Calibri"/>
          <w:color w:val="231F20"/>
          <w:w w:val="105"/>
          <w:sz w:val="17"/>
        </w:rPr>
        <w:t>a</w:t>
      </w:r>
      <w:r>
        <w:rPr>
          <w:rFonts w:ascii="Calibri" w:hAnsi="Calibri"/>
          <w:color w:val="231F20"/>
          <w:spacing w:val="-11"/>
          <w:w w:val="105"/>
          <w:sz w:val="17"/>
        </w:rPr>
        <w:t> </w:t>
      </w:r>
      <w:r>
        <w:rPr>
          <w:rFonts w:ascii="Calibri" w:hAnsi="Calibri"/>
          <w:color w:val="231F20"/>
          <w:w w:val="105"/>
          <w:sz w:val="17"/>
        </w:rPr>
        <w:t>quello</w:t>
      </w:r>
      <w:r>
        <w:rPr>
          <w:rFonts w:ascii="Calibri" w:hAnsi="Calibri"/>
          <w:color w:val="231F20"/>
          <w:spacing w:val="-11"/>
          <w:w w:val="105"/>
          <w:sz w:val="17"/>
        </w:rPr>
        <w:t> </w:t>
      </w:r>
      <w:r>
        <w:rPr>
          <w:rFonts w:ascii="Calibri" w:hAnsi="Calibri"/>
          <w:color w:val="231F20"/>
          <w:w w:val="105"/>
          <w:sz w:val="17"/>
        </w:rPr>
        <w:t>cristiano</w:t>
      </w:r>
      <w:r>
        <w:rPr>
          <w:rFonts w:ascii="Calibri" w:hAnsi="Calibri"/>
          <w:color w:val="231F20"/>
          <w:spacing w:val="-11"/>
          <w:w w:val="105"/>
          <w:sz w:val="17"/>
        </w:rPr>
        <w:t> </w:t>
      </w:r>
      <w:r>
        <w:rPr>
          <w:rFonts w:ascii="Calibri" w:hAnsi="Calibri"/>
          <w:color w:val="231F20"/>
          <w:w w:val="105"/>
          <w:sz w:val="17"/>
        </w:rPr>
        <w:t>antico?”,</w:t>
      </w:r>
      <w:r>
        <w:rPr>
          <w:rFonts w:ascii="Calibri" w:hAnsi="Calibri"/>
          <w:color w:val="231F20"/>
          <w:spacing w:val="-11"/>
          <w:w w:val="105"/>
          <w:sz w:val="17"/>
        </w:rPr>
        <w:t> </w:t>
      </w:r>
      <w:r>
        <w:rPr>
          <w:rFonts w:ascii="Calibri" w:hAnsi="Calibri"/>
          <w:color w:val="231F20"/>
          <w:w w:val="105"/>
          <w:sz w:val="17"/>
        </w:rPr>
        <w:t>Ch.</w:t>
      </w:r>
      <w:r>
        <w:rPr>
          <w:rFonts w:ascii="Calibri" w:hAnsi="Calibri"/>
          <w:color w:val="231F20"/>
          <w:spacing w:val="-11"/>
          <w:w w:val="105"/>
          <w:sz w:val="17"/>
        </w:rPr>
        <w:t> </w:t>
      </w:r>
      <w:r>
        <w:rPr>
          <w:rFonts w:ascii="Calibri" w:hAnsi="Calibri"/>
          <w:color w:val="231F20"/>
          <w:w w:val="105"/>
          <w:sz w:val="17"/>
        </w:rPr>
        <w:t>Dipper</w:t>
      </w:r>
      <w:r>
        <w:rPr>
          <w:rFonts w:ascii="Calibri" w:hAnsi="Calibri"/>
          <w:color w:val="231F20"/>
          <w:spacing w:val="-12"/>
          <w:w w:val="105"/>
          <w:sz w:val="17"/>
        </w:rPr>
        <w:t> </w:t>
      </w:r>
      <w:r>
        <w:rPr>
          <w:rFonts w:ascii="Calibri" w:hAnsi="Calibri"/>
          <w:color w:val="231F20"/>
          <w:w w:val="105"/>
          <w:sz w:val="17"/>
        </w:rPr>
        <w:t>y</w:t>
      </w:r>
      <w:r>
        <w:rPr>
          <w:rFonts w:ascii="Calibri" w:hAnsi="Calibri"/>
          <w:color w:val="231F20"/>
          <w:spacing w:val="-11"/>
          <w:w w:val="105"/>
          <w:sz w:val="17"/>
        </w:rPr>
        <w:t> </w:t>
      </w:r>
      <w:r>
        <w:rPr>
          <w:rFonts w:ascii="Calibri" w:hAnsi="Calibri"/>
          <w:color w:val="231F20"/>
          <w:spacing w:val="-10"/>
          <w:w w:val="105"/>
          <w:sz w:val="17"/>
        </w:rPr>
        <w:t>P.</w:t>
      </w:r>
      <w:r>
        <w:rPr>
          <w:rFonts w:ascii="Calibri" w:hAnsi="Calibri"/>
          <w:color w:val="231F20"/>
          <w:spacing w:val="-11"/>
          <w:w w:val="105"/>
          <w:sz w:val="17"/>
        </w:rPr>
        <w:t> </w:t>
      </w:r>
      <w:r>
        <w:rPr>
          <w:rFonts w:ascii="Calibri" w:hAnsi="Calibri"/>
          <w:color w:val="231F20"/>
          <w:w w:val="105"/>
          <w:sz w:val="17"/>
        </w:rPr>
        <w:t>Pombeni</w:t>
      </w:r>
      <w:r>
        <w:rPr>
          <w:rFonts w:ascii="Calibri" w:hAnsi="Calibri"/>
          <w:color w:val="231F20"/>
          <w:spacing w:val="-11"/>
          <w:w w:val="105"/>
          <w:sz w:val="17"/>
        </w:rPr>
        <w:t> </w:t>
      </w:r>
      <w:r>
        <w:rPr>
          <w:rFonts w:ascii="Calibri" w:hAnsi="Calibri"/>
          <w:color w:val="231F20"/>
          <w:w w:val="105"/>
          <w:sz w:val="17"/>
        </w:rPr>
        <w:t>(Eds.)</w:t>
      </w:r>
      <w:r>
        <w:rPr>
          <w:rFonts w:ascii="Calibri" w:hAnsi="Calibri"/>
          <w:color w:val="231F20"/>
          <w:spacing w:val="-12"/>
          <w:w w:val="105"/>
          <w:sz w:val="17"/>
        </w:rPr>
        <w:t> </w:t>
      </w:r>
      <w:r>
        <w:rPr>
          <w:rFonts w:ascii="Calibri" w:hAnsi="Calibri"/>
          <w:i/>
          <w:color w:val="231F20"/>
          <w:w w:val="105"/>
          <w:sz w:val="17"/>
        </w:rPr>
        <w:t>Le</w:t>
      </w:r>
      <w:r>
        <w:rPr>
          <w:rFonts w:ascii="Calibri" w:hAnsi="Calibri"/>
          <w:i/>
          <w:color w:val="231F20"/>
          <w:spacing w:val="-12"/>
          <w:w w:val="105"/>
          <w:sz w:val="17"/>
        </w:rPr>
        <w:t> </w:t>
      </w:r>
      <w:r>
        <w:rPr>
          <w:rFonts w:ascii="Calibri" w:hAnsi="Calibri"/>
          <w:i/>
          <w:color w:val="231F20"/>
          <w:w w:val="105"/>
          <w:sz w:val="17"/>
        </w:rPr>
        <w:t>ragioni </w:t>
      </w:r>
      <w:r>
        <w:rPr>
          <w:rFonts w:ascii="Calibri" w:hAnsi="Calibri"/>
          <w:i/>
          <w:color w:val="231F20"/>
          <w:sz w:val="17"/>
        </w:rPr>
        <w:t>del</w:t>
      </w:r>
      <w:r>
        <w:rPr>
          <w:rFonts w:ascii="Calibri" w:hAnsi="Calibri"/>
          <w:i/>
          <w:color w:val="231F20"/>
          <w:spacing w:val="-6"/>
          <w:sz w:val="17"/>
        </w:rPr>
        <w:t> </w:t>
      </w:r>
      <w:r>
        <w:rPr>
          <w:rFonts w:ascii="Calibri" w:hAnsi="Calibri"/>
          <w:i/>
          <w:color w:val="231F20"/>
          <w:sz w:val="17"/>
        </w:rPr>
        <w:t>moderno</w:t>
      </w:r>
      <w:r>
        <w:rPr>
          <w:rFonts w:ascii="Calibri" w:hAnsi="Calibri"/>
          <w:color w:val="231F20"/>
          <w:sz w:val="17"/>
        </w:rPr>
        <w:t>,</w:t>
      </w:r>
      <w:r>
        <w:rPr>
          <w:rFonts w:ascii="Calibri" w:hAnsi="Calibri"/>
          <w:color w:val="231F20"/>
          <w:spacing w:val="-5"/>
          <w:sz w:val="17"/>
        </w:rPr>
        <w:t> </w:t>
      </w:r>
      <w:r>
        <w:rPr>
          <w:rFonts w:ascii="Calibri" w:hAnsi="Calibri"/>
          <w:color w:val="231F20"/>
          <w:sz w:val="17"/>
        </w:rPr>
        <w:t>Bologna,</w:t>
      </w:r>
      <w:r>
        <w:rPr>
          <w:rFonts w:ascii="Calibri" w:hAnsi="Calibri"/>
          <w:color w:val="231F20"/>
          <w:spacing w:val="-5"/>
          <w:sz w:val="17"/>
        </w:rPr>
        <w:t> </w:t>
      </w:r>
      <w:r>
        <w:rPr>
          <w:rFonts w:ascii="Calibri" w:hAnsi="Calibri"/>
          <w:color w:val="231F20"/>
          <w:sz w:val="17"/>
        </w:rPr>
        <w:t>il</w:t>
      </w:r>
      <w:r>
        <w:rPr>
          <w:rFonts w:ascii="Calibri" w:hAnsi="Calibri"/>
          <w:color w:val="231F20"/>
          <w:spacing w:val="-5"/>
          <w:sz w:val="17"/>
        </w:rPr>
        <w:t> </w:t>
      </w:r>
      <w:r>
        <w:rPr>
          <w:rFonts w:ascii="Calibri" w:hAnsi="Calibri"/>
          <w:color w:val="231F20"/>
          <w:sz w:val="17"/>
        </w:rPr>
        <w:t>Mulino,</w:t>
      </w:r>
      <w:r>
        <w:rPr>
          <w:rFonts w:ascii="Calibri" w:hAnsi="Calibri"/>
          <w:color w:val="231F20"/>
          <w:spacing w:val="-5"/>
          <w:sz w:val="17"/>
        </w:rPr>
        <w:t> </w:t>
      </w:r>
      <w:r>
        <w:rPr>
          <w:rFonts w:ascii="Calibri" w:hAnsi="Calibri"/>
          <w:color w:val="231F20"/>
          <w:sz w:val="17"/>
        </w:rPr>
        <w:t>2014,</w:t>
      </w:r>
      <w:r>
        <w:rPr>
          <w:rFonts w:ascii="Calibri" w:hAnsi="Calibri"/>
          <w:color w:val="231F20"/>
          <w:spacing w:val="-5"/>
          <w:sz w:val="17"/>
        </w:rPr>
        <w:t> </w:t>
      </w:r>
      <w:r>
        <w:rPr>
          <w:rFonts w:ascii="Calibri" w:hAnsi="Calibri"/>
          <w:color w:val="231F20"/>
          <w:sz w:val="17"/>
        </w:rPr>
        <w:t>pp.</w:t>
      </w:r>
      <w:r>
        <w:rPr>
          <w:rFonts w:ascii="Calibri" w:hAnsi="Calibri"/>
          <w:color w:val="231F20"/>
          <w:spacing w:val="-5"/>
          <w:sz w:val="17"/>
        </w:rPr>
        <w:t> </w:t>
      </w:r>
      <w:r>
        <w:rPr>
          <w:rFonts w:ascii="Calibri" w:hAnsi="Calibri"/>
          <w:color w:val="231F20"/>
          <w:sz w:val="17"/>
        </w:rPr>
        <w:t>387–422.</w:t>
      </w:r>
    </w:p>
    <w:p>
      <w:pPr>
        <w:spacing w:line="206" w:lineRule="exact" w:before="1"/>
        <w:ind w:left="103" w:right="0" w:firstLine="0"/>
        <w:jc w:val="both"/>
        <w:rPr>
          <w:rFonts w:ascii="Calibri" w:hAnsi="Calibri"/>
          <w:i/>
          <w:sz w:val="17"/>
        </w:rPr>
      </w:pPr>
      <w:r>
        <w:rPr>
          <w:rFonts w:ascii="Calibri" w:hAnsi="Calibri"/>
          <w:color w:val="231F20"/>
          <w:position w:val="6"/>
          <w:sz w:val="10"/>
        </w:rPr>
        <w:t>5   </w:t>
      </w:r>
      <w:r>
        <w:rPr>
          <w:rFonts w:ascii="Calibri" w:hAnsi="Calibri"/>
          <w:color w:val="231F20"/>
          <w:sz w:val="17"/>
        </w:rPr>
        <w:t>P.  Chatterjee, </w:t>
      </w:r>
      <w:r>
        <w:rPr>
          <w:rFonts w:ascii="Calibri" w:hAnsi="Calibri"/>
          <w:i/>
          <w:color w:val="231F20"/>
          <w:sz w:val="17"/>
        </w:rPr>
        <w:t>The Politics of the Governed. Reflections on Political Society in the Twenty–First</w:t>
      </w:r>
    </w:p>
    <w:p>
      <w:pPr>
        <w:spacing w:line="204" w:lineRule="exact" w:before="0"/>
        <w:ind w:left="103" w:right="0" w:firstLine="0"/>
        <w:jc w:val="both"/>
        <w:rPr>
          <w:rFonts w:ascii="Calibri"/>
          <w:sz w:val="17"/>
        </w:rPr>
      </w:pPr>
      <w:r>
        <w:rPr>
          <w:rFonts w:ascii="Calibri"/>
          <w:i/>
          <w:color w:val="231F20"/>
          <w:w w:val="105"/>
          <w:sz w:val="17"/>
        </w:rPr>
        <w:t>Century</w:t>
      </w:r>
      <w:r>
        <w:rPr>
          <w:rFonts w:ascii="Calibri"/>
          <w:color w:val="231F20"/>
          <w:w w:val="105"/>
          <w:sz w:val="17"/>
        </w:rPr>
        <w:t>, New York, Columbia University Press, 2004.</w:t>
      </w:r>
    </w:p>
    <w:p>
      <w:pPr>
        <w:spacing w:line="235" w:lineRule="auto" w:before="1"/>
        <w:ind w:left="103" w:right="115" w:firstLine="0"/>
        <w:jc w:val="both"/>
        <w:rPr>
          <w:rFonts w:ascii="Calibri" w:hAnsi="Calibri"/>
          <w:sz w:val="17"/>
        </w:rPr>
      </w:pPr>
      <w:r>
        <w:rPr>
          <w:rFonts w:ascii="Calibri" w:hAnsi="Calibri"/>
          <w:color w:val="231F20"/>
          <w:position w:val="6"/>
          <w:sz w:val="10"/>
        </w:rPr>
        <w:t>6 </w:t>
      </w:r>
      <w:r>
        <w:rPr>
          <w:rFonts w:ascii="Calibri" w:hAnsi="Calibri"/>
          <w:color w:val="231F20"/>
          <w:sz w:val="17"/>
        </w:rPr>
        <w:t>Lo dico perché il termine mi viene dal libro di Franz Borkenau, curato e presentato in Italia da Giacomo Marramao: F. Borkenau, </w:t>
      </w:r>
      <w:r>
        <w:rPr>
          <w:rFonts w:ascii="Calibri" w:hAnsi="Calibri"/>
          <w:i/>
          <w:color w:val="231F20"/>
          <w:sz w:val="17"/>
        </w:rPr>
        <w:t>La transizione dall’immagine feudale all’immagine borghese del </w:t>
      </w:r>
      <w:r>
        <w:rPr>
          <w:rFonts w:ascii="Calibri" w:hAnsi="Calibri"/>
          <w:i/>
          <w:color w:val="231F20"/>
          <w:sz w:val="17"/>
        </w:rPr>
        <w:t>mondo: la filosofia del periodo della manifattura</w:t>
      </w:r>
      <w:r>
        <w:rPr>
          <w:rFonts w:ascii="Calibri" w:hAnsi="Calibri"/>
          <w:color w:val="231F20"/>
          <w:sz w:val="17"/>
        </w:rPr>
        <w:t>, Bologna, il Mulino, 1984 (titolo in tedesco: </w:t>
      </w:r>
      <w:r>
        <w:rPr>
          <w:rFonts w:ascii="Calibri" w:hAnsi="Calibri"/>
          <w:i/>
          <w:color w:val="231F20"/>
          <w:sz w:val="17"/>
        </w:rPr>
        <w:t>Der </w:t>
      </w:r>
      <w:r>
        <w:rPr>
          <w:rFonts w:ascii="Calibri" w:hAnsi="Calibri"/>
          <w:color w:val="231F20"/>
          <w:sz w:val="17"/>
        </w:rPr>
        <w:t>Übergang </w:t>
      </w:r>
      <w:r>
        <w:rPr>
          <w:rFonts w:ascii="Calibri" w:hAnsi="Calibri"/>
          <w:i/>
          <w:color w:val="231F20"/>
          <w:sz w:val="17"/>
        </w:rPr>
        <w:t>vom feudalen zum bürgerlichen Weltbild. Studien zur Geschichte der Philosophie der </w:t>
      </w:r>
      <w:r>
        <w:rPr>
          <w:rFonts w:ascii="Calibri" w:hAnsi="Calibri"/>
          <w:i/>
          <w:color w:val="231F20"/>
          <w:sz w:val="17"/>
        </w:rPr>
        <w:t>Manufakturperiode</w:t>
      </w:r>
      <w:r>
        <w:rPr>
          <w:rFonts w:ascii="Calibri" w:hAnsi="Calibri"/>
          <w:color w:val="231F20"/>
          <w:sz w:val="17"/>
        </w:rPr>
        <w:t>, Paris 1934).</w:t>
      </w:r>
    </w:p>
    <w:p>
      <w:pPr>
        <w:pStyle w:val="BodyText"/>
        <w:rPr>
          <w:rFonts w:ascii="Calibri"/>
          <w:sz w:val="20"/>
        </w:rPr>
      </w:pPr>
    </w:p>
    <w:p>
      <w:pPr>
        <w:pStyle w:val="BodyText"/>
        <w:spacing w:before="10"/>
        <w:rPr>
          <w:rFonts w:ascii="Calibri"/>
          <w:sz w:val="27"/>
        </w:rPr>
      </w:pPr>
    </w:p>
    <w:p>
      <w:pPr>
        <w:tabs>
          <w:tab w:pos="1317" w:val="left" w:leader="none"/>
        </w:tabs>
        <w:spacing w:before="68"/>
        <w:ind w:left="267" w:right="0" w:firstLine="0"/>
        <w:jc w:val="left"/>
        <w:rPr>
          <w:rFonts w:ascii="Calibri"/>
          <w:sz w:val="16"/>
        </w:rPr>
      </w:pPr>
      <w:r>
        <w:rPr/>
        <w:pict>
          <v:group style="position:absolute;margin-left:98.079102pt;margin-top:-3.358812pt;width:20.4pt;height:43pt;mso-position-horizontal-relative:page;mso-position-vertical-relative:paragraph;z-index:-163120"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88</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991"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307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28"/>
          <w:sz w:val="14"/>
        </w:rPr>
        <w:t> </w:t>
      </w:r>
      <w:r>
        <w:rPr>
          <w:rFonts w:ascii="Lucida Sans Unicode" w:hAnsi="Lucida Sans Unicode"/>
          <w:color w:val="6D6E71"/>
          <w:spacing w:val="-4"/>
          <w:sz w:val="14"/>
        </w:rPr>
        <w:t>STATO</w:t>
      </w:r>
      <w:r>
        <w:rPr>
          <w:rFonts w:ascii="Lucida Sans Unicode" w:hAnsi="Lucida Sans Unicode"/>
          <w:color w:val="6D6E71"/>
          <w:spacing w:val="-28"/>
          <w:sz w:val="14"/>
        </w:rPr>
        <w:t> </w:t>
      </w:r>
      <w:r>
        <w:rPr>
          <w:rFonts w:ascii="Lucida Sans Unicode" w:hAnsi="Lucida Sans Unicode"/>
          <w:color w:val="6D6E71"/>
          <w:sz w:val="14"/>
        </w:rPr>
        <w:t>MODERNO,</w:t>
      </w:r>
      <w:r>
        <w:rPr>
          <w:rFonts w:ascii="Lucida Sans Unicode" w:hAnsi="Lucida Sans Unicode"/>
          <w:color w:val="6D6E71"/>
          <w:spacing w:val="-28"/>
          <w:sz w:val="14"/>
        </w:rPr>
        <w:t> </w:t>
      </w:r>
      <w:r>
        <w:rPr>
          <w:rFonts w:ascii="Lucida Sans Unicode" w:hAnsi="Lucida Sans Unicode"/>
          <w:color w:val="6D6E71"/>
          <w:sz w:val="14"/>
        </w:rPr>
        <w:t>AL</w:t>
      </w:r>
      <w:r>
        <w:rPr>
          <w:rFonts w:ascii="Lucida Sans Unicode" w:hAnsi="Lucida Sans Unicode"/>
          <w:color w:val="6D6E71"/>
          <w:spacing w:val="-28"/>
          <w:sz w:val="14"/>
        </w:rPr>
        <w:t> </w:t>
      </w:r>
      <w:r>
        <w:rPr>
          <w:rFonts w:ascii="Lucida Sans Unicode" w:hAnsi="Lucida Sans Unicode"/>
          <w:color w:val="6D6E71"/>
          <w:sz w:val="14"/>
        </w:rPr>
        <w:t>GIORNO</w:t>
      </w:r>
      <w:r>
        <w:rPr>
          <w:rFonts w:ascii="Lucida Sans Unicode" w:hAnsi="Lucida Sans Unicode"/>
          <w:color w:val="6D6E71"/>
          <w:spacing w:val="-28"/>
          <w:sz w:val="14"/>
        </w:rPr>
        <w:t> </w:t>
      </w:r>
      <w:r>
        <w:rPr>
          <w:rFonts w:ascii="Lucida Sans Unicode" w:hAnsi="Lucida Sans Unicode"/>
          <w:color w:val="6D6E71"/>
          <w:sz w:val="14"/>
        </w:rPr>
        <w:t>D’OGGI</w:t>
      </w:r>
      <w:r>
        <w:rPr>
          <w:rFonts w:ascii="Lucida Sans Unicode" w:hAnsi="Lucida Sans Unicode"/>
          <w:color w:val="6D6E71"/>
          <w:spacing w:val="-28"/>
          <w:sz w:val="14"/>
        </w:rPr>
        <w:t> </w:t>
      </w:r>
      <w:r>
        <w:rPr>
          <w:rFonts w:ascii="Lucida Sans Unicode" w:hAnsi="Lucida Sans Unicode"/>
          <w:color w:val="6D6E71"/>
          <w:sz w:val="14"/>
        </w:rPr>
        <w:t>E</w:t>
      </w:r>
      <w:r>
        <w:rPr>
          <w:rFonts w:ascii="Lucida Sans Unicode" w:hAnsi="Lucida Sans Unicode"/>
          <w:color w:val="6D6E71"/>
          <w:spacing w:val="-28"/>
          <w:sz w:val="14"/>
        </w:rPr>
        <w:t> </w:t>
      </w:r>
      <w:r>
        <w:rPr>
          <w:rFonts w:ascii="Lucida Sans Unicode" w:hAnsi="Lucida Sans Unicode"/>
          <w:color w:val="6D6E71"/>
          <w:sz w:val="14"/>
        </w:rPr>
        <w:t>DI</w:t>
      </w:r>
      <w:r>
        <w:rPr>
          <w:rFonts w:ascii="Lucida Sans Unicode" w:hAnsi="Lucida Sans Unicode"/>
          <w:color w:val="6D6E71"/>
          <w:spacing w:val="-28"/>
          <w:sz w:val="14"/>
        </w:rPr>
        <w:t> </w:t>
      </w:r>
      <w:r>
        <w:rPr>
          <w:rFonts w:ascii="Lucida Sans Unicode" w:hAnsi="Lucida Sans Unicode"/>
          <w:color w:val="6D6E71"/>
          <w:sz w:val="14"/>
        </w:rPr>
        <w:t>DOMANI</w:t>
      </w:r>
      <w:r>
        <w:rPr>
          <w:rFonts w:ascii="Trebuchet MS" w:hAnsi="Trebuchet MS"/>
          <w:color w:val="414042"/>
          <w:position w:val="-3"/>
          <w:sz w:val="20"/>
        </w:rPr>
        <w:tab/>
        <w:t>89</w:t>
      </w:r>
    </w:p>
    <w:p>
      <w:pPr>
        <w:pStyle w:val="BodyText"/>
        <w:rPr>
          <w:rFonts w:ascii="Trebuchet MS"/>
          <w:sz w:val="22"/>
        </w:rPr>
      </w:pPr>
    </w:p>
    <w:p>
      <w:pPr>
        <w:pStyle w:val="BodyText"/>
        <w:spacing w:before="5"/>
        <w:rPr>
          <w:rFonts w:ascii="Trebuchet MS"/>
          <w:sz w:val="31"/>
        </w:rPr>
      </w:pPr>
    </w:p>
    <w:p>
      <w:pPr>
        <w:pStyle w:val="BodyText"/>
        <w:spacing w:line="247" w:lineRule="auto"/>
        <w:ind w:left="117" w:right="121"/>
        <w:jc w:val="both"/>
      </w:pPr>
      <w:r>
        <w:rPr>
          <w:color w:val="231F20"/>
          <w:w w:val="105"/>
        </w:rPr>
        <w:t>proprio</w:t>
      </w:r>
      <w:r>
        <w:rPr>
          <w:color w:val="231F20"/>
          <w:spacing w:val="-22"/>
          <w:w w:val="105"/>
        </w:rPr>
        <w:t> </w:t>
      </w:r>
      <w:r>
        <w:rPr>
          <w:color w:val="231F20"/>
          <w:w w:val="105"/>
        </w:rPr>
        <w:t>il</w:t>
      </w:r>
      <w:r>
        <w:rPr>
          <w:color w:val="231F20"/>
          <w:spacing w:val="-22"/>
          <w:w w:val="105"/>
        </w:rPr>
        <w:t> </w:t>
      </w:r>
      <w:r>
        <w:rPr>
          <w:color w:val="231F20"/>
          <w:w w:val="105"/>
        </w:rPr>
        <w:t>passaggio</w:t>
      </w:r>
      <w:r>
        <w:rPr>
          <w:color w:val="231F20"/>
          <w:spacing w:val="-22"/>
          <w:w w:val="105"/>
        </w:rPr>
        <w:t> </w:t>
      </w:r>
      <w:r>
        <w:rPr>
          <w:color w:val="231F20"/>
          <w:w w:val="105"/>
        </w:rPr>
        <w:t>dalla</w:t>
      </w:r>
      <w:r>
        <w:rPr>
          <w:color w:val="231F20"/>
          <w:spacing w:val="-22"/>
          <w:w w:val="105"/>
        </w:rPr>
        <w:t> </w:t>
      </w:r>
      <w:r>
        <w:rPr>
          <w:color w:val="231F20"/>
          <w:w w:val="105"/>
        </w:rPr>
        <w:t>rappresentazione</w:t>
      </w:r>
      <w:r>
        <w:rPr>
          <w:color w:val="231F20"/>
          <w:spacing w:val="-22"/>
          <w:w w:val="105"/>
        </w:rPr>
        <w:t> </w:t>
      </w:r>
      <w:r>
        <w:rPr>
          <w:color w:val="231F20"/>
          <w:w w:val="105"/>
        </w:rPr>
        <w:t>(per</w:t>
      </w:r>
      <w:r>
        <w:rPr>
          <w:color w:val="231F20"/>
          <w:spacing w:val="-22"/>
          <w:w w:val="105"/>
        </w:rPr>
        <w:t> </w:t>
      </w:r>
      <w:r>
        <w:rPr>
          <w:color w:val="231F20"/>
          <w:w w:val="105"/>
        </w:rPr>
        <w:t>ceti)</w:t>
      </w:r>
      <w:r>
        <w:rPr>
          <w:color w:val="231F20"/>
          <w:spacing w:val="-22"/>
          <w:w w:val="105"/>
        </w:rPr>
        <w:t> </w:t>
      </w:r>
      <w:r>
        <w:rPr>
          <w:color w:val="231F20"/>
          <w:w w:val="105"/>
        </w:rPr>
        <w:t>alla</w:t>
      </w:r>
      <w:r>
        <w:rPr>
          <w:color w:val="231F20"/>
          <w:spacing w:val="-22"/>
          <w:w w:val="105"/>
        </w:rPr>
        <w:t> </w:t>
      </w:r>
      <w:r>
        <w:rPr>
          <w:color w:val="231F20"/>
          <w:w w:val="105"/>
        </w:rPr>
        <w:t>rappresentanza (parlamentare)</w:t>
      </w:r>
      <w:r>
        <w:rPr>
          <w:color w:val="231F20"/>
          <w:spacing w:val="-28"/>
          <w:w w:val="105"/>
        </w:rPr>
        <w:t> </w:t>
      </w:r>
      <w:r>
        <w:rPr>
          <w:color w:val="231F20"/>
          <w:w w:val="105"/>
        </w:rPr>
        <w:t>ha</w:t>
      </w:r>
      <w:r>
        <w:rPr>
          <w:color w:val="231F20"/>
          <w:spacing w:val="-28"/>
          <w:w w:val="105"/>
        </w:rPr>
        <w:t> </w:t>
      </w:r>
      <w:r>
        <w:rPr>
          <w:color w:val="231F20"/>
          <w:w w:val="105"/>
        </w:rPr>
        <w:t>rappresentato</w:t>
      </w:r>
      <w:r>
        <w:rPr>
          <w:color w:val="231F20"/>
          <w:spacing w:val="-28"/>
          <w:w w:val="105"/>
        </w:rPr>
        <w:t> </w:t>
      </w:r>
      <w:r>
        <w:rPr>
          <w:color w:val="231F20"/>
          <w:w w:val="105"/>
        </w:rPr>
        <w:t>uno</w:t>
      </w:r>
      <w:r>
        <w:rPr>
          <w:color w:val="231F20"/>
          <w:spacing w:val="-28"/>
          <w:w w:val="105"/>
        </w:rPr>
        <w:t> </w:t>
      </w:r>
      <w:r>
        <w:rPr>
          <w:color w:val="231F20"/>
          <w:w w:val="105"/>
        </w:rPr>
        <w:t>degli</w:t>
      </w:r>
      <w:r>
        <w:rPr>
          <w:color w:val="231F20"/>
          <w:spacing w:val="-28"/>
          <w:w w:val="105"/>
        </w:rPr>
        <w:t> </w:t>
      </w:r>
      <w:r>
        <w:rPr>
          <w:color w:val="231F20"/>
          <w:w w:val="105"/>
        </w:rPr>
        <w:t>“scarti”</w:t>
      </w:r>
      <w:r>
        <w:rPr>
          <w:color w:val="231F20"/>
          <w:spacing w:val="-28"/>
          <w:w w:val="105"/>
        </w:rPr>
        <w:t> </w:t>
      </w:r>
      <w:r>
        <w:rPr>
          <w:color w:val="231F20"/>
          <w:w w:val="105"/>
        </w:rPr>
        <w:t>che</w:t>
      </w:r>
      <w:r>
        <w:rPr>
          <w:color w:val="231F20"/>
          <w:spacing w:val="-28"/>
          <w:w w:val="105"/>
        </w:rPr>
        <w:t> </w:t>
      </w:r>
      <w:r>
        <w:rPr>
          <w:color w:val="231F20"/>
          <w:w w:val="105"/>
        </w:rPr>
        <w:t>lo</w:t>
      </w:r>
      <w:r>
        <w:rPr>
          <w:color w:val="231F20"/>
          <w:spacing w:val="-28"/>
          <w:w w:val="105"/>
        </w:rPr>
        <w:t> </w:t>
      </w:r>
      <w:r>
        <w:rPr>
          <w:color w:val="231F20"/>
          <w:w w:val="105"/>
        </w:rPr>
        <w:t>hanno</w:t>
      </w:r>
      <w:r>
        <w:rPr>
          <w:color w:val="231F20"/>
          <w:spacing w:val="-28"/>
          <w:w w:val="105"/>
        </w:rPr>
        <w:t> </w:t>
      </w:r>
      <w:r>
        <w:rPr>
          <w:color w:val="231F20"/>
          <w:w w:val="105"/>
        </w:rPr>
        <w:t>condotto a “de-generazione”,</w:t>
      </w:r>
      <w:r>
        <w:rPr>
          <w:color w:val="231F20"/>
          <w:spacing w:val="-39"/>
          <w:w w:val="105"/>
        </w:rPr>
        <w:t> </w:t>
      </w:r>
      <w:r>
        <w:rPr>
          <w:color w:val="231F20"/>
          <w:w w:val="105"/>
        </w:rPr>
        <w:t>nell’Ottocento</w:t>
      </w:r>
      <w:r>
        <w:rPr>
          <w:color w:val="231F20"/>
          <w:w w:val="105"/>
          <w:position w:val="7"/>
          <w:sz w:val="12"/>
        </w:rPr>
        <w:t>7</w:t>
      </w:r>
      <w:r>
        <w:rPr>
          <w:color w:val="231F20"/>
          <w:w w:val="105"/>
        </w:rPr>
        <w:t>.</w:t>
      </w:r>
    </w:p>
    <w:p>
      <w:pPr>
        <w:pStyle w:val="BodyText"/>
        <w:spacing w:line="247" w:lineRule="auto"/>
        <w:ind w:left="117" w:right="113" w:firstLine="566"/>
        <w:jc w:val="both"/>
      </w:pPr>
      <w:r>
        <w:rPr>
          <w:color w:val="231F20"/>
          <w:spacing w:val="3"/>
        </w:rPr>
        <w:t>Cosa c’è </w:t>
      </w:r>
      <w:r>
        <w:rPr>
          <w:color w:val="231F20"/>
          <w:spacing w:val="4"/>
        </w:rPr>
        <w:t>stato dunque </w:t>
      </w:r>
      <w:r>
        <w:rPr>
          <w:color w:val="231F20"/>
          <w:spacing w:val="2"/>
        </w:rPr>
        <w:t>di </w:t>
      </w:r>
      <w:r>
        <w:rPr>
          <w:color w:val="231F20"/>
          <w:spacing w:val="3"/>
        </w:rPr>
        <w:t>“reale” nel </w:t>
      </w:r>
      <w:r>
        <w:rPr>
          <w:color w:val="231F20"/>
          <w:spacing w:val="4"/>
        </w:rPr>
        <w:t>passaggio </w:t>
      </w:r>
      <w:r>
        <w:rPr>
          <w:color w:val="231F20"/>
          <w:spacing w:val="3"/>
        </w:rPr>
        <w:t>dal </w:t>
      </w:r>
      <w:r>
        <w:rPr>
          <w:color w:val="231F20"/>
          <w:spacing w:val="4"/>
        </w:rPr>
        <w:t>feudale </w:t>
      </w:r>
      <w:r>
        <w:rPr>
          <w:color w:val="231F20"/>
          <w:spacing w:val="5"/>
        </w:rPr>
        <w:t>al </w:t>
      </w:r>
      <w:r>
        <w:rPr>
          <w:color w:val="231F20"/>
        </w:rPr>
        <w:t>borghese, oltre al nuovo modo di produzione che Franz Borkenau colloca </w:t>
      </w:r>
      <w:r>
        <w:rPr>
          <w:color w:val="231F20"/>
          <w:spacing w:val="-3"/>
        </w:rPr>
        <w:t>nella</w:t>
      </w:r>
      <w:r>
        <w:rPr>
          <w:color w:val="231F20"/>
          <w:spacing w:val="-18"/>
        </w:rPr>
        <w:t> </w:t>
      </w:r>
      <w:r>
        <w:rPr>
          <w:rFonts w:ascii="Arial" w:hAnsi="Arial"/>
          <w:i/>
          <w:color w:val="231F20"/>
          <w:spacing w:val="-3"/>
        </w:rPr>
        <w:t>Manufakturperiode</w:t>
      </w:r>
      <w:r>
        <w:rPr>
          <w:color w:val="231F20"/>
          <w:spacing w:val="-3"/>
        </w:rPr>
        <w:t>?</w:t>
      </w:r>
      <w:r>
        <w:rPr>
          <w:color w:val="231F20"/>
          <w:spacing w:val="-18"/>
        </w:rPr>
        <w:t> </w:t>
      </w:r>
      <w:r>
        <w:rPr>
          <w:color w:val="231F20"/>
        </w:rPr>
        <w:t>La</w:t>
      </w:r>
      <w:r>
        <w:rPr>
          <w:color w:val="231F20"/>
          <w:spacing w:val="-18"/>
        </w:rPr>
        <w:t> </w:t>
      </w:r>
      <w:r>
        <w:rPr>
          <w:color w:val="231F20"/>
          <w:spacing w:val="-3"/>
        </w:rPr>
        <w:t>risposta</w:t>
      </w:r>
      <w:r>
        <w:rPr>
          <w:color w:val="231F20"/>
          <w:spacing w:val="-18"/>
        </w:rPr>
        <w:t> </w:t>
      </w:r>
      <w:r>
        <w:rPr>
          <w:color w:val="231F20"/>
        </w:rPr>
        <w:t>che</w:t>
      </w:r>
      <w:r>
        <w:rPr>
          <w:color w:val="231F20"/>
          <w:spacing w:val="-18"/>
        </w:rPr>
        <w:t> </w:t>
      </w:r>
      <w:r>
        <w:rPr>
          <w:color w:val="231F20"/>
          <w:spacing w:val="-3"/>
        </w:rPr>
        <w:t>scelgo</w:t>
      </w:r>
      <w:r>
        <w:rPr>
          <w:color w:val="231F20"/>
          <w:spacing w:val="-18"/>
        </w:rPr>
        <w:t> </w:t>
      </w:r>
      <w:r>
        <w:rPr>
          <w:color w:val="231F20"/>
        </w:rPr>
        <w:t>è:</w:t>
      </w:r>
      <w:r>
        <w:rPr>
          <w:color w:val="231F20"/>
          <w:spacing w:val="-18"/>
        </w:rPr>
        <w:t> </w:t>
      </w:r>
      <w:r>
        <w:rPr>
          <w:color w:val="231F20"/>
        </w:rPr>
        <w:t>lo</w:t>
      </w:r>
      <w:r>
        <w:rPr>
          <w:color w:val="231F20"/>
          <w:spacing w:val="-18"/>
        </w:rPr>
        <w:t> </w:t>
      </w:r>
      <w:r>
        <w:rPr>
          <w:color w:val="231F20"/>
          <w:spacing w:val="-3"/>
        </w:rPr>
        <w:t>Stato</w:t>
      </w:r>
      <w:r>
        <w:rPr>
          <w:color w:val="231F20"/>
          <w:spacing w:val="-18"/>
        </w:rPr>
        <w:t> </w:t>
      </w:r>
      <w:r>
        <w:rPr>
          <w:color w:val="231F20"/>
        </w:rPr>
        <w:t>e</w:t>
      </w:r>
      <w:r>
        <w:rPr>
          <w:color w:val="231F20"/>
          <w:spacing w:val="-18"/>
        </w:rPr>
        <w:t> </w:t>
      </w:r>
      <w:r>
        <w:rPr>
          <w:color w:val="231F20"/>
        </w:rPr>
        <w:t>la</w:t>
      </w:r>
      <w:r>
        <w:rPr>
          <w:color w:val="231F20"/>
          <w:spacing w:val="-18"/>
        </w:rPr>
        <w:t> </w:t>
      </w:r>
      <w:r>
        <w:rPr>
          <w:color w:val="231F20"/>
        </w:rPr>
        <w:t>sua</w:t>
      </w:r>
      <w:r>
        <w:rPr>
          <w:color w:val="231F20"/>
          <w:spacing w:val="-18"/>
        </w:rPr>
        <w:t> </w:t>
      </w:r>
      <w:r>
        <w:rPr>
          <w:color w:val="231F20"/>
          <w:spacing w:val="-3"/>
        </w:rPr>
        <w:t>“ragione”. </w:t>
      </w:r>
      <w:r>
        <w:rPr>
          <w:color w:val="231F20"/>
        </w:rPr>
        <w:t>Ma da Borkenau ho appreso anche il ruolo strutturale della filosofia, che è come dire il ruolo della coscienza nella storia</w:t>
      </w:r>
      <w:r>
        <w:rPr>
          <w:color w:val="231F20"/>
          <w:position w:val="7"/>
          <w:sz w:val="12"/>
        </w:rPr>
        <w:t>8</w:t>
      </w:r>
      <w:r>
        <w:rPr>
          <w:color w:val="231F20"/>
        </w:rPr>
        <w:t>: non solo quella “macro- europea” (atlantica) o “del capitalismo” o “di classe”, bensì soprattutto quella micro, individuale, dell’uomo che prende atto di essere produttivo e di poterlo essere consapevolmente. Il che significa entrare nello specifico dell’ideologia,</w:t>
      </w:r>
      <w:r>
        <w:rPr>
          <w:color w:val="231F20"/>
          <w:spacing w:val="-16"/>
        </w:rPr>
        <w:t> </w:t>
      </w:r>
      <w:r>
        <w:rPr>
          <w:color w:val="231F20"/>
        </w:rPr>
        <w:t>forma</w:t>
      </w:r>
      <w:r>
        <w:rPr>
          <w:color w:val="231F20"/>
          <w:spacing w:val="-16"/>
        </w:rPr>
        <w:t> </w:t>
      </w:r>
      <w:r>
        <w:rPr>
          <w:color w:val="231F20"/>
        </w:rPr>
        <w:t>storicamente</w:t>
      </w:r>
      <w:r>
        <w:rPr>
          <w:color w:val="231F20"/>
          <w:spacing w:val="-16"/>
        </w:rPr>
        <w:t> </w:t>
      </w:r>
      <w:r>
        <w:rPr>
          <w:color w:val="231F20"/>
        </w:rPr>
        <w:t>determinata</w:t>
      </w:r>
      <w:r>
        <w:rPr>
          <w:color w:val="231F20"/>
          <w:spacing w:val="-16"/>
        </w:rPr>
        <w:t> </w:t>
      </w:r>
      <w:r>
        <w:rPr>
          <w:color w:val="231F20"/>
        </w:rPr>
        <w:t>del</w:t>
      </w:r>
      <w:r>
        <w:rPr>
          <w:color w:val="231F20"/>
          <w:spacing w:val="-16"/>
        </w:rPr>
        <w:t> </w:t>
      </w:r>
      <w:r>
        <w:rPr>
          <w:color w:val="231F20"/>
        </w:rPr>
        <w:t>politico</w:t>
      </w:r>
      <w:r>
        <w:rPr>
          <w:color w:val="231F20"/>
          <w:spacing w:val="-16"/>
        </w:rPr>
        <w:t> </w:t>
      </w:r>
      <w:r>
        <w:rPr>
          <w:color w:val="231F20"/>
        </w:rPr>
        <w:t>in</w:t>
      </w:r>
      <w:r>
        <w:rPr>
          <w:color w:val="231F20"/>
          <w:spacing w:val="-16"/>
        </w:rPr>
        <w:t> </w:t>
      </w:r>
      <w:r>
        <w:rPr>
          <w:color w:val="231F20"/>
        </w:rPr>
        <w:t>età</w:t>
      </w:r>
      <w:r>
        <w:rPr>
          <w:color w:val="231F20"/>
          <w:spacing w:val="-16"/>
        </w:rPr>
        <w:t> </w:t>
      </w:r>
      <w:r>
        <w:rPr>
          <w:color w:val="231F20"/>
        </w:rPr>
        <w:t>moderna</w:t>
      </w:r>
      <w:r>
        <w:rPr>
          <w:color w:val="231F20"/>
          <w:position w:val="7"/>
          <w:sz w:val="12"/>
        </w:rPr>
        <w:t>9</w:t>
      </w:r>
      <w:r>
        <w:rPr>
          <w:color w:val="231F20"/>
        </w:rPr>
        <w:t>. Compresa</w:t>
      </w:r>
      <w:r>
        <w:rPr>
          <w:color w:val="231F20"/>
          <w:spacing w:val="-18"/>
        </w:rPr>
        <w:t> </w:t>
      </w:r>
      <w:r>
        <w:rPr>
          <w:color w:val="231F20"/>
        </w:rPr>
        <w:t>la</w:t>
      </w:r>
      <w:r>
        <w:rPr>
          <w:color w:val="231F20"/>
          <w:spacing w:val="-18"/>
        </w:rPr>
        <w:t> </w:t>
      </w:r>
      <w:r>
        <w:rPr>
          <w:color w:val="231F20"/>
        </w:rPr>
        <w:t>scienza,</w:t>
      </w:r>
      <w:r>
        <w:rPr>
          <w:color w:val="231F20"/>
          <w:spacing w:val="-18"/>
        </w:rPr>
        <w:t> </w:t>
      </w:r>
      <w:r>
        <w:rPr>
          <w:color w:val="231F20"/>
        </w:rPr>
        <w:t>che</w:t>
      </w:r>
      <w:r>
        <w:rPr>
          <w:color w:val="231F20"/>
          <w:spacing w:val="-18"/>
        </w:rPr>
        <w:t> </w:t>
      </w:r>
      <w:r>
        <w:rPr>
          <w:color w:val="231F20"/>
        </w:rPr>
        <w:t>nasce</w:t>
      </w:r>
      <w:r>
        <w:rPr>
          <w:color w:val="231F20"/>
          <w:spacing w:val="-18"/>
        </w:rPr>
        <w:t> </w:t>
      </w:r>
      <w:r>
        <w:rPr>
          <w:color w:val="231F20"/>
        </w:rPr>
        <w:t>come</w:t>
      </w:r>
      <w:r>
        <w:rPr>
          <w:color w:val="231F20"/>
          <w:spacing w:val="-18"/>
        </w:rPr>
        <w:t> </w:t>
      </w:r>
      <w:r>
        <w:rPr>
          <w:color w:val="231F20"/>
        </w:rPr>
        <w:t>sintesi</w:t>
      </w:r>
      <w:r>
        <w:rPr>
          <w:color w:val="231F20"/>
          <w:spacing w:val="-18"/>
        </w:rPr>
        <w:t> </w:t>
      </w:r>
      <w:r>
        <w:rPr>
          <w:color w:val="231F20"/>
        </w:rPr>
        <w:t>di</w:t>
      </w:r>
      <w:r>
        <w:rPr>
          <w:color w:val="231F20"/>
          <w:spacing w:val="-18"/>
        </w:rPr>
        <w:t> </w:t>
      </w:r>
      <w:r>
        <w:rPr>
          <w:color w:val="231F20"/>
        </w:rPr>
        <w:t>coscienza</w:t>
      </w:r>
      <w:r>
        <w:rPr>
          <w:color w:val="231F20"/>
          <w:spacing w:val="-18"/>
        </w:rPr>
        <w:t> </w:t>
      </w:r>
      <w:r>
        <w:rPr>
          <w:color w:val="231F20"/>
        </w:rPr>
        <w:t>e</w:t>
      </w:r>
      <w:r>
        <w:rPr>
          <w:color w:val="231F20"/>
          <w:spacing w:val="-18"/>
        </w:rPr>
        <w:t> </w:t>
      </w:r>
      <w:r>
        <w:rPr>
          <w:color w:val="231F20"/>
        </w:rPr>
        <w:t>manifattura</w:t>
      </w:r>
      <w:r>
        <w:rPr>
          <w:color w:val="231F20"/>
          <w:spacing w:val="-18"/>
        </w:rPr>
        <w:t> </w:t>
      </w:r>
      <w:r>
        <w:rPr>
          <w:color w:val="231F20"/>
        </w:rPr>
        <w:t>e</w:t>
      </w:r>
      <w:r>
        <w:rPr>
          <w:color w:val="231F20"/>
          <w:spacing w:val="-18"/>
        </w:rPr>
        <w:t> </w:t>
      </w:r>
      <w:r>
        <w:rPr>
          <w:color w:val="231F20"/>
        </w:rPr>
        <w:t>dà supporto allo Stato, di cui è insieme prodotto. Filosofia del meccanicismo, ma non solo; anche ideologia del produttivismo, che rappresenta forse il nucleo centrale della dottrina dello Stato (e dell’uomo) borghese. Scienza– tecnica–produzione–capitale, nella catena tesa dal denaro, ma certamente anche grazie allo Stato: come intermediazione ma anche come</w:t>
      </w:r>
      <w:r>
        <w:rPr>
          <w:color w:val="231F20"/>
          <w:spacing w:val="-18"/>
        </w:rPr>
        <w:t> </w:t>
      </w:r>
      <w:r>
        <w:rPr>
          <w:color w:val="231F20"/>
        </w:rPr>
        <w:t>struttura.</w:t>
      </w:r>
    </w:p>
    <w:p>
      <w:pPr>
        <w:pStyle w:val="BodyText"/>
        <w:spacing w:line="247" w:lineRule="auto"/>
        <w:ind w:left="117" w:right="119" w:firstLine="566"/>
        <w:jc w:val="both"/>
      </w:pPr>
      <w:r>
        <w:rPr>
          <w:color w:val="231F20"/>
          <w:w w:val="105"/>
        </w:rPr>
        <w:t>Sono</w:t>
      </w:r>
      <w:r>
        <w:rPr>
          <w:color w:val="231F20"/>
          <w:spacing w:val="-33"/>
          <w:w w:val="105"/>
        </w:rPr>
        <w:t> </w:t>
      </w:r>
      <w:r>
        <w:rPr>
          <w:color w:val="231F20"/>
          <w:w w:val="105"/>
        </w:rPr>
        <w:t>cose</w:t>
      </w:r>
      <w:r>
        <w:rPr>
          <w:color w:val="231F20"/>
          <w:spacing w:val="-33"/>
          <w:w w:val="105"/>
        </w:rPr>
        <w:t> </w:t>
      </w:r>
      <w:r>
        <w:rPr>
          <w:color w:val="231F20"/>
          <w:w w:val="105"/>
        </w:rPr>
        <w:t>semplici,</w:t>
      </w:r>
      <w:r>
        <w:rPr>
          <w:color w:val="231F20"/>
          <w:spacing w:val="-33"/>
          <w:w w:val="105"/>
        </w:rPr>
        <w:t> </w:t>
      </w:r>
      <w:r>
        <w:rPr>
          <w:color w:val="231F20"/>
          <w:w w:val="105"/>
        </w:rPr>
        <w:t>le</w:t>
      </w:r>
      <w:r>
        <w:rPr>
          <w:color w:val="231F20"/>
          <w:spacing w:val="-33"/>
          <w:w w:val="105"/>
        </w:rPr>
        <w:t> </w:t>
      </w:r>
      <w:r>
        <w:rPr>
          <w:color w:val="231F20"/>
          <w:w w:val="105"/>
        </w:rPr>
        <w:t>uniche</w:t>
      </w:r>
      <w:r>
        <w:rPr>
          <w:color w:val="231F20"/>
          <w:spacing w:val="-33"/>
          <w:w w:val="105"/>
        </w:rPr>
        <w:t> </w:t>
      </w:r>
      <w:r>
        <w:rPr>
          <w:color w:val="231F20"/>
          <w:w w:val="105"/>
        </w:rPr>
        <w:t>che</w:t>
      </w:r>
      <w:r>
        <w:rPr>
          <w:color w:val="231F20"/>
          <w:spacing w:val="-33"/>
          <w:w w:val="105"/>
        </w:rPr>
        <w:t> </w:t>
      </w:r>
      <w:r>
        <w:rPr>
          <w:color w:val="231F20"/>
          <w:w w:val="105"/>
        </w:rPr>
        <w:t>mi</w:t>
      </w:r>
      <w:r>
        <w:rPr>
          <w:color w:val="231F20"/>
          <w:spacing w:val="-33"/>
          <w:w w:val="105"/>
        </w:rPr>
        <w:t> </w:t>
      </w:r>
      <w:r>
        <w:rPr>
          <w:color w:val="231F20"/>
          <w:w w:val="105"/>
        </w:rPr>
        <w:t>sento</w:t>
      </w:r>
      <w:r>
        <w:rPr>
          <w:color w:val="231F20"/>
          <w:spacing w:val="-33"/>
          <w:w w:val="105"/>
        </w:rPr>
        <w:t> </w:t>
      </w:r>
      <w:r>
        <w:rPr>
          <w:color w:val="231F20"/>
          <w:w w:val="105"/>
        </w:rPr>
        <w:t>di</w:t>
      </w:r>
      <w:r>
        <w:rPr>
          <w:color w:val="231F20"/>
          <w:spacing w:val="-33"/>
          <w:w w:val="105"/>
        </w:rPr>
        <w:t> </w:t>
      </w:r>
      <w:r>
        <w:rPr>
          <w:color w:val="231F20"/>
          <w:w w:val="105"/>
        </w:rPr>
        <w:t>dire:</w:t>
      </w:r>
      <w:r>
        <w:rPr>
          <w:color w:val="231F20"/>
          <w:spacing w:val="-33"/>
          <w:w w:val="105"/>
        </w:rPr>
        <w:t> </w:t>
      </w:r>
      <w:r>
        <w:rPr>
          <w:color w:val="231F20"/>
          <w:w w:val="105"/>
        </w:rPr>
        <w:t>è</w:t>
      </w:r>
      <w:r>
        <w:rPr>
          <w:color w:val="231F20"/>
          <w:spacing w:val="-33"/>
          <w:w w:val="105"/>
        </w:rPr>
        <w:t> </w:t>
      </w:r>
      <w:r>
        <w:rPr>
          <w:color w:val="231F20"/>
          <w:w w:val="105"/>
        </w:rPr>
        <w:t>da</w:t>
      </w:r>
      <w:r>
        <w:rPr>
          <w:color w:val="231F20"/>
          <w:spacing w:val="-33"/>
          <w:w w:val="105"/>
        </w:rPr>
        <w:t> </w:t>
      </w:r>
      <w:r>
        <w:rPr>
          <w:color w:val="231F20"/>
          <w:w w:val="105"/>
        </w:rPr>
        <w:t>qui</w:t>
      </w:r>
      <w:r>
        <w:rPr>
          <w:color w:val="231F20"/>
          <w:spacing w:val="-33"/>
          <w:w w:val="105"/>
        </w:rPr>
        <w:t> </w:t>
      </w:r>
      <w:r>
        <w:rPr>
          <w:color w:val="231F20"/>
          <w:w w:val="105"/>
        </w:rPr>
        <w:t>che</w:t>
      </w:r>
      <w:r>
        <w:rPr>
          <w:color w:val="231F20"/>
          <w:spacing w:val="-33"/>
          <w:w w:val="105"/>
        </w:rPr>
        <w:t> </w:t>
      </w:r>
      <w:r>
        <w:rPr>
          <w:color w:val="231F20"/>
          <w:w w:val="105"/>
        </w:rPr>
        <w:t>si</w:t>
      </w:r>
      <w:r>
        <w:rPr>
          <w:color w:val="231F20"/>
          <w:spacing w:val="-33"/>
          <w:w w:val="105"/>
        </w:rPr>
        <w:t> </w:t>
      </w:r>
      <w:r>
        <w:rPr>
          <w:color w:val="231F20"/>
          <w:w w:val="105"/>
        </w:rPr>
        <w:t>può misurare</w:t>
      </w:r>
      <w:r>
        <w:rPr>
          <w:color w:val="231F20"/>
          <w:spacing w:val="-11"/>
          <w:w w:val="105"/>
        </w:rPr>
        <w:t> </w:t>
      </w:r>
      <w:r>
        <w:rPr>
          <w:color w:val="231F20"/>
          <w:w w:val="105"/>
        </w:rPr>
        <w:t>lo</w:t>
      </w:r>
      <w:r>
        <w:rPr>
          <w:color w:val="231F20"/>
          <w:spacing w:val="-11"/>
          <w:w w:val="105"/>
        </w:rPr>
        <w:t> </w:t>
      </w:r>
      <w:r>
        <w:rPr>
          <w:color w:val="231F20"/>
          <w:w w:val="105"/>
        </w:rPr>
        <w:t>stato</w:t>
      </w:r>
      <w:r>
        <w:rPr>
          <w:color w:val="231F20"/>
          <w:spacing w:val="-11"/>
          <w:w w:val="105"/>
        </w:rPr>
        <w:t> </w:t>
      </w:r>
      <w:r>
        <w:rPr>
          <w:color w:val="231F20"/>
          <w:w w:val="105"/>
        </w:rPr>
        <w:t>dello</w:t>
      </w:r>
      <w:r>
        <w:rPr>
          <w:color w:val="231F20"/>
          <w:spacing w:val="-11"/>
          <w:w w:val="105"/>
        </w:rPr>
        <w:t> </w:t>
      </w:r>
      <w:r>
        <w:rPr>
          <w:color w:val="231F20"/>
          <w:w w:val="105"/>
        </w:rPr>
        <w:t>Stato</w:t>
      </w:r>
      <w:r>
        <w:rPr>
          <w:color w:val="231F20"/>
          <w:spacing w:val="-11"/>
          <w:w w:val="105"/>
        </w:rPr>
        <w:t> </w:t>
      </w:r>
      <w:r>
        <w:rPr>
          <w:color w:val="231F20"/>
          <w:w w:val="105"/>
        </w:rPr>
        <w:t>di</w:t>
      </w:r>
      <w:r>
        <w:rPr>
          <w:color w:val="231F20"/>
          <w:spacing w:val="-11"/>
          <w:w w:val="105"/>
        </w:rPr>
        <w:t> </w:t>
      </w:r>
      <w:r>
        <w:rPr>
          <w:color w:val="231F20"/>
          <w:w w:val="105"/>
        </w:rPr>
        <w:t>oggi.</w:t>
      </w:r>
      <w:r>
        <w:rPr>
          <w:color w:val="231F20"/>
          <w:spacing w:val="-11"/>
          <w:w w:val="105"/>
        </w:rPr>
        <w:t> </w:t>
      </w:r>
      <w:r>
        <w:rPr>
          <w:color w:val="231F20"/>
          <w:w w:val="105"/>
        </w:rPr>
        <w:t>Cioè</w:t>
      </w:r>
      <w:r>
        <w:rPr>
          <w:color w:val="231F20"/>
          <w:spacing w:val="-11"/>
          <w:w w:val="105"/>
        </w:rPr>
        <w:t> </w:t>
      </w:r>
      <w:r>
        <w:rPr>
          <w:color w:val="231F20"/>
          <w:w w:val="105"/>
        </w:rPr>
        <w:t>dal</w:t>
      </w:r>
      <w:r>
        <w:rPr>
          <w:color w:val="231F20"/>
          <w:spacing w:val="-11"/>
          <w:w w:val="105"/>
        </w:rPr>
        <w:t> </w:t>
      </w:r>
      <w:r>
        <w:rPr>
          <w:color w:val="231F20"/>
          <w:w w:val="105"/>
        </w:rPr>
        <w:t>suo</w:t>
      </w:r>
      <w:r>
        <w:rPr>
          <w:color w:val="231F20"/>
          <w:spacing w:val="-11"/>
          <w:w w:val="105"/>
        </w:rPr>
        <w:t> </w:t>
      </w:r>
      <w:r>
        <w:rPr>
          <w:color w:val="231F20"/>
          <w:w w:val="105"/>
        </w:rPr>
        <w:t>rapporto</w:t>
      </w:r>
      <w:r>
        <w:rPr>
          <w:color w:val="231F20"/>
          <w:spacing w:val="-11"/>
          <w:w w:val="105"/>
        </w:rPr>
        <w:t> </w:t>
      </w:r>
      <w:r>
        <w:rPr>
          <w:color w:val="231F20"/>
          <w:w w:val="105"/>
        </w:rPr>
        <w:t>col</w:t>
      </w:r>
      <w:r>
        <w:rPr>
          <w:color w:val="231F20"/>
          <w:spacing w:val="-11"/>
          <w:w w:val="105"/>
        </w:rPr>
        <w:t> </w:t>
      </w:r>
      <w:r>
        <w:rPr>
          <w:color w:val="231F20"/>
          <w:w w:val="105"/>
        </w:rPr>
        <w:t>moderno: </w:t>
      </w:r>
      <w:r>
        <w:rPr>
          <w:color w:val="231F20"/>
          <w:spacing w:val="-3"/>
          <w:w w:val="105"/>
        </w:rPr>
        <w:t>perché,</w:t>
      </w:r>
      <w:r>
        <w:rPr>
          <w:color w:val="231F20"/>
          <w:spacing w:val="-39"/>
          <w:w w:val="105"/>
        </w:rPr>
        <w:t> </w:t>
      </w:r>
      <w:r>
        <w:rPr>
          <w:color w:val="231F20"/>
          <w:w w:val="105"/>
        </w:rPr>
        <w:t>se</w:t>
      </w:r>
      <w:r>
        <w:rPr>
          <w:color w:val="231F20"/>
          <w:spacing w:val="-39"/>
          <w:w w:val="105"/>
        </w:rPr>
        <w:t> </w:t>
      </w:r>
      <w:r>
        <w:rPr>
          <w:color w:val="231F20"/>
          <w:w w:val="105"/>
        </w:rPr>
        <w:t>si</w:t>
      </w:r>
      <w:r>
        <w:rPr>
          <w:color w:val="231F20"/>
          <w:spacing w:val="-39"/>
          <w:w w:val="105"/>
        </w:rPr>
        <w:t> </w:t>
      </w:r>
      <w:r>
        <w:rPr>
          <w:color w:val="231F20"/>
          <w:w w:val="105"/>
        </w:rPr>
        <w:t>toglie</w:t>
      </w:r>
      <w:r>
        <w:rPr>
          <w:color w:val="231F20"/>
          <w:spacing w:val="-39"/>
          <w:w w:val="105"/>
        </w:rPr>
        <w:t> </w:t>
      </w:r>
      <w:r>
        <w:rPr>
          <w:color w:val="231F20"/>
          <w:w w:val="105"/>
        </w:rPr>
        <w:t>l’attributo</w:t>
      </w:r>
      <w:r>
        <w:rPr>
          <w:color w:val="231F20"/>
          <w:spacing w:val="-39"/>
          <w:w w:val="105"/>
        </w:rPr>
        <w:t> </w:t>
      </w:r>
      <w:r>
        <w:rPr>
          <w:color w:val="231F20"/>
          <w:w w:val="105"/>
        </w:rPr>
        <w:t>di</w:t>
      </w:r>
      <w:r>
        <w:rPr>
          <w:color w:val="231F20"/>
          <w:spacing w:val="-39"/>
          <w:w w:val="105"/>
        </w:rPr>
        <w:t> </w:t>
      </w:r>
      <w:r>
        <w:rPr>
          <w:color w:val="231F20"/>
          <w:w w:val="105"/>
        </w:rPr>
        <w:t>“moderno”</w:t>
      </w:r>
      <w:r>
        <w:rPr>
          <w:color w:val="231F20"/>
          <w:spacing w:val="-39"/>
          <w:w w:val="105"/>
        </w:rPr>
        <w:t> </w:t>
      </w:r>
      <w:r>
        <w:rPr>
          <w:color w:val="231F20"/>
          <w:w w:val="105"/>
        </w:rPr>
        <w:t>allo</w:t>
      </w:r>
      <w:r>
        <w:rPr>
          <w:color w:val="231F20"/>
          <w:spacing w:val="-39"/>
          <w:w w:val="105"/>
        </w:rPr>
        <w:t> </w:t>
      </w:r>
      <w:r>
        <w:rPr>
          <w:color w:val="231F20"/>
          <w:w w:val="105"/>
        </w:rPr>
        <w:t>“Stato”,</w:t>
      </w:r>
      <w:r>
        <w:rPr>
          <w:color w:val="231F20"/>
          <w:spacing w:val="-39"/>
          <w:w w:val="105"/>
        </w:rPr>
        <w:t> </w:t>
      </w:r>
      <w:r>
        <w:rPr>
          <w:color w:val="231F20"/>
          <w:w w:val="105"/>
        </w:rPr>
        <w:t>cosa</w:t>
      </w:r>
      <w:r>
        <w:rPr>
          <w:color w:val="231F20"/>
          <w:spacing w:val="-39"/>
          <w:w w:val="105"/>
        </w:rPr>
        <w:t> </w:t>
      </w:r>
      <w:r>
        <w:rPr>
          <w:color w:val="231F20"/>
          <w:w w:val="105"/>
        </w:rPr>
        <w:t>ne</w:t>
      </w:r>
      <w:r>
        <w:rPr>
          <w:color w:val="231F20"/>
          <w:spacing w:val="-39"/>
          <w:w w:val="105"/>
        </w:rPr>
        <w:t> </w:t>
      </w:r>
      <w:r>
        <w:rPr>
          <w:color w:val="231F20"/>
          <w:spacing w:val="-3"/>
          <w:w w:val="105"/>
        </w:rPr>
        <w:t>resta?</w:t>
      </w:r>
      <w:r>
        <w:rPr>
          <w:color w:val="231F20"/>
          <w:spacing w:val="-39"/>
          <w:w w:val="105"/>
        </w:rPr>
        <w:t> </w:t>
      </w:r>
      <w:r>
        <w:rPr>
          <w:color w:val="231F20"/>
          <w:w w:val="105"/>
        </w:rPr>
        <w:t>Sarà dunque</w:t>
      </w:r>
      <w:r>
        <w:rPr>
          <w:color w:val="231F20"/>
          <w:spacing w:val="-29"/>
          <w:w w:val="105"/>
        </w:rPr>
        <w:t> </w:t>
      </w:r>
      <w:r>
        <w:rPr>
          <w:color w:val="231F20"/>
          <w:w w:val="105"/>
        </w:rPr>
        <w:t>di</w:t>
      </w:r>
      <w:r>
        <w:rPr>
          <w:color w:val="231F20"/>
          <w:spacing w:val="-29"/>
          <w:w w:val="105"/>
        </w:rPr>
        <w:t> </w:t>
      </w:r>
      <w:r>
        <w:rPr>
          <w:color w:val="231F20"/>
          <w:w w:val="105"/>
        </w:rPr>
        <w:t>modernità</w:t>
      </w:r>
      <w:r>
        <w:rPr>
          <w:color w:val="231F20"/>
          <w:spacing w:val="-29"/>
          <w:w w:val="105"/>
        </w:rPr>
        <w:t> </w:t>
      </w:r>
      <w:r>
        <w:rPr>
          <w:color w:val="231F20"/>
          <w:w w:val="105"/>
        </w:rPr>
        <w:t>che</w:t>
      </w:r>
      <w:r>
        <w:rPr>
          <w:color w:val="231F20"/>
          <w:spacing w:val="-29"/>
          <w:w w:val="105"/>
        </w:rPr>
        <w:t> </w:t>
      </w:r>
      <w:r>
        <w:rPr>
          <w:color w:val="231F20"/>
          <w:w w:val="105"/>
        </w:rPr>
        <w:t>bisogna</w:t>
      </w:r>
      <w:r>
        <w:rPr>
          <w:color w:val="231F20"/>
          <w:spacing w:val="-29"/>
          <w:w w:val="105"/>
        </w:rPr>
        <w:t> </w:t>
      </w:r>
      <w:r>
        <w:rPr>
          <w:color w:val="231F20"/>
          <w:w w:val="105"/>
        </w:rPr>
        <w:t>tornare</w:t>
      </w:r>
      <w:r>
        <w:rPr>
          <w:color w:val="231F20"/>
          <w:spacing w:val="-29"/>
          <w:w w:val="105"/>
        </w:rPr>
        <w:t> </w:t>
      </w:r>
      <w:r>
        <w:rPr>
          <w:color w:val="231F20"/>
          <w:w w:val="105"/>
        </w:rPr>
        <w:t>a</w:t>
      </w:r>
      <w:r>
        <w:rPr>
          <w:color w:val="231F20"/>
          <w:spacing w:val="-29"/>
          <w:w w:val="105"/>
        </w:rPr>
        <w:t> </w:t>
      </w:r>
      <w:r>
        <w:rPr>
          <w:color w:val="231F20"/>
          <w:w w:val="105"/>
        </w:rPr>
        <w:t>parlare,</w:t>
      </w:r>
      <w:r>
        <w:rPr>
          <w:color w:val="231F20"/>
          <w:spacing w:val="-29"/>
          <w:w w:val="105"/>
        </w:rPr>
        <w:t> </w:t>
      </w:r>
      <w:r>
        <w:rPr>
          <w:color w:val="231F20"/>
          <w:w w:val="105"/>
        </w:rPr>
        <w:t>nella</w:t>
      </w:r>
      <w:r>
        <w:rPr>
          <w:color w:val="231F20"/>
          <w:spacing w:val="-29"/>
          <w:w w:val="105"/>
        </w:rPr>
        <w:t> </w:t>
      </w:r>
      <w:r>
        <w:rPr>
          <w:color w:val="231F20"/>
          <w:w w:val="105"/>
        </w:rPr>
        <w:t>presunzione</w:t>
      </w:r>
      <w:r>
        <w:rPr>
          <w:color w:val="231F20"/>
          <w:spacing w:val="-29"/>
          <w:w w:val="105"/>
        </w:rPr>
        <w:t> </w:t>
      </w:r>
      <w:r>
        <w:rPr>
          <w:color w:val="231F20"/>
          <w:w w:val="105"/>
        </w:rPr>
        <w:t>che nel</w:t>
      </w:r>
      <w:r>
        <w:rPr>
          <w:color w:val="231F20"/>
          <w:spacing w:val="-24"/>
          <w:w w:val="105"/>
        </w:rPr>
        <w:t> </w:t>
      </w:r>
      <w:r>
        <w:rPr>
          <w:color w:val="231F20"/>
          <w:w w:val="105"/>
        </w:rPr>
        <w:t>destino</w:t>
      </w:r>
      <w:r>
        <w:rPr>
          <w:color w:val="231F20"/>
          <w:spacing w:val="-24"/>
          <w:w w:val="105"/>
        </w:rPr>
        <w:t> </w:t>
      </w:r>
      <w:r>
        <w:rPr>
          <w:color w:val="231F20"/>
          <w:w w:val="105"/>
        </w:rPr>
        <w:t>dell’umanità</w:t>
      </w:r>
      <w:r>
        <w:rPr>
          <w:color w:val="231F20"/>
          <w:spacing w:val="-24"/>
          <w:w w:val="105"/>
        </w:rPr>
        <w:t> </w:t>
      </w:r>
      <w:r>
        <w:rPr>
          <w:color w:val="231F20"/>
          <w:w w:val="105"/>
        </w:rPr>
        <w:t>non</w:t>
      </w:r>
      <w:r>
        <w:rPr>
          <w:color w:val="231F20"/>
          <w:spacing w:val="-24"/>
          <w:w w:val="105"/>
        </w:rPr>
        <w:t> </w:t>
      </w:r>
      <w:r>
        <w:rPr>
          <w:color w:val="231F20"/>
          <w:w w:val="105"/>
        </w:rPr>
        <w:t>possa</w:t>
      </w:r>
      <w:r>
        <w:rPr>
          <w:color w:val="231F20"/>
          <w:spacing w:val="-24"/>
          <w:w w:val="105"/>
        </w:rPr>
        <w:t> </w:t>
      </w:r>
      <w:r>
        <w:rPr>
          <w:color w:val="231F20"/>
          <w:w w:val="105"/>
        </w:rPr>
        <w:t>esservi</w:t>
      </w:r>
      <w:r>
        <w:rPr>
          <w:color w:val="231F20"/>
          <w:spacing w:val="-24"/>
          <w:w w:val="105"/>
        </w:rPr>
        <w:t> </w:t>
      </w:r>
      <w:r>
        <w:rPr>
          <w:color w:val="231F20"/>
          <w:w w:val="105"/>
        </w:rPr>
        <w:t>altro</w:t>
      </w:r>
      <w:r>
        <w:rPr>
          <w:color w:val="231F20"/>
          <w:spacing w:val="-24"/>
          <w:w w:val="105"/>
        </w:rPr>
        <w:t> </w:t>
      </w:r>
      <w:r>
        <w:rPr>
          <w:color w:val="231F20"/>
          <w:w w:val="105"/>
        </w:rPr>
        <w:t>che</w:t>
      </w:r>
      <w:r>
        <w:rPr>
          <w:color w:val="231F20"/>
          <w:spacing w:val="-24"/>
          <w:w w:val="105"/>
        </w:rPr>
        <w:t> </w:t>
      </w:r>
      <w:r>
        <w:rPr>
          <w:color w:val="231F20"/>
          <w:w w:val="105"/>
        </w:rPr>
        <w:t>il</w:t>
      </w:r>
      <w:r>
        <w:rPr>
          <w:color w:val="231F20"/>
          <w:spacing w:val="-24"/>
          <w:w w:val="105"/>
        </w:rPr>
        <w:t> </w:t>
      </w:r>
      <w:r>
        <w:rPr>
          <w:color w:val="231F20"/>
          <w:w w:val="105"/>
        </w:rPr>
        <w:t>“moderno”?</w:t>
      </w:r>
      <w:r>
        <w:rPr>
          <w:color w:val="231F20"/>
          <w:spacing w:val="-24"/>
          <w:w w:val="105"/>
        </w:rPr>
        <w:t> </w:t>
      </w:r>
      <w:r>
        <w:rPr>
          <w:color w:val="231F20"/>
          <w:w w:val="105"/>
        </w:rPr>
        <w:t>Prendo lo</w:t>
      </w:r>
      <w:r>
        <w:rPr>
          <w:color w:val="231F20"/>
          <w:spacing w:val="-54"/>
          <w:w w:val="105"/>
        </w:rPr>
        <w:t> </w:t>
      </w:r>
      <w:r>
        <w:rPr>
          <w:color w:val="231F20"/>
          <w:w w:val="105"/>
        </w:rPr>
        <w:t>spunto</w:t>
      </w:r>
      <w:r>
        <w:rPr>
          <w:color w:val="231F20"/>
          <w:spacing w:val="-54"/>
          <w:w w:val="105"/>
        </w:rPr>
        <w:t> </w:t>
      </w:r>
      <w:r>
        <w:rPr>
          <w:color w:val="231F20"/>
          <w:w w:val="105"/>
        </w:rPr>
        <w:t>da</w:t>
      </w:r>
      <w:r>
        <w:rPr>
          <w:color w:val="231F20"/>
          <w:spacing w:val="-54"/>
          <w:w w:val="105"/>
        </w:rPr>
        <w:t> </w:t>
      </w:r>
      <w:r>
        <w:rPr>
          <w:color w:val="231F20"/>
          <w:w w:val="105"/>
        </w:rPr>
        <w:t>un</w:t>
      </w:r>
      <w:r>
        <w:rPr>
          <w:color w:val="231F20"/>
          <w:spacing w:val="-54"/>
          <w:w w:val="105"/>
        </w:rPr>
        <w:t> </w:t>
      </w:r>
      <w:r>
        <w:rPr>
          <w:color w:val="231F20"/>
          <w:w w:val="105"/>
        </w:rPr>
        <w:t>saggio</w:t>
      </w:r>
      <w:r>
        <w:rPr>
          <w:color w:val="231F20"/>
          <w:spacing w:val="-54"/>
          <w:w w:val="105"/>
        </w:rPr>
        <w:t> </w:t>
      </w:r>
      <w:r>
        <w:rPr>
          <w:color w:val="231F20"/>
          <w:w w:val="105"/>
        </w:rPr>
        <w:t>di</w:t>
      </w:r>
      <w:r>
        <w:rPr>
          <w:color w:val="231F20"/>
          <w:spacing w:val="-54"/>
          <w:w w:val="105"/>
        </w:rPr>
        <w:t> </w:t>
      </w:r>
      <w:r>
        <w:rPr>
          <w:color w:val="231F20"/>
          <w:w w:val="105"/>
        </w:rPr>
        <w:t>Scuccimarra</w:t>
      </w:r>
      <w:r>
        <w:rPr>
          <w:color w:val="231F20"/>
          <w:w w:val="105"/>
          <w:position w:val="7"/>
          <w:sz w:val="12"/>
        </w:rPr>
        <w:t>10</w:t>
      </w:r>
      <w:r>
        <w:rPr>
          <w:color w:val="231F20"/>
          <w:w w:val="105"/>
        </w:rPr>
        <w:t>,</w:t>
      </w:r>
      <w:r>
        <w:rPr>
          <w:color w:val="231F20"/>
          <w:spacing w:val="-54"/>
          <w:w w:val="105"/>
        </w:rPr>
        <w:t> </w:t>
      </w:r>
      <w:r>
        <w:rPr>
          <w:color w:val="231F20"/>
          <w:w w:val="105"/>
        </w:rPr>
        <w:t>per</w:t>
      </w:r>
      <w:r>
        <w:rPr>
          <w:color w:val="231F20"/>
          <w:spacing w:val="-54"/>
          <w:w w:val="105"/>
        </w:rPr>
        <w:t> </w:t>
      </w:r>
      <w:r>
        <w:rPr>
          <w:color w:val="231F20"/>
          <w:w w:val="105"/>
        </w:rPr>
        <w:t>una</w:t>
      </w:r>
      <w:r>
        <w:rPr>
          <w:color w:val="231F20"/>
          <w:spacing w:val="-54"/>
          <w:w w:val="105"/>
        </w:rPr>
        <w:t> </w:t>
      </w:r>
      <w:r>
        <w:rPr>
          <w:color w:val="231F20"/>
          <w:w w:val="105"/>
        </w:rPr>
        <w:t>piccolissima</w:t>
      </w:r>
      <w:r>
        <w:rPr>
          <w:color w:val="231F20"/>
          <w:spacing w:val="-54"/>
          <w:w w:val="105"/>
        </w:rPr>
        <w:t> </w:t>
      </w:r>
      <w:r>
        <w:rPr>
          <w:color w:val="231F20"/>
          <w:w w:val="105"/>
        </w:rPr>
        <w:t>considerazione sulla</w:t>
      </w:r>
      <w:r>
        <w:rPr>
          <w:color w:val="231F20"/>
          <w:spacing w:val="-50"/>
          <w:w w:val="105"/>
        </w:rPr>
        <w:t> </w:t>
      </w:r>
      <w:r>
        <w:rPr>
          <w:color w:val="231F20"/>
          <w:w w:val="105"/>
        </w:rPr>
        <w:t>“temporalità”</w:t>
      </w:r>
      <w:r>
        <w:rPr>
          <w:color w:val="231F20"/>
          <w:spacing w:val="-50"/>
          <w:w w:val="105"/>
        </w:rPr>
        <w:t> </w:t>
      </w:r>
      <w:r>
        <w:rPr>
          <w:color w:val="231F20"/>
          <w:w w:val="105"/>
        </w:rPr>
        <w:t>utopistica,</w:t>
      </w:r>
      <w:r>
        <w:rPr>
          <w:color w:val="231F20"/>
          <w:spacing w:val="-50"/>
          <w:w w:val="105"/>
        </w:rPr>
        <w:t> </w:t>
      </w:r>
      <w:r>
        <w:rPr>
          <w:color w:val="231F20"/>
          <w:w w:val="105"/>
        </w:rPr>
        <w:t>insistendo</w:t>
      </w:r>
      <w:r>
        <w:rPr>
          <w:color w:val="231F20"/>
          <w:spacing w:val="-50"/>
          <w:w w:val="105"/>
        </w:rPr>
        <w:t> </w:t>
      </w:r>
      <w:r>
        <w:rPr>
          <w:color w:val="231F20"/>
          <w:w w:val="105"/>
        </w:rPr>
        <w:t>più</w:t>
      </w:r>
      <w:r>
        <w:rPr>
          <w:color w:val="231F20"/>
          <w:spacing w:val="-50"/>
          <w:w w:val="105"/>
        </w:rPr>
        <w:t> </w:t>
      </w:r>
      <w:r>
        <w:rPr>
          <w:color w:val="231F20"/>
          <w:w w:val="105"/>
        </w:rPr>
        <w:t>sullo</w:t>
      </w:r>
      <w:r>
        <w:rPr>
          <w:color w:val="231F20"/>
          <w:spacing w:val="-50"/>
          <w:w w:val="105"/>
        </w:rPr>
        <w:t> </w:t>
      </w:r>
      <w:r>
        <w:rPr>
          <w:color w:val="231F20"/>
          <w:w w:val="105"/>
        </w:rPr>
        <w:t>scivolamento</w:t>
      </w:r>
      <w:r>
        <w:rPr>
          <w:color w:val="231F20"/>
          <w:spacing w:val="-50"/>
          <w:w w:val="105"/>
        </w:rPr>
        <w:t> </w:t>
      </w:r>
      <w:r>
        <w:rPr>
          <w:color w:val="231F20"/>
          <w:spacing w:val="-3"/>
          <w:w w:val="105"/>
        </w:rPr>
        <w:t>cronologico </w:t>
      </w:r>
      <w:r>
        <w:rPr>
          <w:color w:val="231F20"/>
          <w:w w:val="105"/>
        </w:rPr>
        <w:t>che</w:t>
      </w:r>
      <w:r>
        <w:rPr>
          <w:color w:val="231F20"/>
          <w:spacing w:val="-34"/>
          <w:w w:val="105"/>
        </w:rPr>
        <w:t> </w:t>
      </w:r>
      <w:r>
        <w:rPr>
          <w:color w:val="231F20"/>
          <w:w w:val="105"/>
        </w:rPr>
        <w:t>su</w:t>
      </w:r>
      <w:r>
        <w:rPr>
          <w:color w:val="231F20"/>
          <w:spacing w:val="-34"/>
          <w:w w:val="105"/>
        </w:rPr>
        <w:t> </w:t>
      </w:r>
      <w:r>
        <w:rPr>
          <w:color w:val="231F20"/>
          <w:spacing w:val="-3"/>
          <w:w w:val="105"/>
        </w:rPr>
        <w:t>quello</w:t>
      </w:r>
      <w:r>
        <w:rPr>
          <w:color w:val="231F20"/>
          <w:spacing w:val="-34"/>
          <w:w w:val="105"/>
        </w:rPr>
        <w:t> </w:t>
      </w:r>
      <w:r>
        <w:rPr>
          <w:color w:val="231F20"/>
          <w:spacing w:val="-3"/>
          <w:w w:val="105"/>
        </w:rPr>
        <w:t>topologico.</w:t>
      </w:r>
      <w:r>
        <w:rPr>
          <w:color w:val="231F20"/>
          <w:spacing w:val="-34"/>
          <w:w w:val="105"/>
        </w:rPr>
        <w:t> </w:t>
      </w:r>
      <w:r>
        <w:rPr>
          <w:color w:val="231F20"/>
          <w:w w:val="105"/>
        </w:rPr>
        <w:t>Mi</w:t>
      </w:r>
      <w:r>
        <w:rPr>
          <w:color w:val="231F20"/>
          <w:spacing w:val="-34"/>
          <w:w w:val="105"/>
        </w:rPr>
        <w:t> </w:t>
      </w:r>
      <w:r>
        <w:rPr>
          <w:color w:val="231F20"/>
          <w:spacing w:val="-3"/>
          <w:w w:val="105"/>
        </w:rPr>
        <w:t>riferisco</w:t>
      </w:r>
      <w:r>
        <w:rPr>
          <w:color w:val="231F20"/>
          <w:spacing w:val="-34"/>
          <w:w w:val="105"/>
        </w:rPr>
        <w:t> </w:t>
      </w:r>
      <w:r>
        <w:rPr>
          <w:color w:val="231F20"/>
          <w:w w:val="105"/>
        </w:rPr>
        <w:t>al</w:t>
      </w:r>
      <w:r>
        <w:rPr>
          <w:color w:val="231F20"/>
          <w:spacing w:val="-34"/>
          <w:w w:val="105"/>
        </w:rPr>
        <w:t> </w:t>
      </w:r>
      <w:r>
        <w:rPr>
          <w:color w:val="231F20"/>
          <w:spacing w:val="-4"/>
          <w:w w:val="105"/>
        </w:rPr>
        <w:t>sotto–genere</w:t>
      </w:r>
      <w:r>
        <w:rPr>
          <w:color w:val="231F20"/>
          <w:spacing w:val="-34"/>
          <w:w w:val="105"/>
        </w:rPr>
        <w:t> </w:t>
      </w:r>
      <w:r>
        <w:rPr>
          <w:color w:val="231F20"/>
          <w:spacing w:val="-3"/>
          <w:w w:val="105"/>
        </w:rPr>
        <w:t>della</w:t>
      </w:r>
      <w:r>
        <w:rPr>
          <w:color w:val="231F20"/>
          <w:spacing w:val="-34"/>
          <w:w w:val="105"/>
        </w:rPr>
        <w:t> </w:t>
      </w:r>
      <w:r>
        <w:rPr>
          <w:color w:val="231F20"/>
          <w:spacing w:val="-3"/>
          <w:w w:val="105"/>
        </w:rPr>
        <w:t>“dis-topia”</w:t>
      </w:r>
      <w:r>
        <w:rPr>
          <w:color w:val="231F20"/>
          <w:spacing w:val="-34"/>
          <w:w w:val="105"/>
        </w:rPr>
        <w:t> </w:t>
      </w:r>
      <w:r>
        <w:rPr>
          <w:color w:val="231F20"/>
          <w:w w:val="105"/>
        </w:rPr>
        <w:t>che</w:t>
      </w:r>
      <w:r>
        <w:rPr>
          <w:color w:val="231F20"/>
          <w:spacing w:val="-34"/>
          <w:w w:val="105"/>
        </w:rPr>
        <w:t> </w:t>
      </w:r>
      <w:r>
        <w:rPr>
          <w:color w:val="231F20"/>
          <w:spacing w:val="-3"/>
          <w:w w:val="105"/>
        </w:rPr>
        <w:t>mi </w:t>
      </w:r>
      <w:r>
        <w:rPr>
          <w:color w:val="231F20"/>
          <w:w w:val="105"/>
        </w:rPr>
        <w:t>pare</w:t>
      </w:r>
      <w:r>
        <w:rPr>
          <w:color w:val="231F20"/>
          <w:spacing w:val="-46"/>
          <w:w w:val="105"/>
        </w:rPr>
        <w:t> </w:t>
      </w:r>
      <w:r>
        <w:rPr>
          <w:color w:val="231F20"/>
          <w:w w:val="105"/>
        </w:rPr>
        <w:t>designare</w:t>
      </w:r>
      <w:r>
        <w:rPr>
          <w:color w:val="231F20"/>
          <w:spacing w:val="-46"/>
          <w:w w:val="105"/>
        </w:rPr>
        <w:t> </w:t>
      </w:r>
      <w:r>
        <w:rPr>
          <w:color w:val="231F20"/>
          <w:w w:val="105"/>
        </w:rPr>
        <w:t>la</w:t>
      </w:r>
      <w:r>
        <w:rPr>
          <w:color w:val="231F20"/>
          <w:spacing w:val="-46"/>
          <w:w w:val="105"/>
        </w:rPr>
        <w:t> </w:t>
      </w:r>
      <w:r>
        <w:rPr>
          <w:color w:val="231F20"/>
          <w:w w:val="105"/>
        </w:rPr>
        <w:t>descrizione</w:t>
      </w:r>
      <w:r>
        <w:rPr>
          <w:color w:val="231F20"/>
          <w:spacing w:val="-46"/>
          <w:w w:val="105"/>
        </w:rPr>
        <w:t> </w:t>
      </w:r>
      <w:r>
        <w:rPr>
          <w:color w:val="231F20"/>
          <w:w w:val="105"/>
        </w:rPr>
        <w:t>di</w:t>
      </w:r>
      <w:r>
        <w:rPr>
          <w:color w:val="231F20"/>
          <w:spacing w:val="-46"/>
          <w:w w:val="105"/>
        </w:rPr>
        <w:t> </w:t>
      </w:r>
      <w:r>
        <w:rPr>
          <w:color w:val="231F20"/>
          <w:w w:val="105"/>
        </w:rPr>
        <w:t>una</w:t>
      </w:r>
      <w:r>
        <w:rPr>
          <w:color w:val="231F20"/>
          <w:spacing w:val="-46"/>
          <w:w w:val="105"/>
        </w:rPr>
        <w:t> </w:t>
      </w:r>
      <w:r>
        <w:rPr>
          <w:color w:val="231F20"/>
          <w:w w:val="105"/>
        </w:rPr>
        <w:t>immaginaria</w:t>
      </w:r>
      <w:r>
        <w:rPr>
          <w:color w:val="231F20"/>
          <w:spacing w:val="-46"/>
          <w:w w:val="105"/>
        </w:rPr>
        <w:t> </w:t>
      </w:r>
      <w:r>
        <w:rPr>
          <w:color w:val="231F20"/>
          <w:w w:val="105"/>
        </w:rPr>
        <w:t>società</w:t>
      </w:r>
      <w:r>
        <w:rPr>
          <w:color w:val="231F20"/>
          <w:spacing w:val="-46"/>
          <w:w w:val="105"/>
        </w:rPr>
        <w:t> </w:t>
      </w:r>
      <w:r>
        <w:rPr>
          <w:color w:val="231F20"/>
          <w:w w:val="105"/>
        </w:rPr>
        <w:t>o</w:t>
      </w:r>
      <w:r>
        <w:rPr>
          <w:color w:val="231F20"/>
          <w:spacing w:val="-46"/>
          <w:w w:val="105"/>
        </w:rPr>
        <w:t> </w:t>
      </w:r>
      <w:r>
        <w:rPr>
          <w:color w:val="231F20"/>
          <w:w w:val="105"/>
        </w:rPr>
        <w:t>comunità</w:t>
      </w:r>
      <w:r>
        <w:rPr>
          <w:color w:val="231F20"/>
          <w:spacing w:val="-46"/>
          <w:w w:val="105"/>
        </w:rPr>
        <w:t> </w:t>
      </w:r>
      <w:r>
        <w:rPr>
          <w:color w:val="231F20"/>
          <w:w w:val="105"/>
        </w:rPr>
        <w:t>futura, nella</w:t>
      </w:r>
      <w:r>
        <w:rPr>
          <w:color w:val="231F20"/>
          <w:spacing w:val="-16"/>
          <w:w w:val="105"/>
        </w:rPr>
        <w:t> </w:t>
      </w:r>
      <w:r>
        <w:rPr>
          <w:color w:val="231F20"/>
          <w:w w:val="105"/>
        </w:rPr>
        <w:t>quale</w:t>
      </w:r>
      <w:r>
        <w:rPr>
          <w:color w:val="231F20"/>
          <w:spacing w:val="-16"/>
          <w:w w:val="105"/>
        </w:rPr>
        <w:t> </w:t>
      </w:r>
      <w:r>
        <w:rPr>
          <w:color w:val="231F20"/>
          <w:w w:val="105"/>
        </w:rPr>
        <w:t>alcune</w:t>
      </w:r>
      <w:r>
        <w:rPr>
          <w:color w:val="231F20"/>
          <w:spacing w:val="-16"/>
          <w:w w:val="105"/>
        </w:rPr>
        <w:t> </w:t>
      </w:r>
      <w:r>
        <w:rPr>
          <w:color w:val="231F20"/>
          <w:w w:val="105"/>
        </w:rPr>
        <w:t>tendenze</w:t>
      </w:r>
      <w:r>
        <w:rPr>
          <w:color w:val="231F20"/>
          <w:spacing w:val="-16"/>
          <w:w w:val="105"/>
        </w:rPr>
        <w:t> </w:t>
      </w:r>
      <w:r>
        <w:rPr>
          <w:color w:val="231F20"/>
          <w:w w:val="105"/>
        </w:rPr>
        <w:t>sociali,</w:t>
      </w:r>
      <w:r>
        <w:rPr>
          <w:color w:val="231F20"/>
          <w:spacing w:val="-16"/>
          <w:w w:val="105"/>
        </w:rPr>
        <w:t> </w:t>
      </w:r>
      <w:r>
        <w:rPr>
          <w:color w:val="231F20"/>
          <w:w w:val="105"/>
        </w:rPr>
        <w:t>politiche</w:t>
      </w:r>
      <w:r>
        <w:rPr>
          <w:color w:val="231F20"/>
          <w:spacing w:val="-16"/>
          <w:w w:val="105"/>
        </w:rPr>
        <w:t> </w:t>
      </w:r>
      <w:r>
        <w:rPr>
          <w:color w:val="231F20"/>
          <w:w w:val="105"/>
        </w:rPr>
        <w:t>e</w:t>
      </w:r>
      <w:r>
        <w:rPr>
          <w:color w:val="231F20"/>
          <w:spacing w:val="-16"/>
          <w:w w:val="105"/>
        </w:rPr>
        <w:t> </w:t>
      </w:r>
      <w:r>
        <w:rPr>
          <w:color w:val="231F20"/>
          <w:w w:val="105"/>
        </w:rPr>
        <w:t>tecnologiche</w:t>
      </w:r>
      <w:r>
        <w:rPr>
          <w:color w:val="231F20"/>
          <w:spacing w:val="-16"/>
          <w:w w:val="105"/>
        </w:rPr>
        <w:t> </w:t>
      </w:r>
      <w:r>
        <w:rPr>
          <w:color w:val="231F20"/>
          <w:w w:val="105"/>
        </w:rPr>
        <w:t>avvertite</w:t>
      </w:r>
      <w:r>
        <w:rPr>
          <w:color w:val="231F20"/>
          <w:spacing w:val="-16"/>
          <w:w w:val="105"/>
        </w:rPr>
        <w:t> </w:t>
      </w:r>
      <w:r>
        <w:rPr>
          <w:color w:val="231F20"/>
          <w:w w:val="105"/>
        </w:rPr>
        <w:t>nel presente</w:t>
      </w:r>
      <w:r>
        <w:rPr>
          <w:color w:val="231F20"/>
          <w:spacing w:val="-19"/>
          <w:w w:val="105"/>
        </w:rPr>
        <w:t> </w:t>
      </w:r>
      <w:r>
        <w:rPr>
          <w:color w:val="231F20"/>
          <w:w w:val="105"/>
        </w:rPr>
        <w:t>sono</w:t>
      </w:r>
      <w:r>
        <w:rPr>
          <w:color w:val="231F20"/>
          <w:spacing w:val="-19"/>
          <w:w w:val="105"/>
        </w:rPr>
        <w:t> </w:t>
      </w:r>
      <w:r>
        <w:rPr>
          <w:color w:val="231F20"/>
          <w:w w:val="105"/>
        </w:rPr>
        <w:t>viste</w:t>
      </w:r>
      <w:r>
        <w:rPr>
          <w:color w:val="231F20"/>
          <w:spacing w:val="-19"/>
          <w:w w:val="105"/>
        </w:rPr>
        <w:t> </w:t>
      </w:r>
      <w:r>
        <w:rPr>
          <w:color w:val="231F20"/>
          <w:w w:val="105"/>
        </w:rPr>
        <w:t>in</w:t>
      </w:r>
      <w:r>
        <w:rPr>
          <w:color w:val="231F20"/>
          <w:spacing w:val="-19"/>
          <w:w w:val="105"/>
        </w:rPr>
        <w:t> </w:t>
      </w:r>
      <w:r>
        <w:rPr>
          <w:color w:val="231F20"/>
          <w:w w:val="105"/>
        </w:rPr>
        <w:t>un’evoluzione</w:t>
      </w:r>
      <w:r>
        <w:rPr>
          <w:color w:val="231F20"/>
          <w:spacing w:val="-19"/>
          <w:w w:val="105"/>
        </w:rPr>
        <w:t> </w:t>
      </w:r>
      <w:r>
        <w:rPr>
          <w:color w:val="231F20"/>
          <w:w w:val="105"/>
        </w:rPr>
        <w:t>al</w:t>
      </w:r>
      <w:r>
        <w:rPr>
          <w:color w:val="231F20"/>
          <w:spacing w:val="-19"/>
          <w:w w:val="105"/>
        </w:rPr>
        <w:t> </w:t>
      </w:r>
      <w:r>
        <w:rPr>
          <w:color w:val="231F20"/>
          <w:w w:val="105"/>
        </w:rPr>
        <w:t>contempo</w:t>
      </w:r>
      <w:r>
        <w:rPr>
          <w:color w:val="231F20"/>
          <w:spacing w:val="-19"/>
          <w:w w:val="105"/>
        </w:rPr>
        <w:t> </w:t>
      </w:r>
      <w:r>
        <w:rPr>
          <w:color w:val="231F20"/>
          <w:w w:val="105"/>
        </w:rPr>
        <w:t>necessaria</w:t>
      </w:r>
      <w:r>
        <w:rPr>
          <w:color w:val="231F20"/>
          <w:spacing w:val="-19"/>
          <w:w w:val="105"/>
        </w:rPr>
        <w:t> </w:t>
      </w:r>
      <w:r>
        <w:rPr>
          <w:color w:val="231F20"/>
          <w:w w:val="105"/>
        </w:rPr>
        <w:t>e,</w:t>
      </w:r>
      <w:r>
        <w:rPr>
          <w:color w:val="231F20"/>
          <w:spacing w:val="-19"/>
          <w:w w:val="105"/>
        </w:rPr>
        <w:t> </w:t>
      </w:r>
      <w:r>
        <w:rPr>
          <w:color w:val="231F20"/>
          <w:w w:val="105"/>
        </w:rPr>
        <w:t>agli</w:t>
      </w:r>
      <w:r>
        <w:rPr>
          <w:color w:val="231F20"/>
          <w:spacing w:val="-19"/>
          <w:w w:val="105"/>
        </w:rPr>
        <w:t> </w:t>
      </w:r>
      <w:r>
        <w:rPr>
          <w:color w:val="231F20"/>
          <w:w w:val="105"/>
        </w:rPr>
        <w:t>occhi dell’oggi, pessimistica. Senza poter entrare nel merito di uno dei</w:t>
      </w:r>
      <w:r>
        <w:rPr>
          <w:color w:val="231F20"/>
          <w:spacing w:val="-7"/>
          <w:w w:val="105"/>
        </w:rPr>
        <w:t> </w:t>
      </w:r>
      <w:r>
        <w:rPr>
          <w:color w:val="231F20"/>
          <w:w w:val="105"/>
        </w:rPr>
        <w:t>generi</w:t>
      </w:r>
    </w:p>
    <w:p>
      <w:pPr>
        <w:pStyle w:val="BodyText"/>
        <w:spacing w:before="6"/>
        <w:rPr>
          <w:sz w:val="29"/>
        </w:rPr>
      </w:pPr>
      <w:r>
        <w:rPr/>
        <w:pict>
          <v:line style="position:absolute;mso-position-horizontal-relative:page;mso-position-vertical-relative:paragraph;z-index:12304;mso-wrap-distance-left:0;mso-wrap-distance-right:0" from="70.866096pt,19.906984pt" to="184.252096pt,19.906984pt" stroked="true" strokeweight=".3pt" strokecolor="#231f20">
            <w10:wrap type="topAndBottom"/>
          </v:line>
        </w:pict>
      </w:r>
    </w:p>
    <w:p>
      <w:pPr>
        <w:spacing w:line="206" w:lineRule="exact" w:before="10"/>
        <w:ind w:left="117" w:right="0" w:firstLine="0"/>
        <w:jc w:val="both"/>
        <w:rPr>
          <w:rFonts w:ascii="Calibri"/>
          <w:sz w:val="17"/>
        </w:rPr>
      </w:pPr>
      <w:r>
        <w:rPr>
          <w:rFonts w:ascii="Calibri"/>
          <w:color w:val="231F20"/>
          <w:position w:val="6"/>
          <w:sz w:val="10"/>
        </w:rPr>
        <w:t>7  </w:t>
      </w:r>
      <w:r>
        <w:rPr>
          <w:rFonts w:ascii="Calibri"/>
          <w:color w:val="231F20"/>
          <w:sz w:val="17"/>
        </w:rPr>
        <w:t>P. Schiera, </w:t>
      </w:r>
      <w:r>
        <w:rPr>
          <w:rFonts w:ascii="Calibri"/>
          <w:i/>
          <w:color w:val="231F20"/>
          <w:sz w:val="17"/>
        </w:rPr>
        <w:t>Lo Stato moderno. Origini e degenerazioni</w:t>
      </w:r>
      <w:r>
        <w:rPr>
          <w:rFonts w:ascii="Calibri"/>
          <w:color w:val="231F20"/>
          <w:sz w:val="17"/>
        </w:rPr>
        <w:t>, Bologna, il Mulino, 2004.</w:t>
      </w:r>
    </w:p>
    <w:p>
      <w:pPr>
        <w:spacing w:line="235" w:lineRule="auto" w:before="1"/>
        <w:ind w:left="117" w:right="121" w:firstLine="0"/>
        <w:jc w:val="both"/>
        <w:rPr>
          <w:rFonts w:ascii="Calibri" w:hAnsi="Calibri"/>
          <w:sz w:val="17"/>
        </w:rPr>
      </w:pPr>
      <w:r>
        <w:rPr>
          <w:rFonts w:ascii="Calibri" w:hAnsi="Calibri"/>
          <w:color w:val="231F20"/>
          <w:position w:val="6"/>
          <w:sz w:val="10"/>
        </w:rPr>
        <w:t>8 </w:t>
      </w:r>
      <w:r>
        <w:rPr>
          <w:rFonts w:ascii="Calibri" w:hAnsi="Calibri"/>
          <w:color w:val="231F20"/>
          <w:sz w:val="17"/>
        </w:rPr>
        <w:t>Che avevo raggiunto tramite A. Negri, </w:t>
      </w:r>
      <w:r>
        <w:rPr>
          <w:rFonts w:ascii="Calibri" w:hAnsi="Calibri"/>
          <w:i/>
          <w:color w:val="231F20"/>
          <w:sz w:val="17"/>
        </w:rPr>
        <w:t>Descartes politico o della ragionevole ideologia</w:t>
      </w:r>
      <w:r>
        <w:rPr>
          <w:rFonts w:ascii="Calibri" w:hAnsi="Calibri"/>
          <w:color w:val="231F20"/>
          <w:sz w:val="17"/>
        </w:rPr>
        <w:t>, Milano, Feltrinelli, 1970, ma </w:t>
      </w:r>
      <w:r>
        <w:rPr>
          <w:rFonts w:ascii="Calibri" w:hAnsi="Calibri"/>
          <w:i/>
          <w:color w:val="231F20"/>
          <w:sz w:val="17"/>
        </w:rPr>
        <w:t>cfr</w:t>
      </w:r>
      <w:r>
        <w:rPr>
          <w:rFonts w:ascii="Calibri" w:hAnsi="Calibri"/>
          <w:color w:val="231F20"/>
          <w:sz w:val="17"/>
        </w:rPr>
        <w:t>. il commento dello stesso Negri, trent’anni dopo in occasione della ripubblicazione del libro: “Descartes politico: metafisica e biopolitica”, en </w:t>
      </w:r>
      <w:r>
        <w:rPr>
          <w:rFonts w:ascii="Calibri" w:hAnsi="Calibri"/>
          <w:i/>
          <w:color w:val="231F20"/>
          <w:sz w:val="17"/>
        </w:rPr>
        <w:t>Scienza &amp; Politica</w:t>
      </w:r>
      <w:r>
        <w:rPr>
          <w:rFonts w:ascii="Calibri" w:hAnsi="Calibri"/>
          <w:color w:val="231F20"/>
          <w:sz w:val="17"/>
        </w:rPr>
        <w:t>, 16, 31, 2004, pp. 21–37.</w:t>
      </w:r>
    </w:p>
    <w:p>
      <w:pPr>
        <w:spacing w:line="235" w:lineRule="auto" w:before="0"/>
        <w:ind w:left="117" w:right="121" w:firstLine="0"/>
        <w:jc w:val="both"/>
        <w:rPr>
          <w:rFonts w:ascii="Calibri" w:hAnsi="Calibri"/>
          <w:sz w:val="17"/>
        </w:rPr>
      </w:pPr>
      <w:r>
        <w:rPr>
          <w:rFonts w:ascii="Calibri" w:hAnsi="Calibri"/>
          <w:color w:val="231F20"/>
          <w:position w:val="6"/>
          <w:sz w:val="10"/>
        </w:rPr>
        <w:t>9 </w:t>
      </w:r>
      <w:r>
        <w:rPr>
          <w:rFonts w:ascii="Calibri" w:hAnsi="Calibri"/>
          <w:color w:val="231F20"/>
          <w:sz w:val="17"/>
        </w:rPr>
        <w:t>P. Schiera, “L’ideologia come forma storicamente determinata del ‘politico’ nell’età moderna”, </w:t>
      </w:r>
      <w:r>
        <w:rPr>
          <w:rFonts w:ascii="Calibri" w:hAnsi="Calibri"/>
          <w:i/>
          <w:color w:val="231F20"/>
          <w:sz w:val="17"/>
        </w:rPr>
        <w:t>Aspetti e tendenze del diritto costituzionale. Scritti in onore di Costantino Mortati</w:t>
      </w:r>
      <w:r>
        <w:rPr>
          <w:rFonts w:ascii="Calibri" w:hAnsi="Calibri"/>
          <w:color w:val="231F20"/>
          <w:sz w:val="17"/>
        </w:rPr>
        <w:t>, vol. I, Milano, Giuffré, 1977, pp. 833–864. </w:t>
      </w:r>
      <w:r>
        <w:rPr>
          <w:rFonts w:ascii="Calibri" w:hAnsi="Calibri"/>
          <w:i/>
          <w:color w:val="231F20"/>
          <w:sz w:val="17"/>
        </w:rPr>
        <w:t>Cfr</w:t>
      </w:r>
      <w:r>
        <w:rPr>
          <w:rFonts w:ascii="Calibri" w:hAnsi="Calibri"/>
          <w:color w:val="231F20"/>
          <w:sz w:val="17"/>
        </w:rPr>
        <w:t>. ora M. Ricciardi, “L’ideologia come scienza politica del sociale”, </w:t>
      </w:r>
      <w:r>
        <w:rPr>
          <w:rFonts w:ascii="Calibri" w:hAnsi="Calibri"/>
          <w:i/>
          <w:color w:val="231F20"/>
          <w:sz w:val="17"/>
        </w:rPr>
        <w:t>Scienza &amp; Politica</w:t>
      </w:r>
      <w:r>
        <w:rPr>
          <w:rFonts w:ascii="Calibri" w:hAnsi="Calibri"/>
          <w:color w:val="231F20"/>
          <w:sz w:val="17"/>
        </w:rPr>
        <w:t>, 27, 2015, pp. 165–195.</w:t>
      </w:r>
    </w:p>
    <w:p>
      <w:pPr>
        <w:spacing w:line="235" w:lineRule="auto" w:before="0"/>
        <w:ind w:left="117" w:right="121" w:firstLine="0"/>
        <w:jc w:val="both"/>
        <w:rPr>
          <w:rFonts w:ascii="Calibri" w:hAnsi="Calibri"/>
          <w:sz w:val="17"/>
        </w:rPr>
      </w:pPr>
      <w:r>
        <w:rPr>
          <w:rFonts w:ascii="Calibri" w:hAnsi="Calibri"/>
          <w:color w:val="231F20"/>
          <w:w w:val="105"/>
          <w:position w:val="6"/>
          <w:sz w:val="10"/>
        </w:rPr>
        <w:t>10</w:t>
      </w:r>
      <w:r>
        <w:rPr>
          <w:rFonts w:ascii="Calibri" w:hAnsi="Calibri"/>
          <w:color w:val="231F20"/>
          <w:spacing w:val="4"/>
          <w:w w:val="105"/>
          <w:position w:val="6"/>
          <w:sz w:val="10"/>
        </w:rPr>
        <w:t> </w:t>
      </w:r>
      <w:r>
        <w:rPr>
          <w:rFonts w:ascii="Calibri" w:hAnsi="Calibri"/>
          <w:color w:val="231F20"/>
          <w:w w:val="105"/>
          <w:sz w:val="17"/>
        </w:rPr>
        <w:t>Il</w:t>
      </w:r>
      <w:r>
        <w:rPr>
          <w:rFonts w:ascii="Calibri" w:hAnsi="Calibri"/>
          <w:color w:val="231F20"/>
          <w:spacing w:val="-13"/>
          <w:w w:val="105"/>
          <w:sz w:val="17"/>
        </w:rPr>
        <w:t> </w:t>
      </w:r>
      <w:r>
        <w:rPr>
          <w:rFonts w:ascii="Calibri" w:hAnsi="Calibri"/>
          <w:color w:val="231F20"/>
          <w:w w:val="105"/>
          <w:sz w:val="17"/>
        </w:rPr>
        <w:t>quale</w:t>
      </w:r>
      <w:r>
        <w:rPr>
          <w:rFonts w:ascii="Calibri" w:hAnsi="Calibri"/>
          <w:color w:val="231F20"/>
          <w:spacing w:val="-13"/>
          <w:w w:val="105"/>
          <w:sz w:val="17"/>
        </w:rPr>
        <w:t> </w:t>
      </w:r>
      <w:r>
        <w:rPr>
          <w:rFonts w:ascii="Calibri" w:hAnsi="Calibri"/>
          <w:color w:val="231F20"/>
          <w:w w:val="105"/>
          <w:sz w:val="17"/>
        </w:rPr>
        <w:t>parla</w:t>
      </w:r>
      <w:r>
        <w:rPr>
          <w:rFonts w:ascii="Calibri" w:hAnsi="Calibri"/>
          <w:color w:val="231F20"/>
          <w:spacing w:val="-13"/>
          <w:w w:val="105"/>
          <w:sz w:val="17"/>
        </w:rPr>
        <w:t> </w:t>
      </w:r>
      <w:r>
        <w:rPr>
          <w:rFonts w:ascii="Calibri" w:hAnsi="Calibri"/>
          <w:color w:val="231F20"/>
          <w:w w:val="105"/>
          <w:sz w:val="17"/>
        </w:rPr>
        <w:t>“di</w:t>
      </w:r>
      <w:r>
        <w:rPr>
          <w:rFonts w:ascii="Calibri" w:hAnsi="Calibri"/>
          <w:color w:val="231F20"/>
          <w:spacing w:val="-13"/>
          <w:w w:val="105"/>
          <w:sz w:val="17"/>
        </w:rPr>
        <w:t> </w:t>
      </w:r>
      <w:r>
        <w:rPr>
          <w:rFonts w:ascii="Calibri" w:hAnsi="Calibri"/>
          <w:color w:val="231F20"/>
          <w:w w:val="105"/>
          <w:sz w:val="17"/>
        </w:rPr>
        <w:t>quel</w:t>
      </w:r>
      <w:r>
        <w:rPr>
          <w:rFonts w:ascii="Calibri" w:hAnsi="Calibri"/>
          <w:color w:val="231F20"/>
          <w:spacing w:val="-13"/>
          <w:w w:val="105"/>
          <w:sz w:val="17"/>
        </w:rPr>
        <w:t> </w:t>
      </w:r>
      <w:r>
        <w:rPr>
          <w:rFonts w:ascii="Calibri" w:hAnsi="Calibri"/>
          <w:color w:val="231F20"/>
          <w:w w:val="105"/>
          <w:sz w:val="17"/>
        </w:rPr>
        <w:t>dinamico</w:t>
      </w:r>
      <w:r>
        <w:rPr>
          <w:rFonts w:ascii="Calibri" w:hAnsi="Calibri"/>
          <w:color w:val="231F20"/>
          <w:spacing w:val="-13"/>
          <w:w w:val="105"/>
          <w:sz w:val="17"/>
        </w:rPr>
        <w:t> </w:t>
      </w:r>
      <w:r>
        <w:rPr>
          <w:rFonts w:ascii="Calibri" w:hAnsi="Calibri"/>
          <w:color w:val="231F20"/>
          <w:w w:val="105"/>
          <w:sz w:val="17"/>
        </w:rPr>
        <w:t>contesto</w:t>
      </w:r>
      <w:r>
        <w:rPr>
          <w:rFonts w:ascii="Calibri" w:hAnsi="Calibri"/>
          <w:color w:val="231F20"/>
          <w:spacing w:val="-13"/>
          <w:w w:val="105"/>
          <w:sz w:val="17"/>
        </w:rPr>
        <w:t> </w:t>
      </w:r>
      <w:r>
        <w:rPr>
          <w:rFonts w:ascii="Calibri" w:hAnsi="Calibri"/>
          <w:color w:val="231F20"/>
          <w:w w:val="105"/>
          <w:sz w:val="17"/>
        </w:rPr>
        <w:t>di</w:t>
      </w:r>
      <w:r>
        <w:rPr>
          <w:rFonts w:ascii="Calibri" w:hAnsi="Calibri"/>
          <w:color w:val="231F20"/>
          <w:spacing w:val="-13"/>
          <w:w w:val="105"/>
          <w:sz w:val="17"/>
        </w:rPr>
        <w:t> </w:t>
      </w:r>
      <w:r>
        <w:rPr>
          <w:rFonts w:ascii="Calibri" w:hAnsi="Calibri"/>
          <w:color w:val="231F20"/>
          <w:w w:val="105"/>
          <w:sz w:val="17"/>
        </w:rPr>
        <w:t>innovazione</w:t>
      </w:r>
      <w:r>
        <w:rPr>
          <w:rFonts w:ascii="Calibri" w:hAnsi="Calibri"/>
          <w:color w:val="231F20"/>
          <w:spacing w:val="-13"/>
          <w:w w:val="105"/>
          <w:sz w:val="17"/>
        </w:rPr>
        <w:t> </w:t>
      </w:r>
      <w:r>
        <w:rPr>
          <w:rFonts w:ascii="Calibri" w:hAnsi="Calibri"/>
          <w:color w:val="231F20"/>
          <w:w w:val="105"/>
          <w:sz w:val="17"/>
        </w:rPr>
        <w:t>e</w:t>
      </w:r>
      <w:r>
        <w:rPr>
          <w:rFonts w:ascii="Calibri" w:hAnsi="Calibri"/>
          <w:color w:val="231F20"/>
          <w:spacing w:val="-13"/>
          <w:w w:val="105"/>
          <w:sz w:val="17"/>
        </w:rPr>
        <w:t> </w:t>
      </w:r>
      <w:r>
        <w:rPr>
          <w:rFonts w:ascii="Calibri" w:hAnsi="Calibri"/>
          <w:color w:val="231F20"/>
          <w:w w:val="105"/>
          <w:sz w:val="17"/>
        </w:rPr>
        <w:t>“auto-trascendenza”</w:t>
      </w:r>
      <w:r>
        <w:rPr>
          <w:rFonts w:ascii="Calibri" w:hAnsi="Calibri"/>
          <w:color w:val="231F20"/>
          <w:spacing w:val="-13"/>
          <w:w w:val="105"/>
          <w:sz w:val="17"/>
        </w:rPr>
        <w:t> </w:t>
      </w:r>
      <w:r>
        <w:rPr>
          <w:rFonts w:ascii="Calibri" w:hAnsi="Calibri"/>
          <w:color w:val="231F20"/>
          <w:w w:val="105"/>
          <w:sz w:val="17"/>
        </w:rPr>
        <w:t>politica</w:t>
      </w:r>
      <w:r>
        <w:rPr>
          <w:rFonts w:ascii="Calibri" w:hAnsi="Calibri"/>
          <w:color w:val="231F20"/>
          <w:spacing w:val="-13"/>
          <w:w w:val="105"/>
          <w:sz w:val="17"/>
        </w:rPr>
        <w:t> </w:t>
      </w:r>
      <w:r>
        <w:rPr>
          <w:rFonts w:ascii="Calibri" w:hAnsi="Calibri"/>
          <w:color w:val="231F20"/>
          <w:w w:val="105"/>
          <w:sz w:val="17"/>
        </w:rPr>
        <w:t>e</w:t>
      </w:r>
      <w:r>
        <w:rPr>
          <w:rFonts w:ascii="Calibri" w:hAnsi="Calibri"/>
          <w:color w:val="231F20"/>
          <w:spacing w:val="-13"/>
          <w:w w:val="105"/>
          <w:sz w:val="17"/>
        </w:rPr>
        <w:t> </w:t>
      </w:r>
      <w:r>
        <w:rPr>
          <w:rFonts w:ascii="Calibri" w:hAnsi="Calibri"/>
          <w:color w:val="231F20"/>
          <w:w w:val="105"/>
          <w:sz w:val="17"/>
        </w:rPr>
        <w:t>sociale nel</w:t>
      </w:r>
      <w:r>
        <w:rPr>
          <w:rFonts w:ascii="Calibri" w:hAnsi="Calibri"/>
          <w:color w:val="231F20"/>
          <w:spacing w:val="-25"/>
          <w:w w:val="105"/>
          <w:sz w:val="17"/>
        </w:rPr>
        <w:t> </w:t>
      </w:r>
      <w:r>
        <w:rPr>
          <w:rFonts w:ascii="Calibri" w:hAnsi="Calibri"/>
          <w:color w:val="231F20"/>
          <w:w w:val="105"/>
          <w:sz w:val="17"/>
        </w:rPr>
        <w:t>quale</w:t>
      </w:r>
      <w:r>
        <w:rPr>
          <w:rFonts w:ascii="Calibri" w:hAnsi="Calibri"/>
          <w:color w:val="231F20"/>
          <w:spacing w:val="-25"/>
          <w:w w:val="105"/>
          <w:sz w:val="17"/>
        </w:rPr>
        <w:t> </w:t>
      </w:r>
      <w:r>
        <w:rPr>
          <w:rFonts w:ascii="Calibri" w:hAnsi="Calibri"/>
          <w:color w:val="231F20"/>
          <w:w w:val="105"/>
          <w:sz w:val="17"/>
        </w:rPr>
        <w:t>numerosi</w:t>
      </w:r>
      <w:r>
        <w:rPr>
          <w:rFonts w:ascii="Calibri" w:hAnsi="Calibri"/>
          <w:color w:val="231F20"/>
          <w:spacing w:val="-25"/>
          <w:w w:val="105"/>
          <w:sz w:val="17"/>
        </w:rPr>
        <w:t> </w:t>
      </w:r>
      <w:r>
        <w:rPr>
          <w:rFonts w:ascii="Calibri" w:hAnsi="Calibri"/>
          <w:color w:val="231F20"/>
          <w:w w:val="105"/>
          <w:sz w:val="17"/>
        </w:rPr>
        <w:t>interpreti</w:t>
      </w:r>
      <w:r>
        <w:rPr>
          <w:rFonts w:ascii="Calibri" w:hAnsi="Calibri"/>
          <w:color w:val="231F20"/>
          <w:spacing w:val="-25"/>
          <w:w w:val="105"/>
          <w:sz w:val="17"/>
        </w:rPr>
        <w:t> </w:t>
      </w:r>
      <w:r>
        <w:rPr>
          <w:rFonts w:ascii="Calibri" w:hAnsi="Calibri"/>
          <w:color w:val="231F20"/>
          <w:w w:val="105"/>
          <w:sz w:val="17"/>
        </w:rPr>
        <w:t>—a</w:t>
      </w:r>
      <w:r>
        <w:rPr>
          <w:rFonts w:ascii="Calibri" w:hAnsi="Calibri"/>
          <w:color w:val="231F20"/>
          <w:spacing w:val="-25"/>
          <w:w w:val="105"/>
          <w:sz w:val="17"/>
        </w:rPr>
        <w:t> </w:t>
      </w:r>
      <w:r>
        <w:rPr>
          <w:rFonts w:ascii="Calibri" w:hAnsi="Calibri"/>
          <w:color w:val="231F20"/>
          <w:w w:val="105"/>
          <w:sz w:val="17"/>
        </w:rPr>
        <w:t>partire</w:t>
      </w:r>
      <w:r>
        <w:rPr>
          <w:rFonts w:ascii="Calibri" w:hAnsi="Calibri"/>
          <w:color w:val="231F20"/>
          <w:spacing w:val="-25"/>
          <w:w w:val="105"/>
          <w:sz w:val="17"/>
        </w:rPr>
        <w:t> </w:t>
      </w:r>
      <w:r>
        <w:rPr>
          <w:rFonts w:ascii="Calibri" w:hAnsi="Calibri"/>
          <w:color w:val="231F20"/>
          <w:w w:val="105"/>
          <w:sz w:val="17"/>
        </w:rPr>
        <w:t>da</w:t>
      </w:r>
      <w:r>
        <w:rPr>
          <w:rFonts w:ascii="Calibri" w:hAnsi="Calibri"/>
          <w:color w:val="231F20"/>
          <w:spacing w:val="-25"/>
          <w:w w:val="105"/>
          <w:sz w:val="17"/>
        </w:rPr>
        <w:t> </w:t>
      </w:r>
      <w:r>
        <w:rPr>
          <w:rFonts w:ascii="Calibri" w:hAnsi="Calibri"/>
          <w:color w:val="231F20"/>
          <w:w w:val="105"/>
          <w:sz w:val="17"/>
        </w:rPr>
        <w:t>Koselleck—</w:t>
      </w:r>
      <w:r>
        <w:rPr>
          <w:rFonts w:ascii="Calibri" w:hAnsi="Calibri"/>
          <w:color w:val="231F20"/>
          <w:spacing w:val="-25"/>
          <w:w w:val="105"/>
          <w:sz w:val="17"/>
        </w:rPr>
        <w:t> </w:t>
      </w:r>
      <w:r>
        <w:rPr>
          <w:rFonts w:ascii="Calibri" w:hAnsi="Calibri"/>
          <w:color w:val="231F20"/>
          <w:w w:val="105"/>
          <w:sz w:val="17"/>
        </w:rPr>
        <w:t>hanno</w:t>
      </w:r>
      <w:r>
        <w:rPr>
          <w:rFonts w:ascii="Calibri" w:hAnsi="Calibri"/>
          <w:color w:val="231F20"/>
          <w:spacing w:val="-27"/>
          <w:w w:val="105"/>
          <w:sz w:val="17"/>
        </w:rPr>
        <w:t> </w:t>
      </w:r>
      <w:r>
        <w:rPr>
          <w:rFonts w:ascii="Calibri" w:hAnsi="Calibri"/>
          <w:color w:val="231F20"/>
          <w:w w:val="105"/>
          <w:sz w:val="17"/>
        </w:rPr>
        <w:t>voluto</w:t>
      </w:r>
      <w:r>
        <w:rPr>
          <w:rFonts w:ascii="Calibri" w:hAnsi="Calibri"/>
          <w:color w:val="231F20"/>
          <w:spacing w:val="-25"/>
          <w:w w:val="105"/>
          <w:sz w:val="17"/>
        </w:rPr>
        <w:t> </w:t>
      </w:r>
      <w:r>
        <w:rPr>
          <w:rFonts w:ascii="Calibri" w:hAnsi="Calibri"/>
          <w:color w:val="231F20"/>
          <w:w w:val="105"/>
          <w:sz w:val="17"/>
        </w:rPr>
        <w:t>cogliere</w:t>
      </w:r>
      <w:r>
        <w:rPr>
          <w:rFonts w:ascii="Calibri" w:hAnsi="Calibri"/>
          <w:color w:val="231F20"/>
          <w:spacing w:val="-25"/>
          <w:w w:val="105"/>
          <w:sz w:val="17"/>
        </w:rPr>
        <w:t> </w:t>
      </w:r>
      <w:r>
        <w:rPr>
          <w:rFonts w:ascii="Calibri" w:hAnsi="Calibri"/>
          <w:color w:val="231F20"/>
          <w:w w:val="105"/>
          <w:sz w:val="17"/>
        </w:rPr>
        <w:t>l’autentico</w:t>
      </w:r>
      <w:r>
        <w:rPr>
          <w:rFonts w:ascii="Calibri" w:hAnsi="Calibri"/>
          <w:color w:val="231F20"/>
          <w:spacing w:val="-25"/>
          <w:w w:val="105"/>
          <w:sz w:val="17"/>
        </w:rPr>
        <w:t> </w:t>
      </w:r>
      <w:r>
        <w:rPr>
          <w:rFonts w:ascii="Calibri" w:hAnsi="Calibri"/>
          <w:color w:val="231F20"/>
          <w:w w:val="105"/>
          <w:sz w:val="17"/>
        </w:rPr>
        <w:t>elemento caratterizzante della modernità come specifica costellazione epocale”: L. Scuccimarra, “Il</w:t>
      </w:r>
      <w:r>
        <w:rPr>
          <w:rFonts w:ascii="Calibri" w:hAnsi="Calibri"/>
          <w:color w:val="231F20"/>
          <w:spacing w:val="-18"/>
          <w:w w:val="105"/>
          <w:sz w:val="17"/>
        </w:rPr>
        <w:t> </w:t>
      </w:r>
      <w:r>
        <w:rPr>
          <w:rFonts w:ascii="Calibri" w:hAnsi="Calibri"/>
          <w:color w:val="231F20"/>
          <w:w w:val="105"/>
          <w:sz w:val="17"/>
        </w:rPr>
        <w:t>futuro della modernità. Sul dilemma della temporalità utopistica”, Ch. Dipper y </w:t>
      </w:r>
      <w:r>
        <w:rPr>
          <w:rFonts w:ascii="Calibri" w:hAnsi="Calibri"/>
          <w:color w:val="231F20"/>
          <w:spacing w:val="-10"/>
          <w:w w:val="105"/>
          <w:sz w:val="17"/>
        </w:rPr>
        <w:t>P. </w:t>
      </w:r>
      <w:r>
        <w:rPr>
          <w:rFonts w:ascii="Calibri" w:hAnsi="Calibri"/>
          <w:color w:val="231F20"/>
          <w:w w:val="105"/>
          <w:sz w:val="17"/>
        </w:rPr>
        <w:t>Pombeni (Eds.) </w:t>
      </w:r>
      <w:r>
        <w:rPr>
          <w:rFonts w:ascii="Calibri" w:hAnsi="Calibri"/>
          <w:i/>
          <w:color w:val="231F20"/>
          <w:w w:val="105"/>
          <w:sz w:val="17"/>
        </w:rPr>
        <w:t>Le </w:t>
      </w:r>
      <w:r>
        <w:rPr>
          <w:rFonts w:ascii="Calibri" w:hAnsi="Calibri"/>
          <w:i/>
          <w:color w:val="231F20"/>
          <w:sz w:val="17"/>
        </w:rPr>
        <w:t>ragioni</w:t>
      </w:r>
      <w:r>
        <w:rPr>
          <w:rFonts w:ascii="Calibri" w:hAnsi="Calibri"/>
          <w:i/>
          <w:color w:val="231F20"/>
          <w:spacing w:val="-9"/>
          <w:sz w:val="17"/>
        </w:rPr>
        <w:t> </w:t>
      </w:r>
      <w:r>
        <w:rPr>
          <w:rFonts w:ascii="Calibri" w:hAnsi="Calibri"/>
          <w:i/>
          <w:color w:val="231F20"/>
          <w:sz w:val="17"/>
        </w:rPr>
        <w:t>del</w:t>
      </w:r>
      <w:r>
        <w:rPr>
          <w:rFonts w:ascii="Calibri" w:hAnsi="Calibri"/>
          <w:i/>
          <w:color w:val="231F20"/>
          <w:spacing w:val="-9"/>
          <w:sz w:val="17"/>
        </w:rPr>
        <w:t> </w:t>
      </w:r>
      <w:r>
        <w:rPr>
          <w:rFonts w:ascii="Calibri" w:hAnsi="Calibri"/>
          <w:i/>
          <w:color w:val="231F20"/>
          <w:sz w:val="17"/>
        </w:rPr>
        <w:t>moderno</w:t>
      </w:r>
      <w:r>
        <w:rPr>
          <w:rFonts w:ascii="Calibri" w:hAnsi="Calibri"/>
          <w:color w:val="231F20"/>
          <w:sz w:val="17"/>
        </w:rPr>
        <w:t>,</w:t>
      </w:r>
      <w:r>
        <w:rPr>
          <w:rFonts w:ascii="Calibri" w:hAnsi="Calibri"/>
          <w:color w:val="231F20"/>
          <w:spacing w:val="-8"/>
          <w:sz w:val="17"/>
        </w:rPr>
        <w:t> </w:t>
      </w:r>
      <w:r>
        <w:rPr>
          <w:rFonts w:ascii="Calibri" w:hAnsi="Calibri"/>
          <w:color w:val="231F20"/>
          <w:sz w:val="17"/>
        </w:rPr>
        <w:t>p.</w:t>
      </w:r>
      <w:r>
        <w:rPr>
          <w:rFonts w:ascii="Calibri" w:hAnsi="Calibri"/>
          <w:color w:val="231F20"/>
          <w:spacing w:val="-8"/>
          <w:sz w:val="17"/>
        </w:rPr>
        <w:t> </w:t>
      </w:r>
      <w:r>
        <w:rPr>
          <w:rFonts w:ascii="Calibri" w:hAnsi="Calibri"/>
          <w:color w:val="231F20"/>
          <w:sz w:val="17"/>
        </w:rPr>
        <w:t>423.</w:t>
      </w:r>
    </w:p>
    <w:p>
      <w:pPr>
        <w:spacing w:after="0" w:line="235" w:lineRule="auto"/>
        <w:jc w:val="both"/>
        <w:rPr>
          <w:rFonts w:ascii="Calibri" w:hAnsi="Calibri"/>
          <w:sz w:val="17"/>
        </w:rPr>
        <w:sectPr>
          <w:pgSz w:w="9640" w:h="13890"/>
          <w:pgMar w:top="0" w:bottom="280" w:left="1300" w:right="1180"/>
        </w:sectPr>
      </w:pPr>
    </w:p>
    <w:p>
      <w:pPr>
        <w:pStyle w:val="BodyText"/>
        <w:spacing w:line="244" w:lineRule="auto" w:before="107"/>
        <w:ind w:left="103" w:right="114"/>
        <w:jc w:val="both"/>
      </w:pPr>
      <w:r>
        <w:rPr>
          <w:color w:val="231F20"/>
          <w:w w:val="105"/>
        </w:rPr>
        <w:t>più</w:t>
      </w:r>
      <w:r>
        <w:rPr>
          <w:color w:val="231F20"/>
          <w:spacing w:val="-45"/>
          <w:w w:val="105"/>
        </w:rPr>
        <w:t> </w:t>
      </w:r>
      <w:r>
        <w:rPr>
          <w:color w:val="231F20"/>
          <w:w w:val="105"/>
        </w:rPr>
        <w:t>“intrusivi”</w:t>
      </w:r>
      <w:r>
        <w:rPr>
          <w:color w:val="231F20"/>
          <w:spacing w:val="-45"/>
          <w:w w:val="105"/>
        </w:rPr>
        <w:t> </w:t>
      </w:r>
      <w:r>
        <w:rPr>
          <w:color w:val="231F20"/>
          <w:w w:val="105"/>
        </w:rPr>
        <w:t>della</w:t>
      </w:r>
      <w:r>
        <w:rPr>
          <w:color w:val="231F20"/>
          <w:spacing w:val="-45"/>
          <w:w w:val="105"/>
        </w:rPr>
        <w:t> </w:t>
      </w:r>
      <w:r>
        <w:rPr>
          <w:color w:val="231F20"/>
          <w:w w:val="105"/>
        </w:rPr>
        <w:t>produzione</w:t>
      </w:r>
      <w:r>
        <w:rPr>
          <w:color w:val="231F20"/>
          <w:spacing w:val="-45"/>
          <w:w w:val="105"/>
        </w:rPr>
        <w:t> </w:t>
      </w:r>
      <w:r>
        <w:rPr>
          <w:color w:val="231F20"/>
          <w:w w:val="105"/>
        </w:rPr>
        <w:t>culturale</w:t>
      </w:r>
      <w:r>
        <w:rPr>
          <w:color w:val="231F20"/>
          <w:spacing w:val="-45"/>
          <w:w w:val="105"/>
        </w:rPr>
        <w:t> </w:t>
      </w:r>
      <w:r>
        <w:rPr>
          <w:color w:val="231F20"/>
          <w:w w:val="105"/>
        </w:rPr>
        <w:t>contemporanea,</w:t>
      </w:r>
      <w:r>
        <w:rPr>
          <w:color w:val="231F20"/>
          <w:spacing w:val="-45"/>
          <w:w w:val="105"/>
        </w:rPr>
        <w:t> </w:t>
      </w:r>
      <w:r>
        <w:rPr>
          <w:color w:val="231F20"/>
          <w:w w:val="105"/>
        </w:rPr>
        <w:t>vorrei</w:t>
      </w:r>
      <w:r>
        <w:rPr>
          <w:color w:val="231F20"/>
          <w:spacing w:val="-45"/>
          <w:w w:val="105"/>
        </w:rPr>
        <w:t> </w:t>
      </w:r>
      <w:r>
        <w:rPr>
          <w:color w:val="231F20"/>
          <w:w w:val="105"/>
        </w:rPr>
        <w:t>chiedermi: com’è che è solo a partire dall’Ottocento che quel genere si presenta</w:t>
      </w:r>
      <w:r>
        <w:rPr>
          <w:color w:val="231F20"/>
          <w:spacing w:val="-28"/>
          <w:w w:val="105"/>
        </w:rPr>
        <w:t> </w:t>
      </w:r>
      <w:r>
        <w:rPr>
          <w:color w:val="231F20"/>
          <w:w w:val="105"/>
        </w:rPr>
        <w:t>in forza</w:t>
      </w:r>
      <w:r>
        <w:rPr>
          <w:color w:val="231F20"/>
          <w:spacing w:val="-15"/>
          <w:w w:val="105"/>
        </w:rPr>
        <w:t> </w:t>
      </w:r>
      <w:r>
        <w:rPr>
          <w:color w:val="231F20"/>
          <w:w w:val="105"/>
        </w:rPr>
        <w:t>e</w:t>
      </w:r>
      <w:r>
        <w:rPr>
          <w:color w:val="231F20"/>
          <w:spacing w:val="-15"/>
          <w:w w:val="105"/>
        </w:rPr>
        <w:t> </w:t>
      </w:r>
      <w:r>
        <w:rPr>
          <w:color w:val="231F20"/>
          <w:w w:val="105"/>
        </w:rPr>
        <w:t>proprio</w:t>
      </w:r>
      <w:r>
        <w:rPr>
          <w:color w:val="231F20"/>
          <w:spacing w:val="-15"/>
          <w:w w:val="105"/>
        </w:rPr>
        <w:t> </w:t>
      </w:r>
      <w:r>
        <w:rPr>
          <w:color w:val="231F20"/>
          <w:w w:val="105"/>
        </w:rPr>
        <w:t>in</w:t>
      </w:r>
      <w:r>
        <w:rPr>
          <w:color w:val="231F20"/>
          <w:spacing w:val="-15"/>
          <w:w w:val="105"/>
        </w:rPr>
        <w:t> </w:t>
      </w:r>
      <w:r>
        <w:rPr>
          <w:color w:val="231F20"/>
          <w:w w:val="105"/>
        </w:rPr>
        <w:t>un’Inghilterra</w:t>
      </w:r>
      <w:r>
        <w:rPr>
          <w:color w:val="231F20"/>
          <w:spacing w:val="-15"/>
          <w:w w:val="105"/>
        </w:rPr>
        <w:t> </w:t>
      </w:r>
      <w:r>
        <w:rPr>
          <w:color w:val="231F20"/>
          <w:w w:val="105"/>
        </w:rPr>
        <w:t>che</w:t>
      </w:r>
      <w:r>
        <w:rPr>
          <w:color w:val="231F20"/>
          <w:spacing w:val="-15"/>
          <w:w w:val="105"/>
        </w:rPr>
        <w:t> </w:t>
      </w:r>
      <w:r>
        <w:rPr>
          <w:color w:val="231F20"/>
          <w:w w:val="105"/>
        </w:rPr>
        <w:t>andava</w:t>
      </w:r>
      <w:r>
        <w:rPr>
          <w:color w:val="231F20"/>
          <w:spacing w:val="-15"/>
          <w:w w:val="105"/>
        </w:rPr>
        <w:t> </w:t>
      </w:r>
      <w:r>
        <w:rPr>
          <w:color w:val="231F20"/>
          <w:w w:val="105"/>
        </w:rPr>
        <w:t>costruendo</w:t>
      </w:r>
      <w:r>
        <w:rPr>
          <w:color w:val="231F20"/>
          <w:spacing w:val="-15"/>
          <w:w w:val="105"/>
        </w:rPr>
        <w:t> </w:t>
      </w:r>
      <w:r>
        <w:rPr>
          <w:color w:val="231F20"/>
          <w:w w:val="105"/>
        </w:rPr>
        <w:t>lo</w:t>
      </w:r>
      <w:r>
        <w:rPr>
          <w:color w:val="231F20"/>
          <w:spacing w:val="-15"/>
          <w:w w:val="105"/>
        </w:rPr>
        <w:t> </w:t>
      </w:r>
      <w:r>
        <w:rPr>
          <w:color w:val="231F20"/>
          <w:w w:val="105"/>
        </w:rPr>
        <w:t>standard</w:t>
      </w:r>
      <w:r>
        <w:rPr>
          <w:color w:val="231F20"/>
          <w:spacing w:val="-15"/>
          <w:w w:val="105"/>
        </w:rPr>
        <w:t> </w:t>
      </w:r>
      <w:r>
        <w:rPr>
          <w:color w:val="231F20"/>
          <w:w w:val="105"/>
        </w:rPr>
        <w:t>della </w:t>
      </w:r>
      <w:r>
        <w:rPr>
          <w:rFonts w:ascii="Arial" w:hAnsi="Arial"/>
          <w:i/>
          <w:color w:val="231F20"/>
          <w:w w:val="105"/>
        </w:rPr>
        <w:t>modernity</w:t>
      </w:r>
      <w:r>
        <w:rPr>
          <w:color w:val="231F20"/>
          <w:w w:val="105"/>
        </w:rPr>
        <w:t>? Detto meglio: com’è che verso la metà del </w:t>
      </w:r>
      <w:r>
        <w:rPr>
          <w:color w:val="231F20"/>
          <w:w w:val="105"/>
          <w:sz w:val="18"/>
        </w:rPr>
        <w:t>XIX </w:t>
      </w:r>
      <w:r>
        <w:rPr>
          <w:color w:val="231F20"/>
          <w:w w:val="105"/>
        </w:rPr>
        <w:t>secolo, l’idea illuministica</w:t>
      </w:r>
      <w:r>
        <w:rPr>
          <w:color w:val="231F20"/>
          <w:spacing w:val="-31"/>
          <w:w w:val="105"/>
        </w:rPr>
        <w:t> </w:t>
      </w:r>
      <w:r>
        <w:rPr>
          <w:color w:val="231F20"/>
          <w:w w:val="105"/>
        </w:rPr>
        <w:t>di</w:t>
      </w:r>
      <w:r>
        <w:rPr>
          <w:color w:val="231F20"/>
          <w:spacing w:val="-31"/>
          <w:w w:val="105"/>
        </w:rPr>
        <w:t> </w:t>
      </w:r>
      <w:r>
        <w:rPr>
          <w:color w:val="231F20"/>
          <w:w w:val="105"/>
        </w:rPr>
        <w:t>un</w:t>
      </w:r>
      <w:r>
        <w:rPr>
          <w:color w:val="231F20"/>
          <w:spacing w:val="-31"/>
          <w:w w:val="105"/>
        </w:rPr>
        <w:t> </w:t>
      </w:r>
      <w:r>
        <w:rPr>
          <w:color w:val="231F20"/>
          <w:w w:val="105"/>
        </w:rPr>
        <w:t>“moderno”</w:t>
      </w:r>
      <w:r>
        <w:rPr>
          <w:color w:val="231F20"/>
          <w:spacing w:val="-31"/>
          <w:w w:val="105"/>
        </w:rPr>
        <w:t> </w:t>
      </w:r>
      <w:r>
        <w:rPr>
          <w:color w:val="231F20"/>
          <w:w w:val="105"/>
        </w:rPr>
        <w:t>incentrato</w:t>
      </w:r>
      <w:r>
        <w:rPr>
          <w:color w:val="231F20"/>
          <w:spacing w:val="-31"/>
          <w:w w:val="105"/>
        </w:rPr>
        <w:t> </w:t>
      </w:r>
      <w:r>
        <w:rPr>
          <w:color w:val="231F20"/>
          <w:w w:val="105"/>
        </w:rPr>
        <w:t>nel</w:t>
      </w:r>
      <w:r>
        <w:rPr>
          <w:color w:val="231F20"/>
          <w:spacing w:val="-31"/>
          <w:w w:val="105"/>
        </w:rPr>
        <w:t> </w:t>
      </w:r>
      <w:r>
        <w:rPr>
          <w:color w:val="231F20"/>
          <w:w w:val="105"/>
        </w:rPr>
        <w:t>progresso,</w:t>
      </w:r>
      <w:r>
        <w:rPr>
          <w:color w:val="231F20"/>
          <w:spacing w:val="-31"/>
          <w:w w:val="105"/>
        </w:rPr>
        <w:t> </w:t>
      </w:r>
      <w:r>
        <w:rPr>
          <w:color w:val="231F20"/>
          <w:w w:val="105"/>
        </w:rPr>
        <w:t>tutto</w:t>
      </w:r>
      <w:r>
        <w:rPr>
          <w:color w:val="231F20"/>
          <w:spacing w:val="-31"/>
          <w:w w:val="105"/>
        </w:rPr>
        <w:t> </w:t>
      </w:r>
      <w:r>
        <w:rPr>
          <w:color w:val="231F20"/>
          <w:w w:val="105"/>
        </w:rPr>
        <w:t>fondato</w:t>
      </w:r>
      <w:r>
        <w:rPr>
          <w:color w:val="231F20"/>
          <w:spacing w:val="-31"/>
          <w:w w:val="105"/>
        </w:rPr>
        <w:t> </w:t>
      </w:r>
      <w:r>
        <w:rPr>
          <w:color w:val="231F20"/>
          <w:w w:val="105"/>
        </w:rPr>
        <w:t>a</w:t>
      </w:r>
      <w:r>
        <w:rPr>
          <w:color w:val="231F20"/>
          <w:spacing w:val="-31"/>
          <w:w w:val="105"/>
        </w:rPr>
        <w:t> </w:t>
      </w:r>
      <w:r>
        <w:rPr>
          <w:color w:val="231F20"/>
          <w:w w:val="105"/>
        </w:rPr>
        <w:t>sua volta</w:t>
      </w:r>
      <w:r>
        <w:rPr>
          <w:color w:val="231F20"/>
          <w:spacing w:val="-33"/>
          <w:w w:val="105"/>
        </w:rPr>
        <w:t> </w:t>
      </w:r>
      <w:r>
        <w:rPr>
          <w:color w:val="231F20"/>
          <w:w w:val="105"/>
        </w:rPr>
        <w:t>sulla</w:t>
      </w:r>
      <w:r>
        <w:rPr>
          <w:color w:val="231F20"/>
          <w:spacing w:val="-33"/>
          <w:w w:val="105"/>
        </w:rPr>
        <w:t> </w:t>
      </w:r>
      <w:r>
        <w:rPr>
          <w:color w:val="231F20"/>
          <w:w w:val="105"/>
        </w:rPr>
        <w:t>capacità</w:t>
      </w:r>
      <w:r>
        <w:rPr>
          <w:color w:val="231F20"/>
          <w:spacing w:val="-33"/>
          <w:w w:val="105"/>
        </w:rPr>
        <w:t> </w:t>
      </w:r>
      <w:r>
        <w:rPr>
          <w:color w:val="231F20"/>
          <w:w w:val="105"/>
        </w:rPr>
        <w:t>produttiva</w:t>
      </w:r>
      <w:r>
        <w:rPr>
          <w:color w:val="231F20"/>
          <w:spacing w:val="-33"/>
          <w:w w:val="105"/>
        </w:rPr>
        <w:t> </w:t>
      </w:r>
      <w:r>
        <w:rPr>
          <w:color w:val="231F20"/>
          <w:w w:val="105"/>
        </w:rPr>
        <w:t>dell’uomo</w:t>
      </w:r>
      <w:r>
        <w:rPr>
          <w:color w:val="231F20"/>
          <w:spacing w:val="-33"/>
          <w:w w:val="105"/>
        </w:rPr>
        <w:t> </w:t>
      </w:r>
      <w:r>
        <w:rPr>
          <w:color w:val="231F20"/>
          <w:w w:val="105"/>
        </w:rPr>
        <w:t>—o</w:t>
      </w:r>
      <w:r>
        <w:rPr>
          <w:color w:val="231F20"/>
          <w:spacing w:val="-33"/>
          <w:w w:val="105"/>
        </w:rPr>
        <w:t> </w:t>
      </w:r>
      <w:r>
        <w:rPr>
          <w:color w:val="231F20"/>
          <w:w w:val="105"/>
        </w:rPr>
        <w:t>magari</w:t>
      </w:r>
      <w:r>
        <w:rPr>
          <w:color w:val="231F20"/>
          <w:spacing w:val="-33"/>
          <w:w w:val="105"/>
        </w:rPr>
        <w:t> </w:t>
      </w:r>
      <w:r>
        <w:rPr>
          <w:color w:val="231F20"/>
          <w:w w:val="105"/>
        </w:rPr>
        <w:t>della</w:t>
      </w:r>
      <w:r>
        <w:rPr>
          <w:color w:val="231F20"/>
          <w:spacing w:val="-33"/>
          <w:w w:val="105"/>
        </w:rPr>
        <w:t> </w:t>
      </w:r>
      <w:r>
        <w:rPr>
          <w:color w:val="231F20"/>
          <w:w w:val="105"/>
        </w:rPr>
        <w:t>borghesia</w:t>
      </w:r>
      <w:r>
        <w:rPr>
          <w:color w:val="231F20"/>
          <w:spacing w:val="-33"/>
          <w:w w:val="105"/>
        </w:rPr>
        <w:t> </w:t>
      </w:r>
      <w:r>
        <w:rPr>
          <w:color w:val="231F20"/>
          <w:w w:val="105"/>
        </w:rPr>
        <w:t>(</w:t>
      </w:r>
      <w:r>
        <w:rPr>
          <w:rFonts w:ascii="Arial" w:hAnsi="Arial"/>
          <w:i/>
          <w:color w:val="231F20"/>
          <w:w w:val="105"/>
        </w:rPr>
        <w:t>vertu </w:t>
      </w:r>
      <w:r>
        <w:rPr>
          <w:rFonts w:ascii="Arial" w:hAnsi="Arial"/>
          <w:i/>
          <w:color w:val="231F20"/>
          <w:w w:val="105"/>
        </w:rPr>
        <w:t>mesure</w:t>
      </w:r>
      <w:r>
        <w:rPr>
          <w:rFonts w:ascii="Arial" w:hAnsi="Arial"/>
          <w:i/>
          <w:color w:val="231F20"/>
          <w:spacing w:val="-24"/>
          <w:w w:val="105"/>
        </w:rPr>
        <w:t> </w:t>
      </w:r>
      <w:r>
        <w:rPr>
          <w:rFonts w:ascii="Arial" w:hAnsi="Arial"/>
          <w:i/>
          <w:color w:val="231F20"/>
          <w:w w:val="105"/>
        </w:rPr>
        <w:t>du</w:t>
      </w:r>
      <w:r>
        <w:rPr>
          <w:rFonts w:ascii="Arial" w:hAnsi="Arial"/>
          <w:i/>
          <w:color w:val="231F20"/>
          <w:spacing w:val="-24"/>
          <w:w w:val="105"/>
        </w:rPr>
        <w:t> </w:t>
      </w:r>
      <w:r>
        <w:rPr>
          <w:rFonts w:ascii="Arial" w:hAnsi="Arial"/>
          <w:i/>
          <w:color w:val="231F20"/>
          <w:w w:val="105"/>
        </w:rPr>
        <w:t>bonheur</w:t>
      </w:r>
      <w:r>
        <w:rPr>
          <w:color w:val="231F20"/>
          <w:w w:val="105"/>
        </w:rPr>
        <w:t>)—</w:t>
      </w:r>
      <w:r>
        <w:rPr>
          <w:color w:val="231F20"/>
          <w:spacing w:val="-31"/>
          <w:w w:val="105"/>
        </w:rPr>
        <w:t> </w:t>
      </w:r>
      <w:r>
        <w:rPr>
          <w:color w:val="231F20"/>
          <w:w w:val="105"/>
        </w:rPr>
        <w:t>quasi</w:t>
      </w:r>
      <w:r>
        <w:rPr>
          <w:color w:val="231F20"/>
          <w:spacing w:val="-31"/>
          <w:w w:val="105"/>
        </w:rPr>
        <w:t> </w:t>
      </w:r>
      <w:r>
        <w:rPr>
          <w:color w:val="231F20"/>
          <w:w w:val="105"/>
        </w:rPr>
        <w:t>inavvertitamente</w:t>
      </w:r>
      <w:r>
        <w:rPr>
          <w:color w:val="231F20"/>
          <w:spacing w:val="-31"/>
          <w:w w:val="105"/>
        </w:rPr>
        <w:t> </w:t>
      </w:r>
      <w:r>
        <w:rPr>
          <w:color w:val="231F20"/>
          <w:w w:val="105"/>
        </w:rPr>
        <w:t>si</w:t>
      </w:r>
      <w:r>
        <w:rPr>
          <w:color w:val="231F20"/>
          <w:spacing w:val="-31"/>
          <w:w w:val="105"/>
        </w:rPr>
        <w:t> </w:t>
      </w:r>
      <w:r>
        <w:rPr>
          <w:color w:val="231F20"/>
          <w:w w:val="105"/>
        </w:rPr>
        <w:t>rovesciò</w:t>
      </w:r>
      <w:r>
        <w:rPr>
          <w:color w:val="231F20"/>
          <w:spacing w:val="-31"/>
          <w:w w:val="105"/>
        </w:rPr>
        <w:t> </w:t>
      </w:r>
      <w:r>
        <w:rPr>
          <w:color w:val="231F20"/>
          <w:w w:val="105"/>
        </w:rPr>
        <w:t>in</w:t>
      </w:r>
      <w:r>
        <w:rPr>
          <w:color w:val="231F20"/>
          <w:spacing w:val="-31"/>
          <w:w w:val="105"/>
        </w:rPr>
        <w:t> </w:t>
      </w:r>
      <w:r>
        <w:rPr>
          <w:color w:val="231F20"/>
          <w:w w:val="105"/>
        </w:rPr>
        <w:t>una</w:t>
      </w:r>
      <w:r>
        <w:rPr>
          <w:color w:val="231F20"/>
          <w:spacing w:val="-31"/>
          <w:w w:val="105"/>
        </w:rPr>
        <w:t> </w:t>
      </w:r>
      <w:r>
        <w:rPr>
          <w:color w:val="231F20"/>
          <w:w w:val="105"/>
        </w:rPr>
        <w:t>visione</w:t>
      </w:r>
      <w:r>
        <w:rPr>
          <w:color w:val="231F20"/>
          <w:spacing w:val="-31"/>
          <w:w w:val="105"/>
        </w:rPr>
        <w:t> </w:t>
      </w:r>
      <w:r>
        <w:rPr>
          <w:color w:val="231F20"/>
          <w:w w:val="105"/>
        </w:rPr>
        <w:t>di quello</w:t>
      </w:r>
      <w:r>
        <w:rPr>
          <w:color w:val="231F20"/>
          <w:spacing w:val="-41"/>
          <w:w w:val="105"/>
        </w:rPr>
        <w:t> </w:t>
      </w:r>
      <w:r>
        <w:rPr>
          <w:color w:val="231F20"/>
          <w:w w:val="105"/>
        </w:rPr>
        <w:t>stesso</w:t>
      </w:r>
      <w:r>
        <w:rPr>
          <w:color w:val="231F20"/>
          <w:spacing w:val="-41"/>
          <w:w w:val="105"/>
        </w:rPr>
        <w:t> </w:t>
      </w:r>
      <w:r>
        <w:rPr>
          <w:color w:val="231F20"/>
          <w:w w:val="105"/>
        </w:rPr>
        <w:t>moderno</w:t>
      </w:r>
      <w:r>
        <w:rPr>
          <w:color w:val="231F20"/>
          <w:spacing w:val="-41"/>
          <w:w w:val="105"/>
        </w:rPr>
        <w:t> </w:t>
      </w:r>
      <w:r>
        <w:rPr>
          <w:color w:val="231F20"/>
          <w:w w:val="105"/>
        </w:rPr>
        <w:t>incentrata</w:t>
      </w:r>
      <w:r>
        <w:rPr>
          <w:color w:val="231F20"/>
          <w:spacing w:val="-41"/>
          <w:w w:val="105"/>
        </w:rPr>
        <w:t> </w:t>
      </w:r>
      <w:r>
        <w:rPr>
          <w:color w:val="231F20"/>
          <w:w w:val="105"/>
        </w:rPr>
        <w:t>invece</w:t>
      </w:r>
      <w:r>
        <w:rPr>
          <w:color w:val="231F20"/>
          <w:spacing w:val="-41"/>
          <w:w w:val="105"/>
        </w:rPr>
        <w:t> </w:t>
      </w:r>
      <w:r>
        <w:rPr>
          <w:color w:val="231F20"/>
          <w:w w:val="105"/>
        </w:rPr>
        <w:t>sulle</w:t>
      </w:r>
      <w:r>
        <w:rPr>
          <w:color w:val="231F20"/>
          <w:spacing w:val="-41"/>
          <w:w w:val="105"/>
        </w:rPr>
        <w:t> </w:t>
      </w:r>
      <w:r>
        <w:rPr>
          <w:color w:val="231F20"/>
          <w:w w:val="105"/>
        </w:rPr>
        <w:t>specie</w:t>
      </w:r>
      <w:r>
        <w:rPr>
          <w:color w:val="231F20"/>
          <w:spacing w:val="-41"/>
          <w:w w:val="105"/>
        </w:rPr>
        <w:t> </w:t>
      </w:r>
      <w:r>
        <w:rPr>
          <w:color w:val="231F20"/>
          <w:w w:val="105"/>
        </w:rPr>
        <w:t>(fra</w:t>
      </w:r>
      <w:r>
        <w:rPr>
          <w:color w:val="231F20"/>
          <w:spacing w:val="-41"/>
          <w:w w:val="105"/>
        </w:rPr>
        <w:t> </w:t>
      </w:r>
      <w:r>
        <w:rPr>
          <w:color w:val="231F20"/>
          <w:w w:val="105"/>
        </w:rPr>
        <w:t>cui</w:t>
      </w:r>
      <w:r>
        <w:rPr>
          <w:color w:val="231F20"/>
          <w:spacing w:val="-41"/>
          <w:w w:val="105"/>
        </w:rPr>
        <w:t> </w:t>
      </w:r>
      <w:r>
        <w:rPr>
          <w:color w:val="231F20"/>
          <w:w w:val="105"/>
        </w:rPr>
        <w:t>quella</w:t>
      </w:r>
      <w:r>
        <w:rPr>
          <w:color w:val="231F20"/>
          <w:spacing w:val="-41"/>
          <w:w w:val="105"/>
        </w:rPr>
        <w:t> </w:t>
      </w:r>
      <w:r>
        <w:rPr>
          <w:color w:val="231F20"/>
          <w:w w:val="105"/>
        </w:rPr>
        <w:t>umana) e</w:t>
      </w:r>
      <w:r>
        <w:rPr>
          <w:color w:val="231F20"/>
          <w:spacing w:val="-36"/>
          <w:w w:val="105"/>
        </w:rPr>
        <w:t> </w:t>
      </w:r>
      <w:r>
        <w:rPr>
          <w:color w:val="231F20"/>
          <w:w w:val="105"/>
        </w:rPr>
        <w:t>sulla</w:t>
      </w:r>
      <w:r>
        <w:rPr>
          <w:color w:val="231F20"/>
          <w:spacing w:val="-36"/>
          <w:w w:val="105"/>
        </w:rPr>
        <w:t> </w:t>
      </w:r>
      <w:r>
        <w:rPr>
          <w:color w:val="231F20"/>
          <w:w w:val="105"/>
        </w:rPr>
        <w:t>capacità</w:t>
      </w:r>
      <w:r>
        <w:rPr>
          <w:color w:val="231F20"/>
          <w:spacing w:val="-36"/>
          <w:w w:val="105"/>
        </w:rPr>
        <w:t> </w:t>
      </w:r>
      <w:r>
        <w:rPr>
          <w:color w:val="231F20"/>
          <w:w w:val="105"/>
        </w:rPr>
        <w:t>evolutiva</w:t>
      </w:r>
      <w:r>
        <w:rPr>
          <w:color w:val="231F20"/>
          <w:spacing w:val="-36"/>
          <w:w w:val="105"/>
        </w:rPr>
        <w:t> </w:t>
      </w:r>
      <w:r>
        <w:rPr>
          <w:color w:val="231F20"/>
          <w:w w:val="105"/>
        </w:rPr>
        <w:t>anche</w:t>
      </w:r>
      <w:r>
        <w:rPr>
          <w:color w:val="231F20"/>
          <w:spacing w:val="-36"/>
          <w:w w:val="105"/>
        </w:rPr>
        <w:t> </w:t>
      </w:r>
      <w:r>
        <w:rPr>
          <w:color w:val="231F20"/>
          <w:w w:val="105"/>
        </w:rPr>
        <w:t>di</w:t>
      </w:r>
      <w:r>
        <w:rPr>
          <w:color w:val="231F20"/>
          <w:spacing w:val="-36"/>
          <w:w w:val="105"/>
        </w:rPr>
        <w:t> </w:t>
      </w:r>
      <w:r>
        <w:rPr>
          <w:color w:val="231F20"/>
          <w:w w:val="105"/>
        </w:rPr>
        <w:t>quest’ultima?</w:t>
      </w:r>
    </w:p>
    <w:p>
      <w:pPr>
        <w:pStyle w:val="BodyText"/>
        <w:spacing w:line="247" w:lineRule="auto" w:before="1"/>
        <w:ind w:left="103" w:right="113" w:firstLine="566"/>
        <w:jc w:val="both"/>
      </w:pPr>
      <w:r>
        <w:rPr>
          <w:color w:val="231F20"/>
          <w:w w:val="105"/>
        </w:rPr>
        <w:t>In</w:t>
      </w:r>
      <w:r>
        <w:rPr>
          <w:color w:val="231F20"/>
          <w:spacing w:val="-12"/>
          <w:w w:val="105"/>
        </w:rPr>
        <w:t> </w:t>
      </w:r>
      <w:r>
        <w:rPr>
          <w:color w:val="231F20"/>
          <w:w w:val="105"/>
        </w:rPr>
        <w:t>quel</w:t>
      </w:r>
      <w:r>
        <w:rPr>
          <w:color w:val="231F20"/>
          <w:spacing w:val="-12"/>
          <w:w w:val="105"/>
        </w:rPr>
        <w:t> </w:t>
      </w:r>
      <w:r>
        <w:rPr>
          <w:color w:val="231F20"/>
          <w:w w:val="105"/>
        </w:rPr>
        <w:t>passaggio,</w:t>
      </w:r>
      <w:r>
        <w:rPr>
          <w:color w:val="231F20"/>
          <w:spacing w:val="-12"/>
          <w:w w:val="105"/>
        </w:rPr>
        <w:t> </w:t>
      </w:r>
      <w:r>
        <w:rPr>
          <w:color w:val="231F20"/>
          <w:w w:val="105"/>
        </w:rPr>
        <w:t>salta</w:t>
      </w:r>
      <w:r>
        <w:rPr>
          <w:color w:val="231F20"/>
          <w:spacing w:val="-12"/>
          <w:w w:val="105"/>
        </w:rPr>
        <w:t> </w:t>
      </w:r>
      <w:r>
        <w:rPr>
          <w:color w:val="231F20"/>
          <w:w w:val="105"/>
        </w:rPr>
        <w:t>il</w:t>
      </w:r>
      <w:r>
        <w:rPr>
          <w:color w:val="231F20"/>
          <w:spacing w:val="-12"/>
          <w:w w:val="105"/>
        </w:rPr>
        <w:t> </w:t>
      </w:r>
      <w:r>
        <w:rPr>
          <w:color w:val="231F20"/>
          <w:w w:val="105"/>
        </w:rPr>
        <w:t>tempo</w:t>
      </w:r>
      <w:r>
        <w:rPr>
          <w:color w:val="231F20"/>
          <w:spacing w:val="-12"/>
          <w:w w:val="105"/>
        </w:rPr>
        <w:t> </w:t>
      </w:r>
      <w:r>
        <w:rPr>
          <w:color w:val="231F20"/>
          <w:w w:val="105"/>
        </w:rPr>
        <w:t>e</w:t>
      </w:r>
      <w:r>
        <w:rPr>
          <w:color w:val="231F20"/>
          <w:spacing w:val="-12"/>
          <w:w w:val="105"/>
        </w:rPr>
        <w:t> </w:t>
      </w:r>
      <w:r>
        <w:rPr>
          <w:color w:val="231F20"/>
          <w:w w:val="105"/>
        </w:rPr>
        <w:t>anche</w:t>
      </w:r>
      <w:r>
        <w:rPr>
          <w:color w:val="231F20"/>
          <w:spacing w:val="-12"/>
          <w:w w:val="105"/>
        </w:rPr>
        <w:t> </w:t>
      </w:r>
      <w:r>
        <w:rPr>
          <w:color w:val="231F20"/>
          <w:w w:val="105"/>
        </w:rPr>
        <w:t>la</w:t>
      </w:r>
      <w:r>
        <w:rPr>
          <w:color w:val="231F20"/>
          <w:spacing w:val="-12"/>
          <w:w w:val="105"/>
        </w:rPr>
        <w:t> </w:t>
      </w:r>
      <w:r>
        <w:rPr>
          <w:color w:val="231F20"/>
          <w:w w:val="105"/>
        </w:rPr>
        <w:t>fede,</w:t>
      </w:r>
      <w:r>
        <w:rPr>
          <w:color w:val="231F20"/>
          <w:spacing w:val="-12"/>
          <w:w w:val="105"/>
        </w:rPr>
        <w:t> </w:t>
      </w:r>
      <w:r>
        <w:rPr>
          <w:color w:val="231F20"/>
          <w:w w:val="105"/>
        </w:rPr>
        <w:t>che</w:t>
      </w:r>
      <w:r>
        <w:rPr>
          <w:color w:val="231F20"/>
          <w:spacing w:val="-12"/>
          <w:w w:val="105"/>
        </w:rPr>
        <w:t> </w:t>
      </w:r>
      <w:r>
        <w:rPr>
          <w:color w:val="231F20"/>
          <w:w w:val="105"/>
        </w:rPr>
        <w:t>erano</w:t>
      </w:r>
      <w:r>
        <w:rPr>
          <w:color w:val="231F20"/>
          <w:spacing w:val="-12"/>
          <w:w w:val="105"/>
        </w:rPr>
        <w:t> </w:t>
      </w:r>
      <w:r>
        <w:rPr>
          <w:color w:val="231F20"/>
          <w:w w:val="105"/>
        </w:rPr>
        <w:t>forse</w:t>
      </w:r>
      <w:r>
        <w:rPr>
          <w:color w:val="231F20"/>
          <w:spacing w:val="-12"/>
          <w:w w:val="105"/>
        </w:rPr>
        <w:t> </w:t>
      </w:r>
      <w:r>
        <w:rPr>
          <w:color w:val="231F20"/>
          <w:w w:val="105"/>
        </w:rPr>
        <w:t>i </w:t>
      </w:r>
      <w:r>
        <w:rPr>
          <w:color w:val="231F20"/>
        </w:rPr>
        <w:t>caratteri</w:t>
      </w:r>
      <w:r>
        <w:rPr>
          <w:color w:val="231F20"/>
          <w:spacing w:val="-24"/>
        </w:rPr>
        <w:t> </w:t>
      </w:r>
      <w:r>
        <w:rPr>
          <w:color w:val="231F20"/>
        </w:rPr>
        <w:t>principali</w:t>
      </w:r>
      <w:r>
        <w:rPr>
          <w:color w:val="231F20"/>
          <w:spacing w:val="-24"/>
        </w:rPr>
        <w:t> </w:t>
      </w:r>
      <w:r>
        <w:rPr>
          <w:color w:val="231F20"/>
        </w:rPr>
        <w:t>della</w:t>
      </w:r>
      <w:r>
        <w:rPr>
          <w:color w:val="231F20"/>
          <w:spacing w:val="-24"/>
        </w:rPr>
        <w:t> </w:t>
      </w:r>
      <w:r>
        <w:rPr>
          <w:color w:val="231F20"/>
        </w:rPr>
        <w:t>vecchia</w:t>
      </w:r>
      <w:r>
        <w:rPr>
          <w:color w:val="231F20"/>
          <w:spacing w:val="-24"/>
        </w:rPr>
        <w:t> </w:t>
      </w:r>
      <w:r>
        <w:rPr>
          <w:color w:val="231F20"/>
        </w:rPr>
        <w:t>idea</w:t>
      </w:r>
      <w:r>
        <w:rPr>
          <w:color w:val="231F20"/>
          <w:spacing w:val="-24"/>
        </w:rPr>
        <w:t> </w:t>
      </w:r>
      <w:r>
        <w:rPr>
          <w:color w:val="231F20"/>
        </w:rPr>
        <w:t>di</w:t>
      </w:r>
      <w:r>
        <w:rPr>
          <w:color w:val="231F20"/>
          <w:spacing w:val="-24"/>
        </w:rPr>
        <w:t> </w:t>
      </w:r>
      <w:r>
        <w:rPr>
          <w:color w:val="231F20"/>
        </w:rPr>
        <w:t>modernità,</w:t>
      </w:r>
      <w:r>
        <w:rPr>
          <w:color w:val="231F20"/>
          <w:spacing w:val="-24"/>
        </w:rPr>
        <w:t> </w:t>
      </w:r>
      <w:r>
        <w:rPr>
          <w:color w:val="231F20"/>
        </w:rPr>
        <w:t>illuministica</w:t>
      </w:r>
      <w:r>
        <w:rPr>
          <w:color w:val="231F20"/>
          <w:spacing w:val="-24"/>
        </w:rPr>
        <w:t> </w:t>
      </w:r>
      <w:r>
        <w:rPr>
          <w:color w:val="231F20"/>
        </w:rPr>
        <w:t>e</w:t>
      </w:r>
      <w:r>
        <w:rPr>
          <w:color w:val="231F20"/>
          <w:spacing w:val="-24"/>
        </w:rPr>
        <w:t> </w:t>
      </w:r>
      <w:r>
        <w:rPr>
          <w:color w:val="231F20"/>
        </w:rPr>
        <w:t>capitalistica </w:t>
      </w:r>
      <w:r>
        <w:rPr>
          <w:color w:val="231F20"/>
          <w:w w:val="105"/>
        </w:rPr>
        <w:t>e</w:t>
      </w:r>
      <w:r>
        <w:rPr>
          <w:color w:val="231F20"/>
          <w:spacing w:val="-38"/>
          <w:w w:val="105"/>
        </w:rPr>
        <w:t> </w:t>
      </w:r>
      <w:r>
        <w:rPr>
          <w:color w:val="231F20"/>
          <w:spacing w:val="-3"/>
          <w:w w:val="105"/>
        </w:rPr>
        <w:t>borghese.</w:t>
      </w:r>
      <w:r>
        <w:rPr>
          <w:color w:val="231F20"/>
          <w:spacing w:val="-38"/>
          <w:w w:val="105"/>
        </w:rPr>
        <w:t> </w:t>
      </w:r>
      <w:r>
        <w:rPr>
          <w:color w:val="231F20"/>
          <w:spacing w:val="-5"/>
          <w:w w:val="105"/>
        </w:rPr>
        <w:t>L’evoluzione</w:t>
      </w:r>
      <w:r>
        <w:rPr>
          <w:color w:val="231F20"/>
          <w:spacing w:val="-38"/>
          <w:w w:val="105"/>
        </w:rPr>
        <w:t> </w:t>
      </w:r>
      <w:r>
        <w:rPr>
          <w:color w:val="231F20"/>
          <w:w w:val="105"/>
        </w:rPr>
        <w:t>non</w:t>
      </w:r>
      <w:r>
        <w:rPr>
          <w:color w:val="231F20"/>
          <w:spacing w:val="-38"/>
          <w:w w:val="105"/>
        </w:rPr>
        <w:t> </w:t>
      </w:r>
      <w:r>
        <w:rPr>
          <w:color w:val="231F20"/>
          <w:w w:val="105"/>
        </w:rPr>
        <w:t>ha</w:t>
      </w:r>
      <w:r>
        <w:rPr>
          <w:color w:val="231F20"/>
          <w:spacing w:val="-38"/>
          <w:w w:val="105"/>
        </w:rPr>
        <w:t> </w:t>
      </w:r>
      <w:r>
        <w:rPr>
          <w:color w:val="231F20"/>
          <w:w w:val="105"/>
        </w:rPr>
        <w:t>più</w:t>
      </w:r>
      <w:r>
        <w:rPr>
          <w:color w:val="231F20"/>
          <w:spacing w:val="-38"/>
          <w:w w:val="105"/>
        </w:rPr>
        <w:t> </w:t>
      </w:r>
      <w:r>
        <w:rPr>
          <w:color w:val="231F20"/>
          <w:spacing w:val="-3"/>
          <w:w w:val="105"/>
        </w:rPr>
        <w:t>bisogno</w:t>
      </w:r>
      <w:r>
        <w:rPr>
          <w:color w:val="231F20"/>
          <w:spacing w:val="-38"/>
          <w:w w:val="105"/>
        </w:rPr>
        <w:t> </w:t>
      </w:r>
      <w:r>
        <w:rPr>
          <w:color w:val="231F20"/>
          <w:spacing w:val="-3"/>
          <w:w w:val="105"/>
        </w:rPr>
        <w:t>—come</w:t>
      </w:r>
      <w:r>
        <w:rPr>
          <w:color w:val="231F20"/>
          <w:spacing w:val="-38"/>
          <w:w w:val="105"/>
        </w:rPr>
        <w:t> </w:t>
      </w:r>
      <w:r>
        <w:rPr>
          <w:color w:val="231F20"/>
          <w:w w:val="105"/>
        </w:rPr>
        <w:t>ne</w:t>
      </w:r>
      <w:r>
        <w:rPr>
          <w:color w:val="231F20"/>
          <w:spacing w:val="-38"/>
          <w:w w:val="105"/>
        </w:rPr>
        <w:t> </w:t>
      </w:r>
      <w:r>
        <w:rPr>
          <w:color w:val="231F20"/>
          <w:spacing w:val="-3"/>
          <w:w w:val="105"/>
        </w:rPr>
        <w:t>aveva</w:t>
      </w:r>
      <w:r>
        <w:rPr>
          <w:color w:val="231F20"/>
          <w:spacing w:val="-38"/>
          <w:w w:val="105"/>
        </w:rPr>
        <w:t> </w:t>
      </w:r>
      <w:r>
        <w:rPr>
          <w:color w:val="231F20"/>
          <w:w w:val="105"/>
        </w:rPr>
        <w:t>il</w:t>
      </w:r>
      <w:r>
        <w:rPr>
          <w:color w:val="231F20"/>
          <w:spacing w:val="-38"/>
          <w:w w:val="105"/>
        </w:rPr>
        <w:t> </w:t>
      </w:r>
      <w:r>
        <w:rPr>
          <w:color w:val="231F20"/>
          <w:spacing w:val="-4"/>
          <w:w w:val="105"/>
        </w:rPr>
        <w:t>progresso— </w:t>
      </w:r>
      <w:r>
        <w:rPr>
          <w:color w:val="231F20"/>
          <w:w w:val="105"/>
        </w:rPr>
        <w:t>né di tempo né di fede (e forse neanche di borghesia). Ci sarà certo di mezzo Darwin, oltre a Spencer</w:t>
      </w:r>
      <w:r>
        <w:rPr>
          <w:color w:val="231F20"/>
          <w:w w:val="105"/>
          <w:position w:val="7"/>
          <w:sz w:val="12"/>
        </w:rPr>
        <w:t>11</w:t>
      </w:r>
      <w:r>
        <w:rPr>
          <w:color w:val="231F20"/>
          <w:w w:val="105"/>
        </w:rPr>
        <w:t>, ma soprattutto agisce la straordinaria diffusione</w:t>
      </w:r>
      <w:r>
        <w:rPr>
          <w:color w:val="231F20"/>
          <w:spacing w:val="-45"/>
          <w:w w:val="105"/>
        </w:rPr>
        <w:t> </w:t>
      </w:r>
      <w:r>
        <w:rPr>
          <w:color w:val="231F20"/>
          <w:w w:val="105"/>
        </w:rPr>
        <w:t>di</w:t>
      </w:r>
      <w:r>
        <w:rPr>
          <w:color w:val="231F20"/>
          <w:spacing w:val="-45"/>
          <w:w w:val="105"/>
        </w:rPr>
        <w:t> </w:t>
      </w:r>
      <w:r>
        <w:rPr>
          <w:color w:val="231F20"/>
          <w:w w:val="105"/>
        </w:rPr>
        <w:t>un</w:t>
      </w:r>
      <w:r>
        <w:rPr>
          <w:color w:val="231F20"/>
          <w:spacing w:val="-45"/>
          <w:w w:val="105"/>
        </w:rPr>
        <w:t> </w:t>
      </w:r>
      <w:r>
        <w:rPr>
          <w:color w:val="231F20"/>
          <w:w w:val="105"/>
        </w:rPr>
        <w:t>blocco</w:t>
      </w:r>
      <w:r>
        <w:rPr>
          <w:color w:val="231F20"/>
          <w:spacing w:val="-45"/>
          <w:w w:val="105"/>
        </w:rPr>
        <w:t> </w:t>
      </w:r>
      <w:r>
        <w:rPr>
          <w:color w:val="231F20"/>
          <w:w w:val="105"/>
        </w:rPr>
        <w:t>culturale</w:t>
      </w:r>
      <w:r>
        <w:rPr>
          <w:color w:val="231F20"/>
          <w:spacing w:val="-45"/>
          <w:w w:val="105"/>
        </w:rPr>
        <w:t> </w:t>
      </w:r>
      <w:r>
        <w:rPr>
          <w:color w:val="231F20"/>
          <w:w w:val="105"/>
        </w:rPr>
        <w:t>(di</w:t>
      </w:r>
      <w:r>
        <w:rPr>
          <w:color w:val="231F20"/>
          <w:spacing w:val="-45"/>
          <w:w w:val="105"/>
        </w:rPr>
        <w:t> </w:t>
      </w:r>
      <w:r>
        <w:rPr>
          <w:color w:val="231F20"/>
          <w:w w:val="105"/>
        </w:rPr>
        <w:t>un</w:t>
      </w:r>
      <w:r>
        <w:rPr>
          <w:color w:val="231F20"/>
          <w:spacing w:val="-45"/>
          <w:w w:val="105"/>
        </w:rPr>
        <w:t> </w:t>
      </w:r>
      <w:r>
        <w:rPr>
          <w:color w:val="231F20"/>
          <w:w w:val="105"/>
        </w:rPr>
        <w:t>complessivo)</w:t>
      </w:r>
      <w:r>
        <w:rPr>
          <w:color w:val="231F20"/>
          <w:spacing w:val="-45"/>
          <w:w w:val="105"/>
        </w:rPr>
        <w:t> </w:t>
      </w:r>
      <w:r>
        <w:rPr>
          <w:color w:val="231F20"/>
          <w:w w:val="105"/>
        </w:rPr>
        <w:t>evoluzionista</w:t>
      </w:r>
      <w:r>
        <w:rPr>
          <w:color w:val="231F20"/>
          <w:spacing w:val="-45"/>
          <w:w w:val="105"/>
        </w:rPr>
        <w:t> </w:t>
      </w:r>
      <w:r>
        <w:rPr>
          <w:color w:val="231F20"/>
          <w:w w:val="105"/>
        </w:rPr>
        <w:t>chiamato a</w:t>
      </w:r>
      <w:r>
        <w:rPr>
          <w:color w:val="231F20"/>
          <w:spacing w:val="-40"/>
          <w:w w:val="105"/>
        </w:rPr>
        <w:t> </w:t>
      </w:r>
      <w:r>
        <w:rPr>
          <w:color w:val="231F20"/>
          <w:w w:val="105"/>
        </w:rPr>
        <w:t>dare</w:t>
      </w:r>
      <w:r>
        <w:rPr>
          <w:color w:val="231F20"/>
          <w:spacing w:val="-40"/>
          <w:w w:val="105"/>
        </w:rPr>
        <w:t> </w:t>
      </w:r>
      <w:r>
        <w:rPr>
          <w:color w:val="231F20"/>
          <w:w w:val="105"/>
        </w:rPr>
        <w:t>risposta</w:t>
      </w:r>
      <w:r>
        <w:rPr>
          <w:color w:val="231F20"/>
          <w:spacing w:val="-40"/>
          <w:w w:val="105"/>
        </w:rPr>
        <w:t> </w:t>
      </w:r>
      <w:r>
        <w:rPr>
          <w:color w:val="231F20"/>
          <w:w w:val="105"/>
        </w:rPr>
        <w:t>anche</w:t>
      </w:r>
      <w:r>
        <w:rPr>
          <w:color w:val="231F20"/>
          <w:spacing w:val="-40"/>
          <w:w w:val="105"/>
        </w:rPr>
        <w:t> </w:t>
      </w:r>
      <w:r>
        <w:rPr>
          <w:color w:val="231F20"/>
          <w:w w:val="105"/>
        </w:rPr>
        <w:t>a</w:t>
      </w:r>
      <w:r>
        <w:rPr>
          <w:color w:val="231F20"/>
          <w:spacing w:val="-40"/>
          <w:w w:val="105"/>
        </w:rPr>
        <w:t> </w:t>
      </w:r>
      <w:r>
        <w:rPr>
          <w:color w:val="231F20"/>
          <w:w w:val="105"/>
        </w:rPr>
        <w:t>livello</w:t>
      </w:r>
      <w:r>
        <w:rPr>
          <w:color w:val="231F20"/>
          <w:spacing w:val="-40"/>
          <w:w w:val="105"/>
        </w:rPr>
        <w:t> </w:t>
      </w:r>
      <w:r>
        <w:rPr>
          <w:color w:val="231F20"/>
          <w:w w:val="105"/>
        </w:rPr>
        <w:t>popolare</w:t>
      </w:r>
      <w:r>
        <w:rPr>
          <w:color w:val="231F20"/>
          <w:spacing w:val="-40"/>
          <w:w w:val="105"/>
        </w:rPr>
        <w:t> </w:t>
      </w:r>
      <w:r>
        <w:rPr>
          <w:color w:val="231F20"/>
          <w:w w:val="105"/>
        </w:rPr>
        <w:t>a</w:t>
      </w:r>
      <w:r>
        <w:rPr>
          <w:color w:val="231F20"/>
          <w:spacing w:val="-40"/>
          <w:w w:val="105"/>
        </w:rPr>
        <w:t> </w:t>
      </w:r>
      <w:r>
        <w:rPr>
          <w:color w:val="231F20"/>
          <w:w w:val="105"/>
        </w:rPr>
        <w:t>una</w:t>
      </w:r>
      <w:r>
        <w:rPr>
          <w:color w:val="231F20"/>
          <w:spacing w:val="-40"/>
          <w:w w:val="105"/>
        </w:rPr>
        <w:t> </w:t>
      </w:r>
      <w:r>
        <w:rPr>
          <w:color w:val="231F20"/>
          <w:w w:val="105"/>
        </w:rPr>
        <w:t>trasformazione</w:t>
      </w:r>
      <w:r>
        <w:rPr>
          <w:color w:val="231F20"/>
          <w:spacing w:val="-40"/>
          <w:w w:val="105"/>
        </w:rPr>
        <w:t> </w:t>
      </w:r>
      <w:r>
        <w:rPr>
          <w:color w:val="231F20"/>
          <w:w w:val="105"/>
        </w:rPr>
        <w:t>in</w:t>
      </w:r>
      <w:r>
        <w:rPr>
          <w:color w:val="231F20"/>
          <w:spacing w:val="-40"/>
          <w:w w:val="105"/>
        </w:rPr>
        <w:t> </w:t>
      </w:r>
      <w:r>
        <w:rPr>
          <w:color w:val="231F20"/>
          <w:w w:val="105"/>
        </w:rPr>
        <w:t>atto</w:t>
      </w:r>
      <w:r>
        <w:rPr>
          <w:color w:val="231F20"/>
          <w:spacing w:val="-40"/>
          <w:w w:val="105"/>
        </w:rPr>
        <w:t> </w:t>
      </w:r>
      <w:r>
        <w:rPr>
          <w:color w:val="231F20"/>
          <w:w w:val="105"/>
        </w:rPr>
        <w:t>—certo </w:t>
      </w:r>
      <w:r>
        <w:rPr>
          <w:color w:val="231F20"/>
          <w:spacing w:val="-3"/>
          <w:w w:val="105"/>
        </w:rPr>
        <w:t>industriale,</w:t>
      </w:r>
      <w:r>
        <w:rPr>
          <w:color w:val="231F20"/>
          <w:spacing w:val="-49"/>
          <w:w w:val="105"/>
        </w:rPr>
        <w:t> </w:t>
      </w:r>
      <w:r>
        <w:rPr>
          <w:color w:val="231F20"/>
          <w:spacing w:val="-3"/>
          <w:w w:val="105"/>
        </w:rPr>
        <w:t>sociale</w:t>
      </w:r>
      <w:r>
        <w:rPr>
          <w:color w:val="231F20"/>
          <w:spacing w:val="-49"/>
          <w:w w:val="105"/>
        </w:rPr>
        <w:t> </w:t>
      </w:r>
      <w:r>
        <w:rPr>
          <w:color w:val="231F20"/>
          <w:w w:val="105"/>
        </w:rPr>
        <w:t>ma</w:t>
      </w:r>
      <w:r>
        <w:rPr>
          <w:color w:val="231F20"/>
          <w:spacing w:val="-49"/>
          <w:w w:val="105"/>
        </w:rPr>
        <w:t> </w:t>
      </w:r>
      <w:r>
        <w:rPr>
          <w:color w:val="231F20"/>
          <w:spacing w:val="-3"/>
          <w:w w:val="105"/>
        </w:rPr>
        <w:t>anche</w:t>
      </w:r>
      <w:r>
        <w:rPr>
          <w:color w:val="231F20"/>
          <w:spacing w:val="-49"/>
          <w:w w:val="105"/>
        </w:rPr>
        <w:t> </w:t>
      </w:r>
      <w:r>
        <w:rPr>
          <w:color w:val="231F20"/>
          <w:spacing w:val="-3"/>
          <w:w w:val="105"/>
        </w:rPr>
        <w:t>culturale</w:t>
      </w:r>
      <w:r>
        <w:rPr>
          <w:color w:val="231F20"/>
          <w:spacing w:val="-49"/>
          <w:w w:val="105"/>
        </w:rPr>
        <w:t> </w:t>
      </w:r>
      <w:r>
        <w:rPr>
          <w:color w:val="231F20"/>
          <w:w w:val="105"/>
        </w:rPr>
        <w:t>e</w:t>
      </w:r>
      <w:r>
        <w:rPr>
          <w:color w:val="231F20"/>
          <w:spacing w:val="-49"/>
          <w:w w:val="105"/>
        </w:rPr>
        <w:t> </w:t>
      </w:r>
      <w:r>
        <w:rPr>
          <w:color w:val="231F20"/>
          <w:spacing w:val="-3"/>
          <w:w w:val="105"/>
        </w:rPr>
        <w:t>politica—</w:t>
      </w:r>
      <w:r>
        <w:rPr>
          <w:color w:val="231F20"/>
          <w:spacing w:val="-49"/>
          <w:w w:val="105"/>
        </w:rPr>
        <w:t> </w:t>
      </w:r>
      <w:r>
        <w:rPr>
          <w:color w:val="231F20"/>
          <w:w w:val="105"/>
        </w:rPr>
        <w:t>che</w:t>
      </w:r>
      <w:r>
        <w:rPr>
          <w:color w:val="231F20"/>
          <w:spacing w:val="-49"/>
          <w:w w:val="105"/>
        </w:rPr>
        <w:t> </w:t>
      </w:r>
      <w:r>
        <w:rPr>
          <w:color w:val="231F20"/>
          <w:spacing w:val="-3"/>
          <w:w w:val="105"/>
        </w:rPr>
        <w:t>sembrava</w:t>
      </w:r>
      <w:r>
        <w:rPr>
          <w:color w:val="231F20"/>
          <w:spacing w:val="-49"/>
          <w:w w:val="105"/>
        </w:rPr>
        <w:t> </w:t>
      </w:r>
      <w:r>
        <w:rPr>
          <w:color w:val="231F20"/>
          <w:spacing w:val="-4"/>
          <w:w w:val="105"/>
        </w:rPr>
        <w:t>inarrestabile </w:t>
      </w:r>
      <w:r>
        <w:rPr>
          <w:color w:val="231F20"/>
          <w:w w:val="105"/>
        </w:rPr>
        <w:t>e</w:t>
      </w:r>
      <w:r>
        <w:rPr>
          <w:color w:val="231F20"/>
          <w:spacing w:val="-9"/>
          <w:w w:val="105"/>
        </w:rPr>
        <w:t> </w:t>
      </w:r>
      <w:r>
        <w:rPr>
          <w:color w:val="231F20"/>
          <w:w w:val="105"/>
        </w:rPr>
        <w:t>che,</w:t>
      </w:r>
      <w:r>
        <w:rPr>
          <w:color w:val="231F20"/>
          <w:spacing w:val="-9"/>
          <w:w w:val="105"/>
        </w:rPr>
        <w:t> </w:t>
      </w:r>
      <w:r>
        <w:rPr>
          <w:color w:val="231F20"/>
          <w:w w:val="105"/>
        </w:rPr>
        <w:t>alla</w:t>
      </w:r>
      <w:r>
        <w:rPr>
          <w:color w:val="231F20"/>
          <w:spacing w:val="-9"/>
          <w:w w:val="105"/>
        </w:rPr>
        <w:t> </w:t>
      </w:r>
      <w:r>
        <w:rPr>
          <w:color w:val="231F20"/>
          <w:w w:val="105"/>
        </w:rPr>
        <w:t>lunga,</w:t>
      </w:r>
      <w:r>
        <w:rPr>
          <w:color w:val="231F20"/>
          <w:spacing w:val="-9"/>
          <w:w w:val="105"/>
        </w:rPr>
        <w:t> </w:t>
      </w:r>
      <w:r>
        <w:rPr>
          <w:color w:val="231F20"/>
          <w:w w:val="105"/>
        </w:rPr>
        <w:t>riguarderà</w:t>
      </w:r>
      <w:r>
        <w:rPr>
          <w:color w:val="231F20"/>
          <w:spacing w:val="-9"/>
          <w:w w:val="105"/>
        </w:rPr>
        <w:t> </w:t>
      </w:r>
      <w:r>
        <w:rPr>
          <w:color w:val="231F20"/>
          <w:w w:val="105"/>
        </w:rPr>
        <w:t>non</w:t>
      </w:r>
      <w:r>
        <w:rPr>
          <w:color w:val="231F20"/>
          <w:spacing w:val="-9"/>
          <w:w w:val="105"/>
        </w:rPr>
        <w:t> </w:t>
      </w:r>
      <w:r>
        <w:rPr>
          <w:color w:val="231F20"/>
          <w:w w:val="105"/>
        </w:rPr>
        <w:t>solo</w:t>
      </w:r>
      <w:r>
        <w:rPr>
          <w:color w:val="231F20"/>
          <w:spacing w:val="-9"/>
          <w:w w:val="105"/>
        </w:rPr>
        <w:t> </w:t>
      </w:r>
      <w:r>
        <w:rPr>
          <w:color w:val="231F20"/>
          <w:w w:val="105"/>
        </w:rPr>
        <w:t>l’uomo</w:t>
      </w:r>
      <w:r>
        <w:rPr>
          <w:color w:val="231F20"/>
          <w:spacing w:val="-9"/>
          <w:w w:val="105"/>
        </w:rPr>
        <w:t> </w:t>
      </w:r>
      <w:r>
        <w:rPr>
          <w:color w:val="231F20"/>
          <w:w w:val="105"/>
        </w:rPr>
        <w:t>ma</w:t>
      </w:r>
      <w:r>
        <w:rPr>
          <w:color w:val="231F20"/>
          <w:spacing w:val="-9"/>
          <w:w w:val="105"/>
        </w:rPr>
        <w:t> </w:t>
      </w:r>
      <w:r>
        <w:rPr>
          <w:color w:val="231F20"/>
          <w:w w:val="105"/>
        </w:rPr>
        <w:t>anche</w:t>
      </w:r>
      <w:r>
        <w:rPr>
          <w:color w:val="231F20"/>
          <w:spacing w:val="-9"/>
          <w:w w:val="105"/>
        </w:rPr>
        <w:t> </w:t>
      </w:r>
      <w:r>
        <w:rPr>
          <w:color w:val="231F20"/>
          <w:w w:val="105"/>
        </w:rPr>
        <w:t>la</w:t>
      </w:r>
      <w:r>
        <w:rPr>
          <w:color w:val="231F20"/>
          <w:spacing w:val="-9"/>
          <w:w w:val="105"/>
        </w:rPr>
        <w:t> </w:t>
      </w:r>
      <w:r>
        <w:rPr>
          <w:color w:val="231F20"/>
          <w:w w:val="105"/>
        </w:rPr>
        <w:t>macchina</w:t>
      </w:r>
      <w:r>
        <w:rPr>
          <w:color w:val="231F20"/>
          <w:spacing w:val="-9"/>
          <w:w w:val="105"/>
        </w:rPr>
        <w:t> </w:t>
      </w:r>
      <w:r>
        <w:rPr>
          <w:color w:val="231F20"/>
          <w:w w:val="105"/>
        </w:rPr>
        <w:t>che questi</w:t>
      </w:r>
      <w:r>
        <w:rPr>
          <w:color w:val="231F20"/>
          <w:spacing w:val="-24"/>
          <w:w w:val="105"/>
        </w:rPr>
        <w:t> </w:t>
      </w:r>
      <w:r>
        <w:rPr>
          <w:color w:val="231F20"/>
          <w:w w:val="105"/>
        </w:rPr>
        <w:t>ha</w:t>
      </w:r>
      <w:r>
        <w:rPr>
          <w:color w:val="231F20"/>
          <w:spacing w:val="-24"/>
          <w:w w:val="105"/>
        </w:rPr>
        <w:t> </w:t>
      </w:r>
      <w:r>
        <w:rPr>
          <w:color w:val="231F20"/>
          <w:w w:val="105"/>
        </w:rPr>
        <w:t>imparato</w:t>
      </w:r>
      <w:r>
        <w:rPr>
          <w:color w:val="231F20"/>
          <w:spacing w:val="-24"/>
          <w:w w:val="105"/>
        </w:rPr>
        <w:t> </w:t>
      </w:r>
      <w:r>
        <w:rPr>
          <w:color w:val="231F20"/>
          <w:w w:val="105"/>
        </w:rPr>
        <w:t>a</w:t>
      </w:r>
      <w:r>
        <w:rPr>
          <w:color w:val="231F20"/>
          <w:spacing w:val="-24"/>
          <w:w w:val="105"/>
        </w:rPr>
        <w:t> </w:t>
      </w:r>
      <w:r>
        <w:rPr>
          <w:color w:val="231F20"/>
          <w:w w:val="105"/>
        </w:rPr>
        <w:t>produrre.</w:t>
      </w:r>
      <w:r>
        <w:rPr>
          <w:color w:val="231F20"/>
          <w:spacing w:val="-24"/>
          <w:w w:val="105"/>
        </w:rPr>
        <w:t> </w:t>
      </w:r>
      <w:r>
        <w:rPr>
          <w:color w:val="231F20"/>
          <w:w w:val="105"/>
        </w:rPr>
        <w:t>Anzi</w:t>
      </w:r>
      <w:r>
        <w:rPr>
          <w:color w:val="231F20"/>
          <w:spacing w:val="-24"/>
          <w:w w:val="105"/>
        </w:rPr>
        <w:t> </w:t>
      </w:r>
      <w:r>
        <w:rPr>
          <w:color w:val="231F20"/>
          <w:w w:val="105"/>
        </w:rPr>
        <w:t>non</w:t>
      </w:r>
      <w:r>
        <w:rPr>
          <w:color w:val="231F20"/>
          <w:spacing w:val="-24"/>
          <w:w w:val="105"/>
        </w:rPr>
        <w:t> </w:t>
      </w:r>
      <w:r>
        <w:rPr>
          <w:color w:val="231F20"/>
          <w:w w:val="105"/>
        </w:rPr>
        <w:t>solo</w:t>
      </w:r>
      <w:r>
        <w:rPr>
          <w:color w:val="231F20"/>
          <w:spacing w:val="-24"/>
          <w:w w:val="105"/>
        </w:rPr>
        <w:t> </w:t>
      </w:r>
      <w:r>
        <w:rPr>
          <w:color w:val="231F20"/>
          <w:w w:val="105"/>
        </w:rPr>
        <w:t>l’uomo</w:t>
      </w:r>
      <w:r>
        <w:rPr>
          <w:color w:val="231F20"/>
          <w:spacing w:val="-24"/>
          <w:w w:val="105"/>
        </w:rPr>
        <w:t> </w:t>
      </w:r>
      <w:r>
        <w:rPr>
          <w:color w:val="231F20"/>
          <w:w w:val="105"/>
        </w:rPr>
        <w:t>e</w:t>
      </w:r>
      <w:r>
        <w:rPr>
          <w:color w:val="231F20"/>
          <w:spacing w:val="-24"/>
          <w:w w:val="105"/>
        </w:rPr>
        <w:t> </w:t>
      </w:r>
      <w:r>
        <w:rPr>
          <w:color w:val="231F20"/>
          <w:w w:val="105"/>
        </w:rPr>
        <w:t>la</w:t>
      </w:r>
      <w:r>
        <w:rPr>
          <w:color w:val="231F20"/>
          <w:spacing w:val="-24"/>
          <w:w w:val="105"/>
        </w:rPr>
        <w:t> </w:t>
      </w:r>
      <w:r>
        <w:rPr>
          <w:color w:val="231F20"/>
          <w:w w:val="105"/>
        </w:rPr>
        <w:t>macchina,</w:t>
      </w:r>
      <w:r>
        <w:rPr>
          <w:color w:val="231F20"/>
          <w:spacing w:val="-24"/>
          <w:w w:val="105"/>
        </w:rPr>
        <w:t> </w:t>
      </w:r>
      <w:r>
        <w:rPr>
          <w:color w:val="231F20"/>
          <w:w w:val="105"/>
        </w:rPr>
        <w:t>ma</w:t>
      </w:r>
      <w:r>
        <w:rPr>
          <w:color w:val="231F20"/>
          <w:spacing w:val="-24"/>
          <w:w w:val="105"/>
        </w:rPr>
        <w:t> </w:t>
      </w:r>
      <w:r>
        <w:rPr>
          <w:color w:val="231F20"/>
          <w:w w:val="105"/>
        </w:rPr>
        <w:t>un “macchinario”</w:t>
      </w:r>
      <w:r>
        <w:rPr>
          <w:color w:val="231F20"/>
          <w:spacing w:val="-18"/>
          <w:w w:val="105"/>
        </w:rPr>
        <w:t> </w:t>
      </w:r>
      <w:r>
        <w:rPr>
          <w:color w:val="231F20"/>
          <w:w w:val="105"/>
        </w:rPr>
        <w:t>ben</w:t>
      </w:r>
      <w:r>
        <w:rPr>
          <w:color w:val="231F20"/>
          <w:spacing w:val="-18"/>
          <w:w w:val="105"/>
        </w:rPr>
        <w:t> </w:t>
      </w:r>
      <w:r>
        <w:rPr>
          <w:color w:val="231F20"/>
          <w:w w:val="105"/>
        </w:rPr>
        <w:t>più</w:t>
      </w:r>
      <w:r>
        <w:rPr>
          <w:color w:val="231F20"/>
          <w:spacing w:val="-18"/>
          <w:w w:val="105"/>
        </w:rPr>
        <w:t> </w:t>
      </w:r>
      <w:r>
        <w:rPr>
          <w:color w:val="231F20"/>
          <w:w w:val="105"/>
        </w:rPr>
        <w:t>grande,</w:t>
      </w:r>
      <w:r>
        <w:rPr>
          <w:color w:val="231F20"/>
          <w:spacing w:val="-18"/>
          <w:w w:val="105"/>
        </w:rPr>
        <w:t> </w:t>
      </w:r>
      <w:r>
        <w:rPr>
          <w:color w:val="231F20"/>
          <w:w w:val="105"/>
        </w:rPr>
        <w:t>che</w:t>
      </w:r>
      <w:r>
        <w:rPr>
          <w:color w:val="231F20"/>
          <w:spacing w:val="-18"/>
          <w:w w:val="105"/>
        </w:rPr>
        <w:t> </w:t>
      </w:r>
      <w:r>
        <w:rPr>
          <w:color w:val="231F20"/>
          <w:w w:val="105"/>
        </w:rPr>
        <w:t>sta</w:t>
      </w:r>
      <w:r>
        <w:rPr>
          <w:color w:val="231F20"/>
          <w:spacing w:val="-18"/>
          <w:w w:val="105"/>
        </w:rPr>
        <w:t> </w:t>
      </w:r>
      <w:r>
        <w:rPr>
          <w:color w:val="231F20"/>
          <w:w w:val="105"/>
        </w:rPr>
        <w:t>a</w:t>
      </w:r>
      <w:r>
        <w:rPr>
          <w:color w:val="231F20"/>
          <w:spacing w:val="-18"/>
          <w:w w:val="105"/>
        </w:rPr>
        <w:t> </w:t>
      </w:r>
      <w:r>
        <w:rPr>
          <w:color w:val="231F20"/>
          <w:w w:val="105"/>
        </w:rPr>
        <w:t>monte</w:t>
      </w:r>
      <w:r>
        <w:rPr>
          <w:color w:val="231F20"/>
          <w:spacing w:val="-18"/>
          <w:w w:val="105"/>
        </w:rPr>
        <w:t> </w:t>
      </w:r>
      <w:r>
        <w:rPr>
          <w:color w:val="231F20"/>
          <w:w w:val="105"/>
        </w:rPr>
        <w:t>a</w:t>
      </w:r>
      <w:r>
        <w:rPr>
          <w:color w:val="231F20"/>
          <w:spacing w:val="-18"/>
          <w:w w:val="105"/>
        </w:rPr>
        <w:t> </w:t>
      </w:r>
      <w:r>
        <w:rPr>
          <w:color w:val="231F20"/>
          <w:w w:val="105"/>
        </w:rPr>
        <w:t>entrambi</w:t>
      </w:r>
      <w:r>
        <w:rPr>
          <w:color w:val="231F20"/>
          <w:spacing w:val="-18"/>
          <w:w w:val="105"/>
        </w:rPr>
        <w:t> </w:t>
      </w:r>
      <w:r>
        <w:rPr>
          <w:color w:val="231F20"/>
          <w:w w:val="105"/>
        </w:rPr>
        <w:t>e</w:t>
      </w:r>
      <w:r>
        <w:rPr>
          <w:color w:val="231F20"/>
          <w:spacing w:val="-18"/>
          <w:w w:val="105"/>
        </w:rPr>
        <w:t> </w:t>
      </w:r>
      <w:r>
        <w:rPr>
          <w:color w:val="231F20"/>
          <w:w w:val="105"/>
        </w:rPr>
        <w:t>che</w:t>
      </w:r>
      <w:r>
        <w:rPr>
          <w:color w:val="231F20"/>
          <w:spacing w:val="-18"/>
          <w:w w:val="105"/>
        </w:rPr>
        <w:t> </w:t>
      </w:r>
      <w:r>
        <w:rPr>
          <w:color w:val="231F20"/>
          <w:w w:val="105"/>
        </w:rPr>
        <w:t>è</w:t>
      </w:r>
      <w:r>
        <w:rPr>
          <w:color w:val="231F20"/>
          <w:spacing w:val="-18"/>
          <w:w w:val="105"/>
        </w:rPr>
        <w:t> </w:t>
      </w:r>
      <w:r>
        <w:rPr>
          <w:color w:val="231F20"/>
          <w:w w:val="105"/>
        </w:rPr>
        <w:t>quello dell’organizzazione</w:t>
      </w:r>
      <w:r>
        <w:rPr>
          <w:color w:val="231F20"/>
          <w:spacing w:val="-47"/>
          <w:w w:val="105"/>
        </w:rPr>
        <w:t> </w:t>
      </w:r>
      <w:r>
        <w:rPr>
          <w:color w:val="231F20"/>
          <w:w w:val="105"/>
        </w:rPr>
        <w:t>industriale</w:t>
      </w:r>
      <w:r>
        <w:rPr>
          <w:color w:val="231F20"/>
          <w:spacing w:val="-47"/>
          <w:w w:val="105"/>
        </w:rPr>
        <w:t> </w:t>
      </w:r>
      <w:r>
        <w:rPr>
          <w:color w:val="231F20"/>
          <w:w w:val="105"/>
        </w:rPr>
        <w:t>e</w:t>
      </w:r>
      <w:r>
        <w:rPr>
          <w:color w:val="231F20"/>
          <w:spacing w:val="-47"/>
          <w:w w:val="105"/>
        </w:rPr>
        <w:t> </w:t>
      </w:r>
      <w:r>
        <w:rPr>
          <w:color w:val="231F20"/>
          <w:w w:val="105"/>
        </w:rPr>
        <w:t>sociale:</w:t>
      </w:r>
      <w:r>
        <w:rPr>
          <w:color w:val="231F20"/>
          <w:spacing w:val="-47"/>
          <w:w w:val="105"/>
        </w:rPr>
        <w:t> </w:t>
      </w:r>
      <w:r>
        <w:rPr>
          <w:color w:val="231F20"/>
          <w:w w:val="105"/>
        </w:rPr>
        <w:t>una</w:t>
      </w:r>
      <w:r>
        <w:rPr>
          <w:color w:val="231F20"/>
          <w:spacing w:val="-47"/>
          <w:w w:val="105"/>
        </w:rPr>
        <w:t> </w:t>
      </w:r>
      <w:r>
        <w:rPr>
          <w:color w:val="231F20"/>
          <w:w w:val="105"/>
        </w:rPr>
        <w:t>nuova</w:t>
      </w:r>
      <w:r>
        <w:rPr>
          <w:color w:val="231F20"/>
          <w:spacing w:val="-47"/>
          <w:w w:val="105"/>
        </w:rPr>
        <w:t> </w:t>
      </w:r>
      <w:r>
        <w:rPr>
          <w:color w:val="231F20"/>
          <w:w w:val="105"/>
        </w:rPr>
        <w:t>“visione</w:t>
      </w:r>
      <w:r>
        <w:rPr>
          <w:color w:val="231F20"/>
          <w:spacing w:val="-47"/>
          <w:w w:val="105"/>
        </w:rPr>
        <w:t> </w:t>
      </w:r>
      <w:r>
        <w:rPr>
          <w:color w:val="231F20"/>
          <w:w w:val="105"/>
        </w:rPr>
        <w:t>meccanicistica del</w:t>
      </w:r>
      <w:r>
        <w:rPr>
          <w:color w:val="231F20"/>
          <w:spacing w:val="-18"/>
          <w:w w:val="105"/>
        </w:rPr>
        <w:t> </w:t>
      </w:r>
      <w:r>
        <w:rPr>
          <w:color w:val="231F20"/>
          <w:w w:val="105"/>
        </w:rPr>
        <w:t>mondo”</w:t>
      </w:r>
      <w:r>
        <w:rPr>
          <w:color w:val="231F20"/>
          <w:spacing w:val="-18"/>
          <w:w w:val="105"/>
        </w:rPr>
        <w:t> </w:t>
      </w:r>
      <w:r>
        <w:rPr>
          <w:color w:val="231F20"/>
          <w:w w:val="105"/>
        </w:rPr>
        <w:t>per</w:t>
      </w:r>
      <w:r>
        <w:rPr>
          <w:color w:val="231F20"/>
          <w:spacing w:val="-18"/>
          <w:w w:val="105"/>
        </w:rPr>
        <w:t> </w:t>
      </w:r>
      <w:r>
        <w:rPr>
          <w:color w:val="231F20"/>
          <w:w w:val="105"/>
        </w:rPr>
        <w:t>riprendere</w:t>
      </w:r>
      <w:r>
        <w:rPr>
          <w:color w:val="231F20"/>
          <w:spacing w:val="-18"/>
          <w:w w:val="105"/>
        </w:rPr>
        <w:t> </w:t>
      </w:r>
      <w:r>
        <w:rPr>
          <w:color w:val="231F20"/>
          <w:w w:val="105"/>
        </w:rPr>
        <w:t>Borkenau</w:t>
      </w:r>
      <w:r>
        <w:rPr>
          <w:color w:val="231F20"/>
          <w:w w:val="105"/>
          <w:position w:val="7"/>
          <w:sz w:val="12"/>
        </w:rPr>
        <w:t>12</w:t>
      </w:r>
      <w:r>
        <w:rPr>
          <w:color w:val="231F20"/>
          <w:w w:val="105"/>
        </w:rPr>
        <w:t>.</w:t>
      </w:r>
      <w:r>
        <w:rPr>
          <w:color w:val="231F20"/>
          <w:spacing w:val="-18"/>
          <w:w w:val="105"/>
        </w:rPr>
        <w:t> </w:t>
      </w:r>
      <w:r>
        <w:rPr>
          <w:color w:val="231F20"/>
          <w:w w:val="105"/>
        </w:rPr>
        <w:t>Non</w:t>
      </w:r>
      <w:r>
        <w:rPr>
          <w:color w:val="231F20"/>
          <w:spacing w:val="-18"/>
          <w:w w:val="105"/>
        </w:rPr>
        <w:t> </w:t>
      </w:r>
      <w:r>
        <w:rPr>
          <w:color w:val="231F20"/>
          <w:w w:val="105"/>
        </w:rPr>
        <w:t>è</w:t>
      </w:r>
      <w:r>
        <w:rPr>
          <w:color w:val="231F20"/>
          <w:spacing w:val="-18"/>
          <w:w w:val="105"/>
        </w:rPr>
        <w:t> </w:t>
      </w:r>
      <w:r>
        <w:rPr>
          <w:color w:val="231F20"/>
          <w:w w:val="105"/>
        </w:rPr>
        <w:t>certo</w:t>
      </w:r>
      <w:r>
        <w:rPr>
          <w:color w:val="231F20"/>
          <w:spacing w:val="-18"/>
          <w:w w:val="105"/>
        </w:rPr>
        <w:t> </w:t>
      </w:r>
      <w:r>
        <w:rPr>
          <w:color w:val="231F20"/>
          <w:w w:val="105"/>
        </w:rPr>
        <w:t>un</w:t>
      </w:r>
      <w:r>
        <w:rPr>
          <w:color w:val="231F20"/>
          <w:spacing w:val="-18"/>
          <w:w w:val="105"/>
        </w:rPr>
        <w:t> </w:t>
      </w:r>
      <w:r>
        <w:rPr>
          <w:color w:val="231F20"/>
          <w:w w:val="105"/>
        </w:rPr>
        <w:t>caso</w:t>
      </w:r>
      <w:r>
        <w:rPr>
          <w:color w:val="231F20"/>
          <w:spacing w:val="-18"/>
          <w:w w:val="105"/>
        </w:rPr>
        <w:t> </w:t>
      </w:r>
      <w:r>
        <w:rPr>
          <w:color w:val="231F20"/>
          <w:w w:val="105"/>
        </w:rPr>
        <w:t>che</w:t>
      </w:r>
      <w:r>
        <w:rPr>
          <w:color w:val="231F20"/>
          <w:spacing w:val="-18"/>
          <w:w w:val="105"/>
        </w:rPr>
        <w:t> </w:t>
      </w:r>
      <w:r>
        <w:rPr>
          <w:color w:val="231F20"/>
          <w:w w:val="105"/>
        </w:rPr>
        <w:t>parte</w:t>
      </w:r>
      <w:r>
        <w:rPr>
          <w:color w:val="231F20"/>
          <w:spacing w:val="-18"/>
          <w:w w:val="105"/>
        </w:rPr>
        <w:t> </w:t>
      </w:r>
      <w:r>
        <w:rPr>
          <w:color w:val="231F20"/>
          <w:w w:val="105"/>
        </w:rPr>
        <w:t>del percorso</w:t>
      </w:r>
      <w:r>
        <w:rPr>
          <w:color w:val="231F20"/>
          <w:spacing w:val="-13"/>
          <w:w w:val="105"/>
        </w:rPr>
        <w:t> </w:t>
      </w:r>
      <w:r>
        <w:rPr>
          <w:color w:val="231F20"/>
          <w:w w:val="105"/>
        </w:rPr>
        <w:t>iniziale</w:t>
      </w:r>
      <w:r>
        <w:rPr>
          <w:color w:val="231F20"/>
          <w:spacing w:val="-13"/>
          <w:w w:val="105"/>
        </w:rPr>
        <w:t> </w:t>
      </w:r>
      <w:r>
        <w:rPr>
          <w:color w:val="231F20"/>
          <w:w w:val="105"/>
        </w:rPr>
        <w:t>di</w:t>
      </w:r>
      <w:r>
        <w:rPr>
          <w:color w:val="231F20"/>
          <w:spacing w:val="-13"/>
          <w:w w:val="105"/>
        </w:rPr>
        <w:t> </w:t>
      </w:r>
      <w:r>
        <w:rPr>
          <w:color w:val="231F20"/>
          <w:w w:val="105"/>
        </w:rPr>
        <w:t>questo</w:t>
      </w:r>
      <w:r>
        <w:rPr>
          <w:color w:val="231F20"/>
          <w:spacing w:val="-13"/>
          <w:w w:val="105"/>
        </w:rPr>
        <w:t> </w:t>
      </w:r>
      <w:r>
        <w:rPr>
          <w:color w:val="231F20"/>
          <w:w w:val="105"/>
        </w:rPr>
        <w:t>nuovo</w:t>
      </w:r>
      <w:r>
        <w:rPr>
          <w:color w:val="231F20"/>
          <w:spacing w:val="-12"/>
          <w:w w:val="105"/>
        </w:rPr>
        <w:t> </w:t>
      </w:r>
      <w:r>
        <w:rPr>
          <w:rFonts w:ascii="Arial" w:hAnsi="Arial"/>
          <w:i/>
          <w:color w:val="231F20"/>
          <w:w w:val="105"/>
        </w:rPr>
        <w:t>Welt–Bild</w:t>
      </w:r>
      <w:r>
        <w:rPr>
          <w:rFonts w:ascii="Arial" w:hAnsi="Arial"/>
          <w:i/>
          <w:color w:val="231F20"/>
          <w:spacing w:val="-5"/>
          <w:w w:val="105"/>
        </w:rPr>
        <w:t> </w:t>
      </w:r>
      <w:r>
        <w:rPr>
          <w:color w:val="231F20"/>
          <w:w w:val="105"/>
        </w:rPr>
        <w:t>sia</w:t>
      </w:r>
      <w:r>
        <w:rPr>
          <w:color w:val="231F20"/>
          <w:spacing w:val="-13"/>
          <w:w w:val="105"/>
        </w:rPr>
        <w:t> </w:t>
      </w:r>
      <w:r>
        <w:rPr>
          <w:color w:val="231F20"/>
          <w:w w:val="105"/>
        </w:rPr>
        <w:t>intrecciato</w:t>
      </w:r>
      <w:r>
        <w:rPr>
          <w:color w:val="231F20"/>
          <w:spacing w:val="-13"/>
          <w:w w:val="105"/>
        </w:rPr>
        <w:t> </w:t>
      </w:r>
      <w:r>
        <w:rPr>
          <w:color w:val="231F20"/>
          <w:w w:val="105"/>
        </w:rPr>
        <w:t>coi</w:t>
      </w:r>
      <w:r>
        <w:rPr>
          <w:color w:val="231F20"/>
          <w:spacing w:val="-13"/>
          <w:w w:val="105"/>
        </w:rPr>
        <w:t> </w:t>
      </w:r>
      <w:r>
        <w:rPr>
          <w:color w:val="231F20"/>
          <w:w w:val="105"/>
        </w:rPr>
        <w:t>movimenti socialisti</w:t>
      </w:r>
      <w:r>
        <w:rPr>
          <w:color w:val="231F20"/>
          <w:spacing w:val="-16"/>
          <w:w w:val="105"/>
        </w:rPr>
        <w:t> </w:t>
      </w:r>
      <w:r>
        <w:rPr>
          <w:color w:val="231F20"/>
          <w:w w:val="105"/>
        </w:rPr>
        <w:t>che</w:t>
      </w:r>
      <w:r>
        <w:rPr>
          <w:color w:val="231F20"/>
          <w:spacing w:val="-16"/>
          <w:w w:val="105"/>
        </w:rPr>
        <w:t> </w:t>
      </w:r>
      <w:r>
        <w:rPr>
          <w:color w:val="231F20"/>
          <w:w w:val="105"/>
        </w:rPr>
        <w:t>accompagnano,</w:t>
      </w:r>
      <w:r>
        <w:rPr>
          <w:color w:val="231F20"/>
          <w:spacing w:val="-16"/>
          <w:w w:val="105"/>
        </w:rPr>
        <w:t> </w:t>
      </w:r>
      <w:r>
        <w:rPr>
          <w:color w:val="231F20"/>
          <w:w w:val="105"/>
        </w:rPr>
        <w:t>in</w:t>
      </w:r>
      <w:r>
        <w:rPr>
          <w:color w:val="231F20"/>
          <w:spacing w:val="-16"/>
          <w:w w:val="105"/>
        </w:rPr>
        <w:t> </w:t>
      </w:r>
      <w:r>
        <w:rPr>
          <w:color w:val="231F20"/>
          <w:w w:val="105"/>
        </w:rPr>
        <w:t>particolare</w:t>
      </w:r>
      <w:r>
        <w:rPr>
          <w:color w:val="231F20"/>
          <w:spacing w:val="-16"/>
          <w:w w:val="105"/>
        </w:rPr>
        <w:t> </w:t>
      </w:r>
      <w:r>
        <w:rPr>
          <w:color w:val="231F20"/>
          <w:w w:val="105"/>
        </w:rPr>
        <w:t>in</w:t>
      </w:r>
      <w:r>
        <w:rPr>
          <w:color w:val="231F20"/>
          <w:spacing w:val="-16"/>
          <w:w w:val="105"/>
        </w:rPr>
        <w:t> </w:t>
      </w:r>
      <w:r>
        <w:rPr>
          <w:color w:val="231F20"/>
          <w:w w:val="105"/>
        </w:rPr>
        <w:t>Inghilterra,</w:t>
      </w:r>
      <w:r>
        <w:rPr>
          <w:color w:val="231F20"/>
          <w:spacing w:val="-16"/>
          <w:w w:val="105"/>
        </w:rPr>
        <w:t> </w:t>
      </w:r>
      <w:r>
        <w:rPr>
          <w:color w:val="231F20"/>
          <w:w w:val="105"/>
        </w:rPr>
        <w:t>l’ultima</w:t>
      </w:r>
      <w:r>
        <w:rPr>
          <w:color w:val="231F20"/>
          <w:spacing w:val="-16"/>
          <w:w w:val="105"/>
        </w:rPr>
        <w:t> </w:t>
      </w:r>
      <w:r>
        <w:rPr>
          <w:color w:val="231F20"/>
          <w:w w:val="105"/>
        </w:rPr>
        <w:t>fase</w:t>
      </w:r>
      <w:r>
        <w:rPr>
          <w:color w:val="231F20"/>
          <w:spacing w:val="-16"/>
          <w:w w:val="105"/>
        </w:rPr>
        <w:t> </w:t>
      </w:r>
      <w:r>
        <w:rPr>
          <w:color w:val="231F20"/>
          <w:w w:val="105"/>
        </w:rPr>
        <w:t>di </w:t>
      </w:r>
      <w:r>
        <w:rPr>
          <w:color w:val="231F20"/>
        </w:rPr>
        <w:t>modernizzazione</w:t>
      </w:r>
      <w:r>
        <w:rPr>
          <w:color w:val="231F20"/>
          <w:spacing w:val="9"/>
        </w:rPr>
        <w:t> </w:t>
      </w:r>
      <w:r>
        <w:rPr>
          <w:color w:val="231F20"/>
          <w:position w:val="7"/>
          <w:sz w:val="12"/>
        </w:rPr>
        <w:t>13</w:t>
      </w:r>
      <w:r>
        <w:rPr>
          <w:color w:val="231F20"/>
        </w:rPr>
        <w:t>.</w:t>
      </w:r>
    </w:p>
    <w:p>
      <w:pPr>
        <w:pStyle w:val="BodyText"/>
        <w:spacing w:line="244" w:lineRule="auto"/>
        <w:ind w:left="103" w:right="111" w:firstLine="566"/>
        <w:jc w:val="both"/>
      </w:pPr>
      <w:r>
        <w:rPr>
          <w:color w:val="231F20"/>
          <w:w w:val="105"/>
        </w:rPr>
        <w:t>Perché, di </w:t>
      </w:r>
      <w:r>
        <w:rPr>
          <w:color w:val="231F20"/>
          <w:spacing w:val="2"/>
          <w:w w:val="105"/>
        </w:rPr>
        <w:t>fatto, </w:t>
      </w:r>
      <w:r>
        <w:rPr>
          <w:color w:val="231F20"/>
          <w:w w:val="105"/>
        </w:rPr>
        <w:t>in </w:t>
      </w:r>
      <w:r>
        <w:rPr>
          <w:color w:val="231F20"/>
          <w:spacing w:val="2"/>
          <w:w w:val="105"/>
        </w:rPr>
        <w:t>quest’altra </w:t>
      </w:r>
      <w:r>
        <w:rPr>
          <w:rFonts w:ascii="Arial" w:hAnsi="Arial"/>
          <w:i/>
          <w:color w:val="231F20"/>
          <w:spacing w:val="2"/>
          <w:w w:val="105"/>
        </w:rPr>
        <w:t>Sattelzeit </w:t>
      </w:r>
      <w:r>
        <w:rPr>
          <w:rFonts w:ascii="Arial" w:hAnsi="Arial"/>
          <w:i/>
          <w:color w:val="231F20"/>
          <w:w w:val="105"/>
        </w:rPr>
        <w:t>fin de </w:t>
      </w:r>
      <w:r>
        <w:rPr>
          <w:rFonts w:ascii="Arial" w:hAnsi="Arial"/>
          <w:i/>
          <w:color w:val="231F20"/>
          <w:spacing w:val="2"/>
          <w:w w:val="105"/>
        </w:rPr>
        <w:t>siècle </w:t>
      </w:r>
      <w:r>
        <w:rPr>
          <w:color w:val="231F20"/>
          <w:w w:val="105"/>
        </w:rPr>
        <w:t>si </w:t>
      </w:r>
      <w:r>
        <w:rPr>
          <w:color w:val="231F20"/>
          <w:spacing w:val="2"/>
          <w:w w:val="105"/>
        </w:rPr>
        <w:t>compie </w:t>
      </w:r>
      <w:r>
        <w:rPr>
          <w:color w:val="231F20"/>
          <w:spacing w:val="3"/>
          <w:w w:val="105"/>
        </w:rPr>
        <w:t>il </w:t>
      </w:r>
      <w:r>
        <w:rPr>
          <w:color w:val="231F20"/>
          <w:w w:val="105"/>
        </w:rPr>
        <w:t>passaggio</w:t>
      </w:r>
      <w:r>
        <w:rPr>
          <w:color w:val="231F20"/>
          <w:spacing w:val="-16"/>
          <w:w w:val="105"/>
        </w:rPr>
        <w:t> </w:t>
      </w:r>
      <w:r>
        <w:rPr>
          <w:color w:val="231F20"/>
          <w:w w:val="105"/>
        </w:rPr>
        <w:t>da</w:t>
      </w:r>
      <w:r>
        <w:rPr>
          <w:color w:val="231F20"/>
          <w:spacing w:val="-16"/>
          <w:w w:val="105"/>
        </w:rPr>
        <w:t> </w:t>
      </w:r>
      <w:r>
        <w:rPr>
          <w:color w:val="231F20"/>
          <w:w w:val="105"/>
        </w:rPr>
        <w:t>una</w:t>
      </w:r>
      <w:r>
        <w:rPr>
          <w:color w:val="231F20"/>
          <w:spacing w:val="-16"/>
          <w:w w:val="105"/>
        </w:rPr>
        <w:t> </w:t>
      </w:r>
      <w:r>
        <w:rPr>
          <w:rFonts w:ascii="Arial" w:hAnsi="Arial"/>
          <w:i/>
          <w:color w:val="231F20"/>
          <w:w w:val="105"/>
        </w:rPr>
        <w:t>modernity</w:t>
      </w:r>
      <w:r>
        <w:rPr>
          <w:rFonts w:ascii="Arial" w:hAnsi="Arial"/>
          <w:i/>
          <w:color w:val="231F20"/>
          <w:spacing w:val="-8"/>
          <w:w w:val="105"/>
        </w:rPr>
        <w:t> </w:t>
      </w:r>
      <w:r>
        <w:rPr>
          <w:color w:val="231F20"/>
          <w:w w:val="105"/>
        </w:rPr>
        <w:t>governata</w:t>
      </w:r>
      <w:r>
        <w:rPr>
          <w:color w:val="231F20"/>
          <w:spacing w:val="-16"/>
          <w:w w:val="105"/>
        </w:rPr>
        <w:t> </w:t>
      </w:r>
      <w:r>
        <w:rPr>
          <w:color w:val="231F20"/>
          <w:w w:val="105"/>
        </w:rPr>
        <w:t>dalla</w:t>
      </w:r>
      <w:r>
        <w:rPr>
          <w:color w:val="231F20"/>
          <w:spacing w:val="-16"/>
          <w:w w:val="105"/>
        </w:rPr>
        <w:t> </w:t>
      </w:r>
      <w:r>
        <w:rPr>
          <w:color w:val="231F20"/>
          <w:w w:val="105"/>
        </w:rPr>
        <w:t>forza</w:t>
      </w:r>
      <w:r>
        <w:rPr>
          <w:color w:val="231F20"/>
          <w:spacing w:val="-16"/>
          <w:w w:val="105"/>
        </w:rPr>
        <w:t> </w:t>
      </w:r>
      <w:r>
        <w:rPr>
          <w:color w:val="231F20"/>
          <w:w w:val="105"/>
        </w:rPr>
        <w:t>produttiva</w:t>
      </w:r>
      <w:r>
        <w:rPr>
          <w:color w:val="231F20"/>
          <w:spacing w:val="-16"/>
          <w:w w:val="105"/>
        </w:rPr>
        <w:t> </w:t>
      </w:r>
      <w:r>
        <w:rPr>
          <w:color w:val="231F20"/>
          <w:w w:val="105"/>
        </w:rPr>
        <w:t>dell’uomo– individuo,</w:t>
      </w:r>
      <w:r>
        <w:rPr>
          <w:color w:val="231F20"/>
          <w:spacing w:val="-41"/>
          <w:w w:val="105"/>
        </w:rPr>
        <w:t> </w:t>
      </w:r>
      <w:r>
        <w:rPr>
          <w:color w:val="231F20"/>
          <w:w w:val="105"/>
        </w:rPr>
        <w:t>all’interno</w:t>
      </w:r>
      <w:r>
        <w:rPr>
          <w:color w:val="231F20"/>
          <w:spacing w:val="-41"/>
          <w:w w:val="105"/>
        </w:rPr>
        <w:t> </w:t>
      </w:r>
      <w:r>
        <w:rPr>
          <w:color w:val="231F20"/>
          <w:w w:val="105"/>
        </w:rPr>
        <w:t>della</w:t>
      </w:r>
      <w:r>
        <w:rPr>
          <w:color w:val="231F20"/>
          <w:spacing w:val="-41"/>
          <w:w w:val="105"/>
        </w:rPr>
        <w:t> </w:t>
      </w:r>
      <w:r>
        <w:rPr>
          <w:color w:val="231F20"/>
          <w:w w:val="105"/>
        </w:rPr>
        <w:t>sua</w:t>
      </w:r>
      <w:r>
        <w:rPr>
          <w:color w:val="231F20"/>
          <w:spacing w:val="-41"/>
          <w:w w:val="105"/>
        </w:rPr>
        <w:t> </w:t>
      </w:r>
      <w:r>
        <w:rPr>
          <w:color w:val="231F20"/>
          <w:w w:val="105"/>
        </w:rPr>
        <w:t>prospera</w:t>
      </w:r>
      <w:r>
        <w:rPr>
          <w:color w:val="231F20"/>
          <w:spacing w:val="-41"/>
          <w:w w:val="105"/>
        </w:rPr>
        <w:t> </w:t>
      </w:r>
      <w:r>
        <w:rPr>
          <w:color w:val="231F20"/>
          <w:w w:val="105"/>
        </w:rPr>
        <w:t>e</w:t>
      </w:r>
      <w:r>
        <w:rPr>
          <w:color w:val="231F20"/>
          <w:spacing w:val="-41"/>
          <w:w w:val="105"/>
        </w:rPr>
        <w:t> </w:t>
      </w:r>
      <w:r>
        <w:rPr>
          <w:color w:val="231F20"/>
          <w:w w:val="105"/>
        </w:rPr>
        <w:t>ben</w:t>
      </w:r>
      <w:r>
        <w:rPr>
          <w:color w:val="231F20"/>
          <w:spacing w:val="-41"/>
          <w:w w:val="105"/>
        </w:rPr>
        <w:t> </w:t>
      </w:r>
      <w:r>
        <w:rPr>
          <w:color w:val="231F20"/>
          <w:w w:val="105"/>
        </w:rPr>
        <w:t>organizzata</w:t>
      </w:r>
      <w:r>
        <w:rPr>
          <w:color w:val="231F20"/>
          <w:spacing w:val="-41"/>
          <w:w w:val="105"/>
        </w:rPr>
        <w:t> </w:t>
      </w:r>
      <w:r>
        <w:rPr>
          <w:color w:val="231F20"/>
          <w:w w:val="105"/>
        </w:rPr>
        <w:t>classe</w:t>
      </w:r>
      <w:r>
        <w:rPr>
          <w:color w:val="231F20"/>
          <w:spacing w:val="-41"/>
          <w:w w:val="105"/>
        </w:rPr>
        <w:t> </w:t>
      </w:r>
      <w:r>
        <w:rPr>
          <w:color w:val="231F20"/>
          <w:w w:val="105"/>
        </w:rPr>
        <w:t>borghese, a</w:t>
      </w:r>
      <w:r>
        <w:rPr>
          <w:color w:val="231F20"/>
          <w:spacing w:val="-30"/>
          <w:w w:val="105"/>
        </w:rPr>
        <w:t> </w:t>
      </w:r>
      <w:r>
        <w:rPr>
          <w:color w:val="231F20"/>
          <w:w w:val="105"/>
        </w:rPr>
        <w:t>un</w:t>
      </w:r>
      <w:r>
        <w:rPr>
          <w:color w:val="231F20"/>
          <w:spacing w:val="-30"/>
          <w:w w:val="105"/>
        </w:rPr>
        <w:t> </w:t>
      </w:r>
      <w:r>
        <w:rPr>
          <w:rFonts w:ascii="Arial" w:hAnsi="Arial"/>
          <w:i/>
          <w:color w:val="231F20"/>
          <w:w w:val="105"/>
        </w:rPr>
        <w:t>modernism</w:t>
      </w:r>
      <w:r>
        <w:rPr>
          <w:rFonts w:ascii="Arial" w:hAnsi="Arial"/>
          <w:i/>
          <w:color w:val="231F20"/>
          <w:spacing w:val="-23"/>
          <w:w w:val="105"/>
        </w:rPr>
        <w:t> </w:t>
      </w:r>
      <w:r>
        <w:rPr>
          <w:color w:val="231F20"/>
          <w:w w:val="105"/>
        </w:rPr>
        <w:t>spinto</w:t>
      </w:r>
      <w:r>
        <w:rPr>
          <w:color w:val="231F20"/>
          <w:spacing w:val="-30"/>
          <w:w w:val="105"/>
        </w:rPr>
        <w:t> </w:t>
      </w:r>
      <w:r>
        <w:rPr>
          <w:color w:val="231F20"/>
          <w:w w:val="105"/>
        </w:rPr>
        <w:t>invece</w:t>
      </w:r>
      <w:r>
        <w:rPr>
          <w:color w:val="231F20"/>
          <w:spacing w:val="-30"/>
          <w:w w:val="105"/>
        </w:rPr>
        <w:t> </w:t>
      </w:r>
      <w:r>
        <w:rPr>
          <w:color w:val="231F20"/>
          <w:w w:val="105"/>
        </w:rPr>
        <w:t>da</w:t>
      </w:r>
      <w:r>
        <w:rPr>
          <w:color w:val="231F20"/>
          <w:spacing w:val="-30"/>
          <w:w w:val="105"/>
        </w:rPr>
        <w:t> </w:t>
      </w:r>
      <w:r>
        <w:rPr>
          <w:color w:val="231F20"/>
          <w:w w:val="105"/>
        </w:rPr>
        <w:t>una</w:t>
      </w:r>
      <w:r>
        <w:rPr>
          <w:color w:val="231F20"/>
          <w:spacing w:val="-30"/>
          <w:w w:val="105"/>
        </w:rPr>
        <w:t> </w:t>
      </w:r>
      <w:r>
        <w:rPr>
          <w:color w:val="231F20"/>
          <w:w w:val="105"/>
        </w:rPr>
        <w:t>forza</w:t>
      </w:r>
      <w:r>
        <w:rPr>
          <w:color w:val="231F20"/>
          <w:spacing w:val="-30"/>
          <w:w w:val="105"/>
        </w:rPr>
        <w:t> </w:t>
      </w:r>
      <w:r>
        <w:rPr>
          <w:color w:val="231F20"/>
          <w:w w:val="105"/>
        </w:rPr>
        <w:t>cieca,</w:t>
      </w:r>
      <w:r>
        <w:rPr>
          <w:color w:val="231F20"/>
          <w:spacing w:val="-30"/>
          <w:w w:val="105"/>
        </w:rPr>
        <w:t> </w:t>
      </w:r>
      <w:r>
        <w:rPr>
          <w:color w:val="231F20"/>
          <w:w w:val="105"/>
        </w:rPr>
        <w:t>ma</w:t>
      </w:r>
      <w:r>
        <w:rPr>
          <w:color w:val="231F20"/>
          <w:spacing w:val="-30"/>
          <w:w w:val="105"/>
        </w:rPr>
        <w:t> </w:t>
      </w:r>
      <w:r>
        <w:rPr>
          <w:color w:val="231F20"/>
          <w:w w:val="105"/>
        </w:rPr>
        <w:t>non</w:t>
      </w:r>
      <w:r>
        <w:rPr>
          <w:color w:val="231F20"/>
          <w:spacing w:val="-30"/>
          <w:w w:val="105"/>
        </w:rPr>
        <w:t> </w:t>
      </w:r>
      <w:r>
        <w:rPr>
          <w:color w:val="231F20"/>
          <w:w w:val="105"/>
        </w:rPr>
        <w:t>più</w:t>
      </w:r>
      <w:r>
        <w:rPr>
          <w:color w:val="231F20"/>
          <w:spacing w:val="-30"/>
          <w:w w:val="105"/>
        </w:rPr>
        <w:t> </w:t>
      </w:r>
      <w:r>
        <w:rPr>
          <w:color w:val="231F20"/>
          <w:w w:val="105"/>
        </w:rPr>
        <w:t>tanto</w:t>
      </w:r>
      <w:r>
        <w:rPr>
          <w:color w:val="231F20"/>
          <w:spacing w:val="-30"/>
          <w:w w:val="105"/>
        </w:rPr>
        <w:t> </w:t>
      </w:r>
      <w:r>
        <w:rPr>
          <w:color w:val="231F20"/>
          <w:w w:val="105"/>
        </w:rPr>
        <w:t>arcana in</w:t>
      </w:r>
      <w:r>
        <w:rPr>
          <w:color w:val="231F20"/>
          <w:spacing w:val="-15"/>
          <w:w w:val="105"/>
        </w:rPr>
        <w:t> </w:t>
      </w:r>
      <w:r>
        <w:rPr>
          <w:color w:val="231F20"/>
          <w:w w:val="105"/>
        </w:rPr>
        <w:t>quanto</w:t>
      </w:r>
      <w:r>
        <w:rPr>
          <w:color w:val="231F20"/>
          <w:spacing w:val="-15"/>
          <w:w w:val="105"/>
        </w:rPr>
        <w:t> </w:t>
      </w:r>
      <w:r>
        <w:rPr>
          <w:color w:val="231F20"/>
          <w:w w:val="105"/>
        </w:rPr>
        <w:t>radicata</w:t>
      </w:r>
      <w:r>
        <w:rPr>
          <w:color w:val="231F20"/>
          <w:spacing w:val="-15"/>
          <w:w w:val="105"/>
        </w:rPr>
        <w:t> </w:t>
      </w:r>
      <w:r>
        <w:rPr>
          <w:color w:val="231F20"/>
          <w:w w:val="105"/>
        </w:rPr>
        <w:t>nelle</w:t>
      </w:r>
      <w:r>
        <w:rPr>
          <w:color w:val="231F20"/>
          <w:spacing w:val="-15"/>
          <w:w w:val="105"/>
        </w:rPr>
        <w:t> </w:t>
      </w:r>
      <w:r>
        <w:rPr>
          <w:color w:val="231F20"/>
          <w:w w:val="105"/>
        </w:rPr>
        <w:t>pieghe</w:t>
      </w:r>
      <w:r>
        <w:rPr>
          <w:color w:val="231F20"/>
          <w:spacing w:val="-15"/>
          <w:w w:val="105"/>
        </w:rPr>
        <w:t> </w:t>
      </w:r>
      <w:r>
        <w:rPr>
          <w:color w:val="231F20"/>
          <w:w w:val="105"/>
        </w:rPr>
        <w:t>stesse</w:t>
      </w:r>
      <w:r>
        <w:rPr>
          <w:color w:val="231F20"/>
          <w:spacing w:val="-15"/>
          <w:w w:val="105"/>
        </w:rPr>
        <w:t> </w:t>
      </w:r>
      <w:r>
        <w:rPr>
          <w:color w:val="231F20"/>
          <w:w w:val="105"/>
        </w:rPr>
        <w:t>dell’evoluzione</w:t>
      </w:r>
      <w:r>
        <w:rPr>
          <w:color w:val="231F20"/>
          <w:spacing w:val="-15"/>
          <w:w w:val="105"/>
        </w:rPr>
        <w:t> </w:t>
      </w:r>
      <w:r>
        <w:rPr>
          <w:color w:val="231F20"/>
          <w:w w:val="105"/>
        </w:rPr>
        <w:t>delle</w:t>
      </w:r>
      <w:r>
        <w:rPr>
          <w:color w:val="231F20"/>
          <w:spacing w:val="-15"/>
          <w:w w:val="105"/>
        </w:rPr>
        <w:t> </w:t>
      </w:r>
      <w:r>
        <w:rPr>
          <w:color w:val="231F20"/>
          <w:w w:val="105"/>
        </w:rPr>
        <w:t>specie,</w:t>
      </w:r>
      <w:r>
        <w:rPr>
          <w:color w:val="231F20"/>
          <w:spacing w:val="-15"/>
          <w:w w:val="105"/>
        </w:rPr>
        <w:t> </w:t>
      </w:r>
      <w:r>
        <w:rPr>
          <w:color w:val="231F20"/>
          <w:w w:val="105"/>
        </w:rPr>
        <w:t>che</w:t>
      </w:r>
      <w:r>
        <w:rPr>
          <w:color w:val="231F20"/>
          <w:spacing w:val="-15"/>
          <w:w w:val="105"/>
        </w:rPr>
        <w:t> </w:t>
      </w:r>
      <w:r>
        <w:rPr>
          <w:color w:val="231F20"/>
          <w:w w:val="105"/>
        </w:rPr>
        <w:t>la biologia</w:t>
      </w:r>
      <w:r>
        <w:rPr>
          <w:color w:val="231F20"/>
          <w:spacing w:val="-14"/>
          <w:w w:val="105"/>
        </w:rPr>
        <w:t> </w:t>
      </w:r>
      <w:r>
        <w:rPr>
          <w:color w:val="231F20"/>
          <w:w w:val="105"/>
        </w:rPr>
        <w:t>del</w:t>
      </w:r>
      <w:r>
        <w:rPr>
          <w:color w:val="231F20"/>
          <w:spacing w:val="-14"/>
          <w:w w:val="105"/>
        </w:rPr>
        <w:t> </w:t>
      </w:r>
      <w:r>
        <w:rPr>
          <w:color w:val="231F20"/>
          <w:w w:val="105"/>
        </w:rPr>
        <w:t>tempo</w:t>
      </w:r>
      <w:r>
        <w:rPr>
          <w:color w:val="231F20"/>
          <w:spacing w:val="-14"/>
          <w:w w:val="105"/>
        </w:rPr>
        <w:t> </w:t>
      </w:r>
      <w:r>
        <w:rPr>
          <w:color w:val="231F20"/>
          <w:w w:val="105"/>
        </w:rPr>
        <w:t>spera</w:t>
      </w:r>
      <w:r>
        <w:rPr>
          <w:color w:val="231F20"/>
          <w:spacing w:val="-14"/>
          <w:w w:val="105"/>
        </w:rPr>
        <w:t> </w:t>
      </w:r>
      <w:r>
        <w:rPr>
          <w:color w:val="231F20"/>
          <w:w w:val="105"/>
        </w:rPr>
        <w:t>di</w:t>
      </w:r>
      <w:r>
        <w:rPr>
          <w:color w:val="231F20"/>
          <w:spacing w:val="-14"/>
          <w:w w:val="105"/>
        </w:rPr>
        <w:t> </w:t>
      </w:r>
      <w:r>
        <w:rPr>
          <w:color w:val="231F20"/>
          <w:w w:val="105"/>
        </w:rPr>
        <w:t>“spiegare”.</w:t>
      </w:r>
      <w:r>
        <w:rPr>
          <w:color w:val="231F20"/>
          <w:spacing w:val="-14"/>
          <w:w w:val="105"/>
        </w:rPr>
        <w:t> </w:t>
      </w:r>
      <w:r>
        <w:rPr>
          <w:color w:val="231F20"/>
          <w:w w:val="105"/>
        </w:rPr>
        <w:t>Allora</w:t>
      </w:r>
      <w:r>
        <w:rPr>
          <w:color w:val="231F20"/>
          <w:spacing w:val="-14"/>
          <w:w w:val="105"/>
        </w:rPr>
        <w:t> </w:t>
      </w:r>
      <w:r>
        <w:rPr>
          <w:color w:val="231F20"/>
          <w:w w:val="105"/>
        </w:rPr>
        <w:t>non</w:t>
      </w:r>
      <w:r>
        <w:rPr>
          <w:color w:val="231F20"/>
          <w:spacing w:val="-14"/>
          <w:w w:val="105"/>
        </w:rPr>
        <w:t> </w:t>
      </w:r>
      <w:r>
        <w:rPr>
          <w:color w:val="231F20"/>
          <w:w w:val="105"/>
        </w:rPr>
        <w:t>ci</w:t>
      </w:r>
      <w:r>
        <w:rPr>
          <w:color w:val="231F20"/>
          <w:spacing w:val="-14"/>
          <w:w w:val="105"/>
        </w:rPr>
        <w:t> </w:t>
      </w:r>
      <w:r>
        <w:rPr>
          <w:color w:val="231F20"/>
          <w:w w:val="105"/>
        </w:rPr>
        <w:t>puoi</w:t>
      </w:r>
      <w:r>
        <w:rPr>
          <w:color w:val="231F20"/>
          <w:spacing w:val="-14"/>
          <w:w w:val="105"/>
        </w:rPr>
        <w:t> </w:t>
      </w:r>
      <w:r>
        <w:rPr>
          <w:color w:val="231F20"/>
          <w:w w:val="105"/>
        </w:rPr>
        <w:t>più</w:t>
      </w:r>
      <w:r>
        <w:rPr>
          <w:color w:val="231F20"/>
          <w:spacing w:val="-14"/>
          <w:w w:val="105"/>
        </w:rPr>
        <w:t> </w:t>
      </w:r>
      <w:r>
        <w:rPr>
          <w:color w:val="231F20"/>
          <w:w w:val="105"/>
        </w:rPr>
        <w:t>fare</w:t>
      </w:r>
      <w:r>
        <w:rPr>
          <w:color w:val="231F20"/>
          <w:spacing w:val="-14"/>
          <w:w w:val="105"/>
        </w:rPr>
        <w:t> </w:t>
      </w:r>
      <w:r>
        <w:rPr>
          <w:color w:val="231F20"/>
          <w:w w:val="105"/>
        </w:rPr>
        <w:t>niente, devi</w:t>
      </w:r>
      <w:r>
        <w:rPr>
          <w:color w:val="231F20"/>
          <w:spacing w:val="-36"/>
          <w:w w:val="105"/>
        </w:rPr>
        <w:t> </w:t>
      </w:r>
      <w:r>
        <w:rPr>
          <w:color w:val="231F20"/>
          <w:w w:val="105"/>
        </w:rPr>
        <w:t>solo</w:t>
      </w:r>
      <w:r>
        <w:rPr>
          <w:color w:val="231F20"/>
          <w:spacing w:val="-36"/>
          <w:w w:val="105"/>
        </w:rPr>
        <w:t> </w:t>
      </w:r>
      <w:r>
        <w:rPr>
          <w:color w:val="231F20"/>
          <w:w w:val="105"/>
        </w:rPr>
        <w:t>cercare</w:t>
      </w:r>
      <w:r>
        <w:rPr>
          <w:color w:val="231F20"/>
          <w:spacing w:val="-36"/>
          <w:w w:val="105"/>
        </w:rPr>
        <w:t> </w:t>
      </w:r>
      <w:r>
        <w:rPr>
          <w:color w:val="231F20"/>
          <w:w w:val="105"/>
        </w:rPr>
        <w:t>di</w:t>
      </w:r>
      <w:r>
        <w:rPr>
          <w:color w:val="231F20"/>
          <w:spacing w:val="-36"/>
          <w:w w:val="105"/>
        </w:rPr>
        <w:t> </w:t>
      </w:r>
      <w:r>
        <w:rPr>
          <w:color w:val="231F20"/>
          <w:w w:val="105"/>
        </w:rPr>
        <w:t>capire</w:t>
      </w:r>
      <w:r>
        <w:rPr>
          <w:color w:val="231F20"/>
          <w:spacing w:val="-36"/>
          <w:w w:val="105"/>
        </w:rPr>
        <w:t> </w:t>
      </w:r>
      <w:r>
        <w:rPr>
          <w:color w:val="231F20"/>
          <w:w w:val="105"/>
        </w:rPr>
        <w:t>e</w:t>
      </w:r>
      <w:r>
        <w:rPr>
          <w:color w:val="231F20"/>
          <w:spacing w:val="-36"/>
          <w:w w:val="105"/>
        </w:rPr>
        <w:t> </w:t>
      </w:r>
      <w:r>
        <w:rPr>
          <w:color w:val="231F20"/>
          <w:w w:val="105"/>
        </w:rPr>
        <w:t>adattarti,</w:t>
      </w:r>
      <w:r>
        <w:rPr>
          <w:color w:val="231F20"/>
          <w:spacing w:val="-36"/>
          <w:w w:val="105"/>
        </w:rPr>
        <w:t> </w:t>
      </w:r>
      <w:r>
        <w:rPr>
          <w:color w:val="231F20"/>
          <w:w w:val="105"/>
        </w:rPr>
        <w:t>se</w:t>
      </w:r>
      <w:r>
        <w:rPr>
          <w:color w:val="231F20"/>
          <w:spacing w:val="-36"/>
          <w:w w:val="105"/>
        </w:rPr>
        <w:t> </w:t>
      </w:r>
      <w:r>
        <w:rPr>
          <w:color w:val="231F20"/>
          <w:w w:val="105"/>
        </w:rPr>
        <w:t>ne</w:t>
      </w:r>
      <w:r>
        <w:rPr>
          <w:color w:val="231F20"/>
          <w:spacing w:val="-36"/>
          <w:w w:val="105"/>
        </w:rPr>
        <w:t> </w:t>
      </w:r>
      <w:r>
        <w:rPr>
          <w:color w:val="231F20"/>
          <w:w w:val="105"/>
        </w:rPr>
        <w:t>sei</w:t>
      </w:r>
      <w:r>
        <w:rPr>
          <w:color w:val="231F20"/>
          <w:spacing w:val="-36"/>
          <w:w w:val="105"/>
        </w:rPr>
        <w:t> </w:t>
      </w:r>
      <w:r>
        <w:rPr>
          <w:color w:val="231F20"/>
          <w:w w:val="105"/>
        </w:rPr>
        <w:t>capace;</w:t>
      </w:r>
      <w:r>
        <w:rPr>
          <w:color w:val="231F20"/>
          <w:spacing w:val="-36"/>
          <w:w w:val="105"/>
        </w:rPr>
        <w:t> </w:t>
      </w:r>
      <w:r>
        <w:rPr>
          <w:color w:val="231F20"/>
          <w:w w:val="105"/>
        </w:rPr>
        <w:t>e</w:t>
      </w:r>
      <w:r>
        <w:rPr>
          <w:color w:val="231F20"/>
          <w:spacing w:val="-36"/>
          <w:w w:val="105"/>
        </w:rPr>
        <w:t> </w:t>
      </w:r>
      <w:r>
        <w:rPr>
          <w:color w:val="231F20"/>
          <w:w w:val="105"/>
        </w:rPr>
        <w:t>non</w:t>
      </w:r>
      <w:r>
        <w:rPr>
          <w:color w:val="231F20"/>
          <w:spacing w:val="-36"/>
          <w:w w:val="105"/>
        </w:rPr>
        <w:t> </w:t>
      </w:r>
      <w:r>
        <w:rPr>
          <w:color w:val="231F20"/>
          <w:w w:val="105"/>
        </w:rPr>
        <w:t>solo</w:t>
      </w:r>
      <w:r>
        <w:rPr>
          <w:color w:val="231F20"/>
          <w:spacing w:val="-36"/>
          <w:w w:val="105"/>
        </w:rPr>
        <w:t> </w:t>
      </w:r>
      <w:r>
        <w:rPr>
          <w:color w:val="231F20"/>
          <w:w w:val="105"/>
        </w:rPr>
        <w:t>in</w:t>
      </w:r>
      <w:r>
        <w:rPr>
          <w:color w:val="231F20"/>
          <w:spacing w:val="-36"/>
          <w:w w:val="105"/>
        </w:rPr>
        <w:t> </w:t>
      </w:r>
      <w:r>
        <w:rPr>
          <w:color w:val="231F20"/>
          <w:w w:val="105"/>
        </w:rPr>
        <w:t>natura</w:t>
      </w:r>
    </w:p>
    <w:p>
      <w:pPr>
        <w:pStyle w:val="BodyText"/>
        <w:spacing w:line="244" w:lineRule="auto" w:before="1"/>
        <w:ind w:left="103" w:right="115"/>
        <w:jc w:val="both"/>
      </w:pPr>
      <w:r>
        <w:rPr>
          <w:color w:val="231F20"/>
        </w:rPr>
        <w:t>—come sembra essere sperimentalmente provato— ma anche nel sociale e nel politico, perché tanto, per usare il titolo del libro che ha finora</w:t>
      </w:r>
      <w:r>
        <w:rPr>
          <w:color w:val="231F20"/>
          <w:spacing w:val="-29"/>
        </w:rPr>
        <w:t> </w:t>
      </w:r>
      <w:r>
        <w:rPr>
          <w:color w:val="231F20"/>
        </w:rPr>
        <w:t>meglio affrontato</w:t>
      </w:r>
      <w:r>
        <w:rPr>
          <w:color w:val="231F20"/>
          <w:spacing w:val="-12"/>
        </w:rPr>
        <w:t> </w:t>
      </w:r>
      <w:r>
        <w:rPr>
          <w:color w:val="231F20"/>
        </w:rPr>
        <w:t>il</w:t>
      </w:r>
      <w:r>
        <w:rPr>
          <w:color w:val="231F20"/>
          <w:spacing w:val="-12"/>
        </w:rPr>
        <w:t> </w:t>
      </w:r>
      <w:r>
        <w:rPr>
          <w:color w:val="231F20"/>
        </w:rPr>
        <w:t>tema</w:t>
      </w:r>
      <w:r>
        <w:rPr>
          <w:color w:val="231F20"/>
          <w:spacing w:val="-12"/>
        </w:rPr>
        <w:t> </w:t>
      </w:r>
      <w:r>
        <w:rPr>
          <w:color w:val="231F20"/>
        </w:rPr>
        <w:t>del</w:t>
      </w:r>
      <w:r>
        <w:rPr>
          <w:color w:val="231F20"/>
          <w:spacing w:val="-12"/>
        </w:rPr>
        <w:t> </w:t>
      </w:r>
      <w:r>
        <w:rPr>
          <w:rFonts w:ascii="Arial" w:hAnsi="Arial"/>
          <w:i/>
          <w:color w:val="231F20"/>
        </w:rPr>
        <w:t>modernism</w:t>
      </w:r>
      <w:r>
        <w:rPr>
          <w:rFonts w:ascii="Arial" w:hAnsi="Arial"/>
          <w:i/>
          <w:color w:val="231F20"/>
          <w:spacing w:val="-6"/>
        </w:rPr>
        <w:t> </w:t>
      </w:r>
      <w:r>
        <w:rPr>
          <w:color w:val="231F20"/>
        </w:rPr>
        <w:t>e</w:t>
      </w:r>
      <w:r>
        <w:rPr>
          <w:color w:val="231F20"/>
          <w:spacing w:val="-12"/>
        </w:rPr>
        <w:t> </w:t>
      </w:r>
      <w:r>
        <w:rPr>
          <w:color w:val="231F20"/>
        </w:rPr>
        <w:t>lo</w:t>
      </w:r>
      <w:r>
        <w:rPr>
          <w:color w:val="231F20"/>
          <w:spacing w:val="-12"/>
        </w:rPr>
        <w:t> </w:t>
      </w:r>
      <w:r>
        <w:rPr>
          <w:color w:val="231F20"/>
        </w:rPr>
        <w:t>ha</w:t>
      </w:r>
      <w:r>
        <w:rPr>
          <w:color w:val="231F20"/>
          <w:spacing w:val="-12"/>
        </w:rPr>
        <w:t> </w:t>
      </w:r>
      <w:r>
        <w:rPr>
          <w:color w:val="231F20"/>
        </w:rPr>
        <w:t>fatto</w:t>
      </w:r>
      <w:r>
        <w:rPr>
          <w:color w:val="231F20"/>
          <w:spacing w:val="-12"/>
        </w:rPr>
        <w:t> </w:t>
      </w:r>
      <w:r>
        <w:rPr>
          <w:color w:val="231F20"/>
        </w:rPr>
        <w:t>da</w:t>
      </w:r>
      <w:r>
        <w:rPr>
          <w:color w:val="231F20"/>
          <w:spacing w:val="-12"/>
        </w:rPr>
        <w:t> </w:t>
      </w:r>
      <w:r>
        <w:rPr>
          <w:color w:val="231F20"/>
        </w:rPr>
        <w:t>un</w:t>
      </w:r>
      <w:r>
        <w:rPr>
          <w:color w:val="231F20"/>
          <w:spacing w:val="-12"/>
        </w:rPr>
        <w:t> </w:t>
      </w:r>
      <w:r>
        <w:rPr>
          <w:color w:val="231F20"/>
        </w:rPr>
        <w:t>punto</w:t>
      </w:r>
      <w:r>
        <w:rPr>
          <w:color w:val="231F20"/>
          <w:spacing w:val="-12"/>
        </w:rPr>
        <w:t> </w:t>
      </w:r>
      <w:r>
        <w:rPr>
          <w:color w:val="231F20"/>
        </w:rPr>
        <w:t>di</w:t>
      </w:r>
      <w:r>
        <w:rPr>
          <w:color w:val="231F20"/>
          <w:spacing w:val="-12"/>
        </w:rPr>
        <w:t> </w:t>
      </w:r>
      <w:r>
        <w:rPr>
          <w:color w:val="231F20"/>
        </w:rPr>
        <w:t>vista</w:t>
      </w:r>
      <w:r>
        <w:rPr>
          <w:color w:val="231F20"/>
          <w:spacing w:val="-12"/>
        </w:rPr>
        <w:t> </w:t>
      </w:r>
      <w:r>
        <w:rPr>
          <w:color w:val="231F20"/>
        </w:rPr>
        <w:t>marxista, </w:t>
      </w:r>
      <w:r>
        <w:rPr>
          <w:rFonts w:ascii="Arial" w:hAnsi="Arial"/>
          <w:i/>
          <w:color w:val="231F20"/>
        </w:rPr>
        <w:t>All that is solid melts into</w:t>
      </w:r>
      <w:r>
        <w:rPr>
          <w:rFonts w:ascii="Arial" w:hAnsi="Arial"/>
          <w:i/>
          <w:color w:val="231F20"/>
          <w:spacing w:val="11"/>
        </w:rPr>
        <w:t> </w:t>
      </w:r>
      <w:r>
        <w:rPr>
          <w:rFonts w:ascii="Arial" w:hAnsi="Arial"/>
          <w:i/>
          <w:color w:val="231F20"/>
        </w:rPr>
        <w:t>air</w:t>
      </w:r>
      <w:r>
        <w:rPr>
          <w:color w:val="231F20"/>
          <w:position w:val="7"/>
          <w:sz w:val="12"/>
        </w:rPr>
        <w:t>14</w:t>
      </w:r>
      <w:r>
        <w:rPr>
          <w:color w:val="231F20"/>
        </w:rPr>
        <w:t>.</w:t>
      </w:r>
    </w:p>
    <w:p>
      <w:pPr>
        <w:pStyle w:val="BodyText"/>
        <w:rPr>
          <w:sz w:val="20"/>
        </w:rPr>
      </w:pPr>
    </w:p>
    <w:p>
      <w:pPr>
        <w:pStyle w:val="BodyText"/>
        <w:spacing w:before="7"/>
        <w:rPr>
          <w:sz w:val="15"/>
        </w:rPr>
      </w:pPr>
      <w:r>
        <w:rPr/>
        <w:pict>
          <v:line style="position:absolute;mso-position-horizontal-relative:page;mso-position-vertical-relative:paragraph;z-index:12352;mso-wrap-distance-left:0;mso-wrap-distance-right:0" from="65.1968pt,11.505986pt" to="178.5828pt,11.505986pt" stroked="true" strokeweight=".3pt" strokecolor="#231f20">
            <w10:wrap type="topAndBottom"/>
          </v:line>
        </w:pict>
      </w:r>
    </w:p>
    <w:p>
      <w:pPr>
        <w:spacing w:line="204" w:lineRule="exact" w:before="9"/>
        <w:ind w:left="103" w:right="0" w:firstLine="0"/>
        <w:jc w:val="left"/>
        <w:rPr>
          <w:rFonts w:ascii="Calibri" w:hAnsi="Calibri"/>
          <w:sz w:val="17"/>
        </w:rPr>
      </w:pPr>
      <w:r>
        <w:rPr>
          <w:rFonts w:ascii="Calibri" w:hAnsi="Calibri"/>
          <w:color w:val="231F20"/>
          <w:position w:val="6"/>
          <w:sz w:val="10"/>
        </w:rPr>
        <w:t>11</w:t>
      </w:r>
      <w:r>
        <w:rPr>
          <w:rFonts w:ascii="Calibri" w:hAnsi="Calibri"/>
          <w:color w:val="231F20"/>
          <w:spacing w:val="8"/>
          <w:position w:val="6"/>
          <w:sz w:val="10"/>
        </w:rPr>
        <w:t> </w:t>
      </w:r>
      <w:r>
        <w:rPr>
          <w:rFonts w:ascii="Calibri" w:hAnsi="Calibri"/>
          <w:color w:val="231F20"/>
          <w:sz w:val="17"/>
        </w:rPr>
        <w:t>G.</w:t>
      </w:r>
      <w:r>
        <w:rPr>
          <w:rFonts w:ascii="Calibri" w:hAnsi="Calibri"/>
          <w:color w:val="231F20"/>
          <w:spacing w:val="-9"/>
          <w:sz w:val="17"/>
        </w:rPr>
        <w:t> </w:t>
      </w:r>
      <w:r>
        <w:rPr>
          <w:rFonts w:ascii="Calibri" w:hAnsi="Calibri"/>
          <w:color w:val="231F20"/>
          <w:sz w:val="17"/>
        </w:rPr>
        <w:t>Lanaro,</w:t>
      </w:r>
      <w:r>
        <w:rPr>
          <w:rFonts w:ascii="Calibri" w:hAnsi="Calibri"/>
          <w:color w:val="231F20"/>
          <w:spacing w:val="-9"/>
          <w:sz w:val="17"/>
        </w:rPr>
        <w:t> </w:t>
      </w:r>
      <w:r>
        <w:rPr>
          <w:rFonts w:ascii="Calibri" w:hAnsi="Calibri"/>
          <w:i/>
          <w:color w:val="231F20"/>
          <w:spacing w:val="-3"/>
          <w:sz w:val="17"/>
        </w:rPr>
        <w:t>L’evoluzione,</w:t>
      </w:r>
      <w:r>
        <w:rPr>
          <w:rFonts w:ascii="Calibri" w:hAnsi="Calibri"/>
          <w:i/>
          <w:color w:val="231F20"/>
          <w:spacing w:val="-9"/>
          <w:sz w:val="17"/>
        </w:rPr>
        <w:t> </w:t>
      </w:r>
      <w:r>
        <w:rPr>
          <w:rFonts w:ascii="Calibri" w:hAnsi="Calibri"/>
          <w:i/>
          <w:color w:val="231F20"/>
          <w:sz w:val="17"/>
        </w:rPr>
        <w:t>il</w:t>
      </w:r>
      <w:r>
        <w:rPr>
          <w:rFonts w:ascii="Calibri" w:hAnsi="Calibri"/>
          <w:i/>
          <w:color w:val="231F20"/>
          <w:spacing w:val="-9"/>
          <w:sz w:val="17"/>
        </w:rPr>
        <w:t> </w:t>
      </w:r>
      <w:r>
        <w:rPr>
          <w:rFonts w:ascii="Calibri" w:hAnsi="Calibri"/>
          <w:i/>
          <w:color w:val="231F20"/>
          <w:sz w:val="17"/>
        </w:rPr>
        <w:t>progresso</w:t>
      </w:r>
      <w:r>
        <w:rPr>
          <w:rFonts w:ascii="Calibri" w:hAnsi="Calibri"/>
          <w:i/>
          <w:color w:val="231F20"/>
          <w:spacing w:val="-9"/>
          <w:sz w:val="17"/>
        </w:rPr>
        <w:t> </w:t>
      </w:r>
      <w:r>
        <w:rPr>
          <w:rFonts w:ascii="Calibri" w:hAnsi="Calibri"/>
          <w:i/>
          <w:color w:val="231F20"/>
          <w:sz w:val="17"/>
        </w:rPr>
        <w:t>e</w:t>
      </w:r>
      <w:r>
        <w:rPr>
          <w:rFonts w:ascii="Calibri" w:hAnsi="Calibri"/>
          <w:i/>
          <w:color w:val="231F20"/>
          <w:spacing w:val="-9"/>
          <w:sz w:val="17"/>
        </w:rPr>
        <w:t> </w:t>
      </w:r>
      <w:r>
        <w:rPr>
          <w:rFonts w:ascii="Calibri" w:hAnsi="Calibri"/>
          <w:i/>
          <w:color w:val="231F20"/>
          <w:sz w:val="17"/>
        </w:rPr>
        <w:t>la</w:t>
      </w:r>
      <w:r>
        <w:rPr>
          <w:rFonts w:ascii="Calibri" w:hAnsi="Calibri"/>
          <w:i/>
          <w:color w:val="231F20"/>
          <w:spacing w:val="-9"/>
          <w:sz w:val="17"/>
        </w:rPr>
        <w:t> </w:t>
      </w:r>
      <w:r>
        <w:rPr>
          <w:rFonts w:ascii="Calibri" w:hAnsi="Calibri"/>
          <w:i/>
          <w:color w:val="231F20"/>
          <w:sz w:val="17"/>
        </w:rPr>
        <w:t>società</w:t>
      </w:r>
      <w:r>
        <w:rPr>
          <w:rFonts w:ascii="Calibri" w:hAnsi="Calibri"/>
          <w:i/>
          <w:color w:val="231F20"/>
          <w:spacing w:val="-9"/>
          <w:sz w:val="17"/>
        </w:rPr>
        <w:t> </w:t>
      </w:r>
      <w:r>
        <w:rPr>
          <w:rFonts w:ascii="Calibri" w:hAnsi="Calibri"/>
          <w:i/>
          <w:color w:val="231F20"/>
          <w:sz w:val="17"/>
        </w:rPr>
        <w:t>industriale.</w:t>
      </w:r>
      <w:r>
        <w:rPr>
          <w:rFonts w:ascii="Calibri" w:hAnsi="Calibri"/>
          <w:i/>
          <w:color w:val="231F20"/>
          <w:spacing w:val="-9"/>
          <w:sz w:val="17"/>
        </w:rPr>
        <w:t> </w:t>
      </w:r>
      <w:r>
        <w:rPr>
          <w:rFonts w:ascii="Calibri" w:hAnsi="Calibri"/>
          <w:i/>
          <w:color w:val="231F20"/>
          <w:sz w:val="17"/>
        </w:rPr>
        <w:t>Un</w:t>
      </w:r>
      <w:r>
        <w:rPr>
          <w:rFonts w:ascii="Calibri" w:hAnsi="Calibri"/>
          <w:i/>
          <w:color w:val="231F20"/>
          <w:spacing w:val="-9"/>
          <w:sz w:val="17"/>
        </w:rPr>
        <w:t> </w:t>
      </w:r>
      <w:r>
        <w:rPr>
          <w:rFonts w:ascii="Calibri" w:hAnsi="Calibri"/>
          <w:i/>
          <w:color w:val="231F20"/>
          <w:sz w:val="17"/>
        </w:rPr>
        <w:t>profilo</w:t>
      </w:r>
      <w:r>
        <w:rPr>
          <w:rFonts w:ascii="Calibri" w:hAnsi="Calibri"/>
          <w:i/>
          <w:color w:val="231F20"/>
          <w:spacing w:val="-9"/>
          <w:sz w:val="17"/>
        </w:rPr>
        <w:t> </w:t>
      </w:r>
      <w:r>
        <w:rPr>
          <w:rFonts w:ascii="Calibri" w:hAnsi="Calibri"/>
          <w:i/>
          <w:color w:val="231F20"/>
          <w:sz w:val="17"/>
        </w:rPr>
        <w:t>di</w:t>
      </w:r>
      <w:r>
        <w:rPr>
          <w:rFonts w:ascii="Calibri" w:hAnsi="Calibri"/>
          <w:i/>
          <w:color w:val="231F20"/>
          <w:spacing w:val="-9"/>
          <w:sz w:val="17"/>
        </w:rPr>
        <w:t> </w:t>
      </w:r>
      <w:r>
        <w:rPr>
          <w:rFonts w:ascii="Calibri" w:hAnsi="Calibri"/>
          <w:i/>
          <w:color w:val="231F20"/>
          <w:sz w:val="17"/>
        </w:rPr>
        <w:t>Herbert</w:t>
      </w:r>
      <w:r>
        <w:rPr>
          <w:rFonts w:ascii="Calibri" w:hAnsi="Calibri"/>
          <w:i/>
          <w:color w:val="231F20"/>
          <w:spacing w:val="-9"/>
          <w:sz w:val="17"/>
        </w:rPr>
        <w:t> </w:t>
      </w:r>
      <w:r>
        <w:rPr>
          <w:rFonts w:ascii="Calibri" w:hAnsi="Calibri"/>
          <w:i/>
          <w:color w:val="231F20"/>
          <w:sz w:val="17"/>
        </w:rPr>
        <w:t>Spencer</w:t>
      </w:r>
      <w:r>
        <w:rPr>
          <w:rFonts w:ascii="Calibri" w:hAnsi="Calibri"/>
          <w:color w:val="231F20"/>
          <w:sz w:val="17"/>
        </w:rPr>
        <w:t>,</w:t>
      </w:r>
      <w:r>
        <w:rPr>
          <w:rFonts w:ascii="Calibri" w:hAnsi="Calibri"/>
          <w:color w:val="231F20"/>
          <w:spacing w:val="-9"/>
          <w:sz w:val="17"/>
        </w:rPr>
        <w:t> </w:t>
      </w:r>
      <w:r>
        <w:rPr>
          <w:rFonts w:ascii="Calibri" w:hAnsi="Calibri"/>
          <w:color w:val="231F20"/>
          <w:sz w:val="17"/>
        </w:rPr>
        <w:t>Firenze,</w:t>
      </w:r>
      <w:r>
        <w:rPr>
          <w:rFonts w:ascii="Calibri" w:hAnsi="Calibri"/>
          <w:color w:val="231F20"/>
          <w:spacing w:val="-9"/>
          <w:sz w:val="17"/>
        </w:rPr>
        <w:t> </w:t>
      </w:r>
      <w:r>
        <w:rPr>
          <w:rFonts w:ascii="Calibri" w:hAnsi="Calibri"/>
          <w:color w:val="231F20"/>
          <w:sz w:val="17"/>
        </w:rPr>
        <w:t>La Nuova Italia,</w:t>
      </w:r>
      <w:r>
        <w:rPr>
          <w:rFonts w:ascii="Calibri" w:hAnsi="Calibri"/>
          <w:color w:val="231F20"/>
          <w:spacing w:val="-2"/>
          <w:sz w:val="17"/>
        </w:rPr>
        <w:t> </w:t>
      </w:r>
      <w:r>
        <w:rPr>
          <w:rFonts w:ascii="Calibri" w:hAnsi="Calibri"/>
          <w:color w:val="231F20"/>
          <w:spacing w:val="-4"/>
          <w:sz w:val="17"/>
        </w:rPr>
        <w:t>1997.</w:t>
      </w:r>
    </w:p>
    <w:p>
      <w:pPr>
        <w:spacing w:line="206" w:lineRule="exact" w:before="1"/>
        <w:ind w:left="103" w:right="0" w:firstLine="0"/>
        <w:jc w:val="left"/>
        <w:rPr>
          <w:rFonts w:ascii="Calibri" w:hAnsi="Calibri"/>
          <w:sz w:val="17"/>
        </w:rPr>
      </w:pPr>
      <w:r>
        <w:rPr>
          <w:rFonts w:ascii="Calibri" w:hAnsi="Calibri"/>
          <w:color w:val="231F20"/>
          <w:position w:val="6"/>
          <w:sz w:val="10"/>
        </w:rPr>
        <w:t>12  </w:t>
      </w:r>
      <w:r>
        <w:rPr>
          <w:rFonts w:ascii="Calibri" w:hAnsi="Calibri"/>
          <w:color w:val="231F20"/>
          <w:sz w:val="17"/>
        </w:rPr>
        <w:t>F. Borkenau, </w:t>
      </w:r>
      <w:r>
        <w:rPr>
          <w:rFonts w:ascii="Calibri" w:hAnsi="Calibri"/>
          <w:i/>
          <w:color w:val="231F20"/>
          <w:sz w:val="17"/>
        </w:rPr>
        <w:t>Pareto</w:t>
      </w:r>
      <w:r>
        <w:rPr>
          <w:rFonts w:ascii="Calibri" w:hAnsi="Calibri"/>
          <w:color w:val="231F20"/>
          <w:sz w:val="17"/>
        </w:rPr>
        <w:t>, New York, J. Wiley &amp; Sons., 1936, in cui viene delineata anche un’originale   e</w:t>
      </w:r>
    </w:p>
    <w:p>
      <w:pPr>
        <w:spacing w:line="204" w:lineRule="exact" w:before="0"/>
        <w:ind w:left="103" w:right="0" w:firstLine="0"/>
        <w:jc w:val="left"/>
        <w:rPr>
          <w:rFonts w:ascii="Calibri"/>
          <w:sz w:val="17"/>
        </w:rPr>
      </w:pPr>
      <w:r>
        <w:rPr>
          <w:rFonts w:ascii="Calibri"/>
          <w:color w:val="231F20"/>
          <w:w w:val="105"/>
          <w:sz w:val="17"/>
        </w:rPr>
        <w:t>precoce teoria del totalitarismo.</w:t>
      </w:r>
    </w:p>
    <w:p>
      <w:pPr>
        <w:spacing w:line="204" w:lineRule="exact" w:before="0"/>
        <w:ind w:left="103" w:right="0" w:firstLine="0"/>
        <w:jc w:val="left"/>
        <w:rPr>
          <w:rFonts w:ascii="Calibri" w:hAnsi="Calibri"/>
          <w:sz w:val="17"/>
        </w:rPr>
      </w:pPr>
      <w:r>
        <w:rPr>
          <w:rFonts w:ascii="Calibri" w:hAnsi="Calibri"/>
          <w:color w:val="231F20"/>
          <w:position w:val="6"/>
          <w:sz w:val="10"/>
        </w:rPr>
        <w:t>13  </w:t>
      </w:r>
      <w:r>
        <w:rPr>
          <w:rFonts w:ascii="Calibri" w:hAnsi="Calibri"/>
          <w:color w:val="231F20"/>
          <w:sz w:val="17"/>
        </w:rPr>
        <w:t>Ancora utile il riferimento a E. Halévy, </w:t>
      </w:r>
      <w:r>
        <w:rPr>
          <w:rFonts w:ascii="Calibri" w:hAnsi="Calibri"/>
          <w:i/>
          <w:color w:val="231F20"/>
          <w:sz w:val="17"/>
        </w:rPr>
        <w:t>Histoire du socialisme européen</w:t>
      </w:r>
      <w:r>
        <w:rPr>
          <w:rFonts w:ascii="Calibri" w:hAnsi="Calibri"/>
          <w:color w:val="231F20"/>
          <w:sz w:val="17"/>
        </w:rPr>
        <w:t>, Paris, Gallimard, 1948.</w:t>
      </w:r>
    </w:p>
    <w:p>
      <w:pPr>
        <w:spacing w:line="206" w:lineRule="exact" w:before="0"/>
        <w:ind w:left="103" w:right="0" w:firstLine="0"/>
        <w:jc w:val="left"/>
        <w:rPr>
          <w:rFonts w:ascii="Calibri"/>
          <w:sz w:val="17"/>
        </w:rPr>
      </w:pPr>
      <w:r>
        <w:rPr>
          <w:rFonts w:ascii="Calibri"/>
          <w:color w:val="231F20"/>
          <w:position w:val="6"/>
          <w:sz w:val="10"/>
        </w:rPr>
        <w:t>14 </w:t>
      </w:r>
      <w:r>
        <w:rPr>
          <w:rFonts w:ascii="Calibri"/>
          <w:color w:val="231F20"/>
          <w:sz w:val="17"/>
        </w:rPr>
        <w:t>M. Berman, </w:t>
      </w:r>
      <w:r>
        <w:rPr>
          <w:rFonts w:ascii="Calibri"/>
          <w:i/>
          <w:color w:val="231F20"/>
          <w:sz w:val="17"/>
        </w:rPr>
        <w:t>All that is solid melts into air. The Experience of Modernity</w:t>
      </w:r>
      <w:r>
        <w:rPr>
          <w:rFonts w:ascii="Calibri"/>
          <w:color w:val="231F20"/>
          <w:sz w:val="17"/>
        </w:rPr>
        <w:t>, New York, Verso, 1982.</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sz w:val="16"/>
        </w:rPr>
      </w:pPr>
      <w:r>
        <w:rPr/>
        <w:pict>
          <v:group style="position:absolute;margin-left:98.079102pt;margin-top:-3.358812pt;width:20.4pt;height:43pt;mso-position-horizontal-relative:page;mso-position-vertical-relative:paragraph;z-index:-163024"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90</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991"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297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28"/>
          <w:sz w:val="14"/>
        </w:rPr>
        <w:t> </w:t>
      </w:r>
      <w:r>
        <w:rPr>
          <w:rFonts w:ascii="Lucida Sans Unicode" w:hAnsi="Lucida Sans Unicode"/>
          <w:color w:val="6D6E71"/>
          <w:spacing w:val="-4"/>
          <w:sz w:val="14"/>
        </w:rPr>
        <w:t>STATO</w:t>
      </w:r>
      <w:r>
        <w:rPr>
          <w:rFonts w:ascii="Lucida Sans Unicode" w:hAnsi="Lucida Sans Unicode"/>
          <w:color w:val="6D6E71"/>
          <w:spacing w:val="-28"/>
          <w:sz w:val="14"/>
        </w:rPr>
        <w:t> </w:t>
      </w:r>
      <w:r>
        <w:rPr>
          <w:rFonts w:ascii="Lucida Sans Unicode" w:hAnsi="Lucida Sans Unicode"/>
          <w:color w:val="6D6E71"/>
          <w:sz w:val="14"/>
        </w:rPr>
        <w:t>MODERNO,</w:t>
      </w:r>
      <w:r>
        <w:rPr>
          <w:rFonts w:ascii="Lucida Sans Unicode" w:hAnsi="Lucida Sans Unicode"/>
          <w:color w:val="6D6E71"/>
          <w:spacing w:val="-28"/>
          <w:sz w:val="14"/>
        </w:rPr>
        <w:t> </w:t>
      </w:r>
      <w:r>
        <w:rPr>
          <w:rFonts w:ascii="Lucida Sans Unicode" w:hAnsi="Lucida Sans Unicode"/>
          <w:color w:val="6D6E71"/>
          <w:sz w:val="14"/>
        </w:rPr>
        <w:t>AL</w:t>
      </w:r>
      <w:r>
        <w:rPr>
          <w:rFonts w:ascii="Lucida Sans Unicode" w:hAnsi="Lucida Sans Unicode"/>
          <w:color w:val="6D6E71"/>
          <w:spacing w:val="-28"/>
          <w:sz w:val="14"/>
        </w:rPr>
        <w:t> </w:t>
      </w:r>
      <w:r>
        <w:rPr>
          <w:rFonts w:ascii="Lucida Sans Unicode" w:hAnsi="Lucida Sans Unicode"/>
          <w:color w:val="6D6E71"/>
          <w:sz w:val="14"/>
        </w:rPr>
        <w:t>GIORNO</w:t>
      </w:r>
      <w:r>
        <w:rPr>
          <w:rFonts w:ascii="Lucida Sans Unicode" w:hAnsi="Lucida Sans Unicode"/>
          <w:color w:val="6D6E71"/>
          <w:spacing w:val="-28"/>
          <w:sz w:val="14"/>
        </w:rPr>
        <w:t> </w:t>
      </w:r>
      <w:r>
        <w:rPr>
          <w:rFonts w:ascii="Lucida Sans Unicode" w:hAnsi="Lucida Sans Unicode"/>
          <w:color w:val="6D6E71"/>
          <w:sz w:val="14"/>
        </w:rPr>
        <w:t>D’OGGI</w:t>
      </w:r>
      <w:r>
        <w:rPr>
          <w:rFonts w:ascii="Lucida Sans Unicode" w:hAnsi="Lucida Sans Unicode"/>
          <w:color w:val="6D6E71"/>
          <w:spacing w:val="-28"/>
          <w:sz w:val="14"/>
        </w:rPr>
        <w:t> </w:t>
      </w:r>
      <w:r>
        <w:rPr>
          <w:rFonts w:ascii="Lucida Sans Unicode" w:hAnsi="Lucida Sans Unicode"/>
          <w:color w:val="6D6E71"/>
          <w:sz w:val="14"/>
        </w:rPr>
        <w:t>E</w:t>
      </w:r>
      <w:r>
        <w:rPr>
          <w:rFonts w:ascii="Lucida Sans Unicode" w:hAnsi="Lucida Sans Unicode"/>
          <w:color w:val="6D6E71"/>
          <w:spacing w:val="-28"/>
          <w:sz w:val="14"/>
        </w:rPr>
        <w:t> </w:t>
      </w:r>
      <w:r>
        <w:rPr>
          <w:rFonts w:ascii="Lucida Sans Unicode" w:hAnsi="Lucida Sans Unicode"/>
          <w:color w:val="6D6E71"/>
          <w:sz w:val="14"/>
        </w:rPr>
        <w:t>DI</w:t>
      </w:r>
      <w:r>
        <w:rPr>
          <w:rFonts w:ascii="Lucida Sans Unicode" w:hAnsi="Lucida Sans Unicode"/>
          <w:color w:val="6D6E71"/>
          <w:spacing w:val="-28"/>
          <w:sz w:val="14"/>
        </w:rPr>
        <w:t> </w:t>
      </w:r>
      <w:r>
        <w:rPr>
          <w:rFonts w:ascii="Lucida Sans Unicode" w:hAnsi="Lucida Sans Unicode"/>
          <w:color w:val="6D6E71"/>
          <w:sz w:val="14"/>
        </w:rPr>
        <w:t>DOMANI</w:t>
      </w:r>
      <w:r>
        <w:rPr>
          <w:rFonts w:ascii="Trebuchet MS" w:hAnsi="Trebuchet MS"/>
          <w:color w:val="414042"/>
          <w:position w:val="-3"/>
          <w:sz w:val="20"/>
        </w:rPr>
        <w:tab/>
        <w:t>91</w:t>
      </w:r>
    </w:p>
    <w:p>
      <w:pPr>
        <w:pStyle w:val="BodyText"/>
        <w:spacing w:line="247" w:lineRule="auto" w:before="621"/>
        <w:ind w:left="117" w:right="116" w:firstLine="566"/>
        <w:jc w:val="both"/>
      </w:pPr>
      <w:r>
        <w:rPr>
          <w:color w:val="231F20"/>
        </w:rPr>
        <w:t>L’evaporazione ha riguardato certamente anche lo Stato, nella sua accezione di “moderno”. E infatti i migliori cominciarono allora a parlare di “crisi dello Stato”, come pure a proporre rimedi: due casi esemplari Santi Romano in Italia e Carl Schmitt nel </w:t>
      </w:r>
      <w:r>
        <w:rPr>
          <w:rFonts w:ascii="Arial" w:hAnsi="Arial"/>
          <w:i/>
          <w:color w:val="231F20"/>
        </w:rPr>
        <w:t>Reich</w:t>
      </w:r>
      <w:r>
        <w:rPr>
          <w:color w:val="231F20"/>
        </w:rPr>
        <w:t>, entrambi certo non indifferenti alle</w:t>
      </w:r>
      <w:r>
        <w:rPr>
          <w:color w:val="231F20"/>
          <w:spacing w:val="-18"/>
        </w:rPr>
        <w:t> </w:t>
      </w:r>
      <w:r>
        <w:rPr>
          <w:color w:val="231F20"/>
        </w:rPr>
        <w:t>prossime</w:t>
      </w:r>
      <w:r>
        <w:rPr>
          <w:color w:val="231F20"/>
          <w:spacing w:val="-18"/>
        </w:rPr>
        <w:t> </w:t>
      </w:r>
      <w:r>
        <w:rPr>
          <w:color w:val="231F20"/>
        </w:rPr>
        <w:t>soluzioni</w:t>
      </w:r>
      <w:r>
        <w:rPr>
          <w:color w:val="231F20"/>
          <w:spacing w:val="-18"/>
        </w:rPr>
        <w:t> </w:t>
      </w:r>
      <w:r>
        <w:rPr>
          <w:color w:val="231F20"/>
        </w:rPr>
        <w:t>fasciste</w:t>
      </w:r>
      <w:r>
        <w:rPr>
          <w:color w:val="231F20"/>
          <w:spacing w:val="-18"/>
        </w:rPr>
        <w:t> </w:t>
      </w:r>
      <w:r>
        <w:rPr>
          <w:color w:val="231F20"/>
        </w:rPr>
        <w:t>e</w:t>
      </w:r>
      <w:r>
        <w:rPr>
          <w:color w:val="231F20"/>
          <w:spacing w:val="-18"/>
        </w:rPr>
        <w:t> </w:t>
      </w:r>
      <w:r>
        <w:rPr>
          <w:color w:val="231F20"/>
        </w:rPr>
        <w:t>totalitarie.</w:t>
      </w:r>
      <w:r>
        <w:rPr>
          <w:color w:val="231F20"/>
          <w:spacing w:val="-18"/>
        </w:rPr>
        <w:t> </w:t>
      </w:r>
      <w:r>
        <w:rPr>
          <w:color w:val="231F20"/>
        </w:rPr>
        <w:t>Non</w:t>
      </w:r>
      <w:r>
        <w:rPr>
          <w:color w:val="231F20"/>
          <w:spacing w:val="-18"/>
        </w:rPr>
        <w:t> </w:t>
      </w:r>
      <w:r>
        <w:rPr>
          <w:color w:val="231F20"/>
        </w:rPr>
        <w:t>parlo</w:t>
      </w:r>
      <w:r>
        <w:rPr>
          <w:color w:val="231F20"/>
          <w:spacing w:val="-18"/>
        </w:rPr>
        <w:t> </w:t>
      </w:r>
      <w:r>
        <w:rPr>
          <w:color w:val="231F20"/>
        </w:rPr>
        <w:t>della</w:t>
      </w:r>
      <w:r>
        <w:rPr>
          <w:color w:val="231F20"/>
          <w:spacing w:val="-18"/>
        </w:rPr>
        <w:t> </w:t>
      </w:r>
      <w:r>
        <w:rPr>
          <w:color w:val="231F20"/>
        </w:rPr>
        <w:t>Russia</w:t>
      </w:r>
      <w:r>
        <w:rPr>
          <w:color w:val="231F20"/>
          <w:spacing w:val="-18"/>
        </w:rPr>
        <w:t> </w:t>
      </w:r>
      <w:r>
        <w:rPr>
          <w:color w:val="231F20"/>
        </w:rPr>
        <w:t>sovietica, ma ricordo che uno dei pezzi forti della letteratura dis-topica fu il romanzo </w:t>
      </w:r>
      <w:r>
        <w:rPr>
          <w:rFonts w:ascii="Arial" w:hAnsi="Arial"/>
          <w:i/>
          <w:color w:val="231F20"/>
        </w:rPr>
        <w:t>Noi </w:t>
      </w:r>
      <w:r>
        <w:rPr>
          <w:color w:val="231F20"/>
        </w:rPr>
        <w:t>pubblicato in inglese (</w:t>
      </w:r>
      <w:r>
        <w:rPr>
          <w:rFonts w:ascii="Arial" w:hAnsi="Arial"/>
          <w:i/>
          <w:color w:val="231F20"/>
        </w:rPr>
        <w:t>We</w:t>
      </w:r>
      <w:r>
        <w:rPr>
          <w:color w:val="231F20"/>
        </w:rPr>
        <w:t>) nel 1921 da Evgenij Zamjatin, l’ingegnere russo che nei primi anni della Rivoluzione collaudava a Portsmouth le navi da guerra sovietiche. Nello stesso anno 1921, su </w:t>
      </w:r>
      <w:r>
        <w:rPr>
          <w:rFonts w:ascii="Arial" w:hAnsi="Arial"/>
          <w:i/>
          <w:color w:val="231F20"/>
          <w:spacing w:val="-4"/>
        </w:rPr>
        <w:t>L’ordine </w:t>
      </w:r>
      <w:r>
        <w:rPr>
          <w:rFonts w:ascii="Arial" w:hAnsi="Arial"/>
          <w:i/>
          <w:color w:val="231F20"/>
        </w:rPr>
        <w:t>nuovo</w:t>
      </w:r>
      <w:r>
        <w:rPr>
          <w:color w:val="231F20"/>
        </w:rPr>
        <w:t>, Gramsci invitava i compagni a “non avere paura dei mostri”, utilizzando magari anche i futuristi (Marinetti in testa) per costruire una “cultura (una civiltà) proletaria,</w:t>
      </w:r>
      <w:r>
        <w:rPr>
          <w:color w:val="231F20"/>
          <w:spacing w:val="-22"/>
        </w:rPr>
        <w:t> </w:t>
      </w:r>
      <w:r>
        <w:rPr>
          <w:color w:val="231F20"/>
        </w:rPr>
        <w:t>totalmente</w:t>
      </w:r>
      <w:r>
        <w:rPr>
          <w:color w:val="231F20"/>
          <w:spacing w:val="-22"/>
        </w:rPr>
        <w:t> </w:t>
      </w:r>
      <w:r>
        <w:rPr>
          <w:color w:val="231F20"/>
        </w:rPr>
        <w:t>diversa</w:t>
      </w:r>
      <w:r>
        <w:rPr>
          <w:color w:val="231F20"/>
          <w:spacing w:val="-22"/>
        </w:rPr>
        <w:t> </w:t>
      </w:r>
      <w:r>
        <w:rPr>
          <w:color w:val="231F20"/>
        </w:rPr>
        <w:t>da</w:t>
      </w:r>
      <w:r>
        <w:rPr>
          <w:color w:val="231F20"/>
          <w:spacing w:val="-22"/>
        </w:rPr>
        <w:t> </w:t>
      </w:r>
      <w:r>
        <w:rPr>
          <w:color w:val="231F20"/>
        </w:rPr>
        <w:t>quella</w:t>
      </w:r>
      <w:r>
        <w:rPr>
          <w:color w:val="231F20"/>
          <w:spacing w:val="-22"/>
        </w:rPr>
        <w:t> </w:t>
      </w:r>
      <w:r>
        <w:rPr>
          <w:color w:val="231F20"/>
        </w:rPr>
        <w:t>borghese”.</w:t>
      </w:r>
      <w:r>
        <w:rPr>
          <w:color w:val="231F20"/>
          <w:spacing w:val="-22"/>
        </w:rPr>
        <w:t> </w:t>
      </w:r>
      <w:r>
        <w:rPr>
          <w:color w:val="231F20"/>
        </w:rPr>
        <w:t>I</w:t>
      </w:r>
      <w:r>
        <w:rPr>
          <w:color w:val="231F20"/>
          <w:spacing w:val="-22"/>
        </w:rPr>
        <w:t> </w:t>
      </w:r>
      <w:r>
        <w:rPr>
          <w:color w:val="231F20"/>
        </w:rPr>
        <w:t>futuristi</w:t>
      </w:r>
      <w:r>
        <w:rPr>
          <w:color w:val="231F20"/>
          <w:spacing w:val="-22"/>
        </w:rPr>
        <w:t> </w:t>
      </w:r>
      <w:r>
        <w:rPr>
          <w:color w:val="231F20"/>
        </w:rPr>
        <w:t>infatti</w:t>
      </w:r>
      <w:r>
        <w:rPr>
          <w:color w:val="231F20"/>
          <w:spacing w:val="-22"/>
        </w:rPr>
        <w:t> </w:t>
      </w:r>
      <w:r>
        <w:rPr>
          <w:color w:val="231F20"/>
        </w:rPr>
        <w:t>avevano avuto</w:t>
      </w:r>
      <w:r>
        <w:rPr>
          <w:color w:val="231F20"/>
          <w:spacing w:val="-8"/>
        </w:rPr>
        <w:t> </w:t>
      </w:r>
      <w:r>
        <w:rPr>
          <w:color w:val="231F20"/>
        </w:rPr>
        <w:t>prima</w:t>
      </w:r>
      <w:r>
        <w:rPr>
          <w:color w:val="231F20"/>
          <w:spacing w:val="-8"/>
        </w:rPr>
        <w:t> </w:t>
      </w:r>
      <w:r>
        <w:rPr>
          <w:color w:val="231F20"/>
        </w:rPr>
        <w:t>della</w:t>
      </w:r>
      <w:r>
        <w:rPr>
          <w:color w:val="231F20"/>
          <w:spacing w:val="-8"/>
        </w:rPr>
        <w:t> </w:t>
      </w:r>
      <w:r>
        <w:rPr>
          <w:color w:val="231F20"/>
        </w:rPr>
        <w:t>Guerra,</w:t>
      </w:r>
      <w:r>
        <w:rPr>
          <w:color w:val="231F20"/>
          <w:spacing w:val="-8"/>
        </w:rPr>
        <w:t> </w:t>
      </w:r>
      <w:r>
        <w:rPr>
          <w:color w:val="231F20"/>
        </w:rPr>
        <w:t>per</w:t>
      </w:r>
      <w:r>
        <w:rPr>
          <w:color w:val="231F20"/>
          <w:spacing w:val="-8"/>
        </w:rPr>
        <w:t> </w:t>
      </w:r>
      <w:r>
        <w:rPr>
          <w:color w:val="231F20"/>
        </w:rPr>
        <w:t>Gramsci,</w:t>
      </w:r>
      <w:r>
        <w:rPr>
          <w:color w:val="231F20"/>
          <w:spacing w:val="-8"/>
        </w:rPr>
        <w:t> </w:t>
      </w:r>
      <w:r>
        <w:rPr>
          <w:color w:val="231F20"/>
        </w:rPr>
        <w:t>il</w:t>
      </w:r>
      <w:r>
        <w:rPr>
          <w:color w:val="231F20"/>
          <w:spacing w:val="-8"/>
        </w:rPr>
        <w:t> </w:t>
      </w:r>
      <w:r>
        <w:rPr>
          <w:color w:val="231F20"/>
        </w:rPr>
        <w:t>coraggio</w:t>
      </w:r>
      <w:r>
        <w:rPr>
          <w:color w:val="231F20"/>
          <w:spacing w:val="-8"/>
        </w:rPr>
        <w:t> </w:t>
      </w:r>
      <w:r>
        <w:rPr>
          <w:color w:val="231F20"/>
        </w:rPr>
        <w:t>di</w:t>
      </w:r>
      <w:r>
        <w:rPr>
          <w:color w:val="231F20"/>
          <w:spacing w:val="-8"/>
        </w:rPr>
        <w:t> </w:t>
      </w:r>
      <w:r>
        <w:rPr>
          <w:color w:val="231F20"/>
        </w:rPr>
        <w:t>“distruggere”:</w:t>
      </w:r>
      <w:r>
        <w:rPr>
          <w:color w:val="231F20"/>
          <w:spacing w:val="-8"/>
        </w:rPr>
        <w:t> </w:t>
      </w:r>
      <w:r>
        <w:rPr>
          <w:color w:val="231F20"/>
        </w:rPr>
        <w:t>“hanno avuto la concezione netta e chiara che l’epoca nostra, l’epoca della grande industria,</w:t>
      </w:r>
      <w:r>
        <w:rPr>
          <w:color w:val="231F20"/>
          <w:spacing w:val="-13"/>
        </w:rPr>
        <w:t> </w:t>
      </w:r>
      <w:r>
        <w:rPr>
          <w:color w:val="231F20"/>
        </w:rPr>
        <w:t>della</w:t>
      </w:r>
      <w:r>
        <w:rPr>
          <w:color w:val="231F20"/>
          <w:spacing w:val="-13"/>
        </w:rPr>
        <w:t> </w:t>
      </w:r>
      <w:r>
        <w:rPr>
          <w:color w:val="231F20"/>
        </w:rPr>
        <w:t>grande</w:t>
      </w:r>
      <w:r>
        <w:rPr>
          <w:color w:val="231F20"/>
          <w:spacing w:val="-13"/>
        </w:rPr>
        <w:t> </w:t>
      </w:r>
      <w:r>
        <w:rPr>
          <w:color w:val="231F20"/>
        </w:rPr>
        <w:t>città</w:t>
      </w:r>
      <w:r>
        <w:rPr>
          <w:color w:val="231F20"/>
          <w:spacing w:val="-13"/>
        </w:rPr>
        <w:t> </w:t>
      </w:r>
      <w:r>
        <w:rPr>
          <w:color w:val="231F20"/>
        </w:rPr>
        <w:t>operaia,</w:t>
      </w:r>
      <w:r>
        <w:rPr>
          <w:color w:val="231F20"/>
          <w:spacing w:val="-13"/>
        </w:rPr>
        <w:t> </w:t>
      </w:r>
      <w:r>
        <w:rPr>
          <w:color w:val="231F20"/>
        </w:rPr>
        <w:t>della</w:t>
      </w:r>
      <w:r>
        <w:rPr>
          <w:color w:val="231F20"/>
          <w:spacing w:val="-13"/>
        </w:rPr>
        <w:t> </w:t>
      </w:r>
      <w:r>
        <w:rPr>
          <w:color w:val="231F20"/>
        </w:rPr>
        <w:t>vita</w:t>
      </w:r>
      <w:r>
        <w:rPr>
          <w:color w:val="231F20"/>
          <w:spacing w:val="-13"/>
        </w:rPr>
        <w:t> </w:t>
      </w:r>
      <w:r>
        <w:rPr>
          <w:color w:val="231F20"/>
        </w:rPr>
        <w:t>intensa</w:t>
      </w:r>
      <w:r>
        <w:rPr>
          <w:color w:val="231F20"/>
          <w:spacing w:val="-13"/>
        </w:rPr>
        <w:t> </w:t>
      </w:r>
      <w:r>
        <w:rPr>
          <w:color w:val="231F20"/>
        </w:rPr>
        <w:t>e</w:t>
      </w:r>
      <w:r>
        <w:rPr>
          <w:color w:val="231F20"/>
          <w:spacing w:val="-13"/>
        </w:rPr>
        <w:t> </w:t>
      </w:r>
      <w:r>
        <w:rPr>
          <w:color w:val="231F20"/>
        </w:rPr>
        <w:t>tumultuosa,</w:t>
      </w:r>
      <w:r>
        <w:rPr>
          <w:color w:val="231F20"/>
          <w:spacing w:val="-13"/>
        </w:rPr>
        <w:t> </w:t>
      </w:r>
      <w:r>
        <w:rPr>
          <w:color w:val="231F20"/>
        </w:rPr>
        <w:t>doveva avere nuove forme di arte, di filosofia, di costume, di linguaggio”. A parte la smagliante sicurezza con cui Gramsci riconosce che “la classe operaia rivoluzionaria aveva e ha la coscienza di dover fondare un nuovo </w:t>
      </w:r>
      <w:r>
        <w:rPr>
          <w:color w:val="231F20"/>
          <w:spacing w:val="2"/>
        </w:rPr>
        <w:t>Stato,    </w:t>
      </w:r>
      <w:r>
        <w:rPr>
          <w:color w:val="231F20"/>
        </w:rPr>
        <w:t>di dover elaborare una nuova struttura economica, di dover fondare una nuova civiltà” e a parte il suo lancinante richiamo alla “formula” leninista</w:t>
      </w:r>
      <w:r>
        <w:rPr>
          <w:color w:val="231F20"/>
          <w:spacing w:val="-24"/>
        </w:rPr>
        <w:t> </w:t>
      </w:r>
      <w:r>
        <w:rPr>
          <w:color w:val="231F20"/>
        </w:rPr>
        <w:t>di uno “Stato borghese senza la borghesia”, la sua invettiva pro-futurista può servire a riunire sotto un denominatore comune scelte diverse sul piano sia ideologico che dell’intelligenza storica, di fronte all’evidenza della crisi del tempo e all’esigenza di porvi rimedio</w:t>
      </w:r>
      <w:r>
        <w:rPr>
          <w:color w:val="231F20"/>
          <w:position w:val="7"/>
          <w:sz w:val="12"/>
        </w:rPr>
        <w:t>15</w:t>
      </w:r>
      <w:r>
        <w:rPr>
          <w:color w:val="231F20"/>
        </w:rPr>
        <w:t>. Monica Cioli, per suo conto,  sta cercando di applicare l’etichetta di “modernista” anche al fascismo, ricordando anche che uno dei volani principali fu, per i futuristi, proprio il rimando costante al </w:t>
      </w:r>
      <w:r>
        <w:rPr>
          <w:rFonts w:ascii="Arial" w:hAnsi="Arial"/>
          <w:i/>
          <w:color w:val="231F20"/>
        </w:rPr>
        <w:t>Bild </w:t>
      </w:r>
      <w:r>
        <w:rPr>
          <w:color w:val="231F20"/>
        </w:rPr>
        <w:t>della “macchina”, il quale peraltro rappresentò anche</w:t>
      </w:r>
      <w:r>
        <w:rPr>
          <w:color w:val="231F20"/>
          <w:spacing w:val="-18"/>
        </w:rPr>
        <w:t> </w:t>
      </w:r>
      <w:r>
        <w:rPr>
          <w:color w:val="231F20"/>
        </w:rPr>
        <w:t>un</w:t>
      </w:r>
      <w:r>
        <w:rPr>
          <w:color w:val="231F20"/>
          <w:spacing w:val="-18"/>
        </w:rPr>
        <w:t> </w:t>
      </w:r>
      <w:r>
        <w:rPr>
          <w:color w:val="231F20"/>
        </w:rPr>
        <w:t>mito</w:t>
      </w:r>
      <w:r>
        <w:rPr>
          <w:color w:val="231F20"/>
          <w:spacing w:val="-18"/>
        </w:rPr>
        <w:t> </w:t>
      </w:r>
      <w:r>
        <w:rPr>
          <w:color w:val="231F20"/>
        </w:rPr>
        <w:t>trasversale</w:t>
      </w:r>
      <w:r>
        <w:rPr>
          <w:color w:val="231F20"/>
          <w:spacing w:val="-18"/>
        </w:rPr>
        <w:t> </w:t>
      </w:r>
      <w:r>
        <w:rPr>
          <w:color w:val="231F20"/>
        </w:rPr>
        <w:t>per</w:t>
      </w:r>
      <w:r>
        <w:rPr>
          <w:color w:val="231F20"/>
          <w:spacing w:val="-18"/>
        </w:rPr>
        <w:t> </w:t>
      </w:r>
      <w:r>
        <w:rPr>
          <w:color w:val="231F20"/>
        </w:rPr>
        <w:t>le</w:t>
      </w:r>
      <w:r>
        <w:rPr>
          <w:color w:val="231F20"/>
          <w:spacing w:val="-18"/>
        </w:rPr>
        <w:t> </w:t>
      </w:r>
      <w:r>
        <w:rPr>
          <w:color w:val="231F20"/>
          <w:spacing w:val="-3"/>
        </w:rPr>
        <w:t>avanguardie</w:t>
      </w:r>
      <w:r>
        <w:rPr>
          <w:color w:val="231F20"/>
          <w:spacing w:val="-18"/>
        </w:rPr>
        <w:t> </w:t>
      </w:r>
      <w:r>
        <w:rPr>
          <w:color w:val="231F20"/>
        </w:rPr>
        <w:t>artistiche</w:t>
      </w:r>
      <w:r>
        <w:rPr>
          <w:color w:val="231F20"/>
          <w:spacing w:val="-18"/>
        </w:rPr>
        <w:t> </w:t>
      </w:r>
      <w:r>
        <w:rPr>
          <w:color w:val="231F20"/>
          <w:spacing w:val="-3"/>
        </w:rPr>
        <w:t>europee</w:t>
      </w:r>
      <w:r>
        <w:rPr>
          <w:color w:val="231F20"/>
          <w:spacing w:val="-18"/>
        </w:rPr>
        <w:t> </w:t>
      </w:r>
      <w:r>
        <w:rPr>
          <w:color w:val="231F20"/>
        </w:rPr>
        <w:t>dell’epoca</w:t>
      </w:r>
      <w:r>
        <w:rPr>
          <w:color w:val="231F20"/>
          <w:position w:val="7"/>
          <w:sz w:val="12"/>
        </w:rPr>
        <w:t>16</w:t>
      </w:r>
      <w:r>
        <w:rPr>
          <w:color w:val="231F20"/>
        </w:rPr>
        <w:t>. Cosa voglio dire? Forse che, da un meccanicismo all’altro, anche lo Stato– macchina di Borkenau, già in parte de-generato in una forma–Stato ormai </w:t>
      </w:r>
      <w:r>
        <w:rPr>
          <w:color w:val="231F20"/>
          <w:spacing w:val="2"/>
        </w:rPr>
        <w:t>del</w:t>
      </w:r>
      <w:r>
        <w:rPr>
          <w:color w:val="231F20"/>
          <w:spacing w:val="45"/>
        </w:rPr>
        <w:t> </w:t>
      </w:r>
      <w:r>
        <w:rPr>
          <w:color w:val="231F20"/>
          <w:spacing w:val="3"/>
        </w:rPr>
        <w:t>tutto</w:t>
      </w:r>
      <w:r>
        <w:rPr>
          <w:color w:val="231F20"/>
          <w:spacing w:val="45"/>
        </w:rPr>
        <w:t> </w:t>
      </w:r>
      <w:r>
        <w:rPr>
          <w:color w:val="231F20"/>
          <w:spacing w:val="3"/>
        </w:rPr>
        <w:t>auto-referente</w:t>
      </w:r>
      <w:r>
        <w:rPr>
          <w:color w:val="231F20"/>
          <w:spacing w:val="45"/>
        </w:rPr>
        <w:t> </w:t>
      </w:r>
      <w:r>
        <w:rPr>
          <w:color w:val="231F20"/>
          <w:spacing w:val="2"/>
        </w:rPr>
        <w:t>(lo</w:t>
      </w:r>
      <w:r>
        <w:rPr>
          <w:color w:val="231F20"/>
          <w:spacing w:val="45"/>
        </w:rPr>
        <w:t> </w:t>
      </w:r>
      <w:r>
        <w:rPr>
          <w:color w:val="231F20"/>
          <w:spacing w:val="3"/>
        </w:rPr>
        <w:t>Stato</w:t>
      </w:r>
      <w:r>
        <w:rPr>
          <w:color w:val="231F20"/>
          <w:spacing w:val="45"/>
        </w:rPr>
        <w:t> </w:t>
      </w:r>
      <w:r>
        <w:rPr>
          <w:color w:val="231F20"/>
        </w:rPr>
        <w:t>di</w:t>
      </w:r>
      <w:r>
        <w:rPr>
          <w:color w:val="231F20"/>
          <w:spacing w:val="45"/>
        </w:rPr>
        <w:t> </w:t>
      </w:r>
      <w:r>
        <w:rPr>
          <w:color w:val="231F20"/>
          <w:spacing w:val="3"/>
        </w:rPr>
        <w:t>diritto</w:t>
      </w:r>
      <w:r>
        <w:rPr>
          <w:color w:val="231F20"/>
          <w:spacing w:val="45"/>
        </w:rPr>
        <w:t> </w:t>
      </w:r>
      <w:r>
        <w:rPr>
          <w:color w:val="231F20"/>
          <w:spacing w:val="3"/>
        </w:rPr>
        <w:t>borghese</w:t>
      </w:r>
      <w:r>
        <w:rPr>
          <w:color w:val="231F20"/>
          <w:spacing w:val="45"/>
        </w:rPr>
        <w:t> </w:t>
      </w:r>
      <w:r>
        <w:rPr>
          <w:color w:val="231F20"/>
          <w:spacing w:val="3"/>
        </w:rPr>
        <w:t>ottocentesco)</w:t>
      </w:r>
      <w:r>
        <w:rPr>
          <w:color w:val="231F20"/>
          <w:spacing w:val="45"/>
        </w:rPr>
        <w:t> </w:t>
      </w:r>
      <w:r>
        <w:rPr>
          <w:color w:val="231F20"/>
        </w:rPr>
        <w:t>e</w:t>
      </w:r>
    </w:p>
    <w:p>
      <w:pPr>
        <w:pStyle w:val="BodyText"/>
        <w:spacing w:before="10"/>
        <w:rPr>
          <w:sz w:val="24"/>
        </w:rPr>
      </w:pPr>
      <w:r>
        <w:rPr/>
        <w:pict>
          <v:line style="position:absolute;mso-position-horizontal-relative:page;mso-position-vertical-relative:paragraph;z-index:12400;mso-wrap-distance-left:0;mso-wrap-distance-right:0" from="70.866096pt,17.106985pt" to="184.252096pt,17.106985pt" stroked="true" strokeweight=".3pt" strokecolor="#231f20">
            <w10:wrap type="topAndBottom"/>
          </v:line>
        </w:pict>
      </w:r>
    </w:p>
    <w:p>
      <w:pPr>
        <w:spacing w:line="204" w:lineRule="exact" w:before="8"/>
        <w:ind w:left="117" w:right="121" w:firstLine="0"/>
        <w:jc w:val="both"/>
        <w:rPr>
          <w:rFonts w:ascii="Calibri" w:hAnsi="Calibri"/>
          <w:sz w:val="17"/>
        </w:rPr>
      </w:pPr>
      <w:r>
        <w:rPr>
          <w:rFonts w:ascii="Calibri" w:hAnsi="Calibri"/>
          <w:color w:val="231F20"/>
          <w:w w:val="105"/>
          <w:position w:val="6"/>
          <w:sz w:val="10"/>
        </w:rPr>
        <w:t>15</w:t>
      </w:r>
      <w:r>
        <w:rPr>
          <w:rFonts w:ascii="Calibri" w:hAnsi="Calibri"/>
          <w:color w:val="231F20"/>
          <w:spacing w:val="2"/>
          <w:w w:val="105"/>
          <w:position w:val="6"/>
          <w:sz w:val="10"/>
        </w:rPr>
        <w:t> </w:t>
      </w:r>
      <w:r>
        <w:rPr>
          <w:rFonts w:ascii="Calibri" w:hAnsi="Calibri"/>
          <w:color w:val="231F20"/>
          <w:w w:val="105"/>
          <w:sz w:val="17"/>
        </w:rPr>
        <w:t>Ringrazio</w:t>
      </w:r>
      <w:r>
        <w:rPr>
          <w:rFonts w:ascii="Calibri" w:hAnsi="Calibri"/>
          <w:color w:val="231F20"/>
          <w:spacing w:val="-15"/>
          <w:w w:val="105"/>
          <w:sz w:val="17"/>
        </w:rPr>
        <w:t> </w:t>
      </w:r>
      <w:r>
        <w:rPr>
          <w:rFonts w:ascii="Calibri" w:hAnsi="Calibri"/>
          <w:color w:val="231F20"/>
          <w:w w:val="105"/>
          <w:sz w:val="17"/>
        </w:rPr>
        <w:t>Michele</w:t>
      </w:r>
      <w:r>
        <w:rPr>
          <w:rFonts w:ascii="Calibri" w:hAnsi="Calibri"/>
          <w:color w:val="231F20"/>
          <w:spacing w:val="-15"/>
          <w:w w:val="105"/>
          <w:sz w:val="17"/>
        </w:rPr>
        <w:t> </w:t>
      </w:r>
      <w:r>
        <w:rPr>
          <w:rFonts w:ascii="Calibri" w:hAnsi="Calibri"/>
          <w:color w:val="231F20"/>
          <w:w w:val="105"/>
          <w:sz w:val="17"/>
        </w:rPr>
        <w:t>Filippini,</w:t>
      </w:r>
      <w:r>
        <w:rPr>
          <w:rFonts w:ascii="Calibri" w:hAnsi="Calibri"/>
          <w:color w:val="231F20"/>
          <w:spacing w:val="-15"/>
          <w:w w:val="105"/>
          <w:sz w:val="17"/>
        </w:rPr>
        <w:t> </w:t>
      </w:r>
      <w:r>
        <w:rPr>
          <w:rFonts w:ascii="Calibri" w:hAnsi="Calibri"/>
          <w:color w:val="231F20"/>
          <w:w w:val="105"/>
          <w:sz w:val="17"/>
        </w:rPr>
        <w:t>che</w:t>
      </w:r>
      <w:r>
        <w:rPr>
          <w:rFonts w:ascii="Calibri" w:hAnsi="Calibri"/>
          <w:color w:val="231F20"/>
          <w:spacing w:val="-15"/>
          <w:w w:val="105"/>
          <w:sz w:val="17"/>
        </w:rPr>
        <w:t> </w:t>
      </w:r>
      <w:r>
        <w:rPr>
          <w:rFonts w:ascii="Calibri" w:hAnsi="Calibri"/>
          <w:color w:val="231F20"/>
          <w:w w:val="105"/>
          <w:sz w:val="17"/>
        </w:rPr>
        <w:t>sta</w:t>
      </w:r>
      <w:r>
        <w:rPr>
          <w:rFonts w:ascii="Calibri" w:hAnsi="Calibri"/>
          <w:color w:val="231F20"/>
          <w:spacing w:val="-15"/>
          <w:w w:val="105"/>
          <w:sz w:val="17"/>
        </w:rPr>
        <w:t> </w:t>
      </w:r>
      <w:r>
        <w:rPr>
          <w:rFonts w:ascii="Calibri" w:hAnsi="Calibri"/>
          <w:color w:val="231F20"/>
          <w:w w:val="105"/>
          <w:sz w:val="17"/>
        </w:rPr>
        <w:t>lavorando</w:t>
      </w:r>
      <w:r>
        <w:rPr>
          <w:rFonts w:ascii="Calibri" w:hAnsi="Calibri"/>
          <w:color w:val="231F20"/>
          <w:spacing w:val="-15"/>
          <w:w w:val="105"/>
          <w:sz w:val="17"/>
        </w:rPr>
        <w:t> </w:t>
      </w:r>
      <w:r>
        <w:rPr>
          <w:rFonts w:ascii="Calibri" w:hAnsi="Calibri"/>
          <w:color w:val="231F20"/>
          <w:w w:val="105"/>
          <w:sz w:val="17"/>
        </w:rPr>
        <w:t>a</w:t>
      </w:r>
      <w:r>
        <w:rPr>
          <w:rFonts w:ascii="Calibri" w:hAnsi="Calibri"/>
          <w:color w:val="231F20"/>
          <w:spacing w:val="-15"/>
          <w:w w:val="105"/>
          <w:sz w:val="17"/>
        </w:rPr>
        <w:t> </w:t>
      </w:r>
      <w:r>
        <w:rPr>
          <w:rFonts w:ascii="Calibri" w:hAnsi="Calibri"/>
          <w:color w:val="231F20"/>
          <w:w w:val="105"/>
          <w:sz w:val="17"/>
        </w:rPr>
        <w:t>un</w:t>
      </w:r>
      <w:r>
        <w:rPr>
          <w:rFonts w:ascii="Calibri" w:hAnsi="Calibri"/>
          <w:color w:val="231F20"/>
          <w:spacing w:val="-15"/>
          <w:w w:val="105"/>
          <w:sz w:val="17"/>
        </w:rPr>
        <w:t> </w:t>
      </w:r>
      <w:r>
        <w:rPr>
          <w:rFonts w:ascii="Calibri" w:hAnsi="Calibri"/>
          <w:color w:val="231F20"/>
          <w:w w:val="105"/>
          <w:sz w:val="17"/>
        </w:rPr>
        <w:t>maestoso</w:t>
      </w:r>
      <w:r>
        <w:rPr>
          <w:rFonts w:ascii="Calibri" w:hAnsi="Calibri"/>
          <w:color w:val="231F20"/>
          <w:spacing w:val="-16"/>
          <w:w w:val="105"/>
          <w:sz w:val="17"/>
        </w:rPr>
        <w:t> </w:t>
      </w:r>
      <w:r>
        <w:rPr>
          <w:rFonts w:ascii="Calibri" w:hAnsi="Calibri"/>
          <w:i/>
          <w:color w:val="231F20"/>
          <w:w w:val="105"/>
          <w:sz w:val="17"/>
        </w:rPr>
        <w:t>Gramsci</w:t>
      </w:r>
      <w:r>
        <w:rPr>
          <w:rFonts w:ascii="Calibri" w:hAnsi="Calibri"/>
          <w:i/>
          <w:color w:val="231F20"/>
          <w:spacing w:val="-16"/>
          <w:w w:val="105"/>
          <w:sz w:val="17"/>
        </w:rPr>
        <w:t> </w:t>
      </w:r>
      <w:r>
        <w:rPr>
          <w:rFonts w:ascii="Calibri" w:hAnsi="Calibri"/>
          <w:i/>
          <w:color w:val="231F20"/>
          <w:w w:val="105"/>
          <w:sz w:val="17"/>
        </w:rPr>
        <w:t>Project</w:t>
      </w:r>
      <w:r>
        <w:rPr>
          <w:rFonts w:ascii="Calibri" w:hAnsi="Calibri"/>
          <w:i/>
          <w:color w:val="231F20"/>
          <w:spacing w:val="-16"/>
          <w:w w:val="105"/>
          <w:sz w:val="17"/>
        </w:rPr>
        <w:t> </w:t>
      </w:r>
      <w:r>
        <w:rPr>
          <w:rFonts w:ascii="Calibri" w:hAnsi="Calibri"/>
          <w:color w:val="231F20"/>
          <w:w w:val="105"/>
          <w:sz w:val="17"/>
        </w:rPr>
        <w:t>(dl.gramsciproject. org), per le indicazioni sull’interesse di Gramsci per Marinetti e il futurismo: il passo citato è  </w:t>
      </w:r>
      <w:r>
        <w:rPr>
          <w:rFonts w:ascii="Calibri" w:hAnsi="Calibri"/>
          <w:color w:val="231F20"/>
          <w:spacing w:val="25"/>
          <w:w w:val="105"/>
          <w:sz w:val="17"/>
        </w:rPr>
        <w:t> </w:t>
      </w:r>
      <w:r>
        <w:rPr>
          <w:rFonts w:ascii="Calibri" w:hAnsi="Calibri"/>
          <w:color w:val="231F20"/>
          <w:w w:val="105"/>
          <w:sz w:val="17"/>
        </w:rPr>
        <w:t>in</w:t>
      </w:r>
    </w:p>
    <w:p>
      <w:pPr>
        <w:spacing w:line="204" w:lineRule="exact" w:before="0"/>
        <w:ind w:left="117" w:right="121" w:firstLine="0"/>
        <w:jc w:val="both"/>
        <w:rPr>
          <w:rFonts w:ascii="Calibri" w:hAnsi="Calibri"/>
          <w:sz w:val="17"/>
        </w:rPr>
      </w:pPr>
      <w:r>
        <w:rPr>
          <w:rFonts w:ascii="Calibri" w:hAnsi="Calibri"/>
          <w:color w:val="231F20"/>
          <w:w w:val="105"/>
          <w:sz w:val="17"/>
        </w:rPr>
        <w:t>A.</w:t>
      </w:r>
      <w:r>
        <w:rPr>
          <w:rFonts w:ascii="Calibri" w:hAnsi="Calibri"/>
          <w:color w:val="231F20"/>
          <w:spacing w:val="-12"/>
          <w:w w:val="105"/>
          <w:sz w:val="17"/>
        </w:rPr>
        <w:t> </w:t>
      </w:r>
      <w:r>
        <w:rPr>
          <w:rFonts w:ascii="Calibri" w:hAnsi="Calibri"/>
          <w:color w:val="231F20"/>
          <w:w w:val="105"/>
          <w:sz w:val="17"/>
        </w:rPr>
        <w:t>Gramsci,</w:t>
      </w:r>
      <w:r>
        <w:rPr>
          <w:rFonts w:ascii="Calibri" w:hAnsi="Calibri"/>
          <w:color w:val="231F20"/>
          <w:spacing w:val="-12"/>
          <w:w w:val="105"/>
          <w:sz w:val="17"/>
        </w:rPr>
        <w:t> </w:t>
      </w:r>
      <w:r>
        <w:rPr>
          <w:rFonts w:ascii="Calibri" w:hAnsi="Calibri"/>
          <w:i/>
          <w:color w:val="231F20"/>
          <w:w w:val="105"/>
          <w:sz w:val="17"/>
        </w:rPr>
        <w:t>Marinetti</w:t>
      </w:r>
      <w:r>
        <w:rPr>
          <w:rFonts w:ascii="Calibri" w:hAnsi="Calibri"/>
          <w:i/>
          <w:color w:val="231F20"/>
          <w:spacing w:val="-13"/>
          <w:w w:val="105"/>
          <w:sz w:val="17"/>
        </w:rPr>
        <w:t> </w:t>
      </w:r>
      <w:r>
        <w:rPr>
          <w:rFonts w:ascii="Calibri" w:hAnsi="Calibri"/>
          <w:i/>
          <w:color w:val="231F20"/>
          <w:w w:val="105"/>
          <w:sz w:val="17"/>
        </w:rPr>
        <w:t>rivoluzionario?</w:t>
      </w:r>
      <w:r>
        <w:rPr>
          <w:rFonts w:ascii="Calibri" w:hAnsi="Calibri"/>
          <w:i/>
          <w:color w:val="231F20"/>
          <w:spacing w:val="-12"/>
          <w:w w:val="105"/>
          <w:sz w:val="17"/>
        </w:rPr>
        <w:t> </w:t>
      </w:r>
      <w:r>
        <w:rPr>
          <w:rFonts w:ascii="Calibri" w:hAnsi="Calibri"/>
          <w:color w:val="231F20"/>
          <w:w w:val="105"/>
          <w:sz w:val="17"/>
        </w:rPr>
        <w:t>in</w:t>
      </w:r>
      <w:r>
        <w:rPr>
          <w:rFonts w:ascii="Calibri" w:hAnsi="Calibri"/>
          <w:color w:val="231F20"/>
          <w:spacing w:val="-12"/>
          <w:w w:val="105"/>
          <w:sz w:val="17"/>
        </w:rPr>
        <w:t> </w:t>
      </w:r>
      <w:r>
        <w:rPr>
          <w:rFonts w:ascii="Calibri" w:hAnsi="Calibri"/>
          <w:color w:val="231F20"/>
          <w:spacing w:val="-3"/>
          <w:w w:val="105"/>
          <w:sz w:val="17"/>
        </w:rPr>
        <w:t>“L’ordine</w:t>
      </w:r>
      <w:r>
        <w:rPr>
          <w:rFonts w:ascii="Calibri" w:hAnsi="Calibri"/>
          <w:color w:val="231F20"/>
          <w:spacing w:val="-12"/>
          <w:w w:val="105"/>
          <w:sz w:val="17"/>
        </w:rPr>
        <w:t> </w:t>
      </w:r>
      <w:r>
        <w:rPr>
          <w:rFonts w:ascii="Calibri" w:hAnsi="Calibri"/>
          <w:color w:val="231F20"/>
          <w:w w:val="105"/>
          <w:sz w:val="17"/>
        </w:rPr>
        <w:t>nuovo”</w:t>
      </w:r>
      <w:r>
        <w:rPr>
          <w:rFonts w:ascii="Calibri" w:hAnsi="Calibri"/>
          <w:color w:val="231F20"/>
          <w:spacing w:val="-12"/>
          <w:w w:val="105"/>
          <w:sz w:val="17"/>
        </w:rPr>
        <w:t> </w:t>
      </w:r>
      <w:r>
        <w:rPr>
          <w:rFonts w:ascii="Calibri" w:hAnsi="Calibri"/>
          <w:color w:val="231F20"/>
          <w:w w:val="105"/>
          <w:sz w:val="17"/>
        </w:rPr>
        <w:t>(5</w:t>
      </w:r>
      <w:r>
        <w:rPr>
          <w:rFonts w:ascii="Calibri" w:hAnsi="Calibri"/>
          <w:color w:val="231F20"/>
          <w:spacing w:val="-12"/>
          <w:w w:val="105"/>
          <w:sz w:val="17"/>
        </w:rPr>
        <w:t> </w:t>
      </w:r>
      <w:r>
        <w:rPr>
          <w:rFonts w:ascii="Calibri" w:hAnsi="Calibri"/>
          <w:color w:val="231F20"/>
          <w:w w:val="105"/>
          <w:sz w:val="17"/>
        </w:rPr>
        <w:t>gennaio</w:t>
      </w:r>
      <w:r>
        <w:rPr>
          <w:rFonts w:ascii="Calibri" w:hAnsi="Calibri"/>
          <w:color w:val="231F20"/>
          <w:spacing w:val="-12"/>
          <w:w w:val="105"/>
          <w:sz w:val="17"/>
        </w:rPr>
        <w:t> </w:t>
      </w:r>
      <w:r>
        <w:rPr>
          <w:rFonts w:ascii="Calibri" w:hAnsi="Calibri"/>
          <w:color w:val="231F20"/>
          <w:w w:val="105"/>
          <w:sz w:val="17"/>
        </w:rPr>
        <w:t>1921).</w:t>
      </w:r>
      <w:r>
        <w:rPr>
          <w:rFonts w:ascii="Calibri" w:hAnsi="Calibri"/>
          <w:color w:val="231F20"/>
          <w:spacing w:val="-12"/>
          <w:w w:val="105"/>
          <w:sz w:val="17"/>
        </w:rPr>
        <w:t> </w:t>
      </w:r>
      <w:r>
        <w:rPr>
          <w:rFonts w:ascii="Calibri" w:hAnsi="Calibri"/>
          <w:color w:val="231F20"/>
          <w:spacing w:val="-3"/>
          <w:w w:val="105"/>
          <w:sz w:val="17"/>
        </w:rPr>
        <w:t>L’articolo</w:t>
      </w:r>
      <w:r>
        <w:rPr>
          <w:rFonts w:ascii="Calibri" w:hAnsi="Calibri"/>
          <w:color w:val="231F20"/>
          <w:spacing w:val="-12"/>
          <w:w w:val="105"/>
          <w:sz w:val="17"/>
        </w:rPr>
        <w:t> </w:t>
      </w:r>
      <w:r>
        <w:rPr>
          <w:rFonts w:ascii="Calibri" w:hAnsi="Calibri"/>
          <w:color w:val="231F20"/>
          <w:w w:val="105"/>
          <w:sz w:val="17"/>
        </w:rPr>
        <w:t>inizia</w:t>
      </w:r>
      <w:r>
        <w:rPr>
          <w:rFonts w:ascii="Calibri" w:hAnsi="Calibri"/>
          <w:color w:val="231F20"/>
          <w:spacing w:val="-12"/>
          <w:w w:val="105"/>
          <w:sz w:val="17"/>
        </w:rPr>
        <w:t> </w:t>
      </w:r>
      <w:r>
        <w:rPr>
          <w:rFonts w:ascii="Calibri" w:hAnsi="Calibri"/>
          <w:color w:val="231F20"/>
          <w:w w:val="105"/>
          <w:sz w:val="17"/>
        </w:rPr>
        <w:t>così:</w:t>
      </w:r>
      <w:r>
        <w:rPr>
          <w:rFonts w:ascii="Calibri" w:hAnsi="Calibri"/>
          <w:color w:val="231F20"/>
          <w:spacing w:val="-12"/>
          <w:w w:val="105"/>
          <w:sz w:val="17"/>
        </w:rPr>
        <w:t> </w:t>
      </w:r>
      <w:r>
        <w:rPr>
          <w:rFonts w:ascii="Calibri" w:hAnsi="Calibri"/>
          <w:color w:val="231F20"/>
          <w:w w:val="105"/>
          <w:sz w:val="17"/>
        </w:rPr>
        <w:t>“È avvenuto questo fatto inaudito, enorme, colossale, la cui divulgazione minaccia di annientare del tutto il prestigio e il credito dell’Internazionale comunista: a Mosca, durante il II Congresso, il</w:t>
      </w:r>
      <w:r>
        <w:rPr>
          <w:rFonts w:ascii="Calibri" w:hAnsi="Calibri"/>
          <w:color w:val="231F20"/>
          <w:spacing w:val="-4"/>
          <w:w w:val="105"/>
          <w:sz w:val="17"/>
        </w:rPr>
        <w:t> </w:t>
      </w:r>
      <w:r>
        <w:rPr>
          <w:rFonts w:ascii="Calibri" w:hAnsi="Calibri"/>
          <w:color w:val="231F20"/>
          <w:w w:val="105"/>
          <w:sz w:val="17"/>
        </w:rPr>
        <w:t>compagno</w:t>
      </w:r>
      <w:r>
        <w:rPr>
          <w:rFonts w:ascii="Calibri" w:hAnsi="Calibri"/>
          <w:color w:val="231F20"/>
          <w:spacing w:val="-4"/>
          <w:w w:val="105"/>
          <w:sz w:val="17"/>
        </w:rPr>
        <w:t> </w:t>
      </w:r>
      <w:r>
        <w:rPr>
          <w:rFonts w:ascii="Calibri" w:hAnsi="Calibri"/>
          <w:color w:val="231F20"/>
          <w:w w:val="105"/>
          <w:sz w:val="17"/>
        </w:rPr>
        <w:t>Lunaciarsky</w:t>
      </w:r>
      <w:r>
        <w:rPr>
          <w:rFonts w:ascii="Calibri" w:hAnsi="Calibri"/>
          <w:color w:val="231F20"/>
          <w:spacing w:val="-4"/>
          <w:w w:val="105"/>
          <w:sz w:val="17"/>
        </w:rPr>
        <w:t> </w:t>
      </w:r>
      <w:r>
        <w:rPr>
          <w:rFonts w:ascii="Calibri" w:hAnsi="Calibri"/>
          <w:color w:val="231F20"/>
          <w:w w:val="105"/>
          <w:sz w:val="17"/>
        </w:rPr>
        <w:t>ha</w:t>
      </w:r>
      <w:r>
        <w:rPr>
          <w:rFonts w:ascii="Calibri" w:hAnsi="Calibri"/>
          <w:color w:val="231F20"/>
          <w:spacing w:val="-4"/>
          <w:w w:val="105"/>
          <w:sz w:val="17"/>
        </w:rPr>
        <w:t> </w:t>
      </w:r>
      <w:r>
        <w:rPr>
          <w:rFonts w:ascii="Calibri" w:hAnsi="Calibri"/>
          <w:color w:val="231F20"/>
          <w:w w:val="105"/>
          <w:sz w:val="17"/>
        </w:rPr>
        <w:t>detto,</w:t>
      </w:r>
      <w:r>
        <w:rPr>
          <w:rFonts w:ascii="Calibri" w:hAnsi="Calibri"/>
          <w:color w:val="231F20"/>
          <w:spacing w:val="-4"/>
          <w:w w:val="105"/>
          <w:sz w:val="17"/>
        </w:rPr>
        <w:t> </w:t>
      </w:r>
      <w:r>
        <w:rPr>
          <w:rFonts w:ascii="Calibri" w:hAnsi="Calibri"/>
          <w:color w:val="231F20"/>
          <w:w w:val="105"/>
          <w:sz w:val="17"/>
        </w:rPr>
        <w:t>in</w:t>
      </w:r>
      <w:r>
        <w:rPr>
          <w:rFonts w:ascii="Calibri" w:hAnsi="Calibri"/>
          <w:color w:val="231F20"/>
          <w:spacing w:val="-4"/>
          <w:w w:val="105"/>
          <w:sz w:val="17"/>
        </w:rPr>
        <w:t> </w:t>
      </w:r>
      <w:r>
        <w:rPr>
          <w:rFonts w:ascii="Calibri" w:hAnsi="Calibri"/>
          <w:color w:val="231F20"/>
          <w:w w:val="105"/>
          <w:sz w:val="17"/>
        </w:rPr>
        <w:t>un</w:t>
      </w:r>
      <w:r>
        <w:rPr>
          <w:rFonts w:ascii="Calibri" w:hAnsi="Calibri"/>
          <w:color w:val="231F20"/>
          <w:spacing w:val="-4"/>
          <w:w w:val="105"/>
          <w:sz w:val="17"/>
        </w:rPr>
        <w:t> </w:t>
      </w:r>
      <w:r>
        <w:rPr>
          <w:rFonts w:ascii="Calibri" w:hAnsi="Calibri"/>
          <w:color w:val="231F20"/>
          <w:w w:val="105"/>
          <w:sz w:val="17"/>
        </w:rPr>
        <w:t>suo</w:t>
      </w:r>
      <w:r>
        <w:rPr>
          <w:rFonts w:ascii="Calibri" w:hAnsi="Calibri"/>
          <w:color w:val="231F20"/>
          <w:spacing w:val="-4"/>
          <w:w w:val="105"/>
          <w:sz w:val="17"/>
        </w:rPr>
        <w:t> </w:t>
      </w:r>
      <w:r>
        <w:rPr>
          <w:rFonts w:ascii="Calibri" w:hAnsi="Calibri"/>
          <w:color w:val="231F20"/>
          <w:w w:val="105"/>
          <w:sz w:val="17"/>
        </w:rPr>
        <w:t>discorso</w:t>
      </w:r>
      <w:r>
        <w:rPr>
          <w:rFonts w:ascii="Calibri" w:hAnsi="Calibri"/>
          <w:color w:val="231F20"/>
          <w:spacing w:val="-4"/>
          <w:w w:val="105"/>
          <w:sz w:val="17"/>
        </w:rPr>
        <w:t> </w:t>
      </w:r>
      <w:r>
        <w:rPr>
          <w:rFonts w:ascii="Calibri" w:hAnsi="Calibri"/>
          <w:color w:val="231F20"/>
          <w:w w:val="105"/>
          <w:sz w:val="17"/>
        </w:rPr>
        <w:t>ai</w:t>
      </w:r>
      <w:r>
        <w:rPr>
          <w:rFonts w:ascii="Calibri" w:hAnsi="Calibri"/>
          <w:color w:val="231F20"/>
          <w:spacing w:val="-4"/>
          <w:w w:val="105"/>
          <w:sz w:val="17"/>
        </w:rPr>
        <w:t> </w:t>
      </w:r>
      <w:r>
        <w:rPr>
          <w:rFonts w:ascii="Calibri" w:hAnsi="Calibri"/>
          <w:color w:val="231F20"/>
          <w:w w:val="105"/>
          <w:sz w:val="17"/>
        </w:rPr>
        <w:t>delegati</w:t>
      </w:r>
      <w:r>
        <w:rPr>
          <w:rFonts w:ascii="Calibri" w:hAnsi="Calibri"/>
          <w:color w:val="231F20"/>
          <w:spacing w:val="-4"/>
          <w:w w:val="105"/>
          <w:sz w:val="17"/>
        </w:rPr>
        <w:t> </w:t>
      </w:r>
      <w:r>
        <w:rPr>
          <w:rFonts w:ascii="Calibri" w:hAnsi="Calibri"/>
          <w:color w:val="231F20"/>
          <w:w w:val="105"/>
          <w:sz w:val="17"/>
        </w:rPr>
        <w:t>italiani</w:t>
      </w:r>
      <w:r>
        <w:rPr>
          <w:rFonts w:ascii="Calibri" w:hAnsi="Calibri"/>
          <w:color w:val="231F20"/>
          <w:spacing w:val="-4"/>
          <w:w w:val="105"/>
          <w:sz w:val="17"/>
        </w:rPr>
        <w:t> </w:t>
      </w:r>
      <w:r>
        <w:rPr>
          <w:rFonts w:ascii="Calibri" w:hAnsi="Calibri"/>
          <w:color w:val="231F20"/>
          <w:w w:val="105"/>
          <w:sz w:val="17"/>
        </w:rPr>
        <w:t>[…]</w:t>
      </w:r>
      <w:r>
        <w:rPr>
          <w:rFonts w:ascii="Calibri" w:hAnsi="Calibri"/>
          <w:color w:val="231F20"/>
          <w:spacing w:val="-4"/>
          <w:w w:val="105"/>
          <w:sz w:val="17"/>
        </w:rPr>
        <w:t> </w:t>
      </w:r>
      <w:r>
        <w:rPr>
          <w:rFonts w:ascii="Calibri" w:hAnsi="Calibri"/>
          <w:color w:val="231F20"/>
          <w:w w:val="105"/>
          <w:sz w:val="17"/>
        </w:rPr>
        <w:t>che</w:t>
      </w:r>
      <w:r>
        <w:rPr>
          <w:rFonts w:ascii="Calibri" w:hAnsi="Calibri"/>
          <w:color w:val="231F20"/>
          <w:spacing w:val="-4"/>
          <w:w w:val="105"/>
          <w:sz w:val="17"/>
        </w:rPr>
        <w:t> </w:t>
      </w:r>
      <w:r>
        <w:rPr>
          <w:rFonts w:ascii="Calibri" w:hAnsi="Calibri"/>
          <w:color w:val="231F20"/>
          <w:w w:val="105"/>
          <w:sz w:val="17"/>
        </w:rPr>
        <w:t>in</w:t>
      </w:r>
      <w:r>
        <w:rPr>
          <w:rFonts w:ascii="Calibri" w:hAnsi="Calibri"/>
          <w:color w:val="231F20"/>
          <w:spacing w:val="-4"/>
          <w:w w:val="105"/>
          <w:sz w:val="17"/>
        </w:rPr>
        <w:t> </w:t>
      </w:r>
      <w:r>
        <w:rPr>
          <w:rFonts w:ascii="Calibri" w:hAnsi="Calibri"/>
          <w:color w:val="231F20"/>
          <w:w w:val="105"/>
          <w:sz w:val="17"/>
        </w:rPr>
        <w:t>Italia</w:t>
      </w:r>
      <w:r>
        <w:rPr>
          <w:rFonts w:ascii="Calibri" w:hAnsi="Calibri"/>
          <w:color w:val="231F20"/>
          <w:spacing w:val="-4"/>
          <w:w w:val="105"/>
          <w:sz w:val="17"/>
        </w:rPr>
        <w:t> </w:t>
      </w:r>
      <w:r>
        <w:rPr>
          <w:rFonts w:ascii="Calibri" w:hAnsi="Calibri"/>
          <w:color w:val="231F20"/>
          <w:w w:val="105"/>
          <w:sz w:val="17"/>
        </w:rPr>
        <w:t>esiste</w:t>
      </w:r>
      <w:r>
        <w:rPr>
          <w:rFonts w:ascii="Calibri" w:hAnsi="Calibri"/>
          <w:color w:val="231F20"/>
          <w:spacing w:val="-4"/>
          <w:w w:val="105"/>
          <w:sz w:val="17"/>
        </w:rPr>
        <w:t> </w:t>
      </w:r>
      <w:r>
        <w:rPr>
          <w:rFonts w:ascii="Calibri" w:hAnsi="Calibri"/>
          <w:color w:val="231F20"/>
          <w:w w:val="105"/>
          <w:sz w:val="17"/>
        </w:rPr>
        <w:t>un intellettuale</w:t>
      </w:r>
      <w:r>
        <w:rPr>
          <w:rFonts w:ascii="Calibri" w:hAnsi="Calibri"/>
          <w:color w:val="231F20"/>
          <w:spacing w:val="-4"/>
          <w:w w:val="105"/>
          <w:sz w:val="17"/>
        </w:rPr>
        <w:t> </w:t>
      </w:r>
      <w:r>
        <w:rPr>
          <w:rFonts w:ascii="Calibri" w:hAnsi="Calibri"/>
          <w:color w:val="231F20"/>
          <w:w w:val="105"/>
          <w:sz w:val="17"/>
        </w:rPr>
        <w:t>rivoluzionario</w:t>
      </w:r>
      <w:r>
        <w:rPr>
          <w:rFonts w:ascii="Calibri" w:hAnsi="Calibri"/>
          <w:color w:val="231F20"/>
          <w:spacing w:val="-4"/>
          <w:w w:val="105"/>
          <w:sz w:val="17"/>
        </w:rPr>
        <w:t> </w:t>
      </w:r>
      <w:r>
        <w:rPr>
          <w:rFonts w:ascii="Calibri" w:hAnsi="Calibri"/>
          <w:color w:val="231F20"/>
          <w:w w:val="105"/>
          <w:sz w:val="17"/>
        </w:rPr>
        <w:t>e</w:t>
      </w:r>
      <w:r>
        <w:rPr>
          <w:rFonts w:ascii="Calibri" w:hAnsi="Calibri"/>
          <w:color w:val="231F20"/>
          <w:spacing w:val="-4"/>
          <w:w w:val="105"/>
          <w:sz w:val="17"/>
        </w:rPr>
        <w:t> </w:t>
      </w:r>
      <w:r>
        <w:rPr>
          <w:rFonts w:ascii="Calibri" w:hAnsi="Calibri"/>
          <w:color w:val="231F20"/>
          <w:w w:val="105"/>
          <w:sz w:val="17"/>
        </w:rPr>
        <w:t>che</w:t>
      </w:r>
      <w:r>
        <w:rPr>
          <w:rFonts w:ascii="Calibri" w:hAnsi="Calibri"/>
          <w:color w:val="231F20"/>
          <w:spacing w:val="-4"/>
          <w:w w:val="105"/>
          <w:sz w:val="17"/>
        </w:rPr>
        <w:t> </w:t>
      </w:r>
      <w:r>
        <w:rPr>
          <w:rFonts w:ascii="Calibri" w:hAnsi="Calibri"/>
          <w:color w:val="231F20"/>
          <w:w w:val="105"/>
          <w:sz w:val="17"/>
        </w:rPr>
        <w:t>egli</w:t>
      </w:r>
      <w:r>
        <w:rPr>
          <w:rFonts w:ascii="Calibri" w:hAnsi="Calibri"/>
          <w:color w:val="231F20"/>
          <w:spacing w:val="-4"/>
          <w:w w:val="105"/>
          <w:sz w:val="17"/>
        </w:rPr>
        <w:t> </w:t>
      </w:r>
      <w:r>
        <w:rPr>
          <w:rFonts w:ascii="Calibri" w:hAnsi="Calibri"/>
          <w:color w:val="231F20"/>
          <w:w w:val="105"/>
          <w:sz w:val="17"/>
        </w:rPr>
        <w:t>è</w:t>
      </w:r>
      <w:r>
        <w:rPr>
          <w:rFonts w:ascii="Calibri" w:hAnsi="Calibri"/>
          <w:color w:val="231F20"/>
          <w:spacing w:val="-4"/>
          <w:w w:val="105"/>
          <w:sz w:val="17"/>
        </w:rPr>
        <w:t> </w:t>
      </w:r>
      <w:r>
        <w:rPr>
          <w:rFonts w:ascii="Calibri" w:hAnsi="Calibri"/>
          <w:color w:val="231F20"/>
          <w:w w:val="105"/>
          <w:sz w:val="17"/>
        </w:rPr>
        <w:t>Filippo</w:t>
      </w:r>
      <w:r>
        <w:rPr>
          <w:rFonts w:ascii="Calibri" w:hAnsi="Calibri"/>
          <w:color w:val="231F20"/>
          <w:spacing w:val="-6"/>
          <w:w w:val="105"/>
          <w:sz w:val="17"/>
        </w:rPr>
        <w:t> </w:t>
      </w:r>
      <w:r>
        <w:rPr>
          <w:rFonts w:ascii="Calibri" w:hAnsi="Calibri"/>
          <w:color w:val="231F20"/>
          <w:w w:val="105"/>
          <w:sz w:val="17"/>
        </w:rPr>
        <w:t>Tommaso</w:t>
      </w:r>
      <w:r>
        <w:rPr>
          <w:rFonts w:ascii="Calibri" w:hAnsi="Calibri"/>
          <w:color w:val="231F20"/>
          <w:spacing w:val="-4"/>
          <w:w w:val="105"/>
          <w:sz w:val="17"/>
        </w:rPr>
        <w:t> </w:t>
      </w:r>
      <w:r>
        <w:rPr>
          <w:rFonts w:ascii="Calibri" w:hAnsi="Calibri"/>
          <w:color w:val="231F20"/>
          <w:w w:val="105"/>
          <w:sz w:val="17"/>
        </w:rPr>
        <w:t>Marinetti”.</w:t>
      </w:r>
      <w:r>
        <w:rPr>
          <w:rFonts w:ascii="Calibri" w:hAnsi="Calibri"/>
          <w:color w:val="231F20"/>
          <w:spacing w:val="-4"/>
          <w:w w:val="105"/>
          <w:sz w:val="17"/>
        </w:rPr>
        <w:t> </w:t>
      </w:r>
      <w:r>
        <w:rPr>
          <w:rFonts w:ascii="Calibri" w:hAnsi="Calibri"/>
          <w:color w:val="231F20"/>
          <w:w w:val="105"/>
          <w:sz w:val="17"/>
        </w:rPr>
        <w:t>Il</w:t>
      </w:r>
      <w:r>
        <w:rPr>
          <w:rFonts w:ascii="Calibri" w:hAnsi="Calibri"/>
          <w:color w:val="231F20"/>
          <w:spacing w:val="-4"/>
          <w:w w:val="105"/>
          <w:sz w:val="17"/>
        </w:rPr>
        <w:t> </w:t>
      </w:r>
      <w:r>
        <w:rPr>
          <w:rFonts w:ascii="Calibri" w:hAnsi="Calibri"/>
          <w:color w:val="231F20"/>
          <w:w w:val="105"/>
          <w:sz w:val="17"/>
        </w:rPr>
        <w:t>saggio</w:t>
      </w:r>
      <w:r>
        <w:rPr>
          <w:rFonts w:ascii="Calibri" w:hAnsi="Calibri"/>
          <w:color w:val="231F20"/>
          <w:spacing w:val="-4"/>
          <w:w w:val="105"/>
          <w:sz w:val="17"/>
        </w:rPr>
        <w:t> </w:t>
      </w:r>
      <w:r>
        <w:rPr>
          <w:rFonts w:ascii="Calibri" w:hAnsi="Calibri"/>
          <w:color w:val="231F20"/>
          <w:w w:val="105"/>
          <w:sz w:val="17"/>
        </w:rPr>
        <w:t>di</w:t>
      </w:r>
      <w:r>
        <w:rPr>
          <w:rFonts w:ascii="Calibri" w:hAnsi="Calibri"/>
          <w:color w:val="231F20"/>
          <w:spacing w:val="-4"/>
          <w:w w:val="105"/>
          <w:sz w:val="17"/>
        </w:rPr>
        <w:t> </w:t>
      </w:r>
      <w:r>
        <w:rPr>
          <w:rFonts w:ascii="Calibri" w:hAnsi="Calibri"/>
          <w:color w:val="231F20"/>
          <w:w w:val="105"/>
          <w:sz w:val="17"/>
        </w:rPr>
        <w:t>Gramsci</w:t>
      </w:r>
      <w:r>
        <w:rPr>
          <w:rFonts w:ascii="Calibri" w:hAnsi="Calibri"/>
          <w:color w:val="231F20"/>
          <w:spacing w:val="-4"/>
          <w:w w:val="105"/>
          <w:sz w:val="17"/>
        </w:rPr>
        <w:t> </w:t>
      </w:r>
      <w:r>
        <w:rPr>
          <w:rFonts w:ascii="Calibri" w:hAnsi="Calibri"/>
          <w:color w:val="231F20"/>
          <w:w w:val="105"/>
          <w:sz w:val="17"/>
        </w:rPr>
        <w:t>è</w:t>
      </w:r>
      <w:r>
        <w:rPr>
          <w:rFonts w:ascii="Calibri" w:hAnsi="Calibri"/>
          <w:color w:val="231F20"/>
          <w:spacing w:val="-4"/>
          <w:w w:val="105"/>
          <w:sz w:val="17"/>
        </w:rPr>
        <w:t> </w:t>
      </w:r>
      <w:r>
        <w:rPr>
          <w:rFonts w:ascii="Calibri" w:hAnsi="Calibri"/>
          <w:color w:val="231F20"/>
          <w:w w:val="105"/>
          <w:sz w:val="17"/>
        </w:rPr>
        <w:t>citato, nella</w:t>
      </w:r>
      <w:r>
        <w:rPr>
          <w:rFonts w:ascii="Calibri" w:hAnsi="Calibri"/>
          <w:color w:val="231F20"/>
          <w:spacing w:val="-18"/>
          <w:w w:val="105"/>
          <w:sz w:val="17"/>
        </w:rPr>
        <w:t> </w:t>
      </w:r>
      <w:r>
        <w:rPr>
          <w:rFonts w:ascii="Calibri" w:hAnsi="Calibri"/>
          <w:color w:val="231F20"/>
          <w:w w:val="105"/>
          <w:sz w:val="17"/>
        </w:rPr>
        <w:t>traduzione</w:t>
      </w:r>
      <w:r>
        <w:rPr>
          <w:rFonts w:ascii="Calibri" w:hAnsi="Calibri"/>
          <w:color w:val="231F20"/>
          <w:spacing w:val="-18"/>
          <w:w w:val="105"/>
          <w:sz w:val="17"/>
        </w:rPr>
        <w:t> </w:t>
      </w:r>
      <w:r>
        <w:rPr>
          <w:rFonts w:ascii="Calibri" w:hAnsi="Calibri"/>
          <w:color w:val="231F20"/>
          <w:w w:val="105"/>
          <w:sz w:val="17"/>
        </w:rPr>
        <w:t>inglese</w:t>
      </w:r>
      <w:r>
        <w:rPr>
          <w:rFonts w:ascii="Calibri" w:hAnsi="Calibri"/>
          <w:color w:val="231F20"/>
          <w:spacing w:val="-18"/>
          <w:w w:val="105"/>
          <w:sz w:val="17"/>
        </w:rPr>
        <w:t> </w:t>
      </w:r>
      <w:r>
        <w:rPr>
          <w:rFonts w:ascii="Calibri" w:hAnsi="Calibri"/>
          <w:color w:val="231F20"/>
          <w:w w:val="105"/>
          <w:sz w:val="17"/>
        </w:rPr>
        <w:t>(A.</w:t>
      </w:r>
      <w:r>
        <w:rPr>
          <w:rFonts w:ascii="Calibri" w:hAnsi="Calibri"/>
          <w:color w:val="231F20"/>
          <w:spacing w:val="-18"/>
          <w:w w:val="105"/>
          <w:sz w:val="17"/>
        </w:rPr>
        <w:t> </w:t>
      </w:r>
      <w:r>
        <w:rPr>
          <w:rFonts w:ascii="Calibri" w:hAnsi="Calibri"/>
          <w:color w:val="231F20"/>
          <w:w w:val="105"/>
          <w:sz w:val="17"/>
        </w:rPr>
        <w:t>Gramsci,</w:t>
      </w:r>
      <w:r>
        <w:rPr>
          <w:rFonts w:ascii="Calibri" w:hAnsi="Calibri"/>
          <w:color w:val="231F20"/>
          <w:spacing w:val="-18"/>
          <w:w w:val="105"/>
          <w:sz w:val="17"/>
        </w:rPr>
        <w:t> </w:t>
      </w:r>
      <w:r>
        <w:rPr>
          <w:rFonts w:ascii="Calibri" w:hAnsi="Calibri"/>
          <w:i/>
          <w:color w:val="231F20"/>
          <w:w w:val="105"/>
          <w:sz w:val="17"/>
        </w:rPr>
        <w:t>Selections</w:t>
      </w:r>
      <w:r>
        <w:rPr>
          <w:rFonts w:ascii="Calibri" w:hAnsi="Calibri"/>
          <w:i/>
          <w:color w:val="231F20"/>
          <w:spacing w:val="-18"/>
          <w:w w:val="105"/>
          <w:sz w:val="17"/>
        </w:rPr>
        <w:t> </w:t>
      </w:r>
      <w:r>
        <w:rPr>
          <w:rFonts w:ascii="Calibri" w:hAnsi="Calibri"/>
          <w:i/>
          <w:color w:val="231F20"/>
          <w:w w:val="105"/>
          <w:sz w:val="17"/>
        </w:rPr>
        <w:t>from</w:t>
      </w:r>
      <w:r>
        <w:rPr>
          <w:rFonts w:ascii="Calibri" w:hAnsi="Calibri"/>
          <w:i/>
          <w:color w:val="231F20"/>
          <w:spacing w:val="-18"/>
          <w:w w:val="105"/>
          <w:sz w:val="17"/>
        </w:rPr>
        <w:t> </w:t>
      </w:r>
      <w:r>
        <w:rPr>
          <w:rFonts w:ascii="Calibri" w:hAnsi="Calibri"/>
          <w:i/>
          <w:color w:val="231F20"/>
          <w:w w:val="105"/>
          <w:sz w:val="17"/>
        </w:rPr>
        <w:t>Cultural</w:t>
      </w:r>
      <w:r>
        <w:rPr>
          <w:rFonts w:ascii="Calibri" w:hAnsi="Calibri"/>
          <w:i/>
          <w:color w:val="231F20"/>
          <w:spacing w:val="-19"/>
          <w:w w:val="105"/>
          <w:sz w:val="17"/>
        </w:rPr>
        <w:t> </w:t>
      </w:r>
      <w:r>
        <w:rPr>
          <w:rFonts w:ascii="Calibri" w:hAnsi="Calibri"/>
          <w:i/>
          <w:color w:val="231F20"/>
          <w:w w:val="105"/>
          <w:sz w:val="17"/>
        </w:rPr>
        <w:t>Writings</w:t>
      </w:r>
      <w:r>
        <w:rPr>
          <w:rFonts w:ascii="Calibri" w:hAnsi="Calibri"/>
          <w:color w:val="231F20"/>
          <w:w w:val="105"/>
          <w:sz w:val="17"/>
        </w:rPr>
        <w:t>,</w:t>
      </w:r>
      <w:r>
        <w:rPr>
          <w:rFonts w:ascii="Calibri" w:hAnsi="Calibri"/>
          <w:color w:val="231F20"/>
          <w:spacing w:val="-18"/>
          <w:w w:val="105"/>
          <w:sz w:val="17"/>
        </w:rPr>
        <w:t> </w:t>
      </w:r>
      <w:r>
        <w:rPr>
          <w:rFonts w:ascii="Calibri" w:hAnsi="Calibri"/>
          <w:color w:val="231F20"/>
          <w:w w:val="105"/>
          <w:sz w:val="17"/>
        </w:rPr>
        <w:t>Cambridge,</w:t>
      </w:r>
      <w:r>
        <w:rPr>
          <w:rFonts w:ascii="Calibri" w:hAnsi="Calibri"/>
          <w:color w:val="231F20"/>
          <w:spacing w:val="-18"/>
          <w:w w:val="105"/>
          <w:sz w:val="17"/>
        </w:rPr>
        <w:t> </w:t>
      </w:r>
      <w:r>
        <w:rPr>
          <w:rFonts w:ascii="Calibri" w:hAnsi="Calibri"/>
          <w:color w:val="231F20"/>
          <w:w w:val="105"/>
          <w:sz w:val="17"/>
        </w:rPr>
        <w:t>Mass.,</w:t>
      </w:r>
      <w:r>
        <w:rPr>
          <w:rFonts w:ascii="Calibri" w:hAnsi="Calibri"/>
          <w:color w:val="231F20"/>
          <w:spacing w:val="-18"/>
          <w:w w:val="105"/>
          <w:sz w:val="17"/>
        </w:rPr>
        <w:t> </w:t>
      </w:r>
      <w:r>
        <w:rPr>
          <w:rFonts w:ascii="Calibri" w:hAnsi="Calibri"/>
          <w:color w:val="231F20"/>
          <w:w w:val="105"/>
          <w:sz w:val="17"/>
        </w:rPr>
        <w:t>Harvard University</w:t>
      </w:r>
      <w:r>
        <w:rPr>
          <w:rFonts w:ascii="Calibri" w:hAnsi="Calibri"/>
          <w:color w:val="231F20"/>
          <w:spacing w:val="-25"/>
          <w:w w:val="105"/>
          <w:sz w:val="17"/>
        </w:rPr>
        <w:t> </w:t>
      </w:r>
      <w:r>
        <w:rPr>
          <w:rFonts w:ascii="Calibri" w:hAnsi="Calibri"/>
          <w:color w:val="231F20"/>
          <w:w w:val="105"/>
          <w:sz w:val="17"/>
        </w:rPr>
        <w:t>Press,</w:t>
      </w:r>
      <w:r>
        <w:rPr>
          <w:rFonts w:ascii="Calibri" w:hAnsi="Calibri"/>
          <w:color w:val="231F20"/>
          <w:spacing w:val="-25"/>
          <w:w w:val="105"/>
          <w:sz w:val="17"/>
        </w:rPr>
        <w:t> </w:t>
      </w:r>
      <w:r>
        <w:rPr>
          <w:rFonts w:ascii="Calibri" w:hAnsi="Calibri"/>
          <w:color w:val="231F20"/>
          <w:w w:val="105"/>
          <w:sz w:val="17"/>
        </w:rPr>
        <w:t>1985,</w:t>
      </w:r>
      <w:r>
        <w:rPr>
          <w:rFonts w:ascii="Calibri" w:hAnsi="Calibri"/>
          <w:color w:val="231F20"/>
          <w:spacing w:val="-25"/>
          <w:w w:val="105"/>
          <w:sz w:val="17"/>
        </w:rPr>
        <w:t> </w:t>
      </w:r>
      <w:r>
        <w:rPr>
          <w:rFonts w:ascii="Calibri" w:hAnsi="Calibri"/>
          <w:color w:val="231F20"/>
          <w:w w:val="105"/>
          <w:sz w:val="17"/>
        </w:rPr>
        <w:t>pp.</w:t>
      </w:r>
      <w:r>
        <w:rPr>
          <w:rFonts w:ascii="Calibri" w:hAnsi="Calibri"/>
          <w:color w:val="231F20"/>
          <w:spacing w:val="-25"/>
          <w:w w:val="105"/>
          <w:sz w:val="17"/>
        </w:rPr>
        <w:t> </w:t>
      </w:r>
      <w:r>
        <w:rPr>
          <w:rFonts w:ascii="Calibri" w:hAnsi="Calibri"/>
          <w:color w:val="231F20"/>
          <w:w w:val="105"/>
          <w:sz w:val="17"/>
        </w:rPr>
        <w:t>95–96)</w:t>
      </w:r>
      <w:r>
        <w:rPr>
          <w:rFonts w:ascii="Calibri" w:hAnsi="Calibri"/>
          <w:color w:val="231F20"/>
          <w:spacing w:val="-25"/>
          <w:w w:val="105"/>
          <w:sz w:val="17"/>
        </w:rPr>
        <w:t> </w:t>
      </w:r>
      <w:r>
        <w:rPr>
          <w:rFonts w:ascii="Calibri" w:hAnsi="Calibri"/>
          <w:color w:val="231F20"/>
          <w:w w:val="105"/>
          <w:sz w:val="17"/>
        </w:rPr>
        <w:t>anche</w:t>
      </w:r>
      <w:r>
        <w:rPr>
          <w:rFonts w:ascii="Calibri" w:hAnsi="Calibri"/>
          <w:color w:val="231F20"/>
          <w:spacing w:val="-25"/>
          <w:w w:val="105"/>
          <w:sz w:val="17"/>
        </w:rPr>
        <w:t> </w:t>
      </w:r>
      <w:r>
        <w:rPr>
          <w:rFonts w:ascii="Calibri" w:hAnsi="Calibri"/>
          <w:color w:val="231F20"/>
          <w:w w:val="105"/>
          <w:sz w:val="17"/>
        </w:rPr>
        <w:t>da</w:t>
      </w:r>
      <w:r>
        <w:rPr>
          <w:rFonts w:ascii="Calibri" w:hAnsi="Calibri"/>
          <w:color w:val="231F20"/>
          <w:spacing w:val="-25"/>
          <w:w w:val="105"/>
          <w:sz w:val="17"/>
        </w:rPr>
        <w:t> </w:t>
      </w:r>
      <w:r>
        <w:rPr>
          <w:rFonts w:ascii="Calibri" w:hAnsi="Calibri"/>
          <w:color w:val="231F20"/>
          <w:w w:val="105"/>
          <w:sz w:val="17"/>
        </w:rPr>
        <w:t>M.</w:t>
      </w:r>
      <w:r>
        <w:rPr>
          <w:rFonts w:ascii="Calibri" w:hAnsi="Calibri"/>
          <w:color w:val="231F20"/>
          <w:spacing w:val="-25"/>
          <w:w w:val="105"/>
          <w:sz w:val="17"/>
        </w:rPr>
        <w:t> </w:t>
      </w:r>
      <w:r>
        <w:rPr>
          <w:rFonts w:ascii="Calibri" w:hAnsi="Calibri"/>
          <w:color w:val="231F20"/>
          <w:w w:val="105"/>
          <w:sz w:val="17"/>
        </w:rPr>
        <w:t>E.</w:t>
      </w:r>
      <w:r>
        <w:rPr>
          <w:rFonts w:ascii="Calibri" w:hAnsi="Calibri"/>
          <w:color w:val="231F20"/>
          <w:spacing w:val="-27"/>
          <w:w w:val="105"/>
          <w:sz w:val="17"/>
        </w:rPr>
        <w:t> </w:t>
      </w:r>
      <w:r>
        <w:rPr>
          <w:rFonts w:ascii="Calibri" w:hAnsi="Calibri"/>
          <w:color w:val="231F20"/>
          <w:w w:val="105"/>
          <w:sz w:val="17"/>
        </w:rPr>
        <w:t>Versari,</w:t>
      </w:r>
      <w:r>
        <w:rPr>
          <w:rFonts w:ascii="Calibri" w:hAnsi="Calibri"/>
          <w:color w:val="231F20"/>
          <w:spacing w:val="-25"/>
          <w:w w:val="105"/>
          <w:sz w:val="17"/>
        </w:rPr>
        <w:t> </w:t>
      </w:r>
      <w:r>
        <w:rPr>
          <w:rFonts w:ascii="Calibri" w:hAnsi="Calibri"/>
          <w:color w:val="231F20"/>
          <w:w w:val="105"/>
          <w:sz w:val="17"/>
        </w:rPr>
        <w:t>“Futurist</w:t>
      </w:r>
      <w:r>
        <w:rPr>
          <w:rFonts w:ascii="Calibri" w:hAnsi="Calibri"/>
          <w:color w:val="231F20"/>
          <w:spacing w:val="-25"/>
          <w:w w:val="105"/>
          <w:sz w:val="17"/>
        </w:rPr>
        <w:t> </w:t>
      </w:r>
      <w:r>
        <w:rPr>
          <w:rFonts w:ascii="Calibri" w:hAnsi="Calibri"/>
          <w:color w:val="231F20"/>
          <w:w w:val="105"/>
          <w:sz w:val="17"/>
        </w:rPr>
        <w:t>Machine</w:t>
      </w:r>
      <w:r>
        <w:rPr>
          <w:rFonts w:ascii="Calibri" w:hAnsi="Calibri"/>
          <w:color w:val="231F20"/>
          <w:spacing w:val="-25"/>
          <w:w w:val="105"/>
          <w:sz w:val="17"/>
        </w:rPr>
        <w:t> </w:t>
      </w:r>
      <w:r>
        <w:rPr>
          <w:rFonts w:ascii="Calibri" w:hAnsi="Calibri"/>
          <w:color w:val="231F20"/>
          <w:w w:val="105"/>
          <w:sz w:val="17"/>
        </w:rPr>
        <w:t>Art,</w:t>
      </w:r>
      <w:r>
        <w:rPr>
          <w:rFonts w:ascii="Calibri" w:hAnsi="Calibri"/>
          <w:color w:val="231F20"/>
          <w:spacing w:val="-25"/>
          <w:w w:val="105"/>
          <w:sz w:val="17"/>
        </w:rPr>
        <w:t> </w:t>
      </w:r>
      <w:r>
        <w:rPr>
          <w:rFonts w:ascii="Calibri" w:hAnsi="Calibri"/>
          <w:color w:val="231F20"/>
          <w:w w:val="105"/>
          <w:sz w:val="17"/>
        </w:rPr>
        <w:t>Constructivism</w:t>
      </w:r>
      <w:r>
        <w:rPr>
          <w:rFonts w:ascii="Calibri" w:hAnsi="Calibri"/>
          <w:color w:val="231F20"/>
          <w:spacing w:val="-25"/>
          <w:w w:val="105"/>
          <w:sz w:val="17"/>
        </w:rPr>
        <w:t> </w:t>
      </w:r>
      <w:r>
        <w:rPr>
          <w:rFonts w:ascii="Calibri" w:hAnsi="Calibri"/>
          <w:color w:val="231F20"/>
          <w:w w:val="105"/>
          <w:sz w:val="17"/>
        </w:rPr>
        <w:t>and the</w:t>
      </w:r>
      <w:r>
        <w:rPr>
          <w:rFonts w:ascii="Calibri" w:hAnsi="Calibri"/>
          <w:color w:val="231F20"/>
          <w:spacing w:val="-12"/>
          <w:w w:val="105"/>
          <w:sz w:val="17"/>
        </w:rPr>
        <w:t> </w:t>
      </w:r>
      <w:r>
        <w:rPr>
          <w:rFonts w:ascii="Calibri" w:hAnsi="Calibri"/>
          <w:color w:val="231F20"/>
          <w:w w:val="105"/>
          <w:sz w:val="17"/>
        </w:rPr>
        <w:t>Modernity</w:t>
      </w:r>
      <w:r>
        <w:rPr>
          <w:rFonts w:ascii="Calibri" w:hAnsi="Calibri"/>
          <w:color w:val="231F20"/>
          <w:spacing w:val="-12"/>
          <w:w w:val="105"/>
          <w:sz w:val="17"/>
        </w:rPr>
        <w:t> </w:t>
      </w:r>
      <w:r>
        <w:rPr>
          <w:rFonts w:ascii="Calibri" w:hAnsi="Calibri"/>
          <w:color w:val="231F20"/>
          <w:w w:val="105"/>
          <w:sz w:val="17"/>
        </w:rPr>
        <w:t>of</w:t>
      </w:r>
      <w:r>
        <w:rPr>
          <w:rFonts w:ascii="Calibri" w:hAnsi="Calibri"/>
          <w:color w:val="231F20"/>
          <w:spacing w:val="-12"/>
          <w:w w:val="105"/>
          <w:sz w:val="17"/>
        </w:rPr>
        <w:t> </w:t>
      </w:r>
      <w:r>
        <w:rPr>
          <w:rFonts w:ascii="Calibri" w:hAnsi="Calibri"/>
          <w:color w:val="231F20"/>
          <w:w w:val="105"/>
          <w:sz w:val="17"/>
        </w:rPr>
        <w:t>Mechanization”,</w:t>
      </w:r>
      <w:r>
        <w:rPr>
          <w:rFonts w:ascii="Calibri" w:hAnsi="Calibri"/>
          <w:color w:val="231F20"/>
          <w:spacing w:val="-12"/>
          <w:w w:val="105"/>
          <w:sz w:val="17"/>
        </w:rPr>
        <w:t> </w:t>
      </w:r>
      <w:r>
        <w:rPr>
          <w:rFonts w:ascii="Calibri" w:hAnsi="Calibri"/>
          <w:color w:val="231F20"/>
          <w:w w:val="105"/>
          <w:sz w:val="17"/>
        </w:rPr>
        <w:t>G.</w:t>
      </w:r>
      <w:r>
        <w:rPr>
          <w:rFonts w:ascii="Calibri" w:hAnsi="Calibri"/>
          <w:color w:val="231F20"/>
          <w:spacing w:val="-12"/>
          <w:w w:val="105"/>
          <w:sz w:val="17"/>
        </w:rPr>
        <w:t> </w:t>
      </w:r>
      <w:r>
        <w:rPr>
          <w:rFonts w:ascii="Calibri" w:hAnsi="Calibri"/>
          <w:color w:val="231F20"/>
          <w:w w:val="105"/>
          <w:sz w:val="17"/>
        </w:rPr>
        <w:t>Berghaus</w:t>
      </w:r>
      <w:r>
        <w:rPr>
          <w:rFonts w:ascii="Calibri" w:hAnsi="Calibri"/>
          <w:color w:val="231F20"/>
          <w:spacing w:val="-12"/>
          <w:w w:val="105"/>
          <w:sz w:val="17"/>
        </w:rPr>
        <w:t> </w:t>
      </w:r>
      <w:r>
        <w:rPr>
          <w:rFonts w:ascii="Calibri" w:hAnsi="Calibri"/>
          <w:color w:val="231F20"/>
          <w:w w:val="105"/>
          <w:sz w:val="17"/>
        </w:rPr>
        <w:t>(Ed.),</w:t>
      </w:r>
      <w:r>
        <w:rPr>
          <w:rFonts w:ascii="Calibri" w:hAnsi="Calibri"/>
          <w:color w:val="231F20"/>
          <w:spacing w:val="-12"/>
          <w:w w:val="105"/>
          <w:sz w:val="17"/>
        </w:rPr>
        <w:t> </w:t>
      </w:r>
      <w:r>
        <w:rPr>
          <w:rFonts w:ascii="Calibri" w:hAnsi="Calibri"/>
          <w:i/>
          <w:color w:val="231F20"/>
          <w:w w:val="105"/>
          <w:sz w:val="17"/>
        </w:rPr>
        <w:t>Futurism</w:t>
      </w:r>
      <w:r>
        <w:rPr>
          <w:rFonts w:ascii="Calibri" w:hAnsi="Calibri"/>
          <w:i/>
          <w:color w:val="231F20"/>
          <w:spacing w:val="-13"/>
          <w:w w:val="105"/>
          <w:sz w:val="17"/>
        </w:rPr>
        <w:t> </w:t>
      </w:r>
      <w:r>
        <w:rPr>
          <w:rFonts w:ascii="Calibri" w:hAnsi="Calibri"/>
          <w:i/>
          <w:color w:val="231F20"/>
          <w:w w:val="105"/>
          <w:sz w:val="17"/>
        </w:rPr>
        <w:t>and</w:t>
      </w:r>
      <w:r>
        <w:rPr>
          <w:rFonts w:ascii="Calibri" w:hAnsi="Calibri"/>
          <w:i/>
          <w:color w:val="231F20"/>
          <w:spacing w:val="-13"/>
          <w:w w:val="105"/>
          <w:sz w:val="17"/>
        </w:rPr>
        <w:t> </w:t>
      </w:r>
      <w:r>
        <w:rPr>
          <w:rFonts w:ascii="Calibri" w:hAnsi="Calibri"/>
          <w:i/>
          <w:color w:val="231F20"/>
          <w:w w:val="105"/>
          <w:sz w:val="17"/>
        </w:rPr>
        <w:t>the</w:t>
      </w:r>
      <w:r>
        <w:rPr>
          <w:rFonts w:ascii="Calibri" w:hAnsi="Calibri"/>
          <w:i/>
          <w:color w:val="231F20"/>
          <w:spacing w:val="-13"/>
          <w:w w:val="105"/>
          <w:sz w:val="17"/>
        </w:rPr>
        <w:t> </w:t>
      </w:r>
      <w:r>
        <w:rPr>
          <w:rFonts w:ascii="Calibri" w:hAnsi="Calibri"/>
          <w:i/>
          <w:color w:val="231F20"/>
          <w:w w:val="105"/>
          <w:sz w:val="17"/>
        </w:rPr>
        <w:t>technological</w:t>
      </w:r>
      <w:r>
        <w:rPr>
          <w:rFonts w:ascii="Calibri" w:hAnsi="Calibri"/>
          <w:i/>
          <w:color w:val="231F20"/>
          <w:spacing w:val="-13"/>
          <w:w w:val="105"/>
          <w:sz w:val="17"/>
        </w:rPr>
        <w:t> </w:t>
      </w:r>
      <w:r>
        <w:rPr>
          <w:rFonts w:ascii="Calibri" w:hAnsi="Calibri"/>
          <w:i/>
          <w:color w:val="231F20"/>
          <w:w w:val="105"/>
          <w:sz w:val="17"/>
        </w:rPr>
        <w:t>imagination</w:t>
      </w:r>
      <w:r>
        <w:rPr>
          <w:rFonts w:ascii="Calibri" w:hAnsi="Calibri"/>
          <w:color w:val="231F20"/>
          <w:w w:val="105"/>
          <w:sz w:val="17"/>
        </w:rPr>
        <w:t>, Amsterdam, Rodopi,</w:t>
      </w:r>
      <w:r>
        <w:rPr>
          <w:rFonts w:ascii="Calibri" w:hAnsi="Calibri"/>
          <w:color w:val="231F20"/>
          <w:spacing w:val="-30"/>
          <w:w w:val="105"/>
          <w:sz w:val="17"/>
        </w:rPr>
        <w:t> </w:t>
      </w:r>
      <w:r>
        <w:rPr>
          <w:rFonts w:ascii="Calibri" w:hAnsi="Calibri"/>
          <w:color w:val="231F20"/>
          <w:w w:val="105"/>
          <w:sz w:val="17"/>
        </w:rPr>
        <w:t>2009.</w:t>
      </w:r>
    </w:p>
    <w:p>
      <w:pPr>
        <w:spacing w:line="204" w:lineRule="exact" w:before="0"/>
        <w:ind w:left="117" w:right="121" w:firstLine="0"/>
        <w:jc w:val="both"/>
        <w:rPr>
          <w:rFonts w:ascii="Calibri" w:hAnsi="Calibri"/>
          <w:sz w:val="17"/>
        </w:rPr>
      </w:pPr>
      <w:r>
        <w:rPr>
          <w:rFonts w:ascii="Calibri" w:hAnsi="Calibri"/>
          <w:color w:val="231F20"/>
          <w:position w:val="6"/>
          <w:sz w:val="10"/>
        </w:rPr>
        <w:t>16</w:t>
      </w:r>
      <w:r>
        <w:rPr>
          <w:rFonts w:ascii="Calibri" w:hAnsi="Calibri"/>
          <w:color w:val="231F20"/>
          <w:spacing w:val="10"/>
          <w:position w:val="6"/>
          <w:sz w:val="10"/>
        </w:rPr>
        <w:t> </w:t>
      </w:r>
      <w:r>
        <w:rPr>
          <w:rFonts w:ascii="Calibri" w:hAnsi="Calibri"/>
          <w:color w:val="231F20"/>
          <w:sz w:val="17"/>
        </w:rPr>
        <w:t>M.</w:t>
      </w:r>
      <w:r>
        <w:rPr>
          <w:rFonts w:ascii="Calibri" w:hAnsi="Calibri"/>
          <w:color w:val="231F20"/>
          <w:spacing w:val="-6"/>
          <w:sz w:val="17"/>
        </w:rPr>
        <w:t> </w:t>
      </w:r>
      <w:r>
        <w:rPr>
          <w:rFonts w:ascii="Calibri" w:hAnsi="Calibri"/>
          <w:color w:val="231F20"/>
          <w:sz w:val="17"/>
        </w:rPr>
        <w:t>Cioli,</w:t>
      </w:r>
      <w:r>
        <w:rPr>
          <w:rFonts w:ascii="Calibri" w:hAnsi="Calibri"/>
          <w:color w:val="231F20"/>
          <w:spacing w:val="-6"/>
          <w:sz w:val="17"/>
        </w:rPr>
        <w:t> </w:t>
      </w:r>
      <w:r>
        <w:rPr>
          <w:rFonts w:ascii="Calibri" w:hAnsi="Calibri"/>
          <w:i/>
          <w:color w:val="231F20"/>
          <w:sz w:val="17"/>
        </w:rPr>
        <w:t>Il</w:t>
      </w:r>
      <w:r>
        <w:rPr>
          <w:rFonts w:ascii="Calibri" w:hAnsi="Calibri"/>
          <w:i/>
          <w:color w:val="231F20"/>
          <w:spacing w:val="-8"/>
          <w:sz w:val="17"/>
        </w:rPr>
        <w:t> </w:t>
      </w:r>
      <w:r>
        <w:rPr>
          <w:rFonts w:ascii="Calibri" w:hAnsi="Calibri"/>
          <w:i/>
          <w:color w:val="231F20"/>
          <w:sz w:val="17"/>
        </w:rPr>
        <w:t>fascismo</w:t>
      </w:r>
      <w:r>
        <w:rPr>
          <w:rFonts w:ascii="Calibri" w:hAnsi="Calibri"/>
          <w:i/>
          <w:color w:val="231F20"/>
          <w:spacing w:val="-8"/>
          <w:sz w:val="17"/>
        </w:rPr>
        <w:t> </w:t>
      </w:r>
      <w:r>
        <w:rPr>
          <w:rFonts w:ascii="Calibri" w:hAnsi="Calibri"/>
          <w:i/>
          <w:color w:val="231F20"/>
          <w:sz w:val="17"/>
        </w:rPr>
        <w:t>e</w:t>
      </w:r>
      <w:r>
        <w:rPr>
          <w:rFonts w:ascii="Calibri" w:hAnsi="Calibri"/>
          <w:i/>
          <w:color w:val="231F20"/>
          <w:spacing w:val="-8"/>
          <w:sz w:val="17"/>
        </w:rPr>
        <w:t> </w:t>
      </w:r>
      <w:r>
        <w:rPr>
          <w:rFonts w:ascii="Calibri" w:hAnsi="Calibri"/>
          <w:i/>
          <w:color w:val="231F20"/>
          <w:sz w:val="17"/>
        </w:rPr>
        <w:t>la</w:t>
      </w:r>
      <w:r>
        <w:rPr>
          <w:rFonts w:ascii="Calibri" w:hAnsi="Calibri"/>
          <w:i/>
          <w:color w:val="231F20"/>
          <w:spacing w:val="-8"/>
          <w:sz w:val="17"/>
        </w:rPr>
        <w:t> </w:t>
      </w:r>
      <w:r>
        <w:rPr>
          <w:rFonts w:ascii="Calibri" w:hAnsi="Calibri"/>
          <w:i/>
          <w:color w:val="231F20"/>
          <w:sz w:val="17"/>
        </w:rPr>
        <w:t>“sua”</w:t>
      </w:r>
      <w:r>
        <w:rPr>
          <w:rFonts w:ascii="Calibri" w:hAnsi="Calibri"/>
          <w:i/>
          <w:color w:val="231F20"/>
          <w:spacing w:val="-8"/>
          <w:sz w:val="17"/>
        </w:rPr>
        <w:t> </w:t>
      </w:r>
      <w:r>
        <w:rPr>
          <w:rFonts w:ascii="Calibri" w:hAnsi="Calibri"/>
          <w:i/>
          <w:color w:val="231F20"/>
          <w:sz w:val="17"/>
        </w:rPr>
        <w:t>arte</w:t>
      </w:r>
      <w:r>
        <w:rPr>
          <w:rFonts w:ascii="Calibri" w:hAnsi="Calibri"/>
          <w:color w:val="231F20"/>
          <w:sz w:val="17"/>
        </w:rPr>
        <w:t>,</w:t>
      </w:r>
      <w:r>
        <w:rPr>
          <w:rFonts w:ascii="Calibri" w:hAnsi="Calibri"/>
          <w:color w:val="231F20"/>
          <w:spacing w:val="-6"/>
          <w:sz w:val="17"/>
        </w:rPr>
        <w:t> </w:t>
      </w:r>
      <w:r>
        <w:rPr>
          <w:rFonts w:ascii="Calibri" w:hAnsi="Calibri"/>
          <w:color w:val="231F20"/>
          <w:sz w:val="17"/>
        </w:rPr>
        <w:t>Firenze,</w:t>
      </w:r>
      <w:r>
        <w:rPr>
          <w:rFonts w:ascii="Calibri" w:hAnsi="Calibri"/>
          <w:color w:val="231F20"/>
          <w:spacing w:val="-6"/>
          <w:sz w:val="17"/>
        </w:rPr>
        <w:t> </w:t>
      </w:r>
      <w:r>
        <w:rPr>
          <w:rFonts w:ascii="Calibri" w:hAnsi="Calibri"/>
          <w:color w:val="231F20"/>
          <w:sz w:val="17"/>
        </w:rPr>
        <w:t>Olski,</w:t>
      </w:r>
      <w:r>
        <w:rPr>
          <w:rFonts w:ascii="Calibri" w:hAnsi="Calibri"/>
          <w:color w:val="231F20"/>
          <w:spacing w:val="-6"/>
          <w:sz w:val="17"/>
        </w:rPr>
        <w:t> </w:t>
      </w:r>
      <w:r>
        <w:rPr>
          <w:rFonts w:ascii="Calibri" w:hAnsi="Calibri"/>
          <w:color w:val="231F20"/>
          <w:sz w:val="17"/>
        </w:rPr>
        <w:t>2005;</w:t>
      </w:r>
      <w:r>
        <w:rPr>
          <w:rFonts w:ascii="Calibri" w:hAnsi="Calibri"/>
          <w:color w:val="231F20"/>
          <w:spacing w:val="-6"/>
          <w:sz w:val="17"/>
        </w:rPr>
        <w:t> </w:t>
      </w:r>
      <w:r>
        <w:rPr>
          <w:rFonts w:ascii="Calibri" w:hAnsi="Calibri"/>
          <w:color w:val="231F20"/>
          <w:sz w:val="17"/>
        </w:rPr>
        <w:t>ma</w:t>
      </w:r>
      <w:r>
        <w:rPr>
          <w:rFonts w:ascii="Calibri" w:hAnsi="Calibri"/>
          <w:color w:val="231F20"/>
          <w:spacing w:val="-6"/>
          <w:sz w:val="17"/>
        </w:rPr>
        <w:t> </w:t>
      </w:r>
      <w:r>
        <w:rPr>
          <w:rFonts w:ascii="Calibri" w:hAnsi="Calibri"/>
          <w:color w:val="231F20"/>
          <w:sz w:val="17"/>
        </w:rPr>
        <w:t>anche</w:t>
      </w:r>
      <w:r>
        <w:rPr>
          <w:rFonts w:ascii="Calibri" w:hAnsi="Calibri"/>
          <w:color w:val="231F20"/>
          <w:spacing w:val="-6"/>
          <w:sz w:val="17"/>
        </w:rPr>
        <w:t> </w:t>
      </w:r>
      <w:r>
        <w:rPr>
          <w:rFonts w:ascii="Calibri" w:hAnsi="Calibri"/>
          <w:color w:val="231F20"/>
          <w:sz w:val="17"/>
        </w:rPr>
        <w:t>M.</w:t>
      </w:r>
      <w:r>
        <w:rPr>
          <w:rFonts w:ascii="Calibri" w:hAnsi="Calibri"/>
          <w:color w:val="231F20"/>
          <w:spacing w:val="-6"/>
          <w:sz w:val="17"/>
        </w:rPr>
        <w:t> </w:t>
      </w:r>
      <w:r>
        <w:rPr>
          <w:rFonts w:ascii="Calibri" w:hAnsi="Calibri"/>
          <w:color w:val="231F20"/>
          <w:sz w:val="17"/>
        </w:rPr>
        <w:t>Cioli,</w:t>
      </w:r>
      <w:r>
        <w:rPr>
          <w:rFonts w:ascii="Calibri" w:hAnsi="Calibri"/>
          <w:color w:val="231F20"/>
          <w:spacing w:val="-6"/>
          <w:sz w:val="17"/>
        </w:rPr>
        <w:t> </w:t>
      </w:r>
      <w:r>
        <w:rPr>
          <w:rFonts w:ascii="Calibri" w:hAnsi="Calibri"/>
          <w:i/>
          <w:color w:val="231F20"/>
          <w:sz w:val="17"/>
        </w:rPr>
        <w:t>Fascismo</w:t>
      </w:r>
      <w:r>
        <w:rPr>
          <w:rFonts w:ascii="Calibri" w:hAnsi="Calibri"/>
          <w:i/>
          <w:color w:val="231F20"/>
          <w:spacing w:val="-8"/>
          <w:sz w:val="17"/>
        </w:rPr>
        <w:t> </w:t>
      </w:r>
      <w:r>
        <w:rPr>
          <w:rFonts w:ascii="Calibri" w:hAnsi="Calibri"/>
          <w:i/>
          <w:color w:val="231F20"/>
          <w:sz w:val="17"/>
        </w:rPr>
        <w:t>e</w:t>
      </w:r>
      <w:r>
        <w:rPr>
          <w:rFonts w:ascii="Calibri" w:hAnsi="Calibri"/>
          <w:i/>
          <w:color w:val="231F20"/>
          <w:spacing w:val="-8"/>
          <w:sz w:val="17"/>
        </w:rPr>
        <w:t> </w:t>
      </w:r>
      <w:r>
        <w:rPr>
          <w:rFonts w:ascii="Calibri" w:hAnsi="Calibri"/>
          <w:i/>
          <w:color w:val="231F20"/>
          <w:sz w:val="17"/>
        </w:rPr>
        <w:t>modernismo</w:t>
      </w:r>
      <w:r>
        <w:rPr>
          <w:rFonts w:ascii="Calibri" w:hAnsi="Calibri"/>
          <w:color w:val="231F20"/>
          <w:sz w:val="17"/>
        </w:rPr>
        <w:t>, in corso di</w:t>
      </w:r>
      <w:r>
        <w:rPr>
          <w:rFonts w:ascii="Calibri" w:hAnsi="Calibri"/>
          <w:color w:val="231F20"/>
          <w:spacing w:val="37"/>
          <w:sz w:val="17"/>
        </w:rPr>
        <w:t> </w:t>
      </w:r>
      <w:r>
        <w:rPr>
          <w:rFonts w:ascii="Calibri" w:hAnsi="Calibri"/>
          <w:color w:val="231F20"/>
          <w:sz w:val="17"/>
        </w:rPr>
        <w:t>pubblicazione.</w:t>
      </w:r>
    </w:p>
    <w:p>
      <w:pPr>
        <w:spacing w:after="0" w:line="204" w:lineRule="exact"/>
        <w:jc w:val="both"/>
        <w:rPr>
          <w:rFonts w:ascii="Calibri" w:hAnsi="Calibri"/>
          <w:sz w:val="17"/>
        </w:rPr>
        <w:sectPr>
          <w:pgSz w:w="9640" w:h="13890"/>
          <w:pgMar w:top="0" w:bottom="280" w:left="1300" w:right="1180"/>
        </w:sectPr>
      </w:pPr>
    </w:p>
    <w:p>
      <w:pPr>
        <w:pStyle w:val="BodyText"/>
        <w:spacing w:line="244" w:lineRule="auto" w:before="107"/>
        <w:ind w:left="103" w:right="112"/>
        <w:jc w:val="both"/>
      </w:pPr>
      <w:r>
        <w:rPr>
          <w:color w:val="231F20"/>
        </w:rPr>
        <w:t>strettamente connesso con una </w:t>
      </w:r>
      <w:r>
        <w:rPr>
          <w:rFonts w:ascii="Arial" w:hAnsi="Arial"/>
          <w:i/>
          <w:color w:val="231F20"/>
        </w:rPr>
        <w:t>modernity </w:t>
      </w:r>
      <w:r>
        <w:rPr>
          <w:color w:val="231F20"/>
        </w:rPr>
        <w:t>in crisi, poté cadere nel vortice modernistico, arrendendosi più facilmente all’avvitamento totalitario dei vari fascismi, in nome di rivoluzioni tarocche (oltre che barocche), per così dire</w:t>
      </w:r>
      <w:r>
        <w:rPr>
          <w:color w:val="231F20"/>
          <w:spacing w:val="-6"/>
        </w:rPr>
        <w:t> </w:t>
      </w:r>
      <w:r>
        <w:rPr>
          <w:color w:val="231F20"/>
        </w:rPr>
        <w:t>“meccanizzate”</w:t>
      </w:r>
      <w:r>
        <w:rPr>
          <w:color w:val="231F20"/>
          <w:spacing w:val="-6"/>
        </w:rPr>
        <w:t> </w:t>
      </w:r>
      <w:r>
        <w:rPr>
          <w:color w:val="231F20"/>
        </w:rPr>
        <w:t>a</w:t>
      </w:r>
      <w:r>
        <w:rPr>
          <w:color w:val="231F20"/>
          <w:spacing w:val="-6"/>
        </w:rPr>
        <w:t> </w:t>
      </w:r>
      <w:r>
        <w:rPr>
          <w:color w:val="231F20"/>
        </w:rPr>
        <w:t>loro</w:t>
      </w:r>
      <w:r>
        <w:rPr>
          <w:color w:val="231F20"/>
          <w:spacing w:val="-6"/>
        </w:rPr>
        <w:t> </w:t>
      </w:r>
      <w:r>
        <w:rPr>
          <w:color w:val="231F20"/>
        </w:rPr>
        <w:t>volta,</w:t>
      </w:r>
      <w:r>
        <w:rPr>
          <w:color w:val="231F20"/>
          <w:spacing w:val="-6"/>
        </w:rPr>
        <w:t> </w:t>
      </w:r>
      <w:r>
        <w:rPr>
          <w:color w:val="231F20"/>
        </w:rPr>
        <w:t>in</w:t>
      </w:r>
      <w:r>
        <w:rPr>
          <w:color w:val="231F20"/>
          <w:spacing w:val="-6"/>
        </w:rPr>
        <w:t> </w:t>
      </w:r>
      <w:r>
        <w:rPr>
          <w:color w:val="231F20"/>
        </w:rPr>
        <w:t>cui</w:t>
      </w:r>
      <w:r>
        <w:rPr>
          <w:color w:val="231F20"/>
          <w:spacing w:val="-6"/>
        </w:rPr>
        <w:t> </w:t>
      </w:r>
      <w:r>
        <w:rPr>
          <w:color w:val="231F20"/>
        </w:rPr>
        <w:t>però</w:t>
      </w:r>
      <w:r>
        <w:rPr>
          <w:color w:val="231F20"/>
          <w:spacing w:val="-6"/>
        </w:rPr>
        <w:t> </w:t>
      </w:r>
      <w:r>
        <w:rPr>
          <w:color w:val="231F20"/>
        </w:rPr>
        <w:t>molti</w:t>
      </w:r>
      <w:r>
        <w:rPr>
          <w:color w:val="231F20"/>
          <w:spacing w:val="-6"/>
        </w:rPr>
        <w:t> </w:t>
      </w:r>
      <w:r>
        <w:rPr>
          <w:color w:val="231F20"/>
        </w:rPr>
        <w:t>credettero,</w:t>
      </w:r>
      <w:r>
        <w:rPr>
          <w:color w:val="231F20"/>
          <w:spacing w:val="-6"/>
        </w:rPr>
        <w:t> </w:t>
      </w:r>
      <w:r>
        <w:rPr>
          <w:color w:val="231F20"/>
        </w:rPr>
        <w:t>a</w:t>
      </w:r>
      <w:r>
        <w:rPr>
          <w:color w:val="231F20"/>
          <w:spacing w:val="-6"/>
        </w:rPr>
        <w:t> </w:t>
      </w:r>
      <w:r>
        <w:rPr>
          <w:color w:val="231F20"/>
        </w:rPr>
        <w:t>partire</w:t>
      </w:r>
      <w:r>
        <w:rPr>
          <w:color w:val="231F20"/>
          <w:spacing w:val="-6"/>
        </w:rPr>
        <w:t> </w:t>
      </w:r>
      <w:r>
        <w:rPr>
          <w:color w:val="231F20"/>
        </w:rPr>
        <w:t>dalla avanguardie, non solo artistiche e</w:t>
      </w:r>
      <w:r>
        <w:rPr>
          <w:color w:val="231F20"/>
          <w:spacing w:val="-18"/>
        </w:rPr>
        <w:t> </w:t>
      </w:r>
      <w:r>
        <w:rPr>
          <w:color w:val="231F20"/>
        </w:rPr>
        <w:t>letterarie.</w:t>
      </w:r>
    </w:p>
    <w:p>
      <w:pPr>
        <w:pStyle w:val="BodyText"/>
        <w:spacing w:line="247" w:lineRule="auto" w:before="1"/>
        <w:ind w:left="103" w:right="110" w:firstLine="566"/>
        <w:jc w:val="both"/>
      </w:pPr>
      <w:r>
        <w:rPr>
          <w:color w:val="231F20"/>
          <w:w w:val="105"/>
        </w:rPr>
        <w:t>Io</w:t>
      </w:r>
      <w:r>
        <w:rPr>
          <w:color w:val="231F20"/>
          <w:spacing w:val="-8"/>
          <w:w w:val="105"/>
        </w:rPr>
        <w:t> </w:t>
      </w:r>
      <w:r>
        <w:rPr>
          <w:color w:val="231F20"/>
          <w:w w:val="105"/>
        </w:rPr>
        <w:t>non</w:t>
      </w:r>
      <w:r>
        <w:rPr>
          <w:color w:val="231F20"/>
          <w:spacing w:val="-8"/>
          <w:w w:val="105"/>
        </w:rPr>
        <w:t> </w:t>
      </w:r>
      <w:r>
        <w:rPr>
          <w:color w:val="231F20"/>
          <w:w w:val="105"/>
        </w:rPr>
        <w:t>sono</w:t>
      </w:r>
      <w:r>
        <w:rPr>
          <w:color w:val="231F20"/>
          <w:spacing w:val="-8"/>
          <w:w w:val="105"/>
        </w:rPr>
        <w:t> </w:t>
      </w:r>
      <w:r>
        <w:rPr>
          <w:color w:val="231F20"/>
          <w:w w:val="105"/>
        </w:rPr>
        <w:t>capace</w:t>
      </w:r>
      <w:r>
        <w:rPr>
          <w:color w:val="231F20"/>
          <w:spacing w:val="-8"/>
          <w:w w:val="105"/>
        </w:rPr>
        <w:t> </w:t>
      </w:r>
      <w:r>
        <w:rPr>
          <w:color w:val="231F20"/>
          <w:w w:val="105"/>
        </w:rPr>
        <w:t>di</w:t>
      </w:r>
      <w:r>
        <w:rPr>
          <w:color w:val="231F20"/>
          <w:spacing w:val="-8"/>
          <w:w w:val="105"/>
        </w:rPr>
        <w:t> </w:t>
      </w:r>
      <w:r>
        <w:rPr>
          <w:color w:val="231F20"/>
          <w:w w:val="105"/>
        </w:rPr>
        <w:t>dire</w:t>
      </w:r>
      <w:r>
        <w:rPr>
          <w:color w:val="231F20"/>
          <w:spacing w:val="-8"/>
          <w:w w:val="105"/>
        </w:rPr>
        <w:t> </w:t>
      </w:r>
      <w:r>
        <w:rPr>
          <w:color w:val="231F20"/>
          <w:w w:val="105"/>
        </w:rPr>
        <w:t>quel</w:t>
      </w:r>
      <w:r>
        <w:rPr>
          <w:color w:val="231F20"/>
          <w:spacing w:val="-8"/>
          <w:w w:val="105"/>
        </w:rPr>
        <w:t> </w:t>
      </w:r>
      <w:r>
        <w:rPr>
          <w:color w:val="231F20"/>
          <w:w w:val="105"/>
        </w:rPr>
        <w:t>che</w:t>
      </w:r>
      <w:r>
        <w:rPr>
          <w:color w:val="231F20"/>
          <w:spacing w:val="-8"/>
          <w:w w:val="105"/>
        </w:rPr>
        <w:t> </w:t>
      </w:r>
      <w:r>
        <w:rPr>
          <w:color w:val="231F20"/>
          <w:w w:val="105"/>
        </w:rPr>
        <w:t>bisognerebbe</w:t>
      </w:r>
      <w:r>
        <w:rPr>
          <w:color w:val="231F20"/>
          <w:spacing w:val="-8"/>
          <w:w w:val="105"/>
        </w:rPr>
        <w:t> </w:t>
      </w:r>
      <w:r>
        <w:rPr>
          <w:color w:val="231F20"/>
          <w:w w:val="105"/>
        </w:rPr>
        <w:t>fare;</w:t>
      </w:r>
      <w:r>
        <w:rPr>
          <w:color w:val="231F20"/>
          <w:spacing w:val="-8"/>
          <w:w w:val="105"/>
        </w:rPr>
        <w:t> </w:t>
      </w:r>
      <w:r>
        <w:rPr>
          <w:color w:val="231F20"/>
          <w:w w:val="105"/>
        </w:rPr>
        <w:t>cerco</w:t>
      </w:r>
      <w:r>
        <w:rPr>
          <w:color w:val="231F20"/>
          <w:spacing w:val="-8"/>
          <w:w w:val="105"/>
        </w:rPr>
        <w:t> </w:t>
      </w:r>
      <w:r>
        <w:rPr>
          <w:color w:val="231F20"/>
          <w:w w:val="105"/>
        </w:rPr>
        <w:t>solo di capire </w:t>
      </w:r>
      <w:r>
        <w:rPr>
          <w:color w:val="231F20"/>
          <w:spacing w:val="2"/>
          <w:w w:val="105"/>
        </w:rPr>
        <w:t>cos’è probabile </w:t>
      </w:r>
      <w:r>
        <w:rPr>
          <w:color w:val="231F20"/>
          <w:w w:val="105"/>
        </w:rPr>
        <w:t>che </w:t>
      </w:r>
      <w:r>
        <w:rPr>
          <w:color w:val="231F20"/>
          <w:spacing w:val="2"/>
          <w:w w:val="105"/>
        </w:rPr>
        <w:t>accada, </w:t>
      </w:r>
      <w:r>
        <w:rPr>
          <w:color w:val="231F20"/>
          <w:w w:val="105"/>
        </w:rPr>
        <w:t>e </w:t>
      </w:r>
      <w:r>
        <w:rPr>
          <w:color w:val="231F20"/>
          <w:spacing w:val="2"/>
          <w:w w:val="105"/>
        </w:rPr>
        <w:t>sono certamente viziato </w:t>
      </w:r>
      <w:r>
        <w:rPr>
          <w:color w:val="231F20"/>
          <w:spacing w:val="3"/>
          <w:w w:val="105"/>
        </w:rPr>
        <w:t>dalla </w:t>
      </w:r>
      <w:r>
        <w:rPr>
          <w:color w:val="231F20"/>
          <w:w w:val="105"/>
        </w:rPr>
        <w:t>posizione privilegiata (personale, ma soprattutto occidentale) da cui mi trovo a pensare a queste cose. A me pare che siamo fuori non solo dal “complessivo</w:t>
      </w:r>
      <w:r>
        <w:rPr>
          <w:color w:val="231F20"/>
          <w:spacing w:val="-42"/>
          <w:w w:val="105"/>
        </w:rPr>
        <w:t> </w:t>
      </w:r>
      <w:r>
        <w:rPr>
          <w:color w:val="231F20"/>
          <w:w w:val="105"/>
        </w:rPr>
        <w:t>simbolico”</w:t>
      </w:r>
      <w:r>
        <w:rPr>
          <w:color w:val="231F20"/>
          <w:spacing w:val="-42"/>
          <w:w w:val="105"/>
        </w:rPr>
        <w:t> </w:t>
      </w:r>
      <w:r>
        <w:rPr>
          <w:color w:val="231F20"/>
          <w:w w:val="105"/>
        </w:rPr>
        <w:t>che,</w:t>
      </w:r>
      <w:r>
        <w:rPr>
          <w:color w:val="231F20"/>
          <w:spacing w:val="-42"/>
          <w:w w:val="105"/>
        </w:rPr>
        <w:t> </w:t>
      </w:r>
      <w:r>
        <w:rPr>
          <w:color w:val="231F20"/>
          <w:w w:val="105"/>
        </w:rPr>
        <w:t>nelle</w:t>
      </w:r>
      <w:r>
        <w:rPr>
          <w:color w:val="231F20"/>
          <w:spacing w:val="-42"/>
          <w:w w:val="105"/>
        </w:rPr>
        <w:t> </w:t>
      </w:r>
      <w:r>
        <w:rPr>
          <w:color w:val="231F20"/>
          <w:w w:val="105"/>
        </w:rPr>
        <w:t>sue</w:t>
      </w:r>
      <w:r>
        <w:rPr>
          <w:color w:val="231F20"/>
          <w:spacing w:val="-42"/>
          <w:w w:val="105"/>
        </w:rPr>
        <w:t> </w:t>
      </w:r>
      <w:r>
        <w:rPr>
          <w:color w:val="231F20"/>
          <w:w w:val="105"/>
        </w:rPr>
        <w:t>contraddizioni,</w:t>
      </w:r>
      <w:r>
        <w:rPr>
          <w:color w:val="231F20"/>
          <w:spacing w:val="-42"/>
          <w:w w:val="105"/>
        </w:rPr>
        <w:t> </w:t>
      </w:r>
      <w:r>
        <w:rPr>
          <w:color w:val="231F20"/>
          <w:w w:val="105"/>
        </w:rPr>
        <w:t>ha</w:t>
      </w:r>
      <w:r>
        <w:rPr>
          <w:color w:val="231F20"/>
          <w:spacing w:val="-42"/>
          <w:w w:val="105"/>
        </w:rPr>
        <w:t> </w:t>
      </w:r>
      <w:r>
        <w:rPr>
          <w:color w:val="231F20"/>
          <w:w w:val="105"/>
        </w:rPr>
        <w:t>accompagnato</w:t>
      </w:r>
      <w:r>
        <w:rPr>
          <w:color w:val="231F20"/>
          <w:spacing w:val="-42"/>
          <w:w w:val="105"/>
        </w:rPr>
        <w:t> </w:t>
      </w:r>
      <w:r>
        <w:rPr>
          <w:color w:val="231F20"/>
          <w:w w:val="105"/>
        </w:rPr>
        <w:t>lo Stato</w:t>
      </w:r>
      <w:r>
        <w:rPr>
          <w:color w:val="231F20"/>
          <w:spacing w:val="-27"/>
          <w:w w:val="105"/>
        </w:rPr>
        <w:t> </w:t>
      </w:r>
      <w:r>
        <w:rPr>
          <w:color w:val="231F20"/>
          <w:w w:val="105"/>
        </w:rPr>
        <w:t>per</w:t>
      </w:r>
      <w:r>
        <w:rPr>
          <w:color w:val="231F20"/>
          <w:spacing w:val="-27"/>
          <w:w w:val="105"/>
        </w:rPr>
        <w:t> </w:t>
      </w:r>
      <w:r>
        <w:rPr>
          <w:color w:val="231F20"/>
          <w:w w:val="105"/>
        </w:rPr>
        <w:t>qualche</w:t>
      </w:r>
      <w:r>
        <w:rPr>
          <w:color w:val="231F20"/>
          <w:spacing w:val="-27"/>
          <w:w w:val="105"/>
        </w:rPr>
        <w:t> </w:t>
      </w:r>
      <w:r>
        <w:rPr>
          <w:color w:val="231F20"/>
          <w:w w:val="105"/>
        </w:rPr>
        <w:t>secolo;</w:t>
      </w:r>
      <w:r>
        <w:rPr>
          <w:color w:val="231F20"/>
          <w:spacing w:val="-27"/>
          <w:w w:val="105"/>
        </w:rPr>
        <w:t> </w:t>
      </w:r>
      <w:r>
        <w:rPr>
          <w:color w:val="231F20"/>
          <w:w w:val="105"/>
        </w:rPr>
        <w:t>siamo</w:t>
      </w:r>
      <w:r>
        <w:rPr>
          <w:color w:val="231F20"/>
          <w:spacing w:val="-27"/>
          <w:w w:val="105"/>
        </w:rPr>
        <w:t> </w:t>
      </w:r>
      <w:r>
        <w:rPr>
          <w:color w:val="231F20"/>
          <w:w w:val="105"/>
        </w:rPr>
        <w:t>fuori</w:t>
      </w:r>
      <w:r>
        <w:rPr>
          <w:color w:val="231F20"/>
          <w:spacing w:val="-27"/>
          <w:w w:val="105"/>
        </w:rPr>
        <w:t> </w:t>
      </w:r>
      <w:r>
        <w:rPr>
          <w:color w:val="231F20"/>
          <w:w w:val="105"/>
        </w:rPr>
        <w:t>anche</w:t>
      </w:r>
      <w:r>
        <w:rPr>
          <w:color w:val="231F20"/>
          <w:spacing w:val="-27"/>
          <w:w w:val="105"/>
        </w:rPr>
        <w:t> </w:t>
      </w:r>
      <w:r>
        <w:rPr>
          <w:color w:val="231F20"/>
          <w:w w:val="105"/>
        </w:rPr>
        <w:t>dal</w:t>
      </w:r>
      <w:r>
        <w:rPr>
          <w:color w:val="231F20"/>
          <w:spacing w:val="-27"/>
          <w:w w:val="105"/>
        </w:rPr>
        <w:t> </w:t>
      </w:r>
      <w:r>
        <w:rPr>
          <w:color w:val="231F20"/>
          <w:w w:val="105"/>
        </w:rPr>
        <w:t>campo</w:t>
      </w:r>
      <w:r>
        <w:rPr>
          <w:color w:val="231F20"/>
          <w:spacing w:val="-27"/>
          <w:w w:val="105"/>
        </w:rPr>
        <w:t> </w:t>
      </w:r>
      <w:r>
        <w:rPr>
          <w:color w:val="231F20"/>
          <w:w w:val="105"/>
        </w:rPr>
        <w:t>di</w:t>
      </w:r>
      <w:r>
        <w:rPr>
          <w:color w:val="231F20"/>
          <w:spacing w:val="-27"/>
          <w:w w:val="105"/>
        </w:rPr>
        <w:t> </w:t>
      </w:r>
      <w:r>
        <w:rPr>
          <w:color w:val="231F20"/>
          <w:w w:val="105"/>
        </w:rPr>
        <w:t>intermediazione strutturale</w:t>
      </w:r>
      <w:r>
        <w:rPr>
          <w:color w:val="231F20"/>
          <w:spacing w:val="-29"/>
          <w:w w:val="105"/>
        </w:rPr>
        <w:t> </w:t>
      </w:r>
      <w:r>
        <w:rPr>
          <w:color w:val="231F20"/>
          <w:w w:val="105"/>
        </w:rPr>
        <w:t>che</w:t>
      </w:r>
      <w:r>
        <w:rPr>
          <w:color w:val="231F20"/>
          <w:spacing w:val="-29"/>
          <w:w w:val="105"/>
        </w:rPr>
        <w:t> </w:t>
      </w:r>
      <w:r>
        <w:rPr>
          <w:color w:val="231F20"/>
          <w:w w:val="105"/>
        </w:rPr>
        <w:t>quella</w:t>
      </w:r>
      <w:r>
        <w:rPr>
          <w:color w:val="231F20"/>
          <w:spacing w:val="-29"/>
          <w:w w:val="105"/>
        </w:rPr>
        <w:t> </w:t>
      </w:r>
      <w:r>
        <w:rPr>
          <w:color w:val="231F20"/>
          <w:w w:val="105"/>
        </w:rPr>
        <w:t>forma</w:t>
      </w:r>
      <w:r>
        <w:rPr>
          <w:color w:val="231F20"/>
          <w:spacing w:val="-29"/>
          <w:w w:val="105"/>
        </w:rPr>
        <w:t> </w:t>
      </w:r>
      <w:r>
        <w:rPr>
          <w:color w:val="231F20"/>
          <w:w w:val="105"/>
        </w:rPr>
        <w:t>ha</w:t>
      </w:r>
      <w:r>
        <w:rPr>
          <w:color w:val="231F20"/>
          <w:spacing w:val="-29"/>
          <w:w w:val="105"/>
        </w:rPr>
        <w:t> </w:t>
      </w:r>
      <w:r>
        <w:rPr>
          <w:color w:val="231F20"/>
          <w:w w:val="105"/>
        </w:rPr>
        <w:t>potuto</w:t>
      </w:r>
      <w:r>
        <w:rPr>
          <w:color w:val="231F20"/>
          <w:spacing w:val="-29"/>
          <w:w w:val="105"/>
        </w:rPr>
        <w:t> </w:t>
      </w:r>
      <w:r>
        <w:rPr>
          <w:color w:val="231F20"/>
          <w:w w:val="105"/>
        </w:rPr>
        <w:t>svolgere,</w:t>
      </w:r>
      <w:r>
        <w:rPr>
          <w:color w:val="231F20"/>
          <w:spacing w:val="-29"/>
          <w:w w:val="105"/>
        </w:rPr>
        <w:t> </w:t>
      </w:r>
      <w:r>
        <w:rPr>
          <w:color w:val="231F20"/>
          <w:w w:val="105"/>
        </w:rPr>
        <w:t>per</w:t>
      </w:r>
      <w:r>
        <w:rPr>
          <w:color w:val="231F20"/>
          <w:spacing w:val="-29"/>
          <w:w w:val="105"/>
        </w:rPr>
        <w:t> </w:t>
      </w:r>
      <w:r>
        <w:rPr>
          <w:color w:val="231F20"/>
          <w:w w:val="105"/>
        </w:rPr>
        <w:t>lungo</w:t>
      </w:r>
      <w:r>
        <w:rPr>
          <w:color w:val="231F20"/>
          <w:spacing w:val="-29"/>
          <w:w w:val="105"/>
        </w:rPr>
        <w:t> </w:t>
      </w:r>
      <w:r>
        <w:rPr>
          <w:color w:val="231F20"/>
          <w:w w:val="105"/>
        </w:rPr>
        <w:t>tempo,</w:t>
      </w:r>
      <w:r>
        <w:rPr>
          <w:color w:val="231F20"/>
          <w:spacing w:val="-29"/>
          <w:w w:val="105"/>
        </w:rPr>
        <w:t> </w:t>
      </w:r>
      <w:r>
        <w:rPr>
          <w:color w:val="231F20"/>
          <w:w w:val="105"/>
        </w:rPr>
        <w:t>rispetto alle</w:t>
      </w:r>
      <w:r>
        <w:rPr>
          <w:color w:val="231F20"/>
          <w:spacing w:val="-47"/>
          <w:w w:val="105"/>
        </w:rPr>
        <w:t> </w:t>
      </w:r>
      <w:r>
        <w:rPr>
          <w:color w:val="231F20"/>
          <w:w w:val="105"/>
        </w:rPr>
        <w:t>contraddizioni</w:t>
      </w:r>
      <w:r>
        <w:rPr>
          <w:color w:val="231F20"/>
          <w:spacing w:val="-47"/>
          <w:w w:val="105"/>
        </w:rPr>
        <w:t> </w:t>
      </w:r>
      <w:r>
        <w:rPr>
          <w:color w:val="231F20"/>
          <w:w w:val="105"/>
        </w:rPr>
        <w:t>di</w:t>
      </w:r>
      <w:r>
        <w:rPr>
          <w:color w:val="231F20"/>
          <w:spacing w:val="-47"/>
          <w:w w:val="105"/>
        </w:rPr>
        <w:t> </w:t>
      </w:r>
      <w:r>
        <w:rPr>
          <w:color w:val="231F20"/>
          <w:w w:val="105"/>
        </w:rPr>
        <w:t>classe</w:t>
      </w:r>
      <w:r>
        <w:rPr>
          <w:color w:val="231F20"/>
          <w:spacing w:val="-47"/>
          <w:w w:val="105"/>
        </w:rPr>
        <w:t> </w:t>
      </w:r>
      <w:r>
        <w:rPr>
          <w:color w:val="231F20"/>
          <w:w w:val="105"/>
        </w:rPr>
        <w:t>del</w:t>
      </w:r>
      <w:r>
        <w:rPr>
          <w:color w:val="231F20"/>
          <w:spacing w:val="-47"/>
          <w:w w:val="105"/>
        </w:rPr>
        <w:t> </w:t>
      </w:r>
      <w:r>
        <w:rPr>
          <w:color w:val="231F20"/>
          <w:w w:val="105"/>
        </w:rPr>
        <w:t>capitalismo</w:t>
      </w:r>
      <w:r>
        <w:rPr>
          <w:color w:val="231F20"/>
          <w:spacing w:val="-47"/>
          <w:w w:val="105"/>
        </w:rPr>
        <w:t> </w:t>
      </w:r>
      <w:r>
        <w:rPr>
          <w:color w:val="231F20"/>
          <w:spacing w:val="-3"/>
          <w:w w:val="105"/>
        </w:rPr>
        <w:t>maturo.</w:t>
      </w:r>
      <w:r>
        <w:rPr>
          <w:color w:val="231F20"/>
          <w:spacing w:val="-47"/>
          <w:w w:val="105"/>
        </w:rPr>
        <w:t> </w:t>
      </w:r>
      <w:r>
        <w:rPr>
          <w:color w:val="231F20"/>
          <w:w w:val="105"/>
        </w:rPr>
        <w:t>A</w:t>
      </w:r>
      <w:r>
        <w:rPr>
          <w:color w:val="231F20"/>
          <w:spacing w:val="-47"/>
          <w:w w:val="105"/>
        </w:rPr>
        <w:t> </w:t>
      </w:r>
      <w:r>
        <w:rPr>
          <w:color w:val="231F20"/>
          <w:w w:val="105"/>
        </w:rPr>
        <w:t>questo</w:t>
      </w:r>
      <w:r>
        <w:rPr>
          <w:color w:val="231F20"/>
          <w:spacing w:val="-47"/>
          <w:w w:val="105"/>
        </w:rPr>
        <w:t> </w:t>
      </w:r>
      <w:r>
        <w:rPr>
          <w:color w:val="231F20"/>
          <w:w w:val="105"/>
        </w:rPr>
        <w:t>punto,</w:t>
      </w:r>
      <w:r>
        <w:rPr>
          <w:color w:val="231F20"/>
          <w:spacing w:val="-47"/>
          <w:w w:val="105"/>
        </w:rPr>
        <w:t> </w:t>
      </w:r>
      <w:r>
        <w:rPr>
          <w:color w:val="231F20"/>
          <w:spacing w:val="-2"/>
          <w:w w:val="105"/>
        </w:rPr>
        <w:t>sembra </w:t>
      </w:r>
      <w:r>
        <w:rPr>
          <w:color w:val="231F20"/>
          <w:w w:val="105"/>
        </w:rPr>
        <w:t>essere</w:t>
      </w:r>
      <w:r>
        <w:rPr>
          <w:color w:val="231F20"/>
          <w:spacing w:val="-43"/>
          <w:w w:val="105"/>
        </w:rPr>
        <w:t> </w:t>
      </w:r>
      <w:r>
        <w:rPr>
          <w:color w:val="231F20"/>
          <w:w w:val="105"/>
        </w:rPr>
        <w:t>saltato</w:t>
      </w:r>
      <w:r>
        <w:rPr>
          <w:color w:val="231F20"/>
          <w:spacing w:val="-43"/>
          <w:w w:val="105"/>
        </w:rPr>
        <w:t> </w:t>
      </w:r>
      <w:r>
        <w:rPr>
          <w:color w:val="231F20"/>
          <w:w w:val="105"/>
        </w:rPr>
        <w:t>l’elastico</w:t>
      </w:r>
      <w:r>
        <w:rPr>
          <w:color w:val="231F20"/>
          <w:spacing w:val="-43"/>
          <w:w w:val="105"/>
        </w:rPr>
        <w:t> </w:t>
      </w:r>
      <w:r>
        <w:rPr>
          <w:color w:val="231F20"/>
          <w:w w:val="105"/>
        </w:rPr>
        <w:t>che</w:t>
      </w:r>
      <w:r>
        <w:rPr>
          <w:color w:val="231F20"/>
          <w:spacing w:val="-43"/>
          <w:w w:val="105"/>
        </w:rPr>
        <w:t> </w:t>
      </w:r>
      <w:r>
        <w:rPr>
          <w:color w:val="231F20"/>
          <w:w w:val="105"/>
        </w:rPr>
        <w:t>ha</w:t>
      </w:r>
      <w:r>
        <w:rPr>
          <w:color w:val="231F20"/>
          <w:spacing w:val="-43"/>
          <w:w w:val="105"/>
        </w:rPr>
        <w:t> </w:t>
      </w:r>
      <w:r>
        <w:rPr>
          <w:color w:val="231F20"/>
          <w:w w:val="105"/>
        </w:rPr>
        <w:t>tenuto</w:t>
      </w:r>
      <w:r>
        <w:rPr>
          <w:color w:val="231F20"/>
          <w:spacing w:val="-43"/>
          <w:w w:val="105"/>
        </w:rPr>
        <w:t> </w:t>
      </w:r>
      <w:r>
        <w:rPr>
          <w:color w:val="231F20"/>
          <w:w w:val="105"/>
        </w:rPr>
        <w:t>insieme</w:t>
      </w:r>
      <w:r>
        <w:rPr>
          <w:color w:val="231F20"/>
          <w:spacing w:val="-43"/>
          <w:w w:val="105"/>
        </w:rPr>
        <w:t> </w:t>
      </w:r>
      <w:r>
        <w:rPr>
          <w:color w:val="231F20"/>
          <w:w w:val="105"/>
        </w:rPr>
        <w:t>Stato</w:t>
      </w:r>
      <w:r>
        <w:rPr>
          <w:color w:val="231F20"/>
          <w:spacing w:val="-43"/>
          <w:w w:val="105"/>
        </w:rPr>
        <w:t> </w:t>
      </w:r>
      <w:r>
        <w:rPr>
          <w:color w:val="231F20"/>
          <w:w w:val="105"/>
        </w:rPr>
        <w:t>e</w:t>
      </w:r>
      <w:r>
        <w:rPr>
          <w:color w:val="231F20"/>
          <w:spacing w:val="-43"/>
          <w:w w:val="105"/>
        </w:rPr>
        <w:t> </w:t>
      </w:r>
      <w:r>
        <w:rPr>
          <w:color w:val="231F20"/>
          <w:w w:val="105"/>
        </w:rPr>
        <w:t>politica,</w:t>
      </w:r>
      <w:r>
        <w:rPr>
          <w:color w:val="231F20"/>
          <w:spacing w:val="-43"/>
          <w:w w:val="105"/>
        </w:rPr>
        <w:t> </w:t>
      </w:r>
      <w:r>
        <w:rPr>
          <w:color w:val="231F20"/>
          <w:w w:val="105"/>
        </w:rPr>
        <w:t>in</w:t>
      </w:r>
      <w:r>
        <w:rPr>
          <w:color w:val="231F20"/>
          <w:spacing w:val="-43"/>
          <w:w w:val="105"/>
        </w:rPr>
        <w:t> </w:t>
      </w:r>
      <w:r>
        <w:rPr>
          <w:color w:val="231F20"/>
          <w:w w:val="105"/>
        </w:rPr>
        <w:t>Occidente, durante</w:t>
      </w:r>
      <w:r>
        <w:rPr>
          <w:color w:val="231F20"/>
          <w:spacing w:val="-28"/>
          <w:w w:val="105"/>
        </w:rPr>
        <w:t> </w:t>
      </w:r>
      <w:r>
        <w:rPr>
          <w:color w:val="231F20"/>
          <w:w w:val="105"/>
        </w:rPr>
        <w:t>più</w:t>
      </w:r>
      <w:r>
        <w:rPr>
          <w:color w:val="231F20"/>
          <w:spacing w:val="-28"/>
          <w:w w:val="105"/>
        </w:rPr>
        <w:t> </w:t>
      </w:r>
      <w:r>
        <w:rPr>
          <w:color w:val="231F20"/>
          <w:w w:val="105"/>
        </w:rPr>
        <w:t>o</w:t>
      </w:r>
      <w:r>
        <w:rPr>
          <w:color w:val="231F20"/>
          <w:spacing w:val="-28"/>
          <w:w w:val="105"/>
        </w:rPr>
        <w:t> </w:t>
      </w:r>
      <w:r>
        <w:rPr>
          <w:color w:val="231F20"/>
          <w:w w:val="105"/>
        </w:rPr>
        <w:t>meno</w:t>
      </w:r>
      <w:r>
        <w:rPr>
          <w:color w:val="231F20"/>
          <w:spacing w:val="-28"/>
          <w:w w:val="105"/>
        </w:rPr>
        <w:t> </w:t>
      </w:r>
      <w:r>
        <w:rPr>
          <w:color w:val="231F20"/>
          <w:w w:val="105"/>
        </w:rPr>
        <w:t>tutta</w:t>
      </w:r>
      <w:r>
        <w:rPr>
          <w:color w:val="231F20"/>
          <w:spacing w:val="-28"/>
          <w:w w:val="105"/>
        </w:rPr>
        <w:t> </w:t>
      </w:r>
      <w:r>
        <w:rPr>
          <w:color w:val="231F20"/>
          <w:w w:val="105"/>
        </w:rPr>
        <w:t>l’età</w:t>
      </w:r>
      <w:r>
        <w:rPr>
          <w:color w:val="231F20"/>
          <w:spacing w:val="-28"/>
          <w:w w:val="105"/>
        </w:rPr>
        <w:t> </w:t>
      </w:r>
      <w:r>
        <w:rPr>
          <w:color w:val="231F20"/>
          <w:w w:val="105"/>
        </w:rPr>
        <w:t>moderna.</w:t>
      </w:r>
      <w:r>
        <w:rPr>
          <w:color w:val="231F20"/>
          <w:spacing w:val="-28"/>
          <w:w w:val="105"/>
        </w:rPr>
        <w:t> </w:t>
      </w:r>
      <w:r>
        <w:rPr>
          <w:color w:val="231F20"/>
          <w:w w:val="105"/>
        </w:rPr>
        <w:t>Ignoro</w:t>
      </w:r>
      <w:r>
        <w:rPr>
          <w:color w:val="231F20"/>
          <w:spacing w:val="-28"/>
          <w:w w:val="105"/>
        </w:rPr>
        <w:t> </w:t>
      </w:r>
      <w:r>
        <w:rPr>
          <w:color w:val="231F20"/>
          <w:w w:val="105"/>
        </w:rPr>
        <w:t>se</w:t>
      </w:r>
      <w:r>
        <w:rPr>
          <w:color w:val="231F20"/>
          <w:spacing w:val="-28"/>
          <w:w w:val="105"/>
        </w:rPr>
        <w:t> </w:t>
      </w:r>
      <w:r>
        <w:rPr>
          <w:color w:val="231F20"/>
          <w:w w:val="105"/>
        </w:rPr>
        <w:t>ci</w:t>
      </w:r>
      <w:r>
        <w:rPr>
          <w:color w:val="231F20"/>
          <w:spacing w:val="-28"/>
          <w:w w:val="105"/>
        </w:rPr>
        <w:t> </w:t>
      </w:r>
      <w:r>
        <w:rPr>
          <w:color w:val="231F20"/>
          <w:w w:val="105"/>
        </w:rPr>
        <w:t>saranno</w:t>
      </w:r>
      <w:r>
        <w:rPr>
          <w:color w:val="231F20"/>
          <w:spacing w:val="-28"/>
          <w:w w:val="105"/>
        </w:rPr>
        <w:t> </w:t>
      </w:r>
      <w:r>
        <w:rPr>
          <w:color w:val="231F20"/>
          <w:w w:val="105"/>
        </w:rPr>
        <w:t>altri</w:t>
      </w:r>
      <w:r>
        <w:rPr>
          <w:color w:val="231F20"/>
          <w:spacing w:val="-28"/>
          <w:w w:val="105"/>
        </w:rPr>
        <w:t> </w:t>
      </w:r>
      <w:r>
        <w:rPr>
          <w:color w:val="231F20"/>
          <w:w w:val="105"/>
        </w:rPr>
        <w:t>“casi”</w:t>
      </w:r>
      <w:r>
        <w:rPr>
          <w:color w:val="231F20"/>
          <w:spacing w:val="-28"/>
          <w:w w:val="105"/>
        </w:rPr>
        <w:t> </w:t>
      </w:r>
      <w:r>
        <w:rPr>
          <w:color w:val="231F20"/>
          <w:w w:val="105"/>
        </w:rPr>
        <w:t>di modernità</w:t>
      </w:r>
      <w:r>
        <w:rPr>
          <w:color w:val="231F20"/>
          <w:spacing w:val="-29"/>
          <w:w w:val="105"/>
        </w:rPr>
        <w:t> </w:t>
      </w:r>
      <w:r>
        <w:rPr>
          <w:color w:val="231F20"/>
          <w:w w:val="105"/>
        </w:rPr>
        <w:t>dopo</w:t>
      </w:r>
      <w:r>
        <w:rPr>
          <w:color w:val="231F20"/>
          <w:spacing w:val="-29"/>
          <w:w w:val="105"/>
        </w:rPr>
        <w:t> </w:t>
      </w:r>
      <w:r>
        <w:rPr>
          <w:color w:val="231F20"/>
          <w:w w:val="105"/>
        </w:rPr>
        <w:t>il</w:t>
      </w:r>
      <w:r>
        <w:rPr>
          <w:color w:val="231F20"/>
          <w:spacing w:val="-29"/>
          <w:w w:val="105"/>
        </w:rPr>
        <w:t> </w:t>
      </w:r>
      <w:r>
        <w:rPr>
          <w:color w:val="231F20"/>
          <w:w w:val="105"/>
        </w:rPr>
        <w:t>post-moderno</w:t>
      </w:r>
      <w:r>
        <w:rPr>
          <w:color w:val="231F20"/>
          <w:spacing w:val="-29"/>
          <w:w w:val="105"/>
        </w:rPr>
        <w:t> </w:t>
      </w:r>
      <w:r>
        <w:rPr>
          <w:color w:val="231F20"/>
          <w:w w:val="105"/>
        </w:rPr>
        <w:t>o</w:t>
      </w:r>
      <w:r>
        <w:rPr>
          <w:color w:val="231F20"/>
          <w:spacing w:val="-29"/>
          <w:w w:val="105"/>
        </w:rPr>
        <w:t> </w:t>
      </w:r>
      <w:r>
        <w:rPr>
          <w:color w:val="231F20"/>
          <w:w w:val="105"/>
        </w:rPr>
        <w:t>dove</w:t>
      </w:r>
      <w:r>
        <w:rPr>
          <w:color w:val="231F20"/>
          <w:spacing w:val="-29"/>
          <w:w w:val="105"/>
        </w:rPr>
        <w:t> </w:t>
      </w:r>
      <w:r>
        <w:rPr>
          <w:color w:val="231F20"/>
          <w:w w:val="105"/>
        </w:rPr>
        <w:t>si</w:t>
      </w:r>
      <w:r>
        <w:rPr>
          <w:color w:val="231F20"/>
          <w:spacing w:val="-29"/>
          <w:w w:val="105"/>
        </w:rPr>
        <w:t> </w:t>
      </w:r>
      <w:r>
        <w:rPr>
          <w:color w:val="231F20"/>
          <w:w w:val="105"/>
        </w:rPr>
        <w:t>daranno</w:t>
      </w:r>
      <w:r>
        <w:rPr>
          <w:color w:val="231F20"/>
          <w:spacing w:val="-29"/>
          <w:w w:val="105"/>
        </w:rPr>
        <w:t> </w:t>
      </w:r>
      <w:r>
        <w:rPr>
          <w:color w:val="231F20"/>
          <w:w w:val="105"/>
        </w:rPr>
        <w:t>altri</w:t>
      </w:r>
      <w:r>
        <w:rPr>
          <w:color w:val="231F20"/>
          <w:spacing w:val="-29"/>
          <w:w w:val="105"/>
        </w:rPr>
        <w:t> </w:t>
      </w:r>
      <w:r>
        <w:rPr>
          <w:color w:val="231F20"/>
          <w:w w:val="105"/>
        </w:rPr>
        <w:t>luoghi</w:t>
      </w:r>
      <w:r>
        <w:rPr>
          <w:color w:val="231F20"/>
          <w:spacing w:val="-29"/>
          <w:w w:val="105"/>
        </w:rPr>
        <w:t> </w:t>
      </w:r>
      <w:r>
        <w:rPr>
          <w:color w:val="231F20"/>
          <w:w w:val="105"/>
        </w:rPr>
        <w:t>di</w:t>
      </w:r>
      <w:r>
        <w:rPr>
          <w:color w:val="231F20"/>
          <w:spacing w:val="-29"/>
          <w:w w:val="105"/>
        </w:rPr>
        <w:t> </w:t>
      </w:r>
      <w:r>
        <w:rPr>
          <w:color w:val="231F20"/>
          <w:w w:val="105"/>
        </w:rPr>
        <w:t>politicità. Certo</w:t>
      </w:r>
      <w:r>
        <w:rPr>
          <w:color w:val="231F20"/>
          <w:spacing w:val="-23"/>
          <w:w w:val="105"/>
        </w:rPr>
        <w:t> </w:t>
      </w:r>
      <w:r>
        <w:rPr>
          <w:color w:val="231F20"/>
          <w:w w:val="105"/>
        </w:rPr>
        <w:t>non</w:t>
      </w:r>
      <w:r>
        <w:rPr>
          <w:color w:val="231F20"/>
          <w:spacing w:val="-23"/>
          <w:w w:val="105"/>
        </w:rPr>
        <w:t> </w:t>
      </w:r>
      <w:r>
        <w:rPr>
          <w:color w:val="231F20"/>
          <w:w w:val="105"/>
        </w:rPr>
        <w:t>più</w:t>
      </w:r>
      <w:r>
        <w:rPr>
          <w:color w:val="231F20"/>
          <w:spacing w:val="-23"/>
          <w:w w:val="105"/>
        </w:rPr>
        <w:t> </w:t>
      </w:r>
      <w:r>
        <w:rPr>
          <w:color w:val="231F20"/>
          <w:w w:val="105"/>
        </w:rPr>
        <w:t>nello</w:t>
      </w:r>
      <w:r>
        <w:rPr>
          <w:color w:val="231F20"/>
          <w:spacing w:val="-23"/>
          <w:w w:val="105"/>
        </w:rPr>
        <w:t> </w:t>
      </w:r>
      <w:r>
        <w:rPr>
          <w:color w:val="231F20"/>
          <w:w w:val="105"/>
        </w:rPr>
        <w:t>Stato.</w:t>
      </w:r>
    </w:p>
    <w:p>
      <w:pPr>
        <w:pStyle w:val="BodyText"/>
        <w:spacing w:line="247" w:lineRule="auto"/>
        <w:ind w:left="103" w:right="111" w:firstLine="566"/>
        <w:jc w:val="both"/>
      </w:pPr>
      <w:r>
        <w:rPr>
          <w:color w:val="231F20"/>
        </w:rPr>
        <w:t>Il</w:t>
      </w:r>
      <w:r>
        <w:rPr>
          <w:color w:val="231F20"/>
          <w:spacing w:val="-5"/>
        </w:rPr>
        <w:t> </w:t>
      </w:r>
      <w:r>
        <w:rPr>
          <w:color w:val="231F20"/>
        </w:rPr>
        <w:t>destino</w:t>
      </w:r>
      <w:r>
        <w:rPr>
          <w:color w:val="231F20"/>
          <w:spacing w:val="-5"/>
        </w:rPr>
        <w:t> </w:t>
      </w:r>
      <w:r>
        <w:rPr>
          <w:color w:val="231F20"/>
        </w:rPr>
        <w:t>dello</w:t>
      </w:r>
      <w:r>
        <w:rPr>
          <w:color w:val="231F20"/>
          <w:spacing w:val="-5"/>
        </w:rPr>
        <w:t> </w:t>
      </w:r>
      <w:r>
        <w:rPr>
          <w:color w:val="231F20"/>
        </w:rPr>
        <w:t>Stato</w:t>
      </w:r>
      <w:r>
        <w:rPr>
          <w:color w:val="231F20"/>
          <w:spacing w:val="-5"/>
        </w:rPr>
        <w:t> </w:t>
      </w:r>
      <w:r>
        <w:rPr>
          <w:color w:val="231F20"/>
        </w:rPr>
        <w:t>—come</w:t>
      </w:r>
      <w:r>
        <w:rPr>
          <w:color w:val="231F20"/>
          <w:spacing w:val="-5"/>
        </w:rPr>
        <w:t> </w:t>
      </w:r>
      <w:r>
        <w:rPr>
          <w:color w:val="231F20"/>
        </w:rPr>
        <w:t>di</w:t>
      </w:r>
      <w:r>
        <w:rPr>
          <w:color w:val="231F20"/>
          <w:spacing w:val="-5"/>
        </w:rPr>
        <w:t> </w:t>
      </w:r>
      <w:r>
        <w:rPr>
          <w:color w:val="231F20"/>
        </w:rPr>
        <w:t>tutte</w:t>
      </w:r>
      <w:r>
        <w:rPr>
          <w:color w:val="231F20"/>
          <w:spacing w:val="-5"/>
        </w:rPr>
        <w:t> </w:t>
      </w:r>
      <w:r>
        <w:rPr>
          <w:color w:val="231F20"/>
        </w:rPr>
        <w:t>le</w:t>
      </w:r>
      <w:r>
        <w:rPr>
          <w:color w:val="231F20"/>
          <w:spacing w:val="-5"/>
        </w:rPr>
        <w:t> </w:t>
      </w:r>
      <w:r>
        <w:rPr>
          <w:color w:val="231F20"/>
        </w:rPr>
        <w:t>figure</w:t>
      </w:r>
      <w:r>
        <w:rPr>
          <w:color w:val="231F20"/>
          <w:spacing w:val="-5"/>
        </w:rPr>
        <w:t> </w:t>
      </w:r>
      <w:r>
        <w:rPr>
          <w:color w:val="231F20"/>
        </w:rPr>
        <w:t>organizzative</w:t>
      </w:r>
      <w:r>
        <w:rPr>
          <w:color w:val="231F20"/>
          <w:spacing w:val="-5"/>
        </w:rPr>
        <w:t> </w:t>
      </w:r>
      <w:r>
        <w:rPr>
          <w:color w:val="231F20"/>
        </w:rPr>
        <w:t>di</w:t>
      </w:r>
      <w:r>
        <w:rPr>
          <w:color w:val="231F20"/>
          <w:spacing w:val="-5"/>
        </w:rPr>
        <w:t> </w:t>
      </w:r>
      <w:r>
        <w:rPr>
          <w:color w:val="231F20"/>
        </w:rPr>
        <w:t>sé</w:t>
      </w:r>
      <w:r>
        <w:rPr>
          <w:color w:val="231F20"/>
          <w:spacing w:val="-5"/>
        </w:rPr>
        <w:t> </w:t>
      </w:r>
      <w:r>
        <w:rPr>
          <w:color w:val="231F20"/>
        </w:rPr>
        <w:t>che </w:t>
      </w:r>
      <w:r>
        <w:rPr>
          <w:color w:val="231F20"/>
          <w:spacing w:val="-4"/>
        </w:rPr>
        <w:t>l’umanità</w:t>
      </w:r>
      <w:r>
        <w:rPr>
          <w:color w:val="231F20"/>
          <w:spacing w:val="-18"/>
        </w:rPr>
        <w:t> </w:t>
      </w:r>
      <w:r>
        <w:rPr>
          <w:color w:val="231F20"/>
        </w:rPr>
        <w:t>si</w:t>
      </w:r>
      <w:r>
        <w:rPr>
          <w:color w:val="231F20"/>
          <w:spacing w:val="-18"/>
        </w:rPr>
        <w:t> </w:t>
      </w:r>
      <w:r>
        <w:rPr>
          <w:color w:val="231F20"/>
        </w:rPr>
        <w:t>è</w:t>
      </w:r>
      <w:r>
        <w:rPr>
          <w:color w:val="231F20"/>
          <w:spacing w:val="-18"/>
        </w:rPr>
        <w:t> </w:t>
      </w:r>
      <w:r>
        <w:rPr>
          <w:color w:val="231F20"/>
          <w:spacing w:val="-3"/>
        </w:rPr>
        <w:t>data</w:t>
      </w:r>
      <w:r>
        <w:rPr>
          <w:color w:val="231F20"/>
          <w:spacing w:val="-18"/>
        </w:rPr>
        <w:t> </w:t>
      </w:r>
      <w:r>
        <w:rPr>
          <w:color w:val="231F20"/>
          <w:spacing w:val="-3"/>
        </w:rPr>
        <w:t>nel</w:t>
      </w:r>
      <w:r>
        <w:rPr>
          <w:color w:val="231F20"/>
          <w:spacing w:val="-18"/>
        </w:rPr>
        <w:t> </w:t>
      </w:r>
      <w:r>
        <w:rPr>
          <w:color w:val="231F20"/>
          <w:spacing w:val="-4"/>
        </w:rPr>
        <w:t>corso</w:t>
      </w:r>
      <w:r>
        <w:rPr>
          <w:color w:val="231F20"/>
          <w:spacing w:val="-18"/>
        </w:rPr>
        <w:t> </w:t>
      </w:r>
      <w:r>
        <w:rPr>
          <w:color w:val="231F20"/>
          <w:spacing w:val="-3"/>
        </w:rPr>
        <w:t>della</w:t>
      </w:r>
      <w:r>
        <w:rPr>
          <w:color w:val="231F20"/>
          <w:spacing w:val="-18"/>
        </w:rPr>
        <w:t> </w:t>
      </w:r>
      <w:r>
        <w:rPr>
          <w:color w:val="231F20"/>
          <w:spacing w:val="-3"/>
        </w:rPr>
        <w:t>sua</w:t>
      </w:r>
      <w:r>
        <w:rPr>
          <w:color w:val="231F20"/>
          <w:spacing w:val="-18"/>
        </w:rPr>
        <w:t> </w:t>
      </w:r>
      <w:r>
        <w:rPr>
          <w:color w:val="231F20"/>
          <w:spacing w:val="-4"/>
        </w:rPr>
        <w:t>evoluzione—</w:t>
      </w:r>
      <w:r>
        <w:rPr>
          <w:color w:val="231F20"/>
          <w:spacing w:val="-18"/>
        </w:rPr>
        <w:t> </w:t>
      </w:r>
      <w:r>
        <w:rPr>
          <w:color w:val="231F20"/>
          <w:spacing w:val="-3"/>
        </w:rPr>
        <w:t>sarà</w:t>
      </w:r>
      <w:r>
        <w:rPr>
          <w:color w:val="231F20"/>
          <w:spacing w:val="-18"/>
        </w:rPr>
        <w:t> </w:t>
      </w:r>
      <w:r>
        <w:rPr>
          <w:color w:val="231F20"/>
        </w:rPr>
        <w:t>di</w:t>
      </w:r>
      <w:r>
        <w:rPr>
          <w:color w:val="231F20"/>
          <w:spacing w:val="-18"/>
        </w:rPr>
        <w:t> </w:t>
      </w:r>
      <w:r>
        <w:rPr>
          <w:color w:val="231F20"/>
          <w:spacing w:val="-4"/>
        </w:rPr>
        <w:t>confluire</w:t>
      </w:r>
      <w:r>
        <w:rPr>
          <w:color w:val="231F20"/>
          <w:spacing w:val="-18"/>
        </w:rPr>
        <w:t> </w:t>
      </w:r>
      <w:r>
        <w:rPr>
          <w:color w:val="231F20"/>
          <w:spacing w:val="-3"/>
        </w:rPr>
        <w:t>nel</w:t>
      </w:r>
      <w:r>
        <w:rPr>
          <w:color w:val="231F20"/>
          <w:spacing w:val="-18"/>
        </w:rPr>
        <w:t> </w:t>
      </w:r>
      <w:r>
        <w:rPr>
          <w:color w:val="231F20"/>
          <w:spacing w:val="-4"/>
        </w:rPr>
        <w:t>grande </w:t>
      </w:r>
      <w:r>
        <w:rPr>
          <w:color w:val="231F20"/>
        </w:rPr>
        <w:t>“deposito” dell’amministrazione che è stato, prima ancora della politica, lo specifico modo umano di porsi in comunità, cioè il primo e fondamentale “comune”. Se sia possibile scoprire e fare fruttare, nell’amministrazione, il rispetto</w:t>
      </w:r>
      <w:r>
        <w:rPr>
          <w:color w:val="231F20"/>
          <w:spacing w:val="-6"/>
        </w:rPr>
        <w:t> </w:t>
      </w:r>
      <w:r>
        <w:rPr>
          <w:color w:val="231F20"/>
        </w:rPr>
        <w:t>degli</w:t>
      </w:r>
      <w:r>
        <w:rPr>
          <w:color w:val="231F20"/>
          <w:spacing w:val="-6"/>
        </w:rPr>
        <w:t> </w:t>
      </w:r>
      <w:r>
        <w:rPr>
          <w:color w:val="231F20"/>
        </w:rPr>
        <w:t>esseri</w:t>
      </w:r>
      <w:r>
        <w:rPr>
          <w:color w:val="231F20"/>
          <w:spacing w:val="-6"/>
        </w:rPr>
        <w:t> </w:t>
      </w:r>
      <w:r>
        <w:rPr>
          <w:color w:val="231F20"/>
        </w:rPr>
        <w:t>umani</w:t>
      </w:r>
      <w:r>
        <w:rPr>
          <w:color w:val="231F20"/>
          <w:spacing w:val="-6"/>
        </w:rPr>
        <w:t> </w:t>
      </w:r>
      <w:r>
        <w:rPr>
          <w:color w:val="231F20"/>
        </w:rPr>
        <w:t>per</w:t>
      </w:r>
      <w:r>
        <w:rPr>
          <w:color w:val="231F20"/>
          <w:spacing w:val="-6"/>
        </w:rPr>
        <w:t> </w:t>
      </w:r>
      <w:r>
        <w:rPr>
          <w:color w:val="231F20"/>
        </w:rPr>
        <w:t>sé</w:t>
      </w:r>
      <w:r>
        <w:rPr>
          <w:color w:val="231F20"/>
          <w:spacing w:val="-6"/>
        </w:rPr>
        <w:t> </w:t>
      </w:r>
      <w:r>
        <w:rPr>
          <w:color w:val="231F20"/>
        </w:rPr>
        <w:t>stessi</w:t>
      </w:r>
      <w:r>
        <w:rPr>
          <w:color w:val="231F20"/>
          <w:spacing w:val="-6"/>
        </w:rPr>
        <w:t> </w:t>
      </w:r>
      <w:r>
        <w:rPr>
          <w:color w:val="231F20"/>
        </w:rPr>
        <w:t>e</w:t>
      </w:r>
      <w:r>
        <w:rPr>
          <w:color w:val="231F20"/>
          <w:spacing w:val="-6"/>
        </w:rPr>
        <w:t> </w:t>
      </w:r>
      <w:r>
        <w:rPr>
          <w:color w:val="231F20"/>
        </w:rPr>
        <w:t>per</w:t>
      </w:r>
      <w:r>
        <w:rPr>
          <w:color w:val="231F20"/>
          <w:spacing w:val="-6"/>
        </w:rPr>
        <w:t> </w:t>
      </w:r>
      <w:r>
        <w:rPr>
          <w:color w:val="231F20"/>
        </w:rPr>
        <w:t>gli</w:t>
      </w:r>
      <w:r>
        <w:rPr>
          <w:color w:val="231F20"/>
          <w:spacing w:val="-6"/>
        </w:rPr>
        <w:t> </w:t>
      </w:r>
      <w:r>
        <w:rPr>
          <w:color w:val="231F20"/>
        </w:rPr>
        <w:t>altri</w:t>
      </w:r>
      <w:r>
        <w:rPr>
          <w:color w:val="231F20"/>
          <w:spacing w:val="-5"/>
        </w:rPr>
        <w:t> </w:t>
      </w:r>
      <w:r>
        <w:rPr>
          <w:color w:val="231F20"/>
          <w:position w:val="7"/>
          <w:sz w:val="12"/>
        </w:rPr>
        <w:t>17</w:t>
      </w:r>
      <w:r>
        <w:rPr>
          <w:color w:val="231F20"/>
          <w:spacing w:val="22"/>
          <w:position w:val="7"/>
          <w:sz w:val="12"/>
        </w:rPr>
        <w:t> </w:t>
      </w:r>
      <w:r>
        <w:rPr>
          <w:color w:val="231F20"/>
        </w:rPr>
        <w:t>non</w:t>
      </w:r>
      <w:r>
        <w:rPr>
          <w:color w:val="231F20"/>
          <w:spacing w:val="-6"/>
        </w:rPr>
        <w:t> </w:t>
      </w:r>
      <w:r>
        <w:rPr>
          <w:color w:val="231F20"/>
        </w:rPr>
        <w:t>so</w:t>
      </w:r>
      <w:r>
        <w:rPr>
          <w:color w:val="231F20"/>
          <w:spacing w:val="-6"/>
        </w:rPr>
        <w:t> </w:t>
      </w:r>
      <w:r>
        <w:rPr>
          <w:color w:val="231F20"/>
        </w:rPr>
        <w:t>ma</w:t>
      </w:r>
      <w:r>
        <w:rPr>
          <w:color w:val="231F20"/>
          <w:spacing w:val="-6"/>
        </w:rPr>
        <w:t> </w:t>
      </w:r>
      <w:r>
        <w:rPr>
          <w:color w:val="231F20"/>
        </w:rPr>
        <w:t>lo</w:t>
      </w:r>
      <w:r>
        <w:rPr>
          <w:color w:val="231F20"/>
          <w:spacing w:val="-6"/>
        </w:rPr>
        <w:t> </w:t>
      </w:r>
      <w:r>
        <w:rPr>
          <w:color w:val="231F20"/>
        </w:rPr>
        <w:t>spero. Altrimenti il futuro sarà davvero dis-topico, come ci stanno ammonendo non da ora i </w:t>
      </w:r>
      <w:r>
        <w:rPr>
          <w:rFonts w:ascii="Arial" w:hAnsi="Arial"/>
          <w:i/>
          <w:color w:val="231F20"/>
        </w:rPr>
        <w:t>desperates </w:t>
      </w:r>
      <w:r>
        <w:rPr>
          <w:color w:val="231F20"/>
        </w:rPr>
        <w:t>di un </w:t>
      </w:r>
      <w:r>
        <w:rPr>
          <w:rFonts w:ascii="Arial" w:hAnsi="Arial"/>
          <w:i/>
          <w:color w:val="231F20"/>
        </w:rPr>
        <w:t>New brave world </w:t>
      </w:r>
      <w:r>
        <w:rPr>
          <w:color w:val="231F20"/>
          <w:position w:val="7"/>
          <w:sz w:val="12"/>
        </w:rPr>
        <w:t>18</w:t>
      </w:r>
      <w:r>
        <w:rPr>
          <w:color w:val="231F20"/>
        </w:rPr>
        <w:t>, o ci si dovrà limitare     a </w:t>
      </w:r>
      <w:r>
        <w:rPr>
          <w:color w:val="231F20"/>
          <w:spacing w:val="3"/>
        </w:rPr>
        <w:t>diagnosticare, </w:t>
      </w:r>
      <w:r>
        <w:rPr>
          <w:color w:val="231F20"/>
          <w:spacing w:val="2"/>
        </w:rPr>
        <w:t>con </w:t>
      </w:r>
      <w:r>
        <w:rPr>
          <w:color w:val="231F20"/>
          <w:spacing w:val="3"/>
        </w:rPr>
        <w:t>Anne–Marie </w:t>
      </w:r>
      <w:r>
        <w:rPr>
          <w:color w:val="231F20"/>
        </w:rPr>
        <w:t>Slaughter, </w:t>
      </w:r>
      <w:r>
        <w:rPr>
          <w:color w:val="231F20"/>
          <w:spacing w:val="3"/>
        </w:rPr>
        <w:t>l’apparire </w:t>
      </w:r>
      <w:r>
        <w:rPr>
          <w:color w:val="231F20"/>
        </w:rPr>
        <w:t>di </w:t>
      </w:r>
      <w:r>
        <w:rPr>
          <w:color w:val="231F20"/>
          <w:spacing w:val="2"/>
        </w:rPr>
        <w:t>una </w:t>
      </w:r>
      <w:r>
        <w:rPr>
          <w:color w:val="231F20"/>
          <w:spacing w:val="3"/>
        </w:rPr>
        <w:t>sorte </w:t>
      </w:r>
      <w:r>
        <w:rPr>
          <w:color w:val="231F20"/>
        </w:rPr>
        <w:t>di </w:t>
      </w:r>
      <w:r>
        <w:rPr>
          <w:rFonts w:ascii="Arial" w:hAnsi="Arial"/>
          <w:i/>
          <w:color w:val="231F20"/>
        </w:rPr>
        <w:t>disaggregate</w:t>
      </w:r>
      <w:r>
        <w:rPr>
          <w:rFonts w:ascii="Arial" w:hAnsi="Arial"/>
          <w:i/>
          <w:color w:val="231F20"/>
          <w:spacing w:val="-5"/>
        </w:rPr>
        <w:t> </w:t>
      </w:r>
      <w:r>
        <w:rPr>
          <w:rFonts w:ascii="Arial" w:hAnsi="Arial"/>
          <w:i/>
          <w:color w:val="231F20"/>
        </w:rPr>
        <w:t>State</w:t>
      </w:r>
      <w:r>
        <w:rPr>
          <w:color w:val="231F20"/>
        </w:rPr>
        <w:t>,</w:t>
      </w:r>
      <w:r>
        <w:rPr>
          <w:color w:val="231F20"/>
          <w:spacing w:val="-12"/>
        </w:rPr>
        <w:t> </w:t>
      </w:r>
      <w:r>
        <w:rPr>
          <w:color w:val="231F20"/>
        </w:rPr>
        <w:t>sospeso</w:t>
      </w:r>
      <w:r>
        <w:rPr>
          <w:color w:val="231F20"/>
          <w:spacing w:val="-12"/>
        </w:rPr>
        <w:t> </w:t>
      </w:r>
      <w:r>
        <w:rPr>
          <w:rFonts w:ascii="Arial" w:hAnsi="Arial"/>
          <w:i/>
          <w:color w:val="231F20"/>
        </w:rPr>
        <w:t>fra</w:t>
      </w:r>
      <w:r>
        <w:rPr>
          <w:rFonts w:ascii="Arial" w:hAnsi="Arial"/>
          <w:i/>
          <w:color w:val="231F20"/>
          <w:spacing w:val="-5"/>
        </w:rPr>
        <w:t> </w:t>
      </w:r>
      <w:r>
        <w:rPr>
          <w:rFonts w:ascii="Arial" w:hAnsi="Arial"/>
          <w:i/>
          <w:color w:val="231F20"/>
        </w:rPr>
        <w:t>governance</w:t>
      </w:r>
      <w:r>
        <w:rPr>
          <w:rFonts w:ascii="Arial" w:hAnsi="Arial"/>
          <w:i/>
          <w:color w:val="231F20"/>
          <w:spacing w:val="-5"/>
        </w:rPr>
        <w:t> </w:t>
      </w:r>
      <w:r>
        <w:rPr>
          <w:rFonts w:ascii="Arial" w:hAnsi="Arial"/>
          <w:i/>
          <w:color w:val="231F20"/>
        </w:rPr>
        <w:t>e</w:t>
      </w:r>
      <w:r>
        <w:rPr>
          <w:rFonts w:ascii="Arial" w:hAnsi="Arial"/>
          <w:i/>
          <w:color w:val="231F20"/>
          <w:spacing w:val="-5"/>
        </w:rPr>
        <w:t> </w:t>
      </w:r>
      <w:r>
        <w:rPr>
          <w:rFonts w:ascii="Arial" w:hAnsi="Arial"/>
          <w:i/>
          <w:color w:val="231F20"/>
        </w:rPr>
        <w:t>government</w:t>
      </w:r>
      <w:r>
        <w:rPr>
          <w:rFonts w:ascii="Arial" w:hAnsi="Arial"/>
          <w:i/>
          <w:color w:val="231F20"/>
          <w:spacing w:val="-2"/>
        </w:rPr>
        <w:t> </w:t>
      </w:r>
      <w:r>
        <w:rPr>
          <w:color w:val="231F20"/>
          <w:position w:val="7"/>
          <w:sz w:val="12"/>
        </w:rPr>
        <w:t>19</w:t>
      </w:r>
      <w:r>
        <w:rPr>
          <w:color w:val="231F20"/>
        </w:rPr>
        <w:t>.</w:t>
      </w:r>
      <w:r>
        <w:rPr>
          <w:color w:val="231F20"/>
          <w:spacing w:val="-12"/>
        </w:rPr>
        <w:t> </w:t>
      </w:r>
      <w:r>
        <w:rPr>
          <w:color w:val="231F20"/>
        </w:rPr>
        <w:t>I</w:t>
      </w:r>
      <w:r>
        <w:rPr>
          <w:color w:val="231F20"/>
          <w:spacing w:val="-12"/>
        </w:rPr>
        <w:t> </w:t>
      </w:r>
      <w:r>
        <w:rPr>
          <w:color w:val="231F20"/>
        </w:rPr>
        <w:t>più</w:t>
      </w:r>
      <w:r>
        <w:rPr>
          <w:color w:val="231F20"/>
          <w:spacing w:val="-12"/>
        </w:rPr>
        <w:t> </w:t>
      </w:r>
      <w:r>
        <w:rPr>
          <w:color w:val="231F20"/>
        </w:rPr>
        <w:t>ottimisti richiamano l’attenzione sui “punti nodali”, suggerendo ad esempio che “Il disfarsi</w:t>
      </w:r>
      <w:r>
        <w:rPr>
          <w:color w:val="231F20"/>
          <w:spacing w:val="-8"/>
        </w:rPr>
        <w:t> </w:t>
      </w:r>
      <w:r>
        <w:rPr>
          <w:color w:val="231F20"/>
        </w:rPr>
        <w:t>della</w:t>
      </w:r>
      <w:r>
        <w:rPr>
          <w:color w:val="231F20"/>
          <w:spacing w:val="-8"/>
        </w:rPr>
        <w:t> </w:t>
      </w:r>
      <w:r>
        <w:rPr>
          <w:color w:val="231F20"/>
        </w:rPr>
        <w:t>problematica</w:t>
      </w:r>
      <w:r>
        <w:rPr>
          <w:color w:val="231F20"/>
          <w:spacing w:val="-8"/>
        </w:rPr>
        <w:t> </w:t>
      </w:r>
      <w:r>
        <w:rPr>
          <w:color w:val="231F20"/>
        </w:rPr>
        <w:t>solidarietà</w:t>
      </w:r>
      <w:r>
        <w:rPr>
          <w:color w:val="231F20"/>
          <w:spacing w:val="-8"/>
        </w:rPr>
        <w:t> </w:t>
      </w:r>
      <w:r>
        <w:rPr>
          <w:color w:val="231F20"/>
        </w:rPr>
        <w:t>fra</w:t>
      </w:r>
      <w:r>
        <w:rPr>
          <w:color w:val="231F20"/>
          <w:spacing w:val="-8"/>
        </w:rPr>
        <w:t> </w:t>
      </w:r>
      <w:r>
        <w:rPr>
          <w:color w:val="231F20"/>
        </w:rPr>
        <w:t>“spirito</w:t>
      </w:r>
      <w:r>
        <w:rPr>
          <w:color w:val="231F20"/>
          <w:spacing w:val="-8"/>
        </w:rPr>
        <w:t> </w:t>
      </w:r>
      <w:r>
        <w:rPr>
          <w:color w:val="231F20"/>
        </w:rPr>
        <w:t>del</w:t>
      </w:r>
      <w:r>
        <w:rPr>
          <w:color w:val="231F20"/>
          <w:spacing w:val="-8"/>
        </w:rPr>
        <w:t> </w:t>
      </w:r>
      <w:r>
        <w:rPr>
          <w:color w:val="231F20"/>
        </w:rPr>
        <w:t>capitalismo”,</w:t>
      </w:r>
      <w:r>
        <w:rPr>
          <w:color w:val="231F20"/>
          <w:spacing w:val="-8"/>
        </w:rPr>
        <w:t> </w:t>
      </w:r>
      <w:r>
        <w:rPr>
          <w:color w:val="231F20"/>
        </w:rPr>
        <w:t>liberismo economico e Stato–nazione (nella sua forma</w:t>
      </w:r>
      <w:r>
        <w:rPr>
          <w:color w:val="231F20"/>
          <w:spacing w:val="-32"/>
        </w:rPr>
        <w:t> </w:t>
      </w:r>
      <w:r>
        <w:rPr>
          <w:color w:val="231F20"/>
        </w:rPr>
        <w:t>democratico–rappresentativa) è l’aspetto cruciale della linea nodale che stiamo attraversando” </w:t>
      </w:r>
      <w:r>
        <w:rPr>
          <w:color w:val="231F20"/>
          <w:position w:val="7"/>
          <w:sz w:val="12"/>
        </w:rPr>
        <w:t>20</w:t>
      </w:r>
      <w:r>
        <w:rPr>
          <w:color w:val="231F20"/>
        </w:rPr>
        <w:t>. Ma </w:t>
      </w:r>
      <w:r>
        <w:rPr>
          <w:color w:val="231F20"/>
          <w:spacing w:val="-3"/>
        </w:rPr>
        <w:t>mentre</w:t>
      </w:r>
      <w:r>
        <w:rPr>
          <w:color w:val="231F20"/>
          <w:spacing w:val="-21"/>
        </w:rPr>
        <w:t> </w:t>
      </w:r>
      <w:r>
        <w:rPr>
          <w:color w:val="231F20"/>
        </w:rPr>
        <w:t>la</w:t>
      </w:r>
      <w:r>
        <w:rPr>
          <w:color w:val="231F20"/>
          <w:spacing w:val="-21"/>
        </w:rPr>
        <w:t> </w:t>
      </w:r>
      <w:r>
        <w:rPr>
          <w:color w:val="231F20"/>
        </w:rPr>
        <w:t>linea</w:t>
      </w:r>
      <w:r>
        <w:rPr>
          <w:color w:val="231F20"/>
          <w:spacing w:val="-21"/>
        </w:rPr>
        <w:t> </w:t>
      </w:r>
      <w:r>
        <w:rPr>
          <w:color w:val="231F20"/>
        </w:rPr>
        <w:t>monta,</w:t>
      </w:r>
      <w:r>
        <w:rPr>
          <w:color w:val="231F20"/>
          <w:spacing w:val="-21"/>
        </w:rPr>
        <w:t> </w:t>
      </w:r>
      <w:r>
        <w:rPr>
          <w:color w:val="231F20"/>
        </w:rPr>
        <w:t>s’inventano</w:t>
      </w:r>
      <w:r>
        <w:rPr>
          <w:color w:val="231F20"/>
          <w:spacing w:val="-21"/>
        </w:rPr>
        <w:t> </w:t>
      </w:r>
      <w:r>
        <w:rPr>
          <w:color w:val="231F20"/>
          <w:spacing w:val="-3"/>
        </w:rPr>
        <w:t>sempre</w:t>
      </w:r>
      <w:r>
        <w:rPr>
          <w:color w:val="231F20"/>
          <w:spacing w:val="-21"/>
        </w:rPr>
        <w:t> </w:t>
      </w:r>
      <w:r>
        <w:rPr>
          <w:color w:val="231F20"/>
        </w:rPr>
        <w:t>modi</w:t>
      </w:r>
      <w:r>
        <w:rPr>
          <w:color w:val="231F20"/>
          <w:spacing w:val="-21"/>
        </w:rPr>
        <w:t> </w:t>
      </w:r>
      <w:r>
        <w:rPr>
          <w:color w:val="231F20"/>
        </w:rPr>
        <w:t>nuovi</w:t>
      </w:r>
      <w:r>
        <w:rPr>
          <w:color w:val="231F20"/>
          <w:spacing w:val="-21"/>
        </w:rPr>
        <w:t> </w:t>
      </w:r>
      <w:r>
        <w:rPr>
          <w:color w:val="231F20"/>
        </w:rPr>
        <w:t>per</w:t>
      </w:r>
      <w:r>
        <w:rPr>
          <w:color w:val="231F20"/>
          <w:spacing w:val="-21"/>
        </w:rPr>
        <w:t> </w:t>
      </w:r>
      <w:r>
        <w:rPr>
          <w:color w:val="231F20"/>
        </w:rPr>
        <w:t>spostarne</w:t>
      </w:r>
      <w:r>
        <w:rPr>
          <w:color w:val="231F20"/>
          <w:spacing w:val="-21"/>
        </w:rPr>
        <w:t> </w:t>
      </w:r>
      <w:r>
        <w:rPr>
          <w:color w:val="231F20"/>
        </w:rPr>
        <w:t>il</w:t>
      </w:r>
      <w:r>
        <w:rPr>
          <w:color w:val="231F20"/>
          <w:spacing w:val="-21"/>
        </w:rPr>
        <w:t> </w:t>
      </w:r>
      <w:r>
        <w:rPr>
          <w:color w:val="231F20"/>
        </w:rPr>
        <w:t>fuoco e mimetizzare i soggetti che dovrebbero venirne</w:t>
      </w:r>
      <w:r>
        <w:rPr>
          <w:color w:val="231F20"/>
          <w:spacing w:val="46"/>
        </w:rPr>
        <w:t> </w:t>
      </w:r>
      <w:r>
        <w:rPr>
          <w:color w:val="231F20"/>
        </w:rPr>
        <w:t>colpiti.</w:t>
      </w:r>
    </w:p>
    <w:p>
      <w:pPr>
        <w:pStyle w:val="BodyText"/>
        <w:spacing w:line="247" w:lineRule="auto"/>
        <w:ind w:left="103" w:right="112"/>
        <w:jc w:val="both"/>
      </w:pPr>
      <w:r>
        <w:rPr>
          <w:color w:val="231F20"/>
        </w:rPr>
        <w:t>Lo</w:t>
      </w:r>
      <w:r>
        <w:rPr>
          <w:color w:val="231F20"/>
          <w:spacing w:val="-12"/>
        </w:rPr>
        <w:t> </w:t>
      </w:r>
      <w:r>
        <w:rPr>
          <w:color w:val="231F20"/>
          <w:spacing w:val="-3"/>
        </w:rPr>
        <w:t>Stato,</w:t>
      </w:r>
      <w:r>
        <w:rPr>
          <w:color w:val="231F20"/>
          <w:spacing w:val="-12"/>
        </w:rPr>
        <w:t> </w:t>
      </w:r>
      <w:r>
        <w:rPr>
          <w:color w:val="231F20"/>
          <w:spacing w:val="-3"/>
        </w:rPr>
        <w:t>come</w:t>
      </w:r>
      <w:r>
        <w:rPr>
          <w:color w:val="231F20"/>
          <w:spacing w:val="-12"/>
        </w:rPr>
        <w:t> </w:t>
      </w:r>
      <w:r>
        <w:rPr>
          <w:color w:val="231F20"/>
          <w:spacing w:val="-3"/>
        </w:rPr>
        <w:t>siamo</w:t>
      </w:r>
      <w:r>
        <w:rPr>
          <w:color w:val="231F20"/>
          <w:spacing w:val="-12"/>
        </w:rPr>
        <w:t> </w:t>
      </w:r>
      <w:r>
        <w:rPr>
          <w:color w:val="231F20"/>
          <w:spacing w:val="-3"/>
        </w:rPr>
        <w:t>abituati</w:t>
      </w:r>
      <w:r>
        <w:rPr>
          <w:color w:val="231F20"/>
          <w:spacing w:val="-12"/>
        </w:rPr>
        <w:t> </w:t>
      </w:r>
      <w:r>
        <w:rPr>
          <w:color w:val="231F20"/>
        </w:rPr>
        <w:t>a</w:t>
      </w:r>
      <w:r>
        <w:rPr>
          <w:color w:val="231F20"/>
          <w:spacing w:val="-12"/>
        </w:rPr>
        <w:t> </w:t>
      </w:r>
      <w:r>
        <w:rPr>
          <w:color w:val="231F20"/>
          <w:spacing w:val="-3"/>
        </w:rPr>
        <w:t>conoscerlo</w:t>
      </w:r>
      <w:r>
        <w:rPr>
          <w:color w:val="231F20"/>
          <w:spacing w:val="-12"/>
        </w:rPr>
        <w:t> </w:t>
      </w:r>
      <w:r>
        <w:rPr>
          <w:color w:val="231F20"/>
        </w:rPr>
        <w:t>noi</w:t>
      </w:r>
      <w:r>
        <w:rPr>
          <w:color w:val="231F20"/>
          <w:spacing w:val="-12"/>
        </w:rPr>
        <w:t> </w:t>
      </w:r>
      <w:r>
        <w:rPr>
          <w:color w:val="231F20"/>
          <w:spacing w:val="-3"/>
        </w:rPr>
        <w:t>oggi,</w:t>
      </w:r>
      <w:r>
        <w:rPr>
          <w:color w:val="231F20"/>
          <w:spacing w:val="-12"/>
        </w:rPr>
        <w:t> </w:t>
      </w:r>
      <w:r>
        <w:rPr>
          <w:color w:val="231F20"/>
          <w:spacing w:val="-4"/>
        </w:rPr>
        <w:t>presenta</w:t>
      </w:r>
      <w:r>
        <w:rPr>
          <w:color w:val="231F20"/>
          <w:spacing w:val="-12"/>
        </w:rPr>
        <w:t> </w:t>
      </w:r>
      <w:r>
        <w:rPr>
          <w:color w:val="231F20"/>
        </w:rPr>
        <w:t>un</w:t>
      </w:r>
      <w:r>
        <w:rPr>
          <w:color w:val="231F20"/>
          <w:spacing w:val="-12"/>
        </w:rPr>
        <w:t> </w:t>
      </w:r>
      <w:r>
        <w:rPr>
          <w:color w:val="231F20"/>
          <w:spacing w:val="-4"/>
        </w:rPr>
        <w:t>altro</w:t>
      </w:r>
      <w:r>
        <w:rPr>
          <w:color w:val="231F20"/>
          <w:spacing w:val="-12"/>
        </w:rPr>
        <w:t> </w:t>
      </w:r>
      <w:r>
        <w:rPr>
          <w:color w:val="231F20"/>
          <w:spacing w:val="-3"/>
        </w:rPr>
        <w:t>vincolo </w:t>
      </w:r>
      <w:r>
        <w:rPr>
          <w:color w:val="231F20"/>
        </w:rPr>
        <w:t>che sembra indissolubile, oltre a quello con la storia: è quello con il diritto. Lo</w:t>
      </w:r>
      <w:r>
        <w:rPr>
          <w:color w:val="231F20"/>
          <w:spacing w:val="-4"/>
        </w:rPr>
        <w:t> </w:t>
      </w:r>
      <w:r>
        <w:rPr>
          <w:color w:val="231F20"/>
        </w:rPr>
        <w:t>Stato</w:t>
      </w:r>
      <w:r>
        <w:rPr>
          <w:color w:val="231F20"/>
          <w:spacing w:val="-4"/>
        </w:rPr>
        <w:t> </w:t>
      </w:r>
      <w:r>
        <w:rPr>
          <w:color w:val="231F20"/>
        </w:rPr>
        <w:t>è</w:t>
      </w:r>
      <w:r>
        <w:rPr>
          <w:color w:val="231F20"/>
          <w:spacing w:val="-4"/>
        </w:rPr>
        <w:t> </w:t>
      </w:r>
      <w:r>
        <w:rPr>
          <w:color w:val="231F20"/>
        </w:rPr>
        <w:t>il</w:t>
      </w:r>
      <w:r>
        <w:rPr>
          <w:color w:val="231F20"/>
          <w:spacing w:val="-4"/>
        </w:rPr>
        <w:t> </w:t>
      </w:r>
      <w:r>
        <w:rPr>
          <w:color w:val="231F20"/>
        </w:rPr>
        <w:t>luogo</w:t>
      </w:r>
      <w:r>
        <w:rPr>
          <w:color w:val="231F20"/>
          <w:spacing w:val="-4"/>
        </w:rPr>
        <w:t> </w:t>
      </w:r>
      <w:r>
        <w:rPr>
          <w:color w:val="231F20"/>
        </w:rPr>
        <w:t>del</w:t>
      </w:r>
      <w:r>
        <w:rPr>
          <w:color w:val="231F20"/>
          <w:spacing w:val="-4"/>
        </w:rPr>
        <w:t> </w:t>
      </w:r>
      <w:r>
        <w:rPr>
          <w:color w:val="231F20"/>
        </w:rPr>
        <w:t>diritto</w:t>
      </w:r>
      <w:r>
        <w:rPr>
          <w:color w:val="231F20"/>
          <w:spacing w:val="-4"/>
        </w:rPr>
        <w:t> </w:t>
      </w:r>
      <w:r>
        <w:rPr>
          <w:color w:val="231F20"/>
        </w:rPr>
        <w:t>e</w:t>
      </w:r>
      <w:r>
        <w:rPr>
          <w:color w:val="231F20"/>
          <w:spacing w:val="-4"/>
        </w:rPr>
        <w:t> </w:t>
      </w:r>
      <w:r>
        <w:rPr>
          <w:color w:val="231F20"/>
        </w:rPr>
        <w:t>il</w:t>
      </w:r>
      <w:r>
        <w:rPr>
          <w:color w:val="231F20"/>
          <w:spacing w:val="-4"/>
        </w:rPr>
        <w:t> </w:t>
      </w:r>
      <w:r>
        <w:rPr>
          <w:color w:val="231F20"/>
        </w:rPr>
        <w:t>diritto</w:t>
      </w:r>
      <w:r>
        <w:rPr>
          <w:color w:val="231F20"/>
          <w:spacing w:val="-4"/>
        </w:rPr>
        <w:t> </w:t>
      </w:r>
      <w:r>
        <w:rPr>
          <w:color w:val="231F20"/>
        </w:rPr>
        <w:t>è</w:t>
      </w:r>
      <w:r>
        <w:rPr>
          <w:color w:val="231F20"/>
          <w:spacing w:val="-4"/>
        </w:rPr>
        <w:t> </w:t>
      </w:r>
      <w:r>
        <w:rPr>
          <w:color w:val="231F20"/>
        </w:rPr>
        <w:t>il</w:t>
      </w:r>
      <w:r>
        <w:rPr>
          <w:color w:val="231F20"/>
          <w:spacing w:val="-4"/>
        </w:rPr>
        <w:t> </w:t>
      </w:r>
      <w:r>
        <w:rPr>
          <w:color w:val="231F20"/>
        </w:rPr>
        <w:t>luogo</w:t>
      </w:r>
      <w:r>
        <w:rPr>
          <w:color w:val="231F20"/>
          <w:spacing w:val="-4"/>
        </w:rPr>
        <w:t> </w:t>
      </w:r>
      <w:r>
        <w:rPr>
          <w:color w:val="231F20"/>
        </w:rPr>
        <w:t>dello</w:t>
      </w:r>
      <w:r>
        <w:rPr>
          <w:color w:val="231F20"/>
          <w:spacing w:val="-4"/>
        </w:rPr>
        <w:t> </w:t>
      </w:r>
      <w:r>
        <w:rPr>
          <w:color w:val="231F20"/>
        </w:rPr>
        <w:t>Stato.</w:t>
      </w:r>
      <w:r>
        <w:rPr>
          <w:color w:val="231F20"/>
          <w:spacing w:val="-4"/>
        </w:rPr>
        <w:t> </w:t>
      </w:r>
      <w:r>
        <w:rPr>
          <w:color w:val="231F20"/>
        </w:rPr>
        <w:t>Unico</w:t>
      </w:r>
      <w:r>
        <w:rPr>
          <w:color w:val="231F20"/>
          <w:spacing w:val="-4"/>
        </w:rPr>
        <w:t> </w:t>
      </w:r>
      <w:r>
        <w:rPr>
          <w:color w:val="231F20"/>
        </w:rPr>
        <w:t>diritto</w:t>
      </w:r>
      <w:r>
        <w:rPr>
          <w:color w:val="231F20"/>
          <w:spacing w:val="-4"/>
        </w:rPr>
        <w:t> </w:t>
      </w:r>
      <w:r>
        <w:rPr>
          <w:color w:val="231F20"/>
        </w:rPr>
        <w:t>è quello</w:t>
      </w:r>
      <w:r>
        <w:rPr>
          <w:color w:val="231F20"/>
          <w:spacing w:val="-18"/>
        </w:rPr>
        <w:t> </w:t>
      </w:r>
      <w:r>
        <w:rPr>
          <w:color w:val="231F20"/>
        </w:rPr>
        <w:t>dello</w:t>
      </w:r>
      <w:r>
        <w:rPr>
          <w:color w:val="231F20"/>
          <w:spacing w:val="-18"/>
        </w:rPr>
        <w:t> </w:t>
      </w:r>
      <w:r>
        <w:rPr>
          <w:color w:val="231F20"/>
        </w:rPr>
        <w:t>Stato</w:t>
      </w:r>
      <w:r>
        <w:rPr>
          <w:color w:val="231F20"/>
          <w:spacing w:val="-18"/>
        </w:rPr>
        <w:t> </w:t>
      </w:r>
      <w:r>
        <w:rPr>
          <w:color w:val="231F20"/>
        </w:rPr>
        <w:t>e</w:t>
      </w:r>
      <w:r>
        <w:rPr>
          <w:color w:val="231F20"/>
          <w:spacing w:val="-18"/>
        </w:rPr>
        <w:t> </w:t>
      </w:r>
      <w:r>
        <w:rPr>
          <w:color w:val="231F20"/>
        </w:rPr>
        <w:t>unico</w:t>
      </w:r>
      <w:r>
        <w:rPr>
          <w:color w:val="231F20"/>
          <w:spacing w:val="-18"/>
        </w:rPr>
        <w:t> </w:t>
      </w:r>
      <w:r>
        <w:rPr>
          <w:color w:val="231F20"/>
        </w:rPr>
        <w:t>Stato</w:t>
      </w:r>
      <w:r>
        <w:rPr>
          <w:color w:val="231F20"/>
          <w:spacing w:val="-18"/>
        </w:rPr>
        <w:t> </w:t>
      </w:r>
      <w:r>
        <w:rPr>
          <w:color w:val="231F20"/>
        </w:rPr>
        <w:t>è</w:t>
      </w:r>
      <w:r>
        <w:rPr>
          <w:color w:val="231F20"/>
          <w:spacing w:val="-18"/>
        </w:rPr>
        <w:t> </w:t>
      </w:r>
      <w:r>
        <w:rPr>
          <w:color w:val="231F20"/>
        </w:rPr>
        <w:t>quello</w:t>
      </w:r>
      <w:r>
        <w:rPr>
          <w:color w:val="231F20"/>
          <w:spacing w:val="-18"/>
        </w:rPr>
        <w:t> </w:t>
      </w:r>
      <w:r>
        <w:rPr>
          <w:color w:val="231F20"/>
        </w:rPr>
        <w:t>di</w:t>
      </w:r>
      <w:r>
        <w:rPr>
          <w:color w:val="231F20"/>
          <w:spacing w:val="-18"/>
        </w:rPr>
        <w:t> </w:t>
      </w:r>
      <w:r>
        <w:rPr>
          <w:color w:val="231F20"/>
        </w:rPr>
        <w:t>diritto.</w:t>
      </w:r>
      <w:r>
        <w:rPr>
          <w:color w:val="231F20"/>
          <w:spacing w:val="-18"/>
        </w:rPr>
        <w:t> </w:t>
      </w:r>
      <w:r>
        <w:rPr>
          <w:color w:val="231F20"/>
        </w:rPr>
        <w:t>Vista</w:t>
      </w:r>
      <w:r>
        <w:rPr>
          <w:color w:val="231F20"/>
          <w:spacing w:val="-18"/>
        </w:rPr>
        <w:t> </w:t>
      </w:r>
      <w:r>
        <w:rPr>
          <w:color w:val="231F20"/>
        </w:rPr>
        <w:t>storicamente,</w:t>
      </w:r>
      <w:r>
        <w:rPr>
          <w:color w:val="231F20"/>
          <w:spacing w:val="-18"/>
        </w:rPr>
        <w:t> </w:t>
      </w:r>
      <w:r>
        <w:rPr>
          <w:color w:val="231F20"/>
          <w:spacing w:val="-2"/>
        </w:rPr>
        <w:t>questa</w:t>
      </w:r>
    </w:p>
    <w:p>
      <w:pPr>
        <w:pStyle w:val="BodyText"/>
        <w:rPr>
          <w:sz w:val="20"/>
        </w:rPr>
      </w:pPr>
    </w:p>
    <w:p>
      <w:pPr>
        <w:pStyle w:val="BodyText"/>
        <w:spacing w:before="10"/>
        <w:rPr>
          <w:sz w:val="10"/>
        </w:rPr>
      </w:pPr>
      <w:r>
        <w:rPr/>
        <w:pict>
          <v:line style="position:absolute;mso-position-horizontal-relative:page;mso-position-vertical-relative:paragraph;z-index:12448;mso-wrap-distance-left:0;mso-wrap-distance-right:0" from="65.196899pt,8.636672pt" to="178.582899pt,8.636672pt" stroked="true" strokeweight=".3pt" strokecolor="#231f20">
            <w10:wrap type="topAndBottom"/>
          </v:line>
        </w:pict>
      </w:r>
    </w:p>
    <w:p>
      <w:pPr>
        <w:spacing w:line="204" w:lineRule="exact" w:before="9"/>
        <w:ind w:left="103" w:right="20" w:firstLine="0"/>
        <w:jc w:val="left"/>
        <w:rPr>
          <w:rFonts w:ascii="Calibri" w:hAnsi="Calibri"/>
          <w:sz w:val="17"/>
        </w:rPr>
      </w:pPr>
      <w:r>
        <w:rPr>
          <w:rFonts w:ascii="Calibri" w:hAnsi="Calibri"/>
          <w:color w:val="231F20"/>
          <w:position w:val="6"/>
          <w:sz w:val="10"/>
        </w:rPr>
        <w:t>17 </w:t>
      </w:r>
      <w:r>
        <w:rPr>
          <w:rFonts w:ascii="Calibri" w:hAnsi="Calibri"/>
          <w:color w:val="231F20"/>
          <w:sz w:val="17"/>
        </w:rPr>
        <w:t>L. Duguit, “Jean–Jacques Rousseau, Kant e Hegel”, </w:t>
      </w:r>
      <w:r>
        <w:rPr>
          <w:rFonts w:ascii="Calibri" w:hAnsi="Calibri"/>
          <w:i/>
          <w:color w:val="231F20"/>
          <w:sz w:val="17"/>
        </w:rPr>
        <w:t>Revue de droit public et de la science politique en </w:t>
      </w:r>
      <w:r>
        <w:rPr>
          <w:rFonts w:ascii="Calibri" w:hAnsi="Calibri"/>
          <w:i/>
          <w:color w:val="231F20"/>
          <w:w w:val="95"/>
          <w:sz w:val="17"/>
        </w:rPr>
        <w:t>France et à l’étranger</w:t>
      </w:r>
      <w:r>
        <w:rPr>
          <w:rFonts w:ascii="Calibri" w:hAnsi="Calibri"/>
          <w:color w:val="231F20"/>
          <w:w w:val="95"/>
          <w:sz w:val="17"/>
        </w:rPr>
        <w:t>, 2–3, avril–septembre 1918, pp. 173–211, 325–377.</w:t>
      </w:r>
    </w:p>
    <w:p>
      <w:pPr>
        <w:spacing w:line="206" w:lineRule="exact" w:before="1"/>
        <w:ind w:left="103" w:right="0" w:firstLine="0"/>
        <w:jc w:val="left"/>
        <w:rPr>
          <w:rFonts w:ascii="Calibri"/>
          <w:sz w:val="17"/>
        </w:rPr>
      </w:pPr>
      <w:r>
        <w:rPr>
          <w:rFonts w:ascii="Calibri"/>
          <w:color w:val="231F20"/>
          <w:position w:val="6"/>
          <w:sz w:val="10"/>
        </w:rPr>
        <w:t>18 </w:t>
      </w:r>
      <w:r>
        <w:rPr>
          <w:rFonts w:ascii="Calibri"/>
          <w:color w:val="231F20"/>
          <w:sz w:val="17"/>
        </w:rPr>
        <w:t>A. Huxley, </w:t>
      </w:r>
      <w:r>
        <w:rPr>
          <w:rFonts w:ascii="Calibri"/>
          <w:i/>
          <w:color w:val="231F20"/>
          <w:sz w:val="17"/>
        </w:rPr>
        <w:t>Brave New world </w:t>
      </w:r>
      <w:r>
        <w:rPr>
          <w:rFonts w:ascii="Calibri"/>
          <w:color w:val="231F20"/>
          <w:sz w:val="17"/>
        </w:rPr>
        <w:t>(1932) y </w:t>
      </w:r>
      <w:r>
        <w:rPr>
          <w:rFonts w:ascii="Calibri"/>
          <w:i/>
          <w:color w:val="231F20"/>
          <w:sz w:val="17"/>
        </w:rPr>
        <w:t>Brave new world revisited </w:t>
      </w:r>
      <w:r>
        <w:rPr>
          <w:rFonts w:ascii="Calibri"/>
          <w:color w:val="231F20"/>
          <w:sz w:val="17"/>
        </w:rPr>
        <w:t>(1958).</w:t>
      </w:r>
    </w:p>
    <w:p>
      <w:pPr>
        <w:spacing w:line="204" w:lineRule="exact" w:before="0"/>
        <w:ind w:left="103" w:right="0" w:firstLine="0"/>
        <w:jc w:val="left"/>
        <w:rPr>
          <w:rFonts w:ascii="Calibri"/>
          <w:sz w:val="17"/>
        </w:rPr>
      </w:pPr>
      <w:r>
        <w:rPr>
          <w:rFonts w:ascii="Calibri"/>
          <w:color w:val="231F20"/>
          <w:position w:val="6"/>
          <w:sz w:val="10"/>
        </w:rPr>
        <w:t>19  </w:t>
      </w:r>
      <w:r>
        <w:rPr>
          <w:rFonts w:ascii="Calibri"/>
          <w:color w:val="231F20"/>
          <w:sz w:val="17"/>
        </w:rPr>
        <w:t>A.M. Slaughter, </w:t>
      </w:r>
      <w:r>
        <w:rPr>
          <w:rFonts w:ascii="Calibri"/>
          <w:i/>
          <w:color w:val="231F20"/>
          <w:sz w:val="17"/>
        </w:rPr>
        <w:t>A new world order</w:t>
      </w:r>
      <w:r>
        <w:rPr>
          <w:rFonts w:ascii="Calibri"/>
          <w:color w:val="231F20"/>
          <w:sz w:val="17"/>
        </w:rPr>
        <w:t>, Princeton, N.J., Princeton University Press, 2004.</w:t>
      </w:r>
    </w:p>
    <w:p>
      <w:pPr>
        <w:spacing w:line="206" w:lineRule="exact" w:before="0"/>
        <w:ind w:left="103" w:right="0" w:firstLine="0"/>
        <w:jc w:val="left"/>
        <w:rPr>
          <w:rFonts w:ascii="Calibri"/>
          <w:sz w:val="17"/>
        </w:rPr>
      </w:pPr>
      <w:r>
        <w:rPr>
          <w:rFonts w:ascii="Calibri"/>
          <w:color w:val="231F20"/>
          <w:position w:val="6"/>
          <w:sz w:val="10"/>
        </w:rPr>
        <w:t>20 </w:t>
      </w:r>
      <w:r>
        <w:rPr>
          <w:rFonts w:ascii="Calibri"/>
          <w:color w:val="231F20"/>
          <w:sz w:val="17"/>
        </w:rPr>
        <w:t>M. Pezzella, </w:t>
      </w:r>
      <w:r>
        <w:rPr>
          <w:rFonts w:ascii="Calibri"/>
          <w:i/>
          <w:color w:val="231F20"/>
          <w:sz w:val="17"/>
        </w:rPr>
        <w:t>Insorgenze</w:t>
      </w:r>
      <w:r>
        <w:rPr>
          <w:rFonts w:ascii="Calibri"/>
          <w:color w:val="231F20"/>
          <w:sz w:val="17"/>
        </w:rPr>
        <w:t>, Milano, Jaca book, 2014, p. 24.</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sz w:val="16"/>
        </w:rPr>
      </w:pPr>
      <w:r>
        <w:rPr/>
        <w:pict>
          <v:group style="position:absolute;margin-left:98.079102pt;margin-top:-3.358812pt;width:20.4pt;height:43pt;mso-position-horizontal-relative:page;mso-position-vertical-relative:paragraph;z-index:-162928"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92</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991"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288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28"/>
          <w:sz w:val="14"/>
        </w:rPr>
        <w:t> </w:t>
      </w:r>
      <w:r>
        <w:rPr>
          <w:rFonts w:ascii="Lucida Sans Unicode" w:hAnsi="Lucida Sans Unicode"/>
          <w:color w:val="6D6E71"/>
          <w:spacing w:val="-4"/>
          <w:sz w:val="14"/>
        </w:rPr>
        <w:t>STATO</w:t>
      </w:r>
      <w:r>
        <w:rPr>
          <w:rFonts w:ascii="Lucida Sans Unicode" w:hAnsi="Lucida Sans Unicode"/>
          <w:color w:val="6D6E71"/>
          <w:spacing w:val="-28"/>
          <w:sz w:val="14"/>
        </w:rPr>
        <w:t> </w:t>
      </w:r>
      <w:r>
        <w:rPr>
          <w:rFonts w:ascii="Lucida Sans Unicode" w:hAnsi="Lucida Sans Unicode"/>
          <w:color w:val="6D6E71"/>
          <w:sz w:val="14"/>
        </w:rPr>
        <w:t>MODERNO,</w:t>
      </w:r>
      <w:r>
        <w:rPr>
          <w:rFonts w:ascii="Lucida Sans Unicode" w:hAnsi="Lucida Sans Unicode"/>
          <w:color w:val="6D6E71"/>
          <w:spacing w:val="-28"/>
          <w:sz w:val="14"/>
        </w:rPr>
        <w:t> </w:t>
      </w:r>
      <w:r>
        <w:rPr>
          <w:rFonts w:ascii="Lucida Sans Unicode" w:hAnsi="Lucida Sans Unicode"/>
          <w:color w:val="6D6E71"/>
          <w:sz w:val="14"/>
        </w:rPr>
        <w:t>AL</w:t>
      </w:r>
      <w:r>
        <w:rPr>
          <w:rFonts w:ascii="Lucida Sans Unicode" w:hAnsi="Lucida Sans Unicode"/>
          <w:color w:val="6D6E71"/>
          <w:spacing w:val="-28"/>
          <w:sz w:val="14"/>
        </w:rPr>
        <w:t> </w:t>
      </w:r>
      <w:r>
        <w:rPr>
          <w:rFonts w:ascii="Lucida Sans Unicode" w:hAnsi="Lucida Sans Unicode"/>
          <w:color w:val="6D6E71"/>
          <w:sz w:val="14"/>
        </w:rPr>
        <w:t>GIORNO</w:t>
      </w:r>
      <w:r>
        <w:rPr>
          <w:rFonts w:ascii="Lucida Sans Unicode" w:hAnsi="Lucida Sans Unicode"/>
          <w:color w:val="6D6E71"/>
          <w:spacing w:val="-28"/>
          <w:sz w:val="14"/>
        </w:rPr>
        <w:t> </w:t>
      </w:r>
      <w:r>
        <w:rPr>
          <w:rFonts w:ascii="Lucida Sans Unicode" w:hAnsi="Lucida Sans Unicode"/>
          <w:color w:val="6D6E71"/>
          <w:sz w:val="14"/>
        </w:rPr>
        <w:t>D’OGGI</w:t>
      </w:r>
      <w:r>
        <w:rPr>
          <w:rFonts w:ascii="Lucida Sans Unicode" w:hAnsi="Lucida Sans Unicode"/>
          <w:color w:val="6D6E71"/>
          <w:spacing w:val="-28"/>
          <w:sz w:val="14"/>
        </w:rPr>
        <w:t> </w:t>
      </w:r>
      <w:r>
        <w:rPr>
          <w:rFonts w:ascii="Lucida Sans Unicode" w:hAnsi="Lucida Sans Unicode"/>
          <w:color w:val="6D6E71"/>
          <w:sz w:val="14"/>
        </w:rPr>
        <w:t>E</w:t>
      </w:r>
      <w:r>
        <w:rPr>
          <w:rFonts w:ascii="Lucida Sans Unicode" w:hAnsi="Lucida Sans Unicode"/>
          <w:color w:val="6D6E71"/>
          <w:spacing w:val="-28"/>
          <w:sz w:val="14"/>
        </w:rPr>
        <w:t> </w:t>
      </w:r>
      <w:r>
        <w:rPr>
          <w:rFonts w:ascii="Lucida Sans Unicode" w:hAnsi="Lucida Sans Unicode"/>
          <w:color w:val="6D6E71"/>
          <w:sz w:val="14"/>
        </w:rPr>
        <w:t>DI</w:t>
      </w:r>
      <w:r>
        <w:rPr>
          <w:rFonts w:ascii="Lucida Sans Unicode" w:hAnsi="Lucida Sans Unicode"/>
          <w:color w:val="6D6E71"/>
          <w:spacing w:val="-28"/>
          <w:sz w:val="14"/>
        </w:rPr>
        <w:t> </w:t>
      </w:r>
      <w:r>
        <w:rPr>
          <w:rFonts w:ascii="Lucida Sans Unicode" w:hAnsi="Lucida Sans Unicode"/>
          <w:color w:val="6D6E71"/>
          <w:sz w:val="14"/>
        </w:rPr>
        <w:t>DOMANI</w:t>
      </w:r>
      <w:r>
        <w:rPr>
          <w:rFonts w:ascii="Trebuchet MS" w:hAnsi="Trebuchet MS"/>
          <w:color w:val="414042"/>
          <w:position w:val="-3"/>
          <w:sz w:val="20"/>
        </w:rPr>
        <w:tab/>
        <w:t>93</w:t>
      </w:r>
    </w:p>
    <w:p>
      <w:pPr>
        <w:pStyle w:val="BodyText"/>
        <w:rPr>
          <w:rFonts w:ascii="Trebuchet MS"/>
          <w:sz w:val="20"/>
        </w:rPr>
      </w:pPr>
    </w:p>
    <w:p>
      <w:pPr>
        <w:pStyle w:val="BodyText"/>
        <w:rPr>
          <w:rFonts w:ascii="Trebuchet MS"/>
          <w:sz w:val="20"/>
        </w:rPr>
      </w:pPr>
    </w:p>
    <w:p>
      <w:pPr>
        <w:pStyle w:val="BodyText"/>
        <w:spacing w:line="247" w:lineRule="auto" w:before="156"/>
        <w:ind w:left="117" w:right="120"/>
        <w:jc w:val="both"/>
      </w:pPr>
      <w:r>
        <w:rPr>
          <w:color w:val="231F20"/>
        </w:rPr>
        <w:t>prospettiva non tiene: ci furono epoche, e ancora ci sono luoghi, in cui il diritto</w:t>
      </w:r>
      <w:r>
        <w:rPr>
          <w:color w:val="231F20"/>
          <w:spacing w:val="-16"/>
        </w:rPr>
        <w:t> </w:t>
      </w:r>
      <w:r>
        <w:rPr>
          <w:color w:val="231F20"/>
        </w:rPr>
        <w:t>poté</w:t>
      </w:r>
      <w:r>
        <w:rPr>
          <w:color w:val="231F20"/>
          <w:spacing w:val="-16"/>
        </w:rPr>
        <w:t> </w:t>
      </w:r>
      <w:r>
        <w:rPr>
          <w:color w:val="231F20"/>
        </w:rPr>
        <w:t>esistere</w:t>
      </w:r>
      <w:r>
        <w:rPr>
          <w:color w:val="231F20"/>
          <w:spacing w:val="-16"/>
        </w:rPr>
        <w:t> </w:t>
      </w:r>
      <w:r>
        <w:rPr>
          <w:color w:val="231F20"/>
        </w:rPr>
        <w:t>senza</w:t>
      </w:r>
      <w:r>
        <w:rPr>
          <w:color w:val="231F20"/>
          <w:spacing w:val="-16"/>
        </w:rPr>
        <w:t> </w:t>
      </w:r>
      <w:r>
        <w:rPr>
          <w:color w:val="231F20"/>
        </w:rPr>
        <w:t>Stato,</w:t>
      </w:r>
      <w:r>
        <w:rPr>
          <w:color w:val="231F20"/>
          <w:spacing w:val="-16"/>
        </w:rPr>
        <w:t> </w:t>
      </w:r>
      <w:r>
        <w:rPr>
          <w:color w:val="231F20"/>
        </w:rPr>
        <w:t>come</w:t>
      </w:r>
      <w:r>
        <w:rPr>
          <w:color w:val="231F20"/>
          <w:spacing w:val="-16"/>
        </w:rPr>
        <w:t> </w:t>
      </w:r>
      <w:r>
        <w:rPr>
          <w:color w:val="231F20"/>
        </w:rPr>
        <w:t>ci</w:t>
      </w:r>
      <w:r>
        <w:rPr>
          <w:color w:val="231F20"/>
          <w:spacing w:val="-16"/>
        </w:rPr>
        <w:t> </w:t>
      </w:r>
      <w:r>
        <w:rPr>
          <w:color w:val="231F20"/>
        </w:rPr>
        <w:t>sono</w:t>
      </w:r>
      <w:r>
        <w:rPr>
          <w:color w:val="231F20"/>
          <w:spacing w:val="-16"/>
        </w:rPr>
        <w:t> </w:t>
      </w:r>
      <w:r>
        <w:rPr>
          <w:color w:val="231F20"/>
        </w:rPr>
        <w:t>stati</w:t>
      </w:r>
      <w:r>
        <w:rPr>
          <w:color w:val="231F20"/>
          <w:spacing w:val="-16"/>
        </w:rPr>
        <w:t> </w:t>
      </w:r>
      <w:r>
        <w:rPr>
          <w:color w:val="231F20"/>
        </w:rPr>
        <w:t>Stati</w:t>
      </w:r>
      <w:r>
        <w:rPr>
          <w:color w:val="231F20"/>
          <w:spacing w:val="-16"/>
        </w:rPr>
        <w:t> </w:t>
      </w:r>
      <w:r>
        <w:rPr>
          <w:color w:val="231F20"/>
        </w:rPr>
        <w:t>—e</w:t>
      </w:r>
      <w:r>
        <w:rPr>
          <w:color w:val="231F20"/>
          <w:spacing w:val="-16"/>
        </w:rPr>
        <w:t> </w:t>
      </w:r>
      <w:r>
        <w:rPr>
          <w:color w:val="231F20"/>
        </w:rPr>
        <w:t>ancora</w:t>
      </w:r>
      <w:r>
        <w:rPr>
          <w:color w:val="231F20"/>
          <w:spacing w:val="-16"/>
        </w:rPr>
        <w:t> </w:t>
      </w:r>
      <w:r>
        <w:rPr>
          <w:color w:val="231F20"/>
        </w:rPr>
        <w:t>ce</w:t>
      </w:r>
      <w:r>
        <w:rPr>
          <w:color w:val="231F20"/>
          <w:spacing w:val="-16"/>
        </w:rPr>
        <w:t> </w:t>
      </w:r>
      <w:r>
        <w:rPr>
          <w:color w:val="231F20"/>
        </w:rPr>
        <w:t>n’è— in cui il diritto (almeno il nostro) non ne è elemento strutturale. Insomma, collegare definitivamente lo Stato al diritto mi sembra sostanzialmente un errore di prospettiva, sia per quanto riguarda la sua genesi che per</w:t>
      </w:r>
      <w:r>
        <w:rPr>
          <w:color w:val="231F20"/>
          <w:spacing w:val="-10"/>
        </w:rPr>
        <w:t> </w:t>
      </w:r>
      <w:r>
        <w:rPr>
          <w:color w:val="231F20"/>
        </w:rPr>
        <w:t>quanto riguarda il suo</w:t>
      </w:r>
      <w:r>
        <w:rPr>
          <w:color w:val="231F20"/>
          <w:spacing w:val="-31"/>
        </w:rPr>
        <w:t> </w:t>
      </w:r>
      <w:r>
        <w:rPr>
          <w:color w:val="231F20"/>
        </w:rPr>
        <w:t>futuro.</w:t>
      </w:r>
    </w:p>
    <w:p>
      <w:pPr>
        <w:pStyle w:val="BodyText"/>
        <w:spacing w:line="247" w:lineRule="auto"/>
        <w:ind w:left="117" w:right="115" w:firstLine="566"/>
        <w:jc w:val="both"/>
      </w:pPr>
      <w:r>
        <w:rPr>
          <w:color w:val="231F20"/>
        </w:rPr>
        <w:t>Lo</w:t>
      </w:r>
      <w:r>
        <w:rPr>
          <w:color w:val="231F20"/>
          <w:spacing w:val="-5"/>
        </w:rPr>
        <w:t> </w:t>
      </w:r>
      <w:r>
        <w:rPr>
          <w:color w:val="231F20"/>
        </w:rPr>
        <w:t>stesso</w:t>
      </w:r>
      <w:r>
        <w:rPr>
          <w:color w:val="231F20"/>
          <w:spacing w:val="-5"/>
        </w:rPr>
        <w:t> </w:t>
      </w:r>
      <w:r>
        <w:rPr>
          <w:color w:val="231F20"/>
        </w:rPr>
        <w:t>“Stato</w:t>
      </w:r>
      <w:r>
        <w:rPr>
          <w:color w:val="231F20"/>
          <w:spacing w:val="-5"/>
        </w:rPr>
        <w:t> </w:t>
      </w:r>
      <w:r>
        <w:rPr>
          <w:color w:val="231F20"/>
        </w:rPr>
        <w:t>(moderno)”</w:t>
      </w:r>
      <w:r>
        <w:rPr>
          <w:color w:val="231F20"/>
          <w:spacing w:val="-5"/>
        </w:rPr>
        <w:t> </w:t>
      </w:r>
      <w:r>
        <w:rPr>
          <w:color w:val="231F20"/>
        </w:rPr>
        <w:t>è</w:t>
      </w:r>
      <w:r>
        <w:rPr>
          <w:color w:val="231F20"/>
          <w:spacing w:val="-5"/>
        </w:rPr>
        <w:t> </w:t>
      </w:r>
      <w:r>
        <w:rPr>
          <w:color w:val="231F20"/>
        </w:rPr>
        <w:t>nato</w:t>
      </w:r>
      <w:r>
        <w:rPr>
          <w:color w:val="231F20"/>
          <w:spacing w:val="-5"/>
        </w:rPr>
        <w:t> </w:t>
      </w:r>
      <w:r>
        <w:rPr>
          <w:color w:val="231F20"/>
        </w:rPr>
        <w:t>oltre</w:t>
      </w:r>
      <w:r>
        <w:rPr>
          <w:color w:val="231F20"/>
          <w:spacing w:val="-5"/>
        </w:rPr>
        <w:t> </w:t>
      </w:r>
      <w:r>
        <w:rPr>
          <w:color w:val="231F20"/>
        </w:rPr>
        <w:t>il</w:t>
      </w:r>
      <w:r>
        <w:rPr>
          <w:color w:val="231F20"/>
          <w:spacing w:val="-5"/>
        </w:rPr>
        <w:t> </w:t>
      </w:r>
      <w:r>
        <w:rPr>
          <w:color w:val="231F20"/>
        </w:rPr>
        <w:t>diritto.</w:t>
      </w:r>
      <w:r>
        <w:rPr>
          <w:color w:val="231F20"/>
          <w:spacing w:val="-5"/>
        </w:rPr>
        <w:t> </w:t>
      </w:r>
      <w:r>
        <w:rPr>
          <w:color w:val="231F20"/>
        </w:rPr>
        <w:t>La</w:t>
      </w:r>
      <w:r>
        <w:rPr>
          <w:color w:val="231F20"/>
          <w:spacing w:val="-5"/>
        </w:rPr>
        <w:t> </w:t>
      </w:r>
      <w:r>
        <w:rPr>
          <w:color w:val="231F20"/>
        </w:rPr>
        <w:t>formula</w:t>
      </w:r>
      <w:r>
        <w:rPr>
          <w:color w:val="231F20"/>
          <w:spacing w:val="-5"/>
        </w:rPr>
        <w:t> </w:t>
      </w:r>
      <w:r>
        <w:rPr>
          <w:color w:val="231F20"/>
        </w:rPr>
        <w:t>famosa del </w:t>
      </w:r>
      <w:r>
        <w:rPr>
          <w:rFonts w:ascii="Arial" w:hAnsi="Arial"/>
          <w:i/>
          <w:color w:val="231F20"/>
        </w:rPr>
        <w:t>superiorem non recognoscens </w:t>
      </w:r>
      <w:r>
        <w:rPr>
          <w:color w:val="231F20"/>
        </w:rPr>
        <w:t>non poteva ancora riguardare lo Stato; così come i dinamici Statuti delle città medievali</w:t>
      </w:r>
      <w:r>
        <w:rPr>
          <w:color w:val="231F20"/>
          <w:position w:val="7"/>
          <w:sz w:val="12"/>
        </w:rPr>
        <w:t>21</w:t>
      </w:r>
      <w:r>
        <w:rPr>
          <w:color w:val="231F20"/>
        </w:rPr>
        <w:t>. Lo Stato è sorto su basi “strutturali” più ampie del diritto, comprendenti elementi di psicologia, antropologia, etica costitutivi di un tipo politico (e forse umano) diverso   da quello che per circa un millennio era sopravvissuto alla caduta “senza </w:t>
      </w:r>
      <w:r>
        <w:rPr>
          <w:color w:val="231F20"/>
          <w:spacing w:val="-4"/>
        </w:rPr>
        <w:t>rumore” dell’impero romano d’occidente</w:t>
      </w:r>
      <w:r>
        <w:rPr>
          <w:color w:val="231F20"/>
          <w:spacing w:val="-4"/>
          <w:position w:val="7"/>
          <w:sz w:val="12"/>
        </w:rPr>
        <w:t>22 </w:t>
      </w:r>
      <w:r>
        <w:rPr>
          <w:color w:val="231F20"/>
        </w:rPr>
        <w:t>, </w:t>
      </w:r>
      <w:r>
        <w:rPr>
          <w:color w:val="231F20"/>
          <w:spacing w:val="-4"/>
        </w:rPr>
        <w:t>prendendo anche parte </w:t>
      </w:r>
      <w:r>
        <w:rPr>
          <w:color w:val="231F20"/>
        </w:rPr>
        <w:t>al </w:t>
      </w:r>
      <w:r>
        <w:rPr>
          <w:color w:val="231F20"/>
          <w:spacing w:val="-4"/>
        </w:rPr>
        <w:t>grande </w:t>
      </w:r>
      <w:r>
        <w:rPr>
          <w:color w:val="231F20"/>
        </w:rPr>
        <w:t>passaggio da un cristianesimo fluido ad uno più solido e istituzionalizzato, verso una dimensione più laica e attiva della vita</w:t>
      </w:r>
      <w:r>
        <w:rPr>
          <w:color w:val="231F20"/>
          <w:position w:val="7"/>
          <w:sz w:val="12"/>
        </w:rPr>
        <w:t>23</w:t>
      </w:r>
      <w:r>
        <w:rPr>
          <w:color w:val="231F20"/>
        </w:rPr>
        <w:t>. Le basi di questo Stato </w:t>
      </w:r>
      <w:r>
        <w:rPr>
          <w:color w:val="231F20"/>
          <w:spacing w:val="2"/>
        </w:rPr>
        <w:t>“storico” sono state essenzialmente </w:t>
      </w:r>
      <w:r>
        <w:rPr>
          <w:color w:val="231F20"/>
        </w:rPr>
        <w:t>di </w:t>
      </w:r>
      <w:r>
        <w:rPr>
          <w:color w:val="231F20"/>
          <w:spacing w:val="2"/>
        </w:rPr>
        <w:t>tipo culturale, </w:t>
      </w:r>
      <w:r>
        <w:rPr>
          <w:color w:val="231F20"/>
        </w:rPr>
        <w:t>pur </w:t>
      </w:r>
      <w:r>
        <w:rPr>
          <w:color w:val="231F20"/>
          <w:spacing w:val="2"/>
        </w:rPr>
        <w:t>riflettendo </w:t>
      </w:r>
      <w:r>
        <w:rPr>
          <w:color w:val="231F20"/>
          <w:spacing w:val="3"/>
        </w:rPr>
        <w:t>il </w:t>
      </w:r>
      <w:r>
        <w:rPr>
          <w:color w:val="231F20"/>
        </w:rPr>
        <w:t>fondamentale bisogno di nuova normativa espresso dall’ordine produttivo nel frattempo instauratosi in proiezione manifatturiera e capitalistica. La statistica, la ricerca delle cause di grandezza delle città, la ragion di Stato </w:t>
      </w:r>
      <w:r>
        <w:rPr>
          <w:color w:val="231F20"/>
          <w:spacing w:val="-3"/>
        </w:rPr>
        <w:t>furono </w:t>
      </w:r>
      <w:r>
        <w:rPr>
          <w:color w:val="231F20"/>
        </w:rPr>
        <w:t>forme d’indagine e strumenti di </w:t>
      </w:r>
      <w:r>
        <w:rPr>
          <w:color w:val="231F20"/>
          <w:spacing w:val="-3"/>
        </w:rPr>
        <w:t>regolazione </w:t>
      </w:r>
      <w:r>
        <w:rPr>
          <w:color w:val="231F20"/>
        </w:rPr>
        <w:t>dell’attività pubblica </w:t>
      </w:r>
      <w:r>
        <w:rPr>
          <w:color w:val="231F20"/>
          <w:spacing w:val="-2"/>
        </w:rPr>
        <w:t>che </w:t>
      </w:r>
      <w:r>
        <w:rPr>
          <w:color w:val="231F20"/>
        </w:rPr>
        <w:t>in qualche modo hanno preceduto il diritto; così come la </w:t>
      </w:r>
      <w:r>
        <w:rPr>
          <w:rFonts w:ascii="Arial" w:hAnsi="Arial"/>
          <w:i/>
          <w:color w:val="231F20"/>
        </w:rPr>
        <w:t>ratio studiorum   </w:t>
      </w:r>
      <w:r>
        <w:rPr>
          <w:color w:val="231F20"/>
        </w:rPr>
        <w:t>o la nascita delle accademie o la grande, duplice riforma della Chiesa. Informazione, comunicazione, amministrazione hanno composto il grumo </w:t>
      </w:r>
      <w:r>
        <w:rPr>
          <w:color w:val="231F20"/>
          <w:spacing w:val="2"/>
        </w:rPr>
        <w:t>corrispondente alla nuova economia, imponendo </w:t>
      </w:r>
      <w:r>
        <w:rPr>
          <w:color w:val="231F20"/>
        </w:rPr>
        <w:t>però </w:t>
      </w:r>
      <w:r>
        <w:rPr>
          <w:color w:val="231F20"/>
          <w:spacing w:val="2"/>
        </w:rPr>
        <w:t>organizzazione.    </w:t>
      </w:r>
      <w:r>
        <w:rPr>
          <w:color w:val="231F20"/>
        </w:rPr>
        <w:t>A ciò rispose il diritto, quando, a sua volta, si fu aggiornato e riformato divenendo in grado di perfezionare —con la codificazione del tradizionale, la sua </w:t>
      </w:r>
      <w:r>
        <w:rPr>
          <w:color w:val="231F20"/>
          <w:spacing w:val="2"/>
        </w:rPr>
        <w:t>conseguente razionalizzazione </w:t>
      </w:r>
      <w:r>
        <w:rPr>
          <w:color w:val="231F20"/>
        </w:rPr>
        <w:t>e la </w:t>
      </w:r>
      <w:r>
        <w:rPr>
          <w:color w:val="231F20"/>
          <w:spacing w:val="2"/>
        </w:rPr>
        <w:t>proiezione nella </w:t>
      </w:r>
      <w:r>
        <w:rPr>
          <w:color w:val="231F20"/>
          <w:spacing w:val="3"/>
        </w:rPr>
        <w:t>costituzione     </w:t>
      </w:r>
      <w:r>
        <w:rPr>
          <w:color w:val="231F20"/>
        </w:rPr>
        <w:t>e nell’ordinamento giuridico— il livello di ordine necessario al modo di produzione nel frattempo </w:t>
      </w:r>
      <w:r>
        <w:rPr>
          <w:color w:val="231F20"/>
          <w:spacing w:val="2"/>
        </w:rPr>
        <w:t> </w:t>
      </w:r>
      <w:r>
        <w:rPr>
          <w:color w:val="231F20"/>
        </w:rPr>
        <w:t>consolidatosi.</w:t>
      </w:r>
    </w:p>
    <w:p>
      <w:pPr>
        <w:pStyle w:val="BodyText"/>
        <w:spacing w:line="247" w:lineRule="auto"/>
        <w:ind w:left="117" w:right="115" w:firstLine="566"/>
        <w:jc w:val="both"/>
      </w:pPr>
      <w:r>
        <w:rPr>
          <w:color w:val="231F20"/>
          <w:w w:val="105"/>
        </w:rPr>
        <w:t>Guardare lo </w:t>
      </w:r>
      <w:r>
        <w:rPr>
          <w:color w:val="231F20"/>
          <w:spacing w:val="2"/>
          <w:w w:val="105"/>
        </w:rPr>
        <w:t>Stato solo </w:t>
      </w:r>
      <w:r>
        <w:rPr>
          <w:color w:val="231F20"/>
          <w:w w:val="105"/>
        </w:rPr>
        <w:t>a partire dal </w:t>
      </w:r>
      <w:r>
        <w:rPr>
          <w:color w:val="231F20"/>
          <w:spacing w:val="2"/>
          <w:w w:val="105"/>
        </w:rPr>
        <w:t>diritto —come sogliono </w:t>
      </w:r>
      <w:r>
        <w:rPr>
          <w:color w:val="231F20"/>
          <w:w w:val="105"/>
        </w:rPr>
        <w:t>fare  i </w:t>
      </w:r>
      <w:r>
        <w:rPr>
          <w:color w:val="231F20"/>
          <w:spacing w:val="3"/>
          <w:w w:val="105"/>
        </w:rPr>
        <w:t>“costituzionalisti”— comporta </w:t>
      </w:r>
      <w:r>
        <w:rPr>
          <w:color w:val="231F20"/>
          <w:w w:val="105"/>
        </w:rPr>
        <w:t>il </w:t>
      </w:r>
      <w:r>
        <w:rPr>
          <w:color w:val="231F20"/>
          <w:spacing w:val="3"/>
          <w:w w:val="105"/>
        </w:rPr>
        <w:t>rischio </w:t>
      </w:r>
      <w:r>
        <w:rPr>
          <w:color w:val="231F20"/>
          <w:w w:val="105"/>
        </w:rPr>
        <w:t>di </w:t>
      </w:r>
      <w:r>
        <w:rPr>
          <w:color w:val="231F20"/>
          <w:spacing w:val="2"/>
          <w:w w:val="105"/>
        </w:rPr>
        <w:t>proiettare </w:t>
      </w:r>
      <w:r>
        <w:rPr>
          <w:color w:val="231F20"/>
          <w:spacing w:val="3"/>
          <w:w w:val="105"/>
        </w:rPr>
        <w:t>all’indietro </w:t>
      </w:r>
      <w:r>
        <w:rPr>
          <w:color w:val="231F20"/>
          <w:spacing w:val="4"/>
          <w:w w:val="105"/>
        </w:rPr>
        <w:t>una </w:t>
      </w:r>
      <w:r>
        <w:rPr>
          <w:color w:val="231F20"/>
          <w:spacing w:val="2"/>
          <w:w w:val="105"/>
        </w:rPr>
        <w:t>condizione storica (uno stato) “tardiva” dello Stato stesso, quella cioè </w:t>
      </w:r>
      <w:r>
        <w:rPr>
          <w:color w:val="231F20"/>
          <w:w w:val="105"/>
        </w:rPr>
        <w:t>“contemporanea”,</w:t>
      </w:r>
      <w:r>
        <w:rPr>
          <w:color w:val="231F20"/>
          <w:spacing w:val="-6"/>
          <w:w w:val="105"/>
        </w:rPr>
        <w:t> </w:t>
      </w:r>
      <w:r>
        <w:rPr>
          <w:color w:val="231F20"/>
          <w:w w:val="105"/>
        </w:rPr>
        <w:t>la</w:t>
      </w:r>
      <w:r>
        <w:rPr>
          <w:color w:val="231F20"/>
          <w:spacing w:val="-6"/>
          <w:w w:val="105"/>
        </w:rPr>
        <w:t> </w:t>
      </w:r>
      <w:r>
        <w:rPr>
          <w:color w:val="231F20"/>
          <w:w w:val="105"/>
        </w:rPr>
        <w:t>quale</w:t>
      </w:r>
      <w:r>
        <w:rPr>
          <w:color w:val="231F20"/>
          <w:spacing w:val="-6"/>
          <w:w w:val="105"/>
        </w:rPr>
        <w:t> </w:t>
      </w:r>
      <w:r>
        <w:rPr>
          <w:color w:val="231F20"/>
          <w:w w:val="105"/>
        </w:rPr>
        <w:t>a</w:t>
      </w:r>
      <w:r>
        <w:rPr>
          <w:color w:val="231F20"/>
          <w:spacing w:val="-6"/>
          <w:w w:val="105"/>
        </w:rPr>
        <w:t> </w:t>
      </w:r>
      <w:r>
        <w:rPr>
          <w:color w:val="231F20"/>
          <w:w w:val="105"/>
        </w:rPr>
        <w:t>sua</w:t>
      </w:r>
      <w:r>
        <w:rPr>
          <w:color w:val="231F20"/>
          <w:spacing w:val="-6"/>
          <w:w w:val="105"/>
        </w:rPr>
        <w:t> </w:t>
      </w:r>
      <w:r>
        <w:rPr>
          <w:color w:val="231F20"/>
          <w:w w:val="105"/>
        </w:rPr>
        <w:t>volta</w:t>
      </w:r>
      <w:r>
        <w:rPr>
          <w:color w:val="231F20"/>
          <w:spacing w:val="-6"/>
          <w:w w:val="105"/>
        </w:rPr>
        <w:t> </w:t>
      </w:r>
      <w:r>
        <w:rPr>
          <w:color w:val="231F20"/>
          <w:w w:val="105"/>
        </w:rPr>
        <w:t>sembra</w:t>
      </w:r>
      <w:r>
        <w:rPr>
          <w:color w:val="231F20"/>
          <w:spacing w:val="-6"/>
          <w:w w:val="105"/>
        </w:rPr>
        <w:t> </w:t>
      </w:r>
      <w:r>
        <w:rPr>
          <w:color w:val="231F20"/>
          <w:w w:val="105"/>
        </w:rPr>
        <w:t>già</w:t>
      </w:r>
      <w:r>
        <w:rPr>
          <w:color w:val="231F20"/>
          <w:spacing w:val="-6"/>
          <w:w w:val="105"/>
        </w:rPr>
        <w:t> </w:t>
      </w:r>
      <w:r>
        <w:rPr>
          <w:color w:val="231F20"/>
          <w:w w:val="105"/>
        </w:rPr>
        <w:t>superata,</w:t>
      </w:r>
      <w:r>
        <w:rPr>
          <w:color w:val="231F20"/>
          <w:spacing w:val="-6"/>
          <w:w w:val="105"/>
        </w:rPr>
        <w:t> </w:t>
      </w:r>
      <w:r>
        <w:rPr>
          <w:color w:val="231F20"/>
          <w:w w:val="105"/>
        </w:rPr>
        <w:t>di</w:t>
      </w:r>
      <w:r>
        <w:rPr>
          <w:color w:val="231F20"/>
          <w:spacing w:val="-6"/>
          <w:w w:val="105"/>
        </w:rPr>
        <w:t> </w:t>
      </w:r>
      <w:r>
        <w:rPr>
          <w:color w:val="231F20"/>
          <w:w w:val="105"/>
        </w:rPr>
        <w:t>fronte</w:t>
      </w:r>
      <w:r>
        <w:rPr>
          <w:color w:val="231F20"/>
          <w:spacing w:val="-6"/>
          <w:w w:val="105"/>
        </w:rPr>
        <w:t> </w:t>
      </w:r>
      <w:r>
        <w:rPr>
          <w:color w:val="231F20"/>
          <w:w w:val="105"/>
        </w:rPr>
        <w:t>ai nuovi</w:t>
      </w:r>
      <w:r>
        <w:rPr>
          <w:color w:val="231F20"/>
          <w:spacing w:val="-22"/>
          <w:w w:val="105"/>
        </w:rPr>
        <w:t> </w:t>
      </w:r>
      <w:r>
        <w:rPr>
          <w:color w:val="231F20"/>
          <w:w w:val="105"/>
        </w:rPr>
        <w:t>criteri</w:t>
      </w:r>
      <w:r>
        <w:rPr>
          <w:color w:val="231F20"/>
          <w:spacing w:val="-22"/>
          <w:w w:val="105"/>
        </w:rPr>
        <w:t> </w:t>
      </w:r>
      <w:r>
        <w:rPr>
          <w:color w:val="231F20"/>
          <w:w w:val="105"/>
        </w:rPr>
        <w:t>di</w:t>
      </w:r>
      <w:r>
        <w:rPr>
          <w:color w:val="231F20"/>
          <w:spacing w:val="-22"/>
          <w:w w:val="105"/>
        </w:rPr>
        <w:t> </w:t>
      </w:r>
      <w:r>
        <w:rPr>
          <w:color w:val="231F20"/>
          <w:w w:val="105"/>
        </w:rPr>
        <w:t>normatività</w:t>
      </w:r>
      <w:r>
        <w:rPr>
          <w:color w:val="231F20"/>
          <w:spacing w:val="-22"/>
          <w:w w:val="105"/>
        </w:rPr>
        <w:t> </w:t>
      </w:r>
      <w:r>
        <w:rPr>
          <w:color w:val="231F20"/>
          <w:w w:val="105"/>
        </w:rPr>
        <w:t>che</w:t>
      </w:r>
      <w:r>
        <w:rPr>
          <w:color w:val="231F20"/>
          <w:spacing w:val="-22"/>
          <w:w w:val="105"/>
        </w:rPr>
        <w:t> </w:t>
      </w:r>
      <w:r>
        <w:rPr>
          <w:color w:val="231F20"/>
          <w:w w:val="105"/>
        </w:rPr>
        <w:t>si</w:t>
      </w:r>
      <w:r>
        <w:rPr>
          <w:color w:val="231F20"/>
          <w:spacing w:val="-22"/>
          <w:w w:val="105"/>
        </w:rPr>
        <w:t> </w:t>
      </w:r>
      <w:r>
        <w:rPr>
          <w:color w:val="231F20"/>
          <w:w w:val="105"/>
        </w:rPr>
        <w:t>vanno</w:t>
      </w:r>
      <w:r>
        <w:rPr>
          <w:color w:val="231F20"/>
          <w:spacing w:val="-22"/>
          <w:w w:val="105"/>
        </w:rPr>
        <w:t> </w:t>
      </w:r>
      <w:r>
        <w:rPr>
          <w:color w:val="231F20"/>
          <w:w w:val="105"/>
        </w:rPr>
        <w:t>affermando.</w:t>
      </w:r>
      <w:r>
        <w:rPr>
          <w:color w:val="231F20"/>
          <w:spacing w:val="-22"/>
          <w:w w:val="105"/>
        </w:rPr>
        <w:t> </w:t>
      </w:r>
      <w:r>
        <w:rPr>
          <w:color w:val="231F20"/>
          <w:w w:val="105"/>
        </w:rPr>
        <w:t>Diventerebbe</w:t>
      </w:r>
      <w:r>
        <w:rPr>
          <w:color w:val="231F20"/>
          <w:spacing w:val="-22"/>
          <w:w w:val="105"/>
        </w:rPr>
        <w:t> </w:t>
      </w:r>
      <w:r>
        <w:rPr>
          <w:color w:val="231F20"/>
          <w:w w:val="105"/>
        </w:rPr>
        <w:t>infatti</w:t>
      </w:r>
    </w:p>
    <w:p>
      <w:pPr>
        <w:pStyle w:val="BodyText"/>
        <w:spacing w:before="10"/>
        <w:rPr>
          <w:sz w:val="27"/>
        </w:rPr>
      </w:pPr>
      <w:r>
        <w:rPr/>
        <w:pict>
          <v:line style="position:absolute;mso-position-horizontal-relative:page;mso-position-vertical-relative:paragraph;z-index:12496;mso-wrap-distance-left:0;mso-wrap-distance-right:0" from="70.866096pt,18.906984pt" to="184.252096pt,18.906984pt" stroked="true" strokeweight=".3pt" strokecolor="#231f20">
            <w10:wrap type="topAndBottom"/>
          </v:line>
        </w:pict>
      </w:r>
    </w:p>
    <w:p>
      <w:pPr>
        <w:spacing w:line="204" w:lineRule="exact" w:before="8"/>
        <w:ind w:left="117" w:right="121" w:firstLine="0"/>
        <w:jc w:val="both"/>
        <w:rPr>
          <w:rFonts w:ascii="Calibri" w:hAnsi="Calibri"/>
          <w:sz w:val="17"/>
        </w:rPr>
      </w:pPr>
      <w:r>
        <w:rPr>
          <w:rFonts w:ascii="Calibri" w:hAnsi="Calibri"/>
          <w:color w:val="231F20"/>
          <w:position w:val="6"/>
          <w:sz w:val="10"/>
        </w:rPr>
        <w:t>21 </w:t>
      </w:r>
      <w:r>
        <w:rPr>
          <w:rFonts w:ascii="Calibri" w:hAnsi="Calibri"/>
          <w:color w:val="231F20"/>
          <w:sz w:val="17"/>
        </w:rPr>
        <w:t>Si vedano i saggi di A. P. Schioppa, H. Keller y Ch. Zendri en S. Lepsius, R. Schulze y B. Kannowski (Eds.), </w:t>
      </w:r>
      <w:r>
        <w:rPr>
          <w:rFonts w:ascii="Calibri" w:hAnsi="Calibri"/>
          <w:i/>
          <w:color w:val="231F20"/>
          <w:sz w:val="17"/>
        </w:rPr>
        <w:t>Recht – Geschichte – Geschichtsschreibung. Rechts- und Verfassungsgeschichte im deutsch– </w:t>
      </w:r>
      <w:r>
        <w:rPr>
          <w:rFonts w:ascii="Calibri" w:hAnsi="Calibri"/>
          <w:i/>
          <w:color w:val="231F20"/>
          <w:sz w:val="17"/>
        </w:rPr>
        <w:t>italienischen Diskurs</w:t>
      </w:r>
      <w:r>
        <w:rPr>
          <w:rFonts w:ascii="Calibri" w:hAnsi="Calibri"/>
          <w:color w:val="231F20"/>
          <w:sz w:val="17"/>
        </w:rPr>
        <w:t>, Berlin, Erich Schmidt Verlag, 2014. Si tratta di scritti in onore di Gerhard Dilcher, del quale segnalo “Zum Verhältnis von Autonomie, Schriftlichkeit und Ausbildung der Verwaltung in der mittelalterlichen Stadt”, nel </w:t>
      </w:r>
      <w:r>
        <w:rPr>
          <w:rFonts w:ascii="Calibri" w:hAnsi="Calibri"/>
          <w:i/>
          <w:color w:val="231F20"/>
          <w:sz w:val="17"/>
        </w:rPr>
        <w:t>Beiheft </w:t>
      </w:r>
      <w:r>
        <w:rPr>
          <w:rFonts w:ascii="Calibri" w:hAnsi="Calibri"/>
          <w:color w:val="231F20"/>
          <w:sz w:val="17"/>
        </w:rPr>
        <w:t>no. 19 de la revista </w:t>
      </w:r>
      <w:r>
        <w:rPr>
          <w:rFonts w:ascii="Calibri" w:hAnsi="Calibri"/>
          <w:i/>
          <w:color w:val="231F20"/>
          <w:sz w:val="17"/>
        </w:rPr>
        <w:t>Der Staat</w:t>
      </w:r>
      <w:r>
        <w:rPr>
          <w:rFonts w:ascii="Calibri" w:hAnsi="Calibri"/>
          <w:color w:val="231F20"/>
          <w:sz w:val="17"/>
        </w:rPr>
        <w:t>, pp.   9–38.</w:t>
      </w:r>
    </w:p>
    <w:p>
      <w:pPr>
        <w:spacing w:line="204" w:lineRule="exact" w:before="0"/>
        <w:ind w:left="117" w:right="121" w:firstLine="0"/>
        <w:jc w:val="both"/>
        <w:rPr>
          <w:rFonts w:ascii="Calibri" w:hAnsi="Calibri"/>
          <w:sz w:val="17"/>
        </w:rPr>
      </w:pPr>
      <w:r>
        <w:rPr>
          <w:rFonts w:ascii="Calibri" w:hAnsi="Calibri"/>
          <w:color w:val="231F20"/>
          <w:w w:val="105"/>
          <w:position w:val="6"/>
          <w:sz w:val="10"/>
        </w:rPr>
        <w:t>22</w:t>
      </w:r>
      <w:r>
        <w:rPr>
          <w:rFonts w:ascii="Calibri" w:hAnsi="Calibri"/>
          <w:color w:val="231F20"/>
          <w:spacing w:val="-7"/>
          <w:w w:val="105"/>
          <w:position w:val="6"/>
          <w:sz w:val="10"/>
        </w:rPr>
        <w:t> </w:t>
      </w:r>
      <w:r>
        <w:rPr>
          <w:rFonts w:ascii="Calibri" w:hAnsi="Calibri"/>
          <w:color w:val="231F20"/>
          <w:w w:val="105"/>
          <w:sz w:val="17"/>
        </w:rPr>
        <w:t>Per</w:t>
      </w:r>
      <w:r>
        <w:rPr>
          <w:rFonts w:ascii="Calibri" w:hAnsi="Calibri"/>
          <w:color w:val="231F20"/>
          <w:spacing w:val="-24"/>
          <w:w w:val="105"/>
          <w:sz w:val="17"/>
        </w:rPr>
        <w:t> </w:t>
      </w:r>
      <w:r>
        <w:rPr>
          <w:rFonts w:ascii="Calibri" w:hAnsi="Calibri"/>
          <w:color w:val="231F20"/>
          <w:w w:val="105"/>
          <w:sz w:val="17"/>
        </w:rPr>
        <w:t>citare</w:t>
      </w:r>
      <w:r>
        <w:rPr>
          <w:rFonts w:ascii="Calibri" w:hAnsi="Calibri"/>
          <w:color w:val="231F20"/>
          <w:spacing w:val="-24"/>
          <w:w w:val="105"/>
          <w:sz w:val="17"/>
        </w:rPr>
        <w:t> </w:t>
      </w:r>
      <w:r>
        <w:rPr>
          <w:rFonts w:ascii="Calibri" w:hAnsi="Calibri"/>
          <w:color w:val="231F20"/>
          <w:w w:val="105"/>
          <w:sz w:val="17"/>
        </w:rPr>
        <w:t>A.</w:t>
      </w:r>
      <w:r>
        <w:rPr>
          <w:rFonts w:ascii="Calibri" w:hAnsi="Calibri"/>
          <w:color w:val="231F20"/>
          <w:spacing w:val="-24"/>
          <w:w w:val="105"/>
          <w:sz w:val="17"/>
        </w:rPr>
        <w:t> </w:t>
      </w:r>
      <w:r>
        <w:rPr>
          <w:rFonts w:ascii="Calibri" w:hAnsi="Calibri"/>
          <w:color w:val="231F20"/>
          <w:w w:val="105"/>
          <w:sz w:val="17"/>
        </w:rPr>
        <w:t>Momigliano,</w:t>
      </w:r>
      <w:r>
        <w:rPr>
          <w:rFonts w:ascii="Calibri" w:hAnsi="Calibri"/>
          <w:color w:val="231F20"/>
          <w:spacing w:val="-24"/>
          <w:w w:val="105"/>
          <w:sz w:val="17"/>
        </w:rPr>
        <w:t> </w:t>
      </w:r>
      <w:r>
        <w:rPr>
          <w:rFonts w:ascii="Calibri" w:hAnsi="Calibri"/>
          <w:color w:val="231F20"/>
          <w:w w:val="105"/>
          <w:sz w:val="17"/>
        </w:rPr>
        <w:t>“La</w:t>
      </w:r>
      <w:r>
        <w:rPr>
          <w:rFonts w:ascii="Calibri" w:hAnsi="Calibri"/>
          <w:color w:val="231F20"/>
          <w:spacing w:val="-24"/>
          <w:w w:val="105"/>
          <w:sz w:val="17"/>
        </w:rPr>
        <w:t> </w:t>
      </w:r>
      <w:r>
        <w:rPr>
          <w:rFonts w:ascii="Calibri" w:hAnsi="Calibri"/>
          <w:color w:val="231F20"/>
          <w:w w:val="105"/>
          <w:sz w:val="17"/>
        </w:rPr>
        <w:t>caduta</w:t>
      </w:r>
      <w:r>
        <w:rPr>
          <w:rFonts w:ascii="Calibri" w:hAnsi="Calibri"/>
          <w:color w:val="231F20"/>
          <w:spacing w:val="-24"/>
          <w:w w:val="105"/>
          <w:sz w:val="17"/>
        </w:rPr>
        <w:t> </w:t>
      </w:r>
      <w:r>
        <w:rPr>
          <w:rFonts w:ascii="Calibri" w:hAnsi="Calibri"/>
          <w:color w:val="231F20"/>
          <w:w w:val="105"/>
          <w:sz w:val="17"/>
        </w:rPr>
        <w:t>senza</w:t>
      </w:r>
      <w:r>
        <w:rPr>
          <w:rFonts w:ascii="Calibri" w:hAnsi="Calibri"/>
          <w:color w:val="231F20"/>
          <w:spacing w:val="-24"/>
          <w:w w:val="105"/>
          <w:sz w:val="17"/>
        </w:rPr>
        <w:t> </w:t>
      </w:r>
      <w:r>
        <w:rPr>
          <w:rFonts w:ascii="Calibri" w:hAnsi="Calibri"/>
          <w:color w:val="231F20"/>
          <w:w w:val="105"/>
          <w:sz w:val="17"/>
        </w:rPr>
        <w:t>rumore</w:t>
      </w:r>
      <w:r>
        <w:rPr>
          <w:rFonts w:ascii="Calibri" w:hAnsi="Calibri"/>
          <w:color w:val="231F20"/>
          <w:spacing w:val="-24"/>
          <w:w w:val="105"/>
          <w:sz w:val="17"/>
        </w:rPr>
        <w:t> </w:t>
      </w:r>
      <w:r>
        <w:rPr>
          <w:rFonts w:ascii="Calibri" w:hAnsi="Calibri"/>
          <w:color w:val="231F20"/>
          <w:w w:val="105"/>
          <w:sz w:val="17"/>
        </w:rPr>
        <w:t>di</w:t>
      </w:r>
      <w:r>
        <w:rPr>
          <w:rFonts w:ascii="Calibri" w:hAnsi="Calibri"/>
          <w:color w:val="231F20"/>
          <w:spacing w:val="-24"/>
          <w:w w:val="105"/>
          <w:sz w:val="17"/>
        </w:rPr>
        <w:t> </w:t>
      </w:r>
      <w:r>
        <w:rPr>
          <w:rFonts w:ascii="Calibri" w:hAnsi="Calibri"/>
          <w:color w:val="231F20"/>
          <w:w w:val="105"/>
          <w:sz w:val="17"/>
        </w:rPr>
        <w:t>un</w:t>
      </w:r>
      <w:r>
        <w:rPr>
          <w:rFonts w:ascii="Calibri" w:hAnsi="Calibri"/>
          <w:color w:val="231F20"/>
          <w:spacing w:val="-24"/>
          <w:w w:val="105"/>
          <w:sz w:val="17"/>
        </w:rPr>
        <w:t> </w:t>
      </w:r>
      <w:r>
        <w:rPr>
          <w:rFonts w:ascii="Calibri" w:hAnsi="Calibri"/>
          <w:color w:val="231F20"/>
          <w:spacing w:val="-3"/>
          <w:w w:val="105"/>
          <w:sz w:val="17"/>
        </w:rPr>
        <w:t>impero”,</w:t>
      </w:r>
      <w:r>
        <w:rPr>
          <w:rFonts w:ascii="Calibri" w:hAnsi="Calibri"/>
          <w:color w:val="231F20"/>
          <w:spacing w:val="-24"/>
          <w:w w:val="105"/>
          <w:sz w:val="17"/>
        </w:rPr>
        <w:t> </w:t>
      </w:r>
      <w:r>
        <w:rPr>
          <w:rFonts w:ascii="Calibri" w:hAnsi="Calibri"/>
          <w:color w:val="231F20"/>
          <w:w w:val="105"/>
          <w:sz w:val="17"/>
        </w:rPr>
        <w:t>A.</w:t>
      </w:r>
      <w:r>
        <w:rPr>
          <w:rFonts w:ascii="Calibri" w:hAnsi="Calibri"/>
          <w:color w:val="231F20"/>
          <w:spacing w:val="-24"/>
          <w:w w:val="105"/>
          <w:sz w:val="17"/>
        </w:rPr>
        <w:t> </w:t>
      </w:r>
      <w:r>
        <w:rPr>
          <w:rFonts w:ascii="Calibri" w:hAnsi="Calibri"/>
          <w:color w:val="231F20"/>
          <w:w w:val="105"/>
          <w:sz w:val="17"/>
        </w:rPr>
        <w:t>Momigliano,</w:t>
      </w:r>
      <w:r>
        <w:rPr>
          <w:rFonts w:ascii="Calibri" w:hAnsi="Calibri"/>
          <w:color w:val="231F20"/>
          <w:spacing w:val="-23"/>
          <w:w w:val="105"/>
          <w:sz w:val="17"/>
        </w:rPr>
        <w:t> </w:t>
      </w:r>
      <w:r>
        <w:rPr>
          <w:rFonts w:ascii="Calibri" w:hAnsi="Calibri"/>
          <w:i/>
          <w:color w:val="231F20"/>
          <w:w w:val="105"/>
          <w:sz w:val="17"/>
        </w:rPr>
        <w:t>Sesto</w:t>
      </w:r>
      <w:r>
        <w:rPr>
          <w:rFonts w:ascii="Calibri" w:hAnsi="Calibri"/>
          <w:i/>
          <w:color w:val="231F20"/>
          <w:spacing w:val="-24"/>
          <w:w w:val="105"/>
          <w:sz w:val="17"/>
        </w:rPr>
        <w:t> </w:t>
      </w:r>
      <w:r>
        <w:rPr>
          <w:rFonts w:ascii="Calibri" w:hAnsi="Calibri"/>
          <w:i/>
          <w:color w:val="231F20"/>
          <w:w w:val="105"/>
          <w:sz w:val="17"/>
        </w:rPr>
        <w:t>contributo </w:t>
      </w:r>
      <w:r>
        <w:rPr>
          <w:rFonts w:ascii="Calibri" w:hAnsi="Calibri"/>
          <w:i/>
          <w:color w:val="231F20"/>
          <w:sz w:val="17"/>
        </w:rPr>
        <w:t>alla</w:t>
      </w:r>
      <w:r>
        <w:rPr>
          <w:rFonts w:ascii="Calibri" w:hAnsi="Calibri"/>
          <w:i/>
          <w:color w:val="231F20"/>
          <w:spacing w:val="-9"/>
          <w:sz w:val="17"/>
        </w:rPr>
        <w:t> </w:t>
      </w:r>
      <w:r>
        <w:rPr>
          <w:rFonts w:ascii="Calibri" w:hAnsi="Calibri"/>
          <w:i/>
          <w:color w:val="231F20"/>
          <w:sz w:val="17"/>
        </w:rPr>
        <w:t>storia</w:t>
      </w:r>
      <w:r>
        <w:rPr>
          <w:rFonts w:ascii="Calibri" w:hAnsi="Calibri"/>
          <w:i/>
          <w:color w:val="231F20"/>
          <w:spacing w:val="-9"/>
          <w:sz w:val="17"/>
        </w:rPr>
        <w:t> </w:t>
      </w:r>
      <w:r>
        <w:rPr>
          <w:rFonts w:ascii="Calibri" w:hAnsi="Calibri"/>
          <w:i/>
          <w:color w:val="231F20"/>
          <w:sz w:val="17"/>
        </w:rPr>
        <w:t>degli</w:t>
      </w:r>
      <w:r>
        <w:rPr>
          <w:rFonts w:ascii="Calibri" w:hAnsi="Calibri"/>
          <w:i/>
          <w:color w:val="231F20"/>
          <w:spacing w:val="-9"/>
          <w:sz w:val="17"/>
        </w:rPr>
        <w:t> </w:t>
      </w:r>
      <w:r>
        <w:rPr>
          <w:rFonts w:ascii="Calibri" w:hAnsi="Calibri"/>
          <w:i/>
          <w:color w:val="231F20"/>
          <w:sz w:val="17"/>
        </w:rPr>
        <w:t>studi</w:t>
      </w:r>
      <w:r>
        <w:rPr>
          <w:rFonts w:ascii="Calibri" w:hAnsi="Calibri"/>
          <w:i/>
          <w:color w:val="231F20"/>
          <w:spacing w:val="-9"/>
          <w:sz w:val="17"/>
        </w:rPr>
        <w:t> </w:t>
      </w:r>
      <w:r>
        <w:rPr>
          <w:rFonts w:ascii="Calibri" w:hAnsi="Calibri"/>
          <w:i/>
          <w:color w:val="231F20"/>
          <w:sz w:val="17"/>
        </w:rPr>
        <w:t>classici</w:t>
      </w:r>
      <w:r>
        <w:rPr>
          <w:rFonts w:ascii="Calibri" w:hAnsi="Calibri"/>
          <w:color w:val="231F20"/>
          <w:sz w:val="17"/>
        </w:rPr>
        <w:t>,</w:t>
      </w:r>
      <w:r>
        <w:rPr>
          <w:rFonts w:ascii="Calibri" w:hAnsi="Calibri"/>
          <w:color w:val="231F20"/>
          <w:spacing w:val="-8"/>
          <w:sz w:val="17"/>
        </w:rPr>
        <w:t> </w:t>
      </w:r>
      <w:r>
        <w:rPr>
          <w:rFonts w:ascii="Calibri" w:hAnsi="Calibri"/>
          <w:color w:val="231F20"/>
          <w:sz w:val="17"/>
        </w:rPr>
        <w:t>Roma,</w:t>
      </w:r>
      <w:r>
        <w:rPr>
          <w:rFonts w:ascii="Calibri" w:hAnsi="Calibri"/>
          <w:color w:val="231F20"/>
          <w:spacing w:val="-8"/>
          <w:sz w:val="17"/>
        </w:rPr>
        <w:t> </w:t>
      </w:r>
      <w:r>
        <w:rPr>
          <w:rFonts w:ascii="Calibri" w:hAnsi="Calibri"/>
          <w:color w:val="231F20"/>
          <w:sz w:val="17"/>
        </w:rPr>
        <w:t>Edizioni</w:t>
      </w:r>
      <w:r>
        <w:rPr>
          <w:rFonts w:ascii="Calibri" w:hAnsi="Calibri"/>
          <w:color w:val="231F20"/>
          <w:spacing w:val="-8"/>
          <w:sz w:val="17"/>
        </w:rPr>
        <w:t> </w:t>
      </w:r>
      <w:r>
        <w:rPr>
          <w:rFonts w:ascii="Calibri" w:hAnsi="Calibri"/>
          <w:color w:val="231F20"/>
          <w:sz w:val="17"/>
        </w:rPr>
        <w:t>di</w:t>
      </w:r>
      <w:r>
        <w:rPr>
          <w:rFonts w:ascii="Calibri" w:hAnsi="Calibri"/>
          <w:color w:val="231F20"/>
          <w:spacing w:val="-8"/>
          <w:sz w:val="17"/>
        </w:rPr>
        <w:t> </w:t>
      </w:r>
      <w:r>
        <w:rPr>
          <w:rFonts w:ascii="Calibri" w:hAnsi="Calibri"/>
          <w:color w:val="231F20"/>
          <w:sz w:val="17"/>
        </w:rPr>
        <w:t>storia</w:t>
      </w:r>
      <w:r>
        <w:rPr>
          <w:rFonts w:ascii="Calibri" w:hAnsi="Calibri"/>
          <w:color w:val="231F20"/>
          <w:spacing w:val="-8"/>
          <w:sz w:val="17"/>
        </w:rPr>
        <w:t> </w:t>
      </w:r>
      <w:r>
        <w:rPr>
          <w:rFonts w:ascii="Calibri" w:hAnsi="Calibri"/>
          <w:color w:val="231F20"/>
          <w:sz w:val="17"/>
        </w:rPr>
        <w:t>e</w:t>
      </w:r>
      <w:r>
        <w:rPr>
          <w:rFonts w:ascii="Calibri" w:hAnsi="Calibri"/>
          <w:color w:val="231F20"/>
          <w:spacing w:val="-8"/>
          <w:sz w:val="17"/>
        </w:rPr>
        <w:t> </w:t>
      </w:r>
      <w:r>
        <w:rPr>
          <w:rFonts w:ascii="Calibri" w:hAnsi="Calibri"/>
          <w:color w:val="231F20"/>
          <w:sz w:val="17"/>
        </w:rPr>
        <w:t>letteratura,</w:t>
      </w:r>
      <w:r>
        <w:rPr>
          <w:rFonts w:ascii="Calibri" w:hAnsi="Calibri"/>
          <w:color w:val="231F20"/>
          <w:spacing w:val="-8"/>
          <w:sz w:val="17"/>
        </w:rPr>
        <w:t> </w:t>
      </w:r>
      <w:r>
        <w:rPr>
          <w:rFonts w:ascii="Calibri" w:hAnsi="Calibri"/>
          <w:color w:val="231F20"/>
          <w:sz w:val="17"/>
        </w:rPr>
        <w:t>1980,</w:t>
      </w:r>
      <w:r>
        <w:rPr>
          <w:rFonts w:ascii="Calibri" w:hAnsi="Calibri"/>
          <w:color w:val="231F20"/>
          <w:spacing w:val="-8"/>
          <w:sz w:val="17"/>
        </w:rPr>
        <w:t> </w:t>
      </w:r>
      <w:r>
        <w:rPr>
          <w:rFonts w:ascii="Calibri" w:hAnsi="Calibri"/>
          <w:color w:val="231F20"/>
          <w:sz w:val="17"/>
        </w:rPr>
        <w:t>pp.</w:t>
      </w:r>
      <w:r>
        <w:rPr>
          <w:rFonts w:ascii="Calibri" w:hAnsi="Calibri"/>
          <w:color w:val="231F20"/>
          <w:spacing w:val="-8"/>
          <w:sz w:val="17"/>
        </w:rPr>
        <w:t> </w:t>
      </w:r>
      <w:r>
        <w:rPr>
          <w:rFonts w:ascii="Calibri" w:hAnsi="Calibri"/>
          <w:color w:val="231F20"/>
          <w:spacing w:val="-3"/>
          <w:sz w:val="17"/>
        </w:rPr>
        <w:t>159–165.</w:t>
      </w:r>
    </w:p>
    <w:p>
      <w:pPr>
        <w:spacing w:line="206" w:lineRule="exact" w:before="1"/>
        <w:ind w:left="117" w:right="0" w:firstLine="0"/>
        <w:jc w:val="both"/>
        <w:rPr>
          <w:rFonts w:ascii="Calibri" w:hAnsi="Calibri"/>
          <w:sz w:val="17"/>
        </w:rPr>
      </w:pPr>
      <w:r>
        <w:rPr>
          <w:rFonts w:ascii="Calibri" w:hAnsi="Calibri"/>
          <w:color w:val="231F20"/>
          <w:position w:val="6"/>
          <w:sz w:val="10"/>
        </w:rPr>
        <w:t>23 </w:t>
      </w:r>
      <w:r>
        <w:rPr>
          <w:rFonts w:ascii="Calibri" w:hAnsi="Calibri"/>
          <w:i/>
          <w:color w:val="231F20"/>
          <w:sz w:val="17"/>
        </w:rPr>
        <w:t>La conversione al cristianesimo nell’Europa dell’alto Medioevo</w:t>
      </w:r>
      <w:r>
        <w:rPr>
          <w:rFonts w:ascii="Calibri" w:hAnsi="Calibri"/>
          <w:color w:val="231F20"/>
          <w:sz w:val="17"/>
        </w:rPr>
        <w:t>, Atti della 14° Settimana di studio del</w:t>
      </w:r>
    </w:p>
    <w:p>
      <w:pPr>
        <w:spacing w:line="206" w:lineRule="exact" w:before="0"/>
        <w:ind w:left="117" w:right="0" w:firstLine="0"/>
        <w:jc w:val="both"/>
        <w:rPr>
          <w:rFonts w:ascii="Calibri" w:hAnsi="Calibri"/>
          <w:sz w:val="17"/>
        </w:rPr>
      </w:pPr>
      <w:r>
        <w:rPr>
          <w:rFonts w:ascii="Calibri" w:hAnsi="Calibri"/>
          <w:color w:val="231F20"/>
          <w:sz w:val="17"/>
        </w:rPr>
        <w:t>Centro italiano di studi sull’alto Medioevo, 14–19 aprile 1966, Spoleto 1967.</w:t>
      </w:r>
    </w:p>
    <w:p>
      <w:pPr>
        <w:spacing w:after="0" w:line="206" w:lineRule="exact"/>
        <w:jc w:val="both"/>
        <w:rPr>
          <w:rFonts w:ascii="Calibri" w:hAnsi="Calibri"/>
          <w:sz w:val="17"/>
        </w:rPr>
        <w:sectPr>
          <w:pgSz w:w="9640" w:h="13890"/>
          <w:pgMar w:top="0" w:bottom="280" w:left="1300" w:right="1180"/>
        </w:sectPr>
      </w:pPr>
    </w:p>
    <w:p>
      <w:pPr>
        <w:pStyle w:val="BodyText"/>
        <w:spacing w:line="247" w:lineRule="auto" w:before="107"/>
        <w:ind w:left="103" w:right="109"/>
        <w:jc w:val="both"/>
      </w:pPr>
      <w:r>
        <w:rPr>
          <w:color w:val="231F20"/>
        </w:rPr>
        <w:t>normale e sarebbe anche corretto dire —come tradizionalmente si </w:t>
      </w:r>
      <w:r>
        <w:rPr>
          <w:color w:val="231F20"/>
          <w:spacing w:val="2"/>
        </w:rPr>
        <w:t>fa—  </w:t>
      </w:r>
      <w:r>
        <w:rPr>
          <w:color w:val="231F20"/>
        </w:rPr>
        <w:t>che con il termine Stato si indica un ordinamento giuridico “originario” (in </w:t>
      </w:r>
      <w:r>
        <w:rPr>
          <w:color w:val="231F20"/>
          <w:spacing w:val="-3"/>
        </w:rPr>
        <w:t>quanto </w:t>
      </w:r>
      <w:r>
        <w:rPr>
          <w:color w:val="231F20"/>
        </w:rPr>
        <w:t>i </w:t>
      </w:r>
      <w:r>
        <w:rPr>
          <w:color w:val="231F20"/>
          <w:spacing w:val="-3"/>
        </w:rPr>
        <w:t>suoi poteri </w:t>
      </w:r>
      <w:r>
        <w:rPr>
          <w:color w:val="231F20"/>
        </w:rPr>
        <w:t>non </w:t>
      </w:r>
      <w:r>
        <w:rPr>
          <w:color w:val="231F20"/>
          <w:spacing w:val="-3"/>
        </w:rPr>
        <w:t>discendono dalla volontà </w:t>
      </w:r>
      <w:r>
        <w:rPr>
          <w:color w:val="231F20"/>
        </w:rPr>
        <w:t>di </w:t>
      </w:r>
      <w:r>
        <w:rPr>
          <w:color w:val="231F20"/>
          <w:spacing w:val="-3"/>
        </w:rPr>
        <w:t>altri soggetti), “sovrano” </w:t>
      </w:r>
      <w:r>
        <w:rPr>
          <w:color w:val="231F20"/>
        </w:rPr>
        <w:t>(perché dotato al suo interno di un legittimo potere di supremazia su di una collettività stanziata in un determinato territorio), “politico” (perché persegue fini generali e di pacifica convivenza), “indipendente” da ogni altro ordinamento giuridico (sia quelli esistenti al suo interno, rispetto ai quali si pone ovviamente in condizione di supremazia, sia rispetto a quelli esterni con cui è in condizione di parità, ma “sovrana”). Cosicché, alla</w:t>
      </w:r>
      <w:r>
        <w:rPr>
          <w:color w:val="231F20"/>
          <w:spacing w:val="-23"/>
        </w:rPr>
        <w:t> </w:t>
      </w:r>
      <w:r>
        <w:rPr>
          <w:color w:val="231F20"/>
        </w:rPr>
        <w:t>fine, gli elementi costitutivi dello Stato moderno sarebbero proprio quelli di popolo, territorio e sovranità</w:t>
      </w:r>
      <w:r>
        <w:rPr>
          <w:color w:val="231F20"/>
          <w:spacing w:val="2"/>
        </w:rPr>
        <w:t> </w:t>
      </w:r>
      <w:r>
        <w:rPr>
          <w:color w:val="231F20"/>
          <w:position w:val="7"/>
          <w:sz w:val="12"/>
        </w:rPr>
        <w:t>24</w:t>
      </w:r>
      <w:r>
        <w:rPr>
          <w:color w:val="231F20"/>
        </w:rPr>
        <w:t>.</w:t>
      </w:r>
    </w:p>
    <w:p>
      <w:pPr>
        <w:pStyle w:val="BodyText"/>
        <w:spacing w:line="247" w:lineRule="auto"/>
        <w:ind w:left="103" w:right="111" w:firstLine="566"/>
        <w:jc w:val="both"/>
      </w:pPr>
      <w:r>
        <w:rPr>
          <w:color w:val="231F20"/>
          <w:w w:val="105"/>
        </w:rPr>
        <w:t>Mi</w:t>
      </w:r>
      <w:r>
        <w:rPr>
          <w:color w:val="231F20"/>
          <w:spacing w:val="-39"/>
          <w:w w:val="105"/>
        </w:rPr>
        <w:t> </w:t>
      </w:r>
      <w:r>
        <w:rPr>
          <w:color w:val="231F20"/>
          <w:w w:val="105"/>
        </w:rPr>
        <w:t>sembra</w:t>
      </w:r>
      <w:r>
        <w:rPr>
          <w:color w:val="231F20"/>
          <w:spacing w:val="-39"/>
          <w:w w:val="105"/>
        </w:rPr>
        <w:t> </w:t>
      </w:r>
      <w:r>
        <w:rPr>
          <w:color w:val="231F20"/>
          <w:w w:val="105"/>
        </w:rPr>
        <w:t>difficile</w:t>
      </w:r>
      <w:r>
        <w:rPr>
          <w:color w:val="231F20"/>
          <w:spacing w:val="-39"/>
          <w:w w:val="105"/>
        </w:rPr>
        <w:t> </w:t>
      </w:r>
      <w:r>
        <w:rPr>
          <w:color w:val="231F20"/>
          <w:w w:val="105"/>
        </w:rPr>
        <w:t>conciliare</w:t>
      </w:r>
      <w:r>
        <w:rPr>
          <w:color w:val="231F20"/>
          <w:spacing w:val="-39"/>
          <w:w w:val="105"/>
        </w:rPr>
        <w:t> </w:t>
      </w:r>
      <w:r>
        <w:rPr>
          <w:color w:val="231F20"/>
          <w:w w:val="105"/>
        </w:rPr>
        <w:t>questo</w:t>
      </w:r>
      <w:r>
        <w:rPr>
          <w:color w:val="231F20"/>
          <w:spacing w:val="-39"/>
          <w:w w:val="105"/>
        </w:rPr>
        <w:t> </w:t>
      </w:r>
      <w:r>
        <w:rPr>
          <w:color w:val="231F20"/>
          <w:w w:val="105"/>
        </w:rPr>
        <w:t>quadro</w:t>
      </w:r>
      <w:r>
        <w:rPr>
          <w:color w:val="231F20"/>
          <w:spacing w:val="-39"/>
          <w:w w:val="105"/>
        </w:rPr>
        <w:t> </w:t>
      </w:r>
      <w:r>
        <w:rPr>
          <w:color w:val="231F20"/>
          <w:w w:val="105"/>
        </w:rPr>
        <w:t>dello</w:t>
      </w:r>
      <w:r>
        <w:rPr>
          <w:color w:val="231F20"/>
          <w:spacing w:val="-39"/>
          <w:w w:val="105"/>
        </w:rPr>
        <w:t> </w:t>
      </w:r>
      <w:r>
        <w:rPr>
          <w:color w:val="231F20"/>
          <w:w w:val="105"/>
        </w:rPr>
        <w:t>Stato</w:t>
      </w:r>
      <w:r>
        <w:rPr>
          <w:color w:val="231F20"/>
          <w:spacing w:val="-39"/>
          <w:w w:val="105"/>
        </w:rPr>
        <w:t> </w:t>
      </w:r>
      <w:r>
        <w:rPr>
          <w:color w:val="231F20"/>
          <w:w w:val="105"/>
        </w:rPr>
        <w:t>con</w:t>
      </w:r>
      <w:r>
        <w:rPr>
          <w:color w:val="231F20"/>
          <w:spacing w:val="-39"/>
          <w:w w:val="105"/>
        </w:rPr>
        <w:t> </w:t>
      </w:r>
      <w:r>
        <w:rPr>
          <w:color w:val="231F20"/>
          <w:w w:val="105"/>
        </w:rPr>
        <w:t>la</w:t>
      </w:r>
      <w:r>
        <w:rPr>
          <w:color w:val="231F20"/>
          <w:spacing w:val="-39"/>
          <w:w w:val="105"/>
        </w:rPr>
        <w:t> </w:t>
      </w:r>
      <w:r>
        <w:rPr>
          <w:color w:val="231F20"/>
          <w:w w:val="105"/>
        </w:rPr>
        <w:t>grande </w:t>
      </w:r>
      <w:r>
        <w:rPr>
          <w:color w:val="231F20"/>
          <w:spacing w:val="-4"/>
          <w:w w:val="105"/>
        </w:rPr>
        <w:t>trasformazione</w:t>
      </w:r>
      <w:r>
        <w:rPr>
          <w:color w:val="231F20"/>
          <w:spacing w:val="-48"/>
          <w:w w:val="105"/>
        </w:rPr>
        <w:t> </w:t>
      </w:r>
      <w:r>
        <w:rPr>
          <w:color w:val="231F20"/>
          <w:spacing w:val="-4"/>
          <w:w w:val="105"/>
        </w:rPr>
        <w:t>delle</w:t>
      </w:r>
      <w:r>
        <w:rPr>
          <w:color w:val="231F20"/>
          <w:spacing w:val="-48"/>
          <w:w w:val="105"/>
        </w:rPr>
        <w:t> </w:t>
      </w:r>
      <w:r>
        <w:rPr>
          <w:color w:val="231F20"/>
          <w:spacing w:val="-3"/>
          <w:w w:val="105"/>
        </w:rPr>
        <w:t>due</w:t>
      </w:r>
      <w:r>
        <w:rPr>
          <w:color w:val="231F20"/>
          <w:spacing w:val="-48"/>
          <w:w w:val="105"/>
        </w:rPr>
        <w:t> </w:t>
      </w:r>
      <w:r>
        <w:rPr>
          <w:color w:val="231F20"/>
          <w:spacing w:val="-4"/>
          <w:w w:val="105"/>
        </w:rPr>
        <w:t>categorie</w:t>
      </w:r>
      <w:r>
        <w:rPr>
          <w:color w:val="231F20"/>
          <w:spacing w:val="-48"/>
          <w:w w:val="105"/>
        </w:rPr>
        <w:t> </w:t>
      </w:r>
      <w:r>
        <w:rPr>
          <w:color w:val="231F20"/>
          <w:spacing w:val="-4"/>
          <w:w w:val="105"/>
        </w:rPr>
        <w:t>fondamentali</w:t>
      </w:r>
      <w:r>
        <w:rPr>
          <w:color w:val="231F20"/>
          <w:spacing w:val="-48"/>
          <w:w w:val="105"/>
        </w:rPr>
        <w:t> </w:t>
      </w:r>
      <w:r>
        <w:rPr>
          <w:color w:val="231F20"/>
          <w:spacing w:val="-4"/>
          <w:w w:val="105"/>
        </w:rPr>
        <w:t>della</w:t>
      </w:r>
      <w:r>
        <w:rPr>
          <w:color w:val="231F20"/>
          <w:spacing w:val="-48"/>
          <w:w w:val="105"/>
        </w:rPr>
        <w:t> </w:t>
      </w:r>
      <w:r>
        <w:rPr>
          <w:color w:val="231F20"/>
          <w:spacing w:val="-4"/>
          <w:w w:val="105"/>
        </w:rPr>
        <w:t>modernità</w:t>
      </w:r>
      <w:r>
        <w:rPr>
          <w:color w:val="231F20"/>
          <w:spacing w:val="-48"/>
          <w:w w:val="105"/>
        </w:rPr>
        <w:t> </w:t>
      </w:r>
      <w:r>
        <w:rPr>
          <w:color w:val="231F20"/>
          <w:spacing w:val="-4"/>
          <w:w w:val="105"/>
        </w:rPr>
        <w:t>occidentale, </w:t>
      </w:r>
      <w:r>
        <w:rPr>
          <w:color w:val="231F20"/>
          <w:w w:val="105"/>
        </w:rPr>
        <w:t>su</w:t>
      </w:r>
      <w:r>
        <w:rPr>
          <w:color w:val="231F20"/>
          <w:spacing w:val="-38"/>
          <w:w w:val="105"/>
        </w:rPr>
        <w:t> </w:t>
      </w:r>
      <w:r>
        <w:rPr>
          <w:color w:val="231F20"/>
          <w:w w:val="105"/>
        </w:rPr>
        <w:t>cui</w:t>
      </w:r>
      <w:r>
        <w:rPr>
          <w:color w:val="231F20"/>
          <w:spacing w:val="-38"/>
          <w:w w:val="105"/>
        </w:rPr>
        <w:t> </w:t>
      </w:r>
      <w:r>
        <w:rPr>
          <w:color w:val="231F20"/>
          <w:w w:val="105"/>
        </w:rPr>
        <w:t>lo</w:t>
      </w:r>
      <w:r>
        <w:rPr>
          <w:color w:val="231F20"/>
          <w:spacing w:val="-38"/>
          <w:w w:val="105"/>
        </w:rPr>
        <w:t> </w:t>
      </w:r>
      <w:r>
        <w:rPr>
          <w:color w:val="231F20"/>
          <w:spacing w:val="-3"/>
          <w:w w:val="105"/>
        </w:rPr>
        <w:t>stesso</w:t>
      </w:r>
      <w:r>
        <w:rPr>
          <w:color w:val="231F20"/>
          <w:spacing w:val="-38"/>
          <w:w w:val="105"/>
        </w:rPr>
        <w:t> </w:t>
      </w:r>
      <w:r>
        <w:rPr>
          <w:color w:val="231F20"/>
          <w:spacing w:val="-3"/>
          <w:w w:val="105"/>
        </w:rPr>
        <w:t>“diritto”</w:t>
      </w:r>
      <w:r>
        <w:rPr>
          <w:color w:val="231F20"/>
          <w:spacing w:val="-38"/>
          <w:w w:val="105"/>
        </w:rPr>
        <w:t> </w:t>
      </w:r>
      <w:r>
        <w:rPr>
          <w:color w:val="231F20"/>
          <w:w w:val="105"/>
        </w:rPr>
        <w:t>si</w:t>
      </w:r>
      <w:r>
        <w:rPr>
          <w:color w:val="231F20"/>
          <w:spacing w:val="-38"/>
          <w:w w:val="105"/>
        </w:rPr>
        <w:t> </w:t>
      </w:r>
      <w:r>
        <w:rPr>
          <w:color w:val="231F20"/>
          <w:w w:val="105"/>
        </w:rPr>
        <w:t>è</w:t>
      </w:r>
      <w:r>
        <w:rPr>
          <w:color w:val="231F20"/>
          <w:spacing w:val="-38"/>
          <w:w w:val="105"/>
        </w:rPr>
        <w:t> </w:t>
      </w:r>
      <w:r>
        <w:rPr>
          <w:color w:val="231F20"/>
          <w:spacing w:val="-3"/>
          <w:w w:val="105"/>
        </w:rPr>
        <w:t>retto,</w:t>
      </w:r>
      <w:r>
        <w:rPr>
          <w:color w:val="231F20"/>
          <w:spacing w:val="-38"/>
          <w:w w:val="105"/>
        </w:rPr>
        <w:t> </w:t>
      </w:r>
      <w:r>
        <w:rPr>
          <w:color w:val="231F20"/>
          <w:spacing w:val="-3"/>
          <w:w w:val="105"/>
        </w:rPr>
        <w:t>costruendo</w:t>
      </w:r>
      <w:r>
        <w:rPr>
          <w:color w:val="231F20"/>
          <w:spacing w:val="-38"/>
          <w:w w:val="105"/>
        </w:rPr>
        <w:t> </w:t>
      </w:r>
      <w:r>
        <w:rPr>
          <w:color w:val="231F20"/>
          <w:spacing w:val="-3"/>
          <w:w w:val="105"/>
        </w:rPr>
        <w:t>—fra</w:t>
      </w:r>
      <w:r>
        <w:rPr>
          <w:color w:val="231F20"/>
          <w:spacing w:val="-38"/>
          <w:w w:val="105"/>
        </w:rPr>
        <w:t> </w:t>
      </w:r>
      <w:r>
        <w:rPr>
          <w:color w:val="231F20"/>
          <w:w w:val="105"/>
        </w:rPr>
        <w:t>le</w:t>
      </w:r>
      <w:r>
        <w:rPr>
          <w:color w:val="231F20"/>
          <w:spacing w:val="-38"/>
          <w:w w:val="105"/>
        </w:rPr>
        <w:t> </w:t>
      </w:r>
      <w:r>
        <w:rPr>
          <w:color w:val="231F20"/>
          <w:spacing w:val="-3"/>
          <w:w w:val="105"/>
        </w:rPr>
        <w:t>altre</w:t>
      </w:r>
      <w:r>
        <w:rPr>
          <w:color w:val="231F20"/>
          <w:spacing w:val="-38"/>
          <w:w w:val="105"/>
        </w:rPr>
        <w:t> </w:t>
      </w:r>
      <w:r>
        <w:rPr>
          <w:color w:val="231F20"/>
          <w:spacing w:val="-3"/>
          <w:w w:val="105"/>
        </w:rPr>
        <w:t>scienze</w:t>
      </w:r>
      <w:r>
        <w:rPr>
          <w:color w:val="231F20"/>
          <w:spacing w:val="-38"/>
          <w:w w:val="105"/>
        </w:rPr>
        <w:t> </w:t>
      </w:r>
      <w:r>
        <w:rPr>
          <w:color w:val="231F20"/>
          <w:spacing w:val="-3"/>
          <w:w w:val="105"/>
        </w:rPr>
        <w:t>sociali—</w:t>
      </w:r>
      <w:r>
        <w:rPr>
          <w:color w:val="231F20"/>
          <w:spacing w:val="-38"/>
          <w:w w:val="105"/>
        </w:rPr>
        <w:t> </w:t>
      </w:r>
      <w:r>
        <w:rPr>
          <w:color w:val="231F20"/>
          <w:spacing w:val="-3"/>
          <w:w w:val="105"/>
        </w:rPr>
        <w:t>la </w:t>
      </w:r>
      <w:r>
        <w:rPr>
          <w:color w:val="231F20"/>
          <w:w w:val="105"/>
        </w:rPr>
        <w:t>sua</w:t>
      </w:r>
      <w:r>
        <w:rPr>
          <w:color w:val="231F20"/>
          <w:spacing w:val="-24"/>
          <w:w w:val="105"/>
        </w:rPr>
        <w:t> </w:t>
      </w:r>
      <w:r>
        <w:rPr>
          <w:color w:val="231F20"/>
          <w:w w:val="105"/>
        </w:rPr>
        <w:t>egemonia</w:t>
      </w:r>
      <w:r>
        <w:rPr>
          <w:color w:val="231F20"/>
          <w:spacing w:val="-24"/>
          <w:w w:val="105"/>
        </w:rPr>
        <w:t> </w:t>
      </w:r>
      <w:r>
        <w:rPr>
          <w:color w:val="231F20"/>
          <w:w w:val="105"/>
        </w:rPr>
        <w:t>di</w:t>
      </w:r>
      <w:r>
        <w:rPr>
          <w:color w:val="231F20"/>
          <w:spacing w:val="-24"/>
          <w:w w:val="105"/>
        </w:rPr>
        <w:t> </w:t>
      </w:r>
      <w:r>
        <w:rPr>
          <w:color w:val="231F20"/>
          <w:w w:val="105"/>
        </w:rPr>
        <w:t>normatività:</w:t>
      </w:r>
      <w:r>
        <w:rPr>
          <w:color w:val="231F20"/>
          <w:spacing w:val="-24"/>
          <w:w w:val="105"/>
        </w:rPr>
        <w:t> </w:t>
      </w:r>
      <w:r>
        <w:rPr>
          <w:color w:val="231F20"/>
          <w:w w:val="105"/>
        </w:rPr>
        <w:t>il</w:t>
      </w:r>
      <w:r>
        <w:rPr>
          <w:color w:val="231F20"/>
          <w:spacing w:val="-24"/>
          <w:w w:val="105"/>
        </w:rPr>
        <w:t> </w:t>
      </w:r>
      <w:r>
        <w:rPr>
          <w:color w:val="231F20"/>
          <w:w w:val="105"/>
        </w:rPr>
        <w:t>tempo</w:t>
      </w:r>
      <w:r>
        <w:rPr>
          <w:color w:val="231F20"/>
          <w:spacing w:val="-24"/>
          <w:w w:val="105"/>
        </w:rPr>
        <w:t> </w:t>
      </w:r>
      <w:r>
        <w:rPr>
          <w:color w:val="231F20"/>
          <w:w w:val="105"/>
        </w:rPr>
        <w:t>e</w:t>
      </w:r>
      <w:r>
        <w:rPr>
          <w:color w:val="231F20"/>
          <w:spacing w:val="-24"/>
          <w:w w:val="105"/>
        </w:rPr>
        <w:t> </w:t>
      </w:r>
      <w:r>
        <w:rPr>
          <w:color w:val="231F20"/>
          <w:w w:val="105"/>
        </w:rPr>
        <w:t>lo</w:t>
      </w:r>
      <w:r>
        <w:rPr>
          <w:color w:val="231F20"/>
          <w:spacing w:val="-24"/>
          <w:w w:val="105"/>
        </w:rPr>
        <w:t> </w:t>
      </w:r>
      <w:r>
        <w:rPr>
          <w:color w:val="231F20"/>
          <w:w w:val="105"/>
        </w:rPr>
        <w:t>spazio.</w:t>
      </w:r>
      <w:r>
        <w:rPr>
          <w:color w:val="231F20"/>
          <w:spacing w:val="-24"/>
          <w:w w:val="105"/>
        </w:rPr>
        <w:t> </w:t>
      </w:r>
      <w:r>
        <w:rPr>
          <w:color w:val="231F20"/>
          <w:w w:val="105"/>
        </w:rPr>
        <w:t>Al</w:t>
      </w:r>
      <w:r>
        <w:rPr>
          <w:color w:val="231F20"/>
          <w:spacing w:val="-24"/>
          <w:w w:val="105"/>
        </w:rPr>
        <w:t> </w:t>
      </w:r>
      <w:r>
        <w:rPr>
          <w:color w:val="231F20"/>
          <w:w w:val="105"/>
        </w:rPr>
        <w:t>giorno</w:t>
      </w:r>
      <w:r>
        <w:rPr>
          <w:color w:val="231F20"/>
          <w:spacing w:val="-24"/>
          <w:w w:val="105"/>
        </w:rPr>
        <w:t> </w:t>
      </w:r>
      <w:r>
        <w:rPr>
          <w:color w:val="231F20"/>
          <w:w w:val="105"/>
        </w:rPr>
        <w:t>d’oggi</w:t>
      </w:r>
      <w:r>
        <w:rPr>
          <w:color w:val="231F20"/>
          <w:spacing w:val="-24"/>
          <w:w w:val="105"/>
        </w:rPr>
        <w:t> </w:t>
      </w:r>
      <w:r>
        <w:rPr>
          <w:color w:val="231F20"/>
          <w:w w:val="105"/>
        </w:rPr>
        <w:t>nessun uomo</w:t>
      </w:r>
      <w:r>
        <w:rPr>
          <w:color w:val="231F20"/>
          <w:spacing w:val="-15"/>
          <w:w w:val="105"/>
        </w:rPr>
        <w:t> </w:t>
      </w:r>
      <w:r>
        <w:rPr>
          <w:color w:val="231F20"/>
          <w:w w:val="105"/>
        </w:rPr>
        <w:t>o</w:t>
      </w:r>
      <w:r>
        <w:rPr>
          <w:color w:val="231F20"/>
          <w:spacing w:val="-15"/>
          <w:w w:val="105"/>
        </w:rPr>
        <w:t> </w:t>
      </w:r>
      <w:r>
        <w:rPr>
          <w:color w:val="231F20"/>
          <w:w w:val="105"/>
        </w:rPr>
        <w:t>donna</w:t>
      </w:r>
      <w:r>
        <w:rPr>
          <w:color w:val="231F20"/>
          <w:spacing w:val="-15"/>
          <w:w w:val="105"/>
        </w:rPr>
        <w:t> </w:t>
      </w:r>
      <w:r>
        <w:rPr>
          <w:color w:val="231F20"/>
          <w:w w:val="105"/>
        </w:rPr>
        <w:t>sa</w:t>
      </w:r>
      <w:r>
        <w:rPr>
          <w:color w:val="231F20"/>
          <w:spacing w:val="-15"/>
          <w:w w:val="105"/>
        </w:rPr>
        <w:t> </w:t>
      </w:r>
      <w:r>
        <w:rPr>
          <w:color w:val="231F20"/>
          <w:w w:val="105"/>
        </w:rPr>
        <w:t>più</w:t>
      </w:r>
      <w:r>
        <w:rPr>
          <w:color w:val="231F20"/>
          <w:spacing w:val="-15"/>
          <w:w w:val="105"/>
        </w:rPr>
        <w:t> </w:t>
      </w:r>
      <w:r>
        <w:rPr>
          <w:color w:val="231F20"/>
          <w:w w:val="105"/>
        </w:rPr>
        <w:t>esattamente</w:t>
      </w:r>
      <w:r>
        <w:rPr>
          <w:color w:val="231F20"/>
          <w:spacing w:val="-15"/>
          <w:w w:val="105"/>
        </w:rPr>
        <w:t> </w:t>
      </w:r>
      <w:r>
        <w:rPr>
          <w:color w:val="231F20"/>
          <w:w w:val="105"/>
        </w:rPr>
        <w:t>dov’è</w:t>
      </w:r>
      <w:r>
        <w:rPr>
          <w:color w:val="231F20"/>
          <w:spacing w:val="-15"/>
          <w:w w:val="105"/>
        </w:rPr>
        <w:t> </w:t>
      </w:r>
      <w:r>
        <w:rPr>
          <w:color w:val="231F20"/>
          <w:w w:val="105"/>
        </w:rPr>
        <w:t>e</w:t>
      </w:r>
      <w:r>
        <w:rPr>
          <w:color w:val="231F20"/>
          <w:spacing w:val="-15"/>
          <w:w w:val="105"/>
        </w:rPr>
        <w:t> </w:t>
      </w:r>
      <w:r>
        <w:rPr>
          <w:color w:val="231F20"/>
          <w:w w:val="105"/>
        </w:rPr>
        <w:t>sotto</w:t>
      </w:r>
      <w:r>
        <w:rPr>
          <w:color w:val="231F20"/>
          <w:spacing w:val="-15"/>
          <w:w w:val="105"/>
        </w:rPr>
        <w:t> </w:t>
      </w:r>
      <w:r>
        <w:rPr>
          <w:color w:val="231F20"/>
          <w:w w:val="105"/>
        </w:rPr>
        <w:t>quale</w:t>
      </w:r>
      <w:r>
        <w:rPr>
          <w:color w:val="231F20"/>
          <w:spacing w:val="-15"/>
          <w:w w:val="105"/>
        </w:rPr>
        <w:t> </w:t>
      </w:r>
      <w:r>
        <w:rPr>
          <w:color w:val="231F20"/>
          <w:w w:val="105"/>
        </w:rPr>
        <w:t>calendario</w:t>
      </w:r>
      <w:r>
        <w:rPr>
          <w:color w:val="231F20"/>
          <w:spacing w:val="-15"/>
          <w:w w:val="105"/>
        </w:rPr>
        <w:t> </w:t>
      </w:r>
      <w:r>
        <w:rPr>
          <w:color w:val="231F20"/>
          <w:w w:val="105"/>
        </w:rPr>
        <w:t>vive:</w:t>
      </w:r>
      <w:r>
        <w:rPr>
          <w:color w:val="231F20"/>
          <w:spacing w:val="-15"/>
          <w:w w:val="105"/>
        </w:rPr>
        <w:t> </w:t>
      </w:r>
      <w:r>
        <w:rPr>
          <w:color w:val="231F20"/>
          <w:w w:val="105"/>
        </w:rPr>
        <w:t>in entrambe</w:t>
      </w:r>
      <w:r>
        <w:rPr>
          <w:color w:val="231F20"/>
          <w:spacing w:val="-47"/>
          <w:w w:val="105"/>
        </w:rPr>
        <w:t> </w:t>
      </w:r>
      <w:r>
        <w:rPr>
          <w:color w:val="231F20"/>
          <w:w w:val="105"/>
        </w:rPr>
        <w:t>le</w:t>
      </w:r>
      <w:r>
        <w:rPr>
          <w:color w:val="231F20"/>
          <w:spacing w:val="-47"/>
          <w:w w:val="105"/>
        </w:rPr>
        <w:t> </w:t>
      </w:r>
      <w:r>
        <w:rPr>
          <w:color w:val="231F20"/>
          <w:w w:val="105"/>
        </w:rPr>
        <w:t>direzioni</w:t>
      </w:r>
      <w:r>
        <w:rPr>
          <w:color w:val="231F20"/>
          <w:spacing w:val="-47"/>
          <w:w w:val="105"/>
        </w:rPr>
        <w:t> </w:t>
      </w:r>
      <w:r>
        <w:rPr>
          <w:color w:val="231F20"/>
          <w:w w:val="105"/>
        </w:rPr>
        <w:t>fa</w:t>
      </w:r>
      <w:r>
        <w:rPr>
          <w:color w:val="231F20"/>
          <w:spacing w:val="-47"/>
          <w:w w:val="105"/>
        </w:rPr>
        <w:t> </w:t>
      </w:r>
      <w:r>
        <w:rPr>
          <w:color w:val="231F20"/>
          <w:w w:val="105"/>
        </w:rPr>
        <w:t>da</w:t>
      </w:r>
      <w:r>
        <w:rPr>
          <w:color w:val="231F20"/>
          <w:spacing w:val="-47"/>
          <w:w w:val="105"/>
        </w:rPr>
        <w:t> </w:t>
      </w:r>
      <w:r>
        <w:rPr>
          <w:color w:val="231F20"/>
          <w:w w:val="105"/>
        </w:rPr>
        <w:t>criterio</w:t>
      </w:r>
      <w:r>
        <w:rPr>
          <w:color w:val="231F20"/>
          <w:spacing w:val="-47"/>
          <w:w w:val="105"/>
        </w:rPr>
        <w:t> </w:t>
      </w:r>
      <w:r>
        <w:rPr>
          <w:color w:val="231F20"/>
          <w:w w:val="105"/>
        </w:rPr>
        <w:t>il</w:t>
      </w:r>
      <w:r>
        <w:rPr>
          <w:color w:val="231F20"/>
          <w:spacing w:val="-47"/>
          <w:w w:val="105"/>
        </w:rPr>
        <w:t> </w:t>
      </w:r>
      <w:r>
        <w:rPr>
          <w:color w:val="231F20"/>
          <w:w w:val="105"/>
        </w:rPr>
        <w:t>“multinazionale”.</w:t>
      </w:r>
      <w:r>
        <w:rPr>
          <w:color w:val="231F20"/>
          <w:spacing w:val="-47"/>
          <w:w w:val="105"/>
        </w:rPr>
        <w:t> </w:t>
      </w:r>
      <w:r>
        <w:rPr>
          <w:color w:val="231F20"/>
          <w:w w:val="105"/>
        </w:rPr>
        <w:t>Senza</w:t>
      </w:r>
      <w:r>
        <w:rPr>
          <w:color w:val="231F20"/>
          <w:spacing w:val="-47"/>
          <w:w w:val="105"/>
        </w:rPr>
        <w:t> </w:t>
      </w:r>
      <w:r>
        <w:rPr>
          <w:color w:val="231F20"/>
          <w:w w:val="105"/>
        </w:rPr>
        <w:t>spazio</w:t>
      </w:r>
      <w:r>
        <w:rPr>
          <w:color w:val="231F20"/>
          <w:spacing w:val="-47"/>
          <w:w w:val="105"/>
        </w:rPr>
        <w:t> </w:t>
      </w:r>
      <w:r>
        <w:rPr>
          <w:color w:val="231F20"/>
          <w:w w:val="105"/>
        </w:rPr>
        <w:t>e</w:t>
      </w:r>
      <w:r>
        <w:rPr>
          <w:color w:val="231F20"/>
          <w:spacing w:val="-47"/>
          <w:w w:val="105"/>
        </w:rPr>
        <w:t> </w:t>
      </w:r>
      <w:r>
        <w:rPr>
          <w:color w:val="231F20"/>
          <w:w w:val="105"/>
        </w:rPr>
        <w:t>tempo definibili</w:t>
      </w:r>
      <w:r>
        <w:rPr>
          <w:color w:val="231F20"/>
          <w:spacing w:val="-8"/>
          <w:w w:val="105"/>
        </w:rPr>
        <w:t> </w:t>
      </w:r>
      <w:r>
        <w:rPr>
          <w:color w:val="231F20"/>
          <w:w w:val="105"/>
        </w:rPr>
        <w:t>e</w:t>
      </w:r>
      <w:r>
        <w:rPr>
          <w:color w:val="231F20"/>
          <w:spacing w:val="-8"/>
          <w:w w:val="105"/>
        </w:rPr>
        <w:t> </w:t>
      </w:r>
      <w:r>
        <w:rPr>
          <w:color w:val="231F20"/>
          <w:w w:val="105"/>
        </w:rPr>
        <w:t>certi,</w:t>
      </w:r>
      <w:r>
        <w:rPr>
          <w:color w:val="231F20"/>
          <w:spacing w:val="-8"/>
          <w:w w:val="105"/>
        </w:rPr>
        <w:t> </w:t>
      </w:r>
      <w:r>
        <w:rPr>
          <w:color w:val="231F20"/>
          <w:w w:val="105"/>
        </w:rPr>
        <w:t>il</w:t>
      </w:r>
      <w:r>
        <w:rPr>
          <w:color w:val="231F20"/>
          <w:spacing w:val="-8"/>
          <w:w w:val="105"/>
        </w:rPr>
        <w:t> </w:t>
      </w:r>
      <w:r>
        <w:rPr>
          <w:color w:val="231F20"/>
          <w:w w:val="105"/>
        </w:rPr>
        <w:t>diritto</w:t>
      </w:r>
      <w:r>
        <w:rPr>
          <w:color w:val="231F20"/>
          <w:spacing w:val="-8"/>
          <w:w w:val="105"/>
        </w:rPr>
        <w:t> </w:t>
      </w:r>
      <w:r>
        <w:rPr>
          <w:color w:val="231F20"/>
          <w:w w:val="105"/>
        </w:rPr>
        <w:t>perde</w:t>
      </w:r>
      <w:r>
        <w:rPr>
          <w:color w:val="231F20"/>
          <w:spacing w:val="-8"/>
          <w:w w:val="105"/>
        </w:rPr>
        <w:t> </w:t>
      </w:r>
      <w:r>
        <w:rPr>
          <w:color w:val="231F20"/>
          <w:w w:val="105"/>
        </w:rPr>
        <w:t>stabilità,</w:t>
      </w:r>
      <w:r>
        <w:rPr>
          <w:color w:val="231F20"/>
          <w:spacing w:val="-8"/>
          <w:w w:val="105"/>
        </w:rPr>
        <w:t> </w:t>
      </w:r>
      <w:r>
        <w:rPr>
          <w:color w:val="231F20"/>
          <w:w w:val="105"/>
        </w:rPr>
        <w:t>quindi</w:t>
      </w:r>
      <w:r>
        <w:rPr>
          <w:color w:val="231F20"/>
          <w:spacing w:val="-8"/>
          <w:w w:val="105"/>
        </w:rPr>
        <w:t> </w:t>
      </w:r>
      <w:r>
        <w:rPr>
          <w:color w:val="231F20"/>
          <w:w w:val="105"/>
        </w:rPr>
        <w:t>capacità</w:t>
      </w:r>
      <w:r>
        <w:rPr>
          <w:color w:val="231F20"/>
          <w:spacing w:val="-8"/>
          <w:w w:val="105"/>
        </w:rPr>
        <w:t> </w:t>
      </w:r>
      <w:r>
        <w:rPr>
          <w:color w:val="231F20"/>
          <w:w w:val="105"/>
        </w:rPr>
        <w:t>normativa,</w:t>
      </w:r>
      <w:r>
        <w:rPr>
          <w:color w:val="231F20"/>
          <w:spacing w:val="-8"/>
          <w:w w:val="105"/>
        </w:rPr>
        <w:t> </w:t>
      </w:r>
      <w:r>
        <w:rPr>
          <w:color w:val="231F20"/>
          <w:w w:val="105"/>
        </w:rPr>
        <w:t>cioè possibilità</w:t>
      </w:r>
      <w:r>
        <w:rPr>
          <w:color w:val="231F20"/>
          <w:spacing w:val="-25"/>
          <w:w w:val="105"/>
        </w:rPr>
        <w:t> </w:t>
      </w:r>
      <w:r>
        <w:rPr>
          <w:color w:val="231F20"/>
          <w:w w:val="105"/>
        </w:rPr>
        <w:t>di</w:t>
      </w:r>
      <w:r>
        <w:rPr>
          <w:color w:val="231F20"/>
          <w:spacing w:val="-25"/>
          <w:w w:val="105"/>
        </w:rPr>
        <w:t> </w:t>
      </w:r>
      <w:r>
        <w:rPr>
          <w:color w:val="231F20"/>
          <w:w w:val="105"/>
        </w:rPr>
        <w:t>offrire</w:t>
      </w:r>
      <w:r>
        <w:rPr>
          <w:color w:val="231F20"/>
          <w:spacing w:val="-25"/>
          <w:w w:val="105"/>
        </w:rPr>
        <w:t> </w:t>
      </w:r>
      <w:r>
        <w:rPr>
          <w:color w:val="231F20"/>
          <w:w w:val="105"/>
        </w:rPr>
        <w:t>legittimità</w:t>
      </w:r>
      <w:r>
        <w:rPr>
          <w:color w:val="231F20"/>
          <w:spacing w:val="-25"/>
          <w:w w:val="105"/>
        </w:rPr>
        <w:t> </w:t>
      </w:r>
      <w:r>
        <w:rPr>
          <w:color w:val="231F20"/>
          <w:w w:val="105"/>
        </w:rPr>
        <w:t>come</w:t>
      </w:r>
      <w:r>
        <w:rPr>
          <w:color w:val="231F20"/>
          <w:spacing w:val="-25"/>
          <w:w w:val="105"/>
        </w:rPr>
        <w:t> </w:t>
      </w:r>
      <w:r>
        <w:rPr>
          <w:color w:val="231F20"/>
          <w:w w:val="105"/>
        </w:rPr>
        <w:t>ha</w:t>
      </w:r>
      <w:r>
        <w:rPr>
          <w:color w:val="231F20"/>
          <w:spacing w:val="-25"/>
          <w:w w:val="105"/>
        </w:rPr>
        <w:t> </w:t>
      </w:r>
      <w:r>
        <w:rPr>
          <w:color w:val="231F20"/>
          <w:w w:val="105"/>
        </w:rPr>
        <w:t>fatto</w:t>
      </w:r>
      <w:r>
        <w:rPr>
          <w:color w:val="231F20"/>
          <w:spacing w:val="-25"/>
          <w:w w:val="105"/>
        </w:rPr>
        <w:t> </w:t>
      </w:r>
      <w:r>
        <w:rPr>
          <w:color w:val="231F20"/>
          <w:w w:val="105"/>
        </w:rPr>
        <w:t>finora,</w:t>
      </w:r>
      <w:r>
        <w:rPr>
          <w:color w:val="231F20"/>
          <w:spacing w:val="-25"/>
          <w:w w:val="105"/>
        </w:rPr>
        <w:t> </w:t>
      </w:r>
      <w:r>
        <w:rPr>
          <w:color w:val="231F20"/>
          <w:w w:val="105"/>
        </w:rPr>
        <w:t>instaurando</w:t>
      </w:r>
      <w:r>
        <w:rPr>
          <w:color w:val="231F20"/>
          <w:spacing w:val="-25"/>
          <w:w w:val="105"/>
        </w:rPr>
        <w:t> </w:t>
      </w:r>
      <w:r>
        <w:rPr>
          <w:color w:val="231F20"/>
          <w:w w:val="105"/>
        </w:rPr>
        <w:t>la</w:t>
      </w:r>
      <w:r>
        <w:rPr>
          <w:color w:val="231F20"/>
          <w:spacing w:val="-25"/>
          <w:w w:val="105"/>
        </w:rPr>
        <w:t> </w:t>
      </w:r>
      <w:r>
        <w:rPr>
          <w:color w:val="231F20"/>
          <w:w w:val="105"/>
        </w:rPr>
        <w:t>misura della legalità. Cosa può restare dello Stato, così come siamo abituati a pensarlo</w:t>
      </w:r>
      <w:r>
        <w:rPr>
          <w:color w:val="231F20"/>
          <w:spacing w:val="-32"/>
          <w:w w:val="105"/>
        </w:rPr>
        <w:t> </w:t>
      </w:r>
      <w:r>
        <w:rPr>
          <w:color w:val="231F20"/>
          <w:w w:val="105"/>
        </w:rPr>
        <w:t>e</w:t>
      </w:r>
      <w:r>
        <w:rPr>
          <w:color w:val="231F20"/>
          <w:spacing w:val="-32"/>
          <w:w w:val="105"/>
        </w:rPr>
        <w:t> </w:t>
      </w:r>
      <w:r>
        <w:rPr>
          <w:color w:val="231F20"/>
          <w:w w:val="105"/>
        </w:rPr>
        <w:t>viverlo,</w:t>
      </w:r>
      <w:r>
        <w:rPr>
          <w:color w:val="231F20"/>
          <w:spacing w:val="-32"/>
          <w:w w:val="105"/>
        </w:rPr>
        <w:t> </w:t>
      </w:r>
      <w:r>
        <w:rPr>
          <w:color w:val="231F20"/>
          <w:w w:val="105"/>
        </w:rPr>
        <w:t>senza</w:t>
      </w:r>
      <w:r>
        <w:rPr>
          <w:color w:val="231F20"/>
          <w:spacing w:val="-32"/>
          <w:w w:val="105"/>
        </w:rPr>
        <w:t> </w:t>
      </w:r>
      <w:r>
        <w:rPr>
          <w:color w:val="231F20"/>
          <w:w w:val="105"/>
        </w:rPr>
        <w:t>legalità?</w:t>
      </w:r>
      <w:r>
        <w:rPr>
          <w:color w:val="231F20"/>
          <w:spacing w:val="-32"/>
          <w:w w:val="105"/>
        </w:rPr>
        <w:t> </w:t>
      </w:r>
      <w:r>
        <w:rPr>
          <w:color w:val="231F20"/>
          <w:w w:val="105"/>
        </w:rPr>
        <w:t>Si</w:t>
      </w:r>
      <w:r>
        <w:rPr>
          <w:color w:val="231F20"/>
          <w:spacing w:val="-32"/>
          <w:w w:val="105"/>
        </w:rPr>
        <w:t> </w:t>
      </w:r>
      <w:r>
        <w:rPr>
          <w:color w:val="231F20"/>
          <w:w w:val="105"/>
        </w:rPr>
        <w:t>potrà</w:t>
      </w:r>
      <w:r>
        <w:rPr>
          <w:color w:val="231F20"/>
          <w:spacing w:val="-32"/>
          <w:w w:val="105"/>
        </w:rPr>
        <w:t> </w:t>
      </w:r>
      <w:r>
        <w:rPr>
          <w:color w:val="231F20"/>
          <w:w w:val="105"/>
        </w:rPr>
        <w:t>ancora</w:t>
      </w:r>
      <w:r>
        <w:rPr>
          <w:color w:val="231F20"/>
          <w:spacing w:val="-32"/>
          <w:w w:val="105"/>
        </w:rPr>
        <w:t> </w:t>
      </w:r>
      <w:r>
        <w:rPr>
          <w:color w:val="231F20"/>
          <w:w w:val="105"/>
        </w:rPr>
        <w:t>parlare</w:t>
      </w:r>
      <w:r>
        <w:rPr>
          <w:color w:val="231F20"/>
          <w:spacing w:val="-32"/>
          <w:w w:val="105"/>
        </w:rPr>
        <w:t> </w:t>
      </w:r>
      <w:r>
        <w:rPr>
          <w:color w:val="231F20"/>
          <w:w w:val="105"/>
        </w:rPr>
        <w:t>di</w:t>
      </w:r>
      <w:r>
        <w:rPr>
          <w:color w:val="231F20"/>
          <w:spacing w:val="-32"/>
          <w:w w:val="105"/>
        </w:rPr>
        <w:t> </w:t>
      </w:r>
      <w:r>
        <w:rPr>
          <w:color w:val="231F20"/>
          <w:w w:val="105"/>
        </w:rPr>
        <w:t>una</w:t>
      </w:r>
      <w:r>
        <w:rPr>
          <w:color w:val="231F20"/>
          <w:spacing w:val="-32"/>
          <w:w w:val="105"/>
        </w:rPr>
        <w:t> </w:t>
      </w:r>
      <w:r>
        <w:rPr>
          <w:color w:val="231F20"/>
          <w:w w:val="105"/>
        </w:rPr>
        <w:t>legittimità dello</w:t>
      </w:r>
      <w:r>
        <w:rPr>
          <w:color w:val="231F20"/>
          <w:spacing w:val="-24"/>
          <w:w w:val="105"/>
        </w:rPr>
        <w:t> </w:t>
      </w:r>
      <w:r>
        <w:rPr>
          <w:color w:val="231F20"/>
          <w:w w:val="105"/>
        </w:rPr>
        <w:t>Stato</w:t>
      </w:r>
      <w:r>
        <w:rPr>
          <w:color w:val="231F20"/>
          <w:spacing w:val="-24"/>
          <w:w w:val="105"/>
        </w:rPr>
        <w:t> </w:t>
      </w:r>
      <w:r>
        <w:rPr>
          <w:color w:val="231F20"/>
          <w:w w:val="105"/>
        </w:rPr>
        <w:t>e</w:t>
      </w:r>
      <w:r>
        <w:rPr>
          <w:color w:val="231F20"/>
          <w:spacing w:val="-24"/>
          <w:w w:val="105"/>
        </w:rPr>
        <w:t> </w:t>
      </w:r>
      <w:r>
        <w:rPr>
          <w:color w:val="231F20"/>
          <w:w w:val="105"/>
        </w:rPr>
        <w:t>su</w:t>
      </w:r>
      <w:r>
        <w:rPr>
          <w:color w:val="231F20"/>
          <w:spacing w:val="-24"/>
          <w:w w:val="105"/>
        </w:rPr>
        <w:t> </w:t>
      </w:r>
      <w:r>
        <w:rPr>
          <w:color w:val="231F20"/>
          <w:w w:val="105"/>
        </w:rPr>
        <w:t>quali</w:t>
      </w:r>
      <w:r>
        <w:rPr>
          <w:color w:val="231F20"/>
          <w:spacing w:val="-24"/>
          <w:w w:val="105"/>
        </w:rPr>
        <w:t> </w:t>
      </w:r>
      <w:r>
        <w:rPr>
          <w:color w:val="231F20"/>
          <w:w w:val="105"/>
        </w:rPr>
        <w:t>basi?</w:t>
      </w:r>
    </w:p>
    <w:p>
      <w:pPr>
        <w:pStyle w:val="BodyText"/>
        <w:spacing w:line="244" w:lineRule="auto"/>
        <w:ind w:left="103" w:right="110" w:firstLine="566"/>
        <w:jc w:val="both"/>
      </w:pPr>
      <w:r>
        <w:rPr>
          <w:color w:val="231F20"/>
        </w:rPr>
        <w:t>I punti di vista da cui prospettare una risposta sono molteplici: mi limito a indicarne due, solo apparentemente antitetici. Il primo riguarda lo Stato</w:t>
      </w:r>
      <w:r>
        <w:rPr>
          <w:color w:val="231F20"/>
          <w:spacing w:val="-6"/>
        </w:rPr>
        <w:t> </w:t>
      </w:r>
      <w:r>
        <w:rPr>
          <w:color w:val="231F20"/>
        </w:rPr>
        <w:t>come</w:t>
      </w:r>
      <w:r>
        <w:rPr>
          <w:color w:val="231F20"/>
          <w:spacing w:val="-6"/>
        </w:rPr>
        <w:t> </w:t>
      </w:r>
      <w:r>
        <w:rPr>
          <w:color w:val="231F20"/>
        </w:rPr>
        <w:t>contenitore</w:t>
      </w:r>
      <w:r>
        <w:rPr>
          <w:color w:val="231F20"/>
          <w:spacing w:val="-6"/>
        </w:rPr>
        <w:t> </w:t>
      </w:r>
      <w:r>
        <w:rPr>
          <w:color w:val="231F20"/>
        </w:rPr>
        <w:t>di</w:t>
      </w:r>
      <w:r>
        <w:rPr>
          <w:color w:val="231F20"/>
          <w:spacing w:val="-6"/>
        </w:rPr>
        <w:t> </w:t>
      </w:r>
      <w:r>
        <w:rPr>
          <w:color w:val="231F20"/>
        </w:rPr>
        <w:t>valori.</w:t>
      </w:r>
      <w:r>
        <w:rPr>
          <w:color w:val="231F20"/>
          <w:spacing w:val="-6"/>
        </w:rPr>
        <w:t> </w:t>
      </w:r>
      <w:r>
        <w:rPr>
          <w:color w:val="231F20"/>
        </w:rPr>
        <w:t>In</w:t>
      </w:r>
      <w:r>
        <w:rPr>
          <w:color w:val="231F20"/>
          <w:spacing w:val="-6"/>
        </w:rPr>
        <w:t> </w:t>
      </w:r>
      <w:r>
        <w:rPr>
          <w:color w:val="231F20"/>
        </w:rPr>
        <w:t>Inghilterra,</w:t>
      </w:r>
      <w:r>
        <w:rPr>
          <w:color w:val="231F20"/>
          <w:spacing w:val="-6"/>
        </w:rPr>
        <w:t> </w:t>
      </w:r>
      <w:r>
        <w:rPr>
          <w:color w:val="231F20"/>
        </w:rPr>
        <w:t>dove</w:t>
      </w:r>
      <w:r>
        <w:rPr>
          <w:color w:val="231F20"/>
          <w:spacing w:val="-6"/>
        </w:rPr>
        <w:t> </w:t>
      </w:r>
      <w:r>
        <w:rPr>
          <w:color w:val="231F20"/>
        </w:rPr>
        <w:t>se</w:t>
      </w:r>
      <w:r>
        <w:rPr>
          <w:color w:val="231F20"/>
          <w:spacing w:val="-6"/>
        </w:rPr>
        <w:t> </w:t>
      </w:r>
      <w:r>
        <w:rPr>
          <w:color w:val="231F20"/>
        </w:rPr>
        <w:t>ne</w:t>
      </w:r>
      <w:r>
        <w:rPr>
          <w:color w:val="231F20"/>
          <w:spacing w:val="-6"/>
        </w:rPr>
        <w:t> </w:t>
      </w:r>
      <w:r>
        <w:rPr>
          <w:color w:val="231F20"/>
        </w:rPr>
        <w:t>intendono,</w:t>
      </w:r>
      <w:r>
        <w:rPr>
          <w:color w:val="231F20"/>
          <w:spacing w:val="-6"/>
        </w:rPr>
        <w:t> </w:t>
      </w:r>
      <w:r>
        <w:rPr>
          <w:color w:val="231F20"/>
        </w:rPr>
        <w:t>è</w:t>
      </w:r>
      <w:r>
        <w:rPr>
          <w:color w:val="231F20"/>
          <w:spacing w:val="-6"/>
        </w:rPr>
        <w:t> </w:t>
      </w:r>
      <w:r>
        <w:rPr>
          <w:color w:val="231F20"/>
        </w:rPr>
        <w:t>un continuo rinfacciare i </w:t>
      </w:r>
      <w:r>
        <w:rPr>
          <w:rFonts w:ascii="Arial" w:hAnsi="Arial"/>
          <w:i/>
          <w:color w:val="231F20"/>
        </w:rPr>
        <w:t>British values </w:t>
      </w:r>
      <w:r>
        <w:rPr>
          <w:color w:val="231F20"/>
        </w:rPr>
        <w:t>alle pretese d’inserimento e controllo da parte dell’Unione europea. Ma anche i responsabili di quest’ultima (che pure non erano riusciti ad accordarsi sui principi generali da inserire nella Costituzione) rivendicano </w:t>
      </w:r>
      <w:r>
        <w:rPr>
          <w:rFonts w:ascii="Arial" w:hAnsi="Arial"/>
          <w:i/>
          <w:color w:val="231F20"/>
        </w:rPr>
        <w:t>European values</w:t>
      </w:r>
      <w:r>
        <w:rPr>
          <w:color w:val="231F20"/>
        </w:rPr>
        <w:t>, da difendere in particolare nei confronti</w:t>
      </w:r>
      <w:r>
        <w:rPr>
          <w:color w:val="231F20"/>
          <w:spacing w:val="-19"/>
        </w:rPr>
        <w:t> </w:t>
      </w:r>
      <w:r>
        <w:rPr>
          <w:color w:val="231F20"/>
        </w:rPr>
        <w:t>di</w:t>
      </w:r>
      <w:r>
        <w:rPr>
          <w:color w:val="231F20"/>
          <w:spacing w:val="-19"/>
        </w:rPr>
        <w:t> </w:t>
      </w:r>
      <w:r>
        <w:rPr>
          <w:color w:val="231F20"/>
        </w:rPr>
        <w:t>una</w:t>
      </w:r>
      <w:r>
        <w:rPr>
          <w:color w:val="231F20"/>
          <w:spacing w:val="-19"/>
        </w:rPr>
        <w:t> </w:t>
      </w:r>
      <w:r>
        <w:rPr>
          <w:color w:val="231F20"/>
        </w:rPr>
        <w:t>Russia</w:t>
      </w:r>
      <w:r>
        <w:rPr>
          <w:color w:val="231F20"/>
          <w:spacing w:val="-19"/>
        </w:rPr>
        <w:t> </w:t>
      </w:r>
      <w:r>
        <w:rPr>
          <w:color w:val="231F20"/>
        </w:rPr>
        <w:t>nuovamente</w:t>
      </w:r>
      <w:r>
        <w:rPr>
          <w:color w:val="231F20"/>
          <w:spacing w:val="-19"/>
        </w:rPr>
        <w:t> </w:t>
      </w:r>
      <w:r>
        <w:rPr>
          <w:color w:val="231F20"/>
        </w:rPr>
        <w:t>“imperiale”.</w:t>
      </w:r>
      <w:r>
        <w:rPr>
          <w:color w:val="231F20"/>
          <w:spacing w:val="-19"/>
        </w:rPr>
        <w:t> </w:t>
      </w:r>
      <w:r>
        <w:rPr>
          <w:color w:val="231F20"/>
        </w:rPr>
        <w:t>Vi</w:t>
      </w:r>
      <w:r>
        <w:rPr>
          <w:color w:val="231F20"/>
          <w:spacing w:val="-19"/>
        </w:rPr>
        <w:t> </w:t>
      </w:r>
      <w:r>
        <w:rPr>
          <w:color w:val="231F20"/>
        </w:rPr>
        <w:t>sono</w:t>
      </w:r>
      <w:r>
        <w:rPr>
          <w:color w:val="231F20"/>
          <w:spacing w:val="-19"/>
        </w:rPr>
        <w:t> </w:t>
      </w:r>
      <w:r>
        <w:rPr>
          <w:color w:val="231F20"/>
        </w:rPr>
        <w:t>poi</w:t>
      </w:r>
      <w:r>
        <w:rPr>
          <w:color w:val="231F20"/>
          <w:spacing w:val="-19"/>
        </w:rPr>
        <w:t> </w:t>
      </w:r>
      <w:r>
        <w:rPr>
          <w:rFonts w:ascii="Arial" w:hAnsi="Arial"/>
          <w:i/>
          <w:color w:val="231F20"/>
        </w:rPr>
        <w:t>Western</w:t>
      </w:r>
      <w:r>
        <w:rPr>
          <w:rFonts w:ascii="Arial" w:hAnsi="Arial"/>
          <w:i/>
          <w:color w:val="231F20"/>
          <w:spacing w:val="-12"/>
        </w:rPr>
        <w:t> </w:t>
      </w:r>
      <w:r>
        <w:rPr>
          <w:rFonts w:ascii="Arial" w:hAnsi="Arial"/>
          <w:i/>
          <w:color w:val="231F20"/>
        </w:rPr>
        <w:t>values </w:t>
      </w:r>
      <w:r>
        <w:rPr>
          <w:color w:val="231F20"/>
        </w:rPr>
        <w:t>(comprensivi di </w:t>
      </w:r>
      <w:r>
        <w:rPr>
          <w:rFonts w:ascii="Arial" w:hAnsi="Arial"/>
          <w:i/>
          <w:color w:val="231F20"/>
        </w:rPr>
        <w:t>Human rights</w:t>
      </w:r>
      <w:r>
        <w:rPr>
          <w:color w:val="231F20"/>
        </w:rPr>
        <w:t>) che valgono verso il resto del mondo, in particolare</w:t>
      </w:r>
      <w:r>
        <w:rPr>
          <w:color w:val="231F20"/>
          <w:spacing w:val="-12"/>
        </w:rPr>
        <w:t> </w:t>
      </w:r>
      <w:r>
        <w:rPr>
          <w:color w:val="231F20"/>
        </w:rPr>
        <w:t>l’Oriente,</w:t>
      </w:r>
      <w:r>
        <w:rPr>
          <w:color w:val="231F20"/>
          <w:spacing w:val="-12"/>
        </w:rPr>
        <w:t> </w:t>
      </w:r>
      <w:r>
        <w:rPr>
          <w:color w:val="231F20"/>
        </w:rPr>
        <w:t>troppo</w:t>
      </w:r>
      <w:r>
        <w:rPr>
          <w:color w:val="231F20"/>
          <w:spacing w:val="-12"/>
        </w:rPr>
        <w:t> </w:t>
      </w:r>
      <w:r>
        <w:rPr>
          <w:color w:val="231F20"/>
        </w:rPr>
        <w:t>fiero</w:t>
      </w:r>
      <w:r>
        <w:rPr>
          <w:color w:val="231F20"/>
          <w:spacing w:val="-12"/>
        </w:rPr>
        <w:t> </w:t>
      </w:r>
      <w:r>
        <w:rPr>
          <w:color w:val="231F20"/>
        </w:rPr>
        <w:t>della</w:t>
      </w:r>
      <w:r>
        <w:rPr>
          <w:color w:val="231F20"/>
          <w:spacing w:val="-12"/>
        </w:rPr>
        <w:t> </w:t>
      </w:r>
      <w:r>
        <w:rPr>
          <w:color w:val="231F20"/>
        </w:rPr>
        <w:t>propria</w:t>
      </w:r>
      <w:r>
        <w:rPr>
          <w:color w:val="231F20"/>
          <w:spacing w:val="-12"/>
        </w:rPr>
        <w:t> </w:t>
      </w:r>
      <w:r>
        <w:rPr>
          <w:color w:val="231F20"/>
        </w:rPr>
        <w:t>multipla</w:t>
      </w:r>
      <w:r>
        <w:rPr>
          <w:color w:val="231F20"/>
          <w:spacing w:val="-12"/>
        </w:rPr>
        <w:t> </w:t>
      </w:r>
      <w:r>
        <w:rPr>
          <w:color w:val="231F20"/>
        </w:rPr>
        <w:t>tradizione</w:t>
      </w:r>
      <w:r>
        <w:rPr>
          <w:color w:val="231F20"/>
          <w:spacing w:val="-12"/>
        </w:rPr>
        <w:t> </w:t>
      </w:r>
      <w:r>
        <w:rPr>
          <w:color w:val="231F20"/>
        </w:rPr>
        <w:t>culturale; ma anche questi ultimi cedono rispetto a quelli che potremmo chiamare </w:t>
      </w:r>
      <w:r>
        <w:rPr>
          <w:rFonts w:ascii="Arial" w:hAnsi="Arial"/>
          <w:i/>
          <w:color w:val="231F20"/>
        </w:rPr>
        <w:t>Civilized values</w:t>
      </w:r>
      <w:r>
        <w:rPr>
          <w:rFonts w:ascii="Arial" w:hAnsi="Arial"/>
          <w:i/>
          <w:color w:val="231F20"/>
          <w:position w:val="7"/>
          <w:sz w:val="12"/>
        </w:rPr>
        <w:t>25</w:t>
      </w:r>
      <w:r>
        <w:rPr>
          <w:color w:val="231F20"/>
        </w:rPr>
        <w:t>, operativi contro il terrorismo “incivile” dell’</w:t>
      </w:r>
      <w:r>
        <w:rPr>
          <w:color w:val="231F20"/>
          <w:sz w:val="18"/>
        </w:rPr>
        <w:t>ISIS </w:t>
      </w:r>
      <w:r>
        <w:rPr>
          <w:color w:val="231F20"/>
        </w:rPr>
        <w:t>o di altri “sedicenti Stati”. </w:t>
      </w:r>
      <w:r>
        <w:rPr>
          <w:color w:val="231F20"/>
          <w:spacing w:val="-4"/>
        </w:rPr>
        <w:t>Tutti </w:t>
      </w:r>
      <w:r>
        <w:rPr>
          <w:color w:val="231F20"/>
        </w:rPr>
        <w:t>questi valori producono, ai diversi livelli, strumenti d’identità che servono alla gente —a noi tutti— per riconoscersi fra loro e dare</w:t>
      </w:r>
      <w:r>
        <w:rPr>
          <w:color w:val="231F20"/>
          <w:spacing w:val="-9"/>
        </w:rPr>
        <w:t> </w:t>
      </w:r>
      <w:r>
        <w:rPr>
          <w:color w:val="231F20"/>
        </w:rPr>
        <w:t>nome</w:t>
      </w:r>
      <w:r>
        <w:rPr>
          <w:color w:val="231F20"/>
          <w:spacing w:val="-9"/>
        </w:rPr>
        <w:t> </w:t>
      </w:r>
      <w:r>
        <w:rPr>
          <w:color w:val="231F20"/>
        </w:rPr>
        <w:t>e</w:t>
      </w:r>
      <w:r>
        <w:rPr>
          <w:color w:val="231F20"/>
          <w:spacing w:val="-9"/>
        </w:rPr>
        <w:t> </w:t>
      </w:r>
      <w:r>
        <w:rPr>
          <w:color w:val="231F20"/>
        </w:rPr>
        <w:t>colore</w:t>
      </w:r>
      <w:r>
        <w:rPr>
          <w:color w:val="231F20"/>
          <w:spacing w:val="-9"/>
        </w:rPr>
        <w:t> </w:t>
      </w:r>
      <w:r>
        <w:rPr>
          <w:color w:val="231F20"/>
        </w:rPr>
        <w:t>alle</w:t>
      </w:r>
      <w:r>
        <w:rPr>
          <w:color w:val="231F20"/>
          <w:spacing w:val="-9"/>
        </w:rPr>
        <w:t> </w:t>
      </w:r>
      <w:r>
        <w:rPr>
          <w:color w:val="231F20"/>
        </w:rPr>
        <w:t>norme</w:t>
      </w:r>
      <w:r>
        <w:rPr>
          <w:color w:val="231F20"/>
          <w:spacing w:val="-9"/>
        </w:rPr>
        <w:t> </w:t>
      </w:r>
      <w:r>
        <w:rPr>
          <w:color w:val="231F20"/>
        </w:rPr>
        <w:t>ritenute</w:t>
      </w:r>
      <w:r>
        <w:rPr>
          <w:color w:val="231F20"/>
          <w:spacing w:val="-9"/>
        </w:rPr>
        <w:t> </w:t>
      </w:r>
      <w:r>
        <w:rPr>
          <w:color w:val="231F20"/>
        </w:rPr>
        <w:t>indispensabili</w:t>
      </w:r>
      <w:r>
        <w:rPr>
          <w:color w:val="231F20"/>
          <w:spacing w:val="-9"/>
        </w:rPr>
        <w:t> </w:t>
      </w:r>
      <w:r>
        <w:rPr>
          <w:color w:val="231F20"/>
        </w:rPr>
        <w:t>per</w:t>
      </w:r>
      <w:r>
        <w:rPr>
          <w:color w:val="231F20"/>
          <w:spacing w:val="-9"/>
        </w:rPr>
        <w:t> </w:t>
      </w:r>
      <w:r>
        <w:rPr>
          <w:color w:val="231F20"/>
        </w:rPr>
        <w:t>la</w:t>
      </w:r>
      <w:r>
        <w:rPr>
          <w:color w:val="231F20"/>
          <w:spacing w:val="-9"/>
        </w:rPr>
        <w:t> </w:t>
      </w:r>
      <w:r>
        <w:rPr>
          <w:color w:val="231F20"/>
        </w:rPr>
        <w:t>vita</w:t>
      </w:r>
      <w:r>
        <w:rPr>
          <w:color w:val="231F20"/>
          <w:spacing w:val="-9"/>
        </w:rPr>
        <w:t> </w:t>
      </w:r>
      <w:r>
        <w:rPr>
          <w:color w:val="231F20"/>
        </w:rPr>
        <w:t>in</w:t>
      </w:r>
      <w:r>
        <w:rPr>
          <w:color w:val="231F20"/>
          <w:spacing w:val="-9"/>
        </w:rPr>
        <w:t> </w:t>
      </w:r>
      <w:r>
        <w:rPr>
          <w:color w:val="231F20"/>
        </w:rPr>
        <w:t>comune. Ciò forma la base del consenso che resta, a sua volta, l’ultima spiaggia</w:t>
      </w:r>
      <w:r>
        <w:rPr>
          <w:color w:val="231F20"/>
          <w:spacing w:val="17"/>
        </w:rPr>
        <w:t> </w:t>
      </w:r>
      <w:r>
        <w:rPr>
          <w:color w:val="231F20"/>
        </w:rPr>
        <w:t>del</w:t>
      </w:r>
    </w:p>
    <w:p>
      <w:pPr>
        <w:pStyle w:val="BodyText"/>
        <w:spacing w:before="4"/>
        <w:rPr>
          <w:sz w:val="26"/>
        </w:rPr>
      </w:pPr>
      <w:r>
        <w:rPr/>
        <w:pict>
          <v:line style="position:absolute;mso-position-horizontal-relative:page;mso-position-vertical-relative:paragraph;z-index:12544;mso-wrap-distance-left:0;mso-wrap-distance-right:0" from="65.196899pt,18.033724pt" to="178.582899pt,18.033724pt" stroked="true" strokeweight=".3pt" strokecolor="#231f20">
            <w10:wrap type="topAndBottom"/>
          </v:line>
        </w:pict>
      </w:r>
    </w:p>
    <w:p>
      <w:pPr>
        <w:spacing w:line="204" w:lineRule="exact" w:before="8"/>
        <w:ind w:left="103" w:right="0" w:firstLine="0"/>
        <w:jc w:val="left"/>
        <w:rPr>
          <w:rFonts w:ascii="Calibri" w:hAnsi="Calibri"/>
          <w:sz w:val="17"/>
        </w:rPr>
      </w:pPr>
      <w:r>
        <w:rPr>
          <w:rFonts w:ascii="Calibri" w:hAnsi="Calibri"/>
          <w:color w:val="231F20"/>
          <w:w w:val="105"/>
          <w:position w:val="6"/>
          <w:sz w:val="10"/>
        </w:rPr>
        <w:t>24 </w:t>
      </w:r>
      <w:r>
        <w:rPr>
          <w:rFonts w:ascii="Calibri" w:hAnsi="Calibri"/>
          <w:color w:val="231F20"/>
          <w:w w:val="105"/>
          <w:sz w:val="17"/>
        </w:rPr>
        <w:t>Riprendo la descrizione da R. D. Nardi–Rita Coen, </w:t>
      </w:r>
      <w:r>
        <w:rPr>
          <w:rFonts w:ascii="Calibri" w:hAnsi="Calibri"/>
          <w:i/>
          <w:color w:val="231F20"/>
          <w:w w:val="105"/>
          <w:sz w:val="17"/>
        </w:rPr>
        <w:t>La Costituzione italiana. Guida alla lettura</w:t>
      </w:r>
      <w:r>
        <w:rPr>
          <w:rFonts w:ascii="Calibri" w:hAnsi="Calibri"/>
          <w:color w:val="231F20"/>
          <w:w w:val="105"/>
          <w:sz w:val="17"/>
        </w:rPr>
        <w:t>, </w:t>
      </w:r>
      <w:r>
        <w:rPr>
          <w:rFonts w:ascii="Calibri" w:hAnsi="Calibri"/>
          <w:color w:val="231F20"/>
          <w:sz w:val="17"/>
        </w:rPr>
        <w:t>Roma, Aracne, 2012.</w:t>
      </w:r>
    </w:p>
    <w:p>
      <w:pPr>
        <w:spacing w:line="206" w:lineRule="exact" w:before="1"/>
        <w:ind w:left="103" w:right="0" w:firstLine="0"/>
        <w:jc w:val="left"/>
        <w:rPr>
          <w:rFonts w:ascii="Calibri"/>
          <w:sz w:val="17"/>
        </w:rPr>
      </w:pPr>
      <w:r>
        <w:rPr>
          <w:rFonts w:ascii="Calibri"/>
          <w:color w:val="231F20"/>
          <w:position w:val="6"/>
          <w:sz w:val="10"/>
        </w:rPr>
        <w:t>25 </w:t>
      </w:r>
      <w:r>
        <w:rPr>
          <w:rFonts w:ascii="Calibri"/>
          <w:color w:val="231F20"/>
          <w:sz w:val="17"/>
        </w:rPr>
        <w:t>P. Crowther, </w:t>
      </w:r>
      <w:r>
        <w:rPr>
          <w:rFonts w:ascii="Calibri"/>
          <w:i/>
          <w:color w:val="231F20"/>
          <w:sz w:val="17"/>
        </w:rPr>
        <w:t>Philosophy After Postmodernism: Civilized Values and the Scope of Knowledge</w:t>
      </w:r>
      <w:r>
        <w:rPr>
          <w:rFonts w:ascii="Calibri"/>
          <w:color w:val="231F20"/>
          <w:sz w:val="17"/>
        </w:rPr>
        <w:t>, London</w:t>
      </w:r>
    </w:p>
    <w:p>
      <w:pPr>
        <w:spacing w:line="206" w:lineRule="exact" w:before="0"/>
        <w:ind w:left="103" w:right="0" w:firstLine="0"/>
        <w:jc w:val="left"/>
        <w:rPr>
          <w:rFonts w:ascii="Calibri"/>
          <w:sz w:val="17"/>
        </w:rPr>
      </w:pPr>
      <w:r>
        <w:rPr>
          <w:rFonts w:ascii="Calibri"/>
          <w:color w:val="231F20"/>
          <w:w w:val="105"/>
          <w:sz w:val="17"/>
        </w:rPr>
        <w:t>and New York, Routledge, 2003.</w:t>
      </w:r>
    </w:p>
    <w:p>
      <w:pPr>
        <w:pStyle w:val="BodyText"/>
        <w:rPr>
          <w:rFonts w:ascii="Calibri"/>
          <w:sz w:val="20"/>
        </w:rPr>
      </w:pPr>
    </w:p>
    <w:p>
      <w:pPr>
        <w:pStyle w:val="BodyText"/>
        <w:spacing w:before="9"/>
        <w:rPr>
          <w:rFonts w:ascii="Calibri"/>
          <w:sz w:val="27"/>
        </w:rPr>
      </w:pPr>
    </w:p>
    <w:p>
      <w:pPr>
        <w:tabs>
          <w:tab w:pos="1317" w:val="left" w:leader="none"/>
        </w:tabs>
        <w:spacing w:before="68"/>
        <w:ind w:left="267" w:right="0" w:firstLine="0"/>
        <w:jc w:val="left"/>
        <w:rPr>
          <w:rFonts w:ascii="Calibri"/>
          <w:sz w:val="16"/>
        </w:rPr>
      </w:pPr>
      <w:r>
        <w:rPr/>
        <w:pict>
          <v:group style="position:absolute;margin-left:98.079102pt;margin-top:-3.358812pt;width:20.4pt;height:43pt;mso-position-horizontal-relative:page;mso-position-vertical-relative:paragraph;z-index:-162832"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94</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991"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278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28"/>
          <w:sz w:val="14"/>
        </w:rPr>
        <w:t> </w:t>
      </w:r>
      <w:r>
        <w:rPr>
          <w:rFonts w:ascii="Lucida Sans Unicode" w:hAnsi="Lucida Sans Unicode"/>
          <w:color w:val="6D6E71"/>
          <w:spacing w:val="-4"/>
          <w:sz w:val="14"/>
        </w:rPr>
        <w:t>STATO</w:t>
      </w:r>
      <w:r>
        <w:rPr>
          <w:rFonts w:ascii="Lucida Sans Unicode" w:hAnsi="Lucida Sans Unicode"/>
          <w:color w:val="6D6E71"/>
          <w:spacing w:val="-28"/>
          <w:sz w:val="14"/>
        </w:rPr>
        <w:t> </w:t>
      </w:r>
      <w:r>
        <w:rPr>
          <w:rFonts w:ascii="Lucida Sans Unicode" w:hAnsi="Lucida Sans Unicode"/>
          <w:color w:val="6D6E71"/>
          <w:sz w:val="14"/>
        </w:rPr>
        <w:t>MODERNO,</w:t>
      </w:r>
      <w:r>
        <w:rPr>
          <w:rFonts w:ascii="Lucida Sans Unicode" w:hAnsi="Lucida Sans Unicode"/>
          <w:color w:val="6D6E71"/>
          <w:spacing w:val="-28"/>
          <w:sz w:val="14"/>
        </w:rPr>
        <w:t> </w:t>
      </w:r>
      <w:r>
        <w:rPr>
          <w:rFonts w:ascii="Lucida Sans Unicode" w:hAnsi="Lucida Sans Unicode"/>
          <w:color w:val="6D6E71"/>
          <w:sz w:val="14"/>
        </w:rPr>
        <w:t>AL</w:t>
      </w:r>
      <w:r>
        <w:rPr>
          <w:rFonts w:ascii="Lucida Sans Unicode" w:hAnsi="Lucida Sans Unicode"/>
          <w:color w:val="6D6E71"/>
          <w:spacing w:val="-28"/>
          <w:sz w:val="14"/>
        </w:rPr>
        <w:t> </w:t>
      </w:r>
      <w:r>
        <w:rPr>
          <w:rFonts w:ascii="Lucida Sans Unicode" w:hAnsi="Lucida Sans Unicode"/>
          <w:color w:val="6D6E71"/>
          <w:sz w:val="14"/>
        </w:rPr>
        <w:t>GIORNO</w:t>
      </w:r>
      <w:r>
        <w:rPr>
          <w:rFonts w:ascii="Lucida Sans Unicode" w:hAnsi="Lucida Sans Unicode"/>
          <w:color w:val="6D6E71"/>
          <w:spacing w:val="-28"/>
          <w:sz w:val="14"/>
        </w:rPr>
        <w:t> </w:t>
      </w:r>
      <w:r>
        <w:rPr>
          <w:rFonts w:ascii="Lucida Sans Unicode" w:hAnsi="Lucida Sans Unicode"/>
          <w:color w:val="6D6E71"/>
          <w:sz w:val="14"/>
        </w:rPr>
        <w:t>D’OGGI</w:t>
      </w:r>
      <w:r>
        <w:rPr>
          <w:rFonts w:ascii="Lucida Sans Unicode" w:hAnsi="Lucida Sans Unicode"/>
          <w:color w:val="6D6E71"/>
          <w:spacing w:val="-28"/>
          <w:sz w:val="14"/>
        </w:rPr>
        <w:t> </w:t>
      </w:r>
      <w:r>
        <w:rPr>
          <w:rFonts w:ascii="Lucida Sans Unicode" w:hAnsi="Lucida Sans Unicode"/>
          <w:color w:val="6D6E71"/>
          <w:sz w:val="14"/>
        </w:rPr>
        <w:t>E</w:t>
      </w:r>
      <w:r>
        <w:rPr>
          <w:rFonts w:ascii="Lucida Sans Unicode" w:hAnsi="Lucida Sans Unicode"/>
          <w:color w:val="6D6E71"/>
          <w:spacing w:val="-28"/>
          <w:sz w:val="14"/>
        </w:rPr>
        <w:t> </w:t>
      </w:r>
      <w:r>
        <w:rPr>
          <w:rFonts w:ascii="Lucida Sans Unicode" w:hAnsi="Lucida Sans Unicode"/>
          <w:color w:val="6D6E71"/>
          <w:sz w:val="14"/>
        </w:rPr>
        <w:t>DI</w:t>
      </w:r>
      <w:r>
        <w:rPr>
          <w:rFonts w:ascii="Lucida Sans Unicode" w:hAnsi="Lucida Sans Unicode"/>
          <w:color w:val="6D6E71"/>
          <w:spacing w:val="-28"/>
          <w:sz w:val="14"/>
        </w:rPr>
        <w:t> </w:t>
      </w:r>
      <w:r>
        <w:rPr>
          <w:rFonts w:ascii="Lucida Sans Unicode" w:hAnsi="Lucida Sans Unicode"/>
          <w:color w:val="6D6E71"/>
          <w:sz w:val="14"/>
        </w:rPr>
        <w:t>DOMANI</w:t>
      </w:r>
      <w:r>
        <w:rPr>
          <w:rFonts w:ascii="Trebuchet MS" w:hAnsi="Trebuchet MS"/>
          <w:color w:val="414042"/>
          <w:position w:val="-3"/>
          <w:sz w:val="20"/>
        </w:rPr>
        <w:tab/>
        <w:t>95</w:t>
      </w:r>
    </w:p>
    <w:p>
      <w:pPr>
        <w:pStyle w:val="BodyText"/>
        <w:rPr>
          <w:rFonts w:ascii="Trebuchet MS"/>
          <w:sz w:val="20"/>
        </w:rPr>
      </w:pPr>
    </w:p>
    <w:p>
      <w:pPr>
        <w:pStyle w:val="BodyText"/>
        <w:rPr>
          <w:rFonts w:ascii="Trebuchet MS"/>
          <w:sz w:val="20"/>
        </w:rPr>
      </w:pPr>
    </w:p>
    <w:p>
      <w:pPr>
        <w:pStyle w:val="BodyText"/>
        <w:spacing w:before="156"/>
        <w:ind w:left="90" w:right="123"/>
        <w:jc w:val="right"/>
      </w:pPr>
      <w:r>
        <w:rPr>
          <w:color w:val="231F20"/>
          <w:spacing w:val="-3"/>
        </w:rPr>
        <w:t>potere</w:t>
      </w:r>
      <w:r>
        <w:rPr>
          <w:color w:val="231F20"/>
          <w:spacing w:val="-21"/>
        </w:rPr>
        <w:t> </w:t>
      </w:r>
      <w:r>
        <w:rPr>
          <w:color w:val="231F20"/>
        </w:rPr>
        <w:t>legittimo,</w:t>
      </w:r>
      <w:r>
        <w:rPr>
          <w:color w:val="231F20"/>
          <w:spacing w:val="-21"/>
        </w:rPr>
        <w:t> </w:t>
      </w:r>
      <w:r>
        <w:rPr>
          <w:color w:val="231F20"/>
        </w:rPr>
        <w:t>il</w:t>
      </w:r>
      <w:r>
        <w:rPr>
          <w:color w:val="231F20"/>
          <w:spacing w:val="-21"/>
        </w:rPr>
        <w:t> </w:t>
      </w:r>
      <w:r>
        <w:rPr>
          <w:color w:val="231F20"/>
        </w:rPr>
        <w:t>quale</w:t>
      </w:r>
      <w:r>
        <w:rPr>
          <w:color w:val="231F20"/>
          <w:spacing w:val="-21"/>
        </w:rPr>
        <w:t> </w:t>
      </w:r>
      <w:r>
        <w:rPr>
          <w:color w:val="231F20"/>
        </w:rPr>
        <w:t>si</w:t>
      </w:r>
      <w:r>
        <w:rPr>
          <w:color w:val="231F20"/>
          <w:spacing w:val="-21"/>
        </w:rPr>
        <w:t> </w:t>
      </w:r>
      <w:r>
        <w:rPr>
          <w:color w:val="231F20"/>
        </w:rPr>
        <w:t>configura</w:t>
      </w:r>
      <w:r>
        <w:rPr>
          <w:color w:val="231F20"/>
          <w:spacing w:val="-21"/>
        </w:rPr>
        <w:t> </w:t>
      </w:r>
      <w:r>
        <w:rPr>
          <w:color w:val="231F20"/>
        </w:rPr>
        <w:t>e</w:t>
      </w:r>
      <w:r>
        <w:rPr>
          <w:color w:val="231F20"/>
          <w:spacing w:val="-21"/>
        </w:rPr>
        <w:t> </w:t>
      </w:r>
      <w:r>
        <w:rPr>
          <w:color w:val="231F20"/>
        </w:rPr>
        <w:t>si</w:t>
      </w:r>
      <w:r>
        <w:rPr>
          <w:color w:val="231F20"/>
          <w:spacing w:val="-21"/>
        </w:rPr>
        <w:t> </w:t>
      </w:r>
      <w:r>
        <w:rPr>
          <w:color w:val="231F20"/>
        </w:rPr>
        <w:t>giustifica</w:t>
      </w:r>
      <w:r>
        <w:rPr>
          <w:color w:val="231F20"/>
          <w:spacing w:val="-21"/>
        </w:rPr>
        <w:t> </w:t>
      </w:r>
      <w:r>
        <w:rPr>
          <w:color w:val="231F20"/>
        </w:rPr>
        <w:t>a</w:t>
      </w:r>
      <w:r>
        <w:rPr>
          <w:color w:val="231F20"/>
          <w:spacing w:val="-21"/>
        </w:rPr>
        <w:t> </w:t>
      </w:r>
      <w:r>
        <w:rPr>
          <w:color w:val="231F20"/>
        </w:rPr>
        <w:t>tutt’oggi</w:t>
      </w:r>
      <w:r>
        <w:rPr>
          <w:color w:val="231F20"/>
          <w:spacing w:val="-21"/>
        </w:rPr>
        <w:t> </w:t>
      </w:r>
      <w:r>
        <w:rPr>
          <w:color w:val="231F20"/>
        </w:rPr>
        <w:t>essenzialmente</w:t>
      </w:r>
    </w:p>
    <w:p>
      <w:pPr>
        <w:pStyle w:val="BodyText"/>
        <w:spacing w:before="6"/>
        <w:ind w:left="117"/>
      </w:pPr>
      <w:r>
        <w:rPr>
          <w:color w:val="231F20"/>
        </w:rPr>
        <w:t>solo nella rassicurante cornice “statale”.</w:t>
      </w:r>
    </w:p>
    <w:p>
      <w:pPr>
        <w:pStyle w:val="BodyText"/>
        <w:spacing w:line="247" w:lineRule="auto" w:before="6"/>
        <w:ind w:left="117" w:right="119" w:firstLine="566"/>
        <w:jc w:val="both"/>
      </w:pPr>
      <w:r>
        <w:rPr>
          <w:color w:val="231F20"/>
        </w:rPr>
        <w:t>Un secondo punto di vista riguarda l’altra funzione dello star insieme della gente, oltre al riconoscersi in identità: mi riferisco all’amministrazione pubblica. Lo Stato diviene “apparato amministrativo”, provando a sfuggire agli smarrimenti relativi al piano più nobile della statualità, quello della sovranità.</w:t>
      </w:r>
      <w:r>
        <w:rPr>
          <w:color w:val="231F20"/>
          <w:spacing w:val="-6"/>
        </w:rPr>
        <w:t> </w:t>
      </w:r>
      <w:r>
        <w:rPr>
          <w:color w:val="231F20"/>
        </w:rPr>
        <w:t>È</w:t>
      </w:r>
      <w:r>
        <w:rPr>
          <w:color w:val="231F20"/>
          <w:spacing w:val="-6"/>
        </w:rPr>
        <w:t> </w:t>
      </w:r>
      <w:r>
        <w:rPr>
          <w:color w:val="231F20"/>
        </w:rPr>
        <w:t>doveroso</w:t>
      </w:r>
      <w:r>
        <w:rPr>
          <w:color w:val="231F20"/>
          <w:spacing w:val="-6"/>
        </w:rPr>
        <w:t> </w:t>
      </w:r>
      <w:r>
        <w:rPr>
          <w:color w:val="231F20"/>
        </w:rPr>
        <w:t>ricordare</w:t>
      </w:r>
      <w:r>
        <w:rPr>
          <w:color w:val="231F20"/>
          <w:spacing w:val="-6"/>
        </w:rPr>
        <w:t> </w:t>
      </w:r>
      <w:r>
        <w:rPr>
          <w:color w:val="231F20"/>
        </w:rPr>
        <w:t>che</w:t>
      </w:r>
      <w:r>
        <w:rPr>
          <w:color w:val="231F20"/>
          <w:spacing w:val="-6"/>
        </w:rPr>
        <w:t> </w:t>
      </w:r>
      <w:r>
        <w:rPr>
          <w:color w:val="231F20"/>
        </w:rPr>
        <w:t>l’amministrazione</w:t>
      </w:r>
      <w:r>
        <w:rPr>
          <w:color w:val="231F20"/>
          <w:spacing w:val="-6"/>
        </w:rPr>
        <w:t> </w:t>
      </w:r>
      <w:r>
        <w:rPr>
          <w:color w:val="231F20"/>
        </w:rPr>
        <w:t>è</w:t>
      </w:r>
      <w:r>
        <w:rPr>
          <w:color w:val="231F20"/>
          <w:spacing w:val="-6"/>
        </w:rPr>
        <w:t> </w:t>
      </w:r>
      <w:r>
        <w:rPr>
          <w:color w:val="231F20"/>
        </w:rPr>
        <w:t>stata</w:t>
      </w:r>
      <w:r>
        <w:rPr>
          <w:color w:val="231F20"/>
          <w:spacing w:val="-6"/>
        </w:rPr>
        <w:t> </w:t>
      </w:r>
      <w:r>
        <w:rPr>
          <w:color w:val="231F20"/>
        </w:rPr>
        <w:t>un</w:t>
      </w:r>
      <w:r>
        <w:rPr>
          <w:color w:val="231F20"/>
          <w:spacing w:val="-6"/>
        </w:rPr>
        <w:t> </w:t>
      </w:r>
      <w:r>
        <w:rPr>
          <w:rFonts w:ascii="Arial" w:hAnsi="Arial"/>
          <w:i/>
          <w:color w:val="231F20"/>
        </w:rPr>
        <w:t>prius</w:t>
      </w:r>
      <w:r>
        <w:rPr>
          <w:rFonts w:ascii="Arial" w:hAnsi="Arial"/>
          <w:i/>
          <w:color w:val="231F20"/>
          <w:spacing w:val="1"/>
        </w:rPr>
        <w:t> </w:t>
      </w:r>
      <w:r>
        <w:rPr>
          <w:color w:val="231F20"/>
        </w:rPr>
        <w:t>dello Stato moderno, il quale ha dato risposta —accentrata e burocratica, per dirla in due parole— al deficit amministrativo insorto nel tardo medioevo cittadino</w:t>
      </w:r>
      <w:r>
        <w:rPr>
          <w:color w:val="231F20"/>
          <w:spacing w:val="-11"/>
        </w:rPr>
        <w:t> </w:t>
      </w:r>
      <w:r>
        <w:rPr>
          <w:color w:val="231F20"/>
        </w:rPr>
        <w:t>e</w:t>
      </w:r>
      <w:r>
        <w:rPr>
          <w:color w:val="231F20"/>
          <w:spacing w:val="-11"/>
        </w:rPr>
        <w:t> </w:t>
      </w:r>
      <w:r>
        <w:rPr>
          <w:color w:val="231F20"/>
        </w:rPr>
        <w:t>signorile</w:t>
      </w:r>
      <w:r>
        <w:rPr>
          <w:color w:val="231F20"/>
          <w:spacing w:val="-11"/>
        </w:rPr>
        <w:t> </w:t>
      </w:r>
      <w:r>
        <w:rPr>
          <w:color w:val="231F20"/>
        </w:rPr>
        <w:t>dalla</w:t>
      </w:r>
      <w:r>
        <w:rPr>
          <w:color w:val="231F20"/>
          <w:spacing w:val="-11"/>
        </w:rPr>
        <w:t> </w:t>
      </w:r>
      <w:r>
        <w:rPr>
          <w:color w:val="231F20"/>
        </w:rPr>
        <w:t>discrepanza</w:t>
      </w:r>
      <w:r>
        <w:rPr>
          <w:color w:val="231F20"/>
          <w:spacing w:val="-11"/>
        </w:rPr>
        <w:t> </w:t>
      </w:r>
      <w:r>
        <w:rPr>
          <w:color w:val="231F20"/>
        </w:rPr>
        <w:t>fra</w:t>
      </w:r>
      <w:r>
        <w:rPr>
          <w:color w:val="231F20"/>
          <w:spacing w:val="-11"/>
        </w:rPr>
        <w:t> </w:t>
      </w:r>
      <w:r>
        <w:rPr>
          <w:color w:val="231F20"/>
        </w:rPr>
        <w:t>espansione</w:t>
      </w:r>
      <w:r>
        <w:rPr>
          <w:color w:val="231F20"/>
          <w:spacing w:val="-11"/>
        </w:rPr>
        <w:t> </w:t>
      </w:r>
      <w:r>
        <w:rPr>
          <w:color w:val="231F20"/>
        </w:rPr>
        <w:t>dei</w:t>
      </w:r>
      <w:r>
        <w:rPr>
          <w:color w:val="231F20"/>
          <w:spacing w:val="-11"/>
        </w:rPr>
        <w:t> </w:t>
      </w:r>
      <w:r>
        <w:rPr>
          <w:color w:val="231F20"/>
        </w:rPr>
        <w:t>bisogni</w:t>
      </w:r>
      <w:r>
        <w:rPr>
          <w:color w:val="231F20"/>
          <w:spacing w:val="-11"/>
        </w:rPr>
        <w:t> </w:t>
      </w:r>
      <w:r>
        <w:rPr>
          <w:color w:val="231F20"/>
        </w:rPr>
        <w:t>di</w:t>
      </w:r>
      <w:r>
        <w:rPr>
          <w:color w:val="231F20"/>
          <w:spacing w:val="-11"/>
        </w:rPr>
        <w:t> </w:t>
      </w:r>
      <w:r>
        <w:rPr>
          <w:color w:val="231F20"/>
        </w:rPr>
        <w:t>ordine</w:t>
      </w:r>
      <w:r>
        <w:rPr>
          <w:color w:val="231F20"/>
          <w:spacing w:val="-11"/>
        </w:rPr>
        <w:t> </w:t>
      </w:r>
      <w:r>
        <w:rPr>
          <w:color w:val="231F20"/>
        </w:rPr>
        <w:t>e frammentarietà</w:t>
      </w:r>
      <w:r>
        <w:rPr>
          <w:color w:val="231F20"/>
          <w:spacing w:val="-17"/>
        </w:rPr>
        <w:t> </w:t>
      </w:r>
      <w:r>
        <w:rPr>
          <w:color w:val="231F20"/>
        </w:rPr>
        <w:t>della</w:t>
      </w:r>
      <w:r>
        <w:rPr>
          <w:color w:val="231F20"/>
          <w:spacing w:val="-17"/>
        </w:rPr>
        <w:t> </w:t>
      </w:r>
      <w:r>
        <w:rPr>
          <w:color w:val="231F20"/>
        </w:rPr>
        <w:t>risposta</w:t>
      </w:r>
      <w:r>
        <w:rPr>
          <w:color w:val="231F20"/>
          <w:spacing w:val="-17"/>
        </w:rPr>
        <w:t> </w:t>
      </w:r>
      <w:r>
        <w:rPr>
          <w:color w:val="231F20"/>
        </w:rPr>
        <w:t>pubblica.</w:t>
      </w:r>
      <w:r>
        <w:rPr>
          <w:color w:val="231F20"/>
          <w:spacing w:val="-17"/>
        </w:rPr>
        <w:t> </w:t>
      </w:r>
      <w:r>
        <w:rPr>
          <w:color w:val="231F20"/>
        </w:rPr>
        <w:t>La</w:t>
      </w:r>
      <w:r>
        <w:rPr>
          <w:color w:val="231F20"/>
          <w:spacing w:val="-17"/>
        </w:rPr>
        <w:t> </w:t>
      </w:r>
      <w:r>
        <w:rPr>
          <w:color w:val="231F20"/>
        </w:rPr>
        <w:t>convivenza</w:t>
      </w:r>
      <w:r>
        <w:rPr>
          <w:color w:val="231F20"/>
          <w:spacing w:val="-17"/>
        </w:rPr>
        <w:t> </w:t>
      </w:r>
      <w:r>
        <w:rPr>
          <w:color w:val="231F20"/>
        </w:rPr>
        <w:t>nelle</w:t>
      </w:r>
      <w:r>
        <w:rPr>
          <w:color w:val="231F20"/>
          <w:spacing w:val="-17"/>
        </w:rPr>
        <w:t> </w:t>
      </w:r>
      <w:r>
        <w:rPr>
          <w:color w:val="231F20"/>
        </w:rPr>
        <w:t>nuove</w:t>
      </w:r>
      <w:r>
        <w:rPr>
          <w:color w:val="231F20"/>
          <w:spacing w:val="-17"/>
        </w:rPr>
        <w:t> </w:t>
      </w:r>
      <w:r>
        <w:rPr>
          <w:color w:val="231F20"/>
        </w:rPr>
        <w:t>comunità produttive esigeva in primo luogo attenzione per l’amministrazione, intesa </w:t>
      </w:r>
      <w:r>
        <w:rPr>
          <w:color w:val="231F20"/>
          <w:spacing w:val="-4"/>
        </w:rPr>
        <w:t>come </w:t>
      </w:r>
      <w:r>
        <w:rPr>
          <w:color w:val="231F20"/>
          <w:spacing w:val="-5"/>
        </w:rPr>
        <w:t>regolazione aggiornata </w:t>
      </w:r>
      <w:r>
        <w:rPr>
          <w:color w:val="231F20"/>
        </w:rPr>
        <w:t>e </w:t>
      </w:r>
      <w:r>
        <w:rPr>
          <w:color w:val="231F20"/>
          <w:spacing w:val="-5"/>
        </w:rPr>
        <w:t>moderna </w:t>
      </w:r>
      <w:r>
        <w:rPr>
          <w:color w:val="231F20"/>
        </w:rPr>
        <w:t>di </w:t>
      </w:r>
      <w:r>
        <w:rPr>
          <w:color w:val="231F20"/>
          <w:spacing w:val="-5"/>
        </w:rPr>
        <w:t>rapporti </w:t>
      </w:r>
      <w:r>
        <w:rPr>
          <w:color w:val="231F20"/>
          <w:spacing w:val="-4"/>
        </w:rPr>
        <w:t>che </w:t>
      </w:r>
      <w:r>
        <w:rPr>
          <w:color w:val="231F20"/>
          <w:spacing w:val="-5"/>
        </w:rPr>
        <w:t>andavano costituendo </w:t>
      </w:r>
      <w:r>
        <w:rPr>
          <w:color w:val="231F20"/>
        </w:rPr>
        <w:t>la</w:t>
      </w:r>
      <w:r>
        <w:rPr>
          <w:color w:val="231F20"/>
          <w:spacing w:val="-13"/>
        </w:rPr>
        <w:t> </w:t>
      </w:r>
      <w:r>
        <w:rPr>
          <w:color w:val="231F20"/>
        </w:rPr>
        <w:t>spina</w:t>
      </w:r>
      <w:r>
        <w:rPr>
          <w:color w:val="231F20"/>
          <w:spacing w:val="-13"/>
        </w:rPr>
        <w:t> </w:t>
      </w:r>
      <w:r>
        <w:rPr>
          <w:color w:val="231F20"/>
        </w:rPr>
        <w:t>dorsale</w:t>
      </w:r>
      <w:r>
        <w:rPr>
          <w:color w:val="231F20"/>
          <w:spacing w:val="-13"/>
        </w:rPr>
        <w:t> </w:t>
      </w:r>
      <w:r>
        <w:rPr>
          <w:color w:val="231F20"/>
        </w:rPr>
        <w:t>del</w:t>
      </w:r>
      <w:r>
        <w:rPr>
          <w:color w:val="231F20"/>
          <w:spacing w:val="-13"/>
        </w:rPr>
        <w:t> </w:t>
      </w:r>
      <w:r>
        <w:rPr>
          <w:color w:val="231F20"/>
        </w:rPr>
        <w:t>nuovo</w:t>
      </w:r>
      <w:r>
        <w:rPr>
          <w:color w:val="231F20"/>
          <w:spacing w:val="-13"/>
        </w:rPr>
        <w:t> </w:t>
      </w:r>
      <w:r>
        <w:rPr>
          <w:color w:val="231F20"/>
        </w:rPr>
        <w:t>modo</w:t>
      </w:r>
      <w:r>
        <w:rPr>
          <w:color w:val="231F20"/>
          <w:spacing w:val="-13"/>
        </w:rPr>
        <w:t> </w:t>
      </w:r>
      <w:r>
        <w:rPr>
          <w:color w:val="231F20"/>
        </w:rPr>
        <w:t>di</w:t>
      </w:r>
      <w:r>
        <w:rPr>
          <w:color w:val="231F20"/>
          <w:spacing w:val="-13"/>
        </w:rPr>
        <w:t> </w:t>
      </w:r>
      <w:r>
        <w:rPr>
          <w:color w:val="231F20"/>
          <w:spacing w:val="-3"/>
        </w:rPr>
        <w:t>produzione.</w:t>
      </w:r>
      <w:r>
        <w:rPr>
          <w:color w:val="231F20"/>
          <w:spacing w:val="-13"/>
        </w:rPr>
        <w:t> </w:t>
      </w:r>
      <w:r>
        <w:rPr>
          <w:color w:val="231F20"/>
        </w:rPr>
        <w:t>Ma</w:t>
      </w:r>
      <w:r>
        <w:rPr>
          <w:color w:val="231F20"/>
          <w:spacing w:val="-13"/>
        </w:rPr>
        <w:t> </w:t>
      </w:r>
      <w:r>
        <w:rPr>
          <w:color w:val="231F20"/>
        </w:rPr>
        <w:t>se</w:t>
      </w:r>
      <w:r>
        <w:rPr>
          <w:color w:val="231F20"/>
          <w:spacing w:val="-13"/>
        </w:rPr>
        <w:t> </w:t>
      </w:r>
      <w:r>
        <w:rPr>
          <w:color w:val="231F20"/>
        </w:rPr>
        <w:t>l’amministrazione</w:t>
      </w:r>
      <w:r>
        <w:rPr>
          <w:color w:val="231F20"/>
          <w:spacing w:val="-13"/>
        </w:rPr>
        <w:t> </w:t>
      </w:r>
      <w:r>
        <w:rPr>
          <w:color w:val="231F20"/>
          <w:spacing w:val="-2"/>
        </w:rPr>
        <w:t>può </w:t>
      </w:r>
      <w:r>
        <w:rPr>
          <w:color w:val="231F20"/>
        </w:rPr>
        <w:t>essere vista come motore della nascita dello “Stato (moderno)”, grazie al raggrupparsi</w:t>
      </w:r>
      <w:r>
        <w:rPr>
          <w:color w:val="231F20"/>
          <w:spacing w:val="-8"/>
        </w:rPr>
        <w:t> </w:t>
      </w:r>
      <w:r>
        <w:rPr>
          <w:color w:val="231F20"/>
        </w:rPr>
        <w:t>intorno</w:t>
      </w:r>
      <w:r>
        <w:rPr>
          <w:color w:val="231F20"/>
          <w:spacing w:val="-8"/>
        </w:rPr>
        <w:t> </w:t>
      </w:r>
      <w:r>
        <w:rPr>
          <w:color w:val="231F20"/>
        </w:rPr>
        <w:t>al</w:t>
      </w:r>
      <w:r>
        <w:rPr>
          <w:color w:val="231F20"/>
          <w:spacing w:val="-8"/>
        </w:rPr>
        <w:t> </w:t>
      </w:r>
      <w:r>
        <w:rPr>
          <w:color w:val="231F20"/>
        </w:rPr>
        <w:t>principe</w:t>
      </w:r>
      <w:r>
        <w:rPr>
          <w:color w:val="231F20"/>
          <w:spacing w:val="-8"/>
        </w:rPr>
        <w:t> </w:t>
      </w:r>
      <w:r>
        <w:rPr>
          <w:color w:val="231F20"/>
        </w:rPr>
        <w:t>di</w:t>
      </w:r>
      <w:r>
        <w:rPr>
          <w:color w:val="231F20"/>
          <w:spacing w:val="-8"/>
        </w:rPr>
        <w:t> </w:t>
      </w:r>
      <w:r>
        <w:rPr>
          <w:color w:val="231F20"/>
        </w:rPr>
        <w:t>un</w:t>
      </w:r>
      <w:r>
        <w:rPr>
          <w:color w:val="231F20"/>
          <w:spacing w:val="-8"/>
        </w:rPr>
        <w:t> </w:t>
      </w:r>
      <w:r>
        <w:rPr>
          <w:color w:val="231F20"/>
        </w:rPr>
        <w:t>aggregato</w:t>
      </w:r>
      <w:r>
        <w:rPr>
          <w:color w:val="231F20"/>
          <w:spacing w:val="-8"/>
        </w:rPr>
        <w:t> </w:t>
      </w:r>
      <w:r>
        <w:rPr>
          <w:color w:val="231F20"/>
        </w:rPr>
        <w:t>di</w:t>
      </w:r>
      <w:r>
        <w:rPr>
          <w:color w:val="231F20"/>
          <w:spacing w:val="-8"/>
        </w:rPr>
        <w:t> </w:t>
      </w:r>
      <w:r>
        <w:rPr>
          <w:color w:val="231F20"/>
        </w:rPr>
        <w:t>notabili</w:t>
      </w:r>
      <w:r>
        <w:rPr>
          <w:color w:val="231F20"/>
          <w:spacing w:val="-8"/>
        </w:rPr>
        <w:t> </w:t>
      </w:r>
      <w:r>
        <w:rPr>
          <w:color w:val="231F20"/>
        </w:rPr>
        <w:t>ed</w:t>
      </w:r>
      <w:r>
        <w:rPr>
          <w:color w:val="231F20"/>
          <w:spacing w:val="-8"/>
        </w:rPr>
        <w:t> </w:t>
      </w:r>
      <w:r>
        <w:rPr>
          <w:color w:val="231F20"/>
        </w:rPr>
        <w:t>esperti</w:t>
      </w:r>
      <w:r>
        <w:rPr>
          <w:color w:val="231F20"/>
          <w:spacing w:val="-8"/>
        </w:rPr>
        <w:t> </w:t>
      </w:r>
      <w:r>
        <w:rPr>
          <w:color w:val="231F20"/>
        </w:rPr>
        <w:t>dediti al governo della cosa pubblica, non è impensabile che l’amministrazione possa di nuovo essere il motore per portare tale governo fuori dallo Stato, in</w:t>
      </w:r>
      <w:r>
        <w:rPr>
          <w:color w:val="231F20"/>
          <w:spacing w:val="-13"/>
        </w:rPr>
        <w:t> </w:t>
      </w:r>
      <w:r>
        <w:rPr>
          <w:color w:val="231F20"/>
        </w:rPr>
        <w:t>ambiti</w:t>
      </w:r>
      <w:r>
        <w:rPr>
          <w:color w:val="231F20"/>
          <w:spacing w:val="-13"/>
        </w:rPr>
        <w:t> </w:t>
      </w:r>
      <w:r>
        <w:rPr>
          <w:color w:val="231F20"/>
        </w:rPr>
        <w:t>funzionali</w:t>
      </w:r>
      <w:r>
        <w:rPr>
          <w:color w:val="231F20"/>
          <w:spacing w:val="-13"/>
        </w:rPr>
        <w:t> </w:t>
      </w:r>
      <w:r>
        <w:rPr>
          <w:color w:val="231F20"/>
        </w:rPr>
        <w:t>(</w:t>
      </w:r>
      <w:r>
        <w:rPr>
          <w:rFonts w:ascii="Arial" w:hAnsi="Arial"/>
          <w:i/>
          <w:color w:val="231F20"/>
        </w:rPr>
        <w:t>governance</w:t>
      </w:r>
      <w:r>
        <w:rPr>
          <w:color w:val="231F20"/>
        </w:rPr>
        <w:t>)</w:t>
      </w:r>
      <w:r>
        <w:rPr>
          <w:color w:val="231F20"/>
          <w:spacing w:val="-13"/>
        </w:rPr>
        <w:t> </w:t>
      </w:r>
      <w:r>
        <w:rPr>
          <w:color w:val="231F20"/>
        </w:rPr>
        <w:t>più</w:t>
      </w:r>
      <w:r>
        <w:rPr>
          <w:color w:val="231F20"/>
          <w:spacing w:val="-13"/>
        </w:rPr>
        <w:t> </w:t>
      </w:r>
      <w:r>
        <w:rPr>
          <w:color w:val="231F20"/>
        </w:rPr>
        <w:t>adatti.</w:t>
      </w:r>
    </w:p>
    <w:p>
      <w:pPr>
        <w:pStyle w:val="BodyText"/>
        <w:spacing w:line="247" w:lineRule="auto"/>
        <w:ind w:left="117" w:right="115" w:firstLine="566"/>
        <w:jc w:val="right"/>
      </w:pPr>
      <w:r>
        <w:rPr>
          <w:color w:val="231F20"/>
        </w:rPr>
        <w:t>Paolo Napoli sembra riconoscere nella figura</w:t>
      </w:r>
      <w:r>
        <w:rPr>
          <w:color w:val="231F20"/>
          <w:spacing w:val="53"/>
        </w:rPr>
        <w:t> </w:t>
      </w:r>
      <w:r>
        <w:rPr>
          <w:color w:val="231F20"/>
        </w:rPr>
        <w:t>neo-testamentaria</w:t>
      </w:r>
      <w:r>
        <w:rPr>
          <w:color w:val="231F20"/>
          <w:spacing w:val="19"/>
        </w:rPr>
        <w:t> </w:t>
      </w:r>
      <w:r>
        <w:rPr>
          <w:color w:val="231F20"/>
        </w:rPr>
        <w:t>del</w:t>
      </w:r>
      <w:r>
        <w:rPr>
          <w:color w:val="231F20"/>
          <w:w w:val="107"/>
        </w:rPr>
        <w:t> </w:t>
      </w:r>
      <w:r>
        <w:rPr>
          <w:color w:val="231F20"/>
        </w:rPr>
        <w:t>“deposito” un archetipo del principio organizzativo, in</w:t>
      </w:r>
      <w:r>
        <w:rPr>
          <w:color w:val="231F20"/>
          <w:spacing w:val="28"/>
        </w:rPr>
        <w:t> </w:t>
      </w:r>
      <w:r>
        <w:rPr>
          <w:color w:val="231F20"/>
        </w:rPr>
        <w:t>chiave</w:t>
      </w:r>
      <w:r>
        <w:rPr>
          <w:color w:val="231F20"/>
          <w:spacing w:val="13"/>
        </w:rPr>
        <w:t> </w:t>
      </w:r>
      <w:r>
        <w:rPr>
          <w:color w:val="231F20"/>
        </w:rPr>
        <w:t>comunitaria,</w:t>
      </w:r>
      <w:r>
        <w:rPr>
          <w:color w:val="231F20"/>
          <w:w w:val="100"/>
        </w:rPr>
        <w:t> </w:t>
      </w:r>
      <w:r>
        <w:rPr>
          <w:color w:val="231F20"/>
        </w:rPr>
        <w:t>dell’intera esperienza politica moderna</w:t>
      </w:r>
      <w:r>
        <w:rPr>
          <w:color w:val="231F20"/>
          <w:position w:val="7"/>
          <w:sz w:val="12"/>
        </w:rPr>
        <w:t>26</w:t>
      </w:r>
      <w:r>
        <w:rPr>
          <w:color w:val="231F20"/>
        </w:rPr>
        <w:t>. Portando avanti per</w:t>
      </w:r>
      <w:r>
        <w:rPr>
          <w:color w:val="231F20"/>
          <w:spacing w:val="17"/>
        </w:rPr>
        <w:t> </w:t>
      </w:r>
      <w:r>
        <w:rPr>
          <w:color w:val="231F20"/>
        </w:rPr>
        <w:t>mio</w:t>
      </w:r>
      <w:r>
        <w:rPr>
          <w:color w:val="231F20"/>
          <w:spacing w:val="30"/>
        </w:rPr>
        <w:t> </w:t>
      </w:r>
      <w:r>
        <w:rPr>
          <w:color w:val="231F20"/>
        </w:rPr>
        <w:t>conto</w:t>
      </w:r>
      <w:r>
        <w:rPr>
          <w:color w:val="231F20"/>
          <w:w w:val="104"/>
        </w:rPr>
        <w:t> </w:t>
      </w:r>
      <w:r>
        <w:rPr>
          <w:color w:val="231F20"/>
          <w:spacing w:val="2"/>
        </w:rPr>
        <w:t>questa proposta, </w:t>
      </w:r>
      <w:r>
        <w:rPr>
          <w:color w:val="231F20"/>
        </w:rPr>
        <w:t>sarei </w:t>
      </w:r>
      <w:r>
        <w:rPr>
          <w:color w:val="231F20"/>
          <w:spacing w:val="2"/>
        </w:rPr>
        <w:t>molto </w:t>
      </w:r>
      <w:r>
        <w:rPr>
          <w:color w:val="231F20"/>
        </w:rPr>
        <w:t>in </w:t>
      </w:r>
      <w:r>
        <w:rPr>
          <w:color w:val="231F20"/>
          <w:spacing w:val="2"/>
        </w:rPr>
        <w:t>dubbio nell’attribuire </w:t>
      </w:r>
      <w:r>
        <w:rPr>
          <w:color w:val="231F20"/>
        </w:rPr>
        <w:t>a</w:t>
      </w:r>
      <w:r>
        <w:rPr>
          <w:color w:val="231F20"/>
          <w:spacing w:val="42"/>
        </w:rPr>
        <w:t> </w:t>
      </w:r>
      <w:r>
        <w:rPr>
          <w:color w:val="231F20"/>
          <w:spacing w:val="2"/>
        </w:rPr>
        <w:t>quel</w:t>
      </w:r>
      <w:r>
        <w:rPr>
          <w:color w:val="231F20"/>
          <w:spacing w:val="47"/>
        </w:rPr>
        <w:t> </w:t>
      </w:r>
      <w:r>
        <w:rPr>
          <w:color w:val="231F20"/>
          <w:spacing w:val="3"/>
        </w:rPr>
        <w:t>principio</w:t>
      </w:r>
      <w:r>
        <w:rPr>
          <w:color w:val="231F20"/>
          <w:spacing w:val="3"/>
          <w:w w:val="105"/>
        </w:rPr>
        <w:t> </w:t>
      </w:r>
      <w:r>
        <w:rPr>
          <w:color w:val="231F20"/>
        </w:rPr>
        <w:t>carattere “teologico”. Forse ciò dipende dalla mia</w:t>
      </w:r>
      <w:r>
        <w:rPr>
          <w:color w:val="231F20"/>
          <w:spacing w:val="31"/>
        </w:rPr>
        <w:t> </w:t>
      </w:r>
      <w:r>
        <w:rPr>
          <w:color w:val="231F20"/>
        </w:rPr>
        <w:t>avversione</w:t>
      </w:r>
      <w:r>
        <w:rPr>
          <w:color w:val="231F20"/>
          <w:spacing w:val="32"/>
        </w:rPr>
        <w:t> </w:t>
      </w:r>
      <w:r>
        <w:rPr>
          <w:color w:val="231F20"/>
        </w:rPr>
        <w:t>all’impiego</w:t>
      </w:r>
      <w:r>
        <w:rPr>
          <w:color w:val="231F20"/>
          <w:w w:val="107"/>
        </w:rPr>
        <w:t> </w:t>
      </w:r>
      <w:r>
        <w:rPr>
          <w:color w:val="231F20"/>
        </w:rPr>
        <w:t>a-critico del </w:t>
      </w:r>
      <w:r>
        <w:rPr>
          <w:rFonts w:ascii="Arial" w:hAnsi="Arial"/>
          <w:i/>
          <w:color w:val="231F20"/>
        </w:rPr>
        <w:t>dictum </w:t>
      </w:r>
      <w:r>
        <w:rPr>
          <w:color w:val="231F20"/>
        </w:rPr>
        <w:t>schmittiano dell’</w:t>
      </w:r>
      <w:r>
        <w:rPr>
          <w:rFonts w:ascii="Arial" w:hAnsi="Arial"/>
          <w:i/>
          <w:color w:val="231F20"/>
        </w:rPr>
        <w:t>amicus–hostis </w:t>
      </w:r>
      <w:r>
        <w:rPr>
          <w:color w:val="231F20"/>
        </w:rPr>
        <w:t>e alla</w:t>
      </w:r>
      <w:r>
        <w:rPr>
          <w:color w:val="231F20"/>
          <w:spacing w:val="2"/>
        </w:rPr>
        <w:t> </w:t>
      </w:r>
      <w:r>
        <w:rPr>
          <w:color w:val="231F20"/>
        </w:rPr>
        <w:t>mia</w:t>
      </w:r>
      <w:r>
        <w:rPr>
          <w:color w:val="231F20"/>
          <w:spacing w:val="6"/>
        </w:rPr>
        <w:t> </w:t>
      </w:r>
      <w:r>
        <w:rPr>
          <w:color w:val="231F20"/>
        </w:rPr>
        <w:t>conseguente</w:t>
      </w:r>
      <w:r>
        <w:rPr>
          <w:color w:val="231F20"/>
          <w:w w:val="103"/>
        </w:rPr>
        <w:t> </w:t>
      </w:r>
      <w:r>
        <w:rPr>
          <w:color w:val="231F20"/>
        </w:rPr>
        <w:t>necessità</w:t>
      </w:r>
      <w:r>
        <w:rPr>
          <w:color w:val="231F20"/>
          <w:spacing w:val="-10"/>
        </w:rPr>
        <w:t> </w:t>
      </w:r>
      <w:r>
        <w:rPr>
          <w:color w:val="231F20"/>
        </w:rPr>
        <w:t>logica</w:t>
      </w:r>
      <w:r>
        <w:rPr>
          <w:color w:val="231F20"/>
          <w:spacing w:val="-10"/>
        </w:rPr>
        <w:t> </w:t>
      </w:r>
      <w:r>
        <w:rPr>
          <w:color w:val="231F20"/>
        </w:rPr>
        <w:t>di</w:t>
      </w:r>
      <w:r>
        <w:rPr>
          <w:color w:val="231F20"/>
          <w:spacing w:val="-10"/>
        </w:rPr>
        <w:t> </w:t>
      </w:r>
      <w:r>
        <w:rPr>
          <w:color w:val="231F20"/>
        </w:rPr>
        <w:t>mantenere</w:t>
      </w:r>
      <w:r>
        <w:rPr>
          <w:color w:val="231F20"/>
          <w:spacing w:val="-10"/>
        </w:rPr>
        <w:t> </w:t>
      </w:r>
      <w:r>
        <w:rPr>
          <w:color w:val="231F20"/>
        </w:rPr>
        <w:t>l’amicizia</w:t>
      </w:r>
      <w:r>
        <w:rPr>
          <w:color w:val="231F20"/>
          <w:spacing w:val="-10"/>
        </w:rPr>
        <w:t> </w:t>
      </w:r>
      <w:r>
        <w:rPr>
          <w:color w:val="231F20"/>
        </w:rPr>
        <w:t>(l’amore)</w:t>
      </w:r>
      <w:r>
        <w:rPr>
          <w:color w:val="231F20"/>
          <w:spacing w:val="-10"/>
        </w:rPr>
        <w:t> </w:t>
      </w:r>
      <w:r>
        <w:rPr>
          <w:color w:val="231F20"/>
        </w:rPr>
        <w:t>entro</w:t>
      </w:r>
      <w:r>
        <w:rPr>
          <w:color w:val="231F20"/>
          <w:spacing w:val="-10"/>
        </w:rPr>
        <w:t> </w:t>
      </w:r>
      <w:r>
        <w:rPr>
          <w:color w:val="231F20"/>
        </w:rPr>
        <w:t>i</w:t>
      </w:r>
      <w:r>
        <w:rPr>
          <w:color w:val="231F20"/>
          <w:spacing w:val="-10"/>
        </w:rPr>
        <w:t> </w:t>
      </w:r>
      <w:r>
        <w:rPr>
          <w:color w:val="231F20"/>
        </w:rPr>
        <w:t>confini</w:t>
      </w:r>
      <w:r>
        <w:rPr>
          <w:color w:val="231F20"/>
          <w:spacing w:val="-10"/>
        </w:rPr>
        <w:t> </w:t>
      </w:r>
      <w:r>
        <w:rPr>
          <w:color w:val="231F20"/>
        </w:rPr>
        <w:t>del</w:t>
      </w:r>
      <w:r>
        <w:rPr>
          <w:color w:val="231F20"/>
          <w:spacing w:val="-10"/>
        </w:rPr>
        <w:t> </w:t>
      </w:r>
      <w:r>
        <w:rPr>
          <w:color w:val="231F20"/>
        </w:rPr>
        <w:t>politico,</w:t>
      </w:r>
      <w:r>
        <w:rPr>
          <w:color w:val="231F20"/>
          <w:w w:val="102"/>
        </w:rPr>
        <w:t> </w:t>
      </w:r>
      <w:r>
        <w:rPr>
          <w:color w:val="231F20"/>
        </w:rPr>
        <w:t>accettando le conseguenze (positive e negative) di ciò, in </w:t>
      </w:r>
      <w:r>
        <w:rPr>
          <w:color w:val="231F20"/>
          <w:spacing w:val="33"/>
        </w:rPr>
        <w:t> </w:t>
      </w:r>
      <w:r>
        <w:rPr>
          <w:color w:val="231F20"/>
        </w:rPr>
        <w:t>termini</w:t>
      </w:r>
      <w:r>
        <w:rPr>
          <w:color w:val="231F20"/>
          <w:spacing w:val="25"/>
        </w:rPr>
        <w:t> </w:t>
      </w:r>
      <w:r>
        <w:rPr>
          <w:color w:val="231F20"/>
        </w:rPr>
        <w:t>anche</w:t>
      </w:r>
      <w:r>
        <w:rPr>
          <w:color w:val="231F20"/>
          <w:spacing w:val="1"/>
          <w:w w:val="101"/>
        </w:rPr>
        <w:t> </w:t>
      </w:r>
      <w:r>
        <w:rPr>
          <w:color w:val="231F20"/>
        </w:rPr>
        <w:t>di maggiore porosità scientifica e di minore stringenza</w:t>
      </w:r>
      <w:r>
        <w:rPr>
          <w:color w:val="231F20"/>
          <w:spacing w:val="28"/>
        </w:rPr>
        <w:t> </w:t>
      </w:r>
      <w:r>
        <w:rPr>
          <w:color w:val="231F20"/>
        </w:rPr>
        <w:t>interpretativa.</w:t>
      </w:r>
      <w:r>
        <w:rPr>
          <w:color w:val="231F20"/>
          <w:spacing w:val="20"/>
        </w:rPr>
        <w:t> </w:t>
      </w:r>
      <w:r>
        <w:rPr>
          <w:color w:val="231F20"/>
        </w:rPr>
        <w:t>Ciò</w:t>
      </w:r>
      <w:r>
        <w:rPr>
          <w:color w:val="231F20"/>
          <w:w w:val="112"/>
        </w:rPr>
        <w:t> </w:t>
      </w:r>
      <w:r>
        <w:rPr>
          <w:color w:val="231F20"/>
        </w:rPr>
        <w:t>mi porta a rifiutare anche l’altra drastica conclusione schmittiana</w:t>
      </w:r>
      <w:r>
        <w:rPr>
          <w:color w:val="231F20"/>
          <w:spacing w:val="44"/>
        </w:rPr>
        <w:t> </w:t>
      </w:r>
      <w:r>
        <w:rPr>
          <w:color w:val="231F20"/>
        </w:rPr>
        <w:t>in</w:t>
      </w:r>
      <w:r>
        <w:rPr>
          <w:color w:val="231F20"/>
          <w:spacing w:val="4"/>
        </w:rPr>
        <w:t> </w:t>
      </w:r>
      <w:r>
        <w:rPr>
          <w:color w:val="231F20"/>
        </w:rPr>
        <w:t>ordine</w:t>
      </w:r>
      <w:r>
        <w:rPr>
          <w:color w:val="231F20"/>
          <w:w w:val="103"/>
        </w:rPr>
        <w:t> </w:t>
      </w:r>
      <w:r>
        <w:rPr>
          <w:color w:val="231F20"/>
        </w:rPr>
        <w:t>all’intrinseca</w:t>
      </w:r>
      <w:r>
        <w:rPr>
          <w:color w:val="231F20"/>
          <w:spacing w:val="42"/>
        </w:rPr>
        <w:t> </w:t>
      </w:r>
      <w:r>
        <w:rPr>
          <w:color w:val="231F20"/>
        </w:rPr>
        <w:t>portata</w:t>
      </w:r>
      <w:r>
        <w:rPr>
          <w:color w:val="231F20"/>
          <w:spacing w:val="42"/>
        </w:rPr>
        <w:t> </w:t>
      </w:r>
      <w:r>
        <w:rPr>
          <w:color w:val="231F20"/>
        </w:rPr>
        <w:t>negativa</w:t>
      </w:r>
      <w:r>
        <w:rPr>
          <w:color w:val="231F20"/>
          <w:spacing w:val="42"/>
        </w:rPr>
        <w:t> </w:t>
      </w:r>
      <w:r>
        <w:rPr>
          <w:color w:val="231F20"/>
        </w:rPr>
        <w:t>della</w:t>
      </w:r>
      <w:r>
        <w:rPr>
          <w:color w:val="231F20"/>
          <w:spacing w:val="42"/>
        </w:rPr>
        <w:t> </w:t>
      </w:r>
      <w:r>
        <w:rPr>
          <w:color w:val="231F20"/>
        </w:rPr>
        <w:t>tecnica.</w:t>
      </w:r>
      <w:r>
        <w:rPr>
          <w:color w:val="231F20"/>
          <w:spacing w:val="42"/>
        </w:rPr>
        <w:t> </w:t>
      </w:r>
      <w:r>
        <w:rPr>
          <w:color w:val="231F20"/>
        </w:rPr>
        <w:t>Piuttosto</w:t>
      </w:r>
      <w:r>
        <w:rPr>
          <w:color w:val="231F20"/>
          <w:spacing w:val="42"/>
        </w:rPr>
        <w:t> </w:t>
      </w:r>
      <w:r>
        <w:rPr>
          <w:color w:val="231F20"/>
        </w:rPr>
        <w:t>che</w:t>
      </w:r>
      <w:r>
        <w:rPr>
          <w:color w:val="231F20"/>
          <w:spacing w:val="42"/>
        </w:rPr>
        <w:t> </w:t>
      </w:r>
      <w:r>
        <w:rPr>
          <w:color w:val="231F20"/>
        </w:rPr>
        <w:t>accodarmi</w:t>
      </w:r>
      <w:r>
        <w:rPr>
          <w:color w:val="231F20"/>
          <w:spacing w:val="42"/>
        </w:rPr>
        <w:t> </w:t>
      </w:r>
      <w:r>
        <w:rPr>
          <w:color w:val="231F20"/>
        </w:rPr>
        <w:t>ad</w:t>
      </w:r>
      <w:r>
        <w:rPr>
          <w:color w:val="231F20"/>
          <w:spacing w:val="2"/>
          <w:w w:val="104"/>
        </w:rPr>
        <w:t> </w:t>
      </w:r>
      <w:r>
        <w:rPr>
          <w:color w:val="231F20"/>
        </w:rPr>
        <w:t>una qualsiasi rivalutazione del diritto naturale —anche in</w:t>
      </w:r>
      <w:r>
        <w:rPr>
          <w:color w:val="231F20"/>
          <w:spacing w:val="-44"/>
        </w:rPr>
        <w:t> </w:t>
      </w:r>
      <w:r>
        <w:rPr>
          <w:color w:val="231F20"/>
        </w:rPr>
        <w:t>versione</w:t>
      </w:r>
      <w:r>
        <w:rPr>
          <w:color w:val="231F20"/>
          <w:spacing w:val="-6"/>
        </w:rPr>
        <w:t> </w:t>
      </w:r>
      <w:r>
        <w:rPr>
          <w:color w:val="231F20"/>
        </w:rPr>
        <w:t>laicista—</w:t>
      </w:r>
      <w:r>
        <w:rPr>
          <w:color w:val="231F20"/>
          <w:w w:val="102"/>
        </w:rPr>
        <w:t> </w:t>
      </w:r>
      <w:r>
        <w:rPr>
          <w:color w:val="231F20"/>
        </w:rPr>
        <w:t>preferisco prendere sul serio la componente tecno–scientifica che</w:t>
      </w:r>
      <w:r>
        <w:rPr>
          <w:color w:val="231F20"/>
          <w:spacing w:val="55"/>
        </w:rPr>
        <w:t> </w:t>
      </w:r>
      <w:r>
        <w:rPr>
          <w:color w:val="231F20"/>
        </w:rPr>
        <w:t>fa</w:t>
      </w:r>
      <w:r>
        <w:rPr>
          <w:color w:val="231F20"/>
          <w:spacing w:val="6"/>
        </w:rPr>
        <w:t> </w:t>
      </w:r>
      <w:r>
        <w:rPr>
          <w:color w:val="231F20"/>
        </w:rPr>
        <w:t>parte</w:t>
      </w:r>
      <w:r>
        <w:rPr>
          <w:color w:val="231F20"/>
          <w:w w:val="102"/>
        </w:rPr>
        <w:t> </w:t>
      </w:r>
      <w:r>
        <w:rPr>
          <w:color w:val="231F20"/>
        </w:rPr>
        <w:t>del </w:t>
      </w:r>
      <w:r>
        <w:rPr>
          <w:color w:val="231F20"/>
          <w:spacing w:val="-3"/>
        </w:rPr>
        <w:t>profilo culturale dell’uomo contemporaneo. Anche </w:t>
      </w:r>
      <w:r>
        <w:rPr>
          <w:color w:val="231F20"/>
        </w:rPr>
        <w:t>se, </w:t>
      </w:r>
      <w:r>
        <w:rPr>
          <w:color w:val="231F20"/>
          <w:spacing w:val="-4"/>
        </w:rPr>
        <w:t>pure </w:t>
      </w:r>
      <w:r>
        <w:rPr>
          <w:color w:val="231F20"/>
        </w:rPr>
        <w:t>per</w:t>
      </w:r>
      <w:r>
        <w:rPr>
          <w:color w:val="231F20"/>
          <w:spacing w:val="-45"/>
        </w:rPr>
        <w:t> </w:t>
      </w:r>
      <w:r>
        <w:rPr>
          <w:color w:val="231F20"/>
        </w:rPr>
        <w:t>la</w:t>
      </w:r>
      <w:r>
        <w:rPr>
          <w:color w:val="231F20"/>
          <w:spacing w:val="-8"/>
        </w:rPr>
        <w:t> </w:t>
      </w:r>
      <w:r>
        <w:rPr>
          <w:color w:val="231F20"/>
          <w:spacing w:val="-3"/>
        </w:rPr>
        <w:t>tecnica,</w:t>
      </w:r>
      <w:r>
        <w:rPr>
          <w:color w:val="231F20"/>
          <w:w w:val="85"/>
        </w:rPr>
        <w:t> </w:t>
      </w:r>
      <w:r>
        <w:rPr>
          <w:color w:val="231F20"/>
        </w:rPr>
        <w:t>dovrebbe valere la bruciante partenza che proprio Carl Schmitt</w:t>
      </w:r>
      <w:r>
        <w:rPr>
          <w:color w:val="231F20"/>
          <w:spacing w:val="38"/>
        </w:rPr>
        <w:t> </w:t>
      </w:r>
      <w:r>
        <w:rPr>
          <w:color w:val="231F20"/>
        </w:rPr>
        <w:t>dedicò</w:t>
      </w:r>
      <w:r>
        <w:rPr>
          <w:color w:val="231F20"/>
          <w:spacing w:val="4"/>
        </w:rPr>
        <w:t> </w:t>
      </w:r>
      <w:r>
        <w:rPr>
          <w:color w:val="231F20"/>
        </w:rPr>
        <w:t>allo</w:t>
      </w:r>
      <w:r>
        <w:rPr>
          <w:color w:val="231F20"/>
          <w:w w:val="108"/>
        </w:rPr>
        <w:t> </w:t>
      </w:r>
      <w:r>
        <w:rPr>
          <w:color w:val="231F20"/>
        </w:rPr>
        <w:t>Stato, nella versione originaria del suo saggio sul </w:t>
      </w:r>
      <w:r>
        <w:rPr>
          <w:rFonts w:ascii="Arial" w:hAnsi="Arial"/>
          <w:i/>
          <w:color w:val="231F20"/>
        </w:rPr>
        <w:t>Concetto di</w:t>
      </w:r>
      <w:r>
        <w:rPr>
          <w:rFonts w:ascii="Arial" w:hAnsi="Arial"/>
          <w:i/>
          <w:color w:val="231F20"/>
          <w:spacing w:val="56"/>
        </w:rPr>
        <w:t> </w:t>
      </w:r>
      <w:r>
        <w:rPr>
          <w:rFonts w:ascii="Arial" w:hAnsi="Arial"/>
          <w:i/>
          <w:color w:val="231F20"/>
        </w:rPr>
        <w:t>politico</w:t>
      </w:r>
      <w:r>
        <w:rPr>
          <w:color w:val="231F20"/>
        </w:rPr>
        <w:t>:</w:t>
      </w:r>
      <w:r>
        <w:rPr>
          <w:color w:val="231F20"/>
          <w:spacing w:val="16"/>
        </w:rPr>
        <w:t> </w:t>
      </w:r>
      <w:r>
        <w:rPr>
          <w:color w:val="231F20"/>
        </w:rPr>
        <w:t>“Il</w:t>
      </w:r>
      <w:r>
        <w:rPr>
          <w:color w:val="231F20"/>
          <w:w w:val="101"/>
        </w:rPr>
        <w:t> </w:t>
      </w:r>
      <w:r>
        <w:rPr>
          <w:color w:val="231F20"/>
        </w:rPr>
        <w:t>concetto</w:t>
      </w:r>
      <w:r>
        <w:rPr>
          <w:color w:val="231F20"/>
          <w:spacing w:val="48"/>
        </w:rPr>
        <w:t> </w:t>
      </w:r>
      <w:r>
        <w:rPr>
          <w:color w:val="231F20"/>
        </w:rPr>
        <w:t>di</w:t>
      </w:r>
      <w:r>
        <w:rPr>
          <w:color w:val="231F20"/>
          <w:spacing w:val="48"/>
        </w:rPr>
        <w:t> </w:t>
      </w:r>
      <w:r>
        <w:rPr>
          <w:color w:val="231F20"/>
        </w:rPr>
        <w:t>Stato</w:t>
      </w:r>
      <w:r>
        <w:rPr>
          <w:color w:val="231F20"/>
          <w:spacing w:val="48"/>
        </w:rPr>
        <w:t> </w:t>
      </w:r>
      <w:r>
        <w:rPr>
          <w:color w:val="231F20"/>
        </w:rPr>
        <w:t>presuppone</w:t>
      </w:r>
      <w:r>
        <w:rPr>
          <w:color w:val="231F20"/>
          <w:spacing w:val="48"/>
        </w:rPr>
        <w:t> </w:t>
      </w:r>
      <w:r>
        <w:rPr>
          <w:color w:val="231F20"/>
        </w:rPr>
        <w:t>quello</w:t>
      </w:r>
      <w:r>
        <w:rPr>
          <w:color w:val="231F20"/>
          <w:spacing w:val="48"/>
        </w:rPr>
        <w:t> </w:t>
      </w:r>
      <w:r>
        <w:rPr>
          <w:color w:val="231F20"/>
        </w:rPr>
        <w:t>di</w:t>
      </w:r>
      <w:r>
        <w:rPr>
          <w:color w:val="231F20"/>
          <w:spacing w:val="48"/>
        </w:rPr>
        <w:t> </w:t>
      </w:r>
      <w:r>
        <w:rPr>
          <w:color w:val="231F20"/>
        </w:rPr>
        <w:t>politico”.</w:t>
      </w:r>
      <w:r>
        <w:rPr>
          <w:color w:val="231F20"/>
          <w:spacing w:val="48"/>
        </w:rPr>
        <w:t> </w:t>
      </w:r>
      <w:r>
        <w:rPr>
          <w:color w:val="231F20"/>
        </w:rPr>
        <w:t>Lo</w:t>
      </w:r>
      <w:r>
        <w:rPr>
          <w:color w:val="231F20"/>
          <w:spacing w:val="48"/>
        </w:rPr>
        <w:t> </w:t>
      </w:r>
      <w:r>
        <w:rPr>
          <w:color w:val="231F20"/>
        </w:rPr>
        <w:t>stesso</w:t>
      </w:r>
      <w:r>
        <w:rPr>
          <w:color w:val="231F20"/>
          <w:spacing w:val="48"/>
        </w:rPr>
        <w:t> </w:t>
      </w:r>
      <w:r>
        <w:rPr>
          <w:color w:val="231F20"/>
        </w:rPr>
        <w:t>deve</w:t>
      </w:r>
      <w:r>
        <w:rPr>
          <w:color w:val="231F20"/>
          <w:spacing w:val="48"/>
        </w:rPr>
        <w:t> </w:t>
      </w:r>
      <w:r>
        <w:rPr>
          <w:color w:val="231F20"/>
          <w:spacing w:val="2"/>
        </w:rPr>
        <w:t>dirsi,</w:t>
      </w:r>
      <w:r>
        <w:rPr>
          <w:color w:val="231F20"/>
          <w:spacing w:val="2"/>
          <w:w w:val="95"/>
        </w:rPr>
        <w:t> </w:t>
      </w:r>
      <w:r>
        <w:rPr>
          <w:color w:val="231F20"/>
        </w:rPr>
        <w:t>appunto,</w:t>
      </w:r>
      <w:r>
        <w:rPr>
          <w:color w:val="231F20"/>
          <w:spacing w:val="35"/>
        </w:rPr>
        <w:t> </w:t>
      </w:r>
      <w:r>
        <w:rPr>
          <w:color w:val="231F20"/>
        </w:rPr>
        <w:t>per</w:t>
      </w:r>
      <w:r>
        <w:rPr>
          <w:color w:val="231F20"/>
          <w:spacing w:val="35"/>
        </w:rPr>
        <w:t> </w:t>
      </w:r>
      <w:r>
        <w:rPr>
          <w:color w:val="231F20"/>
        </w:rPr>
        <w:t>la</w:t>
      </w:r>
      <w:r>
        <w:rPr>
          <w:color w:val="231F20"/>
          <w:spacing w:val="35"/>
        </w:rPr>
        <w:t> </w:t>
      </w:r>
      <w:r>
        <w:rPr>
          <w:color w:val="231F20"/>
        </w:rPr>
        <w:t>tecnica</w:t>
      </w:r>
      <w:r>
        <w:rPr>
          <w:color w:val="231F20"/>
          <w:spacing w:val="35"/>
        </w:rPr>
        <w:t> </w:t>
      </w:r>
      <w:r>
        <w:rPr>
          <w:color w:val="231F20"/>
        </w:rPr>
        <w:t>che</w:t>
      </w:r>
      <w:r>
        <w:rPr>
          <w:color w:val="231F20"/>
          <w:spacing w:val="35"/>
        </w:rPr>
        <w:t> </w:t>
      </w:r>
      <w:r>
        <w:rPr>
          <w:color w:val="231F20"/>
        </w:rPr>
        <w:t>sta</w:t>
      </w:r>
      <w:r>
        <w:rPr>
          <w:color w:val="231F20"/>
          <w:spacing w:val="35"/>
        </w:rPr>
        <w:t> </w:t>
      </w:r>
      <w:r>
        <w:rPr>
          <w:color w:val="231F20"/>
        </w:rPr>
        <w:t>per</w:t>
      </w:r>
      <w:r>
        <w:rPr>
          <w:color w:val="231F20"/>
          <w:spacing w:val="35"/>
        </w:rPr>
        <w:t> </w:t>
      </w:r>
      <w:r>
        <w:rPr>
          <w:color w:val="231F20"/>
        </w:rPr>
        <w:t>molti</w:t>
      </w:r>
      <w:r>
        <w:rPr>
          <w:color w:val="231F20"/>
          <w:spacing w:val="35"/>
        </w:rPr>
        <w:t> </w:t>
      </w:r>
      <w:r>
        <w:rPr>
          <w:color w:val="231F20"/>
        </w:rPr>
        <w:t>versi</w:t>
      </w:r>
      <w:r>
        <w:rPr>
          <w:color w:val="231F20"/>
          <w:spacing w:val="35"/>
        </w:rPr>
        <w:t> </w:t>
      </w:r>
      <w:r>
        <w:rPr>
          <w:color w:val="231F20"/>
        </w:rPr>
        <w:t>coprendo</w:t>
      </w:r>
      <w:r>
        <w:rPr>
          <w:color w:val="231F20"/>
          <w:spacing w:val="35"/>
        </w:rPr>
        <w:t> </w:t>
      </w:r>
      <w:r>
        <w:rPr>
          <w:color w:val="231F20"/>
        </w:rPr>
        <w:t>o</w:t>
      </w:r>
      <w:r>
        <w:rPr>
          <w:color w:val="231F20"/>
          <w:spacing w:val="35"/>
        </w:rPr>
        <w:t> </w:t>
      </w:r>
      <w:r>
        <w:rPr>
          <w:color w:val="231F20"/>
        </w:rPr>
        <w:t>sostituendo</w:t>
      </w:r>
      <w:r>
        <w:rPr>
          <w:color w:val="231F20"/>
          <w:spacing w:val="2"/>
          <w:w w:val="104"/>
        </w:rPr>
        <w:t> </w:t>
      </w:r>
      <w:r>
        <w:rPr>
          <w:color w:val="231F20"/>
        </w:rPr>
        <w:t>(anche</w:t>
      </w:r>
      <w:r>
        <w:rPr>
          <w:color w:val="231F20"/>
          <w:spacing w:val="-23"/>
        </w:rPr>
        <w:t> </w:t>
      </w:r>
      <w:r>
        <w:rPr>
          <w:color w:val="231F20"/>
        </w:rPr>
        <w:t>sotto</w:t>
      </w:r>
      <w:r>
        <w:rPr>
          <w:color w:val="231F20"/>
          <w:spacing w:val="-23"/>
        </w:rPr>
        <w:t> </w:t>
      </w:r>
      <w:r>
        <w:rPr>
          <w:color w:val="231F20"/>
        </w:rPr>
        <w:t>forma</w:t>
      </w:r>
      <w:r>
        <w:rPr>
          <w:color w:val="231F20"/>
          <w:spacing w:val="-23"/>
        </w:rPr>
        <w:t> </w:t>
      </w:r>
      <w:r>
        <w:rPr>
          <w:color w:val="231F20"/>
        </w:rPr>
        <w:t>di</w:t>
      </w:r>
      <w:r>
        <w:rPr>
          <w:color w:val="231F20"/>
          <w:spacing w:val="-21"/>
        </w:rPr>
        <w:t> </w:t>
      </w:r>
      <w:r>
        <w:rPr>
          <w:rFonts w:ascii="Arial" w:hAnsi="Arial"/>
          <w:i/>
          <w:color w:val="231F20"/>
        </w:rPr>
        <w:t>governance</w:t>
      </w:r>
      <w:r>
        <w:rPr>
          <w:color w:val="231F20"/>
        </w:rPr>
        <w:t>)</w:t>
      </w:r>
      <w:r>
        <w:rPr>
          <w:color w:val="231F20"/>
          <w:spacing w:val="-23"/>
        </w:rPr>
        <w:t> </w:t>
      </w:r>
      <w:r>
        <w:rPr>
          <w:color w:val="231F20"/>
        </w:rPr>
        <w:t>molte</w:t>
      </w:r>
      <w:r>
        <w:rPr>
          <w:color w:val="231F20"/>
          <w:spacing w:val="-23"/>
        </w:rPr>
        <w:t> </w:t>
      </w:r>
      <w:r>
        <w:rPr>
          <w:color w:val="231F20"/>
        </w:rPr>
        <w:t>“funzioni”</w:t>
      </w:r>
      <w:r>
        <w:rPr>
          <w:color w:val="231F20"/>
          <w:spacing w:val="-23"/>
        </w:rPr>
        <w:t> </w:t>
      </w:r>
      <w:r>
        <w:rPr>
          <w:color w:val="231F20"/>
        </w:rPr>
        <w:t>del</w:t>
      </w:r>
      <w:r>
        <w:rPr>
          <w:color w:val="231F20"/>
          <w:spacing w:val="-23"/>
        </w:rPr>
        <w:t> </w:t>
      </w:r>
      <w:r>
        <w:rPr>
          <w:color w:val="231F20"/>
          <w:spacing w:val="-3"/>
        </w:rPr>
        <w:t>nostro</w:t>
      </w:r>
      <w:r>
        <w:rPr>
          <w:color w:val="231F20"/>
          <w:spacing w:val="-23"/>
        </w:rPr>
        <w:t> </w:t>
      </w:r>
      <w:r>
        <w:rPr>
          <w:color w:val="231F20"/>
        </w:rPr>
        <w:t>vecchio</w:t>
      </w:r>
      <w:r>
        <w:rPr>
          <w:color w:val="231F20"/>
          <w:spacing w:val="-23"/>
        </w:rPr>
        <w:t> </w:t>
      </w:r>
      <w:r>
        <w:rPr>
          <w:color w:val="231F20"/>
          <w:spacing w:val="-2"/>
        </w:rPr>
        <w:t>Stato.</w:t>
      </w:r>
      <w:r>
        <w:rPr>
          <w:color w:val="231F20"/>
          <w:spacing w:val="-2"/>
          <w:w w:val="99"/>
        </w:rPr>
        <w:t> </w:t>
      </w:r>
      <w:r>
        <w:rPr>
          <w:color w:val="231F20"/>
          <w:spacing w:val="2"/>
        </w:rPr>
        <w:t>Essa</w:t>
      </w:r>
      <w:r>
        <w:rPr>
          <w:color w:val="231F20"/>
          <w:spacing w:val="29"/>
        </w:rPr>
        <w:t> </w:t>
      </w:r>
      <w:r>
        <w:rPr>
          <w:color w:val="231F20"/>
          <w:spacing w:val="2"/>
        </w:rPr>
        <w:t>rappresenta,</w:t>
      </w:r>
      <w:r>
        <w:rPr>
          <w:color w:val="231F20"/>
          <w:spacing w:val="29"/>
        </w:rPr>
        <w:t> </w:t>
      </w:r>
      <w:r>
        <w:rPr>
          <w:color w:val="231F20"/>
        </w:rPr>
        <w:t>da</w:t>
      </w:r>
      <w:r>
        <w:rPr>
          <w:color w:val="231F20"/>
          <w:spacing w:val="29"/>
        </w:rPr>
        <w:t> </w:t>
      </w:r>
      <w:r>
        <w:rPr>
          <w:color w:val="231F20"/>
          <w:spacing w:val="2"/>
        </w:rPr>
        <w:t>almeno</w:t>
      </w:r>
      <w:r>
        <w:rPr>
          <w:color w:val="231F20"/>
          <w:spacing w:val="29"/>
        </w:rPr>
        <w:t> </w:t>
      </w:r>
      <w:r>
        <w:rPr>
          <w:color w:val="231F20"/>
        </w:rPr>
        <w:t>un</w:t>
      </w:r>
      <w:r>
        <w:rPr>
          <w:color w:val="231F20"/>
          <w:spacing w:val="29"/>
        </w:rPr>
        <w:t> </w:t>
      </w:r>
      <w:r>
        <w:rPr>
          <w:color w:val="231F20"/>
          <w:spacing w:val="2"/>
        </w:rPr>
        <w:t>secolo</w:t>
      </w:r>
      <w:r>
        <w:rPr>
          <w:color w:val="231F20"/>
          <w:spacing w:val="29"/>
        </w:rPr>
        <w:t> </w:t>
      </w:r>
      <w:r>
        <w:rPr>
          <w:color w:val="231F20"/>
        </w:rPr>
        <w:t>a</w:t>
      </w:r>
      <w:r>
        <w:rPr>
          <w:color w:val="231F20"/>
          <w:spacing w:val="29"/>
        </w:rPr>
        <w:t> </w:t>
      </w:r>
      <w:r>
        <w:rPr>
          <w:color w:val="231F20"/>
          <w:spacing w:val="2"/>
        </w:rPr>
        <w:t>questa</w:t>
      </w:r>
      <w:r>
        <w:rPr>
          <w:color w:val="231F20"/>
          <w:spacing w:val="29"/>
        </w:rPr>
        <w:t> </w:t>
      </w:r>
      <w:r>
        <w:rPr>
          <w:color w:val="231F20"/>
          <w:spacing w:val="2"/>
        </w:rPr>
        <w:t>parte,</w:t>
      </w:r>
      <w:r>
        <w:rPr>
          <w:color w:val="231F20"/>
          <w:spacing w:val="29"/>
        </w:rPr>
        <w:t> </w:t>
      </w:r>
      <w:r>
        <w:rPr>
          <w:color w:val="231F20"/>
        </w:rPr>
        <w:t>il</w:t>
      </w:r>
      <w:r>
        <w:rPr>
          <w:color w:val="231F20"/>
          <w:spacing w:val="29"/>
        </w:rPr>
        <w:t> </w:t>
      </w:r>
      <w:r>
        <w:rPr>
          <w:color w:val="231F20"/>
          <w:spacing w:val="3"/>
        </w:rPr>
        <w:t>campo</w:t>
      </w:r>
      <w:r>
        <w:rPr>
          <w:color w:val="231F20"/>
          <w:spacing w:val="3"/>
          <w:w w:val="104"/>
        </w:rPr>
        <w:t> </w:t>
      </w:r>
      <w:r>
        <w:rPr>
          <w:color w:val="231F20"/>
        </w:rPr>
        <w:t>privilegiato</w:t>
      </w:r>
      <w:r>
        <w:rPr>
          <w:color w:val="231F20"/>
          <w:spacing w:val="41"/>
        </w:rPr>
        <w:t> </w:t>
      </w:r>
      <w:r>
        <w:rPr>
          <w:color w:val="231F20"/>
        </w:rPr>
        <w:t>di</w:t>
      </w:r>
      <w:r>
        <w:rPr>
          <w:color w:val="231F20"/>
          <w:spacing w:val="41"/>
        </w:rPr>
        <w:t> </w:t>
      </w:r>
      <w:r>
        <w:rPr>
          <w:color w:val="231F20"/>
        </w:rPr>
        <w:t>neutralizzazione</w:t>
      </w:r>
      <w:r>
        <w:rPr>
          <w:color w:val="231F20"/>
          <w:spacing w:val="41"/>
        </w:rPr>
        <w:t> </w:t>
      </w:r>
      <w:r>
        <w:rPr>
          <w:color w:val="231F20"/>
        </w:rPr>
        <w:t>dei</w:t>
      </w:r>
      <w:r>
        <w:rPr>
          <w:color w:val="231F20"/>
          <w:spacing w:val="41"/>
        </w:rPr>
        <w:t> </w:t>
      </w:r>
      <w:r>
        <w:rPr>
          <w:color w:val="231F20"/>
        </w:rPr>
        <w:t>conflitti</w:t>
      </w:r>
      <w:r>
        <w:rPr>
          <w:color w:val="231F20"/>
          <w:spacing w:val="41"/>
        </w:rPr>
        <w:t> </w:t>
      </w:r>
      <w:r>
        <w:rPr>
          <w:color w:val="231F20"/>
        </w:rPr>
        <w:t>politici</w:t>
      </w:r>
      <w:r>
        <w:rPr>
          <w:color w:val="231F20"/>
          <w:spacing w:val="41"/>
        </w:rPr>
        <w:t> </w:t>
      </w:r>
      <w:r>
        <w:rPr>
          <w:color w:val="231F20"/>
        </w:rPr>
        <w:t>che</w:t>
      </w:r>
      <w:r>
        <w:rPr>
          <w:color w:val="231F20"/>
          <w:spacing w:val="41"/>
        </w:rPr>
        <w:t> </w:t>
      </w:r>
      <w:r>
        <w:rPr>
          <w:color w:val="231F20"/>
        </w:rPr>
        <w:t>minavano</w:t>
      </w:r>
      <w:r>
        <w:rPr>
          <w:color w:val="231F20"/>
          <w:spacing w:val="41"/>
        </w:rPr>
        <w:t> </w:t>
      </w:r>
      <w:r>
        <w:rPr>
          <w:color w:val="231F20"/>
        </w:rPr>
        <w:t>le</w:t>
      </w:r>
      <w:r>
        <w:rPr>
          <w:color w:val="231F20"/>
          <w:spacing w:val="41"/>
        </w:rPr>
        <w:t> </w:t>
      </w:r>
      <w:r>
        <w:rPr>
          <w:color w:val="231F20"/>
        </w:rPr>
        <w:t>basi</w:t>
      </w:r>
    </w:p>
    <w:p>
      <w:pPr>
        <w:pStyle w:val="BodyText"/>
        <w:rPr>
          <w:sz w:val="20"/>
        </w:rPr>
      </w:pPr>
    </w:p>
    <w:p>
      <w:pPr>
        <w:pStyle w:val="BodyText"/>
        <w:spacing w:before="9"/>
        <w:rPr>
          <w:sz w:val="13"/>
        </w:rPr>
      </w:pPr>
      <w:r>
        <w:rPr/>
        <w:pict>
          <v:line style="position:absolute;mso-position-horizontal-relative:page;mso-position-vertical-relative:paragraph;z-index:12592;mso-wrap-distance-left:0;mso-wrap-distance-right:0" from="70.866203pt,10.436672pt" to="184.252203pt,10.436672pt" stroked="true" strokeweight=".3pt" strokecolor="#231f20">
            <w10:wrap type="topAndBottom"/>
          </v:line>
        </w:pict>
      </w:r>
    </w:p>
    <w:p>
      <w:pPr>
        <w:spacing w:before="10"/>
        <w:ind w:left="117" w:right="0" w:firstLine="0"/>
        <w:jc w:val="left"/>
        <w:rPr>
          <w:rFonts w:ascii="Calibri" w:hAnsi="Calibri"/>
          <w:sz w:val="17"/>
        </w:rPr>
      </w:pPr>
      <w:r>
        <w:rPr>
          <w:rFonts w:ascii="Calibri" w:hAnsi="Calibri"/>
          <w:color w:val="231F20"/>
          <w:position w:val="6"/>
          <w:sz w:val="10"/>
        </w:rPr>
        <w:t>26 </w:t>
      </w:r>
      <w:r>
        <w:rPr>
          <w:rFonts w:ascii="Calibri" w:hAnsi="Calibri"/>
          <w:color w:val="231F20"/>
          <w:sz w:val="17"/>
        </w:rPr>
        <w:t>P. Napoli, </w:t>
      </w:r>
      <w:r>
        <w:rPr>
          <w:rFonts w:ascii="Calibri" w:hAnsi="Calibri"/>
          <w:i/>
          <w:color w:val="231F20"/>
          <w:sz w:val="17"/>
        </w:rPr>
        <w:t>Il “deposito”. Genealogia di un archetipo amministrativo</w:t>
      </w:r>
      <w:r>
        <w:rPr>
          <w:rFonts w:ascii="Calibri" w:hAnsi="Calibri"/>
          <w:color w:val="231F20"/>
          <w:sz w:val="17"/>
        </w:rPr>
        <w:t>, in pp. 108–124.</w:t>
      </w:r>
    </w:p>
    <w:p>
      <w:pPr>
        <w:spacing w:after="0"/>
        <w:jc w:val="left"/>
        <w:rPr>
          <w:rFonts w:ascii="Calibri" w:hAnsi="Calibri"/>
          <w:sz w:val="17"/>
        </w:rPr>
        <w:sectPr>
          <w:pgSz w:w="9640" w:h="13890"/>
          <w:pgMar w:top="0" w:bottom="280" w:left="1300" w:right="1180"/>
        </w:sectPr>
      </w:pPr>
    </w:p>
    <w:p>
      <w:pPr>
        <w:pStyle w:val="BodyText"/>
        <w:spacing w:line="247" w:lineRule="auto" w:before="107"/>
        <w:ind w:left="103" w:right="114"/>
        <w:jc w:val="both"/>
      </w:pPr>
      <w:r>
        <w:rPr>
          <w:color w:val="231F20"/>
        </w:rPr>
        <w:t>dello</w:t>
      </w:r>
      <w:r>
        <w:rPr>
          <w:color w:val="231F20"/>
          <w:spacing w:val="-10"/>
        </w:rPr>
        <w:t> </w:t>
      </w:r>
      <w:r>
        <w:rPr>
          <w:color w:val="231F20"/>
        </w:rPr>
        <w:t>Stato</w:t>
      </w:r>
      <w:r>
        <w:rPr>
          <w:color w:val="231F20"/>
          <w:spacing w:val="-10"/>
        </w:rPr>
        <w:t> </w:t>
      </w:r>
      <w:r>
        <w:rPr>
          <w:color w:val="231F20"/>
        </w:rPr>
        <w:t>liberal–democratico;</w:t>
      </w:r>
      <w:r>
        <w:rPr>
          <w:color w:val="231F20"/>
          <w:spacing w:val="-10"/>
        </w:rPr>
        <w:t> </w:t>
      </w:r>
      <w:r>
        <w:rPr>
          <w:color w:val="231F20"/>
        </w:rPr>
        <w:t>tanto</w:t>
      </w:r>
      <w:r>
        <w:rPr>
          <w:color w:val="231F20"/>
          <w:spacing w:val="-10"/>
        </w:rPr>
        <w:t> </w:t>
      </w:r>
      <w:r>
        <w:rPr>
          <w:color w:val="231F20"/>
        </w:rPr>
        <w:t>che</w:t>
      </w:r>
      <w:r>
        <w:rPr>
          <w:color w:val="231F20"/>
          <w:spacing w:val="-10"/>
        </w:rPr>
        <w:t> </w:t>
      </w:r>
      <w:r>
        <w:rPr>
          <w:color w:val="231F20"/>
        </w:rPr>
        <w:t>la</w:t>
      </w:r>
      <w:r>
        <w:rPr>
          <w:color w:val="231F20"/>
          <w:spacing w:val="-10"/>
        </w:rPr>
        <w:t> </w:t>
      </w:r>
      <w:r>
        <w:rPr>
          <w:color w:val="231F20"/>
        </w:rPr>
        <w:t>stessa</w:t>
      </w:r>
      <w:r>
        <w:rPr>
          <w:color w:val="231F20"/>
          <w:spacing w:val="-10"/>
        </w:rPr>
        <w:t> </w:t>
      </w:r>
      <w:r>
        <w:rPr>
          <w:color w:val="231F20"/>
        </w:rPr>
        <w:t>tecnica</w:t>
      </w:r>
      <w:r>
        <w:rPr>
          <w:color w:val="231F20"/>
          <w:spacing w:val="-10"/>
        </w:rPr>
        <w:t> </w:t>
      </w:r>
      <w:r>
        <w:rPr>
          <w:color w:val="231F20"/>
        </w:rPr>
        <w:t>può</w:t>
      </w:r>
      <w:r>
        <w:rPr>
          <w:color w:val="231F20"/>
          <w:spacing w:val="-10"/>
        </w:rPr>
        <w:t> </w:t>
      </w:r>
      <w:r>
        <w:rPr>
          <w:color w:val="231F20"/>
        </w:rPr>
        <w:t>essere</w:t>
      </w:r>
      <w:r>
        <w:rPr>
          <w:color w:val="231F20"/>
          <w:spacing w:val="-10"/>
        </w:rPr>
        <w:t> </w:t>
      </w:r>
      <w:r>
        <w:rPr>
          <w:color w:val="231F20"/>
        </w:rPr>
        <w:t>vista come la leva che ha rotto l’equazione appena citata, riuscendo a separare l’aspetto liberale da quello democratico del vecchio sistema, ma anche a </w:t>
      </w:r>
      <w:r>
        <w:rPr>
          <w:color w:val="231F20"/>
          <w:spacing w:val="-4"/>
        </w:rPr>
        <w:t>sorreggere,</w:t>
      </w:r>
      <w:r>
        <w:rPr>
          <w:color w:val="231F20"/>
          <w:spacing w:val="-9"/>
        </w:rPr>
        <w:t> </w:t>
      </w:r>
      <w:r>
        <w:rPr>
          <w:color w:val="231F20"/>
        </w:rPr>
        <w:t>con</w:t>
      </w:r>
      <w:r>
        <w:rPr>
          <w:color w:val="231F20"/>
          <w:spacing w:val="-9"/>
        </w:rPr>
        <w:t> </w:t>
      </w:r>
      <w:r>
        <w:rPr>
          <w:color w:val="231F20"/>
        </w:rPr>
        <w:t>una</w:t>
      </w:r>
      <w:r>
        <w:rPr>
          <w:color w:val="231F20"/>
          <w:spacing w:val="-9"/>
        </w:rPr>
        <w:t> </w:t>
      </w:r>
      <w:r>
        <w:rPr>
          <w:color w:val="231F20"/>
          <w:spacing w:val="-3"/>
        </w:rPr>
        <w:t>dilatazione</w:t>
      </w:r>
      <w:r>
        <w:rPr>
          <w:color w:val="231F20"/>
          <w:spacing w:val="-9"/>
        </w:rPr>
        <w:t> </w:t>
      </w:r>
      <w:r>
        <w:rPr>
          <w:color w:val="231F20"/>
        </w:rPr>
        <w:t>in</w:t>
      </w:r>
      <w:r>
        <w:rPr>
          <w:color w:val="231F20"/>
          <w:spacing w:val="-9"/>
        </w:rPr>
        <w:t> </w:t>
      </w:r>
      <w:r>
        <w:rPr>
          <w:color w:val="231F20"/>
          <w:spacing w:val="-3"/>
        </w:rPr>
        <w:t>termini</w:t>
      </w:r>
      <w:r>
        <w:rPr>
          <w:color w:val="231F20"/>
          <w:spacing w:val="-9"/>
        </w:rPr>
        <w:t> </w:t>
      </w:r>
      <w:r>
        <w:rPr>
          <w:color w:val="231F20"/>
        </w:rPr>
        <w:t>di</w:t>
      </w:r>
      <w:r>
        <w:rPr>
          <w:color w:val="231F20"/>
          <w:spacing w:val="-9"/>
        </w:rPr>
        <w:t> </w:t>
      </w:r>
      <w:r>
        <w:rPr>
          <w:color w:val="231F20"/>
          <w:spacing w:val="-3"/>
        </w:rPr>
        <w:t>massa</w:t>
      </w:r>
      <w:r>
        <w:rPr>
          <w:color w:val="231F20"/>
          <w:spacing w:val="-9"/>
        </w:rPr>
        <w:t> </w:t>
      </w:r>
      <w:r>
        <w:rPr>
          <w:color w:val="231F20"/>
          <w:spacing w:val="-3"/>
        </w:rPr>
        <w:t>dell’opzione</w:t>
      </w:r>
      <w:r>
        <w:rPr>
          <w:color w:val="231F20"/>
          <w:spacing w:val="-9"/>
        </w:rPr>
        <w:t> </w:t>
      </w:r>
      <w:r>
        <w:rPr>
          <w:color w:val="231F20"/>
          <w:spacing w:val="-3"/>
        </w:rPr>
        <w:t>democratica, </w:t>
      </w:r>
      <w:r>
        <w:rPr>
          <w:color w:val="231F20"/>
        </w:rPr>
        <w:t>l’affermazione delle soluzioni totalitarie</w:t>
      </w:r>
      <w:r>
        <w:rPr>
          <w:color w:val="231F20"/>
          <w:spacing w:val="18"/>
        </w:rPr>
        <w:t> </w:t>
      </w:r>
      <w:r>
        <w:rPr>
          <w:color w:val="231F20"/>
          <w:position w:val="7"/>
          <w:sz w:val="12"/>
        </w:rPr>
        <w:t>27</w:t>
      </w:r>
      <w:r>
        <w:rPr>
          <w:color w:val="231F20"/>
        </w:rPr>
        <w:t>.</w:t>
      </w:r>
    </w:p>
    <w:p>
      <w:pPr>
        <w:pStyle w:val="BodyText"/>
        <w:spacing w:line="247" w:lineRule="auto"/>
        <w:ind w:left="103" w:right="109" w:firstLine="566"/>
        <w:jc w:val="both"/>
      </w:pPr>
      <w:r>
        <w:rPr>
          <w:color w:val="231F20"/>
          <w:w w:val="105"/>
        </w:rPr>
        <w:t>L’apparente indifferenza politica della tecnica deve solo portare a </w:t>
      </w:r>
      <w:r>
        <w:rPr>
          <w:color w:val="231F20"/>
          <w:spacing w:val="-4"/>
          <w:w w:val="105"/>
        </w:rPr>
        <w:t>riaccendere</w:t>
      </w:r>
      <w:r>
        <w:rPr>
          <w:color w:val="231F20"/>
          <w:spacing w:val="-50"/>
          <w:w w:val="105"/>
        </w:rPr>
        <w:t> </w:t>
      </w:r>
      <w:r>
        <w:rPr>
          <w:color w:val="231F20"/>
          <w:spacing w:val="-4"/>
          <w:w w:val="105"/>
        </w:rPr>
        <w:t>l’attenzione</w:t>
      </w:r>
      <w:r>
        <w:rPr>
          <w:color w:val="231F20"/>
          <w:spacing w:val="-50"/>
          <w:w w:val="105"/>
        </w:rPr>
        <w:t> </w:t>
      </w:r>
      <w:r>
        <w:rPr>
          <w:color w:val="231F20"/>
          <w:spacing w:val="-3"/>
          <w:w w:val="105"/>
        </w:rPr>
        <w:t>sui</w:t>
      </w:r>
      <w:r>
        <w:rPr>
          <w:color w:val="231F20"/>
          <w:spacing w:val="-50"/>
          <w:w w:val="105"/>
        </w:rPr>
        <w:t> </w:t>
      </w:r>
      <w:r>
        <w:rPr>
          <w:color w:val="231F20"/>
          <w:spacing w:val="-4"/>
          <w:w w:val="105"/>
        </w:rPr>
        <w:t>soggetti</w:t>
      </w:r>
      <w:r>
        <w:rPr>
          <w:color w:val="231F20"/>
          <w:spacing w:val="-50"/>
          <w:w w:val="105"/>
        </w:rPr>
        <w:t> </w:t>
      </w:r>
      <w:r>
        <w:rPr>
          <w:color w:val="231F20"/>
          <w:spacing w:val="-3"/>
          <w:w w:val="105"/>
        </w:rPr>
        <w:t>che</w:t>
      </w:r>
      <w:r>
        <w:rPr>
          <w:color w:val="231F20"/>
          <w:spacing w:val="-50"/>
          <w:w w:val="105"/>
        </w:rPr>
        <w:t> </w:t>
      </w:r>
      <w:r>
        <w:rPr>
          <w:color w:val="231F20"/>
          <w:w w:val="105"/>
        </w:rPr>
        <w:t>vi</w:t>
      </w:r>
      <w:r>
        <w:rPr>
          <w:color w:val="231F20"/>
          <w:spacing w:val="-50"/>
          <w:w w:val="105"/>
        </w:rPr>
        <w:t> </w:t>
      </w:r>
      <w:r>
        <w:rPr>
          <w:color w:val="231F20"/>
          <w:spacing w:val="-4"/>
          <w:w w:val="105"/>
        </w:rPr>
        <w:t>fanno</w:t>
      </w:r>
      <w:r>
        <w:rPr>
          <w:color w:val="231F20"/>
          <w:spacing w:val="-50"/>
          <w:w w:val="105"/>
        </w:rPr>
        <w:t> </w:t>
      </w:r>
      <w:r>
        <w:rPr>
          <w:color w:val="231F20"/>
          <w:spacing w:val="-4"/>
          <w:w w:val="105"/>
        </w:rPr>
        <w:t>ricorso</w:t>
      </w:r>
      <w:r>
        <w:rPr>
          <w:color w:val="231F20"/>
          <w:spacing w:val="-50"/>
          <w:w w:val="105"/>
        </w:rPr>
        <w:t> </w:t>
      </w:r>
      <w:r>
        <w:rPr>
          <w:color w:val="231F20"/>
          <w:w w:val="105"/>
        </w:rPr>
        <w:t>(o</w:t>
      </w:r>
      <w:r>
        <w:rPr>
          <w:color w:val="231F20"/>
          <w:spacing w:val="-50"/>
          <w:w w:val="105"/>
        </w:rPr>
        <w:t> </w:t>
      </w:r>
      <w:r>
        <w:rPr>
          <w:color w:val="231F20"/>
          <w:w w:val="105"/>
        </w:rPr>
        <w:t>vi</w:t>
      </w:r>
      <w:r>
        <w:rPr>
          <w:color w:val="231F20"/>
          <w:spacing w:val="-50"/>
          <w:w w:val="105"/>
        </w:rPr>
        <w:t> </w:t>
      </w:r>
      <w:r>
        <w:rPr>
          <w:color w:val="231F20"/>
          <w:spacing w:val="-3"/>
          <w:w w:val="105"/>
        </w:rPr>
        <w:t>sono</w:t>
      </w:r>
      <w:r>
        <w:rPr>
          <w:color w:val="231F20"/>
          <w:spacing w:val="-50"/>
          <w:w w:val="105"/>
        </w:rPr>
        <w:t> </w:t>
      </w:r>
      <w:r>
        <w:rPr>
          <w:color w:val="231F20"/>
          <w:spacing w:val="-4"/>
          <w:w w:val="105"/>
        </w:rPr>
        <w:t>sottomessi) </w:t>
      </w:r>
      <w:r>
        <w:rPr>
          <w:color w:val="231F20"/>
          <w:w w:val="105"/>
        </w:rPr>
        <w:t>e</w:t>
      </w:r>
      <w:r>
        <w:rPr>
          <w:color w:val="231F20"/>
          <w:spacing w:val="-20"/>
          <w:w w:val="105"/>
        </w:rPr>
        <w:t> </w:t>
      </w:r>
      <w:r>
        <w:rPr>
          <w:color w:val="231F20"/>
          <w:w w:val="105"/>
        </w:rPr>
        <w:t>sulle</w:t>
      </w:r>
      <w:r>
        <w:rPr>
          <w:color w:val="231F20"/>
          <w:spacing w:val="-20"/>
          <w:w w:val="105"/>
        </w:rPr>
        <w:t> </w:t>
      </w:r>
      <w:r>
        <w:rPr>
          <w:color w:val="231F20"/>
          <w:w w:val="105"/>
        </w:rPr>
        <w:t>loro</w:t>
      </w:r>
      <w:r>
        <w:rPr>
          <w:color w:val="231F20"/>
          <w:spacing w:val="-20"/>
          <w:w w:val="105"/>
        </w:rPr>
        <w:t> </w:t>
      </w:r>
      <w:r>
        <w:rPr>
          <w:color w:val="231F20"/>
          <w:w w:val="105"/>
        </w:rPr>
        <w:t>specifiche</w:t>
      </w:r>
      <w:r>
        <w:rPr>
          <w:color w:val="231F20"/>
          <w:spacing w:val="-20"/>
          <w:w w:val="105"/>
        </w:rPr>
        <w:t> </w:t>
      </w:r>
      <w:r>
        <w:rPr>
          <w:color w:val="231F20"/>
          <w:w w:val="105"/>
        </w:rPr>
        <w:t>responsabilità,</w:t>
      </w:r>
      <w:r>
        <w:rPr>
          <w:color w:val="231F20"/>
          <w:spacing w:val="-20"/>
          <w:w w:val="105"/>
        </w:rPr>
        <w:t> </w:t>
      </w:r>
      <w:r>
        <w:rPr>
          <w:color w:val="231F20"/>
          <w:w w:val="105"/>
        </w:rPr>
        <w:t>ma</w:t>
      </w:r>
      <w:r>
        <w:rPr>
          <w:color w:val="231F20"/>
          <w:spacing w:val="-20"/>
          <w:w w:val="105"/>
        </w:rPr>
        <w:t> </w:t>
      </w:r>
      <w:r>
        <w:rPr>
          <w:color w:val="231F20"/>
          <w:w w:val="105"/>
        </w:rPr>
        <w:t>contemporaneamente</w:t>
      </w:r>
      <w:r>
        <w:rPr>
          <w:color w:val="231F20"/>
          <w:spacing w:val="-20"/>
          <w:w w:val="105"/>
        </w:rPr>
        <w:t> </w:t>
      </w:r>
      <w:r>
        <w:rPr>
          <w:color w:val="231F20"/>
          <w:w w:val="105"/>
        </w:rPr>
        <w:t>potrebbe anche</w:t>
      </w:r>
      <w:r>
        <w:rPr>
          <w:color w:val="231F20"/>
          <w:spacing w:val="-55"/>
          <w:w w:val="105"/>
        </w:rPr>
        <w:t> </w:t>
      </w:r>
      <w:r>
        <w:rPr>
          <w:color w:val="231F20"/>
          <w:spacing w:val="-3"/>
          <w:w w:val="105"/>
        </w:rPr>
        <w:t>servire</w:t>
      </w:r>
      <w:r>
        <w:rPr>
          <w:color w:val="231F20"/>
          <w:spacing w:val="-55"/>
          <w:w w:val="105"/>
        </w:rPr>
        <w:t> </w:t>
      </w:r>
      <w:r>
        <w:rPr>
          <w:color w:val="231F20"/>
          <w:w w:val="105"/>
        </w:rPr>
        <w:t>a</w:t>
      </w:r>
      <w:r>
        <w:rPr>
          <w:color w:val="231F20"/>
          <w:spacing w:val="-55"/>
          <w:w w:val="105"/>
        </w:rPr>
        <w:t> </w:t>
      </w:r>
      <w:r>
        <w:rPr>
          <w:color w:val="231F20"/>
          <w:spacing w:val="-3"/>
          <w:w w:val="105"/>
        </w:rPr>
        <w:t>relativizzare</w:t>
      </w:r>
      <w:r>
        <w:rPr>
          <w:color w:val="231F20"/>
          <w:spacing w:val="-55"/>
          <w:w w:val="105"/>
        </w:rPr>
        <w:t> </w:t>
      </w:r>
      <w:r>
        <w:rPr>
          <w:color w:val="231F20"/>
          <w:w w:val="105"/>
        </w:rPr>
        <w:t>quelle</w:t>
      </w:r>
      <w:r>
        <w:rPr>
          <w:color w:val="231F20"/>
          <w:spacing w:val="-55"/>
          <w:w w:val="105"/>
        </w:rPr>
        <w:t> </w:t>
      </w:r>
      <w:r>
        <w:rPr>
          <w:color w:val="231F20"/>
          <w:w w:val="105"/>
        </w:rPr>
        <w:t>funzioni</w:t>
      </w:r>
      <w:r>
        <w:rPr>
          <w:color w:val="231F20"/>
          <w:spacing w:val="-55"/>
          <w:w w:val="105"/>
        </w:rPr>
        <w:t> </w:t>
      </w:r>
      <w:r>
        <w:rPr>
          <w:color w:val="231F20"/>
          <w:w w:val="105"/>
        </w:rPr>
        <w:t>dello</w:t>
      </w:r>
      <w:r>
        <w:rPr>
          <w:color w:val="231F20"/>
          <w:spacing w:val="-55"/>
          <w:w w:val="105"/>
        </w:rPr>
        <w:t> </w:t>
      </w:r>
      <w:r>
        <w:rPr>
          <w:color w:val="231F20"/>
          <w:w w:val="105"/>
        </w:rPr>
        <w:t>Stato</w:t>
      </w:r>
      <w:r>
        <w:rPr>
          <w:color w:val="231F20"/>
          <w:spacing w:val="-55"/>
          <w:w w:val="105"/>
        </w:rPr>
        <w:t> </w:t>
      </w:r>
      <w:r>
        <w:rPr>
          <w:color w:val="231F20"/>
          <w:w w:val="105"/>
        </w:rPr>
        <w:t>che,</w:t>
      </w:r>
      <w:r>
        <w:rPr>
          <w:color w:val="231F20"/>
          <w:spacing w:val="-55"/>
          <w:w w:val="105"/>
        </w:rPr>
        <w:t> </w:t>
      </w:r>
      <w:r>
        <w:rPr>
          <w:color w:val="231F20"/>
          <w:w w:val="105"/>
        </w:rPr>
        <w:t>come</w:t>
      </w:r>
      <w:r>
        <w:rPr>
          <w:color w:val="231F20"/>
          <w:spacing w:val="-55"/>
          <w:w w:val="105"/>
        </w:rPr>
        <w:t> </w:t>
      </w:r>
      <w:r>
        <w:rPr>
          <w:color w:val="231F20"/>
          <w:w w:val="105"/>
        </w:rPr>
        <w:t>accennavo, sono</w:t>
      </w:r>
      <w:r>
        <w:rPr>
          <w:color w:val="231F20"/>
          <w:spacing w:val="-13"/>
          <w:w w:val="105"/>
        </w:rPr>
        <w:t> </w:t>
      </w:r>
      <w:r>
        <w:rPr>
          <w:color w:val="231F20"/>
          <w:w w:val="105"/>
        </w:rPr>
        <w:t>state</w:t>
      </w:r>
      <w:r>
        <w:rPr>
          <w:color w:val="231F20"/>
          <w:spacing w:val="-13"/>
          <w:w w:val="105"/>
        </w:rPr>
        <w:t> </w:t>
      </w:r>
      <w:r>
        <w:rPr>
          <w:color w:val="231F20"/>
          <w:w w:val="105"/>
        </w:rPr>
        <w:t>tecnicizzate.</w:t>
      </w:r>
      <w:r>
        <w:rPr>
          <w:color w:val="231F20"/>
          <w:spacing w:val="-13"/>
          <w:w w:val="105"/>
        </w:rPr>
        <w:t> </w:t>
      </w:r>
      <w:r>
        <w:rPr>
          <w:color w:val="231F20"/>
          <w:w w:val="105"/>
        </w:rPr>
        <w:t>Nella</w:t>
      </w:r>
      <w:r>
        <w:rPr>
          <w:color w:val="231F20"/>
          <w:spacing w:val="-13"/>
          <w:w w:val="105"/>
        </w:rPr>
        <w:t> </w:t>
      </w:r>
      <w:r>
        <w:rPr>
          <w:color w:val="231F20"/>
          <w:w w:val="105"/>
        </w:rPr>
        <w:t>misura</w:t>
      </w:r>
      <w:r>
        <w:rPr>
          <w:color w:val="231F20"/>
          <w:spacing w:val="-13"/>
          <w:w w:val="105"/>
        </w:rPr>
        <w:t> </w:t>
      </w:r>
      <w:r>
        <w:rPr>
          <w:color w:val="231F20"/>
          <w:w w:val="105"/>
        </w:rPr>
        <w:t>in</w:t>
      </w:r>
      <w:r>
        <w:rPr>
          <w:color w:val="231F20"/>
          <w:spacing w:val="-13"/>
          <w:w w:val="105"/>
        </w:rPr>
        <w:t> </w:t>
      </w:r>
      <w:r>
        <w:rPr>
          <w:color w:val="231F20"/>
          <w:w w:val="105"/>
        </w:rPr>
        <w:t>cui</w:t>
      </w:r>
      <w:r>
        <w:rPr>
          <w:color w:val="231F20"/>
          <w:spacing w:val="-13"/>
          <w:w w:val="105"/>
        </w:rPr>
        <w:t> </w:t>
      </w:r>
      <w:r>
        <w:rPr>
          <w:color w:val="231F20"/>
          <w:w w:val="105"/>
        </w:rPr>
        <w:t>la</w:t>
      </w:r>
      <w:r>
        <w:rPr>
          <w:color w:val="231F20"/>
          <w:spacing w:val="-13"/>
          <w:w w:val="105"/>
        </w:rPr>
        <w:t> </w:t>
      </w:r>
      <w:r>
        <w:rPr>
          <w:color w:val="231F20"/>
          <w:w w:val="105"/>
        </w:rPr>
        <w:t>tecnica</w:t>
      </w:r>
      <w:r>
        <w:rPr>
          <w:color w:val="231F20"/>
          <w:spacing w:val="-13"/>
          <w:w w:val="105"/>
        </w:rPr>
        <w:t> </w:t>
      </w:r>
      <w:r>
        <w:rPr>
          <w:color w:val="231F20"/>
          <w:w w:val="105"/>
        </w:rPr>
        <w:t>si</w:t>
      </w:r>
      <w:r>
        <w:rPr>
          <w:color w:val="231F20"/>
          <w:spacing w:val="-13"/>
          <w:w w:val="105"/>
        </w:rPr>
        <w:t> </w:t>
      </w:r>
      <w:r>
        <w:rPr>
          <w:color w:val="231F20"/>
          <w:w w:val="105"/>
        </w:rPr>
        <w:t>va</w:t>
      </w:r>
      <w:r>
        <w:rPr>
          <w:color w:val="231F20"/>
          <w:spacing w:val="-13"/>
          <w:w w:val="105"/>
        </w:rPr>
        <w:t> </w:t>
      </w:r>
      <w:r>
        <w:rPr>
          <w:color w:val="231F20"/>
          <w:w w:val="105"/>
        </w:rPr>
        <w:t>sostituendo</w:t>
      </w:r>
      <w:r>
        <w:rPr>
          <w:color w:val="231F20"/>
          <w:spacing w:val="-13"/>
          <w:w w:val="105"/>
        </w:rPr>
        <w:t> </w:t>
      </w:r>
      <w:r>
        <w:rPr>
          <w:color w:val="231F20"/>
          <w:w w:val="105"/>
        </w:rPr>
        <w:t>al diritto, dovrebbe diventare più facile usarla, da parte di soggetti che</w:t>
      </w:r>
      <w:r>
        <w:rPr>
          <w:color w:val="231F20"/>
          <w:spacing w:val="-19"/>
          <w:w w:val="105"/>
        </w:rPr>
        <w:t> </w:t>
      </w:r>
      <w:r>
        <w:rPr>
          <w:color w:val="231F20"/>
          <w:w w:val="105"/>
        </w:rPr>
        <w:t>ne siano</w:t>
      </w:r>
      <w:r>
        <w:rPr>
          <w:color w:val="231F20"/>
          <w:spacing w:val="-48"/>
          <w:w w:val="105"/>
        </w:rPr>
        <w:t> </w:t>
      </w:r>
      <w:r>
        <w:rPr>
          <w:color w:val="231F20"/>
          <w:w w:val="105"/>
        </w:rPr>
        <w:t>capaci</w:t>
      </w:r>
      <w:r>
        <w:rPr>
          <w:color w:val="231F20"/>
          <w:spacing w:val="-48"/>
          <w:w w:val="105"/>
        </w:rPr>
        <w:t> </w:t>
      </w:r>
      <w:r>
        <w:rPr>
          <w:color w:val="231F20"/>
          <w:w w:val="105"/>
        </w:rPr>
        <w:t>e</w:t>
      </w:r>
      <w:r>
        <w:rPr>
          <w:color w:val="231F20"/>
          <w:spacing w:val="-48"/>
          <w:w w:val="105"/>
        </w:rPr>
        <w:t> </w:t>
      </w:r>
      <w:r>
        <w:rPr>
          <w:color w:val="231F20"/>
          <w:w w:val="105"/>
        </w:rPr>
        <w:t>sappiano</w:t>
      </w:r>
      <w:r>
        <w:rPr>
          <w:color w:val="231F20"/>
          <w:spacing w:val="-48"/>
          <w:w w:val="105"/>
        </w:rPr>
        <w:t> </w:t>
      </w:r>
      <w:r>
        <w:rPr>
          <w:color w:val="231F20"/>
          <w:w w:val="105"/>
        </w:rPr>
        <w:t>riempirla</w:t>
      </w:r>
      <w:r>
        <w:rPr>
          <w:color w:val="231F20"/>
          <w:spacing w:val="-48"/>
          <w:w w:val="105"/>
        </w:rPr>
        <w:t> </w:t>
      </w:r>
      <w:r>
        <w:rPr>
          <w:color w:val="231F20"/>
          <w:w w:val="105"/>
        </w:rPr>
        <w:t>dei</w:t>
      </w:r>
      <w:r>
        <w:rPr>
          <w:color w:val="231F20"/>
          <w:spacing w:val="-48"/>
          <w:w w:val="105"/>
        </w:rPr>
        <w:t> </w:t>
      </w:r>
      <w:r>
        <w:rPr>
          <w:color w:val="231F20"/>
          <w:w w:val="105"/>
        </w:rPr>
        <w:t>contenuti</w:t>
      </w:r>
      <w:r>
        <w:rPr>
          <w:color w:val="231F20"/>
          <w:spacing w:val="-48"/>
          <w:w w:val="105"/>
        </w:rPr>
        <w:t> </w:t>
      </w:r>
      <w:r>
        <w:rPr>
          <w:color w:val="231F20"/>
          <w:w w:val="105"/>
        </w:rPr>
        <w:t>voluti,</w:t>
      </w:r>
      <w:r>
        <w:rPr>
          <w:color w:val="231F20"/>
          <w:spacing w:val="-48"/>
          <w:w w:val="105"/>
        </w:rPr>
        <w:t> </w:t>
      </w:r>
      <w:r>
        <w:rPr>
          <w:color w:val="231F20"/>
          <w:spacing w:val="-3"/>
          <w:w w:val="105"/>
        </w:rPr>
        <w:t>mentre</w:t>
      </w:r>
      <w:r>
        <w:rPr>
          <w:color w:val="231F20"/>
          <w:spacing w:val="-48"/>
          <w:w w:val="105"/>
        </w:rPr>
        <w:t> </w:t>
      </w:r>
      <w:r>
        <w:rPr>
          <w:color w:val="231F20"/>
          <w:w w:val="105"/>
        </w:rPr>
        <w:t>per</w:t>
      </w:r>
      <w:r>
        <w:rPr>
          <w:color w:val="231F20"/>
          <w:spacing w:val="-48"/>
          <w:w w:val="105"/>
        </w:rPr>
        <w:t> </w:t>
      </w:r>
      <w:r>
        <w:rPr>
          <w:color w:val="231F20"/>
          <w:w w:val="105"/>
        </w:rPr>
        <w:t>il</w:t>
      </w:r>
      <w:r>
        <w:rPr>
          <w:color w:val="231F20"/>
          <w:spacing w:val="-48"/>
          <w:w w:val="105"/>
        </w:rPr>
        <w:t> </w:t>
      </w:r>
      <w:r>
        <w:rPr>
          <w:color w:val="231F20"/>
          <w:w w:val="105"/>
        </w:rPr>
        <w:t>diritto</w:t>
      </w:r>
      <w:r>
        <w:rPr>
          <w:color w:val="231F20"/>
          <w:spacing w:val="-48"/>
          <w:w w:val="105"/>
        </w:rPr>
        <w:t> </w:t>
      </w:r>
      <w:r>
        <w:rPr>
          <w:color w:val="231F20"/>
          <w:spacing w:val="-2"/>
          <w:w w:val="105"/>
        </w:rPr>
        <w:t>ciò </w:t>
      </w:r>
      <w:r>
        <w:rPr>
          <w:color w:val="231F20"/>
          <w:w w:val="105"/>
        </w:rPr>
        <w:t>era</w:t>
      </w:r>
      <w:r>
        <w:rPr>
          <w:color w:val="231F20"/>
          <w:spacing w:val="-36"/>
          <w:w w:val="105"/>
        </w:rPr>
        <w:t> </w:t>
      </w:r>
      <w:r>
        <w:rPr>
          <w:color w:val="231F20"/>
          <w:w w:val="105"/>
        </w:rPr>
        <w:t>molto</w:t>
      </w:r>
      <w:r>
        <w:rPr>
          <w:color w:val="231F20"/>
          <w:spacing w:val="-36"/>
          <w:w w:val="105"/>
        </w:rPr>
        <w:t> </w:t>
      </w:r>
      <w:r>
        <w:rPr>
          <w:color w:val="231F20"/>
          <w:w w:val="105"/>
        </w:rPr>
        <w:t>più</w:t>
      </w:r>
      <w:r>
        <w:rPr>
          <w:color w:val="231F20"/>
          <w:spacing w:val="-36"/>
          <w:w w:val="105"/>
        </w:rPr>
        <w:t> </w:t>
      </w:r>
      <w:r>
        <w:rPr>
          <w:color w:val="231F20"/>
          <w:w w:val="105"/>
        </w:rPr>
        <w:t>difficile,</w:t>
      </w:r>
      <w:r>
        <w:rPr>
          <w:color w:val="231F20"/>
          <w:spacing w:val="-36"/>
          <w:w w:val="105"/>
        </w:rPr>
        <w:t> </w:t>
      </w:r>
      <w:r>
        <w:rPr>
          <w:color w:val="231F20"/>
          <w:w w:val="105"/>
        </w:rPr>
        <w:t>essendo</w:t>
      </w:r>
      <w:r>
        <w:rPr>
          <w:color w:val="231F20"/>
          <w:spacing w:val="-36"/>
          <w:w w:val="105"/>
        </w:rPr>
        <w:t> </w:t>
      </w:r>
      <w:r>
        <w:rPr>
          <w:color w:val="231F20"/>
          <w:w w:val="105"/>
        </w:rPr>
        <w:t>quest’ultimo</w:t>
      </w:r>
      <w:r>
        <w:rPr>
          <w:color w:val="231F20"/>
          <w:spacing w:val="-36"/>
          <w:w w:val="105"/>
        </w:rPr>
        <w:t> </w:t>
      </w:r>
      <w:r>
        <w:rPr>
          <w:color w:val="231F20"/>
          <w:w w:val="105"/>
        </w:rPr>
        <w:t>intriso</w:t>
      </w:r>
      <w:r>
        <w:rPr>
          <w:color w:val="231F20"/>
          <w:spacing w:val="-36"/>
          <w:w w:val="105"/>
        </w:rPr>
        <w:t> </w:t>
      </w:r>
      <w:r>
        <w:rPr>
          <w:color w:val="231F20"/>
          <w:w w:val="105"/>
        </w:rPr>
        <w:t>di</w:t>
      </w:r>
      <w:r>
        <w:rPr>
          <w:color w:val="231F20"/>
          <w:spacing w:val="-36"/>
          <w:w w:val="105"/>
        </w:rPr>
        <w:t> </w:t>
      </w:r>
      <w:r>
        <w:rPr>
          <w:color w:val="231F20"/>
          <w:w w:val="105"/>
        </w:rPr>
        <w:t>contenuti</w:t>
      </w:r>
      <w:r>
        <w:rPr>
          <w:color w:val="231F20"/>
          <w:spacing w:val="-36"/>
          <w:w w:val="105"/>
        </w:rPr>
        <w:t> </w:t>
      </w:r>
      <w:r>
        <w:rPr>
          <w:color w:val="231F20"/>
          <w:w w:val="105"/>
        </w:rPr>
        <w:t>prestabiliti, a</w:t>
      </w:r>
      <w:r>
        <w:rPr>
          <w:color w:val="231F20"/>
          <w:spacing w:val="-12"/>
          <w:w w:val="105"/>
        </w:rPr>
        <w:t> </w:t>
      </w:r>
      <w:r>
        <w:rPr>
          <w:color w:val="231F20"/>
          <w:w w:val="105"/>
        </w:rPr>
        <w:t>forte</w:t>
      </w:r>
      <w:r>
        <w:rPr>
          <w:color w:val="231F20"/>
          <w:spacing w:val="-12"/>
          <w:w w:val="105"/>
        </w:rPr>
        <w:t> </w:t>
      </w:r>
      <w:r>
        <w:rPr>
          <w:color w:val="231F20"/>
          <w:w w:val="105"/>
        </w:rPr>
        <w:t>matrice</w:t>
      </w:r>
      <w:r>
        <w:rPr>
          <w:color w:val="231F20"/>
          <w:spacing w:val="-12"/>
          <w:w w:val="105"/>
        </w:rPr>
        <w:t> </w:t>
      </w:r>
      <w:r>
        <w:rPr>
          <w:color w:val="231F20"/>
          <w:w w:val="105"/>
        </w:rPr>
        <w:t>classista</w:t>
      </w:r>
      <w:r>
        <w:rPr>
          <w:color w:val="231F20"/>
          <w:spacing w:val="-12"/>
          <w:w w:val="105"/>
        </w:rPr>
        <w:t> </w:t>
      </w:r>
      <w:r>
        <w:rPr>
          <w:color w:val="231F20"/>
          <w:w w:val="105"/>
        </w:rPr>
        <w:t>(e</w:t>
      </w:r>
      <w:r>
        <w:rPr>
          <w:color w:val="231F20"/>
          <w:spacing w:val="-12"/>
          <w:w w:val="105"/>
        </w:rPr>
        <w:t> </w:t>
      </w:r>
      <w:r>
        <w:rPr>
          <w:color w:val="231F20"/>
          <w:w w:val="105"/>
        </w:rPr>
        <w:t>per</w:t>
      </w:r>
      <w:r>
        <w:rPr>
          <w:color w:val="231F20"/>
          <w:spacing w:val="-12"/>
          <w:w w:val="105"/>
        </w:rPr>
        <w:t> </w:t>
      </w:r>
      <w:r>
        <w:rPr>
          <w:color w:val="231F20"/>
          <w:w w:val="105"/>
        </w:rPr>
        <w:t>questo</w:t>
      </w:r>
      <w:r>
        <w:rPr>
          <w:color w:val="231F20"/>
          <w:spacing w:val="-12"/>
          <w:w w:val="105"/>
        </w:rPr>
        <w:t> </w:t>
      </w:r>
      <w:r>
        <w:rPr>
          <w:color w:val="231F20"/>
          <w:w w:val="105"/>
        </w:rPr>
        <w:t>affidata,</w:t>
      </w:r>
      <w:r>
        <w:rPr>
          <w:color w:val="231F20"/>
          <w:spacing w:val="-12"/>
          <w:w w:val="105"/>
        </w:rPr>
        <w:t> </w:t>
      </w:r>
      <w:r>
        <w:rPr>
          <w:color w:val="231F20"/>
          <w:w w:val="105"/>
        </w:rPr>
        <w:t>forse,</w:t>
      </w:r>
      <w:r>
        <w:rPr>
          <w:color w:val="231F20"/>
          <w:spacing w:val="-12"/>
          <w:w w:val="105"/>
        </w:rPr>
        <w:t> </w:t>
      </w:r>
      <w:r>
        <w:rPr>
          <w:color w:val="231F20"/>
          <w:w w:val="105"/>
        </w:rPr>
        <w:t>alla</w:t>
      </w:r>
      <w:r>
        <w:rPr>
          <w:color w:val="231F20"/>
          <w:spacing w:val="-12"/>
          <w:w w:val="105"/>
        </w:rPr>
        <w:t> </w:t>
      </w:r>
      <w:r>
        <w:rPr>
          <w:color w:val="231F20"/>
          <w:w w:val="105"/>
        </w:rPr>
        <w:t>gestione</w:t>
      </w:r>
      <w:r>
        <w:rPr>
          <w:color w:val="231F20"/>
          <w:spacing w:val="-12"/>
          <w:w w:val="105"/>
        </w:rPr>
        <w:t> </w:t>
      </w:r>
      <w:r>
        <w:rPr>
          <w:color w:val="231F20"/>
          <w:w w:val="105"/>
        </w:rPr>
        <w:t>quasi di</w:t>
      </w:r>
      <w:r>
        <w:rPr>
          <w:color w:val="231F20"/>
          <w:spacing w:val="-10"/>
          <w:w w:val="105"/>
        </w:rPr>
        <w:t> </w:t>
      </w:r>
      <w:r>
        <w:rPr>
          <w:color w:val="231F20"/>
          <w:w w:val="105"/>
        </w:rPr>
        <w:t>casta</w:t>
      </w:r>
      <w:r>
        <w:rPr>
          <w:color w:val="231F20"/>
          <w:spacing w:val="-10"/>
          <w:w w:val="105"/>
        </w:rPr>
        <w:t> </w:t>
      </w:r>
      <w:r>
        <w:rPr>
          <w:color w:val="231F20"/>
          <w:w w:val="105"/>
        </w:rPr>
        <w:t>di</w:t>
      </w:r>
      <w:r>
        <w:rPr>
          <w:color w:val="231F20"/>
          <w:spacing w:val="-10"/>
          <w:w w:val="105"/>
        </w:rPr>
        <w:t> </w:t>
      </w:r>
      <w:r>
        <w:rPr>
          <w:color w:val="231F20"/>
          <w:w w:val="105"/>
        </w:rPr>
        <w:t>un</w:t>
      </w:r>
      <w:r>
        <w:rPr>
          <w:color w:val="231F20"/>
          <w:spacing w:val="-10"/>
          <w:w w:val="105"/>
        </w:rPr>
        <w:t> </w:t>
      </w:r>
      <w:r>
        <w:rPr>
          <w:color w:val="231F20"/>
          <w:w w:val="105"/>
        </w:rPr>
        <w:t>corpo</w:t>
      </w:r>
      <w:r>
        <w:rPr>
          <w:color w:val="231F20"/>
          <w:spacing w:val="-10"/>
          <w:w w:val="105"/>
        </w:rPr>
        <w:t> </w:t>
      </w:r>
      <w:r>
        <w:rPr>
          <w:rFonts w:ascii="Arial" w:hAnsi="Arial"/>
          <w:i/>
          <w:color w:val="231F20"/>
          <w:w w:val="105"/>
        </w:rPr>
        <w:t>ad</w:t>
      </w:r>
      <w:r>
        <w:rPr>
          <w:rFonts w:ascii="Arial" w:hAnsi="Arial"/>
          <w:i/>
          <w:color w:val="231F20"/>
          <w:spacing w:val="-3"/>
          <w:w w:val="105"/>
        </w:rPr>
        <w:t> </w:t>
      </w:r>
      <w:r>
        <w:rPr>
          <w:rFonts w:ascii="Arial" w:hAnsi="Arial"/>
          <w:i/>
          <w:color w:val="231F20"/>
          <w:w w:val="105"/>
        </w:rPr>
        <w:t>hoc</w:t>
      </w:r>
      <w:r>
        <w:rPr>
          <w:color w:val="231F20"/>
          <w:w w:val="105"/>
        </w:rPr>
        <w:t>:</w:t>
      </w:r>
      <w:r>
        <w:rPr>
          <w:color w:val="231F20"/>
          <w:spacing w:val="-10"/>
          <w:w w:val="105"/>
        </w:rPr>
        <w:t> </w:t>
      </w:r>
      <w:r>
        <w:rPr>
          <w:color w:val="231F20"/>
          <w:w w:val="105"/>
        </w:rPr>
        <w:t>quello</w:t>
      </w:r>
      <w:r>
        <w:rPr>
          <w:color w:val="231F20"/>
          <w:spacing w:val="-10"/>
          <w:w w:val="105"/>
        </w:rPr>
        <w:t> </w:t>
      </w:r>
      <w:r>
        <w:rPr>
          <w:color w:val="231F20"/>
          <w:w w:val="105"/>
        </w:rPr>
        <w:t>dei</w:t>
      </w:r>
      <w:r>
        <w:rPr>
          <w:color w:val="231F20"/>
          <w:spacing w:val="-10"/>
          <w:w w:val="105"/>
        </w:rPr>
        <w:t> </w:t>
      </w:r>
      <w:r>
        <w:rPr>
          <w:color w:val="231F20"/>
          <w:w w:val="105"/>
        </w:rPr>
        <w:t>giuristi).</w:t>
      </w:r>
      <w:r>
        <w:rPr>
          <w:color w:val="231F20"/>
          <w:spacing w:val="-10"/>
          <w:w w:val="105"/>
        </w:rPr>
        <w:t> </w:t>
      </w:r>
      <w:r>
        <w:rPr>
          <w:color w:val="231F20"/>
          <w:w w:val="105"/>
        </w:rPr>
        <w:t>Non</w:t>
      </w:r>
      <w:r>
        <w:rPr>
          <w:color w:val="231F20"/>
          <w:spacing w:val="-10"/>
          <w:w w:val="105"/>
        </w:rPr>
        <w:t> </w:t>
      </w:r>
      <w:r>
        <w:rPr>
          <w:color w:val="231F20"/>
          <w:w w:val="105"/>
        </w:rPr>
        <w:t>si</w:t>
      </w:r>
      <w:r>
        <w:rPr>
          <w:color w:val="231F20"/>
          <w:spacing w:val="-10"/>
          <w:w w:val="105"/>
        </w:rPr>
        <w:t> </w:t>
      </w:r>
      <w:r>
        <w:rPr>
          <w:color w:val="231F20"/>
          <w:w w:val="105"/>
        </w:rPr>
        <w:t>tratta,</w:t>
      </w:r>
      <w:r>
        <w:rPr>
          <w:color w:val="231F20"/>
          <w:spacing w:val="-10"/>
          <w:w w:val="105"/>
        </w:rPr>
        <w:t> </w:t>
      </w:r>
      <w:r>
        <w:rPr>
          <w:color w:val="231F20"/>
          <w:w w:val="105"/>
        </w:rPr>
        <w:t>dunque,</w:t>
      </w:r>
      <w:r>
        <w:rPr>
          <w:color w:val="231F20"/>
          <w:spacing w:val="-10"/>
          <w:w w:val="105"/>
        </w:rPr>
        <w:t> </w:t>
      </w:r>
      <w:r>
        <w:rPr>
          <w:color w:val="231F20"/>
          <w:w w:val="105"/>
        </w:rPr>
        <w:t>di attribuire</w:t>
      </w:r>
      <w:r>
        <w:rPr>
          <w:color w:val="231F20"/>
          <w:spacing w:val="-35"/>
          <w:w w:val="105"/>
        </w:rPr>
        <w:t> </w:t>
      </w:r>
      <w:r>
        <w:rPr>
          <w:color w:val="231F20"/>
          <w:w w:val="105"/>
        </w:rPr>
        <w:t>alla</w:t>
      </w:r>
      <w:r>
        <w:rPr>
          <w:color w:val="231F20"/>
          <w:spacing w:val="-35"/>
          <w:w w:val="105"/>
        </w:rPr>
        <w:t> </w:t>
      </w:r>
      <w:r>
        <w:rPr>
          <w:color w:val="231F20"/>
          <w:w w:val="105"/>
        </w:rPr>
        <w:t>tecnica</w:t>
      </w:r>
      <w:r>
        <w:rPr>
          <w:color w:val="231F20"/>
          <w:spacing w:val="-35"/>
          <w:w w:val="105"/>
        </w:rPr>
        <w:t> </w:t>
      </w:r>
      <w:r>
        <w:rPr>
          <w:color w:val="231F20"/>
          <w:w w:val="105"/>
        </w:rPr>
        <w:t>capacità</w:t>
      </w:r>
      <w:r>
        <w:rPr>
          <w:color w:val="231F20"/>
          <w:spacing w:val="-35"/>
          <w:w w:val="105"/>
        </w:rPr>
        <w:t> </w:t>
      </w:r>
      <w:r>
        <w:rPr>
          <w:color w:val="231F20"/>
          <w:w w:val="105"/>
        </w:rPr>
        <w:t>liberatorie</w:t>
      </w:r>
      <w:r>
        <w:rPr>
          <w:color w:val="231F20"/>
          <w:spacing w:val="-35"/>
          <w:w w:val="105"/>
        </w:rPr>
        <w:t> </w:t>
      </w:r>
      <w:r>
        <w:rPr>
          <w:color w:val="231F20"/>
          <w:w w:val="105"/>
        </w:rPr>
        <w:t>o</w:t>
      </w:r>
      <w:r>
        <w:rPr>
          <w:color w:val="231F20"/>
          <w:spacing w:val="-35"/>
          <w:w w:val="105"/>
        </w:rPr>
        <w:t> </w:t>
      </w:r>
      <w:r>
        <w:rPr>
          <w:color w:val="231F20"/>
          <w:w w:val="105"/>
        </w:rPr>
        <w:t>umanitarie,</w:t>
      </w:r>
      <w:r>
        <w:rPr>
          <w:color w:val="231F20"/>
          <w:spacing w:val="-35"/>
          <w:w w:val="105"/>
        </w:rPr>
        <w:t> </w:t>
      </w:r>
      <w:r>
        <w:rPr>
          <w:color w:val="231F20"/>
          <w:w w:val="105"/>
        </w:rPr>
        <w:t>ma</w:t>
      </w:r>
      <w:r>
        <w:rPr>
          <w:color w:val="231F20"/>
          <w:spacing w:val="-35"/>
          <w:w w:val="105"/>
        </w:rPr>
        <w:t> </w:t>
      </w:r>
      <w:r>
        <w:rPr>
          <w:color w:val="231F20"/>
          <w:w w:val="105"/>
        </w:rPr>
        <w:t>semplicemente di</w:t>
      </w:r>
      <w:r>
        <w:rPr>
          <w:color w:val="231F20"/>
          <w:spacing w:val="-31"/>
          <w:w w:val="105"/>
        </w:rPr>
        <w:t> </w:t>
      </w:r>
      <w:r>
        <w:rPr>
          <w:color w:val="231F20"/>
          <w:w w:val="105"/>
        </w:rPr>
        <w:t>ipotizzarne</w:t>
      </w:r>
      <w:r>
        <w:rPr>
          <w:color w:val="231F20"/>
          <w:spacing w:val="-31"/>
          <w:w w:val="105"/>
        </w:rPr>
        <w:t> </w:t>
      </w:r>
      <w:r>
        <w:rPr>
          <w:color w:val="231F20"/>
          <w:w w:val="105"/>
        </w:rPr>
        <w:t>un</w:t>
      </w:r>
      <w:r>
        <w:rPr>
          <w:color w:val="231F20"/>
          <w:spacing w:val="-31"/>
          <w:w w:val="105"/>
        </w:rPr>
        <w:t> </w:t>
      </w:r>
      <w:r>
        <w:rPr>
          <w:color w:val="231F20"/>
          <w:w w:val="105"/>
        </w:rPr>
        <w:t>uso</w:t>
      </w:r>
      <w:r>
        <w:rPr>
          <w:color w:val="231F20"/>
          <w:spacing w:val="-31"/>
          <w:w w:val="105"/>
        </w:rPr>
        <w:t> </w:t>
      </w:r>
      <w:r>
        <w:rPr>
          <w:color w:val="231F20"/>
          <w:w w:val="105"/>
        </w:rPr>
        <w:t>corretto</w:t>
      </w:r>
      <w:r>
        <w:rPr>
          <w:color w:val="231F20"/>
          <w:spacing w:val="-31"/>
          <w:w w:val="105"/>
        </w:rPr>
        <w:t> </w:t>
      </w:r>
      <w:r>
        <w:rPr>
          <w:color w:val="231F20"/>
          <w:w w:val="105"/>
        </w:rPr>
        <w:t>da</w:t>
      </w:r>
      <w:r>
        <w:rPr>
          <w:color w:val="231F20"/>
          <w:spacing w:val="-31"/>
          <w:w w:val="105"/>
        </w:rPr>
        <w:t> </w:t>
      </w:r>
      <w:r>
        <w:rPr>
          <w:color w:val="231F20"/>
          <w:w w:val="105"/>
        </w:rPr>
        <w:t>parte</w:t>
      </w:r>
      <w:r>
        <w:rPr>
          <w:color w:val="231F20"/>
          <w:spacing w:val="-31"/>
          <w:w w:val="105"/>
        </w:rPr>
        <w:t> </w:t>
      </w:r>
      <w:r>
        <w:rPr>
          <w:color w:val="231F20"/>
          <w:w w:val="105"/>
        </w:rPr>
        <w:t>di</w:t>
      </w:r>
      <w:r>
        <w:rPr>
          <w:color w:val="231F20"/>
          <w:spacing w:val="-31"/>
          <w:w w:val="105"/>
        </w:rPr>
        <w:t> </w:t>
      </w:r>
      <w:r>
        <w:rPr>
          <w:color w:val="231F20"/>
          <w:w w:val="105"/>
        </w:rPr>
        <w:t>soggetti,</w:t>
      </w:r>
      <w:r>
        <w:rPr>
          <w:color w:val="231F20"/>
          <w:spacing w:val="-31"/>
          <w:w w:val="105"/>
        </w:rPr>
        <w:t> </w:t>
      </w:r>
      <w:r>
        <w:rPr>
          <w:color w:val="231F20"/>
          <w:w w:val="105"/>
        </w:rPr>
        <w:t>essi</w:t>
      </w:r>
      <w:r>
        <w:rPr>
          <w:color w:val="231F20"/>
          <w:spacing w:val="-31"/>
          <w:w w:val="105"/>
        </w:rPr>
        <w:t> </w:t>
      </w:r>
      <w:r>
        <w:rPr>
          <w:color w:val="231F20"/>
          <w:w w:val="105"/>
        </w:rPr>
        <w:t>sì</w:t>
      </w:r>
      <w:r>
        <w:rPr>
          <w:color w:val="231F20"/>
          <w:spacing w:val="-31"/>
          <w:w w:val="105"/>
        </w:rPr>
        <w:t> </w:t>
      </w:r>
      <w:r>
        <w:rPr>
          <w:rFonts w:ascii="Arial" w:hAnsi="Arial"/>
          <w:i/>
          <w:color w:val="231F20"/>
          <w:w w:val="105"/>
        </w:rPr>
        <w:t>eventually</w:t>
      </w:r>
      <w:r>
        <w:rPr>
          <w:rFonts w:ascii="Arial" w:hAnsi="Arial"/>
          <w:i/>
          <w:color w:val="231F20"/>
          <w:spacing w:val="-24"/>
          <w:w w:val="105"/>
        </w:rPr>
        <w:t> </w:t>
      </w:r>
      <w:r>
        <w:rPr>
          <w:color w:val="231F20"/>
          <w:w w:val="105"/>
        </w:rPr>
        <w:t>carichi di</w:t>
      </w:r>
      <w:r>
        <w:rPr>
          <w:color w:val="231F20"/>
          <w:spacing w:val="-26"/>
          <w:w w:val="105"/>
        </w:rPr>
        <w:t> </w:t>
      </w:r>
      <w:r>
        <w:rPr>
          <w:color w:val="231F20"/>
          <w:w w:val="105"/>
        </w:rPr>
        <w:t>contenuti</w:t>
      </w:r>
      <w:r>
        <w:rPr>
          <w:color w:val="231F20"/>
          <w:spacing w:val="-26"/>
          <w:w w:val="105"/>
        </w:rPr>
        <w:t> </w:t>
      </w:r>
      <w:r>
        <w:rPr>
          <w:color w:val="231F20"/>
          <w:w w:val="105"/>
        </w:rPr>
        <w:t>liberatori</w:t>
      </w:r>
      <w:r>
        <w:rPr>
          <w:color w:val="231F20"/>
          <w:spacing w:val="-26"/>
          <w:w w:val="105"/>
        </w:rPr>
        <w:t> </w:t>
      </w:r>
      <w:r>
        <w:rPr>
          <w:color w:val="231F20"/>
          <w:w w:val="105"/>
        </w:rPr>
        <w:t>e</w:t>
      </w:r>
      <w:r>
        <w:rPr>
          <w:color w:val="231F20"/>
          <w:spacing w:val="-26"/>
          <w:w w:val="105"/>
        </w:rPr>
        <w:t> </w:t>
      </w:r>
      <w:r>
        <w:rPr>
          <w:color w:val="231F20"/>
          <w:w w:val="105"/>
        </w:rPr>
        <w:t>umanitari.</w:t>
      </w:r>
      <w:r>
        <w:rPr>
          <w:color w:val="231F20"/>
          <w:spacing w:val="-26"/>
          <w:w w:val="105"/>
        </w:rPr>
        <w:t> </w:t>
      </w:r>
      <w:r>
        <w:rPr>
          <w:color w:val="231F20"/>
          <w:w w:val="105"/>
        </w:rPr>
        <w:t>Rimandare</w:t>
      </w:r>
      <w:r>
        <w:rPr>
          <w:color w:val="231F20"/>
          <w:spacing w:val="-26"/>
          <w:w w:val="105"/>
        </w:rPr>
        <w:t> </w:t>
      </w:r>
      <w:r>
        <w:rPr>
          <w:color w:val="231F20"/>
          <w:w w:val="105"/>
        </w:rPr>
        <w:t>alla</w:t>
      </w:r>
      <w:r>
        <w:rPr>
          <w:color w:val="231F20"/>
          <w:spacing w:val="-26"/>
          <w:w w:val="105"/>
        </w:rPr>
        <w:t> </w:t>
      </w:r>
      <w:r>
        <w:rPr>
          <w:color w:val="231F20"/>
          <w:w w:val="105"/>
        </w:rPr>
        <w:t>tecnica</w:t>
      </w:r>
      <w:r>
        <w:rPr>
          <w:color w:val="231F20"/>
          <w:spacing w:val="-26"/>
          <w:w w:val="105"/>
        </w:rPr>
        <w:t> </w:t>
      </w:r>
      <w:r>
        <w:rPr>
          <w:color w:val="231F20"/>
          <w:w w:val="105"/>
        </w:rPr>
        <w:t>significa</w:t>
      </w:r>
      <w:r>
        <w:rPr>
          <w:color w:val="231F20"/>
          <w:spacing w:val="-26"/>
          <w:w w:val="105"/>
        </w:rPr>
        <w:t> </w:t>
      </w:r>
      <w:r>
        <w:rPr>
          <w:color w:val="231F20"/>
          <w:w w:val="105"/>
        </w:rPr>
        <w:t>perciò, di</w:t>
      </w:r>
      <w:r>
        <w:rPr>
          <w:color w:val="231F20"/>
          <w:spacing w:val="-42"/>
          <w:w w:val="105"/>
        </w:rPr>
        <w:t> </w:t>
      </w:r>
      <w:r>
        <w:rPr>
          <w:color w:val="231F20"/>
          <w:w w:val="105"/>
        </w:rPr>
        <w:t>nuovo,</w:t>
      </w:r>
      <w:r>
        <w:rPr>
          <w:color w:val="231F20"/>
          <w:spacing w:val="-42"/>
          <w:w w:val="105"/>
        </w:rPr>
        <w:t> </w:t>
      </w:r>
      <w:r>
        <w:rPr>
          <w:color w:val="231F20"/>
          <w:w w:val="105"/>
        </w:rPr>
        <w:t>rimandare</w:t>
      </w:r>
      <w:r>
        <w:rPr>
          <w:color w:val="231F20"/>
          <w:spacing w:val="-42"/>
          <w:w w:val="105"/>
        </w:rPr>
        <w:t> </w:t>
      </w:r>
      <w:r>
        <w:rPr>
          <w:color w:val="231F20"/>
          <w:w w:val="105"/>
        </w:rPr>
        <w:t>a</w:t>
      </w:r>
      <w:r>
        <w:rPr>
          <w:color w:val="231F20"/>
          <w:spacing w:val="-42"/>
          <w:w w:val="105"/>
        </w:rPr>
        <w:t> </w:t>
      </w:r>
      <w:r>
        <w:rPr>
          <w:color w:val="231F20"/>
          <w:w w:val="105"/>
        </w:rPr>
        <w:t>soggetti</w:t>
      </w:r>
      <w:r>
        <w:rPr>
          <w:color w:val="231F20"/>
          <w:spacing w:val="-42"/>
          <w:w w:val="105"/>
        </w:rPr>
        <w:t> </w:t>
      </w:r>
      <w:r>
        <w:rPr>
          <w:color w:val="231F20"/>
          <w:w w:val="105"/>
        </w:rPr>
        <w:t>agenti,</w:t>
      </w:r>
      <w:r>
        <w:rPr>
          <w:color w:val="231F20"/>
          <w:spacing w:val="-42"/>
          <w:w w:val="105"/>
        </w:rPr>
        <w:t> </w:t>
      </w:r>
      <w:r>
        <w:rPr>
          <w:color w:val="231F20"/>
          <w:w w:val="105"/>
        </w:rPr>
        <w:t>ma</w:t>
      </w:r>
      <w:r>
        <w:rPr>
          <w:color w:val="231F20"/>
          <w:spacing w:val="-42"/>
          <w:w w:val="105"/>
        </w:rPr>
        <w:t> </w:t>
      </w:r>
      <w:r>
        <w:rPr>
          <w:color w:val="231F20"/>
          <w:w w:val="105"/>
        </w:rPr>
        <w:t>questa</w:t>
      </w:r>
      <w:r>
        <w:rPr>
          <w:color w:val="231F20"/>
          <w:spacing w:val="-42"/>
          <w:w w:val="105"/>
        </w:rPr>
        <w:t> </w:t>
      </w:r>
      <w:r>
        <w:rPr>
          <w:color w:val="231F20"/>
          <w:w w:val="105"/>
        </w:rPr>
        <w:t>volta</w:t>
      </w:r>
      <w:r>
        <w:rPr>
          <w:color w:val="231F20"/>
          <w:spacing w:val="-42"/>
          <w:w w:val="105"/>
        </w:rPr>
        <w:t> </w:t>
      </w:r>
      <w:r>
        <w:rPr>
          <w:color w:val="231F20"/>
          <w:w w:val="105"/>
        </w:rPr>
        <w:t>meno</w:t>
      </w:r>
      <w:r>
        <w:rPr>
          <w:color w:val="231F20"/>
          <w:spacing w:val="-42"/>
          <w:w w:val="105"/>
        </w:rPr>
        <w:t> </w:t>
      </w:r>
      <w:r>
        <w:rPr>
          <w:color w:val="231F20"/>
          <w:w w:val="105"/>
        </w:rPr>
        <w:t>ostacolati,</w:t>
      </w:r>
      <w:r>
        <w:rPr>
          <w:color w:val="231F20"/>
          <w:spacing w:val="-42"/>
          <w:w w:val="105"/>
        </w:rPr>
        <w:t> </w:t>
      </w:r>
      <w:r>
        <w:rPr>
          <w:color w:val="231F20"/>
          <w:w w:val="105"/>
        </w:rPr>
        <w:t>nel loro</w:t>
      </w:r>
      <w:r>
        <w:rPr>
          <w:color w:val="231F20"/>
          <w:spacing w:val="-21"/>
          <w:w w:val="105"/>
        </w:rPr>
        <w:t> </w:t>
      </w:r>
      <w:r>
        <w:rPr>
          <w:color w:val="231F20"/>
          <w:w w:val="105"/>
        </w:rPr>
        <w:t>agire,</w:t>
      </w:r>
      <w:r>
        <w:rPr>
          <w:color w:val="231F20"/>
          <w:spacing w:val="-21"/>
          <w:w w:val="105"/>
        </w:rPr>
        <w:t> </w:t>
      </w:r>
      <w:r>
        <w:rPr>
          <w:color w:val="231F20"/>
          <w:w w:val="105"/>
        </w:rPr>
        <w:t>dalle</w:t>
      </w:r>
      <w:r>
        <w:rPr>
          <w:color w:val="231F20"/>
          <w:spacing w:val="-21"/>
          <w:w w:val="105"/>
        </w:rPr>
        <w:t> </w:t>
      </w:r>
      <w:r>
        <w:rPr>
          <w:color w:val="231F20"/>
          <w:w w:val="105"/>
        </w:rPr>
        <w:t>contro-indicazioni</w:t>
      </w:r>
      <w:r>
        <w:rPr>
          <w:color w:val="231F20"/>
          <w:spacing w:val="-21"/>
          <w:w w:val="105"/>
        </w:rPr>
        <w:t> </w:t>
      </w:r>
      <w:r>
        <w:rPr>
          <w:color w:val="231F20"/>
          <w:w w:val="105"/>
        </w:rPr>
        <w:t>già</w:t>
      </w:r>
      <w:r>
        <w:rPr>
          <w:color w:val="231F20"/>
          <w:spacing w:val="-21"/>
          <w:w w:val="105"/>
        </w:rPr>
        <w:t> </w:t>
      </w:r>
      <w:r>
        <w:rPr>
          <w:color w:val="231F20"/>
          <w:w w:val="105"/>
        </w:rPr>
        <w:t>presenti</w:t>
      </w:r>
      <w:r>
        <w:rPr>
          <w:color w:val="231F20"/>
          <w:spacing w:val="-21"/>
          <w:w w:val="105"/>
        </w:rPr>
        <w:t> </w:t>
      </w:r>
      <w:r>
        <w:rPr>
          <w:color w:val="231F20"/>
          <w:w w:val="105"/>
        </w:rPr>
        <w:t>nell’ordinamento</w:t>
      </w:r>
      <w:r>
        <w:rPr>
          <w:color w:val="231F20"/>
          <w:spacing w:val="-21"/>
          <w:w w:val="105"/>
        </w:rPr>
        <w:t> </w:t>
      </w:r>
      <w:r>
        <w:rPr>
          <w:color w:val="231F20"/>
          <w:w w:val="105"/>
        </w:rPr>
        <w:t>giuridico e,</w:t>
      </w:r>
      <w:r>
        <w:rPr>
          <w:color w:val="231F20"/>
          <w:spacing w:val="-32"/>
          <w:w w:val="105"/>
        </w:rPr>
        <w:t> </w:t>
      </w:r>
      <w:r>
        <w:rPr>
          <w:color w:val="231F20"/>
          <w:w w:val="105"/>
        </w:rPr>
        <w:t>per</w:t>
      </w:r>
      <w:r>
        <w:rPr>
          <w:color w:val="231F20"/>
          <w:spacing w:val="-32"/>
          <w:w w:val="105"/>
        </w:rPr>
        <w:t> </w:t>
      </w:r>
      <w:r>
        <w:rPr>
          <w:color w:val="231F20"/>
          <w:w w:val="105"/>
        </w:rPr>
        <w:t>suo</w:t>
      </w:r>
      <w:r>
        <w:rPr>
          <w:color w:val="231F20"/>
          <w:spacing w:val="-32"/>
          <w:w w:val="105"/>
        </w:rPr>
        <w:t> </w:t>
      </w:r>
      <w:r>
        <w:rPr>
          <w:color w:val="231F20"/>
          <w:w w:val="105"/>
        </w:rPr>
        <w:t>tramite,</w:t>
      </w:r>
      <w:r>
        <w:rPr>
          <w:color w:val="231F20"/>
          <w:spacing w:val="-32"/>
          <w:w w:val="105"/>
        </w:rPr>
        <w:t> </w:t>
      </w:r>
      <w:r>
        <w:rPr>
          <w:color w:val="231F20"/>
          <w:w w:val="105"/>
        </w:rPr>
        <w:t>nello</w:t>
      </w:r>
      <w:r>
        <w:rPr>
          <w:color w:val="231F20"/>
          <w:spacing w:val="-32"/>
          <w:w w:val="105"/>
        </w:rPr>
        <w:t> </w:t>
      </w:r>
      <w:r>
        <w:rPr>
          <w:color w:val="231F20"/>
          <w:w w:val="105"/>
        </w:rPr>
        <w:t>Stato</w:t>
      </w:r>
      <w:r>
        <w:rPr>
          <w:color w:val="231F20"/>
          <w:spacing w:val="-32"/>
          <w:w w:val="105"/>
        </w:rPr>
        <w:t> </w:t>
      </w:r>
      <w:r>
        <w:rPr>
          <w:color w:val="231F20"/>
          <w:w w:val="105"/>
        </w:rPr>
        <w:t>giuridicamente</w:t>
      </w:r>
      <w:r>
        <w:rPr>
          <w:color w:val="231F20"/>
          <w:spacing w:val="-32"/>
          <w:w w:val="105"/>
        </w:rPr>
        <w:t> </w:t>
      </w:r>
      <w:r>
        <w:rPr>
          <w:color w:val="231F20"/>
          <w:w w:val="105"/>
        </w:rPr>
        <w:t>concepito.</w:t>
      </w:r>
    </w:p>
    <w:p>
      <w:pPr>
        <w:pStyle w:val="BodyText"/>
        <w:spacing w:line="247" w:lineRule="auto"/>
        <w:ind w:left="103" w:right="109" w:firstLine="566"/>
        <w:jc w:val="both"/>
      </w:pPr>
      <w:r>
        <w:rPr>
          <w:color w:val="231F20"/>
          <w:spacing w:val="3"/>
        </w:rPr>
        <w:t>Per </w:t>
      </w:r>
      <w:r>
        <w:rPr>
          <w:color w:val="231F20"/>
          <w:spacing w:val="2"/>
        </w:rPr>
        <w:t>la </w:t>
      </w:r>
      <w:r>
        <w:rPr>
          <w:color w:val="231F20"/>
          <w:spacing w:val="3"/>
        </w:rPr>
        <w:t>crepa del </w:t>
      </w:r>
      <w:r>
        <w:rPr>
          <w:color w:val="231F20"/>
          <w:spacing w:val="4"/>
        </w:rPr>
        <w:t>diritto </w:t>
      </w:r>
      <w:r>
        <w:rPr>
          <w:color w:val="231F20"/>
          <w:spacing w:val="3"/>
        </w:rPr>
        <w:t>può </w:t>
      </w:r>
      <w:r>
        <w:rPr>
          <w:color w:val="231F20"/>
          <w:spacing w:val="4"/>
        </w:rPr>
        <w:t>forse </w:t>
      </w:r>
      <w:r>
        <w:rPr>
          <w:color w:val="231F20"/>
          <w:spacing w:val="3"/>
        </w:rPr>
        <w:t>trovare </w:t>
      </w:r>
      <w:r>
        <w:rPr>
          <w:color w:val="231F20"/>
          <w:spacing w:val="4"/>
        </w:rPr>
        <w:t>strada </w:t>
      </w:r>
      <w:r>
        <w:rPr>
          <w:color w:val="231F20"/>
          <w:spacing w:val="2"/>
        </w:rPr>
        <w:t>il </w:t>
      </w:r>
      <w:r>
        <w:rPr>
          <w:color w:val="231F20"/>
          <w:spacing w:val="4"/>
        </w:rPr>
        <w:t>tentativo </w:t>
      </w:r>
      <w:r>
        <w:rPr>
          <w:color w:val="231F20"/>
          <w:spacing w:val="2"/>
        </w:rPr>
        <w:t>di </w:t>
      </w:r>
      <w:r>
        <w:rPr>
          <w:color w:val="231F20"/>
          <w:spacing w:val="4"/>
        </w:rPr>
        <w:t>“provincializzare” </w:t>
      </w:r>
      <w:r>
        <w:rPr>
          <w:color w:val="231F20"/>
          <w:spacing w:val="3"/>
        </w:rPr>
        <w:t>l’Europa (ma </w:t>
      </w:r>
      <w:r>
        <w:rPr>
          <w:color w:val="231F20"/>
          <w:spacing w:val="4"/>
        </w:rPr>
        <w:t>anche l’Occidente </w:t>
      </w:r>
      <w:r>
        <w:rPr>
          <w:color w:val="231F20"/>
          <w:spacing w:val="3"/>
        </w:rPr>
        <w:t>col suo </w:t>
      </w:r>
      <w:r>
        <w:rPr>
          <w:color w:val="231F20"/>
          <w:spacing w:val="5"/>
        </w:rPr>
        <w:t>Atlantico) </w:t>
      </w:r>
      <w:r>
        <w:rPr>
          <w:color w:val="231F20"/>
          <w:spacing w:val="3"/>
        </w:rPr>
        <w:t>mostrando l’intrinseco “nazionalismo” </w:t>
      </w:r>
      <w:r>
        <w:rPr>
          <w:color w:val="231F20"/>
        </w:rPr>
        <w:t>da </w:t>
      </w:r>
      <w:r>
        <w:rPr>
          <w:color w:val="231F20"/>
          <w:spacing w:val="2"/>
        </w:rPr>
        <w:t>cui </w:t>
      </w:r>
      <w:r>
        <w:rPr>
          <w:color w:val="231F20"/>
        </w:rPr>
        <w:t>le </w:t>
      </w:r>
      <w:r>
        <w:rPr>
          <w:color w:val="231F20"/>
          <w:spacing w:val="3"/>
        </w:rPr>
        <w:t>nuove </w:t>
      </w:r>
      <w:r>
        <w:rPr>
          <w:color w:val="231F20"/>
          <w:spacing w:val="4"/>
        </w:rPr>
        <w:t>tecno–scienze </w:t>
      </w:r>
      <w:r>
        <w:rPr>
          <w:color w:val="231F20"/>
        </w:rPr>
        <w:t>(comprese quelle sociali) non riescono a liberarsi. </w:t>
      </w:r>
      <w:r>
        <w:rPr>
          <w:color w:val="231F20"/>
          <w:spacing w:val="-5"/>
        </w:rPr>
        <w:t>Tanto </w:t>
      </w:r>
      <w:r>
        <w:rPr>
          <w:color w:val="231F20"/>
        </w:rPr>
        <w:t>che Ulrich Beck ha rivendicato la necessità proprio per la sociologia di superare i tradizionali parametri e schemi mentali di otto-novecentesca memoria (nazionale), a favore di una </w:t>
      </w:r>
      <w:r>
        <w:rPr>
          <w:rFonts w:ascii="Arial" w:hAnsi="Arial"/>
          <w:i/>
          <w:color w:val="231F20"/>
        </w:rPr>
        <w:t>Neuvermessung der Ungleichheit unter den Menschen</w:t>
      </w:r>
      <w:r>
        <w:rPr>
          <w:color w:val="231F20"/>
        </w:rPr>
        <w:t>:</w:t>
      </w:r>
      <w:r>
        <w:rPr>
          <w:color w:val="231F20"/>
          <w:spacing w:val="-44"/>
        </w:rPr>
        <w:t> </w:t>
      </w:r>
      <w:r>
        <w:rPr>
          <w:color w:val="231F20"/>
        </w:rPr>
        <w:t>dove segnalo che a farla da padrona è ancora l’idea di una “nuova misura” da inventare e adottare per seguire l’evoluzione del mondo intero</w:t>
      </w:r>
      <w:r>
        <w:rPr>
          <w:color w:val="231F20"/>
          <w:spacing w:val="28"/>
        </w:rPr>
        <w:t> </w:t>
      </w:r>
      <w:r>
        <w:rPr>
          <w:color w:val="231F20"/>
          <w:position w:val="7"/>
          <w:sz w:val="12"/>
        </w:rPr>
        <w:t>28</w:t>
      </w:r>
      <w:r>
        <w:rPr>
          <w:color w:val="231F20"/>
        </w:rPr>
        <w:t>.</w:t>
      </w:r>
    </w:p>
    <w:p>
      <w:pPr>
        <w:pStyle w:val="BodyText"/>
        <w:spacing w:line="247" w:lineRule="auto"/>
        <w:ind w:left="103" w:right="111" w:firstLine="566"/>
        <w:jc w:val="both"/>
      </w:pPr>
      <w:r>
        <w:rPr>
          <w:color w:val="231F20"/>
        </w:rPr>
        <w:t>Il</w:t>
      </w:r>
      <w:r>
        <w:rPr>
          <w:color w:val="231F20"/>
          <w:spacing w:val="-15"/>
        </w:rPr>
        <w:t> </w:t>
      </w:r>
      <w:r>
        <w:rPr>
          <w:color w:val="231F20"/>
        </w:rPr>
        <w:t>ricorso</w:t>
      </w:r>
      <w:r>
        <w:rPr>
          <w:color w:val="231F20"/>
          <w:spacing w:val="-15"/>
        </w:rPr>
        <w:t> </w:t>
      </w:r>
      <w:r>
        <w:rPr>
          <w:color w:val="231F20"/>
        </w:rPr>
        <w:t>a</w:t>
      </w:r>
      <w:r>
        <w:rPr>
          <w:color w:val="231F20"/>
          <w:spacing w:val="-15"/>
        </w:rPr>
        <w:t> </w:t>
      </w:r>
      <w:r>
        <w:rPr>
          <w:color w:val="231F20"/>
        </w:rPr>
        <w:t>un’osservazione</w:t>
      </w:r>
      <w:r>
        <w:rPr>
          <w:color w:val="231F20"/>
          <w:spacing w:val="-15"/>
        </w:rPr>
        <w:t> </w:t>
      </w:r>
      <w:r>
        <w:rPr>
          <w:color w:val="231F20"/>
        </w:rPr>
        <w:t>a</w:t>
      </w:r>
      <w:r>
        <w:rPr>
          <w:color w:val="231F20"/>
          <w:spacing w:val="-15"/>
        </w:rPr>
        <w:t> </w:t>
      </w:r>
      <w:r>
        <w:rPr>
          <w:color w:val="231F20"/>
        </w:rPr>
        <w:t>360°</w:t>
      </w:r>
      <w:r>
        <w:rPr>
          <w:color w:val="231F20"/>
          <w:spacing w:val="-15"/>
        </w:rPr>
        <w:t> </w:t>
      </w:r>
      <w:r>
        <w:rPr>
          <w:color w:val="231F20"/>
        </w:rPr>
        <w:t>riguarda</w:t>
      </w:r>
      <w:r>
        <w:rPr>
          <w:color w:val="231F20"/>
          <w:spacing w:val="-15"/>
        </w:rPr>
        <w:t> </w:t>
      </w:r>
      <w:r>
        <w:rPr>
          <w:color w:val="231F20"/>
        </w:rPr>
        <w:t>anche</w:t>
      </w:r>
      <w:r>
        <w:rPr>
          <w:color w:val="231F20"/>
          <w:spacing w:val="-15"/>
        </w:rPr>
        <w:t> </w:t>
      </w:r>
      <w:r>
        <w:rPr>
          <w:color w:val="231F20"/>
        </w:rPr>
        <w:t>la</w:t>
      </w:r>
      <w:r>
        <w:rPr>
          <w:color w:val="231F20"/>
          <w:spacing w:val="-15"/>
        </w:rPr>
        <w:t> </w:t>
      </w:r>
      <w:r>
        <w:rPr>
          <w:color w:val="231F20"/>
        </w:rPr>
        <w:t>dimensione</w:t>
      </w:r>
      <w:r>
        <w:rPr>
          <w:color w:val="231F20"/>
          <w:spacing w:val="-15"/>
        </w:rPr>
        <w:t> </w:t>
      </w:r>
      <w:r>
        <w:rPr>
          <w:color w:val="231F20"/>
        </w:rPr>
        <w:t>della globalizzazione assunta dalla nuova realtà. Essa mi pare caratterizzata in primo luogo dal pluralismo dei poteri che, da punti diversi e con obbiettivi diversi,</w:t>
      </w:r>
      <w:r>
        <w:rPr>
          <w:color w:val="231F20"/>
          <w:spacing w:val="-12"/>
        </w:rPr>
        <w:t> </w:t>
      </w:r>
      <w:r>
        <w:rPr>
          <w:color w:val="231F20"/>
        </w:rPr>
        <w:t>concorrono</w:t>
      </w:r>
      <w:r>
        <w:rPr>
          <w:color w:val="231F20"/>
          <w:spacing w:val="-12"/>
        </w:rPr>
        <w:t> </w:t>
      </w:r>
      <w:r>
        <w:rPr>
          <w:color w:val="231F20"/>
        </w:rPr>
        <w:t>a</w:t>
      </w:r>
      <w:r>
        <w:rPr>
          <w:color w:val="231F20"/>
          <w:spacing w:val="-12"/>
        </w:rPr>
        <w:t> </w:t>
      </w:r>
      <w:r>
        <w:rPr>
          <w:color w:val="231F20"/>
        </w:rPr>
        <w:t>determinare</w:t>
      </w:r>
      <w:r>
        <w:rPr>
          <w:color w:val="231F20"/>
          <w:spacing w:val="-12"/>
        </w:rPr>
        <w:t> </w:t>
      </w:r>
      <w:r>
        <w:rPr>
          <w:color w:val="231F20"/>
        </w:rPr>
        <w:t>il</w:t>
      </w:r>
      <w:r>
        <w:rPr>
          <w:color w:val="231F20"/>
          <w:spacing w:val="-12"/>
        </w:rPr>
        <w:t> </w:t>
      </w:r>
      <w:r>
        <w:rPr>
          <w:color w:val="231F20"/>
        </w:rPr>
        <w:t>flusso</w:t>
      </w:r>
      <w:r>
        <w:rPr>
          <w:color w:val="231F20"/>
          <w:spacing w:val="-12"/>
        </w:rPr>
        <w:t> </w:t>
      </w:r>
      <w:r>
        <w:rPr>
          <w:color w:val="231F20"/>
        </w:rPr>
        <w:t>decisionale</w:t>
      </w:r>
      <w:r>
        <w:rPr>
          <w:color w:val="231F20"/>
          <w:spacing w:val="-12"/>
        </w:rPr>
        <w:t> </w:t>
      </w:r>
      <w:r>
        <w:rPr>
          <w:color w:val="231F20"/>
        </w:rPr>
        <w:t>globale,</w:t>
      </w:r>
      <w:r>
        <w:rPr>
          <w:color w:val="231F20"/>
          <w:spacing w:val="-12"/>
        </w:rPr>
        <w:t> </w:t>
      </w:r>
      <w:r>
        <w:rPr>
          <w:color w:val="231F20"/>
        </w:rPr>
        <w:t>sottraendolo sempre più </w:t>
      </w:r>
      <w:r>
        <w:rPr>
          <w:color w:val="231F20"/>
          <w:spacing w:val="2"/>
        </w:rPr>
        <w:t>all’unicità </w:t>
      </w:r>
      <w:r>
        <w:rPr>
          <w:color w:val="231F20"/>
        </w:rPr>
        <w:t>del potere che </w:t>
      </w:r>
      <w:r>
        <w:rPr>
          <w:color w:val="231F20"/>
          <w:spacing w:val="2"/>
        </w:rPr>
        <w:t>aveva invece caratterizzato </w:t>
      </w:r>
      <w:r>
        <w:rPr>
          <w:color w:val="231F20"/>
          <w:spacing w:val="3"/>
        </w:rPr>
        <w:t>—nel </w:t>
      </w:r>
      <w:r>
        <w:rPr>
          <w:color w:val="231F20"/>
        </w:rPr>
        <w:t>mondo dei vecchi Stati— il predominio “legale” </w:t>
      </w:r>
      <w:r>
        <w:rPr>
          <w:rFonts w:ascii="Arial" w:hAnsi="Arial"/>
          <w:color w:val="231F20"/>
          <w:position w:val="7"/>
          <w:sz w:val="12"/>
        </w:rPr>
        <w:t>29</w:t>
      </w:r>
      <w:r>
        <w:rPr>
          <w:color w:val="231F20"/>
        </w:rPr>
        <w:t>. Si tratta dunque di</w:t>
      </w:r>
      <w:r>
        <w:rPr>
          <w:color w:val="231F20"/>
          <w:spacing w:val="43"/>
        </w:rPr>
        <w:t> </w:t>
      </w:r>
      <w:r>
        <w:rPr>
          <w:color w:val="231F20"/>
        </w:rPr>
        <w:t>cose</w:t>
      </w:r>
    </w:p>
    <w:p>
      <w:pPr>
        <w:pStyle w:val="BodyText"/>
        <w:spacing w:before="6"/>
        <w:rPr>
          <w:sz w:val="18"/>
        </w:rPr>
      </w:pPr>
      <w:r>
        <w:rPr/>
        <w:pict>
          <v:line style="position:absolute;mso-position-horizontal-relative:page;mso-position-vertical-relative:paragraph;z-index:12640;mso-wrap-distance-left:0;mso-wrap-distance-right:0" from="65.196899pt,13.306985pt" to="178.582899pt,13.306985pt" stroked="true" strokeweight=".3pt" strokecolor="#231f20">
            <w10:wrap type="topAndBottom"/>
          </v:line>
        </w:pict>
      </w:r>
    </w:p>
    <w:p>
      <w:pPr>
        <w:spacing w:line="206" w:lineRule="exact" w:before="10"/>
        <w:ind w:left="103" w:right="0" w:firstLine="0"/>
        <w:jc w:val="both"/>
        <w:rPr>
          <w:rFonts w:ascii="Calibri" w:hAnsi="Calibri"/>
          <w:sz w:val="17"/>
        </w:rPr>
      </w:pPr>
      <w:r>
        <w:rPr>
          <w:rFonts w:ascii="Calibri" w:hAnsi="Calibri"/>
          <w:color w:val="231F20"/>
          <w:position w:val="6"/>
          <w:sz w:val="10"/>
        </w:rPr>
        <w:t>27 </w:t>
      </w:r>
      <w:r>
        <w:rPr>
          <w:rFonts w:ascii="Calibri" w:hAnsi="Calibri"/>
          <w:color w:val="231F20"/>
          <w:sz w:val="17"/>
        </w:rPr>
        <w:t>J. Habermas, </w:t>
      </w:r>
      <w:r>
        <w:rPr>
          <w:rFonts w:ascii="Calibri" w:hAnsi="Calibri"/>
          <w:i/>
          <w:color w:val="231F20"/>
          <w:sz w:val="17"/>
        </w:rPr>
        <w:t>Technik und Wissenschaft als ‚Ideologie</w:t>
      </w:r>
      <w:r>
        <w:rPr>
          <w:rFonts w:ascii="Calibri" w:hAnsi="Calibri"/>
          <w:color w:val="231F20"/>
          <w:sz w:val="17"/>
        </w:rPr>
        <w:t>‘, Frankfurt a.M. 1968.</w:t>
      </w:r>
    </w:p>
    <w:p>
      <w:pPr>
        <w:spacing w:line="204" w:lineRule="exact" w:before="0"/>
        <w:ind w:left="103" w:right="0" w:firstLine="0"/>
        <w:jc w:val="both"/>
        <w:rPr>
          <w:rFonts w:ascii="Calibri" w:hAnsi="Calibri"/>
          <w:sz w:val="17"/>
        </w:rPr>
      </w:pPr>
      <w:r>
        <w:rPr>
          <w:rFonts w:ascii="Calibri" w:hAnsi="Calibri"/>
          <w:color w:val="231F20"/>
          <w:position w:val="6"/>
          <w:sz w:val="10"/>
        </w:rPr>
        <w:t>28  </w:t>
      </w:r>
      <w:r>
        <w:rPr>
          <w:rFonts w:ascii="Calibri" w:hAnsi="Calibri"/>
          <w:color w:val="231F20"/>
          <w:sz w:val="17"/>
        </w:rPr>
        <w:t>È il titolo dell’</w:t>
      </w:r>
      <w:r>
        <w:rPr>
          <w:rFonts w:ascii="Calibri" w:hAnsi="Calibri"/>
          <w:i/>
          <w:color w:val="231F20"/>
          <w:sz w:val="17"/>
        </w:rPr>
        <w:t>Eröffnungsvortrag zum Soziologentag “Unsichere Zeiten” am 6. Oktober 2008</w:t>
      </w:r>
      <w:r>
        <w:rPr>
          <w:rFonts w:ascii="Calibri" w:hAnsi="Calibri"/>
          <w:color w:val="231F20"/>
          <w:sz w:val="17"/>
        </w:rPr>
        <w:t>, che</w:t>
      </w:r>
    </w:p>
    <w:p>
      <w:pPr>
        <w:spacing w:line="204" w:lineRule="exact" w:before="0"/>
        <w:ind w:left="103" w:right="0" w:firstLine="0"/>
        <w:jc w:val="both"/>
        <w:rPr>
          <w:rFonts w:ascii="Calibri"/>
          <w:sz w:val="17"/>
        </w:rPr>
      </w:pPr>
      <w:r>
        <w:rPr>
          <w:rFonts w:ascii="Calibri"/>
          <w:color w:val="231F20"/>
          <w:w w:val="105"/>
          <w:sz w:val="17"/>
        </w:rPr>
        <w:t>Ulrich Beck ha tenuto a Jena.</w:t>
      </w:r>
    </w:p>
    <w:p>
      <w:pPr>
        <w:spacing w:line="235" w:lineRule="auto" w:before="1"/>
        <w:ind w:left="103" w:right="115" w:firstLine="0"/>
        <w:jc w:val="both"/>
        <w:rPr>
          <w:rFonts w:ascii="Calibri" w:hAnsi="Calibri"/>
          <w:sz w:val="17"/>
        </w:rPr>
      </w:pPr>
      <w:r>
        <w:rPr>
          <w:rFonts w:ascii="Calibri" w:hAnsi="Calibri"/>
          <w:color w:val="231F20"/>
          <w:position w:val="6"/>
          <w:sz w:val="10"/>
        </w:rPr>
        <w:t>29 </w:t>
      </w:r>
      <w:r>
        <w:rPr>
          <w:rFonts w:ascii="Calibri" w:hAnsi="Calibri"/>
          <w:color w:val="231F20"/>
          <w:sz w:val="17"/>
        </w:rPr>
        <w:t>P. Schiera, </w:t>
      </w:r>
      <w:r>
        <w:rPr>
          <w:rFonts w:ascii="Calibri" w:hAnsi="Calibri"/>
          <w:i/>
          <w:color w:val="231F20"/>
          <w:sz w:val="17"/>
        </w:rPr>
        <w:t>Del poder legal a los poderes globales. Legitimidad y medida en politica</w:t>
      </w:r>
      <w:r>
        <w:rPr>
          <w:rFonts w:ascii="Calibri" w:hAnsi="Calibri"/>
          <w:color w:val="231F20"/>
          <w:sz w:val="17"/>
        </w:rPr>
        <w:t>, Madrid, Fundación Coloquio Jurídico Europeo, 2013, (ed. it. </w:t>
      </w:r>
      <w:r>
        <w:rPr>
          <w:rFonts w:ascii="Calibri" w:hAnsi="Calibri"/>
          <w:i/>
          <w:color w:val="231F20"/>
          <w:sz w:val="17"/>
        </w:rPr>
        <w:t>Dal potere legale ai poteri globali. Legittimità e </w:t>
      </w:r>
      <w:r>
        <w:rPr>
          <w:rFonts w:ascii="Calibri" w:hAnsi="Calibri"/>
          <w:i/>
          <w:color w:val="231F20"/>
          <w:sz w:val="17"/>
        </w:rPr>
        <w:t>misura in politica</w:t>
      </w:r>
      <w:r>
        <w:rPr>
          <w:rFonts w:ascii="Calibri" w:hAnsi="Calibri"/>
          <w:color w:val="231F20"/>
          <w:sz w:val="17"/>
        </w:rPr>
        <w:t>, “Quaderni di Scienza &amp; Politica, n. 1”, consultabile nel sito: </w:t>
      </w:r>
      <w:hyperlink r:id="rId44">
        <w:r>
          <w:rPr>
            <w:rFonts w:ascii="Calibri" w:hAnsi="Calibri"/>
            <w:color w:val="231F20"/>
            <w:sz w:val="17"/>
          </w:rPr>
          <w:t>http://amsacta.unibo.</w:t>
        </w:r>
      </w:hyperlink>
      <w:r>
        <w:rPr>
          <w:rFonts w:ascii="Calibri" w:hAnsi="Calibri"/>
          <w:color w:val="231F20"/>
          <w:sz w:val="17"/>
        </w:rPr>
        <w:t> it/3655/1/Quaderno_1_S&amp;P_Schiera-1.pdf).</w:t>
      </w:r>
    </w:p>
    <w:p>
      <w:pPr>
        <w:pStyle w:val="BodyText"/>
        <w:rPr>
          <w:rFonts w:ascii="Calibri"/>
          <w:sz w:val="20"/>
        </w:rPr>
      </w:pPr>
    </w:p>
    <w:p>
      <w:pPr>
        <w:pStyle w:val="BodyText"/>
        <w:spacing w:before="10"/>
        <w:rPr>
          <w:rFonts w:ascii="Calibri"/>
          <w:sz w:val="27"/>
        </w:rPr>
      </w:pPr>
    </w:p>
    <w:p>
      <w:pPr>
        <w:tabs>
          <w:tab w:pos="1317" w:val="left" w:leader="none"/>
        </w:tabs>
        <w:spacing w:before="68"/>
        <w:ind w:left="267" w:right="0" w:firstLine="0"/>
        <w:jc w:val="left"/>
        <w:rPr>
          <w:rFonts w:ascii="Calibri"/>
          <w:sz w:val="16"/>
        </w:rPr>
      </w:pPr>
      <w:r>
        <w:rPr/>
        <w:pict>
          <v:group style="position:absolute;margin-left:98.079102pt;margin-top:-3.358812pt;width:20.4pt;height:43pt;mso-position-horizontal-relative:page;mso-position-vertical-relative:paragraph;z-index:-162736"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96</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991"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271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28"/>
          <w:sz w:val="14"/>
        </w:rPr>
        <w:t> </w:t>
      </w:r>
      <w:r>
        <w:rPr>
          <w:rFonts w:ascii="Lucida Sans Unicode" w:hAnsi="Lucida Sans Unicode"/>
          <w:color w:val="6D6E71"/>
          <w:spacing w:val="-4"/>
          <w:sz w:val="14"/>
        </w:rPr>
        <w:t>STATO</w:t>
      </w:r>
      <w:r>
        <w:rPr>
          <w:rFonts w:ascii="Lucida Sans Unicode" w:hAnsi="Lucida Sans Unicode"/>
          <w:color w:val="6D6E71"/>
          <w:spacing w:val="-28"/>
          <w:sz w:val="14"/>
        </w:rPr>
        <w:t> </w:t>
      </w:r>
      <w:r>
        <w:rPr>
          <w:rFonts w:ascii="Lucida Sans Unicode" w:hAnsi="Lucida Sans Unicode"/>
          <w:color w:val="6D6E71"/>
          <w:sz w:val="14"/>
        </w:rPr>
        <w:t>MODERNO,</w:t>
      </w:r>
      <w:r>
        <w:rPr>
          <w:rFonts w:ascii="Lucida Sans Unicode" w:hAnsi="Lucida Sans Unicode"/>
          <w:color w:val="6D6E71"/>
          <w:spacing w:val="-28"/>
          <w:sz w:val="14"/>
        </w:rPr>
        <w:t> </w:t>
      </w:r>
      <w:r>
        <w:rPr>
          <w:rFonts w:ascii="Lucida Sans Unicode" w:hAnsi="Lucida Sans Unicode"/>
          <w:color w:val="6D6E71"/>
          <w:sz w:val="14"/>
        </w:rPr>
        <w:t>AL</w:t>
      </w:r>
      <w:r>
        <w:rPr>
          <w:rFonts w:ascii="Lucida Sans Unicode" w:hAnsi="Lucida Sans Unicode"/>
          <w:color w:val="6D6E71"/>
          <w:spacing w:val="-28"/>
          <w:sz w:val="14"/>
        </w:rPr>
        <w:t> </w:t>
      </w:r>
      <w:r>
        <w:rPr>
          <w:rFonts w:ascii="Lucida Sans Unicode" w:hAnsi="Lucida Sans Unicode"/>
          <w:color w:val="6D6E71"/>
          <w:sz w:val="14"/>
        </w:rPr>
        <w:t>GIORNO</w:t>
      </w:r>
      <w:r>
        <w:rPr>
          <w:rFonts w:ascii="Lucida Sans Unicode" w:hAnsi="Lucida Sans Unicode"/>
          <w:color w:val="6D6E71"/>
          <w:spacing w:val="-28"/>
          <w:sz w:val="14"/>
        </w:rPr>
        <w:t> </w:t>
      </w:r>
      <w:r>
        <w:rPr>
          <w:rFonts w:ascii="Lucida Sans Unicode" w:hAnsi="Lucida Sans Unicode"/>
          <w:color w:val="6D6E71"/>
          <w:sz w:val="14"/>
        </w:rPr>
        <w:t>D’OGGI</w:t>
      </w:r>
      <w:r>
        <w:rPr>
          <w:rFonts w:ascii="Lucida Sans Unicode" w:hAnsi="Lucida Sans Unicode"/>
          <w:color w:val="6D6E71"/>
          <w:spacing w:val="-28"/>
          <w:sz w:val="14"/>
        </w:rPr>
        <w:t> </w:t>
      </w:r>
      <w:r>
        <w:rPr>
          <w:rFonts w:ascii="Lucida Sans Unicode" w:hAnsi="Lucida Sans Unicode"/>
          <w:color w:val="6D6E71"/>
          <w:sz w:val="14"/>
        </w:rPr>
        <w:t>E</w:t>
      </w:r>
      <w:r>
        <w:rPr>
          <w:rFonts w:ascii="Lucida Sans Unicode" w:hAnsi="Lucida Sans Unicode"/>
          <w:color w:val="6D6E71"/>
          <w:spacing w:val="-28"/>
          <w:sz w:val="14"/>
        </w:rPr>
        <w:t> </w:t>
      </w:r>
      <w:r>
        <w:rPr>
          <w:rFonts w:ascii="Lucida Sans Unicode" w:hAnsi="Lucida Sans Unicode"/>
          <w:color w:val="6D6E71"/>
          <w:sz w:val="14"/>
        </w:rPr>
        <w:t>DI</w:t>
      </w:r>
      <w:r>
        <w:rPr>
          <w:rFonts w:ascii="Lucida Sans Unicode" w:hAnsi="Lucida Sans Unicode"/>
          <w:color w:val="6D6E71"/>
          <w:spacing w:val="-28"/>
          <w:sz w:val="14"/>
        </w:rPr>
        <w:t> </w:t>
      </w:r>
      <w:r>
        <w:rPr>
          <w:rFonts w:ascii="Lucida Sans Unicode" w:hAnsi="Lucida Sans Unicode"/>
          <w:color w:val="6D6E71"/>
          <w:sz w:val="14"/>
        </w:rPr>
        <w:t>DOMANI</w:t>
      </w:r>
      <w:r>
        <w:rPr>
          <w:rFonts w:ascii="Trebuchet MS" w:hAnsi="Trebuchet MS"/>
          <w:color w:val="414042"/>
          <w:position w:val="-3"/>
          <w:sz w:val="20"/>
        </w:rPr>
        <w:tab/>
        <w:t>97</w:t>
      </w:r>
    </w:p>
    <w:p>
      <w:pPr>
        <w:pStyle w:val="BodyText"/>
        <w:rPr>
          <w:rFonts w:ascii="Trebuchet MS"/>
          <w:sz w:val="20"/>
        </w:rPr>
      </w:pPr>
    </w:p>
    <w:p>
      <w:pPr>
        <w:pStyle w:val="BodyText"/>
        <w:rPr>
          <w:rFonts w:ascii="Trebuchet MS"/>
          <w:sz w:val="20"/>
        </w:rPr>
      </w:pPr>
    </w:p>
    <w:p>
      <w:pPr>
        <w:pStyle w:val="BodyText"/>
        <w:spacing w:line="247" w:lineRule="auto" w:before="156"/>
        <w:ind w:left="117" w:right="116"/>
        <w:jc w:val="both"/>
      </w:pPr>
      <w:r>
        <w:rPr>
          <w:color w:val="231F20"/>
          <w:w w:val="105"/>
        </w:rPr>
        <w:t>effettivamente nuove, da studiare con metodi e prospettive nuove, </w:t>
      </w:r>
      <w:r>
        <w:rPr>
          <w:color w:val="231F20"/>
          <w:spacing w:val="2"/>
          <w:w w:val="105"/>
        </w:rPr>
        <w:t>che </w:t>
      </w:r>
      <w:r>
        <w:rPr>
          <w:color w:val="231F20"/>
          <w:spacing w:val="-3"/>
          <w:w w:val="105"/>
        </w:rPr>
        <w:t>condurranno</w:t>
      </w:r>
      <w:r>
        <w:rPr>
          <w:color w:val="231F20"/>
          <w:spacing w:val="-45"/>
          <w:w w:val="105"/>
        </w:rPr>
        <w:t> </w:t>
      </w:r>
      <w:r>
        <w:rPr>
          <w:color w:val="231F20"/>
          <w:spacing w:val="-3"/>
          <w:w w:val="105"/>
        </w:rPr>
        <w:t>senza</w:t>
      </w:r>
      <w:r>
        <w:rPr>
          <w:color w:val="231F20"/>
          <w:spacing w:val="-45"/>
          <w:w w:val="105"/>
        </w:rPr>
        <w:t> </w:t>
      </w:r>
      <w:r>
        <w:rPr>
          <w:color w:val="231F20"/>
          <w:spacing w:val="-3"/>
          <w:w w:val="105"/>
        </w:rPr>
        <w:t>dubbio</w:t>
      </w:r>
      <w:r>
        <w:rPr>
          <w:color w:val="231F20"/>
          <w:spacing w:val="-45"/>
          <w:w w:val="105"/>
        </w:rPr>
        <w:t> </w:t>
      </w:r>
      <w:r>
        <w:rPr>
          <w:color w:val="231F20"/>
          <w:w w:val="105"/>
        </w:rPr>
        <w:t>non</w:t>
      </w:r>
      <w:r>
        <w:rPr>
          <w:color w:val="231F20"/>
          <w:spacing w:val="-45"/>
          <w:w w:val="105"/>
        </w:rPr>
        <w:t> </w:t>
      </w:r>
      <w:r>
        <w:rPr>
          <w:color w:val="231F20"/>
          <w:spacing w:val="-3"/>
          <w:w w:val="105"/>
        </w:rPr>
        <w:t>solo</w:t>
      </w:r>
      <w:r>
        <w:rPr>
          <w:color w:val="231F20"/>
          <w:spacing w:val="-45"/>
          <w:w w:val="105"/>
        </w:rPr>
        <w:t> </w:t>
      </w:r>
      <w:r>
        <w:rPr>
          <w:color w:val="231F20"/>
          <w:w w:val="105"/>
        </w:rPr>
        <w:t>a</w:t>
      </w:r>
      <w:r>
        <w:rPr>
          <w:color w:val="231F20"/>
          <w:spacing w:val="-45"/>
          <w:w w:val="105"/>
        </w:rPr>
        <w:t> </w:t>
      </w:r>
      <w:r>
        <w:rPr>
          <w:color w:val="231F20"/>
          <w:w w:val="105"/>
        </w:rPr>
        <w:t>una</w:t>
      </w:r>
      <w:r>
        <w:rPr>
          <w:color w:val="231F20"/>
          <w:spacing w:val="-45"/>
          <w:w w:val="105"/>
        </w:rPr>
        <w:t> </w:t>
      </w:r>
      <w:r>
        <w:rPr>
          <w:color w:val="231F20"/>
          <w:spacing w:val="-3"/>
          <w:w w:val="105"/>
        </w:rPr>
        <w:t>visione</w:t>
      </w:r>
      <w:r>
        <w:rPr>
          <w:color w:val="231F20"/>
          <w:spacing w:val="-45"/>
          <w:w w:val="105"/>
        </w:rPr>
        <w:t> </w:t>
      </w:r>
      <w:r>
        <w:rPr>
          <w:color w:val="231F20"/>
          <w:w w:val="105"/>
        </w:rPr>
        <w:t>più</w:t>
      </w:r>
      <w:r>
        <w:rPr>
          <w:color w:val="231F20"/>
          <w:spacing w:val="-45"/>
          <w:w w:val="105"/>
        </w:rPr>
        <w:t> </w:t>
      </w:r>
      <w:r>
        <w:rPr>
          <w:color w:val="231F20"/>
          <w:spacing w:val="-3"/>
          <w:w w:val="105"/>
        </w:rPr>
        <w:t>complessa</w:t>
      </w:r>
      <w:r>
        <w:rPr>
          <w:color w:val="231F20"/>
          <w:spacing w:val="-45"/>
          <w:w w:val="105"/>
        </w:rPr>
        <w:t> </w:t>
      </w:r>
      <w:r>
        <w:rPr>
          <w:color w:val="231F20"/>
          <w:w w:val="105"/>
        </w:rPr>
        <w:t>e</w:t>
      </w:r>
      <w:r>
        <w:rPr>
          <w:color w:val="231F20"/>
          <w:spacing w:val="-45"/>
          <w:w w:val="105"/>
        </w:rPr>
        <w:t> </w:t>
      </w:r>
      <w:r>
        <w:rPr>
          <w:color w:val="231F20"/>
          <w:spacing w:val="-3"/>
          <w:w w:val="105"/>
        </w:rPr>
        <w:t>decentrata </w:t>
      </w:r>
      <w:r>
        <w:rPr>
          <w:color w:val="231F20"/>
          <w:w w:val="105"/>
        </w:rPr>
        <w:t>dello</w:t>
      </w:r>
      <w:r>
        <w:rPr>
          <w:color w:val="231F20"/>
          <w:spacing w:val="-41"/>
          <w:w w:val="105"/>
        </w:rPr>
        <w:t> </w:t>
      </w:r>
      <w:r>
        <w:rPr>
          <w:color w:val="231F20"/>
          <w:w w:val="105"/>
        </w:rPr>
        <w:t>stesso</w:t>
      </w:r>
      <w:r>
        <w:rPr>
          <w:color w:val="231F20"/>
          <w:spacing w:val="-41"/>
          <w:w w:val="105"/>
        </w:rPr>
        <w:t> </w:t>
      </w:r>
      <w:r>
        <w:rPr>
          <w:color w:val="231F20"/>
          <w:w w:val="105"/>
        </w:rPr>
        <w:t>fenomeno</w:t>
      </w:r>
      <w:r>
        <w:rPr>
          <w:color w:val="231F20"/>
          <w:spacing w:val="-41"/>
          <w:w w:val="105"/>
        </w:rPr>
        <w:t> </w:t>
      </w:r>
      <w:r>
        <w:rPr>
          <w:color w:val="231F20"/>
          <w:w w:val="105"/>
        </w:rPr>
        <w:t>statale</w:t>
      </w:r>
      <w:r>
        <w:rPr>
          <w:color w:val="231F20"/>
          <w:spacing w:val="-41"/>
          <w:w w:val="105"/>
        </w:rPr>
        <w:t> </w:t>
      </w:r>
      <w:r>
        <w:rPr>
          <w:color w:val="231F20"/>
          <w:w w:val="105"/>
        </w:rPr>
        <w:t>ma</w:t>
      </w:r>
      <w:r>
        <w:rPr>
          <w:color w:val="231F20"/>
          <w:spacing w:val="-41"/>
          <w:w w:val="105"/>
        </w:rPr>
        <w:t> </w:t>
      </w:r>
      <w:r>
        <w:rPr>
          <w:color w:val="231F20"/>
          <w:w w:val="105"/>
        </w:rPr>
        <w:t>giungeranno</w:t>
      </w:r>
      <w:r>
        <w:rPr>
          <w:color w:val="231F20"/>
          <w:spacing w:val="-41"/>
          <w:w w:val="105"/>
        </w:rPr>
        <w:t> </w:t>
      </w:r>
      <w:r>
        <w:rPr>
          <w:color w:val="231F20"/>
          <w:w w:val="105"/>
        </w:rPr>
        <w:t>forse</w:t>
      </w:r>
      <w:r>
        <w:rPr>
          <w:color w:val="231F20"/>
          <w:spacing w:val="-41"/>
          <w:w w:val="105"/>
        </w:rPr>
        <w:t> </w:t>
      </w:r>
      <w:r>
        <w:rPr>
          <w:color w:val="231F20"/>
          <w:w w:val="105"/>
        </w:rPr>
        <w:t>in</w:t>
      </w:r>
      <w:r>
        <w:rPr>
          <w:color w:val="231F20"/>
          <w:spacing w:val="-41"/>
          <w:w w:val="105"/>
        </w:rPr>
        <w:t> </w:t>
      </w:r>
      <w:r>
        <w:rPr>
          <w:color w:val="231F20"/>
          <w:w w:val="105"/>
        </w:rPr>
        <w:t>breve</w:t>
      </w:r>
      <w:r>
        <w:rPr>
          <w:color w:val="231F20"/>
          <w:spacing w:val="-41"/>
          <w:w w:val="105"/>
        </w:rPr>
        <w:t> </w:t>
      </w:r>
      <w:r>
        <w:rPr>
          <w:color w:val="231F20"/>
          <w:w w:val="105"/>
        </w:rPr>
        <w:t>a</w:t>
      </w:r>
      <w:r>
        <w:rPr>
          <w:color w:val="231F20"/>
          <w:spacing w:val="-41"/>
          <w:w w:val="105"/>
        </w:rPr>
        <w:t> </w:t>
      </w:r>
      <w:r>
        <w:rPr>
          <w:color w:val="231F20"/>
          <w:w w:val="105"/>
        </w:rPr>
        <w:t>prospettare nuovi</w:t>
      </w:r>
      <w:r>
        <w:rPr>
          <w:color w:val="231F20"/>
          <w:spacing w:val="-6"/>
          <w:w w:val="105"/>
        </w:rPr>
        <w:t> </w:t>
      </w:r>
      <w:r>
        <w:rPr>
          <w:color w:val="231F20"/>
          <w:w w:val="105"/>
        </w:rPr>
        <w:t>concetti,</w:t>
      </w:r>
      <w:r>
        <w:rPr>
          <w:color w:val="231F20"/>
          <w:spacing w:val="-6"/>
          <w:w w:val="105"/>
        </w:rPr>
        <w:t> </w:t>
      </w:r>
      <w:r>
        <w:rPr>
          <w:color w:val="231F20"/>
          <w:w w:val="105"/>
        </w:rPr>
        <w:t>categorie,</w:t>
      </w:r>
      <w:r>
        <w:rPr>
          <w:color w:val="231F20"/>
          <w:spacing w:val="-6"/>
          <w:w w:val="105"/>
        </w:rPr>
        <w:t> </w:t>
      </w:r>
      <w:r>
        <w:rPr>
          <w:color w:val="231F20"/>
          <w:w w:val="105"/>
        </w:rPr>
        <w:t>figure</w:t>
      </w:r>
      <w:r>
        <w:rPr>
          <w:color w:val="231F20"/>
          <w:spacing w:val="-6"/>
          <w:w w:val="105"/>
        </w:rPr>
        <w:t> </w:t>
      </w:r>
      <w:r>
        <w:rPr>
          <w:color w:val="231F20"/>
          <w:w w:val="105"/>
        </w:rPr>
        <w:t>e</w:t>
      </w:r>
      <w:r>
        <w:rPr>
          <w:color w:val="231F20"/>
          <w:spacing w:val="-6"/>
          <w:w w:val="105"/>
        </w:rPr>
        <w:t> </w:t>
      </w:r>
      <w:r>
        <w:rPr>
          <w:color w:val="231F20"/>
          <w:w w:val="105"/>
        </w:rPr>
        <w:t>forme</w:t>
      </w:r>
      <w:r>
        <w:rPr>
          <w:color w:val="231F20"/>
          <w:spacing w:val="-6"/>
          <w:w w:val="105"/>
        </w:rPr>
        <w:t> </w:t>
      </w:r>
      <w:r>
        <w:rPr>
          <w:color w:val="231F20"/>
          <w:w w:val="105"/>
        </w:rPr>
        <w:t>del</w:t>
      </w:r>
      <w:r>
        <w:rPr>
          <w:color w:val="231F20"/>
          <w:spacing w:val="-6"/>
          <w:w w:val="105"/>
        </w:rPr>
        <w:t> </w:t>
      </w:r>
      <w:r>
        <w:rPr>
          <w:color w:val="231F20"/>
          <w:w w:val="105"/>
        </w:rPr>
        <w:t>politico.</w:t>
      </w:r>
      <w:r>
        <w:rPr>
          <w:color w:val="231F20"/>
          <w:spacing w:val="-6"/>
          <w:w w:val="105"/>
        </w:rPr>
        <w:t> </w:t>
      </w:r>
      <w:r>
        <w:rPr>
          <w:color w:val="231F20"/>
          <w:w w:val="105"/>
        </w:rPr>
        <w:t>È</w:t>
      </w:r>
      <w:r>
        <w:rPr>
          <w:color w:val="231F20"/>
          <w:spacing w:val="-6"/>
          <w:w w:val="105"/>
        </w:rPr>
        <w:t> </w:t>
      </w:r>
      <w:r>
        <w:rPr>
          <w:color w:val="231F20"/>
          <w:w w:val="105"/>
        </w:rPr>
        <w:t>proprio</w:t>
      </w:r>
      <w:r>
        <w:rPr>
          <w:color w:val="231F20"/>
          <w:spacing w:val="-6"/>
          <w:w w:val="105"/>
        </w:rPr>
        <w:t> </w:t>
      </w:r>
      <w:r>
        <w:rPr>
          <w:color w:val="231F20"/>
          <w:w w:val="105"/>
        </w:rPr>
        <w:t>a</w:t>
      </w:r>
      <w:r>
        <w:rPr>
          <w:color w:val="231F20"/>
          <w:spacing w:val="-6"/>
          <w:w w:val="105"/>
        </w:rPr>
        <w:t> </w:t>
      </w:r>
      <w:r>
        <w:rPr>
          <w:color w:val="231F20"/>
          <w:w w:val="105"/>
        </w:rPr>
        <w:t>ciò</w:t>
      </w:r>
      <w:r>
        <w:rPr>
          <w:color w:val="231F20"/>
          <w:spacing w:val="-6"/>
          <w:w w:val="105"/>
        </w:rPr>
        <w:t> </w:t>
      </w:r>
      <w:r>
        <w:rPr>
          <w:color w:val="231F20"/>
          <w:w w:val="105"/>
        </w:rPr>
        <w:t>che potrebbe servire —lo ribadisco— un “discorso politico” al servizio della comunicazione</w:t>
      </w:r>
      <w:r>
        <w:rPr>
          <w:color w:val="231F20"/>
          <w:spacing w:val="-26"/>
          <w:w w:val="105"/>
        </w:rPr>
        <w:t> </w:t>
      </w:r>
      <w:r>
        <w:rPr>
          <w:color w:val="231F20"/>
          <w:w w:val="105"/>
        </w:rPr>
        <w:t>di</w:t>
      </w:r>
      <w:r>
        <w:rPr>
          <w:color w:val="231F20"/>
          <w:spacing w:val="-26"/>
          <w:w w:val="105"/>
        </w:rPr>
        <w:t> </w:t>
      </w:r>
      <w:r>
        <w:rPr>
          <w:color w:val="231F20"/>
          <w:w w:val="105"/>
        </w:rPr>
        <w:t>valori</w:t>
      </w:r>
      <w:r>
        <w:rPr>
          <w:color w:val="231F20"/>
          <w:spacing w:val="-26"/>
          <w:w w:val="105"/>
        </w:rPr>
        <w:t> </w:t>
      </w:r>
      <w:r>
        <w:rPr>
          <w:color w:val="231F20"/>
          <w:w w:val="105"/>
        </w:rPr>
        <w:t>e</w:t>
      </w:r>
      <w:r>
        <w:rPr>
          <w:color w:val="231F20"/>
          <w:spacing w:val="-26"/>
          <w:w w:val="105"/>
        </w:rPr>
        <w:t> </w:t>
      </w:r>
      <w:r>
        <w:rPr>
          <w:color w:val="231F20"/>
          <w:w w:val="105"/>
        </w:rPr>
        <w:t>metodi</w:t>
      </w:r>
      <w:r>
        <w:rPr>
          <w:color w:val="231F20"/>
          <w:spacing w:val="-26"/>
          <w:w w:val="105"/>
        </w:rPr>
        <w:t> </w:t>
      </w:r>
      <w:r>
        <w:rPr>
          <w:color w:val="231F20"/>
          <w:w w:val="105"/>
        </w:rPr>
        <w:t>nuovi</w:t>
      </w:r>
      <w:r>
        <w:rPr>
          <w:color w:val="231F20"/>
          <w:spacing w:val="-26"/>
          <w:w w:val="105"/>
        </w:rPr>
        <w:t> </w:t>
      </w:r>
      <w:r>
        <w:rPr>
          <w:color w:val="231F20"/>
          <w:w w:val="105"/>
        </w:rPr>
        <w:t>e</w:t>
      </w:r>
      <w:r>
        <w:rPr>
          <w:color w:val="231F20"/>
          <w:spacing w:val="-26"/>
          <w:w w:val="105"/>
        </w:rPr>
        <w:t> </w:t>
      </w:r>
      <w:r>
        <w:rPr>
          <w:color w:val="231F20"/>
          <w:w w:val="105"/>
        </w:rPr>
        <w:t>in</w:t>
      </w:r>
      <w:r>
        <w:rPr>
          <w:color w:val="231F20"/>
          <w:spacing w:val="-26"/>
          <w:w w:val="105"/>
        </w:rPr>
        <w:t> </w:t>
      </w:r>
      <w:r>
        <w:rPr>
          <w:color w:val="231F20"/>
          <w:w w:val="105"/>
        </w:rPr>
        <w:t>grado</w:t>
      </w:r>
      <w:r>
        <w:rPr>
          <w:color w:val="231F20"/>
          <w:spacing w:val="-26"/>
          <w:w w:val="105"/>
        </w:rPr>
        <w:t> </w:t>
      </w:r>
      <w:r>
        <w:rPr>
          <w:color w:val="231F20"/>
          <w:w w:val="105"/>
        </w:rPr>
        <w:t>di</w:t>
      </w:r>
      <w:r>
        <w:rPr>
          <w:color w:val="231F20"/>
          <w:spacing w:val="-26"/>
          <w:w w:val="105"/>
        </w:rPr>
        <w:t> </w:t>
      </w:r>
      <w:r>
        <w:rPr>
          <w:color w:val="231F20"/>
          <w:w w:val="105"/>
        </w:rPr>
        <w:t>contribuire</w:t>
      </w:r>
      <w:r>
        <w:rPr>
          <w:color w:val="231F20"/>
          <w:spacing w:val="-26"/>
          <w:w w:val="105"/>
        </w:rPr>
        <w:t> </w:t>
      </w:r>
      <w:r>
        <w:rPr>
          <w:color w:val="231F20"/>
          <w:w w:val="105"/>
        </w:rPr>
        <w:t>anch’esso a</w:t>
      </w:r>
      <w:r>
        <w:rPr>
          <w:color w:val="231F20"/>
          <w:spacing w:val="-8"/>
          <w:w w:val="105"/>
        </w:rPr>
        <w:t> </w:t>
      </w:r>
      <w:r>
        <w:rPr>
          <w:color w:val="231F20"/>
          <w:w w:val="105"/>
        </w:rPr>
        <w:t>“provincializzare”</w:t>
      </w:r>
      <w:r>
        <w:rPr>
          <w:color w:val="231F20"/>
          <w:spacing w:val="-8"/>
          <w:w w:val="105"/>
        </w:rPr>
        <w:t> </w:t>
      </w:r>
      <w:r>
        <w:rPr>
          <w:color w:val="231F20"/>
          <w:w w:val="105"/>
        </w:rPr>
        <w:t>la</w:t>
      </w:r>
      <w:r>
        <w:rPr>
          <w:color w:val="231F20"/>
          <w:spacing w:val="-8"/>
          <w:w w:val="105"/>
        </w:rPr>
        <w:t> </w:t>
      </w:r>
      <w:r>
        <w:rPr>
          <w:color w:val="231F20"/>
          <w:w w:val="105"/>
        </w:rPr>
        <w:t>nostra</w:t>
      </w:r>
      <w:r>
        <w:rPr>
          <w:color w:val="231F20"/>
          <w:spacing w:val="-8"/>
          <w:w w:val="105"/>
        </w:rPr>
        <w:t> </w:t>
      </w:r>
      <w:r>
        <w:rPr>
          <w:color w:val="231F20"/>
          <w:w w:val="105"/>
        </w:rPr>
        <w:t>cultura,</w:t>
      </w:r>
      <w:r>
        <w:rPr>
          <w:color w:val="231F20"/>
          <w:spacing w:val="-8"/>
          <w:w w:val="105"/>
        </w:rPr>
        <w:t> </w:t>
      </w:r>
      <w:r>
        <w:rPr>
          <w:color w:val="231F20"/>
          <w:w w:val="105"/>
        </w:rPr>
        <w:t>riducendone</w:t>
      </w:r>
      <w:r>
        <w:rPr>
          <w:color w:val="231F20"/>
          <w:spacing w:val="-8"/>
          <w:w w:val="105"/>
        </w:rPr>
        <w:t> </w:t>
      </w:r>
      <w:r>
        <w:rPr>
          <w:color w:val="231F20"/>
          <w:w w:val="105"/>
        </w:rPr>
        <w:t>la</w:t>
      </w:r>
      <w:r>
        <w:rPr>
          <w:color w:val="231F20"/>
          <w:spacing w:val="-8"/>
          <w:w w:val="105"/>
        </w:rPr>
        <w:t> </w:t>
      </w:r>
      <w:r>
        <w:rPr>
          <w:color w:val="231F20"/>
          <w:w w:val="105"/>
        </w:rPr>
        <w:t>tradizionale</w:t>
      </w:r>
      <w:r>
        <w:rPr>
          <w:color w:val="231F20"/>
          <w:spacing w:val="-8"/>
          <w:w w:val="105"/>
        </w:rPr>
        <w:t> </w:t>
      </w:r>
      <w:r>
        <w:rPr>
          <w:color w:val="231F20"/>
          <w:w w:val="105"/>
        </w:rPr>
        <w:t>aura</w:t>
      </w:r>
      <w:r>
        <w:rPr>
          <w:color w:val="231F20"/>
          <w:spacing w:val="-8"/>
          <w:w w:val="105"/>
        </w:rPr>
        <w:t> </w:t>
      </w:r>
      <w:r>
        <w:rPr>
          <w:color w:val="231F20"/>
          <w:w w:val="105"/>
        </w:rPr>
        <w:t>di superiorità</w:t>
      </w:r>
      <w:r>
        <w:rPr>
          <w:color w:val="231F20"/>
          <w:spacing w:val="-18"/>
          <w:w w:val="105"/>
        </w:rPr>
        <w:t> </w:t>
      </w:r>
      <w:r>
        <w:rPr>
          <w:color w:val="231F20"/>
          <w:w w:val="105"/>
        </w:rPr>
        <w:t>e</w:t>
      </w:r>
      <w:r>
        <w:rPr>
          <w:color w:val="231F20"/>
          <w:spacing w:val="-18"/>
          <w:w w:val="105"/>
        </w:rPr>
        <w:t> </w:t>
      </w:r>
      <w:r>
        <w:rPr>
          <w:color w:val="231F20"/>
          <w:w w:val="105"/>
        </w:rPr>
        <w:t>insuperabilità,</w:t>
      </w:r>
      <w:r>
        <w:rPr>
          <w:color w:val="231F20"/>
          <w:spacing w:val="-18"/>
          <w:w w:val="105"/>
        </w:rPr>
        <w:t> </w:t>
      </w:r>
      <w:r>
        <w:rPr>
          <w:color w:val="231F20"/>
          <w:w w:val="105"/>
        </w:rPr>
        <w:t>soprattutto</w:t>
      </w:r>
      <w:r>
        <w:rPr>
          <w:color w:val="231F20"/>
          <w:spacing w:val="-18"/>
          <w:w w:val="105"/>
        </w:rPr>
        <w:t> </w:t>
      </w:r>
      <w:r>
        <w:rPr>
          <w:color w:val="231F20"/>
          <w:w w:val="105"/>
        </w:rPr>
        <w:t>nel</w:t>
      </w:r>
      <w:r>
        <w:rPr>
          <w:color w:val="231F20"/>
          <w:spacing w:val="-18"/>
          <w:w w:val="105"/>
        </w:rPr>
        <w:t> </w:t>
      </w:r>
      <w:r>
        <w:rPr>
          <w:color w:val="231F20"/>
          <w:w w:val="105"/>
        </w:rPr>
        <w:t>campo</w:t>
      </w:r>
      <w:r>
        <w:rPr>
          <w:color w:val="231F20"/>
          <w:spacing w:val="-18"/>
          <w:w w:val="105"/>
        </w:rPr>
        <w:t> </w:t>
      </w:r>
      <w:r>
        <w:rPr>
          <w:color w:val="231F20"/>
          <w:w w:val="105"/>
        </w:rPr>
        <w:t>della</w:t>
      </w:r>
      <w:r>
        <w:rPr>
          <w:color w:val="231F20"/>
          <w:spacing w:val="-18"/>
          <w:w w:val="105"/>
        </w:rPr>
        <w:t> </w:t>
      </w:r>
      <w:r>
        <w:rPr>
          <w:color w:val="231F20"/>
          <w:w w:val="105"/>
        </w:rPr>
        <w:t>convivenza</w:t>
      </w:r>
      <w:r>
        <w:rPr>
          <w:color w:val="231F20"/>
          <w:spacing w:val="-18"/>
          <w:w w:val="105"/>
        </w:rPr>
        <w:t> </w:t>
      </w:r>
      <w:r>
        <w:rPr>
          <w:color w:val="231F20"/>
          <w:w w:val="105"/>
        </w:rPr>
        <w:t>civile e della</w:t>
      </w:r>
      <w:r>
        <w:rPr>
          <w:color w:val="231F20"/>
          <w:spacing w:val="-42"/>
          <w:w w:val="105"/>
        </w:rPr>
        <w:t> </w:t>
      </w:r>
      <w:r>
        <w:rPr>
          <w:color w:val="231F20"/>
          <w:w w:val="105"/>
        </w:rPr>
        <w:t>politica.</w:t>
      </w:r>
    </w:p>
    <w:p>
      <w:pPr>
        <w:pStyle w:val="BodyText"/>
        <w:spacing w:line="247" w:lineRule="auto"/>
        <w:ind w:left="117" w:right="115" w:firstLine="566"/>
        <w:jc w:val="both"/>
      </w:pPr>
      <w:r>
        <w:rPr>
          <w:color w:val="231F20"/>
          <w:w w:val="105"/>
        </w:rPr>
        <w:t>Vi è però anche la possibilità che abbiano ragione i benpensanti</w:t>
      </w:r>
      <w:r>
        <w:rPr>
          <w:color w:val="231F20"/>
          <w:spacing w:val="-41"/>
          <w:w w:val="105"/>
        </w:rPr>
        <w:t> </w:t>
      </w:r>
      <w:r>
        <w:rPr>
          <w:color w:val="231F20"/>
          <w:w w:val="105"/>
        </w:rPr>
        <w:t>e che</w:t>
      </w:r>
      <w:r>
        <w:rPr>
          <w:color w:val="231F20"/>
          <w:spacing w:val="-5"/>
          <w:w w:val="105"/>
        </w:rPr>
        <w:t> </w:t>
      </w:r>
      <w:r>
        <w:rPr>
          <w:color w:val="231F20"/>
          <w:w w:val="105"/>
        </w:rPr>
        <w:t>lo</w:t>
      </w:r>
      <w:r>
        <w:rPr>
          <w:color w:val="231F20"/>
          <w:spacing w:val="-5"/>
          <w:w w:val="105"/>
        </w:rPr>
        <w:t> </w:t>
      </w:r>
      <w:r>
        <w:rPr>
          <w:color w:val="231F20"/>
          <w:w w:val="105"/>
        </w:rPr>
        <w:t>Stato</w:t>
      </w:r>
      <w:r>
        <w:rPr>
          <w:color w:val="231F20"/>
          <w:spacing w:val="-5"/>
          <w:w w:val="105"/>
        </w:rPr>
        <w:t> </w:t>
      </w:r>
      <w:r>
        <w:rPr>
          <w:color w:val="231F20"/>
          <w:w w:val="105"/>
        </w:rPr>
        <w:t>non</w:t>
      </w:r>
      <w:r>
        <w:rPr>
          <w:color w:val="231F20"/>
          <w:spacing w:val="-5"/>
          <w:w w:val="105"/>
        </w:rPr>
        <w:t> </w:t>
      </w:r>
      <w:r>
        <w:rPr>
          <w:color w:val="231F20"/>
          <w:w w:val="105"/>
        </w:rPr>
        <w:t>soffra</w:t>
      </w:r>
      <w:r>
        <w:rPr>
          <w:color w:val="231F20"/>
          <w:spacing w:val="-5"/>
          <w:w w:val="105"/>
        </w:rPr>
        <w:t> </w:t>
      </w:r>
      <w:r>
        <w:rPr>
          <w:color w:val="231F20"/>
          <w:w w:val="105"/>
        </w:rPr>
        <w:t>di</w:t>
      </w:r>
      <w:r>
        <w:rPr>
          <w:color w:val="231F20"/>
          <w:spacing w:val="-5"/>
          <w:w w:val="105"/>
        </w:rPr>
        <w:t> </w:t>
      </w:r>
      <w:r>
        <w:rPr>
          <w:color w:val="231F20"/>
          <w:w w:val="105"/>
        </w:rPr>
        <w:t>tutti</w:t>
      </w:r>
      <w:r>
        <w:rPr>
          <w:color w:val="231F20"/>
          <w:spacing w:val="-5"/>
          <w:w w:val="105"/>
        </w:rPr>
        <w:t> </w:t>
      </w:r>
      <w:r>
        <w:rPr>
          <w:color w:val="231F20"/>
          <w:w w:val="105"/>
        </w:rPr>
        <w:t>i</w:t>
      </w:r>
      <w:r>
        <w:rPr>
          <w:color w:val="231F20"/>
          <w:spacing w:val="-5"/>
          <w:w w:val="105"/>
        </w:rPr>
        <w:t> </w:t>
      </w:r>
      <w:r>
        <w:rPr>
          <w:color w:val="231F20"/>
          <w:w w:val="105"/>
        </w:rPr>
        <w:t>guai</w:t>
      </w:r>
      <w:r>
        <w:rPr>
          <w:color w:val="231F20"/>
          <w:spacing w:val="-5"/>
          <w:w w:val="105"/>
        </w:rPr>
        <w:t> </w:t>
      </w:r>
      <w:r>
        <w:rPr>
          <w:color w:val="231F20"/>
          <w:w w:val="105"/>
        </w:rPr>
        <w:t>che</w:t>
      </w:r>
      <w:r>
        <w:rPr>
          <w:color w:val="231F20"/>
          <w:spacing w:val="-5"/>
          <w:w w:val="105"/>
        </w:rPr>
        <w:t> </w:t>
      </w:r>
      <w:r>
        <w:rPr>
          <w:color w:val="231F20"/>
          <w:w w:val="105"/>
        </w:rPr>
        <w:t>ho</w:t>
      </w:r>
      <w:r>
        <w:rPr>
          <w:color w:val="231F20"/>
          <w:spacing w:val="-5"/>
          <w:w w:val="105"/>
        </w:rPr>
        <w:t> </w:t>
      </w:r>
      <w:r>
        <w:rPr>
          <w:color w:val="231F20"/>
          <w:w w:val="105"/>
        </w:rPr>
        <w:t>finora</w:t>
      </w:r>
      <w:r>
        <w:rPr>
          <w:color w:val="231F20"/>
          <w:spacing w:val="-5"/>
          <w:w w:val="105"/>
        </w:rPr>
        <w:t> </w:t>
      </w:r>
      <w:r>
        <w:rPr>
          <w:color w:val="231F20"/>
          <w:w w:val="105"/>
        </w:rPr>
        <w:t>descritto</w:t>
      </w:r>
      <w:r>
        <w:rPr>
          <w:color w:val="231F20"/>
          <w:spacing w:val="-5"/>
          <w:w w:val="105"/>
        </w:rPr>
        <w:t> </w:t>
      </w:r>
      <w:r>
        <w:rPr>
          <w:color w:val="231F20"/>
          <w:w w:val="105"/>
        </w:rPr>
        <w:t>e</w:t>
      </w:r>
      <w:r>
        <w:rPr>
          <w:color w:val="231F20"/>
          <w:spacing w:val="-5"/>
          <w:w w:val="105"/>
        </w:rPr>
        <w:t> </w:t>
      </w:r>
      <w:r>
        <w:rPr>
          <w:color w:val="231F20"/>
          <w:w w:val="105"/>
        </w:rPr>
        <w:t>abbisogni soltanto di una cura “ri-costituente”, come tante volte è successo nella sua storia, ringiovanendo appunto la sua “costituzione” nei tre</w:t>
      </w:r>
      <w:r>
        <w:rPr>
          <w:color w:val="231F20"/>
          <w:spacing w:val="-42"/>
          <w:w w:val="105"/>
        </w:rPr>
        <w:t> </w:t>
      </w:r>
      <w:r>
        <w:rPr>
          <w:color w:val="231F20"/>
          <w:w w:val="105"/>
        </w:rPr>
        <w:t>caratteri essenziali</w:t>
      </w:r>
      <w:r>
        <w:rPr>
          <w:color w:val="231F20"/>
          <w:spacing w:val="-21"/>
          <w:w w:val="105"/>
        </w:rPr>
        <w:t> </w:t>
      </w:r>
      <w:r>
        <w:rPr>
          <w:color w:val="231F20"/>
          <w:w w:val="105"/>
        </w:rPr>
        <w:t>di</w:t>
      </w:r>
      <w:r>
        <w:rPr>
          <w:color w:val="231F20"/>
          <w:spacing w:val="-21"/>
          <w:w w:val="105"/>
        </w:rPr>
        <w:t> </w:t>
      </w:r>
      <w:r>
        <w:rPr>
          <w:color w:val="231F20"/>
          <w:w w:val="105"/>
        </w:rPr>
        <w:t>popolo,</w:t>
      </w:r>
      <w:r>
        <w:rPr>
          <w:color w:val="231F20"/>
          <w:spacing w:val="-21"/>
          <w:w w:val="105"/>
        </w:rPr>
        <w:t> </w:t>
      </w:r>
      <w:r>
        <w:rPr>
          <w:color w:val="231F20"/>
          <w:w w:val="105"/>
        </w:rPr>
        <w:t>territorio</w:t>
      </w:r>
      <w:r>
        <w:rPr>
          <w:color w:val="231F20"/>
          <w:spacing w:val="-21"/>
          <w:w w:val="105"/>
        </w:rPr>
        <w:t> </w:t>
      </w:r>
      <w:r>
        <w:rPr>
          <w:color w:val="231F20"/>
          <w:w w:val="105"/>
        </w:rPr>
        <w:t>e</w:t>
      </w:r>
      <w:r>
        <w:rPr>
          <w:color w:val="231F20"/>
          <w:spacing w:val="-21"/>
          <w:w w:val="105"/>
        </w:rPr>
        <w:t> </w:t>
      </w:r>
      <w:r>
        <w:rPr>
          <w:color w:val="231F20"/>
          <w:w w:val="105"/>
        </w:rPr>
        <w:t>sovranità.</w:t>
      </w:r>
      <w:r>
        <w:rPr>
          <w:color w:val="231F20"/>
          <w:spacing w:val="-21"/>
          <w:w w:val="105"/>
        </w:rPr>
        <w:t> </w:t>
      </w:r>
      <w:r>
        <w:rPr>
          <w:color w:val="231F20"/>
          <w:w w:val="105"/>
        </w:rPr>
        <w:t>La</w:t>
      </w:r>
      <w:r>
        <w:rPr>
          <w:color w:val="231F20"/>
          <w:spacing w:val="-21"/>
          <w:w w:val="105"/>
        </w:rPr>
        <w:t> </w:t>
      </w:r>
      <w:r>
        <w:rPr>
          <w:color w:val="231F20"/>
          <w:w w:val="105"/>
        </w:rPr>
        <w:t>risposta</w:t>
      </w:r>
      <w:r>
        <w:rPr>
          <w:color w:val="231F20"/>
          <w:spacing w:val="-21"/>
          <w:w w:val="105"/>
        </w:rPr>
        <w:t> </w:t>
      </w:r>
      <w:r>
        <w:rPr>
          <w:color w:val="231F20"/>
          <w:w w:val="105"/>
        </w:rPr>
        <w:t>più</w:t>
      </w:r>
      <w:r>
        <w:rPr>
          <w:color w:val="231F20"/>
          <w:spacing w:val="-21"/>
          <w:w w:val="105"/>
        </w:rPr>
        <w:t> </w:t>
      </w:r>
      <w:r>
        <w:rPr>
          <w:color w:val="231F20"/>
          <w:w w:val="105"/>
        </w:rPr>
        <w:t>stringente</w:t>
      </w:r>
      <w:r>
        <w:rPr>
          <w:color w:val="231F20"/>
          <w:spacing w:val="-21"/>
          <w:w w:val="105"/>
        </w:rPr>
        <w:t> </w:t>
      </w:r>
      <w:r>
        <w:rPr>
          <w:color w:val="231F20"/>
          <w:w w:val="105"/>
        </w:rPr>
        <w:t>in</w:t>
      </w:r>
      <w:r>
        <w:rPr>
          <w:color w:val="231F20"/>
          <w:spacing w:val="-21"/>
          <w:w w:val="105"/>
        </w:rPr>
        <w:t> </w:t>
      </w:r>
      <w:r>
        <w:rPr>
          <w:color w:val="231F20"/>
          <w:w w:val="105"/>
        </w:rPr>
        <w:t>tal senso</w:t>
      </w:r>
      <w:r>
        <w:rPr>
          <w:color w:val="231F20"/>
          <w:spacing w:val="-53"/>
          <w:w w:val="105"/>
        </w:rPr>
        <w:t> </w:t>
      </w:r>
      <w:r>
        <w:rPr>
          <w:color w:val="231F20"/>
          <w:w w:val="105"/>
        </w:rPr>
        <w:t>sembra</w:t>
      </w:r>
      <w:r>
        <w:rPr>
          <w:color w:val="231F20"/>
          <w:spacing w:val="-53"/>
          <w:w w:val="105"/>
        </w:rPr>
        <w:t> </w:t>
      </w:r>
      <w:r>
        <w:rPr>
          <w:color w:val="231F20"/>
          <w:w w:val="105"/>
        </w:rPr>
        <w:t>ancora</w:t>
      </w:r>
      <w:r>
        <w:rPr>
          <w:color w:val="231F20"/>
          <w:spacing w:val="-53"/>
          <w:w w:val="105"/>
        </w:rPr>
        <w:t> </w:t>
      </w:r>
      <w:r>
        <w:rPr>
          <w:color w:val="231F20"/>
          <w:w w:val="105"/>
        </w:rPr>
        <w:t>essere</w:t>
      </w:r>
      <w:r>
        <w:rPr>
          <w:color w:val="231F20"/>
          <w:spacing w:val="-53"/>
          <w:w w:val="105"/>
        </w:rPr>
        <w:t> </w:t>
      </w:r>
      <w:r>
        <w:rPr>
          <w:color w:val="231F20"/>
          <w:w w:val="105"/>
        </w:rPr>
        <w:t>quella</w:t>
      </w:r>
      <w:r>
        <w:rPr>
          <w:color w:val="231F20"/>
          <w:spacing w:val="-53"/>
          <w:w w:val="105"/>
        </w:rPr>
        <w:t> </w:t>
      </w:r>
      <w:r>
        <w:rPr>
          <w:color w:val="231F20"/>
          <w:w w:val="105"/>
        </w:rPr>
        <w:t>del</w:t>
      </w:r>
      <w:r>
        <w:rPr>
          <w:color w:val="231F20"/>
          <w:spacing w:val="-53"/>
          <w:w w:val="105"/>
        </w:rPr>
        <w:t> </w:t>
      </w:r>
      <w:r>
        <w:rPr>
          <w:color w:val="231F20"/>
          <w:w w:val="105"/>
        </w:rPr>
        <w:t>federalismo,</w:t>
      </w:r>
      <w:r>
        <w:rPr>
          <w:color w:val="231F20"/>
          <w:spacing w:val="-53"/>
          <w:w w:val="105"/>
        </w:rPr>
        <w:t> </w:t>
      </w:r>
      <w:r>
        <w:rPr>
          <w:color w:val="231F20"/>
          <w:w w:val="105"/>
        </w:rPr>
        <w:t>preso</w:t>
      </w:r>
      <w:r>
        <w:rPr>
          <w:color w:val="231F20"/>
          <w:spacing w:val="-53"/>
          <w:w w:val="105"/>
        </w:rPr>
        <w:t> </w:t>
      </w:r>
      <w:r>
        <w:rPr>
          <w:color w:val="231F20"/>
          <w:w w:val="105"/>
        </w:rPr>
        <w:t>nella</w:t>
      </w:r>
      <w:r>
        <w:rPr>
          <w:color w:val="231F20"/>
          <w:spacing w:val="-53"/>
          <w:w w:val="105"/>
        </w:rPr>
        <w:t> </w:t>
      </w:r>
      <w:r>
        <w:rPr>
          <w:color w:val="231F20"/>
          <w:w w:val="105"/>
        </w:rPr>
        <w:t>sua</w:t>
      </w:r>
      <w:r>
        <w:rPr>
          <w:color w:val="231F20"/>
          <w:spacing w:val="-53"/>
          <w:w w:val="105"/>
        </w:rPr>
        <w:t> </w:t>
      </w:r>
      <w:r>
        <w:rPr>
          <w:color w:val="231F20"/>
          <w:w w:val="105"/>
        </w:rPr>
        <w:t>versione tradizionale</w:t>
      </w:r>
      <w:r>
        <w:rPr>
          <w:color w:val="231F20"/>
          <w:spacing w:val="-13"/>
          <w:w w:val="105"/>
        </w:rPr>
        <w:t> </w:t>
      </w:r>
      <w:r>
        <w:rPr>
          <w:color w:val="231F20"/>
          <w:w w:val="105"/>
        </w:rPr>
        <w:t>che</w:t>
      </w:r>
      <w:r>
        <w:rPr>
          <w:color w:val="231F20"/>
          <w:spacing w:val="-13"/>
          <w:w w:val="105"/>
        </w:rPr>
        <w:t> </w:t>
      </w:r>
      <w:r>
        <w:rPr>
          <w:color w:val="231F20"/>
          <w:w w:val="105"/>
        </w:rPr>
        <w:t>ha</w:t>
      </w:r>
      <w:r>
        <w:rPr>
          <w:color w:val="231F20"/>
          <w:spacing w:val="-13"/>
          <w:w w:val="105"/>
        </w:rPr>
        <w:t> </w:t>
      </w:r>
      <w:r>
        <w:rPr>
          <w:color w:val="231F20"/>
          <w:w w:val="105"/>
        </w:rPr>
        <w:t>già</w:t>
      </w:r>
      <w:r>
        <w:rPr>
          <w:color w:val="231F20"/>
          <w:spacing w:val="-13"/>
          <w:w w:val="105"/>
        </w:rPr>
        <w:t> </w:t>
      </w:r>
      <w:r>
        <w:rPr>
          <w:color w:val="231F20"/>
          <w:w w:val="105"/>
        </w:rPr>
        <w:t>trovato</w:t>
      </w:r>
      <w:r>
        <w:rPr>
          <w:color w:val="231F20"/>
          <w:spacing w:val="-13"/>
          <w:w w:val="105"/>
        </w:rPr>
        <w:t> </w:t>
      </w:r>
      <w:r>
        <w:rPr>
          <w:color w:val="231F20"/>
          <w:w w:val="105"/>
        </w:rPr>
        <w:t>varie</w:t>
      </w:r>
      <w:r>
        <w:rPr>
          <w:color w:val="231F20"/>
          <w:spacing w:val="-13"/>
          <w:w w:val="105"/>
        </w:rPr>
        <w:t> </w:t>
      </w:r>
      <w:r>
        <w:rPr>
          <w:color w:val="231F20"/>
          <w:w w:val="105"/>
        </w:rPr>
        <w:t>forme</w:t>
      </w:r>
      <w:r>
        <w:rPr>
          <w:color w:val="231F20"/>
          <w:spacing w:val="-13"/>
          <w:w w:val="105"/>
        </w:rPr>
        <w:t> </w:t>
      </w:r>
      <w:r>
        <w:rPr>
          <w:color w:val="231F20"/>
          <w:w w:val="105"/>
        </w:rPr>
        <w:t>di</w:t>
      </w:r>
      <w:r>
        <w:rPr>
          <w:color w:val="231F20"/>
          <w:spacing w:val="-13"/>
          <w:w w:val="105"/>
        </w:rPr>
        <w:t> </w:t>
      </w:r>
      <w:r>
        <w:rPr>
          <w:color w:val="231F20"/>
          <w:w w:val="105"/>
        </w:rPr>
        <w:t>applicazione</w:t>
      </w:r>
      <w:r>
        <w:rPr>
          <w:color w:val="231F20"/>
          <w:spacing w:val="-13"/>
          <w:w w:val="105"/>
        </w:rPr>
        <w:t> </w:t>
      </w:r>
      <w:r>
        <w:rPr>
          <w:color w:val="231F20"/>
          <w:w w:val="105"/>
        </w:rPr>
        <w:t>vincente</w:t>
      </w:r>
      <w:r>
        <w:rPr>
          <w:color w:val="231F20"/>
          <w:spacing w:val="-13"/>
          <w:w w:val="105"/>
        </w:rPr>
        <w:t> </w:t>
      </w:r>
      <w:r>
        <w:rPr>
          <w:color w:val="231F20"/>
          <w:w w:val="105"/>
        </w:rPr>
        <w:t>nella storia</w:t>
      </w:r>
      <w:r>
        <w:rPr>
          <w:color w:val="231F20"/>
          <w:spacing w:val="-15"/>
          <w:w w:val="105"/>
        </w:rPr>
        <w:t> </w:t>
      </w:r>
      <w:r>
        <w:rPr>
          <w:color w:val="231F20"/>
          <w:w w:val="105"/>
        </w:rPr>
        <w:t>costituzionale</w:t>
      </w:r>
      <w:r>
        <w:rPr>
          <w:color w:val="231F20"/>
          <w:spacing w:val="-15"/>
          <w:w w:val="105"/>
        </w:rPr>
        <w:t> </w:t>
      </w:r>
      <w:r>
        <w:rPr>
          <w:color w:val="231F20"/>
          <w:w w:val="105"/>
        </w:rPr>
        <w:t>occidentale</w:t>
      </w:r>
      <w:r>
        <w:rPr>
          <w:color w:val="231F20"/>
          <w:spacing w:val="-15"/>
          <w:w w:val="105"/>
        </w:rPr>
        <w:t> </w:t>
      </w:r>
      <w:r>
        <w:rPr>
          <w:color w:val="231F20"/>
          <w:w w:val="105"/>
        </w:rPr>
        <w:t>e</w:t>
      </w:r>
      <w:r>
        <w:rPr>
          <w:color w:val="231F20"/>
          <w:spacing w:val="-15"/>
          <w:w w:val="105"/>
        </w:rPr>
        <w:t> </w:t>
      </w:r>
      <w:r>
        <w:rPr>
          <w:color w:val="231F20"/>
          <w:w w:val="105"/>
        </w:rPr>
        <w:t>soprattutto</w:t>
      </w:r>
      <w:r>
        <w:rPr>
          <w:color w:val="231F20"/>
          <w:spacing w:val="-15"/>
          <w:w w:val="105"/>
        </w:rPr>
        <w:t> </w:t>
      </w:r>
      <w:r>
        <w:rPr>
          <w:color w:val="231F20"/>
          <w:w w:val="105"/>
        </w:rPr>
        <w:t>atlantica.</w:t>
      </w:r>
      <w:r>
        <w:rPr>
          <w:color w:val="231F20"/>
          <w:spacing w:val="-15"/>
          <w:w w:val="105"/>
        </w:rPr>
        <w:t> </w:t>
      </w:r>
      <w:r>
        <w:rPr>
          <w:color w:val="231F20"/>
          <w:spacing w:val="-5"/>
          <w:w w:val="105"/>
        </w:rPr>
        <w:t>Tanto</w:t>
      </w:r>
      <w:r>
        <w:rPr>
          <w:color w:val="231F20"/>
          <w:spacing w:val="-15"/>
          <w:w w:val="105"/>
        </w:rPr>
        <w:t> </w:t>
      </w:r>
      <w:r>
        <w:rPr>
          <w:color w:val="231F20"/>
          <w:w w:val="105"/>
        </w:rPr>
        <w:t>da</w:t>
      </w:r>
      <w:r>
        <w:rPr>
          <w:color w:val="231F20"/>
          <w:spacing w:val="-15"/>
          <w:w w:val="105"/>
        </w:rPr>
        <w:t> </w:t>
      </w:r>
      <w:r>
        <w:rPr>
          <w:color w:val="231F20"/>
          <w:w w:val="105"/>
        </w:rPr>
        <w:t>potersi dire</w:t>
      </w:r>
      <w:r>
        <w:rPr>
          <w:color w:val="231F20"/>
          <w:spacing w:val="-35"/>
          <w:w w:val="105"/>
        </w:rPr>
        <w:t> </w:t>
      </w:r>
      <w:r>
        <w:rPr>
          <w:color w:val="231F20"/>
          <w:w w:val="105"/>
        </w:rPr>
        <w:t>che</w:t>
      </w:r>
      <w:r>
        <w:rPr>
          <w:color w:val="231F20"/>
          <w:spacing w:val="-35"/>
          <w:w w:val="105"/>
        </w:rPr>
        <w:t> </w:t>
      </w:r>
      <w:r>
        <w:rPr>
          <w:color w:val="231F20"/>
          <w:w w:val="105"/>
        </w:rPr>
        <w:t>non</w:t>
      </w:r>
      <w:r>
        <w:rPr>
          <w:color w:val="231F20"/>
          <w:spacing w:val="-35"/>
          <w:w w:val="105"/>
        </w:rPr>
        <w:t> </w:t>
      </w:r>
      <w:r>
        <w:rPr>
          <w:color w:val="231F20"/>
          <w:w w:val="105"/>
        </w:rPr>
        <w:t>esista</w:t>
      </w:r>
      <w:r>
        <w:rPr>
          <w:color w:val="231F20"/>
          <w:spacing w:val="-35"/>
          <w:w w:val="105"/>
        </w:rPr>
        <w:t> </w:t>
      </w:r>
      <w:r>
        <w:rPr>
          <w:color w:val="231F20"/>
          <w:w w:val="105"/>
        </w:rPr>
        <w:t>Stato</w:t>
      </w:r>
      <w:r>
        <w:rPr>
          <w:color w:val="231F20"/>
          <w:spacing w:val="-35"/>
          <w:w w:val="105"/>
        </w:rPr>
        <w:t> </w:t>
      </w:r>
      <w:r>
        <w:rPr>
          <w:color w:val="231F20"/>
          <w:w w:val="105"/>
        </w:rPr>
        <w:t>che</w:t>
      </w:r>
      <w:r>
        <w:rPr>
          <w:color w:val="231F20"/>
          <w:spacing w:val="-35"/>
          <w:w w:val="105"/>
        </w:rPr>
        <w:t> </w:t>
      </w:r>
      <w:r>
        <w:rPr>
          <w:color w:val="231F20"/>
          <w:w w:val="105"/>
        </w:rPr>
        <w:t>non</w:t>
      </w:r>
      <w:r>
        <w:rPr>
          <w:color w:val="231F20"/>
          <w:spacing w:val="-35"/>
          <w:w w:val="105"/>
        </w:rPr>
        <w:t> </w:t>
      </w:r>
      <w:r>
        <w:rPr>
          <w:color w:val="231F20"/>
          <w:w w:val="105"/>
        </w:rPr>
        <w:t>abbia</w:t>
      </w:r>
      <w:r>
        <w:rPr>
          <w:color w:val="231F20"/>
          <w:spacing w:val="-35"/>
          <w:w w:val="105"/>
        </w:rPr>
        <w:t> </w:t>
      </w:r>
      <w:r>
        <w:rPr>
          <w:color w:val="231F20"/>
          <w:w w:val="105"/>
        </w:rPr>
        <w:t>o</w:t>
      </w:r>
      <w:r>
        <w:rPr>
          <w:color w:val="231F20"/>
          <w:spacing w:val="-35"/>
          <w:w w:val="105"/>
        </w:rPr>
        <w:t> </w:t>
      </w:r>
      <w:r>
        <w:rPr>
          <w:color w:val="231F20"/>
          <w:w w:val="105"/>
        </w:rPr>
        <w:t>non</w:t>
      </w:r>
      <w:r>
        <w:rPr>
          <w:color w:val="231F20"/>
          <w:spacing w:val="-35"/>
          <w:w w:val="105"/>
        </w:rPr>
        <w:t> </w:t>
      </w:r>
      <w:r>
        <w:rPr>
          <w:color w:val="231F20"/>
          <w:w w:val="105"/>
        </w:rPr>
        <w:t>ambisca</w:t>
      </w:r>
      <w:r>
        <w:rPr>
          <w:color w:val="231F20"/>
          <w:spacing w:val="-35"/>
          <w:w w:val="105"/>
        </w:rPr>
        <w:t> </w:t>
      </w:r>
      <w:r>
        <w:rPr>
          <w:color w:val="231F20"/>
          <w:w w:val="105"/>
        </w:rPr>
        <w:t>ad</w:t>
      </w:r>
      <w:r>
        <w:rPr>
          <w:color w:val="231F20"/>
          <w:spacing w:val="-35"/>
          <w:w w:val="105"/>
        </w:rPr>
        <w:t> </w:t>
      </w:r>
      <w:r>
        <w:rPr>
          <w:color w:val="231F20"/>
          <w:w w:val="105"/>
        </w:rPr>
        <w:t>avere</w:t>
      </w:r>
      <w:r>
        <w:rPr>
          <w:color w:val="231F20"/>
          <w:spacing w:val="-35"/>
          <w:w w:val="105"/>
        </w:rPr>
        <w:t> </w:t>
      </w:r>
      <w:r>
        <w:rPr>
          <w:color w:val="231F20"/>
          <w:w w:val="105"/>
        </w:rPr>
        <w:t>struttura</w:t>
      </w:r>
      <w:r>
        <w:rPr>
          <w:color w:val="231F20"/>
          <w:spacing w:val="-35"/>
          <w:w w:val="105"/>
        </w:rPr>
        <w:t> </w:t>
      </w:r>
      <w:r>
        <w:rPr>
          <w:color w:val="231F20"/>
          <w:w w:val="105"/>
        </w:rPr>
        <w:t>di tipo</w:t>
      </w:r>
      <w:r>
        <w:rPr>
          <w:color w:val="231F20"/>
          <w:spacing w:val="-26"/>
          <w:w w:val="105"/>
        </w:rPr>
        <w:t> </w:t>
      </w:r>
      <w:r>
        <w:rPr>
          <w:color w:val="231F20"/>
          <w:w w:val="105"/>
        </w:rPr>
        <w:t>federalistico;</w:t>
      </w:r>
      <w:r>
        <w:rPr>
          <w:color w:val="231F20"/>
          <w:spacing w:val="-26"/>
          <w:w w:val="105"/>
        </w:rPr>
        <w:t> </w:t>
      </w:r>
      <w:r>
        <w:rPr>
          <w:color w:val="231F20"/>
          <w:w w:val="105"/>
        </w:rPr>
        <w:t>perfino</w:t>
      </w:r>
      <w:r>
        <w:rPr>
          <w:color w:val="231F20"/>
          <w:spacing w:val="-26"/>
          <w:w w:val="105"/>
        </w:rPr>
        <w:t> </w:t>
      </w:r>
      <w:r>
        <w:rPr>
          <w:color w:val="231F20"/>
          <w:w w:val="105"/>
        </w:rPr>
        <w:t>la</w:t>
      </w:r>
      <w:r>
        <w:rPr>
          <w:color w:val="231F20"/>
          <w:spacing w:val="-26"/>
          <w:w w:val="105"/>
        </w:rPr>
        <w:t> </w:t>
      </w:r>
      <w:r>
        <w:rPr>
          <w:color w:val="231F20"/>
          <w:w w:val="105"/>
        </w:rPr>
        <w:t>informe</w:t>
      </w:r>
      <w:r>
        <w:rPr>
          <w:color w:val="231F20"/>
          <w:spacing w:val="-26"/>
          <w:w w:val="105"/>
        </w:rPr>
        <w:t> </w:t>
      </w:r>
      <w:r>
        <w:rPr>
          <w:color w:val="231F20"/>
          <w:w w:val="105"/>
        </w:rPr>
        <w:t>Unione</w:t>
      </w:r>
      <w:r>
        <w:rPr>
          <w:color w:val="231F20"/>
          <w:spacing w:val="-26"/>
          <w:w w:val="105"/>
        </w:rPr>
        <w:t> </w:t>
      </w:r>
      <w:r>
        <w:rPr>
          <w:color w:val="231F20"/>
          <w:w w:val="105"/>
        </w:rPr>
        <w:t>europea</w:t>
      </w:r>
      <w:r>
        <w:rPr>
          <w:color w:val="231F20"/>
          <w:spacing w:val="-26"/>
          <w:w w:val="105"/>
        </w:rPr>
        <w:t> </w:t>
      </w:r>
      <w:r>
        <w:rPr>
          <w:color w:val="231F20"/>
          <w:w w:val="105"/>
        </w:rPr>
        <w:t>ricalca</w:t>
      </w:r>
      <w:r>
        <w:rPr>
          <w:color w:val="231F20"/>
          <w:spacing w:val="-26"/>
          <w:w w:val="105"/>
        </w:rPr>
        <w:t> </w:t>
      </w:r>
      <w:r>
        <w:rPr>
          <w:color w:val="231F20"/>
          <w:w w:val="105"/>
        </w:rPr>
        <w:t>quel</w:t>
      </w:r>
      <w:r>
        <w:rPr>
          <w:color w:val="231F20"/>
          <w:spacing w:val="-26"/>
          <w:w w:val="105"/>
        </w:rPr>
        <w:t> </w:t>
      </w:r>
      <w:r>
        <w:rPr>
          <w:color w:val="231F20"/>
          <w:w w:val="105"/>
        </w:rPr>
        <w:t>modello, sia</w:t>
      </w:r>
      <w:r>
        <w:rPr>
          <w:color w:val="231F20"/>
          <w:spacing w:val="-34"/>
          <w:w w:val="105"/>
        </w:rPr>
        <w:t> </w:t>
      </w:r>
      <w:r>
        <w:rPr>
          <w:color w:val="231F20"/>
          <w:w w:val="105"/>
        </w:rPr>
        <w:t>pure</w:t>
      </w:r>
      <w:r>
        <w:rPr>
          <w:color w:val="231F20"/>
          <w:spacing w:val="-34"/>
          <w:w w:val="105"/>
        </w:rPr>
        <w:t> </w:t>
      </w:r>
      <w:r>
        <w:rPr>
          <w:color w:val="231F20"/>
          <w:w w:val="105"/>
        </w:rPr>
        <w:t>nelle</w:t>
      </w:r>
      <w:r>
        <w:rPr>
          <w:color w:val="231F20"/>
          <w:spacing w:val="-34"/>
          <w:w w:val="105"/>
        </w:rPr>
        <w:t> </w:t>
      </w:r>
      <w:r>
        <w:rPr>
          <w:color w:val="231F20"/>
          <w:w w:val="105"/>
        </w:rPr>
        <w:t>forme</w:t>
      </w:r>
      <w:r>
        <w:rPr>
          <w:color w:val="231F20"/>
          <w:spacing w:val="-34"/>
          <w:w w:val="105"/>
        </w:rPr>
        <w:t> </w:t>
      </w:r>
      <w:r>
        <w:rPr>
          <w:color w:val="231F20"/>
          <w:w w:val="105"/>
        </w:rPr>
        <w:t>più</w:t>
      </w:r>
      <w:r>
        <w:rPr>
          <w:color w:val="231F20"/>
          <w:spacing w:val="-34"/>
          <w:w w:val="105"/>
        </w:rPr>
        <w:t> </w:t>
      </w:r>
      <w:r>
        <w:rPr>
          <w:color w:val="231F20"/>
          <w:w w:val="105"/>
        </w:rPr>
        <w:t>rilassate</w:t>
      </w:r>
      <w:r>
        <w:rPr>
          <w:color w:val="231F20"/>
          <w:spacing w:val="-34"/>
          <w:w w:val="105"/>
        </w:rPr>
        <w:t> </w:t>
      </w:r>
      <w:r>
        <w:rPr>
          <w:color w:val="231F20"/>
          <w:w w:val="105"/>
        </w:rPr>
        <w:t>possibili.</w:t>
      </w:r>
    </w:p>
    <w:p>
      <w:pPr>
        <w:pStyle w:val="BodyText"/>
        <w:spacing w:line="247" w:lineRule="auto"/>
        <w:ind w:left="117" w:right="119" w:firstLine="566"/>
        <w:jc w:val="right"/>
      </w:pPr>
      <w:r>
        <w:rPr>
          <w:color w:val="231F20"/>
        </w:rPr>
        <w:t>Intesa in forma più sofisticata, però, la proposta federalista</w:t>
      </w:r>
      <w:r>
        <w:rPr>
          <w:color w:val="231F20"/>
          <w:spacing w:val="27"/>
        </w:rPr>
        <w:t> </w:t>
      </w:r>
      <w:r>
        <w:rPr>
          <w:color w:val="231F20"/>
        </w:rPr>
        <w:t>altera</w:t>
      </w:r>
      <w:r>
        <w:rPr>
          <w:color w:val="231F20"/>
          <w:spacing w:val="10"/>
        </w:rPr>
        <w:t> </w:t>
      </w:r>
      <w:r>
        <w:rPr>
          <w:color w:val="231F20"/>
        </w:rPr>
        <w:t>il</w:t>
      </w:r>
      <w:r>
        <w:rPr>
          <w:color w:val="231F20"/>
          <w:w w:val="105"/>
        </w:rPr>
        <w:t> </w:t>
      </w:r>
      <w:r>
        <w:rPr>
          <w:color w:val="231F20"/>
        </w:rPr>
        <w:t>gioco basilare della rappresentanza e la stessa dottrina</w:t>
      </w:r>
      <w:r>
        <w:rPr>
          <w:color w:val="231F20"/>
          <w:spacing w:val="14"/>
        </w:rPr>
        <w:t> </w:t>
      </w:r>
      <w:r>
        <w:rPr>
          <w:color w:val="231F20"/>
        </w:rPr>
        <w:t>della</w:t>
      </w:r>
      <w:r>
        <w:rPr>
          <w:color w:val="231F20"/>
          <w:spacing w:val="18"/>
        </w:rPr>
        <w:t> </w:t>
      </w:r>
      <w:r>
        <w:rPr>
          <w:color w:val="231F20"/>
        </w:rPr>
        <w:t>separazione</w:t>
      </w:r>
      <w:r>
        <w:rPr>
          <w:color w:val="231F20"/>
          <w:w w:val="101"/>
        </w:rPr>
        <w:t> </w:t>
      </w:r>
      <w:r>
        <w:rPr>
          <w:color w:val="231F20"/>
        </w:rPr>
        <w:t>dei poteri, sparigliandone, con lo strumento orizzontale</w:t>
      </w:r>
      <w:r>
        <w:rPr>
          <w:color w:val="231F20"/>
          <w:spacing w:val="28"/>
        </w:rPr>
        <w:t> </w:t>
      </w:r>
      <w:r>
        <w:rPr>
          <w:color w:val="231F20"/>
        </w:rPr>
        <w:t>del</w:t>
      </w:r>
      <w:r>
        <w:rPr>
          <w:color w:val="231F20"/>
          <w:spacing w:val="4"/>
        </w:rPr>
        <w:t> </w:t>
      </w:r>
      <w:r>
        <w:rPr>
          <w:color w:val="231F20"/>
        </w:rPr>
        <w:t>municipalismo,</w:t>
      </w:r>
      <w:r>
        <w:rPr>
          <w:color w:val="231F20"/>
          <w:w w:val="100"/>
        </w:rPr>
        <w:t> </w:t>
      </w:r>
      <w:r>
        <w:rPr>
          <w:color w:val="231F20"/>
        </w:rPr>
        <w:t>la </w:t>
      </w:r>
      <w:r>
        <w:rPr>
          <w:color w:val="231F20"/>
          <w:spacing w:val="2"/>
        </w:rPr>
        <w:t>classica strutturazione verticale. Attuato </w:t>
      </w:r>
      <w:r>
        <w:rPr>
          <w:color w:val="231F20"/>
        </w:rPr>
        <w:t>fino in </w:t>
      </w:r>
      <w:r>
        <w:rPr>
          <w:color w:val="231F20"/>
          <w:spacing w:val="2"/>
        </w:rPr>
        <w:t>fondo,</w:t>
      </w:r>
      <w:r>
        <w:rPr>
          <w:color w:val="231F20"/>
          <w:spacing w:val="28"/>
        </w:rPr>
        <w:t> </w:t>
      </w:r>
      <w:r>
        <w:rPr>
          <w:color w:val="231F20"/>
        </w:rPr>
        <w:t>il</w:t>
      </w:r>
      <w:r>
        <w:rPr>
          <w:color w:val="231F20"/>
          <w:spacing w:val="29"/>
        </w:rPr>
        <w:t> </w:t>
      </w:r>
      <w:r>
        <w:rPr>
          <w:color w:val="231F20"/>
          <w:spacing w:val="3"/>
        </w:rPr>
        <w:t>federalismo</w:t>
      </w:r>
      <w:r>
        <w:rPr>
          <w:color w:val="231F20"/>
          <w:spacing w:val="3"/>
          <w:w w:val="102"/>
        </w:rPr>
        <w:t> </w:t>
      </w:r>
      <w:r>
        <w:rPr>
          <w:color w:val="231F20"/>
        </w:rPr>
        <w:t>potrebbe aprire una nuova stagione del</w:t>
      </w:r>
      <w:r>
        <w:rPr>
          <w:color w:val="231F20"/>
          <w:spacing w:val="59"/>
        </w:rPr>
        <w:t> </w:t>
      </w:r>
      <w:r>
        <w:rPr>
          <w:color w:val="231F20"/>
        </w:rPr>
        <w:t>costituzionalismo.</w:t>
      </w:r>
      <w:r>
        <w:rPr>
          <w:color w:val="231F20"/>
          <w:spacing w:val="42"/>
        </w:rPr>
        <w:t> </w:t>
      </w:r>
      <w:r>
        <w:rPr>
          <w:color w:val="231F20"/>
        </w:rPr>
        <w:t>Quest’ultimo</w:t>
      </w:r>
      <w:r>
        <w:rPr>
          <w:color w:val="231F20"/>
          <w:spacing w:val="1"/>
          <w:w w:val="104"/>
        </w:rPr>
        <w:t> </w:t>
      </w:r>
      <w:r>
        <w:rPr>
          <w:color w:val="231F20"/>
        </w:rPr>
        <w:t>aveva rappresentato —a partire dal </w:t>
      </w:r>
      <w:r>
        <w:rPr>
          <w:color w:val="231F20"/>
          <w:sz w:val="18"/>
        </w:rPr>
        <w:t>XVIII </w:t>
      </w:r>
      <w:r>
        <w:rPr>
          <w:color w:val="231F20"/>
        </w:rPr>
        <w:t>secolo— una</w:t>
      </w:r>
      <w:r>
        <w:rPr>
          <w:color w:val="231F20"/>
          <w:spacing w:val="7"/>
        </w:rPr>
        <w:t> </w:t>
      </w:r>
      <w:r>
        <w:rPr>
          <w:color w:val="231F20"/>
        </w:rPr>
        <w:t>forte</w:t>
      </w:r>
      <w:r>
        <w:rPr>
          <w:color w:val="231F20"/>
          <w:spacing w:val="31"/>
        </w:rPr>
        <w:t> </w:t>
      </w:r>
      <w:r>
        <w:rPr>
          <w:color w:val="231F20"/>
        </w:rPr>
        <w:t>emergenza</w:t>
      </w:r>
      <w:r>
        <w:rPr>
          <w:color w:val="231F20"/>
          <w:spacing w:val="2"/>
          <w:w w:val="102"/>
        </w:rPr>
        <w:t> </w:t>
      </w:r>
      <w:r>
        <w:rPr>
          <w:color w:val="231F20"/>
        </w:rPr>
        <w:t>nella storia dello Stato moderno con l’invenzione della</w:t>
      </w:r>
      <w:r>
        <w:rPr>
          <w:color w:val="231F20"/>
          <w:spacing w:val="51"/>
        </w:rPr>
        <w:t> </w:t>
      </w:r>
      <w:r>
        <w:rPr>
          <w:color w:val="231F20"/>
        </w:rPr>
        <w:t>costituzione</w:t>
      </w:r>
      <w:r>
        <w:rPr>
          <w:color w:val="231F20"/>
          <w:spacing w:val="22"/>
        </w:rPr>
        <w:t> </w:t>
      </w:r>
      <w:r>
        <w:rPr>
          <w:color w:val="231F20"/>
        </w:rPr>
        <w:t>come</w:t>
      </w:r>
      <w:r>
        <w:rPr>
          <w:color w:val="231F20"/>
          <w:w w:val="104"/>
        </w:rPr>
        <w:t> </w:t>
      </w:r>
      <w:r>
        <w:rPr>
          <w:color w:val="231F20"/>
        </w:rPr>
        <w:t>“carta”,</w:t>
      </w:r>
      <w:r>
        <w:rPr>
          <w:color w:val="231F20"/>
          <w:spacing w:val="-15"/>
        </w:rPr>
        <w:t> </w:t>
      </w:r>
      <w:r>
        <w:rPr>
          <w:color w:val="231F20"/>
        </w:rPr>
        <w:t>cioè</w:t>
      </w:r>
      <w:r>
        <w:rPr>
          <w:color w:val="231F20"/>
          <w:spacing w:val="-15"/>
        </w:rPr>
        <w:t> </w:t>
      </w:r>
      <w:r>
        <w:rPr>
          <w:color w:val="231F20"/>
        </w:rPr>
        <w:t>come</w:t>
      </w:r>
      <w:r>
        <w:rPr>
          <w:color w:val="231F20"/>
          <w:spacing w:val="-15"/>
        </w:rPr>
        <w:t> </w:t>
      </w:r>
      <w:r>
        <w:rPr>
          <w:color w:val="231F20"/>
        </w:rPr>
        <w:t>sintetica</w:t>
      </w:r>
      <w:r>
        <w:rPr>
          <w:color w:val="231F20"/>
          <w:spacing w:val="-15"/>
        </w:rPr>
        <w:t> </w:t>
      </w:r>
      <w:r>
        <w:rPr>
          <w:color w:val="231F20"/>
        </w:rPr>
        <w:t>codificazione</w:t>
      </w:r>
      <w:r>
        <w:rPr>
          <w:color w:val="231F20"/>
          <w:spacing w:val="-15"/>
        </w:rPr>
        <w:t> </w:t>
      </w:r>
      <w:r>
        <w:rPr>
          <w:color w:val="231F20"/>
        </w:rPr>
        <w:t>dei</w:t>
      </w:r>
      <w:r>
        <w:rPr>
          <w:color w:val="231F20"/>
          <w:spacing w:val="-15"/>
        </w:rPr>
        <w:t> </w:t>
      </w:r>
      <w:r>
        <w:rPr>
          <w:color w:val="231F20"/>
        </w:rPr>
        <w:t>contenuti</w:t>
      </w:r>
      <w:r>
        <w:rPr>
          <w:color w:val="231F20"/>
          <w:spacing w:val="-15"/>
        </w:rPr>
        <w:t> </w:t>
      </w:r>
      <w:r>
        <w:rPr>
          <w:color w:val="231F20"/>
        </w:rPr>
        <w:t>dello</w:t>
      </w:r>
      <w:r>
        <w:rPr>
          <w:color w:val="231F20"/>
          <w:spacing w:val="-15"/>
        </w:rPr>
        <w:t> </w:t>
      </w:r>
      <w:r>
        <w:rPr>
          <w:color w:val="231F20"/>
        </w:rPr>
        <w:t>Stato,</w:t>
      </w:r>
      <w:r>
        <w:rPr>
          <w:color w:val="231F20"/>
          <w:spacing w:val="-15"/>
        </w:rPr>
        <w:t> </w:t>
      </w:r>
      <w:r>
        <w:rPr>
          <w:color w:val="231F20"/>
        </w:rPr>
        <w:t>in</w:t>
      </w:r>
      <w:r>
        <w:rPr>
          <w:color w:val="231F20"/>
          <w:spacing w:val="-15"/>
        </w:rPr>
        <w:t> </w:t>
      </w:r>
      <w:r>
        <w:rPr>
          <w:color w:val="231F20"/>
          <w:spacing w:val="-2"/>
        </w:rPr>
        <w:t>aperta</w:t>
      </w:r>
      <w:r>
        <w:rPr>
          <w:color w:val="231F20"/>
          <w:spacing w:val="-2"/>
          <w:w w:val="101"/>
        </w:rPr>
        <w:t> </w:t>
      </w:r>
      <w:r>
        <w:rPr>
          <w:color w:val="231F20"/>
        </w:rPr>
        <w:t>contrapposizione con la pratica assolutistica che ne aveva</w:t>
      </w:r>
      <w:r>
        <w:rPr>
          <w:color w:val="231F20"/>
          <w:spacing w:val="34"/>
        </w:rPr>
        <w:t> </w:t>
      </w:r>
      <w:r>
        <w:rPr>
          <w:color w:val="231F20"/>
        </w:rPr>
        <w:t>caratterizzato</w:t>
      </w:r>
      <w:r>
        <w:rPr>
          <w:color w:val="231F20"/>
          <w:spacing w:val="4"/>
        </w:rPr>
        <w:t> </w:t>
      </w:r>
      <w:r>
        <w:rPr>
          <w:color w:val="231F20"/>
        </w:rPr>
        <w:t>la</w:t>
      </w:r>
      <w:r>
        <w:rPr>
          <w:color w:val="231F20"/>
          <w:w w:val="100"/>
        </w:rPr>
        <w:t> </w:t>
      </w:r>
      <w:r>
        <w:rPr>
          <w:color w:val="231F20"/>
        </w:rPr>
        <w:t>fase</w:t>
      </w:r>
      <w:r>
        <w:rPr>
          <w:color w:val="231F20"/>
          <w:spacing w:val="-23"/>
        </w:rPr>
        <w:t> </w:t>
      </w:r>
      <w:r>
        <w:rPr>
          <w:color w:val="231F20"/>
        </w:rPr>
        <w:t>iniziale.</w:t>
      </w:r>
      <w:r>
        <w:rPr>
          <w:color w:val="231F20"/>
          <w:spacing w:val="-23"/>
        </w:rPr>
        <w:t> </w:t>
      </w:r>
      <w:r>
        <w:rPr>
          <w:color w:val="231F20"/>
        </w:rPr>
        <w:t>Grazie</w:t>
      </w:r>
      <w:r>
        <w:rPr>
          <w:color w:val="231F20"/>
          <w:spacing w:val="-23"/>
        </w:rPr>
        <w:t> </w:t>
      </w:r>
      <w:r>
        <w:rPr>
          <w:color w:val="231F20"/>
        </w:rPr>
        <w:t>alla</w:t>
      </w:r>
      <w:r>
        <w:rPr>
          <w:color w:val="231F20"/>
          <w:spacing w:val="-23"/>
        </w:rPr>
        <w:t> </w:t>
      </w:r>
      <w:r>
        <w:rPr>
          <w:color w:val="231F20"/>
        </w:rPr>
        <w:t>costituzione,</w:t>
      </w:r>
      <w:r>
        <w:rPr>
          <w:color w:val="231F20"/>
          <w:spacing w:val="-23"/>
        </w:rPr>
        <w:t> </w:t>
      </w:r>
      <w:r>
        <w:rPr>
          <w:color w:val="231F20"/>
        </w:rPr>
        <w:t>il</w:t>
      </w:r>
      <w:r>
        <w:rPr>
          <w:color w:val="231F20"/>
          <w:spacing w:val="-23"/>
        </w:rPr>
        <w:t> </w:t>
      </w:r>
      <w:r>
        <w:rPr>
          <w:color w:val="231F20"/>
        </w:rPr>
        <w:t>diritto</w:t>
      </w:r>
      <w:r>
        <w:rPr>
          <w:color w:val="231F20"/>
          <w:spacing w:val="-23"/>
        </w:rPr>
        <w:t> </w:t>
      </w:r>
      <w:r>
        <w:rPr>
          <w:color w:val="231F20"/>
        </w:rPr>
        <w:t>da</w:t>
      </w:r>
      <w:r>
        <w:rPr>
          <w:color w:val="231F20"/>
          <w:spacing w:val="-23"/>
        </w:rPr>
        <w:t> </w:t>
      </w:r>
      <w:r>
        <w:rPr>
          <w:color w:val="231F20"/>
        </w:rPr>
        <w:t>strumento</w:t>
      </w:r>
      <w:r>
        <w:rPr>
          <w:color w:val="231F20"/>
          <w:spacing w:val="-23"/>
        </w:rPr>
        <w:t> </w:t>
      </w:r>
      <w:r>
        <w:rPr>
          <w:color w:val="231F20"/>
        </w:rPr>
        <w:t>diventò</w:t>
      </w:r>
      <w:r>
        <w:rPr>
          <w:color w:val="231F20"/>
          <w:spacing w:val="-23"/>
        </w:rPr>
        <w:t> </w:t>
      </w:r>
      <w:r>
        <w:rPr>
          <w:color w:val="231F20"/>
        </w:rPr>
        <w:t>fine</w:t>
      </w:r>
      <w:r>
        <w:rPr>
          <w:color w:val="231F20"/>
          <w:spacing w:val="-23"/>
        </w:rPr>
        <w:t> </w:t>
      </w:r>
      <w:r>
        <w:rPr>
          <w:color w:val="231F20"/>
        </w:rPr>
        <w:t>della</w:t>
      </w:r>
      <w:r>
        <w:rPr>
          <w:color w:val="231F20"/>
          <w:spacing w:val="-2"/>
          <w:w w:val="100"/>
        </w:rPr>
        <w:t> </w:t>
      </w:r>
      <w:r>
        <w:rPr>
          <w:color w:val="231F20"/>
          <w:spacing w:val="-3"/>
        </w:rPr>
        <w:t>vita</w:t>
      </w:r>
      <w:r>
        <w:rPr>
          <w:color w:val="231F20"/>
          <w:spacing w:val="-15"/>
        </w:rPr>
        <w:t> </w:t>
      </w:r>
      <w:r>
        <w:rPr>
          <w:color w:val="231F20"/>
          <w:spacing w:val="-3"/>
        </w:rPr>
        <w:t>dello</w:t>
      </w:r>
      <w:r>
        <w:rPr>
          <w:color w:val="231F20"/>
          <w:spacing w:val="-15"/>
        </w:rPr>
        <w:t> </w:t>
      </w:r>
      <w:r>
        <w:rPr>
          <w:color w:val="231F20"/>
          <w:spacing w:val="-3"/>
        </w:rPr>
        <w:t>Stato,</w:t>
      </w:r>
      <w:r>
        <w:rPr>
          <w:color w:val="231F20"/>
          <w:spacing w:val="-15"/>
        </w:rPr>
        <w:t> </w:t>
      </w:r>
      <w:r>
        <w:rPr>
          <w:color w:val="231F20"/>
          <w:spacing w:val="-3"/>
        </w:rPr>
        <w:t>mediante</w:t>
      </w:r>
      <w:r>
        <w:rPr>
          <w:color w:val="231F20"/>
          <w:spacing w:val="-15"/>
        </w:rPr>
        <w:t> </w:t>
      </w:r>
      <w:r>
        <w:rPr>
          <w:color w:val="231F20"/>
        </w:rPr>
        <w:t>la</w:t>
      </w:r>
      <w:r>
        <w:rPr>
          <w:color w:val="231F20"/>
          <w:spacing w:val="-15"/>
        </w:rPr>
        <w:t> </w:t>
      </w:r>
      <w:r>
        <w:rPr>
          <w:rFonts w:ascii="Arial" w:hAnsi="Arial"/>
          <w:i/>
          <w:color w:val="231F20"/>
          <w:spacing w:val="-3"/>
        </w:rPr>
        <w:t>Déclaration</w:t>
      </w:r>
      <w:r>
        <w:rPr>
          <w:rFonts w:ascii="Arial" w:hAnsi="Arial"/>
          <w:i/>
          <w:color w:val="231F20"/>
          <w:spacing w:val="-6"/>
        </w:rPr>
        <w:t> </w:t>
      </w:r>
      <w:r>
        <w:rPr>
          <w:rFonts w:ascii="Arial" w:hAnsi="Arial"/>
          <w:i/>
          <w:color w:val="231F20"/>
        </w:rPr>
        <w:t>des</w:t>
      </w:r>
      <w:r>
        <w:rPr>
          <w:rFonts w:ascii="Arial" w:hAnsi="Arial"/>
          <w:i/>
          <w:color w:val="231F20"/>
          <w:spacing w:val="-6"/>
        </w:rPr>
        <w:t> </w:t>
      </w:r>
      <w:r>
        <w:rPr>
          <w:rFonts w:ascii="Arial" w:hAnsi="Arial"/>
          <w:i/>
          <w:color w:val="231F20"/>
          <w:spacing w:val="-3"/>
        </w:rPr>
        <w:t>droits</w:t>
      </w:r>
      <w:r>
        <w:rPr>
          <w:rFonts w:ascii="Arial" w:hAnsi="Arial"/>
          <w:i/>
          <w:color w:val="231F20"/>
          <w:spacing w:val="-6"/>
        </w:rPr>
        <w:t> </w:t>
      </w:r>
      <w:r>
        <w:rPr>
          <w:rFonts w:ascii="Arial" w:hAnsi="Arial"/>
          <w:i/>
          <w:color w:val="231F20"/>
        </w:rPr>
        <w:t>de</w:t>
      </w:r>
      <w:r>
        <w:rPr>
          <w:rFonts w:ascii="Arial" w:hAnsi="Arial"/>
          <w:i/>
          <w:color w:val="231F20"/>
          <w:spacing w:val="-6"/>
        </w:rPr>
        <w:t> </w:t>
      </w:r>
      <w:r>
        <w:rPr>
          <w:rFonts w:ascii="Arial" w:hAnsi="Arial"/>
          <w:i/>
          <w:color w:val="231F20"/>
          <w:spacing w:val="-3"/>
        </w:rPr>
        <w:t>l’homme</w:t>
      </w:r>
      <w:r>
        <w:rPr>
          <w:rFonts w:ascii="Arial" w:hAnsi="Arial"/>
          <w:i/>
          <w:color w:val="231F20"/>
          <w:spacing w:val="-6"/>
        </w:rPr>
        <w:t> </w:t>
      </w:r>
      <w:r>
        <w:rPr>
          <w:rFonts w:ascii="Arial" w:hAnsi="Arial"/>
          <w:i/>
          <w:color w:val="231F20"/>
        </w:rPr>
        <w:t>et</w:t>
      </w:r>
      <w:r>
        <w:rPr>
          <w:rFonts w:ascii="Arial" w:hAnsi="Arial"/>
          <w:i/>
          <w:color w:val="231F20"/>
          <w:spacing w:val="-6"/>
        </w:rPr>
        <w:t> </w:t>
      </w:r>
      <w:r>
        <w:rPr>
          <w:rFonts w:ascii="Arial" w:hAnsi="Arial"/>
          <w:i/>
          <w:color w:val="231F20"/>
        </w:rPr>
        <w:t>du</w:t>
      </w:r>
      <w:r>
        <w:rPr>
          <w:rFonts w:ascii="Arial" w:hAnsi="Arial"/>
          <w:i/>
          <w:color w:val="231F20"/>
          <w:spacing w:val="-6"/>
        </w:rPr>
        <w:t> </w:t>
      </w:r>
      <w:r>
        <w:rPr>
          <w:rFonts w:ascii="Arial" w:hAnsi="Arial"/>
          <w:i/>
          <w:color w:val="231F20"/>
          <w:spacing w:val="-3"/>
        </w:rPr>
        <w:t>citoyen</w:t>
      </w:r>
      <w:r>
        <w:rPr>
          <w:color w:val="231F20"/>
          <w:spacing w:val="-3"/>
        </w:rPr>
        <w:t>,</w:t>
      </w:r>
      <w:r>
        <w:rPr>
          <w:color w:val="231F20"/>
          <w:w w:val="85"/>
        </w:rPr>
        <w:t> </w:t>
      </w:r>
      <w:r>
        <w:rPr>
          <w:color w:val="231F20"/>
        </w:rPr>
        <w:t>sul continente e in America Latina, e la </w:t>
      </w:r>
      <w:r>
        <w:rPr>
          <w:rFonts w:ascii="Arial" w:hAnsi="Arial"/>
          <w:i/>
          <w:color w:val="231F20"/>
        </w:rPr>
        <w:t>Rule of Law </w:t>
      </w:r>
      <w:r>
        <w:rPr>
          <w:color w:val="231F20"/>
        </w:rPr>
        <w:t>in</w:t>
      </w:r>
      <w:r>
        <w:rPr>
          <w:color w:val="231F20"/>
          <w:spacing w:val="1"/>
        </w:rPr>
        <w:t> </w:t>
      </w:r>
      <w:r>
        <w:rPr>
          <w:color w:val="231F20"/>
        </w:rPr>
        <w:t>area</w:t>
      </w:r>
      <w:r>
        <w:rPr>
          <w:color w:val="231F20"/>
          <w:spacing w:val="3"/>
        </w:rPr>
        <w:t> </w:t>
      </w:r>
      <w:r>
        <w:rPr>
          <w:color w:val="231F20"/>
        </w:rPr>
        <w:t>anglosassone.</w:t>
      </w:r>
      <w:r>
        <w:rPr>
          <w:color w:val="231F20"/>
          <w:w w:val="101"/>
        </w:rPr>
        <w:t> </w:t>
      </w:r>
      <w:r>
        <w:rPr>
          <w:color w:val="231F20"/>
        </w:rPr>
        <w:t>In entrambe le direzioni —che corrono da sempre in</w:t>
      </w:r>
      <w:r>
        <w:rPr>
          <w:color w:val="231F20"/>
          <w:spacing w:val="20"/>
        </w:rPr>
        <w:t> </w:t>
      </w:r>
      <w:r>
        <w:rPr>
          <w:color w:val="231F20"/>
        </w:rPr>
        <w:t>parallelo—</w:t>
      </w:r>
      <w:r>
        <w:rPr>
          <w:color w:val="231F20"/>
          <w:spacing w:val="24"/>
        </w:rPr>
        <w:t> </w:t>
      </w:r>
      <w:r>
        <w:rPr>
          <w:color w:val="231F20"/>
        </w:rPr>
        <w:t>ottenne</w:t>
      </w:r>
      <w:r>
        <w:rPr>
          <w:color w:val="231F20"/>
          <w:w w:val="102"/>
        </w:rPr>
        <w:t> </w:t>
      </w:r>
      <w:r>
        <w:rPr>
          <w:color w:val="231F20"/>
        </w:rPr>
        <w:t>egemonia il ruolo del Parlamento, tabernacolo del popolo e della</w:t>
      </w:r>
      <w:r>
        <w:rPr>
          <w:color w:val="231F20"/>
          <w:spacing w:val="62"/>
        </w:rPr>
        <w:t> </w:t>
      </w:r>
      <w:r>
        <w:rPr>
          <w:color w:val="231F20"/>
        </w:rPr>
        <w:t>legge</w:t>
      </w:r>
      <w:r>
        <w:rPr>
          <w:color w:val="231F20"/>
          <w:spacing w:val="12"/>
        </w:rPr>
        <w:t> </w:t>
      </w:r>
      <w:r>
        <w:rPr>
          <w:color w:val="231F20"/>
        </w:rPr>
        <w:t>e,</w:t>
      </w:r>
      <w:r>
        <w:rPr>
          <w:color w:val="231F20"/>
          <w:w w:val="98"/>
        </w:rPr>
        <w:t> </w:t>
      </w:r>
      <w:r>
        <w:rPr>
          <w:color w:val="231F20"/>
        </w:rPr>
        <w:t>di mera conseguenza, della sovranità dell’uno come dell’altra. Fu</w:t>
      </w:r>
      <w:r>
        <w:rPr>
          <w:color w:val="231F20"/>
          <w:spacing w:val="13"/>
        </w:rPr>
        <w:t> </w:t>
      </w:r>
      <w:r>
        <w:rPr>
          <w:color w:val="231F20"/>
        </w:rPr>
        <w:t>anche,</w:t>
      </w:r>
      <w:r>
        <w:rPr>
          <w:color w:val="231F20"/>
          <w:spacing w:val="1"/>
        </w:rPr>
        <w:t> </w:t>
      </w:r>
      <w:r>
        <w:rPr>
          <w:color w:val="231F20"/>
        </w:rPr>
        <w:t>in</w:t>
      </w:r>
      <w:r>
        <w:rPr>
          <w:color w:val="231F20"/>
          <w:w w:val="101"/>
        </w:rPr>
        <w:t> </w:t>
      </w:r>
      <w:r>
        <w:rPr>
          <w:color w:val="231F20"/>
        </w:rPr>
        <w:t>ogni caso, la definitiva apertura della politica al resto mondo (e</w:t>
      </w:r>
      <w:r>
        <w:rPr>
          <w:color w:val="231F20"/>
          <w:spacing w:val="63"/>
        </w:rPr>
        <w:t> </w:t>
      </w:r>
      <w:r>
        <w:rPr>
          <w:color w:val="231F20"/>
        </w:rPr>
        <w:t>di</w:t>
      </w:r>
      <w:r>
        <w:rPr>
          <w:color w:val="231F20"/>
          <w:spacing w:val="11"/>
        </w:rPr>
        <w:t> </w:t>
      </w:r>
      <w:r>
        <w:rPr>
          <w:color w:val="231F20"/>
        </w:rPr>
        <w:t>questo</w:t>
      </w:r>
      <w:r>
        <w:rPr>
          <w:color w:val="231F20"/>
          <w:w w:val="103"/>
        </w:rPr>
        <w:t> </w:t>
      </w:r>
      <w:r>
        <w:rPr>
          <w:color w:val="231F20"/>
        </w:rPr>
        <w:t>alla politica), con l’inizio di una mondializzazione dello Stato</w:t>
      </w:r>
      <w:r>
        <w:rPr>
          <w:color w:val="231F20"/>
          <w:spacing w:val="13"/>
        </w:rPr>
        <w:t> </w:t>
      </w:r>
      <w:r>
        <w:rPr>
          <w:color w:val="231F20"/>
        </w:rPr>
        <w:t>che</w:t>
      </w:r>
      <w:r>
        <w:rPr>
          <w:color w:val="231F20"/>
          <w:spacing w:val="23"/>
        </w:rPr>
        <w:t> </w:t>
      </w:r>
      <w:r>
        <w:rPr>
          <w:color w:val="231F20"/>
        </w:rPr>
        <w:t>sembra</w:t>
      </w:r>
      <w:r>
        <w:rPr>
          <w:color w:val="231F20"/>
          <w:w w:val="101"/>
        </w:rPr>
        <w:t> </w:t>
      </w:r>
      <w:r>
        <w:rPr>
          <w:color w:val="231F20"/>
        </w:rPr>
        <w:t>non ancora compiuta. Non ancora globalizzazione, certo, ma</w:t>
      </w:r>
      <w:r>
        <w:rPr>
          <w:color w:val="231F20"/>
          <w:spacing w:val="18"/>
        </w:rPr>
        <w:t> </w:t>
      </w:r>
      <w:r>
        <w:rPr>
          <w:color w:val="231F20"/>
        </w:rPr>
        <w:t>imperialismo.</w:t>
      </w:r>
    </w:p>
    <w:p>
      <w:pPr>
        <w:pStyle w:val="BodyText"/>
        <w:spacing w:line="247" w:lineRule="auto"/>
        <w:ind w:left="117" w:right="121" w:firstLine="566"/>
        <w:jc w:val="both"/>
      </w:pPr>
      <w:r>
        <w:rPr>
          <w:color w:val="231F20"/>
          <w:w w:val="105"/>
        </w:rPr>
        <w:t>Per</w:t>
      </w:r>
      <w:r>
        <w:rPr>
          <w:color w:val="231F20"/>
          <w:spacing w:val="-32"/>
          <w:w w:val="105"/>
        </w:rPr>
        <w:t> </w:t>
      </w:r>
      <w:r>
        <w:rPr>
          <w:color w:val="231F20"/>
          <w:w w:val="105"/>
        </w:rPr>
        <w:t>molti</w:t>
      </w:r>
      <w:r>
        <w:rPr>
          <w:color w:val="231F20"/>
          <w:spacing w:val="-32"/>
          <w:w w:val="105"/>
        </w:rPr>
        <w:t> </w:t>
      </w:r>
      <w:r>
        <w:rPr>
          <w:color w:val="231F20"/>
          <w:w w:val="105"/>
        </w:rPr>
        <w:t>studiosi,</w:t>
      </w:r>
      <w:r>
        <w:rPr>
          <w:color w:val="231F20"/>
          <w:spacing w:val="-32"/>
          <w:w w:val="105"/>
        </w:rPr>
        <w:t> </w:t>
      </w:r>
      <w:r>
        <w:rPr>
          <w:color w:val="231F20"/>
          <w:w w:val="105"/>
        </w:rPr>
        <w:t>lo</w:t>
      </w:r>
      <w:r>
        <w:rPr>
          <w:color w:val="231F20"/>
          <w:spacing w:val="-32"/>
          <w:w w:val="105"/>
        </w:rPr>
        <w:t> </w:t>
      </w:r>
      <w:r>
        <w:rPr>
          <w:color w:val="231F20"/>
          <w:w w:val="105"/>
        </w:rPr>
        <w:t>Stato</w:t>
      </w:r>
      <w:r>
        <w:rPr>
          <w:color w:val="231F20"/>
          <w:spacing w:val="-32"/>
          <w:w w:val="105"/>
        </w:rPr>
        <w:t> </w:t>
      </w:r>
      <w:r>
        <w:rPr>
          <w:color w:val="231F20"/>
          <w:w w:val="105"/>
        </w:rPr>
        <w:t>costituzionale</w:t>
      </w:r>
      <w:r>
        <w:rPr>
          <w:color w:val="231F20"/>
          <w:spacing w:val="-32"/>
          <w:w w:val="105"/>
        </w:rPr>
        <w:t> </w:t>
      </w:r>
      <w:r>
        <w:rPr>
          <w:color w:val="231F20"/>
          <w:w w:val="105"/>
        </w:rPr>
        <w:t>post-rivoluzionario</w:t>
      </w:r>
      <w:r>
        <w:rPr>
          <w:color w:val="231F20"/>
          <w:spacing w:val="-32"/>
          <w:w w:val="105"/>
        </w:rPr>
        <w:t> </w:t>
      </w:r>
      <w:r>
        <w:rPr>
          <w:color w:val="231F20"/>
          <w:w w:val="105"/>
        </w:rPr>
        <w:t>è</w:t>
      </w:r>
      <w:r>
        <w:rPr>
          <w:color w:val="231F20"/>
          <w:spacing w:val="-32"/>
          <w:w w:val="105"/>
        </w:rPr>
        <w:t> </w:t>
      </w:r>
      <w:r>
        <w:rPr>
          <w:color w:val="231F20"/>
          <w:w w:val="105"/>
        </w:rPr>
        <w:t>il</w:t>
      </w:r>
      <w:r>
        <w:rPr>
          <w:color w:val="231F20"/>
          <w:spacing w:val="-32"/>
          <w:w w:val="105"/>
        </w:rPr>
        <w:t> </w:t>
      </w:r>
      <w:r>
        <w:rPr>
          <w:color w:val="231F20"/>
          <w:w w:val="105"/>
        </w:rPr>
        <w:t>vero e</w:t>
      </w:r>
      <w:r>
        <w:rPr>
          <w:color w:val="231F20"/>
          <w:spacing w:val="-32"/>
          <w:w w:val="105"/>
        </w:rPr>
        <w:t> </w:t>
      </w:r>
      <w:r>
        <w:rPr>
          <w:color w:val="231F20"/>
          <w:w w:val="105"/>
        </w:rPr>
        <w:t>unico</w:t>
      </w:r>
      <w:r>
        <w:rPr>
          <w:color w:val="231F20"/>
          <w:spacing w:val="-32"/>
          <w:w w:val="105"/>
        </w:rPr>
        <w:t> </w:t>
      </w:r>
      <w:r>
        <w:rPr>
          <w:color w:val="231F20"/>
          <w:w w:val="105"/>
        </w:rPr>
        <w:t>Stato</w:t>
      </w:r>
      <w:r>
        <w:rPr>
          <w:color w:val="231F20"/>
          <w:spacing w:val="-32"/>
          <w:w w:val="105"/>
        </w:rPr>
        <w:t> </w:t>
      </w:r>
      <w:r>
        <w:rPr>
          <w:color w:val="231F20"/>
          <w:w w:val="105"/>
        </w:rPr>
        <w:t>“moderno”,</w:t>
      </w:r>
      <w:r>
        <w:rPr>
          <w:color w:val="231F20"/>
          <w:spacing w:val="-32"/>
          <w:w w:val="105"/>
        </w:rPr>
        <w:t> </w:t>
      </w:r>
      <w:r>
        <w:rPr>
          <w:color w:val="231F20"/>
          <w:w w:val="105"/>
        </w:rPr>
        <w:t>affrancato</w:t>
      </w:r>
      <w:r>
        <w:rPr>
          <w:color w:val="231F20"/>
          <w:spacing w:val="-32"/>
          <w:w w:val="105"/>
        </w:rPr>
        <w:t> </w:t>
      </w:r>
      <w:r>
        <w:rPr>
          <w:color w:val="231F20"/>
          <w:w w:val="105"/>
        </w:rPr>
        <w:t>dai</w:t>
      </w:r>
      <w:r>
        <w:rPr>
          <w:color w:val="231F20"/>
          <w:spacing w:val="-32"/>
          <w:w w:val="105"/>
        </w:rPr>
        <w:t> </w:t>
      </w:r>
      <w:r>
        <w:rPr>
          <w:color w:val="231F20"/>
          <w:w w:val="105"/>
        </w:rPr>
        <w:t>limiti</w:t>
      </w:r>
      <w:r>
        <w:rPr>
          <w:color w:val="231F20"/>
          <w:spacing w:val="-32"/>
          <w:w w:val="105"/>
        </w:rPr>
        <w:t> </w:t>
      </w:r>
      <w:r>
        <w:rPr>
          <w:color w:val="231F20"/>
          <w:w w:val="105"/>
        </w:rPr>
        <w:t>dell’assolutismo</w:t>
      </w:r>
      <w:r>
        <w:rPr>
          <w:color w:val="231F20"/>
          <w:spacing w:val="-32"/>
          <w:w w:val="105"/>
        </w:rPr>
        <w:t> </w:t>
      </w:r>
      <w:r>
        <w:rPr>
          <w:color w:val="231F20"/>
          <w:w w:val="105"/>
        </w:rPr>
        <w:t>monarchico e</w:t>
      </w:r>
      <w:r>
        <w:rPr>
          <w:color w:val="231F20"/>
          <w:spacing w:val="-24"/>
          <w:w w:val="105"/>
        </w:rPr>
        <w:t> </w:t>
      </w:r>
      <w:r>
        <w:rPr>
          <w:color w:val="231F20"/>
          <w:w w:val="105"/>
        </w:rPr>
        <w:t>benedetto</w:t>
      </w:r>
      <w:r>
        <w:rPr>
          <w:color w:val="231F20"/>
          <w:spacing w:val="-24"/>
          <w:w w:val="105"/>
        </w:rPr>
        <w:t> </w:t>
      </w:r>
      <w:r>
        <w:rPr>
          <w:color w:val="231F20"/>
          <w:w w:val="105"/>
        </w:rPr>
        <w:t>dalla</w:t>
      </w:r>
      <w:r>
        <w:rPr>
          <w:color w:val="231F20"/>
          <w:spacing w:val="-24"/>
          <w:w w:val="105"/>
        </w:rPr>
        <w:t> </w:t>
      </w:r>
      <w:r>
        <w:rPr>
          <w:color w:val="231F20"/>
          <w:w w:val="105"/>
        </w:rPr>
        <w:t>costituzione</w:t>
      </w:r>
      <w:r>
        <w:rPr>
          <w:color w:val="231F20"/>
          <w:spacing w:val="-24"/>
          <w:w w:val="105"/>
        </w:rPr>
        <w:t> </w:t>
      </w:r>
      <w:r>
        <w:rPr>
          <w:color w:val="231F20"/>
          <w:w w:val="105"/>
        </w:rPr>
        <w:t>liberale,</w:t>
      </w:r>
      <w:r>
        <w:rPr>
          <w:color w:val="231F20"/>
          <w:spacing w:val="-24"/>
          <w:w w:val="105"/>
        </w:rPr>
        <w:t> </w:t>
      </w:r>
      <w:r>
        <w:rPr>
          <w:color w:val="231F20"/>
          <w:w w:val="105"/>
        </w:rPr>
        <w:t>oltre</w:t>
      </w:r>
      <w:r>
        <w:rPr>
          <w:color w:val="231F20"/>
          <w:spacing w:val="-24"/>
          <w:w w:val="105"/>
        </w:rPr>
        <w:t> </w:t>
      </w:r>
      <w:r>
        <w:rPr>
          <w:color w:val="231F20"/>
          <w:w w:val="105"/>
        </w:rPr>
        <w:t>che</w:t>
      </w:r>
      <w:r>
        <w:rPr>
          <w:color w:val="231F20"/>
          <w:spacing w:val="-24"/>
          <w:w w:val="105"/>
        </w:rPr>
        <w:t> </w:t>
      </w:r>
      <w:r>
        <w:rPr>
          <w:color w:val="231F20"/>
          <w:w w:val="105"/>
        </w:rPr>
        <w:t>inquadrato</w:t>
      </w:r>
      <w:r>
        <w:rPr>
          <w:color w:val="231F20"/>
          <w:spacing w:val="-24"/>
          <w:w w:val="105"/>
        </w:rPr>
        <w:t> </w:t>
      </w:r>
      <w:r>
        <w:rPr>
          <w:color w:val="231F20"/>
          <w:w w:val="105"/>
        </w:rPr>
        <w:t>nel</w:t>
      </w:r>
      <w:r>
        <w:rPr>
          <w:color w:val="231F20"/>
          <w:spacing w:val="-24"/>
          <w:w w:val="105"/>
        </w:rPr>
        <w:t> </w:t>
      </w:r>
      <w:r>
        <w:rPr>
          <w:color w:val="231F20"/>
          <w:w w:val="105"/>
        </w:rPr>
        <w:t>maestoso processo</w:t>
      </w:r>
      <w:r>
        <w:rPr>
          <w:color w:val="231F20"/>
          <w:spacing w:val="-31"/>
          <w:w w:val="105"/>
        </w:rPr>
        <w:t> </w:t>
      </w:r>
      <w:r>
        <w:rPr>
          <w:color w:val="231F20"/>
          <w:w w:val="105"/>
        </w:rPr>
        <w:t>di</w:t>
      </w:r>
      <w:r>
        <w:rPr>
          <w:color w:val="231F20"/>
          <w:spacing w:val="-31"/>
          <w:w w:val="105"/>
        </w:rPr>
        <w:t> </w:t>
      </w:r>
      <w:r>
        <w:rPr>
          <w:rFonts w:ascii="Arial" w:hAnsi="Arial"/>
          <w:i/>
          <w:color w:val="231F20"/>
          <w:w w:val="105"/>
        </w:rPr>
        <w:t>nation–building</w:t>
      </w:r>
      <w:r>
        <w:rPr>
          <w:color w:val="231F20"/>
          <w:w w:val="105"/>
        </w:rPr>
        <w:t>,</w:t>
      </w:r>
      <w:r>
        <w:rPr>
          <w:color w:val="231F20"/>
          <w:spacing w:val="-31"/>
          <w:w w:val="105"/>
        </w:rPr>
        <w:t> </w:t>
      </w:r>
      <w:r>
        <w:rPr>
          <w:color w:val="231F20"/>
          <w:w w:val="105"/>
        </w:rPr>
        <w:t>con</w:t>
      </w:r>
      <w:r>
        <w:rPr>
          <w:color w:val="231F20"/>
          <w:spacing w:val="-31"/>
          <w:w w:val="105"/>
        </w:rPr>
        <w:t> </w:t>
      </w:r>
      <w:r>
        <w:rPr>
          <w:color w:val="231F20"/>
          <w:w w:val="105"/>
        </w:rPr>
        <w:t>tutte</w:t>
      </w:r>
      <w:r>
        <w:rPr>
          <w:color w:val="231F20"/>
          <w:spacing w:val="-31"/>
          <w:w w:val="105"/>
        </w:rPr>
        <w:t> </w:t>
      </w:r>
      <w:r>
        <w:rPr>
          <w:color w:val="231F20"/>
          <w:w w:val="105"/>
        </w:rPr>
        <w:t>le</w:t>
      </w:r>
      <w:r>
        <w:rPr>
          <w:color w:val="231F20"/>
          <w:spacing w:val="-31"/>
          <w:w w:val="105"/>
        </w:rPr>
        <w:t> </w:t>
      </w:r>
      <w:r>
        <w:rPr>
          <w:color w:val="231F20"/>
          <w:w w:val="105"/>
        </w:rPr>
        <w:t>sue</w:t>
      </w:r>
      <w:r>
        <w:rPr>
          <w:color w:val="231F20"/>
          <w:spacing w:val="-31"/>
          <w:w w:val="105"/>
        </w:rPr>
        <w:t> </w:t>
      </w:r>
      <w:r>
        <w:rPr>
          <w:color w:val="231F20"/>
          <w:w w:val="105"/>
        </w:rPr>
        <w:t>gloriose</w:t>
      </w:r>
      <w:r>
        <w:rPr>
          <w:color w:val="231F20"/>
          <w:spacing w:val="-31"/>
          <w:w w:val="105"/>
        </w:rPr>
        <w:t> </w:t>
      </w:r>
      <w:r>
        <w:rPr>
          <w:color w:val="231F20"/>
          <w:w w:val="105"/>
        </w:rPr>
        <w:t>lotte</w:t>
      </w:r>
      <w:r>
        <w:rPr>
          <w:color w:val="231F20"/>
          <w:spacing w:val="-31"/>
          <w:w w:val="105"/>
        </w:rPr>
        <w:t> </w:t>
      </w:r>
      <w:r>
        <w:rPr>
          <w:color w:val="231F20"/>
          <w:w w:val="105"/>
        </w:rPr>
        <w:t>di</w:t>
      </w:r>
      <w:r>
        <w:rPr>
          <w:color w:val="231F20"/>
          <w:spacing w:val="-31"/>
          <w:w w:val="105"/>
        </w:rPr>
        <w:t> </w:t>
      </w:r>
      <w:r>
        <w:rPr>
          <w:color w:val="231F20"/>
          <w:w w:val="105"/>
        </w:rPr>
        <w:t>indipendenza</w:t>
      </w:r>
    </w:p>
    <w:p>
      <w:pPr>
        <w:spacing w:after="0" w:line="247" w:lineRule="auto"/>
        <w:jc w:val="both"/>
        <w:sectPr>
          <w:pgSz w:w="9640" w:h="13890"/>
          <w:pgMar w:top="0" w:bottom="280" w:left="1300" w:right="1180"/>
        </w:sectPr>
      </w:pPr>
    </w:p>
    <w:p>
      <w:pPr>
        <w:pStyle w:val="BodyText"/>
        <w:spacing w:line="247" w:lineRule="auto" w:before="107"/>
        <w:ind w:left="103" w:right="109"/>
        <w:jc w:val="both"/>
      </w:pPr>
      <w:r>
        <w:rPr>
          <w:color w:val="231F20"/>
          <w:w w:val="105"/>
        </w:rPr>
        <w:t>e</w:t>
      </w:r>
      <w:r>
        <w:rPr>
          <w:color w:val="231F20"/>
          <w:spacing w:val="-14"/>
          <w:w w:val="105"/>
        </w:rPr>
        <w:t> </w:t>
      </w:r>
      <w:r>
        <w:rPr>
          <w:color w:val="231F20"/>
          <w:w w:val="105"/>
        </w:rPr>
        <w:t>di</w:t>
      </w:r>
      <w:r>
        <w:rPr>
          <w:color w:val="231F20"/>
          <w:spacing w:val="-14"/>
          <w:w w:val="105"/>
        </w:rPr>
        <w:t> </w:t>
      </w:r>
      <w:r>
        <w:rPr>
          <w:color w:val="231F20"/>
          <w:w w:val="105"/>
        </w:rPr>
        <w:t>unificazione,</w:t>
      </w:r>
      <w:r>
        <w:rPr>
          <w:color w:val="231F20"/>
          <w:spacing w:val="-14"/>
          <w:w w:val="105"/>
        </w:rPr>
        <w:t> </w:t>
      </w:r>
      <w:r>
        <w:rPr>
          <w:color w:val="231F20"/>
          <w:w w:val="105"/>
        </w:rPr>
        <w:t>appunto,</w:t>
      </w:r>
      <w:r>
        <w:rPr>
          <w:color w:val="231F20"/>
          <w:spacing w:val="-14"/>
          <w:w w:val="105"/>
        </w:rPr>
        <w:t> </w:t>
      </w:r>
      <w:r>
        <w:rPr>
          <w:color w:val="231F20"/>
          <w:w w:val="105"/>
        </w:rPr>
        <w:t>nazionale</w:t>
      </w:r>
      <w:r>
        <w:rPr>
          <w:color w:val="231F20"/>
          <w:spacing w:val="-14"/>
          <w:w w:val="105"/>
        </w:rPr>
        <w:t> </w:t>
      </w:r>
      <w:r>
        <w:rPr>
          <w:color w:val="231F20"/>
          <w:w w:val="105"/>
        </w:rPr>
        <w:t>e</w:t>
      </w:r>
      <w:r>
        <w:rPr>
          <w:color w:val="231F20"/>
          <w:spacing w:val="-14"/>
          <w:w w:val="105"/>
        </w:rPr>
        <w:t> </w:t>
      </w:r>
      <w:r>
        <w:rPr>
          <w:color w:val="231F20"/>
          <w:w w:val="105"/>
        </w:rPr>
        <w:t>correttamente</w:t>
      </w:r>
      <w:r>
        <w:rPr>
          <w:color w:val="231F20"/>
          <w:spacing w:val="-14"/>
          <w:w w:val="105"/>
        </w:rPr>
        <w:t> </w:t>
      </w:r>
      <w:r>
        <w:rPr>
          <w:color w:val="231F20"/>
          <w:w w:val="105"/>
        </w:rPr>
        <w:t>(ideologicamente) </w:t>
      </w:r>
      <w:r>
        <w:rPr>
          <w:color w:val="231F20"/>
          <w:spacing w:val="4"/>
          <w:w w:val="105"/>
        </w:rPr>
        <w:t>definibile </w:t>
      </w:r>
      <w:r>
        <w:rPr>
          <w:color w:val="231F20"/>
          <w:spacing w:val="3"/>
          <w:w w:val="105"/>
        </w:rPr>
        <w:t>come processo </w:t>
      </w:r>
      <w:r>
        <w:rPr>
          <w:color w:val="231F20"/>
          <w:spacing w:val="2"/>
          <w:w w:val="105"/>
        </w:rPr>
        <w:t>di </w:t>
      </w:r>
      <w:r>
        <w:rPr>
          <w:color w:val="231F20"/>
          <w:spacing w:val="4"/>
          <w:w w:val="105"/>
        </w:rPr>
        <w:t>costruzione </w:t>
      </w:r>
      <w:r>
        <w:rPr>
          <w:color w:val="231F20"/>
          <w:spacing w:val="2"/>
          <w:w w:val="105"/>
        </w:rPr>
        <w:t>di un </w:t>
      </w:r>
      <w:r>
        <w:rPr>
          <w:color w:val="231F20"/>
          <w:spacing w:val="4"/>
          <w:w w:val="105"/>
        </w:rPr>
        <w:t>ordinamento </w:t>
      </w:r>
      <w:r>
        <w:rPr>
          <w:color w:val="231F20"/>
          <w:spacing w:val="5"/>
          <w:w w:val="105"/>
        </w:rPr>
        <w:t>statuale </w:t>
      </w:r>
      <w:r>
        <w:rPr>
          <w:color w:val="231F20"/>
          <w:w w:val="105"/>
        </w:rPr>
        <w:t>democratico:</w:t>
      </w:r>
      <w:r>
        <w:rPr>
          <w:color w:val="231F20"/>
          <w:spacing w:val="-40"/>
          <w:w w:val="105"/>
        </w:rPr>
        <w:t> </w:t>
      </w:r>
      <w:r>
        <w:rPr>
          <w:color w:val="231F20"/>
          <w:w w:val="105"/>
        </w:rPr>
        <w:t>dottrina</w:t>
      </w:r>
      <w:r>
        <w:rPr>
          <w:color w:val="231F20"/>
          <w:spacing w:val="-40"/>
          <w:w w:val="105"/>
        </w:rPr>
        <w:t> </w:t>
      </w:r>
      <w:r>
        <w:rPr>
          <w:color w:val="231F20"/>
          <w:w w:val="105"/>
        </w:rPr>
        <w:t>(anche</w:t>
      </w:r>
      <w:r>
        <w:rPr>
          <w:color w:val="231F20"/>
          <w:spacing w:val="-40"/>
          <w:w w:val="105"/>
        </w:rPr>
        <w:t> </w:t>
      </w:r>
      <w:r>
        <w:rPr>
          <w:color w:val="231F20"/>
          <w:w w:val="105"/>
        </w:rPr>
        <w:t>se</w:t>
      </w:r>
      <w:r>
        <w:rPr>
          <w:color w:val="231F20"/>
          <w:spacing w:val="-40"/>
          <w:w w:val="105"/>
        </w:rPr>
        <w:t> </w:t>
      </w:r>
      <w:r>
        <w:rPr>
          <w:color w:val="231F20"/>
          <w:w w:val="105"/>
        </w:rPr>
        <w:t>non</w:t>
      </w:r>
      <w:r>
        <w:rPr>
          <w:color w:val="231F20"/>
          <w:spacing w:val="-40"/>
          <w:w w:val="105"/>
        </w:rPr>
        <w:t> </w:t>
      </w:r>
      <w:r>
        <w:rPr>
          <w:color w:val="231F20"/>
          <w:w w:val="105"/>
        </w:rPr>
        <w:t>dovunque</w:t>
      </w:r>
      <w:r>
        <w:rPr>
          <w:color w:val="231F20"/>
          <w:spacing w:val="-40"/>
          <w:w w:val="105"/>
        </w:rPr>
        <w:t> </w:t>
      </w:r>
      <w:r>
        <w:rPr>
          <w:color w:val="231F20"/>
          <w:w w:val="105"/>
        </w:rPr>
        <w:t>pratica)</w:t>
      </w:r>
      <w:r>
        <w:rPr>
          <w:color w:val="231F20"/>
          <w:spacing w:val="-40"/>
          <w:w w:val="105"/>
        </w:rPr>
        <w:t> </w:t>
      </w:r>
      <w:r>
        <w:rPr>
          <w:color w:val="231F20"/>
          <w:w w:val="105"/>
        </w:rPr>
        <w:t>che</w:t>
      </w:r>
      <w:r>
        <w:rPr>
          <w:color w:val="231F20"/>
          <w:spacing w:val="-40"/>
          <w:w w:val="105"/>
        </w:rPr>
        <w:t> </w:t>
      </w:r>
      <w:r>
        <w:rPr>
          <w:color w:val="231F20"/>
          <w:w w:val="105"/>
        </w:rPr>
        <w:t>si</w:t>
      </w:r>
      <w:r>
        <w:rPr>
          <w:color w:val="231F20"/>
          <w:spacing w:val="-40"/>
          <w:w w:val="105"/>
        </w:rPr>
        <w:t> </w:t>
      </w:r>
      <w:r>
        <w:rPr>
          <w:color w:val="231F20"/>
          <w:w w:val="105"/>
        </w:rPr>
        <w:t>è</w:t>
      </w:r>
      <w:r>
        <w:rPr>
          <w:color w:val="231F20"/>
          <w:spacing w:val="-40"/>
          <w:w w:val="105"/>
        </w:rPr>
        <w:t> </w:t>
      </w:r>
      <w:r>
        <w:rPr>
          <w:color w:val="231F20"/>
          <w:w w:val="105"/>
        </w:rPr>
        <w:t>mantenuta efficace fino ad oggi, grazie alla coniugazione del principio democratico in </w:t>
      </w:r>
      <w:r>
        <w:rPr>
          <w:color w:val="231F20"/>
          <w:spacing w:val="3"/>
          <w:w w:val="105"/>
        </w:rPr>
        <w:t>termini </w:t>
      </w:r>
      <w:r>
        <w:rPr>
          <w:color w:val="231F20"/>
          <w:w w:val="105"/>
        </w:rPr>
        <w:t>di </w:t>
      </w:r>
      <w:r>
        <w:rPr>
          <w:color w:val="231F20"/>
          <w:spacing w:val="3"/>
          <w:w w:val="105"/>
        </w:rPr>
        <w:t>maggioranza. </w:t>
      </w:r>
      <w:r>
        <w:rPr>
          <w:color w:val="231F20"/>
          <w:w w:val="105"/>
        </w:rPr>
        <w:t>E </w:t>
      </w:r>
      <w:r>
        <w:rPr>
          <w:color w:val="231F20"/>
          <w:spacing w:val="2"/>
          <w:w w:val="105"/>
        </w:rPr>
        <w:t>qui </w:t>
      </w:r>
      <w:r>
        <w:rPr>
          <w:color w:val="231F20"/>
          <w:spacing w:val="3"/>
          <w:w w:val="105"/>
        </w:rPr>
        <w:t>siamo </w:t>
      </w:r>
      <w:r>
        <w:rPr>
          <w:color w:val="231F20"/>
          <w:w w:val="105"/>
        </w:rPr>
        <w:t>al </w:t>
      </w:r>
      <w:r>
        <w:rPr>
          <w:color w:val="231F20"/>
          <w:spacing w:val="3"/>
          <w:w w:val="105"/>
        </w:rPr>
        <w:t>punto, </w:t>
      </w:r>
      <w:r>
        <w:rPr>
          <w:color w:val="231F20"/>
          <w:spacing w:val="2"/>
          <w:w w:val="105"/>
        </w:rPr>
        <w:t>perché </w:t>
      </w:r>
      <w:r>
        <w:rPr>
          <w:color w:val="231F20"/>
          <w:spacing w:val="3"/>
          <w:w w:val="105"/>
        </w:rPr>
        <w:t>tocchiamo </w:t>
      </w:r>
      <w:r>
        <w:rPr>
          <w:color w:val="231F20"/>
          <w:spacing w:val="4"/>
          <w:w w:val="105"/>
        </w:rPr>
        <w:t>il </w:t>
      </w:r>
      <w:r>
        <w:rPr>
          <w:color w:val="231F20"/>
          <w:w w:val="105"/>
        </w:rPr>
        <w:t>problema della legittimità del potere che era stato esattamente </w:t>
      </w:r>
      <w:r>
        <w:rPr>
          <w:color w:val="231F20"/>
          <w:spacing w:val="2"/>
          <w:w w:val="105"/>
        </w:rPr>
        <w:t>quello </w:t>
      </w:r>
      <w:r>
        <w:rPr>
          <w:color w:val="231F20"/>
          <w:w w:val="105"/>
        </w:rPr>
        <w:t>che</w:t>
      </w:r>
      <w:r>
        <w:rPr>
          <w:color w:val="231F20"/>
          <w:spacing w:val="-21"/>
          <w:w w:val="105"/>
        </w:rPr>
        <w:t> </w:t>
      </w:r>
      <w:r>
        <w:rPr>
          <w:color w:val="231F20"/>
          <w:w w:val="105"/>
        </w:rPr>
        <w:t>aveva</w:t>
      </w:r>
      <w:r>
        <w:rPr>
          <w:color w:val="231F20"/>
          <w:spacing w:val="-21"/>
          <w:w w:val="105"/>
        </w:rPr>
        <w:t> </w:t>
      </w:r>
      <w:r>
        <w:rPr>
          <w:color w:val="231F20"/>
          <w:w w:val="105"/>
        </w:rPr>
        <w:t>fatto</w:t>
      </w:r>
      <w:r>
        <w:rPr>
          <w:color w:val="231F20"/>
          <w:spacing w:val="-21"/>
          <w:w w:val="105"/>
        </w:rPr>
        <w:t> </w:t>
      </w:r>
      <w:r>
        <w:rPr>
          <w:color w:val="231F20"/>
          <w:w w:val="105"/>
        </w:rPr>
        <w:t>scattare</w:t>
      </w:r>
      <w:r>
        <w:rPr>
          <w:color w:val="231F20"/>
          <w:spacing w:val="-21"/>
          <w:w w:val="105"/>
        </w:rPr>
        <w:t> </w:t>
      </w:r>
      <w:r>
        <w:rPr>
          <w:color w:val="231F20"/>
          <w:w w:val="105"/>
        </w:rPr>
        <w:t>il</w:t>
      </w:r>
      <w:r>
        <w:rPr>
          <w:color w:val="231F20"/>
          <w:spacing w:val="-21"/>
          <w:w w:val="105"/>
        </w:rPr>
        <w:t> </w:t>
      </w:r>
      <w:r>
        <w:rPr>
          <w:color w:val="231F20"/>
          <w:w w:val="105"/>
        </w:rPr>
        <w:t>momento</w:t>
      </w:r>
      <w:r>
        <w:rPr>
          <w:color w:val="231F20"/>
          <w:spacing w:val="-21"/>
          <w:w w:val="105"/>
        </w:rPr>
        <w:t> </w:t>
      </w:r>
      <w:r>
        <w:rPr>
          <w:color w:val="231F20"/>
          <w:w w:val="105"/>
        </w:rPr>
        <w:t>rivoluzionario</w:t>
      </w:r>
      <w:r>
        <w:rPr>
          <w:color w:val="231F20"/>
          <w:spacing w:val="-21"/>
          <w:w w:val="105"/>
        </w:rPr>
        <w:t> </w:t>
      </w:r>
      <w:r>
        <w:rPr>
          <w:color w:val="231F20"/>
          <w:w w:val="105"/>
        </w:rPr>
        <w:t>contro</w:t>
      </w:r>
      <w:r>
        <w:rPr>
          <w:color w:val="231F20"/>
          <w:spacing w:val="-21"/>
          <w:w w:val="105"/>
        </w:rPr>
        <w:t> </w:t>
      </w:r>
      <w:r>
        <w:rPr>
          <w:color w:val="231F20"/>
          <w:w w:val="105"/>
        </w:rPr>
        <w:t>l’antico</w:t>
      </w:r>
      <w:r>
        <w:rPr>
          <w:color w:val="231F20"/>
          <w:spacing w:val="-21"/>
          <w:w w:val="105"/>
        </w:rPr>
        <w:t> </w:t>
      </w:r>
      <w:r>
        <w:rPr>
          <w:color w:val="231F20"/>
          <w:w w:val="105"/>
        </w:rPr>
        <w:t>regime. Il</w:t>
      </w:r>
      <w:r>
        <w:rPr>
          <w:color w:val="231F20"/>
          <w:spacing w:val="-22"/>
          <w:w w:val="105"/>
        </w:rPr>
        <w:t> </w:t>
      </w:r>
      <w:r>
        <w:rPr>
          <w:color w:val="231F20"/>
          <w:w w:val="105"/>
        </w:rPr>
        <w:t>potere</w:t>
      </w:r>
      <w:r>
        <w:rPr>
          <w:color w:val="231F20"/>
          <w:spacing w:val="-22"/>
          <w:w w:val="105"/>
        </w:rPr>
        <w:t> </w:t>
      </w:r>
      <w:r>
        <w:rPr>
          <w:color w:val="231F20"/>
          <w:w w:val="105"/>
        </w:rPr>
        <w:t>spetta</w:t>
      </w:r>
      <w:r>
        <w:rPr>
          <w:color w:val="231F20"/>
          <w:spacing w:val="-22"/>
          <w:w w:val="105"/>
        </w:rPr>
        <w:t> </w:t>
      </w:r>
      <w:r>
        <w:rPr>
          <w:color w:val="231F20"/>
          <w:w w:val="105"/>
        </w:rPr>
        <w:t>al</w:t>
      </w:r>
      <w:r>
        <w:rPr>
          <w:color w:val="231F20"/>
          <w:spacing w:val="-22"/>
          <w:w w:val="105"/>
        </w:rPr>
        <w:t> </w:t>
      </w:r>
      <w:r>
        <w:rPr>
          <w:color w:val="231F20"/>
          <w:w w:val="105"/>
        </w:rPr>
        <w:t>popolo,</w:t>
      </w:r>
      <w:r>
        <w:rPr>
          <w:color w:val="231F20"/>
          <w:spacing w:val="-22"/>
          <w:w w:val="105"/>
        </w:rPr>
        <w:t> </w:t>
      </w:r>
      <w:r>
        <w:rPr>
          <w:color w:val="231F20"/>
          <w:w w:val="105"/>
        </w:rPr>
        <w:t>all’interno</w:t>
      </w:r>
      <w:r>
        <w:rPr>
          <w:color w:val="231F20"/>
          <w:spacing w:val="-22"/>
          <w:w w:val="105"/>
        </w:rPr>
        <w:t> </w:t>
      </w:r>
      <w:r>
        <w:rPr>
          <w:color w:val="231F20"/>
          <w:w w:val="105"/>
        </w:rPr>
        <w:t>della</w:t>
      </w:r>
      <w:r>
        <w:rPr>
          <w:color w:val="231F20"/>
          <w:spacing w:val="-22"/>
          <w:w w:val="105"/>
        </w:rPr>
        <w:t> </w:t>
      </w:r>
      <w:r>
        <w:rPr>
          <w:color w:val="231F20"/>
          <w:w w:val="105"/>
        </w:rPr>
        <w:t>nazione;</w:t>
      </w:r>
      <w:r>
        <w:rPr>
          <w:color w:val="231F20"/>
          <w:spacing w:val="-22"/>
          <w:w w:val="105"/>
        </w:rPr>
        <w:t> </w:t>
      </w:r>
      <w:r>
        <w:rPr>
          <w:color w:val="231F20"/>
          <w:w w:val="105"/>
        </w:rPr>
        <w:t>lo</w:t>
      </w:r>
      <w:r>
        <w:rPr>
          <w:color w:val="231F20"/>
          <w:spacing w:val="-22"/>
          <w:w w:val="105"/>
        </w:rPr>
        <w:t> </w:t>
      </w:r>
      <w:r>
        <w:rPr>
          <w:color w:val="231F20"/>
          <w:w w:val="105"/>
        </w:rPr>
        <w:t>Stato</w:t>
      </w:r>
      <w:r>
        <w:rPr>
          <w:color w:val="231F20"/>
          <w:spacing w:val="-22"/>
          <w:w w:val="105"/>
        </w:rPr>
        <w:t> </w:t>
      </w:r>
      <w:r>
        <w:rPr>
          <w:color w:val="231F20"/>
          <w:w w:val="105"/>
        </w:rPr>
        <w:t>è</w:t>
      </w:r>
      <w:r>
        <w:rPr>
          <w:color w:val="231F20"/>
          <w:spacing w:val="-22"/>
          <w:w w:val="105"/>
        </w:rPr>
        <w:t> </w:t>
      </w:r>
      <w:r>
        <w:rPr>
          <w:color w:val="231F20"/>
          <w:w w:val="105"/>
        </w:rPr>
        <w:t>la</w:t>
      </w:r>
      <w:r>
        <w:rPr>
          <w:color w:val="231F20"/>
          <w:spacing w:val="-22"/>
          <w:w w:val="105"/>
        </w:rPr>
        <w:t> </w:t>
      </w:r>
      <w:r>
        <w:rPr>
          <w:color w:val="231F20"/>
          <w:w w:val="105"/>
        </w:rPr>
        <w:t>macchina attraverso</w:t>
      </w:r>
      <w:r>
        <w:rPr>
          <w:color w:val="231F20"/>
          <w:spacing w:val="-8"/>
          <w:w w:val="105"/>
        </w:rPr>
        <w:t> </w:t>
      </w:r>
      <w:r>
        <w:rPr>
          <w:color w:val="231F20"/>
          <w:w w:val="105"/>
        </w:rPr>
        <w:t>la</w:t>
      </w:r>
      <w:r>
        <w:rPr>
          <w:color w:val="231F20"/>
          <w:spacing w:val="-8"/>
          <w:w w:val="105"/>
        </w:rPr>
        <w:t> </w:t>
      </w:r>
      <w:r>
        <w:rPr>
          <w:color w:val="231F20"/>
          <w:w w:val="105"/>
        </w:rPr>
        <w:t>quale</w:t>
      </w:r>
      <w:r>
        <w:rPr>
          <w:color w:val="231F20"/>
          <w:spacing w:val="-8"/>
          <w:w w:val="105"/>
        </w:rPr>
        <w:t> </w:t>
      </w:r>
      <w:r>
        <w:rPr>
          <w:color w:val="231F20"/>
          <w:w w:val="105"/>
        </w:rPr>
        <w:t>quel</w:t>
      </w:r>
      <w:r>
        <w:rPr>
          <w:color w:val="231F20"/>
          <w:spacing w:val="-8"/>
          <w:w w:val="105"/>
        </w:rPr>
        <w:t> </w:t>
      </w:r>
      <w:r>
        <w:rPr>
          <w:color w:val="231F20"/>
          <w:w w:val="105"/>
        </w:rPr>
        <w:t>potere</w:t>
      </w:r>
      <w:r>
        <w:rPr>
          <w:color w:val="231F20"/>
          <w:spacing w:val="-8"/>
          <w:w w:val="105"/>
        </w:rPr>
        <w:t> </w:t>
      </w:r>
      <w:r>
        <w:rPr>
          <w:color w:val="231F20"/>
          <w:w w:val="105"/>
        </w:rPr>
        <w:t>viene</w:t>
      </w:r>
      <w:r>
        <w:rPr>
          <w:color w:val="231F20"/>
          <w:spacing w:val="-8"/>
          <w:w w:val="105"/>
        </w:rPr>
        <w:t> </w:t>
      </w:r>
      <w:r>
        <w:rPr>
          <w:color w:val="231F20"/>
          <w:w w:val="105"/>
        </w:rPr>
        <w:t>esercitato;</w:t>
      </w:r>
      <w:r>
        <w:rPr>
          <w:color w:val="231F20"/>
          <w:spacing w:val="-8"/>
          <w:w w:val="105"/>
        </w:rPr>
        <w:t> </w:t>
      </w:r>
      <w:r>
        <w:rPr>
          <w:color w:val="231F20"/>
          <w:w w:val="105"/>
        </w:rPr>
        <w:t>il</w:t>
      </w:r>
      <w:r>
        <w:rPr>
          <w:color w:val="231F20"/>
          <w:spacing w:val="-8"/>
          <w:w w:val="105"/>
        </w:rPr>
        <w:t> </w:t>
      </w:r>
      <w:r>
        <w:rPr>
          <w:color w:val="231F20"/>
          <w:w w:val="105"/>
        </w:rPr>
        <w:t>diritto</w:t>
      </w:r>
      <w:r>
        <w:rPr>
          <w:color w:val="231F20"/>
          <w:spacing w:val="-8"/>
          <w:w w:val="105"/>
        </w:rPr>
        <w:t> </w:t>
      </w:r>
      <w:r>
        <w:rPr>
          <w:color w:val="231F20"/>
          <w:w w:val="105"/>
        </w:rPr>
        <w:t>è</w:t>
      </w:r>
      <w:r>
        <w:rPr>
          <w:color w:val="231F20"/>
          <w:spacing w:val="-8"/>
          <w:w w:val="105"/>
        </w:rPr>
        <w:t> </w:t>
      </w:r>
      <w:r>
        <w:rPr>
          <w:color w:val="231F20"/>
          <w:w w:val="105"/>
        </w:rPr>
        <w:t>l’elemento</w:t>
      </w:r>
      <w:r>
        <w:rPr>
          <w:color w:val="231F20"/>
          <w:spacing w:val="-8"/>
          <w:w w:val="105"/>
        </w:rPr>
        <w:t> </w:t>
      </w:r>
      <w:r>
        <w:rPr>
          <w:color w:val="231F20"/>
          <w:w w:val="105"/>
        </w:rPr>
        <w:t>di garanzia</w:t>
      </w:r>
      <w:r>
        <w:rPr>
          <w:color w:val="231F20"/>
          <w:spacing w:val="-24"/>
          <w:w w:val="105"/>
        </w:rPr>
        <w:t> </w:t>
      </w:r>
      <w:r>
        <w:rPr>
          <w:color w:val="231F20"/>
          <w:w w:val="105"/>
        </w:rPr>
        <w:t>di</w:t>
      </w:r>
      <w:r>
        <w:rPr>
          <w:color w:val="231F20"/>
          <w:spacing w:val="-24"/>
          <w:w w:val="105"/>
        </w:rPr>
        <w:t> </w:t>
      </w:r>
      <w:r>
        <w:rPr>
          <w:color w:val="231F20"/>
          <w:w w:val="105"/>
        </w:rPr>
        <w:t>quell’esercizio,</w:t>
      </w:r>
      <w:r>
        <w:rPr>
          <w:color w:val="231F20"/>
          <w:spacing w:val="-24"/>
          <w:w w:val="105"/>
        </w:rPr>
        <w:t> </w:t>
      </w:r>
      <w:r>
        <w:rPr>
          <w:color w:val="231F20"/>
          <w:w w:val="105"/>
        </w:rPr>
        <w:t>sia</w:t>
      </w:r>
      <w:r>
        <w:rPr>
          <w:color w:val="231F20"/>
          <w:spacing w:val="-24"/>
          <w:w w:val="105"/>
        </w:rPr>
        <w:t> </w:t>
      </w:r>
      <w:r>
        <w:rPr>
          <w:color w:val="231F20"/>
          <w:w w:val="105"/>
        </w:rPr>
        <w:t>per</w:t>
      </w:r>
      <w:r>
        <w:rPr>
          <w:color w:val="231F20"/>
          <w:spacing w:val="-24"/>
          <w:w w:val="105"/>
        </w:rPr>
        <w:t> </w:t>
      </w:r>
      <w:r>
        <w:rPr>
          <w:color w:val="231F20"/>
          <w:w w:val="105"/>
        </w:rPr>
        <w:t>la</w:t>
      </w:r>
      <w:r>
        <w:rPr>
          <w:color w:val="231F20"/>
          <w:spacing w:val="-24"/>
          <w:w w:val="105"/>
        </w:rPr>
        <w:t> </w:t>
      </w:r>
      <w:r>
        <w:rPr>
          <w:color w:val="231F20"/>
          <w:w w:val="105"/>
        </w:rPr>
        <w:t>superiorità</w:t>
      </w:r>
      <w:r>
        <w:rPr>
          <w:color w:val="231F20"/>
          <w:spacing w:val="-24"/>
          <w:w w:val="105"/>
        </w:rPr>
        <w:t> </w:t>
      </w:r>
      <w:r>
        <w:rPr>
          <w:color w:val="231F20"/>
          <w:w w:val="105"/>
        </w:rPr>
        <w:t>del</w:t>
      </w:r>
      <w:r>
        <w:rPr>
          <w:color w:val="231F20"/>
          <w:spacing w:val="-24"/>
          <w:w w:val="105"/>
        </w:rPr>
        <w:t> </w:t>
      </w:r>
      <w:r>
        <w:rPr>
          <w:color w:val="231F20"/>
          <w:w w:val="105"/>
        </w:rPr>
        <w:t>potere</w:t>
      </w:r>
      <w:r>
        <w:rPr>
          <w:color w:val="231F20"/>
          <w:spacing w:val="-24"/>
          <w:w w:val="105"/>
        </w:rPr>
        <w:t> </w:t>
      </w:r>
      <w:r>
        <w:rPr>
          <w:color w:val="231F20"/>
          <w:w w:val="105"/>
        </w:rPr>
        <w:t>legislativo,</w:t>
      </w:r>
      <w:r>
        <w:rPr>
          <w:color w:val="231F20"/>
          <w:spacing w:val="-24"/>
          <w:w w:val="105"/>
        </w:rPr>
        <w:t> </w:t>
      </w:r>
      <w:r>
        <w:rPr>
          <w:color w:val="231F20"/>
          <w:w w:val="105"/>
        </w:rPr>
        <w:t>che per</w:t>
      </w:r>
      <w:r>
        <w:rPr>
          <w:color w:val="231F20"/>
          <w:spacing w:val="-19"/>
          <w:w w:val="105"/>
        </w:rPr>
        <w:t> </w:t>
      </w:r>
      <w:r>
        <w:rPr>
          <w:color w:val="231F20"/>
          <w:w w:val="105"/>
        </w:rPr>
        <w:t>la</w:t>
      </w:r>
      <w:r>
        <w:rPr>
          <w:color w:val="231F20"/>
          <w:spacing w:val="-19"/>
          <w:w w:val="105"/>
        </w:rPr>
        <w:t> </w:t>
      </w:r>
      <w:r>
        <w:rPr>
          <w:color w:val="231F20"/>
          <w:w w:val="105"/>
        </w:rPr>
        <w:t>priorità</w:t>
      </w:r>
      <w:r>
        <w:rPr>
          <w:color w:val="231F20"/>
          <w:spacing w:val="-19"/>
          <w:w w:val="105"/>
        </w:rPr>
        <w:t> </w:t>
      </w:r>
      <w:r>
        <w:rPr>
          <w:color w:val="231F20"/>
          <w:w w:val="105"/>
        </w:rPr>
        <w:t>di</w:t>
      </w:r>
      <w:r>
        <w:rPr>
          <w:color w:val="231F20"/>
          <w:spacing w:val="-19"/>
          <w:w w:val="105"/>
        </w:rPr>
        <w:t> </w:t>
      </w:r>
      <w:r>
        <w:rPr>
          <w:rFonts w:ascii="Arial" w:hAnsi="Arial"/>
          <w:i/>
          <w:color w:val="231F20"/>
          <w:w w:val="105"/>
        </w:rPr>
        <w:t>human</w:t>
      </w:r>
      <w:r>
        <w:rPr>
          <w:rFonts w:ascii="Arial" w:hAnsi="Arial"/>
          <w:i/>
          <w:color w:val="231F20"/>
          <w:spacing w:val="-12"/>
          <w:w w:val="105"/>
        </w:rPr>
        <w:t> </w:t>
      </w:r>
      <w:r>
        <w:rPr>
          <w:rFonts w:ascii="Arial" w:hAnsi="Arial"/>
          <w:i/>
          <w:color w:val="231F20"/>
          <w:w w:val="105"/>
        </w:rPr>
        <w:t>rights</w:t>
      </w:r>
      <w:r>
        <w:rPr>
          <w:color w:val="231F20"/>
          <w:w w:val="105"/>
        </w:rPr>
        <w:t>.</w:t>
      </w:r>
      <w:r>
        <w:rPr>
          <w:color w:val="231F20"/>
          <w:spacing w:val="-19"/>
          <w:w w:val="105"/>
        </w:rPr>
        <w:t> </w:t>
      </w:r>
      <w:r>
        <w:rPr>
          <w:color w:val="231F20"/>
          <w:w w:val="105"/>
        </w:rPr>
        <w:t>La</w:t>
      </w:r>
      <w:r>
        <w:rPr>
          <w:color w:val="231F20"/>
          <w:spacing w:val="-19"/>
          <w:w w:val="105"/>
        </w:rPr>
        <w:t> </w:t>
      </w:r>
      <w:r>
        <w:rPr>
          <w:color w:val="231F20"/>
          <w:w w:val="105"/>
        </w:rPr>
        <w:t>costituzione</w:t>
      </w:r>
      <w:r>
        <w:rPr>
          <w:color w:val="231F20"/>
          <w:spacing w:val="-19"/>
          <w:w w:val="105"/>
        </w:rPr>
        <w:t> </w:t>
      </w:r>
      <w:r>
        <w:rPr>
          <w:color w:val="231F20"/>
          <w:w w:val="105"/>
        </w:rPr>
        <w:t>contiene</w:t>
      </w:r>
      <w:r>
        <w:rPr>
          <w:color w:val="231F20"/>
          <w:spacing w:val="-19"/>
          <w:w w:val="105"/>
        </w:rPr>
        <w:t> </w:t>
      </w:r>
      <w:r>
        <w:rPr>
          <w:color w:val="231F20"/>
          <w:w w:val="105"/>
        </w:rPr>
        <w:t>tutto</w:t>
      </w:r>
      <w:r>
        <w:rPr>
          <w:color w:val="231F20"/>
          <w:spacing w:val="-19"/>
          <w:w w:val="105"/>
        </w:rPr>
        <w:t> </w:t>
      </w:r>
      <w:r>
        <w:rPr>
          <w:color w:val="231F20"/>
          <w:w w:val="105"/>
        </w:rPr>
        <w:t>ciò;</w:t>
      </w:r>
      <w:r>
        <w:rPr>
          <w:color w:val="231F20"/>
          <w:spacing w:val="-19"/>
          <w:w w:val="105"/>
        </w:rPr>
        <w:t> </w:t>
      </w:r>
      <w:r>
        <w:rPr>
          <w:color w:val="231F20"/>
          <w:w w:val="105"/>
        </w:rPr>
        <w:t>lo</w:t>
      </w:r>
      <w:r>
        <w:rPr>
          <w:color w:val="231F20"/>
          <w:spacing w:val="-19"/>
          <w:w w:val="105"/>
        </w:rPr>
        <w:t> </w:t>
      </w:r>
      <w:r>
        <w:rPr>
          <w:color w:val="231F20"/>
          <w:w w:val="105"/>
        </w:rPr>
        <w:t>Stato “moderno”</w:t>
      </w:r>
      <w:r>
        <w:rPr>
          <w:color w:val="231F20"/>
          <w:spacing w:val="-8"/>
          <w:w w:val="105"/>
        </w:rPr>
        <w:t> </w:t>
      </w:r>
      <w:r>
        <w:rPr>
          <w:color w:val="231F20"/>
          <w:w w:val="105"/>
        </w:rPr>
        <w:t>è</w:t>
      </w:r>
      <w:r>
        <w:rPr>
          <w:color w:val="231F20"/>
          <w:spacing w:val="-8"/>
          <w:w w:val="105"/>
        </w:rPr>
        <w:t> </w:t>
      </w:r>
      <w:r>
        <w:rPr>
          <w:color w:val="231F20"/>
          <w:w w:val="105"/>
        </w:rPr>
        <w:t>Stato</w:t>
      </w:r>
      <w:r>
        <w:rPr>
          <w:color w:val="231F20"/>
          <w:spacing w:val="-8"/>
          <w:w w:val="105"/>
        </w:rPr>
        <w:t> </w:t>
      </w:r>
      <w:r>
        <w:rPr>
          <w:color w:val="231F20"/>
          <w:w w:val="105"/>
        </w:rPr>
        <w:t>costituzionale,</w:t>
      </w:r>
      <w:r>
        <w:rPr>
          <w:color w:val="231F20"/>
          <w:spacing w:val="-8"/>
          <w:w w:val="105"/>
        </w:rPr>
        <w:t> </w:t>
      </w:r>
      <w:r>
        <w:rPr>
          <w:color w:val="231F20"/>
          <w:w w:val="105"/>
        </w:rPr>
        <w:t>a</w:t>
      </w:r>
      <w:r>
        <w:rPr>
          <w:color w:val="231F20"/>
          <w:spacing w:val="-8"/>
          <w:w w:val="105"/>
        </w:rPr>
        <w:t> </w:t>
      </w:r>
      <w:r>
        <w:rPr>
          <w:color w:val="231F20"/>
          <w:w w:val="105"/>
        </w:rPr>
        <w:t>base</w:t>
      </w:r>
      <w:r>
        <w:rPr>
          <w:color w:val="231F20"/>
          <w:spacing w:val="-8"/>
          <w:w w:val="105"/>
        </w:rPr>
        <w:t> </w:t>
      </w:r>
      <w:r>
        <w:rPr>
          <w:color w:val="231F20"/>
          <w:w w:val="105"/>
        </w:rPr>
        <w:t>parlamentare</w:t>
      </w:r>
      <w:r>
        <w:rPr>
          <w:color w:val="231F20"/>
          <w:spacing w:val="-8"/>
          <w:w w:val="105"/>
        </w:rPr>
        <w:t> </w:t>
      </w:r>
      <w:r>
        <w:rPr>
          <w:color w:val="231F20"/>
          <w:w w:val="105"/>
        </w:rPr>
        <w:t>e</w:t>
      </w:r>
      <w:r>
        <w:rPr>
          <w:color w:val="231F20"/>
          <w:spacing w:val="-8"/>
          <w:w w:val="105"/>
        </w:rPr>
        <w:t> </w:t>
      </w:r>
      <w:r>
        <w:rPr>
          <w:color w:val="231F20"/>
          <w:w w:val="105"/>
        </w:rPr>
        <w:t>con</w:t>
      </w:r>
      <w:r>
        <w:rPr>
          <w:color w:val="231F20"/>
          <w:spacing w:val="-8"/>
          <w:w w:val="105"/>
        </w:rPr>
        <w:t> </w:t>
      </w:r>
      <w:r>
        <w:rPr>
          <w:color w:val="231F20"/>
          <w:w w:val="105"/>
        </w:rPr>
        <w:t>contenuto liberale.</w:t>
      </w:r>
      <w:r>
        <w:rPr>
          <w:color w:val="231F20"/>
          <w:spacing w:val="-31"/>
          <w:w w:val="105"/>
        </w:rPr>
        <w:t> </w:t>
      </w:r>
      <w:r>
        <w:rPr>
          <w:color w:val="231F20"/>
          <w:w w:val="105"/>
        </w:rPr>
        <w:t>Resta</w:t>
      </w:r>
      <w:r>
        <w:rPr>
          <w:color w:val="231F20"/>
          <w:spacing w:val="-31"/>
          <w:w w:val="105"/>
        </w:rPr>
        <w:t> </w:t>
      </w:r>
      <w:r>
        <w:rPr>
          <w:color w:val="231F20"/>
          <w:w w:val="105"/>
        </w:rPr>
        <w:t>il</w:t>
      </w:r>
      <w:r>
        <w:rPr>
          <w:color w:val="231F20"/>
          <w:spacing w:val="-31"/>
          <w:w w:val="105"/>
        </w:rPr>
        <w:t> </w:t>
      </w:r>
      <w:r>
        <w:rPr>
          <w:color w:val="231F20"/>
          <w:w w:val="105"/>
        </w:rPr>
        <w:t>problema</w:t>
      </w:r>
      <w:r>
        <w:rPr>
          <w:color w:val="231F20"/>
          <w:spacing w:val="-31"/>
          <w:w w:val="105"/>
        </w:rPr>
        <w:t> </w:t>
      </w:r>
      <w:r>
        <w:rPr>
          <w:color w:val="231F20"/>
          <w:w w:val="105"/>
        </w:rPr>
        <w:t>delle</w:t>
      </w:r>
      <w:r>
        <w:rPr>
          <w:color w:val="231F20"/>
          <w:spacing w:val="-32"/>
          <w:w w:val="105"/>
        </w:rPr>
        <w:t> </w:t>
      </w:r>
      <w:r>
        <w:rPr>
          <w:rFonts w:ascii="Arial" w:hAnsi="Arial"/>
          <w:i/>
          <w:color w:val="231F20"/>
          <w:w w:val="105"/>
        </w:rPr>
        <w:t>majorities</w:t>
      </w:r>
      <w:r>
        <w:rPr>
          <w:color w:val="231F20"/>
          <w:w w:val="105"/>
        </w:rPr>
        <w:t>:</w:t>
      </w:r>
      <w:r>
        <w:rPr>
          <w:color w:val="231F20"/>
          <w:spacing w:val="-31"/>
          <w:w w:val="105"/>
        </w:rPr>
        <w:t> </w:t>
      </w:r>
      <w:r>
        <w:rPr>
          <w:color w:val="231F20"/>
          <w:w w:val="105"/>
        </w:rPr>
        <w:t>in</w:t>
      </w:r>
      <w:r>
        <w:rPr>
          <w:color w:val="231F20"/>
          <w:spacing w:val="-31"/>
          <w:w w:val="105"/>
        </w:rPr>
        <w:t> </w:t>
      </w:r>
      <w:r>
        <w:rPr>
          <w:color w:val="231F20"/>
          <w:w w:val="105"/>
        </w:rPr>
        <w:t>questo</w:t>
      </w:r>
      <w:r>
        <w:rPr>
          <w:color w:val="231F20"/>
          <w:spacing w:val="-31"/>
          <w:w w:val="105"/>
        </w:rPr>
        <w:t> </w:t>
      </w:r>
      <w:r>
        <w:rPr>
          <w:color w:val="231F20"/>
          <w:w w:val="105"/>
        </w:rPr>
        <w:t>Stato</w:t>
      </w:r>
      <w:r>
        <w:rPr>
          <w:color w:val="231F20"/>
          <w:spacing w:val="-31"/>
          <w:w w:val="105"/>
        </w:rPr>
        <w:t> </w:t>
      </w:r>
      <w:r>
        <w:rPr>
          <w:color w:val="231F20"/>
          <w:w w:val="105"/>
        </w:rPr>
        <w:t>esse</w:t>
      </w:r>
      <w:r>
        <w:rPr>
          <w:color w:val="231F20"/>
          <w:spacing w:val="-31"/>
          <w:w w:val="105"/>
        </w:rPr>
        <w:t> </w:t>
      </w:r>
      <w:r>
        <w:rPr>
          <w:color w:val="231F20"/>
          <w:w w:val="105"/>
        </w:rPr>
        <w:t>sono</w:t>
      </w:r>
      <w:r>
        <w:rPr>
          <w:color w:val="231F20"/>
          <w:spacing w:val="-31"/>
          <w:w w:val="105"/>
        </w:rPr>
        <w:t> </w:t>
      </w:r>
      <w:r>
        <w:rPr>
          <w:color w:val="231F20"/>
          <w:w w:val="105"/>
        </w:rPr>
        <w:t>state inequivocabilmente</w:t>
      </w:r>
      <w:r>
        <w:rPr>
          <w:color w:val="231F20"/>
          <w:spacing w:val="-35"/>
          <w:w w:val="105"/>
        </w:rPr>
        <w:t> </w:t>
      </w:r>
      <w:r>
        <w:rPr>
          <w:color w:val="231F20"/>
          <w:w w:val="105"/>
        </w:rPr>
        <w:t>borghesi.</w:t>
      </w:r>
      <w:r>
        <w:rPr>
          <w:color w:val="231F20"/>
          <w:spacing w:val="-35"/>
          <w:w w:val="105"/>
        </w:rPr>
        <w:t> </w:t>
      </w:r>
      <w:r>
        <w:rPr>
          <w:color w:val="231F20"/>
          <w:w w:val="105"/>
        </w:rPr>
        <w:t>Questo</w:t>
      </w:r>
      <w:r>
        <w:rPr>
          <w:color w:val="231F20"/>
          <w:spacing w:val="-35"/>
          <w:w w:val="105"/>
        </w:rPr>
        <w:t> </w:t>
      </w:r>
      <w:r>
        <w:rPr>
          <w:color w:val="231F20"/>
          <w:w w:val="105"/>
        </w:rPr>
        <w:t>Stato</w:t>
      </w:r>
      <w:r>
        <w:rPr>
          <w:color w:val="231F20"/>
          <w:spacing w:val="-35"/>
          <w:w w:val="105"/>
        </w:rPr>
        <w:t> </w:t>
      </w:r>
      <w:r>
        <w:rPr>
          <w:color w:val="231F20"/>
          <w:w w:val="105"/>
        </w:rPr>
        <w:t>è</w:t>
      </w:r>
      <w:r>
        <w:rPr>
          <w:color w:val="231F20"/>
          <w:spacing w:val="-35"/>
          <w:w w:val="105"/>
        </w:rPr>
        <w:t> </w:t>
      </w:r>
      <w:r>
        <w:rPr>
          <w:color w:val="231F20"/>
          <w:w w:val="105"/>
        </w:rPr>
        <w:t>sempre</w:t>
      </w:r>
      <w:r>
        <w:rPr>
          <w:color w:val="231F20"/>
          <w:spacing w:val="-35"/>
          <w:w w:val="105"/>
        </w:rPr>
        <w:t> </w:t>
      </w:r>
      <w:r>
        <w:rPr>
          <w:color w:val="231F20"/>
          <w:w w:val="105"/>
        </w:rPr>
        <w:t>stato,</w:t>
      </w:r>
      <w:r>
        <w:rPr>
          <w:color w:val="231F20"/>
          <w:spacing w:val="-35"/>
          <w:w w:val="105"/>
        </w:rPr>
        <w:t> </w:t>
      </w:r>
      <w:r>
        <w:rPr>
          <w:color w:val="231F20"/>
          <w:w w:val="105"/>
        </w:rPr>
        <w:t>dunque,</w:t>
      </w:r>
      <w:r>
        <w:rPr>
          <w:color w:val="231F20"/>
          <w:spacing w:val="-35"/>
          <w:w w:val="105"/>
        </w:rPr>
        <w:t> </w:t>
      </w:r>
      <w:r>
        <w:rPr>
          <w:color w:val="231F20"/>
          <w:w w:val="105"/>
        </w:rPr>
        <w:t>Stato </w:t>
      </w:r>
      <w:r>
        <w:rPr>
          <w:color w:val="231F20"/>
          <w:spacing w:val="-3"/>
          <w:w w:val="105"/>
        </w:rPr>
        <w:t>borghese,</w:t>
      </w:r>
      <w:r>
        <w:rPr>
          <w:color w:val="231F20"/>
          <w:spacing w:val="-46"/>
          <w:w w:val="105"/>
        </w:rPr>
        <w:t> </w:t>
      </w:r>
      <w:r>
        <w:rPr>
          <w:color w:val="231F20"/>
          <w:w w:val="105"/>
        </w:rPr>
        <w:t>concentrando</w:t>
      </w:r>
      <w:r>
        <w:rPr>
          <w:color w:val="231F20"/>
          <w:spacing w:val="-46"/>
          <w:w w:val="105"/>
        </w:rPr>
        <w:t> </w:t>
      </w:r>
      <w:r>
        <w:rPr>
          <w:color w:val="231F20"/>
          <w:w w:val="105"/>
        </w:rPr>
        <w:t>la</w:t>
      </w:r>
      <w:r>
        <w:rPr>
          <w:color w:val="231F20"/>
          <w:spacing w:val="-46"/>
          <w:w w:val="105"/>
        </w:rPr>
        <w:t> </w:t>
      </w:r>
      <w:r>
        <w:rPr>
          <w:color w:val="231F20"/>
          <w:spacing w:val="-3"/>
          <w:w w:val="105"/>
        </w:rPr>
        <w:t>propria</w:t>
      </w:r>
      <w:r>
        <w:rPr>
          <w:color w:val="231F20"/>
          <w:spacing w:val="-46"/>
          <w:w w:val="105"/>
        </w:rPr>
        <w:t> </w:t>
      </w:r>
      <w:r>
        <w:rPr>
          <w:color w:val="231F20"/>
          <w:w w:val="105"/>
        </w:rPr>
        <w:t>legittimità</w:t>
      </w:r>
      <w:r>
        <w:rPr>
          <w:color w:val="231F20"/>
          <w:spacing w:val="-46"/>
          <w:w w:val="105"/>
        </w:rPr>
        <w:t> </w:t>
      </w:r>
      <w:r>
        <w:rPr>
          <w:color w:val="231F20"/>
          <w:w w:val="105"/>
        </w:rPr>
        <w:t>in</w:t>
      </w:r>
      <w:r>
        <w:rPr>
          <w:color w:val="231F20"/>
          <w:spacing w:val="-46"/>
          <w:w w:val="105"/>
        </w:rPr>
        <w:t> </w:t>
      </w:r>
      <w:r>
        <w:rPr>
          <w:color w:val="231F20"/>
          <w:w w:val="105"/>
        </w:rPr>
        <w:t>legalità,</w:t>
      </w:r>
      <w:r>
        <w:rPr>
          <w:color w:val="231F20"/>
          <w:spacing w:val="-46"/>
          <w:w w:val="105"/>
        </w:rPr>
        <w:t> </w:t>
      </w:r>
      <w:r>
        <w:rPr>
          <w:color w:val="231F20"/>
          <w:spacing w:val="-3"/>
          <w:w w:val="105"/>
        </w:rPr>
        <w:t>presentandosi</w:t>
      </w:r>
      <w:r>
        <w:rPr>
          <w:color w:val="231F20"/>
          <w:spacing w:val="-46"/>
          <w:w w:val="105"/>
        </w:rPr>
        <w:t> </w:t>
      </w:r>
      <w:r>
        <w:rPr>
          <w:color w:val="231F20"/>
          <w:w w:val="105"/>
        </w:rPr>
        <w:t>cioè come</w:t>
      </w:r>
      <w:r>
        <w:rPr>
          <w:color w:val="231F20"/>
          <w:spacing w:val="-45"/>
          <w:w w:val="105"/>
        </w:rPr>
        <w:t> </w:t>
      </w:r>
      <w:r>
        <w:rPr>
          <w:color w:val="231F20"/>
          <w:w w:val="105"/>
        </w:rPr>
        <w:t>Stato</w:t>
      </w:r>
      <w:r>
        <w:rPr>
          <w:color w:val="231F20"/>
          <w:spacing w:val="-45"/>
          <w:w w:val="105"/>
        </w:rPr>
        <w:t> </w:t>
      </w:r>
      <w:r>
        <w:rPr>
          <w:color w:val="231F20"/>
          <w:w w:val="105"/>
        </w:rPr>
        <w:t>di</w:t>
      </w:r>
      <w:r>
        <w:rPr>
          <w:color w:val="231F20"/>
          <w:spacing w:val="-45"/>
          <w:w w:val="105"/>
        </w:rPr>
        <w:t> </w:t>
      </w:r>
      <w:r>
        <w:rPr>
          <w:color w:val="231F20"/>
          <w:w w:val="105"/>
        </w:rPr>
        <w:t>diritto,</w:t>
      </w:r>
      <w:r>
        <w:rPr>
          <w:color w:val="231F20"/>
          <w:spacing w:val="-45"/>
          <w:w w:val="105"/>
        </w:rPr>
        <w:t> </w:t>
      </w:r>
      <w:r>
        <w:rPr>
          <w:color w:val="231F20"/>
          <w:w w:val="105"/>
        </w:rPr>
        <w:t>sia</w:t>
      </w:r>
      <w:r>
        <w:rPr>
          <w:color w:val="231F20"/>
          <w:spacing w:val="-45"/>
          <w:w w:val="105"/>
        </w:rPr>
        <w:t> </w:t>
      </w:r>
      <w:r>
        <w:rPr>
          <w:color w:val="231F20"/>
          <w:w w:val="105"/>
        </w:rPr>
        <w:t>pure</w:t>
      </w:r>
      <w:r>
        <w:rPr>
          <w:color w:val="231F20"/>
          <w:spacing w:val="-45"/>
          <w:w w:val="105"/>
        </w:rPr>
        <w:t> </w:t>
      </w:r>
      <w:r>
        <w:rPr>
          <w:color w:val="231F20"/>
          <w:w w:val="105"/>
        </w:rPr>
        <w:t>non</w:t>
      </w:r>
      <w:r>
        <w:rPr>
          <w:color w:val="231F20"/>
          <w:spacing w:val="-45"/>
          <w:w w:val="105"/>
        </w:rPr>
        <w:t> </w:t>
      </w:r>
      <w:r>
        <w:rPr>
          <w:color w:val="231F20"/>
          <w:w w:val="105"/>
        </w:rPr>
        <w:t>disdegnando,</w:t>
      </w:r>
      <w:r>
        <w:rPr>
          <w:color w:val="231F20"/>
          <w:spacing w:val="-45"/>
          <w:w w:val="105"/>
        </w:rPr>
        <w:t> </w:t>
      </w:r>
      <w:r>
        <w:rPr>
          <w:color w:val="231F20"/>
          <w:w w:val="105"/>
        </w:rPr>
        <w:t>in</w:t>
      </w:r>
      <w:r>
        <w:rPr>
          <w:color w:val="231F20"/>
          <w:spacing w:val="-45"/>
          <w:w w:val="105"/>
        </w:rPr>
        <w:t> </w:t>
      </w:r>
      <w:r>
        <w:rPr>
          <w:color w:val="231F20"/>
          <w:w w:val="105"/>
        </w:rPr>
        <w:t>qualche</w:t>
      </w:r>
      <w:r>
        <w:rPr>
          <w:color w:val="231F20"/>
          <w:spacing w:val="-45"/>
          <w:w w:val="105"/>
        </w:rPr>
        <w:t> </w:t>
      </w:r>
      <w:r>
        <w:rPr>
          <w:color w:val="231F20"/>
          <w:w w:val="105"/>
        </w:rPr>
        <w:t>interpretazione, di</w:t>
      </w:r>
      <w:r>
        <w:rPr>
          <w:color w:val="231F20"/>
          <w:spacing w:val="-30"/>
          <w:w w:val="105"/>
        </w:rPr>
        <w:t> </w:t>
      </w:r>
      <w:r>
        <w:rPr>
          <w:color w:val="231F20"/>
          <w:w w:val="105"/>
        </w:rPr>
        <w:t>fare</w:t>
      </w:r>
      <w:r>
        <w:rPr>
          <w:color w:val="231F20"/>
          <w:spacing w:val="-30"/>
          <w:w w:val="105"/>
        </w:rPr>
        <w:t> </w:t>
      </w:r>
      <w:r>
        <w:rPr>
          <w:color w:val="231F20"/>
          <w:w w:val="105"/>
        </w:rPr>
        <w:t>le</w:t>
      </w:r>
      <w:r>
        <w:rPr>
          <w:color w:val="231F20"/>
          <w:spacing w:val="-30"/>
          <w:w w:val="105"/>
        </w:rPr>
        <w:t> </w:t>
      </w:r>
      <w:r>
        <w:rPr>
          <w:color w:val="231F20"/>
          <w:w w:val="105"/>
        </w:rPr>
        <w:t>fusa</w:t>
      </w:r>
      <w:r>
        <w:rPr>
          <w:color w:val="231F20"/>
          <w:spacing w:val="-30"/>
          <w:w w:val="105"/>
        </w:rPr>
        <w:t> </w:t>
      </w:r>
      <w:r>
        <w:rPr>
          <w:color w:val="231F20"/>
          <w:w w:val="105"/>
        </w:rPr>
        <w:t>col</w:t>
      </w:r>
      <w:r>
        <w:rPr>
          <w:color w:val="231F20"/>
          <w:spacing w:val="-30"/>
          <w:w w:val="105"/>
        </w:rPr>
        <w:t> </w:t>
      </w:r>
      <w:r>
        <w:rPr>
          <w:color w:val="231F20"/>
          <w:w w:val="105"/>
        </w:rPr>
        <w:t>più</w:t>
      </w:r>
      <w:r>
        <w:rPr>
          <w:color w:val="231F20"/>
          <w:spacing w:val="-30"/>
          <w:w w:val="105"/>
        </w:rPr>
        <w:t> </w:t>
      </w:r>
      <w:r>
        <w:rPr>
          <w:color w:val="231F20"/>
          <w:w w:val="105"/>
        </w:rPr>
        <w:t>bieco</w:t>
      </w:r>
      <w:r>
        <w:rPr>
          <w:color w:val="231F20"/>
          <w:spacing w:val="-30"/>
          <w:w w:val="105"/>
        </w:rPr>
        <w:t> </w:t>
      </w:r>
      <w:r>
        <w:rPr>
          <w:color w:val="231F20"/>
          <w:w w:val="105"/>
        </w:rPr>
        <w:t>totalitarismo</w:t>
      </w:r>
      <w:r>
        <w:rPr>
          <w:color w:val="231F20"/>
          <w:w w:val="105"/>
          <w:position w:val="7"/>
          <w:sz w:val="12"/>
        </w:rPr>
        <w:t>30</w:t>
      </w:r>
      <w:r>
        <w:rPr>
          <w:color w:val="231F20"/>
          <w:w w:val="105"/>
        </w:rPr>
        <w:t>.</w:t>
      </w:r>
    </w:p>
    <w:p>
      <w:pPr>
        <w:pStyle w:val="BodyText"/>
        <w:spacing w:line="244" w:lineRule="auto"/>
        <w:ind w:left="103" w:right="109" w:firstLine="566"/>
        <w:jc w:val="both"/>
      </w:pPr>
      <w:r>
        <w:rPr>
          <w:color w:val="231F20"/>
        </w:rPr>
        <w:t>Il punto centrale del costituzionalismo è il diritto, da una parte, ma dall’altra è la forza (</w:t>
      </w:r>
      <w:r>
        <w:rPr>
          <w:rFonts w:ascii="Arial" w:hAnsi="Arial"/>
          <w:i/>
          <w:color w:val="231F20"/>
        </w:rPr>
        <w:t>Gewalt</w:t>
      </w:r>
      <w:r>
        <w:rPr>
          <w:color w:val="231F20"/>
        </w:rPr>
        <w:t>), che lo pone e lo garantisce, sanzionandone  la </w:t>
      </w:r>
      <w:r>
        <w:rPr>
          <w:color w:val="231F20"/>
          <w:spacing w:val="2"/>
        </w:rPr>
        <w:t>violazione</w:t>
      </w:r>
      <w:r>
        <w:rPr>
          <w:color w:val="231F20"/>
          <w:spacing w:val="2"/>
          <w:position w:val="7"/>
          <w:sz w:val="12"/>
        </w:rPr>
        <w:t>31</w:t>
      </w:r>
      <w:r>
        <w:rPr>
          <w:color w:val="231F20"/>
          <w:spacing w:val="2"/>
        </w:rPr>
        <w:t>. </w:t>
      </w:r>
      <w:r>
        <w:rPr>
          <w:color w:val="231F20"/>
        </w:rPr>
        <w:t>La </w:t>
      </w:r>
      <w:r>
        <w:rPr>
          <w:color w:val="231F20"/>
          <w:spacing w:val="2"/>
        </w:rPr>
        <w:t>gestione </w:t>
      </w:r>
      <w:r>
        <w:rPr>
          <w:color w:val="231F20"/>
        </w:rPr>
        <w:t>di </w:t>
      </w:r>
      <w:r>
        <w:rPr>
          <w:color w:val="231F20"/>
          <w:spacing w:val="2"/>
        </w:rPr>
        <w:t>questo rapporto </w:t>
      </w:r>
      <w:r>
        <w:rPr>
          <w:color w:val="231F20"/>
        </w:rPr>
        <w:t>è </w:t>
      </w:r>
      <w:r>
        <w:rPr>
          <w:color w:val="231F20"/>
          <w:spacing w:val="2"/>
        </w:rPr>
        <w:t>stato </w:t>
      </w:r>
      <w:r>
        <w:rPr>
          <w:color w:val="231F20"/>
        </w:rPr>
        <w:t>a </w:t>
      </w:r>
      <w:r>
        <w:rPr>
          <w:color w:val="231F20"/>
          <w:spacing w:val="2"/>
        </w:rPr>
        <w:t>lungo affidato  alla costituzione, </w:t>
      </w:r>
      <w:r>
        <w:rPr>
          <w:color w:val="231F20"/>
        </w:rPr>
        <w:t>la </w:t>
      </w:r>
      <w:r>
        <w:rPr>
          <w:color w:val="231F20"/>
          <w:spacing w:val="2"/>
        </w:rPr>
        <w:t>quale </w:t>
      </w:r>
      <w:r>
        <w:rPr>
          <w:color w:val="231F20"/>
        </w:rPr>
        <w:t>però non ha </w:t>
      </w:r>
      <w:r>
        <w:rPr>
          <w:color w:val="231F20"/>
          <w:spacing w:val="2"/>
        </w:rPr>
        <w:t>potuto </w:t>
      </w:r>
      <w:r>
        <w:rPr>
          <w:color w:val="231F20"/>
        </w:rPr>
        <w:t>reggere fino in </w:t>
      </w:r>
      <w:r>
        <w:rPr>
          <w:color w:val="231F20"/>
          <w:spacing w:val="2"/>
        </w:rPr>
        <w:t>fondo </w:t>
      </w:r>
      <w:r>
        <w:rPr>
          <w:color w:val="231F20"/>
          <w:spacing w:val="3"/>
        </w:rPr>
        <w:t>la </w:t>
      </w:r>
      <w:r>
        <w:rPr>
          <w:color w:val="231F20"/>
          <w:spacing w:val="-3"/>
        </w:rPr>
        <w:t>pressione</w:t>
      </w:r>
      <w:r>
        <w:rPr>
          <w:color w:val="231F20"/>
          <w:spacing w:val="-16"/>
        </w:rPr>
        <w:t> </w:t>
      </w:r>
      <w:r>
        <w:rPr>
          <w:color w:val="231F20"/>
          <w:spacing w:val="-3"/>
        </w:rPr>
        <w:t>della</w:t>
      </w:r>
      <w:r>
        <w:rPr>
          <w:color w:val="231F20"/>
          <w:spacing w:val="-16"/>
        </w:rPr>
        <w:t> </w:t>
      </w:r>
      <w:r>
        <w:rPr>
          <w:color w:val="231F20"/>
          <w:spacing w:val="-3"/>
        </w:rPr>
        <w:t>trasformazione</w:t>
      </w:r>
      <w:r>
        <w:rPr>
          <w:color w:val="231F20"/>
          <w:spacing w:val="-16"/>
        </w:rPr>
        <w:t> </w:t>
      </w:r>
      <w:r>
        <w:rPr>
          <w:color w:val="231F20"/>
          <w:spacing w:val="-3"/>
        </w:rPr>
        <w:t>sociale</w:t>
      </w:r>
      <w:r>
        <w:rPr>
          <w:color w:val="231F20"/>
          <w:spacing w:val="-16"/>
        </w:rPr>
        <w:t> </w:t>
      </w:r>
      <w:r>
        <w:rPr>
          <w:color w:val="231F20"/>
          <w:spacing w:val="-3"/>
        </w:rPr>
        <w:t>ottocentesca.</w:t>
      </w:r>
      <w:r>
        <w:rPr>
          <w:color w:val="231F20"/>
          <w:spacing w:val="-16"/>
        </w:rPr>
        <w:t> </w:t>
      </w:r>
      <w:r>
        <w:rPr>
          <w:color w:val="231F20"/>
        </w:rPr>
        <w:t>Da</w:t>
      </w:r>
      <w:r>
        <w:rPr>
          <w:color w:val="231F20"/>
          <w:spacing w:val="-16"/>
        </w:rPr>
        <w:t> </w:t>
      </w:r>
      <w:r>
        <w:rPr>
          <w:color w:val="231F20"/>
        </w:rPr>
        <w:t>lì</w:t>
      </w:r>
      <w:r>
        <w:rPr>
          <w:color w:val="231F20"/>
          <w:spacing w:val="-16"/>
        </w:rPr>
        <w:t> </w:t>
      </w:r>
      <w:r>
        <w:rPr>
          <w:color w:val="231F20"/>
        </w:rPr>
        <w:t>la</w:t>
      </w:r>
      <w:r>
        <w:rPr>
          <w:color w:val="231F20"/>
          <w:spacing w:val="-16"/>
        </w:rPr>
        <w:t> </w:t>
      </w:r>
      <w:r>
        <w:rPr>
          <w:color w:val="231F20"/>
          <w:spacing w:val="-3"/>
        </w:rPr>
        <w:t>deriva</w:t>
      </w:r>
      <w:r>
        <w:rPr>
          <w:color w:val="231F20"/>
          <w:spacing w:val="-16"/>
        </w:rPr>
        <w:t> </w:t>
      </w:r>
      <w:r>
        <w:rPr>
          <w:color w:val="231F20"/>
          <w:spacing w:val="-3"/>
        </w:rPr>
        <w:t>autoritaria </w:t>
      </w:r>
      <w:r>
        <w:rPr>
          <w:color w:val="231F20"/>
        </w:rPr>
        <w:t>e totalitaria che ha segnato il Novecento. La rifondazione costituzional– democratica</w:t>
      </w:r>
      <w:r>
        <w:rPr>
          <w:color w:val="231F20"/>
          <w:spacing w:val="-10"/>
        </w:rPr>
        <w:t> </w:t>
      </w:r>
      <w:r>
        <w:rPr>
          <w:color w:val="231F20"/>
        </w:rPr>
        <w:t>dopo</w:t>
      </w:r>
      <w:r>
        <w:rPr>
          <w:color w:val="231F20"/>
          <w:spacing w:val="-10"/>
        </w:rPr>
        <w:t> </w:t>
      </w:r>
      <w:r>
        <w:rPr>
          <w:color w:val="231F20"/>
        </w:rPr>
        <w:t>la</w:t>
      </w:r>
      <w:r>
        <w:rPr>
          <w:color w:val="231F20"/>
          <w:spacing w:val="-10"/>
        </w:rPr>
        <w:t> </w:t>
      </w:r>
      <w:r>
        <w:rPr>
          <w:color w:val="231F20"/>
        </w:rPr>
        <w:t>seconda</w:t>
      </w:r>
      <w:r>
        <w:rPr>
          <w:color w:val="231F20"/>
          <w:spacing w:val="-10"/>
        </w:rPr>
        <w:t> </w:t>
      </w:r>
      <w:r>
        <w:rPr>
          <w:color w:val="231F20"/>
        </w:rPr>
        <w:t>guerra</w:t>
      </w:r>
      <w:r>
        <w:rPr>
          <w:color w:val="231F20"/>
          <w:spacing w:val="-10"/>
        </w:rPr>
        <w:t> </w:t>
      </w:r>
      <w:r>
        <w:rPr>
          <w:color w:val="231F20"/>
        </w:rPr>
        <w:t>mondiale</w:t>
      </w:r>
      <w:r>
        <w:rPr>
          <w:color w:val="231F20"/>
          <w:spacing w:val="-10"/>
        </w:rPr>
        <w:t> </w:t>
      </w:r>
      <w:r>
        <w:rPr>
          <w:color w:val="231F20"/>
        </w:rPr>
        <w:t>si</w:t>
      </w:r>
      <w:r>
        <w:rPr>
          <w:color w:val="231F20"/>
          <w:spacing w:val="-10"/>
        </w:rPr>
        <w:t> </w:t>
      </w:r>
      <w:r>
        <w:rPr>
          <w:color w:val="231F20"/>
        </w:rPr>
        <w:t>è</w:t>
      </w:r>
      <w:r>
        <w:rPr>
          <w:color w:val="231F20"/>
          <w:spacing w:val="-10"/>
        </w:rPr>
        <w:t> </w:t>
      </w:r>
      <w:r>
        <w:rPr>
          <w:color w:val="231F20"/>
        </w:rPr>
        <w:t>scontrata</w:t>
      </w:r>
      <w:r>
        <w:rPr>
          <w:color w:val="231F20"/>
          <w:spacing w:val="-10"/>
        </w:rPr>
        <w:t> </w:t>
      </w:r>
      <w:r>
        <w:rPr>
          <w:color w:val="231F20"/>
        </w:rPr>
        <w:t>con</w:t>
      </w:r>
      <w:r>
        <w:rPr>
          <w:color w:val="231F20"/>
          <w:spacing w:val="-10"/>
        </w:rPr>
        <w:t> </w:t>
      </w:r>
      <w:r>
        <w:rPr>
          <w:color w:val="231F20"/>
        </w:rPr>
        <w:t>l’immenso problema della crisi della forma tradizionale dello Stato, da una parte, e della galoppante globalizzazione dall’altra. </w:t>
      </w:r>
      <w:r>
        <w:rPr>
          <w:color w:val="231F20"/>
          <w:spacing w:val="-5"/>
        </w:rPr>
        <w:t>Tanto </w:t>
      </w:r>
      <w:r>
        <w:rPr>
          <w:color w:val="231F20"/>
        </w:rPr>
        <w:t>che il diritto pubblico e costituzionale ha dovuto cedere il passo al “nuovo” diritto internazionale, succeduto al glorioso </w:t>
      </w:r>
      <w:r>
        <w:rPr>
          <w:rFonts w:ascii="Arial" w:hAnsi="Arial"/>
          <w:i/>
          <w:color w:val="231F20"/>
        </w:rPr>
        <w:t>ius publicum europaeum </w:t>
      </w:r>
      <w:r>
        <w:rPr>
          <w:color w:val="231F20"/>
        </w:rPr>
        <w:t>di cui Carl Schmitt aveva</w:t>
      </w:r>
      <w:r>
        <w:rPr>
          <w:color w:val="231F20"/>
          <w:spacing w:val="-31"/>
        </w:rPr>
        <w:t> </w:t>
      </w:r>
      <w:r>
        <w:rPr>
          <w:color w:val="231F20"/>
        </w:rPr>
        <w:t>da tempo proclamato la fine. La costituzione è tornata così a cedere il passo al costituzionalismo, fatto di cose nuove all’interno (si pensi alla dinamica </w:t>
      </w:r>
      <w:r>
        <w:rPr>
          <w:color w:val="231F20"/>
          <w:spacing w:val="2"/>
        </w:rPr>
        <w:t>del </w:t>
      </w:r>
      <w:r>
        <w:rPr>
          <w:color w:val="231F20"/>
          <w:spacing w:val="3"/>
        </w:rPr>
        <w:t>nuovo </w:t>
      </w:r>
      <w:r>
        <w:rPr>
          <w:color w:val="231F20"/>
          <w:spacing w:val="2"/>
        </w:rPr>
        <w:t>fattore </w:t>
      </w:r>
      <w:r>
        <w:rPr>
          <w:color w:val="231F20"/>
        </w:rPr>
        <w:t>di </w:t>
      </w:r>
      <w:r>
        <w:rPr>
          <w:color w:val="231F20"/>
          <w:spacing w:val="3"/>
        </w:rPr>
        <w:t>“comune”) come all’esterno (</w:t>
      </w:r>
      <w:r>
        <w:rPr>
          <w:rFonts w:ascii="Arial" w:hAnsi="Arial"/>
          <w:i/>
          <w:color w:val="231F20"/>
          <w:spacing w:val="3"/>
        </w:rPr>
        <w:t>global polity</w:t>
      </w:r>
      <w:r>
        <w:rPr>
          <w:color w:val="231F20"/>
          <w:spacing w:val="3"/>
        </w:rPr>
        <w:t>) </w:t>
      </w:r>
      <w:r>
        <w:rPr>
          <w:color w:val="231F20"/>
          <w:spacing w:val="4"/>
        </w:rPr>
        <w:t>della </w:t>
      </w:r>
      <w:r>
        <w:rPr>
          <w:color w:val="231F20"/>
        </w:rPr>
        <w:t>tradizionale compagine politico–statale. I due movimenti si possono </w:t>
      </w:r>
      <w:r>
        <w:rPr>
          <w:color w:val="231F20"/>
          <w:spacing w:val="51"/>
        </w:rPr>
        <w:t> </w:t>
      </w:r>
      <w:r>
        <w:rPr>
          <w:color w:val="231F20"/>
        </w:rPr>
        <w:t>forse</w:t>
      </w:r>
    </w:p>
    <w:p>
      <w:pPr>
        <w:pStyle w:val="BodyText"/>
        <w:spacing w:before="5"/>
        <w:rPr>
          <w:sz w:val="20"/>
        </w:rPr>
      </w:pPr>
      <w:r>
        <w:rPr/>
        <w:pict>
          <v:line style="position:absolute;mso-position-horizontal-relative:page;mso-position-vertical-relative:paragraph;z-index:12712;mso-wrap-distance-left:0;mso-wrap-distance-right:0" from="65.196899pt,14.433723pt" to="178.582899pt,14.433723pt" stroked="true" strokeweight=".3pt" strokecolor="#231f20">
            <w10:wrap type="topAndBottom"/>
          </v:line>
        </w:pict>
      </w:r>
    </w:p>
    <w:p>
      <w:pPr>
        <w:spacing w:line="204" w:lineRule="exact" w:before="9"/>
        <w:ind w:left="103" w:right="114" w:firstLine="0"/>
        <w:jc w:val="both"/>
        <w:rPr>
          <w:rFonts w:ascii="Calibri" w:hAnsi="Calibri"/>
          <w:sz w:val="17"/>
        </w:rPr>
      </w:pPr>
      <w:r>
        <w:rPr>
          <w:rFonts w:ascii="Calibri" w:hAnsi="Calibri"/>
          <w:color w:val="231F20"/>
          <w:position w:val="6"/>
          <w:sz w:val="10"/>
        </w:rPr>
        <w:t>30 </w:t>
      </w:r>
      <w:r>
        <w:rPr>
          <w:rFonts w:ascii="Calibri" w:hAnsi="Calibri"/>
          <w:color w:val="231F20"/>
          <w:spacing w:val="-10"/>
          <w:sz w:val="17"/>
        </w:rPr>
        <w:t>P. </w:t>
      </w:r>
      <w:r>
        <w:rPr>
          <w:rFonts w:ascii="Calibri" w:hAnsi="Calibri"/>
          <w:color w:val="231F20"/>
          <w:sz w:val="17"/>
        </w:rPr>
        <w:t>Schiera, </w:t>
      </w:r>
      <w:r>
        <w:rPr>
          <w:rFonts w:ascii="Calibri" w:hAnsi="Calibri"/>
          <w:i/>
          <w:color w:val="231F20"/>
          <w:sz w:val="17"/>
        </w:rPr>
        <w:t>El constitucionalismo como discurso politico</w:t>
      </w:r>
      <w:r>
        <w:rPr>
          <w:rFonts w:ascii="Calibri" w:hAnsi="Calibri"/>
          <w:color w:val="231F20"/>
          <w:sz w:val="17"/>
        </w:rPr>
        <w:t>, Madrid, Universidad Carlos III de Madrid, 2012. Carl Schmitt considerava il costituzionalismo concetto non suThcientemente rigoroso per   una scienza politica realistica e insieme a base giuridico–positiva, quale doveva essere la sua. Egli si è occupato però di “Stato di diritto” (</w:t>
      </w:r>
      <w:r>
        <w:rPr>
          <w:rFonts w:ascii="Calibri" w:hAnsi="Calibri"/>
          <w:i/>
          <w:color w:val="231F20"/>
          <w:sz w:val="17"/>
        </w:rPr>
        <w:t>Rechtsstaat</w:t>
      </w:r>
      <w:r>
        <w:rPr>
          <w:rFonts w:ascii="Calibri" w:hAnsi="Calibri"/>
          <w:color w:val="231F20"/>
          <w:sz w:val="17"/>
        </w:rPr>
        <w:t>): anche in un saggio, spesso dimenticato, apparso nel 1934 ad apertura del grosso manuale </w:t>
      </w:r>
      <w:r>
        <w:rPr>
          <w:rFonts w:ascii="Calibri" w:hAnsi="Calibri"/>
          <w:i/>
          <w:color w:val="231F20"/>
          <w:sz w:val="17"/>
        </w:rPr>
        <w:t>Das Deutsche Recht</w:t>
      </w:r>
      <w:r>
        <w:rPr>
          <w:rFonts w:ascii="Calibri" w:hAnsi="Calibri"/>
          <w:color w:val="231F20"/>
          <w:sz w:val="17"/>
        </w:rPr>
        <w:t>, predisposto, per conto della </w:t>
      </w:r>
      <w:r>
        <w:rPr>
          <w:rFonts w:ascii="Calibri" w:hAnsi="Calibri"/>
          <w:color w:val="231F20"/>
          <w:spacing w:val="-5"/>
          <w:sz w:val="17"/>
        </w:rPr>
        <w:t>NSDAP, </w:t>
      </w:r>
      <w:r>
        <w:rPr>
          <w:rFonts w:ascii="Calibri" w:hAnsi="Calibri"/>
          <w:color w:val="231F20"/>
          <w:sz w:val="17"/>
        </w:rPr>
        <w:t>da Hans Frank —poi giustiziato a Norimberga— allo scopo di fornire lo stato dell’arte del nuovo diritto di cui il regime nazista disponeva per raggiungere i propri obbiettivi. Un articolo, come           al solito, pertinente e brillante, la cui conclusione era che il vero Stato di diritto è il “Deutscher Rechtsstaat Adolph Hitlers!”: C. Schmitt, </w:t>
      </w:r>
      <w:r>
        <w:rPr>
          <w:rFonts w:ascii="Calibri" w:hAnsi="Calibri"/>
          <w:i/>
          <w:color w:val="231F20"/>
          <w:sz w:val="17"/>
        </w:rPr>
        <w:t>Der Rechtsstaat</w:t>
      </w:r>
      <w:r>
        <w:rPr>
          <w:rFonts w:ascii="Calibri" w:hAnsi="Calibri"/>
          <w:color w:val="231F20"/>
          <w:sz w:val="17"/>
        </w:rPr>
        <w:t>, y H. Frank (Ed.), </w:t>
      </w:r>
      <w:r>
        <w:rPr>
          <w:rFonts w:ascii="Calibri" w:hAnsi="Calibri"/>
          <w:i/>
          <w:color w:val="231F20"/>
          <w:sz w:val="17"/>
        </w:rPr>
        <w:t>Nationalsozialistisches </w:t>
      </w:r>
      <w:r>
        <w:rPr>
          <w:rFonts w:ascii="Calibri" w:hAnsi="Calibri"/>
          <w:i/>
          <w:color w:val="231F20"/>
          <w:sz w:val="17"/>
        </w:rPr>
        <w:t>Handbuch</w:t>
      </w:r>
      <w:r>
        <w:rPr>
          <w:rFonts w:ascii="Calibri" w:hAnsi="Calibri"/>
          <w:i/>
          <w:color w:val="231F20"/>
          <w:spacing w:val="-4"/>
          <w:sz w:val="17"/>
        </w:rPr>
        <w:t> </w:t>
      </w:r>
      <w:r>
        <w:rPr>
          <w:rFonts w:ascii="Calibri" w:hAnsi="Calibri"/>
          <w:i/>
          <w:color w:val="231F20"/>
          <w:sz w:val="17"/>
        </w:rPr>
        <w:t>für</w:t>
      </w:r>
      <w:r>
        <w:rPr>
          <w:rFonts w:ascii="Calibri" w:hAnsi="Calibri"/>
          <w:i/>
          <w:color w:val="231F20"/>
          <w:spacing w:val="-4"/>
          <w:sz w:val="17"/>
        </w:rPr>
        <w:t> </w:t>
      </w:r>
      <w:r>
        <w:rPr>
          <w:rFonts w:ascii="Calibri" w:hAnsi="Calibri"/>
          <w:i/>
          <w:color w:val="231F20"/>
          <w:sz w:val="17"/>
        </w:rPr>
        <w:t>Recht</w:t>
      </w:r>
      <w:r>
        <w:rPr>
          <w:rFonts w:ascii="Calibri" w:hAnsi="Calibri"/>
          <w:i/>
          <w:color w:val="231F20"/>
          <w:spacing w:val="-4"/>
          <w:sz w:val="17"/>
        </w:rPr>
        <w:t> </w:t>
      </w:r>
      <w:r>
        <w:rPr>
          <w:rFonts w:ascii="Calibri" w:hAnsi="Calibri"/>
          <w:i/>
          <w:color w:val="231F20"/>
          <w:sz w:val="17"/>
        </w:rPr>
        <w:t>und</w:t>
      </w:r>
      <w:r>
        <w:rPr>
          <w:rFonts w:ascii="Calibri" w:hAnsi="Calibri"/>
          <w:i/>
          <w:color w:val="231F20"/>
          <w:spacing w:val="-4"/>
          <w:sz w:val="17"/>
        </w:rPr>
        <w:t> </w:t>
      </w:r>
      <w:r>
        <w:rPr>
          <w:rFonts w:ascii="Calibri" w:hAnsi="Calibri"/>
          <w:i/>
          <w:color w:val="231F20"/>
          <w:sz w:val="17"/>
        </w:rPr>
        <w:t>Gesetzgebung</w:t>
      </w:r>
      <w:r>
        <w:rPr>
          <w:rFonts w:ascii="Calibri" w:hAnsi="Calibri"/>
          <w:color w:val="231F20"/>
          <w:sz w:val="17"/>
        </w:rPr>
        <w:t>,</w:t>
      </w:r>
      <w:r>
        <w:rPr>
          <w:rFonts w:ascii="Calibri" w:hAnsi="Calibri"/>
          <w:color w:val="231F20"/>
          <w:spacing w:val="-3"/>
          <w:sz w:val="17"/>
        </w:rPr>
        <w:t> </w:t>
      </w:r>
      <w:r>
        <w:rPr>
          <w:rFonts w:ascii="Calibri" w:hAnsi="Calibri"/>
          <w:color w:val="231F20"/>
          <w:sz w:val="17"/>
        </w:rPr>
        <w:t>München,</w:t>
      </w:r>
      <w:r>
        <w:rPr>
          <w:rFonts w:ascii="Calibri" w:hAnsi="Calibri"/>
          <w:color w:val="231F20"/>
          <w:spacing w:val="-3"/>
          <w:sz w:val="17"/>
        </w:rPr>
        <w:t> </w:t>
      </w:r>
      <w:r>
        <w:rPr>
          <w:rFonts w:ascii="Calibri" w:hAnsi="Calibri"/>
          <w:color w:val="231F20"/>
          <w:sz w:val="17"/>
        </w:rPr>
        <w:t>Zentralverlag</w:t>
      </w:r>
      <w:r>
        <w:rPr>
          <w:rFonts w:ascii="Calibri" w:hAnsi="Calibri"/>
          <w:color w:val="231F20"/>
          <w:spacing w:val="-3"/>
          <w:sz w:val="17"/>
        </w:rPr>
        <w:t> </w:t>
      </w:r>
      <w:r>
        <w:rPr>
          <w:rFonts w:ascii="Calibri" w:hAnsi="Calibri"/>
          <w:color w:val="231F20"/>
          <w:sz w:val="17"/>
        </w:rPr>
        <w:t>der</w:t>
      </w:r>
      <w:r>
        <w:rPr>
          <w:rFonts w:ascii="Calibri" w:hAnsi="Calibri"/>
          <w:color w:val="231F20"/>
          <w:spacing w:val="-3"/>
          <w:sz w:val="17"/>
        </w:rPr>
        <w:t> </w:t>
      </w:r>
      <w:r>
        <w:rPr>
          <w:rFonts w:ascii="Calibri" w:hAnsi="Calibri"/>
          <w:color w:val="231F20"/>
          <w:spacing w:val="-5"/>
          <w:sz w:val="17"/>
        </w:rPr>
        <w:t>NSDAP,</w:t>
      </w:r>
      <w:r>
        <w:rPr>
          <w:rFonts w:ascii="Calibri" w:hAnsi="Calibri"/>
          <w:color w:val="231F20"/>
          <w:spacing w:val="-3"/>
          <w:sz w:val="17"/>
        </w:rPr>
        <w:t> </w:t>
      </w:r>
      <w:r>
        <w:rPr>
          <w:rFonts w:ascii="Calibri" w:hAnsi="Calibri"/>
          <w:color w:val="231F20"/>
          <w:sz w:val="17"/>
        </w:rPr>
        <w:t>Franz</w:t>
      </w:r>
      <w:r>
        <w:rPr>
          <w:rFonts w:ascii="Calibri" w:hAnsi="Calibri"/>
          <w:color w:val="231F20"/>
          <w:spacing w:val="-3"/>
          <w:sz w:val="17"/>
        </w:rPr>
        <w:t> </w:t>
      </w:r>
      <w:r>
        <w:rPr>
          <w:rFonts w:ascii="Calibri" w:hAnsi="Calibri"/>
          <w:color w:val="231F20"/>
          <w:sz w:val="17"/>
        </w:rPr>
        <w:t>Eher</w:t>
      </w:r>
      <w:r>
        <w:rPr>
          <w:rFonts w:ascii="Calibri" w:hAnsi="Calibri"/>
          <w:color w:val="231F20"/>
          <w:spacing w:val="-3"/>
          <w:sz w:val="17"/>
        </w:rPr>
        <w:t> </w:t>
      </w:r>
      <w:r>
        <w:rPr>
          <w:rFonts w:ascii="Calibri" w:hAnsi="Calibri"/>
          <w:color w:val="231F20"/>
          <w:sz w:val="17"/>
        </w:rPr>
        <w:t>Nachf.,</w:t>
      </w:r>
      <w:r>
        <w:rPr>
          <w:rFonts w:ascii="Calibri" w:hAnsi="Calibri"/>
          <w:color w:val="231F20"/>
          <w:spacing w:val="-3"/>
          <w:sz w:val="17"/>
        </w:rPr>
        <w:t> </w:t>
      </w:r>
      <w:r>
        <w:rPr>
          <w:rFonts w:ascii="Calibri" w:hAnsi="Calibri"/>
          <w:color w:val="231F20"/>
          <w:sz w:val="17"/>
        </w:rPr>
        <w:t>1934. </w:t>
      </w:r>
      <w:r>
        <w:rPr>
          <w:rFonts w:ascii="Calibri" w:hAnsi="Calibri"/>
          <w:color w:val="231F20"/>
          <w:position w:val="6"/>
          <w:sz w:val="10"/>
        </w:rPr>
        <w:t>31 </w:t>
      </w:r>
      <w:r>
        <w:rPr>
          <w:rFonts w:ascii="Calibri" w:hAnsi="Calibri"/>
          <w:color w:val="231F20"/>
          <w:spacing w:val="-6"/>
          <w:sz w:val="17"/>
        </w:rPr>
        <w:t>W. </w:t>
      </w:r>
      <w:r>
        <w:rPr>
          <w:rFonts w:ascii="Calibri" w:hAnsi="Calibri"/>
          <w:color w:val="231F20"/>
          <w:sz w:val="17"/>
        </w:rPr>
        <w:t>Benjamin, “Zur Kritik der Gewalt”, </w:t>
      </w:r>
      <w:r>
        <w:rPr>
          <w:rFonts w:ascii="Calibri" w:hAnsi="Calibri"/>
          <w:i/>
          <w:color w:val="231F20"/>
          <w:sz w:val="17"/>
        </w:rPr>
        <w:t>Archiv für Sozialwissenschaft und Sozialpolitik</w:t>
      </w:r>
      <w:r>
        <w:rPr>
          <w:rFonts w:ascii="Calibri" w:hAnsi="Calibri"/>
          <w:color w:val="231F20"/>
          <w:sz w:val="17"/>
        </w:rPr>
        <w:t>, </w:t>
      </w:r>
      <w:r>
        <w:rPr>
          <w:rFonts w:ascii="Calibri" w:hAnsi="Calibri"/>
          <w:color w:val="231F20"/>
          <w:spacing w:val="-4"/>
          <w:sz w:val="17"/>
        </w:rPr>
        <w:t>47, </w:t>
      </w:r>
      <w:r>
        <w:rPr>
          <w:rFonts w:ascii="Calibri" w:hAnsi="Calibri"/>
          <w:color w:val="231F20"/>
          <w:sz w:val="17"/>
        </w:rPr>
        <w:t>1920–21, pp. 809–32 (trad. it. </w:t>
      </w:r>
      <w:r>
        <w:rPr>
          <w:rFonts w:ascii="Calibri" w:hAnsi="Calibri"/>
          <w:i/>
          <w:color w:val="231F20"/>
          <w:sz w:val="17"/>
        </w:rPr>
        <w:t>Per la critica della violenza</w:t>
      </w:r>
      <w:r>
        <w:rPr>
          <w:rFonts w:ascii="Calibri" w:hAnsi="Calibri"/>
          <w:color w:val="231F20"/>
          <w:sz w:val="17"/>
        </w:rPr>
        <w:t>, edito da Massimiliano </w:t>
      </w:r>
      <w:r>
        <w:rPr>
          <w:rFonts w:ascii="Calibri" w:hAnsi="Calibri"/>
          <w:color w:val="231F20"/>
          <w:spacing w:val="-3"/>
          <w:sz w:val="17"/>
        </w:rPr>
        <w:t>Tomba, </w:t>
      </w:r>
      <w:r>
        <w:rPr>
          <w:rFonts w:ascii="Calibri" w:hAnsi="Calibri"/>
          <w:color w:val="231F20"/>
          <w:sz w:val="17"/>
        </w:rPr>
        <w:t>Roma, Alegre, </w:t>
      </w:r>
      <w:r>
        <w:rPr>
          <w:rFonts w:ascii="Calibri" w:hAnsi="Calibri"/>
          <w:color w:val="231F20"/>
          <w:spacing w:val="2"/>
          <w:sz w:val="17"/>
        </w:rPr>
        <w:t> </w:t>
      </w:r>
      <w:r>
        <w:rPr>
          <w:rFonts w:ascii="Calibri" w:hAnsi="Calibri"/>
          <w:color w:val="231F20"/>
          <w:sz w:val="17"/>
        </w:rPr>
        <w:t>2010).</w:t>
      </w:r>
    </w:p>
    <w:p>
      <w:pPr>
        <w:pStyle w:val="BodyText"/>
        <w:rPr>
          <w:rFonts w:ascii="Calibri"/>
          <w:sz w:val="20"/>
        </w:rPr>
      </w:pPr>
    </w:p>
    <w:p>
      <w:pPr>
        <w:pStyle w:val="BodyText"/>
        <w:spacing w:before="1"/>
        <w:rPr>
          <w:rFonts w:ascii="Calibri"/>
          <w:sz w:val="28"/>
        </w:rPr>
      </w:pPr>
    </w:p>
    <w:p>
      <w:pPr>
        <w:tabs>
          <w:tab w:pos="1317" w:val="left" w:leader="none"/>
        </w:tabs>
        <w:spacing w:before="69"/>
        <w:ind w:left="267" w:right="0" w:firstLine="0"/>
        <w:jc w:val="left"/>
        <w:rPr>
          <w:rFonts w:ascii="Calibri"/>
          <w:sz w:val="16"/>
        </w:rPr>
      </w:pPr>
      <w:r>
        <w:rPr/>
        <w:pict>
          <v:group style="position:absolute;margin-left:98.079102pt;margin-top:-3.308812pt;width:20.4pt;height:43pt;mso-position-horizontal-relative:page;mso-position-vertical-relative:paragraph;z-index:-162664" coordorigin="1962,-66" coordsize="408,860">
            <v:line style="position:absolute" from="2211,73" to="2211,789" stroked="true" strokeweight=".35pt" strokecolor="#231f20"/>
            <v:shape style="position:absolute;left:2179;top:-13;width:190;height:445" type="#_x0000_t75" stroked="false">
              <v:imagedata r:id="rId34" o:title=""/>
            </v:shape>
            <v:shape style="position:absolute;left:1962;top:-66;width:250;height:502" type="#_x0000_t75" stroked="false">
              <v:imagedata r:id="rId35" o:title=""/>
            </v:shape>
            <w10:wrap type="none"/>
          </v:group>
        </w:pict>
      </w:r>
      <w:r>
        <w:rPr>
          <w:rFonts w:ascii="Trebuchet MS"/>
          <w:color w:val="414042"/>
          <w:w w:val="105"/>
          <w:position w:val="-4"/>
          <w:sz w:val="20"/>
        </w:rPr>
        <w:t>98</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2991"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261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28"/>
          <w:sz w:val="14"/>
        </w:rPr>
        <w:t> </w:t>
      </w:r>
      <w:r>
        <w:rPr>
          <w:rFonts w:ascii="Lucida Sans Unicode" w:hAnsi="Lucida Sans Unicode"/>
          <w:color w:val="6D6E71"/>
          <w:spacing w:val="-4"/>
          <w:sz w:val="14"/>
        </w:rPr>
        <w:t>STATO</w:t>
      </w:r>
      <w:r>
        <w:rPr>
          <w:rFonts w:ascii="Lucida Sans Unicode" w:hAnsi="Lucida Sans Unicode"/>
          <w:color w:val="6D6E71"/>
          <w:spacing w:val="-28"/>
          <w:sz w:val="14"/>
        </w:rPr>
        <w:t> </w:t>
      </w:r>
      <w:r>
        <w:rPr>
          <w:rFonts w:ascii="Lucida Sans Unicode" w:hAnsi="Lucida Sans Unicode"/>
          <w:color w:val="6D6E71"/>
          <w:sz w:val="14"/>
        </w:rPr>
        <w:t>MODERNO,</w:t>
      </w:r>
      <w:r>
        <w:rPr>
          <w:rFonts w:ascii="Lucida Sans Unicode" w:hAnsi="Lucida Sans Unicode"/>
          <w:color w:val="6D6E71"/>
          <w:spacing w:val="-28"/>
          <w:sz w:val="14"/>
        </w:rPr>
        <w:t> </w:t>
      </w:r>
      <w:r>
        <w:rPr>
          <w:rFonts w:ascii="Lucida Sans Unicode" w:hAnsi="Lucida Sans Unicode"/>
          <w:color w:val="6D6E71"/>
          <w:sz w:val="14"/>
        </w:rPr>
        <w:t>AL</w:t>
      </w:r>
      <w:r>
        <w:rPr>
          <w:rFonts w:ascii="Lucida Sans Unicode" w:hAnsi="Lucida Sans Unicode"/>
          <w:color w:val="6D6E71"/>
          <w:spacing w:val="-28"/>
          <w:sz w:val="14"/>
        </w:rPr>
        <w:t> </w:t>
      </w:r>
      <w:r>
        <w:rPr>
          <w:rFonts w:ascii="Lucida Sans Unicode" w:hAnsi="Lucida Sans Unicode"/>
          <w:color w:val="6D6E71"/>
          <w:sz w:val="14"/>
        </w:rPr>
        <w:t>GIORNO</w:t>
      </w:r>
      <w:r>
        <w:rPr>
          <w:rFonts w:ascii="Lucida Sans Unicode" w:hAnsi="Lucida Sans Unicode"/>
          <w:color w:val="6D6E71"/>
          <w:spacing w:val="-28"/>
          <w:sz w:val="14"/>
        </w:rPr>
        <w:t> </w:t>
      </w:r>
      <w:r>
        <w:rPr>
          <w:rFonts w:ascii="Lucida Sans Unicode" w:hAnsi="Lucida Sans Unicode"/>
          <w:color w:val="6D6E71"/>
          <w:sz w:val="14"/>
        </w:rPr>
        <w:t>D’OGGI</w:t>
      </w:r>
      <w:r>
        <w:rPr>
          <w:rFonts w:ascii="Lucida Sans Unicode" w:hAnsi="Lucida Sans Unicode"/>
          <w:color w:val="6D6E71"/>
          <w:spacing w:val="-28"/>
          <w:sz w:val="14"/>
        </w:rPr>
        <w:t> </w:t>
      </w:r>
      <w:r>
        <w:rPr>
          <w:rFonts w:ascii="Lucida Sans Unicode" w:hAnsi="Lucida Sans Unicode"/>
          <w:color w:val="6D6E71"/>
          <w:sz w:val="14"/>
        </w:rPr>
        <w:t>E</w:t>
      </w:r>
      <w:r>
        <w:rPr>
          <w:rFonts w:ascii="Lucida Sans Unicode" w:hAnsi="Lucida Sans Unicode"/>
          <w:color w:val="6D6E71"/>
          <w:spacing w:val="-28"/>
          <w:sz w:val="14"/>
        </w:rPr>
        <w:t> </w:t>
      </w:r>
      <w:r>
        <w:rPr>
          <w:rFonts w:ascii="Lucida Sans Unicode" w:hAnsi="Lucida Sans Unicode"/>
          <w:color w:val="6D6E71"/>
          <w:sz w:val="14"/>
        </w:rPr>
        <w:t>DI</w:t>
      </w:r>
      <w:r>
        <w:rPr>
          <w:rFonts w:ascii="Lucida Sans Unicode" w:hAnsi="Lucida Sans Unicode"/>
          <w:color w:val="6D6E71"/>
          <w:spacing w:val="-28"/>
          <w:sz w:val="14"/>
        </w:rPr>
        <w:t> </w:t>
      </w:r>
      <w:r>
        <w:rPr>
          <w:rFonts w:ascii="Lucida Sans Unicode" w:hAnsi="Lucida Sans Unicode"/>
          <w:color w:val="6D6E71"/>
          <w:sz w:val="14"/>
        </w:rPr>
        <w:t>DOMANI</w:t>
      </w:r>
      <w:r>
        <w:rPr>
          <w:rFonts w:ascii="Trebuchet MS" w:hAnsi="Trebuchet MS"/>
          <w:color w:val="414042"/>
          <w:position w:val="-3"/>
          <w:sz w:val="20"/>
        </w:rPr>
        <w:tab/>
        <w:t>99</w:t>
      </w:r>
    </w:p>
    <w:p>
      <w:pPr>
        <w:pStyle w:val="BodyText"/>
        <w:rPr>
          <w:rFonts w:ascii="Trebuchet MS"/>
          <w:sz w:val="20"/>
        </w:rPr>
      </w:pPr>
    </w:p>
    <w:p>
      <w:pPr>
        <w:pStyle w:val="BodyText"/>
        <w:rPr>
          <w:rFonts w:ascii="Trebuchet MS"/>
          <w:sz w:val="20"/>
        </w:rPr>
      </w:pPr>
    </w:p>
    <w:p>
      <w:pPr>
        <w:pStyle w:val="BodyText"/>
        <w:spacing w:line="244" w:lineRule="auto" w:before="156"/>
        <w:ind w:left="117" w:right="118"/>
        <w:jc w:val="both"/>
      </w:pPr>
      <w:r>
        <w:rPr>
          <w:color w:val="231F20"/>
        </w:rPr>
        <w:t>ritrovare nella seguente sintesi che Anne Peters ha dato di </w:t>
      </w:r>
      <w:r>
        <w:rPr>
          <w:rFonts w:ascii="Arial" w:hAnsi="Arial"/>
          <w:i/>
          <w:color w:val="231F20"/>
        </w:rPr>
        <w:t>Compensatory </w:t>
      </w:r>
      <w:r>
        <w:rPr>
          <w:rFonts w:ascii="Arial" w:hAnsi="Arial"/>
          <w:i/>
          <w:color w:val="231F20"/>
        </w:rPr>
        <w:t>Constitutionalism</w:t>
      </w:r>
      <w:r>
        <w:rPr>
          <w:color w:val="231F20"/>
        </w:rPr>
        <w:t>: “the bulk of the most important norms which regulate political activity and relationships in the global polity” </w:t>
      </w:r>
      <w:r>
        <w:rPr>
          <w:color w:val="231F20"/>
          <w:position w:val="7"/>
          <w:sz w:val="12"/>
        </w:rPr>
        <w:t>32</w:t>
      </w:r>
      <w:r>
        <w:rPr>
          <w:color w:val="231F20"/>
        </w:rPr>
        <w:t>. Dove però non sono solo le “international norms” a contare, ma anche le “fundamental structures”: il che certo non supera la necessità del diritto, ma ne mina l’egemonia, mettendo in campo forze da misurare in altro modo, con altre competenze e capacità (e usando altre scienze).</w:t>
      </w:r>
    </w:p>
    <w:p>
      <w:pPr>
        <w:pStyle w:val="BodyText"/>
        <w:spacing w:line="247" w:lineRule="auto" w:before="1"/>
        <w:ind w:left="117" w:right="120" w:firstLine="566"/>
        <w:jc w:val="both"/>
      </w:pPr>
      <w:r>
        <w:rPr>
          <w:color w:val="231F20"/>
        </w:rPr>
        <w:t>Non</w:t>
      </w:r>
      <w:r>
        <w:rPr>
          <w:color w:val="231F20"/>
          <w:spacing w:val="-16"/>
        </w:rPr>
        <w:t> </w:t>
      </w:r>
      <w:r>
        <w:rPr>
          <w:color w:val="231F20"/>
        </w:rPr>
        <w:t>si</w:t>
      </w:r>
      <w:r>
        <w:rPr>
          <w:color w:val="231F20"/>
          <w:spacing w:val="-16"/>
        </w:rPr>
        <w:t> </w:t>
      </w:r>
      <w:r>
        <w:rPr>
          <w:color w:val="231F20"/>
        </w:rPr>
        <w:t>può</w:t>
      </w:r>
      <w:r>
        <w:rPr>
          <w:color w:val="231F20"/>
          <w:spacing w:val="-16"/>
        </w:rPr>
        <w:t> </w:t>
      </w:r>
      <w:r>
        <w:rPr>
          <w:color w:val="231F20"/>
          <w:spacing w:val="-3"/>
        </w:rPr>
        <w:t>infatti</w:t>
      </w:r>
      <w:r>
        <w:rPr>
          <w:color w:val="231F20"/>
          <w:spacing w:val="-16"/>
        </w:rPr>
        <w:t> </w:t>
      </w:r>
      <w:r>
        <w:rPr>
          <w:color w:val="231F20"/>
          <w:spacing w:val="-4"/>
        </w:rPr>
        <w:t>sottovalutare</w:t>
      </w:r>
      <w:r>
        <w:rPr>
          <w:color w:val="231F20"/>
          <w:spacing w:val="-16"/>
        </w:rPr>
        <w:t> </w:t>
      </w:r>
      <w:r>
        <w:rPr>
          <w:color w:val="231F20"/>
        </w:rPr>
        <w:t>la</w:t>
      </w:r>
      <w:r>
        <w:rPr>
          <w:color w:val="231F20"/>
          <w:spacing w:val="-16"/>
        </w:rPr>
        <w:t> </w:t>
      </w:r>
      <w:r>
        <w:rPr>
          <w:color w:val="231F20"/>
          <w:spacing w:val="-3"/>
        </w:rPr>
        <w:t>questione</w:t>
      </w:r>
      <w:r>
        <w:rPr>
          <w:color w:val="231F20"/>
          <w:spacing w:val="-16"/>
        </w:rPr>
        <w:t> </w:t>
      </w:r>
      <w:r>
        <w:rPr>
          <w:color w:val="231F20"/>
        </w:rPr>
        <w:t>di</w:t>
      </w:r>
      <w:r>
        <w:rPr>
          <w:color w:val="231F20"/>
          <w:spacing w:val="-16"/>
        </w:rPr>
        <w:t> </w:t>
      </w:r>
      <w:r>
        <w:rPr>
          <w:color w:val="231F20"/>
          <w:spacing w:val="-3"/>
        </w:rPr>
        <w:t>fondo</w:t>
      </w:r>
      <w:r>
        <w:rPr>
          <w:color w:val="231F20"/>
          <w:spacing w:val="-16"/>
        </w:rPr>
        <w:t> </w:t>
      </w:r>
      <w:r>
        <w:rPr>
          <w:color w:val="231F20"/>
          <w:spacing w:val="-4"/>
        </w:rPr>
        <w:t>relativa</w:t>
      </w:r>
      <w:r>
        <w:rPr>
          <w:color w:val="231F20"/>
          <w:spacing w:val="-16"/>
        </w:rPr>
        <w:t> </w:t>
      </w:r>
      <w:r>
        <w:rPr>
          <w:color w:val="231F20"/>
          <w:spacing w:val="-3"/>
        </w:rPr>
        <w:t>alla</w:t>
      </w:r>
      <w:r>
        <w:rPr>
          <w:color w:val="231F20"/>
          <w:spacing w:val="-16"/>
        </w:rPr>
        <w:t> </w:t>
      </w:r>
      <w:r>
        <w:rPr>
          <w:color w:val="231F20"/>
          <w:spacing w:val="-3"/>
        </w:rPr>
        <w:t>tenuta </w:t>
      </w:r>
      <w:r>
        <w:rPr>
          <w:color w:val="231F20"/>
        </w:rPr>
        <w:t>storica del diritto medesimo. Al di là della sua dimensione antropologica o anche etica, o anche religiosa, qui interessa l’identificazione del diritto con la “legge” che ha in generale segnato l’età “costituzionale” dello Stato nell’Occidente</w:t>
      </w:r>
      <w:r>
        <w:rPr>
          <w:color w:val="231F20"/>
          <w:spacing w:val="-6"/>
        </w:rPr>
        <w:t> </w:t>
      </w:r>
      <w:r>
        <w:rPr>
          <w:color w:val="231F20"/>
        </w:rPr>
        <w:t>moderno</w:t>
      </w:r>
      <w:r>
        <w:rPr>
          <w:color w:val="231F20"/>
          <w:spacing w:val="-6"/>
        </w:rPr>
        <w:t> </w:t>
      </w:r>
      <w:r>
        <w:rPr>
          <w:color w:val="231F20"/>
        </w:rPr>
        <w:t>e</w:t>
      </w:r>
      <w:r>
        <w:rPr>
          <w:color w:val="231F20"/>
          <w:spacing w:val="-6"/>
        </w:rPr>
        <w:t> </w:t>
      </w:r>
      <w:r>
        <w:rPr>
          <w:color w:val="231F20"/>
        </w:rPr>
        <w:t>contemporaneo</w:t>
      </w:r>
      <w:r>
        <w:rPr>
          <w:color w:val="231F20"/>
          <w:position w:val="7"/>
          <w:sz w:val="12"/>
        </w:rPr>
        <w:t>33</w:t>
      </w:r>
      <w:r>
        <w:rPr>
          <w:color w:val="231F20"/>
        </w:rPr>
        <w:t>.</w:t>
      </w:r>
      <w:r>
        <w:rPr>
          <w:color w:val="231F20"/>
          <w:spacing w:val="-6"/>
        </w:rPr>
        <w:t> </w:t>
      </w:r>
      <w:r>
        <w:rPr>
          <w:color w:val="231F20"/>
        </w:rPr>
        <w:t>In</w:t>
      </w:r>
      <w:r>
        <w:rPr>
          <w:color w:val="231F20"/>
          <w:spacing w:val="-6"/>
        </w:rPr>
        <w:t> </w:t>
      </w:r>
      <w:r>
        <w:rPr>
          <w:color w:val="231F20"/>
        </w:rPr>
        <w:t>senso</w:t>
      </w:r>
      <w:r>
        <w:rPr>
          <w:color w:val="231F20"/>
          <w:spacing w:val="-6"/>
        </w:rPr>
        <w:t> </w:t>
      </w:r>
      <w:r>
        <w:rPr>
          <w:color w:val="231F20"/>
        </w:rPr>
        <w:t>ancora</w:t>
      </w:r>
      <w:r>
        <w:rPr>
          <w:color w:val="231F20"/>
          <w:spacing w:val="-6"/>
        </w:rPr>
        <w:t> </w:t>
      </w:r>
      <w:r>
        <w:rPr>
          <w:color w:val="231F20"/>
        </w:rPr>
        <w:t>più</w:t>
      </w:r>
      <w:r>
        <w:rPr>
          <w:color w:val="231F20"/>
          <w:spacing w:val="-6"/>
        </w:rPr>
        <w:t> </w:t>
      </w:r>
      <w:r>
        <w:rPr>
          <w:color w:val="231F20"/>
        </w:rPr>
        <w:t>stretto,</w:t>
      </w:r>
      <w:r>
        <w:rPr>
          <w:color w:val="231F20"/>
          <w:spacing w:val="-6"/>
        </w:rPr>
        <w:t> </w:t>
      </w:r>
      <w:r>
        <w:rPr>
          <w:color w:val="231F20"/>
        </w:rPr>
        <w:t>va detto che la legge —proprio in combinazione con la carta costituzionale a base</w:t>
      </w:r>
      <w:r>
        <w:rPr>
          <w:color w:val="231F20"/>
          <w:spacing w:val="-14"/>
        </w:rPr>
        <w:t> </w:t>
      </w:r>
      <w:r>
        <w:rPr>
          <w:color w:val="231F20"/>
        </w:rPr>
        <w:t>legislativa—</w:t>
      </w:r>
      <w:r>
        <w:rPr>
          <w:color w:val="231F20"/>
          <w:spacing w:val="-14"/>
        </w:rPr>
        <w:t> </w:t>
      </w:r>
      <w:r>
        <w:rPr>
          <w:color w:val="231F20"/>
        </w:rPr>
        <w:t>si</w:t>
      </w:r>
      <w:r>
        <w:rPr>
          <w:color w:val="231F20"/>
          <w:spacing w:val="-14"/>
        </w:rPr>
        <w:t> </w:t>
      </w:r>
      <w:r>
        <w:rPr>
          <w:color w:val="231F20"/>
        </w:rPr>
        <w:t>è</w:t>
      </w:r>
      <w:r>
        <w:rPr>
          <w:color w:val="231F20"/>
          <w:spacing w:val="-14"/>
        </w:rPr>
        <w:t> </w:t>
      </w:r>
      <w:r>
        <w:rPr>
          <w:color w:val="231F20"/>
        </w:rPr>
        <w:t>ridotta</w:t>
      </w:r>
      <w:r>
        <w:rPr>
          <w:color w:val="231F20"/>
          <w:spacing w:val="-14"/>
        </w:rPr>
        <w:t> </w:t>
      </w:r>
      <w:r>
        <w:rPr>
          <w:color w:val="231F20"/>
        </w:rPr>
        <w:t>a</w:t>
      </w:r>
      <w:r>
        <w:rPr>
          <w:color w:val="231F20"/>
          <w:spacing w:val="-14"/>
        </w:rPr>
        <w:t> </w:t>
      </w:r>
      <w:r>
        <w:rPr>
          <w:color w:val="231F20"/>
        </w:rPr>
        <w:t>“norma</w:t>
      </w:r>
      <w:r>
        <w:rPr>
          <w:color w:val="231F20"/>
          <w:spacing w:val="-14"/>
        </w:rPr>
        <w:t> </w:t>
      </w:r>
      <w:r>
        <w:rPr>
          <w:color w:val="231F20"/>
        </w:rPr>
        <w:t>di</w:t>
      </w:r>
      <w:r>
        <w:rPr>
          <w:color w:val="231F20"/>
          <w:spacing w:val="-14"/>
        </w:rPr>
        <w:t> </w:t>
      </w:r>
      <w:r>
        <w:rPr>
          <w:color w:val="231F20"/>
        </w:rPr>
        <w:t>legge”,</w:t>
      </w:r>
      <w:r>
        <w:rPr>
          <w:color w:val="231F20"/>
          <w:spacing w:val="-14"/>
        </w:rPr>
        <w:t> </w:t>
      </w:r>
      <w:r>
        <w:rPr>
          <w:color w:val="231F20"/>
        </w:rPr>
        <w:t>cioè</w:t>
      </w:r>
      <w:r>
        <w:rPr>
          <w:color w:val="231F20"/>
          <w:spacing w:val="-14"/>
        </w:rPr>
        <w:t> </w:t>
      </w:r>
      <w:r>
        <w:rPr>
          <w:color w:val="231F20"/>
        </w:rPr>
        <w:t>a</w:t>
      </w:r>
      <w:r>
        <w:rPr>
          <w:color w:val="231F20"/>
          <w:spacing w:val="-14"/>
        </w:rPr>
        <w:t> </w:t>
      </w:r>
      <w:r>
        <w:rPr>
          <w:color w:val="231F20"/>
        </w:rPr>
        <w:t>dispositivo</w:t>
      </w:r>
      <w:r>
        <w:rPr>
          <w:color w:val="231F20"/>
          <w:spacing w:val="-14"/>
        </w:rPr>
        <w:t> </w:t>
      </w:r>
      <w:r>
        <w:rPr>
          <w:color w:val="231F20"/>
        </w:rPr>
        <w:t>in</w:t>
      </w:r>
      <w:r>
        <w:rPr>
          <w:color w:val="231F20"/>
          <w:spacing w:val="-14"/>
        </w:rPr>
        <w:t> </w:t>
      </w:r>
      <w:r>
        <w:rPr>
          <w:color w:val="231F20"/>
          <w:spacing w:val="-2"/>
        </w:rPr>
        <w:t>grado, </w:t>
      </w:r>
      <w:r>
        <w:rPr>
          <w:color w:val="231F20"/>
        </w:rPr>
        <w:t>sulla base di determinati presupposti formali relativamente alla sua origine e sussistenza, di dettare comportamenti vincolanti nei rapporti tra soggetti membri della medesima comunità. E non è certo fuori luogo ricordare, con le parole di Paolo Grossi,</w:t>
      </w:r>
      <w:r>
        <w:rPr>
          <w:color w:val="231F20"/>
          <w:spacing w:val="30"/>
        </w:rPr>
        <w:t> </w:t>
      </w:r>
      <w:r>
        <w:rPr>
          <w:color w:val="231F20"/>
        </w:rPr>
        <w:t>che</w:t>
      </w:r>
    </w:p>
    <w:p>
      <w:pPr>
        <w:pStyle w:val="BodyText"/>
        <w:spacing w:before="10"/>
        <w:rPr>
          <w:sz w:val="22"/>
        </w:rPr>
      </w:pPr>
    </w:p>
    <w:p>
      <w:pPr>
        <w:spacing w:line="220" w:lineRule="exact" w:before="1"/>
        <w:ind w:left="1534" w:right="115" w:firstLine="0"/>
        <w:jc w:val="both"/>
        <w:rPr>
          <w:sz w:val="19"/>
        </w:rPr>
      </w:pPr>
      <w:r>
        <w:rPr>
          <w:color w:val="231F20"/>
          <w:sz w:val="19"/>
        </w:rPr>
        <w:t>Dopo il 1789, lo Stato dominato dal trionfante ceto borghese, si </w:t>
      </w:r>
      <w:r>
        <w:rPr>
          <w:color w:val="231F20"/>
          <w:spacing w:val="-3"/>
          <w:sz w:val="19"/>
        </w:rPr>
        <w:t>interessa</w:t>
      </w:r>
      <w:r>
        <w:rPr>
          <w:color w:val="231F20"/>
          <w:spacing w:val="-15"/>
          <w:sz w:val="19"/>
        </w:rPr>
        <w:t> </w:t>
      </w:r>
      <w:r>
        <w:rPr>
          <w:color w:val="231F20"/>
          <w:spacing w:val="-3"/>
          <w:sz w:val="19"/>
        </w:rPr>
        <w:t>proprio</w:t>
      </w:r>
      <w:r>
        <w:rPr>
          <w:color w:val="231F20"/>
          <w:spacing w:val="-15"/>
          <w:sz w:val="19"/>
        </w:rPr>
        <w:t> </w:t>
      </w:r>
      <w:r>
        <w:rPr>
          <w:color w:val="231F20"/>
          <w:sz w:val="19"/>
        </w:rPr>
        <w:t>di</w:t>
      </w:r>
      <w:r>
        <w:rPr>
          <w:color w:val="231F20"/>
          <w:spacing w:val="-15"/>
          <w:sz w:val="19"/>
        </w:rPr>
        <w:t> </w:t>
      </w:r>
      <w:r>
        <w:rPr>
          <w:color w:val="231F20"/>
          <w:spacing w:val="-3"/>
          <w:sz w:val="19"/>
        </w:rPr>
        <w:t>[quel]</w:t>
      </w:r>
      <w:r>
        <w:rPr>
          <w:color w:val="231F20"/>
          <w:spacing w:val="-15"/>
          <w:sz w:val="19"/>
        </w:rPr>
        <w:t> </w:t>
      </w:r>
      <w:r>
        <w:rPr>
          <w:color w:val="231F20"/>
          <w:spacing w:val="-3"/>
          <w:sz w:val="19"/>
        </w:rPr>
        <w:t>diritto</w:t>
      </w:r>
      <w:r>
        <w:rPr>
          <w:color w:val="231F20"/>
          <w:spacing w:val="-15"/>
          <w:sz w:val="19"/>
        </w:rPr>
        <w:t> </w:t>
      </w:r>
      <w:r>
        <w:rPr>
          <w:color w:val="231F20"/>
          <w:spacing w:val="-3"/>
          <w:sz w:val="19"/>
        </w:rPr>
        <w:t>privato,</w:t>
      </w:r>
      <w:r>
        <w:rPr>
          <w:color w:val="231F20"/>
          <w:spacing w:val="-15"/>
          <w:sz w:val="19"/>
        </w:rPr>
        <w:t> </w:t>
      </w:r>
      <w:r>
        <w:rPr>
          <w:color w:val="231F20"/>
          <w:spacing w:val="-3"/>
          <w:sz w:val="19"/>
        </w:rPr>
        <w:t>giacché</w:t>
      </w:r>
      <w:r>
        <w:rPr>
          <w:color w:val="231F20"/>
          <w:spacing w:val="-15"/>
          <w:sz w:val="19"/>
        </w:rPr>
        <w:t> </w:t>
      </w:r>
      <w:r>
        <w:rPr>
          <w:color w:val="231F20"/>
          <w:sz w:val="19"/>
        </w:rPr>
        <w:t>è</w:t>
      </w:r>
      <w:r>
        <w:rPr>
          <w:color w:val="231F20"/>
          <w:spacing w:val="-15"/>
          <w:sz w:val="19"/>
        </w:rPr>
        <w:t> </w:t>
      </w:r>
      <w:r>
        <w:rPr>
          <w:color w:val="231F20"/>
          <w:sz w:val="19"/>
        </w:rPr>
        <w:t>lì</w:t>
      </w:r>
      <w:r>
        <w:rPr>
          <w:color w:val="231F20"/>
          <w:spacing w:val="-15"/>
          <w:sz w:val="19"/>
        </w:rPr>
        <w:t> </w:t>
      </w:r>
      <w:r>
        <w:rPr>
          <w:color w:val="231F20"/>
          <w:sz w:val="19"/>
        </w:rPr>
        <w:t>che</w:t>
      </w:r>
      <w:r>
        <w:rPr>
          <w:color w:val="231F20"/>
          <w:spacing w:val="-15"/>
          <w:sz w:val="19"/>
        </w:rPr>
        <w:t> </w:t>
      </w:r>
      <w:r>
        <w:rPr>
          <w:color w:val="231F20"/>
          <w:sz w:val="19"/>
        </w:rPr>
        <w:t>si</w:t>
      </w:r>
      <w:r>
        <w:rPr>
          <w:color w:val="231F20"/>
          <w:spacing w:val="-15"/>
          <w:sz w:val="19"/>
        </w:rPr>
        <w:t> </w:t>
      </w:r>
      <w:r>
        <w:rPr>
          <w:color w:val="231F20"/>
          <w:spacing w:val="-3"/>
          <w:sz w:val="19"/>
        </w:rPr>
        <w:t>collocano </w:t>
      </w:r>
      <w:r>
        <w:rPr>
          <w:color w:val="231F20"/>
          <w:sz w:val="19"/>
        </w:rPr>
        <w:t>i due istituti portanti della nuova società: la proprietà individuale e il contratto quale strumento necessario per la sua circolazione. </w:t>
      </w:r>
      <w:r>
        <w:rPr>
          <w:color w:val="231F20"/>
          <w:spacing w:val="3"/>
          <w:sz w:val="19"/>
        </w:rPr>
        <w:t>Giustamente, </w:t>
      </w:r>
      <w:r>
        <w:rPr>
          <w:color w:val="231F20"/>
          <w:sz w:val="19"/>
        </w:rPr>
        <w:t>la loro </w:t>
      </w:r>
      <w:r>
        <w:rPr>
          <w:color w:val="231F20"/>
          <w:spacing w:val="3"/>
          <w:sz w:val="19"/>
        </w:rPr>
        <w:t>valenza </w:t>
      </w:r>
      <w:r>
        <w:rPr>
          <w:color w:val="231F20"/>
          <w:sz w:val="19"/>
        </w:rPr>
        <w:t>è </w:t>
      </w:r>
      <w:r>
        <w:rPr>
          <w:color w:val="231F20"/>
          <w:spacing w:val="3"/>
          <w:sz w:val="19"/>
        </w:rPr>
        <w:t>stata definita </w:t>
      </w:r>
      <w:r>
        <w:rPr>
          <w:color w:val="231F20"/>
          <w:spacing w:val="4"/>
          <w:sz w:val="19"/>
        </w:rPr>
        <w:t>autenticamente </w:t>
      </w:r>
      <w:r>
        <w:rPr>
          <w:color w:val="231F20"/>
          <w:sz w:val="19"/>
        </w:rPr>
        <w:t>costituzionale, poiché è su quel fondamento che si costituisce un’intera</w:t>
      </w:r>
      <w:r>
        <w:rPr>
          <w:color w:val="231F20"/>
          <w:spacing w:val="-11"/>
          <w:sz w:val="19"/>
        </w:rPr>
        <w:t> </w:t>
      </w:r>
      <w:r>
        <w:rPr>
          <w:color w:val="231F20"/>
          <w:sz w:val="19"/>
        </w:rPr>
        <w:t>civiltà</w:t>
      </w:r>
      <w:r>
        <w:rPr>
          <w:color w:val="231F20"/>
          <w:spacing w:val="-11"/>
          <w:sz w:val="19"/>
        </w:rPr>
        <w:t> </w:t>
      </w:r>
      <w:r>
        <w:rPr>
          <w:color w:val="231F20"/>
          <w:sz w:val="19"/>
        </w:rPr>
        <w:t>storica.</w:t>
      </w:r>
      <w:r>
        <w:rPr>
          <w:color w:val="231F20"/>
          <w:spacing w:val="-11"/>
          <w:sz w:val="19"/>
        </w:rPr>
        <w:t> </w:t>
      </w:r>
      <w:r>
        <w:rPr>
          <w:color w:val="231F20"/>
          <w:spacing w:val="-4"/>
          <w:sz w:val="19"/>
        </w:rPr>
        <w:t>L’istituto</w:t>
      </w:r>
      <w:r>
        <w:rPr>
          <w:color w:val="231F20"/>
          <w:spacing w:val="-11"/>
          <w:sz w:val="19"/>
        </w:rPr>
        <w:t> </w:t>
      </w:r>
      <w:r>
        <w:rPr>
          <w:color w:val="231F20"/>
          <w:sz w:val="19"/>
        </w:rPr>
        <w:t>giuridico</w:t>
      </w:r>
      <w:r>
        <w:rPr>
          <w:color w:val="231F20"/>
          <w:spacing w:val="-11"/>
          <w:sz w:val="19"/>
        </w:rPr>
        <w:t> </w:t>
      </w:r>
      <w:r>
        <w:rPr>
          <w:color w:val="231F20"/>
          <w:sz w:val="19"/>
        </w:rPr>
        <w:t>proprietà</w:t>
      </w:r>
      <w:r>
        <w:rPr>
          <w:color w:val="231F20"/>
          <w:spacing w:val="-11"/>
          <w:sz w:val="19"/>
        </w:rPr>
        <w:t> </w:t>
      </w:r>
      <w:r>
        <w:rPr>
          <w:color w:val="231F20"/>
          <w:sz w:val="19"/>
        </w:rPr>
        <w:t>individuale</w:t>
      </w:r>
      <w:r>
        <w:rPr>
          <w:color w:val="231F20"/>
          <w:spacing w:val="-11"/>
          <w:sz w:val="19"/>
        </w:rPr>
        <w:t> </w:t>
      </w:r>
      <w:r>
        <w:rPr>
          <w:color w:val="231F20"/>
          <w:sz w:val="19"/>
        </w:rPr>
        <w:t>non è uno fra i tanti, ma assurge al rango di modello; anzi, di modello unico e</w:t>
      </w:r>
      <w:r>
        <w:rPr>
          <w:color w:val="231F20"/>
          <w:spacing w:val="16"/>
          <w:sz w:val="19"/>
        </w:rPr>
        <w:t> </w:t>
      </w:r>
      <w:r>
        <w:rPr>
          <w:color w:val="231F20"/>
          <w:sz w:val="19"/>
        </w:rPr>
        <w:t>insostituibile</w:t>
      </w:r>
      <w:r>
        <w:rPr>
          <w:color w:val="231F20"/>
          <w:position w:val="6"/>
          <w:sz w:val="11"/>
        </w:rPr>
        <w:t>34</w:t>
      </w:r>
      <w:r>
        <w:rPr>
          <w:color w:val="231F20"/>
          <w:sz w:val="19"/>
        </w:rPr>
        <w:t>.</w:t>
      </w:r>
    </w:p>
    <w:p>
      <w:pPr>
        <w:pStyle w:val="BodyText"/>
        <w:spacing w:before="11"/>
        <w:rPr>
          <w:sz w:val="23"/>
        </w:rPr>
      </w:pPr>
    </w:p>
    <w:p>
      <w:pPr>
        <w:pStyle w:val="BodyText"/>
        <w:spacing w:line="247" w:lineRule="auto"/>
        <w:ind w:left="117" w:right="113"/>
        <w:jc w:val="both"/>
      </w:pPr>
      <w:r>
        <w:rPr>
          <w:color w:val="231F20"/>
          <w:spacing w:val="6"/>
          <w:w w:val="105"/>
        </w:rPr>
        <w:t>Nonostante </w:t>
      </w:r>
      <w:r>
        <w:rPr>
          <w:color w:val="231F20"/>
          <w:spacing w:val="3"/>
          <w:w w:val="105"/>
        </w:rPr>
        <w:t>le </w:t>
      </w:r>
      <w:r>
        <w:rPr>
          <w:color w:val="231F20"/>
          <w:spacing w:val="6"/>
          <w:w w:val="105"/>
        </w:rPr>
        <w:t>critiche </w:t>
      </w:r>
      <w:r>
        <w:rPr>
          <w:color w:val="231F20"/>
          <w:spacing w:val="3"/>
          <w:w w:val="105"/>
        </w:rPr>
        <w:t>da </w:t>
      </w:r>
      <w:r>
        <w:rPr>
          <w:color w:val="231F20"/>
          <w:spacing w:val="4"/>
          <w:w w:val="105"/>
        </w:rPr>
        <w:t>più </w:t>
      </w:r>
      <w:r>
        <w:rPr>
          <w:color w:val="231F20"/>
          <w:spacing w:val="5"/>
          <w:w w:val="105"/>
        </w:rPr>
        <w:t>parti </w:t>
      </w:r>
      <w:r>
        <w:rPr>
          <w:color w:val="231F20"/>
          <w:spacing w:val="6"/>
          <w:w w:val="105"/>
        </w:rPr>
        <w:t>condotte </w:t>
      </w:r>
      <w:r>
        <w:rPr>
          <w:color w:val="231F20"/>
          <w:w w:val="105"/>
        </w:rPr>
        <w:t>a </w:t>
      </w:r>
      <w:r>
        <w:rPr>
          <w:color w:val="231F20"/>
          <w:spacing w:val="5"/>
          <w:w w:val="105"/>
        </w:rPr>
        <w:t>questa </w:t>
      </w:r>
      <w:r>
        <w:rPr>
          <w:color w:val="231F20"/>
          <w:spacing w:val="7"/>
          <w:w w:val="105"/>
        </w:rPr>
        <w:t>concezione </w:t>
      </w:r>
      <w:r>
        <w:rPr>
          <w:color w:val="231F20"/>
          <w:spacing w:val="3"/>
          <w:w w:val="105"/>
        </w:rPr>
        <w:t>“positivistica” </w:t>
      </w:r>
      <w:r>
        <w:rPr>
          <w:color w:val="231F20"/>
          <w:spacing w:val="2"/>
          <w:w w:val="105"/>
        </w:rPr>
        <w:t>del </w:t>
      </w:r>
      <w:r>
        <w:rPr>
          <w:color w:val="231F20"/>
          <w:spacing w:val="3"/>
          <w:w w:val="105"/>
        </w:rPr>
        <w:t>diritto, essa continua </w:t>
      </w:r>
      <w:r>
        <w:rPr>
          <w:color w:val="231F20"/>
          <w:w w:val="105"/>
        </w:rPr>
        <w:t>a </w:t>
      </w:r>
      <w:r>
        <w:rPr>
          <w:color w:val="231F20"/>
          <w:spacing w:val="2"/>
          <w:w w:val="105"/>
        </w:rPr>
        <w:t>essere </w:t>
      </w:r>
      <w:r>
        <w:rPr>
          <w:color w:val="231F20"/>
          <w:spacing w:val="3"/>
          <w:w w:val="105"/>
        </w:rPr>
        <w:t>quella </w:t>
      </w:r>
      <w:r>
        <w:rPr>
          <w:color w:val="231F20"/>
          <w:spacing w:val="2"/>
          <w:w w:val="105"/>
        </w:rPr>
        <w:t>più diffusa </w:t>
      </w:r>
      <w:r>
        <w:rPr>
          <w:color w:val="231F20"/>
          <w:w w:val="105"/>
        </w:rPr>
        <w:t>e comunemente</w:t>
      </w:r>
      <w:r>
        <w:rPr>
          <w:color w:val="231F20"/>
          <w:spacing w:val="-8"/>
          <w:w w:val="105"/>
        </w:rPr>
        <w:t> </w:t>
      </w:r>
      <w:r>
        <w:rPr>
          <w:color w:val="231F20"/>
          <w:w w:val="105"/>
        </w:rPr>
        <w:t>accettata,</w:t>
      </w:r>
      <w:r>
        <w:rPr>
          <w:color w:val="231F20"/>
          <w:spacing w:val="-8"/>
          <w:w w:val="105"/>
        </w:rPr>
        <w:t> </w:t>
      </w:r>
      <w:r>
        <w:rPr>
          <w:color w:val="231F20"/>
          <w:w w:val="105"/>
        </w:rPr>
        <w:t>sia</w:t>
      </w:r>
      <w:r>
        <w:rPr>
          <w:color w:val="231F20"/>
          <w:spacing w:val="-8"/>
          <w:w w:val="105"/>
        </w:rPr>
        <w:t> </w:t>
      </w:r>
      <w:r>
        <w:rPr>
          <w:color w:val="231F20"/>
          <w:w w:val="105"/>
        </w:rPr>
        <w:t>a</w:t>
      </w:r>
      <w:r>
        <w:rPr>
          <w:color w:val="231F20"/>
          <w:spacing w:val="-8"/>
          <w:w w:val="105"/>
        </w:rPr>
        <w:t> </w:t>
      </w:r>
      <w:r>
        <w:rPr>
          <w:color w:val="231F20"/>
          <w:w w:val="105"/>
        </w:rPr>
        <w:t>livello</w:t>
      </w:r>
      <w:r>
        <w:rPr>
          <w:color w:val="231F20"/>
          <w:spacing w:val="-8"/>
          <w:w w:val="105"/>
        </w:rPr>
        <w:t> </w:t>
      </w:r>
      <w:r>
        <w:rPr>
          <w:color w:val="231F20"/>
          <w:w w:val="105"/>
        </w:rPr>
        <w:t>dei</w:t>
      </w:r>
      <w:r>
        <w:rPr>
          <w:color w:val="231F20"/>
          <w:spacing w:val="-8"/>
          <w:w w:val="105"/>
        </w:rPr>
        <w:t> </w:t>
      </w:r>
      <w:r>
        <w:rPr>
          <w:color w:val="231F20"/>
          <w:w w:val="105"/>
        </w:rPr>
        <w:t>dottori</w:t>
      </w:r>
      <w:r>
        <w:rPr>
          <w:color w:val="231F20"/>
          <w:spacing w:val="-8"/>
          <w:w w:val="105"/>
        </w:rPr>
        <w:t> </w:t>
      </w:r>
      <w:r>
        <w:rPr>
          <w:color w:val="231F20"/>
          <w:w w:val="105"/>
        </w:rPr>
        <w:t>che</w:t>
      </w:r>
      <w:r>
        <w:rPr>
          <w:color w:val="231F20"/>
          <w:spacing w:val="-8"/>
          <w:w w:val="105"/>
        </w:rPr>
        <w:t> </w:t>
      </w:r>
      <w:r>
        <w:rPr>
          <w:color w:val="231F20"/>
          <w:w w:val="105"/>
        </w:rPr>
        <w:t>della</w:t>
      </w:r>
      <w:r>
        <w:rPr>
          <w:color w:val="231F20"/>
          <w:spacing w:val="-8"/>
          <w:w w:val="105"/>
        </w:rPr>
        <w:t> </w:t>
      </w:r>
      <w:r>
        <w:rPr>
          <w:color w:val="231F20"/>
          <w:w w:val="105"/>
        </w:rPr>
        <w:t>gente</w:t>
      </w:r>
      <w:r>
        <w:rPr>
          <w:color w:val="231F20"/>
          <w:spacing w:val="-8"/>
          <w:w w:val="105"/>
        </w:rPr>
        <w:t> </w:t>
      </w:r>
      <w:r>
        <w:rPr>
          <w:color w:val="231F20"/>
          <w:w w:val="105"/>
        </w:rPr>
        <w:t>comune e</w:t>
      </w:r>
      <w:r>
        <w:rPr>
          <w:color w:val="231F20"/>
          <w:spacing w:val="-28"/>
          <w:w w:val="105"/>
        </w:rPr>
        <w:t> </w:t>
      </w:r>
      <w:r>
        <w:rPr>
          <w:color w:val="231F20"/>
          <w:w w:val="105"/>
        </w:rPr>
        <w:t>sta</w:t>
      </w:r>
      <w:r>
        <w:rPr>
          <w:color w:val="231F20"/>
          <w:spacing w:val="-28"/>
          <w:w w:val="105"/>
        </w:rPr>
        <w:t> </w:t>
      </w:r>
      <w:r>
        <w:rPr>
          <w:color w:val="231F20"/>
          <w:w w:val="105"/>
        </w:rPr>
        <w:t>essenzialmente</w:t>
      </w:r>
      <w:r>
        <w:rPr>
          <w:color w:val="231F20"/>
          <w:spacing w:val="-28"/>
          <w:w w:val="105"/>
        </w:rPr>
        <w:t> </w:t>
      </w:r>
      <w:r>
        <w:rPr>
          <w:color w:val="231F20"/>
          <w:w w:val="105"/>
        </w:rPr>
        <w:t>alla</w:t>
      </w:r>
      <w:r>
        <w:rPr>
          <w:color w:val="231F20"/>
          <w:spacing w:val="-28"/>
          <w:w w:val="105"/>
        </w:rPr>
        <w:t> </w:t>
      </w:r>
      <w:r>
        <w:rPr>
          <w:color w:val="231F20"/>
          <w:w w:val="105"/>
        </w:rPr>
        <w:t>base</w:t>
      </w:r>
      <w:r>
        <w:rPr>
          <w:color w:val="231F20"/>
          <w:spacing w:val="-28"/>
          <w:w w:val="105"/>
        </w:rPr>
        <w:t> </w:t>
      </w:r>
      <w:r>
        <w:rPr>
          <w:color w:val="231F20"/>
          <w:w w:val="105"/>
        </w:rPr>
        <w:t>del</w:t>
      </w:r>
      <w:r>
        <w:rPr>
          <w:color w:val="231F20"/>
          <w:spacing w:val="-28"/>
          <w:w w:val="105"/>
        </w:rPr>
        <w:t> </w:t>
      </w:r>
      <w:r>
        <w:rPr>
          <w:color w:val="231F20"/>
          <w:w w:val="105"/>
        </w:rPr>
        <w:t>revival</w:t>
      </w:r>
      <w:r>
        <w:rPr>
          <w:color w:val="231F20"/>
          <w:spacing w:val="-28"/>
          <w:w w:val="105"/>
        </w:rPr>
        <w:t> </w:t>
      </w:r>
      <w:r>
        <w:rPr>
          <w:color w:val="231F20"/>
          <w:w w:val="105"/>
        </w:rPr>
        <w:t>costituzional–democratico</w:t>
      </w:r>
      <w:r>
        <w:rPr>
          <w:color w:val="231F20"/>
          <w:spacing w:val="-28"/>
          <w:w w:val="105"/>
        </w:rPr>
        <w:t> </w:t>
      </w:r>
      <w:r>
        <w:rPr>
          <w:color w:val="231F20"/>
          <w:w w:val="105"/>
        </w:rPr>
        <w:t>post- bellico,</w:t>
      </w:r>
      <w:r>
        <w:rPr>
          <w:color w:val="231F20"/>
          <w:spacing w:val="-27"/>
          <w:w w:val="105"/>
        </w:rPr>
        <w:t> </w:t>
      </w:r>
      <w:r>
        <w:rPr>
          <w:color w:val="231F20"/>
          <w:w w:val="105"/>
        </w:rPr>
        <w:t>anche</w:t>
      </w:r>
      <w:r>
        <w:rPr>
          <w:color w:val="231F20"/>
          <w:spacing w:val="-27"/>
          <w:w w:val="105"/>
        </w:rPr>
        <w:t> </w:t>
      </w:r>
      <w:r>
        <w:rPr>
          <w:color w:val="231F20"/>
          <w:w w:val="105"/>
        </w:rPr>
        <w:t>con</w:t>
      </w:r>
      <w:r>
        <w:rPr>
          <w:color w:val="231F20"/>
          <w:spacing w:val="-27"/>
          <w:w w:val="105"/>
        </w:rPr>
        <w:t> </w:t>
      </w:r>
      <w:r>
        <w:rPr>
          <w:color w:val="231F20"/>
          <w:w w:val="105"/>
        </w:rPr>
        <w:t>le</w:t>
      </w:r>
      <w:r>
        <w:rPr>
          <w:color w:val="231F20"/>
          <w:spacing w:val="-27"/>
          <w:w w:val="105"/>
        </w:rPr>
        <w:t> </w:t>
      </w:r>
      <w:r>
        <w:rPr>
          <w:color w:val="231F20"/>
          <w:w w:val="105"/>
        </w:rPr>
        <w:t>indispensabili</w:t>
      </w:r>
      <w:r>
        <w:rPr>
          <w:color w:val="231F20"/>
          <w:spacing w:val="-27"/>
          <w:w w:val="105"/>
        </w:rPr>
        <w:t> </w:t>
      </w:r>
      <w:r>
        <w:rPr>
          <w:color w:val="231F20"/>
          <w:w w:val="105"/>
        </w:rPr>
        <w:t>iniezioni</w:t>
      </w:r>
      <w:r>
        <w:rPr>
          <w:color w:val="231F20"/>
          <w:spacing w:val="-27"/>
          <w:w w:val="105"/>
        </w:rPr>
        <w:t> </w:t>
      </w:r>
      <w:r>
        <w:rPr>
          <w:color w:val="231F20"/>
          <w:w w:val="105"/>
        </w:rPr>
        <w:t>di</w:t>
      </w:r>
      <w:r>
        <w:rPr>
          <w:color w:val="231F20"/>
          <w:spacing w:val="-27"/>
          <w:w w:val="105"/>
        </w:rPr>
        <w:t> </w:t>
      </w:r>
      <w:r>
        <w:rPr>
          <w:color w:val="231F20"/>
          <w:w w:val="105"/>
        </w:rPr>
        <w:t>comune</w:t>
      </w:r>
      <w:r>
        <w:rPr>
          <w:color w:val="231F20"/>
          <w:spacing w:val="-27"/>
          <w:w w:val="105"/>
        </w:rPr>
        <w:t> </w:t>
      </w:r>
      <w:r>
        <w:rPr>
          <w:color w:val="231F20"/>
          <w:w w:val="105"/>
        </w:rPr>
        <w:t>e</w:t>
      </w:r>
      <w:r>
        <w:rPr>
          <w:color w:val="231F20"/>
          <w:spacing w:val="-27"/>
          <w:w w:val="105"/>
        </w:rPr>
        <w:t> </w:t>
      </w:r>
      <w:r>
        <w:rPr>
          <w:color w:val="231F20"/>
          <w:w w:val="105"/>
        </w:rPr>
        <w:t>solidaristico</w:t>
      </w:r>
      <w:r>
        <w:rPr>
          <w:color w:val="231F20"/>
          <w:w w:val="105"/>
          <w:position w:val="7"/>
          <w:sz w:val="12"/>
        </w:rPr>
        <w:t>35</w:t>
      </w:r>
      <w:r>
        <w:rPr>
          <w:color w:val="231F20"/>
          <w:w w:val="105"/>
        </w:rPr>
        <w:t>.</w:t>
      </w:r>
    </w:p>
    <w:p>
      <w:pPr>
        <w:pStyle w:val="BodyText"/>
        <w:spacing w:before="11"/>
        <w:rPr>
          <w:sz w:val="19"/>
        </w:rPr>
      </w:pPr>
      <w:r>
        <w:rPr/>
        <w:pict>
          <v:line style="position:absolute;mso-position-horizontal-relative:page;mso-position-vertical-relative:paragraph;z-index:12760;mso-wrap-distance-left:0;mso-wrap-distance-right:0" from="70.866096pt,14.160588pt" to="184.252096pt,14.160588pt" stroked="true" strokeweight=".3pt" strokecolor="#231f20">
            <w10:wrap type="topAndBottom"/>
          </v:line>
        </w:pict>
      </w:r>
    </w:p>
    <w:p>
      <w:pPr>
        <w:spacing w:line="204" w:lineRule="exact" w:before="8"/>
        <w:ind w:left="117" w:right="121" w:firstLine="0"/>
        <w:jc w:val="both"/>
        <w:rPr>
          <w:rFonts w:ascii="Calibri" w:hAnsi="Calibri"/>
          <w:sz w:val="17"/>
        </w:rPr>
      </w:pPr>
      <w:r>
        <w:rPr>
          <w:rFonts w:ascii="Calibri" w:hAnsi="Calibri"/>
          <w:color w:val="231F20"/>
          <w:w w:val="105"/>
          <w:position w:val="6"/>
          <w:sz w:val="10"/>
        </w:rPr>
        <w:t>32 </w:t>
      </w:r>
      <w:r>
        <w:rPr>
          <w:rFonts w:ascii="Calibri" w:hAnsi="Calibri"/>
          <w:color w:val="231F20"/>
          <w:w w:val="105"/>
          <w:sz w:val="17"/>
        </w:rPr>
        <w:t>A. Peters, “Compensatory Constitutionalism. The Function and Potential of Fundamental International</w:t>
      </w:r>
      <w:r>
        <w:rPr>
          <w:rFonts w:ascii="Calibri" w:hAnsi="Calibri"/>
          <w:color w:val="231F20"/>
          <w:spacing w:val="-9"/>
          <w:w w:val="105"/>
          <w:sz w:val="17"/>
        </w:rPr>
        <w:t> </w:t>
      </w:r>
      <w:r>
        <w:rPr>
          <w:rFonts w:ascii="Calibri" w:hAnsi="Calibri"/>
          <w:color w:val="231F20"/>
          <w:w w:val="105"/>
          <w:sz w:val="17"/>
        </w:rPr>
        <w:t>Norms</w:t>
      </w:r>
      <w:r>
        <w:rPr>
          <w:rFonts w:ascii="Calibri" w:hAnsi="Calibri"/>
          <w:color w:val="231F20"/>
          <w:spacing w:val="-9"/>
          <w:w w:val="105"/>
          <w:sz w:val="17"/>
        </w:rPr>
        <w:t> </w:t>
      </w:r>
      <w:r>
        <w:rPr>
          <w:rFonts w:ascii="Calibri" w:hAnsi="Calibri"/>
          <w:color w:val="231F20"/>
          <w:w w:val="105"/>
          <w:sz w:val="17"/>
        </w:rPr>
        <w:t>and</w:t>
      </w:r>
      <w:r>
        <w:rPr>
          <w:rFonts w:ascii="Calibri" w:hAnsi="Calibri"/>
          <w:color w:val="231F20"/>
          <w:spacing w:val="-9"/>
          <w:w w:val="105"/>
          <w:sz w:val="17"/>
        </w:rPr>
        <w:t> </w:t>
      </w:r>
      <w:r>
        <w:rPr>
          <w:rFonts w:ascii="Calibri" w:hAnsi="Calibri"/>
          <w:color w:val="231F20"/>
          <w:w w:val="105"/>
          <w:sz w:val="17"/>
        </w:rPr>
        <w:t>Structures”,</w:t>
      </w:r>
      <w:r>
        <w:rPr>
          <w:rFonts w:ascii="Calibri" w:hAnsi="Calibri"/>
          <w:color w:val="231F20"/>
          <w:spacing w:val="-9"/>
          <w:w w:val="105"/>
          <w:sz w:val="17"/>
        </w:rPr>
        <w:t> </w:t>
      </w:r>
      <w:r>
        <w:rPr>
          <w:rFonts w:ascii="Calibri" w:hAnsi="Calibri"/>
          <w:i/>
          <w:color w:val="231F20"/>
          <w:w w:val="105"/>
          <w:sz w:val="17"/>
        </w:rPr>
        <w:t>Leiden</w:t>
      </w:r>
      <w:r>
        <w:rPr>
          <w:rFonts w:ascii="Calibri" w:hAnsi="Calibri"/>
          <w:i/>
          <w:color w:val="231F20"/>
          <w:spacing w:val="-9"/>
          <w:w w:val="105"/>
          <w:sz w:val="17"/>
        </w:rPr>
        <w:t> </w:t>
      </w:r>
      <w:r>
        <w:rPr>
          <w:rFonts w:ascii="Calibri" w:hAnsi="Calibri"/>
          <w:i/>
          <w:color w:val="231F20"/>
          <w:w w:val="105"/>
          <w:sz w:val="17"/>
        </w:rPr>
        <w:t>Journal</w:t>
      </w:r>
      <w:r>
        <w:rPr>
          <w:rFonts w:ascii="Calibri" w:hAnsi="Calibri"/>
          <w:i/>
          <w:color w:val="231F20"/>
          <w:spacing w:val="-9"/>
          <w:w w:val="105"/>
          <w:sz w:val="17"/>
        </w:rPr>
        <w:t> </w:t>
      </w:r>
      <w:r>
        <w:rPr>
          <w:rFonts w:ascii="Calibri" w:hAnsi="Calibri"/>
          <w:i/>
          <w:color w:val="231F20"/>
          <w:w w:val="105"/>
          <w:sz w:val="17"/>
        </w:rPr>
        <w:t>of</w:t>
      </w:r>
      <w:r>
        <w:rPr>
          <w:rFonts w:ascii="Calibri" w:hAnsi="Calibri"/>
          <w:i/>
          <w:color w:val="231F20"/>
          <w:spacing w:val="-9"/>
          <w:w w:val="105"/>
          <w:sz w:val="17"/>
        </w:rPr>
        <w:t> </w:t>
      </w:r>
      <w:r>
        <w:rPr>
          <w:rFonts w:ascii="Calibri" w:hAnsi="Calibri"/>
          <w:i/>
          <w:color w:val="231F20"/>
          <w:w w:val="105"/>
          <w:sz w:val="17"/>
        </w:rPr>
        <w:t>International</w:t>
      </w:r>
      <w:r>
        <w:rPr>
          <w:rFonts w:ascii="Calibri" w:hAnsi="Calibri"/>
          <w:i/>
          <w:color w:val="231F20"/>
          <w:spacing w:val="-9"/>
          <w:w w:val="105"/>
          <w:sz w:val="17"/>
        </w:rPr>
        <w:t> </w:t>
      </w:r>
      <w:r>
        <w:rPr>
          <w:rFonts w:ascii="Calibri" w:hAnsi="Calibri"/>
          <w:i/>
          <w:color w:val="231F20"/>
          <w:w w:val="105"/>
          <w:sz w:val="17"/>
        </w:rPr>
        <w:t>Law</w:t>
      </w:r>
      <w:r>
        <w:rPr>
          <w:rFonts w:ascii="Calibri" w:hAnsi="Calibri"/>
          <w:color w:val="231F20"/>
          <w:w w:val="105"/>
          <w:sz w:val="17"/>
        </w:rPr>
        <w:t>,</w:t>
      </w:r>
      <w:r>
        <w:rPr>
          <w:rFonts w:ascii="Calibri" w:hAnsi="Calibri"/>
          <w:color w:val="231F20"/>
          <w:spacing w:val="-9"/>
          <w:w w:val="105"/>
          <w:sz w:val="17"/>
        </w:rPr>
        <w:t> </w:t>
      </w:r>
      <w:r>
        <w:rPr>
          <w:rFonts w:ascii="Calibri" w:hAnsi="Calibri"/>
          <w:color w:val="231F20"/>
          <w:spacing w:val="-3"/>
          <w:w w:val="105"/>
          <w:sz w:val="17"/>
        </w:rPr>
        <w:t>19,</w:t>
      </w:r>
      <w:r>
        <w:rPr>
          <w:rFonts w:ascii="Calibri" w:hAnsi="Calibri"/>
          <w:color w:val="231F20"/>
          <w:spacing w:val="-9"/>
          <w:w w:val="105"/>
          <w:sz w:val="17"/>
        </w:rPr>
        <w:t> </w:t>
      </w:r>
      <w:r>
        <w:rPr>
          <w:rFonts w:ascii="Calibri" w:hAnsi="Calibri"/>
          <w:color w:val="231F20"/>
          <w:w w:val="105"/>
          <w:sz w:val="17"/>
        </w:rPr>
        <w:t>2006,</w:t>
      </w:r>
      <w:r>
        <w:rPr>
          <w:rFonts w:ascii="Calibri" w:hAnsi="Calibri"/>
          <w:color w:val="231F20"/>
          <w:spacing w:val="-9"/>
          <w:w w:val="105"/>
          <w:sz w:val="17"/>
        </w:rPr>
        <w:t> </w:t>
      </w:r>
      <w:r>
        <w:rPr>
          <w:rFonts w:ascii="Calibri" w:hAnsi="Calibri"/>
          <w:color w:val="231F20"/>
          <w:w w:val="105"/>
          <w:sz w:val="17"/>
        </w:rPr>
        <w:t>pp.</w:t>
      </w:r>
      <w:r>
        <w:rPr>
          <w:rFonts w:ascii="Calibri" w:hAnsi="Calibri"/>
          <w:color w:val="231F20"/>
          <w:spacing w:val="-9"/>
          <w:w w:val="105"/>
          <w:sz w:val="17"/>
        </w:rPr>
        <w:t> </w:t>
      </w:r>
      <w:r>
        <w:rPr>
          <w:rFonts w:ascii="Calibri" w:hAnsi="Calibri"/>
          <w:color w:val="231F20"/>
          <w:w w:val="105"/>
          <w:sz w:val="17"/>
        </w:rPr>
        <w:t>579–610, citado</w:t>
      </w:r>
      <w:r>
        <w:rPr>
          <w:rFonts w:ascii="Calibri" w:hAnsi="Calibri"/>
          <w:color w:val="231F20"/>
          <w:spacing w:val="-29"/>
          <w:w w:val="105"/>
          <w:sz w:val="17"/>
        </w:rPr>
        <w:t> </w:t>
      </w:r>
      <w:r>
        <w:rPr>
          <w:rFonts w:ascii="Calibri" w:hAnsi="Calibri"/>
          <w:color w:val="231F20"/>
          <w:w w:val="105"/>
          <w:sz w:val="17"/>
        </w:rPr>
        <w:t>en</w:t>
      </w:r>
      <w:r>
        <w:rPr>
          <w:rFonts w:ascii="Calibri" w:hAnsi="Calibri"/>
          <w:color w:val="231F20"/>
          <w:spacing w:val="-29"/>
          <w:w w:val="105"/>
          <w:sz w:val="17"/>
        </w:rPr>
        <w:t> </w:t>
      </w:r>
      <w:r>
        <w:rPr>
          <w:rFonts w:ascii="Calibri" w:hAnsi="Calibri"/>
          <w:color w:val="231F20"/>
          <w:w w:val="105"/>
          <w:sz w:val="17"/>
        </w:rPr>
        <w:t>A.</w:t>
      </w:r>
      <w:r>
        <w:rPr>
          <w:rFonts w:ascii="Calibri" w:hAnsi="Calibri"/>
          <w:color w:val="231F20"/>
          <w:spacing w:val="-30"/>
          <w:w w:val="105"/>
          <w:sz w:val="17"/>
        </w:rPr>
        <w:t> </w:t>
      </w:r>
      <w:r>
        <w:rPr>
          <w:rFonts w:ascii="Calibri" w:hAnsi="Calibri"/>
          <w:color w:val="231F20"/>
          <w:w w:val="105"/>
          <w:sz w:val="17"/>
        </w:rPr>
        <w:t>von</w:t>
      </w:r>
      <w:r>
        <w:rPr>
          <w:rFonts w:ascii="Calibri" w:hAnsi="Calibri"/>
          <w:color w:val="231F20"/>
          <w:spacing w:val="-29"/>
          <w:w w:val="105"/>
          <w:sz w:val="17"/>
        </w:rPr>
        <w:t> </w:t>
      </w:r>
      <w:r>
        <w:rPr>
          <w:rFonts w:ascii="Calibri" w:hAnsi="Calibri"/>
          <w:color w:val="231F20"/>
          <w:w w:val="105"/>
          <w:sz w:val="17"/>
        </w:rPr>
        <w:t>Bogdandy</w:t>
      </w:r>
      <w:r>
        <w:rPr>
          <w:rFonts w:ascii="Calibri" w:hAnsi="Calibri"/>
          <w:color w:val="231F20"/>
          <w:spacing w:val="-29"/>
          <w:w w:val="105"/>
          <w:sz w:val="17"/>
        </w:rPr>
        <w:t> </w:t>
      </w:r>
      <w:r>
        <w:rPr>
          <w:rFonts w:ascii="Calibri" w:hAnsi="Calibri"/>
          <w:color w:val="231F20"/>
          <w:w w:val="105"/>
          <w:sz w:val="17"/>
        </w:rPr>
        <w:t>e</w:t>
      </w:r>
      <w:r>
        <w:rPr>
          <w:rFonts w:ascii="Calibri" w:hAnsi="Calibri"/>
          <w:color w:val="231F20"/>
          <w:spacing w:val="-29"/>
          <w:w w:val="105"/>
          <w:sz w:val="17"/>
        </w:rPr>
        <w:t> </w:t>
      </w:r>
      <w:r>
        <w:rPr>
          <w:rFonts w:ascii="Calibri" w:hAnsi="Calibri"/>
          <w:color w:val="231F20"/>
          <w:w w:val="105"/>
          <w:sz w:val="17"/>
        </w:rPr>
        <w:t>I.</w:t>
      </w:r>
      <w:r>
        <w:rPr>
          <w:rFonts w:ascii="Calibri" w:hAnsi="Calibri"/>
          <w:color w:val="231F20"/>
          <w:spacing w:val="-31"/>
          <w:w w:val="105"/>
          <w:sz w:val="17"/>
        </w:rPr>
        <w:t> </w:t>
      </w:r>
      <w:r>
        <w:rPr>
          <w:rFonts w:ascii="Calibri" w:hAnsi="Calibri"/>
          <w:color w:val="231F20"/>
          <w:w w:val="105"/>
          <w:sz w:val="17"/>
        </w:rPr>
        <w:t>Venzke,</w:t>
      </w:r>
      <w:r>
        <w:rPr>
          <w:rFonts w:ascii="Calibri" w:hAnsi="Calibri"/>
          <w:color w:val="231F20"/>
          <w:spacing w:val="-29"/>
          <w:w w:val="105"/>
          <w:sz w:val="17"/>
        </w:rPr>
        <w:t> </w:t>
      </w:r>
      <w:r>
        <w:rPr>
          <w:rFonts w:ascii="Calibri" w:hAnsi="Calibri"/>
          <w:i/>
          <w:color w:val="231F20"/>
          <w:w w:val="105"/>
          <w:sz w:val="17"/>
        </w:rPr>
        <w:t>In</w:t>
      </w:r>
      <w:r>
        <w:rPr>
          <w:rFonts w:ascii="Calibri" w:hAnsi="Calibri"/>
          <w:i/>
          <w:color w:val="231F20"/>
          <w:spacing w:val="-30"/>
          <w:w w:val="105"/>
          <w:sz w:val="17"/>
        </w:rPr>
        <w:t> </w:t>
      </w:r>
      <w:r>
        <w:rPr>
          <w:rFonts w:ascii="Calibri" w:hAnsi="Calibri"/>
          <w:i/>
          <w:color w:val="231F20"/>
          <w:w w:val="105"/>
          <w:sz w:val="17"/>
        </w:rPr>
        <w:t>wessen</w:t>
      </w:r>
      <w:r>
        <w:rPr>
          <w:rFonts w:ascii="Calibri" w:hAnsi="Calibri"/>
          <w:i/>
          <w:color w:val="231F20"/>
          <w:spacing w:val="-29"/>
          <w:w w:val="105"/>
          <w:sz w:val="17"/>
        </w:rPr>
        <w:t> </w:t>
      </w:r>
      <w:r>
        <w:rPr>
          <w:rFonts w:ascii="Calibri" w:hAnsi="Calibri"/>
          <w:i/>
          <w:color w:val="231F20"/>
          <w:w w:val="105"/>
          <w:sz w:val="17"/>
        </w:rPr>
        <w:t>Namen?</w:t>
      </w:r>
      <w:r>
        <w:rPr>
          <w:rFonts w:ascii="Calibri" w:hAnsi="Calibri"/>
          <w:i/>
          <w:color w:val="231F20"/>
          <w:spacing w:val="-29"/>
          <w:w w:val="105"/>
          <w:sz w:val="17"/>
        </w:rPr>
        <w:t> </w:t>
      </w:r>
      <w:r>
        <w:rPr>
          <w:rFonts w:ascii="Calibri" w:hAnsi="Calibri"/>
          <w:i/>
          <w:color w:val="231F20"/>
          <w:w w:val="105"/>
          <w:sz w:val="17"/>
        </w:rPr>
        <w:t>Internationale</w:t>
      </w:r>
      <w:r>
        <w:rPr>
          <w:rFonts w:ascii="Calibri" w:hAnsi="Calibri"/>
          <w:i/>
          <w:color w:val="231F20"/>
          <w:spacing w:val="-29"/>
          <w:w w:val="105"/>
          <w:sz w:val="17"/>
        </w:rPr>
        <w:t> </w:t>
      </w:r>
      <w:r>
        <w:rPr>
          <w:rFonts w:ascii="Calibri" w:hAnsi="Calibri"/>
          <w:i/>
          <w:color w:val="231F20"/>
          <w:w w:val="105"/>
          <w:sz w:val="17"/>
        </w:rPr>
        <w:t>Gerichte</w:t>
      </w:r>
      <w:r>
        <w:rPr>
          <w:rFonts w:ascii="Calibri" w:hAnsi="Calibri"/>
          <w:i/>
          <w:color w:val="231F20"/>
          <w:spacing w:val="-29"/>
          <w:w w:val="105"/>
          <w:sz w:val="17"/>
        </w:rPr>
        <w:t> </w:t>
      </w:r>
      <w:r>
        <w:rPr>
          <w:rFonts w:ascii="Calibri" w:hAnsi="Calibri"/>
          <w:color w:val="231F20"/>
          <w:w w:val="105"/>
          <w:sz w:val="17"/>
        </w:rPr>
        <w:t>in</w:t>
      </w:r>
      <w:r>
        <w:rPr>
          <w:rFonts w:ascii="Calibri" w:hAnsi="Calibri"/>
          <w:color w:val="231F20"/>
          <w:spacing w:val="-29"/>
          <w:w w:val="105"/>
          <w:sz w:val="17"/>
        </w:rPr>
        <w:t> </w:t>
      </w:r>
      <w:r>
        <w:rPr>
          <w:rFonts w:ascii="Calibri" w:hAnsi="Calibri"/>
          <w:i/>
          <w:color w:val="231F20"/>
          <w:w w:val="105"/>
          <w:sz w:val="17"/>
        </w:rPr>
        <w:t>Zeichen</w:t>
      </w:r>
      <w:r>
        <w:rPr>
          <w:rFonts w:ascii="Calibri" w:hAnsi="Calibri"/>
          <w:i/>
          <w:color w:val="231F20"/>
          <w:spacing w:val="-29"/>
          <w:w w:val="105"/>
          <w:sz w:val="17"/>
        </w:rPr>
        <w:t> </w:t>
      </w:r>
      <w:r>
        <w:rPr>
          <w:rFonts w:ascii="Calibri" w:hAnsi="Calibri"/>
          <w:i/>
          <w:color w:val="231F20"/>
          <w:w w:val="105"/>
          <w:sz w:val="17"/>
        </w:rPr>
        <w:t>globalen </w:t>
      </w:r>
      <w:r>
        <w:rPr>
          <w:rFonts w:ascii="Calibri" w:hAnsi="Calibri"/>
          <w:i/>
          <w:color w:val="231F20"/>
          <w:sz w:val="17"/>
        </w:rPr>
        <w:t>Regierens</w:t>
      </w:r>
      <w:r>
        <w:rPr>
          <w:rFonts w:ascii="Calibri" w:hAnsi="Calibri"/>
          <w:color w:val="231F20"/>
          <w:sz w:val="17"/>
        </w:rPr>
        <w:t>, Frankfurt am Main, Suhrkamp, 2014, cita p.</w:t>
      </w:r>
      <w:r>
        <w:rPr>
          <w:rFonts w:ascii="Calibri" w:hAnsi="Calibri"/>
          <w:color w:val="231F20"/>
          <w:spacing w:val="-25"/>
          <w:sz w:val="17"/>
        </w:rPr>
        <w:t> </w:t>
      </w:r>
      <w:r>
        <w:rPr>
          <w:rFonts w:ascii="Calibri" w:hAnsi="Calibri"/>
          <w:color w:val="231F20"/>
          <w:sz w:val="17"/>
        </w:rPr>
        <w:t>178.</w:t>
      </w:r>
    </w:p>
    <w:p>
      <w:pPr>
        <w:spacing w:line="204" w:lineRule="exact" w:before="0"/>
        <w:ind w:left="117" w:right="120" w:firstLine="0"/>
        <w:jc w:val="both"/>
        <w:rPr>
          <w:rFonts w:ascii="Calibri" w:hAnsi="Calibri"/>
          <w:sz w:val="17"/>
        </w:rPr>
      </w:pPr>
      <w:r>
        <w:rPr>
          <w:rFonts w:ascii="Calibri" w:hAnsi="Calibri"/>
          <w:color w:val="231F20"/>
          <w:position w:val="6"/>
          <w:sz w:val="10"/>
        </w:rPr>
        <w:t>33 </w:t>
      </w:r>
      <w:r>
        <w:rPr>
          <w:rFonts w:ascii="Calibri" w:hAnsi="Calibri"/>
          <w:color w:val="231F20"/>
          <w:sz w:val="17"/>
        </w:rPr>
        <w:t>E. </w:t>
      </w:r>
      <w:r>
        <w:rPr>
          <w:rFonts w:ascii="Calibri" w:hAnsi="Calibri"/>
          <w:color w:val="231F20"/>
          <w:spacing w:val="-7"/>
          <w:sz w:val="17"/>
        </w:rPr>
        <w:t>W. </w:t>
      </w:r>
      <w:r>
        <w:rPr>
          <w:rFonts w:ascii="Calibri" w:hAnsi="Calibri"/>
          <w:color w:val="231F20"/>
          <w:spacing w:val="-3"/>
          <w:sz w:val="17"/>
        </w:rPr>
        <w:t>Böckenförde, </w:t>
      </w:r>
      <w:r>
        <w:rPr>
          <w:rFonts w:ascii="Calibri" w:hAnsi="Calibri"/>
          <w:i/>
          <w:color w:val="231F20"/>
          <w:spacing w:val="-2"/>
          <w:sz w:val="17"/>
        </w:rPr>
        <w:t>Gesetz </w:t>
      </w:r>
      <w:r>
        <w:rPr>
          <w:rFonts w:ascii="Calibri" w:hAnsi="Calibri"/>
          <w:i/>
          <w:color w:val="231F20"/>
          <w:sz w:val="17"/>
        </w:rPr>
        <w:t>und </w:t>
      </w:r>
      <w:r>
        <w:rPr>
          <w:rFonts w:ascii="Calibri" w:hAnsi="Calibri"/>
          <w:i/>
          <w:color w:val="231F20"/>
          <w:spacing w:val="-3"/>
          <w:sz w:val="17"/>
        </w:rPr>
        <w:t>gesetzgebende </w:t>
      </w:r>
      <w:r>
        <w:rPr>
          <w:rFonts w:ascii="Calibri" w:hAnsi="Calibri"/>
          <w:i/>
          <w:color w:val="231F20"/>
          <w:sz w:val="17"/>
        </w:rPr>
        <w:t>Gewalt. </w:t>
      </w:r>
      <w:r>
        <w:rPr>
          <w:rFonts w:ascii="Calibri" w:hAnsi="Calibri"/>
          <w:i/>
          <w:color w:val="231F20"/>
          <w:spacing w:val="-4"/>
          <w:sz w:val="17"/>
        </w:rPr>
        <w:t>Von </w:t>
      </w:r>
      <w:r>
        <w:rPr>
          <w:rFonts w:ascii="Calibri" w:hAnsi="Calibri"/>
          <w:i/>
          <w:color w:val="231F20"/>
          <w:sz w:val="17"/>
        </w:rPr>
        <w:t>den </w:t>
      </w:r>
      <w:r>
        <w:rPr>
          <w:rFonts w:ascii="Calibri" w:hAnsi="Calibri"/>
          <w:i/>
          <w:color w:val="231F20"/>
          <w:spacing w:val="-3"/>
          <w:sz w:val="17"/>
        </w:rPr>
        <w:t>Anfängen </w:t>
      </w:r>
      <w:r>
        <w:rPr>
          <w:rFonts w:ascii="Calibri" w:hAnsi="Calibri"/>
          <w:i/>
          <w:color w:val="231F20"/>
          <w:sz w:val="17"/>
        </w:rPr>
        <w:t>der </w:t>
      </w:r>
      <w:r>
        <w:rPr>
          <w:rFonts w:ascii="Calibri" w:hAnsi="Calibri"/>
          <w:i/>
          <w:color w:val="231F20"/>
          <w:spacing w:val="-3"/>
          <w:sz w:val="17"/>
        </w:rPr>
        <w:t>deutschen </w:t>
      </w:r>
      <w:r>
        <w:rPr>
          <w:rFonts w:ascii="Calibri" w:hAnsi="Calibri"/>
          <w:i/>
          <w:color w:val="231F20"/>
          <w:spacing w:val="-3"/>
          <w:sz w:val="17"/>
        </w:rPr>
        <w:t>Staatsrechtslehre </w:t>
      </w:r>
      <w:r>
        <w:rPr>
          <w:rFonts w:ascii="Calibri" w:hAnsi="Calibri"/>
          <w:i/>
          <w:color w:val="231F20"/>
          <w:sz w:val="17"/>
        </w:rPr>
        <w:t>bis zur Höhe des </w:t>
      </w:r>
      <w:r>
        <w:rPr>
          <w:rFonts w:ascii="Calibri" w:hAnsi="Calibri"/>
          <w:i/>
          <w:color w:val="231F20"/>
          <w:spacing w:val="-3"/>
          <w:sz w:val="17"/>
        </w:rPr>
        <w:t>staatsrechtlichen </w:t>
      </w:r>
      <w:r>
        <w:rPr>
          <w:rFonts w:ascii="Calibri" w:hAnsi="Calibri"/>
          <w:i/>
          <w:color w:val="231F20"/>
          <w:sz w:val="17"/>
        </w:rPr>
        <w:t>Positivismus</w:t>
      </w:r>
      <w:r>
        <w:rPr>
          <w:rFonts w:ascii="Calibri" w:hAnsi="Calibri"/>
          <w:color w:val="231F20"/>
          <w:sz w:val="17"/>
        </w:rPr>
        <w:t>, Berlin, </w:t>
      </w:r>
      <w:r>
        <w:rPr>
          <w:rFonts w:ascii="Calibri" w:hAnsi="Calibri"/>
          <w:color w:val="231F20"/>
          <w:spacing w:val="-3"/>
          <w:sz w:val="17"/>
        </w:rPr>
        <w:t>Duncker </w:t>
      </w:r>
      <w:r>
        <w:rPr>
          <w:rFonts w:ascii="Calibri" w:hAnsi="Calibri"/>
          <w:color w:val="231F20"/>
          <w:sz w:val="17"/>
        </w:rPr>
        <w:t>und Humblot, 1958. </w:t>
      </w:r>
      <w:r>
        <w:rPr>
          <w:rFonts w:ascii="Calibri" w:hAnsi="Calibri"/>
          <w:color w:val="231F20"/>
          <w:position w:val="6"/>
          <w:sz w:val="10"/>
        </w:rPr>
        <w:t>34 </w:t>
      </w:r>
      <w:r>
        <w:rPr>
          <w:rFonts w:ascii="Calibri" w:hAnsi="Calibri"/>
          <w:color w:val="231F20"/>
          <w:spacing w:val="-10"/>
          <w:sz w:val="17"/>
        </w:rPr>
        <w:t>P. </w:t>
      </w:r>
      <w:r>
        <w:rPr>
          <w:rFonts w:ascii="Calibri" w:hAnsi="Calibri"/>
          <w:color w:val="231F20"/>
          <w:sz w:val="17"/>
        </w:rPr>
        <w:t>Grossi, “Le proprietà collettive ieri, oggi, domani”, C. Bernardi, </w:t>
      </w:r>
      <w:r>
        <w:rPr>
          <w:rFonts w:ascii="Calibri" w:hAnsi="Calibri"/>
          <w:color w:val="231F20"/>
          <w:spacing w:val="-7"/>
          <w:sz w:val="17"/>
        </w:rPr>
        <w:t>F. </w:t>
      </w:r>
      <w:r>
        <w:rPr>
          <w:rFonts w:ascii="Calibri" w:hAnsi="Calibri"/>
          <w:color w:val="231F20"/>
          <w:sz w:val="17"/>
        </w:rPr>
        <w:t>Brancaccio, D. Festa y B. Maria Mennini (Eds.), </w:t>
      </w:r>
      <w:r>
        <w:rPr>
          <w:rFonts w:ascii="Calibri" w:hAnsi="Calibri"/>
          <w:i/>
          <w:color w:val="231F20"/>
          <w:sz w:val="17"/>
        </w:rPr>
        <w:t>Fare spazio. Pratiche del comune e diritto alla città</w:t>
      </w:r>
      <w:r>
        <w:rPr>
          <w:rFonts w:ascii="Calibri" w:hAnsi="Calibri"/>
          <w:color w:val="231F20"/>
          <w:sz w:val="17"/>
        </w:rPr>
        <w:t>, Sesto San Giovanni, Mimesis, 2015, p. 39.</w:t>
      </w:r>
    </w:p>
    <w:p>
      <w:pPr>
        <w:spacing w:line="206" w:lineRule="exact" w:before="1"/>
        <w:ind w:left="117" w:right="0" w:firstLine="0"/>
        <w:jc w:val="both"/>
        <w:rPr>
          <w:rFonts w:ascii="Calibri" w:hAnsi="Calibri"/>
          <w:sz w:val="17"/>
        </w:rPr>
      </w:pPr>
      <w:r>
        <w:rPr>
          <w:rFonts w:ascii="Calibri" w:hAnsi="Calibri"/>
          <w:color w:val="231F20"/>
          <w:w w:val="105"/>
          <w:position w:val="6"/>
          <w:sz w:val="10"/>
        </w:rPr>
        <w:t>35 </w:t>
      </w:r>
      <w:r>
        <w:rPr>
          <w:rFonts w:ascii="Calibri" w:hAnsi="Calibri"/>
          <w:color w:val="231F20"/>
          <w:w w:val="105"/>
          <w:sz w:val="17"/>
        </w:rPr>
        <w:t>L. Cobbe, “Solidarietà in movimento. Politica, sociologia e diritto tra welfare e globalizzazione”,</w:t>
      </w:r>
    </w:p>
    <w:p>
      <w:pPr>
        <w:spacing w:line="206" w:lineRule="exact" w:before="0"/>
        <w:ind w:left="117" w:right="0" w:firstLine="0"/>
        <w:jc w:val="both"/>
        <w:rPr>
          <w:rFonts w:ascii="Calibri" w:hAnsi="Calibri"/>
          <w:sz w:val="17"/>
        </w:rPr>
      </w:pPr>
      <w:r>
        <w:rPr>
          <w:rFonts w:ascii="Calibri" w:hAnsi="Calibri"/>
          <w:i/>
          <w:color w:val="231F20"/>
          <w:sz w:val="17"/>
        </w:rPr>
        <w:t>Scienza &amp; Politica</w:t>
      </w:r>
      <w:r>
        <w:rPr>
          <w:rFonts w:ascii="Calibri" w:hAnsi="Calibri"/>
          <w:color w:val="231F20"/>
          <w:sz w:val="17"/>
        </w:rPr>
        <w:t>, 26, 51, 2014, pp. 3–16: che fa da introduzione alla parte monografica di quel</w:t>
      </w:r>
    </w:p>
    <w:p>
      <w:pPr>
        <w:spacing w:after="0" w:line="206" w:lineRule="exact"/>
        <w:jc w:val="both"/>
        <w:rPr>
          <w:rFonts w:ascii="Calibri" w:hAnsi="Calibri"/>
          <w:sz w:val="17"/>
        </w:rPr>
        <w:sectPr>
          <w:pgSz w:w="9640" w:h="13890"/>
          <w:pgMar w:top="0" w:bottom="280" w:left="1300" w:right="1180"/>
        </w:sectPr>
      </w:pPr>
    </w:p>
    <w:p>
      <w:pPr>
        <w:pStyle w:val="BodyText"/>
        <w:spacing w:line="244" w:lineRule="auto" w:before="107"/>
        <w:ind w:left="103" w:right="110"/>
        <w:jc w:val="both"/>
      </w:pPr>
      <w:r>
        <w:rPr>
          <w:color w:val="231F20"/>
        </w:rPr>
        <w:t>Sono</w:t>
      </w:r>
      <w:r>
        <w:rPr>
          <w:color w:val="231F20"/>
          <w:spacing w:val="-7"/>
        </w:rPr>
        <w:t> </w:t>
      </w:r>
      <w:r>
        <w:rPr>
          <w:color w:val="231F20"/>
        </w:rPr>
        <w:t>discorsi</w:t>
      </w:r>
      <w:r>
        <w:rPr>
          <w:color w:val="231F20"/>
          <w:spacing w:val="-7"/>
        </w:rPr>
        <w:t> </w:t>
      </w:r>
      <w:r>
        <w:rPr>
          <w:color w:val="231F20"/>
        </w:rPr>
        <w:t>che</w:t>
      </w:r>
      <w:r>
        <w:rPr>
          <w:color w:val="231F20"/>
          <w:spacing w:val="-5"/>
        </w:rPr>
        <w:t> </w:t>
      </w:r>
      <w:r>
        <w:rPr>
          <w:color w:val="231F20"/>
        </w:rPr>
        <w:t>mi</w:t>
      </w:r>
      <w:r>
        <w:rPr>
          <w:color w:val="231F20"/>
          <w:spacing w:val="-7"/>
        </w:rPr>
        <w:t> </w:t>
      </w:r>
      <w:r>
        <w:rPr>
          <w:color w:val="231F20"/>
        </w:rPr>
        <w:t>piacciono</w:t>
      </w:r>
      <w:r>
        <w:rPr>
          <w:color w:val="231F20"/>
          <w:spacing w:val="-7"/>
        </w:rPr>
        <w:t> </w:t>
      </w:r>
      <w:r>
        <w:rPr>
          <w:color w:val="231F20"/>
        </w:rPr>
        <w:t>e</w:t>
      </w:r>
      <w:r>
        <w:rPr>
          <w:color w:val="231F20"/>
          <w:spacing w:val="-5"/>
        </w:rPr>
        <w:t> </w:t>
      </w:r>
      <w:r>
        <w:rPr>
          <w:color w:val="231F20"/>
        </w:rPr>
        <w:t>che</w:t>
      </w:r>
      <w:r>
        <w:rPr>
          <w:color w:val="231F20"/>
          <w:spacing w:val="-7"/>
        </w:rPr>
        <w:t> </w:t>
      </w:r>
      <w:r>
        <w:rPr>
          <w:color w:val="231F20"/>
        </w:rPr>
        <w:t>intimamente</w:t>
      </w:r>
      <w:r>
        <w:rPr>
          <w:color w:val="231F20"/>
          <w:spacing w:val="-7"/>
        </w:rPr>
        <w:t> </w:t>
      </w:r>
      <w:r>
        <w:rPr>
          <w:color w:val="231F20"/>
        </w:rPr>
        <w:t>condivido,</w:t>
      </w:r>
      <w:r>
        <w:rPr>
          <w:color w:val="231F20"/>
          <w:spacing w:val="-5"/>
        </w:rPr>
        <w:t> </w:t>
      </w:r>
      <w:r>
        <w:rPr>
          <w:color w:val="231F20"/>
        </w:rPr>
        <w:t>come</w:t>
      </w:r>
      <w:r>
        <w:rPr>
          <w:color w:val="231F20"/>
          <w:spacing w:val="-7"/>
        </w:rPr>
        <w:t> </w:t>
      </w:r>
      <w:r>
        <w:rPr>
          <w:color w:val="231F20"/>
        </w:rPr>
        <w:t>si</w:t>
      </w:r>
      <w:r>
        <w:rPr>
          <w:color w:val="231F20"/>
          <w:spacing w:val="-5"/>
        </w:rPr>
        <w:t> </w:t>
      </w:r>
      <w:r>
        <w:rPr>
          <w:color w:val="231F20"/>
        </w:rPr>
        <w:t>vedrà anche</w:t>
      </w:r>
      <w:r>
        <w:rPr>
          <w:color w:val="231F20"/>
          <w:spacing w:val="-10"/>
        </w:rPr>
        <w:t> </w:t>
      </w:r>
      <w:r>
        <w:rPr>
          <w:color w:val="231F20"/>
        </w:rPr>
        <w:t>alla</w:t>
      </w:r>
      <w:r>
        <w:rPr>
          <w:color w:val="231F20"/>
          <w:spacing w:val="-10"/>
        </w:rPr>
        <w:t> </w:t>
      </w:r>
      <w:r>
        <w:rPr>
          <w:color w:val="231F20"/>
        </w:rPr>
        <w:t>fine.</w:t>
      </w:r>
      <w:r>
        <w:rPr>
          <w:color w:val="231F20"/>
          <w:spacing w:val="-10"/>
        </w:rPr>
        <w:t> </w:t>
      </w:r>
      <w:r>
        <w:rPr>
          <w:color w:val="231F20"/>
        </w:rPr>
        <w:t>Ma</w:t>
      </w:r>
      <w:r>
        <w:rPr>
          <w:color w:val="231F20"/>
          <w:spacing w:val="-10"/>
        </w:rPr>
        <w:t> </w:t>
      </w:r>
      <w:r>
        <w:rPr>
          <w:color w:val="231F20"/>
        </w:rPr>
        <w:t>non</w:t>
      </w:r>
      <w:r>
        <w:rPr>
          <w:color w:val="231F20"/>
          <w:spacing w:val="-10"/>
        </w:rPr>
        <w:t> </w:t>
      </w:r>
      <w:r>
        <w:rPr>
          <w:color w:val="231F20"/>
        </w:rPr>
        <w:t>vorrei</w:t>
      </w:r>
      <w:r>
        <w:rPr>
          <w:color w:val="231F20"/>
          <w:spacing w:val="-10"/>
        </w:rPr>
        <w:t> </w:t>
      </w:r>
      <w:r>
        <w:rPr>
          <w:color w:val="231F20"/>
        </w:rPr>
        <w:t>rinunciare</w:t>
      </w:r>
      <w:r>
        <w:rPr>
          <w:color w:val="231F20"/>
          <w:spacing w:val="-10"/>
        </w:rPr>
        <w:t> </w:t>
      </w:r>
      <w:r>
        <w:rPr>
          <w:color w:val="231F20"/>
        </w:rPr>
        <w:t>al</w:t>
      </w:r>
      <w:r>
        <w:rPr>
          <w:color w:val="231F20"/>
          <w:spacing w:val="-10"/>
        </w:rPr>
        <w:t> </w:t>
      </w:r>
      <w:r>
        <w:rPr>
          <w:color w:val="231F20"/>
        </w:rPr>
        <w:t>tono</w:t>
      </w:r>
      <w:r>
        <w:rPr>
          <w:color w:val="231F20"/>
          <w:spacing w:val="-10"/>
        </w:rPr>
        <w:t> </w:t>
      </w:r>
      <w:r>
        <w:rPr>
          <w:color w:val="231F20"/>
        </w:rPr>
        <w:t>più</w:t>
      </w:r>
      <w:r>
        <w:rPr>
          <w:color w:val="231F20"/>
          <w:spacing w:val="-10"/>
        </w:rPr>
        <w:t> </w:t>
      </w:r>
      <w:r>
        <w:rPr>
          <w:color w:val="231F20"/>
        </w:rPr>
        <w:t>critico</w:t>
      </w:r>
      <w:r>
        <w:rPr>
          <w:color w:val="231F20"/>
          <w:spacing w:val="-10"/>
        </w:rPr>
        <w:t> </w:t>
      </w:r>
      <w:r>
        <w:rPr>
          <w:color w:val="231F20"/>
        </w:rPr>
        <w:t>e</w:t>
      </w:r>
      <w:r>
        <w:rPr>
          <w:color w:val="231F20"/>
          <w:spacing w:val="-10"/>
        </w:rPr>
        <w:t> </w:t>
      </w:r>
      <w:r>
        <w:rPr>
          <w:color w:val="231F20"/>
        </w:rPr>
        <w:t>negativo</w:t>
      </w:r>
      <w:r>
        <w:rPr>
          <w:color w:val="231F20"/>
          <w:spacing w:val="-10"/>
        </w:rPr>
        <w:t> </w:t>
      </w:r>
      <w:r>
        <w:rPr>
          <w:color w:val="231F20"/>
        </w:rPr>
        <w:t>da</w:t>
      </w:r>
      <w:r>
        <w:rPr>
          <w:color w:val="231F20"/>
          <w:spacing w:val="-10"/>
        </w:rPr>
        <w:t> </w:t>
      </w:r>
      <w:r>
        <w:rPr>
          <w:color w:val="231F20"/>
        </w:rPr>
        <w:t>cui da tempo guardo allo Stato moderno </w:t>
      </w:r>
      <w:r>
        <w:rPr>
          <w:color w:val="231F20"/>
          <w:position w:val="7"/>
          <w:sz w:val="12"/>
        </w:rPr>
        <w:t>36</w:t>
      </w:r>
      <w:r>
        <w:rPr>
          <w:color w:val="231F20"/>
        </w:rPr>
        <w:t>. Nonostante la mia scarsa simpatia per</w:t>
      </w:r>
      <w:r>
        <w:rPr>
          <w:color w:val="231F20"/>
          <w:spacing w:val="-10"/>
        </w:rPr>
        <w:t> </w:t>
      </w:r>
      <w:r>
        <w:rPr>
          <w:color w:val="231F20"/>
        </w:rPr>
        <w:t>la</w:t>
      </w:r>
      <w:r>
        <w:rPr>
          <w:color w:val="231F20"/>
          <w:spacing w:val="-10"/>
        </w:rPr>
        <w:t> </w:t>
      </w:r>
      <w:r>
        <w:rPr>
          <w:color w:val="231F20"/>
        </w:rPr>
        <w:t>dottrina</w:t>
      </w:r>
      <w:r>
        <w:rPr>
          <w:color w:val="231F20"/>
          <w:spacing w:val="-10"/>
        </w:rPr>
        <w:t> </w:t>
      </w:r>
      <w:r>
        <w:rPr>
          <w:color w:val="231F20"/>
        </w:rPr>
        <w:t>politica</w:t>
      </w:r>
      <w:r>
        <w:rPr>
          <w:color w:val="231F20"/>
          <w:spacing w:val="-10"/>
        </w:rPr>
        <w:t> </w:t>
      </w:r>
      <w:r>
        <w:rPr>
          <w:color w:val="231F20"/>
        </w:rPr>
        <w:t>di</w:t>
      </w:r>
      <w:r>
        <w:rPr>
          <w:color w:val="231F20"/>
          <w:spacing w:val="-10"/>
        </w:rPr>
        <w:t> </w:t>
      </w:r>
      <w:r>
        <w:rPr>
          <w:color w:val="231F20"/>
        </w:rPr>
        <w:t>Carl</w:t>
      </w:r>
      <w:r>
        <w:rPr>
          <w:color w:val="231F20"/>
          <w:spacing w:val="-10"/>
        </w:rPr>
        <w:t> </w:t>
      </w:r>
      <w:r>
        <w:rPr>
          <w:color w:val="231F20"/>
        </w:rPr>
        <w:t>Schmitt,</w:t>
      </w:r>
      <w:r>
        <w:rPr>
          <w:color w:val="231F20"/>
          <w:spacing w:val="-10"/>
        </w:rPr>
        <w:t> </w:t>
      </w:r>
      <w:r>
        <w:rPr>
          <w:color w:val="231F20"/>
        </w:rPr>
        <w:t>mi</w:t>
      </w:r>
      <w:r>
        <w:rPr>
          <w:color w:val="231F20"/>
          <w:spacing w:val="-10"/>
        </w:rPr>
        <w:t> </w:t>
      </w:r>
      <w:r>
        <w:rPr>
          <w:color w:val="231F20"/>
        </w:rPr>
        <w:t>permetto</w:t>
      </w:r>
      <w:r>
        <w:rPr>
          <w:color w:val="231F20"/>
          <w:spacing w:val="-10"/>
        </w:rPr>
        <w:t> </w:t>
      </w:r>
      <w:r>
        <w:rPr>
          <w:color w:val="231F20"/>
        </w:rPr>
        <w:t>di</w:t>
      </w:r>
      <w:r>
        <w:rPr>
          <w:color w:val="231F20"/>
          <w:spacing w:val="-10"/>
        </w:rPr>
        <w:t> </w:t>
      </w:r>
      <w:r>
        <w:rPr>
          <w:color w:val="231F20"/>
        </w:rPr>
        <w:t>citare</w:t>
      </w:r>
      <w:r>
        <w:rPr>
          <w:color w:val="231F20"/>
          <w:spacing w:val="-10"/>
        </w:rPr>
        <w:t> </w:t>
      </w:r>
      <w:r>
        <w:rPr>
          <w:color w:val="231F20"/>
        </w:rPr>
        <w:t>dalla</w:t>
      </w:r>
      <w:r>
        <w:rPr>
          <w:color w:val="231F20"/>
          <w:spacing w:val="-10"/>
        </w:rPr>
        <w:t> </w:t>
      </w:r>
      <w:r>
        <w:rPr>
          <w:rFonts w:ascii="Arial" w:hAnsi="Arial"/>
          <w:i/>
          <w:color w:val="231F20"/>
        </w:rPr>
        <w:t>Premessa </w:t>
      </w:r>
      <w:r>
        <w:rPr>
          <w:color w:val="231F20"/>
        </w:rPr>
        <w:t>alla traduzione italiana dei suoi scritti sul</w:t>
      </w:r>
      <w:r>
        <w:rPr>
          <w:color w:val="231F20"/>
          <w:spacing w:val="41"/>
        </w:rPr>
        <w:t> </w:t>
      </w:r>
      <w:r>
        <w:rPr>
          <w:color w:val="231F20"/>
        </w:rPr>
        <w:t>“politico”:</w:t>
      </w:r>
    </w:p>
    <w:p>
      <w:pPr>
        <w:pStyle w:val="BodyText"/>
        <w:spacing w:before="1"/>
        <w:rPr>
          <w:sz w:val="23"/>
        </w:rPr>
      </w:pPr>
    </w:p>
    <w:p>
      <w:pPr>
        <w:spacing w:line="220" w:lineRule="exact" w:before="0"/>
        <w:ind w:left="1521" w:right="109" w:firstLine="0"/>
        <w:jc w:val="both"/>
        <w:rPr>
          <w:sz w:val="19"/>
        </w:rPr>
      </w:pPr>
      <w:r>
        <w:rPr>
          <w:color w:val="231F20"/>
          <w:sz w:val="19"/>
        </w:rPr>
        <w:t>Si resta spesso attoniti di fronte allo zelo con cui proprio i nuovi soggetti della politica si servono dei vecchi concetti; ma sarebbe ingenuo scorgere in ciò un segno di conservatorismo, allo stesso modo come non è possibile intendere il mutamento, all’interno dello Stato, dei concetti di legge e di costituzione come una</w:t>
      </w:r>
      <w:r>
        <w:rPr>
          <w:color w:val="231F20"/>
          <w:spacing w:val="-25"/>
          <w:sz w:val="19"/>
        </w:rPr>
        <w:t> </w:t>
      </w:r>
      <w:r>
        <w:rPr>
          <w:color w:val="231F20"/>
          <w:sz w:val="19"/>
        </w:rPr>
        <w:t>prova di restaurazione di concetti classici. </w:t>
      </w:r>
      <w:r>
        <w:rPr>
          <w:color w:val="231F20"/>
          <w:spacing w:val="-5"/>
          <w:sz w:val="19"/>
        </w:rPr>
        <w:t>Tanto </w:t>
      </w:r>
      <w:r>
        <w:rPr>
          <w:color w:val="231F20"/>
          <w:sz w:val="19"/>
        </w:rPr>
        <w:t>legge che costituzione </w:t>
      </w:r>
      <w:r>
        <w:rPr>
          <w:color w:val="231F20"/>
          <w:spacing w:val="2"/>
          <w:sz w:val="19"/>
        </w:rPr>
        <w:t>vengono infatti ormai distinte solo </w:t>
      </w:r>
      <w:r>
        <w:rPr>
          <w:color w:val="231F20"/>
          <w:sz w:val="19"/>
        </w:rPr>
        <w:t>a </w:t>
      </w:r>
      <w:r>
        <w:rPr>
          <w:color w:val="231F20"/>
          <w:spacing w:val="2"/>
          <w:sz w:val="19"/>
        </w:rPr>
        <w:t>mala pena dalla </w:t>
      </w:r>
      <w:r>
        <w:rPr>
          <w:color w:val="231F20"/>
          <w:spacing w:val="3"/>
          <w:sz w:val="19"/>
        </w:rPr>
        <w:t>‘misura’ </w:t>
      </w:r>
      <w:r>
        <w:rPr>
          <w:color w:val="231F20"/>
          <w:sz w:val="19"/>
        </w:rPr>
        <w:t>(Maßnahme). I Giacobini della Rivoluzione francese erano ancora consapevoli della differenza fra legge e ‘misura’: tale distinzione rientrava nei princìpi rivoluzionari ed era frutto di una riflessione razionale.</w:t>
      </w:r>
      <w:r>
        <w:rPr>
          <w:color w:val="231F20"/>
          <w:spacing w:val="-19"/>
          <w:sz w:val="19"/>
        </w:rPr>
        <w:t> </w:t>
      </w:r>
      <w:r>
        <w:rPr>
          <w:color w:val="231F20"/>
          <w:sz w:val="19"/>
        </w:rPr>
        <w:t>Essa</w:t>
      </w:r>
      <w:r>
        <w:rPr>
          <w:color w:val="231F20"/>
          <w:spacing w:val="-19"/>
          <w:sz w:val="19"/>
        </w:rPr>
        <w:t> </w:t>
      </w:r>
      <w:r>
        <w:rPr>
          <w:color w:val="231F20"/>
          <w:sz w:val="19"/>
        </w:rPr>
        <w:t>era</w:t>
      </w:r>
      <w:r>
        <w:rPr>
          <w:color w:val="231F20"/>
          <w:spacing w:val="-19"/>
          <w:sz w:val="19"/>
        </w:rPr>
        <w:t> </w:t>
      </w:r>
      <w:r>
        <w:rPr>
          <w:color w:val="231F20"/>
          <w:sz w:val="19"/>
        </w:rPr>
        <w:t>sacrosanta</w:t>
      </w:r>
      <w:r>
        <w:rPr>
          <w:color w:val="231F20"/>
          <w:spacing w:val="-19"/>
          <w:sz w:val="19"/>
        </w:rPr>
        <w:t> </w:t>
      </w:r>
      <w:r>
        <w:rPr>
          <w:color w:val="231F20"/>
          <w:sz w:val="19"/>
        </w:rPr>
        <w:t>anche</w:t>
      </w:r>
      <w:r>
        <w:rPr>
          <w:color w:val="231F20"/>
          <w:spacing w:val="-19"/>
          <w:sz w:val="19"/>
        </w:rPr>
        <w:t> </w:t>
      </w:r>
      <w:r>
        <w:rPr>
          <w:color w:val="231F20"/>
          <w:sz w:val="19"/>
        </w:rPr>
        <w:t>per</w:t>
      </w:r>
      <w:r>
        <w:rPr>
          <w:color w:val="231F20"/>
          <w:spacing w:val="-19"/>
          <w:sz w:val="19"/>
        </w:rPr>
        <w:t> </w:t>
      </w:r>
      <w:r>
        <w:rPr>
          <w:color w:val="231F20"/>
          <w:sz w:val="19"/>
        </w:rPr>
        <w:t>un</w:t>
      </w:r>
      <w:r>
        <w:rPr>
          <w:color w:val="231F20"/>
          <w:spacing w:val="-19"/>
          <w:sz w:val="19"/>
        </w:rPr>
        <w:t> </w:t>
      </w:r>
      <w:r>
        <w:rPr>
          <w:color w:val="231F20"/>
          <w:sz w:val="19"/>
        </w:rPr>
        <w:t>uomo</w:t>
      </w:r>
      <w:r>
        <w:rPr>
          <w:color w:val="231F20"/>
          <w:spacing w:val="-19"/>
          <w:sz w:val="19"/>
        </w:rPr>
        <w:t> </w:t>
      </w:r>
      <w:r>
        <w:rPr>
          <w:color w:val="231F20"/>
          <w:sz w:val="19"/>
        </w:rPr>
        <w:t>del</w:t>
      </w:r>
      <w:r>
        <w:rPr>
          <w:color w:val="231F20"/>
          <w:spacing w:val="-19"/>
          <w:sz w:val="19"/>
        </w:rPr>
        <w:t> </w:t>
      </w:r>
      <w:r>
        <w:rPr>
          <w:color w:val="231F20"/>
          <w:spacing w:val="-6"/>
          <w:sz w:val="19"/>
        </w:rPr>
        <w:t>Terrore</w:t>
      </w:r>
      <w:r>
        <w:rPr>
          <w:color w:val="231F20"/>
          <w:spacing w:val="-19"/>
          <w:sz w:val="19"/>
        </w:rPr>
        <w:t> </w:t>
      </w:r>
      <w:r>
        <w:rPr>
          <w:color w:val="231F20"/>
          <w:sz w:val="19"/>
        </w:rPr>
        <w:t>come Robespierre, mentre appare del tutto </w:t>
      </w:r>
      <w:r>
        <w:rPr>
          <w:color w:val="231F20"/>
          <w:spacing w:val="2"/>
          <w:sz w:val="19"/>
        </w:rPr>
        <w:t>smarrita </w:t>
      </w:r>
      <w:r>
        <w:rPr>
          <w:color w:val="231F20"/>
          <w:sz w:val="19"/>
        </w:rPr>
        <w:t>dalla </w:t>
      </w:r>
      <w:r>
        <w:rPr>
          <w:color w:val="231F20"/>
          <w:spacing w:val="2"/>
          <w:sz w:val="19"/>
        </w:rPr>
        <w:t>coscienza </w:t>
      </w:r>
      <w:r>
        <w:rPr>
          <w:color w:val="231F20"/>
          <w:spacing w:val="-3"/>
          <w:sz w:val="19"/>
        </w:rPr>
        <w:t>moderna. Nella rapidità </w:t>
      </w:r>
      <w:r>
        <w:rPr>
          <w:color w:val="231F20"/>
          <w:sz w:val="19"/>
        </w:rPr>
        <w:t>del </w:t>
      </w:r>
      <w:r>
        <w:rPr>
          <w:color w:val="231F20"/>
          <w:spacing w:val="-3"/>
          <w:sz w:val="19"/>
        </w:rPr>
        <w:t>processo scientifico–tecnico–industriale </w:t>
      </w:r>
      <w:r>
        <w:rPr>
          <w:color w:val="231F20"/>
          <w:sz w:val="19"/>
        </w:rPr>
        <w:t>non è più possibile distinguere fra costituzione, legge e ‘misura’, che</w:t>
      </w:r>
      <w:r>
        <w:rPr>
          <w:color w:val="231F20"/>
          <w:spacing w:val="-16"/>
          <w:sz w:val="19"/>
        </w:rPr>
        <w:t> </w:t>
      </w:r>
      <w:r>
        <w:rPr>
          <w:color w:val="231F20"/>
          <w:sz w:val="19"/>
        </w:rPr>
        <w:t>invece</w:t>
      </w:r>
      <w:r>
        <w:rPr>
          <w:color w:val="231F20"/>
          <w:spacing w:val="-16"/>
          <w:sz w:val="19"/>
        </w:rPr>
        <w:t> </w:t>
      </w:r>
      <w:r>
        <w:rPr>
          <w:color w:val="231F20"/>
          <w:sz w:val="19"/>
        </w:rPr>
        <w:t>si</w:t>
      </w:r>
      <w:r>
        <w:rPr>
          <w:color w:val="231F20"/>
          <w:spacing w:val="-16"/>
          <w:sz w:val="19"/>
        </w:rPr>
        <w:t> </w:t>
      </w:r>
      <w:r>
        <w:rPr>
          <w:color w:val="231F20"/>
          <w:sz w:val="19"/>
        </w:rPr>
        <w:t>sono</w:t>
      </w:r>
      <w:r>
        <w:rPr>
          <w:color w:val="231F20"/>
          <w:spacing w:val="-16"/>
          <w:sz w:val="19"/>
        </w:rPr>
        <w:t> </w:t>
      </w:r>
      <w:r>
        <w:rPr>
          <w:color w:val="231F20"/>
          <w:sz w:val="19"/>
        </w:rPr>
        <w:t>semplicemente</w:t>
      </w:r>
      <w:r>
        <w:rPr>
          <w:color w:val="231F20"/>
          <w:spacing w:val="-16"/>
          <w:sz w:val="19"/>
        </w:rPr>
        <w:t> </w:t>
      </w:r>
      <w:r>
        <w:rPr>
          <w:color w:val="231F20"/>
          <w:sz w:val="19"/>
        </w:rPr>
        <w:t>trasformate</w:t>
      </w:r>
      <w:r>
        <w:rPr>
          <w:color w:val="231F20"/>
          <w:spacing w:val="-16"/>
          <w:sz w:val="19"/>
        </w:rPr>
        <w:t> </w:t>
      </w:r>
      <w:r>
        <w:rPr>
          <w:color w:val="231F20"/>
          <w:sz w:val="19"/>
        </w:rPr>
        <w:t>in</w:t>
      </w:r>
      <w:r>
        <w:rPr>
          <w:color w:val="231F20"/>
          <w:spacing w:val="-16"/>
          <w:sz w:val="19"/>
        </w:rPr>
        <w:t> </w:t>
      </w:r>
      <w:r>
        <w:rPr>
          <w:color w:val="231F20"/>
          <w:sz w:val="19"/>
        </w:rPr>
        <w:t>altrettanti</w:t>
      </w:r>
      <w:r>
        <w:rPr>
          <w:color w:val="231F20"/>
          <w:spacing w:val="-16"/>
          <w:sz w:val="19"/>
        </w:rPr>
        <w:t> </w:t>
      </w:r>
      <w:r>
        <w:rPr>
          <w:color w:val="231F20"/>
          <w:sz w:val="19"/>
        </w:rPr>
        <w:t>metodi di una permanente trasmutazione dei valori. In tal modo sorge il moderno fenomeno della rivoluzione legale, che viene presentata </w:t>
      </w:r>
      <w:r>
        <w:rPr>
          <w:color w:val="231F20"/>
          <w:spacing w:val="3"/>
          <w:sz w:val="19"/>
        </w:rPr>
        <w:t>come </w:t>
      </w:r>
      <w:r>
        <w:rPr>
          <w:color w:val="231F20"/>
          <w:sz w:val="19"/>
        </w:rPr>
        <w:t>il </w:t>
      </w:r>
      <w:r>
        <w:rPr>
          <w:color w:val="231F20"/>
          <w:spacing w:val="3"/>
          <w:sz w:val="19"/>
        </w:rPr>
        <w:t>veicolo inaspettatamente adeguato della </w:t>
      </w:r>
      <w:r>
        <w:rPr>
          <w:color w:val="231F20"/>
          <w:spacing w:val="4"/>
          <w:sz w:val="19"/>
        </w:rPr>
        <w:t>rivoluzione </w:t>
      </w:r>
      <w:r>
        <w:rPr>
          <w:color w:val="231F20"/>
          <w:sz w:val="19"/>
        </w:rPr>
        <w:t>permanente</w:t>
      </w:r>
      <w:r>
        <w:rPr>
          <w:color w:val="231F20"/>
          <w:position w:val="6"/>
          <w:sz w:val="11"/>
        </w:rPr>
        <w:t>37</w:t>
      </w:r>
      <w:r>
        <w:rPr>
          <w:color w:val="231F20"/>
          <w:sz w:val="19"/>
        </w:rPr>
        <w:t>.</w:t>
      </w:r>
    </w:p>
    <w:p>
      <w:pPr>
        <w:pStyle w:val="BodyText"/>
        <w:spacing w:before="11"/>
        <w:rPr>
          <w:sz w:val="23"/>
        </w:rPr>
      </w:pPr>
    </w:p>
    <w:p>
      <w:pPr>
        <w:pStyle w:val="BodyText"/>
        <w:spacing w:line="247" w:lineRule="auto"/>
        <w:ind w:left="103" w:right="107"/>
        <w:jc w:val="both"/>
      </w:pPr>
      <w:r>
        <w:rPr>
          <w:color w:val="231F20"/>
        </w:rPr>
        <w:t>Nonostante l’abbia tradotto io, non tutto mi è chiaro in questo passaggio, </w:t>
      </w:r>
      <w:r>
        <w:rPr>
          <w:color w:val="231F20"/>
          <w:spacing w:val="-3"/>
        </w:rPr>
        <w:t>tranne l’evidenza </w:t>
      </w:r>
      <w:r>
        <w:rPr>
          <w:color w:val="231F20"/>
        </w:rPr>
        <w:t>del </w:t>
      </w:r>
      <w:r>
        <w:rPr>
          <w:color w:val="231F20"/>
          <w:spacing w:val="-3"/>
        </w:rPr>
        <w:t>richiamo </w:t>
      </w:r>
      <w:r>
        <w:rPr>
          <w:color w:val="231F20"/>
        </w:rPr>
        <w:t>alla </w:t>
      </w:r>
      <w:r>
        <w:rPr>
          <w:color w:val="231F20"/>
          <w:spacing w:val="-3"/>
        </w:rPr>
        <w:t>“misura” come dispositivo degradante del </w:t>
      </w:r>
      <w:r>
        <w:rPr>
          <w:color w:val="231F20"/>
        </w:rPr>
        <w:t>fenomeno “diritto” nell’accezione costituzional–positiva che ha determinato il lungo persistere dell’assolutismo giuridico. La misura è infatti, per solito, “amministrativa” ed è comunque ritenuta </w:t>
      </w:r>
      <w:r>
        <w:rPr>
          <w:rFonts w:ascii="Arial" w:hAnsi="Arial"/>
          <w:i/>
          <w:color w:val="231F20"/>
        </w:rPr>
        <w:t>via brevis </w:t>
      </w:r>
      <w:r>
        <w:rPr>
          <w:color w:val="231F20"/>
        </w:rPr>
        <w:t>e piuttosto ufficiosa che ufficiale per imporre comportamenti sanzionabili ai soggetti–cittadini. Ma si tratterà di un deprecabile deprezzamento dell’aura giuridica o di un inevitabile innalzamento della funzione amministrativa a livelli un tempo esclusivi del potere legislativo? Domanda a cui non saprei rispondere ma che</w:t>
      </w:r>
      <w:r>
        <w:rPr>
          <w:color w:val="231F20"/>
          <w:spacing w:val="-21"/>
        </w:rPr>
        <w:t> </w:t>
      </w:r>
      <w:r>
        <w:rPr>
          <w:color w:val="231F20"/>
        </w:rPr>
        <w:t>m’induce</w:t>
      </w:r>
      <w:r>
        <w:rPr>
          <w:color w:val="231F20"/>
          <w:spacing w:val="-21"/>
        </w:rPr>
        <w:t> </w:t>
      </w:r>
      <w:r>
        <w:rPr>
          <w:color w:val="231F20"/>
        </w:rPr>
        <w:t>all’attenzione</w:t>
      </w:r>
      <w:r>
        <w:rPr>
          <w:color w:val="231F20"/>
          <w:spacing w:val="-21"/>
        </w:rPr>
        <w:t> </w:t>
      </w:r>
      <w:r>
        <w:rPr>
          <w:color w:val="231F20"/>
        </w:rPr>
        <w:t>per</w:t>
      </w:r>
      <w:r>
        <w:rPr>
          <w:color w:val="231F20"/>
          <w:spacing w:val="-21"/>
        </w:rPr>
        <w:t> </w:t>
      </w:r>
      <w:r>
        <w:rPr>
          <w:color w:val="231F20"/>
        </w:rPr>
        <w:t>altri</w:t>
      </w:r>
      <w:r>
        <w:rPr>
          <w:color w:val="231F20"/>
          <w:spacing w:val="-21"/>
        </w:rPr>
        <w:t> </w:t>
      </w:r>
      <w:r>
        <w:rPr>
          <w:color w:val="231F20"/>
        </w:rPr>
        <w:t>aspetti</w:t>
      </w:r>
      <w:r>
        <w:rPr>
          <w:color w:val="231F20"/>
          <w:spacing w:val="-21"/>
        </w:rPr>
        <w:t> </w:t>
      </w:r>
      <w:r>
        <w:rPr>
          <w:color w:val="231F20"/>
        </w:rPr>
        <w:t>della</w:t>
      </w:r>
      <w:r>
        <w:rPr>
          <w:color w:val="231F20"/>
          <w:spacing w:val="-21"/>
        </w:rPr>
        <w:t> </w:t>
      </w:r>
      <w:r>
        <w:rPr>
          <w:color w:val="231F20"/>
        </w:rPr>
        <w:t>vita</w:t>
      </w:r>
      <w:r>
        <w:rPr>
          <w:color w:val="231F20"/>
          <w:spacing w:val="-21"/>
        </w:rPr>
        <w:t> </w:t>
      </w:r>
      <w:r>
        <w:rPr>
          <w:color w:val="231F20"/>
        </w:rPr>
        <w:t>statale</w:t>
      </w:r>
      <w:r>
        <w:rPr>
          <w:color w:val="231F20"/>
          <w:spacing w:val="-21"/>
        </w:rPr>
        <w:t> </w:t>
      </w:r>
      <w:r>
        <w:rPr>
          <w:color w:val="231F20"/>
        </w:rPr>
        <w:t>che</w:t>
      </w:r>
      <w:r>
        <w:rPr>
          <w:color w:val="231F20"/>
          <w:spacing w:val="-21"/>
        </w:rPr>
        <w:t> </w:t>
      </w:r>
      <w:r>
        <w:rPr>
          <w:color w:val="231F20"/>
        </w:rPr>
        <w:t>sono</w:t>
      </w:r>
      <w:r>
        <w:rPr>
          <w:color w:val="231F20"/>
          <w:spacing w:val="-21"/>
        </w:rPr>
        <w:t> </w:t>
      </w:r>
      <w:r>
        <w:rPr>
          <w:color w:val="231F20"/>
          <w:spacing w:val="-2"/>
        </w:rPr>
        <w:t>emersi </w:t>
      </w:r>
      <w:r>
        <w:rPr>
          <w:color w:val="231F20"/>
        </w:rPr>
        <w:t>proprio in concomitanza —e in apparente contraddizione— con il trionfo giuridico dello Stato e della </w:t>
      </w:r>
      <w:r>
        <w:rPr>
          <w:rFonts w:ascii="Arial" w:hAnsi="Arial"/>
          <w:i/>
          <w:color w:val="231F20"/>
        </w:rPr>
        <w:t>rule  of  law  </w:t>
      </w:r>
      <w:r>
        <w:rPr>
          <w:color w:val="231F20"/>
        </w:rPr>
        <w:t>nell’ultima parte del </w:t>
      </w:r>
      <w:r>
        <w:rPr>
          <w:color w:val="231F20"/>
          <w:sz w:val="18"/>
        </w:rPr>
        <w:t>XIX  </w:t>
      </w:r>
      <w:r>
        <w:rPr>
          <w:color w:val="231F20"/>
        </w:rPr>
        <w:t>secolo,   a partire dalla legislazione per decreto fino all’espansione della giustizia amministrativa. Se la vocazione giuridica dello Stato contemporaneo si muove verso l’amministrazione, va tutto bene. Purché non ci si limiti a</w:t>
      </w:r>
      <w:r>
        <w:rPr>
          <w:color w:val="231F20"/>
          <w:spacing w:val="-1"/>
        </w:rPr>
        <w:t> </w:t>
      </w:r>
      <w:r>
        <w:rPr>
          <w:color w:val="231F20"/>
        </w:rPr>
        <w:t>una</w:t>
      </w:r>
    </w:p>
    <w:p>
      <w:pPr>
        <w:pStyle w:val="BodyText"/>
        <w:spacing w:before="7"/>
        <w:rPr>
          <w:sz w:val="20"/>
        </w:rPr>
      </w:pPr>
      <w:r>
        <w:rPr/>
        <w:pict>
          <v:line style="position:absolute;mso-position-horizontal-relative:page;mso-position-vertical-relative:paragraph;z-index:12808;mso-wrap-distance-left:0;mso-wrap-distance-right:0" from="65.196899pt,14.560489pt" to="178.582899pt,14.560489pt" stroked="true" strokeweight=".3pt" strokecolor="#231f20">
            <w10:wrap type="topAndBottom"/>
          </v:line>
        </w:pict>
      </w:r>
    </w:p>
    <w:p>
      <w:pPr>
        <w:spacing w:line="204" w:lineRule="exact" w:before="8"/>
        <w:ind w:left="103" w:right="109" w:firstLine="0"/>
        <w:jc w:val="left"/>
        <w:rPr>
          <w:rFonts w:ascii="Calibri" w:hAnsi="Calibri"/>
          <w:sz w:val="17"/>
        </w:rPr>
      </w:pPr>
      <w:r>
        <w:rPr>
          <w:rFonts w:ascii="Calibri" w:hAnsi="Calibri"/>
          <w:color w:val="231F20"/>
          <w:w w:val="105"/>
          <w:sz w:val="17"/>
        </w:rPr>
        <w:t>fascicolo</w:t>
      </w:r>
      <w:r>
        <w:rPr>
          <w:rFonts w:ascii="Calibri" w:hAnsi="Calibri"/>
          <w:color w:val="231F20"/>
          <w:spacing w:val="-10"/>
          <w:w w:val="105"/>
          <w:sz w:val="17"/>
        </w:rPr>
        <w:t> </w:t>
      </w:r>
      <w:r>
        <w:rPr>
          <w:rFonts w:ascii="Calibri" w:hAnsi="Calibri"/>
          <w:color w:val="231F20"/>
          <w:w w:val="105"/>
          <w:sz w:val="17"/>
        </w:rPr>
        <w:t>della</w:t>
      </w:r>
      <w:r>
        <w:rPr>
          <w:rFonts w:ascii="Calibri" w:hAnsi="Calibri"/>
          <w:color w:val="231F20"/>
          <w:spacing w:val="-10"/>
          <w:w w:val="105"/>
          <w:sz w:val="17"/>
        </w:rPr>
        <w:t> </w:t>
      </w:r>
      <w:r>
        <w:rPr>
          <w:rFonts w:ascii="Calibri" w:hAnsi="Calibri"/>
          <w:color w:val="231F20"/>
          <w:w w:val="105"/>
          <w:sz w:val="17"/>
        </w:rPr>
        <w:t>rivista,</w:t>
      </w:r>
      <w:r>
        <w:rPr>
          <w:rFonts w:ascii="Calibri" w:hAnsi="Calibri"/>
          <w:color w:val="231F20"/>
          <w:spacing w:val="-10"/>
          <w:w w:val="105"/>
          <w:sz w:val="17"/>
        </w:rPr>
        <w:t> </w:t>
      </w:r>
      <w:r>
        <w:rPr>
          <w:rFonts w:ascii="Calibri" w:hAnsi="Calibri"/>
          <w:color w:val="231F20"/>
          <w:w w:val="105"/>
          <w:sz w:val="17"/>
        </w:rPr>
        <w:t>dedicato</w:t>
      </w:r>
      <w:r>
        <w:rPr>
          <w:rFonts w:ascii="Calibri" w:hAnsi="Calibri"/>
          <w:color w:val="231F20"/>
          <w:spacing w:val="-10"/>
          <w:w w:val="105"/>
          <w:sz w:val="17"/>
        </w:rPr>
        <w:t> </w:t>
      </w:r>
      <w:r>
        <w:rPr>
          <w:rFonts w:ascii="Calibri" w:hAnsi="Calibri"/>
          <w:color w:val="231F20"/>
          <w:w w:val="105"/>
          <w:sz w:val="17"/>
        </w:rPr>
        <w:t>appunto</w:t>
      </w:r>
      <w:r>
        <w:rPr>
          <w:rFonts w:ascii="Calibri" w:hAnsi="Calibri"/>
          <w:color w:val="231F20"/>
          <w:spacing w:val="-10"/>
          <w:w w:val="105"/>
          <w:sz w:val="17"/>
        </w:rPr>
        <w:t> </w:t>
      </w:r>
      <w:r>
        <w:rPr>
          <w:rFonts w:ascii="Calibri" w:hAnsi="Calibri"/>
          <w:color w:val="231F20"/>
          <w:w w:val="105"/>
          <w:sz w:val="17"/>
        </w:rPr>
        <w:t>al</w:t>
      </w:r>
      <w:r>
        <w:rPr>
          <w:rFonts w:ascii="Calibri" w:hAnsi="Calibri"/>
          <w:color w:val="231F20"/>
          <w:spacing w:val="-10"/>
          <w:w w:val="105"/>
          <w:sz w:val="17"/>
        </w:rPr>
        <w:t> </w:t>
      </w:r>
      <w:r>
        <w:rPr>
          <w:rFonts w:ascii="Calibri" w:hAnsi="Calibri"/>
          <w:color w:val="231F20"/>
          <w:w w:val="105"/>
          <w:sz w:val="17"/>
        </w:rPr>
        <w:t>concetto</w:t>
      </w:r>
      <w:r>
        <w:rPr>
          <w:rFonts w:ascii="Calibri" w:hAnsi="Calibri"/>
          <w:color w:val="231F20"/>
          <w:spacing w:val="-10"/>
          <w:w w:val="105"/>
          <w:sz w:val="17"/>
        </w:rPr>
        <w:t> </w:t>
      </w:r>
      <w:r>
        <w:rPr>
          <w:rFonts w:ascii="Calibri" w:hAnsi="Calibri"/>
          <w:color w:val="231F20"/>
          <w:w w:val="105"/>
          <w:sz w:val="17"/>
        </w:rPr>
        <w:t>di</w:t>
      </w:r>
      <w:r>
        <w:rPr>
          <w:rFonts w:ascii="Calibri" w:hAnsi="Calibri"/>
          <w:color w:val="231F20"/>
          <w:spacing w:val="-10"/>
          <w:w w:val="105"/>
          <w:sz w:val="17"/>
        </w:rPr>
        <w:t> </w:t>
      </w:r>
      <w:r>
        <w:rPr>
          <w:rFonts w:ascii="Calibri" w:hAnsi="Calibri"/>
          <w:color w:val="231F20"/>
          <w:w w:val="105"/>
          <w:sz w:val="17"/>
        </w:rPr>
        <w:t>solidarietà,</w:t>
      </w:r>
      <w:r>
        <w:rPr>
          <w:rFonts w:ascii="Calibri" w:hAnsi="Calibri"/>
          <w:color w:val="231F20"/>
          <w:spacing w:val="-10"/>
          <w:w w:val="105"/>
          <w:sz w:val="17"/>
        </w:rPr>
        <w:t> </w:t>
      </w:r>
      <w:r>
        <w:rPr>
          <w:rFonts w:ascii="Calibri" w:hAnsi="Calibri"/>
          <w:color w:val="231F20"/>
          <w:w w:val="105"/>
          <w:sz w:val="17"/>
        </w:rPr>
        <w:t>disponibile</w:t>
      </w:r>
      <w:r>
        <w:rPr>
          <w:rFonts w:ascii="Calibri" w:hAnsi="Calibri"/>
          <w:color w:val="231F20"/>
          <w:spacing w:val="-10"/>
          <w:w w:val="105"/>
          <w:sz w:val="17"/>
        </w:rPr>
        <w:t> </w:t>
      </w:r>
      <w:r>
        <w:rPr>
          <w:rFonts w:ascii="Calibri" w:hAnsi="Calibri"/>
          <w:color w:val="231F20"/>
          <w:w w:val="105"/>
          <w:sz w:val="17"/>
        </w:rPr>
        <w:t>all’indirizzo:</w:t>
      </w:r>
      <w:r>
        <w:rPr>
          <w:rFonts w:ascii="Calibri" w:hAnsi="Calibri"/>
          <w:color w:val="231F20"/>
          <w:spacing w:val="-10"/>
          <w:w w:val="105"/>
          <w:sz w:val="17"/>
        </w:rPr>
        <w:t> </w:t>
      </w:r>
      <w:r>
        <w:rPr>
          <w:rFonts w:ascii="Calibri" w:hAnsi="Calibri"/>
          <w:color w:val="231F20"/>
          <w:w w:val="105"/>
          <w:sz w:val="17"/>
        </w:rPr>
        <w:t>http:// scienzaepolitica.unibo.it/issue/view/470.</w:t>
      </w:r>
    </w:p>
    <w:p>
      <w:pPr>
        <w:spacing w:line="206" w:lineRule="exact" w:before="1"/>
        <w:ind w:left="103" w:right="0" w:firstLine="0"/>
        <w:jc w:val="left"/>
        <w:rPr>
          <w:rFonts w:ascii="Calibri" w:hAnsi="Calibri"/>
          <w:sz w:val="17"/>
        </w:rPr>
      </w:pPr>
      <w:r>
        <w:rPr>
          <w:rFonts w:ascii="Calibri" w:hAnsi="Calibri"/>
          <w:color w:val="231F20"/>
          <w:w w:val="105"/>
          <w:position w:val="6"/>
          <w:sz w:val="10"/>
        </w:rPr>
        <w:t>36 </w:t>
      </w:r>
      <w:r>
        <w:rPr>
          <w:rFonts w:ascii="Calibri" w:hAnsi="Calibri"/>
          <w:color w:val="231F20"/>
          <w:w w:val="105"/>
          <w:sz w:val="17"/>
        </w:rPr>
        <w:t>P. Schiera, “Da un assolutismo all’altro”, </w:t>
      </w:r>
      <w:r>
        <w:rPr>
          <w:rFonts w:ascii="Calibri" w:hAnsi="Calibri"/>
          <w:i/>
          <w:color w:val="231F20"/>
          <w:w w:val="105"/>
          <w:sz w:val="17"/>
        </w:rPr>
        <w:t>il Mulino</w:t>
      </w:r>
      <w:r>
        <w:rPr>
          <w:rFonts w:ascii="Calibri" w:hAnsi="Calibri"/>
          <w:color w:val="231F20"/>
          <w:w w:val="105"/>
          <w:sz w:val="17"/>
        </w:rPr>
        <w:t>, 224, nov–dic., 1972, pp. 1024–34.</w:t>
      </w:r>
    </w:p>
    <w:p>
      <w:pPr>
        <w:spacing w:line="206" w:lineRule="exact" w:before="0"/>
        <w:ind w:left="103" w:right="0" w:firstLine="0"/>
        <w:jc w:val="left"/>
        <w:rPr>
          <w:rFonts w:ascii="Calibri" w:hAnsi="Calibri"/>
          <w:sz w:val="17"/>
        </w:rPr>
      </w:pPr>
      <w:r>
        <w:rPr>
          <w:rFonts w:ascii="Calibri" w:hAnsi="Calibri"/>
          <w:color w:val="231F20"/>
          <w:position w:val="6"/>
          <w:sz w:val="10"/>
        </w:rPr>
        <w:t>37 </w:t>
      </w:r>
      <w:r>
        <w:rPr>
          <w:rFonts w:ascii="Calibri" w:hAnsi="Calibri"/>
          <w:color w:val="231F20"/>
          <w:sz w:val="17"/>
        </w:rPr>
        <w:t>C. Schmitt, </w:t>
      </w:r>
      <w:r>
        <w:rPr>
          <w:rFonts w:ascii="Calibri" w:hAnsi="Calibri"/>
          <w:i/>
          <w:color w:val="231F20"/>
          <w:sz w:val="17"/>
        </w:rPr>
        <w:t>Le categorie del ‘politico</w:t>
      </w:r>
      <w:r>
        <w:rPr>
          <w:rFonts w:ascii="Calibri" w:hAnsi="Calibri"/>
          <w:color w:val="231F20"/>
          <w:sz w:val="17"/>
        </w:rPr>
        <w:t>’, Bologna, il Mulino, 1972, p. 22.</w:t>
      </w:r>
    </w:p>
    <w:p>
      <w:pPr>
        <w:pStyle w:val="BodyText"/>
        <w:rPr>
          <w:rFonts w:ascii="Calibri"/>
          <w:sz w:val="20"/>
        </w:rPr>
      </w:pPr>
    </w:p>
    <w:p>
      <w:pPr>
        <w:pStyle w:val="BodyText"/>
        <w:spacing w:before="9"/>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2568"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100</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2991"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252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30"/>
          <w:sz w:val="14"/>
        </w:rPr>
        <w:t> </w:t>
      </w:r>
      <w:r>
        <w:rPr>
          <w:rFonts w:ascii="Lucida Sans Unicode" w:hAnsi="Lucida Sans Unicode"/>
          <w:color w:val="6D6E71"/>
          <w:spacing w:val="-4"/>
          <w:sz w:val="14"/>
        </w:rPr>
        <w:t>STATO</w:t>
      </w:r>
      <w:r>
        <w:rPr>
          <w:rFonts w:ascii="Lucida Sans Unicode" w:hAnsi="Lucida Sans Unicode"/>
          <w:color w:val="6D6E71"/>
          <w:spacing w:val="-30"/>
          <w:sz w:val="14"/>
        </w:rPr>
        <w:t> </w:t>
      </w:r>
      <w:r>
        <w:rPr>
          <w:rFonts w:ascii="Lucida Sans Unicode" w:hAnsi="Lucida Sans Unicode"/>
          <w:color w:val="6D6E71"/>
          <w:sz w:val="14"/>
        </w:rPr>
        <w:t>MODERNO,</w:t>
      </w:r>
      <w:r>
        <w:rPr>
          <w:rFonts w:ascii="Lucida Sans Unicode" w:hAnsi="Lucida Sans Unicode"/>
          <w:color w:val="6D6E71"/>
          <w:spacing w:val="-30"/>
          <w:sz w:val="14"/>
        </w:rPr>
        <w:t> </w:t>
      </w:r>
      <w:r>
        <w:rPr>
          <w:rFonts w:ascii="Lucida Sans Unicode" w:hAnsi="Lucida Sans Unicode"/>
          <w:color w:val="6D6E71"/>
          <w:sz w:val="14"/>
        </w:rPr>
        <w:t>AL</w:t>
      </w:r>
      <w:r>
        <w:rPr>
          <w:rFonts w:ascii="Lucida Sans Unicode" w:hAnsi="Lucida Sans Unicode"/>
          <w:color w:val="6D6E71"/>
          <w:spacing w:val="-30"/>
          <w:sz w:val="14"/>
        </w:rPr>
        <w:t> </w:t>
      </w:r>
      <w:r>
        <w:rPr>
          <w:rFonts w:ascii="Lucida Sans Unicode" w:hAnsi="Lucida Sans Unicode"/>
          <w:color w:val="6D6E71"/>
          <w:sz w:val="14"/>
        </w:rPr>
        <w:t>GIORNO</w:t>
      </w:r>
      <w:r>
        <w:rPr>
          <w:rFonts w:ascii="Lucida Sans Unicode" w:hAnsi="Lucida Sans Unicode"/>
          <w:color w:val="6D6E71"/>
          <w:spacing w:val="-30"/>
          <w:sz w:val="14"/>
        </w:rPr>
        <w:t> </w:t>
      </w:r>
      <w:r>
        <w:rPr>
          <w:rFonts w:ascii="Lucida Sans Unicode" w:hAnsi="Lucida Sans Unicode"/>
          <w:color w:val="6D6E71"/>
          <w:sz w:val="14"/>
        </w:rPr>
        <w:t>D’OGGI</w:t>
      </w:r>
      <w:r>
        <w:rPr>
          <w:rFonts w:ascii="Lucida Sans Unicode" w:hAnsi="Lucida Sans Unicode"/>
          <w:color w:val="6D6E71"/>
          <w:spacing w:val="-30"/>
          <w:sz w:val="14"/>
        </w:rPr>
        <w:t> </w:t>
      </w:r>
      <w:r>
        <w:rPr>
          <w:rFonts w:ascii="Lucida Sans Unicode" w:hAnsi="Lucida Sans Unicode"/>
          <w:color w:val="6D6E71"/>
          <w:sz w:val="14"/>
        </w:rPr>
        <w:t>E</w:t>
      </w:r>
      <w:r>
        <w:rPr>
          <w:rFonts w:ascii="Lucida Sans Unicode" w:hAnsi="Lucida Sans Unicode"/>
          <w:color w:val="6D6E71"/>
          <w:spacing w:val="-30"/>
          <w:sz w:val="14"/>
        </w:rPr>
        <w:t> </w:t>
      </w:r>
      <w:r>
        <w:rPr>
          <w:rFonts w:ascii="Lucida Sans Unicode" w:hAnsi="Lucida Sans Unicode"/>
          <w:color w:val="6D6E71"/>
          <w:sz w:val="14"/>
        </w:rPr>
        <w:t>DI</w:t>
      </w:r>
      <w:r>
        <w:rPr>
          <w:rFonts w:ascii="Lucida Sans Unicode" w:hAnsi="Lucida Sans Unicode"/>
          <w:color w:val="6D6E71"/>
          <w:spacing w:val="-30"/>
          <w:sz w:val="14"/>
        </w:rPr>
        <w:t> </w:t>
      </w:r>
      <w:r>
        <w:rPr>
          <w:rFonts w:ascii="Lucida Sans Unicode" w:hAnsi="Lucida Sans Unicode"/>
          <w:color w:val="6D6E71"/>
          <w:sz w:val="14"/>
        </w:rPr>
        <w:t>DOMANI</w:t>
      </w:r>
      <w:r>
        <w:rPr>
          <w:rFonts w:ascii="Trebuchet MS" w:hAnsi="Trebuchet MS"/>
          <w:color w:val="414042"/>
          <w:position w:val="-3"/>
          <w:sz w:val="20"/>
        </w:rPr>
        <w:tab/>
        <w:t>101</w:t>
      </w:r>
    </w:p>
    <w:p>
      <w:pPr>
        <w:pStyle w:val="BodyText"/>
        <w:rPr>
          <w:rFonts w:ascii="Trebuchet MS"/>
          <w:sz w:val="20"/>
        </w:rPr>
      </w:pPr>
    </w:p>
    <w:p>
      <w:pPr>
        <w:pStyle w:val="BodyText"/>
        <w:rPr>
          <w:rFonts w:ascii="Trebuchet MS"/>
          <w:sz w:val="20"/>
        </w:rPr>
      </w:pPr>
    </w:p>
    <w:p>
      <w:pPr>
        <w:pStyle w:val="BodyText"/>
        <w:spacing w:line="247" w:lineRule="auto" w:before="156"/>
        <w:ind w:left="117" w:right="114"/>
        <w:jc w:val="both"/>
      </w:pPr>
      <w:r>
        <w:rPr>
          <w:color w:val="231F20"/>
          <w:w w:val="105"/>
        </w:rPr>
        <w:t>mera</w:t>
      </w:r>
      <w:r>
        <w:rPr>
          <w:color w:val="231F20"/>
          <w:spacing w:val="-35"/>
          <w:w w:val="105"/>
        </w:rPr>
        <w:t> </w:t>
      </w:r>
      <w:r>
        <w:rPr>
          <w:color w:val="231F20"/>
          <w:w w:val="105"/>
        </w:rPr>
        <w:t>riverniciatura</w:t>
      </w:r>
      <w:r>
        <w:rPr>
          <w:color w:val="231F20"/>
          <w:spacing w:val="-35"/>
          <w:w w:val="105"/>
        </w:rPr>
        <w:t> </w:t>
      </w:r>
      <w:r>
        <w:rPr>
          <w:color w:val="231F20"/>
          <w:w w:val="105"/>
        </w:rPr>
        <w:t>del</w:t>
      </w:r>
      <w:r>
        <w:rPr>
          <w:color w:val="231F20"/>
          <w:spacing w:val="-35"/>
          <w:w w:val="105"/>
        </w:rPr>
        <w:t> </w:t>
      </w:r>
      <w:r>
        <w:rPr>
          <w:color w:val="231F20"/>
          <w:w w:val="105"/>
        </w:rPr>
        <w:t>diritto</w:t>
      </w:r>
      <w:r>
        <w:rPr>
          <w:color w:val="231F20"/>
          <w:spacing w:val="-35"/>
          <w:w w:val="105"/>
        </w:rPr>
        <w:t> </w:t>
      </w:r>
      <w:r>
        <w:rPr>
          <w:color w:val="231F20"/>
          <w:w w:val="105"/>
        </w:rPr>
        <w:t>amministrativo</w:t>
      </w:r>
      <w:r>
        <w:rPr>
          <w:color w:val="231F20"/>
          <w:spacing w:val="-35"/>
          <w:w w:val="105"/>
        </w:rPr>
        <w:t> </w:t>
      </w:r>
      <w:r>
        <w:rPr>
          <w:color w:val="231F20"/>
          <w:w w:val="105"/>
        </w:rPr>
        <w:t>e</w:t>
      </w:r>
      <w:r>
        <w:rPr>
          <w:color w:val="231F20"/>
          <w:spacing w:val="-35"/>
          <w:w w:val="105"/>
        </w:rPr>
        <w:t> </w:t>
      </w:r>
      <w:r>
        <w:rPr>
          <w:color w:val="231F20"/>
          <w:w w:val="105"/>
        </w:rPr>
        <w:t>della</w:t>
      </w:r>
      <w:r>
        <w:rPr>
          <w:color w:val="231F20"/>
          <w:spacing w:val="-35"/>
          <w:w w:val="105"/>
        </w:rPr>
        <w:t> </w:t>
      </w:r>
      <w:r>
        <w:rPr>
          <w:color w:val="231F20"/>
          <w:w w:val="105"/>
        </w:rPr>
        <w:t>sua</w:t>
      </w:r>
      <w:r>
        <w:rPr>
          <w:color w:val="231F20"/>
          <w:spacing w:val="-35"/>
          <w:w w:val="105"/>
        </w:rPr>
        <w:t> </w:t>
      </w:r>
      <w:r>
        <w:rPr>
          <w:color w:val="231F20"/>
          <w:w w:val="105"/>
        </w:rPr>
        <w:t>debole</w:t>
      </w:r>
      <w:r>
        <w:rPr>
          <w:color w:val="231F20"/>
          <w:spacing w:val="-35"/>
          <w:w w:val="105"/>
        </w:rPr>
        <w:t> </w:t>
      </w:r>
      <w:r>
        <w:rPr>
          <w:color w:val="231F20"/>
          <w:w w:val="105"/>
        </w:rPr>
        <w:t>dogmatica in</w:t>
      </w:r>
      <w:r>
        <w:rPr>
          <w:color w:val="231F20"/>
          <w:spacing w:val="-49"/>
          <w:w w:val="105"/>
        </w:rPr>
        <w:t> </w:t>
      </w:r>
      <w:r>
        <w:rPr>
          <w:color w:val="231F20"/>
          <w:spacing w:val="-3"/>
          <w:w w:val="105"/>
        </w:rPr>
        <w:t>chiave</w:t>
      </w:r>
      <w:r>
        <w:rPr>
          <w:color w:val="231F20"/>
          <w:spacing w:val="-49"/>
          <w:w w:val="105"/>
        </w:rPr>
        <w:t> </w:t>
      </w:r>
      <w:r>
        <w:rPr>
          <w:color w:val="231F20"/>
          <w:spacing w:val="-3"/>
          <w:w w:val="105"/>
        </w:rPr>
        <w:t>genericamente</w:t>
      </w:r>
      <w:r>
        <w:rPr>
          <w:color w:val="231F20"/>
          <w:spacing w:val="-49"/>
          <w:w w:val="105"/>
        </w:rPr>
        <w:t> </w:t>
      </w:r>
      <w:r>
        <w:rPr>
          <w:color w:val="231F20"/>
          <w:spacing w:val="-3"/>
          <w:w w:val="105"/>
        </w:rPr>
        <w:t>rappresentativa</w:t>
      </w:r>
      <w:r>
        <w:rPr>
          <w:color w:val="231F20"/>
          <w:spacing w:val="-49"/>
          <w:w w:val="105"/>
        </w:rPr>
        <w:t> </w:t>
      </w:r>
      <w:r>
        <w:rPr>
          <w:color w:val="231F20"/>
          <w:w w:val="105"/>
        </w:rPr>
        <w:t>e/o</w:t>
      </w:r>
      <w:r>
        <w:rPr>
          <w:color w:val="231F20"/>
          <w:spacing w:val="-49"/>
          <w:w w:val="105"/>
        </w:rPr>
        <w:t> </w:t>
      </w:r>
      <w:r>
        <w:rPr>
          <w:color w:val="231F20"/>
          <w:spacing w:val="-3"/>
          <w:w w:val="105"/>
        </w:rPr>
        <w:t>globalizzante.</w:t>
      </w:r>
      <w:r>
        <w:rPr>
          <w:color w:val="231F20"/>
          <w:spacing w:val="-49"/>
          <w:w w:val="105"/>
        </w:rPr>
        <w:t> </w:t>
      </w:r>
      <w:r>
        <w:rPr>
          <w:color w:val="231F20"/>
          <w:spacing w:val="-3"/>
          <w:w w:val="105"/>
        </w:rPr>
        <w:t>Stefano</w:t>
      </w:r>
      <w:r>
        <w:rPr>
          <w:color w:val="231F20"/>
          <w:spacing w:val="-49"/>
          <w:w w:val="105"/>
        </w:rPr>
        <w:t> </w:t>
      </w:r>
      <w:r>
        <w:rPr>
          <w:color w:val="231F20"/>
          <w:spacing w:val="-3"/>
          <w:w w:val="105"/>
        </w:rPr>
        <w:t>Cognetti </w:t>
      </w:r>
      <w:r>
        <w:rPr>
          <w:color w:val="231F20"/>
          <w:w w:val="105"/>
        </w:rPr>
        <w:t>ha appena pubblicato un libro che è, non certo ironicamente, dedicato “Ai</w:t>
      </w:r>
      <w:r>
        <w:rPr>
          <w:color w:val="231F20"/>
          <w:spacing w:val="-5"/>
          <w:w w:val="105"/>
        </w:rPr>
        <w:t> </w:t>
      </w:r>
      <w:r>
        <w:rPr>
          <w:color w:val="231F20"/>
          <w:w w:val="105"/>
        </w:rPr>
        <w:t>nostalgici</w:t>
      </w:r>
      <w:r>
        <w:rPr>
          <w:color w:val="231F20"/>
          <w:spacing w:val="-5"/>
          <w:w w:val="105"/>
        </w:rPr>
        <w:t> </w:t>
      </w:r>
      <w:r>
        <w:rPr>
          <w:color w:val="231F20"/>
          <w:w w:val="105"/>
        </w:rPr>
        <w:t>del</w:t>
      </w:r>
      <w:r>
        <w:rPr>
          <w:color w:val="231F20"/>
          <w:spacing w:val="-5"/>
          <w:w w:val="105"/>
        </w:rPr>
        <w:t> </w:t>
      </w:r>
      <w:r>
        <w:rPr>
          <w:color w:val="231F20"/>
          <w:w w:val="105"/>
        </w:rPr>
        <w:t>futuro”.</w:t>
      </w:r>
      <w:r>
        <w:rPr>
          <w:color w:val="231F20"/>
          <w:spacing w:val="-5"/>
          <w:w w:val="105"/>
        </w:rPr>
        <w:t> </w:t>
      </w:r>
      <w:r>
        <w:rPr>
          <w:color w:val="231F20"/>
          <w:w w:val="105"/>
        </w:rPr>
        <w:t>Difficile</w:t>
      </w:r>
      <w:r>
        <w:rPr>
          <w:color w:val="231F20"/>
          <w:spacing w:val="-5"/>
          <w:w w:val="105"/>
        </w:rPr>
        <w:t> </w:t>
      </w:r>
      <w:r>
        <w:rPr>
          <w:color w:val="231F20"/>
          <w:w w:val="105"/>
        </w:rPr>
        <w:t>darne</w:t>
      </w:r>
      <w:r>
        <w:rPr>
          <w:color w:val="231F20"/>
          <w:spacing w:val="-5"/>
          <w:w w:val="105"/>
        </w:rPr>
        <w:t> </w:t>
      </w:r>
      <w:r>
        <w:rPr>
          <w:color w:val="231F20"/>
          <w:w w:val="105"/>
        </w:rPr>
        <w:t>conto</w:t>
      </w:r>
      <w:r>
        <w:rPr>
          <w:color w:val="231F20"/>
          <w:spacing w:val="-5"/>
          <w:w w:val="105"/>
        </w:rPr>
        <w:t> </w:t>
      </w:r>
      <w:r>
        <w:rPr>
          <w:color w:val="231F20"/>
          <w:w w:val="105"/>
        </w:rPr>
        <w:t>qui,</w:t>
      </w:r>
      <w:r>
        <w:rPr>
          <w:color w:val="231F20"/>
          <w:spacing w:val="-5"/>
          <w:w w:val="105"/>
        </w:rPr>
        <w:t> </w:t>
      </w:r>
      <w:r>
        <w:rPr>
          <w:color w:val="231F20"/>
          <w:w w:val="105"/>
        </w:rPr>
        <w:t>ma</w:t>
      </w:r>
      <w:r>
        <w:rPr>
          <w:color w:val="231F20"/>
          <w:spacing w:val="-5"/>
          <w:w w:val="105"/>
        </w:rPr>
        <w:t> </w:t>
      </w:r>
      <w:r>
        <w:rPr>
          <w:color w:val="231F20"/>
          <w:w w:val="105"/>
        </w:rPr>
        <w:t>è</w:t>
      </w:r>
      <w:r>
        <w:rPr>
          <w:color w:val="231F20"/>
          <w:spacing w:val="-5"/>
          <w:w w:val="105"/>
        </w:rPr>
        <w:t> </w:t>
      </w:r>
      <w:r>
        <w:rPr>
          <w:color w:val="231F20"/>
          <w:w w:val="105"/>
        </w:rPr>
        <w:t>molto</w:t>
      </w:r>
      <w:r>
        <w:rPr>
          <w:color w:val="231F20"/>
          <w:spacing w:val="-5"/>
          <w:w w:val="105"/>
        </w:rPr>
        <w:t> </w:t>
      </w:r>
      <w:r>
        <w:rPr>
          <w:color w:val="231F20"/>
          <w:w w:val="105"/>
        </w:rPr>
        <w:t>invitante </w:t>
      </w:r>
      <w:r>
        <w:rPr>
          <w:color w:val="231F20"/>
          <w:spacing w:val="2"/>
          <w:w w:val="105"/>
        </w:rPr>
        <w:t>l’insistenza </w:t>
      </w:r>
      <w:r>
        <w:rPr>
          <w:color w:val="231F20"/>
          <w:w w:val="105"/>
        </w:rPr>
        <w:t>sul </w:t>
      </w:r>
      <w:r>
        <w:rPr>
          <w:color w:val="231F20"/>
          <w:spacing w:val="2"/>
          <w:w w:val="105"/>
        </w:rPr>
        <w:t>tema della “discrezionalità amministrativa” rispetto </w:t>
      </w:r>
      <w:r>
        <w:rPr>
          <w:color w:val="231F20"/>
          <w:spacing w:val="3"/>
          <w:w w:val="105"/>
        </w:rPr>
        <w:t>alla </w:t>
      </w:r>
      <w:r>
        <w:rPr>
          <w:color w:val="231F20"/>
          <w:w w:val="105"/>
        </w:rPr>
        <w:t>“indeterminatezza</w:t>
      </w:r>
      <w:r>
        <w:rPr>
          <w:color w:val="231F20"/>
          <w:spacing w:val="-31"/>
          <w:w w:val="105"/>
        </w:rPr>
        <w:t> </w:t>
      </w:r>
      <w:r>
        <w:rPr>
          <w:color w:val="231F20"/>
          <w:w w:val="105"/>
        </w:rPr>
        <w:t>della</w:t>
      </w:r>
      <w:r>
        <w:rPr>
          <w:color w:val="231F20"/>
          <w:spacing w:val="-31"/>
          <w:w w:val="105"/>
        </w:rPr>
        <w:t> </w:t>
      </w:r>
      <w:r>
        <w:rPr>
          <w:color w:val="231F20"/>
          <w:w w:val="105"/>
        </w:rPr>
        <w:t>norma”,</w:t>
      </w:r>
      <w:r>
        <w:rPr>
          <w:color w:val="231F20"/>
          <w:spacing w:val="-31"/>
          <w:w w:val="105"/>
        </w:rPr>
        <w:t> </w:t>
      </w:r>
      <w:r>
        <w:rPr>
          <w:color w:val="231F20"/>
          <w:w w:val="105"/>
        </w:rPr>
        <w:t>pur</w:t>
      </w:r>
      <w:r>
        <w:rPr>
          <w:color w:val="231F20"/>
          <w:spacing w:val="-31"/>
          <w:w w:val="105"/>
        </w:rPr>
        <w:t> </w:t>
      </w:r>
      <w:r>
        <w:rPr>
          <w:color w:val="231F20"/>
          <w:w w:val="105"/>
        </w:rPr>
        <w:t>nell’ambito</w:t>
      </w:r>
      <w:r>
        <w:rPr>
          <w:color w:val="231F20"/>
          <w:spacing w:val="-31"/>
          <w:w w:val="105"/>
        </w:rPr>
        <w:t> </w:t>
      </w:r>
      <w:r>
        <w:rPr>
          <w:color w:val="231F20"/>
          <w:w w:val="105"/>
        </w:rPr>
        <w:t>consistente</w:t>
      </w:r>
      <w:r>
        <w:rPr>
          <w:color w:val="231F20"/>
          <w:spacing w:val="-31"/>
          <w:w w:val="105"/>
        </w:rPr>
        <w:t> </w:t>
      </w:r>
      <w:r>
        <w:rPr>
          <w:color w:val="231F20"/>
          <w:w w:val="105"/>
        </w:rPr>
        <w:t>del</w:t>
      </w:r>
      <w:r>
        <w:rPr>
          <w:color w:val="231F20"/>
          <w:spacing w:val="-31"/>
          <w:w w:val="105"/>
        </w:rPr>
        <w:t> </w:t>
      </w:r>
      <w:r>
        <w:rPr>
          <w:color w:val="231F20"/>
          <w:w w:val="105"/>
        </w:rPr>
        <w:t>“principio di</w:t>
      </w:r>
      <w:r>
        <w:rPr>
          <w:color w:val="231F20"/>
          <w:spacing w:val="-10"/>
          <w:w w:val="105"/>
        </w:rPr>
        <w:t> </w:t>
      </w:r>
      <w:r>
        <w:rPr>
          <w:color w:val="231F20"/>
          <w:w w:val="105"/>
        </w:rPr>
        <w:t>legalità”.</w:t>
      </w:r>
      <w:r>
        <w:rPr>
          <w:color w:val="231F20"/>
          <w:spacing w:val="-10"/>
          <w:w w:val="105"/>
        </w:rPr>
        <w:t> </w:t>
      </w:r>
      <w:r>
        <w:rPr>
          <w:color w:val="231F20"/>
          <w:w w:val="105"/>
        </w:rPr>
        <w:t>Così</w:t>
      </w:r>
      <w:r>
        <w:rPr>
          <w:color w:val="231F20"/>
          <w:spacing w:val="-10"/>
          <w:w w:val="105"/>
        </w:rPr>
        <w:t> </w:t>
      </w:r>
      <w:r>
        <w:rPr>
          <w:color w:val="231F20"/>
          <w:w w:val="105"/>
        </w:rPr>
        <w:t>come</w:t>
      </w:r>
      <w:r>
        <w:rPr>
          <w:color w:val="231F20"/>
          <w:spacing w:val="-10"/>
          <w:w w:val="105"/>
        </w:rPr>
        <w:t> </w:t>
      </w:r>
      <w:r>
        <w:rPr>
          <w:color w:val="231F20"/>
          <w:w w:val="105"/>
        </w:rPr>
        <w:t>non</w:t>
      </w:r>
      <w:r>
        <w:rPr>
          <w:color w:val="231F20"/>
          <w:spacing w:val="-10"/>
          <w:w w:val="105"/>
        </w:rPr>
        <w:t> </w:t>
      </w:r>
      <w:r>
        <w:rPr>
          <w:color w:val="231F20"/>
          <w:w w:val="105"/>
        </w:rPr>
        <w:t>può</w:t>
      </w:r>
      <w:r>
        <w:rPr>
          <w:color w:val="231F20"/>
          <w:spacing w:val="-10"/>
          <w:w w:val="105"/>
        </w:rPr>
        <w:t> </w:t>
      </w:r>
      <w:r>
        <w:rPr>
          <w:color w:val="231F20"/>
          <w:w w:val="105"/>
        </w:rPr>
        <w:t>non</w:t>
      </w:r>
      <w:r>
        <w:rPr>
          <w:color w:val="231F20"/>
          <w:spacing w:val="-10"/>
          <w:w w:val="105"/>
        </w:rPr>
        <w:t> </w:t>
      </w:r>
      <w:r>
        <w:rPr>
          <w:color w:val="231F20"/>
          <w:w w:val="105"/>
        </w:rPr>
        <w:t>aprire</w:t>
      </w:r>
      <w:r>
        <w:rPr>
          <w:color w:val="231F20"/>
          <w:spacing w:val="-10"/>
          <w:w w:val="105"/>
        </w:rPr>
        <w:t> </w:t>
      </w:r>
      <w:r>
        <w:rPr>
          <w:color w:val="231F20"/>
          <w:w w:val="105"/>
        </w:rPr>
        <w:t>il</w:t>
      </w:r>
      <w:r>
        <w:rPr>
          <w:color w:val="231F20"/>
          <w:spacing w:val="-10"/>
          <w:w w:val="105"/>
        </w:rPr>
        <w:t> </w:t>
      </w:r>
      <w:r>
        <w:rPr>
          <w:color w:val="231F20"/>
          <w:w w:val="105"/>
        </w:rPr>
        <w:t>cuore</w:t>
      </w:r>
      <w:r>
        <w:rPr>
          <w:color w:val="231F20"/>
          <w:spacing w:val="-10"/>
          <w:w w:val="105"/>
        </w:rPr>
        <w:t> </w:t>
      </w:r>
      <w:r>
        <w:rPr>
          <w:color w:val="231F20"/>
          <w:w w:val="105"/>
        </w:rPr>
        <w:t>e</w:t>
      </w:r>
      <w:r>
        <w:rPr>
          <w:color w:val="231F20"/>
          <w:spacing w:val="-10"/>
          <w:w w:val="105"/>
        </w:rPr>
        <w:t> </w:t>
      </w:r>
      <w:r>
        <w:rPr>
          <w:color w:val="231F20"/>
          <w:w w:val="105"/>
        </w:rPr>
        <w:t>la</w:t>
      </w:r>
      <w:r>
        <w:rPr>
          <w:color w:val="231F20"/>
          <w:spacing w:val="-10"/>
          <w:w w:val="105"/>
        </w:rPr>
        <w:t> </w:t>
      </w:r>
      <w:r>
        <w:rPr>
          <w:color w:val="231F20"/>
          <w:w w:val="105"/>
        </w:rPr>
        <w:t>mente</w:t>
      </w:r>
      <w:r>
        <w:rPr>
          <w:color w:val="231F20"/>
          <w:spacing w:val="-10"/>
          <w:w w:val="105"/>
        </w:rPr>
        <w:t> </w:t>
      </w:r>
      <w:r>
        <w:rPr>
          <w:color w:val="231F20"/>
          <w:w w:val="105"/>
        </w:rPr>
        <w:t>il</w:t>
      </w:r>
      <w:r>
        <w:rPr>
          <w:color w:val="231F20"/>
          <w:spacing w:val="-10"/>
          <w:w w:val="105"/>
        </w:rPr>
        <w:t> </w:t>
      </w:r>
      <w:r>
        <w:rPr>
          <w:color w:val="231F20"/>
          <w:w w:val="105"/>
        </w:rPr>
        <w:t>titolo</w:t>
      </w:r>
      <w:r>
        <w:rPr>
          <w:color w:val="231F20"/>
          <w:spacing w:val="-10"/>
          <w:w w:val="105"/>
        </w:rPr>
        <w:t> </w:t>
      </w:r>
      <w:r>
        <w:rPr>
          <w:color w:val="231F20"/>
          <w:w w:val="105"/>
        </w:rPr>
        <w:t>del capitolo</w:t>
      </w:r>
      <w:r>
        <w:rPr>
          <w:color w:val="231F20"/>
          <w:spacing w:val="-39"/>
          <w:w w:val="105"/>
        </w:rPr>
        <w:t> </w:t>
      </w:r>
      <w:r>
        <w:rPr>
          <w:color w:val="231F20"/>
          <w:spacing w:val="-6"/>
          <w:w w:val="105"/>
        </w:rPr>
        <w:t>V:</w:t>
      </w:r>
      <w:r>
        <w:rPr>
          <w:color w:val="231F20"/>
          <w:spacing w:val="-39"/>
          <w:w w:val="105"/>
        </w:rPr>
        <w:t> </w:t>
      </w:r>
      <w:r>
        <w:rPr>
          <w:color w:val="231F20"/>
          <w:w w:val="105"/>
        </w:rPr>
        <w:t>“Ultima</w:t>
      </w:r>
      <w:r>
        <w:rPr>
          <w:color w:val="231F20"/>
          <w:spacing w:val="-39"/>
          <w:w w:val="105"/>
        </w:rPr>
        <w:t> </w:t>
      </w:r>
      <w:r>
        <w:rPr>
          <w:color w:val="231F20"/>
          <w:w w:val="105"/>
        </w:rPr>
        <w:t>tappa</w:t>
      </w:r>
      <w:r>
        <w:rPr>
          <w:color w:val="231F20"/>
          <w:spacing w:val="-39"/>
          <w:w w:val="105"/>
        </w:rPr>
        <w:t> </w:t>
      </w:r>
      <w:r>
        <w:rPr>
          <w:color w:val="231F20"/>
          <w:w w:val="105"/>
        </w:rPr>
        <w:t>evolutiva</w:t>
      </w:r>
      <w:r>
        <w:rPr>
          <w:color w:val="231F20"/>
          <w:spacing w:val="-39"/>
          <w:w w:val="105"/>
        </w:rPr>
        <w:t> </w:t>
      </w:r>
      <w:r>
        <w:rPr>
          <w:color w:val="231F20"/>
          <w:w w:val="105"/>
        </w:rPr>
        <w:t>del</w:t>
      </w:r>
      <w:r>
        <w:rPr>
          <w:color w:val="231F20"/>
          <w:spacing w:val="-39"/>
          <w:w w:val="105"/>
        </w:rPr>
        <w:t> </w:t>
      </w:r>
      <w:r>
        <w:rPr>
          <w:color w:val="231F20"/>
          <w:w w:val="105"/>
        </w:rPr>
        <w:t>potere</w:t>
      </w:r>
      <w:r>
        <w:rPr>
          <w:color w:val="231F20"/>
          <w:spacing w:val="-39"/>
          <w:w w:val="105"/>
        </w:rPr>
        <w:t> </w:t>
      </w:r>
      <w:r>
        <w:rPr>
          <w:color w:val="231F20"/>
          <w:w w:val="105"/>
        </w:rPr>
        <w:t>amministrativo.</w:t>
      </w:r>
      <w:r>
        <w:rPr>
          <w:color w:val="231F20"/>
          <w:spacing w:val="-39"/>
          <w:w w:val="105"/>
        </w:rPr>
        <w:t> </w:t>
      </w:r>
      <w:r>
        <w:rPr>
          <w:color w:val="231F20"/>
          <w:w w:val="105"/>
        </w:rPr>
        <w:t>Rapporto</w:t>
      </w:r>
      <w:r>
        <w:rPr>
          <w:color w:val="231F20"/>
          <w:spacing w:val="-39"/>
          <w:w w:val="105"/>
        </w:rPr>
        <w:t> </w:t>
      </w:r>
      <w:r>
        <w:rPr>
          <w:color w:val="231F20"/>
          <w:w w:val="105"/>
        </w:rPr>
        <w:t>fra valore</w:t>
      </w:r>
      <w:r>
        <w:rPr>
          <w:color w:val="231F20"/>
          <w:spacing w:val="-22"/>
          <w:w w:val="105"/>
        </w:rPr>
        <w:t> </w:t>
      </w:r>
      <w:r>
        <w:rPr>
          <w:color w:val="231F20"/>
          <w:w w:val="105"/>
        </w:rPr>
        <w:t>dell’individuo</w:t>
      </w:r>
      <w:r>
        <w:rPr>
          <w:color w:val="231F20"/>
          <w:spacing w:val="-22"/>
          <w:w w:val="105"/>
        </w:rPr>
        <w:t> </w:t>
      </w:r>
      <w:r>
        <w:rPr>
          <w:color w:val="231F20"/>
          <w:w w:val="105"/>
        </w:rPr>
        <w:t>e</w:t>
      </w:r>
      <w:r>
        <w:rPr>
          <w:color w:val="231F20"/>
          <w:spacing w:val="-22"/>
          <w:w w:val="105"/>
        </w:rPr>
        <w:t> </w:t>
      </w:r>
      <w:r>
        <w:rPr>
          <w:color w:val="231F20"/>
          <w:w w:val="105"/>
        </w:rPr>
        <w:t>valore</w:t>
      </w:r>
      <w:r>
        <w:rPr>
          <w:color w:val="231F20"/>
          <w:spacing w:val="-22"/>
          <w:w w:val="105"/>
        </w:rPr>
        <w:t> </w:t>
      </w:r>
      <w:r>
        <w:rPr>
          <w:color w:val="231F20"/>
          <w:w w:val="105"/>
        </w:rPr>
        <w:t>della</w:t>
      </w:r>
      <w:r>
        <w:rPr>
          <w:color w:val="231F20"/>
          <w:spacing w:val="-22"/>
          <w:w w:val="105"/>
        </w:rPr>
        <w:t> </w:t>
      </w:r>
      <w:r>
        <w:rPr>
          <w:color w:val="231F20"/>
          <w:w w:val="105"/>
        </w:rPr>
        <w:t>collettività</w:t>
      </w:r>
      <w:r>
        <w:rPr>
          <w:color w:val="231F20"/>
          <w:spacing w:val="-22"/>
          <w:w w:val="105"/>
        </w:rPr>
        <w:t> </w:t>
      </w:r>
      <w:r>
        <w:rPr>
          <w:color w:val="231F20"/>
          <w:w w:val="105"/>
        </w:rPr>
        <w:t>in</w:t>
      </w:r>
      <w:r>
        <w:rPr>
          <w:color w:val="231F20"/>
          <w:spacing w:val="-22"/>
          <w:w w:val="105"/>
        </w:rPr>
        <w:t> </w:t>
      </w:r>
      <w:r>
        <w:rPr>
          <w:color w:val="231F20"/>
          <w:w w:val="105"/>
        </w:rPr>
        <w:t>termini</w:t>
      </w:r>
      <w:r>
        <w:rPr>
          <w:color w:val="231F20"/>
          <w:spacing w:val="-22"/>
          <w:w w:val="105"/>
        </w:rPr>
        <w:t> </w:t>
      </w:r>
      <w:r>
        <w:rPr>
          <w:color w:val="231F20"/>
          <w:w w:val="105"/>
        </w:rPr>
        <w:t>di</w:t>
      </w:r>
      <w:r>
        <w:rPr>
          <w:color w:val="231F20"/>
          <w:spacing w:val="-22"/>
          <w:w w:val="105"/>
        </w:rPr>
        <w:t> </w:t>
      </w:r>
      <w:r>
        <w:rPr>
          <w:color w:val="231F20"/>
          <w:w w:val="105"/>
        </w:rPr>
        <w:t>proporzione”</w:t>
      </w:r>
      <w:r>
        <w:rPr>
          <w:color w:val="231F20"/>
          <w:spacing w:val="-42"/>
          <w:w w:val="105"/>
        </w:rPr>
        <w:t> </w:t>
      </w:r>
      <w:r>
        <w:rPr>
          <w:color w:val="231F20"/>
          <w:w w:val="105"/>
          <w:position w:val="7"/>
          <w:sz w:val="12"/>
        </w:rPr>
        <w:t>38</w:t>
      </w:r>
      <w:r>
        <w:rPr>
          <w:color w:val="231F20"/>
          <w:w w:val="105"/>
        </w:rPr>
        <w:t>. La</w:t>
      </w:r>
      <w:r>
        <w:rPr>
          <w:color w:val="231F20"/>
          <w:spacing w:val="-34"/>
          <w:w w:val="105"/>
        </w:rPr>
        <w:t> </w:t>
      </w:r>
      <w:r>
        <w:rPr>
          <w:color w:val="231F20"/>
          <w:w w:val="105"/>
        </w:rPr>
        <w:t>proporzione</w:t>
      </w:r>
      <w:r>
        <w:rPr>
          <w:color w:val="231F20"/>
          <w:spacing w:val="-34"/>
          <w:w w:val="105"/>
        </w:rPr>
        <w:t> </w:t>
      </w:r>
      <w:r>
        <w:rPr>
          <w:color w:val="231F20"/>
          <w:w w:val="105"/>
        </w:rPr>
        <w:t>si</w:t>
      </w:r>
      <w:r>
        <w:rPr>
          <w:color w:val="231F20"/>
          <w:spacing w:val="-34"/>
          <w:w w:val="105"/>
        </w:rPr>
        <w:t> </w:t>
      </w:r>
      <w:r>
        <w:rPr>
          <w:color w:val="231F20"/>
          <w:w w:val="105"/>
        </w:rPr>
        <w:t>nutre</w:t>
      </w:r>
      <w:r>
        <w:rPr>
          <w:color w:val="231F20"/>
          <w:spacing w:val="-34"/>
          <w:w w:val="105"/>
        </w:rPr>
        <w:t> </w:t>
      </w:r>
      <w:r>
        <w:rPr>
          <w:color w:val="231F20"/>
          <w:w w:val="105"/>
        </w:rPr>
        <w:t>anche</w:t>
      </w:r>
      <w:r>
        <w:rPr>
          <w:color w:val="231F20"/>
          <w:spacing w:val="-34"/>
          <w:w w:val="105"/>
        </w:rPr>
        <w:t> </w:t>
      </w:r>
      <w:r>
        <w:rPr>
          <w:color w:val="231F20"/>
          <w:w w:val="105"/>
        </w:rPr>
        <w:t>di</w:t>
      </w:r>
      <w:r>
        <w:rPr>
          <w:color w:val="231F20"/>
          <w:spacing w:val="-34"/>
          <w:w w:val="105"/>
        </w:rPr>
        <w:t> </w:t>
      </w:r>
      <w:r>
        <w:rPr>
          <w:color w:val="231F20"/>
          <w:w w:val="105"/>
        </w:rPr>
        <w:t>ragionevolezza</w:t>
      </w:r>
      <w:r>
        <w:rPr>
          <w:color w:val="231F20"/>
          <w:spacing w:val="-34"/>
          <w:w w:val="105"/>
        </w:rPr>
        <w:t> </w:t>
      </w:r>
      <w:r>
        <w:rPr>
          <w:color w:val="231F20"/>
          <w:w w:val="105"/>
        </w:rPr>
        <w:t>e</w:t>
      </w:r>
      <w:r>
        <w:rPr>
          <w:color w:val="231F20"/>
          <w:spacing w:val="-34"/>
          <w:w w:val="105"/>
        </w:rPr>
        <w:t> </w:t>
      </w:r>
      <w:r>
        <w:rPr>
          <w:color w:val="231F20"/>
          <w:w w:val="105"/>
        </w:rPr>
        <w:t>mira</w:t>
      </w:r>
      <w:r>
        <w:rPr>
          <w:color w:val="231F20"/>
          <w:spacing w:val="-34"/>
          <w:w w:val="105"/>
        </w:rPr>
        <w:t> </w:t>
      </w:r>
      <w:r>
        <w:rPr>
          <w:color w:val="231F20"/>
          <w:w w:val="105"/>
        </w:rPr>
        <w:t>all’equità:</w:t>
      </w:r>
      <w:r>
        <w:rPr>
          <w:color w:val="231F20"/>
          <w:spacing w:val="-34"/>
          <w:w w:val="105"/>
        </w:rPr>
        <w:t> </w:t>
      </w:r>
      <w:r>
        <w:rPr>
          <w:color w:val="231F20"/>
          <w:w w:val="105"/>
        </w:rPr>
        <w:t>è</w:t>
      </w:r>
      <w:r>
        <w:rPr>
          <w:color w:val="231F20"/>
          <w:spacing w:val="-34"/>
          <w:w w:val="105"/>
        </w:rPr>
        <w:t> </w:t>
      </w:r>
      <w:r>
        <w:rPr>
          <w:color w:val="231F20"/>
          <w:w w:val="105"/>
        </w:rPr>
        <w:t>di</w:t>
      </w:r>
      <w:r>
        <w:rPr>
          <w:color w:val="231F20"/>
          <w:spacing w:val="-34"/>
          <w:w w:val="105"/>
        </w:rPr>
        <w:t> </w:t>
      </w:r>
      <w:r>
        <w:rPr>
          <w:color w:val="231F20"/>
          <w:w w:val="105"/>
        </w:rPr>
        <w:t>buon auspicio</w:t>
      </w:r>
      <w:r>
        <w:rPr>
          <w:color w:val="231F20"/>
          <w:spacing w:val="-27"/>
          <w:w w:val="105"/>
        </w:rPr>
        <w:t> </w:t>
      </w:r>
      <w:r>
        <w:rPr>
          <w:color w:val="231F20"/>
          <w:w w:val="105"/>
        </w:rPr>
        <w:t>che</w:t>
      </w:r>
      <w:r>
        <w:rPr>
          <w:color w:val="231F20"/>
          <w:spacing w:val="-27"/>
          <w:w w:val="105"/>
        </w:rPr>
        <w:t> </w:t>
      </w:r>
      <w:r>
        <w:rPr>
          <w:color w:val="231F20"/>
          <w:w w:val="105"/>
        </w:rPr>
        <w:t>“discorsi”</w:t>
      </w:r>
      <w:r>
        <w:rPr>
          <w:color w:val="231F20"/>
          <w:spacing w:val="-27"/>
          <w:w w:val="105"/>
        </w:rPr>
        <w:t> </w:t>
      </w:r>
      <w:r>
        <w:rPr>
          <w:color w:val="231F20"/>
          <w:w w:val="105"/>
        </w:rPr>
        <w:t>di</w:t>
      </w:r>
      <w:r>
        <w:rPr>
          <w:color w:val="231F20"/>
          <w:spacing w:val="-27"/>
          <w:w w:val="105"/>
        </w:rPr>
        <w:t> </w:t>
      </w:r>
      <w:r>
        <w:rPr>
          <w:color w:val="231F20"/>
          <w:w w:val="105"/>
        </w:rPr>
        <w:t>questo</w:t>
      </w:r>
      <w:r>
        <w:rPr>
          <w:color w:val="231F20"/>
          <w:spacing w:val="-27"/>
          <w:w w:val="105"/>
        </w:rPr>
        <w:t> </w:t>
      </w:r>
      <w:r>
        <w:rPr>
          <w:color w:val="231F20"/>
          <w:w w:val="105"/>
        </w:rPr>
        <w:t>genere</w:t>
      </w:r>
      <w:r>
        <w:rPr>
          <w:color w:val="231F20"/>
          <w:spacing w:val="-27"/>
          <w:w w:val="105"/>
        </w:rPr>
        <w:t> </w:t>
      </w:r>
      <w:r>
        <w:rPr>
          <w:color w:val="231F20"/>
          <w:w w:val="105"/>
        </w:rPr>
        <w:t>possano</w:t>
      </w:r>
      <w:r>
        <w:rPr>
          <w:color w:val="231F20"/>
          <w:spacing w:val="-27"/>
          <w:w w:val="105"/>
        </w:rPr>
        <w:t> </w:t>
      </w:r>
      <w:r>
        <w:rPr>
          <w:color w:val="231F20"/>
          <w:w w:val="105"/>
        </w:rPr>
        <w:t>avere</w:t>
      </w:r>
      <w:r>
        <w:rPr>
          <w:color w:val="231F20"/>
          <w:spacing w:val="-27"/>
          <w:w w:val="105"/>
        </w:rPr>
        <w:t> </w:t>
      </w:r>
      <w:r>
        <w:rPr>
          <w:color w:val="231F20"/>
          <w:w w:val="105"/>
        </w:rPr>
        <w:t>spazio</w:t>
      </w:r>
      <w:r>
        <w:rPr>
          <w:color w:val="231F20"/>
          <w:spacing w:val="-27"/>
          <w:w w:val="105"/>
        </w:rPr>
        <w:t> </w:t>
      </w:r>
      <w:r>
        <w:rPr>
          <w:color w:val="231F20"/>
          <w:w w:val="105"/>
        </w:rPr>
        <w:t>anche</w:t>
      </w:r>
      <w:r>
        <w:rPr>
          <w:color w:val="231F20"/>
          <w:spacing w:val="-27"/>
          <w:w w:val="105"/>
        </w:rPr>
        <w:t> </w:t>
      </w:r>
      <w:r>
        <w:rPr>
          <w:color w:val="231F20"/>
          <w:w w:val="105"/>
        </w:rPr>
        <w:t>nella dogmatica</w:t>
      </w:r>
      <w:r>
        <w:rPr>
          <w:color w:val="231F20"/>
          <w:spacing w:val="-45"/>
          <w:w w:val="105"/>
        </w:rPr>
        <w:t> </w:t>
      </w:r>
      <w:r>
        <w:rPr>
          <w:color w:val="231F20"/>
          <w:w w:val="105"/>
        </w:rPr>
        <w:t>giuridica.</w:t>
      </w:r>
      <w:r>
        <w:rPr>
          <w:color w:val="231F20"/>
          <w:spacing w:val="-45"/>
          <w:w w:val="105"/>
        </w:rPr>
        <w:t> </w:t>
      </w:r>
      <w:r>
        <w:rPr>
          <w:color w:val="231F20"/>
          <w:w w:val="105"/>
        </w:rPr>
        <w:t>Se</w:t>
      </w:r>
      <w:r>
        <w:rPr>
          <w:color w:val="231F20"/>
          <w:spacing w:val="-45"/>
          <w:w w:val="105"/>
        </w:rPr>
        <w:t> </w:t>
      </w:r>
      <w:r>
        <w:rPr>
          <w:color w:val="231F20"/>
          <w:w w:val="105"/>
        </w:rPr>
        <w:t>ciò</w:t>
      </w:r>
      <w:r>
        <w:rPr>
          <w:color w:val="231F20"/>
          <w:spacing w:val="-45"/>
          <w:w w:val="105"/>
        </w:rPr>
        <w:t> </w:t>
      </w:r>
      <w:r>
        <w:rPr>
          <w:color w:val="231F20"/>
          <w:w w:val="105"/>
        </w:rPr>
        <w:t>corrisponda</w:t>
      </w:r>
      <w:r>
        <w:rPr>
          <w:color w:val="231F20"/>
          <w:spacing w:val="-45"/>
          <w:w w:val="105"/>
        </w:rPr>
        <w:t> </w:t>
      </w:r>
      <w:r>
        <w:rPr>
          <w:color w:val="231F20"/>
          <w:w w:val="105"/>
        </w:rPr>
        <w:t>a</w:t>
      </w:r>
      <w:r>
        <w:rPr>
          <w:color w:val="231F20"/>
          <w:spacing w:val="-45"/>
          <w:w w:val="105"/>
        </w:rPr>
        <w:t> </w:t>
      </w:r>
      <w:r>
        <w:rPr>
          <w:color w:val="231F20"/>
          <w:w w:val="105"/>
        </w:rPr>
        <w:t>una</w:t>
      </w:r>
      <w:r>
        <w:rPr>
          <w:color w:val="231F20"/>
          <w:spacing w:val="-45"/>
          <w:w w:val="105"/>
        </w:rPr>
        <w:t> </w:t>
      </w:r>
      <w:r>
        <w:rPr>
          <w:color w:val="231F20"/>
          <w:w w:val="105"/>
        </w:rPr>
        <w:t>definitiva</w:t>
      </w:r>
      <w:r>
        <w:rPr>
          <w:color w:val="231F20"/>
          <w:spacing w:val="-45"/>
          <w:w w:val="105"/>
        </w:rPr>
        <w:t> </w:t>
      </w:r>
      <w:r>
        <w:rPr>
          <w:color w:val="231F20"/>
          <w:w w:val="105"/>
        </w:rPr>
        <w:t>de-generazione</w:t>
      </w:r>
      <w:r>
        <w:rPr>
          <w:color w:val="231F20"/>
          <w:spacing w:val="-45"/>
          <w:w w:val="105"/>
        </w:rPr>
        <w:t> </w:t>
      </w:r>
      <w:r>
        <w:rPr>
          <w:color w:val="231F20"/>
          <w:w w:val="105"/>
        </w:rPr>
        <w:t>del diritto</w:t>
      </w:r>
      <w:r>
        <w:rPr>
          <w:color w:val="231F20"/>
          <w:spacing w:val="-12"/>
          <w:w w:val="105"/>
        </w:rPr>
        <w:t> </w:t>
      </w:r>
      <w:r>
        <w:rPr>
          <w:color w:val="231F20"/>
          <w:w w:val="105"/>
        </w:rPr>
        <w:t>come</w:t>
      </w:r>
      <w:r>
        <w:rPr>
          <w:color w:val="231F20"/>
          <w:spacing w:val="-12"/>
          <w:w w:val="105"/>
        </w:rPr>
        <w:t> </w:t>
      </w:r>
      <w:r>
        <w:rPr>
          <w:color w:val="231F20"/>
          <w:w w:val="105"/>
        </w:rPr>
        <w:t>abbiamo</w:t>
      </w:r>
      <w:r>
        <w:rPr>
          <w:color w:val="231F20"/>
          <w:spacing w:val="-12"/>
          <w:w w:val="105"/>
        </w:rPr>
        <w:t> </w:t>
      </w:r>
      <w:r>
        <w:rPr>
          <w:color w:val="231F20"/>
          <w:w w:val="105"/>
        </w:rPr>
        <w:t>imparato</w:t>
      </w:r>
      <w:r>
        <w:rPr>
          <w:color w:val="231F20"/>
          <w:spacing w:val="-12"/>
          <w:w w:val="105"/>
        </w:rPr>
        <w:t> </w:t>
      </w:r>
      <w:r>
        <w:rPr>
          <w:color w:val="231F20"/>
          <w:w w:val="105"/>
        </w:rPr>
        <w:t>a</w:t>
      </w:r>
      <w:r>
        <w:rPr>
          <w:color w:val="231F20"/>
          <w:spacing w:val="-12"/>
          <w:w w:val="105"/>
        </w:rPr>
        <w:t> </w:t>
      </w:r>
      <w:r>
        <w:rPr>
          <w:color w:val="231F20"/>
          <w:w w:val="105"/>
        </w:rPr>
        <w:t>conoscerlo</w:t>
      </w:r>
      <w:r>
        <w:rPr>
          <w:color w:val="231F20"/>
          <w:spacing w:val="-12"/>
          <w:w w:val="105"/>
        </w:rPr>
        <w:t> </w:t>
      </w:r>
      <w:r>
        <w:rPr>
          <w:color w:val="231F20"/>
          <w:w w:val="105"/>
        </w:rPr>
        <w:t>durante</w:t>
      </w:r>
      <w:r>
        <w:rPr>
          <w:color w:val="231F20"/>
          <w:spacing w:val="-12"/>
          <w:w w:val="105"/>
        </w:rPr>
        <w:t> </w:t>
      </w:r>
      <w:r>
        <w:rPr>
          <w:color w:val="231F20"/>
          <w:w w:val="105"/>
        </w:rPr>
        <w:t>gli</w:t>
      </w:r>
      <w:r>
        <w:rPr>
          <w:color w:val="231F20"/>
          <w:spacing w:val="-12"/>
          <w:w w:val="105"/>
        </w:rPr>
        <w:t> </w:t>
      </w:r>
      <w:r>
        <w:rPr>
          <w:color w:val="231F20"/>
          <w:w w:val="105"/>
        </w:rPr>
        <w:t>ultimi</w:t>
      </w:r>
      <w:r>
        <w:rPr>
          <w:color w:val="231F20"/>
          <w:spacing w:val="-12"/>
          <w:w w:val="105"/>
        </w:rPr>
        <w:t> </w:t>
      </w:r>
      <w:r>
        <w:rPr>
          <w:color w:val="231F20"/>
          <w:w w:val="105"/>
        </w:rPr>
        <w:t>due</w:t>
      </w:r>
      <w:r>
        <w:rPr>
          <w:color w:val="231F20"/>
          <w:spacing w:val="-12"/>
          <w:w w:val="105"/>
        </w:rPr>
        <w:t> </w:t>
      </w:r>
      <w:r>
        <w:rPr>
          <w:color w:val="231F20"/>
          <w:w w:val="105"/>
        </w:rPr>
        <w:t>secoli o se possa rappresentare un livello ulteriore della spirale storica che ha accompagnato</w:t>
      </w:r>
      <w:r>
        <w:rPr>
          <w:color w:val="231F20"/>
          <w:spacing w:val="-9"/>
          <w:w w:val="105"/>
        </w:rPr>
        <w:t> </w:t>
      </w:r>
      <w:r>
        <w:rPr>
          <w:color w:val="231F20"/>
          <w:w w:val="105"/>
        </w:rPr>
        <w:t>la</w:t>
      </w:r>
      <w:r>
        <w:rPr>
          <w:color w:val="231F20"/>
          <w:spacing w:val="-9"/>
          <w:w w:val="105"/>
        </w:rPr>
        <w:t> </w:t>
      </w:r>
      <w:r>
        <w:rPr>
          <w:color w:val="231F20"/>
          <w:w w:val="105"/>
        </w:rPr>
        <w:t>storia</w:t>
      </w:r>
      <w:r>
        <w:rPr>
          <w:color w:val="231F20"/>
          <w:spacing w:val="-9"/>
          <w:w w:val="105"/>
        </w:rPr>
        <w:t> </w:t>
      </w:r>
      <w:r>
        <w:rPr>
          <w:color w:val="231F20"/>
          <w:w w:val="105"/>
        </w:rPr>
        <w:t>politica</w:t>
      </w:r>
      <w:r>
        <w:rPr>
          <w:color w:val="231F20"/>
          <w:spacing w:val="-9"/>
          <w:w w:val="105"/>
        </w:rPr>
        <w:t> </w:t>
      </w:r>
      <w:r>
        <w:rPr>
          <w:color w:val="231F20"/>
          <w:w w:val="105"/>
        </w:rPr>
        <w:t>e</w:t>
      </w:r>
      <w:r>
        <w:rPr>
          <w:color w:val="231F20"/>
          <w:spacing w:val="-9"/>
          <w:w w:val="105"/>
        </w:rPr>
        <w:t> </w:t>
      </w:r>
      <w:r>
        <w:rPr>
          <w:color w:val="231F20"/>
          <w:w w:val="105"/>
        </w:rPr>
        <w:t>costituzionale</w:t>
      </w:r>
      <w:r>
        <w:rPr>
          <w:color w:val="231F20"/>
          <w:spacing w:val="-9"/>
          <w:w w:val="105"/>
        </w:rPr>
        <w:t> </w:t>
      </w:r>
      <w:r>
        <w:rPr>
          <w:color w:val="231F20"/>
          <w:w w:val="105"/>
        </w:rPr>
        <w:t>dell’Occidente</w:t>
      </w:r>
      <w:r>
        <w:rPr>
          <w:color w:val="231F20"/>
          <w:spacing w:val="-9"/>
          <w:w w:val="105"/>
        </w:rPr>
        <w:t> </w:t>
      </w:r>
      <w:r>
        <w:rPr>
          <w:color w:val="231F20"/>
          <w:w w:val="105"/>
        </w:rPr>
        <w:t>per</w:t>
      </w:r>
      <w:r>
        <w:rPr>
          <w:color w:val="231F20"/>
          <w:spacing w:val="-9"/>
          <w:w w:val="105"/>
        </w:rPr>
        <w:t> </w:t>
      </w:r>
      <w:r>
        <w:rPr>
          <w:color w:val="231F20"/>
          <w:w w:val="105"/>
        </w:rPr>
        <w:t>più</w:t>
      </w:r>
      <w:r>
        <w:rPr>
          <w:color w:val="231F20"/>
          <w:spacing w:val="-9"/>
          <w:w w:val="105"/>
        </w:rPr>
        <w:t> </w:t>
      </w:r>
      <w:r>
        <w:rPr>
          <w:color w:val="231F20"/>
          <w:w w:val="105"/>
        </w:rPr>
        <w:t>di due</w:t>
      </w:r>
      <w:r>
        <w:rPr>
          <w:color w:val="231F20"/>
          <w:spacing w:val="-33"/>
          <w:w w:val="105"/>
        </w:rPr>
        <w:t> </w:t>
      </w:r>
      <w:r>
        <w:rPr>
          <w:color w:val="231F20"/>
          <w:w w:val="105"/>
        </w:rPr>
        <w:t>millenni,</w:t>
      </w:r>
      <w:r>
        <w:rPr>
          <w:color w:val="231F20"/>
          <w:spacing w:val="-33"/>
          <w:w w:val="105"/>
        </w:rPr>
        <w:t> </w:t>
      </w:r>
      <w:r>
        <w:rPr>
          <w:color w:val="231F20"/>
          <w:w w:val="105"/>
        </w:rPr>
        <w:t>non</w:t>
      </w:r>
      <w:r>
        <w:rPr>
          <w:color w:val="231F20"/>
          <w:spacing w:val="-33"/>
          <w:w w:val="105"/>
        </w:rPr>
        <w:t> </w:t>
      </w:r>
      <w:r>
        <w:rPr>
          <w:color w:val="231F20"/>
          <w:w w:val="105"/>
        </w:rPr>
        <w:t>saprei.</w:t>
      </w:r>
      <w:r>
        <w:rPr>
          <w:color w:val="231F20"/>
          <w:spacing w:val="-33"/>
          <w:w w:val="105"/>
        </w:rPr>
        <w:t> </w:t>
      </w:r>
      <w:r>
        <w:rPr>
          <w:color w:val="231F20"/>
          <w:w w:val="105"/>
        </w:rPr>
        <w:t>A</w:t>
      </w:r>
      <w:r>
        <w:rPr>
          <w:color w:val="231F20"/>
          <w:spacing w:val="-33"/>
          <w:w w:val="105"/>
        </w:rPr>
        <w:t> </w:t>
      </w:r>
      <w:r>
        <w:rPr>
          <w:color w:val="231F20"/>
          <w:w w:val="105"/>
        </w:rPr>
        <w:t>me</w:t>
      </w:r>
      <w:r>
        <w:rPr>
          <w:color w:val="231F20"/>
          <w:spacing w:val="-33"/>
          <w:w w:val="105"/>
        </w:rPr>
        <w:t> </w:t>
      </w:r>
      <w:r>
        <w:rPr>
          <w:color w:val="231F20"/>
          <w:w w:val="105"/>
        </w:rPr>
        <w:t>tutto</w:t>
      </w:r>
      <w:r>
        <w:rPr>
          <w:color w:val="231F20"/>
          <w:spacing w:val="-33"/>
          <w:w w:val="105"/>
        </w:rPr>
        <w:t> </w:t>
      </w:r>
      <w:r>
        <w:rPr>
          <w:color w:val="231F20"/>
          <w:w w:val="105"/>
        </w:rPr>
        <w:t>ciò</w:t>
      </w:r>
      <w:r>
        <w:rPr>
          <w:color w:val="231F20"/>
          <w:spacing w:val="-33"/>
          <w:w w:val="105"/>
        </w:rPr>
        <w:t> </w:t>
      </w:r>
      <w:r>
        <w:rPr>
          <w:color w:val="231F20"/>
          <w:w w:val="105"/>
        </w:rPr>
        <w:t>ha</w:t>
      </w:r>
      <w:r>
        <w:rPr>
          <w:color w:val="231F20"/>
          <w:spacing w:val="-33"/>
          <w:w w:val="105"/>
        </w:rPr>
        <w:t> </w:t>
      </w:r>
      <w:r>
        <w:rPr>
          <w:color w:val="231F20"/>
          <w:w w:val="105"/>
        </w:rPr>
        <w:t>suggerito</w:t>
      </w:r>
      <w:r>
        <w:rPr>
          <w:color w:val="231F20"/>
          <w:spacing w:val="-33"/>
          <w:w w:val="105"/>
        </w:rPr>
        <w:t> </w:t>
      </w:r>
      <w:r>
        <w:rPr>
          <w:color w:val="231F20"/>
          <w:w w:val="105"/>
        </w:rPr>
        <w:t>di</w:t>
      </w:r>
      <w:r>
        <w:rPr>
          <w:color w:val="231F20"/>
          <w:spacing w:val="-33"/>
          <w:w w:val="105"/>
        </w:rPr>
        <w:t> </w:t>
      </w:r>
      <w:r>
        <w:rPr>
          <w:color w:val="231F20"/>
          <w:w w:val="105"/>
        </w:rPr>
        <w:t>prestare</w:t>
      </w:r>
      <w:r>
        <w:rPr>
          <w:color w:val="231F20"/>
          <w:spacing w:val="-33"/>
          <w:w w:val="105"/>
        </w:rPr>
        <w:t> </w:t>
      </w:r>
      <w:r>
        <w:rPr>
          <w:color w:val="231F20"/>
          <w:w w:val="105"/>
        </w:rPr>
        <w:t>attenzione alla</w:t>
      </w:r>
      <w:r>
        <w:rPr>
          <w:color w:val="231F20"/>
          <w:spacing w:val="-12"/>
          <w:w w:val="105"/>
        </w:rPr>
        <w:t> </w:t>
      </w:r>
      <w:r>
        <w:rPr>
          <w:color w:val="231F20"/>
          <w:w w:val="105"/>
        </w:rPr>
        <w:t>categoria</w:t>
      </w:r>
      <w:r>
        <w:rPr>
          <w:color w:val="231F20"/>
          <w:spacing w:val="-12"/>
          <w:w w:val="105"/>
        </w:rPr>
        <w:t> </w:t>
      </w:r>
      <w:r>
        <w:rPr>
          <w:color w:val="231F20"/>
          <w:w w:val="105"/>
        </w:rPr>
        <w:t>della</w:t>
      </w:r>
      <w:r>
        <w:rPr>
          <w:color w:val="231F20"/>
          <w:spacing w:val="-12"/>
          <w:w w:val="105"/>
        </w:rPr>
        <w:t> </w:t>
      </w:r>
      <w:r>
        <w:rPr>
          <w:color w:val="231F20"/>
          <w:w w:val="105"/>
        </w:rPr>
        <w:t>“misura”,</w:t>
      </w:r>
      <w:r>
        <w:rPr>
          <w:color w:val="231F20"/>
          <w:spacing w:val="-12"/>
          <w:w w:val="105"/>
        </w:rPr>
        <w:t> </w:t>
      </w:r>
      <w:r>
        <w:rPr>
          <w:color w:val="231F20"/>
          <w:w w:val="105"/>
        </w:rPr>
        <w:t>come</w:t>
      </w:r>
      <w:r>
        <w:rPr>
          <w:color w:val="231F20"/>
          <w:spacing w:val="-12"/>
          <w:w w:val="105"/>
        </w:rPr>
        <w:t> </w:t>
      </w:r>
      <w:r>
        <w:rPr>
          <w:color w:val="231F20"/>
          <w:w w:val="105"/>
        </w:rPr>
        <w:t>rapporto</w:t>
      </w:r>
      <w:r>
        <w:rPr>
          <w:color w:val="231F20"/>
          <w:spacing w:val="-12"/>
          <w:w w:val="105"/>
        </w:rPr>
        <w:t> </w:t>
      </w:r>
      <w:r>
        <w:rPr>
          <w:color w:val="231F20"/>
          <w:w w:val="105"/>
        </w:rPr>
        <w:t>necessario</w:t>
      </w:r>
      <w:r>
        <w:rPr>
          <w:color w:val="231F20"/>
          <w:spacing w:val="-12"/>
          <w:w w:val="105"/>
        </w:rPr>
        <w:t> </w:t>
      </w:r>
      <w:r>
        <w:rPr>
          <w:color w:val="231F20"/>
          <w:w w:val="105"/>
        </w:rPr>
        <w:t>dell’uomo</w:t>
      </w:r>
      <w:r>
        <w:rPr>
          <w:color w:val="231F20"/>
          <w:spacing w:val="-12"/>
          <w:w w:val="105"/>
        </w:rPr>
        <w:t> </w:t>
      </w:r>
      <w:r>
        <w:rPr>
          <w:color w:val="231F20"/>
          <w:w w:val="105"/>
        </w:rPr>
        <w:t>con</w:t>
      </w:r>
      <w:r>
        <w:rPr>
          <w:color w:val="231F20"/>
          <w:spacing w:val="-12"/>
          <w:w w:val="105"/>
        </w:rPr>
        <w:t> </w:t>
      </w:r>
      <w:r>
        <w:rPr>
          <w:color w:val="231F20"/>
          <w:w w:val="105"/>
        </w:rPr>
        <w:t>lo Stato,</w:t>
      </w:r>
      <w:r>
        <w:rPr>
          <w:color w:val="231F20"/>
          <w:spacing w:val="-29"/>
          <w:w w:val="105"/>
        </w:rPr>
        <w:t> </w:t>
      </w:r>
      <w:r>
        <w:rPr>
          <w:color w:val="231F20"/>
          <w:w w:val="105"/>
        </w:rPr>
        <w:t>ma</w:t>
      </w:r>
      <w:r>
        <w:rPr>
          <w:color w:val="231F20"/>
          <w:spacing w:val="-29"/>
          <w:w w:val="105"/>
        </w:rPr>
        <w:t> </w:t>
      </w:r>
      <w:r>
        <w:rPr>
          <w:color w:val="231F20"/>
          <w:w w:val="105"/>
        </w:rPr>
        <w:t>anche</w:t>
      </w:r>
      <w:r>
        <w:rPr>
          <w:color w:val="231F20"/>
          <w:spacing w:val="-29"/>
          <w:w w:val="105"/>
        </w:rPr>
        <w:t> </w:t>
      </w:r>
      <w:r>
        <w:rPr>
          <w:color w:val="231F20"/>
          <w:w w:val="105"/>
        </w:rPr>
        <w:t>col</w:t>
      </w:r>
      <w:r>
        <w:rPr>
          <w:color w:val="231F20"/>
          <w:spacing w:val="-29"/>
          <w:w w:val="105"/>
        </w:rPr>
        <w:t> </w:t>
      </w:r>
      <w:r>
        <w:rPr>
          <w:color w:val="231F20"/>
          <w:w w:val="105"/>
        </w:rPr>
        <w:t>mondo</w:t>
      </w:r>
      <w:r>
        <w:rPr>
          <w:color w:val="231F20"/>
          <w:spacing w:val="-29"/>
          <w:w w:val="105"/>
        </w:rPr>
        <w:t> </w:t>
      </w:r>
      <w:r>
        <w:rPr>
          <w:color w:val="231F20"/>
          <w:w w:val="105"/>
        </w:rPr>
        <w:t>conoscibile</w:t>
      </w:r>
      <w:r>
        <w:rPr>
          <w:color w:val="231F20"/>
          <w:spacing w:val="-29"/>
          <w:w w:val="105"/>
        </w:rPr>
        <w:t> </w:t>
      </w:r>
      <w:r>
        <w:rPr>
          <w:color w:val="231F20"/>
          <w:w w:val="105"/>
        </w:rPr>
        <w:t>e</w:t>
      </w:r>
      <w:r>
        <w:rPr>
          <w:color w:val="231F20"/>
          <w:spacing w:val="-29"/>
          <w:w w:val="105"/>
        </w:rPr>
        <w:t> </w:t>
      </w:r>
      <w:r>
        <w:rPr>
          <w:color w:val="231F20"/>
          <w:w w:val="105"/>
        </w:rPr>
        <w:t>soprattutto</w:t>
      </w:r>
      <w:r>
        <w:rPr>
          <w:color w:val="231F20"/>
          <w:spacing w:val="-29"/>
          <w:w w:val="105"/>
        </w:rPr>
        <w:t> </w:t>
      </w:r>
      <w:r>
        <w:rPr>
          <w:color w:val="231F20"/>
          <w:w w:val="105"/>
        </w:rPr>
        <w:t>con</w:t>
      </w:r>
      <w:r>
        <w:rPr>
          <w:color w:val="231F20"/>
          <w:spacing w:val="-29"/>
          <w:w w:val="105"/>
        </w:rPr>
        <w:t> </w:t>
      </w:r>
      <w:r>
        <w:rPr>
          <w:color w:val="231F20"/>
          <w:w w:val="105"/>
        </w:rPr>
        <w:t>se</w:t>
      </w:r>
      <w:r>
        <w:rPr>
          <w:color w:val="231F20"/>
          <w:spacing w:val="-29"/>
          <w:w w:val="105"/>
        </w:rPr>
        <w:t> </w:t>
      </w:r>
      <w:r>
        <w:rPr>
          <w:color w:val="231F20"/>
          <w:w w:val="105"/>
        </w:rPr>
        <w:t>stesso.</w:t>
      </w:r>
    </w:p>
    <w:p>
      <w:pPr>
        <w:pStyle w:val="BodyText"/>
        <w:spacing w:line="247" w:lineRule="auto"/>
        <w:ind w:left="117" w:right="112" w:firstLine="566"/>
        <w:jc w:val="both"/>
      </w:pPr>
      <w:r>
        <w:rPr>
          <w:color w:val="231F20"/>
        </w:rPr>
        <w:t>È</w:t>
      </w:r>
      <w:r>
        <w:rPr>
          <w:color w:val="231F20"/>
          <w:spacing w:val="-21"/>
        </w:rPr>
        <w:t> </w:t>
      </w:r>
      <w:r>
        <w:rPr>
          <w:color w:val="231F20"/>
        </w:rPr>
        <w:t>in</w:t>
      </w:r>
      <w:r>
        <w:rPr>
          <w:color w:val="231F20"/>
          <w:spacing w:val="-21"/>
        </w:rPr>
        <w:t> </w:t>
      </w:r>
      <w:r>
        <w:rPr>
          <w:color w:val="231F20"/>
        </w:rPr>
        <w:t>questo</w:t>
      </w:r>
      <w:r>
        <w:rPr>
          <w:color w:val="231F20"/>
          <w:spacing w:val="-21"/>
        </w:rPr>
        <w:t> </w:t>
      </w:r>
      <w:r>
        <w:rPr>
          <w:color w:val="231F20"/>
        </w:rPr>
        <w:t>senso</w:t>
      </w:r>
      <w:r>
        <w:rPr>
          <w:color w:val="231F20"/>
          <w:spacing w:val="-21"/>
        </w:rPr>
        <w:t> </w:t>
      </w:r>
      <w:r>
        <w:rPr>
          <w:color w:val="231F20"/>
        </w:rPr>
        <w:t>che</w:t>
      </w:r>
      <w:r>
        <w:rPr>
          <w:color w:val="231F20"/>
          <w:spacing w:val="-21"/>
        </w:rPr>
        <w:t> </w:t>
      </w:r>
      <w:r>
        <w:rPr>
          <w:color w:val="231F20"/>
          <w:spacing w:val="-3"/>
        </w:rPr>
        <w:t>vorrei</w:t>
      </w:r>
      <w:r>
        <w:rPr>
          <w:color w:val="231F20"/>
          <w:spacing w:val="-21"/>
        </w:rPr>
        <w:t> </w:t>
      </w:r>
      <w:r>
        <w:rPr>
          <w:color w:val="231F20"/>
          <w:spacing w:val="-3"/>
        </w:rPr>
        <w:t>tornare</w:t>
      </w:r>
      <w:r>
        <w:rPr>
          <w:color w:val="231F20"/>
          <w:spacing w:val="-21"/>
        </w:rPr>
        <w:t> </w:t>
      </w:r>
      <w:r>
        <w:rPr>
          <w:color w:val="231F20"/>
        </w:rPr>
        <w:t>al</w:t>
      </w:r>
      <w:r>
        <w:rPr>
          <w:color w:val="231F20"/>
          <w:spacing w:val="-21"/>
        </w:rPr>
        <w:t> </w:t>
      </w:r>
      <w:r>
        <w:rPr>
          <w:color w:val="231F20"/>
        </w:rPr>
        <w:t>tema</w:t>
      </w:r>
      <w:r>
        <w:rPr>
          <w:color w:val="231F20"/>
          <w:spacing w:val="-21"/>
        </w:rPr>
        <w:t> </w:t>
      </w:r>
      <w:r>
        <w:rPr>
          <w:color w:val="231F20"/>
        </w:rPr>
        <w:t>del</w:t>
      </w:r>
      <w:r>
        <w:rPr>
          <w:color w:val="231F20"/>
          <w:spacing w:val="-21"/>
        </w:rPr>
        <w:t> </w:t>
      </w:r>
      <w:r>
        <w:rPr>
          <w:color w:val="231F20"/>
        </w:rPr>
        <w:t>federalismo</w:t>
      </w:r>
      <w:r>
        <w:rPr>
          <w:color w:val="231F20"/>
          <w:spacing w:val="-21"/>
        </w:rPr>
        <w:t> </w:t>
      </w:r>
      <w:r>
        <w:rPr>
          <w:color w:val="231F20"/>
        </w:rPr>
        <w:t>che</w:t>
      </w:r>
      <w:r>
        <w:rPr>
          <w:color w:val="231F20"/>
          <w:spacing w:val="-21"/>
        </w:rPr>
        <w:t> </w:t>
      </w:r>
      <w:r>
        <w:rPr>
          <w:color w:val="231F20"/>
        </w:rPr>
        <w:t>avevo aperto ma poi lasciato cadere. Libertà–disciplina–costituzione–federalismo è —se non sbaglio— la linea proposta da Giuseppe Duso. Come reagire ai </w:t>
      </w:r>
      <w:r>
        <w:rPr>
          <w:color w:val="231F20"/>
          <w:spacing w:val="-3"/>
        </w:rPr>
        <w:t>bisogni posti dalla prima esperienza politica </w:t>
      </w:r>
      <w:r>
        <w:rPr>
          <w:color w:val="231F20"/>
        </w:rPr>
        <w:t>e </w:t>
      </w:r>
      <w:r>
        <w:rPr>
          <w:color w:val="231F20"/>
          <w:spacing w:val="-3"/>
        </w:rPr>
        <w:t>costituzionale post-statale, che </w:t>
      </w:r>
      <w:r>
        <w:rPr>
          <w:color w:val="231F20"/>
        </w:rPr>
        <w:t>è quella di una società globale, se non rintracciando nuove linee</w:t>
      </w:r>
      <w:r>
        <w:rPr>
          <w:color w:val="231F20"/>
          <w:spacing w:val="-39"/>
        </w:rPr>
        <w:t> </w:t>
      </w:r>
      <w:r>
        <w:rPr>
          <w:color w:val="231F20"/>
        </w:rPr>
        <w:t>orizzontali di relazione fra gruppi e centri d’interesse dislocati in luoghi/siti diversi   ma legati da destini comuni? La soluzione democratica, rappresentativa </w:t>
      </w:r>
      <w:r>
        <w:rPr>
          <w:color w:val="231F20"/>
          <w:spacing w:val="2"/>
        </w:rPr>
        <w:t>ma </w:t>
      </w:r>
      <w:r>
        <w:rPr>
          <w:color w:val="231F20"/>
          <w:spacing w:val="4"/>
        </w:rPr>
        <w:t>verticale, </w:t>
      </w:r>
      <w:r>
        <w:rPr>
          <w:color w:val="231F20"/>
          <w:spacing w:val="3"/>
        </w:rPr>
        <w:t>non </w:t>
      </w:r>
      <w:r>
        <w:rPr>
          <w:color w:val="231F20"/>
          <w:spacing w:val="4"/>
        </w:rPr>
        <w:t>risponde </w:t>
      </w:r>
      <w:r>
        <w:rPr>
          <w:color w:val="231F20"/>
          <w:spacing w:val="3"/>
        </w:rPr>
        <w:t>alla </w:t>
      </w:r>
      <w:r>
        <w:rPr>
          <w:color w:val="231F20"/>
          <w:spacing w:val="4"/>
        </w:rPr>
        <w:t>bisogna, costretta com’è, ancora, </w:t>
      </w:r>
      <w:r>
        <w:rPr>
          <w:color w:val="231F20"/>
          <w:spacing w:val="5"/>
        </w:rPr>
        <w:t>da </w:t>
      </w:r>
      <w:r>
        <w:rPr>
          <w:color w:val="231F20"/>
        </w:rPr>
        <w:t>formalismi giuridici che vanno dalla più concreta pratica amministrativa  alla più astratta previsione di diritti universali. La soluzione federativa che propone Duso —e a cui credo sostanzialmente di aderire anch’io— non     è </w:t>
      </w:r>
      <w:r>
        <w:rPr>
          <w:color w:val="231F20"/>
          <w:spacing w:val="2"/>
        </w:rPr>
        <w:t>certo anti-democratica, </w:t>
      </w:r>
      <w:r>
        <w:rPr>
          <w:color w:val="231F20"/>
        </w:rPr>
        <w:t>ma </w:t>
      </w:r>
      <w:r>
        <w:rPr>
          <w:color w:val="231F20"/>
          <w:spacing w:val="2"/>
        </w:rPr>
        <w:t>post-democratica forse </w:t>
      </w:r>
      <w:r>
        <w:rPr>
          <w:color w:val="231F20"/>
        </w:rPr>
        <w:t>sì, nel </w:t>
      </w:r>
      <w:r>
        <w:rPr>
          <w:color w:val="231F20"/>
          <w:spacing w:val="2"/>
        </w:rPr>
        <w:t>senso </w:t>
      </w:r>
      <w:r>
        <w:rPr>
          <w:color w:val="231F20"/>
          <w:spacing w:val="3"/>
        </w:rPr>
        <w:t>che </w:t>
      </w:r>
      <w:r>
        <w:rPr>
          <w:color w:val="231F20"/>
        </w:rPr>
        <w:t>mira a sostituire la (giuridicamente) necessaria verticalità della tradizione statuale, mediante una considerazione plurale del “federalismo”, inteso “non in termini meramente strutturali ma privilegiandone la dimensione processuale”</w:t>
      </w:r>
      <w:r>
        <w:rPr>
          <w:color w:val="231F20"/>
          <w:position w:val="7"/>
          <w:sz w:val="12"/>
        </w:rPr>
        <w:t>39</w:t>
      </w:r>
      <w:r>
        <w:rPr>
          <w:color w:val="231F20"/>
        </w:rPr>
        <w:t>. Dire di più è difficile qui, tranne forse aggiungere che quel federalismo</w:t>
      </w:r>
      <w:r>
        <w:rPr>
          <w:color w:val="231F20"/>
          <w:spacing w:val="-23"/>
        </w:rPr>
        <w:t> </w:t>
      </w:r>
      <w:r>
        <w:rPr>
          <w:color w:val="231F20"/>
        </w:rPr>
        <w:t>supera</w:t>
      </w:r>
      <w:r>
        <w:rPr>
          <w:color w:val="231F20"/>
          <w:spacing w:val="-23"/>
        </w:rPr>
        <w:t> </w:t>
      </w:r>
      <w:r>
        <w:rPr>
          <w:color w:val="231F20"/>
        </w:rPr>
        <w:t>sia</w:t>
      </w:r>
      <w:r>
        <w:rPr>
          <w:color w:val="231F20"/>
          <w:spacing w:val="-23"/>
        </w:rPr>
        <w:t> </w:t>
      </w:r>
      <w:r>
        <w:rPr>
          <w:color w:val="231F20"/>
        </w:rPr>
        <w:t>la</w:t>
      </w:r>
      <w:r>
        <w:rPr>
          <w:color w:val="231F20"/>
          <w:spacing w:val="-23"/>
        </w:rPr>
        <w:t> </w:t>
      </w:r>
      <w:r>
        <w:rPr>
          <w:color w:val="231F20"/>
        </w:rPr>
        <w:t>dimensione</w:t>
      </w:r>
      <w:r>
        <w:rPr>
          <w:color w:val="231F20"/>
          <w:spacing w:val="-23"/>
        </w:rPr>
        <w:t> </w:t>
      </w:r>
      <w:r>
        <w:rPr>
          <w:color w:val="231F20"/>
        </w:rPr>
        <w:t>internazionale</w:t>
      </w:r>
      <w:r>
        <w:rPr>
          <w:color w:val="231F20"/>
          <w:spacing w:val="-23"/>
        </w:rPr>
        <w:t> </w:t>
      </w:r>
      <w:r>
        <w:rPr>
          <w:color w:val="231F20"/>
        </w:rPr>
        <w:t>che</w:t>
      </w:r>
      <w:r>
        <w:rPr>
          <w:color w:val="231F20"/>
          <w:spacing w:val="-23"/>
        </w:rPr>
        <w:t> </w:t>
      </w:r>
      <w:r>
        <w:rPr>
          <w:color w:val="231F20"/>
        </w:rPr>
        <w:t>quella</w:t>
      </w:r>
      <w:r>
        <w:rPr>
          <w:color w:val="231F20"/>
          <w:spacing w:val="-23"/>
        </w:rPr>
        <w:t> </w:t>
      </w:r>
      <w:r>
        <w:rPr>
          <w:color w:val="231F20"/>
        </w:rPr>
        <w:t>costituzionale</w:t>
      </w:r>
    </w:p>
    <w:p>
      <w:pPr>
        <w:pStyle w:val="BodyText"/>
        <w:spacing w:line="247" w:lineRule="auto"/>
        <w:ind w:left="117" w:right="117"/>
        <w:jc w:val="both"/>
      </w:pPr>
      <w:r>
        <w:rPr>
          <w:color w:val="231F20"/>
          <w:w w:val="105"/>
        </w:rPr>
        <w:t>—entrambe ancora soggette alla dogmatica giuridica— per attingere al sociale</w:t>
      </w:r>
      <w:r>
        <w:rPr>
          <w:color w:val="231F20"/>
          <w:spacing w:val="-9"/>
          <w:w w:val="105"/>
        </w:rPr>
        <w:t> </w:t>
      </w:r>
      <w:r>
        <w:rPr>
          <w:color w:val="231F20"/>
          <w:w w:val="105"/>
        </w:rPr>
        <w:t>e</w:t>
      </w:r>
      <w:r>
        <w:rPr>
          <w:color w:val="231F20"/>
          <w:spacing w:val="-9"/>
          <w:w w:val="105"/>
        </w:rPr>
        <w:t> </w:t>
      </w:r>
      <w:r>
        <w:rPr>
          <w:color w:val="231F20"/>
          <w:w w:val="105"/>
        </w:rPr>
        <w:t>soprattutto</w:t>
      </w:r>
      <w:r>
        <w:rPr>
          <w:color w:val="231F20"/>
          <w:spacing w:val="-9"/>
          <w:w w:val="105"/>
        </w:rPr>
        <w:t> </w:t>
      </w:r>
      <w:r>
        <w:rPr>
          <w:color w:val="231F20"/>
          <w:w w:val="105"/>
        </w:rPr>
        <w:t>all’amministrativo,</w:t>
      </w:r>
      <w:r>
        <w:rPr>
          <w:color w:val="231F20"/>
          <w:spacing w:val="-9"/>
          <w:w w:val="105"/>
        </w:rPr>
        <w:t> </w:t>
      </w:r>
      <w:r>
        <w:rPr>
          <w:color w:val="231F20"/>
          <w:w w:val="105"/>
        </w:rPr>
        <w:t>congiungendosi</w:t>
      </w:r>
      <w:r>
        <w:rPr>
          <w:color w:val="231F20"/>
          <w:spacing w:val="-9"/>
          <w:w w:val="105"/>
        </w:rPr>
        <w:t> </w:t>
      </w:r>
      <w:r>
        <w:rPr>
          <w:color w:val="231F20"/>
          <w:w w:val="105"/>
        </w:rPr>
        <w:t>alle</w:t>
      </w:r>
      <w:r>
        <w:rPr>
          <w:color w:val="231F20"/>
          <w:spacing w:val="-9"/>
          <w:w w:val="105"/>
        </w:rPr>
        <w:t> </w:t>
      </w:r>
      <w:r>
        <w:rPr>
          <w:color w:val="231F20"/>
          <w:w w:val="105"/>
        </w:rPr>
        <w:t>potenzialità non</w:t>
      </w:r>
      <w:r>
        <w:rPr>
          <w:color w:val="231F20"/>
          <w:spacing w:val="-14"/>
          <w:w w:val="105"/>
        </w:rPr>
        <w:t> </w:t>
      </w:r>
      <w:r>
        <w:rPr>
          <w:color w:val="231F20"/>
          <w:w w:val="105"/>
        </w:rPr>
        <w:t>solo</w:t>
      </w:r>
      <w:r>
        <w:rPr>
          <w:color w:val="231F20"/>
          <w:spacing w:val="-14"/>
          <w:w w:val="105"/>
        </w:rPr>
        <w:t> </w:t>
      </w:r>
      <w:r>
        <w:rPr>
          <w:color w:val="231F20"/>
          <w:w w:val="105"/>
        </w:rPr>
        <w:t>teoriche</w:t>
      </w:r>
      <w:r>
        <w:rPr>
          <w:color w:val="231F20"/>
          <w:spacing w:val="-14"/>
          <w:w w:val="105"/>
        </w:rPr>
        <w:t> </w:t>
      </w:r>
      <w:r>
        <w:rPr>
          <w:color w:val="231F20"/>
          <w:w w:val="105"/>
        </w:rPr>
        <w:t>ma</w:t>
      </w:r>
      <w:r>
        <w:rPr>
          <w:color w:val="231F20"/>
          <w:spacing w:val="-14"/>
          <w:w w:val="105"/>
        </w:rPr>
        <w:t> </w:t>
      </w:r>
      <w:r>
        <w:rPr>
          <w:color w:val="231F20"/>
          <w:w w:val="105"/>
        </w:rPr>
        <w:t>pratiche</w:t>
      </w:r>
      <w:r>
        <w:rPr>
          <w:color w:val="231F20"/>
          <w:spacing w:val="-14"/>
          <w:w w:val="105"/>
        </w:rPr>
        <w:t> </w:t>
      </w:r>
      <w:r>
        <w:rPr>
          <w:color w:val="231F20"/>
          <w:w w:val="105"/>
        </w:rPr>
        <w:t>dell’altro</w:t>
      </w:r>
      <w:r>
        <w:rPr>
          <w:color w:val="231F20"/>
          <w:spacing w:val="-14"/>
          <w:w w:val="105"/>
        </w:rPr>
        <w:t> </w:t>
      </w:r>
      <w:r>
        <w:rPr>
          <w:color w:val="231F20"/>
          <w:w w:val="105"/>
        </w:rPr>
        <w:t>grande</w:t>
      </w:r>
      <w:r>
        <w:rPr>
          <w:color w:val="231F20"/>
          <w:spacing w:val="-14"/>
          <w:w w:val="105"/>
        </w:rPr>
        <w:t> </w:t>
      </w:r>
      <w:r>
        <w:rPr>
          <w:color w:val="231F20"/>
          <w:w w:val="105"/>
        </w:rPr>
        <w:t>principio</w:t>
      </w:r>
      <w:r>
        <w:rPr>
          <w:color w:val="231F20"/>
          <w:spacing w:val="-14"/>
          <w:w w:val="105"/>
        </w:rPr>
        <w:t> </w:t>
      </w:r>
      <w:r>
        <w:rPr>
          <w:color w:val="231F20"/>
          <w:w w:val="105"/>
        </w:rPr>
        <w:t>che</w:t>
      </w:r>
      <w:r>
        <w:rPr>
          <w:color w:val="231F20"/>
          <w:spacing w:val="-14"/>
          <w:w w:val="105"/>
        </w:rPr>
        <w:t> </w:t>
      </w:r>
      <w:r>
        <w:rPr>
          <w:color w:val="231F20"/>
          <w:w w:val="105"/>
        </w:rPr>
        <w:t>l’esperienza</w:t>
      </w:r>
    </w:p>
    <w:p>
      <w:pPr>
        <w:pStyle w:val="BodyText"/>
        <w:spacing w:before="2"/>
        <w:rPr>
          <w:sz w:val="26"/>
        </w:rPr>
      </w:pPr>
      <w:r>
        <w:rPr/>
        <w:pict>
          <v:line style="position:absolute;mso-position-horizontal-relative:page;mso-position-vertical-relative:paragraph;z-index:12856;mso-wrap-distance-left:0;mso-wrap-distance-right:0" from="70.866096pt,17.906984pt" to="184.252096pt,17.906984pt" stroked="true" strokeweight=".3pt" strokecolor="#231f20">
            <w10:wrap type="topAndBottom"/>
          </v:line>
        </w:pict>
      </w:r>
    </w:p>
    <w:p>
      <w:pPr>
        <w:spacing w:line="204" w:lineRule="exact" w:before="8"/>
        <w:ind w:left="117" w:right="0" w:firstLine="0"/>
        <w:jc w:val="left"/>
        <w:rPr>
          <w:rFonts w:ascii="Calibri" w:hAnsi="Calibri"/>
          <w:sz w:val="17"/>
        </w:rPr>
      </w:pPr>
      <w:r>
        <w:rPr>
          <w:rFonts w:ascii="Calibri" w:hAnsi="Calibri"/>
          <w:color w:val="231F20"/>
          <w:position w:val="6"/>
          <w:sz w:val="10"/>
        </w:rPr>
        <w:t>38 </w:t>
      </w:r>
      <w:r>
        <w:rPr>
          <w:rFonts w:ascii="Calibri" w:hAnsi="Calibri"/>
          <w:color w:val="231F20"/>
          <w:sz w:val="17"/>
        </w:rPr>
        <w:t>S. Cognetti, </w:t>
      </w:r>
      <w:r>
        <w:rPr>
          <w:rFonts w:ascii="Calibri" w:hAnsi="Calibri"/>
          <w:i/>
          <w:color w:val="231F20"/>
          <w:sz w:val="17"/>
        </w:rPr>
        <w:t>Legge amministrazione giudice. Potere amministrativo fra storia e attualità</w:t>
      </w:r>
      <w:r>
        <w:rPr>
          <w:rFonts w:ascii="Calibri" w:hAnsi="Calibri"/>
          <w:color w:val="231F20"/>
          <w:sz w:val="17"/>
        </w:rPr>
        <w:t>, Torino, Giappichelli, 2014.</w:t>
      </w:r>
    </w:p>
    <w:p>
      <w:pPr>
        <w:spacing w:line="204" w:lineRule="exact" w:before="0"/>
        <w:ind w:left="117" w:right="0" w:firstLine="0"/>
        <w:jc w:val="left"/>
        <w:rPr>
          <w:rFonts w:ascii="Calibri" w:hAnsi="Calibri"/>
          <w:sz w:val="17"/>
        </w:rPr>
      </w:pPr>
      <w:r>
        <w:rPr>
          <w:rFonts w:ascii="Calibri" w:hAnsi="Calibri"/>
          <w:color w:val="231F20"/>
          <w:position w:val="6"/>
          <w:sz w:val="10"/>
        </w:rPr>
        <w:t>39 </w:t>
      </w:r>
      <w:r>
        <w:rPr>
          <w:rFonts w:ascii="Calibri" w:hAnsi="Calibri"/>
          <w:color w:val="231F20"/>
          <w:sz w:val="17"/>
        </w:rPr>
        <w:t>Come scriveva L. Ferrari–Bravo, “Federalismo”, S. Bologna (Ed.), </w:t>
      </w:r>
      <w:r>
        <w:rPr>
          <w:rFonts w:ascii="Calibri" w:hAnsi="Calibri"/>
          <w:i/>
          <w:color w:val="231F20"/>
          <w:sz w:val="17"/>
        </w:rPr>
        <w:t>Dal fordismo alla globalizzazione. </w:t>
      </w:r>
      <w:r>
        <w:rPr>
          <w:rFonts w:ascii="Calibri" w:hAnsi="Calibri"/>
          <w:i/>
          <w:color w:val="231F20"/>
          <w:sz w:val="17"/>
        </w:rPr>
        <w:t>Cristalli di tempo politico</w:t>
      </w:r>
      <w:r>
        <w:rPr>
          <w:rFonts w:ascii="Calibri" w:hAnsi="Calibri"/>
          <w:color w:val="231F20"/>
          <w:sz w:val="17"/>
        </w:rPr>
        <w:t>, Roma 2001.</w:t>
      </w:r>
    </w:p>
    <w:p>
      <w:pPr>
        <w:spacing w:after="0" w:line="204" w:lineRule="exact"/>
        <w:jc w:val="left"/>
        <w:rPr>
          <w:rFonts w:ascii="Calibri" w:hAnsi="Calibri"/>
          <w:sz w:val="17"/>
        </w:rPr>
        <w:sectPr>
          <w:pgSz w:w="9640" w:h="13890"/>
          <w:pgMar w:top="0" w:bottom="280" w:left="1300" w:right="1180"/>
        </w:sectPr>
      </w:pPr>
    </w:p>
    <w:p>
      <w:pPr>
        <w:pStyle w:val="BodyText"/>
        <w:spacing w:line="247" w:lineRule="auto" w:before="107"/>
        <w:ind w:left="103" w:right="110"/>
      </w:pPr>
      <w:r>
        <w:rPr>
          <w:color w:val="231F20"/>
          <w:w w:val="105"/>
        </w:rPr>
        <w:t>storica</w:t>
      </w:r>
      <w:r>
        <w:rPr>
          <w:color w:val="231F20"/>
          <w:spacing w:val="-13"/>
          <w:w w:val="105"/>
        </w:rPr>
        <w:t> </w:t>
      </w:r>
      <w:r>
        <w:rPr>
          <w:color w:val="231F20"/>
          <w:w w:val="105"/>
        </w:rPr>
        <w:t>dello</w:t>
      </w:r>
      <w:r>
        <w:rPr>
          <w:color w:val="231F20"/>
          <w:spacing w:val="-13"/>
          <w:w w:val="105"/>
        </w:rPr>
        <w:t> </w:t>
      </w:r>
      <w:r>
        <w:rPr>
          <w:color w:val="231F20"/>
          <w:w w:val="105"/>
        </w:rPr>
        <w:t>Stato</w:t>
      </w:r>
      <w:r>
        <w:rPr>
          <w:color w:val="231F20"/>
          <w:spacing w:val="-13"/>
          <w:w w:val="105"/>
        </w:rPr>
        <w:t> </w:t>
      </w:r>
      <w:r>
        <w:rPr>
          <w:color w:val="231F20"/>
          <w:w w:val="105"/>
        </w:rPr>
        <w:t>moderno</w:t>
      </w:r>
      <w:r>
        <w:rPr>
          <w:color w:val="231F20"/>
          <w:spacing w:val="-13"/>
          <w:w w:val="105"/>
        </w:rPr>
        <w:t> </w:t>
      </w:r>
      <w:r>
        <w:rPr>
          <w:color w:val="231F20"/>
          <w:w w:val="105"/>
        </w:rPr>
        <w:t>ha</w:t>
      </w:r>
      <w:r>
        <w:rPr>
          <w:color w:val="231F20"/>
          <w:spacing w:val="-13"/>
          <w:w w:val="105"/>
        </w:rPr>
        <w:t> </w:t>
      </w:r>
      <w:r>
        <w:rPr>
          <w:color w:val="231F20"/>
          <w:w w:val="105"/>
        </w:rPr>
        <w:t>messo</w:t>
      </w:r>
      <w:r>
        <w:rPr>
          <w:color w:val="231F20"/>
          <w:spacing w:val="-13"/>
          <w:w w:val="105"/>
        </w:rPr>
        <w:t> </w:t>
      </w:r>
      <w:r>
        <w:rPr>
          <w:color w:val="231F20"/>
          <w:w w:val="105"/>
        </w:rPr>
        <w:t>da</w:t>
      </w:r>
      <w:r>
        <w:rPr>
          <w:color w:val="231F20"/>
          <w:spacing w:val="-13"/>
          <w:w w:val="105"/>
        </w:rPr>
        <w:t> </w:t>
      </w:r>
      <w:r>
        <w:rPr>
          <w:color w:val="231F20"/>
          <w:w w:val="105"/>
        </w:rPr>
        <w:t>parte,</w:t>
      </w:r>
      <w:r>
        <w:rPr>
          <w:color w:val="231F20"/>
          <w:spacing w:val="-13"/>
          <w:w w:val="105"/>
        </w:rPr>
        <w:t> </w:t>
      </w:r>
      <w:r>
        <w:rPr>
          <w:color w:val="231F20"/>
          <w:w w:val="105"/>
        </w:rPr>
        <w:t>che</w:t>
      </w:r>
      <w:r>
        <w:rPr>
          <w:color w:val="231F20"/>
          <w:spacing w:val="-13"/>
          <w:w w:val="105"/>
        </w:rPr>
        <w:t> </w:t>
      </w:r>
      <w:r>
        <w:rPr>
          <w:color w:val="231F20"/>
          <w:w w:val="105"/>
        </w:rPr>
        <w:t>è</w:t>
      </w:r>
      <w:r>
        <w:rPr>
          <w:color w:val="231F20"/>
          <w:spacing w:val="-13"/>
          <w:w w:val="105"/>
        </w:rPr>
        <w:t> </w:t>
      </w:r>
      <w:r>
        <w:rPr>
          <w:color w:val="231F20"/>
          <w:w w:val="105"/>
        </w:rPr>
        <w:t>l’autonomia,</w:t>
      </w:r>
      <w:r>
        <w:rPr>
          <w:color w:val="231F20"/>
          <w:spacing w:val="-13"/>
          <w:w w:val="105"/>
        </w:rPr>
        <w:t> </w:t>
      </w:r>
      <w:r>
        <w:rPr>
          <w:color w:val="231F20"/>
          <w:w w:val="105"/>
        </w:rPr>
        <w:t>a</w:t>
      </w:r>
      <w:r>
        <w:rPr>
          <w:color w:val="231F20"/>
          <w:spacing w:val="-13"/>
          <w:w w:val="105"/>
        </w:rPr>
        <w:t> </w:t>
      </w:r>
      <w:r>
        <w:rPr>
          <w:color w:val="231F20"/>
          <w:w w:val="105"/>
        </w:rPr>
        <w:t>sua volta</w:t>
      </w:r>
      <w:r>
        <w:rPr>
          <w:color w:val="231F20"/>
          <w:spacing w:val="-32"/>
          <w:w w:val="105"/>
        </w:rPr>
        <w:t> </w:t>
      </w:r>
      <w:r>
        <w:rPr>
          <w:color w:val="231F20"/>
          <w:w w:val="105"/>
        </w:rPr>
        <w:t>veicolo</w:t>
      </w:r>
      <w:r>
        <w:rPr>
          <w:color w:val="231F20"/>
          <w:spacing w:val="-32"/>
          <w:w w:val="105"/>
        </w:rPr>
        <w:t> </w:t>
      </w:r>
      <w:r>
        <w:rPr>
          <w:color w:val="231F20"/>
          <w:w w:val="105"/>
        </w:rPr>
        <w:t>imprescindibile</w:t>
      </w:r>
      <w:r>
        <w:rPr>
          <w:color w:val="231F20"/>
          <w:spacing w:val="-32"/>
          <w:w w:val="105"/>
        </w:rPr>
        <w:t> </w:t>
      </w:r>
      <w:r>
        <w:rPr>
          <w:color w:val="231F20"/>
          <w:w w:val="105"/>
        </w:rPr>
        <w:t>di</w:t>
      </w:r>
      <w:r>
        <w:rPr>
          <w:color w:val="231F20"/>
          <w:spacing w:val="-32"/>
          <w:w w:val="105"/>
        </w:rPr>
        <w:t> </w:t>
      </w:r>
      <w:r>
        <w:rPr>
          <w:color w:val="231F20"/>
          <w:w w:val="105"/>
        </w:rPr>
        <w:t>partecipazione.</w:t>
      </w:r>
    </w:p>
    <w:p>
      <w:pPr>
        <w:pStyle w:val="BodyText"/>
        <w:spacing w:line="244" w:lineRule="auto"/>
        <w:ind w:left="103" w:right="110" w:firstLine="566"/>
        <w:jc w:val="both"/>
      </w:pPr>
      <w:r>
        <w:rPr>
          <w:color w:val="231F20"/>
        </w:rPr>
        <w:t>Il governo viene prima dello Stato, che ne è stato semplicemente     il guscio (prima assoluto, poi costituzionale) negli ultimi quattro–cinque secoli.</w:t>
      </w:r>
      <w:r>
        <w:rPr>
          <w:color w:val="231F20"/>
          <w:spacing w:val="-10"/>
        </w:rPr>
        <w:t> </w:t>
      </w:r>
      <w:r>
        <w:rPr>
          <w:color w:val="231F20"/>
        </w:rPr>
        <w:t>Se</w:t>
      </w:r>
      <w:r>
        <w:rPr>
          <w:color w:val="231F20"/>
          <w:spacing w:val="-10"/>
        </w:rPr>
        <w:t> </w:t>
      </w:r>
      <w:r>
        <w:rPr>
          <w:color w:val="231F20"/>
        </w:rPr>
        <w:t>il</w:t>
      </w:r>
      <w:r>
        <w:rPr>
          <w:color w:val="231F20"/>
          <w:spacing w:val="-10"/>
        </w:rPr>
        <w:t> </w:t>
      </w:r>
      <w:r>
        <w:rPr>
          <w:color w:val="231F20"/>
        </w:rPr>
        <w:t>governo</w:t>
      </w:r>
      <w:r>
        <w:rPr>
          <w:color w:val="231F20"/>
          <w:spacing w:val="-10"/>
        </w:rPr>
        <w:t> </w:t>
      </w:r>
      <w:r>
        <w:rPr>
          <w:color w:val="231F20"/>
        </w:rPr>
        <w:t>resta</w:t>
      </w:r>
      <w:r>
        <w:rPr>
          <w:color w:val="231F20"/>
          <w:spacing w:val="-10"/>
        </w:rPr>
        <w:t> </w:t>
      </w:r>
      <w:r>
        <w:rPr>
          <w:color w:val="231F20"/>
        </w:rPr>
        <w:t>verticale</w:t>
      </w:r>
      <w:r>
        <w:rPr>
          <w:color w:val="231F20"/>
          <w:spacing w:val="-10"/>
        </w:rPr>
        <w:t> </w:t>
      </w:r>
      <w:r>
        <w:rPr>
          <w:color w:val="231F20"/>
        </w:rPr>
        <w:t>non</w:t>
      </w:r>
      <w:r>
        <w:rPr>
          <w:color w:val="231F20"/>
          <w:spacing w:val="-10"/>
        </w:rPr>
        <w:t> </w:t>
      </w:r>
      <w:r>
        <w:rPr>
          <w:color w:val="231F20"/>
        </w:rPr>
        <w:t>si</w:t>
      </w:r>
      <w:r>
        <w:rPr>
          <w:color w:val="231F20"/>
          <w:spacing w:val="-10"/>
        </w:rPr>
        <w:t> </w:t>
      </w:r>
      <w:r>
        <w:rPr>
          <w:color w:val="231F20"/>
        </w:rPr>
        <w:t>sottrarrà</w:t>
      </w:r>
      <w:r>
        <w:rPr>
          <w:color w:val="231F20"/>
          <w:spacing w:val="-10"/>
        </w:rPr>
        <w:t> </w:t>
      </w:r>
      <w:r>
        <w:rPr>
          <w:color w:val="231F20"/>
        </w:rPr>
        <w:t>al</w:t>
      </w:r>
      <w:r>
        <w:rPr>
          <w:color w:val="231F20"/>
          <w:spacing w:val="-10"/>
        </w:rPr>
        <w:t> </w:t>
      </w:r>
      <w:r>
        <w:rPr>
          <w:color w:val="231F20"/>
        </w:rPr>
        <w:t>destino</w:t>
      </w:r>
      <w:r>
        <w:rPr>
          <w:color w:val="231F20"/>
          <w:spacing w:val="-10"/>
        </w:rPr>
        <w:t> </w:t>
      </w:r>
      <w:r>
        <w:rPr>
          <w:color w:val="231F20"/>
        </w:rPr>
        <w:t>di</w:t>
      </w:r>
      <w:r>
        <w:rPr>
          <w:color w:val="231F20"/>
          <w:spacing w:val="-10"/>
        </w:rPr>
        <w:t> </w:t>
      </w:r>
      <w:r>
        <w:rPr>
          <w:color w:val="231F20"/>
        </w:rPr>
        <w:t>servitù,</w:t>
      </w:r>
      <w:r>
        <w:rPr>
          <w:color w:val="231F20"/>
          <w:spacing w:val="-10"/>
        </w:rPr>
        <w:t> </w:t>
      </w:r>
      <w:r>
        <w:rPr>
          <w:color w:val="231F20"/>
        </w:rPr>
        <w:t>che riguarda sia i destinatari del potere che coloro stessi che lo esercitano: chi </w:t>
      </w:r>
      <w:r>
        <w:rPr>
          <w:color w:val="231F20"/>
          <w:spacing w:val="-3"/>
        </w:rPr>
        <w:t>comanda</w:t>
      </w:r>
      <w:r>
        <w:rPr>
          <w:color w:val="231F20"/>
          <w:spacing w:val="-17"/>
        </w:rPr>
        <w:t> </w:t>
      </w:r>
      <w:r>
        <w:rPr>
          <w:color w:val="231F20"/>
          <w:spacing w:val="-3"/>
        </w:rPr>
        <w:t>infatti</w:t>
      </w:r>
      <w:r>
        <w:rPr>
          <w:color w:val="231F20"/>
          <w:spacing w:val="-17"/>
        </w:rPr>
        <w:t> </w:t>
      </w:r>
      <w:r>
        <w:rPr>
          <w:color w:val="231F20"/>
          <w:spacing w:val="-3"/>
        </w:rPr>
        <w:t>deve</w:t>
      </w:r>
      <w:r>
        <w:rPr>
          <w:color w:val="231F20"/>
          <w:spacing w:val="-17"/>
        </w:rPr>
        <w:t> </w:t>
      </w:r>
      <w:r>
        <w:rPr>
          <w:color w:val="231F20"/>
          <w:spacing w:val="-3"/>
        </w:rPr>
        <w:t>adeguarsi</w:t>
      </w:r>
      <w:r>
        <w:rPr>
          <w:color w:val="231F20"/>
          <w:spacing w:val="-17"/>
        </w:rPr>
        <w:t> </w:t>
      </w:r>
      <w:r>
        <w:rPr>
          <w:color w:val="231F20"/>
        </w:rPr>
        <w:t>sia</w:t>
      </w:r>
      <w:r>
        <w:rPr>
          <w:color w:val="231F20"/>
          <w:spacing w:val="-17"/>
        </w:rPr>
        <w:t> </w:t>
      </w:r>
      <w:r>
        <w:rPr>
          <w:color w:val="231F20"/>
          <w:spacing w:val="-3"/>
        </w:rPr>
        <w:t>agli</w:t>
      </w:r>
      <w:r>
        <w:rPr>
          <w:color w:val="231F20"/>
          <w:spacing w:val="-17"/>
        </w:rPr>
        <w:t> </w:t>
      </w:r>
      <w:r>
        <w:rPr>
          <w:color w:val="231F20"/>
          <w:spacing w:val="-3"/>
        </w:rPr>
        <w:t>inferiori</w:t>
      </w:r>
      <w:r>
        <w:rPr>
          <w:color w:val="231F20"/>
          <w:spacing w:val="-17"/>
        </w:rPr>
        <w:t> </w:t>
      </w:r>
      <w:r>
        <w:rPr>
          <w:color w:val="231F20"/>
          <w:spacing w:val="-3"/>
        </w:rPr>
        <w:t>(“infimi</w:t>
      </w:r>
      <w:r>
        <w:rPr>
          <w:color w:val="231F20"/>
          <w:spacing w:val="-17"/>
        </w:rPr>
        <w:t> </w:t>
      </w:r>
      <w:r>
        <w:rPr>
          <w:color w:val="231F20"/>
        </w:rPr>
        <w:t>di</w:t>
      </w:r>
      <w:r>
        <w:rPr>
          <w:color w:val="231F20"/>
          <w:spacing w:val="-17"/>
        </w:rPr>
        <w:t> </w:t>
      </w:r>
      <w:r>
        <w:rPr>
          <w:color w:val="231F20"/>
          <w:spacing w:val="-3"/>
        </w:rPr>
        <w:t>te”)</w:t>
      </w:r>
      <w:r>
        <w:rPr>
          <w:color w:val="231F20"/>
          <w:spacing w:val="-17"/>
        </w:rPr>
        <w:t> </w:t>
      </w:r>
      <w:r>
        <w:rPr>
          <w:color w:val="231F20"/>
        </w:rPr>
        <w:t>che</w:t>
      </w:r>
      <w:r>
        <w:rPr>
          <w:color w:val="231F20"/>
          <w:spacing w:val="-17"/>
        </w:rPr>
        <w:t> </w:t>
      </w:r>
      <w:r>
        <w:rPr>
          <w:color w:val="231F20"/>
        </w:rPr>
        <w:t>ai</w:t>
      </w:r>
      <w:r>
        <w:rPr>
          <w:color w:val="231F20"/>
          <w:spacing w:val="-17"/>
        </w:rPr>
        <w:t> </w:t>
      </w:r>
      <w:r>
        <w:rPr>
          <w:color w:val="231F20"/>
          <w:spacing w:val="-3"/>
        </w:rPr>
        <w:t>superiori </w:t>
      </w:r>
      <w:r>
        <w:rPr>
          <w:color w:val="231F20"/>
        </w:rPr>
        <w:t>(“maggiori”):</w:t>
      </w:r>
      <w:r>
        <w:rPr>
          <w:color w:val="231F20"/>
          <w:spacing w:val="-11"/>
        </w:rPr>
        <w:t> </w:t>
      </w:r>
      <w:r>
        <w:rPr>
          <w:color w:val="231F20"/>
        </w:rPr>
        <w:t>“adunque,</w:t>
      </w:r>
      <w:r>
        <w:rPr>
          <w:color w:val="231F20"/>
          <w:spacing w:val="-11"/>
        </w:rPr>
        <w:t> </w:t>
      </w:r>
      <w:r>
        <w:rPr>
          <w:color w:val="231F20"/>
        </w:rPr>
        <w:t>o</w:t>
      </w:r>
      <w:r>
        <w:rPr>
          <w:color w:val="231F20"/>
          <w:spacing w:val="-11"/>
        </w:rPr>
        <w:t> </w:t>
      </w:r>
      <w:r>
        <w:rPr>
          <w:color w:val="231F20"/>
        </w:rPr>
        <w:t>sia</w:t>
      </w:r>
      <w:r>
        <w:rPr>
          <w:color w:val="231F20"/>
          <w:spacing w:val="-11"/>
        </w:rPr>
        <w:t> </w:t>
      </w:r>
      <w:r>
        <w:rPr>
          <w:color w:val="231F20"/>
        </w:rPr>
        <w:t>maggiore</w:t>
      </w:r>
      <w:r>
        <w:rPr>
          <w:color w:val="231F20"/>
          <w:spacing w:val="-11"/>
        </w:rPr>
        <w:t> </w:t>
      </w:r>
      <w:r>
        <w:rPr>
          <w:color w:val="231F20"/>
        </w:rPr>
        <w:t>o</w:t>
      </w:r>
      <w:r>
        <w:rPr>
          <w:color w:val="231F20"/>
          <w:spacing w:val="-11"/>
        </w:rPr>
        <w:t> </w:t>
      </w:r>
      <w:r>
        <w:rPr>
          <w:color w:val="231F20"/>
        </w:rPr>
        <w:t>sia</w:t>
      </w:r>
      <w:r>
        <w:rPr>
          <w:color w:val="231F20"/>
          <w:spacing w:val="-11"/>
        </w:rPr>
        <w:t> </w:t>
      </w:r>
      <w:r>
        <w:rPr>
          <w:color w:val="231F20"/>
        </w:rPr>
        <w:t>minore,</w:t>
      </w:r>
      <w:r>
        <w:rPr>
          <w:color w:val="231F20"/>
          <w:spacing w:val="-11"/>
        </w:rPr>
        <w:t> </w:t>
      </w:r>
      <w:r>
        <w:rPr>
          <w:color w:val="231F20"/>
        </w:rPr>
        <w:t>tu</w:t>
      </w:r>
      <w:r>
        <w:rPr>
          <w:color w:val="231F20"/>
          <w:spacing w:val="-11"/>
        </w:rPr>
        <w:t> </w:t>
      </w:r>
      <w:r>
        <w:rPr>
          <w:color w:val="231F20"/>
        </w:rPr>
        <w:t>sei</w:t>
      </w:r>
      <w:r>
        <w:rPr>
          <w:color w:val="231F20"/>
          <w:spacing w:val="-11"/>
        </w:rPr>
        <w:t> </w:t>
      </w:r>
      <w:r>
        <w:rPr>
          <w:color w:val="231F20"/>
        </w:rPr>
        <w:t>servo”:</w:t>
      </w:r>
      <w:r>
        <w:rPr>
          <w:color w:val="231F20"/>
          <w:spacing w:val="-11"/>
        </w:rPr>
        <w:t> </w:t>
      </w:r>
      <w:r>
        <w:rPr>
          <w:color w:val="231F20"/>
        </w:rPr>
        <w:t>scriveva Giovanni</w:t>
      </w:r>
      <w:r>
        <w:rPr>
          <w:color w:val="231F20"/>
          <w:spacing w:val="-12"/>
        </w:rPr>
        <w:t> </w:t>
      </w:r>
      <w:r>
        <w:rPr>
          <w:color w:val="231F20"/>
        </w:rPr>
        <w:t>Della</w:t>
      </w:r>
      <w:r>
        <w:rPr>
          <w:color w:val="231F20"/>
          <w:spacing w:val="-12"/>
        </w:rPr>
        <w:t> </w:t>
      </w:r>
      <w:r>
        <w:rPr>
          <w:color w:val="231F20"/>
        </w:rPr>
        <w:t>Casa</w:t>
      </w:r>
      <w:r>
        <w:rPr>
          <w:color w:val="231F20"/>
          <w:spacing w:val="-12"/>
        </w:rPr>
        <w:t> </w:t>
      </w:r>
      <w:r>
        <w:rPr>
          <w:color w:val="231F20"/>
        </w:rPr>
        <w:t>in</w:t>
      </w:r>
      <w:r>
        <w:rPr>
          <w:color w:val="231F20"/>
          <w:spacing w:val="-12"/>
        </w:rPr>
        <w:t> </w:t>
      </w:r>
      <w:r>
        <w:rPr>
          <w:color w:val="231F20"/>
        </w:rPr>
        <w:t>pieno</w:t>
      </w:r>
      <w:r>
        <w:rPr>
          <w:color w:val="231F20"/>
          <w:spacing w:val="-12"/>
        </w:rPr>
        <w:t> </w:t>
      </w:r>
      <w:r>
        <w:rPr>
          <w:color w:val="231F20"/>
        </w:rPr>
        <w:t>Cinquecento</w:t>
      </w:r>
      <w:r>
        <w:rPr>
          <w:color w:val="231F20"/>
          <w:position w:val="7"/>
          <w:sz w:val="12"/>
        </w:rPr>
        <w:t>40</w:t>
      </w:r>
      <w:r>
        <w:rPr>
          <w:color w:val="231F20"/>
        </w:rPr>
        <w:t>.</w:t>
      </w:r>
      <w:r>
        <w:rPr>
          <w:color w:val="231F20"/>
          <w:spacing w:val="-12"/>
        </w:rPr>
        <w:t> </w:t>
      </w:r>
      <w:r>
        <w:rPr>
          <w:color w:val="231F20"/>
        </w:rPr>
        <w:t>E</w:t>
      </w:r>
      <w:r>
        <w:rPr>
          <w:color w:val="231F20"/>
          <w:spacing w:val="-12"/>
        </w:rPr>
        <w:t> </w:t>
      </w:r>
      <w:r>
        <w:rPr>
          <w:color w:val="231F20"/>
        </w:rPr>
        <w:t>il</w:t>
      </w:r>
      <w:r>
        <w:rPr>
          <w:color w:val="231F20"/>
          <w:spacing w:val="-12"/>
        </w:rPr>
        <w:t> </w:t>
      </w:r>
      <w:r>
        <w:rPr>
          <w:color w:val="231F20"/>
        </w:rPr>
        <w:t>servizio?</w:t>
      </w:r>
      <w:r>
        <w:rPr>
          <w:color w:val="231F20"/>
          <w:spacing w:val="-12"/>
        </w:rPr>
        <w:t> </w:t>
      </w:r>
      <w:r>
        <w:rPr>
          <w:color w:val="231F20"/>
        </w:rPr>
        <w:t>e</w:t>
      </w:r>
      <w:r>
        <w:rPr>
          <w:color w:val="231F20"/>
          <w:spacing w:val="-12"/>
        </w:rPr>
        <w:t> </w:t>
      </w:r>
      <w:r>
        <w:rPr>
          <w:color w:val="231F20"/>
        </w:rPr>
        <w:t>l’ufficio?</w:t>
      </w:r>
      <w:r>
        <w:rPr>
          <w:color w:val="231F20"/>
          <w:spacing w:val="-12"/>
        </w:rPr>
        <w:t> </w:t>
      </w:r>
      <w:r>
        <w:rPr>
          <w:color w:val="231F20"/>
        </w:rPr>
        <w:t>Sempre </w:t>
      </w:r>
      <w:r>
        <w:rPr>
          <w:color w:val="231F20"/>
          <w:spacing w:val="-3"/>
        </w:rPr>
        <w:t>servitù,</w:t>
      </w:r>
      <w:r>
        <w:rPr>
          <w:color w:val="231F20"/>
          <w:spacing w:val="-16"/>
        </w:rPr>
        <w:t> </w:t>
      </w:r>
      <w:r>
        <w:rPr>
          <w:color w:val="231F20"/>
          <w:spacing w:val="-4"/>
        </w:rPr>
        <w:t>sembrerebbe,</w:t>
      </w:r>
      <w:r>
        <w:rPr>
          <w:color w:val="231F20"/>
          <w:spacing w:val="-16"/>
        </w:rPr>
        <w:t> </w:t>
      </w:r>
      <w:r>
        <w:rPr>
          <w:color w:val="231F20"/>
        </w:rPr>
        <w:t>se</w:t>
      </w:r>
      <w:r>
        <w:rPr>
          <w:color w:val="231F20"/>
          <w:spacing w:val="-16"/>
        </w:rPr>
        <w:t> </w:t>
      </w:r>
      <w:r>
        <w:rPr>
          <w:color w:val="231F20"/>
        </w:rPr>
        <w:t>non</w:t>
      </w:r>
      <w:r>
        <w:rPr>
          <w:color w:val="231F20"/>
          <w:spacing w:val="-16"/>
        </w:rPr>
        <w:t> </w:t>
      </w:r>
      <w:r>
        <w:rPr>
          <w:color w:val="231F20"/>
        </w:rPr>
        <w:t>si</w:t>
      </w:r>
      <w:r>
        <w:rPr>
          <w:color w:val="231F20"/>
          <w:spacing w:val="-16"/>
        </w:rPr>
        <w:t> </w:t>
      </w:r>
      <w:r>
        <w:rPr>
          <w:color w:val="231F20"/>
          <w:spacing w:val="-3"/>
        </w:rPr>
        <w:t>spezza</w:t>
      </w:r>
      <w:r>
        <w:rPr>
          <w:color w:val="231F20"/>
          <w:spacing w:val="-16"/>
        </w:rPr>
        <w:t> </w:t>
      </w:r>
      <w:r>
        <w:rPr>
          <w:color w:val="231F20"/>
        </w:rPr>
        <w:t>il</w:t>
      </w:r>
      <w:r>
        <w:rPr>
          <w:color w:val="231F20"/>
          <w:spacing w:val="-16"/>
        </w:rPr>
        <w:t> </w:t>
      </w:r>
      <w:r>
        <w:rPr>
          <w:color w:val="231F20"/>
          <w:spacing w:val="-3"/>
        </w:rPr>
        <w:t>rapporto</w:t>
      </w:r>
      <w:r>
        <w:rPr>
          <w:color w:val="231F20"/>
          <w:spacing w:val="-16"/>
        </w:rPr>
        <w:t> </w:t>
      </w:r>
      <w:r>
        <w:rPr>
          <w:color w:val="231F20"/>
        </w:rPr>
        <w:t>di</w:t>
      </w:r>
      <w:r>
        <w:rPr>
          <w:color w:val="231F20"/>
          <w:spacing w:val="-16"/>
        </w:rPr>
        <w:t> </w:t>
      </w:r>
      <w:r>
        <w:rPr>
          <w:color w:val="231F20"/>
          <w:spacing w:val="-3"/>
        </w:rPr>
        <w:t>intrinseca</w:t>
      </w:r>
      <w:r>
        <w:rPr>
          <w:color w:val="231F20"/>
          <w:spacing w:val="-16"/>
        </w:rPr>
        <w:t> </w:t>
      </w:r>
      <w:r>
        <w:rPr>
          <w:color w:val="231F20"/>
          <w:spacing w:val="-4"/>
        </w:rPr>
        <w:t>subordinazione </w:t>
      </w:r>
      <w:r>
        <w:rPr>
          <w:color w:val="231F20"/>
        </w:rPr>
        <w:t>fra</w:t>
      </w:r>
      <w:r>
        <w:rPr>
          <w:color w:val="231F20"/>
          <w:spacing w:val="-20"/>
        </w:rPr>
        <w:t> </w:t>
      </w:r>
      <w:r>
        <w:rPr>
          <w:rFonts w:ascii="Arial" w:hAnsi="Arial"/>
          <w:i/>
          <w:color w:val="231F20"/>
        </w:rPr>
        <w:t>magiore</w:t>
      </w:r>
      <w:r>
        <w:rPr>
          <w:rFonts w:ascii="Arial" w:hAnsi="Arial"/>
          <w:i/>
          <w:color w:val="231F20"/>
          <w:spacing w:val="-12"/>
        </w:rPr>
        <w:t> </w:t>
      </w:r>
      <w:r>
        <w:rPr>
          <w:color w:val="231F20"/>
        </w:rPr>
        <w:t>e</w:t>
      </w:r>
      <w:r>
        <w:rPr>
          <w:color w:val="231F20"/>
          <w:spacing w:val="-20"/>
        </w:rPr>
        <w:t> </w:t>
      </w:r>
      <w:r>
        <w:rPr>
          <w:rFonts w:ascii="Arial" w:hAnsi="Arial"/>
          <w:i/>
          <w:color w:val="231F20"/>
        </w:rPr>
        <w:t>minore</w:t>
      </w:r>
      <w:r>
        <w:rPr>
          <w:color w:val="231F20"/>
        </w:rPr>
        <w:t>.</w:t>
      </w:r>
      <w:r>
        <w:rPr>
          <w:color w:val="231F20"/>
          <w:spacing w:val="-20"/>
        </w:rPr>
        <w:t> </w:t>
      </w:r>
      <w:r>
        <w:rPr>
          <w:color w:val="231F20"/>
        </w:rPr>
        <w:t>Ma</w:t>
      </w:r>
      <w:r>
        <w:rPr>
          <w:color w:val="231F20"/>
          <w:spacing w:val="-20"/>
        </w:rPr>
        <w:t> </w:t>
      </w:r>
      <w:r>
        <w:rPr>
          <w:color w:val="231F20"/>
        </w:rPr>
        <w:t>come</w:t>
      </w:r>
      <w:r>
        <w:rPr>
          <w:color w:val="231F20"/>
          <w:spacing w:val="-20"/>
        </w:rPr>
        <w:t> </w:t>
      </w:r>
      <w:r>
        <w:rPr>
          <w:color w:val="231F20"/>
        </w:rPr>
        <w:t>si</w:t>
      </w:r>
      <w:r>
        <w:rPr>
          <w:color w:val="231F20"/>
          <w:spacing w:val="-20"/>
        </w:rPr>
        <w:t> </w:t>
      </w:r>
      <w:r>
        <w:rPr>
          <w:color w:val="231F20"/>
        </w:rPr>
        <w:t>fa?</w:t>
      </w:r>
      <w:r>
        <w:rPr>
          <w:color w:val="231F20"/>
          <w:spacing w:val="-20"/>
        </w:rPr>
        <w:t> </w:t>
      </w:r>
      <w:r>
        <w:rPr>
          <w:color w:val="231F20"/>
        </w:rPr>
        <w:t>Per</w:t>
      </w:r>
      <w:r>
        <w:rPr>
          <w:color w:val="231F20"/>
          <w:spacing w:val="-20"/>
        </w:rPr>
        <w:t> </w:t>
      </w:r>
      <w:r>
        <w:rPr>
          <w:color w:val="231F20"/>
        </w:rPr>
        <w:t>secoli,</w:t>
      </w:r>
      <w:r>
        <w:rPr>
          <w:color w:val="231F20"/>
          <w:spacing w:val="-20"/>
        </w:rPr>
        <w:t> </w:t>
      </w:r>
      <w:r>
        <w:rPr>
          <w:color w:val="231F20"/>
        </w:rPr>
        <w:t>nella</w:t>
      </w:r>
      <w:r>
        <w:rPr>
          <w:color w:val="231F20"/>
          <w:spacing w:val="-20"/>
        </w:rPr>
        <w:t> </w:t>
      </w:r>
      <w:r>
        <w:rPr>
          <w:color w:val="231F20"/>
        </w:rPr>
        <w:t>nostra</w:t>
      </w:r>
      <w:r>
        <w:rPr>
          <w:color w:val="231F20"/>
          <w:spacing w:val="-20"/>
        </w:rPr>
        <w:t> </w:t>
      </w:r>
      <w:r>
        <w:rPr>
          <w:color w:val="231F20"/>
        </w:rPr>
        <w:t>cultura</w:t>
      </w:r>
      <w:r>
        <w:rPr>
          <w:color w:val="231F20"/>
          <w:spacing w:val="-20"/>
        </w:rPr>
        <w:t> </w:t>
      </w:r>
      <w:r>
        <w:rPr>
          <w:color w:val="231F20"/>
        </w:rPr>
        <w:t>politica, la chiave di quelle risposte è stata la figura bifronte della </w:t>
      </w:r>
      <w:r>
        <w:rPr>
          <w:rFonts w:ascii="Arial" w:hAnsi="Arial"/>
          <w:i/>
          <w:color w:val="231F20"/>
        </w:rPr>
        <w:t>institutio</w:t>
      </w:r>
      <w:r>
        <w:rPr>
          <w:color w:val="231F20"/>
        </w:rPr>
        <w:t>: intesa come</w:t>
      </w:r>
      <w:r>
        <w:rPr>
          <w:color w:val="231F20"/>
          <w:spacing w:val="-14"/>
        </w:rPr>
        <w:t> </w:t>
      </w:r>
      <w:r>
        <w:rPr>
          <w:color w:val="231F20"/>
        </w:rPr>
        <w:t>educazione</w:t>
      </w:r>
      <w:r>
        <w:rPr>
          <w:color w:val="231F20"/>
          <w:spacing w:val="-14"/>
        </w:rPr>
        <w:t> </w:t>
      </w:r>
      <w:r>
        <w:rPr>
          <w:color w:val="231F20"/>
        </w:rPr>
        <w:t>(del</w:t>
      </w:r>
      <w:r>
        <w:rPr>
          <w:color w:val="231F20"/>
          <w:spacing w:val="-14"/>
        </w:rPr>
        <w:t> </w:t>
      </w:r>
      <w:r>
        <w:rPr>
          <w:color w:val="231F20"/>
        </w:rPr>
        <w:t>principe,</w:t>
      </w:r>
      <w:r>
        <w:rPr>
          <w:color w:val="231F20"/>
          <w:spacing w:val="-14"/>
        </w:rPr>
        <w:t> </w:t>
      </w:r>
      <w:r>
        <w:rPr>
          <w:color w:val="231F20"/>
        </w:rPr>
        <w:t>ma</w:t>
      </w:r>
      <w:r>
        <w:rPr>
          <w:color w:val="231F20"/>
          <w:spacing w:val="-14"/>
        </w:rPr>
        <w:t> </w:t>
      </w:r>
      <w:r>
        <w:rPr>
          <w:color w:val="231F20"/>
        </w:rPr>
        <w:t>in</w:t>
      </w:r>
      <w:r>
        <w:rPr>
          <w:color w:val="231F20"/>
          <w:spacing w:val="-14"/>
        </w:rPr>
        <w:t> </w:t>
      </w:r>
      <w:r>
        <w:rPr>
          <w:color w:val="231F20"/>
        </w:rPr>
        <w:t>prospettiva</w:t>
      </w:r>
      <w:r>
        <w:rPr>
          <w:color w:val="231F20"/>
          <w:spacing w:val="-14"/>
        </w:rPr>
        <w:t> </w:t>
      </w:r>
      <w:r>
        <w:rPr>
          <w:color w:val="231F20"/>
        </w:rPr>
        <w:t>del</w:t>
      </w:r>
      <w:r>
        <w:rPr>
          <w:color w:val="231F20"/>
          <w:spacing w:val="-14"/>
        </w:rPr>
        <w:t> </w:t>
      </w:r>
      <w:r>
        <w:rPr>
          <w:color w:val="231F20"/>
        </w:rPr>
        <w:t>cittadino)</w:t>
      </w:r>
      <w:r>
        <w:rPr>
          <w:color w:val="231F20"/>
          <w:spacing w:val="-14"/>
        </w:rPr>
        <w:t> </w:t>
      </w:r>
      <w:r>
        <w:rPr>
          <w:color w:val="231F20"/>
        </w:rPr>
        <w:t>alla</w:t>
      </w:r>
      <w:r>
        <w:rPr>
          <w:color w:val="231F20"/>
          <w:spacing w:val="-14"/>
        </w:rPr>
        <w:t> </w:t>
      </w:r>
      <w:r>
        <w:rPr>
          <w:color w:val="231F20"/>
        </w:rPr>
        <w:t>politica, ma anche come luogo di regolazione della politica stessa in funzione di autorità. Anche per Weber l’istituzione, scaturente dalla </w:t>
      </w:r>
      <w:r>
        <w:rPr>
          <w:rFonts w:ascii="Arial" w:hAnsi="Arial"/>
          <w:i/>
          <w:color w:val="231F20"/>
        </w:rPr>
        <w:t>Disziplin</w:t>
      </w:r>
      <w:r>
        <w:rPr>
          <w:color w:val="231F20"/>
        </w:rPr>
        <w:t>, è stata  la culla della legittimazione, a sua volta cardine della concezione ideale e pratica</w:t>
      </w:r>
      <w:r>
        <w:rPr>
          <w:color w:val="231F20"/>
          <w:spacing w:val="-21"/>
        </w:rPr>
        <w:t> </w:t>
      </w:r>
      <w:r>
        <w:rPr>
          <w:color w:val="231F20"/>
        </w:rPr>
        <w:t>del</w:t>
      </w:r>
      <w:r>
        <w:rPr>
          <w:color w:val="231F20"/>
          <w:spacing w:val="-21"/>
        </w:rPr>
        <w:t> </w:t>
      </w:r>
      <w:r>
        <w:rPr>
          <w:color w:val="231F20"/>
          <w:spacing w:val="-3"/>
        </w:rPr>
        <w:t>potere</w:t>
      </w:r>
      <w:r>
        <w:rPr>
          <w:color w:val="231F20"/>
          <w:spacing w:val="-21"/>
        </w:rPr>
        <w:t> </w:t>
      </w:r>
      <w:r>
        <w:rPr>
          <w:color w:val="231F20"/>
        </w:rPr>
        <w:t>moderno.</w:t>
      </w:r>
      <w:r>
        <w:rPr>
          <w:color w:val="231F20"/>
          <w:spacing w:val="-21"/>
        </w:rPr>
        <w:t> </w:t>
      </w:r>
      <w:r>
        <w:rPr>
          <w:color w:val="231F20"/>
        </w:rPr>
        <w:t>E</w:t>
      </w:r>
      <w:r>
        <w:rPr>
          <w:color w:val="231F20"/>
          <w:spacing w:val="-21"/>
        </w:rPr>
        <w:t> </w:t>
      </w:r>
      <w:r>
        <w:rPr>
          <w:color w:val="231F20"/>
        </w:rPr>
        <w:t>la</w:t>
      </w:r>
      <w:r>
        <w:rPr>
          <w:color w:val="231F20"/>
          <w:spacing w:val="-21"/>
        </w:rPr>
        <w:t> </w:t>
      </w:r>
      <w:r>
        <w:rPr>
          <w:color w:val="231F20"/>
        </w:rPr>
        <w:t>libertà?</w:t>
      </w:r>
      <w:r>
        <w:rPr>
          <w:color w:val="231F20"/>
          <w:spacing w:val="-21"/>
        </w:rPr>
        <w:t> </w:t>
      </w:r>
      <w:r>
        <w:rPr>
          <w:color w:val="231F20"/>
        </w:rPr>
        <w:t>Sarà</w:t>
      </w:r>
      <w:r>
        <w:rPr>
          <w:color w:val="231F20"/>
          <w:spacing w:val="-21"/>
        </w:rPr>
        <w:t> </w:t>
      </w:r>
      <w:r>
        <w:rPr>
          <w:color w:val="231F20"/>
        </w:rPr>
        <w:t>ancora</w:t>
      </w:r>
      <w:r>
        <w:rPr>
          <w:color w:val="231F20"/>
          <w:spacing w:val="-21"/>
        </w:rPr>
        <w:t> </w:t>
      </w:r>
      <w:r>
        <w:rPr>
          <w:color w:val="231F20"/>
          <w:spacing w:val="-3"/>
        </w:rPr>
        <w:t>sufficiente</w:t>
      </w:r>
      <w:r>
        <w:rPr>
          <w:color w:val="231F20"/>
          <w:spacing w:val="-21"/>
        </w:rPr>
        <w:t> </w:t>
      </w:r>
      <w:r>
        <w:rPr>
          <w:color w:val="231F20"/>
        </w:rPr>
        <w:t>la</w:t>
      </w:r>
      <w:r>
        <w:rPr>
          <w:color w:val="231F20"/>
          <w:spacing w:val="-21"/>
        </w:rPr>
        <w:t> </w:t>
      </w:r>
      <w:r>
        <w:rPr>
          <w:color w:val="231F20"/>
        </w:rPr>
        <w:t>distinzione fra antichi e moderni di Constant? O bisognerà risalire a quella posta tre secoli prima da Giovanni Della Casa che parlava di una “usanza di uomini liberi”, dove l’</w:t>
      </w:r>
      <w:r>
        <w:rPr>
          <w:rFonts w:ascii="Arial" w:hAnsi="Arial"/>
          <w:i/>
          <w:color w:val="231F20"/>
        </w:rPr>
        <w:t>institutum </w:t>
      </w:r>
      <w:r>
        <w:rPr>
          <w:color w:val="231F20"/>
        </w:rPr>
        <w:t>non era necessariamente posto per legge, ma più spesso e generalmente veniva “stabilito per via di accettazione comune, magari</w:t>
      </w:r>
      <w:r>
        <w:rPr>
          <w:color w:val="231F20"/>
          <w:spacing w:val="-12"/>
        </w:rPr>
        <w:t> </w:t>
      </w:r>
      <w:r>
        <w:rPr>
          <w:color w:val="231F20"/>
        </w:rPr>
        <w:t>anche</w:t>
      </w:r>
      <w:r>
        <w:rPr>
          <w:color w:val="231F20"/>
          <w:spacing w:val="-12"/>
        </w:rPr>
        <w:t> </w:t>
      </w:r>
      <w:r>
        <w:rPr>
          <w:color w:val="231F20"/>
        </w:rPr>
        <w:t>solo</w:t>
      </w:r>
      <w:r>
        <w:rPr>
          <w:color w:val="231F20"/>
          <w:spacing w:val="-12"/>
        </w:rPr>
        <w:t> </w:t>
      </w:r>
      <w:r>
        <w:rPr>
          <w:color w:val="231F20"/>
        </w:rPr>
        <w:t>attraverso</w:t>
      </w:r>
      <w:r>
        <w:rPr>
          <w:color w:val="231F20"/>
          <w:spacing w:val="-12"/>
        </w:rPr>
        <w:t> </w:t>
      </w:r>
      <w:r>
        <w:rPr>
          <w:color w:val="231F20"/>
        </w:rPr>
        <w:t>l’uso,</w:t>
      </w:r>
      <w:r>
        <w:rPr>
          <w:color w:val="231F20"/>
          <w:spacing w:val="-12"/>
        </w:rPr>
        <w:t> </w:t>
      </w:r>
      <w:r>
        <w:rPr>
          <w:color w:val="231F20"/>
        </w:rPr>
        <w:t>l’abitudine,</w:t>
      </w:r>
      <w:r>
        <w:rPr>
          <w:color w:val="231F20"/>
          <w:spacing w:val="-12"/>
        </w:rPr>
        <w:t> </w:t>
      </w:r>
      <w:r>
        <w:rPr>
          <w:color w:val="231F20"/>
        </w:rPr>
        <w:t>la</w:t>
      </w:r>
      <w:r>
        <w:rPr>
          <w:color w:val="231F20"/>
          <w:spacing w:val="-12"/>
        </w:rPr>
        <w:t> </w:t>
      </w:r>
      <w:r>
        <w:rPr>
          <w:color w:val="231F20"/>
        </w:rPr>
        <w:t>tradizione,</w:t>
      </w:r>
      <w:r>
        <w:rPr>
          <w:color w:val="231F20"/>
          <w:spacing w:val="-12"/>
        </w:rPr>
        <w:t> </w:t>
      </w:r>
      <w:r>
        <w:rPr>
          <w:color w:val="231F20"/>
        </w:rPr>
        <w:t>ma</w:t>
      </w:r>
      <w:r>
        <w:rPr>
          <w:color w:val="231F20"/>
          <w:spacing w:val="-12"/>
        </w:rPr>
        <w:t> </w:t>
      </w:r>
      <w:r>
        <w:rPr>
          <w:color w:val="231F20"/>
        </w:rPr>
        <w:t>pure</w:t>
      </w:r>
      <w:r>
        <w:rPr>
          <w:color w:val="231F20"/>
          <w:spacing w:val="-12"/>
        </w:rPr>
        <w:t> </w:t>
      </w:r>
      <w:r>
        <w:rPr>
          <w:color w:val="231F20"/>
        </w:rPr>
        <w:t>grazie a insegnamento, a</w:t>
      </w:r>
      <w:r>
        <w:rPr>
          <w:color w:val="231F20"/>
          <w:spacing w:val="21"/>
        </w:rPr>
        <w:t> </w:t>
      </w:r>
      <w:r>
        <w:rPr>
          <w:color w:val="231F20"/>
        </w:rPr>
        <w:t>convinzione”</w:t>
      </w:r>
      <w:r>
        <w:rPr>
          <w:color w:val="231F20"/>
          <w:position w:val="7"/>
          <w:sz w:val="12"/>
        </w:rPr>
        <w:t>41</w:t>
      </w:r>
      <w:r>
        <w:rPr>
          <w:color w:val="231F20"/>
        </w:rPr>
        <w:t>.</w:t>
      </w:r>
    </w:p>
    <w:p>
      <w:pPr>
        <w:pStyle w:val="BodyText"/>
        <w:spacing w:line="247" w:lineRule="auto" w:before="1"/>
        <w:ind w:left="103" w:right="111" w:firstLine="566"/>
        <w:jc w:val="both"/>
      </w:pPr>
      <w:r>
        <w:rPr>
          <w:color w:val="231F20"/>
          <w:spacing w:val="-3"/>
        </w:rPr>
        <w:t>Torniamo</w:t>
      </w:r>
      <w:r>
        <w:rPr>
          <w:color w:val="231F20"/>
          <w:spacing w:val="-9"/>
        </w:rPr>
        <w:t> </w:t>
      </w:r>
      <w:r>
        <w:rPr>
          <w:color w:val="231F20"/>
        </w:rPr>
        <w:t>così</w:t>
      </w:r>
      <w:r>
        <w:rPr>
          <w:color w:val="231F20"/>
          <w:spacing w:val="-9"/>
        </w:rPr>
        <w:t> </w:t>
      </w:r>
      <w:r>
        <w:rPr>
          <w:color w:val="231F20"/>
        </w:rPr>
        <w:t>al</w:t>
      </w:r>
      <w:r>
        <w:rPr>
          <w:color w:val="231F20"/>
          <w:spacing w:val="-9"/>
        </w:rPr>
        <w:t> </w:t>
      </w:r>
      <w:r>
        <w:rPr>
          <w:color w:val="231F20"/>
        </w:rPr>
        <w:t>punto</w:t>
      </w:r>
      <w:r>
        <w:rPr>
          <w:color w:val="231F20"/>
          <w:spacing w:val="-9"/>
        </w:rPr>
        <w:t> </w:t>
      </w:r>
      <w:r>
        <w:rPr>
          <w:color w:val="231F20"/>
        </w:rPr>
        <w:t>se</w:t>
      </w:r>
      <w:r>
        <w:rPr>
          <w:color w:val="231F20"/>
          <w:spacing w:val="-9"/>
        </w:rPr>
        <w:t> </w:t>
      </w:r>
      <w:r>
        <w:rPr>
          <w:color w:val="231F20"/>
        </w:rPr>
        <w:t>lo</w:t>
      </w:r>
      <w:r>
        <w:rPr>
          <w:color w:val="231F20"/>
          <w:spacing w:val="-9"/>
        </w:rPr>
        <w:t> </w:t>
      </w:r>
      <w:r>
        <w:rPr>
          <w:color w:val="231F20"/>
        </w:rPr>
        <w:t>Stato</w:t>
      </w:r>
      <w:r>
        <w:rPr>
          <w:color w:val="231F20"/>
          <w:spacing w:val="-9"/>
        </w:rPr>
        <w:t> </w:t>
      </w:r>
      <w:r>
        <w:rPr>
          <w:color w:val="231F20"/>
        </w:rPr>
        <w:t>debba</w:t>
      </w:r>
      <w:r>
        <w:rPr>
          <w:color w:val="231F20"/>
          <w:spacing w:val="-9"/>
        </w:rPr>
        <w:t> </w:t>
      </w:r>
      <w:r>
        <w:rPr>
          <w:color w:val="231F20"/>
        </w:rPr>
        <w:t>necessariamente</w:t>
      </w:r>
      <w:r>
        <w:rPr>
          <w:color w:val="231F20"/>
          <w:spacing w:val="-9"/>
        </w:rPr>
        <w:t> </w:t>
      </w:r>
      <w:r>
        <w:rPr>
          <w:color w:val="231F20"/>
        </w:rPr>
        <w:t>aver</w:t>
      </w:r>
      <w:r>
        <w:rPr>
          <w:color w:val="231F20"/>
          <w:spacing w:val="-9"/>
        </w:rPr>
        <w:t> </w:t>
      </w:r>
      <w:r>
        <w:rPr>
          <w:color w:val="231F20"/>
        </w:rPr>
        <w:t>a</w:t>
      </w:r>
      <w:r>
        <w:rPr>
          <w:color w:val="231F20"/>
          <w:spacing w:val="-9"/>
        </w:rPr>
        <w:t> </w:t>
      </w:r>
      <w:r>
        <w:rPr>
          <w:color w:val="231F20"/>
        </w:rPr>
        <w:t>che fare</w:t>
      </w:r>
      <w:r>
        <w:rPr>
          <w:color w:val="231F20"/>
          <w:spacing w:val="-5"/>
        </w:rPr>
        <w:t> </w:t>
      </w:r>
      <w:r>
        <w:rPr>
          <w:color w:val="231F20"/>
        </w:rPr>
        <w:t>col</w:t>
      </w:r>
      <w:r>
        <w:rPr>
          <w:color w:val="231F20"/>
          <w:spacing w:val="-5"/>
        </w:rPr>
        <w:t> </w:t>
      </w:r>
      <w:r>
        <w:rPr>
          <w:color w:val="231F20"/>
        </w:rPr>
        <w:t>diritto.</w:t>
      </w:r>
      <w:r>
        <w:rPr>
          <w:color w:val="231F20"/>
          <w:spacing w:val="-5"/>
        </w:rPr>
        <w:t> </w:t>
      </w:r>
      <w:r>
        <w:rPr>
          <w:color w:val="231F20"/>
        </w:rPr>
        <w:t>Dopo</w:t>
      </w:r>
      <w:r>
        <w:rPr>
          <w:color w:val="231F20"/>
          <w:spacing w:val="-5"/>
        </w:rPr>
        <w:t> </w:t>
      </w:r>
      <w:r>
        <w:rPr>
          <w:color w:val="231F20"/>
        </w:rPr>
        <w:t>quanto</w:t>
      </w:r>
      <w:r>
        <w:rPr>
          <w:color w:val="231F20"/>
          <w:spacing w:val="-5"/>
        </w:rPr>
        <w:t> </w:t>
      </w:r>
      <w:r>
        <w:rPr>
          <w:color w:val="231F20"/>
        </w:rPr>
        <w:t>detto,</w:t>
      </w:r>
      <w:r>
        <w:rPr>
          <w:color w:val="231F20"/>
          <w:spacing w:val="-5"/>
        </w:rPr>
        <w:t> </w:t>
      </w:r>
      <w:r>
        <w:rPr>
          <w:color w:val="231F20"/>
        </w:rPr>
        <w:t>ci</w:t>
      </w:r>
      <w:r>
        <w:rPr>
          <w:color w:val="231F20"/>
          <w:spacing w:val="-5"/>
        </w:rPr>
        <w:t> </w:t>
      </w:r>
      <w:r>
        <w:rPr>
          <w:color w:val="231F20"/>
        </w:rPr>
        <w:t>si</w:t>
      </w:r>
      <w:r>
        <w:rPr>
          <w:color w:val="231F20"/>
          <w:spacing w:val="-5"/>
        </w:rPr>
        <w:t> </w:t>
      </w:r>
      <w:r>
        <w:rPr>
          <w:color w:val="231F20"/>
        </w:rPr>
        <w:t>può</w:t>
      </w:r>
      <w:r>
        <w:rPr>
          <w:color w:val="231F20"/>
          <w:spacing w:val="-5"/>
        </w:rPr>
        <w:t> </w:t>
      </w:r>
      <w:r>
        <w:rPr>
          <w:color w:val="231F20"/>
        </w:rPr>
        <w:t>anche</w:t>
      </w:r>
      <w:r>
        <w:rPr>
          <w:color w:val="231F20"/>
          <w:spacing w:val="-5"/>
        </w:rPr>
        <w:t> </w:t>
      </w:r>
      <w:r>
        <w:rPr>
          <w:color w:val="231F20"/>
        </w:rPr>
        <w:t>più</w:t>
      </w:r>
      <w:r>
        <w:rPr>
          <w:color w:val="231F20"/>
          <w:spacing w:val="-5"/>
        </w:rPr>
        <w:t> </w:t>
      </w:r>
      <w:r>
        <w:rPr>
          <w:color w:val="231F20"/>
        </w:rPr>
        <w:t>sottilmente</w:t>
      </w:r>
      <w:r>
        <w:rPr>
          <w:color w:val="231F20"/>
          <w:spacing w:val="-5"/>
        </w:rPr>
        <w:t> </w:t>
      </w:r>
      <w:r>
        <w:rPr>
          <w:color w:val="231F20"/>
        </w:rPr>
        <w:t>chiedere con quale diritto debba aver a che fare lo “Stato” (participio passato del verbo essere) nella sua evoluzione in “Futuro” (participio futuro del verbo essere)</w:t>
      </w:r>
      <w:r>
        <w:rPr>
          <w:color w:val="231F20"/>
          <w:position w:val="7"/>
          <w:sz w:val="12"/>
        </w:rPr>
        <w:t>42</w:t>
      </w:r>
      <w:r>
        <w:rPr>
          <w:color w:val="231F20"/>
        </w:rPr>
        <w:t>.</w:t>
      </w:r>
    </w:p>
    <w:p>
      <w:pPr>
        <w:pStyle w:val="BodyText"/>
        <w:spacing w:line="244" w:lineRule="auto"/>
        <w:ind w:left="103" w:right="115" w:firstLine="566"/>
        <w:jc w:val="both"/>
      </w:pPr>
      <w:r>
        <w:rPr>
          <w:color w:val="231F20"/>
        </w:rPr>
        <w:t>Il</w:t>
      </w:r>
      <w:r>
        <w:rPr>
          <w:color w:val="231F20"/>
          <w:spacing w:val="-20"/>
        </w:rPr>
        <w:t> </w:t>
      </w:r>
      <w:r>
        <w:rPr>
          <w:color w:val="231F20"/>
        </w:rPr>
        <w:t>discrimine</w:t>
      </w:r>
      <w:r>
        <w:rPr>
          <w:color w:val="231F20"/>
          <w:spacing w:val="-20"/>
        </w:rPr>
        <w:t> </w:t>
      </w:r>
      <w:r>
        <w:rPr>
          <w:color w:val="231F20"/>
        </w:rPr>
        <w:t>mi</w:t>
      </w:r>
      <w:r>
        <w:rPr>
          <w:color w:val="231F20"/>
          <w:spacing w:val="-20"/>
        </w:rPr>
        <w:t> </w:t>
      </w:r>
      <w:r>
        <w:rPr>
          <w:color w:val="231F20"/>
          <w:spacing w:val="-3"/>
        </w:rPr>
        <w:t>pare</w:t>
      </w:r>
      <w:r>
        <w:rPr>
          <w:color w:val="231F20"/>
          <w:spacing w:val="-20"/>
        </w:rPr>
        <w:t> </w:t>
      </w:r>
      <w:r>
        <w:rPr>
          <w:color w:val="231F20"/>
        </w:rPr>
        <w:t>sia</w:t>
      </w:r>
      <w:r>
        <w:rPr>
          <w:color w:val="231F20"/>
          <w:spacing w:val="-20"/>
        </w:rPr>
        <w:t> </w:t>
      </w:r>
      <w:r>
        <w:rPr>
          <w:color w:val="231F20"/>
        </w:rPr>
        <w:t>quello</w:t>
      </w:r>
      <w:r>
        <w:rPr>
          <w:color w:val="231F20"/>
          <w:spacing w:val="-20"/>
        </w:rPr>
        <w:t> </w:t>
      </w:r>
      <w:r>
        <w:rPr>
          <w:color w:val="231F20"/>
        </w:rPr>
        <w:t>—che</w:t>
      </w:r>
      <w:r>
        <w:rPr>
          <w:color w:val="231F20"/>
          <w:spacing w:val="-20"/>
        </w:rPr>
        <w:t> </w:t>
      </w:r>
      <w:r>
        <w:rPr>
          <w:color w:val="231F20"/>
        </w:rPr>
        <w:t>anche</w:t>
      </w:r>
      <w:r>
        <w:rPr>
          <w:color w:val="231F20"/>
          <w:spacing w:val="-20"/>
        </w:rPr>
        <w:t> </w:t>
      </w:r>
      <w:r>
        <w:rPr>
          <w:color w:val="231F20"/>
        </w:rPr>
        <w:t>per</w:t>
      </w:r>
      <w:r>
        <w:rPr>
          <w:color w:val="231F20"/>
          <w:spacing w:val="-20"/>
        </w:rPr>
        <w:t> </w:t>
      </w:r>
      <w:r>
        <w:rPr>
          <w:color w:val="231F20"/>
        </w:rPr>
        <w:t>il</w:t>
      </w:r>
      <w:r>
        <w:rPr>
          <w:color w:val="231F20"/>
          <w:spacing w:val="-20"/>
        </w:rPr>
        <w:t> </w:t>
      </w:r>
      <w:r>
        <w:rPr>
          <w:color w:val="231F20"/>
        </w:rPr>
        <w:t>Casa</w:t>
      </w:r>
      <w:r>
        <w:rPr>
          <w:color w:val="231F20"/>
          <w:spacing w:val="-20"/>
        </w:rPr>
        <w:t> </w:t>
      </w:r>
      <w:r>
        <w:rPr>
          <w:color w:val="231F20"/>
        </w:rPr>
        <w:t>era</w:t>
      </w:r>
      <w:r>
        <w:rPr>
          <w:color w:val="231F20"/>
          <w:spacing w:val="-20"/>
        </w:rPr>
        <w:t> </w:t>
      </w:r>
      <w:r>
        <w:rPr>
          <w:color w:val="231F20"/>
        </w:rPr>
        <w:t>fonte</w:t>
      </w:r>
      <w:r>
        <w:rPr>
          <w:color w:val="231F20"/>
          <w:spacing w:val="-20"/>
        </w:rPr>
        <w:t> </w:t>
      </w:r>
      <w:r>
        <w:rPr>
          <w:color w:val="231F20"/>
        </w:rPr>
        <w:t>“di</w:t>
      </w:r>
      <w:r>
        <w:rPr>
          <w:color w:val="231F20"/>
          <w:spacing w:val="-20"/>
        </w:rPr>
        <w:t> </w:t>
      </w:r>
      <w:r>
        <w:rPr>
          <w:color w:val="231F20"/>
        </w:rPr>
        <w:t>un grande e continovo travaglio”— del mantenimento della libertà, mediante </w:t>
      </w:r>
      <w:r>
        <w:rPr>
          <w:color w:val="231F20"/>
          <w:spacing w:val="2"/>
        </w:rPr>
        <w:t>equilibrio </w:t>
      </w:r>
      <w:r>
        <w:rPr>
          <w:color w:val="231F20"/>
        </w:rPr>
        <w:t>fra </w:t>
      </w:r>
      <w:r>
        <w:rPr>
          <w:color w:val="231F20"/>
          <w:spacing w:val="2"/>
        </w:rPr>
        <w:t>obbedienza </w:t>
      </w:r>
      <w:r>
        <w:rPr>
          <w:color w:val="231F20"/>
        </w:rPr>
        <w:t>e </w:t>
      </w:r>
      <w:r>
        <w:rPr>
          <w:color w:val="231F20"/>
          <w:spacing w:val="2"/>
        </w:rPr>
        <w:t>comando. </w:t>
      </w:r>
      <w:r>
        <w:rPr>
          <w:color w:val="231F20"/>
        </w:rPr>
        <w:t>Gli </w:t>
      </w:r>
      <w:r>
        <w:rPr>
          <w:color w:val="231F20"/>
          <w:spacing w:val="2"/>
        </w:rPr>
        <w:t>uomini </w:t>
      </w:r>
      <w:r>
        <w:rPr>
          <w:color w:val="231F20"/>
        </w:rPr>
        <w:t>non </w:t>
      </w:r>
      <w:r>
        <w:rPr>
          <w:color w:val="231F20"/>
          <w:spacing w:val="2"/>
        </w:rPr>
        <w:t>sono infatti tutti </w:t>
      </w:r>
      <w:r>
        <w:rPr>
          <w:color w:val="231F20"/>
        </w:rPr>
        <w:t>uguali, ci sono i più forti e i più deboli (</w:t>
      </w:r>
      <w:r>
        <w:rPr>
          <w:rFonts w:ascii="Arial" w:hAnsi="Arial"/>
          <w:i/>
          <w:color w:val="231F20"/>
        </w:rPr>
        <w:t>potentiores </w:t>
      </w:r>
      <w:r>
        <w:rPr>
          <w:color w:val="231F20"/>
        </w:rPr>
        <w:t>e </w:t>
      </w:r>
      <w:r>
        <w:rPr>
          <w:rFonts w:ascii="Arial" w:hAnsi="Arial"/>
          <w:i/>
          <w:color w:val="231F20"/>
        </w:rPr>
        <w:t>tenuiores</w:t>
      </w:r>
      <w:r>
        <w:rPr>
          <w:color w:val="231F20"/>
        </w:rPr>
        <w:t>: “superiori” e “inferiori”): bisogna dunque fare in modo che questa dualità non alteri  la dignità di ciascuno e assicuri libertà. Nella luce dorata del </w:t>
      </w:r>
      <w:r>
        <w:rPr>
          <w:color w:val="231F20"/>
          <w:spacing w:val="8"/>
        </w:rPr>
        <w:t> </w:t>
      </w:r>
      <w:r>
        <w:rPr>
          <w:color w:val="231F20"/>
        </w:rPr>
        <w:t>Rinascimento</w:t>
      </w:r>
    </w:p>
    <w:p>
      <w:pPr>
        <w:pStyle w:val="BodyText"/>
        <w:rPr>
          <w:sz w:val="28"/>
        </w:rPr>
      </w:pPr>
      <w:r>
        <w:rPr/>
        <w:pict>
          <v:line style="position:absolute;mso-position-horizontal-relative:page;mso-position-vertical-relative:paragraph;z-index:12904;mso-wrap-distance-left:0;mso-wrap-distance-right:0" from="65.196899pt,19.033724pt" to="178.582899pt,19.033724pt" stroked="true" strokeweight=".3pt" strokecolor="#231f20">
            <w10:wrap type="topAndBottom"/>
          </v:line>
        </w:pict>
      </w:r>
    </w:p>
    <w:p>
      <w:pPr>
        <w:spacing w:line="206" w:lineRule="exact" w:before="10"/>
        <w:ind w:left="103" w:right="0" w:firstLine="0"/>
        <w:jc w:val="both"/>
        <w:rPr>
          <w:rFonts w:ascii="Calibri" w:hAnsi="Calibri"/>
          <w:sz w:val="17"/>
        </w:rPr>
      </w:pPr>
      <w:r>
        <w:rPr>
          <w:rFonts w:ascii="Calibri" w:hAnsi="Calibri"/>
          <w:color w:val="231F20"/>
          <w:w w:val="105"/>
          <w:position w:val="6"/>
          <w:sz w:val="10"/>
        </w:rPr>
        <w:t>40  </w:t>
      </w:r>
      <w:r>
        <w:rPr>
          <w:rFonts w:ascii="Calibri" w:hAnsi="Calibri"/>
          <w:color w:val="231F20"/>
          <w:w w:val="105"/>
          <w:sz w:val="17"/>
        </w:rPr>
        <w:t>Ne ho trattato in P.  Schiera, “I mali della politica: per una formazione alla   Weltgesellschaft”,</w:t>
      </w:r>
    </w:p>
    <w:p>
      <w:pPr>
        <w:spacing w:line="235" w:lineRule="auto" w:before="1"/>
        <w:ind w:left="103" w:right="115" w:firstLine="0"/>
        <w:jc w:val="both"/>
        <w:rPr>
          <w:rFonts w:ascii="Calibri" w:hAnsi="Calibri"/>
          <w:sz w:val="17"/>
        </w:rPr>
      </w:pPr>
      <w:r>
        <w:rPr>
          <w:rFonts w:ascii="Calibri" w:hAnsi="Calibri"/>
          <w:color w:val="231F20"/>
          <w:sz w:val="17"/>
        </w:rPr>
        <w:t>R. Gherardi (Ed.), </w:t>
      </w:r>
      <w:r>
        <w:rPr>
          <w:rFonts w:ascii="Calibri" w:hAnsi="Calibri"/>
          <w:i/>
          <w:color w:val="231F20"/>
          <w:sz w:val="17"/>
        </w:rPr>
        <w:t>Politica, consenso, legittimazione. Trasformazioni e prospettive</w:t>
      </w:r>
      <w:r>
        <w:rPr>
          <w:rFonts w:ascii="Calibri" w:hAnsi="Calibri"/>
          <w:color w:val="231F20"/>
          <w:sz w:val="17"/>
        </w:rPr>
        <w:t>, Roma, Carrocci, 2002, pp. 35–48.</w:t>
      </w:r>
    </w:p>
    <w:p>
      <w:pPr>
        <w:spacing w:line="235" w:lineRule="auto" w:before="0"/>
        <w:ind w:left="103" w:right="114" w:firstLine="0"/>
        <w:jc w:val="both"/>
        <w:rPr>
          <w:rFonts w:ascii="Calibri" w:hAnsi="Calibri"/>
          <w:sz w:val="17"/>
        </w:rPr>
      </w:pPr>
      <w:r>
        <w:rPr>
          <w:rFonts w:ascii="Calibri" w:hAnsi="Calibri"/>
          <w:color w:val="231F20"/>
          <w:position w:val="6"/>
          <w:sz w:val="10"/>
        </w:rPr>
        <w:t>41 </w:t>
      </w:r>
      <w:r>
        <w:rPr>
          <w:rFonts w:ascii="Calibri" w:hAnsi="Calibri"/>
          <w:color w:val="231F20"/>
          <w:spacing w:val="-3"/>
          <w:sz w:val="17"/>
        </w:rPr>
        <w:t>Tema </w:t>
      </w:r>
      <w:r>
        <w:rPr>
          <w:rFonts w:ascii="Calibri" w:hAnsi="Calibri"/>
          <w:color w:val="231F20"/>
          <w:sz w:val="17"/>
        </w:rPr>
        <w:t>che —per tornare all’oggi, come mostra la citazione appena fatta— viene trattato benissimo da Michele Luminati, nelle sue riflessioni sull’oralità del diritto , dedicate in particolare al caso svizzero ma chiaramente aperte a un futuro più ampio: M. Luminati, “Oralità del diritto —Reloaded. Alcune riflessioni”, C. Bernardi, </w:t>
      </w:r>
      <w:r>
        <w:rPr>
          <w:rFonts w:ascii="Calibri" w:hAnsi="Calibri"/>
          <w:color w:val="231F20"/>
          <w:spacing w:val="-7"/>
          <w:sz w:val="17"/>
        </w:rPr>
        <w:t>F. </w:t>
      </w:r>
      <w:r>
        <w:rPr>
          <w:rFonts w:ascii="Calibri" w:hAnsi="Calibri"/>
          <w:color w:val="231F20"/>
          <w:sz w:val="17"/>
        </w:rPr>
        <w:t>Brancaccio, D. Festa y B. M. Mennini (Eds.), </w:t>
      </w:r>
      <w:r>
        <w:rPr>
          <w:rFonts w:ascii="Calibri" w:hAnsi="Calibri"/>
          <w:i/>
          <w:color w:val="231F20"/>
          <w:sz w:val="17"/>
        </w:rPr>
        <w:t>Fare spazio</w:t>
      </w:r>
      <w:r>
        <w:rPr>
          <w:rFonts w:ascii="Calibri" w:hAnsi="Calibri"/>
          <w:color w:val="231F20"/>
          <w:sz w:val="17"/>
        </w:rPr>
        <w:t>, pp. 65–66.</w:t>
      </w:r>
    </w:p>
    <w:p>
      <w:pPr>
        <w:spacing w:line="203" w:lineRule="exact" w:before="0"/>
        <w:ind w:left="103" w:right="0" w:firstLine="0"/>
        <w:jc w:val="both"/>
        <w:rPr>
          <w:rFonts w:ascii="Calibri" w:hAnsi="Calibri"/>
          <w:sz w:val="17"/>
        </w:rPr>
      </w:pPr>
      <w:r>
        <w:rPr>
          <w:rFonts w:ascii="Calibri" w:hAnsi="Calibri"/>
          <w:color w:val="231F20"/>
          <w:position w:val="6"/>
          <w:sz w:val="10"/>
        </w:rPr>
        <w:t>42    </w:t>
      </w:r>
      <w:r>
        <w:rPr>
          <w:rFonts w:ascii="Calibri" w:hAnsi="Calibri"/>
          <w:color w:val="231F20"/>
          <w:sz w:val="17"/>
        </w:rPr>
        <w:t>P.   Schiera,   “Stato”,   U.   Pomarici   (Ed.),   </w:t>
      </w:r>
      <w:r>
        <w:rPr>
          <w:rFonts w:ascii="Calibri" w:hAnsi="Calibri"/>
          <w:i/>
          <w:color w:val="231F20"/>
          <w:sz w:val="17"/>
        </w:rPr>
        <w:t>Filosofia  del  diritto.  Concetti  fondamentali</w:t>
      </w:r>
      <w:r>
        <w:rPr>
          <w:rFonts w:ascii="Calibri" w:hAnsi="Calibri"/>
          <w:color w:val="231F20"/>
          <w:sz w:val="17"/>
        </w:rPr>
        <w:t>,   Torino,</w:t>
      </w:r>
    </w:p>
    <w:p>
      <w:pPr>
        <w:spacing w:line="206" w:lineRule="exact" w:before="0"/>
        <w:ind w:left="103" w:right="0" w:firstLine="0"/>
        <w:jc w:val="both"/>
        <w:rPr>
          <w:rFonts w:ascii="Calibri" w:hAnsi="Calibri"/>
          <w:sz w:val="17"/>
        </w:rPr>
      </w:pPr>
      <w:r>
        <w:rPr>
          <w:rFonts w:ascii="Calibri" w:hAnsi="Calibri"/>
          <w:color w:val="231F20"/>
          <w:sz w:val="17"/>
        </w:rPr>
        <w:t>Giappichelli, 2007, pp.  563–568.</w:t>
      </w:r>
    </w:p>
    <w:p>
      <w:pPr>
        <w:pStyle w:val="BodyText"/>
        <w:rPr>
          <w:rFonts w:ascii="Calibri"/>
          <w:sz w:val="20"/>
        </w:rPr>
      </w:pPr>
    </w:p>
    <w:p>
      <w:pPr>
        <w:pStyle w:val="BodyText"/>
        <w:spacing w:before="9"/>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2472"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102</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2991"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242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30"/>
          <w:sz w:val="14"/>
        </w:rPr>
        <w:t> </w:t>
      </w:r>
      <w:r>
        <w:rPr>
          <w:rFonts w:ascii="Lucida Sans Unicode" w:hAnsi="Lucida Sans Unicode"/>
          <w:color w:val="6D6E71"/>
          <w:spacing w:val="-4"/>
          <w:sz w:val="14"/>
        </w:rPr>
        <w:t>STATO</w:t>
      </w:r>
      <w:r>
        <w:rPr>
          <w:rFonts w:ascii="Lucida Sans Unicode" w:hAnsi="Lucida Sans Unicode"/>
          <w:color w:val="6D6E71"/>
          <w:spacing w:val="-30"/>
          <w:sz w:val="14"/>
        </w:rPr>
        <w:t> </w:t>
      </w:r>
      <w:r>
        <w:rPr>
          <w:rFonts w:ascii="Lucida Sans Unicode" w:hAnsi="Lucida Sans Unicode"/>
          <w:color w:val="6D6E71"/>
          <w:sz w:val="14"/>
        </w:rPr>
        <w:t>MODERNO,</w:t>
      </w:r>
      <w:r>
        <w:rPr>
          <w:rFonts w:ascii="Lucida Sans Unicode" w:hAnsi="Lucida Sans Unicode"/>
          <w:color w:val="6D6E71"/>
          <w:spacing w:val="-30"/>
          <w:sz w:val="14"/>
        </w:rPr>
        <w:t> </w:t>
      </w:r>
      <w:r>
        <w:rPr>
          <w:rFonts w:ascii="Lucida Sans Unicode" w:hAnsi="Lucida Sans Unicode"/>
          <w:color w:val="6D6E71"/>
          <w:sz w:val="14"/>
        </w:rPr>
        <w:t>AL</w:t>
      </w:r>
      <w:r>
        <w:rPr>
          <w:rFonts w:ascii="Lucida Sans Unicode" w:hAnsi="Lucida Sans Unicode"/>
          <w:color w:val="6D6E71"/>
          <w:spacing w:val="-30"/>
          <w:sz w:val="14"/>
        </w:rPr>
        <w:t> </w:t>
      </w:r>
      <w:r>
        <w:rPr>
          <w:rFonts w:ascii="Lucida Sans Unicode" w:hAnsi="Lucida Sans Unicode"/>
          <w:color w:val="6D6E71"/>
          <w:sz w:val="14"/>
        </w:rPr>
        <w:t>GIORNO</w:t>
      </w:r>
      <w:r>
        <w:rPr>
          <w:rFonts w:ascii="Lucida Sans Unicode" w:hAnsi="Lucida Sans Unicode"/>
          <w:color w:val="6D6E71"/>
          <w:spacing w:val="-30"/>
          <w:sz w:val="14"/>
        </w:rPr>
        <w:t> </w:t>
      </w:r>
      <w:r>
        <w:rPr>
          <w:rFonts w:ascii="Lucida Sans Unicode" w:hAnsi="Lucida Sans Unicode"/>
          <w:color w:val="6D6E71"/>
          <w:sz w:val="14"/>
        </w:rPr>
        <w:t>D’OGGI</w:t>
      </w:r>
      <w:r>
        <w:rPr>
          <w:rFonts w:ascii="Lucida Sans Unicode" w:hAnsi="Lucida Sans Unicode"/>
          <w:color w:val="6D6E71"/>
          <w:spacing w:val="-30"/>
          <w:sz w:val="14"/>
        </w:rPr>
        <w:t> </w:t>
      </w:r>
      <w:r>
        <w:rPr>
          <w:rFonts w:ascii="Lucida Sans Unicode" w:hAnsi="Lucida Sans Unicode"/>
          <w:color w:val="6D6E71"/>
          <w:sz w:val="14"/>
        </w:rPr>
        <w:t>E</w:t>
      </w:r>
      <w:r>
        <w:rPr>
          <w:rFonts w:ascii="Lucida Sans Unicode" w:hAnsi="Lucida Sans Unicode"/>
          <w:color w:val="6D6E71"/>
          <w:spacing w:val="-30"/>
          <w:sz w:val="14"/>
        </w:rPr>
        <w:t> </w:t>
      </w:r>
      <w:r>
        <w:rPr>
          <w:rFonts w:ascii="Lucida Sans Unicode" w:hAnsi="Lucida Sans Unicode"/>
          <w:color w:val="6D6E71"/>
          <w:sz w:val="14"/>
        </w:rPr>
        <w:t>DI</w:t>
      </w:r>
      <w:r>
        <w:rPr>
          <w:rFonts w:ascii="Lucida Sans Unicode" w:hAnsi="Lucida Sans Unicode"/>
          <w:color w:val="6D6E71"/>
          <w:spacing w:val="-30"/>
          <w:sz w:val="14"/>
        </w:rPr>
        <w:t> </w:t>
      </w:r>
      <w:r>
        <w:rPr>
          <w:rFonts w:ascii="Lucida Sans Unicode" w:hAnsi="Lucida Sans Unicode"/>
          <w:color w:val="6D6E71"/>
          <w:sz w:val="14"/>
        </w:rPr>
        <w:t>DOMANI</w:t>
      </w:r>
      <w:r>
        <w:rPr>
          <w:rFonts w:ascii="Trebuchet MS" w:hAnsi="Trebuchet MS"/>
          <w:color w:val="414042"/>
          <w:position w:val="-3"/>
          <w:sz w:val="20"/>
        </w:rPr>
        <w:tab/>
        <w:t>103</w:t>
      </w:r>
    </w:p>
    <w:p>
      <w:pPr>
        <w:pStyle w:val="BodyText"/>
        <w:rPr>
          <w:rFonts w:ascii="Trebuchet MS"/>
          <w:sz w:val="20"/>
        </w:rPr>
      </w:pPr>
    </w:p>
    <w:p>
      <w:pPr>
        <w:pStyle w:val="BodyText"/>
        <w:rPr>
          <w:rFonts w:ascii="Trebuchet MS"/>
          <w:sz w:val="20"/>
        </w:rPr>
      </w:pPr>
    </w:p>
    <w:p>
      <w:pPr>
        <w:pStyle w:val="BodyText"/>
        <w:spacing w:line="247" w:lineRule="auto" w:before="156"/>
        <w:ind w:left="117" w:right="118"/>
        <w:jc w:val="both"/>
      </w:pPr>
      <w:r>
        <w:rPr>
          <w:color w:val="231F20"/>
          <w:spacing w:val="-4"/>
        </w:rPr>
        <w:t>casiano,</w:t>
      </w:r>
      <w:r>
        <w:rPr>
          <w:color w:val="231F20"/>
          <w:spacing w:val="-18"/>
        </w:rPr>
        <w:t> </w:t>
      </w:r>
      <w:r>
        <w:rPr>
          <w:color w:val="231F20"/>
          <w:spacing w:val="-4"/>
        </w:rPr>
        <w:t>sembrava</w:t>
      </w:r>
      <w:r>
        <w:rPr>
          <w:color w:val="231F20"/>
          <w:spacing w:val="-18"/>
        </w:rPr>
        <w:t> </w:t>
      </w:r>
      <w:r>
        <w:rPr>
          <w:color w:val="231F20"/>
          <w:spacing w:val="-4"/>
        </w:rPr>
        <w:t>bastare</w:t>
      </w:r>
      <w:r>
        <w:rPr>
          <w:color w:val="231F20"/>
          <w:spacing w:val="-18"/>
        </w:rPr>
        <w:t> </w:t>
      </w:r>
      <w:r>
        <w:rPr>
          <w:color w:val="231F20"/>
        </w:rPr>
        <w:t>la</w:t>
      </w:r>
      <w:r>
        <w:rPr>
          <w:color w:val="231F20"/>
          <w:spacing w:val="-18"/>
        </w:rPr>
        <w:t> </w:t>
      </w:r>
      <w:r>
        <w:rPr>
          <w:color w:val="231F20"/>
          <w:spacing w:val="-4"/>
        </w:rPr>
        <w:t>sfera</w:t>
      </w:r>
      <w:r>
        <w:rPr>
          <w:color w:val="231F20"/>
          <w:spacing w:val="-18"/>
        </w:rPr>
        <w:t> </w:t>
      </w:r>
      <w:r>
        <w:rPr>
          <w:color w:val="231F20"/>
          <w:spacing w:val="-4"/>
        </w:rPr>
        <w:t>magica</w:t>
      </w:r>
      <w:r>
        <w:rPr>
          <w:color w:val="231F20"/>
          <w:spacing w:val="-18"/>
        </w:rPr>
        <w:t> </w:t>
      </w:r>
      <w:r>
        <w:rPr>
          <w:color w:val="231F20"/>
          <w:spacing w:val="-4"/>
        </w:rPr>
        <w:t>dell’”amicizia”,</w:t>
      </w:r>
      <w:r>
        <w:rPr>
          <w:color w:val="231F20"/>
          <w:spacing w:val="-18"/>
        </w:rPr>
        <w:t> </w:t>
      </w:r>
      <w:r>
        <w:rPr>
          <w:color w:val="231F20"/>
          <w:spacing w:val="-4"/>
        </w:rPr>
        <w:t>articolata</w:t>
      </w:r>
      <w:r>
        <w:rPr>
          <w:color w:val="231F20"/>
          <w:spacing w:val="-18"/>
        </w:rPr>
        <w:t> </w:t>
      </w:r>
      <w:r>
        <w:rPr>
          <w:color w:val="231F20"/>
          <w:spacing w:val="-4"/>
        </w:rPr>
        <w:t>attraverso </w:t>
      </w:r>
      <w:r>
        <w:rPr>
          <w:color w:val="231F20"/>
        </w:rPr>
        <w:t>la “maggioranza”, che è appunto il riconoscimento della differenza fra gli uomini, nel rispetto della libertà. Una visione molto distante dalla dottrina schmittiana dell’</w:t>
      </w:r>
      <w:r>
        <w:rPr>
          <w:rFonts w:ascii="Arial" w:hAnsi="Arial"/>
          <w:i/>
          <w:color w:val="231F20"/>
        </w:rPr>
        <w:t>amicus/hostis</w:t>
      </w:r>
      <w:r>
        <w:rPr>
          <w:color w:val="231F20"/>
        </w:rPr>
        <w:t>. La mia ipotesi è che il “futuro” possa</w:t>
      </w:r>
      <w:r>
        <w:rPr>
          <w:color w:val="231F20"/>
          <w:spacing w:val="-42"/>
        </w:rPr>
        <w:t> </w:t>
      </w:r>
      <w:r>
        <w:rPr>
          <w:color w:val="231F20"/>
        </w:rPr>
        <w:t>essere segnato</w:t>
      </w:r>
      <w:r>
        <w:rPr>
          <w:color w:val="231F20"/>
          <w:spacing w:val="-15"/>
        </w:rPr>
        <w:t> </w:t>
      </w:r>
      <w:r>
        <w:rPr>
          <w:color w:val="231F20"/>
        </w:rPr>
        <w:t>anche</w:t>
      </w:r>
      <w:r>
        <w:rPr>
          <w:color w:val="231F20"/>
          <w:spacing w:val="-15"/>
        </w:rPr>
        <w:t> </w:t>
      </w:r>
      <w:r>
        <w:rPr>
          <w:color w:val="231F20"/>
        </w:rPr>
        <w:t>da</w:t>
      </w:r>
      <w:r>
        <w:rPr>
          <w:color w:val="231F20"/>
          <w:spacing w:val="-15"/>
        </w:rPr>
        <w:t> </w:t>
      </w:r>
      <w:r>
        <w:rPr>
          <w:color w:val="231F20"/>
        </w:rPr>
        <w:t>un</w:t>
      </w:r>
      <w:r>
        <w:rPr>
          <w:color w:val="231F20"/>
          <w:spacing w:val="-15"/>
        </w:rPr>
        <w:t> </w:t>
      </w:r>
      <w:r>
        <w:rPr>
          <w:color w:val="231F20"/>
          <w:spacing w:val="-3"/>
        </w:rPr>
        <w:t>recupero</w:t>
      </w:r>
      <w:r>
        <w:rPr>
          <w:color w:val="231F20"/>
          <w:spacing w:val="-15"/>
        </w:rPr>
        <w:t> </w:t>
      </w:r>
      <w:r>
        <w:rPr>
          <w:color w:val="231F20"/>
        </w:rPr>
        <w:t>dell’amicizia,</w:t>
      </w:r>
      <w:r>
        <w:rPr>
          <w:color w:val="231F20"/>
          <w:spacing w:val="-15"/>
        </w:rPr>
        <w:t> </w:t>
      </w:r>
      <w:r>
        <w:rPr>
          <w:color w:val="231F20"/>
        </w:rPr>
        <w:t>intesa</w:t>
      </w:r>
      <w:r>
        <w:rPr>
          <w:color w:val="231F20"/>
          <w:spacing w:val="-15"/>
        </w:rPr>
        <w:t> </w:t>
      </w:r>
      <w:r>
        <w:rPr>
          <w:color w:val="231F20"/>
        </w:rPr>
        <w:t>come</w:t>
      </w:r>
      <w:r>
        <w:rPr>
          <w:color w:val="231F20"/>
          <w:spacing w:val="-15"/>
        </w:rPr>
        <w:t> </w:t>
      </w:r>
      <w:r>
        <w:rPr>
          <w:color w:val="231F20"/>
        </w:rPr>
        <w:t>adeguato</w:t>
      </w:r>
      <w:r>
        <w:rPr>
          <w:color w:val="231F20"/>
          <w:spacing w:val="-15"/>
        </w:rPr>
        <w:t> </w:t>
      </w:r>
      <w:r>
        <w:rPr>
          <w:color w:val="231F20"/>
        </w:rPr>
        <w:t>rapporto (misura)</w:t>
      </w:r>
      <w:r>
        <w:rPr>
          <w:color w:val="231F20"/>
          <w:spacing w:val="-23"/>
        </w:rPr>
        <w:t> </w:t>
      </w:r>
      <w:r>
        <w:rPr>
          <w:color w:val="231F20"/>
        </w:rPr>
        <w:t>fra</w:t>
      </w:r>
      <w:r>
        <w:rPr>
          <w:color w:val="231F20"/>
          <w:spacing w:val="-23"/>
        </w:rPr>
        <w:t> </w:t>
      </w:r>
      <w:r>
        <w:rPr>
          <w:color w:val="231F20"/>
        </w:rPr>
        <w:t>inferiori</w:t>
      </w:r>
      <w:r>
        <w:rPr>
          <w:color w:val="231F20"/>
          <w:spacing w:val="-23"/>
        </w:rPr>
        <w:t> </w:t>
      </w:r>
      <w:r>
        <w:rPr>
          <w:color w:val="231F20"/>
        </w:rPr>
        <w:t>e</w:t>
      </w:r>
      <w:r>
        <w:rPr>
          <w:color w:val="231F20"/>
          <w:spacing w:val="-23"/>
        </w:rPr>
        <w:t> </w:t>
      </w:r>
      <w:r>
        <w:rPr>
          <w:color w:val="231F20"/>
        </w:rPr>
        <w:t>superiori</w:t>
      </w:r>
      <w:r>
        <w:rPr>
          <w:color w:val="231F20"/>
          <w:spacing w:val="-23"/>
        </w:rPr>
        <w:t> </w:t>
      </w:r>
      <w:r>
        <w:rPr>
          <w:color w:val="231F20"/>
        </w:rPr>
        <w:t>in</w:t>
      </w:r>
      <w:r>
        <w:rPr>
          <w:color w:val="231F20"/>
          <w:spacing w:val="-23"/>
        </w:rPr>
        <w:t> </w:t>
      </w:r>
      <w:r>
        <w:rPr>
          <w:color w:val="231F20"/>
        </w:rPr>
        <w:t>un</w:t>
      </w:r>
      <w:r>
        <w:rPr>
          <w:color w:val="231F20"/>
          <w:spacing w:val="-23"/>
        </w:rPr>
        <w:t> </w:t>
      </w:r>
      <w:r>
        <w:rPr>
          <w:color w:val="231F20"/>
        </w:rPr>
        <w:t>quadro</w:t>
      </w:r>
      <w:r>
        <w:rPr>
          <w:color w:val="231F20"/>
          <w:spacing w:val="-23"/>
        </w:rPr>
        <w:t> </w:t>
      </w:r>
      <w:r>
        <w:rPr>
          <w:color w:val="231F20"/>
        </w:rPr>
        <w:t>di</w:t>
      </w:r>
      <w:r>
        <w:rPr>
          <w:color w:val="231F20"/>
          <w:spacing w:val="-23"/>
        </w:rPr>
        <w:t> </w:t>
      </w:r>
      <w:r>
        <w:rPr>
          <w:color w:val="231F20"/>
        </w:rPr>
        <w:t>dignità</w:t>
      </w:r>
      <w:r>
        <w:rPr>
          <w:color w:val="231F20"/>
          <w:spacing w:val="-23"/>
        </w:rPr>
        <w:t> </w:t>
      </w:r>
      <w:r>
        <w:rPr>
          <w:color w:val="231F20"/>
        </w:rPr>
        <w:t>e</w:t>
      </w:r>
      <w:r>
        <w:rPr>
          <w:color w:val="231F20"/>
          <w:spacing w:val="-23"/>
        </w:rPr>
        <w:t> </w:t>
      </w:r>
      <w:r>
        <w:rPr>
          <w:color w:val="231F20"/>
        </w:rPr>
        <w:t>libertà</w:t>
      </w:r>
      <w:r>
        <w:rPr>
          <w:color w:val="231F20"/>
          <w:spacing w:val="-23"/>
        </w:rPr>
        <w:t> </w:t>
      </w:r>
      <w:r>
        <w:rPr>
          <w:color w:val="231F20"/>
        </w:rPr>
        <w:t>complessiva, ma soprattutto nel nuovo quadro del “comune”, grazie a una progressiva estensione del campo dei “beni” comuni: da quelli per così dire materiali, che riguardano direttamente la vita e la sopravvivenza dignitosa, a quelli immateriali più o meno identificabili in </w:t>
      </w:r>
      <w:r>
        <w:rPr>
          <w:rFonts w:ascii="Arial" w:hAnsi="Arial"/>
          <w:i/>
          <w:color w:val="231F20"/>
        </w:rPr>
        <w:t>human rights</w:t>
      </w:r>
      <w:r>
        <w:rPr>
          <w:color w:val="231F20"/>
        </w:rPr>
        <w:t>, fino a comprendere però gli stessi beni strumentali, per così dire “di servizio”, senza i quali le altre</w:t>
      </w:r>
      <w:r>
        <w:rPr>
          <w:color w:val="231F20"/>
          <w:spacing w:val="-7"/>
        </w:rPr>
        <w:t> </w:t>
      </w:r>
      <w:r>
        <w:rPr>
          <w:color w:val="231F20"/>
        </w:rPr>
        <w:t>due</w:t>
      </w:r>
      <w:r>
        <w:rPr>
          <w:color w:val="231F20"/>
          <w:spacing w:val="-7"/>
        </w:rPr>
        <w:t> </w:t>
      </w:r>
      <w:r>
        <w:rPr>
          <w:color w:val="231F20"/>
        </w:rPr>
        <w:t>categorie</w:t>
      </w:r>
      <w:r>
        <w:rPr>
          <w:color w:val="231F20"/>
          <w:spacing w:val="-7"/>
        </w:rPr>
        <w:t> </w:t>
      </w:r>
      <w:r>
        <w:rPr>
          <w:color w:val="231F20"/>
        </w:rPr>
        <w:t>non</w:t>
      </w:r>
      <w:r>
        <w:rPr>
          <w:color w:val="231F20"/>
          <w:spacing w:val="-7"/>
        </w:rPr>
        <w:t> </w:t>
      </w:r>
      <w:r>
        <w:rPr>
          <w:color w:val="231F20"/>
        </w:rPr>
        <w:t>saprebbero</w:t>
      </w:r>
      <w:r>
        <w:rPr>
          <w:color w:val="231F20"/>
          <w:spacing w:val="-7"/>
        </w:rPr>
        <w:t> </w:t>
      </w:r>
      <w:r>
        <w:rPr>
          <w:color w:val="231F20"/>
        </w:rPr>
        <w:t>venir</w:t>
      </w:r>
      <w:r>
        <w:rPr>
          <w:color w:val="231F20"/>
          <w:spacing w:val="-7"/>
        </w:rPr>
        <w:t> </w:t>
      </w:r>
      <w:r>
        <w:rPr>
          <w:color w:val="231F20"/>
        </w:rPr>
        <w:t>utilizzate.</w:t>
      </w:r>
      <w:r>
        <w:rPr>
          <w:color w:val="231F20"/>
          <w:spacing w:val="-7"/>
        </w:rPr>
        <w:t> </w:t>
      </w:r>
      <w:r>
        <w:rPr>
          <w:color w:val="231F20"/>
        </w:rPr>
        <w:t>Mi</w:t>
      </w:r>
      <w:r>
        <w:rPr>
          <w:color w:val="231F20"/>
          <w:spacing w:val="-7"/>
        </w:rPr>
        <w:t> </w:t>
      </w:r>
      <w:r>
        <w:rPr>
          <w:color w:val="231F20"/>
        </w:rPr>
        <w:t>limito</w:t>
      </w:r>
      <w:r>
        <w:rPr>
          <w:color w:val="231F20"/>
          <w:spacing w:val="-7"/>
        </w:rPr>
        <w:t> </w:t>
      </w:r>
      <w:r>
        <w:rPr>
          <w:color w:val="231F20"/>
        </w:rPr>
        <w:t>qui</w:t>
      </w:r>
      <w:r>
        <w:rPr>
          <w:color w:val="231F20"/>
          <w:spacing w:val="-7"/>
        </w:rPr>
        <w:t> </w:t>
      </w:r>
      <w:r>
        <w:rPr>
          <w:color w:val="231F20"/>
        </w:rPr>
        <w:t>a</w:t>
      </w:r>
      <w:r>
        <w:rPr>
          <w:color w:val="231F20"/>
          <w:spacing w:val="-7"/>
        </w:rPr>
        <w:t> </w:t>
      </w:r>
      <w:r>
        <w:rPr>
          <w:color w:val="231F20"/>
        </w:rPr>
        <w:t>ricordare fisco, amministrazione e responsabilità contrattuale, tanto per toccare tre branche del diritto, tra il pubblico e il privato, che dovrebbero realizzare lo scheletro di ogni costituzione</w:t>
      </w:r>
      <w:r>
        <w:rPr>
          <w:color w:val="231F20"/>
          <w:spacing w:val="58"/>
        </w:rPr>
        <w:t> </w:t>
      </w:r>
      <w:r>
        <w:rPr>
          <w:color w:val="231F20"/>
        </w:rPr>
        <w:t>democratica.</w:t>
      </w:r>
    </w:p>
    <w:p>
      <w:pPr>
        <w:pStyle w:val="BodyText"/>
        <w:spacing w:line="247" w:lineRule="auto"/>
        <w:ind w:left="117" w:right="117" w:firstLine="566"/>
        <w:jc w:val="both"/>
      </w:pPr>
      <w:r>
        <w:rPr>
          <w:color w:val="231F20"/>
          <w:w w:val="105"/>
        </w:rPr>
        <w:t>Ho deliberatamente trascurato l’aspetto più “costituzionale” nella </w:t>
      </w:r>
      <w:r>
        <w:rPr>
          <w:color w:val="231F20"/>
          <w:spacing w:val="-3"/>
          <w:w w:val="105"/>
        </w:rPr>
        <w:t>tradizione</w:t>
      </w:r>
      <w:r>
        <w:rPr>
          <w:color w:val="231F20"/>
          <w:spacing w:val="-44"/>
          <w:w w:val="105"/>
        </w:rPr>
        <w:t> </w:t>
      </w:r>
      <w:r>
        <w:rPr>
          <w:color w:val="231F20"/>
          <w:spacing w:val="-3"/>
          <w:w w:val="105"/>
        </w:rPr>
        <w:t>liberale,</w:t>
      </w:r>
      <w:r>
        <w:rPr>
          <w:color w:val="231F20"/>
          <w:spacing w:val="-44"/>
          <w:w w:val="105"/>
        </w:rPr>
        <w:t> </w:t>
      </w:r>
      <w:r>
        <w:rPr>
          <w:color w:val="231F20"/>
          <w:w w:val="105"/>
        </w:rPr>
        <w:t>che</w:t>
      </w:r>
      <w:r>
        <w:rPr>
          <w:color w:val="231F20"/>
          <w:spacing w:val="-44"/>
          <w:w w:val="105"/>
        </w:rPr>
        <w:t> </w:t>
      </w:r>
      <w:r>
        <w:rPr>
          <w:color w:val="231F20"/>
          <w:w w:val="105"/>
        </w:rPr>
        <w:t>è</w:t>
      </w:r>
      <w:r>
        <w:rPr>
          <w:color w:val="231F20"/>
          <w:spacing w:val="-44"/>
          <w:w w:val="105"/>
        </w:rPr>
        <w:t> </w:t>
      </w:r>
      <w:r>
        <w:rPr>
          <w:color w:val="231F20"/>
          <w:spacing w:val="-3"/>
          <w:w w:val="105"/>
        </w:rPr>
        <w:t>quello</w:t>
      </w:r>
      <w:r>
        <w:rPr>
          <w:color w:val="231F20"/>
          <w:spacing w:val="-44"/>
          <w:w w:val="105"/>
        </w:rPr>
        <w:t> </w:t>
      </w:r>
      <w:r>
        <w:rPr>
          <w:color w:val="231F20"/>
          <w:spacing w:val="-3"/>
          <w:w w:val="105"/>
        </w:rPr>
        <w:t>della</w:t>
      </w:r>
      <w:r>
        <w:rPr>
          <w:color w:val="231F20"/>
          <w:spacing w:val="-44"/>
          <w:w w:val="105"/>
        </w:rPr>
        <w:t> </w:t>
      </w:r>
      <w:r>
        <w:rPr>
          <w:color w:val="231F20"/>
          <w:spacing w:val="-4"/>
          <w:w w:val="105"/>
        </w:rPr>
        <w:t>rappresentanza</w:t>
      </w:r>
      <w:r>
        <w:rPr>
          <w:color w:val="231F20"/>
          <w:spacing w:val="-44"/>
          <w:w w:val="105"/>
        </w:rPr>
        <w:t> </w:t>
      </w:r>
      <w:r>
        <w:rPr>
          <w:color w:val="231F20"/>
          <w:spacing w:val="-4"/>
          <w:w w:val="105"/>
        </w:rPr>
        <w:t>popolare</w:t>
      </w:r>
      <w:r>
        <w:rPr>
          <w:color w:val="231F20"/>
          <w:spacing w:val="-44"/>
          <w:w w:val="105"/>
        </w:rPr>
        <w:t> </w:t>
      </w:r>
      <w:r>
        <w:rPr>
          <w:color w:val="231F20"/>
          <w:w w:val="105"/>
        </w:rPr>
        <w:t>in</w:t>
      </w:r>
      <w:r>
        <w:rPr>
          <w:color w:val="231F20"/>
          <w:spacing w:val="-44"/>
          <w:w w:val="105"/>
        </w:rPr>
        <w:t> </w:t>
      </w:r>
      <w:r>
        <w:rPr>
          <w:color w:val="231F20"/>
          <w:spacing w:val="-3"/>
          <w:w w:val="105"/>
        </w:rPr>
        <w:t>parlamento. </w:t>
      </w:r>
      <w:r>
        <w:rPr>
          <w:color w:val="231F20"/>
          <w:w w:val="105"/>
        </w:rPr>
        <w:t>Ritengo</w:t>
      </w:r>
      <w:r>
        <w:rPr>
          <w:color w:val="231F20"/>
          <w:spacing w:val="-21"/>
          <w:w w:val="105"/>
        </w:rPr>
        <w:t> </w:t>
      </w:r>
      <w:r>
        <w:rPr>
          <w:color w:val="231F20"/>
          <w:w w:val="105"/>
        </w:rPr>
        <w:t>infatti</w:t>
      </w:r>
      <w:r>
        <w:rPr>
          <w:color w:val="231F20"/>
          <w:spacing w:val="-21"/>
          <w:w w:val="105"/>
        </w:rPr>
        <w:t> </w:t>
      </w:r>
      <w:r>
        <w:rPr>
          <w:color w:val="231F20"/>
          <w:w w:val="105"/>
        </w:rPr>
        <w:t>che</w:t>
      </w:r>
      <w:r>
        <w:rPr>
          <w:color w:val="231F20"/>
          <w:spacing w:val="-21"/>
          <w:w w:val="105"/>
        </w:rPr>
        <w:t> </w:t>
      </w:r>
      <w:r>
        <w:rPr>
          <w:color w:val="231F20"/>
          <w:w w:val="105"/>
        </w:rPr>
        <w:t>l’egemonia</w:t>
      </w:r>
      <w:r>
        <w:rPr>
          <w:color w:val="231F20"/>
          <w:spacing w:val="-21"/>
          <w:w w:val="105"/>
        </w:rPr>
        <w:t> </w:t>
      </w:r>
      <w:r>
        <w:rPr>
          <w:color w:val="231F20"/>
          <w:w w:val="105"/>
        </w:rPr>
        <w:t>della</w:t>
      </w:r>
      <w:r>
        <w:rPr>
          <w:color w:val="231F20"/>
          <w:spacing w:val="-21"/>
          <w:w w:val="105"/>
        </w:rPr>
        <w:t> </w:t>
      </w:r>
      <w:r>
        <w:rPr>
          <w:color w:val="231F20"/>
          <w:w w:val="105"/>
        </w:rPr>
        <w:t>legge</w:t>
      </w:r>
      <w:r>
        <w:rPr>
          <w:color w:val="231F20"/>
          <w:spacing w:val="-21"/>
          <w:w w:val="105"/>
        </w:rPr>
        <w:t> </w:t>
      </w:r>
      <w:r>
        <w:rPr>
          <w:color w:val="231F20"/>
          <w:w w:val="105"/>
        </w:rPr>
        <w:t>sulle</w:t>
      </w:r>
      <w:r>
        <w:rPr>
          <w:color w:val="231F20"/>
          <w:spacing w:val="-21"/>
          <w:w w:val="105"/>
        </w:rPr>
        <w:t> </w:t>
      </w:r>
      <w:r>
        <w:rPr>
          <w:color w:val="231F20"/>
          <w:w w:val="105"/>
        </w:rPr>
        <w:t>altre</w:t>
      </w:r>
      <w:r>
        <w:rPr>
          <w:color w:val="231F20"/>
          <w:spacing w:val="-21"/>
          <w:w w:val="105"/>
        </w:rPr>
        <w:t> </w:t>
      </w:r>
      <w:r>
        <w:rPr>
          <w:color w:val="231F20"/>
          <w:w w:val="105"/>
        </w:rPr>
        <w:t>forme</w:t>
      </w:r>
      <w:r>
        <w:rPr>
          <w:color w:val="231F20"/>
          <w:spacing w:val="-21"/>
          <w:w w:val="105"/>
        </w:rPr>
        <w:t> </w:t>
      </w:r>
      <w:r>
        <w:rPr>
          <w:color w:val="231F20"/>
          <w:w w:val="105"/>
        </w:rPr>
        <w:t>di</w:t>
      </w:r>
      <w:r>
        <w:rPr>
          <w:color w:val="231F20"/>
          <w:spacing w:val="-21"/>
          <w:w w:val="105"/>
        </w:rPr>
        <w:t> </w:t>
      </w:r>
      <w:r>
        <w:rPr>
          <w:color w:val="231F20"/>
          <w:w w:val="105"/>
        </w:rPr>
        <w:t>previsione</w:t>
      </w:r>
      <w:r>
        <w:rPr>
          <w:color w:val="231F20"/>
          <w:spacing w:val="-21"/>
          <w:w w:val="105"/>
        </w:rPr>
        <w:t> </w:t>
      </w:r>
      <w:r>
        <w:rPr>
          <w:color w:val="231F20"/>
          <w:w w:val="105"/>
        </w:rPr>
        <w:t>e imposizione</w:t>
      </w:r>
      <w:r>
        <w:rPr>
          <w:color w:val="231F20"/>
          <w:spacing w:val="-5"/>
          <w:w w:val="105"/>
        </w:rPr>
        <w:t> </w:t>
      </w:r>
      <w:r>
        <w:rPr>
          <w:color w:val="231F20"/>
          <w:w w:val="105"/>
        </w:rPr>
        <w:t>di</w:t>
      </w:r>
      <w:r>
        <w:rPr>
          <w:color w:val="231F20"/>
          <w:spacing w:val="-5"/>
          <w:w w:val="105"/>
        </w:rPr>
        <w:t> </w:t>
      </w:r>
      <w:r>
        <w:rPr>
          <w:color w:val="231F20"/>
          <w:w w:val="105"/>
        </w:rPr>
        <w:t>comportamenti</w:t>
      </w:r>
      <w:r>
        <w:rPr>
          <w:color w:val="231F20"/>
          <w:spacing w:val="-5"/>
          <w:w w:val="105"/>
        </w:rPr>
        <w:t> </w:t>
      </w:r>
      <w:r>
        <w:rPr>
          <w:color w:val="231F20"/>
          <w:w w:val="105"/>
        </w:rPr>
        <w:t>nel</w:t>
      </w:r>
      <w:r>
        <w:rPr>
          <w:color w:val="231F20"/>
          <w:spacing w:val="-5"/>
          <w:w w:val="105"/>
        </w:rPr>
        <w:t> </w:t>
      </w:r>
      <w:r>
        <w:rPr>
          <w:color w:val="231F20"/>
          <w:w w:val="105"/>
        </w:rPr>
        <w:t>sociale</w:t>
      </w:r>
      <w:r>
        <w:rPr>
          <w:color w:val="231F20"/>
          <w:spacing w:val="-5"/>
          <w:w w:val="105"/>
        </w:rPr>
        <w:t> </w:t>
      </w:r>
      <w:r>
        <w:rPr>
          <w:color w:val="231F20"/>
          <w:w w:val="105"/>
        </w:rPr>
        <w:t>abbia</w:t>
      </w:r>
      <w:r>
        <w:rPr>
          <w:color w:val="231F20"/>
          <w:spacing w:val="-5"/>
          <w:w w:val="105"/>
        </w:rPr>
        <w:t> </w:t>
      </w:r>
      <w:r>
        <w:rPr>
          <w:color w:val="231F20"/>
          <w:w w:val="105"/>
        </w:rPr>
        <w:t>fatto</w:t>
      </w:r>
      <w:r>
        <w:rPr>
          <w:color w:val="231F20"/>
          <w:spacing w:val="-5"/>
          <w:w w:val="105"/>
        </w:rPr>
        <w:t> </w:t>
      </w:r>
      <w:r>
        <w:rPr>
          <w:color w:val="231F20"/>
          <w:w w:val="105"/>
        </w:rPr>
        <w:t>il</w:t>
      </w:r>
      <w:r>
        <w:rPr>
          <w:color w:val="231F20"/>
          <w:spacing w:val="-5"/>
          <w:w w:val="105"/>
        </w:rPr>
        <w:t> </w:t>
      </w:r>
      <w:r>
        <w:rPr>
          <w:color w:val="231F20"/>
          <w:w w:val="105"/>
        </w:rPr>
        <w:t>suo</w:t>
      </w:r>
      <w:r>
        <w:rPr>
          <w:color w:val="231F20"/>
          <w:spacing w:val="-5"/>
          <w:w w:val="105"/>
        </w:rPr>
        <w:t> </w:t>
      </w:r>
      <w:r>
        <w:rPr>
          <w:color w:val="231F20"/>
          <w:w w:val="105"/>
        </w:rPr>
        <w:t>tempo</w:t>
      </w:r>
      <w:r>
        <w:rPr>
          <w:color w:val="231F20"/>
          <w:spacing w:val="-5"/>
          <w:w w:val="105"/>
        </w:rPr>
        <w:t> </w:t>
      </w:r>
      <w:r>
        <w:rPr>
          <w:color w:val="231F20"/>
          <w:w w:val="105"/>
        </w:rPr>
        <w:t>e</w:t>
      </w:r>
      <w:r>
        <w:rPr>
          <w:color w:val="231F20"/>
          <w:spacing w:val="-5"/>
          <w:w w:val="105"/>
        </w:rPr>
        <w:t> </w:t>
      </w:r>
      <w:r>
        <w:rPr>
          <w:color w:val="231F20"/>
          <w:w w:val="105"/>
        </w:rPr>
        <w:t>che lo</w:t>
      </w:r>
      <w:r>
        <w:rPr>
          <w:color w:val="231F20"/>
          <w:spacing w:val="-20"/>
          <w:w w:val="105"/>
        </w:rPr>
        <w:t> </w:t>
      </w:r>
      <w:r>
        <w:rPr>
          <w:color w:val="231F20"/>
          <w:w w:val="105"/>
        </w:rPr>
        <w:t>stesso</w:t>
      </w:r>
      <w:r>
        <w:rPr>
          <w:color w:val="231F20"/>
          <w:spacing w:val="-20"/>
          <w:w w:val="105"/>
        </w:rPr>
        <w:t> </w:t>
      </w:r>
      <w:r>
        <w:rPr>
          <w:color w:val="231F20"/>
          <w:w w:val="105"/>
        </w:rPr>
        <w:t>potere</w:t>
      </w:r>
      <w:r>
        <w:rPr>
          <w:color w:val="231F20"/>
          <w:spacing w:val="-20"/>
          <w:w w:val="105"/>
        </w:rPr>
        <w:t> </w:t>
      </w:r>
      <w:r>
        <w:rPr>
          <w:color w:val="231F20"/>
          <w:w w:val="105"/>
        </w:rPr>
        <w:t>legislativo</w:t>
      </w:r>
      <w:r>
        <w:rPr>
          <w:color w:val="231F20"/>
          <w:spacing w:val="-20"/>
          <w:w w:val="105"/>
        </w:rPr>
        <w:t> </w:t>
      </w:r>
      <w:r>
        <w:rPr>
          <w:color w:val="231F20"/>
          <w:w w:val="105"/>
        </w:rPr>
        <w:t>non</w:t>
      </w:r>
      <w:r>
        <w:rPr>
          <w:color w:val="231F20"/>
          <w:spacing w:val="-20"/>
          <w:w w:val="105"/>
        </w:rPr>
        <w:t> </w:t>
      </w:r>
      <w:r>
        <w:rPr>
          <w:color w:val="231F20"/>
          <w:w w:val="105"/>
        </w:rPr>
        <w:t>vada</w:t>
      </w:r>
      <w:r>
        <w:rPr>
          <w:color w:val="231F20"/>
          <w:spacing w:val="-20"/>
          <w:w w:val="105"/>
        </w:rPr>
        <w:t> </w:t>
      </w:r>
      <w:r>
        <w:rPr>
          <w:color w:val="231F20"/>
          <w:w w:val="105"/>
        </w:rPr>
        <w:t>più</w:t>
      </w:r>
      <w:r>
        <w:rPr>
          <w:color w:val="231F20"/>
          <w:spacing w:val="-20"/>
          <w:w w:val="105"/>
        </w:rPr>
        <w:t> </w:t>
      </w:r>
      <w:r>
        <w:rPr>
          <w:color w:val="231F20"/>
          <w:w w:val="105"/>
        </w:rPr>
        <w:t>considerato</w:t>
      </w:r>
      <w:r>
        <w:rPr>
          <w:color w:val="231F20"/>
          <w:spacing w:val="-20"/>
          <w:w w:val="105"/>
        </w:rPr>
        <w:t> </w:t>
      </w:r>
      <w:r>
        <w:rPr>
          <w:color w:val="231F20"/>
          <w:w w:val="105"/>
        </w:rPr>
        <w:t>la</w:t>
      </w:r>
      <w:r>
        <w:rPr>
          <w:color w:val="231F20"/>
          <w:spacing w:val="-20"/>
          <w:w w:val="105"/>
        </w:rPr>
        <w:t> </w:t>
      </w:r>
      <w:r>
        <w:rPr>
          <w:color w:val="231F20"/>
          <w:w w:val="105"/>
        </w:rPr>
        <w:t>forma</w:t>
      </w:r>
      <w:r>
        <w:rPr>
          <w:color w:val="231F20"/>
          <w:spacing w:val="-20"/>
          <w:w w:val="105"/>
        </w:rPr>
        <w:t> </w:t>
      </w:r>
      <w:r>
        <w:rPr>
          <w:color w:val="231F20"/>
          <w:w w:val="105"/>
        </w:rPr>
        <w:t>esclusiva</w:t>
      </w:r>
      <w:r>
        <w:rPr>
          <w:color w:val="231F20"/>
          <w:spacing w:val="-20"/>
          <w:w w:val="105"/>
        </w:rPr>
        <w:t> </w:t>
      </w:r>
      <w:r>
        <w:rPr>
          <w:color w:val="231F20"/>
          <w:w w:val="105"/>
        </w:rPr>
        <w:t>di partecipazione</w:t>
      </w:r>
      <w:r>
        <w:rPr>
          <w:color w:val="231F20"/>
          <w:spacing w:val="-28"/>
          <w:w w:val="105"/>
        </w:rPr>
        <w:t> </w:t>
      </w:r>
      <w:r>
        <w:rPr>
          <w:color w:val="231F20"/>
          <w:w w:val="105"/>
        </w:rPr>
        <w:t>popolare</w:t>
      </w:r>
      <w:r>
        <w:rPr>
          <w:color w:val="231F20"/>
          <w:spacing w:val="-28"/>
          <w:w w:val="105"/>
        </w:rPr>
        <w:t> </w:t>
      </w:r>
      <w:r>
        <w:rPr>
          <w:color w:val="231F20"/>
          <w:w w:val="105"/>
        </w:rPr>
        <w:t>alla</w:t>
      </w:r>
      <w:r>
        <w:rPr>
          <w:color w:val="231F20"/>
          <w:spacing w:val="-28"/>
          <w:w w:val="105"/>
        </w:rPr>
        <w:t> </w:t>
      </w:r>
      <w:r>
        <w:rPr>
          <w:color w:val="231F20"/>
          <w:w w:val="105"/>
        </w:rPr>
        <w:t>gestione</w:t>
      </w:r>
      <w:r>
        <w:rPr>
          <w:color w:val="231F20"/>
          <w:spacing w:val="-28"/>
          <w:w w:val="105"/>
        </w:rPr>
        <w:t> </w:t>
      </w:r>
      <w:r>
        <w:rPr>
          <w:color w:val="231F20"/>
          <w:w w:val="105"/>
        </w:rPr>
        <w:t>del</w:t>
      </w:r>
      <w:r>
        <w:rPr>
          <w:color w:val="231F20"/>
          <w:spacing w:val="-28"/>
          <w:w w:val="105"/>
        </w:rPr>
        <w:t> </w:t>
      </w:r>
      <w:r>
        <w:rPr>
          <w:color w:val="231F20"/>
          <w:w w:val="105"/>
        </w:rPr>
        <w:t>potere</w:t>
      </w:r>
      <w:r>
        <w:rPr>
          <w:color w:val="231F20"/>
          <w:spacing w:val="-28"/>
          <w:w w:val="105"/>
        </w:rPr>
        <w:t> </w:t>
      </w:r>
      <w:r>
        <w:rPr>
          <w:color w:val="231F20"/>
          <w:w w:val="105"/>
        </w:rPr>
        <w:t>e</w:t>
      </w:r>
      <w:r>
        <w:rPr>
          <w:color w:val="231F20"/>
          <w:spacing w:val="-28"/>
          <w:w w:val="105"/>
        </w:rPr>
        <w:t> </w:t>
      </w:r>
      <w:r>
        <w:rPr>
          <w:color w:val="231F20"/>
          <w:w w:val="105"/>
        </w:rPr>
        <w:t>quindi</w:t>
      </w:r>
      <w:r>
        <w:rPr>
          <w:color w:val="231F20"/>
          <w:spacing w:val="-28"/>
          <w:w w:val="105"/>
        </w:rPr>
        <w:t> </w:t>
      </w:r>
      <w:r>
        <w:rPr>
          <w:color w:val="231F20"/>
          <w:w w:val="105"/>
        </w:rPr>
        <w:t>di</w:t>
      </w:r>
      <w:r>
        <w:rPr>
          <w:color w:val="231F20"/>
          <w:spacing w:val="-28"/>
          <w:w w:val="105"/>
        </w:rPr>
        <w:t> </w:t>
      </w:r>
      <w:r>
        <w:rPr>
          <w:color w:val="231F20"/>
          <w:w w:val="105"/>
        </w:rPr>
        <w:t>legittimazione di</w:t>
      </w:r>
      <w:r>
        <w:rPr>
          <w:color w:val="231F20"/>
          <w:spacing w:val="-8"/>
          <w:w w:val="105"/>
        </w:rPr>
        <w:t> </w:t>
      </w:r>
      <w:r>
        <w:rPr>
          <w:color w:val="231F20"/>
          <w:w w:val="105"/>
        </w:rPr>
        <w:t>quest’ultimo.</w:t>
      </w:r>
      <w:r>
        <w:rPr>
          <w:color w:val="231F20"/>
          <w:spacing w:val="-8"/>
          <w:w w:val="105"/>
        </w:rPr>
        <w:t> </w:t>
      </w:r>
      <w:r>
        <w:rPr>
          <w:color w:val="231F20"/>
          <w:w w:val="105"/>
        </w:rPr>
        <w:t>Allo</w:t>
      </w:r>
      <w:r>
        <w:rPr>
          <w:color w:val="231F20"/>
          <w:spacing w:val="-8"/>
          <w:w w:val="105"/>
        </w:rPr>
        <w:t> </w:t>
      </w:r>
      <w:r>
        <w:rPr>
          <w:color w:val="231F20"/>
          <w:w w:val="105"/>
        </w:rPr>
        <w:t>stato</w:t>
      </w:r>
      <w:r>
        <w:rPr>
          <w:color w:val="231F20"/>
          <w:spacing w:val="-8"/>
          <w:w w:val="105"/>
        </w:rPr>
        <w:t> </w:t>
      </w:r>
      <w:r>
        <w:rPr>
          <w:color w:val="231F20"/>
          <w:w w:val="105"/>
        </w:rPr>
        <w:t>attuale,</w:t>
      </w:r>
      <w:r>
        <w:rPr>
          <w:color w:val="231F20"/>
          <w:spacing w:val="-8"/>
          <w:w w:val="105"/>
        </w:rPr>
        <w:t> </w:t>
      </w:r>
      <w:r>
        <w:rPr>
          <w:color w:val="231F20"/>
          <w:w w:val="105"/>
        </w:rPr>
        <w:t>mi</w:t>
      </w:r>
      <w:r>
        <w:rPr>
          <w:color w:val="231F20"/>
          <w:spacing w:val="-8"/>
          <w:w w:val="105"/>
        </w:rPr>
        <w:t> </w:t>
      </w:r>
      <w:r>
        <w:rPr>
          <w:color w:val="231F20"/>
          <w:w w:val="105"/>
        </w:rPr>
        <w:t>sembra</w:t>
      </w:r>
      <w:r>
        <w:rPr>
          <w:color w:val="231F20"/>
          <w:spacing w:val="-8"/>
          <w:w w:val="105"/>
        </w:rPr>
        <w:t> </w:t>
      </w:r>
      <w:r>
        <w:rPr>
          <w:color w:val="231F20"/>
          <w:w w:val="105"/>
        </w:rPr>
        <w:t>che</w:t>
      </w:r>
      <w:r>
        <w:rPr>
          <w:color w:val="231F20"/>
          <w:spacing w:val="-8"/>
          <w:w w:val="105"/>
        </w:rPr>
        <w:t> </w:t>
      </w:r>
      <w:r>
        <w:rPr>
          <w:color w:val="231F20"/>
          <w:w w:val="105"/>
        </w:rPr>
        <w:t>l’attenzione</w:t>
      </w:r>
      <w:r>
        <w:rPr>
          <w:color w:val="231F20"/>
          <w:spacing w:val="-8"/>
          <w:w w:val="105"/>
        </w:rPr>
        <w:t> </w:t>
      </w:r>
      <w:r>
        <w:rPr>
          <w:color w:val="231F20"/>
          <w:w w:val="105"/>
        </w:rPr>
        <w:t>principale </w:t>
      </w:r>
      <w:r>
        <w:rPr>
          <w:color w:val="231F20"/>
          <w:spacing w:val="2"/>
          <w:w w:val="105"/>
        </w:rPr>
        <w:t>vada</w:t>
      </w:r>
      <w:r>
        <w:rPr>
          <w:color w:val="231F20"/>
          <w:spacing w:val="-7"/>
          <w:w w:val="105"/>
        </w:rPr>
        <w:t> </w:t>
      </w:r>
      <w:r>
        <w:rPr>
          <w:color w:val="231F20"/>
          <w:spacing w:val="2"/>
          <w:w w:val="105"/>
        </w:rPr>
        <w:t>rivolta</w:t>
      </w:r>
      <w:r>
        <w:rPr>
          <w:color w:val="231F20"/>
          <w:spacing w:val="-7"/>
          <w:w w:val="105"/>
        </w:rPr>
        <w:t> </w:t>
      </w:r>
      <w:r>
        <w:rPr>
          <w:color w:val="231F20"/>
          <w:w w:val="105"/>
        </w:rPr>
        <w:t>a</w:t>
      </w:r>
      <w:r>
        <w:rPr>
          <w:color w:val="231F20"/>
          <w:spacing w:val="-7"/>
          <w:w w:val="105"/>
        </w:rPr>
        <w:t> </w:t>
      </w:r>
      <w:r>
        <w:rPr>
          <w:color w:val="231F20"/>
          <w:w w:val="105"/>
        </w:rPr>
        <w:t>una</w:t>
      </w:r>
      <w:r>
        <w:rPr>
          <w:color w:val="231F20"/>
          <w:spacing w:val="-7"/>
          <w:w w:val="105"/>
        </w:rPr>
        <w:t> </w:t>
      </w:r>
      <w:r>
        <w:rPr>
          <w:color w:val="231F20"/>
          <w:spacing w:val="2"/>
          <w:w w:val="105"/>
        </w:rPr>
        <w:t>nuova</w:t>
      </w:r>
      <w:r>
        <w:rPr>
          <w:color w:val="231F20"/>
          <w:spacing w:val="-7"/>
          <w:w w:val="105"/>
        </w:rPr>
        <w:t> </w:t>
      </w:r>
      <w:r>
        <w:rPr>
          <w:color w:val="231F20"/>
          <w:spacing w:val="2"/>
          <w:w w:val="105"/>
        </w:rPr>
        <w:t>conformazione</w:t>
      </w:r>
      <w:r>
        <w:rPr>
          <w:color w:val="231F20"/>
          <w:spacing w:val="-7"/>
          <w:w w:val="105"/>
        </w:rPr>
        <w:t> </w:t>
      </w:r>
      <w:r>
        <w:rPr>
          <w:color w:val="231F20"/>
          <w:spacing w:val="2"/>
          <w:w w:val="105"/>
        </w:rPr>
        <w:t>dell’amministrativo</w:t>
      </w:r>
      <w:r>
        <w:rPr>
          <w:color w:val="231F20"/>
          <w:spacing w:val="-7"/>
          <w:w w:val="105"/>
        </w:rPr>
        <w:t> </w:t>
      </w:r>
      <w:r>
        <w:rPr>
          <w:color w:val="231F20"/>
          <w:w w:val="105"/>
        </w:rPr>
        <w:t>(il</w:t>
      </w:r>
      <w:r>
        <w:rPr>
          <w:color w:val="231F20"/>
          <w:spacing w:val="-7"/>
          <w:w w:val="105"/>
        </w:rPr>
        <w:t> </w:t>
      </w:r>
      <w:r>
        <w:rPr>
          <w:color w:val="231F20"/>
          <w:spacing w:val="3"/>
          <w:w w:val="105"/>
        </w:rPr>
        <w:t>vecchio </w:t>
      </w:r>
      <w:r>
        <w:rPr>
          <w:color w:val="231F20"/>
          <w:w w:val="105"/>
        </w:rPr>
        <w:t>“esecutivo”),</w:t>
      </w:r>
      <w:r>
        <w:rPr>
          <w:color w:val="231F20"/>
          <w:spacing w:val="-40"/>
          <w:w w:val="105"/>
        </w:rPr>
        <w:t> </w:t>
      </w:r>
      <w:r>
        <w:rPr>
          <w:color w:val="231F20"/>
          <w:w w:val="105"/>
        </w:rPr>
        <w:t>ben</w:t>
      </w:r>
      <w:r>
        <w:rPr>
          <w:color w:val="231F20"/>
          <w:spacing w:val="-40"/>
          <w:w w:val="105"/>
        </w:rPr>
        <w:t> </w:t>
      </w:r>
      <w:r>
        <w:rPr>
          <w:color w:val="231F20"/>
          <w:w w:val="105"/>
        </w:rPr>
        <w:t>oltre</w:t>
      </w:r>
      <w:r>
        <w:rPr>
          <w:color w:val="231F20"/>
          <w:spacing w:val="-40"/>
          <w:w w:val="105"/>
        </w:rPr>
        <w:t> </w:t>
      </w:r>
      <w:r>
        <w:rPr>
          <w:color w:val="231F20"/>
          <w:w w:val="105"/>
        </w:rPr>
        <w:t>la</w:t>
      </w:r>
      <w:r>
        <w:rPr>
          <w:color w:val="231F20"/>
          <w:spacing w:val="-40"/>
          <w:w w:val="105"/>
        </w:rPr>
        <w:t> </w:t>
      </w:r>
      <w:r>
        <w:rPr>
          <w:color w:val="231F20"/>
          <w:w w:val="105"/>
        </w:rPr>
        <w:t>sua</w:t>
      </w:r>
      <w:r>
        <w:rPr>
          <w:color w:val="231F20"/>
          <w:spacing w:val="-40"/>
          <w:w w:val="105"/>
        </w:rPr>
        <w:t> </w:t>
      </w:r>
      <w:r>
        <w:rPr>
          <w:color w:val="231F20"/>
          <w:w w:val="105"/>
        </w:rPr>
        <w:t>classica</w:t>
      </w:r>
      <w:r>
        <w:rPr>
          <w:color w:val="231F20"/>
          <w:spacing w:val="-40"/>
          <w:w w:val="105"/>
        </w:rPr>
        <w:t> </w:t>
      </w:r>
      <w:r>
        <w:rPr>
          <w:color w:val="231F20"/>
          <w:w w:val="105"/>
        </w:rPr>
        <w:t>subordinazione</w:t>
      </w:r>
      <w:r>
        <w:rPr>
          <w:color w:val="231F20"/>
          <w:spacing w:val="-40"/>
          <w:w w:val="105"/>
        </w:rPr>
        <w:t> </w:t>
      </w:r>
      <w:r>
        <w:rPr>
          <w:color w:val="231F20"/>
          <w:w w:val="105"/>
        </w:rPr>
        <w:t>alla</w:t>
      </w:r>
      <w:r>
        <w:rPr>
          <w:color w:val="231F20"/>
          <w:spacing w:val="-40"/>
          <w:w w:val="105"/>
        </w:rPr>
        <w:t> </w:t>
      </w:r>
      <w:r>
        <w:rPr>
          <w:color w:val="231F20"/>
          <w:w w:val="105"/>
        </w:rPr>
        <w:t>legge</w:t>
      </w:r>
      <w:r>
        <w:rPr>
          <w:color w:val="231F20"/>
          <w:spacing w:val="-40"/>
          <w:w w:val="105"/>
        </w:rPr>
        <w:t> </w:t>
      </w:r>
      <w:r>
        <w:rPr>
          <w:color w:val="231F20"/>
          <w:w w:val="105"/>
        </w:rPr>
        <w:t>realizzatasi con</w:t>
      </w:r>
      <w:r>
        <w:rPr>
          <w:color w:val="231F20"/>
          <w:spacing w:val="-40"/>
          <w:w w:val="105"/>
        </w:rPr>
        <w:t> </w:t>
      </w:r>
      <w:r>
        <w:rPr>
          <w:color w:val="231F20"/>
          <w:w w:val="105"/>
        </w:rPr>
        <w:t>lo</w:t>
      </w:r>
      <w:r>
        <w:rPr>
          <w:color w:val="231F20"/>
          <w:spacing w:val="-40"/>
          <w:w w:val="105"/>
        </w:rPr>
        <w:t> </w:t>
      </w:r>
      <w:r>
        <w:rPr>
          <w:color w:val="231F20"/>
          <w:spacing w:val="-3"/>
          <w:w w:val="105"/>
        </w:rPr>
        <w:t>Stato</w:t>
      </w:r>
      <w:r>
        <w:rPr>
          <w:color w:val="231F20"/>
          <w:spacing w:val="-40"/>
          <w:w w:val="105"/>
        </w:rPr>
        <w:t> </w:t>
      </w:r>
      <w:r>
        <w:rPr>
          <w:color w:val="231F20"/>
          <w:w w:val="105"/>
        </w:rPr>
        <w:t>di</w:t>
      </w:r>
      <w:r>
        <w:rPr>
          <w:color w:val="231F20"/>
          <w:spacing w:val="-40"/>
          <w:w w:val="105"/>
        </w:rPr>
        <w:t> </w:t>
      </w:r>
      <w:r>
        <w:rPr>
          <w:color w:val="231F20"/>
          <w:spacing w:val="-3"/>
          <w:w w:val="105"/>
        </w:rPr>
        <w:t>diritto.</w:t>
      </w:r>
      <w:r>
        <w:rPr>
          <w:color w:val="231F20"/>
          <w:spacing w:val="-40"/>
          <w:w w:val="105"/>
        </w:rPr>
        <w:t> </w:t>
      </w:r>
      <w:r>
        <w:rPr>
          <w:color w:val="231F20"/>
          <w:w w:val="105"/>
        </w:rPr>
        <w:t>Ciò</w:t>
      </w:r>
      <w:r>
        <w:rPr>
          <w:color w:val="231F20"/>
          <w:spacing w:val="-40"/>
          <w:w w:val="105"/>
        </w:rPr>
        <w:t> </w:t>
      </w:r>
      <w:r>
        <w:rPr>
          <w:color w:val="231F20"/>
          <w:spacing w:val="-4"/>
          <w:w w:val="105"/>
        </w:rPr>
        <w:t>potrebbe</w:t>
      </w:r>
      <w:r>
        <w:rPr>
          <w:color w:val="231F20"/>
          <w:spacing w:val="-40"/>
          <w:w w:val="105"/>
        </w:rPr>
        <w:t> </w:t>
      </w:r>
      <w:r>
        <w:rPr>
          <w:color w:val="231F20"/>
          <w:spacing w:val="-4"/>
          <w:w w:val="105"/>
        </w:rPr>
        <w:t>favorire</w:t>
      </w:r>
      <w:r>
        <w:rPr>
          <w:color w:val="231F20"/>
          <w:spacing w:val="-40"/>
          <w:w w:val="105"/>
        </w:rPr>
        <w:t> </w:t>
      </w:r>
      <w:r>
        <w:rPr>
          <w:color w:val="231F20"/>
          <w:spacing w:val="-3"/>
          <w:w w:val="105"/>
        </w:rPr>
        <w:t>un’autentica</w:t>
      </w:r>
      <w:r>
        <w:rPr>
          <w:color w:val="231F20"/>
          <w:spacing w:val="-40"/>
          <w:w w:val="105"/>
        </w:rPr>
        <w:t> </w:t>
      </w:r>
      <w:r>
        <w:rPr>
          <w:color w:val="231F20"/>
          <w:spacing w:val="-3"/>
          <w:w w:val="105"/>
        </w:rPr>
        <w:t>com-partecipazione </w:t>
      </w:r>
      <w:r>
        <w:rPr>
          <w:color w:val="231F20"/>
          <w:w w:val="105"/>
        </w:rPr>
        <w:t>dei</w:t>
      </w:r>
      <w:r>
        <w:rPr>
          <w:color w:val="231F20"/>
          <w:spacing w:val="-48"/>
          <w:w w:val="105"/>
        </w:rPr>
        <w:t> </w:t>
      </w:r>
      <w:r>
        <w:rPr>
          <w:color w:val="231F20"/>
          <w:w w:val="105"/>
        </w:rPr>
        <w:t>cittadini</w:t>
      </w:r>
      <w:r>
        <w:rPr>
          <w:color w:val="231F20"/>
          <w:spacing w:val="-48"/>
          <w:w w:val="105"/>
        </w:rPr>
        <w:t> </w:t>
      </w:r>
      <w:r>
        <w:rPr>
          <w:color w:val="231F20"/>
          <w:w w:val="105"/>
        </w:rPr>
        <w:t>al</w:t>
      </w:r>
      <w:r>
        <w:rPr>
          <w:color w:val="231F20"/>
          <w:spacing w:val="-48"/>
          <w:w w:val="105"/>
        </w:rPr>
        <w:t> </w:t>
      </w:r>
      <w:r>
        <w:rPr>
          <w:color w:val="231F20"/>
          <w:w w:val="105"/>
        </w:rPr>
        <w:t>procedimento</w:t>
      </w:r>
      <w:r>
        <w:rPr>
          <w:color w:val="231F20"/>
          <w:spacing w:val="-48"/>
          <w:w w:val="105"/>
        </w:rPr>
        <w:t> </w:t>
      </w:r>
      <w:r>
        <w:rPr>
          <w:color w:val="231F20"/>
          <w:w w:val="105"/>
        </w:rPr>
        <w:t>amministrativo,</w:t>
      </w:r>
      <w:r>
        <w:rPr>
          <w:color w:val="231F20"/>
          <w:spacing w:val="-48"/>
          <w:w w:val="105"/>
        </w:rPr>
        <w:t> </w:t>
      </w:r>
      <w:r>
        <w:rPr>
          <w:color w:val="231F20"/>
          <w:w w:val="105"/>
        </w:rPr>
        <w:t>come</w:t>
      </w:r>
      <w:r>
        <w:rPr>
          <w:color w:val="231F20"/>
          <w:spacing w:val="-48"/>
          <w:w w:val="105"/>
        </w:rPr>
        <w:t> </w:t>
      </w:r>
      <w:r>
        <w:rPr>
          <w:color w:val="231F20"/>
          <w:w w:val="105"/>
        </w:rPr>
        <w:t>pure</w:t>
      </w:r>
      <w:r>
        <w:rPr>
          <w:color w:val="231F20"/>
          <w:spacing w:val="-48"/>
          <w:w w:val="105"/>
        </w:rPr>
        <w:t> </w:t>
      </w:r>
      <w:r>
        <w:rPr>
          <w:color w:val="231F20"/>
          <w:w w:val="105"/>
        </w:rPr>
        <w:t>all’attuazione</w:t>
      </w:r>
      <w:r>
        <w:rPr>
          <w:color w:val="231F20"/>
          <w:spacing w:val="-48"/>
          <w:w w:val="105"/>
        </w:rPr>
        <w:t> </w:t>
      </w:r>
      <w:r>
        <w:rPr>
          <w:color w:val="231F20"/>
          <w:w w:val="105"/>
        </w:rPr>
        <w:t>delle sue</w:t>
      </w:r>
      <w:r>
        <w:rPr>
          <w:color w:val="231F20"/>
          <w:spacing w:val="-36"/>
          <w:w w:val="105"/>
        </w:rPr>
        <w:t> </w:t>
      </w:r>
      <w:r>
        <w:rPr>
          <w:color w:val="231F20"/>
          <w:w w:val="105"/>
        </w:rPr>
        <w:t>“misure”,</w:t>
      </w:r>
      <w:r>
        <w:rPr>
          <w:color w:val="231F20"/>
          <w:spacing w:val="-36"/>
          <w:w w:val="105"/>
        </w:rPr>
        <w:t> </w:t>
      </w:r>
      <w:r>
        <w:rPr>
          <w:color w:val="231F20"/>
          <w:w w:val="105"/>
        </w:rPr>
        <w:t>sempre</w:t>
      </w:r>
      <w:r>
        <w:rPr>
          <w:color w:val="231F20"/>
          <w:spacing w:val="-36"/>
          <w:w w:val="105"/>
        </w:rPr>
        <w:t> </w:t>
      </w:r>
      <w:r>
        <w:rPr>
          <w:color w:val="231F20"/>
          <w:w w:val="105"/>
        </w:rPr>
        <w:t>più</w:t>
      </w:r>
      <w:r>
        <w:rPr>
          <w:color w:val="231F20"/>
          <w:spacing w:val="-36"/>
          <w:w w:val="105"/>
        </w:rPr>
        <w:t> </w:t>
      </w:r>
      <w:r>
        <w:rPr>
          <w:color w:val="231F20"/>
          <w:w w:val="105"/>
        </w:rPr>
        <w:t>regolative</w:t>
      </w:r>
      <w:r>
        <w:rPr>
          <w:color w:val="231F20"/>
          <w:spacing w:val="-36"/>
          <w:w w:val="105"/>
        </w:rPr>
        <w:t> </w:t>
      </w:r>
      <w:r>
        <w:rPr>
          <w:color w:val="231F20"/>
          <w:w w:val="105"/>
        </w:rPr>
        <w:t>—accanto</w:t>
      </w:r>
      <w:r>
        <w:rPr>
          <w:color w:val="231F20"/>
          <w:spacing w:val="-36"/>
          <w:w w:val="105"/>
        </w:rPr>
        <w:t> </w:t>
      </w:r>
      <w:r>
        <w:rPr>
          <w:color w:val="231F20"/>
          <w:w w:val="105"/>
        </w:rPr>
        <w:t>e</w:t>
      </w:r>
      <w:r>
        <w:rPr>
          <w:color w:val="231F20"/>
          <w:spacing w:val="-36"/>
          <w:w w:val="105"/>
        </w:rPr>
        <w:t> </w:t>
      </w:r>
      <w:r>
        <w:rPr>
          <w:color w:val="231F20"/>
          <w:w w:val="105"/>
        </w:rPr>
        <w:t>al</w:t>
      </w:r>
      <w:r>
        <w:rPr>
          <w:color w:val="231F20"/>
          <w:spacing w:val="-36"/>
          <w:w w:val="105"/>
        </w:rPr>
        <w:t> </w:t>
      </w:r>
      <w:r>
        <w:rPr>
          <w:color w:val="231F20"/>
          <w:w w:val="105"/>
        </w:rPr>
        <w:t>posto</w:t>
      </w:r>
      <w:r>
        <w:rPr>
          <w:color w:val="231F20"/>
          <w:spacing w:val="-36"/>
          <w:w w:val="105"/>
        </w:rPr>
        <w:t> </w:t>
      </w:r>
      <w:r>
        <w:rPr>
          <w:color w:val="231F20"/>
          <w:w w:val="105"/>
        </w:rPr>
        <w:t>delle</w:t>
      </w:r>
      <w:r>
        <w:rPr>
          <w:color w:val="231F20"/>
          <w:spacing w:val="-36"/>
          <w:w w:val="105"/>
        </w:rPr>
        <w:t> </w:t>
      </w:r>
      <w:r>
        <w:rPr>
          <w:color w:val="231F20"/>
          <w:w w:val="105"/>
        </w:rPr>
        <w:t>leggi—</w:t>
      </w:r>
      <w:r>
        <w:rPr>
          <w:color w:val="231F20"/>
          <w:spacing w:val="-36"/>
          <w:w w:val="105"/>
        </w:rPr>
        <w:t> </w:t>
      </w:r>
      <w:r>
        <w:rPr>
          <w:color w:val="231F20"/>
          <w:w w:val="105"/>
        </w:rPr>
        <w:t>della vita</w:t>
      </w:r>
      <w:r>
        <w:rPr>
          <w:color w:val="231F20"/>
          <w:spacing w:val="-48"/>
          <w:w w:val="105"/>
        </w:rPr>
        <w:t> </w:t>
      </w:r>
      <w:r>
        <w:rPr>
          <w:color w:val="231F20"/>
          <w:w w:val="105"/>
        </w:rPr>
        <w:t>in</w:t>
      </w:r>
      <w:r>
        <w:rPr>
          <w:color w:val="231F20"/>
          <w:spacing w:val="-48"/>
          <w:w w:val="105"/>
        </w:rPr>
        <w:t> </w:t>
      </w:r>
      <w:r>
        <w:rPr>
          <w:color w:val="231F20"/>
          <w:w w:val="105"/>
        </w:rPr>
        <w:t>comune</w:t>
      </w:r>
      <w:r>
        <w:rPr>
          <w:color w:val="231F20"/>
          <w:w w:val="105"/>
          <w:position w:val="7"/>
          <w:sz w:val="12"/>
        </w:rPr>
        <w:t>43</w:t>
      </w:r>
      <w:r>
        <w:rPr>
          <w:color w:val="231F20"/>
          <w:w w:val="105"/>
        </w:rPr>
        <w:t>.</w:t>
      </w:r>
    </w:p>
    <w:p>
      <w:pPr>
        <w:pStyle w:val="BodyText"/>
        <w:spacing w:line="244" w:lineRule="auto"/>
        <w:ind w:left="117" w:right="121" w:firstLine="566"/>
        <w:jc w:val="both"/>
      </w:pPr>
      <w:r>
        <w:rPr>
          <w:color w:val="231F20"/>
        </w:rPr>
        <w:t>Una prospettiva del genere richiede forte concentrazione sulla reale consistenza</w:t>
      </w:r>
      <w:r>
        <w:rPr>
          <w:color w:val="231F20"/>
          <w:spacing w:val="-14"/>
        </w:rPr>
        <w:t> </w:t>
      </w:r>
      <w:r>
        <w:rPr>
          <w:color w:val="231F20"/>
        </w:rPr>
        <w:t>del</w:t>
      </w:r>
      <w:r>
        <w:rPr>
          <w:color w:val="231F20"/>
          <w:spacing w:val="-14"/>
        </w:rPr>
        <w:t> </w:t>
      </w:r>
      <w:r>
        <w:rPr>
          <w:color w:val="231F20"/>
        </w:rPr>
        <w:t>modello–Stato,</w:t>
      </w:r>
      <w:r>
        <w:rPr>
          <w:color w:val="231F20"/>
          <w:spacing w:val="-14"/>
        </w:rPr>
        <w:t> </w:t>
      </w:r>
      <w:r>
        <w:rPr>
          <w:color w:val="231F20"/>
        </w:rPr>
        <w:t>che</w:t>
      </w:r>
      <w:r>
        <w:rPr>
          <w:color w:val="231F20"/>
          <w:spacing w:val="-14"/>
        </w:rPr>
        <w:t> </w:t>
      </w:r>
      <w:r>
        <w:rPr>
          <w:color w:val="231F20"/>
        </w:rPr>
        <w:t>va</w:t>
      </w:r>
      <w:r>
        <w:rPr>
          <w:color w:val="231F20"/>
          <w:spacing w:val="-14"/>
        </w:rPr>
        <w:t> </w:t>
      </w:r>
      <w:r>
        <w:rPr>
          <w:color w:val="231F20"/>
        </w:rPr>
        <w:t>sottratto</w:t>
      </w:r>
      <w:r>
        <w:rPr>
          <w:color w:val="231F20"/>
          <w:spacing w:val="-14"/>
        </w:rPr>
        <w:t> </w:t>
      </w:r>
      <w:r>
        <w:rPr>
          <w:color w:val="231F20"/>
        </w:rPr>
        <w:t>al</w:t>
      </w:r>
      <w:r>
        <w:rPr>
          <w:color w:val="231F20"/>
          <w:spacing w:val="-14"/>
        </w:rPr>
        <w:t> </w:t>
      </w:r>
      <w:r>
        <w:rPr>
          <w:color w:val="231F20"/>
        </w:rPr>
        <w:t>mito</w:t>
      </w:r>
      <w:r>
        <w:rPr>
          <w:color w:val="231F20"/>
          <w:spacing w:val="-14"/>
        </w:rPr>
        <w:t> </w:t>
      </w:r>
      <w:r>
        <w:rPr>
          <w:color w:val="231F20"/>
        </w:rPr>
        <w:t>storico–europeistico in cui dal Rinascimento in poi si è incistato. Anche questo è un passo</w:t>
      </w:r>
      <w:r>
        <w:rPr>
          <w:color w:val="231F20"/>
          <w:spacing w:val="-42"/>
        </w:rPr>
        <w:t> </w:t>
      </w:r>
      <w:r>
        <w:rPr>
          <w:color w:val="231F20"/>
        </w:rPr>
        <w:t>verso quella “provincializzazione” dell’Europa che mi sembra il presupposto per un ribaltamento della </w:t>
      </w:r>
      <w:r>
        <w:rPr>
          <w:rFonts w:ascii="Arial" w:hAnsi="Arial"/>
          <w:i/>
          <w:color w:val="231F20"/>
        </w:rPr>
        <w:t>Welt–Anschauung </w:t>
      </w:r>
      <w:r>
        <w:rPr>
          <w:color w:val="231F20"/>
        </w:rPr>
        <w:t>da cui la grandissima parte delle nostre letture, anche critico–estreme, continuano a dipendere restandone condizionate.</w:t>
      </w:r>
    </w:p>
    <w:p>
      <w:pPr>
        <w:pStyle w:val="BodyText"/>
        <w:spacing w:line="247" w:lineRule="auto" w:before="1"/>
        <w:ind w:left="117" w:right="113" w:firstLine="566"/>
        <w:jc w:val="both"/>
      </w:pPr>
      <w:r>
        <w:rPr>
          <w:color w:val="231F20"/>
        </w:rPr>
        <w:t>Tiziano Bonazzi aveva brillantemente definito “sacro” l’esperimento dei Padri americani sbarcati in Massachusetts ai primi del Seicento per fondarvi una colonia, con “scopi di natura religiosa”</w:t>
      </w:r>
      <w:r>
        <w:rPr>
          <w:color w:val="231F20"/>
          <w:position w:val="7"/>
          <w:sz w:val="12"/>
        </w:rPr>
        <w:t>44</w:t>
      </w:r>
      <w:r>
        <w:rPr>
          <w:color w:val="231F20"/>
        </w:rPr>
        <w:t>. Ma naturalmente  ci</w:t>
      </w:r>
    </w:p>
    <w:p>
      <w:pPr>
        <w:pStyle w:val="BodyText"/>
        <w:spacing w:before="2"/>
        <w:rPr>
          <w:sz w:val="26"/>
        </w:rPr>
      </w:pPr>
      <w:r>
        <w:rPr/>
        <w:pict>
          <v:line style="position:absolute;mso-position-horizontal-relative:page;mso-position-vertical-relative:paragraph;z-index:12952;mso-wrap-distance-left:0;mso-wrap-distance-right:0" from="70.866096pt,17.906984pt" to="184.252096pt,17.906984pt" stroked="true" strokeweight=".3pt" strokecolor="#231f20">
            <w10:wrap type="topAndBottom"/>
          </v:line>
        </w:pict>
      </w:r>
    </w:p>
    <w:p>
      <w:pPr>
        <w:spacing w:line="206" w:lineRule="exact" w:before="10"/>
        <w:ind w:left="117" w:right="0" w:firstLine="0"/>
        <w:jc w:val="left"/>
        <w:rPr>
          <w:rFonts w:ascii="Calibri" w:hAnsi="Calibri"/>
          <w:i/>
          <w:sz w:val="17"/>
        </w:rPr>
      </w:pPr>
      <w:r>
        <w:rPr>
          <w:rFonts w:ascii="Calibri" w:hAnsi="Calibri"/>
          <w:color w:val="231F20"/>
          <w:position w:val="6"/>
          <w:sz w:val="10"/>
        </w:rPr>
        <w:t>43  </w:t>
      </w:r>
      <w:r>
        <w:rPr>
          <w:rFonts w:ascii="Calibri" w:hAnsi="Calibri"/>
          <w:color w:val="231F20"/>
          <w:sz w:val="17"/>
        </w:rPr>
        <w:t>P. Schiera, “Misura per misura. Dalla global polity al buon governo e ritorno”, </w:t>
      </w:r>
      <w:r>
        <w:rPr>
          <w:rFonts w:ascii="Calibri" w:hAnsi="Calibri"/>
          <w:i/>
          <w:color w:val="231F20"/>
          <w:sz w:val="17"/>
        </w:rPr>
        <w:t>Scienza &amp; Politica</w:t>
      </w:r>
    </w:p>
    <w:p>
      <w:pPr>
        <w:spacing w:line="235" w:lineRule="auto" w:before="1"/>
        <w:ind w:left="117" w:right="0" w:firstLine="0"/>
        <w:jc w:val="left"/>
        <w:rPr>
          <w:rFonts w:ascii="Calibri" w:hAnsi="Calibri"/>
          <w:sz w:val="17"/>
        </w:rPr>
      </w:pPr>
      <w:r>
        <w:rPr>
          <w:rFonts w:ascii="Calibri" w:hAnsi="Calibri"/>
          <w:i/>
          <w:color w:val="231F20"/>
          <w:sz w:val="17"/>
        </w:rPr>
        <w:t>—Deposito</w:t>
      </w:r>
      <w:r>
        <w:rPr>
          <w:rFonts w:ascii="Calibri" w:hAnsi="Calibri"/>
          <w:color w:val="231F20"/>
          <w:sz w:val="17"/>
        </w:rPr>
        <w:t>, no. 1, 2015, disponibile all’indirizzo: </w:t>
      </w:r>
      <w:hyperlink r:id="rId66">
        <w:r>
          <w:rPr>
            <w:rFonts w:ascii="Calibri" w:hAnsi="Calibri"/>
            <w:color w:val="231F20"/>
            <w:sz w:val="17"/>
          </w:rPr>
          <w:t>http://scienzaepolitica.unibo.it/pages/view/</w:t>
        </w:r>
      </w:hyperlink>
      <w:r>
        <w:rPr>
          <w:rFonts w:ascii="Calibri" w:hAnsi="Calibri"/>
          <w:color w:val="231F20"/>
          <w:sz w:val="17"/>
        </w:rPr>
        <w:t> repository.</w:t>
      </w:r>
    </w:p>
    <w:p>
      <w:pPr>
        <w:spacing w:line="205" w:lineRule="exact" w:before="0"/>
        <w:ind w:left="117" w:right="0" w:firstLine="0"/>
        <w:jc w:val="left"/>
        <w:rPr>
          <w:rFonts w:ascii="Calibri" w:hAnsi="Calibri"/>
          <w:sz w:val="17"/>
        </w:rPr>
      </w:pPr>
      <w:r>
        <w:rPr>
          <w:rFonts w:ascii="Calibri" w:hAnsi="Calibri"/>
          <w:color w:val="231F20"/>
          <w:position w:val="6"/>
          <w:sz w:val="10"/>
        </w:rPr>
        <w:t>44 </w:t>
      </w:r>
      <w:r>
        <w:rPr>
          <w:rFonts w:ascii="Calibri" w:hAnsi="Calibri"/>
          <w:color w:val="231F20"/>
          <w:spacing w:val="-11"/>
          <w:sz w:val="17"/>
        </w:rPr>
        <w:t>T. </w:t>
      </w:r>
      <w:r>
        <w:rPr>
          <w:rFonts w:ascii="Calibri" w:hAnsi="Calibri"/>
          <w:color w:val="231F20"/>
          <w:spacing w:val="-3"/>
          <w:sz w:val="17"/>
        </w:rPr>
        <w:t>Bonazzi, </w:t>
      </w:r>
      <w:r>
        <w:rPr>
          <w:rFonts w:ascii="Calibri" w:hAnsi="Calibri"/>
          <w:i/>
          <w:color w:val="231F20"/>
          <w:sz w:val="17"/>
        </w:rPr>
        <w:t>Il </w:t>
      </w:r>
      <w:r>
        <w:rPr>
          <w:rFonts w:ascii="Calibri" w:hAnsi="Calibri"/>
          <w:i/>
          <w:color w:val="231F20"/>
          <w:spacing w:val="-3"/>
          <w:sz w:val="17"/>
        </w:rPr>
        <w:t>sacro esperimento. </w:t>
      </w:r>
      <w:r>
        <w:rPr>
          <w:rFonts w:ascii="Calibri" w:hAnsi="Calibri"/>
          <w:i/>
          <w:color w:val="231F20"/>
          <w:spacing w:val="-5"/>
          <w:sz w:val="17"/>
        </w:rPr>
        <w:t>Teologia </w:t>
      </w:r>
      <w:r>
        <w:rPr>
          <w:rFonts w:ascii="Calibri" w:hAnsi="Calibri"/>
          <w:i/>
          <w:color w:val="231F20"/>
          <w:sz w:val="17"/>
        </w:rPr>
        <w:t>e </w:t>
      </w:r>
      <w:r>
        <w:rPr>
          <w:rFonts w:ascii="Calibri" w:hAnsi="Calibri"/>
          <w:i/>
          <w:color w:val="231F20"/>
          <w:spacing w:val="-3"/>
          <w:sz w:val="17"/>
        </w:rPr>
        <w:t>politica </w:t>
      </w:r>
      <w:r>
        <w:rPr>
          <w:rFonts w:ascii="Calibri" w:hAnsi="Calibri"/>
          <w:i/>
          <w:color w:val="231F20"/>
          <w:spacing w:val="-4"/>
          <w:sz w:val="17"/>
        </w:rPr>
        <w:t>nell’America </w:t>
      </w:r>
      <w:r>
        <w:rPr>
          <w:rFonts w:ascii="Calibri" w:hAnsi="Calibri"/>
          <w:i/>
          <w:color w:val="231F20"/>
          <w:spacing w:val="-3"/>
          <w:sz w:val="17"/>
        </w:rPr>
        <w:t>puritana</w:t>
      </w:r>
      <w:r>
        <w:rPr>
          <w:rFonts w:ascii="Calibri" w:hAnsi="Calibri"/>
          <w:color w:val="231F20"/>
          <w:spacing w:val="-3"/>
          <w:sz w:val="17"/>
        </w:rPr>
        <w:t>, Bologna, </w:t>
      </w:r>
      <w:r>
        <w:rPr>
          <w:rFonts w:ascii="Calibri" w:hAnsi="Calibri"/>
          <w:color w:val="231F20"/>
          <w:sz w:val="17"/>
        </w:rPr>
        <w:t>il </w:t>
      </w:r>
      <w:r>
        <w:rPr>
          <w:rFonts w:ascii="Calibri" w:hAnsi="Calibri"/>
          <w:color w:val="231F20"/>
          <w:spacing w:val="-3"/>
          <w:sz w:val="17"/>
        </w:rPr>
        <w:t>Mulino, </w:t>
      </w:r>
      <w:r>
        <w:rPr>
          <w:rFonts w:ascii="Calibri" w:hAnsi="Calibri"/>
          <w:color w:val="231F20"/>
          <w:spacing w:val="-4"/>
          <w:sz w:val="17"/>
        </w:rPr>
        <w:t>1970, </w:t>
      </w:r>
      <w:r>
        <w:rPr>
          <w:rFonts w:ascii="Calibri" w:hAnsi="Calibri"/>
          <w:color w:val="231F20"/>
          <w:sz w:val="17"/>
        </w:rPr>
        <w:t>p. </w:t>
      </w:r>
      <w:r>
        <w:rPr>
          <w:rFonts w:ascii="Calibri" w:hAnsi="Calibri"/>
          <w:color w:val="231F20"/>
          <w:spacing w:val="-3"/>
          <w:sz w:val="17"/>
        </w:rPr>
        <w:t>8.</w:t>
      </w:r>
    </w:p>
    <w:p>
      <w:pPr>
        <w:spacing w:after="0" w:line="205" w:lineRule="exact"/>
        <w:jc w:val="left"/>
        <w:rPr>
          <w:rFonts w:ascii="Calibri" w:hAnsi="Calibri"/>
          <w:sz w:val="17"/>
        </w:rPr>
        <w:sectPr>
          <w:pgSz w:w="9640" w:h="13890"/>
          <w:pgMar w:top="0" w:bottom="280" w:left="1300" w:right="1180"/>
        </w:sectPr>
      </w:pPr>
    </w:p>
    <w:p>
      <w:pPr>
        <w:pStyle w:val="BodyText"/>
        <w:spacing w:line="247" w:lineRule="auto" w:before="107"/>
        <w:ind w:left="103" w:right="110"/>
        <w:jc w:val="both"/>
      </w:pPr>
      <w:r>
        <w:rPr>
          <w:color w:val="231F20"/>
          <w:w w:val="105"/>
        </w:rPr>
        <w:t>furono</w:t>
      </w:r>
      <w:r>
        <w:rPr>
          <w:color w:val="231F20"/>
          <w:spacing w:val="-21"/>
          <w:w w:val="105"/>
        </w:rPr>
        <w:t> </w:t>
      </w:r>
      <w:r>
        <w:rPr>
          <w:color w:val="231F20"/>
          <w:w w:val="105"/>
        </w:rPr>
        <w:t>anche</w:t>
      </w:r>
      <w:r>
        <w:rPr>
          <w:color w:val="231F20"/>
          <w:spacing w:val="-21"/>
          <w:w w:val="105"/>
        </w:rPr>
        <w:t> </w:t>
      </w:r>
      <w:r>
        <w:rPr>
          <w:color w:val="231F20"/>
          <w:w w:val="105"/>
        </w:rPr>
        <w:t>esiti</w:t>
      </w:r>
      <w:r>
        <w:rPr>
          <w:color w:val="231F20"/>
          <w:spacing w:val="-21"/>
          <w:w w:val="105"/>
        </w:rPr>
        <w:t> </w:t>
      </w:r>
      <w:r>
        <w:rPr>
          <w:color w:val="231F20"/>
          <w:w w:val="105"/>
        </w:rPr>
        <w:t>più</w:t>
      </w:r>
      <w:r>
        <w:rPr>
          <w:color w:val="231F20"/>
          <w:spacing w:val="-21"/>
          <w:w w:val="105"/>
        </w:rPr>
        <w:t> </w:t>
      </w:r>
      <w:r>
        <w:rPr>
          <w:color w:val="231F20"/>
          <w:w w:val="105"/>
        </w:rPr>
        <w:t>prosaici,</w:t>
      </w:r>
      <w:r>
        <w:rPr>
          <w:color w:val="231F20"/>
          <w:spacing w:val="-21"/>
          <w:w w:val="105"/>
        </w:rPr>
        <w:t> </w:t>
      </w:r>
      <w:r>
        <w:rPr>
          <w:color w:val="231F20"/>
          <w:w w:val="105"/>
        </w:rPr>
        <w:t>compreso</w:t>
      </w:r>
      <w:r>
        <w:rPr>
          <w:color w:val="231F20"/>
          <w:spacing w:val="-21"/>
          <w:w w:val="105"/>
        </w:rPr>
        <w:t> </w:t>
      </w:r>
      <w:r>
        <w:rPr>
          <w:color w:val="231F20"/>
          <w:w w:val="105"/>
        </w:rPr>
        <w:t>quello</w:t>
      </w:r>
      <w:r>
        <w:rPr>
          <w:color w:val="231F20"/>
          <w:spacing w:val="-21"/>
          <w:w w:val="105"/>
        </w:rPr>
        <w:t> </w:t>
      </w:r>
      <w:r>
        <w:rPr>
          <w:color w:val="231F20"/>
          <w:w w:val="105"/>
        </w:rPr>
        <w:t>politico–costituzionale</w:t>
      </w:r>
      <w:r>
        <w:rPr>
          <w:color w:val="231F20"/>
          <w:spacing w:val="-21"/>
          <w:w w:val="105"/>
        </w:rPr>
        <w:t> </w:t>
      </w:r>
      <w:r>
        <w:rPr>
          <w:color w:val="231F20"/>
          <w:w w:val="105"/>
        </w:rPr>
        <w:t>di una</w:t>
      </w:r>
      <w:r>
        <w:rPr>
          <w:color w:val="231F20"/>
          <w:spacing w:val="-16"/>
          <w:w w:val="105"/>
        </w:rPr>
        <w:t> </w:t>
      </w:r>
      <w:r>
        <w:rPr>
          <w:rFonts w:ascii="Arial" w:hAnsi="Arial"/>
          <w:i/>
          <w:color w:val="231F20"/>
          <w:w w:val="105"/>
        </w:rPr>
        <w:t>Rivoluzione</w:t>
      </w:r>
      <w:r>
        <w:rPr>
          <w:rFonts w:ascii="Arial" w:hAnsi="Arial"/>
          <w:i/>
          <w:color w:val="231F20"/>
          <w:spacing w:val="-8"/>
          <w:w w:val="105"/>
        </w:rPr>
        <w:t> </w:t>
      </w:r>
      <w:r>
        <w:rPr>
          <w:rFonts w:ascii="Arial" w:hAnsi="Arial"/>
          <w:i/>
          <w:color w:val="231F20"/>
          <w:w w:val="105"/>
        </w:rPr>
        <w:t>per</w:t>
      </w:r>
      <w:r>
        <w:rPr>
          <w:rFonts w:ascii="Arial" w:hAnsi="Arial"/>
          <w:i/>
          <w:color w:val="231F20"/>
          <w:spacing w:val="-8"/>
          <w:w w:val="105"/>
        </w:rPr>
        <w:t> </w:t>
      </w:r>
      <w:r>
        <w:rPr>
          <w:rFonts w:ascii="Arial" w:hAnsi="Arial"/>
          <w:i/>
          <w:color w:val="231F20"/>
          <w:w w:val="105"/>
        </w:rPr>
        <w:t>lo</w:t>
      </w:r>
      <w:r>
        <w:rPr>
          <w:rFonts w:ascii="Arial" w:hAnsi="Arial"/>
          <w:i/>
          <w:color w:val="231F20"/>
          <w:spacing w:val="-8"/>
          <w:w w:val="105"/>
        </w:rPr>
        <w:t> </w:t>
      </w:r>
      <w:r>
        <w:rPr>
          <w:rFonts w:ascii="Arial" w:hAnsi="Arial"/>
          <w:i/>
          <w:color w:val="231F20"/>
          <w:w w:val="105"/>
        </w:rPr>
        <w:t>Stato</w:t>
      </w:r>
      <w:r>
        <w:rPr>
          <w:color w:val="231F20"/>
          <w:w w:val="105"/>
          <w:position w:val="7"/>
          <w:sz w:val="12"/>
        </w:rPr>
        <w:t>45</w:t>
      </w:r>
      <w:r>
        <w:rPr>
          <w:color w:val="231F20"/>
          <w:w w:val="105"/>
        </w:rPr>
        <w:t>.</w:t>
      </w:r>
      <w:r>
        <w:rPr>
          <w:color w:val="231F20"/>
          <w:spacing w:val="-16"/>
          <w:w w:val="105"/>
        </w:rPr>
        <w:t> </w:t>
      </w:r>
      <w:r>
        <w:rPr>
          <w:color w:val="231F20"/>
          <w:w w:val="105"/>
        </w:rPr>
        <w:t>Scontato</w:t>
      </w:r>
      <w:r>
        <w:rPr>
          <w:color w:val="231F20"/>
          <w:spacing w:val="-16"/>
          <w:w w:val="105"/>
        </w:rPr>
        <w:t> </w:t>
      </w:r>
      <w:r>
        <w:rPr>
          <w:color w:val="231F20"/>
          <w:w w:val="105"/>
        </w:rPr>
        <w:t>l’input</w:t>
      </w:r>
      <w:r>
        <w:rPr>
          <w:color w:val="231F20"/>
          <w:spacing w:val="-16"/>
          <w:w w:val="105"/>
        </w:rPr>
        <w:t> </w:t>
      </w:r>
      <w:r>
        <w:rPr>
          <w:color w:val="231F20"/>
          <w:w w:val="105"/>
        </w:rPr>
        <w:t>europeo</w:t>
      </w:r>
      <w:r>
        <w:rPr>
          <w:color w:val="231F20"/>
          <w:spacing w:val="-16"/>
          <w:w w:val="105"/>
        </w:rPr>
        <w:t> </w:t>
      </w:r>
      <w:r>
        <w:rPr>
          <w:color w:val="231F20"/>
          <w:w w:val="105"/>
        </w:rPr>
        <w:t>dell’operazione, se</w:t>
      </w:r>
      <w:r>
        <w:rPr>
          <w:color w:val="231F20"/>
          <w:spacing w:val="-7"/>
          <w:w w:val="105"/>
        </w:rPr>
        <w:t> </w:t>
      </w:r>
      <w:r>
        <w:rPr>
          <w:color w:val="231F20"/>
          <w:w w:val="105"/>
        </w:rPr>
        <w:t>ne</w:t>
      </w:r>
      <w:r>
        <w:rPr>
          <w:color w:val="231F20"/>
          <w:spacing w:val="-7"/>
          <w:w w:val="105"/>
        </w:rPr>
        <w:t> </w:t>
      </w:r>
      <w:r>
        <w:rPr>
          <w:color w:val="231F20"/>
          <w:w w:val="105"/>
        </w:rPr>
        <w:t>sottovaluta</w:t>
      </w:r>
      <w:r>
        <w:rPr>
          <w:color w:val="231F20"/>
          <w:spacing w:val="-7"/>
          <w:w w:val="105"/>
        </w:rPr>
        <w:t> </w:t>
      </w:r>
      <w:r>
        <w:rPr>
          <w:color w:val="231F20"/>
          <w:w w:val="105"/>
        </w:rPr>
        <w:t>forse</w:t>
      </w:r>
      <w:r>
        <w:rPr>
          <w:color w:val="231F20"/>
          <w:spacing w:val="-7"/>
          <w:w w:val="105"/>
        </w:rPr>
        <w:t> </w:t>
      </w:r>
      <w:r>
        <w:rPr>
          <w:color w:val="231F20"/>
          <w:w w:val="105"/>
        </w:rPr>
        <w:t>il</w:t>
      </w:r>
      <w:r>
        <w:rPr>
          <w:color w:val="231F20"/>
          <w:spacing w:val="-7"/>
          <w:w w:val="105"/>
        </w:rPr>
        <w:t> </w:t>
      </w:r>
      <w:r>
        <w:rPr>
          <w:color w:val="231F20"/>
          <w:w w:val="105"/>
        </w:rPr>
        <w:t>feed–back,</w:t>
      </w:r>
      <w:r>
        <w:rPr>
          <w:color w:val="231F20"/>
          <w:spacing w:val="-7"/>
          <w:w w:val="105"/>
        </w:rPr>
        <w:t> </w:t>
      </w:r>
      <w:r>
        <w:rPr>
          <w:color w:val="231F20"/>
          <w:w w:val="105"/>
        </w:rPr>
        <w:t>a</w:t>
      </w:r>
      <w:r>
        <w:rPr>
          <w:color w:val="231F20"/>
          <w:spacing w:val="-7"/>
          <w:w w:val="105"/>
        </w:rPr>
        <w:t> </w:t>
      </w:r>
      <w:r>
        <w:rPr>
          <w:color w:val="231F20"/>
          <w:w w:val="105"/>
        </w:rPr>
        <w:t>cui</w:t>
      </w:r>
      <w:r>
        <w:rPr>
          <w:color w:val="231F20"/>
          <w:spacing w:val="-7"/>
          <w:w w:val="105"/>
        </w:rPr>
        <w:t> </w:t>
      </w:r>
      <w:r>
        <w:rPr>
          <w:color w:val="231F20"/>
          <w:w w:val="105"/>
        </w:rPr>
        <w:t>risale</w:t>
      </w:r>
      <w:r>
        <w:rPr>
          <w:color w:val="231F20"/>
          <w:spacing w:val="-7"/>
          <w:w w:val="105"/>
        </w:rPr>
        <w:t> </w:t>
      </w:r>
      <w:r>
        <w:rPr>
          <w:color w:val="231F20"/>
          <w:w w:val="105"/>
        </w:rPr>
        <w:t>la</w:t>
      </w:r>
      <w:r>
        <w:rPr>
          <w:color w:val="231F20"/>
          <w:spacing w:val="-7"/>
          <w:w w:val="105"/>
        </w:rPr>
        <w:t> </w:t>
      </w:r>
      <w:r>
        <w:rPr>
          <w:color w:val="231F20"/>
          <w:w w:val="105"/>
        </w:rPr>
        <w:t>creazione</w:t>
      </w:r>
      <w:r>
        <w:rPr>
          <w:color w:val="231F20"/>
          <w:spacing w:val="-7"/>
          <w:w w:val="105"/>
        </w:rPr>
        <w:t> </w:t>
      </w:r>
      <w:r>
        <w:rPr>
          <w:color w:val="231F20"/>
          <w:w w:val="105"/>
        </w:rPr>
        <w:t>di</w:t>
      </w:r>
      <w:r>
        <w:rPr>
          <w:color w:val="231F20"/>
          <w:spacing w:val="-7"/>
          <w:w w:val="105"/>
        </w:rPr>
        <w:t> </w:t>
      </w:r>
      <w:r>
        <w:rPr>
          <w:color w:val="231F20"/>
          <w:w w:val="105"/>
        </w:rPr>
        <w:t>un</w:t>
      </w:r>
      <w:r>
        <w:rPr>
          <w:color w:val="231F20"/>
          <w:spacing w:val="-7"/>
          <w:w w:val="105"/>
        </w:rPr>
        <w:t> </w:t>
      </w:r>
      <w:r>
        <w:rPr>
          <w:color w:val="231F20"/>
          <w:w w:val="105"/>
        </w:rPr>
        <w:t>clima politico</w:t>
      </w:r>
      <w:r>
        <w:rPr>
          <w:color w:val="231F20"/>
          <w:spacing w:val="-13"/>
          <w:w w:val="105"/>
        </w:rPr>
        <w:t> </w:t>
      </w:r>
      <w:r>
        <w:rPr>
          <w:color w:val="231F20"/>
          <w:w w:val="105"/>
        </w:rPr>
        <w:t>“atlantico”.</w:t>
      </w:r>
      <w:r>
        <w:rPr>
          <w:color w:val="231F20"/>
          <w:spacing w:val="-13"/>
          <w:w w:val="105"/>
        </w:rPr>
        <w:t> </w:t>
      </w:r>
      <w:r>
        <w:rPr>
          <w:color w:val="231F20"/>
          <w:w w:val="105"/>
        </w:rPr>
        <w:t>Mi</w:t>
      </w:r>
      <w:r>
        <w:rPr>
          <w:color w:val="231F20"/>
          <w:spacing w:val="-13"/>
          <w:w w:val="105"/>
        </w:rPr>
        <w:t> </w:t>
      </w:r>
      <w:r>
        <w:rPr>
          <w:color w:val="231F20"/>
          <w:w w:val="105"/>
        </w:rPr>
        <w:t>pare</w:t>
      </w:r>
      <w:r>
        <w:rPr>
          <w:color w:val="231F20"/>
          <w:spacing w:val="-13"/>
          <w:w w:val="105"/>
        </w:rPr>
        <w:t> </w:t>
      </w:r>
      <w:r>
        <w:rPr>
          <w:color w:val="231F20"/>
          <w:w w:val="105"/>
        </w:rPr>
        <w:t>indiscutibile</w:t>
      </w:r>
      <w:r>
        <w:rPr>
          <w:color w:val="231F20"/>
          <w:spacing w:val="-13"/>
          <w:w w:val="105"/>
        </w:rPr>
        <w:t> </w:t>
      </w:r>
      <w:r>
        <w:rPr>
          <w:color w:val="231F20"/>
          <w:w w:val="105"/>
        </w:rPr>
        <w:t>che</w:t>
      </w:r>
      <w:r>
        <w:rPr>
          <w:color w:val="231F20"/>
          <w:spacing w:val="-13"/>
          <w:w w:val="105"/>
        </w:rPr>
        <w:t> </w:t>
      </w:r>
      <w:r>
        <w:rPr>
          <w:color w:val="231F20"/>
          <w:w w:val="105"/>
        </w:rPr>
        <w:t>quel</w:t>
      </w:r>
      <w:r>
        <w:rPr>
          <w:color w:val="231F20"/>
          <w:spacing w:val="-13"/>
          <w:w w:val="105"/>
        </w:rPr>
        <w:t> </w:t>
      </w:r>
      <w:r>
        <w:rPr>
          <w:color w:val="231F20"/>
          <w:w w:val="105"/>
        </w:rPr>
        <w:t>clima</w:t>
      </w:r>
      <w:r>
        <w:rPr>
          <w:color w:val="231F20"/>
          <w:spacing w:val="-13"/>
          <w:w w:val="105"/>
        </w:rPr>
        <w:t> </w:t>
      </w:r>
      <w:r>
        <w:rPr>
          <w:color w:val="231F20"/>
          <w:w w:val="105"/>
        </w:rPr>
        <w:t>finì</w:t>
      </w:r>
      <w:r>
        <w:rPr>
          <w:color w:val="231F20"/>
          <w:spacing w:val="-13"/>
          <w:w w:val="105"/>
        </w:rPr>
        <w:t> </w:t>
      </w:r>
      <w:r>
        <w:rPr>
          <w:color w:val="231F20"/>
          <w:w w:val="105"/>
        </w:rPr>
        <w:t>per</w:t>
      </w:r>
      <w:r>
        <w:rPr>
          <w:color w:val="231F20"/>
          <w:spacing w:val="-13"/>
          <w:w w:val="105"/>
        </w:rPr>
        <w:t> </w:t>
      </w:r>
      <w:r>
        <w:rPr>
          <w:color w:val="231F20"/>
          <w:w w:val="105"/>
        </w:rPr>
        <w:t>avvolgere anche,</w:t>
      </w:r>
      <w:r>
        <w:rPr>
          <w:color w:val="231F20"/>
          <w:spacing w:val="-5"/>
          <w:w w:val="105"/>
        </w:rPr>
        <w:t> </w:t>
      </w:r>
      <w:r>
        <w:rPr>
          <w:color w:val="231F20"/>
          <w:w w:val="105"/>
        </w:rPr>
        <w:t>in</w:t>
      </w:r>
      <w:r>
        <w:rPr>
          <w:color w:val="231F20"/>
          <w:spacing w:val="-5"/>
          <w:w w:val="105"/>
        </w:rPr>
        <w:t> </w:t>
      </w:r>
      <w:r>
        <w:rPr>
          <w:color w:val="231F20"/>
          <w:w w:val="105"/>
        </w:rPr>
        <w:t>misura</w:t>
      </w:r>
      <w:r>
        <w:rPr>
          <w:color w:val="231F20"/>
          <w:spacing w:val="-5"/>
          <w:w w:val="105"/>
        </w:rPr>
        <w:t> </w:t>
      </w:r>
      <w:r>
        <w:rPr>
          <w:color w:val="231F20"/>
          <w:w w:val="105"/>
        </w:rPr>
        <w:t>non</w:t>
      </w:r>
      <w:r>
        <w:rPr>
          <w:color w:val="231F20"/>
          <w:spacing w:val="-5"/>
          <w:w w:val="105"/>
        </w:rPr>
        <w:t> </w:t>
      </w:r>
      <w:r>
        <w:rPr>
          <w:color w:val="231F20"/>
          <w:w w:val="105"/>
        </w:rPr>
        <w:t>trascurabile,</w:t>
      </w:r>
      <w:r>
        <w:rPr>
          <w:color w:val="231F20"/>
          <w:spacing w:val="-5"/>
          <w:w w:val="105"/>
        </w:rPr>
        <w:t> </w:t>
      </w:r>
      <w:r>
        <w:rPr>
          <w:color w:val="231F20"/>
          <w:w w:val="105"/>
        </w:rPr>
        <w:t>la</w:t>
      </w:r>
      <w:r>
        <w:rPr>
          <w:color w:val="231F20"/>
          <w:spacing w:val="-5"/>
          <w:w w:val="105"/>
        </w:rPr>
        <w:t> </w:t>
      </w:r>
      <w:r>
        <w:rPr>
          <w:color w:val="231F20"/>
          <w:w w:val="105"/>
        </w:rPr>
        <w:t>questione</w:t>
      </w:r>
      <w:r>
        <w:rPr>
          <w:color w:val="231F20"/>
          <w:spacing w:val="-5"/>
          <w:w w:val="105"/>
        </w:rPr>
        <w:t> </w:t>
      </w:r>
      <w:r>
        <w:rPr>
          <w:color w:val="231F20"/>
          <w:w w:val="105"/>
        </w:rPr>
        <w:t>dello</w:t>
      </w:r>
      <w:r>
        <w:rPr>
          <w:color w:val="231F20"/>
          <w:spacing w:val="-5"/>
          <w:w w:val="105"/>
        </w:rPr>
        <w:t> </w:t>
      </w:r>
      <w:r>
        <w:rPr>
          <w:color w:val="231F20"/>
          <w:w w:val="105"/>
        </w:rPr>
        <w:t>Stato.</w:t>
      </w:r>
      <w:r>
        <w:rPr>
          <w:color w:val="231F20"/>
          <w:spacing w:val="-5"/>
          <w:w w:val="105"/>
        </w:rPr>
        <w:t> </w:t>
      </w:r>
      <w:r>
        <w:rPr>
          <w:color w:val="231F20"/>
          <w:w w:val="105"/>
        </w:rPr>
        <w:t>Non</w:t>
      </w:r>
      <w:r>
        <w:rPr>
          <w:color w:val="231F20"/>
          <w:spacing w:val="-5"/>
          <w:w w:val="105"/>
        </w:rPr>
        <w:t> </w:t>
      </w:r>
      <w:r>
        <w:rPr>
          <w:color w:val="231F20"/>
          <w:w w:val="105"/>
        </w:rPr>
        <w:t>so</w:t>
      </w:r>
      <w:r>
        <w:rPr>
          <w:color w:val="231F20"/>
          <w:spacing w:val="-5"/>
          <w:w w:val="105"/>
        </w:rPr>
        <w:t> </w:t>
      </w:r>
      <w:r>
        <w:rPr>
          <w:color w:val="231F20"/>
          <w:w w:val="105"/>
        </w:rPr>
        <w:t>se</w:t>
      </w:r>
      <w:r>
        <w:rPr>
          <w:color w:val="231F20"/>
          <w:spacing w:val="-5"/>
          <w:w w:val="105"/>
        </w:rPr>
        <w:t> </w:t>
      </w:r>
      <w:r>
        <w:rPr>
          <w:color w:val="231F20"/>
          <w:w w:val="105"/>
        </w:rPr>
        <w:t>si possa</w:t>
      </w:r>
      <w:r>
        <w:rPr>
          <w:color w:val="231F20"/>
          <w:spacing w:val="-31"/>
          <w:w w:val="105"/>
        </w:rPr>
        <w:t> </w:t>
      </w:r>
      <w:r>
        <w:rPr>
          <w:color w:val="231F20"/>
          <w:w w:val="105"/>
        </w:rPr>
        <w:t>risalire</w:t>
      </w:r>
      <w:r>
        <w:rPr>
          <w:color w:val="231F20"/>
          <w:spacing w:val="-31"/>
          <w:w w:val="105"/>
        </w:rPr>
        <w:t> </w:t>
      </w:r>
      <w:r>
        <w:rPr>
          <w:color w:val="231F20"/>
          <w:w w:val="105"/>
        </w:rPr>
        <w:t>alle</w:t>
      </w:r>
      <w:r>
        <w:rPr>
          <w:color w:val="231F20"/>
          <w:spacing w:val="-31"/>
          <w:w w:val="105"/>
        </w:rPr>
        <w:t> </w:t>
      </w:r>
      <w:r>
        <w:rPr>
          <w:rFonts w:ascii="Arial" w:hAnsi="Arial"/>
          <w:i/>
          <w:color w:val="231F20"/>
          <w:w w:val="105"/>
        </w:rPr>
        <w:t>reducciones</w:t>
      </w:r>
      <w:r>
        <w:rPr>
          <w:rFonts w:ascii="Arial" w:hAnsi="Arial"/>
          <w:i/>
          <w:color w:val="231F20"/>
          <w:spacing w:val="-23"/>
          <w:w w:val="105"/>
        </w:rPr>
        <w:t> </w:t>
      </w:r>
      <w:r>
        <w:rPr>
          <w:color w:val="231F20"/>
          <w:w w:val="105"/>
        </w:rPr>
        <w:t>dei</w:t>
      </w:r>
      <w:r>
        <w:rPr>
          <w:color w:val="231F20"/>
          <w:spacing w:val="-31"/>
          <w:w w:val="105"/>
        </w:rPr>
        <w:t> </w:t>
      </w:r>
      <w:r>
        <w:rPr>
          <w:color w:val="231F20"/>
          <w:w w:val="105"/>
        </w:rPr>
        <w:t>Gesuiti,</w:t>
      </w:r>
      <w:r>
        <w:rPr>
          <w:color w:val="231F20"/>
          <w:spacing w:val="-31"/>
          <w:w w:val="105"/>
        </w:rPr>
        <w:t> </w:t>
      </w:r>
      <w:r>
        <w:rPr>
          <w:color w:val="231F20"/>
          <w:w w:val="105"/>
        </w:rPr>
        <w:t>ma</w:t>
      </w:r>
      <w:r>
        <w:rPr>
          <w:color w:val="231F20"/>
          <w:spacing w:val="-31"/>
          <w:w w:val="105"/>
        </w:rPr>
        <w:t> </w:t>
      </w:r>
      <w:r>
        <w:rPr>
          <w:color w:val="231F20"/>
          <w:w w:val="105"/>
        </w:rPr>
        <w:t>è</w:t>
      </w:r>
      <w:r>
        <w:rPr>
          <w:color w:val="231F20"/>
          <w:spacing w:val="-31"/>
          <w:w w:val="105"/>
        </w:rPr>
        <w:t> </w:t>
      </w:r>
      <w:r>
        <w:rPr>
          <w:color w:val="231F20"/>
          <w:w w:val="105"/>
        </w:rPr>
        <w:t>certo</w:t>
      </w:r>
      <w:r>
        <w:rPr>
          <w:color w:val="231F20"/>
          <w:spacing w:val="-31"/>
          <w:w w:val="105"/>
        </w:rPr>
        <w:t> </w:t>
      </w:r>
      <w:r>
        <w:rPr>
          <w:color w:val="231F20"/>
          <w:w w:val="105"/>
        </w:rPr>
        <w:t>che</w:t>
      </w:r>
      <w:r>
        <w:rPr>
          <w:color w:val="231F20"/>
          <w:spacing w:val="-31"/>
          <w:w w:val="105"/>
        </w:rPr>
        <w:t> </w:t>
      </w:r>
      <w:r>
        <w:rPr>
          <w:color w:val="231F20"/>
          <w:w w:val="105"/>
        </w:rPr>
        <w:t>sia</w:t>
      </w:r>
      <w:r>
        <w:rPr>
          <w:color w:val="231F20"/>
          <w:spacing w:val="-31"/>
          <w:w w:val="105"/>
        </w:rPr>
        <w:t> </w:t>
      </w:r>
      <w:r>
        <w:rPr>
          <w:color w:val="231F20"/>
          <w:w w:val="105"/>
        </w:rPr>
        <w:t>la</w:t>
      </w:r>
      <w:r>
        <w:rPr>
          <w:color w:val="231F20"/>
          <w:spacing w:val="-31"/>
          <w:w w:val="105"/>
        </w:rPr>
        <w:t> </w:t>
      </w:r>
      <w:r>
        <w:rPr>
          <w:color w:val="231F20"/>
          <w:w w:val="105"/>
        </w:rPr>
        <w:t>rivoluzione nord-americana,</w:t>
      </w:r>
      <w:r>
        <w:rPr>
          <w:color w:val="231F20"/>
          <w:spacing w:val="-41"/>
          <w:w w:val="105"/>
        </w:rPr>
        <w:t> </w:t>
      </w:r>
      <w:r>
        <w:rPr>
          <w:color w:val="231F20"/>
          <w:w w:val="105"/>
        </w:rPr>
        <w:t>che</w:t>
      </w:r>
      <w:r>
        <w:rPr>
          <w:color w:val="231F20"/>
          <w:spacing w:val="-41"/>
          <w:w w:val="105"/>
        </w:rPr>
        <w:t> </w:t>
      </w:r>
      <w:r>
        <w:rPr>
          <w:color w:val="231F20"/>
          <w:w w:val="105"/>
        </w:rPr>
        <w:t>la</w:t>
      </w:r>
      <w:r>
        <w:rPr>
          <w:color w:val="231F20"/>
          <w:spacing w:val="-41"/>
          <w:w w:val="105"/>
        </w:rPr>
        <w:t> </w:t>
      </w:r>
      <w:r>
        <w:rPr>
          <w:color w:val="231F20"/>
          <w:w w:val="105"/>
        </w:rPr>
        <w:t>recezione</w:t>
      </w:r>
      <w:r>
        <w:rPr>
          <w:color w:val="231F20"/>
          <w:spacing w:val="-41"/>
          <w:w w:val="105"/>
        </w:rPr>
        <w:t> </w:t>
      </w:r>
      <w:r>
        <w:rPr>
          <w:color w:val="231F20"/>
          <w:w w:val="105"/>
        </w:rPr>
        <w:t>di</w:t>
      </w:r>
      <w:r>
        <w:rPr>
          <w:color w:val="231F20"/>
          <w:spacing w:val="-41"/>
          <w:w w:val="105"/>
        </w:rPr>
        <w:t> </w:t>
      </w:r>
      <w:r>
        <w:rPr>
          <w:color w:val="231F20"/>
          <w:w w:val="105"/>
        </w:rPr>
        <w:t>quella</w:t>
      </w:r>
      <w:r>
        <w:rPr>
          <w:color w:val="231F20"/>
          <w:spacing w:val="-41"/>
          <w:w w:val="105"/>
        </w:rPr>
        <w:t> </w:t>
      </w:r>
      <w:r>
        <w:rPr>
          <w:color w:val="231F20"/>
          <w:w w:val="105"/>
        </w:rPr>
        <w:t>francese</w:t>
      </w:r>
      <w:r>
        <w:rPr>
          <w:color w:val="231F20"/>
          <w:spacing w:val="-41"/>
          <w:w w:val="105"/>
        </w:rPr>
        <w:t> </w:t>
      </w:r>
      <w:r>
        <w:rPr>
          <w:color w:val="231F20"/>
          <w:w w:val="105"/>
        </w:rPr>
        <w:t>nell’America</w:t>
      </w:r>
      <w:r>
        <w:rPr>
          <w:color w:val="231F20"/>
          <w:spacing w:val="-41"/>
          <w:w w:val="105"/>
        </w:rPr>
        <w:t> </w:t>
      </w:r>
      <w:r>
        <w:rPr>
          <w:color w:val="231F20"/>
          <w:w w:val="105"/>
        </w:rPr>
        <w:t>del</w:t>
      </w:r>
      <w:r>
        <w:rPr>
          <w:color w:val="231F20"/>
          <w:spacing w:val="-41"/>
          <w:w w:val="105"/>
        </w:rPr>
        <w:t> </w:t>
      </w:r>
      <w:r>
        <w:rPr>
          <w:color w:val="231F20"/>
          <w:w w:val="105"/>
        </w:rPr>
        <w:t>centro e</w:t>
      </w:r>
      <w:r>
        <w:rPr>
          <w:color w:val="231F20"/>
          <w:spacing w:val="-9"/>
          <w:w w:val="105"/>
        </w:rPr>
        <w:t> </w:t>
      </w:r>
      <w:r>
        <w:rPr>
          <w:color w:val="231F20"/>
          <w:w w:val="105"/>
        </w:rPr>
        <w:t>del</w:t>
      </w:r>
      <w:r>
        <w:rPr>
          <w:color w:val="231F20"/>
          <w:spacing w:val="-9"/>
          <w:w w:val="105"/>
        </w:rPr>
        <w:t> </w:t>
      </w:r>
      <w:r>
        <w:rPr>
          <w:color w:val="231F20"/>
          <w:w w:val="105"/>
        </w:rPr>
        <w:t>sud,</w:t>
      </w:r>
      <w:r>
        <w:rPr>
          <w:color w:val="231F20"/>
          <w:spacing w:val="-9"/>
          <w:w w:val="105"/>
        </w:rPr>
        <w:t> </w:t>
      </w:r>
      <w:r>
        <w:rPr>
          <w:color w:val="231F20"/>
          <w:w w:val="105"/>
        </w:rPr>
        <w:t>come</w:t>
      </w:r>
      <w:r>
        <w:rPr>
          <w:color w:val="231F20"/>
          <w:spacing w:val="-9"/>
          <w:w w:val="105"/>
        </w:rPr>
        <w:t> </w:t>
      </w:r>
      <w:r>
        <w:rPr>
          <w:color w:val="231F20"/>
          <w:w w:val="105"/>
        </w:rPr>
        <w:t>pure</w:t>
      </w:r>
      <w:r>
        <w:rPr>
          <w:color w:val="231F20"/>
          <w:spacing w:val="-9"/>
          <w:w w:val="105"/>
        </w:rPr>
        <w:t> </w:t>
      </w:r>
      <w:r>
        <w:rPr>
          <w:color w:val="231F20"/>
          <w:w w:val="105"/>
        </w:rPr>
        <w:t>la</w:t>
      </w:r>
      <w:r>
        <w:rPr>
          <w:color w:val="231F20"/>
          <w:spacing w:val="-9"/>
          <w:w w:val="105"/>
        </w:rPr>
        <w:t> </w:t>
      </w:r>
      <w:r>
        <w:rPr>
          <w:color w:val="231F20"/>
          <w:w w:val="105"/>
        </w:rPr>
        <w:t>storia</w:t>
      </w:r>
      <w:r>
        <w:rPr>
          <w:color w:val="231F20"/>
          <w:spacing w:val="-9"/>
          <w:w w:val="105"/>
        </w:rPr>
        <w:t> </w:t>
      </w:r>
      <w:r>
        <w:rPr>
          <w:color w:val="231F20"/>
          <w:w w:val="105"/>
        </w:rPr>
        <w:t>particolare</w:t>
      </w:r>
      <w:r>
        <w:rPr>
          <w:color w:val="231F20"/>
          <w:spacing w:val="-9"/>
          <w:w w:val="105"/>
        </w:rPr>
        <w:t> </w:t>
      </w:r>
      <w:r>
        <w:rPr>
          <w:color w:val="231F20"/>
          <w:w w:val="105"/>
        </w:rPr>
        <w:t>del</w:t>
      </w:r>
      <w:r>
        <w:rPr>
          <w:color w:val="231F20"/>
          <w:spacing w:val="-9"/>
          <w:w w:val="105"/>
        </w:rPr>
        <w:t> </w:t>
      </w:r>
      <w:r>
        <w:rPr>
          <w:color w:val="231F20"/>
          <w:w w:val="105"/>
        </w:rPr>
        <w:t>costituzionalismo</w:t>
      </w:r>
      <w:r>
        <w:rPr>
          <w:color w:val="231F20"/>
          <w:spacing w:val="-9"/>
          <w:w w:val="105"/>
        </w:rPr>
        <w:t> </w:t>
      </w:r>
      <w:r>
        <w:rPr>
          <w:color w:val="231F20"/>
          <w:w w:val="105"/>
        </w:rPr>
        <w:t>nelle</w:t>
      </w:r>
      <w:r>
        <w:rPr>
          <w:color w:val="231F20"/>
          <w:spacing w:val="-9"/>
          <w:w w:val="105"/>
        </w:rPr>
        <w:t> </w:t>
      </w:r>
      <w:r>
        <w:rPr>
          <w:color w:val="231F20"/>
          <w:w w:val="105"/>
        </w:rPr>
        <w:t>sue diverse varianti lungo l’Ottocento, in tutto il triplice continente,</w:t>
      </w:r>
      <w:r>
        <w:rPr>
          <w:color w:val="231F20"/>
          <w:spacing w:val="-29"/>
          <w:w w:val="105"/>
        </w:rPr>
        <w:t> </w:t>
      </w:r>
      <w:r>
        <w:rPr>
          <w:color w:val="231F20"/>
          <w:w w:val="105"/>
        </w:rPr>
        <w:t>avrebbe bisogno</w:t>
      </w:r>
      <w:r>
        <w:rPr>
          <w:color w:val="231F20"/>
          <w:spacing w:val="-50"/>
          <w:w w:val="105"/>
        </w:rPr>
        <w:t> </w:t>
      </w:r>
      <w:r>
        <w:rPr>
          <w:color w:val="231F20"/>
          <w:w w:val="105"/>
        </w:rPr>
        <w:t>di</w:t>
      </w:r>
      <w:r>
        <w:rPr>
          <w:color w:val="231F20"/>
          <w:spacing w:val="-50"/>
          <w:w w:val="105"/>
        </w:rPr>
        <w:t> </w:t>
      </w:r>
      <w:r>
        <w:rPr>
          <w:color w:val="231F20"/>
          <w:w w:val="105"/>
        </w:rPr>
        <w:t>una</w:t>
      </w:r>
      <w:r>
        <w:rPr>
          <w:color w:val="231F20"/>
          <w:spacing w:val="-50"/>
          <w:w w:val="105"/>
        </w:rPr>
        <w:t> </w:t>
      </w:r>
      <w:r>
        <w:rPr>
          <w:color w:val="231F20"/>
          <w:w w:val="105"/>
        </w:rPr>
        <w:t>rivisitazione</w:t>
      </w:r>
      <w:r>
        <w:rPr>
          <w:color w:val="231F20"/>
          <w:spacing w:val="-50"/>
          <w:w w:val="105"/>
        </w:rPr>
        <w:t> </w:t>
      </w:r>
      <w:r>
        <w:rPr>
          <w:color w:val="231F20"/>
          <w:w w:val="105"/>
        </w:rPr>
        <w:t>storiografica</w:t>
      </w:r>
      <w:r>
        <w:rPr>
          <w:color w:val="231F20"/>
          <w:spacing w:val="-50"/>
          <w:w w:val="105"/>
        </w:rPr>
        <w:t> </w:t>
      </w:r>
      <w:r>
        <w:rPr>
          <w:color w:val="231F20"/>
          <w:w w:val="105"/>
        </w:rPr>
        <w:t>in</w:t>
      </w:r>
      <w:r>
        <w:rPr>
          <w:color w:val="231F20"/>
          <w:spacing w:val="-50"/>
          <w:w w:val="105"/>
        </w:rPr>
        <w:t> </w:t>
      </w:r>
      <w:r>
        <w:rPr>
          <w:color w:val="231F20"/>
          <w:w w:val="105"/>
        </w:rPr>
        <w:t>stretta</w:t>
      </w:r>
      <w:r>
        <w:rPr>
          <w:color w:val="231F20"/>
          <w:spacing w:val="-50"/>
          <w:w w:val="105"/>
        </w:rPr>
        <w:t> </w:t>
      </w:r>
      <w:r>
        <w:rPr>
          <w:color w:val="231F20"/>
          <w:w w:val="105"/>
        </w:rPr>
        <w:t>comparazione</w:t>
      </w:r>
      <w:r>
        <w:rPr>
          <w:color w:val="231F20"/>
          <w:spacing w:val="-50"/>
          <w:w w:val="105"/>
        </w:rPr>
        <w:t> </w:t>
      </w:r>
      <w:r>
        <w:rPr>
          <w:color w:val="231F20"/>
          <w:w w:val="105"/>
        </w:rPr>
        <w:t>europea</w:t>
      </w:r>
      <w:r>
        <w:rPr>
          <w:color w:val="231F20"/>
          <w:w w:val="105"/>
          <w:position w:val="7"/>
          <w:sz w:val="12"/>
        </w:rPr>
        <w:t>46</w:t>
      </w:r>
      <w:r>
        <w:rPr>
          <w:color w:val="231F20"/>
          <w:w w:val="105"/>
        </w:rPr>
        <w:t>. Si</w:t>
      </w:r>
      <w:r>
        <w:rPr>
          <w:color w:val="231F20"/>
          <w:spacing w:val="-35"/>
          <w:w w:val="105"/>
        </w:rPr>
        <w:t> </w:t>
      </w:r>
      <w:r>
        <w:rPr>
          <w:color w:val="231F20"/>
          <w:spacing w:val="-4"/>
          <w:w w:val="105"/>
        </w:rPr>
        <w:t>capirebbero</w:t>
      </w:r>
      <w:r>
        <w:rPr>
          <w:color w:val="231F20"/>
          <w:spacing w:val="-35"/>
          <w:w w:val="105"/>
        </w:rPr>
        <w:t> </w:t>
      </w:r>
      <w:r>
        <w:rPr>
          <w:color w:val="231F20"/>
          <w:spacing w:val="-3"/>
          <w:w w:val="105"/>
        </w:rPr>
        <w:t>meglio</w:t>
      </w:r>
      <w:r>
        <w:rPr>
          <w:color w:val="231F20"/>
          <w:spacing w:val="-35"/>
          <w:w w:val="105"/>
        </w:rPr>
        <w:t> </w:t>
      </w:r>
      <w:r>
        <w:rPr>
          <w:color w:val="231F20"/>
          <w:spacing w:val="-3"/>
          <w:w w:val="105"/>
        </w:rPr>
        <w:t>molte</w:t>
      </w:r>
      <w:r>
        <w:rPr>
          <w:color w:val="231F20"/>
          <w:spacing w:val="-35"/>
          <w:w w:val="105"/>
        </w:rPr>
        <w:t> </w:t>
      </w:r>
      <w:r>
        <w:rPr>
          <w:color w:val="231F20"/>
          <w:spacing w:val="-3"/>
          <w:w w:val="105"/>
        </w:rPr>
        <w:t>cose,</w:t>
      </w:r>
      <w:r>
        <w:rPr>
          <w:color w:val="231F20"/>
          <w:spacing w:val="-35"/>
          <w:w w:val="105"/>
        </w:rPr>
        <w:t> </w:t>
      </w:r>
      <w:r>
        <w:rPr>
          <w:color w:val="231F20"/>
          <w:spacing w:val="-4"/>
          <w:w w:val="105"/>
        </w:rPr>
        <w:t>relativamente</w:t>
      </w:r>
      <w:r>
        <w:rPr>
          <w:color w:val="231F20"/>
          <w:spacing w:val="-35"/>
          <w:w w:val="105"/>
        </w:rPr>
        <w:t> </w:t>
      </w:r>
      <w:r>
        <w:rPr>
          <w:color w:val="231F20"/>
          <w:spacing w:val="-3"/>
          <w:w w:val="105"/>
        </w:rPr>
        <w:t>anche</w:t>
      </w:r>
      <w:r>
        <w:rPr>
          <w:color w:val="231F20"/>
          <w:spacing w:val="-35"/>
          <w:w w:val="105"/>
        </w:rPr>
        <w:t> </w:t>
      </w:r>
      <w:r>
        <w:rPr>
          <w:color w:val="231F20"/>
          <w:spacing w:val="-3"/>
          <w:w w:val="105"/>
        </w:rPr>
        <w:t>alla</w:t>
      </w:r>
      <w:r>
        <w:rPr>
          <w:color w:val="231F20"/>
          <w:spacing w:val="-35"/>
          <w:w w:val="105"/>
        </w:rPr>
        <w:t> </w:t>
      </w:r>
      <w:r>
        <w:rPr>
          <w:color w:val="231F20"/>
          <w:spacing w:val="-3"/>
          <w:w w:val="105"/>
        </w:rPr>
        <w:t>“crisi</w:t>
      </w:r>
      <w:r>
        <w:rPr>
          <w:color w:val="231F20"/>
          <w:spacing w:val="-35"/>
          <w:w w:val="105"/>
        </w:rPr>
        <w:t> </w:t>
      </w:r>
      <w:r>
        <w:rPr>
          <w:color w:val="231F20"/>
          <w:spacing w:val="-3"/>
          <w:w w:val="105"/>
        </w:rPr>
        <w:t>dello</w:t>
      </w:r>
      <w:r>
        <w:rPr>
          <w:color w:val="231F20"/>
          <w:spacing w:val="-35"/>
          <w:w w:val="105"/>
        </w:rPr>
        <w:t> </w:t>
      </w:r>
      <w:r>
        <w:rPr>
          <w:color w:val="231F20"/>
          <w:spacing w:val="-3"/>
          <w:w w:val="105"/>
        </w:rPr>
        <w:t>Stato” </w:t>
      </w:r>
      <w:r>
        <w:rPr>
          <w:color w:val="231F20"/>
          <w:w w:val="105"/>
        </w:rPr>
        <w:t>da</w:t>
      </w:r>
      <w:r>
        <w:rPr>
          <w:color w:val="231F20"/>
          <w:spacing w:val="-36"/>
          <w:w w:val="105"/>
        </w:rPr>
        <w:t> </w:t>
      </w:r>
      <w:r>
        <w:rPr>
          <w:color w:val="231F20"/>
          <w:w w:val="105"/>
        </w:rPr>
        <w:t>cui</w:t>
      </w:r>
      <w:r>
        <w:rPr>
          <w:color w:val="231F20"/>
          <w:spacing w:val="-36"/>
          <w:w w:val="105"/>
        </w:rPr>
        <w:t> </w:t>
      </w:r>
      <w:r>
        <w:rPr>
          <w:color w:val="231F20"/>
          <w:w w:val="105"/>
        </w:rPr>
        <w:t>eravamo</w:t>
      </w:r>
      <w:r>
        <w:rPr>
          <w:color w:val="231F20"/>
          <w:spacing w:val="-36"/>
          <w:w w:val="105"/>
        </w:rPr>
        <w:t> </w:t>
      </w:r>
      <w:r>
        <w:rPr>
          <w:color w:val="231F20"/>
          <w:w w:val="105"/>
        </w:rPr>
        <w:t>partiti,</w:t>
      </w:r>
      <w:r>
        <w:rPr>
          <w:color w:val="231F20"/>
          <w:spacing w:val="-36"/>
          <w:w w:val="105"/>
        </w:rPr>
        <w:t> </w:t>
      </w:r>
      <w:r>
        <w:rPr>
          <w:color w:val="231F20"/>
          <w:w w:val="105"/>
        </w:rPr>
        <w:t>che</w:t>
      </w:r>
      <w:r>
        <w:rPr>
          <w:color w:val="231F20"/>
          <w:spacing w:val="-36"/>
          <w:w w:val="105"/>
        </w:rPr>
        <w:t> </w:t>
      </w:r>
      <w:r>
        <w:rPr>
          <w:color w:val="231F20"/>
          <w:w w:val="105"/>
        </w:rPr>
        <w:t>ha</w:t>
      </w:r>
      <w:r>
        <w:rPr>
          <w:color w:val="231F20"/>
          <w:spacing w:val="-36"/>
          <w:w w:val="105"/>
        </w:rPr>
        <w:t> </w:t>
      </w:r>
      <w:r>
        <w:rPr>
          <w:color w:val="231F20"/>
          <w:w w:val="105"/>
        </w:rPr>
        <w:t>visto</w:t>
      </w:r>
      <w:r>
        <w:rPr>
          <w:color w:val="231F20"/>
          <w:spacing w:val="-36"/>
          <w:w w:val="105"/>
        </w:rPr>
        <w:t> </w:t>
      </w:r>
      <w:r>
        <w:rPr>
          <w:color w:val="231F20"/>
          <w:w w:val="105"/>
        </w:rPr>
        <w:t>il</w:t>
      </w:r>
      <w:r>
        <w:rPr>
          <w:color w:val="231F20"/>
          <w:spacing w:val="-36"/>
          <w:w w:val="105"/>
        </w:rPr>
        <w:t> </w:t>
      </w:r>
      <w:r>
        <w:rPr>
          <w:color w:val="231F20"/>
          <w:w w:val="105"/>
        </w:rPr>
        <w:t>suo</w:t>
      </w:r>
      <w:r>
        <w:rPr>
          <w:color w:val="231F20"/>
          <w:spacing w:val="-36"/>
          <w:w w:val="105"/>
        </w:rPr>
        <w:t> </w:t>
      </w:r>
      <w:r>
        <w:rPr>
          <w:color w:val="231F20"/>
          <w:w w:val="105"/>
        </w:rPr>
        <w:t>culmine</w:t>
      </w:r>
      <w:r>
        <w:rPr>
          <w:color w:val="231F20"/>
          <w:spacing w:val="-36"/>
          <w:w w:val="105"/>
        </w:rPr>
        <w:t> </w:t>
      </w:r>
      <w:r>
        <w:rPr>
          <w:color w:val="231F20"/>
          <w:w w:val="105"/>
        </w:rPr>
        <w:t>nelle</w:t>
      </w:r>
      <w:r>
        <w:rPr>
          <w:color w:val="231F20"/>
          <w:spacing w:val="-36"/>
          <w:w w:val="105"/>
        </w:rPr>
        <w:t> </w:t>
      </w:r>
      <w:r>
        <w:rPr>
          <w:color w:val="231F20"/>
          <w:w w:val="105"/>
        </w:rPr>
        <w:t>due</w:t>
      </w:r>
      <w:r>
        <w:rPr>
          <w:color w:val="231F20"/>
          <w:spacing w:val="-36"/>
          <w:w w:val="105"/>
        </w:rPr>
        <w:t> </w:t>
      </w:r>
      <w:r>
        <w:rPr>
          <w:color w:val="231F20"/>
          <w:w w:val="105"/>
        </w:rPr>
        <w:t>guerre</w:t>
      </w:r>
      <w:r>
        <w:rPr>
          <w:color w:val="231F20"/>
          <w:spacing w:val="-36"/>
          <w:w w:val="105"/>
        </w:rPr>
        <w:t> </w:t>
      </w:r>
      <w:r>
        <w:rPr>
          <w:color w:val="231F20"/>
          <w:w w:val="105"/>
        </w:rPr>
        <w:t>mondiali in</w:t>
      </w:r>
      <w:r>
        <w:rPr>
          <w:color w:val="231F20"/>
          <w:spacing w:val="-40"/>
          <w:w w:val="105"/>
        </w:rPr>
        <w:t> </w:t>
      </w:r>
      <w:r>
        <w:rPr>
          <w:color w:val="231F20"/>
          <w:spacing w:val="-3"/>
          <w:w w:val="105"/>
        </w:rPr>
        <w:t>quarant’anni</w:t>
      </w:r>
      <w:r>
        <w:rPr>
          <w:color w:val="231F20"/>
          <w:spacing w:val="-40"/>
          <w:w w:val="105"/>
        </w:rPr>
        <w:t> </w:t>
      </w:r>
      <w:r>
        <w:rPr>
          <w:color w:val="231F20"/>
          <w:w w:val="105"/>
        </w:rPr>
        <w:t>del</w:t>
      </w:r>
      <w:r>
        <w:rPr>
          <w:color w:val="231F20"/>
          <w:spacing w:val="-40"/>
          <w:w w:val="105"/>
        </w:rPr>
        <w:t> </w:t>
      </w:r>
      <w:r>
        <w:rPr>
          <w:color w:val="231F20"/>
          <w:spacing w:val="-3"/>
          <w:w w:val="105"/>
        </w:rPr>
        <w:t>primo</w:t>
      </w:r>
      <w:r>
        <w:rPr>
          <w:color w:val="231F20"/>
          <w:spacing w:val="-40"/>
          <w:w w:val="105"/>
        </w:rPr>
        <w:t> </w:t>
      </w:r>
      <w:r>
        <w:rPr>
          <w:color w:val="231F20"/>
          <w:spacing w:val="-3"/>
          <w:w w:val="105"/>
        </w:rPr>
        <w:t>Novecento,</w:t>
      </w:r>
      <w:r>
        <w:rPr>
          <w:color w:val="231F20"/>
          <w:spacing w:val="-40"/>
          <w:w w:val="105"/>
        </w:rPr>
        <w:t> </w:t>
      </w:r>
      <w:r>
        <w:rPr>
          <w:color w:val="231F20"/>
          <w:spacing w:val="-3"/>
          <w:w w:val="105"/>
        </w:rPr>
        <w:t>trovando</w:t>
      </w:r>
      <w:r>
        <w:rPr>
          <w:color w:val="231F20"/>
          <w:spacing w:val="-40"/>
          <w:w w:val="105"/>
        </w:rPr>
        <w:t> </w:t>
      </w:r>
      <w:r>
        <w:rPr>
          <w:color w:val="231F20"/>
          <w:spacing w:val="-3"/>
          <w:w w:val="105"/>
        </w:rPr>
        <w:t>infine</w:t>
      </w:r>
      <w:r>
        <w:rPr>
          <w:color w:val="231F20"/>
          <w:spacing w:val="-40"/>
          <w:w w:val="105"/>
        </w:rPr>
        <w:t> </w:t>
      </w:r>
      <w:r>
        <w:rPr>
          <w:color w:val="231F20"/>
          <w:spacing w:val="-3"/>
          <w:w w:val="105"/>
        </w:rPr>
        <w:t>un’ottima</w:t>
      </w:r>
      <w:r>
        <w:rPr>
          <w:color w:val="231F20"/>
          <w:spacing w:val="-40"/>
          <w:w w:val="105"/>
        </w:rPr>
        <w:t> </w:t>
      </w:r>
      <w:r>
        <w:rPr>
          <w:color w:val="231F20"/>
          <w:spacing w:val="-3"/>
          <w:w w:val="105"/>
        </w:rPr>
        <w:t>soluzione</w:t>
      </w:r>
      <w:r>
        <w:rPr>
          <w:color w:val="231F20"/>
          <w:spacing w:val="-40"/>
          <w:w w:val="105"/>
        </w:rPr>
        <w:t> </w:t>
      </w:r>
      <w:r>
        <w:rPr>
          <w:color w:val="231F20"/>
          <w:w w:val="105"/>
        </w:rPr>
        <w:t>“di parte”</w:t>
      </w:r>
      <w:r>
        <w:rPr>
          <w:color w:val="231F20"/>
          <w:spacing w:val="-23"/>
          <w:w w:val="105"/>
        </w:rPr>
        <w:t> </w:t>
      </w:r>
      <w:r>
        <w:rPr>
          <w:color w:val="231F20"/>
          <w:w w:val="105"/>
        </w:rPr>
        <w:t>con</w:t>
      </w:r>
      <w:r>
        <w:rPr>
          <w:color w:val="231F20"/>
          <w:spacing w:val="-23"/>
          <w:w w:val="105"/>
        </w:rPr>
        <w:t> </w:t>
      </w:r>
      <w:r>
        <w:rPr>
          <w:color w:val="231F20"/>
          <w:w w:val="105"/>
        </w:rPr>
        <w:t>la</w:t>
      </w:r>
      <w:r>
        <w:rPr>
          <w:color w:val="231F20"/>
          <w:spacing w:val="-23"/>
          <w:w w:val="105"/>
        </w:rPr>
        <w:t> </w:t>
      </w:r>
      <w:r>
        <w:rPr>
          <w:color w:val="231F20"/>
          <w:w w:val="105"/>
        </w:rPr>
        <w:t>“Organizzazione</w:t>
      </w:r>
      <w:r>
        <w:rPr>
          <w:color w:val="231F20"/>
          <w:spacing w:val="-23"/>
          <w:w w:val="105"/>
        </w:rPr>
        <w:t> </w:t>
      </w:r>
      <w:r>
        <w:rPr>
          <w:color w:val="231F20"/>
          <w:w w:val="105"/>
        </w:rPr>
        <w:t>del</w:t>
      </w:r>
      <w:r>
        <w:rPr>
          <w:color w:val="231F20"/>
          <w:spacing w:val="-23"/>
          <w:w w:val="105"/>
        </w:rPr>
        <w:t> </w:t>
      </w:r>
      <w:r>
        <w:rPr>
          <w:color w:val="231F20"/>
          <w:spacing w:val="-3"/>
          <w:w w:val="105"/>
        </w:rPr>
        <w:t>Trattato</w:t>
      </w:r>
      <w:r>
        <w:rPr>
          <w:color w:val="231F20"/>
          <w:spacing w:val="-23"/>
          <w:w w:val="105"/>
        </w:rPr>
        <w:t> </w:t>
      </w:r>
      <w:r>
        <w:rPr>
          <w:color w:val="231F20"/>
          <w:w w:val="105"/>
        </w:rPr>
        <w:t>dell’Atlantico</w:t>
      </w:r>
      <w:r>
        <w:rPr>
          <w:color w:val="231F20"/>
          <w:spacing w:val="-23"/>
          <w:w w:val="105"/>
        </w:rPr>
        <w:t> </w:t>
      </w:r>
      <w:r>
        <w:rPr>
          <w:color w:val="231F20"/>
          <w:w w:val="105"/>
        </w:rPr>
        <w:t>del</w:t>
      </w:r>
      <w:r>
        <w:rPr>
          <w:color w:val="231F20"/>
          <w:spacing w:val="-23"/>
          <w:w w:val="105"/>
        </w:rPr>
        <w:t> </w:t>
      </w:r>
      <w:r>
        <w:rPr>
          <w:color w:val="231F20"/>
          <w:w w:val="105"/>
        </w:rPr>
        <w:t>Nord”</w:t>
      </w:r>
      <w:r>
        <w:rPr>
          <w:color w:val="231F20"/>
          <w:spacing w:val="-23"/>
          <w:w w:val="105"/>
        </w:rPr>
        <w:t> </w:t>
      </w:r>
      <w:r>
        <w:rPr>
          <w:color w:val="231F20"/>
          <w:w w:val="105"/>
        </w:rPr>
        <w:t>(</w:t>
      </w:r>
      <w:r>
        <w:rPr>
          <w:color w:val="231F20"/>
          <w:w w:val="105"/>
          <w:sz w:val="18"/>
        </w:rPr>
        <w:t>NATO</w:t>
      </w:r>
      <w:r>
        <w:rPr>
          <w:color w:val="231F20"/>
          <w:w w:val="105"/>
        </w:rPr>
        <w:t>), firmato</w:t>
      </w:r>
      <w:r>
        <w:rPr>
          <w:color w:val="231F20"/>
          <w:spacing w:val="-48"/>
          <w:w w:val="105"/>
        </w:rPr>
        <w:t> </w:t>
      </w:r>
      <w:r>
        <w:rPr>
          <w:color w:val="231F20"/>
          <w:w w:val="105"/>
        </w:rPr>
        <w:t>il</w:t>
      </w:r>
      <w:r>
        <w:rPr>
          <w:color w:val="231F20"/>
          <w:spacing w:val="-48"/>
          <w:w w:val="105"/>
        </w:rPr>
        <w:t> </w:t>
      </w:r>
      <w:r>
        <w:rPr>
          <w:color w:val="231F20"/>
          <w:w w:val="105"/>
        </w:rPr>
        <w:t>4</w:t>
      </w:r>
      <w:r>
        <w:rPr>
          <w:color w:val="231F20"/>
          <w:spacing w:val="-48"/>
          <w:w w:val="105"/>
        </w:rPr>
        <w:t> </w:t>
      </w:r>
      <w:r>
        <w:rPr>
          <w:color w:val="231F20"/>
          <w:w w:val="105"/>
        </w:rPr>
        <w:t>aprile</w:t>
      </w:r>
      <w:r>
        <w:rPr>
          <w:color w:val="231F20"/>
          <w:spacing w:val="-48"/>
          <w:w w:val="105"/>
        </w:rPr>
        <w:t> </w:t>
      </w:r>
      <w:r>
        <w:rPr>
          <w:color w:val="231F20"/>
          <w:w w:val="105"/>
        </w:rPr>
        <w:t>1949</w:t>
      </w:r>
      <w:r>
        <w:rPr>
          <w:color w:val="231F20"/>
          <w:spacing w:val="-48"/>
          <w:w w:val="105"/>
        </w:rPr>
        <w:t> </w:t>
      </w:r>
      <w:r>
        <w:rPr>
          <w:color w:val="231F20"/>
          <w:w w:val="105"/>
        </w:rPr>
        <w:t>a</w:t>
      </w:r>
      <w:r>
        <w:rPr>
          <w:color w:val="231F20"/>
          <w:spacing w:val="-48"/>
          <w:w w:val="105"/>
        </w:rPr>
        <w:t> </w:t>
      </w:r>
      <w:r>
        <w:rPr>
          <w:color w:val="231F20"/>
          <w:w w:val="105"/>
        </w:rPr>
        <w:t>segnare</w:t>
      </w:r>
      <w:r>
        <w:rPr>
          <w:color w:val="231F20"/>
          <w:spacing w:val="-48"/>
          <w:w w:val="105"/>
        </w:rPr>
        <w:t> </w:t>
      </w:r>
      <w:r>
        <w:rPr>
          <w:color w:val="231F20"/>
          <w:w w:val="105"/>
        </w:rPr>
        <w:t>la</w:t>
      </w:r>
      <w:r>
        <w:rPr>
          <w:color w:val="231F20"/>
          <w:spacing w:val="-48"/>
          <w:w w:val="105"/>
        </w:rPr>
        <w:t> </w:t>
      </w:r>
      <w:r>
        <w:rPr>
          <w:color w:val="231F20"/>
          <w:w w:val="105"/>
        </w:rPr>
        <w:t>rinuncia</w:t>
      </w:r>
      <w:r>
        <w:rPr>
          <w:color w:val="231F20"/>
          <w:spacing w:val="-48"/>
          <w:w w:val="105"/>
        </w:rPr>
        <w:t> </w:t>
      </w:r>
      <w:r>
        <w:rPr>
          <w:color w:val="231F20"/>
          <w:w w:val="105"/>
        </w:rPr>
        <w:t>alla</w:t>
      </w:r>
      <w:r>
        <w:rPr>
          <w:color w:val="231F20"/>
          <w:spacing w:val="-48"/>
          <w:w w:val="105"/>
        </w:rPr>
        <w:t> </w:t>
      </w:r>
      <w:r>
        <w:rPr>
          <w:color w:val="231F20"/>
          <w:w w:val="105"/>
        </w:rPr>
        <w:t>sovranità</w:t>
      </w:r>
      <w:r>
        <w:rPr>
          <w:color w:val="231F20"/>
          <w:spacing w:val="-48"/>
          <w:w w:val="105"/>
        </w:rPr>
        <w:t> </w:t>
      </w:r>
      <w:r>
        <w:rPr>
          <w:color w:val="231F20"/>
          <w:w w:val="105"/>
        </w:rPr>
        <w:t>militare</w:t>
      </w:r>
      <w:r>
        <w:rPr>
          <w:color w:val="231F20"/>
          <w:spacing w:val="-48"/>
          <w:w w:val="105"/>
        </w:rPr>
        <w:t> </w:t>
      </w:r>
      <w:r>
        <w:rPr>
          <w:color w:val="231F20"/>
          <w:w w:val="105"/>
        </w:rPr>
        <w:t>da</w:t>
      </w:r>
      <w:r>
        <w:rPr>
          <w:color w:val="231F20"/>
          <w:spacing w:val="-48"/>
          <w:w w:val="105"/>
        </w:rPr>
        <w:t> </w:t>
      </w:r>
      <w:r>
        <w:rPr>
          <w:color w:val="231F20"/>
          <w:w w:val="105"/>
        </w:rPr>
        <w:t>parte</w:t>
      </w:r>
      <w:r>
        <w:rPr>
          <w:color w:val="231F20"/>
          <w:spacing w:val="-48"/>
          <w:w w:val="105"/>
        </w:rPr>
        <w:t> </w:t>
      </w:r>
      <w:r>
        <w:rPr>
          <w:color w:val="231F20"/>
          <w:w w:val="105"/>
        </w:rPr>
        <w:t>di 28</w:t>
      </w:r>
      <w:r>
        <w:rPr>
          <w:color w:val="231F20"/>
          <w:spacing w:val="-41"/>
          <w:w w:val="105"/>
        </w:rPr>
        <w:t> </w:t>
      </w:r>
      <w:r>
        <w:rPr>
          <w:color w:val="231F20"/>
          <w:w w:val="105"/>
        </w:rPr>
        <w:t>Stati</w:t>
      </w:r>
      <w:r>
        <w:rPr>
          <w:color w:val="231F20"/>
          <w:spacing w:val="-41"/>
          <w:w w:val="105"/>
        </w:rPr>
        <w:t> </w:t>
      </w:r>
      <w:r>
        <w:rPr>
          <w:color w:val="231F20"/>
          <w:w w:val="105"/>
        </w:rPr>
        <w:t>europei</w:t>
      </w:r>
      <w:r>
        <w:rPr>
          <w:color w:val="231F20"/>
          <w:spacing w:val="-41"/>
          <w:w w:val="105"/>
        </w:rPr>
        <w:t> </w:t>
      </w:r>
      <w:r>
        <w:rPr>
          <w:color w:val="231F20"/>
          <w:w w:val="105"/>
        </w:rPr>
        <w:t>e</w:t>
      </w:r>
      <w:r>
        <w:rPr>
          <w:color w:val="231F20"/>
          <w:spacing w:val="-41"/>
          <w:w w:val="105"/>
        </w:rPr>
        <w:t> </w:t>
      </w:r>
      <w:r>
        <w:rPr>
          <w:color w:val="231F20"/>
          <w:w w:val="105"/>
        </w:rPr>
        <w:t>nord-americani,</w:t>
      </w:r>
      <w:r>
        <w:rPr>
          <w:color w:val="231F20"/>
          <w:spacing w:val="-41"/>
          <w:w w:val="105"/>
        </w:rPr>
        <w:t> </w:t>
      </w:r>
      <w:r>
        <w:rPr>
          <w:color w:val="231F20"/>
          <w:w w:val="105"/>
        </w:rPr>
        <w:t>a</w:t>
      </w:r>
      <w:r>
        <w:rPr>
          <w:color w:val="231F20"/>
          <w:spacing w:val="-41"/>
          <w:w w:val="105"/>
        </w:rPr>
        <w:t> </w:t>
      </w:r>
      <w:r>
        <w:rPr>
          <w:color w:val="231F20"/>
          <w:w w:val="105"/>
        </w:rPr>
        <w:t>favore</w:t>
      </w:r>
      <w:r>
        <w:rPr>
          <w:color w:val="231F20"/>
          <w:spacing w:val="-41"/>
          <w:w w:val="105"/>
        </w:rPr>
        <w:t> </w:t>
      </w:r>
      <w:r>
        <w:rPr>
          <w:color w:val="231F20"/>
          <w:w w:val="105"/>
        </w:rPr>
        <w:t>dell’egemonia</w:t>
      </w:r>
      <w:r>
        <w:rPr>
          <w:color w:val="231F20"/>
          <w:spacing w:val="-41"/>
          <w:w w:val="105"/>
        </w:rPr>
        <w:t> </w:t>
      </w:r>
      <w:r>
        <w:rPr>
          <w:color w:val="231F20"/>
          <w:w w:val="105"/>
        </w:rPr>
        <w:t>militare</w:t>
      </w:r>
      <w:r>
        <w:rPr>
          <w:color w:val="231F20"/>
          <w:spacing w:val="-41"/>
          <w:w w:val="105"/>
        </w:rPr>
        <w:t> </w:t>
      </w:r>
      <w:r>
        <w:rPr>
          <w:color w:val="231F20"/>
          <w:w w:val="105"/>
        </w:rPr>
        <w:t>e</w:t>
      </w:r>
      <w:r>
        <w:rPr>
          <w:color w:val="231F20"/>
          <w:spacing w:val="-41"/>
          <w:w w:val="105"/>
        </w:rPr>
        <w:t> </w:t>
      </w:r>
      <w:r>
        <w:rPr>
          <w:color w:val="231F20"/>
          <w:w w:val="105"/>
        </w:rPr>
        <w:t>politica statunitense.</w:t>
      </w:r>
      <w:r>
        <w:rPr>
          <w:color w:val="231F20"/>
          <w:spacing w:val="-45"/>
          <w:w w:val="105"/>
        </w:rPr>
        <w:t> </w:t>
      </w:r>
      <w:r>
        <w:rPr>
          <w:color w:val="231F20"/>
          <w:w w:val="105"/>
        </w:rPr>
        <w:t>Non</w:t>
      </w:r>
      <w:r>
        <w:rPr>
          <w:color w:val="231F20"/>
          <w:spacing w:val="-45"/>
          <w:w w:val="105"/>
        </w:rPr>
        <w:t> </w:t>
      </w:r>
      <w:r>
        <w:rPr>
          <w:color w:val="231F20"/>
          <w:w w:val="105"/>
        </w:rPr>
        <w:t>sono</w:t>
      </w:r>
      <w:r>
        <w:rPr>
          <w:color w:val="231F20"/>
          <w:spacing w:val="-45"/>
          <w:w w:val="105"/>
        </w:rPr>
        <w:t> </w:t>
      </w:r>
      <w:r>
        <w:rPr>
          <w:color w:val="231F20"/>
          <w:w w:val="105"/>
        </w:rPr>
        <w:t>in</w:t>
      </w:r>
      <w:r>
        <w:rPr>
          <w:color w:val="231F20"/>
          <w:spacing w:val="-45"/>
          <w:w w:val="105"/>
        </w:rPr>
        <w:t> </w:t>
      </w:r>
      <w:r>
        <w:rPr>
          <w:color w:val="231F20"/>
          <w:w w:val="105"/>
        </w:rPr>
        <w:t>grado</w:t>
      </w:r>
      <w:r>
        <w:rPr>
          <w:color w:val="231F20"/>
          <w:spacing w:val="-45"/>
          <w:w w:val="105"/>
        </w:rPr>
        <w:t> </w:t>
      </w:r>
      <w:r>
        <w:rPr>
          <w:color w:val="231F20"/>
          <w:w w:val="105"/>
        </w:rPr>
        <w:t>di</w:t>
      </w:r>
      <w:r>
        <w:rPr>
          <w:color w:val="231F20"/>
          <w:spacing w:val="-45"/>
          <w:w w:val="105"/>
        </w:rPr>
        <w:t> </w:t>
      </w:r>
      <w:r>
        <w:rPr>
          <w:color w:val="231F20"/>
          <w:spacing w:val="-3"/>
          <w:w w:val="105"/>
        </w:rPr>
        <w:t>condurre</w:t>
      </w:r>
      <w:r>
        <w:rPr>
          <w:color w:val="231F20"/>
          <w:spacing w:val="-45"/>
          <w:w w:val="105"/>
        </w:rPr>
        <w:t> </w:t>
      </w:r>
      <w:r>
        <w:rPr>
          <w:color w:val="231F20"/>
          <w:w w:val="105"/>
        </w:rPr>
        <w:t>a</w:t>
      </w:r>
      <w:r>
        <w:rPr>
          <w:color w:val="231F20"/>
          <w:spacing w:val="-45"/>
          <w:w w:val="105"/>
        </w:rPr>
        <w:t> </w:t>
      </w:r>
      <w:r>
        <w:rPr>
          <w:color w:val="231F20"/>
          <w:w w:val="105"/>
        </w:rPr>
        <w:t>buon</w:t>
      </w:r>
      <w:r>
        <w:rPr>
          <w:color w:val="231F20"/>
          <w:spacing w:val="-45"/>
          <w:w w:val="105"/>
        </w:rPr>
        <w:t> </w:t>
      </w:r>
      <w:r>
        <w:rPr>
          <w:color w:val="231F20"/>
          <w:w w:val="105"/>
        </w:rPr>
        <w:t>fine</w:t>
      </w:r>
      <w:r>
        <w:rPr>
          <w:color w:val="231F20"/>
          <w:spacing w:val="-45"/>
          <w:w w:val="105"/>
        </w:rPr>
        <w:t> </w:t>
      </w:r>
      <w:r>
        <w:rPr>
          <w:color w:val="231F20"/>
          <w:w w:val="105"/>
        </w:rPr>
        <w:t>questo</w:t>
      </w:r>
      <w:r>
        <w:rPr>
          <w:color w:val="231F20"/>
          <w:spacing w:val="-45"/>
          <w:w w:val="105"/>
        </w:rPr>
        <w:t> </w:t>
      </w:r>
      <w:r>
        <w:rPr>
          <w:color w:val="231F20"/>
          <w:w w:val="105"/>
        </w:rPr>
        <w:t>discorso</w:t>
      </w:r>
      <w:r>
        <w:rPr>
          <w:color w:val="231F20"/>
          <w:spacing w:val="-45"/>
          <w:w w:val="105"/>
        </w:rPr>
        <w:t> </w:t>
      </w:r>
      <w:r>
        <w:rPr>
          <w:color w:val="231F20"/>
          <w:w w:val="105"/>
        </w:rPr>
        <w:t>qui, ma</w:t>
      </w:r>
      <w:r>
        <w:rPr>
          <w:color w:val="231F20"/>
          <w:spacing w:val="-14"/>
          <w:w w:val="105"/>
        </w:rPr>
        <w:t> </w:t>
      </w:r>
      <w:r>
        <w:rPr>
          <w:color w:val="231F20"/>
          <w:w w:val="105"/>
        </w:rPr>
        <w:t>sono</w:t>
      </w:r>
      <w:r>
        <w:rPr>
          <w:color w:val="231F20"/>
          <w:spacing w:val="-14"/>
          <w:w w:val="105"/>
        </w:rPr>
        <w:t> </w:t>
      </w:r>
      <w:r>
        <w:rPr>
          <w:color w:val="231F20"/>
          <w:w w:val="105"/>
        </w:rPr>
        <w:t>convinto</w:t>
      </w:r>
      <w:r>
        <w:rPr>
          <w:color w:val="231F20"/>
          <w:spacing w:val="-14"/>
          <w:w w:val="105"/>
        </w:rPr>
        <w:t> </w:t>
      </w:r>
      <w:r>
        <w:rPr>
          <w:color w:val="231F20"/>
          <w:w w:val="105"/>
        </w:rPr>
        <w:t>che</w:t>
      </w:r>
      <w:r>
        <w:rPr>
          <w:color w:val="231F20"/>
          <w:spacing w:val="-14"/>
          <w:w w:val="105"/>
        </w:rPr>
        <w:t> </w:t>
      </w:r>
      <w:r>
        <w:rPr>
          <w:color w:val="231F20"/>
          <w:w w:val="105"/>
        </w:rPr>
        <w:t>solo</w:t>
      </w:r>
      <w:r>
        <w:rPr>
          <w:color w:val="231F20"/>
          <w:spacing w:val="-14"/>
          <w:w w:val="105"/>
        </w:rPr>
        <w:t> </w:t>
      </w:r>
      <w:r>
        <w:rPr>
          <w:color w:val="231F20"/>
          <w:w w:val="105"/>
        </w:rPr>
        <w:t>in</w:t>
      </w:r>
      <w:r>
        <w:rPr>
          <w:color w:val="231F20"/>
          <w:spacing w:val="-14"/>
          <w:w w:val="105"/>
        </w:rPr>
        <w:t> </w:t>
      </w:r>
      <w:r>
        <w:rPr>
          <w:color w:val="231F20"/>
          <w:w w:val="105"/>
        </w:rPr>
        <w:t>tale</w:t>
      </w:r>
      <w:r>
        <w:rPr>
          <w:color w:val="231F20"/>
          <w:spacing w:val="-14"/>
          <w:w w:val="105"/>
        </w:rPr>
        <w:t> </w:t>
      </w:r>
      <w:r>
        <w:rPr>
          <w:color w:val="231F20"/>
          <w:w w:val="105"/>
        </w:rPr>
        <w:t>dimensione</w:t>
      </w:r>
      <w:r>
        <w:rPr>
          <w:color w:val="231F20"/>
          <w:spacing w:val="-14"/>
          <w:w w:val="105"/>
        </w:rPr>
        <w:t> </w:t>
      </w:r>
      <w:r>
        <w:rPr>
          <w:color w:val="231F20"/>
          <w:w w:val="105"/>
        </w:rPr>
        <w:t>sia</w:t>
      </w:r>
      <w:r>
        <w:rPr>
          <w:color w:val="231F20"/>
          <w:spacing w:val="-14"/>
          <w:w w:val="105"/>
        </w:rPr>
        <w:t> </w:t>
      </w:r>
      <w:r>
        <w:rPr>
          <w:color w:val="231F20"/>
          <w:w w:val="105"/>
        </w:rPr>
        <w:t>possibile</w:t>
      </w:r>
      <w:r>
        <w:rPr>
          <w:color w:val="231F20"/>
          <w:spacing w:val="-14"/>
          <w:w w:val="105"/>
        </w:rPr>
        <w:t> </w:t>
      </w:r>
      <w:r>
        <w:rPr>
          <w:color w:val="231F20"/>
          <w:w w:val="105"/>
        </w:rPr>
        <w:t>riflettere</w:t>
      </w:r>
      <w:r>
        <w:rPr>
          <w:color w:val="231F20"/>
          <w:spacing w:val="-14"/>
          <w:w w:val="105"/>
        </w:rPr>
        <w:t> </w:t>
      </w:r>
      <w:r>
        <w:rPr>
          <w:color w:val="231F20"/>
          <w:w w:val="105"/>
        </w:rPr>
        <w:t>sugli esiti</w:t>
      </w:r>
      <w:r>
        <w:rPr>
          <w:color w:val="231F20"/>
          <w:spacing w:val="-49"/>
          <w:w w:val="105"/>
        </w:rPr>
        <w:t> </w:t>
      </w:r>
      <w:r>
        <w:rPr>
          <w:color w:val="231F20"/>
          <w:w w:val="105"/>
        </w:rPr>
        <w:t>politico-costituzionali</w:t>
      </w:r>
      <w:r>
        <w:rPr>
          <w:color w:val="231F20"/>
          <w:spacing w:val="-49"/>
          <w:w w:val="105"/>
        </w:rPr>
        <w:t> </w:t>
      </w:r>
      <w:r>
        <w:rPr>
          <w:color w:val="231F20"/>
          <w:w w:val="105"/>
        </w:rPr>
        <w:t>della</w:t>
      </w:r>
      <w:r>
        <w:rPr>
          <w:color w:val="231F20"/>
          <w:spacing w:val="-49"/>
          <w:w w:val="105"/>
        </w:rPr>
        <w:t> </w:t>
      </w:r>
      <w:r>
        <w:rPr>
          <w:color w:val="231F20"/>
          <w:w w:val="105"/>
        </w:rPr>
        <w:t>globalizzazione,</w:t>
      </w:r>
      <w:r>
        <w:rPr>
          <w:color w:val="231F20"/>
          <w:spacing w:val="-49"/>
          <w:w w:val="105"/>
        </w:rPr>
        <w:t> </w:t>
      </w:r>
      <w:r>
        <w:rPr>
          <w:color w:val="231F20"/>
          <w:w w:val="105"/>
        </w:rPr>
        <w:t>considerando</w:t>
      </w:r>
      <w:r>
        <w:rPr>
          <w:color w:val="231F20"/>
          <w:spacing w:val="-49"/>
          <w:w w:val="105"/>
        </w:rPr>
        <w:t> </w:t>
      </w:r>
      <w:r>
        <w:rPr>
          <w:color w:val="231F20"/>
          <w:w w:val="105"/>
        </w:rPr>
        <w:t>che</w:t>
      </w:r>
      <w:r>
        <w:rPr>
          <w:color w:val="231F20"/>
          <w:spacing w:val="-49"/>
          <w:w w:val="105"/>
        </w:rPr>
        <w:t> </w:t>
      </w:r>
      <w:r>
        <w:rPr>
          <w:color w:val="231F20"/>
          <w:w w:val="105"/>
        </w:rPr>
        <w:t>anche</w:t>
      </w:r>
      <w:r>
        <w:rPr>
          <w:color w:val="231F20"/>
          <w:spacing w:val="-49"/>
          <w:w w:val="105"/>
        </w:rPr>
        <w:t> </w:t>
      </w:r>
      <w:r>
        <w:rPr>
          <w:color w:val="231F20"/>
          <w:w w:val="105"/>
        </w:rPr>
        <w:t>lo “Stato</w:t>
      </w:r>
      <w:r>
        <w:rPr>
          <w:color w:val="231F20"/>
          <w:spacing w:val="-20"/>
          <w:w w:val="105"/>
        </w:rPr>
        <w:t> </w:t>
      </w:r>
      <w:r>
        <w:rPr>
          <w:color w:val="231F20"/>
          <w:w w:val="105"/>
        </w:rPr>
        <w:t>atlantico”</w:t>
      </w:r>
      <w:r>
        <w:rPr>
          <w:color w:val="231F20"/>
          <w:spacing w:val="-20"/>
          <w:w w:val="105"/>
        </w:rPr>
        <w:t> </w:t>
      </w:r>
      <w:r>
        <w:rPr>
          <w:color w:val="231F20"/>
          <w:w w:val="105"/>
        </w:rPr>
        <w:t>rappresenta</w:t>
      </w:r>
      <w:r>
        <w:rPr>
          <w:color w:val="231F20"/>
          <w:spacing w:val="-20"/>
          <w:w w:val="105"/>
        </w:rPr>
        <w:t> </w:t>
      </w:r>
      <w:r>
        <w:rPr>
          <w:color w:val="231F20"/>
          <w:w w:val="105"/>
        </w:rPr>
        <w:t>una</w:t>
      </w:r>
      <w:r>
        <w:rPr>
          <w:color w:val="231F20"/>
          <w:spacing w:val="-20"/>
          <w:w w:val="105"/>
        </w:rPr>
        <w:t> </w:t>
      </w:r>
      <w:r>
        <w:rPr>
          <w:color w:val="231F20"/>
          <w:w w:val="105"/>
        </w:rPr>
        <w:t>delle</w:t>
      </w:r>
      <w:r>
        <w:rPr>
          <w:color w:val="231F20"/>
          <w:spacing w:val="-20"/>
          <w:w w:val="105"/>
        </w:rPr>
        <w:t> </w:t>
      </w:r>
      <w:r>
        <w:rPr>
          <w:color w:val="231F20"/>
          <w:w w:val="105"/>
        </w:rPr>
        <w:t>tante</w:t>
      </w:r>
      <w:r>
        <w:rPr>
          <w:color w:val="231F20"/>
          <w:spacing w:val="-20"/>
          <w:w w:val="105"/>
        </w:rPr>
        <w:t> </w:t>
      </w:r>
      <w:r>
        <w:rPr>
          <w:color w:val="231F20"/>
          <w:w w:val="105"/>
        </w:rPr>
        <w:t>gradazioni</w:t>
      </w:r>
      <w:r>
        <w:rPr>
          <w:color w:val="231F20"/>
          <w:spacing w:val="-20"/>
          <w:w w:val="105"/>
        </w:rPr>
        <w:t> </w:t>
      </w:r>
      <w:r>
        <w:rPr>
          <w:color w:val="231F20"/>
          <w:w w:val="105"/>
        </w:rPr>
        <w:t>in</w:t>
      </w:r>
      <w:r>
        <w:rPr>
          <w:color w:val="231F20"/>
          <w:spacing w:val="-20"/>
          <w:w w:val="105"/>
        </w:rPr>
        <w:t> </w:t>
      </w:r>
      <w:r>
        <w:rPr>
          <w:color w:val="231F20"/>
          <w:w w:val="105"/>
        </w:rPr>
        <w:t>cui</w:t>
      </w:r>
      <w:r>
        <w:rPr>
          <w:color w:val="231F20"/>
          <w:spacing w:val="-20"/>
          <w:w w:val="105"/>
        </w:rPr>
        <w:t> </w:t>
      </w:r>
      <w:r>
        <w:rPr>
          <w:color w:val="231F20"/>
          <w:w w:val="105"/>
        </w:rPr>
        <w:t>si</w:t>
      </w:r>
      <w:r>
        <w:rPr>
          <w:color w:val="231F20"/>
          <w:spacing w:val="-20"/>
          <w:w w:val="105"/>
        </w:rPr>
        <w:t> </w:t>
      </w:r>
      <w:r>
        <w:rPr>
          <w:color w:val="231F20"/>
          <w:w w:val="105"/>
        </w:rPr>
        <w:t>è</w:t>
      </w:r>
      <w:r>
        <w:rPr>
          <w:color w:val="231F20"/>
          <w:spacing w:val="-20"/>
          <w:w w:val="105"/>
        </w:rPr>
        <w:t> </w:t>
      </w:r>
      <w:r>
        <w:rPr>
          <w:color w:val="231F20"/>
          <w:w w:val="105"/>
        </w:rPr>
        <w:t>venuto articolando</w:t>
      </w:r>
      <w:r>
        <w:rPr>
          <w:color w:val="231F20"/>
          <w:spacing w:val="-11"/>
          <w:w w:val="105"/>
        </w:rPr>
        <w:t> </w:t>
      </w:r>
      <w:r>
        <w:rPr>
          <w:color w:val="231F20"/>
          <w:w w:val="105"/>
        </w:rPr>
        <w:t>il</w:t>
      </w:r>
      <w:r>
        <w:rPr>
          <w:color w:val="231F20"/>
          <w:spacing w:val="-11"/>
          <w:w w:val="105"/>
        </w:rPr>
        <w:t> </w:t>
      </w:r>
      <w:r>
        <w:rPr>
          <w:color w:val="231F20"/>
          <w:w w:val="105"/>
        </w:rPr>
        <w:t>federalismo</w:t>
      </w:r>
      <w:r>
        <w:rPr>
          <w:color w:val="231F20"/>
          <w:spacing w:val="-11"/>
          <w:w w:val="105"/>
        </w:rPr>
        <w:t> </w:t>
      </w:r>
      <w:r>
        <w:rPr>
          <w:color w:val="231F20"/>
          <w:w w:val="105"/>
        </w:rPr>
        <w:t>di</w:t>
      </w:r>
      <w:r>
        <w:rPr>
          <w:color w:val="231F20"/>
          <w:spacing w:val="-11"/>
          <w:w w:val="105"/>
        </w:rPr>
        <w:t> </w:t>
      </w:r>
      <w:r>
        <w:rPr>
          <w:color w:val="231F20"/>
          <w:w w:val="105"/>
        </w:rPr>
        <w:t>potere</w:t>
      </w:r>
      <w:r>
        <w:rPr>
          <w:color w:val="231F20"/>
          <w:spacing w:val="-11"/>
          <w:w w:val="105"/>
        </w:rPr>
        <w:t> </w:t>
      </w:r>
      <w:r>
        <w:rPr>
          <w:color w:val="231F20"/>
          <w:w w:val="105"/>
        </w:rPr>
        <w:t>(di</w:t>
      </w:r>
      <w:r>
        <w:rPr>
          <w:color w:val="231F20"/>
          <w:spacing w:val="-11"/>
          <w:w w:val="105"/>
        </w:rPr>
        <w:t> </w:t>
      </w:r>
      <w:r>
        <w:rPr>
          <w:color w:val="231F20"/>
          <w:w w:val="105"/>
        </w:rPr>
        <w:t>fatto)</w:t>
      </w:r>
      <w:r>
        <w:rPr>
          <w:color w:val="231F20"/>
          <w:spacing w:val="-11"/>
          <w:w w:val="105"/>
        </w:rPr>
        <w:t> </w:t>
      </w:r>
      <w:r>
        <w:rPr>
          <w:color w:val="231F20"/>
          <w:w w:val="105"/>
        </w:rPr>
        <w:t>nel</w:t>
      </w:r>
      <w:r>
        <w:rPr>
          <w:color w:val="231F20"/>
          <w:spacing w:val="-11"/>
          <w:w w:val="105"/>
        </w:rPr>
        <w:t> </w:t>
      </w:r>
      <w:r>
        <w:rPr>
          <w:color w:val="231F20"/>
          <w:w w:val="105"/>
        </w:rPr>
        <w:t>mondo.</w:t>
      </w:r>
      <w:r>
        <w:rPr>
          <w:color w:val="231F20"/>
          <w:spacing w:val="-11"/>
          <w:w w:val="105"/>
        </w:rPr>
        <w:t> </w:t>
      </w:r>
      <w:r>
        <w:rPr>
          <w:color w:val="231F20"/>
          <w:w w:val="105"/>
        </w:rPr>
        <w:t>Un</w:t>
      </w:r>
      <w:r>
        <w:rPr>
          <w:color w:val="231F20"/>
          <w:spacing w:val="-11"/>
          <w:w w:val="105"/>
        </w:rPr>
        <w:t> </w:t>
      </w:r>
      <w:r>
        <w:rPr>
          <w:color w:val="231F20"/>
          <w:w w:val="105"/>
        </w:rPr>
        <w:t>federalismo che,</w:t>
      </w:r>
      <w:r>
        <w:rPr>
          <w:color w:val="231F20"/>
          <w:spacing w:val="-10"/>
          <w:w w:val="105"/>
        </w:rPr>
        <w:t> </w:t>
      </w:r>
      <w:r>
        <w:rPr>
          <w:color w:val="231F20"/>
          <w:w w:val="105"/>
        </w:rPr>
        <w:t>nella</w:t>
      </w:r>
      <w:r>
        <w:rPr>
          <w:color w:val="231F20"/>
          <w:spacing w:val="-10"/>
          <w:w w:val="105"/>
        </w:rPr>
        <w:t> </w:t>
      </w:r>
      <w:r>
        <w:rPr>
          <w:color w:val="231F20"/>
          <w:spacing w:val="-4"/>
          <w:w w:val="105"/>
          <w:sz w:val="18"/>
        </w:rPr>
        <w:t>NATO</w:t>
      </w:r>
      <w:r>
        <w:rPr>
          <w:color w:val="231F20"/>
          <w:spacing w:val="1"/>
          <w:w w:val="105"/>
          <w:sz w:val="18"/>
        </w:rPr>
        <w:t> </w:t>
      </w:r>
      <w:r>
        <w:rPr>
          <w:color w:val="231F20"/>
          <w:w w:val="105"/>
        </w:rPr>
        <w:t>come</w:t>
      </w:r>
      <w:r>
        <w:rPr>
          <w:color w:val="231F20"/>
          <w:spacing w:val="-10"/>
          <w:w w:val="105"/>
        </w:rPr>
        <w:t> </w:t>
      </w:r>
      <w:r>
        <w:rPr>
          <w:color w:val="231F20"/>
          <w:w w:val="105"/>
        </w:rPr>
        <w:t>in</w:t>
      </w:r>
      <w:r>
        <w:rPr>
          <w:color w:val="231F20"/>
          <w:spacing w:val="-10"/>
          <w:w w:val="105"/>
        </w:rPr>
        <w:t> </w:t>
      </w:r>
      <w:r>
        <w:rPr>
          <w:color w:val="231F20"/>
          <w:w w:val="105"/>
        </w:rPr>
        <w:t>molte</w:t>
      </w:r>
      <w:r>
        <w:rPr>
          <w:color w:val="231F20"/>
          <w:spacing w:val="-10"/>
          <w:w w:val="105"/>
        </w:rPr>
        <w:t> </w:t>
      </w:r>
      <w:r>
        <w:rPr>
          <w:color w:val="231F20"/>
          <w:w w:val="105"/>
        </w:rPr>
        <w:t>agenzie</w:t>
      </w:r>
      <w:r>
        <w:rPr>
          <w:color w:val="231F20"/>
          <w:spacing w:val="-10"/>
          <w:w w:val="105"/>
        </w:rPr>
        <w:t> </w:t>
      </w:r>
      <w:r>
        <w:rPr>
          <w:color w:val="231F20"/>
          <w:w w:val="105"/>
        </w:rPr>
        <w:t>globali</w:t>
      </w:r>
      <w:r>
        <w:rPr>
          <w:color w:val="231F20"/>
          <w:spacing w:val="-10"/>
          <w:w w:val="105"/>
        </w:rPr>
        <w:t> </w:t>
      </w:r>
      <w:r>
        <w:rPr>
          <w:color w:val="231F20"/>
          <w:w w:val="105"/>
        </w:rPr>
        <w:t>in</w:t>
      </w:r>
      <w:r>
        <w:rPr>
          <w:color w:val="231F20"/>
          <w:spacing w:val="-10"/>
          <w:w w:val="105"/>
        </w:rPr>
        <w:t> </w:t>
      </w:r>
      <w:r>
        <w:rPr>
          <w:color w:val="231F20"/>
          <w:w w:val="105"/>
        </w:rPr>
        <w:t>atto</w:t>
      </w:r>
      <w:r>
        <w:rPr>
          <w:color w:val="231F20"/>
          <w:spacing w:val="-10"/>
          <w:w w:val="105"/>
        </w:rPr>
        <w:t> </w:t>
      </w:r>
      <w:r>
        <w:rPr>
          <w:color w:val="231F20"/>
          <w:w w:val="105"/>
        </w:rPr>
        <w:t>di</w:t>
      </w:r>
      <w:r>
        <w:rPr>
          <w:color w:val="231F20"/>
          <w:spacing w:val="-10"/>
          <w:w w:val="105"/>
        </w:rPr>
        <w:t> </w:t>
      </w:r>
      <w:r>
        <w:rPr>
          <w:color w:val="231F20"/>
          <w:w w:val="105"/>
        </w:rPr>
        <w:t>assestamento,</w:t>
      </w:r>
      <w:r>
        <w:rPr>
          <w:color w:val="231F20"/>
          <w:spacing w:val="-10"/>
          <w:w w:val="105"/>
        </w:rPr>
        <w:t> </w:t>
      </w:r>
      <w:r>
        <w:rPr>
          <w:color w:val="231F20"/>
          <w:w w:val="105"/>
        </w:rPr>
        <w:t>è radicato</w:t>
      </w:r>
      <w:r>
        <w:rPr>
          <w:color w:val="231F20"/>
          <w:spacing w:val="-34"/>
          <w:w w:val="105"/>
        </w:rPr>
        <w:t> </w:t>
      </w:r>
      <w:r>
        <w:rPr>
          <w:color w:val="231F20"/>
          <w:w w:val="105"/>
        </w:rPr>
        <w:t>nel</w:t>
      </w:r>
      <w:r>
        <w:rPr>
          <w:color w:val="231F20"/>
          <w:spacing w:val="-34"/>
          <w:w w:val="105"/>
        </w:rPr>
        <w:t> </w:t>
      </w:r>
      <w:r>
        <w:rPr>
          <w:color w:val="231F20"/>
          <w:w w:val="105"/>
        </w:rPr>
        <w:t>principio</w:t>
      </w:r>
      <w:r>
        <w:rPr>
          <w:color w:val="231F20"/>
          <w:spacing w:val="-34"/>
          <w:w w:val="105"/>
        </w:rPr>
        <w:t> </w:t>
      </w:r>
      <w:r>
        <w:rPr>
          <w:color w:val="231F20"/>
          <w:w w:val="105"/>
        </w:rPr>
        <w:t>di</w:t>
      </w:r>
      <w:r>
        <w:rPr>
          <w:color w:val="231F20"/>
          <w:spacing w:val="-34"/>
          <w:w w:val="105"/>
        </w:rPr>
        <w:t> </w:t>
      </w:r>
      <w:r>
        <w:rPr>
          <w:color w:val="231F20"/>
          <w:w w:val="105"/>
        </w:rPr>
        <w:t>organizzazione.</w:t>
      </w:r>
    </w:p>
    <w:p>
      <w:pPr>
        <w:pStyle w:val="BodyText"/>
        <w:spacing w:line="247" w:lineRule="auto"/>
        <w:ind w:left="103" w:right="111" w:firstLine="566"/>
        <w:jc w:val="both"/>
      </w:pPr>
      <w:r>
        <w:rPr>
          <w:color w:val="231F20"/>
          <w:w w:val="105"/>
        </w:rPr>
        <w:t>Il</w:t>
      </w:r>
      <w:r>
        <w:rPr>
          <w:color w:val="231F20"/>
          <w:spacing w:val="-34"/>
          <w:w w:val="105"/>
        </w:rPr>
        <w:t> </w:t>
      </w:r>
      <w:r>
        <w:rPr>
          <w:color w:val="231F20"/>
          <w:w w:val="105"/>
        </w:rPr>
        <w:t>richiamo</w:t>
      </w:r>
      <w:r>
        <w:rPr>
          <w:color w:val="231F20"/>
          <w:spacing w:val="-34"/>
          <w:w w:val="105"/>
        </w:rPr>
        <w:t> </w:t>
      </w:r>
      <w:r>
        <w:rPr>
          <w:color w:val="231F20"/>
          <w:w w:val="105"/>
        </w:rPr>
        <w:t>alla</w:t>
      </w:r>
      <w:r>
        <w:rPr>
          <w:color w:val="231F20"/>
          <w:spacing w:val="-34"/>
          <w:w w:val="105"/>
        </w:rPr>
        <w:t> </w:t>
      </w:r>
      <w:r>
        <w:rPr>
          <w:color w:val="231F20"/>
          <w:w w:val="105"/>
        </w:rPr>
        <w:t>modalità</w:t>
      </w:r>
      <w:r>
        <w:rPr>
          <w:color w:val="231F20"/>
          <w:spacing w:val="-34"/>
          <w:w w:val="105"/>
        </w:rPr>
        <w:t> </w:t>
      </w:r>
      <w:r>
        <w:rPr>
          <w:color w:val="231F20"/>
          <w:w w:val="105"/>
        </w:rPr>
        <w:t>amministrativa,</w:t>
      </w:r>
      <w:r>
        <w:rPr>
          <w:color w:val="231F20"/>
          <w:spacing w:val="-34"/>
          <w:w w:val="105"/>
        </w:rPr>
        <w:t> </w:t>
      </w:r>
      <w:r>
        <w:rPr>
          <w:color w:val="231F20"/>
          <w:w w:val="105"/>
        </w:rPr>
        <w:t>piuttosto</w:t>
      </w:r>
      <w:r>
        <w:rPr>
          <w:color w:val="231F20"/>
          <w:spacing w:val="-34"/>
          <w:w w:val="105"/>
        </w:rPr>
        <w:t> </w:t>
      </w:r>
      <w:r>
        <w:rPr>
          <w:color w:val="231F20"/>
          <w:w w:val="105"/>
        </w:rPr>
        <w:t>che</w:t>
      </w:r>
      <w:r>
        <w:rPr>
          <w:color w:val="231F20"/>
          <w:spacing w:val="-34"/>
          <w:w w:val="105"/>
        </w:rPr>
        <w:t> </w:t>
      </w:r>
      <w:r>
        <w:rPr>
          <w:color w:val="231F20"/>
          <w:w w:val="105"/>
        </w:rPr>
        <w:t>legislativa,</w:t>
      </w:r>
      <w:r>
        <w:rPr>
          <w:color w:val="231F20"/>
          <w:spacing w:val="-34"/>
          <w:w w:val="105"/>
        </w:rPr>
        <w:t> </w:t>
      </w:r>
      <w:r>
        <w:rPr>
          <w:color w:val="231F20"/>
          <w:w w:val="105"/>
        </w:rPr>
        <w:t>mi </w:t>
      </w:r>
      <w:r>
        <w:rPr>
          <w:color w:val="231F20"/>
          <w:spacing w:val="-5"/>
          <w:w w:val="105"/>
        </w:rPr>
        <w:t>consente</w:t>
      </w:r>
      <w:r>
        <w:rPr>
          <w:color w:val="231F20"/>
          <w:spacing w:val="-45"/>
          <w:w w:val="105"/>
        </w:rPr>
        <w:t> </w:t>
      </w:r>
      <w:r>
        <w:rPr>
          <w:color w:val="231F20"/>
          <w:w w:val="105"/>
        </w:rPr>
        <w:t>di</w:t>
      </w:r>
      <w:r>
        <w:rPr>
          <w:color w:val="231F20"/>
          <w:spacing w:val="-45"/>
          <w:w w:val="105"/>
        </w:rPr>
        <w:t> </w:t>
      </w:r>
      <w:r>
        <w:rPr>
          <w:color w:val="231F20"/>
          <w:spacing w:val="-5"/>
          <w:w w:val="105"/>
        </w:rPr>
        <w:t>andare</w:t>
      </w:r>
      <w:r>
        <w:rPr>
          <w:color w:val="231F20"/>
          <w:spacing w:val="-45"/>
          <w:w w:val="105"/>
        </w:rPr>
        <w:t> </w:t>
      </w:r>
      <w:r>
        <w:rPr>
          <w:color w:val="231F20"/>
          <w:spacing w:val="-5"/>
          <w:w w:val="105"/>
        </w:rPr>
        <w:t>oltre,</w:t>
      </w:r>
      <w:r>
        <w:rPr>
          <w:color w:val="231F20"/>
          <w:spacing w:val="-45"/>
          <w:w w:val="105"/>
        </w:rPr>
        <w:t> </w:t>
      </w:r>
      <w:r>
        <w:rPr>
          <w:color w:val="231F20"/>
          <w:spacing w:val="-5"/>
          <w:w w:val="105"/>
        </w:rPr>
        <w:t>ricordando</w:t>
      </w:r>
      <w:r>
        <w:rPr>
          <w:color w:val="231F20"/>
          <w:spacing w:val="-45"/>
          <w:w w:val="105"/>
        </w:rPr>
        <w:t> </w:t>
      </w:r>
      <w:r>
        <w:rPr>
          <w:color w:val="231F20"/>
          <w:spacing w:val="-4"/>
          <w:w w:val="105"/>
        </w:rPr>
        <w:t>che</w:t>
      </w:r>
      <w:r>
        <w:rPr>
          <w:color w:val="231F20"/>
          <w:spacing w:val="-45"/>
          <w:w w:val="105"/>
        </w:rPr>
        <w:t> </w:t>
      </w:r>
      <w:r>
        <w:rPr>
          <w:color w:val="231F20"/>
          <w:spacing w:val="-5"/>
          <w:w w:val="105"/>
        </w:rPr>
        <w:t>organizzazione</w:t>
      </w:r>
      <w:r>
        <w:rPr>
          <w:color w:val="231F20"/>
          <w:spacing w:val="-45"/>
          <w:w w:val="105"/>
        </w:rPr>
        <w:t> </w:t>
      </w:r>
      <w:r>
        <w:rPr>
          <w:color w:val="231F20"/>
          <w:w w:val="105"/>
        </w:rPr>
        <w:t>è</w:t>
      </w:r>
      <w:r>
        <w:rPr>
          <w:color w:val="231F20"/>
          <w:spacing w:val="-45"/>
          <w:w w:val="105"/>
        </w:rPr>
        <w:t> </w:t>
      </w:r>
      <w:r>
        <w:rPr>
          <w:color w:val="231F20"/>
          <w:spacing w:val="-5"/>
          <w:w w:val="105"/>
        </w:rPr>
        <w:t>concetto</w:t>
      </w:r>
      <w:r>
        <w:rPr>
          <w:color w:val="231F20"/>
          <w:spacing w:val="-45"/>
          <w:w w:val="105"/>
        </w:rPr>
        <w:t> </w:t>
      </w:r>
      <w:r>
        <w:rPr>
          <w:color w:val="231F20"/>
          <w:spacing w:val="-5"/>
          <w:w w:val="105"/>
        </w:rPr>
        <w:t>collegabile </w:t>
      </w:r>
      <w:r>
        <w:rPr>
          <w:color w:val="231F20"/>
          <w:w w:val="105"/>
        </w:rPr>
        <w:t>a</w:t>
      </w:r>
      <w:r>
        <w:rPr>
          <w:color w:val="231F20"/>
          <w:spacing w:val="-18"/>
          <w:w w:val="105"/>
        </w:rPr>
        <w:t> </w:t>
      </w:r>
      <w:r>
        <w:rPr>
          <w:color w:val="231F20"/>
          <w:spacing w:val="-3"/>
          <w:w w:val="105"/>
        </w:rPr>
        <w:t>organo</w:t>
      </w:r>
      <w:r>
        <w:rPr>
          <w:color w:val="231F20"/>
          <w:spacing w:val="-18"/>
          <w:w w:val="105"/>
        </w:rPr>
        <w:t> </w:t>
      </w:r>
      <w:r>
        <w:rPr>
          <w:color w:val="231F20"/>
          <w:w w:val="105"/>
        </w:rPr>
        <w:t>e</w:t>
      </w:r>
      <w:r>
        <w:rPr>
          <w:color w:val="231F20"/>
          <w:spacing w:val="-18"/>
          <w:w w:val="105"/>
        </w:rPr>
        <w:t> </w:t>
      </w:r>
      <w:r>
        <w:rPr>
          <w:color w:val="231F20"/>
          <w:spacing w:val="-3"/>
          <w:w w:val="105"/>
        </w:rPr>
        <w:t>organismo</w:t>
      </w:r>
      <w:r>
        <w:rPr>
          <w:color w:val="231F20"/>
          <w:spacing w:val="-18"/>
          <w:w w:val="105"/>
        </w:rPr>
        <w:t> </w:t>
      </w:r>
      <w:r>
        <w:rPr>
          <w:color w:val="231F20"/>
          <w:w w:val="105"/>
        </w:rPr>
        <w:t>ed</w:t>
      </w:r>
      <w:r>
        <w:rPr>
          <w:color w:val="231F20"/>
          <w:spacing w:val="-18"/>
          <w:w w:val="105"/>
        </w:rPr>
        <w:t> </w:t>
      </w:r>
      <w:r>
        <w:rPr>
          <w:color w:val="231F20"/>
          <w:w w:val="105"/>
        </w:rPr>
        <w:t>è</w:t>
      </w:r>
      <w:r>
        <w:rPr>
          <w:color w:val="231F20"/>
          <w:spacing w:val="-18"/>
          <w:w w:val="105"/>
        </w:rPr>
        <w:t> </w:t>
      </w:r>
      <w:r>
        <w:rPr>
          <w:color w:val="231F20"/>
          <w:w w:val="105"/>
        </w:rPr>
        <w:t>suscettibile</w:t>
      </w:r>
      <w:r>
        <w:rPr>
          <w:color w:val="231F20"/>
          <w:spacing w:val="-18"/>
          <w:w w:val="105"/>
        </w:rPr>
        <w:t> </w:t>
      </w:r>
      <w:r>
        <w:rPr>
          <w:color w:val="231F20"/>
          <w:w w:val="105"/>
        </w:rPr>
        <w:t>quindi</w:t>
      </w:r>
      <w:r>
        <w:rPr>
          <w:color w:val="231F20"/>
          <w:spacing w:val="-18"/>
          <w:w w:val="105"/>
        </w:rPr>
        <w:t> </w:t>
      </w:r>
      <w:r>
        <w:rPr>
          <w:color w:val="231F20"/>
          <w:w w:val="105"/>
        </w:rPr>
        <w:t>di</w:t>
      </w:r>
      <w:r>
        <w:rPr>
          <w:color w:val="231F20"/>
          <w:spacing w:val="-18"/>
          <w:w w:val="105"/>
        </w:rPr>
        <w:t> </w:t>
      </w:r>
      <w:r>
        <w:rPr>
          <w:color w:val="231F20"/>
          <w:w w:val="105"/>
        </w:rPr>
        <w:t>letture</w:t>
      </w:r>
      <w:r>
        <w:rPr>
          <w:color w:val="231F20"/>
          <w:spacing w:val="-18"/>
          <w:w w:val="105"/>
        </w:rPr>
        <w:t> </w:t>
      </w:r>
      <w:r>
        <w:rPr>
          <w:color w:val="231F20"/>
          <w:w w:val="105"/>
        </w:rPr>
        <w:t>non</w:t>
      </w:r>
      <w:r>
        <w:rPr>
          <w:color w:val="231F20"/>
          <w:spacing w:val="-18"/>
          <w:w w:val="105"/>
        </w:rPr>
        <w:t> </w:t>
      </w:r>
      <w:r>
        <w:rPr>
          <w:color w:val="231F20"/>
          <w:w w:val="105"/>
        </w:rPr>
        <w:t>solo</w:t>
      </w:r>
      <w:r>
        <w:rPr>
          <w:color w:val="231F20"/>
          <w:spacing w:val="-18"/>
          <w:w w:val="105"/>
        </w:rPr>
        <w:t> </w:t>
      </w:r>
      <w:r>
        <w:rPr>
          <w:color w:val="231F20"/>
          <w:w w:val="105"/>
        </w:rPr>
        <w:t>tecniche e</w:t>
      </w:r>
      <w:r>
        <w:rPr>
          <w:color w:val="231F20"/>
          <w:spacing w:val="-41"/>
          <w:w w:val="105"/>
        </w:rPr>
        <w:t> </w:t>
      </w:r>
      <w:r>
        <w:rPr>
          <w:color w:val="231F20"/>
          <w:w w:val="105"/>
        </w:rPr>
        <w:t>verticali,</w:t>
      </w:r>
      <w:r>
        <w:rPr>
          <w:color w:val="231F20"/>
          <w:spacing w:val="-41"/>
          <w:w w:val="105"/>
        </w:rPr>
        <w:t> </w:t>
      </w:r>
      <w:r>
        <w:rPr>
          <w:color w:val="231F20"/>
          <w:w w:val="105"/>
        </w:rPr>
        <w:t>ma</w:t>
      </w:r>
      <w:r>
        <w:rPr>
          <w:color w:val="231F20"/>
          <w:spacing w:val="-41"/>
          <w:w w:val="105"/>
        </w:rPr>
        <w:t> </w:t>
      </w:r>
      <w:r>
        <w:rPr>
          <w:color w:val="231F20"/>
          <w:w w:val="105"/>
        </w:rPr>
        <w:t>anche</w:t>
      </w:r>
      <w:r>
        <w:rPr>
          <w:color w:val="231F20"/>
          <w:spacing w:val="-41"/>
          <w:w w:val="105"/>
        </w:rPr>
        <w:t> </w:t>
      </w:r>
      <w:r>
        <w:rPr>
          <w:color w:val="231F20"/>
          <w:w w:val="105"/>
        </w:rPr>
        <w:t>eventualmente</w:t>
      </w:r>
      <w:r>
        <w:rPr>
          <w:color w:val="231F20"/>
          <w:spacing w:val="-41"/>
          <w:w w:val="105"/>
        </w:rPr>
        <w:t> </w:t>
      </w:r>
      <w:r>
        <w:rPr>
          <w:color w:val="231F20"/>
          <w:w w:val="105"/>
        </w:rPr>
        <w:t>orizzontali,</w:t>
      </w:r>
      <w:r>
        <w:rPr>
          <w:color w:val="231F20"/>
          <w:spacing w:val="-41"/>
          <w:w w:val="105"/>
        </w:rPr>
        <w:t> </w:t>
      </w:r>
      <w:r>
        <w:rPr>
          <w:color w:val="231F20"/>
          <w:spacing w:val="-3"/>
          <w:w w:val="105"/>
        </w:rPr>
        <w:t>circolari</w:t>
      </w:r>
      <w:r>
        <w:rPr>
          <w:color w:val="231F20"/>
          <w:spacing w:val="-41"/>
          <w:w w:val="105"/>
        </w:rPr>
        <w:t> </w:t>
      </w:r>
      <w:r>
        <w:rPr>
          <w:color w:val="231F20"/>
          <w:w w:val="105"/>
        </w:rPr>
        <w:t>e</w:t>
      </w:r>
      <w:r>
        <w:rPr>
          <w:color w:val="231F20"/>
          <w:spacing w:val="-41"/>
          <w:w w:val="105"/>
        </w:rPr>
        <w:t> </w:t>
      </w:r>
      <w:r>
        <w:rPr>
          <w:color w:val="231F20"/>
          <w:w w:val="105"/>
        </w:rPr>
        <w:t>in</w:t>
      </w:r>
      <w:r>
        <w:rPr>
          <w:color w:val="231F20"/>
          <w:spacing w:val="-41"/>
          <w:w w:val="105"/>
        </w:rPr>
        <w:t> </w:t>
      </w:r>
      <w:r>
        <w:rPr>
          <w:color w:val="231F20"/>
          <w:w w:val="105"/>
        </w:rPr>
        <w:t>qualche</w:t>
      </w:r>
      <w:r>
        <w:rPr>
          <w:color w:val="231F20"/>
          <w:spacing w:val="-41"/>
          <w:w w:val="105"/>
        </w:rPr>
        <w:t> </w:t>
      </w:r>
      <w:r>
        <w:rPr>
          <w:color w:val="231F20"/>
          <w:w w:val="105"/>
        </w:rPr>
        <w:t>modo umanistiche</w:t>
      </w:r>
      <w:r>
        <w:rPr>
          <w:color w:val="231F20"/>
          <w:w w:val="105"/>
          <w:position w:val="7"/>
          <w:sz w:val="12"/>
        </w:rPr>
        <w:t>47</w:t>
      </w:r>
      <w:r>
        <w:rPr>
          <w:color w:val="231F20"/>
          <w:w w:val="105"/>
        </w:rPr>
        <w:t>.</w:t>
      </w:r>
      <w:r>
        <w:rPr>
          <w:color w:val="231F20"/>
          <w:spacing w:val="-26"/>
          <w:w w:val="105"/>
        </w:rPr>
        <w:t> </w:t>
      </w:r>
      <w:r>
        <w:rPr>
          <w:color w:val="231F20"/>
          <w:w w:val="105"/>
        </w:rPr>
        <w:t>Forse</w:t>
      </w:r>
      <w:r>
        <w:rPr>
          <w:color w:val="231F20"/>
          <w:spacing w:val="-26"/>
          <w:w w:val="105"/>
        </w:rPr>
        <w:t> </w:t>
      </w:r>
      <w:r>
        <w:rPr>
          <w:color w:val="231F20"/>
          <w:w w:val="105"/>
        </w:rPr>
        <w:t>non</w:t>
      </w:r>
      <w:r>
        <w:rPr>
          <w:color w:val="231F20"/>
          <w:spacing w:val="-26"/>
          <w:w w:val="105"/>
        </w:rPr>
        <w:t> </w:t>
      </w:r>
      <w:r>
        <w:rPr>
          <w:color w:val="231F20"/>
          <w:w w:val="105"/>
        </w:rPr>
        <w:t>è</w:t>
      </w:r>
      <w:r>
        <w:rPr>
          <w:color w:val="231F20"/>
          <w:spacing w:val="-26"/>
          <w:w w:val="105"/>
        </w:rPr>
        <w:t> </w:t>
      </w:r>
      <w:r>
        <w:rPr>
          <w:color w:val="231F20"/>
          <w:spacing w:val="-3"/>
          <w:w w:val="105"/>
        </w:rPr>
        <w:t>proprio</w:t>
      </w:r>
      <w:r>
        <w:rPr>
          <w:color w:val="231F20"/>
          <w:spacing w:val="-26"/>
          <w:w w:val="105"/>
        </w:rPr>
        <w:t> </w:t>
      </w:r>
      <w:r>
        <w:rPr>
          <w:color w:val="231F20"/>
          <w:w w:val="105"/>
        </w:rPr>
        <w:t>la</w:t>
      </w:r>
      <w:r>
        <w:rPr>
          <w:color w:val="231F20"/>
          <w:spacing w:val="-26"/>
          <w:w w:val="105"/>
        </w:rPr>
        <w:t> </w:t>
      </w:r>
      <w:r>
        <w:rPr>
          <w:color w:val="231F20"/>
          <w:spacing w:val="-4"/>
          <w:w w:val="105"/>
          <w:sz w:val="18"/>
        </w:rPr>
        <w:t>NATO</w:t>
      </w:r>
      <w:r>
        <w:rPr>
          <w:color w:val="231F20"/>
          <w:spacing w:val="-16"/>
          <w:w w:val="105"/>
          <w:sz w:val="18"/>
        </w:rPr>
        <w:t> </w:t>
      </w:r>
      <w:r>
        <w:rPr>
          <w:color w:val="231F20"/>
          <w:w w:val="105"/>
        </w:rPr>
        <w:t>il</w:t>
      </w:r>
      <w:r>
        <w:rPr>
          <w:color w:val="231F20"/>
          <w:spacing w:val="-26"/>
          <w:w w:val="105"/>
        </w:rPr>
        <w:t> </w:t>
      </w:r>
      <w:r>
        <w:rPr>
          <w:color w:val="231F20"/>
          <w:w w:val="105"/>
        </w:rPr>
        <w:t>caso</w:t>
      </w:r>
      <w:r>
        <w:rPr>
          <w:color w:val="231F20"/>
          <w:spacing w:val="-26"/>
          <w:w w:val="105"/>
        </w:rPr>
        <w:t> </w:t>
      </w:r>
      <w:r>
        <w:rPr>
          <w:color w:val="231F20"/>
          <w:w w:val="105"/>
        </w:rPr>
        <w:t>giusto</w:t>
      </w:r>
      <w:r>
        <w:rPr>
          <w:color w:val="231F20"/>
          <w:spacing w:val="-26"/>
          <w:w w:val="105"/>
        </w:rPr>
        <w:t> </w:t>
      </w:r>
      <w:r>
        <w:rPr>
          <w:color w:val="231F20"/>
          <w:w w:val="105"/>
        </w:rPr>
        <w:t>da</w:t>
      </w:r>
      <w:r>
        <w:rPr>
          <w:color w:val="231F20"/>
          <w:spacing w:val="-26"/>
          <w:w w:val="105"/>
        </w:rPr>
        <w:t> </w:t>
      </w:r>
      <w:r>
        <w:rPr>
          <w:color w:val="231F20"/>
          <w:w w:val="105"/>
        </w:rPr>
        <w:t>cui</w:t>
      </w:r>
      <w:r>
        <w:rPr>
          <w:color w:val="231F20"/>
          <w:spacing w:val="-26"/>
          <w:w w:val="105"/>
        </w:rPr>
        <w:t> </w:t>
      </w:r>
      <w:r>
        <w:rPr>
          <w:color w:val="231F20"/>
          <w:w w:val="105"/>
        </w:rPr>
        <w:t>partire,</w:t>
      </w:r>
      <w:r>
        <w:rPr>
          <w:color w:val="231F20"/>
          <w:spacing w:val="-26"/>
          <w:w w:val="105"/>
        </w:rPr>
        <w:t> </w:t>
      </w:r>
      <w:r>
        <w:rPr>
          <w:color w:val="231F20"/>
          <w:w w:val="105"/>
        </w:rPr>
        <w:t>ma </w:t>
      </w:r>
      <w:r>
        <w:rPr>
          <w:color w:val="231F20"/>
          <w:spacing w:val="-3"/>
          <w:w w:val="105"/>
        </w:rPr>
        <w:t>proprio</w:t>
      </w:r>
      <w:r>
        <w:rPr>
          <w:color w:val="231F20"/>
          <w:spacing w:val="-41"/>
          <w:w w:val="105"/>
        </w:rPr>
        <w:t> </w:t>
      </w:r>
      <w:r>
        <w:rPr>
          <w:color w:val="231F20"/>
          <w:w w:val="105"/>
        </w:rPr>
        <w:t>esso</w:t>
      </w:r>
      <w:r>
        <w:rPr>
          <w:color w:val="231F20"/>
          <w:spacing w:val="-41"/>
          <w:w w:val="105"/>
        </w:rPr>
        <w:t> </w:t>
      </w:r>
      <w:r>
        <w:rPr>
          <w:color w:val="231F20"/>
          <w:w w:val="105"/>
        </w:rPr>
        <w:t>mostra</w:t>
      </w:r>
      <w:r>
        <w:rPr>
          <w:color w:val="231F20"/>
          <w:spacing w:val="-41"/>
          <w:w w:val="105"/>
        </w:rPr>
        <w:t> </w:t>
      </w:r>
      <w:r>
        <w:rPr>
          <w:color w:val="231F20"/>
          <w:w w:val="105"/>
        </w:rPr>
        <w:t>come</w:t>
      </w:r>
      <w:r>
        <w:rPr>
          <w:color w:val="231F20"/>
          <w:spacing w:val="-41"/>
          <w:w w:val="105"/>
        </w:rPr>
        <w:t> </w:t>
      </w:r>
      <w:r>
        <w:rPr>
          <w:color w:val="231F20"/>
          <w:w w:val="105"/>
        </w:rPr>
        <w:t>non</w:t>
      </w:r>
      <w:r>
        <w:rPr>
          <w:color w:val="231F20"/>
          <w:spacing w:val="-41"/>
          <w:w w:val="105"/>
        </w:rPr>
        <w:t> </w:t>
      </w:r>
      <w:r>
        <w:rPr>
          <w:color w:val="231F20"/>
          <w:w w:val="105"/>
        </w:rPr>
        <w:t>sia</w:t>
      </w:r>
      <w:r>
        <w:rPr>
          <w:color w:val="231F20"/>
          <w:spacing w:val="-41"/>
          <w:w w:val="105"/>
        </w:rPr>
        <w:t> </w:t>
      </w:r>
      <w:r>
        <w:rPr>
          <w:color w:val="231F20"/>
          <w:w w:val="105"/>
        </w:rPr>
        <w:t>più</w:t>
      </w:r>
      <w:r>
        <w:rPr>
          <w:color w:val="231F20"/>
          <w:spacing w:val="-41"/>
          <w:w w:val="105"/>
        </w:rPr>
        <w:t> </w:t>
      </w:r>
      <w:r>
        <w:rPr>
          <w:color w:val="231F20"/>
          <w:w w:val="105"/>
        </w:rPr>
        <w:t>la</w:t>
      </w:r>
      <w:r>
        <w:rPr>
          <w:color w:val="231F20"/>
          <w:spacing w:val="-41"/>
          <w:w w:val="105"/>
        </w:rPr>
        <w:t> </w:t>
      </w:r>
      <w:r>
        <w:rPr>
          <w:color w:val="231F20"/>
          <w:w w:val="105"/>
        </w:rPr>
        <w:t>legittimazione</w:t>
      </w:r>
      <w:r>
        <w:rPr>
          <w:color w:val="231F20"/>
          <w:spacing w:val="-41"/>
          <w:w w:val="105"/>
        </w:rPr>
        <w:t> </w:t>
      </w:r>
      <w:r>
        <w:rPr>
          <w:color w:val="231F20"/>
          <w:w w:val="105"/>
        </w:rPr>
        <w:t>del</w:t>
      </w:r>
      <w:r>
        <w:rPr>
          <w:color w:val="231F20"/>
          <w:spacing w:val="-41"/>
          <w:w w:val="105"/>
        </w:rPr>
        <w:t> </w:t>
      </w:r>
      <w:r>
        <w:rPr>
          <w:color w:val="231F20"/>
          <w:spacing w:val="-3"/>
          <w:w w:val="105"/>
        </w:rPr>
        <w:t>potere</w:t>
      </w:r>
      <w:r>
        <w:rPr>
          <w:color w:val="231F20"/>
          <w:spacing w:val="-41"/>
          <w:w w:val="105"/>
        </w:rPr>
        <w:t> </w:t>
      </w:r>
      <w:r>
        <w:rPr>
          <w:color w:val="231F20"/>
          <w:w w:val="105"/>
        </w:rPr>
        <w:t>il</w:t>
      </w:r>
      <w:r>
        <w:rPr>
          <w:color w:val="231F20"/>
          <w:spacing w:val="-41"/>
          <w:w w:val="105"/>
        </w:rPr>
        <w:t> </w:t>
      </w:r>
      <w:r>
        <w:rPr>
          <w:color w:val="231F20"/>
          <w:spacing w:val="-3"/>
          <w:w w:val="105"/>
        </w:rPr>
        <w:t>cuore</w:t>
      </w:r>
      <w:r>
        <w:rPr>
          <w:color w:val="231F20"/>
          <w:spacing w:val="-41"/>
          <w:w w:val="105"/>
        </w:rPr>
        <w:t> </w:t>
      </w:r>
      <w:r>
        <w:rPr>
          <w:color w:val="231F20"/>
          <w:spacing w:val="-2"/>
          <w:w w:val="105"/>
        </w:rPr>
        <w:t>del </w:t>
      </w:r>
      <w:r>
        <w:rPr>
          <w:color w:val="231F20"/>
          <w:w w:val="105"/>
        </w:rPr>
        <w:t>politico,</w:t>
      </w:r>
      <w:r>
        <w:rPr>
          <w:color w:val="231F20"/>
          <w:spacing w:val="-47"/>
          <w:w w:val="105"/>
        </w:rPr>
        <w:t> </w:t>
      </w:r>
      <w:r>
        <w:rPr>
          <w:color w:val="231F20"/>
          <w:w w:val="105"/>
        </w:rPr>
        <w:t>ma</w:t>
      </w:r>
      <w:r>
        <w:rPr>
          <w:color w:val="231F20"/>
          <w:spacing w:val="-47"/>
          <w:w w:val="105"/>
        </w:rPr>
        <w:t> </w:t>
      </w:r>
      <w:r>
        <w:rPr>
          <w:color w:val="231F20"/>
          <w:w w:val="105"/>
        </w:rPr>
        <w:t>forse</w:t>
      </w:r>
      <w:r>
        <w:rPr>
          <w:color w:val="231F20"/>
          <w:spacing w:val="-47"/>
          <w:w w:val="105"/>
        </w:rPr>
        <w:t> </w:t>
      </w:r>
      <w:r>
        <w:rPr>
          <w:color w:val="231F20"/>
          <w:w w:val="105"/>
        </w:rPr>
        <w:t>invece</w:t>
      </w:r>
      <w:r>
        <w:rPr>
          <w:color w:val="231F20"/>
          <w:spacing w:val="-47"/>
          <w:w w:val="105"/>
        </w:rPr>
        <w:t> </w:t>
      </w:r>
      <w:r>
        <w:rPr>
          <w:color w:val="231F20"/>
          <w:w w:val="105"/>
        </w:rPr>
        <w:t>una</w:t>
      </w:r>
      <w:r>
        <w:rPr>
          <w:color w:val="231F20"/>
          <w:spacing w:val="-47"/>
          <w:w w:val="105"/>
        </w:rPr>
        <w:t> </w:t>
      </w:r>
      <w:r>
        <w:rPr>
          <w:color w:val="231F20"/>
          <w:w w:val="105"/>
        </w:rPr>
        <w:t>visione</w:t>
      </w:r>
      <w:r>
        <w:rPr>
          <w:color w:val="231F20"/>
          <w:spacing w:val="-47"/>
          <w:w w:val="105"/>
        </w:rPr>
        <w:t> </w:t>
      </w:r>
      <w:r>
        <w:rPr>
          <w:color w:val="231F20"/>
          <w:w w:val="105"/>
        </w:rPr>
        <w:t>alternativa</w:t>
      </w:r>
      <w:r>
        <w:rPr>
          <w:color w:val="231F20"/>
          <w:spacing w:val="-47"/>
          <w:w w:val="105"/>
        </w:rPr>
        <w:t> </w:t>
      </w:r>
      <w:r>
        <w:rPr>
          <w:color w:val="231F20"/>
          <w:w w:val="105"/>
        </w:rPr>
        <w:t>dell’organizzazione,</w:t>
      </w:r>
      <w:r>
        <w:rPr>
          <w:color w:val="231F20"/>
          <w:spacing w:val="-47"/>
          <w:w w:val="105"/>
        </w:rPr>
        <w:t> </w:t>
      </w:r>
      <w:r>
        <w:rPr>
          <w:color w:val="231F20"/>
          <w:spacing w:val="-2"/>
          <w:w w:val="105"/>
        </w:rPr>
        <w:t>basata </w:t>
      </w:r>
      <w:r>
        <w:rPr>
          <w:color w:val="231F20"/>
          <w:w w:val="105"/>
        </w:rPr>
        <w:t>sulla</w:t>
      </w:r>
      <w:r>
        <w:rPr>
          <w:color w:val="231F20"/>
          <w:spacing w:val="-14"/>
          <w:w w:val="105"/>
        </w:rPr>
        <w:t> </w:t>
      </w:r>
      <w:r>
        <w:rPr>
          <w:color w:val="231F20"/>
          <w:w w:val="105"/>
        </w:rPr>
        <w:t>comprensione</w:t>
      </w:r>
      <w:r>
        <w:rPr>
          <w:color w:val="231F20"/>
          <w:spacing w:val="-14"/>
          <w:w w:val="105"/>
        </w:rPr>
        <w:t> </w:t>
      </w:r>
      <w:r>
        <w:rPr>
          <w:color w:val="231F20"/>
          <w:w w:val="105"/>
        </w:rPr>
        <w:t>dell’altro,</w:t>
      </w:r>
      <w:r>
        <w:rPr>
          <w:color w:val="231F20"/>
          <w:spacing w:val="-14"/>
          <w:w w:val="105"/>
        </w:rPr>
        <w:t> </w:t>
      </w:r>
      <w:r>
        <w:rPr>
          <w:color w:val="231F20"/>
          <w:w w:val="105"/>
        </w:rPr>
        <w:t>attraverso</w:t>
      </w:r>
      <w:r>
        <w:rPr>
          <w:color w:val="231F20"/>
          <w:spacing w:val="-14"/>
          <w:w w:val="105"/>
        </w:rPr>
        <w:t> </w:t>
      </w:r>
      <w:r>
        <w:rPr>
          <w:color w:val="231F20"/>
          <w:w w:val="105"/>
        </w:rPr>
        <w:t>anche</w:t>
      </w:r>
      <w:r>
        <w:rPr>
          <w:color w:val="231F20"/>
          <w:spacing w:val="-14"/>
          <w:w w:val="105"/>
        </w:rPr>
        <w:t> </w:t>
      </w:r>
      <w:r>
        <w:rPr>
          <w:color w:val="231F20"/>
          <w:w w:val="105"/>
        </w:rPr>
        <w:t>l’analisi</w:t>
      </w:r>
      <w:r>
        <w:rPr>
          <w:color w:val="231F20"/>
          <w:spacing w:val="-14"/>
          <w:w w:val="105"/>
        </w:rPr>
        <w:t> </w:t>
      </w:r>
      <w:r>
        <w:rPr>
          <w:color w:val="231F20"/>
          <w:w w:val="105"/>
        </w:rPr>
        <w:t>e</w:t>
      </w:r>
      <w:r>
        <w:rPr>
          <w:color w:val="231F20"/>
          <w:spacing w:val="-14"/>
          <w:w w:val="105"/>
        </w:rPr>
        <w:t> </w:t>
      </w:r>
      <w:r>
        <w:rPr>
          <w:color w:val="231F20"/>
          <w:w w:val="105"/>
        </w:rPr>
        <w:t>la</w:t>
      </w:r>
      <w:r>
        <w:rPr>
          <w:color w:val="231F20"/>
          <w:spacing w:val="-14"/>
          <w:w w:val="105"/>
        </w:rPr>
        <w:t> </w:t>
      </w:r>
      <w:r>
        <w:rPr>
          <w:color w:val="231F20"/>
          <w:w w:val="105"/>
        </w:rPr>
        <w:t>critica</w:t>
      </w:r>
      <w:r>
        <w:rPr>
          <w:color w:val="231F20"/>
          <w:spacing w:val="-14"/>
          <w:w w:val="105"/>
        </w:rPr>
        <w:t> </w:t>
      </w:r>
      <w:r>
        <w:rPr>
          <w:color w:val="231F20"/>
          <w:w w:val="105"/>
        </w:rPr>
        <w:t>di</w:t>
      </w:r>
      <w:r>
        <w:rPr>
          <w:color w:val="231F20"/>
          <w:spacing w:val="-14"/>
          <w:w w:val="105"/>
        </w:rPr>
        <w:t> </w:t>
      </w:r>
      <w:r>
        <w:rPr>
          <w:color w:val="231F20"/>
          <w:w w:val="105"/>
        </w:rPr>
        <w:t>sé</w:t>
      </w:r>
      <w:r>
        <w:rPr>
          <w:color w:val="231F20"/>
          <w:spacing w:val="-14"/>
          <w:w w:val="105"/>
        </w:rPr>
        <w:t> </w:t>
      </w:r>
      <w:r>
        <w:rPr>
          <w:color w:val="231F20"/>
          <w:w w:val="105"/>
        </w:rPr>
        <w:t>e dei</w:t>
      </w:r>
      <w:r>
        <w:rPr>
          <w:color w:val="231F20"/>
          <w:spacing w:val="-37"/>
          <w:w w:val="105"/>
        </w:rPr>
        <w:t> </w:t>
      </w:r>
      <w:r>
        <w:rPr>
          <w:color w:val="231F20"/>
          <w:spacing w:val="-3"/>
          <w:w w:val="105"/>
        </w:rPr>
        <w:t>propri</w:t>
      </w:r>
      <w:r>
        <w:rPr>
          <w:color w:val="231F20"/>
          <w:spacing w:val="-37"/>
          <w:w w:val="105"/>
        </w:rPr>
        <w:t> </w:t>
      </w:r>
      <w:r>
        <w:rPr>
          <w:color w:val="231F20"/>
          <w:w w:val="105"/>
        </w:rPr>
        <w:t>miti</w:t>
      </w:r>
      <w:r>
        <w:rPr>
          <w:color w:val="231F20"/>
          <w:spacing w:val="-37"/>
          <w:w w:val="105"/>
        </w:rPr>
        <w:t> </w:t>
      </w:r>
      <w:r>
        <w:rPr>
          <w:color w:val="231F20"/>
          <w:w w:val="105"/>
        </w:rPr>
        <w:t>(o</w:t>
      </w:r>
      <w:r>
        <w:rPr>
          <w:color w:val="231F20"/>
          <w:spacing w:val="-37"/>
          <w:w w:val="105"/>
        </w:rPr>
        <w:t> </w:t>
      </w:r>
      <w:r>
        <w:rPr>
          <w:color w:val="231F20"/>
          <w:w w:val="105"/>
        </w:rPr>
        <w:t>spettri)</w:t>
      </w:r>
      <w:r>
        <w:rPr>
          <w:color w:val="231F20"/>
          <w:spacing w:val="-37"/>
          <w:w w:val="105"/>
        </w:rPr>
        <w:t> </w:t>
      </w:r>
      <w:r>
        <w:rPr>
          <w:color w:val="231F20"/>
          <w:w w:val="105"/>
        </w:rPr>
        <w:t>a</w:t>
      </w:r>
      <w:r>
        <w:rPr>
          <w:color w:val="231F20"/>
          <w:spacing w:val="-37"/>
          <w:w w:val="105"/>
        </w:rPr>
        <w:t> </w:t>
      </w:r>
      <w:r>
        <w:rPr>
          <w:color w:val="231F20"/>
          <w:w w:val="105"/>
        </w:rPr>
        <w:t>partire</w:t>
      </w:r>
      <w:r>
        <w:rPr>
          <w:color w:val="231F20"/>
          <w:spacing w:val="-37"/>
          <w:w w:val="105"/>
        </w:rPr>
        <w:t> </w:t>
      </w:r>
      <w:r>
        <w:rPr>
          <w:color w:val="231F20"/>
          <w:w w:val="105"/>
        </w:rPr>
        <w:t>da</w:t>
      </w:r>
      <w:r>
        <w:rPr>
          <w:color w:val="231F20"/>
          <w:spacing w:val="-37"/>
          <w:w w:val="105"/>
        </w:rPr>
        <w:t> </w:t>
      </w:r>
      <w:r>
        <w:rPr>
          <w:color w:val="231F20"/>
          <w:w w:val="105"/>
        </w:rPr>
        <w:t>quello</w:t>
      </w:r>
      <w:r>
        <w:rPr>
          <w:color w:val="231F20"/>
          <w:spacing w:val="-37"/>
          <w:w w:val="105"/>
        </w:rPr>
        <w:t> </w:t>
      </w:r>
      <w:r>
        <w:rPr>
          <w:color w:val="231F20"/>
          <w:w w:val="105"/>
        </w:rPr>
        <w:t>della</w:t>
      </w:r>
      <w:r>
        <w:rPr>
          <w:color w:val="231F20"/>
          <w:spacing w:val="-37"/>
          <w:w w:val="105"/>
        </w:rPr>
        <w:t> </w:t>
      </w:r>
      <w:r>
        <w:rPr>
          <w:color w:val="231F20"/>
          <w:w w:val="105"/>
        </w:rPr>
        <w:t>razionalità,</w:t>
      </w:r>
      <w:r>
        <w:rPr>
          <w:color w:val="231F20"/>
          <w:spacing w:val="-37"/>
          <w:w w:val="105"/>
        </w:rPr>
        <w:t> </w:t>
      </w:r>
      <w:r>
        <w:rPr>
          <w:color w:val="231F20"/>
          <w:spacing w:val="-3"/>
          <w:w w:val="105"/>
        </w:rPr>
        <w:t>troppo</w:t>
      </w:r>
      <w:r>
        <w:rPr>
          <w:color w:val="231F20"/>
          <w:spacing w:val="-37"/>
          <w:w w:val="105"/>
        </w:rPr>
        <w:t> </w:t>
      </w:r>
      <w:r>
        <w:rPr>
          <w:color w:val="231F20"/>
          <w:w w:val="105"/>
        </w:rPr>
        <w:t>a</w:t>
      </w:r>
      <w:r>
        <w:rPr>
          <w:color w:val="231F20"/>
          <w:spacing w:val="-37"/>
          <w:w w:val="105"/>
        </w:rPr>
        <w:t> </w:t>
      </w:r>
      <w:r>
        <w:rPr>
          <w:color w:val="231F20"/>
          <w:w w:val="105"/>
        </w:rPr>
        <w:t>lungo </w:t>
      </w:r>
      <w:r>
        <w:rPr>
          <w:color w:val="231F20"/>
          <w:spacing w:val="-4"/>
          <w:w w:val="105"/>
        </w:rPr>
        <w:t>impiegato</w:t>
      </w:r>
      <w:r>
        <w:rPr>
          <w:color w:val="231F20"/>
          <w:spacing w:val="-40"/>
          <w:w w:val="105"/>
        </w:rPr>
        <w:t> </w:t>
      </w:r>
      <w:r>
        <w:rPr>
          <w:color w:val="231F20"/>
          <w:spacing w:val="-3"/>
          <w:w w:val="105"/>
        </w:rPr>
        <w:t>per</w:t>
      </w:r>
      <w:r>
        <w:rPr>
          <w:color w:val="231F20"/>
          <w:spacing w:val="-40"/>
          <w:w w:val="105"/>
        </w:rPr>
        <w:t> </w:t>
      </w:r>
      <w:r>
        <w:rPr>
          <w:color w:val="231F20"/>
          <w:spacing w:val="-4"/>
          <w:w w:val="105"/>
        </w:rPr>
        <w:t>misurare</w:t>
      </w:r>
      <w:r>
        <w:rPr>
          <w:color w:val="231F20"/>
          <w:spacing w:val="-40"/>
          <w:w w:val="105"/>
        </w:rPr>
        <w:t> </w:t>
      </w:r>
      <w:r>
        <w:rPr>
          <w:color w:val="231F20"/>
          <w:spacing w:val="-3"/>
          <w:w w:val="105"/>
        </w:rPr>
        <w:t>ogni</w:t>
      </w:r>
      <w:r>
        <w:rPr>
          <w:color w:val="231F20"/>
          <w:spacing w:val="-40"/>
          <w:w w:val="105"/>
        </w:rPr>
        <w:t> </w:t>
      </w:r>
      <w:r>
        <w:rPr>
          <w:color w:val="231F20"/>
          <w:spacing w:val="-3"/>
          <w:w w:val="105"/>
        </w:rPr>
        <w:t>cosa</w:t>
      </w:r>
      <w:r>
        <w:rPr>
          <w:color w:val="231F20"/>
          <w:spacing w:val="-40"/>
          <w:w w:val="105"/>
        </w:rPr>
        <w:t> </w:t>
      </w:r>
      <w:r>
        <w:rPr>
          <w:color w:val="231F20"/>
          <w:spacing w:val="-4"/>
          <w:w w:val="105"/>
        </w:rPr>
        <w:t>secondo</w:t>
      </w:r>
      <w:r>
        <w:rPr>
          <w:color w:val="231F20"/>
          <w:spacing w:val="-40"/>
          <w:w w:val="105"/>
        </w:rPr>
        <w:t> </w:t>
      </w:r>
      <w:r>
        <w:rPr>
          <w:color w:val="231F20"/>
          <w:w w:val="105"/>
        </w:rPr>
        <w:t>il</w:t>
      </w:r>
      <w:r>
        <w:rPr>
          <w:color w:val="231F20"/>
          <w:spacing w:val="-40"/>
          <w:w w:val="105"/>
        </w:rPr>
        <w:t> </w:t>
      </w:r>
      <w:r>
        <w:rPr>
          <w:color w:val="231F20"/>
          <w:spacing w:val="-4"/>
          <w:w w:val="105"/>
        </w:rPr>
        <w:t>metro</w:t>
      </w:r>
      <w:r>
        <w:rPr>
          <w:color w:val="231F20"/>
          <w:spacing w:val="-40"/>
          <w:w w:val="105"/>
        </w:rPr>
        <w:t> </w:t>
      </w:r>
      <w:r>
        <w:rPr>
          <w:color w:val="231F20"/>
          <w:spacing w:val="-4"/>
          <w:w w:val="105"/>
        </w:rPr>
        <w:t>funzionale</w:t>
      </w:r>
      <w:r>
        <w:rPr>
          <w:color w:val="231F20"/>
          <w:spacing w:val="-40"/>
          <w:w w:val="105"/>
        </w:rPr>
        <w:t> </w:t>
      </w:r>
      <w:r>
        <w:rPr>
          <w:color w:val="231F20"/>
          <w:spacing w:val="-3"/>
          <w:w w:val="105"/>
        </w:rPr>
        <w:t>del</w:t>
      </w:r>
      <w:r>
        <w:rPr>
          <w:color w:val="231F20"/>
          <w:spacing w:val="-40"/>
          <w:w w:val="105"/>
        </w:rPr>
        <w:t> </w:t>
      </w:r>
      <w:r>
        <w:rPr>
          <w:color w:val="231F20"/>
          <w:spacing w:val="-5"/>
          <w:w w:val="105"/>
        </w:rPr>
        <w:t>progresso</w:t>
      </w:r>
      <w:r>
        <w:rPr>
          <w:color w:val="231F20"/>
          <w:spacing w:val="-40"/>
          <w:w w:val="105"/>
        </w:rPr>
        <w:t> </w:t>
      </w:r>
      <w:r>
        <w:rPr>
          <w:color w:val="231F20"/>
          <w:w w:val="105"/>
        </w:rPr>
        <w:t>e </w:t>
      </w:r>
      <w:r>
        <w:rPr>
          <w:color w:val="231F20"/>
          <w:spacing w:val="-3"/>
          <w:w w:val="105"/>
        </w:rPr>
        <w:t>della</w:t>
      </w:r>
      <w:r>
        <w:rPr>
          <w:color w:val="231F20"/>
          <w:spacing w:val="-40"/>
          <w:w w:val="105"/>
        </w:rPr>
        <w:t> </w:t>
      </w:r>
      <w:r>
        <w:rPr>
          <w:color w:val="231F20"/>
          <w:spacing w:val="-3"/>
          <w:w w:val="105"/>
        </w:rPr>
        <w:t>felicità,</w:t>
      </w:r>
      <w:r>
        <w:rPr>
          <w:color w:val="231F20"/>
          <w:spacing w:val="-40"/>
          <w:w w:val="105"/>
        </w:rPr>
        <w:t> </w:t>
      </w:r>
      <w:r>
        <w:rPr>
          <w:color w:val="231F20"/>
          <w:w w:val="105"/>
        </w:rPr>
        <w:t>ma</w:t>
      </w:r>
      <w:r>
        <w:rPr>
          <w:color w:val="231F20"/>
          <w:spacing w:val="-40"/>
          <w:w w:val="105"/>
        </w:rPr>
        <w:t> </w:t>
      </w:r>
      <w:r>
        <w:rPr>
          <w:color w:val="231F20"/>
          <w:spacing w:val="-3"/>
          <w:w w:val="105"/>
        </w:rPr>
        <w:t>incurante</w:t>
      </w:r>
      <w:r>
        <w:rPr>
          <w:color w:val="231F20"/>
          <w:spacing w:val="-40"/>
          <w:w w:val="105"/>
        </w:rPr>
        <w:t> </w:t>
      </w:r>
      <w:r>
        <w:rPr>
          <w:color w:val="231F20"/>
          <w:w w:val="105"/>
        </w:rPr>
        <w:t>di</w:t>
      </w:r>
      <w:r>
        <w:rPr>
          <w:color w:val="231F20"/>
          <w:spacing w:val="-40"/>
          <w:w w:val="105"/>
        </w:rPr>
        <w:t> </w:t>
      </w:r>
      <w:r>
        <w:rPr>
          <w:color w:val="231F20"/>
          <w:spacing w:val="-3"/>
          <w:w w:val="105"/>
        </w:rPr>
        <w:t>ogni</w:t>
      </w:r>
      <w:r>
        <w:rPr>
          <w:color w:val="231F20"/>
          <w:spacing w:val="-40"/>
          <w:w w:val="105"/>
        </w:rPr>
        <w:t> </w:t>
      </w:r>
      <w:r>
        <w:rPr>
          <w:color w:val="231F20"/>
          <w:spacing w:val="-3"/>
          <w:w w:val="105"/>
        </w:rPr>
        <w:t>“ragione”</w:t>
      </w:r>
      <w:r>
        <w:rPr>
          <w:color w:val="231F20"/>
          <w:spacing w:val="-40"/>
          <w:w w:val="105"/>
        </w:rPr>
        <w:t> </w:t>
      </w:r>
      <w:r>
        <w:rPr>
          <w:color w:val="231F20"/>
          <w:spacing w:val="-3"/>
          <w:w w:val="105"/>
        </w:rPr>
        <w:t>altra.</w:t>
      </w:r>
      <w:r>
        <w:rPr>
          <w:color w:val="231F20"/>
          <w:spacing w:val="-40"/>
          <w:w w:val="105"/>
        </w:rPr>
        <w:t> </w:t>
      </w:r>
      <w:r>
        <w:rPr>
          <w:color w:val="231F20"/>
          <w:spacing w:val="-3"/>
          <w:w w:val="105"/>
        </w:rPr>
        <w:t>Quando</w:t>
      </w:r>
      <w:r>
        <w:rPr>
          <w:color w:val="231F20"/>
          <w:spacing w:val="-40"/>
          <w:w w:val="105"/>
        </w:rPr>
        <w:t> </w:t>
      </w:r>
      <w:r>
        <w:rPr>
          <w:color w:val="231F20"/>
          <w:spacing w:val="-3"/>
          <w:w w:val="105"/>
        </w:rPr>
        <w:t>invece</w:t>
      </w:r>
      <w:r>
        <w:rPr>
          <w:color w:val="231F20"/>
          <w:spacing w:val="-40"/>
          <w:w w:val="105"/>
        </w:rPr>
        <w:t> </w:t>
      </w:r>
      <w:r>
        <w:rPr>
          <w:color w:val="231F20"/>
          <w:spacing w:val="-3"/>
          <w:w w:val="105"/>
        </w:rPr>
        <w:t>sembra</w:t>
      </w:r>
      <w:r>
        <w:rPr>
          <w:color w:val="231F20"/>
          <w:spacing w:val="-40"/>
          <w:w w:val="105"/>
        </w:rPr>
        <w:t> </w:t>
      </w:r>
      <w:r>
        <w:rPr>
          <w:color w:val="231F20"/>
          <w:spacing w:val="-3"/>
          <w:w w:val="105"/>
        </w:rPr>
        <w:t>che </w:t>
      </w:r>
      <w:r>
        <w:rPr>
          <w:color w:val="231F20"/>
          <w:w w:val="105"/>
        </w:rPr>
        <w:t>siano</w:t>
      </w:r>
      <w:r>
        <w:rPr>
          <w:color w:val="231F20"/>
          <w:spacing w:val="-42"/>
          <w:w w:val="105"/>
        </w:rPr>
        <w:t> </w:t>
      </w:r>
      <w:r>
        <w:rPr>
          <w:color w:val="231F20"/>
          <w:spacing w:val="-3"/>
          <w:w w:val="105"/>
        </w:rPr>
        <w:t>proprio</w:t>
      </w:r>
      <w:r>
        <w:rPr>
          <w:color w:val="231F20"/>
          <w:spacing w:val="-42"/>
          <w:w w:val="105"/>
        </w:rPr>
        <w:t> </w:t>
      </w:r>
      <w:r>
        <w:rPr>
          <w:color w:val="231F20"/>
          <w:w w:val="105"/>
        </w:rPr>
        <w:t>“altre”</w:t>
      </w:r>
      <w:r>
        <w:rPr>
          <w:color w:val="231F20"/>
          <w:spacing w:val="-42"/>
          <w:w w:val="105"/>
        </w:rPr>
        <w:t> </w:t>
      </w:r>
      <w:r>
        <w:rPr>
          <w:color w:val="231F20"/>
          <w:w w:val="105"/>
        </w:rPr>
        <w:t>le</w:t>
      </w:r>
      <w:r>
        <w:rPr>
          <w:color w:val="231F20"/>
          <w:spacing w:val="-42"/>
          <w:w w:val="105"/>
        </w:rPr>
        <w:t> </w:t>
      </w:r>
      <w:r>
        <w:rPr>
          <w:color w:val="231F20"/>
          <w:w w:val="105"/>
        </w:rPr>
        <w:t>ragioni</w:t>
      </w:r>
      <w:r>
        <w:rPr>
          <w:color w:val="231F20"/>
          <w:spacing w:val="-42"/>
          <w:w w:val="105"/>
        </w:rPr>
        <w:t> </w:t>
      </w:r>
      <w:r>
        <w:rPr>
          <w:color w:val="231F20"/>
          <w:w w:val="105"/>
        </w:rPr>
        <w:t>necessarie</w:t>
      </w:r>
      <w:r>
        <w:rPr>
          <w:color w:val="231F20"/>
          <w:spacing w:val="-42"/>
          <w:w w:val="105"/>
        </w:rPr>
        <w:t> </w:t>
      </w:r>
      <w:r>
        <w:rPr>
          <w:color w:val="231F20"/>
          <w:w w:val="105"/>
        </w:rPr>
        <w:t>per</w:t>
      </w:r>
      <w:r>
        <w:rPr>
          <w:color w:val="231F20"/>
          <w:spacing w:val="-42"/>
          <w:w w:val="105"/>
        </w:rPr>
        <w:t> </w:t>
      </w:r>
      <w:r>
        <w:rPr>
          <w:color w:val="231F20"/>
          <w:spacing w:val="-3"/>
          <w:w w:val="105"/>
        </w:rPr>
        <w:t>montare</w:t>
      </w:r>
      <w:r>
        <w:rPr>
          <w:color w:val="231F20"/>
          <w:spacing w:val="-42"/>
          <w:w w:val="105"/>
        </w:rPr>
        <w:t> </w:t>
      </w:r>
      <w:r>
        <w:rPr>
          <w:color w:val="231F20"/>
          <w:w w:val="105"/>
        </w:rPr>
        <w:t>ipotesi</w:t>
      </w:r>
      <w:r>
        <w:rPr>
          <w:color w:val="231F20"/>
          <w:spacing w:val="-42"/>
          <w:w w:val="105"/>
        </w:rPr>
        <w:t> </w:t>
      </w:r>
      <w:r>
        <w:rPr>
          <w:color w:val="231F20"/>
          <w:w w:val="105"/>
        </w:rPr>
        <w:t>di</w:t>
      </w:r>
      <w:r>
        <w:rPr>
          <w:color w:val="231F20"/>
          <w:spacing w:val="-42"/>
          <w:w w:val="105"/>
        </w:rPr>
        <w:t> </w:t>
      </w:r>
      <w:r>
        <w:rPr>
          <w:color w:val="231F20"/>
          <w:w w:val="105"/>
        </w:rPr>
        <w:t>convivenza destinate</w:t>
      </w:r>
      <w:r>
        <w:rPr>
          <w:color w:val="231F20"/>
          <w:spacing w:val="-44"/>
          <w:w w:val="105"/>
        </w:rPr>
        <w:t> </w:t>
      </w:r>
      <w:r>
        <w:rPr>
          <w:color w:val="231F20"/>
          <w:w w:val="105"/>
        </w:rPr>
        <w:t>agli</w:t>
      </w:r>
      <w:r>
        <w:rPr>
          <w:color w:val="231F20"/>
          <w:spacing w:val="-44"/>
          <w:w w:val="105"/>
        </w:rPr>
        <w:t> </w:t>
      </w:r>
      <w:r>
        <w:rPr>
          <w:color w:val="231F20"/>
          <w:w w:val="105"/>
        </w:rPr>
        <w:t>spazi–tempi</w:t>
      </w:r>
      <w:r>
        <w:rPr>
          <w:color w:val="231F20"/>
          <w:spacing w:val="-44"/>
          <w:w w:val="105"/>
        </w:rPr>
        <w:t> </w:t>
      </w:r>
      <w:r>
        <w:rPr>
          <w:color w:val="231F20"/>
          <w:w w:val="105"/>
        </w:rPr>
        <w:t>oggi</w:t>
      </w:r>
      <w:r>
        <w:rPr>
          <w:color w:val="231F20"/>
          <w:spacing w:val="-44"/>
          <w:w w:val="105"/>
        </w:rPr>
        <w:t> </w:t>
      </w:r>
      <w:r>
        <w:rPr>
          <w:color w:val="231F20"/>
          <w:w w:val="105"/>
        </w:rPr>
        <w:t>necessari</w:t>
      </w:r>
      <w:r>
        <w:rPr>
          <w:color w:val="231F20"/>
          <w:spacing w:val="-44"/>
          <w:w w:val="105"/>
        </w:rPr>
        <w:t> </w:t>
      </w:r>
      <w:r>
        <w:rPr>
          <w:color w:val="231F20"/>
          <w:w w:val="105"/>
        </w:rPr>
        <w:t>per</w:t>
      </w:r>
      <w:r>
        <w:rPr>
          <w:color w:val="231F20"/>
          <w:spacing w:val="-44"/>
          <w:w w:val="105"/>
        </w:rPr>
        <w:t> </w:t>
      </w:r>
      <w:r>
        <w:rPr>
          <w:color w:val="231F20"/>
          <w:spacing w:val="-3"/>
          <w:w w:val="105"/>
        </w:rPr>
        <w:t>fare</w:t>
      </w:r>
      <w:r>
        <w:rPr>
          <w:color w:val="231F20"/>
          <w:spacing w:val="-44"/>
          <w:w w:val="105"/>
        </w:rPr>
        <w:t> </w:t>
      </w:r>
      <w:r>
        <w:rPr>
          <w:color w:val="231F20"/>
          <w:w w:val="105"/>
        </w:rPr>
        <w:t>politica.</w:t>
      </w:r>
      <w:r>
        <w:rPr>
          <w:color w:val="231F20"/>
          <w:spacing w:val="-44"/>
          <w:w w:val="105"/>
        </w:rPr>
        <w:t> </w:t>
      </w:r>
      <w:r>
        <w:rPr>
          <w:color w:val="231F20"/>
          <w:w w:val="105"/>
        </w:rPr>
        <w:t>Altri</w:t>
      </w:r>
      <w:r>
        <w:rPr>
          <w:color w:val="231F20"/>
          <w:spacing w:val="-44"/>
          <w:w w:val="105"/>
        </w:rPr>
        <w:t> </w:t>
      </w:r>
      <w:r>
        <w:rPr>
          <w:color w:val="231F20"/>
          <w:w w:val="105"/>
        </w:rPr>
        <w:t>spazi,</w:t>
      </w:r>
      <w:r>
        <w:rPr>
          <w:color w:val="231F20"/>
          <w:spacing w:val="-44"/>
          <w:w w:val="105"/>
        </w:rPr>
        <w:t> </w:t>
      </w:r>
      <w:r>
        <w:rPr>
          <w:color w:val="231F20"/>
          <w:w w:val="105"/>
        </w:rPr>
        <w:t>tempi</w:t>
      </w:r>
    </w:p>
    <w:p>
      <w:pPr>
        <w:pStyle w:val="BodyText"/>
        <w:spacing w:before="6"/>
        <w:rPr>
          <w:sz w:val="18"/>
        </w:rPr>
      </w:pPr>
      <w:r>
        <w:rPr/>
        <w:pict>
          <v:line style="position:absolute;mso-position-horizontal-relative:page;mso-position-vertical-relative:paragraph;z-index:13000;mso-wrap-distance-left:0;mso-wrap-distance-right:0" from="65.196899pt,13.306985pt" to="178.582899pt,13.306985pt" stroked="true" strokeweight=".3pt" strokecolor="#231f20">
            <w10:wrap type="topAndBottom"/>
          </v:line>
        </w:pict>
      </w:r>
    </w:p>
    <w:p>
      <w:pPr>
        <w:spacing w:line="204" w:lineRule="exact" w:before="9"/>
        <w:ind w:left="103" w:right="115" w:firstLine="0"/>
        <w:jc w:val="both"/>
        <w:rPr>
          <w:rFonts w:ascii="Calibri"/>
          <w:sz w:val="17"/>
        </w:rPr>
      </w:pPr>
      <w:r>
        <w:rPr>
          <w:rFonts w:ascii="Calibri"/>
          <w:color w:val="231F20"/>
          <w:position w:val="6"/>
          <w:sz w:val="10"/>
        </w:rPr>
        <w:t>45 </w:t>
      </w:r>
      <w:r>
        <w:rPr>
          <w:rFonts w:ascii="Calibri"/>
          <w:color w:val="231F20"/>
          <w:sz w:val="17"/>
        </w:rPr>
        <w:t>M. Battistini, </w:t>
      </w:r>
      <w:r>
        <w:rPr>
          <w:rFonts w:ascii="Calibri"/>
          <w:i/>
          <w:color w:val="231F20"/>
          <w:sz w:val="17"/>
        </w:rPr>
        <w:t>Una Rivoluzione per lo Stato. Thomas Paine e la Rivoluzione americana nel Mondo </w:t>
      </w:r>
      <w:r>
        <w:rPr>
          <w:rFonts w:ascii="Calibri"/>
          <w:i/>
          <w:color w:val="231F20"/>
          <w:sz w:val="17"/>
        </w:rPr>
        <w:t>Atlantico</w:t>
      </w:r>
      <w:r>
        <w:rPr>
          <w:rFonts w:ascii="Calibri"/>
          <w:color w:val="231F20"/>
          <w:sz w:val="17"/>
        </w:rPr>
        <w:t>, Soveria Mannelli, Rubettino, 2012.</w:t>
      </w:r>
    </w:p>
    <w:p>
      <w:pPr>
        <w:spacing w:line="206" w:lineRule="exact" w:before="1"/>
        <w:ind w:left="103" w:right="0" w:firstLine="0"/>
        <w:jc w:val="both"/>
        <w:rPr>
          <w:rFonts w:ascii="Calibri" w:hAnsi="Calibri"/>
          <w:i/>
          <w:sz w:val="17"/>
        </w:rPr>
      </w:pPr>
      <w:r>
        <w:rPr>
          <w:rFonts w:ascii="Calibri" w:hAnsi="Calibri"/>
          <w:color w:val="231F20"/>
          <w:position w:val="6"/>
          <w:sz w:val="10"/>
        </w:rPr>
        <w:t>46  </w:t>
      </w:r>
      <w:r>
        <w:rPr>
          <w:rFonts w:ascii="Calibri" w:hAnsi="Calibri"/>
          <w:color w:val="231F20"/>
          <w:sz w:val="17"/>
        </w:rPr>
        <w:t>P.  Rudan, </w:t>
      </w:r>
      <w:r>
        <w:rPr>
          <w:rFonts w:ascii="Calibri" w:hAnsi="Calibri"/>
          <w:i/>
          <w:color w:val="231F20"/>
          <w:sz w:val="17"/>
        </w:rPr>
        <w:t>Por la senda del Occidente. Republicanismo y constitución en el pensamiento político  de</w:t>
      </w:r>
    </w:p>
    <w:p>
      <w:pPr>
        <w:spacing w:line="204" w:lineRule="exact" w:before="0"/>
        <w:ind w:left="103" w:right="0" w:firstLine="0"/>
        <w:jc w:val="both"/>
        <w:rPr>
          <w:rFonts w:ascii="Calibri" w:hAnsi="Calibri"/>
          <w:sz w:val="17"/>
        </w:rPr>
      </w:pPr>
      <w:r>
        <w:rPr>
          <w:rFonts w:ascii="Calibri" w:hAnsi="Calibri"/>
          <w:i/>
          <w:color w:val="231F20"/>
          <w:sz w:val="17"/>
        </w:rPr>
        <w:t>Simón Bolívar</w:t>
      </w:r>
      <w:r>
        <w:rPr>
          <w:rFonts w:ascii="Calibri" w:hAnsi="Calibri"/>
          <w:color w:val="231F20"/>
          <w:sz w:val="17"/>
        </w:rPr>
        <w:t>, Madrid, Biblioteca nueva, 2007.</w:t>
      </w:r>
    </w:p>
    <w:p>
      <w:pPr>
        <w:spacing w:line="235" w:lineRule="auto" w:before="1"/>
        <w:ind w:left="103" w:right="115" w:firstLine="0"/>
        <w:jc w:val="both"/>
        <w:rPr>
          <w:rFonts w:ascii="Calibri" w:hAnsi="Calibri"/>
          <w:sz w:val="17"/>
        </w:rPr>
      </w:pPr>
      <w:r>
        <w:rPr>
          <w:rFonts w:ascii="Calibri" w:hAnsi="Calibri"/>
          <w:color w:val="231F20"/>
          <w:position w:val="6"/>
          <w:sz w:val="10"/>
        </w:rPr>
        <w:t>47  </w:t>
      </w:r>
      <w:r>
        <w:rPr>
          <w:rFonts w:ascii="Calibri" w:hAnsi="Calibri"/>
          <w:color w:val="231F20"/>
          <w:sz w:val="17"/>
        </w:rPr>
        <w:t>E. </w:t>
      </w:r>
      <w:r>
        <w:rPr>
          <w:rFonts w:ascii="Calibri" w:hAnsi="Calibri"/>
          <w:color w:val="231F20"/>
          <w:spacing w:val="-6"/>
          <w:sz w:val="17"/>
        </w:rPr>
        <w:t>W. </w:t>
      </w:r>
      <w:r>
        <w:rPr>
          <w:rFonts w:ascii="Calibri" w:hAnsi="Calibri"/>
          <w:color w:val="231F20"/>
          <w:sz w:val="17"/>
        </w:rPr>
        <w:t>Böckenförde, „Organ, Organismus, Organisation, politischer Körper“, O. Brunner, </w:t>
      </w:r>
      <w:r>
        <w:rPr>
          <w:rFonts w:ascii="Calibri" w:hAnsi="Calibri"/>
          <w:color w:val="231F20"/>
          <w:spacing w:val="-6"/>
          <w:sz w:val="17"/>
        </w:rPr>
        <w:t>W. </w:t>
      </w:r>
      <w:r>
        <w:rPr>
          <w:rFonts w:ascii="Calibri" w:hAnsi="Calibri"/>
          <w:color w:val="231F20"/>
          <w:sz w:val="17"/>
        </w:rPr>
        <w:t>Conze  y</w:t>
      </w:r>
      <w:r>
        <w:rPr>
          <w:rFonts w:ascii="Calibri" w:hAnsi="Calibri"/>
          <w:color w:val="231F20"/>
          <w:spacing w:val="-8"/>
          <w:sz w:val="17"/>
        </w:rPr>
        <w:t> </w:t>
      </w:r>
      <w:r>
        <w:rPr>
          <w:rFonts w:ascii="Calibri" w:hAnsi="Calibri"/>
          <w:color w:val="231F20"/>
          <w:sz w:val="17"/>
        </w:rPr>
        <w:t>R.</w:t>
      </w:r>
      <w:r>
        <w:rPr>
          <w:rFonts w:ascii="Calibri" w:hAnsi="Calibri"/>
          <w:color w:val="231F20"/>
          <w:spacing w:val="-8"/>
          <w:sz w:val="17"/>
        </w:rPr>
        <w:t> </w:t>
      </w:r>
      <w:r>
        <w:rPr>
          <w:rFonts w:ascii="Calibri" w:hAnsi="Calibri"/>
          <w:color w:val="231F20"/>
          <w:sz w:val="17"/>
        </w:rPr>
        <w:t>Koselleck</w:t>
      </w:r>
      <w:r>
        <w:rPr>
          <w:rFonts w:ascii="Calibri" w:hAnsi="Calibri"/>
          <w:color w:val="231F20"/>
          <w:spacing w:val="-8"/>
          <w:sz w:val="17"/>
        </w:rPr>
        <w:t> </w:t>
      </w:r>
      <w:r>
        <w:rPr>
          <w:rFonts w:ascii="Calibri" w:hAnsi="Calibri"/>
          <w:color w:val="231F20"/>
          <w:sz w:val="17"/>
        </w:rPr>
        <w:t>(Eds.),</w:t>
      </w:r>
      <w:r>
        <w:rPr>
          <w:rFonts w:ascii="Calibri" w:hAnsi="Calibri"/>
          <w:color w:val="231F20"/>
          <w:spacing w:val="-8"/>
          <w:sz w:val="17"/>
        </w:rPr>
        <w:t> </w:t>
      </w:r>
      <w:r>
        <w:rPr>
          <w:rFonts w:ascii="Calibri" w:hAnsi="Calibri"/>
          <w:i/>
          <w:color w:val="231F20"/>
          <w:sz w:val="17"/>
        </w:rPr>
        <w:t>Geschichtliche</w:t>
      </w:r>
      <w:r>
        <w:rPr>
          <w:rFonts w:ascii="Calibri" w:hAnsi="Calibri"/>
          <w:i/>
          <w:color w:val="231F20"/>
          <w:spacing w:val="-8"/>
          <w:sz w:val="17"/>
        </w:rPr>
        <w:t> </w:t>
      </w:r>
      <w:r>
        <w:rPr>
          <w:rFonts w:ascii="Calibri" w:hAnsi="Calibri"/>
          <w:i/>
          <w:color w:val="231F20"/>
          <w:sz w:val="17"/>
        </w:rPr>
        <w:t>Grundbegriffe.</w:t>
      </w:r>
      <w:r>
        <w:rPr>
          <w:rFonts w:ascii="Calibri" w:hAnsi="Calibri"/>
          <w:i/>
          <w:color w:val="231F20"/>
          <w:spacing w:val="-8"/>
          <w:sz w:val="17"/>
        </w:rPr>
        <w:t> </w:t>
      </w:r>
      <w:r>
        <w:rPr>
          <w:rFonts w:ascii="Calibri" w:hAnsi="Calibri"/>
          <w:i/>
          <w:color w:val="231F20"/>
          <w:sz w:val="17"/>
        </w:rPr>
        <w:t>Historisches</w:t>
      </w:r>
      <w:r>
        <w:rPr>
          <w:rFonts w:ascii="Calibri" w:hAnsi="Calibri"/>
          <w:i/>
          <w:color w:val="231F20"/>
          <w:spacing w:val="-8"/>
          <w:sz w:val="17"/>
        </w:rPr>
        <w:t> </w:t>
      </w:r>
      <w:r>
        <w:rPr>
          <w:rFonts w:ascii="Calibri" w:hAnsi="Calibri"/>
          <w:i/>
          <w:color w:val="231F20"/>
          <w:sz w:val="17"/>
        </w:rPr>
        <w:t>Lexikon</w:t>
      </w:r>
      <w:r>
        <w:rPr>
          <w:rFonts w:ascii="Calibri" w:hAnsi="Calibri"/>
          <w:i/>
          <w:color w:val="231F20"/>
          <w:spacing w:val="-8"/>
          <w:sz w:val="17"/>
        </w:rPr>
        <w:t> </w:t>
      </w:r>
      <w:r>
        <w:rPr>
          <w:rFonts w:ascii="Calibri" w:hAnsi="Calibri"/>
          <w:i/>
          <w:color w:val="231F20"/>
          <w:sz w:val="17"/>
        </w:rPr>
        <w:t>zur</w:t>
      </w:r>
      <w:r>
        <w:rPr>
          <w:rFonts w:ascii="Calibri" w:hAnsi="Calibri"/>
          <w:i/>
          <w:color w:val="231F20"/>
          <w:spacing w:val="-8"/>
          <w:sz w:val="17"/>
        </w:rPr>
        <w:t> </w:t>
      </w:r>
      <w:r>
        <w:rPr>
          <w:rFonts w:ascii="Calibri" w:hAnsi="Calibri"/>
          <w:i/>
          <w:color w:val="231F20"/>
          <w:sz w:val="17"/>
        </w:rPr>
        <w:t>politisch–sozialen</w:t>
      </w:r>
      <w:r>
        <w:rPr>
          <w:rFonts w:ascii="Calibri" w:hAnsi="Calibri"/>
          <w:i/>
          <w:color w:val="231F20"/>
          <w:spacing w:val="-8"/>
          <w:sz w:val="17"/>
        </w:rPr>
        <w:t> </w:t>
      </w:r>
      <w:r>
        <w:rPr>
          <w:rFonts w:ascii="Calibri" w:hAnsi="Calibri"/>
          <w:i/>
          <w:color w:val="231F20"/>
          <w:sz w:val="17"/>
        </w:rPr>
        <w:t>Sprache </w:t>
      </w:r>
      <w:r>
        <w:rPr>
          <w:rFonts w:ascii="Calibri" w:hAnsi="Calibri"/>
          <w:i/>
          <w:color w:val="231F20"/>
          <w:sz w:val="17"/>
        </w:rPr>
        <w:t>in Deutschland</w:t>
      </w:r>
      <w:r>
        <w:rPr>
          <w:rFonts w:ascii="Calibri" w:hAnsi="Calibri"/>
          <w:color w:val="231F20"/>
          <w:sz w:val="17"/>
        </w:rPr>
        <w:t>, Stuttgart, Klett–Cotta, 1978, pp.</w:t>
      </w:r>
      <w:r>
        <w:rPr>
          <w:rFonts w:ascii="Calibri" w:hAnsi="Calibri"/>
          <w:color w:val="231F20"/>
          <w:spacing w:val="32"/>
          <w:sz w:val="17"/>
        </w:rPr>
        <w:t> </w:t>
      </w:r>
      <w:r>
        <w:rPr>
          <w:rFonts w:ascii="Calibri" w:hAnsi="Calibri"/>
          <w:color w:val="231F20"/>
          <w:sz w:val="17"/>
        </w:rPr>
        <w:t>519–622.</w:t>
      </w:r>
    </w:p>
    <w:p>
      <w:pPr>
        <w:pStyle w:val="BodyText"/>
        <w:rPr>
          <w:rFonts w:ascii="Calibri"/>
          <w:sz w:val="20"/>
        </w:rPr>
      </w:pPr>
    </w:p>
    <w:p>
      <w:pPr>
        <w:pStyle w:val="BodyText"/>
        <w:spacing w:before="10"/>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2376"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104</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2991"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235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30"/>
          <w:sz w:val="14"/>
        </w:rPr>
        <w:t> </w:t>
      </w:r>
      <w:r>
        <w:rPr>
          <w:rFonts w:ascii="Lucida Sans Unicode" w:hAnsi="Lucida Sans Unicode"/>
          <w:color w:val="6D6E71"/>
          <w:spacing w:val="-4"/>
          <w:sz w:val="14"/>
        </w:rPr>
        <w:t>STATO</w:t>
      </w:r>
      <w:r>
        <w:rPr>
          <w:rFonts w:ascii="Lucida Sans Unicode" w:hAnsi="Lucida Sans Unicode"/>
          <w:color w:val="6D6E71"/>
          <w:spacing w:val="-30"/>
          <w:sz w:val="14"/>
        </w:rPr>
        <w:t> </w:t>
      </w:r>
      <w:r>
        <w:rPr>
          <w:rFonts w:ascii="Lucida Sans Unicode" w:hAnsi="Lucida Sans Unicode"/>
          <w:color w:val="6D6E71"/>
          <w:sz w:val="14"/>
        </w:rPr>
        <w:t>MODERNO,</w:t>
      </w:r>
      <w:r>
        <w:rPr>
          <w:rFonts w:ascii="Lucida Sans Unicode" w:hAnsi="Lucida Sans Unicode"/>
          <w:color w:val="6D6E71"/>
          <w:spacing w:val="-30"/>
          <w:sz w:val="14"/>
        </w:rPr>
        <w:t> </w:t>
      </w:r>
      <w:r>
        <w:rPr>
          <w:rFonts w:ascii="Lucida Sans Unicode" w:hAnsi="Lucida Sans Unicode"/>
          <w:color w:val="6D6E71"/>
          <w:sz w:val="14"/>
        </w:rPr>
        <w:t>AL</w:t>
      </w:r>
      <w:r>
        <w:rPr>
          <w:rFonts w:ascii="Lucida Sans Unicode" w:hAnsi="Lucida Sans Unicode"/>
          <w:color w:val="6D6E71"/>
          <w:spacing w:val="-30"/>
          <w:sz w:val="14"/>
        </w:rPr>
        <w:t> </w:t>
      </w:r>
      <w:r>
        <w:rPr>
          <w:rFonts w:ascii="Lucida Sans Unicode" w:hAnsi="Lucida Sans Unicode"/>
          <w:color w:val="6D6E71"/>
          <w:sz w:val="14"/>
        </w:rPr>
        <w:t>GIORNO</w:t>
      </w:r>
      <w:r>
        <w:rPr>
          <w:rFonts w:ascii="Lucida Sans Unicode" w:hAnsi="Lucida Sans Unicode"/>
          <w:color w:val="6D6E71"/>
          <w:spacing w:val="-30"/>
          <w:sz w:val="14"/>
        </w:rPr>
        <w:t> </w:t>
      </w:r>
      <w:r>
        <w:rPr>
          <w:rFonts w:ascii="Lucida Sans Unicode" w:hAnsi="Lucida Sans Unicode"/>
          <w:color w:val="6D6E71"/>
          <w:sz w:val="14"/>
        </w:rPr>
        <w:t>D’OGGI</w:t>
      </w:r>
      <w:r>
        <w:rPr>
          <w:rFonts w:ascii="Lucida Sans Unicode" w:hAnsi="Lucida Sans Unicode"/>
          <w:color w:val="6D6E71"/>
          <w:spacing w:val="-30"/>
          <w:sz w:val="14"/>
        </w:rPr>
        <w:t> </w:t>
      </w:r>
      <w:r>
        <w:rPr>
          <w:rFonts w:ascii="Lucida Sans Unicode" w:hAnsi="Lucida Sans Unicode"/>
          <w:color w:val="6D6E71"/>
          <w:sz w:val="14"/>
        </w:rPr>
        <w:t>E</w:t>
      </w:r>
      <w:r>
        <w:rPr>
          <w:rFonts w:ascii="Lucida Sans Unicode" w:hAnsi="Lucida Sans Unicode"/>
          <w:color w:val="6D6E71"/>
          <w:spacing w:val="-30"/>
          <w:sz w:val="14"/>
        </w:rPr>
        <w:t> </w:t>
      </w:r>
      <w:r>
        <w:rPr>
          <w:rFonts w:ascii="Lucida Sans Unicode" w:hAnsi="Lucida Sans Unicode"/>
          <w:color w:val="6D6E71"/>
          <w:sz w:val="14"/>
        </w:rPr>
        <w:t>DI</w:t>
      </w:r>
      <w:r>
        <w:rPr>
          <w:rFonts w:ascii="Lucida Sans Unicode" w:hAnsi="Lucida Sans Unicode"/>
          <w:color w:val="6D6E71"/>
          <w:spacing w:val="-30"/>
          <w:sz w:val="14"/>
        </w:rPr>
        <w:t> </w:t>
      </w:r>
      <w:r>
        <w:rPr>
          <w:rFonts w:ascii="Lucida Sans Unicode" w:hAnsi="Lucida Sans Unicode"/>
          <w:color w:val="6D6E71"/>
          <w:sz w:val="14"/>
        </w:rPr>
        <w:t>DOMANI</w:t>
      </w:r>
      <w:r>
        <w:rPr>
          <w:rFonts w:ascii="Trebuchet MS" w:hAnsi="Trebuchet MS"/>
          <w:color w:val="414042"/>
          <w:position w:val="-3"/>
          <w:sz w:val="20"/>
        </w:rPr>
        <w:tab/>
        <w:t>105</w:t>
      </w:r>
    </w:p>
    <w:p>
      <w:pPr>
        <w:pStyle w:val="BodyText"/>
        <w:spacing w:line="247" w:lineRule="auto" w:before="621"/>
        <w:ind w:left="90" w:right="109"/>
        <w:jc w:val="right"/>
      </w:pPr>
      <w:r>
        <w:rPr>
          <w:color w:val="231F20"/>
          <w:w w:val="105"/>
        </w:rPr>
        <w:t>e</w:t>
      </w:r>
      <w:r>
        <w:rPr>
          <w:color w:val="231F20"/>
          <w:spacing w:val="-36"/>
          <w:w w:val="105"/>
        </w:rPr>
        <w:t> </w:t>
      </w:r>
      <w:r>
        <w:rPr>
          <w:color w:val="231F20"/>
          <w:w w:val="105"/>
        </w:rPr>
        <w:t>“persone”,</w:t>
      </w:r>
      <w:r>
        <w:rPr>
          <w:color w:val="231F20"/>
          <w:spacing w:val="-36"/>
          <w:w w:val="105"/>
        </w:rPr>
        <w:t> </w:t>
      </w:r>
      <w:r>
        <w:rPr>
          <w:color w:val="231F20"/>
          <w:w w:val="105"/>
        </w:rPr>
        <w:t>alla</w:t>
      </w:r>
      <w:r>
        <w:rPr>
          <w:color w:val="231F20"/>
          <w:spacing w:val="-36"/>
          <w:w w:val="105"/>
        </w:rPr>
        <w:t> </w:t>
      </w:r>
      <w:r>
        <w:rPr>
          <w:color w:val="231F20"/>
          <w:spacing w:val="-3"/>
          <w:w w:val="105"/>
        </w:rPr>
        <w:t>ricerca</w:t>
      </w:r>
      <w:r>
        <w:rPr>
          <w:color w:val="231F20"/>
          <w:spacing w:val="-36"/>
          <w:w w:val="105"/>
        </w:rPr>
        <w:t> </w:t>
      </w:r>
      <w:r>
        <w:rPr>
          <w:color w:val="231F20"/>
          <w:w w:val="105"/>
        </w:rPr>
        <w:t>di</w:t>
      </w:r>
      <w:r>
        <w:rPr>
          <w:color w:val="231F20"/>
          <w:spacing w:val="-36"/>
          <w:w w:val="105"/>
        </w:rPr>
        <w:t> </w:t>
      </w:r>
      <w:r>
        <w:rPr>
          <w:color w:val="231F20"/>
          <w:w w:val="105"/>
        </w:rPr>
        <w:t>nuove</w:t>
      </w:r>
      <w:r>
        <w:rPr>
          <w:color w:val="231F20"/>
          <w:spacing w:val="-36"/>
          <w:w w:val="105"/>
        </w:rPr>
        <w:t> </w:t>
      </w:r>
      <w:r>
        <w:rPr>
          <w:color w:val="231F20"/>
          <w:w w:val="105"/>
        </w:rPr>
        <w:t>identità,</w:t>
      </w:r>
      <w:r>
        <w:rPr>
          <w:color w:val="231F20"/>
          <w:spacing w:val="-36"/>
          <w:w w:val="105"/>
        </w:rPr>
        <w:t> </w:t>
      </w:r>
      <w:r>
        <w:rPr>
          <w:color w:val="231F20"/>
          <w:w w:val="105"/>
        </w:rPr>
        <w:t>“usanze”</w:t>
      </w:r>
      <w:r>
        <w:rPr>
          <w:color w:val="231F20"/>
          <w:spacing w:val="-36"/>
          <w:w w:val="105"/>
        </w:rPr>
        <w:t> </w:t>
      </w:r>
      <w:r>
        <w:rPr>
          <w:color w:val="231F20"/>
          <w:w w:val="105"/>
        </w:rPr>
        <w:t>e</w:t>
      </w:r>
      <w:r>
        <w:rPr>
          <w:color w:val="231F20"/>
          <w:spacing w:val="-36"/>
          <w:w w:val="105"/>
        </w:rPr>
        <w:t> </w:t>
      </w:r>
      <w:r>
        <w:rPr>
          <w:color w:val="231F20"/>
          <w:w w:val="105"/>
        </w:rPr>
        <w:t>comunanze,</w:t>
      </w:r>
      <w:r>
        <w:rPr>
          <w:color w:val="231F20"/>
          <w:spacing w:val="-36"/>
          <w:w w:val="105"/>
        </w:rPr>
        <w:t> </w:t>
      </w:r>
      <w:r>
        <w:rPr>
          <w:color w:val="231F20"/>
          <w:w w:val="105"/>
        </w:rPr>
        <w:t>senza</w:t>
      </w:r>
      <w:r>
        <w:rPr>
          <w:color w:val="231F20"/>
          <w:spacing w:val="-36"/>
          <w:w w:val="105"/>
        </w:rPr>
        <w:t> </w:t>
      </w:r>
      <w:r>
        <w:rPr>
          <w:color w:val="231F20"/>
          <w:w w:val="105"/>
        </w:rPr>
        <w:t>le</w:t>
      </w:r>
      <w:r>
        <w:rPr>
          <w:color w:val="231F20"/>
          <w:spacing w:val="-2"/>
          <w:w w:val="105"/>
        </w:rPr>
        <w:t> </w:t>
      </w:r>
      <w:r>
        <w:rPr>
          <w:color w:val="231F20"/>
          <w:w w:val="105"/>
        </w:rPr>
        <w:t>quali</w:t>
      </w:r>
      <w:r>
        <w:rPr>
          <w:color w:val="231F20"/>
          <w:spacing w:val="-42"/>
          <w:w w:val="105"/>
        </w:rPr>
        <w:t> </w:t>
      </w:r>
      <w:r>
        <w:rPr>
          <w:color w:val="231F20"/>
          <w:spacing w:val="-3"/>
          <w:w w:val="105"/>
        </w:rPr>
        <w:t>neppure</w:t>
      </w:r>
      <w:r>
        <w:rPr>
          <w:color w:val="231F20"/>
          <w:spacing w:val="-42"/>
          <w:w w:val="105"/>
        </w:rPr>
        <w:t> </w:t>
      </w:r>
      <w:r>
        <w:rPr>
          <w:color w:val="231F20"/>
          <w:w w:val="105"/>
        </w:rPr>
        <w:t>le</w:t>
      </w:r>
      <w:r>
        <w:rPr>
          <w:color w:val="231F20"/>
          <w:spacing w:val="-42"/>
          <w:w w:val="105"/>
        </w:rPr>
        <w:t> </w:t>
      </w:r>
      <w:r>
        <w:rPr>
          <w:color w:val="231F20"/>
          <w:w w:val="105"/>
        </w:rPr>
        <w:t>vecchie</w:t>
      </w:r>
      <w:r>
        <w:rPr>
          <w:color w:val="231F20"/>
          <w:spacing w:val="-42"/>
          <w:w w:val="105"/>
        </w:rPr>
        <w:t> </w:t>
      </w:r>
      <w:r>
        <w:rPr>
          <w:color w:val="231F20"/>
          <w:w w:val="105"/>
        </w:rPr>
        <w:t>convinzioni</w:t>
      </w:r>
      <w:r>
        <w:rPr>
          <w:color w:val="231F20"/>
          <w:spacing w:val="-42"/>
          <w:w w:val="105"/>
        </w:rPr>
        <w:t> </w:t>
      </w:r>
      <w:r>
        <w:rPr>
          <w:color w:val="231F20"/>
          <w:w w:val="105"/>
        </w:rPr>
        <w:t>acquisite</w:t>
      </w:r>
      <w:r>
        <w:rPr>
          <w:color w:val="231F20"/>
          <w:spacing w:val="-42"/>
          <w:w w:val="105"/>
        </w:rPr>
        <w:t> </w:t>
      </w:r>
      <w:r>
        <w:rPr>
          <w:color w:val="231F20"/>
          <w:w w:val="105"/>
        </w:rPr>
        <w:t>servono</w:t>
      </w:r>
      <w:r>
        <w:rPr>
          <w:color w:val="231F20"/>
          <w:spacing w:val="-42"/>
          <w:w w:val="105"/>
        </w:rPr>
        <w:t> </w:t>
      </w:r>
      <w:r>
        <w:rPr>
          <w:color w:val="231F20"/>
          <w:w w:val="105"/>
        </w:rPr>
        <w:t>più.</w:t>
      </w:r>
      <w:r>
        <w:rPr>
          <w:color w:val="231F20"/>
          <w:spacing w:val="-42"/>
          <w:w w:val="105"/>
        </w:rPr>
        <w:t> </w:t>
      </w:r>
      <w:r>
        <w:rPr>
          <w:color w:val="231F20"/>
          <w:w w:val="105"/>
        </w:rPr>
        <w:t>A</w:t>
      </w:r>
      <w:r>
        <w:rPr>
          <w:color w:val="231F20"/>
          <w:spacing w:val="-42"/>
          <w:w w:val="105"/>
        </w:rPr>
        <w:t> </w:t>
      </w:r>
      <w:r>
        <w:rPr>
          <w:color w:val="231F20"/>
          <w:w w:val="105"/>
        </w:rPr>
        <w:t>questa</w:t>
      </w:r>
      <w:r>
        <w:rPr>
          <w:color w:val="231F20"/>
          <w:spacing w:val="-42"/>
          <w:w w:val="105"/>
        </w:rPr>
        <w:t> </w:t>
      </w:r>
      <w:r>
        <w:rPr>
          <w:color w:val="231F20"/>
          <w:spacing w:val="-3"/>
          <w:w w:val="105"/>
        </w:rPr>
        <w:t>ricerca</w:t>
      </w:r>
      <w:r>
        <w:rPr>
          <w:color w:val="231F20"/>
          <w:spacing w:val="-2"/>
          <w:w w:val="101"/>
        </w:rPr>
        <w:t> </w:t>
      </w:r>
      <w:r>
        <w:rPr>
          <w:color w:val="231F20"/>
          <w:w w:val="105"/>
        </w:rPr>
        <w:t>bisogna</w:t>
      </w:r>
      <w:r>
        <w:rPr>
          <w:color w:val="231F20"/>
          <w:spacing w:val="-37"/>
          <w:w w:val="105"/>
        </w:rPr>
        <w:t> </w:t>
      </w:r>
      <w:r>
        <w:rPr>
          <w:color w:val="231F20"/>
          <w:w w:val="105"/>
        </w:rPr>
        <w:t>dedicarsi,</w:t>
      </w:r>
      <w:r>
        <w:rPr>
          <w:color w:val="231F20"/>
          <w:spacing w:val="-37"/>
          <w:w w:val="105"/>
        </w:rPr>
        <w:t> </w:t>
      </w:r>
      <w:r>
        <w:rPr>
          <w:color w:val="231F20"/>
          <w:w w:val="105"/>
        </w:rPr>
        <w:t>con</w:t>
      </w:r>
      <w:r>
        <w:rPr>
          <w:color w:val="231F20"/>
          <w:spacing w:val="-37"/>
          <w:w w:val="105"/>
        </w:rPr>
        <w:t> </w:t>
      </w:r>
      <w:r>
        <w:rPr>
          <w:color w:val="231F20"/>
          <w:w w:val="105"/>
        </w:rPr>
        <w:t>metodo</w:t>
      </w:r>
      <w:r>
        <w:rPr>
          <w:color w:val="231F20"/>
          <w:spacing w:val="-37"/>
          <w:w w:val="105"/>
        </w:rPr>
        <w:t> </w:t>
      </w:r>
      <w:r>
        <w:rPr>
          <w:color w:val="231F20"/>
          <w:w w:val="105"/>
        </w:rPr>
        <w:t>diverso</w:t>
      </w:r>
      <w:r>
        <w:rPr>
          <w:color w:val="231F20"/>
          <w:spacing w:val="-37"/>
          <w:w w:val="105"/>
        </w:rPr>
        <w:t> </w:t>
      </w:r>
      <w:r>
        <w:rPr>
          <w:color w:val="231F20"/>
          <w:w w:val="105"/>
        </w:rPr>
        <w:t>da</w:t>
      </w:r>
      <w:r>
        <w:rPr>
          <w:color w:val="231F20"/>
          <w:spacing w:val="-37"/>
          <w:w w:val="105"/>
        </w:rPr>
        <w:t> </w:t>
      </w:r>
      <w:r>
        <w:rPr>
          <w:color w:val="231F20"/>
          <w:w w:val="105"/>
        </w:rPr>
        <w:t>quello</w:t>
      </w:r>
      <w:r>
        <w:rPr>
          <w:color w:val="231F20"/>
          <w:spacing w:val="-37"/>
          <w:w w:val="105"/>
        </w:rPr>
        <w:t> </w:t>
      </w:r>
      <w:r>
        <w:rPr>
          <w:color w:val="231F20"/>
          <w:w w:val="105"/>
        </w:rPr>
        <w:t>a</w:t>
      </w:r>
      <w:r>
        <w:rPr>
          <w:color w:val="231F20"/>
          <w:spacing w:val="-37"/>
          <w:w w:val="105"/>
        </w:rPr>
        <w:t> </w:t>
      </w:r>
      <w:r>
        <w:rPr>
          <w:color w:val="231F20"/>
          <w:w w:val="105"/>
        </w:rPr>
        <w:t>cui</w:t>
      </w:r>
      <w:r>
        <w:rPr>
          <w:color w:val="231F20"/>
          <w:spacing w:val="-37"/>
          <w:w w:val="105"/>
        </w:rPr>
        <w:t> </w:t>
      </w:r>
      <w:r>
        <w:rPr>
          <w:color w:val="231F20"/>
          <w:w w:val="105"/>
        </w:rPr>
        <w:t>siamo</w:t>
      </w:r>
      <w:r>
        <w:rPr>
          <w:color w:val="231F20"/>
          <w:spacing w:val="-37"/>
          <w:w w:val="105"/>
        </w:rPr>
        <w:t> </w:t>
      </w:r>
      <w:r>
        <w:rPr>
          <w:color w:val="231F20"/>
          <w:w w:val="105"/>
        </w:rPr>
        <w:t>abituati,</w:t>
      </w:r>
      <w:r>
        <w:rPr>
          <w:color w:val="231F20"/>
          <w:spacing w:val="-37"/>
          <w:w w:val="105"/>
        </w:rPr>
        <w:t> </w:t>
      </w:r>
      <w:r>
        <w:rPr>
          <w:color w:val="231F20"/>
          <w:w w:val="105"/>
        </w:rPr>
        <w:t>che</w:t>
      </w:r>
      <w:r>
        <w:rPr>
          <w:color w:val="231F20"/>
          <w:spacing w:val="-37"/>
          <w:w w:val="105"/>
        </w:rPr>
        <w:t> </w:t>
      </w:r>
      <w:r>
        <w:rPr>
          <w:color w:val="231F20"/>
          <w:w w:val="105"/>
        </w:rPr>
        <w:t>è</w:t>
      </w:r>
      <w:r>
        <w:rPr>
          <w:color w:val="231F20"/>
          <w:w w:val="105"/>
        </w:rPr>
        <w:t> </w:t>
      </w:r>
      <w:r>
        <w:rPr>
          <w:color w:val="231F20"/>
          <w:spacing w:val="-3"/>
          <w:w w:val="105"/>
        </w:rPr>
        <w:t>quello</w:t>
      </w:r>
      <w:r>
        <w:rPr>
          <w:color w:val="231F20"/>
          <w:spacing w:val="-45"/>
          <w:w w:val="105"/>
        </w:rPr>
        <w:t> </w:t>
      </w:r>
      <w:r>
        <w:rPr>
          <w:color w:val="231F20"/>
          <w:spacing w:val="-3"/>
          <w:w w:val="105"/>
        </w:rPr>
        <w:t>storico–occidentale.</w:t>
      </w:r>
      <w:r>
        <w:rPr>
          <w:color w:val="231F20"/>
          <w:spacing w:val="-45"/>
          <w:w w:val="105"/>
        </w:rPr>
        <w:t> </w:t>
      </w:r>
      <w:r>
        <w:rPr>
          <w:color w:val="231F20"/>
          <w:spacing w:val="-3"/>
          <w:w w:val="105"/>
        </w:rPr>
        <w:t>Dovrà</w:t>
      </w:r>
      <w:r>
        <w:rPr>
          <w:color w:val="231F20"/>
          <w:spacing w:val="-45"/>
          <w:w w:val="105"/>
        </w:rPr>
        <w:t> </w:t>
      </w:r>
      <w:r>
        <w:rPr>
          <w:color w:val="231F20"/>
          <w:spacing w:val="-4"/>
          <w:w w:val="105"/>
        </w:rPr>
        <w:t>essere</w:t>
      </w:r>
      <w:r>
        <w:rPr>
          <w:color w:val="231F20"/>
          <w:spacing w:val="-45"/>
          <w:w w:val="105"/>
        </w:rPr>
        <w:t> </w:t>
      </w:r>
      <w:r>
        <w:rPr>
          <w:color w:val="231F20"/>
          <w:spacing w:val="-3"/>
          <w:w w:val="105"/>
        </w:rPr>
        <w:t>certamente</w:t>
      </w:r>
      <w:r>
        <w:rPr>
          <w:color w:val="231F20"/>
          <w:spacing w:val="-45"/>
          <w:w w:val="105"/>
        </w:rPr>
        <w:t> </w:t>
      </w:r>
      <w:r>
        <w:rPr>
          <w:color w:val="231F20"/>
          <w:w w:val="105"/>
        </w:rPr>
        <w:t>un</w:t>
      </w:r>
      <w:r>
        <w:rPr>
          <w:color w:val="231F20"/>
          <w:spacing w:val="-45"/>
          <w:w w:val="105"/>
        </w:rPr>
        <w:t> </w:t>
      </w:r>
      <w:r>
        <w:rPr>
          <w:color w:val="231F20"/>
          <w:spacing w:val="-3"/>
          <w:w w:val="105"/>
        </w:rPr>
        <w:t>metodo</w:t>
      </w:r>
      <w:r>
        <w:rPr>
          <w:color w:val="231F20"/>
          <w:spacing w:val="-45"/>
          <w:w w:val="105"/>
        </w:rPr>
        <w:t> </w:t>
      </w:r>
      <w:r>
        <w:rPr>
          <w:color w:val="231F20"/>
          <w:spacing w:val="-4"/>
          <w:w w:val="105"/>
        </w:rPr>
        <w:t>predisposto</w:t>
      </w:r>
      <w:r>
        <w:rPr>
          <w:color w:val="231F20"/>
          <w:spacing w:val="-3"/>
          <w:w w:val="104"/>
        </w:rPr>
        <w:t> </w:t>
      </w:r>
      <w:r>
        <w:rPr>
          <w:color w:val="231F20"/>
          <w:w w:val="105"/>
        </w:rPr>
        <w:t>a</w:t>
      </w:r>
      <w:r>
        <w:rPr>
          <w:color w:val="231F20"/>
          <w:spacing w:val="-9"/>
          <w:w w:val="105"/>
        </w:rPr>
        <w:t> </w:t>
      </w:r>
      <w:r>
        <w:rPr>
          <w:color w:val="231F20"/>
          <w:w w:val="105"/>
        </w:rPr>
        <w:t>cogliere</w:t>
      </w:r>
      <w:r>
        <w:rPr>
          <w:color w:val="231F20"/>
          <w:spacing w:val="-9"/>
          <w:w w:val="105"/>
        </w:rPr>
        <w:t> </w:t>
      </w:r>
      <w:r>
        <w:rPr>
          <w:color w:val="231F20"/>
          <w:w w:val="105"/>
        </w:rPr>
        <w:t>la</w:t>
      </w:r>
      <w:r>
        <w:rPr>
          <w:color w:val="231F20"/>
          <w:spacing w:val="-9"/>
          <w:w w:val="105"/>
        </w:rPr>
        <w:t> </w:t>
      </w:r>
      <w:r>
        <w:rPr>
          <w:color w:val="231F20"/>
          <w:w w:val="105"/>
        </w:rPr>
        <w:t>pluralità</w:t>
      </w:r>
      <w:r>
        <w:rPr>
          <w:color w:val="231F20"/>
          <w:spacing w:val="-9"/>
          <w:w w:val="105"/>
        </w:rPr>
        <w:t> </w:t>
      </w:r>
      <w:r>
        <w:rPr>
          <w:color w:val="231F20"/>
          <w:w w:val="105"/>
        </w:rPr>
        <w:t>degli</w:t>
      </w:r>
      <w:r>
        <w:rPr>
          <w:color w:val="231F20"/>
          <w:spacing w:val="-9"/>
          <w:w w:val="105"/>
        </w:rPr>
        <w:t> </w:t>
      </w:r>
      <w:r>
        <w:rPr>
          <w:color w:val="231F20"/>
          <w:w w:val="105"/>
        </w:rPr>
        <w:t>avvenimenti</w:t>
      </w:r>
      <w:r>
        <w:rPr>
          <w:color w:val="231F20"/>
          <w:spacing w:val="-9"/>
          <w:w w:val="105"/>
        </w:rPr>
        <w:t> </w:t>
      </w:r>
      <w:r>
        <w:rPr>
          <w:color w:val="231F20"/>
          <w:w w:val="105"/>
        </w:rPr>
        <w:t>e</w:t>
      </w:r>
      <w:r>
        <w:rPr>
          <w:color w:val="231F20"/>
          <w:spacing w:val="-9"/>
          <w:w w:val="105"/>
        </w:rPr>
        <w:t> </w:t>
      </w:r>
      <w:r>
        <w:rPr>
          <w:color w:val="231F20"/>
          <w:w w:val="105"/>
        </w:rPr>
        <w:t>dei</w:t>
      </w:r>
      <w:r>
        <w:rPr>
          <w:color w:val="231F20"/>
          <w:spacing w:val="-9"/>
          <w:w w:val="105"/>
        </w:rPr>
        <w:t> </w:t>
      </w:r>
      <w:r>
        <w:rPr>
          <w:color w:val="231F20"/>
          <w:w w:val="105"/>
        </w:rPr>
        <w:t>movimenti,</w:t>
      </w:r>
      <w:r>
        <w:rPr>
          <w:color w:val="231F20"/>
          <w:spacing w:val="-9"/>
          <w:w w:val="105"/>
        </w:rPr>
        <w:t> </w:t>
      </w:r>
      <w:r>
        <w:rPr>
          <w:color w:val="231F20"/>
          <w:w w:val="105"/>
        </w:rPr>
        <w:t>piuttosto</w:t>
      </w:r>
      <w:r>
        <w:rPr>
          <w:color w:val="231F20"/>
          <w:spacing w:val="-9"/>
          <w:w w:val="105"/>
        </w:rPr>
        <w:t> </w:t>
      </w:r>
      <w:r>
        <w:rPr>
          <w:color w:val="231F20"/>
          <w:w w:val="105"/>
        </w:rPr>
        <w:t>che</w:t>
      </w:r>
      <w:r>
        <w:rPr>
          <w:color w:val="231F20"/>
          <w:spacing w:val="-9"/>
          <w:w w:val="105"/>
        </w:rPr>
        <w:t> </w:t>
      </w:r>
      <w:r>
        <w:rPr>
          <w:color w:val="231F20"/>
          <w:w w:val="105"/>
        </w:rPr>
        <w:t>a</w:t>
      </w:r>
      <w:r>
        <w:rPr>
          <w:color w:val="231F20"/>
          <w:w w:val="98"/>
        </w:rPr>
        <w:t> </w:t>
      </w:r>
      <w:r>
        <w:rPr>
          <w:color w:val="231F20"/>
          <w:spacing w:val="-3"/>
          <w:w w:val="105"/>
        </w:rPr>
        <w:t>isolare</w:t>
      </w:r>
      <w:r>
        <w:rPr>
          <w:color w:val="231F20"/>
          <w:spacing w:val="-34"/>
          <w:w w:val="105"/>
        </w:rPr>
        <w:t> </w:t>
      </w:r>
      <w:r>
        <w:rPr>
          <w:color w:val="231F20"/>
          <w:w w:val="105"/>
        </w:rPr>
        <w:t>e</w:t>
      </w:r>
      <w:r>
        <w:rPr>
          <w:color w:val="231F20"/>
          <w:spacing w:val="-34"/>
          <w:w w:val="105"/>
        </w:rPr>
        <w:t> </w:t>
      </w:r>
      <w:r>
        <w:rPr>
          <w:color w:val="231F20"/>
          <w:spacing w:val="-3"/>
          <w:w w:val="105"/>
        </w:rPr>
        <w:t>evidenziare</w:t>
      </w:r>
      <w:r>
        <w:rPr>
          <w:color w:val="231F20"/>
          <w:spacing w:val="-34"/>
          <w:w w:val="105"/>
        </w:rPr>
        <w:t> </w:t>
      </w:r>
      <w:r>
        <w:rPr>
          <w:color w:val="231F20"/>
          <w:w w:val="105"/>
        </w:rPr>
        <w:t>tipologicamente</w:t>
      </w:r>
      <w:r>
        <w:rPr>
          <w:color w:val="231F20"/>
          <w:spacing w:val="-34"/>
          <w:w w:val="105"/>
        </w:rPr>
        <w:t> </w:t>
      </w:r>
      <w:r>
        <w:rPr>
          <w:color w:val="231F20"/>
          <w:w w:val="105"/>
        </w:rPr>
        <w:t>i</w:t>
      </w:r>
      <w:r>
        <w:rPr>
          <w:color w:val="231F20"/>
          <w:spacing w:val="-34"/>
          <w:w w:val="105"/>
        </w:rPr>
        <w:t> </w:t>
      </w:r>
      <w:r>
        <w:rPr>
          <w:color w:val="231F20"/>
          <w:w w:val="105"/>
        </w:rPr>
        <w:t>caratteri</w:t>
      </w:r>
      <w:r>
        <w:rPr>
          <w:color w:val="231F20"/>
          <w:spacing w:val="-34"/>
          <w:w w:val="105"/>
        </w:rPr>
        <w:t> </w:t>
      </w:r>
      <w:r>
        <w:rPr>
          <w:color w:val="231F20"/>
          <w:w w:val="105"/>
        </w:rPr>
        <w:t>specifici</w:t>
      </w:r>
      <w:r>
        <w:rPr>
          <w:color w:val="231F20"/>
          <w:spacing w:val="-34"/>
          <w:w w:val="105"/>
        </w:rPr>
        <w:t> </w:t>
      </w:r>
      <w:r>
        <w:rPr>
          <w:color w:val="231F20"/>
          <w:w w:val="105"/>
        </w:rPr>
        <w:t>e</w:t>
      </w:r>
      <w:r>
        <w:rPr>
          <w:color w:val="231F20"/>
          <w:spacing w:val="-34"/>
          <w:w w:val="105"/>
        </w:rPr>
        <w:t> </w:t>
      </w:r>
      <w:r>
        <w:rPr>
          <w:color w:val="231F20"/>
          <w:w w:val="105"/>
        </w:rPr>
        <w:t>portanti</w:t>
      </w:r>
      <w:r>
        <w:rPr>
          <w:color w:val="231F20"/>
          <w:spacing w:val="-34"/>
          <w:w w:val="105"/>
        </w:rPr>
        <w:t> </w:t>
      </w:r>
      <w:r>
        <w:rPr>
          <w:color w:val="231F20"/>
          <w:w w:val="105"/>
        </w:rPr>
        <w:t>del</w:t>
      </w:r>
      <w:r>
        <w:rPr>
          <w:color w:val="231F20"/>
          <w:spacing w:val="-34"/>
          <w:w w:val="105"/>
        </w:rPr>
        <w:t> </w:t>
      </w:r>
      <w:r>
        <w:rPr>
          <w:color w:val="231F20"/>
          <w:w w:val="105"/>
        </w:rPr>
        <w:t>solo</w:t>
      </w:r>
      <w:r>
        <w:rPr>
          <w:color w:val="231F20"/>
          <w:spacing w:val="-2"/>
          <w:w w:val="105"/>
        </w:rPr>
        <w:t> </w:t>
      </w:r>
      <w:r>
        <w:rPr>
          <w:color w:val="231F20"/>
          <w:spacing w:val="-3"/>
          <w:w w:val="105"/>
        </w:rPr>
        <w:t>caso</w:t>
      </w:r>
      <w:r>
        <w:rPr>
          <w:color w:val="231F20"/>
          <w:spacing w:val="-43"/>
          <w:w w:val="105"/>
        </w:rPr>
        <w:t> </w:t>
      </w:r>
      <w:r>
        <w:rPr>
          <w:color w:val="231F20"/>
          <w:spacing w:val="-3"/>
          <w:w w:val="105"/>
        </w:rPr>
        <w:t>ritenuto</w:t>
      </w:r>
      <w:r>
        <w:rPr>
          <w:color w:val="231F20"/>
          <w:spacing w:val="-43"/>
          <w:w w:val="105"/>
        </w:rPr>
        <w:t> </w:t>
      </w:r>
      <w:r>
        <w:rPr>
          <w:color w:val="231F20"/>
          <w:w w:val="105"/>
        </w:rPr>
        <w:t>o</w:t>
      </w:r>
      <w:r>
        <w:rPr>
          <w:color w:val="231F20"/>
          <w:spacing w:val="-43"/>
          <w:w w:val="105"/>
        </w:rPr>
        <w:t> </w:t>
      </w:r>
      <w:r>
        <w:rPr>
          <w:color w:val="231F20"/>
          <w:spacing w:val="-3"/>
          <w:w w:val="105"/>
        </w:rPr>
        <w:t>posto</w:t>
      </w:r>
      <w:r>
        <w:rPr>
          <w:color w:val="231F20"/>
          <w:spacing w:val="-43"/>
          <w:w w:val="105"/>
        </w:rPr>
        <w:t> </w:t>
      </w:r>
      <w:r>
        <w:rPr>
          <w:color w:val="231F20"/>
          <w:spacing w:val="-3"/>
          <w:w w:val="105"/>
        </w:rPr>
        <w:t>come</w:t>
      </w:r>
      <w:r>
        <w:rPr>
          <w:color w:val="231F20"/>
          <w:spacing w:val="-43"/>
          <w:w w:val="105"/>
        </w:rPr>
        <w:t> </w:t>
      </w:r>
      <w:r>
        <w:rPr>
          <w:color w:val="231F20"/>
          <w:spacing w:val="-3"/>
          <w:w w:val="105"/>
        </w:rPr>
        <w:t>dominante:</w:t>
      </w:r>
      <w:r>
        <w:rPr>
          <w:color w:val="231F20"/>
          <w:spacing w:val="-43"/>
          <w:w w:val="105"/>
        </w:rPr>
        <w:t> </w:t>
      </w:r>
      <w:r>
        <w:rPr>
          <w:color w:val="231F20"/>
          <w:w w:val="105"/>
        </w:rPr>
        <w:t>per</w:t>
      </w:r>
      <w:r>
        <w:rPr>
          <w:color w:val="231F20"/>
          <w:spacing w:val="-43"/>
          <w:w w:val="105"/>
        </w:rPr>
        <w:t> </w:t>
      </w:r>
      <w:r>
        <w:rPr>
          <w:color w:val="231F20"/>
          <w:w w:val="105"/>
        </w:rPr>
        <w:t>noi</w:t>
      </w:r>
      <w:r>
        <w:rPr>
          <w:color w:val="231F20"/>
          <w:spacing w:val="-43"/>
          <w:w w:val="105"/>
        </w:rPr>
        <w:t> </w:t>
      </w:r>
      <w:r>
        <w:rPr>
          <w:color w:val="231F20"/>
          <w:spacing w:val="-3"/>
          <w:w w:val="105"/>
        </w:rPr>
        <w:t>occidentali,</w:t>
      </w:r>
      <w:r>
        <w:rPr>
          <w:color w:val="231F20"/>
          <w:spacing w:val="-43"/>
          <w:w w:val="105"/>
        </w:rPr>
        <w:t> </w:t>
      </w:r>
      <w:r>
        <w:rPr>
          <w:color w:val="231F20"/>
          <w:spacing w:val="-3"/>
          <w:w w:val="105"/>
        </w:rPr>
        <w:t>appunto,</w:t>
      </w:r>
      <w:r>
        <w:rPr>
          <w:color w:val="231F20"/>
          <w:spacing w:val="-43"/>
          <w:w w:val="105"/>
        </w:rPr>
        <w:t> </w:t>
      </w:r>
      <w:r>
        <w:rPr>
          <w:color w:val="231F20"/>
          <w:w w:val="105"/>
        </w:rPr>
        <w:t>lo</w:t>
      </w:r>
      <w:r>
        <w:rPr>
          <w:color w:val="231F20"/>
          <w:spacing w:val="-43"/>
          <w:w w:val="105"/>
        </w:rPr>
        <w:t> </w:t>
      </w:r>
      <w:r>
        <w:rPr>
          <w:color w:val="231F20"/>
          <w:spacing w:val="-3"/>
          <w:w w:val="105"/>
        </w:rPr>
        <w:t>Stato.</w:t>
      </w:r>
      <w:r>
        <w:rPr>
          <w:color w:val="231F20"/>
          <w:spacing w:val="-3"/>
          <w:w w:val="99"/>
        </w:rPr>
        <w:t> </w:t>
      </w:r>
      <w:r>
        <w:rPr>
          <w:color w:val="231F20"/>
          <w:spacing w:val="5"/>
          <w:w w:val="105"/>
        </w:rPr>
        <w:t>Per </w:t>
      </w:r>
      <w:r>
        <w:rPr>
          <w:color w:val="231F20"/>
          <w:spacing w:val="6"/>
          <w:w w:val="105"/>
        </w:rPr>
        <w:t>portare solo qualche piccolo </w:t>
      </w:r>
      <w:r>
        <w:rPr>
          <w:color w:val="231F20"/>
          <w:spacing w:val="7"/>
          <w:w w:val="105"/>
        </w:rPr>
        <w:t>esempio, </w:t>
      </w:r>
      <w:r>
        <w:rPr>
          <w:color w:val="231F20"/>
          <w:spacing w:val="4"/>
          <w:w w:val="105"/>
        </w:rPr>
        <w:t>mi</w:t>
      </w:r>
      <w:r>
        <w:rPr>
          <w:color w:val="231F20"/>
          <w:spacing w:val="30"/>
          <w:w w:val="105"/>
        </w:rPr>
        <w:t> </w:t>
      </w:r>
      <w:r>
        <w:rPr>
          <w:color w:val="231F20"/>
          <w:spacing w:val="7"/>
          <w:w w:val="105"/>
        </w:rPr>
        <w:t>riferisco</w:t>
      </w:r>
      <w:r>
        <w:rPr>
          <w:color w:val="231F20"/>
          <w:spacing w:val="51"/>
          <w:w w:val="105"/>
        </w:rPr>
        <w:t> </w:t>
      </w:r>
      <w:r>
        <w:rPr>
          <w:color w:val="231F20"/>
          <w:spacing w:val="8"/>
          <w:w w:val="105"/>
        </w:rPr>
        <w:t>alla</w:t>
      </w:r>
      <w:r>
        <w:rPr>
          <w:color w:val="231F20"/>
          <w:spacing w:val="8"/>
          <w:w w:val="100"/>
        </w:rPr>
        <w:t> </w:t>
      </w:r>
      <w:r>
        <w:rPr>
          <w:color w:val="231F20"/>
          <w:w w:val="105"/>
        </w:rPr>
        <w:t>giustapposizione di rurale a cittadino, di orale a scritto,</w:t>
      </w:r>
      <w:r>
        <w:rPr>
          <w:color w:val="231F20"/>
          <w:spacing w:val="-14"/>
          <w:w w:val="105"/>
        </w:rPr>
        <w:t> </w:t>
      </w:r>
      <w:r>
        <w:rPr>
          <w:color w:val="231F20"/>
          <w:w w:val="105"/>
        </w:rPr>
        <w:t>di</w:t>
      </w:r>
      <w:r>
        <w:rPr>
          <w:color w:val="231F20"/>
          <w:spacing w:val="-2"/>
          <w:w w:val="105"/>
        </w:rPr>
        <w:t> </w:t>
      </w:r>
      <w:r>
        <w:rPr>
          <w:color w:val="231F20"/>
          <w:w w:val="105"/>
        </w:rPr>
        <w:t>partecipativo</w:t>
      </w:r>
      <w:r>
        <w:rPr>
          <w:color w:val="231F20"/>
          <w:w w:val="109"/>
        </w:rPr>
        <w:t> </w:t>
      </w:r>
      <w:r>
        <w:rPr>
          <w:color w:val="231F20"/>
          <w:w w:val="105"/>
        </w:rPr>
        <w:t>a</w:t>
      </w:r>
      <w:r>
        <w:rPr>
          <w:color w:val="231F20"/>
          <w:spacing w:val="-15"/>
          <w:w w:val="105"/>
        </w:rPr>
        <w:t> </w:t>
      </w:r>
      <w:r>
        <w:rPr>
          <w:color w:val="231F20"/>
          <w:w w:val="105"/>
        </w:rPr>
        <w:t>decisionale</w:t>
      </w:r>
      <w:r>
        <w:rPr>
          <w:color w:val="231F20"/>
          <w:spacing w:val="-15"/>
          <w:w w:val="105"/>
        </w:rPr>
        <w:t> </w:t>
      </w:r>
      <w:r>
        <w:rPr>
          <w:color w:val="231F20"/>
          <w:w w:val="105"/>
        </w:rPr>
        <w:t>e</w:t>
      </w:r>
      <w:r>
        <w:rPr>
          <w:color w:val="231F20"/>
          <w:spacing w:val="-15"/>
          <w:w w:val="105"/>
        </w:rPr>
        <w:t> </w:t>
      </w:r>
      <w:r>
        <w:rPr>
          <w:color w:val="231F20"/>
          <w:w w:val="105"/>
        </w:rPr>
        <w:t>così</w:t>
      </w:r>
      <w:r>
        <w:rPr>
          <w:color w:val="231F20"/>
          <w:spacing w:val="-15"/>
          <w:w w:val="105"/>
        </w:rPr>
        <w:t> </w:t>
      </w:r>
      <w:r>
        <w:rPr>
          <w:color w:val="231F20"/>
          <w:w w:val="105"/>
        </w:rPr>
        <w:t>via.</w:t>
      </w:r>
      <w:r>
        <w:rPr>
          <w:color w:val="231F20"/>
          <w:spacing w:val="-15"/>
          <w:w w:val="105"/>
        </w:rPr>
        <w:t> </w:t>
      </w:r>
      <w:r>
        <w:rPr>
          <w:color w:val="231F20"/>
          <w:w w:val="105"/>
        </w:rPr>
        <w:t>In</w:t>
      </w:r>
      <w:r>
        <w:rPr>
          <w:color w:val="231F20"/>
          <w:spacing w:val="-15"/>
          <w:w w:val="105"/>
        </w:rPr>
        <w:t> </w:t>
      </w:r>
      <w:r>
        <w:rPr>
          <w:color w:val="231F20"/>
          <w:w w:val="105"/>
        </w:rPr>
        <w:t>tutti</w:t>
      </w:r>
      <w:r>
        <w:rPr>
          <w:color w:val="231F20"/>
          <w:spacing w:val="-15"/>
          <w:w w:val="105"/>
        </w:rPr>
        <w:t> </w:t>
      </w:r>
      <w:r>
        <w:rPr>
          <w:color w:val="231F20"/>
          <w:w w:val="105"/>
        </w:rPr>
        <w:t>questi</w:t>
      </w:r>
      <w:r>
        <w:rPr>
          <w:color w:val="231F20"/>
          <w:spacing w:val="-15"/>
          <w:w w:val="105"/>
        </w:rPr>
        <w:t> </w:t>
      </w:r>
      <w:r>
        <w:rPr>
          <w:color w:val="231F20"/>
          <w:w w:val="105"/>
        </w:rPr>
        <w:t>e</w:t>
      </w:r>
      <w:r>
        <w:rPr>
          <w:color w:val="231F20"/>
          <w:spacing w:val="-15"/>
          <w:w w:val="105"/>
        </w:rPr>
        <w:t> </w:t>
      </w:r>
      <w:r>
        <w:rPr>
          <w:color w:val="231F20"/>
          <w:w w:val="105"/>
        </w:rPr>
        <w:t>in</w:t>
      </w:r>
      <w:r>
        <w:rPr>
          <w:color w:val="231F20"/>
          <w:spacing w:val="-15"/>
          <w:w w:val="105"/>
        </w:rPr>
        <w:t> </w:t>
      </w:r>
      <w:r>
        <w:rPr>
          <w:color w:val="231F20"/>
          <w:w w:val="105"/>
        </w:rPr>
        <w:t>analoghi</w:t>
      </w:r>
      <w:r>
        <w:rPr>
          <w:color w:val="231F20"/>
          <w:spacing w:val="-15"/>
          <w:w w:val="105"/>
        </w:rPr>
        <w:t> </w:t>
      </w:r>
      <w:r>
        <w:rPr>
          <w:color w:val="231F20"/>
          <w:w w:val="105"/>
        </w:rPr>
        <w:t>casi,</w:t>
      </w:r>
      <w:r>
        <w:rPr>
          <w:color w:val="231F20"/>
          <w:spacing w:val="-15"/>
          <w:w w:val="105"/>
        </w:rPr>
        <w:t> </w:t>
      </w:r>
      <w:r>
        <w:rPr>
          <w:color w:val="231F20"/>
          <w:w w:val="105"/>
        </w:rPr>
        <w:t>come</w:t>
      </w:r>
      <w:r>
        <w:rPr>
          <w:color w:val="231F20"/>
          <w:spacing w:val="-15"/>
          <w:w w:val="105"/>
        </w:rPr>
        <w:t> </w:t>
      </w:r>
      <w:r>
        <w:rPr>
          <w:color w:val="231F20"/>
          <w:w w:val="105"/>
        </w:rPr>
        <w:t>nei</w:t>
      </w:r>
      <w:r>
        <w:rPr>
          <w:color w:val="231F20"/>
          <w:spacing w:val="-15"/>
          <w:w w:val="105"/>
        </w:rPr>
        <w:t> </w:t>
      </w:r>
      <w:r>
        <w:rPr>
          <w:color w:val="231F20"/>
          <w:w w:val="105"/>
        </w:rPr>
        <w:t>casi</w:t>
      </w:r>
      <w:r>
        <w:rPr>
          <w:color w:val="231F20"/>
          <w:spacing w:val="-15"/>
          <w:w w:val="105"/>
        </w:rPr>
        <w:t> </w:t>
      </w:r>
      <w:r>
        <w:rPr>
          <w:color w:val="231F20"/>
          <w:w w:val="105"/>
        </w:rPr>
        <w:t>di</w:t>
      </w:r>
      <w:r>
        <w:rPr>
          <w:color w:val="231F20"/>
          <w:w w:val="105"/>
        </w:rPr>
        <w:t> </w:t>
      </w:r>
      <w:r>
        <w:rPr>
          <w:color w:val="231F20"/>
          <w:w w:val="105"/>
        </w:rPr>
        <w:t>“proporzionalità”</w:t>
      </w:r>
      <w:r>
        <w:rPr>
          <w:color w:val="231F20"/>
          <w:spacing w:val="-38"/>
          <w:w w:val="105"/>
        </w:rPr>
        <w:t> </w:t>
      </w:r>
      <w:r>
        <w:rPr>
          <w:color w:val="231F20"/>
          <w:w w:val="105"/>
        </w:rPr>
        <w:t>che</w:t>
      </w:r>
      <w:r>
        <w:rPr>
          <w:color w:val="231F20"/>
          <w:spacing w:val="-38"/>
          <w:w w:val="105"/>
        </w:rPr>
        <w:t> </w:t>
      </w:r>
      <w:r>
        <w:rPr>
          <w:color w:val="231F20"/>
          <w:w w:val="105"/>
        </w:rPr>
        <w:t>ho</w:t>
      </w:r>
      <w:r>
        <w:rPr>
          <w:color w:val="231F20"/>
          <w:spacing w:val="-38"/>
          <w:w w:val="105"/>
        </w:rPr>
        <w:t> </w:t>
      </w:r>
      <w:r>
        <w:rPr>
          <w:color w:val="231F20"/>
          <w:w w:val="105"/>
        </w:rPr>
        <w:t>sopra</w:t>
      </w:r>
      <w:r>
        <w:rPr>
          <w:color w:val="231F20"/>
          <w:spacing w:val="-38"/>
          <w:w w:val="105"/>
        </w:rPr>
        <w:t> </w:t>
      </w:r>
      <w:r>
        <w:rPr>
          <w:color w:val="231F20"/>
          <w:w w:val="105"/>
        </w:rPr>
        <w:t>citato,</w:t>
      </w:r>
      <w:r>
        <w:rPr>
          <w:color w:val="231F20"/>
          <w:spacing w:val="-38"/>
          <w:w w:val="105"/>
        </w:rPr>
        <w:t> </w:t>
      </w:r>
      <w:r>
        <w:rPr>
          <w:color w:val="231F20"/>
          <w:w w:val="105"/>
        </w:rPr>
        <w:t>mi</w:t>
      </w:r>
      <w:r>
        <w:rPr>
          <w:color w:val="231F20"/>
          <w:spacing w:val="-38"/>
          <w:w w:val="105"/>
        </w:rPr>
        <w:t> </w:t>
      </w:r>
      <w:r>
        <w:rPr>
          <w:color w:val="231F20"/>
          <w:w w:val="105"/>
        </w:rPr>
        <w:t>pare</w:t>
      </w:r>
      <w:r>
        <w:rPr>
          <w:color w:val="231F20"/>
          <w:spacing w:val="-38"/>
          <w:w w:val="105"/>
        </w:rPr>
        <w:t> </w:t>
      </w:r>
      <w:r>
        <w:rPr>
          <w:color w:val="231F20"/>
          <w:w w:val="105"/>
        </w:rPr>
        <w:t>perfino</w:t>
      </w:r>
      <w:r>
        <w:rPr>
          <w:color w:val="231F20"/>
          <w:spacing w:val="-38"/>
          <w:w w:val="105"/>
        </w:rPr>
        <w:t> </w:t>
      </w:r>
      <w:r>
        <w:rPr>
          <w:color w:val="231F20"/>
          <w:w w:val="105"/>
        </w:rPr>
        <w:t>banale</w:t>
      </w:r>
      <w:r>
        <w:rPr>
          <w:color w:val="231F20"/>
          <w:spacing w:val="-38"/>
          <w:w w:val="105"/>
        </w:rPr>
        <w:t> </w:t>
      </w:r>
      <w:r>
        <w:rPr>
          <w:color w:val="231F20"/>
          <w:w w:val="105"/>
        </w:rPr>
        <w:t>osservare</w:t>
      </w:r>
      <w:r>
        <w:rPr>
          <w:color w:val="231F20"/>
          <w:spacing w:val="-38"/>
          <w:w w:val="105"/>
        </w:rPr>
        <w:t> </w:t>
      </w:r>
      <w:r>
        <w:rPr>
          <w:color w:val="231F20"/>
          <w:w w:val="105"/>
        </w:rPr>
        <w:t>che</w:t>
      </w:r>
      <w:r>
        <w:rPr>
          <w:color w:val="231F20"/>
          <w:w w:val="103"/>
        </w:rPr>
        <w:t> </w:t>
      </w:r>
      <w:r>
        <w:rPr>
          <w:color w:val="231F20"/>
          <w:w w:val="105"/>
        </w:rPr>
        <w:t>il</w:t>
      </w:r>
      <w:r>
        <w:rPr>
          <w:color w:val="231F20"/>
          <w:spacing w:val="-8"/>
          <w:w w:val="105"/>
        </w:rPr>
        <w:t> </w:t>
      </w:r>
      <w:r>
        <w:rPr>
          <w:color w:val="231F20"/>
          <w:w w:val="105"/>
        </w:rPr>
        <w:t>criterio</w:t>
      </w:r>
      <w:r>
        <w:rPr>
          <w:color w:val="231F20"/>
          <w:spacing w:val="-8"/>
          <w:w w:val="105"/>
        </w:rPr>
        <w:t> </w:t>
      </w:r>
      <w:r>
        <w:rPr>
          <w:color w:val="231F20"/>
          <w:w w:val="105"/>
        </w:rPr>
        <w:t>da</w:t>
      </w:r>
      <w:r>
        <w:rPr>
          <w:color w:val="231F20"/>
          <w:spacing w:val="-8"/>
          <w:w w:val="105"/>
        </w:rPr>
        <w:t> </w:t>
      </w:r>
      <w:r>
        <w:rPr>
          <w:color w:val="231F20"/>
          <w:w w:val="105"/>
        </w:rPr>
        <w:t>utilizzare</w:t>
      </w:r>
      <w:r>
        <w:rPr>
          <w:color w:val="231F20"/>
          <w:spacing w:val="-8"/>
          <w:w w:val="105"/>
        </w:rPr>
        <w:t> </w:t>
      </w:r>
      <w:r>
        <w:rPr>
          <w:color w:val="231F20"/>
          <w:w w:val="105"/>
        </w:rPr>
        <w:t>per</w:t>
      </w:r>
      <w:r>
        <w:rPr>
          <w:color w:val="231F20"/>
          <w:spacing w:val="-8"/>
          <w:w w:val="105"/>
        </w:rPr>
        <w:t> </w:t>
      </w:r>
      <w:r>
        <w:rPr>
          <w:color w:val="231F20"/>
          <w:w w:val="105"/>
        </w:rPr>
        <w:t>venirne</w:t>
      </w:r>
      <w:r>
        <w:rPr>
          <w:color w:val="231F20"/>
          <w:spacing w:val="-8"/>
          <w:w w:val="105"/>
        </w:rPr>
        <w:t> </w:t>
      </w:r>
      <w:r>
        <w:rPr>
          <w:color w:val="231F20"/>
          <w:w w:val="105"/>
        </w:rPr>
        <w:t>a</w:t>
      </w:r>
      <w:r>
        <w:rPr>
          <w:color w:val="231F20"/>
          <w:spacing w:val="-8"/>
          <w:w w:val="105"/>
        </w:rPr>
        <w:t> </w:t>
      </w:r>
      <w:r>
        <w:rPr>
          <w:color w:val="231F20"/>
          <w:w w:val="105"/>
        </w:rPr>
        <w:t>capo</w:t>
      </w:r>
      <w:r>
        <w:rPr>
          <w:color w:val="231F20"/>
          <w:spacing w:val="-8"/>
          <w:w w:val="105"/>
        </w:rPr>
        <w:t> </w:t>
      </w:r>
      <w:r>
        <w:rPr>
          <w:color w:val="231F20"/>
          <w:w w:val="105"/>
        </w:rPr>
        <w:t>è</w:t>
      </w:r>
      <w:r>
        <w:rPr>
          <w:color w:val="231F20"/>
          <w:spacing w:val="-8"/>
          <w:w w:val="105"/>
        </w:rPr>
        <w:t> </w:t>
      </w:r>
      <w:r>
        <w:rPr>
          <w:color w:val="231F20"/>
          <w:w w:val="105"/>
        </w:rPr>
        <w:t>quello,</w:t>
      </w:r>
      <w:r>
        <w:rPr>
          <w:color w:val="231F20"/>
          <w:spacing w:val="-8"/>
          <w:w w:val="105"/>
        </w:rPr>
        <w:t> </w:t>
      </w:r>
      <w:r>
        <w:rPr>
          <w:color w:val="231F20"/>
          <w:w w:val="105"/>
        </w:rPr>
        <w:t>già</w:t>
      </w:r>
      <w:r>
        <w:rPr>
          <w:color w:val="231F20"/>
          <w:spacing w:val="-8"/>
          <w:w w:val="105"/>
        </w:rPr>
        <w:t> </w:t>
      </w:r>
      <w:r>
        <w:rPr>
          <w:color w:val="231F20"/>
          <w:w w:val="105"/>
        </w:rPr>
        <w:t>più</w:t>
      </w:r>
      <w:r>
        <w:rPr>
          <w:color w:val="231F20"/>
          <w:spacing w:val="-8"/>
          <w:w w:val="105"/>
        </w:rPr>
        <w:t> </w:t>
      </w:r>
      <w:r>
        <w:rPr>
          <w:color w:val="231F20"/>
          <w:w w:val="105"/>
        </w:rPr>
        <w:t>volte</w:t>
      </w:r>
      <w:r>
        <w:rPr>
          <w:color w:val="231F20"/>
          <w:spacing w:val="-8"/>
          <w:w w:val="105"/>
        </w:rPr>
        <w:t> </w:t>
      </w:r>
      <w:r>
        <w:rPr>
          <w:color w:val="231F20"/>
          <w:w w:val="105"/>
        </w:rPr>
        <w:t>evocato,</w:t>
      </w:r>
      <w:r>
        <w:rPr>
          <w:color w:val="231F20"/>
          <w:w w:val="101"/>
        </w:rPr>
        <w:t> </w:t>
      </w:r>
      <w:r>
        <w:rPr>
          <w:color w:val="231F20"/>
          <w:w w:val="105"/>
        </w:rPr>
        <w:t>di </w:t>
      </w:r>
      <w:r>
        <w:rPr>
          <w:color w:val="231F20"/>
          <w:spacing w:val="3"/>
          <w:w w:val="105"/>
        </w:rPr>
        <w:t>“misura”. </w:t>
      </w:r>
      <w:r>
        <w:rPr>
          <w:color w:val="231F20"/>
          <w:spacing w:val="2"/>
          <w:w w:val="105"/>
        </w:rPr>
        <w:t>Per </w:t>
      </w:r>
      <w:r>
        <w:rPr>
          <w:color w:val="231F20"/>
          <w:w w:val="105"/>
        </w:rPr>
        <w:t>me </w:t>
      </w:r>
      <w:r>
        <w:rPr>
          <w:color w:val="231F20"/>
          <w:spacing w:val="3"/>
          <w:w w:val="105"/>
        </w:rPr>
        <w:t>essa significa </w:t>
      </w:r>
      <w:r>
        <w:rPr>
          <w:color w:val="231F20"/>
          <w:w w:val="105"/>
        </w:rPr>
        <w:t>la </w:t>
      </w:r>
      <w:r>
        <w:rPr>
          <w:color w:val="231F20"/>
          <w:spacing w:val="3"/>
          <w:w w:val="105"/>
        </w:rPr>
        <w:t>capacità, ricercata </w:t>
      </w:r>
      <w:r>
        <w:rPr>
          <w:color w:val="231F20"/>
          <w:w w:val="105"/>
        </w:rPr>
        <w:t>e</w:t>
      </w:r>
      <w:r>
        <w:rPr>
          <w:color w:val="231F20"/>
          <w:spacing w:val="59"/>
          <w:w w:val="105"/>
        </w:rPr>
        <w:t> </w:t>
      </w:r>
      <w:r>
        <w:rPr>
          <w:color w:val="231F20"/>
          <w:spacing w:val="3"/>
          <w:w w:val="105"/>
        </w:rPr>
        <w:t>costruita,</w:t>
      </w:r>
      <w:r>
        <w:rPr>
          <w:color w:val="231F20"/>
          <w:spacing w:val="7"/>
          <w:w w:val="105"/>
        </w:rPr>
        <w:t> </w:t>
      </w:r>
      <w:r>
        <w:rPr>
          <w:color w:val="231F20"/>
          <w:w w:val="105"/>
        </w:rPr>
        <w:t>e</w:t>
      </w:r>
      <w:r>
        <w:rPr>
          <w:color w:val="231F20"/>
          <w:w w:val="105"/>
        </w:rPr>
        <w:t> </w:t>
      </w:r>
      <w:r>
        <w:rPr>
          <w:color w:val="231F20"/>
          <w:w w:val="105"/>
        </w:rPr>
        <w:t>continuamente</w:t>
      </w:r>
      <w:r>
        <w:rPr>
          <w:color w:val="231F20"/>
          <w:spacing w:val="-37"/>
          <w:w w:val="105"/>
        </w:rPr>
        <w:t> </w:t>
      </w:r>
      <w:r>
        <w:rPr>
          <w:color w:val="231F20"/>
          <w:w w:val="105"/>
        </w:rPr>
        <w:t>alimentata,</w:t>
      </w:r>
      <w:r>
        <w:rPr>
          <w:color w:val="231F20"/>
          <w:spacing w:val="-37"/>
          <w:w w:val="105"/>
        </w:rPr>
        <w:t> </w:t>
      </w:r>
      <w:r>
        <w:rPr>
          <w:color w:val="231F20"/>
          <w:w w:val="105"/>
        </w:rPr>
        <w:t>di</w:t>
      </w:r>
      <w:r>
        <w:rPr>
          <w:color w:val="231F20"/>
          <w:spacing w:val="-37"/>
          <w:w w:val="105"/>
        </w:rPr>
        <w:t> </w:t>
      </w:r>
      <w:r>
        <w:rPr>
          <w:color w:val="231F20"/>
          <w:w w:val="105"/>
        </w:rPr>
        <w:t>mantenere</w:t>
      </w:r>
      <w:r>
        <w:rPr>
          <w:color w:val="231F20"/>
          <w:spacing w:val="-37"/>
          <w:w w:val="105"/>
        </w:rPr>
        <w:t> </w:t>
      </w:r>
      <w:r>
        <w:rPr>
          <w:color w:val="231F20"/>
          <w:w w:val="105"/>
        </w:rPr>
        <w:t>in</w:t>
      </w:r>
      <w:r>
        <w:rPr>
          <w:color w:val="231F20"/>
          <w:spacing w:val="-37"/>
          <w:w w:val="105"/>
        </w:rPr>
        <w:t> </w:t>
      </w:r>
      <w:r>
        <w:rPr>
          <w:color w:val="231F20"/>
          <w:w w:val="105"/>
        </w:rPr>
        <w:t>tiro</w:t>
      </w:r>
      <w:r>
        <w:rPr>
          <w:color w:val="231F20"/>
          <w:spacing w:val="-37"/>
          <w:w w:val="105"/>
        </w:rPr>
        <w:t> </w:t>
      </w:r>
      <w:r>
        <w:rPr>
          <w:color w:val="231F20"/>
          <w:w w:val="105"/>
        </w:rPr>
        <w:t>fra</w:t>
      </w:r>
      <w:r>
        <w:rPr>
          <w:color w:val="231F20"/>
          <w:spacing w:val="-37"/>
          <w:w w:val="105"/>
        </w:rPr>
        <w:t> </w:t>
      </w:r>
      <w:r>
        <w:rPr>
          <w:color w:val="231F20"/>
          <w:w w:val="105"/>
        </w:rPr>
        <w:t>loro,</w:t>
      </w:r>
      <w:r>
        <w:rPr>
          <w:color w:val="231F20"/>
          <w:spacing w:val="-37"/>
          <w:w w:val="105"/>
        </w:rPr>
        <w:t> </w:t>
      </w:r>
      <w:r>
        <w:rPr>
          <w:color w:val="231F20"/>
          <w:w w:val="105"/>
        </w:rPr>
        <w:t>secondo</w:t>
      </w:r>
      <w:r>
        <w:rPr>
          <w:color w:val="231F20"/>
          <w:spacing w:val="-37"/>
          <w:w w:val="105"/>
        </w:rPr>
        <w:t> </w:t>
      </w:r>
      <w:r>
        <w:rPr>
          <w:color w:val="231F20"/>
          <w:w w:val="105"/>
        </w:rPr>
        <w:t>coerenza</w:t>
      </w:r>
      <w:r>
        <w:rPr>
          <w:color w:val="231F20"/>
          <w:w w:val="100"/>
        </w:rPr>
        <w:t> </w:t>
      </w:r>
      <w:r>
        <w:rPr>
          <w:color w:val="231F20"/>
          <w:w w:val="105"/>
        </w:rPr>
        <w:t>e</w:t>
      </w:r>
      <w:r>
        <w:rPr>
          <w:color w:val="231F20"/>
          <w:spacing w:val="-7"/>
          <w:w w:val="105"/>
        </w:rPr>
        <w:t> </w:t>
      </w:r>
      <w:r>
        <w:rPr>
          <w:color w:val="231F20"/>
          <w:w w:val="105"/>
        </w:rPr>
        <w:t>volontà,</w:t>
      </w:r>
      <w:r>
        <w:rPr>
          <w:color w:val="231F20"/>
          <w:spacing w:val="-7"/>
          <w:w w:val="105"/>
        </w:rPr>
        <w:t> </w:t>
      </w:r>
      <w:r>
        <w:rPr>
          <w:color w:val="231F20"/>
          <w:w w:val="105"/>
        </w:rPr>
        <w:t>la</w:t>
      </w:r>
      <w:r>
        <w:rPr>
          <w:color w:val="231F20"/>
          <w:spacing w:val="-7"/>
          <w:w w:val="105"/>
        </w:rPr>
        <w:t> </w:t>
      </w:r>
      <w:r>
        <w:rPr>
          <w:color w:val="231F20"/>
          <w:w w:val="105"/>
        </w:rPr>
        <w:t>coscienza</w:t>
      </w:r>
      <w:r>
        <w:rPr>
          <w:color w:val="231F20"/>
          <w:spacing w:val="-7"/>
          <w:w w:val="105"/>
        </w:rPr>
        <w:t> </w:t>
      </w:r>
      <w:r>
        <w:rPr>
          <w:color w:val="231F20"/>
          <w:w w:val="105"/>
        </w:rPr>
        <w:t>individuale</w:t>
      </w:r>
      <w:r>
        <w:rPr>
          <w:color w:val="231F20"/>
          <w:spacing w:val="-7"/>
          <w:w w:val="105"/>
        </w:rPr>
        <w:t> </w:t>
      </w:r>
      <w:r>
        <w:rPr>
          <w:color w:val="231F20"/>
          <w:w w:val="105"/>
        </w:rPr>
        <w:t>delle</w:t>
      </w:r>
      <w:r>
        <w:rPr>
          <w:color w:val="231F20"/>
          <w:spacing w:val="-7"/>
          <w:w w:val="105"/>
        </w:rPr>
        <w:t> </w:t>
      </w:r>
      <w:r>
        <w:rPr>
          <w:color w:val="231F20"/>
          <w:w w:val="105"/>
        </w:rPr>
        <w:t>cose</w:t>
      </w:r>
      <w:r>
        <w:rPr>
          <w:color w:val="231F20"/>
          <w:spacing w:val="-7"/>
          <w:w w:val="105"/>
        </w:rPr>
        <w:t> </w:t>
      </w:r>
      <w:r>
        <w:rPr>
          <w:color w:val="231F20"/>
          <w:w w:val="105"/>
        </w:rPr>
        <w:t>e</w:t>
      </w:r>
      <w:r>
        <w:rPr>
          <w:color w:val="231F20"/>
          <w:spacing w:val="-7"/>
          <w:w w:val="105"/>
        </w:rPr>
        <w:t> </w:t>
      </w:r>
      <w:r>
        <w:rPr>
          <w:color w:val="231F20"/>
          <w:w w:val="105"/>
        </w:rPr>
        <w:t>degli</w:t>
      </w:r>
      <w:r>
        <w:rPr>
          <w:color w:val="231F20"/>
          <w:spacing w:val="-7"/>
          <w:w w:val="105"/>
        </w:rPr>
        <w:t> </w:t>
      </w:r>
      <w:r>
        <w:rPr>
          <w:color w:val="231F20"/>
          <w:w w:val="105"/>
        </w:rPr>
        <w:t>altri</w:t>
      </w:r>
      <w:r>
        <w:rPr>
          <w:color w:val="231F20"/>
          <w:spacing w:val="-7"/>
          <w:w w:val="105"/>
        </w:rPr>
        <w:t> </w:t>
      </w:r>
      <w:r>
        <w:rPr>
          <w:color w:val="231F20"/>
          <w:w w:val="105"/>
        </w:rPr>
        <w:t>(misura</w:t>
      </w:r>
      <w:r>
        <w:rPr>
          <w:color w:val="231F20"/>
          <w:spacing w:val="-7"/>
          <w:w w:val="105"/>
        </w:rPr>
        <w:t> </w:t>
      </w:r>
      <w:r>
        <w:rPr>
          <w:color w:val="231F20"/>
          <w:w w:val="105"/>
        </w:rPr>
        <w:t>di</w:t>
      </w:r>
      <w:r>
        <w:rPr>
          <w:color w:val="231F20"/>
          <w:spacing w:val="-7"/>
          <w:w w:val="105"/>
        </w:rPr>
        <w:t> </w:t>
      </w:r>
      <w:r>
        <w:rPr>
          <w:color w:val="231F20"/>
          <w:w w:val="105"/>
        </w:rPr>
        <w:t>sé),</w:t>
      </w:r>
      <w:r>
        <w:rPr>
          <w:color w:val="231F20"/>
          <w:spacing w:val="1"/>
          <w:w w:val="90"/>
        </w:rPr>
        <w:t> </w:t>
      </w:r>
      <w:r>
        <w:rPr>
          <w:color w:val="231F20"/>
          <w:w w:val="105"/>
        </w:rPr>
        <w:t>la </w:t>
      </w:r>
      <w:r>
        <w:rPr>
          <w:color w:val="231F20"/>
          <w:spacing w:val="3"/>
          <w:w w:val="105"/>
        </w:rPr>
        <w:t>sperimentazione </w:t>
      </w:r>
      <w:r>
        <w:rPr>
          <w:color w:val="231F20"/>
          <w:w w:val="105"/>
        </w:rPr>
        <w:t>e la </w:t>
      </w:r>
      <w:r>
        <w:rPr>
          <w:color w:val="231F20"/>
          <w:spacing w:val="3"/>
          <w:w w:val="105"/>
        </w:rPr>
        <w:t>validificazione come emblematico</w:t>
      </w:r>
      <w:r>
        <w:rPr>
          <w:color w:val="231F20"/>
          <w:spacing w:val="41"/>
          <w:w w:val="105"/>
        </w:rPr>
        <w:t> </w:t>
      </w:r>
      <w:r>
        <w:rPr>
          <w:color w:val="231F20"/>
          <w:spacing w:val="3"/>
          <w:w w:val="105"/>
        </w:rPr>
        <w:t>metodo</w:t>
      </w:r>
      <w:r>
        <w:rPr>
          <w:color w:val="231F20"/>
          <w:spacing w:val="17"/>
          <w:w w:val="105"/>
        </w:rPr>
        <w:t> </w:t>
      </w:r>
      <w:r>
        <w:rPr>
          <w:color w:val="231F20"/>
          <w:w w:val="105"/>
        </w:rPr>
        <w:t>di</w:t>
      </w:r>
      <w:r>
        <w:rPr>
          <w:color w:val="231F20"/>
          <w:w w:val="105"/>
        </w:rPr>
        <w:t> </w:t>
      </w:r>
      <w:r>
        <w:rPr>
          <w:color w:val="231F20"/>
          <w:spacing w:val="2"/>
          <w:w w:val="105"/>
        </w:rPr>
        <w:t>tecno–scienza</w:t>
      </w:r>
      <w:r>
        <w:rPr>
          <w:color w:val="231F20"/>
          <w:spacing w:val="-10"/>
          <w:w w:val="105"/>
        </w:rPr>
        <w:t> </w:t>
      </w:r>
      <w:r>
        <w:rPr>
          <w:color w:val="231F20"/>
          <w:spacing w:val="2"/>
          <w:w w:val="105"/>
        </w:rPr>
        <w:t>(misura</w:t>
      </w:r>
      <w:r>
        <w:rPr>
          <w:color w:val="231F20"/>
          <w:spacing w:val="-10"/>
          <w:w w:val="105"/>
        </w:rPr>
        <w:t> </w:t>
      </w:r>
      <w:r>
        <w:rPr>
          <w:color w:val="231F20"/>
          <w:spacing w:val="2"/>
          <w:w w:val="105"/>
        </w:rPr>
        <w:t>cognitiva)</w:t>
      </w:r>
      <w:r>
        <w:rPr>
          <w:color w:val="231F20"/>
          <w:spacing w:val="-10"/>
          <w:w w:val="105"/>
        </w:rPr>
        <w:t> </w:t>
      </w:r>
      <w:r>
        <w:rPr>
          <w:color w:val="231F20"/>
          <w:w w:val="105"/>
        </w:rPr>
        <w:t>e</w:t>
      </w:r>
      <w:r>
        <w:rPr>
          <w:color w:val="231F20"/>
          <w:spacing w:val="-10"/>
          <w:w w:val="105"/>
        </w:rPr>
        <w:t> </w:t>
      </w:r>
      <w:r>
        <w:rPr>
          <w:color w:val="231F20"/>
          <w:w w:val="105"/>
        </w:rPr>
        <w:t>la</w:t>
      </w:r>
      <w:r>
        <w:rPr>
          <w:color w:val="231F20"/>
          <w:spacing w:val="-10"/>
          <w:w w:val="105"/>
        </w:rPr>
        <w:t> </w:t>
      </w:r>
      <w:r>
        <w:rPr>
          <w:color w:val="231F20"/>
          <w:spacing w:val="2"/>
          <w:w w:val="105"/>
        </w:rPr>
        <w:t>cittadinanza</w:t>
      </w:r>
      <w:r>
        <w:rPr>
          <w:color w:val="231F20"/>
          <w:spacing w:val="-10"/>
          <w:w w:val="105"/>
        </w:rPr>
        <w:t> </w:t>
      </w:r>
      <w:r>
        <w:rPr>
          <w:color w:val="231F20"/>
          <w:spacing w:val="2"/>
          <w:w w:val="105"/>
        </w:rPr>
        <w:t>come</w:t>
      </w:r>
      <w:r>
        <w:rPr>
          <w:color w:val="231F20"/>
          <w:spacing w:val="-10"/>
          <w:w w:val="105"/>
        </w:rPr>
        <w:t> </w:t>
      </w:r>
      <w:r>
        <w:rPr>
          <w:color w:val="231F20"/>
          <w:spacing w:val="2"/>
          <w:w w:val="105"/>
        </w:rPr>
        <w:t>procedimento</w:t>
      </w:r>
      <w:r>
        <w:rPr>
          <w:color w:val="231F20"/>
          <w:w w:val="109"/>
        </w:rPr>
        <w:t> </w:t>
      </w:r>
      <w:r>
        <w:rPr>
          <w:color w:val="231F20"/>
        </w:rPr>
        <w:t>amministrativo comunitario (misura amministrativa).</w:t>
      </w:r>
      <w:r>
        <w:rPr>
          <w:color w:val="231F20"/>
          <w:spacing w:val="25"/>
        </w:rPr>
        <w:t> </w:t>
      </w:r>
      <w:r>
        <w:rPr>
          <w:color w:val="231F20"/>
        </w:rPr>
        <w:t>L’allineamento</w:t>
      </w:r>
      <w:r>
        <w:rPr>
          <w:color w:val="231F20"/>
          <w:spacing w:val="22"/>
        </w:rPr>
        <w:t> </w:t>
      </w:r>
      <w:r>
        <w:rPr>
          <w:color w:val="231F20"/>
        </w:rPr>
        <w:t>delle</w:t>
      </w:r>
      <w:r>
        <w:rPr>
          <w:color w:val="231F20"/>
          <w:spacing w:val="1"/>
          <w:w w:val="105"/>
        </w:rPr>
        <w:t> </w:t>
      </w:r>
      <w:r>
        <w:rPr>
          <w:color w:val="231F20"/>
          <w:w w:val="105"/>
        </w:rPr>
        <w:t>tre</w:t>
      </w:r>
      <w:r>
        <w:rPr>
          <w:color w:val="231F20"/>
          <w:spacing w:val="-38"/>
          <w:w w:val="105"/>
        </w:rPr>
        <w:t> </w:t>
      </w:r>
      <w:r>
        <w:rPr>
          <w:color w:val="231F20"/>
          <w:w w:val="105"/>
        </w:rPr>
        <w:t>misure</w:t>
      </w:r>
      <w:r>
        <w:rPr>
          <w:color w:val="231F20"/>
          <w:spacing w:val="-38"/>
          <w:w w:val="105"/>
        </w:rPr>
        <w:t> </w:t>
      </w:r>
      <w:r>
        <w:rPr>
          <w:color w:val="231F20"/>
          <w:w w:val="105"/>
        </w:rPr>
        <w:t>è</w:t>
      </w:r>
      <w:r>
        <w:rPr>
          <w:color w:val="231F20"/>
          <w:spacing w:val="-38"/>
          <w:w w:val="105"/>
        </w:rPr>
        <w:t> </w:t>
      </w:r>
      <w:r>
        <w:rPr>
          <w:color w:val="231F20"/>
          <w:w w:val="105"/>
        </w:rPr>
        <w:t>storicamente</w:t>
      </w:r>
      <w:r>
        <w:rPr>
          <w:color w:val="231F20"/>
          <w:spacing w:val="-38"/>
          <w:w w:val="105"/>
        </w:rPr>
        <w:t> </w:t>
      </w:r>
      <w:r>
        <w:rPr>
          <w:color w:val="231F20"/>
          <w:w w:val="105"/>
        </w:rPr>
        <w:t>cosa</w:t>
      </w:r>
      <w:r>
        <w:rPr>
          <w:color w:val="231F20"/>
          <w:spacing w:val="-38"/>
          <w:w w:val="105"/>
        </w:rPr>
        <w:t> </w:t>
      </w:r>
      <w:r>
        <w:rPr>
          <w:color w:val="231F20"/>
          <w:w w:val="105"/>
        </w:rPr>
        <w:t>difficile</w:t>
      </w:r>
      <w:r>
        <w:rPr>
          <w:color w:val="231F20"/>
          <w:spacing w:val="-38"/>
          <w:w w:val="105"/>
        </w:rPr>
        <w:t> </w:t>
      </w:r>
      <w:r>
        <w:rPr>
          <w:color w:val="231F20"/>
          <w:w w:val="105"/>
        </w:rPr>
        <w:t>e</w:t>
      </w:r>
      <w:r>
        <w:rPr>
          <w:color w:val="231F20"/>
          <w:spacing w:val="-38"/>
          <w:w w:val="105"/>
        </w:rPr>
        <w:t> </w:t>
      </w:r>
      <w:r>
        <w:rPr>
          <w:color w:val="231F20"/>
          <w:w w:val="105"/>
        </w:rPr>
        <w:t>rara,</w:t>
      </w:r>
      <w:r>
        <w:rPr>
          <w:color w:val="231F20"/>
          <w:spacing w:val="-38"/>
          <w:w w:val="105"/>
        </w:rPr>
        <w:t> </w:t>
      </w:r>
      <w:r>
        <w:rPr>
          <w:color w:val="231F20"/>
          <w:w w:val="105"/>
        </w:rPr>
        <w:t>come</w:t>
      </w:r>
      <w:r>
        <w:rPr>
          <w:color w:val="231F20"/>
          <w:spacing w:val="-38"/>
          <w:w w:val="105"/>
        </w:rPr>
        <w:t> </w:t>
      </w:r>
      <w:r>
        <w:rPr>
          <w:color w:val="231F20"/>
          <w:w w:val="105"/>
        </w:rPr>
        <w:t>pure,</w:t>
      </w:r>
      <w:r>
        <w:rPr>
          <w:color w:val="231F20"/>
          <w:spacing w:val="-38"/>
          <w:w w:val="105"/>
        </w:rPr>
        <w:t> </w:t>
      </w:r>
      <w:r>
        <w:rPr>
          <w:color w:val="231F20"/>
          <w:w w:val="105"/>
        </w:rPr>
        <w:t>solitamente,</w:t>
      </w:r>
      <w:r>
        <w:rPr>
          <w:color w:val="231F20"/>
          <w:spacing w:val="-38"/>
          <w:w w:val="105"/>
        </w:rPr>
        <w:t> </w:t>
      </w:r>
      <w:r>
        <w:rPr>
          <w:color w:val="231F20"/>
          <w:w w:val="105"/>
        </w:rPr>
        <w:t>non</w:t>
      </w:r>
      <w:r>
        <w:rPr>
          <w:color w:val="231F20"/>
          <w:w w:val="102"/>
        </w:rPr>
        <w:t> </w:t>
      </w:r>
      <w:r>
        <w:rPr>
          <w:color w:val="231F20"/>
          <w:w w:val="105"/>
        </w:rPr>
        <w:t>durevole. Esso si compie, sembrerebbe, fra una crisi e l’altra ma,</w:t>
      </w:r>
      <w:r>
        <w:rPr>
          <w:color w:val="231F20"/>
          <w:spacing w:val="-20"/>
          <w:w w:val="105"/>
        </w:rPr>
        <w:t> </w:t>
      </w:r>
      <w:r>
        <w:rPr>
          <w:color w:val="231F20"/>
          <w:w w:val="105"/>
        </w:rPr>
        <w:t>a</w:t>
      </w:r>
      <w:r>
        <w:rPr>
          <w:color w:val="231F20"/>
          <w:spacing w:val="-2"/>
          <w:w w:val="105"/>
        </w:rPr>
        <w:t> </w:t>
      </w:r>
      <w:r>
        <w:rPr>
          <w:color w:val="231F20"/>
          <w:spacing w:val="2"/>
          <w:w w:val="105"/>
        </w:rPr>
        <w:t>ben</w:t>
      </w:r>
      <w:r>
        <w:rPr>
          <w:color w:val="231F20"/>
          <w:spacing w:val="2"/>
          <w:w w:val="105"/>
        </w:rPr>
        <w:t> </w:t>
      </w:r>
      <w:r>
        <w:rPr>
          <w:color w:val="231F20"/>
          <w:spacing w:val="-3"/>
          <w:w w:val="105"/>
        </w:rPr>
        <w:t>pensarci,</w:t>
      </w:r>
      <w:r>
        <w:rPr>
          <w:color w:val="231F20"/>
          <w:spacing w:val="-48"/>
          <w:w w:val="105"/>
        </w:rPr>
        <w:t> </w:t>
      </w:r>
      <w:r>
        <w:rPr>
          <w:color w:val="231F20"/>
          <w:w w:val="105"/>
        </w:rPr>
        <w:t>è</w:t>
      </w:r>
      <w:r>
        <w:rPr>
          <w:color w:val="231F20"/>
          <w:spacing w:val="-48"/>
          <w:w w:val="105"/>
        </w:rPr>
        <w:t> </w:t>
      </w:r>
      <w:r>
        <w:rPr>
          <w:color w:val="231F20"/>
          <w:w w:val="105"/>
        </w:rPr>
        <w:t>esso</w:t>
      </w:r>
      <w:r>
        <w:rPr>
          <w:color w:val="231F20"/>
          <w:spacing w:val="-48"/>
          <w:w w:val="105"/>
        </w:rPr>
        <w:t> </w:t>
      </w:r>
      <w:r>
        <w:rPr>
          <w:color w:val="231F20"/>
          <w:w w:val="105"/>
        </w:rPr>
        <w:t>stesso</w:t>
      </w:r>
      <w:r>
        <w:rPr>
          <w:color w:val="231F20"/>
          <w:spacing w:val="-48"/>
          <w:w w:val="105"/>
        </w:rPr>
        <w:t> </w:t>
      </w:r>
      <w:r>
        <w:rPr>
          <w:color w:val="231F20"/>
          <w:spacing w:val="-3"/>
          <w:w w:val="105"/>
        </w:rPr>
        <w:t>motore</w:t>
      </w:r>
      <w:r>
        <w:rPr>
          <w:color w:val="231F20"/>
          <w:spacing w:val="-48"/>
          <w:w w:val="105"/>
        </w:rPr>
        <w:t> </w:t>
      </w:r>
      <w:r>
        <w:rPr>
          <w:color w:val="231F20"/>
          <w:w w:val="105"/>
        </w:rPr>
        <w:t>di</w:t>
      </w:r>
      <w:r>
        <w:rPr>
          <w:color w:val="231F20"/>
          <w:spacing w:val="-48"/>
          <w:w w:val="105"/>
        </w:rPr>
        <w:t> </w:t>
      </w:r>
      <w:r>
        <w:rPr>
          <w:color w:val="231F20"/>
          <w:w w:val="105"/>
        </w:rPr>
        <w:t>crisi,</w:t>
      </w:r>
      <w:r>
        <w:rPr>
          <w:color w:val="231F20"/>
          <w:spacing w:val="-48"/>
          <w:w w:val="105"/>
        </w:rPr>
        <w:t> </w:t>
      </w:r>
      <w:r>
        <w:rPr>
          <w:color w:val="231F20"/>
          <w:w w:val="105"/>
        </w:rPr>
        <w:t>nel</w:t>
      </w:r>
      <w:r>
        <w:rPr>
          <w:color w:val="231F20"/>
          <w:spacing w:val="-48"/>
          <w:w w:val="105"/>
        </w:rPr>
        <w:t> </w:t>
      </w:r>
      <w:r>
        <w:rPr>
          <w:color w:val="231F20"/>
          <w:w w:val="105"/>
        </w:rPr>
        <w:t>senso</w:t>
      </w:r>
      <w:r>
        <w:rPr>
          <w:color w:val="231F20"/>
          <w:spacing w:val="-48"/>
          <w:w w:val="105"/>
        </w:rPr>
        <w:t> </w:t>
      </w:r>
      <w:r>
        <w:rPr>
          <w:color w:val="231F20"/>
          <w:w w:val="105"/>
        </w:rPr>
        <w:t>che,</w:t>
      </w:r>
      <w:r>
        <w:rPr>
          <w:color w:val="231F20"/>
          <w:spacing w:val="-48"/>
          <w:w w:val="105"/>
        </w:rPr>
        <w:t> </w:t>
      </w:r>
      <w:r>
        <w:rPr>
          <w:color w:val="231F20"/>
          <w:w w:val="105"/>
        </w:rPr>
        <w:t>appena</w:t>
      </w:r>
      <w:r>
        <w:rPr>
          <w:color w:val="231F20"/>
          <w:spacing w:val="-48"/>
          <w:w w:val="105"/>
        </w:rPr>
        <w:t> </w:t>
      </w:r>
      <w:r>
        <w:rPr>
          <w:color w:val="231F20"/>
          <w:w w:val="105"/>
        </w:rPr>
        <w:t>raggiunto</w:t>
      </w:r>
      <w:r>
        <w:rPr>
          <w:color w:val="231F20"/>
          <w:spacing w:val="-48"/>
          <w:w w:val="105"/>
        </w:rPr>
        <w:t> </w:t>
      </w:r>
      <w:r>
        <w:rPr>
          <w:color w:val="231F20"/>
          <w:w w:val="105"/>
        </w:rPr>
        <w:t>quel</w:t>
      </w:r>
      <w:r>
        <w:rPr>
          <w:color w:val="231F20"/>
          <w:spacing w:val="-2"/>
          <w:w w:val="105"/>
        </w:rPr>
        <w:t> </w:t>
      </w:r>
      <w:r>
        <w:rPr>
          <w:color w:val="231F20"/>
          <w:w w:val="105"/>
        </w:rPr>
        <w:t>nesso,</w:t>
      </w:r>
      <w:r>
        <w:rPr>
          <w:color w:val="231F20"/>
          <w:spacing w:val="-18"/>
          <w:w w:val="105"/>
        </w:rPr>
        <w:t> </w:t>
      </w:r>
      <w:r>
        <w:rPr>
          <w:color w:val="231F20"/>
          <w:w w:val="105"/>
        </w:rPr>
        <w:t>cede</w:t>
      </w:r>
      <w:r>
        <w:rPr>
          <w:color w:val="231F20"/>
          <w:spacing w:val="-18"/>
          <w:w w:val="105"/>
        </w:rPr>
        <w:t> </w:t>
      </w:r>
      <w:r>
        <w:rPr>
          <w:color w:val="231F20"/>
          <w:w w:val="105"/>
        </w:rPr>
        <w:t>il</w:t>
      </w:r>
      <w:r>
        <w:rPr>
          <w:color w:val="231F20"/>
          <w:spacing w:val="-18"/>
          <w:w w:val="105"/>
        </w:rPr>
        <w:t> </w:t>
      </w:r>
      <w:r>
        <w:rPr>
          <w:color w:val="231F20"/>
          <w:w w:val="105"/>
        </w:rPr>
        <w:t>passo</w:t>
      </w:r>
      <w:r>
        <w:rPr>
          <w:color w:val="231F20"/>
          <w:spacing w:val="-18"/>
          <w:w w:val="105"/>
        </w:rPr>
        <w:t> </w:t>
      </w:r>
      <w:r>
        <w:rPr>
          <w:color w:val="231F20"/>
          <w:w w:val="105"/>
        </w:rPr>
        <w:t>a</w:t>
      </w:r>
      <w:r>
        <w:rPr>
          <w:color w:val="231F20"/>
          <w:spacing w:val="-18"/>
          <w:w w:val="105"/>
        </w:rPr>
        <w:t> </w:t>
      </w:r>
      <w:r>
        <w:rPr>
          <w:color w:val="231F20"/>
          <w:w w:val="105"/>
        </w:rPr>
        <w:t>nuovi</w:t>
      </w:r>
      <w:r>
        <w:rPr>
          <w:color w:val="231F20"/>
          <w:spacing w:val="-18"/>
          <w:w w:val="105"/>
        </w:rPr>
        <w:t> </w:t>
      </w:r>
      <w:r>
        <w:rPr>
          <w:color w:val="231F20"/>
          <w:w w:val="105"/>
        </w:rPr>
        <w:t>aggiustamenti,</w:t>
      </w:r>
      <w:r>
        <w:rPr>
          <w:color w:val="231F20"/>
          <w:spacing w:val="-18"/>
          <w:w w:val="105"/>
        </w:rPr>
        <w:t> </w:t>
      </w:r>
      <w:r>
        <w:rPr>
          <w:color w:val="231F20"/>
          <w:w w:val="105"/>
        </w:rPr>
        <w:t>perché</w:t>
      </w:r>
      <w:r>
        <w:rPr>
          <w:color w:val="231F20"/>
          <w:spacing w:val="-18"/>
          <w:w w:val="105"/>
        </w:rPr>
        <w:t> </w:t>
      </w:r>
      <w:r>
        <w:rPr>
          <w:color w:val="231F20"/>
          <w:w w:val="105"/>
        </w:rPr>
        <w:t>si</w:t>
      </w:r>
      <w:r>
        <w:rPr>
          <w:color w:val="231F20"/>
          <w:spacing w:val="-18"/>
          <w:w w:val="105"/>
        </w:rPr>
        <w:t> </w:t>
      </w:r>
      <w:r>
        <w:rPr>
          <w:color w:val="231F20"/>
          <w:w w:val="105"/>
        </w:rPr>
        <w:t>fonda</w:t>
      </w:r>
      <w:r>
        <w:rPr>
          <w:color w:val="231F20"/>
          <w:spacing w:val="-18"/>
          <w:w w:val="105"/>
        </w:rPr>
        <w:t> </w:t>
      </w:r>
      <w:r>
        <w:rPr>
          <w:color w:val="231F20"/>
          <w:w w:val="105"/>
        </w:rPr>
        <w:t>sulla</w:t>
      </w:r>
      <w:r>
        <w:rPr>
          <w:color w:val="231F20"/>
          <w:spacing w:val="-18"/>
          <w:w w:val="105"/>
        </w:rPr>
        <w:t> </w:t>
      </w:r>
      <w:r>
        <w:rPr>
          <w:color w:val="231F20"/>
          <w:w w:val="105"/>
        </w:rPr>
        <w:t>critica</w:t>
      </w:r>
      <w:r>
        <w:rPr>
          <w:color w:val="231F20"/>
          <w:spacing w:val="-18"/>
          <w:w w:val="105"/>
        </w:rPr>
        <w:t> </w:t>
      </w:r>
      <w:r>
        <w:rPr>
          <w:color w:val="231F20"/>
          <w:w w:val="105"/>
        </w:rPr>
        <w:t>e</w:t>
      </w:r>
      <w:r>
        <w:rPr>
          <w:color w:val="231F20"/>
          <w:w w:val="105"/>
        </w:rPr>
        <w:t> </w:t>
      </w:r>
      <w:r>
        <w:rPr>
          <w:color w:val="231F20"/>
          <w:w w:val="105"/>
        </w:rPr>
        <w:t>messa</w:t>
      </w:r>
      <w:r>
        <w:rPr>
          <w:color w:val="231F20"/>
          <w:spacing w:val="-52"/>
          <w:w w:val="105"/>
        </w:rPr>
        <w:t> </w:t>
      </w:r>
      <w:r>
        <w:rPr>
          <w:color w:val="231F20"/>
          <w:w w:val="105"/>
        </w:rPr>
        <w:t>in</w:t>
      </w:r>
      <w:r>
        <w:rPr>
          <w:color w:val="231F20"/>
          <w:spacing w:val="-52"/>
          <w:w w:val="105"/>
        </w:rPr>
        <w:t> </w:t>
      </w:r>
      <w:r>
        <w:rPr>
          <w:color w:val="231F20"/>
          <w:w w:val="105"/>
        </w:rPr>
        <w:t>gioco</w:t>
      </w:r>
      <w:r>
        <w:rPr>
          <w:color w:val="231F20"/>
          <w:spacing w:val="-52"/>
          <w:w w:val="105"/>
        </w:rPr>
        <w:t> </w:t>
      </w:r>
      <w:r>
        <w:rPr>
          <w:color w:val="231F20"/>
          <w:w w:val="105"/>
        </w:rPr>
        <w:t>dell’esistente,</w:t>
      </w:r>
      <w:r>
        <w:rPr>
          <w:color w:val="231F20"/>
          <w:spacing w:val="-52"/>
          <w:w w:val="105"/>
        </w:rPr>
        <w:t> </w:t>
      </w:r>
      <w:r>
        <w:rPr>
          <w:color w:val="231F20"/>
          <w:w w:val="105"/>
        </w:rPr>
        <w:t>verso</w:t>
      </w:r>
      <w:r>
        <w:rPr>
          <w:color w:val="231F20"/>
          <w:spacing w:val="-52"/>
          <w:w w:val="105"/>
        </w:rPr>
        <w:t> </w:t>
      </w:r>
      <w:r>
        <w:rPr>
          <w:color w:val="231F20"/>
          <w:w w:val="105"/>
        </w:rPr>
        <w:t>nuovi</w:t>
      </w:r>
      <w:r>
        <w:rPr>
          <w:color w:val="231F20"/>
          <w:spacing w:val="-52"/>
          <w:w w:val="105"/>
        </w:rPr>
        <w:t> </w:t>
      </w:r>
      <w:r>
        <w:rPr>
          <w:color w:val="231F20"/>
          <w:w w:val="105"/>
        </w:rPr>
        <w:t>confini</w:t>
      </w:r>
      <w:r>
        <w:rPr>
          <w:color w:val="231F20"/>
          <w:spacing w:val="-52"/>
          <w:w w:val="105"/>
        </w:rPr>
        <w:t> </w:t>
      </w:r>
      <w:r>
        <w:rPr>
          <w:color w:val="231F20"/>
          <w:w w:val="105"/>
        </w:rPr>
        <w:t>da</w:t>
      </w:r>
      <w:r>
        <w:rPr>
          <w:color w:val="231F20"/>
          <w:spacing w:val="-52"/>
          <w:w w:val="105"/>
        </w:rPr>
        <w:t> </w:t>
      </w:r>
      <w:r>
        <w:rPr>
          <w:color w:val="231F20"/>
          <w:spacing w:val="-3"/>
          <w:w w:val="105"/>
        </w:rPr>
        <w:t>raggiungere</w:t>
      </w:r>
      <w:r>
        <w:rPr>
          <w:color w:val="231F20"/>
          <w:spacing w:val="-52"/>
          <w:w w:val="105"/>
        </w:rPr>
        <w:t> </w:t>
      </w:r>
      <w:r>
        <w:rPr>
          <w:color w:val="231F20"/>
          <w:w w:val="105"/>
        </w:rPr>
        <w:t>e</w:t>
      </w:r>
      <w:r>
        <w:rPr>
          <w:color w:val="231F20"/>
          <w:spacing w:val="-52"/>
          <w:w w:val="105"/>
        </w:rPr>
        <w:t> </w:t>
      </w:r>
      <w:r>
        <w:rPr>
          <w:color w:val="231F20"/>
          <w:spacing w:val="-3"/>
          <w:w w:val="105"/>
        </w:rPr>
        <w:t>superare.</w:t>
      </w:r>
    </w:p>
    <w:p>
      <w:pPr>
        <w:pStyle w:val="BodyText"/>
        <w:spacing w:line="244" w:lineRule="auto"/>
        <w:ind w:left="117" w:right="120" w:firstLine="566"/>
        <w:jc w:val="both"/>
      </w:pPr>
      <w:r>
        <w:rPr>
          <w:color w:val="231F20"/>
        </w:rPr>
        <w:t>Per</w:t>
      </w:r>
      <w:r>
        <w:rPr>
          <w:color w:val="231F20"/>
          <w:spacing w:val="-18"/>
        </w:rPr>
        <w:t> </w:t>
      </w:r>
      <w:r>
        <w:rPr>
          <w:color w:val="231F20"/>
        </w:rPr>
        <w:t>spiegarmi</w:t>
      </w:r>
      <w:r>
        <w:rPr>
          <w:color w:val="231F20"/>
          <w:spacing w:val="-18"/>
        </w:rPr>
        <w:t> </w:t>
      </w:r>
      <w:r>
        <w:rPr>
          <w:color w:val="231F20"/>
        </w:rPr>
        <w:t>meglio</w:t>
      </w:r>
      <w:r>
        <w:rPr>
          <w:color w:val="231F20"/>
          <w:spacing w:val="-18"/>
        </w:rPr>
        <w:t> </w:t>
      </w:r>
      <w:r>
        <w:rPr>
          <w:color w:val="231F20"/>
        </w:rPr>
        <w:t>e</w:t>
      </w:r>
      <w:r>
        <w:rPr>
          <w:color w:val="231F20"/>
          <w:spacing w:val="-18"/>
        </w:rPr>
        <w:t> </w:t>
      </w:r>
      <w:r>
        <w:rPr>
          <w:color w:val="231F20"/>
        </w:rPr>
        <w:t>cercare</w:t>
      </w:r>
      <w:r>
        <w:rPr>
          <w:color w:val="231F20"/>
          <w:spacing w:val="-18"/>
        </w:rPr>
        <w:t> </w:t>
      </w:r>
      <w:r>
        <w:rPr>
          <w:color w:val="231F20"/>
        </w:rPr>
        <w:t>di</w:t>
      </w:r>
      <w:r>
        <w:rPr>
          <w:color w:val="231F20"/>
          <w:spacing w:val="-18"/>
        </w:rPr>
        <w:t> </w:t>
      </w:r>
      <w:r>
        <w:rPr>
          <w:color w:val="231F20"/>
        </w:rPr>
        <w:t>essere</w:t>
      </w:r>
      <w:r>
        <w:rPr>
          <w:color w:val="231F20"/>
          <w:spacing w:val="-18"/>
        </w:rPr>
        <w:t> </w:t>
      </w:r>
      <w:r>
        <w:rPr>
          <w:color w:val="231F20"/>
        </w:rPr>
        <w:t>capito,</w:t>
      </w:r>
      <w:r>
        <w:rPr>
          <w:color w:val="231F20"/>
          <w:spacing w:val="-18"/>
        </w:rPr>
        <w:t> </w:t>
      </w:r>
      <w:r>
        <w:rPr>
          <w:color w:val="231F20"/>
        </w:rPr>
        <w:t>proverò</w:t>
      </w:r>
      <w:r>
        <w:rPr>
          <w:color w:val="231F20"/>
          <w:spacing w:val="-18"/>
        </w:rPr>
        <w:t> </w:t>
      </w:r>
      <w:r>
        <w:rPr>
          <w:color w:val="231F20"/>
        </w:rPr>
        <w:t>ad</w:t>
      </w:r>
      <w:r>
        <w:rPr>
          <w:color w:val="231F20"/>
          <w:spacing w:val="-18"/>
        </w:rPr>
        <w:t> </w:t>
      </w:r>
      <w:r>
        <w:rPr>
          <w:color w:val="231F20"/>
        </w:rPr>
        <w:t>avvicinare il</w:t>
      </w:r>
      <w:r>
        <w:rPr>
          <w:color w:val="231F20"/>
          <w:spacing w:val="-19"/>
        </w:rPr>
        <w:t> </w:t>
      </w:r>
      <w:r>
        <w:rPr>
          <w:color w:val="231F20"/>
        </w:rPr>
        <w:t>mio</w:t>
      </w:r>
      <w:r>
        <w:rPr>
          <w:color w:val="231F20"/>
          <w:spacing w:val="-19"/>
        </w:rPr>
        <w:t> </w:t>
      </w:r>
      <w:r>
        <w:rPr>
          <w:color w:val="231F20"/>
        </w:rPr>
        <w:t>concetto</w:t>
      </w:r>
      <w:r>
        <w:rPr>
          <w:color w:val="231F20"/>
          <w:spacing w:val="-19"/>
        </w:rPr>
        <w:t> </w:t>
      </w:r>
      <w:r>
        <w:rPr>
          <w:color w:val="231F20"/>
        </w:rPr>
        <w:t>di</w:t>
      </w:r>
      <w:r>
        <w:rPr>
          <w:color w:val="231F20"/>
          <w:spacing w:val="-19"/>
        </w:rPr>
        <w:t> </w:t>
      </w:r>
      <w:r>
        <w:rPr>
          <w:color w:val="231F20"/>
        </w:rPr>
        <w:t>misura</w:t>
      </w:r>
      <w:r>
        <w:rPr>
          <w:color w:val="231F20"/>
          <w:spacing w:val="-19"/>
        </w:rPr>
        <w:t> </w:t>
      </w:r>
      <w:r>
        <w:rPr>
          <w:color w:val="231F20"/>
        </w:rPr>
        <w:t>ad</w:t>
      </w:r>
      <w:r>
        <w:rPr>
          <w:color w:val="231F20"/>
          <w:spacing w:val="-19"/>
        </w:rPr>
        <w:t> </w:t>
      </w:r>
      <w:r>
        <w:rPr>
          <w:color w:val="231F20"/>
        </w:rPr>
        <w:t>altri</w:t>
      </w:r>
      <w:r>
        <w:rPr>
          <w:color w:val="231F20"/>
          <w:spacing w:val="-19"/>
        </w:rPr>
        <w:t> </w:t>
      </w:r>
      <w:r>
        <w:rPr>
          <w:color w:val="231F20"/>
        </w:rPr>
        <w:t>due</w:t>
      </w:r>
      <w:r>
        <w:rPr>
          <w:color w:val="231F20"/>
          <w:spacing w:val="-19"/>
        </w:rPr>
        <w:t> </w:t>
      </w:r>
      <w:r>
        <w:rPr>
          <w:color w:val="231F20"/>
        </w:rPr>
        <w:t>che</w:t>
      </w:r>
      <w:r>
        <w:rPr>
          <w:color w:val="231F20"/>
          <w:spacing w:val="-19"/>
        </w:rPr>
        <w:t> </w:t>
      </w:r>
      <w:r>
        <w:rPr>
          <w:color w:val="231F20"/>
        </w:rPr>
        <w:t>ho</w:t>
      </w:r>
      <w:r>
        <w:rPr>
          <w:color w:val="231F20"/>
          <w:spacing w:val="-19"/>
        </w:rPr>
        <w:t> </w:t>
      </w:r>
      <w:r>
        <w:rPr>
          <w:color w:val="231F20"/>
          <w:spacing w:val="-3"/>
        </w:rPr>
        <w:t>recentemente</w:t>
      </w:r>
      <w:r>
        <w:rPr>
          <w:color w:val="231F20"/>
          <w:spacing w:val="-19"/>
        </w:rPr>
        <w:t> </w:t>
      </w:r>
      <w:r>
        <w:rPr>
          <w:color w:val="231F20"/>
        </w:rPr>
        <w:t>incontrato,</w:t>
      </w:r>
      <w:r>
        <w:rPr>
          <w:color w:val="231F20"/>
          <w:spacing w:val="-19"/>
        </w:rPr>
        <w:t> </w:t>
      </w:r>
      <w:r>
        <w:rPr>
          <w:color w:val="231F20"/>
        </w:rPr>
        <w:t>anche se si riferiscono a situazioni e dipendono da premesse lontane dalle mie.   Il primo è il concetto di </w:t>
      </w:r>
      <w:r>
        <w:rPr>
          <w:rFonts w:ascii="Arial" w:hAnsi="Arial"/>
          <w:i/>
          <w:color w:val="231F20"/>
        </w:rPr>
        <w:t>border</w:t>
      </w:r>
      <w:r>
        <w:rPr>
          <w:color w:val="231F20"/>
        </w:rPr>
        <w:t>, indagato intensivamente da Mezzadra e Neilson per una lettura nuova del fenomeno universale della migrazione    e del lavoro. Fin dalle prime righe del loro libro </w:t>
      </w:r>
      <w:r>
        <w:rPr>
          <w:rFonts w:ascii="Arial" w:hAnsi="Arial"/>
          <w:i/>
          <w:color w:val="231F20"/>
        </w:rPr>
        <w:t>border </w:t>
      </w:r>
      <w:r>
        <w:rPr>
          <w:color w:val="231F20"/>
        </w:rPr>
        <w:t>è definito come “demarcation [lines] between the sacred and the profane, good and evil, private and public, inside and outside”: tutte cose che riguardano l’uomo  e la sua </w:t>
      </w:r>
      <w:r>
        <w:rPr>
          <w:rFonts w:ascii="Arial" w:hAnsi="Arial"/>
          <w:i/>
          <w:color w:val="231F20"/>
        </w:rPr>
        <w:t>dis-location</w:t>
      </w:r>
      <w:r>
        <w:rPr>
          <w:color w:val="231F20"/>
        </w:rPr>
        <w:t>. </w:t>
      </w:r>
      <w:r>
        <w:rPr>
          <w:color w:val="231F20"/>
          <w:spacing w:val="-4"/>
        </w:rPr>
        <w:t>Tanto </w:t>
      </w:r>
      <w:r>
        <w:rPr>
          <w:color w:val="231F20"/>
        </w:rPr>
        <w:t>che gli autori intitolano il libro al “border as method”,</w:t>
      </w:r>
      <w:r>
        <w:rPr>
          <w:color w:val="231F20"/>
          <w:spacing w:val="-11"/>
        </w:rPr>
        <w:t> </w:t>
      </w:r>
      <w:r>
        <w:rPr>
          <w:color w:val="231F20"/>
        </w:rPr>
        <w:t>come</w:t>
      </w:r>
      <w:r>
        <w:rPr>
          <w:color w:val="231F20"/>
          <w:spacing w:val="-11"/>
        </w:rPr>
        <w:t> </w:t>
      </w:r>
      <w:r>
        <w:rPr>
          <w:color w:val="231F20"/>
        </w:rPr>
        <w:t>generatore</w:t>
      </w:r>
      <w:r>
        <w:rPr>
          <w:color w:val="231F20"/>
          <w:spacing w:val="-11"/>
        </w:rPr>
        <w:t> </w:t>
      </w:r>
      <w:r>
        <w:rPr>
          <w:color w:val="231F20"/>
        </w:rPr>
        <w:t>cioè</w:t>
      </w:r>
      <w:r>
        <w:rPr>
          <w:color w:val="231F20"/>
          <w:spacing w:val="-11"/>
        </w:rPr>
        <w:t> </w:t>
      </w:r>
      <w:r>
        <w:rPr>
          <w:color w:val="231F20"/>
        </w:rPr>
        <w:t>di</w:t>
      </w:r>
      <w:r>
        <w:rPr>
          <w:color w:val="231F20"/>
          <w:spacing w:val="-11"/>
        </w:rPr>
        <w:t> </w:t>
      </w:r>
      <w:r>
        <w:rPr>
          <w:color w:val="231F20"/>
        </w:rPr>
        <w:t>una</w:t>
      </w:r>
      <w:r>
        <w:rPr>
          <w:color w:val="231F20"/>
          <w:spacing w:val="-11"/>
        </w:rPr>
        <w:t> </w:t>
      </w:r>
      <w:r>
        <w:rPr>
          <w:color w:val="231F20"/>
        </w:rPr>
        <w:t>serie</w:t>
      </w:r>
      <w:r>
        <w:rPr>
          <w:color w:val="231F20"/>
          <w:spacing w:val="-11"/>
        </w:rPr>
        <w:t> </w:t>
      </w:r>
      <w:r>
        <w:rPr>
          <w:color w:val="231F20"/>
        </w:rPr>
        <w:t>di</w:t>
      </w:r>
      <w:r>
        <w:rPr>
          <w:color w:val="231F20"/>
          <w:spacing w:val="-11"/>
        </w:rPr>
        <w:t> </w:t>
      </w:r>
      <w:r>
        <w:rPr>
          <w:color w:val="231F20"/>
        </w:rPr>
        <w:t>concetti</w:t>
      </w:r>
      <w:r>
        <w:rPr>
          <w:color w:val="231F20"/>
          <w:spacing w:val="-11"/>
        </w:rPr>
        <w:t> </w:t>
      </w:r>
      <w:r>
        <w:rPr>
          <w:color w:val="231F20"/>
        </w:rPr>
        <w:t>miranti</w:t>
      </w:r>
      <w:r>
        <w:rPr>
          <w:color w:val="231F20"/>
          <w:spacing w:val="-11"/>
        </w:rPr>
        <w:t> </w:t>
      </w:r>
      <w:r>
        <w:rPr>
          <w:color w:val="231F20"/>
        </w:rPr>
        <w:t>a</w:t>
      </w:r>
      <w:r>
        <w:rPr>
          <w:color w:val="231F20"/>
          <w:spacing w:val="-11"/>
        </w:rPr>
        <w:t> </w:t>
      </w:r>
      <w:r>
        <w:rPr>
          <w:color w:val="231F20"/>
        </w:rPr>
        <w:t>cogliere</w:t>
      </w:r>
      <w:r>
        <w:rPr>
          <w:color w:val="231F20"/>
          <w:spacing w:val="-11"/>
        </w:rPr>
        <w:t> </w:t>
      </w:r>
      <w:r>
        <w:rPr>
          <w:color w:val="231F20"/>
        </w:rPr>
        <w:t>le </w:t>
      </w:r>
      <w:r>
        <w:rPr>
          <w:color w:val="231F20"/>
          <w:spacing w:val="-3"/>
        </w:rPr>
        <w:t>“mutazioni</w:t>
      </w:r>
      <w:r>
        <w:rPr>
          <w:color w:val="231F20"/>
          <w:spacing w:val="-9"/>
        </w:rPr>
        <w:t> </w:t>
      </w:r>
      <w:r>
        <w:rPr>
          <w:color w:val="231F20"/>
        </w:rPr>
        <w:t>di</w:t>
      </w:r>
      <w:r>
        <w:rPr>
          <w:color w:val="231F20"/>
          <w:spacing w:val="-9"/>
        </w:rPr>
        <w:t> </w:t>
      </w:r>
      <w:r>
        <w:rPr>
          <w:color w:val="231F20"/>
          <w:spacing w:val="-4"/>
        </w:rPr>
        <w:t>lavoro,</w:t>
      </w:r>
      <w:r>
        <w:rPr>
          <w:color w:val="231F20"/>
          <w:spacing w:val="-9"/>
        </w:rPr>
        <w:t> </w:t>
      </w:r>
      <w:r>
        <w:rPr>
          <w:color w:val="231F20"/>
          <w:spacing w:val="-3"/>
        </w:rPr>
        <w:t>spazio,</w:t>
      </w:r>
      <w:r>
        <w:rPr>
          <w:color w:val="231F20"/>
          <w:spacing w:val="-9"/>
        </w:rPr>
        <w:t> </w:t>
      </w:r>
      <w:r>
        <w:rPr>
          <w:color w:val="231F20"/>
          <w:spacing w:val="-3"/>
        </w:rPr>
        <w:t>tempo,</w:t>
      </w:r>
      <w:r>
        <w:rPr>
          <w:color w:val="231F20"/>
          <w:spacing w:val="-9"/>
        </w:rPr>
        <w:t> </w:t>
      </w:r>
      <w:r>
        <w:rPr>
          <w:color w:val="231F20"/>
          <w:spacing w:val="-3"/>
        </w:rPr>
        <w:t>diritto</w:t>
      </w:r>
      <w:r>
        <w:rPr>
          <w:color w:val="231F20"/>
          <w:spacing w:val="-9"/>
        </w:rPr>
        <w:t> </w:t>
      </w:r>
      <w:r>
        <w:rPr>
          <w:color w:val="231F20"/>
        </w:rPr>
        <w:t>e</w:t>
      </w:r>
      <w:r>
        <w:rPr>
          <w:color w:val="231F20"/>
          <w:spacing w:val="-9"/>
        </w:rPr>
        <w:t> </w:t>
      </w:r>
      <w:r>
        <w:rPr>
          <w:color w:val="231F20"/>
          <w:spacing w:val="-3"/>
        </w:rPr>
        <w:t>cittadinanza</w:t>
      </w:r>
      <w:r>
        <w:rPr>
          <w:color w:val="231F20"/>
          <w:spacing w:val="-9"/>
        </w:rPr>
        <w:t> </w:t>
      </w:r>
      <w:r>
        <w:rPr>
          <w:color w:val="231F20"/>
        </w:rPr>
        <w:t>che</w:t>
      </w:r>
      <w:r>
        <w:rPr>
          <w:color w:val="231F20"/>
          <w:spacing w:val="-9"/>
        </w:rPr>
        <w:t> </w:t>
      </w:r>
      <w:r>
        <w:rPr>
          <w:color w:val="231F20"/>
          <w:spacing w:val="-3"/>
        </w:rPr>
        <w:t>accompagnano </w:t>
      </w:r>
      <w:r>
        <w:rPr>
          <w:color w:val="231F20"/>
        </w:rPr>
        <w:t>la</w:t>
      </w:r>
      <w:r>
        <w:rPr>
          <w:color w:val="231F20"/>
          <w:spacing w:val="-12"/>
        </w:rPr>
        <w:t> </w:t>
      </w:r>
      <w:r>
        <w:rPr>
          <w:color w:val="231F20"/>
          <w:spacing w:val="-3"/>
        </w:rPr>
        <w:t>proliferazione</w:t>
      </w:r>
      <w:r>
        <w:rPr>
          <w:color w:val="231F20"/>
          <w:spacing w:val="-12"/>
        </w:rPr>
        <w:t> </w:t>
      </w:r>
      <w:r>
        <w:rPr>
          <w:color w:val="231F20"/>
        </w:rPr>
        <w:t>di</w:t>
      </w:r>
      <w:r>
        <w:rPr>
          <w:color w:val="231F20"/>
          <w:spacing w:val="-12"/>
        </w:rPr>
        <w:t> </w:t>
      </w:r>
      <w:r>
        <w:rPr>
          <w:color w:val="231F20"/>
        </w:rPr>
        <w:t>confini</w:t>
      </w:r>
      <w:r>
        <w:rPr>
          <w:color w:val="231F20"/>
          <w:spacing w:val="-12"/>
        </w:rPr>
        <w:t> </w:t>
      </w:r>
      <w:r>
        <w:rPr>
          <w:color w:val="231F20"/>
        </w:rPr>
        <w:t>nel</w:t>
      </w:r>
      <w:r>
        <w:rPr>
          <w:color w:val="231F20"/>
          <w:spacing w:val="-12"/>
        </w:rPr>
        <w:t> </w:t>
      </w:r>
      <w:r>
        <w:rPr>
          <w:color w:val="231F20"/>
        </w:rPr>
        <w:t>mondo</w:t>
      </w:r>
      <w:r>
        <w:rPr>
          <w:color w:val="231F20"/>
          <w:spacing w:val="-12"/>
        </w:rPr>
        <w:t> </w:t>
      </w:r>
      <w:r>
        <w:rPr>
          <w:color w:val="231F20"/>
          <w:spacing w:val="-3"/>
        </w:rPr>
        <w:t>d’oggi”</w:t>
      </w:r>
      <w:r>
        <w:rPr>
          <w:color w:val="231F20"/>
          <w:spacing w:val="-3"/>
          <w:position w:val="7"/>
          <w:sz w:val="12"/>
        </w:rPr>
        <w:t>48</w:t>
      </w:r>
      <w:r>
        <w:rPr>
          <w:color w:val="231F20"/>
          <w:spacing w:val="-3"/>
        </w:rPr>
        <w:t>.</w:t>
      </w:r>
      <w:r>
        <w:rPr>
          <w:color w:val="231F20"/>
          <w:spacing w:val="-12"/>
        </w:rPr>
        <w:t> </w:t>
      </w:r>
      <w:r>
        <w:rPr>
          <w:color w:val="231F20"/>
        </w:rPr>
        <w:t>Che</w:t>
      </w:r>
      <w:r>
        <w:rPr>
          <w:color w:val="231F20"/>
          <w:spacing w:val="-12"/>
        </w:rPr>
        <w:t> </w:t>
      </w:r>
      <w:r>
        <w:rPr>
          <w:color w:val="231F20"/>
        </w:rPr>
        <w:t>l’uomo,</w:t>
      </w:r>
      <w:r>
        <w:rPr>
          <w:color w:val="231F20"/>
          <w:spacing w:val="-12"/>
        </w:rPr>
        <w:t> </w:t>
      </w:r>
      <w:r>
        <w:rPr>
          <w:color w:val="231F20"/>
        </w:rPr>
        <w:t>a</w:t>
      </w:r>
      <w:r>
        <w:rPr>
          <w:color w:val="231F20"/>
          <w:spacing w:val="-12"/>
        </w:rPr>
        <w:t> </w:t>
      </w:r>
      <w:r>
        <w:rPr>
          <w:color w:val="231F20"/>
        </w:rPr>
        <w:t>sua</w:t>
      </w:r>
      <w:r>
        <w:rPr>
          <w:color w:val="231F20"/>
          <w:spacing w:val="-12"/>
        </w:rPr>
        <w:t> </w:t>
      </w:r>
      <w:r>
        <w:rPr>
          <w:color w:val="231F20"/>
        </w:rPr>
        <w:t>volta,</w:t>
      </w:r>
      <w:r>
        <w:rPr>
          <w:color w:val="231F20"/>
          <w:spacing w:val="-12"/>
        </w:rPr>
        <w:t> </w:t>
      </w:r>
      <w:r>
        <w:rPr>
          <w:color w:val="231F20"/>
        </w:rPr>
        <w:t>torni a dipendere più che mai dai suoi principali elementi costitutivi —che sono</w:t>
      </w:r>
      <w:r>
        <w:rPr>
          <w:color w:val="231F20"/>
          <w:spacing w:val="-44"/>
        </w:rPr>
        <w:t> </w:t>
      </w:r>
      <w:r>
        <w:rPr>
          <w:color w:val="231F20"/>
        </w:rPr>
        <w:t>il suo</w:t>
      </w:r>
      <w:r>
        <w:rPr>
          <w:color w:val="231F20"/>
          <w:spacing w:val="-22"/>
        </w:rPr>
        <w:t> </w:t>
      </w:r>
      <w:r>
        <w:rPr>
          <w:color w:val="231F20"/>
          <w:spacing w:val="-3"/>
        </w:rPr>
        <w:t>essere</w:t>
      </w:r>
      <w:r>
        <w:rPr>
          <w:color w:val="231F20"/>
          <w:spacing w:val="-22"/>
        </w:rPr>
        <w:t> </w:t>
      </w:r>
      <w:r>
        <w:rPr>
          <w:color w:val="231F20"/>
        </w:rPr>
        <w:t>simultaneamente</w:t>
      </w:r>
      <w:r>
        <w:rPr>
          <w:color w:val="231F20"/>
          <w:spacing w:val="-22"/>
        </w:rPr>
        <w:t> </w:t>
      </w:r>
      <w:r>
        <w:rPr>
          <w:color w:val="231F20"/>
          <w:spacing w:val="-3"/>
        </w:rPr>
        <w:t>forza–lavoro</w:t>
      </w:r>
      <w:r>
        <w:rPr>
          <w:color w:val="231F20"/>
          <w:spacing w:val="-22"/>
        </w:rPr>
        <w:t> </w:t>
      </w:r>
      <w:r>
        <w:rPr>
          <w:color w:val="231F20"/>
        </w:rPr>
        <w:t>e</w:t>
      </w:r>
      <w:r>
        <w:rPr>
          <w:color w:val="231F20"/>
          <w:spacing w:val="-22"/>
        </w:rPr>
        <w:t> </w:t>
      </w:r>
      <w:r>
        <w:rPr>
          <w:color w:val="231F20"/>
        </w:rPr>
        <w:t>forza–di–vita—</w:t>
      </w:r>
      <w:r>
        <w:rPr>
          <w:color w:val="231F20"/>
          <w:spacing w:val="-22"/>
        </w:rPr>
        <w:t> </w:t>
      </w:r>
      <w:r>
        <w:rPr>
          <w:color w:val="231F20"/>
        </w:rPr>
        <w:t>dipende</w:t>
      </w:r>
      <w:r>
        <w:rPr>
          <w:color w:val="231F20"/>
          <w:spacing w:val="-22"/>
        </w:rPr>
        <w:t> </w:t>
      </w:r>
      <w:r>
        <w:rPr>
          <w:color w:val="231F20"/>
        </w:rPr>
        <w:t>dal</w:t>
      </w:r>
      <w:r>
        <w:rPr>
          <w:color w:val="231F20"/>
          <w:spacing w:val="-22"/>
        </w:rPr>
        <w:t> </w:t>
      </w:r>
      <w:r>
        <w:rPr>
          <w:color w:val="231F20"/>
        </w:rPr>
        <w:t>fatto che</w:t>
      </w:r>
      <w:r>
        <w:rPr>
          <w:color w:val="231F20"/>
          <w:spacing w:val="-17"/>
        </w:rPr>
        <w:t> </w:t>
      </w:r>
      <w:r>
        <w:rPr>
          <w:color w:val="231F20"/>
        </w:rPr>
        <w:t>lavoro</w:t>
      </w:r>
      <w:r>
        <w:rPr>
          <w:color w:val="231F20"/>
          <w:spacing w:val="-17"/>
        </w:rPr>
        <w:t> </w:t>
      </w:r>
      <w:r>
        <w:rPr>
          <w:color w:val="231F20"/>
        </w:rPr>
        <w:t>e</w:t>
      </w:r>
      <w:r>
        <w:rPr>
          <w:color w:val="231F20"/>
          <w:spacing w:val="-17"/>
        </w:rPr>
        <w:t> </w:t>
      </w:r>
      <w:r>
        <w:rPr>
          <w:color w:val="231F20"/>
        </w:rPr>
        <w:t>vita</w:t>
      </w:r>
      <w:r>
        <w:rPr>
          <w:color w:val="231F20"/>
          <w:spacing w:val="-17"/>
        </w:rPr>
        <w:t> </w:t>
      </w:r>
      <w:r>
        <w:rPr>
          <w:color w:val="231F20"/>
        </w:rPr>
        <w:t>stanno</w:t>
      </w:r>
      <w:r>
        <w:rPr>
          <w:color w:val="231F20"/>
          <w:spacing w:val="-17"/>
        </w:rPr>
        <w:t> </w:t>
      </w:r>
      <w:r>
        <w:rPr>
          <w:color w:val="231F20"/>
        </w:rPr>
        <w:t>tornando</w:t>
      </w:r>
      <w:r>
        <w:rPr>
          <w:color w:val="231F20"/>
          <w:spacing w:val="-17"/>
        </w:rPr>
        <w:t> </w:t>
      </w:r>
      <w:r>
        <w:rPr>
          <w:color w:val="231F20"/>
        </w:rPr>
        <w:t>a</w:t>
      </w:r>
      <w:r>
        <w:rPr>
          <w:color w:val="231F20"/>
          <w:spacing w:val="-17"/>
        </w:rPr>
        <w:t> </w:t>
      </w:r>
      <w:r>
        <w:rPr>
          <w:color w:val="231F20"/>
        </w:rPr>
        <w:t>sovrapporsi</w:t>
      </w:r>
      <w:r>
        <w:rPr>
          <w:color w:val="231F20"/>
          <w:spacing w:val="-17"/>
        </w:rPr>
        <w:t> </w:t>
      </w:r>
      <w:r>
        <w:rPr>
          <w:color w:val="231F20"/>
        </w:rPr>
        <w:t>sempre</w:t>
      </w:r>
      <w:r>
        <w:rPr>
          <w:color w:val="231F20"/>
          <w:spacing w:val="-17"/>
        </w:rPr>
        <w:t> </w:t>
      </w:r>
      <w:r>
        <w:rPr>
          <w:color w:val="231F20"/>
        </w:rPr>
        <w:t>più,</w:t>
      </w:r>
      <w:r>
        <w:rPr>
          <w:color w:val="231F20"/>
          <w:spacing w:val="-17"/>
        </w:rPr>
        <w:t> </w:t>
      </w:r>
      <w:r>
        <w:rPr>
          <w:color w:val="231F20"/>
        </w:rPr>
        <w:t>nelle</w:t>
      </w:r>
      <w:r>
        <w:rPr>
          <w:color w:val="231F20"/>
          <w:spacing w:val="-17"/>
        </w:rPr>
        <w:t> </w:t>
      </w:r>
      <w:r>
        <w:rPr>
          <w:color w:val="231F20"/>
        </w:rPr>
        <w:t>condizioni</w:t>
      </w:r>
    </w:p>
    <w:p>
      <w:pPr>
        <w:spacing w:line="204" w:lineRule="exact" w:before="401"/>
        <w:ind w:left="117" w:right="121" w:firstLine="0"/>
        <w:jc w:val="both"/>
        <w:rPr>
          <w:rFonts w:ascii="Calibri" w:hAnsi="Calibri"/>
          <w:sz w:val="17"/>
        </w:rPr>
      </w:pPr>
      <w:r>
        <w:rPr/>
        <w:pict>
          <v:line style="position:absolute;mso-position-horizontal-relative:page;mso-position-vertical-relative:paragraph;z-index:13072" from="70.866096pt,18.010002pt" to="184.252096pt,18.010002pt" stroked="true" strokeweight=".3pt" strokecolor="#231f20">
            <w10:wrap type="none"/>
          </v:line>
        </w:pict>
      </w:r>
      <w:r>
        <w:rPr>
          <w:rFonts w:ascii="Calibri" w:hAnsi="Calibri"/>
          <w:color w:val="231F20"/>
          <w:position w:val="6"/>
          <w:sz w:val="10"/>
        </w:rPr>
        <w:t>48 </w:t>
      </w:r>
      <w:r>
        <w:rPr>
          <w:rFonts w:ascii="Calibri" w:hAnsi="Calibri"/>
          <w:color w:val="231F20"/>
          <w:sz w:val="17"/>
        </w:rPr>
        <w:t>S. Mezzadra y B. Neilson, </w:t>
      </w:r>
      <w:r>
        <w:rPr>
          <w:rFonts w:ascii="Calibri" w:hAnsi="Calibri"/>
          <w:i/>
          <w:color w:val="231F20"/>
          <w:sz w:val="17"/>
        </w:rPr>
        <w:t>Border as Method, </w:t>
      </w:r>
      <w:r>
        <w:rPr>
          <w:rFonts w:ascii="Calibri" w:hAnsi="Calibri"/>
          <w:i/>
          <w:color w:val="231F20"/>
          <w:spacing w:val="-3"/>
          <w:sz w:val="17"/>
        </w:rPr>
        <w:t>or, </w:t>
      </w:r>
      <w:r>
        <w:rPr>
          <w:rFonts w:ascii="Calibri" w:hAnsi="Calibri"/>
          <w:i/>
          <w:color w:val="231F20"/>
          <w:sz w:val="17"/>
        </w:rPr>
        <w:t>the Multiplication of Labor</w:t>
      </w:r>
      <w:r>
        <w:rPr>
          <w:rFonts w:ascii="Calibri" w:hAnsi="Calibri"/>
          <w:color w:val="231F20"/>
          <w:sz w:val="17"/>
        </w:rPr>
        <w:t>, Durham and London, Duke</w:t>
      </w:r>
      <w:r>
        <w:rPr>
          <w:rFonts w:ascii="Calibri" w:hAnsi="Calibri"/>
          <w:color w:val="231F20"/>
          <w:spacing w:val="-6"/>
          <w:sz w:val="17"/>
        </w:rPr>
        <w:t> </w:t>
      </w:r>
      <w:r>
        <w:rPr>
          <w:rFonts w:ascii="Calibri" w:hAnsi="Calibri"/>
          <w:color w:val="231F20"/>
          <w:sz w:val="17"/>
        </w:rPr>
        <w:t>university</w:t>
      </w:r>
      <w:r>
        <w:rPr>
          <w:rFonts w:ascii="Calibri" w:hAnsi="Calibri"/>
          <w:color w:val="231F20"/>
          <w:spacing w:val="-6"/>
          <w:sz w:val="17"/>
        </w:rPr>
        <w:t> </w:t>
      </w:r>
      <w:r>
        <w:rPr>
          <w:rFonts w:ascii="Calibri" w:hAnsi="Calibri"/>
          <w:color w:val="231F20"/>
          <w:sz w:val="17"/>
        </w:rPr>
        <w:t>press,</w:t>
      </w:r>
      <w:r>
        <w:rPr>
          <w:rFonts w:ascii="Calibri" w:hAnsi="Calibri"/>
          <w:color w:val="231F20"/>
          <w:spacing w:val="-6"/>
          <w:sz w:val="17"/>
        </w:rPr>
        <w:t> </w:t>
      </w:r>
      <w:r>
        <w:rPr>
          <w:rFonts w:ascii="Calibri" w:hAnsi="Calibri"/>
          <w:color w:val="231F20"/>
          <w:sz w:val="17"/>
        </w:rPr>
        <w:t>2013,</w:t>
      </w:r>
      <w:r>
        <w:rPr>
          <w:rFonts w:ascii="Calibri" w:hAnsi="Calibri"/>
          <w:color w:val="231F20"/>
          <w:spacing w:val="29"/>
          <w:sz w:val="17"/>
        </w:rPr>
        <w:t> </w:t>
      </w:r>
      <w:r>
        <w:rPr>
          <w:rFonts w:ascii="Calibri" w:hAnsi="Calibri"/>
          <w:color w:val="231F20"/>
          <w:sz w:val="17"/>
        </w:rPr>
        <w:t>sulla</w:t>
      </w:r>
      <w:r>
        <w:rPr>
          <w:rFonts w:ascii="Calibri" w:hAnsi="Calibri"/>
          <w:color w:val="231F20"/>
          <w:spacing w:val="-6"/>
          <w:sz w:val="17"/>
        </w:rPr>
        <w:t> </w:t>
      </w:r>
      <w:r>
        <w:rPr>
          <w:rFonts w:ascii="Calibri" w:hAnsi="Calibri"/>
          <w:color w:val="231F20"/>
          <w:sz w:val="17"/>
        </w:rPr>
        <w:t>cui</w:t>
      </w:r>
      <w:r>
        <w:rPr>
          <w:rFonts w:ascii="Calibri" w:hAnsi="Calibri"/>
          <w:color w:val="231F20"/>
          <w:spacing w:val="-6"/>
          <w:sz w:val="17"/>
        </w:rPr>
        <w:t> </w:t>
      </w:r>
      <w:r>
        <w:rPr>
          <w:rFonts w:ascii="Calibri" w:hAnsi="Calibri"/>
          <w:color w:val="231F20"/>
          <w:sz w:val="17"/>
        </w:rPr>
        <w:t>traduzione</w:t>
      </w:r>
      <w:r>
        <w:rPr>
          <w:rFonts w:ascii="Calibri" w:hAnsi="Calibri"/>
          <w:color w:val="231F20"/>
          <w:spacing w:val="-6"/>
          <w:sz w:val="17"/>
        </w:rPr>
        <w:t> </w:t>
      </w:r>
      <w:r>
        <w:rPr>
          <w:rFonts w:ascii="Calibri" w:hAnsi="Calibri"/>
          <w:color w:val="231F20"/>
          <w:sz w:val="17"/>
        </w:rPr>
        <w:t>in</w:t>
      </w:r>
      <w:r>
        <w:rPr>
          <w:rFonts w:ascii="Calibri" w:hAnsi="Calibri"/>
          <w:color w:val="231F20"/>
          <w:spacing w:val="-6"/>
          <w:sz w:val="17"/>
        </w:rPr>
        <w:t> </w:t>
      </w:r>
      <w:r>
        <w:rPr>
          <w:rFonts w:ascii="Calibri" w:hAnsi="Calibri"/>
          <w:color w:val="231F20"/>
          <w:sz w:val="17"/>
        </w:rPr>
        <w:t>italiano</w:t>
      </w:r>
      <w:r>
        <w:rPr>
          <w:rFonts w:ascii="Calibri" w:hAnsi="Calibri"/>
          <w:color w:val="231F20"/>
          <w:spacing w:val="-6"/>
          <w:sz w:val="17"/>
        </w:rPr>
        <w:t> </w:t>
      </w:r>
      <w:r>
        <w:rPr>
          <w:rFonts w:ascii="Calibri" w:hAnsi="Calibri"/>
          <w:color w:val="231F20"/>
          <w:sz w:val="17"/>
        </w:rPr>
        <w:t>(</w:t>
      </w:r>
      <w:r>
        <w:rPr>
          <w:rFonts w:ascii="Calibri" w:hAnsi="Calibri"/>
          <w:i/>
          <w:color w:val="231F20"/>
          <w:sz w:val="17"/>
        </w:rPr>
        <w:t>Confini</w:t>
      </w:r>
      <w:r>
        <w:rPr>
          <w:rFonts w:ascii="Calibri" w:hAnsi="Calibri"/>
          <w:i/>
          <w:color w:val="231F20"/>
          <w:spacing w:val="-6"/>
          <w:sz w:val="17"/>
        </w:rPr>
        <w:t> </w:t>
      </w:r>
      <w:r>
        <w:rPr>
          <w:rFonts w:ascii="Calibri" w:hAnsi="Calibri"/>
          <w:i/>
          <w:color w:val="231F20"/>
          <w:sz w:val="17"/>
        </w:rPr>
        <w:t>e</w:t>
      </w:r>
      <w:r>
        <w:rPr>
          <w:rFonts w:ascii="Calibri" w:hAnsi="Calibri"/>
          <w:i/>
          <w:color w:val="231F20"/>
          <w:spacing w:val="-6"/>
          <w:sz w:val="17"/>
        </w:rPr>
        <w:t> </w:t>
      </w:r>
      <w:r>
        <w:rPr>
          <w:rFonts w:ascii="Calibri" w:hAnsi="Calibri"/>
          <w:i/>
          <w:color w:val="231F20"/>
          <w:sz w:val="17"/>
        </w:rPr>
        <w:t>frontiere.</w:t>
      </w:r>
      <w:r>
        <w:rPr>
          <w:rFonts w:ascii="Calibri" w:hAnsi="Calibri"/>
          <w:i/>
          <w:color w:val="231F20"/>
          <w:spacing w:val="-6"/>
          <w:sz w:val="17"/>
        </w:rPr>
        <w:t> </w:t>
      </w:r>
      <w:r>
        <w:rPr>
          <w:rFonts w:ascii="Calibri" w:hAnsi="Calibri"/>
          <w:i/>
          <w:color w:val="231F20"/>
          <w:sz w:val="17"/>
        </w:rPr>
        <w:t>La</w:t>
      </w:r>
      <w:r>
        <w:rPr>
          <w:rFonts w:ascii="Calibri" w:hAnsi="Calibri"/>
          <w:i/>
          <w:color w:val="231F20"/>
          <w:spacing w:val="-6"/>
          <w:sz w:val="17"/>
        </w:rPr>
        <w:t> </w:t>
      </w:r>
      <w:r>
        <w:rPr>
          <w:rFonts w:ascii="Calibri" w:hAnsi="Calibri"/>
          <w:i/>
          <w:color w:val="231F20"/>
          <w:sz w:val="17"/>
        </w:rPr>
        <w:t>moltiplicazione</w:t>
      </w:r>
      <w:r>
        <w:rPr>
          <w:rFonts w:ascii="Calibri" w:hAnsi="Calibri"/>
          <w:i/>
          <w:color w:val="231F20"/>
          <w:spacing w:val="-6"/>
          <w:sz w:val="17"/>
        </w:rPr>
        <w:t> </w:t>
      </w:r>
      <w:r>
        <w:rPr>
          <w:rFonts w:ascii="Calibri" w:hAnsi="Calibri"/>
          <w:i/>
          <w:color w:val="231F20"/>
          <w:sz w:val="17"/>
        </w:rPr>
        <w:t>del </w:t>
      </w:r>
      <w:r>
        <w:rPr>
          <w:rFonts w:ascii="Calibri" w:hAnsi="Calibri"/>
          <w:i/>
          <w:color w:val="231F20"/>
          <w:sz w:val="17"/>
        </w:rPr>
        <w:t>lavoro</w:t>
      </w:r>
      <w:r>
        <w:rPr>
          <w:rFonts w:ascii="Calibri" w:hAnsi="Calibri"/>
          <w:i/>
          <w:color w:val="231F20"/>
          <w:spacing w:val="-4"/>
          <w:sz w:val="17"/>
        </w:rPr>
        <w:t> </w:t>
      </w:r>
      <w:r>
        <w:rPr>
          <w:rFonts w:ascii="Calibri" w:hAnsi="Calibri"/>
          <w:i/>
          <w:color w:val="231F20"/>
          <w:sz w:val="17"/>
        </w:rPr>
        <w:t>nel</w:t>
      </w:r>
      <w:r>
        <w:rPr>
          <w:rFonts w:ascii="Calibri" w:hAnsi="Calibri"/>
          <w:i/>
          <w:color w:val="231F20"/>
          <w:spacing w:val="-4"/>
          <w:sz w:val="17"/>
        </w:rPr>
        <w:t> </w:t>
      </w:r>
      <w:r>
        <w:rPr>
          <w:rFonts w:ascii="Calibri" w:hAnsi="Calibri"/>
          <w:i/>
          <w:color w:val="231F20"/>
          <w:sz w:val="17"/>
        </w:rPr>
        <w:t>mondo</w:t>
      </w:r>
      <w:r>
        <w:rPr>
          <w:rFonts w:ascii="Calibri" w:hAnsi="Calibri"/>
          <w:i/>
          <w:color w:val="231F20"/>
          <w:spacing w:val="-4"/>
          <w:sz w:val="17"/>
        </w:rPr>
        <w:t> </w:t>
      </w:r>
      <w:r>
        <w:rPr>
          <w:rFonts w:ascii="Calibri" w:hAnsi="Calibri"/>
          <w:i/>
          <w:color w:val="231F20"/>
          <w:sz w:val="17"/>
        </w:rPr>
        <w:t>globale</w:t>
      </w:r>
      <w:r>
        <w:rPr>
          <w:rFonts w:ascii="Calibri" w:hAnsi="Calibri"/>
          <w:color w:val="231F20"/>
          <w:sz w:val="17"/>
        </w:rPr>
        <w:t>,</w:t>
      </w:r>
      <w:r>
        <w:rPr>
          <w:rFonts w:ascii="Calibri" w:hAnsi="Calibri"/>
          <w:color w:val="231F20"/>
          <w:spacing w:val="-3"/>
          <w:sz w:val="17"/>
        </w:rPr>
        <w:t> </w:t>
      </w:r>
      <w:r>
        <w:rPr>
          <w:rFonts w:ascii="Calibri" w:hAnsi="Calibri"/>
          <w:color w:val="231F20"/>
          <w:sz w:val="17"/>
        </w:rPr>
        <w:t>Bologna,</w:t>
      </w:r>
      <w:r>
        <w:rPr>
          <w:rFonts w:ascii="Calibri" w:hAnsi="Calibri"/>
          <w:color w:val="231F20"/>
          <w:spacing w:val="-3"/>
          <w:sz w:val="17"/>
        </w:rPr>
        <w:t> </w:t>
      </w:r>
      <w:r>
        <w:rPr>
          <w:rFonts w:ascii="Calibri" w:hAnsi="Calibri"/>
          <w:color w:val="231F20"/>
          <w:sz w:val="17"/>
        </w:rPr>
        <w:t>Il</w:t>
      </w:r>
      <w:r>
        <w:rPr>
          <w:rFonts w:ascii="Calibri" w:hAnsi="Calibri"/>
          <w:color w:val="231F20"/>
          <w:spacing w:val="-3"/>
          <w:sz w:val="17"/>
        </w:rPr>
        <w:t> </w:t>
      </w:r>
      <w:r>
        <w:rPr>
          <w:rFonts w:ascii="Calibri" w:hAnsi="Calibri"/>
          <w:color w:val="231F20"/>
          <w:sz w:val="17"/>
        </w:rPr>
        <w:t>Mulino,</w:t>
      </w:r>
      <w:r>
        <w:rPr>
          <w:rFonts w:ascii="Calibri" w:hAnsi="Calibri"/>
          <w:color w:val="231F20"/>
          <w:spacing w:val="-3"/>
          <w:sz w:val="17"/>
        </w:rPr>
        <w:t> </w:t>
      </w:r>
      <w:r>
        <w:rPr>
          <w:rFonts w:ascii="Calibri" w:hAnsi="Calibri"/>
          <w:color w:val="231F20"/>
          <w:sz w:val="17"/>
        </w:rPr>
        <w:t>2014)</w:t>
      </w:r>
      <w:r>
        <w:rPr>
          <w:rFonts w:ascii="Calibri" w:hAnsi="Calibri"/>
          <w:color w:val="231F20"/>
          <w:spacing w:val="-3"/>
          <w:sz w:val="17"/>
        </w:rPr>
        <w:t> </w:t>
      </w:r>
      <w:r>
        <w:rPr>
          <w:rFonts w:ascii="Calibri" w:hAnsi="Calibri"/>
          <w:i/>
          <w:color w:val="231F20"/>
          <w:sz w:val="17"/>
        </w:rPr>
        <w:t>cfr</w:t>
      </w:r>
      <w:r>
        <w:rPr>
          <w:rFonts w:ascii="Calibri" w:hAnsi="Calibri"/>
          <w:color w:val="231F20"/>
          <w:sz w:val="17"/>
        </w:rPr>
        <w:t>.</w:t>
      </w:r>
      <w:r>
        <w:rPr>
          <w:rFonts w:ascii="Calibri" w:hAnsi="Calibri"/>
          <w:color w:val="231F20"/>
          <w:spacing w:val="-3"/>
          <w:sz w:val="17"/>
        </w:rPr>
        <w:t> </w:t>
      </w:r>
      <w:r>
        <w:rPr>
          <w:rFonts w:ascii="Calibri" w:hAnsi="Calibri"/>
          <w:color w:val="231F20"/>
          <w:sz w:val="17"/>
        </w:rPr>
        <w:t>A.</w:t>
      </w:r>
      <w:r>
        <w:rPr>
          <w:rFonts w:ascii="Calibri" w:hAnsi="Calibri"/>
          <w:color w:val="231F20"/>
          <w:spacing w:val="-3"/>
          <w:sz w:val="17"/>
        </w:rPr>
        <w:t> </w:t>
      </w:r>
      <w:r>
        <w:rPr>
          <w:rFonts w:ascii="Calibri" w:hAnsi="Calibri"/>
          <w:color w:val="231F20"/>
          <w:sz w:val="17"/>
        </w:rPr>
        <w:t>Negri,</w:t>
      </w:r>
      <w:r>
        <w:rPr>
          <w:rFonts w:ascii="Calibri" w:hAnsi="Calibri"/>
          <w:color w:val="231F20"/>
          <w:spacing w:val="-4"/>
          <w:sz w:val="17"/>
        </w:rPr>
        <w:t> </w:t>
      </w:r>
      <w:r>
        <w:rPr>
          <w:rFonts w:ascii="Calibri" w:hAnsi="Calibri"/>
          <w:i/>
          <w:color w:val="231F20"/>
          <w:sz w:val="17"/>
        </w:rPr>
        <w:t>Il</w:t>
      </w:r>
      <w:r>
        <w:rPr>
          <w:rFonts w:ascii="Calibri" w:hAnsi="Calibri"/>
          <w:i/>
          <w:color w:val="231F20"/>
          <w:spacing w:val="-4"/>
          <w:sz w:val="17"/>
        </w:rPr>
        <w:t> </w:t>
      </w:r>
      <w:r>
        <w:rPr>
          <w:rFonts w:ascii="Calibri" w:hAnsi="Calibri"/>
          <w:i/>
          <w:color w:val="231F20"/>
          <w:sz w:val="17"/>
        </w:rPr>
        <w:t>diritto</w:t>
      </w:r>
      <w:r>
        <w:rPr>
          <w:rFonts w:ascii="Calibri" w:hAnsi="Calibri"/>
          <w:i/>
          <w:color w:val="231F20"/>
          <w:spacing w:val="-4"/>
          <w:sz w:val="17"/>
        </w:rPr>
        <w:t> </w:t>
      </w:r>
      <w:r>
        <w:rPr>
          <w:rFonts w:ascii="Calibri" w:hAnsi="Calibri"/>
          <w:i/>
          <w:color w:val="231F20"/>
          <w:sz w:val="17"/>
        </w:rPr>
        <w:t>alla</w:t>
      </w:r>
      <w:r>
        <w:rPr>
          <w:rFonts w:ascii="Calibri" w:hAnsi="Calibri"/>
          <w:i/>
          <w:color w:val="231F20"/>
          <w:spacing w:val="-4"/>
          <w:sz w:val="17"/>
        </w:rPr>
        <w:t> </w:t>
      </w:r>
      <w:r>
        <w:rPr>
          <w:rFonts w:ascii="Calibri" w:hAnsi="Calibri"/>
          <w:i/>
          <w:color w:val="231F20"/>
          <w:sz w:val="17"/>
        </w:rPr>
        <w:t>fuga</w:t>
      </w:r>
      <w:r>
        <w:rPr>
          <w:rFonts w:ascii="Calibri" w:hAnsi="Calibri"/>
          <w:color w:val="231F20"/>
          <w:sz w:val="17"/>
        </w:rPr>
        <w:t>,</w:t>
      </w:r>
      <w:r>
        <w:rPr>
          <w:rFonts w:ascii="Calibri" w:hAnsi="Calibri"/>
          <w:color w:val="231F20"/>
          <w:spacing w:val="-3"/>
          <w:sz w:val="17"/>
        </w:rPr>
        <w:t> </w:t>
      </w:r>
      <w:r>
        <w:rPr>
          <w:rFonts w:ascii="Calibri" w:hAnsi="Calibri"/>
          <w:color w:val="231F20"/>
          <w:sz w:val="17"/>
        </w:rPr>
        <w:t>en</w:t>
      </w:r>
      <w:r>
        <w:rPr>
          <w:rFonts w:ascii="Calibri" w:hAnsi="Calibri"/>
          <w:color w:val="231F20"/>
          <w:spacing w:val="-3"/>
          <w:sz w:val="17"/>
        </w:rPr>
        <w:t> </w:t>
      </w:r>
      <w:r>
        <w:rPr>
          <w:rFonts w:ascii="Calibri" w:hAnsi="Calibri"/>
          <w:color w:val="231F20"/>
          <w:sz w:val="17"/>
        </w:rPr>
        <w:t>“Il</w:t>
      </w:r>
      <w:r>
        <w:rPr>
          <w:rFonts w:ascii="Calibri" w:hAnsi="Calibri"/>
          <w:color w:val="231F20"/>
          <w:spacing w:val="-3"/>
          <w:sz w:val="17"/>
        </w:rPr>
        <w:t> </w:t>
      </w:r>
      <w:r>
        <w:rPr>
          <w:rFonts w:ascii="Calibri" w:hAnsi="Calibri"/>
          <w:color w:val="231F20"/>
          <w:sz w:val="17"/>
        </w:rPr>
        <w:t>Manifesto” del</w:t>
      </w:r>
      <w:r>
        <w:rPr>
          <w:rFonts w:ascii="Calibri" w:hAnsi="Calibri"/>
          <w:color w:val="231F20"/>
          <w:spacing w:val="-3"/>
          <w:sz w:val="17"/>
        </w:rPr>
        <w:t> </w:t>
      </w:r>
      <w:r>
        <w:rPr>
          <w:rFonts w:ascii="Calibri" w:hAnsi="Calibri"/>
          <w:color w:val="231F20"/>
          <w:sz w:val="17"/>
        </w:rPr>
        <w:t>08–07–2014.</w:t>
      </w:r>
    </w:p>
    <w:p>
      <w:pPr>
        <w:spacing w:after="0" w:line="204" w:lineRule="exact"/>
        <w:jc w:val="both"/>
        <w:rPr>
          <w:rFonts w:ascii="Calibri" w:hAnsi="Calibri"/>
          <w:sz w:val="17"/>
        </w:rPr>
        <w:sectPr>
          <w:pgSz w:w="9640" w:h="13890"/>
          <w:pgMar w:top="0" w:bottom="280" w:left="1300" w:right="1180"/>
        </w:sectPr>
      </w:pPr>
    </w:p>
    <w:p>
      <w:pPr>
        <w:pStyle w:val="BodyText"/>
        <w:spacing w:line="247" w:lineRule="auto" w:before="107"/>
        <w:ind w:left="103" w:right="106"/>
      </w:pPr>
      <w:r>
        <w:rPr>
          <w:color w:val="231F20"/>
          <w:w w:val="105"/>
        </w:rPr>
        <w:t>globali:</w:t>
      </w:r>
      <w:r>
        <w:rPr>
          <w:color w:val="231F20"/>
          <w:spacing w:val="-26"/>
          <w:w w:val="105"/>
        </w:rPr>
        <w:t> </w:t>
      </w:r>
      <w:r>
        <w:rPr>
          <w:color w:val="231F20"/>
          <w:w w:val="105"/>
        </w:rPr>
        <w:t>come</w:t>
      </w:r>
      <w:r>
        <w:rPr>
          <w:color w:val="231F20"/>
          <w:spacing w:val="-26"/>
          <w:w w:val="105"/>
        </w:rPr>
        <w:t> </w:t>
      </w:r>
      <w:r>
        <w:rPr>
          <w:color w:val="231F20"/>
          <w:w w:val="105"/>
        </w:rPr>
        <w:t>ai</w:t>
      </w:r>
      <w:r>
        <w:rPr>
          <w:color w:val="231F20"/>
          <w:spacing w:val="-26"/>
          <w:w w:val="105"/>
        </w:rPr>
        <w:t> </w:t>
      </w:r>
      <w:r>
        <w:rPr>
          <w:color w:val="231F20"/>
          <w:w w:val="105"/>
        </w:rPr>
        <w:t>tempi</w:t>
      </w:r>
      <w:r>
        <w:rPr>
          <w:color w:val="231F20"/>
          <w:spacing w:val="-26"/>
          <w:w w:val="105"/>
        </w:rPr>
        <w:t> </w:t>
      </w:r>
      <w:r>
        <w:rPr>
          <w:color w:val="231F20"/>
          <w:w w:val="105"/>
        </w:rPr>
        <w:t>di</w:t>
      </w:r>
      <w:r>
        <w:rPr>
          <w:color w:val="231F20"/>
          <w:spacing w:val="-26"/>
          <w:w w:val="105"/>
        </w:rPr>
        <w:t> </w:t>
      </w:r>
      <w:r>
        <w:rPr>
          <w:color w:val="231F20"/>
          <w:w w:val="105"/>
        </w:rPr>
        <w:t>Hobbes,</w:t>
      </w:r>
      <w:r>
        <w:rPr>
          <w:color w:val="231F20"/>
          <w:spacing w:val="-26"/>
          <w:w w:val="105"/>
        </w:rPr>
        <w:t> </w:t>
      </w:r>
      <w:r>
        <w:rPr>
          <w:color w:val="231F20"/>
          <w:w w:val="105"/>
        </w:rPr>
        <w:t>in</w:t>
      </w:r>
      <w:r>
        <w:rPr>
          <w:color w:val="231F20"/>
          <w:spacing w:val="-26"/>
          <w:w w:val="105"/>
        </w:rPr>
        <w:t> </w:t>
      </w:r>
      <w:r>
        <w:rPr>
          <w:color w:val="231F20"/>
          <w:w w:val="105"/>
        </w:rPr>
        <w:t>cui</w:t>
      </w:r>
      <w:r>
        <w:rPr>
          <w:color w:val="231F20"/>
          <w:spacing w:val="-26"/>
          <w:w w:val="105"/>
        </w:rPr>
        <w:t> </w:t>
      </w:r>
      <w:r>
        <w:rPr>
          <w:color w:val="231F20"/>
          <w:w w:val="105"/>
        </w:rPr>
        <w:t>“vita”</w:t>
      </w:r>
      <w:r>
        <w:rPr>
          <w:color w:val="231F20"/>
          <w:spacing w:val="-26"/>
          <w:w w:val="105"/>
        </w:rPr>
        <w:t> </w:t>
      </w:r>
      <w:r>
        <w:rPr>
          <w:color w:val="231F20"/>
          <w:w w:val="105"/>
        </w:rPr>
        <w:t>e</w:t>
      </w:r>
      <w:r>
        <w:rPr>
          <w:color w:val="231F20"/>
          <w:spacing w:val="-26"/>
          <w:w w:val="105"/>
        </w:rPr>
        <w:t> </w:t>
      </w:r>
      <w:r>
        <w:rPr>
          <w:color w:val="231F20"/>
          <w:w w:val="105"/>
        </w:rPr>
        <w:t>“industria”</w:t>
      </w:r>
      <w:r>
        <w:rPr>
          <w:color w:val="231F20"/>
          <w:spacing w:val="-26"/>
          <w:w w:val="105"/>
        </w:rPr>
        <w:t> </w:t>
      </w:r>
      <w:r>
        <w:rPr>
          <w:color w:val="231F20"/>
          <w:w w:val="105"/>
        </w:rPr>
        <w:t>erano</w:t>
      </w:r>
      <w:r>
        <w:rPr>
          <w:color w:val="231F20"/>
          <w:spacing w:val="-26"/>
          <w:w w:val="105"/>
        </w:rPr>
        <w:t> </w:t>
      </w:r>
      <w:r>
        <w:rPr>
          <w:color w:val="231F20"/>
          <w:w w:val="105"/>
        </w:rPr>
        <w:t>alla</w:t>
      </w:r>
      <w:r>
        <w:rPr>
          <w:color w:val="231F20"/>
          <w:spacing w:val="-26"/>
          <w:w w:val="105"/>
        </w:rPr>
        <w:t> </w:t>
      </w:r>
      <w:r>
        <w:rPr>
          <w:color w:val="231F20"/>
          <w:w w:val="105"/>
        </w:rPr>
        <w:t>base della</w:t>
      </w:r>
      <w:r>
        <w:rPr>
          <w:color w:val="231F20"/>
          <w:spacing w:val="-22"/>
          <w:w w:val="105"/>
        </w:rPr>
        <w:t> </w:t>
      </w:r>
      <w:r>
        <w:rPr>
          <w:color w:val="231F20"/>
          <w:w w:val="105"/>
        </w:rPr>
        <w:t>catena</w:t>
      </w:r>
      <w:r>
        <w:rPr>
          <w:color w:val="231F20"/>
          <w:spacing w:val="-22"/>
          <w:w w:val="105"/>
        </w:rPr>
        <w:t> </w:t>
      </w:r>
      <w:r>
        <w:rPr>
          <w:color w:val="231F20"/>
          <w:w w:val="105"/>
        </w:rPr>
        <w:t>del</w:t>
      </w:r>
      <w:r>
        <w:rPr>
          <w:color w:val="231F20"/>
          <w:spacing w:val="-22"/>
          <w:w w:val="105"/>
        </w:rPr>
        <w:t> </w:t>
      </w:r>
      <w:r>
        <w:rPr>
          <w:color w:val="231F20"/>
          <w:w w:val="105"/>
        </w:rPr>
        <w:t>consenso</w:t>
      </w:r>
      <w:r>
        <w:rPr>
          <w:color w:val="231F20"/>
          <w:spacing w:val="-22"/>
          <w:w w:val="105"/>
        </w:rPr>
        <w:t> </w:t>
      </w:r>
      <w:r>
        <w:rPr>
          <w:color w:val="231F20"/>
          <w:w w:val="105"/>
        </w:rPr>
        <w:t>e</w:t>
      </w:r>
      <w:r>
        <w:rPr>
          <w:color w:val="231F20"/>
          <w:spacing w:val="-22"/>
          <w:w w:val="105"/>
        </w:rPr>
        <w:t> </w:t>
      </w:r>
      <w:r>
        <w:rPr>
          <w:color w:val="231F20"/>
          <w:w w:val="105"/>
        </w:rPr>
        <w:t>dello</w:t>
      </w:r>
      <w:r>
        <w:rPr>
          <w:color w:val="231F20"/>
          <w:spacing w:val="-22"/>
          <w:w w:val="105"/>
        </w:rPr>
        <w:t> </w:t>
      </w:r>
      <w:r>
        <w:rPr>
          <w:color w:val="231F20"/>
          <w:w w:val="105"/>
        </w:rPr>
        <w:t>stesso</w:t>
      </w:r>
      <w:r>
        <w:rPr>
          <w:color w:val="231F20"/>
          <w:spacing w:val="-22"/>
          <w:w w:val="105"/>
        </w:rPr>
        <w:t> </w:t>
      </w:r>
      <w:r>
        <w:rPr>
          <w:color w:val="231F20"/>
          <w:w w:val="105"/>
        </w:rPr>
        <w:t>potere</w:t>
      </w:r>
      <w:r>
        <w:rPr>
          <w:color w:val="231F20"/>
          <w:spacing w:val="-22"/>
          <w:w w:val="105"/>
        </w:rPr>
        <w:t> </w:t>
      </w:r>
      <w:r>
        <w:rPr>
          <w:color w:val="231F20"/>
          <w:w w:val="105"/>
        </w:rPr>
        <w:t>politico.</w:t>
      </w:r>
    </w:p>
    <w:p>
      <w:pPr>
        <w:pStyle w:val="BodyText"/>
        <w:spacing w:line="244" w:lineRule="auto"/>
        <w:ind w:left="103" w:right="111" w:firstLine="566"/>
        <w:jc w:val="both"/>
      </w:pPr>
      <w:r>
        <w:rPr>
          <w:color w:val="231F20"/>
        </w:rPr>
        <w:t>Mezzadra e Neilson si muovono con maestria fra Marx e Foucault, aiutandosi anche con Balibar, ma dalla loro ricostruzione, anche storica, </w:t>
      </w:r>
      <w:r>
        <w:rPr>
          <w:color w:val="231F20"/>
          <w:spacing w:val="4"/>
        </w:rPr>
        <w:t>della </w:t>
      </w:r>
      <w:r>
        <w:rPr>
          <w:rFonts w:ascii="Arial" w:hAnsi="Arial"/>
          <w:i/>
          <w:color w:val="231F20"/>
          <w:spacing w:val="4"/>
        </w:rPr>
        <w:t>fabrica mundi </w:t>
      </w:r>
      <w:r>
        <w:rPr>
          <w:color w:val="231F20"/>
          <w:spacing w:val="4"/>
        </w:rPr>
        <w:t>post-rinascimentale </w:t>
      </w:r>
      <w:r>
        <w:rPr>
          <w:color w:val="231F20"/>
          <w:spacing w:val="3"/>
        </w:rPr>
        <w:t>emerge pure </w:t>
      </w:r>
      <w:r>
        <w:rPr>
          <w:color w:val="231F20"/>
          <w:spacing w:val="2"/>
        </w:rPr>
        <w:t>la </w:t>
      </w:r>
      <w:r>
        <w:rPr>
          <w:color w:val="231F20"/>
          <w:spacing w:val="4"/>
        </w:rPr>
        <w:t>struttura </w:t>
      </w:r>
      <w:r>
        <w:rPr>
          <w:color w:val="231F20"/>
          <w:spacing w:val="3"/>
        </w:rPr>
        <w:t>di </w:t>
      </w:r>
      <w:r>
        <w:rPr>
          <w:color w:val="231F20"/>
        </w:rPr>
        <w:t>quest’ultima, fatta di ordine, proporzione, perfezione. Insomma continua a far</w:t>
      </w:r>
      <w:r>
        <w:rPr>
          <w:color w:val="231F20"/>
          <w:spacing w:val="-11"/>
        </w:rPr>
        <w:t> </w:t>
      </w:r>
      <w:r>
        <w:rPr>
          <w:color w:val="231F20"/>
        </w:rPr>
        <w:t>capolino</w:t>
      </w:r>
      <w:r>
        <w:rPr>
          <w:color w:val="231F20"/>
          <w:spacing w:val="-11"/>
        </w:rPr>
        <w:t> </w:t>
      </w:r>
      <w:r>
        <w:rPr>
          <w:color w:val="231F20"/>
        </w:rPr>
        <w:t>Max</w:t>
      </w:r>
      <w:r>
        <w:rPr>
          <w:color w:val="231F20"/>
          <w:spacing w:val="-11"/>
        </w:rPr>
        <w:t> </w:t>
      </w:r>
      <w:r>
        <w:rPr>
          <w:color w:val="231F20"/>
          <w:spacing w:val="-4"/>
        </w:rPr>
        <w:t>Weber,</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sua</w:t>
      </w:r>
      <w:r>
        <w:rPr>
          <w:color w:val="231F20"/>
          <w:spacing w:val="-11"/>
        </w:rPr>
        <w:t> </w:t>
      </w:r>
      <w:r>
        <w:rPr>
          <w:color w:val="231F20"/>
        </w:rPr>
        <w:t>razionalità</w:t>
      </w:r>
      <w:r>
        <w:rPr>
          <w:color w:val="231F20"/>
          <w:spacing w:val="-10"/>
        </w:rPr>
        <w:t> </w:t>
      </w:r>
      <w:r>
        <w:rPr>
          <w:rFonts w:ascii="Arial" w:hAnsi="Arial"/>
          <w:i/>
          <w:color w:val="231F20"/>
        </w:rPr>
        <w:t>nur</w:t>
      </w:r>
      <w:r>
        <w:rPr>
          <w:rFonts w:ascii="Arial" w:hAnsi="Arial"/>
          <w:i/>
          <w:color w:val="231F20"/>
          <w:spacing w:val="-4"/>
        </w:rPr>
        <w:t> </w:t>
      </w:r>
      <w:r>
        <w:rPr>
          <w:rFonts w:ascii="Arial" w:hAnsi="Arial"/>
          <w:i/>
          <w:color w:val="231F20"/>
        </w:rPr>
        <w:t>im</w:t>
      </w:r>
      <w:r>
        <w:rPr>
          <w:rFonts w:ascii="Arial" w:hAnsi="Arial"/>
          <w:i/>
          <w:color w:val="231F20"/>
          <w:spacing w:val="-4"/>
        </w:rPr>
        <w:t> </w:t>
      </w:r>
      <w:r>
        <w:rPr>
          <w:rFonts w:ascii="Arial" w:hAnsi="Arial"/>
          <w:i/>
          <w:color w:val="231F20"/>
        </w:rPr>
        <w:t>Okzident</w:t>
      </w:r>
      <w:r>
        <w:rPr>
          <w:color w:val="231F20"/>
        </w:rPr>
        <w:t>.</w:t>
      </w:r>
      <w:r>
        <w:rPr>
          <w:color w:val="231F20"/>
          <w:spacing w:val="-11"/>
        </w:rPr>
        <w:t> </w:t>
      </w:r>
      <w:r>
        <w:rPr>
          <w:color w:val="231F20"/>
        </w:rPr>
        <w:t>Espressione di</w:t>
      </w:r>
      <w:r>
        <w:rPr>
          <w:color w:val="231F20"/>
          <w:spacing w:val="-14"/>
        </w:rPr>
        <w:t> </w:t>
      </w:r>
      <w:r>
        <w:rPr>
          <w:color w:val="231F20"/>
        </w:rPr>
        <w:t>quest’ultima</w:t>
      </w:r>
      <w:r>
        <w:rPr>
          <w:color w:val="231F20"/>
          <w:spacing w:val="-14"/>
        </w:rPr>
        <w:t> </w:t>
      </w:r>
      <w:r>
        <w:rPr>
          <w:color w:val="231F20"/>
        </w:rPr>
        <w:t>fu</w:t>
      </w:r>
      <w:r>
        <w:rPr>
          <w:color w:val="231F20"/>
          <w:spacing w:val="-14"/>
        </w:rPr>
        <w:t> </w:t>
      </w:r>
      <w:r>
        <w:rPr>
          <w:color w:val="231F20"/>
        </w:rPr>
        <w:t>certamente</w:t>
      </w:r>
      <w:r>
        <w:rPr>
          <w:color w:val="231F20"/>
          <w:spacing w:val="-14"/>
        </w:rPr>
        <w:t> </w:t>
      </w:r>
      <w:r>
        <w:rPr>
          <w:color w:val="231F20"/>
        </w:rPr>
        <w:t>il</w:t>
      </w:r>
      <w:r>
        <w:rPr>
          <w:color w:val="231F20"/>
          <w:spacing w:val="-14"/>
        </w:rPr>
        <w:t> </w:t>
      </w:r>
      <w:r>
        <w:rPr>
          <w:color w:val="231F20"/>
        </w:rPr>
        <w:t>modo</w:t>
      </w:r>
      <w:r>
        <w:rPr>
          <w:color w:val="231F20"/>
          <w:spacing w:val="-14"/>
        </w:rPr>
        <w:t> </w:t>
      </w:r>
      <w:r>
        <w:rPr>
          <w:color w:val="231F20"/>
        </w:rPr>
        <w:t>capitalistico</w:t>
      </w:r>
      <w:r>
        <w:rPr>
          <w:color w:val="231F20"/>
          <w:spacing w:val="-14"/>
        </w:rPr>
        <w:t> </w:t>
      </w:r>
      <w:r>
        <w:rPr>
          <w:color w:val="231F20"/>
        </w:rPr>
        <w:t>di</w:t>
      </w:r>
      <w:r>
        <w:rPr>
          <w:color w:val="231F20"/>
          <w:spacing w:val="-14"/>
        </w:rPr>
        <w:t> </w:t>
      </w:r>
      <w:r>
        <w:rPr>
          <w:color w:val="231F20"/>
          <w:spacing w:val="-3"/>
        </w:rPr>
        <w:t>produzione</w:t>
      </w:r>
      <w:r>
        <w:rPr>
          <w:color w:val="231F20"/>
          <w:spacing w:val="-14"/>
        </w:rPr>
        <w:t> </w:t>
      </w:r>
      <w:r>
        <w:rPr>
          <w:color w:val="231F20"/>
        </w:rPr>
        <w:t>ed</w:t>
      </w:r>
      <w:r>
        <w:rPr>
          <w:color w:val="231F20"/>
          <w:spacing w:val="-14"/>
        </w:rPr>
        <w:t> </w:t>
      </w:r>
      <w:r>
        <w:rPr>
          <w:color w:val="231F20"/>
        </w:rPr>
        <w:t>è</w:t>
      </w:r>
      <w:r>
        <w:rPr>
          <w:color w:val="231F20"/>
          <w:spacing w:val="-14"/>
        </w:rPr>
        <w:t> </w:t>
      </w:r>
      <w:r>
        <w:rPr>
          <w:color w:val="231F20"/>
          <w:spacing w:val="-2"/>
        </w:rPr>
        <w:t>ancora </w:t>
      </w:r>
      <w:r>
        <w:rPr>
          <w:color w:val="231F20"/>
        </w:rPr>
        <w:t>oggi,</w:t>
      </w:r>
      <w:r>
        <w:rPr>
          <w:color w:val="231F20"/>
          <w:spacing w:val="-12"/>
        </w:rPr>
        <w:t> </w:t>
      </w:r>
      <w:r>
        <w:rPr>
          <w:color w:val="231F20"/>
        </w:rPr>
        <w:t>specificamente,</w:t>
      </w:r>
      <w:r>
        <w:rPr>
          <w:color w:val="231F20"/>
          <w:spacing w:val="-12"/>
        </w:rPr>
        <w:t> </w:t>
      </w:r>
      <w:r>
        <w:rPr>
          <w:color w:val="231F20"/>
        </w:rPr>
        <w:t>la</w:t>
      </w:r>
      <w:r>
        <w:rPr>
          <w:color w:val="231F20"/>
          <w:spacing w:val="-12"/>
        </w:rPr>
        <w:t> </w:t>
      </w:r>
      <w:r>
        <w:rPr>
          <w:color w:val="231F20"/>
        </w:rPr>
        <w:t>“divisione</w:t>
      </w:r>
      <w:r>
        <w:rPr>
          <w:color w:val="231F20"/>
          <w:spacing w:val="-12"/>
        </w:rPr>
        <w:t> </w:t>
      </w:r>
      <w:r>
        <w:rPr>
          <w:color w:val="231F20"/>
        </w:rPr>
        <w:t>internazionale</w:t>
      </w:r>
      <w:r>
        <w:rPr>
          <w:color w:val="231F20"/>
          <w:spacing w:val="-12"/>
        </w:rPr>
        <w:t> </w:t>
      </w:r>
      <w:r>
        <w:rPr>
          <w:color w:val="231F20"/>
        </w:rPr>
        <w:t>del</w:t>
      </w:r>
      <w:r>
        <w:rPr>
          <w:color w:val="231F20"/>
          <w:spacing w:val="-12"/>
        </w:rPr>
        <w:t> </w:t>
      </w:r>
      <w:r>
        <w:rPr>
          <w:color w:val="231F20"/>
        </w:rPr>
        <w:t>lavoro”</w:t>
      </w:r>
      <w:r>
        <w:rPr>
          <w:color w:val="231F20"/>
          <w:spacing w:val="-12"/>
        </w:rPr>
        <w:t> </w:t>
      </w:r>
      <w:r>
        <w:rPr>
          <w:color w:val="231F20"/>
        </w:rPr>
        <w:t>su</w:t>
      </w:r>
      <w:r>
        <w:rPr>
          <w:color w:val="231F20"/>
          <w:spacing w:val="-12"/>
        </w:rPr>
        <w:t> </w:t>
      </w:r>
      <w:r>
        <w:rPr>
          <w:color w:val="231F20"/>
        </w:rPr>
        <w:t>cui</w:t>
      </w:r>
      <w:r>
        <w:rPr>
          <w:color w:val="231F20"/>
          <w:spacing w:val="-12"/>
        </w:rPr>
        <w:t> </w:t>
      </w:r>
      <w:r>
        <w:rPr>
          <w:color w:val="231F20"/>
        </w:rPr>
        <w:t>esso</w:t>
      </w:r>
      <w:r>
        <w:rPr>
          <w:color w:val="231F20"/>
          <w:spacing w:val="-12"/>
        </w:rPr>
        <w:t> </w:t>
      </w:r>
      <w:r>
        <w:rPr>
          <w:color w:val="231F20"/>
        </w:rPr>
        <w:t>per “bits</w:t>
      </w:r>
      <w:r>
        <w:rPr>
          <w:color w:val="231F20"/>
          <w:spacing w:val="-18"/>
        </w:rPr>
        <w:t> </w:t>
      </w:r>
      <w:r>
        <w:rPr>
          <w:color w:val="231F20"/>
        </w:rPr>
        <w:t>and</w:t>
      </w:r>
      <w:r>
        <w:rPr>
          <w:color w:val="231F20"/>
          <w:spacing w:val="-18"/>
        </w:rPr>
        <w:t> </w:t>
      </w:r>
      <w:r>
        <w:rPr>
          <w:color w:val="231F20"/>
        </w:rPr>
        <w:t>fragments”</w:t>
      </w:r>
      <w:r>
        <w:rPr>
          <w:color w:val="231F20"/>
          <w:spacing w:val="-18"/>
        </w:rPr>
        <w:t> </w:t>
      </w:r>
      <w:r>
        <w:rPr>
          <w:color w:val="231F20"/>
        </w:rPr>
        <w:t>continua</w:t>
      </w:r>
      <w:r>
        <w:rPr>
          <w:color w:val="231F20"/>
          <w:spacing w:val="-18"/>
        </w:rPr>
        <w:t> </w:t>
      </w:r>
      <w:r>
        <w:rPr>
          <w:color w:val="231F20"/>
        </w:rPr>
        <w:t>a</w:t>
      </w:r>
      <w:r>
        <w:rPr>
          <w:color w:val="231F20"/>
          <w:spacing w:val="-18"/>
        </w:rPr>
        <w:t> </w:t>
      </w:r>
      <w:r>
        <w:rPr>
          <w:color w:val="231F20"/>
          <w:spacing w:val="-3"/>
        </w:rPr>
        <w:t>reggersi.</w:t>
      </w:r>
      <w:r>
        <w:rPr>
          <w:color w:val="231F20"/>
          <w:spacing w:val="-18"/>
        </w:rPr>
        <w:t> </w:t>
      </w:r>
      <w:r>
        <w:rPr>
          <w:color w:val="231F20"/>
        </w:rPr>
        <w:t>Per</w:t>
      </w:r>
      <w:r>
        <w:rPr>
          <w:color w:val="231F20"/>
          <w:spacing w:val="-18"/>
        </w:rPr>
        <w:t> </w:t>
      </w:r>
      <w:r>
        <w:rPr>
          <w:color w:val="231F20"/>
        </w:rPr>
        <w:t>me</w:t>
      </w:r>
      <w:r>
        <w:rPr>
          <w:color w:val="231F20"/>
          <w:spacing w:val="-18"/>
        </w:rPr>
        <w:t> </w:t>
      </w:r>
      <w:r>
        <w:rPr>
          <w:color w:val="231F20"/>
        </w:rPr>
        <w:t>ciò</w:t>
      </w:r>
      <w:r>
        <w:rPr>
          <w:color w:val="231F20"/>
          <w:spacing w:val="-18"/>
        </w:rPr>
        <w:t> </w:t>
      </w:r>
      <w:r>
        <w:rPr>
          <w:color w:val="231F20"/>
        </w:rPr>
        <w:t>vuol</w:t>
      </w:r>
      <w:r>
        <w:rPr>
          <w:color w:val="231F20"/>
          <w:spacing w:val="-18"/>
        </w:rPr>
        <w:t> </w:t>
      </w:r>
      <w:r>
        <w:rPr>
          <w:color w:val="231F20"/>
          <w:spacing w:val="-3"/>
        </w:rPr>
        <w:t>dire</w:t>
      </w:r>
      <w:r>
        <w:rPr>
          <w:color w:val="231F20"/>
          <w:spacing w:val="-18"/>
        </w:rPr>
        <w:t> </w:t>
      </w:r>
      <w:r>
        <w:rPr>
          <w:color w:val="231F20"/>
        </w:rPr>
        <w:t>che,</w:t>
      </w:r>
      <w:r>
        <w:rPr>
          <w:color w:val="231F20"/>
          <w:spacing w:val="-18"/>
        </w:rPr>
        <w:t> </w:t>
      </w:r>
      <w:r>
        <w:rPr>
          <w:color w:val="231F20"/>
        </w:rPr>
        <w:t>accanto</w:t>
      </w:r>
      <w:r>
        <w:rPr>
          <w:color w:val="231F20"/>
          <w:spacing w:val="-18"/>
        </w:rPr>
        <w:t> </w:t>
      </w:r>
      <w:r>
        <w:rPr>
          <w:color w:val="231F20"/>
        </w:rPr>
        <w:t>e oltre</w:t>
      </w:r>
      <w:r>
        <w:rPr>
          <w:color w:val="231F20"/>
          <w:spacing w:val="-34"/>
        </w:rPr>
        <w:t> </w:t>
      </w:r>
      <w:r>
        <w:rPr>
          <w:color w:val="231F20"/>
        </w:rPr>
        <w:t>alla</w:t>
      </w:r>
      <w:r>
        <w:rPr>
          <w:color w:val="231F20"/>
          <w:spacing w:val="-34"/>
        </w:rPr>
        <w:t> </w:t>
      </w:r>
      <w:r>
        <w:rPr>
          <w:color w:val="231F20"/>
        </w:rPr>
        <w:t>(nuova)</w:t>
      </w:r>
      <w:r>
        <w:rPr>
          <w:color w:val="231F20"/>
          <w:spacing w:val="-34"/>
        </w:rPr>
        <w:t> </w:t>
      </w:r>
      <w:r>
        <w:rPr>
          <w:color w:val="231F20"/>
        </w:rPr>
        <w:t>divisione</w:t>
      </w:r>
      <w:r>
        <w:rPr>
          <w:color w:val="231F20"/>
          <w:spacing w:val="-34"/>
        </w:rPr>
        <w:t> </w:t>
      </w:r>
      <w:r>
        <w:rPr>
          <w:color w:val="231F20"/>
        </w:rPr>
        <w:t>internazionale</w:t>
      </w:r>
      <w:r>
        <w:rPr>
          <w:color w:val="231F20"/>
          <w:spacing w:val="-34"/>
        </w:rPr>
        <w:t> </w:t>
      </w:r>
      <w:r>
        <w:rPr>
          <w:color w:val="231F20"/>
        </w:rPr>
        <w:t>del</w:t>
      </w:r>
      <w:r>
        <w:rPr>
          <w:color w:val="231F20"/>
          <w:spacing w:val="-34"/>
        </w:rPr>
        <w:t> </w:t>
      </w:r>
      <w:r>
        <w:rPr>
          <w:color w:val="231F20"/>
          <w:spacing w:val="-3"/>
        </w:rPr>
        <w:t>lavoro</w:t>
      </w:r>
      <w:r>
        <w:rPr>
          <w:color w:val="231F20"/>
          <w:spacing w:val="-34"/>
        </w:rPr>
        <w:t> </w:t>
      </w:r>
      <w:r>
        <w:rPr>
          <w:color w:val="231F20"/>
        </w:rPr>
        <w:t>va</w:t>
      </w:r>
      <w:r>
        <w:rPr>
          <w:color w:val="231F20"/>
          <w:spacing w:val="-34"/>
        </w:rPr>
        <w:t> </w:t>
      </w:r>
      <w:r>
        <w:rPr>
          <w:color w:val="231F20"/>
        </w:rPr>
        <w:t>osservata,</w:t>
      </w:r>
      <w:r>
        <w:rPr>
          <w:color w:val="231F20"/>
          <w:spacing w:val="-34"/>
        </w:rPr>
        <w:t> </w:t>
      </w:r>
      <w:r>
        <w:rPr>
          <w:color w:val="231F20"/>
        </w:rPr>
        <w:t>analizzata</w:t>
      </w:r>
      <w:r>
        <w:rPr>
          <w:color w:val="231F20"/>
          <w:spacing w:val="-34"/>
        </w:rPr>
        <w:t> </w:t>
      </w:r>
      <w:r>
        <w:rPr>
          <w:color w:val="231F20"/>
        </w:rPr>
        <w:t>e ricostruita</w:t>
      </w:r>
      <w:r>
        <w:rPr>
          <w:color w:val="231F20"/>
          <w:spacing w:val="-17"/>
        </w:rPr>
        <w:t> </w:t>
      </w:r>
      <w:r>
        <w:rPr>
          <w:color w:val="231F20"/>
        </w:rPr>
        <w:t>la</w:t>
      </w:r>
      <w:r>
        <w:rPr>
          <w:color w:val="231F20"/>
          <w:spacing w:val="-17"/>
        </w:rPr>
        <w:t> </w:t>
      </w:r>
      <w:r>
        <w:rPr>
          <w:color w:val="231F20"/>
        </w:rPr>
        <w:t>(nuova)</w:t>
      </w:r>
      <w:r>
        <w:rPr>
          <w:color w:val="231F20"/>
          <w:spacing w:val="-17"/>
        </w:rPr>
        <w:t> </w:t>
      </w:r>
      <w:r>
        <w:rPr>
          <w:color w:val="231F20"/>
        </w:rPr>
        <w:t>distribuzione</w:t>
      </w:r>
      <w:r>
        <w:rPr>
          <w:color w:val="231F20"/>
          <w:spacing w:val="-17"/>
        </w:rPr>
        <w:t> </w:t>
      </w:r>
      <w:r>
        <w:rPr>
          <w:color w:val="231F20"/>
        </w:rPr>
        <w:t>e</w:t>
      </w:r>
      <w:r>
        <w:rPr>
          <w:color w:val="231F20"/>
          <w:spacing w:val="-17"/>
        </w:rPr>
        <w:t> </w:t>
      </w:r>
      <w:r>
        <w:rPr>
          <w:color w:val="231F20"/>
        </w:rPr>
        <w:t>organizzazione</w:t>
      </w:r>
      <w:r>
        <w:rPr>
          <w:color w:val="231F20"/>
          <w:spacing w:val="-17"/>
        </w:rPr>
        <w:t> </w:t>
      </w:r>
      <w:r>
        <w:rPr>
          <w:color w:val="231F20"/>
        </w:rPr>
        <w:t>dei</w:t>
      </w:r>
      <w:r>
        <w:rPr>
          <w:color w:val="231F20"/>
          <w:spacing w:val="-17"/>
        </w:rPr>
        <w:t> </w:t>
      </w:r>
      <w:r>
        <w:rPr>
          <w:rFonts w:ascii="Arial" w:hAnsi="Arial"/>
          <w:i/>
          <w:color w:val="231F20"/>
        </w:rPr>
        <w:t>borders</w:t>
      </w:r>
      <w:r>
        <w:rPr>
          <w:rFonts w:ascii="Arial" w:hAnsi="Arial"/>
          <w:i/>
          <w:color w:val="231F20"/>
          <w:spacing w:val="-10"/>
        </w:rPr>
        <w:t> </w:t>
      </w:r>
      <w:r>
        <w:rPr>
          <w:color w:val="231F20"/>
        </w:rPr>
        <w:t>istituzionali, in campo cognitivo e decisionale. Sono, per me, due delle funzioni della misura che governa il mondo (la terza essendo, come detto, la coscienza individuale).</w:t>
      </w:r>
      <w:r>
        <w:rPr>
          <w:color w:val="231F20"/>
          <w:spacing w:val="-12"/>
        </w:rPr>
        <w:t> </w:t>
      </w:r>
      <w:r>
        <w:rPr>
          <w:color w:val="231F20"/>
        </w:rPr>
        <w:t>Lo</w:t>
      </w:r>
      <w:r>
        <w:rPr>
          <w:color w:val="231F20"/>
          <w:spacing w:val="-12"/>
        </w:rPr>
        <w:t> </w:t>
      </w:r>
      <w:r>
        <w:rPr>
          <w:color w:val="231F20"/>
        </w:rPr>
        <w:t>furono</w:t>
      </w:r>
      <w:r>
        <w:rPr>
          <w:color w:val="231F20"/>
          <w:spacing w:val="-12"/>
        </w:rPr>
        <w:t> </w:t>
      </w:r>
      <w:r>
        <w:rPr>
          <w:color w:val="231F20"/>
        </w:rPr>
        <w:t>per</w:t>
      </w:r>
      <w:r>
        <w:rPr>
          <w:color w:val="231F20"/>
          <w:spacing w:val="-12"/>
        </w:rPr>
        <w:t> </w:t>
      </w:r>
      <w:r>
        <w:rPr>
          <w:color w:val="231F20"/>
        </w:rPr>
        <w:t>quel</w:t>
      </w:r>
      <w:r>
        <w:rPr>
          <w:color w:val="231F20"/>
          <w:spacing w:val="-12"/>
        </w:rPr>
        <w:t> </w:t>
      </w:r>
      <w:r>
        <w:rPr>
          <w:color w:val="231F20"/>
        </w:rPr>
        <w:t>grande</w:t>
      </w:r>
      <w:r>
        <w:rPr>
          <w:color w:val="231F20"/>
          <w:spacing w:val="-12"/>
        </w:rPr>
        <w:t> </w:t>
      </w:r>
      <w:r>
        <w:rPr>
          <w:color w:val="231F20"/>
        </w:rPr>
        <w:t>sistema</w:t>
      </w:r>
      <w:r>
        <w:rPr>
          <w:color w:val="231F20"/>
          <w:spacing w:val="-12"/>
        </w:rPr>
        <w:t> </w:t>
      </w:r>
      <w:r>
        <w:rPr>
          <w:color w:val="231F20"/>
        </w:rPr>
        <w:t>che</w:t>
      </w:r>
      <w:r>
        <w:rPr>
          <w:color w:val="231F20"/>
          <w:spacing w:val="-12"/>
        </w:rPr>
        <w:t> </w:t>
      </w:r>
      <w:r>
        <w:rPr>
          <w:color w:val="231F20"/>
        </w:rPr>
        <w:t>era</w:t>
      </w:r>
      <w:r>
        <w:rPr>
          <w:color w:val="231F20"/>
          <w:spacing w:val="-12"/>
        </w:rPr>
        <w:t> </w:t>
      </w:r>
      <w:r>
        <w:rPr>
          <w:color w:val="231F20"/>
        </w:rPr>
        <w:t>(e</w:t>
      </w:r>
      <w:r>
        <w:rPr>
          <w:color w:val="231F20"/>
          <w:spacing w:val="-12"/>
        </w:rPr>
        <w:t> </w:t>
      </w:r>
      <w:r>
        <w:rPr>
          <w:color w:val="231F20"/>
        </w:rPr>
        <w:t>in</w:t>
      </w:r>
      <w:r>
        <w:rPr>
          <w:color w:val="231F20"/>
          <w:spacing w:val="-12"/>
        </w:rPr>
        <w:t> </w:t>
      </w:r>
      <w:r>
        <w:rPr>
          <w:color w:val="231F20"/>
        </w:rPr>
        <w:t>qualche</w:t>
      </w:r>
      <w:r>
        <w:rPr>
          <w:color w:val="231F20"/>
          <w:spacing w:val="-12"/>
        </w:rPr>
        <w:t> </w:t>
      </w:r>
      <w:r>
        <w:rPr>
          <w:color w:val="231F20"/>
        </w:rPr>
        <w:t>spazio è ancora) lo Stato; lo sono e lo saranno sempre più per il complesso delle istituzioni che stanno modellando la </w:t>
      </w:r>
      <w:r>
        <w:rPr>
          <w:rFonts w:ascii="Arial" w:hAnsi="Arial"/>
          <w:i/>
          <w:color w:val="231F20"/>
        </w:rPr>
        <w:t>global </w:t>
      </w:r>
      <w:r>
        <w:rPr>
          <w:rFonts w:ascii="Arial" w:hAnsi="Arial"/>
          <w:i/>
          <w:color w:val="231F20"/>
          <w:spacing w:val="9"/>
        </w:rPr>
        <w:t> </w:t>
      </w:r>
      <w:r>
        <w:rPr>
          <w:rFonts w:ascii="Arial" w:hAnsi="Arial"/>
          <w:i/>
          <w:color w:val="231F20"/>
        </w:rPr>
        <w:t>polity</w:t>
      </w:r>
      <w:r>
        <w:rPr>
          <w:color w:val="231F20"/>
          <w:position w:val="7"/>
          <w:sz w:val="12"/>
        </w:rPr>
        <w:t>49</w:t>
      </w:r>
      <w:r>
        <w:rPr>
          <w:color w:val="231F20"/>
        </w:rPr>
        <w:t>.</w:t>
      </w:r>
    </w:p>
    <w:p>
      <w:pPr>
        <w:pStyle w:val="BodyText"/>
        <w:spacing w:line="244" w:lineRule="auto"/>
        <w:ind w:left="103" w:right="111" w:firstLine="566"/>
        <w:jc w:val="both"/>
        <w:rPr>
          <w:rFonts w:ascii="Arial" w:hAnsi="Arial"/>
          <w:i/>
        </w:rPr>
      </w:pPr>
      <w:r>
        <w:rPr>
          <w:color w:val="231F20"/>
        </w:rPr>
        <w:t>Il</w:t>
      </w:r>
      <w:r>
        <w:rPr>
          <w:color w:val="231F20"/>
          <w:spacing w:val="-22"/>
        </w:rPr>
        <w:t> </w:t>
      </w:r>
      <w:r>
        <w:rPr>
          <w:color w:val="231F20"/>
        </w:rPr>
        <w:t>secondo</w:t>
      </w:r>
      <w:r>
        <w:rPr>
          <w:color w:val="231F20"/>
          <w:spacing w:val="-22"/>
        </w:rPr>
        <w:t> </w:t>
      </w:r>
      <w:r>
        <w:rPr>
          <w:color w:val="231F20"/>
        </w:rPr>
        <w:t>concetto</w:t>
      </w:r>
      <w:r>
        <w:rPr>
          <w:color w:val="231F20"/>
          <w:spacing w:val="-22"/>
        </w:rPr>
        <w:t> </w:t>
      </w:r>
      <w:r>
        <w:rPr>
          <w:color w:val="231F20"/>
        </w:rPr>
        <w:t>a</w:t>
      </w:r>
      <w:r>
        <w:rPr>
          <w:color w:val="231F20"/>
          <w:spacing w:val="-22"/>
        </w:rPr>
        <w:t> </w:t>
      </w:r>
      <w:r>
        <w:rPr>
          <w:color w:val="231F20"/>
        </w:rPr>
        <w:t>cui</w:t>
      </w:r>
      <w:r>
        <w:rPr>
          <w:color w:val="231F20"/>
          <w:spacing w:val="-22"/>
        </w:rPr>
        <w:t> </w:t>
      </w:r>
      <w:r>
        <w:rPr>
          <w:color w:val="231F20"/>
          <w:spacing w:val="-3"/>
        </w:rPr>
        <w:t>vorrei</w:t>
      </w:r>
      <w:r>
        <w:rPr>
          <w:color w:val="231F20"/>
          <w:spacing w:val="-22"/>
        </w:rPr>
        <w:t> </w:t>
      </w:r>
      <w:r>
        <w:rPr>
          <w:color w:val="231F20"/>
          <w:spacing w:val="-3"/>
        </w:rPr>
        <w:t>avvicinare</w:t>
      </w:r>
      <w:r>
        <w:rPr>
          <w:color w:val="231F20"/>
          <w:spacing w:val="-22"/>
        </w:rPr>
        <w:t> </w:t>
      </w:r>
      <w:r>
        <w:rPr>
          <w:color w:val="231F20"/>
        </w:rPr>
        <w:t>la</w:t>
      </w:r>
      <w:r>
        <w:rPr>
          <w:color w:val="231F20"/>
          <w:spacing w:val="-22"/>
        </w:rPr>
        <w:t> </w:t>
      </w:r>
      <w:r>
        <w:rPr>
          <w:color w:val="231F20"/>
        </w:rPr>
        <w:t>mia</w:t>
      </w:r>
      <w:r>
        <w:rPr>
          <w:color w:val="231F20"/>
          <w:spacing w:val="-22"/>
        </w:rPr>
        <w:t> </w:t>
      </w:r>
      <w:r>
        <w:rPr>
          <w:color w:val="231F20"/>
        </w:rPr>
        <w:t>misura</w:t>
      </w:r>
      <w:r>
        <w:rPr>
          <w:color w:val="231F20"/>
          <w:spacing w:val="-22"/>
        </w:rPr>
        <w:t> </w:t>
      </w:r>
      <w:r>
        <w:rPr>
          <w:color w:val="231F20"/>
        </w:rPr>
        <w:t>è</w:t>
      </w:r>
      <w:r>
        <w:rPr>
          <w:color w:val="231F20"/>
          <w:spacing w:val="-22"/>
        </w:rPr>
        <w:t> </w:t>
      </w:r>
      <w:r>
        <w:rPr>
          <w:color w:val="231F20"/>
        </w:rPr>
        <w:t>invece</w:t>
      </w:r>
      <w:r>
        <w:rPr>
          <w:color w:val="231F20"/>
          <w:spacing w:val="-22"/>
        </w:rPr>
        <w:t> </w:t>
      </w:r>
      <w:r>
        <w:rPr>
          <w:color w:val="231F20"/>
          <w:spacing w:val="-2"/>
        </w:rPr>
        <w:t>quello </w:t>
      </w:r>
      <w:r>
        <w:rPr>
          <w:color w:val="231F20"/>
        </w:rPr>
        <w:t>di </w:t>
      </w:r>
      <w:r>
        <w:rPr>
          <w:rFonts w:ascii="Arial" w:hAnsi="Arial"/>
          <w:i/>
          <w:color w:val="231F20"/>
        </w:rPr>
        <w:t>character </w:t>
      </w:r>
      <w:r>
        <w:rPr>
          <w:color w:val="231F20"/>
        </w:rPr>
        <w:t>che riprendo dallo studio di Roberta Ferrari su Beatrice Potter (Webb):</w:t>
      </w:r>
      <w:r>
        <w:rPr>
          <w:color w:val="231F20"/>
          <w:spacing w:val="-11"/>
        </w:rPr>
        <w:t> </w:t>
      </w:r>
      <w:r>
        <w:rPr>
          <w:color w:val="231F20"/>
        </w:rPr>
        <w:t>“Il</w:t>
      </w:r>
      <w:r>
        <w:rPr>
          <w:color w:val="231F20"/>
          <w:spacing w:val="-11"/>
        </w:rPr>
        <w:t> </w:t>
      </w:r>
      <w:r>
        <w:rPr>
          <w:color w:val="231F20"/>
        </w:rPr>
        <w:t>character</w:t>
      </w:r>
      <w:r>
        <w:rPr>
          <w:color w:val="231F20"/>
          <w:spacing w:val="-11"/>
        </w:rPr>
        <w:t> </w:t>
      </w:r>
      <w:r>
        <w:rPr>
          <w:color w:val="231F20"/>
        </w:rPr>
        <w:t>è</w:t>
      </w:r>
      <w:r>
        <w:rPr>
          <w:color w:val="231F20"/>
          <w:spacing w:val="-11"/>
        </w:rPr>
        <w:t> </w:t>
      </w:r>
      <w:r>
        <w:rPr>
          <w:color w:val="231F20"/>
        </w:rPr>
        <w:t>contemporaneamente</w:t>
      </w:r>
      <w:r>
        <w:rPr>
          <w:color w:val="231F20"/>
          <w:spacing w:val="-11"/>
        </w:rPr>
        <w:t> </w:t>
      </w:r>
      <w:r>
        <w:rPr>
          <w:color w:val="231F20"/>
        </w:rPr>
        <w:t>l’unità</w:t>
      </w:r>
      <w:r>
        <w:rPr>
          <w:color w:val="231F20"/>
          <w:spacing w:val="-11"/>
        </w:rPr>
        <w:t> </w:t>
      </w:r>
      <w:r>
        <w:rPr>
          <w:color w:val="231F20"/>
        </w:rPr>
        <w:t>di</w:t>
      </w:r>
      <w:r>
        <w:rPr>
          <w:color w:val="231F20"/>
          <w:spacing w:val="-11"/>
        </w:rPr>
        <w:t> </w:t>
      </w:r>
      <w:r>
        <w:rPr>
          <w:color w:val="231F20"/>
        </w:rPr>
        <w:t>misura</w:t>
      </w:r>
      <w:r>
        <w:rPr>
          <w:color w:val="231F20"/>
          <w:spacing w:val="-11"/>
        </w:rPr>
        <w:t> </w:t>
      </w:r>
      <w:r>
        <w:rPr>
          <w:color w:val="231F20"/>
        </w:rPr>
        <w:t>della</w:t>
      </w:r>
      <w:r>
        <w:rPr>
          <w:color w:val="231F20"/>
          <w:spacing w:val="-11"/>
        </w:rPr>
        <w:t> </w:t>
      </w:r>
      <w:r>
        <w:rPr>
          <w:color w:val="231F20"/>
        </w:rPr>
        <w:t>scienza sociale di Potter e l’orizzonte della sua riflessione politica. Nel corso degli anni, attraverso le varie fasi della sua opera, esso assume forme diverse, da singolare a collettivo, da morale a sociale, da aristocratico a industriale, da industriale a capitalistico”</w:t>
      </w:r>
      <w:r>
        <w:rPr>
          <w:color w:val="231F20"/>
          <w:position w:val="7"/>
          <w:sz w:val="12"/>
        </w:rPr>
        <w:t>50</w:t>
      </w:r>
      <w:r>
        <w:rPr>
          <w:color w:val="231F20"/>
        </w:rPr>
        <w:t>. Ma ovviamente non si trattava, agli occhi di Beatrice Webb e di suo marito </w:t>
      </w:r>
      <w:r>
        <w:rPr>
          <w:color w:val="231F20"/>
          <w:spacing w:val="-3"/>
        </w:rPr>
        <w:t>Sidney, </w:t>
      </w:r>
      <w:r>
        <w:rPr>
          <w:color w:val="231F20"/>
        </w:rPr>
        <w:t>solo di degenerazione, bensì, a certe</w:t>
      </w:r>
      <w:r>
        <w:rPr>
          <w:color w:val="231F20"/>
          <w:spacing w:val="-18"/>
        </w:rPr>
        <w:t> </w:t>
      </w:r>
      <w:r>
        <w:rPr>
          <w:color w:val="231F20"/>
        </w:rPr>
        <w:t>condizioni,</w:t>
      </w:r>
      <w:r>
        <w:rPr>
          <w:color w:val="231F20"/>
          <w:spacing w:val="-18"/>
        </w:rPr>
        <w:t> </w:t>
      </w:r>
      <w:r>
        <w:rPr>
          <w:color w:val="231F20"/>
          <w:spacing w:val="-3"/>
        </w:rPr>
        <w:t>pure</w:t>
      </w:r>
      <w:r>
        <w:rPr>
          <w:color w:val="231F20"/>
          <w:spacing w:val="-18"/>
        </w:rPr>
        <w:t> </w:t>
      </w:r>
      <w:r>
        <w:rPr>
          <w:color w:val="231F20"/>
        </w:rPr>
        <w:t>di</w:t>
      </w:r>
      <w:r>
        <w:rPr>
          <w:color w:val="231F20"/>
          <w:spacing w:val="-18"/>
        </w:rPr>
        <w:t> </w:t>
      </w:r>
      <w:r>
        <w:rPr>
          <w:color w:val="231F20"/>
        </w:rPr>
        <w:t>rigenerazione</w:t>
      </w:r>
      <w:r>
        <w:rPr>
          <w:color w:val="231F20"/>
          <w:spacing w:val="-18"/>
        </w:rPr>
        <w:t> </w:t>
      </w:r>
      <w:r>
        <w:rPr>
          <w:color w:val="231F20"/>
        </w:rPr>
        <w:t>verso</w:t>
      </w:r>
      <w:r>
        <w:rPr>
          <w:color w:val="231F20"/>
          <w:spacing w:val="-18"/>
        </w:rPr>
        <w:t> </w:t>
      </w:r>
      <w:r>
        <w:rPr>
          <w:color w:val="231F20"/>
        </w:rPr>
        <w:t>una</w:t>
      </w:r>
      <w:r>
        <w:rPr>
          <w:color w:val="231F20"/>
          <w:spacing w:val="-18"/>
        </w:rPr>
        <w:t> </w:t>
      </w:r>
      <w:r>
        <w:rPr>
          <w:color w:val="231F20"/>
        </w:rPr>
        <w:t>“coscienza</w:t>
      </w:r>
      <w:r>
        <w:rPr>
          <w:color w:val="231F20"/>
          <w:spacing w:val="-18"/>
        </w:rPr>
        <w:t> </w:t>
      </w:r>
      <w:r>
        <w:rPr>
          <w:color w:val="231F20"/>
        </w:rPr>
        <w:t>collettiva”</w:t>
      </w:r>
      <w:r>
        <w:rPr>
          <w:color w:val="231F20"/>
          <w:spacing w:val="-18"/>
        </w:rPr>
        <w:t> </w:t>
      </w:r>
      <w:r>
        <w:rPr>
          <w:color w:val="231F20"/>
        </w:rPr>
        <w:t>volta alla liberazione degli uomini e delle donne dal dominio. Era coinvolto in  ciò il rapporto di Stato e società, mediante la trasformazione della vecchia sovranità</w:t>
      </w:r>
      <w:r>
        <w:rPr>
          <w:color w:val="231F20"/>
          <w:spacing w:val="-8"/>
        </w:rPr>
        <w:t> </w:t>
      </w:r>
      <w:r>
        <w:rPr>
          <w:color w:val="231F20"/>
        </w:rPr>
        <w:t>in</w:t>
      </w:r>
      <w:r>
        <w:rPr>
          <w:color w:val="231F20"/>
          <w:spacing w:val="-8"/>
        </w:rPr>
        <w:t> </w:t>
      </w:r>
      <w:r>
        <w:rPr>
          <w:rFonts w:ascii="Arial" w:hAnsi="Arial"/>
          <w:i/>
          <w:color w:val="231F20"/>
        </w:rPr>
        <w:t>Commonwealth</w:t>
      </w:r>
      <w:r>
        <w:rPr>
          <w:color w:val="231F20"/>
        </w:rPr>
        <w:t>.</w:t>
      </w:r>
      <w:r>
        <w:rPr>
          <w:color w:val="231F20"/>
          <w:spacing w:val="-8"/>
        </w:rPr>
        <w:t> </w:t>
      </w:r>
      <w:r>
        <w:rPr>
          <w:color w:val="231F20"/>
          <w:spacing w:val="-4"/>
        </w:rPr>
        <w:t>L’intero</w:t>
      </w:r>
      <w:r>
        <w:rPr>
          <w:color w:val="231F20"/>
          <w:spacing w:val="-8"/>
        </w:rPr>
        <w:t> </w:t>
      </w:r>
      <w:r>
        <w:rPr>
          <w:color w:val="231F20"/>
        </w:rPr>
        <w:t>processo</w:t>
      </w:r>
      <w:r>
        <w:rPr>
          <w:color w:val="231F20"/>
          <w:spacing w:val="-8"/>
        </w:rPr>
        <w:t> </w:t>
      </w:r>
      <w:r>
        <w:rPr>
          <w:color w:val="231F20"/>
        </w:rPr>
        <w:t>doveva</w:t>
      </w:r>
      <w:r>
        <w:rPr>
          <w:color w:val="231F20"/>
          <w:spacing w:val="-8"/>
        </w:rPr>
        <w:t> </w:t>
      </w:r>
      <w:r>
        <w:rPr>
          <w:color w:val="231F20"/>
        </w:rPr>
        <w:t>far</w:t>
      </w:r>
      <w:r>
        <w:rPr>
          <w:color w:val="231F20"/>
          <w:spacing w:val="-8"/>
        </w:rPr>
        <w:t> </w:t>
      </w:r>
      <w:r>
        <w:rPr>
          <w:color w:val="231F20"/>
        </w:rPr>
        <w:t>capo</w:t>
      </w:r>
      <w:r>
        <w:rPr>
          <w:color w:val="231F20"/>
          <w:spacing w:val="-8"/>
        </w:rPr>
        <w:t> </w:t>
      </w:r>
      <w:r>
        <w:rPr>
          <w:color w:val="231F20"/>
        </w:rPr>
        <w:t>al</w:t>
      </w:r>
      <w:r>
        <w:rPr>
          <w:color w:val="231F20"/>
          <w:spacing w:val="-8"/>
        </w:rPr>
        <w:t> </w:t>
      </w:r>
      <w:r>
        <w:rPr>
          <w:rFonts w:ascii="Arial" w:hAnsi="Arial"/>
          <w:i/>
          <w:color w:val="231F20"/>
        </w:rPr>
        <w:t>character </w:t>
      </w:r>
      <w:r>
        <w:rPr>
          <w:color w:val="231F20"/>
        </w:rPr>
        <w:t>collettivo capace di fondare una nuova unità politica, su base di libertà e uguaglianza. Strumenti ne dovevano essere nuove misure amministrative coniate dall’osservazione scientifica della realtà politica e dal ripensamento scientifico</w:t>
      </w:r>
      <w:r>
        <w:rPr>
          <w:color w:val="231F20"/>
          <w:spacing w:val="-7"/>
        </w:rPr>
        <w:t> </w:t>
      </w:r>
      <w:r>
        <w:rPr>
          <w:color w:val="231F20"/>
        </w:rPr>
        <w:t>dell’autorità.</w:t>
      </w:r>
      <w:r>
        <w:rPr>
          <w:color w:val="231F20"/>
          <w:spacing w:val="-7"/>
        </w:rPr>
        <w:t> </w:t>
      </w:r>
      <w:r>
        <w:rPr>
          <w:color w:val="231F20"/>
        </w:rPr>
        <w:t>Ma</w:t>
      </w:r>
      <w:r>
        <w:rPr>
          <w:color w:val="231F20"/>
          <w:spacing w:val="-7"/>
        </w:rPr>
        <w:t> </w:t>
      </w:r>
      <w:r>
        <w:rPr>
          <w:color w:val="231F20"/>
        </w:rPr>
        <w:t>punto</w:t>
      </w:r>
      <w:r>
        <w:rPr>
          <w:color w:val="231F20"/>
          <w:spacing w:val="-7"/>
        </w:rPr>
        <w:t> </w:t>
      </w:r>
      <w:r>
        <w:rPr>
          <w:color w:val="231F20"/>
        </w:rPr>
        <w:t>di</w:t>
      </w:r>
      <w:r>
        <w:rPr>
          <w:color w:val="231F20"/>
          <w:spacing w:val="-7"/>
        </w:rPr>
        <w:t> </w:t>
      </w:r>
      <w:r>
        <w:rPr>
          <w:color w:val="231F20"/>
        </w:rPr>
        <w:t>riferimento</w:t>
      </w:r>
      <w:r>
        <w:rPr>
          <w:color w:val="231F20"/>
          <w:spacing w:val="-7"/>
        </w:rPr>
        <w:t> </w:t>
      </w:r>
      <w:r>
        <w:rPr>
          <w:color w:val="231F20"/>
        </w:rPr>
        <w:t>restava</w:t>
      </w:r>
      <w:r>
        <w:rPr>
          <w:color w:val="231F20"/>
          <w:spacing w:val="-7"/>
        </w:rPr>
        <w:t> </w:t>
      </w:r>
      <w:r>
        <w:rPr>
          <w:color w:val="231F20"/>
        </w:rPr>
        <w:t>sempre</w:t>
      </w:r>
      <w:r>
        <w:rPr>
          <w:color w:val="231F20"/>
          <w:spacing w:val="-7"/>
        </w:rPr>
        <w:t> </w:t>
      </w:r>
      <w:r>
        <w:rPr>
          <w:color w:val="231F20"/>
        </w:rPr>
        <w:t>il</w:t>
      </w:r>
      <w:r>
        <w:rPr>
          <w:color w:val="231F20"/>
          <w:spacing w:val="-7"/>
        </w:rPr>
        <w:t> </w:t>
      </w:r>
      <w:r>
        <w:rPr>
          <w:rFonts w:ascii="Arial" w:hAnsi="Arial"/>
          <w:i/>
          <w:color w:val="231F20"/>
        </w:rPr>
        <w:t>character </w:t>
      </w:r>
      <w:r>
        <w:rPr>
          <w:color w:val="231F20"/>
        </w:rPr>
        <w:t>individuale, cioè la coscienza di sé di soggetti non più contrapposti fra loro dalla</w:t>
      </w:r>
      <w:r>
        <w:rPr>
          <w:color w:val="231F20"/>
          <w:spacing w:val="-32"/>
        </w:rPr>
        <w:t> </w:t>
      </w:r>
      <w:r>
        <w:rPr>
          <w:color w:val="231F20"/>
        </w:rPr>
        <w:t>divisione</w:t>
      </w:r>
      <w:r>
        <w:rPr>
          <w:color w:val="231F20"/>
          <w:spacing w:val="-32"/>
        </w:rPr>
        <w:t> </w:t>
      </w:r>
      <w:r>
        <w:rPr>
          <w:color w:val="231F20"/>
        </w:rPr>
        <w:t>sociale</w:t>
      </w:r>
      <w:r>
        <w:rPr>
          <w:color w:val="231F20"/>
          <w:spacing w:val="-32"/>
        </w:rPr>
        <w:t> </w:t>
      </w:r>
      <w:r>
        <w:rPr>
          <w:color w:val="231F20"/>
        </w:rPr>
        <w:t>del</w:t>
      </w:r>
      <w:r>
        <w:rPr>
          <w:color w:val="231F20"/>
          <w:spacing w:val="-32"/>
        </w:rPr>
        <w:t> </w:t>
      </w:r>
      <w:r>
        <w:rPr>
          <w:color w:val="231F20"/>
          <w:spacing w:val="-3"/>
        </w:rPr>
        <w:t>lavoro</w:t>
      </w:r>
      <w:r>
        <w:rPr>
          <w:color w:val="231F20"/>
          <w:spacing w:val="-32"/>
        </w:rPr>
        <w:t> </w:t>
      </w:r>
      <w:r>
        <w:rPr>
          <w:color w:val="231F20"/>
        </w:rPr>
        <w:t>(maschile/femminile,</w:t>
      </w:r>
      <w:r>
        <w:rPr>
          <w:color w:val="231F20"/>
          <w:spacing w:val="-32"/>
        </w:rPr>
        <w:t> </w:t>
      </w:r>
      <w:r>
        <w:rPr>
          <w:color w:val="231F20"/>
        </w:rPr>
        <w:t>manuale/intellettuale). Anche da questa parzialissima ricostruzione emergono le mie tre misure, riassunte nella cifra complessiva e rivoluzionaria del </w:t>
      </w:r>
      <w:r>
        <w:rPr>
          <w:rFonts w:ascii="Arial" w:hAnsi="Arial"/>
          <w:i/>
          <w:color w:val="231F20"/>
        </w:rPr>
        <w:t>character</w:t>
      </w:r>
      <w:r>
        <w:rPr>
          <w:color w:val="231F20"/>
        </w:rPr>
        <w:t>. E anche in questo caso mi pare giusto sottolineare la linea evolutiva, di </w:t>
      </w:r>
      <w:r>
        <w:rPr>
          <w:rFonts w:ascii="Arial" w:hAnsi="Arial"/>
          <w:i/>
          <w:color w:val="231F20"/>
        </w:rPr>
        <w:t>border as   </w:t>
      </w:r>
      <w:r>
        <w:rPr>
          <w:rFonts w:ascii="Arial" w:hAnsi="Arial"/>
          <w:i/>
          <w:color w:val="231F20"/>
          <w:spacing w:val="30"/>
        </w:rPr>
        <w:t> </w:t>
      </w:r>
      <w:r>
        <w:rPr>
          <w:rFonts w:ascii="Arial" w:hAnsi="Arial"/>
          <w:i/>
          <w:color w:val="231F20"/>
        </w:rPr>
        <w:t>a</w:t>
      </w:r>
    </w:p>
    <w:p>
      <w:pPr>
        <w:pStyle w:val="BodyText"/>
        <w:spacing w:before="7"/>
        <w:rPr>
          <w:rFonts w:ascii="Arial"/>
          <w:i/>
          <w:sz w:val="27"/>
        </w:rPr>
      </w:pPr>
      <w:r>
        <w:rPr/>
        <w:pict>
          <v:line style="position:absolute;mso-position-horizontal-relative:page;mso-position-vertical-relative:paragraph;z-index:13096;mso-wrap-distance-left:0;mso-wrap-distance-right:0" from="65.1968pt,17.976198pt" to="178.5828pt,17.976198pt" stroked="true" strokeweight=".3pt" strokecolor="#231f20">
            <w10:wrap type="topAndBottom"/>
          </v:line>
        </w:pict>
      </w:r>
    </w:p>
    <w:p>
      <w:pPr>
        <w:spacing w:line="204" w:lineRule="exact" w:before="8"/>
        <w:ind w:left="103" w:right="0" w:firstLine="0"/>
        <w:jc w:val="left"/>
        <w:rPr>
          <w:rFonts w:ascii="Calibri"/>
          <w:sz w:val="17"/>
        </w:rPr>
      </w:pPr>
      <w:r>
        <w:rPr>
          <w:rFonts w:ascii="Calibri"/>
          <w:color w:val="231F20"/>
          <w:position w:val="6"/>
          <w:sz w:val="10"/>
        </w:rPr>
        <w:t>49 </w:t>
      </w:r>
      <w:r>
        <w:rPr>
          <w:rFonts w:ascii="Calibri"/>
          <w:color w:val="231F20"/>
          <w:sz w:val="17"/>
        </w:rPr>
        <w:t>S. Cassese, </w:t>
      </w:r>
      <w:r>
        <w:rPr>
          <w:rFonts w:ascii="Calibri"/>
          <w:i/>
          <w:color w:val="231F20"/>
          <w:sz w:val="17"/>
        </w:rPr>
        <w:t>The Global Polity: Global Dimensions of Democracy and the Rule of Law</w:t>
      </w:r>
      <w:r>
        <w:rPr>
          <w:rFonts w:ascii="Calibri"/>
          <w:color w:val="231F20"/>
          <w:sz w:val="17"/>
        </w:rPr>
        <w:t>, Sevilla, The Global Press, 2012.</w:t>
      </w:r>
    </w:p>
    <w:p>
      <w:pPr>
        <w:spacing w:line="204" w:lineRule="exact" w:before="0"/>
        <w:ind w:left="103" w:right="30" w:firstLine="0"/>
        <w:jc w:val="left"/>
        <w:rPr>
          <w:rFonts w:ascii="Calibri"/>
          <w:sz w:val="17"/>
        </w:rPr>
      </w:pPr>
      <w:r>
        <w:rPr>
          <w:rFonts w:ascii="Calibri"/>
          <w:color w:val="231F20"/>
          <w:position w:val="6"/>
          <w:sz w:val="10"/>
        </w:rPr>
        <w:t>50 </w:t>
      </w:r>
      <w:r>
        <w:rPr>
          <w:rFonts w:ascii="Calibri"/>
          <w:color w:val="231F20"/>
          <w:sz w:val="17"/>
        </w:rPr>
        <w:t>R. Ferrari, </w:t>
      </w:r>
      <w:r>
        <w:rPr>
          <w:rFonts w:ascii="Calibri"/>
          <w:i/>
          <w:color w:val="231F20"/>
          <w:sz w:val="17"/>
        </w:rPr>
        <w:t>Beatrice Potter e la signora Webb. La politica come amministrazione del carattere</w:t>
      </w:r>
      <w:r>
        <w:rPr>
          <w:rFonts w:ascii="Calibri"/>
          <w:color w:val="231F20"/>
          <w:sz w:val="17"/>
        </w:rPr>
        <w:t>, Tesi di dottorato, Bologna 2015, relatore Maurizio  Ricciardi.</w:t>
      </w:r>
    </w:p>
    <w:p>
      <w:pPr>
        <w:pStyle w:val="BodyText"/>
        <w:rPr>
          <w:rFonts w:ascii="Calibri"/>
          <w:sz w:val="20"/>
        </w:rPr>
      </w:pPr>
    </w:p>
    <w:p>
      <w:pPr>
        <w:pStyle w:val="BodyText"/>
        <w:spacing w:before="1"/>
        <w:rPr>
          <w:rFonts w:ascii="Calibri"/>
          <w:sz w:val="28"/>
        </w:rPr>
      </w:pPr>
    </w:p>
    <w:p>
      <w:pPr>
        <w:tabs>
          <w:tab w:pos="1317" w:val="left" w:leader="none"/>
        </w:tabs>
        <w:spacing w:before="69"/>
        <w:ind w:left="212" w:right="0" w:firstLine="0"/>
        <w:jc w:val="left"/>
        <w:rPr>
          <w:rFonts w:ascii="Calibri"/>
          <w:sz w:val="16"/>
        </w:rPr>
      </w:pPr>
      <w:r>
        <w:rPr/>
        <w:pict>
          <v:group style="position:absolute;margin-left:98.079102pt;margin-top:-3.308812pt;width:20.4pt;height:43pt;mso-position-horizontal-relative:page;mso-position-vertical-relative:paragraph;z-index:-162280" coordorigin="1962,-66" coordsize="408,860">
            <v:line style="position:absolute" from="2211,73" to="2211,789" stroked="true" strokeweight=".35pt" strokecolor="#231f20"/>
            <v:shape style="position:absolute;left:2179;top:-13;width:190;height:445" type="#_x0000_t75" stroked="false">
              <v:imagedata r:id="rId34" o:title=""/>
            </v:shape>
            <v:shape style="position:absolute;left:1962;top:-66;width:250;height:502" type="#_x0000_t75" stroked="false">
              <v:imagedata r:id="rId35" o:title=""/>
            </v:shape>
            <w10:wrap type="none"/>
          </v:group>
        </w:pict>
      </w:r>
      <w:r>
        <w:rPr>
          <w:rFonts w:ascii="Trebuchet MS"/>
          <w:color w:val="414042"/>
          <w:w w:val="105"/>
          <w:position w:val="-4"/>
          <w:sz w:val="20"/>
        </w:rPr>
        <w:t>106</w:t>
        <w:tab/>
      </w:r>
      <w:r>
        <w:rPr>
          <w:rFonts w:ascii="Calibri"/>
          <w:color w:val="6D6E71"/>
          <w:sz w:val="16"/>
        </w:rPr>
        <w:t>Pierangelo</w:t>
      </w:r>
      <w:r>
        <w:rPr>
          <w:rFonts w:ascii="Calibri"/>
          <w:color w:val="6D6E71"/>
          <w:spacing w:val="16"/>
          <w:sz w:val="16"/>
        </w:rPr>
        <w:t> </w:t>
      </w:r>
      <w:r>
        <w:rPr>
          <w:rFonts w:ascii="Calibri"/>
          <w:color w:val="6D6E71"/>
          <w:sz w:val="16"/>
        </w:rPr>
        <w:t>Schiera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2991" w:right="0" w:firstLine="0"/>
        <w:jc w:val="left"/>
        <w:rPr>
          <w:rFonts w:ascii="Trebuchet MS" w:hAnsi="Trebuchet MS"/>
          <w:sz w:val="20"/>
        </w:rPr>
      </w:pPr>
      <w:r>
        <w:rPr/>
        <w:pict>
          <v:group style="position:absolute;margin-left:383.821014pt;margin-top:-25.479271pt;width:8.65pt;height:41pt;mso-position-horizontal-relative:page;mso-position-vertical-relative:paragraph;z-index:-16223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sz w:val="14"/>
        </w:rPr>
        <w:t>LO</w:t>
      </w:r>
      <w:r>
        <w:rPr>
          <w:rFonts w:ascii="Lucida Sans Unicode" w:hAnsi="Lucida Sans Unicode"/>
          <w:color w:val="6D6E71"/>
          <w:spacing w:val="-30"/>
          <w:sz w:val="14"/>
        </w:rPr>
        <w:t> </w:t>
      </w:r>
      <w:r>
        <w:rPr>
          <w:rFonts w:ascii="Lucida Sans Unicode" w:hAnsi="Lucida Sans Unicode"/>
          <w:color w:val="6D6E71"/>
          <w:spacing w:val="-4"/>
          <w:sz w:val="14"/>
        </w:rPr>
        <w:t>STATO</w:t>
      </w:r>
      <w:r>
        <w:rPr>
          <w:rFonts w:ascii="Lucida Sans Unicode" w:hAnsi="Lucida Sans Unicode"/>
          <w:color w:val="6D6E71"/>
          <w:spacing w:val="-30"/>
          <w:sz w:val="14"/>
        </w:rPr>
        <w:t> </w:t>
      </w:r>
      <w:r>
        <w:rPr>
          <w:rFonts w:ascii="Lucida Sans Unicode" w:hAnsi="Lucida Sans Unicode"/>
          <w:color w:val="6D6E71"/>
          <w:sz w:val="14"/>
        </w:rPr>
        <w:t>MODERNO,</w:t>
      </w:r>
      <w:r>
        <w:rPr>
          <w:rFonts w:ascii="Lucida Sans Unicode" w:hAnsi="Lucida Sans Unicode"/>
          <w:color w:val="6D6E71"/>
          <w:spacing w:val="-30"/>
          <w:sz w:val="14"/>
        </w:rPr>
        <w:t> </w:t>
      </w:r>
      <w:r>
        <w:rPr>
          <w:rFonts w:ascii="Lucida Sans Unicode" w:hAnsi="Lucida Sans Unicode"/>
          <w:color w:val="6D6E71"/>
          <w:sz w:val="14"/>
        </w:rPr>
        <w:t>AL</w:t>
      </w:r>
      <w:r>
        <w:rPr>
          <w:rFonts w:ascii="Lucida Sans Unicode" w:hAnsi="Lucida Sans Unicode"/>
          <w:color w:val="6D6E71"/>
          <w:spacing w:val="-30"/>
          <w:sz w:val="14"/>
        </w:rPr>
        <w:t> </w:t>
      </w:r>
      <w:r>
        <w:rPr>
          <w:rFonts w:ascii="Lucida Sans Unicode" w:hAnsi="Lucida Sans Unicode"/>
          <w:color w:val="6D6E71"/>
          <w:sz w:val="14"/>
        </w:rPr>
        <w:t>GIORNO</w:t>
      </w:r>
      <w:r>
        <w:rPr>
          <w:rFonts w:ascii="Lucida Sans Unicode" w:hAnsi="Lucida Sans Unicode"/>
          <w:color w:val="6D6E71"/>
          <w:spacing w:val="-30"/>
          <w:sz w:val="14"/>
        </w:rPr>
        <w:t> </w:t>
      </w:r>
      <w:r>
        <w:rPr>
          <w:rFonts w:ascii="Lucida Sans Unicode" w:hAnsi="Lucida Sans Unicode"/>
          <w:color w:val="6D6E71"/>
          <w:sz w:val="14"/>
        </w:rPr>
        <w:t>D’OGGI</w:t>
      </w:r>
      <w:r>
        <w:rPr>
          <w:rFonts w:ascii="Lucida Sans Unicode" w:hAnsi="Lucida Sans Unicode"/>
          <w:color w:val="6D6E71"/>
          <w:spacing w:val="-30"/>
          <w:sz w:val="14"/>
        </w:rPr>
        <w:t> </w:t>
      </w:r>
      <w:r>
        <w:rPr>
          <w:rFonts w:ascii="Lucida Sans Unicode" w:hAnsi="Lucida Sans Unicode"/>
          <w:color w:val="6D6E71"/>
          <w:sz w:val="14"/>
        </w:rPr>
        <w:t>E</w:t>
      </w:r>
      <w:r>
        <w:rPr>
          <w:rFonts w:ascii="Lucida Sans Unicode" w:hAnsi="Lucida Sans Unicode"/>
          <w:color w:val="6D6E71"/>
          <w:spacing w:val="-30"/>
          <w:sz w:val="14"/>
        </w:rPr>
        <w:t> </w:t>
      </w:r>
      <w:r>
        <w:rPr>
          <w:rFonts w:ascii="Lucida Sans Unicode" w:hAnsi="Lucida Sans Unicode"/>
          <w:color w:val="6D6E71"/>
          <w:sz w:val="14"/>
        </w:rPr>
        <w:t>DI</w:t>
      </w:r>
      <w:r>
        <w:rPr>
          <w:rFonts w:ascii="Lucida Sans Unicode" w:hAnsi="Lucida Sans Unicode"/>
          <w:color w:val="6D6E71"/>
          <w:spacing w:val="-30"/>
          <w:sz w:val="14"/>
        </w:rPr>
        <w:t> </w:t>
      </w:r>
      <w:r>
        <w:rPr>
          <w:rFonts w:ascii="Lucida Sans Unicode" w:hAnsi="Lucida Sans Unicode"/>
          <w:color w:val="6D6E71"/>
          <w:sz w:val="14"/>
        </w:rPr>
        <w:t>DOMANI</w:t>
      </w:r>
      <w:r>
        <w:rPr>
          <w:rFonts w:ascii="Trebuchet MS" w:hAnsi="Trebuchet MS"/>
          <w:color w:val="414042"/>
          <w:position w:val="-3"/>
          <w:sz w:val="20"/>
        </w:rPr>
        <w:tab/>
        <w:t>107</w:t>
      </w:r>
    </w:p>
    <w:p>
      <w:pPr>
        <w:pStyle w:val="BodyText"/>
        <w:spacing w:line="244" w:lineRule="auto" w:before="621"/>
        <w:ind w:left="117" w:right="117"/>
        <w:jc w:val="both"/>
      </w:pPr>
      <w:r>
        <w:rPr>
          <w:rFonts w:ascii="Arial" w:hAnsi="Arial"/>
          <w:i/>
          <w:color w:val="231F20"/>
          <w:w w:val="105"/>
        </w:rPr>
        <w:t>method</w:t>
      </w:r>
      <w:r>
        <w:rPr>
          <w:color w:val="231F20"/>
          <w:w w:val="105"/>
        </w:rPr>
        <w:t>,</w:t>
      </w:r>
      <w:r>
        <w:rPr>
          <w:color w:val="231F20"/>
          <w:spacing w:val="-30"/>
          <w:w w:val="105"/>
        </w:rPr>
        <w:t> </w:t>
      </w:r>
      <w:r>
        <w:rPr>
          <w:color w:val="231F20"/>
          <w:w w:val="105"/>
        </w:rPr>
        <w:t>in</w:t>
      </w:r>
      <w:r>
        <w:rPr>
          <w:color w:val="231F20"/>
          <w:spacing w:val="-30"/>
          <w:w w:val="105"/>
        </w:rPr>
        <w:t> </w:t>
      </w:r>
      <w:r>
        <w:rPr>
          <w:color w:val="231F20"/>
          <w:w w:val="105"/>
        </w:rPr>
        <w:t>cui</w:t>
      </w:r>
      <w:r>
        <w:rPr>
          <w:color w:val="231F20"/>
          <w:spacing w:val="-30"/>
          <w:w w:val="105"/>
        </w:rPr>
        <w:t> </w:t>
      </w:r>
      <w:r>
        <w:rPr>
          <w:color w:val="231F20"/>
          <w:w w:val="105"/>
        </w:rPr>
        <w:t>la</w:t>
      </w:r>
      <w:r>
        <w:rPr>
          <w:color w:val="231F20"/>
          <w:spacing w:val="-30"/>
          <w:w w:val="105"/>
        </w:rPr>
        <w:t> </w:t>
      </w:r>
      <w:r>
        <w:rPr>
          <w:color w:val="231F20"/>
          <w:w w:val="105"/>
        </w:rPr>
        <w:t>questione</w:t>
      </w:r>
      <w:r>
        <w:rPr>
          <w:color w:val="231F20"/>
          <w:spacing w:val="-30"/>
          <w:w w:val="105"/>
        </w:rPr>
        <w:t> </w:t>
      </w:r>
      <w:r>
        <w:rPr>
          <w:color w:val="231F20"/>
          <w:w w:val="105"/>
        </w:rPr>
        <w:t>si</w:t>
      </w:r>
      <w:r>
        <w:rPr>
          <w:color w:val="231F20"/>
          <w:spacing w:val="-30"/>
          <w:w w:val="105"/>
        </w:rPr>
        <w:t> </w:t>
      </w:r>
      <w:r>
        <w:rPr>
          <w:color w:val="231F20"/>
          <w:w w:val="105"/>
        </w:rPr>
        <w:t>pone.</w:t>
      </w:r>
      <w:r>
        <w:rPr>
          <w:color w:val="231F20"/>
          <w:spacing w:val="-30"/>
          <w:w w:val="105"/>
        </w:rPr>
        <w:t> </w:t>
      </w:r>
      <w:r>
        <w:rPr>
          <w:color w:val="231F20"/>
          <w:w w:val="105"/>
        </w:rPr>
        <w:t>Lo</w:t>
      </w:r>
      <w:r>
        <w:rPr>
          <w:color w:val="231F20"/>
          <w:spacing w:val="-30"/>
          <w:w w:val="105"/>
        </w:rPr>
        <w:t> </w:t>
      </w:r>
      <w:r>
        <w:rPr>
          <w:color w:val="231F20"/>
          <w:w w:val="105"/>
        </w:rPr>
        <w:t>Stato</w:t>
      </w:r>
      <w:r>
        <w:rPr>
          <w:color w:val="231F20"/>
          <w:spacing w:val="-30"/>
          <w:w w:val="105"/>
        </w:rPr>
        <w:t> </w:t>
      </w:r>
      <w:r>
        <w:rPr>
          <w:color w:val="231F20"/>
          <w:w w:val="105"/>
        </w:rPr>
        <w:t>occupa</w:t>
      </w:r>
      <w:r>
        <w:rPr>
          <w:color w:val="231F20"/>
          <w:spacing w:val="-30"/>
          <w:w w:val="105"/>
        </w:rPr>
        <w:t> </w:t>
      </w:r>
      <w:r>
        <w:rPr>
          <w:color w:val="231F20"/>
          <w:w w:val="105"/>
        </w:rPr>
        <w:t>solo</w:t>
      </w:r>
      <w:r>
        <w:rPr>
          <w:color w:val="231F20"/>
          <w:spacing w:val="-30"/>
          <w:w w:val="105"/>
        </w:rPr>
        <w:t> </w:t>
      </w:r>
      <w:r>
        <w:rPr>
          <w:color w:val="231F20"/>
          <w:w w:val="105"/>
        </w:rPr>
        <w:t>una</w:t>
      </w:r>
      <w:r>
        <w:rPr>
          <w:color w:val="231F20"/>
          <w:spacing w:val="-30"/>
          <w:w w:val="105"/>
        </w:rPr>
        <w:t> </w:t>
      </w:r>
      <w:r>
        <w:rPr>
          <w:color w:val="231F20"/>
          <w:w w:val="105"/>
        </w:rPr>
        <w:t>piccola</w:t>
      </w:r>
      <w:r>
        <w:rPr>
          <w:color w:val="231F20"/>
          <w:spacing w:val="-30"/>
          <w:w w:val="105"/>
        </w:rPr>
        <w:t> </w:t>
      </w:r>
      <w:r>
        <w:rPr>
          <w:color w:val="231F20"/>
          <w:w w:val="105"/>
        </w:rPr>
        <w:t>parte in</w:t>
      </w:r>
      <w:r>
        <w:rPr>
          <w:color w:val="231F20"/>
          <w:spacing w:val="-15"/>
          <w:w w:val="105"/>
        </w:rPr>
        <w:t> </w:t>
      </w:r>
      <w:r>
        <w:rPr>
          <w:color w:val="231F20"/>
          <w:w w:val="105"/>
        </w:rPr>
        <w:t>entrambi</w:t>
      </w:r>
      <w:r>
        <w:rPr>
          <w:color w:val="231F20"/>
          <w:spacing w:val="-15"/>
          <w:w w:val="105"/>
        </w:rPr>
        <w:t> </w:t>
      </w:r>
      <w:r>
        <w:rPr>
          <w:color w:val="231F20"/>
          <w:w w:val="105"/>
        </w:rPr>
        <w:t>i</w:t>
      </w:r>
      <w:r>
        <w:rPr>
          <w:color w:val="231F20"/>
          <w:spacing w:val="-15"/>
          <w:w w:val="105"/>
        </w:rPr>
        <w:t> </w:t>
      </w:r>
      <w:r>
        <w:rPr>
          <w:color w:val="231F20"/>
          <w:w w:val="105"/>
        </w:rPr>
        <w:t>ragionamenti</w:t>
      </w:r>
      <w:r>
        <w:rPr>
          <w:color w:val="231F20"/>
          <w:spacing w:val="-15"/>
          <w:w w:val="105"/>
        </w:rPr>
        <w:t> </w:t>
      </w:r>
      <w:r>
        <w:rPr>
          <w:color w:val="231F20"/>
          <w:w w:val="105"/>
        </w:rPr>
        <w:t>ed</w:t>
      </w:r>
      <w:r>
        <w:rPr>
          <w:color w:val="231F20"/>
          <w:spacing w:val="-15"/>
          <w:w w:val="105"/>
        </w:rPr>
        <w:t> </w:t>
      </w:r>
      <w:r>
        <w:rPr>
          <w:color w:val="231F20"/>
          <w:w w:val="105"/>
        </w:rPr>
        <w:t>è</w:t>
      </w:r>
      <w:r>
        <w:rPr>
          <w:color w:val="231F20"/>
          <w:spacing w:val="-15"/>
          <w:w w:val="105"/>
        </w:rPr>
        <w:t> </w:t>
      </w:r>
      <w:r>
        <w:rPr>
          <w:color w:val="231F20"/>
          <w:w w:val="105"/>
        </w:rPr>
        <w:t>comunque</w:t>
      </w:r>
      <w:r>
        <w:rPr>
          <w:color w:val="231F20"/>
          <w:spacing w:val="-15"/>
          <w:w w:val="105"/>
        </w:rPr>
        <w:t> </w:t>
      </w:r>
      <w:r>
        <w:rPr>
          <w:color w:val="231F20"/>
          <w:w w:val="105"/>
        </w:rPr>
        <w:t>destinato</w:t>
      </w:r>
      <w:r>
        <w:rPr>
          <w:color w:val="231F20"/>
          <w:spacing w:val="-15"/>
          <w:w w:val="105"/>
        </w:rPr>
        <w:t> </w:t>
      </w:r>
      <w:r>
        <w:rPr>
          <w:color w:val="231F20"/>
          <w:w w:val="105"/>
        </w:rPr>
        <w:t>a</w:t>
      </w:r>
      <w:r>
        <w:rPr>
          <w:color w:val="231F20"/>
          <w:spacing w:val="-15"/>
          <w:w w:val="105"/>
        </w:rPr>
        <w:t> </w:t>
      </w:r>
      <w:r>
        <w:rPr>
          <w:color w:val="231F20"/>
          <w:w w:val="105"/>
        </w:rPr>
        <w:t>lasciare</w:t>
      </w:r>
      <w:r>
        <w:rPr>
          <w:color w:val="231F20"/>
          <w:spacing w:val="-15"/>
          <w:w w:val="105"/>
        </w:rPr>
        <w:t> </w:t>
      </w:r>
      <w:r>
        <w:rPr>
          <w:color w:val="231F20"/>
          <w:w w:val="105"/>
        </w:rPr>
        <w:t>spazio</w:t>
      </w:r>
      <w:r>
        <w:rPr>
          <w:color w:val="231F20"/>
          <w:spacing w:val="-15"/>
          <w:w w:val="105"/>
        </w:rPr>
        <w:t> </w:t>
      </w:r>
      <w:r>
        <w:rPr>
          <w:color w:val="231F20"/>
          <w:w w:val="105"/>
        </w:rPr>
        <w:t>ad altro. Che conta è appunto l’approntamento di un nuovo metodo, “per imporre</w:t>
      </w:r>
      <w:r>
        <w:rPr>
          <w:color w:val="231F20"/>
          <w:spacing w:val="-31"/>
          <w:w w:val="105"/>
        </w:rPr>
        <w:t> </w:t>
      </w:r>
      <w:r>
        <w:rPr>
          <w:color w:val="231F20"/>
          <w:w w:val="105"/>
        </w:rPr>
        <w:t>i</w:t>
      </w:r>
      <w:r>
        <w:rPr>
          <w:color w:val="231F20"/>
          <w:spacing w:val="-31"/>
          <w:w w:val="105"/>
        </w:rPr>
        <w:t> </w:t>
      </w:r>
      <w:r>
        <w:rPr>
          <w:color w:val="231F20"/>
          <w:w w:val="105"/>
        </w:rPr>
        <w:t>fondamenti</w:t>
      </w:r>
      <w:r>
        <w:rPr>
          <w:color w:val="231F20"/>
          <w:spacing w:val="-31"/>
          <w:w w:val="105"/>
        </w:rPr>
        <w:t> </w:t>
      </w:r>
      <w:r>
        <w:rPr>
          <w:color w:val="231F20"/>
          <w:w w:val="105"/>
        </w:rPr>
        <w:t>teorici</w:t>
      </w:r>
      <w:r>
        <w:rPr>
          <w:color w:val="231F20"/>
          <w:spacing w:val="-31"/>
          <w:w w:val="105"/>
        </w:rPr>
        <w:t> </w:t>
      </w:r>
      <w:r>
        <w:rPr>
          <w:color w:val="231F20"/>
          <w:w w:val="105"/>
        </w:rPr>
        <w:t>di</w:t>
      </w:r>
      <w:r>
        <w:rPr>
          <w:color w:val="231F20"/>
          <w:spacing w:val="-31"/>
          <w:w w:val="105"/>
        </w:rPr>
        <w:t> </w:t>
      </w:r>
      <w:r>
        <w:rPr>
          <w:color w:val="231F20"/>
          <w:w w:val="105"/>
        </w:rPr>
        <w:t>una</w:t>
      </w:r>
      <w:r>
        <w:rPr>
          <w:color w:val="231F20"/>
          <w:spacing w:val="-31"/>
          <w:w w:val="105"/>
        </w:rPr>
        <w:t> </w:t>
      </w:r>
      <w:r>
        <w:rPr>
          <w:color w:val="231F20"/>
          <w:w w:val="105"/>
        </w:rPr>
        <w:t>nuova</w:t>
      </w:r>
      <w:r>
        <w:rPr>
          <w:color w:val="231F20"/>
          <w:spacing w:val="-31"/>
          <w:w w:val="105"/>
        </w:rPr>
        <w:t> </w:t>
      </w:r>
      <w:r>
        <w:rPr>
          <w:color w:val="231F20"/>
          <w:w w:val="105"/>
        </w:rPr>
        <w:t>civiltà”.</w:t>
      </w:r>
    </w:p>
    <w:p>
      <w:pPr>
        <w:pStyle w:val="BodyText"/>
        <w:spacing w:line="247" w:lineRule="auto" w:before="1"/>
        <w:ind w:left="117" w:right="119" w:firstLine="566"/>
        <w:jc w:val="both"/>
      </w:pPr>
      <w:r>
        <w:rPr>
          <w:color w:val="231F20"/>
        </w:rPr>
        <w:t>Non mi stupisco che la domanda sullo stato dello Stato mi abbia portato a queste conclusioni. Lo Stato infatti è stata cosa molto seria, ma anche</w:t>
      </w:r>
      <w:r>
        <w:rPr>
          <w:color w:val="231F20"/>
          <w:spacing w:val="-18"/>
        </w:rPr>
        <w:t> </w:t>
      </w:r>
      <w:r>
        <w:rPr>
          <w:color w:val="231F20"/>
          <w:spacing w:val="-3"/>
        </w:rPr>
        <w:t>circostanziata.</w:t>
      </w:r>
      <w:r>
        <w:rPr>
          <w:color w:val="231F20"/>
          <w:spacing w:val="-18"/>
        </w:rPr>
        <w:t> </w:t>
      </w:r>
      <w:r>
        <w:rPr>
          <w:color w:val="231F20"/>
        </w:rPr>
        <w:t>E</w:t>
      </w:r>
      <w:r>
        <w:rPr>
          <w:color w:val="231F20"/>
          <w:spacing w:val="-18"/>
        </w:rPr>
        <w:t> </w:t>
      </w:r>
      <w:r>
        <w:rPr>
          <w:color w:val="231F20"/>
        </w:rPr>
        <w:t>se</w:t>
      </w:r>
      <w:r>
        <w:rPr>
          <w:color w:val="231F20"/>
          <w:spacing w:val="-18"/>
        </w:rPr>
        <w:t> </w:t>
      </w:r>
      <w:r>
        <w:rPr>
          <w:color w:val="231F20"/>
        </w:rPr>
        <w:t>le</w:t>
      </w:r>
      <w:r>
        <w:rPr>
          <w:color w:val="231F20"/>
          <w:spacing w:val="-18"/>
        </w:rPr>
        <w:t> </w:t>
      </w:r>
      <w:r>
        <w:rPr>
          <w:color w:val="231F20"/>
          <w:spacing w:val="-3"/>
        </w:rPr>
        <w:t>circostanze</w:t>
      </w:r>
      <w:r>
        <w:rPr>
          <w:color w:val="231F20"/>
          <w:spacing w:val="-18"/>
        </w:rPr>
        <w:t> </w:t>
      </w:r>
      <w:r>
        <w:rPr>
          <w:color w:val="231F20"/>
        </w:rPr>
        <w:t>mutano</w:t>
      </w:r>
      <w:r>
        <w:rPr>
          <w:color w:val="231F20"/>
          <w:spacing w:val="-18"/>
        </w:rPr>
        <w:t> </w:t>
      </w:r>
      <w:r>
        <w:rPr>
          <w:color w:val="231F20"/>
          <w:spacing w:val="-3"/>
        </w:rPr>
        <w:t>profondamente,</w:t>
      </w:r>
      <w:r>
        <w:rPr>
          <w:color w:val="231F20"/>
          <w:spacing w:val="-18"/>
        </w:rPr>
        <w:t> </w:t>
      </w:r>
      <w:r>
        <w:rPr>
          <w:color w:val="231F20"/>
        </w:rPr>
        <w:t>sarà</w:t>
      </w:r>
      <w:r>
        <w:rPr>
          <w:color w:val="231F20"/>
          <w:spacing w:val="-18"/>
        </w:rPr>
        <w:t> </w:t>
      </w:r>
      <w:r>
        <w:rPr>
          <w:color w:val="231F20"/>
        </w:rPr>
        <w:t>difficile che</w:t>
      </w:r>
      <w:r>
        <w:rPr>
          <w:color w:val="231F20"/>
          <w:spacing w:val="-13"/>
        </w:rPr>
        <w:t> </w:t>
      </w:r>
      <w:r>
        <w:rPr>
          <w:color w:val="231F20"/>
          <w:spacing w:val="-3"/>
        </w:rPr>
        <w:t>quella</w:t>
      </w:r>
      <w:r>
        <w:rPr>
          <w:color w:val="231F20"/>
          <w:spacing w:val="-13"/>
        </w:rPr>
        <w:t> </w:t>
      </w:r>
      <w:r>
        <w:rPr>
          <w:color w:val="231F20"/>
          <w:spacing w:val="-3"/>
        </w:rPr>
        <w:t>“cosa”</w:t>
      </w:r>
      <w:r>
        <w:rPr>
          <w:color w:val="231F20"/>
          <w:spacing w:val="-13"/>
        </w:rPr>
        <w:t> </w:t>
      </w:r>
      <w:r>
        <w:rPr>
          <w:color w:val="231F20"/>
          <w:spacing w:val="-3"/>
        </w:rPr>
        <w:t>possa</w:t>
      </w:r>
      <w:r>
        <w:rPr>
          <w:color w:val="231F20"/>
          <w:spacing w:val="-13"/>
        </w:rPr>
        <w:t> </w:t>
      </w:r>
      <w:r>
        <w:rPr>
          <w:color w:val="231F20"/>
          <w:spacing w:val="-4"/>
        </w:rPr>
        <w:t>circostanziarsi</w:t>
      </w:r>
      <w:r>
        <w:rPr>
          <w:color w:val="231F20"/>
          <w:spacing w:val="-13"/>
        </w:rPr>
        <w:t> </w:t>
      </w:r>
      <w:r>
        <w:rPr>
          <w:color w:val="231F20"/>
          <w:spacing w:val="-3"/>
        </w:rPr>
        <w:t>ulteriormente.</w:t>
      </w:r>
      <w:r>
        <w:rPr>
          <w:color w:val="231F20"/>
          <w:spacing w:val="-13"/>
        </w:rPr>
        <w:t> </w:t>
      </w:r>
      <w:r>
        <w:rPr>
          <w:color w:val="231F20"/>
          <w:spacing w:val="-3"/>
        </w:rPr>
        <w:t>Sarà</w:t>
      </w:r>
      <w:r>
        <w:rPr>
          <w:color w:val="231F20"/>
          <w:spacing w:val="-13"/>
        </w:rPr>
        <w:t> </w:t>
      </w:r>
      <w:r>
        <w:rPr>
          <w:color w:val="231F20"/>
          <w:spacing w:val="-3"/>
        </w:rPr>
        <w:t>invece</w:t>
      </w:r>
      <w:r>
        <w:rPr>
          <w:color w:val="231F20"/>
          <w:spacing w:val="-13"/>
        </w:rPr>
        <w:t> </w:t>
      </w:r>
      <w:r>
        <w:rPr>
          <w:color w:val="231F20"/>
          <w:spacing w:val="-3"/>
        </w:rPr>
        <w:t>facile</w:t>
      </w:r>
      <w:r>
        <w:rPr>
          <w:color w:val="231F20"/>
          <w:spacing w:val="-13"/>
        </w:rPr>
        <w:t> </w:t>
      </w:r>
      <w:r>
        <w:rPr>
          <w:color w:val="231F20"/>
        </w:rPr>
        <w:t>che</w:t>
      </w:r>
      <w:r>
        <w:rPr>
          <w:color w:val="231F20"/>
          <w:spacing w:val="-13"/>
        </w:rPr>
        <w:t> </w:t>
      </w:r>
      <w:r>
        <w:rPr>
          <w:color w:val="231F20"/>
          <w:spacing w:val="-3"/>
        </w:rPr>
        <w:t>si </w:t>
      </w:r>
      <w:r>
        <w:rPr>
          <w:color w:val="231F20"/>
          <w:spacing w:val="-4"/>
        </w:rPr>
        <w:t>presentino</w:t>
      </w:r>
      <w:r>
        <w:rPr>
          <w:color w:val="231F20"/>
          <w:spacing w:val="-14"/>
        </w:rPr>
        <w:t> </w:t>
      </w:r>
      <w:r>
        <w:rPr>
          <w:color w:val="231F20"/>
          <w:spacing w:val="-4"/>
        </w:rPr>
        <w:t>circostanziamenti</w:t>
      </w:r>
      <w:r>
        <w:rPr>
          <w:color w:val="231F20"/>
          <w:spacing w:val="-14"/>
        </w:rPr>
        <w:t> </w:t>
      </w:r>
      <w:r>
        <w:rPr>
          <w:color w:val="231F20"/>
          <w:spacing w:val="-4"/>
        </w:rPr>
        <w:t>diversi,</w:t>
      </w:r>
      <w:r>
        <w:rPr>
          <w:color w:val="231F20"/>
          <w:spacing w:val="-14"/>
        </w:rPr>
        <w:t> </w:t>
      </w:r>
      <w:r>
        <w:rPr>
          <w:color w:val="231F20"/>
        </w:rPr>
        <w:t>da</w:t>
      </w:r>
      <w:r>
        <w:rPr>
          <w:color w:val="231F20"/>
          <w:spacing w:val="-14"/>
        </w:rPr>
        <w:t> </w:t>
      </w:r>
      <w:r>
        <w:rPr>
          <w:color w:val="231F20"/>
          <w:spacing w:val="-4"/>
        </w:rPr>
        <w:t>cogliere</w:t>
      </w:r>
      <w:r>
        <w:rPr>
          <w:color w:val="231F20"/>
          <w:spacing w:val="-14"/>
        </w:rPr>
        <w:t> </w:t>
      </w:r>
      <w:r>
        <w:rPr>
          <w:color w:val="231F20"/>
          <w:spacing w:val="-4"/>
        </w:rPr>
        <w:t>nella</w:t>
      </w:r>
      <w:r>
        <w:rPr>
          <w:color w:val="231F20"/>
          <w:spacing w:val="-14"/>
        </w:rPr>
        <w:t> </w:t>
      </w:r>
      <w:r>
        <w:rPr>
          <w:color w:val="231F20"/>
          <w:spacing w:val="-4"/>
        </w:rPr>
        <w:t>loro</w:t>
      </w:r>
      <w:r>
        <w:rPr>
          <w:color w:val="231F20"/>
          <w:spacing w:val="-14"/>
        </w:rPr>
        <w:t> </w:t>
      </w:r>
      <w:r>
        <w:rPr>
          <w:color w:val="231F20"/>
          <w:spacing w:val="-4"/>
        </w:rPr>
        <w:t>novità,</w:t>
      </w:r>
      <w:r>
        <w:rPr>
          <w:color w:val="231F20"/>
          <w:spacing w:val="-14"/>
        </w:rPr>
        <w:t> </w:t>
      </w:r>
      <w:r>
        <w:rPr>
          <w:color w:val="231F20"/>
          <w:spacing w:val="-4"/>
        </w:rPr>
        <w:t>sapendo</w:t>
      </w:r>
      <w:r>
        <w:rPr>
          <w:color w:val="231F20"/>
          <w:spacing w:val="-14"/>
        </w:rPr>
        <w:t> </w:t>
      </w:r>
      <w:r>
        <w:rPr>
          <w:color w:val="231F20"/>
          <w:spacing w:val="-4"/>
        </w:rPr>
        <w:t>che </w:t>
      </w:r>
      <w:r>
        <w:rPr>
          <w:color w:val="231F20"/>
        </w:rPr>
        <w:t>quest’ultima</w:t>
      </w:r>
      <w:r>
        <w:rPr>
          <w:color w:val="231F20"/>
          <w:spacing w:val="-16"/>
        </w:rPr>
        <w:t> </w:t>
      </w:r>
      <w:r>
        <w:rPr>
          <w:color w:val="231F20"/>
        </w:rPr>
        <w:t>potrà</w:t>
      </w:r>
      <w:r>
        <w:rPr>
          <w:color w:val="231F20"/>
          <w:spacing w:val="-16"/>
        </w:rPr>
        <w:t> </w:t>
      </w:r>
      <w:r>
        <w:rPr>
          <w:color w:val="231F20"/>
          <w:spacing w:val="-3"/>
        </w:rPr>
        <w:t>sempre</w:t>
      </w:r>
      <w:r>
        <w:rPr>
          <w:color w:val="231F20"/>
          <w:spacing w:val="-16"/>
        </w:rPr>
        <w:t> </w:t>
      </w:r>
      <w:r>
        <w:rPr>
          <w:color w:val="231F20"/>
          <w:spacing w:val="-3"/>
        </w:rPr>
        <w:t>essere</w:t>
      </w:r>
      <w:r>
        <w:rPr>
          <w:color w:val="231F20"/>
          <w:spacing w:val="-16"/>
        </w:rPr>
        <w:t> </w:t>
      </w:r>
      <w:r>
        <w:rPr>
          <w:color w:val="231F20"/>
        </w:rPr>
        <w:t>solo</w:t>
      </w:r>
      <w:r>
        <w:rPr>
          <w:color w:val="231F20"/>
          <w:spacing w:val="-16"/>
        </w:rPr>
        <w:t> </w:t>
      </w:r>
      <w:r>
        <w:rPr>
          <w:color w:val="231F20"/>
          <w:spacing w:val="-2"/>
        </w:rPr>
        <w:t>relativa.</w:t>
      </w:r>
      <w:r>
        <w:rPr>
          <w:color w:val="231F20"/>
          <w:spacing w:val="-16"/>
        </w:rPr>
        <w:t> </w:t>
      </w:r>
      <w:r>
        <w:rPr>
          <w:color w:val="231F20"/>
        </w:rPr>
        <w:t>Nella</w:t>
      </w:r>
      <w:r>
        <w:rPr>
          <w:color w:val="231F20"/>
          <w:spacing w:val="-16"/>
        </w:rPr>
        <w:t> </w:t>
      </w:r>
      <w:r>
        <w:rPr>
          <w:color w:val="231F20"/>
          <w:spacing w:val="-3"/>
        </w:rPr>
        <w:t>ricerca</w:t>
      </w:r>
      <w:r>
        <w:rPr>
          <w:color w:val="231F20"/>
          <w:spacing w:val="-16"/>
        </w:rPr>
        <w:t> </w:t>
      </w:r>
      <w:r>
        <w:rPr>
          <w:color w:val="231F20"/>
        </w:rPr>
        <w:t>andranno</w:t>
      </w:r>
      <w:r>
        <w:rPr>
          <w:color w:val="231F20"/>
          <w:spacing w:val="-16"/>
        </w:rPr>
        <w:t> </w:t>
      </w:r>
      <w:r>
        <w:rPr>
          <w:color w:val="231F20"/>
        </w:rPr>
        <w:t>tenuti presenti</w:t>
      </w:r>
      <w:r>
        <w:rPr>
          <w:color w:val="231F20"/>
          <w:spacing w:val="-13"/>
        </w:rPr>
        <w:t> </w:t>
      </w:r>
      <w:r>
        <w:rPr>
          <w:color w:val="231F20"/>
        </w:rPr>
        <w:t>tutti</w:t>
      </w:r>
      <w:r>
        <w:rPr>
          <w:color w:val="231F20"/>
          <w:spacing w:val="-13"/>
        </w:rPr>
        <w:t> </w:t>
      </w:r>
      <w:r>
        <w:rPr>
          <w:color w:val="231F20"/>
        </w:rPr>
        <w:t>gli</w:t>
      </w:r>
      <w:r>
        <w:rPr>
          <w:color w:val="231F20"/>
          <w:spacing w:val="-13"/>
        </w:rPr>
        <w:t> </w:t>
      </w:r>
      <w:r>
        <w:rPr>
          <w:color w:val="231F20"/>
        </w:rPr>
        <w:t>ingredienti</w:t>
      </w:r>
      <w:r>
        <w:rPr>
          <w:color w:val="231F20"/>
          <w:spacing w:val="-13"/>
        </w:rPr>
        <w:t> </w:t>
      </w:r>
      <w:r>
        <w:rPr>
          <w:color w:val="231F20"/>
        </w:rPr>
        <w:t>che</w:t>
      </w:r>
      <w:r>
        <w:rPr>
          <w:color w:val="231F20"/>
          <w:spacing w:val="-13"/>
        </w:rPr>
        <w:t> </w:t>
      </w:r>
      <w:r>
        <w:rPr>
          <w:color w:val="231F20"/>
        </w:rPr>
        <w:t>hanno</w:t>
      </w:r>
      <w:r>
        <w:rPr>
          <w:color w:val="231F20"/>
          <w:spacing w:val="-13"/>
        </w:rPr>
        <w:t> </w:t>
      </w:r>
      <w:r>
        <w:rPr>
          <w:color w:val="231F20"/>
        </w:rPr>
        <w:t>fatto</w:t>
      </w:r>
      <w:r>
        <w:rPr>
          <w:color w:val="231F20"/>
          <w:spacing w:val="-13"/>
        </w:rPr>
        <w:t> </w:t>
      </w:r>
      <w:r>
        <w:rPr>
          <w:color w:val="231F20"/>
        </w:rPr>
        <w:t>dello</w:t>
      </w:r>
      <w:r>
        <w:rPr>
          <w:color w:val="231F20"/>
          <w:spacing w:val="-13"/>
        </w:rPr>
        <w:t> </w:t>
      </w:r>
      <w:r>
        <w:rPr>
          <w:color w:val="231F20"/>
        </w:rPr>
        <w:t>Stato,</w:t>
      </w:r>
      <w:r>
        <w:rPr>
          <w:color w:val="231F20"/>
          <w:spacing w:val="-13"/>
        </w:rPr>
        <w:t> </w:t>
      </w:r>
      <w:r>
        <w:rPr>
          <w:color w:val="231F20"/>
        </w:rPr>
        <w:t>per</w:t>
      </w:r>
      <w:r>
        <w:rPr>
          <w:color w:val="231F20"/>
          <w:spacing w:val="-13"/>
        </w:rPr>
        <w:t> </w:t>
      </w:r>
      <w:r>
        <w:rPr>
          <w:color w:val="231F20"/>
        </w:rPr>
        <w:t>qualche</w:t>
      </w:r>
      <w:r>
        <w:rPr>
          <w:color w:val="231F20"/>
          <w:spacing w:val="-13"/>
        </w:rPr>
        <w:t> </w:t>
      </w:r>
      <w:r>
        <w:rPr>
          <w:color w:val="231F20"/>
        </w:rPr>
        <w:t>secolo, la figura principale della politica nella sua versione moderna e </w:t>
      </w:r>
      <w:r>
        <w:rPr>
          <w:color w:val="231F20"/>
          <w:spacing w:val="-2"/>
        </w:rPr>
        <w:t>occidentale: </w:t>
      </w:r>
      <w:r>
        <w:rPr>
          <w:color w:val="231F20"/>
        </w:rPr>
        <w:t>dalla</w:t>
      </w:r>
      <w:r>
        <w:rPr>
          <w:color w:val="231F20"/>
          <w:spacing w:val="-9"/>
        </w:rPr>
        <w:t> </w:t>
      </w:r>
      <w:r>
        <w:rPr>
          <w:color w:val="231F20"/>
        </w:rPr>
        <w:t>centralità</w:t>
      </w:r>
      <w:r>
        <w:rPr>
          <w:color w:val="231F20"/>
          <w:spacing w:val="-9"/>
        </w:rPr>
        <w:t> </w:t>
      </w:r>
      <w:r>
        <w:rPr>
          <w:color w:val="231F20"/>
        </w:rPr>
        <w:t>della</w:t>
      </w:r>
      <w:r>
        <w:rPr>
          <w:color w:val="231F20"/>
          <w:spacing w:val="-9"/>
        </w:rPr>
        <w:t> </w:t>
      </w:r>
      <w:r>
        <w:rPr>
          <w:color w:val="231F20"/>
        </w:rPr>
        <w:t>persona</w:t>
      </w:r>
      <w:r>
        <w:rPr>
          <w:color w:val="231F20"/>
          <w:spacing w:val="-9"/>
        </w:rPr>
        <w:t> </w:t>
      </w:r>
      <w:r>
        <w:rPr>
          <w:color w:val="231F20"/>
        </w:rPr>
        <w:t>ai</w:t>
      </w:r>
      <w:r>
        <w:rPr>
          <w:color w:val="231F20"/>
          <w:spacing w:val="-9"/>
        </w:rPr>
        <w:t> </w:t>
      </w:r>
      <w:r>
        <w:rPr>
          <w:color w:val="231F20"/>
        </w:rPr>
        <w:t>suoi</w:t>
      </w:r>
      <w:r>
        <w:rPr>
          <w:color w:val="231F20"/>
          <w:spacing w:val="-9"/>
        </w:rPr>
        <w:t> </w:t>
      </w:r>
      <w:r>
        <w:rPr>
          <w:color w:val="231F20"/>
          <w:spacing w:val="-2"/>
        </w:rPr>
        <w:t>requisiti</w:t>
      </w:r>
      <w:r>
        <w:rPr>
          <w:color w:val="231F20"/>
          <w:spacing w:val="-9"/>
        </w:rPr>
        <w:t> </w:t>
      </w:r>
      <w:r>
        <w:rPr>
          <w:color w:val="231F20"/>
        </w:rPr>
        <w:t>fondamentali</w:t>
      </w:r>
      <w:r>
        <w:rPr>
          <w:color w:val="231F20"/>
          <w:spacing w:val="-9"/>
        </w:rPr>
        <w:t> </w:t>
      </w:r>
      <w:r>
        <w:rPr>
          <w:color w:val="231F20"/>
        </w:rPr>
        <w:t>di</w:t>
      </w:r>
      <w:r>
        <w:rPr>
          <w:color w:val="231F20"/>
          <w:spacing w:val="-9"/>
        </w:rPr>
        <w:t> </w:t>
      </w:r>
      <w:r>
        <w:rPr>
          <w:color w:val="231F20"/>
        </w:rPr>
        <w:t>uguaglianza</w:t>
      </w:r>
      <w:r>
        <w:rPr>
          <w:color w:val="231F20"/>
          <w:spacing w:val="-9"/>
        </w:rPr>
        <w:t> </w:t>
      </w:r>
      <w:r>
        <w:rPr>
          <w:color w:val="231F20"/>
        </w:rPr>
        <w:t>e libertà,</w:t>
      </w:r>
      <w:r>
        <w:rPr>
          <w:color w:val="231F20"/>
          <w:spacing w:val="-18"/>
        </w:rPr>
        <w:t> </w:t>
      </w:r>
      <w:r>
        <w:rPr>
          <w:color w:val="231F20"/>
        </w:rPr>
        <w:t>dall’esigenza</w:t>
      </w:r>
      <w:r>
        <w:rPr>
          <w:color w:val="231F20"/>
          <w:spacing w:val="-18"/>
        </w:rPr>
        <w:t> </w:t>
      </w:r>
      <w:r>
        <w:rPr>
          <w:color w:val="231F20"/>
        </w:rPr>
        <w:t>primaria</w:t>
      </w:r>
      <w:r>
        <w:rPr>
          <w:color w:val="231F20"/>
          <w:spacing w:val="-18"/>
        </w:rPr>
        <w:t> </w:t>
      </w:r>
      <w:r>
        <w:rPr>
          <w:color w:val="231F20"/>
        </w:rPr>
        <w:t>di</w:t>
      </w:r>
      <w:r>
        <w:rPr>
          <w:color w:val="231F20"/>
          <w:spacing w:val="-18"/>
        </w:rPr>
        <w:t> </w:t>
      </w:r>
      <w:r>
        <w:rPr>
          <w:color w:val="231F20"/>
          <w:spacing w:val="-3"/>
        </w:rPr>
        <w:t>sicurezza</w:t>
      </w:r>
      <w:r>
        <w:rPr>
          <w:color w:val="231F20"/>
          <w:spacing w:val="-18"/>
        </w:rPr>
        <w:t> </w:t>
      </w:r>
      <w:r>
        <w:rPr>
          <w:color w:val="231F20"/>
        </w:rPr>
        <w:t>e</w:t>
      </w:r>
      <w:r>
        <w:rPr>
          <w:color w:val="231F20"/>
          <w:spacing w:val="-18"/>
        </w:rPr>
        <w:t> </w:t>
      </w:r>
      <w:r>
        <w:rPr>
          <w:color w:val="231F20"/>
        </w:rPr>
        <w:t>di</w:t>
      </w:r>
      <w:r>
        <w:rPr>
          <w:color w:val="231F20"/>
          <w:spacing w:val="-18"/>
        </w:rPr>
        <w:t> </w:t>
      </w:r>
      <w:r>
        <w:rPr>
          <w:color w:val="231F20"/>
        </w:rPr>
        <w:t>pace</w:t>
      </w:r>
      <w:r>
        <w:rPr>
          <w:color w:val="231F20"/>
          <w:spacing w:val="-18"/>
        </w:rPr>
        <w:t> </w:t>
      </w:r>
      <w:r>
        <w:rPr>
          <w:color w:val="231F20"/>
        </w:rPr>
        <w:t>alle</w:t>
      </w:r>
      <w:r>
        <w:rPr>
          <w:color w:val="231F20"/>
          <w:spacing w:val="-18"/>
        </w:rPr>
        <w:t> </w:t>
      </w:r>
      <w:r>
        <w:rPr>
          <w:color w:val="231F20"/>
          <w:spacing w:val="-3"/>
        </w:rPr>
        <w:t>premesse</w:t>
      </w:r>
      <w:r>
        <w:rPr>
          <w:color w:val="231F20"/>
          <w:spacing w:val="-18"/>
        </w:rPr>
        <w:t> </w:t>
      </w:r>
      <w:r>
        <w:rPr>
          <w:color w:val="231F20"/>
        </w:rPr>
        <w:t>di</w:t>
      </w:r>
      <w:r>
        <w:rPr>
          <w:color w:val="231F20"/>
          <w:spacing w:val="-18"/>
        </w:rPr>
        <w:t> </w:t>
      </w:r>
      <w:r>
        <w:rPr>
          <w:color w:val="231F20"/>
        </w:rPr>
        <w:t>giustizia e</w:t>
      </w:r>
      <w:r>
        <w:rPr>
          <w:color w:val="231F20"/>
          <w:spacing w:val="-9"/>
        </w:rPr>
        <w:t> </w:t>
      </w:r>
      <w:r>
        <w:rPr>
          <w:color w:val="231F20"/>
        </w:rPr>
        <w:t>di</w:t>
      </w:r>
      <w:r>
        <w:rPr>
          <w:color w:val="231F20"/>
          <w:spacing w:val="-9"/>
        </w:rPr>
        <w:t> </w:t>
      </w:r>
      <w:r>
        <w:rPr>
          <w:color w:val="231F20"/>
          <w:spacing w:val="-3"/>
        </w:rPr>
        <w:t>comune,</w:t>
      </w:r>
      <w:r>
        <w:rPr>
          <w:color w:val="231F20"/>
          <w:spacing w:val="-9"/>
        </w:rPr>
        <w:t> </w:t>
      </w:r>
      <w:r>
        <w:rPr>
          <w:color w:val="231F20"/>
          <w:spacing w:val="-3"/>
        </w:rPr>
        <w:t>dall’importanza</w:t>
      </w:r>
      <w:r>
        <w:rPr>
          <w:color w:val="231F20"/>
          <w:spacing w:val="-9"/>
        </w:rPr>
        <w:t> </w:t>
      </w:r>
      <w:r>
        <w:rPr>
          <w:color w:val="231F20"/>
        </w:rPr>
        <w:t>del</w:t>
      </w:r>
      <w:r>
        <w:rPr>
          <w:color w:val="231F20"/>
          <w:spacing w:val="-9"/>
        </w:rPr>
        <w:t> </w:t>
      </w:r>
      <w:r>
        <w:rPr>
          <w:color w:val="231F20"/>
          <w:spacing w:val="-3"/>
        </w:rPr>
        <w:t>diritto</w:t>
      </w:r>
      <w:r>
        <w:rPr>
          <w:color w:val="231F20"/>
          <w:spacing w:val="-9"/>
        </w:rPr>
        <w:t> </w:t>
      </w:r>
      <w:r>
        <w:rPr>
          <w:color w:val="231F20"/>
        </w:rPr>
        <w:t>e</w:t>
      </w:r>
      <w:r>
        <w:rPr>
          <w:color w:val="231F20"/>
          <w:spacing w:val="-9"/>
        </w:rPr>
        <w:t> </w:t>
      </w:r>
      <w:r>
        <w:rPr>
          <w:color w:val="231F20"/>
        </w:rPr>
        <w:t>dei</w:t>
      </w:r>
      <w:r>
        <w:rPr>
          <w:color w:val="231F20"/>
          <w:spacing w:val="-9"/>
        </w:rPr>
        <w:t> </w:t>
      </w:r>
      <w:r>
        <w:rPr>
          <w:color w:val="231F20"/>
          <w:spacing w:val="-3"/>
        </w:rPr>
        <w:t>diritti</w:t>
      </w:r>
      <w:r>
        <w:rPr>
          <w:color w:val="231F20"/>
          <w:spacing w:val="-9"/>
        </w:rPr>
        <w:t> </w:t>
      </w:r>
      <w:r>
        <w:rPr>
          <w:color w:val="231F20"/>
          <w:spacing w:val="-3"/>
        </w:rPr>
        <w:t>alle</w:t>
      </w:r>
      <w:r>
        <w:rPr>
          <w:color w:val="231F20"/>
          <w:spacing w:val="-9"/>
        </w:rPr>
        <w:t> </w:t>
      </w:r>
      <w:r>
        <w:rPr>
          <w:color w:val="231F20"/>
          <w:spacing w:val="-3"/>
        </w:rPr>
        <w:t>funzioni</w:t>
      </w:r>
      <w:r>
        <w:rPr>
          <w:color w:val="231F20"/>
          <w:spacing w:val="-9"/>
        </w:rPr>
        <w:t> </w:t>
      </w:r>
      <w:r>
        <w:rPr>
          <w:color w:val="231F20"/>
          <w:spacing w:val="-3"/>
        </w:rPr>
        <w:t>democratiche </w:t>
      </w:r>
      <w:r>
        <w:rPr>
          <w:color w:val="231F20"/>
        </w:rPr>
        <w:t>classiche di partecipazione e </w:t>
      </w:r>
      <w:r>
        <w:rPr>
          <w:color w:val="231F20"/>
          <w:spacing w:val="-3"/>
        </w:rPr>
        <w:t>rappresentanza. </w:t>
      </w:r>
      <w:r>
        <w:rPr>
          <w:color w:val="231F20"/>
        </w:rPr>
        <w:t>Ma non basterà. </w:t>
      </w:r>
      <w:r>
        <w:rPr>
          <w:color w:val="231F20"/>
          <w:spacing w:val="-3"/>
        </w:rPr>
        <w:t>Sapere </w:t>
      </w:r>
      <w:r>
        <w:rPr>
          <w:color w:val="231F20"/>
        </w:rPr>
        <w:t>cosa </w:t>
      </w:r>
      <w:r>
        <w:rPr>
          <w:color w:val="231F20"/>
          <w:spacing w:val="-3"/>
        </w:rPr>
        <w:t>ricercare </w:t>
      </w:r>
      <w:r>
        <w:rPr>
          <w:color w:val="231F20"/>
        </w:rPr>
        <w:t>d’altro è esattamente il compito di noi </w:t>
      </w:r>
      <w:r>
        <w:rPr>
          <w:color w:val="231F20"/>
          <w:spacing w:val="-3"/>
        </w:rPr>
        <w:t>ricercatori: purché </w:t>
      </w:r>
      <w:r>
        <w:rPr>
          <w:color w:val="231F20"/>
        </w:rPr>
        <w:t>si tratti </w:t>
      </w:r>
      <w:r>
        <w:rPr>
          <w:color w:val="231F20"/>
          <w:spacing w:val="-4"/>
        </w:rPr>
        <w:t>comunque </w:t>
      </w:r>
      <w:r>
        <w:rPr>
          <w:color w:val="231F20"/>
        </w:rPr>
        <w:t>di </w:t>
      </w:r>
      <w:r>
        <w:rPr>
          <w:color w:val="231F20"/>
          <w:spacing w:val="-4"/>
        </w:rPr>
        <w:t>“sociable discourse”, </w:t>
      </w:r>
      <w:r>
        <w:rPr>
          <w:color w:val="231F20"/>
          <w:spacing w:val="-3"/>
        </w:rPr>
        <w:t>nel </w:t>
      </w:r>
      <w:r>
        <w:rPr>
          <w:color w:val="231F20"/>
          <w:spacing w:val="-4"/>
        </w:rPr>
        <w:t>senso </w:t>
      </w:r>
      <w:r>
        <w:rPr>
          <w:color w:val="231F20"/>
          <w:spacing w:val="-3"/>
        </w:rPr>
        <w:t>che gli dava </w:t>
      </w:r>
      <w:r>
        <w:rPr>
          <w:color w:val="231F20"/>
          <w:spacing w:val="-5"/>
        </w:rPr>
        <w:t>Margaret </w:t>
      </w:r>
      <w:r>
        <w:rPr>
          <w:color w:val="231F20"/>
          <w:spacing w:val="-4"/>
        </w:rPr>
        <w:t>Cavendish </w:t>
      </w:r>
      <w:r>
        <w:rPr>
          <w:color w:val="231F20"/>
          <w:spacing w:val="-3"/>
        </w:rPr>
        <w:t>circa trecento </w:t>
      </w:r>
      <w:r>
        <w:rPr>
          <w:color w:val="231F20"/>
        </w:rPr>
        <w:t>anni fa: “as being </w:t>
      </w:r>
      <w:r>
        <w:rPr>
          <w:color w:val="231F20"/>
          <w:spacing w:val="-3"/>
        </w:rPr>
        <w:t>more</w:t>
      </w:r>
      <w:r>
        <w:rPr>
          <w:color w:val="231F20"/>
          <w:spacing w:val="-9"/>
        </w:rPr>
        <w:t> </w:t>
      </w:r>
      <w:r>
        <w:rPr>
          <w:color w:val="231F20"/>
        </w:rPr>
        <w:t>conceivable”</w:t>
      </w:r>
      <w:r>
        <w:rPr>
          <w:color w:val="231F20"/>
          <w:position w:val="7"/>
          <w:sz w:val="12"/>
        </w:rPr>
        <w:t>51</w:t>
      </w:r>
      <w:r>
        <w:rPr>
          <w:color w:val="231F20"/>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r>
        <w:rPr/>
        <w:pict>
          <v:line style="position:absolute;mso-position-horizontal-relative:page;mso-position-vertical-relative:paragraph;z-index:13144;mso-wrap-distance-left:0;mso-wrap-distance-right:0" from="70.866096pt,13.300735pt" to="184.252096pt,13.300735pt" stroked="true" strokeweight=".3pt" strokecolor="#231f20">
            <w10:wrap type="topAndBottom"/>
          </v:line>
        </w:pict>
      </w:r>
    </w:p>
    <w:p>
      <w:pPr>
        <w:spacing w:line="204" w:lineRule="exact" w:before="9"/>
        <w:ind w:left="117" w:right="121" w:firstLine="0"/>
        <w:jc w:val="both"/>
        <w:rPr>
          <w:rFonts w:ascii="Calibri" w:hAnsi="Calibri"/>
          <w:sz w:val="17"/>
        </w:rPr>
      </w:pPr>
      <w:r>
        <w:rPr>
          <w:rFonts w:ascii="Calibri" w:hAnsi="Calibri"/>
          <w:color w:val="231F20"/>
          <w:w w:val="105"/>
          <w:position w:val="6"/>
          <w:sz w:val="10"/>
        </w:rPr>
        <w:t>51 </w:t>
      </w:r>
      <w:r>
        <w:rPr>
          <w:rFonts w:ascii="Calibri" w:hAnsi="Calibri"/>
          <w:color w:val="231F20"/>
          <w:w w:val="105"/>
          <w:sz w:val="17"/>
        </w:rPr>
        <w:t>Sto</w:t>
      </w:r>
      <w:r>
        <w:rPr>
          <w:rFonts w:ascii="Calibri" w:hAnsi="Calibri"/>
          <w:color w:val="231F20"/>
          <w:spacing w:val="-17"/>
          <w:w w:val="105"/>
          <w:sz w:val="17"/>
        </w:rPr>
        <w:t> </w:t>
      </w:r>
      <w:r>
        <w:rPr>
          <w:rFonts w:ascii="Calibri" w:hAnsi="Calibri"/>
          <w:color w:val="231F20"/>
          <w:w w:val="105"/>
          <w:sz w:val="17"/>
        </w:rPr>
        <w:t>citando</w:t>
      </w:r>
      <w:r>
        <w:rPr>
          <w:rFonts w:ascii="Calibri" w:hAnsi="Calibri"/>
          <w:color w:val="231F20"/>
          <w:spacing w:val="-17"/>
          <w:w w:val="105"/>
          <w:sz w:val="17"/>
        </w:rPr>
        <w:t> </w:t>
      </w:r>
      <w:r>
        <w:rPr>
          <w:rFonts w:ascii="Calibri" w:hAnsi="Calibri"/>
          <w:color w:val="231F20"/>
          <w:w w:val="105"/>
          <w:sz w:val="17"/>
        </w:rPr>
        <w:t>da</w:t>
      </w:r>
      <w:r>
        <w:rPr>
          <w:rFonts w:ascii="Calibri" w:hAnsi="Calibri"/>
          <w:color w:val="231F20"/>
          <w:spacing w:val="-17"/>
          <w:w w:val="105"/>
          <w:sz w:val="17"/>
        </w:rPr>
        <w:t> </w:t>
      </w:r>
      <w:r>
        <w:rPr>
          <w:rFonts w:ascii="Calibri" w:hAnsi="Calibri"/>
          <w:color w:val="231F20"/>
          <w:w w:val="105"/>
          <w:sz w:val="17"/>
        </w:rPr>
        <w:t>Ch.</w:t>
      </w:r>
      <w:r>
        <w:rPr>
          <w:rFonts w:ascii="Calibri" w:hAnsi="Calibri"/>
          <w:color w:val="231F20"/>
          <w:spacing w:val="-17"/>
          <w:w w:val="105"/>
          <w:sz w:val="17"/>
        </w:rPr>
        <w:t> </w:t>
      </w:r>
      <w:r>
        <w:rPr>
          <w:rFonts w:ascii="Calibri" w:hAnsi="Calibri"/>
          <w:color w:val="231F20"/>
          <w:w w:val="105"/>
          <w:sz w:val="17"/>
        </w:rPr>
        <w:t>Malcolmson,</w:t>
      </w:r>
      <w:r>
        <w:rPr>
          <w:rFonts w:ascii="Calibri" w:hAnsi="Calibri"/>
          <w:color w:val="231F20"/>
          <w:spacing w:val="-17"/>
          <w:w w:val="105"/>
          <w:sz w:val="17"/>
        </w:rPr>
        <w:t> </w:t>
      </w:r>
      <w:r>
        <w:rPr>
          <w:rFonts w:ascii="Calibri" w:hAnsi="Calibri"/>
          <w:color w:val="231F20"/>
          <w:w w:val="105"/>
          <w:sz w:val="17"/>
        </w:rPr>
        <w:t>“Christine</w:t>
      </w:r>
      <w:r>
        <w:rPr>
          <w:rFonts w:ascii="Calibri" w:hAnsi="Calibri"/>
          <w:color w:val="231F20"/>
          <w:spacing w:val="-17"/>
          <w:w w:val="105"/>
          <w:sz w:val="17"/>
        </w:rPr>
        <w:t> </w:t>
      </w:r>
      <w:r>
        <w:rPr>
          <w:rFonts w:ascii="Calibri" w:hAnsi="Calibri"/>
          <w:color w:val="231F20"/>
          <w:w w:val="105"/>
          <w:sz w:val="17"/>
        </w:rPr>
        <w:t>de</w:t>
      </w:r>
      <w:r>
        <w:rPr>
          <w:rFonts w:ascii="Calibri" w:hAnsi="Calibri"/>
          <w:color w:val="231F20"/>
          <w:spacing w:val="-17"/>
          <w:w w:val="105"/>
          <w:sz w:val="17"/>
        </w:rPr>
        <w:t> </w:t>
      </w:r>
      <w:r>
        <w:rPr>
          <w:rFonts w:ascii="Calibri" w:hAnsi="Calibri"/>
          <w:color w:val="231F20"/>
          <w:w w:val="105"/>
          <w:sz w:val="17"/>
        </w:rPr>
        <w:t>Pizan’s</w:t>
      </w:r>
      <w:r>
        <w:rPr>
          <w:rFonts w:ascii="Calibri" w:hAnsi="Calibri"/>
          <w:color w:val="231F20"/>
          <w:spacing w:val="-17"/>
          <w:w w:val="105"/>
          <w:sz w:val="17"/>
        </w:rPr>
        <w:t> </w:t>
      </w:r>
      <w:r>
        <w:rPr>
          <w:rFonts w:ascii="Calibri" w:hAnsi="Calibri"/>
          <w:color w:val="231F20"/>
          <w:w w:val="105"/>
          <w:sz w:val="17"/>
        </w:rPr>
        <w:t>City</w:t>
      </w:r>
      <w:r>
        <w:rPr>
          <w:rFonts w:ascii="Calibri" w:hAnsi="Calibri"/>
          <w:color w:val="231F20"/>
          <w:spacing w:val="-17"/>
          <w:w w:val="105"/>
          <w:sz w:val="17"/>
        </w:rPr>
        <w:t> </w:t>
      </w:r>
      <w:r>
        <w:rPr>
          <w:rFonts w:ascii="Calibri" w:hAnsi="Calibri"/>
          <w:color w:val="231F20"/>
          <w:w w:val="105"/>
          <w:sz w:val="17"/>
        </w:rPr>
        <w:t>of</w:t>
      </w:r>
      <w:r>
        <w:rPr>
          <w:rFonts w:ascii="Calibri" w:hAnsi="Calibri"/>
          <w:color w:val="231F20"/>
          <w:spacing w:val="-17"/>
          <w:w w:val="105"/>
          <w:sz w:val="17"/>
        </w:rPr>
        <w:t> </w:t>
      </w:r>
      <w:r>
        <w:rPr>
          <w:rFonts w:ascii="Calibri" w:hAnsi="Calibri"/>
          <w:color w:val="231F20"/>
          <w:w w:val="105"/>
          <w:sz w:val="17"/>
        </w:rPr>
        <w:t>Ladies</w:t>
      </w:r>
      <w:r>
        <w:rPr>
          <w:rFonts w:ascii="Calibri" w:hAnsi="Calibri"/>
          <w:color w:val="231F20"/>
          <w:spacing w:val="-17"/>
          <w:w w:val="105"/>
          <w:sz w:val="17"/>
        </w:rPr>
        <w:t> </w:t>
      </w:r>
      <w:r>
        <w:rPr>
          <w:rFonts w:ascii="Calibri" w:hAnsi="Calibri"/>
          <w:color w:val="231F20"/>
          <w:w w:val="105"/>
          <w:sz w:val="17"/>
        </w:rPr>
        <w:t>in</w:t>
      </w:r>
      <w:r>
        <w:rPr>
          <w:rFonts w:ascii="Calibri" w:hAnsi="Calibri"/>
          <w:color w:val="231F20"/>
          <w:spacing w:val="-17"/>
          <w:w w:val="105"/>
          <w:sz w:val="17"/>
        </w:rPr>
        <w:t> </w:t>
      </w:r>
      <w:r>
        <w:rPr>
          <w:rFonts w:ascii="Calibri" w:hAnsi="Calibri"/>
          <w:color w:val="231F20"/>
          <w:w w:val="105"/>
          <w:sz w:val="17"/>
        </w:rPr>
        <w:t>Early</w:t>
      </w:r>
      <w:r>
        <w:rPr>
          <w:rFonts w:ascii="Calibri" w:hAnsi="Calibri"/>
          <w:color w:val="231F20"/>
          <w:spacing w:val="-17"/>
          <w:w w:val="105"/>
          <w:sz w:val="17"/>
        </w:rPr>
        <w:t> </w:t>
      </w:r>
      <w:r>
        <w:rPr>
          <w:rFonts w:ascii="Calibri" w:hAnsi="Calibri"/>
          <w:color w:val="231F20"/>
          <w:w w:val="105"/>
          <w:sz w:val="17"/>
        </w:rPr>
        <w:t>Modern</w:t>
      </w:r>
      <w:r>
        <w:rPr>
          <w:rFonts w:ascii="Calibri" w:hAnsi="Calibri"/>
          <w:color w:val="231F20"/>
          <w:spacing w:val="-17"/>
          <w:w w:val="105"/>
          <w:sz w:val="17"/>
        </w:rPr>
        <w:t> </w:t>
      </w:r>
      <w:r>
        <w:rPr>
          <w:rFonts w:ascii="Calibri" w:hAnsi="Calibri"/>
          <w:color w:val="231F20"/>
          <w:w w:val="105"/>
          <w:sz w:val="17"/>
        </w:rPr>
        <w:t>England”,</w:t>
      </w:r>
      <w:r>
        <w:rPr>
          <w:rFonts w:ascii="Calibri" w:hAnsi="Calibri"/>
          <w:color w:val="231F20"/>
          <w:spacing w:val="-17"/>
          <w:w w:val="105"/>
          <w:sz w:val="17"/>
        </w:rPr>
        <w:t> </w:t>
      </w:r>
      <w:r>
        <w:rPr>
          <w:rFonts w:ascii="Calibri" w:hAnsi="Calibri"/>
          <w:color w:val="231F20"/>
          <w:w w:val="105"/>
          <w:sz w:val="17"/>
        </w:rPr>
        <w:t>Ch. Malcolmson</w:t>
      </w:r>
      <w:r>
        <w:rPr>
          <w:rFonts w:ascii="Calibri" w:hAnsi="Calibri"/>
          <w:color w:val="231F20"/>
          <w:spacing w:val="-12"/>
          <w:w w:val="105"/>
          <w:sz w:val="17"/>
        </w:rPr>
        <w:t> </w:t>
      </w:r>
      <w:r>
        <w:rPr>
          <w:rFonts w:ascii="Calibri" w:hAnsi="Calibri"/>
          <w:color w:val="231F20"/>
          <w:w w:val="105"/>
          <w:sz w:val="17"/>
        </w:rPr>
        <w:t>y</w:t>
      </w:r>
      <w:r>
        <w:rPr>
          <w:rFonts w:ascii="Calibri" w:hAnsi="Calibri"/>
          <w:color w:val="231F20"/>
          <w:spacing w:val="-11"/>
          <w:w w:val="105"/>
          <w:sz w:val="17"/>
        </w:rPr>
        <w:t> </w:t>
      </w:r>
      <w:r>
        <w:rPr>
          <w:rFonts w:ascii="Calibri" w:hAnsi="Calibri"/>
          <w:color w:val="231F20"/>
          <w:w w:val="105"/>
          <w:sz w:val="17"/>
        </w:rPr>
        <w:t>M.</w:t>
      </w:r>
      <w:r>
        <w:rPr>
          <w:rFonts w:ascii="Calibri" w:hAnsi="Calibri"/>
          <w:color w:val="231F20"/>
          <w:spacing w:val="-11"/>
          <w:w w:val="105"/>
          <w:sz w:val="17"/>
        </w:rPr>
        <w:t> </w:t>
      </w:r>
      <w:r>
        <w:rPr>
          <w:rFonts w:ascii="Calibri" w:hAnsi="Calibri"/>
          <w:color w:val="231F20"/>
          <w:w w:val="105"/>
          <w:sz w:val="17"/>
        </w:rPr>
        <w:t>Suzuki</w:t>
      </w:r>
      <w:r>
        <w:rPr>
          <w:rFonts w:ascii="Calibri" w:hAnsi="Calibri"/>
          <w:color w:val="231F20"/>
          <w:spacing w:val="-11"/>
          <w:w w:val="105"/>
          <w:sz w:val="17"/>
        </w:rPr>
        <w:t> </w:t>
      </w:r>
      <w:r>
        <w:rPr>
          <w:rFonts w:ascii="Calibri" w:hAnsi="Calibri"/>
          <w:color w:val="231F20"/>
          <w:w w:val="105"/>
          <w:sz w:val="17"/>
        </w:rPr>
        <w:t>(Eds.),</w:t>
      </w:r>
      <w:r>
        <w:rPr>
          <w:rFonts w:ascii="Calibri" w:hAnsi="Calibri"/>
          <w:color w:val="231F20"/>
          <w:spacing w:val="-11"/>
          <w:w w:val="105"/>
          <w:sz w:val="17"/>
        </w:rPr>
        <w:t> </w:t>
      </w:r>
      <w:r>
        <w:rPr>
          <w:rFonts w:ascii="Calibri" w:hAnsi="Calibri"/>
          <w:i/>
          <w:color w:val="231F20"/>
          <w:w w:val="105"/>
          <w:sz w:val="17"/>
        </w:rPr>
        <w:t>Debating</w:t>
      </w:r>
      <w:r>
        <w:rPr>
          <w:rFonts w:ascii="Calibri" w:hAnsi="Calibri"/>
          <w:i/>
          <w:color w:val="231F20"/>
          <w:spacing w:val="-11"/>
          <w:w w:val="105"/>
          <w:sz w:val="17"/>
        </w:rPr>
        <w:t> </w:t>
      </w:r>
      <w:r>
        <w:rPr>
          <w:rFonts w:ascii="Calibri" w:hAnsi="Calibri"/>
          <w:i/>
          <w:color w:val="231F20"/>
          <w:w w:val="105"/>
          <w:sz w:val="17"/>
        </w:rPr>
        <w:t>Gender</w:t>
      </w:r>
      <w:r>
        <w:rPr>
          <w:rFonts w:ascii="Calibri" w:hAnsi="Calibri"/>
          <w:i/>
          <w:color w:val="231F20"/>
          <w:spacing w:val="-11"/>
          <w:w w:val="105"/>
          <w:sz w:val="17"/>
        </w:rPr>
        <w:t> </w:t>
      </w:r>
      <w:r>
        <w:rPr>
          <w:rFonts w:ascii="Calibri" w:hAnsi="Calibri"/>
          <w:i/>
          <w:color w:val="231F20"/>
          <w:w w:val="105"/>
          <w:sz w:val="17"/>
        </w:rPr>
        <w:t>in</w:t>
      </w:r>
      <w:r>
        <w:rPr>
          <w:rFonts w:ascii="Calibri" w:hAnsi="Calibri"/>
          <w:i/>
          <w:color w:val="231F20"/>
          <w:spacing w:val="-11"/>
          <w:w w:val="105"/>
          <w:sz w:val="17"/>
        </w:rPr>
        <w:t> </w:t>
      </w:r>
      <w:r>
        <w:rPr>
          <w:rFonts w:ascii="Calibri" w:hAnsi="Calibri"/>
          <w:i/>
          <w:color w:val="231F20"/>
          <w:w w:val="105"/>
          <w:sz w:val="17"/>
        </w:rPr>
        <w:t>Early</w:t>
      </w:r>
      <w:r>
        <w:rPr>
          <w:rFonts w:ascii="Calibri" w:hAnsi="Calibri"/>
          <w:i/>
          <w:color w:val="231F20"/>
          <w:spacing w:val="-11"/>
          <w:w w:val="105"/>
          <w:sz w:val="17"/>
        </w:rPr>
        <w:t> </w:t>
      </w:r>
      <w:r>
        <w:rPr>
          <w:rFonts w:ascii="Calibri" w:hAnsi="Calibri"/>
          <w:i/>
          <w:color w:val="231F20"/>
          <w:w w:val="105"/>
          <w:sz w:val="17"/>
        </w:rPr>
        <w:t>Modern</w:t>
      </w:r>
      <w:r>
        <w:rPr>
          <w:rFonts w:ascii="Calibri" w:hAnsi="Calibri"/>
          <w:i/>
          <w:color w:val="231F20"/>
          <w:spacing w:val="-11"/>
          <w:w w:val="105"/>
          <w:sz w:val="17"/>
        </w:rPr>
        <w:t> </w:t>
      </w:r>
      <w:r>
        <w:rPr>
          <w:rFonts w:ascii="Calibri" w:hAnsi="Calibri"/>
          <w:i/>
          <w:color w:val="231F20"/>
          <w:w w:val="105"/>
          <w:sz w:val="17"/>
        </w:rPr>
        <w:t>England,</w:t>
      </w:r>
      <w:r>
        <w:rPr>
          <w:rFonts w:ascii="Calibri" w:hAnsi="Calibri"/>
          <w:i/>
          <w:color w:val="231F20"/>
          <w:spacing w:val="-11"/>
          <w:w w:val="105"/>
          <w:sz w:val="17"/>
        </w:rPr>
        <w:t> </w:t>
      </w:r>
      <w:r>
        <w:rPr>
          <w:rFonts w:ascii="Calibri" w:hAnsi="Calibri"/>
          <w:i/>
          <w:color w:val="231F20"/>
          <w:w w:val="105"/>
          <w:sz w:val="17"/>
        </w:rPr>
        <w:t>1500–1700</w:t>
      </w:r>
      <w:r>
        <w:rPr>
          <w:rFonts w:ascii="Calibri" w:hAnsi="Calibri"/>
          <w:color w:val="231F20"/>
          <w:w w:val="105"/>
          <w:sz w:val="17"/>
        </w:rPr>
        <w:t>,</w:t>
      </w:r>
      <w:r>
        <w:rPr>
          <w:rFonts w:ascii="Calibri" w:hAnsi="Calibri"/>
          <w:color w:val="231F20"/>
          <w:spacing w:val="-11"/>
          <w:w w:val="105"/>
          <w:sz w:val="17"/>
        </w:rPr>
        <w:t> </w:t>
      </w:r>
      <w:r>
        <w:rPr>
          <w:rFonts w:ascii="Calibri" w:hAnsi="Calibri"/>
          <w:color w:val="231F20"/>
          <w:w w:val="105"/>
          <w:sz w:val="17"/>
        </w:rPr>
        <w:t>New</w:t>
      </w:r>
      <w:r>
        <w:rPr>
          <w:rFonts w:ascii="Calibri" w:hAnsi="Calibri"/>
          <w:color w:val="231F20"/>
          <w:spacing w:val="-13"/>
          <w:w w:val="105"/>
          <w:sz w:val="17"/>
        </w:rPr>
        <w:t> </w:t>
      </w:r>
      <w:r>
        <w:rPr>
          <w:rFonts w:ascii="Calibri" w:hAnsi="Calibri"/>
          <w:color w:val="231F20"/>
          <w:w w:val="105"/>
          <w:sz w:val="17"/>
        </w:rPr>
        <w:t>York, Palgrave,</w:t>
      </w:r>
      <w:r>
        <w:rPr>
          <w:rFonts w:ascii="Calibri" w:hAnsi="Calibri"/>
          <w:color w:val="231F20"/>
          <w:spacing w:val="-11"/>
          <w:w w:val="105"/>
          <w:sz w:val="17"/>
        </w:rPr>
        <w:t> </w:t>
      </w:r>
      <w:r>
        <w:rPr>
          <w:rFonts w:ascii="Calibri" w:hAnsi="Calibri"/>
          <w:color w:val="231F20"/>
          <w:w w:val="105"/>
          <w:sz w:val="17"/>
        </w:rPr>
        <w:t>2002,</w:t>
      </w:r>
      <w:r>
        <w:rPr>
          <w:rFonts w:ascii="Calibri" w:hAnsi="Calibri"/>
          <w:color w:val="231F20"/>
          <w:spacing w:val="-11"/>
          <w:w w:val="105"/>
          <w:sz w:val="17"/>
        </w:rPr>
        <w:t> </w:t>
      </w:r>
      <w:r>
        <w:rPr>
          <w:rFonts w:ascii="Calibri" w:hAnsi="Calibri"/>
          <w:color w:val="231F20"/>
          <w:w w:val="105"/>
          <w:sz w:val="17"/>
        </w:rPr>
        <w:t>su</w:t>
      </w:r>
      <w:r>
        <w:rPr>
          <w:rFonts w:ascii="Calibri" w:hAnsi="Calibri"/>
          <w:color w:val="231F20"/>
          <w:spacing w:val="-11"/>
          <w:w w:val="105"/>
          <w:sz w:val="17"/>
        </w:rPr>
        <w:t> </w:t>
      </w:r>
      <w:r>
        <w:rPr>
          <w:rFonts w:ascii="Calibri" w:hAnsi="Calibri"/>
          <w:color w:val="231F20"/>
          <w:w w:val="105"/>
          <w:sz w:val="17"/>
        </w:rPr>
        <w:t>indicazione</w:t>
      </w:r>
      <w:r>
        <w:rPr>
          <w:rFonts w:ascii="Calibri" w:hAnsi="Calibri"/>
          <w:color w:val="231F20"/>
          <w:spacing w:val="-11"/>
          <w:w w:val="105"/>
          <w:sz w:val="17"/>
        </w:rPr>
        <w:t> </w:t>
      </w:r>
      <w:r>
        <w:rPr>
          <w:rFonts w:ascii="Calibri" w:hAnsi="Calibri"/>
          <w:color w:val="231F20"/>
          <w:w w:val="105"/>
          <w:sz w:val="17"/>
        </w:rPr>
        <w:t>gentile</w:t>
      </w:r>
      <w:r>
        <w:rPr>
          <w:rFonts w:ascii="Calibri" w:hAnsi="Calibri"/>
          <w:color w:val="231F20"/>
          <w:spacing w:val="-11"/>
          <w:w w:val="105"/>
          <w:sz w:val="17"/>
        </w:rPr>
        <w:t> </w:t>
      </w:r>
      <w:r>
        <w:rPr>
          <w:rFonts w:ascii="Calibri" w:hAnsi="Calibri"/>
          <w:color w:val="231F20"/>
          <w:w w:val="105"/>
          <w:sz w:val="17"/>
        </w:rPr>
        <w:t>di</w:t>
      </w:r>
      <w:r>
        <w:rPr>
          <w:rFonts w:ascii="Calibri" w:hAnsi="Calibri"/>
          <w:color w:val="231F20"/>
          <w:spacing w:val="-11"/>
          <w:w w:val="105"/>
          <w:sz w:val="17"/>
        </w:rPr>
        <w:t> </w:t>
      </w:r>
      <w:r>
        <w:rPr>
          <w:rFonts w:ascii="Calibri" w:hAnsi="Calibri"/>
          <w:color w:val="231F20"/>
          <w:w w:val="105"/>
          <w:sz w:val="17"/>
        </w:rPr>
        <w:t>Eleonora</w:t>
      </w:r>
      <w:r>
        <w:rPr>
          <w:rFonts w:ascii="Calibri" w:hAnsi="Calibri"/>
          <w:color w:val="231F20"/>
          <w:spacing w:val="-11"/>
          <w:w w:val="105"/>
          <w:sz w:val="17"/>
        </w:rPr>
        <w:t> </w:t>
      </w:r>
      <w:r>
        <w:rPr>
          <w:rFonts w:ascii="Calibri" w:hAnsi="Calibri"/>
          <w:color w:val="231F20"/>
          <w:w w:val="105"/>
          <w:sz w:val="17"/>
        </w:rPr>
        <w:t>Cappuccilli,</w:t>
      </w:r>
      <w:r>
        <w:rPr>
          <w:rFonts w:ascii="Calibri" w:hAnsi="Calibri"/>
          <w:color w:val="231F20"/>
          <w:spacing w:val="-11"/>
          <w:w w:val="105"/>
          <w:sz w:val="17"/>
        </w:rPr>
        <w:t> </w:t>
      </w:r>
      <w:r>
        <w:rPr>
          <w:rFonts w:ascii="Calibri" w:hAnsi="Calibri"/>
          <w:color w:val="231F20"/>
          <w:w w:val="105"/>
          <w:sz w:val="17"/>
        </w:rPr>
        <w:t>di</w:t>
      </w:r>
      <w:r>
        <w:rPr>
          <w:rFonts w:ascii="Calibri" w:hAnsi="Calibri"/>
          <w:color w:val="231F20"/>
          <w:spacing w:val="-11"/>
          <w:w w:val="105"/>
          <w:sz w:val="17"/>
        </w:rPr>
        <w:t> </w:t>
      </w:r>
      <w:r>
        <w:rPr>
          <w:rFonts w:ascii="Calibri" w:hAnsi="Calibri"/>
          <w:color w:val="231F20"/>
          <w:w w:val="105"/>
          <w:sz w:val="17"/>
        </w:rPr>
        <w:t>cui</w:t>
      </w:r>
      <w:r>
        <w:rPr>
          <w:rFonts w:ascii="Calibri" w:hAnsi="Calibri"/>
          <w:color w:val="231F20"/>
          <w:spacing w:val="-11"/>
          <w:w w:val="105"/>
          <w:sz w:val="17"/>
        </w:rPr>
        <w:t> </w:t>
      </w:r>
      <w:r>
        <w:rPr>
          <w:rFonts w:ascii="Calibri" w:hAnsi="Calibri"/>
          <w:color w:val="231F20"/>
          <w:w w:val="105"/>
          <w:sz w:val="17"/>
        </w:rPr>
        <w:t>si</w:t>
      </w:r>
      <w:r>
        <w:rPr>
          <w:rFonts w:ascii="Calibri" w:hAnsi="Calibri"/>
          <w:color w:val="231F20"/>
          <w:spacing w:val="-13"/>
          <w:w w:val="105"/>
          <w:sz w:val="17"/>
        </w:rPr>
        <w:t> </w:t>
      </w:r>
      <w:r>
        <w:rPr>
          <w:rFonts w:ascii="Calibri" w:hAnsi="Calibri"/>
          <w:color w:val="231F20"/>
          <w:w w:val="105"/>
          <w:sz w:val="17"/>
        </w:rPr>
        <w:t>veda:</w:t>
      </w:r>
      <w:r>
        <w:rPr>
          <w:rFonts w:ascii="Calibri" w:hAnsi="Calibri"/>
          <w:color w:val="231F20"/>
          <w:spacing w:val="-11"/>
          <w:w w:val="105"/>
          <w:sz w:val="17"/>
        </w:rPr>
        <w:t> </w:t>
      </w:r>
      <w:r>
        <w:rPr>
          <w:rFonts w:ascii="Calibri" w:hAnsi="Calibri"/>
          <w:color w:val="231F20"/>
          <w:w w:val="105"/>
          <w:sz w:val="17"/>
        </w:rPr>
        <w:t>“Remarkable</w:t>
      </w:r>
      <w:r>
        <w:rPr>
          <w:rFonts w:ascii="Calibri" w:hAnsi="Calibri"/>
          <w:color w:val="231F20"/>
          <w:spacing w:val="-14"/>
          <w:w w:val="105"/>
          <w:sz w:val="17"/>
        </w:rPr>
        <w:t> </w:t>
      </w:r>
      <w:r>
        <w:rPr>
          <w:rFonts w:ascii="Calibri" w:hAnsi="Calibri"/>
          <w:color w:val="231F20"/>
          <w:w w:val="105"/>
          <w:sz w:val="17"/>
        </w:rPr>
        <w:t>Women in</w:t>
      </w:r>
      <w:r>
        <w:rPr>
          <w:rFonts w:ascii="Calibri" w:hAnsi="Calibri"/>
          <w:color w:val="231F20"/>
          <w:spacing w:val="-28"/>
          <w:w w:val="105"/>
          <w:sz w:val="17"/>
        </w:rPr>
        <w:t> </w:t>
      </w:r>
      <w:r>
        <w:rPr>
          <w:rFonts w:ascii="Calibri" w:hAnsi="Calibri"/>
          <w:color w:val="231F20"/>
          <w:w w:val="105"/>
          <w:sz w:val="17"/>
        </w:rPr>
        <w:t>a</w:t>
      </w:r>
      <w:r>
        <w:rPr>
          <w:rFonts w:ascii="Calibri" w:hAnsi="Calibri"/>
          <w:color w:val="231F20"/>
          <w:spacing w:val="-28"/>
          <w:w w:val="105"/>
          <w:sz w:val="17"/>
        </w:rPr>
        <w:t> </w:t>
      </w:r>
      <w:r>
        <w:rPr>
          <w:rFonts w:ascii="Calibri" w:hAnsi="Calibri"/>
          <w:color w:val="231F20"/>
          <w:w w:val="105"/>
          <w:sz w:val="17"/>
        </w:rPr>
        <w:t>Remarkable</w:t>
      </w:r>
      <w:r>
        <w:rPr>
          <w:rFonts w:ascii="Calibri" w:hAnsi="Calibri"/>
          <w:color w:val="231F20"/>
          <w:spacing w:val="-28"/>
          <w:w w:val="105"/>
          <w:sz w:val="17"/>
        </w:rPr>
        <w:t> </w:t>
      </w:r>
      <w:r>
        <w:rPr>
          <w:rFonts w:ascii="Calibri" w:hAnsi="Calibri"/>
          <w:color w:val="231F20"/>
          <w:w w:val="105"/>
          <w:sz w:val="17"/>
        </w:rPr>
        <w:t>Age.</w:t>
      </w:r>
      <w:r>
        <w:rPr>
          <w:rFonts w:ascii="Calibri" w:hAnsi="Calibri"/>
          <w:color w:val="231F20"/>
          <w:spacing w:val="-28"/>
          <w:w w:val="105"/>
          <w:sz w:val="17"/>
        </w:rPr>
        <w:t> </w:t>
      </w:r>
      <w:r>
        <w:rPr>
          <w:rFonts w:ascii="Calibri" w:hAnsi="Calibri"/>
          <w:color w:val="231F20"/>
          <w:w w:val="105"/>
          <w:sz w:val="17"/>
        </w:rPr>
        <w:t>On</w:t>
      </w:r>
      <w:r>
        <w:rPr>
          <w:rFonts w:ascii="Calibri" w:hAnsi="Calibri"/>
          <w:color w:val="231F20"/>
          <w:spacing w:val="-28"/>
          <w:w w:val="105"/>
          <w:sz w:val="17"/>
        </w:rPr>
        <w:t> </w:t>
      </w:r>
      <w:r>
        <w:rPr>
          <w:rFonts w:ascii="Calibri" w:hAnsi="Calibri"/>
          <w:color w:val="231F20"/>
          <w:w w:val="105"/>
          <w:sz w:val="17"/>
        </w:rPr>
        <w:t>the</w:t>
      </w:r>
      <w:r>
        <w:rPr>
          <w:rFonts w:ascii="Calibri" w:hAnsi="Calibri"/>
          <w:color w:val="231F20"/>
          <w:spacing w:val="-28"/>
          <w:w w:val="105"/>
          <w:sz w:val="17"/>
        </w:rPr>
        <w:t> </w:t>
      </w:r>
      <w:r>
        <w:rPr>
          <w:rFonts w:ascii="Calibri" w:hAnsi="Calibri"/>
          <w:color w:val="231F20"/>
          <w:w w:val="105"/>
          <w:sz w:val="17"/>
        </w:rPr>
        <w:t>Genesis</w:t>
      </w:r>
      <w:r>
        <w:rPr>
          <w:rFonts w:ascii="Calibri" w:hAnsi="Calibri"/>
          <w:color w:val="231F20"/>
          <w:spacing w:val="-28"/>
          <w:w w:val="105"/>
          <w:sz w:val="17"/>
        </w:rPr>
        <w:t> </w:t>
      </w:r>
      <w:r>
        <w:rPr>
          <w:rFonts w:ascii="Calibri" w:hAnsi="Calibri"/>
          <w:color w:val="231F20"/>
          <w:w w:val="105"/>
          <w:sz w:val="17"/>
        </w:rPr>
        <w:t>of</w:t>
      </w:r>
      <w:r>
        <w:rPr>
          <w:rFonts w:ascii="Calibri" w:hAnsi="Calibri"/>
          <w:color w:val="231F20"/>
          <w:spacing w:val="-28"/>
          <w:w w:val="105"/>
          <w:sz w:val="17"/>
        </w:rPr>
        <w:t> </w:t>
      </w:r>
      <w:r>
        <w:rPr>
          <w:rFonts w:ascii="Calibri" w:hAnsi="Calibri"/>
          <w:color w:val="231F20"/>
          <w:w w:val="105"/>
          <w:sz w:val="17"/>
        </w:rPr>
        <w:t>the</w:t>
      </w:r>
      <w:r>
        <w:rPr>
          <w:rFonts w:ascii="Calibri" w:hAnsi="Calibri"/>
          <w:color w:val="231F20"/>
          <w:spacing w:val="-28"/>
          <w:w w:val="105"/>
          <w:sz w:val="17"/>
        </w:rPr>
        <w:t> </w:t>
      </w:r>
      <w:r>
        <w:rPr>
          <w:rFonts w:ascii="Calibri" w:hAnsi="Calibri"/>
          <w:color w:val="231F20"/>
          <w:w w:val="105"/>
          <w:sz w:val="17"/>
        </w:rPr>
        <w:t>English</w:t>
      </w:r>
      <w:r>
        <w:rPr>
          <w:rFonts w:ascii="Calibri" w:hAnsi="Calibri"/>
          <w:color w:val="231F20"/>
          <w:spacing w:val="-28"/>
          <w:w w:val="105"/>
          <w:sz w:val="17"/>
        </w:rPr>
        <w:t> </w:t>
      </w:r>
      <w:r>
        <w:rPr>
          <w:rFonts w:ascii="Calibri" w:hAnsi="Calibri"/>
          <w:color w:val="231F20"/>
          <w:w w:val="105"/>
          <w:sz w:val="17"/>
        </w:rPr>
        <w:t>Public</w:t>
      </w:r>
      <w:r>
        <w:rPr>
          <w:rFonts w:ascii="Calibri" w:hAnsi="Calibri"/>
          <w:color w:val="231F20"/>
          <w:spacing w:val="-28"/>
          <w:w w:val="105"/>
          <w:sz w:val="17"/>
        </w:rPr>
        <w:t> </w:t>
      </w:r>
      <w:r>
        <w:rPr>
          <w:rFonts w:ascii="Calibri" w:hAnsi="Calibri"/>
          <w:color w:val="231F20"/>
          <w:w w:val="105"/>
          <w:sz w:val="17"/>
        </w:rPr>
        <w:t>Sphere,</w:t>
      </w:r>
      <w:r>
        <w:rPr>
          <w:rFonts w:ascii="Calibri" w:hAnsi="Calibri"/>
          <w:color w:val="231F20"/>
          <w:spacing w:val="-28"/>
          <w:w w:val="105"/>
          <w:sz w:val="17"/>
        </w:rPr>
        <w:t> </w:t>
      </w:r>
      <w:r>
        <w:rPr>
          <w:rFonts w:ascii="Calibri" w:hAnsi="Calibri"/>
          <w:color w:val="231F20"/>
          <w:w w:val="105"/>
          <w:sz w:val="17"/>
        </w:rPr>
        <w:t>1642–1752”,</w:t>
      </w:r>
      <w:r>
        <w:rPr>
          <w:rFonts w:ascii="Calibri" w:hAnsi="Calibri"/>
          <w:color w:val="231F20"/>
          <w:spacing w:val="-28"/>
          <w:w w:val="105"/>
          <w:sz w:val="17"/>
        </w:rPr>
        <w:t> </w:t>
      </w:r>
      <w:r>
        <w:rPr>
          <w:rFonts w:ascii="Calibri" w:hAnsi="Calibri"/>
          <w:i/>
          <w:color w:val="231F20"/>
          <w:w w:val="105"/>
          <w:sz w:val="17"/>
        </w:rPr>
        <w:t>Scienza</w:t>
      </w:r>
      <w:r>
        <w:rPr>
          <w:rFonts w:ascii="Calibri" w:hAnsi="Calibri"/>
          <w:i/>
          <w:color w:val="231F20"/>
          <w:spacing w:val="-28"/>
          <w:w w:val="105"/>
          <w:sz w:val="17"/>
        </w:rPr>
        <w:t> </w:t>
      </w:r>
      <w:r>
        <w:rPr>
          <w:rFonts w:ascii="Calibri" w:hAnsi="Calibri"/>
          <w:i/>
          <w:color w:val="231F20"/>
          <w:w w:val="105"/>
          <w:sz w:val="17"/>
        </w:rPr>
        <w:t>&amp;</w:t>
      </w:r>
      <w:r>
        <w:rPr>
          <w:rFonts w:ascii="Calibri" w:hAnsi="Calibri"/>
          <w:i/>
          <w:color w:val="231F20"/>
          <w:spacing w:val="-28"/>
          <w:w w:val="105"/>
          <w:sz w:val="17"/>
        </w:rPr>
        <w:t> </w:t>
      </w:r>
      <w:r>
        <w:rPr>
          <w:rFonts w:ascii="Calibri" w:hAnsi="Calibri"/>
          <w:i/>
          <w:color w:val="231F20"/>
          <w:w w:val="105"/>
          <w:sz w:val="17"/>
        </w:rPr>
        <w:t>Politica</w:t>
      </w:r>
      <w:r>
        <w:rPr>
          <w:rFonts w:ascii="Calibri" w:hAnsi="Calibri"/>
          <w:color w:val="231F20"/>
          <w:w w:val="105"/>
          <w:sz w:val="17"/>
        </w:rPr>
        <w:t>,</w:t>
      </w:r>
      <w:r>
        <w:rPr>
          <w:rFonts w:ascii="Calibri" w:hAnsi="Calibri"/>
          <w:color w:val="231F20"/>
          <w:spacing w:val="-28"/>
          <w:w w:val="105"/>
          <w:sz w:val="17"/>
        </w:rPr>
        <w:t> </w:t>
      </w:r>
      <w:r>
        <w:rPr>
          <w:rFonts w:ascii="Calibri" w:hAnsi="Calibri"/>
          <w:color w:val="231F20"/>
          <w:spacing w:val="-3"/>
          <w:w w:val="105"/>
          <w:sz w:val="17"/>
        </w:rPr>
        <w:t>27, </w:t>
      </w:r>
      <w:r>
        <w:rPr>
          <w:rFonts w:ascii="Calibri" w:hAnsi="Calibri"/>
          <w:color w:val="231F20"/>
          <w:sz w:val="17"/>
        </w:rPr>
        <w:t>52, 2015, pp. 105–134:  disponibile all’indirizzo: </w:t>
      </w:r>
      <w:r>
        <w:rPr>
          <w:rFonts w:ascii="Calibri" w:hAnsi="Calibri"/>
          <w:color w:val="231F20"/>
          <w:spacing w:val="1"/>
          <w:sz w:val="17"/>
        </w:rPr>
        <w:t> </w:t>
      </w:r>
      <w:hyperlink r:id="rId67">
        <w:r>
          <w:rPr>
            <w:rFonts w:ascii="Calibri" w:hAnsi="Calibri"/>
            <w:color w:val="231F20"/>
            <w:sz w:val="17"/>
          </w:rPr>
          <w:t>http://scienzaepolitica.unibo.it/article/view/5288.</w:t>
        </w:r>
      </w:hyperlink>
    </w:p>
    <w:p>
      <w:pPr>
        <w:spacing w:after="0" w:line="204" w:lineRule="exact"/>
        <w:jc w:val="both"/>
        <w:rPr>
          <w:rFonts w:ascii="Calibri" w:hAnsi="Calibri"/>
          <w:sz w:val="17"/>
        </w:rPr>
        <w:sectPr>
          <w:pgSz w:w="9640" w:h="13890"/>
          <w:pgMar w:top="0" w:bottom="280" w:left="1300" w:right="118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ind w:left="6336"/>
        <w:rPr>
          <w:rFonts w:ascii="Times New Roman"/>
          <w:sz w:val="20"/>
        </w:rPr>
      </w:pPr>
      <w:r>
        <w:rPr/>
        <w:pict>
          <v:shape style="position:absolute;margin-left:1.021000pt;margin-top:0pt;width:480.9pt;height:694.5pt;mso-position-horizontal-relative:page;mso-position-vertical-relative:page;z-index:-162184" type="#_x0000_t202" filled="false" stroked="false">
            <v:textbox inset="0,0,0,0">
              <w:txbxContent>
                <w:p>
                  <w:pPr>
                    <w:tabs>
                      <w:tab w:pos="8251" w:val="right" w:leader="none"/>
                    </w:tabs>
                    <w:spacing w:before="558"/>
                    <w:ind w:left="1876" w:right="0" w:firstLine="0"/>
                    <w:jc w:val="left"/>
                    <w:rPr>
                      <w:rFonts w:ascii="Trebuchet MS" w:hAnsi="Trebuchet MS"/>
                      <w:sz w:val="20"/>
                    </w:rPr>
                  </w:pPr>
                  <w:r>
                    <w:rPr>
                      <w:rFonts w:ascii="Lucida Sans Unicode" w:hAnsi="Lucida Sans Unicode"/>
                      <w:color w:val="6D6E71"/>
                      <w:w w:val="95"/>
                      <w:sz w:val="14"/>
                    </w:rPr>
                    <w:t>CAMBIAMENTO</w:t>
                  </w:r>
                  <w:r>
                    <w:rPr>
                      <w:rFonts w:ascii="Lucida Sans Unicode" w:hAnsi="Lucida Sans Unicode"/>
                      <w:color w:val="6D6E71"/>
                      <w:spacing w:val="-26"/>
                      <w:w w:val="95"/>
                      <w:sz w:val="14"/>
                    </w:rPr>
                    <w:t> </w:t>
                  </w:r>
                  <w:r>
                    <w:rPr>
                      <w:rFonts w:ascii="Lucida Sans Unicode" w:hAnsi="Lucida Sans Unicode"/>
                      <w:color w:val="6D6E71"/>
                      <w:w w:val="95"/>
                      <w:sz w:val="14"/>
                    </w:rPr>
                    <w:t>DI</w:t>
                  </w:r>
                  <w:r>
                    <w:rPr>
                      <w:rFonts w:ascii="Lucida Sans Unicode" w:hAnsi="Lucida Sans Unicode"/>
                      <w:color w:val="6D6E71"/>
                      <w:spacing w:val="-26"/>
                      <w:w w:val="95"/>
                      <w:sz w:val="14"/>
                    </w:rPr>
                    <w:t> </w:t>
                  </w:r>
                  <w:r>
                    <w:rPr>
                      <w:rFonts w:ascii="Lucida Sans Unicode" w:hAnsi="Lucida Sans Unicode"/>
                      <w:color w:val="6D6E71"/>
                      <w:w w:val="95"/>
                      <w:sz w:val="14"/>
                    </w:rPr>
                    <w:t>PARADIGMA</w:t>
                  </w:r>
                  <w:r>
                    <w:rPr>
                      <w:rFonts w:ascii="Lucida Sans Unicode" w:hAnsi="Lucida Sans Unicode"/>
                      <w:color w:val="6D6E71"/>
                      <w:spacing w:val="-26"/>
                      <w:w w:val="95"/>
                      <w:sz w:val="14"/>
                    </w:rPr>
                    <w:t> </w:t>
                  </w:r>
                  <w:r>
                    <w:rPr>
                      <w:rFonts w:ascii="Lucida Sans Unicode" w:hAnsi="Lucida Sans Unicode"/>
                      <w:color w:val="6D6E71"/>
                      <w:w w:val="95"/>
                      <w:sz w:val="14"/>
                    </w:rPr>
                    <w:t>GIURIDICO:</w:t>
                  </w:r>
                  <w:r>
                    <w:rPr>
                      <w:rFonts w:ascii="Lucida Sans Unicode" w:hAnsi="Lucida Sans Unicode"/>
                      <w:color w:val="6D6E71"/>
                      <w:spacing w:val="-26"/>
                      <w:w w:val="95"/>
                      <w:sz w:val="14"/>
                    </w:rPr>
                    <w:t> </w:t>
                  </w:r>
                  <w:r>
                    <w:rPr>
                      <w:rFonts w:ascii="Lucida Sans Unicode" w:hAnsi="Lucida Sans Unicode"/>
                      <w:color w:val="6D6E71"/>
                      <w:spacing w:val="-3"/>
                      <w:w w:val="95"/>
                      <w:sz w:val="14"/>
                    </w:rPr>
                    <w:t>L’11–S</w:t>
                  </w:r>
                  <w:r>
                    <w:rPr>
                      <w:rFonts w:ascii="Lucida Sans Unicode" w:hAnsi="Lucida Sans Unicode"/>
                      <w:color w:val="6D6E71"/>
                      <w:spacing w:val="-26"/>
                      <w:w w:val="95"/>
                      <w:sz w:val="14"/>
                    </w:rPr>
                    <w:t> </w:t>
                  </w:r>
                  <w:r>
                    <w:rPr>
                      <w:rFonts w:ascii="Lucida Sans Unicode" w:hAnsi="Lucida Sans Unicode"/>
                      <w:color w:val="6D6E71"/>
                      <w:w w:val="95"/>
                      <w:sz w:val="14"/>
                    </w:rPr>
                    <w:t>E</w:t>
                  </w:r>
                  <w:r>
                    <w:rPr>
                      <w:rFonts w:ascii="Lucida Sans Unicode" w:hAnsi="Lucida Sans Unicode"/>
                      <w:color w:val="6D6E71"/>
                      <w:spacing w:val="-26"/>
                      <w:w w:val="95"/>
                      <w:sz w:val="14"/>
                    </w:rPr>
                    <w:t> </w:t>
                  </w:r>
                  <w:r>
                    <w:rPr>
                      <w:rFonts w:ascii="Lucida Sans Unicode" w:hAnsi="Lucida Sans Unicode"/>
                      <w:color w:val="6D6E71"/>
                      <w:w w:val="95"/>
                      <w:sz w:val="14"/>
                    </w:rPr>
                    <w:t>LA</w:t>
                  </w:r>
                  <w:r>
                    <w:rPr>
                      <w:rFonts w:ascii="Lucida Sans Unicode" w:hAnsi="Lucida Sans Unicode"/>
                      <w:color w:val="6D6E71"/>
                      <w:spacing w:val="-26"/>
                      <w:w w:val="95"/>
                      <w:sz w:val="14"/>
                    </w:rPr>
                    <w:t> </w:t>
                  </w:r>
                  <w:r>
                    <w:rPr>
                      <w:rFonts w:ascii="Lucida Sans Unicode" w:hAnsi="Lucida Sans Unicode"/>
                      <w:color w:val="6D6E71"/>
                      <w:w w:val="95"/>
                      <w:sz w:val="14"/>
                    </w:rPr>
                    <w:t>CRIMINALITÀ</w:t>
                  </w:r>
                  <w:r>
                    <w:rPr>
                      <w:rFonts w:ascii="Lucida Sans Unicode" w:hAnsi="Lucida Sans Unicode"/>
                      <w:color w:val="6D6E71"/>
                      <w:spacing w:val="-26"/>
                      <w:w w:val="95"/>
                      <w:sz w:val="14"/>
                    </w:rPr>
                    <w:t> </w:t>
                  </w:r>
                  <w:r>
                    <w:rPr>
                      <w:rFonts w:ascii="Lucida Sans Unicode" w:hAnsi="Lucida Sans Unicode"/>
                      <w:color w:val="6D6E71"/>
                      <w:w w:val="95"/>
                      <w:sz w:val="14"/>
                    </w:rPr>
                    <w:t>ORGANIZZATA</w:t>
                  </w:r>
                  <w:r>
                    <w:rPr>
                      <w:rFonts w:ascii="Lucida Sans Unicode" w:hAnsi="Lucida Sans Unicode"/>
                      <w:color w:val="6D6E71"/>
                      <w:spacing w:val="-26"/>
                      <w:w w:val="95"/>
                      <w:sz w:val="14"/>
                    </w:rPr>
                    <w:t> </w:t>
                  </w:r>
                  <w:r>
                    <w:rPr>
                      <w:rFonts w:ascii="Lucida Sans Unicode" w:hAnsi="Lucida Sans Unicode"/>
                      <w:color w:val="6D6E71"/>
                      <w:w w:val="95"/>
                      <w:sz w:val="14"/>
                    </w:rPr>
                    <w:t>IN</w:t>
                  </w:r>
                  <w:r>
                    <w:rPr>
                      <w:rFonts w:ascii="Lucida Sans Unicode" w:hAnsi="Lucida Sans Unicode"/>
                      <w:color w:val="6D6E71"/>
                      <w:spacing w:val="-26"/>
                      <w:w w:val="95"/>
                      <w:sz w:val="14"/>
                    </w:rPr>
                    <w:t> </w:t>
                  </w:r>
                  <w:r>
                    <w:rPr>
                      <w:rFonts w:ascii="Lucida Sans Unicode" w:hAnsi="Lucida Sans Unicode"/>
                      <w:color w:val="6D6E71"/>
                      <w:w w:val="95"/>
                      <w:sz w:val="14"/>
                    </w:rPr>
                    <w:t>MESSICO</w:t>
                  </w:r>
                  <w:r>
                    <w:rPr>
                      <w:rFonts w:ascii="Trebuchet MS" w:hAnsi="Trebuchet MS"/>
                      <w:color w:val="414042"/>
                      <w:w w:val="95"/>
                      <w:position w:val="-3"/>
                      <w:sz w:val="20"/>
                    </w:rPr>
                    <w:tab/>
                    <w:t>109</w:t>
                  </w:r>
                </w:p>
              </w:txbxContent>
            </v:textbox>
            <w10:wrap type="none"/>
          </v:shape>
        </w:pict>
      </w:r>
      <w:r>
        <w:rPr/>
        <w:pict>
          <v:rect style="position:absolute;margin-left:1.021000pt;margin-top:-.000024pt;width:480.869pt;height:694.488pt;mso-position-horizontal-relative:page;mso-position-vertical-relative:page;z-index:-162160" filled="true" fillcolor="#6d6e71" stroked="false">
            <v:fill type="solid"/>
            <w10:wrap type="none"/>
          </v:rect>
        </w:pict>
      </w:r>
      <w:r>
        <w:rPr>
          <w:rFonts w:ascii="Times New Roman"/>
          <w:sz w:val="20"/>
        </w:rPr>
        <w:drawing>
          <wp:inline distT="0" distB="0" distL="0" distR="0">
            <wp:extent cx="108640" cy="247650"/>
            <wp:effectExtent l="0" t="0" r="0" b="0"/>
            <wp:docPr id="29" name="image31.png" descr=""/>
            <wp:cNvGraphicFramePr>
              <a:graphicFrameLocks noChangeAspect="1"/>
            </wp:cNvGraphicFramePr>
            <a:graphic>
              <a:graphicData uri="http://schemas.openxmlformats.org/drawingml/2006/picture">
                <pic:pic>
                  <pic:nvPicPr>
                    <pic:cNvPr id="30" name="image31.png"/>
                    <pic:cNvPicPr/>
                  </pic:nvPicPr>
                  <pic:blipFill>
                    <a:blip r:embed="rId36" cstate="print"/>
                    <a:stretch>
                      <a:fillRect/>
                    </a:stretch>
                  </pic:blipFill>
                  <pic:spPr>
                    <a:xfrm>
                      <a:off x="0" y="0"/>
                      <a:ext cx="108640" cy="247650"/>
                    </a:xfrm>
                    <a:prstGeom prst="rect">
                      <a:avLst/>
                    </a:prstGeom>
                  </pic:spPr>
                </pic:pic>
              </a:graphicData>
            </a:graphic>
          </wp:inline>
        </w:drawing>
      </w:r>
      <w:r>
        <w:rPr>
          <w:rFonts w:ascii="Times New Roman"/>
          <w:sz w:val="20"/>
        </w:rPr>
      </w:r>
    </w:p>
    <w:p>
      <w:pPr>
        <w:pStyle w:val="BodyText"/>
        <w:spacing w:before="9"/>
        <w:rPr>
          <w:rFonts w:ascii="Times New Roman"/>
          <w:sz w:val="28"/>
        </w:rPr>
      </w:pPr>
      <w:r>
        <w:rPr/>
        <w:pict>
          <v:group style="position:absolute;margin-left:111.207298pt;margin-top:18.539801pt;width:259.5pt;height:425.1pt;mso-position-horizontal-relative:page;mso-position-vertical-relative:paragraph;z-index:13192;mso-wrap-distance-left:0;mso-wrap-distance-right:0" coordorigin="2224,371" coordsize="5190,8502">
            <v:shape style="position:absolute;left:5067;top:1004;width:2346;height:7869" type="#_x0000_t75" stroked="false">
              <v:imagedata r:id="rId64" o:title=""/>
            </v:shape>
            <v:shape style="position:absolute;left:5089;top:2023;width:1729;height:3773" coordorigin="5089,2023" coordsize="1729,3773" path="m5177,2023l5166,2049,5138,2120,5109,2225,5089,2355,5382,3516,5660,4261,6085,4914,6817,5796,6811,5677,6796,5389,6776,5039,6759,4732,6247,4445,5911,4068,5604,3345,5177,2023xe" filled="true" fillcolor="#7e8083" stroked="false">
              <v:path arrowok="t"/>
              <v:fill type="solid"/>
            </v:shape>
            <v:shape style="position:absolute;left:2224;top:371;width:4665;height:6117" type="#_x0000_t75" stroked="false">
              <v:imagedata r:id="rId65" o:title=""/>
            </v:shape>
            <v:shape style="position:absolute;left:4477;top:380;width:721;height:3805" coordorigin="4477,380" coordsize="721,3805" path="m4981,380l4749,428,4510,1610,4477,2395,4692,3136,5198,4185,4981,380xe" filled="true" fillcolor="#a9abae" stroked="false">
              <v:path arrowok="t"/>
              <v:fill type="solid"/>
            </v:shape>
            <v:shape style="position:absolute;left:4609;top:378;width:602;height:3856" coordorigin="4609,378" coordsize="602,3856" path="m4983,378l4748,422,4744,423,4743,427,4717,545,4711,574,4705,603,4699,633,4694,663,4673,782,4669,811,4664,841,4660,871,4656,901,4648,961,4641,1021,4635,1081,4629,1141,4626,1171,4624,1203,4622,1233,4621,1261,4617,1323,4615,1352,4614,1383,4610,1503,4610,1533,4609,1593,4609,1684,4611,1745,4613,1808,4615,1865,4618,1926,4622,1986,4626,2046,4637,2167,4643,2227,4650,2287,4657,2347,4665,2407,4673,2466,4682,2526,4692,2586,4697,2615,4702,2645,4708,2675,4719,2734,4725,2764,4731,2793,4737,2823,4762,2941,4790,3058,4805,3116,4820,3175,4836,3233,4852,3291,4869,3349,4886,3406,4904,3464,4923,3521,4942,3578,4961,3635,4981,3691,5002,3748,5023,3804,5045,3860,5067,3916,5090,3971,5113,4026,5138,4081,5163,4136,5189,4190,5210,4233,5207,4186,5188,4186,5186,4136,5181,4126,5157,4072,5134,4017,5112,3961,5090,3906,5069,3850,5048,3794,5028,3737,5009,3681,4990,3624,4971,3567,4953,3510,4936,3453,4919,3395,4903,3338,4887,3280,4871,3222,4856,3164,4842,3106,4827,3048,4801,2931,4776,2814,4771,2785,4765,2755,4760,2726,4754,2696,4749,2667,4744,2637,4739,2608,4734,2578,4724,2519,4715,2460,4707,2400,4698,2341,4685,2222,4678,2162,4673,2102,4667,2043,4663,1983,4655,1863,4651,1743,4649,1713,4649,1683,4648,1653,4648,1623,4647,1593,4647,1563,4647,1533,4647,1503,4649,1382,4649,1353,4651,1322,4652,1293,4655,1231,4657,1201,4658,1173,4660,1144,4665,1084,4670,1024,4675,964,4682,904,4685,875,4689,845,4692,815,4696,785,4714,666,4718,637,4723,607,4728,578,4754,435,4750,435,4755,430,4772,430,4979,383,4983,383,4983,378xm5186,4136l5188,4186,5206,4180,5186,4136xm4983,383l4979,383,4982,462,4991,698,4995,785,4998,856,5020,1332,5045,1808,5049,1887,5053,1967,5058,2046,5063,2125,5068,2204,5077,2363,5082,2442,5088,2521,5099,2680,5104,2759,5109,2838,5120,2997,5126,3076,5131,3155,5136,3234,5151,3472,5154,3531,5157,3591,5161,3650,5168,3789,5172,3868,5176,3948,5180,4027,5184,4106,5186,4136,5206,4180,5188,4186,5207,4186,5202,4105,5197,4026,5192,3947,5187,3868,5182,3788,5174,3650,5170,3590,5166,3531,5151,3233,5147,3154,5143,3075,5139,2995,5132,2837,5129,2755,5125,2675,5118,2519,5114,2440,5110,2361,5102,2202,5098,2123,5094,2043,5089,1964,5085,1885,5080,1805,5050,1330,5018,855,5013,776,5007,697,5001,617,4989,459,4983,383xm4755,430l4750,435,4755,434,4755,430xm4755,434l4750,435,4754,435,4755,434xm4772,430l4755,430,4755,434,4772,430xe" filled="true" fillcolor="#ffffff" stroked="false">
              <v:path arrowok="t"/>
              <v:fill type="solid"/>
            </v:shape>
            <v:shape style="position:absolute;left:2989;top:4479;width:1689;height:2056" coordorigin="2989,4479" coordsize="1689,2056" path="m4620,4479l4555,4481,4481,4489,4399,4505,4309,4531,4212,4569,4106,4621,4050,4652,3993,4688,3933,4729,3872,4774,3808,4825,3743,4881,3676,4942,3607,5009,3536,5082,3463,5161,3389,5247,3312,5340,3234,5440,3154,5547,3073,5662,2989,5784,3098,6535,3572,5512,3895,4957,4214,4678,4677,4481,4650,4480,4620,4479xe" filled="true" fillcolor="#bec0c2" stroked="false">
              <v:path arrowok="t"/>
              <v:fill type="solid"/>
            </v:shape>
            <v:shape style="position:absolute;left:2987;top:4460;width:1709;height:2094" coordorigin="2987,4460" coordsize="1709,2094" path="m4609,4460l4574,4461,4539,4463,4504,4466,4470,4471,4435,4477,4401,4484,4333,4501,4251,4530,4235,4536,4219,4543,4203,4550,4171,4564,4155,4571,4139,4579,4062,4621,4047,4629,4032,4638,3929,4705,3846,4769,3832,4780,3818,4790,3804,4801,3685,4905,3561,5029,3537,5055,3514,5081,3491,5107,3467,5133,3444,5159,3420,5185,3398,5213,3310,5322,3288,5349,3267,5378,3143,5548,3123,5577,2987,5783,2987,5783,2987,5785,3009,5973,3015,6020,3021,6067,3026,6114,3042,6236,3052,6312,3062,6387,3072,6462,3082,6537,3083,6543,3086,6547,3099,6554,3108,6550,3112,6542,3112,6542,3116,6533,3113,6533,3083,6528,3105,6481,3102,6458,3090,6383,3078,6308,3066,6233,3047,6111,3039,6064,3031,6018,3023,5971,2991,5785,3136,5587,3157,5559,3286,5394,3308,5367,3444,5208,3468,5182,3492,5157,3515,5132,3539,5106,3563,5081,3587,5056,3712,4936,3830,4835,3843,4824,3857,4814,3953,4741,4053,4676,4068,4668,4083,4659,4157,4619,4173,4611,4250,4576,4265,4570,4345,4542,4410,4524,4443,4517,4476,4511,4509,4506,4542,4503,4575,4500,4591,4500,4596,4497,4671,4463,4689,4463,4688,4463,4643,4461,4609,4460xm3105,6481l3083,6528,3113,6533,3105,6481xm4609,4499l4591,4500,4523,4537,4455,4582,4438,4595,4422,4607,4389,4632,4357,4658,4326,4685,4295,4712,4250,4755,4236,4769,4221,4784,4207,4799,4192,4814,4178,4828,4164,4843,4095,4920,4042,4983,4015,5014,3989,5046,3963,5079,3913,5144,3888,5177,3839,5243,3791,5310,3767,5344,3720,5412,3673,5480,3650,5515,3604,5584,3582,5618,3560,5653,3515,5723,3472,5794,3429,5865,3387,5936,3367,5973,3346,6009,3326,6045,3287,6118,3267,6155,3247,6191,3229,6228,3191,6303,3154,6377,3119,6452,3105,6481,3113,6533,3116,6533,3148,6467,3184,6393,3222,6319,3260,6246,3298,6173,3337,6099,3376,6026,3416,5954,3496,5809,3511,5783,3537,5738,3558,5702,3579,5666,3622,5595,3665,5525,3709,5455,3755,5387,3778,5352,3801,5318,3849,5251,3873,5218,3898,5185,3923,5152,3974,5088,4000,5056,4026,5024,4053,4993,4108,4932,4178,4858,4193,4844,4207,4830,4224,4814,4236,4801,4251,4787,4266,4773,4312,4733,4343,4707,4375,4681,4407,4657,4423,4645,4456,4621,4472,4610,4540,4567,4610,4530,4681,4500,4676,4500,4643,4499,4609,4499xm4676,4499l4609,4499,4643,4499,4676,4500,4676,4499xm4689,4463l4671,4463,4676,4500,4681,4500,4683,4499,4684,4499,4691,4496,4695,4490,4696,4472,4689,4463xm4671,4463l4596,4497,4591,4500,4609,4499,4676,4499,4671,4463xe" filled="true" fillcolor="#ffffff" stroked="false">
              <v:path arrowok="t"/>
              <v:fill type="solid"/>
            </v:shape>
            <v:shape style="position:absolute;left:3098;top:4482;width:2141;height:2054" coordorigin="3098,4482" coordsize="2141,2054" path="m4710,4482l4320,4535,4022,4766,3665,5369,3098,6535,3209,6406,3317,6284,3420,6171,3520,6064,3617,5964,3709,5871,3799,5785,3885,5705,3967,5632,4046,5564,4123,5501,4196,5445,4266,5393,4333,5346,4397,5305,4459,5267,4518,5234,4574,5205,4628,5180,4679,5158,4728,5140,4775,5125,4820,5113,4862,5103,4903,5096,4941,5091,4978,5088,5013,5087,5199,5087,5183,5076,5129,5027,5074,4970,5022,4906,4970,4837,4921,4768,4828,4634,4785,4574,4746,4522,4710,4482xm5199,5087l5013,5087,5046,5088,5078,5089,5108,5092,5137,5096,5164,5100,5190,5105,5239,5114,5199,5087xe" filled="true" fillcolor="#828486" stroked="false">
              <v:path arrowok="t"/>
              <v:fill type="solid"/>
            </v:shape>
            <v:shape style="position:absolute;left:3096;top:4475;width:2162;height:2063" coordorigin="3096,4475" coordsize="2162,2063" path="m3097,6537l3097,6537,3098,6537,3097,6537xm3099,6536l3098,6537,3098,6537,3098,6537,3099,6537,3099,6536xm3109,6518l3096,6534,3096,6534,3096,6536,3096,6537,3097,6537,3098,6537,3098,6537,3099,6536,3109,6518xm3096,6536l3096,6536,3097,6537,3096,6536xm5034,5069l4992,5069,4949,5071,4907,5076,4866,5083,4824,5091,4783,5102,4743,5114,4703,5128,4663,5142,4624,5159,4586,5176,4548,5194,4510,5214,4473,5234,4437,5255,4365,5299,4295,5346,4260,5371,4226,5395,4192,5421,4159,5447,4125,5472,4093,5499,4027,5553,3963,5608,3932,5636,3869,5693,3839,5722,3777,5780,3747,5810,3717,5840,3657,5899,3569,5991,3540,6022,3454,6115,3342,6242,3314,6274,3259,6338,3204,6403,3109,6518,3099,6536,3213,6411,3356,6256,3472,6134,3561,6043,3680,5924,3771,5837,3802,5808,3864,5751,3895,5723,3958,5667,3989,5640,4021,5613,4053,5586,4118,5533,4150,5507,4217,5456,4250,5431,4284,5407,4318,5383,4387,5337,4458,5294,4494,5273,4530,5253,4566,5233,4603,5215,4640,5198,4678,5182,4716,5167,4754,5153,4794,5141,4833,5130,4872,5122,4912,5115,4953,5110,4993,5107,5033,5106,5198,5106,5187,5099,5168,5083,5160,5082,5118,5075,5076,5071,5034,5069xm3096,6534l3096,6534,3096,6535,3096,6534xm4712,4475l4710,4475,4669,4480,4628,4490,4589,4503,4551,4519,4514,4537,4478,4558,4442,4580,4408,4604,4343,4655,4280,4710,4219,4768,4161,4827,4104,4889,4049,4952,3996,5017,3943,5082,3893,5149,3843,5217,3795,5286,3747,5355,3701,5426,3656,5496,3611,5568,3568,5640,3525,5712,3482,5785,3440,5858,3399,5932,3359,6006,3319,6080,3280,6155,3242,6230,3204,6305,3167,6381,3131,6457,3096,6534,3109,6518,3139,6461,3178,6387,3218,6313,3299,6166,3340,6093,3382,6020,3424,5947,3466,5874,3509,5802,3552,5730,3596,5658,3640,5587,3685,5517,3731,5446,3777,5377,3823,5307,3871,5238,3919,5170,3968,5103,4018,5036,4069,4970,4122,4906,4176,4843,4233,4782,4291,4723,4352,4668,4417,4616,4450,4592,4484,4570,4520,4549,4556,4530,4593,4515,4632,4502,4671,4493,4708,4489,4706,4487,4724,4487,4715,4477,4714,4475,4712,4475xm5198,5106l5033,5106,5074,5108,5114,5111,5155,5116,5195,5123,5236,5130,5236,5130,5243,5132,5249,5129,5231,5129,5198,5106xm5168,5083l5187,5099,5231,5129,5242,5098,5201,5089,5168,5083xm4724,4487l4706,4487,4711,4489,4708,4489,4723,4505,4739,4525,4755,4545,4771,4566,4786,4587,4801,4608,4816,4629,4830,4651,4888,4737,4917,4781,4947,4823,4977,4866,5008,4908,5040,4949,5074,4989,5109,5028,5146,5065,5168,5083,5201,5089,5242,5098,5231,5129,5249,5129,5250,5128,5253,5122,5257,5114,5254,5104,5246,5099,5225,5087,5205,5073,5185,5057,5166,5041,5147,5025,5129,5007,5111,4989,5093,4970,5059,4932,5027,4892,4995,4852,4964,4810,4933,4768,4903,4726,4813,4599,4797,4578,4782,4557,4766,4536,4750,4516,4733,4496,4724,4487xm4706,4487l4708,4489,4711,4489,4706,4487xe" filled="true" fillcolor="#ffffff" stroked="false">
              <v:path arrowok="t"/>
              <v:fill type="solid"/>
            </v:shape>
            <v:shape style="position:absolute;left:3468;top:508;width:1771;height:4609" coordorigin="3468,508" coordsize="1771,4609" path="m4398,508l3842,626,3468,2148,3489,3124,4035,3973,5239,5118,5225,4854,5208,4573,5194,4349,5187,4258,4464,3441,4141,2778,4144,1918,4398,508xe" filled="true" fillcolor="#959799" stroked="false">
              <v:path arrowok="t"/>
              <v:fill type="solid"/>
            </v:shape>
            <v:shape style="position:absolute;left:3715;top:501;width:1535;height:4640" coordorigin="3715,501" coordsize="1535,4640" path="m4410,501l4396,501,3841,641,3821,721,3805,781,3790,861,3776,941,3764,1021,3754,1101,3744,1161,3736,1241,3730,1321,3724,1401,3720,1481,3717,1561,3715,1641,3715,1721,3715,1801,3717,1861,3721,1941,3725,2021,3731,2101,3738,2181,3746,2261,3755,2341,3766,2421,3777,2481,3790,2561,3805,2641,3820,2721,3837,2801,3856,2861,3876,2941,3897,3021,3919,3101,3942,3161,3967,3241,3993,3321,4021,3381,4049,3461,4079,3521,4111,3601,4143,3661,4177,3741,4212,3801,4248,3881,4285,3941,4323,4001,4362,4081,4403,4141,4444,4201,4486,4261,4530,4341,4574,4401,4620,4461,4643,4481,4666,4521,4690,4541,4713,4581,4737,4601,4761,4641,4786,4661,4810,4701,4835,4721,4860,4761,4886,4781,4911,4801,4937,4841,4963,4861,4989,4901,5015,4921,5069,4981,5123,5021,5177,5081,5232,5141,5249,5141,5248,5121,5229,5121,5228,5103,5189,5061,5134,5021,5079,4961,5026,4921,4999,4881,4973,4861,4947,4821,4896,4781,4870,4741,4845,4721,4820,4681,4795,4661,4771,4621,4747,4601,4723,4561,4676,4501,4653,4481,4630,4441,4585,4381,4541,4321,4498,4261,4456,4201,4416,4141,4377,4061,4338,4001,4302,3941,4266,3861,4231,3801,4198,3721,4166,3661,4135,3581,4105,3521,4076,3441,4049,3381,4023,3301,3998,3221,3974,3161,3951,3081,3930,3001,3909,2941,3890,2861,3872,2781,3856,2701,3840,2641,3825,2561,3812,2481,3799,2401,3788,2321,3779,2261,3770,2181,3763,2101,3757,2021,3752,1941,3748,1861,3745,1781,3743,1721,3743,1641,3743,1561,3745,1481,3748,1401,3752,1321,3757,1241,3763,1181,3771,1101,3779,1021,3789,941,3800,861,3813,781,3827,721,3844,641,4388,523,4389,521,4407,521,4410,501xm5228,5103l5229,5121,5245,5121,5228,5103xm5173,4277l5178,4361,5184,4441,5191,4521,5197,4621,5202,4701,5228,5103,5245,5121,5248,5121,5223,4621,5218,4521,5213,4441,5208,4361,5204,4281,5176,4281,5173,4277xm5172,4261l5173,4277,5176,4281,5172,4261xm5203,4261l5172,4261,5176,4281,5204,4281,5203,4261xm4407,521l4400,521,4388,523,4377,581,4365,641,4354,701,4344,761,4335,821,4326,881,4317,941,4310,1001,4303,1061,4297,1141,4292,1201,4287,1261,4283,1321,4280,1381,4277,1441,4276,1501,4275,1561,4275,1641,4275,1701,4276,1761,4279,1821,4282,1881,4285,1941,4290,2001,4298,2081,4307,2161,4318,2241,4330,2341,4343,2421,4358,2501,4375,2581,4393,2661,4412,2741,4433,2821,4456,2901,4480,2981,4505,3061,4533,3141,4561,3221,4592,3301,4623,3361,4656,3441,4691,3521,4727,3601,4765,3661,4804,3741,4844,3801,4886,3881,4919,3941,4952,3981,4987,4041,5022,4081,5059,4141,5096,4181,5135,4241,5173,4277,5172,4261,5198,4261,5159,4221,5122,4161,5085,4121,5050,4061,5016,4021,4982,3961,4949,3921,4918,3861,4876,3781,4837,3721,4798,3641,4762,3581,4727,3501,4693,3421,4660,3341,4630,3281,4600,3201,4572,3121,4546,3041,4520,2961,4497,2881,4474,2801,4453,2721,4434,2641,4416,2561,4399,2481,4384,2401,4370,2321,4358,2241,4347,2161,4338,2081,4330,2001,4324,1941,4320,1881,4316,1821,4313,1761,4309,1621,4309,1561,4309,1501,4310,1441,4311,1381,4314,1321,4316,1261,4320,1201,4325,1141,4330,1081,4336,1001,4342,941,4350,881,4358,821,4366,761,4376,701,4386,641,4396,581,4407,521xm4400,521l4389,521,4388,523,4400,521xe" filled="true" fillcolor="#ffffff" stroked="false">
              <v:path arrowok="t"/>
              <v:fill type="solid"/>
            </v:shape>
            <w10:wrap type="topAndBottom"/>
          </v:group>
        </w:pict>
      </w:r>
    </w:p>
    <w:p>
      <w:pPr>
        <w:spacing w:line="187" w:lineRule="auto" w:before="22"/>
        <w:ind w:left="43" w:right="3001" w:firstLine="1118"/>
        <w:jc w:val="right"/>
        <w:rPr>
          <w:rFonts w:ascii="Lucida Sans Unicode" w:hAnsi="Lucida Sans Unicode"/>
          <w:sz w:val="28"/>
        </w:rPr>
      </w:pPr>
      <w:r>
        <w:rPr>
          <w:rFonts w:ascii="Lucida Sans Unicode" w:hAnsi="Lucida Sans Unicode"/>
          <w:color w:val="FFFFFF"/>
          <w:w w:val="95"/>
          <w:sz w:val="28"/>
        </w:rPr>
        <w:t>“L’ESTERNO È SEMPRE</w:t>
      </w:r>
      <w:r>
        <w:rPr>
          <w:rFonts w:ascii="Lucida Sans Unicode" w:hAnsi="Lucida Sans Unicode"/>
          <w:color w:val="FFFFFF"/>
          <w:w w:val="97"/>
          <w:sz w:val="28"/>
        </w:rPr>
        <w:t> </w:t>
      </w:r>
      <w:r>
        <w:rPr>
          <w:rFonts w:ascii="Lucida Sans Unicode" w:hAnsi="Lucida Sans Unicode"/>
          <w:color w:val="FFFFFF"/>
          <w:w w:val="90"/>
          <w:sz w:val="28"/>
        </w:rPr>
        <w:t>DENTRO”. TENSIONI E</w:t>
      </w:r>
      <w:r>
        <w:rPr>
          <w:rFonts w:ascii="Lucida Sans Unicode" w:hAnsi="Lucida Sans Unicode"/>
          <w:color w:val="FFFFFF"/>
          <w:w w:val="100"/>
          <w:sz w:val="28"/>
        </w:rPr>
        <w:t> </w:t>
      </w:r>
      <w:r>
        <w:rPr>
          <w:rFonts w:ascii="Lucida Sans Unicode" w:hAnsi="Lucida Sans Unicode"/>
          <w:color w:val="FFFFFF"/>
          <w:w w:val="90"/>
          <w:sz w:val="28"/>
        </w:rPr>
        <w:t>TRASFORMAZIONI RECENTI</w:t>
      </w:r>
      <w:r>
        <w:rPr>
          <w:rFonts w:ascii="Lucida Sans Unicode" w:hAnsi="Lucida Sans Unicode"/>
          <w:color w:val="FFFFFF"/>
          <w:w w:val="90"/>
          <w:sz w:val="28"/>
        </w:rPr>
        <w:t> </w:t>
      </w:r>
      <w:r>
        <w:rPr>
          <w:rFonts w:ascii="Lucida Sans Unicode" w:hAnsi="Lucida Sans Unicode"/>
          <w:color w:val="FFFFFF"/>
          <w:w w:val="90"/>
          <w:sz w:val="28"/>
        </w:rPr>
        <w:t>NELLO SPAZIO POLITICO DELLO</w:t>
      </w:r>
      <w:r>
        <w:rPr>
          <w:rFonts w:ascii="Lucida Sans Unicode" w:hAnsi="Lucida Sans Unicode"/>
          <w:color w:val="FFFFFF"/>
          <w:w w:val="89"/>
          <w:sz w:val="28"/>
        </w:rPr>
        <w:t> </w:t>
      </w:r>
      <w:r>
        <w:rPr>
          <w:rFonts w:ascii="Lucida Sans Unicode" w:hAnsi="Lucida Sans Unicode"/>
          <w:color w:val="FFFFFF"/>
          <w:w w:val="90"/>
          <w:sz w:val="28"/>
        </w:rPr>
        <w:t>STATO E LA DEMOCRAZIA</w:t>
      </w:r>
    </w:p>
    <w:p>
      <w:pPr>
        <w:pStyle w:val="BodyText"/>
        <w:spacing w:before="7"/>
        <w:rPr>
          <w:rFonts w:ascii="Lucida Sans Unicode"/>
          <w:sz w:val="22"/>
        </w:rPr>
      </w:pPr>
    </w:p>
    <w:p>
      <w:pPr>
        <w:spacing w:before="45"/>
        <w:ind w:left="3954" w:right="692" w:firstLine="0"/>
        <w:jc w:val="left"/>
        <w:rPr>
          <w:rFonts w:ascii="Calibri"/>
          <w:sz w:val="28"/>
        </w:rPr>
      </w:pPr>
      <w:r>
        <w:rPr>
          <w:rFonts w:ascii="Calibri"/>
          <w:color w:val="FFFFFF"/>
          <w:sz w:val="28"/>
        </w:rPr>
        <w:t>Israel</w:t>
      </w:r>
      <w:r>
        <w:rPr>
          <w:rFonts w:ascii="Calibri"/>
          <w:color w:val="FFFFFF"/>
          <w:spacing w:val="50"/>
          <w:sz w:val="28"/>
        </w:rPr>
        <w:t> </w:t>
      </w:r>
      <w:r>
        <w:rPr>
          <w:rFonts w:ascii="Calibri"/>
          <w:color w:val="FFFFFF"/>
          <w:sz w:val="28"/>
        </w:rPr>
        <w:t>Covarrubias</w:t>
      </w:r>
    </w:p>
    <w:p>
      <w:pPr>
        <w:spacing w:after="0"/>
        <w:jc w:val="left"/>
        <w:rPr>
          <w:rFonts w:ascii="Calibri"/>
          <w:sz w:val="28"/>
        </w:rPr>
        <w:sectPr>
          <w:pgSz w:w="9640" w:h="13890"/>
          <w:pgMar w:top="42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8"/>
        </w:rPr>
      </w:pPr>
    </w:p>
    <w:p>
      <w:pPr>
        <w:pStyle w:val="BodyText"/>
        <w:spacing w:line="244" w:lineRule="auto" w:before="44"/>
        <w:ind w:left="1180" w:right="121"/>
        <w:jc w:val="both"/>
      </w:pPr>
      <w:r>
        <w:rPr/>
        <w:pict>
          <v:shape style="position:absolute;margin-left:76.553596pt;margin-top:5.638851pt;width:42.5pt;height:51pt;mso-position-horizontal-relative:page;mso-position-vertical-relative:paragraph;z-index:13288"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sz w:val="102"/>
                    </w:rPr>
                    <w:t>N</w:t>
                  </w:r>
                </w:p>
              </w:txbxContent>
            </v:textbox>
            <w10:wrap type="none"/>
          </v:shape>
        </w:pict>
      </w:r>
      <w:r>
        <w:rPr>
          <w:color w:val="231F20"/>
        </w:rPr>
        <w:t>el contesto globale si evidenzia una profonda e a momenti radicale trasformazione dello </w:t>
      </w:r>
      <w:r>
        <w:rPr>
          <w:rFonts w:ascii="Arial"/>
          <w:i/>
          <w:color w:val="231F20"/>
        </w:rPr>
        <w:t>spazio </w:t>
      </w:r>
      <w:r>
        <w:rPr>
          <w:color w:val="231F20"/>
        </w:rPr>
        <w:t>politico della democrazia, che raggiunge tanto le sedi convenzionali della rappresentanza</w:t>
      </w:r>
    </w:p>
    <w:p>
      <w:pPr>
        <w:pStyle w:val="BodyText"/>
        <w:spacing w:line="247" w:lineRule="auto" w:before="1"/>
        <w:ind w:left="1180" w:right="110"/>
      </w:pPr>
      <w:r>
        <w:rPr>
          <w:color w:val="231F20"/>
        </w:rPr>
        <w:t>politica, come le instituzioni che si occupano della distribuzione e</w:t>
      </w:r>
      <w:r>
        <w:rPr>
          <w:color w:val="231F20"/>
          <w:spacing w:val="-21"/>
        </w:rPr>
        <w:t> </w:t>
      </w:r>
      <w:r>
        <w:rPr>
          <w:color w:val="231F20"/>
        </w:rPr>
        <w:t>l’esercizio</w:t>
      </w:r>
      <w:r>
        <w:rPr>
          <w:color w:val="231F20"/>
          <w:spacing w:val="-21"/>
        </w:rPr>
        <w:t> </w:t>
      </w:r>
      <w:r>
        <w:rPr>
          <w:color w:val="231F20"/>
        </w:rPr>
        <w:t>del</w:t>
      </w:r>
      <w:r>
        <w:rPr>
          <w:color w:val="231F20"/>
          <w:spacing w:val="-21"/>
        </w:rPr>
        <w:t> </w:t>
      </w:r>
      <w:r>
        <w:rPr>
          <w:color w:val="231F20"/>
        </w:rPr>
        <w:t>governo</w:t>
      </w:r>
      <w:r>
        <w:rPr>
          <w:color w:val="231F20"/>
          <w:spacing w:val="-21"/>
        </w:rPr>
        <w:t> </w:t>
      </w:r>
      <w:r>
        <w:rPr>
          <w:color w:val="231F20"/>
        </w:rPr>
        <w:t>e</w:t>
      </w:r>
      <w:r>
        <w:rPr>
          <w:color w:val="231F20"/>
          <w:spacing w:val="-21"/>
        </w:rPr>
        <w:t> </w:t>
      </w:r>
      <w:r>
        <w:rPr>
          <w:color w:val="231F20"/>
        </w:rPr>
        <w:t>il</w:t>
      </w:r>
      <w:r>
        <w:rPr>
          <w:color w:val="231F20"/>
          <w:spacing w:val="-21"/>
        </w:rPr>
        <w:t> </w:t>
      </w:r>
      <w:r>
        <w:rPr>
          <w:color w:val="231F20"/>
          <w:spacing w:val="-3"/>
        </w:rPr>
        <w:t>potere.</w:t>
      </w:r>
      <w:r>
        <w:rPr>
          <w:color w:val="231F20"/>
          <w:spacing w:val="-21"/>
        </w:rPr>
        <w:t> </w:t>
      </w:r>
      <w:r>
        <w:rPr>
          <w:color w:val="231F20"/>
        </w:rPr>
        <w:t>La</w:t>
      </w:r>
      <w:r>
        <w:rPr>
          <w:color w:val="231F20"/>
          <w:spacing w:val="-21"/>
        </w:rPr>
        <w:t> </w:t>
      </w:r>
      <w:r>
        <w:rPr>
          <w:color w:val="231F20"/>
        </w:rPr>
        <w:t>trasformazione</w:t>
      </w:r>
      <w:r>
        <w:rPr>
          <w:color w:val="231F20"/>
          <w:spacing w:val="-21"/>
        </w:rPr>
        <w:t> </w:t>
      </w:r>
      <w:r>
        <w:rPr>
          <w:color w:val="231F20"/>
        </w:rPr>
        <w:t>ha</w:t>
      </w:r>
      <w:r>
        <w:rPr>
          <w:color w:val="231F20"/>
          <w:spacing w:val="-21"/>
        </w:rPr>
        <w:t> </w:t>
      </w:r>
      <w:r>
        <w:rPr>
          <w:color w:val="231F20"/>
        </w:rPr>
        <w:t>avuto</w:t>
      </w:r>
      <w:r>
        <w:rPr>
          <w:color w:val="231F20"/>
          <w:spacing w:val="-21"/>
        </w:rPr>
        <w:t> </w:t>
      </w:r>
      <w:r>
        <w:rPr>
          <w:color w:val="231F20"/>
        </w:rPr>
        <w:t>a</w:t>
      </w:r>
    </w:p>
    <w:p>
      <w:pPr>
        <w:pStyle w:val="BodyText"/>
        <w:spacing w:line="247" w:lineRule="auto"/>
        <w:ind w:left="117" w:right="121"/>
        <w:jc w:val="both"/>
      </w:pPr>
      <w:r>
        <w:rPr>
          <w:color w:val="231F20"/>
          <w:w w:val="105"/>
        </w:rPr>
        <w:t>che</w:t>
      </w:r>
      <w:r>
        <w:rPr>
          <w:color w:val="231F20"/>
          <w:spacing w:val="-45"/>
          <w:w w:val="105"/>
        </w:rPr>
        <w:t> </w:t>
      </w:r>
      <w:r>
        <w:rPr>
          <w:color w:val="231F20"/>
          <w:spacing w:val="-3"/>
          <w:w w:val="105"/>
        </w:rPr>
        <w:t>fare</w:t>
      </w:r>
      <w:r>
        <w:rPr>
          <w:color w:val="231F20"/>
          <w:spacing w:val="-45"/>
          <w:w w:val="105"/>
        </w:rPr>
        <w:t> </w:t>
      </w:r>
      <w:r>
        <w:rPr>
          <w:color w:val="231F20"/>
          <w:w w:val="105"/>
        </w:rPr>
        <w:t>con</w:t>
      </w:r>
      <w:r>
        <w:rPr>
          <w:color w:val="231F20"/>
          <w:spacing w:val="-45"/>
          <w:w w:val="105"/>
        </w:rPr>
        <w:t> </w:t>
      </w:r>
      <w:r>
        <w:rPr>
          <w:color w:val="231F20"/>
          <w:w w:val="105"/>
        </w:rPr>
        <w:t>la</w:t>
      </w:r>
      <w:r>
        <w:rPr>
          <w:color w:val="231F20"/>
          <w:spacing w:val="-45"/>
          <w:w w:val="105"/>
        </w:rPr>
        <w:t> </w:t>
      </w:r>
      <w:r>
        <w:rPr>
          <w:color w:val="231F20"/>
          <w:w w:val="105"/>
        </w:rPr>
        <w:t>ogni</w:t>
      </w:r>
      <w:r>
        <w:rPr>
          <w:color w:val="231F20"/>
          <w:spacing w:val="-45"/>
          <w:w w:val="105"/>
        </w:rPr>
        <w:t> </w:t>
      </w:r>
      <w:r>
        <w:rPr>
          <w:color w:val="231F20"/>
          <w:w w:val="105"/>
        </w:rPr>
        <w:t>volta</w:t>
      </w:r>
      <w:r>
        <w:rPr>
          <w:color w:val="231F20"/>
          <w:spacing w:val="-45"/>
          <w:w w:val="105"/>
        </w:rPr>
        <w:t> </w:t>
      </w:r>
      <w:r>
        <w:rPr>
          <w:color w:val="231F20"/>
          <w:w w:val="105"/>
        </w:rPr>
        <w:t>più</w:t>
      </w:r>
      <w:r>
        <w:rPr>
          <w:color w:val="231F20"/>
          <w:spacing w:val="-45"/>
          <w:w w:val="105"/>
        </w:rPr>
        <w:t> </w:t>
      </w:r>
      <w:r>
        <w:rPr>
          <w:color w:val="231F20"/>
          <w:w w:val="105"/>
        </w:rPr>
        <w:t>impellente</w:t>
      </w:r>
      <w:r>
        <w:rPr>
          <w:color w:val="231F20"/>
          <w:spacing w:val="-45"/>
          <w:w w:val="105"/>
        </w:rPr>
        <w:t> </w:t>
      </w:r>
      <w:r>
        <w:rPr>
          <w:color w:val="231F20"/>
          <w:w w:val="105"/>
        </w:rPr>
        <w:t>necessità</w:t>
      </w:r>
      <w:r>
        <w:rPr>
          <w:color w:val="231F20"/>
          <w:spacing w:val="-45"/>
          <w:w w:val="105"/>
        </w:rPr>
        <w:t> </w:t>
      </w:r>
      <w:r>
        <w:rPr>
          <w:color w:val="231F20"/>
          <w:w w:val="105"/>
        </w:rPr>
        <w:t>della</w:t>
      </w:r>
      <w:r>
        <w:rPr>
          <w:color w:val="231F20"/>
          <w:spacing w:val="-45"/>
          <w:w w:val="105"/>
        </w:rPr>
        <w:t> </w:t>
      </w:r>
      <w:r>
        <w:rPr>
          <w:color w:val="231F20"/>
          <w:w w:val="105"/>
        </w:rPr>
        <w:t>partecipazione</w:t>
      </w:r>
      <w:r>
        <w:rPr>
          <w:color w:val="231F20"/>
          <w:spacing w:val="-45"/>
          <w:w w:val="105"/>
        </w:rPr>
        <w:t> </w:t>
      </w:r>
      <w:r>
        <w:rPr>
          <w:color w:val="231F20"/>
          <w:w w:val="105"/>
        </w:rPr>
        <w:t>dello Stato</w:t>
      </w:r>
      <w:r>
        <w:rPr>
          <w:color w:val="231F20"/>
          <w:spacing w:val="-9"/>
          <w:w w:val="105"/>
        </w:rPr>
        <w:t> </w:t>
      </w:r>
      <w:r>
        <w:rPr>
          <w:color w:val="231F20"/>
          <w:w w:val="105"/>
        </w:rPr>
        <w:t>nel</w:t>
      </w:r>
      <w:r>
        <w:rPr>
          <w:color w:val="231F20"/>
          <w:spacing w:val="-9"/>
          <w:w w:val="105"/>
        </w:rPr>
        <w:t> </w:t>
      </w:r>
      <w:r>
        <w:rPr>
          <w:color w:val="231F20"/>
          <w:w w:val="105"/>
        </w:rPr>
        <w:t>campo</w:t>
      </w:r>
      <w:r>
        <w:rPr>
          <w:color w:val="231F20"/>
          <w:spacing w:val="-9"/>
          <w:w w:val="105"/>
        </w:rPr>
        <w:t> </w:t>
      </w:r>
      <w:r>
        <w:rPr>
          <w:color w:val="231F20"/>
          <w:w w:val="105"/>
        </w:rPr>
        <w:t>económico,</w:t>
      </w:r>
      <w:r>
        <w:rPr>
          <w:color w:val="231F20"/>
          <w:spacing w:val="-9"/>
          <w:w w:val="105"/>
        </w:rPr>
        <w:t> </w:t>
      </w:r>
      <w:r>
        <w:rPr>
          <w:color w:val="231F20"/>
          <w:w w:val="105"/>
        </w:rPr>
        <w:t>spazio</w:t>
      </w:r>
      <w:r>
        <w:rPr>
          <w:color w:val="231F20"/>
          <w:spacing w:val="-9"/>
          <w:w w:val="105"/>
        </w:rPr>
        <w:t> </w:t>
      </w:r>
      <w:r>
        <w:rPr>
          <w:color w:val="231F20"/>
          <w:w w:val="105"/>
        </w:rPr>
        <w:t>da</w:t>
      </w:r>
      <w:r>
        <w:rPr>
          <w:color w:val="231F20"/>
          <w:spacing w:val="-9"/>
          <w:w w:val="105"/>
        </w:rPr>
        <w:t> </w:t>
      </w:r>
      <w:r>
        <w:rPr>
          <w:color w:val="231F20"/>
          <w:w w:val="105"/>
        </w:rPr>
        <w:t>cui</w:t>
      </w:r>
      <w:r>
        <w:rPr>
          <w:color w:val="231F20"/>
          <w:spacing w:val="-9"/>
          <w:w w:val="105"/>
        </w:rPr>
        <w:t> </w:t>
      </w:r>
      <w:r>
        <w:rPr>
          <w:color w:val="231F20"/>
          <w:w w:val="105"/>
        </w:rPr>
        <w:t>si</w:t>
      </w:r>
      <w:r>
        <w:rPr>
          <w:color w:val="231F20"/>
          <w:spacing w:val="-9"/>
          <w:w w:val="105"/>
        </w:rPr>
        <w:t> </w:t>
      </w:r>
      <w:r>
        <w:rPr>
          <w:color w:val="231F20"/>
          <w:w w:val="105"/>
        </w:rPr>
        <w:t>era</w:t>
      </w:r>
      <w:r>
        <w:rPr>
          <w:color w:val="231F20"/>
          <w:spacing w:val="-9"/>
          <w:w w:val="105"/>
        </w:rPr>
        <w:t> </w:t>
      </w:r>
      <w:r>
        <w:rPr>
          <w:color w:val="231F20"/>
          <w:w w:val="105"/>
        </w:rPr>
        <w:t>allontanato</w:t>
      </w:r>
      <w:r>
        <w:rPr>
          <w:color w:val="231F20"/>
          <w:spacing w:val="-9"/>
          <w:w w:val="105"/>
        </w:rPr>
        <w:t> </w:t>
      </w:r>
      <w:r>
        <w:rPr>
          <w:color w:val="231F20"/>
          <w:w w:val="105"/>
        </w:rPr>
        <w:t>nelle</w:t>
      </w:r>
      <w:r>
        <w:rPr>
          <w:color w:val="231F20"/>
          <w:spacing w:val="-9"/>
          <w:w w:val="105"/>
        </w:rPr>
        <w:t> </w:t>
      </w:r>
      <w:r>
        <w:rPr>
          <w:color w:val="231F20"/>
          <w:w w:val="105"/>
        </w:rPr>
        <w:t>ultime due</w:t>
      </w:r>
      <w:r>
        <w:rPr>
          <w:color w:val="231F20"/>
          <w:spacing w:val="-26"/>
          <w:w w:val="105"/>
        </w:rPr>
        <w:t> </w:t>
      </w:r>
      <w:r>
        <w:rPr>
          <w:color w:val="231F20"/>
          <w:w w:val="105"/>
        </w:rPr>
        <w:t>decadi</w:t>
      </w:r>
      <w:r>
        <w:rPr>
          <w:color w:val="231F20"/>
          <w:spacing w:val="-26"/>
          <w:w w:val="105"/>
        </w:rPr>
        <w:t> </w:t>
      </w:r>
      <w:r>
        <w:rPr>
          <w:color w:val="231F20"/>
          <w:w w:val="105"/>
        </w:rPr>
        <w:t>del</w:t>
      </w:r>
      <w:r>
        <w:rPr>
          <w:color w:val="231F20"/>
          <w:spacing w:val="-26"/>
          <w:w w:val="105"/>
        </w:rPr>
        <w:t> </w:t>
      </w:r>
      <w:r>
        <w:rPr>
          <w:color w:val="231F20"/>
          <w:w w:val="105"/>
        </w:rPr>
        <w:t>secolo</w:t>
      </w:r>
      <w:r>
        <w:rPr>
          <w:color w:val="231F20"/>
          <w:spacing w:val="-26"/>
          <w:w w:val="105"/>
        </w:rPr>
        <w:t> </w:t>
      </w:r>
      <w:r>
        <w:rPr>
          <w:color w:val="231F20"/>
          <w:w w:val="105"/>
        </w:rPr>
        <w:t>scorso</w:t>
      </w:r>
      <w:r>
        <w:rPr>
          <w:color w:val="231F20"/>
          <w:w w:val="105"/>
          <w:position w:val="7"/>
          <w:sz w:val="12"/>
        </w:rPr>
        <w:t>1</w:t>
      </w:r>
      <w:r>
        <w:rPr>
          <w:color w:val="231F20"/>
          <w:spacing w:val="4"/>
          <w:w w:val="105"/>
          <w:position w:val="7"/>
          <w:sz w:val="12"/>
        </w:rPr>
        <w:t> </w:t>
      </w:r>
      <w:r>
        <w:rPr>
          <w:color w:val="231F20"/>
          <w:w w:val="105"/>
        </w:rPr>
        <w:t>e</w:t>
      </w:r>
      <w:r>
        <w:rPr>
          <w:color w:val="231F20"/>
          <w:spacing w:val="-26"/>
          <w:w w:val="105"/>
        </w:rPr>
        <w:t> </w:t>
      </w:r>
      <w:r>
        <w:rPr>
          <w:color w:val="231F20"/>
          <w:w w:val="105"/>
        </w:rPr>
        <w:t>anche</w:t>
      </w:r>
      <w:r>
        <w:rPr>
          <w:color w:val="231F20"/>
          <w:spacing w:val="-26"/>
          <w:w w:val="105"/>
        </w:rPr>
        <w:t> </w:t>
      </w:r>
      <w:r>
        <w:rPr>
          <w:color w:val="231F20"/>
          <w:w w:val="105"/>
        </w:rPr>
        <w:t>con</w:t>
      </w:r>
      <w:r>
        <w:rPr>
          <w:color w:val="231F20"/>
          <w:spacing w:val="-26"/>
          <w:w w:val="105"/>
        </w:rPr>
        <w:t> </w:t>
      </w:r>
      <w:r>
        <w:rPr>
          <w:color w:val="231F20"/>
          <w:w w:val="105"/>
        </w:rPr>
        <w:t>la</w:t>
      </w:r>
      <w:r>
        <w:rPr>
          <w:color w:val="231F20"/>
          <w:spacing w:val="-26"/>
          <w:w w:val="105"/>
        </w:rPr>
        <w:t> </w:t>
      </w:r>
      <w:r>
        <w:rPr>
          <w:color w:val="231F20"/>
          <w:w w:val="105"/>
        </w:rPr>
        <w:t>recente</w:t>
      </w:r>
      <w:r>
        <w:rPr>
          <w:color w:val="231F20"/>
          <w:spacing w:val="-26"/>
          <w:w w:val="105"/>
        </w:rPr>
        <w:t> </w:t>
      </w:r>
      <w:r>
        <w:rPr>
          <w:color w:val="231F20"/>
          <w:w w:val="105"/>
        </w:rPr>
        <w:t>intensificazione</w:t>
      </w:r>
      <w:r>
        <w:rPr>
          <w:color w:val="231F20"/>
          <w:spacing w:val="-26"/>
          <w:w w:val="105"/>
        </w:rPr>
        <w:t> </w:t>
      </w:r>
      <w:r>
        <w:rPr>
          <w:color w:val="231F20"/>
          <w:w w:val="105"/>
        </w:rPr>
        <w:t>della separazione</w:t>
      </w:r>
      <w:r>
        <w:rPr>
          <w:color w:val="231F20"/>
          <w:spacing w:val="-12"/>
          <w:w w:val="105"/>
        </w:rPr>
        <w:t> </w:t>
      </w:r>
      <w:r>
        <w:rPr>
          <w:color w:val="231F20"/>
          <w:w w:val="105"/>
        </w:rPr>
        <w:t>tra</w:t>
      </w:r>
      <w:r>
        <w:rPr>
          <w:color w:val="231F20"/>
          <w:spacing w:val="-12"/>
          <w:w w:val="105"/>
        </w:rPr>
        <w:t> </w:t>
      </w:r>
      <w:r>
        <w:rPr>
          <w:color w:val="231F20"/>
          <w:w w:val="105"/>
        </w:rPr>
        <w:t>lo</w:t>
      </w:r>
      <w:r>
        <w:rPr>
          <w:color w:val="231F20"/>
          <w:spacing w:val="-12"/>
          <w:w w:val="105"/>
        </w:rPr>
        <w:t> </w:t>
      </w:r>
      <w:r>
        <w:rPr>
          <w:color w:val="231F20"/>
          <w:w w:val="105"/>
        </w:rPr>
        <w:t>politico</w:t>
      </w:r>
      <w:r>
        <w:rPr>
          <w:color w:val="231F20"/>
          <w:spacing w:val="-12"/>
          <w:w w:val="105"/>
        </w:rPr>
        <w:t> </w:t>
      </w:r>
      <w:r>
        <w:rPr>
          <w:color w:val="231F20"/>
          <w:w w:val="105"/>
        </w:rPr>
        <w:t>di</w:t>
      </w:r>
      <w:r>
        <w:rPr>
          <w:color w:val="231F20"/>
          <w:spacing w:val="-12"/>
          <w:w w:val="105"/>
        </w:rPr>
        <w:t> </w:t>
      </w:r>
      <w:r>
        <w:rPr>
          <w:color w:val="231F20"/>
          <w:w w:val="105"/>
        </w:rPr>
        <w:t>fronte</w:t>
      </w:r>
      <w:r>
        <w:rPr>
          <w:color w:val="231F20"/>
          <w:spacing w:val="-12"/>
          <w:w w:val="105"/>
        </w:rPr>
        <w:t> </w:t>
      </w:r>
      <w:r>
        <w:rPr>
          <w:color w:val="231F20"/>
          <w:w w:val="105"/>
        </w:rPr>
        <w:t>all’universo</w:t>
      </w:r>
      <w:r>
        <w:rPr>
          <w:color w:val="231F20"/>
          <w:spacing w:val="-12"/>
          <w:w w:val="105"/>
        </w:rPr>
        <w:t> </w:t>
      </w:r>
      <w:r>
        <w:rPr>
          <w:color w:val="231F20"/>
          <w:w w:val="105"/>
        </w:rPr>
        <w:t>della</w:t>
      </w:r>
      <w:r>
        <w:rPr>
          <w:color w:val="231F20"/>
          <w:spacing w:val="-12"/>
          <w:w w:val="105"/>
        </w:rPr>
        <w:t> </w:t>
      </w:r>
      <w:r>
        <w:rPr>
          <w:color w:val="231F20"/>
          <w:w w:val="105"/>
        </w:rPr>
        <w:t>politica</w:t>
      </w:r>
      <w:r>
        <w:rPr>
          <w:color w:val="231F20"/>
          <w:spacing w:val="-12"/>
          <w:w w:val="105"/>
        </w:rPr>
        <w:t> </w:t>
      </w:r>
      <w:r>
        <w:rPr>
          <w:color w:val="231F20"/>
          <w:w w:val="105"/>
        </w:rPr>
        <w:t>istituzionale e</w:t>
      </w:r>
      <w:r>
        <w:rPr>
          <w:color w:val="231F20"/>
          <w:spacing w:val="-24"/>
          <w:w w:val="105"/>
        </w:rPr>
        <w:t> </w:t>
      </w:r>
      <w:r>
        <w:rPr>
          <w:color w:val="231F20"/>
          <w:w w:val="105"/>
        </w:rPr>
        <w:t>la</w:t>
      </w:r>
      <w:r>
        <w:rPr>
          <w:color w:val="231F20"/>
          <w:spacing w:val="-24"/>
          <w:w w:val="105"/>
        </w:rPr>
        <w:t> </w:t>
      </w:r>
      <w:r>
        <w:rPr>
          <w:color w:val="231F20"/>
          <w:w w:val="105"/>
        </w:rPr>
        <w:t>sua</w:t>
      </w:r>
      <w:r>
        <w:rPr>
          <w:color w:val="231F20"/>
          <w:spacing w:val="-24"/>
          <w:w w:val="105"/>
        </w:rPr>
        <w:t> </w:t>
      </w:r>
      <w:r>
        <w:rPr>
          <w:color w:val="231F20"/>
          <w:w w:val="105"/>
        </w:rPr>
        <w:t>conseguente</w:t>
      </w:r>
      <w:r>
        <w:rPr>
          <w:color w:val="231F20"/>
          <w:spacing w:val="-24"/>
          <w:w w:val="105"/>
        </w:rPr>
        <w:t> </w:t>
      </w:r>
      <w:r>
        <w:rPr>
          <w:color w:val="231F20"/>
          <w:w w:val="105"/>
        </w:rPr>
        <w:t>ridefinizione</w:t>
      </w:r>
      <w:r>
        <w:rPr>
          <w:color w:val="231F20"/>
          <w:spacing w:val="-24"/>
          <w:w w:val="105"/>
        </w:rPr>
        <w:t> </w:t>
      </w:r>
      <w:r>
        <w:rPr>
          <w:color w:val="231F20"/>
          <w:w w:val="105"/>
        </w:rPr>
        <w:t>dei</w:t>
      </w:r>
      <w:r>
        <w:rPr>
          <w:color w:val="231F20"/>
          <w:spacing w:val="-24"/>
          <w:w w:val="105"/>
        </w:rPr>
        <w:t> </w:t>
      </w:r>
      <w:r>
        <w:rPr>
          <w:color w:val="231F20"/>
          <w:w w:val="105"/>
        </w:rPr>
        <w:t>posti</w:t>
      </w:r>
      <w:r>
        <w:rPr>
          <w:color w:val="231F20"/>
          <w:spacing w:val="-24"/>
          <w:w w:val="105"/>
        </w:rPr>
        <w:t> </w:t>
      </w:r>
      <w:r>
        <w:rPr>
          <w:color w:val="231F20"/>
          <w:w w:val="105"/>
        </w:rPr>
        <w:t>della</w:t>
      </w:r>
      <w:r>
        <w:rPr>
          <w:color w:val="231F20"/>
          <w:spacing w:val="-24"/>
          <w:w w:val="105"/>
        </w:rPr>
        <w:t> </w:t>
      </w:r>
      <w:r>
        <w:rPr>
          <w:color w:val="231F20"/>
          <w:w w:val="105"/>
        </w:rPr>
        <w:t>democrazia</w:t>
      </w:r>
      <w:r>
        <w:rPr>
          <w:color w:val="231F20"/>
          <w:spacing w:val="-24"/>
          <w:w w:val="105"/>
        </w:rPr>
        <w:t> </w:t>
      </w:r>
      <w:r>
        <w:rPr>
          <w:color w:val="231F20"/>
          <w:w w:val="105"/>
        </w:rPr>
        <w:t>nel</w:t>
      </w:r>
      <w:r>
        <w:rPr>
          <w:color w:val="231F20"/>
          <w:spacing w:val="-24"/>
          <w:w w:val="105"/>
        </w:rPr>
        <w:t> </w:t>
      </w:r>
      <w:r>
        <w:rPr>
          <w:color w:val="231F20"/>
          <w:w w:val="105"/>
        </w:rPr>
        <w:t>territorio d’appartenenza</w:t>
      </w:r>
      <w:r>
        <w:rPr>
          <w:color w:val="231F20"/>
          <w:spacing w:val="-33"/>
          <w:w w:val="105"/>
        </w:rPr>
        <w:t> </w:t>
      </w:r>
      <w:r>
        <w:rPr>
          <w:color w:val="231F20"/>
          <w:w w:val="105"/>
        </w:rPr>
        <w:t>e</w:t>
      </w:r>
      <w:r>
        <w:rPr>
          <w:color w:val="231F20"/>
          <w:spacing w:val="-33"/>
          <w:w w:val="105"/>
        </w:rPr>
        <w:t> </w:t>
      </w:r>
      <w:r>
        <w:rPr>
          <w:color w:val="231F20"/>
          <w:w w:val="105"/>
        </w:rPr>
        <w:t>integrazione</w:t>
      </w:r>
      <w:r>
        <w:rPr>
          <w:color w:val="231F20"/>
          <w:spacing w:val="-33"/>
          <w:w w:val="105"/>
        </w:rPr>
        <w:t> </w:t>
      </w:r>
      <w:r>
        <w:rPr>
          <w:color w:val="231F20"/>
          <w:w w:val="105"/>
        </w:rPr>
        <w:t>dello</w:t>
      </w:r>
      <w:r>
        <w:rPr>
          <w:color w:val="231F20"/>
          <w:spacing w:val="-33"/>
          <w:w w:val="105"/>
        </w:rPr>
        <w:t> </w:t>
      </w:r>
      <w:r>
        <w:rPr>
          <w:color w:val="231F20"/>
          <w:w w:val="105"/>
        </w:rPr>
        <w:t>Stato.</w:t>
      </w:r>
    </w:p>
    <w:p>
      <w:pPr>
        <w:pStyle w:val="BodyText"/>
        <w:spacing w:line="247" w:lineRule="auto"/>
        <w:ind w:left="117" w:right="117" w:firstLine="566"/>
        <w:jc w:val="both"/>
      </w:pPr>
      <w:r>
        <w:rPr>
          <w:color w:val="231F20"/>
        </w:rPr>
        <w:t>Questo</w:t>
      </w:r>
      <w:r>
        <w:rPr>
          <w:color w:val="231F20"/>
          <w:spacing w:val="-15"/>
        </w:rPr>
        <w:t> </w:t>
      </w:r>
      <w:r>
        <w:rPr>
          <w:color w:val="231F20"/>
        </w:rPr>
        <w:t>momento</w:t>
      </w:r>
      <w:r>
        <w:rPr>
          <w:color w:val="231F20"/>
          <w:spacing w:val="-15"/>
        </w:rPr>
        <w:t> </w:t>
      </w:r>
      <w:r>
        <w:rPr>
          <w:color w:val="231F20"/>
        </w:rPr>
        <w:t>può</w:t>
      </w:r>
      <w:r>
        <w:rPr>
          <w:color w:val="231F20"/>
          <w:spacing w:val="-15"/>
        </w:rPr>
        <w:t> </w:t>
      </w:r>
      <w:r>
        <w:rPr>
          <w:color w:val="231F20"/>
        </w:rPr>
        <w:t>essere</w:t>
      </w:r>
      <w:r>
        <w:rPr>
          <w:color w:val="231F20"/>
          <w:spacing w:val="-15"/>
        </w:rPr>
        <w:t> </w:t>
      </w:r>
      <w:r>
        <w:rPr>
          <w:color w:val="231F20"/>
        </w:rPr>
        <w:t>illustrato</w:t>
      </w:r>
      <w:r>
        <w:rPr>
          <w:color w:val="231F20"/>
          <w:spacing w:val="-15"/>
        </w:rPr>
        <w:t> </w:t>
      </w:r>
      <w:r>
        <w:rPr>
          <w:color w:val="231F20"/>
        </w:rPr>
        <w:t>con</w:t>
      </w:r>
      <w:r>
        <w:rPr>
          <w:color w:val="231F20"/>
          <w:spacing w:val="-15"/>
        </w:rPr>
        <w:t> </w:t>
      </w:r>
      <w:r>
        <w:rPr>
          <w:color w:val="231F20"/>
        </w:rPr>
        <w:t>le</w:t>
      </w:r>
      <w:r>
        <w:rPr>
          <w:color w:val="231F20"/>
          <w:spacing w:val="-15"/>
        </w:rPr>
        <w:t> </w:t>
      </w:r>
      <w:r>
        <w:rPr>
          <w:color w:val="231F20"/>
        </w:rPr>
        <w:t>misure</w:t>
      </w:r>
      <w:r>
        <w:rPr>
          <w:color w:val="231F20"/>
          <w:spacing w:val="-15"/>
        </w:rPr>
        <w:t> </w:t>
      </w:r>
      <w:r>
        <w:rPr>
          <w:color w:val="231F20"/>
        </w:rPr>
        <w:t>messe</w:t>
      </w:r>
      <w:r>
        <w:rPr>
          <w:color w:val="231F20"/>
          <w:spacing w:val="-15"/>
        </w:rPr>
        <w:t> </w:t>
      </w:r>
      <w:r>
        <w:rPr>
          <w:color w:val="231F20"/>
        </w:rPr>
        <w:t>in</w:t>
      </w:r>
      <w:r>
        <w:rPr>
          <w:color w:val="231F20"/>
          <w:spacing w:val="-15"/>
        </w:rPr>
        <w:t> </w:t>
      </w:r>
      <w:r>
        <w:rPr>
          <w:color w:val="231F20"/>
        </w:rPr>
        <w:t>atto</w:t>
      </w:r>
      <w:r>
        <w:rPr>
          <w:color w:val="231F20"/>
          <w:spacing w:val="-15"/>
        </w:rPr>
        <w:t> </w:t>
      </w:r>
      <w:r>
        <w:rPr>
          <w:color w:val="231F20"/>
        </w:rPr>
        <w:t>dal </w:t>
      </w:r>
      <w:r>
        <w:rPr>
          <w:color w:val="231F20"/>
          <w:spacing w:val="-4"/>
        </w:rPr>
        <w:t>presidente</w:t>
      </w:r>
      <w:r>
        <w:rPr>
          <w:color w:val="231F20"/>
          <w:spacing w:val="-26"/>
        </w:rPr>
        <w:t> </w:t>
      </w:r>
      <w:r>
        <w:rPr>
          <w:color w:val="231F20"/>
          <w:spacing w:val="-4"/>
        </w:rPr>
        <w:t>degli</w:t>
      </w:r>
      <w:r>
        <w:rPr>
          <w:color w:val="231F20"/>
          <w:spacing w:val="-26"/>
        </w:rPr>
        <w:t> </w:t>
      </w:r>
      <w:r>
        <w:rPr>
          <w:color w:val="231F20"/>
          <w:spacing w:val="-4"/>
        </w:rPr>
        <w:t>Stati</w:t>
      </w:r>
      <w:r>
        <w:rPr>
          <w:color w:val="231F20"/>
          <w:spacing w:val="-26"/>
        </w:rPr>
        <w:t> </w:t>
      </w:r>
      <w:r>
        <w:rPr>
          <w:color w:val="231F20"/>
          <w:spacing w:val="-4"/>
        </w:rPr>
        <w:t>Uniti,</w:t>
      </w:r>
      <w:r>
        <w:rPr>
          <w:color w:val="231F20"/>
          <w:spacing w:val="-26"/>
        </w:rPr>
        <w:t> </w:t>
      </w:r>
      <w:r>
        <w:rPr>
          <w:color w:val="231F20"/>
          <w:spacing w:val="-4"/>
        </w:rPr>
        <w:t>Barak</w:t>
      </w:r>
      <w:r>
        <w:rPr>
          <w:color w:val="231F20"/>
          <w:spacing w:val="-26"/>
        </w:rPr>
        <w:t> </w:t>
      </w:r>
      <w:r>
        <w:rPr>
          <w:color w:val="231F20"/>
          <w:spacing w:val="-4"/>
        </w:rPr>
        <w:t>Obama,</w:t>
      </w:r>
      <w:r>
        <w:rPr>
          <w:color w:val="231F20"/>
          <w:spacing w:val="-26"/>
        </w:rPr>
        <w:t> </w:t>
      </w:r>
      <w:r>
        <w:rPr>
          <w:color w:val="231F20"/>
          <w:spacing w:val="-3"/>
        </w:rPr>
        <w:t>alla</w:t>
      </w:r>
      <w:r>
        <w:rPr>
          <w:color w:val="231F20"/>
          <w:spacing w:val="-26"/>
        </w:rPr>
        <w:t> </w:t>
      </w:r>
      <w:r>
        <w:rPr>
          <w:color w:val="231F20"/>
        </w:rPr>
        <w:t>fine</w:t>
      </w:r>
      <w:r>
        <w:rPr>
          <w:color w:val="231F20"/>
          <w:spacing w:val="-26"/>
        </w:rPr>
        <w:t> </w:t>
      </w:r>
      <w:r>
        <w:rPr>
          <w:color w:val="231F20"/>
        </w:rPr>
        <w:t>di</w:t>
      </w:r>
      <w:r>
        <w:rPr>
          <w:color w:val="231F20"/>
          <w:spacing w:val="-26"/>
        </w:rPr>
        <w:t> </w:t>
      </w:r>
      <w:r>
        <w:rPr>
          <w:color w:val="231F20"/>
          <w:spacing w:val="-3"/>
        </w:rPr>
        <w:t>2009</w:t>
      </w:r>
      <w:r>
        <w:rPr>
          <w:color w:val="231F20"/>
          <w:spacing w:val="-26"/>
        </w:rPr>
        <w:t> </w:t>
      </w:r>
      <w:r>
        <w:rPr>
          <w:color w:val="231F20"/>
        </w:rPr>
        <w:t>e</w:t>
      </w:r>
      <w:r>
        <w:rPr>
          <w:color w:val="231F20"/>
          <w:spacing w:val="-26"/>
        </w:rPr>
        <w:t> </w:t>
      </w:r>
      <w:r>
        <w:rPr>
          <w:color w:val="231F20"/>
          <w:spacing w:val="-4"/>
        </w:rPr>
        <w:t>durante</w:t>
      </w:r>
      <w:r>
        <w:rPr>
          <w:color w:val="231F20"/>
          <w:spacing w:val="-26"/>
        </w:rPr>
        <w:t> </w:t>
      </w:r>
      <w:r>
        <w:rPr>
          <w:color w:val="231F20"/>
        </w:rPr>
        <w:t>il</w:t>
      </w:r>
      <w:r>
        <w:rPr>
          <w:color w:val="231F20"/>
          <w:spacing w:val="-26"/>
        </w:rPr>
        <w:t> </w:t>
      </w:r>
      <w:r>
        <w:rPr>
          <w:color w:val="231F20"/>
          <w:spacing w:val="-3"/>
        </w:rPr>
        <w:t>2010</w:t>
      </w:r>
      <w:r>
        <w:rPr>
          <w:color w:val="231F20"/>
          <w:spacing w:val="-26"/>
        </w:rPr>
        <w:t> </w:t>
      </w:r>
      <w:r>
        <w:rPr>
          <w:color w:val="231F20"/>
          <w:spacing w:val="-4"/>
        </w:rPr>
        <w:t>per </w:t>
      </w:r>
      <w:r>
        <w:rPr>
          <w:color w:val="231F20"/>
        </w:rPr>
        <w:t>far</w:t>
      </w:r>
      <w:r>
        <w:rPr>
          <w:color w:val="231F20"/>
          <w:spacing w:val="-19"/>
        </w:rPr>
        <w:t> </w:t>
      </w:r>
      <w:r>
        <w:rPr>
          <w:color w:val="231F20"/>
        </w:rPr>
        <w:t>fronte</w:t>
      </w:r>
      <w:r>
        <w:rPr>
          <w:color w:val="231F20"/>
          <w:spacing w:val="-19"/>
        </w:rPr>
        <w:t> </w:t>
      </w:r>
      <w:r>
        <w:rPr>
          <w:color w:val="231F20"/>
        </w:rPr>
        <w:t>all’impatto</w:t>
      </w:r>
      <w:r>
        <w:rPr>
          <w:color w:val="231F20"/>
          <w:spacing w:val="-19"/>
        </w:rPr>
        <w:t> </w:t>
      </w:r>
      <w:r>
        <w:rPr>
          <w:color w:val="231F20"/>
        </w:rPr>
        <w:t>della</w:t>
      </w:r>
      <w:r>
        <w:rPr>
          <w:color w:val="231F20"/>
          <w:spacing w:val="-19"/>
        </w:rPr>
        <w:t> </w:t>
      </w:r>
      <w:r>
        <w:rPr>
          <w:color w:val="231F20"/>
        </w:rPr>
        <w:t>crisi</w:t>
      </w:r>
      <w:r>
        <w:rPr>
          <w:color w:val="231F20"/>
          <w:spacing w:val="-19"/>
        </w:rPr>
        <w:t> </w:t>
      </w:r>
      <w:r>
        <w:rPr>
          <w:color w:val="231F20"/>
        </w:rPr>
        <w:t>economica</w:t>
      </w:r>
      <w:r>
        <w:rPr>
          <w:color w:val="231F20"/>
          <w:spacing w:val="-19"/>
        </w:rPr>
        <w:t> </w:t>
      </w:r>
      <w:r>
        <w:rPr>
          <w:color w:val="231F20"/>
        </w:rPr>
        <w:t>di</w:t>
      </w:r>
      <w:r>
        <w:rPr>
          <w:color w:val="231F20"/>
          <w:spacing w:val="-19"/>
        </w:rPr>
        <w:t> </w:t>
      </w:r>
      <w:r>
        <w:rPr>
          <w:color w:val="231F20"/>
        </w:rPr>
        <w:t>2008</w:t>
      </w:r>
      <w:r>
        <w:rPr>
          <w:color w:val="231F20"/>
          <w:spacing w:val="-19"/>
        </w:rPr>
        <w:t> </w:t>
      </w:r>
      <w:r>
        <w:rPr>
          <w:color w:val="231F20"/>
        </w:rPr>
        <w:t>e</w:t>
      </w:r>
      <w:r>
        <w:rPr>
          <w:color w:val="231F20"/>
          <w:spacing w:val="-19"/>
        </w:rPr>
        <w:t> </w:t>
      </w:r>
      <w:r>
        <w:rPr>
          <w:color w:val="231F20"/>
        </w:rPr>
        <w:t>confermare</w:t>
      </w:r>
      <w:r>
        <w:rPr>
          <w:color w:val="231F20"/>
          <w:spacing w:val="-19"/>
        </w:rPr>
        <w:t> </w:t>
      </w:r>
      <w:r>
        <w:rPr>
          <w:color w:val="231F20"/>
        </w:rPr>
        <w:t>la</w:t>
      </w:r>
      <w:r>
        <w:rPr>
          <w:color w:val="231F20"/>
          <w:spacing w:val="-19"/>
        </w:rPr>
        <w:t> </w:t>
      </w:r>
      <w:r>
        <w:rPr>
          <w:color w:val="231F20"/>
        </w:rPr>
        <w:t>centralità dello</w:t>
      </w:r>
      <w:r>
        <w:rPr>
          <w:color w:val="231F20"/>
          <w:spacing w:val="-22"/>
        </w:rPr>
        <w:t> </w:t>
      </w:r>
      <w:r>
        <w:rPr>
          <w:color w:val="231F20"/>
        </w:rPr>
        <w:t>Stato</w:t>
      </w:r>
      <w:r>
        <w:rPr>
          <w:color w:val="231F20"/>
          <w:spacing w:val="-22"/>
        </w:rPr>
        <w:t> </w:t>
      </w:r>
      <w:r>
        <w:rPr>
          <w:color w:val="231F20"/>
        </w:rPr>
        <w:t>in</w:t>
      </w:r>
      <w:r>
        <w:rPr>
          <w:color w:val="231F20"/>
          <w:spacing w:val="-22"/>
        </w:rPr>
        <w:t> </w:t>
      </w:r>
      <w:r>
        <w:rPr>
          <w:color w:val="231F20"/>
        </w:rPr>
        <w:t>materia</w:t>
      </w:r>
      <w:r>
        <w:rPr>
          <w:color w:val="231F20"/>
          <w:spacing w:val="-22"/>
        </w:rPr>
        <w:t> </w:t>
      </w:r>
      <w:r>
        <w:rPr>
          <w:color w:val="231F20"/>
        </w:rPr>
        <w:t>economica</w:t>
      </w:r>
      <w:r>
        <w:rPr>
          <w:color w:val="231F20"/>
          <w:spacing w:val="-22"/>
        </w:rPr>
        <w:t> </w:t>
      </w:r>
      <w:r>
        <w:rPr>
          <w:color w:val="231F20"/>
        </w:rPr>
        <w:t>e</w:t>
      </w:r>
      <w:r>
        <w:rPr>
          <w:color w:val="231F20"/>
          <w:spacing w:val="-22"/>
        </w:rPr>
        <w:t> </w:t>
      </w:r>
      <w:r>
        <w:rPr>
          <w:color w:val="231F20"/>
        </w:rPr>
        <w:t>nella</w:t>
      </w:r>
      <w:r>
        <w:rPr>
          <w:color w:val="231F20"/>
          <w:spacing w:val="-22"/>
        </w:rPr>
        <w:t> </w:t>
      </w:r>
      <w:r>
        <w:rPr>
          <w:color w:val="231F20"/>
        </w:rPr>
        <w:t>sua</w:t>
      </w:r>
      <w:r>
        <w:rPr>
          <w:color w:val="231F20"/>
          <w:spacing w:val="-22"/>
        </w:rPr>
        <w:t> </w:t>
      </w:r>
      <w:r>
        <w:rPr>
          <w:color w:val="231F20"/>
        </w:rPr>
        <w:t>funzione</w:t>
      </w:r>
      <w:r>
        <w:rPr>
          <w:color w:val="231F20"/>
          <w:spacing w:val="-22"/>
        </w:rPr>
        <w:t> </w:t>
      </w:r>
      <w:r>
        <w:rPr>
          <w:color w:val="231F20"/>
        </w:rPr>
        <w:t>di</w:t>
      </w:r>
      <w:r>
        <w:rPr>
          <w:color w:val="231F20"/>
          <w:spacing w:val="-22"/>
        </w:rPr>
        <w:t> </w:t>
      </w:r>
      <w:r>
        <w:rPr>
          <w:color w:val="231F20"/>
        </w:rPr>
        <w:t>integrazione</w:t>
      </w:r>
      <w:r>
        <w:rPr>
          <w:color w:val="231F20"/>
          <w:spacing w:val="-22"/>
        </w:rPr>
        <w:t> </w:t>
      </w:r>
      <w:r>
        <w:rPr>
          <w:color w:val="231F20"/>
        </w:rPr>
        <w:t>sociale. La</w:t>
      </w:r>
      <w:r>
        <w:rPr>
          <w:color w:val="231F20"/>
          <w:spacing w:val="-25"/>
        </w:rPr>
        <w:t> </w:t>
      </w:r>
      <w:r>
        <w:rPr>
          <w:color w:val="231F20"/>
        </w:rPr>
        <w:t>situazione</w:t>
      </w:r>
      <w:r>
        <w:rPr>
          <w:color w:val="231F20"/>
          <w:spacing w:val="-25"/>
        </w:rPr>
        <w:t> </w:t>
      </w:r>
      <w:r>
        <w:rPr>
          <w:color w:val="231F20"/>
        </w:rPr>
        <w:t>lasciò</w:t>
      </w:r>
      <w:r>
        <w:rPr>
          <w:color w:val="231F20"/>
          <w:spacing w:val="-25"/>
        </w:rPr>
        <w:t> </w:t>
      </w:r>
      <w:r>
        <w:rPr>
          <w:color w:val="231F20"/>
        </w:rPr>
        <w:t>sul</w:t>
      </w:r>
      <w:r>
        <w:rPr>
          <w:color w:val="231F20"/>
          <w:spacing w:val="-25"/>
        </w:rPr>
        <w:t> </w:t>
      </w:r>
      <w:r>
        <w:rPr>
          <w:color w:val="231F20"/>
        </w:rPr>
        <w:t>tavolo</w:t>
      </w:r>
      <w:r>
        <w:rPr>
          <w:color w:val="231F20"/>
          <w:spacing w:val="-25"/>
        </w:rPr>
        <w:t> </w:t>
      </w:r>
      <w:r>
        <w:rPr>
          <w:color w:val="231F20"/>
        </w:rPr>
        <w:t>un’allarme:</w:t>
      </w:r>
      <w:r>
        <w:rPr>
          <w:color w:val="231F20"/>
          <w:spacing w:val="-25"/>
        </w:rPr>
        <w:t> </w:t>
      </w:r>
      <w:r>
        <w:rPr>
          <w:color w:val="231F20"/>
        </w:rPr>
        <w:t>che</w:t>
      </w:r>
      <w:r>
        <w:rPr>
          <w:color w:val="231F20"/>
          <w:spacing w:val="-25"/>
        </w:rPr>
        <w:t> </w:t>
      </w:r>
      <w:r>
        <w:rPr>
          <w:color w:val="231F20"/>
        </w:rPr>
        <w:t>i</w:t>
      </w:r>
      <w:r>
        <w:rPr>
          <w:color w:val="231F20"/>
          <w:spacing w:val="-25"/>
        </w:rPr>
        <w:t> </w:t>
      </w:r>
      <w:r>
        <w:rPr>
          <w:color w:val="231F20"/>
          <w:spacing w:val="-3"/>
        </w:rPr>
        <w:t>problemi</w:t>
      </w:r>
      <w:r>
        <w:rPr>
          <w:color w:val="231F20"/>
          <w:spacing w:val="-25"/>
        </w:rPr>
        <w:t> </w:t>
      </w:r>
      <w:r>
        <w:rPr>
          <w:color w:val="231F20"/>
        </w:rPr>
        <w:t>che</w:t>
      </w:r>
      <w:r>
        <w:rPr>
          <w:color w:val="231F20"/>
          <w:spacing w:val="-25"/>
        </w:rPr>
        <w:t> </w:t>
      </w:r>
      <w:r>
        <w:rPr>
          <w:color w:val="231F20"/>
        </w:rPr>
        <w:t>avevano</w:t>
      </w:r>
      <w:r>
        <w:rPr>
          <w:color w:val="231F20"/>
          <w:spacing w:val="-25"/>
        </w:rPr>
        <w:t> </w:t>
      </w:r>
      <w:r>
        <w:rPr>
          <w:color w:val="231F20"/>
        </w:rPr>
        <w:t>causato la</w:t>
      </w:r>
      <w:r>
        <w:rPr>
          <w:color w:val="231F20"/>
          <w:spacing w:val="-16"/>
        </w:rPr>
        <w:t> </w:t>
      </w:r>
      <w:r>
        <w:rPr>
          <w:color w:val="231F20"/>
          <w:spacing w:val="-4"/>
        </w:rPr>
        <w:t>dinamica</w:t>
      </w:r>
      <w:r>
        <w:rPr>
          <w:color w:val="231F20"/>
          <w:spacing w:val="-16"/>
        </w:rPr>
        <w:t> </w:t>
      </w:r>
      <w:r>
        <w:rPr>
          <w:color w:val="231F20"/>
          <w:spacing w:val="-4"/>
        </w:rPr>
        <w:t>della</w:t>
      </w:r>
      <w:r>
        <w:rPr>
          <w:color w:val="231F20"/>
          <w:spacing w:val="-16"/>
        </w:rPr>
        <w:t> </w:t>
      </w:r>
      <w:r>
        <w:rPr>
          <w:color w:val="231F20"/>
          <w:spacing w:val="-4"/>
        </w:rPr>
        <w:t>esclusione</w:t>
      </w:r>
      <w:r>
        <w:rPr>
          <w:color w:val="231F20"/>
          <w:spacing w:val="-16"/>
        </w:rPr>
        <w:t> </w:t>
      </w:r>
      <w:r>
        <w:rPr>
          <w:color w:val="231F20"/>
        </w:rPr>
        <w:t>e</w:t>
      </w:r>
      <w:r>
        <w:rPr>
          <w:color w:val="231F20"/>
          <w:spacing w:val="-16"/>
        </w:rPr>
        <w:t> </w:t>
      </w:r>
      <w:r>
        <w:rPr>
          <w:color w:val="231F20"/>
        </w:rPr>
        <w:t>le</w:t>
      </w:r>
      <w:r>
        <w:rPr>
          <w:color w:val="231F20"/>
          <w:spacing w:val="-16"/>
        </w:rPr>
        <w:t> </w:t>
      </w:r>
      <w:r>
        <w:rPr>
          <w:color w:val="231F20"/>
          <w:spacing w:val="-4"/>
        </w:rPr>
        <w:t>ineguaglianze</w:t>
      </w:r>
      <w:r>
        <w:rPr>
          <w:color w:val="231F20"/>
          <w:spacing w:val="-16"/>
        </w:rPr>
        <w:t> </w:t>
      </w:r>
      <w:r>
        <w:rPr>
          <w:color w:val="231F20"/>
          <w:spacing w:val="-3"/>
        </w:rPr>
        <w:t>che</w:t>
      </w:r>
      <w:r>
        <w:rPr>
          <w:color w:val="231F20"/>
          <w:spacing w:val="-16"/>
        </w:rPr>
        <w:t> </w:t>
      </w:r>
      <w:r>
        <w:rPr>
          <w:color w:val="231F20"/>
          <w:spacing w:val="-4"/>
        </w:rPr>
        <w:t>avevano</w:t>
      </w:r>
      <w:r>
        <w:rPr>
          <w:color w:val="231F20"/>
          <w:spacing w:val="-16"/>
        </w:rPr>
        <w:t> </w:t>
      </w:r>
      <w:r>
        <w:rPr>
          <w:color w:val="231F20"/>
          <w:spacing w:val="-4"/>
        </w:rPr>
        <w:t>accompagnato</w:t>
      </w:r>
      <w:r>
        <w:rPr>
          <w:color w:val="231F20"/>
          <w:spacing w:val="-16"/>
        </w:rPr>
        <w:t> </w:t>
      </w:r>
      <w:r>
        <w:rPr>
          <w:color w:val="231F20"/>
          <w:spacing w:val="-4"/>
        </w:rPr>
        <w:t>nel </w:t>
      </w:r>
      <w:r>
        <w:rPr>
          <w:color w:val="231F20"/>
        </w:rPr>
        <w:t>suo</w:t>
      </w:r>
      <w:r>
        <w:rPr>
          <w:color w:val="231F20"/>
          <w:spacing w:val="-16"/>
        </w:rPr>
        <w:t> </w:t>
      </w:r>
      <w:r>
        <w:rPr>
          <w:color w:val="231F20"/>
        </w:rPr>
        <w:t>momento</w:t>
      </w:r>
      <w:r>
        <w:rPr>
          <w:color w:val="231F20"/>
          <w:spacing w:val="-16"/>
        </w:rPr>
        <w:t> </w:t>
      </w:r>
      <w:r>
        <w:rPr>
          <w:color w:val="231F20"/>
        </w:rPr>
        <w:t>l’esaurimento</w:t>
      </w:r>
      <w:r>
        <w:rPr>
          <w:color w:val="231F20"/>
          <w:spacing w:val="-16"/>
        </w:rPr>
        <w:t> </w:t>
      </w:r>
      <w:r>
        <w:rPr>
          <w:color w:val="231F20"/>
        </w:rPr>
        <w:t>della</w:t>
      </w:r>
      <w:r>
        <w:rPr>
          <w:color w:val="231F20"/>
          <w:spacing w:val="-16"/>
        </w:rPr>
        <w:t> </w:t>
      </w:r>
      <w:r>
        <w:rPr>
          <w:color w:val="231F20"/>
        </w:rPr>
        <w:t>universalizzazione</w:t>
      </w:r>
      <w:r>
        <w:rPr>
          <w:color w:val="231F20"/>
          <w:spacing w:val="-16"/>
        </w:rPr>
        <w:t> </w:t>
      </w:r>
      <w:r>
        <w:rPr>
          <w:color w:val="231F20"/>
        </w:rPr>
        <w:t>dei</w:t>
      </w:r>
      <w:r>
        <w:rPr>
          <w:color w:val="231F20"/>
          <w:spacing w:val="-16"/>
        </w:rPr>
        <w:t> </w:t>
      </w:r>
      <w:r>
        <w:rPr>
          <w:color w:val="231F20"/>
          <w:spacing w:val="-3"/>
        </w:rPr>
        <w:t>regimi</w:t>
      </w:r>
      <w:r>
        <w:rPr>
          <w:color w:val="231F20"/>
          <w:spacing w:val="-16"/>
        </w:rPr>
        <w:t> </w:t>
      </w:r>
      <w:r>
        <w:rPr>
          <w:color w:val="231F20"/>
        </w:rPr>
        <w:t>di</w:t>
      </w:r>
      <w:r>
        <w:rPr>
          <w:color w:val="231F20"/>
          <w:spacing w:val="-16"/>
        </w:rPr>
        <w:t> </w:t>
      </w:r>
      <w:r>
        <w:rPr>
          <w:color w:val="231F20"/>
          <w:spacing w:val="-3"/>
        </w:rPr>
        <w:t>benessere </w:t>
      </w:r>
      <w:r>
        <w:rPr>
          <w:color w:val="231F20"/>
        </w:rPr>
        <w:t>in certe democrazie,</w:t>
      </w:r>
      <w:r>
        <w:rPr>
          <w:color w:val="231F20"/>
          <w:position w:val="7"/>
          <w:sz w:val="12"/>
        </w:rPr>
        <w:t>2 </w:t>
      </w:r>
      <w:r>
        <w:rPr>
          <w:color w:val="231F20"/>
        </w:rPr>
        <w:t>insieme alla recessione di 2008 e al rallentamento generale della crescita economica globale, iniziarono a produrre una serie di disallineamenti o “discrepanze” interne nell’universo della vita in società degli</w:t>
      </w:r>
      <w:r>
        <w:rPr>
          <w:color w:val="231F20"/>
          <w:spacing w:val="-7"/>
        </w:rPr>
        <w:t> </w:t>
      </w:r>
      <w:r>
        <w:rPr>
          <w:color w:val="231F20"/>
        </w:rPr>
        <w:t>Stati</w:t>
      </w:r>
      <w:r>
        <w:rPr>
          <w:color w:val="231F20"/>
          <w:spacing w:val="-7"/>
        </w:rPr>
        <w:t> </w:t>
      </w:r>
      <w:r>
        <w:rPr>
          <w:color w:val="231F20"/>
        </w:rPr>
        <w:t>nel</w:t>
      </w:r>
      <w:r>
        <w:rPr>
          <w:color w:val="231F20"/>
          <w:spacing w:val="-7"/>
        </w:rPr>
        <w:t> </w:t>
      </w:r>
      <w:r>
        <w:rPr>
          <w:color w:val="231F20"/>
        </w:rPr>
        <w:t>concerto</w:t>
      </w:r>
      <w:r>
        <w:rPr>
          <w:color w:val="231F20"/>
          <w:spacing w:val="-7"/>
        </w:rPr>
        <w:t> </w:t>
      </w:r>
      <w:r>
        <w:rPr>
          <w:color w:val="231F20"/>
        </w:rPr>
        <w:t>tra</w:t>
      </w:r>
      <w:r>
        <w:rPr>
          <w:color w:val="231F20"/>
          <w:spacing w:val="-7"/>
        </w:rPr>
        <w:t> </w:t>
      </w:r>
      <w:r>
        <w:rPr>
          <w:color w:val="231F20"/>
        </w:rPr>
        <w:t>le</w:t>
      </w:r>
      <w:r>
        <w:rPr>
          <w:color w:val="231F20"/>
          <w:spacing w:val="-7"/>
        </w:rPr>
        <w:t> </w:t>
      </w:r>
      <w:r>
        <w:rPr>
          <w:color w:val="231F20"/>
        </w:rPr>
        <w:t>nazioni,</w:t>
      </w:r>
      <w:r>
        <w:rPr>
          <w:color w:val="231F20"/>
          <w:spacing w:val="-7"/>
        </w:rPr>
        <w:t> </w:t>
      </w:r>
      <w:r>
        <w:rPr>
          <w:color w:val="231F20"/>
        </w:rPr>
        <w:t>in</w:t>
      </w:r>
      <w:r>
        <w:rPr>
          <w:color w:val="231F20"/>
          <w:spacing w:val="-7"/>
        </w:rPr>
        <w:t> </w:t>
      </w:r>
      <w:r>
        <w:rPr>
          <w:color w:val="231F20"/>
        </w:rPr>
        <w:t>cui</w:t>
      </w:r>
      <w:r>
        <w:rPr>
          <w:color w:val="231F20"/>
          <w:spacing w:val="-7"/>
        </w:rPr>
        <w:t> </w:t>
      </w:r>
      <w:r>
        <w:rPr>
          <w:color w:val="231F20"/>
        </w:rPr>
        <w:t>sono</w:t>
      </w:r>
      <w:r>
        <w:rPr>
          <w:color w:val="231F20"/>
          <w:spacing w:val="-7"/>
        </w:rPr>
        <w:t> </w:t>
      </w:r>
      <w:r>
        <w:rPr>
          <w:color w:val="231F20"/>
        </w:rPr>
        <w:t>apparsi</w:t>
      </w:r>
      <w:r>
        <w:rPr>
          <w:color w:val="231F20"/>
          <w:spacing w:val="-7"/>
        </w:rPr>
        <w:t> </w:t>
      </w:r>
      <w:r>
        <w:rPr>
          <w:color w:val="231F20"/>
        </w:rPr>
        <w:t>una</w:t>
      </w:r>
      <w:r>
        <w:rPr>
          <w:color w:val="231F20"/>
          <w:spacing w:val="-7"/>
        </w:rPr>
        <w:t> </w:t>
      </w:r>
      <w:r>
        <w:rPr>
          <w:color w:val="231F20"/>
        </w:rPr>
        <w:t>serie</w:t>
      </w:r>
      <w:r>
        <w:rPr>
          <w:color w:val="231F20"/>
          <w:spacing w:val="-7"/>
        </w:rPr>
        <w:t> </w:t>
      </w:r>
      <w:r>
        <w:rPr>
          <w:color w:val="231F20"/>
        </w:rPr>
        <w:t>di</w:t>
      </w:r>
      <w:r>
        <w:rPr>
          <w:color w:val="231F20"/>
          <w:spacing w:val="-7"/>
        </w:rPr>
        <w:t> </w:t>
      </w:r>
      <w:r>
        <w:rPr>
          <w:color w:val="231F20"/>
        </w:rPr>
        <w:t>effetti perversi</w:t>
      </w:r>
      <w:r>
        <w:rPr>
          <w:color w:val="231F20"/>
          <w:spacing w:val="-20"/>
        </w:rPr>
        <w:t> </w:t>
      </w:r>
      <w:r>
        <w:rPr>
          <w:color w:val="231F20"/>
        </w:rPr>
        <w:t>per</w:t>
      </w:r>
      <w:r>
        <w:rPr>
          <w:color w:val="231F20"/>
          <w:spacing w:val="-20"/>
        </w:rPr>
        <w:t> </w:t>
      </w:r>
      <w:r>
        <w:rPr>
          <w:color w:val="231F20"/>
          <w:spacing w:val="-3"/>
        </w:rPr>
        <w:t>l’ordine</w:t>
      </w:r>
      <w:r>
        <w:rPr>
          <w:color w:val="231F20"/>
          <w:spacing w:val="-20"/>
        </w:rPr>
        <w:t> </w:t>
      </w:r>
      <w:r>
        <w:rPr>
          <w:color w:val="231F20"/>
        </w:rPr>
        <w:t>democratica.</w:t>
      </w:r>
      <w:r>
        <w:rPr>
          <w:color w:val="231F20"/>
          <w:spacing w:val="-20"/>
        </w:rPr>
        <w:t> </w:t>
      </w:r>
      <w:r>
        <w:rPr>
          <w:color w:val="231F20"/>
        </w:rPr>
        <w:t>Comunque</w:t>
      </w:r>
      <w:r>
        <w:rPr>
          <w:color w:val="231F20"/>
          <w:spacing w:val="-20"/>
        </w:rPr>
        <w:t> </w:t>
      </w:r>
      <w:r>
        <w:rPr>
          <w:color w:val="231F20"/>
        </w:rPr>
        <w:t>sia,</w:t>
      </w:r>
      <w:r>
        <w:rPr>
          <w:color w:val="231F20"/>
          <w:spacing w:val="-20"/>
        </w:rPr>
        <w:t> </w:t>
      </w:r>
      <w:r>
        <w:rPr>
          <w:color w:val="231F20"/>
        </w:rPr>
        <w:t>questo</w:t>
      </w:r>
      <w:r>
        <w:rPr>
          <w:color w:val="231F20"/>
          <w:spacing w:val="-20"/>
        </w:rPr>
        <w:t> </w:t>
      </w:r>
      <w:r>
        <w:rPr>
          <w:color w:val="231F20"/>
        </w:rPr>
        <w:t>evento</w:t>
      </w:r>
      <w:r>
        <w:rPr>
          <w:color w:val="231F20"/>
          <w:spacing w:val="-20"/>
        </w:rPr>
        <w:t> </w:t>
      </w:r>
      <w:r>
        <w:rPr>
          <w:color w:val="231F20"/>
        </w:rPr>
        <w:t>si</w:t>
      </w:r>
      <w:r>
        <w:rPr>
          <w:color w:val="231F20"/>
          <w:spacing w:val="-20"/>
        </w:rPr>
        <w:t> </w:t>
      </w:r>
      <w:r>
        <w:rPr>
          <w:color w:val="231F20"/>
        </w:rPr>
        <w:t>manifesta in</w:t>
      </w:r>
      <w:r>
        <w:rPr>
          <w:color w:val="231F20"/>
          <w:spacing w:val="-5"/>
        </w:rPr>
        <w:t> </w:t>
      </w:r>
      <w:r>
        <w:rPr>
          <w:color w:val="231F20"/>
        </w:rPr>
        <w:t>un</w:t>
      </w:r>
      <w:r>
        <w:rPr>
          <w:color w:val="231F20"/>
          <w:spacing w:val="-5"/>
        </w:rPr>
        <w:t> </w:t>
      </w:r>
      <w:r>
        <w:rPr>
          <w:color w:val="231F20"/>
        </w:rPr>
        <w:t>momento</w:t>
      </w:r>
      <w:r>
        <w:rPr>
          <w:color w:val="231F20"/>
          <w:spacing w:val="-5"/>
        </w:rPr>
        <w:t> </w:t>
      </w:r>
      <w:r>
        <w:rPr>
          <w:color w:val="231F20"/>
        </w:rPr>
        <w:t>storico</w:t>
      </w:r>
      <w:r>
        <w:rPr>
          <w:color w:val="231F20"/>
          <w:spacing w:val="-5"/>
        </w:rPr>
        <w:t> </w:t>
      </w:r>
      <w:r>
        <w:rPr>
          <w:color w:val="231F20"/>
        </w:rPr>
        <w:t>in</w:t>
      </w:r>
      <w:r>
        <w:rPr>
          <w:color w:val="231F20"/>
          <w:spacing w:val="-5"/>
        </w:rPr>
        <w:t> </w:t>
      </w:r>
      <w:r>
        <w:rPr>
          <w:color w:val="231F20"/>
        </w:rPr>
        <w:t>cui</w:t>
      </w:r>
      <w:r>
        <w:rPr>
          <w:color w:val="231F20"/>
          <w:spacing w:val="-5"/>
        </w:rPr>
        <w:t> </w:t>
      </w:r>
      <w:r>
        <w:rPr>
          <w:color w:val="231F20"/>
        </w:rPr>
        <w:t>non</w:t>
      </w:r>
      <w:r>
        <w:rPr>
          <w:color w:val="231F20"/>
          <w:spacing w:val="-5"/>
        </w:rPr>
        <w:t> </w:t>
      </w:r>
      <w:r>
        <w:rPr>
          <w:color w:val="231F20"/>
        </w:rPr>
        <w:t>è</w:t>
      </w:r>
      <w:r>
        <w:rPr>
          <w:color w:val="231F20"/>
          <w:spacing w:val="-5"/>
        </w:rPr>
        <w:t> </w:t>
      </w:r>
      <w:r>
        <w:rPr>
          <w:color w:val="231F20"/>
        </w:rPr>
        <w:t>possibile</w:t>
      </w:r>
      <w:r>
        <w:rPr>
          <w:color w:val="231F20"/>
          <w:spacing w:val="-5"/>
        </w:rPr>
        <w:t> </w:t>
      </w:r>
      <w:r>
        <w:rPr>
          <w:color w:val="231F20"/>
        </w:rPr>
        <w:t>lasciar</w:t>
      </w:r>
      <w:r>
        <w:rPr>
          <w:color w:val="231F20"/>
          <w:spacing w:val="-5"/>
        </w:rPr>
        <w:t> </w:t>
      </w:r>
      <w:r>
        <w:rPr>
          <w:color w:val="231F20"/>
        </w:rPr>
        <w:t>di</w:t>
      </w:r>
      <w:r>
        <w:rPr>
          <w:color w:val="231F20"/>
          <w:spacing w:val="-5"/>
        </w:rPr>
        <w:t> </w:t>
      </w:r>
      <w:r>
        <w:rPr>
          <w:color w:val="231F20"/>
        </w:rPr>
        <w:t>lato</w:t>
      </w:r>
      <w:r>
        <w:rPr>
          <w:color w:val="231F20"/>
          <w:spacing w:val="-5"/>
        </w:rPr>
        <w:t> </w:t>
      </w:r>
      <w:r>
        <w:rPr>
          <w:color w:val="231F20"/>
        </w:rPr>
        <w:t>l’esigenza</w:t>
      </w:r>
      <w:r>
        <w:rPr>
          <w:color w:val="231F20"/>
          <w:spacing w:val="-5"/>
        </w:rPr>
        <w:t> </w:t>
      </w:r>
      <w:r>
        <w:rPr>
          <w:color w:val="231F20"/>
        </w:rPr>
        <w:t>di</w:t>
      </w:r>
      <w:r>
        <w:rPr>
          <w:color w:val="231F20"/>
          <w:spacing w:val="-5"/>
        </w:rPr>
        <w:t> </w:t>
      </w:r>
      <w:r>
        <w:rPr>
          <w:color w:val="231F20"/>
        </w:rPr>
        <w:t>una spiegazione multi-causale dei loro molteplici angoli, nonostante i continui sforzi</w:t>
      </w:r>
      <w:r>
        <w:rPr>
          <w:color w:val="231F20"/>
          <w:spacing w:val="-7"/>
        </w:rPr>
        <w:t> </w:t>
      </w:r>
      <w:r>
        <w:rPr>
          <w:color w:val="231F20"/>
        </w:rPr>
        <w:t>statali</w:t>
      </w:r>
      <w:r>
        <w:rPr>
          <w:color w:val="231F20"/>
          <w:spacing w:val="-7"/>
        </w:rPr>
        <w:t> </w:t>
      </w:r>
      <w:r>
        <w:rPr>
          <w:color w:val="231F20"/>
        </w:rPr>
        <w:t>e</w:t>
      </w:r>
      <w:r>
        <w:rPr>
          <w:color w:val="231F20"/>
          <w:spacing w:val="-7"/>
        </w:rPr>
        <w:t> </w:t>
      </w:r>
      <w:r>
        <w:rPr>
          <w:color w:val="231F20"/>
        </w:rPr>
        <w:t>sovrastatali</w:t>
      </w:r>
      <w:r>
        <w:rPr>
          <w:color w:val="231F20"/>
          <w:spacing w:val="-7"/>
        </w:rPr>
        <w:t> </w:t>
      </w:r>
      <w:r>
        <w:rPr>
          <w:color w:val="231F20"/>
        </w:rPr>
        <w:t>e</w:t>
      </w:r>
      <w:r>
        <w:rPr>
          <w:color w:val="231F20"/>
          <w:spacing w:val="-7"/>
        </w:rPr>
        <w:t> </w:t>
      </w:r>
      <w:r>
        <w:rPr>
          <w:color w:val="231F20"/>
        </w:rPr>
        <w:t>in</w:t>
      </w:r>
      <w:r>
        <w:rPr>
          <w:color w:val="231F20"/>
          <w:spacing w:val="-7"/>
        </w:rPr>
        <w:t> </w:t>
      </w:r>
      <w:r>
        <w:rPr>
          <w:color w:val="231F20"/>
        </w:rPr>
        <w:t>particolare</w:t>
      </w:r>
      <w:r>
        <w:rPr>
          <w:color w:val="231F20"/>
          <w:spacing w:val="-7"/>
        </w:rPr>
        <w:t> </w:t>
      </w:r>
      <w:r>
        <w:rPr>
          <w:color w:val="231F20"/>
        </w:rPr>
        <w:t>delle</w:t>
      </w:r>
      <w:r>
        <w:rPr>
          <w:color w:val="231F20"/>
          <w:spacing w:val="-7"/>
        </w:rPr>
        <w:t> </w:t>
      </w:r>
      <w:r>
        <w:rPr>
          <w:color w:val="231F20"/>
        </w:rPr>
        <w:t>élites</w:t>
      </w:r>
      <w:r>
        <w:rPr>
          <w:color w:val="231F20"/>
          <w:spacing w:val="-7"/>
        </w:rPr>
        <w:t> </w:t>
      </w:r>
      <w:r>
        <w:rPr>
          <w:color w:val="231F20"/>
        </w:rPr>
        <w:t>finanziarie</w:t>
      </w:r>
      <w:r>
        <w:rPr>
          <w:color w:val="231F20"/>
          <w:spacing w:val="-7"/>
        </w:rPr>
        <w:t> </w:t>
      </w:r>
      <w:r>
        <w:rPr>
          <w:color w:val="231F20"/>
        </w:rPr>
        <w:t>e</w:t>
      </w:r>
      <w:r>
        <w:rPr>
          <w:color w:val="231F20"/>
          <w:spacing w:val="-7"/>
        </w:rPr>
        <w:t> </w:t>
      </w:r>
      <w:r>
        <w:rPr>
          <w:color w:val="231F20"/>
        </w:rPr>
        <w:t>politiche, per distanziare le cause del deficit di crescita economica dalle forme di legittimazione</w:t>
      </w:r>
      <w:r>
        <w:rPr>
          <w:color w:val="231F20"/>
          <w:spacing w:val="54"/>
        </w:rPr>
        <w:t> </w:t>
      </w:r>
      <w:r>
        <w:rPr>
          <w:color w:val="231F20"/>
        </w:rPr>
        <w:t>democratica.</w:t>
      </w:r>
    </w:p>
    <w:p>
      <w:pPr>
        <w:pStyle w:val="BodyText"/>
        <w:spacing w:line="247" w:lineRule="auto"/>
        <w:ind w:left="117" w:right="121" w:firstLine="566"/>
        <w:jc w:val="both"/>
      </w:pPr>
      <w:r>
        <w:rPr>
          <w:color w:val="231F20"/>
          <w:w w:val="105"/>
        </w:rPr>
        <w:t>Nel</w:t>
      </w:r>
      <w:r>
        <w:rPr>
          <w:color w:val="231F20"/>
          <w:spacing w:val="-28"/>
          <w:w w:val="105"/>
        </w:rPr>
        <w:t> </w:t>
      </w:r>
      <w:r>
        <w:rPr>
          <w:color w:val="231F20"/>
          <w:w w:val="105"/>
        </w:rPr>
        <w:t>suo</w:t>
      </w:r>
      <w:r>
        <w:rPr>
          <w:color w:val="231F20"/>
          <w:spacing w:val="-28"/>
          <w:w w:val="105"/>
        </w:rPr>
        <w:t> </w:t>
      </w:r>
      <w:r>
        <w:rPr>
          <w:color w:val="231F20"/>
          <w:w w:val="105"/>
        </w:rPr>
        <w:t>aspetto</w:t>
      </w:r>
      <w:r>
        <w:rPr>
          <w:color w:val="231F20"/>
          <w:spacing w:val="-28"/>
          <w:w w:val="105"/>
        </w:rPr>
        <w:t> </w:t>
      </w:r>
      <w:r>
        <w:rPr>
          <w:color w:val="231F20"/>
          <w:w w:val="105"/>
        </w:rPr>
        <w:t>partitista,</w:t>
      </w:r>
      <w:r>
        <w:rPr>
          <w:color w:val="231F20"/>
          <w:spacing w:val="-28"/>
          <w:w w:val="105"/>
        </w:rPr>
        <w:t> </w:t>
      </w:r>
      <w:r>
        <w:rPr>
          <w:color w:val="231F20"/>
          <w:w w:val="105"/>
        </w:rPr>
        <w:t>una</w:t>
      </w:r>
      <w:r>
        <w:rPr>
          <w:color w:val="231F20"/>
          <w:spacing w:val="-28"/>
          <w:w w:val="105"/>
        </w:rPr>
        <w:t> </w:t>
      </w:r>
      <w:r>
        <w:rPr>
          <w:color w:val="231F20"/>
          <w:w w:val="105"/>
        </w:rPr>
        <w:t>delle</w:t>
      </w:r>
      <w:r>
        <w:rPr>
          <w:color w:val="231F20"/>
          <w:spacing w:val="-28"/>
          <w:w w:val="105"/>
        </w:rPr>
        <w:t> </w:t>
      </w:r>
      <w:r>
        <w:rPr>
          <w:color w:val="231F20"/>
          <w:w w:val="105"/>
        </w:rPr>
        <w:t>risposte</w:t>
      </w:r>
      <w:r>
        <w:rPr>
          <w:color w:val="231F20"/>
          <w:spacing w:val="-28"/>
          <w:w w:val="105"/>
        </w:rPr>
        <w:t> </w:t>
      </w:r>
      <w:r>
        <w:rPr>
          <w:color w:val="231F20"/>
          <w:w w:val="105"/>
        </w:rPr>
        <w:t>al</w:t>
      </w:r>
      <w:r>
        <w:rPr>
          <w:color w:val="231F20"/>
          <w:spacing w:val="-28"/>
          <w:w w:val="105"/>
        </w:rPr>
        <w:t> </w:t>
      </w:r>
      <w:r>
        <w:rPr>
          <w:color w:val="231F20"/>
          <w:w w:val="105"/>
        </w:rPr>
        <w:t>disaccoppiamento</w:t>
      </w:r>
      <w:r>
        <w:rPr>
          <w:color w:val="231F20"/>
          <w:spacing w:val="-28"/>
          <w:w w:val="105"/>
        </w:rPr>
        <w:t> </w:t>
      </w:r>
      <w:r>
        <w:rPr>
          <w:color w:val="231F20"/>
          <w:w w:val="105"/>
        </w:rPr>
        <w:t>(e al</w:t>
      </w:r>
      <w:r>
        <w:rPr>
          <w:color w:val="231F20"/>
          <w:spacing w:val="-40"/>
          <w:w w:val="105"/>
        </w:rPr>
        <w:t> </w:t>
      </w:r>
      <w:r>
        <w:rPr>
          <w:color w:val="231F20"/>
          <w:w w:val="105"/>
        </w:rPr>
        <w:t>fenómeno</w:t>
      </w:r>
      <w:r>
        <w:rPr>
          <w:color w:val="231F20"/>
          <w:spacing w:val="-40"/>
          <w:w w:val="105"/>
        </w:rPr>
        <w:t> </w:t>
      </w:r>
      <w:r>
        <w:rPr>
          <w:color w:val="231F20"/>
          <w:w w:val="105"/>
        </w:rPr>
        <w:t>della</w:t>
      </w:r>
      <w:r>
        <w:rPr>
          <w:color w:val="231F20"/>
          <w:spacing w:val="-40"/>
          <w:w w:val="105"/>
        </w:rPr>
        <w:t> </w:t>
      </w:r>
      <w:r>
        <w:rPr>
          <w:color w:val="231F20"/>
          <w:w w:val="105"/>
        </w:rPr>
        <w:t>scarsità</w:t>
      </w:r>
      <w:r>
        <w:rPr>
          <w:color w:val="231F20"/>
          <w:spacing w:val="-40"/>
          <w:w w:val="105"/>
        </w:rPr>
        <w:t> </w:t>
      </w:r>
      <w:r>
        <w:rPr>
          <w:color w:val="231F20"/>
          <w:w w:val="105"/>
        </w:rPr>
        <w:t>che</w:t>
      </w:r>
      <w:r>
        <w:rPr>
          <w:color w:val="231F20"/>
          <w:spacing w:val="-40"/>
          <w:w w:val="105"/>
        </w:rPr>
        <w:t> </w:t>
      </w:r>
      <w:r>
        <w:rPr>
          <w:color w:val="231F20"/>
          <w:w w:val="105"/>
        </w:rPr>
        <w:t>lo</w:t>
      </w:r>
      <w:r>
        <w:rPr>
          <w:color w:val="231F20"/>
          <w:spacing w:val="-40"/>
          <w:w w:val="105"/>
        </w:rPr>
        <w:t> </w:t>
      </w:r>
      <w:r>
        <w:rPr>
          <w:color w:val="231F20"/>
          <w:w w:val="105"/>
        </w:rPr>
        <w:t>accompagna)</w:t>
      </w:r>
      <w:r>
        <w:rPr>
          <w:color w:val="231F20"/>
          <w:spacing w:val="-40"/>
          <w:w w:val="105"/>
        </w:rPr>
        <w:t> </w:t>
      </w:r>
      <w:r>
        <w:rPr>
          <w:color w:val="231F20"/>
          <w:w w:val="105"/>
        </w:rPr>
        <w:t>tra</w:t>
      </w:r>
      <w:r>
        <w:rPr>
          <w:color w:val="231F20"/>
          <w:spacing w:val="-40"/>
          <w:w w:val="105"/>
        </w:rPr>
        <w:t> </w:t>
      </w:r>
      <w:r>
        <w:rPr>
          <w:color w:val="231F20"/>
          <w:w w:val="105"/>
        </w:rPr>
        <w:t>la</w:t>
      </w:r>
      <w:r>
        <w:rPr>
          <w:color w:val="231F20"/>
          <w:spacing w:val="-40"/>
          <w:w w:val="105"/>
        </w:rPr>
        <w:t> </w:t>
      </w:r>
      <w:r>
        <w:rPr>
          <w:color w:val="231F20"/>
          <w:w w:val="105"/>
        </w:rPr>
        <w:t>riproduzione</w:t>
      </w:r>
      <w:r>
        <w:rPr>
          <w:color w:val="231F20"/>
          <w:spacing w:val="-40"/>
          <w:w w:val="105"/>
        </w:rPr>
        <w:t> </w:t>
      </w:r>
      <w:r>
        <w:rPr>
          <w:color w:val="231F20"/>
          <w:w w:val="105"/>
        </w:rPr>
        <w:t>della</w:t>
      </w:r>
      <w:r>
        <w:rPr>
          <w:color w:val="231F20"/>
          <w:spacing w:val="-40"/>
          <w:w w:val="105"/>
        </w:rPr>
        <w:t> </w:t>
      </w:r>
      <w:r>
        <w:rPr>
          <w:color w:val="231F20"/>
          <w:w w:val="105"/>
        </w:rPr>
        <w:t>vita</w:t>
      </w:r>
    </w:p>
    <w:p>
      <w:pPr>
        <w:pStyle w:val="BodyText"/>
        <w:spacing w:before="9"/>
        <w:rPr>
          <w:sz w:val="19"/>
        </w:rPr>
      </w:pPr>
      <w:r>
        <w:rPr/>
        <w:pict>
          <v:line style="position:absolute;mso-position-horizontal-relative:page;mso-position-vertical-relative:paragraph;z-index:13264;mso-wrap-distance-left:0;mso-wrap-distance-right:0" from="70.866203pt,14.039285pt" to="184.252203pt,14.039285pt" stroked="true" strokeweight=".3pt" strokecolor="#231f20">
            <w10:wrap type="topAndBottom"/>
          </v:line>
        </w:pict>
      </w:r>
    </w:p>
    <w:p>
      <w:pPr>
        <w:spacing w:line="206" w:lineRule="exact" w:before="10"/>
        <w:ind w:left="117" w:right="0" w:firstLine="0"/>
        <w:jc w:val="left"/>
        <w:rPr>
          <w:rFonts w:ascii="Calibri" w:hAnsi="Calibri"/>
          <w:sz w:val="17"/>
        </w:rPr>
      </w:pPr>
      <w:r>
        <w:rPr>
          <w:rFonts w:ascii="Calibri" w:hAnsi="Calibri"/>
          <w:color w:val="231F20"/>
          <w:position w:val="6"/>
          <w:sz w:val="10"/>
        </w:rPr>
        <w:t>1  </w:t>
      </w:r>
      <w:r>
        <w:rPr>
          <w:rFonts w:ascii="Calibri" w:hAnsi="Calibri"/>
          <w:color w:val="231F20"/>
          <w:sz w:val="17"/>
        </w:rPr>
        <w:t>T. Piketty, </w:t>
      </w:r>
      <w:r>
        <w:rPr>
          <w:rFonts w:ascii="Calibri" w:hAnsi="Calibri"/>
          <w:i/>
          <w:color w:val="231F20"/>
          <w:sz w:val="17"/>
        </w:rPr>
        <w:t>El capital en el siglo </w:t>
      </w:r>
      <w:r>
        <w:rPr>
          <w:rFonts w:ascii="Calibri" w:hAnsi="Calibri"/>
          <w:i/>
          <w:color w:val="231F20"/>
          <w:sz w:val="14"/>
        </w:rPr>
        <w:t>XXI</w:t>
      </w:r>
      <w:r>
        <w:rPr>
          <w:rFonts w:ascii="Calibri" w:hAnsi="Calibri"/>
          <w:color w:val="231F20"/>
          <w:sz w:val="17"/>
        </w:rPr>
        <w:t>, México, Fondo de Cultura Económica, 2014, pp. 520–525.</w:t>
      </w:r>
    </w:p>
    <w:p>
      <w:pPr>
        <w:spacing w:line="206" w:lineRule="exact" w:before="0"/>
        <w:ind w:left="117" w:right="0" w:firstLine="0"/>
        <w:jc w:val="left"/>
        <w:rPr>
          <w:rFonts w:ascii="Calibri"/>
          <w:sz w:val="17"/>
        </w:rPr>
      </w:pPr>
      <w:r>
        <w:rPr>
          <w:rFonts w:ascii="Calibri"/>
          <w:color w:val="231F20"/>
          <w:position w:val="6"/>
          <w:sz w:val="10"/>
        </w:rPr>
        <w:t>2  </w:t>
      </w:r>
      <w:r>
        <w:rPr>
          <w:rFonts w:ascii="Calibri"/>
          <w:color w:val="231F20"/>
          <w:sz w:val="17"/>
        </w:rPr>
        <w:t>I casi recenti di Spagna e Grecia sono espressioni chiare di questa  situazione.</w:t>
      </w:r>
    </w:p>
    <w:p>
      <w:pPr>
        <w:spacing w:after="0" w:line="206" w:lineRule="exact"/>
        <w:jc w:val="left"/>
        <w:rPr>
          <w:rFonts w:ascii="Calibri"/>
          <w:sz w:val="17"/>
        </w:rPr>
        <w:sectPr>
          <w:pgSz w:w="9640" w:h="13890"/>
          <w:pgMar w:top="1300" w:bottom="280" w:left="1300" w:right="1180"/>
        </w:sectPr>
      </w:pPr>
    </w:p>
    <w:p>
      <w:pPr>
        <w:pStyle w:val="BodyText"/>
        <w:spacing w:line="247" w:lineRule="auto" w:before="107"/>
        <w:ind w:left="103" w:right="110"/>
        <w:jc w:val="both"/>
      </w:pPr>
      <w:r>
        <w:rPr>
          <w:color w:val="231F20"/>
          <w:w w:val="105"/>
        </w:rPr>
        <w:t>sociale</w:t>
      </w:r>
      <w:r>
        <w:rPr>
          <w:color w:val="231F20"/>
          <w:spacing w:val="-45"/>
          <w:w w:val="105"/>
        </w:rPr>
        <w:t> </w:t>
      </w:r>
      <w:r>
        <w:rPr>
          <w:color w:val="231F20"/>
          <w:w w:val="105"/>
        </w:rPr>
        <w:t>e</w:t>
      </w:r>
      <w:r>
        <w:rPr>
          <w:color w:val="231F20"/>
          <w:spacing w:val="-45"/>
          <w:w w:val="105"/>
        </w:rPr>
        <w:t> </w:t>
      </w:r>
      <w:r>
        <w:rPr>
          <w:color w:val="231F20"/>
          <w:w w:val="105"/>
        </w:rPr>
        <w:t>il</w:t>
      </w:r>
      <w:r>
        <w:rPr>
          <w:color w:val="231F20"/>
          <w:spacing w:val="-45"/>
          <w:w w:val="105"/>
        </w:rPr>
        <w:t> </w:t>
      </w:r>
      <w:r>
        <w:rPr>
          <w:color w:val="231F20"/>
          <w:w w:val="105"/>
        </w:rPr>
        <w:t>processo</w:t>
      </w:r>
      <w:r>
        <w:rPr>
          <w:color w:val="231F20"/>
          <w:spacing w:val="-45"/>
          <w:w w:val="105"/>
        </w:rPr>
        <w:t> </w:t>
      </w:r>
      <w:r>
        <w:rPr>
          <w:color w:val="231F20"/>
          <w:w w:val="105"/>
        </w:rPr>
        <w:t>istituzionale</w:t>
      </w:r>
      <w:r>
        <w:rPr>
          <w:color w:val="231F20"/>
          <w:spacing w:val="-45"/>
          <w:w w:val="105"/>
        </w:rPr>
        <w:t> </w:t>
      </w:r>
      <w:r>
        <w:rPr>
          <w:color w:val="231F20"/>
          <w:w w:val="105"/>
        </w:rPr>
        <w:t>di</w:t>
      </w:r>
      <w:r>
        <w:rPr>
          <w:color w:val="231F20"/>
          <w:spacing w:val="-45"/>
          <w:w w:val="105"/>
        </w:rPr>
        <w:t> </w:t>
      </w:r>
      <w:r>
        <w:rPr>
          <w:color w:val="231F20"/>
          <w:w w:val="105"/>
        </w:rPr>
        <w:t>garanzia</w:t>
      </w:r>
      <w:r>
        <w:rPr>
          <w:color w:val="231F20"/>
          <w:spacing w:val="-45"/>
          <w:w w:val="105"/>
        </w:rPr>
        <w:t> </w:t>
      </w:r>
      <w:r>
        <w:rPr>
          <w:color w:val="231F20"/>
          <w:w w:val="105"/>
        </w:rPr>
        <w:t>di</w:t>
      </w:r>
      <w:r>
        <w:rPr>
          <w:color w:val="231F20"/>
          <w:spacing w:val="-45"/>
          <w:w w:val="105"/>
        </w:rPr>
        <w:t> </w:t>
      </w:r>
      <w:r>
        <w:rPr>
          <w:color w:val="231F20"/>
          <w:w w:val="105"/>
        </w:rPr>
        <w:t>benessere,</w:t>
      </w:r>
      <w:r>
        <w:rPr>
          <w:color w:val="231F20"/>
          <w:spacing w:val="-47"/>
          <w:w w:val="105"/>
        </w:rPr>
        <w:t> </w:t>
      </w:r>
      <w:r>
        <w:rPr>
          <w:color w:val="231F20"/>
          <w:w w:val="105"/>
        </w:rPr>
        <w:t>è</w:t>
      </w:r>
      <w:r>
        <w:rPr>
          <w:color w:val="231F20"/>
          <w:spacing w:val="-45"/>
          <w:w w:val="105"/>
        </w:rPr>
        <w:t> </w:t>
      </w:r>
      <w:r>
        <w:rPr>
          <w:color w:val="231F20"/>
          <w:w w:val="105"/>
        </w:rPr>
        <w:t>stato</w:t>
      </w:r>
      <w:r>
        <w:rPr>
          <w:color w:val="231F20"/>
          <w:spacing w:val="-45"/>
          <w:w w:val="105"/>
        </w:rPr>
        <w:t> </w:t>
      </w:r>
      <w:r>
        <w:rPr>
          <w:color w:val="231F20"/>
          <w:w w:val="105"/>
        </w:rPr>
        <w:t>l’aumento di formazioni e coalizioni eletorali populiste, siano esse organizate dallo </w:t>
      </w:r>
      <w:r>
        <w:rPr>
          <w:color w:val="231F20"/>
          <w:spacing w:val="-3"/>
          <w:w w:val="105"/>
        </w:rPr>
        <w:t>spettro</w:t>
      </w:r>
      <w:r>
        <w:rPr>
          <w:color w:val="231F20"/>
          <w:spacing w:val="-29"/>
          <w:w w:val="105"/>
        </w:rPr>
        <w:t> </w:t>
      </w:r>
      <w:r>
        <w:rPr>
          <w:color w:val="231F20"/>
          <w:w w:val="105"/>
        </w:rPr>
        <w:t>“ideologico”</w:t>
      </w:r>
      <w:r>
        <w:rPr>
          <w:color w:val="231F20"/>
          <w:spacing w:val="-29"/>
          <w:w w:val="105"/>
        </w:rPr>
        <w:t> </w:t>
      </w:r>
      <w:r>
        <w:rPr>
          <w:color w:val="231F20"/>
          <w:spacing w:val="-3"/>
          <w:w w:val="105"/>
        </w:rPr>
        <w:t>oppure,</w:t>
      </w:r>
      <w:r>
        <w:rPr>
          <w:color w:val="231F20"/>
          <w:spacing w:val="-29"/>
          <w:w w:val="105"/>
        </w:rPr>
        <w:t> </w:t>
      </w:r>
      <w:r>
        <w:rPr>
          <w:color w:val="231F20"/>
          <w:w w:val="105"/>
        </w:rPr>
        <w:t>come</w:t>
      </w:r>
      <w:r>
        <w:rPr>
          <w:color w:val="231F20"/>
          <w:spacing w:val="-29"/>
          <w:w w:val="105"/>
        </w:rPr>
        <w:t> </w:t>
      </w:r>
      <w:r>
        <w:rPr>
          <w:color w:val="231F20"/>
          <w:w w:val="105"/>
        </w:rPr>
        <w:t>lo</w:t>
      </w:r>
      <w:r>
        <w:rPr>
          <w:color w:val="231F20"/>
          <w:spacing w:val="-29"/>
          <w:w w:val="105"/>
        </w:rPr>
        <w:t> </w:t>
      </w:r>
      <w:r>
        <w:rPr>
          <w:color w:val="231F20"/>
          <w:w w:val="105"/>
        </w:rPr>
        <w:t>si</w:t>
      </w:r>
      <w:r>
        <w:rPr>
          <w:color w:val="231F20"/>
          <w:spacing w:val="-29"/>
          <w:w w:val="105"/>
        </w:rPr>
        <w:t> </w:t>
      </w:r>
      <w:r>
        <w:rPr>
          <w:color w:val="231F20"/>
          <w:w w:val="105"/>
        </w:rPr>
        <w:t>definisce</w:t>
      </w:r>
      <w:r>
        <w:rPr>
          <w:color w:val="231F20"/>
          <w:spacing w:val="-29"/>
          <w:w w:val="105"/>
        </w:rPr>
        <w:t> </w:t>
      </w:r>
      <w:r>
        <w:rPr>
          <w:color w:val="231F20"/>
          <w:w w:val="105"/>
        </w:rPr>
        <w:t>oggi</w:t>
      </w:r>
      <w:r>
        <w:rPr>
          <w:color w:val="231F20"/>
          <w:spacing w:val="-29"/>
          <w:w w:val="105"/>
        </w:rPr>
        <w:t> </w:t>
      </w:r>
      <w:r>
        <w:rPr>
          <w:color w:val="231F20"/>
          <w:w w:val="105"/>
        </w:rPr>
        <w:t>“post-ideologico”,</w:t>
      </w:r>
      <w:r>
        <w:rPr>
          <w:color w:val="231F20"/>
          <w:spacing w:val="-29"/>
          <w:w w:val="105"/>
        </w:rPr>
        <w:t> </w:t>
      </w:r>
      <w:r>
        <w:rPr>
          <w:color w:val="231F20"/>
          <w:w w:val="105"/>
        </w:rPr>
        <w:t>di sinistra</w:t>
      </w:r>
      <w:r>
        <w:rPr>
          <w:color w:val="231F20"/>
          <w:spacing w:val="-40"/>
          <w:w w:val="105"/>
        </w:rPr>
        <w:t> </w:t>
      </w:r>
      <w:r>
        <w:rPr>
          <w:color w:val="231F20"/>
          <w:w w:val="105"/>
        </w:rPr>
        <w:t>o</w:t>
      </w:r>
      <w:r>
        <w:rPr>
          <w:color w:val="231F20"/>
          <w:spacing w:val="-40"/>
          <w:w w:val="105"/>
        </w:rPr>
        <w:t> </w:t>
      </w:r>
      <w:r>
        <w:rPr>
          <w:color w:val="231F20"/>
          <w:w w:val="105"/>
        </w:rPr>
        <w:t>destra.</w:t>
      </w:r>
      <w:r>
        <w:rPr>
          <w:color w:val="231F20"/>
          <w:spacing w:val="-40"/>
          <w:w w:val="105"/>
        </w:rPr>
        <w:t> </w:t>
      </w:r>
      <w:r>
        <w:rPr>
          <w:color w:val="231F20"/>
          <w:w w:val="105"/>
        </w:rPr>
        <w:t>Allora,</w:t>
      </w:r>
      <w:r>
        <w:rPr>
          <w:color w:val="231F20"/>
          <w:spacing w:val="-40"/>
          <w:w w:val="105"/>
        </w:rPr>
        <w:t> </w:t>
      </w:r>
      <w:r>
        <w:rPr>
          <w:color w:val="231F20"/>
          <w:w w:val="105"/>
        </w:rPr>
        <w:t>se</w:t>
      </w:r>
      <w:r>
        <w:rPr>
          <w:color w:val="231F20"/>
          <w:spacing w:val="-40"/>
          <w:w w:val="105"/>
        </w:rPr>
        <w:t> </w:t>
      </w:r>
      <w:r>
        <w:rPr>
          <w:color w:val="231F20"/>
          <w:w w:val="105"/>
        </w:rPr>
        <w:t>la</w:t>
      </w:r>
      <w:r>
        <w:rPr>
          <w:color w:val="231F20"/>
          <w:spacing w:val="-40"/>
          <w:w w:val="105"/>
        </w:rPr>
        <w:t> </w:t>
      </w:r>
      <w:r>
        <w:rPr>
          <w:color w:val="231F20"/>
          <w:w w:val="105"/>
        </w:rPr>
        <w:t>democrazia</w:t>
      </w:r>
      <w:r>
        <w:rPr>
          <w:color w:val="231F20"/>
          <w:spacing w:val="-40"/>
          <w:w w:val="105"/>
        </w:rPr>
        <w:t> </w:t>
      </w:r>
      <w:r>
        <w:rPr>
          <w:color w:val="231F20"/>
          <w:w w:val="105"/>
        </w:rPr>
        <w:t>è</w:t>
      </w:r>
      <w:r>
        <w:rPr>
          <w:color w:val="231F20"/>
          <w:spacing w:val="-40"/>
          <w:w w:val="105"/>
        </w:rPr>
        <w:t> </w:t>
      </w:r>
      <w:r>
        <w:rPr>
          <w:color w:val="231F20"/>
          <w:w w:val="105"/>
        </w:rPr>
        <w:t>una</w:t>
      </w:r>
      <w:r>
        <w:rPr>
          <w:color w:val="231F20"/>
          <w:spacing w:val="-40"/>
          <w:w w:val="105"/>
        </w:rPr>
        <w:t> </w:t>
      </w:r>
      <w:r>
        <w:rPr>
          <w:color w:val="231F20"/>
          <w:w w:val="105"/>
        </w:rPr>
        <w:t>delle</w:t>
      </w:r>
      <w:r>
        <w:rPr>
          <w:color w:val="231F20"/>
          <w:spacing w:val="-40"/>
          <w:w w:val="105"/>
        </w:rPr>
        <w:t> </w:t>
      </w:r>
      <w:r>
        <w:rPr>
          <w:color w:val="231F20"/>
          <w:w w:val="105"/>
        </w:rPr>
        <w:t>forme</w:t>
      </w:r>
      <w:r>
        <w:rPr>
          <w:color w:val="231F20"/>
          <w:spacing w:val="-40"/>
          <w:w w:val="105"/>
        </w:rPr>
        <w:t> </w:t>
      </w:r>
      <w:r>
        <w:rPr>
          <w:color w:val="231F20"/>
          <w:w w:val="105"/>
        </w:rPr>
        <w:t>contemporanee più dinamiche della genesi dello spazio dello politico nel mondo storico attuale,</w:t>
      </w:r>
      <w:r>
        <w:rPr>
          <w:color w:val="231F20"/>
          <w:spacing w:val="-21"/>
          <w:w w:val="105"/>
        </w:rPr>
        <w:t> </w:t>
      </w:r>
      <w:r>
        <w:rPr>
          <w:color w:val="231F20"/>
          <w:w w:val="105"/>
        </w:rPr>
        <w:t>non</w:t>
      </w:r>
      <w:r>
        <w:rPr>
          <w:color w:val="231F20"/>
          <w:spacing w:val="-21"/>
          <w:w w:val="105"/>
        </w:rPr>
        <w:t> </w:t>
      </w:r>
      <w:r>
        <w:rPr>
          <w:color w:val="231F20"/>
          <w:w w:val="105"/>
        </w:rPr>
        <w:t>è</w:t>
      </w:r>
      <w:r>
        <w:rPr>
          <w:color w:val="231F20"/>
          <w:spacing w:val="-21"/>
          <w:w w:val="105"/>
        </w:rPr>
        <w:t> </w:t>
      </w:r>
      <w:r>
        <w:rPr>
          <w:color w:val="231F20"/>
          <w:w w:val="105"/>
        </w:rPr>
        <w:t>l’unica</w:t>
      </w:r>
      <w:r>
        <w:rPr>
          <w:color w:val="231F20"/>
          <w:spacing w:val="-21"/>
          <w:w w:val="105"/>
        </w:rPr>
        <w:t> </w:t>
      </w:r>
      <w:r>
        <w:rPr>
          <w:color w:val="231F20"/>
          <w:w w:val="105"/>
        </w:rPr>
        <w:t>forma</w:t>
      </w:r>
      <w:r>
        <w:rPr>
          <w:color w:val="231F20"/>
          <w:spacing w:val="-21"/>
          <w:w w:val="105"/>
        </w:rPr>
        <w:t> </w:t>
      </w:r>
      <w:r>
        <w:rPr>
          <w:color w:val="231F20"/>
          <w:w w:val="105"/>
        </w:rPr>
        <w:t>di</w:t>
      </w:r>
      <w:r>
        <w:rPr>
          <w:color w:val="231F20"/>
          <w:spacing w:val="-21"/>
          <w:w w:val="105"/>
        </w:rPr>
        <w:t> </w:t>
      </w:r>
      <w:r>
        <w:rPr>
          <w:color w:val="231F20"/>
          <w:w w:val="105"/>
        </w:rPr>
        <w:t>organizazzione</w:t>
      </w:r>
      <w:r>
        <w:rPr>
          <w:color w:val="231F20"/>
          <w:spacing w:val="-21"/>
          <w:w w:val="105"/>
        </w:rPr>
        <w:t> </w:t>
      </w:r>
      <w:r>
        <w:rPr>
          <w:color w:val="231F20"/>
          <w:w w:val="105"/>
        </w:rPr>
        <w:t>che</w:t>
      </w:r>
      <w:r>
        <w:rPr>
          <w:color w:val="231F20"/>
          <w:spacing w:val="-21"/>
          <w:w w:val="105"/>
        </w:rPr>
        <w:t> </w:t>
      </w:r>
      <w:r>
        <w:rPr>
          <w:color w:val="231F20"/>
          <w:w w:val="105"/>
        </w:rPr>
        <w:t>il</w:t>
      </w:r>
      <w:r>
        <w:rPr>
          <w:color w:val="231F20"/>
          <w:spacing w:val="-21"/>
          <w:w w:val="105"/>
        </w:rPr>
        <w:t> </w:t>
      </w:r>
      <w:r>
        <w:rPr>
          <w:color w:val="231F20"/>
          <w:w w:val="105"/>
        </w:rPr>
        <w:t>politico</w:t>
      </w:r>
      <w:r>
        <w:rPr>
          <w:color w:val="231F20"/>
          <w:spacing w:val="-21"/>
          <w:w w:val="105"/>
        </w:rPr>
        <w:t> </w:t>
      </w:r>
      <w:r>
        <w:rPr>
          <w:color w:val="231F20"/>
          <w:w w:val="105"/>
        </w:rPr>
        <w:t>può</w:t>
      </w:r>
      <w:r>
        <w:rPr>
          <w:color w:val="231F20"/>
          <w:spacing w:val="-21"/>
          <w:w w:val="105"/>
        </w:rPr>
        <w:t> </w:t>
      </w:r>
      <w:r>
        <w:rPr>
          <w:color w:val="231F20"/>
          <w:w w:val="105"/>
        </w:rPr>
        <w:t>adottare, nonostante</w:t>
      </w:r>
      <w:r>
        <w:rPr>
          <w:color w:val="231F20"/>
          <w:spacing w:val="-9"/>
          <w:w w:val="105"/>
        </w:rPr>
        <w:t> </w:t>
      </w:r>
      <w:r>
        <w:rPr>
          <w:color w:val="231F20"/>
          <w:w w:val="105"/>
        </w:rPr>
        <w:t>che</w:t>
      </w:r>
      <w:r>
        <w:rPr>
          <w:color w:val="231F20"/>
          <w:spacing w:val="-9"/>
          <w:w w:val="105"/>
        </w:rPr>
        <w:t> </w:t>
      </w:r>
      <w:r>
        <w:rPr>
          <w:color w:val="231F20"/>
          <w:w w:val="105"/>
        </w:rPr>
        <w:t>è</w:t>
      </w:r>
      <w:r>
        <w:rPr>
          <w:color w:val="231F20"/>
          <w:spacing w:val="-9"/>
          <w:w w:val="105"/>
        </w:rPr>
        <w:t> </w:t>
      </w:r>
      <w:r>
        <w:rPr>
          <w:color w:val="231F20"/>
          <w:w w:val="105"/>
        </w:rPr>
        <w:t>sempre</w:t>
      </w:r>
      <w:r>
        <w:rPr>
          <w:color w:val="231F20"/>
          <w:spacing w:val="-9"/>
          <w:w w:val="105"/>
        </w:rPr>
        <w:t> </w:t>
      </w:r>
      <w:r>
        <w:rPr>
          <w:color w:val="231F20"/>
          <w:w w:val="105"/>
        </w:rPr>
        <w:t>in</w:t>
      </w:r>
      <w:r>
        <w:rPr>
          <w:color w:val="231F20"/>
          <w:spacing w:val="-9"/>
          <w:w w:val="105"/>
        </w:rPr>
        <w:t> </w:t>
      </w:r>
      <w:r>
        <w:rPr>
          <w:color w:val="231F20"/>
          <w:w w:val="105"/>
        </w:rPr>
        <w:t>torno</w:t>
      </w:r>
      <w:r>
        <w:rPr>
          <w:color w:val="231F20"/>
          <w:spacing w:val="-9"/>
          <w:w w:val="105"/>
        </w:rPr>
        <w:t> </w:t>
      </w:r>
      <w:r>
        <w:rPr>
          <w:color w:val="231F20"/>
          <w:w w:val="105"/>
        </w:rPr>
        <w:t>a</w:t>
      </w:r>
      <w:r>
        <w:rPr>
          <w:color w:val="231F20"/>
          <w:spacing w:val="-9"/>
          <w:w w:val="105"/>
        </w:rPr>
        <w:t> </w:t>
      </w:r>
      <w:r>
        <w:rPr>
          <w:color w:val="231F20"/>
          <w:w w:val="105"/>
        </w:rPr>
        <w:t>essa</w:t>
      </w:r>
      <w:r>
        <w:rPr>
          <w:color w:val="231F20"/>
          <w:spacing w:val="-9"/>
          <w:w w:val="105"/>
        </w:rPr>
        <w:t> </w:t>
      </w:r>
      <w:r>
        <w:rPr>
          <w:color w:val="231F20"/>
          <w:w w:val="105"/>
        </w:rPr>
        <w:t>che</w:t>
      </w:r>
      <w:r>
        <w:rPr>
          <w:color w:val="231F20"/>
          <w:spacing w:val="-9"/>
          <w:w w:val="105"/>
        </w:rPr>
        <w:t> </w:t>
      </w:r>
      <w:r>
        <w:rPr>
          <w:color w:val="231F20"/>
          <w:w w:val="105"/>
        </w:rPr>
        <w:t>appaiono</w:t>
      </w:r>
      <w:r>
        <w:rPr>
          <w:color w:val="231F20"/>
          <w:spacing w:val="-9"/>
          <w:w w:val="105"/>
        </w:rPr>
        <w:t> </w:t>
      </w:r>
      <w:r>
        <w:rPr>
          <w:color w:val="231F20"/>
          <w:w w:val="105"/>
        </w:rPr>
        <w:t>diverse</w:t>
      </w:r>
      <w:r>
        <w:rPr>
          <w:color w:val="231F20"/>
          <w:spacing w:val="-9"/>
          <w:w w:val="105"/>
        </w:rPr>
        <w:t> </w:t>
      </w:r>
      <w:r>
        <w:rPr>
          <w:color w:val="231F20"/>
          <w:w w:val="105"/>
        </w:rPr>
        <w:t>modalità della</w:t>
      </w:r>
      <w:r>
        <w:rPr>
          <w:color w:val="231F20"/>
          <w:spacing w:val="-43"/>
          <w:w w:val="105"/>
        </w:rPr>
        <w:t> </w:t>
      </w:r>
      <w:r>
        <w:rPr>
          <w:color w:val="231F20"/>
          <w:w w:val="105"/>
        </w:rPr>
        <w:t>sua</w:t>
      </w:r>
      <w:r>
        <w:rPr>
          <w:color w:val="231F20"/>
          <w:spacing w:val="-43"/>
          <w:w w:val="105"/>
        </w:rPr>
        <w:t> </w:t>
      </w:r>
      <w:r>
        <w:rPr>
          <w:color w:val="231F20"/>
          <w:w w:val="105"/>
        </w:rPr>
        <w:t>appropiazione.</w:t>
      </w:r>
      <w:r>
        <w:rPr>
          <w:color w:val="231F20"/>
          <w:spacing w:val="-43"/>
          <w:w w:val="105"/>
        </w:rPr>
        <w:t> </w:t>
      </w:r>
      <w:r>
        <w:rPr>
          <w:color w:val="231F20"/>
          <w:w w:val="105"/>
        </w:rPr>
        <w:t>Bisogna</w:t>
      </w:r>
      <w:r>
        <w:rPr>
          <w:color w:val="231F20"/>
          <w:spacing w:val="-43"/>
          <w:w w:val="105"/>
        </w:rPr>
        <w:t> </w:t>
      </w:r>
      <w:r>
        <w:rPr>
          <w:color w:val="231F20"/>
          <w:w w:val="105"/>
        </w:rPr>
        <w:t>anche</w:t>
      </w:r>
      <w:r>
        <w:rPr>
          <w:color w:val="231F20"/>
          <w:spacing w:val="-43"/>
          <w:w w:val="105"/>
        </w:rPr>
        <w:t> </w:t>
      </w:r>
      <w:r>
        <w:rPr>
          <w:color w:val="231F20"/>
          <w:w w:val="105"/>
        </w:rPr>
        <w:t>dire</w:t>
      </w:r>
      <w:r>
        <w:rPr>
          <w:color w:val="231F20"/>
          <w:spacing w:val="-43"/>
          <w:w w:val="105"/>
        </w:rPr>
        <w:t> </w:t>
      </w:r>
      <w:r>
        <w:rPr>
          <w:color w:val="231F20"/>
          <w:w w:val="105"/>
        </w:rPr>
        <w:t>che</w:t>
      </w:r>
      <w:r>
        <w:rPr>
          <w:color w:val="231F20"/>
          <w:spacing w:val="-43"/>
          <w:w w:val="105"/>
        </w:rPr>
        <w:t> </w:t>
      </w:r>
      <w:r>
        <w:rPr>
          <w:color w:val="231F20"/>
          <w:w w:val="105"/>
        </w:rPr>
        <w:t>la</w:t>
      </w:r>
      <w:r>
        <w:rPr>
          <w:color w:val="231F20"/>
          <w:spacing w:val="-43"/>
          <w:w w:val="105"/>
        </w:rPr>
        <w:t> </w:t>
      </w:r>
      <w:r>
        <w:rPr>
          <w:color w:val="231F20"/>
          <w:w w:val="105"/>
        </w:rPr>
        <w:t>inadattabilità</w:t>
      </w:r>
      <w:r>
        <w:rPr>
          <w:color w:val="231F20"/>
          <w:spacing w:val="-43"/>
          <w:w w:val="105"/>
        </w:rPr>
        <w:t> </w:t>
      </w:r>
      <w:r>
        <w:rPr>
          <w:color w:val="231F20"/>
          <w:w w:val="105"/>
        </w:rPr>
        <w:t>strutturale che</w:t>
      </w:r>
      <w:r>
        <w:rPr>
          <w:color w:val="231F20"/>
          <w:spacing w:val="-41"/>
          <w:w w:val="105"/>
        </w:rPr>
        <w:t> </w:t>
      </w:r>
      <w:r>
        <w:rPr>
          <w:color w:val="231F20"/>
          <w:w w:val="105"/>
        </w:rPr>
        <w:t>vivono</w:t>
      </w:r>
      <w:r>
        <w:rPr>
          <w:color w:val="231F20"/>
          <w:spacing w:val="-41"/>
          <w:w w:val="105"/>
        </w:rPr>
        <w:t> </w:t>
      </w:r>
      <w:r>
        <w:rPr>
          <w:color w:val="231F20"/>
          <w:w w:val="105"/>
        </w:rPr>
        <w:t>le</w:t>
      </w:r>
      <w:r>
        <w:rPr>
          <w:color w:val="231F20"/>
          <w:spacing w:val="-41"/>
          <w:w w:val="105"/>
        </w:rPr>
        <w:t> </w:t>
      </w:r>
      <w:r>
        <w:rPr>
          <w:color w:val="231F20"/>
          <w:w w:val="105"/>
        </w:rPr>
        <w:t>democrazie</w:t>
      </w:r>
      <w:r>
        <w:rPr>
          <w:color w:val="231F20"/>
          <w:spacing w:val="-41"/>
          <w:w w:val="105"/>
        </w:rPr>
        <w:t> </w:t>
      </w:r>
      <w:r>
        <w:rPr>
          <w:color w:val="231F20"/>
          <w:w w:val="105"/>
        </w:rPr>
        <w:t>spiega</w:t>
      </w:r>
      <w:r>
        <w:rPr>
          <w:color w:val="231F20"/>
          <w:spacing w:val="-41"/>
          <w:w w:val="105"/>
        </w:rPr>
        <w:t> </w:t>
      </w:r>
      <w:r>
        <w:rPr>
          <w:color w:val="231F20"/>
          <w:w w:val="105"/>
        </w:rPr>
        <w:t>la</w:t>
      </w:r>
      <w:r>
        <w:rPr>
          <w:color w:val="231F20"/>
          <w:spacing w:val="-41"/>
          <w:w w:val="105"/>
        </w:rPr>
        <w:t> </w:t>
      </w:r>
      <w:r>
        <w:rPr>
          <w:color w:val="231F20"/>
          <w:w w:val="105"/>
        </w:rPr>
        <w:t>nascita</w:t>
      </w:r>
      <w:r>
        <w:rPr>
          <w:color w:val="231F20"/>
          <w:spacing w:val="-41"/>
          <w:w w:val="105"/>
        </w:rPr>
        <w:t> </w:t>
      </w:r>
      <w:r>
        <w:rPr>
          <w:color w:val="231F20"/>
          <w:w w:val="105"/>
        </w:rPr>
        <w:t>ma</w:t>
      </w:r>
      <w:r>
        <w:rPr>
          <w:color w:val="231F20"/>
          <w:spacing w:val="-41"/>
          <w:w w:val="105"/>
        </w:rPr>
        <w:t> </w:t>
      </w:r>
      <w:r>
        <w:rPr>
          <w:color w:val="231F20"/>
          <w:w w:val="105"/>
        </w:rPr>
        <w:t>non</w:t>
      </w:r>
      <w:r>
        <w:rPr>
          <w:color w:val="231F20"/>
          <w:spacing w:val="-41"/>
          <w:w w:val="105"/>
        </w:rPr>
        <w:t> </w:t>
      </w:r>
      <w:r>
        <w:rPr>
          <w:color w:val="231F20"/>
          <w:w w:val="105"/>
        </w:rPr>
        <w:t>lo</w:t>
      </w:r>
      <w:r>
        <w:rPr>
          <w:color w:val="231F20"/>
          <w:spacing w:val="-41"/>
          <w:w w:val="105"/>
        </w:rPr>
        <w:t> </w:t>
      </w:r>
      <w:r>
        <w:rPr>
          <w:color w:val="231F20"/>
          <w:w w:val="105"/>
        </w:rPr>
        <w:t>svilupo</w:t>
      </w:r>
      <w:r>
        <w:rPr>
          <w:color w:val="231F20"/>
          <w:spacing w:val="-41"/>
          <w:w w:val="105"/>
        </w:rPr>
        <w:t> </w:t>
      </w:r>
      <w:r>
        <w:rPr>
          <w:color w:val="231F20"/>
          <w:w w:val="105"/>
        </w:rPr>
        <w:t>e</w:t>
      </w:r>
      <w:r>
        <w:rPr>
          <w:color w:val="231F20"/>
          <w:spacing w:val="-41"/>
          <w:w w:val="105"/>
        </w:rPr>
        <w:t> </w:t>
      </w:r>
      <w:r>
        <w:rPr>
          <w:color w:val="231F20"/>
          <w:w w:val="105"/>
        </w:rPr>
        <w:t>tranne</w:t>
      </w:r>
      <w:r>
        <w:rPr>
          <w:color w:val="231F20"/>
          <w:spacing w:val="-41"/>
          <w:w w:val="105"/>
        </w:rPr>
        <w:t> </w:t>
      </w:r>
      <w:r>
        <w:rPr>
          <w:color w:val="231F20"/>
          <w:w w:val="105"/>
        </w:rPr>
        <w:t>meno la</w:t>
      </w:r>
      <w:r>
        <w:rPr>
          <w:color w:val="231F20"/>
          <w:spacing w:val="-24"/>
          <w:w w:val="105"/>
        </w:rPr>
        <w:t> </w:t>
      </w:r>
      <w:r>
        <w:rPr>
          <w:color w:val="231F20"/>
          <w:w w:val="105"/>
        </w:rPr>
        <w:t>fine</w:t>
      </w:r>
      <w:r>
        <w:rPr>
          <w:color w:val="231F20"/>
          <w:spacing w:val="-24"/>
          <w:w w:val="105"/>
        </w:rPr>
        <w:t> </w:t>
      </w:r>
      <w:r>
        <w:rPr>
          <w:color w:val="231F20"/>
          <w:w w:val="105"/>
        </w:rPr>
        <w:t>dei</w:t>
      </w:r>
      <w:r>
        <w:rPr>
          <w:color w:val="231F20"/>
          <w:spacing w:val="-24"/>
          <w:w w:val="105"/>
        </w:rPr>
        <w:t> </w:t>
      </w:r>
      <w:r>
        <w:rPr>
          <w:color w:val="231F20"/>
          <w:w w:val="105"/>
        </w:rPr>
        <w:t>fenomeni</w:t>
      </w:r>
      <w:r>
        <w:rPr>
          <w:color w:val="231F20"/>
          <w:spacing w:val="-24"/>
          <w:w w:val="105"/>
        </w:rPr>
        <w:t> </w:t>
      </w:r>
      <w:r>
        <w:rPr>
          <w:color w:val="231F20"/>
          <w:w w:val="105"/>
        </w:rPr>
        <w:t>populisti</w:t>
      </w:r>
      <w:r>
        <w:rPr>
          <w:color w:val="231F20"/>
          <w:spacing w:val="-24"/>
          <w:w w:val="105"/>
        </w:rPr>
        <w:t> </w:t>
      </w:r>
      <w:r>
        <w:rPr>
          <w:color w:val="231F20"/>
          <w:w w:val="105"/>
        </w:rPr>
        <w:t>che</w:t>
      </w:r>
      <w:r>
        <w:rPr>
          <w:color w:val="231F20"/>
          <w:spacing w:val="-24"/>
          <w:w w:val="105"/>
        </w:rPr>
        <w:t> </w:t>
      </w:r>
      <w:r>
        <w:rPr>
          <w:color w:val="231F20"/>
          <w:w w:val="105"/>
        </w:rPr>
        <w:t>trovano</w:t>
      </w:r>
      <w:r>
        <w:rPr>
          <w:color w:val="231F20"/>
          <w:spacing w:val="-24"/>
          <w:w w:val="105"/>
        </w:rPr>
        <w:t> </w:t>
      </w:r>
      <w:r>
        <w:rPr>
          <w:color w:val="231F20"/>
          <w:w w:val="105"/>
        </w:rPr>
        <w:t>posto</w:t>
      </w:r>
      <w:r>
        <w:rPr>
          <w:color w:val="231F20"/>
          <w:spacing w:val="-24"/>
          <w:w w:val="105"/>
        </w:rPr>
        <w:t> </w:t>
      </w:r>
      <w:r>
        <w:rPr>
          <w:color w:val="231F20"/>
          <w:w w:val="105"/>
        </w:rPr>
        <w:t>in</w:t>
      </w:r>
      <w:r>
        <w:rPr>
          <w:color w:val="231F20"/>
          <w:spacing w:val="-24"/>
          <w:w w:val="105"/>
        </w:rPr>
        <w:t> </w:t>
      </w:r>
      <w:r>
        <w:rPr>
          <w:color w:val="231F20"/>
          <w:w w:val="105"/>
        </w:rPr>
        <w:t>certe</w:t>
      </w:r>
      <w:r>
        <w:rPr>
          <w:color w:val="231F20"/>
          <w:spacing w:val="-24"/>
          <w:w w:val="105"/>
        </w:rPr>
        <w:t> </w:t>
      </w:r>
      <w:r>
        <w:rPr>
          <w:color w:val="231F20"/>
          <w:w w:val="105"/>
        </w:rPr>
        <w:t>esperienze</w:t>
      </w:r>
      <w:r>
        <w:rPr>
          <w:color w:val="231F20"/>
          <w:spacing w:val="-24"/>
          <w:w w:val="105"/>
        </w:rPr>
        <w:t> </w:t>
      </w:r>
      <w:r>
        <w:rPr>
          <w:color w:val="231F20"/>
          <w:w w:val="105"/>
        </w:rPr>
        <w:t>statali nel</w:t>
      </w:r>
      <w:r>
        <w:rPr>
          <w:color w:val="231F20"/>
          <w:spacing w:val="-6"/>
          <w:w w:val="105"/>
        </w:rPr>
        <w:t> </w:t>
      </w:r>
      <w:r>
        <w:rPr>
          <w:color w:val="231F20"/>
          <w:w w:val="105"/>
        </w:rPr>
        <w:t>contesto</w:t>
      </w:r>
      <w:r>
        <w:rPr>
          <w:color w:val="231F20"/>
          <w:spacing w:val="-6"/>
          <w:w w:val="105"/>
        </w:rPr>
        <w:t> </w:t>
      </w:r>
      <w:r>
        <w:rPr>
          <w:color w:val="231F20"/>
          <w:w w:val="105"/>
        </w:rPr>
        <w:t>recente.</w:t>
      </w:r>
      <w:r>
        <w:rPr>
          <w:color w:val="231F20"/>
          <w:spacing w:val="-6"/>
          <w:w w:val="105"/>
        </w:rPr>
        <w:t> </w:t>
      </w:r>
      <w:r>
        <w:rPr>
          <w:color w:val="231F20"/>
          <w:w w:val="105"/>
        </w:rPr>
        <w:t>In</w:t>
      </w:r>
      <w:r>
        <w:rPr>
          <w:color w:val="231F20"/>
          <w:spacing w:val="-6"/>
          <w:w w:val="105"/>
        </w:rPr>
        <w:t> </w:t>
      </w:r>
      <w:r>
        <w:rPr>
          <w:color w:val="231F20"/>
          <w:w w:val="105"/>
        </w:rPr>
        <w:t>questo</w:t>
      </w:r>
      <w:r>
        <w:rPr>
          <w:color w:val="231F20"/>
          <w:spacing w:val="-6"/>
          <w:w w:val="105"/>
        </w:rPr>
        <w:t> </w:t>
      </w:r>
      <w:r>
        <w:rPr>
          <w:color w:val="231F20"/>
          <w:w w:val="105"/>
        </w:rPr>
        <w:t>senso,</w:t>
      </w:r>
      <w:r>
        <w:rPr>
          <w:color w:val="231F20"/>
          <w:spacing w:val="-6"/>
          <w:w w:val="105"/>
        </w:rPr>
        <w:t> </w:t>
      </w:r>
      <w:r>
        <w:rPr>
          <w:color w:val="231F20"/>
          <w:w w:val="105"/>
        </w:rPr>
        <w:t>Venezuela</w:t>
      </w:r>
      <w:r>
        <w:rPr>
          <w:color w:val="231F20"/>
          <w:spacing w:val="-6"/>
          <w:w w:val="105"/>
        </w:rPr>
        <w:t> </w:t>
      </w:r>
      <w:r>
        <w:rPr>
          <w:color w:val="231F20"/>
          <w:w w:val="105"/>
        </w:rPr>
        <w:t>dopo</w:t>
      </w:r>
      <w:r>
        <w:rPr>
          <w:color w:val="231F20"/>
          <w:spacing w:val="-6"/>
          <w:w w:val="105"/>
        </w:rPr>
        <w:t> </w:t>
      </w:r>
      <w:r>
        <w:rPr>
          <w:color w:val="231F20"/>
          <w:w w:val="105"/>
        </w:rPr>
        <w:t>Chávez</w:t>
      </w:r>
      <w:r>
        <w:rPr>
          <w:color w:val="231F20"/>
          <w:spacing w:val="-3"/>
          <w:w w:val="105"/>
        </w:rPr>
        <w:t> </w:t>
      </w:r>
      <w:r>
        <w:rPr>
          <w:color w:val="231F20"/>
          <w:w w:val="105"/>
        </w:rPr>
        <w:t>è</w:t>
      </w:r>
      <w:r>
        <w:rPr>
          <w:color w:val="231F20"/>
          <w:spacing w:val="-6"/>
          <w:w w:val="105"/>
        </w:rPr>
        <w:t> </w:t>
      </w:r>
      <w:r>
        <w:rPr>
          <w:color w:val="231F20"/>
          <w:w w:val="105"/>
        </w:rPr>
        <w:t>la</w:t>
      </w:r>
      <w:r>
        <w:rPr>
          <w:color w:val="231F20"/>
          <w:spacing w:val="-6"/>
          <w:w w:val="105"/>
        </w:rPr>
        <w:t> </w:t>
      </w:r>
      <w:r>
        <w:rPr>
          <w:color w:val="231F20"/>
          <w:w w:val="105"/>
        </w:rPr>
        <w:t>sua parabola</w:t>
      </w:r>
      <w:r>
        <w:rPr>
          <w:color w:val="231F20"/>
          <w:w w:val="105"/>
          <w:position w:val="7"/>
          <w:sz w:val="12"/>
        </w:rPr>
        <w:t>3</w:t>
      </w:r>
      <w:r>
        <w:rPr>
          <w:color w:val="231F20"/>
          <w:spacing w:val="-15"/>
          <w:w w:val="105"/>
          <w:position w:val="7"/>
          <w:sz w:val="12"/>
        </w:rPr>
        <w:t> </w:t>
      </w:r>
      <w:r>
        <w:rPr>
          <w:color w:val="231F20"/>
          <w:w w:val="105"/>
        </w:rPr>
        <w:t>.</w:t>
      </w:r>
    </w:p>
    <w:p>
      <w:pPr>
        <w:pStyle w:val="BodyText"/>
        <w:spacing w:line="247" w:lineRule="auto"/>
        <w:ind w:left="103" w:right="112" w:firstLine="566"/>
        <w:jc w:val="both"/>
      </w:pPr>
      <w:r>
        <w:rPr>
          <w:color w:val="231F20"/>
        </w:rPr>
        <w:t>In effetti, in un ambiente politico globale dove per i liberali “ben </w:t>
      </w:r>
      <w:r>
        <w:rPr>
          <w:color w:val="231F20"/>
          <w:spacing w:val="-3"/>
        </w:rPr>
        <w:t>intenzionati”</w:t>
      </w:r>
      <w:r>
        <w:rPr>
          <w:color w:val="231F20"/>
          <w:spacing w:val="-10"/>
        </w:rPr>
        <w:t> </w:t>
      </w:r>
      <w:r>
        <w:rPr>
          <w:color w:val="231F20"/>
        </w:rPr>
        <w:t>e</w:t>
      </w:r>
      <w:r>
        <w:rPr>
          <w:color w:val="231F20"/>
          <w:spacing w:val="-10"/>
        </w:rPr>
        <w:t> </w:t>
      </w:r>
      <w:r>
        <w:rPr>
          <w:color w:val="231F20"/>
        </w:rPr>
        <w:t>fino</w:t>
      </w:r>
      <w:r>
        <w:rPr>
          <w:color w:val="231F20"/>
          <w:spacing w:val="-10"/>
        </w:rPr>
        <w:t> </w:t>
      </w:r>
      <w:r>
        <w:rPr>
          <w:color w:val="231F20"/>
        </w:rPr>
        <w:t>a</w:t>
      </w:r>
      <w:r>
        <w:rPr>
          <w:color w:val="231F20"/>
          <w:spacing w:val="-10"/>
        </w:rPr>
        <w:t> </w:t>
      </w:r>
      <w:r>
        <w:rPr>
          <w:color w:val="231F20"/>
          <w:spacing w:val="-3"/>
        </w:rPr>
        <w:t>poco</w:t>
      </w:r>
      <w:r>
        <w:rPr>
          <w:color w:val="231F20"/>
          <w:spacing w:val="-10"/>
        </w:rPr>
        <w:t> </w:t>
      </w:r>
      <w:r>
        <w:rPr>
          <w:color w:val="231F20"/>
          <w:spacing w:val="-3"/>
        </w:rPr>
        <w:t>tempo</w:t>
      </w:r>
      <w:r>
        <w:rPr>
          <w:color w:val="231F20"/>
          <w:spacing w:val="-10"/>
        </w:rPr>
        <w:t> </w:t>
      </w:r>
      <w:r>
        <w:rPr>
          <w:color w:val="231F20"/>
        </w:rPr>
        <w:t>fa</w:t>
      </w:r>
      <w:r>
        <w:rPr>
          <w:color w:val="231F20"/>
          <w:spacing w:val="-10"/>
        </w:rPr>
        <w:t> </w:t>
      </w:r>
      <w:r>
        <w:rPr>
          <w:color w:val="231F20"/>
          <w:spacing w:val="-3"/>
        </w:rPr>
        <w:t>instancabili</w:t>
      </w:r>
      <w:r>
        <w:rPr>
          <w:color w:val="231F20"/>
          <w:spacing w:val="-10"/>
        </w:rPr>
        <w:t> </w:t>
      </w:r>
      <w:r>
        <w:rPr>
          <w:color w:val="231F20"/>
          <w:spacing w:val="-4"/>
        </w:rPr>
        <w:t>promotori</w:t>
      </w:r>
      <w:r>
        <w:rPr>
          <w:color w:val="231F20"/>
          <w:spacing w:val="-10"/>
        </w:rPr>
        <w:t> </w:t>
      </w:r>
      <w:r>
        <w:rPr>
          <w:color w:val="231F20"/>
        </w:rPr>
        <w:t>del</w:t>
      </w:r>
      <w:r>
        <w:rPr>
          <w:color w:val="231F20"/>
          <w:spacing w:val="-10"/>
        </w:rPr>
        <w:t> </w:t>
      </w:r>
      <w:r>
        <w:rPr>
          <w:color w:val="231F20"/>
        </w:rPr>
        <w:t>non</w:t>
      </w:r>
      <w:r>
        <w:rPr>
          <w:color w:val="231F20"/>
          <w:spacing w:val="-10"/>
        </w:rPr>
        <w:t> </w:t>
      </w:r>
      <w:r>
        <w:rPr>
          <w:color w:val="231F20"/>
          <w:spacing w:val="-3"/>
        </w:rPr>
        <w:t>intervento </w:t>
      </w:r>
      <w:r>
        <w:rPr>
          <w:color w:val="231F20"/>
        </w:rPr>
        <w:t>dello Stato nell’economia e le finanze, il populismo “da qualunque posto venga” genera una forma in essenza anti-democratica, quando in realtà quello che si osserva è che la sua apparizione è regolamentata dai limiti interni dello spazio politico della democrazia contemporanea (“l’esterno è sempre</w:t>
      </w:r>
      <w:r>
        <w:rPr>
          <w:color w:val="231F20"/>
          <w:spacing w:val="-9"/>
        </w:rPr>
        <w:t> </w:t>
      </w:r>
      <w:r>
        <w:rPr>
          <w:color w:val="231F20"/>
        </w:rPr>
        <w:t>dentro”),</w:t>
      </w:r>
      <w:r>
        <w:rPr>
          <w:color w:val="231F20"/>
          <w:spacing w:val="-9"/>
        </w:rPr>
        <w:t> </w:t>
      </w:r>
      <w:r>
        <w:rPr>
          <w:color w:val="231F20"/>
        </w:rPr>
        <w:t>per</w:t>
      </w:r>
      <w:r>
        <w:rPr>
          <w:color w:val="231F20"/>
          <w:spacing w:val="-9"/>
        </w:rPr>
        <w:t> </w:t>
      </w:r>
      <w:r>
        <w:rPr>
          <w:color w:val="231F20"/>
        </w:rPr>
        <w:t>cui</w:t>
      </w:r>
      <w:r>
        <w:rPr>
          <w:color w:val="231F20"/>
          <w:spacing w:val="-9"/>
        </w:rPr>
        <w:t> </w:t>
      </w:r>
      <w:r>
        <w:rPr>
          <w:color w:val="231F20"/>
        </w:rPr>
        <w:t>forse</w:t>
      </w:r>
      <w:r>
        <w:rPr>
          <w:color w:val="231F20"/>
          <w:spacing w:val="-9"/>
        </w:rPr>
        <w:t> </w:t>
      </w:r>
      <w:r>
        <w:rPr>
          <w:color w:val="231F20"/>
        </w:rPr>
        <w:t>il</w:t>
      </w:r>
      <w:r>
        <w:rPr>
          <w:color w:val="231F20"/>
          <w:spacing w:val="-9"/>
        </w:rPr>
        <w:t> </w:t>
      </w:r>
      <w:r>
        <w:rPr>
          <w:color w:val="231F20"/>
        </w:rPr>
        <w:t>suo</w:t>
      </w:r>
      <w:r>
        <w:rPr>
          <w:color w:val="231F20"/>
          <w:spacing w:val="-9"/>
        </w:rPr>
        <w:t> </w:t>
      </w:r>
      <w:r>
        <w:rPr>
          <w:color w:val="231F20"/>
        </w:rPr>
        <w:t>sviluppo</w:t>
      </w:r>
      <w:r>
        <w:rPr>
          <w:color w:val="231F20"/>
          <w:spacing w:val="-9"/>
        </w:rPr>
        <w:t> </w:t>
      </w:r>
      <w:r>
        <w:rPr>
          <w:color w:val="231F20"/>
        </w:rPr>
        <w:t>è</w:t>
      </w:r>
      <w:r>
        <w:rPr>
          <w:color w:val="231F20"/>
          <w:spacing w:val="-9"/>
        </w:rPr>
        <w:t> </w:t>
      </w:r>
      <w:r>
        <w:rPr>
          <w:color w:val="231F20"/>
        </w:rPr>
        <w:t>una</w:t>
      </w:r>
      <w:r>
        <w:rPr>
          <w:color w:val="231F20"/>
          <w:spacing w:val="-9"/>
        </w:rPr>
        <w:t> </w:t>
      </w:r>
      <w:r>
        <w:rPr>
          <w:color w:val="231F20"/>
        </w:rPr>
        <w:t>semplice</w:t>
      </w:r>
      <w:r>
        <w:rPr>
          <w:color w:val="231F20"/>
          <w:spacing w:val="-9"/>
        </w:rPr>
        <w:t> </w:t>
      </w:r>
      <w:r>
        <w:rPr>
          <w:color w:val="231F20"/>
        </w:rPr>
        <w:t>espressione</w:t>
      </w:r>
      <w:r>
        <w:rPr>
          <w:color w:val="231F20"/>
          <w:spacing w:val="-9"/>
        </w:rPr>
        <w:t> </w:t>
      </w:r>
      <w:r>
        <w:rPr>
          <w:color w:val="231F20"/>
        </w:rPr>
        <w:t>di un</w:t>
      </w:r>
      <w:r>
        <w:rPr>
          <w:color w:val="231F20"/>
          <w:spacing w:val="-8"/>
        </w:rPr>
        <w:t> </w:t>
      </w:r>
      <w:r>
        <w:rPr>
          <w:color w:val="231F20"/>
        </w:rPr>
        <w:t>rifiuto</w:t>
      </w:r>
      <w:r>
        <w:rPr>
          <w:color w:val="231F20"/>
          <w:spacing w:val="-8"/>
        </w:rPr>
        <w:t> </w:t>
      </w:r>
      <w:r>
        <w:rPr>
          <w:color w:val="231F20"/>
        </w:rPr>
        <w:t>a</w:t>
      </w:r>
      <w:r>
        <w:rPr>
          <w:color w:val="231F20"/>
          <w:spacing w:val="-8"/>
        </w:rPr>
        <w:t> </w:t>
      </w:r>
      <w:r>
        <w:rPr>
          <w:color w:val="231F20"/>
        </w:rPr>
        <w:t>certe</w:t>
      </w:r>
      <w:r>
        <w:rPr>
          <w:color w:val="231F20"/>
          <w:spacing w:val="-8"/>
        </w:rPr>
        <w:t> </w:t>
      </w:r>
      <w:r>
        <w:rPr>
          <w:color w:val="231F20"/>
        </w:rPr>
        <w:t>forme</w:t>
      </w:r>
      <w:r>
        <w:rPr>
          <w:color w:val="231F20"/>
          <w:spacing w:val="-8"/>
        </w:rPr>
        <w:t> </w:t>
      </w:r>
      <w:r>
        <w:rPr>
          <w:color w:val="231F20"/>
        </w:rPr>
        <w:t>che</w:t>
      </w:r>
      <w:r>
        <w:rPr>
          <w:color w:val="231F20"/>
          <w:spacing w:val="-8"/>
        </w:rPr>
        <w:t> </w:t>
      </w:r>
      <w:r>
        <w:rPr>
          <w:color w:val="231F20"/>
        </w:rPr>
        <w:t>adotta</w:t>
      </w:r>
      <w:r>
        <w:rPr>
          <w:color w:val="231F20"/>
          <w:spacing w:val="-8"/>
        </w:rPr>
        <w:t> </w:t>
      </w:r>
      <w:r>
        <w:rPr>
          <w:color w:val="231F20"/>
        </w:rPr>
        <w:t>il</w:t>
      </w:r>
      <w:r>
        <w:rPr>
          <w:color w:val="231F20"/>
          <w:spacing w:val="-8"/>
        </w:rPr>
        <w:t> </w:t>
      </w:r>
      <w:r>
        <w:rPr>
          <w:color w:val="231F20"/>
        </w:rPr>
        <w:t>proibizionismo</w:t>
      </w:r>
      <w:r>
        <w:rPr>
          <w:color w:val="231F20"/>
          <w:spacing w:val="-8"/>
        </w:rPr>
        <w:t> </w:t>
      </w:r>
      <w:r>
        <w:rPr>
          <w:color w:val="231F20"/>
        </w:rPr>
        <w:t>e</w:t>
      </w:r>
      <w:r>
        <w:rPr>
          <w:color w:val="231F20"/>
          <w:spacing w:val="-8"/>
        </w:rPr>
        <w:t> </w:t>
      </w:r>
      <w:r>
        <w:rPr>
          <w:color w:val="231F20"/>
        </w:rPr>
        <w:t>in</w:t>
      </w:r>
      <w:r>
        <w:rPr>
          <w:color w:val="231F20"/>
          <w:spacing w:val="-8"/>
        </w:rPr>
        <w:t> </w:t>
      </w:r>
      <w:r>
        <w:rPr>
          <w:color w:val="231F20"/>
        </w:rPr>
        <w:t>generale</w:t>
      </w:r>
      <w:r>
        <w:rPr>
          <w:color w:val="231F20"/>
          <w:spacing w:val="-8"/>
        </w:rPr>
        <w:t> </w:t>
      </w:r>
      <w:r>
        <w:rPr>
          <w:color w:val="231F20"/>
        </w:rPr>
        <w:t>il</w:t>
      </w:r>
      <w:r>
        <w:rPr>
          <w:color w:val="231F20"/>
          <w:spacing w:val="-8"/>
        </w:rPr>
        <w:t> </w:t>
      </w:r>
      <w:r>
        <w:rPr>
          <w:color w:val="231F20"/>
        </w:rPr>
        <w:t>governo della</w:t>
      </w:r>
      <w:r>
        <w:rPr>
          <w:color w:val="231F20"/>
          <w:spacing w:val="-10"/>
        </w:rPr>
        <w:t> </w:t>
      </w:r>
      <w:r>
        <w:rPr>
          <w:color w:val="231F20"/>
        </w:rPr>
        <w:t>legge</w:t>
      </w:r>
      <w:r>
        <w:rPr>
          <w:color w:val="231F20"/>
          <w:spacing w:val="-10"/>
        </w:rPr>
        <w:t> </w:t>
      </w:r>
      <w:r>
        <w:rPr>
          <w:color w:val="231F20"/>
        </w:rPr>
        <w:t>(</w:t>
      </w:r>
      <w:r>
        <w:rPr>
          <w:rFonts w:ascii="Arial" w:hAnsi="Arial"/>
          <w:i/>
          <w:color w:val="231F20"/>
        </w:rPr>
        <w:t>Rule</w:t>
      </w:r>
      <w:r>
        <w:rPr>
          <w:rFonts w:ascii="Arial" w:hAnsi="Arial"/>
          <w:i/>
          <w:color w:val="231F20"/>
          <w:spacing w:val="-3"/>
        </w:rPr>
        <w:t> </w:t>
      </w:r>
      <w:r>
        <w:rPr>
          <w:rFonts w:ascii="Arial" w:hAnsi="Arial"/>
          <w:i/>
          <w:color w:val="231F20"/>
        </w:rPr>
        <w:t>of</w:t>
      </w:r>
      <w:r>
        <w:rPr>
          <w:rFonts w:ascii="Arial" w:hAnsi="Arial"/>
          <w:i/>
          <w:color w:val="231F20"/>
          <w:spacing w:val="-3"/>
        </w:rPr>
        <w:t> </w:t>
      </w:r>
      <w:r>
        <w:rPr>
          <w:rFonts w:ascii="Arial" w:hAnsi="Arial"/>
          <w:i/>
          <w:color w:val="231F20"/>
        </w:rPr>
        <w:t>law</w:t>
      </w:r>
      <w:r>
        <w:rPr>
          <w:color w:val="231F20"/>
        </w:rPr>
        <w:t>)</w:t>
      </w:r>
      <w:r>
        <w:rPr>
          <w:color w:val="231F20"/>
          <w:spacing w:val="-10"/>
        </w:rPr>
        <w:t> </w:t>
      </w:r>
      <w:r>
        <w:rPr>
          <w:color w:val="231F20"/>
        </w:rPr>
        <w:t>di</w:t>
      </w:r>
      <w:r>
        <w:rPr>
          <w:color w:val="231F20"/>
          <w:spacing w:val="-10"/>
        </w:rPr>
        <w:t> </w:t>
      </w:r>
      <w:r>
        <w:rPr>
          <w:color w:val="231F20"/>
        </w:rPr>
        <w:t>fronte</w:t>
      </w:r>
      <w:r>
        <w:rPr>
          <w:color w:val="231F20"/>
          <w:spacing w:val="-10"/>
        </w:rPr>
        <w:t> </w:t>
      </w:r>
      <w:r>
        <w:rPr>
          <w:color w:val="231F20"/>
        </w:rPr>
        <w:t>alla</w:t>
      </w:r>
      <w:r>
        <w:rPr>
          <w:color w:val="231F20"/>
          <w:spacing w:val="-10"/>
        </w:rPr>
        <w:t> </w:t>
      </w:r>
      <w:r>
        <w:rPr>
          <w:color w:val="231F20"/>
        </w:rPr>
        <w:t>inalienabilità</w:t>
      </w:r>
      <w:r>
        <w:rPr>
          <w:color w:val="231F20"/>
          <w:spacing w:val="-10"/>
        </w:rPr>
        <w:t> </w:t>
      </w:r>
      <w:r>
        <w:rPr>
          <w:color w:val="231F20"/>
        </w:rPr>
        <w:t>della</w:t>
      </w:r>
      <w:r>
        <w:rPr>
          <w:color w:val="231F20"/>
          <w:spacing w:val="-10"/>
        </w:rPr>
        <w:t> </w:t>
      </w:r>
      <w:r>
        <w:rPr>
          <w:color w:val="231F20"/>
        </w:rPr>
        <w:t>libertà</w:t>
      </w:r>
      <w:r>
        <w:rPr>
          <w:color w:val="231F20"/>
          <w:spacing w:val="-10"/>
        </w:rPr>
        <w:t> </w:t>
      </w:r>
      <w:r>
        <w:rPr>
          <w:color w:val="231F20"/>
        </w:rPr>
        <w:t>di</w:t>
      </w:r>
      <w:r>
        <w:rPr>
          <w:color w:val="231F20"/>
          <w:spacing w:val="-10"/>
        </w:rPr>
        <w:t> </w:t>
      </w:r>
      <w:r>
        <w:rPr>
          <w:color w:val="231F20"/>
        </w:rPr>
        <w:t>decisione all’interno della</w:t>
      </w:r>
      <w:r>
        <w:rPr>
          <w:color w:val="231F20"/>
          <w:spacing w:val="38"/>
        </w:rPr>
        <w:t> </w:t>
      </w:r>
      <w:r>
        <w:rPr>
          <w:color w:val="231F20"/>
        </w:rPr>
        <w:t>democrazia</w:t>
      </w:r>
      <w:r>
        <w:rPr>
          <w:color w:val="231F20"/>
          <w:position w:val="7"/>
          <w:sz w:val="12"/>
        </w:rPr>
        <w:t>4</w:t>
      </w:r>
      <w:r>
        <w:rPr>
          <w:color w:val="231F20"/>
        </w:rPr>
        <w:t>.</w:t>
      </w:r>
    </w:p>
    <w:p>
      <w:pPr>
        <w:pStyle w:val="BodyText"/>
        <w:spacing w:line="247" w:lineRule="auto"/>
        <w:ind w:left="103" w:right="103" w:firstLine="566"/>
        <w:jc w:val="both"/>
      </w:pPr>
      <w:r>
        <w:rPr>
          <w:color w:val="231F20"/>
          <w:spacing w:val="5"/>
        </w:rPr>
        <w:t>Al </w:t>
      </w:r>
      <w:r>
        <w:rPr>
          <w:color w:val="231F20"/>
          <w:spacing w:val="8"/>
        </w:rPr>
        <w:t>condividere </w:t>
      </w:r>
      <w:r>
        <w:rPr>
          <w:color w:val="231F20"/>
          <w:spacing w:val="9"/>
        </w:rPr>
        <w:t>l’equazione inversamente </w:t>
      </w:r>
      <w:r>
        <w:rPr>
          <w:color w:val="231F20"/>
          <w:spacing w:val="8"/>
        </w:rPr>
        <w:t>proporzionale </w:t>
      </w:r>
      <w:r>
        <w:rPr>
          <w:color w:val="231F20"/>
          <w:spacing w:val="10"/>
        </w:rPr>
        <w:t>tra </w:t>
      </w:r>
      <w:r>
        <w:rPr>
          <w:color w:val="231F20"/>
        </w:rPr>
        <w:t>l’esaurimento delle strutture di benessere</w:t>
      </w:r>
      <w:r>
        <w:rPr>
          <w:color w:val="231F20"/>
          <w:position w:val="7"/>
          <w:sz w:val="12"/>
        </w:rPr>
        <w:t>5 </w:t>
      </w:r>
      <w:r>
        <w:rPr>
          <w:color w:val="231F20"/>
        </w:rPr>
        <w:t>e l’ascendere della democrazia come </w:t>
      </w:r>
      <w:r>
        <w:rPr>
          <w:rFonts w:ascii="Arial" w:hAnsi="Arial"/>
          <w:i/>
          <w:color w:val="231F20"/>
        </w:rPr>
        <w:t>forma globale </w:t>
      </w:r>
      <w:r>
        <w:rPr>
          <w:color w:val="231F20"/>
        </w:rPr>
        <w:t>di governo attraverso il dispositivo dell’inclusione e il pluralismo,</w:t>
      </w:r>
      <w:r>
        <w:rPr>
          <w:color w:val="231F20"/>
          <w:spacing w:val="-6"/>
        </w:rPr>
        <w:t> </w:t>
      </w:r>
      <w:r>
        <w:rPr>
          <w:color w:val="231F20"/>
        </w:rPr>
        <w:t>quello</w:t>
      </w:r>
      <w:r>
        <w:rPr>
          <w:color w:val="231F20"/>
          <w:spacing w:val="-6"/>
        </w:rPr>
        <w:t> </w:t>
      </w:r>
      <w:r>
        <w:rPr>
          <w:color w:val="231F20"/>
        </w:rPr>
        <w:t>che</w:t>
      </w:r>
      <w:r>
        <w:rPr>
          <w:color w:val="231F20"/>
          <w:spacing w:val="-6"/>
        </w:rPr>
        <w:t> </w:t>
      </w:r>
      <w:r>
        <w:rPr>
          <w:color w:val="231F20"/>
        </w:rPr>
        <w:t>vediamo</w:t>
      </w:r>
      <w:r>
        <w:rPr>
          <w:color w:val="231F20"/>
          <w:spacing w:val="-6"/>
        </w:rPr>
        <w:t> </w:t>
      </w:r>
      <w:r>
        <w:rPr>
          <w:color w:val="231F20"/>
        </w:rPr>
        <w:t>è</w:t>
      </w:r>
      <w:r>
        <w:rPr>
          <w:color w:val="231F20"/>
          <w:spacing w:val="-6"/>
        </w:rPr>
        <w:t> </w:t>
      </w:r>
      <w:r>
        <w:rPr>
          <w:color w:val="231F20"/>
        </w:rPr>
        <w:t>che</w:t>
      </w:r>
      <w:r>
        <w:rPr>
          <w:color w:val="231F20"/>
          <w:spacing w:val="-6"/>
        </w:rPr>
        <w:t> </w:t>
      </w:r>
      <w:r>
        <w:rPr>
          <w:color w:val="231F20"/>
        </w:rPr>
        <w:t>le</w:t>
      </w:r>
      <w:r>
        <w:rPr>
          <w:color w:val="231F20"/>
          <w:spacing w:val="-6"/>
        </w:rPr>
        <w:t> </w:t>
      </w:r>
      <w:r>
        <w:rPr>
          <w:color w:val="231F20"/>
        </w:rPr>
        <w:t>sue</w:t>
      </w:r>
      <w:r>
        <w:rPr>
          <w:color w:val="231F20"/>
          <w:spacing w:val="-6"/>
        </w:rPr>
        <w:t> </w:t>
      </w:r>
      <w:r>
        <w:rPr>
          <w:color w:val="231F20"/>
        </w:rPr>
        <w:t>espressioni</w:t>
      </w:r>
      <w:r>
        <w:rPr>
          <w:color w:val="231F20"/>
          <w:spacing w:val="-6"/>
        </w:rPr>
        <w:t> </w:t>
      </w:r>
      <w:r>
        <w:rPr>
          <w:color w:val="231F20"/>
        </w:rPr>
        <w:t>sono</w:t>
      </w:r>
      <w:r>
        <w:rPr>
          <w:color w:val="231F20"/>
          <w:spacing w:val="-6"/>
        </w:rPr>
        <w:t> </w:t>
      </w:r>
      <w:r>
        <w:rPr>
          <w:color w:val="231F20"/>
        </w:rPr>
        <w:t>diventate</w:t>
      </w:r>
      <w:r>
        <w:rPr>
          <w:color w:val="231F20"/>
          <w:spacing w:val="-6"/>
        </w:rPr>
        <w:t> </w:t>
      </w:r>
      <w:r>
        <w:rPr>
          <w:color w:val="231F20"/>
        </w:rPr>
        <w:t>una necessità</w:t>
      </w:r>
      <w:r>
        <w:rPr>
          <w:color w:val="231F20"/>
          <w:spacing w:val="-22"/>
        </w:rPr>
        <w:t> </w:t>
      </w:r>
      <w:r>
        <w:rPr>
          <w:color w:val="231F20"/>
        </w:rPr>
        <w:t>insuperabile</w:t>
      </w:r>
      <w:r>
        <w:rPr>
          <w:color w:val="231F20"/>
          <w:spacing w:val="-22"/>
        </w:rPr>
        <w:t> </w:t>
      </w:r>
      <w:r>
        <w:rPr>
          <w:color w:val="231F20"/>
        </w:rPr>
        <w:t>per</w:t>
      </w:r>
      <w:r>
        <w:rPr>
          <w:color w:val="231F20"/>
          <w:spacing w:val="-22"/>
        </w:rPr>
        <w:t> </w:t>
      </w:r>
      <w:r>
        <w:rPr>
          <w:color w:val="231F20"/>
        </w:rPr>
        <w:t>la</w:t>
      </w:r>
      <w:r>
        <w:rPr>
          <w:color w:val="231F20"/>
          <w:spacing w:val="-22"/>
        </w:rPr>
        <w:t> </w:t>
      </w:r>
      <w:r>
        <w:rPr>
          <w:color w:val="231F20"/>
          <w:spacing w:val="-3"/>
        </w:rPr>
        <w:t>propia</w:t>
      </w:r>
      <w:r>
        <w:rPr>
          <w:color w:val="231F20"/>
          <w:spacing w:val="-22"/>
        </w:rPr>
        <w:t> </w:t>
      </w:r>
      <w:r>
        <w:rPr>
          <w:color w:val="231F20"/>
        </w:rPr>
        <w:t>democrazia,</w:t>
      </w:r>
      <w:r>
        <w:rPr>
          <w:color w:val="231F20"/>
          <w:spacing w:val="-22"/>
        </w:rPr>
        <w:t> </w:t>
      </w:r>
      <w:r>
        <w:rPr>
          <w:color w:val="231F20"/>
        </w:rPr>
        <w:t>e</w:t>
      </w:r>
      <w:r>
        <w:rPr>
          <w:color w:val="231F20"/>
          <w:spacing w:val="-22"/>
        </w:rPr>
        <w:t> </w:t>
      </w:r>
      <w:r>
        <w:rPr>
          <w:color w:val="231F20"/>
        </w:rPr>
        <w:t>una</w:t>
      </w:r>
      <w:r>
        <w:rPr>
          <w:color w:val="231F20"/>
          <w:spacing w:val="-22"/>
        </w:rPr>
        <w:t> </w:t>
      </w:r>
      <w:r>
        <w:rPr>
          <w:color w:val="231F20"/>
        </w:rPr>
        <w:t>struttura</w:t>
      </w:r>
      <w:r>
        <w:rPr>
          <w:color w:val="231F20"/>
          <w:spacing w:val="-22"/>
        </w:rPr>
        <w:t> </w:t>
      </w:r>
      <w:r>
        <w:rPr>
          <w:color w:val="231F20"/>
        </w:rPr>
        <w:t>sociopolitica </w:t>
      </w:r>
      <w:r>
        <w:rPr>
          <w:color w:val="231F20"/>
          <w:spacing w:val="-4"/>
        </w:rPr>
        <w:t>ingovernabile</w:t>
      </w:r>
      <w:r>
        <w:rPr>
          <w:color w:val="231F20"/>
          <w:spacing w:val="-18"/>
        </w:rPr>
        <w:t> </w:t>
      </w:r>
      <w:r>
        <w:rPr>
          <w:color w:val="231F20"/>
          <w:spacing w:val="-3"/>
        </w:rPr>
        <w:t>che</w:t>
      </w:r>
      <w:r>
        <w:rPr>
          <w:color w:val="231F20"/>
          <w:spacing w:val="-18"/>
        </w:rPr>
        <w:t> </w:t>
      </w:r>
      <w:r>
        <w:rPr>
          <w:color w:val="231F20"/>
          <w:spacing w:val="-3"/>
        </w:rPr>
        <w:t>non</w:t>
      </w:r>
      <w:r>
        <w:rPr>
          <w:color w:val="231F20"/>
          <w:spacing w:val="-18"/>
        </w:rPr>
        <w:t> </w:t>
      </w:r>
      <w:r>
        <w:rPr>
          <w:color w:val="231F20"/>
          <w:spacing w:val="-3"/>
        </w:rPr>
        <w:t>solo</w:t>
      </w:r>
      <w:r>
        <w:rPr>
          <w:color w:val="231F20"/>
          <w:spacing w:val="-18"/>
        </w:rPr>
        <w:t> </w:t>
      </w:r>
      <w:r>
        <w:rPr>
          <w:color w:val="231F20"/>
          <w:spacing w:val="-4"/>
        </w:rPr>
        <w:t>influenza</w:t>
      </w:r>
      <w:r>
        <w:rPr>
          <w:color w:val="231F20"/>
          <w:spacing w:val="-18"/>
        </w:rPr>
        <w:t> </w:t>
      </w:r>
      <w:r>
        <w:rPr>
          <w:color w:val="231F20"/>
          <w:spacing w:val="-4"/>
        </w:rPr>
        <w:t>questa</w:t>
      </w:r>
      <w:r>
        <w:rPr>
          <w:color w:val="231F20"/>
          <w:spacing w:val="-18"/>
        </w:rPr>
        <w:t> </w:t>
      </w:r>
      <w:r>
        <w:rPr>
          <w:color w:val="231F20"/>
          <w:spacing w:val="-4"/>
        </w:rPr>
        <w:t>forma</w:t>
      </w:r>
      <w:r>
        <w:rPr>
          <w:color w:val="231F20"/>
          <w:spacing w:val="-18"/>
        </w:rPr>
        <w:t> </w:t>
      </w:r>
      <w:r>
        <w:rPr>
          <w:color w:val="231F20"/>
        </w:rPr>
        <w:t>di</w:t>
      </w:r>
      <w:r>
        <w:rPr>
          <w:color w:val="231F20"/>
          <w:spacing w:val="-18"/>
        </w:rPr>
        <w:t> </w:t>
      </w:r>
      <w:r>
        <w:rPr>
          <w:color w:val="231F20"/>
          <w:spacing w:val="-4"/>
        </w:rPr>
        <w:t>governo</w:t>
      </w:r>
      <w:r>
        <w:rPr>
          <w:color w:val="231F20"/>
          <w:spacing w:val="-18"/>
        </w:rPr>
        <w:t> </w:t>
      </w:r>
      <w:r>
        <w:rPr>
          <w:color w:val="231F20"/>
        </w:rPr>
        <w:t>e</w:t>
      </w:r>
      <w:r>
        <w:rPr>
          <w:color w:val="231F20"/>
          <w:spacing w:val="-18"/>
        </w:rPr>
        <w:t> </w:t>
      </w:r>
      <w:r>
        <w:rPr>
          <w:color w:val="231F20"/>
          <w:spacing w:val="-4"/>
        </w:rPr>
        <w:t>importa</w:t>
      </w:r>
      <w:r>
        <w:rPr>
          <w:color w:val="231F20"/>
          <w:spacing w:val="-18"/>
        </w:rPr>
        <w:t> </w:t>
      </w:r>
      <w:r>
        <w:rPr>
          <w:color w:val="231F20"/>
        </w:rPr>
        <w:t>le</w:t>
      </w:r>
      <w:r>
        <w:rPr>
          <w:color w:val="231F20"/>
          <w:spacing w:val="-18"/>
        </w:rPr>
        <w:t> </w:t>
      </w:r>
      <w:r>
        <w:rPr>
          <w:color w:val="231F20"/>
          <w:spacing w:val="-4"/>
        </w:rPr>
        <w:t>sue </w:t>
      </w:r>
      <w:r>
        <w:rPr>
          <w:color w:val="231F20"/>
        </w:rPr>
        <w:t>sequele al campo della dis-universalizzazione delle politiche del benessere, ma </w:t>
      </w:r>
      <w:r>
        <w:rPr>
          <w:color w:val="231F20"/>
          <w:spacing w:val="2"/>
        </w:rPr>
        <w:t>anche colpisce diversi livelli dell’architettura statale. </w:t>
      </w:r>
      <w:r>
        <w:rPr>
          <w:color w:val="231F20"/>
        </w:rPr>
        <w:t>Per </w:t>
      </w:r>
      <w:r>
        <w:rPr>
          <w:color w:val="231F20"/>
          <w:spacing w:val="2"/>
        </w:rPr>
        <w:t>questo, </w:t>
      </w:r>
      <w:r>
        <w:rPr>
          <w:color w:val="231F20"/>
          <w:spacing w:val="3"/>
        </w:rPr>
        <w:t>il </w:t>
      </w:r>
      <w:r>
        <w:rPr>
          <w:color w:val="231F20"/>
        </w:rPr>
        <w:t>fenomeno del populismo è il male minore, perchè il cambio dello spazio politico della democrazia connesso alla crescita della scarsità economica, colpisce in modo significativo allo Stato, soprattutto nell’ordine territoriale e</w:t>
      </w:r>
      <w:r>
        <w:rPr>
          <w:color w:val="231F20"/>
          <w:spacing w:val="-6"/>
        </w:rPr>
        <w:t> </w:t>
      </w:r>
      <w:r>
        <w:rPr>
          <w:color w:val="231F20"/>
        </w:rPr>
        <w:t>sociale</w:t>
      </w:r>
      <w:r>
        <w:rPr>
          <w:color w:val="231F20"/>
          <w:spacing w:val="-6"/>
        </w:rPr>
        <w:t> </w:t>
      </w:r>
      <w:r>
        <w:rPr>
          <w:color w:val="231F20"/>
        </w:rPr>
        <w:t>della</w:t>
      </w:r>
      <w:r>
        <w:rPr>
          <w:color w:val="231F20"/>
          <w:spacing w:val="-6"/>
        </w:rPr>
        <w:t> </w:t>
      </w:r>
      <w:r>
        <w:rPr>
          <w:color w:val="231F20"/>
        </w:rPr>
        <w:t>sicurezza</w:t>
      </w:r>
      <w:r>
        <w:rPr>
          <w:color w:val="231F20"/>
          <w:spacing w:val="-6"/>
        </w:rPr>
        <w:t> </w:t>
      </w:r>
      <w:r>
        <w:rPr>
          <w:color w:val="231F20"/>
        </w:rPr>
        <w:t>pubblica</w:t>
      </w:r>
      <w:r>
        <w:rPr>
          <w:color w:val="231F20"/>
          <w:spacing w:val="-6"/>
        </w:rPr>
        <w:t> </w:t>
      </w:r>
      <w:r>
        <w:rPr>
          <w:color w:val="231F20"/>
        </w:rPr>
        <w:t>e</w:t>
      </w:r>
      <w:r>
        <w:rPr>
          <w:color w:val="231F20"/>
          <w:spacing w:val="-6"/>
        </w:rPr>
        <w:t> </w:t>
      </w:r>
      <w:r>
        <w:rPr>
          <w:color w:val="231F20"/>
        </w:rPr>
        <w:t>nazionale,</w:t>
      </w:r>
      <w:r>
        <w:rPr>
          <w:color w:val="231F20"/>
          <w:spacing w:val="-6"/>
        </w:rPr>
        <w:t> </w:t>
      </w:r>
      <w:r>
        <w:rPr>
          <w:color w:val="231F20"/>
        </w:rPr>
        <w:t>dato</w:t>
      </w:r>
      <w:r>
        <w:rPr>
          <w:color w:val="231F20"/>
          <w:spacing w:val="-6"/>
        </w:rPr>
        <w:t> </w:t>
      </w:r>
      <w:r>
        <w:rPr>
          <w:color w:val="231F20"/>
        </w:rPr>
        <w:t>che</w:t>
      </w:r>
      <w:r>
        <w:rPr>
          <w:color w:val="231F20"/>
          <w:spacing w:val="-6"/>
        </w:rPr>
        <w:t> </w:t>
      </w:r>
      <w:r>
        <w:rPr>
          <w:color w:val="231F20"/>
        </w:rPr>
        <w:t>gli</w:t>
      </w:r>
      <w:r>
        <w:rPr>
          <w:color w:val="231F20"/>
          <w:spacing w:val="-6"/>
        </w:rPr>
        <w:t> </w:t>
      </w:r>
      <w:r>
        <w:rPr>
          <w:color w:val="231F20"/>
        </w:rPr>
        <w:t>Stati</w:t>
      </w:r>
      <w:r>
        <w:rPr>
          <w:color w:val="231F20"/>
          <w:spacing w:val="-6"/>
        </w:rPr>
        <w:t> </w:t>
      </w:r>
      <w:r>
        <w:rPr>
          <w:color w:val="231F20"/>
        </w:rPr>
        <w:t>si</w:t>
      </w:r>
      <w:r>
        <w:rPr>
          <w:color w:val="231F20"/>
          <w:spacing w:val="-6"/>
        </w:rPr>
        <w:t> </w:t>
      </w:r>
      <w:r>
        <w:rPr>
          <w:color w:val="231F20"/>
        </w:rPr>
        <w:t>vedranno costretti</w:t>
      </w:r>
      <w:r>
        <w:rPr>
          <w:color w:val="231F20"/>
          <w:spacing w:val="-8"/>
        </w:rPr>
        <w:t> </w:t>
      </w:r>
      <w:r>
        <w:rPr>
          <w:color w:val="231F20"/>
        </w:rPr>
        <w:t>a</w:t>
      </w:r>
      <w:r>
        <w:rPr>
          <w:color w:val="231F20"/>
          <w:spacing w:val="-8"/>
        </w:rPr>
        <w:t> </w:t>
      </w:r>
      <w:r>
        <w:rPr>
          <w:color w:val="231F20"/>
        </w:rPr>
        <w:t>lottare</w:t>
      </w:r>
      <w:r>
        <w:rPr>
          <w:color w:val="231F20"/>
          <w:spacing w:val="-8"/>
        </w:rPr>
        <w:t> </w:t>
      </w:r>
      <w:r>
        <w:rPr>
          <w:color w:val="231F20"/>
        </w:rPr>
        <w:t>nel</w:t>
      </w:r>
      <w:r>
        <w:rPr>
          <w:color w:val="231F20"/>
          <w:spacing w:val="-8"/>
        </w:rPr>
        <w:t> </w:t>
      </w:r>
      <w:r>
        <w:rPr>
          <w:color w:val="231F20"/>
        </w:rPr>
        <w:t>fronte</w:t>
      </w:r>
      <w:r>
        <w:rPr>
          <w:color w:val="231F20"/>
          <w:spacing w:val="-8"/>
        </w:rPr>
        <w:t> </w:t>
      </w:r>
      <w:r>
        <w:rPr>
          <w:color w:val="231F20"/>
        </w:rPr>
        <w:t>interno</w:t>
      </w:r>
      <w:r>
        <w:rPr>
          <w:color w:val="231F20"/>
          <w:spacing w:val="-8"/>
        </w:rPr>
        <w:t> </w:t>
      </w:r>
      <w:r>
        <w:rPr>
          <w:color w:val="231F20"/>
        </w:rPr>
        <w:t>ma</w:t>
      </w:r>
      <w:r>
        <w:rPr>
          <w:color w:val="231F20"/>
          <w:spacing w:val="-8"/>
        </w:rPr>
        <w:t> </w:t>
      </w:r>
      <w:r>
        <w:rPr>
          <w:color w:val="231F20"/>
        </w:rPr>
        <w:t>anche</w:t>
      </w:r>
      <w:r>
        <w:rPr>
          <w:color w:val="231F20"/>
          <w:spacing w:val="-8"/>
        </w:rPr>
        <w:t> </w:t>
      </w:r>
      <w:r>
        <w:rPr>
          <w:color w:val="231F20"/>
        </w:rPr>
        <w:t>all’esterno</w:t>
      </w:r>
      <w:r>
        <w:rPr>
          <w:color w:val="231F20"/>
          <w:spacing w:val="-8"/>
        </w:rPr>
        <w:t> </w:t>
      </w:r>
      <w:r>
        <w:rPr>
          <w:color w:val="231F20"/>
        </w:rPr>
        <w:t>contro</w:t>
      </w:r>
      <w:r>
        <w:rPr>
          <w:color w:val="231F20"/>
          <w:spacing w:val="-8"/>
        </w:rPr>
        <w:t> </w:t>
      </w:r>
      <w:r>
        <w:rPr>
          <w:color w:val="231F20"/>
        </w:rPr>
        <w:t>espressioni che prendono vita in contesti di ampliamento della scarsità, come sono  </w:t>
      </w:r>
      <w:r>
        <w:rPr>
          <w:color w:val="231F20"/>
          <w:spacing w:val="42"/>
        </w:rPr>
        <w:t> </w:t>
      </w:r>
      <w:r>
        <w:rPr>
          <w:color w:val="231F20"/>
        </w:rPr>
        <w:t>il</w:t>
      </w:r>
    </w:p>
    <w:p>
      <w:pPr>
        <w:pStyle w:val="BodyText"/>
        <w:rPr>
          <w:sz w:val="20"/>
        </w:rPr>
      </w:pPr>
    </w:p>
    <w:p>
      <w:pPr>
        <w:pStyle w:val="BodyText"/>
        <w:spacing w:before="5"/>
        <w:rPr>
          <w:sz w:val="15"/>
        </w:rPr>
      </w:pPr>
      <w:r>
        <w:rPr/>
        <w:pict>
          <v:line style="position:absolute;mso-position-horizontal-relative:page;mso-position-vertical-relative:paragraph;z-index:13312;mso-wrap-distance-left:0;mso-wrap-distance-right:0" from="65.196899pt,11.436772pt" to="178.582899pt,11.436772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w w:val="105"/>
          <w:position w:val="6"/>
          <w:sz w:val="10"/>
        </w:rPr>
        <w:t>3</w:t>
      </w:r>
      <w:r>
        <w:rPr>
          <w:rFonts w:ascii="Calibri" w:hAnsi="Calibri"/>
          <w:color w:val="231F20"/>
          <w:spacing w:val="-4"/>
          <w:w w:val="105"/>
          <w:position w:val="6"/>
          <w:sz w:val="10"/>
        </w:rPr>
        <w:t> </w:t>
      </w:r>
      <w:r>
        <w:rPr>
          <w:rFonts w:ascii="Calibri" w:hAnsi="Calibri"/>
          <w:color w:val="231F20"/>
          <w:w w:val="105"/>
          <w:sz w:val="17"/>
        </w:rPr>
        <w:t>C.</w:t>
      </w:r>
      <w:r>
        <w:rPr>
          <w:rFonts w:ascii="Calibri" w:hAnsi="Calibri"/>
          <w:color w:val="231F20"/>
          <w:spacing w:val="-23"/>
          <w:w w:val="105"/>
          <w:sz w:val="17"/>
        </w:rPr>
        <w:t> </w:t>
      </w:r>
      <w:r>
        <w:rPr>
          <w:rFonts w:ascii="Calibri" w:hAnsi="Calibri"/>
          <w:color w:val="231F20"/>
          <w:spacing w:val="-3"/>
          <w:w w:val="105"/>
          <w:sz w:val="17"/>
        </w:rPr>
        <w:t>Torrealba,</w:t>
      </w:r>
      <w:r>
        <w:rPr>
          <w:rFonts w:ascii="Calibri" w:hAnsi="Calibri"/>
          <w:color w:val="231F20"/>
          <w:spacing w:val="-21"/>
          <w:w w:val="105"/>
          <w:sz w:val="17"/>
        </w:rPr>
        <w:t> </w:t>
      </w:r>
      <w:r>
        <w:rPr>
          <w:rFonts w:ascii="Calibri" w:hAnsi="Calibri"/>
          <w:color w:val="231F20"/>
          <w:w w:val="105"/>
          <w:sz w:val="17"/>
        </w:rPr>
        <w:t>“Venezuela</w:t>
      </w:r>
      <w:r>
        <w:rPr>
          <w:rFonts w:ascii="Calibri" w:hAnsi="Calibri"/>
          <w:color w:val="231F20"/>
          <w:spacing w:val="-21"/>
          <w:w w:val="105"/>
          <w:sz w:val="17"/>
        </w:rPr>
        <w:t> </w:t>
      </w:r>
      <w:r>
        <w:rPr>
          <w:rFonts w:ascii="Calibri" w:hAnsi="Calibri"/>
          <w:color w:val="231F20"/>
          <w:w w:val="105"/>
          <w:sz w:val="17"/>
        </w:rPr>
        <w:t>después</w:t>
      </w:r>
      <w:r>
        <w:rPr>
          <w:rFonts w:ascii="Calibri" w:hAnsi="Calibri"/>
          <w:color w:val="231F20"/>
          <w:spacing w:val="-21"/>
          <w:w w:val="105"/>
          <w:sz w:val="17"/>
        </w:rPr>
        <w:t> </w:t>
      </w:r>
      <w:r>
        <w:rPr>
          <w:rFonts w:ascii="Calibri" w:hAnsi="Calibri"/>
          <w:color w:val="231F20"/>
          <w:w w:val="105"/>
          <w:sz w:val="17"/>
        </w:rPr>
        <w:t>de</w:t>
      </w:r>
      <w:r>
        <w:rPr>
          <w:rFonts w:ascii="Calibri" w:hAnsi="Calibri"/>
          <w:color w:val="231F20"/>
          <w:spacing w:val="-21"/>
          <w:w w:val="105"/>
          <w:sz w:val="17"/>
        </w:rPr>
        <w:t> </w:t>
      </w:r>
      <w:r>
        <w:rPr>
          <w:rFonts w:ascii="Calibri" w:hAnsi="Calibri"/>
          <w:color w:val="231F20"/>
          <w:w w:val="105"/>
          <w:sz w:val="17"/>
        </w:rPr>
        <w:t>Chávez:</w:t>
      </w:r>
      <w:r>
        <w:rPr>
          <w:rFonts w:ascii="Calibri" w:hAnsi="Calibri"/>
          <w:color w:val="231F20"/>
          <w:spacing w:val="-21"/>
          <w:w w:val="105"/>
          <w:sz w:val="17"/>
        </w:rPr>
        <w:t> </w:t>
      </w:r>
      <w:r>
        <w:rPr>
          <w:rFonts w:ascii="Calibri" w:hAnsi="Calibri"/>
          <w:color w:val="231F20"/>
          <w:w w:val="105"/>
          <w:sz w:val="17"/>
        </w:rPr>
        <w:t>Polarización</w:t>
      </w:r>
      <w:r>
        <w:rPr>
          <w:rFonts w:ascii="Calibri" w:hAnsi="Calibri"/>
          <w:color w:val="231F20"/>
          <w:spacing w:val="-21"/>
          <w:w w:val="105"/>
          <w:sz w:val="17"/>
        </w:rPr>
        <w:t> </w:t>
      </w:r>
      <w:r>
        <w:rPr>
          <w:rFonts w:ascii="Calibri" w:hAnsi="Calibri"/>
          <w:color w:val="231F20"/>
          <w:w w:val="105"/>
          <w:sz w:val="17"/>
        </w:rPr>
        <w:t>política</w:t>
      </w:r>
      <w:r>
        <w:rPr>
          <w:rFonts w:ascii="Calibri" w:hAnsi="Calibri"/>
          <w:color w:val="231F20"/>
          <w:spacing w:val="-22"/>
          <w:w w:val="105"/>
          <w:sz w:val="17"/>
        </w:rPr>
        <w:t> </w:t>
      </w:r>
      <w:r>
        <w:rPr>
          <w:rFonts w:ascii="Calibri" w:hAnsi="Calibri"/>
          <w:color w:val="231F20"/>
          <w:w w:val="105"/>
          <w:sz w:val="17"/>
        </w:rPr>
        <w:t>y</w:t>
      </w:r>
      <w:r>
        <w:rPr>
          <w:rFonts w:ascii="Calibri" w:hAnsi="Calibri"/>
          <w:color w:val="231F20"/>
          <w:spacing w:val="-21"/>
          <w:w w:val="105"/>
          <w:sz w:val="17"/>
        </w:rPr>
        <w:t> </w:t>
      </w:r>
      <w:r>
        <w:rPr>
          <w:rFonts w:ascii="Calibri" w:hAnsi="Calibri"/>
          <w:color w:val="231F20"/>
          <w:w w:val="105"/>
          <w:sz w:val="17"/>
        </w:rPr>
        <w:t>social.</w:t>
      </w:r>
      <w:r>
        <w:rPr>
          <w:rFonts w:ascii="Calibri" w:hAnsi="Calibri"/>
          <w:color w:val="231F20"/>
          <w:spacing w:val="-21"/>
          <w:w w:val="105"/>
          <w:sz w:val="17"/>
        </w:rPr>
        <w:t> </w:t>
      </w:r>
      <w:r>
        <w:rPr>
          <w:rFonts w:ascii="Calibri" w:hAnsi="Calibri"/>
          <w:color w:val="231F20"/>
          <w:w w:val="105"/>
          <w:sz w:val="17"/>
        </w:rPr>
        <w:t>Aportes</w:t>
      </w:r>
      <w:r>
        <w:rPr>
          <w:rFonts w:ascii="Calibri" w:hAnsi="Calibri"/>
          <w:color w:val="231F20"/>
          <w:spacing w:val="-21"/>
          <w:w w:val="105"/>
          <w:sz w:val="17"/>
        </w:rPr>
        <w:t> </w:t>
      </w:r>
      <w:r>
        <w:rPr>
          <w:rFonts w:ascii="Calibri" w:hAnsi="Calibri"/>
          <w:color w:val="231F20"/>
          <w:w w:val="105"/>
          <w:sz w:val="17"/>
        </w:rPr>
        <w:t>para</w:t>
      </w:r>
      <w:r>
        <w:rPr>
          <w:rFonts w:ascii="Calibri" w:hAnsi="Calibri"/>
          <w:color w:val="231F20"/>
          <w:spacing w:val="-21"/>
          <w:w w:val="105"/>
          <w:sz w:val="17"/>
        </w:rPr>
        <w:t> </w:t>
      </w:r>
      <w:r>
        <w:rPr>
          <w:rFonts w:ascii="Calibri" w:hAnsi="Calibri"/>
          <w:color w:val="231F20"/>
          <w:w w:val="105"/>
          <w:sz w:val="17"/>
        </w:rPr>
        <w:t>un</w:t>
      </w:r>
      <w:r>
        <w:rPr>
          <w:rFonts w:ascii="Calibri" w:hAnsi="Calibri"/>
          <w:color w:val="231F20"/>
          <w:spacing w:val="-21"/>
          <w:w w:val="105"/>
          <w:sz w:val="17"/>
        </w:rPr>
        <w:t> </w:t>
      </w:r>
      <w:r>
        <w:rPr>
          <w:rFonts w:ascii="Calibri" w:hAnsi="Calibri"/>
          <w:color w:val="231F20"/>
          <w:w w:val="105"/>
          <w:sz w:val="17"/>
        </w:rPr>
        <w:t>debate</w:t>
      </w:r>
    </w:p>
    <w:p>
      <w:pPr>
        <w:spacing w:line="204" w:lineRule="exact" w:before="0"/>
        <w:ind w:left="103" w:right="0" w:firstLine="0"/>
        <w:jc w:val="left"/>
        <w:rPr>
          <w:rFonts w:ascii="Calibri" w:hAnsi="Calibri"/>
          <w:sz w:val="17"/>
        </w:rPr>
      </w:pPr>
      <w:r>
        <w:rPr>
          <w:rFonts w:ascii="Calibri" w:hAnsi="Calibri"/>
          <w:color w:val="231F20"/>
          <w:sz w:val="17"/>
        </w:rPr>
        <w:t>en torno a sus imaginarios, significados y símbolos”, </w:t>
      </w:r>
      <w:r>
        <w:rPr>
          <w:rFonts w:ascii="Calibri" w:hAnsi="Calibri"/>
          <w:i/>
          <w:color w:val="231F20"/>
          <w:sz w:val="17"/>
        </w:rPr>
        <w:t>Metapolítica</w:t>
      </w:r>
      <w:r>
        <w:rPr>
          <w:rFonts w:ascii="Calibri" w:hAnsi="Calibri"/>
          <w:color w:val="231F20"/>
          <w:sz w:val="17"/>
        </w:rPr>
        <w:t>, 19, 89, 2015, pp. 32–37.</w:t>
      </w:r>
    </w:p>
    <w:p>
      <w:pPr>
        <w:spacing w:line="235" w:lineRule="auto" w:before="1"/>
        <w:ind w:left="103" w:right="0" w:firstLine="0"/>
        <w:jc w:val="left"/>
        <w:rPr>
          <w:rFonts w:ascii="Calibri" w:hAnsi="Calibri"/>
          <w:sz w:val="17"/>
        </w:rPr>
      </w:pPr>
      <w:r>
        <w:rPr>
          <w:rFonts w:ascii="Calibri" w:hAnsi="Calibri"/>
          <w:color w:val="231F20"/>
          <w:position w:val="6"/>
          <w:sz w:val="10"/>
        </w:rPr>
        <w:t>4 </w:t>
      </w:r>
      <w:r>
        <w:rPr>
          <w:rFonts w:ascii="Calibri" w:hAnsi="Calibri"/>
          <w:color w:val="231F20"/>
          <w:sz w:val="17"/>
        </w:rPr>
        <w:t>I. Covarrubias, </w:t>
      </w:r>
      <w:r>
        <w:rPr>
          <w:rFonts w:ascii="Calibri" w:hAnsi="Calibri"/>
          <w:i/>
          <w:color w:val="231F20"/>
          <w:sz w:val="17"/>
        </w:rPr>
        <w:t>Los espejos de la democracia. Ley, espacio político y exclusión, </w:t>
      </w:r>
      <w:r>
        <w:rPr>
          <w:rFonts w:ascii="Calibri" w:hAnsi="Calibri"/>
          <w:color w:val="231F20"/>
          <w:sz w:val="17"/>
        </w:rPr>
        <w:t>México, Universidad Autónoma de la Ciudad de México–Gedisa,  2015.</w:t>
      </w:r>
    </w:p>
    <w:p>
      <w:pPr>
        <w:spacing w:line="235" w:lineRule="auto" w:before="0"/>
        <w:ind w:left="103" w:right="0" w:firstLine="0"/>
        <w:jc w:val="left"/>
        <w:rPr>
          <w:rFonts w:ascii="Calibri"/>
          <w:sz w:val="17"/>
        </w:rPr>
      </w:pPr>
      <w:r>
        <w:rPr>
          <w:rFonts w:ascii="Calibri"/>
          <w:color w:val="231F20"/>
          <w:w w:val="105"/>
          <w:position w:val="6"/>
          <w:sz w:val="10"/>
        </w:rPr>
        <w:t>5 </w:t>
      </w:r>
      <w:r>
        <w:rPr>
          <w:rFonts w:ascii="Calibri"/>
          <w:color w:val="231F20"/>
          <w:w w:val="105"/>
          <w:sz w:val="17"/>
        </w:rPr>
        <w:t>Che fu la forma storica che fece possibile lo sviluppo delle aree di uguagliamento del sociale in Occidente.</w:t>
      </w:r>
    </w:p>
    <w:p>
      <w:pPr>
        <w:pStyle w:val="BodyText"/>
        <w:rPr>
          <w:rFonts w:ascii="Calibri"/>
          <w:sz w:val="20"/>
        </w:rPr>
      </w:pPr>
    </w:p>
    <w:p>
      <w:pPr>
        <w:pStyle w:val="BodyText"/>
        <w:spacing w:before="10"/>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2064"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112</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98" w:lineRule="exact" w:before="52"/>
        <w:ind w:left="0" w:right="0" w:firstLine="0"/>
        <w:jc w:val="right"/>
        <w:rPr>
          <w:rFonts w:ascii="Lucida Sans Unicode" w:hAnsi="Lucida Sans Unicode"/>
          <w:sz w:val="14"/>
        </w:rPr>
      </w:pPr>
      <w:r>
        <w:rPr/>
        <w:pict>
          <v:group style="position:absolute;margin-left:383.821014pt;margin-top:-25.479271pt;width:8.65pt;height:41pt;mso-position-horizontal-relative:page;mso-position-vertical-relative:paragraph;z-index:1338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“L’ESTERNO È SEMPRE DENTRO”. TENSIONI E TRASFORMAZIONI RECENTI NELLO SPAZIO POLITICO</w:t>
      </w:r>
    </w:p>
    <w:p>
      <w:pPr>
        <w:spacing w:line="198" w:lineRule="exact" w:before="0"/>
        <w:ind w:left="0" w:right="0" w:firstLine="0"/>
        <w:jc w:val="right"/>
        <w:rPr>
          <w:rFonts w:ascii="Lucida Sans Unicode"/>
          <w:sz w:val="14"/>
        </w:rPr>
      </w:pPr>
      <w:r>
        <w:rPr>
          <w:rFonts w:ascii="Lucida Sans Unicode"/>
          <w:color w:val="6D6E71"/>
          <w:w w:val="90"/>
          <w:sz w:val="14"/>
        </w:rPr>
        <w:t>DELLO STATO E LA DEMOCRAZIA</w:t>
      </w:r>
    </w:p>
    <w:p>
      <w:pPr>
        <w:spacing w:before="59"/>
        <w:ind w:left="338" w:right="0" w:firstLine="0"/>
        <w:jc w:val="left"/>
        <w:rPr>
          <w:rFonts w:ascii="Trebuchet MS"/>
          <w:sz w:val="20"/>
        </w:rPr>
      </w:pPr>
      <w:r>
        <w:rPr/>
        <w:br w:type="column"/>
      </w:r>
      <w:r>
        <w:rPr>
          <w:rFonts w:ascii="Trebuchet MS"/>
          <w:color w:val="414042"/>
          <w:w w:val="105"/>
          <w:sz w:val="20"/>
        </w:rPr>
        <w:t>113</w:t>
      </w:r>
    </w:p>
    <w:p>
      <w:pPr>
        <w:spacing w:after="0"/>
        <w:jc w:val="left"/>
        <w:rPr>
          <w:rFonts w:ascii="Trebuchet MS"/>
          <w:sz w:val="20"/>
        </w:rPr>
        <w:sectPr>
          <w:type w:val="continuous"/>
          <w:pgSz w:w="9640" w:h="13890"/>
          <w:pgMar w:top="0" w:bottom="0" w:left="1300" w:right="1180"/>
          <w:cols w:num="2" w:equalWidth="0">
            <w:col w:w="6261" w:space="40"/>
            <w:col w:w="859"/>
          </w:cols>
        </w:sectPr>
      </w:pPr>
    </w:p>
    <w:p>
      <w:pPr>
        <w:pStyle w:val="BodyText"/>
        <w:rPr>
          <w:rFonts w:ascii="Trebuchet MS"/>
          <w:sz w:val="20"/>
        </w:rPr>
      </w:pPr>
    </w:p>
    <w:p>
      <w:pPr>
        <w:pStyle w:val="BodyText"/>
        <w:spacing w:before="8"/>
        <w:rPr>
          <w:rFonts w:ascii="Trebuchet MS"/>
          <w:sz w:val="15"/>
        </w:rPr>
      </w:pPr>
    </w:p>
    <w:p>
      <w:pPr>
        <w:pStyle w:val="BodyText"/>
        <w:spacing w:line="247" w:lineRule="auto" w:before="49"/>
        <w:ind w:left="117" w:right="121"/>
        <w:jc w:val="both"/>
      </w:pPr>
      <w:r>
        <w:rPr>
          <w:color w:val="231F20"/>
        </w:rPr>
        <w:t>terrorismo</w:t>
      </w:r>
      <w:r>
        <w:rPr>
          <w:color w:val="231F20"/>
          <w:spacing w:val="-8"/>
        </w:rPr>
        <w:t> </w:t>
      </w:r>
      <w:r>
        <w:rPr>
          <w:color w:val="231F20"/>
        </w:rPr>
        <w:t>e</w:t>
      </w:r>
      <w:r>
        <w:rPr>
          <w:color w:val="231F20"/>
          <w:spacing w:val="-8"/>
        </w:rPr>
        <w:t> </w:t>
      </w:r>
      <w:r>
        <w:rPr>
          <w:color w:val="231F20"/>
        </w:rPr>
        <w:t>la</w:t>
      </w:r>
      <w:r>
        <w:rPr>
          <w:color w:val="231F20"/>
          <w:spacing w:val="-8"/>
        </w:rPr>
        <w:t> </w:t>
      </w:r>
      <w:r>
        <w:rPr>
          <w:color w:val="231F20"/>
        </w:rPr>
        <w:t>criminalità</w:t>
      </w:r>
      <w:r>
        <w:rPr>
          <w:color w:val="231F20"/>
          <w:spacing w:val="-8"/>
        </w:rPr>
        <w:t> </w:t>
      </w:r>
      <w:r>
        <w:rPr>
          <w:color w:val="231F20"/>
        </w:rPr>
        <w:t>organizzata</w:t>
      </w:r>
      <w:r>
        <w:rPr>
          <w:color w:val="231F20"/>
          <w:spacing w:val="-8"/>
        </w:rPr>
        <w:t> </w:t>
      </w:r>
      <w:r>
        <w:rPr>
          <w:color w:val="231F20"/>
        </w:rPr>
        <w:t>a</w:t>
      </w:r>
      <w:r>
        <w:rPr>
          <w:color w:val="231F20"/>
          <w:spacing w:val="-8"/>
        </w:rPr>
        <w:t> </w:t>
      </w:r>
      <w:r>
        <w:rPr>
          <w:color w:val="231F20"/>
        </w:rPr>
        <w:t>scala</w:t>
      </w:r>
      <w:r>
        <w:rPr>
          <w:color w:val="231F20"/>
          <w:spacing w:val="-8"/>
        </w:rPr>
        <w:t> </w:t>
      </w:r>
      <w:r>
        <w:rPr>
          <w:color w:val="231F20"/>
        </w:rPr>
        <w:t>transnazionale</w:t>
      </w:r>
      <w:r>
        <w:rPr>
          <w:color w:val="231F20"/>
          <w:position w:val="7"/>
          <w:sz w:val="12"/>
        </w:rPr>
        <w:t>6</w:t>
      </w:r>
      <w:r>
        <w:rPr>
          <w:color w:val="231F20"/>
        </w:rPr>
        <w:t>.</w:t>
      </w:r>
      <w:r>
        <w:rPr>
          <w:color w:val="231F20"/>
          <w:spacing w:val="-8"/>
        </w:rPr>
        <w:t> </w:t>
      </w:r>
      <w:r>
        <w:rPr>
          <w:color w:val="231F20"/>
        </w:rPr>
        <w:t>Ugualmente, dovranno gestire gli effetti antipolitici e anti-istituzionali (la paura è il loro sintomo) che producono all’interno delle società </w:t>
      </w:r>
      <w:r>
        <w:rPr>
          <w:color w:val="231F20"/>
          <w:spacing w:val="31"/>
        </w:rPr>
        <w:t> </w:t>
      </w:r>
      <w:r>
        <w:rPr>
          <w:color w:val="231F20"/>
        </w:rPr>
        <w:t>contemporanee</w:t>
      </w:r>
      <w:r>
        <w:rPr>
          <w:color w:val="231F20"/>
          <w:position w:val="7"/>
          <w:sz w:val="12"/>
        </w:rPr>
        <w:t>7</w:t>
      </w:r>
      <w:r>
        <w:rPr>
          <w:color w:val="231F20"/>
        </w:rPr>
        <w:t>.</w:t>
      </w:r>
    </w:p>
    <w:p>
      <w:pPr>
        <w:pStyle w:val="BodyText"/>
        <w:spacing w:line="247" w:lineRule="auto"/>
        <w:ind w:left="117" w:right="115" w:firstLine="566"/>
        <w:jc w:val="both"/>
      </w:pPr>
      <w:r>
        <w:rPr>
          <w:color w:val="231F20"/>
          <w:w w:val="105"/>
        </w:rPr>
        <w:t>A</w:t>
      </w:r>
      <w:r>
        <w:rPr>
          <w:color w:val="231F20"/>
          <w:spacing w:val="-43"/>
          <w:w w:val="105"/>
        </w:rPr>
        <w:t> </w:t>
      </w:r>
      <w:r>
        <w:rPr>
          <w:color w:val="231F20"/>
          <w:spacing w:val="-4"/>
          <w:w w:val="105"/>
        </w:rPr>
        <w:t>partire</w:t>
      </w:r>
      <w:r>
        <w:rPr>
          <w:color w:val="231F20"/>
          <w:spacing w:val="-43"/>
          <w:w w:val="105"/>
        </w:rPr>
        <w:t> </w:t>
      </w:r>
      <w:r>
        <w:rPr>
          <w:color w:val="231F20"/>
          <w:spacing w:val="-4"/>
          <w:w w:val="105"/>
        </w:rPr>
        <w:t>dalla</w:t>
      </w:r>
      <w:r>
        <w:rPr>
          <w:color w:val="231F20"/>
          <w:spacing w:val="-43"/>
          <w:w w:val="105"/>
        </w:rPr>
        <w:t> </w:t>
      </w:r>
      <w:r>
        <w:rPr>
          <w:color w:val="231F20"/>
          <w:spacing w:val="-4"/>
          <w:w w:val="105"/>
        </w:rPr>
        <w:t>metáfora</w:t>
      </w:r>
      <w:r>
        <w:rPr>
          <w:color w:val="231F20"/>
          <w:spacing w:val="-43"/>
          <w:w w:val="105"/>
        </w:rPr>
        <w:t> </w:t>
      </w:r>
      <w:r>
        <w:rPr>
          <w:color w:val="231F20"/>
          <w:spacing w:val="-4"/>
          <w:w w:val="105"/>
        </w:rPr>
        <w:t>“l’esterno</w:t>
      </w:r>
      <w:r>
        <w:rPr>
          <w:color w:val="231F20"/>
          <w:spacing w:val="-45"/>
          <w:w w:val="105"/>
        </w:rPr>
        <w:t> </w:t>
      </w:r>
      <w:r>
        <w:rPr>
          <w:color w:val="231F20"/>
          <w:w w:val="105"/>
        </w:rPr>
        <w:t>è</w:t>
      </w:r>
      <w:r>
        <w:rPr>
          <w:color w:val="231F20"/>
          <w:spacing w:val="-43"/>
          <w:w w:val="105"/>
        </w:rPr>
        <w:t> </w:t>
      </w:r>
      <w:r>
        <w:rPr>
          <w:color w:val="231F20"/>
          <w:spacing w:val="-4"/>
          <w:w w:val="105"/>
        </w:rPr>
        <w:t>dentro”,</w:t>
      </w:r>
      <w:r>
        <w:rPr>
          <w:color w:val="231F20"/>
          <w:spacing w:val="-43"/>
          <w:w w:val="105"/>
        </w:rPr>
        <w:t> </w:t>
      </w:r>
      <w:r>
        <w:rPr>
          <w:color w:val="231F20"/>
          <w:spacing w:val="-4"/>
          <w:w w:val="105"/>
        </w:rPr>
        <w:t>questo</w:t>
      </w:r>
      <w:r>
        <w:rPr>
          <w:color w:val="231F20"/>
          <w:spacing w:val="-43"/>
          <w:w w:val="105"/>
        </w:rPr>
        <w:t> </w:t>
      </w:r>
      <w:r>
        <w:rPr>
          <w:color w:val="231F20"/>
          <w:spacing w:val="-4"/>
          <w:w w:val="105"/>
        </w:rPr>
        <w:t>capitolo</w:t>
      </w:r>
      <w:r>
        <w:rPr>
          <w:color w:val="231F20"/>
          <w:spacing w:val="-43"/>
          <w:w w:val="105"/>
        </w:rPr>
        <w:t> </w:t>
      </w:r>
      <w:r>
        <w:rPr>
          <w:color w:val="231F20"/>
          <w:spacing w:val="-4"/>
          <w:w w:val="105"/>
        </w:rPr>
        <w:t>suggerisce </w:t>
      </w:r>
      <w:r>
        <w:rPr>
          <w:color w:val="231F20"/>
        </w:rPr>
        <w:t>che</w:t>
      </w:r>
      <w:r>
        <w:rPr>
          <w:color w:val="231F20"/>
          <w:spacing w:val="-17"/>
        </w:rPr>
        <w:t> </w:t>
      </w:r>
      <w:r>
        <w:rPr>
          <w:color w:val="231F20"/>
        </w:rPr>
        <w:t>davanti</w:t>
      </w:r>
      <w:r>
        <w:rPr>
          <w:color w:val="231F20"/>
          <w:spacing w:val="-17"/>
        </w:rPr>
        <w:t> </w:t>
      </w:r>
      <w:r>
        <w:rPr>
          <w:color w:val="231F20"/>
        </w:rPr>
        <w:t>alle</w:t>
      </w:r>
      <w:r>
        <w:rPr>
          <w:color w:val="231F20"/>
          <w:spacing w:val="-17"/>
        </w:rPr>
        <w:t> </w:t>
      </w:r>
      <w:r>
        <w:rPr>
          <w:color w:val="231F20"/>
        </w:rPr>
        <w:t>trasformazioni</w:t>
      </w:r>
      <w:r>
        <w:rPr>
          <w:color w:val="231F20"/>
          <w:spacing w:val="-17"/>
        </w:rPr>
        <w:t> </w:t>
      </w:r>
      <w:r>
        <w:rPr>
          <w:color w:val="231F20"/>
        </w:rPr>
        <w:t>dell’architettura</w:t>
      </w:r>
      <w:r>
        <w:rPr>
          <w:color w:val="231F20"/>
          <w:spacing w:val="-17"/>
        </w:rPr>
        <w:t> </w:t>
      </w:r>
      <w:r>
        <w:rPr>
          <w:color w:val="231F20"/>
        </w:rPr>
        <w:t>statale</w:t>
      </w:r>
      <w:r>
        <w:rPr>
          <w:color w:val="231F20"/>
          <w:spacing w:val="-17"/>
        </w:rPr>
        <w:t> </w:t>
      </w:r>
      <w:r>
        <w:rPr>
          <w:color w:val="231F20"/>
        </w:rPr>
        <w:t>nel</w:t>
      </w:r>
      <w:r>
        <w:rPr>
          <w:color w:val="231F20"/>
          <w:spacing w:val="-17"/>
        </w:rPr>
        <w:t> </w:t>
      </w:r>
      <w:r>
        <w:rPr>
          <w:color w:val="231F20"/>
        </w:rPr>
        <w:t>concerto</w:t>
      </w:r>
      <w:r>
        <w:rPr>
          <w:color w:val="231F20"/>
          <w:spacing w:val="-17"/>
        </w:rPr>
        <w:t> </w:t>
      </w:r>
      <w:r>
        <w:rPr>
          <w:color w:val="231F20"/>
        </w:rPr>
        <w:t>globale, </w:t>
      </w:r>
      <w:r>
        <w:rPr>
          <w:color w:val="231F20"/>
          <w:w w:val="105"/>
        </w:rPr>
        <w:t>lo</w:t>
      </w:r>
      <w:r>
        <w:rPr>
          <w:color w:val="231F20"/>
          <w:spacing w:val="-15"/>
          <w:w w:val="105"/>
        </w:rPr>
        <w:t> </w:t>
      </w:r>
      <w:r>
        <w:rPr>
          <w:color w:val="231F20"/>
          <w:w w:val="105"/>
        </w:rPr>
        <w:t>spazio</w:t>
      </w:r>
      <w:r>
        <w:rPr>
          <w:color w:val="231F20"/>
          <w:spacing w:val="-15"/>
          <w:w w:val="105"/>
        </w:rPr>
        <w:t> </w:t>
      </w:r>
      <w:r>
        <w:rPr>
          <w:color w:val="231F20"/>
          <w:w w:val="105"/>
        </w:rPr>
        <w:t>politico</w:t>
      </w:r>
      <w:r>
        <w:rPr>
          <w:color w:val="231F20"/>
          <w:spacing w:val="-15"/>
          <w:w w:val="105"/>
        </w:rPr>
        <w:t> </w:t>
      </w:r>
      <w:r>
        <w:rPr>
          <w:color w:val="231F20"/>
          <w:w w:val="105"/>
        </w:rPr>
        <w:t>dello</w:t>
      </w:r>
      <w:r>
        <w:rPr>
          <w:color w:val="231F20"/>
          <w:spacing w:val="-15"/>
          <w:w w:val="105"/>
        </w:rPr>
        <w:t> </w:t>
      </w:r>
      <w:r>
        <w:rPr>
          <w:color w:val="231F20"/>
          <w:w w:val="105"/>
        </w:rPr>
        <w:t>Stato</w:t>
      </w:r>
      <w:r>
        <w:rPr>
          <w:color w:val="231F20"/>
          <w:spacing w:val="-15"/>
          <w:w w:val="105"/>
        </w:rPr>
        <w:t> </w:t>
      </w:r>
      <w:r>
        <w:rPr>
          <w:color w:val="231F20"/>
          <w:w w:val="105"/>
        </w:rPr>
        <w:t>non</w:t>
      </w:r>
      <w:r>
        <w:rPr>
          <w:color w:val="231F20"/>
          <w:spacing w:val="-15"/>
          <w:w w:val="105"/>
        </w:rPr>
        <w:t> </w:t>
      </w:r>
      <w:r>
        <w:rPr>
          <w:color w:val="231F20"/>
          <w:w w:val="105"/>
        </w:rPr>
        <w:t>deve</w:t>
      </w:r>
      <w:r>
        <w:rPr>
          <w:color w:val="231F20"/>
          <w:spacing w:val="-15"/>
          <w:w w:val="105"/>
        </w:rPr>
        <w:t> </w:t>
      </w:r>
      <w:r>
        <w:rPr>
          <w:color w:val="231F20"/>
          <w:w w:val="105"/>
        </w:rPr>
        <w:t>essere</w:t>
      </w:r>
      <w:r>
        <w:rPr>
          <w:color w:val="231F20"/>
          <w:spacing w:val="-15"/>
          <w:w w:val="105"/>
        </w:rPr>
        <w:t> </w:t>
      </w:r>
      <w:r>
        <w:rPr>
          <w:color w:val="231F20"/>
          <w:w w:val="105"/>
        </w:rPr>
        <w:t>pensato</w:t>
      </w:r>
      <w:r>
        <w:rPr>
          <w:color w:val="231F20"/>
          <w:spacing w:val="-15"/>
          <w:w w:val="105"/>
        </w:rPr>
        <w:t> </w:t>
      </w:r>
      <w:r>
        <w:rPr>
          <w:color w:val="231F20"/>
          <w:w w:val="105"/>
        </w:rPr>
        <w:t>esclusivamente</w:t>
      </w:r>
      <w:r>
        <w:rPr>
          <w:color w:val="231F20"/>
          <w:spacing w:val="-15"/>
          <w:w w:val="105"/>
        </w:rPr>
        <w:t> </w:t>
      </w:r>
      <w:r>
        <w:rPr>
          <w:color w:val="231F20"/>
          <w:w w:val="105"/>
        </w:rPr>
        <w:t>da un</w:t>
      </w:r>
      <w:r>
        <w:rPr>
          <w:color w:val="231F20"/>
          <w:spacing w:val="-42"/>
          <w:w w:val="105"/>
        </w:rPr>
        <w:t> </w:t>
      </w:r>
      <w:r>
        <w:rPr>
          <w:color w:val="231F20"/>
          <w:w w:val="105"/>
        </w:rPr>
        <w:t>punto</w:t>
      </w:r>
      <w:r>
        <w:rPr>
          <w:color w:val="231F20"/>
          <w:spacing w:val="-42"/>
          <w:w w:val="105"/>
        </w:rPr>
        <w:t> </w:t>
      </w:r>
      <w:r>
        <w:rPr>
          <w:color w:val="231F20"/>
          <w:w w:val="105"/>
        </w:rPr>
        <w:t>di</w:t>
      </w:r>
      <w:r>
        <w:rPr>
          <w:color w:val="231F20"/>
          <w:spacing w:val="-42"/>
          <w:w w:val="105"/>
        </w:rPr>
        <w:t> </w:t>
      </w:r>
      <w:r>
        <w:rPr>
          <w:color w:val="231F20"/>
          <w:w w:val="105"/>
        </w:rPr>
        <w:t>vista</w:t>
      </w:r>
      <w:r>
        <w:rPr>
          <w:color w:val="231F20"/>
          <w:spacing w:val="-42"/>
          <w:w w:val="105"/>
        </w:rPr>
        <w:t> </w:t>
      </w:r>
      <w:r>
        <w:rPr>
          <w:rFonts w:ascii="Arial" w:hAnsi="Arial"/>
          <w:i/>
          <w:color w:val="231F20"/>
          <w:w w:val="105"/>
        </w:rPr>
        <w:t>topografico</w:t>
      </w:r>
      <w:r>
        <w:rPr>
          <w:color w:val="231F20"/>
          <w:w w:val="105"/>
        </w:rPr>
        <w:t>,</w:t>
      </w:r>
      <w:r>
        <w:rPr>
          <w:color w:val="231F20"/>
          <w:spacing w:val="-42"/>
          <w:w w:val="105"/>
        </w:rPr>
        <w:t> </w:t>
      </w:r>
      <w:r>
        <w:rPr>
          <w:color w:val="231F20"/>
          <w:w w:val="105"/>
        </w:rPr>
        <w:t>ma</w:t>
      </w:r>
      <w:r>
        <w:rPr>
          <w:color w:val="231F20"/>
          <w:spacing w:val="-42"/>
          <w:w w:val="105"/>
        </w:rPr>
        <w:t> </w:t>
      </w:r>
      <w:r>
        <w:rPr>
          <w:color w:val="231F20"/>
          <w:w w:val="105"/>
        </w:rPr>
        <w:t>anche</w:t>
      </w:r>
      <w:r>
        <w:rPr>
          <w:color w:val="231F20"/>
          <w:spacing w:val="-42"/>
          <w:w w:val="105"/>
        </w:rPr>
        <w:t> </w:t>
      </w:r>
      <w:r>
        <w:rPr>
          <w:color w:val="231F20"/>
          <w:w w:val="105"/>
        </w:rPr>
        <w:t>da</w:t>
      </w:r>
      <w:r>
        <w:rPr>
          <w:color w:val="231F20"/>
          <w:spacing w:val="-42"/>
          <w:w w:val="105"/>
        </w:rPr>
        <w:t> </w:t>
      </w:r>
      <w:r>
        <w:rPr>
          <w:color w:val="231F20"/>
          <w:w w:val="105"/>
        </w:rPr>
        <w:t>la</w:t>
      </w:r>
      <w:r>
        <w:rPr>
          <w:color w:val="231F20"/>
          <w:spacing w:val="-42"/>
          <w:w w:val="105"/>
        </w:rPr>
        <w:t> </w:t>
      </w:r>
      <w:r>
        <w:rPr>
          <w:color w:val="231F20"/>
          <w:w w:val="105"/>
        </w:rPr>
        <w:t>sua</w:t>
      </w:r>
      <w:r>
        <w:rPr>
          <w:color w:val="231F20"/>
          <w:spacing w:val="-42"/>
          <w:w w:val="105"/>
        </w:rPr>
        <w:t> </w:t>
      </w:r>
      <w:r>
        <w:rPr>
          <w:color w:val="231F20"/>
          <w:w w:val="105"/>
        </w:rPr>
        <w:t>costituzione</w:t>
      </w:r>
      <w:r>
        <w:rPr>
          <w:color w:val="231F20"/>
          <w:spacing w:val="-42"/>
          <w:w w:val="105"/>
        </w:rPr>
        <w:t> </w:t>
      </w:r>
      <w:r>
        <w:rPr>
          <w:rFonts w:ascii="Arial" w:hAnsi="Arial"/>
          <w:i/>
          <w:color w:val="231F20"/>
          <w:w w:val="105"/>
        </w:rPr>
        <w:t>differenziale</w:t>
      </w:r>
      <w:r>
        <w:rPr>
          <w:color w:val="231F20"/>
          <w:w w:val="105"/>
        </w:rPr>
        <w:t>. Cioè, i nuovi limiti del potere sovrano sono determinati e incistati nelle resistenze “interne” che produce in un contesto in cui il principio della sovranità</w:t>
      </w:r>
      <w:r>
        <w:rPr>
          <w:color w:val="231F20"/>
          <w:spacing w:val="-46"/>
          <w:w w:val="105"/>
        </w:rPr>
        <w:t> </w:t>
      </w:r>
      <w:r>
        <w:rPr>
          <w:color w:val="231F20"/>
          <w:w w:val="105"/>
        </w:rPr>
        <w:t>moderna</w:t>
      </w:r>
      <w:r>
        <w:rPr>
          <w:color w:val="231F20"/>
          <w:spacing w:val="-46"/>
          <w:w w:val="105"/>
        </w:rPr>
        <w:t> </w:t>
      </w:r>
      <w:r>
        <w:rPr>
          <w:color w:val="231F20"/>
          <w:w w:val="105"/>
        </w:rPr>
        <w:t>d’impronta</w:t>
      </w:r>
      <w:r>
        <w:rPr>
          <w:color w:val="231F20"/>
          <w:spacing w:val="-46"/>
          <w:w w:val="105"/>
        </w:rPr>
        <w:t> </w:t>
      </w:r>
      <w:r>
        <w:rPr>
          <w:color w:val="231F20"/>
          <w:w w:val="105"/>
        </w:rPr>
        <w:t>westfaliana</w:t>
      </w:r>
      <w:r>
        <w:rPr>
          <w:color w:val="231F20"/>
          <w:spacing w:val="-46"/>
          <w:w w:val="105"/>
        </w:rPr>
        <w:t> </w:t>
      </w:r>
      <w:r>
        <w:rPr>
          <w:color w:val="231F20"/>
          <w:w w:val="105"/>
        </w:rPr>
        <w:t>è</w:t>
      </w:r>
      <w:r>
        <w:rPr>
          <w:color w:val="231F20"/>
          <w:spacing w:val="-46"/>
          <w:w w:val="105"/>
        </w:rPr>
        <w:t> </w:t>
      </w:r>
      <w:r>
        <w:rPr>
          <w:color w:val="231F20"/>
          <w:w w:val="105"/>
        </w:rPr>
        <w:t>letteralmente</w:t>
      </w:r>
      <w:r>
        <w:rPr>
          <w:color w:val="231F20"/>
          <w:spacing w:val="-46"/>
          <w:w w:val="105"/>
        </w:rPr>
        <w:t> </w:t>
      </w:r>
      <w:r>
        <w:rPr>
          <w:color w:val="231F20"/>
          <w:w w:val="105"/>
        </w:rPr>
        <w:t>rovinato.</w:t>
      </w:r>
      <w:r>
        <w:rPr>
          <w:color w:val="231F20"/>
          <w:spacing w:val="-46"/>
          <w:w w:val="105"/>
        </w:rPr>
        <w:t> </w:t>
      </w:r>
      <w:r>
        <w:rPr>
          <w:color w:val="231F20"/>
          <w:w w:val="105"/>
        </w:rPr>
        <w:t>Questi limiti</w:t>
      </w:r>
      <w:r>
        <w:rPr>
          <w:color w:val="231F20"/>
          <w:spacing w:val="-40"/>
          <w:w w:val="105"/>
        </w:rPr>
        <w:t> </w:t>
      </w:r>
      <w:r>
        <w:rPr>
          <w:color w:val="231F20"/>
          <w:w w:val="105"/>
        </w:rPr>
        <w:t>interni,</w:t>
      </w:r>
      <w:r>
        <w:rPr>
          <w:color w:val="231F20"/>
          <w:spacing w:val="-40"/>
          <w:w w:val="105"/>
        </w:rPr>
        <w:t> </w:t>
      </w:r>
      <w:r>
        <w:rPr>
          <w:color w:val="231F20"/>
          <w:w w:val="105"/>
        </w:rPr>
        <w:t>nelle</w:t>
      </w:r>
      <w:r>
        <w:rPr>
          <w:color w:val="231F20"/>
          <w:spacing w:val="-40"/>
          <w:w w:val="105"/>
        </w:rPr>
        <w:t> </w:t>
      </w:r>
      <w:r>
        <w:rPr>
          <w:color w:val="231F20"/>
          <w:w w:val="105"/>
        </w:rPr>
        <w:t>loro</w:t>
      </w:r>
      <w:r>
        <w:rPr>
          <w:color w:val="231F20"/>
          <w:spacing w:val="-40"/>
          <w:w w:val="105"/>
        </w:rPr>
        <w:t> </w:t>
      </w:r>
      <w:r>
        <w:rPr>
          <w:color w:val="231F20"/>
          <w:w w:val="105"/>
        </w:rPr>
        <w:t>varianti</w:t>
      </w:r>
      <w:r>
        <w:rPr>
          <w:color w:val="231F20"/>
          <w:spacing w:val="-40"/>
          <w:w w:val="105"/>
        </w:rPr>
        <w:t> </w:t>
      </w:r>
      <w:r>
        <w:rPr>
          <w:color w:val="231F20"/>
          <w:w w:val="105"/>
        </w:rPr>
        <w:t>più</w:t>
      </w:r>
      <w:r>
        <w:rPr>
          <w:color w:val="231F20"/>
          <w:spacing w:val="-41"/>
          <w:w w:val="105"/>
        </w:rPr>
        <w:t> </w:t>
      </w:r>
      <w:r>
        <w:rPr>
          <w:color w:val="231F20"/>
          <w:w w:val="105"/>
        </w:rPr>
        <w:t>radicali,</w:t>
      </w:r>
      <w:r>
        <w:rPr>
          <w:color w:val="231F20"/>
          <w:spacing w:val="-40"/>
          <w:w w:val="105"/>
        </w:rPr>
        <w:t> </w:t>
      </w:r>
      <w:r>
        <w:rPr>
          <w:color w:val="231F20"/>
          <w:w w:val="105"/>
        </w:rPr>
        <w:t>adottano</w:t>
      </w:r>
      <w:r>
        <w:rPr>
          <w:color w:val="231F20"/>
          <w:spacing w:val="-40"/>
          <w:w w:val="105"/>
        </w:rPr>
        <w:t> </w:t>
      </w:r>
      <w:r>
        <w:rPr>
          <w:color w:val="231F20"/>
          <w:w w:val="105"/>
        </w:rPr>
        <w:t>la</w:t>
      </w:r>
      <w:r>
        <w:rPr>
          <w:color w:val="231F20"/>
          <w:spacing w:val="-40"/>
          <w:w w:val="105"/>
        </w:rPr>
        <w:t> </w:t>
      </w:r>
      <w:r>
        <w:rPr>
          <w:color w:val="231F20"/>
          <w:w w:val="105"/>
        </w:rPr>
        <w:t>forma</w:t>
      </w:r>
      <w:r>
        <w:rPr>
          <w:color w:val="231F20"/>
          <w:spacing w:val="-40"/>
          <w:w w:val="105"/>
        </w:rPr>
        <w:t> </w:t>
      </w:r>
      <w:r>
        <w:rPr>
          <w:color w:val="231F20"/>
          <w:w w:val="105"/>
        </w:rPr>
        <w:t>“parapolítica” della “sovranità del crimine” e del terrorismo postmoderno. Per Robert Cribb,</w:t>
      </w:r>
      <w:r>
        <w:rPr>
          <w:color w:val="231F20"/>
          <w:spacing w:val="-46"/>
          <w:w w:val="105"/>
        </w:rPr>
        <w:t> </w:t>
      </w:r>
      <w:r>
        <w:rPr>
          <w:color w:val="231F20"/>
          <w:w w:val="105"/>
        </w:rPr>
        <w:t>la</w:t>
      </w:r>
      <w:r>
        <w:rPr>
          <w:color w:val="231F20"/>
          <w:spacing w:val="-46"/>
          <w:w w:val="105"/>
        </w:rPr>
        <w:t> </w:t>
      </w:r>
      <w:r>
        <w:rPr>
          <w:color w:val="231F20"/>
          <w:w w:val="105"/>
        </w:rPr>
        <w:t>“parapolítica</w:t>
      </w:r>
      <w:r>
        <w:rPr>
          <w:color w:val="231F20"/>
          <w:spacing w:val="-46"/>
          <w:w w:val="105"/>
        </w:rPr>
        <w:t> </w:t>
      </w:r>
      <w:r>
        <w:rPr>
          <w:color w:val="231F20"/>
          <w:w w:val="105"/>
        </w:rPr>
        <w:t>[…]</w:t>
      </w:r>
      <w:r>
        <w:rPr>
          <w:color w:val="231F20"/>
          <w:spacing w:val="-46"/>
          <w:w w:val="105"/>
        </w:rPr>
        <w:t> </w:t>
      </w:r>
      <w:r>
        <w:rPr>
          <w:color w:val="231F20"/>
          <w:w w:val="105"/>
        </w:rPr>
        <w:t>è</w:t>
      </w:r>
      <w:r>
        <w:rPr>
          <w:color w:val="231F20"/>
          <w:spacing w:val="-46"/>
          <w:w w:val="105"/>
        </w:rPr>
        <w:t> </w:t>
      </w:r>
      <w:r>
        <w:rPr>
          <w:color w:val="231F20"/>
          <w:w w:val="105"/>
        </w:rPr>
        <w:t>lo</w:t>
      </w:r>
      <w:r>
        <w:rPr>
          <w:color w:val="231F20"/>
          <w:spacing w:val="-46"/>
          <w:w w:val="105"/>
        </w:rPr>
        <w:t> </w:t>
      </w:r>
      <w:r>
        <w:rPr>
          <w:color w:val="231F20"/>
          <w:w w:val="105"/>
        </w:rPr>
        <w:t>studio</w:t>
      </w:r>
      <w:r>
        <w:rPr>
          <w:color w:val="231F20"/>
          <w:spacing w:val="-46"/>
          <w:w w:val="105"/>
        </w:rPr>
        <w:t> </w:t>
      </w:r>
      <w:r>
        <w:rPr>
          <w:color w:val="231F20"/>
          <w:w w:val="105"/>
        </w:rPr>
        <w:t>della</w:t>
      </w:r>
      <w:r>
        <w:rPr>
          <w:color w:val="231F20"/>
          <w:spacing w:val="-46"/>
          <w:w w:val="105"/>
        </w:rPr>
        <w:t> </w:t>
      </w:r>
      <w:r>
        <w:rPr>
          <w:color w:val="231F20"/>
          <w:w w:val="105"/>
        </w:rPr>
        <w:t>sovranità</w:t>
      </w:r>
      <w:r>
        <w:rPr>
          <w:color w:val="231F20"/>
          <w:spacing w:val="-46"/>
          <w:w w:val="105"/>
        </w:rPr>
        <w:t> </w:t>
      </w:r>
      <w:r>
        <w:rPr>
          <w:color w:val="231F20"/>
          <w:w w:val="105"/>
        </w:rPr>
        <w:t>del</w:t>
      </w:r>
      <w:r>
        <w:rPr>
          <w:color w:val="231F20"/>
          <w:spacing w:val="-46"/>
          <w:w w:val="105"/>
        </w:rPr>
        <w:t> </w:t>
      </w:r>
      <w:r>
        <w:rPr>
          <w:color w:val="231F20"/>
          <w:w w:val="105"/>
        </w:rPr>
        <w:t>crimine,</w:t>
      </w:r>
      <w:r>
        <w:rPr>
          <w:color w:val="231F20"/>
          <w:spacing w:val="-46"/>
          <w:w w:val="105"/>
        </w:rPr>
        <w:t> </w:t>
      </w:r>
      <w:r>
        <w:rPr>
          <w:color w:val="231F20"/>
          <w:w w:val="105"/>
        </w:rPr>
        <w:t>[ma</w:t>
      </w:r>
      <w:r>
        <w:rPr>
          <w:color w:val="231F20"/>
          <w:spacing w:val="-46"/>
          <w:w w:val="105"/>
        </w:rPr>
        <w:t> </w:t>
      </w:r>
      <w:r>
        <w:rPr>
          <w:color w:val="231F20"/>
          <w:w w:val="105"/>
        </w:rPr>
        <w:t>anche] dei</w:t>
      </w:r>
      <w:r>
        <w:rPr>
          <w:color w:val="231F20"/>
          <w:spacing w:val="-43"/>
          <w:w w:val="105"/>
        </w:rPr>
        <w:t> </w:t>
      </w:r>
      <w:r>
        <w:rPr>
          <w:color w:val="231F20"/>
          <w:spacing w:val="-3"/>
          <w:w w:val="105"/>
        </w:rPr>
        <w:t>criminali</w:t>
      </w:r>
      <w:r>
        <w:rPr>
          <w:color w:val="231F20"/>
          <w:spacing w:val="-43"/>
          <w:w w:val="105"/>
        </w:rPr>
        <w:t> </w:t>
      </w:r>
      <w:r>
        <w:rPr>
          <w:color w:val="231F20"/>
          <w:w w:val="105"/>
        </w:rPr>
        <w:t>che</w:t>
      </w:r>
      <w:r>
        <w:rPr>
          <w:color w:val="231F20"/>
          <w:spacing w:val="-43"/>
          <w:w w:val="105"/>
        </w:rPr>
        <w:t> </w:t>
      </w:r>
      <w:r>
        <w:rPr>
          <w:color w:val="231F20"/>
          <w:w w:val="105"/>
        </w:rPr>
        <w:t>si</w:t>
      </w:r>
      <w:r>
        <w:rPr>
          <w:color w:val="231F20"/>
          <w:spacing w:val="-43"/>
          <w:w w:val="105"/>
        </w:rPr>
        <w:t> </w:t>
      </w:r>
      <w:r>
        <w:rPr>
          <w:color w:val="231F20"/>
          <w:spacing w:val="-3"/>
          <w:w w:val="105"/>
        </w:rPr>
        <w:t>comportano</w:t>
      </w:r>
      <w:r>
        <w:rPr>
          <w:color w:val="231F20"/>
          <w:spacing w:val="-43"/>
          <w:w w:val="105"/>
        </w:rPr>
        <w:t> </w:t>
      </w:r>
      <w:r>
        <w:rPr>
          <w:color w:val="231F20"/>
          <w:spacing w:val="-3"/>
          <w:w w:val="105"/>
        </w:rPr>
        <w:t>come</w:t>
      </w:r>
      <w:r>
        <w:rPr>
          <w:color w:val="231F20"/>
          <w:spacing w:val="-43"/>
          <w:w w:val="105"/>
        </w:rPr>
        <w:t> </w:t>
      </w:r>
      <w:r>
        <w:rPr>
          <w:color w:val="231F20"/>
          <w:spacing w:val="-3"/>
          <w:w w:val="105"/>
        </w:rPr>
        <w:t>sovrani</w:t>
      </w:r>
      <w:r>
        <w:rPr>
          <w:color w:val="231F20"/>
          <w:spacing w:val="-43"/>
          <w:w w:val="105"/>
        </w:rPr>
        <w:t> </w:t>
      </w:r>
      <w:r>
        <w:rPr>
          <w:color w:val="231F20"/>
          <w:w w:val="105"/>
        </w:rPr>
        <w:t>e</w:t>
      </w:r>
      <w:r>
        <w:rPr>
          <w:color w:val="231F20"/>
          <w:spacing w:val="-43"/>
          <w:w w:val="105"/>
        </w:rPr>
        <w:t> </w:t>
      </w:r>
      <w:r>
        <w:rPr>
          <w:color w:val="231F20"/>
          <w:w w:val="105"/>
        </w:rPr>
        <w:t>dei</w:t>
      </w:r>
      <w:r>
        <w:rPr>
          <w:color w:val="231F20"/>
          <w:spacing w:val="-43"/>
          <w:w w:val="105"/>
        </w:rPr>
        <w:t> </w:t>
      </w:r>
      <w:r>
        <w:rPr>
          <w:color w:val="231F20"/>
          <w:spacing w:val="-3"/>
          <w:w w:val="105"/>
        </w:rPr>
        <w:t>sovrani</w:t>
      </w:r>
      <w:r>
        <w:rPr>
          <w:color w:val="231F20"/>
          <w:spacing w:val="-43"/>
          <w:w w:val="105"/>
        </w:rPr>
        <w:t> </w:t>
      </w:r>
      <w:r>
        <w:rPr>
          <w:color w:val="231F20"/>
          <w:w w:val="105"/>
        </w:rPr>
        <w:t>che</w:t>
      </w:r>
      <w:r>
        <w:rPr>
          <w:color w:val="231F20"/>
          <w:spacing w:val="-43"/>
          <w:w w:val="105"/>
        </w:rPr>
        <w:t> </w:t>
      </w:r>
      <w:r>
        <w:rPr>
          <w:color w:val="231F20"/>
          <w:w w:val="105"/>
        </w:rPr>
        <w:t>si</w:t>
      </w:r>
      <w:r>
        <w:rPr>
          <w:color w:val="231F20"/>
          <w:spacing w:val="-43"/>
          <w:w w:val="105"/>
        </w:rPr>
        <w:t> </w:t>
      </w:r>
      <w:r>
        <w:rPr>
          <w:color w:val="231F20"/>
          <w:spacing w:val="-3"/>
          <w:w w:val="105"/>
        </w:rPr>
        <w:t>comportano </w:t>
      </w:r>
      <w:r>
        <w:rPr>
          <w:color w:val="231F20"/>
          <w:w w:val="105"/>
        </w:rPr>
        <w:t>come</w:t>
      </w:r>
      <w:r>
        <w:rPr>
          <w:color w:val="231F20"/>
          <w:spacing w:val="-53"/>
          <w:w w:val="105"/>
        </w:rPr>
        <w:t> </w:t>
      </w:r>
      <w:r>
        <w:rPr>
          <w:color w:val="231F20"/>
          <w:w w:val="105"/>
        </w:rPr>
        <w:t>criminali</w:t>
      </w:r>
      <w:r>
        <w:rPr>
          <w:color w:val="231F20"/>
          <w:spacing w:val="-53"/>
          <w:w w:val="105"/>
        </w:rPr>
        <w:t> </w:t>
      </w:r>
      <w:r>
        <w:rPr>
          <w:color w:val="231F20"/>
          <w:w w:val="105"/>
        </w:rPr>
        <w:t>in</w:t>
      </w:r>
      <w:r>
        <w:rPr>
          <w:color w:val="231F20"/>
          <w:spacing w:val="-53"/>
          <w:w w:val="105"/>
        </w:rPr>
        <w:t> </w:t>
      </w:r>
      <w:r>
        <w:rPr>
          <w:color w:val="231F20"/>
          <w:w w:val="105"/>
        </w:rPr>
        <w:t>modo</w:t>
      </w:r>
      <w:r>
        <w:rPr>
          <w:color w:val="231F20"/>
          <w:spacing w:val="-53"/>
          <w:w w:val="105"/>
        </w:rPr>
        <w:t> </w:t>
      </w:r>
      <w:r>
        <w:rPr>
          <w:color w:val="231F20"/>
          <w:w w:val="105"/>
        </w:rPr>
        <w:t>sistematico”</w:t>
      </w:r>
      <w:r>
        <w:rPr>
          <w:color w:val="231F20"/>
          <w:w w:val="105"/>
          <w:position w:val="7"/>
          <w:sz w:val="12"/>
        </w:rPr>
        <w:t>8</w:t>
      </w:r>
      <w:r>
        <w:rPr>
          <w:color w:val="231F20"/>
          <w:w w:val="105"/>
        </w:rPr>
        <w:t>.</w:t>
      </w:r>
      <w:r>
        <w:rPr>
          <w:color w:val="231F20"/>
          <w:spacing w:val="-53"/>
          <w:w w:val="105"/>
        </w:rPr>
        <w:t> </w:t>
      </w:r>
      <w:r>
        <w:rPr>
          <w:color w:val="231F20"/>
          <w:w w:val="105"/>
        </w:rPr>
        <w:t>In</w:t>
      </w:r>
      <w:r>
        <w:rPr>
          <w:color w:val="231F20"/>
          <w:spacing w:val="-53"/>
          <w:w w:val="105"/>
        </w:rPr>
        <w:t> </w:t>
      </w:r>
      <w:r>
        <w:rPr>
          <w:color w:val="231F20"/>
          <w:w w:val="105"/>
        </w:rPr>
        <w:t>questo</w:t>
      </w:r>
      <w:r>
        <w:rPr>
          <w:color w:val="231F20"/>
          <w:spacing w:val="-53"/>
          <w:w w:val="105"/>
        </w:rPr>
        <w:t> </w:t>
      </w:r>
      <w:r>
        <w:rPr>
          <w:color w:val="231F20"/>
          <w:w w:val="105"/>
        </w:rPr>
        <w:t>capitolo,</w:t>
      </w:r>
      <w:r>
        <w:rPr>
          <w:color w:val="231F20"/>
          <w:spacing w:val="-53"/>
          <w:w w:val="105"/>
        </w:rPr>
        <w:t> </w:t>
      </w:r>
      <w:r>
        <w:rPr>
          <w:color w:val="231F20"/>
          <w:spacing w:val="-3"/>
          <w:w w:val="105"/>
        </w:rPr>
        <w:t>daremo</w:t>
      </w:r>
      <w:r>
        <w:rPr>
          <w:color w:val="231F20"/>
          <w:spacing w:val="-53"/>
          <w:w w:val="105"/>
        </w:rPr>
        <w:t> </w:t>
      </w:r>
      <w:r>
        <w:rPr>
          <w:color w:val="231F20"/>
          <w:w w:val="105"/>
        </w:rPr>
        <w:t>attenzione speciale</w:t>
      </w:r>
      <w:r>
        <w:rPr>
          <w:color w:val="231F20"/>
          <w:spacing w:val="-21"/>
          <w:w w:val="105"/>
        </w:rPr>
        <w:t> </w:t>
      </w:r>
      <w:r>
        <w:rPr>
          <w:color w:val="231F20"/>
          <w:w w:val="105"/>
        </w:rPr>
        <w:t>al</w:t>
      </w:r>
      <w:r>
        <w:rPr>
          <w:color w:val="231F20"/>
          <w:spacing w:val="-21"/>
          <w:w w:val="105"/>
        </w:rPr>
        <w:t> </w:t>
      </w:r>
      <w:r>
        <w:rPr>
          <w:color w:val="231F20"/>
          <w:w w:val="105"/>
        </w:rPr>
        <w:t>fenomeno</w:t>
      </w:r>
      <w:r>
        <w:rPr>
          <w:color w:val="231F20"/>
          <w:spacing w:val="-21"/>
          <w:w w:val="105"/>
        </w:rPr>
        <w:t> </w:t>
      </w:r>
      <w:r>
        <w:rPr>
          <w:color w:val="231F20"/>
          <w:w w:val="105"/>
        </w:rPr>
        <w:t>della</w:t>
      </w:r>
      <w:r>
        <w:rPr>
          <w:color w:val="231F20"/>
          <w:spacing w:val="-21"/>
          <w:w w:val="105"/>
        </w:rPr>
        <w:t> </w:t>
      </w:r>
      <w:r>
        <w:rPr>
          <w:color w:val="231F20"/>
          <w:w w:val="105"/>
        </w:rPr>
        <w:t>“sovranizzazione”</w:t>
      </w:r>
      <w:r>
        <w:rPr>
          <w:color w:val="231F20"/>
          <w:spacing w:val="-21"/>
          <w:w w:val="105"/>
        </w:rPr>
        <w:t> </w:t>
      </w:r>
      <w:r>
        <w:rPr>
          <w:color w:val="231F20"/>
          <w:w w:val="105"/>
        </w:rPr>
        <w:t>del</w:t>
      </w:r>
      <w:r>
        <w:rPr>
          <w:color w:val="231F20"/>
          <w:spacing w:val="-21"/>
          <w:w w:val="105"/>
        </w:rPr>
        <w:t> </w:t>
      </w:r>
      <w:r>
        <w:rPr>
          <w:color w:val="231F20"/>
          <w:w w:val="105"/>
        </w:rPr>
        <w:t>crimine,</w:t>
      </w:r>
      <w:r>
        <w:rPr>
          <w:color w:val="231F20"/>
          <w:spacing w:val="-21"/>
          <w:w w:val="105"/>
        </w:rPr>
        <w:t> </w:t>
      </w:r>
      <w:r>
        <w:rPr>
          <w:color w:val="231F20"/>
          <w:w w:val="105"/>
        </w:rPr>
        <w:t>senza</w:t>
      </w:r>
      <w:r>
        <w:rPr>
          <w:color w:val="231F20"/>
          <w:spacing w:val="-21"/>
          <w:w w:val="105"/>
        </w:rPr>
        <w:t> </w:t>
      </w:r>
      <w:r>
        <w:rPr>
          <w:color w:val="231F20"/>
          <w:w w:val="105"/>
        </w:rPr>
        <w:t>smettere di segnalare che il terrorismo è connesso a una parte significativa della </w:t>
      </w:r>
      <w:r>
        <w:rPr>
          <w:color w:val="231F20"/>
        </w:rPr>
        <w:t>criminalità</w:t>
      </w:r>
      <w:r>
        <w:rPr>
          <w:color w:val="231F20"/>
          <w:spacing w:val="-10"/>
        </w:rPr>
        <w:t> </w:t>
      </w:r>
      <w:r>
        <w:rPr>
          <w:color w:val="231F20"/>
        </w:rPr>
        <w:t>organizzata.</w:t>
      </w:r>
    </w:p>
    <w:p>
      <w:pPr>
        <w:pStyle w:val="BodyText"/>
        <w:spacing w:line="244" w:lineRule="auto"/>
        <w:ind w:left="117" w:right="114" w:firstLine="566"/>
        <w:jc w:val="both"/>
      </w:pPr>
      <w:r>
        <w:rPr>
          <w:color w:val="231F20"/>
          <w:spacing w:val="4"/>
        </w:rPr>
        <w:t>Così, </w:t>
      </w:r>
      <w:r>
        <w:rPr>
          <w:color w:val="231F20"/>
          <w:spacing w:val="3"/>
        </w:rPr>
        <w:t>la </w:t>
      </w:r>
      <w:r>
        <w:rPr>
          <w:color w:val="231F20"/>
          <w:spacing w:val="5"/>
        </w:rPr>
        <w:t>sovranità </w:t>
      </w:r>
      <w:r>
        <w:rPr>
          <w:color w:val="231F20"/>
          <w:spacing w:val="4"/>
        </w:rPr>
        <w:t>del </w:t>
      </w:r>
      <w:r>
        <w:rPr>
          <w:color w:val="231F20"/>
          <w:spacing w:val="5"/>
        </w:rPr>
        <w:t>crimine, </w:t>
      </w:r>
      <w:r>
        <w:rPr>
          <w:color w:val="231F20"/>
          <w:spacing w:val="3"/>
        </w:rPr>
        <w:t>da </w:t>
      </w:r>
      <w:r>
        <w:rPr>
          <w:color w:val="231F20"/>
          <w:spacing w:val="4"/>
        </w:rPr>
        <w:t>una </w:t>
      </w:r>
      <w:r>
        <w:rPr>
          <w:color w:val="231F20"/>
          <w:spacing w:val="5"/>
        </w:rPr>
        <w:t>parte, </w:t>
      </w:r>
      <w:r>
        <w:rPr>
          <w:color w:val="231F20"/>
          <w:spacing w:val="4"/>
        </w:rPr>
        <w:t>nasce </w:t>
      </w:r>
      <w:r>
        <w:rPr>
          <w:color w:val="231F20"/>
          <w:spacing w:val="5"/>
        </w:rPr>
        <w:t>quando </w:t>
      </w:r>
      <w:r>
        <w:rPr>
          <w:color w:val="231F20"/>
          <w:spacing w:val="6"/>
        </w:rPr>
        <w:t>la </w:t>
      </w:r>
      <w:r>
        <w:rPr>
          <w:color w:val="231F20"/>
          <w:spacing w:val="77"/>
        </w:rPr>
        <w:t> </w:t>
      </w:r>
      <w:r>
        <w:rPr>
          <w:color w:val="231F20"/>
        </w:rPr>
        <w:t>sua </w:t>
      </w:r>
      <w:r>
        <w:rPr>
          <w:rFonts w:ascii="Arial" w:hAnsi="Arial"/>
          <w:i/>
          <w:color w:val="231F20"/>
        </w:rPr>
        <w:t>emergenza </w:t>
      </w:r>
      <w:r>
        <w:rPr>
          <w:color w:val="231F20"/>
        </w:rPr>
        <w:t>—che dalla sua parte indica la potenzialità che si possa sviluppare— ha a che fare con l’organizzazione dell’universo  </w:t>
      </w:r>
      <w:r>
        <w:rPr>
          <w:color w:val="231F20"/>
          <w:spacing w:val="38"/>
        </w:rPr>
        <w:t> </w:t>
      </w:r>
      <w:r>
        <w:rPr>
          <w:rFonts w:ascii="Arial" w:hAnsi="Arial"/>
          <w:i/>
          <w:color w:val="231F20"/>
        </w:rPr>
        <w:t>infra</w:t>
      </w:r>
      <w:r>
        <w:rPr>
          <w:color w:val="231F20"/>
        </w:rPr>
        <w:t>-statale</w:t>
      </w:r>
    </w:p>
    <w:p>
      <w:pPr>
        <w:pStyle w:val="BodyText"/>
        <w:spacing w:line="244" w:lineRule="auto"/>
        <w:ind w:left="117" w:right="118"/>
        <w:jc w:val="both"/>
      </w:pPr>
      <w:r>
        <w:rPr>
          <w:color w:val="231F20"/>
          <w:w w:val="105"/>
        </w:rPr>
        <w:t>—Ola Tunander</w:t>
      </w:r>
      <w:r>
        <w:rPr>
          <w:color w:val="231F20"/>
          <w:w w:val="105"/>
          <w:position w:val="7"/>
          <w:sz w:val="12"/>
        </w:rPr>
        <w:t>9 </w:t>
      </w:r>
      <w:r>
        <w:rPr>
          <w:color w:val="231F20"/>
          <w:w w:val="105"/>
        </w:rPr>
        <w:t>usa la nozione di </w:t>
      </w:r>
      <w:r>
        <w:rPr>
          <w:rFonts w:ascii="Arial" w:hAnsi="Arial"/>
          <w:i/>
          <w:color w:val="231F20"/>
          <w:w w:val="105"/>
        </w:rPr>
        <w:t>stay–behind</w:t>
      </w:r>
      <w:r>
        <w:rPr>
          <w:color w:val="231F20"/>
          <w:w w:val="105"/>
        </w:rPr>
        <w:t>—, in cui è necessaria la logica</w:t>
      </w:r>
      <w:r>
        <w:rPr>
          <w:color w:val="231F20"/>
          <w:spacing w:val="-10"/>
          <w:w w:val="105"/>
        </w:rPr>
        <w:t> </w:t>
      </w:r>
      <w:r>
        <w:rPr>
          <w:color w:val="231F20"/>
          <w:w w:val="105"/>
        </w:rPr>
        <w:t>del</w:t>
      </w:r>
      <w:r>
        <w:rPr>
          <w:color w:val="231F20"/>
          <w:spacing w:val="-10"/>
          <w:w w:val="105"/>
        </w:rPr>
        <w:t> </w:t>
      </w:r>
      <w:r>
        <w:rPr>
          <w:color w:val="231F20"/>
          <w:w w:val="105"/>
        </w:rPr>
        <w:t>segreto</w:t>
      </w:r>
      <w:r>
        <w:rPr>
          <w:color w:val="231F20"/>
          <w:spacing w:val="-10"/>
          <w:w w:val="105"/>
        </w:rPr>
        <w:t> </w:t>
      </w:r>
      <w:r>
        <w:rPr>
          <w:color w:val="231F20"/>
          <w:w w:val="105"/>
        </w:rPr>
        <w:t>e</w:t>
      </w:r>
      <w:r>
        <w:rPr>
          <w:color w:val="231F20"/>
          <w:spacing w:val="-10"/>
          <w:w w:val="105"/>
        </w:rPr>
        <w:t> </w:t>
      </w:r>
      <w:r>
        <w:rPr>
          <w:color w:val="231F20"/>
          <w:w w:val="105"/>
        </w:rPr>
        <w:t>della</w:t>
      </w:r>
      <w:r>
        <w:rPr>
          <w:color w:val="231F20"/>
          <w:spacing w:val="-10"/>
          <w:w w:val="105"/>
        </w:rPr>
        <w:t> </w:t>
      </w:r>
      <w:r>
        <w:rPr>
          <w:color w:val="231F20"/>
          <w:w w:val="105"/>
        </w:rPr>
        <w:t>clandestinità</w:t>
      </w:r>
      <w:r>
        <w:rPr>
          <w:color w:val="231F20"/>
          <w:spacing w:val="-10"/>
          <w:w w:val="105"/>
        </w:rPr>
        <w:t> </w:t>
      </w:r>
      <w:r>
        <w:rPr>
          <w:color w:val="231F20"/>
          <w:w w:val="105"/>
        </w:rPr>
        <w:t>dei</w:t>
      </w:r>
      <w:r>
        <w:rPr>
          <w:color w:val="231F20"/>
          <w:spacing w:val="-10"/>
          <w:w w:val="105"/>
        </w:rPr>
        <w:t> </w:t>
      </w:r>
      <w:r>
        <w:rPr>
          <w:color w:val="231F20"/>
          <w:w w:val="105"/>
        </w:rPr>
        <w:t>diversi</w:t>
      </w:r>
      <w:r>
        <w:rPr>
          <w:color w:val="231F20"/>
          <w:spacing w:val="-10"/>
          <w:w w:val="105"/>
        </w:rPr>
        <w:t> </w:t>
      </w:r>
      <w:r>
        <w:rPr>
          <w:color w:val="231F20"/>
          <w:w w:val="105"/>
        </w:rPr>
        <w:t>agenti</w:t>
      </w:r>
      <w:r>
        <w:rPr>
          <w:color w:val="231F20"/>
          <w:spacing w:val="-10"/>
          <w:w w:val="105"/>
        </w:rPr>
        <w:t> </w:t>
      </w:r>
      <w:r>
        <w:rPr>
          <w:color w:val="231F20"/>
          <w:w w:val="105"/>
        </w:rPr>
        <w:t>generatori</w:t>
      </w:r>
      <w:r>
        <w:rPr>
          <w:color w:val="231F20"/>
          <w:spacing w:val="-10"/>
          <w:w w:val="105"/>
        </w:rPr>
        <w:t> </w:t>
      </w:r>
      <w:r>
        <w:rPr>
          <w:color w:val="231F20"/>
          <w:w w:val="105"/>
        </w:rPr>
        <w:t>della criminalità</w:t>
      </w:r>
      <w:r>
        <w:rPr>
          <w:color w:val="231F20"/>
          <w:spacing w:val="-52"/>
          <w:w w:val="105"/>
        </w:rPr>
        <w:t> </w:t>
      </w:r>
      <w:r>
        <w:rPr>
          <w:color w:val="231F20"/>
          <w:w w:val="105"/>
        </w:rPr>
        <w:t>e</w:t>
      </w:r>
      <w:r>
        <w:rPr>
          <w:color w:val="231F20"/>
          <w:spacing w:val="-52"/>
          <w:w w:val="105"/>
        </w:rPr>
        <w:t> </w:t>
      </w:r>
      <w:r>
        <w:rPr>
          <w:color w:val="231F20"/>
          <w:w w:val="105"/>
        </w:rPr>
        <w:t>la</w:t>
      </w:r>
      <w:r>
        <w:rPr>
          <w:color w:val="231F20"/>
          <w:spacing w:val="-52"/>
          <w:w w:val="105"/>
        </w:rPr>
        <w:t> </w:t>
      </w:r>
      <w:r>
        <w:rPr>
          <w:color w:val="231F20"/>
          <w:w w:val="105"/>
        </w:rPr>
        <w:t>violenza</w:t>
      </w:r>
      <w:r>
        <w:rPr>
          <w:color w:val="231F20"/>
          <w:spacing w:val="-52"/>
          <w:w w:val="105"/>
        </w:rPr>
        <w:t> </w:t>
      </w:r>
      <w:r>
        <w:rPr>
          <w:color w:val="231F20"/>
          <w:w w:val="105"/>
        </w:rPr>
        <w:t>(</w:t>
      </w:r>
      <w:r>
        <w:rPr>
          <w:rFonts w:ascii="Arial" w:hAnsi="Arial"/>
          <w:i/>
          <w:color w:val="231F20"/>
          <w:w w:val="105"/>
        </w:rPr>
        <w:t>deep</w:t>
      </w:r>
      <w:r>
        <w:rPr>
          <w:rFonts w:ascii="Arial" w:hAnsi="Arial"/>
          <w:i/>
          <w:color w:val="231F20"/>
          <w:spacing w:val="-44"/>
          <w:w w:val="105"/>
        </w:rPr>
        <w:t> </w:t>
      </w:r>
      <w:r>
        <w:rPr>
          <w:rFonts w:ascii="Arial" w:hAnsi="Arial"/>
          <w:i/>
          <w:color w:val="231F20"/>
          <w:w w:val="105"/>
        </w:rPr>
        <w:t>State</w:t>
      </w:r>
      <w:r>
        <w:rPr>
          <w:color w:val="231F20"/>
          <w:w w:val="105"/>
        </w:rPr>
        <w:t>)</w:t>
      </w:r>
      <w:r>
        <w:rPr>
          <w:color w:val="231F20"/>
          <w:spacing w:val="-52"/>
          <w:w w:val="105"/>
        </w:rPr>
        <w:t> </w:t>
      </w:r>
      <w:r>
        <w:rPr>
          <w:color w:val="231F20"/>
          <w:w w:val="105"/>
        </w:rPr>
        <w:t>per</w:t>
      </w:r>
      <w:r>
        <w:rPr>
          <w:color w:val="231F20"/>
          <w:spacing w:val="-52"/>
          <w:w w:val="105"/>
        </w:rPr>
        <w:t> </w:t>
      </w:r>
      <w:r>
        <w:rPr>
          <w:color w:val="231F20"/>
          <w:w w:val="105"/>
        </w:rPr>
        <w:t>mantenere</w:t>
      </w:r>
      <w:r>
        <w:rPr>
          <w:color w:val="231F20"/>
          <w:spacing w:val="-52"/>
          <w:w w:val="105"/>
        </w:rPr>
        <w:t> </w:t>
      </w:r>
      <w:r>
        <w:rPr>
          <w:color w:val="231F20"/>
          <w:w w:val="105"/>
        </w:rPr>
        <w:t>la</w:t>
      </w:r>
      <w:r>
        <w:rPr>
          <w:color w:val="231F20"/>
          <w:spacing w:val="-52"/>
          <w:w w:val="105"/>
        </w:rPr>
        <w:t> </w:t>
      </w:r>
      <w:r>
        <w:rPr>
          <w:color w:val="231F20"/>
          <w:w w:val="105"/>
        </w:rPr>
        <w:t>validità</w:t>
      </w:r>
      <w:r>
        <w:rPr>
          <w:color w:val="231F20"/>
          <w:spacing w:val="-52"/>
          <w:w w:val="105"/>
        </w:rPr>
        <w:t> </w:t>
      </w:r>
      <w:r>
        <w:rPr>
          <w:color w:val="231F20"/>
          <w:w w:val="105"/>
        </w:rPr>
        <w:t>dell’</w:t>
      </w:r>
      <w:r>
        <w:rPr>
          <w:rFonts w:ascii="Arial" w:hAnsi="Arial"/>
          <w:i/>
          <w:color w:val="231F20"/>
          <w:w w:val="105"/>
        </w:rPr>
        <w:t>idea</w:t>
      </w:r>
      <w:r>
        <w:rPr>
          <w:rFonts w:ascii="Arial" w:hAnsi="Arial"/>
          <w:i/>
          <w:color w:val="231F20"/>
          <w:spacing w:val="-44"/>
          <w:w w:val="105"/>
        </w:rPr>
        <w:t> </w:t>
      </w:r>
      <w:r>
        <w:rPr>
          <w:color w:val="231F20"/>
          <w:w w:val="105"/>
        </w:rPr>
        <w:t>dello Stato</w:t>
      </w:r>
      <w:r>
        <w:rPr>
          <w:color w:val="231F20"/>
          <w:spacing w:val="-37"/>
          <w:w w:val="105"/>
        </w:rPr>
        <w:t> </w:t>
      </w:r>
      <w:r>
        <w:rPr>
          <w:color w:val="231F20"/>
          <w:w w:val="105"/>
        </w:rPr>
        <w:t>democratico.</w:t>
      </w:r>
      <w:r>
        <w:rPr>
          <w:color w:val="231F20"/>
          <w:spacing w:val="-37"/>
          <w:w w:val="105"/>
        </w:rPr>
        <w:t> </w:t>
      </w:r>
      <w:r>
        <w:rPr>
          <w:color w:val="231F20"/>
          <w:w w:val="105"/>
        </w:rPr>
        <w:t>Precisamente</w:t>
      </w:r>
      <w:r>
        <w:rPr>
          <w:color w:val="231F20"/>
          <w:spacing w:val="-37"/>
          <w:w w:val="105"/>
        </w:rPr>
        <w:t> </w:t>
      </w:r>
      <w:r>
        <w:rPr>
          <w:color w:val="231F20"/>
          <w:w w:val="105"/>
        </w:rPr>
        <w:t>è</w:t>
      </w:r>
      <w:r>
        <w:rPr>
          <w:color w:val="231F20"/>
          <w:spacing w:val="-37"/>
          <w:w w:val="105"/>
        </w:rPr>
        <w:t> </w:t>
      </w:r>
      <w:r>
        <w:rPr>
          <w:color w:val="231F20"/>
          <w:w w:val="105"/>
        </w:rPr>
        <w:t>qui</w:t>
      </w:r>
      <w:r>
        <w:rPr>
          <w:color w:val="231F20"/>
          <w:spacing w:val="-37"/>
          <w:w w:val="105"/>
        </w:rPr>
        <w:t> </w:t>
      </w:r>
      <w:r>
        <w:rPr>
          <w:color w:val="231F20"/>
          <w:w w:val="105"/>
        </w:rPr>
        <w:t>dove</w:t>
      </w:r>
      <w:r>
        <w:rPr>
          <w:color w:val="231F20"/>
          <w:spacing w:val="-37"/>
          <w:w w:val="105"/>
        </w:rPr>
        <w:t> </w:t>
      </w:r>
      <w:r>
        <w:rPr>
          <w:color w:val="231F20"/>
          <w:w w:val="105"/>
        </w:rPr>
        <w:t>si</w:t>
      </w:r>
      <w:r>
        <w:rPr>
          <w:color w:val="231F20"/>
          <w:spacing w:val="-37"/>
          <w:w w:val="105"/>
        </w:rPr>
        <w:t> </w:t>
      </w:r>
      <w:r>
        <w:rPr>
          <w:color w:val="231F20"/>
          <w:w w:val="105"/>
        </w:rPr>
        <w:t>trova</w:t>
      </w:r>
      <w:r>
        <w:rPr>
          <w:color w:val="231F20"/>
          <w:spacing w:val="-37"/>
          <w:w w:val="105"/>
        </w:rPr>
        <w:t> </w:t>
      </w:r>
      <w:r>
        <w:rPr>
          <w:color w:val="231F20"/>
          <w:w w:val="105"/>
        </w:rPr>
        <w:t>la</w:t>
      </w:r>
      <w:r>
        <w:rPr>
          <w:color w:val="231F20"/>
          <w:spacing w:val="-37"/>
          <w:w w:val="105"/>
        </w:rPr>
        <w:t> </w:t>
      </w:r>
      <w:r>
        <w:rPr>
          <w:color w:val="231F20"/>
          <w:w w:val="105"/>
        </w:rPr>
        <w:t>nascita</w:t>
      </w:r>
      <w:r>
        <w:rPr>
          <w:color w:val="231F20"/>
          <w:spacing w:val="-37"/>
          <w:w w:val="105"/>
        </w:rPr>
        <w:t> </w:t>
      </w:r>
      <w:r>
        <w:rPr>
          <w:color w:val="231F20"/>
          <w:w w:val="105"/>
        </w:rPr>
        <w:t>di</w:t>
      </w:r>
      <w:r>
        <w:rPr>
          <w:color w:val="231F20"/>
          <w:spacing w:val="-37"/>
          <w:w w:val="105"/>
        </w:rPr>
        <w:t> </w:t>
      </w:r>
      <w:r>
        <w:rPr>
          <w:color w:val="231F20"/>
          <w:w w:val="105"/>
        </w:rPr>
        <w:t>quello</w:t>
      </w:r>
      <w:r>
        <w:rPr>
          <w:color w:val="231F20"/>
          <w:spacing w:val="-37"/>
          <w:w w:val="105"/>
        </w:rPr>
        <w:t> </w:t>
      </w:r>
      <w:r>
        <w:rPr>
          <w:color w:val="231F20"/>
          <w:w w:val="105"/>
        </w:rPr>
        <w:t>che il</w:t>
      </w:r>
      <w:r>
        <w:rPr>
          <w:color w:val="231F20"/>
          <w:spacing w:val="-28"/>
          <w:w w:val="105"/>
        </w:rPr>
        <w:t> </w:t>
      </w:r>
      <w:r>
        <w:rPr>
          <w:color w:val="231F20"/>
          <w:w w:val="105"/>
        </w:rPr>
        <w:t>giurista</w:t>
      </w:r>
      <w:r>
        <w:rPr>
          <w:color w:val="231F20"/>
          <w:spacing w:val="-28"/>
          <w:w w:val="105"/>
        </w:rPr>
        <w:t> </w:t>
      </w:r>
      <w:r>
        <w:rPr>
          <w:color w:val="231F20"/>
          <w:w w:val="105"/>
        </w:rPr>
        <w:t>tedesco</w:t>
      </w:r>
      <w:r>
        <w:rPr>
          <w:color w:val="231F20"/>
          <w:spacing w:val="-28"/>
          <w:w w:val="105"/>
        </w:rPr>
        <w:t> </w:t>
      </w:r>
      <w:r>
        <w:rPr>
          <w:color w:val="231F20"/>
          <w:w w:val="105"/>
        </w:rPr>
        <w:t>Ernst</w:t>
      </w:r>
      <w:r>
        <w:rPr>
          <w:color w:val="231F20"/>
          <w:spacing w:val="-28"/>
          <w:w w:val="105"/>
        </w:rPr>
        <w:t> </w:t>
      </w:r>
      <w:r>
        <w:rPr>
          <w:color w:val="231F20"/>
          <w:w w:val="105"/>
        </w:rPr>
        <w:t>Fraenkel</w:t>
      </w:r>
      <w:r>
        <w:rPr>
          <w:color w:val="231F20"/>
          <w:w w:val="105"/>
          <w:position w:val="7"/>
          <w:sz w:val="12"/>
        </w:rPr>
        <w:t>10</w:t>
      </w:r>
      <w:r>
        <w:rPr>
          <w:color w:val="231F20"/>
          <w:spacing w:val="2"/>
          <w:w w:val="105"/>
          <w:position w:val="7"/>
          <w:sz w:val="12"/>
        </w:rPr>
        <w:t> </w:t>
      </w:r>
      <w:r>
        <w:rPr>
          <w:color w:val="231F20"/>
          <w:w w:val="105"/>
        </w:rPr>
        <w:t>chiamò</w:t>
      </w:r>
      <w:r>
        <w:rPr>
          <w:color w:val="231F20"/>
          <w:spacing w:val="-28"/>
          <w:w w:val="105"/>
        </w:rPr>
        <w:t> </w:t>
      </w:r>
      <w:r>
        <w:rPr>
          <w:color w:val="231F20"/>
          <w:w w:val="105"/>
        </w:rPr>
        <w:t>Stato</w:t>
      </w:r>
      <w:r>
        <w:rPr>
          <w:color w:val="231F20"/>
          <w:spacing w:val="-28"/>
          <w:w w:val="105"/>
        </w:rPr>
        <w:t> </w:t>
      </w:r>
      <w:r>
        <w:rPr>
          <w:color w:val="231F20"/>
          <w:w w:val="105"/>
        </w:rPr>
        <w:t>doppio</w:t>
      </w:r>
      <w:r>
        <w:rPr>
          <w:color w:val="231F20"/>
          <w:spacing w:val="-28"/>
          <w:w w:val="105"/>
        </w:rPr>
        <w:t> </w:t>
      </w:r>
      <w:r>
        <w:rPr>
          <w:color w:val="231F20"/>
          <w:w w:val="105"/>
        </w:rPr>
        <w:t>(</w:t>
      </w:r>
      <w:r>
        <w:rPr>
          <w:rFonts w:ascii="Arial" w:hAnsi="Arial"/>
          <w:i/>
          <w:color w:val="231F20"/>
          <w:w w:val="105"/>
        </w:rPr>
        <w:t>Dual</w:t>
      </w:r>
      <w:r>
        <w:rPr>
          <w:rFonts w:ascii="Arial" w:hAnsi="Arial"/>
          <w:i/>
          <w:color w:val="231F20"/>
          <w:spacing w:val="-20"/>
          <w:w w:val="105"/>
        </w:rPr>
        <w:t> </w:t>
      </w:r>
      <w:r>
        <w:rPr>
          <w:rFonts w:ascii="Arial" w:hAnsi="Arial"/>
          <w:i/>
          <w:color w:val="231F20"/>
          <w:w w:val="105"/>
        </w:rPr>
        <w:t>state</w:t>
      </w:r>
      <w:r>
        <w:rPr>
          <w:color w:val="231F20"/>
          <w:w w:val="105"/>
        </w:rPr>
        <w:t>),</w:t>
      </w:r>
      <w:r>
        <w:rPr>
          <w:color w:val="231F20"/>
          <w:spacing w:val="-28"/>
          <w:w w:val="105"/>
        </w:rPr>
        <w:t> </w:t>
      </w:r>
      <w:r>
        <w:rPr>
          <w:color w:val="231F20"/>
          <w:w w:val="105"/>
        </w:rPr>
        <w:t>cioè, una</w:t>
      </w:r>
      <w:r>
        <w:rPr>
          <w:color w:val="231F20"/>
          <w:spacing w:val="-12"/>
          <w:w w:val="105"/>
        </w:rPr>
        <w:t> </w:t>
      </w:r>
      <w:r>
        <w:rPr>
          <w:color w:val="231F20"/>
          <w:w w:val="105"/>
        </w:rPr>
        <w:t>forma</w:t>
      </w:r>
      <w:r>
        <w:rPr>
          <w:color w:val="231F20"/>
          <w:spacing w:val="-12"/>
          <w:w w:val="105"/>
        </w:rPr>
        <w:t> </w:t>
      </w:r>
      <w:r>
        <w:rPr>
          <w:color w:val="231F20"/>
          <w:w w:val="105"/>
        </w:rPr>
        <w:t>statale</w:t>
      </w:r>
      <w:r>
        <w:rPr>
          <w:color w:val="231F20"/>
          <w:spacing w:val="-12"/>
          <w:w w:val="105"/>
        </w:rPr>
        <w:t> </w:t>
      </w:r>
      <w:r>
        <w:rPr>
          <w:color w:val="231F20"/>
          <w:w w:val="105"/>
        </w:rPr>
        <w:t>che</w:t>
      </w:r>
      <w:r>
        <w:rPr>
          <w:color w:val="231F20"/>
          <w:spacing w:val="-12"/>
          <w:w w:val="105"/>
        </w:rPr>
        <w:t> </w:t>
      </w:r>
      <w:r>
        <w:rPr>
          <w:color w:val="231F20"/>
          <w:w w:val="105"/>
        </w:rPr>
        <w:t>per</w:t>
      </w:r>
      <w:r>
        <w:rPr>
          <w:color w:val="231F20"/>
          <w:spacing w:val="-12"/>
          <w:w w:val="105"/>
        </w:rPr>
        <w:t> </w:t>
      </w:r>
      <w:r>
        <w:rPr>
          <w:color w:val="231F20"/>
          <w:w w:val="105"/>
        </w:rPr>
        <w:t>confermarsi</w:t>
      </w:r>
      <w:r>
        <w:rPr>
          <w:color w:val="231F20"/>
          <w:spacing w:val="-12"/>
          <w:w w:val="105"/>
        </w:rPr>
        <w:t> </w:t>
      </w:r>
      <w:r>
        <w:rPr>
          <w:color w:val="231F20"/>
          <w:w w:val="105"/>
        </w:rPr>
        <w:t>come</w:t>
      </w:r>
      <w:r>
        <w:rPr>
          <w:color w:val="231F20"/>
          <w:spacing w:val="-12"/>
          <w:w w:val="105"/>
        </w:rPr>
        <w:t> </w:t>
      </w:r>
      <w:r>
        <w:rPr>
          <w:color w:val="231F20"/>
          <w:w w:val="105"/>
        </w:rPr>
        <w:t>tale,</w:t>
      </w:r>
      <w:r>
        <w:rPr>
          <w:color w:val="231F20"/>
          <w:spacing w:val="-12"/>
          <w:w w:val="105"/>
        </w:rPr>
        <w:t> </w:t>
      </w:r>
      <w:r>
        <w:rPr>
          <w:color w:val="231F20"/>
          <w:w w:val="105"/>
        </w:rPr>
        <w:t>ha</w:t>
      </w:r>
      <w:r>
        <w:rPr>
          <w:color w:val="231F20"/>
          <w:spacing w:val="-12"/>
          <w:w w:val="105"/>
        </w:rPr>
        <w:t> </w:t>
      </w:r>
      <w:r>
        <w:rPr>
          <w:color w:val="231F20"/>
          <w:w w:val="105"/>
        </w:rPr>
        <w:t>bisogno</w:t>
      </w:r>
      <w:r>
        <w:rPr>
          <w:color w:val="231F20"/>
          <w:spacing w:val="-12"/>
          <w:w w:val="105"/>
        </w:rPr>
        <w:t> </w:t>
      </w:r>
      <w:r>
        <w:rPr>
          <w:color w:val="231F20"/>
          <w:w w:val="105"/>
        </w:rPr>
        <w:t>allo</w:t>
      </w:r>
      <w:r>
        <w:rPr>
          <w:color w:val="231F20"/>
          <w:spacing w:val="-12"/>
          <w:w w:val="105"/>
        </w:rPr>
        <w:t> </w:t>
      </w:r>
      <w:r>
        <w:rPr>
          <w:color w:val="231F20"/>
          <w:w w:val="105"/>
        </w:rPr>
        <w:t>stesso tempo</w:t>
      </w:r>
      <w:r>
        <w:rPr>
          <w:color w:val="231F20"/>
          <w:spacing w:val="-18"/>
          <w:w w:val="105"/>
        </w:rPr>
        <w:t> </w:t>
      </w:r>
      <w:r>
        <w:rPr>
          <w:color w:val="231F20"/>
          <w:w w:val="105"/>
        </w:rPr>
        <w:t>di</w:t>
      </w:r>
      <w:r>
        <w:rPr>
          <w:color w:val="231F20"/>
          <w:spacing w:val="-18"/>
          <w:w w:val="105"/>
        </w:rPr>
        <w:t> </w:t>
      </w:r>
      <w:r>
        <w:rPr>
          <w:color w:val="231F20"/>
          <w:w w:val="105"/>
        </w:rPr>
        <w:t>uno</w:t>
      </w:r>
      <w:r>
        <w:rPr>
          <w:color w:val="231F20"/>
          <w:spacing w:val="-18"/>
          <w:w w:val="105"/>
        </w:rPr>
        <w:t> </w:t>
      </w:r>
      <w:r>
        <w:rPr>
          <w:color w:val="231F20"/>
          <w:w w:val="105"/>
        </w:rPr>
        <w:t>Stato</w:t>
      </w:r>
      <w:r>
        <w:rPr>
          <w:color w:val="231F20"/>
          <w:spacing w:val="-18"/>
          <w:w w:val="105"/>
        </w:rPr>
        <w:t> </w:t>
      </w:r>
      <w:r>
        <w:rPr>
          <w:color w:val="231F20"/>
          <w:w w:val="105"/>
        </w:rPr>
        <w:t>visibile</w:t>
      </w:r>
      <w:r>
        <w:rPr>
          <w:color w:val="231F20"/>
          <w:spacing w:val="-18"/>
          <w:w w:val="105"/>
        </w:rPr>
        <w:t> </w:t>
      </w:r>
      <w:r>
        <w:rPr>
          <w:color w:val="231F20"/>
          <w:w w:val="105"/>
        </w:rPr>
        <w:t>e</w:t>
      </w:r>
      <w:r>
        <w:rPr>
          <w:color w:val="231F20"/>
          <w:spacing w:val="-18"/>
          <w:w w:val="105"/>
        </w:rPr>
        <w:t> </w:t>
      </w:r>
      <w:r>
        <w:rPr>
          <w:color w:val="231F20"/>
          <w:w w:val="105"/>
        </w:rPr>
        <w:t>legale,</w:t>
      </w:r>
      <w:r>
        <w:rPr>
          <w:color w:val="231F20"/>
          <w:spacing w:val="-18"/>
          <w:w w:val="105"/>
        </w:rPr>
        <w:t> </w:t>
      </w:r>
      <w:r>
        <w:rPr>
          <w:color w:val="231F20"/>
          <w:w w:val="105"/>
        </w:rPr>
        <w:t>un’altra</w:t>
      </w:r>
      <w:r>
        <w:rPr>
          <w:color w:val="231F20"/>
          <w:spacing w:val="-18"/>
          <w:w w:val="105"/>
        </w:rPr>
        <w:t> </w:t>
      </w:r>
      <w:r>
        <w:rPr>
          <w:color w:val="231F20"/>
          <w:w w:val="105"/>
        </w:rPr>
        <w:t>formazione</w:t>
      </w:r>
      <w:r>
        <w:rPr>
          <w:color w:val="231F20"/>
          <w:spacing w:val="-18"/>
          <w:w w:val="105"/>
        </w:rPr>
        <w:t> </w:t>
      </w:r>
      <w:r>
        <w:rPr>
          <w:color w:val="231F20"/>
          <w:w w:val="105"/>
        </w:rPr>
        <w:t>statale</w:t>
      </w:r>
      <w:r>
        <w:rPr>
          <w:color w:val="231F20"/>
          <w:spacing w:val="-18"/>
          <w:w w:val="105"/>
        </w:rPr>
        <w:t> </w:t>
      </w:r>
      <w:r>
        <w:rPr>
          <w:color w:val="231F20"/>
          <w:w w:val="105"/>
        </w:rPr>
        <w:t>invisibile, discrezionale</w:t>
      </w:r>
      <w:r>
        <w:rPr>
          <w:color w:val="231F20"/>
          <w:spacing w:val="-9"/>
          <w:w w:val="105"/>
        </w:rPr>
        <w:t> </w:t>
      </w:r>
      <w:r>
        <w:rPr>
          <w:color w:val="231F20"/>
          <w:w w:val="105"/>
        </w:rPr>
        <w:t>e</w:t>
      </w:r>
      <w:r>
        <w:rPr>
          <w:color w:val="231F20"/>
          <w:spacing w:val="-9"/>
          <w:w w:val="105"/>
        </w:rPr>
        <w:t> </w:t>
      </w:r>
      <w:r>
        <w:rPr>
          <w:color w:val="231F20"/>
          <w:w w:val="105"/>
        </w:rPr>
        <w:t>in</w:t>
      </w:r>
      <w:r>
        <w:rPr>
          <w:color w:val="231F20"/>
          <w:spacing w:val="-9"/>
          <w:w w:val="105"/>
        </w:rPr>
        <w:t> </w:t>
      </w:r>
      <w:r>
        <w:rPr>
          <w:color w:val="231F20"/>
          <w:w w:val="105"/>
        </w:rPr>
        <w:t>molti</w:t>
      </w:r>
      <w:r>
        <w:rPr>
          <w:color w:val="231F20"/>
          <w:spacing w:val="-9"/>
          <w:w w:val="105"/>
        </w:rPr>
        <w:t> </w:t>
      </w:r>
      <w:r>
        <w:rPr>
          <w:color w:val="231F20"/>
          <w:w w:val="105"/>
        </w:rPr>
        <w:t>casi,</w:t>
      </w:r>
      <w:r>
        <w:rPr>
          <w:color w:val="231F20"/>
          <w:spacing w:val="-9"/>
          <w:w w:val="105"/>
        </w:rPr>
        <w:t> </w:t>
      </w:r>
      <w:r>
        <w:rPr>
          <w:color w:val="231F20"/>
          <w:w w:val="105"/>
        </w:rPr>
        <w:t>illegale</w:t>
      </w:r>
      <w:r>
        <w:rPr>
          <w:color w:val="231F20"/>
          <w:spacing w:val="-9"/>
          <w:w w:val="105"/>
        </w:rPr>
        <w:t> </w:t>
      </w:r>
      <w:r>
        <w:rPr>
          <w:color w:val="231F20"/>
          <w:w w:val="105"/>
        </w:rPr>
        <w:t>da</w:t>
      </w:r>
      <w:r>
        <w:rPr>
          <w:color w:val="231F20"/>
          <w:spacing w:val="-9"/>
          <w:w w:val="105"/>
        </w:rPr>
        <w:t> </w:t>
      </w:r>
      <w:r>
        <w:rPr>
          <w:color w:val="231F20"/>
          <w:w w:val="105"/>
        </w:rPr>
        <w:t>capo</w:t>
      </w:r>
      <w:r>
        <w:rPr>
          <w:color w:val="231F20"/>
          <w:spacing w:val="-9"/>
          <w:w w:val="105"/>
        </w:rPr>
        <w:t> </w:t>
      </w:r>
      <w:r>
        <w:rPr>
          <w:color w:val="231F20"/>
          <w:w w:val="105"/>
        </w:rPr>
        <w:t>a</w:t>
      </w:r>
      <w:r>
        <w:rPr>
          <w:color w:val="231F20"/>
          <w:spacing w:val="-9"/>
          <w:w w:val="105"/>
        </w:rPr>
        <w:t> </w:t>
      </w:r>
      <w:r>
        <w:rPr>
          <w:color w:val="231F20"/>
          <w:w w:val="105"/>
        </w:rPr>
        <w:t>coda.</w:t>
      </w:r>
      <w:r>
        <w:rPr>
          <w:color w:val="231F20"/>
          <w:spacing w:val="-9"/>
          <w:w w:val="105"/>
        </w:rPr>
        <w:t> </w:t>
      </w:r>
      <w:r>
        <w:rPr>
          <w:color w:val="231F20"/>
          <w:w w:val="105"/>
        </w:rPr>
        <w:t>Per</w:t>
      </w:r>
      <w:r>
        <w:rPr>
          <w:color w:val="231F20"/>
          <w:spacing w:val="-9"/>
          <w:w w:val="105"/>
        </w:rPr>
        <w:t> </w:t>
      </w:r>
      <w:r>
        <w:rPr>
          <w:color w:val="231F20"/>
          <w:w w:val="105"/>
        </w:rPr>
        <w:t>Fraenkel</w:t>
      </w:r>
      <w:r>
        <w:rPr>
          <w:color w:val="231F20"/>
          <w:spacing w:val="-9"/>
          <w:w w:val="105"/>
        </w:rPr>
        <w:t> </w:t>
      </w:r>
      <w:r>
        <w:rPr>
          <w:color w:val="231F20"/>
          <w:w w:val="105"/>
        </w:rPr>
        <w:t>—dice</w:t>
      </w: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13360;mso-wrap-distance-left:0;mso-wrap-distance-right:0" from="70.866096pt,8.893098pt" to="184.252096pt,8.893098pt" stroked="true" strokeweight=".3pt" strokecolor="#231f20">
            <w10:wrap type="topAndBottom"/>
          </v:line>
        </w:pict>
      </w:r>
    </w:p>
    <w:p>
      <w:pPr>
        <w:spacing w:line="204" w:lineRule="exact" w:before="8"/>
        <w:ind w:left="117" w:right="121" w:firstLine="0"/>
        <w:jc w:val="both"/>
        <w:rPr>
          <w:rFonts w:ascii="Calibri" w:hAnsi="Calibri"/>
          <w:sz w:val="17"/>
        </w:rPr>
      </w:pPr>
      <w:r>
        <w:rPr>
          <w:rFonts w:ascii="Calibri" w:hAnsi="Calibri"/>
          <w:color w:val="231F20"/>
          <w:position w:val="6"/>
          <w:sz w:val="10"/>
        </w:rPr>
        <w:t>6 </w:t>
      </w:r>
      <w:r>
        <w:rPr>
          <w:rFonts w:ascii="Calibri" w:hAnsi="Calibri"/>
          <w:color w:val="231F20"/>
          <w:spacing w:val="-10"/>
          <w:sz w:val="17"/>
        </w:rPr>
        <w:t>P. </w:t>
      </w:r>
      <w:r>
        <w:rPr>
          <w:rFonts w:ascii="Calibri" w:hAnsi="Calibri"/>
          <w:color w:val="231F20"/>
          <w:sz w:val="17"/>
        </w:rPr>
        <w:t>Andreas, “Crimen transnacional y globalización económica”, M. Berdal y M. Serrano (comps.), </w:t>
      </w:r>
      <w:r>
        <w:rPr>
          <w:rFonts w:ascii="Calibri" w:hAnsi="Calibri"/>
          <w:i/>
          <w:color w:val="231F20"/>
          <w:sz w:val="17"/>
        </w:rPr>
        <w:t>Crimen</w:t>
      </w:r>
      <w:r>
        <w:rPr>
          <w:rFonts w:ascii="Calibri" w:hAnsi="Calibri"/>
          <w:i/>
          <w:color w:val="231F20"/>
          <w:spacing w:val="-5"/>
          <w:sz w:val="17"/>
        </w:rPr>
        <w:t> </w:t>
      </w:r>
      <w:r>
        <w:rPr>
          <w:rFonts w:ascii="Calibri" w:hAnsi="Calibri"/>
          <w:i/>
          <w:color w:val="231F20"/>
          <w:sz w:val="17"/>
        </w:rPr>
        <w:t>transnacional</w:t>
      </w:r>
      <w:r>
        <w:rPr>
          <w:rFonts w:ascii="Calibri" w:hAnsi="Calibri"/>
          <w:i/>
          <w:color w:val="231F20"/>
          <w:spacing w:val="-5"/>
          <w:sz w:val="17"/>
        </w:rPr>
        <w:t> </w:t>
      </w:r>
      <w:r>
        <w:rPr>
          <w:rFonts w:ascii="Calibri" w:hAnsi="Calibri"/>
          <w:i/>
          <w:color w:val="231F20"/>
          <w:sz w:val="17"/>
        </w:rPr>
        <w:t>organizado</w:t>
      </w:r>
      <w:r>
        <w:rPr>
          <w:rFonts w:ascii="Calibri" w:hAnsi="Calibri"/>
          <w:i/>
          <w:color w:val="231F20"/>
          <w:spacing w:val="-7"/>
          <w:sz w:val="17"/>
        </w:rPr>
        <w:t> </w:t>
      </w:r>
      <w:r>
        <w:rPr>
          <w:rFonts w:ascii="Calibri" w:hAnsi="Calibri"/>
          <w:i/>
          <w:color w:val="231F20"/>
          <w:sz w:val="17"/>
        </w:rPr>
        <w:t>y</w:t>
      </w:r>
      <w:r>
        <w:rPr>
          <w:rFonts w:ascii="Calibri" w:hAnsi="Calibri"/>
          <w:i/>
          <w:color w:val="231F20"/>
          <w:spacing w:val="-5"/>
          <w:sz w:val="17"/>
        </w:rPr>
        <w:t> </w:t>
      </w:r>
      <w:r>
        <w:rPr>
          <w:rFonts w:ascii="Calibri" w:hAnsi="Calibri"/>
          <w:i/>
          <w:color w:val="231F20"/>
          <w:sz w:val="17"/>
        </w:rPr>
        <w:t>seguridad</w:t>
      </w:r>
      <w:r>
        <w:rPr>
          <w:rFonts w:ascii="Calibri" w:hAnsi="Calibri"/>
          <w:i/>
          <w:color w:val="231F20"/>
          <w:spacing w:val="-5"/>
          <w:sz w:val="17"/>
        </w:rPr>
        <w:t> </w:t>
      </w:r>
      <w:r>
        <w:rPr>
          <w:rFonts w:ascii="Calibri" w:hAnsi="Calibri"/>
          <w:i/>
          <w:color w:val="231F20"/>
          <w:sz w:val="17"/>
        </w:rPr>
        <w:t>internacional.</w:t>
      </w:r>
      <w:r>
        <w:rPr>
          <w:rFonts w:ascii="Calibri" w:hAnsi="Calibri"/>
          <w:i/>
          <w:color w:val="231F20"/>
          <w:spacing w:val="-5"/>
          <w:sz w:val="17"/>
        </w:rPr>
        <w:t> </w:t>
      </w:r>
      <w:r>
        <w:rPr>
          <w:rFonts w:ascii="Calibri" w:hAnsi="Calibri"/>
          <w:i/>
          <w:color w:val="231F20"/>
          <w:sz w:val="17"/>
        </w:rPr>
        <w:t>Cambio</w:t>
      </w:r>
      <w:r>
        <w:rPr>
          <w:rFonts w:ascii="Calibri" w:hAnsi="Calibri"/>
          <w:i/>
          <w:color w:val="231F20"/>
          <w:spacing w:val="-7"/>
          <w:sz w:val="17"/>
        </w:rPr>
        <w:t> </w:t>
      </w:r>
      <w:r>
        <w:rPr>
          <w:rFonts w:ascii="Calibri" w:hAnsi="Calibri"/>
          <w:i/>
          <w:color w:val="231F20"/>
          <w:sz w:val="17"/>
        </w:rPr>
        <w:t>y</w:t>
      </w:r>
      <w:r>
        <w:rPr>
          <w:rFonts w:ascii="Calibri" w:hAnsi="Calibri"/>
          <w:i/>
          <w:color w:val="231F20"/>
          <w:spacing w:val="-5"/>
          <w:sz w:val="17"/>
        </w:rPr>
        <w:t> </w:t>
      </w:r>
      <w:r>
        <w:rPr>
          <w:rFonts w:ascii="Calibri" w:hAnsi="Calibri"/>
          <w:i/>
          <w:color w:val="231F20"/>
          <w:sz w:val="17"/>
        </w:rPr>
        <w:t>continuidad</w:t>
      </w:r>
      <w:r>
        <w:rPr>
          <w:rFonts w:ascii="Calibri" w:hAnsi="Calibri"/>
          <w:color w:val="231F20"/>
          <w:sz w:val="17"/>
        </w:rPr>
        <w:t>,</w:t>
      </w:r>
      <w:r>
        <w:rPr>
          <w:rFonts w:ascii="Calibri" w:hAnsi="Calibri"/>
          <w:color w:val="231F20"/>
          <w:spacing w:val="-4"/>
          <w:sz w:val="17"/>
        </w:rPr>
        <w:t> </w:t>
      </w:r>
      <w:r>
        <w:rPr>
          <w:rFonts w:ascii="Calibri" w:hAnsi="Calibri"/>
          <w:color w:val="231F20"/>
          <w:sz w:val="17"/>
        </w:rPr>
        <w:t>México,</w:t>
      </w:r>
      <w:r>
        <w:rPr>
          <w:rFonts w:ascii="Calibri" w:hAnsi="Calibri"/>
          <w:color w:val="231F20"/>
          <w:spacing w:val="-4"/>
          <w:sz w:val="17"/>
        </w:rPr>
        <w:t> </w:t>
      </w:r>
      <w:r>
        <w:rPr>
          <w:rFonts w:ascii="Calibri" w:hAnsi="Calibri"/>
          <w:color w:val="231F20"/>
          <w:sz w:val="17"/>
        </w:rPr>
        <w:t>Fondo</w:t>
      </w:r>
      <w:r>
        <w:rPr>
          <w:rFonts w:ascii="Calibri" w:hAnsi="Calibri"/>
          <w:color w:val="231F20"/>
          <w:spacing w:val="-4"/>
          <w:sz w:val="17"/>
        </w:rPr>
        <w:t> </w:t>
      </w:r>
      <w:r>
        <w:rPr>
          <w:rFonts w:ascii="Calibri" w:hAnsi="Calibri"/>
          <w:color w:val="231F20"/>
          <w:sz w:val="17"/>
        </w:rPr>
        <w:t>de Cultura Económica, 2005, pp. </w:t>
      </w:r>
      <w:r>
        <w:rPr>
          <w:rFonts w:ascii="Calibri" w:hAnsi="Calibri"/>
          <w:color w:val="231F20"/>
          <w:spacing w:val="27"/>
          <w:sz w:val="17"/>
        </w:rPr>
        <w:t> </w:t>
      </w:r>
      <w:r>
        <w:rPr>
          <w:rFonts w:ascii="Calibri" w:hAnsi="Calibri"/>
          <w:color w:val="231F20"/>
          <w:sz w:val="17"/>
        </w:rPr>
        <w:t>62–85.</w:t>
      </w:r>
    </w:p>
    <w:p>
      <w:pPr>
        <w:spacing w:line="204" w:lineRule="exact" w:before="0"/>
        <w:ind w:left="117" w:right="121" w:firstLine="0"/>
        <w:jc w:val="both"/>
        <w:rPr>
          <w:rFonts w:ascii="Calibri" w:hAnsi="Calibri"/>
          <w:sz w:val="17"/>
        </w:rPr>
      </w:pPr>
      <w:r>
        <w:rPr>
          <w:rFonts w:ascii="Calibri" w:hAnsi="Calibri"/>
          <w:color w:val="231F20"/>
          <w:w w:val="105"/>
          <w:position w:val="6"/>
          <w:sz w:val="10"/>
        </w:rPr>
        <w:t>7 </w:t>
      </w:r>
      <w:r>
        <w:rPr>
          <w:rFonts w:ascii="Calibri" w:hAnsi="Calibri"/>
          <w:color w:val="231F20"/>
          <w:w w:val="105"/>
          <w:sz w:val="17"/>
        </w:rPr>
        <w:t>D. Zolo, “La reducción del miedo”, R. Ocampo Alcántar, I. Covarrubias y J. C. Cruz Revueltas (coords), </w:t>
      </w:r>
      <w:r>
        <w:rPr>
          <w:rFonts w:ascii="Calibri" w:hAnsi="Calibri"/>
          <w:i/>
          <w:color w:val="231F20"/>
          <w:w w:val="105"/>
          <w:sz w:val="17"/>
        </w:rPr>
        <w:t>Estado, seguridad pública y criminalidades. Debates recientes</w:t>
      </w:r>
      <w:r>
        <w:rPr>
          <w:rFonts w:ascii="Calibri" w:hAnsi="Calibri"/>
          <w:color w:val="231F20"/>
          <w:w w:val="105"/>
          <w:sz w:val="17"/>
        </w:rPr>
        <w:t>, México, Universidad Autónoma de Sinaloa–Publicaciones Cruz, 2013, pp. 73–90.</w:t>
      </w:r>
    </w:p>
    <w:p>
      <w:pPr>
        <w:spacing w:line="204" w:lineRule="exact" w:before="0"/>
        <w:ind w:left="117" w:right="121" w:firstLine="0"/>
        <w:jc w:val="both"/>
        <w:rPr>
          <w:rFonts w:ascii="Calibri" w:hAnsi="Calibri"/>
          <w:sz w:val="17"/>
        </w:rPr>
      </w:pPr>
      <w:r>
        <w:rPr>
          <w:rFonts w:ascii="Calibri" w:hAnsi="Calibri"/>
          <w:color w:val="231F20"/>
          <w:w w:val="105"/>
          <w:position w:val="6"/>
          <w:sz w:val="10"/>
        </w:rPr>
        <w:t>8 </w:t>
      </w:r>
      <w:r>
        <w:rPr>
          <w:rFonts w:ascii="Calibri" w:hAnsi="Calibri"/>
          <w:color w:val="231F20"/>
          <w:w w:val="105"/>
          <w:sz w:val="17"/>
        </w:rPr>
        <w:t>R. Cribb, “Introduction: Parapolitics, Shadow Governance and Criminal Sovereignty”, E. Wilson </w:t>
      </w:r>
      <w:r>
        <w:rPr>
          <w:rFonts w:ascii="Calibri" w:hAnsi="Calibri"/>
          <w:color w:val="231F20"/>
          <w:sz w:val="17"/>
        </w:rPr>
        <w:t>(Ed.),</w:t>
      </w:r>
      <w:r>
        <w:rPr>
          <w:rFonts w:ascii="Calibri" w:hAnsi="Calibri"/>
          <w:color w:val="231F20"/>
          <w:spacing w:val="-3"/>
          <w:sz w:val="17"/>
        </w:rPr>
        <w:t> </w:t>
      </w:r>
      <w:r>
        <w:rPr>
          <w:rFonts w:ascii="Calibri" w:hAnsi="Calibri"/>
          <w:i/>
          <w:color w:val="231F20"/>
          <w:sz w:val="17"/>
        </w:rPr>
        <w:t>Government</w:t>
      </w:r>
      <w:r>
        <w:rPr>
          <w:rFonts w:ascii="Calibri" w:hAnsi="Calibri"/>
          <w:i/>
          <w:color w:val="231F20"/>
          <w:spacing w:val="-4"/>
          <w:sz w:val="17"/>
        </w:rPr>
        <w:t> </w:t>
      </w:r>
      <w:r>
        <w:rPr>
          <w:rFonts w:ascii="Calibri" w:hAnsi="Calibri"/>
          <w:i/>
          <w:color w:val="231F20"/>
          <w:sz w:val="17"/>
        </w:rPr>
        <w:t>of</w:t>
      </w:r>
      <w:r>
        <w:rPr>
          <w:rFonts w:ascii="Calibri" w:hAnsi="Calibri"/>
          <w:i/>
          <w:color w:val="231F20"/>
          <w:spacing w:val="-4"/>
          <w:sz w:val="17"/>
        </w:rPr>
        <w:t> </w:t>
      </w:r>
      <w:r>
        <w:rPr>
          <w:rFonts w:ascii="Calibri" w:hAnsi="Calibri"/>
          <w:i/>
          <w:color w:val="231F20"/>
          <w:sz w:val="17"/>
        </w:rPr>
        <w:t>the</w:t>
      </w:r>
      <w:r>
        <w:rPr>
          <w:rFonts w:ascii="Calibri" w:hAnsi="Calibri"/>
          <w:i/>
          <w:color w:val="231F20"/>
          <w:spacing w:val="-4"/>
          <w:sz w:val="17"/>
        </w:rPr>
        <w:t> </w:t>
      </w:r>
      <w:r>
        <w:rPr>
          <w:rFonts w:ascii="Calibri" w:hAnsi="Calibri"/>
          <w:i/>
          <w:color w:val="231F20"/>
          <w:sz w:val="17"/>
        </w:rPr>
        <w:t>Shadows.</w:t>
      </w:r>
      <w:r>
        <w:rPr>
          <w:rFonts w:ascii="Calibri" w:hAnsi="Calibri"/>
          <w:i/>
          <w:color w:val="231F20"/>
          <w:spacing w:val="-4"/>
          <w:sz w:val="17"/>
        </w:rPr>
        <w:t> </w:t>
      </w:r>
      <w:r>
        <w:rPr>
          <w:rFonts w:ascii="Calibri" w:hAnsi="Calibri"/>
          <w:i/>
          <w:color w:val="231F20"/>
          <w:sz w:val="17"/>
        </w:rPr>
        <w:t>Parapolitics</w:t>
      </w:r>
      <w:r>
        <w:rPr>
          <w:rFonts w:ascii="Calibri" w:hAnsi="Calibri"/>
          <w:i/>
          <w:color w:val="231F20"/>
          <w:spacing w:val="-4"/>
          <w:sz w:val="17"/>
        </w:rPr>
        <w:t> </w:t>
      </w:r>
      <w:r>
        <w:rPr>
          <w:rFonts w:ascii="Calibri" w:hAnsi="Calibri"/>
          <w:i/>
          <w:color w:val="231F20"/>
          <w:sz w:val="17"/>
        </w:rPr>
        <w:t>and</w:t>
      </w:r>
      <w:r>
        <w:rPr>
          <w:rFonts w:ascii="Calibri" w:hAnsi="Calibri"/>
          <w:i/>
          <w:color w:val="231F20"/>
          <w:spacing w:val="-4"/>
          <w:sz w:val="17"/>
        </w:rPr>
        <w:t> </w:t>
      </w:r>
      <w:r>
        <w:rPr>
          <w:rFonts w:ascii="Calibri" w:hAnsi="Calibri"/>
          <w:i/>
          <w:color w:val="231F20"/>
          <w:sz w:val="17"/>
        </w:rPr>
        <w:t>Criminal</w:t>
      </w:r>
      <w:r>
        <w:rPr>
          <w:rFonts w:ascii="Calibri" w:hAnsi="Calibri"/>
          <w:i/>
          <w:color w:val="231F20"/>
          <w:spacing w:val="-4"/>
          <w:sz w:val="17"/>
        </w:rPr>
        <w:t> </w:t>
      </w:r>
      <w:r>
        <w:rPr>
          <w:rFonts w:ascii="Calibri" w:hAnsi="Calibri"/>
          <w:i/>
          <w:color w:val="231F20"/>
          <w:sz w:val="17"/>
        </w:rPr>
        <w:t>Sovereignty</w:t>
      </w:r>
      <w:r>
        <w:rPr>
          <w:rFonts w:ascii="Calibri" w:hAnsi="Calibri"/>
          <w:color w:val="231F20"/>
          <w:sz w:val="17"/>
        </w:rPr>
        <w:t>,</w:t>
      </w:r>
      <w:r>
        <w:rPr>
          <w:rFonts w:ascii="Calibri" w:hAnsi="Calibri"/>
          <w:color w:val="231F20"/>
          <w:spacing w:val="-3"/>
          <w:sz w:val="17"/>
        </w:rPr>
        <w:t> </w:t>
      </w:r>
      <w:r>
        <w:rPr>
          <w:rFonts w:ascii="Calibri" w:hAnsi="Calibri"/>
          <w:color w:val="231F20"/>
          <w:sz w:val="17"/>
        </w:rPr>
        <w:t>Londres,</w:t>
      </w:r>
      <w:r>
        <w:rPr>
          <w:rFonts w:ascii="Calibri" w:hAnsi="Calibri"/>
          <w:color w:val="231F20"/>
          <w:spacing w:val="-3"/>
          <w:sz w:val="17"/>
        </w:rPr>
        <w:t> </w:t>
      </w:r>
      <w:r>
        <w:rPr>
          <w:rFonts w:ascii="Calibri" w:hAnsi="Calibri"/>
          <w:color w:val="231F20"/>
          <w:sz w:val="17"/>
        </w:rPr>
        <w:t>Pluto</w:t>
      </w:r>
      <w:r>
        <w:rPr>
          <w:rFonts w:ascii="Calibri" w:hAnsi="Calibri"/>
          <w:color w:val="231F20"/>
          <w:spacing w:val="-3"/>
          <w:sz w:val="17"/>
        </w:rPr>
        <w:t> </w:t>
      </w:r>
      <w:r>
        <w:rPr>
          <w:rFonts w:ascii="Calibri" w:hAnsi="Calibri"/>
          <w:color w:val="231F20"/>
          <w:sz w:val="17"/>
        </w:rPr>
        <w:t>Press,</w:t>
      </w:r>
      <w:r>
        <w:rPr>
          <w:rFonts w:ascii="Calibri" w:hAnsi="Calibri"/>
          <w:color w:val="231F20"/>
          <w:spacing w:val="-3"/>
          <w:sz w:val="17"/>
        </w:rPr>
        <w:t> </w:t>
      </w:r>
      <w:r>
        <w:rPr>
          <w:rFonts w:ascii="Calibri" w:hAnsi="Calibri"/>
          <w:color w:val="231F20"/>
          <w:sz w:val="17"/>
        </w:rPr>
        <w:t>2009,</w:t>
      </w:r>
    </w:p>
    <w:p>
      <w:pPr>
        <w:spacing w:line="206" w:lineRule="exact" w:before="1"/>
        <w:ind w:left="117" w:right="0" w:firstLine="0"/>
        <w:jc w:val="both"/>
        <w:rPr>
          <w:rFonts w:ascii="Calibri"/>
          <w:sz w:val="17"/>
        </w:rPr>
      </w:pPr>
      <w:r>
        <w:rPr>
          <w:rFonts w:ascii="Calibri"/>
          <w:color w:val="231F20"/>
          <w:sz w:val="17"/>
        </w:rPr>
        <w:t>p. 8.</w:t>
      </w:r>
    </w:p>
    <w:p>
      <w:pPr>
        <w:spacing w:line="235" w:lineRule="auto" w:before="1"/>
        <w:ind w:left="117" w:right="121" w:firstLine="0"/>
        <w:jc w:val="both"/>
        <w:rPr>
          <w:rFonts w:ascii="Calibri" w:hAnsi="Calibri"/>
          <w:sz w:val="17"/>
        </w:rPr>
      </w:pPr>
      <w:r>
        <w:rPr>
          <w:rFonts w:ascii="Calibri" w:hAnsi="Calibri"/>
          <w:color w:val="231F20"/>
          <w:w w:val="105"/>
          <w:position w:val="6"/>
          <w:sz w:val="10"/>
        </w:rPr>
        <w:t>9 </w:t>
      </w:r>
      <w:r>
        <w:rPr>
          <w:rFonts w:ascii="Calibri" w:hAnsi="Calibri"/>
          <w:color w:val="231F20"/>
          <w:w w:val="105"/>
          <w:sz w:val="17"/>
        </w:rPr>
        <w:t>O. Tunander, “Democratic State v.s. Deep State: Approaching the Dual State of the West”, E. Wilson (Ed.), </w:t>
      </w:r>
      <w:r>
        <w:rPr>
          <w:rFonts w:ascii="Calibri" w:hAnsi="Calibri"/>
          <w:i/>
          <w:color w:val="231F20"/>
          <w:w w:val="105"/>
          <w:sz w:val="17"/>
        </w:rPr>
        <w:t>Government of the Shadows. Parapolitics and Criminal Sovereignty</w:t>
      </w:r>
      <w:r>
        <w:rPr>
          <w:rFonts w:ascii="Calibri" w:hAnsi="Calibri"/>
          <w:color w:val="231F20"/>
          <w:w w:val="105"/>
          <w:sz w:val="17"/>
        </w:rPr>
        <w:t>, Londres, Pluto Press, 2009.</w:t>
      </w:r>
    </w:p>
    <w:p>
      <w:pPr>
        <w:spacing w:line="203" w:lineRule="exact" w:before="0"/>
        <w:ind w:left="117" w:right="0" w:firstLine="0"/>
        <w:jc w:val="both"/>
        <w:rPr>
          <w:rFonts w:ascii="Calibri"/>
          <w:sz w:val="17"/>
        </w:rPr>
      </w:pPr>
      <w:r>
        <w:rPr>
          <w:rFonts w:ascii="Calibri"/>
          <w:color w:val="231F20"/>
          <w:position w:val="6"/>
          <w:sz w:val="10"/>
        </w:rPr>
        <w:t>10  </w:t>
      </w:r>
      <w:r>
        <w:rPr>
          <w:rFonts w:ascii="Calibri"/>
          <w:color w:val="231F20"/>
          <w:sz w:val="17"/>
        </w:rPr>
        <w:t>E. Fraenkel, </w:t>
      </w:r>
      <w:r>
        <w:rPr>
          <w:rFonts w:ascii="Calibri"/>
          <w:i/>
          <w:color w:val="231F20"/>
          <w:sz w:val="17"/>
        </w:rPr>
        <w:t>The Dual State. A Contribution to the Theory of Dictatorship</w:t>
      </w:r>
      <w:r>
        <w:rPr>
          <w:rFonts w:ascii="Calibri"/>
          <w:color w:val="231F20"/>
          <w:sz w:val="17"/>
        </w:rPr>
        <w:t>, Nueva York, Oxford</w:t>
      </w:r>
    </w:p>
    <w:p>
      <w:pPr>
        <w:spacing w:line="206" w:lineRule="exact" w:before="0"/>
        <w:ind w:left="117" w:right="0" w:firstLine="0"/>
        <w:jc w:val="both"/>
        <w:rPr>
          <w:rFonts w:ascii="Calibri"/>
          <w:sz w:val="17"/>
        </w:rPr>
      </w:pPr>
      <w:r>
        <w:rPr>
          <w:rFonts w:ascii="Calibri"/>
          <w:color w:val="231F20"/>
          <w:sz w:val="17"/>
        </w:rPr>
        <w:t>University Press, 1941.</w:t>
      </w:r>
    </w:p>
    <w:p>
      <w:pPr>
        <w:spacing w:after="0" w:line="206" w:lineRule="exact"/>
        <w:jc w:val="both"/>
        <w:rPr>
          <w:rFonts w:ascii="Calibri"/>
          <w:sz w:val="17"/>
        </w:rPr>
        <w:sectPr>
          <w:type w:val="continuous"/>
          <w:pgSz w:w="9640" w:h="13890"/>
          <w:pgMar w:top="0" w:bottom="0" w:left="1300" w:right="1180"/>
        </w:sectPr>
      </w:pPr>
    </w:p>
    <w:p>
      <w:pPr>
        <w:pStyle w:val="BodyText"/>
        <w:spacing w:line="247" w:lineRule="auto" w:before="107"/>
        <w:ind w:left="103" w:right="111"/>
        <w:jc w:val="both"/>
      </w:pPr>
      <w:r>
        <w:rPr>
          <w:color w:val="231F20"/>
          <w:spacing w:val="-3"/>
        </w:rPr>
        <w:t>Bobbio</w:t>
      </w:r>
      <w:r>
        <w:rPr>
          <w:color w:val="231F20"/>
          <w:spacing w:val="-3"/>
          <w:position w:val="7"/>
          <w:sz w:val="12"/>
        </w:rPr>
        <w:t>11</w:t>
      </w:r>
      <w:r>
        <w:rPr>
          <w:color w:val="231F20"/>
          <w:spacing w:val="-3"/>
        </w:rPr>
        <w:t>—</w:t>
      </w:r>
      <w:r>
        <w:rPr>
          <w:color w:val="231F20"/>
          <w:spacing w:val="-10"/>
        </w:rPr>
        <w:t> </w:t>
      </w:r>
      <w:r>
        <w:rPr>
          <w:color w:val="231F20"/>
        </w:rPr>
        <w:t>il</w:t>
      </w:r>
      <w:r>
        <w:rPr>
          <w:color w:val="231F20"/>
          <w:spacing w:val="-10"/>
        </w:rPr>
        <w:t> </w:t>
      </w:r>
      <w:r>
        <w:rPr>
          <w:color w:val="231F20"/>
          <w:spacing w:val="-4"/>
        </w:rPr>
        <w:t>potere</w:t>
      </w:r>
      <w:r>
        <w:rPr>
          <w:color w:val="231F20"/>
          <w:spacing w:val="-10"/>
        </w:rPr>
        <w:t> </w:t>
      </w:r>
      <w:r>
        <w:rPr>
          <w:color w:val="231F20"/>
        </w:rPr>
        <w:t>si</w:t>
      </w:r>
      <w:r>
        <w:rPr>
          <w:color w:val="231F20"/>
          <w:spacing w:val="-10"/>
        </w:rPr>
        <w:t> </w:t>
      </w:r>
      <w:r>
        <w:rPr>
          <w:color w:val="231F20"/>
          <w:spacing w:val="-3"/>
        </w:rPr>
        <w:t>deve</w:t>
      </w:r>
      <w:r>
        <w:rPr>
          <w:color w:val="231F20"/>
          <w:spacing w:val="-10"/>
        </w:rPr>
        <w:t> </w:t>
      </w:r>
      <w:r>
        <w:rPr>
          <w:color w:val="231F20"/>
          <w:spacing w:val="-4"/>
        </w:rPr>
        <w:t>fondare</w:t>
      </w:r>
      <w:r>
        <w:rPr>
          <w:color w:val="231F20"/>
          <w:spacing w:val="-10"/>
        </w:rPr>
        <w:t> </w:t>
      </w:r>
      <w:r>
        <w:rPr>
          <w:color w:val="231F20"/>
        </w:rPr>
        <w:t>nel</w:t>
      </w:r>
      <w:r>
        <w:rPr>
          <w:color w:val="231F20"/>
          <w:spacing w:val="-10"/>
        </w:rPr>
        <w:t> </w:t>
      </w:r>
      <w:r>
        <w:rPr>
          <w:color w:val="231F20"/>
          <w:spacing w:val="-3"/>
        </w:rPr>
        <w:t>diritto,</w:t>
      </w:r>
      <w:r>
        <w:rPr>
          <w:color w:val="231F20"/>
          <w:spacing w:val="-10"/>
        </w:rPr>
        <w:t> </w:t>
      </w:r>
      <w:r>
        <w:rPr>
          <w:color w:val="231F20"/>
        </w:rPr>
        <w:t>per</w:t>
      </w:r>
      <w:r>
        <w:rPr>
          <w:color w:val="231F20"/>
          <w:spacing w:val="-10"/>
        </w:rPr>
        <w:t> </w:t>
      </w:r>
      <w:r>
        <w:rPr>
          <w:color w:val="231F20"/>
        </w:rPr>
        <w:t>cui</w:t>
      </w:r>
      <w:r>
        <w:rPr>
          <w:color w:val="231F20"/>
          <w:spacing w:val="-10"/>
        </w:rPr>
        <w:t> </w:t>
      </w:r>
      <w:r>
        <w:rPr>
          <w:color w:val="231F20"/>
        </w:rPr>
        <w:t>lo</w:t>
      </w:r>
      <w:r>
        <w:rPr>
          <w:color w:val="231F20"/>
          <w:spacing w:val="-10"/>
        </w:rPr>
        <w:t> </w:t>
      </w:r>
      <w:r>
        <w:rPr>
          <w:color w:val="231F20"/>
          <w:spacing w:val="-3"/>
        </w:rPr>
        <w:t>Stato</w:t>
      </w:r>
      <w:r>
        <w:rPr>
          <w:color w:val="231F20"/>
          <w:spacing w:val="-10"/>
        </w:rPr>
        <w:t> </w:t>
      </w:r>
      <w:r>
        <w:rPr>
          <w:color w:val="231F20"/>
          <w:spacing w:val="-4"/>
        </w:rPr>
        <w:t>discrezionale</w:t>
      </w:r>
      <w:r>
        <w:rPr>
          <w:color w:val="231F20"/>
          <w:spacing w:val="-12"/>
        </w:rPr>
        <w:t> </w:t>
      </w:r>
      <w:r>
        <w:rPr>
          <w:color w:val="231F20"/>
        </w:rPr>
        <w:t>è per</w:t>
      </w:r>
      <w:r>
        <w:rPr>
          <w:color w:val="231F20"/>
          <w:spacing w:val="-19"/>
        </w:rPr>
        <w:t> </w:t>
      </w:r>
      <w:r>
        <w:rPr>
          <w:color w:val="231F20"/>
        </w:rPr>
        <w:t>definizione</w:t>
      </w:r>
      <w:r>
        <w:rPr>
          <w:color w:val="231F20"/>
          <w:spacing w:val="-19"/>
        </w:rPr>
        <w:t> </w:t>
      </w:r>
      <w:r>
        <w:rPr>
          <w:color w:val="231F20"/>
        </w:rPr>
        <w:t>una</w:t>
      </w:r>
      <w:r>
        <w:rPr>
          <w:color w:val="231F20"/>
          <w:spacing w:val="-19"/>
        </w:rPr>
        <w:t> </w:t>
      </w:r>
      <w:r>
        <w:rPr>
          <w:color w:val="231F20"/>
        </w:rPr>
        <w:t>risposta</w:t>
      </w:r>
      <w:r>
        <w:rPr>
          <w:color w:val="231F20"/>
          <w:spacing w:val="-19"/>
        </w:rPr>
        <w:t> </w:t>
      </w:r>
      <w:r>
        <w:rPr>
          <w:color w:val="231F20"/>
        </w:rPr>
        <w:t>giuridica</w:t>
      </w:r>
      <w:r>
        <w:rPr>
          <w:color w:val="231F20"/>
          <w:spacing w:val="-19"/>
        </w:rPr>
        <w:t> </w:t>
      </w:r>
      <w:r>
        <w:rPr>
          <w:color w:val="231F20"/>
        </w:rPr>
        <w:t>a</w:t>
      </w:r>
      <w:r>
        <w:rPr>
          <w:color w:val="231F20"/>
          <w:spacing w:val="-19"/>
        </w:rPr>
        <w:t> </w:t>
      </w:r>
      <w:r>
        <w:rPr>
          <w:color w:val="231F20"/>
        </w:rPr>
        <w:t>una</w:t>
      </w:r>
      <w:r>
        <w:rPr>
          <w:color w:val="231F20"/>
          <w:spacing w:val="-19"/>
        </w:rPr>
        <w:t> </w:t>
      </w:r>
      <w:r>
        <w:rPr>
          <w:color w:val="231F20"/>
          <w:spacing w:val="-3"/>
        </w:rPr>
        <w:t>emergenza</w:t>
      </w:r>
      <w:r>
        <w:rPr>
          <w:color w:val="231F20"/>
          <w:spacing w:val="-19"/>
        </w:rPr>
        <w:t> </w:t>
      </w:r>
      <w:r>
        <w:rPr>
          <w:color w:val="231F20"/>
        </w:rPr>
        <w:t>che</w:t>
      </w:r>
      <w:r>
        <w:rPr>
          <w:color w:val="231F20"/>
          <w:spacing w:val="-19"/>
        </w:rPr>
        <w:t> </w:t>
      </w:r>
      <w:r>
        <w:rPr>
          <w:color w:val="231F20"/>
        </w:rPr>
        <w:t>nasce</w:t>
      </w:r>
      <w:r>
        <w:rPr>
          <w:color w:val="231F20"/>
          <w:spacing w:val="-19"/>
        </w:rPr>
        <w:t> </w:t>
      </w:r>
      <w:r>
        <w:rPr>
          <w:color w:val="231F20"/>
        </w:rPr>
        <w:t>nel</w:t>
      </w:r>
      <w:r>
        <w:rPr>
          <w:color w:val="231F20"/>
          <w:spacing w:val="-19"/>
        </w:rPr>
        <w:t> </w:t>
      </w:r>
      <w:r>
        <w:rPr>
          <w:color w:val="231F20"/>
        </w:rPr>
        <w:t>mondo sociale,</w:t>
      </w:r>
      <w:r>
        <w:rPr>
          <w:color w:val="231F20"/>
          <w:spacing w:val="-19"/>
        </w:rPr>
        <w:t> </w:t>
      </w:r>
      <w:r>
        <w:rPr>
          <w:color w:val="231F20"/>
        </w:rPr>
        <w:t>economico</w:t>
      </w:r>
      <w:r>
        <w:rPr>
          <w:color w:val="231F20"/>
          <w:spacing w:val="-19"/>
        </w:rPr>
        <w:t> </w:t>
      </w:r>
      <w:r>
        <w:rPr>
          <w:color w:val="231F20"/>
        </w:rPr>
        <w:t>o</w:t>
      </w:r>
      <w:r>
        <w:rPr>
          <w:color w:val="231F20"/>
          <w:spacing w:val="-19"/>
        </w:rPr>
        <w:t> </w:t>
      </w:r>
      <w:r>
        <w:rPr>
          <w:color w:val="231F20"/>
        </w:rPr>
        <w:t>politico,</w:t>
      </w:r>
      <w:r>
        <w:rPr>
          <w:color w:val="231F20"/>
          <w:spacing w:val="-19"/>
        </w:rPr>
        <w:t> </w:t>
      </w:r>
      <w:r>
        <w:rPr>
          <w:color w:val="231F20"/>
        </w:rPr>
        <w:t>nonostante</w:t>
      </w:r>
      <w:r>
        <w:rPr>
          <w:color w:val="231F20"/>
          <w:spacing w:val="-19"/>
        </w:rPr>
        <w:t> </w:t>
      </w:r>
      <w:r>
        <w:rPr>
          <w:color w:val="231F20"/>
        </w:rPr>
        <w:t>che</w:t>
      </w:r>
      <w:r>
        <w:rPr>
          <w:color w:val="231F20"/>
          <w:spacing w:val="-19"/>
        </w:rPr>
        <w:t> </w:t>
      </w:r>
      <w:r>
        <w:rPr>
          <w:color w:val="231F20"/>
        </w:rPr>
        <w:t>si</w:t>
      </w:r>
      <w:r>
        <w:rPr>
          <w:color w:val="231F20"/>
          <w:spacing w:val="-19"/>
        </w:rPr>
        <w:t> </w:t>
      </w:r>
      <w:r>
        <w:rPr>
          <w:color w:val="231F20"/>
        </w:rPr>
        <w:t>usino</w:t>
      </w:r>
      <w:r>
        <w:rPr>
          <w:color w:val="231F20"/>
          <w:spacing w:val="-19"/>
        </w:rPr>
        <w:t> </w:t>
      </w:r>
      <w:r>
        <w:rPr>
          <w:color w:val="231F20"/>
        </w:rPr>
        <w:t>mecanismi</w:t>
      </w:r>
      <w:r>
        <w:rPr>
          <w:color w:val="231F20"/>
          <w:spacing w:val="-19"/>
        </w:rPr>
        <w:t> </w:t>
      </w:r>
      <w:r>
        <w:rPr>
          <w:color w:val="231F20"/>
        </w:rPr>
        <w:t>totalmente anti-giuridici;</w:t>
      </w:r>
      <w:r>
        <w:rPr>
          <w:color w:val="231F20"/>
          <w:spacing w:val="-6"/>
        </w:rPr>
        <w:t> </w:t>
      </w:r>
      <w:r>
        <w:rPr>
          <w:color w:val="231F20"/>
        </w:rPr>
        <w:t>ciò</w:t>
      </w:r>
      <w:r>
        <w:rPr>
          <w:color w:val="231F20"/>
          <w:spacing w:val="-6"/>
        </w:rPr>
        <w:t> </w:t>
      </w:r>
      <w:r>
        <w:rPr>
          <w:color w:val="231F20"/>
        </w:rPr>
        <w:t>vuol</w:t>
      </w:r>
      <w:r>
        <w:rPr>
          <w:color w:val="231F20"/>
          <w:spacing w:val="-6"/>
        </w:rPr>
        <w:t> </w:t>
      </w:r>
      <w:r>
        <w:rPr>
          <w:color w:val="231F20"/>
        </w:rPr>
        <w:t>dire</w:t>
      </w:r>
      <w:r>
        <w:rPr>
          <w:color w:val="231F20"/>
          <w:spacing w:val="-6"/>
        </w:rPr>
        <w:t> </w:t>
      </w:r>
      <w:r>
        <w:rPr>
          <w:color w:val="231F20"/>
        </w:rPr>
        <w:t>un’emergenza</w:t>
      </w:r>
      <w:r>
        <w:rPr>
          <w:color w:val="231F20"/>
          <w:spacing w:val="-6"/>
        </w:rPr>
        <w:t> </w:t>
      </w:r>
      <w:r>
        <w:rPr>
          <w:color w:val="231F20"/>
        </w:rPr>
        <w:t>che</w:t>
      </w:r>
      <w:r>
        <w:rPr>
          <w:color w:val="231F20"/>
          <w:spacing w:val="-6"/>
        </w:rPr>
        <w:t> </w:t>
      </w:r>
      <w:r>
        <w:rPr>
          <w:color w:val="231F20"/>
        </w:rPr>
        <w:t>permette</w:t>
      </w:r>
      <w:r>
        <w:rPr>
          <w:color w:val="231F20"/>
          <w:spacing w:val="-6"/>
        </w:rPr>
        <w:t> </w:t>
      </w:r>
      <w:r>
        <w:rPr>
          <w:color w:val="231F20"/>
        </w:rPr>
        <w:t>la</w:t>
      </w:r>
      <w:r>
        <w:rPr>
          <w:color w:val="231F20"/>
          <w:spacing w:val="-6"/>
        </w:rPr>
        <w:t> </w:t>
      </w:r>
      <w:r>
        <w:rPr>
          <w:color w:val="231F20"/>
        </w:rPr>
        <w:t>trasformazione</w:t>
      </w:r>
      <w:r>
        <w:rPr>
          <w:color w:val="231F20"/>
          <w:spacing w:val="-6"/>
        </w:rPr>
        <w:t> </w:t>
      </w:r>
      <w:r>
        <w:rPr>
          <w:color w:val="231F20"/>
        </w:rPr>
        <w:t>di un</w:t>
      </w:r>
      <w:r>
        <w:rPr>
          <w:color w:val="231F20"/>
          <w:spacing w:val="-15"/>
        </w:rPr>
        <w:t> </w:t>
      </w:r>
      <w:r>
        <w:rPr>
          <w:color w:val="231F20"/>
          <w:spacing w:val="-3"/>
        </w:rPr>
        <w:t>ordine</w:t>
      </w:r>
      <w:r>
        <w:rPr>
          <w:color w:val="231F20"/>
          <w:spacing w:val="-15"/>
        </w:rPr>
        <w:t> </w:t>
      </w:r>
      <w:r>
        <w:rPr>
          <w:color w:val="231F20"/>
        </w:rPr>
        <w:t>politico</w:t>
      </w:r>
      <w:r>
        <w:rPr>
          <w:color w:val="231F20"/>
          <w:spacing w:val="-15"/>
        </w:rPr>
        <w:t> </w:t>
      </w:r>
      <w:r>
        <w:rPr>
          <w:color w:val="231F20"/>
        </w:rPr>
        <w:t>in</w:t>
      </w:r>
      <w:r>
        <w:rPr>
          <w:color w:val="231F20"/>
          <w:spacing w:val="-15"/>
        </w:rPr>
        <w:t> </w:t>
      </w:r>
      <w:r>
        <w:rPr>
          <w:color w:val="231F20"/>
        </w:rPr>
        <w:t>stato</w:t>
      </w:r>
      <w:r>
        <w:rPr>
          <w:color w:val="231F20"/>
          <w:spacing w:val="-15"/>
        </w:rPr>
        <w:t> </w:t>
      </w:r>
      <w:r>
        <w:rPr>
          <w:color w:val="231F20"/>
        </w:rPr>
        <w:t>d’eccezione.</w:t>
      </w:r>
      <w:r>
        <w:rPr>
          <w:color w:val="231F20"/>
          <w:spacing w:val="-15"/>
        </w:rPr>
        <w:t> </w:t>
      </w:r>
      <w:r>
        <w:rPr>
          <w:color w:val="231F20"/>
        </w:rPr>
        <w:t>Insomma,</w:t>
      </w:r>
      <w:r>
        <w:rPr>
          <w:color w:val="231F20"/>
          <w:spacing w:val="-15"/>
        </w:rPr>
        <w:t> </w:t>
      </w:r>
      <w:r>
        <w:rPr>
          <w:color w:val="231F20"/>
        </w:rPr>
        <w:t>insieme</w:t>
      </w:r>
      <w:r>
        <w:rPr>
          <w:color w:val="231F20"/>
          <w:spacing w:val="-15"/>
        </w:rPr>
        <w:t> </w:t>
      </w:r>
      <w:r>
        <w:rPr>
          <w:color w:val="231F20"/>
        </w:rPr>
        <w:t>a</w:t>
      </w:r>
      <w:r>
        <w:rPr>
          <w:color w:val="231F20"/>
          <w:spacing w:val="-15"/>
        </w:rPr>
        <w:t> </w:t>
      </w:r>
      <w:r>
        <w:rPr>
          <w:color w:val="231F20"/>
        </w:rPr>
        <w:t>Bobbio</w:t>
      </w:r>
      <w:r>
        <w:rPr>
          <w:color w:val="231F20"/>
          <w:spacing w:val="-15"/>
        </w:rPr>
        <w:t> </w:t>
      </w:r>
      <w:r>
        <w:rPr>
          <w:color w:val="231F20"/>
          <w:spacing w:val="-3"/>
        </w:rPr>
        <w:t>diremmo </w:t>
      </w:r>
      <w:r>
        <w:rPr>
          <w:color w:val="231F20"/>
        </w:rPr>
        <w:t>che ci troviamo in un momento in cui abbbiamo l’ordine statale dotato di “[una] Dottrina giuridica secondo la quale in una situazione eccezionale,    i legitimi possessori del potere politico hanno il diritto di sospendere le garanzie previste dalla costituzione e stanno per tanto investiti di ‘poteri pieni’”</w:t>
      </w:r>
      <w:r>
        <w:rPr>
          <w:color w:val="231F20"/>
          <w:position w:val="7"/>
          <w:sz w:val="12"/>
        </w:rPr>
        <w:t>12</w:t>
      </w:r>
      <w:r>
        <w:rPr>
          <w:color w:val="231F20"/>
        </w:rPr>
        <w:t>.</w:t>
      </w:r>
    </w:p>
    <w:p>
      <w:pPr>
        <w:pStyle w:val="BodyText"/>
        <w:spacing w:line="244" w:lineRule="auto"/>
        <w:ind w:left="103" w:right="107" w:firstLine="566"/>
        <w:jc w:val="both"/>
      </w:pPr>
      <w:r>
        <w:rPr>
          <w:color w:val="231F20"/>
          <w:w w:val="105"/>
        </w:rPr>
        <w:t>In</w:t>
      </w:r>
      <w:r>
        <w:rPr>
          <w:color w:val="231F20"/>
          <w:spacing w:val="-22"/>
          <w:w w:val="105"/>
        </w:rPr>
        <w:t> </w:t>
      </w:r>
      <w:r>
        <w:rPr>
          <w:color w:val="231F20"/>
          <w:w w:val="105"/>
        </w:rPr>
        <w:t>questo</w:t>
      </w:r>
      <w:r>
        <w:rPr>
          <w:color w:val="231F20"/>
          <w:spacing w:val="-22"/>
          <w:w w:val="105"/>
        </w:rPr>
        <w:t> </w:t>
      </w:r>
      <w:r>
        <w:rPr>
          <w:color w:val="231F20"/>
          <w:w w:val="105"/>
        </w:rPr>
        <w:t>stesso</w:t>
      </w:r>
      <w:r>
        <w:rPr>
          <w:color w:val="231F20"/>
          <w:spacing w:val="-22"/>
          <w:w w:val="105"/>
        </w:rPr>
        <w:t> </w:t>
      </w:r>
      <w:r>
        <w:rPr>
          <w:color w:val="231F20"/>
          <w:w w:val="105"/>
        </w:rPr>
        <w:t>senso</w:t>
      </w:r>
      <w:r>
        <w:rPr>
          <w:color w:val="231F20"/>
          <w:spacing w:val="-22"/>
          <w:w w:val="105"/>
        </w:rPr>
        <w:t> </w:t>
      </w:r>
      <w:r>
        <w:rPr>
          <w:color w:val="231F20"/>
          <w:w w:val="105"/>
        </w:rPr>
        <w:t>potremmo</w:t>
      </w:r>
      <w:r>
        <w:rPr>
          <w:color w:val="231F20"/>
          <w:spacing w:val="-22"/>
          <w:w w:val="105"/>
        </w:rPr>
        <w:t> </w:t>
      </w:r>
      <w:r>
        <w:rPr>
          <w:color w:val="231F20"/>
          <w:w w:val="105"/>
        </w:rPr>
        <w:t>interpretare</w:t>
      </w:r>
      <w:r>
        <w:rPr>
          <w:color w:val="231F20"/>
          <w:spacing w:val="-22"/>
          <w:w w:val="105"/>
        </w:rPr>
        <w:t> </w:t>
      </w:r>
      <w:r>
        <w:rPr>
          <w:color w:val="231F20"/>
          <w:w w:val="105"/>
        </w:rPr>
        <w:t>il</w:t>
      </w:r>
      <w:r>
        <w:rPr>
          <w:color w:val="231F20"/>
          <w:spacing w:val="-22"/>
          <w:w w:val="105"/>
        </w:rPr>
        <w:t> </w:t>
      </w:r>
      <w:r>
        <w:rPr>
          <w:color w:val="231F20"/>
          <w:w w:val="105"/>
        </w:rPr>
        <w:t>saggio</w:t>
      </w:r>
      <w:r>
        <w:rPr>
          <w:color w:val="231F20"/>
          <w:spacing w:val="-22"/>
          <w:w w:val="105"/>
        </w:rPr>
        <w:t> </w:t>
      </w:r>
      <w:r>
        <w:rPr>
          <w:color w:val="231F20"/>
          <w:w w:val="105"/>
        </w:rPr>
        <w:t>che</w:t>
      </w:r>
      <w:r>
        <w:rPr>
          <w:color w:val="231F20"/>
          <w:spacing w:val="-22"/>
          <w:w w:val="105"/>
        </w:rPr>
        <w:t> </w:t>
      </w:r>
      <w:r>
        <w:rPr>
          <w:color w:val="231F20"/>
          <w:w w:val="105"/>
        </w:rPr>
        <w:t>Giorgio </w:t>
      </w:r>
      <w:r>
        <w:rPr>
          <w:color w:val="231F20"/>
          <w:spacing w:val="3"/>
          <w:w w:val="105"/>
        </w:rPr>
        <w:t>Agamben dedica </w:t>
      </w:r>
      <w:r>
        <w:rPr>
          <w:color w:val="231F20"/>
          <w:w w:val="105"/>
        </w:rPr>
        <w:t>al </w:t>
      </w:r>
      <w:r>
        <w:rPr>
          <w:color w:val="231F20"/>
          <w:spacing w:val="3"/>
          <w:w w:val="105"/>
        </w:rPr>
        <w:t>tema —inclusa </w:t>
      </w:r>
      <w:r>
        <w:rPr>
          <w:color w:val="231F20"/>
          <w:w w:val="105"/>
        </w:rPr>
        <w:t>la </w:t>
      </w:r>
      <w:r>
        <w:rPr>
          <w:color w:val="231F20"/>
          <w:spacing w:val="3"/>
          <w:w w:val="105"/>
        </w:rPr>
        <w:t>dimensione discrezionale </w:t>
      </w:r>
      <w:r>
        <w:rPr>
          <w:color w:val="231F20"/>
          <w:spacing w:val="4"/>
          <w:w w:val="105"/>
        </w:rPr>
        <w:t>della </w:t>
      </w:r>
      <w:r>
        <w:rPr>
          <w:color w:val="231F20"/>
          <w:w w:val="105"/>
        </w:rPr>
        <w:t>democrazia</w:t>
      </w:r>
      <w:r>
        <w:rPr>
          <w:color w:val="231F20"/>
          <w:spacing w:val="-31"/>
          <w:w w:val="105"/>
        </w:rPr>
        <w:t> </w:t>
      </w:r>
      <w:r>
        <w:rPr>
          <w:color w:val="231F20"/>
          <w:w w:val="105"/>
        </w:rPr>
        <w:t>e</w:t>
      </w:r>
      <w:r>
        <w:rPr>
          <w:color w:val="231F20"/>
          <w:spacing w:val="-31"/>
          <w:w w:val="105"/>
        </w:rPr>
        <w:t> </w:t>
      </w:r>
      <w:r>
        <w:rPr>
          <w:color w:val="231F20"/>
          <w:w w:val="105"/>
        </w:rPr>
        <w:t>dello</w:t>
      </w:r>
      <w:r>
        <w:rPr>
          <w:color w:val="231F20"/>
          <w:spacing w:val="-31"/>
          <w:w w:val="105"/>
        </w:rPr>
        <w:t> </w:t>
      </w:r>
      <w:r>
        <w:rPr>
          <w:color w:val="231F20"/>
          <w:w w:val="105"/>
        </w:rPr>
        <w:t>Stato</w:t>
      </w:r>
      <w:r>
        <w:rPr>
          <w:color w:val="231F20"/>
          <w:spacing w:val="-31"/>
          <w:w w:val="105"/>
        </w:rPr>
        <w:t> </w:t>
      </w:r>
      <w:r>
        <w:rPr>
          <w:color w:val="231F20"/>
          <w:w w:val="105"/>
        </w:rPr>
        <w:t>contemporaneo—</w:t>
      </w:r>
      <w:r>
        <w:rPr>
          <w:color w:val="231F20"/>
          <w:spacing w:val="-31"/>
          <w:w w:val="105"/>
        </w:rPr>
        <w:t> </w:t>
      </w:r>
      <w:r>
        <w:rPr>
          <w:color w:val="231F20"/>
          <w:w w:val="105"/>
        </w:rPr>
        <w:t>a</w:t>
      </w:r>
      <w:r>
        <w:rPr>
          <w:color w:val="231F20"/>
          <w:spacing w:val="-31"/>
          <w:w w:val="105"/>
        </w:rPr>
        <w:t> </w:t>
      </w:r>
      <w:r>
        <w:rPr>
          <w:color w:val="231F20"/>
          <w:w w:val="105"/>
        </w:rPr>
        <w:t>partire</w:t>
      </w:r>
      <w:r>
        <w:rPr>
          <w:color w:val="231F20"/>
          <w:spacing w:val="-31"/>
          <w:w w:val="105"/>
        </w:rPr>
        <w:t> </w:t>
      </w:r>
      <w:r>
        <w:rPr>
          <w:color w:val="231F20"/>
          <w:w w:val="105"/>
        </w:rPr>
        <w:t>dalla</w:t>
      </w:r>
      <w:r>
        <w:rPr>
          <w:color w:val="231F20"/>
          <w:spacing w:val="-31"/>
          <w:w w:val="105"/>
        </w:rPr>
        <w:t> </w:t>
      </w:r>
      <w:r>
        <w:rPr>
          <w:color w:val="231F20"/>
          <w:w w:val="105"/>
        </w:rPr>
        <w:t>categoria</w:t>
      </w:r>
      <w:r>
        <w:rPr>
          <w:color w:val="231F20"/>
          <w:spacing w:val="-31"/>
          <w:w w:val="105"/>
        </w:rPr>
        <w:t> </w:t>
      </w:r>
      <w:r>
        <w:rPr>
          <w:color w:val="231F20"/>
          <w:w w:val="105"/>
        </w:rPr>
        <w:t>“forza di</w:t>
      </w:r>
      <w:r>
        <w:rPr>
          <w:color w:val="231F20"/>
          <w:spacing w:val="-41"/>
          <w:w w:val="105"/>
        </w:rPr>
        <w:t> </w:t>
      </w:r>
      <w:r>
        <w:rPr>
          <w:color w:val="231F20"/>
          <w:w w:val="105"/>
        </w:rPr>
        <w:t>legge”</w:t>
      </w:r>
      <w:r>
        <w:rPr>
          <w:color w:val="231F20"/>
          <w:spacing w:val="-41"/>
          <w:w w:val="105"/>
        </w:rPr>
        <w:t> </w:t>
      </w:r>
      <w:r>
        <w:rPr>
          <w:color w:val="231F20"/>
          <w:w w:val="105"/>
        </w:rPr>
        <w:t>che</w:t>
      </w:r>
      <w:r>
        <w:rPr>
          <w:color w:val="231F20"/>
          <w:spacing w:val="-41"/>
          <w:w w:val="105"/>
        </w:rPr>
        <w:t> </w:t>
      </w:r>
      <w:r>
        <w:rPr>
          <w:color w:val="231F20"/>
          <w:w w:val="105"/>
        </w:rPr>
        <w:t>recupera</w:t>
      </w:r>
      <w:r>
        <w:rPr>
          <w:color w:val="231F20"/>
          <w:spacing w:val="-41"/>
          <w:w w:val="105"/>
        </w:rPr>
        <w:t> </w:t>
      </w:r>
      <w:r>
        <w:rPr>
          <w:color w:val="231F20"/>
          <w:w w:val="105"/>
        </w:rPr>
        <w:t>da</w:t>
      </w:r>
      <w:r>
        <w:rPr>
          <w:color w:val="231F20"/>
          <w:spacing w:val="-41"/>
          <w:w w:val="105"/>
        </w:rPr>
        <w:t> </w:t>
      </w:r>
      <w:r>
        <w:rPr>
          <w:color w:val="231F20"/>
          <w:w w:val="105"/>
        </w:rPr>
        <w:t>Jacques</w:t>
      </w:r>
      <w:r>
        <w:rPr>
          <w:color w:val="231F20"/>
          <w:spacing w:val="-41"/>
          <w:w w:val="105"/>
        </w:rPr>
        <w:t> </w:t>
      </w:r>
      <w:r>
        <w:rPr>
          <w:color w:val="231F20"/>
          <w:w w:val="105"/>
        </w:rPr>
        <w:t>Derrida</w:t>
      </w:r>
      <w:r>
        <w:rPr>
          <w:color w:val="231F20"/>
          <w:w w:val="105"/>
          <w:position w:val="7"/>
          <w:sz w:val="12"/>
        </w:rPr>
        <w:t>13</w:t>
      </w:r>
      <w:r>
        <w:rPr>
          <w:color w:val="231F20"/>
          <w:spacing w:val="-11"/>
          <w:w w:val="105"/>
          <w:position w:val="7"/>
          <w:sz w:val="12"/>
        </w:rPr>
        <w:t> </w:t>
      </w:r>
      <w:r>
        <w:rPr>
          <w:color w:val="231F20"/>
          <w:w w:val="105"/>
        </w:rPr>
        <w:t>in</w:t>
      </w:r>
      <w:r>
        <w:rPr>
          <w:color w:val="231F20"/>
          <w:spacing w:val="-41"/>
          <w:w w:val="105"/>
        </w:rPr>
        <w:t> </w:t>
      </w:r>
      <w:r>
        <w:rPr>
          <w:rFonts w:ascii="Arial" w:hAnsi="Arial"/>
          <w:i/>
          <w:color w:val="231F20"/>
          <w:w w:val="105"/>
        </w:rPr>
        <w:t>Estado</w:t>
      </w:r>
      <w:r>
        <w:rPr>
          <w:rFonts w:ascii="Arial" w:hAnsi="Arial"/>
          <w:i/>
          <w:color w:val="231F20"/>
          <w:spacing w:val="-33"/>
          <w:w w:val="105"/>
        </w:rPr>
        <w:t> </w:t>
      </w:r>
      <w:r>
        <w:rPr>
          <w:rFonts w:ascii="Arial" w:hAnsi="Arial"/>
          <w:i/>
          <w:color w:val="231F20"/>
          <w:w w:val="105"/>
        </w:rPr>
        <w:t>de</w:t>
      </w:r>
      <w:r>
        <w:rPr>
          <w:rFonts w:ascii="Arial" w:hAnsi="Arial"/>
          <w:i/>
          <w:color w:val="231F20"/>
          <w:spacing w:val="-33"/>
          <w:w w:val="105"/>
        </w:rPr>
        <w:t> </w:t>
      </w:r>
      <w:r>
        <w:rPr>
          <w:rFonts w:ascii="Arial" w:hAnsi="Arial"/>
          <w:i/>
          <w:color w:val="231F20"/>
          <w:w w:val="105"/>
        </w:rPr>
        <w:t>excepción.</w:t>
      </w:r>
      <w:r>
        <w:rPr>
          <w:rFonts w:ascii="Arial" w:hAnsi="Arial"/>
          <w:i/>
          <w:color w:val="231F20"/>
          <w:spacing w:val="-33"/>
          <w:w w:val="105"/>
        </w:rPr>
        <w:t> </w:t>
      </w:r>
      <w:r>
        <w:rPr>
          <w:rFonts w:ascii="Arial" w:hAnsi="Arial"/>
          <w:i/>
          <w:color w:val="231F20"/>
          <w:w w:val="105"/>
        </w:rPr>
        <w:t>Homo </w:t>
      </w:r>
      <w:r>
        <w:rPr>
          <w:rFonts w:ascii="Arial" w:hAnsi="Arial"/>
          <w:i/>
          <w:color w:val="231F20"/>
          <w:spacing w:val="-4"/>
          <w:w w:val="105"/>
        </w:rPr>
        <w:t>sacer,</w:t>
      </w:r>
      <w:r>
        <w:rPr>
          <w:rFonts w:ascii="Arial" w:hAnsi="Arial"/>
          <w:i/>
          <w:color w:val="231F20"/>
          <w:spacing w:val="-15"/>
          <w:w w:val="105"/>
        </w:rPr>
        <w:t> </w:t>
      </w:r>
      <w:r>
        <w:rPr>
          <w:rFonts w:ascii="Arial" w:hAnsi="Arial"/>
          <w:i/>
          <w:color w:val="231F20"/>
          <w:w w:val="105"/>
        </w:rPr>
        <w:t>II,</w:t>
      </w:r>
      <w:r>
        <w:rPr>
          <w:rFonts w:ascii="Arial" w:hAnsi="Arial"/>
          <w:i/>
          <w:color w:val="231F20"/>
          <w:spacing w:val="-15"/>
          <w:w w:val="105"/>
        </w:rPr>
        <w:t> </w:t>
      </w:r>
      <w:r>
        <w:rPr>
          <w:rFonts w:ascii="Arial" w:hAnsi="Arial"/>
          <w:i/>
          <w:color w:val="231F20"/>
          <w:w w:val="105"/>
        </w:rPr>
        <w:t>1</w:t>
      </w:r>
      <w:r>
        <w:rPr>
          <w:color w:val="231F20"/>
          <w:w w:val="105"/>
          <w:position w:val="7"/>
          <w:sz w:val="12"/>
        </w:rPr>
        <w:t>14</w:t>
      </w:r>
      <w:r>
        <w:rPr>
          <w:color w:val="231F20"/>
          <w:w w:val="105"/>
        </w:rPr>
        <w:t>.</w:t>
      </w:r>
      <w:r>
        <w:rPr>
          <w:color w:val="231F20"/>
          <w:spacing w:val="-23"/>
          <w:w w:val="105"/>
        </w:rPr>
        <w:t> </w:t>
      </w:r>
      <w:r>
        <w:rPr>
          <w:color w:val="231F20"/>
          <w:w w:val="105"/>
        </w:rPr>
        <w:t>Sembrerebbe</w:t>
      </w:r>
      <w:r>
        <w:rPr>
          <w:color w:val="231F20"/>
          <w:spacing w:val="-23"/>
          <w:w w:val="105"/>
        </w:rPr>
        <w:t> </w:t>
      </w:r>
      <w:r>
        <w:rPr>
          <w:color w:val="231F20"/>
          <w:w w:val="105"/>
        </w:rPr>
        <w:t>che</w:t>
      </w:r>
      <w:r>
        <w:rPr>
          <w:color w:val="231F20"/>
          <w:spacing w:val="-23"/>
          <w:w w:val="105"/>
        </w:rPr>
        <w:t> </w:t>
      </w:r>
      <w:r>
        <w:rPr>
          <w:color w:val="231F20"/>
          <w:w w:val="105"/>
        </w:rPr>
        <w:t>il</w:t>
      </w:r>
      <w:r>
        <w:rPr>
          <w:color w:val="231F20"/>
          <w:spacing w:val="-23"/>
          <w:w w:val="105"/>
        </w:rPr>
        <w:t> </w:t>
      </w:r>
      <w:r>
        <w:rPr>
          <w:color w:val="231F20"/>
          <w:w w:val="105"/>
        </w:rPr>
        <w:t>suo</w:t>
      </w:r>
      <w:r>
        <w:rPr>
          <w:color w:val="231F20"/>
          <w:spacing w:val="-23"/>
          <w:w w:val="105"/>
        </w:rPr>
        <w:t> </w:t>
      </w:r>
      <w:r>
        <w:rPr>
          <w:color w:val="231F20"/>
          <w:w w:val="105"/>
        </w:rPr>
        <w:t>saggio</w:t>
      </w:r>
      <w:r>
        <w:rPr>
          <w:color w:val="231F20"/>
          <w:spacing w:val="-23"/>
          <w:w w:val="105"/>
        </w:rPr>
        <w:t> </w:t>
      </w:r>
      <w:r>
        <w:rPr>
          <w:color w:val="231F20"/>
          <w:w w:val="105"/>
        </w:rPr>
        <w:t>è</w:t>
      </w:r>
      <w:r>
        <w:rPr>
          <w:color w:val="231F20"/>
          <w:spacing w:val="-23"/>
          <w:w w:val="105"/>
        </w:rPr>
        <w:t> </w:t>
      </w:r>
      <w:r>
        <w:rPr>
          <w:color w:val="231F20"/>
          <w:w w:val="105"/>
        </w:rPr>
        <w:t>un</w:t>
      </w:r>
      <w:r>
        <w:rPr>
          <w:color w:val="231F20"/>
          <w:spacing w:val="-23"/>
          <w:w w:val="105"/>
        </w:rPr>
        <w:t> </w:t>
      </w:r>
      <w:r>
        <w:rPr>
          <w:color w:val="231F20"/>
          <w:w w:val="105"/>
        </w:rPr>
        <w:t>tentativo</w:t>
      </w:r>
      <w:r>
        <w:rPr>
          <w:color w:val="231F20"/>
          <w:spacing w:val="-23"/>
          <w:w w:val="105"/>
        </w:rPr>
        <w:t> </w:t>
      </w:r>
      <w:r>
        <w:rPr>
          <w:color w:val="231F20"/>
          <w:w w:val="105"/>
        </w:rPr>
        <w:t>per</w:t>
      </w:r>
      <w:r>
        <w:rPr>
          <w:color w:val="231F20"/>
          <w:spacing w:val="-23"/>
          <w:w w:val="105"/>
        </w:rPr>
        <w:t> </w:t>
      </w:r>
      <w:r>
        <w:rPr>
          <w:color w:val="231F20"/>
          <w:w w:val="105"/>
        </w:rPr>
        <w:t>rispondere </w:t>
      </w:r>
      <w:r>
        <w:rPr>
          <w:color w:val="231F20"/>
          <w:spacing w:val="3"/>
          <w:w w:val="105"/>
        </w:rPr>
        <w:t>alle ansie contemporanee sulle autorità </w:t>
      </w:r>
      <w:r>
        <w:rPr>
          <w:color w:val="231F20"/>
          <w:w w:val="105"/>
        </w:rPr>
        <w:t>e in </w:t>
      </w:r>
      <w:r>
        <w:rPr>
          <w:color w:val="231F20"/>
          <w:spacing w:val="3"/>
          <w:w w:val="105"/>
        </w:rPr>
        <w:t>particolare, </w:t>
      </w:r>
      <w:r>
        <w:rPr>
          <w:color w:val="231F20"/>
          <w:spacing w:val="2"/>
          <w:w w:val="105"/>
        </w:rPr>
        <w:t>nel </w:t>
      </w:r>
      <w:r>
        <w:rPr>
          <w:color w:val="231F20"/>
          <w:spacing w:val="4"/>
          <w:w w:val="105"/>
        </w:rPr>
        <w:t>contesto </w:t>
      </w:r>
      <w:r>
        <w:rPr>
          <w:color w:val="231F20"/>
          <w:w w:val="105"/>
        </w:rPr>
        <w:t>delle</w:t>
      </w:r>
      <w:r>
        <w:rPr>
          <w:color w:val="231F20"/>
          <w:spacing w:val="-21"/>
          <w:w w:val="105"/>
        </w:rPr>
        <w:t> </w:t>
      </w:r>
      <w:r>
        <w:rPr>
          <w:color w:val="231F20"/>
          <w:w w:val="105"/>
        </w:rPr>
        <w:t>trasformazioni</w:t>
      </w:r>
      <w:r>
        <w:rPr>
          <w:color w:val="231F20"/>
          <w:spacing w:val="-21"/>
          <w:w w:val="105"/>
        </w:rPr>
        <w:t> </w:t>
      </w:r>
      <w:r>
        <w:rPr>
          <w:color w:val="231F20"/>
          <w:w w:val="105"/>
        </w:rPr>
        <w:t>nel</w:t>
      </w:r>
      <w:r>
        <w:rPr>
          <w:color w:val="231F20"/>
          <w:spacing w:val="-21"/>
          <w:w w:val="105"/>
        </w:rPr>
        <w:t> </w:t>
      </w:r>
      <w:r>
        <w:rPr>
          <w:color w:val="231F20"/>
          <w:w w:val="105"/>
        </w:rPr>
        <w:t>ordine</w:t>
      </w:r>
      <w:r>
        <w:rPr>
          <w:color w:val="231F20"/>
          <w:spacing w:val="-21"/>
          <w:w w:val="105"/>
        </w:rPr>
        <w:t> </w:t>
      </w:r>
      <w:r>
        <w:rPr>
          <w:color w:val="231F20"/>
          <w:w w:val="105"/>
        </w:rPr>
        <w:t>giuridico</w:t>
      </w:r>
      <w:r>
        <w:rPr>
          <w:color w:val="231F20"/>
          <w:spacing w:val="-21"/>
          <w:w w:val="105"/>
        </w:rPr>
        <w:t> </w:t>
      </w:r>
      <w:r>
        <w:rPr>
          <w:color w:val="231F20"/>
          <w:w w:val="105"/>
        </w:rPr>
        <w:t>statale</w:t>
      </w:r>
      <w:r>
        <w:rPr>
          <w:color w:val="231F20"/>
          <w:spacing w:val="-21"/>
          <w:w w:val="105"/>
        </w:rPr>
        <w:t> </w:t>
      </w:r>
      <w:r>
        <w:rPr>
          <w:color w:val="231F20"/>
          <w:w w:val="105"/>
        </w:rPr>
        <w:t>(e</w:t>
      </w:r>
      <w:r>
        <w:rPr>
          <w:color w:val="231F20"/>
          <w:spacing w:val="-21"/>
          <w:w w:val="105"/>
        </w:rPr>
        <w:t> </w:t>
      </w:r>
      <w:r>
        <w:rPr>
          <w:color w:val="231F20"/>
          <w:w w:val="105"/>
        </w:rPr>
        <w:t>sovrastatale)</w:t>
      </w:r>
      <w:r>
        <w:rPr>
          <w:color w:val="231F20"/>
          <w:spacing w:val="-21"/>
          <w:w w:val="105"/>
        </w:rPr>
        <w:t> </w:t>
      </w:r>
      <w:r>
        <w:rPr>
          <w:color w:val="231F20"/>
          <w:w w:val="105"/>
        </w:rPr>
        <w:t>di</w:t>
      </w:r>
      <w:r>
        <w:rPr>
          <w:color w:val="231F20"/>
          <w:spacing w:val="-21"/>
          <w:w w:val="105"/>
        </w:rPr>
        <w:t> </w:t>
      </w:r>
      <w:r>
        <w:rPr>
          <w:color w:val="231F20"/>
          <w:w w:val="105"/>
        </w:rPr>
        <w:t>origine westfaliana</w:t>
      </w:r>
      <w:r>
        <w:rPr>
          <w:color w:val="231F20"/>
          <w:w w:val="105"/>
          <w:position w:val="7"/>
          <w:sz w:val="12"/>
        </w:rPr>
        <w:t>15</w:t>
      </w:r>
      <w:r>
        <w:rPr>
          <w:color w:val="231F20"/>
          <w:w w:val="105"/>
        </w:rPr>
        <w:t>.</w:t>
      </w:r>
      <w:r>
        <w:rPr>
          <w:color w:val="231F20"/>
          <w:spacing w:val="-16"/>
          <w:w w:val="105"/>
        </w:rPr>
        <w:t> </w:t>
      </w:r>
      <w:r>
        <w:rPr>
          <w:color w:val="231F20"/>
          <w:w w:val="105"/>
        </w:rPr>
        <w:t>Comunque,</w:t>
      </w:r>
      <w:r>
        <w:rPr>
          <w:color w:val="231F20"/>
          <w:spacing w:val="-16"/>
          <w:w w:val="105"/>
        </w:rPr>
        <w:t> </w:t>
      </w:r>
      <w:r>
        <w:rPr>
          <w:color w:val="231F20"/>
          <w:w w:val="105"/>
        </w:rPr>
        <w:t>bisogna</w:t>
      </w:r>
      <w:r>
        <w:rPr>
          <w:color w:val="231F20"/>
          <w:spacing w:val="-16"/>
          <w:w w:val="105"/>
        </w:rPr>
        <w:t> </w:t>
      </w:r>
      <w:r>
        <w:rPr>
          <w:color w:val="231F20"/>
          <w:w w:val="105"/>
        </w:rPr>
        <w:t>aggiungere</w:t>
      </w:r>
      <w:r>
        <w:rPr>
          <w:color w:val="231F20"/>
          <w:spacing w:val="-16"/>
          <w:w w:val="105"/>
        </w:rPr>
        <w:t> </w:t>
      </w:r>
      <w:r>
        <w:rPr>
          <w:color w:val="231F20"/>
          <w:w w:val="105"/>
        </w:rPr>
        <w:t>che</w:t>
      </w:r>
      <w:r>
        <w:rPr>
          <w:color w:val="231F20"/>
          <w:spacing w:val="-16"/>
          <w:w w:val="105"/>
        </w:rPr>
        <w:t> </w:t>
      </w:r>
      <w:r>
        <w:rPr>
          <w:color w:val="231F20"/>
          <w:w w:val="105"/>
        </w:rPr>
        <w:t>Agamben</w:t>
      </w:r>
      <w:r>
        <w:rPr>
          <w:color w:val="231F20"/>
          <w:spacing w:val="-16"/>
          <w:w w:val="105"/>
        </w:rPr>
        <w:t> </w:t>
      </w:r>
      <w:r>
        <w:rPr>
          <w:color w:val="231F20"/>
          <w:w w:val="105"/>
        </w:rPr>
        <w:t>recupera</w:t>
      </w:r>
      <w:r>
        <w:rPr>
          <w:color w:val="231F20"/>
          <w:spacing w:val="-17"/>
          <w:w w:val="105"/>
        </w:rPr>
        <w:t> </w:t>
      </w:r>
      <w:r>
        <w:rPr>
          <w:rFonts w:ascii="Arial" w:hAnsi="Arial"/>
          <w:i/>
          <w:color w:val="231F20"/>
          <w:w w:val="105"/>
        </w:rPr>
        <w:t>in </w:t>
      </w:r>
      <w:r>
        <w:rPr>
          <w:rFonts w:ascii="Arial" w:hAnsi="Arial"/>
          <w:i/>
          <w:color w:val="231F20"/>
          <w:w w:val="105"/>
        </w:rPr>
        <w:t>un certo modo </w:t>
      </w:r>
      <w:r>
        <w:rPr>
          <w:color w:val="231F20"/>
          <w:w w:val="105"/>
        </w:rPr>
        <w:t>la polemica “non dichiarata” e a mezza via tra filosofia</w:t>
      </w:r>
      <w:r>
        <w:rPr>
          <w:color w:val="231F20"/>
          <w:spacing w:val="-37"/>
          <w:w w:val="105"/>
        </w:rPr>
        <w:t> </w:t>
      </w:r>
      <w:r>
        <w:rPr>
          <w:color w:val="231F20"/>
          <w:w w:val="105"/>
        </w:rPr>
        <w:t>e teologia</w:t>
      </w:r>
      <w:r>
        <w:rPr>
          <w:color w:val="231F20"/>
          <w:spacing w:val="-22"/>
          <w:w w:val="105"/>
        </w:rPr>
        <w:t> </w:t>
      </w:r>
      <w:r>
        <w:rPr>
          <w:color w:val="231F20"/>
          <w:w w:val="105"/>
        </w:rPr>
        <w:t>política,</w:t>
      </w:r>
      <w:r>
        <w:rPr>
          <w:color w:val="231F20"/>
          <w:spacing w:val="-22"/>
          <w:w w:val="105"/>
        </w:rPr>
        <w:t> </w:t>
      </w:r>
      <w:r>
        <w:rPr>
          <w:color w:val="231F20"/>
          <w:w w:val="105"/>
        </w:rPr>
        <w:t>tra</w:t>
      </w:r>
      <w:r>
        <w:rPr>
          <w:color w:val="231F20"/>
          <w:spacing w:val="-22"/>
          <w:w w:val="105"/>
        </w:rPr>
        <w:t> </w:t>
      </w:r>
      <w:r>
        <w:rPr>
          <w:color w:val="231F20"/>
          <w:w w:val="105"/>
        </w:rPr>
        <w:t>Carl</w:t>
      </w:r>
      <w:r>
        <w:rPr>
          <w:color w:val="231F20"/>
          <w:spacing w:val="-22"/>
          <w:w w:val="105"/>
        </w:rPr>
        <w:t> </w:t>
      </w:r>
      <w:r>
        <w:rPr>
          <w:color w:val="231F20"/>
          <w:w w:val="105"/>
        </w:rPr>
        <w:t>Schmitt</w:t>
      </w:r>
      <w:r>
        <w:rPr>
          <w:color w:val="231F20"/>
          <w:spacing w:val="-22"/>
          <w:w w:val="105"/>
        </w:rPr>
        <w:t> </w:t>
      </w:r>
      <w:r>
        <w:rPr>
          <w:color w:val="231F20"/>
          <w:w w:val="105"/>
        </w:rPr>
        <w:t>(decisione)</w:t>
      </w:r>
      <w:r>
        <w:rPr>
          <w:color w:val="231F20"/>
          <w:spacing w:val="-22"/>
          <w:w w:val="105"/>
        </w:rPr>
        <w:t> </w:t>
      </w:r>
      <w:r>
        <w:rPr>
          <w:color w:val="231F20"/>
          <w:w w:val="105"/>
        </w:rPr>
        <w:t>e</w:t>
      </w:r>
      <w:r>
        <w:rPr>
          <w:color w:val="231F20"/>
          <w:spacing w:val="-22"/>
          <w:w w:val="105"/>
        </w:rPr>
        <w:t> </w:t>
      </w:r>
      <w:r>
        <w:rPr>
          <w:color w:val="231F20"/>
          <w:w w:val="105"/>
        </w:rPr>
        <w:t>Walter</w:t>
      </w:r>
      <w:r>
        <w:rPr>
          <w:color w:val="231F20"/>
          <w:spacing w:val="-22"/>
          <w:w w:val="105"/>
        </w:rPr>
        <w:t> </w:t>
      </w:r>
      <w:r>
        <w:rPr>
          <w:color w:val="231F20"/>
          <w:w w:val="105"/>
        </w:rPr>
        <w:t>Benjamin</w:t>
      </w:r>
      <w:r>
        <w:rPr>
          <w:color w:val="231F20"/>
          <w:spacing w:val="-22"/>
          <w:w w:val="105"/>
        </w:rPr>
        <w:t> </w:t>
      </w:r>
      <w:r>
        <w:rPr>
          <w:color w:val="231F20"/>
          <w:w w:val="105"/>
        </w:rPr>
        <w:t>(violenza pura)</w:t>
      </w:r>
      <w:r>
        <w:rPr>
          <w:color w:val="231F20"/>
          <w:spacing w:val="-39"/>
          <w:w w:val="105"/>
        </w:rPr>
        <w:t> </w:t>
      </w:r>
      <w:r>
        <w:rPr>
          <w:color w:val="231F20"/>
          <w:w w:val="105"/>
        </w:rPr>
        <w:t>negli</w:t>
      </w:r>
      <w:r>
        <w:rPr>
          <w:color w:val="231F20"/>
          <w:spacing w:val="-39"/>
          <w:w w:val="105"/>
        </w:rPr>
        <w:t> </w:t>
      </w:r>
      <w:r>
        <w:rPr>
          <w:color w:val="231F20"/>
          <w:w w:val="105"/>
        </w:rPr>
        <w:t>anni</w:t>
      </w:r>
      <w:r>
        <w:rPr>
          <w:color w:val="231F20"/>
          <w:spacing w:val="-39"/>
          <w:w w:val="105"/>
        </w:rPr>
        <w:t> </w:t>
      </w:r>
      <w:r>
        <w:rPr>
          <w:color w:val="231F20"/>
          <w:w w:val="105"/>
        </w:rPr>
        <w:t>venti</w:t>
      </w:r>
      <w:r>
        <w:rPr>
          <w:color w:val="231F20"/>
          <w:spacing w:val="-39"/>
          <w:w w:val="105"/>
        </w:rPr>
        <w:t> </w:t>
      </w:r>
      <w:r>
        <w:rPr>
          <w:color w:val="231F20"/>
          <w:w w:val="105"/>
        </w:rPr>
        <w:t>del</w:t>
      </w:r>
      <w:r>
        <w:rPr>
          <w:color w:val="231F20"/>
          <w:spacing w:val="-39"/>
          <w:w w:val="105"/>
        </w:rPr>
        <w:t> </w:t>
      </w:r>
      <w:r>
        <w:rPr>
          <w:color w:val="231F20"/>
          <w:w w:val="105"/>
        </w:rPr>
        <w:t>secolo</w:t>
      </w:r>
      <w:r>
        <w:rPr>
          <w:color w:val="231F20"/>
          <w:spacing w:val="-39"/>
          <w:w w:val="105"/>
        </w:rPr>
        <w:t> </w:t>
      </w:r>
      <w:r>
        <w:rPr>
          <w:color w:val="231F20"/>
          <w:w w:val="105"/>
        </w:rPr>
        <w:t>scorso</w:t>
      </w:r>
      <w:r>
        <w:rPr>
          <w:color w:val="231F20"/>
          <w:spacing w:val="-39"/>
          <w:w w:val="105"/>
        </w:rPr>
        <w:t> </w:t>
      </w:r>
      <w:r>
        <w:rPr>
          <w:color w:val="231F20"/>
          <w:w w:val="105"/>
        </w:rPr>
        <w:t>attorno</w:t>
      </w:r>
      <w:r>
        <w:rPr>
          <w:color w:val="231F20"/>
          <w:spacing w:val="-39"/>
          <w:w w:val="105"/>
        </w:rPr>
        <w:t> </w:t>
      </w:r>
      <w:r>
        <w:rPr>
          <w:color w:val="231F20"/>
          <w:w w:val="105"/>
        </w:rPr>
        <w:t>al’eccezione</w:t>
      </w:r>
      <w:r>
        <w:rPr>
          <w:color w:val="231F20"/>
          <w:spacing w:val="-39"/>
          <w:w w:val="105"/>
        </w:rPr>
        <w:t> </w:t>
      </w:r>
      <w:r>
        <w:rPr>
          <w:color w:val="231F20"/>
          <w:w w:val="105"/>
        </w:rPr>
        <w:t>e</w:t>
      </w:r>
      <w:r>
        <w:rPr>
          <w:color w:val="231F20"/>
          <w:spacing w:val="-39"/>
          <w:w w:val="105"/>
        </w:rPr>
        <w:t> </w:t>
      </w:r>
      <w:r>
        <w:rPr>
          <w:color w:val="231F20"/>
          <w:w w:val="105"/>
        </w:rPr>
        <w:t>i</w:t>
      </w:r>
      <w:r>
        <w:rPr>
          <w:color w:val="231F20"/>
          <w:spacing w:val="-39"/>
          <w:w w:val="105"/>
        </w:rPr>
        <w:t> </w:t>
      </w:r>
      <w:r>
        <w:rPr>
          <w:color w:val="231F20"/>
          <w:w w:val="105"/>
        </w:rPr>
        <w:t>suoi</w:t>
      </w:r>
      <w:r>
        <w:rPr>
          <w:color w:val="231F20"/>
          <w:spacing w:val="-39"/>
          <w:w w:val="105"/>
        </w:rPr>
        <w:t> </w:t>
      </w:r>
      <w:r>
        <w:rPr>
          <w:color w:val="231F20"/>
          <w:w w:val="105"/>
        </w:rPr>
        <w:t>rovesci, per</w:t>
      </w:r>
      <w:r>
        <w:rPr>
          <w:color w:val="231F20"/>
          <w:spacing w:val="-21"/>
          <w:w w:val="105"/>
        </w:rPr>
        <w:t> </w:t>
      </w:r>
      <w:r>
        <w:rPr>
          <w:color w:val="231F20"/>
          <w:w w:val="105"/>
        </w:rPr>
        <w:t>dopo</w:t>
      </w:r>
      <w:r>
        <w:rPr>
          <w:color w:val="231F20"/>
          <w:spacing w:val="-21"/>
          <w:w w:val="105"/>
        </w:rPr>
        <w:t> </w:t>
      </w:r>
      <w:r>
        <w:rPr>
          <w:color w:val="231F20"/>
          <w:w w:val="105"/>
        </w:rPr>
        <w:t>muoversi</w:t>
      </w:r>
      <w:r>
        <w:rPr>
          <w:color w:val="231F20"/>
          <w:spacing w:val="-21"/>
          <w:w w:val="105"/>
        </w:rPr>
        <w:t> </w:t>
      </w:r>
      <w:r>
        <w:rPr>
          <w:color w:val="231F20"/>
          <w:w w:val="105"/>
        </w:rPr>
        <w:t>in</w:t>
      </w:r>
      <w:r>
        <w:rPr>
          <w:color w:val="231F20"/>
          <w:spacing w:val="-21"/>
          <w:w w:val="105"/>
        </w:rPr>
        <w:t> </w:t>
      </w:r>
      <w:r>
        <w:rPr>
          <w:color w:val="231F20"/>
          <w:w w:val="105"/>
        </w:rPr>
        <w:t>modo</w:t>
      </w:r>
      <w:r>
        <w:rPr>
          <w:color w:val="231F20"/>
          <w:spacing w:val="-21"/>
          <w:w w:val="105"/>
        </w:rPr>
        <w:t> </w:t>
      </w:r>
      <w:r>
        <w:rPr>
          <w:color w:val="231F20"/>
          <w:w w:val="105"/>
        </w:rPr>
        <w:t>chiaro</w:t>
      </w:r>
      <w:r>
        <w:rPr>
          <w:color w:val="231F20"/>
          <w:spacing w:val="-21"/>
          <w:w w:val="105"/>
        </w:rPr>
        <w:t> </w:t>
      </w:r>
      <w:r>
        <w:rPr>
          <w:color w:val="231F20"/>
          <w:w w:val="105"/>
        </w:rPr>
        <w:t>verso</w:t>
      </w:r>
      <w:r>
        <w:rPr>
          <w:color w:val="231F20"/>
          <w:spacing w:val="-21"/>
          <w:w w:val="105"/>
        </w:rPr>
        <w:t> </w:t>
      </w:r>
      <w:r>
        <w:rPr>
          <w:color w:val="231F20"/>
          <w:w w:val="105"/>
        </w:rPr>
        <w:t>il</w:t>
      </w:r>
      <w:r>
        <w:rPr>
          <w:color w:val="231F20"/>
          <w:spacing w:val="-21"/>
          <w:w w:val="105"/>
        </w:rPr>
        <w:t> </w:t>
      </w:r>
      <w:r>
        <w:rPr>
          <w:color w:val="231F20"/>
          <w:w w:val="105"/>
        </w:rPr>
        <w:t>campo</w:t>
      </w:r>
      <w:r>
        <w:rPr>
          <w:color w:val="231F20"/>
          <w:spacing w:val="-21"/>
          <w:w w:val="105"/>
        </w:rPr>
        <w:t> </w:t>
      </w:r>
      <w:r>
        <w:rPr>
          <w:color w:val="231F20"/>
          <w:w w:val="105"/>
        </w:rPr>
        <w:t>della</w:t>
      </w:r>
      <w:r>
        <w:rPr>
          <w:color w:val="231F20"/>
          <w:spacing w:val="-21"/>
          <w:w w:val="105"/>
        </w:rPr>
        <w:t> </w:t>
      </w:r>
      <w:r>
        <w:rPr>
          <w:color w:val="231F20"/>
          <w:w w:val="105"/>
        </w:rPr>
        <w:t>politica.</w:t>
      </w:r>
      <w:r>
        <w:rPr>
          <w:color w:val="231F20"/>
          <w:spacing w:val="-21"/>
          <w:w w:val="105"/>
        </w:rPr>
        <w:t> </w:t>
      </w:r>
      <w:r>
        <w:rPr>
          <w:color w:val="231F20"/>
          <w:w w:val="105"/>
        </w:rPr>
        <w:t>Ma</w:t>
      </w:r>
      <w:r>
        <w:rPr>
          <w:color w:val="231F20"/>
          <w:spacing w:val="-21"/>
          <w:w w:val="105"/>
        </w:rPr>
        <w:t> </w:t>
      </w:r>
      <w:r>
        <w:rPr>
          <w:color w:val="231F20"/>
          <w:w w:val="105"/>
        </w:rPr>
        <w:t>anche la</w:t>
      </w:r>
      <w:r>
        <w:rPr>
          <w:color w:val="231F20"/>
          <w:spacing w:val="-13"/>
          <w:w w:val="105"/>
        </w:rPr>
        <w:t> </w:t>
      </w:r>
      <w:r>
        <w:rPr>
          <w:color w:val="231F20"/>
          <w:w w:val="105"/>
        </w:rPr>
        <w:t>pubblicazione</w:t>
      </w:r>
      <w:r>
        <w:rPr>
          <w:color w:val="231F20"/>
          <w:spacing w:val="-13"/>
          <w:w w:val="105"/>
        </w:rPr>
        <w:t> </w:t>
      </w:r>
      <w:r>
        <w:rPr>
          <w:color w:val="231F20"/>
          <w:w w:val="105"/>
        </w:rPr>
        <w:t>del</w:t>
      </w:r>
      <w:r>
        <w:rPr>
          <w:color w:val="231F20"/>
          <w:spacing w:val="-13"/>
          <w:w w:val="105"/>
        </w:rPr>
        <w:t> </w:t>
      </w:r>
      <w:r>
        <w:rPr>
          <w:color w:val="231F20"/>
          <w:w w:val="105"/>
        </w:rPr>
        <w:t>suo</w:t>
      </w:r>
      <w:r>
        <w:rPr>
          <w:color w:val="231F20"/>
          <w:spacing w:val="-13"/>
          <w:w w:val="105"/>
        </w:rPr>
        <w:t> </w:t>
      </w:r>
      <w:r>
        <w:rPr>
          <w:color w:val="231F20"/>
          <w:w w:val="105"/>
        </w:rPr>
        <w:t>libro</w:t>
      </w:r>
      <w:r>
        <w:rPr>
          <w:color w:val="231F20"/>
          <w:spacing w:val="-13"/>
          <w:w w:val="105"/>
        </w:rPr>
        <w:t> </w:t>
      </w:r>
      <w:r>
        <w:rPr>
          <w:color w:val="231F20"/>
          <w:w w:val="105"/>
        </w:rPr>
        <w:t>(2003)</w:t>
      </w:r>
      <w:r>
        <w:rPr>
          <w:color w:val="231F20"/>
          <w:spacing w:val="-13"/>
          <w:w w:val="105"/>
        </w:rPr>
        <w:t> </w:t>
      </w:r>
      <w:r>
        <w:rPr>
          <w:color w:val="231F20"/>
          <w:w w:val="105"/>
        </w:rPr>
        <w:t>coincise</w:t>
      </w:r>
      <w:r>
        <w:rPr>
          <w:color w:val="231F20"/>
          <w:spacing w:val="-13"/>
          <w:w w:val="105"/>
        </w:rPr>
        <w:t> </w:t>
      </w:r>
      <w:r>
        <w:rPr>
          <w:color w:val="231F20"/>
          <w:w w:val="105"/>
        </w:rPr>
        <w:t>col</w:t>
      </w:r>
      <w:r>
        <w:rPr>
          <w:color w:val="231F20"/>
          <w:spacing w:val="-13"/>
          <w:w w:val="105"/>
        </w:rPr>
        <w:t> </w:t>
      </w:r>
      <w:r>
        <w:rPr>
          <w:color w:val="231F20"/>
          <w:w w:val="105"/>
        </w:rPr>
        <w:t>momento</w:t>
      </w:r>
      <w:r>
        <w:rPr>
          <w:color w:val="231F20"/>
          <w:spacing w:val="-13"/>
          <w:w w:val="105"/>
        </w:rPr>
        <w:t> </w:t>
      </w:r>
      <w:r>
        <w:rPr>
          <w:color w:val="231F20"/>
          <w:w w:val="105"/>
        </w:rPr>
        <w:t>storico</w:t>
      </w:r>
      <w:r>
        <w:rPr>
          <w:color w:val="231F20"/>
          <w:spacing w:val="-13"/>
          <w:w w:val="105"/>
        </w:rPr>
        <w:t> </w:t>
      </w:r>
      <w:r>
        <w:rPr>
          <w:color w:val="231F20"/>
          <w:w w:val="105"/>
        </w:rPr>
        <w:t>dove</w:t>
      </w:r>
      <w:r>
        <w:rPr>
          <w:color w:val="231F20"/>
          <w:spacing w:val="-13"/>
          <w:w w:val="105"/>
        </w:rPr>
        <w:t> </w:t>
      </w:r>
      <w:r>
        <w:rPr>
          <w:color w:val="231F20"/>
          <w:w w:val="105"/>
        </w:rPr>
        <w:t>i dibattiti</w:t>
      </w:r>
      <w:r>
        <w:rPr>
          <w:color w:val="231F20"/>
          <w:spacing w:val="-14"/>
          <w:w w:val="105"/>
        </w:rPr>
        <w:t> </w:t>
      </w:r>
      <w:r>
        <w:rPr>
          <w:color w:val="231F20"/>
          <w:w w:val="105"/>
        </w:rPr>
        <w:t>di</w:t>
      </w:r>
      <w:r>
        <w:rPr>
          <w:color w:val="231F20"/>
          <w:spacing w:val="-14"/>
          <w:w w:val="105"/>
        </w:rPr>
        <w:t> </w:t>
      </w:r>
      <w:r>
        <w:rPr>
          <w:color w:val="231F20"/>
          <w:w w:val="105"/>
        </w:rPr>
        <w:t>filosofia</w:t>
      </w:r>
      <w:r>
        <w:rPr>
          <w:color w:val="231F20"/>
          <w:spacing w:val="-14"/>
          <w:w w:val="105"/>
        </w:rPr>
        <w:t> </w:t>
      </w:r>
      <w:r>
        <w:rPr>
          <w:color w:val="231F20"/>
          <w:w w:val="105"/>
        </w:rPr>
        <w:t>e</w:t>
      </w:r>
      <w:r>
        <w:rPr>
          <w:color w:val="231F20"/>
          <w:spacing w:val="-14"/>
          <w:w w:val="105"/>
        </w:rPr>
        <w:t> </w:t>
      </w:r>
      <w:r>
        <w:rPr>
          <w:color w:val="231F20"/>
          <w:w w:val="105"/>
        </w:rPr>
        <w:t>teorie</w:t>
      </w:r>
      <w:r>
        <w:rPr>
          <w:color w:val="231F20"/>
          <w:spacing w:val="-14"/>
          <w:w w:val="105"/>
        </w:rPr>
        <w:t> </w:t>
      </w:r>
      <w:r>
        <w:rPr>
          <w:color w:val="231F20"/>
          <w:w w:val="105"/>
        </w:rPr>
        <w:t>politiche</w:t>
      </w:r>
      <w:r>
        <w:rPr>
          <w:color w:val="231F20"/>
          <w:spacing w:val="-14"/>
          <w:w w:val="105"/>
        </w:rPr>
        <w:t> </w:t>
      </w:r>
      <w:r>
        <w:rPr>
          <w:color w:val="231F20"/>
          <w:w w:val="105"/>
        </w:rPr>
        <w:t>indicavano</w:t>
      </w:r>
      <w:r>
        <w:rPr>
          <w:color w:val="231F20"/>
          <w:spacing w:val="-14"/>
          <w:w w:val="105"/>
        </w:rPr>
        <w:t> </w:t>
      </w:r>
      <w:r>
        <w:rPr>
          <w:color w:val="231F20"/>
          <w:w w:val="105"/>
        </w:rPr>
        <w:t>le</w:t>
      </w:r>
      <w:r>
        <w:rPr>
          <w:color w:val="231F20"/>
          <w:spacing w:val="-14"/>
          <w:w w:val="105"/>
        </w:rPr>
        <w:t> </w:t>
      </w:r>
      <w:r>
        <w:rPr>
          <w:color w:val="231F20"/>
          <w:w w:val="105"/>
        </w:rPr>
        <w:t>conseguenze</w:t>
      </w:r>
      <w:r>
        <w:rPr>
          <w:color w:val="231F20"/>
          <w:spacing w:val="-14"/>
          <w:w w:val="105"/>
        </w:rPr>
        <w:t> </w:t>
      </w:r>
      <w:r>
        <w:rPr>
          <w:color w:val="231F20"/>
          <w:w w:val="105"/>
        </w:rPr>
        <w:t>perverse della nuova onda d’ampliamento degli ambienti della sicurezza globale </w:t>
      </w:r>
      <w:r>
        <w:rPr>
          <w:color w:val="231F20"/>
          <w:spacing w:val="-3"/>
          <w:w w:val="105"/>
        </w:rPr>
        <w:t>posteriori</w:t>
      </w:r>
      <w:r>
        <w:rPr>
          <w:color w:val="231F20"/>
          <w:spacing w:val="-53"/>
          <w:w w:val="105"/>
        </w:rPr>
        <w:t> </w:t>
      </w:r>
      <w:r>
        <w:rPr>
          <w:color w:val="231F20"/>
          <w:spacing w:val="-3"/>
          <w:w w:val="105"/>
        </w:rPr>
        <w:t>all’11</w:t>
      </w:r>
      <w:r>
        <w:rPr>
          <w:color w:val="231F20"/>
          <w:spacing w:val="-53"/>
          <w:w w:val="105"/>
        </w:rPr>
        <w:t> </w:t>
      </w:r>
      <w:r>
        <w:rPr>
          <w:color w:val="231F20"/>
          <w:spacing w:val="-4"/>
          <w:w w:val="105"/>
        </w:rPr>
        <w:t>settembre</w:t>
      </w:r>
      <w:r>
        <w:rPr>
          <w:color w:val="231F20"/>
          <w:spacing w:val="-53"/>
          <w:w w:val="105"/>
        </w:rPr>
        <w:t> </w:t>
      </w:r>
      <w:r>
        <w:rPr>
          <w:color w:val="231F20"/>
          <w:w w:val="105"/>
        </w:rPr>
        <w:t>di</w:t>
      </w:r>
      <w:r>
        <w:rPr>
          <w:color w:val="231F20"/>
          <w:spacing w:val="-53"/>
          <w:w w:val="105"/>
        </w:rPr>
        <w:t> </w:t>
      </w:r>
      <w:r>
        <w:rPr>
          <w:color w:val="231F20"/>
          <w:spacing w:val="-3"/>
          <w:w w:val="105"/>
        </w:rPr>
        <w:t>2001</w:t>
      </w:r>
      <w:r>
        <w:rPr>
          <w:color w:val="231F20"/>
          <w:spacing w:val="-53"/>
          <w:w w:val="105"/>
        </w:rPr>
        <w:t> </w:t>
      </w:r>
      <w:r>
        <w:rPr>
          <w:color w:val="231F20"/>
          <w:spacing w:val="-3"/>
          <w:w w:val="105"/>
        </w:rPr>
        <w:t>(</w:t>
      </w:r>
      <w:r>
        <w:rPr>
          <w:rFonts w:ascii="Arial" w:hAnsi="Arial"/>
          <w:i/>
          <w:color w:val="231F20"/>
          <w:spacing w:val="-3"/>
          <w:w w:val="105"/>
        </w:rPr>
        <w:t>11–S</w:t>
      </w:r>
      <w:r>
        <w:rPr>
          <w:color w:val="231F20"/>
          <w:spacing w:val="-3"/>
          <w:w w:val="105"/>
        </w:rPr>
        <w:t>),</w:t>
      </w:r>
      <w:r>
        <w:rPr>
          <w:color w:val="231F20"/>
          <w:spacing w:val="-53"/>
          <w:w w:val="105"/>
        </w:rPr>
        <w:t> </w:t>
      </w:r>
      <w:r>
        <w:rPr>
          <w:color w:val="231F20"/>
          <w:w w:val="105"/>
        </w:rPr>
        <w:t>a</w:t>
      </w:r>
      <w:r>
        <w:rPr>
          <w:color w:val="231F20"/>
          <w:spacing w:val="-53"/>
          <w:w w:val="105"/>
        </w:rPr>
        <w:t> </w:t>
      </w:r>
      <w:r>
        <w:rPr>
          <w:color w:val="231F20"/>
          <w:spacing w:val="-4"/>
          <w:w w:val="105"/>
        </w:rPr>
        <w:t>partire</w:t>
      </w:r>
      <w:r>
        <w:rPr>
          <w:color w:val="231F20"/>
          <w:spacing w:val="-53"/>
          <w:w w:val="105"/>
        </w:rPr>
        <w:t> </w:t>
      </w:r>
      <w:r>
        <w:rPr>
          <w:color w:val="231F20"/>
          <w:spacing w:val="-3"/>
          <w:w w:val="105"/>
        </w:rPr>
        <w:t>dell’aumento</w:t>
      </w:r>
      <w:r>
        <w:rPr>
          <w:color w:val="231F20"/>
          <w:spacing w:val="-53"/>
          <w:w w:val="105"/>
        </w:rPr>
        <w:t> </w:t>
      </w:r>
      <w:r>
        <w:rPr>
          <w:color w:val="231F20"/>
          <w:w w:val="105"/>
        </w:rPr>
        <w:t>di</w:t>
      </w:r>
      <w:r>
        <w:rPr>
          <w:color w:val="231F20"/>
          <w:spacing w:val="-53"/>
          <w:w w:val="105"/>
        </w:rPr>
        <w:t> </w:t>
      </w:r>
      <w:r>
        <w:rPr>
          <w:color w:val="231F20"/>
          <w:spacing w:val="-3"/>
          <w:w w:val="105"/>
        </w:rPr>
        <w:t>detenzioni </w:t>
      </w:r>
      <w:r>
        <w:rPr>
          <w:color w:val="231F20"/>
          <w:w w:val="105"/>
        </w:rPr>
        <w:t>all’ingresso</w:t>
      </w:r>
      <w:r>
        <w:rPr>
          <w:color w:val="231F20"/>
          <w:spacing w:val="-34"/>
          <w:w w:val="105"/>
        </w:rPr>
        <w:t> </w:t>
      </w:r>
      <w:r>
        <w:rPr>
          <w:color w:val="231F20"/>
          <w:w w:val="105"/>
        </w:rPr>
        <w:t>negli</w:t>
      </w:r>
      <w:r>
        <w:rPr>
          <w:color w:val="231F20"/>
          <w:spacing w:val="-34"/>
          <w:w w:val="105"/>
        </w:rPr>
        <w:t> </w:t>
      </w:r>
      <w:r>
        <w:rPr>
          <w:color w:val="231F20"/>
          <w:w w:val="105"/>
        </w:rPr>
        <w:t>Stati</w:t>
      </w:r>
      <w:r>
        <w:rPr>
          <w:color w:val="231F20"/>
          <w:spacing w:val="-34"/>
          <w:w w:val="105"/>
        </w:rPr>
        <w:t> </w:t>
      </w:r>
      <w:r>
        <w:rPr>
          <w:color w:val="231F20"/>
          <w:w w:val="105"/>
        </w:rPr>
        <w:t>Uniti</w:t>
      </w:r>
      <w:r>
        <w:rPr>
          <w:color w:val="231F20"/>
          <w:spacing w:val="-34"/>
          <w:w w:val="105"/>
        </w:rPr>
        <w:t> </w:t>
      </w:r>
      <w:r>
        <w:rPr>
          <w:color w:val="231F20"/>
          <w:w w:val="105"/>
        </w:rPr>
        <w:t>sulla</w:t>
      </w:r>
      <w:r>
        <w:rPr>
          <w:color w:val="231F20"/>
          <w:spacing w:val="-34"/>
          <w:w w:val="105"/>
        </w:rPr>
        <w:t> </w:t>
      </w:r>
      <w:r>
        <w:rPr>
          <w:color w:val="231F20"/>
          <w:w w:val="105"/>
        </w:rPr>
        <w:t>base</w:t>
      </w:r>
      <w:r>
        <w:rPr>
          <w:color w:val="231F20"/>
          <w:spacing w:val="-34"/>
          <w:w w:val="105"/>
        </w:rPr>
        <w:t> </w:t>
      </w:r>
      <w:r>
        <w:rPr>
          <w:color w:val="231F20"/>
          <w:w w:val="105"/>
        </w:rPr>
        <w:t>della</w:t>
      </w:r>
      <w:r>
        <w:rPr>
          <w:color w:val="231F20"/>
          <w:spacing w:val="-34"/>
          <w:w w:val="105"/>
        </w:rPr>
        <w:t> </w:t>
      </w:r>
      <w:r>
        <w:rPr>
          <w:color w:val="231F20"/>
          <w:w w:val="105"/>
        </w:rPr>
        <w:t>chiamata</w:t>
      </w:r>
      <w:r>
        <w:rPr>
          <w:color w:val="231F20"/>
          <w:spacing w:val="-34"/>
          <w:w w:val="105"/>
        </w:rPr>
        <w:t> </w:t>
      </w:r>
      <w:r>
        <w:rPr>
          <w:color w:val="231F20"/>
          <w:w w:val="105"/>
        </w:rPr>
        <w:t>“Legge</w:t>
      </w:r>
      <w:r>
        <w:rPr>
          <w:color w:val="231F20"/>
          <w:spacing w:val="-34"/>
          <w:w w:val="105"/>
        </w:rPr>
        <w:t> </w:t>
      </w:r>
      <w:r>
        <w:rPr>
          <w:color w:val="231F20"/>
          <w:w w:val="105"/>
        </w:rPr>
        <w:t>Patriottica”,</w:t>
      </w:r>
      <w:r>
        <w:rPr>
          <w:color w:val="231F20"/>
          <w:spacing w:val="-34"/>
          <w:w w:val="105"/>
        </w:rPr>
        <w:t> </w:t>
      </w:r>
      <w:r>
        <w:rPr>
          <w:color w:val="231F20"/>
          <w:w w:val="105"/>
        </w:rPr>
        <w:t>e nella</w:t>
      </w:r>
      <w:r>
        <w:rPr>
          <w:color w:val="231F20"/>
          <w:spacing w:val="-36"/>
          <w:w w:val="105"/>
        </w:rPr>
        <w:t> </w:t>
      </w:r>
      <w:r>
        <w:rPr>
          <w:color w:val="231F20"/>
          <w:w w:val="105"/>
        </w:rPr>
        <w:t>guerra</w:t>
      </w:r>
      <w:r>
        <w:rPr>
          <w:color w:val="231F20"/>
          <w:spacing w:val="-36"/>
          <w:w w:val="105"/>
        </w:rPr>
        <w:t> </w:t>
      </w:r>
      <w:r>
        <w:rPr>
          <w:color w:val="231F20"/>
          <w:w w:val="105"/>
        </w:rPr>
        <w:t>globale</w:t>
      </w:r>
      <w:r>
        <w:rPr>
          <w:color w:val="231F20"/>
          <w:spacing w:val="-36"/>
          <w:w w:val="105"/>
        </w:rPr>
        <w:t> </w:t>
      </w:r>
      <w:r>
        <w:rPr>
          <w:color w:val="231F20"/>
          <w:w w:val="105"/>
        </w:rPr>
        <w:t>contro</w:t>
      </w:r>
      <w:r>
        <w:rPr>
          <w:color w:val="231F20"/>
          <w:spacing w:val="-36"/>
          <w:w w:val="105"/>
        </w:rPr>
        <w:t> </w:t>
      </w:r>
      <w:r>
        <w:rPr>
          <w:color w:val="231F20"/>
          <w:w w:val="105"/>
        </w:rPr>
        <w:t>il</w:t>
      </w:r>
      <w:r>
        <w:rPr>
          <w:color w:val="231F20"/>
          <w:spacing w:val="-36"/>
          <w:w w:val="105"/>
        </w:rPr>
        <w:t> </w:t>
      </w:r>
      <w:r>
        <w:rPr>
          <w:color w:val="231F20"/>
          <w:w w:val="105"/>
        </w:rPr>
        <w:t>terrorismo</w:t>
      </w:r>
      <w:r>
        <w:rPr>
          <w:color w:val="231F20"/>
          <w:w w:val="105"/>
          <w:position w:val="7"/>
          <w:sz w:val="12"/>
        </w:rPr>
        <w:t>16</w:t>
      </w:r>
      <w:r>
        <w:rPr>
          <w:color w:val="231F20"/>
          <w:w w:val="105"/>
        </w:rPr>
        <w:t>.</w:t>
      </w:r>
    </w:p>
    <w:p>
      <w:pPr>
        <w:pStyle w:val="BodyText"/>
        <w:spacing w:line="247" w:lineRule="auto" w:before="1"/>
        <w:ind w:left="103" w:right="114" w:firstLine="566"/>
        <w:jc w:val="both"/>
      </w:pPr>
      <w:r>
        <w:rPr>
          <w:color w:val="231F20"/>
          <w:w w:val="105"/>
        </w:rPr>
        <w:t>Da</w:t>
      </w:r>
      <w:r>
        <w:rPr>
          <w:color w:val="231F20"/>
          <w:spacing w:val="-37"/>
          <w:w w:val="105"/>
        </w:rPr>
        <w:t> </w:t>
      </w:r>
      <w:r>
        <w:rPr>
          <w:color w:val="231F20"/>
          <w:w w:val="105"/>
        </w:rPr>
        <w:t>parte</w:t>
      </w:r>
      <w:r>
        <w:rPr>
          <w:color w:val="231F20"/>
          <w:spacing w:val="-37"/>
          <w:w w:val="105"/>
        </w:rPr>
        <w:t> </w:t>
      </w:r>
      <w:r>
        <w:rPr>
          <w:color w:val="231F20"/>
          <w:w w:val="105"/>
        </w:rPr>
        <w:t>sua,</w:t>
      </w:r>
      <w:r>
        <w:rPr>
          <w:color w:val="231F20"/>
          <w:spacing w:val="-37"/>
          <w:w w:val="105"/>
        </w:rPr>
        <w:t> </w:t>
      </w:r>
      <w:r>
        <w:rPr>
          <w:color w:val="231F20"/>
          <w:w w:val="105"/>
        </w:rPr>
        <w:t>il</w:t>
      </w:r>
      <w:r>
        <w:rPr>
          <w:color w:val="231F20"/>
          <w:spacing w:val="-37"/>
          <w:w w:val="105"/>
        </w:rPr>
        <w:t> </w:t>
      </w:r>
      <w:r>
        <w:rPr>
          <w:color w:val="231F20"/>
          <w:w w:val="105"/>
        </w:rPr>
        <w:t>terrore</w:t>
      </w:r>
      <w:r>
        <w:rPr>
          <w:color w:val="231F20"/>
          <w:spacing w:val="-37"/>
          <w:w w:val="105"/>
        </w:rPr>
        <w:t> </w:t>
      </w:r>
      <w:r>
        <w:rPr>
          <w:color w:val="231F20"/>
          <w:w w:val="105"/>
        </w:rPr>
        <w:t>e</w:t>
      </w:r>
      <w:r>
        <w:rPr>
          <w:color w:val="231F20"/>
          <w:spacing w:val="-37"/>
          <w:w w:val="105"/>
        </w:rPr>
        <w:t> </w:t>
      </w:r>
      <w:r>
        <w:rPr>
          <w:color w:val="231F20"/>
          <w:w w:val="105"/>
        </w:rPr>
        <w:t>il</w:t>
      </w:r>
      <w:r>
        <w:rPr>
          <w:color w:val="231F20"/>
          <w:spacing w:val="-37"/>
          <w:w w:val="105"/>
        </w:rPr>
        <w:t> </w:t>
      </w:r>
      <w:r>
        <w:rPr>
          <w:color w:val="231F20"/>
          <w:w w:val="105"/>
        </w:rPr>
        <w:t>terrorismo</w:t>
      </w:r>
      <w:r>
        <w:rPr>
          <w:color w:val="231F20"/>
          <w:spacing w:val="-37"/>
          <w:w w:val="105"/>
        </w:rPr>
        <w:t> </w:t>
      </w:r>
      <w:r>
        <w:rPr>
          <w:color w:val="231F20"/>
          <w:w w:val="105"/>
        </w:rPr>
        <w:t>sono</w:t>
      </w:r>
      <w:r>
        <w:rPr>
          <w:color w:val="231F20"/>
          <w:spacing w:val="-37"/>
          <w:w w:val="105"/>
        </w:rPr>
        <w:t> </w:t>
      </w:r>
      <w:r>
        <w:rPr>
          <w:color w:val="231F20"/>
          <w:w w:val="105"/>
        </w:rPr>
        <w:t>possibili</w:t>
      </w:r>
      <w:r>
        <w:rPr>
          <w:color w:val="231F20"/>
          <w:spacing w:val="-37"/>
          <w:w w:val="105"/>
        </w:rPr>
        <w:t> </w:t>
      </w:r>
      <w:r>
        <w:rPr>
          <w:color w:val="231F20"/>
          <w:w w:val="105"/>
        </w:rPr>
        <w:t>quando</w:t>
      </w:r>
      <w:r>
        <w:rPr>
          <w:color w:val="231F20"/>
          <w:spacing w:val="-37"/>
          <w:w w:val="105"/>
        </w:rPr>
        <w:t> </w:t>
      </w:r>
      <w:r>
        <w:rPr>
          <w:color w:val="231F20"/>
          <w:w w:val="105"/>
        </w:rPr>
        <w:t>le</w:t>
      </w:r>
      <w:r>
        <w:rPr>
          <w:color w:val="231F20"/>
          <w:spacing w:val="-37"/>
          <w:w w:val="105"/>
        </w:rPr>
        <w:t> </w:t>
      </w:r>
      <w:r>
        <w:rPr>
          <w:color w:val="231F20"/>
          <w:w w:val="105"/>
        </w:rPr>
        <w:t>nazioni o</w:t>
      </w:r>
      <w:r>
        <w:rPr>
          <w:color w:val="231F20"/>
          <w:spacing w:val="-25"/>
          <w:w w:val="105"/>
        </w:rPr>
        <w:t> </w:t>
      </w:r>
      <w:r>
        <w:rPr>
          <w:color w:val="231F20"/>
          <w:w w:val="105"/>
        </w:rPr>
        <w:t>i</w:t>
      </w:r>
      <w:r>
        <w:rPr>
          <w:color w:val="231F20"/>
          <w:spacing w:val="-25"/>
          <w:w w:val="105"/>
        </w:rPr>
        <w:t> </w:t>
      </w:r>
      <w:r>
        <w:rPr>
          <w:color w:val="231F20"/>
          <w:w w:val="105"/>
        </w:rPr>
        <w:t>gruppi</w:t>
      </w:r>
      <w:r>
        <w:rPr>
          <w:color w:val="231F20"/>
          <w:spacing w:val="-25"/>
          <w:w w:val="105"/>
        </w:rPr>
        <w:t> </w:t>
      </w:r>
      <w:r>
        <w:rPr>
          <w:color w:val="231F20"/>
          <w:w w:val="105"/>
        </w:rPr>
        <w:t>in</w:t>
      </w:r>
      <w:r>
        <w:rPr>
          <w:color w:val="231F20"/>
          <w:spacing w:val="-25"/>
          <w:w w:val="105"/>
        </w:rPr>
        <w:t> </w:t>
      </w:r>
      <w:r>
        <w:rPr>
          <w:color w:val="231F20"/>
          <w:w w:val="105"/>
        </w:rPr>
        <w:t>conflitto</w:t>
      </w:r>
      <w:r>
        <w:rPr>
          <w:color w:val="231F20"/>
          <w:spacing w:val="-25"/>
          <w:w w:val="105"/>
        </w:rPr>
        <w:t> </w:t>
      </w:r>
      <w:r>
        <w:rPr>
          <w:color w:val="231F20"/>
          <w:w w:val="105"/>
        </w:rPr>
        <w:t>oscillano</w:t>
      </w:r>
      <w:r>
        <w:rPr>
          <w:color w:val="231F20"/>
          <w:spacing w:val="-25"/>
          <w:w w:val="105"/>
        </w:rPr>
        <w:t> </w:t>
      </w:r>
      <w:r>
        <w:rPr>
          <w:color w:val="231F20"/>
          <w:w w:val="105"/>
        </w:rPr>
        <w:t>tra</w:t>
      </w:r>
      <w:r>
        <w:rPr>
          <w:color w:val="231F20"/>
          <w:spacing w:val="-25"/>
          <w:w w:val="105"/>
        </w:rPr>
        <w:t> </w:t>
      </w:r>
      <w:r>
        <w:rPr>
          <w:color w:val="231F20"/>
          <w:w w:val="105"/>
        </w:rPr>
        <w:t>uno</w:t>
      </w:r>
      <w:r>
        <w:rPr>
          <w:color w:val="231F20"/>
          <w:spacing w:val="-25"/>
          <w:w w:val="105"/>
        </w:rPr>
        <w:t> </w:t>
      </w:r>
      <w:r>
        <w:rPr>
          <w:color w:val="231F20"/>
          <w:w w:val="105"/>
        </w:rPr>
        <w:t>Stato</w:t>
      </w:r>
      <w:r>
        <w:rPr>
          <w:color w:val="231F20"/>
          <w:spacing w:val="-25"/>
          <w:w w:val="105"/>
        </w:rPr>
        <w:t> </w:t>
      </w:r>
      <w:r>
        <w:rPr>
          <w:color w:val="231F20"/>
          <w:w w:val="105"/>
        </w:rPr>
        <w:t>legale</w:t>
      </w:r>
      <w:r>
        <w:rPr>
          <w:color w:val="231F20"/>
          <w:spacing w:val="-25"/>
          <w:w w:val="105"/>
        </w:rPr>
        <w:t> </w:t>
      </w:r>
      <w:r>
        <w:rPr>
          <w:color w:val="231F20"/>
          <w:w w:val="105"/>
        </w:rPr>
        <w:t>e</w:t>
      </w:r>
      <w:r>
        <w:rPr>
          <w:color w:val="231F20"/>
          <w:spacing w:val="-25"/>
          <w:w w:val="105"/>
        </w:rPr>
        <w:t> </w:t>
      </w:r>
      <w:r>
        <w:rPr>
          <w:color w:val="231F20"/>
          <w:w w:val="105"/>
        </w:rPr>
        <w:t>uno</w:t>
      </w:r>
      <w:r>
        <w:rPr>
          <w:color w:val="231F20"/>
          <w:spacing w:val="-25"/>
          <w:w w:val="105"/>
        </w:rPr>
        <w:t> </w:t>
      </w:r>
      <w:r>
        <w:rPr>
          <w:color w:val="231F20"/>
          <w:w w:val="105"/>
        </w:rPr>
        <w:t>Stato</w:t>
      </w:r>
      <w:r>
        <w:rPr>
          <w:color w:val="231F20"/>
          <w:spacing w:val="-25"/>
          <w:w w:val="105"/>
        </w:rPr>
        <w:t> </w:t>
      </w:r>
      <w:r>
        <w:rPr>
          <w:color w:val="231F20"/>
          <w:w w:val="105"/>
        </w:rPr>
        <w:t>illegale.</w:t>
      </w:r>
      <w:r>
        <w:rPr>
          <w:color w:val="231F20"/>
          <w:spacing w:val="-25"/>
          <w:w w:val="105"/>
        </w:rPr>
        <w:t> </w:t>
      </w:r>
      <w:r>
        <w:rPr>
          <w:color w:val="231F20"/>
          <w:w w:val="105"/>
        </w:rPr>
        <w:t>Ma anche</w:t>
      </w:r>
      <w:r>
        <w:rPr>
          <w:color w:val="231F20"/>
          <w:spacing w:val="-27"/>
          <w:w w:val="105"/>
        </w:rPr>
        <w:t> </w:t>
      </w:r>
      <w:r>
        <w:rPr>
          <w:color w:val="231F20"/>
          <w:w w:val="105"/>
        </w:rPr>
        <w:t>sono</w:t>
      </w:r>
      <w:r>
        <w:rPr>
          <w:color w:val="231F20"/>
          <w:spacing w:val="-27"/>
          <w:w w:val="105"/>
        </w:rPr>
        <w:t> </w:t>
      </w:r>
      <w:r>
        <w:rPr>
          <w:color w:val="231F20"/>
          <w:w w:val="105"/>
        </w:rPr>
        <w:t>possibili,</w:t>
      </w:r>
      <w:r>
        <w:rPr>
          <w:color w:val="231F20"/>
          <w:spacing w:val="-27"/>
          <w:w w:val="105"/>
        </w:rPr>
        <w:t> </w:t>
      </w:r>
      <w:r>
        <w:rPr>
          <w:color w:val="231F20"/>
          <w:w w:val="105"/>
        </w:rPr>
        <w:t>nel</w:t>
      </w:r>
      <w:r>
        <w:rPr>
          <w:color w:val="231F20"/>
          <w:spacing w:val="-27"/>
          <w:w w:val="105"/>
        </w:rPr>
        <w:t> </w:t>
      </w:r>
      <w:r>
        <w:rPr>
          <w:color w:val="231F20"/>
          <w:w w:val="105"/>
        </w:rPr>
        <w:t>caso</w:t>
      </w:r>
      <w:r>
        <w:rPr>
          <w:color w:val="231F20"/>
          <w:spacing w:val="-27"/>
          <w:w w:val="105"/>
        </w:rPr>
        <w:t> </w:t>
      </w:r>
      <w:r>
        <w:rPr>
          <w:color w:val="231F20"/>
          <w:w w:val="105"/>
        </w:rPr>
        <w:t>estremo,</w:t>
      </w:r>
      <w:r>
        <w:rPr>
          <w:color w:val="231F20"/>
          <w:spacing w:val="-27"/>
          <w:w w:val="105"/>
        </w:rPr>
        <w:t> </w:t>
      </w:r>
      <w:r>
        <w:rPr>
          <w:color w:val="231F20"/>
          <w:w w:val="105"/>
        </w:rPr>
        <w:t>quando</w:t>
      </w:r>
      <w:r>
        <w:rPr>
          <w:color w:val="231F20"/>
          <w:spacing w:val="-27"/>
          <w:w w:val="105"/>
        </w:rPr>
        <w:t> </w:t>
      </w:r>
      <w:r>
        <w:rPr>
          <w:color w:val="231F20"/>
          <w:w w:val="105"/>
        </w:rPr>
        <w:t>agiscono</w:t>
      </w:r>
      <w:r>
        <w:rPr>
          <w:color w:val="231F20"/>
          <w:spacing w:val="-27"/>
          <w:w w:val="105"/>
        </w:rPr>
        <w:t> </w:t>
      </w:r>
      <w:r>
        <w:rPr>
          <w:color w:val="231F20"/>
          <w:w w:val="105"/>
        </w:rPr>
        <w:t>sulla</w:t>
      </w:r>
      <w:r>
        <w:rPr>
          <w:color w:val="231F20"/>
          <w:spacing w:val="-27"/>
          <w:w w:val="105"/>
        </w:rPr>
        <w:t> </w:t>
      </w:r>
      <w:r>
        <w:rPr>
          <w:color w:val="231F20"/>
          <w:w w:val="105"/>
        </w:rPr>
        <w:t>base</w:t>
      </w:r>
      <w:r>
        <w:rPr>
          <w:color w:val="231F20"/>
          <w:spacing w:val="-27"/>
          <w:w w:val="105"/>
        </w:rPr>
        <w:t> </w:t>
      </w:r>
      <w:r>
        <w:rPr>
          <w:color w:val="231F20"/>
          <w:w w:val="105"/>
        </w:rPr>
        <w:t>di</w:t>
      </w:r>
      <w:r>
        <w:rPr>
          <w:color w:val="231F20"/>
          <w:spacing w:val="-27"/>
          <w:w w:val="105"/>
        </w:rPr>
        <w:t> </w:t>
      </w:r>
      <w:r>
        <w:rPr>
          <w:color w:val="231F20"/>
          <w:w w:val="105"/>
        </w:rPr>
        <w:t>una lógica</w:t>
      </w:r>
      <w:r>
        <w:rPr>
          <w:color w:val="231F20"/>
          <w:spacing w:val="-24"/>
          <w:w w:val="105"/>
        </w:rPr>
        <w:t> </w:t>
      </w:r>
      <w:r>
        <w:rPr>
          <w:color w:val="231F20"/>
          <w:w w:val="105"/>
        </w:rPr>
        <w:t>dello</w:t>
      </w:r>
      <w:r>
        <w:rPr>
          <w:color w:val="231F20"/>
          <w:spacing w:val="-24"/>
          <w:w w:val="105"/>
        </w:rPr>
        <w:t> </w:t>
      </w:r>
      <w:r>
        <w:rPr>
          <w:color w:val="231F20"/>
          <w:w w:val="105"/>
        </w:rPr>
        <w:t>Stato</w:t>
      </w:r>
      <w:r>
        <w:rPr>
          <w:color w:val="231F20"/>
          <w:spacing w:val="-24"/>
          <w:w w:val="105"/>
        </w:rPr>
        <w:t> </w:t>
      </w:r>
      <w:r>
        <w:rPr>
          <w:color w:val="231F20"/>
          <w:w w:val="105"/>
        </w:rPr>
        <w:t>totale.</w:t>
      </w:r>
      <w:r>
        <w:rPr>
          <w:color w:val="231F20"/>
          <w:spacing w:val="-24"/>
          <w:w w:val="105"/>
        </w:rPr>
        <w:t> </w:t>
      </w:r>
      <w:r>
        <w:rPr>
          <w:color w:val="231F20"/>
          <w:w w:val="105"/>
        </w:rPr>
        <w:t>Nonostante,</w:t>
      </w:r>
      <w:r>
        <w:rPr>
          <w:color w:val="231F20"/>
          <w:spacing w:val="-24"/>
          <w:w w:val="105"/>
        </w:rPr>
        <w:t> </w:t>
      </w:r>
      <w:r>
        <w:rPr>
          <w:color w:val="231F20"/>
          <w:w w:val="105"/>
        </w:rPr>
        <w:t>il</w:t>
      </w:r>
      <w:r>
        <w:rPr>
          <w:color w:val="231F20"/>
          <w:spacing w:val="-24"/>
          <w:w w:val="105"/>
        </w:rPr>
        <w:t> </w:t>
      </w:r>
      <w:r>
        <w:rPr>
          <w:color w:val="231F20"/>
          <w:w w:val="105"/>
        </w:rPr>
        <w:t>terrorismo</w:t>
      </w:r>
      <w:r>
        <w:rPr>
          <w:color w:val="231F20"/>
          <w:spacing w:val="-24"/>
          <w:w w:val="105"/>
        </w:rPr>
        <w:t> </w:t>
      </w:r>
      <w:r>
        <w:rPr>
          <w:color w:val="231F20"/>
          <w:w w:val="105"/>
        </w:rPr>
        <w:t>(interno</w:t>
      </w:r>
      <w:r>
        <w:rPr>
          <w:color w:val="231F20"/>
          <w:spacing w:val="-24"/>
          <w:w w:val="105"/>
        </w:rPr>
        <w:t> </w:t>
      </w:r>
      <w:r>
        <w:rPr>
          <w:color w:val="231F20"/>
          <w:w w:val="105"/>
        </w:rPr>
        <w:t>o</w:t>
      </w:r>
      <w:r>
        <w:rPr>
          <w:color w:val="231F20"/>
          <w:spacing w:val="-24"/>
          <w:w w:val="105"/>
        </w:rPr>
        <w:t> </w:t>
      </w:r>
      <w:r>
        <w:rPr>
          <w:color w:val="231F20"/>
          <w:w w:val="105"/>
        </w:rPr>
        <w:t>esterno)</w:t>
      </w:r>
      <w:r>
        <w:rPr>
          <w:color w:val="231F20"/>
          <w:spacing w:val="-24"/>
          <w:w w:val="105"/>
        </w:rPr>
        <w:t> </w:t>
      </w:r>
      <w:r>
        <w:rPr>
          <w:color w:val="231F20"/>
          <w:w w:val="105"/>
        </w:rPr>
        <w:t>che</w:t>
      </w:r>
    </w:p>
    <w:p>
      <w:pPr>
        <w:pStyle w:val="BodyText"/>
        <w:spacing w:before="2"/>
        <w:rPr>
          <w:sz w:val="20"/>
        </w:rPr>
      </w:pPr>
      <w:r>
        <w:rPr/>
        <w:pict>
          <v:line style="position:absolute;mso-position-horizontal-relative:page;mso-position-vertical-relative:paragraph;z-index:13408;mso-wrap-distance-left:0;mso-wrap-distance-right:0" from="65.1968pt,14.306985pt" to="178.5828pt,14.306985pt" stroked="true" strokeweight=".3pt" strokecolor="#231f20">
            <w10:wrap type="topAndBottom"/>
          </v:line>
        </w:pict>
      </w:r>
    </w:p>
    <w:p>
      <w:pPr>
        <w:spacing w:line="204" w:lineRule="exact" w:before="9"/>
        <w:ind w:left="103" w:right="115" w:firstLine="0"/>
        <w:jc w:val="both"/>
        <w:rPr>
          <w:rFonts w:ascii="Calibri" w:hAnsi="Calibri"/>
          <w:sz w:val="17"/>
        </w:rPr>
      </w:pPr>
      <w:r>
        <w:rPr>
          <w:rFonts w:ascii="Calibri" w:hAnsi="Calibri"/>
          <w:color w:val="231F20"/>
          <w:position w:val="6"/>
          <w:sz w:val="10"/>
        </w:rPr>
        <w:t>11 </w:t>
      </w:r>
      <w:r>
        <w:rPr>
          <w:rFonts w:ascii="Calibri" w:hAnsi="Calibri"/>
          <w:color w:val="231F20"/>
          <w:sz w:val="17"/>
        </w:rPr>
        <w:t>N. Bobbio, “Introduzione”, E. Fraenkel, </w:t>
      </w:r>
      <w:r>
        <w:rPr>
          <w:rFonts w:ascii="Calibri" w:hAnsi="Calibri"/>
          <w:i/>
          <w:color w:val="231F20"/>
          <w:sz w:val="17"/>
        </w:rPr>
        <w:t>Il doppio stato. Contributo alla teoria della dittatura</w:t>
      </w:r>
      <w:r>
        <w:rPr>
          <w:rFonts w:ascii="Calibri" w:hAnsi="Calibri"/>
          <w:color w:val="231F20"/>
          <w:sz w:val="17"/>
        </w:rPr>
        <w:t>, Turín, Einaudi, 1983, pp. </w:t>
      </w:r>
      <w:r>
        <w:rPr>
          <w:rFonts w:ascii="Calibri" w:hAnsi="Calibri"/>
          <w:color w:val="231F20"/>
          <w:sz w:val="14"/>
        </w:rPr>
        <w:t>IX–XXIV</w:t>
      </w:r>
      <w:r>
        <w:rPr>
          <w:rFonts w:ascii="Calibri" w:hAnsi="Calibri"/>
          <w:color w:val="231F20"/>
          <w:sz w:val="17"/>
        </w:rPr>
        <w:t>.</w:t>
      </w:r>
    </w:p>
    <w:p>
      <w:pPr>
        <w:spacing w:line="206" w:lineRule="exact" w:before="1"/>
        <w:ind w:left="103" w:right="0" w:firstLine="0"/>
        <w:jc w:val="both"/>
        <w:rPr>
          <w:rFonts w:ascii="Calibri" w:hAnsi="Calibri"/>
          <w:sz w:val="17"/>
        </w:rPr>
      </w:pPr>
      <w:r>
        <w:rPr>
          <w:rFonts w:ascii="Calibri" w:hAnsi="Calibri"/>
          <w:color w:val="231F20"/>
          <w:position w:val="6"/>
          <w:sz w:val="10"/>
        </w:rPr>
        <w:t>12  </w:t>
      </w:r>
      <w:r>
        <w:rPr>
          <w:rFonts w:ascii="Calibri" w:hAnsi="Calibri"/>
          <w:color w:val="231F20"/>
          <w:sz w:val="17"/>
        </w:rPr>
        <w:t>Bobbio, “Introduzione”, p. </w:t>
      </w:r>
      <w:r>
        <w:rPr>
          <w:rFonts w:ascii="Calibri" w:hAnsi="Calibri"/>
          <w:color w:val="231F20"/>
          <w:sz w:val="14"/>
        </w:rPr>
        <w:t>XII</w:t>
      </w:r>
      <w:r>
        <w:rPr>
          <w:rFonts w:ascii="Calibri" w:hAnsi="Calibri"/>
          <w:color w:val="231F20"/>
          <w:sz w:val="17"/>
        </w:rPr>
        <w:t>.</w:t>
      </w:r>
    </w:p>
    <w:p>
      <w:pPr>
        <w:spacing w:line="204" w:lineRule="exact" w:before="0"/>
        <w:ind w:left="103" w:right="0" w:firstLine="0"/>
        <w:jc w:val="both"/>
        <w:rPr>
          <w:rFonts w:ascii="Calibri" w:hAnsi="Calibri"/>
          <w:sz w:val="17"/>
        </w:rPr>
      </w:pPr>
      <w:r>
        <w:rPr>
          <w:rFonts w:ascii="Calibri" w:hAnsi="Calibri"/>
          <w:color w:val="231F20"/>
          <w:position w:val="6"/>
          <w:sz w:val="10"/>
        </w:rPr>
        <w:t>13 </w:t>
      </w:r>
      <w:r>
        <w:rPr>
          <w:rFonts w:ascii="Calibri" w:hAnsi="Calibri"/>
          <w:color w:val="231F20"/>
          <w:sz w:val="17"/>
        </w:rPr>
        <w:t>J. Derrida, </w:t>
      </w:r>
      <w:r>
        <w:rPr>
          <w:rFonts w:ascii="Calibri" w:hAnsi="Calibri"/>
          <w:i/>
          <w:color w:val="231F20"/>
          <w:sz w:val="17"/>
        </w:rPr>
        <w:t>Fuerza de ley. El fundamento místico de la autoridad</w:t>
      </w:r>
      <w:r>
        <w:rPr>
          <w:rFonts w:ascii="Calibri" w:hAnsi="Calibri"/>
          <w:color w:val="231F20"/>
          <w:sz w:val="17"/>
        </w:rPr>
        <w:t>, Madrid, Tecnos, 1997.</w:t>
      </w:r>
    </w:p>
    <w:p>
      <w:pPr>
        <w:spacing w:line="204" w:lineRule="exact" w:before="0"/>
        <w:ind w:left="103" w:right="0" w:firstLine="0"/>
        <w:jc w:val="both"/>
        <w:rPr>
          <w:rFonts w:ascii="Calibri" w:hAnsi="Calibri"/>
          <w:sz w:val="17"/>
        </w:rPr>
      </w:pPr>
      <w:r>
        <w:rPr>
          <w:rFonts w:ascii="Calibri" w:hAnsi="Calibri"/>
          <w:color w:val="231F20"/>
          <w:position w:val="6"/>
          <w:sz w:val="10"/>
        </w:rPr>
        <w:t>14  </w:t>
      </w:r>
      <w:r>
        <w:rPr>
          <w:rFonts w:ascii="Calibri" w:hAnsi="Calibri"/>
          <w:color w:val="231F20"/>
          <w:sz w:val="17"/>
        </w:rPr>
        <w:t>G. Agamben, </w:t>
      </w:r>
      <w:r>
        <w:rPr>
          <w:rFonts w:ascii="Calibri" w:hAnsi="Calibri"/>
          <w:i/>
          <w:color w:val="231F20"/>
          <w:sz w:val="17"/>
        </w:rPr>
        <w:t>Stato di eccezione, Homo sacer II, I</w:t>
      </w:r>
      <w:r>
        <w:rPr>
          <w:rFonts w:ascii="Calibri" w:hAnsi="Calibri"/>
          <w:color w:val="231F20"/>
          <w:sz w:val="17"/>
        </w:rPr>
        <w:t>, Turín, Bollati Boringhieri.</w:t>
      </w:r>
    </w:p>
    <w:p>
      <w:pPr>
        <w:spacing w:line="235" w:lineRule="auto" w:before="1"/>
        <w:ind w:left="103" w:right="115" w:firstLine="0"/>
        <w:jc w:val="both"/>
        <w:rPr>
          <w:rFonts w:ascii="Calibri" w:hAnsi="Calibri"/>
          <w:sz w:val="17"/>
        </w:rPr>
      </w:pPr>
      <w:r>
        <w:rPr>
          <w:rFonts w:ascii="Calibri" w:hAnsi="Calibri"/>
          <w:color w:val="231F20"/>
          <w:position w:val="6"/>
          <w:sz w:val="10"/>
        </w:rPr>
        <w:t>15 </w:t>
      </w:r>
      <w:r>
        <w:rPr>
          <w:rFonts w:ascii="Calibri" w:hAnsi="Calibri"/>
          <w:color w:val="231F20"/>
          <w:sz w:val="17"/>
        </w:rPr>
        <w:t>S. Humphreys, “Nomarchy: On the Rule of Law and Authority in Giorgio Agamben and Aristotle”, </w:t>
      </w:r>
      <w:r>
        <w:rPr>
          <w:rFonts w:ascii="Calibri" w:hAnsi="Calibri"/>
          <w:i/>
          <w:color w:val="231F20"/>
          <w:sz w:val="17"/>
        </w:rPr>
        <w:t>Cambridge Review of International Affairs</w:t>
      </w:r>
      <w:r>
        <w:rPr>
          <w:rFonts w:ascii="Calibri" w:hAnsi="Calibri"/>
          <w:color w:val="231F20"/>
          <w:sz w:val="17"/>
        </w:rPr>
        <w:t>, vol.19, núm. 2, 2006, pp. 331–351; S. Humphreys, “Legalizing Lawlessness: On Giorgio Agamben’s </w:t>
      </w:r>
      <w:r>
        <w:rPr>
          <w:rFonts w:ascii="Calibri" w:hAnsi="Calibri"/>
          <w:i/>
          <w:color w:val="231F20"/>
          <w:sz w:val="17"/>
        </w:rPr>
        <w:t>State of Exception</w:t>
      </w:r>
      <w:r>
        <w:rPr>
          <w:rFonts w:ascii="Calibri" w:hAnsi="Calibri"/>
          <w:color w:val="231F20"/>
          <w:sz w:val="17"/>
        </w:rPr>
        <w:t>”, </w:t>
      </w:r>
      <w:r>
        <w:rPr>
          <w:rFonts w:ascii="Calibri" w:hAnsi="Calibri"/>
          <w:i/>
          <w:color w:val="231F20"/>
          <w:sz w:val="17"/>
        </w:rPr>
        <w:t>The European Journal of </w:t>
      </w:r>
      <w:r>
        <w:rPr>
          <w:rFonts w:ascii="Calibri" w:hAnsi="Calibri"/>
          <w:i/>
          <w:color w:val="231F20"/>
          <w:sz w:val="17"/>
        </w:rPr>
        <w:t>International Law</w:t>
      </w:r>
      <w:r>
        <w:rPr>
          <w:rFonts w:ascii="Calibri" w:hAnsi="Calibri"/>
          <w:color w:val="231F20"/>
          <w:sz w:val="17"/>
        </w:rPr>
        <w:t>, 17, 3, 2006, pp. 677–687.</w:t>
      </w:r>
    </w:p>
    <w:p>
      <w:pPr>
        <w:spacing w:line="235" w:lineRule="auto" w:before="0"/>
        <w:ind w:left="103" w:right="115" w:firstLine="0"/>
        <w:jc w:val="both"/>
        <w:rPr>
          <w:rFonts w:ascii="Calibri" w:hAnsi="Calibri"/>
          <w:sz w:val="17"/>
        </w:rPr>
      </w:pPr>
      <w:r>
        <w:rPr>
          <w:rFonts w:ascii="Calibri" w:hAnsi="Calibri"/>
          <w:color w:val="231F20"/>
          <w:w w:val="105"/>
          <w:position w:val="6"/>
          <w:sz w:val="10"/>
        </w:rPr>
        <w:t>16 </w:t>
      </w:r>
      <w:r>
        <w:rPr>
          <w:rFonts w:ascii="Calibri" w:hAnsi="Calibri"/>
          <w:color w:val="231F20"/>
          <w:w w:val="105"/>
          <w:sz w:val="17"/>
        </w:rPr>
        <w:t>I. Covarrubias, “Giorgio Agamben y el despliegue político de la ley. En busca de una ciencia</w:t>
      </w:r>
      <w:r>
        <w:rPr>
          <w:rFonts w:ascii="Calibri" w:hAnsi="Calibri"/>
          <w:color w:val="231F20"/>
          <w:spacing w:val="-18"/>
          <w:w w:val="105"/>
          <w:sz w:val="17"/>
        </w:rPr>
        <w:t> </w:t>
      </w:r>
      <w:r>
        <w:rPr>
          <w:rFonts w:ascii="Calibri" w:hAnsi="Calibri"/>
          <w:color w:val="231F20"/>
          <w:w w:val="105"/>
          <w:sz w:val="17"/>
        </w:rPr>
        <w:t>sin nombre”, G. Ávalos Tenorio (coord), </w:t>
      </w:r>
      <w:r>
        <w:rPr>
          <w:rFonts w:ascii="Calibri" w:hAnsi="Calibri"/>
          <w:i/>
          <w:color w:val="231F20"/>
          <w:w w:val="105"/>
          <w:sz w:val="17"/>
        </w:rPr>
        <w:t>Pensamiento político contemporáneo</w:t>
      </w:r>
      <w:r>
        <w:rPr>
          <w:rFonts w:ascii="Calibri" w:hAnsi="Calibri"/>
          <w:color w:val="231F20"/>
          <w:w w:val="105"/>
          <w:sz w:val="17"/>
        </w:rPr>
        <w:t>, México,</w:t>
      </w:r>
      <w:r>
        <w:rPr>
          <w:rFonts w:ascii="Calibri" w:hAnsi="Calibri"/>
          <w:color w:val="231F20"/>
          <w:spacing w:val="-17"/>
          <w:w w:val="105"/>
          <w:sz w:val="17"/>
        </w:rPr>
        <w:t> </w:t>
      </w:r>
      <w:r>
        <w:rPr>
          <w:rFonts w:ascii="Calibri" w:hAnsi="Calibri"/>
          <w:color w:val="231F20"/>
          <w:w w:val="105"/>
          <w:sz w:val="17"/>
        </w:rPr>
        <w:t>Universidad </w:t>
      </w:r>
      <w:r>
        <w:rPr>
          <w:rFonts w:ascii="Calibri" w:hAnsi="Calibri"/>
          <w:color w:val="231F20"/>
          <w:sz w:val="17"/>
        </w:rPr>
        <w:t>Autónoma Metropolitana–Xochimilco, 2014, pp.</w:t>
      </w:r>
      <w:r>
        <w:rPr>
          <w:rFonts w:ascii="Calibri" w:hAnsi="Calibri"/>
          <w:color w:val="231F20"/>
          <w:spacing w:val="-9"/>
          <w:sz w:val="17"/>
        </w:rPr>
        <w:t> </w:t>
      </w:r>
      <w:r>
        <w:rPr>
          <w:rFonts w:ascii="Calibri" w:hAnsi="Calibri"/>
          <w:color w:val="231F20"/>
          <w:sz w:val="17"/>
        </w:rPr>
        <w:t>213–214.</w:t>
      </w:r>
    </w:p>
    <w:p>
      <w:pPr>
        <w:pStyle w:val="BodyText"/>
        <w:rPr>
          <w:rFonts w:ascii="Calibri"/>
          <w:sz w:val="20"/>
        </w:rPr>
      </w:pPr>
    </w:p>
    <w:p>
      <w:pPr>
        <w:pStyle w:val="BodyText"/>
        <w:spacing w:before="10"/>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1968"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114</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98" w:lineRule="exact" w:before="52"/>
        <w:ind w:left="0" w:right="0" w:firstLine="0"/>
        <w:jc w:val="right"/>
        <w:rPr>
          <w:rFonts w:ascii="Lucida Sans Unicode" w:hAnsi="Lucida Sans Unicode"/>
          <w:sz w:val="14"/>
        </w:rPr>
      </w:pPr>
      <w:r>
        <w:rPr/>
        <w:pict>
          <v:group style="position:absolute;margin-left:383.821014pt;margin-top:-25.479271pt;width:8.65pt;height:41pt;mso-position-horizontal-relative:page;mso-position-vertical-relative:paragraph;z-index:1348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“L’ESTERNO È SEMPRE DENTRO”. TENSIONI E TRASFORMAZIONI RECENTI NELLO SPAZIO POLITICO</w:t>
      </w:r>
    </w:p>
    <w:p>
      <w:pPr>
        <w:spacing w:line="198" w:lineRule="exact" w:before="0"/>
        <w:ind w:left="0" w:right="0" w:firstLine="0"/>
        <w:jc w:val="right"/>
        <w:rPr>
          <w:rFonts w:ascii="Lucida Sans Unicode"/>
          <w:sz w:val="14"/>
        </w:rPr>
      </w:pPr>
      <w:r>
        <w:rPr>
          <w:rFonts w:ascii="Lucida Sans Unicode"/>
          <w:color w:val="6D6E71"/>
          <w:w w:val="90"/>
          <w:sz w:val="14"/>
        </w:rPr>
        <w:t>DELLO STATO E LA DEMOCRAZIA</w:t>
      </w:r>
    </w:p>
    <w:p>
      <w:pPr>
        <w:spacing w:before="59"/>
        <w:ind w:left="338" w:right="0" w:firstLine="0"/>
        <w:jc w:val="left"/>
        <w:rPr>
          <w:rFonts w:ascii="Trebuchet MS"/>
          <w:sz w:val="20"/>
        </w:rPr>
      </w:pPr>
      <w:r>
        <w:rPr/>
        <w:br w:type="column"/>
      </w:r>
      <w:r>
        <w:rPr>
          <w:rFonts w:ascii="Trebuchet MS"/>
          <w:color w:val="414042"/>
          <w:w w:val="105"/>
          <w:sz w:val="20"/>
        </w:rPr>
        <w:t>115</w:t>
      </w:r>
    </w:p>
    <w:p>
      <w:pPr>
        <w:spacing w:after="0"/>
        <w:jc w:val="left"/>
        <w:rPr>
          <w:rFonts w:ascii="Trebuchet MS"/>
          <w:sz w:val="20"/>
        </w:rPr>
        <w:sectPr>
          <w:type w:val="continuous"/>
          <w:pgSz w:w="9640" w:h="13890"/>
          <w:pgMar w:top="0" w:bottom="0" w:left="1300" w:right="1180"/>
          <w:cols w:num="2" w:equalWidth="0">
            <w:col w:w="6261" w:space="40"/>
            <w:col w:w="859"/>
          </w:cols>
        </w:sectPr>
      </w:pPr>
    </w:p>
    <w:p>
      <w:pPr>
        <w:pStyle w:val="BodyText"/>
        <w:rPr>
          <w:rFonts w:ascii="Trebuchet MS"/>
          <w:sz w:val="20"/>
        </w:rPr>
      </w:pPr>
    </w:p>
    <w:p>
      <w:pPr>
        <w:pStyle w:val="BodyText"/>
        <w:spacing w:before="2"/>
        <w:rPr>
          <w:rFonts w:ascii="Trebuchet MS"/>
          <w:sz w:val="16"/>
        </w:rPr>
      </w:pPr>
    </w:p>
    <w:p>
      <w:pPr>
        <w:pStyle w:val="BodyText"/>
        <w:spacing w:line="244" w:lineRule="auto" w:before="44"/>
        <w:ind w:left="117" w:right="116"/>
        <w:jc w:val="both"/>
      </w:pPr>
      <w:r>
        <w:rPr>
          <w:color w:val="231F20"/>
          <w:w w:val="105"/>
        </w:rPr>
        <w:t>affetta</w:t>
      </w:r>
      <w:r>
        <w:rPr>
          <w:color w:val="231F20"/>
          <w:spacing w:val="-9"/>
          <w:w w:val="105"/>
        </w:rPr>
        <w:t> </w:t>
      </w:r>
      <w:r>
        <w:rPr>
          <w:color w:val="231F20"/>
          <w:w w:val="105"/>
        </w:rPr>
        <w:t>il</w:t>
      </w:r>
      <w:r>
        <w:rPr>
          <w:color w:val="231F20"/>
          <w:spacing w:val="-9"/>
          <w:w w:val="105"/>
        </w:rPr>
        <w:t> </w:t>
      </w:r>
      <w:r>
        <w:rPr>
          <w:color w:val="231F20"/>
          <w:w w:val="105"/>
        </w:rPr>
        <w:t>cuore</w:t>
      </w:r>
      <w:r>
        <w:rPr>
          <w:color w:val="231F20"/>
          <w:spacing w:val="-9"/>
          <w:w w:val="105"/>
        </w:rPr>
        <w:t> </w:t>
      </w:r>
      <w:r>
        <w:rPr>
          <w:color w:val="231F20"/>
          <w:w w:val="105"/>
        </w:rPr>
        <w:t>delle</w:t>
      </w:r>
      <w:r>
        <w:rPr>
          <w:color w:val="231F20"/>
          <w:spacing w:val="-9"/>
          <w:w w:val="105"/>
        </w:rPr>
        <w:t> </w:t>
      </w:r>
      <w:r>
        <w:rPr>
          <w:color w:val="231F20"/>
          <w:w w:val="105"/>
        </w:rPr>
        <w:t>società</w:t>
      </w:r>
      <w:r>
        <w:rPr>
          <w:color w:val="231F20"/>
          <w:spacing w:val="-9"/>
          <w:w w:val="105"/>
        </w:rPr>
        <w:t> </w:t>
      </w:r>
      <w:r>
        <w:rPr>
          <w:color w:val="231F20"/>
          <w:w w:val="105"/>
        </w:rPr>
        <w:t>democratiche</w:t>
      </w:r>
      <w:r>
        <w:rPr>
          <w:color w:val="231F20"/>
          <w:spacing w:val="-9"/>
          <w:w w:val="105"/>
        </w:rPr>
        <w:t> </w:t>
      </w:r>
      <w:r>
        <w:rPr>
          <w:color w:val="231F20"/>
          <w:w w:val="105"/>
        </w:rPr>
        <w:t>ha</w:t>
      </w:r>
      <w:r>
        <w:rPr>
          <w:color w:val="231F20"/>
          <w:spacing w:val="-9"/>
          <w:w w:val="105"/>
        </w:rPr>
        <w:t> </w:t>
      </w:r>
      <w:r>
        <w:rPr>
          <w:color w:val="231F20"/>
          <w:w w:val="105"/>
        </w:rPr>
        <w:t>a</w:t>
      </w:r>
      <w:r>
        <w:rPr>
          <w:color w:val="231F20"/>
          <w:spacing w:val="-9"/>
          <w:w w:val="105"/>
        </w:rPr>
        <w:t> </w:t>
      </w:r>
      <w:r>
        <w:rPr>
          <w:color w:val="231F20"/>
          <w:w w:val="105"/>
        </w:rPr>
        <w:t>che</w:t>
      </w:r>
      <w:r>
        <w:rPr>
          <w:color w:val="231F20"/>
          <w:spacing w:val="-9"/>
          <w:w w:val="105"/>
        </w:rPr>
        <w:t> </w:t>
      </w:r>
      <w:r>
        <w:rPr>
          <w:color w:val="231F20"/>
          <w:w w:val="105"/>
        </w:rPr>
        <w:t>fare</w:t>
      </w:r>
      <w:r>
        <w:rPr>
          <w:color w:val="231F20"/>
          <w:spacing w:val="-9"/>
          <w:w w:val="105"/>
        </w:rPr>
        <w:t> </w:t>
      </w:r>
      <w:r>
        <w:rPr>
          <w:color w:val="231F20"/>
          <w:w w:val="105"/>
        </w:rPr>
        <w:t>con</w:t>
      </w:r>
      <w:r>
        <w:rPr>
          <w:color w:val="231F20"/>
          <w:spacing w:val="-9"/>
          <w:w w:val="105"/>
        </w:rPr>
        <w:t> </w:t>
      </w:r>
      <w:r>
        <w:rPr>
          <w:color w:val="231F20"/>
          <w:w w:val="105"/>
        </w:rPr>
        <w:t>la</w:t>
      </w:r>
      <w:r>
        <w:rPr>
          <w:color w:val="231F20"/>
          <w:spacing w:val="-9"/>
          <w:w w:val="105"/>
        </w:rPr>
        <w:t> </w:t>
      </w:r>
      <w:r>
        <w:rPr>
          <w:color w:val="231F20"/>
          <w:w w:val="105"/>
        </w:rPr>
        <w:t>dinamica del</w:t>
      </w:r>
      <w:r>
        <w:rPr>
          <w:color w:val="231F20"/>
          <w:spacing w:val="-23"/>
          <w:w w:val="105"/>
        </w:rPr>
        <w:t> </w:t>
      </w:r>
      <w:r>
        <w:rPr>
          <w:rFonts w:ascii="Arial" w:hAnsi="Arial"/>
          <w:i/>
          <w:color w:val="231F20"/>
          <w:w w:val="105"/>
        </w:rPr>
        <w:t>doppio</w:t>
      </w:r>
      <w:r>
        <w:rPr>
          <w:rFonts w:ascii="Arial" w:hAnsi="Arial"/>
          <w:i/>
          <w:color w:val="231F20"/>
          <w:spacing w:val="-16"/>
          <w:w w:val="105"/>
        </w:rPr>
        <w:t> </w:t>
      </w:r>
      <w:r>
        <w:rPr>
          <w:color w:val="231F20"/>
          <w:w w:val="105"/>
        </w:rPr>
        <w:t>Stato</w:t>
      </w:r>
      <w:r>
        <w:rPr>
          <w:color w:val="231F20"/>
          <w:spacing w:val="-24"/>
          <w:w w:val="105"/>
        </w:rPr>
        <w:t> </w:t>
      </w:r>
      <w:r>
        <w:rPr>
          <w:color w:val="231F20"/>
          <w:w w:val="105"/>
        </w:rPr>
        <w:t>(legale</w:t>
      </w:r>
      <w:r>
        <w:rPr>
          <w:color w:val="231F20"/>
          <w:spacing w:val="-24"/>
          <w:w w:val="105"/>
        </w:rPr>
        <w:t> </w:t>
      </w:r>
      <w:r>
        <w:rPr>
          <w:color w:val="231F20"/>
          <w:w w:val="105"/>
        </w:rPr>
        <w:t>e</w:t>
      </w:r>
      <w:r>
        <w:rPr>
          <w:color w:val="231F20"/>
          <w:spacing w:val="-24"/>
          <w:w w:val="105"/>
        </w:rPr>
        <w:t> </w:t>
      </w:r>
      <w:r>
        <w:rPr>
          <w:color w:val="231F20"/>
          <w:w w:val="105"/>
        </w:rPr>
        <w:t>illegale</w:t>
      </w:r>
      <w:r>
        <w:rPr>
          <w:color w:val="231F20"/>
          <w:spacing w:val="-24"/>
          <w:w w:val="105"/>
        </w:rPr>
        <w:t> </w:t>
      </w:r>
      <w:r>
        <w:rPr>
          <w:color w:val="231F20"/>
          <w:w w:val="105"/>
        </w:rPr>
        <w:t>allo</w:t>
      </w:r>
      <w:r>
        <w:rPr>
          <w:color w:val="231F20"/>
          <w:spacing w:val="-24"/>
          <w:w w:val="105"/>
        </w:rPr>
        <w:t> </w:t>
      </w:r>
      <w:r>
        <w:rPr>
          <w:color w:val="231F20"/>
          <w:w w:val="105"/>
        </w:rPr>
        <w:t>stesso</w:t>
      </w:r>
      <w:r>
        <w:rPr>
          <w:color w:val="231F20"/>
          <w:spacing w:val="-24"/>
          <w:w w:val="105"/>
        </w:rPr>
        <w:t> </w:t>
      </w:r>
      <w:r>
        <w:rPr>
          <w:color w:val="231F20"/>
          <w:w w:val="105"/>
        </w:rPr>
        <w:t>tempo)</w:t>
      </w:r>
      <w:r>
        <w:rPr>
          <w:color w:val="231F20"/>
          <w:spacing w:val="-24"/>
          <w:w w:val="105"/>
        </w:rPr>
        <w:t> </w:t>
      </w:r>
      <w:r>
        <w:rPr>
          <w:color w:val="231F20"/>
          <w:w w:val="105"/>
        </w:rPr>
        <w:t>e</w:t>
      </w:r>
      <w:r>
        <w:rPr>
          <w:color w:val="231F20"/>
          <w:spacing w:val="-24"/>
          <w:w w:val="105"/>
        </w:rPr>
        <w:t> </w:t>
      </w:r>
      <w:r>
        <w:rPr>
          <w:color w:val="231F20"/>
          <w:w w:val="105"/>
        </w:rPr>
        <w:t>l’uso</w:t>
      </w:r>
      <w:r>
        <w:rPr>
          <w:color w:val="231F20"/>
          <w:spacing w:val="-24"/>
          <w:w w:val="105"/>
        </w:rPr>
        <w:t> </w:t>
      </w:r>
      <w:r>
        <w:rPr>
          <w:color w:val="231F20"/>
          <w:w w:val="105"/>
        </w:rPr>
        <w:t>proporzionale della</w:t>
      </w:r>
      <w:r>
        <w:rPr>
          <w:color w:val="231F20"/>
          <w:spacing w:val="-22"/>
          <w:w w:val="105"/>
        </w:rPr>
        <w:t> </w:t>
      </w:r>
      <w:r>
        <w:rPr>
          <w:color w:val="231F20"/>
          <w:w w:val="105"/>
        </w:rPr>
        <w:t>forza</w:t>
      </w:r>
      <w:r>
        <w:rPr>
          <w:color w:val="231F20"/>
          <w:spacing w:val="-22"/>
          <w:w w:val="105"/>
        </w:rPr>
        <w:t> </w:t>
      </w:r>
      <w:r>
        <w:rPr>
          <w:color w:val="231F20"/>
          <w:w w:val="105"/>
        </w:rPr>
        <w:t>della</w:t>
      </w:r>
      <w:r>
        <w:rPr>
          <w:color w:val="231F20"/>
          <w:spacing w:val="-22"/>
          <w:w w:val="105"/>
        </w:rPr>
        <w:t> </w:t>
      </w:r>
      <w:r>
        <w:rPr>
          <w:color w:val="231F20"/>
          <w:w w:val="105"/>
        </w:rPr>
        <w:t>duplicità</w:t>
      </w:r>
      <w:r>
        <w:rPr>
          <w:color w:val="231F20"/>
          <w:spacing w:val="-22"/>
          <w:w w:val="105"/>
        </w:rPr>
        <w:t> </w:t>
      </w:r>
      <w:r>
        <w:rPr>
          <w:color w:val="231F20"/>
          <w:w w:val="105"/>
        </w:rPr>
        <w:t>contro</w:t>
      </w:r>
      <w:r>
        <w:rPr>
          <w:color w:val="231F20"/>
          <w:spacing w:val="-22"/>
          <w:w w:val="105"/>
        </w:rPr>
        <w:t> </w:t>
      </w:r>
      <w:r>
        <w:rPr>
          <w:rFonts w:ascii="Arial" w:hAnsi="Arial"/>
          <w:i/>
          <w:color w:val="231F20"/>
          <w:w w:val="105"/>
        </w:rPr>
        <w:t>un’altro</w:t>
      </w:r>
      <w:r>
        <w:rPr>
          <w:rFonts w:ascii="Arial" w:hAnsi="Arial"/>
          <w:i/>
          <w:color w:val="231F20"/>
          <w:spacing w:val="-15"/>
          <w:w w:val="105"/>
        </w:rPr>
        <w:t> </w:t>
      </w:r>
      <w:r>
        <w:rPr>
          <w:rFonts w:ascii="Arial" w:hAnsi="Arial"/>
          <w:i/>
          <w:color w:val="231F20"/>
          <w:w w:val="105"/>
        </w:rPr>
        <w:t>potere</w:t>
      </w:r>
      <w:r>
        <w:rPr>
          <w:color w:val="231F20"/>
          <w:w w:val="105"/>
        </w:rPr>
        <w:t>,</w:t>
      </w:r>
      <w:r>
        <w:rPr>
          <w:color w:val="231F20"/>
          <w:spacing w:val="-22"/>
          <w:w w:val="105"/>
        </w:rPr>
        <w:t> </w:t>
      </w:r>
      <w:r>
        <w:rPr>
          <w:color w:val="231F20"/>
          <w:w w:val="105"/>
        </w:rPr>
        <w:t>uguale</w:t>
      </w:r>
      <w:r>
        <w:rPr>
          <w:color w:val="231F20"/>
          <w:spacing w:val="-22"/>
          <w:w w:val="105"/>
        </w:rPr>
        <w:t> </w:t>
      </w:r>
      <w:r>
        <w:rPr>
          <w:color w:val="231F20"/>
          <w:w w:val="105"/>
        </w:rPr>
        <w:t>o</w:t>
      </w:r>
      <w:r>
        <w:rPr>
          <w:color w:val="231F20"/>
          <w:spacing w:val="-22"/>
          <w:w w:val="105"/>
        </w:rPr>
        <w:t> </w:t>
      </w:r>
      <w:r>
        <w:rPr>
          <w:color w:val="231F20"/>
          <w:w w:val="105"/>
        </w:rPr>
        <w:t>peggiore,</w:t>
      </w:r>
      <w:r>
        <w:rPr>
          <w:color w:val="231F20"/>
          <w:spacing w:val="-22"/>
          <w:w w:val="105"/>
        </w:rPr>
        <w:t> </w:t>
      </w:r>
      <w:r>
        <w:rPr>
          <w:color w:val="231F20"/>
          <w:w w:val="105"/>
        </w:rPr>
        <w:t>come può essere l’azione delle “resistenze” interne allo Stato che ho </w:t>
      </w:r>
      <w:r>
        <w:rPr>
          <w:color w:val="231F20"/>
          <w:spacing w:val="2"/>
          <w:w w:val="105"/>
        </w:rPr>
        <w:t>appena </w:t>
      </w:r>
      <w:r>
        <w:rPr>
          <w:color w:val="231F20"/>
          <w:w w:val="105"/>
        </w:rPr>
        <w:t>menzionato.</w:t>
      </w:r>
      <w:r>
        <w:rPr>
          <w:color w:val="231F20"/>
          <w:spacing w:val="-53"/>
          <w:w w:val="105"/>
        </w:rPr>
        <w:t> </w:t>
      </w:r>
      <w:r>
        <w:rPr>
          <w:color w:val="231F20"/>
          <w:w w:val="105"/>
        </w:rPr>
        <w:t>Per</w:t>
      </w:r>
      <w:r>
        <w:rPr>
          <w:color w:val="231F20"/>
          <w:spacing w:val="-53"/>
          <w:w w:val="105"/>
        </w:rPr>
        <w:t> </w:t>
      </w:r>
      <w:r>
        <w:rPr>
          <w:color w:val="231F20"/>
          <w:w w:val="105"/>
        </w:rPr>
        <w:t>farlo</w:t>
      </w:r>
      <w:r>
        <w:rPr>
          <w:color w:val="231F20"/>
          <w:spacing w:val="-53"/>
          <w:w w:val="105"/>
        </w:rPr>
        <w:t> </w:t>
      </w:r>
      <w:r>
        <w:rPr>
          <w:color w:val="231F20"/>
          <w:w w:val="105"/>
        </w:rPr>
        <w:t>funzionare</w:t>
      </w:r>
      <w:r>
        <w:rPr>
          <w:color w:val="231F20"/>
          <w:spacing w:val="-53"/>
          <w:w w:val="105"/>
        </w:rPr>
        <w:t> </w:t>
      </w:r>
      <w:r>
        <w:rPr>
          <w:color w:val="231F20"/>
          <w:w w:val="105"/>
        </w:rPr>
        <w:t>sotto</w:t>
      </w:r>
      <w:r>
        <w:rPr>
          <w:color w:val="231F20"/>
          <w:spacing w:val="-53"/>
          <w:w w:val="105"/>
        </w:rPr>
        <w:t> </w:t>
      </w:r>
      <w:r>
        <w:rPr>
          <w:color w:val="231F20"/>
          <w:w w:val="105"/>
        </w:rPr>
        <w:t>questa</w:t>
      </w:r>
      <w:r>
        <w:rPr>
          <w:color w:val="231F20"/>
          <w:spacing w:val="-53"/>
          <w:w w:val="105"/>
        </w:rPr>
        <w:t> </w:t>
      </w:r>
      <w:r>
        <w:rPr>
          <w:color w:val="231F20"/>
          <w:w w:val="105"/>
        </w:rPr>
        <w:t>modalità</w:t>
      </w:r>
      <w:r>
        <w:rPr>
          <w:color w:val="231F20"/>
          <w:spacing w:val="-53"/>
          <w:w w:val="105"/>
        </w:rPr>
        <w:t> </w:t>
      </w:r>
      <w:r>
        <w:rPr>
          <w:color w:val="231F20"/>
          <w:w w:val="105"/>
        </w:rPr>
        <w:t>sono</w:t>
      </w:r>
      <w:r>
        <w:rPr>
          <w:color w:val="231F20"/>
          <w:spacing w:val="-53"/>
          <w:w w:val="105"/>
        </w:rPr>
        <w:t> </w:t>
      </w:r>
      <w:r>
        <w:rPr>
          <w:color w:val="231F20"/>
          <w:w w:val="105"/>
        </w:rPr>
        <w:t>necessarie</w:t>
      </w:r>
      <w:r>
        <w:rPr>
          <w:color w:val="231F20"/>
          <w:spacing w:val="-53"/>
          <w:w w:val="105"/>
        </w:rPr>
        <w:t> </w:t>
      </w:r>
      <w:r>
        <w:rPr>
          <w:color w:val="231F20"/>
          <w:w w:val="105"/>
        </w:rPr>
        <w:t>due condizioni.</w:t>
      </w:r>
      <w:r>
        <w:rPr>
          <w:color w:val="231F20"/>
          <w:spacing w:val="-40"/>
          <w:w w:val="105"/>
        </w:rPr>
        <w:t> </w:t>
      </w:r>
      <w:r>
        <w:rPr>
          <w:color w:val="231F20"/>
          <w:w w:val="105"/>
        </w:rPr>
        <w:t>La</w:t>
      </w:r>
      <w:r>
        <w:rPr>
          <w:color w:val="231F20"/>
          <w:spacing w:val="-40"/>
          <w:w w:val="105"/>
        </w:rPr>
        <w:t> </w:t>
      </w:r>
      <w:r>
        <w:rPr>
          <w:color w:val="231F20"/>
          <w:w w:val="105"/>
        </w:rPr>
        <w:t>prima,</w:t>
      </w:r>
      <w:r>
        <w:rPr>
          <w:color w:val="231F20"/>
          <w:spacing w:val="-40"/>
          <w:w w:val="105"/>
        </w:rPr>
        <w:t> </w:t>
      </w:r>
      <w:r>
        <w:rPr>
          <w:color w:val="231F20"/>
          <w:w w:val="105"/>
        </w:rPr>
        <w:t>che</w:t>
      </w:r>
      <w:r>
        <w:rPr>
          <w:color w:val="231F20"/>
          <w:spacing w:val="-40"/>
          <w:w w:val="105"/>
        </w:rPr>
        <w:t> </w:t>
      </w:r>
      <w:r>
        <w:rPr>
          <w:color w:val="231F20"/>
          <w:w w:val="105"/>
        </w:rPr>
        <w:t>l’uso</w:t>
      </w:r>
      <w:r>
        <w:rPr>
          <w:color w:val="231F20"/>
          <w:spacing w:val="-40"/>
          <w:w w:val="105"/>
        </w:rPr>
        <w:t> </w:t>
      </w:r>
      <w:r>
        <w:rPr>
          <w:color w:val="231F20"/>
          <w:w w:val="105"/>
        </w:rPr>
        <w:t>discrezionale</w:t>
      </w:r>
      <w:r>
        <w:rPr>
          <w:color w:val="231F20"/>
          <w:spacing w:val="-40"/>
          <w:w w:val="105"/>
        </w:rPr>
        <w:t> </w:t>
      </w:r>
      <w:r>
        <w:rPr>
          <w:color w:val="231F20"/>
          <w:w w:val="105"/>
        </w:rPr>
        <w:t>della</w:t>
      </w:r>
      <w:r>
        <w:rPr>
          <w:color w:val="231F20"/>
          <w:spacing w:val="-40"/>
          <w:w w:val="105"/>
        </w:rPr>
        <w:t> </w:t>
      </w:r>
      <w:r>
        <w:rPr>
          <w:color w:val="231F20"/>
          <w:w w:val="105"/>
        </w:rPr>
        <w:t>forza</w:t>
      </w:r>
      <w:r>
        <w:rPr>
          <w:color w:val="231F20"/>
          <w:spacing w:val="-40"/>
          <w:w w:val="105"/>
        </w:rPr>
        <w:t> </w:t>
      </w:r>
      <w:r>
        <w:rPr>
          <w:color w:val="231F20"/>
          <w:w w:val="105"/>
        </w:rPr>
        <w:t>statale</w:t>
      </w:r>
      <w:r>
        <w:rPr>
          <w:color w:val="231F20"/>
          <w:spacing w:val="-40"/>
          <w:w w:val="105"/>
        </w:rPr>
        <w:t> </w:t>
      </w:r>
      <w:r>
        <w:rPr>
          <w:color w:val="231F20"/>
          <w:w w:val="105"/>
        </w:rPr>
        <w:t>sia</w:t>
      </w:r>
      <w:r>
        <w:rPr>
          <w:color w:val="231F20"/>
          <w:spacing w:val="-40"/>
          <w:w w:val="105"/>
        </w:rPr>
        <w:t> </w:t>
      </w:r>
      <w:r>
        <w:rPr>
          <w:color w:val="231F20"/>
          <w:w w:val="105"/>
        </w:rPr>
        <w:t>obbligato per</w:t>
      </w:r>
      <w:r>
        <w:rPr>
          <w:color w:val="231F20"/>
          <w:spacing w:val="-35"/>
          <w:w w:val="105"/>
        </w:rPr>
        <w:t> </w:t>
      </w:r>
      <w:r>
        <w:rPr>
          <w:color w:val="231F20"/>
          <w:w w:val="105"/>
        </w:rPr>
        <w:t>una</w:t>
      </w:r>
      <w:r>
        <w:rPr>
          <w:color w:val="231F20"/>
          <w:spacing w:val="-35"/>
          <w:w w:val="105"/>
        </w:rPr>
        <w:t> </w:t>
      </w:r>
      <w:r>
        <w:rPr>
          <w:color w:val="231F20"/>
          <w:w w:val="105"/>
        </w:rPr>
        <w:t>situazione</w:t>
      </w:r>
      <w:r>
        <w:rPr>
          <w:color w:val="231F20"/>
          <w:spacing w:val="-35"/>
          <w:w w:val="105"/>
        </w:rPr>
        <w:t> </w:t>
      </w:r>
      <w:r>
        <w:rPr>
          <w:color w:val="231F20"/>
          <w:w w:val="105"/>
        </w:rPr>
        <w:t>limite;</w:t>
      </w:r>
      <w:r>
        <w:rPr>
          <w:color w:val="231F20"/>
          <w:w w:val="105"/>
          <w:position w:val="7"/>
          <w:sz w:val="12"/>
        </w:rPr>
        <w:t>17</w:t>
      </w:r>
      <w:r>
        <w:rPr>
          <w:color w:val="231F20"/>
          <w:spacing w:val="-6"/>
          <w:w w:val="105"/>
          <w:position w:val="7"/>
          <w:sz w:val="12"/>
        </w:rPr>
        <w:t> </w:t>
      </w:r>
      <w:r>
        <w:rPr>
          <w:color w:val="231F20"/>
          <w:w w:val="105"/>
        </w:rPr>
        <w:t>seconda,</w:t>
      </w:r>
      <w:r>
        <w:rPr>
          <w:color w:val="231F20"/>
          <w:spacing w:val="-35"/>
          <w:w w:val="105"/>
        </w:rPr>
        <w:t> </w:t>
      </w:r>
      <w:r>
        <w:rPr>
          <w:color w:val="231F20"/>
          <w:w w:val="105"/>
        </w:rPr>
        <w:t>che</w:t>
      </w:r>
      <w:r>
        <w:rPr>
          <w:color w:val="231F20"/>
          <w:spacing w:val="-35"/>
          <w:w w:val="105"/>
        </w:rPr>
        <w:t> </w:t>
      </w:r>
      <w:r>
        <w:rPr>
          <w:color w:val="231F20"/>
          <w:w w:val="105"/>
        </w:rPr>
        <w:t>i</w:t>
      </w:r>
      <w:r>
        <w:rPr>
          <w:color w:val="231F20"/>
          <w:spacing w:val="-35"/>
          <w:w w:val="105"/>
        </w:rPr>
        <w:t> </w:t>
      </w:r>
      <w:r>
        <w:rPr>
          <w:color w:val="231F20"/>
          <w:w w:val="105"/>
        </w:rPr>
        <w:t>limiti</w:t>
      </w:r>
      <w:r>
        <w:rPr>
          <w:color w:val="231F20"/>
          <w:spacing w:val="-35"/>
          <w:w w:val="105"/>
        </w:rPr>
        <w:t> </w:t>
      </w:r>
      <w:r>
        <w:rPr>
          <w:color w:val="231F20"/>
          <w:w w:val="105"/>
        </w:rPr>
        <w:t>della</w:t>
      </w:r>
      <w:r>
        <w:rPr>
          <w:color w:val="231F20"/>
          <w:spacing w:val="-35"/>
          <w:w w:val="105"/>
        </w:rPr>
        <w:t> </w:t>
      </w:r>
      <w:r>
        <w:rPr>
          <w:color w:val="231F20"/>
          <w:w w:val="105"/>
        </w:rPr>
        <w:t>tensione</w:t>
      </w:r>
      <w:r>
        <w:rPr>
          <w:color w:val="231F20"/>
          <w:spacing w:val="-35"/>
          <w:w w:val="105"/>
        </w:rPr>
        <w:t> </w:t>
      </w:r>
      <w:r>
        <w:rPr>
          <w:color w:val="231F20"/>
          <w:w w:val="105"/>
        </w:rPr>
        <w:t>sociale</w:t>
      </w:r>
      <w:r>
        <w:rPr>
          <w:color w:val="231F20"/>
          <w:spacing w:val="-35"/>
          <w:w w:val="105"/>
        </w:rPr>
        <w:t> </w:t>
      </w:r>
      <w:r>
        <w:rPr>
          <w:color w:val="231F20"/>
          <w:w w:val="105"/>
        </w:rPr>
        <w:t>siano superati per la logica e l’azione continua e illimitata di una potenza che attenta</w:t>
      </w:r>
      <w:r>
        <w:rPr>
          <w:color w:val="231F20"/>
          <w:spacing w:val="-48"/>
          <w:w w:val="105"/>
        </w:rPr>
        <w:t> </w:t>
      </w:r>
      <w:r>
        <w:rPr>
          <w:color w:val="231F20"/>
          <w:spacing w:val="-3"/>
          <w:w w:val="105"/>
        </w:rPr>
        <w:t>contro</w:t>
      </w:r>
      <w:r>
        <w:rPr>
          <w:color w:val="231F20"/>
          <w:spacing w:val="-48"/>
          <w:w w:val="105"/>
        </w:rPr>
        <w:t> </w:t>
      </w:r>
      <w:r>
        <w:rPr>
          <w:color w:val="231F20"/>
          <w:w w:val="105"/>
        </w:rPr>
        <w:t>una</w:t>
      </w:r>
      <w:r>
        <w:rPr>
          <w:color w:val="231F20"/>
          <w:spacing w:val="-48"/>
          <w:w w:val="105"/>
        </w:rPr>
        <w:t> </w:t>
      </w:r>
      <w:r>
        <w:rPr>
          <w:color w:val="231F20"/>
          <w:w w:val="105"/>
        </w:rPr>
        <w:t>parte</w:t>
      </w:r>
      <w:r>
        <w:rPr>
          <w:color w:val="231F20"/>
          <w:spacing w:val="-48"/>
          <w:w w:val="105"/>
        </w:rPr>
        <w:t> </w:t>
      </w:r>
      <w:r>
        <w:rPr>
          <w:color w:val="231F20"/>
          <w:spacing w:val="-3"/>
          <w:w w:val="105"/>
        </w:rPr>
        <w:t>considerevole</w:t>
      </w:r>
      <w:r>
        <w:rPr>
          <w:color w:val="231F20"/>
          <w:spacing w:val="-48"/>
          <w:w w:val="105"/>
        </w:rPr>
        <w:t> </w:t>
      </w:r>
      <w:r>
        <w:rPr>
          <w:color w:val="231F20"/>
          <w:w w:val="105"/>
        </w:rPr>
        <w:t>dell’esistenza</w:t>
      </w:r>
      <w:r>
        <w:rPr>
          <w:color w:val="231F20"/>
          <w:spacing w:val="-48"/>
          <w:w w:val="105"/>
        </w:rPr>
        <w:t> </w:t>
      </w:r>
      <w:r>
        <w:rPr>
          <w:color w:val="231F20"/>
          <w:w w:val="105"/>
        </w:rPr>
        <w:t>statale</w:t>
      </w:r>
      <w:r>
        <w:rPr>
          <w:color w:val="231F20"/>
          <w:spacing w:val="-48"/>
          <w:w w:val="105"/>
        </w:rPr>
        <w:t> </w:t>
      </w:r>
      <w:r>
        <w:rPr>
          <w:color w:val="231F20"/>
          <w:w w:val="105"/>
        </w:rPr>
        <w:t>com’è</w:t>
      </w:r>
      <w:r>
        <w:rPr>
          <w:color w:val="231F20"/>
          <w:spacing w:val="-48"/>
          <w:w w:val="105"/>
        </w:rPr>
        <w:t> </w:t>
      </w:r>
      <w:r>
        <w:rPr>
          <w:color w:val="231F20"/>
          <w:w w:val="105"/>
        </w:rPr>
        <w:t>lo</w:t>
      </w:r>
      <w:r>
        <w:rPr>
          <w:color w:val="231F20"/>
          <w:spacing w:val="-48"/>
          <w:w w:val="105"/>
        </w:rPr>
        <w:t> </w:t>
      </w:r>
      <w:r>
        <w:rPr>
          <w:color w:val="231F20"/>
          <w:spacing w:val="-2"/>
          <w:w w:val="105"/>
        </w:rPr>
        <w:t>spazio </w:t>
      </w:r>
      <w:r>
        <w:rPr>
          <w:color w:val="231F20"/>
          <w:w w:val="105"/>
        </w:rPr>
        <w:t>territoriale.</w:t>
      </w:r>
      <w:r>
        <w:rPr>
          <w:color w:val="231F20"/>
          <w:spacing w:val="-52"/>
          <w:w w:val="105"/>
        </w:rPr>
        <w:t> </w:t>
      </w:r>
      <w:r>
        <w:rPr>
          <w:color w:val="231F20"/>
          <w:w w:val="105"/>
        </w:rPr>
        <w:t>Dopo</w:t>
      </w:r>
      <w:r>
        <w:rPr>
          <w:color w:val="231F20"/>
          <w:spacing w:val="-52"/>
          <w:w w:val="105"/>
        </w:rPr>
        <w:t> </w:t>
      </w:r>
      <w:r>
        <w:rPr>
          <w:color w:val="231F20"/>
          <w:spacing w:val="-3"/>
          <w:w w:val="105"/>
        </w:rPr>
        <w:t>oltrepassare</w:t>
      </w:r>
      <w:r>
        <w:rPr>
          <w:color w:val="231F20"/>
          <w:spacing w:val="-52"/>
          <w:w w:val="105"/>
        </w:rPr>
        <w:t> </w:t>
      </w:r>
      <w:r>
        <w:rPr>
          <w:color w:val="231F20"/>
          <w:w w:val="105"/>
        </w:rPr>
        <w:t>questi</w:t>
      </w:r>
      <w:r>
        <w:rPr>
          <w:color w:val="231F20"/>
          <w:spacing w:val="-52"/>
          <w:w w:val="105"/>
        </w:rPr>
        <w:t> </w:t>
      </w:r>
      <w:r>
        <w:rPr>
          <w:color w:val="231F20"/>
          <w:w w:val="105"/>
        </w:rPr>
        <w:t>limiti,</w:t>
      </w:r>
      <w:r>
        <w:rPr>
          <w:color w:val="231F20"/>
          <w:spacing w:val="-52"/>
          <w:w w:val="105"/>
        </w:rPr>
        <w:t> </w:t>
      </w:r>
      <w:r>
        <w:rPr>
          <w:color w:val="231F20"/>
          <w:w w:val="105"/>
        </w:rPr>
        <w:t>il</w:t>
      </w:r>
      <w:r>
        <w:rPr>
          <w:color w:val="231F20"/>
          <w:spacing w:val="-52"/>
          <w:w w:val="105"/>
        </w:rPr>
        <w:t> </w:t>
      </w:r>
      <w:r>
        <w:rPr>
          <w:color w:val="231F20"/>
          <w:spacing w:val="-3"/>
          <w:w w:val="105"/>
        </w:rPr>
        <w:t>terrore</w:t>
      </w:r>
      <w:r>
        <w:rPr>
          <w:color w:val="231F20"/>
          <w:spacing w:val="-52"/>
          <w:w w:val="105"/>
        </w:rPr>
        <w:t> </w:t>
      </w:r>
      <w:r>
        <w:rPr>
          <w:color w:val="231F20"/>
          <w:w w:val="105"/>
        </w:rPr>
        <w:t>e</w:t>
      </w:r>
      <w:r>
        <w:rPr>
          <w:color w:val="231F20"/>
          <w:spacing w:val="-52"/>
          <w:w w:val="105"/>
        </w:rPr>
        <w:t> </w:t>
      </w:r>
      <w:r>
        <w:rPr>
          <w:color w:val="231F20"/>
          <w:w w:val="105"/>
        </w:rPr>
        <w:t>il</w:t>
      </w:r>
      <w:r>
        <w:rPr>
          <w:color w:val="231F20"/>
          <w:spacing w:val="-52"/>
          <w:w w:val="105"/>
        </w:rPr>
        <w:t> </w:t>
      </w:r>
      <w:r>
        <w:rPr>
          <w:color w:val="231F20"/>
          <w:spacing w:val="-3"/>
          <w:w w:val="105"/>
        </w:rPr>
        <w:t>terrorismo</w:t>
      </w:r>
      <w:r>
        <w:rPr>
          <w:color w:val="231F20"/>
          <w:spacing w:val="-52"/>
          <w:w w:val="105"/>
        </w:rPr>
        <w:t> </w:t>
      </w:r>
      <w:r>
        <w:rPr>
          <w:color w:val="231F20"/>
          <w:w w:val="105"/>
        </w:rPr>
        <w:t>diventano necessari.</w:t>
      </w:r>
    </w:p>
    <w:p>
      <w:pPr>
        <w:pStyle w:val="BodyText"/>
        <w:spacing w:line="247" w:lineRule="auto" w:before="1"/>
        <w:ind w:left="117" w:right="116" w:firstLine="566"/>
        <w:jc w:val="both"/>
      </w:pPr>
      <w:r>
        <w:rPr>
          <w:color w:val="231F20"/>
        </w:rPr>
        <w:t>Questo</w:t>
      </w:r>
      <w:r>
        <w:rPr>
          <w:color w:val="231F20"/>
          <w:spacing w:val="-18"/>
        </w:rPr>
        <w:t> </w:t>
      </w:r>
      <w:r>
        <w:rPr>
          <w:color w:val="231F20"/>
        </w:rPr>
        <w:t>è</w:t>
      </w:r>
      <w:r>
        <w:rPr>
          <w:color w:val="231F20"/>
          <w:spacing w:val="-18"/>
        </w:rPr>
        <w:t> </w:t>
      </w:r>
      <w:r>
        <w:rPr>
          <w:color w:val="231F20"/>
        </w:rPr>
        <w:t>ancora</w:t>
      </w:r>
      <w:r>
        <w:rPr>
          <w:color w:val="231F20"/>
          <w:spacing w:val="-18"/>
        </w:rPr>
        <w:t> </w:t>
      </w:r>
      <w:r>
        <w:rPr>
          <w:color w:val="231F20"/>
        </w:rPr>
        <w:t>più</w:t>
      </w:r>
      <w:r>
        <w:rPr>
          <w:color w:val="231F20"/>
          <w:spacing w:val="-18"/>
        </w:rPr>
        <w:t> </w:t>
      </w:r>
      <w:r>
        <w:rPr>
          <w:color w:val="231F20"/>
        </w:rPr>
        <w:t>importante</w:t>
      </w:r>
      <w:r>
        <w:rPr>
          <w:color w:val="231F20"/>
          <w:spacing w:val="-18"/>
        </w:rPr>
        <w:t> </w:t>
      </w:r>
      <w:r>
        <w:rPr>
          <w:color w:val="231F20"/>
        </w:rPr>
        <w:t>se</w:t>
      </w:r>
      <w:r>
        <w:rPr>
          <w:color w:val="231F20"/>
          <w:spacing w:val="-18"/>
        </w:rPr>
        <w:t> </w:t>
      </w:r>
      <w:r>
        <w:rPr>
          <w:color w:val="231F20"/>
        </w:rPr>
        <w:t>osserviamo</w:t>
      </w:r>
      <w:r>
        <w:rPr>
          <w:color w:val="231F20"/>
          <w:spacing w:val="-18"/>
        </w:rPr>
        <w:t> </w:t>
      </w:r>
      <w:r>
        <w:rPr>
          <w:color w:val="231F20"/>
        </w:rPr>
        <w:t>che</w:t>
      </w:r>
      <w:r>
        <w:rPr>
          <w:color w:val="231F20"/>
          <w:spacing w:val="-18"/>
        </w:rPr>
        <w:t> </w:t>
      </w:r>
      <w:r>
        <w:rPr>
          <w:color w:val="231F20"/>
        </w:rPr>
        <w:t>lo</w:t>
      </w:r>
      <w:r>
        <w:rPr>
          <w:color w:val="231F20"/>
          <w:spacing w:val="-18"/>
        </w:rPr>
        <w:t> </w:t>
      </w:r>
      <w:r>
        <w:rPr>
          <w:color w:val="231F20"/>
        </w:rPr>
        <w:t>spazio</w:t>
      </w:r>
      <w:r>
        <w:rPr>
          <w:color w:val="231F20"/>
          <w:spacing w:val="-18"/>
        </w:rPr>
        <w:t> </w:t>
      </w:r>
      <w:r>
        <w:rPr>
          <w:color w:val="231F20"/>
        </w:rPr>
        <w:t>politico</w:t>
      </w:r>
      <w:r>
        <w:rPr>
          <w:color w:val="231F20"/>
          <w:spacing w:val="-18"/>
        </w:rPr>
        <w:t> </w:t>
      </w:r>
      <w:r>
        <w:rPr>
          <w:color w:val="231F20"/>
        </w:rPr>
        <w:t>in certi</w:t>
      </w:r>
      <w:r>
        <w:rPr>
          <w:color w:val="231F20"/>
          <w:spacing w:val="-19"/>
        </w:rPr>
        <w:t> </w:t>
      </w:r>
      <w:r>
        <w:rPr>
          <w:color w:val="231F20"/>
        </w:rPr>
        <w:t>Stati</w:t>
      </w:r>
      <w:r>
        <w:rPr>
          <w:color w:val="231F20"/>
          <w:spacing w:val="-19"/>
        </w:rPr>
        <w:t> </w:t>
      </w:r>
      <w:r>
        <w:rPr>
          <w:color w:val="231F20"/>
        </w:rPr>
        <w:t>che</w:t>
      </w:r>
      <w:r>
        <w:rPr>
          <w:color w:val="231F20"/>
          <w:spacing w:val="-19"/>
        </w:rPr>
        <w:t> </w:t>
      </w:r>
      <w:r>
        <w:rPr>
          <w:color w:val="231F20"/>
        </w:rPr>
        <w:t>hanno</w:t>
      </w:r>
      <w:r>
        <w:rPr>
          <w:color w:val="231F20"/>
          <w:spacing w:val="-19"/>
        </w:rPr>
        <w:t> </w:t>
      </w:r>
      <w:r>
        <w:rPr>
          <w:color w:val="231F20"/>
        </w:rPr>
        <w:t>avuto</w:t>
      </w:r>
      <w:r>
        <w:rPr>
          <w:color w:val="231F20"/>
          <w:spacing w:val="-19"/>
        </w:rPr>
        <w:t> </w:t>
      </w:r>
      <w:r>
        <w:rPr>
          <w:color w:val="231F20"/>
        </w:rPr>
        <w:t>processi</w:t>
      </w:r>
      <w:r>
        <w:rPr>
          <w:color w:val="231F20"/>
          <w:spacing w:val="-19"/>
        </w:rPr>
        <w:t> </w:t>
      </w:r>
      <w:r>
        <w:rPr>
          <w:color w:val="231F20"/>
        </w:rPr>
        <w:t>recenti</w:t>
      </w:r>
      <w:r>
        <w:rPr>
          <w:color w:val="231F20"/>
          <w:spacing w:val="-19"/>
        </w:rPr>
        <w:t> </w:t>
      </w:r>
      <w:r>
        <w:rPr>
          <w:color w:val="231F20"/>
        </w:rPr>
        <w:t>di</w:t>
      </w:r>
      <w:r>
        <w:rPr>
          <w:color w:val="231F20"/>
          <w:spacing w:val="-19"/>
        </w:rPr>
        <w:t> </w:t>
      </w:r>
      <w:r>
        <w:rPr>
          <w:color w:val="231F20"/>
        </w:rPr>
        <w:t>democratizzazione,</w:t>
      </w:r>
      <w:r>
        <w:rPr>
          <w:color w:val="231F20"/>
          <w:spacing w:val="-19"/>
        </w:rPr>
        <w:t> </w:t>
      </w:r>
      <w:r>
        <w:rPr>
          <w:color w:val="231F20"/>
        </w:rPr>
        <w:t>manifesta </w:t>
      </w:r>
      <w:r>
        <w:rPr>
          <w:color w:val="231F20"/>
          <w:spacing w:val="-3"/>
        </w:rPr>
        <w:t>un’eclissi della “legalità” democratica </w:t>
      </w:r>
      <w:r>
        <w:rPr>
          <w:color w:val="231F20"/>
        </w:rPr>
        <w:t>che </w:t>
      </w:r>
      <w:r>
        <w:rPr>
          <w:color w:val="231F20"/>
          <w:spacing w:val="-3"/>
        </w:rPr>
        <w:t>poteva </w:t>
      </w:r>
      <w:r>
        <w:rPr>
          <w:color w:val="231F20"/>
          <w:spacing w:val="-4"/>
        </w:rPr>
        <w:t>accompagnare </w:t>
      </w:r>
      <w:r>
        <w:rPr>
          <w:color w:val="231F20"/>
        </w:rPr>
        <w:t>il </w:t>
      </w:r>
      <w:r>
        <w:rPr>
          <w:color w:val="231F20"/>
          <w:spacing w:val="-3"/>
        </w:rPr>
        <w:t>fenómeno </w:t>
      </w:r>
      <w:r>
        <w:rPr>
          <w:color w:val="231F20"/>
        </w:rPr>
        <w:t>del cambiamento politico, e in parallelo mantengono un incremento di trasgressioni all’ordine giuridico–politico che pretende attivare e sviluppare nuovi</w:t>
      </w:r>
      <w:r>
        <w:rPr>
          <w:color w:val="231F20"/>
          <w:spacing w:val="-16"/>
        </w:rPr>
        <w:t> </w:t>
      </w:r>
      <w:r>
        <w:rPr>
          <w:color w:val="231F20"/>
        </w:rPr>
        <w:t>“luoghi”</w:t>
      </w:r>
      <w:r>
        <w:rPr>
          <w:color w:val="231F20"/>
          <w:spacing w:val="-16"/>
        </w:rPr>
        <w:t> </w:t>
      </w:r>
      <w:r>
        <w:rPr>
          <w:color w:val="231F20"/>
        </w:rPr>
        <w:t>(non</w:t>
      </w:r>
      <w:r>
        <w:rPr>
          <w:color w:val="231F20"/>
          <w:spacing w:val="-13"/>
        </w:rPr>
        <w:t> </w:t>
      </w:r>
      <w:r>
        <w:rPr>
          <w:color w:val="231F20"/>
        </w:rPr>
        <w:t>è</w:t>
      </w:r>
      <w:r>
        <w:rPr>
          <w:color w:val="231F20"/>
          <w:spacing w:val="-16"/>
        </w:rPr>
        <w:t> </w:t>
      </w:r>
      <w:r>
        <w:rPr>
          <w:color w:val="231F20"/>
        </w:rPr>
        <w:t>necessario</w:t>
      </w:r>
      <w:r>
        <w:rPr>
          <w:color w:val="231F20"/>
          <w:spacing w:val="-16"/>
        </w:rPr>
        <w:t> </w:t>
      </w:r>
      <w:r>
        <w:rPr>
          <w:color w:val="231F20"/>
        </w:rPr>
        <w:t>che</w:t>
      </w:r>
      <w:r>
        <w:rPr>
          <w:color w:val="231F20"/>
          <w:spacing w:val="-16"/>
        </w:rPr>
        <w:t> </w:t>
      </w:r>
      <w:r>
        <w:rPr>
          <w:color w:val="231F20"/>
        </w:rPr>
        <w:t>siano</w:t>
      </w:r>
      <w:r>
        <w:rPr>
          <w:color w:val="231F20"/>
          <w:spacing w:val="-16"/>
        </w:rPr>
        <w:t> </w:t>
      </w:r>
      <w:r>
        <w:rPr>
          <w:color w:val="231F20"/>
        </w:rPr>
        <w:t>spaziali)</w:t>
      </w:r>
      <w:r>
        <w:rPr>
          <w:color w:val="231F20"/>
          <w:spacing w:val="-16"/>
        </w:rPr>
        <w:t> </w:t>
      </w:r>
      <w:r>
        <w:rPr>
          <w:color w:val="231F20"/>
        </w:rPr>
        <w:t>per</w:t>
      </w:r>
      <w:r>
        <w:rPr>
          <w:color w:val="231F20"/>
          <w:spacing w:val="-16"/>
        </w:rPr>
        <w:t> </w:t>
      </w:r>
      <w:r>
        <w:rPr>
          <w:color w:val="231F20"/>
        </w:rPr>
        <w:t>la</w:t>
      </w:r>
      <w:r>
        <w:rPr>
          <w:color w:val="231F20"/>
          <w:spacing w:val="-16"/>
        </w:rPr>
        <w:t> </w:t>
      </w:r>
      <w:r>
        <w:rPr>
          <w:color w:val="231F20"/>
        </w:rPr>
        <w:t>riproduzione</w:t>
      </w:r>
      <w:r>
        <w:rPr>
          <w:color w:val="231F20"/>
          <w:spacing w:val="-16"/>
        </w:rPr>
        <w:t> </w:t>
      </w:r>
      <w:r>
        <w:rPr>
          <w:color w:val="231F20"/>
        </w:rPr>
        <w:t>della </w:t>
      </w:r>
      <w:r>
        <w:rPr>
          <w:color w:val="231F20"/>
          <w:spacing w:val="-3"/>
        </w:rPr>
        <w:t>poitica, </w:t>
      </w:r>
      <w:r>
        <w:rPr>
          <w:color w:val="231F20"/>
        </w:rPr>
        <w:t>con </w:t>
      </w:r>
      <w:r>
        <w:rPr>
          <w:color w:val="231F20"/>
          <w:spacing w:val="-3"/>
        </w:rPr>
        <w:t>indipendenza </w:t>
      </w:r>
      <w:r>
        <w:rPr>
          <w:color w:val="231F20"/>
        </w:rPr>
        <w:t>del suo </w:t>
      </w:r>
      <w:r>
        <w:rPr>
          <w:color w:val="231F20"/>
          <w:spacing w:val="-3"/>
        </w:rPr>
        <w:t>carattere: democratica </w:t>
      </w:r>
      <w:r>
        <w:rPr>
          <w:color w:val="231F20"/>
        </w:rPr>
        <w:t>o </w:t>
      </w:r>
      <w:r>
        <w:rPr>
          <w:color w:val="231F20"/>
          <w:spacing w:val="-3"/>
        </w:rPr>
        <w:t>anti-democratica. </w:t>
      </w:r>
      <w:r>
        <w:rPr>
          <w:color w:val="231F20"/>
        </w:rPr>
        <w:t>Quindi, quello che lascia intravedere questo evento è la proliferazione di </w:t>
      </w:r>
      <w:r>
        <w:rPr>
          <w:color w:val="231F20"/>
          <w:spacing w:val="-3"/>
        </w:rPr>
        <w:t>“tensioni </w:t>
      </w:r>
      <w:r>
        <w:rPr>
          <w:color w:val="231F20"/>
        </w:rPr>
        <w:t>di </w:t>
      </w:r>
      <w:r>
        <w:rPr>
          <w:color w:val="231F20"/>
          <w:spacing w:val="-3"/>
        </w:rPr>
        <w:t>frammentazione” </w:t>
      </w:r>
      <w:r>
        <w:rPr>
          <w:color w:val="231F20"/>
        </w:rPr>
        <w:t>che si </w:t>
      </w:r>
      <w:r>
        <w:rPr>
          <w:color w:val="231F20"/>
          <w:spacing w:val="-3"/>
        </w:rPr>
        <w:t>esprimono, </w:t>
      </w:r>
      <w:r>
        <w:rPr>
          <w:color w:val="231F20"/>
        </w:rPr>
        <w:t>ad </w:t>
      </w:r>
      <w:r>
        <w:rPr>
          <w:color w:val="231F20"/>
          <w:spacing w:val="-3"/>
        </w:rPr>
        <w:t>esempio, </w:t>
      </w:r>
      <w:r>
        <w:rPr>
          <w:color w:val="231F20"/>
        </w:rPr>
        <w:t>nei </w:t>
      </w:r>
      <w:r>
        <w:rPr>
          <w:color w:val="231F20"/>
          <w:spacing w:val="-3"/>
        </w:rPr>
        <w:t>nazionalismi </w:t>
      </w:r>
      <w:r>
        <w:rPr>
          <w:color w:val="231F20"/>
        </w:rPr>
        <w:t>sub-statali presenti nella dinamica indipendentista di certe regioni come    i Paesi Baschi</w:t>
      </w:r>
      <w:r>
        <w:rPr>
          <w:color w:val="231F20"/>
          <w:position w:val="7"/>
          <w:sz w:val="12"/>
        </w:rPr>
        <w:t>18</w:t>
      </w:r>
      <w:r>
        <w:rPr>
          <w:color w:val="231F20"/>
        </w:rPr>
        <w:t>. Seguendo questa idea, possiamo aggiungere che anche generano “autonomismi sub-statali” che possono vincolarsi alla criminalità organizzata e al terrorismo, quando pensiamo a questi due fenomeni</w:t>
      </w:r>
      <w:r>
        <w:rPr>
          <w:color w:val="231F20"/>
          <w:spacing w:val="-34"/>
        </w:rPr>
        <w:t> </w:t>
      </w:r>
      <w:r>
        <w:rPr>
          <w:color w:val="231F20"/>
        </w:rPr>
        <w:t>come forme interne di resistenza e limitazione della sovranità dello Stato, e con questo, la distinzione tra Stato formale e anti-Stato, cioè tra azione statale basata</w:t>
      </w:r>
      <w:r>
        <w:rPr>
          <w:color w:val="231F20"/>
          <w:spacing w:val="-5"/>
        </w:rPr>
        <w:t> </w:t>
      </w:r>
      <w:r>
        <w:rPr>
          <w:color w:val="231F20"/>
        </w:rPr>
        <w:t>sulla</w:t>
      </w:r>
      <w:r>
        <w:rPr>
          <w:color w:val="231F20"/>
          <w:spacing w:val="-5"/>
        </w:rPr>
        <w:t> </w:t>
      </w:r>
      <w:r>
        <w:rPr>
          <w:color w:val="231F20"/>
        </w:rPr>
        <w:t>“ragione</w:t>
      </w:r>
      <w:r>
        <w:rPr>
          <w:color w:val="231F20"/>
          <w:spacing w:val="-5"/>
        </w:rPr>
        <w:t> </w:t>
      </w:r>
      <w:r>
        <w:rPr>
          <w:color w:val="231F20"/>
        </w:rPr>
        <w:t>di</w:t>
      </w:r>
      <w:r>
        <w:rPr>
          <w:color w:val="231F20"/>
          <w:spacing w:val="-5"/>
        </w:rPr>
        <w:t> </w:t>
      </w:r>
      <w:r>
        <w:rPr>
          <w:color w:val="231F20"/>
        </w:rPr>
        <w:t>Stato”</w:t>
      </w:r>
      <w:r>
        <w:rPr>
          <w:color w:val="231F20"/>
          <w:spacing w:val="-5"/>
        </w:rPr>
        <w:t> </w:t>
      </w:r>
      <w:r>
        <w:rPr>
          <w:color w:val="231F20"/>
        </w:rPr>
        <w:t>e</w:t>
      </w:r>
      <w:r>
        <w:rPr>
          <w:color w:val="231F20"/>
          <w:spacing w:val="-5"/>
        </w:rPr>
        <w:t> </w:t>
      </w:r>
      <w:r>
        <w:rPr>
          <w:color w:val="231F20"/>
        </w:rPr>
        <w:t>azione</w:t>
      </w:r>
      <w:r>
        <w:rPr>
          <w:color w:val="231F20"/>
          <w:spacing w:val="-5"/>
        </w:rPr>
        <w:t> </w:t>
      </w:r>
      <w:r>
        <w:rPr>
          <w:color w:val="231F20"/>
        </w:rPr>
        <w:t>criminale,</w:t>
      </w:r>
      <w:r>
        <w:rPr>
          <w:color w:val="231F20"/>
          <w:spacing w:val="-5"/>
        </w:rPr>
        <w:t> </w:t>
      </w:r>
      <w:r>
        <w:rPr>
          <w:color w:val="231F20"/>
        </w:rPr>
        <w:t>diventa</w:t>
      </w:r>
      <w:r>
        <w:rPr>
          <w:color w:val="231F20"/>
          <w:spacing w:val="-5"/>
        </w:rPr>
        <w:t> </w:t>
      </w:r>
      <w:r>
        <w:rPr>
          <w:color w:val="231F20"/>
        </w:rPr>
        <w:t>superflua</w:t>
      </w:r>
      <w:r>
        <w:rPr>
          <w:color w:val="231F20"/>
          <w:position w:val="7"/>
          <w:sz w:val="12"/>
        </w:rPr>
        <w:t>19</w:t>
      </w:r>
      <w:r>
        <w:rPr>
          <w:color w:val="231F20"/>
        </w:rPr>
        <w:t>.</w:t>
      </w:r>
      <w:r>
        <w:rPr>
          <w:color w:val="231F20"/>
          <w:spacing w:val="-5"/>
        </w:rPr>
        <w:t> </w:t>
      </w:r>
      <w:r>
        <w:rPr>
          <w:color w:val="231F20"/>
        </w:rPr>
        <w:t>Così, sarà su questo rapporto paradossale che nelle succesive sezioni svilupperò </w:t>
      </w:r>
      <w:r>
        <w:rPr>
          <w:color w:val="231F20"/>
          <w:spacing w:val="2"/>
        </w:rPr>
        <w:t>alcune ipotesi teoriche attraverso l’osservazione </w:t>
      </w:r>
      <w:r>
        <w:rPr>
          <w:color w:val="231F20"/>
        </w:rPr>
        <w:t>di </w:t>
      </w:r>
      <w:r>
        <w:rPr>
          <w:color w:val="231F20"/>
          <w:spacing w:val="2"/>
        </w:rPr>
        <w:t>diverse </w:t>
      </w:r>
      <w:r>
        <w:rPr>
          <w:color w:val="231F20"/>
          <w:spacing w:val="3"/>
        </w:rPr>
        <w:t>esperienze </w:t>
      </w:r>
      <w:r>
        <w:rPr>
          <w:color w:val="231F20"/>
        </w:rPr>
        <w:t>storiche</w:t>
      </w:r>
      <w:r>
        <w:rPr>
          <w:color w:val="231F20"/>
          <w:spacing w:val="42"/>
        </w:rPr>
        <w:t> </w:t>
      </w:r>
      <w:r>
        <w:rPr>
          <w:color w:val="231F20"/>
        </w:rPr>
        <w:t>contemporanee.</w:t>
      </w:r>
    </w:p>
    <w:p>
      <w:pPr>
        <w:pStyle w:val="BodyText"/>
        <w:spacing w:before="5"/>
        <w:rPr>
          <w:sz w:val="24"/>
        </w:rPr>
      </w:pPr>
    </w:p>
    <w:p>
      <w:pPr>
        <w:spacing w:before="1"/>
        <w:ind w:left="117" w:right="0" w:firstLine="0"/>
        <w:jc w:val="both"/>
        <w:rPr>
          <w:rFonts w:ascii="Arial"/>
          <w:i/>
          <w:sz w:val="21"/>
        </w:rPr>
      </w:pPr>
      <w:r>
        <w:rPr>
          <w:rFonts w:ascii="Arial"/>
          <w:i/>
          <w:color w:val="231F20"/>
          <w:sz w:val="21"/>
        </w:rPr>
        <w:t>Ridefinire lo spazio politico della  democrazia</w:t>
      </w:r>
    </w:p>
    <w:p>
      <w:pPr>
        <w:pStyle w:val="BodyText"/>
        <w:rPr>
          <w:rFonts w:ascii="Arial"/>
          <w:i/>
          <w:sz w:val="20"/>
        </w:rPr>
      </w:pPr>
    </w:p>
    <w:p>
      <w:pPr>
        <w:pStyle w:val="BodyText"/>
        <w:spacing w:line="247" w:lineRule="auto" w:before="172"/>
        <w:ind w:left="117" w:right="119"/>
        <w:jc w:val="both"/>
      </w:pPr>
      <w:r>
        <w:rPr>
          <w:color w:val="231F20"/>
        </w:rPr>
        <w:t>In</w:t>
      </w:r>
      <w:r>
        <w:rPr>
          <w:color w:val="231F20"/>
          <w:spacing w:val="-8"/>
        </w:rPr>
        <w:t> </w:t>
      </w:r>
      <w:r>
        <w:rPr>
          <w:color w:val="231F20"/>
        </w:rPr>
        <w:t>anni</w:t>
      </w:r>
      <w:r>
        <w:rPr>
          <w:color w:val="231F20"/>
          <w:spacing w:val="-8"/>
        </w:rPr>
        <w:t> </w:t>
      </w:r>
      <w:r>
        <w:rPr>
          <w:color w:val="231F20"/>
        </w:rPr>
        <w:t>recenti,</w:t>
      </w:r>
      <w:r>
        <w:rPr>
          <w:color w:val="231F20"/>
          <w:spacing w:val="-8"/>
        </w:rPr>
        <w:t> </w:t>
      </w:r>
      <w:r>
        <w:rPr>
          <w:color w:val="231F20"/>
        </w:rPr>
        <w:t>la</w:t>
      </w:r>
      <w:r>
        <w:rPr>
          <w:color w:val="231F20"/>
          <w:spacing w:val="-8"/>
        </w:rPr>
        <w:t> </w:t>
      </w:r>
      <w:r>
        <w:rPr>
          <w:color w:val="231F20"/>
        </w:rPr>
        <w:t>democrazia</w:t>
      </w:r>
      <w:r>
        <w:rPr>
          <w:color w:val="231F20"/>
          <w:spacing w:val="-9"/>
        </w:rPr>
        <w:t> </w:t>
      </w:r>
      <w:r>
        <w:rPr>
          <w:color w:val="231F20"/>
        </w:rPr>
        <w:t>è</w:t>
      </w:r>
      <w:r>
        <w:rPr>
          <w:color w:val="231F20"/>
          <w:spacing w:val="-8"/>
        </w:rPr>
        <w:t> </w:t>
      </w:r>
      <w:r>
        <w:rPr>
          <w:color w:val="231F20"/>
        </w:rPr>
        <w:t>stata</w:t>
      </w:r>
      <w:r>
        <w:rPr>
          <w:color w:val="231F20"/>
          <w:spacing w:val="-8"/>
        </w:rPr>
        <w:t> </w:t>
      </w:r>
      <w:r>
        <w:rPr>
          <w:color w:val="231F20"/>
        </w:rPr>
        <w:t>costretta</w:t>
      </w:r>
      <w:r>
        <w:rPr>
          <w:color w:val="231F20"/>
          <w:spacing w:val="-8"/>
        </w:rPr>
        <w:t> </w:t>
      </w:r>
      <w:r>
        <w:rPr>
          <w:color w:val="231F20"/>
        </w:rPr>
        <w:t>ad</w:t>
      </w:r>
      <w:r>
        <w:rPr>
          <w:color w:val="231F20"/>
          <w:spacing w:val="-8"/>
        </w:rPr>
        <w:t> </w:t>
      </w:r>
      <w:r>
        <w:rPr>
          <w:color w:val="231F20"/>
        </w:rPr>
        <w:t>incrementare</w:t>
      </w:r>
      <w:r>
        <w:rPr>
          <w:color w:val="231F20"/>
          <w:spacing w:val="-8"/>
        </w:rPr>
        <w:t> </w:t>
      </w:r>
      <w:r>
        <w:rPr>
          <w:color w:val="231F20"/>
        </w:rPr>
        <w:t>i</w:t>
      </w:r>
      <w:r>
        <w:rPr>
          <w:color w:val="231F20"/>
          <w:spacing w:val="-8"/>
        </w:rPr>
        <w:t> </w:t>
      </w:r>
      <w:r>
        <w:rPr>
          <w:color w:val="231F20"/>
        </w:rPr>
        <w:t>suoi</w:t>
      </w:r>
      <w:r>
        <w:rPr>
          <w:color w:val="231F20"/>
          <w:spacing w:val="-8"/>
        </w:rPr>
        <w:t> </w:t>
      </w:r>
      <w:r>
        <w:rPr>
          <w:color w:val="231F20"/>
        </w:rPr>
        <w:t>costi, </w:t>
      </w:r>
      <w:r>
        <w:rPr>
          <w:color w:val="231F20"/>
          <w:spacing w:val="2"/>
        </w:rPr>
        <w:t>perché non </w:t>
      </w:r>
      <w:r>
        <w:rPr>
          <w:color w:val="231F20"/>
          <w:spacing w:val="3"/>
        </w:rPr>
        <w:t>basta </w:t>
      </w:r>
      <w:r>
        <w:rPr>
          <w:color w:val="231F20"/>
          <w:spacing w:val="2"/>
        </w:rPr>
        <w:t>più vincere </w:t>
      </w:r>
      <w:r>
        <w:rPr>
          <w:color w:val="231F20"/>
        </w:rPr>
        <w:t>o </w:t>
      </w:r>
      <w:r>
        <w:rPr>
          <w:color w:val="231F20"/>
          <w:spacing w:val="2"/>
        </w:rPr>
        <w:t>perdere </w:t>
      </w:r>
      <w:r>
        <w:rPr>
          <w:color w:val="231F20"/>
          <w:spacing w:val="3"/>
        </w:rPr>
        <w:t>elezioni, </w:t>
      </w:r>
      <w:r>
        <w:rPr>
          <w:color w:val="231F20"/>
        </w:rPr>
        <w:t>e </w:t>
      </w:r>
      <w:r>
        <w:rPr>
          <w:color w:val="231F20"/>
          <w:spacing w:val="3"/>
        </w:rPr>
        <w:t>neanche garantire </w:t>
      </w:r>
      <w:r>
        <w:rPr>
          <w:color w:val="231F20"/>
        </w:rPr>
        <w:t>l’equità</w:t>
      </w:r>
      <w:r>
        <w:rPr>
          <w:color w:val="231F20"/>
          <w:spacing w:val="36"/>
        </w:rPr>
        <w:t> </w:t>
      </w:r>
      <w:r>
        <w:rPr>
          <w:color w:val="231F20"/>
        </w:rPr>
        <w:t>di</w:t>
      </w:r>
      <w:r>
        <w:rPr>
          <w:color w:val="231F20"/>
          <w:spacing w:val="36"/>
        </w:rPr>
        <w:t> </w:t>
      </w:r>
      <w:r>
        <w:rPr>
          <w:color w:val="231F20"/>
        </w:rPr>
        <w:t>risorse</w:t>
      </w:r>
      <w:r>
        <w:rPr>
          <w:color w:val="231F20"/>
          <w:spacing w:val="36"/>
        </w:rPr>
        <w:t> </w:t>
      </w:r>
      <w:r>
        <w:rPr>
          <w:color w:val="231F20"/>
        </w:rPr>
        <w:t>economiche</w:t>
      </w:r>
      <w:r>
        <w:rPr>
          <w:color w:val="231F20"/>
          <w:spacing w:val="36"/>
        </w:rPr>
        <w:t> </w:t>
      </w:r>
      <w:r>
        <w:rPr>
          <w:color w:val="231F20"/>
        </w:rPr>
        <w:t>e</w:t>
      </w:r>
      <w:r>
        <w:rPr>
          <w:color w:val="231F20"/>
          <w:spacing w:val="36"/>
        </w:rPr>
        <w:t> </w:t>
      </w:r>
      <w:r>
        <w:rPr>
          <w:color w:val="231F20"/>
        </w:rPr>
        <w:t>simboliche</w:t>
      </w:r>
      <w:r>
        <w:rPr>
          <w:color w:val="231F20"/>
          <w:spacing w:val="36"/>
        </w:rPr>
        <w:t> </w:t>
      </w:r>
      <w:r>
        <w:rPr>
          <w:color w:val="231F20"/>
        </w:rPr>
        <w:t>dei</w:t>
      </w:r>
      <w:r>
        <w:rPr>
          <w:color w:val="231F20"/>
          <w:spacing w:val="36"/>
        </w:rPr>
        <w:t> </w:t>
      </w:r>
      <w:r>
        <w:rPr>
          <w:color w:val="231F20"/>
        </w:rPr>
        <w:t>diversi</w:t>
      </w:r>
      <w:r>
        <w:rPr>
          <w:color w:val="231F20"/>
          <w:spacing w:val="36"/>
        </w:rPr>
        <w:t> </w:t>
      </w:r>
      <w:r>
        <w:rPr>
          <w:color w:val="231F20"/>
        </w:rPr>
        <w:t>attori</w:t>
      </w:r>
      <w:r>
        <w:rPr>
          <w:color w:val="231F20"/>
          <w:spacing w:val="36"/>
        </w:rPr>
        <w:t> </w:t>
      </w:r>
      <w:r>
        <w:rPr>
          <w:color w:val="231F20"/>
        </w:rPr>
        <w:t>politici</w:t>
      </w:r>
      <w:r>
        <w:rPr>
          <w:color w:val="231F20"/>
          <w:spacing w:val="36"/>
        </w:rPr>
        <w:t> </w:t>
      </w:r>
      <w:r>
        <w:rPr>
          <w:color w:val="231F20"/>
        </w:rPr>
        <w:t>per</w:t>
      </w:r>
    </w:p>
    <w:p>
      <w:pPr>
        <w:pStyle w:val="BodyText"/>
        <w:spacing w:before="2"/>
        <w:rPr>
          <w:sz w:val="22"/>
        </w:rPr>
      </w:pPr>
      <w:r>
        <w:rPr/>
        <w:pict>
          <v:line style="position:absolute;mso-position-horizontal-relative:page;mso-position-vertical-relative:paragraph;z-index:13456;mso-wrap-distance-left:0;mso-wrap-distance-right:0" from="70.866096pt,15.491277pt" to="184.252096pt,15.491277pt" stroked="true" strokeweight=".3pt" strokecolor="#231f20">
            <w10:wrap type="topAndBottom"/>
          </v:line>
        </w:pict>
      </w:r>
    </w:p>
    <w:p>
      <w:pPr>
        <w:spacing w:line="206" w:lineRule="exact" w:before="10"/>
        <w:ind w:left="117" w:right="0" w:firstLine="0"/>
        <w:jc w:val="left"/>
        <w:rPr>
          <w:rFonts w:ascii="Calibri" w:hAnsi="Calibri"/>
          <w:sz w:val="17"/>
        </w:rPr>
      </w:pPr>
      <w:r>
        <w:rPr>
          <w:rFonts w:ascii="Calibri" w:hAnsi="Calibri"/>
          <w:color w:val="231F20"/>
          <w:w w:val="105"/>
          <w:position w:val="6"/>
          <w:sz w:val="10"/>
        </w:rPr>
        <w:t>17  </w:t>
      </w:r>
      <w:r>
        <w:rPr>
          <w:rFonts w:ascii="Calibri" w:hAnsi="Calibri"/>
          <w:color w:val="231F20"/>
          <w:w w:val="105"/>
          <w:sz w:val="17"/>
        </w:rPr>
        <w:t>In generale, nelle legislazioni nazionali la criminalità organizzata è definita come problema  di</w:t>
      </w:r>
    </w:p>
    <w:p>
      <w:pPr>
        <w:spacing w:line="204" w:lineRule="exact" w:before="0"/>
        <w:ind w:left="117" w:right="0" w:firstLine="0"/>
        <w:jc w:val="left"/>
        <w:rPr>
          <w:rFonts w:ascii="Calibri"/>
          <w:sz w:val="17"/>
        </w:rPr>
      </w:pPr>
      <w:r>
        <w:rPr>
          <w:rFonts w:ascii="Calibri"/>
          <w:color w:val="231F20"/>
          <w:w w:val="105"/>
          <w:sz w:val="17"/>
        </w:rPr>
        <w:t>sicurezza nazionale.</w:t>
      </w:r>
    </w:p>
    <w:p>
      <w:pPr>
        <w:spacing w:line="235" w:lineRule="auto" w:before="1"/>
        <w:ind w:left="117" w:right="0" w:firstLine="0"/>
        <w:jc w:val="left"/>
        <w:rPr>
          <w:rFonts w:ascii="Calibri" w:hAnsi="Calibri"/>
          <w:sz w:val="17"/>
        </w:rPr>
      </w:pPr>
      <w:r>
        <w:rPr>
          <w:rFonts w:ascii="Calibri" w:hAnsi="Calibri"/>
          <w:color w:val="231F20"/>
          <w:position w:val="6"/>
          <w:sz w:val="10"/>
        </w:rPr>
        <w:t>18 </w:t>
      </w:r>
      <w:r>
        <w:rPr>
          <w:rFonts w:ascii="Calibri" w:hAnsi="Calibri"/>
          <w:color w:val="231F20"/>
          <w:sz w:val="17"/>
        </w:rPr>
        <w:t>R. Vázquez García, (Ed.), </w:t>
      </w:r>
      <w:r>
        <w:rPr>
          <w:rFonts w:ascii="Calibri" w:hAnsi="Calibri"/>
          <w:i/>
          <w:color w:val="231F20"/>
          <w:sz w:val="17"/>
        </w:rPr>
        <w:t>Teorías actuales sobre el Estado contemporáneo</w:t>
      </w:r>
      <w:r>
        <w:rPr>
          <w:rFonts w:ascii="Calibri" w:hAnsi="Calibri"/>
          <w:color w:val="231F20"/>
          <w:sz w:val="17"/>
        </w:rPr>
        <w:t>, Granada, Universidad de Granada, 2011, p. 9.</w:t>
      </w:r>
    </w:p>
    <w:p>
      <w:pPr>
        <w:spacing w:line="203" w:lineRule="exact" w:before="0"/>
        <w:ind w:left="117" w:right="0" w:firstLine="0"/>
        <w:jc w:val="left"/>
        <w:rPr>
          <w:rFonts w:ascii="Calibri" w:hAnsi="Calibri"/>
          <w:sz w:val="17"/>
        </w:rPr>
      </w:pPr>
      <w:r>
        <w:rPr>
          <w:rFonts w:ascii="Calibri" w:hAnsi="Calibri"/>
          <w:color w:val="231F20"/>
          <w:position w:val="6"/>
          <w:sz w:val="10"/>
        </w:rPr>
        <w:t>19  </w:t>
      </w:r>
      <w:r>
        <w:rPr>
          <w:rFonts w:ascii="Calibri" w:hAnsi="Calibri"/>
          <w:color w:val="231F20"/>
          <w:sz w:val="17"/>
        </w:rPr>
        <w:t>N. Bobbio, “La politica tra soggetti e istituzioni: le lezioni dei classici”, </w:t>
      </w:r>
      <w:r>
        <w:rPr>
          <w:rFonts w:ascii="Calibri" w:hAnsi="Calibri"/>
          <w:i/>
          <w:color w:val="231F20"/>
          <w:sz w:val="17"/>
        </w:rPr>
        <w:t>Democrazia e diritto</w:t>
      </w:r>
      <w:r>
        <w:rPr>
          <w:rFonts w:ascii="Calibri" w:hAnsi="Calibri"/>
          <w:color w:val="231F20"/>
          <w:sz w:val="17"/>
        </w:rPr>
        <w:t>, vol.</w:t>
      </w:r>
    </w:p>
    <w:p>
      <w:pPr>
        <w:spacing w:line="206" w:lineRule="exact" w:before="0"/>
        <w:ind w:left="117" w:right="0" w:firstLine="0"/>
        <w:jc w:val="left"/>
        <w:rPr>
          <w:rFonts w:ascii="Calibri" w:hAnsi="Calibri"/>
          <w:sz w:val="17"/>
        </w:rPr>
      </w:pPr>
      <w:r>
        <w:rPr>
          <w:rFonts w:ascii="Calibri" w:hAnsi="Calibri"/>
          <w:color w:val="231F20"/>
          <w:sz w:val="14"/>
        </w:rPr>
        <w:t>XX</w:t>
      </w:r>
      <w:r>
        <w:rPr>
          <w:rFonts w:ascii="Calibri" w:hAnsi="Calibri"/>
          <w:color w:val="231F20"/>
          <w:sz w:val="17"/>
        </w:rPr>
        <w:t>, núm. 5, 1980, pp. 641–654.</w:t>
      </w:r>
    </w:p>
    <w:p>
      <w:pPr>
        <w:spacing w:after="0" w:line="206" w:lineRule="exact"/>
        <w:jc w:val="left"/>
        <w:rPr>
          <w:rFonts w:ascii="Calibri" w:hAnsi="Calibri"/>
          <w:sz w:val="17"/>
        </w:rPr>
        <w:sectPr>
          <w:type w:val="continuous"/>
          <w:pgSz w:w="9640" w:h="13890"/>
          <w:pgMar w:top="0" w:bottom="0" w:left="1300" w:right="1180"/>
        </w:sectPr>
      </w:pPr>
    </w:p>
    <w:p>
      <w:pPr>
        <w:pStyle w:val="BodyText"/>
        <w:spacing w:line="244" w:lineRule="auto" w:before="107"/>
        <w:ind w:left="103" w:right="110"/>
        <w:jc w:val="both"/>
      </w:pPr>
      <w:r>
        <w:rPr>
          <w:color w:val="231F20"/>
          <w:w w:val="105"/>
        </w:rPr>
        <w:t>la concorrenza tra i partiti, tale e come lo mostravano le teorie</w:t>
      </w:r>
      <w:r>
        <w:rPr>
          <w:color w:val="231F20"/>
          <w:spacing w:val="-39"/>
          <w:w w:val="105"/>
        </w:rPr>
        <w:t> </w:t>
      </w:r>
      <w:r>
        <w:rPr>
          <w:color w:val="231F20"/>
          <w:w w:val="105"/>
        </w:rPr>
        <w:t>politiche della democrazia a partire del secondo dopoguerra e il pieno sviluppo di ciò che era definito allora come la “grande política”, centrata proprio nella strutturazione spaziale della concorrenza tra partiti</w:t>
      </w:r>
      <w:r>
        <w:rPr>
          <w:color w:val="231F20"/>
          <w:w w:val="105"/>
          <w:position w:val="7"/>
          <w:sz w:val="12"/>
        </w:rPr>
        <w:t>20</w:t>
      </w:r>
      <w:r>
        <w:rPr>
          <w:color w:val="231F20"/>
          <w:w w:val="105"/>
        </w:rPr>
        <w:t>.</w:t>
      </w:r>
      <w:r>
        <w:rPr>
          <w:color w:val="231F20"/>
          <w:spacing w:val="-37"/>
          <w:w w:val="105"/>
        </w:rPr>
        <w:t> </w:t>
      </w:r>
      <w:r>
        <w:rPr>
          <w:color w:val="231F20"/>
          <w:w w:val="105"/>
        </w:rPr>
        <w:t>Un’elemento caratteristico</w:t>
      </w:r>
      <w:r>
        <w:rPr>
          <w:color w:val="231F20"/>
          <w:spacing w:val="-12"/>
          <w:w w:val="105"/>
        </w:rPr>
        <w:t> </w:t>
      </w:r>
      <w:r>
        <w:rPr>
          <w:color w:val="231F20"/>
          <w:w w:val="105"/>
        </w:rPr>
        <w:t>che</w:t>
      </w:r>
      <w:r>
        <w:rPr>
          <w:color w:val="231F20"/>
          <w:spacing w:val="-12"/>
          <w:w w:val="105"/>
        </w:rPr>
        <w:t> </w:t>
      </w:r>
      <w:r>
        <w:rPr>
          <w:color w:val="231F20"/>
          <w:w w:val="105"/>
        </w:rPr>
        <w:t>queste</w:t>
      </w:r>
      <w:r>
        <w:rPr>
          <w:color w:val="231F20"/>
          <w:spacing w:val="-12"/>
          <w:w w:val="105"/>
        </w:rPr>
        <w:t> </w:t>
      </w:r>
      <w:r>
        <w:rPr>
          <w:color w:val="231F20"/>
          <w:w w:val="105"/>
        </w:rPr>
        <w:t>concezioni</w:t>
      </w:r>
      <w:r>
        <w:rPr>
          <w:color w:val="231F20"/>
          <w:spacing w:val="-12"/>
          <w:w w:val="105"/>
        </w:rPr>
        <w:t> </w:t>
      </w:r>
      <w:r>
        <w:rPr>
          <w:color w:val="231F20"/>
          <w:w w:val="105"/>
        </w:rPr>
        <w:t>avvertivano</w:t>
      </w:r>
      <w:r>
        <w:rPr>
          <w:color w:val="231F20"/>
          <w:spacing w:val="-12"/>
          <w:w w:val="105"/>
        </w:rPr>
        <w:t> </w:t>
      </w:r>
      <w:r>
        <w:rPr>
          <w:color w:val="231F20"/>
          <w:w w:val="105"/>
        </w:rPr>
        <w:t>sulla</w:t>
      </w:r>
      <w:r>
        <w:rPr>
          <w:color w:val="231F20"/>
          <w:spacing w:val="-12"/>
          <w:w w:val="105"/>
        </w:rPr>
        <w:t> </w:t>
      </w:r>
      <w:r>
        <w:rPr>
          <w:color w:val="231F20"/>
          <w:w w:val="105"/>
        </w:rPr>
        <w:t>democrazia,</w:t>
      </w:r>
      <w:r>
        <w:rPr>
          <w:color w:val="231F20"/>
          <w:spacing w:val="-12"/>
          <w:w w:val="105"/>
        </w:rPr>
        <w:t> </w:t>
      </w:r>
      <w:r>
        <w:rPr>
          <w:color w:val="231F20"/>
          <w:w w:val="105"/>
        </w:rPr>
        <w:t>e</w:t>
      </w:r>
      <w:r>
        <w:rPr>
          <w:color w:val="231F20"/>
          <w:spacing w:val="-12"/>
          <w:w w:val="105"/>
        </w:rPr>
        <w:t> </w:t>
      </w:r>
      <w:r>
        <w:rPr>
          <w:color w:val="231F20"/>
          <w:w w:val="105"/>
        </w:rPr>
        <w:t>che resulta</w:t>
      </w:r>
      <w:r>
        <w:rPr>
          <w:color w:val="231F20"/>
          <w:spacing w:val="-31"/>
          <w:w w:val="105"/>
        </w:rPr>
        <w:t> </w:t>
      </w:r>
      <w:r>
        <w:rPr>
          <w:color w:val="231F20"/>
          <w:w w:val="105"/>
        </w:rPr>
        <w:t>opportuno</w:t>
      </w:r>
      <w:r>
        <w:rPr>
          <w:color w:val="231F20"/>
          <w:spacing w:val="-31"/>
          <w:w w:val="105"/>
        </w:rPr>
        <w:t> </w:t>
      </w:r>
      <w:r>
        <w:rPr>
          <w:color w:val="231F20"/>
          <w:w w:val="105"/>
        </w:rPr>
        <w:t>sottolineare,</w:t>
      </w:r>
      <w:r>
        <w:rPr>
          <w:color w:val="231F20"/>
          <w:spacing w:val="-31"/>
          <w:w w:val="105"/>
        </w:rPr>
        <w:t> </w:t>
      </w:r>
      <w:r>
        <w:rPr>
          <w:color w:val="231F20"/>
          <w:w w:val="105"/>
        </w:rPr>
        <w:t>era</w:t>
      </w:r>
      <w:r>
        <w:rPr>
          <w:color w:val="231F20"/>
          <w:spacing w:val="-31"/>
          <w:w w:val="105"/>
        </w:rPr>
        <w:t> </w:t>
      </w:r>
      <w:r>
        <w:rPr>
          <w:color w:val="231F20"/>
          <w:w w:val="105"/>
        </w:rPr>
        <w:t>quello</w:t>
      </w:r>
      <w:r>
        <w:rPr>
          <w:color w:val="231F20"/>
          <w:spacing w:val="-31"/>
          <w:w w:val="105"/>
        </w:rPr>
        <w:t> </w:t>
      </w:r>
      <w:r>
        <w:rPr>
          <w:color w:val="231F20"/>
          <w:w w:val="105"/>
        </w:rPr>
        <w:t>della</w:t>
      </w:r>
      <w:r>
        <w:rPr>
          <w:color w:val="231F20"/>
          <w:spacing w:val="-31"/>
          <w:w w:val="105"/>
        </w:rPr>
        <w:t> </w:t>
      </w:r>
      <w:r>
        <w:rPr>
          <w:color w:val="231F20"/>
          <w:w w:val="105"/>
        </w:rPr>
        <w:t>costatazione</w:t>
      </w:r>
      <w:r>
        <w:rPr>
          <w:color w:val="231F20"/>
          <w:spacing w:val="-31"/>
          <w:w w:val="105"/>
        </w:rPr>
        <w:t> </w:t>
      </w:r>
      <w:r>
        <w:rPr>
          <w:color w:val="231F20"/>
          <w:w w:val="105"/>
        </w:rPr>
        <w:t>della</w:t>
      </w:r>
      <w:r>
        <w:rPr>
          <w:color w:val="231F20"/>
          <w:spacing w:val="-31"/>
          <w:w w:val="105"/>
        </w:rPr>
        <w:t> </w:t>
      </w:r>
      <w:r>
        <w:rPr>
          <w:color w:val="231F20"/>
          <w:w w:val="105"/>
        </w:rPr>
        <w:t>crescita di</w:t>
      </w:r>
      <w:r>
        <w:rPr>
          <w:color w:val="231F20"/>
          <w:spacing w:val="-52"/>
          <w:w w:val="105"/>
        </w:rPr>
        <w:t> </w:t>
      </w:r>
      <w:r>
        <w:rPr>
          <w:color w:val="231F20"/>
          <w:w w:val="105"/>
        </w:rPr>
        <w:t>strutture</w:t>
      </w:r>
      <w:r>
        <w:rPr>
          <w:color w:val="231F20"/>
          <w:spacing w:val="-52"/>
          <w:w w:val="105"/>
        </w:rPr>
        <w:t> </w:t>
      </w:r>
      <w:r>
        <w:rPr>
          <w:color w:val="231F20"/>
          <w:w w:val="105"/>
        </w:rPr>
        <w:t>di</w:t>
      </w:r>
      <w:r>
        <w:rPr>
          <w:color w:val="231F20"/>
          <w:spacing w:val="-52"/>
          <w:w w:val="105"/>
        </w:rPr>
        <w:t> </w:t>
      </w:r>
      <w:r>
        <w:rPr>
          <w:color w:val="231F20"/>
          <w:w w:val="105"/>
        </w:rPr>
        <w:t>conflittualità</w:t>
      </w:r>
      <w:r>
        <w:rPr>
          <w:color w:val="231F20"/>
          <w:w w:val="105"/>
          <w:position w:val="7"/>
          <w:sz w:val="12"/>
        </w:rPr>
        <w:t>21</w:t>
      </w:r>
      <w:r>
        <w:rPr>
          <w:color w:val="231F20"/>
          <w:spacing w:val="-22"/>
          <w:w w:val="105"/>
          <w:position w:val="7"/>
          <w:sz w:val="12"/>
        </w:rPr>
        <w:t> </w:t>
      </w:r>
      <w:r>
        <w:rPr>
          <w:color w:val="231F20"/>
          <w:w w:val="105"/>
        </w:rPr>
        <w:t>che</w:t>
      </w:r>
      <w:r>
        <w:rPr>
          <w:color w:val="231F20"/>
          <w:spacing w:val="-52"/>
          <w:w w:val="105"/>
        </w:rPr>
        <w:t> </w:t>
      </w:r>
      <w:r>
        <w:rPr>
          <w:color w:val="231F20"/>
          <w:spacing w:val="-3"/>
          <w:w w:val="105"/>
        </w:rPr>
        <w:t>animarono</w:t>
      </w:r>
      <w:r>
        <w:rPr>
          <w:color w:val="231F20"/>
          <w:spacing w:val="-52"/>
          <w:w w:val="105"/>
        </w:rPr>
        <w:t> </w:t>
      </w:r>
      <w:r>
        <w:rPr>
          <w:color w:val="231F20"/>
          <w:w w:val="105"/>
        </w:rPr>
        <w:t>la</w:t>
      </w:r>
      <w:r>
        <w:rPr>
          <w:color w:val="231F20"/>
          <w:spacing w:val="-52"/>
          <w:w w:val="105"/>
        </w:rPr>
        <w:t> </w:t>
      </w:r>
      <w:r>
        <w:rPr>
          <w:color w:val="231F20"/>
          <w:spacing w:val="-3"/>
          <w:w w:val="105"/>
        </w:rPr>
        <w:t>concorrenza</w:t>
      </w:r>
      <w:r>
        <w:rPr>
          <w:color w:val="231F20"/>
          <w:spacing w:val="-52"/>
          <w:w w:val="105"/>
        </w:rPr>
        <w:t> </w:t>
      </w:r>
      <w:r>
        <w:rPr>
          <w:color w:val="231F20"/>
          <w:w w:val="105"/>
        </w:rPr>
        <w:t>tra</w:t>
      </w:r>
      <w:r>
        <w:rPr>
          <w:color w:val="231F20"/>
          <w:spacing w:val="-52"/>
          <w:w w:val="105"/>
        </w:rPr>
        <w:t> </w:t>
      </w:r>
      <w:r>
        <w:rPr>
          <w:color w:val="231F20"/>
          <w:w w:val="105"/>
        </w:rPr>
        <w:t>partiti</w:t>
      </w:r>
      <w:r>
        <w:rPr>
          <w:color w:val="231F20"/>
          <w:spacing w:val="-52"/>
          <w:w w:val="105"/>
        </w:rPr>
        <w:t> </w:t>
      </w:r>
      <w:r>
        <w:rPr>
          <w:color w:val="231F20"/>
          <w:w w:val="105"/>
        </w:rPr>
        <w:t>e</w:t>
      </w:r>
      <w:r>
        <w:rPr>
          <w:color w:val="231F20"/>
          <w:spacing w:val="-52"/>
          <w:w w:val="105"/>
        </w:rPr>
        <w:t> </w:t>
      </w:r>
      <w:r>
        <w:rPr>
          <w:color w:val="231F20"/>
          <w:w w:val="105"/>
        </w:rPr>
        <w:t>anche la</w:t>
      </w:r>
      <w:r>
        <w:rPr>
          <w:color w:val="231F20"/>
          <w:spacing w:val="-49"/>
          <w:w w:val="105"/>
        </w:rPr>
        <w:t> </w:t>
      </w:r>
      <w:r>
        <w:rPr>
          <w:color w:val="231F20"/>
          <w:w w:val="105"/>
        </w:rPr>
        <w:t>dinamica</w:t>
      </w:r>
      <w:r>
        <w:rPr>
          <w:color w:val="231F20"/>
          <w:spacing w:val="-49"/>
          <w:w w:val="105"/>
        </w:rPr>
        <w:t> </w:t>
      </w:r>
      <w:r>
        <w:rPr>
          <w:color w:val="231F20"/>
          <w:w w:val="105"/>
        </w:rPr>
        <w:t>del</w:t>
      </w:r>
      <w:r>
        <w:rPr>
          <w:color w:val="231F20"/>
          <w:spacing w:val="-49"/>
          <w:w w:val="105"/>
        </w:rPr>
        <w:t> </w:t>
      </w:r>
      <w:r>
        <w:rPr>
          <w:color w:val="231F20"/>
          <w:w w:val="105"/>
        </w:rPr>
        <w:t>campo</w:t>
      </w:r>
      <w:r>
        <w:rPr>
          <w:color w:val="231F20"/>
          <w:spacing w:val="-49"/>
          <w:w w:val="105"/>
        </w:rPr>
        <w:t> </w:t>
      </w:r>
      <w:r>
        <w:rPr>
          <w:color w:val="231F20"/>
          <w:w w:val="105"/>
        </w:rPr>
        <w:t>economico</w:t>
      </w:r>
      <w:r>
        <w:rPr>
          <w:color w:val="231F20"/>
          <w:w w:val="105"/>
          <w:position w:val="7"/>
          <w:sz w:val="12"/>
        </w:rPr>
        <w:t>22</w:t>
      </w:r>
      <w:r>
        <w:rPr>
          <w:color w:val="231F20"/>
          <w:w w:val="105"/>
        </w:rPr>
        <w:t>;</w:t>
      </w:r>
      <w:r>
        <w:rPr>
          <w:color w:val="231F20"/>
          <w:spacing w:val="-49"/>
          <w:w w:val="105"/>
        </w:rPr>
        <w:t> </w:t>
      </w:r>
      <w:r>
        <w:rPr>
          <w:color w:val="231F20"/>
          <w:w w:val="105"/>
        </w:rPr>
        <w:t>quello</w:t>
      </w:r>
      <w:r>
        <w:rPr>
          <w:color w:val="231F20"/>
          <w:spacing w:val="-49"/>
          <w:w w:val="105"/>
        </w:rPr>
        <w:t> </w:t>
      </w:r>
      <w:r>
        <w:rPr>
          <w:color w:val="231F20"/>
          <w:w w:val="105"/>
        </w:rPr>
        <w:t>della</w:t>
      </w:r>
      <w:r>
        <w:rPr>
          <w:color w:val="231F20"/>
          <w:spacing w:val="-49"/>
          <w:w w:val="105"/>
        </w:rPr>
        <w:t> </w:t>
      </w:r>
      <w:r>
        <w:rPr>
          <w:color w:val="231F20"/>
          <w:w w:val="105"/>
        </w:rPr>
        <w:t>política</w:t>
      </w:r>
      <w:r>
        <w:rPr>
          <w:color w:val="231F20"/>
          <w:spacing w:val="-49"/>
          <w:w w:val="105"/>
        </w:rPr>
        <w:t> </w:t>
      </w:r>
      <w:r>
        <w:rPr>
          <w:color w:val="231F20"/>
          <w:w w:val="105"/>
        </w:rPr>
        <w:t>distributiva</w:t>
      </w:r>
      <w:r>
        <w:rPr>
          <w:color w:val="231F20"/>
          <w:spacing w:val="-49"/>
          <w:w w:val="105"/>
        </w:rPr>
        <w:t> </w:t>
      </w:r>
      <w:r>
        <w:rPr>
          <w:color w:val="231F20"/>
          <w:w w:val="105"/>
        </w:rPr>
        <w:t>verso</w:t>
      </w:r>
      <w:r>
        <w:rPr>
          <w:color w:val="231F20"/>
          <w:spacing w:val="-49"/>
          <w:w w:val="105"/>
        </w:rPr>
        <w:t> </w:t>
      </w:r>
      <w:r>
        <w:rPr>
          <w:color w:val="231F20"/>
          <w:w w:val="105"/>
        </w:rPr>
        <w:t>la società</w:t>
      </w:r>
      <w:r>
        <w:rPr>
          <w:color w:val="231F20"/>
          <w:spacing w:val="-45"/>
          <w:w w:val="105"/>
        </w:rPr>
        <w:t> </w:t>
      </w:r>
      <w:r>
        <w:rPr>
          <w:color w:val="231F20"/>
          <w:w w:val="105"/>
        </w:rPr>
        <w:t>(attraverso</w:t>
      </w:r>
      <w:r>
        <w:rPr>
          <w:color w:val="231F20"/>
          <w:spacing w:val="-45"/>
          <w:w w:val="105"/>
        </w:rPr>
        <w:t> </w:t>
      </w:r>
      <w:r>
        <w:rPr>
          <w:color w:val="231F20"/>
          <w:w w:val="105"/>
        </w:rPr>
        <w:t>la</w:t>
      </w:r>
      <w:r>
        <w:rPr>
          <w:color w:val="231F20"/>
          <w:spacing w:val="-45"/>
          <w:w w:val="105"/>
        </w:rPr>
        <w:t> </w:t>
      </w:r>
      <w:r>
        <w:rPr>
          <w:color w:val="231F20"/>
          <w:w w:val="105"/>
        </w:rPr>
        <w:t>funzione</w:t>
      </w:r>
      <w:r>
        <w:rPr>
          <w:color w:val="231F20"/>
          <w:spacing w:val="-45"/>
          <w:w w:val="105"/>
        </w:rPr>
        <w:t> </w:t>
      </w:r>
      <w:r>
        <w:rPr>
          <w:color w:val="231F20"/>
          <w:w w:val="105"/>
        </w:rPr>
        <w:t>del</w:t>
      </w:r>
      <w:r>
        <w:rPr>
          <w:color w:val="231F20"/>
          <w:spacing w:val="-45"/>
          <w:w w:val="105"/>
        </w:rPr>
        <w:t> </w:t>
      </w:r>
      <w:r>
        <w:rPr>
          <w:rFonts w:ascii="Arial" w:hAnsi="Arial"/>
          <w:i/>
          <w:color w:val="231F20"/>
          <w:w w:val="105"/>
        </w:rPr>
        <w:t>welfare</w:t>
      </w:r>
      <w:r>
        <w:rPr>
          <w:color w:val="231F20"/>
          <w:w w:val="105"/>
        </w:rPr>
        <w:t>);</w:t>
      </w:r>
      <w:r>
        <w:rPr>
          <w:color w:val="231F20"/>
          <w:spacing w:val="-45"/>
          <w:w w:val="105"/>
        </w:rPr>
        <w:t> </w:t>
      </w:r>
      <w:r>
        <w:rPr>
          <w:color w:val="231F20"/>
          <w:w w:val="105"/>
        </w:rPr>
        <w:t>ma</w:t>
      </w:r>
      <w:r>
        <w:rPr>
          <w:color w:val="231F20"/>
          <w:spacing w:val="-45"/>
          <w:w w:val="105"/>
        </w:rPr>
        <w:t> </w:t>
      </w:r>
      <w:r>
        <w:rPr>
          <w:color w:val="231F20"/>
          <w:w w:val="105"/>
        </w:rPr>
        <w:t>soprattutto</w:t>
      </w:r>
      <w:r>
        <w:rPr>
          <w:color w:val="231F20"/>
          <w:spacing w:val="-45"/>
          <w:w w:val="105"/>
        </w:rPr>
        <w:t> </w:t>
      </w:r>
      <w:r>
        <w:rPr>
          <w:color w:val="231F20"/>
          <w:w w:val="105"/>
        </w:rPr>
        <w:t>la</w:t>
      </w:r>
      <w:r>
        <w:rPr>
          <w:color w:val="231F20"/>
          <w:spacing w:val="-45"/>
          <w:w w:val="105"/>
        </w:rPr>
        <w:t> </w:t>
      </w:r>
      <w:r>
        <w:rPr>
          <w:color w:val="231F20"/>
          <w:w w:val="105"/>
        </w:rPr>
        <w:t>congiunzione dell’ordine statale come fenomeno d’integrazione macro-politico (</w:t>
      </w:r>
      <w:r>
        <w:rPr>
          <w:rFonts w:ascii="Arial" w:hAnsi="Arial"/>
          <w:i/>
          <w:color w:val="231F20"/>
          <w:w w:val="105"/>
        </w:rPr>
        <w:t>state </w:t>
      </w:r>
      <w:r>
        <w:rPr>
          <w:rFonts w:ascii="Arial" w:hAnsi="Arial"/>
          <w:i/>
          <w:color w:val="231F20"/>
          <w:spacing w:val="2"/>
          <w:w w:val="105"/>
        </w:rPr>
        <w:t>building</w:t>
      </w:r>
      <w:r>
        <w:rPr>
          <w:color w:val="231F20"/>
          <w:spacing w:val="2"/>
          <w:w w:val="105"/>
        </w:rPr>
        <w:t>) </w:t>
      </w:r>
      <w:r>
        <w:rPr>
          <w:color w:val="231F20"/>
          <w:w w:val="105"/>
        </w:rPr>
        <w:t>con </w:t>
      </w:r>
      <w:r>
        <w:rPr>
          <w:color w:val="231F20"/>
          <w:spacing w:val="2"/>
          <w:w w:val="105"/>
        </w:rPr>
        <w:t>quella dello sviluppo istituzionale dell’apparato </w:t>
      </w:r>
      <w:r>
        <w:rPr>
          <w:color w:val="231F20"/>
          <w:w w:val="105"/>
        </w:rPr>
        <w:t>di </w:t>
      </w:r>
      <w:r>
        <w:rPr>
          <w:color w:val="231F20"/>
          <w:spacing w:val="2"/>
          <w:w w:val="105"/>
        </w:rPr>
        <w:t>Stato. </w:t>
      </w:r>
      <w:r>
        <w:rPr>
          <w:color w:val="231F20"/>
          <w:w w:val="105"/>
        </w:rPr>
        <w:t>Insomma, appare la conferma di un campo differenziale di</w:t>
      </w:r>
      <w:r>
        <w:rPr>
          <w:color w:val="231F20"/>
          <w:spacing w:val="-41"/>
          <w:w w:val="105"/>
        </w:rPr>
        <w:t> </w:t>
      </w:r>
      <w:r>
        <w:rPr>
          <w:color w:val="231F20"/>
          <w:w w:val="105"/>
        </w:rPr>
        <w:t>controversie inerente allo sviluppo della democrazia nel passaggio che va dagli anni cinquanta</w:t>
      </w:r>
      <w:r>
        <w:rPr>
          <w:color w:val="231F20"/>
          <w:spacing w:val="-31"/>
          <w:w w:val="105"/>
        </w:rPr>
        <w:t> </w:t>
      </w:r>
      <w:r>
        <w:rPr>
          <w:color w:val="231F20"/>
          <w:w w:val="105"/>
        </w:rPr>
        <w:t>del</w:t>
      </w:r>
      <w:r>
        <w:rPr>
          <w:color w:val="231F20"/>
          <w:spacing w:val="-31"/>
          <w:w w:val="105"/>
        </w:rPr>
        <w:t> </w:t>
      </w:r>
      <w:r>
        <w:rPr>
          <w:color w:val="231F20"/>
          <w:w w:val="105"/>
        </w:rPr>
        <w:t>secolo</w:t>
      </w:r>
      <w:r>
        <w:rPr>
          <w:color w:val="231F20"/>
          <w:spacing w:val="-31"/>
          <w:w w:val="105"/>
        </w:rPr>
        <w:t> </w:t>
      </w:r>
      <w:r>
        <w:rPr>
          <w:color w:val="231F20"/>
          <w:w w:val="105"/>
        </w:rPr>
        <w:t>scorso</w:t>
      </w:r>
      <w:r>
        <w:rPr>
          <w:color w:val="231F20"/>
          <w:spacing w:val="-31"/>
          <w:w w:val="105"/>
        </w:rPr>
        <w:t> </w:t>
      </w:r>
      <w:r>
        <w:rPr>
          <w:color w:val="231F20"/>
          <w:w w:val="105"/>
        </w:rPr>
        <w:t>fino</w:t>
      </w:r>
      <w:r>
        <w:rPr>
          <w:color w:val="231F20"/>
          <w:spacing w:val="-31"/>
          <w:w w:val="105"/>
        </w:rPr>
        <w:t> </w:t>
      </w:r>
      <w:r>
        <w:rPr>
          <w:color w:val="231F20"/>
          <w:w w:val="105"/>
        </w:rPr>
        <w:t>alla</w:t>
      </w:r>
      <w:r>
        <w:rPr>
          <w:color w:val="231F20"/>
          <w:spacing w:val="-31"/>
          <w:w w:val="105"/>
        </w:rPr>
        <w:t> </w:t>
      </w:r>
      <w:r>
        <w:rPr>
          <w:color w:val="231F20"/>
          <w:w w:val="105"/>
        </w:rPr>
        <w:t>fine</w:t>
      </w:r>
      <w:r>
        <w:rPr>
          <w:color w:val="231F20"/>
          <w:spacing w:val="-31"/>
          <w:w w:val="105"/>
        </w:rPr>
        <w:t> </w:t>
      </w:r>
      <w:r>
        <w:rPr>
          <w:color w:val="231F20"/>
          <w:w w:val="105"/>
        </w:rPr>
        <w:t>degli</w:t>
      </w:r>
      <w:r>
        <w:rPr>
          <w:color w:val="231F20"/>
          <w:spacing w:val="-31"/>
          <w:w w:val="105"/>
        </w:rPr>
        <w:t> </w:t>
      </w:r>
      <w:r>
        <w:rPr>
          <w:color w:val="231F20"/>
          <w:w w:val="105"/>
        </w:rPr>
        <w:t>anni</w:t>
      </w:r>
      <w:r>
        <w:rPr>
          <w:color w:val="231F20"/>
          <w:spacing w:val="-31"/>
          <w:w w:val="105"/>
        </w:rPr>
        <w:t> </w:t>
      </w:r>
      <w:r>
        <w:rPr>
          <w:color w:val="231F20"/>
          <w:w w:val="105"/>
        </w:rPr>
        <w:t>settanta.</w:t>
      </w:r>
    </w:p>
    <w:p>
      <w:pPr>
        <w:pStyle w:val="BodyText"/>
        <w:spacing w:line="247" w:lineRule="auto" w:before="1"/>
        <w:ind w:left="103" w:right="114" w:firstLine="566"/>
        <w:jc w:val="both"/>
      </w:pPr>
      <w:r>
        <w:rPr>
          <w:color w:val="231F20"/>
        </w:rPr>
        <w:t>Allora,</w:t>
      </w:r>
      <w:r>
        <w:rPr>
          <w:color w:val="231F20"/>
          <w:spacing w:val="-13"/>
        </w:rPr>
        <w:t> </w:t>
      </w:r>
      <w:r>
        <w:rPr>
          <w:color w:val="231F20"/>
          <w:spacing w:val="-3"/>
        </w:rPr>
        <w:t>potremo</w:t>
      </w:r>
      <w:r>
        <w:rPr>
          <w:color w:val="231F20"/>
          <w:spacing w:val="-13"/>
        </w:rPr>
        <w:t> </w:t>
      </w:r>
      <w:r>
        <w:rPr>
          <w:color w:val="231F20"/>
          <w:spacing w:val="-3"/>
        </w:rPr>
        <w:t>argomentare</w:t>
      </w:r>
      <w:r>
        <w:rPr>
          <w:color w:val="231F20"/>
          <w:spacing w:val="-13"/>
        </w:rPr>
        <w:t> </w:t>
      </w:r>
      <w:r>
        <w:rPr>
          <w:color w:val="231F20"/>
        </w:rPr>
        <w:t>che</w:t>
      </w:r>
      <w:r>
        <w:rPr>
          <w:color w:val="231F20"/>
          <w:spacing w:val="-13"/>
        </w:rPr>
        <w:t> </w:t>
      </w:r>
      <w:r>
        <w:rPr>
          <w:color w:val="231F20"/>
        </w:rPr>
        <w:t>la</w:t>
      </w:r>
      <w:r>
        <w:rPr>
          <w:color w:val="231F20"/>
          <w:spacing w:val="-13"/>
        </w:rPr>
        <w:t> </w:t>
      </w:r>
      <w:r>
        <w:rPr>
          <w:color w:val="231F20"/>
        </w:rPr>
        <w:t>democrazia</w:t>
      </w:r>
      <w:r>
        <w:rPr>
          <w:color w:val="231F20"/>
          <w:spacing w:val="-13"/>
        </w:rPr>
        <w:t> </w:t>
      </w:r>
      <w:r>
        <w:rPr>
          <w:color w:val="231F20"/>
        </w:rPr>
        <w:t>contemporanea</w:t>
      </w:r>
      <w:r>
        <w:rPr>
          <w:color w:val="231F20"/>
          <w:spacing w:val="-13"/>
        </w:rPr>
        <w:t> </w:t>
      </w:r>
      <w:r>
        <w:rPr>
          <w:color w:val="231F20"/>
        </w:rPr>
        <w:t>è</w:t>
      </w:r>
      <w:r>
        <w:rPr>
          <w:color w:val="231F20"/>
          <w:spacing w:val="-13"/>
        </w:rPr>
        <w:t> </w:t>
      </w:r>
      <w:r>
        <w:rPr>
          <w:color w:val="231F20"/>
        </w:rPr>
        <w:t>una forma storica di organizazzione del comune che non riesce la riduzione a “tasso</w:t>
      </w:r>
      <w:r>
        <w:rPr>
          <w:color w:val="231F20"/>
          <w:spacing w:val="-7"/>
        </w:rPr>
        <w:t> </w:t>
      </w:r>
      <w:r>
        <w:rPr>
          <w:color w:val="231F20"/>
        </w:rPr>
        <w:t>zero”</w:t>
      </w:r>
      <w:r>
        <w:rPr>
          <w:color w:val="231F20"/>
          <w:spacing w:val="-7"/>
        </w:rPr>
        <w:t> </w:t>
      </w:r>
      <w:r>
        <w:rPr>
          <w:color w:val="231F20"/>
        </w:rPr>
        <w:t>della</w:t>
      </w:r>
      <w:r>
        <w:rPr>
          <w:color w:val="231F20"/>
          <w:spacing w:val="-7"/>
        </w:rPr>
        <w:t> </w:t>
      </w:r>
      <w:r>
        <w:rPr>
          <w:color w:val="231F20"/>
        </w:rPr>
        <w:t>questione</w:t>
      </w:r>
      <w:r>
        <w:rPr>
          <w:color w:val="231F20"/>
          <w:spacing w:val="-7"/>
        </w:rPr>
        <w:t> </w:t>
      </w:r>
      <w:r>
        <w:rPr>
          <w:color w:val="231F20"/>
        </w:rPr>
        <w:t>del</w:t>
      </w:r>
      <w:r>
        <w:rPr>
          <w:color w:val="231F20"/>
          <w:spacing w:val="-7"/>
        </w:rPr>
        <w:t> </w:t>
      </w:r>
      <w:r>
        <w:rPr>
          <w:color w:val="231F20"/>
        </w:rPr>
        <w:t>disordine,</w:t>
      </w:r>
      <w:r>
        <w:rPr>
          <w:color w:val="231F20"/>
          <w:spacing w:val="-7"/>
        </w:rPr>
        <w:t> </w:t>
      </w:r>
      <w:r>
        <w:rPr>
          <w:color w:val="231F20"/>
        </w:rPr>
        <w:t>la</w:t>
      </w:r>
      <w:r>
        <w:rPr>
          <w:color w:val="231F20"/>
          <w:spacing w:val="-7"/>
        </w:rPr>
        <w:t> </w:t>
      </w:r>
      <w:r>
        <w:rPr>
          <w:color w:val="231F20"/>
        </w:rPr>
        <w:t>insubordinazione</w:t>
      </w:r>
      <w:r>
        <w:rPr>
          <w:color w:val="231F20"/>
          <w:spacing w:val="-7"/>
        </w:rPr>
        <w:t> </w:t>
      </w:r>
      <w:r>
        <w:rPr>
          <w:color w:val="231F20"/>
        </w:rPr>
        <w:t>e</w:t>
      </w:r>
      <w:r>
        <w:rPr>
          <w:color w:val="231F20"/>
          <w:spacing w:val="-7"/>
        </w:rPr>
        <w:t> </w:t>
      </w:r>
      <w:r>
        <w:rPr>
          <w:color w:val="231F20"/>
        </w:rPr>
        <w:t>lo</w:t>
      </w:r>
      <w:r>
        <w:rPr>
          <w:color w:val="231F20"/>
          <w:spacing w:val="-7"/>
        </w:rPr>
        <w:t> </w:t>
      </w:r>
      <w:r>
        <w:rPr>
          <w:color w:val="231F20"/>
        </w:rPr>
        <w:t>sviluppo del “pluralismo” del sociale. Ad esempio, in America Latina la protesta negli ultimi anni è stata legata ai chiamati conflitti di riproduzione sociale, che esprimono un aperto carattere “difensivo” (conservazione dei diritti)   e sono raggruppati in tre grandi direzioni: a) conflitti di riproduzione dove appaiono proteste che seguono la soddisfazione di richieste fondamentali come lo stipendio, le prerogative alle proprietà e le “mobilitazioni contro certe misure politiche o sociali che si percepiscono como minacciose dello </w:t>
      </w:r>
      <w:r>
        <w:rPr>
          <w:rFonts w:ascii="Arial" w:hAnsi="Arial"/>
          <w:i/>
          <w:color w:val="231F20"/>
        </w:rPr>
        <w:t>status quo</w:t>
      </w:r>
      <w:r>
        <w:rPr>
          <w:color w:val="231F20"/>
        </w:rPr>
        <w:t>”; b) conflitti istituzionali e di gestione amministrativa, tali come i servizi pubblici, l’amministrazione locale e le “misure legali”; c) i conflitti culturali come le mobilitazioni per l’esigenza di sicurezza cittadina, i diritti fondamentali e le</w:t>
      </w:r>
      <w:r>
        <w:rPr>
          <w:color w:val="231F20"/>
          <w:spacing w:val="14"/>
        </w:rPr>
        <w:t> </w:t>
      </w:r>
      <w:r>
        <w:rPr>
          <w:color w:val="231F20"/>
        </w:rPr>
        <w:t>identità</w:t>
      </w:r>
      <w:r>
        <w:rPr>
          <w:color w:val="231F20"/>
          <w:position w:val="7"/>
          <w:sz w:val="12"/>
        </w:rPr>
        <w:t>23</w:t>
      </w:r>
      <w:r>
        <w:rPr>
          <w:color w:val="231F20"/>
        </w:rPr>
        <w:t>.</w:t>
      </w:r>
    </w:p>
    <w:p>
      <w:pPr>
        <w:pStyle w:val="BodyText"/>
        <w:spacing w:line="247" w:lineRule="auto"/>
        <w:ind w:left="103" w:right="111" w:firstLine="566"/>
        <w:jc w:val="both"/>
      </w:pPr>
      <w:r>
        <w:rPr>
          <w:color w:val="231F20"/>
          <w:w w:val="105"/>
        </w:rPr>
        <w:t>In sintesi, le dinamiche sociali che dirigono le loro richieste verso determinate</w:t>
      </w:r>
      <w:r>
        <w:rPr>
          <w:color w:val="231F20"/>
          <w:spacing w:val="-36"/>
          <w:w w:val="105"/>
        </w:rPr>
        <w:t> </w:t>
      </w:r>
      <w:r>
        <w:rPr>
          <w:color w:val="231F20"/>
          <w:w w:val="105"/>
        </w:rPr>
        <w:t>istituzioni</w:t>
      </w:r>
      <w:r>
        <w:rPr>
          <w:color w:val="231F20"/>
          <w:spacing w:val="-36"/>
          <w:w w:val="105"/>
        </w:rPr>
        <w:t> </w:t>
      </w:r>
      <w:r>
        <w:rPr>
          <w:color w:val="231F20"/>
          <w:w w:val="105"/>
        </w:rPr>
        <w:t>del</w:t>
      </w:r>
      <w:r>
        <w:rPr>
          <w:color w:val="231F20"/>
          <w:spacing w:val="-36"/>
          <w:w w:val="105"/>
        </w:rPr>
        <w:t> </w:t>
      </w:r>
      <w:r>
        <w:rPr>
          <w:color w:val="231F20"/>
          <w:w w:val="105"/>
        </w:rPr>
        <w:t>apparato</w:t>
      </w:r>
      <w:r>
        <w:rPr>
          <w:color w:val="231F20"/>
          <w:spacing w:val="-36"/>
          <w:w w:val="105"/>
        </w:rPr>
        <w:t> </w:t>
      </w:r>
      <w:r>
        <w:rPr>
          <w:color w:val="231F20"/>
          <w:w w:val="105"/>
        </w:rPr>
        <w:t>di</w:t>
      </w:r>
      <w:r>
        <w:rPr>
          <w:color w:val="231F20"/>
          <w:spacing w:val="-36"/>
          <w:w w:val="105"/>
        </w:rPr>
        <w:t> </w:t>
      </w:r>
      <w:r>
        <w:rPr>
          <w:color w:val="231F20"/>
          <w:w w:val="105"/>
        </w:rPr>
        <w:t>Stato,</w:t>
      </w:r>
      <w:r>
        <w:rPr>
          <w:color w:val="231F20"/>
          <w:spacing w:val="-36"/>
          <w:w w:val="105"/>
        </w:rPr>
        <w:t> </w:t>
      </w:r>
      <w:r>
        <w:rPr>
          <w:color w:val="231F20"/>
          <w:w w:val="105"/>
        </w:rPr>
        <w:t>hanno</w:t>
      </w:r>
      <w:r>
        <w:rPr>
          <w:color w:val="231F20"/>
          <w:spacing w:val="-36"/>
          <w:w w:val="105"/>
        </w:rPr>
        <w:t> </w:t>
      </w:r>
      <w:r>
        <w:rPr>
          <w:color w:val="231F20"/>
          <w:w w:val="105"/>
        </w:rPr>
        <w:t>bisogno</w:t>
      </w:r>
      <w:r>
        <w:rPr>
          <w:color w:val="231F20"/>
          <w:spacing w:val="-36"/>
          <w:w w:val="105"/>
        </w:rPr>
        <w:t> </w:t>
      </w:r>
      <w:r>
        <w:rPr>
          <w:color w:val="231F20"/>
          <w:w w:val="105"/>
        </w:rPr>
        <w:t>di</w:t>
      </w:r>
      <w:r>
        <w:rPr>
          <w:color w:val="231F20"/>
          <w:spacing w:val="-36"/>
          <w:w w:val="105"/>
        </w:rPr>
        <w:t> </w:t>
      </w:r>
      <w:r>
        <w:rPr>
          <w:color w:val="231F20"/>
          <w:w w:val="105"/>
        </w:rPr>
        <w:t>un</w:t>
      </w:r>
      <w:r>
        <w:rPr>
          <w:color w:val="231F20"/>
          <w:spacing w:val="-36"/>
          <w:w w:val="105"/>
        </w:rPr>
        <w:t> </w:t>
      </w:r>
      <w:r>
        <w:rPr>
          <w:color w:val="231F20"/>
          <w:w w:val="105"/>
        </w:rPr>
        <w:t>contesto democratico che garantisca la loro partecipazione e la loro risposta. In questo</w:t>
      </w:r>
      <w:r>
        <w:rPr>
          <w:color w:val="231F20"/>
          <w:spacing w:val="-13"/>
          <w:w w:val="105"/>
        </w:rPr>
        <w:t> </w:t>
      </w:r>
      <w:r>
        <w:rPr>
          <w:color w:val="231F20"/>
          <w:w w:val="105"/>
        </w:rPr>
        <w:t>modo</w:t>
      </w:r>
      <w:r>
        <w:rPr>
          <w:color w:val="231F20"/>
          <w:spacing w:val="-13"/>
          <w:w w:val="105"/>
        </w:rPr>
        <w:t> </w:t>
      </w:r>
      <w:r>
        <w:rPr>
          <w:color w:val="231F20"/>
          <w:w w:val="105"/>
        </w:rPr>
        <w:t>riusciamo</w:t>
      </w:r>
      <w:r>
        <w:rPr>
          <w:color w:val="231F20"/>
          <w:spacing w:val="-13"/>
          <w:w w:val="105"/>
        </w:rPr>
        <w:t> </w:t>
      </w:r>
      <w:r>
        <w:rPr>
          <w:color w:val="231F20"/>
          <w:w w:val="105"/>
        </w:rPr>
        <w:t>a</w:t>
      </w:r>
      <w:r>
        <w:rPr>
          <w:color w:val="231F20"/>
          <w:spacing w:val="-13"/>
          <w:w w:val="105"/>
        </w:rPr>
        <w:t> </w:t>
      </w:r>
      <w:r>
        <w:rPr>
          <w:color w:val="231F20"/>
          <w:w w:val="105"/>
        </w:rPr>
        <w:t>capire</w:t>
      </w:r>
      <w:r>
        <w:rPr>
          <w:color w:val="231F20"/>
          <w:spacing w:val="-13"/>
          <w:w w:val="105"/>
        </w:rPr>
        <w:t> </w:t>
      </w:r>
      <w:r>
        <w:rPr>
          <w:color w:val="231F20"/>
          <w:w w:val="105"/>
        </w:rPr>
        <w:t>perchè</w:t>
      </w:r>
      <w:r>
        <w:rPr>
          <w:color w:val="231F20"/>
          <w:spacing w:val="-13"/>
          <w:w w:val="105"/>
        </w:rPr>
        <w:t> </w:t>
      </w:r>
      <w:r>
        <w:rPr>
          <w:color w:val="231F20"/>
          <w:w w:val="105"/>
        </w:rPr>
        <w:t>la</w:t>
      </w:r>
      <w:r>
        <w:rPr>
          <w:color w:val="231F20"/>
          <w:spacing w:val="-13"/>
          <w:w w:val="105"/>
        </w:rPr>
        <w:t> </w:t>
      </w:r>
      <w:r>
        <w:rPr>
          <w:color w:val="231F20"/>
          <w:w w:val="105"/>
        </w:rPr>
        <w:t>logica</w:t>
      </w:r>
      <w:r>
        <w:rPr>
          <w:color w:val="231F20"/>
          <w:spacing w:val="-13"/>
          <w:w w:val="105"/>
        </w:rPr>
        <w:t> </w:t>
      </w:r>
      <w:r>
        <w:rPr>
          <w:color w:val="231F20"/>
          <w:w w:val="105"/>
        </w:rPr>
        <w:t>del</w:t>
      </w:r>
      <w:r>
        <w:rPr>
          <w:color w:val="231F20"/>
          <w:spacing w:val="-13"/>
          <w:w w:val="105"/>
        </w:rPr>
        <w:t> </w:t>
      </w:r>
      <w:r>
        <w:rPr>
          <w:color w:val="231F20"/>
          <w:w w:val="105"/>
        </w:rPr>
        <w:t>“buon</w:t>
      </w:r>
      <w:r>
        <w:rPr>
          <w:color w:val="231F20"/>
          <w:spacing w:val="-13"/>
          <w:w w:val="105"/>
        </w:rPr>
        <w:t> </w:t>
      </w:r>
      <w:r>
        <w:rPr>
          <w:color w:val="231F20"/>
          <w:w w:val="105"/>
        </w:rPr>
        <w:t>governo”</w:t>
      </w:r>
      <w:r>
        <w:rPr>
          <w:color w:val="231F20"/>
          <w:spacing w:val="-13"/>
          <w:w w:val="105"/>
        </w:rPr>
        <w:t> </w:t>
      </w:r>
      <w:r>
        <w:rPr>
          <w:color w:val="231F20"/>
          <w:w w:val="105"/>
        </w:rPr>
        <w:t>e</w:t>
      </w:r>
      <w:r>
        <w:rPr>
          <w:color w:val="231F20"/>
          <w:spacing w:val="-13"/>
          <w:w w:val="105"/>
        </w:rPr>
        <w:t> </w:t>
      </w:r>
      <w:r>
        <w:rPr>
          <w:color w:val="231F20"/>
          <w:w w:val="105"/>
        </w:rPr>
        <w:t>la governance</w:t>
      </w:r>
      <w:r>
        <w:rPr>
          <w:color w:val="231F20"/>
          <w:spacing w:val="-50"/>
          <w:w w:val="105"/>
        </w:rPr>
        <w:t> </w:t>
      </w:r>
      <w:r>
        <w:rPr>
          <w:color w:val="231F20"/>
          <w:w w:val="105"/>
        </w:rPr>
        <w:t>democratica</w:t>
      </w:r>
      <w:r>
        <w:rPr>
          <w:color w:val="231F20"/>
          <w:spacing w:val="-50"/>
          <w:w w:val="105"/>
        </w:rPr>
        <w:t> </w:t>
      </w:r>
      <w:r>
        <w:rPr>
          <w:color w:val="231F20"/>
          <w:w w:val="105"/>
        </w:rPr>
        <w:t>hanno</w:t>
      </w:r>
      <w:r>
        <w:rPr>
          <w:color w:val="231F20"/>
          <w:spacing w:val="-50"/>
          <w:w w:val="105"/>
        </w:rPr>
        <w:t> </w:t>
      </w:r>
      <w:r>
        <w:rPr>
          <w:color w:val="231F20"/>
          <w:spacing w:val="-3"/>
          <w:w w:val="105"/>
        </w:rPr>
        <w:t>preteso</w:t>
      </w:r>
      <w:r>
        <w:rPr>
          <w:color w:val="231F20"/>
          <w:spacing w:val="-50"/>
          <w:w w:val="105"/>
        </w:rPr>
        <w:t> </w:t>
      </w:r>
      <w:r>
        <w:rPr>
          <w:color w:val="231F20"/>
          <w:w w:val="105"/>
        </w:rPr>
        <w:t>di</w:t>
      </w:r>
      <w:r>
        <w:rPr>
          <w:color w:val="231F20"/>
          <w:spacing w:val="-50"/>
          <w:w w:val="105"/>
        </w:rPr>
        <w:t> </w:t>
      </w:r>
      <w:r>
        <w:rPr>
          <w:color w:val="231F20"/>
          <w:spacing w:val="-3"/>
          <w:w w:val="105"/>
        </w:rPr>
        <w:t>diventare</w:t>
      </w:r>
      <w:r>
        <w:rPr>
          <w:color w:val="231F20"/>
          <w:spacing w:val="-50"/>
          <w:w w:val="105"/>
        </w:rPr>
        <w:t> </w:t>
      </w:r>
      <w:r>
        <w:rPr>
          <w:color w:val="231F20"/>
          <w:w w:val="105"/>
        </w:rPr>
        <w:t>nelle</w:t>
      </w:r>
      <w:r>
        <w:rPr>
          <w:color w:val="231F20"/>
          <w:spacing w:val="-50"/>
          <w:w w:val="105"/>
        </w:rPr>
        <w:t> </w:t>
      </w:r>
      <w:r>
        <w:rPr>
          <w:color w:val="231F20"/>
          <w:w w:val="105"/>
        </w:rPr>
        <w:t>ultime</w:t>
      </w:r>
      <w:r>
        <w:rPr>
          <w:color w:val="231F20"/>
          <w:spacing w:val="-50"/>
          <w:w w:val="105"/>
        </w:rPr>
        <w:t> </w:t>
      </w:r>
      <w:r>
        <w:rPr>
          <w:color w:val="231F20"/>
          <w:w w:val="105"/>
        </w:rPr>
        <w:t>due</w:t>
      </w:r>
      <w:r>
        <w:rPr>
          <w:color w:val="231F20"/>
          <w:spacing w:val="-50"/>
          <w:w w:val="105"/>
        </w:rPr>
        <w:t> </w:t>
      </w:r>
      <w:r>
        <w:rPr>
          <w:color w:val="231F20"/>
          <w:w w:val="105"/>
        </w:rPr>
        <w:t>decadi</w:t>
      </w:r>
    </w:p>
    <w:p>
      <w:pPr>
        <w:pStyle w:val="BodyText"/>
        <w:rPr>
          <w:sz w:val="20"/>
        </w:rPr>
      </w:pPr>
    </w:p>
    <w:p>
      <w:pPr>
        <w:pStyle w:val="BodyText"/>
        <w:spacing w:before="4"/>
        <w:rPr>
          <w:sz w:val="29"/>
        </w:rPr>
      </w:pPr>
      <w:r>
        <w:rPr/>
        <w:pict>
          <v:line style="position:absolute;mso-position-horizontal-relative:page;mso-position-vertical-relative:paragraph;z-index:13504;mso-wrap-distance-left:0;mso-wrap-distance-right:0" from="65.196899pt,19.836672pt" to="178.582899pt,19.836672pt" stroked="true" strokeweight=".3pt" strokecolor="#231f20">
            <w10:wrap type="topAndBottom"/>
          </v:line>
        </w:pict>
      </w:r>
    </w:p>
    <w:p>
      <w:pPr>
        <w:spacing w:line="204" w:lineRule="exact" w:before="8"/>
        <w:ind w:left="103" w:right="115" w:firstLine="0"/>
        <w:jc w:val="both"/>
        <w:rPr>
          <w:rFonts w:ascii="Calibri" w:hAnsi="Calibri"/>
          <w:sz w:val="17"/>
        </w:rPr>
      </w:pPr>
      <w:r>
        <w:rPr>
          <w:rFonts w:ascii="Calibri" w:hAnsi="Calibri"/>
          <w:color w:val="231F20"/>
          <w:position w:val="6"/>
          <w:sz w:val="10"/>
        </w:rPr>
        <w:t>20</w:t>
      </w:r>
      <w:r>
        <w:rPr>
          <w:rFonts w:ascii="Calibri" w:hAnsi="Calibri"/>
          <w:color w:val="231F20"/>
          <w:spacing w:val="11"/>
          <w:position w:val="6"/>
          <w:sz w:val="10"/>
        </w:rPr>
        <w:t> </w:t>
      </w:r>
      <w:r>
        <w:rPr>
          <w:rFonts w:ascii="Calibri" w:hAnsi="Calibri"/>
          <w:color w:val="231F20"/>
          <w:sz w:val="17"/>
        </w:rPr>
        <w:t>L.</w:t>
      </w:r>
      <w:r>
        <w:rPr>
          <w:rFonts w:ascii="Calibri" w:hAnsi="Calibri"/>
          <w:color w:val="231F20"/>
          <w:spacing w:val="-5"/>
          <w:sz w:val="17"/>
        </w:rPr>
        <w:t> </w:t>
      </w:r>
      <w:r>
        <w:rPr>
          <w:rFonts w:ascii="Calibri" w:hAnsi="Calibri"/>
          <w:color w:val="231F20"/>
          <w:sz w:val="17"/>
        </w:rPr>
        <w:t>Morlino,</w:t>
      </w:r>
      <w:r>
        <w:rPr>
          <w:rFonts w:ascii="Calibri" w:hAnsi="Calibri"/>
          <w:color w:val="231F20"/>
          <w:spacing w:val="-5"/>
          <w:sz w:val="17"/>
        </w:rPr>
        <w:t> </w:t>
      </w:r>
      <w:r>
        <w:rPr>
          <w:rFonts w:ascii="Calibri" w:hAnsi="Calibri"/>
          <w:color w:val="231F20"/>
          <w:sz w:val="17"/>
        </w:rPr>
        <w:t>“Democrazie”,</w:t>
      </w:r>
      <w:r>
        <w:rPr>
          <w:rFonts w:ascii="Calibri" w:hAnsi="Calibri"/>
          <w:color w:val="231F20"/>
          <w:spacing w:val="-5"/>
          <w:sz w:val="17"/>
        </w:rPr>
        <w:t> </w:t>
      </w:r>
      <w:r>
        <w:rPr>
          <w:rFonts w:ascii="Calibri" w:hAnsi="Calibri"/>
          <w:color w:val="231F20"/>
          <w:sz w:val="17"/>
        </w:rPr>
        <w:t>G.</w:t>
      </w:r>
      <w:r>
        <w:rPr>
          <w:rFonts w:ascii="Calibri" w:hAnsi="Calibri"/>
          <w:color w:val="231F20"/>
          <w:spacing w:val="-5"/>
          <w:sz w:val="17"/>
        </w:rPr>
        <w:t> </w:t>
      </w:r>
      <w:r>
        <w:rPr>
          <w:rFonts w:ascii="Calibri" w:hAnsi="Calibri"/>
          <w:color w:val="231F20"/>
          <w:sz w:val="17"/>
        </w:rPr>
        <w:t>Pasquino</w:t>
      </w:r>
      <w:r>
        <w:rPr>
          <w:rFonts w:ascii="Calibri" w:hAnsi="Calibri"/>
          <w:color w:val="231F20"/>
          <w:spacing w:val="-5"/>
          <w:sz w:val="17"/>
        </w:rPr>
        <w:t> </w:t>
      </w:r>
      <w:r>
        <w:rPr>
          <w:rFonts w:ascii="Calibri" w:hAnsi="Calibri"/>
          <w:color w:val="231F20"/>
          <w:sz w:val="17"/>
        </w:rPr>
        <w:t>(coord),</w:t>
      </w:r>
      <w:r>
        <w:rPr>
          <w:rFonts w:ascii="Calibri" w:hAnsi="Calibri"/>
          <w:color w:val="231F20"/>
          <w:spacing w:val="-5"/>
          <w:sz w:val="17"/>
        </w:rPr>
        <w:t> </w:t>
      </w:r>
      <w:r>
        <w:rPr>
          <w:rFonts w:ascii="Calibri" w:hAnsi="Calibri"/>
          <w:i/>
          <w:color w:val="231F20"/>
          <w:sz w:val="17"/>
        </w:rPr>
        <w:t>Manuale</w:t>
      </w:r>
      <w:r>
        <w:rPr>
          <w:rFonts w:ascii="Calibri" w:hAnsi="Calibri"/>
          <w:i/>
          <w:color w:val="231F20"/>
          <w:spacing w:val="-6"/>
          <w:sz w:val="17"/>
        </w:rPr>
        <w:t> </w:t>
      </w:r>
      <w:r>
        <w:rPr>
          <w:rFonts w:ascii="Calibri" w:hAnsi="Calibri"/>
          <w:i/>
          <w:color w:val="231F20"/>
          <w:sz w:val="17"/>
        </w:rPr>
        <w:t>di</w:t>
      </w:r>
      <w:r>
        <w:rPr>
          <w:rFonts w:ascii="Calibri" w:hAnsi="Calibri"/>
          <w:i/>
          <w:color w:val="231F20"/>
          <w:spacing w:val="-6"/>
          <w:sz w:val="17"/>
        </w:rPr>
        <w:t> </w:t>
      </w:r>
      <w:r>
        <w:rPr>
          <w:rFonts w:ascii="Calibri" w:hAnsi="Calibri"/>
          <w:i/>
          <w:color w:val="231F20"/>
          <w:sz w:val="17"/>
        </w:rPr>
        <w:t>scienza</w:t>
      </w:r>
      <w:r>
        <w:rPr>
          <w:rFonts w:ascii="Calibri" w:hAnsi="Calibri"/>
          <w:i/>
          <w:color w:val="231F20"/>
          <w:spacing w:val="-6"/>
          <w:sz w:val="17"/>
        </w:rPr>
        <w:t> </w:t>
      </w:r>
      <w:r>
        <w:rPr>
          <w:rFonts w:ascii="Calibri" w:hAnsi="Calibri"/>
          <w:i/>
          <w:color w:val="231F20"/>
          <w:sz w:val="17"/>
        </w:rPr>
        <w:t>política</w:t>
      </w:r>
      <w:r>
        <w:rPr>
          <w:rFonts w:ascii="Calibri" w:hAnsi="Calibri"/>
          <w:color w:val="231F20"/>
          <w:sz w:val="17"/>
        </w:rPr>
        <w:t>,</w:t>
      </w:r>
      <w:r>
        <w:rPr>
          <w:rFonts w:ascii="Calibri" w:hAnsi="Calibri"/>
          <w:color w:val="231F20"/>
          <w:spacing w:val="-5"/>
          <w:sz w:val="17"/>
        </w:rPr>
        <w:t> </w:t>
      </w:r>
      <w:r>
        <w:rPr>
          <w:rFonts w:ascii="Calibri" w:hAnsi="Calibri"/>
          <w:color w:val="231F20"/>
          <w:sz w:val="17"/>
        </w:rPr>
        <w:t>Boloña,</w:t>
      </w:r>
      <w:r>
        <w:rPr>
          <w:rFonts w:ascii="Calibri" w:hAnsi="Calibri"/>
          <w:color w:val="231F20"/>
          <w:spacing w:val="-5"/>
          <w:sz w:val="17"/>
        </w:rPr>
        <w:t> </w:t>
      </w:r>
      <w:r>
        <w:rPr>
          <w:rFonts w:ascii="Calibri" w:hAnsi="Calibri"/>
          <w:color w:val="231F20"/>
          <w:sz w:val="17"/>
        </w:rPr>
        <w:t>Il</w:t>
      </w:r>
      <w:r>
        <w:rPr>
          <w:rFonts w:ascii="Calibri" w:hAnsi="Calibri"/>
          <w:color w:val="231F20"/>
          <w:spacing w:val="-5"/>
          <w:sz w:val="17"/>
        </w:rPr>
        <w:t> </w:t>
      </w:r>
      <w:r>
        <w:rPr>
          <w:rFonts w:ascii="Calibri" w:hAnsi="Calibri"/>
          <w:color w:val="231F20"/>
          <w:sz w:val="17"/>
        </w:rPr>
        <w:t>Mulino,1986, pp.</w:t>
      </w:r>
      <w:r>
        <w:rPr>
          <w:rFonts w:ascii="Calibri" w:hAnsi="Calibri"/>
          <w:color w:val="231F20"/>
          <w:spacing w:val="-9"/>
          <w:sz w:val="17"/>
        </w:rPr>
        <w:t> </w:t>
      </w:r>
      <w:r>
        <w:rPr>
          <w:rFonts w:ascii="Calibri" w:hAnsi="Calibri"/>
          <w:color w:val="231F20"/>
          <w:sz w:val="17"/>
        </w:rPr>
        <w:t>83–136;</w:t>
      </w:r>
      <w:r>
        <w:rPr>
          <w:rFonts w:ascii="Calibri" w:hAnsi="Calibri"/>
          <w:color w:val="231F20"/>
          <w:spacing w:val="-9"/>
          <w:sz w:val="17"/>
        </w:rPr>
        <w:t> </w:t>
      </w:r>
      <w:r>
        <w:rPr>
          <w:rFonts w:ascii="Calibri" w:hAnsi="Calibri"/>
          <w:color w:val="231F20"/>
          <w:sz w:val="17"/>
        </w:rPr>
        <w:t>J.</w:t>
      </w:r>
      <w:r>
        <w:rPr>
          <w:rFonts w:ascii="Calibri" w:hAnsi="Calibri"/>
          <w:color w:val="231F20"/>
          <w:spacing w:val="-9"/>
          <w:sz w:val="17"/>
        </w:rPr>
        <w:t> </w:t>
      </w:r>
      <w:r>
        <w:rPr>
          <w:rFonts w:ascii="Calibri" w:hAnsi="Calibri"/>
          <w:color w:val="231F20"/>
          <w:sz w:val="17"/>
        </w:rPr>
        <w:t>A.</w:t>
      </w:r>
      <w:r>
        <w:rPr>
          <w:rFonts w:ascii="Calibri" w:hAnsi="Calibri"/>
          <w:color w:val="231F20"/>
          <w:spacing w:val="-9"/>
          <w:sz w:val="17"/>
        </w:rPr>
        <w:t> </w:t>
      </w:r>
      <w:r>
        <w:rPr>
          <w:rFonts w:ascii="Calibri" w:hAnsi="Calibri"/>
          <w:color w:val="231F20"/>
          <w:sz w:val="17"/>
        </w:rPr>
        <w:t>Schumpeter,</w:t>
      </w:r>
      <w:r>
        <w:rPr>
          <w:rFonts w:ascii="Calibri" w:hAnsi="Calibri"/>
          <w:color w:val="231F20"/>
          <w:spacing w:val="-9"/>
          <w:sz w:val="17"/>
        </w:rPr>
        <w:t> </w:t>
      </w:r>
      <w:r>
        <w:rPr>
          <w:rFonts w:ascii="Calibri" w:hAnsi="Calibri"/>
          <w:i/>
          <w:color w:val="231F20"/>
          <w:sz w:val="17"/>
        </w:rPr>
        <w:t>Capitalismo,</w:t>
      </w:r>
      <w:r>
        <w:rPr>
          <w:rFonts w:ascii="Calibri" w:hAnsi="Calibri"/>
          <w:i/>
          <w:color w:val="231F20"/>
          <w:spacing w:val="-10"/>
          <w:sz w:val="17"/>
        </w:rPr>
        <w:t> </w:t>
      </w:r>
      <w:r>
        <w:rPr>
          <w:rFonts w:ascii="Calibri" w:hAnsi="Calibri"/>
          <w:i/>
          <w:color w:val="231F20"/>
          <w:sz w:val="17"/>
        </w:rPr>
        <w:t>socialismo</w:t>
      </w:r>
      <w:r>
        <w:rPr>
          <w:rFonts w:ascii="Calibri" w:hAnsi="Calibri"/>
          <w:i/>
          <w:color w:val="231F20"/>
          <w:spacing w:val="-11"/>
          <w:sz w:val="17"/>
        </w:rPr>
        <w:t> </w:t>
      </w:r>
      <w:r>
        <w:rPr>
          <w:rFonts w:ascii="Calibri" w:hAnsi="Calibri"/>
          <w:i/>
          <w:color w:val="231F20"/>
          <w:sz w:val="17"/>
        </w:rPr>
        <w:t>y</w:t>
      </w:r>
      <w:r>
        <w:rPr>
          <w:rFonts w:ascii="Calibri" w:hAnsi="Calibri"/>
          <w:i/>
          <w:color w:val="231F20"/>
          <w:spacing w:val="-10"/>
          <w:sz w:val="17"/>
        </w:rPr>
        <w:t> </w:t>
      </w:r>
      <w:r>
        <w:rPr>
          <w:rFonts w:ascii="Calibri" w:hAnsi="Calibri"/>
          <w:i/>
          <w:color w:val="231F20"/>
          <w:sz w:val="17"/>
        </w:rPr>
        <w:t>democracia</w:t>
      </w:r>
      <w:r>
        <w:rPr>
          <w:rFonts w:ascii="Calibri" w:hAnsi="Calibri"/>
          <w:color w:val="231F20"/>
          <w:sz w:val="17"/>
        </w:rPr>
        <w:t>,</w:t>
      </w:r>
      <w:r>
        <w:rPr>
          <w:rFonts w:ascii="Calibri" w:hAnsi="Calibri"/>
          <w:color w:val="231F20"/>
          <w:spacing w:val="-9"/>
          <w:sz w:val="17"/>
        </w:rPr>
        <w:t> </w:t>
      </w:r>
      <w:r>
        <w:rPr>
          <w:rFonts w:ascii="Calibri" w:hAnsi="Calibri"/>
          <w:i/>
          <w:color w:val="231F20"/>
          <w:sz w:val="17"/>
        </w:rPr>
        <w:t>vol.</w:t>
      </w:r>
      <w:r>
        <w:rPr>
          <w:rFonts w:ascii="Calibri" w:hAnsi="Calibri"/>
          <w:i/>
          <w:color w:val="231F20"/>
          <w:spacing w:val="-10"/>
          <w:sz w:val="17"/>
        </w:rPr>
        <w:t> </w:t>
      </w:r>
      <w:r>
        <w:rPr>
          <w:rFonts w:ascii="Calibri" w:hAnsi="Calibri"/>
          <w:i/>
          <w:color w:val="231F20"/>
          <w:sz w:val="17"/>
        </w:rPr>
        <w:t>2</w:t>
      </w:r>
      <w:r>
        <w:rPr>
          <w:rFonts w:ascii="Calibri" w:hAnsi="Calibri"/>
          <w:color w:val="231F20"/>
          <w:sz w:val="17"/>
        </w:rPr>
        <w:t>,</w:t>
      </w:r>
      <w:r>
        <w:rPr>
          <w:rFonts w:ascii="Calibri" w:hAnsi="Calibri"/>
          <w:color w:val="231F20"/>
          <w:spacing w:val="-9"/>
          <w:sz w:val="17"/>
        </w:rPr>
        <w:t> </w:t>
      </w:r>
      <w:r>
        <w:rPr>
          <w:rFonts w:ascii="Calibri" w:hAnsi="Calibri"/>
          <w:color w:val="231F20"/>
          <w:sz w:val="17"/>
        </w:rPr>
        <w:t>Barcelona,</w:t>
      </w:r>
      <w:r>
        <w:rPr>
          <w:rFonts w:ascii="Calibri" w:hAnsi="Calibri"/>
          <w:color w:val="231F20"/>
          <w:spacing w:val="-9"/>
          <w:sz w:val="17"/>
        </w:rPr>
        <w:t> </w:t>
      </w:r>
      <w:r>
        <w:rPr>
          <w:rFonts w:ascii="Calibri" w:hAnsi="Calibri"/>
          <w:color w:val="231F20"/>
          <w:sz w:val="17"/>
        </w:rPr>
        <w:t>Folio.</w:t>
      </w:r>
      <w:r>
        <w:rPr>
          <w:rFonts w:ascii="Calibri" w:hAnsi="Calibri"/>
          <w:color w:val="231F20"/>
          <w:spacing w:val="-9"/>
          <w:sz w:val="17"/>
        </w:rPr>
        <w:t> </w:t>
      </w:r>
      <w:r>
        <w:rPr>
          <w:rFonts w:ascii="Calibri" w:hAnsi="Calibri"/>
          <w:color w:val="231F20"/>
          <w:sz w:val="17"/>
        </w:rPr>
        <w:t>1996,</w:t>
      </w:r>
      <w:r>
        <w:rPr>
          <w:rFonts w:ascii="Calibri" w:hAnsi="Calibri"/>
          <w:color w:val="231F20"/>
          <w:spacing w:val="-9"/>
          <w:sz w:val="17"/>
        </w:rPr>
        <w:t> </w:t>
      </w:r>
      <w:r>
        <w:rPr>
          <w:rFonts w:ascii="Calibri" w:hAnsi="Calibri"/>
          <w:color w:val="231F20"/>
          <w:sz w:val="17"/>
        </w:rPr>
        <w:t>pp. </w:t>
      </w:r>
      <w:r>
        <w:rPr>
          <w:rFonts w:ascii="Calibri" w:hAnsi="Calibri"/>
          <w:color w:val="231F20"/>
          <w:w w:val="95"/>
          <w:sz w:val="17"/>
        </w:rPr>
        <w:t>321–242,</w:t>
      </w:r>
      <w:r>
        <w:rPr>
          <w:rFonts w:ascii="Calibri" w:hAnsi="Calibri"/>
          <w:color w:val="231F20"/>
          <w:spacing w:val="9"/>
          <w:w w:val="95"/>
          <w:sz w:val="17"/>
        </w:rPr>
        <w:t> </w:t>
      </w:r>
      <w:r>
        <w:rPr>
          <w:rFonts w:ascii="Calibri" w:hAnsi="Calibri"/>
          <w:color w:val="231F20"/>
          <w:w w:val="95"/>
          <w:sz w:val="17"/>
        </w:rPr>
        <w:t>243–360.</w:t>
      </w:r>
    </w:p>
    <w:p>
      <w:pPr>
        <w:spacing w:line="204" w:lineRule="exact" w:before="0"/>
        <w:ind w:left="103" w:right="115" w:firstLine="0"/>
        <w:jc w:val="both"/>
        <w:rPr>
          <w:rFonts w:ascii="Calibri" w:hAnsi="Calibri"/>
          <w:sz w:val="17"/>
        </w:rPr>
      </w:pPr>
      <w:r>
        <w:rPr>
          <w:rFonts w:ascii="Calibri" w:hAnsi="Calibri"/>
          <w:color w:val="231F20"/>
          <w:w w:val="105"/>
          <w:position w:val="6"/>
          <w:sz w:val="10"/>
        </w:rPr>
        <w:t>21</w:t>
      </w:r>
      <w:r>
        <w:rPr>
          <w:rFonts w:ascii="Calibri" w:hAnsi="Calibri"/>
          <w:color w:val="231F20"/>
          <w:spacing w:val="21"/>
          <w:w w:val="105"/>
          <w:position w:val="6"/>
          <w:sz w:val="10"/>
        </w:rPr>
        <w:t> </w:t>
      </w:r>
      <w:r>
        <w:rPr>
          <w:rFonts w:ascii="Calibri" w:hAnsi="Calibri"/>
          <w:color w:val="231F20"/>
          <w:w w:val="105"/>
          <w:sz w:val="17"/>
        </w:rPr>
        <w:t>Si</w:t>
      </w:r>
      <w:r>
        <w:rPr>
          <w:rFonts w:ascii="Calibri" w:hAnsi="Calibri"/>
          <w:color w:val="231F20"/>
          <w:spacing w:val="-18"/>
          <w:w w:val="105"/>
          <w:sz w:val="17"/>
        </w:rPr>
        <w:t> </w:t>
      </w:r>
      <w:r>
        <w:rPr>
          <w:rFonts w:ascii="Calibri" w:hAnsi="Calibri"/>
          <w:color w:val="231F20"/>
          <w:w w:val="105"/>
          <w:sz w:val="17"/>
        </w:rPr>
        <w:t>pensi</w:t>
      </w:r>
      <w:r>
        <w:rPr>
          <w:rFonts w:ascii="Calibri" w:hAnsi="Calibri"/>
          <w:color w:val="231F20"/>
          <w:spacing w:val="-18"/>
          <w:w w:val="105"/>
          <w:sz w:val="17"/>
        </w:rPr>
        <w:t> </w:t>
      </w:r>
      <w:r>
        <w:rPr>
          <w:rFonts w:ascii="Calibri" w:hAnsi="Calibri"/>
          <w:color w:val="231F20"/>
          <w:w w:val="105"/>
          <w:sz w:val="17"/>
        </w:rPr>
        <w:t>alla</w:t>
      </w:r>
      <w:r>
        <w:rPr>
          <w:rFonts w:ascii="Calibri" w:hAnsi="Calibri"/>
          <w:color w:val="231F20"/>
          <w:spacing w:val="-18"/>
          <w:w w:val="105"/>
          <w:sz w:val="17"/>
        </w:rPr>
        <w:t> </w:t>
      </w:r>
      <w:r>
        <w:rPr>
          <w:rFonts w:ascii="Calibri" w:hAnsi="Calibri"/>
          <w:color w:val="231F20"/>
          <w:w w:val="105"/>
          <w:sz w:val="17"/>
        </w:rPr>
        <w:t>concezione</w:t>
      </w:r>
      <w:r>
        <w:rPr>
          <w:rFonts w:ascii="Calibri" w:hAnsi="Calibri"/>
          <w:color w:val="231F20"/>
          <w:spacing w:val="-18"/>
          <w:w w:val="105"/>
          <w:sz w:val="17"/>
        </w:rPr>
        <w:t> </w:t>
      </w:r>
      <w:r>
        <w:rPr>
          <w:rFonts w:ascii="Calibri" w:hAnsi="Calibri"/>
          <w:color w:val="231F20"/>
          <w:w w:val="105"/>
          <w:sz w:val="17"/>
        </w:rPr>
        <w:t>“moderna”</w:t>
      </w:r>
      <w:r>
        <w:rPr>
          <w:rFonts w:ascii="Calibri" w:hAnsi="Calibri"/>
          <w:color w:val="231F20"/>
          <w:spacing w:val="-18"/>
          <w:w w:val="105"/>
          <w:sz w:val="17"/>
        </w:rPr>
        <w:t> </w:t>
      </w:r>
      <w:r>
        <w:rPr>
          <w:rFonts w:ascii="Calibri" w:hAnsi="Calibri"/>
          <w:color w:val="231F20"/>
          <w:w w:val="105"/>
          <w:sz w:val="17"/>
        </w:rPr>
        <w:t>della</w:t>
      </w:r>
      <w:r>
        <w:rPr>
          <w:rFonts w:ascii="Calibri" w:hAnsi="Calibri"/>
          <w:color w:val="231F20"/>
          <w:spacing w:val="-18"/>
          <w:w w:val="105"/>
          <w:sz w:val="17"/>
        </w:rPr>
        <w:t> </w:t>
      </w:r>
      <w:r>
        <w:rPr>
          <w:rFonts w:ascii="Calibri" w:hAnsi="Calibri"/>
          <w:i/>
          <w:color w:val="231F20"/>
          <w:w w:val="105"/>
          <w:sz w:val="17"/>
        </w:rPr>
        <w:t>litigation</w:t>
      </w:r>
      <w:r>
        <w:rPr>
          <w:rFonts w:ascii="Calibri" w:hAnsi="Calibri"/>
          <w:i/>
          <w:color w:val="231F20"/>
          <w:spacing w:val="-18"/>
          <w:w w:val="105"/>
          <w:sz w:val="17"/>
        </w:rPr>
        <w:t> </w:t>
      </w:r>
      <w:r>
        <w:rPr>
          <w:rFonts w:ascii="Calibri" w:hAnsi="Calibri"/>
          <w:i/>
          <w:color w:val="231F20"/>
          <w:w w:val="105"/>
          <w:sz w:val="17"/>
        </w:rPr>
        <w:t>society</w:t>
      </w:r>
      <w:r>
        <w:rPr>
          <w:rFonts w:ascii="Calibri" w:hAnsi="Calibri"/>
          <w:color w:val="231F20"/>
          <w:w w:val="105"/>
          <w:sz w:val="17"/>
        </w:rPr>
        <w:t>,</w:t>
      </w:r>
      <w:r>
        <w:rPr>
          <w:rFonts w:ascii="Calibri" w:hAnsi="Calibri"/>
          <w:color w:val="231F20"/>
          <w:spacing w:val="-18"/>
          <w:w w:val="105"/>
          <w:sz w:val="17"/>
        </w:rPr>
        <w:t> </w:t>
      </w:r>
      <w:r>
        <w:rPr>
          <w:rFonts w:ascii="Calibri" w:hAnsi="Calibri"/>
          <w:color w:val="231F20"/>
          <w:w w:val="105"/>
          <w:sz w:val="17"/>
        </w:rPr>
        <w:t>che</w:t>
      </w:r>
      <w:r>
        <w:rPr>
          <w:rFonts w:ascii="Calibri" w:hAnsi="Calibri"/>
          <w:color w:val="231F20"/>
          <w:spacing w:val="-18"/>
          <w:w w:val="105"/>
          <w:sz w:val="17"/>
        </w:rPr>
        <w:t> </w:t>
      </w:r>
      <w:r>
        <w:rPr>
          <w:rFonts w:ascii="Calibri" w:hAnsi="Calibri"/>
          <w:color w:val="231F20"/>
          <w:w w:val="105"/>
          <w:sz w:val="17"/>
        </w:rPr>
        <w:t>non</w:t>
      </w:r>
      <w:r>
        <w:rPr>
          <w:rFonts w:ascii="Calibri" w:hAnsi="Calibri"/>
          <w:color w:val="231F20"/>
          <w:spacing w:val="-18"/>
          <w:w w:val="105"/>
          <w:sz w:val="17"/>
        </w:rPr>
        <w:t> </w:t>
      </w:r>
      <w:r>
        <w:rPr>
          <w:rFonts w:ascii="Calibri" w:hAnsi="Calibri"/>
          <w:color w:val="231F20"/>
          <w:w w:val="105"/>
          <w:sz w:val="17"/>
        </w:rPr>
        <w:t>copriva</w:t>
      </w:r>
      <w:r>
        <w:rPr>
          <w:rFonts w:ascii="Calibri" w:hAnsi="Calibri"/>
          <w:color w:val="231F20"/>
          <w:spacing w:val="-18"/>
          <w:w w:val="105"/>
          <w:sz w:val="17"/>
        </w:rPr>
        <w:t> </w:t>
      </w:r>
      <w:r>
        <w:rPr>
          <w:rFonts w:ascii="Calibri" w:hAnsi="Calibri"/>
          <w:color w:val="231F20"/>
          <w:w w:val="105"/>
          <w:sz w:val="17"/>
        </w:rPr>
        <w:t>esclusivamente</w:t>
      </w:r>
      <w:r>
        <w:rPr>
          <w:rFonts w:ascii="Calibri" w:hAnsi="Calibri"/>
          <w:color w:val="231F20"/>
          <w:spacing w:val="-18"/>
          <w:w w:val="105"/>
          <w:sz w:val="17"/>
        </w:rPr>
        <w:t> </w:t>
      </w:r>
      <w:r>
        <w:rPr>
          <w:rFonts w:ascii="Calibri" w:hAnsi="Calibri"/>
          <w:color w:val="231F20"/>
          <w:w w:val="105"/>
          <w:sz w:val="17"/>
        </w:rPr>
        <w:t>il</w:t>
      </w:r>
      <w:r>
        <w:rPr>
          <w:rFonts w:ascii="Calibri" w:hAnsi="Calibri"/>
          <w:color w:val="231F20"/>
          <w:spacing w:val="-18"/>
          <w:w w:val="105"/>
          <w:sz w:val="17"/>
        </w:rPr>
        <w:t> </w:t>
      </w:r>
      <w:r>
        <w:rPr>
          <w:rFonts w:ascii="Calibri" w:hAnsi="Calibri"/>
          <w:color w:val="231F20"/>
          <w:w w:val="105"/>
          <w:sz w:val="17"/>
        </w:rPr>
        <w:t>suo aspetto</w:t>
      </w:r>
      <w:r>
        <w:rPr>
          <w:rFonts w:ascii="Calibri" w:hAnsi="Calibri"/>
          <w:color w:val="231F20"/>
          <w:spacing w:val="-28"/>
          <w:w w:val="105"/>
          <w:sz w:val="17"/>
        </w:rPr>
        <w:t> </w:t>
      </w:r>
      <w:r>
        <w:rPr>
          <w:rFonts w:ascii="Calibri" w:hAnsi="Calibri"/>
          <w:color w:val="231F20"/>
          <w:w w:val="105"/>
          <w:sz w:val="17"/>
        </w:rPr>
        <w:t>giuridico.</w:t>
      </w:r>
    </w:p>
    <w:p>
      <w:pPr>
        <w:spacing w:line="204" w:lineRule="exact" w:before="0"/>
        <w:ind w:left="103" w:right="116" w:firstLine="0"/>
        <w:jc w:val="both"/>
        <w:rPr>
          <w:rFonts w:ascii="Calibri" w:hAnsi="Calibri"/>
          <w:sz w:val="17"/>
        </w:rPr>
      </w:pPr>
      <w:r>
        <w:rPr>
          <w:rFonts w:ascii="Calibri" w:hAnsi="Calibri"/>
          <w:color w:val="231F20"/>
          <w:w w:val="105"/>
          <w:position w:val="6"/>
          <w:sz w:val="10"/>
        </w:rPr>
        <w:t>22</w:t>
      </w:r>
      <w:r>
        <w:rPr>
          <w:rFonts w:ascii="Calibri" w:hAnsi="Calibri"/>
          <w:color w:val="231F20"/>
          <w:spacing w:val="12"/>
          <w:w w:val="105"/>
          <w:position w:val="6"/>
          <w:sz w:val="10"/>
        </w:rPr>
        <w:t> </w:t>
      </w:r>
      <w:r>
        <w:rPr>
          <w:rFonts w:ascii="Calibri" w:hAnsi="Calibri"/>
          <w:color w:val="231F20"/>
          <w:w w:val="105"/>
          <w:sz w:val="17"/>
        </w:rPr>
        <w:t>È</w:t>
      </w:r>
      <w:r>
        <w:rPr>
          <w:rFonts w:ascii="Calibri" w:hAnsi="Calibri"/>
          <w:color w:val="231F20"/>
          <w:spacing w:val="-4"/>
          <w:w w:val="105"/>
          <w:sz w:val="17"/>
        </w:rPr>
        <w:t> </w:t>
      </w:r>
      <w:r>
        <w:rPr>
          <w:rFonts w:ascii="Calibri" w:hAnsi="Calibri"/>
          <w:color w:val="231F20"/>
          <w:w w:val="105"/>
          <w:sz w:val="17"/>
        </w:rPr>
        <w:t>celebre</w:t>
      </w:r>
      <w:r>
        <w:rPr>
          <w:rFonts w:ascii="Calibri" w:hAnsi="Calibri"/>
          <w:color w:val="231F20"/>
          <w:spacing w:val="-4"/>
          <w:w w:val="105"/>
          <w:sz w:val="17"/>
        </w:rPr>
        <w:t> </w:t>
      </w:r>
      <w:r>
        <w:rPr>
          <w:rFonts w:ascii="Calibri" w:hAnsi="Calibri"/>
          <w:color w:val="231F20"/>
          <w:w w:val="105"/>
          <w:sz w:val="17"/>
        </w:rPr>
        <w:t>la</w:t>
      </w:r>
      <w:r>
        <w:rPr>
          <w:rFonts w:ascii="Calibri" w:hAnsi="Calibri"/>
          <w:color w:val="231F20"/>
          <w:spacing w:val="-4"/>
          <w:w w:val="105"/>
          <w:sz w:val="17"/>
        </w:rPr>
        <w:t> </w:t>
      </w:r>
      <w:r>
        <w:rPr>
          <w:rFonts w:ascii="Calibri" w:hAnsi="Calibri"/>
          <w:color w:val="231F20"/>
          <w:w w:val="105"/>
          <w:sz w:val="17"/>
        </w:rPr>
        <w:t>sentenza</w:t>
      </w:r>
      <w:r>
        <w:rPr>
          <w:rFonts w:ascii="Calibri" w:hAnsi="Calibri"/>
          <w:color w:val="231F20"/>
          <w:spacing w:val="-4"/>
          <w:w w:val="105"/>
          <w:sz w:val="17"/>
        </w:rPr>
        <w:t> </w:t>
      </w:r>
      <w:r>
        <w:rPr>
          <w:rFonts w:ascii="Calibri" w:hAnsi="Calibri"/>
          <w:color w:val="231F20"/>
          <w:w w:val="105"/>
          <w:sz w:val="17"/>
        </w:rPr>
        <w:t>di</w:t>
      </w:r>
      <w:r>
        <w:rPr>
          <w:rFonts w:ascii="Calibri" w:hAnsi="Calibri"/>
          <w:color w:val="231F20"/>
          <w:spacing w:val="-4"/>
          <w:w w:val="105"/>
          <w:sz w:val="17"/>
        </w:rPr>
        <w:t> </w:t>
      </w:r>
      <w:r>
        <w:rPr>
          <w:rFonts w:ascii="Calibri" w:hAnsi="Calibri"/>
          <w:color w:val="231F20"/>
          <w:w w:val="105"/>
          <w:sz w:val="17"/>
        </w:rPr>
        <w:t>Schumpeter:</w:t>
      </w:r>
      <w:r>
        <w:rPr>
          <w:rFonts w:ascii="Calibri" w:hAnsi="Calibri"/>
          <w:color w:val="231F20"/>
          <w:spacing w:val="-4"/>
          <w:w w:val="105"/>
          <w:sz w:val="17"/>
        </w:rPr>
        <w:t> </w:t>
      </w:r>
      <w:r>
        <w:rPr>
          <w:rFonts w:ascii="Calibri" w:hAnsi="Calibri"/>
          <w:color w:val="231F20"/>
          <w:w w:val="105"/>
          <w:sz w:val="17"/>
        </w:rPr>
        <w:t>“Il</w:t>
      </w:r>
      <w:r>
        <w:rPr>
          <w:rFonts w:ascii="Calibri" w:hAnsi="Calibri"/>
          <w:color w:val="231F20"/>
          <w:spacing w:val="-4"/>
          <w:w w:val="105"/>
          <w:sz w:val="17"/>
        </w:rPr>
        <w:t> </w:t>
      </w:r>
      <w:r>
        <w:rPr>
          <w:rFonts w:ascii="Calibri" w:hAnsi="Calibri"/>
          <w:color w:val="231F20"/>
          <w:w w:val="105"/>
          <w:sz w:val="17"/>
        </w:rPr>
        <w:t>capitalismo</w:t>
      </w:r>
      <w:r>
        <w:rPr>
          <w:rFonts w:ascii="Calibri" w:hAnsi="Calibri"/>
          <w:color w:val="231F20"/>
          <w:spacing w:val="-4"/>
          <w:w w:val="105"/>
          <w:sz w:val="17"/>
        </w:rPr>
        <w:t> </w:t>
      </w:r>
      <w:r>
        <w:rPr>
          <w:rFonts w:ascii="Calibri" w:hAnsi="Calibri"/>
          <w:color w:val="231F20"/>
          <w:w w:val="105"/>
          <w:sz w:val="17"/>
        </w:rPr>
        <w:t>sta</w:t>
      </w:r>
      <w:r>
        <w:rPr>
          <w:rFonts w:ascii="Calibri" w:hAnsi="Calibri"/>
          <w:color w:val="231F20"/>
          <w:spacing w:val="-4"/>
          <w:w w:val="105"/>
          <w:sz w:val="17"/>
        </w:rPr>
        <w:t> </w:t>
      </w:r>
      <w:r>
        <w:rPr>
          <w:rFonts w:ascii="Calibri" w:hAnsi="Calibri"/>
          <w:color w:val="231F20"/>
          <w:w w:val="105"/>
          <w:sz w:val="17"/>
        </w:rPr>
        <w:t>essendo</w:t>
      </w:r>
      <w:r>
        <w:rPr>
          <w:rFonts w:ascii="Calibri" w:hAnsi="Calibri"/>
          <w:color w:val="231F20"/>
          <w:spacing w:val="-4"/>
          <w:w w:val="105"/>
          <w:sz w:val="17"/>
        </w:rPr>
        <w:t> </w:t>
      </w:r>
      <w:r>
        <w:rPr>
          <w:rFonts w:ascii="Calibri" w:hAnsi="Calibri"/>
          <w:color w:val="231F20"/>
          <w:w w:val="105"/>
          <w:sz w:val="17"/>
        </w:rPr>
        <w:t>assassinato</w:t>
      </w:r>
      <w:r>
        <w:rPr>
          <w:rFonts w:ascii="Calibri" w:hAnsi="Calibri"/>
          <w:color w:val="231F20"/>
          <w:spacing w:val="-4"/>
          <w:w w:val="105"/>
          <w:sz w:val="17"/>
        </w:rPr>
        <w:t> </w:t>
      </w:r>
      <w:r>
        <w:rPr>
          <w:rFonts w:ascii="Calibri" w:hAnsi="Calibri"/>
          <w:color w:val="231F20"/>
          <w:w w:val="105"/>
          <w:sz w:val="17"/>
        </w:rPr>
        <w:t>per</w:t>
      </w:r>
      <w:r>
        <w:rPr>
          <w:rFonts w:ascii="Calibri" w:hAnsi="Calibri"/>
          <w:color w:val="231F20"/>
          <w:spacing w:val="-4"/>
          <w:w w:val="105"/>
          <w:sz w:val="17"/>
        </w:rPr>
        <w:t> </w:t>
      </w:r>
      <w:r>
        <w:rPr>
          <w:rFonts w:ascii="Calibri" w:hAnsi="Calibri"/>
          <w:color w:val="231F20"/>
          <w:w w:val="105"/>
          <w:sz w:val="17"/>
        </w:rPr>
        <w:t>le</w:t>
      </w:r>
      <w:r>
        <w:rPr>
          <w:rFonts w:ascii="Calibri" w:hAnsi="Calibri"/>
          <w:color w:val="231F20"/>
          <w:spacing w:val="-4"/>
          <w:w w:val="105"/>
          <w:sz w:val="17"/>
        </w:rPr>
        <w:t> </w:t>
      </w:r>
      <w:r>
        <w:rPr>
          <w:rFonts w:ascii="Calibri" w:hAnsi="Calibri"/>
          <w:color w:val="231F20"/>
          <w:w w:val="105"/>
          <w:sz w:val="17"/>
        </w:rPr>
        <w:t>sue</w:t>
      </w:r>
      <w:r>
        <w:rPr>
          <w:rFonts w:ascii="Calibri" w:hAnsi="Calibri"/>
          <w:color w:val="231F20"/>
          <w:spacing w:val="-4"/>
          <w:w w:val="105"/>
          <w:sz w:val="17"/>
        </w:rPr>
        <w:t> </w:t>
      </w:r>
      <w:r>
        <w:rPr>
          <w:rFonts w:ascii="Calibri" w:hAnsi="Calibri"/>
          <w:color w:val="231F20"/>
          <w:w w:val="105"/>
          <w:sz w:val="17"/>
        </w:rPr>
        <w:t>proprie </w:t>
      </w:r>
      <w:r>
        <w:rPr>
          <w:rFonts w:ascii="Calibri" w:hAnsi="Calibri"/>
          <w:color w:val="231F20"/>
          <w:sz w:val="17"/>
        </w:rPr>
        <w:t>realizzazioni” (Schumpeter, </w:t>
      </w:r>
      <w:r>
        <w:rPr>
          <w:rFonts w:ascii="Calibri" w:hAnsi="Calibri"/>
          <w:i/>
          <w:color w:val="231F20"/>
          <w:sz w:val="17"/>
        </w:rPr>
        <w:t>Capitalismo, socialismo y democracia, vol. 2, </w:t>
      </w:r>
      <w:r>
        <w:rPr>
          <w:rFonts w:ascii="Calibri" w:hAnsi="Calibri"/>
          <w:color w:val="231F20"/>
          <w:sz w:val="17"/>
        </w:rPr>
        <w:t>p.</w:t>
      </w:r>
      <w:r>
        <w:rPr>
          <w:rFonts w:ascii="Calibri" w:hAnsi="Calibri"/>
          <w:color w:val="231F20"/>
          <w:spacing w:val="-2"/>
          <w:sz w:val="17"/>
        </w:rPr>
        <w:t> </w:t>
      </w:r>
      <w:r>
        <w:rPr>
          <w:rFonts w:ascii="Calibri" w:hAnsi="Calibri"/>
          <w:color w:val="231F20"/>
          <w:sz w:val="17"/>
        </w:rPr>
        <w:t>16).</w:t>
      </w:r>
    </w:p>
    <w:p>
      <w:pPr>
        <w:spacing w:line="206" w:lineRule="exact" w:before="1"/>
        <w:ind w:left="103" w:right="0" w:firstLine="0"/>
        <w:jc w:val="both"/>
        <w:rPr>
          <w:rFonts w:ascii="Calibri" w:hAnsi="Calibri"/>
          <w:sz w:val="14"/>
        </w:rPr>
      </w:pPr>
      <w:r>
        <w:rPr>
          <w:rFonts w:ascii="Calibri" w:hAnsi="Calibri"/>
          <w:color w:val="231F20"/>
          <w:position w:val="6"/>
          <w:sz w:val="10"/>
        </w:rPr>
        <w:t>23   </w:t>
      </w:r>
      <w:r>
        <w:rPr>
          <w:rFonts w:ascii="Calibri" w:hAnsi="Calibri"/>
          <w:color w:val="231F20"/>
          <w:sz w:val="17"/>
        </w:rPr>
        <w:t>F.  Calderón  Gutiérrez,  (coord),  </w:t>
      </w:r>
      <w:r>
        <w:rPr>
          <w:rFonts w:ascii="Calibri" w:hAnsi="Calibri"/>
          <w:i/>
          <w:color w:val="231F20"/>
          <w:sz w:val="17"/>
        </w:rPr>
        <w:t>La  protesta  social  en  América  Latina</w:t>
      </w:r>
      <w:r>
        <w:rPr>
          <w:rFonts w:ascii="Calibri" w:hAnsi="Calibri"/>
          <w:color w:val="231F20"/>
          <w:sz w:val="17"/>
        </w:rPr>
        <w:t>,  Buenos  Aires,  Siglo  </w:t>
      </w:r>
      <w:r>
        <w:rPr>
          <w:rFonts w:ascii="Calibri" w:hAnsi="Calibri"/>
          <w:color w:val="231F20"/>
          <w:sz w:val="14"/>
        </w:rPr>
        <w:t>XXI</w:t>
      </w:r>
    </w:p>
    <w:p>
      <w:pPr>
        <w:spacing w:line="206" w:lineRule="exact" w:before="0"/>
        <w:ind w:left="103" w:right="0" w:firstLine="0"/>
        <w:jc w:val="both"/>
        <w:rPr>
          <w:rFonts w:ascii="Calibri" w:hAnsi="Calibri"/>
          <w:sz w:val="17"/>
        </w:rPr>
      </w:pPr>
      <w:r>
        <w:rPr>
          <w:rFonts w:ascii="Calibri" w:hAnsi="Calibri"/>
          <w:color w:val="231F20"/>
          <w:sz w:val="17"/>
        </w:rPr>
        <w:t>Editores/Programa de Naciones Unidas para el Desarrollo, 2012, pp. 126–127.</w:t>
      </w:r>
    </w:p>
    <w:p>
      <w:pPr>
        <w:pStyle w:val="BodyText"/>
        <w:rPr>
          <w:rFonts w:ascii="Calibri"/>
          <w:sz w:val="20"/>
        </w:rPr>
      </w:pPr>
    </w:p>
    <w:p>
      <w:pPr>
        <w:pStyle w:val="BodyText"/>
        <w:spacing w:before="9"/>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1872"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116</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98" w:lineRule="exact" w:before="52"/>
        <w:ind w:left="0" w:right="0" w:firstLine="0"/>
        <w:jc w:val="right"/>
        <w:rPr>
          <w:rFonts w:ascii="Lucida Sans Unicode" w:hAnsi="Lucida Sans Unicode"/>
          <w:sz w:val="14"/>
        </w:rPr>
      </w:pPr>
      <w:r>
        <w:rPr/>
        <w:pict>
          <v:group style="position:absolute;margin-left:383.821014pt;margin-top:-25.479271pt;width:8.65pt;height:41pt;mso-position-horizontal-relative:page;mso-position-vertical-relative:paragraph;z-index:1357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“L’ESTERNO È SEMPRE DENTRO”. TENSIONI E TRASFORMAZIONI RECENTI NELLO SPAZIO POLITICO</w:t>
      </w:r>
    </w:p>
    <w:p>
      <w:pPr>
        <w:spacing w:line="198" w:lineRule="exact" w:before="0"/>
        <w:ind w:left="0" w:right="0" w:firstLine="0"/>
        <w:jc w:val="right"/>
        <w:rPr>
          <w:rFonts w:ascii="Lucida Sans Unicode"/>
          <w:sz w:val="14"/>
        </w:rPr>
      </w:pPr>
      <w:r>
        <w:rPr>
          <w:rFonts w:ascii="Lucida Sans Unicode"/>
          <w:color w:val="6D6E71"/>
          <w:w w:val="90"/>
          <w:sz w:val="14"/>
        </w:rPr>
        <w:t>DELLO STATO E LA DEMOCRAZIA</w:t>
      </w:r>
    </w:p>
    <w:p>
      <w:pPr>
        <w:spacing w:before="59"/>
        <w:ind w:left="338" w:right="0" w:firstLine="0"/>
        <w:jc w:val="left"/>
        <w:rPr>
          <w:rFonts w:ascii="Trebuchet MS"/>
          <w:sz w:val="20"/>
        </w:rPr>
      </w:pPr>
      <w:r>
        <w:rPr/>
        <w:br w:type="column"/>
      </w:r>
      <w:r>
        <w:rPr>
          <w:rFonts w:ascii="Trebuchet MS"/>
          <w:color w:val="414042"/>
          <w:w w:val="105"/>
          <w:sz w:val="20"/>
        </w:rPr>
        <w:t>117</w:t>
      </w:r>
    </w:p>
    <w:p>
      <w:pPr>
        <w:spacing w:after="0"/>
        <w:jc w:val="left"/>
        <w:rPr>
          <w:rFonts w:ascii="Trebuchet MS"/>
          <w:sz w:val="20"/>
        </w:rPr>
        <w:sectPr>
          <w:type w:val="continuous"/>
          <w:pgSz w:w="9640" w:h="13890"/>
          <w:pgMar w:top="0" w:bottom="0" w:left="1300" w:right="1180"/>
          <w:cols w:num="2" w:equalWidth="0">
            <w:col w:w="6261" w:space="40"/>
            <w:col w:w="859"/>
          </w:cols>
        </w:sectPr>
      </w:pPr>
    </w:p>
    <w:p>
      <w:pPr>
        <w:pStyle w:val="BodyText"/>
        <w:rPr>
          <w:rFonts w:ascii="Trebuchet MS"/>
          <w:sz w:val="20"/>
        </w:rPr>
      </w:pPr>
    </w:p>
    <w:p>
      <w:pPr>
        <w:pStyle w:val="BodyText"/>
        <w:spacing w:before="8"/>
        <w:rPr>
          <w:rFonts w:ascii="Trebuchet MS"/>
          <w:sz w:val="15"/>
        </w:rPr>
      </w:pPr>
    </w:p>
    <w:p>
      <w:pPr>
        <w:pStyle w:val="BodyText"/>
        <w:spacing w:line="247" w:lineRule="auto" w:before="49"/>
        <w:ind w:left="117" w:right="119"/>
        <w:jc w:val="both"/>
      </w:pPr>
      <w:r>
        <w:rPr>
          <w:color w:val="231F20"/>
          <w:w w:val="105"/>
        </w:rPr>
        <w:t>una</w:t>
      </w:r>
      <w:r>
        <w:rPr>
          <w:color w:val="231F20"/>
          <w:spacing w:val="-39"/>
          <w:w w:val="105"/>
        </w:rPr>
        <w:t> </w:t>
      </w:r>
      <w:r>
        <w:rPr>
          <w:color w:val="231F20"/>
          <w:w w:val="105"/>
        </w:rPr>
        <w:t>risposta</w:t>
      </w:r>
      <w:r>
        <w:rPr>
          <w:color w:val="231F20"/>
          <w:spacing w:val="-39"/>
          <w:w w:val="105"/>
        </w:rPr>
        <w:t> </w:t>
      </w:r>
      <w:r>
        <w:rPr>
          <w:color w:val="231F20"/>
          <w:w w:val="105"/>
        </w:rPr>
        <w:t>efficace</w:t>
      </w:r>
      <w:r>
        <w:rPr>
          <w:color w:val="231F20"/>
          <w:spacing w:val="-39"/>
          <w:w w:val="105"/>
        </w:rPr>
        <w:t> </w:t>
      </w:r>
      <w:r>
        <w:rPr>
          <w:color w:val="231F20"/>
          <w:w w:val="105"/>
        </w:rPr>
        <w:t>a</w:t>
      </w:r>
      <w:r>
        <w:rPr>
          <w:color w:val="231F20"/>
          <w:spacing w:val="-39"/>
          <w:w w:val="105"/>
        </w:rPr>
        <w:t> </w:t>
      </w:r>
      <w:r>
        <w:rPr>
          <w:color w:val="231F20"/>
          <w:w w:val="105"/>
        </w:rPr>
        <w:t>queste</w:t>
      </w:r>
      <w:r>
        <w:rPr>
          <w:color w:val="231F20"/>
          <w:spacing w:val="-39"/>
          <w:w w:val="105"/>
        </w:rPr>
        <w:t> </w:t>
      </w:r>
      <w:r>
        <w:rPr>
          <w:color w:val="231F20"/>
          <w:w w:val="105"/>
        </w:rPr>
        <w:t>domande</w:t>
      </w:r>
      <w:r>
        <w:rPr>
          <w:color w:val="231F20"/>
          <w:w w:val="105"/>
          <w:position w:val="7"/>
          <w:sz w:val="12"/>
        </w:rPr>
        <w:t>24</w:t>
      </w:r>
      <w:r>
        <w:rPr>
          <w:color w:val="231F20"/>
          <w:w w:val="105"/>
        </w:rPr>
        <w:t>,</w:t>
      </w:r>
      <w:r>
        <w:rPr>
          <w:color w:val="231F20"/>
          <w:spacing w:val="-39"/>
          <w:w w:val="105"/>
        </w:rPr>
        <w:t> </w:t>
      </w:r>
      <w:r>
        <w:rPr>
          <w:color w:val="231F20"/>
          <w:w w:val="105"/>
        </w:rPr>
        <w:t>e</w:t>
      </w:r>
      <w:r>
        <w:rPr>
          <w:color w:val="231F20"/>
          <w:spacing w:val="-38"/>
          <w:w w:val="105"/>
        </w:rPr>
        <w:t> </w:t>
      </w:r>
      <w:r>
        <w:rPr>
          <w:color w:val="231F20"/>
          <w:w w:val="105"/>
        </w:rPr>
        <w:t>non</w:t>
      </w:r>
      <w:r>
        <w:rPr>
          <w:color w:val="231F20"/>
          <w:spacing w:val="-39"/>
          <w:w w:val="105"/>
        </w:rPr>
        <w:t> </w:t>
      </w:r>
      <w:r>
        <w:rPr>
          <w:color w:val="231F20"/>
          <w:w w:val="105"/>
        </w:rPr>
        <w:t>solo</w:t>
      </w:r>
      <w:r>
        <w:rPr>
          <w:color w:val="231F20"/>
          <w:spacing w:val="-39"/>
          <w:w w:val="105"/>
        </w:rPr>
        <w:t> </w:t>
      </w:r>
      <w:r>
        <w:rPr>
          <w:color w:val="231F20"/>
          <w:w w:val="105"/>
        </w:rPr>
        <w:t>attraverso</w:t>
      </w:r>
      <w:r>
        <w:rPr>
          <w:color w:val="231F20"/>
          <w:spacing w:val="-38"/>
          <w:w w:val="105"/>
        </w:rPr>
        <w:t> </w:t>
      </w:r>
      <w:r>
        <w:rPr>
          <w:color w:val="231F20"/>
          <w:w w:val="105"/>
        </w:rPr>
        <w:t>la</w:t>
      </w:r>
      <w:r>
        <w:rPr>
          <w:color w:val="231F20"/>
          <w:spacing w:val="-38"/>
          <w:w w:val="105"/>
        </w:rPr>
        <w:t> </w:t>
      </w:r>
      <w:r>
        <w:rPr>
          <w:color w:val="231F20"/>
          <w:w w:val="105"/>
        </w:rPr>
        <w:t>funzione del</w:t>
      </w:r>
      <w:r>
        <w:rPr>
          <w:color w:val="231F20"/>
          <w:spacing w:val="-38"/>
          <w:w w:val="105"/>
        </w:rPr>
        <w:t> </w:t>
      </w:r>
      <w:r>
        <w:rPr>
          <w:color w:val="231F20"/>
          <w:w w:val="105"/>
        </w:rPr>
        <w:t>benessere,</w:t>
      </w:r>
      <w:r>
        <w:rPr>
          <w:color w:val="231F20"/>
          <w:spacing w:val="-38"/>
          <w:w w:val="105"/>
        </w:rPr>
        <w:t> </w:t>
      </w:r>
      <w:r>
        <w:rPr>
          <w:color w:val="231F20"/>
          <w:w w:val="105"/>
        </w:rPr>
        <w:t>ma</w:t>
      </w:r>
      <w:r>
        <w:rPr>
          <w:color w:val="231F20"/>
          <w:spacing w:val="-38"/>
          <w:w w:val="105"/>
        </w:rPr>
        <w:t> </w:t>
      </w:r>
      <w:r>
        <w:rPr>
          <w:color w:val="231F20"/>
          <w:w w:val="105"/>
        </w:rPr>
        <w:t>anche</w:t>
      </w:r>
      <w:r>
        <w:rPr>
          <w:color w:val="231F20"/>
          <w:spacing w:val="-38"/>
          <w:w w:val="105"/>
        </w:rPr>
        <w:t> </w:t>
      </w:r>
      <w:r>
        <w:rPr>
          <w:color w:val="231F20"/>
          <w:w w:val="105"/>
        </w:rPr>
        <w:t>attraverso</w:t>
      </w:r>
      <w:r>
        <w:rPr>
          <w:color w:val="231F20"/>
          <w:spacing w:val="-38"/>
          <w:w w:val="105"/>
        </w:rPr>
        <w:t> </w:t>
      </w:r>
      <w:r>
        <w:rPr>
          <w:color w:val="231F20"/>
          <w:w w:val="105"/>
        </w:rPr>
        <w:t>la</w:t>
      </w:r>
      <w:r>
        <w:rPr>
          <w:color w:val="231F20"/>
          <w:spacing w:val="-38"/>
          <w:w w:val="105"/>
        </w:rPr>
        <w:t> </w:t>
      </w:r>
      <w:r>
        <w:rPr>
          <w:color w:val="231F20"/>
          <w:w w:val="105"/>
        </w:rPr>
        <w:t>crescita</w:t>
      </w:r>
      <w:r>
        <w:rPr>
          <w:color w:val="231F20"/>
          <w:spacing w:val="-38"/>
          <w:w w:val="105"/>
        </w:rPr>
        <w:t> </w:t>
      </w:r>
      <w:r>
        <w:rPr>
          <w:color w:val="231F20"/>
          <w:w w:val="105"/>
        </w:rPr>
        <w:t>del</w:t>
      </w:r>
      <w:r>
        <w:rPr>
          <w:color w:val="231F20"/>
          <w:spacing w:val="-38"/>
          <w:w w:val="105"/>
        </w:rPr>
        <w:t> </w:t>
      </w:r>
      <w:r>
        <w:rPr>
          <w:color w:val="231F20"/>
          <w:w w:val="105"/>
        </w:rPr>
        <w:t>proceso</w:t>
      </w:r>
      <w:r>
        <w:rPr>
          <w:color w:val="231F20"/>
          <w:spacing w:val="-38"/>
          <w:w w:val="105"/>
        </w:rPr>
        <w:t> </w:t>
      </w:r>
      <w:r>
        <w:rPr>
          <w:color w:val="231F20"/>
          <w:w w:val="105"/>
        </w:rPr>
        <w:t>di</w:t>
      </w:r>
      <w:r>
        <w:rPr>
          <w:color w:val="231F20"/>
          <w:spacing w:val="-38"/>
          <w:w w:val="105"/>
        </w:rPr>
        <w:t> </w:t>
      </w:r>
      <w:r>
        <w:rPr>
          <w:color w:val="231F20"/>
          <w:w w:val="105"/>
        </w:rPr>
        <w:t>“scentratura” delle</w:t>
      </w:r>
      <w:r>
        <w:rPr>
          <w:color w:val="231F20"/>
          <w:spacing w:val="-14"/>
          <w:w w:val="105"/>
        </w:rPr>
        <w:t> </w:t>
      </w:r>
      <w:r>
        <w:rPr>
          <w:color w:val="231F20"/>
          <w:w w:val="105"/>
        </w:rPr>
        <w:t>decisioni</w:t>
      </w:r>
      <w:r>
        <w:rPr>
          <w:color w:val="231F20"/>
          <w:spacing w:val="-14"/>
          <w:w w:val="105"/>
        </w:rPr>
        <w:t> </w:t>
      </w:r>
      <w:r>
        <w:rPr>
          <w:color w:val="231F20"/>
          <w:w w:val="105"/>
        </w:rPr>
        <w:t>e</w:t>
      </w:r>
      <w:r>
        <w:rPr>
          <w:color w:val="231F20"/>
          <w:spacing w:val="-14"/>
          <w:w w:val="105"/>
        </w:rPr>
        <w:t> </w:t>
      </w:r>
      <w:r>
        <w:rPr>
          <w:color w:val="231F20"/>
          <w:w w:val="105"/>
        </w:rPr>
        <w:t>degli</w:t>
      </w:r>
      <w:r>
        <w:rPr>
          <w:color w:val="231F20"/>
          <w:spacing w:val="-14"/>
          <w:w w:val="105"/>
        </w:rPr>
        <w:t> </w:t>
      </w:r>
      <w:r>
        <w:rPr>
          <w:color w:val="231F20"/>
          <w:w w:val="105"/>
        </w:rPr>
        <w:t>spazi</w:t>
      </w:r>
      <w:r>
        <w:rPr>
          <w:color w:val="231F20"/>
          <w:spacing w:val="-14"/>
          <w:w w:val="105"/>
        </w:rPr>
        <w:t> </w:t>
      </w:r>
      <w:r>
        <w:rPr>
          <w:color w:val="231F20"/>
          <w:w w:val="105"/>
        </w:rPr>
        <w:t>di</w:t>
      </w:r>
      <w:r>
        <w:rPr>
          <w:color w:val="231F20"/>
          <w:spacing w:val="-14"/>
          <w:w w:val="105"/>
        </w:rPr>
        <w:t> </w:t>
      </w:r>
      <w:r>
        <w:rPr>
          <w:color w:val="231F20"/>
          <w:w w:val="105"/>
        </w:rPr>
        <w:t>sovranizzazione</w:t>
      </w:r>
      <w:r>
        <w:rPr>
          <w:color w:val="231F20"/>
          <w:spacing w:val="-14"/>
          <w:w w:val="105"/>
        </w:rPr>
        <w:t> </w:t>
      </w:r>
      <w:r>
        <w:rPr>
          <w:color w:val="231F20"/>
          <w:w w:val="105"/>
        </w:rPr>
        <w:t>a</w:t>
      </w:r>
      <w:r>
        <w:rPr>
          <w:color w:val="231F20"/>
          <w:spacing w:val="-14"/>
          <w:w w:val="105"/>
        </w:rPr>
        <w:t> </w:t>
      </w:r>
      <w:r>
        <w:rPr>
          <w:color w:val="231F20"/>
          <w:w w:val="105"/>
        </w:rPr>
        <w:t>essa</w:t>
      </w:r>
      <w:r>
        <w:rPr>
          <w:color w:val="231F20"/>
          <w:spacing w:val="-14"/>
          <w:w w:val="105"/>
        </w:rPr>
        <w:t> </w:t>
      </w:r>
      <w:r>
        <w:rPr>
          <w:color w:val="231F20"/>
          <w:w w:val="105"/>
        </w:rPr>
        <w:t>intrinseci.</w:t>
      </w:r>
      <w:r>
        <w:rPr>
          <w:color w:val="231F20"/>
          <w:spacing w:val="-14"/>
          <w:w w:val="105"/>
        </w:rPr>
        <w:t> </w:t>
      </w:r>
      <w:r>
        <w:rPr>
          <w:color w:val="231F20"/>
          <w:w w:val="105"/>
        </w:rPr>
        <w:t>In</w:t>
      </w:r>
      <w:r>
        <w:rPr>
          <w:color w:val="231F20"/>
          <w:spacing w:val="-14"/>
          <w:w w:val="105"/>
        </w:rPr>
        <w:t> </w:t>
      </w:r>
      <w:r>
        <w:rPr>
          <w:color w:val="231F20"/>
          <w:w w:val="105"/>
        </w:rPr>
        <w:t>alcuni casi</w:t>
      </w:r>
      <w:r>
        <w:rPr>
          <w:color w:val="231F20"/>
          <w:spacing w:val="-17"/>
          <w:w w:val="105"/>
        </w:rPr>
        <w:t> </w:t>
      </w:r>
      <w:r>
        <w:rPr>
          <w:color w:val="231F20"/>
          <w:w w:val="105"/>
        </w:rPr>
        <w:t>adottando</w:t>
      </w:r>
      <w:r>
        <w:rPr>
          <w:color w:val="231F20"/>
          <w:spacing w:val="-17"/>
          <w:w w:val="105"/>
        </w:rPr>
        <w:t> </w:t>
      </w:r>
      <w:r>
        <w:rPr>
          <w:color w:val="231F20"/>
          <w:w w:val="105"/>
        </w:rPr>
        <w:t>la</w:t>
      </w:r>
      <w:r>
        <w:rPr>
          <w:color w:val="231F20"/>
          <w:spacing w:val="-17"/>
          <w:w w:val="105"/>
        </w:rPr>
        <w:t> </w:t>
      </w:r>
      <w:r>
        <w:rPr>
          <w:color w:val="231F20"/>
          <w:w w:val="105"/>
        </w:rPr>
        <w:t>forma</w:t>
      </w:r>
      <w:r>
        <w:rPr>
          <w:color w:val="231F20"/>
          <w:spacing w:val="-17"/>
          <w:w w:val="105"/>
        </w:rPr>
        <w:t> </w:t>
      </w:r>
      <w:r>
        <w:rPr>
          <w:color w:val="231F20"/>
          <w:w w:val="105"/>
        </w:rPr>
        <w:t>política</w:t>
      </w:r>
      <w:r>
        <w:rPr>
          <w:color w:val="231F20"/>
          <w:spacing w:val="-17"/>
          <w:w w:val="105"/>
        </w:rPr>
        <w:t> </w:t>
      </w:r>
      <w:r>
        <w:rPr>
          <w:color w:val="231F20"/>
          <w:w w:val="105"/>
        </w:rPr>
        <w:t>dell’eccezione</w:t>
      </w:r>
      <w:r>
        <w:rPr>
          <w:color w:val="231F20"/>
          <w:w w:val="105"/>
          <w:position w:val="7"/>
          <w:sz w:val="12"/>
        </w:rPr>
        <w:t>25</w:t>
      </w:r>
      <w:r>
        <w:rPr>
          <w:color w:val="231F20"/>
          <w:spacing w:val="13"/>
          <w:w w:val="105"/>
          <w:position w:val="7"/>
          <w:sz w:val="12"/>
        </w:rPr>
        <w:t> </w:t>
      </w:r>
      <w:r>
        <w:rPr>
          <w:color w:val="231F20"/>
          <w:w w:val="105"/>
        </w:rPr>
        <w:t>con</w:t>
      </w:r>
      <w:r>
        <w:rPr>
          <w:color w:val="231F20"/>
          <w:spacing w:val="-17"/>
          <w:w w:val="105"/>
        </w:rPr>
        <w:t> </w:t>
      </w:r>
      <w:r>
        <w:rPr>
          <w:color w:val="231F20"/>
          <w:w w:val="105"/>
        </w:rPr>
        <w:t>lo</w:t>
      </w:r>
      <w:r>
        <w:rPr>
          <w:color w:val="231F20"/>
          <w:spacing w:val="-17"/>
          <w:w w:val="105"/>
        </w:rPr>
        <w:t> </w:t>
      </w:r>
      <w:r>
        <w:rPr>
          <w:color w:val="231F20"/>
          <w:w w:val="105"/>
        </w:rPr>
        <w:t>scopo</w:t>
      </w:r>
      <w:r>
        <w:rPr>
          <w:color w:val="231F20"/>
          <w:spacing w:val="-17"/>
          <w:w w:val="105"/>
        </w:rPr>
        <w:t> </w:t>
      </w:r>
      <w:r>
        <w:rPr>
          <w:color w:val="231F20"/>
          <w:w w:val="105"/>
        </w:rPr>
        <w:t>di</w:t>
      </w:r>
      <w:r>
        <w:rPr>
          <w:color w:val="231F20"/>
          <w:spacing w:val="-17"/>
          <w:w w:val="105"/>
        </w:rPr>
        <w:t> </w:t>
      </w:r>
      <w:r>
        <w:rPr>
          <w:color w:val="231F20"/>
          <w:w w:val="105"/>
        </w:rPr>
        <w:t>articolare quello</w:t>
      </w:r>
      <w:r>
        <w:rPr>
          <w:color w:val="231F20"/>
          <w:spacing w:val="-27"/>
          <w:w w:val="105"/>
        </w:rPr>
        <w:t> </w:t>
      </w:r>
      <w:r>
        <w:rPr>
          <w:color w:val="231F20"/>
          <w:w w:val="105"/>
        </w:rPr>
        <w:t>che</w:t>
      </w:r>
      <w:r>
        <w:rPr>
          <w:color w:val="231F20"/>
          <w:spacing w:val="-27"/>
          <w:w w:val="105"/>
        </w:rPr>
        <w:t> </w:t>
      </w:r>
      <w:r>
        <w:rPr>
          <w:color w:val="231F20"/>
          <w:w w:val="105"/>
        </w:rPr>
        <w:t>il</w:t>
      </w:r>
      <w:r>
        <w:rPr>
          <w:color w:val="231F20"/>
          <w:spacing w:val="-27"/>
          <w:w w:val="105"/>
        </w:rPr>
        <w:t> </w:t>
      </w:r>
      <w:r>
        <w:rPr>
          <w:color w:val="231F20"/>
          <w:w w:val="105"/>
        </w:rPr>
        <w:t>sociólogo</w:t>
      </w:r>
      <w:r>
        <w:rPr>
          <w:color w:val="231F20"/>
          <w:spacing w:val="-27"/>
          <w:w w:val="105"/>
        </w:rPr>
        <w:t> </w:t>
      </w:r>
      <w:r>
        <w:rPr>
          <w:color w:val="231F20"/>
          <w:w w:val="105"/>
        </w:rPr>
        <w:t>Alan</w:t>
      </w:r>
      <w:r>
        <w:rPr>
          <w:color w:val="231F20"/>
          <w:spacing w:val="-27"/>
          <w:w w:val="105"/>
        </w:rPr>
        <w:t> </w:t>
      </w:r>
      <w:r>
        <w:rPr>
          <w:color w:val="231F20"/>
          <w:w w:val="105"/>
        </w:rPr>
        <w:t>Wolfe</w:t>
      </w:r>
      <w:r>
        <w:rPr>
          <w:color w:val="231F20"/>
          <w:spacing w:val="-27"/>
          <w:w w:val="105"/>
        </w:rPr>
        <w:t> </w:t>
      </w:r>
      <w:r>
        <w:rPr>
          <w:color w:val="231F20"/>
          <w:w w:val="105"/>
        </w:rPr>
        <w:t>definì</w:t>
      </w:r>
      <w:r>
        <w:rPr>
          <w:color w:val="231F20"/>
          <w:spacing w:val="-27"/>
          <w:w w:val="105"/>
        </w:rPr>
        <w:t> </w:t>
      </w:r>
      <w:r>
        <w:rPr>
          <w:color w:val="231F20"/>
          <w:w w:val="105"/>
        </w:rPr>
        <w:t>come</w:t>
      </w:r>
      <w:r>
        <w:rPr>
          <w:color w:val="231F20"/>
          <w:spacing w:val="-27"/>
          <w:w w:val="105"/>
        </w:rPr>
        <w:t> </w:t>
      </w:r>
      <w:r>
        <w:rPr>
          <w:color w:val="231F20"/>
          <w:w w:val="105"/>
        </w:rPr>
        <w:t>i</w:t>
      </w:r>
      <w:r>
        <w:rPr>
          <w:color w:val="231F20"/>
          <w:spacing w:val="-27"/>
          <w:w w:val="105"/>
        </w:rPr>
        <w:t> </w:t>
      </w:r>
      <w:r>
        <w:rPr>
          <w:color w:val="231F20"/>
          <w:w w:val="105"/>
        </w:rPr>
        <w:t>“modi</w:t>
      </w:r>
      <w:r>
        <w:rPr>
          <w:color w:val="231F20"/>
          <w:spacing w:val="-27"/>
          <w:w w:val="105"/>
        </w:rPr>
        <w:t> </w:t>
      </w:r>
      <w:r>
        <w:rPr>
          <w:color w:val="231F20"/>
          <w:w w:val="105"/>
        </w:rPr>
        <w:t>di</w:t>
      </w:r>
      <w:r>
        <w:rPr>
          <w:color w:val="231F20"/>
          <w:spacing w:val="-27"/>
          <w:w w:val="105"/>
        </w:rPr>
        <w:t> </w:t>
      </w:r>
      <w:r>
        <w:rPr>
          <w:color w:val="231F20"/>
          <w:w w:val="105"/>
        </w:rPr>
        <w:t>conservazione</w:t>
      </w:r>
      <w:r>
        <w:rPr>
          <w:color w:val="231F20"/>
          <w:spacing w:val="-27"/>
          <w:w w:val="105"/>
        </w:rPr>
        <w:t> </w:t>
      </w:r>
      <w:r>
        <w:rPr>
          <w:color w:val="231F20"/>
          <w:w w:val="105"/>
        </w:rPr>
        <w:t>del potere</w:t>
      </w:r>
      <w:r>
        <w:rPr>
          <w:color w:val="231F20"/>
          <w:spacing w:val="-34"/>
          <w:w w:val="105"/>
        </w:rPr>
        <w:t> </w:t>
      </w:r>
      <w:r>
        <w:rPr>
          <w:color w:val="231F20"/>
          <w:w w:val="105"/>
        </w:rPr>
        <w:t>in</w:t>
      </w:r>
      <w:r>
        <w:rPr>
          <w:color w:val="231F20"/>
          <w:spacing w:val="-34"/>
          <w:w w:val="105"/>
        </w:rPr>
        <w:t> </w:t>
      </w:r>
      <w:r>
        <w:rPr>
          <w:color w:val="231F20"/>
          <w:w w:val="105"/>
        </w:rPr>
        <w:t>contesti</w:t>
      </w:r>
      <w:r>
        <w:rPr>
          <w:color w:val="231F20"/>
          <w:spacing w:val="-34"/>
          <w:w w:val="105"/>
        </w:rPr>
        <w:t> </w:t>
      </w:r>
      <w:r>
        <w:rPr>
          <w:color w:val="231F20"/>
          <w:w w:val="105"/>
        </w:rPr>
        <w:t>di</w:t>
      </w:r>
      <w:r>
        <w:rPr>
          <w:color w:val="231F20"/>
          <w:spacing w:val="-34"/>
          <w:w w:val="105"/>
        </w:rPr>
        <w:t> </w:t>
      </w:r>
      <w:r>
        <w:rPr>
          <w:color w:val="231F20"/>
          <w:w w:val="105"/>
        </w:rPr>
        <w:t>grande</w:t>
      </w:r>
      <w:r>
        <w:rPr>
          <w:color w:val="231F20"/>
          <w:spacing w:val="-34"/>
          <w:w w:val="105"/>
        </w:rPr>
        <w:t> </w:t>
      </w:r>
      <w:r>
        <w:rPr>
          <w:color w:val="231F20"/>
          <w:w w:val="105"/>
        </w:rPr>
        <w:t>fluidità</w:t>
      </w:r>
      <w:r>
        <w:rPr>
          <w:color w:val="231F20"/>
          <w:spacing w:val="-34"/>
          <w:w w:val="105"/>
        </w:rPr>
        <w:t> </w:t>
      </w:r>
      <w:r>
        <w:rPr>
          <w:color w:val="231F20"/>
          <w:w w:val="105"/>
        </w:rPr>
        <w:t>sociale”</w:t>
      </w:r>
      <w:r>
        <w:rPr>
          <w:color w:val="231F20"/>
          <w:w w:val="105"/>
          <w:position w:val="7"/>
          <w:sz w:val="12"/>
        </w:rPr>
        <w:t>26</w:t>
      </w:r>
      <w:r>
        <w:rPr>
          <w:color w:val="231F20"/>
          <w:w w:val="105"/>
        </w:rPr>
        <w:t>.</w:t>
      </w:r>
      <w:r>
        <w:rPr>
          <w:color w:val="231F20"/>
          <w:spacing w:val="-34"/>
          <w:w w:val="105"/>
        </w:rPr>
        <w:t> </w:t>
      </w:r>
      <w:r>
        <w:rPr>
          <w:color w:val="231F20"/>
          <w:w w:val="105"/>
        </w:rPr>
        <w:t>Il</w:t>
      </w:r>
      <w:r>
        <w:rPr>
          <w:color w:val="231F20"/>
          <w:spacing w:val="-34"/>
          <w:w w:val="105"/>
        </w:rPr>
        <w:t> </w:t>
      </w:r>
      <w:r>
        <w:rPr>
          <w:color w:val="231F20"/>
          <w:w w:val="105"/>
        </w:rPr>
        <w:t>corollario</w:t>
      </w:r>
      <w:r>
        <w:rPr>
          <w:color w:val="231F20"/>
          <w:spacing w:val="-34"/>
          <w:w w:val="105"/>
        </w:rPr>
        <w:t> </w:t>
      </w:r>
      <w:r>
        <w:rPr>
          <w:color w:val="231F20"/>
          <w:w w:val="105"/>
        </w:rPr>
        <w:t>è</w:t>
      </w:r>
      <w:r>
        <w:rPr>
          <w:color w:val="231F20"/>
          <w:spacing w:val="-34"/>
          <w:w w:val="105"/>
        </w:rPr>
        <w:t> </w:t>
      </w:r>
      <w:r>
        <w:rPr>
          <w:color w:val="231F20"/>
          <w:w w:val="105"/>
        </w:rPr>
        <w:t>pronosticabile: la</w:t>
      </w:r>
      <w:r>
        <w:rPr>
          <w:color w:val="231F20"/>
          <w:spacing w:val="-27"/>
          <w:w w:val="105"/>
        </w:rPr>
        <w:t> </w:t>
      </w:r>
      <w:r>
        <w:rPr>
          <w:color w:val="231F20"/>
          <w:w w:val="105"/>
        </w:rPr>
        <w:t>“reificazione”</w:t>
      </w:r>
      <w:r>
        <w:rPr>
          <w:color w:val="231F20"/>
          <w:spacing w:val="-27"/>
          <w:w w:val="105"/>
        </w:rPr>
        <w:t> </w:t>
      </w:r>
      <w:r>
        <w:rPr>
          <w:color w:val="231F20"/>
          <w:w w:val="105"/>
        </w:rPr>
        <w:t>della</w:t>
      </w:r>
      <w:r>
        <w:rPr>
          <w:color w:val="231F20"/>
          <w:spacing w:val="-27"/>
          <w:w w:val="105"/>
        </w:rPr>
        <w:t> </w:t>
      </w:r>
      <w:r>
        <w:rPr>
          <w:color w:val="231F20"/>
          <w:w w:val="105"/>
        </w:rPr>
        <w:t>política</w:t>
      </w:r>
      <w:r>
        <w:rPr>
          <w:color w:val="231F20"/>
          <w:spacing w:val="-27"/>
          <w:w w:val="105"/>
        </w:rPr>
        <w:t> </w:t>
      </w:r>
      <w:r>
        <w:rPr>
          <w:color w:val="231F20"/>
          <w:w w:val="105"/>
        </w:rPr>
        <w:t>democratica</w:t>
      </w:r>
      <w:r>
        <w:rPr>
          <w:color w:val="231F20"/>
          <w:spacing w:val="-27"/>
          <w:w w:val="105"/>
        </w:rPr>
        <w:t> </w:t>
      </w:r>
      <w:r>
        <w:rPr>
          <w:color w:val="231F20"/>
          <w:w w:val="105"/>
        </w:rPr>
        <w:t>e</w:t>
      </w:r>
      <w:r>
        <w:rPr>
          <w:color w:val="231F20"/>
          <w:spacing w:val="-27"/>
          <w:w w:val="105"/>
        </w:rPr>
        <w:t> </w:t>
      </w:r>
      <w:r>
        <w:rPr>
          <w:color w:val="231F20"/>
          <w:w w:val="105"/>
        </w:rPr>
        <w:t>dello</w:t>
      </w:r>
      <w:r>
        <w:rPr>
          <w:color w:val="231F20"/>
          <w:spacing w:val="-27"/>
          <w:w w:val="105"/>
        </w:rPr>
        <w:t> </w:t>
      </w:r>
      <w:r>
        <w:rPr>
          <w:color w:val="231F20"/>
          <w:w w:val="105"/>
        </w:rPr>
        <w:t>Stato</w:t>
      </w:r>
      <w:r>
        <w:rPr>
          <w:color w:val="231F20"/>
          <w:spacing w:val="-27"/>
          <w:w w:val="105"/>
        </w:rPr>
        <w:t> </w:t>
      </w:r>
      <w:r>
        <w:rPr>
          <w:rFonts w:ascii="Arial" w:hAnsi="Arial"/>
          <w:i/>
          <w:color w:val="231F20"/>
          <w:w w:val="105"/>
        </w:rPr>
        <w:t>giustificano</w:t>
      </w:r>
      <w:r>
        <w:rPr>
          <w:rFonts w:ascii="Arial" w:hAnsi="Arial"/>
          <w:i/>
          <w:color w:val="231F20"/>
          <w:spacing w:val="-20"/>
          <w:w w:val="105"/>
        </w:rPr>
        <w:t> </w:t>
      </w:r>
      <w:r>
        <w:rPr>
          <w:color w:val="231F20"/>
          <w:w w:val="105"/>
        </w:rPr>
        <w:t>l’ansia di</w:t>
      </w:r>
      <w:r>
        <w:rPr>
          <w:color w:val="231F20"/>
          <w:spacing w:val="-35"/>
          <w:w w:val="105"/>
        </w:rPr>
        <w:t> </w:t>
      </w:r>
      <w:r>
        <w:rPr>
          <w:color w:val="231F20"/>
          <w:w w:val="105"/>
        </w:rPr>
        <w:t>idolatrare</w:t>
      </w:r>
      <w:r>
        <w:rPr>
          <w:color w:val="231F20"/>
          <w:spacing w:val="-35"/>
          <w:w w:val="105"/>
        </w:rPr>
        <w:t> </w:t>
      </w:r>
      <w:r>
        <w:rPr>
          <w:color w:val="231F20"/>
          <w:w w:val="105"/>
        </w:rPr>
        <w:t>l’efficacia</w:t>
      </w:r>
      <w:r>
        <w:rPr>
          <w:color w:val="231F20"/>
          <w:spacing w:val="-35"/>
          <w:w w:val="105"/>
        </w:rPr>
        <w:t> </w:t>
      </w:r>
      <w:r>
        <w:rPr>
          <w:color w:val="231F20"/>
          <w:w w:val="105"/>
        </w:rPr>
        <w:t>delle</w:t>
      </w:r>
      <w:r>
        <w:rPr>
          <w:color w:val="231F20"/>
          <w:spacing w:val="-35"/>
          <w:w w:val="105"/>
        </w:rPr>
        <w:t> </w:t>
      </w:r>
      <w:r>
        <w:rPr>
          <w:color w:val="231F20"/>
          <w:w w:val="105"/>
        </w:rPr>
        <w:t>istituzioni</w:t>
      </w:r>
      <w:r>
        <w:rPr>
          <w:color w:val="231F20"/>
          <w:spacing w:val="-35"/>
          <w:w w:val="105"/>
        </w:rPr>
        <w:t> </w:t>
      </w:r>
      <w:r>
        <w:rPr>
          <w:color w:val="231F20"/>
          <w:w w:val="105"/>
        </w:rPr>
        <w:t>pubbliche,</w:t>
      </w:r>
      <w:r>
        <w:rPr>
          <w:color w:val="231F20"/>
          <w:spacing w:val="-35"/>
          <w:w w:val="105"/>
        </w:rPr>
        <w:t> </w:t>
      </w:r>
      <w:r>
        <w:rPr>
          <w:color w:val="231F20"/>
          <w:w w:val="105"/>
        </w:rPr>
        <w:t>anche</w:t>
      </w:r>
      <w:r>
        <w:rPr>
          <w:color w:val="231F20"/>
          <w:spacing w:val="-35"/>
          <w:w w:val="105"/>
        </w:rPr>
        <w:t> </w:t>
      </w:r>
      <w:r>
        <w:rPr>
          <w:color w:val="231F20"/>
          <w:w w:val="105"/>
        </w:rPr>
        <w:t>contravvenendo</w:t>
      </w:r>
      <w:r>
        <w:rPr>
          <w:color w:val="231F20"/>
          <w:spacing w:val="-35"/>
          <w:w w:val="105"/>
        </w:rPr>
        <w:t> </w:t>
      </w:r>
      <w:r>
        <w:rPr>
          <w:color w:val="231F20"/>
          <w:w w:val="105"/>
        </w:rPr>
        <w:t>la </w:t>
      </w:r>
      <w:r>
        <w:rPr>
          <w:color w:val="231F20"/>
          <w:spacing w:val="-3"/>
          <w:w w:val="105"/>
        </w:rPr>
        <w:t>causa</w:t>
      </w:r>
      <w:r>
        <w:rPr>
          <w:color w:val="231F20"/>
          <w:spacing w:val="-39"/>
          <w:w w:val="105"/>
        </w:rPr>
        <w:t> </w:t>
      </w:r>
      <w:r>
        <w:rPr>
          <w:color w:val="231F20"/>
          <w:spacing w:val="-3"/>
          <w:w w:val="105"/>
        </w:rPr>
        <w:t>del’eccesso</w:t>
      </w:r>
      <w:r>
        <w:rPr>
          <w:color w:val="231F20"/>
          <w:spacing w:val="-39"/>
          <w:w w:val="105"/>
        </w:rPr>
        <w:t> </w:t>
      </w:r>
      <w:r>
        <w:rPr>
          <w:color w:val="231F20"/>
          <w:w w:val="105"/>
        </w:rPr>
        <w:t>di</w:t>
      </w:r>
      <w:r>
        <w:rPr>
          <w:color w:val="231F20"/>
          <w:spacing w:val="-39"/>
          <w:w w:val="105"/>
        </w:rPr>
        <w:t> </w:t>
      </w:r>
      <w:r>
        <w:rPr>
          <w:color w:val="231F20"/>
          <w:spacing w:val="-3"/>
          <w:w w:val="105"/>
        </w:rPr>
        <w:t>statalità</w:t>
      </w:r>
      <w:r>
        <w:rPr>
          <w:color w:val="231F20"/>
          <w:spacing w:val="-39"/>
          <w:w w:val="105"/>
        </w:rPr>
        <w:t> </w:t>
      </w:r>
      <w:r>
        <w:rPr>
          <w:color w:val="231F20"/>
          <w:w w:val="105"/>
        </w:rPr>
        <w:t>che</w:t>
      </w:r>
      <w:r>
        <w:rPr>
          <w:color w:val="231F20"/>
          <w:spacing w:val="-39"/>
          <w:w w:val="105"/>
        </w:rPr>
        <w:t> </w:t>
      </w:r>
      <w:r>
        <w:rPr>
          <w:color w:val="231F20"/>
          <w:w w:val="105"/>
        </w:rPr>
        <w:t>per</w:t>
      </w:r>
      <w:r>
        <w:rPr>
          <w:color w:val="231F20"/>
          <w:spacing w:val="-39"/>
          <w:w w:val="105"/>
        </w:rPr>
        <w:t> </w:t>
      </w:r>
      <w:r>
        <w:rPr>
          <w:color w:val="231F20"/>
          <w:spacing w:val="-3"/>
          <w:w w:val="105"/>
        </w:rPr>
        <w:t>parecchi</w:t>
      </w:r>
      <w:r>
        <w:rPr>
          <w:color w:val="231F20"/>
          <w:spacing w:val="-39"/>
          <w:w w:val="105"/>
        </w:rPr>
        <w:t> </w:t>
      </w:r>
      <w:r>
        <w:rPr>
          <w:color w:val="231F20"/>
          <w:spacing w:val="-3"/>
          <w:w w:val="105"/>
        </w:rPr>
        <w:t>anni</w:t>
      </w:r>
      <w:r>
        <w:rPr>
          <w:color w:val="231F20"/>
          <w:spacing w:val="-39"/>
          <w:w w:val="105"/>
        </w:rPr>
        <w:t> </w:t>
      </w:r>
      <w:r>
        <w:rPr>
          <w:color w:val="231F20"/>
          <w:w w:val="105"/>
        </w:rPr>
        <w:t>era</w:t>
      </w:r>
      <w:r>
        <w:rPr>
          <w:color w:val="231F20"/>
          <w:spacing w:val="-39"/>
          <w:w w:val="105"/>
        </w:rPr>
        <w:t> </w:t>
      </w:r>
      <w:r>
        <w:rPr>
          <w:color w:val="231F20"/>
          <w:w w:val="105"/>
        </w:rPr>
        <w:t>la</w:t>
      </w:r>
      <w:r>
        <w:rPr>
          <w:color w:val="231F20"/>
          <w:spacing w:val="-39"/>
          <w:w w:val="105"/>
        </w:rPr>
        <w:t> </w:t>
      </w:r>
      <w:r>
        <w:rPr>
          <w:color w:val="231F20"/>
          <w:spacing w:val="-3"/>
          <w:w w:val="105"/>
        </w:rPr>
        <w:t>pietra</w:t>
      </w:r>
      <w:r>
        <w:rPr>
          <w:color w:val="231F20"/>
          <w:spacing w:val="-39"/>
          <w:w w:val="105"/>
        </w:rPr>
        <w:t> </w:t>
      </w:r>
      <w:r>
        <w:rPr>
          <w:color w:val="231F20"/>
          <w:w w:val="105"/>
        </w:rPr>
        <w:t>di</w:t>
      </w:r>
      <w:r>
        <w:rPr>
          <w:color w:val="231F20"/>
          <w:spacing w:val="-39"/>
          <w:w w:val="105"/>
        </w:rPr>
        <w:t> </w:t>
      </w:r>
      <w:r>
        <w:rPr>
          <w:color w:val="231F20"/>
          <w:spacing w:val="-3"/>
          <w:w w:val="105"/>
        </w:rPr>
        <w:t>tocco</w:t>
      </w:r>
      <w:r>
        <w:rPr>
          <w:color w:val="231F20"/>
          <w:spacing w:val="-39"/>
          <w:w w:val="105"/>
        </w:rPr>
        <w:t> </w:t>
      </w:r>
      <w:r>
        <w:rPr>
          <w:color w:val="231F20"/>
          <w:spacing w:val="-3"/>
          <w:w w:val="105"/>
        </w:rPr>
        <w:t>delle </w:t>
      </w:r>
      <w:r>
        <w:rPr>
          <w:color w:val="231F20"/>
          <w:w w:val="105"/>
        </w:rPr>
        <w:t>feroci</w:t>
      </w:r>
      <w:r>
        <w:rPr>
          <w:color w:val="231F20"/>
          <w:spacing w:val="-36"/>
          <w:w w:val="105"/>
        </w:rPr>
        <w:t> </w:t>
      </w:r>
      <w:r>
        <w:rPr>
          <w:color w:val="231F20"/>
          <w:w w:val="105"/>
        </w:rPr>
        <w:t>critiche</w:t>
      </w:r>
      <w:r>
        <w:rPr>
          <w:color w:val="231F20"/>
          <w:spacing w:val="-36"/>
          <w:w w:val="105"/>
        </w:rPr>
        <w:t> </w:t>
      </w:r>
      <w:r>
        <w:rPr>
          <w:color w:val="231F20"/>
          <w:w w:val="105"/>
        </w:rPr>
        <w:t>all’attività</w:t>
      </w:r>
      <w:r>
        <w:rPr>
          <w:color w:val="231F20"/>
          <w:spacing w:val="-36"/>
          <w:w w:val="105"/>
        </w:rPr>
        <w:t> </w:t>
      </w:r>
      <w:r>
        <w:rPr>
          <w:color w:val="231F20"/>
          <w:w w:val="105"/>
        </w:rPr>
        <w:t>statale,</w:t>
      </w:r>
      <w:r>
        <w:rPr>
          <w:color w:val="231F20"/>
          <w:spacing w:val="-36"/>
          <w:w w:val="105"/>
        </w:rPr>
        <w:t> </w:t>
      </w:r>
      <w:r>
        <w:rPr>
          <w:color w:val="231F20"/>
          <w:w w:val="105"/>
        </w:rPr>
        <w:t>anche</w:t>
      </w:r>
      <w:r>
        <w:rPr>
          <w:color w:val="231F20"/>
          <w:spacing w:val="-36"/>
          <w:w w:val="105"/>
        </w:rPr>
        <w:t> </w:t>
      </w:r>
      <w:r>
        <w:rPr>
          <w:color w:val="231F20"/>
          <w:w w:val="105"/>
        </w:rPr>
        <w:t>in</w:t>
      </w:r>
      <w:r>
        <w:rPr>
          <w:color w:val="231F20"/>
          <w:spacing w:val="-36"/>
          <w:w w:val="105"/>
        </w:rPr>
        <w:t> </w:t>
      </w:r>
      <w:r>
        <w:rPr>
          <w:color w:val="231F20"/>
          <w:w w:val="105"/>
        </w:rPr>
        <w:t>ambienti</w:t>
      </w:r>
      <w:r>
        <w:rPr>
          <w:color w:val="231F20"/>
          <w:spacing w:val="-36"/>
          <w:w w:val="105"/>
        </w:rPr>
        <w:t> </w:t>
      </w:r>
      <w:r>
        <w:rPr>
          <w:color w:val="231F20"/>
          <w:w w:val="105"/>
        </w:rPr>
        <w:t>che</w:t>
      </w:r>
      <w:r>
        <w:rPr>
          <w:color w:val="231F20"/>
          <w:spacing w:val="-36"/>
          <w:w w:val="105"/>
        </w:rPr>
        <w:t> </w:t>
      </w:r>
      <w:r>
        <w:rPr>
          <w:color w:val="231F20"/>
          <w:w w:val="105"/>
        </w:rPr>
        <w:t>non</w:t>
      </w:r>
      <w:r>
        <w:rPr>
          <w:color w:val="231F20"/>
          <w:spacing w:val="-36"/>
          <w:w w:val="105"/>
        </w:rPr>
        <w:t> </w:t>
      </w:r>
      <w:r>
        <w:rPr>
          <w:color w:val="231F20"/>
          <w:w w:val="105"/>
        </w:rPr>
        <w:t>appartenevano alla</w:t>
      </w:r>
      <w:r>
        <w:rPr>
          <w:color w:val="231F20"/>
          <w:spacing w:val="-53"/>
          <w:w w:val="105"/>
        </w:rPr>
        <w:t> </w:t>
      </w:r>
      <w:r>
        <w:rPr>
          <w:color w:val="231F20"/>
          <w:w w:val="105"/>
        </w:rPr>
        <w:t>sua</w:t>
      </w:r>
      <w:r>
        <w:rPr>
          <w:color w:val="231F20"/>
          <w:spacing w:val="-53"/>
          <w:w w:val="105"/>
        </w:rPr>
        <w:t> </w:t>
      </w:r>
      <w:r>
        <w:rPr>
          <w:color w:val="231F20"/>
          <w:w w:val="105"/>
        </w:rPr>
        <w:t>giurisdizione.</w:t>
      </w:r>
      <w:r>
        <w:rPr>
          <w:color w:val="231F20"/>
          <w:spacing w:val="-53"/>
          <w:w w:val="105"/>
        </w:rPr>
        <w:t> </w:t>
      </w:r>
      <w:r>
        <w:rPr>
          <w:color w:val="231F20"/>
          <w:w w:val="105"/>
        </w:rPr>
        <w:t>Per</w:t>
      </w:r>
      <w:r>
        <w:rPr>
          <w:color w:val="231F20"/>
          <w:spacing w:val="-53"/>
          <w:w w:val="105"/>
        </w:rPr>
        <w:t> </w:t>
      </w:r>
      <w:r>
        <w:rPr>
          <w:color w:val="231F20"/>
          <w:spacing w:val="-3"/>
          <w:w w:val="105"/>
        </w:rPr>
        <w:t>Wolfe,</w:t>
      </w:r>
      <w:r>
        <w:rPr>
          <w:color w:val="231F20"/>
          <w:spacing w:val="-53"/>
          <w:w w:val="105"/>
        </w:rPr>
        <w:t> </w:t>
      </w:r>
      <w:r>
        <w:rPr>
          <w:color w:val="231F20"/>
          <w:w w:val="105"/>
        </w:rPr>
        <w:t>questo</w:t>
      </w:r>
      <w:r>
        <w:rPr>
          <w:color w:val="231F20"/>
          <w:spacing w:val="-53"/>
          <w:w w:val="105"/>
        </w:rPr>
        <w:t> </w:t>
      </w:r>
      <w:r>
        <w:rPr>
          <w:color w:val="231F20"/>
          <w:w w:val="105"/>
        </w:rPr>
        <w:t>sintomo</w:t>
      </w:r>
      <w:r>
        <w:rPr>
          <w:color w:val="231F20"/>
          <w:spacing w:val="-53"/>
          <w:w w:val="105"/>
        </w:rPr>
        <w:t> </w:t>
      </w:r>
      <w:r>
        <w:rPr>
          <w:color w:val="231F20"/>
          <w:w w:val="105"/>
        </w:rPr>
        <w:t>dello</w:t>
      </w:r>
      <w:r>
        <w:rPr>
          <w:color w:val="231F20"/>
          <w:spacing w:val="-53"/>
          <w:w w:val="105"/>
        </w:rPr>
        <w:t> </w:t>
      </w:r>
      <w:r>
        <w:rPr>
          <w:color w:val="231F20"/>
          <w:w w:val="105"/>
        </w:rPr>
        <w:t>Stato</w:t>
      </w:r>
      <w:r>
        <w:rPr>
          <w:color w:val="231F20"/>
          <w:spacing w:val="-53"/>
          <w:w w:val="105"/>
        </w:rPr>
        <w:t> </w:t>
      </w:r>
      <w:r>
        <w:rPr>
          <w:color w:val="231F20"/>
          <w:w w:val="105"/>
        </w:rPr>
        <w:t>contemporaneo è</w:t>
      </w:r>
      <w:r>
        <w:rPr>
          <w:color w:val="231F20"/>
          <w:spacing w:val="-25"/>
          <w:w w:val="105"/>
        </w:rPr>
        <w:t> </w:t>
      </w:r>
      <w:r>
        <w:rPr>
          <w:color w:val="231F20"/>
          <w:w w:val="105"/>
        </w:rPr>
        <w:t>un</w:t>
      </w:r>
      <w:r>
        <w:rPr>
          <w:color w:val="231F20"/>
          <w:spacing w:val="-25"/>
          <w:w w:val="105"/>
        </w:rPr>
        <w:t> </w:t>
      </w:r>
      <w:r>
        <w:rPr>
          <w:color w:val="231F20"/>
          <w:w w:val="105"/>
        </w:rPr>
        <w:t>paradosso</w:t>
      </w:r>
      <w:r>
        <w:rPr>
          <w:color w:val="231F20"/>
          <w:spacing w:val="-25"/>
          <w:w w:val="105"/>
        </w:rPr>
        <w:t> </w:t>
      </w:r>
      <w:r>
        <w:rPr>
          <w:color w:val="231F20"/>
          <w:w w:val="105"/>
        </w:rPr>
        <w:t>insormontabile:</w:t>
      </w:r>
      <w:r>
        <w:rPr>
          <w:color w:val="231F20"/>
          <w:spacing w:val="-25"/>
          <w:w w:val="105"/>
        </w:rPr>
        <w:t> </w:t>
      </w:r>
      <w:r>
        <w:rPr>
          <w:color w:val="231F20"/>
          <w:w w:val="105"/>
        </w:rPr>
        <w:t>“quanto</w:t>
      </w:r>
      <w:r>
        <w:rPr>
          <w:color w:val="231F20"/>
          <w:spacing w:val="-24"/>
          <w:w w:val="105"/>
        </w:rPr>
        <w:t> </w:t>
      </w:r>
      <w:r>
        <w:rPr>
          <w:color w:val="231F20"/>
          <w:w w:val="105"/>
        </w:rPr>
        <w:t>più</w:t>
      </w:r>
      <w:r>
        <w:rPr>
          <w:color w:val="231F20"/>
          <w:spacing w:val="-25"/>
          <w:w w:val="105"/>
        </w:rPr>
        <w:t> </w:t>
      </w:r>
      <w:r>
        <w:rPr>
          <w:color w:val="231F20"/>
          <w:w w:val="105"/>
        </w:rPr>
        <w:t>fallisce</w:t>
      </w:r>
      <w:r>
        <w:rPr>
          <w:color w:val="231F20"/>
          <w:spacing w:val="-25"/>
          <w:w w:val="105"/>
        </w:rPr>
        <w:t> </w:t>
      </w:r>
      <w:r>
        <w:rPr>
          <w:color w:val="231F20"/>
          <w:w w:val="105"/>
        </w:rPr>
        <w:t>lo</w:t>
      </w:r>
      <w:r>
        <w:rPr>
          <w:color w:val="231F20"/>
          <w:spacing w:val="-25"/>
          <w:w w:val="105"/>
        </w:rPr>
        <w:t> </w:t>
      </w:r>
      <w:r>
        <w:rPr>
          <w:color w:val="231F20"/>
          <w:w w:val="105"/>
        </w:rPr>
        <w:t>Stato,</w:t>
      </w:r>
      <w:r>
        <w:rPr>
          <w:color w:val="231F20"/>
          <w:spacing w:val="-24"/>
          <w:w w:val="105"/>
        </w:rPr>
        <w:t> </w:t>
      </w:r>
      <w:r>
        <w:rPr>
          <w:color w:val="231F20"/>
          <w:w w:val="105"/>
        </w:rPr>
        <w:t>più</w:t>
      </w:r>
      <w:r>
        <w:rPr>
          <w:color w:val="231F20"/>
          <w:spacing w:val="-25"/>
          <w:w w:val="105"/>
        </w:rPr>
        <w:t> </w:t>
      </w:r>
      <w:r>
        <w:rPr>
          <w:color w:val="231F20"/>
          <w:w w:val="105"/>
        </w:rPr>
        <w:t>venerato è,</w:t>
      </w:r>
      <w:r>
        <w:rPr>
          <w:color w:val="231F20"/>
          <w:spacing w:val="-30"/>
          <w:w w:val="105"/>
        </w:rPr>
        <w:t> </w:t>
      </w:r>
      <w:r>
        <w:rPr>
          <w:color w:val="231F20"/>
          <w:w w:val="105"/>
        </w:rPr>
        <w:t>e</w:t>
      </w:r>
      <w:r>
        <w:rPr>
          <w:color w:val="231F20"/>
          <w:spacing w:val="-30"/>
          <w:w w:val="105"/>
        </w:rPr>
        <w:t> </w:t>
      </w:r>
      <w:r>
        <w:rPr>
          <w:color w:val="231F20"/>
          <w:w w:val="105"/>
        </w:rPr>
        <w:t>quanto</w:t>
      </w:r>
      <w:r>
        <w:rPr>
          <w:color w:val="231F20"/>
          <w:spacing w:val="-30"/>
          <w:w w:val="105"/>
        </w:rPr>
        <w:t> </w:t>
      </w:r>
      <w:r>
        <w:rPr>
          <w:color w:val="231F20"/>
          <w:w w:val="105"/>
        </w:rPr>
        <w:t>più</w:t>
      </w:r>
      <w:r>
        <w:rPr>
          <w:color w:val="231F20"/>
          <w:spacing w:val="-30"/>
          <w:w w:val="105"/>
        </w:rPr>
        <w:t> </w:t>
      </w:r>
      <w:r>
        <w:rPr>
          <w:color w:val="231F20"/>
          <w:w w:val="105"/>
        </w:rPr>
        <w:t>venerato,</w:t>
      </w:r>
      <w:r>
        <w:rPr>
          <w:color w:val="231F20"/>
          <w:spacing w:val="-30"/>
          <w:w w:val="105"/>
        </w:rPr>
        <w:t> </w:t>
      </w:r>
      <w:r>
        <w:rPr>
          <w:color w:val="231F20"/>
          <w:w w:val="105"/>
        </w:rPr>
        <w:t>maggiore</w:t>
      </w:r>
      <w:r>
        <w:rPr>
          <w:color w:val="231F20"/>
          <w:spacing w:val="-30"/>
          <w:w w:val="105"/>
        </w:rPr>
        <w:t> </w:t>
      </w:r>
      <w:r>
        <w:rPr>
          <w:color w:val="231F20"/>
          <w:w w:val="105"/>
        </w:rPr>
        <w:t>il</w:t>
      </w:r>
      <w:r>
        <w:rPr>
          <w:color w:val="231F20"/>
          <w:spacing w:val="-30"/>
          <w:w w:val="105"/>
        </w:rPr>
        <w:t> </w:t>
      </w:r>
      <w:r>
        <w:rPr>
          <w:color w:val="231F20"/>
          <w:w w:val="105"/>
        </w:rPr>
        <w:t>suo</w:t>
      </w:r>
      <w:r>
        <w:rPr>
          <w:color w:val="231F20"/>
          <w:spacing w:val="-30"/>
          <w:w w:val="105"/>
        </w:rPr>
        <w:t> </w:t>
      </w:r>
      <w:r>
        <w:rPr>
          <w:color w:val="231F20"/>
          <w:w w:val="105"/>
        </w:rPr>
        <w:t>fallimento”</w:t>
      </w:r>
      <w:r>
        <w:rPr>
          <w:color w:val="231F20"/>
          <w:w w:val="105"/>
          <w:position w:val="7"/>
          <w:sz w:val="12"/>
        </w:rPr>
        <w:t>27</w:t>
      </w:r>
      <w:r>
        <w:rPr>
          <w:color w:val="231F20"/>
          <w:w w:val="105"/>
        </w:rPr>
        <w:t>.</w:t>
      </w:r>
    </w:p>
    <w:p>
      <w:pPr>
        <w:pStyle w:val="BodyText"/>
        <w:spacing w:line="247" w:lineRule="auto"/>
        <w:ind w:left="117" w:right="117" w:firstLine="566"/>
        <w:jc w:val="both"/>
      </w:pPr>
      <w:r>
        <w:rPr>
          <w:color w:val="231F20"/>
        </w:rPr>
        <w:t>Così, l’alto costo della democrazia ha a che fare con la nascita di contesti social strutturati con poca radice democratica ma con “grande </w:t>
      </w:r>
      <w:r>
        <w:rPr>
          <w:color w:val="231F20"/>
          <w:spacing w:val="-3"/>
        </w:rPr>
        <w:t>fluidità sociale”,</w:t>
      </w:r>
      <w:r>
        <w:rPr>
          <w:color w:val="231F20"/>
          <w:spacing w:val="-3"/>
          <w:position w:val="7"/>
          <w:sz w:val="12"/>
        </w:rPr>
        <w:t>28 </w:t>
      </w:r>
      <w:r>
        <w:rPr>
          <w:color w:val="231F20"/>
          <w:spacing w:val="-3"/>
        </w:rPr>
        <w:t>come sono l’uso </w:t>
      </w:r>
      <w:r>
        <w:rPr>
          <w:color w:val="231F20"/>
        </w:rPr>
        <w:t>del </w:t>
      </w:r>
      <w:r>
        <w:rPr>
          <w:color w:val="231F20"/>
          <w:spacing w:val="-3"/>
        </w:rPr>
        <w:t>denaro nero </w:t>
      </w:r>
      <w:r>
        <w:rPr>
          <w:color w:val="231F20"/>
        </w:rPr>
        <w:t>per </w:t>
      </w:r>
      <w:r>
        <w:rPr>
          <w:color w:val="231F20"/>
          <w:spacing w:val="-3"/>
        </w:rPr>
        <w:t>orientare un’elezione, </w:t>
      </w:r>
      <w:r>
        <w:rPr>
          <w:color w:val="231F20"/>
        </w:rPr>
        <w:t>la corruzione degli attori politici e anche degli attori che appartengono </w:t>
      </w:r>
      <w:r>
        <w:rPr>
          <w:color w:val="231F20"/>
          <w:spacing w:val="5"/>
        </w:rPr>
        <w:t>all’apparato giudiziario, </w:t>
      </w:r>
      <w:r>
        <w:rPr>
          <w:color w:val="231F20"/>
        </w:rPr>
        <w:t>e </w:t>
      </w:r>
      <w:r>
        <w:rPr>
          <w:color w:val="231F20"/>
          <w:spacing w:val="3"/>
        </w:rPr>
        <w:t>la </w:t>
      </w:r>
      <w:r>
        <w:rPr>
          <w:color w:val="231F20"/>
          <w:spacing w:val="5"/>
        </w:rPr>
        <w:t>compra–vendita </w:t>
      </w:r>
      <w:r>
        <w:rPr>
          <w:color w:val="231F20"/>
          <w:spacing w:val="4"/>
        </w:rPr>
        <w:t>dei voti propria della </w:t>
      </w:r>
      <w:r>
        <w:rPr>
          <w:color w:val="231F20"/>
        </w:rPr>
        <w:t>dinamica del clientelismo, per cui allo stesso tempo esprime la necessità di </w:t>
      </w:r>
      <w:r>
        <w:rPr>
          <w:color w:val="231F20"/>
          <w:spacing w:val="-4"/>
        </w:rPr>
        <w:t>approfondire</w:t>
      </w:r>
      <w:r>
        <w:rPr>
          <w:color w:val="231F20"/>
          <w:spacing w:val="-12"/>
        </w:rPr>
        <w:t> </w:t>
      </w:r>
      <w:r>
        <w:rPr>
          <w:color w:val="231F20"/>
          <w:spacing w:val="-3"/>
        </w:rPr>
        <w:t>nella</w:t>
      </w:r>
      <w:r>
        <w:rPr>
          <w:color w:val="231F20"/>
          <w:spacing w:val="-12"/>
        </w:rPr>
        <w:t> </w:t>
      </w:r>
      <w:r>
        <w:rPr>
          <w:color w:val="231F20"/>
          <w:spacing w:val="-3"/>
        </w:rPr>
        <w:t>chiamata</w:t>
      </w:r>
      <w:r>
        <w:rPr>
          <w:color w:val="231F20"/>
          <w:spacing w:val="-12"/>
        </w:rPr>
        <w:t> </w:t>
      </w:r>
      <w:r>
        <w:rPr>
          <w:color w:val="231F20"/>
          <w:spacing w:val="-3"/>
        </w:rPr>
        <w:t>educazione</w:t>
      </w:r>
      <w:r>
        <w:rPr>
          <w:color w:val="231F20"/>
          <w:spacing w:val="-9"/>
        </w:rPr>
        <w:t> </w:t>
      </w:r>
      <w:r>
        <w:rPr>
          <w:rFonts w:ascii="Arial" w:hAnsi="Arial"/>
          <w:i/>
          <w:color w:val="231F20"/>
        </w:rPr>
        <w:t>per</w:t>
      </w:r>
      <w:r>
        <w:rPr>
          <w:rFonts w:ascii="Arial" w:hAnsi="Arial"/>
          <w:i/>
          <w:color w:val="231F20"/>
          <w:spacing w:val="-4"/>
        </w:rPr>
        <w:t> </w:t>
      </w:r>
      <w:r>
        <w:rPr>
          <w:color w:val="231F20"/>
        </w:rPr>
        <w:t>e</w:t>
      </w:r>
      <w:r>
        <w:rPr>
          <w:color w:val="231F20"/>
          <w:spacing w:val="-12"/>
        </w:rPr>
        <w:t> </w:t>
      </w:r>
      <w:r>
        <w:rPr>
          <w:rFonts w:ascii="Arial" w:hAnsi="Arial"/>
          <w:i/>
          <w:color w:val="231F20"/>
          <w:spacing w:val="-3"/>
        </w:rPr>
        <w:t>nella</w:t>
      </w:r>
      <w:r>
        <w:rPr>
          <w:rFonts w:ascii="Arial" w:hAnsi="Arial"/>
          <w:i/>
          <w:color w:val="231F20"/>
          <w:spacing w:val="-4"/>
        </w:rPr>
        <w:t> </w:t>
      </w:r>
      <w:r>
        <w:rPr>
          <w:color w:val="231F20"/>
          <w:spacing w:val="-3"/>
        </w:rPr>
        <w:t>democrazia</w:t>
      </w:r>
      <w:r>
        <w:rPr>
          <w:color w:val="231F20"/>
          <w:spacing w:val="-3"/>
          <w:position w:val="7"/>
          <w:sz w:val="12"/>
        </w:rPr>
        <w:t>29</w:t>
      </w:r>
      <w:r>
        <w:rPr>
          <w:color w:val="231F20"/>
          <w:spacing w:val="-3"/>
        </w:rPr>
        <w:t>.</w:t>
      </w:r>
      <w:r>
        <w:rPr>
          <w:color w:val="231F20"/>
          <w:spacing w:val="-12"/>
        </w:rPr>
        <w:t> </w:t>
      </w:r>
      <w:r>
        <w:rPr>
          <w:color w:val="231F20"/>
        </w:rPr>
        <w:t>Per</w:t>
      </w:r>
      <w:r>
        <w:rPr>
          <w:color w:val="231F20"/>
          <w:spacing w:val="-12"/>
        </w:rPr>
        <w:t> </w:t>
      </w:r>
      <w:r>
        <w:rPr>
          <w:color w:val="231F20"/>
          <w:spacing w:val="-3"/>
        </w:rPr>
        <w:t>questo, </w:t>
      </w:r>
      <w:r>
        <w:rPr>
          <w:color w:val="231F20"/>
        </w:rPr>
        <w:t>azzecca Pierre Rosanvallon quando dice che “le elezioni contemporanee sono meno l’opportunità di optare per diversi orientamenti che giudizi sul </w:t>
      </w:r>
      <w:r>
        <w:rPr>
          <w:color w:val="231F20"/>
          <w:spacing w:val="-3"/>
        </w:rPr>
        <w:t>passato</w:t>
      </w:r>
      <w:r>
        <w:rPr>
          <w:color w:val="231F20"/>
          <w:spacing w:val="-15"/>
        </w:rPr>
        <w:t> </w:t>
      </w:r>
      <w:r>
        <w:rPr>
          <w:color w:val="231F20"/>
        </w:rPr>
        <w:t>[…]</w:t>
      </w:r>
      <w:r>
        <w:rPr>
          <w:color w:val="231F20"/>
          <w:spacing w:val="-15"/>
        </w:rPr>
        <w:t> </w:t>
      </w:r>
      <w:r>
        <w:rPr>
          <w:color w:val="231F20"/>
        </w:rPr>
        <w:t>Non</w:t>
      </w:r>
      <w:r>
        <w:rPr>
          <w:color w:val="231F20"/>
          <w:spacing w:val="-15"/>
        </w:rPr>
        <w:t> </w:t>
      </w:r>
      <w:r>
        <w:rPr>
          <w:color w:val="231F20"/>
        </w:rPr>
        <w:t>si</w:t>
      </w:r>
      <w:r>
        <w:rPr>
          <w:color w:val="231F20"/>
          <w:spacing w:val="-15"/>
        </w:rPr>
        <w:t> </w:t>
      </w:r>
      <w:r>
        <w:rPr>
          <w:color w:val="231F20"/>
          <w:spacing w:val="-3"/>
        </w:rPr>
        <w:t>trata</w:t>
      </w:r>
      <w:r>
        <w:rPr>
          <w:color w:val="231F20"/>
          <w:spacing w:val="-14"/>
        </w:rPr>
        <w:t> </w:t>
      </w:r>
      <w:r>
        <w:rPr>
          <w:color w:val="231F20"/>
          <w:spacing w:val="-3"/>
        </w:rPr>
        <w:t>più,</w:t>
      </w:r>
      <w:r>
        <w:rPr>
          <w:color w:val="231F20"/>
          <w:spacing w:val="-15"/>
        </w:rPr>
        <w:t> </w:t>
      </w:r>
      <w:r>
        <w:rPr>
          <w:color w:val="231F20"/>
        </w:rPr>
        <w:t>nel</w:t>
      </w:r>
      <w:r>
        <w:rPr>
          <w:color w:val="231F20"/>
          <w:spacing w:val="-15"/>
        </w:rPr>
        <w:t> </w:t>
      </w:r>
      <w:r>
        <w:rPr>
          <w:color w:val="231F20"/>
          <w:spacing w:val="-3"/>
        </w:rPr>
        <w:t>senso</w:t>
      </w:r>
      <w:r>
        <w:rPr>
          <w:color w:val="231F20"/>
          <w:spacing w:val="-15"/>
        </w:rPr>
        <w:t> </w:t>
      </w:r>
      <w:r>
        <w:rPr>
          <w:color w:val="231F20"/>
          <w:spacing w:val="-3"/>
        </w:rPr>
        <w:t>etimologico</w:t>
      </w:r>
      <w:r>
        <w:rPr>
          <w:color w:val="231F20"/>
          <w:spacing w:val="-15"/>
        </w:rPr>
        <w:t> </w:t>
      </w:r>
      <w:r>
        <w:rPr>
          <w:color w:val="231F20"/>
        </w:rPr>
        <w:t>del</w:t>
      </w:r>
      <w:r>
        <w:rPr>
          <w:color w:val="231F20"/>
          <w:spacing w:val="-15"/>
        </w:rPr>
        <w:t> </w:t>
      </w:r>
      <w:r>
        <w:rPr>
          <w:color w:val="231F20"/>
          <w:spacing w:val="-3"/>
        </w:rPr>
        <w:t>termine,</w:t>
      </w:r>
      <w:r>
        <w:rPr>
          <w:color w:val="231F20"/>
          <w:spacing w:val="-15"/>
        </w:rPr>
        <w:t> </w:t>
      </w:r>
      <w:r>
        <w:rPr>
          <w:color w:val="231F20"/>
        </w:rPr>
        <w:t>di</w:t>
      </w:r>
      <w:r>
        <w:rPr>
          <w:color w:val="231F20"/>
          <w:spacing w:val="-15"/>
        </w:rPr>
        <w:t> </w:t>
      </w:r>
      <w:r>
        <w:rPr>
          <w:color w:val="231F20"/>
          <w:spacing w:val="-4"/>
        </w:rPr>
        <w:t>distinguere </w:t>
      </w:r>
      <w:r>
        <w:rPr>
          <w:color w:val="231F20"/>
        </w:rPr>
        <w:t>e selezionare candidati, ma piuttosto di procedere a eliminazioni. Si può parlare per </w:t>
      </w:r>
      <w:r>
        <w:rPr>
          <w:color w:val="231F20"/>
          <w:spacing w:val="2"/>
        </w:rPr>
        <w:t>questo </w:t>
      </w:r>
      <w:r>
        <w:rPr>
          <w:color w:val="231F20"/>
        </w:rPr>
        <w:t>di </w:t>
      </w:r>
      <w:r>
        <w:rPr>
          <w:color w:val="231F20"/>
          <w:spacing w:val="2"/>
        </w:rPr>
        <w:t>“diselezioni”. Entriamo così </w:t>
      </w:r>
      <w:r>
        <w:rPr>
          <w:color w:val="231F20"/>
        </w:rPr>
        <w:t>in ciò che </w:t>
      </w:r>
      <w:r>
        <w:rPr>
          <w:color w:val="231F20"/>
          <w:spacing w:val="2"/>
        </w:rPr>
        <w:t>potrebbe </w:t>
      </w:r>
      <w:r>
        <w:rPr>
          <w:color w:val="231F20"/>
        </w:rPr>
        <w:t>chiamarsi una</w:t>
      </w:r>
      <w:r>
        <w:rPr>
          <w:color w:val="231F20"/>
          <w:spacing w:val="-44"/>
        </w:rPr>
        <w:t> </w:t>
      </w:r>
      <w:r>
        <w:rPr>
          <w:rFonts w:ascii="Arial" w:hAnsi="Arial"/>
          <w:i/>
          <w:color w:val="231F20"/>
        </w:rPr>
        <w:t>democrazia di sanzione</w:t>
      </w:r>
      <w:r>
        <w:rPr>
          <w:color w:val="231F20"/>
        </w:rPr>
        <w:t>”</w:t>
      </w:r>
      <w:r>
        <w:rPr>
          <w:color w:val="231F20"/>
          <w:position w:val="7"/>
          <w:sz w:val="12"/>
        </w:rPr>
        <w:t>30</w:t>
      </w:r>
      <w:r>
        <w:rPr>
          <w:color w:val="231F20"/>
        </w:rPr>
        <w:t>.</w:t>
      </w:r>
    </w:p>
    <w:p>
      <w:pPr>
        <w:pStyle w:val="BodyText"/>
        <w:spacing w:line="247" w:lineRule="auto"/>
        <w:ind w:left="117" w:right="121" w:firstLine="566"/>
        <w:jc w:val="both"/>
      </w:pPr>
      <w:r>
        <w:rPr>
          <w:color w:val="231F20"/>
          <w:w w:val="105"/>
        </w:rPr>
        <w:t>In</w:t>
      </w:r>
      <w:r>
        <w:rPr>
          <w:color w:val="231F20"/>
          <w:spacing w:val="-22"/>
          <w:w w:val="105"/>
        </w:rPr>
        <w:t> </w:t>
      </w:r>
      <w:r>
        <w:rPr>
          <w:color w:val="231F20"/>
          <w:w w:val="105"/>
        </w:rPr>
        <w:t>molte</w:t>
      </w:r>
      <w:r>
        <w:rPr>
          <w:color w:val="231F20"/>
          <w:spacing w:val="-22"/>
          <w:w w:val="105"/>
        </w:rPr>
        <w:t> </w:t>
      </w:r>
      <w:r>
        <w:rPr>
          <w:color w:val="231F20"/>
          <w:w w:val="105"/>
        </w:rPr>
        <w:t>occasioni,</w:t>
      </w:r>
      <w:r>
        <w:rPr>
          <w:color w:val="231F20"/>
          <w:spacing w:val="-22"/>
          <w:w w:val="105"/>
        </w:rPr>
        <w:t> </w:t>
      </w:r>
      <w:r>
        <w:rPr>
          <w:color w:val="231F20"/>
          <w:w w:val="105"/>
        </w:rPr>
        <w:t>questa</w:t>
      </w:r>
      <w:r>
        <w:rPr>
          <w:color w:val="231F20"/>
          <w:spacing w:val="-22"/>
          <w:w w:val="105"/>
        </w:rPr>
        <w:t> </w:t>
      </w:r>
      <w:r>
        <w:rPr>
          <w:color w:val="231F20"/>
          <w:w w:val="105"/>
        </w:rPr>
        <w:t>punizione</w:t>
      </w:r>
      <w:r>
        <w:rPr>
          <w:color w:val="231F20"/>
          <w:spacing w:val="-22"/>
          <w:w w:val="105"/>
        </w:rPr>
        <w:t> </w:t>
      </w:r>
      <w:r>
        <w:rPr>
          <w:color w:val="231F20"/>
          <w:w w:val="105"/>
        </w:rPr>
        <w:t>ha</w:t>
      </w:r>
      <w:r>
        <w:rPr>
          <w:color w:val="231F20"/>
          <w:spacing w:val="-22"/>
          <w:w w:val="105"/>
        </w:rPr>
        <w:t> </w:t>
      </w:r>
      <w:r>
        <w:rPr>
          <w:color w:val="231F20"/>
          <w:w w:val="105"/>
        </w:rPr>
        <w:t>a</w:t>
      </w:r>
      <w:r>
        <w:rPr>
          <w:color w:val="231F20"/>
          <w:spacing w:val="-22"/>
          <w:w w:val="105"/>
        </w:rPr>
        <w:t> </w:t>
      </w:r>
      <w:r>
        <w:rPr>
          <w:color w:val="231F20"/>
          <w:w w:val="105"/>
        </w:rPr>
        <w:t>che</w:t>
      </w:r>
      <w:r>
        <w:rPr>
          <w:color w:val="231F20"/>
          <w:spacing w:val="-22"/>
          <w:w w:val="105"/>
        </w:rPr>
        <w:t> </w:t>
      </w:r>
      <w:r>
        <w:rPr>
          <w:color w:val="231F20"/>
          <w:w w:val="105"/>
        </w:rPr>
        <w:t>fare</w:t>
      </w:r>
      <w:r>
        <w:rPr>
          <w:color w:val="231F20"/>
          <w:spacing w:val="-22"/>
          <w:w w:val="105"/>
        </w:rPr>
        <w:t> </w:t>
      </w:r>
      <w:r>
        <w:rPr>
          <w:color w:val="231F20"/>
          <w:w w:val="105"/>
        </w:rPr>
        <w:t>direttamente</w:t>
      </w:r>
      <w:r>
        <w:rPr>
          <w:color w:val="231F20"/>
          <w:spacing w:val="-22"/>
          <w:w w:val="105"/>
        </w:rPr>
        <w:t> </w:t>
      </w:r>
      <w:r>
        <w:rPr>
          <w:color w:val="231F20"/>
          <w:w w:val="105"/>
        </w:rPr>
        <w:t>col processo</w:t>
      </w:r>
      <w:r>
        <w:rPr>
          <w:color w:val="231F20"/>
          <w:spacing w:val="-14"/>
          <w:w w:val="105"/>
        </w:rPr>
        <w:t> </w:t>
      </w:r>
      <w:r>
        <w:rPr>
          <w:color w:val="231F20"/>
          <w:w w:val="105"/>
        </w:rPr>
        <w:t>di</w:t>
      </w:r>
      <w:r>
        <w:rPr>
          <w:color w:val="231F20"/>
          <w:spacing w:val="-14"/>
          <w:w w:val="105"/>
        </w:rPr>
        <w:t> </w:t>
      </w:r>
      <w:r>
        <w:rPr>
          <w:color w:val="231F20"/>
          <w:w w:val="105"/>
        </w:rPr>
        <w:t>colonizzazione</w:t>
      </w:r>
      <w:r>
        <w:rPr>
          <w:color w:val="231F20"/>
          <w:spacing w:val="-14"/>
          <w:w w:val="105"/>
        </w:rPr>
        <w:t> </w:t>
      </w:r>
      <w:r>
        <w:rPr>
          <w:color w:val="231F20"/>
          <w:w w:val="105"/>
        </w:rPr>
        <w:t>dello</w:t>
      </w:r>
      <w:r>
        <w:rPr>
          <w:color w:val="231F20"/>
          <w:spacing w:val="-14"/>
          <w:w w:val="105"/>
        </w:rPr>
        <w:t> </w:t>
      </w:r>
      <w:r>
        <w:rPr>
          <w:color w:val="231F20"/>
          <w:w w:val="105"/>
        </w:rPr>
        <w:t>spazio</w:t>
      </w:r>
      <w:r>
        <w:rPr>
          <w:color w:val="231F20"/>
          <w:spacing w:val="-14"/>
          <w:w w:val="105"/>
        </w:rPr>
        <w:t> </w:t>
      </w:r>
      <w:r>
        <w:rPr>
          <w:color w:val="231F20"/>
          <w:w w:val="105"/>
        </w:rPr>
        <w:t>politico</w:t>
      </w:r>
      <w:r>
        <w:rPr>
          <w:color w:val="231F20"/>
          <w:spacing w:val="-14"/>
          <w:w w:val="105"/>
        </w:rPr>
        <w:t> </w:t>
      </w:r>
      <w:r>
        <w:rPr>
          <w:color w:val="231F20"/>
          <w:w w:val="105"/>
        </w:rPr>
        <w:t>della</w:t>
      </w:r>
      <w:r>
        <w:rPr>
          <w:color w:val="231F20"/>
          <w:spacing w:val="-14"/>
          <w:w w:val="105"/>
        </w:rPr>
        <w:t> </w:t>
      </w:r>
      <w:r>
        <w:rPr>
          <w:color w:val="231F20"/>
          <w:w w:val="105"/>
        </w:rPr>
        <w:t>democrazia</w:t>
      </w:r>
      <w:r>
        <w:rPr>
          <w:color w:val="231F20"/>
          <w:spacing w:val="-14"/>
          <w:w w:val="105"/>
        </w:rPr>
        <w:t> </w:t>
      </w:r>
      <w:r>
        <w:rPr>
          <w:color w:val="231F20"/>
          <w:w w:val="105"/>
        </w:rPr>
        <w:t>causato dal’incremento della partecipazione di diversi attori non politici come</w:t>
      </w:r>
      <w:r>
        <w:rPr>
          <w:color w:val="231F20"/>
          <w:spacing w:val="-44"/>
          <w:w w:val="105"/>
        </w:rPr>
        <w:t> </w:t>
      </w:r>
      <w:r>
        <w:rPr>
          <w:color w:val="231F20"/>
          <w:w w:val="105"/>
        </w:rPr>
        <w:t>gli</w:t>
      </w:r>
    </w:p>
    <w:p>
      <w:pPr>
        <w:pStyle w:val="BodyText"/>
        <w:spacing w:before="2"/>
        <w:rPr>
          <w:sz w:val="17"/>
        </w:rPr>
      </w:pPr>
      <w:r>
        <w:rPr/>
        <w:pict>
          <v:line style="position:absolute;mso-position-horizontal-relative:page;mso-position-vertical-relative:paragraph;z-index:13552;mso-wrap-distance-left:0;mso-wrap-distance-right:0" from="70.866096pt,12.507085pt" to="184.252096pt,12.507085pt" stroked="true" strokeweight=".3pt" strokecolor="#231f20">
            <w10:wrap type="topAndBottom"/>
          </v:line>
        </w:pict>
      </w:r>
    </w:p>
    <w:p>
      <w:pPr>
        <w:spacing w:line="204" w:lineRule="exact" w:before="8"/>
        <w:ind w:left="117" w:right="121" w:firstLine="0"/>
        <w:jc w:val="both"/>
        <w:rPr>
          <w:rFonts w:ascii="Calibri" w:hAnsi="Calibri"/>
          <w:sz w:val="17"/>
        </w:rPr>
      </w:pPr>
      <w:r>
        <w:rPr>
          <w:rFonts w:ascii="Calibri" w:hAnsi="Calibri"/>
          <w:color w:val="231F20"/>
          <w:w w:val="105"/>
          <w:position w:val="6"/>
          <w:sz w:val="10"/>
        </w:rPr>
        <w:t>24 </w:t>
      </w:r>
      <w:r>
        <w:rPr>
          <w:rFonts w:ascii="Calibri" w:hAnsi="Calibri"/>
          <w:i/>
          <w:color w:val="231F20"/>
          <w:w w:val="105"/>
          <w:sz w:val="17"/>
        </w:rPr>
        <w:t>Governance </w:t>
      </w:r>
      <w:r>
        <w:rPr>
          <w:rFonts w:ascii="Calibri" w:hAnsi="Calibri"/>
          <w:color w:val="231F20"/>
          <w:w w:val="105"/>
          <w:sz w:val="17"/>
        </w:rPr>
        <w:t>è tradotto allo spagnolo come “gobernanza”  ed  allude  all’ambito  specifico della “attività di governare”. Perciò, la qualifica di “buona” o “cattiva” attuazione del governo. Ugualmente,</w:t>
      </w:r>
      <w:r>
        <w:rPr>
          <w:rFonts w:ascii="Calibri" w:hAnsi="Calibri"/>
          <w:color w:val="231F20"/>
          <w:spacing w:val="-21"/>
          <w:w w:val="105"/>
          <w:sz w:val="17"/>
        </w:rPr>
        <w:t> </w:t>
      </w:r>
      <w:r>
        <w:rPr>
          <w:rFonts w:ascii="Calibri" w:hAnsi="Calibri"/>
          <w:color w:val="231F20"/>
          <w:w w:val="105"/>
          <w:sz w:val="17"/>
        </w:rPr>
        <w:t>la</w:t>
      </w:r>
      <w:r>
        <w:rPr>
          <w:rFonts w:ascii="Calibri" w:hAnsi="Calibri"/>
          <w:color w:val="231F20"/>
          <w:spacing w:val="-21"/>
          <w:w w:val="105"/>
          <w:sz w:val="17"/>
        </w:rPr>
        <w:t> </w:t>
      </w:r>
      <w:r>
        <w:rPr>
          <w:rFonts w:ascii="Calibri" w:hAnsi="Calibri"/>
          <w:color w:val="231F20"/>
          <w:w w:val="105"/>
          <w:sz w:val="17"/>
        </w:rPr>
        <w:t>“gobernanza”</w:t>
      </w:r>
      <w:r>
        <w:rPr>
          <w:rFonts w:ascii="Calibri" w:hAnsi="Calibri"/>
          <w:color w:val="231F20"/>
          <w:spacing w:val="-21"/>
          <w:w w:val="105"/>
          <w:sz w:val="17"/>
        </w:rPr>
        <w:t> </w:t>
      </w:r>
      <w:r>
        <w:rPr>
          <w:rFonts w:ascii="Calibri" w:hAnsi="Calibri"/>
          <w:color w:val="231F20"/>
          <w:w w:val="105"/>
          <w:sz w:val="17"/>
        </w:rPr>
        <w:t>democratica,</w:t>
      </w:r>
      <w:r>
        <w:rPr>
          <w:rFonts w:ascii="Calibri" w:hAnsi="Calibri"/>
          <w:color w:val="231F20"/>
          <w:spacing w:val="-21"/>
          <w:w w:val="105"/>
          <w:sz w:val="17"/>
        </w:rPr>
        <w:t> </w:t>
      </w:r>
      <w:r>
        <w:rPr>
          <w:rFonts w:ascii="Calibri" w:hAnsi="Calibri"/>
          <w:color w:val="231F20"/>
          <w:w w:val="105"/>
          <w:sz w:val="17"/>
        </w:rPr>
        <w:t>a</w:t>
      </w:r>
      <w:r>
        <w:rPr>
          <w:rFonts w:ascii="Calibri" w:hAnsi="Calibri"/>
          <w:color w:val="231F20"/>
          <w:spacing w:val="-21"/>
          <w:w w:val="105"/>
          <w:sz w:val="17"/>
        </w:rPr>
        <w:t> </w:t>
      </w:r>
      <w:r>
        <w:rPr>
          <w:rFonts w:ascii="Calibri" w:hAnsi="Calibri"/>
          <w:color w:val="231F20"/>
          <w:w w:val="105"/>
          <w:sz w:val="17"/>
        </w:rPr>
        <w:t>differenza</w:t>
      </w:r>
      <w:r>
        <w:rPr>
          <w:rFonts w:ascii="Calibri" w:hAnsi="Calibri"/>
          <w:color w:val="231F20"/>
          <w:spacing w:val="-21"/>
          <w:w w:val="105"/>
          <w:sz w:val="17"/>
        </w:rPr>
        <w:t> </w:t>
      </w:r>
      <w:r>
        <w:rPr>
          <w:rFonts w:ascii="Calibri" w:hAnsi="Calibri"/>
          <w:color w:val="231F20"/>
          <w:w w:val="105"/>
          <w:sz w:val="17"/>
        </w:rPr>
        <w:t>della</w:t>
      </w:r>
      <w:r>
        <w:rPr>
          <w:rFonts w:ascii="Calibri" w:hAnsi="Calibri"/>
          <w:color w:val="231F20"/>
          <w:spacing w:val="-21"/>
          <w:w w:val="105"/>
          <w:sz w:val="17"/>
        </w:rPr>
        <w:t> </w:t>
      </w:r>
      <w:r>
        <w:rPr>
          <w:rFonts w:ascii="Calibri" w:hAnsi="Calibri"/>
          <w:color w:val="231F20"/>
          <w:w w:val="105"/>
          <w:sz w:val="17"/>
        </w:rPr>
        <w:t>governabilità</w:t>
      </w:r>
      <w:r>
        <w:rPr>
          <w:rFonts w:ascii="Calibri" w:hAnsi="Calibri"/>
          <w:color w:val="231F20"/>
          <w:spacing w:val="-21"/>
          <w:w w:val="105"/>
          <w:sz w:val="17"/>
        </w:rPr>
        <w:t> </w:t>
      </w:r>
      <w:r>
        <w:rPr>
          <w:rFonts w:ascii="Calibri" w:hAnsi="Calibri"/>
          <w:color w:val="231F20"/>
          <w:w w:val="105"/>
          <w:sz w:val="17"/>
        </w:rPr>
        <w:t>democratica,</w:t>
      </w:r>
      <w:r>
        <w:rPr>
          <w:rFonts w:ascii="Calibri" w:hAnsi="Calibri"/>
          <w:color w:val="231F20"/>
          <w:spacing w:val="-21"/>
          <w:w w:val="105"/>
          <w:sz w:val="17"/>
        </w:rPr>
        <w:t> </w:t>
      </w:r>
      <w:r>
        <w:rPr>
          <w:rFonts w:ascii="Calibri" w:hAnsi="Calibri"/>
          <w:color w:val="231F20"/>
          <w:w w:val="105"/>
          <w:sz w:val="17"/>
        </w:rPr>
        <w:t>enfatizza l’aThdabilità</w:t>
      </w:r>
      <w:r>
        <w:rPr>
          <w:rFonts w:ascii="Calibri" w:hAnsi="Calibri"/>
          <w:color w:val="231F20"/>
          <w:spacing w:val="-28"/>
          <w:w w:val="105"/>
          <w:sz w:val="17"/>
        </w:rPr>
        <w:t> </w:t>
      </w:r>
      <w:r>
        <w:rPr>
          <w:rFonts w:ascii="Calibri" w:hAnsi="Calibri"/>
          <w:color w:val="231F20"/>
          <w:w w:val="105"/>
          <w:sz w:val="17"/>
        </w:rPr>
        <w:t>e</w:t>
      </w:r>
      <w:r>
        <w:rPr>
          <w:rFonts w:ascii="Calibri" w:hAnsi="Calibri"/>
          <w:color w:val="231F20"/>
          <w:spacing w:val="-28"/>
          <w:w w:val="105"/>
          <w:sz w:val="17"/>
        </w:rPr>
        <w:t> </w:t>
      </w:r>
      <w:r>
        <w:rPr>
          <w:rFonts w:ascii="Calibri" w:hAnsi="Calibri"/>
          <w:color w:val="231F20"/>
          <w:w w:val="105"/>
          <w:sz w:val="17"/>
        </w:rPr>
        <w:t>stabilità</w:t>
      </w:r>
      <w:r>
        <w:rPr>
          <w:rFonts w:ascii="Calibri" w:hAnsi="Calibri"/>
          <w:color w:val="231F20"/>
          <w:spacing w:val="-28"/>
          <w:w w:val="105"/>
          <w:sz w:val="17"/>
        </w:rPr>
        <w:t> </w:t>
      </w:r>
      <w:r>
        <w:rPr>
          <w:rFonts w:ascii="Calibri" w:hAnsi="Calibri"/>
          <w:color w:val="231F20"/>
          <w:w w:val="105"/>
          <w:sz w:val="17"/>
        </w:rPr>
        <w:t>dei</w:t>
      </w:r>
      <w:r>
        <w:rPr>
          <w:rFonts w:ascii="Calibri" w:hAnsi="Calibri"/>
          <w:color w:val="231F20"/>
          <w:spacing w:val="-28"/>
          <w:w w:val="105"/>
          <w:sz w:val="17"/>
        </w:rPr>
        <w:t> </w:t>
      </w:r>
      <w:r>
        <w:rPr>
          <w:rFonts w:ascii="Calibri" w:hAnsi="Calibri"/>
          <w:color w:val="231F20"/>
          <w:w w:val="105"/>
          <w:sz w:val="17"/>
        </w:rPr>
        <w:t>procedimenti</w:t>
      </w:r>
      <w:r>
        <w:rPr>
          <w:rFonts w:ascii="Calibri" w:hAnsi="Calibri"/>
          <w:color w:val="231F20"/>
          <w:spacing w:val="-28"/>
          <w:w w:val="105"/>
          <w:sz w:val="17"/>
        </w:rPr>
        <w:t> </w:t>
      </w:r>
      <w:r>
        <w:rPr>
          <w:rFonts w:ascii="Calibri" w:hAnsi="Calibri"/>
          <w:color w:val="231F20"/>
          <w:w w:val="105"/>
          <w:sz w:val="17"/>
        </w:rPr>
        <w:t>democratici.</w:t>
      </w:r>
      <w:r>
        <w:rPr>
          <w:rFonts w:ascii="Calibri" w:hAnsi="Calibri"/>
          <w:color w:val="231F20"/>
          <w:spacing w:val="-28"/>
          <w:w w:val="105"/>
          <w:sz w:val="17"/>
        </w:rPr>
        <w:t> </w:t>
      </w:r>
      <w:r>
        <w:rPr>
          <w:rFonts w:ascii="Calibri" w:hAnsi="Calibri"/>
          <w:color w:val="231F20"/>
          <w:w w:val="105"/>
          <w:sz w:val="17"/>
        </w:rPr>
        <w:t>Ad</w:t>
      </w:r>
      <w:r>
        <w:rPr>
          <w:rFonts w:ascii="Calibri" w:hAnsi="Calibri"/>
          <w:color w:val="231F20"/>
          <w:spacing w:val="-28"/>
          <w:w w:val="105"/>
          <w:sz w:val="17"/>
        </w:rPr>
        <w:t> </w:t>
      </w:r>
      <w:r>
        <w:rPr>
          <w:rFonts w:ascii="Calibri" w:hAnsi="Calibri"/>
          <w:color w:val="231F20"/>
          <w:w w:val="105"/>
          <w:sz w:val="17"/>
        </w:rPr>
        <w:t>esempio,</w:t>
      </w:r>
      <w:r>
        <w:rPr>
          <w:rFonts w:ascii="Calibri" w:hAnsi="Calibri"/>
          <w:color w:val="231F20"/>
          <w:spacing w:val="-28"/>
          <w:w w:val="105"/>
          <w:sz w:val="17"/>
        </w:rPr>
        <w:t> </w:t>
      </w:r>
      <w:r>
        <w:rPr>
          <w:rFonts w:ascii="Calibri" w:hAnsi="Calibri"/>
          <w:color w:val="231F20"/>
          <w:w w:val="105"/>
          <w:sz w:val="17"/>
        </w:rPr>
        <w:t>è</w:t>
      </w:r>
      <w:r>
        <w:rPr>
          <w:rFonts w:ascii="Calibri" w:hAnsi="Calibri"/>
          <w:color w:val="231F20"/>
          <w:spacing w:val="-28"/>
          <w:w w:val="105"/>
          <w:sz w:val="17"/>
        </w:rPr>
        <w:t> </w:t>
      </w:r>
      <w:r>
        <w:rPr>
          <w:rFonts w:ascii="Calibri" w:hAnsi="Calibri"/>
          <w:color w:val="231F20"/>
          <w:w w:val="105"/>
          <w:sz w:val="17"/>
        </w:rPr>
        <w:t>osservabile</w:t>
      </w:r>
      <w:r>
        <w:rPr>
          <w:rFonts w:ascii="Calibri" w:hAnsi="Calibri"/>
          <w:color w:val="231F20"/>
          <w:spacing w:val="-28"/>
          <w:w w:val="105"/>
          <w:sz w:val="17"/>
        </w:rPr>
        <w:t> </w:t>
      </w:r>
      <w:r>
        <w:rPr>
          <w:rFonts w:ascii="Calibri" w:hAnsi="Calibri"/>
          <w:color w:val="231F20"/>
          <w:w w:val="105"/>
          <w:sz w:val="17"/>
        </w:rPr>
        <w:t>nella</w:t>
      </w:r>
      <w:r>
        <w:rPr>
          <w:rFonts w:ascii="Calibri" w:hAnsi="Calibri"/>
          <w:color w:val="231F20"/>
          <w:spacing w:val="-28"/>
          <w:w w:val="105"/>
          <w:sz w:val="17"/>
        </w:rPr>
        <w:t> </w:t>
      </w:r>
      <w:r>
        <w:rPr>
          <w:rFonts w:ascii="Calibri" w:hAnsi="Calibri"/>
          <w:color w:val="231F20"/>
          <w:w w:val="105"/>
          <w:sz w:val="17"/>
        </w:rPr>
        <w:t>questione</w:t>
      </w:r>
      <w:r>
        <w:rPr>
          <w:rFonts w:ascii="Calibri" w:hAnsi="Calibri"/>
          <w:color w:val="231F20"/>
          <w:spacing w:val="-28"/>
          <w:w w:val="105"/>
          <w:sz w:val="17"/>
        </w:rPr>
        <w:t> </w:t>
      </w:r>
      <w:r>
        <w:rPr>
          <w:rFonts w:ascii="Calibri" w:hAnsi="Calibri"/>
          <w:color w:val="231F20"/>
          <w:w w:val="105"/>
          <w:sz w:val="17"/>
        </w:rPr>
        <w:t>che concerne</w:t>
      </w:r>
      <w:r>
        <w:rPr>
          <w:rFonts w:ascii="Calibri" w:hAnsi="Calibri"/>
          <w:color w:val="231F20"/>
          <w:spacing w:val="-27"/>
          <w:w w:val="105"/>
          <w:sz w:val="17"/>
        </w:rPr>
        <w:t> </w:t>
      </w:r>
      <w:r>
        <w:rPr>
          <w:rFonts w:ascii="Calibri" w:hAnsi="Calibri"/>
          <w:color w:val="231F20"/>
          <w:w w:val="105"/>
          <w:sz w:val="17"/>
        </w:rPr>
        <w:t>al</w:t>
      </w:r>
      <w:r>
        <w:rPr>
          <w:rFonts w:ascii="Calibri" w:hAnsi="Calibri"/>
          <w:color w:val="231F20"/>
          <w:spacing w:val="-27"/>
          <w:w w:val="105"/>
          <w:sz w:val="17"/>
        </w:rPr>
        <w:t> </w:t>
      </w:r>
      <w:r>
        <w:rPr>
          <w:rFonts w:ascii="Calibri" w:hAnsi="Calibri"/>
          <w:color w:val="231F20"/>
          <w:w w:val="105"/>
          <w:sz w:val="17"/>
        </w:rPr>
        <w:t>controllo,</w:t>
      </w:r>
      <w:r>
        <w:rPr>
          <w:rFonts w:ascii="Calibri" w:hAnsi="Calibri"/>
          <w:color w:val="231F20"/>
          <w:spacing w:val="-27"/>
          <w:w w:val="105"/>
          <w:sz w:val="17"/>
        </w:rPr>
        <w:t> </w:t>
      </w:r>
      <w:r>
        <w:rPr>
          <w:rFonts w:ascii="Calibri" w:hAnsi="Calibri"/>
          <w:color w:val="231F20"/>
          <w:w w:val="105"/>
          <w:sz w:val="17"/>
        </w:rPr>
        <w:t>interno</w:t>
      </w:r>
      <w:r>
        <w:rPr>
          <w:rFonts w:ascii="Calibri" w:hAnsi="Calibri"/>
          <w:color w:val="231F20"/>
          <w:spacing w:val="-27"/>
          <w:w w:val="105"/>
          <w:sz w:val="17"/>
        </w:rPr>
        <w:t> </w:t>
      </w:r>
      <w:r>
        <w:rPr>
          <w:rFonts w:ascii="Calibri" w:hAnsi="Calibri"/>
          <w:color w:val="231F20"/>
          <w:w w:val="105"/>
          <w:sz w:val="17"/>
        </w:rPr>
        <w:t>ed</w:t>
      </w:r>
      <w:r>
        <w:rPr>
          <w:rFonts w:ascii="Calibri" w:hAnsi="Calibri"/>
          <w:color w:val="231F20"/>
          <w:spacing w:val="-27"/>
          <w:w w:val="105"/>
          <w:sz w:val="17"/>
        </w:rPr>
        <w:t> </w:t>
      </w:r>
      <w:r>
        <w:rPr>
          <w:rFonts w:ascii="Calibri" w:hAnsi="Calibri"/>
          <w:color w:val="231F20"/>
          <w:w w:val="105"/>
          <w:sz w:val="17"/>
        </w:rPr>
        <w:t>esterno,</w:t>
      </w:r>
      <w:r>
        <w:rPr>
          <w:rFonts w:ascii="Calibri" w:hAnsi="Calibri"/>
          <w:color w:val="231F20"/>
          <w:spacing w:val="-27"/>
          <w:w w:val="105"/>
          <w:sz w:val="17"/>
        </w:rPr>
        <w:t> </w:t>
      </w:r>
      <w:r>
        <w:rPr>
          <w:rFonts w:ascii="Calibri" w:hAnsi="Calibri"/>
          <w:color w:val="231F20"/>
          <w:w w:val="105"/>
          <w:sz w:val="17"/>
        </w:rPr>
        <w:t>del</w:t>
      </w:r>
      <w:r>
        <w:rPr>
          <w:rFonts w:ascii="Calibri" w:hAnsi="Calibri"/>
          <w:color w:val="231F20"/>
          <w:spacing w:val="-27"/>
          <w:w w:val="105"/>
          <w:sz w:val="17"/>
        </w:rPr>
        <w:t> </w:t>
      </w:r>
      <w:r>
        <w:rPr>
          <w:rFonts w:ascii="Calibri" w:hAnsi="Calibri"/>
          <w:color w:val="231F20"/>
          <w:w w:val="105"/>
          <w:sz w:val="17"/>
        </w:rPr>
        <w:t>potere</w:t>
      </w:r>
      <w:r>
        <w:rPr>
          <w:rFonts w:ascii="Calibri" w:hAnsi="Calibri"/>
          <w:color w:val="231F20"/>
          <w:spacing w:val="-27"/>
          <w:w w:val="105"/>
          <w:sz w:val="17"/>
        </w:rPr>
        <w:t> </w:t>
      </w:r>
      <w:r>
        <w:rPr>
          <w:rFonts w:ascii="Calibri" w:hAnsi="Calibri"/>
          <w:color w:val="231F20"/>
          <w:w w:val="105"/>
          <w:sz w:val="17"/>
        </w:rPr>
        <w:t>politico</w:t>
      </w:r>
      <w:r>
        <w:rPr>
          <w:rFonts w:ascii="Calibri" w:hAnsi="Calibri"/>
          <w:color w:val="231F20"/>
          <w:spacing w:val="-27"/>
          <w:w w:val="105"/>
          <w:sz w:val="17"/>
        </w:rPr>
        <w:t> </w:t>
      </w:r>
      <w:r>
        <w:rPr>
          <w:rFonts w:ascii="Calibri" w:hAnsi="Calibri"/>
          <w:color w:val="231F20"/>
          <w:w w:val="105"/>
          <w:sz w:val="17"/>
        </w:rPr>
        <w:t>mediante</w:t>
      </w:r>
      <w:r>
        <w:rPr>
          <w:rFonts w:ascii="Calibri" w:hAnsi="Calibri"/>
          <w:color w:val="231F20"/>
          <w:spacing w:val="-27"/>
          <w:w w:val="105"/>
          <w:sz w:val="17"/>
        </w:rPr>
        <w:t> </w:t>
      </w:r>
      <w:r>
        <w:rPr>
          <w:rFonts w:ascii="Calibri" w:hAnsi="Calibri"/>
          <w:color w:val="231F20"/>
          <w:w w:val="105"/>
          <w:sz w:val="17"/>
        </w:rPr>
        <w:t>regole</w:t>
      </w:r>
      <w:r>
        <w:rPr>
          <w:rFonts w:ascii="Calibri" w:hAnsi="Calibri"/>
          <w:color w:val="231F20"/>
          <w:spacing w:val="-27"/>
          <w:w w:val="105"/>
          <w:sz w:val="17"/>
        </w:rPr>
        <w:t> </w:t>
      </w:r>
      <w:r>
        <w:rPr>
          <w:rFonts w:ascii="Calibri" w:hAnsi="Calibri"/>
          <w:color w:val="231F20"/>
          <w:w w:val="105"/>
          <w:sz w:val="17"/>
        </w:rPr>
        <w:t>e</w:t>
      </w:r>
      <w:r>
        <w:rPr>
          <w:rFonts w:ascii="Calibri" w:hAnsi="Calibri"/>
          <w:color w:val="231F20"/>
          <w:spacing w:val="-27"/>
          <w:w w:val="105"/>
          <w:sz w:val="17"/>
        </w:rPr>
        <w:t> </w:t>
      </w:r>
      <w:r>
        <w:rPr>
          <w:rFonts w:ascii="Calibri" w:hAnsi="Calibri"/>
          <w:color w:val="231F20"/>
          <w:w w:val="105"/>
          <w:sz w:val="17"/>
        </w:rPr>
        <w:t>processi</w:t>
      </w:r>
      <w:r>
        <w:rPr>
          <w:rFonts w:ascii="Calibri" w:hAnsi="Calibri"/>
          <w:color w:val="231F20"/>
          <w:spacing w:val="-27"/>
          <w:w w:val="105"/>
          <w:sz w:val="17"/>
        </w:rPr>
        <w:t> </w:t>
      </w:r>
      <w:r>
        <w:rPr>
          <w:rFonts w:ascii="Calibri" w:hAnsi="Calibri"/>
          <w:color w:val="231F20"/>
          <w:w w:val="105"/>
          <w:sz w:val="17"/>
        </w:rPr>
        <w:t>istituzionali che</w:t>
      </w:r>
      <w:r>
        <w:rPr>
          <w:rFonts w:ascii="Calibri" w:hAnsi="Calibri"/>
          <w:color w:val="231F20"/>
          <w:spacing w:val="-6"/>
          <w:w w:val="105"/>
          <w:sz w:val="17"/>
        </w:rPr>
        <w:t> </w:t>
      </w:r>
      <w:r>
        <w:rPr>
          <w:rFonts w:ascii="Calibri" w:hAnsi="Calibri"/>
          <w:color w:val="231F20"/>
          <w:w w:val="105"/>
          <w:sz w:val="17"/>
        </w:rPr>
        <w:t>garantiscano</w:t>
      </w:r>
      <w:r>
        <w:rPr>
          <w:rFonts w:ascii="Calibri" w:hAnsi="Calibri"/>
          <w:color w:val="231F20"/>
          <w:spacing w:val="-6"/>
          <w:w w:val="105"/>
          <w:sz w:val="17"/>
        </w:rPr>
        <w:t> </w:t>
      </w:r>
      <w:r>
        <w:rPr>
          <w:rFonts w:ascii="Calibri" w:hAnsi="Calibri"/>
          <w:color w:val="231F20"/>
          <w:w w:val="105"/>
          <w:sz w:val="17"/>
        </w:rPr>
        <w:t>il</w:t>
      </w:r>
      <w:r>
        <w:rPr>
          <w:rFonts w:ascii="Calibri" w:hAnsi="Calibri"/>
          <w:color w:val="231F20"/>
          <w:spacing w:val="-6"/>
          <w:w w:val="105"/>
          <w:sz w:val="17"/>
        </w:rPr>
        <w:t> </w:t>
      </w:r>
      <w:r>
        <w:rPr>
          <w:rFonts w:ascii="Calibri" w:hAnsi="Calibri"/>
          <w:color w:val="231F20"/>
          <w:w w:val="105"/>
          <w:sz w:val="17"/>
        </w:rPr>
        <w:t>funzionamento</w:t>
      </w:r>
      <w:r>
        <w:rPr>
          <w:rFonts w:ascii="Calibri" w:hAnsi="Calibri"/>
          <w:color w:val="231F20"/>
          <w:spacing w:val="-6"/>
          <w:w w:val="105"/>
          <w:sz w:val="17"/>
        </w:rPr>
        <w:t> </w:t>
      </w:r>
      <w:r>
        <w:rPr>
          <w:rFonts w:ascii="Calibri" w:hAnsi="Calibri"/>
          <w:color w:val="231F20"/>
          <w:w w:val="105"/>
          <w:sz w:val="17"/>
        </w:rPr>
        <w:t>delle</w:t>
      </w:r>
      <w:r>
        <w:rPr>
          <w:rFonts w:ascii="Calibri" w:hAnsi="Calibri"/>
          <w:color w:val="231F20"/>
          <w:spacing w:val="-6"/>
          <w:w w:val="105"/>
          <w:sz w:val="17"/>
        </w:rPr>
        <w:t> </w:t>
      </w:r>
      <w:r>
        <w:rPr>
          <w:rFonts w:ascii="Calibri" w:hAnsi="Calibri"/>
          <w:color w:val="231F20"/>
          <w:w w:val="105"/>
          <w:sz w:val="17"/>
        </w:rPr>
        <w:t>fasi</w:t>
      </w:r>
      <w:r>
        <w:rPr>
          <w:rFonts w:ascii="Calibri" w:hAnsi="Calibri"/>
          <w:color w:val="231F20"/>
          <w:spacing w:val="-6"/>
          <w:w w:val="105"/>
          <w:sz w:val="17"/>
        </w:rPr>
        <w:t> </w:t>
      </w:r>
      <w:r>
        <w:rPr>
          <w:rFonts w:ascii="Calibri" w:hAnsi="Calibri"/>
          <w:color w:val="231F20"/>
          <w:w w:val="105"/>
          <w:sz w:val="17"/>
        </w:rPr>
        <w:t>che</w:t>
      </w:r>
      <w:r>
        <w:rPr>
          <w:rFonts w:ascii="Calibri" w:hAnsi="Calibri"/>
          <w:color w:val="231F20"/>
          <w:spacing w:val="-6"/>
          <w:w w:val="105"/>
          <w:sz w:val="17"/>
        </w:rPr>
        <w:t> </w:t>
      </w:r>
      <w:r>
        <w:rPr>
          <w:rFonts w:ascii="Calibri" w:hAnsi="Calibri"/>
          <w:color w:val="231F20"/>
          <w:w w:val="105"/>
          <w:sz w:val="17"/>
        </w:rPr>
        <w:t>compongono</w:t>
      </w:r>
      <w:r>
        <w:rPr>
          <w:rFonts w:ascii="Calibri" w:hAnsi="Calibri"/>
          <w:color w:val="231F20"/>
          <w:spacing w:val="-6"/>
          <w:w w:val="105"/>
          <w:sz w:val="17"/>
        </w:rPr>
        <w:t> </w:t>
      </w:r>
      <w:r>
        <w:rPr>
          <w:rFonts w:ascii="Calibri" w:hAnsi="Calibri"/>
          <w:color w:val="231F20"/>
          <w:w w:val="105"/>
          <w:sz w:val="17"/>
        </w:rPr>
        <w:t>la</w:t>
      </w:r>
      <w:r>
        <w:rPr>
          <w:rFonts w:ascii="Calibri" w:hAnsi="Calibri"/>
          <w:color w:val="231F20"/>
          <w:spacing w:val="-6"/>
          <w:w w:val="105"/>
          <w:sz w:val="17"/>
        </w:rPr>
        <w:t> </w:t>
      </w:r>
      <w:r>
        <w:rPr>
          <w:rFonts w:ascii="Calibri" w:hAnsi="Calibri"/>
          <w:color w:val="231F20"/>
          <w:w w:val="105"/>
          <w:sz w:val="17"/>
        </w:rPr>
        <w:t>“attività</w:t>
      </w:r>
      <w:r>
        <w:rPr>
          <w:rFonts w:ascii="Calibri" w:hAnsi="Calibri"/>
          <w:color w:val="231F20"/>
          <w:spacing w:val="-6"/>
          <w:w w:val="105"/>
          <w:sz w:val="17"/>
        </w:rPr>
        <w:t> </w:t>
      </w:r>
      <w:r>
        <w:rPr>
          <w:rFonts w:ascii="Calibri" w:hAnsi="Calibri"/>
          <w:color w:val="231F20"/>
          <w:w w:val="105"/>
          <w:sz w:val="17"/>
        </w:rPr>
        <w:t>di</w:t>
      </w:r>
      <w:r>
        <w:rPr>
          <w:rFonts w:ascii="Calibri" w:hAnsi="Calibri"/>
          <w:color w:val="231F20"/>
          <w:spacing w:val="-6"/>
          <w:w w:val="105"/>
          <w:sz w:val="17"/>
        </w:rPr>
        <w:t> </w:t>
      </w:r>
      <w:r>
        <w:rPr>
          <w:rFonts w:ascii="Calibri" w:hAnsi="Calibri"/>
          <w:color w:val="231F20"/>
          <w:w w:val="105"/>
          <w:sz w:val="17"/>
        </w:rPr>
        <w:t>governare”</w:t>
      </w:r>
      <w:r>
        <w:rPr>
          <w:rFonts w:ascii="Calibri" w:hAnsi="Calibri"/>
          <w:color w:val="231F20"/>
          <w:spacing w:val="-6"/>
          <w:w w:val="105"/>
          <w:sz w:val="17"/>
        </w:rPr>
        <w:t> </w:t>
      </w:r>
      <w:r>
        <w:rPr>
          <w:rFonts w:ascii="Calibri" w:hAnsi="Calibri"/>
          <w:color w:val="231F20"/>
          <w:w w:val="105"/>
          <w:sz w:val="17"/>
        </w:rPr>
        <w:t>(March</w:t>
      </w:r>
      <w:r>
        <w:rPr>
          <w:rFonts w:ascii="Calibri" w:hAnsi="Calibri"/>
          <w:color w:val="231F20"/>
          <w:spacing w:val="-8"/>
          <w:w w:val="105"/>
          <w:sz w:val="17"/>
        </w:rPr>
        <w:t> </w:t>
      </w:r>
      <w:r>
        <w:rPr>
          <w:rFonts w:ascii="Calibri" w:hAnsi="Calibri"/>
          <w:color w:val="231F20"/>
          <w:w w:val="105"/>
          <w:sz w:val="17"/>
        </w:rPr>
        <w:t>y </w:t>
      </w:r>
      <w:r>
        <w:rPr>
          <w:rFonts w:ascii="Calibri" w:hAnsi="Calibri"/>
          <w:color w:val="231F20"/>
          <w:sz w:val="17"/>
        </w:rPr>
        <w:t>Olsen,</w:t>
      </w:r>
      <w:r>
        <w:rPr>
          <w:rFonts w:ascii="Calibri" w:hAnsi="Calibri"/>
          <w:color w:val="231F20"/>
          <w:spacing w:val="2"/>
          <w:sz w:val="17"/>
        </w:rPr>
        <w:t> </w:t>
      </w:r>
      <w:r>
        <w:rPr>
          <w:rFonts w:ascii="Calibri" w:hAnsi="Calibri"/>
          <w:color w:val="231F20"/>
          <w:sz w:val="17"/>
        </w:rPr>
        <w:t>1995).</w:t>
      </w:r>
    </w:p>
    <w:p>
      <w:pPr>
        <w:spacing w:line="206" w:lineRule="exact" w:before="1"/>
        <w:ind w:left="117" w:right="0" w:firstLine="0"/>
        <w:jc w:val="both"/>
        <w:rPr>
          <w:rFonts w:ascii="Calibri" w:hAnsi="Calibri"/>
          <w:sz w:val="17"/>
        </w:rPr>
      </w:pPr>
      <w:r>
        <w:rPr>
          <w:rFonts w:ascii="Calibri" w:hAnsi="Calibri"/>
          <w:color w:val="231F20"/>
          <w:position w:val="6"/>
          <w:sz w:val="10"/>
        </w:rPr>
        <w:t>25  </w:t>
      </w:r>
      <w:r>
        <w:rPr>
          <w:rFonts w:ascii="Calibri" w:hAnsi="Calibri"/>
          <w:color w:val="231F20"/>
          <w:sz w:val="17"/>
        </w:rPr>
        <w:t>Agamben, </w:t>
      </w:r>
      <w:r>
        <w:rPr>
          <w:rFonts w:ascii="Calibri" w:hAnsi="Calibri"/>
          <w:i/>
          <w:color w:val="231F20"/>
          <w:sz w:val="17"/>
        </w:rPr>
        <w:t>Stato di eccezione. Homo sacer II, I</w:t>
      </w:r>
      <w:r>
        <w:rPr>
          <w:rFonts w:ascii="Calibri" w:hAnsi="Calibri"/>
          <w:color w:val="231F20"/>
          <w:sz w:val="17"/>
        </w:rPr>
        <w:t>, pp. 44–54.</w:t>
      </w:r>
    </w:p>
    <w:p>
      <w:pPr>
        <w:spacing w:line="235" w:lineRule="auto" w:before="1"/>
        <w:ind w:left="117" w:right="121" w:firstLine="0"/>
        <w:jc w:val="both"/>
        <w:rPr>
          <w:rFonts w:ascii="Calibri" w:hAnsi="Calibri"/>
          <w:sz w:val="17"/>
        </w:rPr>
      </w:pPr>
      <w:r>
        <w:rPr>
          <w:rFonts w:ascii="Calibri" w:hAnsi="Calibri"/>
          <w:color w:val="231F20"/>
          <w:position w:val="6"/>
          <w:sz w:val="10"/>
        </w:rPr>
        <w:t>26 </w:t>
      </w:r>
      <w:r>
        <w:rPr>
          <w:rFonts w:ascii="Calibri" w:hAnsi="Calibri"/>
          <w:color w:val="231F20"/>
          <w:sz w:val="17"/>
        </w:rPr>
        <w:t>A. Wolfe, </w:t>
      </w:r>
      <w:r>
        <w:rPr>
          <w:rFonts w:ascii="Calibri" w:hAnsi="Calibri"/>
          <w:i/>
          <w:color w:val="231F20"/>
          <w:sz w:val="17"/>
        </w:rPr>
        <w:t>Los límites de la legitimidad. Contradicciones políticas del capitalismo contemporáneo</w:t>
      </w:r>
      <w:r>
        <w:rPr>
          <w:rFonts w:ascii="Calibri" w:hAnsi="Calibri"/>
          <w:color w:val="231F20"/>
          <w:sz w:val="17"/>
        </w:rPr>
        <w:t>, México, Siglo </w:t>
      </w:r>
      <w:r>
        <w:rPr>
          <w:rFonts w:ascii="Calibri" w:hAnsi="Calibri"/>
          <w:color w:val="231F20"/>
          <w:sz w:val="14"/>
        </w:rPr>
        <w:t>XXI </w:t>
      </w:r>
      <w:r>
        <w:rPr>
          <w:rFonts w:ascii="Calibri" w:hAnsi="Calibri"/>
          <w:color w:val="231F20"/>
          <w:sz w:val="17"/>
        </w:rPr>
        <w:t>Editores, 1997, pp. 69–70.</w:t>
      </w:r>
    </w:p>
    <w:p>
      <w:pPr>
        <w:spacing w:line="203" w:lineRule="exact" w:before="0"/>
        <w:ind w:left="117" w:right="0" w:firstLine="0"/>
        <w:jc w:val="both"/>
        <w:rPr>
          <w:rFonts w:ascii="Calibri"/>
          <w:sz w:val="17"/>
        </w:rPr>
      </w:pPr>
      <w:r>
        <w:rPr>
          <w:rFonts w:ascii="Calibri"/>
          <w:color w:val="231F20"/>
          <w:position w:val="6"/>
          <w:sz w:val="10"/>
        </w:rPr>
        <w:t>27 </w:t>
      </w:r>
      <w:r>
        <w:rPr>
          <w:rFonts w:ascii="Calibri"/>
          <w:color w:val="231F20"/>
          <w:sz w:val="17"/>
        </w:rPr>
        <w:t>Wolfe, p. 304.</w:t>
      </w:r>
    </w:p>
    <w:p>
      <w:pPr>
        <w:spacing w:line="235" w:lineRule="auto" w:before="1"/>
        <w:ind w:left="117" w:right="121" w:firstLine="0"/>
        <w:jc w:val="both"/>
        <w:rPr>
          <w:rFonts w:ascii="Calibri" w:hAnsi="Calibri"/>
          <w:sz w:val="17"/>
        </w:rPr>
      </w:pPr>
      <w:r>
        <w:rPr>
          <w:rFonts w:ascii="Calibri" w:hAnsi="Calibri"/>
          <w:color w:val="231F20"/>
          <w:w w:val="105"/>
          <w:position w:val="6"/>
          <w:sz w:val="10"/>
        </w:rPr>
        <w:t>28 </w:t>
      </w:r>
      <w:r>
        <w:rPr>
          <w:rFonts w:ascii="Calibri" w:hAnsi="Calibri"/>
          <w:color w:val="231F20"/>
          <w:w w:val="105"/>
          <w:sz w:val="17"/>
        </w:rPr>
        <w:t>Con particolare attenzione nelle chiamate democrazie nuove ma è anche una realtà nelle democrazie consolidate. Di nuovo Spagna dopo 2008 è un caso rilevante.</w:t>
      </w:r>
    </w:p>
    <w:p>
      <w:pPr>
        <w:spacing w:line="235" w:lineRule="auto" w:before="0"/>
        <w:ind w:left="117" w:right="123" w:firstLine="0"/>
        <w:jc w:val="both"/>
        <w:rPr>
          <w:rFonts w:ascii="Calibri" w:hAnsi="Calibri"/>
          <w:sz w:val="17"/>
        </w:rPr>
      </w:pPr>
      <w:r>
        <w:rPr>
          <w:rFonts w:ascii="Calibri" w:hAnsi="Calibri"/>
          <w:color w:val="231F20"/>
          <w:position w:val="6"/>
          <w:sz w:val="10"/>
        </w:rPr>
        <w:t>29 </w:t>
      </w:r>
      <w:r>
        <w:rPr>
          <w:rFonts w:ascii="Calibri" w:hAnsi="Calibri"/>
          <w:color w:val="231F20"/>
          <w:sz w:val="17"/>
        </w:rPr>
        <w:t>M. C. Nussbaum, </w:t>
      </w:r>
      <w:r>
        <w:rPr>
          <w:rFonts w:ascii="Calibri" w:hAnsi="Calibri"/>
          <w:i/>
          <w:color w:val="231F20"/>
          <w:sz w:val="17"/>
        </w:rPr>
        <w:t>Sin fines de lucro. Por qué la democracia necesita de las humanidades</w:t>
      </w:r>
      <w:r>
        <w:rPr>
          <w:rFonts w:ascii="Calibri" w:hAnsi="Calibri"/>
          <w:color w:val="231F20"/>
          <w:sz w:val="17"/>
        </w:rPr>
        <w:t>, Buenos Aires, Katz Editores, 2010.</w:t>
      </w:r>
    </w:p>
    <w:p>
      <w:pPr>
        <w:spacing w:line="205" w:lineRule="exact" w:before="0"/>
        <w:ind w:left="117" w:right="0" w:firstLine="0"/>
        <w:jc w:val="both"/>
        <w:rPr>
          <w:rFonts w:ascii="Calibri" w:hAnsi="Calibri"/>
          <w:sz w:val="17"/>
        </w:rPr>
      </w:pPr>
      <w:r>
        <w:rPr>
          <w:rFonts w:ascii="Calibri" w:hAnsi="Calibri"/>
          <w:color w:val="231F20"/>
          <w:position w:val="6"/>
          <w:sz w:val="10"/>
        </w:rPr>
        <w:t>30 </w:t>
      </w:r>
      <w:r>
        <w:rPr>
          <w:rFonts w:ascii="Calibri" w:hAnsi="Calibri"/>
          <w:color w:val="231F20"/>
          <w:sz w:val="17"/>
        </w:rPr>
        <w:t>P. Rosanvallon, </w:t>
      </w:r>
      <w:r>
        <w:rPr>
          <w:rFonts w:ascii="Calibri" w:hAnsi="Calibri"/>
          <w:i/>
          <w:color w:val="231F20"/>
          <w:sz w:val="17"/>
        </w:rPr>
        <w:t>La nouvelle question sociale. Repenser l’État–providence</w:t>
      </w:r>
      <w:r>
        <w:rPr>
          <w:rFonts w:ascii="Calibri" w:hAnsi="Calibri"/>
          <w:color w:val="231F20"/>
          <w:sz w:val="17"/>
        </w:rPr>
        <w:t>, París, Seuil, 1995, p. 173.</w:t>
      </w:r>
    </w:p>
    <w:p>
      <w:pPr>
        <w:spacing w:after="0" w:line="205" w:lineRule="exact"/>
        <w:jc w:val="both"/>
        <w:rPr>
          <w:rFonts w:ascii="Calibri" w:hAnsi="Calibri"/>
          <w:sz w:val="17"/>
        </w:rPr>
        <w:sectPr>
          <w:type w:val="continuous"/>
          <w:pgSz w:w="9640" w:h="13890"/>
          <w:pgMar w:top="0" w:bottom="0" w:left="1300" w:right="1180"/>
        </w:sectPr>
      </w:pPr>
    </w:p>
    <w:p>
      <w:pPr>
        <w:pStyle w:val="BodyText"/>
        <w:spacing w:line="247" w:lineRule="auto" w:before="107"/>
        <w:ind w:left="103" w:right="107"/>
        <w:jc w:val="both"/>
      </w:pPr>
      <w:r>
        <w:rPr>
          <w:color w:val="231F20"/>
        </w:rPr>
        <w:t>imprenditori</w:t>
      </w:r>
      <w:r>
        <w:rPr>
          <w:color w:val="231F20"/>
          <w:position w:val="7"/>
          <w:sz w:val="12"/>
        </w:rPr>
        <w:t>31</w:t>
      </w:r>
      <w:r>
        <w:rPr>
          <w:color w:val="231F20"/>
        </w:rPr>
        <w:t>; la Chiesa e la sua coercizione morale sulla società; i mass media, che smettono di essere casse di risonanza dei distinti attori social per</w:t>
      </w:r>
      <w:r>
        <w:rPr>
          <w:color w:val="231F20"/>
          <w:spacing w:val="-20"/>
        </w:rPr>
        <w:t> </w:t>
      </w:r>
      <w:r>
        <w:rPr>
          <w:color w:val="231F20"/>
        </w:rPr>
        <w:t>diventare</w:t>
      </w:r>
      <w:r>
        <w:rPr>
          <w:color w:val="231F20"/>
          <w:spacing w:val="-20"/>
        </w:rPr>
        <w:t> </w:t>
      </w:r>
      <w:r>
        <w:rPr>
          <w:color w:val="231F20"/>
        </w:rPr>
        <w:t>anche</w:t>
      </w:r>
      <w:r>
        <w:rPr>
          <w:color w:val="231F20"/>
          <w:spacing w:val="-20"/>
        </w:rPr>
        <w:t> </w:t>
      </w:r>
      <w:r>
        <w:rPr>
          <w:color w:val="231F20"/>
        </w:rPr>
        <w:t>attori</w:t>
      </w:r>
      <w:r>
        <w:rPr>
          <w:color w:val="231F20"/>
          <w:spacing w:val="-20"/>
        </w:rPr>
        <w:t> </w:t>
      </w:r>
      <w:r>
        <w:rPr>
          <w:color w:val="231F20"/>
        </w:rPr>
        <w:t>che</w:t>
      </w:r>
      <w:r>
        <w:rPr>
          <w:color w:val="231F20"/>
          <w:spacing w:val="-20"/>
        </w:rPr>
        <w:t> </w:t>
      </w:r>
      <w:r>
        <w:rPr>
          <w:color w:val="231F20"/>
        </w:rPr>
        <w:t>confrontano</w:t>
      </w:r>
      <w:r>
        <w:rPr>
          <w:color w:val="231F20"/>
          <w:spacing w:val="-20"/>
        </w:rPr>
        <w:t> </w:t>
      </w:r>
      <w:r>
        <w:rPr>
          <w:color w:val="231F20"/>
        </w:rPr>
        <w:t>la</w:t>
      </w:r>
      <w:r>
        <w:rPr>
          <w:color w:val="231F20"/>
          <w:spacing w:val="-20"/>
        </w:rPr>
        <w:t> </w:t>
      </w:r>
      <w:r>
        <w:rPr>
          <w:color w:val="231F20"/>
        </w:rPr>
        <w:t>política</w:t>
      </w:r>
      <w:r>
        <w:rPr>
          <w:color w:val="231F20"/>
          <w:spacing w:val="-20"/>
        </w:rPr>
        <w:t> </w:t>
      </w:r>
      <w:r>
        <w:rPr>
          <w:color w:val="231F20"/>
        </w:rPr>
        <w:t>e</w:t>
      </w:r>
      <w:r>
        <w:rPr>
          <w:color w:val="231F20"/>
          <w:spacing w:val="-20"/>
        </w:rPr>
        <w:t> </w:t>
      </w:r>
      <w:r>
        <w:rPr>
          <w:color w:val="231F20"/>
        </w:rPr>
        <w:t>le</w:t>
      </w:r>
      <w:r>
        <w:rPr>
          <w:color w:val="231F20"/>
          <w:spacing w:val="-20"/>
        </w:rPr>
        <w:t> </w:t>
      </w:r>
      <w:r>
        <w:rPr>
          <w:color w:val="231F20"/>
        </w:rPr>
        <w:t>sue</w:t>
      </w:r>
      <w:r>
        <w:rPr>
          <w:color w:val="231F20"/>
          <w:spacing w:val="-20"/>
        </w:rPr>
        <w:t> </w:t>
      </w:r>
      <w:r>
        <w:rPr>
          <w:color w:val="231F20"/>
        </w:rPr>
        <w:t>semantiche;</w:t>
      </w:r>
      <w:r>
        <w:rPr>
          <w:color w:val="231F20"/>
          <w:spacing w:val="-20"/>
        </w:rPr>
        <w:t> </w:t>
      </w:r>
      <w:r>
        <w:rPr>
          <w:color w:val="231F20"/>
        </w:rPr>
        <w:t>la società civile organizzata che propone e disegna strategie di assicurazione </w:t>
      </w:r>
      <w:r>
        <w:rPr>
          <w:color w:val="231F20"/>
          <w:spacing w:val="3"/>
        </w:rPr>
        <w:t>sociale </w:t>
      </w:r>
      <w:r>
        <w:rPr>
          <w:color w:val="231F20"/>
        </w:rPr>
        <w:t>in </w:t>
      </w:r>
      <w:r>
        <w:rPr>
          <w:color w:val="231F20"/>
          <w:spacing w:val="3"/>
        </w:rPr>
        <w:t>situazioni </w:t>
      </w:r>
      <w:r>
        <w:rPr>
          <w:color w:val="231F20"/>
        </w:rPr>
        <w:t>di </w:t>
      </w:r>
      <w:r>
        <w:rPr>
          <w:color w:val="231F20"/>
          <w:spacing w:val="3"/>
        </w:rPr>
        <w:t>scarsità; </w:t>
      </w:r>
      <w:r>
        <w:rPr>
          <w:color w:val="231F20"/>
        </w:rPr>
        <w:t>in </w:t>
      </w:r>
      <w:r>
        <w:rPr>
          <w:color w:val="231F20"/>
          <w:spacing w:val="2"/>
        </w:rPr>
        <w:t>fine, </w:t>
      </w:r>
      <w:r>
        <w:rPr>
          <w:color w:val="231F20"/>
        </w:rPr>
        <w:t>le </w:t>
      </w:r>
      <w:r>
        <w:rPr>
          <w:color w:val="231F20"/>
          <w:spacing w:val="3"/>
        </w:rPr>
        <w:t>organizzazioni criminali, </w:t>
      </w:r>
      <w:r>
        <w:rPr>
          <w:color w:val="231F20"/>
          <w:spacing w:val="4"/>
        </w:rPr>
        <w:t>che finanziano campagne, “scelgono” candidati subnazionali </w:t>
      </w:r>
      <w:r>
        <w:rPr>
          <w:color w:val="231F20"/>
        </w:rPr>
        <w:t>e </w:t>
      </w:r>
      <w:r>
        <w:rPr>
          <w:color w:val="231F20"/>
          <w:spacing w:val="5"/>
        </w:rPr>
        <w:t>nazionali, </w:t>
      </w:r>
      <w:r>
        <w:rPr>
          <w:color w:val="231F20"/>
        </w:rPr>
        <w:t>riescono ad annidare le loro complicità nella sede legislativa,</w:t>
      </w:r>
      <w:r>
        <w:rPr>
          <w:color w:val="231F20"/>
          <w:spacing w:val="36"/>
        </w:rPr>
        <w:t> </w:t>
      </w:r>
      <w:r>
        <w:rPr>
          <w:color w:val="231F20"/>
        </w:rPr>
        <w:t>ecc.</w:t>
      </w:r>
    </w:p>
    <w:p>
      <w:pPr>
        <w:pStyle w:val="BodyText"/>
        <w:spacing w:line="247" w:lineRule="auto"/>
        <w:ind w:left="103" w:right="110" w:firstLine="566"/>
        <w:jc w:val="both"/>
      </w:pPr>
      <w:r>
        <w:rPr>
          <w:color w:val="231F20"/>
          <w:spacing w:val="-4"/>
          <w:w w:val="105"/>
        </w:rPr>
        <w:t>Questi</w:t>
      </w:r>
      <w:r>
        <w:rPr>
          <w:color w:val="231F20"/>
          <w:spacing w:val="-49"/>
          <w:w w:val="105"/>
        </w:rPr>
        <w:t> </w:t>
      </w:r>
      <w:r>
        <w:rPr>
          <w:color w:val="231F20"/>
          <w:spacing w:val="-4"/>
          <w:w w:val="105"/>
        </w:rPr>
        <w:t>momenti</w:t>
      </w:r>
      <w:r>
        <w:rPr>
          <w:color w:val="231F20"/>
          <w:spacing w:val="-49"/>
          <w:w w:val="105"/>
        </w:rPr>
        <w:t> </w:t>
      </w:r>
      <w:r>
        <w:rPr>
          <w:color w:val="231F20"/>
          <w:spacing w:val="-4"/>
          <w:w w:val="105"/>
        </w:rPr>
        <w:t>attraverso</w:t>
      </w:r>
      <w:r>
        <w:rPr>
          <w:color w:val="231F20"/>
          <w:spacing w:val="-49"/>
          <w:w w:val="105"/>
        </w:rPr>
        <w:t> </w:t>
      </w:r>
      <w:r>
        <w:rPr>
          <w:color w:val="231F20"/>
          <w:w w:val="105"/>
        </w:rPr>
        <w:t>le</w:t>
      </w:r>
      <w:r>
        <w:rPr>
          <w:color w:val="231F20"/>
          <w:spacing w:val="-49"/>
          <w:w w:val="105"/>
        </w:rPr>
        <w:t> </w:t>
      </w:r>
      <w:r>
        <w:rPr>
          <w:color w:val="231F20"/>
          <w:spacing w:val="-4"/>
          <w:w w:val="105"/>
        </w:rPr>
        <w:t>loro</w:t>
      </w:r>
      <w:r>
        <w:rPr>
          <w:color w:val="231F20"/>
          <w:spacing w:val="-49"/>
          <w:w w:val="105"/>
        </w:rPr>
        <w:t> </w:t>
      </w:r>
      <w:r>
        <w:rPr>
          <w:color w:val="231F20"/>
          <w:spacing w:val="-4"/>
          <w:w w:val="105"/>
        </w:rPr>
        <w:t>interazioni</w:t>
      </w:r>
      <w:r>
        <w:rPr>
          <w:color w:val="231F20"/>
          <w:spacing w:val="-49"/>
          <w:w w:val="105"/>
        </w:rPr>
        <w:t> </w:t>
      </w:r>
      <w:r>
        <w:rPr>
          <w:color w:val="231F20"/>
          <w:w w:val="105"/>
        </w:rPr>
        <w:t>e</w:t>
      </w:r>
      <w:r>
        <w:rPr>
          <w:color w:val="231F20"/>
          <w:spacing w:val="-49"/>
          <w:w w:val="105"/>
        </w:rPr>
        <w:t> </w:t>
      </w:r>
      <w:r>
        <w:rPr>
          <w:color w:val="231F20"/>
          <w:spacing w:val="-4"/>
          <w:w w:val="105"/>
        </w:rPr>
        <w:t>contraddizioni</w:t>
      </w:r>
      <w:r>
        <w:rPr>
          <w:color w:val="231F20"/>
          <w:spacing w:val="-49"/>
          <w:w w:val="105"/>
        </w:rPr>
        <w:t> </w:t>
      </w:r>
      <w:r>
        <w:rPr>
          <w:color w:val="231F20"/>
          <w:spacing w:val="-4"/>
          <w:w w:val="105"/>
        </w:rPr>
        <w:t>diventano </w:t>
      </w:r>
      <w:r>
        <w:rPr>
          <w:color w:val="231F20"/>
          <w:w w:val="105"/>
        </w:rPr>
        <w:t>più</w:t>
      </w:r>
      <w:r>
        <w:rPr>
          <w:color w:val="231F20"/>
          <w:spacing w:val="-22"/>
          <w:w w:val="105"/>
        </w:rPr>
        <w:t> </w:t>
      </w:r>
      <w:r>
        <w:rPr>
          <w:color w:val="231F20"/>
          <w:w w:val="105"/>
        </w:rPr>
        <w:t>intensi</w:t>
      </w:r>
      <w:r>
        <w:rPr>
          <w:color w:val="231F20"/>
          <w:spacing w:val="-22"/>
          <w:w w:val="105"/>
        </w:rPr>
        <w:t> </w:t>
      </w:r>
      <w:r>
        <w:rPr>
          <w:color w:val="231F20"/>
          <w:w w:val="105"/>
        </w:rPr>
        <w:t>in</w:t>
      </w:r>
      <w:r>
        <w:rPr>
          <w:color w:val="231F20"/>
          <w:spacing w:val="-22"/>
          <w:w w:val="105"/>
        </w:rPr>
        <w:t> </w:t>
      </w:r>
      <w:r>
        <w:rPr>
          <w:color w:val="231F20"/>
          <w:w w:val="105"/>
        </w:rPr>
        <w:t>regimi</w:t>
      </w:r>
      <w:r>
        <w:rPr>
          <w:color w:val="231F20"/>
          <w:spacing w:val="-22"/>
          <w:w w:val="105"/>
        </w:rPr>
        <w:t> </w:t>
      </w:r>
      <w:r>
        <w:rPr>
          <w:color w:val="231F20"/>
          <w:w w:val="105"/>
        </w:rPr>
        <w:t>politici</w:t>
      </w:r>
      <w:r>
        <w:rPr>
          <w:color w:val="231F20"/>
          <w:spacing w:val="-22"/>
          <w:w w:val="105"/>
        </w:rPr>
        <w:t> </w:t>
      </w:r>
      <w:r>
        <w:rPr>
          <w:color w:val="231F20"/>
          <w:w w:val="105"/>
        </w:rPr>
        <w:t>“in</w:t>
      </w:r>
      <w:r>
        <w:rPr>
          <w:color w:val="231F20"/>
          <w:spacing w:val="-22"/>
          <w:w w:val="105"/>
        </w:rPr>
        <w:t> </w:t>
      </w:r>
      <w:r>
        <w:rPr>
          <w:color w:val="231F20"/>
          <w:w w:val="105"/>
        </w:rPr>
        <w:t>via</w:t>
      </w:r>
      <w:r>
        <w:rPr>
          <w:color w:val="231F20"/>
          <w:spacing w:val="-22"/>
          <w:w w:val="105"/>
        </w:rPr>
        <w:t> </w:t>
      </w:r>
      <w:r>
        <w:rPr>
          <w:color w:val="231F20"/>
          <w:w w:val="105"/>
        </w:rPr>
        <w:t>di</w:t>
      </w:r>
      <w:r>
        <w:rPr>
          <w:color w:val="231F20"/>
          <w:spacing w:val="-22"/>
          <w:w w:val="105"/>
        </w:rPr>
        <w:t> </w:t>
      </w:r>
      <w:r>
        <w:rPr>
          <w:color w:val="231F20"/>
          <w:w w:val="105"/>
        </w:rPr>
        <w:t>consolidazione</w:t>
      </w:r>
      <w:r>
        <w:rPr>
          <w:color w:val="231F20"/>
          <w:spacing w:val="-22"/>
          <w:w w:val="105"/>
        </w:rPr>
        <w:t> </w:t>
      </w:r>
      <w:r>
        <w:rPr>
          <w:color w:val="231F20"/>
          <w:w w:val="105"/>
        </w:rPr>
        <w:t>democratica”,</w:t>
      </w:r>
      <w:r>
        <w:rPr>
          <w:color w:val="231F20"/>
          <w:spacing w:val="-22"/>
          <w:w w:val="105"/>
        </w:rPr>
        <w:t> </w:t>
      </w:r>
      <w:r>
        <w:rPr>
          <w:color w:val="231F20"/>
          <w:w w:val="105"/>
        </w:rPr>
        <w:t>perchè permettono</w:t>
      </w:r>
      <w:r>
        <w:rPr>
          <w:color w:val="231F20"/>
          <w:spacing w:val="-49"/>
          <w:w w:val="105"/>
        </w:rPr>
        <w:t> </w:t>
      </w:r>
      <w:r>
        <w:rPr>
          <w:color w:val="231F20"/>
          <w:w w:val="105"/>
        </w:rPr>
        <w:t>pari</w:t>
      </w:r>
      <w:r>
        <w:rPr>
          <w:color w:val="231F20"/>
          <w:spacing w:val="-49"/>
          <w:w w:val="105"/>
        </w:rPr>
        <w:t> </w:t>
      </w:r>
      <w:r>
        <w:rPr>
          <w:color w:val="231F20"/>
          <w:w w:val="105"/>
        </w:rPr>
        <w:t>allo</w:t>
      </w:r>
      <w:r>
        <w:rPr>
          <w:color w:val="231F20"/>
          <w:spacing w:val="-49"/>
          <w:w w:val="105"/>
        </w:rPr>
        <w:t> </w:t>
      </w:r>
      <w:r>
        <w:rPr>
          <w:color w:val="231F20"/>
          <w:w w:val="105"/>
        </w:rPr>
        <w:t>sviluppo</w:t>
      </w:r>
      <w:r>
        <w:rPr>
          <w:color w:val="231F20"/>
          <w:spacing w:val="-49"/>
          <w:w w:val="105"/>
        </w:rPr>
        <w:t> </w:t>
      </w:r>
      <w:r>
        <w:rPr>
          <w:color w:val="231F20"/>
          <w:w w:val="105"/>
        </w:rPr>
        <w:t>delle</w:t>
      </w:r>
      <w:r>
        <w:rPr>
          <w:color w:val="231F20"/>
          <w:spacing w:val="-49"/>
          <w:w w:val="105"/>
        </w:rPr>
        <w:t> </w:t>
      </w:r>
      <w:r>
        <w:rPr>
          <w:color w:val="231F20"/>
          <w:w w:val="105"/>
        </w:rPr>
        <w:t>strutture</w:t>
      </w:r>
      <w:r>
        <w:rPr>
          <w:color w:val="231F20"/>
          <w:spacing w:val="-49"/>
          <w:w w:val="105"/>
        </w:rPr>
        <w:t> </w:t>
      </w:r>
      <w:r>
        <w:rPr>
          <w:color w:val="231F20"/>
          <w:w w:val="105"/>
        </w:rPr>
        <w:t>di</w:t>
      </w:r>
      <w:r>
        <w:rPr>
          <w:color w:val="231F20"/>
          <w:spacing w:val="-49"/>
          <w:w w:val="105"/>
        </w:rPr>
        <w:t> </w:t>
      </w:r>
      <w:r>
        <w:rPr>
          <w:color w:val="231F20"/>
          <w:w w:val="105"/>
        </w:rPr>
        <w:t>consolidazione</w:t>
      </w:r>
      <w:r>
        <w:rPr>
          <w:color w:val="231F20"/>
          <w:spacing w:val="-49"/>
          <w:w w:val="105"/>
        </w:rPr>
        <w:t> </w:t>
      </w:r>
      <w:r>
        <w:rPr>
          <w:color w:val="231F20"/>
          <w:w w:val="105"/>
        </w:rPr>
        <w:t>democratica, la</w:t>
      </w:r>
      <w:r>
        <w:rPr>
          <w:color w:val="231F20"/>
          <w:spacing w:val="-48"/>
          <w:w w:val="105"/>
        </w:rPr>
        <w:t> </w:t>
      </w:r>
      <w:r>
        <w:rPr>
          <w:color w:val="231F20"/>
          <w:spacing w:val="-3"/>
          <w:w w:val="105"/>
        </w:rPr>
        <w:t>nascita</w:t>
      </w:r>
      <w:r>
        <w:rPr>
          <w:color w:val="231F20"/>
          <w:spacing w:val="-48"/>
          <w:w w:val="105"/>
        </w:rPr>
        <w:t> </w:t>
      </w:r>
      <w:r>
        <w:rPr>
          <w:color w:val="231F20"/>
          <w:w w:val="105"/>
        </w:rPr>
        <w:t>di</w:t>
      </w:r>
      <w:r>
        <w:rPr>
          <w:color w:val="231F20"/>
          <w:spacing w:val="-48"/>
          <w:w w:val="105"/>
        </w:rPr>
        <w:t> </w:t>
      </w:r>
      <w:r>
        <w:rPr>
          <w:color w:val="231F20"/>
          <w:spacing w:val="-3"/>
          <w:w w:val="105"/>
        </w:rPr>
        <w:t>fenomeni</w:t>
      </w:r>
      <w:r>
        <w:rPr>
          <w:color w:val="231F20"/>
          <w:spacing w:val="-48"/>
          <w:w w:val="105"/>
        </w:rPr>
        <w:t> </w:t>
      </w:r>
      <w:r>
        <w:rPr>
          <w:color w:val="231F20"/>
          <w:w w:val="105"/>
        </w:rPr>
        <w:t>di</w:t>
      </w:r>
      <w:r>
        <w:rPr>
          <w:color w:val="231F20"/>
          <w:spacing w:val="-48"/>
          <w:w w:val="105"/>
        </w:rPr>
        <w:t> </w:t>
      </w:r>
      <w:r>
        <w:rPr>
          <w:color w:val="231F20"/>
          <w:spacing w:val="-3"/>
          <w:w w:val="105"/>
        </w:rPr>
        <w:t>“dis-democratizzazione”,</w:t>
      </w:r>
      <w:r>
        <w:rPr>
          <w:color w:val="231F20"/>
          <w:spacing w:val="-48"/>
          <w:w w:val="105"/>
        </w:rPr>
        <w:t> </w:t>
      </w:r>
      <w:r>
        <w:rPr>
          <w:color w:val="231F20"/>
          <w:w w:val="105"/>
        </w:rPr>
        <w:t>che</w:t>
      </w:r>
      <w:r>
        <w:rPr>
          <w:color w:val="231F20"/>
          <w:spacing w:val="-48"/>
          <w:w w:val="105"/>
        </w:rPr>
        <w:t> </w:t>
      </w:r>
      <w:r>
        <w:rPr>
          <w:color w:val="231F20"/>
          <w:spacing w:val="-3"/>
          <w:w w:val="105"/>
        </w:rPr>
        <w:t>sono</w:t>
      </w:r>
      <w:r>
        <w:rPr>
          <w:color w:val="231F20"/>
          <w:spacing w:val="-48"/>
          <w:w w:val="105"/>
        </w:rPr>
        <w:t> </w:t>
      </w:r>
      <w:r>
        <w:rPr>
          <w:color w:val="231F20"/>
          <w:w w:val="105"/>
        </w:rPr>
        <w:t>una</w:t>
      </w:r>
      <w:r>
        <w:rPr>
          <w:color w:val="231F20"/>
          <w:spacing w:val="-48"/>
          <w:w w:val="105"/>
        </w:rPr>
        <w:t> </w:t>
      </w:r>
      <w:r>
        <w:rPr>
          <w:color w:val="231F20"/>
          <w:spacing w:val="-3"/>
          <w:w w:val="105"/>
        </w:rPr>
        <w:t>conseguenza </w:t>
      </w:r>
      <w:r>
        <w:rPr>
          <w:color w:val="231F20"/>
          <w:w w:val="105"/>
        </w:rPr>
        <w:t>del</w:t>
      </w:r>
      <w:r>
        <w:rPr>
          <w:color w:val="231F20"/>
          <w:spacing w:val="-49"/>
          <w:w w:val="105"/>
        </w:rPr>
        <w:t> </w:t>
      </w:r>
      <w:r>
        <w:rPr>
          <w:color w:val="231F20"/>
          <w:spacing w:val="-3"/>
          <w:w w:val="105"/>
        </w:rPr>
        <w:t>processo</w:t>
      </w:r>
      <w:r>
        <w:rPr>
          <w:color w:val="231F20"/>
          <w:spacing w:val="-49"/>
          <w:w w:val="105"/>
        </w:rPr>
        <w:t> </w:t>
      </w:r>
      <w:r>
        <w:rPr>
          <w:color w:val="231F20"/>
          <w:w w:val="105"/>
        </w:rPr>
        <w:t>di</w:t>
      </w:r>
      <w:r>
        <w:rPr>
          <w:color w:val="231F20"/>
          <w:spacing w:val="-49"/>
          <w:w w:val="105"/>
        </w:rPr>
        <w:t> </w:t>
      </w:r>
      <w:r>
        <w:rPr>
          <w:color w:val="231F20"/>
          <w:w w:val="105"/>
        </w:rPr>
        <w:t>slittamento</w:t>
      </w:r>
      <w:r>
        <w:rPr>
          <w:color w:val="231F20"/>
          <w:spacing w:val="-49"/>
          <w:w w:val="105"/>
        </w:rPr>
        <w:t> </w:t>
      </w:r>
      <w:r>
        <w:rPr>
          <w:color w:val="231F20"/>
          <w:w w:val="105"/>
        </w:rPr>
        <w:t>della</w:t>
      </w:r>
      <w:r>
        <w:rPr>
          <w:color w:val="231F20"/>
          <w:spacing w:val="-49"/>
          <w:w w:val="105"/>
        </w:rPr>
        <w:t> </w:t>
      </w:r>
      <w:r>
        <w:rPr>
          <w:color w:val="231F20"/>
          <w:w w:val="105"/>
        </w:rPr>
        <w:t>centralità</w:t>
      </w:r>
      <w:r>
        <w:rPr>
          <w:color w:val="231F20"/>
          <w:spacing w:val="-49"/>
          <w:w w:val="105"/>
        </w:rPr>
        <w:t> </w:t>
      </w:r>
      <w:r>
        <w:rPr>
          <w:color w:val="231F20"/>
          <w:w w:val="105"/>
        </w:rPr>
        <w:t>política</w:t>
      </w:r>
      <w:r>
        <w:rPr>
          <w:color w:val="231F20"/>
          <w:spacing w:val="-49"/>
          <w:w w:val="105"/>
        </w:rPr>
        <w:t> </w:t>
      </w:r>
      <w:r>
        <w:rPr>
          <w:color w:val="231F20"/>
          <w:w w:val="105"/>
        </w:rPr>
        <w:t>di</w:t>
      </w:r>
      <w:r>
        <w:rPr>
          <w:color w:val="231F20"/>
          <w:spacing w:val="-49"/>
          <w:w w:val="105"/>
        </w:rPr>
        <w:t> </w:t>
      </w:r>
      <w:r>
        <w:rPr>
          <w:color w:val="231F20"/>
          <w:w w:val="105"/>
        </w:rPr>
        <w:t>legittimazione,</w:t>
      </w:r>
      <w:r>
        <w:rPr>
          <w:color w:val="231F20"/>
          <w:spacing w:val="-49"/>
          <w:w w:val="105"/>
        </w:rPr>
        <w:t> </w:t>
      </w:r>
      <w:r>
        <w:rPr>
          <w:color w:val="231F20"/>
          <w:spacing w:val="-3"/>
          <w:w w:val="105"/>
        </w:rPr>
        <w:t>oppure, </w:t>
      </w:r>
      <w:r>
        <w:rPr>
          <w:color w:val="231F20"/>
          <w:w w:val="105"/>
        </w:rPr>
        <w:t>delle materia prime della democratizzazione (la “restituzione” del luogo politico della figura del popolo) e che colpisce allo Stato come forma di “sovranizzazione”,</w:t>
      </w:r>
      <w:r>
        <w:rPr>
          <w:color w:val="231F20"/>
          <w:spacing w:val="-46"/>
          <w:w w:val="105"/>
        </w:rPr>
        <w:t> </w:t>
      </w:r>
      <w:r>
        <w:rPr>
          <w:color w:val="231F20"/>
          <w:w w:val="105"/>
        </w:rPr>
        <w:t>per</w:t>
      </w:r>
      <w:r>
        <w:rPr>
          <w:color w:val="231F20"/>
          <w:spacing w:val="-46"/>
          <w:w w:val="105"/>
        </w:rPr>
        <w:t> </w:t>
      </w:r>
      <w:r>
        <w:rPr>
          <w:color w:val="231F20"/>
          <w:w w:val="105"/>
        </w:rPr>
        <w:t>quanto</w:t>
      </w:r>
      <w:r>
        <w:rPr>
          <w:color w:val="231F20"/>
          <w:spacing w:val="-46"/>
          <w:w w:val="105"/>
        </w:rPr>
        <w:t> </w:t>
      </w:r>
      <w:r>
        <w:rPr>
          <w:color w:val="231F20"/>
          <w:w w:val="105"/>
        </w:rPr>
        <w:t>i</w:t>
      </w:r>
      <w:r>
        <w:rPr>
          <w:color w:val="231F20"/>
          <w:spacing w:val="-46"/>
          <w:w w:val="105"/>
        </w:rPr>
        <w:t> </w:t>
      </w:r>
      <w:r>
        <w:rPr>
          <w:color w:val="231F20"/>
          <w:w w:val="105"/>
        </w:rPr>
        <w:t>suoi</w:t>
      </w:r>
      <w:r>
        <w:rPr>
          <w:color w:val="231F20"/>
          <w:spacing w:val="-46"/>
          <w:w w:val="105"/>
        </w:rPr>
        <w:t> </w:t>
      </w:r>
      <w:r>
        <w:rPr>
          <w:color w:val="231F20"/>
          <w:w w:val="105"/>
        </w:rPr>
        <w:t>modi</w:t>
      </w:r>
      <w:r>
        <w:rPr>
          <w:color w:val="231F20"/>
          <w:spacing w:val="-46"/>
          <w:w w:val="105"/>
        </w:rPr>
        <w:t> </w:t>
      </w:r>
      <w:r>
        <w:rPr>
          <w:color w:val="231F20"/>
          <w:w w:val="105"/>
        </w:rPr>
        <w:t>di</w:t>
      </w:r>
      <w:r>
        <w:rPr>
          <w:color w:val="231F20"/>
          <w:spacing w:val="-46"/>
          <w:w w:val="105"/>
        </w:rPr>
        <w:t> </w:t>
      </w:r>
      <w:r>
        <w:rPr>
          <w:color w:val="231F20"/>
          <w:w w:val="105"/>
        </w:rPr>
        <w:t>organizazzione</w:t>
      </w:r>
      <w:r>
        <w:rPr>
          <w:color w:val="231F20"/>
          <w:spacing w:val="-46"/>
          <w:w w:val="105"/>
        </w:rPr>
        <w:t> </w:t>
      </w:r>
      <w:r>
        <w:rPr>
          <w:color w:val="231F20"/>
          <w:w w:val="105"/>
        </w:rPr>
        <w:t>cambieranno</w:t>
      </w:r>
      <w:r>
        <w:rPr>
          <w:color w:val="231F20"/>
          <w:spacing w:val="-46"/>
          <w:w w:val="105"/>
        </w:rPr>
        <w:t> </w:t>
      </w:r>
      <w:r>
        <w:rPr>
          <w:color w:val="231F20"/>
          <w:w w:val="105"/>
        </w:rPr>
        <w:t>in molti</w:t>
      </w:r>
      <w:r>
        <w:rPr>
          <w:color w:val="231F20"/>
          <w:spacing w:val="-52"/>
          <w:w w:val="105"/>
        </w:rPr>
        <w:t> </w:t>
      </w:r>
      <w:r>
        <w:rPr>
          <w:color w:val="231F20"/>
          <w:w w:val="105"/>
        </w:rPr>
        <w:t>sensi</w:t>
      </w:r>
      <w:r>
        <w:rPr>
          <w:color w:val="231F20"/>
          <w:w w:val="105"/>
          <w:position w:val="7"/>
          <w:sz w:val="12"/>
        </w:rPr>
        <w:t>32</w:t>
      </w:r>
      <w:r>
        <w:rPr>
          <w:color w:val="231F20"/>
          <w:w w:val="105"/>
        </w:rPr>
        <w:t>.</w:t>
      </w:r>
      <w:r>
        <w:rPr>
          <w:color w:val="231F20"/>
          <w:spacing w:val="-52"/>
          <w:w w:val="105"/>
        </w:rPr>
        <w:t> </w:t>
      </w:r>
      <w:r>
        <w:rPr>
          <w:color w:val="231F20"/>
          <w:w w:val="105"/>
        </w:rPr>
        <w:t>Questo</w:t>
      </w:r>
      <w:r>
        <w:rPr>
          <w:color w:val="231F20"/>
          <w:spacing w:val="-52"/>
          <w:w w:val="105"/>
        </w:rPr>
        <w:t> </w:t>
      </w:r>
      <w:r>
        <w:rPr>
          <w:color w:val="231F20"/>
          <w:w w:val="105"/>
        </w:rPr>
        <w:t>cambiamento</w:t>
      </w:r>
      <w:r>
        <w:rPr>
          <w:color w:val="231F20"/>
          <w:spacing w:val="-52"/>
          <w:w w:val="105"/>
        </w:rPr>
        <w:t> </w:t>
      </w:r>
      <w:r>
        <w:rPr>
          <w:color w:val="231F20"/>
          <w:w w:val="105"/>
        </w:rPr>
        <w:t>è</w:t>
      </w:r>
      <w:r>
        <w:rPr>
          <w:color w:val="231F20"/>
          <w:spacing w:val="-52"/>
          <w:w w:val="105"/>
        </w:rPr>
        <w:t> </w:t>
      </w:r>
      <w:r>
        <w:rPr>
          <w:color w:val="231F20"/>
          <w:w w:val="105"/>
        </w:rPr>
        <w:t>sintomatico</w:t>
      </w:r>
      <w:r>
        <w:rPr>
          <w:color w:val="231F20"/>
          <w:spacing w:val="-52"/>
          <w:w w:val="105"/>
        </w:rPr>
        <w:t> </w:t>
      </w:r>
      <w:r>
        <w:rPr>
          <w:color w:val="231F20"/>
          <w:w w:val="105"/>
        </w:rPr>
        <w:t>dell’attuazione</w:t>
      </w:r>
      <w:r>
        <w:rPr>
          <w:color w:val="231F20"/>
          <w:spacing w:val="-52"/>
          <w:w w:val="105"/>
        </w:rPr>
        <w:t> </w:t>
      </w:r>
      <w:r>
        <w:rPr>
          <w:color w:val="231F20"/>
          <w:w w:val="105"/>
        </w:rPr>
        <w:t>politica</w:t>
      </w:r>
      <w:r>
        <w:rPr>
          <w:color w:val="231F20"/>
          <w:spacing w:val="-52"/>
          <w:w w:val="105"/>
        </w:rPr>
        <w:t> </w:t>
      </w:r>
      <w:r>
        <w:rPr>
          <w:color w:val="231F20"/>
          <w:w w:val="105"/>
        </w:rPr>
        <w:t>del </w:t>
      </w:r>
      <w:r>
        <w:rPr>
          <w:color w:val="231F20"/>
          <w:spacing w:val="-3"/>
          <w:w w:val="105"/>
        </w:rPr>
        <w:t>potere</w:t>
      </w:r>
      <w:r>
        <w:rPr>
          <w:color w:val="231F20"/>
          <w:spacing w:val="-41"/>
          <w:w w:val="105"/>
        </w:rPr>
        <w:t> </w:t>
      </w:r>
      <w:r>
        <w:rPr>
          <w:color w:val="231F20"/>
          <w:w w:val="105"/>
        </w:rPr>
        <w:t>giudiziario</w:t>
      </w:r>
      <w:r>
        <w:rPr>
          <w:color w:val="231F20"/>
          <w:spacing w:val="-41"/>
          <w:w w:val="105"/>
        </w:rPr>
        <w:t> </w:t>
      </w:r>
      <w:r>
        <w:rPr>
          <w:color w:val="231F20"/>
          <w:w w:val="105"/>
        </w:rPr>
        <w:t>di</w:t>
      </w:r>
      <w:r>
        <w:rPr>
          <w:color w:val="231F20"/>
          <w:spacing w:val="-41"/>
          <w:w w:val="105"/>
        </w:rPr>
        <w:t> </w:t>
      </w:r>
      <w:r>
        <w:rPr>
          <w:color w:val="231F20"/>
          <w:spacing w:val="-3"/>
          <w:w w:val="105"/>
        </w:rPr>
        <w:t>fronte</w:t>
      </w:r>
      <w:r>
        <w:rPr>
          <w:color w:val="231F20"/>
          <w:spacing w:val="-41"/>
          <w:w w:val="105"/>
        </w:rPr>
        <w:t> </w:t>
      </w:r>
      <w:r>
        <w:rPr>
          <w:color w:val="231F20"/>
          <w:w w:val="105"/>
        </w:rPr>
        <w:t>allo</w:t>
      </w:r>
      <w:r>
        <w:rPr>
          <w:color w:val="231F20"/>
          <w:spacing w:val="-41"/>
          <w:w w:val="105"/>
        </w:rPr>
        <w:t> </w:t>
      </w:r>
      <w:r>
        <w:rPr>
          <w:color w:val="231F20"/>
          <w:w w:val="105"/>
        </w:rPr>
        <w:t>sviluppo</w:t>
      </w:r>
      <w:r>
        <w:rPr>
          <w:color w:val="231F20"/>
          <w:spacing w:val="-41"/>
          <w:w w:val="105"/>
        </w:rPr>
        <w:t> </w:t>
      </w:r>
      <w:r>
        <w:rPr>
          <w:color w:val="231F20"/>
          <w:w w:val="105"/>
        </w:rPr>
        <w:t>del</w:t>
      </w:r>
      <w:r>
        <w:rPr>
          <w:color w:val="231F20"/>
          <w:spacing w:val="-41"/>
          <w:w w:val="105"/>
        </w:rPr>
        <w:t> </w:t>
      </w:r>
      <w:r>
        <w:rPr>
          <w:color w:val="231F20"/>
          <w:spacing w:val="-3"/>
          <w:w w:val="105"/>
        </w:rPr>
        <w:t>potere</w:t>
      </w:r>
      <w:r>
        <w:rPr>
          <w:color w:val="231F20"/>
          <w:spacing w:val="-41"/>
          <w:w w:val="105"/>
        </w:rPr>
        <w:t> </w:t>
      </w:r>
      <w:r>
        <w:rPr>
          <w:color w:val="231F20"/>
          <w:w w:val="105"/>
        </w:rPr>
        <w:t>legislativo</w:t>
      </w:r>
      <w:r>
        <w:rPr>
          <w:color w:val="231F20"/>
          <w:spacing w:val="-41"/>
          <w:w w:val="105"/>
        </w:rPr>
        <w:t> </w:t>
      </w:r>
      <w:r>
        <w:rPr>
          <w:color w:val="231F20"/>
          <w:w w:val="105"/>
        </w:rPr>
        <w:t>in</w:t>
      </w:r>
      <w:r>
        <w:rPr>
          <w:color w:val="231F20"/>
          <w:spacing w:val="-41"/>
          <w:w w:val="105"/>
        </w:rPr>
        <w:t> </w:t>
      </w:r>
      <w:r>
        <w:rPr>
          <w:color w:val="231F20"/>
          <w:w w:val="105"/>
        </w:rPr>
        <w:t>un</w:t>
      </w:r>
      <w:r>
        <w:rPr>
          <w:color w:val="231F20"/>
          <w:spacing w:val="-41"/>
          <w:w w:val="105"/>
        </w:rPr>
        <w:t> </w:t>
      </w:r>
      <w:r>
        <w:rPr>
          <w:color w:val="231F20"/>
          <w:w w:val="105"/>
        </w:rPr>
        <w:t>contesto ogni</w:t>
      </w:r>
      <w:r>
        <w:rPr>
          <w:color w:val="231F20"/>
          <w:spacing w:val="-22"/>
          <w:w w:val="105"/>
        </w:rPr>
        <w:t> </w:t>
      </w:r>
      <w:r>
        <w:rPr>
          <w:color w:val="231F20"/>
          <w:w w:val="105"/>
        </w:rPr>
        <w:t>volta</w:t>
      </w:r>
      <w:r>
        <w:rPr>
          <w:color w:val="231F20"/>
          <w:spacing w:val="-22"/>
          <w:w w:val="105"/>
        </w:rPr>
        <w:t> </w:t>
      </w:r>
      <w:r>
        <w:rPr>
          <w:color w:val="231F20"/>
          <w:w w:val="105"/>
        </w:rPr>
        <w:t>più</w:t>
      </w:r>
      <w:r>
        <w:rPr>
          <w:color w:val="231F20"/>
          <w:spacing w:val="-22"/>
          <w:w w:val="105"/>
        </w:rPr>
        <w:t> </w:t>
      </w:r>
      <w:r>
        <w:rPr>
          <w:color w:val="231F20"/>
          <w:w w:val="105"/>
        </w:rPr>
        <w:t>inarrestabile</w:t>
      </w:r>
      <w:r>
        <w:rPr>
          <w:color w:val="231F20"/>
          <w:spacing w:val="-22"/>
          <w:w w:val="105"/>
        </w:rPr>
        <w:t> </w:t>
      </w:r>
      <w:r>
        <w:rPr>
          <w:color w:val="231F20"/>
          <w:w w:val="105"/>
        </w:rPr>
        <w:t>di</w:t>
      </w:r>
      <w:r>
        <w:rPr>
          <w:color w:val="231F20"/>
          <w:spacing w:val="-22"/>
          <w:w w:val="105"/>
        </w:rPr>
        <w:t> </w:t>
      </w:r>
      <w:r>
        <w:rPr>
          <w:color w:val="231F20"/>
          <w:w w:val="105"/>
        </w:rPr>
        <w:t>primato</w:t>
      </w:r>
      <w:r>
        <w:rPr>
          <w:color w:val="231F20"/>
          <w:spacing w:val="-22"/>
          <w:w w:val="105"/>
        </w:rPr>
        <w:t> </w:t>
      </w:r>
      <w:r>
        <w:rPr>
          <w:color w:val="231F20"/>
          <w:w w:val="105"/>
        </w:rPr>
        <w:t>della</w:t>
      </w:r>
      <w:r>
        <w:rPr>
          <w:color w:val="231F20"/>
          <w:spacing w:val="-22"/>
          <w:w w:val="105"/>
        </w:rPr>
        <w:t> </w:t>
      </w:r>
      <w:r>
        <w:rPr>
          <w:color w:val="231F20"/>
          <w:w w:val="105"/>
        </w:rPr>
        <w:t>attuazione</w:t>
      </w:r>
      <w:r>
        <w:rPr>
          <w:color w:val="231F20"/>
          <w:spacing w:val="-22"/>
          <w:w w:val="105"/>
        </w:rPr>
        <w:t> </w:t>
      </w:r>
      <w:r>
        <w:rPr>
          <w:color w:val="231F20"/>
          <w:w w:val="105"/>
        </w:rPr>
        <w:t>dei</w:t>
      </w:r>
      <w:r>
        <w:rPr>
          <w:color w:val="231F20"/>
          <w:spacing w:val="-22"/>
          <w:w w:val="105"/>
        </w:rPr>
        <w:t> </w:t>
      </w:r>
      <w:r>
        <w:rPr>
          <w:color w:val="231F20"/>
          <w:w w:val="105"/>
        </w:rPr>
        <w:t>poteri</w:t>
      </w:r>
      <w:r>
        <w:rPr>
          <w:color w:val="231F20"/>
          <w:spacing w:val="-22"/>
          <w:w w:val="105"/>
        </w:rPr>
        <w:t> </w:t>
      </w:r>
      <w:r>
        <w:rPr>
          <w:color w:val="231F20"/>
          <w:w w:val="105"/>
        </w:rPr>
        <w:t>esecutivi nelle</w:t>
      </w:r>
      <w:r>
        <w:rPr>
          <w:color w:val="231F20"/>
          <w:spacing w:val="-42"/>
          <w:w w:val="105"/>
        </w:rPr>
        <w:t> </w:t>
      </w:r>
      <w:r>
        <w:rPr>
          <w:color w:val="231F20"/>
          <w:w w:val="105"/>
        </w:rPr>
        <w:t>decisioni</w:t>
      </w:r>
      <w:r>
        <w:rPr>
          <w:color w:val="231F20"/>
          <w:spacing w:val="-42"/>
          <w:w w:val="105"/>
        </w:rPr>
        <w:t> </w:t>
      </w:r>
      <w:r>
        <w:rPr>
          <w:color w:val="231F20"/>
          <w:w w:val="105"/>
        </w:rPr>
        <w:t>democratiche:</w:t>
      </w:r>
    </w:p>
    <w:p>
      <w:pPr>
        <w:pStyle w:val="BodyText"/>
        <w:spacing w:before="10"/>
        <w:rPr>
          <w:sz w:val="22"/>
        </w:rPr>
      </w:pPr>
    </w:p>
    <w:p>
      <w:pPr>
        <w:spacing w:line="220" w:lineRule="exact" w:before="1"/>
        <w:ind w:left="1521" w:right="111" w:firstLine="0"/>
        <w:jc w:val="both"/>
        <w:rPr>
          <w:sz w:val="19"/>
        </w:rPr>
      </w:pPr>
      <w:r>
        <w:rPr>
          <w:color w:val="231F20"/>
          <w:spacing w:val="4"/>
          <w:w w:val="105"/>
          <w:sz w:val="19"/>
        </w:rPr>
        <w:t>Abbiamo assistito nelle ultime decadi </w:t>
      </w:r>
      <w:r>
        <w:rPr>
          <w:color w:val="231F20"/>
          <w:w w:val="105"/>
          <w:sz w:val="19"/>
        </w:rPr>
        <w:t>a </w:t>
      </w:r>
      <w:r>
        <w:rPr>
          <w:color w:val="231F20"/>
          <w:spacing w:val="4"/>
          <w:w w:val="105"/>
          <w:sz w:val="19"/>
        </w:rPr>
        <w:t>un’espansione </w:t>
      </w:r>
      <w:r>
        <w:rPr>
          <w:color w:val="231F20"/>
          <w:spacing w:val="5"/>
          <w:w w:val="105"/>
          <w:sz w:val="19"/>
        </w:rPr>
        <w:t>del </w:t>
      </w:r>
      <w:r>
        <w:rPr>
          <w:color w:val="231F20"/>
          <w:w w:val="105"/>
          <w:sz w:val="19"/>
        </w:rPr>
        <w:t>potere </w:t>
      </w:r>
      <w:r>
        <w:rPr>
          <w:color w:val="231F20"/>
          <w:spacing w:val="2"/>
          <w:w w:val="105"/>
          <w:sz w:val="19"/>
        </w:rPr>
        <w:t>esecutivo </w:t>
      </w:r>
      <w:r>
        <w:rPr>
          <w:color w:val="231F20"/>
          <w:w w:val="105"/>
          <w:sz w:val="19"/>
        </w:rPr>
        <w:t>che è </w:t>
      </w:r>
      <w:r>
        <w:rPr>
          <w:color w:val="231F20"/>
          <w:spacing w:val="2"/>
          <w:w w:val="105"/>
          <w:sz w:val="19"/>
        </w:rPr>
        <w:t>stata accompagnata </w:t>
      </w:r>
      <w:r>
        <w:rPr>
          <w:color w:val="231F20"/>
          <w:spacing w:val="3"/>
          <w:w w:val="105"/>
          <w:sz w:val="19"/>
        </w:rPr>
        <w:t>dell’ampliamento </w:t>
      </w:r>
      <w:r>
        <w:rPr>
          <w:color w:val="231F20"/>
          <w:w w:val="105"/>
          <w:sz w:val="19"/>
        </w:rPr>
        <w:t>della</w:t>
      </w:r>
      <w:r>
        <w:rPr>
          <w:color w:val="231F20"/>
          <w:spacing w:val="-8"/>
          <w:w w:val="105"/>
          <w:sz w:val="19"/>
        </w:rPr>
        <w:t> </w:t>
      </w:r>
      <w:r>
        <w:rPr>
          <w:color w:val="231F20"/>
          <w:w w:val="105"/>
          <w:sz w:val="19"/>
        </w:rPr>
        <w:t>capacità</w:t>
      </w:r>
      <w:r>
        <w:rPr>
          <w:color w:val="231F20"/>
          <w:spacing w:val="-8"/>
          <w:w w:val="105"/>
          <w:sz w:val="19"/>
        </w:rPr>
        <w:t> </w:t>
      </w:r>
      <w:r>
        <w:rPr>
          <w:color w:val="231F20"/>
          <w:w w:val="105"/>
          <w:sz w:val="19"/>
        </w:rPr>
        <w:t>e</w:t>
      </w:r>
      <w:r>
        <w:rPr>
          <w:color w:val="231F20"/>
          <w:spacing w:val="-8"/>
          <w:w w:val="105"/>
          <w:sz w:val="19"/>
        </w:rPr>
        <w:t> </w:t>
      </w:r>
      <w:r>
        <w:rPr>
          <w:color w:val="231F20"/>
          <w:w w:val="105"/>
          <w:sz w:val="19"/>
        </w:rPr>
        <w:t>il</w:t>
      </w:r>
      <w:r>
        <w:rPr>
          <w:color w:val="231F20"/>
          <w:spacing w:val="-8"/>
          <w:w w:val="105"/>
          <w:sz w:val="19"/>
        </w:rPr>
        <w:t> </w:t>
      </w:r>
      <w:r>
        <w:rPr>
          <w:color w:val="231F20"/>
          <w:w w:val="105"/>
          <w:sz w:val="19"/>
        </w:rPr>
        <w:t>raggio</w:t>
      </w:r>
      <w:r>
        <w:rPr>
          <w:color w:val="231F20"/>
          <w:spacing w:val="-8"/>
          <w:w w:val="105"/>
          <w:sz w:val="19"/>
        </w:rPr>
        <w:t> </w:t>
      </w:r>
      <w:r>
        <w:rPr>
          <w:color w:val="231F20"/>
          <w:w w:val="105"/>
          <w:sz w:val="19"/>
        </w:rPr>
        <w:t>d’azione</w:t>
      </w:r>
      <w:r>
        <w:rPr>
          <w:color w:val="231F20"/>
          <w:spacing w:val="-8"/>
          <w:w w:val="105"/>
          <w:sz w:val="19"/>
        </w:rPr>
        <w:t> </w:t>
      </w:r>
      <w:r>
        <w:rPr>
          <w:color w:val="231F20"/>
          <w:w w:val="105"/>
          <w:sz w:val="19"/>
        </w:rPr>
        <w:t>dei</w:t>
      </w:r>
      <w:r>
        <w:rPr>
          <w:color w:val="231F20"/>
          <w:spacing w:val="-8"/>
          <w:w w:val="105"/>
          <w:sz w:val="19"/>
        </w:rPr>
        <w:t> </w:t>
      </w:r>
      <w:r>
        <w:rPr>
          <w:color w:val="231F20"/>
          <w:w w:val="105"/>
          <w:sz w:val="19"/>
        </w:rPr>
        <w:t>tribunali</w:t>
      </w:r>
      <w:r>
        <w:rPr>
          <w:color w:val="231F20"/>
          <w:spacing w:val="-8"/>
          <w:w w:val="105"/>
          <w:sz w:val="19"/>
        </w:rPr>
        <w:t> </w:t>
      </w:r>
      <w:r>
        <w:rPr>
          <w:color w:val="231F20"/>
          <w:w w:val="105"/>
          <w:sz w:val="19"/>
        </w:rPr>
        <w:t>di</w:t>
      </w:r>
      <w:r>
        <w:rPr>
          <w:color w:val="231F20"/>
          <w:spacing w:val="-8"/>
          <w:w w:val="105"/>
          <w:sz w:val="19"/>
        </w:rPr>
        <w:t> </w:t>
      </w:r>
      <w:r>
        <w:rPr>
          <w:color w:val="231F20"/>
          <w:w w:val="105"/>
          <w:sz w:val="19"/>
        </w:rPr>
        <w:t>giustizia,</w:t>
      </w:r>
      <w:r>
        <w:rPr>
          <w:color w:val="231F20"/>
          <w:spacing w:val="-8"/>
          <w:w w:val="105"/>
          <w:sz w:val="19"/>
        </w:rPr>
        <w:t> </w:t>
      </w:r>
      <w:r>
        <w:rPr>
          <w:color w:val="231F20"/>
          <w:w w:val="105"/>
          <w:sz w:val="19"/>
        </w:rPr>
        <w:t>tanto nazionali</w:t>
      </w:r>
      <w:r>
        <w:rPr>
          <w:color w:val="231F20"/>
          <w:spacing w:val="-39"/>
          <w:w w:val="105"/>
          <w:sz w:val="19"/>
        </w:rPr>
        <w:t> </w:t>
      </w:r>
      <w:r>
        <w:rPr>
          <w:color w:val="231F20"/>
          <w:w w:val="105"/>
          <w:sz w:val="19"/>
        </w:rPr>
        <w:t>come</w:t>
      </w:r>
      <w:r>
        <w:rPr>
          <w:color w:val="231F20"/>
          <w:spacing w:val="-39"/>
          <w:w w:val="105"/>
          <w:sz w:val="19"/>
        </w:rPr>
        <w:t> </w:t>
      </w:r>
      <w:r>
        <w:rPr>
          <w:color w:val="231F20"/>
          <w:w w:val="105"/>
          <w:sz w:val="19"/>
        </w:rPr>
        <w:t>internazionali.</w:t>
      </w:r>
      <w:r>
        <w:rPr>
          <w:color w:val="231F20"/>
          <w:spacing w:val="-39"/>
          <w:w w:val="105"/>
          <w:sz w:val="19"/>
        </w:rPr>
        <w:t> </w:t>
      </w:r>
      <w:r>
        <w:rPr>
          <w:color w:val="231F20"/>
          <w:w w:val="105"/>
          <w:sz w:val="19"/>
        </w:rPr>
        <w:t>Ogni</w:t>
      </w:r>
      <w:r>
        <w:rPr>
          <w:color w:val="231F20"/>
          <w:spacing w:val="-39"/>
          <w:w w:val="105"/>
          <w:sz w:val="19"/>
        </w:rPr>
        <w:t> </w:t>
      </w:r>
      <w:r>
        <w:rPr>
          <w:color w:val="231F20"/>
          <w:w w:val="105"/>
          <w:sz w:val="19"/>
        </w:rPr>
        <w:t>volta</w:t>
      </w:r>
      <w:r>
        <w:rPr>
          <w:color w:val="231F20"/>
          <w:spacing w:val="-40"/>
          <w:w w:val="105"/>
          <w:sz w:val="19"/>
        </w:rPr>
        <w:t> </w:t>
      </w:r>
      <w:r>
        <w:rPr>
          <w:color w:val="231F20"/>
          <w:w w:val="105"/>
          <w:sz w:val="19"/>
        </w:rPr>
        <w:t>è</w:t>
      </w:r>
      <w:r>
        <w:rPr>
          <w:color w:val="231F20"/>
          <w:spacing w:val="-39"/>
          <w:w w:val="105"/>
          <w:sz w:val="19"/>
        </w:rPr>
        <w:t> </w:t>
      </w:r>
      <w:r>
        <w:rPr>
          <w:color w:val="231F20"/>
          <w:w w:val="105"/>
          <w:sz w:val="19"/>
        </w:rPr>
        <w:t>maggiore</w:t>
      </w:r>
      <w:r>
        <w:rPr>
          <w:color w:val="231F20"/>
          <w:spacing w:val="-39"/>
          <w:w w:val="105"/>
          <w:sz w:val="19"/>
        </w:rPr>
        <w:t> </w:t>
      </w:r>
      <w:r>
        <w:rPr>
          <w:color w:val="231F20"/>
          <w:w w:val="105"/>
          <w:sz w:val="19"/>
        </w:rPr>
        <w:t>il</w:t>
      </w:r>
      <w:r>
        <w:rPr>
          <w:color w:val="231F20"/>
          <w:spacing w:val="-39"/>
          <w:w w:val="105"/>
          <w:sz w:val="19"/>
        </w:rPr>
        <w:t> </w:t>
      </w:r>
      <w:r>
        <w:rPr>
          <w:color w:val="231F20"/>
          <w:w w:val="105"/>
          <w:sz w:val="19"/>
        </w:rPr>
        <w:t>numero</w:t>
      </w:r>
      <w:r>
        <w:rPr>
          <w:color w:val="231F20"/>
          <w:spacing w:val="-39"/>
          <w:w w:val="105"/>
          <w:sz w:val="19"/>
        </w:rPr>
        <w:t> </w:t>
      </w:r>
      <w:r>
        <w:rPr>
          <w:color w:val="231F20"/>
          <w:w w:val="105"/>
          <w:sz w:val="19"/>
        </w:rPr>
        <w:t>e</w:t>
      </w:r>
      <w:r>
        <w:rPr>
          <w:color w:val="231F20"/>
          <w:spacing w:val="-39"/>
          <w:w w:val="105"/>
          <w:sz w:val="19"/>
        </w:rPr>
        <w:t> </w:t>
      </w:r>
      <w:r>
        <w:rPr>
          <w:color w:val="231F20"/>
          <w:w w:val="105"/>
          <w:sz w:val="19"/>
        </w:rPr>
        <w:t>la diversità</w:t>
      </w:r>
      <w:r>
        <w:rPr>
          <w:color w:val="231F20"/>
          <w:spacing w:val="-28"/>
          <w:w w:val="105"/>
          <w:sz w:val="19"/>
        </w:rPr>
        <w:t> </w:t>
      </w:r>
      <w:r>
        <w:rPr>
          <w:color w:val="231F20"/>
          <w:w w:val="105"/>
          <w:sz w:val="19"/>
        </w:rPr>
        <w:t>delle</w:t>
      </w:r>
      <w:r>
        <w:rPr>
          <w:color w:val="231F20"/>
          <w:spacing w:val="-28"/>
          <w:w w:val="105"/>
          <w:sz w:val="19"/>
        </w:rPr>
        <w:t> </w:t>
      </w:r>
      <w:r>
        <w:rPr>
          <w:color w:val="231F20"/>
          <w:w w:val="105"/>
          <w:sz w:val="19"/>
        </w:rPr>
        <w:t>liti</w:t>
      </w:r>
      <w:r>
        <w:rPr>
          <w:color w:val="231F20"/>
          <w:spacing w:val="-28"/>
          <w:w w:val="105"/>
          <w:sz w:val="19"/>
        </w:rPr>
        <w:t> </w:t>
      </w:r>
      <w:r>
        <w:rPr>
          <w:color w:val="231F20"/>
          <w:w w:val="105"/>
          <w:sz w:val="19"/>
        </w:rPr>
        <w:t>e</w:t>
      </w:r>
      <w:r>
        <w:rPr>
          <w:color w:val="231F20"/>
          <w:spacing w:val="-28"/>
          <w:w w:val="105"/>
          <w:sz w:val="19"/>
        </w:rPr>
        <w:t> </w:t>
      </w:r>
      <w:r>
        <w:rPr>
          <w:color w:val="231F20"/>
          <w:w w:val="105"/>
          <w:sz w:val="19"/>
        </w:rPr>
        <w:t>le</w:t>
      </w:r>
      <w:r>
        <w:rPr>
          <w:color w:val="231F20"/>
          <w:spacing w:val="-28"/>
          <w:w w:val="105"/>
          <w:sz w:val="19"/>
        </w:rPr>
        <w:t> </w:t>
      </w:r>
      <w:r>
        <w:rPr>
          <w:color w:val="231F20"/>
          <w:w w:val="105"/>
          <w:sz w:val="19"/>
        </w:rPr>
        <w:t>questioni</w:t>
      </w:r>
      <w:r>
        <w:rPr>
          <w:color w:val="231F20"/>
          <w:spacing w:val="-28"/>
          <w:w w:val="105"/>
          <w:sz w:val="19"/>
        </w:rPr>
        <w:t> </w:t>
      </w:r>
      <w:r>
        <w:rPr>
          <w:color w:val="231F20"/>
          <w:w w:val="105"/>
          <w:sz w:val="19"/>
        </w:rPr>
        <w:t>politiche</w:t>
      </w:r>
      <w:r>
        <w:rPr>
          <w:color w:val="231F20"/>
          <w:spacing w:val="-28"/>
          <w:w w:val="105"/>
          <w:sz w:val="19"/>
        </w:rPr>
        <w:t> </w:t>
      </w:r>
      <w:r>
        <w:rPr>
          <w:color w:val="231F20"/>
          <w:w w:val="105"/>
          <w:sz w:val="19"/>
        </w:rPr>
        <w:t>che</w:t>
      </w:r>
      <w:r>
        <w:rPr>
          <w:color w:val="231F20"/>
          <w:spacing w:val="-28"/>
          <w:w w:val="105"/>
          <w:sz w:val="19"/>
        </w:rPr>
        <w:t> </w:t>
      </w:r>
      <w:r>
        <w:rPr>
          <w:color w:val="231F20"/>
          <w:w w:val="105"/>
          <w:sz w:val="19"/>
        </w:rPr>
        <w:t>si</w:t>
      </w:r>
      <w:r>
        <w:rPr>
          <w:color w:val="231F20"/>
          <w:spacing w:val="-28"/>
          <w:w w:val="105"/>
          <w:sz w:val="19"/>
        </w:rPr>
        <w:t> </w:t>
      </w:r>
      <w:r>
        <w:rPr>
          <w:color w:val="231F20"/>
          <w:w w:val="105"/>
          <w:sz w:val="19"/>
        </w:rPr>
        <w:t>elevano</w:t>
      </w:r>
      <w:r>
        <w:rPr>
          <w:color w:val="231F20"/>
          <w:spacing w:val="-28"/>
          <w:w w:val="105"/>
          <w:sz w:val="19"/>
        </w:rPr>
        <w:t> </w:t>
      </w:r>
      <w:r>
        <w:rPr>
          <w:color w:val="231F20"/>
          <w:w w:val="105"/>
          <w:sz w:val="19"/>
        </w:rPr>
        <w:t>ai</w:t>
      </w:r>
      <w:r>
        <w:rPr>
          <w:color w:val="231F20"/>
          <w:spacing w:val="-28"/>
          <w:w w:val="105"/>
          <w:sz w:val="19"/>
        </w:rPr>
        <w:t> </w:t>
      </w:r>
      <w:r>
        <w:rPr>
          <w:color w:val="231F20"/>
          <w:w w:val="105"/>
          <w:sz w:val="19"/>
        </w:rPr>
        <w:t>tribunali</w:t>
      </w:r>
    </w:p>
    <w:p>
      <w:pPr>
        <w:spacing w:line="220" w:lineRule="exact" w:before="0"/>
        <w:ind w:left="1521" w:right="109" w:firstLine="0"/>
        <w:jc w:val="both"/>
        <w:rPr>
          <w:sz w:val="19"/>
        </w:rPr>
      </w:pPr>
      <w:r>
        <w:rPr>
          <w:color w:val="231F20"/>
          <w:w w:val="105"/>
          <w:sz w:val="19"/>
        </w:rPr>
        <w:t>—includendo</w:t>
      </w:r>
      <w:r>
        <w:rPr>
          <w:color w:val="231F20"/>
          <w:spacing w:val="-22"/>
          <w:w w:val="105"/>
          <w:sz w:val="19"/>
        </w:rPr>
        <w:t> </w:t>
      </w:r>
      <w:r>
        <w:rPr>
          <w:color w:val="231F20"/>
          <w:w w:val="105"/>
          <w:sz w:val="19"/>
        </w:rPr>
        <w:t>in</w:t>
      </w:r>
      <w:r>
        <w:rPr>
          <w:color w:val="231F20"/>
          <w:spacing w:val="-22"/>
          <w:w w:val="105"/>
          <w:sz w:val="19"/>
        </w:rPr>
        <w:t> </w:t>
      </w:r>
      <w:r>
        <w:rPr>
          <w:color w:val="231F20"/>
          <w:w w:val="105"/>
          <w:sz w:val="19"/>
        </w:rPr>
        <w:t>questo</w:t>
      </w:r>
      <w:r>
        <w:rPr>
          <w:color w:val="231F20"/>
          <w:spacing w:val="-22"/>
          <w:w w:val="105"/>
          <w:sz w:val="19"/>
        </w:rPr>
        <w:t> </w:t>
      </w:r>
      <w:r>
        <w:rPr>
          <w:color w:val="231F20"/>
          <w:w w:val="105"/>
          <w:sz w:val="19"/>
        </w:rPr>
        <w:t>numero</w:t>
      </w:r>
      <w:r>
        <w:rPr>
          <w:color w:val="231F20"/>
          <w:spacing w:val="-22"/>
          <w:w w:val="105"/>
          <w:sz w:val="19"/>
        </w:rPr>
        <w:t> </w:t>
      </w:r>
      <w:r>
        <w:rPr>
          <w:color w:val="231F20"/>
          <w:w w:val="105"/>
          <w:sz w:val="19"/>
        </w:rPr>
        <w:t>quelle</w:t>
      </w:r>
      <w:r>
        <w:rPr>
          <w:color w:val="231F20"/>
          <w:spacing w:val="-22"/>
          <w:w w:val="105"/>
          <w:sz w:val="19"/>
        </w:rPr>
        <w:t> </w:t>
      </w:r>
      <w:r>
        <w:rPr>
          <w:color w:val="231F20"/>
          <w:w w:val="105"/>
          <w:sz w:val="19"/>
        </w:rPr>
        <w:t>che</w:t>
      </w:r>
      <w:r>
        <w:rPr>
          <w:color w:val="231F20"/>
          <w:spacing w:val="-22"/>
          <w:w w:val="105"/>
          <w:sz w:val="19"/>
        </w:rPr>
        <w:t> </w:t>
      </w:r>
      <w:r>
        <w:rPr>
          <w:color w:val="231F20"/>
          <w:w w:val="105"/>
          <w:sz w:val="19"/>
        </w:rPr>
        <w:t>generano</w:t>
      </w:r>
      <w:r>
        <w:rPr>
          <w:color w:val="231F20"/>
          <w:spacing w:val="-22"/>
          <w:w w:val="105"/>
          <w:sz w:val="19"/>
        </w:rPr>
        <w:t> </w:t>
      </w:r>
      <w:r>
        <w:rPr>
          <w:color w:val="231F20"/>
          <w:w w:val="105"/>
          <w:sz w:val="19"/>
        </w:rPr>
        <w:t>i</w:t>
      </w:r>
      <w:r>
        <w:rPr>
          <w:color w:val="231F20"/>
          <w:spacing w:val="-22"/>
          <w:w w:val="105"/>
          <w:sz w:val="19"/>
        </w:rPr>
        <w:t> </w:t>
      </w:r>
      <w:r>
        <w:rPr>
          <w:color w:val="231F20"/>
          <w:w w:val="105"/>
          <w:sz w:val="19"/>
        </w:rPr>
        <w:t>movimenti social di ogni nazione e le campagne internazionali pro i diritti umani.</w:t>
      </w:r>
      <w:r>
        <w:rPr>
          <w:color w:val="231F20"/>
          <w:spacing w:val="-33"/>
          <w:w w:val="105"/>
          <w:sz w:val="19"/>
        </w:rPr>
        <w:t> </w:t>
      </w:r>
      <w:r>
        <w:rPr>
          <w:color w:val="231F20"/>
          <w:w w:val="105"/>
          <w:sz w:val="19"/>
        </w:rPr>
        <w:t>E</w:t>
      </w:r>
      <w:r>
        <w:rPr>
          <w:color w:val="231F20"/>
          <w:spacing w:val="-33"/>
          <w:w w:val="105"/>
          <w:sz w:val="19"/>
        </w:rPr>
        <w:t> </w:t>
      </w:r>
      <w:r>
        <w:rPr>
          <w:color w:val="231F20"/>
          <w:w w:val="105"/>
          <w:sz w:val="19"/>
        </w:rPr>
        <w:t>una</w:t>
      </w:r>
      <w:r>
        <w:rPr>
          <w:color w:val="231F20"/>
          <w:spacing w:val="-33"/>
          <w:w w:val="105"/>
          <w:sz w:val="19"/>
        </w:rPr>
        <w:t> </w:t>
      </w:r>
      <w:r>
        <w:rPr>
          <w:color w:val="231F20"/>
          <w:w w:val="105"/>
          <w:sz w:val="19"/>
        </w:rPr>
        <w:t>volta</w:t>
      </w:r>
      <w:r>
        <w:rPr>
          <w:color w:val="231F20"/>
          <w:spacing w:val="-33"/>
          <w:w w:val="105"/>
          <w:sz w:val="19"/>
        </w:rPr>
        <w:t> </w:t>
      </w:r>
      <w:r>
        <w:rPr>
          <w:color w:val="231F20"/>
          <w:w w:val="105"/>
          <w:sz w:val="19"/>
        </w:rPr>
        <w:t>che</w:t>
      </w:r>
      <w:r>
        <w:rPr>
          <w:color w:val="231F20"/>
          <w:spacing w:val="-33"/>
          <w:w w:val="105"/>
          <w:sz w:val="19"/>
        </w:rPr>
        <w:t> </w:t>
      </w:r>
      <w:r>
        <w:rPr>
          <w:color w:val="231F20"/>
          <w:w w:val="105"/>
          <w:sz w:val="19"/>
        </w:rPr>
        <w:t>arriva</w:t>
      </w:r>
      <w:r>
        <w:rPr>
          <w:color w:val="231F20"/>
          <w:spacing w:val="-33"/>
          <w:w w:val="105"/>
          <w:sz w:val="19"/>
        </w:rPr>
        <w:t> </w:t>
      </w:r>
      <w:r>
        <w:rPr>
          <w:color w:val="231F20"/>
          <w:w w:val="105"/>
          <w:sz w:val="19"/>
        </w:rPr>
        <w:t>ai</w:t>
      </w:r>
      <w:r>
        <w:rPr>
          <w:color w:val="231F20"/>
          <w:spacing w:val="-33"/>
          <w:w w:val="105"/>
          <w:sz w:val="19"/>
        </w:rPr>
        <w:t> </w:t>
      </w:r>
      <w:r>
        <w:rPr>
          <w:color w:val="231F20"/>
          <w:w w:val="105"/>
          <w:sz w:val="19"/>
        </w:rPr>
        <w:t>tribunali,</w:t>
      </w:r>
      <w:r>
        <w:rPr>
          <w:color w:val="231F20"/>
          <w:spacing w:val="-33"/>
          <w:w w:val="105"/>
          <w:sz w:val="19"/>
        </w:rPr>
        <w:t> </w:t>
      </w:r>
      <w:r>
        <w:rPr>
          <w:color w:val="231F20"/>
          <w:w w:val="105"/>
          <w:sz w:val="19"/>
        </w:rPr>
        <w:t>gli</w:t>
      </w:r>
      <w:r>
        <w:rPr>
          <w:color w:val="231F20"/>
          <w:spacing w:val="-33"/>
          <w:w w:val="105"/>
          <w:sz w:val="19"/>
        </w:rPr>
        <w:t> </w:t>
      </w:r>
      <w:r>
        <w:rPr>
          <w:color w:val="231F20"/>
          <w:w w:val="105"/>
          <w:sz w:val="19"/>
        </w:rPr>
        <w:t>esperti</w:t>
      </w:r>
      <w:r>
        <w:rPr>
          <w:color w:val="231F20"/>
          <w:spacing w:val="-33"/>
          <w:w w:val="105"/>
          <w:sz w:val="19"/>
        </w:rPr>
        <w:t> </w:t>
      </w:r>
      <w:r>
        <w:rPr>
          <w:color w:val="231F20"/>
          <w:w w:val="105"/>
          <w:sz w:val="19"/>
        </w:rPr>
        <w:t>giuridici</w:t>
      </w:r>
      <w:r>
        <w:rPr>
          <w:color w:val="231F20"/>
          <w:spacing w:val="-33"/>
          <w:w w:val="105"/>
          <w:sz w:val="19"/>
        </w:rPr>
        <w:t> </w:t>
      </w:r>
      <w:r>
        <w:rPr>
          <w:color w:val="231F20"/>
          <w:w w:val="105"/>
          <w:sz w:val="19"/>
        </w:rPr>
        <w:t>fanno tanti</w:t>
      </w:r>
      <w:r>
        <w:rPr>
          <w:color w:val="231F20"/>
          <w:spacing w:val="-23"/>
          <w:w w:val="105"/>
          <w:sz w:val="19"/>
        </w:rPr>
        <w:t> </w:t>
      </w:r>
      <w:r>
        <w:rPr>
          <w:color w:val="231F20"/>
          <w:w w:val="105"/>
          <w:sz w:val="19"/>
        </w:rPr>
        <w:t>giochi</w:t>
      </w:r>
      <w:r>
        <w:rPr>
          <w:color w:val="231F20"/>
          <w:spacing w:val="-23"/>
          <w:w w:val="105"/>
          <w:sz w:val="19"/>
        </w:rPr>
        <w:t> </w:t>
      </w:r>
      <w:r>
        <w:rPr>
          <w:color w:val="231F20"/>
          <w:w w:val="105"/>
          <w:sz w:val="19"/>
        </w:rPr>
        <w:t>di</w:t>
      </w:r>
      <w:r>
        <w:rPr>
          <w:color w:val="231F20"/>
          <w:spacing w:val="-23"/>
          <w:w w:val="105"/>
          <w:sz w:val="19"/>
        </w:rPr>
        <w:t> </w:t>
      </w:r>
      <w:r>
        <w:rPr>
          <w:color w:val="231F20"/>
          <w:w w:val="105"/>
          <w:sz w:val="19"/>
        </w:rPr>
        <w:t>prestigio</w:t>
      </w:r>
      <w:r>
        <w:rPr>
          <w:color w:val="231F20"/>
          <w:spacing w:val="-23"/>
          <w:w w:val="105"/>
          <w:sz w:val="19"/>
        </w:rPr>
        <w:t> </w:t>
      </w:r>
      <w:r>
        <w:rPr>
          <w:color w:val="231F20"/>
          <w:w w:val="105"/>
          <w:sz w:val="19"/>
        </w:rPr>
        <w:t>e</w:t>
      </w:r>
      <w:r>
        <w:rPr>
          <w:color w:val="231F20"/>
          <w:spacing w:val="-23"/>
          <w:w w:val="105"/>
          <w:sz w:val="19"/>
        </w:rPr>
        <w:t> </w:t>
      </w:r>
      <w:r>
        <w:rPr>
          <w:color w:val="231F20"/>
          <w:w w:val="105"/>
          <w:sz w:val="19"/>
        </w:rPr>
        <w:t>sottomettono</w:t>
      </w:r>
      <w:r>
        <w:rPr>
          <w:color w:val="231F20"/>
          <w:spacing w:val="-23"/>
          <w:w w:val="105"/>
          <w:sz w:val="19"/>
        </w:rPr>
        <w:t> </w:t>
      </w:r>
      <w:r>
        <w:rPr>
          <w:color w:val="231F20"/>
          <w:w w:val="105"/>
          <w:sz w:val="19"/>
        </w:rPr>
        <w:t>le</w:t>
      </w:r>
      <w:r>
        <w:rPr>
          <w:color w:val="231F20"/>
          <w:spacing w:val="-23"/>
          <w:w w:val="105"/>
          <w:sz w:val="19"/>
        </w:rPr>
        <w:t> </w:t>
      </w:r>
      <w:r>
        <w:rPr>
          <w:color w:val="231F20"/>
          <w:w w:val="105"/>
          <w:sz w:val="19"/>
        </w:rPr>
        <w:t>decisioni</w:t>
      </w:r>
      <w:r>
        <w:rPr>
          <w:color w:val="231F20"/>
          <w:spacing w:val="-23"/>
          <w:w w:val="105"/>
          <w:sz w:val="19"/>
        </w:rPr>
        <w:t> </w:t>
      </w:r>
      <w:r>
        <w:rPr>
          <w:color w:val="231F20"/>
          <w:w w:val="105"/>
          <w:sz w:val="19"/>
        </w:rPr>
        <w:t>politiche</w:t>
      </w:r>
      <w:r>
        <w:rPr>
          <w:color w:val="231F20"/>
          <w:spacing w:val="-23"/>
          <w:w w:val="105"/>
          <w:sz w:val="19"/>
        </w:rPr>
        <w:t> </w:t>
      </w:r>
      <w:r>
        <w:rPr>
          <w:color w:val="231F20"/>
          <w:w w:val="105"/>
          <w:sz w:val="19"/>
        </w:rPr>
        <w:t>a</w:t>
      </w:r>
      <w:r>
        <w:rPr>
          <w:color w:val="231F20"/>
          <w:spacing w:val="-23"/>
          <w:w w:val="105"/>
          <w:sz w:val="19"/>
        </w:rPr>
        <w:t> </w:t>
      </w:r>
      <w:r>
        <w:rPr>
          <w:color w:val="231F20"/>
          <w:w w:val="105"/>
          <w:sz w:val="19"/>
        </w:rPr>
        <w:t>tali sottigliezze analitiche —facendolo anche in un linguaggio così complesso</w:t>
      </w:r>
      <w:r>
        <w:rPr>
          <w:color w:val="231F20"/>
          <w:spacing w:val="-37"/>
          <w:w w:val="105"/>
          <w:sz w:val="19"/>
        </w:rPr>
        <w:t> </w:t>
      </w:r>
      <w:r>
        <w:rPr>
          <w:color w:val="231F20"/>
          <w:w w:val="105"/>
          <w:sz w:val="19"/>
        </w:rPr>
        <w:t>e</w:t>
      </w:r>
      <w:r>
        <w:rPr>
          <w:color w:val="231F20"/>
          <w:spacing w:val="-37"/>
          <w:w w:val="105"/>
          <w:sz w:val="19"/>
        </w:rPr>
        <w:t> </w:t>
      </w:r>
      <w:r>
        <w:rPr>
          <w:color w:val="231F20"/>
          <w:spacing w:val="-3"/>
          <w:w w:val="105"/>
          <w:sz w:val="19"/>
        </w:rPr>
        <w:t>arcaico—</w:t>
      </w:r>
      <w:r>
        <w:rPr>
          <w:color w:val="231F20"/>
          <w:spacing w:val="-37"/>
          <w:w w:val="105"/>
          <w:sz w:val="19"/>
        </w:rPr>
        <w:t> </w:t>
      </w:r>
      <w:r>
        <w:rPr>
          <w:color w:val="231F20"/>
          <w:w w:val="105"/>
          <w:sz w:val="19"/>
        </w:rPr>
        <w:t>che</w:t>
      </w:r>
      <w:r>
        <w:rPr>
          <w:color w:val="231F20"/>
          <w:spacing w:val="-37"/>
          <w:w w:val="105"/>
          <w:sz w:val="19"/>
        </w:rPr>
        <w:t> </w:t>
      </w:r>
      <w:r>
        <w:rPr>
          <w:color w:val="231F20"/>
          <w:w w:val="105"/>
          <w:sz w:val="19"/>
        </w:rPr>
        <w:t>le</w:t>
      </w:r>
      <w:r>
        <w:rPr>
          <w:color w:val="231F20"/>
          <w:spacing w:val="-37"/>
          <w:w w:val="105"/>
          <w:sz w:val="19"/>
        </w:rPr>
        <w:t> </w:t>
      </w:r>
      <w:r>
        <w:rPr>
          <w:color w:val="231F20"/>
          <w:spacing w:val="-3"/>
          <w:w w:val="105"/>
          <w:sz w:val="19"/>
        </w:rPr>
        <w:t>loro</w:t>
      </w:r>
      <w:r>
        <w:rPr>
          <w:color w:val="231F20"/>
          <w:spacing w:val="-37"/>
          <w:w w:val="105"/>
          <w:sz w:val="19"/>
        </w:rPr>
        <w:t> </w:t>
      </w:r>
      <w:r>
        <w:rPr>
          <w:color w:val="231F20"/>
          <w:w w:val="105"/>
          <w:sz w:val="19"/>
        </w:rPr>
        <w:t>opinioni</w:t>
      </w:r>
      <w:r>
        <w:rPr>
          <w:color w:val="231F20"/>
          <w:spacing w:val="-37"/>
          <w:w w:val="105"/>
          <w:sz w:val="19"/>
        </w:rPr>
        <w:t> </w:t>
      </w:r>
      <w:r>
        <w:rPr>
          <w:color w:val="231F20"/>
          <w:w w:val="105"/>
          <w:sz w:val="19"/>
        </w:rPr>
        <w:t>risultano</w:t>
      </w:r>
      <w:r>
        <w:rPr>
          <w:color w:val="231F20"/>
          <w:spacing w:val="-37"/>
          <w:w w:val="105"/>
          <w:sz w:val="19"/>
        </w:rPr>
        <w:t> </w:t>
      </w:r>
      <w:r>
        <w:rPr>
          <w:color w:val="231F20"/>
          <w:spacing w:val="-3"/>
          <w:w w:val="105"/>
          <w:sz w:val="19"/>
        </w:rPr>
        <w:t>incomprensibili </w:t>
      </w:r>
      <w:r>
        <w:rPr>
          <w:color w:val="231F20"/>
          <w:w w:val="105"/>
          <w:sz w:val="19"/>
        </w:rPr>
        <w:t>per ciascuno che non sia un dotto specializzato in quel campo specifico.</w:t>
      </w:r>
      <w:r>
        <w:rPr>
          <w:color w:val="231F20"/>
          <w:spacing w:val="-12"/>
          <w:w w:val="105"/>
          <w:sz w:val="19"/>
        </w:rPr>
        <w:t> </w:t>
      </w:r>
      <w:r>
        <w:rPr>
          <w:color w:val="231F20"/>
          <w:w w:val="105"/>
          <w:sz w:val="19"/>
        </w:rPr>
        <w:t>Allo</w:t>
      </w:r>
      <w:r>
        <w:rPr>
          <w:color w:val="231F20"/>
          <w:spacing w:val="-12"/>
          <w:w w:val="105"/>
          <w:sz w:val="19"/>
        </w:rPr>
        <w:t> </w:t>
      </w:r>
      <w:r>
        <w:rPr>
          <w:color w:val="231F20"/>
          <w:w w:val="105"/>
          <w:sz w:val="19"/>
        </w:rPr>
        <w:t>stesso</w:t>
      </w:r>
      <w:r>
        <w:rPr>
          <w:color w:val="231F20"/>
          <w:spacing w:val="-12"/>
          <w:w w:val="105"/>
          <w:sz w:val="19"/>
        </w:rPr>
        <w:t> </w:t>
      </w:r>
      <w:r>
        <w:rPr>
          <w:color w:val="231F20"/>
          <w:w w:val="105"/>
          <w:sz w:val="19"/>
        </w:rPr>
        <w:t>tempo,</w:t>
      </w:r>
      <w:r>
        <w:rPr>
          <w:color w:val="231F20"/>
          <w:spacing w:val="-12"/>
          <w:w w:val="105"/>
          <w:sz w:val="19"/>
        </w:rPr>
        <w:t> </w:t>
      </w:r>
      <w:r>
        <w:rPr>
          <w:color w:val="231F20"/>
          <w:w w:val="105"/>
          <w:sz w:val="19"/>
        </w:rPr>
        <w:t>i</w:t>
      </w:r>
      <w:r>
        <w:rPr>
          <w:color w:val="231F20"/>
          <w:spacing w:val="-12"/>
          <w:w w:val="105"/>
          <w:sz w:val="19"/>
        </w:rPr>
        <w:t> </w:t>
      </w:r>
      <w:r>
        <w:rPr>
          <w:color w:val="231F20"/>
          <w:w w:val="105"/>
          <w:sz w:val="19"/>
        </w:rPr>
        <w:t>tribunali</w:t>
      </w:r>
      <w:r>
        <w:rPr>
          <w:color w:val="231F20"/>
          <w:spacing w:val="-12"/>
          <w:w w:val="105"/>
          <w:sz w:val="19"/>
        </w:rPr>
        <w:t> </w:t>
      </w:r>
      <w:r>
        <w:rPr>
          <w:color w:val="231F20"/>
          <w:w w:val="105"/>
          <w:sz w:val="19"/>
        </w:rPr>
        <w:t>sono</w:t>
      </w:r>
      <w:r>
        <w:rPr>
          <w:color w:val="231F20"/>
          <w:spacing w:val="-12"/>
          <w:w w:val="105"/>
          <w:sz w:val="19"/>
        </w:rPr>
        <w:t> </w:t>
      </w:r>
      <w:r>
        <w:rPr>
          <w:color w:val="231F20"/>
          <w:w w:val="105"/>
          <w:sz w:val="19"/>
        </w:rPr>
        <w:t>passati</w:t>
      </w:r>
      <w:r>
        <w:rPr>
          <w:color w:val="231F20"/>
          <w:spacing w:val="-12"/>
          <w:w w:val="105"/>
          <w:sz w:val="19"/>
        </w:rPr>
        <w:t> </w:t>
      </w:r>
      <w:r>
        <w:rPr>
          <w:color w:val="231F20"/>
          <w:w w:val="105"/>
          <w:sz w:val="19"/>
        </w:rPr>
        <w:t>da</w:t>
      </w:r>
      <w:r>
        <w:rPr>
          <w:color w:val="231F20"/>
          <w:spacing w:val="-12"/>
          <w:w w:val="105"/>
          <w:sz w:val="19"/>
        </w:rPr>
        <w:t> </w:t>
      </w:r>
      <w:r>
        <w:rPr>
          <w:color w:val="231F20"/>
          <w:w w:val="105"/>
          <w:sz w:val="19"/>
        </w:rPr>
        <w:t>decidere cos’é proibito a dire quello che si deve fare —in poche parole: sono</w:t>
      </w:r>
      <w:r>
        <w:rPr>
          <w:color w:val="231F20"/>
          <w:spacing w:val="-10"/>
          <w:w w:val="105"/>
          <w:sz w:val="19"/>
        </w:rPr>
        <w:t> </w:t>
      </w:r>
      <w:r>
        <w:rPr>
          <w:color w:val="231F20"/>
          <w:w w:val="105"/>
          <w:sz w:val="19"/>
        </w:rPr>
        <w:t>passati</w:t>
      </w:r>
      <w:r>
        <w:rPr>
          <w:color w:val="231F20"/>
          <w:spacing w:val="-10"/>
          <w:w w:val="105"/>
          <w:sz w:val="19"/>
        </w:rPr>
        <w:t> </w:t>
      </w:r>
      <w:r>
        <w:rPr>
          <w:color w:val="231F20"/>
          <w:w w:val="105"/>
          <w:sz w:val="19"/>
        </w:rPr>
        <w:t>da</w:t>
      </w:r>
      <w:r>
        <w:rPr>
          <w:color w:val="231F20"/>
          <w:spacing w:val="-10"/>
          <w:w w:val="105"/>
          <w:sz w:val="19"/>
        </w:rPr>
        <w:t> </w:t>
      </w:r>
      <w:r>
        <w:rPr>
          <w:color w:val="231F20"/>
          <w:w w:val="105"/>
          <w:sz w:val="19"/>
        </w:rPr>
        <w:t>svolgere</w:t>
      </w:r>
      <w:r>
        <w:rPr>
          <w:color w:val="231F20"/>
          <w:spacing w:val="-10"/>
          <w:w w:val="105"/>
          <w:sz w:val="19"/>
        </w:rPr>
        <w:t> </w:t>
      </w:r>
      <w:r>
        <w:rPr>
          <w:color w:val="231F20"/>
          <w:w w:val="105"/>
          <w:sz w:val="19"/>
        </w:rPr>
        <w:t>una</w:t>
      </w:r>
      <w:r>
        <w:rPr>
          <w:color w:val="231F20"/>
          <w:spacing w:val="-10"/>
          <w:w w:val="105"/>
          <w:sz w:val="19"/>
        </w:rPr>
        <w:t> </w:t>
      </w:r>
      <w:r>
        <w:rPr>
          <w:color w:val="231F20"/>
          <w:w w:val="105"/>
          <w:sz w:val="19"/>
        </w:rPr>
        <w:t>funzione</w:t>
      </w:r>
      <w:r>
        <w:rPr>
          <w:color w:val="231F20"/>
          <w:spacing w:val="-10"/>
          <w:w w:val="105"/>
          <w:sz w:val="19"/>
        </w:rPr>
        <w:t> </w:t>
      </w:r>
      <w:r>
        <w:rPr>
          <w:color w:val="231F20"/>
          <w:w w:val="105"/>
          <w:sz w:val="19"/>
        </w:rPr>
        <w:t>limitativa</w:t>
      </w:r>
      <w:r>
        <w:rPr>
          <w:color w:val="231F20"/>
          <w:spacing w:val="-10"/>
          <w:w w:val="105"/>
          <w:sz w:val="19"/>
        </w:rPr>
        <w:t> </w:t>
      </w:r>
      <w:r>
        <w:rPr>
          <w:color w:val="231F20"/>
          <w:w w:val="105"/>
          <w:sz w:val="19"/>
        </w:rPr>
        <w:t>a</w:t>
      </w:r>
      <w:r>
        <w:rPr>
          <w:color w:val="231F20"/>
          <w:spacing w:val="-10"/>
          <w:w w:val="105"/>
          <w:sz w:val="19"/>
        </w:rPr>
        <w:t> </w:t>
      </w:r>
      <w:r>
        <w:rPr>
          <w:color w:val="231F20"/>
          <w:w w:val="105"/>
          <w:sz w:val="19"/>
        </w:rPr>
        <w:t>realizzare</w:t>
      </w:r>
      <w:r>
        <w:rPr>
          <w:color w:val="231F20"/>
          <w:spacing w:val="-10"/>
          <w:w w:val="105"/>
          <w:sz w:val="19"/>
        </w:rPr>
        <w:t> </w:t>
      </w:r>
      <w:r>
        <w:rPr>
          <w:color w:val="231F20"/>
          <w:w w:val="105"/>
          <w:sz w:val="19"/>
        </w:rPr>
        <w:t>un lavoro </w:t>
      </w:r>
      <w:r>
        <w:rPr>
          <w:color w:val="231F20"/>
          <w:spacing w:val="2"/>
          <w:w w:val="105"/>
          <w:sz w:val="19"/>
        </w:rPr>
        <w:t>legislativo </w:t>
      </w:r>
      <w:r>
        <w:rPr>
          <w:color w:val="231F20"/>
          <w:w w:val="105"/>
          <w:sz w:val="19"/>
        </w:rPr>
        <w:t>che di fatto usurpa il compito </w:t>
      </w:r>
      <w:r>
        <w:rPr>
          <w:color w:val="231F20"/>
          <w:spacing w:val="2"/>
          <w:w w:val="105"/>
          <w:sz w:val="19"/>
        </w:rPr>
        <w:t>classicamente </w:t>
      </w:r>
      <w:r>
        <w:rPr>
          <w:color w:val="231F20"/>
          <w:w w:val="105"/>
          <w:sz w:val="19"/>
        </w:rPr>
        <w:t>affidato</w:t>
      </w:r>
      <w:r>
        <w:rPr>
          <w:color w:val="231F20"/>
          <w:spacing w:val="-28"/>
          <w:w w:val="105"/>
          <w:sz w:val="19"/>
        </w:rPr>
        <w:t> </w:t>
      </w:r>
      <w:r>
        <w:rPr>
          <w:color w:val="231F20"/>
          <w:w w:val="105"/>
          <w:sz w:val="19"/>
        </w:rPr>
        <w:t>alla</w:t>
      </w:r>
      <w:r>
        <w:rPr>
          <w:color w:val="231F20"/>
          <w:spacing w:val="-28"/>
          <w:w w:val="105"/>
          <w:sz w:val="19"/>
        </w:rPr>
        <w:t> </w:t>
      </w:r>
      <w:r>
        <w:rPr>
          <w:color w:val="231F20"/>
          <w:w w:val="105"/>
          <w:sz w:val="19"/>
        </w:rPr>
        <w:t>política</w:t>
      </w:r>
      <w:r>
        <w:rPr>
          <w:color w:val="231F20"/>
          <w:spacing w:val="-28"/>
          <w:w w:val="105"/>
          <w:sz w:val="19"/>
        </w:rPr>
        <w:t> </w:t>
      </w:r>
      <w:r>
        <w:rPr>
          <w:color w:val="231F20"/>
          <w:w w:val="105"/>
          <w:sz w:val="19"/>
        </w:rPr>
        <w:t>democratica.</w:t>
      </w:r>
      <w:r>
        <w:rPr>
          <w:color w:val="231F20"/>
          <w:spacing w:val="-28"/>
          <w:w w:val="105"/>
          <w:sz w:val="19"/>
        </w:rPr>
        <w:t> </w:t>
      </w:r>
      <w:r>
        <w:rPr>
          <w:color w:val="231F20"/>
          <w:w w:val="105"/>
          <w:sz w:val="19"/>
        </w:rPr>
        <w:t>Se</w:t>
      </w:r>
      <w:r>
        <w:rPr>
          <w:color w:val="231F20"/>
          <w:spacing w:val="-28"/>
          <w:w w:val="105"/>
          <w:sz w:val="19"/>
        </w:rPr>
        <w:t> </w:t>
      </w:r>
      <w:r>
        <w:rPr>
          <w:color w:val="231F20"/>
          <w:w w:val="105"/>
          <w:sz w:val="19"/>
        </w:rPr>
        <w:t>vivere</w:t>
      </w:r>
      <w:r>
        <w:rPr>
          <w:color w:val="231F20"/>
          <w:spacing w:val="-28"/>
          <w:w w:val="105"/>
          <w:sz w:val="19"/>
        </w:rPr>
        <w:t> </w:t>
      </w:r>
      <w:r>
        <w:rPr>
          <w:color w:val="231F20"/>
          <w:w w:val="105"/>
          <w:sz w:val="19"/>
        </w:rPr>
        <w:t>sottomessi</w:t>
      </w:r>
      <w:r>
        <w:rPr>
          <w:color w:val="231F20"/>
          <w:spacing w:val="-28"/>
          <w:w w:val="105"/>
          <w:sz w:val="19"/>
        </w:rPr>
        <w:t> </w:t>
      </w:r>
      <w:r>
        <w:rPr>
          <w:color w:val="231F20"/>
          <w:w w:val="105"/>
          <w:sz w:val="19"/>
        </w:rPr>
        <w:t>al</w:t>
      </w:r>
      <w:r>
        <w:rPr>
          <w:color w:val="231F20"/>
          <w:spacing w:val="-28"/>
          <w:w w:val="105"/>
          <w:sz w:val="19"/>
        </w:rPr>
        <w:t> </w:t>
      </w:r>
      <w:r>
        <w:rPr>
          <w:color w:val="231F20"/>
          <w:w w:val="105"/>
          <w:sz w:val="19"/>
        </w:rPr>
        <w:t>primato del </w:t>
      </w:r>
      <w:r>
        <w:rPr>
          <w:color w:val="231F20"/>
          <w:spacing w:val="2"/>
          <w:w w:val="105"/>
          <w:sz w:val="19"/>
        </w:rPr>
        <w:t>Diritto </w:t>
      </w:r>
      <w:r>
        <w:rPr>
          <w:color w:val="231F20"/>
          <w:w w:val="105"/>
          <w:sz w:val="19"/>
        </w:rPr>
        <w:t>è un </w:t>
      </w:r>
      <w:r>
        <w:rPr>
          <w:color w:val="231F20"/>
          <w:spacing w:val="2"/>
          <w:w w:val="105"/>
          <w:sz w:val="19"/>
        </w:rPr>
        <w:t>pilastro importante della maggior parte </w:t>
      </w:r>
      <w:r>
        <w:rPr>
          <w:color w:val="231F20"/>
          <w:spacing w:val="3"/>
          <w:w w:val="105"/>
          <w:sz w:val="19"/>
        </w:rPr>
        <w:t>delle </w:t>
      </w:r>
      <w:r>
        <w:rPr>
          <w:color w:val="231F20"/>
          <w:spacing w:val="2"/>
          <w:w w:val="105"/>
          <w:sz w:val="19"/>
        </w:rPr>
        <w:t>forme </w:t>
      </w:r>
      <w:r>
        <w:rPr>
          <w:color w:val="231F20"/>
          <w:w w:val="105"/>
          <w:sz w:val="19"/>
        </w:rPr>
        <w:t>di </w:t>
      </w:r>
      <w:r>
        <w:rPr>
          <w:color w:val="231F20"/>
          <w:spacing w:val="2"/>
          <w:w w:val="105"/>
          <w:sz w:val="19"/>
        </w:rPr>
        <w:t>democrazia, </w:t>
      </w:r>
      <w:r>
        <w:rPr>
          <w:color w:val="231F20"/>
          <w:w w:val="105"/>
          <w:sz w:val="19"/>
        </w:rPr>
        <w:t>il </w:t>
      </w:r>
      <w:r>
        <w:rPr>
          <w:color w:val="231F20"/>
          <w:spacing w:val="2"/>
          <w:w w:val="105"/>
          <w:sz w:val="19"/>
        </w:rPr>
        <w:t>governo </w:t>
      </w:r>
      <w:r>
        <w:rPr>
          <w:color w:val="231F20"/>
          <w:w w:val="105"/>
          <w:sz w:val="19"/>
        </w:rPr>
        <w:t>dei </w:t>
      </w:r>
      <w:r>
        <w:rPr>
          <w:color w:val="231F20"/>
          <w:spacing w:val="2"/>
          <w:w w:val="105"/>
          <w:sz w:val="19"/>
        </w:rPr>
        <w:t>tribunali equivale </w:t>
      </w:r>
      <w:r>
        <w:rPr>
          <w:color w:val="231F20"/>
          <w:w w:val="105"/>
          <w:sz w:val="19"/>
        </w:rPr>
        <w:t>ad </w:t>
      </w:r>
      <w:r>
        <w:rPr>
          <w:color w:val="231F20"/>
          <w:spacing w:val="3"/>
          <w:w w:val="105"/>
          <w:sz w:val="19"/>
        </w:rPr>
        <w:t>una </w:t>
      </w:r>
      <w:r>
        <w:rPr>
          <w:color w:val="231F20"/>
          <w:w w:val="105"/>
          <w:sz w:val="19"/>
        </w:rPr>
        <w:t>sovversione</w:t>
      </w:r>
      <w:r>
        <w:rPr>
          <w:color w:val="231F20"/>
          <w:spacing w:val="-24"/>
          <w:w w:val="105"/>
          <w:sz w:val="19"/>
        </w:rPr>
        <w:t> </w:t>
      </w:r>
      <w:r>
        <w:rPr>
          <w:color w:val="231F20"/>
          <w:w w:val="105"/>
          <w:sz w:val="19"/>
        </w:rPr>
        <w:t>della</w:t>
      </w:r>
      <w:r>
        <w:rPr>
          <w:color w:val="231F20"/>
          <w:spacing w:val="-24"/>
          <w:w w:val="105"/>
          <w:sz w:val="19"/>
        </w:rPr>
        <w:t> </w:t>
      </w:r>
      <w:r>
        <w:rPr>
          <w:color w:val="231F20"/>
          <w:w w:val="105"/>
          <w:sz w:val="19"/>
        </w:rPr>
        <w:t>democrazia.</w:t>
      </w:r>
      <w:r>
        <w:rPr>
          <w:color w:val="231F20"/>
          <w:spacing w:val="-24"/>
          <w:w w:val="105"/>
          <w:sz w:val="19"/>
        </w:rPr>
        <w:t> </w:t>
      </w:r>
      <w:r>
        <w:rPr>
          <w:color w:val="231F20"/>
          <w:w w:val="105"/>
          <w:sz w:val="19"/>
        </w:rPr>
        <w:t>Questa</w:t>
      </w:r>
      <w:r>
        <w:rPr>
          <w:color w:val="231F20"/>
          <w:spacing w:val="-24"/>
          <w:w w:val="105"/>
          <w:sz w:val="19"/>
        </w:rPr>
        <w:t> </w:t>
      </w:r>
      <w:r>
        <w:rPr>
          <w:color w:val="231F20"/>
          <w:w w:val="105"/>
          <w:sz w:val="19"/>
        </w:rPr>
        <w:t>forma</w:t>
      </w:r>
      <w:r>
        <w:rPr>
          <w:color w:val="231F20"/>
          <w:spacing w:val="-24"/>
          <w:w w:val="105"/>
          <w:sz w:val="19"/>
        </w:rPr>
        <w:t> </w:t>
      </w:r>
      <w:r>
        <w:rPr>
          <w:color w:val="231F20"/>
          <w:w w:val="105"/>
          <w:sz w:val="19"/>
        </w:rPr>
        <w:t>di</w:t>
      </w:r>
      <w:r>
        <w:rPr>
          <w:color w:val="231F20"/>
          <w:spacing w:val="-24"/>
          <w:w w:val="105"/>
          <w:sz w:val="19"/>
        </w:rPr>
        <w:t> </w:t>
      </w:r>
      <w:r>
        <w:rPr>
          <w:color w:val="231F20"/>
          <w:w w:val="105"/>
          <w:sz w:val="19"/>
        </w:rPr>
        <w:t>governo</w:t>
      </w:r>
      <w:r>
        <w:rPr>
          <w:color w:val="231F20"/>
          <w:spacing w:val="-24"/>
          <w:w w:val="105"/>
          <w:sz w:val="19"/>
        </w:rPr>
        <w:t> </w:t>
      </w:r>
      <w:r>
        <w:rPr>
          <w:color w:val="231F20"/>
          <w:w w:val="105"/>
          <w:sz w:val="19"/>
        </w:rPr>
        <w:t>non</w:t>
      </w:r>
      <w:r>
        <w:rPr>
          <w:color w:val="231F20"/>
          <w:spacing w:val="-24"/>
          <w:w w:val="105"/>
          <w:sz w:val="19"/>
        </w:rPr>
        <w:t> </w:t>
      </w:r>
      <w:r>
        <w:rPr>
          <w:color w:val="231F20"/>
          <w:w w:val="105"/>
          <w:sz w:val="19"/>
        </w:rPr>
        <w:t>solo </w:t>
      </w:r>
      <w:r>
        <w:rPr>
          <w:color w:val="231F20"/>
          <w:spacing w:val="-3"/>
          <w:w w:val="105"/>
          <w:sz w:val="19"/>
        </w:rPr>
        <w:t>cambia</w:t>
      </w:r>
      <w:r>
        <w:rPr>
          <w:color w:val="231F20"/>
          <w:spacing w:val="-40"/>
          <w:w w:val="105"/>
          <w:sz w:val="19"/>
        </w:rPr>
        <w:t> </w:t>
      </w:r>
      <w:r>
        <w:rPr>
          <w:color w:val="231F20"/>
          <w:w w:val="105"/>
          <w:sz w:val="19"/>
        </w:rPr>
        <w:t>la</w:t>
      </w:r>
      <w:r>
        <w:rPr>
          <w:color w:val="231F20"/>
          <w:spacing w:val="-40"/>
          <w:w w:val="105"/>
          <w:sz w:val="19"/>
        </w:rPr>
        <w:t> </w:t>
      </w:r>
      <w:r>
        <w:rPr>
          <w:color w:val="231F20"/>
          <w:spacing w:val="-3"/>
          <w:w w:val="105"/>
          <w:sz w:val="19"/>
        </w:rPr>
        <w:t>cruciale</w:t>
      </w:r>
      <w:r>
        <w:rPr>
          <w:color w:val="231F20"/>
          <w:spacing w:val="-40"/>
          <w:w w:val="105"/>
          <w:sz w:val="19"/>
        </w:rPr>
        <w:t> </w:t>
      </w:r>
      <w:r>
        <w:rPr>
          <w:color w:val="231F20"/>
          <w:spacing w:val="-3"/>
          <w:w w:val="105"/>
          <w:sz w:val="19"/>
        </w:rPr>
        <w:t>subordinazione</w:t>
      </w:r>
      <w:r>
        <w:rPr>
          <w:color w:val="231F20"/>
          <w:spacing w:val="-40"/>
          <w:w w:val="105"/>
          <w:sz w:val="19"/>
        </w:rPr>
        <w:t> </w:t>
      </w:r>
      <w:r>
        <w:rPr>
          <w:color w:val="231F20"/>
          <w:w w:val="105"/>
          <w:sz w:val="19"/>
        </w:rPr>
        <w:t>del</w:t>
      </w:r>
      <w:r>
        <w:rPr>
          <w:color w:val="231F20"/>
          <w:spacing w:val="-40"/>
          <w:w w:val="105"/>
          <w:sz w:val="19"/>
        </w:rPr>
        <w:t> </w:t>
      </w:r>
      <w:r>
        <w:rPr>
          <w:color w:val="231F20"/>
          <w:spacing w:val="-3"/>
          <w:w w:val="105"/>
          <w:sz w:val="19"/>
        </w:rPr>
        <w:t>potere</w:t>
      </w:r>
      <w:r>
        <w:rPr>
          <w:color w:val="231F20"/>
          <w:spacing w:val="-40"/>
          <w:w w:val="105"/>
          <w:sz w:val="19"/>
        </w:rPr>
        <w:t> </w:t>
      </w:r>
      <w:r>
        <w:rPr>
          <w:color w:val="231F20"/>
          <w:spacing w:val="-3"/>
          <w:w w:val="105"/>
          <w:sz w:val="19"/>
        </w:rPr>
        <w:t>giudiziale</w:t>
      </w:r>
      <w:r>
        <w:rPr>
          <w:color w:val="231F20"/>
          <w:spacing w:val="-40"/>
          <w:w w:val="105"/>
          <w:sz w:val="19"/>
        </w:rPr>
        <w:t> </w:t>
      </w:r>
      <w:r>
        <w:rPr>
          <w:color w:val="231F20"/>
          <w:w w:val="105"/>
          <w:sz w:val="19"/>
        </w:rPr>
        <w:t>al</w:t>
      </w:r>
      <w:r>
        <w:rPr>
          <w:color w:val="231F20"/>
          <w:spacing w:val="-40"/>
          <w:w w:val="105"/>
          <w:sz w:val="19"/>
        </w:rPr>
        <w:t> </w:t>
      </w:r>
      <w:r>
        <w:rPr>
          <w:color w:val="231F20"/>
          <w:spacing w:val="-3"/>
          <w:w w:val="105"/>
          <w:sz w:val="19"/>
        </w:rPr>
        <w:t>legislativo</w:t>
      </w:r>
    </w:p>
    <w:p>
      <w:pPr>
        <w:pStyle w:val="BodyText"/>
        <w:spacing w:before="9"/>
        <w:rPr>
          <w:sz w:val="29"/>
        </w:rPr>
      </w:pPr>
      <w:r>
        <w:rPr/>
        <w:pict>
          <v:line style="position:absolute;mso-position-horizontal-relative:page;mso-position-vertical-relative:paragraph;z-index:13600;mso-wrap-distance-left:0;mso-wrap-distance-right:0" from="65.196899pt,20.082699pt" to="178.582899pt,20.082699pt" stroked="true" strokeweight=".3pt" strokecolor="#231f20">
            <w10:wrap type="topAndBottom"/>
          </v:line>
        </w:pict>
      </w:r>
    </w:p>
    <w:p>
      <w:pPr>
        <w:spacing w:line="204" w:lineRule="exact" w:before="8"/>
        <w:ind w:left="103" w:right="0" w:firstLine="0"/>
        <w:jc w:val="left"/>
        <w:rPr>
          <w:rFonts w:ascii="Calibri" w:hAnsi="Calibri"/>
          <w:sz w:val="17"/>
        </w:rPr>
      </w:pPr>
      <w:r>
        <w:rPr>
          <w:rFonts w:ascii="Calibri" w:hAnsi="Calibri"/>
          <w:color w:val="231F20"/>
          <w:position w:val="6"/>
          <w:sz w:val="10"/>
        </w:rPr>
        <w:t>31 </w:t>
      </w:r>
      <w:r>
        <w:rPr>
          <w:rFonts w:ascii="Calibri" w:hAnsi="Calibri"/>
          <w:color w:val="231F20"/>
          <w:sz w:val="17"/>
        </w:rPr>
        <w:t>Soprattutto dove la sua partecipazione non è subordinata al gioco político ne regolata con totale chiarezza dalle leggi ne per il patto   corporativo.</w:t>
      </w:r>
    </w:p>
    <w:p>
      <w:pPr>
        <w:spacing w:line="204" w:lineRule="exact" w:before="0"/>
        <w:ind w:left="103" w:right="109" w:firstLine="0"/>
        <w:jc w:val="left"/>
        <w:rPr>
          <w:rFonts w:ascii="Calibri" w:hAnsi="Calibri"/>
          <w:sz w:val="17"/>
        </w:rPr>
      </w:pPr>
      <w:r>
        <w:rPr>
          <w:rFonts w:ascii="Calibri" w:hAnsi="Calibri"/>
          <w:color w:val="231F20"/>
          <w:w w:val="105"/>
          <w:position w:val="6"/>
          <w:sz w:val="10"/>
        </w:rPr>
        <w:t>32</w:t>
      </w:r>
      <w:r>
        <w:rPr>
          <w:rFonts w:ascii="Calibri" w:hAnsi="Calibri"/>
          <w:color w:val="231F20"/>
          <w:spacing w:val="-10"/>
          <w:w w:val="105"/>
          <w:position w:val="6"/>
          <w:sz w:val="10"/>
        </w:rPr>
        <w:t> </w:t>
      </w:r>
      <w:r>
        <w:rPr>
          <w:rFonts w:ascii="Calibri" w:hAnsi="Calibri"/>
          <w:color w:val="231F20"/>
          <w:spacing w:val="-6"/>
          <w:w w:val="105"/>
          <w:sz w:val="17"/>
        </w:rPr>
        <w:t>W.</w:t>
      </w:r>
      <w:r>
        <w:rPr>
          <w:rFonts w:ascii="Calibri" w:hAnsi="Calibri"/>
          <w:color w:val="231F20"/>
          <w:spacing w:val="-24"/>
          <w:w w:val="105"/>
          <w:sz w:val="17"/>
        </w:rPr>
        <w:t> </w:t>
      </w:r>
      <w:r>
        <w:rPr>
          <w:rFonts w:ascii="Calibri" w:hAnsi="Calibri"/>
          <w:color w:val="231F20"/>
          <w:w w:val="105"/>
          <w:sz w:val="17"/>
        </w:rPr>
        <w:t>Brown,</w:t>
      </w:r>
      <w:r>
        <w:rPr>
          <w:rFonts w:ascii="Calibri" w:hAnsi="Calibri"/>
          <w:color w:val="231F20"/>
          <w:spacing w:val="-24"/>
          <w:w w:val="105"/>
          <w:sz w:val="17"/>
        </w:rPr>
        <w:t> </w:t>
      </w:r>
      <w:r>
        <w:rPr>
          <w:rFonts w:ascii="Calibri" w:hAnsi="Calibri"/>
          <w:color w:val="231F20"/>
          <w:spacing w:val="-4"/>
          <w:w w:val="105"/>
          <w:sz w:val="17"/>
        </w:rPr>
        <w:t>“Ahora</w:t>
      </w:r>
      <w:r>
        <w:rPr>
          <w:rFonts w:ascii="Calibri" w:hAnsi="Calibri"/>
          <w:color w:val="231F20"/>
          <w:spacing w:val="-24"/>
          <w:w w:val="105"/>
          <w:sz w:val="17"/>
        </w:rPr>
        <w:t> </w:t>
      </w:r>
      <w:r>
        <w:rPr>
          <w:rFonts w:ascii="Calibri" w:hAnsi="Calibri"/>
          <w:color w:val="231F20"/>
          <w:w w:val="105"/>
          <w:sz w:val="17"/>
        </w:rPr>
        <w:t>todos</w:t>
      </w:r>
      <w:r>
        <w:rPr>
          <w:rFonts w:ascii="Calibri" w:hAnsi="Calibri"/>
          <w:color w:val="231F20"/>
          <w:spacing w:val="-24"/>
          <w:w w:val="105"/>
          <w:sz w:val="17"/>
        </w:rPr>
        <w:t> </w:t>
      </w:r>
      <w:r>
        <w:rPr>
          <w:rFonts w:ascii="Calibri" w:hAnsi="Calibri"/>
          <w:color w:val="231F20"/>
          <w:w w:val="105"/>
          <w:sz w:val="17"/>
        </w:rPr>
        <w:t>somos</w:t>
      </w:r>
      <w:r>
        <w:rPr>
          <w:rFonts w:ascii="Calibri" w:hAnsi="Calibri"/>
          <w:color w:val="231F20"/>
          <w:spacing w:val="-24"/>
          <w:w w:val="105"/>
          <w:sz w:val="17"/>
        </w:rPr>
        <w:t> </w:t>
      </w:r>
      <w:r>
        <w:rPr>
          <w:rFonts w:ascii="Calibri" w:hAnsi="Calibri"/>
          <w:color w:val="231F20"/>
          <w:w w:val="105"/>
          <w:sz w:val="17"/>
        </w:rPr>
        <w:t>demócratas”,</w:t>
      </w:r>
      <w:r>
        <w:rPr>
          <w:rFonts w:ascii="Calibri" w:hAnsi="Calibri"/>
          <w:color w:val="231F20"/>
          <w:spacing w:val="-24"/>
          <w:w w:val="105"/>
          <w:sz w:val="17"/>
        </w:rPr>
        <w:t> </w:t>
      </w:r>
      <w:r>
        <w:rPr>
          <w:rFonts w:ascii="Calibri" w:hAnsi="Calibri"/>
          <w:color w:val="231F20"/>
          <w:w w:val="105"/>
          <w:sz w:val="17"/>
        </w:rPr>
        <w:t>AA.</w:t>
      </w:r>
      <w:r>
        <w:rPr>
          <w:rFonts w:ascii="Calibri" w:hAnsi="Calibri"/>
          <w:color w:val="231F20"/>
          <w:spacing w:val="-27"/>
          <w:w w:val="105"/>
          <w:sz w:val="17"/>
        </w:rPr>
        <w:t> </w:t>
      </w:r>
      <w:r>
        <w:rPr>
          <w:rFonts w:ascii="Calibri" w:hAnsi="Calibri"/>
          <w:color w:val="231F20"/>
          <w:spacing w:val="-3"/>
          <w:w w:val="105"/>
          <w:sz w:val="17"/>
        </w:rPr>
        <w:t>VV.,</w:t>
      </w:r>
      <w:r>
        <w:rPr>
          <w:rFonts w:ascii="Calibri" w:hAnsi="Calibri"/>
          <w:color w:val="231F20"/>
          <w:spacing w:val="-24"/>
          <w:w w:val="105"/>
          <w:sz w:val="17"/>
        </w:rPr>
        <w:t> </w:t>
      </w:r>
      <w:r>
        <w:rPr>
          <w:rFonts w:ascii="Calibri" w:hAnsi="Calibri"/>
          <w:i/>
          <w:color w:val="231F20"/>
          <w:w w:val="105"/>
          <w:sz w:val="17"/>
        </w:rPr>
        <w:t>Democracia</w:t>
      </w:r>
      <w:r>
        <w:rPr>
          <w:rFonts w:ascii="Calibri" w:hAnsi="Calibri"/>
          <w:i/>
          <w:color w:val="231F20"/>
          <w:spacing w:val="-24"/>
          <w:w w:val="105"/>
          <w:sz w:val="17"/>
        </w:rPr>
        <w:t> </w:t>
      </w:r>
      <w:r>
        <w:rPr>
          <w:rFonts w:ascii="Calibri" w:hAnsi="Calibri"/>
          <w:i/>
          <w:color w:val="231F20"/>
          <w:w w:val="105"/>
          <w:sz w:val="17"/>
        </w:rPr>
        <w:t>en</w:t>
      </w:r>
      <w:r>
        <w:rPr>
          <w:rFonts w:ascii="Calibri" w:hAnsi="Calibri"/>
          <w:i/>
          <w:color w:val="231F20"/>
          <w:spacing w:val="-24"/>
          <w:w w:val="105"/>
          <w:sz w:val="17"/>
        </w:rPr>
        <w:t> </w:t>
      </w:r>
      <w:r>
        <w:rPr>
          <w:rFonts w:ascii="Calibri" w:hAnsi="Calibri"/>
          <w:i/>
          <w:color w:val="231F20"/>
          <w:w w:val="105"/>
          <w:sz w:val="17"/>
        </w:rPr>
        <w:t>suspenso</w:t>
      </w:r>
      <w:r>
        <w:rPr>
          <w:rFonts w:ascii="Calibri" w:hAnsi="Calibri"/>
          <w:color w:val="231F20"/>
          <w:w w:val="105"/>
          <w:sz w:val="17"/>
        </w:rPr>
        <w:t>,</w:t>
      </w:r>
      <w:r>
        <w:rPr>
          <w:rFonts w:ascii="Calibri" w:hAnsi="Calibri"/>
          <w:color w:val="231F20"/>
          <w:spacing w:val="-24"/>
          <w:w w:val="105"/>
          <w:sz w:val="17"/>
        </w:rPr>
        <w:t> </w:t>
      </w:r>
      <w:r>
        <w:rPr>
          <w:rFonts w:ascii="Calibri" w:hAnsi="Calibri"/>
          <w:color w:val="231F20"/>
          <w:w w:val="105"/>
          <w:sz w:val="17"/>
        </w:rPr>
        <w:t>Madrid,</w:t>
      </w:r>
      <w:r>
        <w:rPr>
          <w:rFonts w:ascii="Calibri" w:hAnsi="Calibri"/>
          <w:color w:val="231F20"/>
          <w:spacing w:val="-24"/>
          <w:w w:val="105"/>
          <w:sz w:val="17"/>
        </w:rPr>
        <w:t> </w:t>
      </w:r>
      <w:r>
        <w:rPr>
          <w:rFonts w:ascii="Calibri" w:hAnsi="Calibri"/>
          <w:color w:val="231F20"/>
          <w:w w:val="105"/>
          <w:sz w:val="17"/>
        </w:rPr>
        <w:t>Ediciones Casus–Belli,</w:t>
      </w:r>
      <w:r>
        <w:rPr>
          <w:rFonts w:ascii="Calibri" w:hAnsi="Calibri"/>
          <w:color w:val="231F20"/>
          <w:spacing w:val="-29"/>
          <w:w w:val="105"/>
          <w:sz w:val="17"/>
        </w:rPr>
        <w:t> </w:t>
      </w:r>
      <w:r>
        <w:rPr>
          <w:rFonts w:ascii="Calibri" w:hAnsi="Calibri"/>
          <w:color w:val="231F20"/>
          <w:w w:val="105"/>
          <w:sz w:val="17"/>
        </w:rPr>
        <w:t>2010,</w:t>
      </w:r>
      <w:r>
        <w:rPr>
          <w:rFonts w:ascii="Calibri" w:hAnsi="Calibri"/>
          <w:color w:val="231F20"/>
          <w:spacing w:val="-29"/>
          <w:w w:val="105"/>
          <w:sz w:val="17"/>
        </w:rPr>
        <w:t> </w:t>
      </w:r>
      <w:r>
        <w:rPr>
          <w:rFonts w:ascii="Calibri" w:hAnsi="Calibri"/>
          <w:color w:val="231F20"/>
          <w:w w:val="105"/>
          <w:sz w:val="17"/>
        </w:rPr>
        <w:t>pp.</w:t>
      </w:r>
      <w:r>
        <w:rPr>
          <w:rFonts w:ascii="Calibri" w:hAnsi="Calibri"/>
          <w:color w:val="231F20"/>
          <w:spacing w:val="-29"/>
          <w:w w:val="105"/>
          <w:sz w:val="17"/>
        </w:rPr>
        <w:t> </w:t>
      </w:r>
      <w:r>
        <w:rPr>
          <w:rFonts w:ascii="Calibri" w:hAnsi="Calibri"/>
          <w:color w:val="231F20"/>
          <w:w w:val="105"/>
          <w:sz w:val="17"/>
        </w:rPr>
        <w:t>59–78.</w:t>
      </w:r>
    </w:p>
    <w:p>
      <w:pPr>
        <w:pStyle w:val="BodyText"/>
        <w:rPr>
          <w:rFonts w:ascii="Calibri"/>
          <w:sz w:val="20"/>
        </w:rPr>
      </w:pPr>
    </w:p>
    <w:p>
      <w:pPr>
        <w:pStyle w:val="BodyText"/>
        <w:spacing w:before="1"/>
        <w:rPr>
          <w:rFonts w:ascii="Calibri"/>
          <w:sz w:val="28"/>
        </w:rPr>
      </w:pPr>
    </w:p>
    <w:p>
      <w:pPr>
        <w:tabs>
          <w:tab w:pos="1317" w:val="left" w:leader="none"/>
        </w:tabs>
        <w:spacing w:before="69"/>
        <w:ind w:left="212" w:right="0" w:firstLine="0"/>
        <w:jc w:val="left"/>
        <w:rPr>
          <w:rFonts w:ascii="Calibri"/>
          <w:sz w:val="16"/>
        </w:rPr>
      </w:pPr>
      <w:r>
        <w:rPr/>
        <w:pict>
          <v:group style="position:absolute;margin-left:98.079102pt;margin-top:-3.308812pt;width:20.4pt;height:43pt;mso-position-horizontal-relative:page;mso-position-vertical-relative:paragraph;z-index:-161776" coordorigin="1962,-66" coordsize="408,860">
            <v:line style="position:absolute" from="2211,73" to="2211,789" stroked="true" strokeweight=".35pt" strokecolor="#231f20"/>
            <v:shape style="position:absolute;left:2179;top:-13;width:190;height:445" type="#_x0000_t75" stroked="false">
              <v:imagedata r:id="rId34" o:title=""/>
            </v:shape>
            <v:shape style="position:absolute;left:1962;top:-66;width:250;height:502" type="#_x0000_t75" stroked="false">
              <v:imagedata r:id="rId35" o:title=""/>
            </v:shape>
            <w10:wrap type="none"/>
          </v:group>
        </w:pict>
      </w:r>
      <w:r>
        <w:rPr>
          <w:rFonts w:ascii="Trebuchet MS"/>
          <w:color w:val="414042"/>
          <w:w w:val="105"/>
          <w:position w:val="-4"/>
          <w:sz w:val="20"/>
        </w:rPr>
        <w:t>118</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0" w:right="0" w:firstLine="0"/>
        <w:jc w:val="right"/>
        <w:rPr>
          <w:rFonts w:ascii="Lucida Sans Unicode" w:hAnsi="Lucida Sans Unicode"/>
          <w:sz w:val="14"/>
        </w:rPr>
      </w:pPr>
      <w:r>
        <w:rPr/>
        <w:pict>
          <v:group style="position:absolute;margin-left:383.821014pt;margin-top:-25.479271pt;width:8.65pt;height:41pt;mso-position-horizontal-relative:page;mso-position-vertical-relative:paragraph;z-index:1367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“L’ESTERNO È SEMPRE DENTRO”. TENSIONI E TRASFORMAZIONI RECENTI NELLO SPAZIO POLITICO</w:t>
      </w:r>
    </w:p>
    <w:p>
      <w:pPr>
        <w:spacing w:line="198" w:lineRule="exact" w:before="0"/>
        <w:ind w:left="0" w:right="0" w:firstLine="0"/>
        <w:jc w:val="right"/>
        <w:rPr>
          <w:rFonts w:ascii="Lucida Sans Unicode"/>
          <w:sz w:val="14"/>
        </w:rPr>
      </w:pPr>
      <w:r>
        <w:rPr>
          <w:rFonts w:ascii="Lucida Sans Unicode"/>
          <w:color w:val="6D6E71"/>
          <w:w w:val="90"/>
          <w:sz w:val="14"/>
        </w:rPr>
        <w:t>DELLO STATO E LA DEMOCRAZIA</w:t>
      </w:r>
    </w:p>
    <w:p>
      <w:pPr>
        <w:spacing w:before="59"/>
        <w:ind w:left="338" w:right="0" w:firstLine="0"/>
        <w:jc w:val="left"/>
        <w:rPr>
          <w:rFonts w:ascii="Trebuchet MS"/>
          <w:sz w:val="20"/>
        </w:rPr>
      </w:pPr>
      <w:r>
        <w:rPr/>
        <w:br w:type="column"/>
      </w:r>
      <w:r>
        <w:rPr>
          <w:rFonts w:ascii="Trebuchet MS"/>
          <w:color w:val="414042"/>
          <w:w w:val="105"/>
          <w:sz w:val="20"/>
        </w:rPr>
        <w:t>119</w:t>
      </w:r>
    </w:p>
    <w:p>
      <w:pPr>
        <w:spacing w:after="0"/>
        <w:jc w:val="left"/>
        <w:rPr>
          <w:rFonts w:ascii="Trebuchet MS"/>
          <w:sz w:val="20"/>
        </w:rPr>
        <w:sectPr>
          <w:type w:val="continuous"/>
          <w:pgSz w:w="9640" w:h="13890"/>
          <w:pgMar w:top="0" w:bottom="0" w:left="1300" w:right="1200"/>
          <w:cols w:num="2" w:equalWidth="0">
            <w:col w:w="6261" w:space="40"/>
            <w:col w:w="839"/>
          </w:cols>
        </w:sectPr>
      </w:pPr>
    </w:p>
    <w:p>
      <w:pPr>
        <w:pStyle w:val="BodyText"/>
        <w:rPr>
          <w:rFonts w:ascii="Trebuchet MS"/>
          <w:sz w:val="20"/>
        </w:rPr>
      </w:pPr>
    </w:p>
    <w:p>
      <w:pPr>
        <w:pStyle w:val="BodyText"/>
        <w:spacing w:before="8"/>
        <w:rPr>
          <w:rFonts w:ascii="Trebuchet MS"/>
          <w:sz w:val="15"/>
        </w:rPr>
      </w:pPr>
    </w:p>
    <w:p>
      <w:pPr>
        <w:spacing w:line="220" w:lineRule="exact" w:before="63"/>
        <w:ind w:left="1534" w:right="102" w:firstLine="0"/>
        <w:jc w:val="both"/>
        <w:rPr>
          <w:sz w:val="19"/>
        </w:rPr>
      </w:pPr>
      <w:r>
        <w:rPr>
          <w:color w:val="231F20"/>
          <w:sz w:val="19"/>
        </w:rPr>
        <w:t>—sottomissione</w:t>
      </w:r>
      <w:r>
        <w:rPr>
          <w:color w:val="231F20"/>
          <w:spacing w:val="-9"/>
          <w:sz w:val="19"/>
        </w:rPr>
        <w:t> </w:t>
      </w:r>
      <w:r>
        <w:rPr>
          <w:color w:val="231F20"/>
          <w:sz w:val="19"/>
        </w:rPr>
        <w:t>da</w:t>
      </w:r>
      <w:r>
        <w:rPr>
          <w:color w:val="231F20"/>
          <w:spacing w:val="-9"/>
          <w:sz w:val="19"/>
        </w:rPr>
        <w:t> </w:t>
      </w:r>
      <w:r>
        <w:rPr>
          <w:color w:val="231F20"/>
          <w:sz w:val="19"/>
        </w:rPr>
        <w:t>cui</w:t>
      </w:r>
      <w:r>
        <w:rPr>
          <w:color w:val="231F20"/>
          <w:spacing w:val="-9"/>
          <w:sz w:val="19"/>
        </w:rPr>
        <w:t> </w:t>
      </w:r>
      <w:r>
        <w:rPr>
          <w:color w:val="231F20"/>
          <w:sz w:val="19"/>
        </w:rPr>
        <w:t>dipende</w:t>
      </w:r>
      <w:r>
        <w:rPr>
          <w:color w:val="231F20"/>
          <w:spacing w:val="-9"/>
          <w:sz w:val="19"/>
        </w:rPr>
        <w:t> </w:t>
      </w:r>
      <w:r>
        <w:rPr>
          <w:color w:val="231F20"/>
          <w:sz w:val="19"/>
        </w:rPr>
        <w:t>la</w:t>
      </w:r>
      <w:r>
        <w:rPr>
          <w:color w:val="231F20"/>
          <w:spacing w:val="-9"/>
          <w:sz w:val="19"/>
        </w:rPr>
        <w:t> </w:t>
      </w:r>
      <w:r>
        <w:rPr>
          <w:color w:val="231F20"/>
          <w:sz w:val="19"/>
        </w:rPr>
        <w:t>sovranità</w:t>
      </w:r>
      <w:r>
        <w:rPr>
          <w:color w:val="231F20"/>
          <w:spacing w:val="-9"/>
          <w:sz w:val="19"/>
        </w:rPr>
        <w:t> </w:t>
      </w:r>
      <w:r>
        <w:rPr>
          <w:color w:val="231F20"/>
          <w:sz w:val="19"/>
        </w:rPr>
        <w:t>popolare—,</w:t>
      </w:r>
      <w:r>
        <w:rPr>
          <w:color w:val="231F20"/>
          <w:spacing w:val="-9"/>
          <w:sz w:val="19"/>
        </w:rPr>
        <w:t> </w:t>
      </w:r>
      <w:r>
        <w:rPr>
          <w:color w:val="231F20"/>
          <w:sz w:val="19"/>
        </w:rPr>
        <w:t>ma</w:t>
      </w:r>
      <w:r>
        <w:rPr>
          <w:color w:val="231F20"/>
          <w:spacing w:val="-9"/>
          <w:sz w:val="19"/>
        </w:rPr>
        <w:t> </w:t>
      </w:r>
      <w:r>
        <w:rPr>
          <w:color w:val="231F20"/>
          <w:sz w:val="19"/>
        </w:rPr>
        <w:t>anche trasferisce potere e politicizza un’istituzione che non ha carattere rappresentativo</w:t>
      </w:r>
      <w:r>
        <w:rPr>
          <w:color w:val="231F20"/>
          <w:position w:val="6"/>
          <w:sz w:val="11"/>
        </w:rPr>
        <w:t>33</w:t>
      </w:r>
      <w:r>
        <w:rPr>
          <w:color w:val="231F20"/>
          <w:sz w:val="19"/>
        </w:rPr>
        <w:t>.</w:t>
      </w:r>
    </w:p>
    <w:p>
      <w:pPr>
        <w:pStyle w:val="BodyText"/>
        <w:spacing w:before="11"/>
        <w:rPr>
          <w:sz w:val="23"/>
        </w:rPr>
      </w:pPr>
    </w:p>
    <w:p>
      <w:pPr>
        <w:pStyle w:val="BodyText"/>
        <w:spacing w:line="247" w:lineRule="auto"/>
        <w:ind w:left="117" w:right="100"/>
        <w:jc w:val="both"/>
      </w:pPr>
      <w:r>
        <w:rPr>
          <w:color w:val="231F20"/>
        </w:rPr>
        <w:t>Il problema importato dal processo politico che cambia radicalmente le fonti convenzionali di legittimazione (tra altre cause per la riduzione della política del benessere) al tempo che permette l’apparizione di nuove</w:t>
      </w:r>
      <w:r>
        <w:rPr>
          <w:color w:val="231F20"/>
          <w:spacing w:val="-31"/>
        </w:rPr>
        <w:t> </w:t>
      </w:r>
      <w:r>
        <w:rPr>
          <w:color w:val="231F20"/>
        </w:rPr>
        <w:t>forme di “sovranizzazione”, sta guadagnando terreno precisamente nello spazio politico “domestico” dell’ordine statale attraverso una serie di esperienze </w:t>
      </w:r>
      <w:r>
        <w:rPr>
          <w:color w:val="231F20"/>
          <w:spacing w:val="3"/>
        </w:rPr>
        <w:t>storiche </w:t>
      </w:r>
      <w:r>
        <w:rPr>
          <w:color w:val="231F20"/>
          <w:spacing w:val="2"/>
        </w:rPr>
        <w:t>che </w:t>
      </w:r>
      <w:r>
        <w:rPr>
          <w:color w:val="231F20"/>
          <w:spacing w:val="3"/>
        </w:rPr>
        <w:t>trovano </w:t>
      </w:r>
      <w:r>
        <w:rPr>
          <w:color w:val="231F20"/>
        </w:rPr>
        <w:t>le </w:t>
      </w:r>
      <w:r>
        <w:rPr>
          <w:color w:val="231F20"/>
          <w:spacing w:val="2"/>
        </w:rPr>
        <w:t>loro </w:t>
      </w:r>
      <w:r>
        <w:rPr>
          <w:color w:val="231F20"/>
          <w:spacing w:val="3"/>
        </w:rPr>
        <w:t>espressioni </w:t>
      </w:r>
      <w:r>
        <w:rPr>
          <w:color w:val="231F20"/>
          <w:spacing w:val="2"/>
        </w:rPr>
        <w:t>più </w:t>
      </w:r>
      <w:r>
        <w:rPr>
          <w:color w:val="231F20"/>
          <w:spacing w:val="3"/>
        </w:rPr>
        <w:t>rilevanti </w:t>
      </w:r>
      <w:r>
        <w:rPr>
          <w:color w:val="231F20"/>
          <w:spacing w:val="2"/>
        </w:rPr>
        <w:t>nei </w:t>
      </w:r>
      <w:r>
        <w:rPr>
          <w:color w:val="231F20"/>
          <w:spacing w:val="3"/>
        </w:rPr>
        <w:t>fenomeni </w:t>
      </w:r>
      <w:r>
        <w:rPr>
          <w:color w:val="231F20"/>
          <w:spacing w:val="2"/>
        </w:rPr>
        <w:t>di </w:t>
      </w:r>
      <w:r>
        <w:rPr>
          <w:color w:val="231F20"/>
        </w:rPr>
        <w:t>sovversione</w:t>
      </w:r>
      <w:r>
        <w:rPr>
          <w:color w:val="231F20"/>
          <w:spacing w:val="-18"/>
        </w:rPr>
        <w:t> </w:t>
      </w:r>
      <w:r>
        <w:rPr>
          <w:color w:val="231F20"/>
        </w:rPr>
        <w:t>istituzionale,</w:t>
      </w:r>
      <w:r>
        <w:rPr>
          <w:color w:val="231F20"/>
          <w:position w:val="7"/>
          <w:sz w:val="12"/>
        </w:rPr>
        <w:t>34</w:t>
      </w:r>
      <w:r>
        <w:rPr>
          <w:color w:val="231F20"/>
          <w:spacing w:val="10"/>
          <w:position w:val="7"/>
          <w:sz w:val="12"/>
        </w:rPr>
        <w:t> </w:t>
      </w:r>
      <w:r>
        <w:rPr>
          <w:color w:val="231F20"/>
        </w:rPr>
        <w:t>e</w:t>
      </w:r>
      <w:r>
        <w:rPr>
          <w:color w:val="231F20"/>
          <w:spacing w:val="-18"/>
        </w:rPr>
        <w:t> </w:t>
      </w:r>
      <w:r>
        <w:rPr>
          <w:color w:val="231F20"/>
        </w:rPr>
        <w:t>che</w:t>
      </w:r>
      <w:r>
        <w:rPr>
          <w:color w:val="231F20"/>
          <w:spacing w:val="-18"/>
        </w:rPr>
        <w:t> </w:t>
      </w:r>
      <w:r>
        <w:rPr>
          <w:color w:val="231F20"/>
        </w:rPr>
        <w:t>producono</w:t>
      </w:r>
      <w:r>
        <w:rPr>
          <w:color w:val="231F20"/>
          <w:spacing w:val="-18"/>
        </w:rPr>
        <w:t> </w:t>
      </w:r>
      <w:r>
        <w:rPr>
          <w:color w:val="231F20"/>
        </w:rPr>
        <w:t>effetti</w:t>
      </w:r>
      <w:r>
        <w:rPr>
          <w:color w:val="231F20"/>
          <w:spacing w:val="-18"/>
        </w:rPr>
        <w:t> </w:t>
      </w:r>
      <w:r>
        <w:rPr>
          <w:color w:val="231F20"/>
        </w:rPr>
        <w:t>devastanti</w:t>
      </w:r>
      <w:r>
        <w:rPr>
          <w:color w:val="231F20"/>
          <w:spacing w:val="-18"/>
        </w:rPr>
        <w:t> </w:t>
      </w:r>
      <w:r>
        <w:rPr>
          <w:color w:val="231F20"/>
        </w:rPr>
        <w:t>alla</w:t>
      </w:r>
      <w:r>
        <w:rPr>
          <w:color w:val="231F20"/>
          <w:spacing w:val="-18"/>
        </w:rPr>
        <w:t> </w:t>
      </w:r>
      <w:r>
        <w:rPr>
          <w:color w:val="231F20"/>
        </w:rPr>
        <w:t>legittimità delle democrazie, almeno rispetto all’istituzionalizzazione di un campo di effettività</w:t>
      </w:r>
      <w:r>
        <w:rPr>
          <w:color w:val="231F20"/>
          <w:spacing w:val="-4"/>
        </w:rPr>
        <w:t> </w:t>
      </w:r>
      <w:r>
        <w:rPr>
          <w:color w:val="231F20"/>
        </w:rPr>
        <w:t>della</w:t>
      </w:r>
      <w:r>
        <w:rPr>
          <w:color w:val="231F20"/>
          <w:spacing w:val="-4"/>
        </w:rPr>
        <w:t> </w:t>
      </w:r>
      <w:r>
        <w:rPr>
          <w:color w:val="231F20"/>
        </w:rPr>
        <w:t>legge</w:t>
      </w:r>
      <w:r>
        <w:rPr>
          <w:color w:val="231F20"/>
          <w:spacing w:val="-4"/>
        </w:rPr>
        <w:t> </w:t>
      </w:r>
      <w:r>
        <w:rPr>
          <w:color w:val="231F20"/>
        </w:rPr>
        <w:t>e</w:t>
      </w:r>
      <w:r>
        <w:rPr>
          <w:color w:val="231F20"/>
          <w:spacing w:val="-4"/>
        </w:rPr>
        <w:t> </w:t>
      </w:r>
      <w:r>
        <w:rPr>
          <w:color w:val="231F20"/>
        </w:rPr>
        <w:t>i</w:t>
      </w:r>
      <w:r>
        <w:rPr>
          <w:color w:val="231F20"/>
          <w:spacing w:val="-4"/>
        </w:rPr>
        <w:t> </w:t>
      </w:r>
      <w:r>
        <w:rPr>
          <w:color w:val="231F20"/>
        </w:rPr>
        <w:t>diritti</w:t>
      </w:r>
      <w:r>
        <w:rPr>
          <w:color w:val="231F20"/>
          <w:spacing w:val="-4"/>
        </w:rPr>
        <w:t> </w:t>
      </w:r>
      <w:r>
        <w:rPr>
          <w:color w:val="231F20"/>
        </w:rPr>
        <w:t>politici</w:t>
      </w:r>
      <w:r>
        <w:rPr>
          <w:color w:val="231F20"/>
          <w:spacing w:val="-4"/>
        </w:rPr>
        <w:t> </w:t>
      </w:r>
      <w:r>
        <w:rPr>
          <w:color w:val="231F20"/>
        </w:rPr>
        <w:t>lungo</w:t>
      </w:r>
      <w:r>
        <w:rPr>
          <w:color w:val="231F20"/>
          <w:spacing w:val="-4"/>
        </w:rPr>
        <w:t> </w:t>
      </w:r>
      <w:r>
        <w:rPr>
          <w:color w:val="231F20"/>
        </w:rPr>
        <w:t>il</w:t>
      </w:r>
      <w:r>
        <w:rPr>
          <w:color w:val="231F20"/>
          <w:spacing w:val="-4"/>
        </w:rPr>
        <w:t> </w:t>
      </w:r>
      <w:r>
        <w:rPr>
          <w:color w:val="231F20"/>
        </w:rPr>
        <w:t>territorio</w:t>
      </w:r>
      <w:r>
        <w:rPr>
          <w:color w:val="231F20"/>
          <w:spacing w:val="-4"/>
        </w:rPr>
        <w:t> </w:t>
      </w:r>
      <w:r>
        <w:rPr>
          <w:color w:val="231F20"/>
        </w:rPr>
        <w:t>nazionale</w:t>
      </w:r>
      <w:r>
        <w:rPr>
          <w:color w:val="231F20"/>
          <w:spacing w:val="-4"/>
        </w:rPr>
        <w:t> </w:t>
      </w:r>
      <w:r>
        <w:rPr>
          <w:color w:val="231F20"/>
        </w:rPr>
        <w:t>degli</w:t>
      </w:r>
      <w:r>
        <w:rPr>
          <w:color w:val="231F20"/>
          <w:spacing w:val="-4"/>
        </w:rPr>
        <w:t> </w:t>
      </w:r>
      <w:r>
        <w:rPr>
          <w:color w:val="231F20"/>
        </w:rPr>
        <w:t>Stati contemporanei.</w:t>
      </w:r>
    </w:p>
    <w:p>
      <w:pPr>
        <w:pStyle w:val="BodyText"/>
        <w:spacing w:before="5"/>
        <w:rPr>
          <w:sz w:val="24"/>
        </w:rPr>
      </w:pPr>
    </w:p>
    <w:p>
      <w:pPr>
        <w:spacing w:before="1"/>
        <w:ind w:left="117" w:right="0" w:firstLine="0"/>
        <w:jc w:val="both"/>
        <w:rPr>
          <w:rFonts w:ascii="Arial"/>
          <w:i/>
          <w:sz w:val="21"/>
        </w:rPr>
      </w:pPr>
      <w:r>
        <w:rPr>
          <w:rFonts w:ascii="Arial"/>
          <w:i/>
          <w:color w:val="231F20"/>
          <w:sz w:val="21"/>
        </w:rPr>
        <w:t>Trasformazioni dello Stato e processi di  democratizzazione</w:t>
      </w:r>
    </w:p>
    <w:p>
      <w:pPr>
        <w:pStyle w:val="BodyText"/>
        <w:rPr>
          <w:rFonts w:ascii="Arial"/>
          <w:i/>
          <w:sz w:val="20"/>
        </w:rPr>
      </w:pPr>
    </w:p>
    <w:p>
      <w:pPr>
        <w:pStyle w:val="BodyText"/>
        <w:spacing w:line="247" w:lineRule="auto" w:before="172"/>
        <w:ind w:left="117" w:right="98"/>
        <w:jc w:val="both"/>
      </w:pPr>
      <w:r>
        <w:rPr>
          <w:color w:val="231F20"/>
        </w:rPr>
        <w:t>Come abbiamo discusso, i processi di democratizzazione che hanno avuto luogo</w:t>
      </w:r>
      <w:r>
        <w:rPr>
          <w:color w:val="231F20"/>
          <w:spacing w:val="-12"/>
        </w:rPr>
        <w:t> </w:t>
      </w:r>
      <w:r>
        <w:rPr>
          <w:color w:val="231F20"/>
        </w:rPr>
        <w:t>da</w:t>
      </w:r>
      <w:r>
        <w:rPr>
          <w:color w:val="231F20"/>
          <w:spacing w:val="-12"/>
        </w:rPr>
        <w:t> </w:t>
      </w:r>
      <w:r>
        <w:rPr>
          <w:color w:val="231F20"/>
        </w:rPr>
        <w:t>metà</w:t>
      </w:r>
      <w:r>
        <w:rPr>
          <w:color w:val="231F20"/>
          <w:spacing w:val="-12"/>
        </w:rPr>
        <w:t> </w:t>
      </w:r>
      <w:r>
        <w:rPr>
          <w:color w:val="231F20"/>
        </w:rPr>
        <w:t>degli</w:t>
      </w:r>
      <w:r>
        <w:rPr>
          <w:color w:val="231F20"/>
          <w:spacing w:val="-12"/>
        </w:rPr>
        <w:t> </w:t>
      </w:r>
      <w:r>
        <w:rPr>
          <w:color w:val="231F20"/>
        </w:rPr>
        <w:t>anni</w:t>
      </w:r>
      <w:r>
        <w:rPr>
          <w:color w:val="231F20"/>
          <w:spacing w:val="-12"/>
        </w:rPr>
        <w:t> </w:t>
      </w:r>
      <w:r>
        <w:rPr>
          <w:color w:val="231F20"/>
        </w:rPr>
        <w:t>settanta</w:t>
      </w:r>
      <w:r>
        <w:rPr>
          <w:color w:val="231F20"/>
          <w:spacing w:val="-12"/>
        </w:rPr>
        <w:t> </w:t>
      </w:r>
      <w:r>
        <w:rPr>
          <w:color w:val="231F20"/>
        </w:rPr>
        <w:t>del</w:t>
      </w:r>
      <w:r>
        <w:rPr>
          <w:color w:val="231F20"/>
          <w:spacing w:val="-12"/>
        </w:rPr>
        <w:t> </w:t>
      </w:r>
      <w:r>
        <w:rPr>
          <w:color w:val="231F20"/>
        </w:rPr>
        <w:t>secolo</w:t>
      </w:r>
      <w:r>
        <w:rPr>
          <w:color w:val="231F20"/>
          <w:spacing w:val="-10"/>
        </w:rPr>
        <w:t> </w:t>
      </w:r>
      <w:r>
        <w:rPr>
          <w:color w:val="231F20"/>
          <w:sz w:val="18"/>
        </w:rPr>
        <w:t>XX</w:t>
      </w:r>
      <w:r>
        <w:rPr>
          <w:color w:val="231F20"/>
          <w:spacing w:val="-3"/>
          <w:sz w:val="18"/>
        </w:rPr>
        <w:t> </w:t>
      </w:r>
      <w:r>
        <w:rPr>
          <w:color w:val="231F20"/>
        </w:rPr>
        <w:t>e</w:t>
      </w:r>
      <w:r>
        <w:rPr>
          <w:color w:val="231F20"/>
          <w:spacing w:val="-12"/>
        </w:rPr>
        <w:t> </w:t>
      </w:r>
      <w:r>
        <w:rPr>
          <w:color w:val="231F20"/>
        </w:rPr>
        <w:t>che</w:t>
      </w:r>
      <w:r>
        <w:rPr>
          <w:color w:val="231F20"/>
          <w:spacing w:val="-12"/>
        </w:rPr>
        <w:t> </w:t>
      </w:r>
      <w:r>
        <w:rPr>
          <w:color w:val="231F20"/>
        </w:rPr>
        <w:t>hanno</w:t>
      </w:r>
      <w:r>
        <w:rPr>
          <w:color w:val="231F20"/>
          <w:spacing w:val="-12"/>
        </w:rPr>
        <w:t> </w:t>
      </w:r>
      <w:r>
        <w:rPr>
          <w:color w:val="231F20"/>
        </w:rPr>
        <w:t>continuato</w:t>
      </w:r>
      <w:r>
        <w:rPr>
          <w:color w:val="231F20"/>
          <w:spacing w:val="-12"/>
        </w:rPr>
        <w:t> </w:t>
      </w:r>
      <w:r>
        <w:rPr>
          <w:color w:val="231F20"/>
        </w:rPr>
        <w:t>con differente</w:t>
      </w:r>
      <w:r>
        <w:rPr>
          <w:color w:val="231F20"/>
          <w:spacing w:val="-5"/>
        </w:rPr>
        <w:t> </w:t>
      </w:r>
      <w:r>
        <w:rPr>
          <w:color w:val="231F20"/>
        </w:rPr>
        <w:t>ritmo</w:t>
      </w:r>
      <w:r>
        <w:rPr>
          <w:color w:val="231F20"/>
          <w:spacing w:val="-5"/>
        </w:rPr>
        <w:t> </w:t>
      </w:r>
      <w:r>
        <w:rPr>
          <w:color w:val="231F20"/>
        </w:rPr>
        <w:t>e</w:t>
      </w:r>
      <w:r>
        <w:rPr>
          <w:color w:val="231F20"/>
          <w:spacing w:val="-5"/>
        </w:rPr>
        <w:t> </w:t>
      </w:r>
      <w:r>
        <w:rPr>
          <w:color w:val="231F20"/>
        </w:rPr>
        <w:t>successo</w:t>
      </w:r>
      <w:r>
        <w:rPr>
          <w:color w:val="231F20"/>
          <w:spacing w:val="-5"/>
        </w:rPr>
        <w:t> </w:t>
      </w:r>
      <w:r>
        <w:rPr>
          <w:color w:val="231F20"/>
        </w:rPr>
        <w:t>fino</w:t>
      </w:r>
      <w:r>
        <w:rPr>
          <w:color w:val="231F20"/>
          <w:spacing w:val="-5"/>
        </w:rPr>
        <w:t> </w:t>
      </w:r>
      <w:r>
        <w:rPr>
          <w:color w:val="231F20"/>
        </w:rPr>
        <w:t>ai</w:t>
      </w:r>
      <w:r>
        <w:rPr>
          <w:color w:val="231F20"/>
          <w:spacing w:val="-5"/>
        </w:rPr>
        <w:t> </w:t>
      </w:r>
      <w:r>
        <w:rPr>
          <w:color w:val="231F20"/>
        </w:rPr>
        <w:t>giorni</w:t>
      </w:r>
      <w:r>
        <w:rPr>
          <w:color w:val="231F20"/>
          <w:spacing w:val="-5"/>
        </w:rPr>
        <w:t> </w:t>
      </w:r>
      <w:r>
        <w:rPr>
          <w:color w:val="231F20"/>
        </w:rPr>
        <w:t>di</w:t>
      </w:r>
      <w:r>
        <w:rPr>
          <w:color w:val="231F20"/>
          <w:spacing w:val="-5"/>
        </w:rPr>
        <w:t> </w:t>
      </w:r>
      <w:r>
        <w:rPr>
          <w:color w:val="231F20"/>
        </w:rPr>
        <w:t>oggi</w:t>
      </w:r>
      <w:r>
        <w:rPr>
          <w:color w:val="231F20"/>
          <w:spacing w:val="-5"/>
        </w:rPr>
        <w:t> </w:t>
      </w:r>
      <w:r>
        <w:rPr>
          <w:color w:val="231F20"/>
        </w:rPr>
        <w:t>in</w:t>
      </w:r>
      <w:r>
        <w:rPr>
          <w:color w:val="231F20"/>
          <w:spacing w:val="-5"/>
        </w:rPr>
        <w:t> </w:t>
      </w:r>
      <w:r>
        <w:rPr>
          <w:color w:val="231F20"/>
        </w:rPr>
        <w:t>diverse</w:t>
      </w:r>
      <w:r>
        <w:rPr>
          <w:color w:val="231F20"/>
          <w:spacing w:val="-5"/>
        </w:rPr>
        <w:t> </w:t>
      </w:r>
      <w:r>
        <w:rPr>
          <w:color w:val="231F20"/>
        </w:rPr>
        <w:t>parti</w:t>
      </w:r>
      <w:r>
        <w:rPr>
          <w:color w:val="231F20"/>
          <w:spacing w:val="-5"/>
        </w:rPr>
        <w:t> </w:t>
      </w:r>
      <w:r>
        <w:rPr>
          <w:color w:val="231F20"/>
        </w:rPr>
        <w:t>del</w:t>
      </w:r>
      <w:r>
        <w:rPr>
          <w:color w:val="231F20"/>
          <w:spacing w:val="-5"/>
        </w:rPr>
        <w:t> </w:t>
      </w:r>
      <w:r>
        <w:rPr>
          <w:color w:val="231F20"/>
        </w:rPr>
        <w:t>mondo, hanno prodotto una serie di manifestazioni politiche, sociali, economiche, anche</w:t>
      </w:r>
      <w:r>
        <w:rPr>
          <w:color w:val="231F20"/>
          <w:spacing w:val="-15"/>
        </w:rPr>
        <w:t> </w:t>
      </w:r>
      <w:r>
        <w:rPr>
          <w:color w:val="231F20"/>
        </w:rPr>
        <w:t>culturali,</w:t>
      </w:r>
      <w:r>
        <w:rPr>
          <w:color w:val="231F20"/>
          <w:spacing w:val="-15"/>
        </w:rPr>
        <w:t> </w:t>
      </w:r>
      <w:r>
        <w:rPr>
          <w:color w:val="231F20"/>
        </w:rPr>
        <w:t>che</w:t>
      </w:r>
      <w:r>
        <w:rPr>
          <w:color w:val="231F20"/>
          <w:spacing w:val="-15"/>
        </w:rPr>
        <w:t> </w:t>
      </w:r>
      <w:r>
        <w:rPr>
          <w:color w:val="231F20"/>
        </w:rPr>
        <w:t>hanno</w:t>
      </w:r>
      <w:r>
        <w:rPr>
          <w:color w:val="231F20"/>
          <w:spacing w:val="-15"/>
        </w:rPr>
        <w:t> </w:t>
      </w:r>
      <w:r>
        <w:rPr>
          <w:color w:val="231F20"/>
        </w:rPr>
        <w:t>accelerato</w:t>
      </w:r>
      <w:r>
        <w:rPr>
          <w:color w:val="231F20"/>
          <w:spacing w:val="-15"/>
        </w:rPr>
        <w:t> </w:t>
      </w:r>
      <w:r>
        <w:rPr>
          <w:color w:val="231F20"/>
        </w:rPr>
        <w:t>la</w:t>
      </w:r>
      <w:r>
        <w:rPr>
          <w:color w:val="231F20"/>
          <w:spacing w:val="-15"/>
        </w:rPr>
        <w:t> </w:t>
      </w:r>
      <w:r>
        <w:rPr>
          <w:color w:val="231F20"/>
        </w:rPr>
        <w:t>trasformazione</w:t>
      </w:r>
      <w:r>
        <w:rPr>
          <w:color w:val="231F20"/>
          <w:spacing w:val="-15"/>
        </w:rPr>
        <w:t> </w:t>
      </w:r>
      <w:r>
        <w:rPr>
          <w:color w:val="231F20"/>
        </w:rPr>
        <w:t>dello</w:t>
      </w:r>
      <w:r>
        <w:rPr>
          <w:color w:val="231F20"/>
          <w:spacing w:val="-15"/>
        </w:rPr>
        <w:t> </w:t>
      </w:r>
      <w:r>
        <w:rPr>
          <w:color w:val="231F20"/>
        </w:rPr>
        <w:t>spazio</w:t>
      </w:r>
      <w:r>
        <w:rPr>
          <w:color w:val="231F20"/>
          <w:spacing w:val="-15"/>
        </w:rPr>
        <w:t> </w:t>
      </w:r>
      <w:r>
        <w:rPr>
          <w:color w:val="231F20"/>
        </w:rPr>
        <w:t>politico “convenzionale” delle democrazie, tanto nel seno di diverse esperienze </w:t>
      </w:r>
      <w:r>
        <w:rPr>
          <w:color w:val="231F20"/>
          <w:spacing w:val="-4"/>
        </w:rPr>
        <w:t>democratiche nascenti </w:t>
      </w:r>
      <w:r>
        <w:rPr>
          <w:color w:val="231F20"/>
          <w:spacing w:val="-3"/>
        </w:rPr>
        <w:t>come </w:t>
      </w:r>
      <w:r>
        <w:rPr>
          <w:color w:val="231F20"/>
        </w:rPr>
        <w:t>in </w:t>
      </w:r>
      <w:r>
        <w:rPr>
          <w:color w:val="231F20"/>
          <w:spacing w:val="-4"/>
        </w:rPr>
        <w:t>quelle consolidate</w:t>
      </w:r>
      <w:r>
        <w:rPr>
          <w:color w:val="231F20"/>
          <w:spacing w:val="-4"/>
          <w:position w:val="7"/>
          <w:sz w:val="12"/>
        </w:rPr>
        <w:t>35</w:t>
      </w:r>
      <w:r>
        <w:rPr>
          <w:color w:val="231F20"/>
          <w:spacing w:val="-4"/>
        </w:rPr>
        <w:t>. </w:t>
      </w:r>
      <w:r>
        <w:rPr>
          <w:color w:val="231F20"/>
          <w:spacing w:val="-3"/>
        </w:rPr>
        <w:t>Ma… </w:t>
      </w:r>
      <w:r>
        <w:rPr>
          <w:color w:val="231F20"/>
        </w:rPr>
        <w:t>di </w:t>
      </w:r>
      <w:r>
        <w:rPr>
          <w:color w:val="231F20"/>
          <w:spacing w:val="-3"/>
        </w:rPr>
        <w:t>quali </w:t>
      </w:r>
      <w:r>
        <w:rPr>
          <w:color w:val="231F20"/>
          <w:spacing w:val="-5"/>
        </w:rPr>
        <w:t>espressioni </w:t>
      </w:r>
      <w:r>
        <w:rPr>
          <w:color w:val="231F20"/>
        </w:rPr>
        <w:t>parliamo? Cioè, che tipo di cambiamenti sociali e “strutturali” ha indotto nell’onda più recente della democratizzazione il passaggio precisamente  da un </w:t>
      </w:r>
      <w:r>
        <w:rPr>
          <w:color w:val="231F20"/>
          <w:spacing w:val="2"/>
        </w:rPr>
        <w:t>ordine </w:t>
      </w:r>
      <w:r>
        <w:rPr>
          <w:color w:val="231F20"/>
          <w:spacing w:val="3"/>
        </w:rPr>
        <w:t>politico </w:t>
      </w:r>
      <w:r>
        <w:rPr>
          <w:color w:val="231F20"/>
          <w:spacing w:val="2"/>
        </w:rPr>
        <w:t>non </w:t>
      </w:r>
      <w:r>
        <w:rPr>
          <w:color w:val="231F20"/>
          <w:spacing w:val="3"/>
        </w:rPr>
        <w:t>democratico verso </w:t>
      </w:r>
      <w:r>
        <w:rPr>
          <w:color w:val="231F20"/>
          <w:spacing w:val="2"/>
        </w:rPr>
        <w:t>uno </w:t>
      </w:r>
      <w:r>
        <w:rPr>
          <w:color w:val="231F20"/>
          <w:spacing w:val="3"/>
        </w:rPr>
        <w:t>democratico? </w:t>
      </w:r>
      <w:r>
        <w:rPr>
          <w:color w:val="231F20"/>
          <w:spacing w:val="4"/>
        </w:rPr>
        <w:t>Sono </w:t>
      </w:r>
      <w:r>
        <w:rPr>
          <w:color w:val="231F20"/>
        </w:rPr>
        <w:t>manifestazioni condivisibili nei diversi processi di cambiamento politico o sono manifestazioni specifiche di ogni processo di </w:t>
      </w:r>
      <w:r>
        <w:rPr>
          <w:color w:val="231F20"/>
          <w:spacing w:val="17"/>
        </w:rPr>
        <w:t> </w:t>
      </w:r>
      <w:r>
        <w:rPr>
          <w:color w:val="231F20"/>
        </w:rPr>
        <w:t>democratizzazione?</w:t>
      </w:r>
    </w:p>
    <w:p>
      <w:pPr>
        <w:pStyle w:val="BodyText"/>
        <w:spacing w:line="247" w:lineRule="auto"/>
        <w:ind w:left="117" w:right="101" w:firstLine="566"/>
        <w:jc w:val="both"/>
      </w:pPr>
      <w:r>
        <w:rPr>
          <w:color w:val="231F20"/>
          <w:spacing w:val="3"/>
        </w:rPr>
        <w:t>Quello </w:t>
      </w:r>
      <w:r>
        <w:rPr>
          <w:color w:val="231F20"/>
          <w:spacing w:val="2"/>
        </w:rPr>
        <w:t>che </w:t>
      </w:r>
      <w:r>
        <w:rPr>
          <w:color w:val="231F20"/>
        </w:rPr>
        <w:t>si è </w:t>
      </w:r>
      <w:r>
        <w:rPr>
          <w:color w:val="231F20"/>
          <w:spacing w:val="3"/>
        </w:rPr>
        <w:t>trasformato </w:t>
      </w:r>
      <w:r>
        <w:rPr>
          <w:color w:val="231F20"/>
          <w:spacing w:val="2"/>
        </w:rPr>
        <w:t>non </w:t>
      </w:r>
      <w:r>
        <w:rPr>
          <w:color w:val="231F20"/>
        </w:rPr>
        <w:t>è </w:t>
      </w:r>
      <w:r>
        <w:rPr>
          <w:color w:val="231F20"/>
          <w:spacing w:val="3"/>
        </w:rPr>
        <w:t>stata unicamente </w:t>
      </w:r>
      <w:r>
        <w:rPr>
          <w:color w:val="231F20"/>
        </w:rPr>
        <w:t>la </w:t>
      </w:r>
      <w:r>
        <w:rPr>
          <w:color w:val="231F20"/>
          <w:spacing w:val="3"/>
        </w:rPr>
        <w:t>modalità </w:t>
      </w:r>
      <w:r>
        <w:rPr>
          <w:color w:val="231F20"/>
        </w:rPr>
        <w:t>d’organizazzione</w:t>
      </w:r>
      <w:r>
        <w:rPr>
          <w:color w:val="231F20"/>
          <w:spacing w:val="-11"/>
        </w:rPr>
        <w:t> </w:t>
      </w:r>
      <w:r>
        <w:rPr>
          <w:color w:val="231F20"/>
        </w:rPr>
        <w:t>dei</w:t>
      </w:r>
      <w:r>
        <w:rPr>
          <w:color w:val="231F20"/>
          <w:spacing w:val="-11"/>
        </w:rPr>
        <w:t> </w:t>
      </w:r>
      <w:r>
        <w:rPr>
          <w:color w:val="231F20"/>
        </w:rPr>
        <w:t>regimi</w:t>
      </w:r>
      <w:r>
        <w:rPr>
          <w:color w:val="231F20"/>
          <w:spacing w:val="-11"/>
        </w:rPr>
        <w:t> </w:t>
      </w:r>
      <w:r>
        <w:rPr>
          <w:color w:val="231F20"/>
        </w:rPr>
        <w:t>politici</w:t>
      </w:r>
      <w:r>
        <w:rPr>
          <w:color w:val="231F20"/>
          <w:spacing w:val="-11"/>
        </w:rPr>
        <w:t> </w:t>
      </w:r>
      <w:r>
        <w:rPr>
          <w:color w:val="231F20"/>
        </w:rPr>
        <w:t>che</w:t>
      </w:r>
      <w:r>
        <w:rPr>
          <w:color w:val="231F20"/>
          <w:spacing w:val="-11"/>
        </w:rPr>
        <w:t> </w:t>
      </w:r>
      <w:r>
        <w:rPr>
          <w:color w:val="231F20"/>
        </w:rPr>
        <w:t>si</w:t>
      </w:r>
      <w:r>
        <w:rPr>
          <w:color w:val="231F20"/>
          <w:spacing w:val="-11"/>
        </w:rPr>
        <w:t> </w:t>
      </w:r>
      <w:r>
        <w:rPr>
          <w:color w:val="231F20"/>
        </w:rPr>
        <w:t>muovevano</w:t>
      </w:r>
      <w:r>
        <w:rPr>
          <w:color w:val="231F20"/>
          <w:spacing w:val="-11"/>
        </w:rPr>
        <w:t> </w:t>
      </w:r>
      <w:r>
        <w:rPr>
          <w:color w:val="231F20"/>
        </w:rPr>
        <w:t>da</w:t>
      </w:r>
      <w:r>
        <w:rPr>
          <w:color w:val="231F20"/>
          <w:spacing w:val="-11"/>
        </w:rPr>
        <w:t> </w:t>
      </w:r>
      <w:r>
        <w:rPr>
          <w:color w:val="231F20"/>
        </w:rPr>
        <w:t>diverse</w:t>
      </w:r>
      <w:r>
        <w:rPr>
          <w:color w:val="231F20"/>
          <w:spacing w:val="-11"/>
        </w:rPr>
        <w:t> </w:t>
      </w:r>
      <w:r>
        <w:rPr>
          <w:color w:val="231F20"/>
        </w:rPr>
        <w:t>esperienze non democratiche verso forme democratiche, perchè anche l’architettura dello Stato dove i regimi si sviluppavano è cambiata e a momenti non</w:t>
      </w:r>
      <w:r>
        <w:rPr>
          <w:color w:val="231F20"/>
          <w:spacing w:val="-41"/>
        </w:rPr>
        <w:t> </w:t>
      </w:r>
      <w:r>
        <w:rPr>
          <w:color w:val="231F20"/>
        </w:rPr>
        <w:t>nella stessa direzione che segnalavano i processi di democratizzazione</w:t>
      </w:r>
      <w:r>
        <w:rPr>
          <w:color w:val="231F20"/>
          <w:position w:val="7"/>
          <w:sz w:val="12"/>
        </w:rPr>
        <w:t>36</w:t>
      </w:r>
      <w:r>
        <w:rPr>
          <w:color w:val="231F20"/>
        </w:rPr>
        <w:t>.  </w:t>
      </w:r>
      <w:r>
        <w:rPr>
          <w:color w:val="231F20"/>
          <w:spacing w:val="60"/>
        </w:rPr>
        <w:t> </w:t>
      </w:r>
      <w:r>
        <w:rPr>
          <w:color w:val="231F20"/>
        </w:rPr>
        <w:t>Cioè,</w:t>
      </w:r>
    </w:p>
    <w:p>
      <w:pPr>
        <w:pStyle w:val="BodyText"/>
        <w:spacing w:before="10"/>
        <w:rPr>
          <w:sz w:val="20"/>
        </w:rPr>
      </w:pPr>
      <w:r>
        <w:rPr/>
        <w:pict>
          <v:line style="position:absolute;mso-position-horizontal-relative:page;mso-position-vertical-relative:paragraph;z-index:13648;mso-wrap-distance-left:0;mso-wrap-distance-right:0" from="70.866203pt,14.71799pt" to="184.252203pt,14.71799pt" stroked="true" strokeweight=".3pt" strokecolor="#231f20">
            <w10:wrap type="topAndBottom"/>
          </v:line>
        </w:pict>
      </w:r>
    </w:p>
    <w:p>
      <w:pPr>
        <w:spacing w:line="206" w:lineRule="exact" w:before="10"/>
        <w:ind w:left="117" w:right="0" w:firstLine="0"/>
        <w:jc w:val="both"/>
        <w:rPr>
          <w:rFonts w:ascii="Calibri"/>
          <w:sz w:val="17"/>
        </w:rPr>
      </w:pPr>
      <w:r>
        <w:rPr>
          <w:rFonts w:ascii="Calibri"/>
          <w:color w:val="231F20"/>
          <w:position w:val="6"/>
          <w:sz w:val="10"/>
        </w:rPr>
        <w:t>33  </w:t>
      </w:r>
      <w:r>
        <w:rPr>
          <w:rFonts w:ascii="Calibri"/>
          <w:color w:val="231F20"/>
          <w:sz w:val="17"/>
        </w:rPr>
        <w:t>Brown, p. 65.</w:t>
      </w:r>
    </w:p>
    <w:p>
      <w:pPr>
        <w:spacing w:line="235" w:lineRule="auto" w:before="1"/>
        <w:ind w:left="117" w:right="101" w:firstLine="0"/>
        <w:jc w:val="both"/>
        <w:rPr>
          <w:rFonts w:ascii="Calibri" w:hAnsi="Calibri"/>
          <w:sz w:val="17"/>
        </w:rPr>
      </w:pPr>
      <w:r>
        <w:rPr>
          <w:rFonts w:ascii="Calibri" w:hAnsi="Calibri"/>
          <w:color w:val="231F20"/>
          <w:w w:val="105"/>
          <w:position w:val="6"/>
          <w:sz w:val="10"/>
        </w:rPr>
        <w:t>34</w:t>
      </w:r>
      <w:r>
        <w:rPr>
          <w:rFonts w:ascii="Calibri" w:hAnsi="Calibri"/>
          <w:color w:val="231F20"/>
          <w:spacing w:val="-5"/>
          <w:w w:val="105"/>
          <w:position w:val="6"/>
          <w:sz w:val="10"/>
        </w:rPr>
        <w:t> </w:t>
      </w:r>
      <w:r>
        <w:rPr>
          <w:rFonts w:ascii="Calibri" w:hAnsi="Calibri"/>
          <w:color w:val="231F20"/>
          <w:w w:val="105"/>
          <w:sz w:val="17"/>
        </w:rPr>
        <w:t>Alcune</w:t>
      </w:r>
      <w:r>
        <w:rPr>
          <w:rFonts w:ascii="Calibri" w:hAnsi="Calibri"/>
          <w:color w:val="231F20"/>
          <w:spacing w:val="-21"/>
          <w:w w:val="105"/>
          <w:sz w:val="17"/>
        </w:rPr>
        <w:t> </w:t>
      </w:r>
      <w:r>
        <w:rPr>
          <w:rFonts w:ascii="Calibri" w:hAnsi="Calibri"/>
          <w:color w:val="231F20"/>
          <w:w w:val="105"/>
          <w:sz w:val="17"/>
        </w:rPr>
        <w:t>sono</w:t>
      </w:r>
      <w:r>
        <w:rPr>
          <w:rFonts w:ascii="Calibri" w:hAnsi="Calibri"/>
          <w:color w:val="231F20"/>
          <w:spacing w:val="-21"/>
          <w:w w:val="105"/>
          <w:sz w:val="17"/>
        </w:rPr>
        <w:t> </w:t>
      </w:r>
      <w:r>
        <w:rPr>
          <w:rFonts w:ascii="Calibri" w:hAnsi="Calibri"/>
          <w:color w:val="231F20"/>
          <w:w w:val="105"/>
          <w:sz w:val="17"/>
        </w:rPr>
        <w:t>la</w:t>
      </w:r>
      <w:r>
        <w:rPr>
          <w:rFonts w:ascii="Calibri" w:hAnsi="Calibri"/>
          <w:color w:val="231F20"/>
          <w:spacing w:val="-21"/>
          <w:w w:val="105"/>
          <w:sz w:val="17"/>
        </w:rPr>
        <w:t> </w:t>
      </w:r>
      <w:r>
        <w:rPr>
          <w:rFonts w:ascii="Calibri" w:hAnsi="Calibri"/>
          <w:color w:val="231F20"/>
          <w:w w:val="105"/>
          <w:sz w:val="17"/>
        </w:rPr>
        <w:t>criminalità</w:t>
      </w:r>
      <w:r>
        <w:rPr>
          <w:rFonts w:ascii="Calibri" w:hAnsi="Calibri"/>
          <w:color w:val="231F20"/>
          <w:spacing w:val="-21"/>
          <w:w w:val="105"/>
          <w:sz w:val="17"/>
        </w:rPr>
        <w:t> </w:t>
      </w:r>
      <w:r>
        <w:rPr>
          <w:rFonts w:ascii="Calibri" w:hAnsi="Calibri"/>
          <w:color w:val="231F20"/>
          <w:w w:val="105"/>
          <w:sz w:val="17"/>
        </w:rPr>
        <w:t>organizzata</w:t>
      </w:r>
      <w:r>
        <w:rPr>
          <w:rFonts w:ascii="Calibri" w:hAnsi="Calibri"/>
          <w:color w:val="231F20"/>
          <w:spacing w:val="-21"/>
          <w:w w:val="105"/>
          <w:sz w:val="17"/>
        </w:rPr>
        <w:t> </w:t>
      </w:r>
      <w:r>
        <w:rPr>
          <w:rFonts w:ascii="Calibri" w:hAnsi="Calibri"/>
          <w:color w:val="231F20"/>
          <w:w w:val="105"/>
          <w:sz w:val="17"/>
        </w:rPr>
        <w:t>nazionale</w:t>
      </w:r>
      <w:r>
        <w:rPr>
          <w:rFonts w:ascii="Calibri" w:hAnsi="Calibri"/>
          <w:color w:val="231F20"/>
          <w:spacing w:val="-21"/>
          <w:w w:val="105"/>
          <w:sz w:val="17"/>
        </w:rPr>
        <w:t> </w:t>
      </w:r>
      <w:r>
        <w:rPr>
          <w:rFonts w:ascii="Calibri" w:hAnsi="Calibri"/>
          <w:color w:val="231F20"/>
          <w:w w:val="105"/>
          <w:sz w:val="17"/>
        </w:rPr>
        <w:t>e</w:t>
      </w:r>
      <w:r>
        <w:rPr>
          <w:rFonts w:ascii="Calibri" w:hAnsi="Calibri"/>
          <w:color w:val="231F20"/>
          <w:spacing w:val="-21"/>
          <w:w w:val="105"/>
          <w:sz w:val="17"/>
        </w:rPr>
        <w:t> </w:t>
      </w:r>
      <w:r>
        <w:rPr>
          <w:rFonts w:ascii="Calibri" w:hAnsi="Calibri"/>
          <w:color w:val="231F20"/>
          <w:w w:val="105"/>
          <w:sz w:val="17"/>
        </w:rPr>
        <w:t>transnazionale,</w:t>
      </w:r>
      <w:r>
        <w:rPr>
          <w:rFonts w:ascii="Calibri" w:hAnsi="Calibri"/>
          <w:color w:val="231F20"/>
          <w:spacing w:val="-21"/>
          <w:w w:val="105"/>
          <w:sz w:val="17"/>
        </w:rPr>
        <w:t> </w:t>
      </w:r>
      <w:r>
        <w:rPr>
          <w:rFonts w:ascii="Calibri" w:hAnsi="Calibri"/>
          <w:color w:val="231F20"/>
          <w:w w:val="105"/>
          <w:sz w:val="17"/>
        </w:rPr>
        <w:t>il</w:t>
      </w:r>
      <w:r>
        <w:rPr>
          <w:rFonts w:ascii="Calibri" w:hAnsi="Calibri"/>
          <w:color w:val="231F20"/>
          <w:spacing w:val="-21"/>
          <w:w w:val="105"/>
          <w:sz w:val="17"/>
        </w:rPr>
        <w:t> </w:t>
      </w:r>
      <w:r>
        <w:rPr>
          <w:rFonts w:ascii="Calibri" w:hAnsi="Calibri"/>
          <w:color w:val="231F20"/>
          <w:w w:val="105"/>
          <w:sz w:val="17"/>
        </w:rPr>
        <w:t>paramilitarismo,</w:t>
      </w:r>
      <w:r>
        <w:rPr>
          <w:rFonts w:ascii="Calibri" w:hAnsi="Calibri"/>
          <w:color w:val="231F20"/>
          <w:spacing w:val="-21"/>
          <w:w w:val="105"/>
          <w:sz w:val="17"/>
        </w:rPr>
        <w:t> </w:t>
      </w:r>
      <w:r>
        <w:rPr>
          <w:rFonts w:ascii="Calibri" w:hAnsi="Calibri"/>
          <w:color w:val="231F20"/>
          <w:w w:val="105"/>
          <w:sz w:val="17"/>
        </w:rPr>
        <w:t>il</w:t>
      </w:r>
      <w:r>
        <w:rPr>
          <w:rFonts w:ascii="Calibri" w:hAnsi="Calibri"/>
          <w:color w:val="231F20"/>
          <w:spacing w:val="-21"/>
          <w:w w:val="105"/>
          <w:sz w:val="17"/>
        </w:rPr>
        <w:t> </w:t>
      </w:r>
      <w:r>
        <w:rPr>
          <w:rFonts w:ascii="Calibri" w:hAnsi="Calibri"/>
          <w:color w:val="231F20"/>
          <w:w w:val="105"/>
          <w:sz w:val="17"/>
        </w:rPr>
        <w:t>fenomeno del</w:t>
      </w:r>
      <w:r>
        <w:rPr>
          <w:rFonts w:ascii="Calibri" w:hAnsi="Calibri"/>
          <w:color w:val="231F20"/>
          <w:spacing w:val="-15"/>
          <w:w w:val="105"/>
          <w:sz w:val="17"/>
        </w:rPr>
        <w:t> </w:t>
      </w:r>
      <w:r>
        <w:rPr>
          <w:rFonts w:ascii="Calibri" w:hAnsi="Calibri"/>
          <w:color w:val="231F20"/>
          <w:w w:val="105"/>
          <w:sz w:val="17"/>
        </w:rPr>
        <w:t>“vigilantismo”</w:t>
      </w:r>
      <w:r>
        <w:rPr>
          <w:rFonts w:ascii="Calibri" w:hAnsi="Calibri"/>
          <w:color w:val="231F20"/>
          <w:spacing w:val="-15"/>
          <w:w w:val="105"/>
          <w:sz w:val="17"/>
        </w:rPr>
        <w:t> </w:t>
      </w:r>
      <w:r>
        <w:rPr>
          <w:rFonts w:ascii="Calibri" w:hAnsi="Calibri"/>
          <w:color w:val="231F20"/>
          <w:w w:val="105"/>
          <w:sz w:val="17"/>
        </w:rPr>
        <w:t>e</w:t>
      </w:r>
      <w:r>
        <w:rPr>
          <w:rFonts w:ascii="Calibri" w:hAnsi="Calibri"/>
          <w:color w:val="231F20"/>
          <w:spacing w:val="-15"/>
          <w:w w:val="105"/>
          <w:sz w:val="17"/>
        </w:rPr>
        <w:t> </w:t>
      </w:r>
      <w:r>
        <w:rPr>
          <w:rFonts w:ascii="Calibri" w:hAnsi="Calibri"/>
          <w:color w:val="231F20"/>
          <w:w w:val="105"/>
          <w:sz w:val="17"/>
        </w:rPr>
        <w:t>gruppi</w:t>
      </w:r>
      <w:r>
        <w:rPr>
          <w:rFonts w:ascii="Calibri" w:hAnsi="Calibri"/>
          <w:color w:val="231F20"/>
          <w:spacing w:val="-15"/>
          <w:w w:val="105"/>
          <w:sz w:val="17"/>
        </w:rPr>
        <w:t> </w:t>
      </w:r>
      <w:r>
        <w:rPr>
          <w:rFonts w:ascii="Calibri" w:hAnsi="Calibri"/>
          <w:color w:val="231F20"/>
          <w:w w:val="105"/>
          <w:sz w:val="17"/>
        </w:rPr>
        <w:t>armati</w:t>
      </w:r>
      <w:r>
        <w:rPr>
          <w:rFonts w:ascii="Calibri" w:hAnsi="Calibri"/>
          <w:color w:val="231F20"/>
          <w:spacing w:val="-15"/>
          <w:w w:val="105"/>
          <w:sz w:val="17"/>
        </w:rPr>
        <w:t> </w:t>
      </w:r>
      <w:r>
        <w:rPr>
          <w:rFonts w:ascii="Calibri" w:hAnsi="Calibri"/>
          <w:color w:val="231F20"/>
          <w:w w:val="105"/>
          <w:sz w:val="17"/>
        </w:rPr>
        <w:t>di</w:t>
      </w:r>
      <w:r>
        <w:rPr>
          <w:rFonts w:ascii="Calibri" w:hAnsi="Calibri"/>
          <w:color w:val="231F20"/>
          <w:spacing w:val="-15"/>
          <w:w w:val="105"/>
          <w:sz w:val="17"/>
        </w:rPr>
        <w:t> </w:t>
      </w:r>
      <w:r>
        <w:rPr>
          <w:rFonts w:ascii="Calibri" w:hAnsi="Calibri"/>
          <w:color w:val="231F20"/>
          <w:w w:val="105"/>
          <w:sz w:val="17"/>
        </w:rPr>
        <w:t>autodifesa,</w:t>
      </w:r>
      <w:r>
        <w:rPr>
          <w:rFonts w:ascii="Calibri" w:hAnsi="Calibri"/>
          <w:color w:val="231F20"/>
          <w:spacing w:val="-15"/>
          <w:w w:val="105"/>
          <w:sz w:val="17"/>
        </w:rPr>
        <w:t> </w:t>
      </w:r>
      <w:r>
        <w:rPr>
          <w:rFonts w:ascii="Calibri" w:hAnsi="Calibri"/>
          <w:color w:val="231F20"/>
          <w:w w:val="105"/>
          <w:sz w:val="17"/>
        </w:rPr>
        <w:t>ecc.</w:t>
      </w:r>
    </w:p>
    <w:p>
      <w:pPr>
        <w:spacing w:line="235" w:lineRule="auto" w:before="0"/>
        <w:ind w:left="117" w:right="101" w:firstLine="0"/>
        <w:jc w:val="both"/>
        <w:rPr>
          <w:rFonts w:ascii="Calibri" w:hAnsi="Calibri"/>
          <w:sz w:val="17"/>
        </w:rPr>
      </w:pPr>
      <w:r>
        <w:rPr>
          <w:rFonts w:ascii="Calibri" w:hAnsi="Calibri"/>
          <w:color w:val="231F20"/>
          <w:position w:val="6"/>
          <w:sz w:val="10"/>
        </w:rPr>
        <w:t>35</w:t>
      </w:r>
      <w:r>
        <w:rPr>
          <w:rFonts w:ascii="Calibri" w:hAnsi="Calibri"/>
          <w:color w:val="231F20"/>
          <w:spacing w:val="10"/>
          <w:position w:val="6"/>
          <w:sz w:val="10"/>
        </w:rPr>
        <w:t> </w:t>
      </w:r>
      <w:r>
        <w:rPr>
          <w:rFonts w:ascii="Calibri" w:hAnsi="Calibri"/>
          <w:color w:val="231F20"/>
          <w:sz w:val="17"/>
        </w:rPr>
        <w:t>Covarrubias,</w:t>
      </w:r>
      <w:r>
        <w:rPr>
          <w:rFonts w:ascii="Calibri" w:hAnsi="Calibri"/>
          <w:color w:val="231F20"/>
          <w:spacing w:val="-5"/>
          <w:sz w:val="17"/>
        </w:rPr>
        <w:t> </w:t>
      </w:r>
      <w:r>
        <w:rPr>
          <w:rFonts w:ascii="Calibri" w:hAnsi="Calibri"/>
          <w:i/>
          <w:color w:val="231F20"/>
          <w:sz w:val="17"/>
        </w:rPr>
        <w:t>Los</w:t>
      </w:r>
      <w:r>
        <w:rPr>
          <w:rFonts w:ascii="Calibri" w:hAnsi="Calibri"/>
          <w:i/>
          <w:color w:val="231F20"/>
          <w:spacing w:val="-6"/>
          <w:sz w:val="17"/>
        </w:rPr>
        <w:t> </w:t>
      </w:r>
      <w:r>
        <w:rPr>
          <w:rFonts w:ascii="Calibri" w:hAnsi="Calibri"/>
          <w:i/>
          <w:color w:val="231F20"/>
          <w:sz w:val="17"/>
        </w:rPr>
        <w:t>espejos</w:t>
      </w:r>
      <w:r>
        <w:rPr>
          <w:rFonts w:ascii="Calibri" w:hAnsi="Calibri"/>
          <w:i/>
          <w:color w:val="231F20"/>
          <w:spacing w:val="-6"/>
          <w:sz w:val="17"/>
        </w:rPr>
        <w:t> </w:t>
      </w:r>
      <w:r>
        <w:rPr>
          <w:rFonts w:ascii="Calibri" w:hAnsi="Calibri"/>
          <w:i/>
          <w:color w:val="231F20"/>
          <w:sz w:val="17"/>
        </w:rPr>
        <w:t>de</w:t>
      </w:r>
      <w:r>
        <w:rPr>
          <w:rFonts w:ascii="Calibri" w:hAnsi="Calibri"/>
          <w:i/>
          <w:color w:val="231F20"/>
          <w:spacing w:val="-6"/>
          <w:sz w:val="17"/>
        </w:rPr>
        <w:t> </w:t>
      </w:r>
      <w:r>
        <w:rPr>
          <w:rFonts w:ascii="Calibri" w:hAnsi="Calibri"/>
          <w:i/>
          <w:color w:val="231F20"/>
          <w:sz w:val="17"/>
        </w:rPr>
        <w:t>la</w:t>
      </w:r>
      <w:r>
        <w:rPr>
          <w:rFonts w:ascii="Calibri" w:hAnsi="Calibri"/>
          <w:i/>
          <w:color w:val="231F20"/>
          <w:spacing w:val="-6"/>
          <w:sz w:val="17"/>
        </w:rPr>
        <w:t> </w:t>
      </w:r>
      <w:r>
        <w:rPr>
          <w:rFonts w:ascii="Calibri" w:hAnsi="Calibri"/>
          <w:i/>
          <w:color w:val="231F20"/>
          <w:sz w:val="17"/>
        </w:rPr>
        <w:t>democracia.</w:t>
      </w:r>
      <w:r>
        <w:rPr>
          <w:rFonts w:ascii="Calibri" w:hAnsi="Calibri"/>
          <w:i/>
          <w:color w:val="231F20"/>
          <w:spacing w:val="-6"/>
          <w:sz w:val="17"/>
        </w:rPr>
        <w:t> </w:t>
      </w:r>
      <w:r>
        <w:rPr>
          <w:rFonts w:ascii="Calibri" w:hAnsi="Calibri"/>
          <w:i/>
          <w:color w:val="231F20"/>
          <w:sz w:val="17"/>
        </w:rPr>
        <w:t>Ley,</w:t>
      </w:r>
      <w:r>
        <w:rPr>
          <w:rFonts w:ascii="Calibri" w:hAnsi="Calibri"/>
          <w:i/>
          <w:color w:val="231F20"/>
          <w:spacing w:val="-6"/>
          <w:sz w:val="17"/>
        </w:rPr>
        <w:t> </w:t>
      </w:r>
      <w:r>
        <w:rPr>
          <w:rFonts w:ascii="Calibri" w:hAnsi="Calibri"/>
          <w:i/>
          <w:color w:val="231F20"/>
          <w:sz w:val="17"/>
        </w:rPr>
        <w:t>espacio</w:t>
      </w:r>
      <w:r>
        <w:rPr>
          <w:rFonts w:ascii="Calibri" w:hAnsi="Calibri"/>
          <w:i/>
          <w:color w:val="231F20"/>
          <w:spacing w:val="-6"/>
          <w:sz w:val="17"/>
        </w:rPr>
        <w:t> </w:t>
      </w:r>
      <w:r>
        <w:rPr>
          <w:rFonts w:ascii="Calibri" w:hAnsi="Calibri"/>
          <w:i/>
          <w:color w:val="231F20"/>
          <w:sz w:val="17"/>
        </w:rPr>
        <w:t>político</w:t>
      </w:r>
      <w:r>
        <w:rPr>
          <w:rFonts w:ascii="Calibri" w:hAnsi="Calibri"/>
          <w:i/>
          <w:color w:val="231F20"/>
          <w:spacing w:val="-7"/>
          <w:sz w:val="17"/>
        </w:rPr>
        <w:t> </w:t>
      </w:r>
      <w:r>
        <w:rPr>
          <w:rFonts w:ascii="Calibri" w:hAnsi="Calibri"/>
          <w:i/>
          <w:color w:val="231F20"/>
          <w:sz w:val="17"/>
        </w:rPr>
        <w:t>y</w:t>
      </w:r>
      <w:r>
        <w:rPr>
          <w:rFonts w:ascii="Calibri" w:hAnsi="Calibri"/>
          <w:i/>
          <w:color w:val="231F20"/>
          <w:spacing w:val="-6"/>
          <w:sz w:val="17"/>
        </w:rPr>
        <w:t> </w:t>
      </w:r>
      <w:r>
        <w:rPr>
          <w:rFonts w:ascii="Calibri" w:hAnsi="Calibri"/>
          <w:i/>
          <w:color w:val="231F20"/>
          <w:sz w:val="17"/>
        </w:rPr>
        <w:t>exclusión</w:t>
      </w:r>
      <w:r>
        <w:rPr>
          <w:rFonts w:ascii="Calibri" w:hAnsi="Calibri"/>
          <w:color w:val="231F20"/>
          <w:sz w:val="17"/>
        </w:rPr>
        <w:t>;</w:t>
      </w:r>
      <w:r>
        <w:rPr>
          <w:rFonts w:ascii="Calibri" w:hAnsi="Calibri"/>
          <w:color w:val="231F20"/>
          <w:spacing w:val="-5"/>
          <w:sz w:val="17"/>
        </w:rPr>
        <w:t> </w:t>
      </w:r>
      <w:r>
        <w:rPr>
          <w:rFonts w:ascii="Calibri" w:hAnsi="Calibri"/>
          <w:color w:val="231F20"/>
          <w:spacing w:val="-10"/>
          <w:sz w:val="17"/>
        </w:rPr>
        <w:t>P.</w:t>
      </w:r>
      <w:r>
        <w:rPr>
          <w:rFonts w:ascii="Calibri" w:hAnsi="Calibri"/>
          <w:color w:val="231F20"/>
          <w:spacing w:val="-5"/>
          <w:sz w:val="17"/>
        </w:rPr>
        <w:t> </w:t>
      </w:r>
      <w:r>
        <w:rPr>
          <w:rFonts w:ascii="Calibri" w:hAnsi="Calibri"/>
          <w:color w:val="231F20"/>
          <w:sz w:val="17"/>
        </w:rPr>
        <w:t>J.</w:t>
      </w:r>
      <w:r>
        <w:rPr>
          <w:rFonts w:ascii="Calibri" w:hAnsi="Calibri"/>
          <w:color w:val="231F20"/>
          <w:spacing w:val="-5"/>
          <w:sz w:val="17"/>
        </w:rPr>
        <w:t> </w:t>
      </w:r>
      <w:r>
        <w:rPr>
          <w:rFonts w:ascii="Calibri" w:hAnsi="Calibri"/>
          <w:color w:val="231F20"/>
          <w:sz w:val="17"/>
        </w:rPr>
        <w:t>Krischke,</w:t>
      </w:r>
      <w:r>
        <w:rPr>
          <w:rFonts w:ascii="Calibri" w:hAnsi="Calibri"/>
          <w:color w:val="231F20"/>
          <w:spacing w:val="-5"/>
          <w:sz w:val="17"/>
        </w:rPr>
        <w:t> </w:t>
      </w:r>
      <w:r>
        <w:rPr>
          <w:rFonts w:ascii="Calibri" w:hAnsi="Calibri"/>
          <w:color w:val="231F20"/>
          <w:spacing w:val="-3"/>
          <w:sz w:val="17"/>
        </w:rPr>
        <w:t>“Aporías</w:t>
      </w:r>
      <w:r>
        <w:rPr>
          <w:rFonts w:ascii="Calibri" w:hAnsi="Calibri"/>
          <w:color w:val="231F20"/>
          <w:spacing w:val="-5"/>
          <w:sz w:val="17"/>
        </w:rPr>
        <w:t> </w:t>
      </w:r>
      <w:r>
        <w:rPr>
          <w:rFonts w:ascii="Calibri" w:hAnsi="Calibri"/>
          <w:color w:val="231F20"/>
          <w:sz w:val="17"/>
        </w:rPr>
        <w:t>e interfases en los estudios de la democratización: análisis del régimen </w:t>
      </w:r>
      <w:r>
        <w:rPr>
          <w:rFonts w:ascii="Calibri" w:hAnsi="Calibri"/>
          <w:i/>
          <w:color w:val="231F20"/>
          <w:sz w:val="17"/>
        </w:rPr>
        <w:t>versus </w:t>
      </w:r>
      <w:r>
        <w:rPr>
          <w:rFonts w:ascii="Calibri" w:hAnsi="Calibri"/>
          <w:color w:val="231F20"/>
          <w:sz w:val="17"/>
        </w:rPr>
        <w:t>estudios culturales”, </w:t>
      </w:r>
      <w:r>
        <w:rPr>
          <w:rFonts w:ascii="Calibri" w:hAnsi="Calibri"/>
          <w:i/>
          <w:color w:val="231F20"/>
          <w:sz w:val="17"/>
        </w:rPr>
        <w:t>Revista mexicana de sociología</w:t>
      </w:r>
      <w:r>
        <w:rPr>
          <w:rFonts w:ascii="Calibri" w:hAnsi="Calibri"/>
          <w:color w:val="231F20"/>
          <w:sz w:val="17"/>
        </w:rPr>
        <w:t>, </w:t>
      </w:r>
      <w:r>
        <w:rPr>
          <w:rFonts w:ascii="Calibri" w:hAnsi="Calibri"/>
          <w:color w:val="231F20"/>
          <w:sz w:val="14"/>
        </w:rPr>
        <w:t>LXI</w:t>
      </w:r>
      <w:r>
        <w:rPr>
          <w:rFonts w:ascii="Calibri" w:hAnsi="Calibri"/>
          <w:color w:val="231F20"/>
          <w:sz w:val="17"/>
        </w:rPr>
        <w:t>, 1, 1999, pp. 177–195; L. Whitehead, </w:t>
      </w:r>
      <w:r>
        <w:rPr>
          <w:rFonts w:ascii="Calibri" w:hAnsi="Calibri"/>
          <w:i/>
          <w:color w:val="231F20"/>
          <w:sz w:val="17"/>
        </w:rPr>
        <w:t>Democratización. </w:t>
      </w:r>
      <w:r>
        <w:rPr>
          <w:rFonts w:ascii="Calibri" w:hAnsi="Calibri"/>
          <w:i/>
          <w:color w:val="231F20"/>
          <w:spacing w:val="-3"/>
          <w:sz w:val="17"/>
        </w:rPr>
        <w:t>Teoría </w:t>
      </w:r>
      <w:r>
        <w:rPr>
          <w:rFonts w:ascii="Calibri" w:hAnsi="Calibri"/>
          <w:i/>
          <w:color w:val="231F20"/>
          <w:sz w:val="17"/>
        </w:rPr>
        <w:t>y </w:t>
      </w:r>
      <w:r>
        <w:rPr>
          <w:rFonts w:ascii="Calibri" w:hAnsi="Calibri"/>
          <w:i/>
          <w:color w:val="231F20"/>
          <w:sz w:val="17"/>
        </w:rPr>
        <w:t>experiencia</w:t>
      </w:r>
      <w:r>
        <w:rPr>
          <w:rFonts w:ascii="Calibri" w:hAnsi="Calibri"/>
          <w:color w:val="231F20"/>
          <w:sz w:val="17"/>
        </w:rPr>
        <w:t>, México, Fondo de Cultura Económica,</w:t>
      </w:r>
      <w:r>
        <w:rPr>
          <w:rFonts w:ascii="Calibri" w:hAnsi="Calibri"/>
          <w:color w:val="231F20"/>
          <w:spacing w:val="-20"/>
          <w:sz w:val="17"/>
        </w:rPr>
        <w:t> </w:t>
      </w:r>
      <w:r>
        <w:rPr>
          <w:rFonts w:ascii="Calibri" w:hAnsi="Calibri"/>
          <w:color w:val="231F20"/>
          <w:sz w:val="17"/>
        </w:rPr>
        <w:t>2011.</w:t>
      </w:r>
    </w:p>
    <w:p>
      <w:pPr>
        <w:spacing w:line="235" w:lineRule="auto" w:before="0"/>
        <w:ind w:left="117" w:right="101" w:firstLine="0"/>
        <w:jc w:val="both"/>
        <w:rPr>
          <w:rFonts w:ascii="Calibri" w:hAnsi="Calibri"/>
          <w:sz w:val="17"/>
        </w:rPr>
      </w:pPr>
      <w:r>
        <w:rPr>
          <w:rFonts w:ascii="Calibri" w:hAnsi="Calibri"/>
          <w:color w:val="231F20"/>
          <w:position w:val="6"/>
          <w:sz w:val="10"/>
        </w:rPr>
        <w:t>36 </w:t>
      </w:r>
      <w:r>
        <w:rPr>
          <w:rFonts w:ascii="Calibri" w:hAnsi="Calibri"/>
          <w:color w:val="231F20"/>
          <w:sz w:val="17"/>
        </w:rPr>
        <w:t>G. O’Donnell, </w:t>
      </w:r>
      <w:r>
        <w:rPr>
          <w:rFonts w:ascii="Calibri" w:hAnsi="Calibri"/>
          <w:i/>
          <w:color w:val="231F20"/>
          <w:sz w:val="17"/>
        </w:rPr>
        <w:t>Disonancias. Críticas democráticas a la democracia</w:t>
      </w:r>
      <w:r>
        <w:rPr>
          <w:rFonts w:ascii="Calibri" w:hAnsi="Calibri"/>
          <w:color w:val="231F20"/>
          <w:sz w:val="17"/>
        </w:rPr>
        <w:t>, Buenos Aires, Prometeo Libros, 2007; G. O’Donnell, </w:t>
      </w:r>
      <w:r>
        <w:rPr>
          <w:rFonts w:ascii="Calibri" w:hAnsi="Calibri"/>
          <w:i/>
          <w:color w:val="231F20"/>
          <w:sz w:val="17"/>
        </w:rPr>
        <w:t>Democracia, agencia y Estado. Teoría con intención comparativa</w:t>
      </w:r>
      <w:r>
        <w:rPr>
          <w:rFonts w:ascii="Calibri" w:hAnsi="Calibri"/>
          <w:color w:val="231F20"/>
          <w:sz w:val="17"/>
        </w:rPr>
        <w:t>, Buenos  Aires,</w:t>
      </w:r>
    </w:p>
    <w:p>
      <w:pPr>
        <w:spacing w:after="0" w:line="235" w:lineRule="auto"/>
        <w:jc w:val="both"/>
        <w:rPr>
          <w:rFonts w:ascii="Calibri" w:hAnsi="Calibri"/>
          <w:sz w:val="17"/>
        </w:rPr>
        <w:sectPr>
          <w:type w:val="continuous"/>
          <w:pgSz w:w="9640" w:h="13890"/>
          <w:pgMar w:top="0" w:bottom="0" w:left="1300" w:right="1200"/>
        </w:sectPr>
      </w:pPr>
    </w:p>
    <w:p>
      <w:pPr>
        <w:pStyle w:val="BodyText"/>
        <w:spacing w:line="247" w:lineRule="auto" w:before="107"/>
        <w:ind w:left="103" w:right="111"/>
        <w:jc w:val="both"/>
      </w:pPr>
      <w:r>
        <w:rPr>
          <w:color w:val="231F20"/>
        </w:rPr>
        <w:t>la consolidazione di una base forte di </w:t>
      </w:r>
      <w:r>
        <w:rPr>
          <w:rFonts w:ascii="Arial" w:hAnsi="Arial"/>
          <w:i/>
          <w:color w:val="231F20"/>
        </w:rPr>
        <w:t>statualità</w:t>
      </w:r>
      <w:r>
        <w:rPr>
          <w:color w:val="231F20"/>
        </w:rPr>
        <w:t>, concorde con il pluralismo politico e, in generale, con il dissenso, al termine della vita storica di un </w:t>
      </w:r>
      <w:r>
        <w:rPr>
          <w:color w:val="231F20"/>
          <w:spacing w:val="-4"/>
        </w:rPr>
        <w:t>regime </w:t>
      </w:r>
      <w:r>
        <w:rPr>
          <w:color w:val="231F20"/>
          <w:spacing w:val="-3"/>
        </w:rPr>
        <w:t>politico autoritario </w:t>
      </w:r>
      <w:r>
        <w:rPr>
          <w:color w:val="231F20"/>
        </w:rPr>
        <w:t>non </w:t>
      </w:r>
      <w:r>
        <w:rPr>
          <w:color w:val="231F20"/>
          <w:spacing w:val="-3"/>
        </w:rPr>
        <w:t>necessariamente accompagnerà </w:t>
      </w:r>
      <w:r>
        <w:rPr>
          <w:color w:val="231F20"/>
        </w:rPr>
        <w:t>il </w:t>
      </w:r>
      <w:r>
        <w:rPr>
          <w:color w:val="231F20"/>
          <w:spacing w:val="-4"/>
        </w:rPr>
        <w:t>processo </w:t>
      </w:r>
      <w:r>
        <w:rPr>
          <w:color w:val="231F20"/>
          <w:spacing w:val="-3"/>
        </w:rPr>
        <w:t>di </w:t>
      </w:r>
      <w:r>
        <w:rPr>
          <w:color w:val="231F20"/>
        </w:rPr>
        <w:t>democratizzazione</w:t>
      </w:r>
      <w:r>
        <w:rPr>
          <w:color w:val="231F20"/>
          <w:spacing w:val="-17"/>
        </w:rPr>
        <w:t> </w:t>
      </w:r>
      <w:r>
        <w:rPr>
          <w:color w:val="231F20"/>
        </w:rPr>
        <w:t>delle</w:t>
      </w:r>
      <w:r>
        <w:rPr>
          <w:color w:val="231F20"/>
          <w:spacing w:val="-17"/>
        </w:rPr>
        <w:t> </w:t>
      </w:r>
      <w:r>
        <w:rPr>
          <w:color w:val="231F20"/>
        </w:rPr>
        <w:t>istituzioni</w:t>
      </w:r>
      <w:r>
        <w:rPr>
          <w:color w:val="231F20"/>
          <w:spacing w:val="-17"/>
        </w:rPr>
        <w:t> </w:t>
      </w:r>
      <w:r>
        <w:rPr>
          <w:color w:val="231F20"/>
        </w:rPr>
        <w:t>politiche</w:t>
      </w:r>
      <w:r>
        <w:rPr>
          <w:color w:val="231F20"/>
          <w:spacing w:val="-17"/>
        </w:rPr>
        <w:t> </w:t>
      </w:r>
      <w:r>
        <w:rPr>
          <w:color w:val="231F20"/>
        </w:rPr>
        <w:t>e</w:t>
      </w:r>
      <w:r>
        <w:rPr>
          <w:color w:val="231F20"/>
          <w:spacing w:val="-17"/>
        </w:rPr>
        <w:t> </w:t>
      </w:r>
      <w:r>
        <w:rPr>
          <w:color w:val="231F20"/>
        </w:rPr>
        <w:t>del</w:t>
      </w:r>
      <w:r>
        <w:rPr>
          <w:color w:val="231F20"/>
          <w:spacing w:val="-17"/>
        </w:rPr>
        <w:t> </w:t>
      </w:r>
      <w:r>
        <w:rPr>
          <w:color w:val="231F20"/>
          <w:spacing w:val="-3"/>
        </w:rPr>
        <w:t>regime</w:t>
      </w:r>
      <w:r>
        <w:rPr>
          <w:color w:val="231F20"/>
          <w:spacing w:val="-17"/>
        </w:rPr>
        <w:t> </w:t>
      </w:r>
      <w:r>
        <w:rPr>
          <w:color w:val="231F20"/>
        </w:rPr>
        <w:t>politico</w:t>
      </w:r>
      <w:r>
        <w:rPr>
          <w:color w:val="231F20"/>
          <w:spacing w:val="-17"/>
        </w:rPr>
        <w:t> </w:t>
      </w:r>
      <w:r>
        <w:rPr>
          <w:color w:val="231F20"/>
        </w:rPr>
        <w:t>e</w:t>
      </w:r>
      <w:r>
        <w:rPr>
          <w:color w:val="231F20"/>
          <w:spacing w:val="-17"/>
        </w:rPr>
        <w:t> </w:t>
      </w:r>
      <w:r>
        <w:rPr>
          <w:color w:val="231F20"/>
        </w:rPr>
        <w:t>viceversa. A</w:t>
      </w:r>
      <w:r>
        <w:rPr>
          <w:color w:val="231F20"/>
          <w:spacing w:val="-7"/>
        </w:rPr>
        <w:t> </w:t>
      </w:r>
      <w:r>
        <w:rPr>
          <w:color w:val="231F20"/>
        </w:rPr>
        <w:t>volte</w:t>
      </w:r>
      <w:r>
        <w:rPr>
          <w:color w:val="231F20"/>
          <w:spacing w:val="-7"/>
        </w:rPr>
        <w:t> </w:t>
      </w:r>
      <w:r>
        <w:rPr>
          <w:color w:val="231F20"/>
        </w:rPr>
        <w:t>quello</w:t>
      </w:r>
      <w:r>
        <w:rPr>
          <w:color w:val="231F20"/>
          <w:spacing w:val="-7"/>
        </w:rPr>
        <w:t> </w:t>
      </w:r>
      <w:r>
        <w:rPr>
          <w:color w:val="231F20"/>
        </w:rPr>
        <w:t>che</w:t>
      </w:r>
      <w:r>
        <w:rPr>
          <w:color w:val="231F20"/>
          <w:spacing w:val="-7"/>
        </w:rPr>
        <w:t> </w:t>
      </w:r>
      <w:r>
        <w:rPr>
          <w:color w:val="231F20"/>
        </w:rPr>
        <w:t>abbiamo</w:t>
      </w:r>
      <w:r>
        <w:rPr>
          <w:color w:val="231F20"/>
          <w:spacing w:val="-4"/>
        </w:rPr>
        <w:t> </w:t>
      </w:r>
      <w:r>
        <w:rPr>
          <w:color w:val="231F20"/>
        </w:rPr>
        <w:t>è</w:t>
      </w:r>
      <w:r>
        <w:rPr>
          <w:color w:val="231F20"/>
          <w:spacing w:val="-7"/>
        </w:rPr>
        <w:t> </w:t>
      </w:r>
      <w:r>
        <w:rPr>
          <w:color w:val="231F20"/>
        </w:rPr>
        <w:t>il</w:t>
      </w:r>
      <w:r>
        <w:rPr>
          <w:color w:val="231F20"/>
          <w:spacing w:val="-7"/>
        </w:rPr>
        <w:t> </w:t>
      </w:r>
      <w:r>
        <w:rPr>
          <w:color w:val="231F20"/>
        </w:rPr>
        <w:t>fenomeno</w:t>
      </w:r>
      <w:r>
        <w:rPr>
          <w:color w:val="231F20"/>
          <w:spacing w:val="-7"/>
        </w:rPr>
        <w:t> </w:t>
      </w:r>
      <w:r>
        <w:rPr>
          <w:color w:val="231F20"/>
        </w:rPr>
        <w:t>della</w:t>
      </w:r>
      <w:r>
        <w:rPr>
          <w:color w:val="231F20"/>
          <w:spacing w:val="-7"/>
        </w:rPr>
        <w:t> </w:t>
      </w:r>
      <w:r>
        <w:rPr>
          <w:color w:val="231F20"/>
        </w:rPr>
        <w:t>“liberalizzazione</w:t>
      </w:r>
      <w:r>
        <w:rPr>
          <w:color w:val="231F20"/>
          <w:spacing w:val="-7"/>
        </w:rPr>
        <w:t> </w:t>
      </w:r>
      <w:r>
        <w:rPr>
          <w:color w:val="231F20"/>
          <w:spacing w:val="-3"/>
        </w:rPr>
        <w:t>all’indietro” </w:t>
      </w:r>
      <w:r>
        <w:rPr>
          <w:color w:val="231F20"/>
        </w:rPr>
        <w:t>(</w:t>
      </w:r>
      <w:r>
        <w:rPr>
          <w:rFonts w:ascii="Arial" w:hAnsi="Arial"/>
          <w:i/>
          <w:color w:val="231F20"/>
        </w:rPr>
        <w:t>spillover effect</w:t>
      </w:r>
      <w:r>
        <w:rPr>
          <w:color w:val="231F20"/>
        </w:rPr>
        <w:t>). Ad esempio, osserviamo l’esperienza russa della fine del regime comunista e la consolidazione del chiamato “consenso imposto”</w:t>
      </w:r>
      <w:r>
        <w:rPr>
          <w:color w:val="231F20"/>
          <w:spacing w:val="-34"/>
        </w:rPr>
        <w:t> </w:t>
      </w:r>
      <w:r>
        <w:rPr>
          <w:color w:val="231F20"/>
        </w:rPr>
        <w:t>nel primo governo di Vladimir Putin, che cercò di “restaurare il funzionamento statale anziché consolidare il pluralismo e i processi democratici”</w:t>
      </w:r>
      <w:r>
        <w:rPr>
          <w:color w:val="231F20"/>
          <w:position w:val="7"/>
          <w:sz w:val="12"/>
        </w:rPr>
        <w:t>37</w:t>
      </w:r>
      <w:r>
        <w:rPr>
          <w:color w:val="231F20"/>
        </w:rPr>
        <w:t>.</w:t>
      </w:r>
      <w:r>
        <w:rPr>
          <w:color w:val="231F20"/>
          <w:position w:val="7"/>
          <w:sz w:val="12"/>
        </w:rPr>
        <w:t>38 </w:t>
      </w:r>
      <w:r>
        <w:rPr>
          <w:color w:val="231F20"/>
        </w:rPr>
        <w:t>Per questo,</w:t>
      </w:r>
      <w:r>
        <w:rPr>
          <w:color w:val="231F20"/>
          <w:spacing w:val="-17"/>
        </w:rPr>
        <w:t> </w:t>
      </w:r>
      <w:r>
        <w:rPr>
          <w:color w:val="231F20"/>
        </w:rPr>
        <w:t>la</w:t>
      </w:r>
      <w:r>
        <w:rPr>
          <w:color w:val="231F20"/>
          <w:spacing w:val="-17"/>
        </w:rPr>
        <w:t> </w:t>
      </w:r>
      <w:r>
        <w:rPr>
          <w:color w:val="231F20"/>
        </w:rPr>
        <w:t>restaurazione</w:t>
      </w:r>
      <w:r>
        <w:rPr>
          <w:color w:val="231F20"/>
          <w:spacing w:val="-17"/>
        </w:rPr>
        <w:t> </w:t>
      </w:r>
      <w:r>
        <w:rPr>
          <w:color w:val="231F20"/>
        </w:rPr>
        <w:t>della</w:t>
      </w:r>
      <w:r>
        <w:rPr>
          <w:color w:val="231F20"/>
          <w:spacing w:val="-17"/>
        </w:rPr>
        <w:t> </w:t>
      </w:r>
      <w:r>
        <w:rPr>
          <w:color w:val="231F20"/>
        </w:rPr>
        <w:t>funzionalità</w:t>
      </w:r>
      <w:r>
        <w:rPr>
          <w:color w:val="231F20"/>
          <w:spacing w:val="-17"/>
        </w:rPr>
        <w:t> </w:t>
      </w:r>
      <w:r>
        <w:rPr>
          <w:color w:val="231F20"/>
        </w:rPr>
        <w:t>dell’ordine</w:t>
      </w:r>
      <w:r>
        <w:rPr>
          <w:color w:val="231F20"/>
          <w:spacing w:val="-17"/>
        </w:rPr>
        <w:t> </w:t>
      </w:r>
      <w:r>
        <w:rPr>
          <w:color w:val="231F20"/>
        </w:rPr>
        <w:t>statale</w:t>
      </w:r>
      <w:r>
        <w:rPr>
          <w:color w:val="231F20"/>
          <w:spacing w:val="-17"/>
        </w:rPr>
        <w:t> </w:t>
      </w:r>
      <w:r>
        <w:rPr>
          <w:color w:val="231F20"/>
        </w:rPr>
        <w:t>supponeva</w:t>
      </w:r>
      <w:r>
        <w:rPr>
          <w:color w:val="231F20"/>
          <w:spacing w:val="-17"/>
        </w:rPr>
        <w:t> </w:t>
      </w:r>
      <w:r>
        <w:rPr>
          <w:color w:val="231F20"/>
        </w:rPr>
        <w:t>una profonda “ridefinizione della propria identità nazionale” che era l’effetto </w:t>
      </w:r>
      <w:r>
        <w:rPr>
          <w:color w:val="231F20"/>
          <w:spacing w:val="-3"/>
        </w:rPr>
        <w:t>della</w:t>
      </w:r>
      <w:r>
        <w:rPr>
          <w:color w:val="231F20"/>
          <w:spacing w:val="-12"/>
        </w:rPr>
        <w:t> </w:t>
      </w:r>
      <w:r>
        <w:rPr>
          <w:color w:val="231F20"/>
          <w:spacing w:val="-3"/>
        </w:rPr>
        <w:t>dissoluzione</w:t>
      </w:r>
      <w:r>
        <w:rPr>
          <w:color w:val="231F20"/>
          <w:spacing w:val="-12"/>
        </w:rPr>
        <w:t> </w:t>
      </w:r>
      <w:r>
        <w:rPr>
          <w:color w:val="231F20"/>
          <w:spacing w:val="-3"/>
        </w:rPr>
        <w:t>della</w:t>
      </w:r>
      <w:r>
        <w:rPr>
          <w:color w:val="231F20"/>
          <w:spacing w:val="-12"/>
        </w:rPr>
        <w:t> </w:t>
      </w:r>
      <w:r>
        <w:rPr>
          <w:color w:val="231F20"/>
          <w:spacing w:val="-3"/>
        </w:rPr>
        <w:t>vecchia</w:t>
      </w:r>
      <w:r>
        <w:rPr>
          <w:color w:val="231F20"/>
          <w:spacing w:val="-12"/>
        </w:rPr>
        <w:t> </w:t>
      </w:r>
      <w:r>
        <w:rPr>
          <w:color w:val="231F20"/>
          <w:spacing w:val="-3"/>
        </w:rPr>
        <w:t>Unione</w:t>
      </w:r>
      <w:r>
        <w:rPr>
          <w:color w:val="231F20"/>
          <w:spacing w:val="-12"/>
        </w:rPr>
        <w:t> </w:t>
      </w:r>
      <w:r>
        <w:rPr>
          <w:color w:val="231F20"/>
          <w:spacing w:val="-3"/>
        </w:rPr>
        <w:t>Sovietica</w:t>
      </w:r>
      <w:r>
        <w:rPr>
          <w:color w:val="231F20"/>
          <w:spacing w:val="-12"/>
        </w:rPr>
        <w:t> </w:t>
      </w:r>
      <w:r>
        <w:rPr>
          <w:color w:val="231F20"/>
        </w:rPr>
        <w:t>e</w:t>
      </w:r>
      <w:r>
        <w:rPr>
          <w:color w:val="231F20"/>
          <w:spacing w:val="-12"/>
        </w:rPr>
        <w:t> </w:t>
      </w:r>
      <w:r>
        <w:rPr>
          <w:color w:val="231F20"/>
        </w:rPr>
        <w:t>che</w:t>
      </w:r>
      <w:r>
        <w:rPr>
          <w:color w:val="231F20"/>
          <w:spacing w:val="-12"/>
        </w:rPr>
        <w:t> </w:t>
      </w:r>
      <w:r>
        <w:rPr>
          <w:color w:val="231F20"/>
          <w:spacing w:val="-4"/>
        </w:rPr>
        <w:t>sarebbe</w:t>
      </w:r>
      <w:r>
        <w:rPr>
          <w:color w:val="231F20"/>
          <w:spacing w:val="-12"/>
        </w:rPr>
        <w:t> </w:t>
      </w:r>
      <w:r>
        <w:rPr>
          <w:color w:val="231F20"/>
          <w:spacing w:val="-3"/>
        </w:rPr>
        <w:t>finita</w:t>
      </w:r>
      <w:r>
        <w:rPr>
          <w:color w:val="231F20"/>
          <w:spacing w:val="-12"/>
        </w:rPr>
        <w:t> </w:t>
      </w:r>
      <w:r>
        <w:rPr>
          <w:color w:val="231F20"/>
          <w:spacing w:val="-3"/>
        </w:rPr>
        <w:t>centrata </w:t>
      </w:r>
      <w:r>
        <w:rPr>
          <w:color w:val="231F20"/>
        </w:rPr>
        <w:t>nella</w:t>
      </w:r>
      <w:r>
        <w:rPr>
          <w:color w:val="231F20"/>
          <w:spacing w:val="-15"/>
        </w:rPr>
        <w:t> </w:t>
      </w:r>
      <w:r>
        <w:rPr>
          <w:color w:val="231F20"/>
        </w:rPr>
        <w:t>figura</w:t>
      </w:r>
      <w:r>
        <w:rPr>
          <w:color w:val="231F20"/>
          <w:spacing w:val="-15"/>
        </w:rPr>
        <w:t> </w:t>
      </w:r>
      <w:r>
        <w:rPr>
          <w:color w:val="231F20"/>
          <w:spacing w:val="-3"/>
        </w:rPr>
        <w:t>presidenziale</w:t>
      </w:r>
      <w:r>
        <w:rPr>
          <w:color w:val="231F20"/>
          <w:spacing w:val="-15"/>
        </w:rPr>
        <w:t> </w:t>
      </w:r>
      <w:r>
        <w:rPr>
          <w:color w:val="231F20"/>
        </w:rPr>
        <w:t>di</w:t>
      </w:r>
      <w:r>
        <w:rPr>
          <w:color w:val="231F20"/>
          <w:spacing w:val="-15"/>
        </w:rPr>
        <w:t> </w:t>
      </w:r>
      <w:r>
        <w:rPr>
          <w:color w:val="231F20"/>
        </w:rPr>
        <w:t>Putin</w:t>
      </w:r>
      <w:r>
        <w:rPr>
          <w:color w:val="231F20"/>
          <w:position w:val="7"/>
          <w:sz w:val="12"/>
        </w:rPr>
        <w:t>39</w:t>
      </w:r>
      <w:r>
        <w:rPr>
          <w:color w:val="231F20"/>
        </w:rPr>
        <w:t>.</w:t>
      </w:r>
      <w:r>
        <w:rPr>
          <w:color w:val="231F20"/>
          <w:spacing w:val="-15"/>
        </w:rPr>
        <w:t> </w:t>
      </w:r>
      <w:r>
        <w:rPr>
          <w:color w:val="231F20"/>
        </w:rPr>
        <w:t>Quindi,</w:t>
      </w:r>
      <w:r>
        <w:rPr>
          <w:color w:val="231F20"/>
          <w:spacing w:val="-15"/>
        </w:rPr>
        <w:t> </w:t>
      </w:r>
      <w:r>
        <w:rPr>
          <w:color w:val="231F20"/>
        </w:rPr>
        <w:t>si</w:t>
      </w:r>
      <w:r>
        <w:rPr>
          <w:color w:val="231F20"/>
          <w:spacing w:val="-15"/>
        </w:rPr>
        <w:t> </w:t>
      </w:r>
      <w:r>
        <w:rPr>
          <w:color w:val="231F20"/>
        </w:rPr>
        <w:t>può</w:t>
      </w:r>
      <w:r>
        <w:rPr>
          <w:color w:val="231F20"/>
          <w:spacing w:val="-15"/>
        </w:rPr>
        <w:t> </w:t>
      </w:r>
      <w:r>
        <w:rPr>
          <w:color w:val="231F20"/>
          <w:spacing w:val="-3"/>
        </w:rPr>
        <w:t>dire</w:t>
      </w:r>
      <w:r>
        <w:rPr>
          <w:color w:val="231F20"/>
          <w:spacing w:val="-15"/>
        </w:rPr>
        <w:t> </w:t>
      </w:r>
      <w:r>
        <w:rPr>
          <w:color w:val="231F20"/>
        </w:rPr>
        <w:t>insieme</w:t>
      </w:r>
      <w:r>
        <w:rPr>
          <w:color w:val="231F20"/>
          <w:spacing w:val="-15"/>
        </w:rPr>
        <w:t> </w:t>
      </w:r>
      <w:r>
        <w:rPr>
          <w:color w:val="231F20"/>
        </w:rPr>
        <w:t>a</w:t>
      </w:r>
      <w:r>
        <w:rPr>
          <w:color w:val="231F20"/>
          <w:spacing w:val="-15"/>
        </w:rPr>
        <w:t> </w:t>
      </w:r>
      <w:r>
        <w:rPr>
          <w:color w:val="231F20"/>
        </w:rPr>
        <w:t>Mara</w:t>
      </w:r>
      <w:r>
        <w:rPr>
          <w:color w:val="231F20"/>
          <w:spacing w:val="-15"/>
        </w:rPr>
        <w:t> </w:t>
      </w:r>
      <w:r>
        <w:rPr>
          <w:color w:val="231F20"/>
          <w:spacing w:val="-2"/>
        </w:rPr>
        <w:t>Morini </w:t>
      </w:r>
      <w:r>
        <w:rPr>
          <w:color w:val="231F20"/>
          <w:spacing w:val="-3"/>
        </w:rPr>
        <w:t>che:</w:t>
      </w:r>
      <w:r>
        <w:rPr>
          <w:color w:val="231F20"/>
          <w:spacing w:val="-16"/>
        </w:rPr>
        <w:t> </w:t>
      </w:r>
      <w:r>
        <w:rPr>
          <w:color w:val="231F20"/>
        </w:rPr>
        <w:t>“la</w:t>
      </w:r>
      <w:r>
        <w:rPr>
          <w:color w:val="231F20"/>
          <w:spacing w:val="-16"/>
        </w:rPr>
        <w:t> </w:t>
      </w:r>
      <w:r>
        <w:rPr>
          <w:color w:val="231F20"/>
        </w:rPr>
        <w:t>fine</w:t>
      </w:r>
      <w:r>
        <w:rPr>
          <w:color w:val="231F20"/>
          <w:spacing w:val="-16"/>
        </w:rPr>
        <w:t> </w:t>
      </w:r>
      <w:r>
        <w:rPr>
          <w:color w:val="231F20"/>
        </w:rPr>
        <w:t>del</w:t>
      </w:r>
      <w:r>
        <w:rPr>
          <w:color w:val="231F20"/>
          <w:spacing w:val="-16"/>
        </w:rPr>
        <w:t> </w:t>
      </w:r>
      <w:r>
        <w:rPr>
          <w:color w:val="231F20"/>
          <w:spacing w:val="-3"/>
        </w:rPr>
        <w:t>comunismo</w:t>
      </w:r>
      <w:r>
        <w:rPr>
          <w:color w:val="231F20"/>
          <w:spacing w:val="-16"/>
        </w:rPr>
        <w:t> </w:t>
      </w:r>
      <w:r>
        <w:rPr>
          <w:color w:val="231F20"/>
        </w:rPr>
        <w:t>ha</w:t>
      </w:r>
      <w:r>
        <w:rPr>
          <w:color w:val="231F20"/>
          <w:spacing w:val="-16"/>
        </w:rPr>
        <w:t> </w:t>
      </w:r>
      <w:r>
        <w:rPr>
          <w:color w:val="231F20"/>
          <w:spacing w:val="-3"/>
        </w:rPr>
        <w:t>lasciato</w:t>
      </w:r>
      <w:r>
        <w:rPr>
          <w:color w:val="231F20"/>
          <w:spacing w:val="-16"/>
        </w:rPr>
        <w:t> </w:t>
      </w:r>
      <w:r>
        <w:rPr>
          <w:color w:val="231F20"/>
        </w:rPr>
        <w:t>un</w:t>
      </w:r>
      <w:r>
        <w:rPr>
          <w:color w:val="231F20"/>
          <w:spacing w:val="-16"/>
        </w:rPr>
        <w:t> </w:t>
      </w:r>
      <w:r>
        <w:rPr>
          <w:color w:val="231F20"/>
          <w:spacing w:val="-3"/>
        </w:rPr>
        <w:t>vuoto</w:t>
      </w:r>
      <w:r>
        <w:rPr>
          <w:color w:val="231F20"/>
          <w:spacing w:val="-16"/>
        </w:rPr>
        <w:t> </w:t>
      </w:r>
      <w:r>
        <w:rPr>
          <w:color w:val="231F20"/>
          <w:spacing w:val="-3"/>
        </w:rPr>
        <w:t>riempito</w:t>
      </w:r>
      <w:r>
        <w:rPr>
          <w:color w:val="231F20"/>
          <w:spacing w:val="-16"/>
        </w:rPr>
        <w:t> </w:t>
      </w:r>
      <w:r>
        <w:rPr>
          <w:color w:val="231F20"/>
          <w:spacing w:val="-3"/>
        </w:rPr>
        <w:t>anche</w:t>
      </w:r>
      <w:r>
        <w:rPr>
          <w:color w:val="231F20"/>
          <w:spacing w:val="-16"/>
        </w:rPr>
        <w:t> </w:t>
      </w:r>
      <w:r>
        <w:rPr>
          <w:color w:val="231F20"/>
        </w:rPr>
        <w:t>con</w:t>
      </w:r>
      <w:r>
        <w:rPr>
          <w:color w:val="231F20"/>
          <w:spacing w:val="-16"/>
        </w:rPr>
        <w:t> </w:t>
      </w:r>
      <w:r>
        <w:rPr>
          <w:color w:val="231F20"/>
          <w:spacing w:val="-3"/>
        </w:rPr>
        <w:t>elementi </w:t>
      </w:r>
      <w:r>
        <w:rPr>
          <w:color w:val="231F20"/>
        </w:rPr>
        <w:t>derivati</w:t>
      </w:r>
      <w:r>
        <w:rPr>
          <w:color w:val="231F20"/>
          <w:spacing w:val="-18"/>
        </w:rPr>
        <w:t> </w:t>
      </w:r>
      <w:r>
        <w:rPr>
          <w:color w:val="231F20"/>
          <w:spacing w:val="-3"/>
        </w:rPr>
        <w:t>dall’eredità</w:t>
      </w:r>
      <w:r>
        <w:rPr>
          <w:color w:val="231F20"/>
          <w:spacing w:val="-18"/>
        </w:rPr>
        <w:t> </w:t>
      </w:r>
      <w:r>
        <w:rPr>
          <w:color w:val="231F20"/>
          <w:spacing w:val="-3"/>
        </w:rPr>
        <w:t>pre-comunista</w:t>
      </w:r>
      <w:r>
        <w:rPr>
          <w:color w:val="231F20"/>
          <w:spacing w:val="-18"/>
        </w:rPr>
        <w:t> </w:t>
      </w:r>
      <w:r>
        <w:rPr>
          <w:color w:val="231F20"/>
        </w:rPr>
        <w:t>e</w:t>
      </w:r>
      <w:r>
        <w:rPr>
          <w:color w:val="231F20"/>
          <w:spacing w:val="-18"/>
        </w:rPr>
        <w:t> </w:t>
      </w:r>
      <w:r>
        <w:rPr>
          <w:color w:val="231F20"/>
        </w:rPr>
        <w:t>comunista:</w:t>
      </w:r>
      <w:r>
        <w:rPr>
          <w:color w:val="231F20"/>
          <w:spacing w:val="-18"/>
        </w:rPr>
        <w:t> </w:t>
      </w:r>
      <w:r>
        <w:rPr>
          <w:color w:val="231F20"/>
        </w:rPr>
        <w:t>il</w:t>
      </w:r>
      <w:r>
        <w:rPr>
          <w:color w:val="231F20"/>
          <w:spacing w:val="-18"/>
        </w:rPr>
        <w:t> </w:t>
      </w:r>
      <w:r>
        <w:rPr>
          <w:color w:val="231F20"/>
        </w:rPr>
        <w:t>nazionalismo,</w:t>
      </w:r>
      <w:r>
        <w:rPr>
          <w:color w:val="231F20"/>
          <w:spacing w:val="-18"/>
        </w:rPr>
        <w:t> </w:t>
      </w:r>
      <w:r>
        <w:rPr>
          <w:color w:val="231F20"/>
        </w:rPr>
        <w:t>la</w:t>
      </w:r>
      <w:r>
        <w:rPr>
          <w:color w:val="231F20"/>
          <w:spacing w:val="-18"/>
        </w:rPr>
        <w:t> </w:t>
      </w:r>
      <w:r>
        <w:rPr>
          <w:color w:val="231F20"/>
        </w:rPr>
        <w:t>questione etnica e identitaria, il culto alla personalità, il neo-leninismo, l’intervento statale sull’economia e la derivazione</w:t>
      </w:r>
      <w:r>
        <w:rPr>
          <w:color w:val="231F20"/>
          <w:spacing w:val="47"/>
        </w:rPr>
        <w:t> </w:t>
      </w:r>
      <w:r>
        <w:rPr>
          <w:color w:val="231F20"/>
        </w:rPr>
        <w:t>cesarista–populista”</w:t>
      </w:r>
      <w:r>
        <w:rPr>
          <w:color w:val="231F20"/>
          <w:position w:val="7"/>
          <w:sz w:val="12"/>
        </w:rPr>
        <w:t>40</w:t>
      </w:r>
      <w:r>
        <w:rPr>
          <w:color w:val="231F20"/>
        </w:rPr>
        <w:t>.</w:t>
      </w:r>
    </w:p>
    <w:p>
      <w:pPr>
        <w:pStyle w:val="BodyText"/>
        <w:spacing w:line="247" w:lineRule="auto"/>
        <w:ind w:left="103" w:right="112" w:firstLine="566"/>
        <w:jc w:val="both"/>
      </w:pPr>
      <w:r>
        <w:rPr>
          <w:color w:val="231F20"/>
          <w:w w:val="105"/>
        </w:rPr>
        <w:t>Nello</w:t>
      </w:r>
      <w:r>
        <w:rPr>
          <w:color w:val="231F20"/>
          <w:spacing w:val="-50"/>
          <w:w w:val="105"/>
        </w:rPr>
        <w:t> </w:t>
      </w:r>
      <w:r>
        <w:rPr>
          <w:color w:val="231F20"/>
          <w:w w:val="105"/>
        </w:rPr>
        <w:t>stesso</w:t>
      </w:r>
      <w:r>
        <w:rPr>
          <w:color w:val="231F20"/>
          <w:spacing w:val="-50"/>
          <w:w w:val="105"/>
        </w:rPr>
        <w:t> </w:t>
      </w:r>
      <w:r>
        <w:rPr>
          <w:color w:val="231F20"/>
          <w:w w:val="105"/>
        </w:rPr>
        <w:t>modo,</w:t>
      </w:r>
      <w:r>
        <w:rPr>
          <w:color w:val="231F20"/>
          <w:spacing w:val="-50"/>
          <w:w w:val="105"/>
        </w:rPr>
        <w:t> </w:t>
      </w:r>
      <w:r>
        <w:rPr>
          <w:color w:val="231F20"/>
          <w:w w:val="105"/>
        </w:rPr>
        <w:t>pensiamo</w:t>
      </w:r>
      <w:r>
        <w:rPr>
          <w:color w:val="231F20"/>
          <w:spacing w:val="-50"/>
          <w:w w:val="105"/>
        </w:rPr>
        <w:t> </w:t>
      </w:r>
      <w:r>
        <w:rPr>
          <w:color w:val="231F20"/>
          <w:w w:val="105"/>
        </w:rPr>
        <w:t>ai</w:t>
      </w:r>
      <w:r>
        <w:rPr>
          <w:color w:val="231F20"/>
          <w:spacing w:val="-50"/>
          <w:w w:val="105"/>
        </w:rPr>
        <w:t> </w:t>
      </w:r>
      <w:r>
        <w:rPr>
          <w:color w:val="231F20"/>
          <w:w w:val="105"/>
        </w:rPr>
        <w:t>cambiamenti</w:t>
      </w:r>
      <w:r>
        <w:rPr>
          <w:color w:val="231F20"/>
          <w:spacing w:val="-50"/>
          <w:w w:val="105"/>
        </w:rPr>
        <w:t> </w:t>
      </w:r>
      <w:r>
        <w:rPr>
          <w:color w:val="231F20"/>
          <w:w w:val="105"/>
        </w:rPr>
        <w:t>politici</w:t>
      </w:r>
      <w:r>
        <w:rPr>
          <w:color w:val="231F20"/>
          <w:spacing w:val="-50"/>
          <w:w w:val="105"/>
        </w:rPr>
        <w:t> </w:t>
      </w:r>
      <w:r>
        <w:rPr>
          <w:color w:val="231F20"/>
          <w:w w:val="105"/>
        </w:rPr>
        <w:t>articolati</w:t>
      </w:r>
      <w:r>
        <w:rPr>
          <w:color w:val="231F20"/>
          <w:spacing w:val="-50"/>
          <w:w w:val="105"/>
        </w:rPr>
        <w:t> </w:t>
      </w:r>
      <w:r>
        <w:rPr>
          <w:color w:val="231F20"/>
          <w:w w:val="105"/>
        </w:rPr>
        <w:t>intorno alle</w:t>
      </w:r>
      <w:r>
        <w:rPr>
          <w:color w:val="231F20"/>
          <w:spacing w:val="-52"/>
          <w:w w:val="105"/>
        </w:rPr>
        <w:t> </w:t>
      </w:r>
      <w:r>
        <w:rPr>
          <w:color w:val="231F20"/>
          <w:w w:val="105"/>
        </w:rPr>
        <w:t>forti</w:t>
      </w:r>
      <w:r>
        <w:rPr>
          <w:color w:val="231F20"/>
          <w:spacing w:val="-52"/>
          <w:w w:val="105"/>
        </w:rPr>
        <w:t> </w:t>
      </w:r>
      <w:r>
        <w:rPr>
          <w:color w:val="231F20"/>
          <w:w w:val="105"/>
        </w:rPr>
        <w:t>manifestazioni</w:t>
      </w:r>
      <w:r>
        <w:rPr>
          <w:color w:val="231F20"/>
          <w:spacing w:val="-52"/>
          <w:w w:val="105"/>
        </w:rPr>
        <w:t> </w:t>
      </w:r>
      <w:r>
        <w:rPr>
          <w:color w:val="231F20"/>
          <w:w w:val="105"/>
        </w:rPr>
        <w:t>di</w:t>
      </w:r>
      <w:r>
        <w:rPr>
          <w:color w:val="231F20"/>
          <w:spacing w:val="-52"/>
          <w:w w:val="105"/>
        </w:rPr>
        <w:t> </w:t>
      </w:r>
      <w:r>
        <w:rPr>
          <w:color w:val="231F20"/>
          <w:spacing w:val="-3"/>
          <w:w w:val="105"/>
        </w:rPr>
        <w:t>protesta</w:t>
      </w:r>
      <w:r>
        <w:rPr>
          <w:color w:val="231F20"/>
          <w:spacing w:val="-52"/>
          <w:w w:val="105"/>
        </w:rPr>
        <w:t> </w:t>
      </w:r>
      <w:r>
        <w:rPr>
          <w:color w:val="231F20"/>
          <w:w w:val="105"/>
        </w:rPr>
        <w:t>che</w:t>
      </w:r>
      <w:r>
        <w:rPr>
          <w:color w:val="231F20"/>
          <w:spacing w:val="-52"/>
          <w:w w:val="105"/>
        </w:rPr>
        <w:t> </w:t>
      </w:r>
      <w:r>
        <w:rPr>
          <w:color w:val="231F20"/>
          <w:w w:val="105"/>
        </w:rPr>
        <w:t>hanno</w:t>
      </w:r>
      <w:r>
        <w:rPr>
          <w:color w:val="231F20"/>
          <w:spacing w:val="-52"/>
          <w:w w:val="105"/>
        </w:rPr>
        <w:t> </w:t>
      </w:r>
      <w:r>
        <w:rPr>
          <w:color w:val="231F20"/>
          <w:w w:val="105"/>
        </w:rPr>
        <w:t>spinto</w:t>
      </w:r>
      <w:r>
        <w:rPr>
          <w:color w:val="231F20"/>
          <w:spacing w:val="-52"/>
          <w:w w:val="105"/>
        </w:rPr>
        <w:t> </w:t>
      </w:r>
      <w:r>
        <w:rPr>
          <w:color w:val="231F20"/>
          <w:spacing w:val="-3"/>
          <w:w w:val="105"/>
        </w:rPr>
        <w:t>precisamente</w:t>
      </w:r>
      <w:r>
        <w:rPr>
          <w:color w:val="231F20"/>
          <w:spacing w:val="-52"/>
          <w:w w:val="105"/>
        </w:rPr>
        <w:t> </w:t>
      </w:r>
      <w:r>
        <w:rPr>
          <w:color w:val="231F20"/>
          <w:w w:val="105"/>
        </w:rPr>
        <w:t>verso</w:t>
      </w:r>
      <w:r>
        <w:rPr>
          <w:color w:val="231F20"/>
          <w:spacing w:val="-52"/>
          <w:w w:val="105"/>
        </w:rPr>
        <w:t> </w:t>
      </w:r>
      <w:r>
        <w:rPr>
          <w:color w:val="231F20"/>
          <w:spacing w:val="-2"/>
          <w:w w:val="105"/>
        </w:rPr>
        <w:t>una </w:t>
      </w:r>
      <w:r>
        <w:rPr>
          <w:color w:val="231F20"/>
          <w:w w:val="105"/>
        </w:rPr>
        <w:t>“liberalizzazione</w:t>
      </w:r>
      <w:r>
        <w:rPr>
          <w:color w:val="231F20"/>
          <w:spacing w:val="-48"/>
          <w:w w:val="105"/>
        </w:rPr>
        <w:t> </w:t>
      </w:r>
      <w:r>
        <w:rPr>
          <w:color w:val="231F20"/>
          <w:w w:val="105"/>
        </w:rPr>
        <w:t>all’indietro”,</w:t>
      </w:r>
      <w:r>
        <w:rPr>
          <w:color w:val="231F20"/>
          <w:spacing w:val="-48"/>
          <w:w w:val="105"/>
        </w:rPr>
        <w:t> </w:t>
      </w:r>
      <w:r>
        <w:rPr>
          <w:color w:val="231F20"/>
          <w:w w:val="105"/>
        </w:rPr>
        <w:t>anche</w:t>
      </w:r>
      <w:r>
        <w:rPr>
          <w:color w:val="231F20"/>
          <w:spacing w:val="-48"/>
          <w:w w:val="105"/>
        </w:rPr>
        <w:t> </w:t>
      </w:r>
      <w:r>
        <w:rPr>
          <w:color w:val="231F20"/>
          <w:w w:val="105"/>
        </w:rPr>
        <w:t>parziale</w:t>
      </w:r>
      <w:r>
        <w:rPr>
          <w:color w:val="231F20"/>
          <w:spacing w:val="-48"/>
          <w:w w:val="105"/>
        </w:rPr>
        <w:t> </w:t>
      </w:r>
      <w:r>
        <w:rPr>
          <w:color w:val="231F20"/>
          <w:w w:val="105"/>
        </w:rPr>
        <w:t>e</w:t>
      </w:r>
      <w:r>
        <w:rPr>
          <w:color w:val="231F20"/>
          <w:spacing w:val="-48"/>
          <w:w w:val="105"/>
        </w:rPr>
        <w:t> </w:t>
      </w:r>
      <w:r>
        <w:rPr>
          <w:color w:val="231F20"/>
          <w:w w:val="105"/>
        </w:rPr>
        <w:t>caotica</w:t>
      </w:r>
      <w:r>
        <w:rPr>
          <w:color w:val="231F20"/>
          <w:spacing w:val="-48"/>
          <w:w w:val="105"/>
        </w:rPr>
        <w:t> </w:t>
      </w:r>
      <w:r>
        <w:rPr>
          <w:color w:val="231F20"/>
          <w:w w:val="105"/>
        </w:rPr>
        <w:t>in</w:t>
      </w:r>
      <w:r>
        <w:rPr>
          <w:color w:val="231F20"/>
          <w:spacing w:val="-48"/>
          <w:w w:val="105"/>
        </w:rPr>
        <w:t> </w:t>
      </w:r>
      <w:r>
        <w:rPr>
          <w:color w:val="231F20"/>
          <w:spacing w:val="-5"/>
          <w:w w:val="105"/>
        </w:rPr>
        <w:t>Tunisia</w:t>
      </w:r>
      <w:r>
        <w:rPr>
          <w:color w:val="231F20"/>
          <w:spacing w:val="-48"/>
          <w:w w:val="105"/>
        </w:rPr>
        <w:t> </w:t>
      </w:r>
      <w:r>
        <w:rPr>
          <w:color w:val="231F20"/>
          <w:w w:val="105"/>
        </w:rPr>
        <w:t>ed</w:t>
      </w:r>
      <w:r>
        <w:rPr>
          <w:color w:val="231F20"/>
          <w:spacing w:val="-48"/>
          <w:w w:val="105"/>
        </w:rPr>
        <w:t> </w:t>
      </w:r>
      <w:r>
        <w:rPr>
          <w:color w:val="231F20"/>
          <w:w w:val="105"/>
        </w:rPr>
        <w:t>Egitto,</w:t>
      </w:r>
      <w:r>
        <w:rPr>
          <w:color w:val="231F20"/>
          <w:spacing w:val="-48"/>
          <w:w w:val="105"/>
        </w:rPr>
        <w:t> </w:t>
      </w:r>
      <w:r>
        <w:rPr>
          <w:color w:val="231F20"/>
          <w:w w:val="105"/>
        </w:rPr>
        <w:t>la cui</w:t>
      </w:r>
      <w:r>
        <w:rPr>
          <w:color w:val="231F20"/>
          <w:spacing w:val="-55"/>
          <w:w w:val="105"/>
        </w:rPr>
        <w:t> </w:t>
      </w:r>
      <w:r>
        <w:rPr>
          <w:color w:val="231F20"/>
          <w:w w:val="105"/>
        </w:rPr>
        <w:t>onda</w:t>
      </w:r>
      <w:r>
        <w:rPr>
          <w:color w:val="231F20"/>
          <w:spacing w:val="-55"/>
          <w:w w:val="105"/>
        </w:rPr>
        <w:t> </w:t>
      </w:r>
      <w:r>
        <w:rPr>
          <w:color w:val="231F20"/>
          <w:w w:val="105"/>
        </w:rPr>
        <w:t>colpisce</w:t>
      </w:r>
      <w:r>
        <w:rPr>
          <w:color w:val="231F20"/>
          <w:spacing w:val="-55"/>
          <w:w w:val="105"/>
        </w:rPr>
        <w:t> </w:t>
      </w:r>
      <w:r>
        <w:rPr>
          <w:color w:val="231F20"/>
          <w:w w:val="105"/>
        </w:rPr>
        <w:t>con</w:t>
      </w:r>
      <w:r>
        <w:rPr>
          <w:color w:val="231F20"/>
          <w:spacing w:val="-55"/>
          <w:w w:val="105"/>
        </w:rPr>
        <w:t> </w:t>
      </w:r>
      <w:r>
        <w:rPr>
          <w:color w:val="231F20"/>
          <w:w w:val="105"/>
        </w:rPr>
        <w:t>risultati</w:t>
      </w:r>
      <w:r>
        <w:rPr>
          <w:color w:val="231F20"/>
          <w:spacing w:val="-55"/>
          <w:w w:val="105"/>
        </w:rPr>
        <w:t> </w:t>
      </w:r>
      <w:r>
        <w:rPr>
          <w:color w:val="231F20"/>
          <w:w w:val="105"/>
        </w:rPr>
        <w:t>totalmente</w:t>
      </w:r>
      <w:r>
        <w:rPr>
          <w:color w:val="231F20"/>
          <w:spacing w:val="-55"/>
          <w:w w:val="105"/>
        </w:rPr>
        <w:t> </w:t>
      </w:r>
      <w:r>
        <w:rPr>
          <w:color w:val="231F20"/>
          <w:w w:val="105"/>
        </w:rPr>
        <w:t>contraddittori</w:t>
      </w:r>
      <w:r>
        <w:rPr>
          <w:color w:val="231F20"/>
          <w:spacing w:val="-55"/>
          <w:w w:val="105"/>
        </w:rPr>
        <w:t> </w:t>
      </w:r>
      <w:r>
        <w:rPr>
          <w:color w:val="231F20"/>
          <w:w w:val="105"/>
        </w:rPr>
        <w:t>altri</w:t>
      </w:r>
      <w:r>
        <w:rPr>
          <w:color w:val="231F20"/>
          <w:spacing w:val="-55"/>
          <w:w w:val="105"/>
        </w:rPr>
        <w:t> </w:t>
      </w:r>
      <w:r>
        <w:rPr>
          <w:color w:val="231F20"/>
          <w:w w:val="105"/>
        </w:rPr>
        <w:t>paesi</w:t>
      </w:r>
      <w:r>
        <w:rPr>
          <w:color w:val="231F20"/>
          <w:spacing w:val="-55"/>
          <w:w w:val="105"/>
        </w:rPr>
        <w:t> </w:t>
      </w:r>
      <w:r>
        <w:rPr>
          <w:color w:val="231F20"/>
          <w:w w:val="105"/>
        </w:rPr>
        <w:t>della</w:t>
      </w:r>
      <w:r>
        <w:rPr>
          <w:color w:val="231F20"/>
          <w:spacing w:val="-55"/>
          <w:w w:val="105"/>
        </w:rPr>
        <w:t> </w:t>
      </w:r>
      <w:r>
        <w:rPr>
          <w:color w:val="231F20"/>
          <w:w w:val="105"/>
        </w:rPr>
        <w:t>zona, come</w:t>
      </w:r>
      <w:r>
        <w:rPr>
          <w:color w:val="231F20"/>
          <w:spacing w:val="-49"/>
          <w:w w:val="105"/>
        </w:rPr>
        <w:t> </w:t>
      </w:r>
      <w:r>
        <w:rPr>
          <w:color w:val="231F20"/>
          <w:w w:val="105"/>
        </w:rPr>
        <w:t>Libia,</w:t>
      </w:r>
      <w:r>
        <w:rPr>
          <w:color w:val="231F20"/>
          <w:spacing w:val="-49"/>
          <w:w w:val="105"/>
        </w:rPr>
        <w:t> </w:t>
      </w:r>
      <w:r>
        <w:rPr>
          <w:color w:val="231F20"/>
          <w:spacing w:val="-5"/>
          <w:w w:val="105"/>
        </w:rPr>
        <w:t>Yemen,</w:t>
      </w:r>
      <w:r>
        <w:rPr>
          <w:color w:val="231F20"/>
          <w:spacing w:val="-49"/>
          <w:w w:val="105"/>
        </w:rPr>
        <w:t> </w:t>
      </w:r>
      <w:r>
        <w:rPr>
          <w:color w:val="231F20"/>
          <w:w w:val="105"/>
        </w:rPr>
        <w:t>Giordania,</w:t>
      </w:r>
      <w:r>
        <w:rPr>
          <w:color w:val="231F20"/>
          <w:spacing w:val="-49"/>
          <w:w w:val="105"/>
        </w:rPr>
        <w:t> </w:t>
      </w:r>
      <w:r>
        <w:rPr>
          <w:color w:val="231F20"/>
          <w:w w:val="105"/>
        </w:rPr>
        <w:t>Siria</w:t>
      </w:r>
      <w:r>
        <w:rPr>
          <w:color w:val="231F20"/>
          <w:spacing w:val="-49"/>
          <w:w w:val="105"/>
        </w:rPr>
        <w:t> </w:t>
      </w:r>
      <w:r>
        <w:rPr>
          <w:color w:val="231F20"/>
          <w:w w:val="105"/>
        </w:rPr>
        <w:t>(oggi</w:t>
      </w:r>
      <w:r>
        <w:rPr>
          <w:color w:val="231F20"/>
          <w:spacing w:val="-49"/>
          <w:w w:val="105"/>
        </w:rPr>
        <w:t> </w:t>
      </w:r>
      <w:r>
        <w:rPr>
          <w:color w:val="231F20"/>
          <w:w w:val="105"/>
        </w:rPr>
        <w:t>in</w:t>
      </w:r>
      <w:r>
        <w:rPr>
          <w:color w:val="231F20"/>
          <w:spacing w:val="-49"/>
          <w:w w:val="105"/>
        </w:rPr>
        <w:t> </w:t>
      </w:r>
      <w:r>
        <w:rPr>
          <w:color w:val="231F20"/>
          <w:w w:val="105"/>
        </w:rPr>
        <w:t>guerra</w:t>
      </w:r>
      <w:r>
        <w:rPr>
          <w:color w:val="231F20"/>
          <w:spacing w:val="-49"/>
          <w:w w:val="105"/>
        </w:rPr>
        <w:t> </w:t>
      </w:r>
      <w:r>
        <w:rPr>
          <w:color w:val="231F20"/>
          <w:w w:val="105"/>
        </w:rPr>
        <w:t>civile),</w:t>
      </w:r>
      <w:r>
        <w:rPr>
          <w:color w:val="231F20"/>
          <w:spacing w:val="-49"/>
          <w:w w:val="105"/>
        </w:rPr>
        <w:t> </w:t>
      </w:r>
      <w:r>
        <w:rPr>
          <w:color w:val="231F20"/>
          <w:w w:val="105"/>
        </w:rPr>
        <w:t>Marocco,</w:t>
      </w:r>
      <w:r>
        <w:rPr>
          <w:color w:val="231F20"/>
          <w:spacing w:val="-49"/>
          <w:w w:val="105"/>
        </w:rPr>
        <w:t> </w:t>
      </w:r>
      <w:r>
        <w:rPr>
          <w:color w:val="231F20"/>
          <w:w w:val="105"/>
        </w:rPr>
        <w:t>al</w:t>
      </w:r>
      <w:r>
        <w:rPr>
          <w:color w:val="231F20"/>
          <w:spacing w:val="-49"/>
          <w:w w:val="105"/>
        </w:rPr>
        <w:t> </w:t>
      </w:r>
      <w:r>
        <w:rPr>
          <w:color w:val="231F20"/>
          <w:w w:val="105"/>
        </w:rPr>
        <w:t>grado che</w:t>
      </w:r>
      <w:r>
        <w:rPr>
          <w:color w:val="231F20"/>
          <w:spacing w:val="-47"/>
          <w:w w:val="105"/>
        </w:rPr>
        <w:t> </w:t>
      </w:r>
      <w:r>
        <w:rPr>
          <w:color w:val="231F20"/>
          <w:w w:val="105"/>
        </w:rPr>
        <w:t>si</w:t>
      </w:r>
      <w:r>
        <w:rPr>
          <w:color w:val="231F20"/>
          <w:spacing w:val="-47"/>
          <w:w w:val="105"/>
        </w:rPr>
        <w:t> </w:t>
      </w:r>
      <w:r>
        <w:rPr>
          <w:color w:val="231F20"/>
          <w:w w:val="105"/>
        </w:rPr>
        <w:t>ha</w:t>
      </w:r>
      <w:r>
        <w:rPr>
          <w:color w:val="231F20"/>
          <w:spacing w:val="-47"/>
          <w:w w:val="105"/>
        </w:rPr>
        <w:t> </w:t>
      </w:r>
      <w:r>
        <w:rPr>
          <w:color w:val="231F20"/>
          <w:w w:val="105"/>
        </w:rPr>
        <w:t>suggerito</w:t>
      </w:r>
      <w:r>
        <w:rPr>
          <w:color w:val="231F20"/>
          <w:spacing w:val="-47"/>
          <w:w w:val="105"/>
        </w:rPr>
        <w:t> </w:t>
      </w:r>
      <w:r>
        <w:rPr>
          <w:color w:val="231F20"/>
          <w:w w:val="105"/>
        </w:rPr>
        <w:t>l’appellativo</w:t>
      </w:r>
      <w:r>
        <w:rPr>
          <w:color w:val="231F20"/>
          <w:spacing w:val="-47"/>
          <w:w w:val="105"/>
        </w:rPr>
        <w:t> </w:t>
      </w:r>
      <w:r>
        <w:rPr>
          <w:color w:val="231F20"/>
          <w:w w:val="105"/>
        </w:rPr>
        <w:t>di</w:t>
      </w:r>
      <w:r>
        <w:rPr>
          <w:color w:val="231F20"/>
          <w:spacing w:val="-47"/>
          <w:w w:val="105"/>
        </w:rPr>
        <w:t> </w:t>
      </w:r>
      <w:r>
        <w:rPr>
          <w:color w:val="231F20"/>
          <w:w w:val="105"/>
        </w:rPr>
        <w:t>“una</w:t>
      </w:r>
      <w:r>
        <w:rPr>
          <w:color w:val="231F20"/>
          <w:spacing w:val="-47"/>
          <w:w w:val="105"/>
        </w:rPr>
        <w:t> </w:t>
      </w:r>
      <w:r>
        <w:rPr>
          <w:color w:val="231F20"/>
          <w:w w:val="105"/>
        </w:rPr>
        <w:t>rivoluzione</w:t>
      </w:r>
      <w:r>
        <w:rPr>
          <w:color w:val="231F20"/>
          <w:spacing w:val="-47"/>
          <w:w w:val="105"/>
        </w:rPr>
        <w:t> </w:t>
      </w:r>
      <w:r>
        <w:rPr>
          <w:color w:val="231F20"/>
          <w:w w:val="105"/>
        </w:rPr>
        <w:t>democratica</w:t>
      </w:r>
      <w:r>
        <w:rPr>
          <w:color w:val="231F20"/>
          <w:spacing w:val="-47"/>
          <w:w w:val="105"/>
        </w:rPr>
        <w:t> </w:t>
      </w:r>
      <w:r>
        <w:rPr>
          <w:color w:val="231F20"/>
          <w:w w:val="105"/>
        </w:rPr>
        <w:t>araba”,</w:t>
      </w:r>
      <w:r>
        <w:rPr>
          <w:color w:val="231F20"/>
          <w:spacing w:val="-47"/>
          <w:w w:val="105"/>
        </w:rPr>
        <w:t> </w:t>
      </w:r>
      <w:r>
        <w:rPr>
          <w:color w:val="231F20"/>
          <w:spacing w:val="-2"/>
          <w:w w:val="105"/>
        </w:rPr>
        <w:t>con </w:t>
      </w:r>
      <w:r>
        <w:rPr>
          <w:color w:val="231F20"/>
          <w:w w:val="105"/>
        </w:rPr>
        <w:t>le</w:t>
      </w:r>
      <w:r>
        <w:rPr>
          <w:color w:val="231F20"/>
          <w:spacing w:val="-10"/>
          <w:w w:val="105"/>
        </w:rPr>
        <w:t> </w:t>
      </w:r>
      <w:r>
        <w:rPr>
          <w:color w:val="231F20"/>
          <w:w w:val="105"/>
        </w:rPr>
        <w:t>implicazioni</w:t>
      </w:r>
      <w:r>
        <w:rPr>
          <w:color w:val="231F20"/>
          <w:spacing w:val="-10"/>
          <w:w w:val="105"/>
        </w:rPr>
        <w:t> </w:t>
      </w:r>
      <w:r>
        <w:rPr>
          <w:color w:val="231F20"/>
          <w:w w:val="105"/>
        </w:rPr>
        <w:t>e</w:t>
      </w:r>
      <w:r>
        <w:rPr>
          <w:color w:val="231F20"/>
          <w:spacing w:val="-10"/>
          <w:w w:val="105"/>
        </w:rPr>
        <w:t> </w:t>
      </w:r>
      <w:r>
        <w:rPr>
          <w:color w:val="231F20"/>
          <w:w w:val="105"/>
        </w:rPr>
        <w:t>sfide</w:t>
      </w:r>
      <w:r>
        <w:rPr>
          <w:color w:val="231F20"/>
          <w:spacing w:val="-10"/>
          <w:w w:val="105"/>
        </w:rPr>
        <w:t> </w:t>
      </w:r>
      <w:r>
        <w:rPr>
          <w:color w:val="231F20"/>
          <w:w w:val="105"/>
        </w:rPr>
        <w:t>che</w:t>
      </w:r>
      <w:r>
        <w:rPr>
          <w:color w:val="231F20"/>
          <w:spacing w:val="-10"/>
          <w:w w:val="105"/>
        </w:rPr>
        <w:t> </w:t>
      </w:r>
      <w:r>
        <w:rPr>
          <w:color w:val="231F20"/>
          <w:w w:val="105"/>
        </w:rPr>
        <w:t>comporta</w:t>
      </w:r>
      <w:r>
        <w:rPr>
          <w:color w:val="231F20"/>
          <w:spacing w:val="-10"/>
          <w:w w:val="105"/>
        </w:rPr>
        <w:t> </w:t>
      </w:r>
      <w:r>
        <w:rPr>
          <w:color w:val="231F20"/>
          <w:w w:val="105"/>
        </w:rPr>
        <w:t>per</w:t>
      </w:r>
      <w:r>
        <w:rPr>
          <w:color w:val="231F20"/>
          <w:spacing w:val="-10"/>
          <w:w w:val="105"/>
        </w:rPr>
        <w:t> </w:t>
      </w:r>
      <w:r>
        <w:rPr>
          <w:color w:val="231F20"/>
          <w:w w:val="105"/>
        </w:rPr>
        <w:t>le</w:t>
      </w:r>
      <w:r>
        <w:rPr>
          <w:color w:val="231F20"/>
          <w:spacing w:val="-10"/>
          <w:w w:val="105"/>
        </w:rPr>
        <w:t> </w:t>
      </w:r>
      <w:r>
        <w:rPr>
          <w:color w:val="231F20"/>
          <w:w w:val="105"/>
        </w:rPr>
        <w:t>categorie</w:t>
      </w:r>
      <w:r>
        <w:rPr>
          <w:color w:val="231F20"/>
          <w:spacing w:val="-10"/>
          <w:w w:val="105"/>
        </w:rPr>
        <w:t> </w:t>
      </w:r>
      <w:r>
        <w:rPr>
          <w:color w:val="231F20"/>
          <w:w w:val="105"/>
        </w:rPr>
        <w:t>di</w:t>
      </w:r>
      <w:r>
        <w:rPr>
          <w:color w:val="231F20"/>
          <w:spacing w:val="-10"/>
          <w:w w:val="105"/>
        </w:rPr>
        <w:t> </w:t>
      </w:r>
      <w:r>
        <w:rPr>
          <w:color w:val="231F20"/>
          <w:w w:val="105"/>
        </w:rPr>
        <w:t>analisi</w:t>
      </w:r>
      <w:r>
        <w:rPr>
          <w:color w:val="231F20"/>
          <w:spacing w:val="-10"/>
          <w:w w:val="105"/>
        </w:rPr>
        <w:t> </w:t>
      </w:r>
      <w:r>
        <w:rPr>
          <w:color w:val="231F20"/>
          <w:w w:val="105"/>
        </w:rPr>
        <w:t>politico,</w:t>
      </w:r>
      <w:r>
        <w:rPr>
          <w:color w:val="231F20"/>
          <w:spacing w:val="-10"/>
          <w:w w:val="105"/>
        </w:rPr>
        <w:t> </w:t>
      </w:r>
      <w:r>
        <w:rPr>
          <w:color w:val="231F20"/>
          <w:w w:val="105"/>
        </w:rPr>
        <w:t>in particolare,</w:t>
      </w:r>
      <w:r>
        <w:rPr>
          <w:color w:val="231F20"/>
          <w:spacing w:val="-48"/>
          <w:w w:val="105"/>
        </w:rPr>
        <w:t> </w:t>
      </w:r>
      <w:r>
        <w:rPr>
          <w:color w:val="231F20"/>
          <w:w w:val="105"/>
        </w:rPr>
        <w:t>rispetto</w:t>
      </w:r>
      <w:r>
        <w:rPr>
          <w:color w:val="231F20"/>
          <w:spacing w:val="-48"/>
          <w:w w:val="105"/>
        </w:rPr>
        <w:t> </w:t>
      </w:r>
      <w:r>
        <w:rPr>
          <w:color w:val="231F20"/>
          <w:w w:val="105"/>
        </w:rPr>
        <w:t>al</w:t>
      </w:r>
      <w:r>
        <w:rPr>
          <w:color w:val="231F20"/>
          <w:spacing w:val="-48"/>
          <w:w w:val="105"/>
        </w:rPr>
        <w:t> </w:t>
      </w:r>
      <w:r>
        <w:rPr>
          <w:color w:val="231F20"/>
          <w:w w:val="105"/>
        </w:rPr>
        <w:t>vincolo</w:t>
      </w:r>
      <w:r>
        <w:rPr>
          <w:color w:val="231F20"/>
          <w:spacing w:val="-48"/>
          <w:w w:val="105"/>
        </w:rPr>
        <w:t> </w:t>
      </w:r>
      <w:r>
        <w:rPr>
          <w:color w:val="231F20"/>
          <w:w w:val="105"/>
        </w:rPr>
        <w:t>(im)possibile</w:t>
      </w:r>
      <w:r>
        <w:rPr>
          <w:color w:val="231F20"/>
          <w:spacing w:val="-48"/>
          <w:w w:val="105"/>
        </w:rPr>
        <w:t> </w:t>
      </w:r>
      <w:r>
        <w:rPr>
          <w:color w:val="231F20"/>
          <w:w w:val="105"/>
        </w:rPr>
        <w:t>tra</w:t>
      </w:r>
      <w:r>
        <w:rPr>
          <w:color w:val="231F20"/>
          <w:spacing w:val="-48"/>
          <w:w w:val="105"/>
        </w:rPr>
        <w:t> </w:t>
      </w:r>
      <w:r>
        <w:rPr>
          <w:color w:val="231F20"/>
          <w:w w:val="105"/>
        </w:rPr>
        <w:t>democrazia</w:t>
      </w:r>
      <w:r>
        <w:rPr>
          <w:color w:val="231F20"/>
          <w:spacing w:val="-48"/>
          <w:w w:val="105"/>
        </w:rPr>
        <w:t> </w:t>
      </w:r>
      <w:r>
        <w:rPr>
          <w:color w:val="231F20"/>
          <w:w w:val="105"/>
        </w:rPr>
        <w:t>e</w:t>
      </w:r>
      <w:r>
        <w:rPr>
          <w:color w:val="231F20"/>
          <w:spacing w:val="-48"/>
          <w:w w:val="105"/>
        </w:rPr>
        <w:t> </w:t>
      </w:r>
      <w:r>
        <w:rPr>
          <w:color w:val="231F20"/>
          <w:w w:val="105"/>
        </w:rPr>
        <w:t>Islam</w:t>
      </w:r>
      <w:r>
        <w:rPr>
          <w:color w:val="231F20"/>
          <w:w w:val="105"/>
          <w:position w:val="7"/>
          <w:sz w:val="12"/>
        </w:rPr>
        <w:t>41</w:t>
      </w:r>
      <w:r>
        <w:rPr>
          <w:color w:val="231F20"/>
          <w:w w:val="105"/>
        </w:rPr>
        <w:t>.</w:t>
      </w:r>
    </w:p>
    <w:p>
      <w:pPr>
        <w:pStyle w:val="BodyText"/>
        <w:spacing w:line="247" w:lineRule="auto"/>
        <w:ind w:left="103" w:right="113" w:firstLine="566"/>
        <w:jc w:val="both"/>
      </w:pPr>
      <w:r>
        <w:rPr>
          <w:color w:val="231F20"/>
          <w:w w:val="105"/>
        </w:rPr>
        <w:t>Questi</w:t>
      </w:r>
      <w:r>
        <w:rPr>
          <w:color w:val="231F20"/>
          <w:spacing w:val="-10"/>
          <w:w w:val="105"/>
        </w:rPr>
        <w:t> </w:t>
      </w:r>
      <w:r>
        <w:rPr>
          <w:color w:val="231F20"/>
          <w:w w:val="105"/>
        </w:rPr>
        <w:t>fatti</w:t>
      </w:r>
      <w:r>
        <w:rPr>
          <w:color w:val="231F20"/>
          <w:spacing w:val="-10"/>
          <w:w w:val="105"/>
        </w:rPr>
        <w:t> </w:t>
      </w:r>
      <w:r>
        <w:rPr>
          <w:color w:val="231F20"/>
          <w:w w:val="105"/>
        </w:rPr>
        <w:t>sono</w:t>
      </w:r>
      <w:r>
        <w:rPr>
          <w:color w:val="231F20"/>
          <w:spacing w:val="-10"/>
          <w:w w:val="105"/>
        </w:rPr>
        <w:t> </w:t>
      </w:r>
      <w:r>
        <w:rPr>
          <w:color w:val="231F20"/>
          <w:w w:val="105"/>
        </w:rPr>
        <w:t>stati</w:t>
      </w:r>
      <w:r>
        <w:rPr>
          <w:color w:val="231F20"/>
          <w:spacing w:val="-10"/>
          <w:w w:val="105"/>
        </w:rPr>
        <w:t> </w:t>
      </w:r>
      <w:r>
        <w:rPr>
          <w:color w:val="231F20"/>
          <w:w w:val="105"/>
        </w:rPr>
        <w:t>più</w:t>
      </w:r>
      <w:r>
        <w:rPr>
          <w:color w:val="231F20"/>
          <w:spacing w:val="-10"/>
          <w:w w:val="105"/>
        </w:rPr>
        <w:t> </w:t>
      </w:r>
      <w:r>
        <w:rPr>
          <w:color w:val="231F20"/>
          <w:w w:val="105"/>
        </w:rPr>
        <w:t>chiari</w:t>
      </w:r>
      <w:r>
        <w:rPr>
          <w:color w:val="231F20"/>
          <w:spacing w:val="-10"/>
          <w:w w:val="105"/>
        </w:rPr>
        <w:t> </w:t>
      </w:r>
      <w:r>
        <w:rPr>
          <w:color w:val="231F20"/>
          <w:w w:val="105"/>
        </w:rPr>
        <w:t>e</w:t>
      </w:r>
      <w:r>
        <w:rPr>
          <w:color w:val="231F20"/>
          <w:spacing w:val="-10"/>
          <w:w w:val="105"/>
        </w:rPr>
        <w:t> </w:t>
      </w:r>
      <w:r>
        <w:rPr>
          <w:color w:val="231F20"/>
          <w:w w:val="105"/>
        </w:rPr>
        <w:t>mostrano</w:t>
      </w:r>
      <w:r>
        <w:rPr>
          <w:color w:val="231F20"/>
          <w:spacing w:val="-10"/>
          <w:w w:val="105"/>
        </w:rPr>
        <w:t> </w:t>
      </w:r>
      <w:r>
        <w:rPr>
          <w:color w:val="231F20"/>
          <w:w w:val="105"/>
        </w:rPr>
        <w:t>un</w:t>
      </w:r>
      <w:r>
        <w:rPr>
          <w:color w:val="231F20"/>
          <w:spacing w:val="-10"/>
          <w:w w:val="105"/>
        </w:rPr>
        <w:t> </w:t>
      </w:r>
      <w:r>
        <w:rPr>
          <w:color w:val="231F20"/>
          <w:w w:val="105"/>
        </w:rPr>
        <w:t>impatto</w:t>
      </w:r>
      <w:r>
        <w:rPr>
          <w:color w:val="231F20"/>
          <w:spacing w:val="-10"/>
          <w:w w:val="105"/>
        </w:rPr>
        <w:t> </w:t>
      </w:r>
      <w:r>
        <w:rPr>
          <w:color w:val="231F20"/>
          <w:w w:val="105"/>
        </w:rPr>
        <w:t>più</w:t>
      </w:r>
      <w:r>
        <w:rPr>
          <w:color w:val="231F20"/>
          <w:spacing w:val="-10"/>
          <w:w w:val="105"/>
        </w:rPr>
        <w:t> </w:t>
      </w:r>
      <w:r>
        <w:rPr>
          <w:color w:val="231F20"/>
          <w:w w:val="105"/>
        </w:rPr>
        <w:t>erosivo nella</w:t>
      </w:r>
      <w:r>
        <w:rPr>
          <w:color w:val="231F20"/>
          <w:spacing w:val="-19"/>
          <w:w w:val="105"/>
        </w:rPr>
        <w:t> </w:t>
      </w:r>
      <w:r>
        <w:rPr>
          <w:color w:val="231F20"/>
          <w:w w:val="105"/>
        </w:rPr>
        <w:t>vita</w:t>
      </w:r>
      <w:r>
        <w:rPr>
          <w:color w:val="231F20"/>
          <w:spacing w:val="-19"/>
          <w:w w:val="105"/>
        </w:rPr>
        <w:t> </w:t>
      </w:r>
      <w:r>
        <w:rPr>
          <w:color w:val="231F20"/>
          <w:w w:val="105"/>
        </w:rPr>
        <w:t>delle</w:t>
      </w:r>
      <w:r>
        <w:rPr>
          <w:color w:val="231F20"/>
          <w:spacing w:val="-19"/>
          <w:w w:val="105"/>
        </w:rPr>
        <w:t> </w:t>
      </w:r>
      <w:r>
        <w:rPr>
          <w:color w:val="231F20"/>
          <w:w w:val="105"/>
        </w:rPr>
        <w:t>democrazie</w:t>
      </w:r>
      <w:r>
        <w:rPr>
          <w:color w:val="231F20"/>
          <w:spacing w:val="-19"/>
          <w:w w:val="105"/>
        </w:rPr>
        <w:t> </w:t>
      </w:r>
      <w:r>
        <w:rPr>
          <w:color w:val="231F20"/>
          <w:w w:val="105"/>
        </w:rPr>
        <w:t>odierne</w:t>
      </w:r>
      <w:r>
        <w:rPr>
          <w:color w:val="231F20"/>
          <w:spacing w:val="-19"/>
          <w:w w:val="105"/>
        </w:rPr>
        <w:t> </w:t>
      </w:r>
      <w:r>
        <w:rPr>
          <w:color w:val="231F20"/>
          <w:w w:val="105"/>
        </w:rPr>
        <w:t>in</w:t>
      </w:r>
      <w:r>
        <w:rPr>
          <w:color w:val="231F20"/>
          <w:spacing w:val="-19"/>
          <w:w w:val="105"/>
        </w:rPr>
        <w:t> </w:t>
      </w:r>
      <w:r>
        <w:rPr>
          <w:color w:val="231F20"/>
          <w:w w:val="105"/>
        </w:rPr>
        <w:t>quelle</w:t>
      </w:r>
      <w:r>
        <w:rPr>
          <w:color w:val="231F20"/>
          <w:spacing w:val="-19"/>
          <w:w w:val="105"/>
        </w:rPr>
        <w:t> </w:t>
      </w:r>
      <w:r>
        <w:rPr>
          <w:color w:val="231F20"/>
          <w:w w:val="105"/>
        </w:rPr>
        <w:t>regioni</w:t>
      </w:r>
      <w:r>
        <w:rPr>
          <w:color w:val="231F20"/>
          <w:spacing w:val="-19"/>
          <w:w w:val="105"/>
        </w:rPr>
        <w:t> </w:t>
      </w:r>
      <w:r>
        <w:rPr>
          <w:color w:val="231F20"/>
          <w:w w:val="105"/>
        </w:rPr>
        <w:t>e</w:t>
      </w:r>
      <w:r>
        <w:rPr>
          <w:color w:val="231F20"/>
          <w:spacing w:val="-19"/>
          <w:w w:val="105"/>
        </w:rPr>
        <w:t> </w:t>
      </w:r>
      <w:r>
        <w:rPr>
          <w:color w:val="231F20"/>
          <w:w w:val="105"/>
        </w:rPr>
        <w:t>esperienze</w:t>
      </w:r>
      <w:r>
        <w:rPr>
          <w:color w:val="231F20"/>
          <w:spacing w:val="-19"/>
          <w:w w:val="105"/>
        </w:rPr>
        <w:t> </w:t>
      </w:r>
      <w:r>
        <w:rPr>
          <w:color w:val="231F20"/>
          <w:w w:val="105"/>
        </w:rPr>
        <w:t>storiche dove l’organizzazione della società era rimasta delegata in molte </w:t>
      </w:r>
      <w:r>
        <w:rPr>
          <w:color w:val="231F20"/>
          <w:spacing w:val="2"/>
          <w:w w:val="105"/>
        </w:rPr>
        <w:t>delle </w:t>
      </w:r>
      <w:r>
        <w:rPr>
          <w:color w:val="231F20"/>
          <w:w w:val="105"/>
        </w:rPr>
        <w:t>sue</w:t>
      </w:r>
      <w:r>
        <w:rPr>
          <w:color w:val="231F20"/>
          <w:spacing w:val="-19"/>
          <w:w w:val="105"/>
        </w:rPr>
        <w:t> </w:t>
      </w:r>
      <w:r>
        <w:rPr>
          <w:color w:val="231F20"/>
          <w:w w:val="105"/>
        </w:rPr>
        <w:t>direttrici</w:t>
      </w:r>
      <w:r>
        <w:rPr>
          <w:color w:val="231F20"/>
          <w:spacing w:val="-19"/>
          <w:w w:val="105"/>
        </w:rPr>
        <w:t> </w:t>
      </w:r>
      <w:r>
        <w:rPr>
          <w:color w:val="231F20"/>
          <w:w w:val="105"/>
        </w:rPr>
        <w:t>alla</w:t>
      </w:r>
      <w:r>
        <w:rPr>
          <w:color w:val="231F20"/>
          <w:spacing w:val="-19"/>
          <w:w w:val="105"/>
        </w:rPr>
        <w:t> </w:t>
      </w:r>
      <w:r>
        <w:rPr>
          <w:color w:val="231F20"/>
          <w:w w:val="105"/>
        </w:rPr>
        <w:t>capacità</w:t>
      </w:r>
      <w:r>
        <w:rPr>
          <w:color w:val="231F20"/>
          <w:spacing w:val="-19"/>
          <w:w w:val="105"/>
        </w:rPr>
        <w:t> </w:t>
      </w:r>
      <w:r>
        <w:rPr>
          <w:color w:val="231F20"/>
          <w:w w:val="105"/>
        </w:rPr>
        <w:t>dello</w:t>
      </w:r>
      <w:r>
        <w:rPr>
          <w:color w:val="231F20"/>
          <w:spacing w:val="-19"/>
          <w:w w:val="105"/>
        </w:rPr>
        <w:t> </w:t>
      </w:r>
      <w:r>
        <w:rPr>
          <w:color w:val="231F20"/>
          <w:w w:val="105"/>
        </w:rPr>
        <w:t>Stato</w:t>
      </w:r>
      <w:r>
        <w:rPr>
          <w:color w:val="231F20"/>
          <w:spacing w:val="-19"/>
          <w:w w:val="105"/>
        </w:rPr>
        <w:t> </w:t>
      </w:r>
      <w:r>
        <w:rPr>
          <w:color w:val="231F20"/>
          <w:w w:val="105"/>
        </w:rPr>
        <w:t>di</w:t>
      </w:r>
      <w:r>
        <w:rPr>
          <w:color w:val="231F20"/>
          <w:spacing w:val="-19"/>
          <w:w w:val="105"/>
        </w:rPr>
        <w:t> </w:t>
      </w:r>
      <w:r>
        <w:rPr>
          <w:color w:val="231F20"/>
          <w:w w:val="105"/>
        </w:rPr>
        <w:t>produrre</w:t>
      </w:r>
      <w:r>
        <w:rPr>
          <w:color w:val="231F20"/>
          <w:spacing w:val="-19"/>
          <w:w w:val="105"/>
        </w:rPr>
        <w:t> </w:t>
      </w:r>
      <w:r>
        <w:rPr>
          <w:color w:val="231F20"/>
          <w:w w:val="105"/>
        </w:rPr>
        <w:t>coesione</w:t>
      </w:r>
      <w:r>
        <w:rPr>
          <w:color w:val="231F20"/>
          <w:spacing w:val="-19"/>
          <w:w w:val="105"/>
        </w:rPr>
        <w:t> </w:t>
      </w:r>
      <w:r>
        <w:rPr>
          <w:color w:val="231F20"/>
          <w:w w:val="105"/>
        </w:rPr>
        <w:t>e</w:t>
      </w:r>
      <w:r>
        <w:rPr>
          <w:color w:val="231F20"/>
          <w:spacing w:val="-19"/>
          <w:w w:val="105"/>
        </w:rPr>
        <w:t> </w:t>
      </w:r>
      <w:r>
        <w:rPr>
          <w:color w:val="231F20"/>
          <w:w w:val="105"/>
        </w:rPr>
        <w:t>legittimità</w:t>
      </w:r>
      <w:r>
        <w:rPr>
          <w:color w:val="231F20"/>
          <w:spacing w:val="-19"/>
          <w:w w:val="105"/>
        </w:rPr>
        <w:t> </w:t>
      </w:r>
      <w:r>
        <w:rPr>
          <w:color w:val="231F20"/>
          <w:w w:val="105"/>
        </w:rPr>
        <w:t>(a parte</w:t>
      </w:r>
      <w:r>
        <w:rPr>
          <w:color w:val="231F20"/>
          <w:spacing w:val="-34"/>
          <w:w w:val="105"/>
        </w:rPr>
        <w:t> </w:t>
      </w:r>
      <w:r>
        <w:rPr>
          <w:color w:val="231F20"/>
          <w:w w:val="105"/>
        </w:rPr>
        <w:t>l’esperienza</w:t>
      </w:r>
      <w:r>
        <w:rPr>
          <w:color w:val="231F20"/>
          <w:spacing w:val="-34"/>
          <w:w w:val="105"/>
        </w:rPr>
        <w:t> </w:t>
      </w:r>
      <w:r>
        <w:rPr>
          <w:color w:val="231F20"/>
          <w:w w:val="105"/>
        </w:rPr>
        <w:t>della</w:t>
      </w:r>
      <w:r>
        <w:rPr>
          <w:color w:val="231F20"/>
          <w:spacing w:val="-34"/>
          <w:w w:val="105"/>
        </w:rPr>
        <w:t> </w:t>
      </w:r>
      <w:r>
        <w:rPr>
          <w:color w:val="231F20"/>
          <w:w w:val="105"/>
        </w:rPr>
        <w:t>Russia,</w:t>
      </w:r>
      <w:r>
        <w:rPr>
          <w:color w:val="231F20"/>
          <w:spacing w:val="-34"/>
          <w:w w:val="105"/>
        </w:rPr>
        <w:t> </w:t>
      </w:r>
      <w:r>
        <w:rPr>
          <w:color w:val="231F20"/>
          <w:w w:val="105"/>
        </w:rPr>
        <w:t>i</w:t>
      </w:r>
      <w:r>
        <w:rPr>
          <w:color w:val="231F20"/>
          <w:spacing w:val="-34"/>
          <w:w w:val="105"/>
        </w:rPr>
        <w:t> </w:t>
      </w:r>
      <w:r>
        <w:rPr>
          <w:color w:val="231F20"/>
          <w:w w:val="105"/>
        </w:rPr>
        <w:t>casi</w:t>
      </w:r>
      <w:r>
        <w:rPr>
          <w:color w:val="231F20"/>
          <w:spacing w:val="-34"/>
          <w:w w:val="105"/>
        </w:rPr>
        <w:t> </w:t>
      </w:r>
      <w:r>
        <w:rPr>
          <w:color w:val="231F20"/>
          <w:w w:val="105"/>
        </w:rPr>
        <w:t>del</w:t>
      </w:r>
      <w:r>
        <w:rPr>
          <w:color w:val="231F20"/>
          <w:spacing w:val="-34"/>
          <w:w w:val="105"/>
        </w:rPr>
        <w:t> </w:t>
      </w:r>
      <w:r>
        <w:rPr>
          <w:color w:val="231F20"/>
          <w:w w:val="105"/>
        </w:rPr>
        <w:t>Messico</w:t>
      </w:r>
      <w:r>
        <w:rPr>
          <w:color w:val="231F20"/>
          <w:spacing w:val="-34"/>
          <w:w w:val="105"/>
        </w:rPr>
        <w:t> </w:t>
      </w:r>
      <w:r>
        <w:rPr>
          <w:color w:val="231F20"/>
          <w:w w:val="105"/>
        </w:rPr>
        <w:t>e</w:t>
      </w:r>
      <w:r>
        <w:rPr>
          <w:color w:val="231F20"/>
          <w:spacing w:val="-34"/>
          <w:w w:val="105"/>
        </w:rPr>
        <w:t> </w:t>
      </w:r>
      <w:r>
        <w:rPr>
          <w:color w:val="231F20"/>
          <w:w w:val="105"/>
        </w:rPr>
        <w:t>la</w:t>
      </w:r>
      <w:r>
        <w:rPr>
          <w:color w:val="231F20"/>
          <w:spacing w:val="-34"/>
          <w:w w:val="105"/>
        </w:rPr>
        <w:t> </w:t>
      </w:r>
      <w:r>
        <w:rPr>
          <w:color w:val="231F20"/>
          <w:w w:val="105"/>
        </w:rPr>
        <w:t>Cina</w:t>
      </w:r>
      <w:r>
        <w:rPr>
          <w:color w:val="231F20"/>
          <w:spacing w:val="-34"/>
          <w:w w:val="105"/>
        </w:rPr>
        <w:t> </w:t>
      </w:r>
      <w:r>
        <w:rPr>
          <w:color w:val="231F20"/>
          <w:w w:val="105"/>
        </w:rPr>
        <w:t>sono</w:t>
      </w:r>
      <w:r>
        <w:rPr>
          <w:color w:val="231F20"/>
          <w:spacing w:val="-34"/>
          <w:w w:val="105"/>
        </w:rPr>
        <w:t> </w:t>
      </w:r>
      <w:r>
        <w:rPr>
          <w:color w:val="231F20"/>
          <w:w w:val="105"/>
        </w:rPr>
        <w:t>illustrativi), fenomeno</w:t>
      </w:r>
      <w:r>
        <w:rPr>
          <w:color w:val="231F20"/>
          <w:spacing w:val="-29"/>
          <w:w w:val="105"/>
        </w:rPr>
        <w:t> </w:t>
      </w:r>
      <w:r>
        <w:rPr>
          <w:color w:val="231F20"/>
          <w:w w:val="105"/>
        </w:rPr>
        <w:t>che</w:t>
      </w:r>
      <w:r>
        <w:rPr>
          <w:color w:val="231F20"/>
          <w:spacing w:val="-29"/>
          <w:w w:val="105"/>
        </w:rPr>
        <w:t> </w:t>
      </w:r>
      <w:r>
        <w:rPr>
          <w:color w:val="231F20"/>
          <w:w w:val="105"/>
        </w:rPr>
        <w:t>si</w:t>
      </w:r>
      <w:r>
        <w:rPr>
          <w:color w:val="231F20"/>
          <w:spacing w:val="-29"/>
          <w:w w:val="105"/>
        </w:rPr>
        <w:t> </w:t>
      </w:r>
      <w:r>
        <w:rPr>
          <w:color w:val="231F20"/>
          <w:w w:val="105"/>
        </w:rPr>
        <w:t>coniugava</w:t>
      </w:r>
      <w:r>
        <w:rPr>
          <w:color w:val="231F20"/>
          <w:spacing w:val="-29"/>
          <w:w w:val="105"/>
        </w:rPr>
        <w:t> </w:t>
      </w:r>
      <w:r>
        <w:rPr>
          <w:color w:val="231F20"/>
          <w:w w:val="105"/>
        </w:rPr>
        <w:t>con</w:t>
      </w:r>
      <w:r>
        <w:rPr>
          <w:color w:val="231F20"/>
          <w:spacing w:val="-29"/>
          <w:w w:val="105"/>
        </w:rPr>
        <w:t> </w:t>
      </w:r>
      <w:r>
        <w:rPr>
          <w:color w:val="231F20"/>
          <w:w w:val="105"/>
        </w:rPr>
        <w:t>l’onda</w:t>
      </w:r>
      <w:r>
        <w:rPr>
          <w:color w:val="231F20"/>
          <w:spacing w:val="-29"/>
          <w:w w:val="105"/>
        </w:rPr>
        <w:t> </w:t>
      </w:r>
      <w:r>
        <w:rPr>
          <w:color w:val="231F20"/>
          <w:w w:val="105"/>
        </w:rPr>
        <w:t>della</w:t>
      </w:r>
      <w:r>
        <w:rPr>
          <w:color w:val="231F20"/>
          <w:spacing w:val="-29"/>
          <w:w w:val="105"/>
        </w:rPr>
        <w:t> </w:t>
      </w:r>
      <w:r>
        <w:rPr>
          <w:color w:val="231F20"/>
          <w:w w:val="105"/>
        </w:rPr>
        <w:t>liberalizzazione</w:t>
      </w:r>
      <w:r>
        <w:rPr>
          <w:color w:val="231F20"/>
          <w:spacing w:val="-29"/>
          <w:w w:val="105"/>
        </w:rPr>
        <w:t> </w:t>
      </w:r>
      <w:r>
        <w:rPr>
          <w:color w:val="231F20"/>
          <w:w w:val="105"/>
        </w:rPr>
        <w:t>dell’economia</w:t>
      </w:r>
    </w:p>
    <w:p>
      <w:pPr>
        <w:pStyle w:val="BodyText"/>
        <w:rPr>
          <w:sz w:val="20"/>
        </w:rPr>
      </w:pPr>
    </w:p>
    <w:p>
      <w:pPr>
        <w:pStyle w:val="BodyText"/>
        <w:rPr>
          <w:sz w:val="20"/>
        </w:rPr>
      </w:pPr>
    </w:p>
    <w:p>
      <w:pPr>
        <w:pStyle w:val="BodyText"/>
        <w:spacing w:before="8"/>
        <w:rPr>
          <w:sz w:val="18"/>
        </w:rPr>
      </w:pPr>
      <w:r>
        <w:rPr/>
        <w:pict>
          <v:line style="position:absolute;mso-position-horizontal-relative:page;mso-position-vertical-relative:paragraph;z-index:13696;mso-wrap-distance-left:0;mso-wrap-distance-right:0" from="65.196899pt,13.36646pt" to="178.582899pt,13.36646pt" stroked="true" strokeweight=".3pt" strokecolor="#231f20">
            <w10:wrap type="topAndBottom"/>
          </v:line>
        </w:pict>
      </w:r>
    </w:p>
    <w:p>
      <w:pPr>
        <w:spacing w:line="204" w:lineRule="exact" w:before="8"/>
        <w:ind w:left="103" w:right="115" w:firstLine="0"/>
        <w:jc w:val="both"/>
        <w:rPr>
          <w:rFonts w:ascii="Calibri" w:hAnsi="Calibri"/>
          <w:sz w:val="17"/>
        </w:rPr>
      </w:pPr>
      <w:r>
        <w:rPr>
          <w:rFonts w:ascii="Calibri" w:hAnsi="Calibri"/>
          <w:color w:val="231F20"/>
          <w:sz w:val="17"/>
        </w:rPr>
        <w:t>Prometeo Libros, 2010; A. Pizzorno, (Ed.), </w:t>
      </w:r>
      <w:r>
        <w:rPr>
          <w:rFonts w:ascii="Calibri" w:hAnsi="Calibri"/>
          <w:i/>
          <w:color w:val="231F20"/>
          <w:sz w:val="17"/>
        </w:rPr>
        <w:t>La democrazia di fronte allo stato. Una discussione sulle </w:t>
      </w:r>
      <w:r>
        <w:rPr>
          <w:rFonts w:ascii="Calibri" w:hAnsi="Calibri"/>
          <w:i/>
          <w:color w:val="231F20"/>
          <w:sz w:val="17"/>
        </w:rPr>
        <w:t>difficoltà della politica moderna</w:t>
      </w:r>
      <w:r>
        <w:rPr>
          <w:rFonts w:ascii="Calibri" w:hAnsi="Calibri"/>
          <w:color w:val="231F20"/>
          <w:sz w:val="17"/>
        </w:rPr>
        <w:t>, Milán, Fondazione Giangiacomo Feltrinelli, 2010; Whitehead, </w:t>
      </w:r>
      <w:r>
        <w:rPr>
          <w:rFonts w:ascii="Calibri" w:hAnsi="Calibri"/>
          <w:i/>
          <w:color w:val="231F20"/>
          <w:sz w:val="17"/>
        </w:rPr>
        <w:t>Democratización. Teoría y experiencia</w:t>
      </w:r>
      <w:r>
        <w:rPr>
          <w:rFonts w:ascii="Calibri" w:hAnsi="Calibri"/>
          <w:color w:val="231F20"/>
          <w:sz w:val="17"/>
        </w:rPr>
        <w:t>.</w:t>
      </w:r>
    </w:p>
    <w:p>
      <w:pPr>
        <w:spacing w:line="206" w:lineRule="exact" w:before="1"/>
        <w:ind w:left="103" w:right="0" w:firstLine="0"/>
        <w:jc w:val="both"/>
        <w:rPr>
          <w:rFonts w:ascii="Calibri" w:hAnsi="Calibri"/>
          <w:sz w:val="17"/>
        </w:rPr>
      </w:pPr>
      <w:r>
        <w:rPr>
          <w:rFonts w:ascii="Calibri" w:hAnsi="Calibri"/>
          <w:color w:val="231F20"/>
          <w:w w:val="105"/>
          <w:position w:val="6"/>
          <w:sz w:val="10"/>
        </w:rPr>
        <w:t>37 </w:t>
      </w:r>
      <w:r>
        <w:rPr>
          <w:rFonts w:ascii="Calibri" w:hAnsi="Calibri"/>
          <w:color w:val="231F20"/>
          <w:w w:val="105"/>
          <w:sz w:val="17"/>
        </w:rPr>
        <w:t>M. Morini, “Gli effetti delle eredità del passato nella tandemocrazia russa”, </w:t>
      </w:r>
      <w:r>
        <w:rPr>
          <w:rFonts w:ascii="Calibri" w:hAnsi="Calibri"/>
          <w:color w:val="231F20"/>
          <w:spacing w:val="-10"/>
          <w:w w:val="105"/>
          <w:sz w:val="17"/>
        </w:rPr>
        <w:t>P. </w:t>
      </w:r>
      <w:r>
        <w:rPr>
          <w:rFonts w:ascii="Calibri" w:hAnsi="Calibri"/>
          <w:color w:val="231F20"/>
          <w:w w:val="105"/>
          <w:sz w:val="17"/>
        </w:rPr>
        <w:t>Grilli di Cortona y</w:t>
      </w:r>
    </w:p>
    <w:p>
      <w:pPr>
        <w:spacing w:line="204" w:lineRule="exact" w:before="0"/>
        <w:ind w:left="103" w:right="0" w:firstLine="0"/>
        <w:jc w:val="both"/>
        <w:rPr>
          <w:rFonts w:ascii="Calibri"/>
          <w:sz w:val="17"/>
        </w:rPr>
      </w:pPr>
      <w:r>
        <w:rPr>
          <w:rFonts w:ascii="Calibri"/>
          <w:color w:val="231F20"/>
          <w:sz w:val="17"/>
        </w:rPr>
        <w:t>O. Lanza (coords), </w:t>
      </w:r>
      <w:r>
        <w:rPr>
          <w:rFonts w:ascii="Calibri"/>
          <w:i/>
          <w:color w:val="231F20"/>
          <w:sz w:val="17"/>
        </w:rPr>
        <w:t>Tra vecchio e nuovo regime. Il peso del passato nella costruzione della democracia</w:t>
      </w:r>
      <w:r>
        <w:rPr>
          <w:rFonts w:ascii="Calibri"/>
          <w:color w:val="231F20"/>
          <w:sz w:val="17"/>
        </w:rPr>
        <w:t>,</w:t>
      </w:r>
    </w:p>
    <w:p>
      <w:pPr>
        <w:spacing w:line="204" w:lineRule="exact" w:before="0"/>
        <w:ind w:left="103" w:right="0" w:firstLine="0"/>
        <w:jc w:val="both"/>
        <w:rPr>
          <w:rFonts w:ascii="Calibri" w:hAnsi="Calibri"/>
          <w:sz w:val="17"/>
        </w:rPr>
      </w:pPr>
      <w:r>
        <w:rPr>
          <w:rFonts w:ascii="Calibri" w:hAnsi="Calibri"/>
          <w:color w:val="231F20"/>
          <w:sz w:val="17"/>
        </w:rPr>
        <w:t>Boloña, Il Mulino, 2011, p. 241.</w:t>
      </w:r>
    </w:p>
    <w:p>
      <w:pPr>
        <w:spacing w:line="204" w:lineRule="exact" w:before="0"/>
        <w:ind w:left="103" w:right="0" w:firstLine="0"/>
        <w:jc w:val="both"/>
        <w:rPr>
          <w:rFonts w:ascii="Calibri" w:hAnsi="Calibri"/>
          <w:sz w:val="17"/>
        </w:rPr>
      </w:pPr>
      <w:r>
        <w:rPr>
          <w:rFonts w:ascii="Calibri" w:hAnsi="Calibri"/>
          <w:color w:val="231F20"/>
          <w:position w:val="6"/>
          <w:sz w:val="10"/>
        </w:rPr>
        <w:t>38  </w:t>
      </w:r>
      <w:r>
        <w:rPr>
          <w:rFonts w:ascii="Calibri" w:hAnsi="Calibri"/>
          <w:color w:val="231F20"/>
          <w:sz w:val="17"/>
        </w:rPr>
        <w:t>L’esperienza  della  Ucraina  nel  2014  è  anche  un  caso  rilevante  di  questo  argomento.  Si veda</w:t>
      </w:r>
    </w:p>
    <w:p>
      <w:pPr>
        <w:spacing w:line="204" w:lineRule="exact" w:before="0"/>
        <w:ind w:left="103" w:right="0" w:firstLine="0"/>
        <w:jc w:val="both"/>
        <w:rPr>
          <w:rFonts w:ascii="Calibri" w:hAnsi="Calibri"/>
          <w:sz w:val="17"/>
        </w:rPr>
      </w:pPr>
      <w:r>
        <w:rPr>
          <w:rFonts w:ascii="Calibri" w:hAnsi="Calibri"/>
          <w:color w:val="231F20"/>
          <w:w w:val="95"/>
          <w:sz w:val="17"/>
        </w:rPr>
        <w:t>Mikhelsen (2014: 14–16).</w:t>
      </w:r>
    </w:p>
    <w:p>
      <w:pPr>
        <w:spacing w:line="204" w:lineRule="exact" w:before="0"/>
        <w:ind w:left="103" w:right="0" w:firstLine="0"/>
        <w:jc w:val="both"/>
        <w:rPr>
          <w:rFonts w:ascii="Calibri" w:hAnsi="Calibri"/>
          <w:sz w:val="17"/>
        </w:rPr>
      </w:pPr>
      <w:r>
        <w:rPr>
          <w:rFonts w:ascii="Calibri" w:hAnsi="Calibri"/>
          <w:color w:val="231F20"/>
          <w:w w:val="105"/>
          <w:position w:val="6"/>
          <w:sz w:val="10"/>
        </w:rPr>
        <w:t>39 </w:t>
      </w:r>
      <w:r>
        <w:rPr>
          <w:rFonts w:ascii="Calibri" w:hAnsi="Calibri"/>
          <w:color w:val="231F20"/>
          <w:w w:val="105"/>
          <w:sz w:val="17"/>
        </w:rPr>
        <w:t>Morini, “Gli effetti delle eredità del passato nella tandemocrazia russa”, p. 237.</w:t>
      </w:r>
    </w:p>
    <w:p>
      <w:pPr>
        <w:spacing w:line="204" w:lineRule="exact" w:before="0"/>
        <w:ind w:left="103" w:right="0" w:firstLine="0"/>
        <w:jc w:val="both"/>
        <w:rPr>
          <w:rFonts w:ascii="Calibri"/>
          <w:sz w:val="17"/>
        </w:rPr>
      </w:pPr>
      <w:r>
        <w:rPr>
          <w:rFonts w:ascii="Calibri"/>
          <w:color w:val="231F20"/>
          <w:position w:val="6"/>
          <w:sz w:val="10"/>
        </w:rPr>
        <w:t>40 </w:t>
      </w:r>
      <w:r>
        <w:rPr>
          <w:rFonts w:ascii="Calibri"/>
          <w:color w:val="231F20"/>
          <w:sz w:val="17"/>
        </w:rPr>
        <w:t>Morini, p. 237.</w:t>
      </w:r>
    </w:p>
    <w:p>
      <w:pPr>
        <w:spacing w:line="206" w:lineRule="exact" w:before="0"/>
        <w:ind w:left="103" w:right="0" w:firstLine="0"/>
        <w:jc w:val="both"/>
        <w:rPr>
          <w:rFonts w:ascii="Calibri" w:hAnsi="Calibri"/>
          <w:sz w:val="17"/>
        </w:rPr>
      </w:pPr>
      <w:r>
        <w:rPr>
          <w:rFonts w:ascii="Calibri" w:hAnsi="Calibri"/>
          <w:color w:val="231F20"/>
          <w:position w:val="6"/>
          <w:sz w:val="10"/>
        </w:rPr>
        <w:t>41 </w:t>
      </w:r>
      <w:r>
        <w:rPr>
          <w:rFonts w:ascii="Calibri" w:hAnsi="Calibri"/>
          <w:color w:val="231F20"/>
          <w:sz w:val="17"/>
        </w:rPr>
        <w:t>J. Tovar, “Túnez y Egipto. Historia de dos revoluciones”, </w:t>
      </w:r>
      <w:r>
        <w:rPr>
          <w:rFonts w:ascii="Calibri" w:hAnsi="Calibri"/>
          <w:i/>
          <w:color w:val="231F20"/>
          <w:sz w:val="17"/>
        </w:rPr>
        <w:t>Metapolítica</w:t>
      </w:r>
      <w:r>
        <w:rPr>
          <w:rFonts w:ascii="Calibri" w:hAnsi="Calibri"/>
          <w:color w:val="231F20"/>
          <w:sz w:val="17"/>
        </w:rPr>
        <w:t>, 15, 73, 2011, pp. 17–23.</w:t>
      </w:r>
    </w:p>
    <w:p>
      <w:pPr>
        <w:pStyle w:val="BodyText"/>
        <w:rPr>
          <w:rFonts w:ascii="Calibri"/>
          <w:sz w:val="20"/>
        </w:rPr>
      </w:pPr>
    </w:p>
    <w:p>
      <w:pPr>
        <w:pStyle w:val="BodyText"/>
        <w:spacing w:before="9"/>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1680"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120</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98" w:lineRule="exact" w:before="52"/>
        <w:ind w:left="0" w:right="0" w:firstLine="0"/>
        <w:jc w:val="right"/>
        <w:rPr>
          <w:rFonts w:ascii="Lucida Sans Unicode" w:hAnsi="Lucida Sans Unicode"/>
          <w:sz w:val="14"/>
        </w:rPr>
      </w:pPr>
      <w:r>
        <w:rPr/>
        <w:pict>
          <v:group style="position:absolute;margin-left:383.821014pt;margin-top:-25.479271pt;width:8.65pt;height:41pt;mso-position-horizontal-relative:page;mso-position-vertical-relative:paragraph;z-index:1376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“L’ESTERNO È SEMPRE DENTRO”. TENSIONI E TRASFORMAZIONI RECENTI NELLO SPAZIO POLITICO</w:t>
      </w:r>
    </w:p>
    <w:p>
      <w:pPr>
        <w:spacing w:line="198" w:lineRule="exact" w:before="0"/>
        <w:ind w:left="0" w:right="0" w:firstLine="0"/>
        <w:jc w:val="right"/>
        <w:rPr>
          <w:rFonts w:ascii="Lucida Sans Unicode"/>
          <w:sz w:val="14"/>
        </w:rPr>
      </w:pPr>
      <w:r>
        <w:rPr>
          <w:rFonts w:ascii="Lucida Sans Unicode"/>
          <w:color w:val="6D6E71"/>
          <w:w w:val="90"/>
          <w:sz w:val="14"/>
        </w:rPr>
        <w:t>DELLO STATO E LA DEMOCRAZIA</w:t>
      </w:r>
    </w:p>
    <w:p>
      <w:pPr>
        <w:spacing w:before="59"/>
        <w:ind w:left="338" w:right="0" w:firstLine="0"/>
        <w:jc w:val="left"/>
        <w:rPr>
          <w:rFonts w:ascii="Trebuchet MS"/>
          <w:sz w:val="20"/>
        </w:rPr>
      </w:pPr>
      <w:r>
        <w:rPr/>
        <w:br w:type="column"/>
      </w:r>
      <w:r>
        <w:rPr>
          <w:rFonts w:ascii="Trebuchet MS"/>
          <w:color w:val="414042"/>
          <w:w w:val="105"/>
          <w:sz w:val="20"/>
        </w:rPr>
        <w:t>121</w:t>
      </w:r>
    </w:p>
    <w:p>
      <w:pPr>
        <w:spacing w:after="0"/>
        <w:jc w:val="left"/>
        <w:rPr>
          <w:rFonts w:ascii="Trebuchet MS"/>
          <w:sz w:val="20"/>
        </w:rPr>
        <w:sectPr>
          <w:type w:val="continuous"/>
          <w:pgSz w:w="9640" w:h="13890"/>
          <w:pgMar w:top="0" w:bottom="0" w:left="1300" w:right="1180"/>
          <w:cols w:num="2" w:equalWidth="0">
            <w:col w:w="6261" w:space="40"/>
            <w:col w:w="859"/>
          </w:cols>
        </w:sectPr>
      </w:pPr>
    </w:p>
    <w:p>
      <w:pPr>
        <w:pStyle w:val="BodyText"/>
        <w:rPr>
          <w:rFonts w:ascii="Trebuchet MS"/>
          <w:sz w:val="20"/>
        </w:rPr>
      </w:pPr>
    </w:p>
    <w:p>
      <w:pPr>
        <w:pStyle w:val="BodyText"/>
        <w:spacing w:before="2"/>
        <w:rPr>
          <w:rFonts w:ascii="Trebuchet MS"/>
          <w:sz w:val="16"/>
        </w:rPr>
      </w:pPr>
    </w:p>
    <w:p>
      <w:pPr>
        <w:pStyle w:val="BodyText"/>
        <w:spacing w:line="247" w:lineRule="auto" w:before="44"/>
        <w:ind w:left="117" w:right="121"/>
        <w:jc w:val="both"/>
      </w:pPr>
      <w:r>
        <w:rPr>
          <w:color w:val="231F20"/>
          <w:w w:val="105"/>
        </w:rPr>
        <w:t>dalla</w:t>
      </w:r>
      <w:r>
        <w:rPr>
          <w:color w:val="231F20"/>
          <w:spacing w:val="-30"/>
          <w:w w:val="105"/>
        </w:rPr>
        <w:t> </w:t>
      </w:r>
      <w:r>
        <w:rPr>
          <w:color w:val="231F20"/>
          <w:w w:val="105"/>
        </w:rPr>
        <w:t>tutela</w:t>
      </w:r>
      <w:r>
        <w:rPr>
          <w:color w:val="231F20"/>
          <w:spacing w:val="-30"/>
          <w:w w:val="105"/>
        </w:rPr>
        <w:t> </w:t>
      </w:r>
      <w:r>
        <w:rPr>
          <w:color w:val="231F20"/>
          <w:w w:val="105"/>
        </w:rPr>
        <w:t>statale,</w:t>
      </w:r>
      <w:r>
        <w:rPr>
          <w:color w:val="231F20"/>
          <w:spacing w:val="-30"/>
          <w:w w:val="105"/>
        </w:rPr>
        <w:t> </w:t>
      </w:r>
      <w:r>
        <w:rPr>
          <w:color w:val="231F20"/>
          <w:w w:val="105"/>
        </w:rPr>
        <w:t>per</w:t>
      </w:r>
      <w:r>
        <w:rPr>
          <w:color w:val="231F20"/>
          <w:spacing w:val="-30"/>
          <w:w w:val="105"/>
        </w:rPr>
        <w:t> </w:t>
      </w:r>
      <w:r>
        <w:rPr>
          <w:color w:val="231F20"/>
          <w:w w:val="105"/>
        </w:rPr>
        <w:t>inaugurare</w:t>
      </w:r>
      <w:r>
        <w:rPr>
          <w:color w:val="231F20"/>
          <w:spacing w:val="-30"/>
          <w:w w:val="105"/>
        </w:rPr>
        <w:t> </w:t>
      </w:r>
      <w:r>
        <w:rPr>
          <w:color w:val="231F20"/>
          <w:w w:val="105"/>
        </w:rPr>
        <w:t>una</w:t>
      </w:r>
      <w:r>
        <w:rPr>
          <w:color w:val="231F20"/>
          <w:spacing w:val="-30"/>
          <w:w w:val="105"/>
        </w:rPr>
        <w:t> </w:t>
      </w:r>
      <w:r>
        <w:rPr>
          <w:color w:val="231F20"/>
          <w:w w:val="105"/>
        </w:rPr>
        <w:t>doppia</w:t>
      </w:r>
      <w:r>
        <w:rPr>
          <w:color w:val="231F20"/>
          <w:spacing w:val="-30"/>
          <w:w w:val="105"/>
        </w:rPr>
        <w:t> </w:t>
      </w:r>
      <w:r>
        <w:rPr>
          <w:color w:val="231F20"/>
          <w:w w:val="105"/>
        </w:rPr>
        <w:t>direzione</w:t>
      </w:r>
      <w:r>
        <w:rPr>
          <w:color w:val="231F20"/>
          <w:spacing w:val="-30"/>
          <w:w w:val="105"/>
        </w:rPr>
        <w:t> </w:t>
      </w:r>
      <w:r>
        <w:rPr>
          <w:color w:val="231F20"/>
          <w:w w:val="105"/>
        </w:rPr>
        <w:t>problematica</w:t>
      </w:r>
      <w:r>
        <w:rPr>
          <w:color w:val="231F20"/>
          <w:spacing w:val="-30"/>
          <w:w w:val="105"/>
        </w:rPr>
        <w:t> </w:t>
      </w:r>
      <w:r>
        <w:rPr>
          <w:color w:val="231F20"/>
          <w:w w:val="105"/>
        </w:rPr>
        <w:t>che Sergio</w:t>
      </w:r>
      <w:r>
        <w:rPr>
          <w:color w:val="231F20"/>
          <w:spacing w:val="-51"/>
          <w:w w:val="105"/>
        </w:rPr>
        <w:t> </w:t>
      </w:r>
      <w:r>
        <w:rPr>
          <w:color w:val="231F20"/>
          <w:w w:val="105"/>
        </w:rPr>
        <w:t>Sevilla</w:t>
      </w:r>
      <w:r>
        <w:rPr>
          <w:color w:val="231F20"/>
          <w:spacing w:val="-51"/>
          <w:w w:val="105"/>
        </w:rPr>
        <w:t> </w:t>
      </w:r>
      <w:r>
        <w:rPr>
          <w:color w:val="231F20"/>
          <w:w w:val="105"/>
        </w:rPr>
        <w:t>riassume</w:t>
      </w:r>
      <w:r>
        <w:rPr>
          <w:color w:val="231F20"/>
          <w:spacing w:val="-51"/>
          <w:w w:val="105"/>
        </w:rPr>
        <w:t> </w:t>
      </w:r>
      <w:r>
        <w:rPr>
          <w:color w:val="231F20"/>
          <w:w w:val="105"/>
        </w:rPr>
        <w:t>così:</w:t>
      </w:r>
    </w:p>
    <w:p>
      <w:pPr>
        <w:pStyle w:val="BodyText"/>
        <w:spacing w:before="10"/>
        <w:rPr>
          <w:sz w:val="22"/>
        </w:rPr>
      </w:pPr>
    </w:p>
    <w:p>
      <w:pPr>
        <w:spacing w:line="220" w:lineRule="exact" w:before="1"/>
        <w:ind w:left="1534" w:right="120" w:firstLine="0"/>
        <w:jc w:val="both"/>
        <w:rPr>
          <w:sz w:val="19"/>
        </w:rPr>
      </w:pPr>
      <w:r>
        <w:rPr>
          <w:color w:val="231F20"/>
          <w:sz w:val="19"/>
        </w:rPr>
        <w:t>Siamo davanti a un generalizzato discredito dell’intervento nella società</w:t>
      </w:r>
      <w:r>
        <w:rPr>
          <w:color w:val="231F20"/>
          <w:spacing w:val="-13"/>
          <w:sz w:val="19"/>
        </w:rPr>
        <w:t> </w:t>
      </w:r>
      <w:r>
        <w:rPr>
          <w:color w:val="231F20"/>
          <w:sz w:val="19"/>
        </w:rPr>
        <w:t>dal</w:t>
      </w:r>
      <w:r>
        <w:rPr>
          <w:color w:val="231F20"/>
          <w:spacing w:val="-13"/>
          <w:sz w:val="19"/>
        </w:rPr>
        <w:t> </w:t>
      </w:r>
      <w:r>
        <w:rPr>
          <w:color w:val="231F20"/>
          <w:sz w:val="19"/>
        </w:rPr>
        <w:t>sistema</w:t>
      </w:r>
      <w:r>
        <w:rPr>
          <w:color w:val="231F20"/>
          <w:spacing w:val="-13"/>
          <w:sz w:val="19"/>
        </w:rPr>
        <w:t> </w:t>
      </w:r>
      <w:r>
        <w:rPr>
          <w:color w:val="231F20"/>
          <w:sz w:val="19"/>
        </w:rPr>
        <w:t>politico,</w:t>
      </w:r>
      <w:r>
        <w:rPr>
          <w:color w:val="231F20"/>
          <w:spacing w:val="-13"/>
          <w:sz w:val="19"/>
        </w:rPr>
        <w:t> </w:t>
      </w:r>
      <w:r>
        <w:rPr>
          <w:color w:val="231F20"/>
          <w:sz w:val="19"/>
        </w:rPr>
        <w:t>dell’intervento</w:t>
      </w:r>
      <w:r>
        <w:rPr>
          <w:color w:val="231F20"/>
          <w:spacing w:val="-13"/>
          <w:sz w:val="19"/>
        </w:rPr>
        <w:t> </w:t>
      </w:r>
      <w:r>
        <w:rPr>
          <w:color w:val="231F20"/>
          <w:sz w:val="19"/>
        </w:rPr>
        <w:t>sul</w:t>
      </w:r>
      <w:r>
        <w:rPr>
          <w:color w:val="231F20"/>
          <w:spacing w:val="-13"/>
          <w:sz w:val="19"/>
        </w:rPr>
        <w:t> </w:t>
      </w:r>
      <w:r>
        <w:rPr>
          <w:color w:val="231F20"/>
          <w:sz w:val="19"/>
        </w:rPr>
        <w:t>mercato</w:t>
      </w:r>
      <w:r>
        <w:rPr>
          <w:color w:val="231F20"/>
          <w:spacing w:val="-13"/>
          <w:sz w:val="19"/>
        </w:rPr>
        <w:t> </w:t>
      </w:r>
      <w:r>
        <w:rPr>
          <w:color w:val="231F20"/>
          <w:sz w:val="19"/>
        </w:rPr>
        <w:t>dallo</w:t>
      </w:r>
      <w:r>
        <w:rPr>
          <w:color w:val="231F20"/>
          <w:spacing w:val="-13"/>
          <w:sz w:val="19"/>
        </w:rPr>
        <w:t> </w:t>
      </w:r>
      <w:r>
        <w:rPr>
          <w:color w:val="231F20"/>
          <w:sz w:val="19"/>
        </w:rPr>
        <w:t>Stato. Anche se non è esatto il paragone, implicita in quelle formule, da </w:t>
      </w:r>
      <w:r>
        <w:rPr>
          <w:color w:val="231F20"/>
          <w:spacing w:val="-3"/>
          <w:sz w:val="19"/>
        </w:rPr>
        <w:t>società </w:t>
      </w:r>
      <w:r>
        <w:rPr>
          <w:color w:val="231F20"/>
          <w:sz w:val="19"/>
        </w:rPr>
        <w:t>a </w:t>
      </w:r>
      <w:r>
        <w:rPr>
          <w:color w:val="231F20"/>
          <w:spacing w:val="-3"/>
          <w:sz w:val="19"/>
        </w:rPr>
        <w:t>“mercato” </w:t>
      </w:r>
      <w:r>
        <w:rPr>
          <w:color w:val="231F20"/>
          <w:sz w:val="19"/>
        </w:rPr>
        <w:t>e </w:t>
      </w:r>
      <w:r>
        <w:rPr>
          <w:color w:val="231F20"/>
          <w:spacing w:val="-3"/>
          <w:sz w:val="19"/>
        </w:rPr>
        <w:t>política </w:t>
      </w:r>
      <w:r>
        <w:rPr>
          <w:color w:val="231F20"/>
          <w:sz w:val="19"/>
        </w:rPr>
        <w:t>a </w:t>
      </w:r>
      <w:r>
        <w:rPr>
          <w:color w:val="231F20"/>
          <w:spacing w:val="-3"/>
          <w:sz w:val="19"/>
        </w:rPr>
        <w:t>“Stato”, segnala </w:t>
      </w:r>
      <w:r>
        <w:rPr>
          <w:color w:val="231F20"/>
          <w:sz w:val="19"/>
        </w:rPr>
        <w:t>una </w:t>
      </w:r>
      <w:r>
        <w:rPr>
          <w:color w:val="231F20"/>
          <w:spacing w:val="-3"/>
          <w:sz w:val="19"/>
        </w:rPr>
        <w:t>tendenza </w:t>
      </w:r>
      <w:r>
        <w:rPr>
          <w:color w:val="231F20"/>
          <w:spacing w:val="-4"/>
          <w:sz w:val="19"/>
        </w:rPr>
        <w:t>reale </w:t>
      </w:r>
      <w:r>
        <w:rPr>
          <w:color w:val="231F20"/>
          <w:sz w:val="19"/>
        </w:rPr>
        <w:t>ed effettiva; tendenza alla progressiva riduzione della política alla logica</w:t>
      </w:r>
      <w:r>
        <w:rPr>
          <w:color w:val="231F20"/>
          <w:spacing w:val="-8"/>
          <w:sz w:val="19"/>
        </w:rPr>
        <w:t> </w:t>
      </w:r>
      <w:r>
        <w:rPr>
          <w:color w:val="231F20"/>
          <w:sz w:val="19"/>
        </w:rPr>
        <w:t>burocratica</w:t>
      </w:r>
      <w:r>
        <w:rPr>
          <w:color w:val="231F20"/>
          <w:spacing w:val="-8"/>
          <w:sz w:val="19"/>
        </w:rPr>
        <w:t> </w:t>
      </w:r>
      <w:r>
        <w:rPr>
          <w:color w:val="231F20"/>
          <w:sz w:val="19"/>
        </w:rPr>
        <w:t>di</w:t>
      </w:r>
      <w:r>
        <w:rPr>
          <w:color w:val="231F20"/>
          <w:spacing w:val="-8"/>
          <w:sz w:val="19"/>
        </w:rPr>
        <w:t> </w:t>
      </w:r>
      <w:r>
        <w:rPr>
          <w:color w:val="231F20"/>
          <w:sz w:val="19"/>
        </w:rPr>
        <w:t>partiti</w:t>
      </w:r>
      <w:r>
        <w:rPr>
          <w:color w:val="231F20"/>
          <w:spacing w:val="-8"/>
          <w:sz w:val="19"/>
        </w:rPr>
        <w:t> </w:t>
      </w:r>
      <w:r>
        <w:rPr>
          <w:color w:val="231F20"/>
          <w:sz w:val="19"/>
        </w:rPr>
        <w:t>e</w:t>
      </w:r>
      <w:r>
        <w:rPr>
          <w:color w:val="231F20"/>
          <w:spacing w:val="-8"/>
          <w:sz w:val="19"/>
        </w:rPr>
        <w:t> </w:t>
      </w:r>
      <w:r>
        <w:rPr>
          <w:color w:val="231F20"/>
          <w:sz w:val="19"/>
        </w:rPr>
        <w:t>istituzioni,</w:t>
      </w:r>
      <w:r>
        <w:rPr>
          <w:color w:val="231F20"/>
          <w:spacing w:val="-8"/>
          <w:sz w:val="19"/>
        </w:rPr>
        <w:t> </w:t>
      </w:r>
      <w:r>
        <w:rPr>
          <w:color w:val="231F20"/>
          <w:sz w:val="19"/>
        </w:rPr>
        <w:t>e</w:t>
      </w:r>
      <w:r>
        <w:rPr>
          <w:color w:val="231F20"/>
          <w:spacing w:val="-8"/>
          <w:sz w:val="19"/>
        </w:rPr>
        <w:t> </w:t>
      </w:r>
      <w:r>
        <w:rPr>
          <w:color w:val="231F20"/>
          <w:sz w:val="19"/>
        </w:rPr>
        <w:t>tendenza</w:t>
      </w:r>
      <w:r>
        <w:rPr>
          <w:color w:val="231F20"/>
          <w:spacing w:val="-8"/>
          <w:sz w:val="19"/>
        </w:rPr>
        <w:t> </w:t>
      </w:r>
      <w:r>
        <w:rPr>
          <w:color w:val="231F20"/>
          <w:sz w:val="19"/>
        </w:rPr>
        <w:t>alla</w:t>
      </w:r>
      <w:r>
        <w:rPr>
          <w:color w:val="231F20"/>
          <w:spacing w:val="-8"/>
          <w:sz w:val="19"/>
        </w:rPr>
        <w:t> </w:t>
      </w:r>
      <w:r>
        <w:rPr>
          <w:color w:val="231F20"/>
          <w:sz w:val="19"/>
        </w:rPr>
        <w:t>risoluzione dei</w:t>
      </w:r>
      <w:r>
        <w:rPr>
          <w:color w:val="231F20"/>
          <w:spacing w:val="-11"/>
          <w:sz w:val="19"/>
        </w:rPr>
        <w:t> </w:t>
      </w:r>
      <w:r>
        <w:rPr>
          <w:color w:val="231F20"/>
          <w:spacing w:val="-3"/>
          <w:sz w:val="19"/>
        </w:rPr>
        <w:t>vincoli</w:t>
      </w:r>
      <w:r>
        <w:rPr>
          <w:color w:val="231F20"/>
          <w:spacing w:val="-11"/>
          <w:sz w:val="19"/>
        </w:rPr>
        <w:t> </w:t>
      </w:r>
      <w:r>
        <w:rPr>
          <w:color w:val="231F20"/>
          <w:spacing w:val="-3"/>
          <w:sz w:val="19"/>
        </w:rPr>
        <w:t>sociali</w:t>
      </w:r>
      <w:r>
        <w:rPr>
          <w:color w:val="231F20"/>
          <w:spacing w:val="-11"/>
          <w:sz w:val="19"/>
        </w:rPr>
        <w:t> </w:t>
      </w:r>
      <w:r>
        <w:rPr>
          <w:color w:val="231F20"/>
          <w:spacing w:val="-4"/>
          <w:sz w:val="19"/>
        </w:rPr>
        <w:t>progressivamente</w:t>
      </w:r>
      <w:r>
        <w:rPr>
          <w:color w:val="231F20"/>
          <w:spacing w:val="-11"/>
          <w:sz w:val="19"/>
        </w:rPr>
        <w:t> </w:t>
      </w:r>
      <w:r>
        <w:rPr>
          <w:color w:val="231F20"/>
          <w:spacing w:val="-3"/>
          <w:sz w:val="19"/>
        </w:rPr>
        <w:t>rimpiazzati</w:t>
      </w:r>
      <w:r>
        <w:rPr>
          <w:color w:val="231F20"/>
          <w:spacing w:val="-11"/>
          <w:sz w:val="19"/>
        </w:rPr>
        <w:t> </w:t>
      </w:r>
      <w:r>
        <w:rPr>
          <w:color w:val="231F20"/>
          <w:sz w:val="19"/>
        </w:rPr>
        <w:t>per</w:t>
      </w:r>
      <w:r>
        <w:rPr>
          <w:color w:val="231F20"/>
          <w:spacing w:val="-11"/>
          <w:sz w:val="19"/>
        </w:rPr>
        <w:t> </w:t>
      </w:r>
      <w:r>
        <w:rPr>
          <w:color w:val="231F20"/>
          <w:spacing w:val="-3"/>
          <w:sz w:val="19"/>
        </w:rPr>
        <w:t>vincoli</w:t>
      </w:r>
      <w:r>
        <w:rPr>
          <w:color w:val="231F20"/>
          <w:spacing w:val="-11"/>
          <w:sz w:val="19"/>
        </w:rPr>
        <w:t> </w:t>
      </w:r>
      <w:r>
        <w:rPr>
          <w:color w:val="231F20"/>
          <w:spacing w:val="-3"/>
          <w:sz w:val="19"/>
        </w:rPr>
        <w:t>funzionali, </w:t>
      </w:r>
      <w:r>
        <w:rPr>
          <w:color w:val="231F20"/>
          <w:sz w:val="19"/>
        </w:rPr>
        <w:t>che riproducono la logica dello </w:t>
      </w:r>
      <w:r>
        <w:rPr>
          <w:color w:val="231F20"/>
          <w:spacing w:val="33"/>
          <w:sz w:val="19"/>
        </w:rPr>
        <w:t> </w:t>
      </w:r>
      <w:r>
        <w:rPr>
          <w:color w:val="231F20"/>
          <w:sz w:val="19"/>
        </w:rPr>
        <w:t>economico</w:t>
      </w:r>
      <w:r>
        <w:rPr>
          <w:color w:val="231F20"/>
          <w:position w:val="6"/>
          <w:sz w:val="11"/>
        </w:rPr>
        <w:t>42</w:t>
      </w:r>
      <w:r>
        <w:rPr>
          <w:color w:val="231F20"/>
          <w:sz w:val="19"/>
        </w:rPr>
        <w:t>.</w:t>
      </w:r>
    </w:p>
    <w:p>
      <w:pPr>
        <w:pStyle w:val="BodyText"/>
        <w:spacing w:before="11"/>
        <w:rPr>
          <w:sz w:val="23"/>
        </w:rPr>
      </w:pPr>
    </w:p>
    <w:p>
      <w:pPr>
        <w:pStyle w:val="BodyText"/>
        <w:spacing w:line="244" w:lineRule="auto"/>
        <w:ind w:left="117" w:right="120"/>
        <w:jc w:val="both"/>
      </w:pPr>
      <w:r>
        <w:rPr>
          <w:color w:val="231F20"/>
          <w:w w:val="105"/>
        </w:rPr>
        <w:t>Se</w:t>
      </w:r>
      <w:r>
        <w:rPr>
          <w:color w:val="231F20"/>
          <w:spacing w:val="-31"/>
          <w:w w:val="105"/>
        </w:rPr>
        <w:t> </w:t>
      </w:r>
      <w:r>
        <w:rPr>
          <w:color w:val="231F20"/>
          <w:w w:val="105"/>
        </w:rPr>
        <w:t>bene</w:t>
      </w:r>
      <w:r>
        <w:rPr>
          <w:color w:val="231F20"/>
          <w:spacing w:val="-31"/>
          <w:w w:val="105"/>
        </w:rPr>
        <w:t> </w:t>
      </w:r>
      <w:r>
        <w:rPr>
          <w:color w:val="231F20"/>
          <w:w w:val="105"/>
        </w:rPr>
        <w:t>questa</w:t>
      </w:r>
      <w:r>
        <w:rPr>
          <w:color w:val="231F20"/>
          <w:spacing w:val="-31"/>
          <w:w w:val="105"/>
        </w:rPr>
        <w:t> </w:t>
      </w:r>
      <w:r>
        <w:rPr>
          <w:color w:val="231F20"/>
          <w:w w:val="105"/>
        </w:rPr>
        <w:t>osservazione</w:t>
      </w:r>
      <w:r>
        <w:rPr>
          <w:color w:val="231F20"/>
          <w:spacing w:val="-31"/>
          <w:w w:val="105"/>
        </w:rPr>
        <w:t> </w:t>
      </w:r>
      <w:r>
        <w:rPr>
          <w:color w:val="231F20"/>
          <w:w w:val="105"/>
        </w:rPr>
        <w:t>diventa</w:t>
      </w:r>
      <w:r>
        <w:rPr>
          <w:color w:val="231F20"/>
          <w:spacing w:val="-31"/>
          <w:w w:val="105"/>
        </w:rPr>
        <w:t> </w:t>
      </w:r>
      <w:r>
        <w:rPr>
          <w:color w:val="231F20"/>
          <w:w w:val="105"/>
        </w:rPr>
        <w:t>realtà</w:t>
      </w:r>
      <w:r>
        <w:rPr>
          <w:color w:val="231F20"/>
          <w:spacing w:val="-31"/>
          <w:w w:val="105"/>
        </w:rPr>
        <w:t> </w:t>
      </w:r>
      <w:r>
        <w:rPr>
          <w:color w:val="231F20"/>
          <w:w w:val="105"/>
        </w:rPr>
        <w:t>verso</w:t>
      </w:r>
      <w:r>
        <w:rPr>
          <w:color w:val="231F20"/>
          <w:spacing w:val="-31"/>
          <w:w w:val="105"/>
        </w:rPr>
        <w:t> </w:t>
      </w:r>
      <w:r>
        <w:rPr>
          <w:color w:val="231F20"/>
          <w:w w:val="105"/>
        </w:rPr>
        <w:t>la</w:t>
      </w:r>
      <w:r>
        <w:rPr>
          <w:color w:val="231F20"/>
          <w:spacing w:val="-31"/>
          <w:w w:val="105"/>
        </w:rPr>
        <w:t> </w:t>
      </w:r>
      <w:r>
        <w:rPr>
          <w:color w:val="231F20"/>
          <w:w w:val="105"/>
        </w:rPr>
        <w:t>fine</w:t>
      </w:r>
      <w:r>
        <w:rPr>
          <w:color w:val="231F20"/>
          <w:spacing w:val="-31"/>
          <w:w w:val="105"/>
        </w:rPr>
        <w:t> </w:t>
      </w:r>
      <w:r>
        <w:rPr>
          <w:color w:val="231F20"/>
          <w:w w:val="105"/>
        </w:rPr>
        <w:t>del</w:t>
      </w:r>
      <w:r>
        <w:rPr>
          <w:color w:val="231F20"/>
          <w:spacing w:val="-31"/>
          <w:w w:val="105"/>
        </w:rPr>
        <w:t> </w:t>
      </w:r>
      <w:r>
        <w:rPr>
          <w:color w:val="231F20"/>
          <w:w w:val="105"/>
        </w:rPr>
        <w:t>secolo</w:t>
      </w:r>
      <w:r>
        <w:rPr>
          <w:color w:val="231F20"/>
          <w:spacing w:val="-31"/>
          <w:w w:val="105"/>
        </w:rPr>
        <w:t> </w:t>
      </w:r>
      <w:r>
        <w:rPr>
          <w:color w:val="231F20"/>
          <w:w w:val="105"/>
        </w:rPr>
        <w:t>scorso, e</w:t>
      </w:r>
      <w:r>
        <w:rPr>
          <w:color w:val="231F20"/>
          <w:spacing w:val="-6"/>
          <w:w w:val="105"/>
        </w:rPr>
        <w:t> </w:t>
      </w:r>
      <w:r>
        <w:rPr>
          <w:color w:val="231F20"/>
          <w:w w:val="105"/>
        </w:rPr>
        <w:t>può</w:t>
      </w:r>
      <w:r>
        <w:rPr>
          <w:color w:val="231F20"/>
          <w:spacing w:val="-6"/>
          <w:w w:val="105"/>
        </w:rPr>
        <w:t> </w:t>
      </w:r>
      <w:r>
        <w:rPr>
          <w:color w:val="231F20"/>
          <w:w w:val="105"/>
        </w:rPr>
        <w:t>essere</w:t>
      </w:r>
      <w:r>
        <w:rPr>
          <w:color w:val="231F20"/>
          <w:spacing w:val="-6"/>
          <w:w w:val="105"/>
        </w:rPr>
        <w:t> </w:t>
      </w:r>
      <w:r>
        <w:rPr>
          <w:color w:val="231F20"/>
          <w:w w:val="105"/>
        </w:rPr>
        <w:t>giudicata</w:t>
      </w:r>
      <w:r>
        <w:rPr>
          <w:color w:val="231F20"/>
          <w:spacing w:val="-6"/>
          <w:w w:val="105"/>
        </w:rPr>
        <w:t> </w:t>
      </w:r>
      <w:r>
        <w:rPr>
          <w:color w:val="231F20"/>
          <w:w w:val="105"/>
        </w:rPr>
        <w:t>come</w:t>
      </w:r>
      <w:r>
        <w:rPr>
          <w:color w:val="231F20"/>
          <w:spacing w:val="-6"/>
          <w:w w:val="105"/>
        </w:rPr>
        <w:t> </w:t>
      </w:r>
      <w:r>
        <w:rPr>
          <w:color w:val="231F20"/>
          <w:w w:val="105"/>
        </w:rPr>
        <w:t>una</w:t>
      </w:r>
      <w:r>
        <w:rPr>
          <w:color w:val="231F20"/>
          <w:spacing w:val="-6"/>
          <w:w w:val="105"/>
        </w:rPr>
        <w:t> </w:t>
      </w:r>
      <w:r>
        <w:rPr>
          <w:color w:val="231F20"/>
          <w:w w:val="105"/>
        </w:rPr>
        <w:t>preoccupazione</w:t>
      </w:r>
      <w:r>
        <w:rPr>
          <w:color w:val="231F20"/>
          <w:spacing w:val="-6"/>
          <w:w w:val="105"/>
        </w:rPr>
        <w:t> </w:t>
      </w:r>
      <w:r>
        <w:rPr>
          <w:color w:val="231F20"/>
          <w:w w:val="105"/>
        </w:rPr>
        <w:t>teorica</w:t>
      </w:r>
      <w:r>
        <w:rPr>
          <w:color w:val="231F20"/>
          <w:spacing w:val="-6"/>
          <w:w w:val="105"/>
        </w:rPr>
        <w:t> </w:t>
      </w:r>
      <w:r>
        <w:rPr>
          <w:color w:val="231F20"/>
          <w:w w:val="105"/>
        </w:rPr>
        <w:t>simile</w:t>
      </w:r>
      <w:r>
        <w:rPr>
          <w:color w:val="231F20"/>
          <w:spacing w:val="-6"/>
          <w:w w:val="105"/>
        </w:rPr>
        <w:t> </w:t>
      </w:r>
      <w:r>
        <w:rPr>
          <w:color w:val="231F20"/>
          <w:w w:val="105"/>
        </w:rPr>
        <w:t>a</w:t>
      </w:r>
      <w:r>
        <w:rPr>
          <w:color w:val="231F20"/>
          <w:spacing w:val="-6"/>
          <w:w w:val="105"/>
        </w:rPr>
        <w:t> </w:t>
      </w:r>
      <w:r>
        <w:rPr>
          <w:color w:val="231F20"/>
          <w:w w:val="105"/>
        </w:rPr>
        <w:t>molte altre</w:t>
      </w:r>
      <w:r>
        <w:rPr>
          <w:color w:val="231F20"/>
          <w:spacing w:val="-47"/>
          <w:w w:val="105"/>
        </w:rPr>
        <w:t> </w:t>
      </w:r>
      <w:r>
        <w:rPr>
          <w:color w:val="231F20"/>
          <w:w w:val="105"/>
        </w:rPr>
        <w:t>che</w:t>
      </w:r>
      <w:r>
        <w:rPr>
          <w:color w:val="231F20"/>
          <w:spacing w:val="-47"/>
          <w:w w:val="105"/>
        </w:rPr>
        <w:t> </w:t>
      </w:r>
      <w:r>
        <w:rPr>
          <w:color w:val="231F20"/>
          <w:w w:val="105"/>
        </w:rPr>
        <w:t>allora</w:t>
      </w:r>
      <w:r>
        <w:rPr>
          <w:color w:val="231F20"/>
          <w:spacing w:val="-47"/>
          <w:w w:val="105"/>
        </w:rPr>
        <w:t> </w:t>
      </w:r>
      <w:r>
        <w:rPr>
          <w:color w:val="231F20"/>
          <w:w w:val="105"/>
        </w:rPr>
        <w:t>allertavano</w:t>
      </w:r>
      <w:r>
        <w:rPr>
          <w:color w:val="231F20"/>
          <w:spacing w:val="-47"/>
          <w:w w:val="105"/>
        </w:rPr>
        <w:t> </w:t>
      </w:r>
      <w:r>
        <w:rPr>
          <w:color w:val="231F20"/>
          <w:w w:val="105"/>
        </w:rPr>
        <w:t>sul</w:t>
      </w:r>
      <w:r>
        <w:rPr>
          <w:color w:val="231F20"/>
          <w:spacing w:val="-47"/>
          <w:w w:val="105"/>
        </w:rPr>
        <w:t> </w:t>
      </w:r>
      <w:r>
        <w:rPr>
          <w:color w:val="231F20"/>
          <w:w w:val="105"/>
        </w:rPr>
        <w:t>cambiamento</w:t>
      </w:r>
      <w:r>
        <w:rPr>
          <w:color w:val="231F20"/>
          <w:spacing w:val="-47"/>
          <w:w w:val="105"/>
        </w:rPr>
        <w:t> </w:t>
      </w:r>
      <w:r>
        <w:rPr>
          <w:color w:val="231F20"/>
          <w:w w:val="105"/>
        </w:rPr>
        <w:t>nell’articolazione</w:t>
      </w:r>
      <w:r>
        <w:rPr>
          <w:color w:val="231F20"/>
          <w:spacing w:val="-47"/>
          <w:w w:val="105"/>
        </w:rPr>
        <w:t> </w:t>
      </w:r>
      <w:r>
        <w:rPr>
          <w:color w:val="231F20"/>
          <w:w w:val="105"/>
        </w:rPr>
        <w:t>dello</w:t>
      </w:r>
      <w:r>
        <w:rPr>
          <w:color w:val="231F20"/>
          <w:spacing w:val="-47"/>
          <w:w w:val="105"/>
        </w:rPr>
        <w:t> </w:t>
      </w:r>
      <w:r>
        <w:rPr>
          <w:color w:val="231F20"/>
          <w:w w:val="105"/>
        </w:rPr>
        <w:t>Stato</w:t>
      </w:r>
      <w:r>
        <w:rPr>
          <w:color w:val="231F20"/>
          <w:spacing w:val="-47"/>
          <w:w w:val="105"/>
        </w:rPr>
        <w:t> </w:t>
      </w:r>
      <w:r>
        <w:rPr>
          <w:color w:val="231F20"/>
          <w:w w:val="105"/>
        </w:rPr>
        <w:t>di </w:t>
      </w:r>
      <w:r>
        <w:rPr>
          <w:color w:val="231F20"/>
          <w:spacing w:val="-3"/>
          <w:w w:val="105"/>
        </w:rPr>
        <w:t>fronte</w:t>
      </w:r>
      <w:r>
        <w:rPr>
          <w:color w:val="231F20"/>
          <w:spacing w:val="-48"/>
          <w:w w:val="105"/>
        </w:rPr>
        <w:t> </w:t>
      </w:r>
      <w:r>
        <w:rPr>
          <w:color w:val="231F20"/>
          <w:w w:val="105"/>
        </w:rPr>
        <w:t>al</w:t>
      </w:r>
      <w:r>
        <w:rPr>
          <w:color w:val="231F20"/>
          <w:spacing w:val="-48"/>
          <w:w w:val="105"/>
        </w:rPr>
        <w:t> </w:t>
      </w:r>
      <w:r>
        <w:rPr>
          <w:color w:val="231F20"/>
          <w:spacing w:val="-3"/>
          <w:w w:val="105"/>
        </w:rPr>
        <w:t>mercato</w:t>
      </w:r>
      <w:r>
        <w:rPr>
          <w:color w:val="231F20"/>
          <w:spacing w:val="-48"/>
          <w:w w:val="105"/>
        </w:rPr>
        <w:t> </w:t>
      </w:r>
      <w:r>
        <w:rPr>
          <w:color w:val="231F20"/>
          <w:w w:val="105"/>
        </w:rPr>
        <w:t>e</w:t>
      </w:r>
      <w:r>
        <w:rPr>
          <w:color w:val="231F20"/>
          <w:spacing w:val="-48"/>
          <w:w w:val="105"/>
        </w:rPr>
        <w:t> </w:t>
      </w:r>
      <w:r>
        <w:rPr>
          <w:color w:val="231F20"/>
          <w:w w:val="105"/>
        </w:rPr>
        <w:t>di</w:t>
      </w:r>
      <w:r>
        <w:rPr>
          <w:color w:val="231F20"/>
          <w:spacing w:val="-48"/>
          <w:w w:val="105"/>
        </w:rPr>
        <w:t> </w:t>
      </w:r>
      <w:r>
        <w:rPr>
          <w:color w:val="231F20"/>
          <w:spacing w:val="-3"/>
          <w:w w:val="105"/>
        </w:rPr>
        <w:t>fronte</w:t>
      </w:r>
      <w:r>
        <w:rPr>
          <w:color w:val="231F20"/>
          <w:spacing w:val="-48"/>
          <w:w w:val="105"/>
        </w:rPr>
        <w:t> </w:t>
      </w:r>
      <w:r>
        <w:rPr>
          <w:color w:val="231F20"/>
          <w:w w:val="105"/>
        </w:rPr>
        <w:t>alla</w:t>
      </w:r>
      <w:r>
        <w:rPr>
          <w:color w:val="231F20"/>
          <w:spacing w:val="-48"/>
          <w:w w:val="105"/>
        </w:rPr>
        <w:t> </w:t>
      </w:r>
      <w:r>
        <w:rPr>
          <w:color w:val="231F20"/>
          <w:w w:val="105"/>
        </w:rPr>
        <w:t>società</w:t>
      </w:r>
      <w:r>
        <w:rPr>
          <w:color w:val="231F20"/>
          <w:spacing w:val="-48"/>
          <w:w w:val="105"/>
        </w:rPr>
        <w:t> </w:t>
      </w:r>
      <w:r>
        <w:rPr>
          <w:color w:val="231F20"/>
          <w:w w:val="105"/>
        </w:rPr>
        <w:t>durante</w:t>
      </w:r>
      <w:r>
        <w:rPr>
          <w:color w:val="231F20"/>
          <w:spacing w:val="-48"/>
          <w:w w:val="105"/>
        </w:rPr>
        <w:t> </w:t>
      </w:r>
      <w:r>
        <w:rPr>
          <w:color w:val="231F20"/>
          <w:w w:val="105"/>
        </w:rPr>
        <w:t>gli</w:t>
      </w:r>
      <w:r>
        <w:rPr>
          <w:color w:val="231F20"/>
          <w:spacing w:val="-48"/>
          <w:w w:val="105"/>
        </w:rPr>
        <w:t> </w:t>
      </w:r>
      <w:r>
        <w:rPr>
          <w:color w:val="231F20"/>
          <w:w w:val="105"/>
        </w:rPr>
        <w:t>anni</w:t>
      </w:r>
      <w:r>
        <w:rPr>
          <w:color w:val="231F20"/>
          <w:spacing w:val="-48"/>
          <w:w w:val="105"/>
        </w:rPr>
        <w:t> </w:t>
      </w:r>
      <w:r>
        <w:rPr>
          <w:color w:val="231F20"/>
          <w:w w:val="105"/>
        </w:rPr>
        <w:t>ottanta</w:t>
      </w:r>
      <w:r>
        <w:rPr>
          <w:color w:val="231F20"/>
          <w:spacing w:val="-48"/>
          <w:w w:val="105"/>
        </w:rPr>
        <w:t> </w:t>
      </w:r>
      <w:r>
        <w:rPr>
          <w:color w:val="231F20"/>
          <w:w w:val="105"/>
        </w:rPr>
        <w:t>e</w:t>
      </w:r>
      <w:r>
        <w:rPr>
          <w:color w:val="231F20"/>
          <w:spacing w:val="-48"/>
          <w:w w:val="105"/>
        </w:rPr>
        <w:t> </w:t>
      </w:r>
      <w:r>
        <w:rPr>
          <w:color w:val="231F20"/>
          <w:w w:val="105"/>
        </w:rPr>
        <w:t>soprattutto negli</w:t>
      </w:r>
      <w:r>
        <w:rPr>
          <w:color w:val="231F20"/>
          <w:spacing w:val="-49"/>
          <w:w w:val="105"/>
        </w:rPr>
        <w:t> </w:t>
      </w:r>
      <w:r>
        <w:rPr>
          <w:color w:val="231F20"/>
          <w:w w:val="105"/>
        </w:rPr>
        <w:t>anni</w:t>
      </w:r>
      <w:r>
        <w:rPr>
          <w:color w:val="231F20"/>
          <w:spacing w:val="-49"/>
          <w:w w:val="105"/>
        </w:rPr>
        <w:t> </w:t>
      </w:r>
      <w:r>
        <w:rPr>
          <w:color w:val="231F20"/>
          <w:w w:val="105"/>
        </w:rPr>
        <w:t>novanta,</w:t>
      </w:r>
      <w:r>
        <w:rPr>
          <w:color w:val="231F20"/>
          <w:w w:val="105"/>
          <w:position w:val="7"/>
          <w:sz w:val="12"/>
        </w:rPr>
        <w:t>43</w:t>
      </w:r>
      <w:r>
        <w:rPr>
          <w:color w:val="231F20"/>
          <w:spacing w:val="-19"/>
          <w:w w:val="105"/>
          <w:position w:val="7"/>
          <w:sz w:val="12"/>
        </w:rPr>
        <w:t> </w:t>
      </w:r>
      <w:r>
        <w:rPr>
          <w:color w:val="231F20"/>
          <w:w w:val="105"/>
        </w:rPr>
        <w:t>continua</w:t>
      </w:r>
      <w:r>
        <w:rPr>
          <w:color w:val="231F20"/>
          <w:spacing w:val="-49"/>
          <w:w w:val="105"/>
        </w:rPr>
        <w:t> </w:t>
      </w:r>
      <w:r>
        <w:rPr>
          <w:color w:val="231F20"/>
          <w:w w:val="105"/>
        </w:rPr>
        <w:t>a</w:t>
      </w:r>
      <w:r>
        <w:rPr>
          <w:color w:val="231F20"/>
          <w:spacing w:val="-49"/>
          <w:w w:val="105"/>
        </w:rPr>
        <w:t> </w:t>
      </w:r>
      <w:r>
        <w:rPr>
          <w:color w:val="231F20"/>
          <w:spacing w:val="-3"/>
          <w:w w:val="105"/>
        </w:rPr>
        <w:t>esprimere</w:t>
      </w:r>
      <w:r>
        <w:rPr>
          <w:color w:val="231F20"/>
          <w:spacing w:val="-49"/>
          <w:w w:val="105"/>
        </w:rPr>
        <w:t> </w:t>
      </w:r>
      <w:r>
        <w:rPr>
          <w:color w:val="231F20"/>
          <w:w w:val="105"/>
        </w:rPr>
        <w:t>la</w:t>
      </w:r>
      <w:r>
        <w:rPr>
          <w:color w:val="231F20"/>
          <w:spacing w:val="-49"/>
          <w:w w:val="105"/>
        </w:rPr>
        <w:t> </w:t>
      </w:r>
      <w:r>
        <w:rPr>
          <w:color w:val="231F20"/>
          <w:w w:val="105"/>
        </w:rPr>
        <w:t>sua</w:t>
      </w:r>
      <w:r>
        <w:rPr>
          <w:color w:val="231F20"/>
          <w:spacing w:val="-49"/>
          <w:w w:val="105"/>
        </w:rPr>
        <w:t> </w:t>
      </w:r>
      <w:r>
        <w:rPr>
          <w:color w:val="231F20"/>
          <w:spacing w:val="-2"/>
          <w:w w:val="105"/>
        </w:rPr>
        <w:t>attualità</w:t>
      </w:r>
      <w:r>
        <w:rPr>
          <w:color w:val="231F20"/>
          <w:spacing w:val="-49"/>
          <w:w w:val="105"/>
        </w:rPr>
        <w:t> </w:t>
      </w:r>
      <w:r>
        <w:rPr>
          <w:color w:val="231F20"/>
          <w:w w:val="105"/>
        </w:rPr>
        <w:t>al</w:t>
      </w:r>
      <w:r>
        <w:rPr>
          <w:color w:val="231F20"/>
          <w:spacing w:val="-49"/>
          <w:w w:val="105"/>
        </w:rPr>
        <w:t> </w:t>
      </w:r>
      <w:r>
        <w:rPr>
          <w:color w:val="231F20"/>
          <w:w w:val="105"/>
        </w:rPr>
        <w:t>grado</w:t>
      </w:r>
      <w:r>
        <w:rPr>
          <w:color w:val="231F20"/>
          <w:spacing w:val="-49"/>
          <w:w w:val="105"/>
        </w:rPr>
        <w:t> </w:t>
      </w:r>
      <w:r>
        <w:rPr>
          <w:color w:val="231F20"/>
          <w:w w:val="105"/>
        </w:rPr>
        <w:t>di</w:t>
      </w:r>
      <w:r>
        <w:rPr>
          <w:color w:val="231F20"/>
          <w:spacing w:val="-49"/>
          <w:w w:val="105"/>
        </w:rPr>
        <w:t> </w:t>
      </w:r>
      <w:r>
        <w:rPr>
          <w:color w:val="231F20"/>
          <w:spacing w:val="-3"/>
          <w:w w:val="105"/>
        </w:rPr>
        <w:t>indicare </w:t>
      </w:r>
      <w:r>
        <w:rPr>
          <w:rFonts w:ascii="Arial" w:hAnsi="Arial"/>
          <w:i/>
          <w:color w:val="231F20"/>
          <w:w w:val="105"/>
        </w:rPr>
        <w:t>l’inizio</w:t>
      </w:r>
      <w:r>
        <w:rPr>
          <w:rFonts w:ascii="Arial" w:hAnsi="Arial"/>
          <w:i/>
          <w:color w:val="231F20"/>
          <w:spacing w:val="-15"/>
          <w:w w:val="105"/>
        </w:rPr>
        <w:t> </w:t>
      </w:r>
      <w:r>
        <w:rPr>
          <w:color w:val="231F20"/>
          <w:w w:val="105"/>
        </w:rPr>
        <w:t>delle</w:t>
      </w:r>
      <w:r>
        <w:rPr>
          <w:color w:val="231F20"/>
          <w:spacing w:val="-23"/>
          <w:w w:val="105"/>
        </w:rPr>
        <w:t> </w:t>
      </w:r>
      <w:r>
        <w:rPr>
          <w:color w:val="231F20"/>
          <w:w w:val="105"/>
        </w:rPr>
        <w:t>trasformazioni</w:t>
      </w:r>
      <w:r>
        <w:rPr>
          <w:color w:val="231F20"/>
          <w:spacing w:val="-23"/>
          <w:w w:val="105"/>
        </w:rPr>
        <w:t> </w:t>
      </w:r>
      <w:r>
        <w:rPr>
          <w:color w:val="231F20"/>
          <w:w w:val="105"/>
        </w:rPr>
        <w:t>che</w:t>
      </w:r>
      <w:r>
        <w:rPr>
          <w:color w:val="231F20"/>
          <w:spacing w:val="-23"/>
          <w:w w:val="105"/>
        </w:rPr>
        <w:t> </w:t>
      </w:r>
      <w:r>
        <w:rPr>
          <w:color w:val="231F20"/>
          <w:w w:val="105"/>
        </w:rPr>
        <w:t>ha</w:t>
      </w:r>
      <w:r>
        <w:rPr>
          <w:color w:val="231F20"/>
          <w:spacing w:val="-23"/>
          <w:w w:val="105"/>
        </w:rPr>
        <w:t> </w:t>
      </w:r>
      <w:r>
        <w:rPr>
          <w:color w:val="231F20"/>
          <w:w w:val="105"/>
        </w:rPr>
        <w:t>sofferto</w:t>
      </w:r>
      <w:r>
        <w:rPr>
          <w:color w:val="231F20"/>
          <w:spacing w:val="-23"/>
          <w:w w:val="105"/>
        </w:rPr>
        <w:t> </w:t>
      </w:r>
      <w:r>
        <w:rPr>
          <w:color w:val="231F20"/>
          <w:w w:val="105"/>
        </w:rPr>
        <w:t>lo</w:t>
      </w:r>
      <w:r>
        <w:rPr>
          <w:color w:val="231F20"/>
          <w:spacing w:val="-23"/>
          <w:w w:val="105"/>
        </w:rPr>
        <w:t> </w:t>
      </w:r>
      <w:r>
        <w:rPr>
          <w:color w:val="231F20"/>
          <w:w w:val="105"/>
        </w:rPr>
        <w:t>Stato</w:t>
      </w:r>
      <w:r>
        <w:rPr>
          <w:color w:val="231F20"/>
          <w:spacing w:val="-23"/>
          <w:w w:val="105"/>
        </w:rPr>
        <w:t> </w:t>
      </w:r>
      <w:r>
        <w:rPr>
          <w:color w:val="231F20"/>
          <w:w w:val="105"/>
        </w:rPr>
        <w:t>negli</w:t>
      </w:r>
      <w:r>
        <w:rPr>
          <w:color w:val="231F20"/>
          <w:spacing w:val="-23"/>
          <w:w w:val="105"/>
        </w:rPr>
        <w:t> </w:t>
      </w:r>
      <w:r>
        <w:rPr>
          <w:color w:val="231F20"/>
          <w:w w:val="105"/>
        </w:rPr>
        <w:t>ultimi</w:t>
      </w:r>
      <w:r>
        <w:rPr>
          <w:color w:val="231F20"/>
          <w:spacing w:val="-23"/>
          <w:w w:val="105"/>
        </w:rPr>
        <w:t> </w:t>
      </w:r>
      <w:r>
        <w:rPr>
          <w:color w:val="231F20"/>
          <w:w w:val="105"/>
        </w:rPr>
        <w:t>15</w:t>
      </w:r>
      <w:r>
        <w:rPr>
          <w:color w:val="231F20"/>
          <w:spacing w:val="-23"/>
          <w:w w:val="105"/>
        </w:rPr>
        <w:t> </w:t>
      </w:r>
      <w:r>
        <w:rPr>
          <w:color w:val="231F20"/>
          <w:w w:val="105"/>
        </w:rPr>
        <w:t>anni.</w:t>
      </w:r>
      <w:r>
        <w:rPr>
          <w:color w:val="231F20"/>
          <w:spacing w:val="-23"/>
          <w:w w:val="105"/>
        </w:rPr>
        <w:t> </w:t>
      </w:r>
      <w:r>
        <w:rPr>
          <w:color w:val="231F20"/>
          <w:w w:val="105"/>
        </w:rPr>
        <w:t>In questo</w:t>
      </w:r>
      <w:r>
        <w:rPr>
          <w:color w:val="231F20"/>
          <w:spacing w:val="-47"/>
          <w:w w:val="105"/>
        </w:rPr>
        <w:t> </w:t>
      </w:r>
      <w:r>
        <w:rPr>
          <w:color w:val="231F20"/>
          <w:w w:val="105"/>
        </w:rPr>
        <w:t>stesso</w:t>
      </w:r>
      <w:r>
        <w:rPr>
          <w:color w:val="231F20"/>
          <w:spacing w:val="-47"/>
          <w:w w:val="105"/>
        </w:rPr>
        <w:t> </w:t>
      </w:r>
      <w:r>
        <w:rPr>
          <w:color w:val="231F20"/>
          <w:w w:val="105"/>
        </w:rPr>
        <w:t>senso,</w:t>
      </w:r>
      <w:r>
        <w:rPr>
          <w:color w:val="231F20"/>
          <w:spacing w:val="-47"/>
          <w:w w:val="105"/>
        </w:rPr>
        <w:t> </w:t>
      </w:r>
      <w:r>
        <w:rPr>
          <w:color w:val="231F20"/>
          <w:w w:val="105"/>
        </w:rPr>
        <w:t>Norbert</w:t>
      </w:r>
      <w:r>
        <w:rPr>
          <w:color w:val="231F20"/>
          <w:spacing w:val="-47"/>
          <w:w w:val="105"/>
        </w:rPr>
        <w:t> </w:t>
      </w:r>
      <w:r>
        <w:rPr>
          <w:color w:val="231F20"/>
          <w:w w:val="105"/>
        </w:rPr>
        <w:t>Lechner</w:t>
      </w:r>
      <w:r>
        <w:rPr>
          <w:color w:val="231F20"/>
          <w:spacing w:val="-47"/>
          <w:w w:val="105"/>
        </w:rPr>
        <w:t> </w:t>
      </w:r>
      <w:r>
        <w:rPr>
          <w:color w:val="231F20"/>
          <w:w w:val="105"/>
        </w:rPr>
        <w:t>scriveva:</w:t>
      </w:r>
    </w:p>
    <w:p>
      <w:pPr>
        <w:pStyle w:val="BodyText"/>
        <w:spacing w:before="1"/>
        <w:rPr>
          <w:sz w:val="23"/>
        </w:rPr>
      </w:pPr>
    </w:p>
    <w:p>
      <w:pPr>
        <w:spacing w:line="220" w:lineRule="exact" w:before="0"/>
        <w:ind w:left="1534" w:right="117" w:firstLine="0"/>
        <w:jc w:val="both"/>
        <w:rPr>
          <w:sz w:val="19"/>
        </w:rPr>
      </w:pPr>
      <w:r>
        <w:rPr>
          <w:color w:val="231F20"/>
          <w:sz w:val="19"/>
        </w:rPr>
        <w:t>In</w:t>
      </w:r>
      <w:r>
        <w:rPr>
          <w:color w:val="231F20"/>
          <w:spacing w:val="-19"/>
          <w:sz w:val="19"/>
        </w:rPr>
        <w:t> </w:t>
      </w:r>
      <w:r>
        <w:rPr>
          <w:color w:val="231F20"/>
          <w:spacing w:val="-3"/>
          <w:sz w:val="19"/>
        </w:rPr>
        <w:t>realtà,</w:t>
      </w:r>
      <w:r>
        <w:rPr>
          <w:color w:val="231F20"/>
          <w:spacing w:val="-19"/>
          <w:sz w:val="19"/>
        </w:rPr>
        <w:t> </w:t>
      </w:r>
      <w:r>
        <w:rPr>
          <w:color w:val="231F20"/>
          <w:sz w:val="19"/>
        </w:rPr>
        <w:t>la</w:t>
      </w:r>
      <w:r>
        <w:rPr>
          <w:color w:val="231F20"/>
          <w:spacing w:val="-19"/>
          <w:sz w:val="19"/>
        </w:rPr>
        <w:t> </w:t>
      </w:r>
      <w:r>
        <w:rPr>
          <w:color w:val="231F20"/>
          <w:spacing w:val="-3"/>
          <w:sz w:val="19"/>
        </w:rPr>
        <w:t>riorganizzazione</w:t>
      </w:r>
      <w:r>
        <w:rPr>
          <w:color w:val="231F20"/>
          <w:spacing w:val="-19"/>
          <w:sz w:val="19"/>
        </w:rPr>
        <w:t> </w:t>
      </w:r>
      <w:r>
        <w:rPr>
          <w:color w:val="231F20"/>
          <w:spacing w:val="-3"/>
          <w:sz w:val="19"/>
        </w:rPr>
        <w:t>dello</w:t>
      </w:r>
      <w:r>
        <w:rPr>
          <w:color w:val="231F20"/>
          <w:spacing w:val="-19"/>
          <w:sz w:val="19"/>
        </w:rPr>
        <w:t> </w:t>
      </w:r>
      <w:r>
        <w:rPr>
          <w:color w:val="231F20"/>
          <w:spacing w:val="-3"/>
          <w:sz w:val="19"/>
        </w:rPr>
        <w:t>Stato</w:t>
      </w:r>
      <w:r>
        <w:rPr>
          <w:color w:val="231F20"/>
          <w:spacing w:val="-19"/>
          <w:sz w:val="19"/>
        </w:rPr>
        <w:t> </w:t>
      </w:r>
      <w:r>
        <w:rPr>
          <w:color w:val="231F20"/>
          <w:sz w:val="19"/>
        </w:rPr>
        <w:t>ha</w:t>
      </w:r>
      <w:r>
        <w:rPr>
          <w:color w:val="231F20"/>
          <w:spacing w:val="-19"/>
          <w:sz w:val="19"/>
        </w:rPr>
        <w:t> </w:t>
      </w:r>
      <w:r>
        <w:rPr>
          <w:color w:val="231F20"/>
          <w:spacing w:val="-3"/>
          <w:sz w:val="19"/>
        </w:rPr>
        <w:t>effetti</w:t>
      </w:r>
      <w:r>
        <w:rPr>
          <w:color w:val="231F20"/>
          <w:spacing w:val="-19"/>
          <w:sz w:val="19"/>
        </w:rPr>
        <w:t> </w:t>
      </w:r>
      <w:r>
        <w:rPr>
          <w:color w:val="231F20"/>
          <w:spacing w:val="-4"/>
          <w:sz w:val="19"/>
        </w:rPr>
        <w:t>straordinariamente </w:t>
      </w:r>
      <w:r>
        <w:rPr>
          <w:color w:val="231F20"/>
          <w:sz w:val="19"/>
        </w:rPr>
        <w:t>significativi:</w:t>
      </w:r>
      <w:r>
        <w:rPr>
          <w:color w:val="231F20"/>
          <w:spacing w:val="-19"/>
          <w:sz w:val="19"/>
        </w:rPr>
        <w:t> </w:t>
      </w:r>
      <w:r>
        <w:rPr>
          <w:color w:val="231F20"/>
          <w:sz w:val="19"/>
        </w:rPr>
        <w:t>riduce</w:t>
      </w:r>
      <w:r>
        <w:rPr>
          <w:color w:val="231F20"/>
          <w:spacing w:val="-19"/>
          <w:sz w:val="19"/>
        </w:rPr>
        <w:t> </w:t>
      </w:r>
      <w:r>
        <w:rPr>
          <w:color w:val="231F20"/>
          <w:sz w:val="19"/>
        </w:rPr>
        <w:t>la</w:t>
      </w:r>
      <w:r>
        <w:rPr>
          <w:color w:val="231F20"/>
          <w:spacing w:val="-19"/>
          <w:sz w:val="19"/>
        </w:rPr>
        <w:t> </w:t>
      </w:r>
      <w:r>
        <w:rPr>
          <w:color w:val="231F20"/>
          <w:sz w:val="19"/>
        </w:rPr>
        <w:t>regolamentazione</w:t>
      </w:r>
      <w:r>
        <w:rPr>
          <w:color w:val="231F20"/>
          <w:spacing w:val="-19"/>
          <w:sz w:val="19"/>
        </w:rPr>
        <w:t> </w:t>
      </w:r>
      <w:r>
        <w:rPr>
          <w:color w:val="231F20"/>
          <w:sz w:val="19"/>
        </w:rPr>
        <w:t>burocratica</w:t>
      </w:r>
      <w:r>
        <w:rPr>
          <w:color w:val="231F20"/>
          <w:spacing w:val="-19"/>
          <w:sz w:val="19"/>
        </w:rPr>
        <w:t> </w:t>
      </w:r>
      <w:r>
        <w:rPr>
          <w:color w:val="231F20"/>
          <w:sz w:val="19"/>
        </w:rPr>
        <w:t>e</w:t>
      </w:r>
      <w:r>
        <w:rPr>
          <w:color w:val="231F20"/>
          <w:spacing w:val="-19"/>
          <w:sz w:val="19"/>
        </w:rPr>
        <w:t> </w:t>
      </w:r>
      <w:r>
        <w:rPr>
          <w:color w:val="231F20"/>
          <w:sz w:val="19"/>
        </w:rPr>
        <w:t>il</w:t>
      </w:r>
      <w:r>
        <w:rPr>
          <w:color w:val="231F20"/>
          <w:spacing w:val="-19"/>
          <w:sz w:val="19"/>
        </w:rPr>
        <w:t> </w:t>
      </w:r>
      <w:r>
        <w:rPr>
          <w:color w:val="231F20"/>
          <w:sz w:val="19"/>
        </w:rPr>
        <w:t>centralismo amministrativo, diminuisce la pressione politica e corporativista sull’apparato statale e limita l’uso populista della spesa fiscale      e </w:t>
      </w:r>
      <w:r>
        <w:rPr>
          <w:color w:val="231F20"/>
          <w:spacing w:val="2"/>
          <w:sz w:val="19"/>
        </w:rPr>
        <w:t>del </w:t>
      </w:r>
      <w:r>
        <w:rPr>
          <w:color w:val="231F20"/>
          <w:spacing w:val="3"/>
          <w:sz w:val="19"/>
        </w:rPr>
        <w:t>patrimonio pubblico. Insomma, migliora </w:t>
      </w:r>
      <w:r>
        <w:rPr>
          <w:color w:val="231F20"/>
          <w:spacing w:val="4"/>
          <w:sz w:val="19"/>
        </w:rPr>
        <w:t>drasticamente </w:t>
      </w:r>
      <w:r>
        <w:rPr>
          <w:color w:val="231F20"/>
          <w:sz w:val="19"/>
        </w:rPr>
        <w:t>l’efficienza economica dello Stato. Ciò nonostante, al considerare </w:t>
      </w:r>
      <w:r>
        <w:rPr>
          <w:color w:val="231F20"/>
          <w:spacing w:val="5"/>
          <w:sz w:val="19"/>
        </w:rPr>
        <w:t>esclusivamente </w:t>
      </w:r>
      <w:r>
        <w:rPr>
          <w:color w:val="231F20"/>
          <w:spacing w:val="3"/>
          <w:sz w:val="19"/>
        </w:rPr>
        <w:t>la </w:t>
      </w:r>
      <w:r>
        <w:rPr>
          <w:color w:val="231F20"/>
          <w:spacing w:val="5"/>
          <w:sz w:val="19"/>
        </w:rPr>
        <w:t>funzionalità economica </w:t>
      </w:r>
      <w:r>
        <w:rPr>
          <w:color w:val="231F20"/>
          <w:spacing w:val="4"/>
          <w:sz w:val="19"/>
        </w:rPr>
        <w:t>dello </w:t>
      </w:r>
      <w:r>
        <w:rPr>
          <w:color w:val="231F20"/>
          <w:spacing w:val="5"/>
          <w:sz w:val="19"/>
        </w:rPr>
        <w:t>Stato, </w:t>
      </w:r>
      <w:r>
        <w:rPr>
          <w:color w:val="231F20"/>
          <w:spacing w:val="4"/>
          <w:sz w:val="19"/>
        </w:rPr>
        <w:t>tale </w:t>
      </w:r>
      <w:r>
        <w:rPr>
          <w:color w:val="231F20"/>
          <w:sz w:val="19"/>
        </w:rPr>
        <w:t>modernizzazione implica un riduzionismo che ignora le specificità della política</w:t>
      </w:r>
      <w:r>
        <w:rPr>
          <w:color w:val="231F20"/>
          <w:spacing w:val="46"/>
          <w:sz w:val="19"/>
        </w:rPr>
        <w:t> </w:t>
      </w:r>
      <w:r>
        <w:rPr>
          <w:color w:val="231F20"/>
          <w:sz w:val="19"/>
        </w:rPr>
        <w:t>democratica</w:t>
      </w:r>
      <w:r>
        <w:rPr>
          <w:color w:val="231F20"/>
          <w:position w:val="6"/>
          <w:sz w:val="11"/>
        </w:rPr>
        <w:t>44</w:t>
      </w:r>
      <w:r>
        <w:rPr>
          <w:color w:val="231F20"/>
          <w:sz w:val="19"/>
        </w:rPr>
        <w:t>.</w:t>
      </w:r>
    </w:p>
    <w:p>
      <w:pPr>
        <w:pStyle w:val="BodyText"/>
        <w:spacing w:before="11"/>
        <w:rPr>
          <w:sz w:val="23"/>
        </w:rPr>
      </w:pPr>
    </w:p>
    <w:p>
      <w:pPr>
        <w:pStyle w:val="BodyText"/>
        <w:spacing w:line="247" w:lineRule="auto"/>
        <w:ind w:left="117" w:right="118"/>
        <w:jc w:val="both"/>
      </w:pPr>
      <w:r>
        <w:rPr>
          <w:color w:val="231F20"/>
          <w:spacing w:val="2"/>
          <w:w w:val="105"/>
        </w:rPr>
        <w:t>Infatti, questa doppia interazione doveva </w:t>
      </w:r>
      <w:r>
        <w:rPr>
          <w:color w:val="231F20"/>
          <w:w w:val="105"/>
        </w:rPr>
        <w:t>essere </w:t>
      </w:r>
      <w:r>
        <w:rPr>
          <w:color w:val="231F20"/>
          <w:spacing w:val="2"/>
          <w:w w:val="105"/>
        </w:rPr>
        <w:t>pensata come</w:t>
      </w:r>
      <w:r>
        <w:rPr>
          <w:color w:val="231F20"/>
          <w:spacing w:val="-40"/>
          <w:w w:val="105"/>
        </w:rPr>
        <w:t> </w:t>
      </w:r>
      <w:r>
        <w:rPr>
          <w:color w:val="231F20"/>
          <w:spacing w:val="2"/>
          <w:w w:val="105"/>
        </w:rPr>
        <w:t>effetto </w:t>
      </w:r>
      <w:r>
        <w:rPr>
          <w:color w:val="231F20"/>
          <w:w w:val="105"/>
        </w:rPr>
        <w:t>della serie di implementazioni che si succedevano dalla metà degli anni </w:t>
      </w:r>
      <w:r>
        <w:rPr>
          <w:color w:val="231F20"/>
          <w:spacing w:val="2"/>
          <w:w w:val="105"/>
        </w:rPr>
        <w:t>settanta, quando </w:t>
      </w:r>
      <w:r>
        <w:rPr>
          <w:color w:val="231F20"/>
          <w:w w:val="105"/>
        </w:rPr>
        <w:t>era </w:t>
      </w:r>
      <w:r>
        <w:rPr>
          <w:color w:val="231F20"/>
          <w:spacing w:val="2"/>
          <w:w w:val="105"/>
        </w:rPr>
        <w:t>ricorrente lanciarsi </w:t>
      </w:r>
      <w:r>
        <w:rPr>
          <w:color w:val="231F20"/>
          <w:w w:val="105"/>
        </w:rPr>
        <w:t>contro lo </w:t>
      </w:r>
      <w:r>
        <w:rPr>
          <w:color w:val="231F20"/>
          <w:spacing w:val="2"/>
          <w:w w:val="105"/>
        </w:rPr>
        <w:t>Stato </w:t>
      </w:r>
      <w:r>
        <w:rPr>
          <w:color w:val="231F20"/>
          <w:w w:val="105"/>
        </w:rPr>
        <w:t>di </w:t>
      </w:r>
      <w:r>
        <w:rPr>
          <w:color w:val="231F20"/>
          <w:spacing w:val="2"/>
          <w:w w:val="105"/>
        </w:rPr>
        <w:t>benessere, </w:t>
      </w:r>
      <w:r>
        <w:rPr>
          <w:color w:val="231F20"/>
          <w:w w:val="105"/>
        </w:rPr>
        <w:t>data</w:t>
      </w:r>
      <w:r>
        <w:rPr>
          <w:color w:val="231F20"/>
          <w:spacing w:val="-10"/>
          <w:w w:val="105"/>
        </w:rPr>
        <w:t> </w:t>
      </w:r>
      <w:r>
        <w:rPr>
          <w:color w:val="231F20"/>
          <w:w w:val="105"/>
        </w:rPr>
        <w:t>la</w:t>
      </w:r>
      <w:r>
        <w:rPr>
          <w:color w:val="231F20"/>
          <w:spacing w:val="-10"/>
          <w:w w:val="105"/>
        </w:rPr>
        <w:t> </w:t>
      </w:r>
      <w:r>
        <w:rPr>
          <w:color w:val="231F20"/>
          <w:w w:val="105"/>
        </w:rPr>
        <w:t>sua</w:t>
      </w:r>
      <w:r>
        <w:rPr>
          <w:color w:val="231F20"/>
          <w:spacing w:val="-10"/>
          <w:w w:val="105"/>
        </w:rPr>
        <w:t> </w:t>
      </w:r>
      <w:r>
        <w:rPr>
          <w:color w:val="231F20"/>
          <w:w w:val="105"/>
        </w:rPr>
        <w:t>“incapacità”</w:t>
      </w:r>
      <w:r>
        <w:rPr>
          <w:color w:val="231F20"/>
          <w:spacing w:val="-10"/>
          <w:w w:val="105"/>
        </w:rPr>
        <w:t> </w:t>
      </w:r>
      <w:r>
        <w:rPr>
          <w:color w:val="231F20"/>
          <w:w w:val="105"/>
        </w:rPr>
        <w:t>nella</w:t>
      </w:r>
      <w:r>
        <w:rPr>
          <w:color w:val="231F20"/>
          <w:spacing w:val="-10"/>
          <w:w w:val="105"/>
        </w:rPr>
        <w:t> </w:t>
      </w:r>
      <w:r>
        <w:rPr>
          <w:color w:val="231F20"/>
          <w:w w:val="105"/>
        </w:rPr>
        <w:t>generazione</w:t>
      </w:r>
      <w:r>
        <w:rPr>
          <w:color w:val="231F20"/>
          <w:spacing w:val="-10"/>
          <w:w w:val="105"/>
        </w:rPr>
        <w:t> </w:t>
      </w:r>
      <w:r>
        <w:rPr>
          <w:color w:val="231F20"/>
          <w:w w:val="105"/>
        </w:rPr>
        <w:t>degli</w:t>
      </w:r>
      <w:r>
        <w:rPr>
          <w:color w:val="231F20"/>
          <w:spacing w:val="-10"/>
          <w:w w:val="105"/>
        </w:rPr>
        <w:t> </w:t>
      </w:r>
      <w:r>
        <w:rPr>
          <w:rFonts w:ascii="Arial" w:hAnsi="Arial"/>
          <w:i/>
          <w:color w:val="231F20"/>
          <w:w w:val="105"/>
        </w:rPr>
        <w:t>input</w:t>
      </w:r>
      <w:r>
        <w:rPr>
          <w:rFonts w:ascii="Arial" w:hAnsi="Arial"/>
          <w:i/>
          <w:color w:val="231F20"/>
          <w:spacing w:val="-3"/>
          <w:w w:val="105"/>
        </w:rPr>
        <w:t> </w:t>
      </w:r>
      <w:r>
        <w:rPr>
          <w:color w:val="231F20"/>
          <w:w w:val="105"/>
        </w:rPr>
        <w:t>economici</w:t>
      </w:r>
      <w:r>
        <w:rPr>
          <w:color w:val="231F20"/>
          <w:spacing w:val="-10"/>
          <w:w w:val="105"/>
        </w:rPr>
        <w:t> </w:t>
      </w:r>
      <w:r>
        <w:rPr>
          <w:color w:val="231F20"/>
          <w:w w:val="105"/>
        </w:rPr>
        <w:t>e</w:t>
      </w:r>
      <w:r>
        <w:rPr>
          <w:color w:val="231F20"/>
          <w:spacing w:val="-10"/>
          <w:w w:val="105"/>
        </w:rPr>
        <w:t> </w:t>
      </w:r>
      <w:r>
        <w:rPr>
          <w:color w:val="231F20"/>
          <w:w w:val="105"/>
        </w:rPr>
        <w:t>sociali</w:t>
      </w:r>
    </w:p>
    <w:p>
      <w:pPr>
        <w:pStyle w:val="BodyText"/>
        <w:rPr>
          <w:sz w:val="20"/>
        </w:rPr>
      </w:pPr>
    </w:p>
    <w:p>
      <w:pPr>
        <w:pStyle w:val="BodyText"/>
        <w:spacing w:before="6"/>
        <w:rPr>
          <w:sz w:val="22"/>
        </w:rPr>
      </w:pPr>
      <w:r>
        <w:rPr/>
        <w:pict>
          <v:line style="position:absolute;mso-position-horizontal-relative:page;mso-position-vertical-relative:paragraph;z-index:13744;mso-wrap-distance-left:0;mso-wrap-distance-right:0" from="70.866203pt,15.685782pt" to="184.252203pt,15.685782pt" stroked="true" strokeweight=".3pt" strokecolor="#231f20">
            <w10:wrap type="topAndBottom"/>
          </v:line>
        </w:pict>
      </w:r>
    </w:p>
    <w:p>
      <w:pPr>
        <w:spacing w:line="204" w:lineRule="exact" w:before="8"/>
        <w:ind w:left="117" w:right="121" w:firstLine="0"/>
        <w:jc w:val="both"/>
        <w:rPr>
          <w:rFonts w:ascii="Calibri" w:hAnsi="Calibri"/>
          <w:sz w:val="17"/>
        </w:rPr>
      </w:pPr>
      <w:r>
        <w:rPr>
          <w:rFonts w:ascii="Calibri" w:hAnsi="Calibri"/>
          <w:color w:val="231F20"/>
          <w:position w:val="6"/>
          <w:sz w:val="10"/>
        </w:rPr>
        <w:t>42 </w:t>
      </w:r>
      <w:r>
        <w:rPr>
          <w:rFonts w:ascii="Calibri" w:hAnsi="Calibri"/>
          <w:color w:val="231F20"/>
          <w:sz w:val="17"/>
        </w:rPr>
        <w:t>S. Sevilla, “La transformación del espacio de lo político”, </w:t>
      </w:r>
      <w:r>
        <w:rPr>
          <w:rFonts w:ascii="Calibri" w:hAnsi="Calibri"/>
          <w:i/>
          <w:color w:val="231F20"/>
          <w:sz w:val="17"/>
        </w:rPr>
        <w:t>Revista internacional de filosofía política</w:t>
      </w:r>
      <w:r>
        <w:rPr>
          <w:rFonts w:ascii="Calibri" w:hAnsi="Calibri"/>
          <w:color w:val="231F20"/>
          <w:sz w:val="17"/>
        </w:rPr>
        <w:t>, </w:t>
      </w:r>
      <w:r>
        <w:rPr>
          <w:rFonts w:ascii="Calibri" w:hAnsi="Calibri"/>
          <w:color w:val="231F20"/>
          <w:w w:val="95"/>
          <w:sz w:val="17"/>
        </w:rPr>
        <w:t>11, 1998, p. 84.</w:t>
      </w:r>
    </w:p>
    <w:p>
      <w:pPr>
        <w:spacing w:line="204" w:lineRule="exact" w:before="0"/>
        <w:ind w:left="117" w:right="120" w:firstLine="0"/>
        <w:jc w:val="both"/>
        <w:rPr>
          <w:rFonts w:ascii="Calibri" w:hAnsi="Calibri"/>
          <w:sz w:val="17"/>
        </w:rPr>
      </w:pPr>
      <w:r>
        <w:rPr>
          <w:rFonts w:ascii="Calibri" w:hAnsi="Calibri"/>
          <w:color w:val="231F20"/>
          <w:w w:val="105"/>
          <w:position w:val="6"/>
          <w:sz w:val="10"/>
        </w:rPr>
        <w:t>43</w:t>
      </w:r>
      <w:r>
        <w:rPr>
          <w:rFonts w:ascii="Calibri" w:hAnsi="Calibri"/>
          <w:color w:val="231F20"/>
          <w:spacing w:val="5"/>
          <w:w w:val="105"/>
          <w:position w:val="6"/>
          <w:sz w:val="10"/>
        </w:rPr>
        <w:t> </w:t>
      </w:r>
      <w:r>
        <w:rPr>
          <w:rFonts w:ascii="Calibri" w:hAnsi="Calibri"/>
          <w:color w:val="231F20"/>
          <w:w w:val="105"/>
          <w:sz w:val="17"/>
        </w:rPr>
        <w:t>Un</w:t>
      </w:r>
      <w:r>
        <w:rPr>
          <w:rFonts w:ascii="Calibri" w:hAnsi="Calibri"/>
          <w:color w:val="231F20"/>
          <w:spacing w:val="-12"/>
          <w:w w:val="105"/>
          <w:sz w:val="17"/>
        </w:rPr>
        <w:t> </w:t>
      </w:r>
      <w:r>
        <w:rPr>
          <w:rFonts w:ascii="Calibri" w:hAnsi="Calibri"/>
          <w:color w:val="231F20"/>
          <w:w w:val="105"/>
          <w:sz w:val="17"/>
        </w:rPr>
        <w:t>riassunto</w:t>
      </w:r>
      <w:r>
        <w:rPr>
          <w:rFonts w:ascii="Calibri" w:hAnsi="Calibri"/>
          <w:color w:val="231F20"/>
          <w:spacing w:val="-12"/>
          <w:w w:val="105"/>
          <w:sz w:val="17"/>
        </w:rPr>
        <w:t> </w:t>
      </w:r>
      <w:r>
        <w:rPr>
          <w:rFonts w:ascii="Calibri" w:hAnsi="Calibri"/>
          <w:color w:val="231F20"/>
          <w:w w:val="105"/>
          <w:sz w:val="17"/>
        </w:rPr>
        <w:t>di</w:t>
      </w:r>
      <w:r>
        <w:rPr>
          <w:rFonts w:ascii="Calibri" w:hAnsi="Calibri"/>
          <w:color w:val="231F20"/>
          <w:spacing w:val="-12"/>
          <w:w w:val="105"/>
          <w:sz w:val="17"/>
        </w:rPr>
        <w:t> </w:t>
      </w:r>
      <w:r>
        <w:rPr>
          <w:rFonts w:ascii="Calibri" w:hAnsi="Calibri"/>
          <w:color w:val="231F20"/>
          <w:w w:val="105"/>
          <w:sz w:val="17"/>
        </w:rPr>
        <w:t>questi</w:t>
      </w:r>
      <w:r>
        <w:rPr>
          <w:rFonts w:ascii="Calibri" w:hAnsi="Calibri"/>
          <w:color w:val="231F20"/>
          <w:spacing w:val="-12"/>
          <w:w w:val="105"/>
          <w:sz w:val="17"/>
        </w:rPr>
        <w:t> </w:t>
      </w:r>
      <w:r>
        <w:rPr>
          <w:rFonts w:ascii="Calibri" w:hAnsi="Calibri"/>
          <w:color w:val="231F20"/>
          <w:w w:val="105"/>
          <w:sz w:val="17"/>
        </w:rPr>
        <w:t>problemi</w:t>
      </w:r>
      <w:r>
        <w:rPr>
          <w:rFonts w:ascii="Calibri" w:hAnsi="Calibri"/>
          <w:color w:val="231F20"/>
          <w:spacing w:val="-12"/>
          <w:w w:val="105"/>
          <w:sz w:val="17"/>
        </w:rPr>
        <w:t> </w:t>
      </w:r>
      <w:r>
        <w:rPr>
          <w:rFonts w:ascii="Calibri" w:hAnsi="Calibri"/>
          <w:color w:val="231F20"/>
          <w:w w:val="105"/>
          <w:sz w:val="17"/>
        </w:rPr>
        <w:t>negli</w:t>
      </w:r>
      <w:r>
        <w:rPr>
          <w:rFonts w:ascii="Calibri" w:hAnsi="Calibri"/>
          <w:color w:val="231F20"/>
          <w:spacing w:val="-12"/>
          <w:w w:val="105"/>
          <w:sz w:val="17"/>
        </w:rPr>
        <w:t> </w:t>
      </w:r>
      <w:r>
        <w:rPr>
          <w:rFonts w:ascii="Calibri" w:hAnsi="Calibri"/>
          <w:color w:val="231F20"/>
          <w:w w:val="105"/>
          <w:sz w:val="17"/>
        </w:rPr>
        <w:t>anni</w:t>
      </w:r>
      <w:r>
        <w:rPr>
          <w:rFonts w:ascii="Calibri" w:hAnsi="Calibri"/>
          <w:color w:val="231F20"/>
          <w:spacing w:val="-12"/>
          <w:w w:val="105"/>
          <w:sz w:val="17"/>
        </w:rPr>
        <w:t> </w:t>
      </w:r>
      <w:r>
        <w:rPr>
          <w:rFonts w:ascii="Calibri" w:hAnsi="Calibri"/>
          <w:color w:val="231F20"/>
          <w:w w:val="105"/>
          <w:sz w:val="17"/>
        </w:rPr>
        <w:t>novanta</w:t>
      </w:r>
      <w:r>
        <w:rPr>
          <w:rFonts w:ascii="Calibri" w:hAnsi="Calibri"/>
          <w:color w:val="231F20"/>
          <w:spacing w:val="-12"/>
          <w:w w:val="105"/>
          <w:sz w:val="17"/>
        </w:rPr>
        <w:t> </w:t>
      </w:r>
      <w:r>
        <w:rPr>
          <w:rFonts w:ascii="Calibri" w:hAnsi="Calibri"/>
          <w:color w:val="231F20"/>
          <w:w w:val="105"/>
          <w:sz w:val="17"/>
        </w:rPr>
        <w:t>e</w:t>
      </w:r>
      <w:r>
        <w:rPr>
          <w:rFonts w:ascii="Calibri" w:hAnsi="Calibri"/>
          <w:color w:val="231F20"/>
          <w:spacing w:val="-12"/>
          <w:w w:val="105"/>
          <w:sz w:val="17"/>
        </w:rPr>
        <w:t> </w:t>
      </w:r>
      <w:r>
        <w:rPr>
          <w:rFonts w:ascii="Calibri" w:hAnsi="Calibri"/>
          <w:color w:val="231F20"/>
          <w:w w:val="105"/>
          <w:sz w:val="17"/>
        </w:rPr>
        <w:t>contenuta</w:t>
      </w:r>
      <w:r>
        <w:rPr>
          <w:rFonts w:ascii="Calibri" w:hAnsi="Calibri"/>
          <w:color w:val="231F20"/>
          <w:spacing w:val="-12"/>
          <w:w w:val="105"/>
          <w:sz w:val="17"/>
        </w:rPr>
        <w:t> </w:t>
      </w:r>
      <w:r>
        <w:rPr>
          <w:rFonts w:ascii="Calibri" w:hAnsi="Calibri"/>
          <w:color w:val="231F20"/>
          <w:w w:val="105"/>
          <w:sz w:val="17"/>
        </w:rPr>
        <w:t>nei</w:t>
      </w:r>
      <w:r>
        <w:rPr>
          <w:rFonts w:ascii="Calibri" w:hAnsi="Calibri"/>
          <w:color w:val="231F20"/>
          <w:spacing w:val="-12"/>
          <w:w w:val="105"/>
          <w:sz w:val="17"/>
        </w:rPr>
        <w:t> </w:t>
      </w:r>
      <w:r>
        <w:rPr>
          <w:rFonts w:ascii="Calibri" w:hAnsi="Calibri"/>
          <w:color w:val="231F20"/>
          <w:w w:val="105"/>
          <w:sz w:val="17"/>
        </w:rPr>
        <w:t>dibattiti</w:t>
      </w:r>
      <w:r>
        <w:rPr>
          <w:rFonts w:ascii="Calibri" w:hAnsi="Calibri"/>
          <w:color w:val="231F20"/>
          <w:spacing w:val="-12"/>
          <w:w w:val="105"/>
          <w:sz w:val="17"/>
        </w:rPr>
        <w:t> </w:t>
      </w:r>
      <w:r>
        <w:rPr>
          <w:rFonts w:ascii="Calibri" w:hAnsi="Calibri"/>
          <w:color w:val="231F20"/>
          <w:w w:val="105"/>
          <w:sz w:val="17"/>
        </w:rPr>
        <w:t>con</w:t>
      </w:r>
      <w:r>
        <w:rPr>
          <w:rFonts w:ascii="Calibri" w:hAnsi="Calibri"/>
          <w:color w:val="231F20"/>
          <w:spacing w:val="-12"/>
          <w:w w:val="105"/>
          <w:sz w:val="17"/>
        </w:rPr>
        <w:t> </w:t>
      </w:r>
      <w:r>
        <w:rPr>
          <w:rFonts w:ascii="Calibri" w:hAnsi="Calibri"/>
          <w:color w:val="231F20"/>
          <w:w w:val="105"/>
          <w:sz w:val="17"/>
        </w:rPr>
        <w:t>una</w:t>
      </w:r>
      <w:r>
        <w:rPr>
          <w:rFonts w:ascii="Calibri" w:hAnsi="Calibri"/>
          <w:color w:val="231F20"/>
          <w:spacing w:val="-12"/>
          <w:w w:val="105"/>
          <w:sz w:val="17"/>
        </w:rPr>
        <w:t> </w:t>
      </w:r>
      <w:r>
        <w:rPr>
          <w:rFonts w:ascii="Calibri" w:hAnsi="Calibri"/>
          <w:color w:val="231F20"/>
          <w:w w:val="105"/>
          <w:sz w:val="17"/>
        </w:rPr>
        <w:t>prospettiva “derivazionista” per discutere lo Stato dalla teoria politica è: J. Hirsch, </w:t>
      </w:r>
      <w:r>
        <w:rPr>
          <w:rFonts w:ascii="Calibri" w:hAnsi="Calibri"/>
          <w:i/>
          <w:color w:val="231F20"/>
          <w:w w:val="105"/>
          <w:sz w:val="17"/>
        </w:rPr>
        <w:t>Globalización, capital y </w:t>
      </w:r>
      <w:r>
        <w:rPr>
          <w:rFonts w:ascii="Calibri" w:hAnsi="Calibri"/>
          <w:i/>
          <w:color w:val="231F20"/>
          <w:w w:val="105"/>
          <w:sz w:val="17"/>
        </w:rPr>
        <w:t>Estado</w:t>
      </w:r>
      <w:r>
        <w:rPr>
          <w:rFonts w:ascii="Calibri" w:hAnsi="Calibri"/>
          <w:color w:val="231F20"/>
          <w:w w:val="105"/>
          <w:sz w:val="17"/>
        </w:rPr>
        <w:t>,</w:t>
      </w:r>
      <w:r>
        <w:rPr>
          <w:rFonts w:ascii="Calibri" w:hAnsi="Calibri"/>
          <w:color w:val="231F20"/>
          <w:spacing w:val="-19"/>
          <w:w w:val="105"/>
          <w:sz w:val="17"/>
        </w:rPr>
        <w:t> </w:t>
      </w:r>
      <w:r>
        <w:rPr>
          <w:rFonts w:ascii="Calibri" w:hAnsi="Calibri"/>
          <w:color w:val="231F20"/>
          <w:w w:val="105"/>
          <w:sz w:val="17"/>
        </w:rPr>
        <w:t>México,</w:t>
      </w:r>
      <w:r>
        <w:rPr>
          <w:rFonts w:ascii="Calibri" w:hAnsi="Calibri"/>
          <w:color w:val="231F20"/>
          <w:spacing w:val="-19"/>
          <w:w w:val="105"/>
          <w:sz w:val="17"/>
        </w:rPr>
        <w:t> </w:t>
      </w:r>
      <w:r>
        <w:rPr>
          <w:rFonts w:ascii="Calibri" w:hAnsi="Calibri"/>
          <w:color w:val="231F20"/>
          <w:w w:val="105"/>
          <w:sz w:val="17"/>
        </w:rPr>
        <w:t>Universidad</w:t>
      </w:r>
      <w:r>
        <w:rPr>
          <w:rFonts w:ascii="Calibri" w:hAnsi="Calibri"/>
          <w:color w:val="231F20"/>
          <w:spacing w:val="-19"/>
          <w:w w:val="105"/>
          <w:sz w:val="17"/>
        </w:rPr>
        <w:t> </w:t>
      </w:r>
      <w:r>
        <w:rPr>
          <w:rFonts w:ascii="Calibri" w:hAnsi="Calibri"/>
          <w:color w:val="231F20"/>
          <w:w w:val="105"/>
          <w:sz w:val="17"/>
        </w:rPr>
        <w:t>Autónoma</w:t>
      </w:r>
      <w:r>
        <w:rPr>
          <w:rFonts w:ascii="Calibri" w:hAnsi="Calibri"/>
          <w:color w:val="231F20"/>
          <w:spacing w:val="-19"/>
          <w:w w:val="105"/>
          <w:sz w:val="17"/>
        </w:rPr>
        <w:t> </w:t>
      </w:r>
      <w:r>
        <w:rPr>
          <w:rFonts w:ascii="Calibri" w:hAnsi="Calibri"/>
          <w:color w:val="231F20"/>
          <w:w w:val="105"/>
          <w:sz w:val="17"/>
        </w:rPr>
        <w:t>Metropolitana–Xochimilco,</w:t>
      </w:r>
      <w:r>
        <w:rPr>
          <w:rFonts w:ascii="Calibri" w:hAnsi="Calibri"/>
          <w:color w:val="231F20"/>
          <w:spacing w:val="-19"/>
          <w:w w:val="105"/>
          <w:sz w:val="17"/>
        </w:rPr>
        <w:t> </w:t>
      </w:r>
      <w:r>
        <w:rPr>
          <w:rFonts w:ascii="Calibri" w:hAnsi="Calibri"/>
          <w:color w:val="231F20"/>
          <w:w w:val="105"/>
          <w:sz w:val="17"/>
        </w:rPr>
        <w:t>1996;</w:t>
      </w:r>
      <w:r>
        <w:rPr>
          <w:rFonts w:ascii="Calibri" w:hAnsi="Calibri"/>
          <w:color w:val="231F20"/>
          <w:spacing w:val="-19"/>
          <w:w w:val="105"/>
          <w:sz w:val="17"/>
        </w:rPr>
        <w:t> </w:t>
      </w:r>
      <w:r>
        <w:rPr>
          <w:rFonts w:ascii="Calibri" w:hAnsi="Calibri"/>
          <w:color w:val="231F20"/>
          <w:w w:val="105"/>
          <w:sz w:val="17"/>
        </w:rPr>
        <w:t>lo</w:t>
      </w:r>
      <w:r>
        <w:rPr>
          <w:rFonts w:ascii="Calibri" w:hAnsi="Calibri"/>
          <w:color w:val="231F20"/>
          <w:spacing w:val="-19"/>
          <w:w w:val="105"/>
          <w:sz w:val="17"/>
        </w:rPr>
        <w:t> </w:t>
      </w:r>
      <w:r>
        <w:rPr>
          <w:rFonts w:ascii="Calibri" w:hAnsi="Calibri"/>
          <w:color w:val="231F20"/>
          <w:w w:val="105"/>
          <w:sz w:val="17"/>
        </w:rPr>
        <w:t>studio</w:t>
      </w:r>
      <w:r>
        <w:rPr>
          <w:rFonts w:ascii="Calibri" w:hAnsi="Calibri"/>
          <w:color w:val="231F20"/>
          <w:spacing w:val="-19"/>
          <w:w w:val="105"/>
          <w:sz w:val="17"/>
        </w:rPr>
        <w:t> </w:t>
      </w:r>
      <w:r>
        <w:rPr>
          <w:rFonts w:ascii="Calibri" w:hAnsi="Calibri"/>
          <w:color w:val="231F20"/>
          <w:w w:val="105"/>
          <w:sz w:val="17"/>
        </w:rPr>
        <w:t>più</w:t>
      </w:r>
      <w:r>
        <w:rPr>
          <w:rFonts w:ascii="Calibri" w:hAnsi="Calibri"/>
          <w:color w:val="231F20"/>
          <w:spacing w:val="-19"/>
          <w:w w:val="105"/>
          <w:sz w:val="17"/>
        </w:rPr>
        <w:t> </w:t>
      </w:r>
      <w:r>
        <w:rPr>
          <w:rFonts w:ascii="Calibri" w:hAnsi="Calibri"/>
          <w:color w:val="231F20"/>
          <w:w w:val="105"/>
          <w:sz w:val="17"/>
        </w:rPr>
        <w:t>stimolante sulle trasformazioni dello Stato contemporaneo da una prospettiva sociologica è J. S. Migdal, </w:t>
      </w:r>
      <w:r>
        <w:rPr>
          <w:rFonts w:ascii="Calibri" w:hAnsi="Calibri"/>
          <w:i/>
          <w:color w:val="231F20"/>
          <w:w w:val="105"/>
          <w:sz w:val="17"/>
        </w:rPr>
        <w:t>State</w:t>
      </w:r>
      <w:r>
        <w:rPr>
          <w:rFonts w:ascii="Calibri" w:hAnsi="Calibri"/>
          <w:i/>
          <w:color w:val="231F20"/>
          <w:spacing w:val="-9"/>
          <w:w w:val="105"/>
          <w:sz w:val="17"/>
        </w:rPr>
        <w:t> </w:t>
      </w:r>
      <w:r>
        <w:rPr>
          <w:rFonts w:ascii="Calibri" w:hAnsi="Calibri"/>
          <w:i/>
          <w:color w:val="231F20"/>
          <w:w w:val="105"/>
          <w:sz w:val="17"/>
        </w:rPr>
        <w:t>in</w:t>
      </w:r>
      <w:r>
        <w:rPr>
          <w:rFonts w:ascii="Calibri" w:hAnsi="Calibri"/>
          <w:i/>
          <w:color w:val="231F20"/>
          <w:spacing w:val="-9"/>
          <w:w w:val="105"/>
          <w:sz w:val="17"/>
        </w:rPr>
        <w:t> </w:t>
      </w:r>
      <w:r>
        <w:rPr>
          <w:rFonts w:ascii="Calibri" w:hAnsi="Calibri"/>
          <w:i/>
          <w:color w:val="231F20"/>
          <w:w w:val="105"/>
          <w:sz w:val="17"/>
        </w:rPr>
        <w:t>Society.</w:t>
      </w:r>
      <w:r>
        <w:rPr>
          <w:rFonts w:ascii="Calibri" w:hAnsi="Calibri"/>
          <w:i/>
          <w:color w:val="231F20"/>
          <w:spacing w:val="-9"/>
          <w:w w:val="105"/>
          <w:sz w:val="17"/>
        </w:rPr>
        <w:t> </w:t>
      </w:r>
      <w:r>
        <w:rPr>
          <w:rFonts w:ascii="Calibri" w:hAnsi="Calibri"/>
          <w:i/>
          <w:color w:val="231F20"/>
          <w:w w:val="105"/>
          <w:sz w:val="17"/>
        </w:rPr>
        <w:t>Studying</w:t>
      </w:r>
      <w:r>
        <w:rPr>
          <w:rFonts w:ascii="Calibri" w:hAnsi="Calibri"/>
          <w:i/>
          <w:color w:val="231F20"/>
          <w:spacing w:val="-9"/>
          <w:w w:val="105"/>
          <w:sz w:val="17"/>
        </w:rPr>
        <w:t> </w:t>
      </w:r>
      <w:r>
        <w:rPr>
          <w:rFonts w:ascii="Calibri" w:hAnsi="Calibri"/>
          <w:i/>
          <w:color w:val="231F20"/>
          <w:w w:val="105"/>
          <w:sz w:val="17"/>
        </w:rPr>
        <w:t>How</w:t>
      </w:r>
      <w:r>
        <w:rPr>
          <w:rFonts w:ascii="Calibri" w:hAnsi="Calibri"/>
          <w:i/>
          <w:color w:val="231F20"/>
          <w:spacing w:val="-9"/>
          <w:w w:val="105"/>
          <w:sz w:val="17"/>
        </w:rPr>
        <w:t> </w:t>
      </w:r>
      <w:r>
        <w:rPr>
          <w:rFonts w:ascii="Calibri" w:hAnsi="Calibri"/>
          <w:i/>
          <w:color w:val="231F20"/>
          <w:w w:val="105"/>
          <w:sz w:val="17"/>
        </w:rPr>
        <w:t>States</w:t>
      </w:r>
      <w:r>
        <w:rPr>
          <w:rFonts w:ascii="Calibri" w:hAnsi="Calibri"/>
          <w:i/>
          <w:color w:val="231F20"/>
          <w:spacing w:val="-9"/>
          <w:w w:val="105"/>
          <w:sz w:val="17"/>
        </w:rPr>
        <w:t> </w:t>
      </w:r>
      <w:r>
        <w:rPr>
          <w:rFonts w:ascii="Calibri" w:hAnsi="Calibri"/>
          <w:i/>
          <w:color w:val="231F20"/>
          <w:w w:val="105"/>
          <w:sz w:val="17"/>
        </w:rPr>
        <w:t>and</w:t>
      </w:r>
      <w:r>
        <w:rPr>
          <w:rFonts w:ascii="Calibri" w:hAnsi="Calibri"/>
          <w:i/>
          <w:color w:val="231F20"/>
          <w:spacing w:val="-9"/>
          <w:w w:val="105"/>
          <w:sz w:val="17"/>
        </w:rPr>
        <w:t> </w:t>
      </w:r>
      <w:r>
        <w:rPr>
          <w:rFonts w:ascii="Calibri" w:hAnsi="Calibri"/>
          <w:i/>
          <w:color w:val="231F20"/>
          <w:w w:val="105"/>
          <w:sz w:val="17"/>
        </w:rPr>
        <w:t>Societies</w:t>
      </w:r>
      <w:r>
        <w:rPr>
          <w:rFonts w:ascii="Calibri" w:hAnsi="Calibri"/>
          <w:i/>
          <w:color w:val="231F20"/>
          <w:spacing w:val="-11"/>
          <w:w w:val="105"/>
          <w:sz w:val="17"/>
        </w:rPr>
        <w:t> </w:t>
      </w:r>
      <w:r>
        <w:rPr>
          <w:rFonts w:ascii="Calibri" w:hAnsi="Calibri"/>
          <w:i/>
          <w:color w:val="231F20"/>
          <w:spacing w:val="-3"/>
          <w:w w:val="105"/>
          <w:sz w:val="17"/>
        </w:rPr>
        <w:t>Transform</w:t>
      </w:r>
      <w:r>
        <w:rPr>
          <w:rFonts w:ascii="Calibri" w:hAnsi="Calibri"/>
          <w:i/>
          <w:color w:val="231F20"/>
          <w:spacing w:val="-9"/>
          <w:w w:val="105"/>
          <w:sz w:val="17"/>
        </w:rPr>
        <w:t> </w:t>
      </w:r>
      <w:r>
        <w:rPr>
          <w:rFonts w:ascii="Calibri" w:hAnsi="Calibri"/>
          <w:i/>
          <w:color w:val="231F20"/>
          <w:w w:val="105"/>
          <w:sz w:val="17"/>
        </w:rPr>
        <w:t>and</w:t>
      </w:r>
      <w:r>
        <w:rPr>
          <w:rFonts w:ascii="Calibri" w:hAnsi="Calibri"/>
          <w:i/>
          <w:color w:val="231F20"/>
          <w:spacing w:val="-9"/>
          <w:w w:val="105"/>
          <w:sz w:val="17"/>
        </w:rPr>
        <w:t> </w:t>
      </w:r>
      <w:r>
        <w:rPr>
          <w:rFonts w:ascii="Calibri" w:hAnsi="Calibri"/>
          <w:i/>
          <w:color w:val="231F20"/>
          <w:w w:val="105"/>
          <w:sz w:val="17"/>
        </w:rPr>
        <w:t>Constitute</w:t>
      </w:r>
      <w:r>
        <w:rPr>
          <w:rFonts w:ascii="Calibri" w:hAnsi="Calibri"/>
          <w:i/>
          <w:color w:val="231F20"/>
          <w:spacing w:val="-9"/>
          <w:w w:val="105"/>
          <w:sz w:val="17"/>
        </w:rPr>
        <w:t> </w:t>
      </w:r>
      <w:r>
        <w:rPr>
          <w:rFonts w:ascii="Calibri" w:hAnsi="Calibri"/>
          <w:i/>
          <w:color w:val="231F20"/>
          <w:w w:val="105"/>
          <w:sz w:val="17"/>
        </w:rPr>
        <w:t>One</w:t>
      </w:r>
      <w:r>
        <w:rPr>
          <w:rFonts w:ascii="Calibri" w:hAnsi="Calibri"/>
          <w:i/>
          <w:color w:val="231F20"/>
          <w:spacing w:val="-9"/>
          <w:w w:val="105"/>
          <w:sz w:val="17"/>
        </w:rPr>
        <w:t> </w:t>
      </w:r>
      <w:r>
        <w:rPr>
          <w:rFonts w:ascii="Calibri" w:hAnsi="Calibri"/>
          <w:i/>
          <w:color w:val="231F20"/>
          <w:w w:val="105"/>
          <w:sz w:val="17"/>
        </w:rPr>
        <w:t>Another</w:t>
      </w:r>
      <w:r>
        <w:rPr>
          <w:rFonts w:ascii="Calibri" w:hAnsi="Calibri"/>
          <w:color w:val="231F20"/>
          <w:w w:val="105"/>
          <w:sz w:val="17"/>
        </w:rPr>
        <w:t>,</w:t>
      </w:r>
      <w:r>
        <w:rPr>
          <w:rFonts w:ascii="Calibri" w:hAnsi="Calibri"/>
          <w:color w:val="231F20"/>
          <w:spacing w:val="-9"/>
          <w:w w:val="105"/>
          <w:sz w:val="17"/>
        </w:rPr>
        <w:t> </w:t>
      </w:r>
      <w:r>
        <w:rPr>
          <w:rFonts w:ascii="Calibri" w:hAnsi="Calibri"/>
          <w:color w:val="231F20"/>
          <w:w w:val="105"/>
          <w:sz w:val="17"/>
        </w:rPr>
        <w:t>Nueva York,</w:t>
      </w:r>
      <w:r>
        <w:rPr>
          <w:rFonts w:ascii="Calibri" w:hAnsi="Calibri"/>
          <w:color w:val="231F20"/>
          <w:spacing w:val="-18"/>
          <w:w w:val="105"/>
          <w:sz w:val="17"/>
        </w:rPr>
        <w:t> </w:t>
      </w:r>
      <w:r>
        <w:rPr>
          <w:rFonts w:ascii="Calibri" w:hAnsi="Calibri"/>
          <w:color w:val="231F20"/>
          <w:w w:val="105"/>
          <w:sz w:val="17"/>
        </w:rPr>
        <w:t>Cambrigde</w:t>
      </w:r>
      <w:r>
        <w:rPr>
          <w:rFonts w:ascii="Calibri" w:hAnsi="Calibri"/>
          <w:color w:val="231F20"/>
          <w:spacing w:val="-18"/>
          <w:w w:val="105"/>
          <w:sz w:val="17"/>
        </w:rPr>
        <w:t> </w:t>
      </w:r>
      <w:r>
        <w:rPr>
          <w:rFonts w:ascii="Calibri" w:hAnsi="Calibri"/>
          <w:color w:val="231F20"/>
          <w:w w:val="105"/>
          <w:sz w:val="17"/>
        </w:rPr>
        <w:t>University</w:t>
      </w:r>
      <w:r>
        <w:rPr>
          <w:rFonts w:ascii="Calibri" w:hAnsi="Calibri"/>
          <w:color w:val="231F20"/>
          <w:spacing w:val="-18"/>
          <w:w w:val="105"/>
          <w:sz w:val="17"/>
        </w:rPr>
        <w:t> </w:t>
      </w:r>
      <w:r>
        <w:rPr>
          <w:rFonts w:ascii="Calibri" w:hAnsi="Calibri"/>
          <w:color w:val="231F20"/>
          <w:w w:val="105"/>
          <w:sz w:val="17"/>
        </w:rPr>
        <w:t>Press,</w:t>
      </w:r>
      <w:r>
        <w:rPr>
          <w:rFonts w:ascii="Calibri" w:hAnsi="Calibri"/>
          <w:color w:val="231F20"/>
          <w:spacing w:val="-18"/>
          <w:w w:val="105"/>
          <w:sz w:val="17"/>
        </w:rPr>
        <w:t> </w:t>
      </w:r>
      <w:r>
        <w:rPr>
          <w:rFonts w:ascii="Calibri" w:hAnsi="Calibri"/>
          <w:color w:val="231F20"/>
          <w:w w:val="105"/>
          <w:sz w:val="17"/>
        </w:rPr>
        <w:t>2001;</w:t>
      </w:r>
      <w:r>
        <w:rPr>
          <w:rFonts w:ascii="Calibri" w:hAnsi="Calibri"/>
          <w:color w:val="231F20"/>
          <w:spacing w:val="-18"/>
          <w:w w:val="105"/>
          <w:sz w:val="17"/>
        </w:rPr>
        <w:t> </w:t>
      </w:r>
      <w:r>
        <w:rPr>
          <w:rFonts w:ascii="Calibri" w:hAnsi="Calibri"/>
          <w:color w:val="231F20"/>
          <w:w w:val="105"/>
          <w:sz w:val="17"/>
        </w:rPr>
        <w:t>una</w:t>
      </w:r>
      <w:r>
        <w:rPr>
          <w:rFonts w:ascii="Calibri" w:hAnsi="Calibri"/>
          <w:color w:val="231F20"/>
          <w:spacing w:val="-18"/>
          <w:w w:val="105"/>
          <w:sz w:val="17"/>
        </w:rPr>
        <w:t> </w:t>
      </w:r>
      <w:r>
        <w:rPr>
          <w:rFonts w:ascii="Calibri" w:hAnsi="Calibri"/>
          <w:color w:val="231F20"/>
          <w:w w:val="105"/>
          <w:sz w:val="17"/>
        </w:rPr>
        <w:t>sintesi</w:t>
      </w:r>
      <w:r>
        <w:rPr>
          <w:rFonts w:ascii="Calibri" w:hAnsi="Calibri"/>
          <w:color w:val="231F20"/>
          <w:spacing w:val="-18"/>
          <w:w w:val="105"/>
          <w:sz w:val="17"/>
        </w:rPr>
        <w:t> </w:t>
      </w:r>
      <w:r>
        <w:rPr>
          <w:rFonts w:ascii="Calibri" w:hAnsi="Calibri"/>
          <w:color w:val="231F20"/>
          <w:w w:val="105"/>
          <w:sz w:val="17"/>
        </w:rPr>
        <w:t>teorica</w:t>
      </w:r>
      <w:r>
        <w:rPr>
          <w:rFonts w:ascii="Calibri" w:hAnsi="Calibri"/>
          <w:color w:val="231F20"/>
          <w:spacing w:val="-18"/>
          <w:w w:val="105"/>
          <w:sz w:val="17"/>
        </w:rPr>
        <w:t> </w:t>
      </w:r>
      <w:r>
        <w:rPr>
          <w:rFonts w:ascii="Calibri" w:hAnsi="Calibri"/>
          <w:color w:val="231F20"/>
          <w:w w:val="105"/>
          <w:sz w:val="17"/>
        </w:rPr>
        <w:t>che</w:t>
      </w:r>
      <w:r>
        <w:rPr>
          <w:rFonts w:ascii="Calibri" w:hAnsi="Calibri"/>
          <w:color w:val="231F20"/>
          <w:spacing w:val="-18"/>
          <w:w w:val="105"/>
          <w:sz w:val="17"/>
        </w:rPr>
        <w:t> </w:t>
      </w:r>
      <w:r>
        <w:rPr>
          <w:rFonts w:ascii="Calibri" w:hAnsi="Calibri"/>
          <w:color w:val="231F20"/>
          <w:w w:val="105"/>
          <w:sz w:val="17"/>
        </w:rPr>
        <w:t>insegue</w:t>
      </w:r>
      <w:r>
        <w:rPr>
          <w:rFonts w:ascii="Calibri" w:hAnsi="Calibri"/>
          <w:color w:val="231F20"/>
          <w:spacing w:val="-18"/>
          <w:w w:val="105"/>
          <w:sz w:val="17"/>
        </w:rPr>
        <w:t> </w:t>
      </w:r>
      <w:r>
        <w:rPr>
          <w:rFonts w:ascii="Calibri" w:hAnsi="Calibri"/>
          <w:color w:val="231F20"/>
          <w:w w:val="105"/>
          <w:sz w:val="17"/>
        </w:rPr>
        <w:t>alcuni</w:t>
      </w:r>
      <w:r>
        <w:rPr>
          <w:rFonts w:ascii="Calibri" w:hAnsi="Calibri"/>
          <w:color w:val="231F20"/>
          <w:spacing w:val="-18"/>
          <w:w w:val="105"/>
          <w:sz w:val="17"/>
        </w:rPr>
        <w:t> </w:t>
      </w:r>
      <w:r>
        <w:rPr>
          <w:rFonts w:ascii="Calibri" w:hAnsi="Calibri"/>
          <w:color w:val="231F20"/>
          <w:w w:val="105"/>
          <w:sz w:val="17"/>
        </w:rPr>
        <w:t>dei</w:t>
      </w:r>
      <w:r>
        <w:rPr>
          <w:rFonts w:ascii="Calibri" w:hAnsi="Calibri"/>
          <w:color w:val="231F20"/>
          <w:spacing w:val="-18"/>
          <w:w w:val="105"/>
          <w:sz w:val="17"/>
        </w:rPr>
        <w:t> </w:t>
      </w:r>
      <w:r>
        <w:rPr>
          <w:rFonts w:ascii="Calibri" w:hAnsi="Calibri"/>
          <w:color w:val="231F20"/>
          <w:w w:val="105"/>
          <w:sz w:val="17"/>
        </w:rPr>
        <w:t>cambiamenti</w:t>
      </w:r>
      <w:r>
        <w:rPr>
          <w:rFonts w:ascii="Calibri" w:hAnsi="Calibri"/>
          <w:color w:val="231F20"/>
          <w:spacing w:val="-18"/>
          <w:w w:val="105"/>
          <w:sz w:val="17"/>
        </w:rPr>
        <w:t> </w:t>
      </w:r>
      <w:r>
        <w:rPr>
          <w:rFonts w:ascii="Calibri" w:hAnsi="Calibri"/>
          <w:color w:val="231F20"/>
          <w:w w:val="105"/>
          <w:sz w:val="17"/>
        </w:rPr>
        <w:t>più significativi</w:t>
      </w:r>
      <w:r>
        <w:rPr>
          <w:rFonts w:ascii="Calibri" w:hAnsi="Calibri"/>
          <w:color w:val="231F20"/>
          <w:spacing w:val="-19"/>
          <w:w w:val="105"/>
          <w:sz w:val="17"/>
        </w:rPr>
        <w:t> </w:t>
      </w:r>
      <w:r>
        <w:rPr>
          <w:rFonts w:ascii="Calibri" w:hAnsi="Calibri"/>
          <w:color w:val="231F20"/>
          <w:w w:val="105"/>
          <w:sz w:val="17"/>
        </w:rPr>
        <w:t>dello</w:t>
      </w:r>
      <w:r>
        <w:rPr>
          <w:rFonts w:ascii="Calibri" w:hAnsi="Calibri"/>
          <w:color w:val="231F20"/>
          <w:spacing w:val="-19"/>
          <w:w w:val="105"/>
          <w:sz w:val="17"/>
        </w:rPr>
        <w:t> </w:t>
      </w:r>
      <w:r>
        <w:rPr>
          <w:rFonts w:ascii="Calibri" w:hAnsi="Calibri"/>
          <w:color w:val="231F20"/>
          <w:w w:val="105"/>
          <w:sz w:val="17"/>
        </w:rPr>
        <w:t>Stato</w:t>
      </w:r>
      <w:r>
        <w:rPr>
          <w:rFonts w:ascii="Calibri" w:hAnsi="Calibri"/>
          <w:color w:val="231F20"/>
          <w:spacing w:val="-19"/>
          <w:w w:val="105"/>
          <w:sz w:val="17"/>
        </w:rPr>
        <w:t> </w:t>
      </w:r>
      <w:r>
        <w:rPr>
          <w:rFonts w:ascii="Calibri" w:hAnsi="Calibri"/>
          <w:color w:val="231F20"/>
          <w:w w:val="105"/>
          <w:sz w:val="17"/>
        </w:rPr>
        <w:t>nei</w:t>
      </w:r>
      <w:r>
        <w:rPr>
          <w:rFonts w:ascii="Calibri" w:hAnsi="Calibri"/>
          <w:color w:val="231F20"/>
          <w:spacing w:val="-19"/>
          <w:w w:val="105"/>
          <w:sz w:val="17"/>
        </w:rPr>
        <w:t> </w:t>
      </w:r>
      <w:r>
        <w:rPr>
          <w:rFonts w:ascii="Calibri" w:hAnsi="Calibri"/>
          <w:color w:val="231F20"/>
          <w:w w:val="105"/>
          <w:sz w:val="17"/>
        </w:rPr>
        <w:t>primi</w:t>
      </w:r>
      <w:r>
        <w:rPr>
          <w:rFonts w:ascii="Calibri" w:hAnsi="Calibri"/>
          <w:color w:val="231F20"/>
          <w:spacing w:val="-19"/>
          <w:w w:val="105"/>
          <w:sz w:val="17"/>
        </w:rPr>
        <w:t> </w:t>
      </w:r>
      <w:r>
        <w:rPr>
          <w:rFonts w:ascii="Calibri" w:hAnsi="Calibri"/>
          <w:color w:val="231F20"/>
          <w:w w:val="105"/>
          <w:sz w:val="17"/>
        </w:rPr>
        <w:t>due</w:t>
      </w:r>
      <w:r>
        <w:rPr>
          <w:rFonts w:ascii="Calibri" w:hAnsi="Calibri"/>
          <w:color w:val="231F20"/>
          <w:spacing w:val="-19"/>
          <w:w w:val="105"/>
          <w:sz w:val="17"/>
        </w:rPr>
        <w:t> </w:t>
      </w:r>
      <w:r>
        <w:rPr>
          <w:rFonts w:ascii="Calibri" w:hAnsi="Calibri"/>
          <w:color w:val="231F20"/>
          <w:w w:val="105"/>
          <w:sz w:val="17"/>
        </w:rPr>
        <w:t>lustri</w:t>
      </w:r>
      <w:r>
        <w:rPr>
          <w:rFonts w:ascii="Calibri" w:hAnsi="Calibri"/>
          <w:color w:val="231F20"/>
          <w:spacing w:val="-19"/>
          <w:w w:val="105"/>
          <w:sz w:val="17"/>
        </w:rPr>
        <w:t> </w:t>
      </w:r>
      <w:r>
        <w:rPr>
          <w:rFonts w:ascii="Calibri" w:hAnsi="Calibri"/>
          <w:color w:val="231F20"/>
          <w:w w:val="105"/>
          <w:sz w:val="17"/>
        </w:rPr>
        <w:t>del</w:t>
      </w:r>
      <w:r>
        <w:rPr>
          <w:rFonts w:ascii="Calibri" w:hAnsi="Calibri"/>
          <w:color w:val="231F20"/>
          <w:spacing w:val="-19"/>
          <w:w w:val="105"/>
          <w:sz w:val="17"/>
        </w:rPr>
        <w:t> </w:t>
      </w:r>
      <w:r>
        <w:rPr>
          <w:rFonts w:ascii="Calibri" w:hAnsi="Calibri"/>
          <w:color w:val="231F20"/>
          <w:w w:val="105"/>
          <w:sz w:val="17"/>
        </w:rPr>
        <w:t>secolo</w:t>
      </w:r>
      <w:r>
        <w:rPr>
          <w:rFonts w:ascii="Calibri" w:hAnsi="Calibri"/>
          <w:color w:val="231F20"/>
          <w:spacing w:val="-19"/>
          <w:w w:val="105"/>
          <w:sz w:val="17"/>
        </w:rPr>
        <w:t> </w:t>
      </w:r>
      <w:r>
        <w:rPr>
          <w:rFonts w:ascii="Calibri" w:hAnsi="Calibri"/>
          <w:color w:val="231F20"/>
          <w:w w:val="105"/>
          <w:sz w:val="14"/>
        </w:rPr>
        <w:t>XXI</w:t>
      </w:r>
      <w:r>
        <w:rPr>
          <w:rFonts w:ascii="Calibri" w:hAnsi="Calibri"/>
          <w:color w:val="231F20"/>
          <w:spacing w:val="-12"/>
          <w:w w:val="105"/>
          <w:sz w:val="14"/>
        </w:rPr>
        <w:t> </w:t>
      </w:r>
      <w:r>
        <w:rPr>
          <w:rFonts w:ascii="Calibri" w:hAnsi="Calibri"/>
          <w:color w:val="231F20"/>
          <w:w w:val="105"/>
          <w:sz w:val="17"/>
        </w:rPr>
        <w:t>è:</w:t>
      </w:r>
      <w:r>
        <w:rPr>
          <w:rFonts w:ascii="Calibri" w:hAnsi="Calibri"/>
          <w:color w:val="231F20"/>
          <w:spacing w:val="-19"/>
          <w:w w:val="105"/>
          <w:sz w:val="17"/>
        </w:rPr>
        <w:t> </w:t>
      </w:r>
      <w:r>
        <w:rPr>
          <w:rFonts w:ascii="Calibri" w:hAnsi="Calibri"/>
          <w:color w:val="231F20"/>
          <w:w w:val="105"/>
          <w:sz w:val="17"/>
        </w:rPr>
        <w:t>R.</w:t>
      </w:r>
      <w:r>
        <w:rPr>
          <w:rFonts w:ascii="Calibri" w:hAnsi="Calibri"/>
          <w:color w:val="231F20"/>
          <w:spacing w:val="-22"/>
          <w:w w:val="105"/>
          <w:sz w:val="17"/>
        </w:rPr>
        <w:t> </w:t>
      </w:r>
      <w:r>
        <w:rPr>
          <w:rFonts w:ascii="Calibri" w:hAnsi="Calibri"/>
          <w:color w:val="231F20"/>
          <w:w w:val="105"/>
          <w:sz w:val="17"/>
        </w:rPr>
        <w:t>Vázquez</w:t>
      </w:r>
      <w:r>
        <w:rPr>
          <w:rFonts w:ascii="Calibri" w:hAnsi="Calibri"/>
          <w:color w:val="231F20"/>
          <w:spacing w:val="-19"/>
          <w:w w:val="105"/>
          <w:sz w:val="17"/>
        </w:rPr>
        <w:t> </w:t>
      </w:r>
      <w:r>
        <w:rPr>
          <w:rFonts w:ascii="Calibri" w:hAnsi="Calibri"/>
          <w:color w:val="231F20"/>
          <w:w w:val="105"/>
          <w:sz w:val="17"/>
        </w:rPr>
        <w:t>García,</w:t>
      </w:r>
      <w:r>
        <w:rPr>
          <w:rFonts w:ascii="Calibri" w:hAnsi="Calibri"/>
          <w:color w:val="231F20"/>
          <w:spacing w:val="-19"/>
          <w:w w:val="105"/>
          <w:sz w:val="17"/>
        </w:rPr>
        <w:t> </w:t>
      </w:r>
      <w:r>
        <w:rPr>
          <w:rFonts w:ascii="Calibri" w:hAnsi="Calibri"/>
          <w:color w:val="231F20"/>
          <w:w w:val="105"/>
          <w:sz w:val="17"/>
        </w:rPr>
        <w:t>(Ed.),</w:t>
      </w:r>
      <w:r>
        <w:rPr>
          <w:rFonts w:ascii="Calibri" w:hAnsi="Calibri"/>
          <w:color w:val="231F20"/>
          <w:spacing w:val="-19"/>
          <w:w w:val="105"/>
          <w:sz w:val="17"/>
        </w:rPr>
        <w:t> </w:t>
      </w:r>
      <w:r>
        <w:rPr>
          <w:rFonts w:ascii="Calibri" w:hAnsi="Calibri"/>
          <w:i/>
          <w:color w:val="231F20"/>
          <w:w w:val="105"/>
          <w:sz w:val="17"/>
        </w:rPr>
        <w:t>Teorías</w:t>
      </w:r>
      <w:r>
        <w:rPr>
          <w:rFonts w:ascii="Calibri" w:hAnsi="Calibri"/>
          <w:i/>
          <w:color w:val="231F20"/>
          <w:spacing w:val="-20"/>
          <w:w w:val="105"/>
          <w:sz w:val="17"/>
        </w:rPr>
        <w:t> </w:t>
      </w:r>
      <w:r>
        <w:rPr>
          <w:rFonts w:ascii="Calibri" w:hAnsi="Calibri"/>
          <w:i/>
          <w:color w:val="231F20"/>
          <w:w w:val="105"/>
          <w:sz w:val="17"/>
        </w:rPr>
        <w:t>actuales </w:t>
      </w:r>
      <w:r>
        <w:rPr>
          <w:rFonts w:ascii="Calibri" w:hAnsi="Calibri"/>
          <w:i/>
          <w:color w:val="231F20"/>
          <w:sz w:val="17"/>
        </w:rPr>
        <w:t>sobre</w:t>
      </w:r>
      <w:r>
        <w:rPr>
          <w:rFonts w:ascii="Calibri" w:hAnsi="Calibri"/>
          <w:i/>
          <w:color w:val="231F20"/>
          <w:spacing w:val="-7"/>
          <w:sz w:val="17"/>
        </w:rPr>
        <w:t> </w:t>
      </w:r>
      <w:r>
        <w:rPr>
          <w:rFonts w:ascii="Calibri" w:hAnsi="Calibri"/>
          <w:i/>
          <w:color w:val="231F20"/>
          <w:sz w:val="17"/>
        </w:rPr>
        <w:t>el</w:t>
      </w:r>
      <w:r>
        <w:rPr>
          <w:rFonts w:ascii="Calibri" w:hAnsi="Calibri"/>
          <w:i/>
          <w:color w:val="231F20"/>
          <w:spacing w:val="-7"/>
          <w:sz w:val="17"/>
        </w:rPr>
        <w:t> </w:t>
      </w:r>
      <w:r>
        <w:rPr>
          <w:rFonts w:ascii="Calibri" w:hAnsi="Calibri"/>
          <w:i/>
          <w:color w:val="231F20"/>
          <w:sz w:val="17"/>
        </w:rPr>
        <w:t>Estado</w:t>
      </w:r>
      <w:r>
        <w:rPr>
          <w:rFonts w:ascii="Calibri" w:hAnsi="Calibri"/>
          <w:i/>
          <w:color w:val="231F20"/>
          <w:spacing w:val="-7"/>
          <w:sz w:val="17"/>
        </w:rPr>
        <w:t> </w:t>
      </w:r>
      <w:r>
        <w:rPr>
          <w:rFonts w:ascii="Calibri" w:hAnsi="Calibri"/>
          <w:i/>
          <w:color w:val="231F20"/>
          <w:sz w:val="17"/>
        </w:rPr>
        <w:t>contemporáneo</w:t>
      </w:r>
      <w:r>
        <w:rPr>
          <w:rFonts w:ascii="Calibri" w:hAnsi="Calibri"/>
          <w:color w:val="231F20"/>
          <w:sz w:val="17"/>
        </w:rPr>
        <w:t>,</w:t>
      </w:r>
      <w:r>
        <w:rPr>
          <w:rFonts w:ascii="Calibri" w:hAnsi="Calibri"/>
          <w:color w:val="231F20"/>
          <w:spacing w:val="-6"/>
          <w:sz w:val="17"/>
        </w:rPr>
        <w:t> </w:t>
      </w:r>
      <w:r>
        <w:rPr>
          <w:rFonts w:ascii="Calibri" w:hAnsi="Calibri"/>
          <w:color w:val="231F20"/>
          <w:sz w:val="17"/>
        </w:rPr>
        <w:t>Granada,</w:t>
      </w:r>
      <w:r>
        <w:rPr>
          <w:rFonts w:ascii="Calibri" w:hAnsi="Calibri"/>
          <w:color w:val="231F20"/>
          <w:spacing w:val="-6"/>
          <w:sz w:val="17"/>
        </w:rPr>
        <w:t> </w:t>
      </w:r>
      <w:r>
        <w:rPr>
          <w:rFonts w:ascii="Calibri" w:hAnsi="Calibri"/>
          <w:color w:val="231F20"/>
          <w:sz w:val="17"/>
        </w:rPr>
        <w:t>Universidad</w:t>
      </w:r>
      <w:r>
        <w:rPr>
          <w:rFonts w:ascii="Calibri" w:hAnsi="Calibri"/>
          <w:color w:val="231F20"/>
          <w:spacing w:val="-6"/>
          <w:sz w:val="17"/>
        </w:rPr>
        <w:t> </w:t>
      </w:r>
      <w:r>
        <w:rPr>
          <w:rFonts w:ascii="Calibri" w:hAnsi="Calibri"/>
          <w:color w:val="231F20"/>
          <w:sz w:val="17"/>
        </w:rPr>
        <w:t>de</w:t>
      </w:r>
      <w:r>
        <w:rPr>
          <w:rFonts w:ascii="Calibri" w:hAnsi="Calibri"/>
          <w:color w:val="231F20"/>
          <w:spacing w:val="-6"/>
          <w:sz w:val="17"/>
        </w:rPr>
        <w:t> </w:t>
      </w:r>
      <w:r>
        <w:rPr>
          <w:rFonts w:ascii="Calibri" w:hAnsi="Calibri"/>
          <w:color w:val="231F20"/>
          <w:sz w:val="17"/>
        </w:rPr>
        <w:t>Granada,</w:t>
      </w:r>
      <w:r>
        <w:rPr>
          <w:rFonts w:ascii="Calibri" w:hAnsi="Calibri"/>
          <w:color w:val="231F20"/>
          <w:spacing w:val="-6"/>
          <w:sz w:val="17"/>
        </w:rPr>
        <w:t> </w:t>
      </w:r>
      <w:r>
        <w:rPr>
          <w:rFonts w:ascii="Calibri" w:hAnsi="Calibri"/>
          <w:color w:val="231F20"/>
          <w:sz w:val="17"/>
        </w:rPr>
        <w:t>2011.</w:t>
      </w:r>
    </w:p>
    <w:p>
      <w:pPr>
        <w:spacing w:before="1"/>
        <w:ind w:left="117" w:right="0" w:firstLine="0"/>
        <w:jc w:val="both"/>
        <w:rPr>
          <w:rFonts w:ascii="Calibri" w:hAnsi="Calibri"/>
          <w:sz w:val="17"/>
        </w:rPr>
      </w:pPr>
      <w:r>
        <w:rPr>
          <w:rFonts w:ascii="Calibri" w:hAnsi="Calibri"/>
          <w:color w:val="231F20"/>
          <w:w w:val="105"/>
          <w:position w:val="6"/>
          <w:sz w:val="10"/>
        </w:rPr>
        <w:t>44</w:t>
      </w:r>
      <w:r>
        <w:rPr>
          <w:rFonts w:ascii="Calibri" w:hAnsi="Calibri"/>
          <w:color w:val="231F20"/>
          <w:spacing w:val="-7"/>
          <w:w w:val="105"/>
          <w:position w:val="6"/>
          <w:sz w:val="10"/>
        </w:rPr>
        <w:t> </w:t>
      </w:r>
      <w:r>
        <w:rPr>
          <w:rFonts w:ascii="Calibri" w:hAnsi="Calibri"/>
          <w:color w:val="231F20"/>
          <w:w w:val="105"/>
          <w:sz w:val="17"/>
        </w:rPr>
        <w:t>N.</w:t>
      </w:r>
      <w:r>
        <w:rPr>
          <w:rFonts w:ascii="Calibri" w:hAnsi="Calibri"/>
          <w:color w:val="231F20"/>
          <w:spacing w:val="-24"/>
          <w:w w:val="105"/>
          <w:sz w:val="17"/>
        </w:rPr>
        <w:t> </w:t>
      </w:r>
      <w:r>
        <w:rPr>
          <w:rFonts w:ascii="Calibri" w:hAnsi="Calibri"/>
          <w:color w:val="231F20"/>
          <w:w w:val="105"/>
          <w:sz w:val="17"/>
        </w:rPr>
        <w:t>Lechner,</w:t>
      </w:r>
      <w:r>
        <w:rPr>
          <w:rFonts w:ascii="Calibri" w:hAnsi="Calibri"/>
          <w:color w:val="231F20"/>
          <w:spacing w:val="-24"/>
          <w:w w:val="105"/>
          <w:sz w:val="17"/>
        </w:rPr>
        <w:t> </w:t>
      </w:r>
      <w:r>
        <w:rPr>
          <w:rFonts w:ascii="Calibri" w:hAnsi="Calibri"/>
          <w:color w:val="231F20"/>
          <w:w w:val="105"/>
          <w:sz w:val="17"/>
        </w:rPr>
        <w:t>“Las</w:t>
      </w:r>
      <w:r>
        <w:rPr>
          <w:rFonts w:ascii="Calibri" w:hAnsi="Calibri"/>
          <w:color w:val="231F20"/>
          <w:spacing w:val="-24"/>
          <w:w w:val="105"/>
          <w:sz w:val="17"/>
        </w:rPr>
        <w:t> </w:t>
      </w:r>
      <w:r>
        <w:rPr>
          <w:rFonts w:ascii="Calibri" w:hAnsi="Calibri"/>
          <w:color w:val="231F20"/>
          <w:w w:val="105"/>
          <w:sz w:val="17"/>
        </w:rPr>
        <w:t>transformaciones</w:t>
      </w:r>
      <w:r>
        <w:rPr>
          <w:rFonts w:ascii="Calibri" w:hAnsi="Calibri"/>
          <w:color w:val="231F20"/>
          <w:spacing w:val="-24"/>
          <w:w w:val="105"/>
          <w:sz w:val="17"/>
        </w:rPr>
        <w:t> </w:t>
      </w:r>
      <w:r>
        <w:rPr>
          <w:rFonts w:ascii="Calibri" w:hAnsi="Calibri"/>
          <w:color w:val="231F20"/>
          <w:w w:val="105"/>
          <w:sz w:val="17"/>
        </w:rPr>
        <w:t>de</w:t>
      </w:r>
      <w:r>
        <w:rPr>
          <w:rFonts w:ascii="Calibri" w:hAnsi="Calibri"/>
          <w:color w:val="231F20"/>
          <w:spacing w:val="-24"/>
          <w:w w:val="105"/>
          <w:sz w:val="17"/>
        </w:rPr>
        <w:t> </w:t>
      </w:r>
      <w:r>
        <w:rPr>
          <w:rFonts w:ascii="Calibri" w:hAnsi="Calibri"/>
          <w:color w:val="231F20"/>
          <w:w w:val="105"/>
          <w:sz w:val="17"/>
        </w:rPr>
        <w:t>la</w:t>
      </w:r>
      <w:r>
        <w:rPr>
          <w:rFonts w:ascii="Calibri" w:hAnsi="Calibri"/>
          <w:color w:val="231F20"/>
          <w:spacing w:val="-24"/>
          <w:w w:val="105"/>
          <w:sz w:val="17"/>
        </w:rPr>
        <w:t> </w:t>
      </w:r>
      <w:r>
        <w:rPr>
          <w:rFonts w:ascii="Calibri" w:hAnsi="Calibri"/>
          <w:color w:val="231F20"/>
          <w:w w:val="105"/>
          <w:sz w:val="17"/>
        </w:rPr>
        <w:t>política”,</w:t>
      </w:r>
      <w:r>
        <w:rPr>
          <w:rFonts w:ascii="Calibri" w:hAnsi="Calibri"/>
          <w:color w:val="231F20"/>
          <w:spacing w:val="-24"/>
          <w:w w:val="105"/>
          <w:sz w:val="17"/>
        </w:rPr>
        <w:t> </w:t>
      </w:r>
      <w:r>
        <w:rPr>
          <w:rFonts w:ascii="Calibri" w:hAnsi="Calibri"/>
          <w:i/>
          <w:color w:val="231F20"/>
          <w:w w:val="105"/>
          <w:sz w:val="17"/>
        </w:rPr>
        <w:t>Revista</w:t>
      </w:r>
      <w:r>
        <w:rPr>
          <w:rFonts w:ascii="Calibri" w:hAnsi="Calibri"/>
          <w:i/>
          <w:color w:val="231F20"/>
          <w:spacing w:val="-24"/>
          <w:w w:val="105"/>
          <w:sz w:val="17"/>
        </w:rPr>
        <w:t> </w:t>
      </w:r>
      <w:r>
        <w:rPr>
          <w:rFonts w:ascii="Calibri" w:hAnsi="Calibri"/>
          <w:i/>
          <w:color w:val="231F20"/>
          <w:w w:val="105"/>
          <w:sz w:val="17"/>
        </w:rPr>
        <w:t>mexicana</w:t>
      </w:r>
      <w:r>
        <w:rPr>
          <w:rFonts w:ascii="Calibri" w:hAnsi="Calibri"/>
          <w:i/>
          <w:color w:val="231F20"/>
          <w:spacing w:val="-24"/>
          <w:w w:val="105"/>
          <w:sz w:val="17"/>
        </w:rPr>
        <w:t> </w:t>
      </w:r>
      <w:r>
        <w:rPr>
          <w:rFonts w:ascii="Calibri" w:hAnsi="Calibri"/>
          <w:i/>
          <w:color w:val="231F20"/>
          <w:w w:val="105"/>
          <w:sz w:val="17"/>
        </w:rPr>
        <w:t>de</w:t>
      </w:r>
      <w:r>
        <w:rPr>
          <w:rFonts w:ascii="Calibri" w:hAnsi="Calibri"/>
          <w:i/>
          <w:color w:val="231F20"/>
          <w:spacing w:val="-24"/>
          <w:w w:val="105"/>
          <w:sz w:val="17"/>
        </w:rPr>
        <w:t> </w:t>
      </w:r>
      <w:r>
        <w:rPr>
          <w:rFonts w:ascii="Calibri" w:hAnsi="Calibri"/>
          <w:i/>
          <w:color w:val="231F20"/>
          <w:w w:val="105"/>
          <w:sz w:val="17"/>
        </w:rPr>
        <w:t>sociología</w:t>
      </w:r>
      <w:r>
        <w:rPr>
          <w:rFonts w:ascii="Calibri" w:hAnsi="Calibri"/>
          <w:color w:val="231F20"/>
          <w:w w:val="105"/>
          <w:sz w:val="17"/>
        </w:rPr>
        <w:t>,</w:t>
      </w:r>
      <w:r>
        <w:rPr>
          <w:rFonts w:ascii="Calibri" w:hAnsi="Calibri"/>
          <w:color w:val="231F20"/>
          <w:spacing w:val="-24"/>
          <w:w w:val="105"/>
          <w:sz w:val="17"/>
        </w:rPr>
        <w:t> </w:t>
      </w:r>
      <w:r>
        <w:rPr>
          <w:rFonts w:ascii="Calibri" w:hAnsi="Calibri"/>
          <w:color w:val="231F20"/>
          <w:w w:val="105"/>
          <w:sz w:val="17"/>
        </w:rPr>
        <w:t>58,</w:t>
      </w:r>
      <w:r>
        <w:rPr>
          <w:rFonts w:ascii="Calibri" w:hAnsi="Calibri"/>
          <w:color w:val="231F20"/>
          <w:spacing w:val="-24"/>
          <w:w w:val="105"/>
          <w:sz w:val="17"/>
        </w:rPr>
        <w:t> </w:t>
      </w:r>
      <w:r>
        <w:rPr>
          <w:rFonts w:ascii="Calibri" w:hAnsi="Calibri"/>
          <w:color w:val="231F20"/>
          <w:w w:val="105"/>
          <w:sz w:val="17"/>
        </w:rPr>
        <w:t>1,</w:t>
      </w:r>
      <w:r>
        <w:rPr>
          <w:rFonts w:ascii="Calibri" w:hAnsi="Calibri"/>
          <w:color w:val="231F20"/>
          <w:spacing w:val="-24"/>
          <w:w w:val="105"/>
          <w:sz w:val="17"/>
        </w:rPr>
        <w:t> </w:t>
      </w:r>
      <w:r>
        <w:rPr>
          <w:rFonts w:ascii="Calibri" w:hAnsi="Calibri"/>
          <w:color w:val="231F20"/>
          <w:w w:val="105"/>
          <w:sz w:val="17"/>
        </w:rPr>
        <w:t>1996,</w:t>
      </w:r>
      <w:r>
        <w:rPr>
          <w:rFonts w:ascii="Calibri" w:hAnsi="Calibri"/>
          <w:color w:val="231F20"/>
          <w:spacing w:val="-24"/>
          <w:w w:val="105"/>
          <w:sz w:val="17"/>
        </w:rPr>
        <w:t> </w:t>
      </w:r>
      <w:r>
        <w:rPr>
          <w:rFonts w:ascii="Calibri" w:hAnsi="Calibri"/>
          <w:color w:val="231F20"/>
          <w:w w:val="105"/>
          <w:sz w:val="17"/>
        </w:rPr>
        <w:t>p.</w:t>
      </w:r>
      <w:r>
        <w:rPr>
          <w:rFonts w:ascii="Calibri" w:hAnsi="Calibri"/>
          <w:color w:val="231F20"/>
          <w:spacing w:val="-24"/>
          <w:w w:val="105"/>
          <w:sz w:val="17"/>
        </w:rPr>
        <w:t> </w:t>
      </w:r>
      <w:r>
        <w:rPr>
          <w:rFonts w:ascii="Calibri" w:hAnsi="Calibri"/>
          <w:color w:val="231F20"/>
          <w:w w:val="105"/>
          <w:sz w:val="17"/>
        </w:rPr>
        <w:t>9.</w:t>
      </w:r>
    </w:p>
    <w:p>
      <w:pPr>
        <w:spacing w:after="0"/>
        <w:jc w:val="both"/>
        <w:rPr>
          <w:rFonts w:ascii="Calibri" w:hAnsi="Calibri"/>
          <w:sz w:val="17"/>
        </w:rPr>
        <w:sectPr>
          <w:type w:val="continuous"/>
          <w:pgSz w:w="9640" w:h="13890"/>
          <w:pgMar w:top="0" w:bottom="0" w:left="1300" w:right="1180"/>
        </w:sectPr>
      </w:pPr>
    </w:p>
    <w:p>
      <w:pPr>
        <w:pStyle w:val="BodyText"/>
        <w:spacing w:line="247" w:lineRule="auto" w:before="107"/>
        <w:ind w:left="103" w:right="109"/>
        <w:jc w:val="both"/>
      </w:pPr>
      <w:r>
        <w:rPr>
          <w:color w:val="231F20"/>
          <w:w w:val="105"/>
        </w:rPr>
        <w:t>necessari</w:t>
      </w:r>
      <w:r>
        <w:rPr>
          <w:color w:val="231F20"/>
          <w:spacing w:val="-21"/>
          <w:w w:val="105"/>
        </w:rPr>
        <w:t> </w:t>
      </w:r>
      <w:r>
        <w:rPr>
          <w:color w:val="231F20"/>
          <w:w w:val="105"/>
        </w:rPr>
        <w:t>per</w:t>
      </w:r>
      <w:r>
        <w:rPr>
          <w:color w:val="231F20"/>
          <w:spacing w:val="-21"/>
          <w:w w:val="105"/>
        </w:rPr>
        <w:t> </w:t>
      </w:r>
      <w:r>
        <w:rPr>
          <w:color w:val="231F20"/>
          <w:w w:val="105"/>
        </w:rPr>
        <w:t>la</w:t>
      </w:r>
      <w:r>
        <w:rPr>
          <w:color w:val="231F20"/>
          <w:spacing w:val="-21"/>
          <w:w w:val="105"/>
        </w:rPr>
        <w:t> </w:t>
      </w:r>
      <w:r>
        <w:rPr>
          <w:color w:val="231F20"/>
          <w:w w:val="105"/>
        </w:rPr>
        <w:t>riproduzione</w:t>
      </w:r>
      <w:r>
        <w:rPr>
          <w:color w:val="231F20"/>
          <w:spacing w:val="-21"/>
          <w:w w:val="105"/>
        </w:rPr>
        <w:t> </w:t>
      </w:r>
      <w:r>
        <w:rPr>
          <w:color w:val="231F20"/>
          <w:w w:val="105"/>
        </w:rPr>
        <w:t>“equilibrata”</w:t>
      </w:r>
      <w:r>
        <w:rPr>
          <w:color w:val="231F20"/>
          <w:spacing w:val="-21"/>
          <w:w w:val="105"/>
        </w:rPr>
        <w:t> </w:t>
      </w:r>
      <w:r>
        <w:rPr>
          <w:color w:val="231F20"/>
          <w:w w:val="105"/>
        </w:rPr>
        <w:t>della</w:t>
      </w:r>
      <w:r>
        <w:rPr>
          <w:color w:val="231F20"/>
          <w:spacing w:val="-21"/>
          <w:w w:val="105"/>
        </w:rPr>
        <w:t> </w:t>
      </w:r>
      <w:r>
        <w:rPr>
          <w:color w:val="231F20"/>
          <w:w w:val="105"/>
        </w:rPr>
        <w:t>vita</w:t>
      </w:r>
      <w:r>
        <w:rPr>
          <w:color w:val="231F20"/>
          <w:spacing w:val="-21"/>
          <w:w w:val="105"/>
        </w:rPr>
        <w:t> </w:t>
      </w:r>
      <w:r>
        <w:rPr>
          <w:color w:val="231F20"/>
          <w:w w:val="105"/>
        </w:rPr>
        <w:t>in</w:t>
      </w:r>
      <w:r>
        <w:rPr>
          <w:color w:val="231F20"/>
          <w:spacing w:val="-21"/>
          <w:w w:val="105"/>
        </w:rPr>
        <w:t> </w:t>
      </w:r>
      <w:r>
        <w:rPr>
          <w:color w:val="231F20"/>
          <w:w w:val="105"/>
        </w:rPr>
        <w:t>società</w:t>
      </w:r>
      <w:r>
        <w:rPr>
          <w:color w:val="231F20"/>
          <w:w w:val="105"/>
          <w:position w:val="7"/>
          <w:sz w:val="12"/>
        </w:rPr>
        <w:t>45</w:t>
      </w:r>
      <w:r>
        <w:rPr>
          <w:color w:val="231F20"/>
          <w:spacing w:val="-12"/>
          <w:w w:val="105"/>
          <w:position w:val="7"/>
          <w:sz w:val="12"/>
        </w:rPr>
        <w:t> </w:t>
      </w:r>
      <w:r>
        <w:rPr>
          <w:color w:val="231F20"/>
          <w:w w:val="105"/>
          <w:position w:val="7"/>
          <w:sz w:val="12"/>
        </w:rPr>
        <w:t>46</w:t>
      </w:r>
      <w:r>
        <w:rPr>
          <w:color w:val="231F20"/>
          <w:w w:val="105"/>
        </w:rPr>
        <w:t>.</w:t>
      </w:r>
      <w:r>
        <w:rPr>
          <w:color w:val="231F20"/>
          <w:spacing w:val="-21"/>
          <w:w w:val="105"/>
        </w:rPr>
        <w:t> </w:t>
      </w:r>
      <w:r>
        <w:rPr>
          <w:color w:val="231F20"/>
          <w:w w:val="105"/>
        </w:rPr>
        <w:t>Da</w:t>
      </w:r>
      <w:r>
        <w:rPr>
          <w:color w:val="231F20"/>
          <w:spacing w:val="-21"/>
          <w:w w:val="105"/>
        </w:rPr>
        <w:t> </w:t>
      </w:r>
      <w:r>
        <w:rPr>
          <w:color w:val="231F20"/>
          <w:w w:val="105"/>
        </w:rPr>
        <w:t>qui, allora,</w:t>
      </w:r>
      <w:r>
        <w:rPr>
          <w:color w:val="231F20"/>
          <w:spacing w:val="-23"/>
          <w:w w:val="105"/>
        </w:rPr>
        <w:t> </w:t>
      </w:r>
      <w:r>
        <w:rPr>
          <w:color w:val="231F20"/>
          <w:w w:val="105"/>
        </w:rPr>
        <w:t>la</w:t>
      </w:r>
      <w:r>
        <w:rPr>
          <w:color w:val="231F20"/>
          <w:spacing w:val="-23"/>
          <w:w w:val="105"/>
        </w:rPr>
        <w:t> </w:t>
      </w:r>
      <w:r>
        <w:rPr>
          <w:color w:val="231F20"/>
          <w:w w:val="105"/>
        </w:rPr>
        <w:t>deregolamentazione</w:t>
      </w:r>
      <w:r>
        <w:rPr>
          <w:color w:val="231F20"/>
          <w:spacing w:val="-23"/>
          <w:w w:val="105"/>
        </w:rPr>
        <w:t> </w:t>
      </w:r>
      <w:r>
        <w:rPr>
          <w:color w:val="231F20"/>
          <w:w w:val="105"/>
        </w:rPr>
        <w:t>dei</w:t>
      </w:r>
      <w:r>
        <w:rPr>
          <w:color w:val="231F20"/>
          <w:spacing w:val="-23"/>
          <w:w w:val="105"/>
        </w:rPr>
        <w:t> </w:t>
      </w:r>
      <w:r>
        <w:rPr>
          <w:color w:val="231F20"/>
          <w:w w:val="105"/>
        </w:rPr>
        <w:t>mercati</w:t>
      </w:r>
      <w:r>
        <w:rPr>
          <w:color w:val="231F20"/>
          <w:spacing w:val="-23"/>
          <w:w w:val="105"/>
        </w:rPr>
        <w:t> </w:t>
      </w:r>
      <w:r>
        <w:rPr>
          <w:color w:val="231F20"/>
          <w:w w:val="105"/>
        </w:rPr>
        <w:t>nazionali,</w:t>
      </w:r>
      <w:r>
        <w:rPr>
          <w:color w:val="231F20"/>
          <w:spacing w:val="-23"/>
          <w:w w:val="105"/>
        </w:rPr>
        <w:t> </w:t>
      </w:r>
      <w:r>
        <w:rPr>
          <w:color w:val="231F20"/>
          <w:w w:val="105"/>
        </w:rPr>
        <w:t>le</w:t>
      </w:r>
      <w:r>
        <w:rPr>
          <w:color w:val="231F20"/>
          <w:spacing w:val="-23"/>
          <w:w w:val="105"/>
        </w:rPr>
        <w:t> </w:t>
      </w:r>
      <w:r>
        <w:rPr>
          <w:color w:val="231F20"/>
          <w:w w:val="105"/>
        </w:rPr>
        <w:t>politiche</w:t>
      </w:r>
      <w:r>
        <w:rPr>
          <w:color w:val="231F20"/>
          <w:spacing w:val="-23"/>
          <w:w w:val="105"/>
        </w:rPr>
        <w:t> </w:t>
      </w:r>
      <w:r>
        <w:rPr>
          <w:color w:val="231F20"/>
          <w:w w:val="105"/>
        </w:rPr>
        <w:t>di</w:t>
      </w:r>
      <w:r>
        <w:rPr>
          <w:color w:val="231F20"/>
          <w:spacing w:val="-23"/>
          <w:w w:val="105"/>
        </w:rPr>
        <w:t> </w:t>
      </w:r>
      <w:r>
        <w:rPr>
          <w:color w:val="231F20"/>
          <w:w w:val="105"/>
        </w:rPr>
        <w:t>riforma strutturale</w:t>
      </w:r>
      <w:r>
        <w:rPr>
          <w:color w:val="231F20"/>
          <w:spacing w:val="-14"/>
          <w:w w:val="105"/>
        </w:rPr>
        <w:t> </w:t>
      </w:r>
      <w:r>
        <w:rPr>
          <w:color w:val="231F20"/>
          <w:w w:val="105"/>
        </w:rPr>
        <w:t>e</w:t>
      </w:r>
      <w:r>
        <w:rPr>
          <w:color w:val="231F20"/>
          <w:spacing w:val="-14"/>
          <w:w w:val="105"/>
        </w:rPr>
        <w:t> </w:t>
      </w:r>
      <w:r>
        <w:rPr>
          <w:color w:val="231F20"/>
          <w:w w:val="105"/>
        </w:rPr>
        <w:t>la</w:t>
      </w:r>
      <w:r>
        <w:rPr>
          <w:color w:val="231F20"/>
          <w:spacing w:val="-14"/>
          <w:w w:val="105"/>
        </w:rPr>
        <w:t> </w:t>
      </w:r>
      <w:r>
        <w:rPr>
          <w:color w:val="231F20"/>
          <w:w w:val="105"/>
        </w:rPr>
        <w:t>figura</w:t>
      </w:r>
      <w:r>
        <w:rPr>
          <w:color w:val="231F20"/>
          <w:spacing w:val="-14"/>
          <w:w w:val="105"/>
        </w:rPr>
        <w:t> </w:t>
      </w:r>
      <w:r>
        <w:rPr>
          <w:color w:val="231F20"/>
          <w:w w:val="105"/>
        </w:rPr>
        <w:t>della</w:t>
      </w:r>
      <w:r>
        <w:rPr>
          <w:color w:val="231F20"/>
          <w:spacing w:val="-14"/>
          <w:w w:val="105"/>
        </w:rPr>
        <w:t> </w:t>
      </w:r>
      <w:r>
        <w:rPr>
          <w:color w:val="231F20"/>
          <w:w w:val="105"/>
        </w:rPr>
        <w:t>privatizzazione,</w:t>
      </w:r>
      <w:r>
        <w:rPr>
          <w:color w:val="231F20"/>
          <w:spacing w:val="-14"/>
          <w:w w:val="105"/>
        </w:rPr>
        <w:t> </w:t>
      </w:r>
      <w:r>
        <w:rPr>
          <w:color w:val="231F20"/>
          <w:w w:val="105"/>
        </w:rPr>
        <w:t>che</w:t>
      </w:r>
      <w:r>
        <w:rPr>
          <w:color w:val="231F20"/>
          <w:spacing w:val="-14"/>
          <w:w w:val="105"/>
        </w:rPr>
        <w:t> </w:t>
      </w:r>
      <w:r>
        <w:rPr>
          <w:color w:val="231F20"/>
          <w:w w:val="105"/>
        </w:rPr>
        <w:t>diventerano</w:t>
      </w:r>
      <w:r>
        <w:rPr>
          <w:color w:val="231F20"/>
          <w:spacing w:val="-14"/>
          <w:w w:val="105"/>
        </w:rPr>
        <w:t> </w:t>
      </w:r>
      <w:r>
        <w:rPr>
          <w:color w:val="231F20"/>
          <w:w w:val="105"/>
        </w:rPr>
        <w:t>col</w:t>
      </w:r>
      <w:r>
        <w:rPr>
          <w:color w:val="231F20"/>
          <w:spacing w:val="-14"/>
          <w:w w:val="105"/>
        </w:rPr>
        <w:t> </w:t>
      </w:r>
      <w:r>
        <w:rPr>
          <w:color w:val="231F20"/>
          <w:w w:val="105"/>
        </w:rPr>
        <w:t>tempo</w:t>
      </w:r>
      <w:r>
        <w:rPr>
          <w:color w:val="231F20"/>
          <w:spacing w:val="-14"/>
          <w:w w:val="105"/>
        </w:rPr>
        <w:t> </w:t>
      </w:r>
      <w:r>
        <w:rPr>
          <w:color w:val="231F20"/>
          <w:w w:val="105"/>
        </w:rPr>
        <w:t>la prima</w:t>
      </w:r>
      <w:r>
        <w:rPr>
          <w:color w:val="231F20"/>
          <w:spacing w:val="-39"/>
          <w:w w:val="105"/>
        </w:rPr>
        <w:t> </w:t>
      </w:r>
      <w:r>
        <w:rPr>
          <w:color w:val="231F20"/>
          <w:w w:val="105"/>
        </w:rPr>
        <w:t>generazione</w:t>
      </w:r>
      <w:r>
        <w:rPr>
          <w:color w:val="231F20"/>
          <w:spacing w:val="-39"/>
          <w:w w:val="105"/>
        </w:rPr>
        <w:t> </w:t>
      </w:r>
      <w:r>
        <w:rPr>
          <w:color w:val="231F20"/>
          <w:w w:val="105"/>
        </w:rPr>
        <w:t>di</w:t>
      </w:r>
      <w:r>
        <w:rPr>
          <w:color w:val="231F20"/>
          <w:spacing w:val="-39"/>
          <w:w w:val="105"/>
        </w:rPr>
        <w:t> </w:t>
      </w:r>
      <w:r>
        <w:rPr>
          <w:color w:val="231F20"/>
          <w:w w:val="105"/>
        </w:rPr>
        <w:t>riforme</w:t>
      </w:r>
      <w:r>
        <w:rPr>
          <w:color w:val="231F20"/>
          <w:spacing w:val="-39"/>
          <w:w w:val="105"/>
        </w:rPr>
        <w:t> </w:t>
      </w:r>
      <w:r>
        <w:rPr>
          <w:color w:val="231F20"/>
          <w:w w:val="105"/>
        </w:rPr>
        <w:t>neoliberali.</w:t>
      </w:r>
      <w:r>
        <w:rPr>
          <w:color w:val="231F20"/>
          <w:spacing w:val="-39"/>
          <w:w w:val="105"/>
        </w:rPr>
        <w:t> </w:t>
      </w:r>
      <w:r>
        <w:rPr>
          <w:color w:val="231F20"/>
          <w:w w:val="105"/>
        </w:rPr>
        <w:t>La</w:t>
      </w:r>
      <w:r>
        <w:rPr>
          <w:color w:val="231F20"/>
          <w:spacing w:val="-39"/>
          <w:w w:val="105"/>
        </w:rPr>
        <w:t> </w:t>
      </w:r>
      <w:r>
        <w:rPr>
          <w:color w:val="231F20"/>
          <w:w w:val="105"/>
        </w:rPr>
        <w:t>loro</w:t>
      </w:r>
      <w:r>
        <w:rPr>
          <w:color w:val="231F20"/>
          <w:spacing w:val="-39"/>
          <w:w w:val="105"/>
        </w:rPr>
        <w:t> </w:t>
      </w:r>
      <w:r>
        <w:rPr>
          <w:color w:val="231F20"/>
          <w:w w:val="105"/>
        </w:rPr>
        <w:t>conseguenza</w:t>
      </w:r>
      <w:r>
        <w:rPr>
          <w:color w:val="231F20"/>
          <w:spacing w:val="-38"/>
          <w:w w:val="105"/>
        </w:rPr>
        <w:t> </w:t>
      </w:r>
      <w:r>
        <w:rPr>
          <w:color w:val="231F20"/>
          <w:w w:val="105"/>
        </w:rPr>
        <w:t>è</w:t>
      </w:r>
      <w:r>
        <w:rPr>
          <w:color w:val="231F20"/>
          <w:spacing w:val="-39"/>
          <w:w w:val="105"/>
        </w:rPr>
        <w:t> </w:t>
      </w:r>
      <w:r>
        <w:rPr>
          <w:color w:val="231F20"/>
          <w:w w:val="105"/>
        </w:rPr>
        <w:t>stata</w:t>
      </w:r>
      <w:r>
        <w:rPr>
          <w:color w:val="231F20"/>
          <w:spacing w:val="-39"/>
          <w:w w:val="105"/>
        </w:rPr>
        <w:t> </w:t>
      </w:r>
      <w:r>
        <w:rPr>
          <w:color w:val="231F20"/>
          <w:w w:val="105"/>
        </w:rPr>
        <w:t>l’idea che</w:t>
      </w:r>
      <w:r>
        <w:rPr>
          <w:color w:val="231F20"/>
          <w:spacing w:val="-36"/>
          <w:w w:val="105"/>
        </w:rPr>
        <w:t> </w:t>
      </w:r>
      <w:r>
        <w:rPr>
          <w:color w:val="231F20"/>
          <w:w w:val="105"/>
        </w:rPr>
        <w:t>lo</w:t>
      </w:r>
      <w:r>
        <w:rPr>
          <w:color w:val="231F20"/>
          <w:spacing w:val="-36"/>
          <w:w w:val="105"/>
        </w:rPr>
        <w:t> </w:t>
      </w:r>
      <w:r>
        <w:rPr>
          <w:color w:val="231F20"/>
          <w:w w:val="105"/>
        </w:rPr>
        <w:t>Stato</w:t>
      </w:r>
      <w:r>
        <w:rPr>
          <w:color w:val="231F20"/>
          <w:spacing w:val="-36"/>
          <w:w w:val="105"/>
        </w:rPr>
        <w:t> </w:t>
      </w:r>
      <w:r>
        <w:rPr>
          <w:color w:val="231F20"/>
          <w:w w:val="105"/>
        </w:rPr>
        <w:t>si</w:t>
      </w:r>
      <w:r>
        <w:rPr>
          <w:color w:val="231F20"/>
          <w:spacing w:val="-36"/>
          <w:w w:val="105"/>
        </w:rPr>
        <w:t> </w:t>
      </w:r>
      <w:r>
        <w:rPr>
          <w:color w:val="231F20"/>
          <w:w w:val="105"/>
        </w:rPr>
        <w:t>“ritirava”</w:t>
      </w:r>
      <w:r>
        <w:rPr>
          <w:color w:val="231F20"/>
          <w:spacing w:val="-36"/>
          <w:w w:val="105"/>
        </w:rPr>
        <w:t> </w:t>
      </w:r>
      <w:r>
        <w:rPr>
          <w:color w:val="231F20"/>
          <w:w w:val="105"/>
        </w:rPr>
        <w:t>di</w:t>
      </w:r>
      <w:r>
        <w:rPr>
          <w:color w:val="231F20"/>
          <w:spacing w:val="-36"/>
          <w:w w:val="105"/>
        </w:rPr>
        <w:t> </w:t>
      </w:r>
      <w:r>
        <w:rPr>
          <w:color w:val="231F20"/>
          <w:w w:val="105"/>
        </w:rPr>
        <w:t>alcuni</w:t>
      </w:r>
      <w:r>
        <w:rPr>
          <w:color w:val="231F20"/>
          <w:spacing w:val="-36"/>
          <w:w w:val="105"/>
        </w:rPr>
        <w:t> </w:t>
      </w:r>
      <w:r>
        <w:rPr>
          <w:color w:val="231F20"/>
          <w:w w:val="105"/>
        </w:rPr>
        <w:t>dei</w:t>
      </w:r>
      <w:r>
        <w:rPr>
          <w:color w:val="231F20"/>
          <w:spacing w:val="-36"/>
          <w:w w:val="105"/>
        </w:rPr>
        <w:t> </w:t>
      </w:r>
      <w:r>
        <w:rPr>
          <w:color w:val="231F20"/>
          <w:w w:val="105"/>
        </w:rPr>
        <w:t>suoi</w:t>
      </w:r>
      <w:r>
        <w:rPr>
          <w:color w:val="231F20"/>
          <w:spacing w:val="-36"/>
          <w:w w:val="105"/>
        </w:rPr>
        <w:t> </w:t>
      </w:r>
      <w:r>
        <w:rPr>
          <w:color w:val="231F20"/>
          <w:w w:val="105"/>
        </w:rPr>
        <w:t>luoghi</w:t>
      </w:r>
      <w:r>
        <w:rPr>
          <w:color w:val="231F20"/>
          <w:spacing w:val="-36"/>
          <w:w w:val="105"/>
        </w:rPr>
        <w:t> </w:t>
      </w:r>
      <w:r>
        <w:rPr>
          <w:color w:val="231F20"/>
          <w:w w:val="105"/>
        </w:rPr>
        <w:t>tradizionali,</w:t>
      </w:r>
      <w:r>
        <w:rPr>
          <w:color w:val="231F20"/>
          <w:spacing w:val="-36"/>
          <w:w w:val="105"/>
        </w:rPr>
        <w:t> </w:t>
      </w:r>
      <w:r>
        <w:rPr>
          <w:color w:val="231F20"/>
          <w:w w:val="105"/>
        </w:rPr>
        <w:t>parafrasando</w:t>
      </w:r>
      <w:r>
        <w:rPr>
          <w:color w:val="231F20"/>
          <w:spacing w:val="-36"/>
          <w:w w:val="105"/>
        </w:rPr>
        <w:t> </w:t>
      </w:r>
      <w:r>
        <w:rPr>
          <w:color w:val="231F20"/>
          <w:w w:val="105"/>
        </w:rPr>
        <w:t>il celebre</w:t>
      </w:r>
      <w:r>
        <w:rPr>
          <w:color w:val="231F20"/>
          <w:spacing w:val="-34"/>
          <w:w w:val="105"/>
        </w:rPr>
        <w:t> </w:t>
      </w:r>
      <w:r>
        <w:rPr>
          <w:color w:val="231F20"/>
          <w:w w:val="105"/>
        </w:rPr>
        <w:t>libro</w:t>
      </w:r>
      <w:r>
        <w:rPr>
          <w:color w:val="231F20"/>
          <w:spacing w:val="-34"/>
          <w:w w:val="105"/>
        </w:rPr>
        <w:t> </w:t>
      </w:r>
      <w:r>
        <w:rPr>
          <w:color w:val="231F20"/>
          <w:w w:val="105"/>
        </w:rPr>
        <w:t>di</w:t>
      </w:r>
      <w:r>
        <w:rPr>
          <w:color w:val="231F20"/>
          <w:spacing w:val="-34"/>
          <w:w w:val="105"/>
        </w:rPr>
        <w:t> </w:t>
      </w:r>
      <w:r>
        <w:rPr>
          <w:color w:val="231F20"/>
          <w:w w:val="105"/>
        </w:rPr>
        <w:t>Susan</w:t>
      </w:r>
      <w:r>
        <w:rPr>
          <w:color w:val="231F20"/>
          <w:spacing w:val="-34"/>
          <w:w w:val="105"/>
        </w:rPr>
        <w:t> </w:t>
      </w:r>
      <w:r>
        <w:rPr>
          <w:color w:val="231F20"/>
          <w:w w:val="105"/>
        </w:rPr>
        <w:t>Strange</w:t>
      </w:r>
      <w:r>
        <w:rPr>
          <w:color w:val="231F20"/>
          <w:w w:val="105"/>
          <w:position w:val="7"/>
          <w:sz w:val="12"/>
        </w:rPr>
        <w:t>47</w:t>
      </w:r>
      <w:r>
        <w:rPr>
          <w:color w:val="231F20"/>
          <w:w w:val="105"/>
        </w:rPr>
        <w:t>;</w:t>
      </w:r>
      <w:r>
        <w:rPr>
          <w:color w:val="231F20"/>
          <w:spacing w:val="-34"/>
          <w:w w:val="105"/>
        </w:rPr>
        <w:t> </w:t>
      </w:r>
      <w:r>
        <w:rPr>
          <w:color w:val="231F20"/>
          <w:w w:val="105"/>
        </w:rPr>
        <w:t>detto</w:t>
      </w:r>
      <w:r>
        <w:rPr>
          <w:color w:val="231F20"/>
          <w:spacing w:val="-34"/>
          <w:w w:val="105"/>
        </w:rPr>
        <w:t> </w:t>
      </w:r>
      <w:r>
        <w:rPr>
          <w:color w:val="231F20"/>
          <w:w w:val="105"/>
        </w:rPr>
        <w:t>in</w:t>
      </w:r>
      <w:r>
        <w:rPr>
          <w:color w:val="231F20"/>
          <w:spacing w:val="-34"/>
          <w:w w:val="105"/>
        </w:rPr>
        <w:t> </w:t>
      </w:r>
      <w:r>
        <w:rPr>
          <w:color w:val="231F20"/>
          <w:w w:val="105"/>
        </w:rPr>
        <w:t>altre</w:t>
      </w:r>
      <w:r>
        <w:rPr>
          <w:color w:val="231F20"/>
          <w:spacing w:val="-34"/>
          <w:w w:val="105"/>
        </w:rPr>
        <w:t> </w:t>
      </w:r>
      <w:r>
        <w:rPr>
          <w:color w:val="231F20"/>
          <w:w w:val="105"/>
        </w:rPr>
        <w:t>parole,</w:t>
      </w:r>
      <w:r>
        <w:rPr>
          <w:color w:val="231F20"/>
          <w:spacing w:val="-34"/>
          <w:w w:val="105"/>
        </w:rPr>
        <w:t> </w:t>
      </w:r>
      <w:r>
        <w:rPr>
          <w:color w:val="231F20"/>
          <w:w w:val="105"/>
        </w:rPr>
        <w:t>lo</w:t>
      </w:r>
      <w:r>
        <w:rPr>
          <w:color w:val="231F20"/>
          <w:spacing w:val="-34"/>
          <w:w w:val="105"/>
        </w:rPr>
        <w:t> </w:t>
      </w:r>
      <w:r>
        <w:rPr>
          <w:color w:val="231F20"/>
          <w:w w:val="105"/>
        </w:rPr>
        <w:t>Stato</w:t>
      </w:r>
      <w:r>
        <w:rPr>
          <w:color w:val="231F20"/>
          <w:spacing w:val="-34"/>
          <w:w w:val="105"/>
        </w:rPr>
        <w:t> </w:t>
      </w:r>
      <w:r>
        <w:rPr>
          <w:color w:val="231F20"/>
          <w:w w:val="105"/>
        </w:rPr>
        <w:t>lasciava</w:t>
      </w:r>
      <w:r>
        <w:rPr>
          <w:color w:val="231F20"/>
          <w:spacing w:val="-34"/>
          <w:w w:val="105"/>
        </w:rPr>
        <w:t> </w:t>
      </w:r>
      <w:r>
        <w:rPr>
          <w:color w:val="231F20"/>
          <w:w w:val="105"/>
        </w:rPr>
        <w:t>certi </w:t>
      </w:r>
      <w:r>
        <w:rPr>
          <w:rFonts w:ascii="Arial" w:hAnsi="Arial"/>
          <w:i/>
          <w:color w:val="231F20"/>
          <w:w w:val="105"/>
        </w:rPr>
        <w:t>spazi</w:t>
      </w:r>
      <w:r>
        <w:rPr>
          <w:rFonts w:ascii="Arial" w:hAnsi="Arial"/>
          <w:i/>
          <w:color w:val="231F20"/>
          <w:spacing w:val="-12"/>
          <w:w w:val="105"/>
        </w:rPr>
        <w:t> </w:t>
      </w:r>
      <w:r>
        <w:rPr>
          <w:color w:val="231F20"/>
          <w:w w:val="105"/>
        </w:rPr>
        <w:t>che</w:t>
      </w:r>
      <w:r>
        <w:rPr>
          <w:color w:val="231F20"/>
          <w:spacing w:val="-20"/>
          <w:w w:val="105"/>
        </w:rPr>
        <w:t> </w:t>
      </w:r>
      <w:r>
        <w:rPr>
          <w:color w:val="231F20"/>
          <w:w w:val="105"/>
        </w:rPr>
        <w:t>sarebbero</w:t>
      </w:r>
      <w:r>
        <w:rPr>
          <w:color w:val="231F20"/>
          <w:spacing w:val="-20"/>
          <w:w w:val="105"/>
        </w:rPr>
        <w:t> </w:t>
      </w:r>
      <w:r>
        <w:rPr>
          <w:color w:val="231F20"/>
          <w:w w:val="105"/>
        </w:rPr>
        <w:t>colmi</w:t>
      </w:r>
      <w:r>
        <w:rPr>
          <w:color w:val="231F20"/>
          <w:spacing w:val="-20"/>
          <w:w w:val="105"/>
        </w:rPr>
        <w:t> </w:t>
      </w:r>
      <w:r>
        <w:rPr>
          <w:color w:val="231F20"/>
          <w:w w:val="105"/>
        </w:rPr>
        <w:t>(e</w:t>
      </w:r>
      <w:r>
        <w:rPr>
          <w:color w:val="231F20"/>
          <w:spacing w:val="-20"/>
          <w:w w:val="105"/>
        </w:rPr>
        <w:t> </w:t>
      </w:r>
      <w:r>
        <w:rPr>
          <w:color w:val="231F20"/>
          <w:w w:val="105"/>
        </w:rPr>
        <w:t>colonizzati)</w:t>
      </w:r>
      <w:r>
        <w:rPr>
          <w:color w:val="231F20"/>
          <w:spacing w:val="-20"/>
          <w:w w:val="105"/>
        </w:rPr>
        <w:t> </w:t>
      </w:r>
      <w:r>
        <w:rPr>
          <w:color w:val="231F20"/>
          <w:w w:val="105"/>
        </w:rPr>
        <w:t>dal</w:t>
      </w:r>
      <w:r>
        <w:rPr>
          <w:color w:val="231F20"/>
          <w:spacing w:val="-20"/>
          <w:w w:val="105"/>
        </w:rPr>
        <w:t> </w:t>
      </w:r>
      <w:r>
        <w:rPr>
          <w:color w:val="231F20"/>
          <w:w w:val="105"/>
        </w:rPr>
        <w:t>mondo</w:t>
      </w:r>
      <w:r>
        <w:rPr>
          <w:color w:val="231F20"/>
          <w:spacing w:val="-20"/>
          <w:w w:val="105"/>
        </w:rPr>
        <w:t> </w:t>
      </w:r>
      <w:r>
        <w:rPr>
          <w:color w:val="231F20"/>
          <w:w w:val="105"/>
        </w:rPr>
        <w:t>privato</w:t>
      </w:r>
      <w:r>
        <w:rPr>
          <w:color w:val="231F20"/>
          <w:spacing w:val="-20"/>
          <w:w w:val="105"/>
        </w:rPr>
        <w:t> </w:t>
      </w:r>
      <w:r>
        <w:rPr>
          <w:color w:val="231F20"/>
          <w:w w:val="105"/>
        </w:rPr>
        <w:t>e</w:t>
      </w:r>
      <w:r>
        <w:rPr>
          <w:color w:val="231F20"/>
          <w:spacing w:val="-20"/>
          <w:w w:val="105"/>
        </w:rPr>
        <w:t> </w:t>
      </w:r>
      <w:r>
        <w:rPr>
          <w:color w:val="231F20"/>
          <w:w w:val="105"/>
        </w:rPr>
        <w:t>in</w:t>
      </w:r>
      <w:r>
        <w:rPr>
          <w:color w:val="231F20"/>
          <w:spacing w:val="-20"/>
          <w:w w:val="105"/>
        </w:rPr>
        <w:t> </w:t>
      </w:r>
      <w:r>
        <w:rPr>
          <w:color w:val="231F20"/>
          <w:w w:val="105"/>
        </w:rPr>
        <w:t>generale dall’economia</w:t>
      </w:r>
      <w:r>
        <w:rPr>
          <w:color w:val="231F20"/>
          <w:spacing w:val="-21"/>
          <w:w w:val="105"/>
        </w:rPr>
        <w:t> </w:t>
      </w:r>
      <w:r>
        <w:rPr>
          <w:color w:val="231F20"/>
          <w:w w:val="105"/>
        </w:rPr>
        <w:t>tradizionale,</w:t>
      </w:r>
      <w:r>
        <w:rPr>
          <w:color w:val="231F20"/>
          <w:spacing w:val="-21"/>
          <w:w w:val="105"/>
        </w:rPr>
        <w:t> </w:t>
      </w:r>
      <w:r>
        <w:rPr>
          <w:color w:val="231F20"/>
          <w:w w:val="105"/>
        </w:rPr>
        <w:t>compreso</w:t>
      </w:r>
      <w:r>
        <w:rPr>
          <w:color w:val="231F20"/>
          <w:spacing w:val="-21"/>
          <w:w w:val="105"/>
        </w:rPr>
        <w:t> </w:t>
      </w:r>
      <w:r>
        <w:rPr>
          <w:color w:val="231F20"/>
          <w:w w:val="105"/>
        </w:rPr>
        <w:t>il</w:t>
      </w:r>
      <w:r>
        <w:rPr>
          <w:color w:val="231F20"/>
          <w:spacing w:val="-21"/>
          <w:w w:val="105"/>
        </w:rPr>
        <w:t> </w:t>
      </w:r>
      <w:r>
        <w:rPr>
          <w:color w:val="231F20"/>
          <w:w w:val="105"/>
        </w:rPr>
        <w:t>mercato</w:t>
      </w:r>
      <w:r>
        <w:rPr>
          <w:color w:val="231F20"/>
          <w:spacing w:val="-21"/>
          <w:w w:val="105"/>
        </w:rPr>
        <w:t> </w:t>
      </w:r>
      <w:r>
        <w:rPr>
          <w:color w:val="231F20"/>
          <w:w w:val="105"/>
        </w:rPr>
        <w:t>delle</w:t>
      </w:r>
      <w:r>
        <w:rPr>
          <w:color w:val="231F20"/>
          <w:spacing w:val="-21"/>
          <w:w w:val="105"/>
        </w:rPr>
        <w:t> </w:t>
      </w:r>
      <w:r>
        <w:rPr>
          <w:color w:val="231F20"/>
          <w:w w:val="105"/>
        </w:rPr>
        <w:t>droghe</w:t>
      </w:r>
      <w:r>
        <w:rPr>
          <w:color w:val="231F20"/>
          <w:spacing w:val="-21"/>
          <w:w w:val="105"/>
        </w:rPr>
        <w:t> </w:t>
      </w:r>
      <w:r>
        <w:rPr>
          <w:color w:val="231F20"/>
          <w:w w:val="105"/>
        </w:rPr>
        <w:t>illecite</w:t>
      </w:r>
      <w:r>
        <w:rPr>
          <w:color w:val="231F20"/>
          <w:spacing w:val="-21"/>
          <w:w w:val="105"/>
        </w:rPr>
        <w:t> </w:t>
      </w:r>
      <w:r>
        <w:rPr>
          <w:color w:val="231F20"/>
          <w:w w:val="105"/>
        </w:rPr>
        <w:t>e</w:t>
      </w:r>
      <w:r>
        <w:rPr>
          <w:color w:val="231F20"/>
          <w:spacing w:val="-21"/>
          <w:w w:val="105"/>
        </w:rPr>
        <w:t> </w:t>
      </w:r>
      <w:r>
        <w:rPr>
          <w:color w:val="231F20"/>
          <w:w w:val="105"/>
        </w:rPr>
        <w:t>dei fenomeni</w:t>
      </w:r>
      <w:r>
        <w:rPr>
          <w:color w:val="231F20"/>
          <w:spacing w:val="-11"/>
          <w:w w:val="105"/>
        </w:rPr>
        <w:t> </w:t>
      </w:r>
      <w:r>
        <w:rPr>
          <w:color w:val="231F20"/>
          <w:w w:val="105"/>
        </w:rPr>
        <w:t>che</w:t>
      </w:r>
      <w:r>
        <w:rPr>
          <w:color w:val="231F20"/>
          <w:spacing w:val="-11"/>
          <w:w w:val="105"/>
        </w:rPr>
        <w:t> </w:t>
      </w:r>
      <w:r>
        <w:rPr>
          <w:color w:val="231F20"/>
          <w:w w:val="105"/>
        </w:rPr>
        <w:t>le</w:t>
      </w:r>
      <w:r>
        <w:rPr>
          <w:color w:val="231F20"/>
          <w:spacing w:val="-11"/>
          <w:w w:val="105"/>
        </w:rPr>
        <w:t> </w:t>
      </w:r>
      <w:r>
        <w:rPr>
          <w:color w:val="231F20"/>
          <w:w w:val="105"/>
        </w:rPr>
        <w:t>circondavano.</w:t>
      </w:r>
      <w:r>
        <w:rPr>
          <w:color w:val="231F20"/>
          <w:spacing w:val="-11"/>
          <w:w w:val="105"/>
        </w:rPr>
        <w:t> </w:t>
      </w:r>
      <w:r>
        <w:rPr>
          <w:color w:val="231F20"/>
          <w:w w:val="105"/>
        </w:rPr>
        <w:t>Comunque,</w:t>
      </w:r>
      <w:r>
        <w:rPr>
          <w:color w:val="231F20"/>
          <w:spacing w:val="-11"/>
          <w:w w:val="105"/>
        </w:rPr>
        <w:t> </w:t>
      </w:r>
      <w:r>
        <w:rPr>
          <w:color w:val="231F20"/>
          <w:w w:val="105"/>
        </w:rPr>
        <w:t>come</w:t>
      </w:r>
      <w:r>
        <w:rPr>
          <w:color w:val="231F20"/>
          <w:spacing w:val="-11"/>
          <w:w w:val="105"/>
        </w:rPr>
        <w:t> </w:t>
      </w:r>
      <w:r>
        <w:rPr>
          <w:color w:val="231F20"/>
          <w:w w:val="105"/>
        </w:rPr>
        <w:t>ben</w:t>
      </w:r>
      <w:r>
        <w:rPr>
          <w:color w:val="231F20"/>
          <w:spacing w:val="-11"/>
          <w:w w:val="105"/>
        </w:rPr>
        <w:t> </w:t>
      </w:r>
      <w:r>
        <w:rPr>
          <w:color w:val="231F20"/>
          <w:w w:val="105"/>
        </w:rPr>
        <w:t>segnala</w:t>
      </w:r>
      <w:r>
        <w:rPr>
          <w:color w:val="231F20"/>
          <w:spacing w:val="-11"/>
          <w:w w:val="105"/>
        </w:rPr>
        <w:t> </w:t>
      </w:r>
      <w:r>
        <w:rPr>
          <w:color w:val="231F20"/>
          <w:w w:val="105"/>
        </w:rPr>
        <w:t>Pier</w:t>
      </w:r>
      <w:r>
        <w:rPr>
          <w:color w:val="231F20"/>
          <w:spacing w:val="-11"/>
          <w:w w:val="105"/>
        </w:rPr>
        <w:t> </w:t>
      </w:r>
      <w:r>
        <w:rPr>
          <w:color w:val="231F20"/>
          <w:w w:val="105"/>
        </w:rPr>
        <w:t>Paolo Portinaro</w:t>
      </w:r>
      <w:r>
        <w:rPr>
          <w:color w:val="231F20"/>
          <w:w w:val="105"/>
          <w:position w:val="7"/>
          <w:sz w:val="12"/>
        </w:rPr>
        <w:t>48</w:t>
      </w:r>
      <w:r>
        <w:rPr>
          <w:color w:val="231F20"/>
          <w:w w:val="105"/>
        </w:rPr>
        <w:t>,</w:t>
      </w:r>
    </w:p>
    <w:p>
      <w:pPr>
        <w:pStyle w:val="BodyText"/>
        <w:spacing w:before="10"/>
        <w:rPr>
          <w:sz w:val="22"/>
        </w:rPr>
      </w:pPr>
    </w:p>
    <w:p>
      <w:pPr>
        <w:spacing w:line="220" w:lineRule="exact" w:before="1"/>
        <w:ind w:left="1521" w:right="107" w:firstLine="0"/>
        <w:jc w:val="both"/>
        <w:rPr>
          <w:sz w:val="19"/>
        </w:rPr>
      </w:pPr>
      <w:r>
        <w:rPr>
          <w:color w:val="231F20"/>
          <w:sz w:val="19"/>
        </w:rPr>
        <w:t>Però ne la prospettiva delle nuove forme di Stato </w:t>
      </w:r>
      <w:r>
        <w:rPr>
          <w:color w:val="231F20"/>
          <w:spacing w:val="2"/>
          <w:sz w:val="19"/>
        </w:rPr>
        <w:t>tecnocratico </w:t>
      </w:r>
      <w:r>
        <w:rPr>
          <w:color w:val="231F20"/>
          <w:sz w:val="19"/>
        </w:rPr>
        <w:t>transnazionale ne quella di uno Stato costituzionale che si apre </w:t>
      </w:r>
      <w:r>
        <w:rPr>
          <w:color w:val="231F20"/>
          <w:spacing w:val="3"/>
          <w:sz w:val="19"/>
        </w:rPr>
        <w:t>alle dimensioni internazionali appaiono </w:t>
      </w:r>
      <w:r>
        <w:rPr>
          <w:color w:val="231F20"/>
          <w:sz w:val="19"/>
        </w:rPr>
        <w:t>in </w:t>
      </w:r>
      <w:r>
        <w:rPr>
          <w:color w:val="231F20"/>
          <w:spacing w:val="3"/>
          <w:sz w:val="19"/>
        </w:rPr>
        <w:t>qualsiasi </w:t>
      </w:r>
      <w:r>
        <w:rPr>
          <w:color w:val="231F20"/>
          <w:spacing w:val="4"/>
          <w:sz w:val="19"/>
        </w:rPr>
        <w:t>contesto </w:t>
      </w:r>
      <w:r>
        <w:rPr>
          <w:color w:val="231F20"/>
          <w:sz w:val="19"/>
        </w:rPr>
        <w:t>culturale e qualsiasi area del mondo come promettenti. </w:t>
      </w:r>
      <w:r>
        <w:rPr>
          <w:color w:val="231F20"/>
          <w:spacing w:val="-5"/>
          <w:sz w:val="19"/>
        </w:rPr>
        <w:t>Tanto </w:t>
      </w:r>
      <w:r>
        <w:rPr>
          <w:color w:val="231F20"/>
          <w:sz w:val="19"/>
        </w:rPr>
        <w:t>le capacità d’integrazione delle comunità nazionali come le risorse  di razionalizzazione delle istituzioni sono limitate e soggette a un esaurimento, soprattutto quando cresce l’incertezza degli attori sociali</w:t>
      </w:r>
      <w:r>
        <w:rPr>
          <w:color w:val="231F20"/>
          <w:spacing w:val="-14"/>
          <w:sz w:val="19"/>
        </w:rPr>
        <w:t> </w:t>
      </w:r>
      <w:r>
        <w:rPr>
          <w:color w:val="231F20"/>
          <w:sz w:val="19"/>
        </w:rPr>
        <w:t>e</w:t>
      </w:r>
      <w:r>
        <w:rPr>
          <w:color w:val="231F20"/>
          <w:spacing w:val="-14"/>
          <w:sz w:val="19"/>
        </w:rPr>
        <w:t> </w:t>
      </w:r>
      <w:r>
        <w:rPr>
          <w:color w:val="231F20"/>
          <w:sz w:val="19"/>
        </w:rPr>
        <w:t>politici.</w:t>
      </w:r>
      <w:r>
        <w:rPr>
          <w:color w:val="231F20"/>
          <w:spacing w:val="-11"/>
          <w:sz w:val="19"/>
        </w:rPr>
        <w:t> </w:t>
      </w:r>
      <w:r>
        <w:rPr>
          <w:color w:val="231F20"/>
          <w:sz w:val="19"/>
        </w:rPr>
        <w:t>È</w:t>
      </w:r>
      <w:r>
        <w:rPr>
          <w:color w:val="231F20"/>
          <w:spacing w:val="-12"/>
          <w:sz w:val="19"/>
        </w:rPr>
        <w:t> </w:t>
      </w:r>
      <w:r>
        <w:rPr>
          <w:color w:val="231F20"/>
          <w:sz w:val="19"/>
        </w:rPr>
        <w:t>difficile</w:t>
      </w:r>
      <w:r>
        <w:rPr>
          <w:color w:val="231F20"/>
          <w:spacing w:val="-14"/>
          <w:sz w:val="19"/>
        </w:rPr>
        <w:t> </w:t>
      </w:r>
      <w:r>
        <w:rPr>
          <w:color w:val="231F20"/>
          <w:sz w:val="19"/>
        </w:rPr>
        <w:t>che</w:t>
      </w:r>
      <w:r>
        <w:rPr>
          <w:color w:val="231F20"/>
          <w:spacing w:val="-14"/>
          <w:sz w:val="19"/>
        </w:rPr>
        <w:t> </w:t>
      </w:r>
      <w:r>
        <w:rPr>
          <w:color w:val="231F20"/>
          <w:sz w:val="19"/>
        </w:rPr>
        <w:t>il</w:t>
      </w:r>
      <w:r>
        <w:rPr>
          <w:color w:val="231F20"/>
          <w:spacing w:val="-14"/>
          <w:sz w:val="19"/>
        </w:rPr>
        <w:t> </w:t>
      </w:r>
      <w:r>
        <w:rPr>
          <w:color w:val="231F20"/>
          <w:spacing w:val="-3"/>
          <w:sz w:val="19"/>
        </w:rPr>
        <w:t>problema</w:t>
      </w:r>
      <w:r>
        <w:rPr>
          <w:color w:val="231F20"/>
          <w:spacing w:val="-14"/>
          <w:sz w:val="19"/>
        </w:rPr>
        <w:t> </w:t>
      </w:r>
      <w:r>
        <w:rPr>
          <w:color w:val="231F20"/>
          <w:sz w:val="19"/>
        </w:rPr>
        <w:t>dell’eccesso</w:t>
      </w:r>
      <w:r>
        <w:rPr>
          <w:color w:val="231F20"/>
          <w:spacing w:val="-14"/>
          <w:sz w:val="19"/>
        </w:rPr>
        <w:t> </w:t>
      </w:r>
      <w:r>
        <w:rPr>
          <w:color w:val="231F20"/>
          <w:sz w:val="19"/>
        </w:rPr>
        <w:t>d’astrazione che patiscono oggi gli Stati occidentali agli occhi dei loro cittadini (e</w:t>
      </w:r>
      <w:r>
        <w:rPr>
          <w:color w:val="231F20"/>
          <w:spacing w:val="-10"/>
          <w:sz w:val="19"/>
        </w:rPr>
        <w:t> </w:t>
      </w:r>
      <w:r>
        <w:rPr>
          <w:color w:val="231F20"/>
          <w:sz w:val="19"/>
        </w:rPr>
        <w:t>davanti</w:t>
      </w:r>
      <w:r>
        <w:rPr>
          <w:color w:val="231F20"/>
          <w:spacing w:val="-10"/>
          <w:sz w:val="19"/>
        </w:rPr>
        <w:t> </w:t>
      </w:r>
      <w:r>
        <w:rPr>
          <w:color w:val="231F20"/>
          <w:sz w:val="19"/>
        </w:rPr>
        <w:t>a</w:t>
      </w:r>
      <w:r>
        <w:rPr>
          <w:color w:val="231F20"/>
          <w:spacing w:val="-10"/>
          <w:sz w:val="19"/>
        </w:rPr>
        <w:t> </w:t>
      </w:r>
      <w:r>
        <w:rPr>
          <w:color w:val="231F20"/>
          <w:sz w:val="19"/>
        </w:rPr>
        <w:t>quelli</w:t>
      </w:r>
      <w:r>
        <w:rPr>
          <w:color w:val="231F20"/>
          <w:spacing w:val="-10"/>
          <w:sz w:val="19"/>
        </w:rPr>
        <w:t> </w:t>
      </w:r>
      <w:r>
        <w:rPr>
          <w:color w:val="231F20"/>
          <w:sz w:val="19"/>
        </w:rPr>
        <w:t>che</w:t>
      </w:r>
      <w:r>
        <w:rPr>
          <w:color w:val="231F20"/>
          <w:spacing w:val="-10"/>
          <w:sz w:val="19"/>
        </w:rPr>
        <w:t> </w:t>
      </w:r>
      <w:r>
        <w:rPr>
          <w:color w:val="231F20"/>
          <w:sz w:val="19"/>
        </w:rPr>
        <w:t>lottano</w:t>
      </w:r>
      <w:r>
        <w:rPr>
          <w:color w:val="231F20"/>
          <w:spacing w:val="-10"/>
          <w:sz w:val="19"/>
        </w:rPr>
        <w:t> </w:t>
      </w:r>
      <w:r>
        <w:rPr>
          <w:color w:val="231F20"/>
          <w:sz w:val="19"/>
        </w:rPr>
        <w:t>per</w:t>
      </w:r>
      <w:r>
        <w:rPr>
          <w:color w:val="231F20"/>
          <w:spacing w:val="-10"/>
          <w:sz w:val="19"/>
        </w:rPr>
        <w:t> </w:t>
      </w:r>
      <w:r>
        <w:rPr>
          <w:color w:val="231F20"/>
          <w:sz w:val="19"/>
        </w:rPr>
        <w:t>l’inclusione)</w:t>
      </w:r>
      <w:r>
        <w:rPr>
          <w:color w:val="231F20"/>
          <w:spacing w:val="-10"/>
          <w:sz w:val="19"/>
        </w:rPr>
        <w:t> </w:t>
      </w:r>
      <w:r>
        <w:rPr>
          <w:color w:val="231F20"/>
          <w:sz w:val="19"/>
        </w:rPr>
        <w:t>possa</w:t>
      </w:r>
      <w:r>
        <w:rPr>
          <w:color w:val="231F20"/>
          <w:spacing w:val="-10"/>
          <w:sz w:val="19"/>
        </w:rPr>
        <w:t> </w:t>
      </w:r>
      <w:r>
        <w:rPr>
          <w:color w:val="231F20"/>
          <w:sz w:val="19"/>
        </w:rPr>
        <w:t>essere</w:t>
      </w:r>
      <w:r>
        <w:rPr>
          <w:color w:val="231F20"/>
          <w:spacing w:val="-10"/>
          <w:sz w:val="19"/>
        </w:rPr>
        <w:t> </w:t>
      </w:r>
      <w:r>
        <w:rPr>
          <w:color w:val="231F20"/>
          <w:sz w:val="19"/>
        </w:rPr>
        <w:t>risolto con</w:t>
      </w:r>
      <w:r>
        <w:rPr>
          <w:color w:val="231F20"/>
          <w:spacing w:val="-14"/>
          <w:sz w:val="19"/>
        </w:rPr>
        <w:t> </w:t>
      </w:r>
      <w:r>
        <w:rPr>
          <w:color w:val="231F20"/>
          <w:sz w:val="19"/>
        </w:rPr>
        <w:t>una</w:t>
      </w:r>
      <w:r>
        <w:rPr>
          <w:color w:val="231F20"/>
          <w:spacing w:val="-14"/>
          <w:sz w:val="19"/>
        </w:rPr>
        <w:t> </w:t>
      </w:r>
      <w:r>
        <w:rPr>
          <w:color w:val="231F20"/>
          <w:sz w:val="19"/>
        </w:rPr>
        <w:t>semplice</w:t>
      </w:r>
      <w:r>
        <w:rPr>
          <w:color w:val="231F20"/>
          <w:spacing w:val="-14"/>
          <w:sz w:val="19"/>
        </w:rPr>
        <w:t> </w:t>
      </w:r>
      <w:r>
        <w:rPr>
          <w:color w:val="231F20"/>
          <w:sz w:val="19"/>
        </w:rPr>
        <w:t>rinazionalizzazione</w:t>
      </w:r>
      <w:r>
        <w:rPr>
          <w:color w:val="231F20"/>
          <w:spacing w:val="-14"/>
          <w:sz w:val="19"/>
        </w:rPr>
        <w:t> </w:t>
      </w:r>
      <w:r>
        <w:rPr>
          <w:color w:val="231F20"/>
          <w:sz w:val="19"/>
        </w:rPr>
        <w:t>delle</w:t>
      </w:r>
      <w:r>
        <w:rPr>
          <w:color w:val="231F20"/>
          <w:spacing w:val="-14"/>
          <w:sz w:val="19"/>
        </w:rPr>
        <w:t> </w:t>
      </w:r>
      <w:r>
        <w:rPr>
          <w:color w:val="231F20"/>
          <w:sz w:val="19"/>
        </w:rPr>
        <w:t>politiche</w:t>
      </w:r>
      <w:r>
        <w:rPr>
          <w:color w:val="231F20"/>
          <w:spacing w:val="-14"/>
          <w:sz w:val="19"/>
        </w:rPr>
        <w:t> </w:t>
      </w:r>
      <w:r>
        <w:rPr>
          <w:color w:val="231F20"/>
          <w:sz w:val="19"/>
        </w:rPr>
        <w:t>o</w:t>
      </w:r>
      <w:r>
        <w:rPr>
          <w:color w:val="231F20"/>
          <w:spacing w:val="-14"/>
          <w:sz w:val="19"/>
        </w:rPr>
        <w:t> </w:t>
      </w:r>
      <w:r>
        <w:rPr>
          <w:color w:val="231F20"/>
          <w:sz w:val="19"/>
        </w:rPr>
        <w:t>bene</w:t>
      </w:r>
      <w:r>
        <w:rPr>
          <w:color w:val="231F20"/>
          <w:spacing w:val="-14"/>
          <w:sz w:val="19"/>
        </w:rPr>
        <w:t> </w:t>
      </w:r>
      <w:r>
        <w:rPr>
          <w:color w:val="231F20"/>
          <w:sz w:val="19"/>
        </w:rPr>
        <w:t>salvarsi dirigendosi verso un’ordine burocratica suvranazionale</w:t>
      </w:r>
      <w:r>
        <w:rPr>
          <w:color w:val="231F20"/>
          <w:spacing w:val="12"/>
          <w:sz w:val="19"/>
        </w:rPr>
        <w:t> </w:t>
      </w:r>
      <w:r>
        <w:rPr>
          <w:color w:val="231F20"/>
          <w:sz w:val="19"/>
        </w:rPr>
        <w:t>[…].</w:t>
      </w:r>
    </w:p>
    <w:p>
      <w:pPr>
        <w:pStyle w:val="BodyText"/>
        <w:spacing w:before="11"/>
        <w:rPr>
          <w:sz w:val="23"/>
        </w:rPr>
      </w:pPr>
    </w:p>
    <w:p>
      <w:pPr>
        <w:pStyle w:val="BodyText"/>
        <w:spacing w:line="247" w:lineRule="auto"/>
        <w:ind w:left="103" w:right="107"/>
        <w:jc w:val="both"/>
      </w:pPr>
      <w:r>
        <w:rPr>
          <w:color w:val="231F20"/>
          <w:spacing w:val="4"/>
        </w:rPr>
        <w:t>Per conto suo, </w:t>
      </w:r>
      <w:r>
        <w:rPr>
          <w:color w:val="231F20"/>
          <w:spacing w:val="5"/>
        </w:rPr>
        <w:t>questo </w:t>
      </w:r>
      <w:r>
        <w:rPr>
          <w:color w:val="231F20"/>
          <w:spacing w:val="4"/>
        </w:rPr>
        <w:t>problema </w:t>
      </w:r>
      <w:r>
        <w:rPr>
          <w:color w:val="231F20"/>
          <w:spacing w:val="3"/>
        </w:rPr>
        <w:t>si </w:t>
      </w:r>
      <w:r>
        <w:rPr>
          <w:color w:val="231F20"/>
          <w:spacing w:val="4"/>
        </w:rPr>
        <w:t>relaziona con </w:t>
      </w:r>
      <w:r>
        <w:rPr>
          <w:color w:val="231F20"/>
          <w:spacing w:val="3"/>
        </w:rPr>
        <w:t>la </w:t>
      </w:r>
      <w:r>
        <w:rPr>
          <w:color w:val="231F20"/>
          <w:spacing w:val="4"/>
        </w:rPr>
        <w:t>sindrome </w:t>
      </w:r>
      <w:r>
        <w:rPr>
          <w:color w:val="231F20"/>
          <w:spacing w:val="6"/>
        </w:rPr>
        <w:t>della</w:t>
      </w:r>
      <w:r>
        <w:rPr>
          <w:color w:val="231F20"/>
          <w:spacing w:val="77"/>
        </w:rPr>
        <w:t> </w:t>
      </w:r>
      <w:r>
        <w:rPr>
          <w:color w:val="231F20"/>
        </w:rPr>
        <w:t>modernizzazione istituzionale che pretendeva in alcuni casi, come lo sono </w:t>
      </w:r>
      <w:r>
        <w:rPr>
          <w:color w:val="231F20"/>
          <w:spacing w:val="3"/>
        </w:rPr>
        <w:t>state alcune esperienze politiche </w:t>
      </w:r>
      <w:r>
        <w:rPr>
          <w:color w:val="231F20"/>
        </w:rPr>
        <w:t>in </w:t>
      </w:r>
      <w:r>
        <w:rPr>
          <w:color w:val="231F20"/>
          <w:spacing w:val="3"/>
        </w:rPr>
        <w:t>Africa, </w:t>
      </w:r>
      <w:r>
        <w:rPr>
          <w:color w:val="231F20"/>
          <w:spacing w:val="2"/>
        </w:rPr>
        <w:t>erodere </w:t>
      </w:r>
      <w:r>
        <w:rPr>
          <w:color w:val="231F20"/>
        </w:rPr>
        <w:t>il </w:t>
      </w:r>
      <w:r>
        <w:rPr>
          <w:color w:val="231F20"/>
          <w:spacing w:val="3"/>
        </w:rPr>
        <w:t>fenomeno </w:t>
      </w:r>
      <w:r>
        <w:rPr>
          <w:color w:val="231F20"/>
          <w:spacing w:val="4"/>
        </w:rPr>
        <w:t>della </w:t>
      </w:r>
      <w:r>
        <w:rPr>
          <w:color w:val="231F20"/>
        </w:rPr>
        <w:t>dipendenza storica che si trovava articolata nell’eredità del colonialismo insieme alla rottura delle forme di patrimonialismo endemico. Questa era la precondizione per liberalizzare l’arena política attraverso il pluralismo partitista mirando a stabilire le condizioni per la concorrenza per i voti e i posti di rappresentanza di fronte al incistamento politico dei “baroni” che non potevano essere semplicemente “rifiutati”, dato che erano un fattore rilevante d’integrazione</w:t>
      </w:r>
      <w:r>
        <w:rPr>
          <w:color w:val="231F20"/>
          <w:spacing w:val="41"/>
        </w:rPr>
        <w:t> </w:t>
      </w:r>
      <w:r>
        <w:rPr>
          <w:color w:val="231F20"/>
        </w:rPr>
        <w:t>locale</w:t>
      </w:r>
      <w:r>
        <w:rPr>
          <w:color w:val="231F20"/>
          <w:position w:val="7"/>
          <w:sz w:val="12"/>
        </w:rPr>
        <w:t>49</w:t>
      </w:r>
      <w:r>
        <w:rPr>
          <w:color w:val="231F20"/>
        </w:rPr>
        <w:t>.</w:t>
      </w:r>
    </w:p>
    <w:p>
      <w:pPr>
        <w:pStyle w:val="BodyText"/>
        <w:spacing w:line="247" w:lineRule="auto"/>
        <w:ind w:left="103" w:right="115" w:firstLine="566"/>
        <w:jc w:val="both"/>
      </w:pPr>
      <w:r>
        <w:rPr>
          <w:color w:val="231F20"/>
        </w:rPr>
        <w:t>Invece, se osserviamo il subcontinente latinoamericano, in un primo momento</w:t>
      </w:r>
      <w:r>
        <w:rPr>
          <w:color w:val="231F20"/>
          <w:spacing w:val="-21"/>
        </w:rPr>
        <w:t> </w:t>
      </w:r>
      <w:r>
        <w:rPr>
          <w:color w:val="231F20"/>
        </w:rPr>
        <w:t>l’ondata</w:t>
      </w:r>
      <w:r>
        <w:rPr>
          <w:color w:val="231F20"/>
          <w:spacing w:val="-21"/>
        </w:rPr>
        <w:t> </w:t>
      </w:r>
      <w:r>
        <w:rPr>
          <w:color w:val="231F20"/>
        </w:rPr>
        <w:t>di</w:t>
      </w:r>
      <w:r>
        <w:rPr>
          <w:color w:val="231F20"/>
          <w:spacing w:val="-21"/>
        </w:rPr>
        <w:t> </w:t>
      </w:r>
      <w:r>
        <w:rPr>
          <w:color w:val="231F20"/>
        </w:rPr>
        <w:t>modernizzazione</w:t>
      </w:r>
      <w:r>
        <w:rPr>
          <w:color w:val="231F20"/>
          <w:spacing w:val="-21"/>
        </w:rPr>
        <w:t> </w:t>
      </w:r>
      <w:r>
        <w:rPr>
          <w:color w:val="231F20"/>
        </w:rPr>
        <w:t>istituzionale</w:t>
      </w:r>
      <w:r>
        <w:rPr>
          <w:color w:val="231F20"/>
          <w:spacing w:val="-21"/>
        </w:rPr>
        <w:t> </w:t>
      </w:r>
      <w:r>
        <w:rPr>
          <w:color w:val="231F20"/>
        </w:rPr>
        <w:t>si</w:t>
      </w:r>
      <w:r>
        <w:rPr>
          <w:color w:val="231F20"/>
          <w:spacing w:val="-16"/>
        </w:rPr>
        <w:t> </w:t>
      </w:r>
      <w:r>
        <w:rPr>
          <w:color w:val="231F20"/>
        </w:rPr>
        <w:t>è</w:t>
      </w:r>
      <w:r>
        <w:rPr>
          <w:color w:val="231F20"/>
          <w:spacing w:val="-21"/>
        </w:rPr>
        <w:t> </w:t>
      </w:r>
      <w:r>
        <w:rPr>
          <w:color w:val="231F20"/>
        </w:rPr>
        <w:t>centrata</w:t>
      </w:r>
      <w:r>
        <w:rPr>
          <w:color w:val="231F20"/>
          <w:spacing w:val="-21"/>
        </w:rPr>
        <w:t> </w:t>
      </w:r>
      <w:r>
        <w:rPr>
          <w:color w:val="231F20"/>
        </w:rPr>
        <w:t>negli</w:t>
      </w:r>
      <w:r>
        <w:rPr>
          <w:color w:val="231F20"/>
          <w:spacing w:val="-21"/>
        </w:rPr>
        <w:t> </w:t>
      </w:r>
      <w:r>
        <w:rPr>
          <w:color w:val="231F20"/>
        </w:rPr>
        <w:t>aspetti economici,</w:t>
      </w:r>
      <w:r>
        <w:rPr>
          <w:color w:val="231F20"/>
          <w:spacing w:val="49"/>
        </w:rPr>
        <w:t> </w:t>
      </w:r>
      <w:r>
        <w:rPr>
          <w:color w:val="231F20"/>
        </w:rPr>
        <w:t>per</w:t>
      </w:r>
      <w:r>
        <w:rPr>
          <w:color w:val="231F20"/>
          <w:spacing w:val="49"/>
        </w:rPr>
        <w:t> </w:t>
      </w:r>
      <w:r>
        <w:rPr>
          <w:color w:val="231F20"/>
        </w:rPr>
        <w:t>dopo</w:t>
      </w:r>
      <w:r>
        <w:rPr>
          <w:color w:val="231F20"/>
          <w:spacing w:val="49"/>
        </w:rPr>
        <w:t> </w:t>
      </w:r>
      <w:r>
        <w:rPr>
          <w:color w:val="231F20"/>
        </w:rPr>
        <w:t>cedere</w:t>
      </w:r>
      <w:r>
        <w:rPr>
          <w:color w:val="231F20"/>
          <w:spacing w:val="49"/>
        </w:rPr>
        <w:t> </w:t>
      </w:r>
      <w:r>
        <w:rPr>
          <w:color w:val="231F20"/>
        </w:rPr>
        <w:t>paso</w:t>
      </w:r>
      <w:r>
        <w:rPr>
          <w:color w:val="231F20"/>
          <w:spacing w:val="49"/>
        </w:rPr>
        <w:t> </w:t>
      </w:r>
      <w:r>
        <w:rPr>
          <w:color w:val="231F20"/>
        </w:rPr>
        <w:t>ai</w:t>
      </w:r>
      <w:r>
        <w:rPr>
          <w:color w:val="231F20"/>
          <w:spacing w:val="49"/>
        </w:rPr>
        <w:t> </w:t>
      </w:r>
      <w:r>
        <w:rPr>
          <w:color w:val="231F20"/>
        </w:rPr>
        <w:t>processi</w:t>
      </w:r>
      <w:r>
        <w:rPr>
          <w:color w:val="231F20"/>
          <w:spacing w:val="49"/>
        </w:rPr>
        <w:t> </w:t>
      </w:r>
      <w:r>
        <w:rPr>
          <w:color w:val="231F20"/>
        </w:rPr>
        <w:t>politici</w:t>
      </w:r>
      <w:r>
        <w:rPr>
          <w:color w:val="231F20"/>
          <w:spacing w:val="49"/>
        </w:rPr>
        <w:t> </w:t>
      </w:r>
      <w:r>
        <w:rPr>
          <w:color w:val="231F20"/>
        </w:rPr>
        <w:t>di</w:t>
      </w:r>
      <w:r>
        <w:rPr>
          <w:color w:val="231F20"/>
          <w:spacing w:val="49"/>
        </w:rPr>
        <w:t> </w:t>
      </w:r>
      <w:r>
        <w:rPr>
          <w:color w:val="231F20"/>
        </w:rPr>
        <w:t>liberalizzazione</w:t>
      </w:r>
    </w:p>
    <w:p>
      <w:pPr>
        <w:pStyle w:val="BodyText"/>
        <w:rPr>
          <w:sz w:val="20"/>
        </w:rPr>
      </w:pPr>
    </w:p>
    <w:p>
      <w:pPr>
        <w:pStyle w:val="BodyText"/>
        <w:spacing w:before="10"/>
        <w:rPr>
          <w:sz w:val="12"/>
        </w:rPr>
      </w:pPr>
      <w:r>
        <w:rPr/>
        <w:pict>
          <v:line style="position:absolute;mso-position-horizontal-relative:page;mso-position-vertical-relative:paragraph;z-index:13792;mso-wrap-distance-left:0;mso-wrap-distance-right:0" from="65.196899pt,9.890176pt" to="178.582899pt,9.890176pt" stroked="true" strokeweight=".3pt" strokecolor="#231f20">
            <w10:wrap type="topAndBottom"/>
          </v:line>
        </w:pict>
      </w:r>
    </w:p>
    <w:p>
      <w:pPr>
        <w:spacing w:line="206" w:lineRule="exact" w:before="10"/>
        <w:ind w:left="103" w:right="0" w:firstLine="0"/>
        <w:jc w:val="left"/>
        <w:rPr>
          <w:rFonts w:ascii="Calibri" w:hAnsi="Calibri"/>
          <w:sz w:val="17"/>
        </w:rPr>
      </w:pPr>
      <w:r>
        <w:rPr>
          <w:rFonts w:ascii="Calibri" w:hAnsi="Calibri"/>
          <w:color w:val="231F20"/>
          <w:position w:val="6"/>
          <w:sz w:val="10"/>
        </w:rPr>
        <w:t>45   </w:t>
      </w:r>
      <w:r>
        <w:rPr>
          <w:rFonts w:ascii="Calibri" w:hAnsi="Calibri"/>
          <w:color w:val="231F20"/>
          <w:sz w:val="17"/>
        </w:rPr>
        <w:t>P. P. Portinaro, </w:t>
      </w:r>
      <w:r>
        <w:rPr>
          <w:rFonts w:ascii="Calibri" w:hAnsi="Calibri"/>
          <w:i/>
          <w:color w:val="231F20"/>
          <w:sz w:val="17"/>
        </w:rPr>
        <w:t>Stato</w:t>
      </w:r>
      <w:r>
        <w:rPr>
          <w:rFonts w:ascii="Calibri" w:hAnsi="Calibri"/>
          <w:color w:val="231F20"/>
          <w:sz w:val="17"/>
        </w:rPr>
        <w:t>, Bolonia, Il Mulino, 1999, pp. 159–168.</w:t>
      </w:r>
    </w:p>
    <w:p>
      <w:pPr>
        <w:spacing w:line="204" w:lineRule="exact" w:before="0"/>
        <w:ind w:left="103" w:right="0" w:firstLine="0"/>
        <w:jc w:val="left"/>
        <w:rPr>
          <w:rFonts w:ascii="Calibri" w:hAnsi="Calibri"/>
          <w:sz w:val="17"/>
        </w:rPr>
      </w:pPr>
      <w:r>
        <w:rPr>
          <w:rFonts w:ascii="Calibri" w:hAnsi="Calibri"/>
          <w:color w:val="231F20"/>
          <w:w w:val="105"/>
          <w:position w:val="6"/>
          <w:sz w:val="10"/>
        </w:rPr>
        <w:t>46 </w:t>
      </w:r>
      <w:r>
        <w:rPr>
          <w:rFonts w:ascii="Calibri" w:hAnsi="Calibri"/>
          <w:color w:val="231F20"/>
          <w:w w:val="105"/>
          <w:sz w:val="17"/>
        </w:rPr>
        <w:t>Sulla riduzione dello Stato sociale, può leggersi una sintesi in Rosanvallon (1995).</w:t>
      </w:r>
    </w:p>
    <w:p>
      <w:pPr>
        <w:spacing w:line="235" w:lineRule="auto" w:before="1"/>
        <w:ind w:left="103" w:right="0" w:firstLine="0"/>
        <w:jc w:val="left"/>
        <w:rPr>
          <w:rFonts w:ascii="Calibri"/>
          <w:sz w:val="17"/>
        </w:rPr>
      </w:pPr>
      <w:r>
        <w:rPr>
          <w:rFonts w:ascii="Calibri"/>
          <w:color w:val="231F20"/>
          <w:position w:val="6"/>
          <w:sz w:val="10"/>
        </w:rPr>
        <w:t>47 </w:t>
      </w:r>
      <w:r>
        <w:rPr>
          <w:rFonts w:ascii="Calibri"/>
          <w:color w:val="231F20"/>
          <w:sz w:val="17"/>
        </w:rPr>
        <w:t>S. Strange, </w:t>
      </w:r>
      <w:r>
        <w:rPr>
          <w:rFonts w:ascii="Calibri"/>
          <w:i/>
          <w:color w:val="231F20"/>
          <w:sz w:val="17"/>
        </w:rPr>
        <w:t>The Retreat of the State. The Diffusion of Power in the World Economy</w:t>
      </w:r>
      <w:r>
        <w:rPr>
          <w:rFonts w:ascii="Calibri"/>
          <w:color w:val="231F20"/>
          <w:sz w:val="17"/>
        </w:rPr>
        <w:t>, Nueva York y Melbourne, Cambrigde University Press, 1996.</w:t>
      </w:r>
    </w:p>
    <w:p>
      <w:pPr>
        <w:spacing w:line="203" w:lineRule="exact" w:before="0"/>
        <w:ind w:left="103" w:right="0" w:firstLine="0"/>
        <w:jc w:val="left"/>
        <w:rPr>
          <w:rFonts w:ascii="Calibri"/>
          <w:sz w:val="17"/>
        </w:rPr>
      </w:pPr>
      <w:r>
        <w:rPr>
          <w:rFonts w:ascii="Calibri"/>
          <w:color w:val="231F20"/>
          <w:position w:val="6"/>
          <w:sz w:val="10"/>
        </w:rPr>
        <w:t>48  </w:t>
      </w:r>
      <w:r>
        <w:rPr>
          <w:rFonts w:ascii="Calibri"/>
          <w:color w:val="231F20"/>
          <w:sz w:val="17"/>
        </w:rPr>
        <w:t>Portinaro, </w:t>
      </w:r>
      <w:r>
        <w:rPr>
          <w:rFonts w:ascii="Calibri"/>
          <w:i/>
          <w:color w:val="231F20"/>
          <w:sz w:val="17"/>
        </w:rPr>
        <w:t>Stato</w:t>
      </w:r>
      <w:r>
        <w:rPr>
          <w:rFonts w:ascii="Calibri"/>
          <w:color w:val="231F20"/>
          <w:sz w:val="17"/>
        </w:rPr>
        <w:t>, p. 168.</w:t>
      </w:r>
    </w:p>
    <w:p>
      <w:pPr>
        <w:spacing w:line="235" w:lineRule="auto" w:before="1"/>
        <w:ind w:left="103" w:right="98" w:firstLine="0"/>
        <w:jc w:val="left"/>
        <w:rPr>
          <w:rFonts w:ascii="Calibri" w:hAnsi="Calibri"/>
          <w:sz w:val="17"/>
        </w:rPr>
      </w:pPr>
      <w:r>
        <w:rPr>
          <w:rFonts w:ascii="Calibri" w:hAnsi="Calibri"/>
          <w:color w:val="231F20"/>
          <w:w w:val="105"/>
          <w:position w:val="6"/>
          <w:sz w:val="10"/>
        </w:rPr>
        <w:t>49 </w:t>
      </w:r>
      <w:r>
        <w:rPr>
          <w:rFonts w:ascii="Calibri" w:hAnsi="Calibri"/>
          <w:color w:val="231F20"/>
          <w:w w:val="105"/>
          <w:sz w:val="17"/>
        </w:rPr>
        <w:t>J. F. Bayart, África en el espejo. Colonización, criminalidad y Estado, México, Fondo de Cultura </w:t>
      </w:r>
      <w:r>
        <w:rPr>
          <w:rFonts w:ascii="Calibri" w:hAnsi="Calibri"/>
          <w:color w:val="231F20"/>
          <w:w w:val="95"/>
          <w:sz w:val="17"/>
        </w:rPr>
        <w:t>Económica, 2011.</w:t>
      </w:r>
    </w:p>
    <w:p>
      <w:pPr>
        <w:pStyle w:val="BodyText"/>
        <w:rPr>
          <w:rFonts w:ascii="Calibri"/>
          <w:sz w:val="20"/>
        </w:rPr>
      </w:pPr>
    </w:p>
    <w:p>
      <w:pPr>
        <w:pStyle w:val="BodyText"/>
        <w:spacing w:before="10"/>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1584"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122</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98" w:lineRule="exact" w:before="52"/>
        <w:ind w:left="0" w:right="0" w:firstLine="0"/>
        <w:jc w:val="right"/>
        <w:rPr>
          <w:rFonts w:ascii="Lucida Sans Unicode" w:hAnsi="Lucida Sans Unicode"/>
          <w:sz w:val="14"/>
        </w:rPr>
      </w:pPr>
      <w:r>
        <w:rPr/>
        <w:pict>
          <v:group style="position:absolute;margin-left:383.821014pt;margin-top:-25.479271pt;width:8.65pt;height:41pt;mso-position-horizontal-relative:page;mso-position-vertical-relative:paragraph;z-index:1386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“L’ESTERNO È SEMPRE DENTRO”. TENSIONI E TRASFORMAZIONI RECENTI NELLO SPAZIO POLITICO</w:t>
      </w:r>
    </w:p>
    <w:p>
      <w:pPr>
        <w:spacing w:line="198" w:lineRule="exact" w:before="0"/>
        <w:ind w:left="0" w:right="0" w:firstLine="0"/>
        <w:jc w:val="right"/>
        <w:rPr>
          <w:rFonts w:ascii="Lucida Sans Unicode"/>
          <w:sz w:val="14"/>
        </w:rPr>
      </w:pPr>
      <w:r>
        <w:rPr>
          <w:rFonts w:ascii="Lucida Sans Unicode"/>
          <w:color w:val="6D6E71"/>
          <w:w w:val="90"/>
          <w:sz w:val="14"/>
        </w:rPr>
        <w:t>DELLO STATO E LA DEMOCRAZIA</w:t>
      </w:r>
    </w:p>
    <w:p>
      <w:pPr>
        <w:spacing w:before="59"/>
        <w:ind w:left="338" w:right="0" w:firstLine="0"/>
        <w:jc w:val="left"/>
        <w:rPr>
          <w:rFonts w:ascii="Trebuchet MS"/>
          <w:sz w:val="20"/>
        </w:rPr>
      </w:pPr>
      <w:r>
        <w:rPr/>
        <w:br w:type="column"/>
      </w:r>
      <w:r>
        <w:rPr>
          <w:rFonts w:ascii="Trebuchet MS"/>
          <w:color w:val="414042"/>
          <w:w w:val="105"/>
          <w:sz w:val="20"/>
        </w:rPr>
        <w:t>123</w:t>
      </w:r>
    </w:p>
    <w:p>
      <w:pPr>
        <w:spacing w:after="0"/>
        <w:jc w:val="left"/>
        <w:rPr>
          <w:rFonts w:ascii="Trebuchet MS"/>
          <w:sz w:val="20"/>
        </w:rPr>
        <w:sectPr>
          <w:type w:val="continuous"/>
          <w:pgSz w:w="9640" w:h="13890"/>
          <w:pgMar w:top="0" w:bottom="0" w:left="1300" w:right="1180"/>
          <w:cols w:num="2" w:equalWidth="0">
            <w:col w:w="6261" w:space="40"/>
            <w:col w:w="859"/>
          </w:cols>
        </w:sectPr>
      </w:pPr>
    </w:p>
    <w:p>
      <w:pPr>
        <w:pStyle w:val="BodyText"/>
        <w:rPr>
          <w:rFonts w:ascii="Trebuchet MS"/>
          <w:sz w:val="20"/>
        </w:rPr>
      </w:pPr>
    </w:p>
    <w:p>
      <w:pPr>
        <w:pStyle w:val="BodyText"/>
        <w:spacing w:before="2"/>
        <w:rPr>
          <w:rFonts w:ascii="Trebuchet MS"/>
          <w:sz w:val="16"/>
        </w:rPr>
      </w:pPr>
    </w:p>
    <w:p>
      <w:pPr>
        <w:pStyle w:val="BodyText"/>
        <w:spacing w:line="247" w:lineRule="auto" w:before="44"/>
        <w:ind w:left="117" w:right="112"/>
        <w:jc w:val="both"/>
      </w:pPr>
      <w:r>
        <w:rPr>
          <w:color w:val="231F20"/>
        </w:rPr>
        <w:t>rivolti verso un porto democratico. Nel contesto latinoamericano degli anni cinquanta e sessanta del secolo </w:t>
      </w:r>
      <w:r>
        <w:rPr>
          <w:color w:val="231F20"/>
          <w:sz w:val="18"/>
        </w:rPr>
        <w:t>XX</w:t>
      </w:r>
      <w:r>
        <w:rPr>
          <w:color w:val="231F20"/>
        </w:rPr>
        <w:t>, la questione dello sviluppo economico era una preoccupazione costante, soprattutto perchè cercavano di definire e</w:t>
      </w:r>
      <w:r>
        <w:rPr>
          <w:color w:val="231F20"/>
          <w:spacing w:val="-15"/>
        </w:rPr>
        <w:t> </w:t>
      </w:r>
      <w:r>
        <w:rPr>
          <w:color w:val="231F20"/>
        </w:rPr>
        <w:t>caratterizzare</w:t>
      </w:r>
      <w:r>
        <w:rPr>
          <w:color w:val="231F20"/>
          <w:spacing w:val="-15"/>
        </w:rPr>
        <w:t> </w:t>
      </w:r>
      <w:r>
        <w:rPr>
          <w:color w:val="231F20"/>
        </w:rPr>
        <w:t>la</w:t>
      </w:r>
      <w:r>
        <w:rPr>
          <w:color w:val="231F20"/>
          <w:spacing w:val="-15"/>
        </w:rPr>
        <w:t> </w:t>
      </w:r>
      <w:r>
        <w:rPr>
          <w:color w:val="231F20"/>
        </w:rPr>
        <w:t>miglior</w:t>
      </w:r>
      <w:r>
        <w:rPr>
          <w:color w:val="231F20"/>
          <w:spacing w:val="-15"/>
        </w:rPr>
        <w:t> </w:t>
      </w:r>
      <w:r>
        <w:rPr>
          <w:color w:val="231F20"/>
        </w:rPr>
        <w:t>forma</w:t>
      </w:r>
      <w:r>
        <w:rPr>
          <w:color w:val="231F20"/>
          <w:spacing w:val="-15"/>
        </w:rPr>
        <w:t> </w:t>
      </w:r>
      <w:r>
        <w:rPr>
          <w:color w:val="231F20"/>
        </w:rPr>
        <w:t>possibile</w:t>
      </w:r>
      <w:r>
        <w:rPr>
          <w:color w:val="231F20"/>
          <w:spacing w:val="-15"/>
        </w:rPr>
        <w:t> </w:t>
      </w:r>
      <w:r>
        <w:rPr>
          <w:color w:val="231F20"/>
        </w:rPr>
        <w:t>dell’idea</w:t>
      </w:r>
      <w:r>
        <w:rPr>
          <w:color w:val="231F20"/>
          <w:spacing w:val="-15"/>
        </w:rPr>
        <w:t> </w:t>
      </w:r>
      <w:r>
        <w:rPr>
          <w:color w:val="231F20"/>
        </w:rPr>
        <w:t>ricorrente</w:t>
      </w:r>
      <w:r>
        <w:rPr>
          <w:color w:val="231F20"/>
          <w:spacing w:val="-15"/>
        </w:rPr>
        <w:t> </w:t>
      </w:r>
      <w:r>
        <w:rPr>
          <w:color w:val="231F20"/>
        </w:rPr>
        <w:t>in</w:t>
      </w:r>
      <w:r>
        <w:rPr>
          <w:color w:val="231F20"/>
          <w:spacing w:val="-15"/>
        </w:rPr>
        <w:t> </w:t>
      </w:r>
      <w:r>
        <w:rPr>
          <w:color w:val="231F20"/>
        </w:rPr>
        <w:t>quelli</w:t>
      </w:r>
      <w:r>
        <w:rPr>
          <w:color w:val="231F20"/>
          <w:spacing w:val="-15"/>
        </w:rPr>
        <w:t> </w:t>
      </w:r>
      <w:r>
        <w:rPr>
          <w:color w:val="231F20"/>
        </w:rPr>
        <w:t>anni</w:t>
      </w:r>
      <w:r>
        <w:rPr>
          <w:color w:val="231F20"/>
          <w:spacing w:val="-15"/>
        </w:rPr>
        <w:t> </w:t>
      </w:r>
      <w:r>
        <w:rPr>
          <w:color w:val="231F20"/>
        </w:rPr>
        <w:t>di una</w:t>
      </w:r>
      <w:r>
        <w:rPr>
          <w:color w:val="231F20"/>
          <w:spacing w:val="-9"/>
        </w:rPr>
        <w:t> </w:t>
      </w:r>
      <w:r>
        <w:rPr>
          <w:color w:val="231F20"/>
        </w:rPr>
        <w:t>modernità</w:t>
      </w:r>
      <w:r>
        <w:rPr>
          <w:color w:val="231F20"/>
          <w:spacing w:val="-9"/>
        </w:rPr>
        <w:t> </w:t>
      </w:r>
      <w:r>
        <w:rPr>
          <w:color w:val="231F20"/>
        </w:rPr>
        <w:t>incompiuta,</w:t>
      </w:r>
      <w:r>
        <w:rPr>
          <w:color w:val="231F20"/>
          <w:spacing w:val="-9"/>
        </w:rPr>
        <w:t> </w:t>
      </w:r>
      <w:r>
        <w:rPr>
          <w:color w:val="231F20"/>
        </w:rPr>
        <w:t>insieme</w:t>
      </w:r>
      <w:r>
        <w:rPr>
          <w:color w:val="231F20"/>
          <w:spacing w:val="-9"/>
        </w:rPr>
        <w:t> </w:t>
      </w:r>
      <w:r>
        <w:rPr>
          <w:color w:val="231F20"/>
        </w:rPr>
        <w:t>a</w:t>
      </w:r>
      <w:r>
        <w:rPr>
          <w:color w:val="231F20"/>
          <w:spacing w:val="-9"/>
        </w:rPr>
        <w:t> </w:t>
      </w:r>
      <w:r>
        <w:rPr>
          <w:color w:val="231F20"/>
        </w:rPr>
        <w:t>una</w:t>
      </w:r>
      <w:r>
        <w:rPr>
          <w:color w:val="231F20"/>
          <w:spacing w:val="-9"/>
        </w:rPr>
        <w:t> </w:t>
      </w:r>
      <w:r>
        <w:rPr>
          <w:color w:val="231F20"/>
        </w:rPr>
        <w:t>modernizzazione</w:t>
      </w:r>
      <w:r>
        <w:rPr>
          <w:color w:val="231F20"/>
          <w:spacing w:val="-9"/>
        </w:rPr>
        <w:t> </w:t>
      </w:r>
      <w:r>
        <w:rPr>
          <w:color w:val="231F20"/>
        </w:rPr>
        <w:t>fratturata,</w:t>
      </w:r>
      <w:r>
        <w:rPr>
          <w:color w:val="231F20"/>
          <w:spacing w:val="-9"/>
        </w:rPr>
        <w:t> </w:t>
      </w:r>
      <w:r>
        <w:rPr>
          <w:color w:val="231F20"/>
        </w:rPr>
        <w:t>o</w:t>
      </w:r>
      <w:r>
        <w:rPr>
          <w:color w:val="231F20"/>
          <w:spacing w:val="-9"/>
        </w:rPr>
        <w:t> </w:t>
      </w:r>
      <w:r>
        <w:rPr>
          <w:color w:val="231F20"/>
        </w:rPr>
        <w:t>nel migliore dei casi, </w:t>
      </w:r>
      <w:r>
        <w:rPr>
          <w:rFonts w:ascii="Arial" w:hAnsi="Arial"/>
          <w:i/>
          <w:color w:val="231F20"/>
        </w:rPr>
        <w:t>sui generis</w:t>
      </w:r>
      <w:r>
        <w:rPr>
          <w:color w:val="231F20"/>
        </w:rPr>
        <w:t>. Quello che si voleva era pensare all’America Latina“da</w:t>
      </w:r>
      <w:r>
        <w:rPr>
          <w:color w:val="231F20"/>
          <w:spacing w:val="-12"/>
        </w:rPr>
        <w:t> </w:t>
      </w:r>
      <w:r>
        <w:rPr>
          <w:color w:val="231F20"/>
        </w:rPr>
        <w:t>un</w:t>
      </w:r>
      <w:r>
        <w:rPr>
          <w:color w:val="231F20"/>
          <w:spacing w:val="-12"/>
        </w:rPr>
        <w:t> </w:t>
      </w:r>
      <w:r>
        <w:rPr>
          <w:color w:val="231F20"/>
        </w:rPr>
        <w:t>luogo”</w:t>
      </w:r>
      <w:r>
        <w:rPr>
          <w:color w:val="231F20"/>
          <w:spacing w:val="-12"/>
        </w:rPr>
        <w:t> </w:t>
      </w:r>
      <w:r>
        <w:rPr>
          <w:color w:val="231F20"/>
        </w:rPr>
        <w:t>perchè</w:t>
      </w:r>
      <w:r>
        <w:rPr>
          <w:color w:val="231F20"/>
          <w:spacing w:val="-12"/>
        </w:rPr>
        <w:t> </w:t>
      </w:r>
      <w:r>
        <w:rPr>
          <w:color w:val="231F20"/>
        </w:rPr>
        <w:t>fosse</w:t>
      </w:r>
      <w:r>
        <w:rPr>
          <w:color w:val="231F20"/>
          <w:spacing w:val="-12"/>
        </w:rPr>
        <w:t> </w:t>
      </w:r>
      <w:r>
        <w:rPr>
          <w:color w:val="231F20"/>
        </w:rPr>
        <w:t>possibile</w:t>
      </w:r>
      <w:r>
        <w:rPr>
          <w:color w:val="231F20"/>
          <w:spacing w:val="-12"/>
        </w:rPr>
        <w:t> </w:t>
      </w:r>
      <w:r>
        <w:rPr>
          <w:color w:val="231F20"/>
          <w:spacing w:val="-3"/>
        </w:rPr>
        <w:t>abbozzare</w:t>
      </w:r>
      <w:r>
        <w:rPr>
          <w:color w:val="231F20"/>
          <w:spacing w:val="-12"/>
        </w:rPr>
        <w:t> </w:t>
      </w:r>
      <w:r>
        <w:rPr>
          <w:color w:val="231F20"/>
        </w:rPr>
        <w:t>le</w:t>
      </w:r>
      <w:r>
        <w:rPr>
          <w:color w:val="231F20"/>
          <w:spacing w:val="-12"/>
        </w:rPr>
        <w:t> </w:t>
      </w:r>
      <w:r>
        <w:rPr>
          <w:color w:val="231F20"/>
        </w:rPr>
        <w:t>facce</w:t>
      </w:r>
      <w:r>
        <w:rPr>
          <w:color w:val="231F20"/>
          <w:spacing w:val="-8"/>
        </w:rPr>
        <w:t> </w:t>
      </w:r>
      <w:r>
        <w:rPr>
          <w:color w:val="231F20"/>
        </w:rPr>
        <w:t>più</w:t>
      </w:r>
      <w:r>
        <w:rPr>
          <w:color w:val="231F20"/>
          <w:spacing w:val="-12"/>
        </w:rPr>
        <w:t> </w:t>
      </w:r>
      <w:r>
        <w:rPr>
          <w:color w:val="231F20"/>
        </w:rPr>
        <w:t>visibili</w:t>
      </w:r>
      <w:r>
        <w:rPr>
          <w:color w:val="231F20"/>
          <w:spacing w:val="-12"/>
        </w:rPr>
        <w:t> </w:t>
      </w:r>
      <w:r>
        <w:rPr>
          <w:color w:val="231F20"/>
          <w:spacing w:val="-2"/>
        </w:rPr>
        <w:t>dei </w:t>
      </w:r>
      <w:r>
        <w:rPr>
          <w:color w:val="231F20"/>
          <w:spacing w:val="-3"/>
        </w:rPr>
        <w:t>grandi </w:t>
      </w:r>
      <w:r>
        <w:rPr>
          <w:color w:val="231F20"/>
          <w:spacing w:val="-4"/>
        </w:rPr>
        <w:t>problema </w:t>
      </w:r>
      <w:r>
        <w:rPr>
          <w:color w:val="231F20"/>
        </w:rPr>
        <w:t>che lo </w:t>
      </w:r>
      <w:r>
        <w:rPr>
          <w:color w:val="231F20"/>
          <w:spacing w:val="-3"/>
        </w:rPr>
        <w:t>Stato aveva quando </w:t>
      </w:r>
      <w:r>
        <w:rPr>
          <w:color w:val="231F20"/>
          <w:spacing w:val="-4"/>
        </w:rPr>
        <w:t>pretendeva essere </w:t>
      </w:r>
      <w:r>
        <w:rPr>
          <w:color w:val="231F20"/>
          <w:spacing w:val="-3"/>
        </w:rPr>
        <w:t>modernizzato </w:t>
      </w:r>
      <w:r>
        <w:rPr>
          <w:color w:val="231F20"/>
        </w:rPr>
        <w:t>nel</w:t>
      </w:r>
      <w:r>
        <w:rPr>
          <w:color w:val="231F20"/>
          <w:spacing w:val="-16"/>
        </w:rPr>
        <w:t> </w:t>
      </w:r>
      <w:r>
        <w:rPr>
          <w:color w:val="231F20"/>
        </w:rPr>
        <w:t>suo</w:t>
      </w:r>
      <w:r>
        <w:rPr>
          <w:color w:val="231F20"/>
          <w:spacing w:val="-16"/>
        </w:rPr>
        <w:t> </w:t>
      </w:r>
      <w:r>
        <w:rPr>
          <w:color w:val="231F20"/>
        </w:rPr>
        <w:t>ambiente</w:t>
      </w:r>
      <w:r>
        <w:rPr>
          <w:color w:val="231F20"/>
          <w:spacing w:val="-16"/>
        </w:rPr>
        <w:t> </w:t>
      </w:r>
      <w:r>
        <w:rPr>
          <w:color w:val="231F20"/>
        </w:rPr>
        <w:t>istituzionale</w:t>
      </w:r>
      <w:r>
        <w:rPr>
          <w:color w:val="231F20"/>
          <w:spacing w:val="-16"/>
        </w:rPr>
        <w:t> </w:t>
      </w:r>
      <w:r>
        <w:rPr>
          <w:color w:val="231F20"/>
        </w:rPr>
        <w:t>a</w:t>
      </w:r>
      <w:r>
        <w:rPr>
          <w:color w:val="231F20"/>
          <w:spacing w:val="-16"/>
        </w:rPr>
        <w:t> </w:t>
      </w:r>
      <w:r>
        <w:rPr>
          <w:color w:val="231F20"/>
        </w:rPr>
        <w:t>mezzo</w:t>
      </w:r>
      <w:r>
        <w:rPr>
          <w:color w:val="231F20"/>
          <w:spacing w:val="-16"/>
        </w:rPr>
        <w:t> </w:t>
      </w:r>
      <w:r>
        <w:rPr>
          <w:color w:val="231F20"/>
        </w:rPr>
        <w:t>termine.</w:t>
      </w:r>
      <w:r>
        <w:rPr>
          <w:color w:val="231F20"/>
          <w:spacing w:val="-16"/>
        </w:rPr>
        <w:t> </w:t>
      </w:r>
      <w:r>
        <w:rPr>
          <w:color w:val="231F20"/>
        </w:rPr>
        <w:t>Accanto</w:t>
      </w:r>
      <w:r>
        <w:rPr>
          <w:color w:val="231F20"/>
          <w:spacing w:val="-16"/>
        </w:rPr>
        <w:t> </w:t>
      </w:r>
      <w:r>
        <w:rPr>
          <w:color w:val="231F20"/>
        </w:rPr>
        <w:t>alle</w:t>
      </w:r>
      <w:r>
        <w:rPr>
          <w:color w:val="231F20"/>
          <w:spacing w:val="-16"/>
        </w:rPr>
        <w:t> </w:t>
      </w:r>
      <w:r>
        <w:rPr>
          <w:color w:val="231F20"/>
          <w:spacing w:val="-3"/>
        </w:rPr>
        <w:t>preoccupazioni </w:t>
      </w:r>
      <w:r>
        <w:rPr>
          <w:color w:val="231F20"/>
          <w:spacing w:val="3"/>
        </w:rPr>
        <w:t>per </w:t>
      </w:r>
      <w:r>
        <w:rPr>
          <w:color w:val="231F20"/>
          <w:spacing w:val="2"/>
        </w:rPr>
        <w:t>lo </w:t>
      </w:r>
      <w:r>
        <w:rPr>
          <w:color w:val="231F20"/>
          <w:spacing w:val="4"/>
        </w:rPr>
        <w:t>sviluppo economico, apparivano </w:t>
      </w:r>
      <w:r>
        <w:rPr>
          <w:color w:val="231F20"/>
          <w:spacing w:val="3"/>
        </w:rPr>
        <w:t>una </w:t>
      </w:r>
      <w:r>
        <w:rPr>
          <w:color w:val="231F20"/>
          <w:spacing w:val="4"/>
        </w:rPr>
        <w:t>serie </w:t>
      </w:r>
      <w:r>
        <w:rPr>
          <w:color w:val="231F20"/>
          <w:spacing w:val="3"/>
        </w:rPr>
        <w:t>di </w:t>
      </w:r>
      <w:r>
        <w:rPr>
          <w:color w:val="231F20"/>
          <w:spacing w:val="4"/>
        </w:rPr>
        <w:t>preoccupazioni </w:t>
      </w:r>
      <w:r>
        <w:rPr>
          <w:color w:val="231F20"/>
        </w:rPr>
        <w:t>sull’autoritarismo nelle sue diverse genesi nella regione; lo sfruttamento,</w:t>
      </w:r>
      <w:r>
        <w:rPr>
          <w:color w:val="231F20"/>
          <w:spacing w:val="-43"/>
        </w:rPr>
        <w:t> </w:t>
      </w:r>
      <w:r>
        <w:rPr>
          <w:color w:val="231F20"/>
        </w:rPr>
        <w:t>la disuguaglianza e la povertà nel rapporto conflittuale tra il campo e la città; le classi sociali, la dipendenza socioeconomica e la política nel rapporto centro (paesi sviluppati) e le periferie, o come venivano chiamate all’epoca “paesi in via di</w:t>
      </w:r>
      <w:r>
        <w:rPr>
          <w:color w:val="231F20"/>
          <w:spacing w:val="42"/>
        </w:rPr>
        <w:t> </w:t>
      </w:r>
      <w:r>
        <w:rPr>
          <w:color w:val="231F20"/>
        </w:rPr>
        <w:t>sviluppo”</w:t>
      </w:r>
      <w:r>
        <w:rPr>
          <w:color w:val="231F20"/>
          <w:position w:val="7"/>
          <w:sz w:val="12"/>
        </w:rPr>
        <w:t>50</w:t>
      </w:r>
      <w:r>
        <w:rPr>
          <w:color w:val="231F20"/>
        </w:rPr>
        <w:t>.</w:t>
      </w:r>
    </w:p>
    <w:p>
      <w:pPr>
        <w:pStyle w:val="BodyText"/>
        <w:spacing w:line="247" w:lineRule="auto"/>
        <w:ind w:left="117" w:right="117" w:firstLine="566"/>
        <w:jc w:val="both"/>
      </w:pPr>
      <w:r>
        <w:rPr>
          <w:color w:val="231F20"/>
        </w:rPr>
        <w:t>Il comune denominatore della modernizzazione dello Stato e della crescita economica in America Latina è stata la configurazione graduale di un concetto particolare di </w:t>
      </w:r>
      <w:r>
        <w:rPr>
          <w:rFonts w:ascii="Arial" w:hAnsi="Arial"/>
          <w:i/>
          <w:color w:val="231F20"/>
        </w:rPr>
        <w:t>cambiamento </w:t>
      </w:r>
      <w:r>
        <w:rPr>
          <w:color w:val="231F20"/>
        </w:rPr>
        <w:t>nella sua variante di “passaggio”: andare dal campo alla città, dalla dipendenza all’autonomia, dalla povertà al benessere. Si può dire che il concetto di cambiamento abbozzato per queste</w:t>
      </w:r>
      <w:r>
        <w:rPr>
          <w:color w:val="231F20"/>
          <w:spacing w:val="-6"/>
        </w:rPr>
        <w:t> </w:t>
      </w:r>
      <w:r>
        <w:rPr>
          <w:color w:val="231F20"/>
        </w:rPr>
        <w:t>preoccupazioni</w:t>
      </w:r>
      <w:r>
        <w:rPr>
          <w:color w:val="231F20"/>
          <w:spacing w:val="-6"/>
        </w:rPr>
        <w:t> </w:t>
      </w:r>
      <w:r>
        <w:rPr>
          <w:color w:val="231F20"/>
        </w:rPr>
        <w:t>si</w:t>
      </w:r>
      <w:r>
        <w:rPr>
          <w:color w:val="231F20"/>
          <w:spacing w:val="-6"/>
        </w:rPr>
        <w:t> </w:t>
      </w:r>
      <w:r>
        <w:rPr>
          <w:color w:val="231F20"/>
        </w:rPr>
        <w:t>è</w:t>
      </w:r>
      <w:r>
        <w:rPr>
          <w:color w:val="231F20"/>
          <w:spacing w:val="-6"/>
        </w:rPr>
        <w:t> </w:t>
      </w:r>
      <w:r>
        <w:rPr>
          <w:color w:val="231F20"/>
        </w:rPr>
        <w:t>focalizzato</w:t>
      </w:r>
      <w:r>
        <w:rPr>
          <w:color w:val="231F20"/>
          <w:spacing w:val="-6"/>
        </w:rPr>
        <w:t> </w:t>
      </w:r>
      <w:r>
        <w:rPr>
          <w:color w:val="231F20"/>
        </w:rPr>
        <w:t>quasi</w:t>
      </w:r>
      <w:r>
        <w:rPr>
          <w:color w:val="231F20"/>
          <w:spacing w:val="-6"/>
        </w:rPr>
        <w:t> </w:t>
      </w:r>
      <w:r>
        <w:rPr>
          <w:color w:val="231F20"/>
        </w:rPr>
        <w:t>esclusivamente</w:t>
      </w:r>
      <w:r>
        <w:rPr>
          <w:color w:val="231F20"/>
          <w:spacing w:val="-6"/>
        </w:rPr>
        <w:t> </w:t>
      </w:r>
      <w:r>
        <w:rPr>
          <w:color w:val="231F20"/>
        </w:rPr>
        <w:t>in</w:t>
      </w:r>
      <w:r>
        <w:rPr>
          <w:color w:val="231F20"/>
          <w:spacing w:val="-6"/>
        </w:rPr>
        <w:t> </w:t>
      </w:r>
      <w:r>
        <w:rPr>
          <w:color w:val="231F20"/>
        </w:rPr>
        <w:t>tutte</w:t>
      </w:r>
      <w:r>
        <w:rPr>
          <w:color w:val="231F20"/>
          <w:spacing w:val="-6"/>
        </w:rPr>
        <w:t> </w:t>
      </w:r>
      <w:r>
        <w:rPr>
          <w:color w:val="231F20"/>
        </w:rPr>
        <w:t>le</w:t>
      </w:r>
      <w:r>
        <w:rPr>
          <w:color w:val="231F20"/>
          <w:spacing w:val="-6"/>
        </w:rPr>
        <w:t> </w:t>
      </w:r>
      <w:r>
        <w:rPr>
          <w:color w:val="231F20"/>
        </w:rPr>
        <w:t>sfide istituzionali e statali che per i diversi paesi della regione rappresentavano </w:t>
      </w:r>
      <w:r>
        <w:rPr>
          <w:color w:val="231F20"/>
          <w:spacing w:val="4"/>
        </w:rPr>
        <w:t>gli </w:t>
      </w:r>
      <w:r>
        <w:rPr>
          <w:color w:val="231F20"/>
          <w:spacing w:val="5"/>
        </w:rPr>
        <w:t>aspetti demografici </w:t>
      </w:r>
      <w:r>
        <w:rPr>
          <w:color w:val="231F20"/>
        </w:rPr>
        <w:t>e </w:t>
      </w:r>
      <w:r>
        <w:rPr>
          <w:color w:val="231F20"/>
          <w:spacing w:val="5"/>
        </w:rPr>
        <w:t>urbani </w:t>
      </w:r>
      <w:r>
        <w:rPr>
          <w:color w:val="231F20"/>
          <w:spacing w:val="4"/>
        </w:rPr>
        <w:t>che </w:t>
      </w:r>
      <w:r>
        <w:rPr>
          <w:color w:val="231F20"/>
          <w:spacing w:val="5"/>
        </w:rPr>
        <w:t>presupponevano. </w:t>
      </w:r>
      <w:r>
        <w:rPr>
          <w:color w:val="231F20"/>
          <w:spacing w:val="6"/>
        </w:rPr>
        <w:t>Ugualmente,</w:t>
      </w:r>
      <w:r>
        <w:rPr>
          <w:color w:val="231F20"/>
          <w:spacing w:val="77"/>
        </w:rPr>
        <w:t> </w:t>
      </w:r>
      <w:r>
        <w:rPr>
          <w:color w:val="231F20"/>
        </w:rPr>
        <w:t>quest’idea di cambiamento politico è stata una categoria che in termini storici</w:t>
      </w:r>
      <w:r>
        <w:rPr>
          <w:color w:val="231F20"/>
          <w:spacing w:val="-22"/>
        </w:rPr>
        <w:t> </w:t>
      </w:r>
      <w:r>
        <w:rPr>
          <w:color w:val="231F20"/>
        </w:rPr>
        <w:t>si</w:t>
      </w:r>
      <w:r>
        <w:rPr>
          <w:color w:val="231F20"/>
          <w:spacing w:val="-22"/>
        </w:rPr>
        <w:t> </w:t>
      </w:r>
      <w:r>
        <w:rPr>
          <w:color w:val="231F20"/>
          <w:spacing w:val="-3"/>
        </w:rPr>
        <w:t>relaziona</w:t>
      </w:r>
      <w:r>
        <w:rPr>
          <w:color w:val="231F20"/>
          <w:spacing w:val="-22"/>
        </w:rPr>
        <w:t> </w:t>
      </w:r>
      <w:r>
        <w:rPr>
          <w:color w:val="231F20"/>
        </w:rPr>
        <w:t>in</w:t>
      </w:r>
      <w:r>
        <w:rPr>
          <w:color w:val="231F20"/>
          <w:spacing w:val="-22"/>
        </w:rPr>
        <w:t> </w:t>
      </w:r>
      <w:r>
        <w:rPr>
          <w:color w:val="231F20"/>
        </w:rPr>
        <w:t>America</w:t>
      </w:r>
      <w:r>
        <w:rPr>
          <w:color w:val="231F20"/>
          <w:spacing w:val="-22"/>
        </w:rPr>
        <w:t> </w:t>
      </w:r>
      <w:r>
        <w:rPr>
          <w:color w:val="231F20"/>
        </w:rPr>
        <w:t>Latina</w:t>
      </w:r>
      <w:r>
        <w:rPr>
          <w:color w:val="231F20"/>
          <w:spacing w:val="-22"/>
        </w:rPr>
        <w:t> </w:t>
      </w:r>
      <w:r>
        <w:rPr>
          <w:color w:val="231F20"/>
        </w:rPr>
        <w:t>con</w:t>
      </w:r>
      <w:r>
        <w:rPr>
          <w:color w:val="231F20"/>
          <w:spacing w:val="-22"/>
        </w:rPr>
        <w:t> </w:t>
      </w:r>
      <w:r>
        <w:rPr>
          <w:color w:val="231F20"/>
        </w:rPr>
        <w:t>le</w:t>
      </w:r>
      <w:r>
        <w:rPr>
          <w:color w:val="231F20"/>
          <w:spacing w:val="-22"/>
        </w:rPr>
        <w:t> </w:t>
      </w:r>
      <w:r>
        <w:rPr>
          <w:color w:val="231F20"/>
        </w:rPr>
        <w:t>trasformazioni</w:t>
      </w:r>
      <w:r>
        <w:rPr>
          <w:color w:val="231F20"/>
          <w:spacing w:val="-22"/>
        </w:rPr>
        <w:t> </w:t>
      </w:r>
      <w:r>
        <w:rPr>
          <w:color w:val="231F20"/>
        </w:rPr>
        <w:t>radicali</w:t>
      </w:r>
      <w:r>
        <w:rPr>
          <w:color w:val="231F20"/>
          <w:spacing w:val="-22"/>
        </w:rPr>
        <w:t> </w:t>
      </w:r>
      <w:r>
        <w:rPr>
          <w:color w:val="231F20"/>
        </w:rPr>
        <w:t>dei</w:t>
      </w:r>
      <w:r>
        <w:rPr>
          <w:color w:val="231F20"/>
          <w:spacing w:val="-22"/>
        </w:rPr>
        <w:t> </w:t>
      </w:r>
      <w:r>
        <w:rPr>
          <w:color w:val="231F20"/>
          <w:spacing w:val="-3"/>
        </w:rPr>
        <w:t>processi </w:t>
      </w:r>
      <w:r>
        <w:rPr>
          <w:color w:val="231F20"/>
        </w:rPr>
        <w:t>politici nazionali della regione. Per questo, bisogna sottolineare le forme in apparenza contraddittorie di transizione e cambiamento che a partire dagli anni</w:t>
      </w:r>
      <w:r>
        <w:rPr>
          <w:color w:val="231F20"/>
          <w:spacing w:val="-22"/>
        </w:rPr>
        <w:t> </w:t>
      </w:r>
      <w:r>
        <w:rPr>
          <w:color w:val="231F20"/>
        </w:rPr>
        <w:t>sessanta,</w:t>
      </w:r>
      <w:r>
        <w:rPr>
          <w:color w:val="231F20"/>
          <w:spacing w:val="-22"/>
        </w:rPr>
        <w:t> </w:t>
      </w:r>
      <w:r>
        <w:rPr>
          <w:color w:val="231F20"/>
        </w:rPr>
        <w:t>America</w:t>
      </w:r>
      <w:r>
        <w:rPr>
          <w:color w:val="231F20"/>
          <w:spacing w:val="-22"/>
        </w:rPr>
        <w:t> </w:t>
      </w:r>
      <w:r>
        <w:rPr>
          <w:color w:val="231F20"/>
        </w:rPr>
        <w:t>Latina</w:t>
      </w:r>
      <w:r>
        <w:rPr>
          <w:color w:val="231F20"/>
          <w:spacing w:val="-22"/>
        </w:rPr>
        <w:t> </w:t>
      </w:r>
      <w:r>
        <w:rPr>
          <w:color w:val="231F20"/>
        </w:rPr>
        <w:t>ha</w:t>
      </w:r>
      <w:r>
        <w:rPr>
          <w:color w:val="231F20"/>
          <w:spacing w:val="-22"/>
        </w:rPr>
        <w:t> </w:t>
      </w:r>
      <w:r>
        <w:rPr>
          <w:color w:val="231F20"/>
        </w:rPr>
        <w:t>avuto</w:t>
      </w:r>
      <w:r>
        <w:rPr>
          <w:color w:val="231F20"/>
          <w:spacing w:val="-22"/>
        </w:rPr>
        <w:t> </w:t>
      </w:r>
      <w:r>
        <w:rPr>
          <w:color w:val="231F20"/>
        </w:rPr>
        <w:t>nel</w:t>
      </w:r>
      <w:r>
        <w:rPr>
          <w:color w:val="231F20"/>
          <w:spacing w:val="-22"/>
        </w:rPr>
        <w:t> </w:t>
      </w:r>
      <w:r>
        <w:rPr>
          <w:color w:val="231F20"/>
        </w:rPr>
        <w:t>suo</w:t>
      </w:r>
      <w:r>
        <w:rPr>
          <w:color w:val="231F20"/>
          <w:spacing w:val="-22"/>
        </w:rPr>
        <w:t> </w:t>
      </w:r>
      <w:r>
        <w:rPr>
          <w:color w:val="231F20"/>
        </w:rPr>
        <w:t>orizzonte</w:t>
      </w:r>
      <w:r>
        <w:rPr>
          <w:color w:val="231F20"/>
          <w:spacing w:val="-22"/>
        </w:rPr>
        <w:t> </w:t>
      </w:r>
      <w:r>
        <w:rPr>
          <w:color w:val="231F20"/>
        </w:rPr>
        <w:t>politico–statale.</w:t>
      </w:r>
      <w:r>
        <w:rPr>
          <w:color w:val="231F20"/>
          <w:spacing w:val="-22"/>
        </w:rPr>
        <w:t> </w:t>
      </w:r>
      <w:r>
        <w:rPr>
          <w:color w:val="231F20"/>
        </w:rPr>
        <w:t>Da una</w:t>
      </w:r>
      <w:r>
        <w:rPr>
          <w:color w:val="231F20"/>
          <w:spacing w:val="-17"/>
        </w:rPr>
        <w:t> </w:t>
      </w:r>
      <w:r>
        <w:rPr>
          <w:color w:val="231F20"/>
        </w:rPr>
        <w:t>parte,</w:t>
      </w:r>
      <w:r>
        <w:rPr>
          <w:color w:val="231F20"/>
          <w:spacing w:val="-17"/>
        </w:rPr>
        <w:t> </w:t>
      </w:r>
      <w:r>
        <w:rPr>
          <w:color w:val="231F20"/>
        </w:rPr>
        <w:t>si</w:t>
      </w:r>
      <w:r>
        <w:rPr>
          <w:color w:val="231F20"/>
          <w:spacing w:val="-17"/>
        </w:rPr>
        <w:t> </w:t>
      </w:r>
      <w:r>
        <w:rPr>
          <w:color w:val="231F20"/>
        </w:rPr>
        <w:t>prende</w:t>
      </w:r>
      <w:r>
        <w:rPr>
          <w:color w:val="231F20"/>
          <w:spacing w:val="-17"/>
        </w:rPr>
        <w:t> </w:t>
      </w:r>
      <w:r>
        <w:rPr>
          <w:color w:val="231F20"/>
        </w:rPr>
        <w:t>la</w:t>
      </w:r>
      <w:r>
        <w:rPr>
          <w:color w:val="231F20"/>
          <w:spacing w:val="-17"/>
        </w:rPr>
        <w:t> </w:t>
      </w:r>
      <w:r>
        <w:rPr>
          <w:color w:val="231F20"/>
        </w:rPr>
        <w:t>direzione</w:t>
      </w:r>
      <w:r>
        <w:rPr>
          <w:color w:val="231F20"/>
          <w:spacing w:val="-17"/>
        </w:rPr>
        <w:t> </w:t>
      </w:r>
      <w:r>
        <w:rPr>
          <w:color w:val="231F20"/>
        </w:rPr>
        <w:t>della</w:t>
      </w:r>
      <w:r>
        <w:rPr>
          <w:color w:val="231F20"/>
          <w:spacing w:val="-17"/>
        </w:rPr>
        <w:t> </w:t>
      </w:r>
      <w:r>
        <w:rPr>
          <w:color w:val="231F20"/>
        </w:rPr>
        <w:t>guerriglia</w:t>
      </w:r>
      <w:r>
        <w:rPr>
          <w:color w:val="231F20"/>
          <w:spacing w:val="-17"/>
        </w:rPr>
        <w:t> </w:t>
      </w:r>
      <w:r>
        <w:rPr>
          <w:color w:val="231F20"/>
        </w:rPr>
        <w:t>e</w:t>
      </w:r>
      <w:r>
        <w:rPr>
          <w:color w:val="231F20"/>
          <w:spacing w:val="-17"/>
        </w:rPr>
        <w:t> </w:t>
      </w:r>
      <w:r>
        <w:rPr>
          <w:color w:val="231F20"/>
        </w:rPr>
        <w:t>il</w:t>
      </w:r>
      <w:r>
        <w:rPr>
          <w:color w:val="231F20"/>
          <w:spacing w:val="-17"/>
        </w:rPr>
        <w:t> </w:t>
      </w:r>
      <w:r>
        <w:rPr>
          <w:color w:val="231F20"/>
        </w:rPr>
        <w:t>cambiamento</w:t>
      </w:r>
      <w:r>
        <w:rPr>
          <w:color w:val="231F20"/>
          <w:spacing w:val="-17"/>
        </w:rPr>
        <w:t> </w:t>
      </w:r>
      <w:r>
        <w:rPr>
          <w:color w:val="231F20"/>
        </w:rPr>
        <w:t>attraverso il fenomeno d’insorgenza armata, con maggiore enfasi dopo 1959 quando accade il trionfo della Rivoluzione cubana, fino ad arrivare alle esperienze delle guerre civili centroamericane negli anni finali dei settanta. Dall’altra parte, il cambiamento prendeva un’impronta conservatrice, espressa nel viraggio</w:t>
      </w:r>
      <w:r>
        <w:rPr>
          <w:color w:val="231F20"/>
          <w:spacing w:val="-9"/>
        </w:rPr>
        <w:t> </w:t>
      </w:r>
      <w:r>
        <w:rPr>
          <w:color w:val="231F20"/>
        </w:rPr>
        <w:t>di</w:t>
      </w:r>
      <w:r>
        <w:rPr>
          <w:color w:val="231F20"/>
          <w:spacing w:val="-9"/>
        </w:rPr>
        <w:t> </w:t>
      </w:r>
      <w:r>
        <w:rPr>
          <w:color w:val="231F20"/>
        </w:rPr>
        <w:t>corte</w:t>
      </w:r>
      <w:r>
        <w:rPr>
          <w:color w:val="231F20"/>
          <w:spacing w:val="-9"/>
        </w:rPr>
        <w:t> </w:t>
      </w:r>
      <w:r>
        <w:rPr>
          <w:color w:val="231F20"/>
        </w:rPr>
        <w:t>autoritario</w:t>
      </w:r>
      <w:r>
        <w:rPr>
          <w:color w:val="231F20"/>
          <w:spacing w:val="-9"/>
        </w:rPr>
        <w:t> </w:t>
      </w:r>
      <w:r>
        <w:rPr>
          <w:color w:val="231F20"/>
        </w:rPr>
        <w:t>a</w:t>
      </w:r>
      <w:r>
        <w:rPr>
          <w:color w:val="231F20"/>
          <w:spacing w:val="-9"/>
        </w:rPr>
        <w:t> </w:t>
      </w:r>
      <w:r>
        <w:rPr>
          <w:color w:val="231F20"/>
        </w:rPr>
        <w:t>partire</w:t>
      </w:r>
      <w:r>
        <w:rPr>
          <w:color w:val="231F20"/>
          <w:spacing w:val="-9"/>
        </w:rPr>
        <w:t> </w:t>
      </w:r>
      <w:r>
        <w:rPr>
          <w:color w:val="231F20"/>
        </w:rPr>
        <w:t>dal</w:t>
      </w:r>
      <w:r>
        <w:rPr>
          <w:color w:val="231F20"/>
          <w:spacing w:val="-9"/>
        </w:rPr>
        <w:t> </w:t>
      </w:r>
      <w:r>
        <w:rPr>
          <w:color w:val="231F20"/>
        </w:rPr>
        <w:t>1964</w:t>
      </w:r>
      <w:r>
        <w:rPr>
          <w:color w:val="231F20"/>
          <w:spacing w:val="-9"/>
        </w:rPr>
        <w:t> </w:t>
      </w:r>
      <w:r>
        <w:rPr>
          <w:color w:val="231F20"/>
        </w:rPr>
        <w:t>con</w:t>
      </w:r>
      <w:r>
        <w:rPr>
          <w:color w:val="231F20"/>
          <w:spacing w:val="-9"/>
        </w:rPr>
        <w:t> </w:t>
      </w:r>
      <w:r>
        <w:rPr>
          <w:color w:val="231F20"/>
        </w:rPr>
        <w:t>il</w:t>
      </w:r>
      <w:r>
        <w:rPr>
          <w:color w:val="231F20"/>
          <w:spacing w:val="-9"/>
        </w:rPr>
        <w:t> </w:t>
      </w:r>
      <w:r>
        <w:rPr>
          <w:color w:val="231F20"/>
        </w:rPr>
        <w:t>colpo</w:t>
      </w:r>
      <w:r>
        <w:rPr>
          <w:color w:val="231F20"/>
          <w:spacing w:val="-9"/>
        </w:rPr>
        <w:t> </w:t>
      </w:r>
      <w:r>
        <w:rPr>
          <w:color w:val="231F20"/>
        </w:rPr>
        <w:t>di</w:t>
      </w:r>
      <w:r>
        <w:rPr>
          <w:color w:val="231F20"/>
          <w:spacing w:val="-9"/>
        </w:rPr>
        <w:t> </w:t>
      </w:r>
      <w:r>
        <w:rPr>
          <w:color w:val="231F20"/>
        </w:rPr>
        <w:t>Stato</w:t>
      </w:r>
      <w:r>
        <w:rPr>
          <w:color w:val="231F20"/>
          <w:spacing w:val="-9"/>
        </w:rPr>
        <w:t> </w:t>
      </w:r>
      <w:r>
        <w:rPr>
          <w:color w:val="231F20"/>
        </w:rPr>
        <w:t>in</w:t>
      </w:r>
      <w:r>
        <w:rPr>
          <w:color w:val="231F20"/>
          <w:spacing w:val="-9"/>
        </w:rPr>
        <w:t> </w:t>
      </w:r>
      <w:r>
        <w:rPr>
          <w:color w:val="231F20"/>
        </w:rPr>
        <w:t>Brasile e esteso ulteriormente in</w:t>
      </w:r>
      <w:r>
        <w:rPr>
          <w:color w:val="231F20"/>
          <w:spacing w:val="4"/>
        </w:rPr>
        <w:t> </w:t>
      </w:r>
      <w:r>
        <w:rPr>
          <w:color w:val="231F20"/>
        </w:rPr>
        <w:t>Sudamerica</w:t>
      </w:r>
      <w:r>
        <w:rPr>
          <w:color w:val="231F20"/>
          <w:position w:val="7"/>
          <w:sz w:val="12"/>
        </w:rPr>
        <w:t>51</w:t>
      </w:r>
      <w:r>
        <w:rPr>
          <w:color w:val="231F20"/>
        </w:rPr>
        <w:t>.</w:t>
      </w: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13840;mso-wrap-distance-left:0;mso-wrap-distance-right:0" from="70.866096pt,12.36646pt" to="184.252096pt,12.36646pt" stroked="true" strokeweight=".3pt" strokecolor="#231f20">
            <w10:wrap type="topAndBottom"/>
          </v:line>
        </w:pict>
      </w:r>
    </w:p>
    <w:p>
      <w:pPr>
        <w:spacing w:line="204" w:lineRule="exact" w:before="9"/>
        <w:ind w:left="117" w:right="123" w:firstLine="0"/>
        <w:jc w:val="both"/>
        <w:rPr>
          <w:rFonts w:ascii="Calibri" w:hAnsi="Calibri"/>
          <w:sz w:val="17"/>
        </w:rPr>
      </w:pPr>
      <w:r>
        <w:rPr>
          <w:rFonts w:ascii="Calibri" w:hAnsi="Calibri"/>
          <w:color w:val="231F20"/>
          <w:position w:val="6"/>
          <w:sz w:val="10"/>
        </w:rPr>
        <w:t>50 </w:t>
      </w:r>
      <w:r>
        <w:rPr>
          <w:rFonts w:ascii="Calibri" w:hAnsi="Calibri"/>
          <w:color w:val="231F20"/>
          <w:sz w:val="17"/>
        </w:rPr>
        <w:t>I. Covarrubias, “Introducción. Ideas y presencias de la teoría política en América Latina”, I. Covarrubias (coord.), </w:t>
      </w:r>
      <w:r>
        <w:rPr>
          <w:rFonts w:ascii="Calibri" w:hAnsi="Calibri"/>
          <w:i/>
          <w:color w:val="231F20"/>
          <w:sz w:val="17"/>
        </w:rPr>
        <w:t>Figuras, historias y territorios. Cartógrafos contemporáneos de la indagación </w:t>
      </w:r>
      <w:r>
        <w:rPr>
          <w:rFonts w:ascii="Calibri" w:hAnsi="Calibri"/>
          <w:i/>
          <w:color w:val="231F20"/>
          <w:sz w:val="17"/>
        </w:rPr>
        <w:t>política en América Latina</w:t>
      </w:r>
      <w:r>
        <w:rPr>
          <w:rFonts w:ascii="Calibri" w:hAnsi="Calibri"/>
          <w:color w:val="231F20"/>
          <w:sz w:val="17"/>
        </w:rPr>
        <w:t>, México, Universidad Michoacana de San Nicolás de Hidalgo– Publicaciones Cruz, 2015, pp. 14–17.</w:t>
      </w:r>
    </w:p>
    <w:p>
      <w:pPr>
        <w:spacing w:line="204" w:lineRule="exact" w:before="0"/>
        <w:ind w:left="117" w:right="121" w:firstLine="0"/>
        <w:jc w:val="both"/>
        <w:rPr>
          <w:rFonts w:ascii="Calibri" w:hAnsi="Calibri"/>
          <w:sz w:val="17"/>
        </w:rPr>
      </w:pPr>
      <w:r>
        <w:rPr>
          <w:rFonts w:ascii="Calibri" w:hAnsi="Calibri"/>
          <w:color w:val="231F20"/>
          <w:position w:val="6"/>
          <w:sz w:val="10"/>
        </w:rPr>
        <w:t>51 </w:t>
      </w:r>
      <w:r>
        <w:rPr>
          <w:rFonts w:ascii="Calibri" w:hAnsi="Calibri"/>
          <w:color w:val="231F20"/>
          <w:sz w:val="17"/>
        </w:rPr>
        <w:t>R. Baños, </w:t>
      </w:r>
      <w:r>
        <w:rPr>
          <w:rFonts w:ascii="Calibri" w:hAnsi="Calibri"/>
          <w:i/>
          <w:color w:val="231F20"/>
          <w:sz w:val="17"/>
        </w:rPr>
        <w:t>Nuevos estilos y nuevos temas en los análisis de ciencias sociales en la última década</w:t>
      </w:r>
      <w:r>
        <w:rPr>
          <w:rFonts w:ascii="Calibri" w:hAnsi="Calibri"/>
          <w:color w:val="231F20"/>
          <w:sz w:val="17"/>
        </w:rPr>
        <w:t>, Santiago de Chile, </w:t>
      </w:r>
      <w:r>
        <w:rPr>
          <w:rFonts w:ascii="Calibri" w:hAnsi="Calibri"/>
          <w:color w:val="231F20"/>
          <w:sz w:val="14"/>
        </w:rPr>
        <w:t>FLACSO</w:t>
      </w:r>
      <w:r>
        <w:rPr>
          <w:rFonts w:ascii="Calibri" w:hAnsi="Calibri"/>
          <w:color w:val="231F20"/>
          <w:sz w:val="17"/>
        </w:rPr>
        <w:t>–Chile, 1984, p.  5.</w:t>
      </w:r>
    </w:p>
    <w:p>
      <w:pPr>
        <w:spacing w:after="0" w:line="204" w:lineRule="exact"/>
        <w:jc w:val="both"/>
        <w:rPr>
          <w:rFonts w:ascii="Calibri" w:hAnsi="Calibri"/>
          <w:sz w:val="17"/>
        </w:rPr>
        <w:sectPr>
          <w:type w:val="continuous"/>
          <w:pgSz w:w="9640" w:h="13890"/>
          <w:pgMar w:top="0" w:bottom="0" w:left="1300" w:right="1180"/>
        </w:sectPr>
      </w:pPr>
    </w:p>
    <w:p>
      <w:pPr>
        <w:pStyle w:val="BodyText"/>
        <w:spacing w:line="247" w:lineRule="auto" w:before="107"/>
        <w:ind w:left="103" w:right="109" w:firstLine="566"/>
        <w:jc w:val="both"/>
      </w:pPr>
      <w:r>
        <w:rPr>
          <w:color w:val="231F20"/>
        </w:rPr>
        <w:t>In questa prospettiva, si può capire che tempo dopo la categoria di “transizione” diventa ricorrente nei dibattiti e nell’agenda política della </w:t>
      </w:r>
      <w:r>
        <w:rPr>
          <w:color w:val="231F20"/>
          <w:spacing w:val="2"/>
        </w:rPr>
        <w:t>regione. </w:t>
      </w:r>
      <w:r>
        <w:rPr>
          <w:color w:val="231F20"/>
        </w:rPr>
        <w:t>In </w:t>
      </w:r>
      <w:r>
        <w:rPr>
          <w:color w:val="231F20"/>
          <w:spacing w:val="2"/>
        </w:rPr>
        <w:t>particolare, </w:t>
      </w:r>
      <w:r>
        <w:rPr>
          <w:color w:val="231F20"/>
        </w:rPr>
        <w:t>a partire dal </w:t>
      </w:r>
      <w:r>
        <w:rPr>
          <w:color w:val="231F20"/>
          <w:spacing w:val="2"/>
        </w:rPr>
        <w:t>1978 nella conferenza annuale </w:t>
      </w:r>
      <w:r>
        <w:rPr>
          <w:color w:val="231F20"/>
          <w:spacing w:val="3"/>
        </w:rPr>
        <w:t>del </w:t>
      </w:r>
      <w:r>
        <w:rPr>
          <w:color w:val="231F20"/>
        </w:rPr>
        <w:t>Consiglio Latinoamericano di Scienze Sociali </w:t>
      </w:r>
      <w:r>
        <w:rPr>
          <w:color w:val="231F20"/>
          <w:spacing w:val="2"/>
        </w:rPr>
        <w:t>(</w:t>
      </w:r>
      <w:r>
        <w:rPr>
          <w:color w:val="231F20"/>
          <w:spacing w:val="2"/>
          <w:sz w:val="18"/>
        </w:rPr>
        <w:t>CLACSO</w:t>
      </w:r>
      <w:r>
        <w:rPr>
          <w:color w:val="231F20"/>
          <w:spacing w:val="2"/>
        </w:rPr>
        <w:t>) </w:t>
      </w:r>
      <w:r>
        <w:rPr>
          <w:color w:val="231F20"/>
        </w:rPr>
        <w:t>avutosi in Costa Rica, dato che dalle sue conclusioni si stacca l’idea —in grande </w:t>
      </w:r>
      <w:r>
        <w:rPr>
          <w:color w:val="231F20"/>
          <w:spacing w:val="2"/>
        </w:rPr>
        <w:t>misura </w:t>
      </w:r>
      <w:r>
        <w:rPr>
          <w:color w:val="231F20"/>
        </w:rPr>
        <w:t>come soluzione di “compromesso”—  dell’orizzonte  democratico  come una possibile uscita dai diversi autoritarismi presenti nella regione e che poco dopo prende forma nel impreciso vocabolo della “transizione alla democrazia”</w:t>
      </w:r>
      <w:r>
        <w:rPr>
          <w:color w:val="231F20"/>
          <w:position w:val="7"/>
          <w:sz w:val="12"/>
        </w:rPr>
        <w:t>52</w:t>
      </w:r>
      <w:r>
        <w:rPr>
          <w:color w:val="231F20"/>
        </w:rPr>
        <w:t>.</w:t>
      </w:r>
    </w:p>
    <w:p>
      <w:pPr>
        <w:pStyle w:val="BodyText"/>
        <w:spacing w:line="247" w:lineRule="auto"/>
        <w:ind w:left="103" w:right="112" w:firstLine="566"/>
        <w:jc w:val="both"/>
      </w:pPr>
      <w:r>
        <w:rPr>
          <w:color w:val="231F20"/>
        </w:rPr>
        <w:t>Nonostante la distanza e le variazioni di ogni caso specifico, anche</w:t>
      </w:r>
      <w:r>
        <w:rPr>
          <w:color w:val="231F20"/>
          <w:spacing w:val="-38"/>
        </w:rPr>
        <w:t> </w:t>
      </w:r>
      <w:r>
        <w:rPr>
          <w:color w:val="231F20"/>
        </w:rPr>
        <w:t>in ogni</w:t>
      </w:r>
      <w:r>
        <w:rPr>
          <w:color w:val="231F20"/>
          <w:spacing w:val="-15"/>
        </w:rPr>
        <w:t> </w:t>
      </w:r>
      <w:r>
        <w:rPr>
          <w:color w:val="231F20"/>
          <w:spacing w:val="-3"/>
        </w:rPr>
        <w:t>regione,</w:t>
      </w:r>
      <w:r>
        <w:rPr>
          <w:color w:val="231F20"/>
          <w:spacing w:val="-15"/>
        </w:rPr>
        <w:t> </w:t>
      </w:r>
      <w:r>
        <w:rPr>
          <w:color w:val="231F20"/>
        </w:rPr>
        <w:t>si</w:t>
      </w:r>
      <w:r>
        <w:rPr>
          <w:color w:val="231F20"/>
          <w:spacing w:val="-15"/>
        </w:rPr>
        <w:t> </w:t>
      </w:r>
      <w:r>
        <w:rPr>
          <w:color w:val="231F20"/>
        </w:rPr>
        <w:t>può</w:t>
      </w:r>
      <w:r>
        <w:rPr>
          <w:color w:val="231F20"/>
          <w:spacing w:val="-15"/>
        </w:rPr>
        <w:t> </w:t>
      </w:r>
      <w:r>
        <w:rPr>
          <w:color w:val="231F20"/>
          <w:spacing w:val="-3"/>
        </w:rPr>
        <w:t>dire</w:t>
      </w:r>
      <w:r>
        <w:rPr>
          <w:color w:val="231F20"/>
          <w:spacing w:val="-15"/>
        </w:rPr>
        <w:t> </w:t>
      </w:r>
      <w:r>
        <w:rPr>
          <w:color w:val="231F20"/>
        </w:rPr>
        <w:t>che</w:t>
      </w:r>
      <w:r>
        <w:rPr>
          <w:color w:val="231F20"/>
          <w:spacing w:val="-15"/>
        </w:rPr>
        <w:t> </w:t>
      </w:r>
      <w:r>
        <w:rPr>
          <w:color w:val="231F20"/>
        </w:rPr>
        <w:t>il</w:t>
      </w:r>
      <w:r>
        <w:rPr>
          <w:color w:val="231F20"/>
          <w:spacing w:val="-15"/>
        </w:rPr>
        <w:t> </w:t>
      </w:r>
      <w:r>
        <w:rPr>
          <w:color w:val="231F20"/>
        </w:rPr>
        <w:t>cambiamento</w:t>
      </w:r>
      <w:r>
        <w:rPr>
          <w:color w:val="231F20"/>
          <w:spacing w:val="-15"/>
        </w:rPr>
        <w:t> </w:t>
      </w:r>
      <w:r>
        <w:rPr>
          <w:color w:val="231F20"/>
        </w:rPr>
        <w:t>politico</w:t>
      </w:r>
      <w:r>
        <w:rPr>
          <w:color w:val="231F20"/>
          <w:spacing w:val="-11"/>
        </w:rPr>
        <w:t> </w:t>
      </w:r>
      <w:r>
        <w:rPr>
          <w:color w:val="231F20"/>
        </w:rPr>
        <w:t>è</w:t>
      </w:r>
      <w:r>
        <w:rPr>
          <w:color w:val="231F20"/>
          <w:spacing w:val="-15"/>
        </w:rPr>
        <w:t> </w:t>
      </w:r>
      <w:r>
        <w:rPr>
          <w:color w:val="231F20"/>
        </w:rPr>
        <w:t>una</w:t>
      </w:r>
      <w:r>
        <w:rPr>
          <w:color w:val="231F20"/>
          <w:spacing w:val="-15"/>
        </w:rPr>
        <w:t> </w:t>
      </w:r>
      <w:r>
        <w:rPr>
          <w:color w:val="231F20"/>
        </w:rPr>
        <w:t>delle</w:t>
      </w:r>
      <w:r>
        <w:rPr>
          <w:color w:val="231F20"/>
          <w:spacing w:val="-15"/>
        </w:rPr>
        <w:t> </w:t>
      </w:r>
      <w:r>
        <w:rPr>
          <w:color w:val="231F20"/>
        </w:rPr>
        <w:t>costanti</w:t>
      </w:r>
      <w:r>
        <w:rPr>
          <w:color w:val="231F20"/>
          <w:spacing w:val="-15"/>
        </w:rPr>
        <w:t> </w:t>
      </w:r>
      <w:r>
        <w:rPr>
          <w:color w:val="231F20"/>
          <w:spacing w:val="-2"/>
        </w:rPr>
        <w:t>che </w:t>
      </w:r>
      <w:r>
        <w:rPr>
          <w:color w:val="231F20"/>
        </w:rPr>
        <w:t>ha </w:t>
      </w:r>
      <w:r>
        <w:rPr>
          <w:color w:val="231F20"/>
          <w:spacing w:val="-3"/>
        </w:rPr>
        <w:t>accompagnato </w:t>
      </w:r>
      <w:r>
        <w:rPr>
          <w:color w:val="231F20"/>
        </w:rPr>
        <w:t>lo </w:t>
      </w:r>
      <w:r>
        <w:rPr>
          <w:color w:val="231F20"/>
          <w:spacing w:val="-3"/>
        </w:rPr>
        <w:t>sviluppo contemporaneo </w:t>
      </w:r>
      <w:r>
        <w:rPr>
          <w:color w:val="231F20"/>
          <w:spacing w:val="-4"/>
        </w:rPr>
        <w:t>dell’ordine </w:t>
      </w:r>
      <w:r>
        <w:rPr>
          <w:color w:val="231F20"/>
          <w:spacing w:val="-3"/>
        </w:rPr>
        <w:t>statale, soprattutto </w:t>
      </w:r>
      <w:r>
        <w:rPr>
          <w:color w:val="231F20"/>
        </w:rPr>
        <w:t>quando il “porto” di partenza è un regime autoritario; ed è anche vero   che l’architettura degli Stati dove avevano luogo i cambiamenti politici in direzione democratica, hanno cambiato a una velocità diversa, anche in alcune esperienze in una direzione opposta, a quella della “marcia</w:t>
      </w:r>
      <w:r>
        <w:rPr>
          <w:color w:val="231F20"/>
          <w:spacing w:val="-26"/>
        </w:rPr>
        <w:t> </w:t>
      </w:r>
      <w:r>
        <w:rPr>
          <w:color w:val="231F20"/>
        </w:rPr>
        <w:t>trionfale della democrazia” a livello globale. Una delle direzioni che ha presso,</w:t>
      </w:r>
      <w:r>
        <w:rPr>
          <w:color w:val="231F20"/>
          <w:spacing w:val="-32"/>
        </w:rPr>
        <w:t> </w:t>
      </w:r>
      <w:r>
        <w:rPr>
          <w:color w:val="231F20"/>
        </w:rPr>
        <w:t>come abbiamo osservato prima, è quella del fenomeno della sovranizzazione </w:t>
      </w:r>
      <w:r>
        <w:rPr>
          <w:color w:val="231F20"/>
          <w:spacing w:val="2"/>
        </w:rPr>
        <w:t>criminale </w:t>
      </w:r>
      <w:r>
        <w:rPr>
          <w:color w:val="231F20"/>
        </w:rPr>
        <w:t>che </w:t>
      </w:r>
      <w:r>
        <w:rPr>
          <w:color w:val="231F20"/>
          <w:spacing w:val="2"/>
        </w:rPr>
        <w:t>anzichè comportarsi come </w:t>
      </w:r>
      <w:r>
        <w:rPr>
          <w:color w:val="231F20"/>
        </w:rPr>
        <w:t>una </w:t>
      </w:r>
      <w:r>
        <w:rPr>
          <w:color w:val="231F20"/>
          <w:spacing w:val="2"/>
        </w:rPr>
        <w:t>dinamica </w:t>
      </w:r>
      <w:r>
        <w:rPr>
          <w:color w:val="231F20"/>
          <w:spacing w:val="3"/>
        </w:rPr>
        <w:t>eminentemente </w:t>
      </w:r>
      <w:r>
        <w:rPr>
          <w:color w:val="231F20"/>
        </w:rPr>
        <w:t>anti-democratica e anti-statale, è diventata una forma “para-politica” di organizzazione di certi livelli funzionali dello Stato e del gioco politico della democrazia.</w:t>
      </w:r>
    </w:p>
    <w:p>
      <w:pPr>
        <w:pStyle w:val="BodyText"/>
        <w:spacing w:before="5"/>
        <w:rPr>
          <w:sz w:val="24"/>
        </w:rPr>
      </w:pPr>
    </w:p>
    <w:p>
      <w:pPr>
        <w:spacing w:before="1"/>
        <w:ind w:left="103" w:right="0" w:firstLine="0"/>
        <w:jc w:val="both"/>
        <w:rPr>
          <w:rFonts w:ascii="Arial" w:hAnsi="Arial"/>
          <w:i/>
          <w:sz w:val="21"/>
        </w:rPr>
      </w:pPr>
      <w:r>
        <w:rPr>
          <w:rFonts w:ascii="Arial" w:hAnsi="Arial"/>
          <w:i/>
          <w:color w:val="231F20"/>
          <w:sz w:val="21"/>
        </w:rPr>
        <w:t>I nuovi spazi della sovranità (anti) democratica</w:t>
      </w:r>
    </w:p>
    <w:p>
      <w:pPr>
        <w:pStyle w:val="BodyText"/>
        <w:rPr>
          <w:rFonts w:ascii="Arial"/>
          <w:i/>
          <w:sz w:val="20"/>
        </w:rPr>
      </w:pPr>
    </w:p>
    <w:p>
      <w:pPr>
        <w:pStyle w:val="BodyText"/>
        <w:spacing w:line="247" w:lineRule="auto" w:before="172"/>
        <w:ind w:left="103" w:right="109"/>
        <w:jc w:val="both"/>
      </w:pPr>
      <w:r>
        <w:rPr>
          <w:color w:val="231F20"/>
        </w:rPr>
        <w:t>Il sentimento di insicurezza e la produzione sociale delle fonti di paura a essa vincolate, appaiono come vettore connesso al insieme delle nuove forme di delitto che si manifestano nel transito verso la ricomposizione dell’ordine</w:t>
      </w:r>
      <w:r>
        <w:rPr>
          <w:color w:val="231F20"/>
          <w:spacing w:val="-19"/>
        </w:rPr>
        <w:t> </w:t>
      </w:r>
      <w:r>
        <w:rPr>
          <w:color w:val="231F20"/>
        </w:rPr>
        <w:t>statale,</w:t>
      </w:r>
      <w:r>
        <w:rPr>
          <w:color w:val="231F20"/>
          <w:spacing w:val="-19"/>
        </w:rPr>
        <w:t> </w:t>
      </w:r>
      <w:r>
        <w:rPr>
          <w:color w:val="231F20"/>
        </w:rPr>
        <w:t>almeno</w:t>
      </w:r>
      <w:r>
        <w:rPr>
          <w:color w:val="231F20"/>
          <w:spacing w:val="-19"/>
        </w:rPr>
        <w:t> </w:t>
      </w:r>
      <w:r>
        <w:rPr>
          <w:color w:val="231F20"/>
        </w:rPr>
        <w:t>nel</w:t>
      </w:r>
      <w:r>
        <w:rPr>
          <w:color w:val="231F20"/>
          <w:spacing w:val="-19"/>
        </w:rPr>
        <w:t> </w:t>
      </w:r>
      <w:r>
        <w:rPr>
          <w:color w:val="231F20"/>
        </w:rPr>
        <w:t>campo</w:t>
      </w:r>
      <w:r>
        <w:rPr>
          <w:color w:val="231F20"/>
          <w:spacing w:val="-19"/>
        </w:rPr>
        <w:t> </w:t>
      </w:r>
      <w:r>
        <w:rPr>
          <w:color w:val="231F20"/>
        </w:rPr>
        <w:t>giuridico</w:t>
      </w:r>
      <w:r>
        <w:rPr>
          <w:color w:val="231F20"/>
          <w:spacing w:val="-19"/>
        </w:rPr>
        <w:t> </w:t>
      </w:r>
      <w:r>
        <w:rPr>
          <w:color w:val="231F20"/>
        </w:rPr>
        <w:t>e</w:t>
      </w:r>
      <w:r>
        <w:rPr>
          <w:color w:val="231F20"/>
          <w:spacing w:val="-19"/>
        </w:rPr>
        <w:t> </w:t>
      </w:r>
      <w:r>
        <w:rPr>
          <w:color w:val="231F20"/>
        </w:rPr>
        <w:t>istituzionale,</w:t>
      </w:r>
      <w:r>
        <w:rPr>
          <w:color w:val="231F20"/>
          <w:spacing w:val="-19"/>
        </w:rPr>
        <w:t> </w:t>
      </w:r>
      <w:r>
        <w:rPr>
          <w:color w:val="231F20"/>
        </w:rPr>
        <w:t>posteriori</w:t>
      </w:r>
      <w:r>
        <w:rPr>
          <w:color w:val="231F20"/>
          <w:spacing w:val="-19"/>
        </w:rPr>
        <w:t> </w:t>
      </w:r>
      <w:r>
        <w:rPr>
          <w:color w:val="231F20"/>
        </w:rPr>
        <w:t>alla fine dei processi di democratizzazione della fine del secolo </w:t>
      </w:r>
      <w:r>
        <w:rPr>
          <w:color w:val="231F20"/>
          <w:sz w:val="18"/>
        </w:rPr>
        <w:t>XX</w:t>
      </w:r>
      <w:r>
        <w:rPr>
          <w:color w:val="231F20"/>
        </w:rPr>
        <w:t>, compresa </w:t>
      </w:r>
      <w:r>
        <w:rPr>
          <w:color w:val="231F20"/>
          <w:spacing w:val="2"/>
        </w:rPr>
        <w:t>l’erosione </w:t>
      </w:r>
      <w:r>
        <w:rPr>
          <w:color w:val="231F20"/>
        </w:rPr>
        <w:t>di </w:t>
      </w:r>
      <w:r>
        <w:rPr>
          <w:color w:val="231F20"/>
          <w:spacing w:val="2"/>
        </w:rPr>
        <w:t>certe versanti autoritarie </w:t>
      </w:r>
      <w:r>
        <w:rPr>
          <w:color w:val="231F20"/>
        </w:rPr>
        <w:t>nel </w:t>
      </w:r>
      <w:r>
        <w:rPr>
          <w:color w:val="231F20"/>
          <w:spacing w:val="2"/>
        </w:rPr>
        <w:t>concerto </w:t>
      </w:r>
      <w:r>
        <w:rPr>
          <w:color w:val="231F20"/>
        </w:rPr>
        <w:t>tra </w:t>
      </w:r>
      <w:r>
        <w:rPr>
          <w:color w:val="231F20"/>
          <w:spacing w:val="2"/>
        </w:rPr>
        <w:t>nazioni </w:t>
      </w:r>
      <w:r>
        <w:rPr>
          <w:color w:val="231F20"/>
        </w:rPr>
        <w:t>che </w:t>
      </w:r>
      <w:r>
        <w:rPr>
          <w:color w:val="231F20"/>
          <w:spacing w:val="3"/>
        </w:rPr>
        <w:t>non </w:t>
      </w:r>
      <w:r>
        <w:rPr>
          <w:color w:val="231F20"/>
        </w:rPr>
        <w:t>hanno seguito la strada della democrazia. Sciolta la logica amico–nemico che era propria del rapporto polare ereditato dal secondo dopoguerra, tra democrazia–socialismo, è apparsa una tensione costitutiva, non inedita</w:t>
      </w:r>
      <w:r>
        <w:rPr>
          <w:color w:val="231F20"/>
          <w:spacing w:val="-18"/>
        </w:rPr>
        <w:t> </w:t>
      </w:r>
      <w:r>
        <w:rPr>
          <w:color w:val="231F20"/>
        </w:rPr>
        <w:t>ma crescente</w:t>
      </w:r>
      <w:r>
        <w:rPr>
          <w:color w:val="231F20"/>
          <w:spacing w:val="-12"/>
        </w:rPr>
        <w:t> </w:t>
      </w:r>
      <w:r>
        <w:rPr>
          <w:color w:val="231F20"/>
        </w:rPr>
        <w:t>e</w:t>
      </w:r>
      <w:r>
        <w:rPr>
          <w:color w:val="231F20"/>
          <w:spacing w:val="-12"/>
        </w:rPr>
        <w:t> </w:t>
      </w:r>
      <w:r>
        <w:rPr>
          <w:color w:val="231F20"/>
        </w:rPr>
        <w:t>“pungente”,</w:t>
      </w:r>
      <w:r>
        <w:rPr>
          <w:color w:val="231F20"/>
          <w:spacing w:val="-12"/>
        </w:rPr>
        <w:t> </w:t>
      </w:r>
      <w:r>
        <w:rPr>
          <w:color w:val="231F20"/>
        </w:rPr>
        <w:t>nei</w:t>
      </w:r>
      <w:r>
        <w:rPr>
          <w:color w:val="231F20"/>
          <w:spacing w:val="-12"/>
        </w:rPr>
        <w:t> </w:t>
      </w:r>
      <w:r>
        <w:rPr>
          <w:color w:val="231F20"/>
        </w:rPr>
        <w:t>limiti</w:t>
      </w:r>
      <w:r>
        <w:rPr>
          <w:color w:val="231F20"/>
          <w:spacing w:val="-12"/>
        </w:rPr>
        <w:t> </w:t>
      </w:r>
      <w:r>
        <w:rPr>
          <w:color w:val="231F20"/>
        </w:rPr>
        <w:t>interni</w:t>
      </w:r>
      <w:r>
        <w:rPr>
          <w:color w:val="231F20"/>
          <w:spacing w:val="-12"/>
        </w:rPr>
        <w:t> </w:t>
      </w:r>
      <w:r>
        <w:rPr>
          <w:color w:val="231F20"/>
        </w:rPr>
        <w:t>della</w:t>
      </w:r>
      <w:r>
        <w:rPr>
          <w:color w:val="231F20"/>
          <w:spacing w:val="-12"/>
        </w:rPr>
        <w:t> </w:t>
      </w:r>
      <w:r>
        <w:rPr>
          <w:color w:val="231F20"/>
        </w:rPr>
        <w:t>democrazia:</w:t>
      </w:r>
      <w:r>
        <w:rPr>
          <w:color w:val="231F20"/>
          <w:spacing w:val="-12"/>
        </w:rPr>
        <w:t> </w:t>
      </w:r>
      <w:r>
        <w:rPr>
          <w:color w:val="231F20"/>
        </w:rPr>
        <w:t>la</w:t>
      </w:r>
      <w:r>
        <w:rPr>
          <w:color w:val="231F20"/>
          <w:spacing w:val="-12"/>
        </w:rPr>
        <w:t> </w:t>
      </w:r>
      <w:r>
        <w:rPr>
          <w:color w:val="231F20"/>
        </w:rPr>
        <w:t>modificazione </w:t>
      </w:r>
      <w:r>
        <w:rPr>
          <w:color w:val="231F20"/>
          <w:spacing w:val="2"/>
        </w:rPr>
        <w:t>delle mappe mentali rispetto </w:t>
      </w:r>
      <w:r>
        <w:rPr>
          <w:color w:val="231F20"/>
        </w:rPr>
        <w:t>al </w:t>
      </w:r>
      <w:r>
        <w:rPr>
          <w:color w:val="231F20"/>
          <w:spacing w:val="2"/>
        </w:rPr>
        <w:t>tema della </w:t>
      </w:r>
      <w:r>
        <w:rPr>
          <w:color w:val="231F20"/>
        </w:rPr>
        <w:t>fiducia che </w:t>
      </w:r>
      <w:r>
        <w:rPr>
          <w:color w:val="231F20"/>
          <w:spacing w:val="3"/>
        </w:rPr>
        <w:t>potenzialmente </w:t>
      </w:r>
      <w:r>
        <w:rPr>
          <w:color w:val="231F20"/>
          <w:spacing w:val="2"/>
        </w:rPr>
        <w:t>poteva prodursi </w:t>
      </w:r>
      <w:r>
        <w:rPr>
          <w:color w:val="231F20"/>
        </w:rPr>
        <w:t>tra </w:t>
      </w:r>
      <w:r>
        <w:rPr>
          <w:color w:val="231F20"/>
          <w:spacing w:val="2"/>
        </w:rPr>
        <w:t>soggetti, soprattutto come reazione </w:t>
      </w:r>
      <w:r>
        <w:rPr>
          <w:color w:val="231F20"/>
        </w:rPr>
        <w:t>di fronte a tre manifestazioni delle interfasi della insicurezza: la paura dello straniero, il quale,</w:t>
      </w:r>
      <w:r>
        <w:rPr>
          <w:color w:val="231F20"/>
          <w:spacing w:val="-17"/>
        </w:rPr>
        <w:t> </w:t>
      </w:r>
      <w:r>
        <w:rPr>
          <w:color w:val="231F20"/>
        </w:rPr>
        <w:t>per</w:t>
      </w:r>
      <w:r>
        <w:rPr>
          <w:color w:val="231F20"/>
          <w:spacing w:val="-17"/>
        </w:rPr>
        <w:t> </w:t>
      </w:r>
      <w:r>
        <w:rPr>
          <w:color w:val="231F20"/>
        </w:rPr>
        <w:t>la</w:t>
      </w:r>
      <w:r>
        <w:rPr>
          <w:color w:val="231F20"/>
          <w:spacing w:val="-17"/>
        </w:rPr>
        <w:t> </w:t>
      </w:r>
      <w:r>
        <w:rPr>
          <w:color w:val="231F20"/>
        </w:rPr>
        <w:t>sua</w:t>
      </w:r>
      <w:r>
        <w:rPr>
          <w:color w:val="231F20"/>
          <w:spacing w:val="-17"/>
        </w:rPr>
        <w:t> </w:t>
      </w:r>
      <w:r>
        <w:rPr>
          <w:color w:val="231F20"/>
        </w:rPr>
        <w:t>mancanza</w:t>
      </w:r>
      <w:r>
        <w:rPr>
          <w:color w:val="231F20"/>
          <w:spacing w:val="-17"/>
        </w:rPr>
        <w:t> </w:t>
      </w:r>
      <w:r>
        <w:rPr>
          <w:color w:val="231F20"/>
        </w:rPr>
        <w:t>d’ascrizione</w:t>
      </w:r>
      <w:r>
        <w:rPr>
          <w:color w:val="231F20"/>
          <w:spacing w:val="-17"/>
        </w:rPr>
        <w:t> </w:t>
      </w:r>
      <w:r>
        <w:rPr>
          <w:color w:val="231F20"/>
        </w:rPr>
        <w:t>al</w:t>
      </w:r>
      <w:r>
        <w:rPr>
          <w:color w:val="231F20"/>
          <w:spacing w:val="-17"/>
        </w:rPr>
        <w:t> </w:t>
      </w:r>
      <w:r>
        <w:rPr>
          <w:color w:val="231F20"/>
          <w:spacing w:val="-3"/>
        </w:rPr>
        <w:t>mercato</w:t>
      </w:r>
      <w:r>
        <w:rPr>
          <w:color w:val="231F20"/>
          <w:spacing w:val="-17"/>
        </w:rPr>
        <w:t> </w:t>
      </w:r>
      <w:r>
        <w:rPr>
          <w:color w:val="231F20"/>
        </w:rPr>
        <w:t>nazionale</w:t>
      </w:r>
      <w:r>
        <w:rPr>
          <w:color w:val="231F20"/>
          <w:spacing w:val="-17"/>
        </w:rPr>
        <w:t> </w:t>
      </w:r>
      <w:r>
        <w:rPr>
          <w:color w:val="231F20"/>
          <w:spacing w:val="-3"/>
        </w:rPr>
        <w:t>preponderante</w:t>
      </w:r>
    </w:p>
    <w:p>
      <w:pPr>
        <w:pStyle w:val="BodyText"/>
        <w:spacing w:before="2"/>
        <w:rPr>
          <w:sz w:val="25"/>
        </w:rPr>
      </w:pPr>
      <w:r>
        <w:rPr/>
        <w:pict>
          <v:line style="position:absolute;mso-position-horizontal-relative:page;mso-position-vertical-relative:paragraph;z-index:13888;mso-wrap-distance-left:0;mso-wrap-distance-right:0" from="65.1968pt,17.291183pt" to="178.5828pt,17.291183pt" stroked="true" strokeweight=".3pt" strokecolor="#231f20">
            <w10:wrap type="topAndBottom"/>
          </v:line>
        </w:pict>
      </w:r>
    </w:p>
    <w:p>
      <w:pPr>
        <w:spacing w:line="204" w:lineRule="exact" w:before="8"/>
        <w:ind w:left="103" w:right="101" w:firstLine="0"/>
        <w:jc w:val="left"/>
        <w:rPr>
          <w:rFonts w:ascii="Calibri" w:hAnsi="Calibri"/>
          <w:sz w:val="17"/>
        </w:rPr>
      </w:pPr>
      <w:r>
        <w:rPr>
          <w:rFonts w:ascii="Calibri" w:hAnsi="Calibri"/>
          <w:color w:val="231F20"/>
          <w:position w:val="6"/>
          <w:sz w:val="10"/>
        </w:rPr>
        <w:t>52 </w:t>
      </w:r>
      <w:r>
        <w:rPr>
          <w:rFonts w:ascii="Calibri" w:hAnsi="Calibri"/>
          <w:color w:val="231F20"/>
          <w:sz w:val="17"/>
        </w:rPr>
        <w:t>N. Lechner, </w:t>
      </w:r>
      <w:r>
        <w:rPr>
          <w:rFonts w:ascii="Calibri" w:hAnsi="Calibri"/>
          <w:i/>
          <w:color w:val="231F20"/>
          <w:sz w:val="17"/>
        </w:rPr>
        <w:t>Los patios interiores de la democracia. Subjetividad y política</w:t>
      </w:r>
      <w:r>
        <w:rPr>
          <w:rFonts w:ascii="Calibri" w:hAnsi="Calibri"/>
          <w:color w:val="231F20"/>
          <w:sz w:val="17"/>
        </w:rPr>
        <w:t>, Santiago de Chile, Fondo de Cultura Económica, 1990, pp. 18–19.</w:t>
      </w:r>
    </w:p>
    <w:p>
      <w:pPr>
        <w:pStyle w:val="BodyText"/>
        <w:rPr>
          <w:rFonts w:ascii="Calibri"/>
          <w:sz w:val="20"/>
        </w:rPr>
      </w:pPr>
    </w:p>
    <w:p>
      <w:pPr>
        <w:pStyle w:val="BodyText"/>
        <w:spacing w:before="1"/>
        <w:rPr>
          <w:rFonts w:ascii="Calibri"/>
          <w:sz w:val="28"/>
        </w:rPr>
      </w:pPr>
    </w:p>
    <w:p>
      <w:pPr>
        <w:tabs>
          <w:tab w:pos="1317" w:val="left" w:leader="none"/>
        </w:tabs>
        <w:spacing w:before="69"/>
        <w:ind w:left="212" w:right="0" w:firstLine="0"/>
        <w:jc w:val="left"/>
        <w:rPr>
          <w:rFonts w:ascii="Calibri"/>
          <w:sz w:val="16"/>
        </w:rPr>
      </w:pPr>
      <w:r>
        <w:rPr/>
        <w:pict>
          <v:group style="position:absolute;margin-left:98.079102pt;margin-top:-3.308812pt;width:20.4pt;height:43pt;mso-position-horizontal-relative:page;mso-position-vertical-relative:paragraph;z-index:-161488" coordorigin="1962,-66" coordsize="408,860">
            <v:line style="position:absolute" from="2211,73" to="2211,789" stroked="true" strokeweight=".35pt" strokecolor="#231f20"/>
            <v:shape style="position:absolute;left:2179;top:-13;width:190;height:445" type="#_x0000_t75" stroked="false">
              <v:imagedata r:id="rId34" o:title=""/>
            </v:shape>
            <v:shape style="position:absolute;left:1962;top:-66;width:250;height:502" type="#_x0000_t75" stroked="false">
              <v:imagedata r:id="rId35" o:title=""/>
            </v:shape>
            <w10:wrap type="none"/>
          </v:group>
        </w:pict>
      </w:r>
      <w:r>
        <w:rPr>
          <w:rFonts w:ascii="Trebuchet MS"/>
          <w:color w:val="414042"/>
          <w:w w:val="105"/>
          <w:position w:val="-4"/>
          <w:sz w:val="20"/>
        </w:rPr>
        <w:t>124</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98" w:lineRule="exact" w:before="52"/>
        <w:ind w:left="0" w:right="0" w:firstLine="0"/>
        <w:jc w:val="right"/>
        <w:rPr>
          <w:rFonts w:ascii="Lucida Sans Unicode" w:hAnsi="Lucida Sans Unicode"/>
          <w:sz w:val="14"/>
        </w:rPr>
      </w:pPr>
      <w:r>
        <w:rPr/>
        <w:pict>
          <v:group style="position:absolute;margin-left:383.821014pt;margin-top:-25.479271pt;width:8.65pt;height:41pt;mso-position-horizontal-relative:page;mso-position-vertical-relative:paragraph;z-index:1396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“L’ESTERNO È SEMPRE DENTRO”. TENSIONI E TRASFORMAZIONI RECENTI NELLO SPAZIO POLITICO</w:t>
      </w:r>
    </w:p>
    <w:p>
      <w:pPr>
        <w:spacing w:line="198" w:lineRule="exact" w:before="0"/>
        <w:ind w:left="0" w:right="0" w:firstLine="0"/>
        <w:jc w:val="right"/>
        <w:rPr>
          <w:rFonts w:ascii="Lucida Sans Unicode"/>
          <w:sz w:val="14"/>
        </w:rPr>
      </w:pPr>
      <w:r>
        <w:rPr>
          <w:rFonts w:ascii="Lucida Sans Unicode"/>
          <w:color w:val="6D6E71"/>
          <w:w w:val="90"/>
          <w:sz w:val="14"/>
        </w:rPr>
        <w:t>DELLO STATO E LA DEMOCRAZIA</w:t>
      </w:r>
    </w:p>
    <w:p>
      <w:pPr>
        <w:spacing w:before="59"/>
        <w:ind w:left="338" w:right="0" w:firstLine="0"/>
        <w:jc w:val="left"/>
        <w:rPr>
          <w:rFonts w:ascii="Trebuchet MS"/>
          <w:sz w:val="20"/>
        </w:rPr>
      </w:pPr>
      <w:r>
        <w:rPr/>
        <w:br w:type="column"/>
      </w:r>
      <w:r>
        <w:rPr>
          <w:rFonts w:ascii="Trebuchet MS"/>
          <w:color w:val="414042"/>
          <w:w w:val="105"/>
          <w:sz w:val="20"/>
        </w:rPr>
        <w:t>125</w:t>
      </w:r>
    </w:p>
    <w:p>
      <w:pPr>
        <w:spacing w:after="0"/>
        <w:jc w:val="left"/>
        <w:rPr>
          <w:rFonts w:ascii="Trebuchet MS"/>
          <w:sz w:val="20"/>
        </w:rPr>
        <w:sectPr>
          <w:type w:val="continuous"/>
          <w:pgSz w:w="9640" w:h="13890"/>
          <w:pgMar w:top="0" w:bottom="0" w:left="1300" w:right="1180"/>
          <w:cols w:num="2" w:equalWidth="0">
            <w:col w:w="6261" w:space="40"/>
            <w:col w:w="859"/>
          </w:cols>
        </w:sectPr>
      </w:pPr>
    </w:p>
    <w:p>
      <w:pPr>
        <w:pStyle w:val="BodyText"/>
        <w:rPr>
          <w:rFonts w:ascii="Trebuchet MS"/>
          <w:sz w:val="20"/>
        </w:rPr>
      </w:pPr>
    </w:p>
    <w:p>
      <w:pPr>
        <w:pStyle w:val="BodyText"/>
        <w:spacing w:before="8"/>
        <w:rPr>
          <w:rFonts w:ascii="Trebuchet MS"/>
          <w:sz w:val="15"/>
        </w:rPr>
      </w:pPr>
    </w:p>
    <w:p>
      <w:pPr>
        <w:pStyle w:val="BodyText"/>
        <w:spacing w:line="247" w:lineRule="auto" w:before="49"/>
        <w:ind w:left="117" w:right="121"/>
        <w:jc w:val="both"/>
      </w:pPr>
      <w:r>
        <w:rPr>
          <w:color w:val="231F20"/>
          <w:w w:val="105"/>
        </w:rPr>
        <w:t>della cultura, viene aggredito;</w:t>
      </w:r>
      <w:r>
        <w:rPr>
          <w:color w:val="231F20"/>
          <w:w w:val="105"/>
          <w:position w:val="7"/>
          <w:sz w:val="12"/>
        </w:rPr>
        <w:t>53 </w:t>
      </w:r>
      <w:r>
        <w:rPr>
          <w:color w:val="231F20"/>
          <w:w w:val="105"/>
        </w:rPr>
        <w:t>la paura che appare con la figura dello estraneo</w:t>
      </w:r>
      <w:r>
        <w:rPr>
          <w:color w:val="231F20"/>
          <w:spacing w:val="-32"/>
          <w:w w:val="105"/>
        </w:rPr>
        <w:t> </w:t>
      </w:r>
      <w:r>
        <w:rPr>
          <w:color w:val="231F20"/>
          <w:w w:val="105"/>
        </w:rPr>
        <w:t>dall’interno,</w:t>
      </w:r>
      <w:r>
        <w:rPr>
          <w:color w:val="231F20"/>
          <w:spacing w:val="-32"/>
          <w:w w:val="105"/>
        </w:rPr>
        <w:t> </w:t>
      </w:r>
      <w:r>
        <w:rPr>
          <w:color w:val="231F20"/>
          <w:w w:val="105"/>
        </w:rPr>
        <w:t>quei</w:t>
      </w:r>
      <w:r>
        <w:rPr>
          <w:color w:val="231F20"/>
          <w:spacing w:val="-32"/>
          <w:w w:val="105"/>
        </w:rPr>
        <w:t> </w:t>
      </w:r>
      <w:r>
        <w:rPr>
          <w:color w:val="231F20"/>
          <w:w w:val="105"/>
        </w:rPr>
        <w:t>nuovi</w:t>
      </w:r>
      <w:r>
        <w:rPr>
          <w:color w:val="231F20"/>
          <w:spacing w:val="-32"/>
          <w:w w:val="105"/>
        </w:rPr>
        <w:t> </w:t>
      </w:r>
      <w:r>
        <w:rPr>
          <w:color w:val="231F20"/>
          <w:w w:val="105"/>
        </w:rPr>
        <w:t>“condannati</w:t>
      </w:r>
      <w:r>
        <w:rPr>
          <w:color w:val="231F20"/>
          <w:spacing w:val="-32"/>
          <w:w w:val="105"/>
        </w:rPr>
        <w:t> </w:t>
      </w:r>
      <w:r>
        <w:rPr>
          <w:color w:val="231F20"/>
          <w:w w:val="105"/>
        </w:rPr>
        <w:t>dalla</w:t>
      </w:r>
      <w:r>
        <w:rPr>
          <w:color w:val="231F20"/>
          <w:spacing w:val="-32"/>
          <w:w w:val="105"/>
        </w:rPr>
        <w:t> </w:t>
      </w:r>
      <w:r>
        <w:rPr>
          <w:color w:val="231F20"/>
          <w:w w:val="105"/>
        </w:rPr>
        <w:t>terra”</w:t>
      </w:r>
      <w:r>
        <w:rPr>
          <w:color w:val="231F20"/>
          <w:spacing w:val="-32"/>
          <w:w w:val="105"/>
        </w:rPr>
        <w:t> </w:t>
      </w:r>
      <w:r>
        <w:rPr>
          <w:color w:val="231F20"/>
          <w:w w:val="105"/>
        </w:rPr>
        <w:t>che</w:t>
      </w:r>
      <w:r>
        <w:rPr>
          <w:color w:val="231F20"/>
          <w:spacing w:val="-32"/>
          <w:w w:val="105"/>
        </w:rPr>
        <w:t> </w:t>
      </w:r>
      <w:r>
        <w:rPr>
          <w:color w:val="231F20"/>
          <w:w w:val="105"/>
        </w:rPr>
        <w:t>manifestano una</w:t>
      </w:r>
      <w:r>
        <w:rPr>
          <w:color w:val="231F20"/>
          <w:spacing w:val="-53"/>
          <w:w w:val="105"/>
        </w:rPr>
        <w:t> </w:t>
      </w:r>
      <w:r>
        <w:rPr>
          <w:color w:val="231F20"/>
          <w:w w:val="105"/>
        </w:rPr>
        <w:t>posizione</w:t>
      </w:r>
      <w:r>
        <w:rPr>
          <w:color w:val="231F20"/>
          <w:spacing w:val="-53"/>
          <w:w w:val="105"/>
        </w:rPr>
        <w:t> </w:t>
      </w:r>
      <w:r>
        <w:rPr>
          <w:color w:val="231F20"/>
          <w:w w:val="105"/>
        </w:rPr>
        <w:t>di</w:t>
      </w:r>
      <w:r>
        <w:rPr>
          <w:color w:val="231F20"/>
          <w:spacing w:val="-53"/>
          <w:w w:val="105"/>
        </w:rPr>
        <w:t> </w:t>
      </w:r>
      <w:r>
        <w:rPr>
          <w:color w:val="231F20"/>
          <w:w w:val="105"/>
        </w:rPr>
        <w:t>inferiorità</w:t>
      </w:r>
      <w:r>
        <w:rPr>
          <w:color w:val="231F20"/>
          <w:spacing w:val="-53"/>
          <w:w w:val="105"/>
        </w:rPr>
        <w:t> </w:t>
      </w:r>
      <w:r>
        <w:rPr>
          <w:color w:val="231F20"/>
          <w:w w:val="105"/>
        </w:rPr>
        <w:t>spaziale</w:t>
      </w:r>
      <w:r>
        <w:rPr>
          <w:color w:val="231F20"/>
          <w:spacing w:val="-53"/>
          <w:w w:val="105"/>
        </w:rPr>
        <w:t> </w:t>
      </w:r>
      <w:r>
        <w:rPr>
          <w:color w:val="231F20"/>
          <w:w w:val="105"/>
        </w:rPr>
        <w:t>e</w:t>
      </w:r>
      <w:r>
        <w:rPr>
          <w:color w:val="231F20"/>
          <w:spacing w:val="-53"/>
          <w:w w:val="105"/>
        </w:rPr>
        <w:t> </w:t>
      </w:r>
      <w:r>
        <w:rPr>
          <w:color w:val="231F20"/>
          <w:w w:val="105"/>
        </w:rPr>
        <w:t>politico–economica</w:t>
      </w:r>
      <w:r>
        <w:rPr>
          <w:color w:val="231F20"/>
          <w:spacing w:val="-53"/>
          <w:w w:val="105"/>
        </w:rPr>
        <w:t> </w:t>
      </w:r>
      <w:r>
        <w:rPr>
          <w:color w:val="231F20"/>
          <w:w w:val="105"/>
        </w:rPr>
        <w:t>nella</w:t>
      </w:r>
      <w:r>
        <w:rPr>
          <w:color w:val="231F20"/>
          <w:spacing w:val="-53"/>
          <w:w w:val="105"/>
        </w:rPr>
        <w:t> </w:t>
      </w:r>
      <w:r>
        <w:rPr>
          <w:color w:val="231F20"/>
          <w:w w:val="105"/>
        </w:rPr>
        <w:t>vita</w:t>
      </w:r>
      <w:r>
        <w:rPr>
          <w:color w:val="231F20"/>
          <w:spacing w:val="-53"/>
          <w:w w:val="105"/>
        </w:rPr>
        <w:t> </w:t>
      </w:r>
      <w:r>
        <w:rPr>
          <w:color w:val="231F20"/>
          <w:w w:val="105"/>
        </w:rPr>
        <w:t>in</w:t>
      </w:r>
      <w:r>
        <w:rPr>
          <w:color w:val="231F20"/>
          <w:spacing w:val="-53"/>
          <w:w w:val="105"/>
        </w:rPr>
        <w:t> </w:t>
      </w:r>
      <w:r>
        <w:rPr>
          <w:color w:val="231F20"/>
          <w:w w:val="105"/>
        </w:rPr>
        <w:t>società e</w:t>
      </w:r>
      <w:r>
        <w:rPr>
          <w:color w:val="231F20"/>
          <w:spacing w:val="-23"/>
          <w:w w:val="105"/>
        </w:rPr>
        <w:t> </w:t>
      </w:r>
      <w:r>
        <w:rPr>
          <w:color w:val="231F20"/>
          <w:w w:val="105"/>
        </w:rPr>
        <w:t>nel</w:t>
      </w:r>
      <w:r>
        <w:rPr>
          <w:color w:val="231F20"/>
          <w:spacing w:val="-23"/>
          <w:w w:val="105"/>
        </w:rPr>
        <w:t> </w:t>
      </w:r>
      <w:r>
        <w:rPr>
          <w:color w:val="231F20"/>
          <w:w w:val="105"/>
        </w:rPr>
        <w:t>mezzo</w:t>
      </w:r>
      <w:r>
        <w:rPr>
          <w:color w:val="231F20"/>
          <w:spacing w:val="-23"/>
          <w:w w:val="105"/>
        </w:rPr>
        <w:t> </w:t>
      </w:r>
      <w:r>
        <w:rPr>
          <w:color w:val="231F20"/>
          <w:w w:val="105"/>
        </w:rPr>
        <w:t>di</w:t>
      </w:r>
      <w:r>
        <w:rPr>
          <w:color w:val="231F20"/>
          <w:spacing w:val="-23"/>
          <w:w w:val="105"/>
        </w:rPr>
        <w:t> </w:t>
      </w:r>
      <w:r>
        <w:rPr>
          <w:color w:val="231F20"/>
          <w:w w:val="105"/>
        </w:rPr>
        <w:t>una</w:t>
      </w:r>
      <w:r>
        <w:rPr>
          <w:color w:val="231F20"/>
          <w:spacing w:val="-23"/>
          <w:w w:val="105"/>
        </w:rPr>
        <w:t> </w:t>
      </w:r>
      <w:r>
        <w:rPr>
          <w:color w:val="231F20"/>
          <w:w w:val="105"/>
        </w:rPr>
        <w:t>crescente</w:t>
      </w:r>
      <w:r>
        <w:rPr>
          <w:color w:val="231F20"/>
          <w:spacing w:val="-23"/>
          <w:w w:val="105"/>
        </w:rPr>
        <w:t> </w:t>
      </w:r>
      <w:r>
        <w:rPr>
          <w:color w:val="231F20"/>
          <w:w w:val="105"/>
        </w:rPr>
        <w:t>produzione</w:t>
      </w:r>
      <w:r>
        <w:rPr>
          <w:color w:val="231F20"/>
          <w:spacing w:val="-23"/>
          <w:w w:val="105"/>
        </w:rPr>
        <w:t> </w:t>
      </w:r>
      <w:r>
        <w:rPr>
          <w:color w:val="231F20"/>
          <w:w w:val="105"/>
        </w:rPr>
        <w:t>di</w:t>
      </w:r>
      <w:r>
        <w:rPr>
          <w:color w:val="231F20"/>
          <w:spacing w:val="-23"/>
          <w:w w:val="105"/>
        </w:rPr>
        <w:t> </w:t>
      </w:r>
      <w:r>
        <w:rPr>
          <w:color w:val="231F20"/>
          <w:w w:val="105"/>
        </w:rPr>
        <w:t>mercati</w:t>
      </w:r>
      <w:r>
        <w:rPr>
          <w:color w:val="231F20"/>
          <w:spacing w:val="-23"/>
          <w:w w:val="105"/>
        </w:rPr>
        <w:t> </w:t>
      </w:r>
      <w:r>
        <w:rPr>
          <w:color w:val="231F20"/>
          <w:w w:val="105"/>
        </w:rPr>
        <w:t>dell’abbandono</w:t>
      </w:r>
      <w:r>
        <w:rPr>
          <w:color w:val="231F20"/>
          <w:spacing w:val="-23"/>
          <w:w w:val="105"/>
        </w:rPr>
        <w:t> </w:t>
      </w:r>
      <w:r>
        <w:rPr>
          <w:color w:val="231F20"/>
          <w:w w:val="105"/>
        </w:rPr>
        <w:t>fino</w:t>
      </w:r>
      <w:r>
        <w:rPr>
          <w:color w:val="231F20"/>
          <w:spacing w:val="-23"/>
          <w:w w:val="105"/>
        </w:rPr>
        <w:t> </w:t>
      </w:r>
      <w:r>
        <w:rPr>
          <w:color w:val="231F20"/>
          <w:w w:val="105"/>
        </w:rPr>
        <w:t>a poco</w:t>
      </w:r>
      <w:r>
        <w:rPr>
          <w:color w:val="231F20"/>
          <w:spacing w:val="-44"/>
          <w:w w:val="105"/>
        </w:rPr>
        <w:t> </w:t>
      </w:r>
      <w:r>
        <w:rPr>
          <w:color w:val="231F20"/>
          <w:w w:val="105"/>
        </w:rPr>
        <w:t>tempo</w:t>
      </w:r>
      <w:r>
        <w:rPr>
          <w:color w:val="231F20"/>
          <w:spacing w:val="-44"/>
          <w:w w:val="105"/>
        </w:rPr>
        <w:t> </w:t>
      </w:r>
      <w:r>
        <w:rPr>
          <w:color w:val="231F20"/>
          <w:w w:val="105"/>
        </w:rPr>
        <w:t>fa</w:t>
      </w:r>
      <w:r>
        <w:rPr>
          <w:color w:val="231F20"/>
          <w:spacing w:val="-44"/>
          <w:w w:val="105"/>
        </w:rPr>
        <w:t> </w:t>
      </w:r>
      <w:r>
        <w:rPr>
          <w:color w:val="231F20"/>
          <w:w w:val="105"/>
        </w:rPr>
        <w:t>sconosciuti</w:t>
      </w:r>
      <w:r>
        <w:rPr>
          <w:color w:val="231F20"/>
          <w:spacing w:val="-44"/>
          <w:w w:val="105"/>
        </w:rPr>
        <w:t> </w:t>
      </w:r>
      <w:r>
        <w:rPr>
          <w:color w:val="231F20"/>
          <w:w w:val="105"/>
        </w:rPr>
        <w:t>che,</w:t>
      </w:r>
      <w:r>
        <w:rPr>
          <w:color w:val="231F20"/>
          <w:spacing w:val="-44"/>
          <w:w w:val="105"/>
        </w:rPr>
        <w:t> </w:t>
      </w:r>
      <w:r>
        <w:rPr>
          <w:color w:val="231F20"/>
          <w:w w:val="105"/>
        </w:rPr>
        <w:t>da</w:t>
      </w:r>
      <w:r>
        <w:rPr>
          <w:color w:val="231F20"/>
          <w:spacing w:val="-44"/>
          <w:w w:val="105"/>
        </w:rPr>
        <w:t> </w:t>
      </w:r>
      <w:r>
        <w:rPr>
          <w:color w:val="231F20"/>
          <w:w w:val="105"/>
        </w:rPr>
        <w:t>parte</w:t>
      </w:r>
      <w:r>
        <w:rPr>
          <w:color w:val="231F20"/>
          <w:spacing w:val="-44"/>
          <w:w w:val="105"/>
        </w:rPr>
        <w:t> </w:t>
      </w:r>
      <w:r>
        <w:rPr>
          <w:color w:val="231F20"/>
          <w:w w:val="105"/>
        </w:rPr>
        <w:t>loro,</w:t>
      </w:r>
      <w:r>
        <w:rPr>
          <w:color w:val="231F20"/>
          <w:spacing w:val="-44"/>
          <w:w w:val="105"/>
        </w:rPr>
        <w:t> </w:t>
      </w:r>
      <w:r>
        <w:rPr>
          <w:color w:val="231F20"/>
          <w:w w:val="105"/>
        </w:rPr>
        <w:t>importano</w:t>
      </w:r>
      <w:r>
        <w:rPr>
          <w:color w:val="231F20"/>
          <w:spacing w:val="-44"/>
          <w:w w:val="105"/>
        </w:rPr>
        <w:t> </w:t>
      </w:r>
      <w:r>
        <w:rPr>
          <w:color w:val="231F20"/>
          <w:w w:val="105"/>
        </w:rPr>
        <w:t>un</w:t>
      </w:r>
      <w:r>
        <w:rPr>
          <w:color w:val="231F20"/>
          <w:spacing w:val="-44"/>
          <w:w w:val="105"/>
        </w:rPr>
        <w:t> </w:t>
      </w:r>
      <w:r>
        <w:rPr>
          <w:color w:val="231F20"/>
          <w:w w:val="105"/>
        </w:rPr>
        <w:t>effetto</w:t>
      </w:r>
      <w:r>
        <w:rPr>
          <w:color w:val="231F20"/>
          <w:spacing w:val="-44"/>
          <w:w w:val="105"/>
        </w:rPr>
        <w:t> </w:t>
      </w:r>
      <w:r>
        <w:rPr>
          <w:color w:val="231F20"/>
          <w:w w:val="105"/>
        </w:rPr>
        <w:t>negativo per</w:t>
      </w:r>
      <w:r>
        <w:rPr>
          <w:color w:val="231F20"/>
          <w:spacing w:val="-18"/>
          <w:w w:val="105"/>
        </w:rPr>
        <w:t> </w:t>
      </w:r>
      <w:r>
        <w:rPr>
          <w:color w:val="231F20"/>
          <w:w w:val="105"/>
        </w:rPr>
        <w:t>la</w:t>
      </w:r>
      <w:r>
        <w:rPr>
          <w:color w:val="231F20"/>
          <w:spacing w:val="-18"/>
          <w:w w:val="105"/>
        </w:rPr>
        <w:t> </w:t>
      </w:r>
      <w:r>
        <w:rPr>
          <w:color w:val="231F20"/>
          <w:w w:val="105"/>
        </w:rPr>
        <w:t>socializzazione</w:t>
      </w:r>
      <w:r>
        <w:rPr>
          <w:color w:val="231F20"/>
          <w:spacing w:val="-18"/>
          <w:w w:val="105"/>
        </w:rPr>
        <w:t> </w:t>
      </w:r>
      <w:r>
        <w:rPr>
          <w:color w:val="231F20"/>
          <w:w w:val="105"/>
        </w:rPr>
        <w:t>democratica</w:t>
      </w:r>
      <w:r>
        <w:rPr>
          <w:color w:val="231F20"/>
          <w:spacing w:val="-18"/>
          <w:w w:val="105"/>
        </w:rPr>
        <w:t> </w:t>
      </w:r>
      <w:r>
        <w:rPr>
          <w:color w:val="231F20"/>
          <w:w w:val="105"/>
        </w:rPr>
        <w:t>perchè</w:t>
      </w:r>
      <w:r>
        <w:rPr>
          <w:color w:val="231F20"/>
          <w:spacing w:val="-18"/>
          <w:w w:val="105"/>
        </w:rPr>
        <w:t> </w:t>
      </w:r>
      <w:r>
        <w:rPr>
          <w:color w:val="231F20"/>
          <w:w w:val="105"/>
        </w:rPr>
        <w:t>si</w:t>
      </w:r>
      <w:r>
        <w:rPr>
          <w:color w:val="231F20"/>
          <w:spacing w:val="-18"/>
          <w:w w:val="105"/>
        </w:rPr>
        <w:t> </w:t>
      </w:r>
      <w:r>
        <w:rPr>
          <w:color w:val="231F20"/>
          <w:w w:val="105"/>
        </w:rPr>
        <w:t>sostengono</w:t>
      </w:r>
      <w:r>
        <w:rPr>
          <w:color w:val="231F20"/>
          <w:spacing w:val="-18"/>
          <w:w w:val="105"/>
        </w:rPr>
        <w:t> </w:t>
      </w:r>
      <w:r>
        <w:rPr>
          <w:color w:val="231F20"/>
          <w:w w:val="105"/>
        </w:rPr>
        <w:t>sull’incapacità</w:t>
      </w:r>
      <w:r>
        <w:rPr>
          <w:color w:val="231F20"/>
          <w:spacing w:val="-18"/>
          <w:w w:val="105"/>
        </w:rPr>
        <w:t> </w:t>
      </w:r>
      <w:r>
        <w:rPr>
          <w:color w:val="231F20"/>
          <w:w w:val="105"/>
        </w:rPr>
        <w:t>di dissolvere</w:t>
      </w:r>
      <w:r>
        <w:rPr>
          <w:color w:val="231F20"/>
          <w:spacing w:val="-28"/>
          <w:w w:val="105"/>
        </w:rPr>
        <w:t> </w:t>
      </w:r>
      <w:r>
        <w:rPr>
          <w:color w:val="231F20"/>
          <w:w w:val="105"/>
        </w:rPr>
        <w:t>l’esclusione</w:t>
      </w:r>
      <w:r>
        <w:rPr>
          <w:color w:val="231F20"/>
          <w:spacing w:val="-28"/>
          <w:w w:val="105"/>
        </w:rPr>
        <w:t> </w:t>
      </w:r>
      <w:r>
        <w:rPr>
          <w:color w:val="231F20"/>
          <w:w w:val="105"/>
        </w:rPr>
        <w:t>nel</w:t>
      </w:r>
      <w:r>
        <w:rPr>
          <w:color w:val="231F20"/>
          <w:spacing w:val="-28"/>
          <w:w w:val="105"/>
        </w:rPr>
        <w:t> </w:t>
      </w:r>
      <w:r>
        <w:rPr>
          <w:color w:val="231F20"/>
          <w:w w:val="105"/>
        </w:rPr>
        <w:t>ambiente</w:t>
      </w:r>
      <w:r>
        <w:rPr>
          <w:color w:val="231F20"/>
          <w:spacing w:val="-28"/>
          <w:w w:val="105"/>
        </w:rPr>
        <w:t> </w:t>
      </w:r>
      <w:r>
        <w:rPr>
          <w:color w:val="231F20"/>
          <w:w w:val="105"/>
        </w:rPr>
        <w:t>economico</w:t>
      </w:r>
      <w:r>
        <w:rPr>
          <w:color w:val="231F20"/>
          <w:spacing w:val="-28"/>
          <w:w w:val="105"/>
        </w:rPr>
        <w:t> </w:t>
      </w:r>
      <w:r>
        <w:rPr>
          <w:color w:val="231F20"/>
          <w:w w:val="105"/>
        </w:rPr>
        <w:t>al</w:t>
      </w:r>
      <w:r>
        <w:rPr>
          <w:color w:val="231F20"/>
          <w:spacing w:val="-28"/>
          <w:w w:val="105"/>
        </w:rPr>
        <w:t> </w:t>
      </w:r>
      <w:r>
        <w:rPr>
          <w:color w:val="231F20"/>
          <w:w w:val="105"/>
        </w:rPr>
        <w:t>tempo</w:t>
      </w:r>
      <w:r>
        <w:rPr>
          <w:color w:val="231F20"/>
          <w:spacing w:val="-28"/>
          <w:w w:val="105"/>
        </w:rPr>
        <w:t> </w:t>
      </w:r>
      <w:r>
        <w:rPr>
          <w:color w:val="231F20"/>
          <w:w w:val="105"/>
        </w:rPr>
        <w:t>che</w:t>
      </w:r>
      <w:r>
        <w:rPr>
          <w:color w:val="231F20"/>
          <w:spacing w:val="-28"/>
          <w:w w:val="105"/>
        </w:rPr>
        <w:t> </w:t>
      </w:r>
      <w:r>
        <w:rPr>
          <w:color w:val="231F20"/>
          <w:w w:val="105"/>
        </w:rPr>
        <w:t>producono</w:t>
      </w:r>
      <w:r>
        <w:rPr>
          <w:color w:val="231F20"/>
          <w:spacing w:val="-28"/>
          <w:w w:val="105"/>
        </w:rPr>
        <w:t> </w:t>
      </w:r>
      <w:r>
        <w:rPr>
          <w:color w:val="231F20"/>
          <w:w w:val="105"/>
        </w:rPr>
        <w:t>il loro</w:t>
      </w:r>
      <w:r>
        <w:rPr>
          <w:color w:val="231F20"/>
          <w:spacing w:val="-47"/>
          <w:w w:val="105"/>
        </w:rPr>
        <w:t> </w:t>
      </w:r>
      <w:r>
        <w:rPr>
          <w:color w:val="231F20"/>
          <w:w w:val="105"/>
        </w:rPr>
        <w:t>correlato,</w:t>
      </w:r>
      <w:r>
        <w:rPr>
          <w:color w:val="231F20"/>
          <w:spacing w:val="-47"/>
          <w:w w:val="105"/>
        </w:rPr>
        <w:t> </w:t>
      </w:r>
      <w:r>
        <w:rPr>
          <w:color w:val="231F20"/>
          <w:w w:val="105"/>
        </w:rPr>
        <w:t>finalmente,</w:t>
      </w:r>
      <w:r>
        <w:rPr>
          <w:color w:val="231F20"/>
          <w:spacing w:val="-47"/>
          <w:w w:val="105"/>
        </w:rPr>
        <w:t> </w:t>
      </w:r>
      <w:r>
        <w:rPr>
          <w:color w:val="231F20"/>
          <w:w w:val="105"/>
        </w:rPr>
        <w:t>nella</w:t>
      </w:r>
      <w:r>
        <w:rPr>
          <w:color w:val="231F20"/>
          <w:spacing w:val="-47"/>
          <w:w w:val="105"/>
        </w:rPr>
        <w:t> </w:t>
      </w:r>
      <w:r>
        <w:rPr>
          <w:color w:val="231F20"/>
          <w:w w:val="105"/>
        </w:rPr>
        <w:t>paura</w:t>
      </w:r>
      <w:r>
        <w:rPr>
          <w:color w:val="231F20"/>
          <w:spacing w:val="-47"/>
          <w:w w:val="105"/>
        </w:rPr>
        <w:t> </w:t>
      </w:r>
      <w:r>
        <w:rPr>
          <w:color w:val="231F20"/>
          <w:w w:val="105"/>
        </w:rPr>
        <w:t>al</w:t>
      </w:r>
      <w:r>
        <w:rPr>
          <w:color w:val="231F20"/>
          <w:spacing w:val="-47"/>
          <w:w w:val="105"/>
        </w:rPr>
        <w:t> </w:t>
      </w:r>
      <w:r>
        <w:rPr>
          <w:color w:val="231F20"/>
          <w:w w:val="105"/>
        </w:rPr>
        <w:t>insensato</w:t>
      </w:r>
      <w:r>
        <w:rPr>
          <w:color w:val="231F20"/>
          <w:w w:val="105"/>
          <w:position w:val="7"/>
          <w:sz w:val="12"/>
        </w:rPr>
        <w:t>54</w:t>
      </w:r>
      <w:r>
        <w:rPr>
          <w:color w:val="231F20"/>
          <w:w w:val="105"/>
        </w:rPr>
        <w:t>.</w:t>
      </w:r>
    </w:p>
    <w:p>
      <w:pPr>
        <w:pStyle w:val="BodyText"/>
        <w:spacing w:line="247" w:lineRule="auto"/>
        <w:ind w:left="117" w:right="117" w:firstLine="566"/>
        <w:jc w:val="both"/>
      </w:pPr>
      <w:r>
        <w:rPr>
          <w:color w:val="231F20"/>
        </w:rPr>
        <w:t>In questo modo, è necessario sottolineare che la insicurezza, anche nella</w:t>
      </w:r>
      <w:r>
        <w:rPr>
          <w:color w:val="231F20"/>
          <w:spacing w:val="-31"/>
        </w:rPr>
        <w:t> </w:t>
      </w:r>
      <w:r>
        <w:rPr>
          <w:color w:val="231F20"/>
        </w:rPr>
        <w:t>sua</w:t>
      </w:r>
      <w:r>
        <w:rPr>
          <w:color w:val="231F20"/>
          <w:spacing w:val="-31"/>
        </w:rPr>
        <w:t> </w:t>
      </w:r>
      <w:r>
        <w:rPr>
          <w:color w:val="231F20"/>
        </w:rPr>
        <w:t>variante</w:t>
      </w:r>
      <w:r>
        <w:rPr>
          <w:color w:val="231F20"/>
          <w:spacing w:val="-31"/>
        </w:rPr>
        <w:t> </w:t>
      </w:r>
      <w:r>
        <w:rPr>
          <w:color w:val="231F20"/>
        </w:rPr>
        <w:t>istituzionale,</w:t>
      </w:r>
      <w:r>
        <w:rPr>
          <w:color w:val="231F20"/>
          <w:spacing w:val="-31"/>
        </w:rPr>
        <w:t> </w:t>
      </w:r>
      <w:r>
        <w:rPr>
          <w:color w:val="231F20"/>
        </w:rPr>
        <w:t>non</w:t>
      </w:r>
      <w:r>
        <w:rPr>
          <w:color w:val="231F20"/>
          <w:spacing w:val="-33"/>
        </w:rPr>
        <w:t> </w:t>
      </w:r>
      <w:r>
        <w:rPr>
          <w:color w:val="231F20"/>
        </w:rPr>
        <w:t>è</w:t>
      </w:r>
      <w:r>
        <w:rPr>
          <w:color w:val="231F20"/>
          <w:spacing w:val="-31"/>
        </w:rPr>
        <w:t> </w:t>
      </w:r>
      <w:r>
        <w:rPr>
          <w:color w:val="231F20"/>
        </w:rPr>
        <w:t>un</w:t>
      </w:r>
      <w:r>
        <w:rPr>
          <w:color w:val="231F20"/>
          <w:spacing w:val="-31"/>
        </w:rPr>
        <w:t> </w:t>
      </w:r>
      <w:r>
        <w:rPr>
          <w:color w:val="231F20"/>
        </w:rPr>
        <w:t>fenomeno</w:t>
      </w:r>
      <w:r>
        <w:rPr>
          <w:color w:val="231F20"/>
          <w:spacing w:val="-31"/>
        </w:rPr>
        <w:t> </w:t>
      </w:r>
      <w:r>
        <w:rPr>
          <w:color w:val="231F20"/>
        </w:rPr>
        <w:t>esclusivamente</w:t>
      </w:r>
      <w:r>
        <w:rPr>
          <w:color w:val="231F20"/>
          <w:spacing w:val="-31"/>
        </w:rPr>
        <w:t> </w:t>
      </w:r>
      <w:r>
        <w:rPr>
          <w:color w:val="231F20"/>
        </w:rPr>
        <w:t>criminale. Invece,</w:t>
      </w:r>
      <w:r>
        <w:rPr>
          <w:color w:val="231F20"/>
          <w:spacing w:val="-13"/>
        </w:rPr>
        <w:t> </w:t>
      </w:r>
      <w:r>
        <w:rPr>
          <w:color w:val="231F20"/>
        </w:rPr>
        <w:t>suppone</w:t>
      </w:r>
      <w:r>
        <w:rPr>
          <w:color w:val="231F20"/>
          <w:spacing w:val="-13"/>
        </w:rPr>
        <w:t> </w:t>
      </w:r>
      <w:r>
        <w:rPr>
          <w:color w:val="231F20"/>
        </w:rPr>
        <w:t>la</w:t>
      </w:r>
      <w:r>
        <w:rPr>
          <w:color w:val="231F20"/>
          <w:spacing w:val="-13"/>
        </w:rPr>
        <w:t> </w:t>
      </w:r>
      <w:r>
        <w:rPr>
          <w:color w:val="231F20"/>
        </w:rPr>
        <w:t>produzione</w:t>
      </w:r>
      <w:r>
        <w:rPr>
          <w:color w:val="231F20"/>
          <w:spacing w:val="-13"/>
        </w:rPr>
        <w:t> </w:t>
      </w:r>
      <w:r>
        <w:rPr>
          <w:color w:val="231F20"/>
        </w:rPr>
        <w:t>di</w:t>
      </w:r>
      <w:r>
        <w:rPr>
          <w:color w:val="231F20"/>
          <w:spacing w:val="-13"/>
        </w:rPr>
        <w:t> </w:t>
      </w:r>
      <w:r>
        <w:rPr>
          <w:color w:val="231F20"/>
        </w:rPr>
        <w:t>una</w:t>
      </w:r>
      <w:r>
        <w:rPr>
          <w:color w:val="231F20"/>
          <w:spacing w:val="-13"/>
        </w:rPr>
        <w:t> </w:t>
      </w:r>
      <w:r>
        <w:rPr>
          <w:color w:val="231F20"/>
        </w:rPr>
        <w:t>serie</w:t>
      </w:r>
      <w:r>
        <w:rPr>
          <w:color w:val="231F20"/>
          <w:spacing w:val="-13"/>
        </w:rPr>
        <w:t> </w:t>
      </w:r>
      <w:r>
        <w:rPr>
          <w:color w:val="231F20"/>
        </w:rPr>
        <w:t>di</w:t>
      </w:r>
      <w:r>
        <w:rPr>
          <w:color w:val="231F20"/>
          <w:spacing w:val="-13"/>
        </w:rPr>
        <w:t> </w:t>
      </w:r>
      <w:r>
        <w:rPr>
          <w:color w:val="231F20"/>
        </w:rPr>
        <w:t>ambienti</w:t>
      </w:r>
      <w:r>
        <w:rPr>
          <w:color w:val="231F20"/>
          <w:spacing w:val="-13"/>
        </w:rPr>
        <w:t> </w:t>
      </w:r>
      <w:r>
        <w:rPr>
          <w:color w:val="231F20"/>
        </w:rPr>
        <w:t>sociali</w:t>
      </w:r>
      <w:r>
        <w:rPr>
          <w:color w:val="231F20"/>
          <w:spacing w:val="-13"/>
        </w:rPr>
        <w:t> </w:t>
      </w:r>
      <w:r>
        <w:rPr>
          <w:color w:val="231F20"/>
        </w:rPr>
        <w:t>ed</w:t>
      </w:r>
      <w:r>
        <w:rPr>
          <w:color w:val="231F20"/>
          <w:spacing w:val="-13"/>
        </w:rPr>
        <w:t> </w:t>
      </w:r>
      <w:r>
        <w:rPr>
          <w:color w:val="231F20"/>
        </w:rPr>
        <w:t>economici, così</w:t>
      </w:r>
      <w:r>
        <w:rPr>
          <w:color w:val="231F20"/>
          <w:spacing w:val="-12"/>
        </w:rPr>
        <w:t> </w:t>
      </w:r>
      <w:r>
        <w:rPr>
          <w:color w:val="231F20"/>
        </w:rPr>
        <w:t>come</w:t>
      </w:r>
      <w:r>
        <w:rPr>
          <w:color w:val="231F20"/>
          <w:spacing w:val="-12"/>
        </w:rPr>
        <w:t> </w:t>
      </w:r>
      <w:r>
        <w:rPr>
          <w:color w:val="231F20"/>
        </w:rPr>
        <w:t>soggettivi</w:t>
      </w:r>
      <w:r>
        <w:rPr>
          <w:color w:val="231F20"/>
          <w:spacing w:val="-12"/>
        </w:rPr>
        <w:t> </w:t>
      </w:r>
      <w:r>
        <w:rPr>
          <w:color w:val="231F20"/>
        </w:rPr>
        <w:t>e</w:t>
      </w:r>
      <w:r>
        <w:rPr>
          <w:color w:val="231F20"/>
          <w:spacing w:val="-12"/>
        </w:rPr>
        <w:t> </w:t>
      </w:r>
      <w:r>
        <w:rPr>
          <w:color w:val="231F20"/>
        </w:rPr>
        <w:t>biografici</w:t>
      </w:r>
      <w:r>
        <w:rPr>
          <w:color w:val="231F20"/>
          <w:spacing w:val="-12"/>
        </w:rPr>
        <w:t> </w:t>
      </w:r>
      <w:r>
        <w:rPr>
          <w:color w:val="231F20"/>
        </w:rPr>
        <w:t>che</w:t>
      </w:r>
      <w:r>
        <w:rPr>
          <w:color w:val="231F20"/>
          <w:spacing w:val="-12"/>
        </w:rPr>
        <w:t> </w:t>
      </w:r>
      <w:r>
        <w:rPr>
          <w:color w:val="231F20"/>
        </w:rPr>
        <w:t>vanno</w:t>
      </w:r>
      <w:r>
        <w:rPr>
          <w:color w:val="231F20"/>
          <w:spacing w:val="-12"/>
        </w:rPr>
        <w:t> </w:t>
      </w:r>
      <w:r>
        <w:rPr>
          <w:color w:val="231F20"/>
        </w:rPr>
        <w:t>più</w:t>
      </w:r>
      <w:r>
        <w:rPr>
          <w:color w:val="231F20"/>
          <w:spacing w:val="-12"/>
        </w:rPr>
        <w:t> </w:t>
      </w:r>
      <w:r>
        <w:rPr>
          <w:color w:val="231F20"/>
        </w:rPr>
        <w:t>in</w:t>
      </w:r>
      <w:r>
        <w:rPr>
          <w:color w:val="231F20"/>
          <w:spacing w:val="-12"/>
        </w:rPr>
        <w:t> </w:t>
      </w:r>
      <w:r>
        <w:rPr>
          <w:color w:val="231F20"/>
        </w:rPr>
        <w:t>là</w:t>
      </w:r>
      <w:r>
        <w:rPr>
          <w:color w:val="231F20"/>
          <w:spacing w:val="-12"/>
        </w:rPr>
        <w:t> </w:t>
      </w:r>
      <w:r>
        <w:rPr>
          <w:color w:val="231F20"/>
        </w:rPr>
        <w:t>dei</w:t>
      </w:r>
      <w:r>
        <w:rPr>
          <w:color w:val="231F20"/>
          <w:spacing w:val="-12"/>
        </w:rPr>
        <w:t> </w:t>
      </w:r>
      <w:r>
        <w:rPr>
          <w:color w:val="231F20"/>
        </w:rPr>
        <w:t>loro</w:t>
      </w:r>
      <w:r>
        <w:rPr>
          <w:color w:val="231F20"/>
          <w:spacing w:val="-12"/>
        </w:rPr>
        <w:t> </w:t>
      </w:r>
      <w:r>
        <w:rPr>
          <w:color w:val="231F20"/>
        </w:rPr>
        <w:t>incapsulamento </w:t>
      </w:r>
      <w:r>
        <w:rPr>
          <w:color w:val="231F20"/>
          <w:spacing w:val="-3"/>
        </w:rPr>
        <w:t>dentro</w:t>
      </w:r>
      <w:r>
        <w:rPr>
          <w:color w:val="231F20"/>
          <w:spacing w:val="-19"/>
        </w:rPr>
        <w:t> </w:t>
      </w:r>
      <w:r>
        <w:rPr>
          <w:color w:val="231F20"/>
        </w:rPr>
        <w:t>i</w:t>
      </w:r>
      <w:r>
        <w:rPr>
          <w:color w:val="231F20"/>
          <w:spacing w:val="-19"/>
        </w:rPr>
        <w:t> </w:t>
      </w:r>
      <w:r>
        <w:rPr>
          <w:color w:val="231F20"/>
        </w:rPr>
        <w:t>fenomeni</w:t>
      </w:r>
      <w:r>
        <w:rPr>
          <w:color w:val="231F20"/>
          <w:spacing w:val="-19"/>
        </w:rPr>
        <w:t> </w:t>
      </w:r>
      <w:r>
        <w:rPr>
          <w:color w:val="231F20"/>
        </w:rPr>
        <w:t>che</w:t>
      </w:r>
      <w:r>
        <w:rPr>
          <w:color w:val="231F20"/>
          <w:spacing w:val="-19"/>
        </w:rPr>
        <w:t> </w:t>
      </w:r>
      <w:r>
        <w:rPr>
          <w:color w:val="231F20"/>
        </w:rPr>
        <w:t>si</w:t>
      </w:r>
      <w:r>
        <w:rPr>
          <w:color w:val="231F20"/>
          <w:spacing w:val="-19"/>
        </w:rPr>
        <w:t> </w:t>
      </w:r>
      <w:r>
        <w:rPr>
          <w:color w:val="231F20"/>
        </w:rPr>
        <w:t>osservano</w:t>
      </w:r>
      <w:r>
        <w:rPr>
          <w:color w:val="231F20"/>
          <w:spacing w:val="-19"/>
        </w:rPr>
        <w:t> </w:t>
      </w:r>
      <w:r>
        <w:rPr>
          <w:color w:val="231F20"/>
        </w:rPr>
        <w:t>sotto</w:t>
      </w:r>
      <w:r>
        <w:rPr>
          <w:color w:val="231F20"/>
          <w:spacing w:val="-19"/>
        </w:rPr>
        <w:t> </w:t>
      </w:r>
      <w:r>
        <w:rPr>
          <w:color w:val="231F20"/>
        </w:rPr>
        <w:t>l’etichetta</w:t>
      </w:r>
      <w:r>
        <w:rPr>
          <w:color w:val="231F20"/>
          <w:spacing w:val="-19"/>
        </w:rPr>
        <w:t> </w:t>
      </w:r>
      <w:r>
        <w:rPr>
          <w:color w:val="231F20"/>
        </w:rPr>
        <w:t>di</w:t>
      </w:r>
      <w:r>
        <w:rPr>
          <w:color w:val="231F20"/>
          <w:spacing w:val="-19"/>
        </w:rPr>
        <w:t> </w:t>
      </w:r>
      <w:r>
        <w:rPr>
          <w:color w:val="231F20"/>
        </w:rPr>
        <w:t>criminalità</w:t>
      </w:r>
      <w:r>
        <w:rPr>
          <w:color w:val="231F20"/>
          <w:spacing w:val="-19"/>
        </w:rPr>
        <w:t> </w:t>
      </w:r>
      <w:r>
        <w:rPr>
          <w:color w:val="231F20"/>
          <w:spacing w:val="-3"/>
        </w:rPr>
        <w:t>organizzata </w:t>
      </w:r>
      <w:r>
        <w:rPr>
          <w:color w:val="231F20"/>
        </w:rPr>
        <w:t>tanto nazionale come transnazionale, al grado che finiscono per essere la manifestazione contemporanea dei processi che si sono annidati nelle</w:t>
      </w:r>
      <w:r>
        <w:rPr>
          <w:color w:val="231F20"/>
          <w:spacing w:val="-38"/>
        </w:rPr>
        <w:t> </w:t>
      </w:r>
      <w:r>
        <w:rPr>
          <w:color w:val="231F20"/>
        </w:rPr>
        <w:t>zone permanentemente aperte delle estrutture esenziali della rappresentanza politica e dell’ordine politico nel mondo  </w:t>
      </w:r>
      <w:r>
        <w:rPr>
          <w:color w:val="231F20"/>
          <w:spacing w:val="21"/>
        </w:rPr>
        <w:t> </w:t>
      </w:r>
      <w:r>
        <w:rPr>
          <w:color w:val="231F20"/>
        </w:rPr>
        <w:t>contemporaneo</w:t>
      </w:r>
      <w:r>
        <w:rPr>
          <w:color w:val="231F20"/>
          <w:position w:val="7"/>
          <w:sz w:val="12"/>
        </w:rPr>
        <w:t>55</w:t>
      </w:r>
      <w:r>
        <w:rPr>
          <w:color w:val="231F20"/>
        </w:rPr>
        <w:t>.</w:t>
      </w:r>
    </w:p>
    <w:p>
      <w:pPr>
        <w:pStyle w:val="BodyText"/>
        <w:spacing w:line="247" w:lineRule="auto"/>
        <w:ind w:left="117" w:right="112" w:firstLine="566"/>
        <w:jc w:val="right"/>
      </w:pPr>
      <w:r>
        <w:rPr>
          <w:color w:val="231F20"/>
          <w:w w:val="105"/>
        </w:rPr>
        <w:t>La</w:t>
      </w:r>
      <w:r>
        <w:rPr>
          <w:color w:val="231F20"/>
          <w:spacing w:val="-40"/>
          <w:w w:val="105"/>
        </w:rPr>
        <w:t> </w:t>
      </w:r>
      <w:r>
        <w:rPr>
          <w:color w:val="231F20"/>
          <w:spacing w:val="-3"/>
          <w:w w:val="105"/>
        </w:rPr>
        <w:t>tesi</w:t>
      </w:r>
      <w:r>
        <w:rPr>
          <w:color w:val="231F20"/>
          <w:spacing w:val="-40"/>
          <w:w w:val="105"/>
        </w:rPr>
        <w:t> </w:t>
      </w:r>
      <w:r>
        <w:rPr>
          <w:color w:val="231F20"/>
          <w:w w:val="105"/>
        </w:rPr>
        <w:t>che</w:t>
      </w:r>
      <w:r>
        <w:rPr>
          <w:color w:val="231F20"/>
          <w:spacing w:val="-40"/>
          <w:w w:val="105"/>
        </w:rPr>
        <w:t> </w:t>
      </w:r>
      <w:r>
        <w:rPr>
          <w:color w:val="231F20"/>
          <w:spacing w:val="-4"/>
          <w:w w:val="105"/>
        </w:rPr>
        <w:t>l’incremento</w:t>
      </w:r>
      <w:r>
        <w:rPr>
          <w:color w:val="231F20"/>
          <w:spacing w:val="-40"/>
          <w:w w:val="105"/>
        </w:rPr>
        <w:t> </w:t>
      </w:r>
      <w:r>
        <w:rPr>
          <w:color w:val="231F20"/>
          <w:spacing w:val="-3"/>
          <w:w w:val="105"/>
        </w:rPr>
        <w:t>degli</w:t>
      </w:r>
      <w:r>
        <w:rPr>
          <w:color w:val="231F20"/>
          <w:spacing w:val="-40"/>
          <w:w w:val="105"/>
        </w:rPr>
        <w:t> </w:t>
      </w:r>
      <w:r>
        <w:rPr>
          <w:color w:val="231F20"/>
          <w:spacing w:val="-3"/>
          <w:w w:val="105"/>
        </w:rPr>
        <w:t>spazi</w:t>
      </w:r>
      <w:r>
        <w:rPr>
          <w:color w:val="231F20"/>
          <w:spacing w:val="-40"/>
          <w:w w:val="105"/>
        </w:rPr>
        <w:t> </w:t>
      </w:r>
      <w:r>
        <w:rPr>
          <w:color w:val="231F20"/>
          <w:spacing w:val="-3"/>
          <w:w w:val="105"/>
        </w:rPr>
        <w:t>sociali</w:t>
      </w:r>
      <w:r>
        <w:rPr>
          <w:color w:val="231F20"/>
          <w:spacing w:val="-40"/>
          <w:w w:val="105"/>
        </w:rPr>
        <w:t> </w:t>
      </w:r>
      <w:r>
        <w:rPr>
          <w:color w:val="231F20"/>
          <w:w w:val="105"/>
        </w:rPr>
        <w:t>e</w:t>
      </w:r>
      <w:r>
        <w:rPr>
          <w:color w:val="231F20"/>
          <w:spacing w:val="-40"/>
          <w:w w:val="105"/>
        </w:rPr>
        <w:t> </w:t>
      </w:r>
      <w:r>
        <w:rPr>
          <w:color w:val="231F20"/>
          <w:spacing w:val="-3"/>
          <w:w w:val="105"/>
        </w:rPr>
        <w:t>politici</w:t>
      </w:r>
      <w:r>
        <w:rPr>
          <w:color w:val="231F20"/>
          <w:spacing w:val="-40"/>
          <w:w w:val="105"/>
        </w:rPr>
        <w:t> </w:t>
      </w:r>
      <w:r>
        <w:rPr>
          <w:color w:val="231F20"/>
          <w:spacing w:val="-4"/>
          <w:w w:val="105"/>
        </w:rPr>
        <w:t>dell’insicurezza</w:t>
      </w:r>
      <w:r>
        <w:rPr>
          <w:color w:val="231F20"/>
          <w:spacing w:val="-40"/>
          <w:w w:val="105"/>
        </w:rPr>
        <w:t> </w:t>
      </w:r>
      <w:r>
        <w:rPr>
          <w:color w:val="231F20"/>
          <w:spacing w:val="-3"/>
          <w:w w:val="105"/>
        </w:rPr>
        <w:t>sono</w:t>
      </w:r>
      <w:r>
        <w:rPr>
          <w:color w:val="231F20"/>
          <w:spacing w:val="-3"/>
          <w:w w:val="103"/>
        </w:rPr>
        <w:t> </w:t>
      </w:r>
      <w:r>
        <w:rPr>
          <w:color w:val="231F20"/>
          <w:spacing w:val="-3"/>
        </w:rPr>
        <w:t>effetto</w:t>
      </w:r>
      <w:r>
        <w:rPr>
          <w:color w:val="231F20"/>
          <w:spacing w:val="-17"/>
        </w:rPr>
        <w:t> </w:t>
      </w:r>
      <w:r>
        <w:rPr>
          <w:color w:val="231F20"/>
        </w:rPr>
        <w:t>della</w:t>
      </w:r>
      <w:r>
        <w:rPr>
          <w:color w:val="231F20"/>
          <w:spacing w:val="-17"/>
        </w:rPr>
        <w:t> </w:t>
      </w:r>
      <w:r>
        <w:rPr>
          <w:color w:val="231F20"/>
        </w:rPr>
        <w:t>destrutturazione</w:t>
      </w:r>
      <w:r>
        <w:rPr>
          <w:color w:val="231F20"/>
          <w:spacing w:val="-17"/>
        </w:rPr>
        <w:t> </w:t>
      </w:r>
      <w:r>
        <w:rPr>
          <w:color w:val="231F20"/>
        </w:rPr>
        <w:t>dello</w:t>
      </w:r>
      <w:r>
        <w:rPr>
          <w:color w:val="231F20"/>
          <w:spacing w:val="-17"/>
        </w:rPr>
        <w:t> </w:t>
      </w:r>
      <w:r>
        <w:rPr>
          <w:color w:val="231F20"/>
        </w:rPr>
        <w:t>Stato</w:t>
      </w:r>
      <w:r>
        <w:rPr>
          <w:color w:val="231F20"/>
          <w:spacing w:val="-17"/>
        </w:rPr>
        <w:t> </w:t>
      </w:r>
      <w:r>
        <w:rPr>
          <w:color w:val="231F20"/>
        </w:rPr>
        <w:t>a</w:t>
      </w:r>
      <w:r>
        <w:rPr>
          <w:color w:val="231F20"/>
          <w:spacing w:val="-17"/>
        </w:rPr>
        <w:t> </w:t>
      </w:r>
      <w:r>
        <w:rPr>
          <w:color w:val="231F20"/>
        </w:rPr>
        <w:t>causa</w:t>
      </w:r>
      <w:r>
        <w:rPr>
          <w:color w:val="231F20"/>
          <w:spacing w:val="-17"/>
        </w:rPr>
        <w:t> </w:t>
      </w:r>
      <w:r>
        <w:rPr>
          <w:color w:val="231F20"/>
        </w:rPr>
        <w:t>dell’onda</w:t>
      </w:r>
      <w:r>
        <w:rPr>
          <w:color w:val="231F20"/>
          <w:spacing w:val="-17"/>
        </w:rPr>
        <w:t> </w:t>
      </w:r>
      <w:r>
        <w:rPr>
          <w:color w:val="231F20"/>
        </w:rPr>
        <w:t>neoconservatrice</w:t>
      </w:r>
      <w:r>
        <w:rPr>
          <w:color w:val="231F20"/>
          <w:spacing w:val="-2"/>
          <w:w w:val="101"/>
        </w:rPr>
        <w:t> </w:t>
      </w:r>
      <w:r>
        <w:rPr>
          <w:color w:val="231F20"/>
          <w:w w:val="105"/>
        </w:rPr>
        <w:t>a</w:t>
      </w:r>
      <w:r>
        <w:rPr>
          <w:color w:val="231F20"/>
          <w:spacing w:val="-26"/>
          <w:w w:val="105"/>
        </w:rPr>
        <w:t> </w:t>
      </w:r>
      <w:r>
        <w:rPr>
          <w:color w:val="231F20"/>
          <w:w w:val="105"/>
        </w:rPr>
        <w:t>partire</w:t>
      </w:r>
      <w:r>
        <w:rPr>
          <w:color w:val="231F20"/>
          <w:spacing w:val="-26"/>
          <w:w w:val="105"/>
        </w:rPr>
        <w:t> </w:t>
      </w:r>
      <w:r>
        <w:rPr>
          <w:color w:val="231F20"/>
          <w:w w:val="105"/>
        </w:rPr>
        <w:t>di</w:t>
      </w:r>
      <w:r>
        <w:rPr>
          <w:color w:val="231F20"/>
          <w:spacing w:val="-26"/>
          <w:w w:val="105"/>
        </w:rPr>
        <w:t> </w:t>
      </w:r>
      <w:r>
        <w:rPr>
          <w:color w:val="231F20"/>
          <w:w w:val="105"/>
        </w:rPr>
        <w:t>metà</w:t>
      </w:r>
      <w:r>
        <w:rPr>
          <w:color w:val="231F20"/>
          <w:spacing w:val="-26"/>
          <w:w w:val="105"/>
        </w:rPr>
        <w:t> </w:t>
      </w:r>
      <w:r>
        <w:rPr>
          <w:color w:val="231F20"/>
          <w:w w:val="105"/>
        </w:rPr>
        <w:t>degli</w:t>
      </w:r>
      <w:r>
        <w:rPr>
          <w:color w:val="231F20"/>
          <w:spacing w:val="-26"/>
          <w:w w:val="105"/>
        </w:rPr>
        <w:t> </w:t>
      </w:r>
      <w:r>
        <w:rPr>
          <w:color w:val="231F20"/>
          <w:w w:val="105"/>
        </w:rPr>
        <w:t>anni</w:t>
      </w:r>
      <w:r>
        <w:rPr>
          <w:color w:val="231F20"/>
          <w:spacing w:val="-26"/>
          <w:w w:val="105"/>
        </w:rPr>
        <w:t> </w:t>
      </w:r>
      <w:r>
        <w:rPr>
          <w:color w:val="231F20"/>
          <w:w w:val="105"/>
        </w:rPr>
        <w:t>settanta</w:t>
      </w:r>
      <w:r>
        <w:rPr>
          <w:color w:val="231F20"/>
          <w:spacing w:val="-26"/>
          <w:w w:val="105"/>
        </w:rPr>
        <w:t> </w:t>
      </w:r>
      <w:r>
        <w:rPr>
          <w:color w:val="231F20"/>
          <w:w w:val="105"/>
        </w:rPr>
        <w:t>e</w:t>
      </w:r>
      <w:r>
        <w:rPr>
          <w:color w:val="231F20"/>
          <w:spacing w:val="-26"/>
          <w:w w:val="105"/>
        </w:rPr>
        <w:t> </w:t>
      </w:r>
      <w:r>
        <w:rPr>
          <w:color w:val="231F20"/>
          <w:w w:val="105"/>
        </w:rPr>
        <w:t>che</w:t>
      </w:r>
      <w:r>
        <w:rPr>
          <w:color w:val="231F20"/>
          <w:spacing w:val="-26"/>
          <w:w w:val="105"/>
        </w:rPr>
        <w:t> </w:t>
      </w:r>
      <w:r>
        <w:rPr>
          <w:color w:val="231F20"/>
          <w:w w:val="105"/>
        </w:rPr>
        <w:t>si</w:t>
      </w:r>
      <w:r>
        <w:rPr>
          <w:color w:val="231F20"/>
          <w:spacing w:val="-26"/>
          <w:w w:val="105"/>
        </w:rPr>
        <w:t> </w:t>
      </w:r>
      <w:r>
        <w:rPr>
          <w:color w:val="231F20"/>
          <w:w w:val="105"/>
        </w:rPr>
        <w:t>allarga</w:t>
      </w:r>
      <w:r>
        <w:rPr>
          <w:color w:val="231F20"/>
          <w:spacing w:val="-26"/>
          <w:w w:val="105"/>
        </w:rPr>
        <w:t> </w:t>
      </w:r>
      <w:r>
        <w:rPr>
          <w:color w:val="231F20"/>
          <w:w w:val="105"/>
        </w:rPr>
        <w:t>con</w:t>
      </w:r>
      <w:r>
        <w:rPr>
          <w:color w:val="231F20"/>
          <w:spacing w:val="-26"/>
          <w:w w:val="105"/>
        </w:rPr>
        <w:t> </w:t>
      </w:r>
      <w:r>
        <w:rPr>
          <w:color w:val="231F20"/>
          <w:w w:val="105"/>
        </w:rPr>
        <w:t>forza</w:t>
      </w:r>
      <w:r>
        <w:rPr>
          <w:color w:val="231F20"/>
          <w:spacing w:val="-26"/>
          <w:w w:val="105"/>
        </w:rPr>
        <w:t> </w:t>
      </w:r>
      <w:r>
        <w:rPr>
          <w:color w:val="231F20"/>
          <w:w w:val="105"/>
        </w:rPr>
        <w:t>(ad</w:t>
      </w:r>
      <w:r>
        <w:rPr>
          <w:color w:val="231F20"/>
          <w:spacing w:val="-26"/>
          <w:w w:val="105"/>
        </w:rPr>
        <w:t> </w:t>
      </w:r>
      <w:r>
        <w:rPr>
          <w:color w:val="231F20"/>
          <w:w w:val="105"/>
        </w:rPr>
        <w:t>esempio</w:t>
      </w:r>
      <w:r>
        <w:rPr>
          <w:color w:val="231F20"/>
          <w:w w:val="104"/>
        </w:rPr>
        <w:t> </w:t>
      </w:r>
      <w:r>
        <w:rPr>
          <w:color w:val="231F20"/>
          <w:w w:val="105"/>
        </w:rPr>
        <w:t>in</w:t>
      </w:r>
      <w:r>
        <w:rPr>
          <w:color w:val="231F20"/>
          <w:spacing w:val="-16"/>
          <w:w w:val="105"/>
        </w:rPr>
        <w:t> </w:t>
      </w:r>
      <w:r>
        <w:rPr>
          <w:color w:val="231F20"/>
          <w:w w:val="105"/>
        </w:rPr>
        <w:t>America</w:t>
      </w:r>
      <w:r>
        <w:rPr>
          <w:color w:val="231F20"/>
          <w:spacing w:val="-16"/>
          <w:w w:val="105"/>
        </w:rPr>
        <w:t> </w:t>
      </w:r>
      <w:r>
        <w:rPr>
          <w:color w:val="231F20"/>
          <w:w w:val="105"/>
        </w:rPr>
        <w:t>Latina</w:t>
      </w:r>
      <w:r>
        <w:rPr>
          <w:color w:val="231F20"/>
          <w:spacing w:val="-16"/>
          <w:w w:val="105"/>
        </w:rPr>
        <w:t> </w:t>
      </w:r>
      <w:r>
        <w:rPr>
          <w:color w:val="231F20"/>
          <w:w w:val="105"/>
        </w:rPr>
        <w:t>e</w:t>
      </w:r>
      <w:r>
        <w:rPr>
          <w:color w:val="231F20"/>
          <w:spacing w:val="-16"/>
          <w:w w:val="105"/>
        </w:rPr>
        <w:t> </w:t>
      </w:r>
      <w:r>
        <w:rPr>
          <w:color w:val="231F20"/>
          <w:w w:val="105"/>
        </w:rPr>
        <w:t>nell’Europa</w:t>
      </w:r>
      <w:r>
        <w:rPr>
          <w:color w:val="231F20"/>
          <w:spacing w:val="-16"/>
          <w:w w:val="105"/>
        </w:rPr>
        <w:t> </w:t>
      </w:r>
      <w:r>
        <w:rPr>
          <w:color w:val="231F20"/>
          <w:w w:val="105"/>
        </w:rPr>
        <w:t>del’Est)</w:t>
      </w:r>
      <w:r>
        <w:rPr>
          <w:color w:val="231F20"/>
          <w:spacing w:val="-16"/>
          <w:w w:val="105"/>
        </w:rPr>
        <w:t> </w:t>
      </w:r>
      <w:r>
        <w:rPr>
          <w:color w:val="231F20"/>
          <w:w w:val="105"/>
        </w:rPr>
        <w:t>fino</w:t>
      </w:r>
      <w:r>
        <w:rPr>
          <w:color w:val="231F20"/>
          <w:spacing w:val="-16"/>
          <w:w w:val="105"/>
        </w:rPr>
        <w:t> </w:t>
      </w:r>
      <w:r>
        <w:rPr>
          <w:color w:val="231F20"/>
          <w:w w:val="105"/>
        </w:rPr>
        <w:t>a</w:t>
      </w:r>
      <w:r>
        <w:rPr>
          <w:color w:val="231F20"/>
          <w:spacing w:val="-16"/>
          <w:w w:val="105"/>
        </w:rPr>
        <w:t> </w:t>
      </w:r>
      <w:r>
        <w:rPr>
          <w:color w:val="231F20"/>
          <w:w w:val="105"/>
        </w:rPr>
        <w:t>raggiungere</w:t>
      </w:r>
      <w:r>
        <w:rPr>
          <w:color w:val="231F20"/>
          <w:spacing w:val="-16"/>
          <w:w w:val="105"/>
        </w:rPr>
        <w:t> </w:t>
      </w:r>
      <w:r>
        <w:rPr>
          <w:color w:val="231F20"/>
          <w:w w:val="105"/>
        </w:rPr>
        <w:t>il</w:t>
      </w:r>
      <w:r>
        <w:rPr>
          <w:color w:val="231F20"/>
          <w:spacing w:val="-16"/>
          <w:w w:val="105"/>
        </w:rPr>
        <w:t> </w:t>
      </w:r>
      <w:r>
        <w:rPr>
          <w:color w:val="231F20"/>
          <w:w w:val="105"/>
        </w:rPr>
        <w:t>suo</w:t>
      </w:r>
      <w:r>
        <w:rPr>
          <w:color w:val="231F20"/>
          <w:spacing w:val="-16"/>
          <w:w w:val="105"/>
        </w:rPr>
        <w:t> </w:t>
      </w:r>
      <w:r>
        <w:rPr>
          <w:color w:val="231F20"/>
          <w:w w:val="105"/>
        </w:rPr>
        <w:t>punto</w:t>
      </w:r>
      <w:r>
        <w:rPr>
          <w:color w:val="231F20"/>
          <w:spacing w:val="-16"/>
          <w:w w:val="105"/>
        </w:rPr>
        <w:t> </w:t>
      </w:r>
      <w:r>
        <w:rPr>
          <w:color w:val="231F20"/>
          <w:w w:val="105"/>
        </w:rPr>
        <w:t>di</w:t>
      </w:r>
      <w:r>
        <w:rPr>
          <w:color w:val="231F20"/>
          <w:w w:val="105"/>
        </w:rPr>
        <w:t> </w:t>
      </w:r>
      <w:r>
        <w:rPr>
          <w:color w:val="231F20"/>
          <w:w w:val="105"/>
        </w:rPr>
        <w:t>inflessione</w:t>
      </w:r>
      <w:r>
        <w:rPr>
          <w:color w:val="231F20"/>
          <w:spacing w:val="-16"/>
          <w:w w:val="105"/>
        </w:rPr>
        <w:t> </w:t>
      </w:r>
      <w:r>
        <w:rPr>
          <w:color w:val="231F20"/>
          <w:w w:val="105"/>
        </w:rPr>
        <w:t>verso</w:t>
      </w:r>
      <w:r>
        <w:rPr>
          <w:color w:val="231F20"/>
          <w:spacing w:val="-16"/>
          <w:w w:val="105"/>
        </w:rPr>
        <w:t> </w:t>
      </w:r>
      <w:r>
        <w:rPr>
          <w:color w:val="231F20"/>
          <w:w w:val="105"/>
        </w:rPr>
        <w:t>la</w:t>
      </w:r>
      <w:r>
        <w:rPr>
          <w:color w:val="231F20"/>
          <w:spacing w:val="-16"/>
          <w:w w:val="105"/>
        </w:rPr>
        <w:t> </w:t>
      </w:r>
      <w:r>
        <w:rPr>
          <w:color w:val="231F20"/>
          <w:w w:val="105"/>
        </w:rPr>
        <w:t>fine</w:t>
      </w:r>
      <w:r>
        <w:rPr>
          <w:color w:val="231F20"/>
          <w:spacing w:val="-16"/>
          <w:w w:val="105"/>
        </w:rPr>
        <w:t> </w:t>
      </w:r>
      <w:r>
        <w:rPr>
          <w:color w:val="231F20"/>
          <w:w w:val="105"/>
        </w:rPr>
        <w:t>degli</w:t>
      </w:r>
      <w:r>
        <w:rPr>
          <w:color w:val="231F20"/>
          <w:spacing w:val="-16"/>
          <w:w w:val="105"/>
        </w:rPr>
        <w:t> </w:t>
      </w:r>
      <w:r>
        <w:rPr>
          <w:color w:val="231F20"/>
          <w:w w:val="105"/>
        </w:rPr>
        <w:t>anni</w:t>
      </w:r>
      <w:r>
        <w:rPr>
          <w:color w:val="231F20"/>
          <w:spacing w:val="-16"/>
          <w:w w:val="105"/>
        </w:rPr>
        <w:t> </w:t>
      </w:r>
      <w:r>
        <w:rPr>
          <w:color w:val="231F20"/>
          <w:w w:val="105"/>
        </w:rPr>
        <w:t>ottanta,</w:t>
      </w:r>
      <w:r>
        <w:rPr>
          <w:color w:val="231F20"/>
          <w:spacing w:val="-17"/>
          <w:w w:val="105"/>
        </w:rPr>
        <w:t> </w:t>
      </w:r>
      <w:r>
        <w:rPr>
          <w:color w:val="231F20"/>
          <w:w w:val="105"/>
        </w:rPr>
        <w:t>è</w:t>
      </w:r>
      <w:r>
        <w:rPr>
          <w:color w:val="231F20"/>
          <w:spacing w:val="-16"/>
          <w:w w:val="105"/>
        </w:rPr>
        <w:t> </w:t>
      </w:r>
      <w:r>
        <w:rPr>
          <w:color w:val="231F20"/>
          <w:w w:val="105"/>
        </w:rPr>
        <w:t>relativamente</w:t>
      </w:r>
      <w:r>
        <w:rPr>
          <w:color w:val="231F20"/>
          <w:spacing w:val="-16"/>
          <w:w w:val="105"/>
        </w:rPr>
        <w:t> </w:t>
      </w:r>
      <w:r>
        <w:rPr>
          <w:color w:val="231F20"/>
          <w:w w:val="105"/>
        </w:rPr>
        <w:t>debole,</w:t>
      </w:r>
      <w:r>
        <w:rPr>
          <w:color w:val="231F20"/>
          <w:spacing w:val="-16"/>
          <w:w w:val="105"/>
        </w:rPr>
        <w:t> </w:t>
      </w:r>
      <w:r>
        <w:rPr>
          <w:color w:val="231F20"/>
          <w:w w:val="105"/>
        </w:rPr>
        <w:t>tanto</w:t>
      </w:r>
      <w:r>
        <w:rPr>
          <w:color w:val="231F20"/>
          <w:w w:val="109"/>
        </w:rPr>
        <w:t> </w:t>
      </w:r>
      <w:r>
        <w:rPr>
          <w:color w:val="231F20"/>
          <w:w w:val="105"/>
        </w:rPr>
        <w:t>come quell’altra tesi che suggerisce che la</w:t>
      </w:r>
      <w:r>
        <w:rPr>
          <w:color w:val="231F20"/>
          <w:spacing w:val="50"/>
          <w:w w:val="105"/>
        </w:rPr>
        <w:t> </w:t>
      </w:r>
      <w:r>
        <w:rPr>
          <w:color w:val="231F20"/>
          <w:w w:val="105"/>
        </w:rPr>
        <w:t>destrutturazione</w:t>
      </w:r>
      <w:r>
        <w:rPr>
          <w:color w:val="231F20"/>
          <w:spacing w:val="7"/>
          <w:w w:val="105"/>
        </w:rPr>
        <w:t> </w:t>
      </w:r>
      <w:r>
        <w:rPr>
          <w:color w:val="231F20"/>
          <w:w w:val="105"/>
        </w:rPr>
        <w:t>dell’ordine</w:t>
      </w:r>
      <w:r>
        <w:rPr>
          <w:color w:val="231F20"/>
          <w:spacing w:val="2"/>
          <w:w w:val="103"/>
        </w:rPr>
        <w:t> </w:t>
      </w:r>
      <w:r>
        <w:rPr>
          <w:color w:val="231F20"/>
          <w:w w:val="105"/>
        </w:rPr>
        <w:t>statale</w:t>
      </w:r>
      <w:r>
        <w:rPr>
          <w:color w:val="231F20"/>
          <w:spacing w:val="-30"/>
          <w:w w:val="105"/>
        </w:rPr>
        <w:t> </w:t>
      </w:r>
      <w:r>
        <w:rPr>
          <w:color w:val="231F20"/>
          <w:w w:val="105"/>
        </w:rPr>
        <w:t>è</w:t>
      </w:r>
      <w:r>
        <w:rPr>
          <w:color w:val="231F20"/>
          <w:spacing w:val="-30"/>
          <w:w w:val="105"/>
        </w:rPr>
        <w:t> </w:t>
      </w:r>
      <w:r>
        <w:rPr>
          <w:color w:val="231F20"/>
          <w:w w:val="105"/>
        </w:rPr>
        <w:t>stata</w:t>
      </w:r>
      <w:r>
        <w:rPr>
          <w:color w:val="231F20"/>
          <w:spacing w:val="-30"/>
          <w:w w:val="105"/>
        </w:rPr>
        <w:t> </w:t>
      </w:r>
      <w:r>
        <w:rPr>
          <w:color w:val="231F20"/>
          <w:w w:val="105"/>
        </w:rPr>
        <w:t>in</w:t>
      </w:r>
      <w:r>
        <w:rPr>
          <w:color w:val="231F20"/>
          <w:spacing w:val="-30"/>
          <w:w w:val="105"/>
        </w:rPr>
        <w:t> </w:t>
      </w:r>
      <w:r>
        <w:rPr>
          <w:color w:val="231F20"/>
          <w:w w:val="105"/>
        </w:rPr>
        <w:t>realtà</w:t>
      </w:r>
      <w:r>
        <w:rPr>
          <w:color w:val="231F20"/>
          <w:spacing w:val="-30"/>
          <w:w w:val="105"/>
        </w:rPr>
        <w:t> </w:t>
      </w:r>
      <w:r>
        <w:rPr>
          <w:color w:val="231F20"/>
          <w:w w:val="105"/>
        </w:rPr>
        <w:t>una</w:t>
      </w:r>
      <w:r>
        <w:rPr>
          <w:color w:val="231F20"/>
          <w:spacing w:val="-30"/>
          <w:w w:val="105"/>
        </w:rPr>
        <w:t> </w:t>
      </w:r>
      <w:r>
        <w:rPr>
          <w:color w:val="231F20"/>
          <w:w w:val="105"/>
        </w:rPr>
        <w:t>necessità</w:t>
      </w:r>
      <w:r>
        <w:rPr>
          <w:color w:val="231F20"/>
          <w:spacing w:val="-30"/>
          <w:w w:val="105"/>
        </w:rPr>
        <w:t> </w:t>
      </w:r>
      <w:r>
        <w:rPr>
          <w:color w:val="231F20"/>
          <w:w w:val="105"/>
        </w:rPr>
        <w:t>mirata</w:t>
      </w:r>
      <w:r>
        <w:rPr>
          <w:color w:val="231F20"/>
          <w:spacing w:val="-30"/>
          <w:w w:val="105"/>
        </w:rPr>
        <w:t> </w:t>
      </w:r>
      <w:r>
        <w:rPr>
          <w:color w:val="231F20"/>
          <w:w w:val="105"/>
        </w:rPr>
        <w:t>all’articolazione</w:t>
      </w:r>
      <w:r>
        <w:rPr>
          <w:color w:val="231F20"/>
          <w:spacing w:val="-30"/>
          <w:w w:val="105"/>
        </w:rPr>
        <w:t> </w:t>
      </w:r>
      <w:r>
        <w:rPr>
          <w:color w:val="231F20"/>
          <w:w w:val="105"/>
        </w:rPr>
        <w:t>effettiva</w:t>
      </w:r>
      <w:r>
        <w:rPr>
          <w:color w:val="231F20"/>
          <w:spacing w:val="-30"/>
          <w:w w:val="105"/>
        </w:rPr>
        <w:t> </w:t>
      </w:r>
      <w:r>
        <w:rPr>
          <w:color w:val="231F20"/>
          <w:w w:val="105"/>
        </w:rPr>
        <w:t>tra</w:t>
      </w:r>
      <w:r>
        <w:rPr>
          <w:color w:val="231F20"/>
          <w:spacing w:val="-30"/>
          <w:w w:val="105"/>
        </w:rPr>
        <w:t> </w:t>
      </w:r>
      <w:r>
        <w:rPr>
          <w:color w:val="231F20"/>
          <w:w w:val="105"/>
        </w:rPr>
        <w:t>il</w:t>
      </w:r>
      <w:r>
        <w:rPr>
          <w:color w:val="231F20"/>
          <w:w w:val="105"/>
        </w:rPr>
        <w:t> </w:t>
      </w:r>
      <w:r>
        <w:rPr>
          <w:color w:val="231F20"/>
          <w:spacing w:val="-4"/>
          <w:w w:val="105"/>
        </w:rPr>
        <w:t>mercato</w:t>
      </w:r>
      <w:r>
        <w:rPr>
          <w:color w:val="231F20"/>
          <w:spacing w:val="-36"/>
          <w:w w:val="105"/>
        </w:rPr>
        <w:t> </w:t>
      </w:r>
      <w:r>
        <w:rPr>
          <w:color w:val="231F20"/>
          <w:spacing w:val="-3"/>
          <w:w w:val="105"/>
        </w:rPr>
        <w:t>nazionale</w:t>
      </w:r>
      <w:r>
        <w:rPr>
          <w:color w:val="231F20"/>
          <w:spacing w:val="-36"/>
          <w:w w:val="105"/>
        </w:rPr>
        <w:t> </w:t>
      </w:r>
      <w:r>
        <w:rPr>
          <w:color w:val="231F20"/>
          <w:w w:val="105"/>
        </w:rPr>
        <w:t>e</w:t>
      </w:r>
      <w:r>
        <w:rPr>
          <w:color w:val="231F20"/>
          <w:spacing w:val="-36"/>
          <w:w w:val="105"/>
        </w:rPr>
        <w:t> </w:t>
      </w:r>
      <w:r>
        <w:rPr>
          <w:color w:val="231F20"/>
          <w:spacing w:val="-3"/>
          <w:w w:val="105"/>
        </w:rPr>
        <w:t>quello</w:t>
      </w:r>
      <w:r>
        <w:rPr>
          <w:color w:val="231F20"/>
          <w:spacing w:val="-36"/>
          <w:w w:val="105"/>
        </w:rPr>
        <w:t> </w:t>
      </w:r>
      <w:r>
        <w:rPr>
          <w:color w:val="231F20"/>
          <w:spacing w:val="-3"/>
          <w:w w:val="105"/>
        </w:rPr>
        <w:t>globale</w:t>
      </w:r>
      <w:r>
        <w:rPr>
          <w:color w:val="231F20"/>
          <w:spacing w:val="-36"/>
          <w:w w:val="105"/>
        </w:rPr>
        <w:t> </w:t>
      </w:r>
      <w:r>
        <w:rPr>
          <w:color w:val="231F20"/>
          <w:w w:val="105"/>
        </w:rPr>
        <w:t>e</w:t>
      </w:r>
      <w:r>
        <w:rPr>
          <w:color w:val="231F20"/>
          <w:spacing w:val="-36"/>
          <w:w w:val="105"/>
        </w:rPr>
        <w:t> </w:t>
      </w:r>
      <w:r>
        <w:rPr>
          <w:color w:val="231F20"/>
          <w:w w:val="105"/>
        </w:rPr>
        <w:t>di</w:t>
      </w:r>
      <w:r>
        <w:rPr>
          <w:color w:val="231F20"/>
          <w:spacing w:val="-36"/>
          <w:w w:val="105"/>
        </w:rPr>
        <w:t> </w:t>
      </w:r>
      <w:r>
        <w:rPr>
          <w:color w:val="231F20"/>
          <w:spacing w:val="-4"/>
          <w:w w:val="105"/>
        </w:rPr>
        <w:t>fronte</w:t>
      </w:r>
      <w:r>
        <w:rPr>
          <w:color w:val="231F20"/>
          <w:spacing w:val="-36"/>
          <w:w w:val="105"/>
        </w:rPr>
        <w:t> </w:t>
      </w:r>
      <w:r>
        <w:rPr>
          <w:color w:val="231F20"/>
          <w:spacing w:val="-3"/>
          <w:w w:val="105"/>
        </w:rPr>
        <w:t>all’espansione</w:t>
      </w:r>
      <w:r>
        <w:rPr>
          <w:color w:val="231F20"/>
          <w:spacing w:val="-36"/>
          <w:w w:val="105"/>
        </w:rPr>
        <w:t> </w:t>
      </w:r>
      <w:r>
        <w:rPr>
          <w:color w:val="231F20"/>
          <w:spacing w:val="-3"/>
          <w:w w:val="105"/>
        </w:rPr>
        <w:t>delle</w:t>
      </w:r>
      <w:r>
        <w:rPr>
          <w:color w:val="231F20"/>
          <w:spacing w:val="-36"/>
          <w:w w:val="105"/>
        </w:rPr>
        <w:t> </w:t>
      </w:r>
      <w:r>
        <w:rPr>
          <w:color w:val="231F20"/>
          <w:spacing w:val="-3"/>
          <w:w w:val="105"/>
        </w:rPr>
        <w:t>fonti</w:t>
      </w:r>
      <w:r>
        <w:rPr>
          <w:color w:val="231F20"/>
          <w:spacing w:val="-36"/>
          <w:w w:val="105"/>
        </w:rPr>
        <w:t> </w:t>
      </w:r>
      <w:r>
        <w:rPr>
          <w:color w:val="231F20"/>
          <w:spacing w:val="-3"/>
          <w:w w:val="105"/>
        </w:rPr>
        <w:t>tanto</w:t>
      </w:r>
      <w:r>
        <w:rPr>
          <w:color w:val="231F20"/>
          <w:spacing w:val="-3"/>
          <w:w w:val="101"/>
        </w:rPr>
        <w:t> </w:t>
      </w:r>
      <w:r>
        <w:rPr>
          <w:color w:val="231F20"/>
          <w:w w:val="105"/>
        </w:rPr>
        <w:t>di</w:t>
      </w:r>
      <w:r>
        <w:rPr>
          <w:color w:val="231F20"/>
          <w:spacing w:val="-27"/>
          <w:w w:val="105"/>
        </w:rPr>
        <w:t> </w:t>
      </w:r>
      <w:r>
        <w:rPr>
          <w:color w:val="231F20"/>
          <w:w w:val="105"/>
        </w:rPr>
        <w:t>legittimità</w:t>
      </w:r>
      <w:r>
        <w:rPr>
          <w:color w:val="231F20"/>
          <w:spacing w:val="-27"/>
          <w:w w:val="105"/>
        </w:rPr>
        <w:t> </w:t>
      </w:r>
      <w:r>
        <w:rPr>
          <w:color w:val="231F20"/>
          <w:w w:val="105"/>
        </w:rPr>
        <w:t>come</w:t>
      </w:r>
      <w:r>
        <w:rPr>
          <w:color w:val="231F20"/>
          <w:spacing w:val="-27"/>
          <w:w w:val="105"/>
        </w:rPr>
        <w:t> </w:t>
      </w:r>
      <w:r>
        <w:rPr>
          <w:color w:val="231F20"/>
          <w:w w:val="105"/>
        </w:rPr>
        <w:t>di</w:t>
      </w:r>
      <w:r>
        <w:rPr>
          <w:color w:val="231F20"/>
          <w:spacing w:val="-27"/>
          <w:w w:val="105"/>
        </w:rPr>
        <w:t> </w:t>
      </w:r>
      <w:r>
        <w:rPr>
          <w:color w:val="231F20"/>
          <w:w w:val="105"/>
        </w:rPr>
        <w:t>potere</w:t>
      </w:r>
      <w:r>
        <w:rPr>
          <w:color w:val="231F20"/>
          <w:spacing w:val="-27"/>
          <w:w w:val="105"/>
        </w:rPr>
        <w:t> </w:t>
      </w:r>
      <w:r>
        <w:rPr>
          <w:color w:val="231F20"/>
          <w:w w:val="105"/>
        </w:rPr>
        <w:t>che</w:t>
      </w:r>
      <w:r>
        <w:rPr>
          <w:color w:val="231F20"/>
          <w:spacing w:val="-27"/>
          <w:w w:val="105"/>
        </w:rPr>
        <w:t> </w:t>
      </w:r>
      <w:r>
        <w:rPr>
          <w:color w:val="231F20"/>
          <w:w w:val="105"/>
        </w:rPr>
        <w:t>la</w:t>
      </w:r>
      <w:r>
        <w:rPr>
          <w:color w:val="231F20"/>
          <w:spacing w:val="-27"/>
          <w:w w:val="105"/>
        </w:rPr>
        <w:t> </w:t>
      </w:r>
      <w:r>
        <w:rPr>
          <w:color w:val="231F20"/>
          <w:w w:val="105"/>
        </w:rPr>
        <w:t>chiamata</w:t>
      </w:r>
      <w:r>
        <w:rPr>
          <w:color w:val="231F20"/>
          <w:spacing w:val="-27"/>
          <w:w w:val="105"/>
        </w:rPr>
        <w:t> </w:t>
      </w:r>
      <w:r>
        <w:rPr>
          <w:color w:val="231F20"/>
          <w:w w:val="105"/>
        </w:rPr>
        <w:t>globalizzazione</w:t>
      </w:r>
      <w:r>
        <w:rPr>
          <w:color w:val="231F20"/>
          <w:spacing w:val="-27"/>
          <w:w w:val="105"/>
        </w:rPr>
        <w:t> </w:t>
      </w:r>
      <w:r>
        <w:rPr>
          <w:color w:val="231F20"/>
          <w:w w:val="105"/>
        </w:rPr>
        <w:t>implicava</w:t>
      </w:r>
      <w:r>
        <w:rPr>
          <w:color w:val="231F20"/>
          <w:spacing w:val="-27"/>
          <w:w w:val="105"/>
        </w:rPr>
        <w:t> </w:t>
      </w:r>
      <w:r>
        <w:rPr>
          <w:color w:val="231F20"/>
          <w:w w:val="105"/>
        </w:rPr>
        <w:t>nei</w:t>
      </w:r>
      <w:r>
        <w:rPr>
          <w:color w:val="231F20"/>
          <w:w w:val="103"/>
        </w:rPr>
        <w:t> </w:t>
      </w:r>
      <w:r>
        <w:rPr>
          <w:color w:val="231F20"/>
          <w:w w:val="105"/>
        </w:rPr>
        <w:t>suoi</w:t>
      </w:r>
      <w:r>
        <w:rPr>
          <w:color w:val="231F20"/>
          <w:spacing w:val="-52"/>
          <w:w w:val="105"/>
        </w:rPr>
        <w:t> </w:t>
      </w:r>
      <w:r>
        <w:rPr>
          <w:color w:val="231F20"/>
          <w:w w:val="105"/>
        </w:rPr>
        <w:t>diversi</w:t>
      </w:r>
      <w:r>
        <w:rPr>
          <w:color w:val="231F20"/>
          <w:spacing w:val="-52"/>
          <w:w w:val="105"/>
        </w:rPr>
        <w:t> </w:t>
      </w:r>
      <w:r>
        <w:rPr>
          <w:color w:val="231F20"/>
          <w:w w:val="105"/>
        </w:rPr>
        <w:t>processi</w:t>
      </w:r>
      <w:r>
        <w:rPr>
          <w:color w:val="231F20"/>
          <w:spacing w:val="-52"/>
          <w:w w:val="105"/>
        </w:rPr>
        <w:t> </w:t>
      </w:r>
      <w:r>
        <w:rPr>
          <w:color w:val="231F20"/>
          <w:w w:val="105"/>
        </w:rPr>
        <w:t>di</w:t>
      </w:r>
      <w:r>
        <w:rPr>
          <w:color w:val="231F20"/>
          <w:spacing w:val="-52"/>
          <w:w w:val="105"/>
        </w:rPr>
        <w:t> </w:t>
      </w:r>
      <w:r>
        <w:rPr>
          <w:color w:val="231F20"/>
          <w:w w:val="105"/>
        </w:rPr>
        <w:t>integrazione</w:t>
      </w:r>
      <w:r>
        <w:rPr>
          <w:color w:val="231F20"/>
          <w:spacing w:val="-52"/>
          <w:w w:val="105"/>
        </w:rPr>
        <w:t> </w:t>
      </w:r>
      <w:r>
        <w:rPr>
          <w:color w:val="231F20"/>
          <w:w w:val="105"/>
        </w:rPr>
        <w:t>e</w:t>
      </w:r>
      <w:r>
        <w:rPr>
          <w:color w:val="231F20"/>
          <w:spacing w:val="-52"/>
          <w:w w:val="105"/>
        </w:rPr>
        <w:t> </w:t>
      </w:r>
      <w:r>
        <w:rPr>
          <w:color w:val="231F20"/>
          <w:w w:val="105"/>
        </w:rPr>
        <w:t>frammentazione</w:t>
      </w:r>
      <w:r>
        <w:rPr>
          <w:color w:val="231F20"/>
          <w:spacing w:val="-52"/>
          <w:w w:val="105"/>
        </w:rPr>
        <w:t> </w:t>
      </w:r>
      <w:r>
        <w:rPr>
          <w:color w:val="231F20"/>
          <w:w w:val="105"/>
        </w:rPr>
        <w:t>economica</w:t>
      </w:r>
      <w:r>
        <w:rPr>
          <w:color w:val="231F20"/>
          <w:spacing w:val="-52"/>
          <w:w w:val="105"/>
        </w:rPr>
        <w:t> </w:t>
      </w:r>
      <w:r>
        <w:rPr>
          <w:color w:val="231F20"/>
          <w:w w:val="105"/>
        </w:rPr>
        <w:t>e</w:t>
      </w:r>
      <w:r>
        <w:rPr>
          <w:color w:val="231F20"/>
          <w:spacing w:val="-52"/>
          <w:w w:val="105"/>
        </w:rPr>
        <w:t> </w:t>
      </w:r>
      <w:r>
        <w:rPr>
          <w:color w:val="231F20"/>
          <w:w w:val="105"/>
        </w:rPr>
        <w:t>sociale.</w:t>
      </w:r>
      <w:r>
        <w:rPr>
          <w:color w:val="231F20"/>
          <w:spacing w:val="-1"/>
          <w:w w:val="101"/>
        </w:rPr>
        <w:t> </w:t>
      </w:r>
      <w:r>
        <w:rPr>
          <w:color w:val="231F20"/>
        </w:rPr>
        <w:t>Un’ipotesi</w:t>
      </w:r>
      <w:r>
        <w:rPr>
          <w:color w:val="231F20"/>
          <w:spacing w:val="-18"/>
        </w:rPr>
        <w:t> </w:t>
      </w:r>
      <w:r>
        <w:rPr>
          <w:color w:val="231F20"/>
        </w:rPr>
        <w:t>alternativa</w:t>
      </w:r>
      <w:r>
        <w:rPr>
          <w:color w:val="231F20"/>
          <w:spacing w:val="-18"/>
        </w:rPr>
        <w:t> </w:t>
      </w:r>
      <w:r>
        <w:rPr>
          <w:color w:val="231F20"/>
        </w:rPr>
        <w:t>afferma</w:t>
      </w:r>
      <w:r>
        <w:rPr>
          <w:color w:val="231F20"/>
          <w:spacing w:val="-18"/>
        </w:rPr>
        <w:t> </w:t>
      </w:r>
      <w:r>
        <w:rPr>
          <w:color w:val="231F20"/>
        </w:rPr>
        <w:t>che</w:t>
      </w:r>
      <w:r>
        <w:rPr>
          <w:color w:val="231F20"/>
          <w:spacing w:val="-18"/>
        </w:rPr>
        <w:t> </w:t>
      </w:r>
      <w:r>
        <w:rPr>
          <w:color w:val="231F20"/>
        </w:rPr>
        <w:t>le</w:t>
      </w:r>
      <w:r>
        <w:rPr>
          <w:color w:val="231F20"/>
          <w:spacing w:val="-18"/>
        </w:rPr>
        <w:t> </w:t>
      </w:r>
      <w:r>
        <w:rPr>
          <w:color w:val="231F20"/>
        </w:rPr>
        <w:t>trasformazioni</w:t>
      </w:r>
      <w:r>
        <w:rPr>
          <w:color w:val="231F20"/>
          <w:spacing w:val="-18"/>
        </w:rPr>
        <w:t> </w:t>
      </w:r>
      <w:r>
        <w:rPr>
          <w:color w:val="231F20"/>
        </w:rPr>
        <w:t>recenti</w:t>
      </w:r>
      <w:r>
        <w:rPr>
          <w:color w:val="231F20"/>
          <w:spacing w:val="-18"/>
        </w:rPr>
        <w:t> </w:t>
      </w:r>
      <w:r>
        <w:rPr>
          <w:color w:val="231F20"/>
        </w:rPr>
        <w:t>nell’ordine</w:t>
      </w:r>
      <w:r>
        <w:rPr>
          <w:color w:val="231F20"/>
          <w:spacing w:val="-1"/>
          <w:w w:val="102"/>
        </w:rPr>
        <w:t> </w:t>
      </w:r>
      <w:r>
        <w:rPr>
          <w:color w:val="231F20"/>
          <w:w w:val="105"/>
        </w:rPr>
        <w:t>politico</w:t>
      </w:r>
      <w:r>
        <w:rPr>
          <w:color w:val="231F20"/>
          <w:spacing w:val="-12"/>
          <w:w w:val="105"/>
        </w:rPr>
        <w:t> </w:t>
      </w:r>
      <w:r>
        <w:rPr>
          <w:color w:val="231F20"/>
          <w:w w:val="105"/>
        </w:rPr>
        <w:t>democratico</w:t>
      </w:r>
      <w:r>
        <w:rPr>
          <w:color w:val="231F20"/>
          <w:spacing w:val="-12"/>
          <w:w w:val="105"/>
        </w:rPr>
        <w:t> </w:t>
      </w:r>
      <w:r>
        <w:rPr>
          <w:color w:val="231F20"/>
          <w:w w:val="105"/>
        </w:rPr>
        <w:t>hanno</w:t>
      </w:r>
      <w:r>
        <w:rPr>
          <w:color w:val="231F20"/>
          <w:spacing w:val="-12"/>
          <w:w w:val="105"/>
        </w:rPr>
        <w:t> </w:t>
      </w:r>
      <w:r>
        <w:rPr>
          <w:color w:val="231F20"/>
          <w:w w:val="105"/>
        </w:rPr>
        <w:t>permesso</w:t>
      </w:r>
      <w:r>
        <w:rPr>
          <w:color w:val="231F20"/>
          <w:spacing w:val="-12"/>
          <w:w w:val="105"/>
        </w:rPr>
        <w:t> </w:t>
      </w:r>
      <w:r>
        <w:rPr>
          <w:color w:val="231F20"/>
          <w:w w:val="105"/>
        </w:rPr>
        <w:t>l’annidamento</w:t>
      </w:r>
      <w:r>
        <w:rPr>
          <w:color w:val="231F20"/>
          <w:spacing w:val="-12"/>
          <w:w w:val="105"/>
        </w:rPr>
        <w:t> </w:t>
      </w:r>
      <w:r>
        <w:rPr>
          <w:color w:val="231F20"/>
          <w:w w:val="105"/>
        </w:rPr>
        <w:t>di</w:t>
      </w:r>
      <w:r>
        <w:rPr>
          <w:color w:val="231F20"/>
          <w:spacing w:val="-12"/>
          <w:w w:val="105"/>
        </w:rPr>
        <w:t> </w:t>
      </w:r>
      <w:r>
        <w:rPr>
          <w:color w:val="231F20"/>
          <w:w w:val="105"/>
        </w:rPr>
        <w:t>fenomeni,</w:t>
      </w:r>
      <w:r>
        <w:rPr>
          <w:color w:val="231F20"/>
          <w:spacing w:val="-12"/>
          <w:w w:val="105"/>
        </w:rPr>
        <w:t> </w:t>
      </w:r>
      <w:r>
        <w:rPr>
          <w:color w:val="231F20"/>
          <w:w w:val="105"/>
        </w:rPr>
        <w:t>alcuni</w:t>
      </w:r>
      <w:r>
        <w:rPr>
          <w:color w:val="231F20"/>
          <w:w w:val="101"/>
        </w:rPr>
        <w:t> </w:t>
      </w:r>
      <w:r>
        <w:rPr>
          <w:color w:val="231F20"/>
          <w:w w:val="105"/>
        </w:rPr>
        <w:t>molto</w:t>
      </w:r>
      <w:r>
        <w:rPr>
          <w:color w:val="231F20"/>
          <w:spacing w:val="-7"/>
          <w:w w:val="105"/>
        </w:rPr>
        <w:t> </w:t>
      </w:r>
      <w:r>
        <w:rPr>
          <w:color w:val="231F20"/>
          <w:w w:val="105"/>
        </w:rPr>
        <w:t>esplosivi,</w:t>
      </w:r>
      <w:r>
        <w:rPr>
          <w:color w:val="231F20"/>
          <w:spacing w:val="-7"/>
          <w:w w:val="105"/>
        </w:rPr>
        <w:t> </w:t>
      </w:r>
      <w:r>
        <w:rPr>
          <w:color w:val="231F20"/>
          <w:w w:val="105"/>
        </w:rPr>
        <w:t>che</w:t>
      </w:r>
      <w:r>
        <w:rPr>
          <w:color w:val="231F20"/>
          <w:spacing w:val="-7"/>
          <w:w w:val="105"/>
        </w:rPr>
        <w:t> </w:t>
      </w:r>
      <w:r>
        <w:rPr>
          <w:color w:val="231F20"/>
          <w:w w:val="105"/>
        </w:rPr>
        <w:t>attaccano</w:t>
      </w:r>
      <w:r>
        <w:rPr>
          <w:color w:val="231F20"/>
          <w:spacing w:val="-7"/>
          <w:w w:val="105"/>
        </w:rPr>
        <w:t> </w:t>
      </w:r>
      <w:r>
        <w:rPr>
          <w:color w:val="231F20"/>
          <w:w w:val="105"/>
        </w:rPr>
        <w:t>e</w:t>
      </w:r>
      <w:r>
        <w:rPr>
          <w:color w:val="231F20"/>
          <w:spacing w:val="-7"/>
          <w:w w:val="105"/>
        </w:rPr>
        <w:t> </w:t>
      </w:r>
      <w:r>
        <w:rPr>
          <w:color w:val="231F20"/>
          <w:w w:val="105"/>
        </w:rPr>
        <w:t>contraddicono</w:t>
      </w:r>
      <w:r>
        <w:rPr>
          <w:color w:val="231F20"/>
          <w:spacing w:val="-7"/>
          <w:w w:val="105"/>
        </w:rPr>
        <w:t> </w:t>
      </w:r>
      <w:r>
        <w:rPr>
          <w:color w:val="231F20"/>
          <w:w w:val="105"/>
        </w:rPr>
        <w:t>i</w:t>
      </w:r>
      <w:r>
        <w:rPr>
          <w:color w:val="231F20"/>
          <w:spacing w:val="-7"/>
          <w:w w:val="105"/>
        </w:rPr>
        <w:t> </w:t>
      </w:r>
      <w:r>
        <w:rPr>
          <w:color w:val="231F20"/>
          <w:w w:val="105"/>
        </w:rPr>
        <w:t>principi</w:t>
      </w:r>
      <w:r>
        <w:rPr>
          <w:color w:val="231F20"/>
          <w:spacing w:val="-7"/>
          <w:w w:val="105"/>
        </w:rPr>
        <w:t> </w:t>
      </w:r>
      <w:r>
        <w:rPr>
          <w:color w:val="231F20"/>
          <w:w w:val="105"/>
        </w:rPr>
        <w:t>costituzionali</w:t>
      </w:r>
      <w:r>
        <w:rPr>
          <w:color w:val="231F20"/>
          <w:spacing w:val="-7"/>
          <w:w w:val="105"/>
        </w:rPr>
        <w:t> </w:t>
      </w:r>
      <w:r>
        <w:rPr>
          <w:color w:val="231F20"/>
          <w:w w:val="105"/>
        </w:rPr>
        <w:t>e</w:t>
      </w:r>
      <w:r>
        <w:rPr>
          <w:color w:val="231F20"/>
          <w:w w:val="105"/>
        </w:rPr>
        <w:t> </w:t>
      </w:r>
      <w:r>
        <w:rPr>
          <w:color w:val="231F20"/>
          <w:spacing w:val="-3"/>
          <w:w w:val="105"/>
        </w:rPr>
        <w:t>legali</w:t>
      </w:r>
      <w:r>
        <w:rPr>
          <w:color w:val="231F20"/>
          <w:spacing w:val="-48"/>
          <w:w w:val="105"/>
        </w:rPr>
        <w:t> </w:t>
      </w:r>
      <w:r>
        <w:rPr>
          <w:color w:val="231F20"/>
          <w:w w:val="105"/>
        </w:rPr>
        <w:t>che</w:t>
      </w:r>
      <w:r>
        <w:rPr>
          <w:color w:val="231F20"/>
          <w:spacing w:val="-48"/>
          <w:w w:val="105"/>
        </w:rPr>
        <w:t> </w:t>
      </w:r>
      <w:r>
        <w:rPr>
          <w:color w:val="231F20"/>
          <w:spacing w:val="-3"/>
          <w:w w:val="105"/>
        </w:rPr>
        <w:t>permettono</w:t>
      </w:r>
      <w:r>
        <w:rPr>
          <w:color w:val="231F20"/>
          <w:spacing w:val="-48"/>
          <w:w w:val="105"/>
        </w:rPr>
        <w:t> </w:t>
      </w:r>
      <w:r>
        <w:rPr>
          <w:color w:val="231F20"/>
          <w:w w:val="105"/>
        </w:rPr>
        <w:t>la</w:t>
      </w:r>
      <w:r>
        <w:rPr>
          <w:color w:val="231F20"/>
          <w:spacing w:val="-48"/>
          <w:w w:val="105"/>
        </w:rPr>
        <w:t> </w:t>
      </w:r>
      <w:r>
        <w:rPr>
          <w:color w:val="231F20"/>
          <w:spacing w:val="-4"/>
          <w:w w:val="105"/>
        </w:rPr>
        <w:t>riproduzione</w:t>
      </w:r>
      <w:r>
        <w:rPr>
          <w:color w:val="231F20"/>
          <w:spacing w:val="-48"/>
          <w:w w:val="105"/>
        </w:rPr>
        <w:t> </w:t>
      </w:r>
      <w:r>
        <w:rPr>
          <w:color w:val="231F20"/>
          <w:spacing w:val="-3"/>
          <w:w w:val="105"/>
        </w:rPr>
        <w:t>della</w:t>
      </w:r>
      <w:r>
        <w:rPr>
          <w:color w:val="231F20"/>
          <w:spacing w:val="-48"/>
          <w:w w:val="105"/>
        </w:rPr>
        <w:t> </w:t>
      </w:r>
      <w:r>
        <w:rPr>
          <w:color w:val="231F20"/>
          <w:spacing w:val="-3"/>
          <w:w w:val="105"/>
        </w:rPr>
        <w:t>democrazia,</w:t>
      </w:r>
      <w:r>
        <w:rPr>
          <w:color w:val="231F20"/>
          <w:spacing w:val="-48"/>
          <w:w w:val="105"/>
        </w:rPr>
        <w:t> </w:t>
      </w:r>
      <w:r>
        <w:rPr>
          <w:color w:val="231F20"/>
          <w:w w:val="105"/>
        </w:rPr>
        <w:t>ma</w:t>
      </w:r>
      <w:r>
        <w:rPr>
          <w:color w:val="231F20"/>
          <w:spacing w:val="-48"/>
          <w:w w:val="105"/>
        </w:rPr>
        <w:t> </w:t>
      </w:r>
      <w:r>
        <w:rPr>
          <w:color w:val="231F20"/>
          <w:spacing w:val="-3"/>
          <w:w w:val="105"/>
        </w:rPr>
        <w:t>paradossalmente</w:t>
      </w:r>
      <w:r>
        <w:rPr>
          <w:color w:val="231F20"/>
          <w:spacing w:val="-3"/>
          <w:w w:val="102"/>
        </w:rPr>
        <w:t> </w:t>
      </w:r>
      <w:r>
        <w:rPr>
          <w:color w:val="231F20"/>
          <w:spacing w:val="5"/>
          <w:w w:val="105"/>
        </w:rPr>
        <w:t>nascono all’interno </w:t>
      </w:r>
      <w:r>
        <w:rPr>
          <w:color w:val="231F20"/>
          <w:spacing w:val="4"/>
          <w:w w:val="105"/>
        </w:rPr>
        <w:t>della </w:t>
      </w:r>
      <w:r>
        <w:rPr>
          <w:color w:val="231F20"/>
          <w:spacing w:val="5"/>
          <w:w w:val="105"/>
        </w:rPr>
        <w:t>frammentazione (dispersione)</w:t>
      </w:r>
      <w:r>
        <w:rPr>
          <w:color w:val="231F20"/>
          <w:spacing w:val="50"/>
          <w:w w:val="105"/>
        </w:rPr>
        <w:t> </w:t>
      </w:r>
      <w:r>
        <w:rPr>
          <w:color w:val="231F20"/>
          <w:spacing w:val="4"/>
          <w:w w:val="105"/>
        </w:rPr>
        <w:t>dei</w:t>
      </w:r>
      <w:r>
        <w:rPr>
          <w:color w:val="231F20"/>
          <w:spacing w:val="13"/>
          <w:w w:val="105"/>
        </w:rPr>
        <w:t> </w:t>
      </w:r>
      <w:r>
        <w:rPr>
          <w:color w:val="231F20"/>
          <w:spacing w:val="5"/>
          <w:w w:val="105"/>
        </w:rPr>
        <w:t>processi</w:t>
      </w:r>
      <w:r>
        <w:rPr>
          <w:color w:val="231F20"/>
          <w:spacing w:val="6"/>
          <w:w w:val="102"/>
        </w:rPr>
        <w:t> </w:t>
      </w:r>
      <w:r>
        <w:rPr>
          <w:color w:val="231F20"/>
          <w:spacing w:val="-3"/>
          <w:w w:val="105"/>
        </w:rPr>
        <w:t>democratici,</w:t>
      </w:r>
      <w:r>
        <w:rPr>
          <w:color w:val="231F20"/>
          <w:spacing w:val="-44"/>
          <w:w w:val="105"/>
        </w:rPr>
        <w:t> </w:t>
      </w:r>
      <w:r>
        <w:rPr>
          <w:color w:val="231F20"/>
          <w:w w:val="105"/>
        </w:rPr>
        <w:t>il</w:t>
      </w:r>
      <w:r>
        <w:rPr>
          <w:color w:val="231F20"/>
          <w:spacing w:val="-44"/>
          <w:w w:val="105"/>
        </w:rPr>
        <w:t> </w:t>
      </w:r>
      <w:r>
        <w:rPr>
          <w:color w:val="231F20"/>
          <w:w w:val="105"/>
        </w:rPr>
        <w:t>che</w:t>
      </w:r>
      <w:r>
        <w:rPr>
          <w:color w:val="231F20"/>
          <w:spacing w:val="-44"/>
          <w:w w:val="105"/>
        </w:rPr>
        <w:t> </w:t>
      </w:r>
      <w:r>
        <w:rPr>
          <w:color w:val="231F20"/>
          <w:spacing w:val="-3"/>
          <w:w w:val="105"/>
        </w:rPr>
        <w:t>suppone</w:t>
      </w:r>
      <w:r>
        <w:rPr>
          <w:color w:val="231F20"/>
          <w:spacing w:val="-44"/>
          <w:w w:val="105"/>
        </w:rPr>
        <w:t> </w:t>
      </w:r>
      <w:r>
        <w:rPr>
          <w:color w:val="231F20"/>
          <w:spacing w:val="-4"/>
          <w:w w:val="105"/>
        </w:rPr>
        <w:t>dire</w:t>
      </w:r>
      <w:r>
        <w:rPr>
          <w:color w:val="231F20"/>
          <w:spacing w:val="-44"/>
          <w:w w:val="105"/>
        </w:rPr>
        <w:t> </w:t>
      </w:r>
      <w:r>
        <w:rPr>
          <w:color w:val="231F20"/>
          <w:w w:val="105"/>
        </w:rPr>
        <w:t>che</w:t>
      </w:r>
      <w:r>
        <w:rPr>
          <w:color w:val="231F20"/>
          <w:spacing w:val="-44"/>
          <w:w w:val="105"/>
        </w:rPr>
        <w:t> </w:t>
      </w:r>
      <w:r>
        <w:rPr>
          <w:color w:val="231F20"/>
          <w:spacing w:val="-3"/>
          <w:w w:val="105"/>
        </w:rPr>
        <w:t>siamo</w:t>
      </w:r>
      <w:r>
        <w:rPr>
          <w:color w:val="231F20"/>
          <w:spacing w:val="-44"/>
          <w:w w:val="105"/>
        </w:rPr>
        <w:t> </w:t>
      </w:r>
      <w:r>
        <w:rPr>
          <w:color w:val="231F20"/>
          <w:w w:val="105"/>
        </w:rPr>
        <w:t>in</w:t>
      </w:r>
      <w:r>
        <w:rPr>
          <w:color w:val="231F20"/>
          <w:spacing w:val="-44"/>
          <w:w w:val="105"/>
        </w:rPr>
        <w:t> </w:t>
      </w:r>
      <w:r>
        <w:rPr>
          <w:color w:val="231F20"/>
          <w:spacing w:val="-4"/>
          <w:w w:val="105"/>
        </w:rPr>
        <w:t>presenza</w:t>
      </w:r>
      <w:r>
        <w:rPr>
          <w:color w:val="231F20"/>
          <w:spacing w:val="-44"/>
          <w:w w:val="105"/>
        </w:rPr>
        <w:t> </w:t>
      </w:r>
      <w:r>
        <w:rPr>
          <w:color w:val="231F20"/>
          <w:w w:val="105"/>
        </w:rPr>
        <w:t>di</w:t>
      </w:r>
      <w:r>
        <w:rPr>
          <w:color w:val="231F20"/>
          <w:spacing w:val="-44"/>
          <w:w w:val="105"/>
        </w:rPr>
        <w:t> </w:t>
      </w:r>
      <w:r>
        <w:rPr>
          <w:color w:val="231F20"/>
          <w:w w:val="105"/>
        </w:rPr>
        <w:t>una</w:t>
      </w:r>
      <w:r>
        <w:rPr>
          <w:color w:val="231F20"/>
          <w:spacing w:val="-44"/>
          <w:w w:val="105"/>
        </w:rPr>
        <w:t> </w:t>
      </w:r>
      <w:r>
        <w:rPr>
          <w:color w:val="231F20"/>
          <w:spacing w:val="-4"/>
          <w:w w:val="105"/>
        </w:rPr>
        <w:t>rete</w:t>
      </w:r>
      <w:r>
        <w:rPr>
          <w:color w:val="231F20"/>
          <w:spacing w:val="-44"/>
          <w:w w:val="105"/>
        </w:rPr>
        <w:t> </w:t>
      </w:r>
      <w:r>
        <w:rPr>
          <w:color w:val="231F20"/>
          <w:spacing w:val="-3"/>
          <w:w w:val="105"/>
        </w:rPr>
        <w:t>amplificata</w:t>
      </w:r>
      <w:r>
        <w:rPr>
          <w:color w:val="231F20"/>
          <w:spacing w:val="-3"/>
          <w:w w:val="100"/>
        </w:rPr>
        <w:t> </w:t>
      </w:r>
      <w:r>
        <w:rPr>
          <w:color w:val="231F20"/>
          <w:w w:val="105"/>
        </w:rPr>
        <w:t>dei</w:t>
      </w:r>
      <w:r>
        <w:rPr>
          <w:color w:val="231F20"/>
          <w:spacing w:val="-40"/>
          <w:w w:val="105"/>
        </w:rPr>
        <w:t> </w:t>
      </w:r>
      <w:r>
        <w:rPr>
          <w:color w:val="231F20"/>
          <w:w w:val="105"/>
        </w:rPr>
        <w:t>luoghi</w:t>
      </w:r>
      <w:r>
        <w:rPr>
          <w:color w:val="231F20"/>
          <w:spacing w:val="-40"/>
          <w:w w:val="105"/>
        </w:rPr>
        <w:t> </w:t>
      </w:r>
      <w:r>
        <w:rPr>
          <w:color w:val="231F20"/>
          <w:w w:val="105"/>
        </w:rPr>
        <w:t>d’interazione</w:t>
      </w:r>
      <w:r>
        <w:rPr>
          <w:color w:val="231F20"/>
          <w:spacing w:val="-40"/>
          <w:w w:val="105"/>
        </w:rPr>
        <w:t> </w:t>
      </w:r>
      <w:r>
        <w:rPr>
          <w:color w:val="231F20"/>
          <w:w w:val="105"/>
        </w:rPr>
        <w:t>tra</w:t>
      </w:r>
      <w:r>
        <w:rPr>
          <w:color w:val="231F20"/>
          <w:spacing w:val="-40"/>
          <w:w w:val="105"/>
        </w:rPr>
        <w:t> </w:t>
      </w:r>
      <w:r>
        <w:rPr>
          <w:color w:val="231F20"/>
          <w:w w:val="105"/>
        </w:rPr>
        <w:t>attori</w:t>
      </w:r>
      <w:r>
        <w:rPr>
          <w:color w:val="231F20"/>
          <w:spacing w:val="-40"/>
          <w:w w:val="105"/>
        </w:rPr>
        <w:t> </w:t>
      </w:r>
      <w:r>
        <w:rPr>
          <w:color w:val="231F20"/>
          <w:w w:val="105"/>
        </w:rPr>
        <w:t>politici</w:t>
      </w:r>
      <w:r>
        <w:rPr>
          <w:color w:val="231F20"/>
          <w:spacing w:val="-40"/>
          <w:w w:val="105"/>
        </w:rPr>
        <w:t> </w:t>
      </w:r>
      <w:r>
        <w:rPr>
          <w:color w:val="231F20"/>
          <w:w w:val="105"/>
        </w:rPr>
        <w:t>con</w:t>
      </w:r>
      <w:r>
        <w:rPr>
          <w:color w:val="231F20"/>
          <w:spacing w:val="-40"/>
          <w:w w:val="105"/>
        </w:rPr>
        <w:t> </w:t>
      </w:r>
      <w:r>
        <w:rPr>
          <w:color w:val="231F20"/>
          <w:w w:val="105"/>
        </w:rPr>
        <w:t>quelli</w:t>
      </w:r>
      <w:r>
        <w:rPr>
          <w:color w:val="231F20"/>
          <w:spacing w:val="-40"/>
          <w:w w:val="105"/>
        </w:rPr>
        <w:t> </w:t>
      </w:r>
      <w:r>
        <w:rPr>
          <w:color w:val="231F20"/>
          <w:w w:val="105"/>
        </w:rPr>
        <w:t>economici</w:t>
      </w:r>
      <w:r>
        <w:rPr>
          <w:color w:val="231F20"/>
          <w:spacing w:val="-40"/>
          <w:w w:val="105"/>
        </w:rPr>
        <w:t> </w:t>
      </w:r>
      <w:r>
        <w:rPr>
          <w:color w:val="231F20"/>
          <w:w w:val="105"/>
        </w:rPr>
        <w:t>e</w:t>
      </w:r>
      <w:r>
        <w:rPr>
          <w:color w:val="231F20"/>
          <w:spacing w:val="-40"/>
          <w:w w:val="105"/>
        </w:rPr>
        <w:t> </w:t>
      </w:r>
      <w:r>
        <w:rPr>
          <w:color w:val="231F20"/>
          <w:w w:val="105"/>
        </w:rPr>
        <w:t>sociali,</w:t>
      </w:r>
      <w:r>
        <w:rPr>
          <w:color w:val="231F20"/>
          <w:spacing w:val="-40"/>
          <w:w w:val="105"/>
        </w:rPr>
        <w:t> </w:t>
      </w:r>
      <w:r>
        <w:rPr>
          <w:color w:val="231F20"/>
          <w:w w:val="105"/>
        </w:rPr>
        <w:t>nelle</w:t>
      </w:r>
      <w:r>
        <w:rPr>
          <w:color w:val="231F20"/>
          <w:spacing w:val="-1"/>
          <w:w w:val="105"/>
        </w:rPr>
        <w:t> </w:t>
      </w:r>
      <w:r>
        <w:rPr>
          <w:color w:val="231F20"/>
          <w:w w:val="105"/>
        </w:rPr>
        <w:t>cui</w:t>
      </w:r>
      <w:r>
        <w:rPr>
          <w:color w:val="231F20"/>
          <w:spacing w:val="-51"/>
          <w:w w:val="105"/>
        </w:rPr>
        <w:t> </w:t>
      </w:r>
      <w:r>
        <w:rPr>
          <w:color w:val="231F20"/>
          <w:w w:val="105"/>
        </w:rPr>
        <w:t>intersezioni,</w:t>
      </w:r>
      <w:r>
        <w:rPr>
          <w:color w:val="231F20"/>
          <w:spacing w:val="-51"/>
          <w:w w:val="105"/>
        </w:rPr>
        <w:t> </w:t>
      </w:r>
      <w:r>
        <w:rPr>
          <w:color w:val="231F20"/>
          <w:w w:val="105"/>
        </w:rPr>
        <w:t>precisamente</w:t>
      </w:r>
      <w:r>
        <w:rPr>
          <w:color w:val="231F20"/>
          <w:spacing w:val="-51"/>
          <w:w w:val="105"/>
        </w:rPr>
        <w:t> </w:t>
      </w:r>
      <w:r>
        <w:rPr>
          <w:color w:val="231F20"/>
          <w:w w:val="105"/>
        </w:rPr>
        <w:t>l’insicurezza</w:t>
      </w:r>
      <w:r>
        <w:rPr>
          <w:color w:val="231F20"/>
          <w:spacing w:val="-51"/>
          <w:w w:val="105"/>
        </w:rPr>
        <w:t> </w:t>
      </w:r>
      <w:r>
        <w:rPr>
          <w:color w:val="231F20"/>
          <w:w w:val="105"/>
        </w:rPr>
        <w:t>e</w:t>
      </w:r>
      <w:r>
        <w:rPr>
          <w:color w:val="231F20"/>
          <w:spacing w:val="-51"/>
          <w:w w:val="105"/>
        </w:rPr>
        <w:t> </w:t>
      </w:r>
      <w:r>
        <w:rPr>
          <w:color w:val="231F20"/>
          <w:w w:val="105"/>
        </w:rPr>
        <w:t>la</w:t>
      </w:r>
      <w:r>
        <w:rPr>
          <w:color w:val="231F20"/>
          <w:spacing w:val="-51"/>
          <w:w w:val="105"/>
        </w:rPr>
        <w:t> </w:t>
      </w:r>
      <w:r>
        <w:rPr>
          <w:color w:val="231F20"/>
          <w:w w:val="105"/>
        </w:rPr>
        <w:t>criminalità</w:t>
      </w:r>
      <w:r>
        <w:rPr>
          <w:color w:val="231F20"/>
          <w:spacing w:val="-51"/>
          <w:w w:val="105"/>
        </w:rPr>
        <w:t> </w:t>
      </w:r>
      <w:r>
        <w:rPr>
          <w:color w:val="231F20"/>
          <w:w w:val="105"/>
        </w:rPr>
        <w:t>diventano</w:t>
      </w:r>
      <w:r>
        <w:rPr>
          <w:color w:val="231F20"/>
          <w:spacing w:val="-51"/>
          <w:w w:val="105"/>
        </w:rPr>
        <w:t> </w:t>
      </w:r>
      <w:r>
        <w:rPr>
          <w:color w:val="231F20"/>
          <w:w w:val="105"/>
        </w:rPr>
        <w:t>cardini</w:t>
      </w:r>
    </w:p>
    <w:p>
      <w:pPr>
        <w:pStyle w:val="BodyText"/>
        <w:spacing w:before="2"/>
        <w:rPr>
          <w:sz w:val="23"/>
        </w:rPr>
      </w:pPr>
      <w:r>
        <w:rPr/>
        <w:pict>
          <v:line style="position:absolute;mso-position-horizontal-relative:page;mso-position-vertical-relative:paragraph;z-index:13936;mso-wrap-distance-left:0;mso-wrap-distance-right:0" from="70.866096pt,16.106985pt" to="184.252096pt,16.106985pt" stroked="true" strokeweight=".3pt" strokecolor="#231f20">
            <w10:wrap type="topAndBottom"/>
          </v:line>
        </w:pict>
      </w:r>
    </w:p>
    <w:p>
      <w:pPr>
        <w:spacing w:line="204" w:lineRule="exact" w:before="8"/>
        <w:ind w:left="117" w:right="121" w:firstLine="0"/>
        <w:jc w:val="both"/>
        <w:rPr>
          <w:rFonts w:ascii="Calibri" w:hAnsi="Calibri"/>
          <w:sz w:val="17"/>
        </w:rPr>
      </w:pPr>
      <w:r>
        <w:rPr>
          <w:rFonts w:ascii="Calibri" w:hAnsi="Calibri"/>
          <w:color w:val="231F20"/>
          <w:position w:val="6"/>
          <w:sz w:val="10"/>
        </w:rPr>
        <w:t>53 </w:t>
      </w:r>
      <w:r>
        <w:rPr>
          <w:rFonts w:ascii="Calibri" w:hAnsi="Calibri"/>
          <w:color w:val="231F20"/>
          <w:sz w:val="17"/>
        </w:rPr>
        <w:t>Come sappiamo, l’evento più recente è l’emergenza politica in Europa in 2015, per l’arrivo di rifugiati provenienti principalmente dalla   Siria.</w:t>
      </w:r>
    </w:p>
    <w:p>
      <w:pPr>
        <w:spacing w:line="204" w:lineRule="exact" w:before="0"/>
        <w:ind w:left="117" w:right="121" w:firstLine="0"/>
        <w:jc w:val="both"/>
        <w:rPr>
          <w:rFonts w:ascii="Calibri" w:hAnsi="Calibri"/>
          <w:sz w:val="17"/>
        </w:rPr>
      </w:pPr>
      <w:r>
        <w:rPr>
          <w:rFonts w:ascii="Calibri" w:hAnsi="Calibri"/>
          <w:color w:val="231F20"/>
          <w:position w:val="6"/>
          <w:sz w:val="10"/>
        </w:rPr>
        <w:t>54</w:t>
      </w:r>
      <w:r>
        <w:rPr>
          <w:rFonts w:ascii="Calibri" w:hAnsi="Calibri"/>
          <w:color w:val="231F20"/>
          <w:spacing w:val="8"/>
          <w:position w:val="6"/>
          <w:sz w:val="10"/>
        </w:rPr>
        <w:t> </w:t>
      </w:r>
      <w:r>
        <w:rPr>
          <w:rFonts w:ascii="Calibri" w:hAnsi="Calibri"/>
          <w:color w:val="231F20"/>
          <w:sz w:val="17"/>
        </w:rPr>
        <w:t>I.</w:t>
      </w:r>
      <w:r>
        <w:rPr>
          <w:rFonts w:ascii="Calibri" w:hAnsi="Calibri"/>
          <w:color w:val="231F20"/>
          <w:spacing w:val="-8"/>
          <w:sz w:val="17"/>
        </w:rPr>
        <w:t> </w:t>
      </w:r>
      <w:r>
        <w:rPr>
          <w:rFonts w:ascii="Calibri" w:hAnsi="Calibri"/>
          <w:color w:val="231F20"/>
          <w:sz w:val="17"/>
        </w:rPr>
        <w:t>Covarrubias,</w:t>
      </w:r>
      <w:r>
        <w:rPr>
          <w:rFonts w:ascii="Calibri" w:hAnsi="Calibri"/>
          <w:color w:val="231F20"/>
          <w:spacing w:val="-8"/>
          <w:sz w:val="17"/>
        </w:rPr>
        <w:t> </w:t>
      </w:r>
      <w:r>
        <w:rPr>
          <w:rFonts w:ascii="Calibri" w:hAnsi="Calibri"/>
          <w:i/>
          <w:color w:val="231F20"/>
          <w:sz w:val="17"/>
        </w:rPr>
        <w:t>Los</w:t>
      </w:r>
      <w:r>
        <w:rPr>
          <w:rFonts w:ascii="Calibri" w:hAnsi="Calibri"/>
          <w:i/>
          <w:color w:val="231F20"/>
          <w:spacing w:val="-9"/>
          <w:sz w:val="17"/>
        </w:rPr>
        <w:t> </w:t>
      </w:r>
      <w:r>
        <w:rPr>
          <w:rFonts w:ascii="Calibri" w:hAnsi="Calibri"/>
          <w:i/>
          <w:color w:val="231F20"/>
          <w:sz w:val="17"/>
        </w:rPr>
        <w:t>espejos</w:t>
      </w:r>
      <w:r>
        <w:rPr>
          <w:rFonts w:ascii="Calibri" w:hAnsi="Calibri"/>
          <w:i/>
          <w:color w:val="231F20"/>
          <w:spacing w:val="-9"/>
          <w:sz w:val="17"/>
        </w:rPr>
        <w:t> </w:t>
      </w:r>
      <w:r>
        <w:rPr>
          <w:rFonts w:ascii="Calibri" w:hAnsi="Calibri"/>
          <w:i/>
          <w:color w:val="231F20"/>
          <w:sz w:val="17"/>
        </w:rPr>
        <w:t>de</w:t>
      </w:r>
      <w:r>
        <w:rPr>
          <w:rFonts w:ascii="Calibri" w:hAnsi="Calibri"/>
          <w:i/>
          <w:color w:val="231F20"/>
          <w:spacing w:val="-9"/>
          <w:sz w:val="17"/>
        </w:rPr>
        <w:t> </w:t>
      </w:r>
      <w:r>
        <w:rPr>
          <w:rFonts w:ascii="Calibri" w:hAnsi="Calibri"/>
          <w:i/>
          <w:color w:val="231F20"/>
          <w:sz w:val="17"/>
        </w:rPr>
        <w:t>la</w:t>
      </w:r>
      <w:r>
        <w:rPr>
          <w:rFonts w:ascii="Calibri" w:hAnsi="Calibri"/>
          <w:i/>
          <w:color w:val="231F20"/>
          <w:spacing w:val="-9"/>
          <w:sz w:val="17"/>
        </w:rPr>
        <w:t> </w:t>
      </w:r>
      <w:r>
        <w:rPr>
          <w:rFonts w:ascii="Calibri" w:hAnsi="Calibri"/>
          <w:i/>
          <w:color w:val="231F20"/>
          <w:sz w:val="17"/>
        </w:rPr>
        <w:t>democracia.</w:t>
      </w:r>
      <w:r>
        <w:rPr>
          <w:rFonts w:ascii="Calibri" w:hAnsi="Calibri"/>
          <w:i/>
          <w:color w:val="231F20"/>
          <w:spacing w:val="-9"/>
          <w:sz w:val="17"/>
        </w:rPr>
        <w:t> </w:t>
      </w:r>
      <w:r>
        <w:rPr>
          <w:rFonts w:ascii="Calibri" w:hAnsi="Calibri"/>
          <w:i/>
          <w:color w:val="231F20"/>
          <w:sz w:val="17"/>
        </w:rPr>
        <w:t>Ley,</w:t>
      </w:r>
      <w:r>
        <w:rPr>
          <w:rFonts w:ascii="Calibri" w:hAnsi="Calibri"/>
          <w:i/>
          <w:color w:val="231F20"/>
          <w:spacing w:val="-9"/>
          <w:sz w:val="17"/>
        </w:rPr>
        <w:t> </w:t>
      </w:r>
      <w:r>
        <w:rPr>
          <w:rFonts w:ascii="Calibri" w:hAnsi="Calibri"/>
          <w:i/>
          <w:color w:val="231F20"/>
          <w:sz w:val="17"/>
        </w:rPr>
        <w:t>espacio</w:t>
      </w:r>
      <w:r>
        <w:rPr>
          <w:rFonts w:ascii="Calibri" w:hAnsi="Calibri"/>
          <w:i/>
          <w:color w:val="231F20"/>
          <w:spacing w:val="-9"/>
          <w:sz w:val="17"/>
        </w:rPr>
        <w:t> </w:t>
      </w:r>
      <w:r>
        <w:rPr>
          <w:rFonts w:ascii="Calibri" w:hAnsi="Calibri"/>
          <w:i/>
          <w:color w:val="231F20"/>
          <w:sz w:val="17"/>
        </w:rPr>
        <w:t>político</w:t>
      </w:r>
      <w:r>
        <w:rPr>
          <w:rFonts w:ascii="Calibri" w:hAnsi="Calibri"/>
          <w:i/>
          <w:color w:val="231F20"/>
          <w:spacing w:val="-10"/>
          <w:sz w:val="17"/>
        </w:rPr>
        <w:t> </w:t>
      </w:r>
      <w:r>
        <w:rPr>
          <w:rFonts w:ascii="Calibri" w:hAnsi="Calibri"/>
          <w:i/>
          <w:color w:val="231F20"/>
          <w:sz w:val="17"/>
        </w:rPr>
        <w:t>y</w:t>
      </w:r>
      <w:r>
        <w:rPr>
          <w:rFonts w:ascii="Calibri" w:hAnsi="Calibri"/>
          <w:i/>
          <w:color w:val="231F20"/>
          <w:spacing w:val="-9"/>
          <w:sz w:val="17"/>
        </w:rPr>
        <w:t> </w:t>
      </w:r>
      <w:r>
        <w:rPr>
          <w:rFonts w:ascii="Calibri" w:hAnsi="Calibri"/>
          <w:i/>
          <w:color w:val="231F20"/>
          <w:sz w:val="17"/>
        </w:rPr>
        <w:t>exclusión,</w:t>
      </w:r>
      <w:r>
        <w:rPr>
          <w:rFonts w:ascii="Calibri" w:hAnsi="Calibri"/>
          <w:i/>
          <w:color w:val="231F20"/>
          <w:spacing w:val="-8"/>
          <w:sz w:val="17"/>
        </w:rPr>
        <w:t> </w:t>
      </w:r>
      <w:r>
        <w:rPr>
          <w:rFonts w:ascii="Calibri" w:hAnsi="Calibri"/>
          <w:color w:val="231F20"/>
          <w:sz w:val="17"/>
        </w:rPr>
        <w:t>p.</w:t>
      </w:r>
      <w:r>
        <w:rPr>
          <w:rFonts w:ascii="Calibri" w:hAnsi="Calibri"/>
          <w:color w:val="231F20"/>
          <w:spacing w:val="-8"/>
          <w:sz w:val="17"/>
        </w:rPr>
        <w:t> </w:t>
      </w:r>
      <w:r>
        <w:rPr>
          <w:rFonts w:ascii="Calibri" w:hAnsi="Calibri"/>
          <w:color w:val="231F20"/>
          <w:sz w:val="17"/>
        </w:rPr>
        <w:t>30–32;</w:t>
      </w:r>
      <w:r>
        <w:rPr>
          <w:rFonts w:ascii="Calibri" w:hAnsi="Calibri"/>
          <w:color w:val="231F20"/>
          <w:spacing w:val="-8"/>
          <w:sz w:val="17"/>
        </w:rPr>
        <w:t> </w:t>
      </w:r>
      <w:r>
        <w:rPr>
          <w:rFonts w:ascii="Calibri" w:hAnsi="Calibri"/>
          <w:color w:val="231F20"/>
          <w:sz w:val="17"/>
        </w:rPr>
        <w:t>G.</w:t>
      </w:r>
      <w:r>
        <w:rPr>
          <w:rFonts w:ascii="Calibri" w:hAnsi="Calibri"/>
          <w:color w:val="231F20"/>
          <w:spacing w:val="-8"/>
          <w:sz w:val="17"/>
        </w:rPr>
        <w:t> </w:t>
      </w:r>
      <w:r>
        <w:rPr>
          <w:rFonts w:ascii="Calibri" w:hAnsi="Calibri"/>
          <w:color w:val="231F20"/>
          <w:sz w:val="17"/>
        </w:rPr>
        <w:t>Kessler,</w:t>
      </w:r>
      <w:r>
        <w:rPr>
          <w:rFonts w:ascii="Calibri" w:hAnsi="Calibri"/>
          <w:color w:val="231F20"/>
          <w:spacing w:val="-8"/>
          <w:sz w:val="17"/>
        </w:rPr>
        <w:t> </w:t>
      </w:r>
      <w:r>
        <w:rPr>
          <w:rFonts w:ascii="Calibri" w:hAnsi="Calibri"/>
          <w:i/>
          <w:color w:val="231F20"/>
          <w:sz w:val="17"/>
        </w:rPr>
        <w:t>El </w:t>
      </w:r>
      <w:r>
        <w:rPr>
          <w:rFonts w:ascii="Calibri" w:hAnsi="Calibri"/>
          <w:i/>
          <w:color w:val="231F20"/>
          <w:sz w:val="17"/>
        </w:rPr>
        <w:t>sentimiento de inseguridad. Sociología del temor al delito</w:t>
      </w:r>
      <w:r>
        <w:rPr>
          <w:rFonts w:ascii="Calibri" w:hAnsi="Calibri"/>
          <w:color w:val="231F20"/>
          <w:sz w:val="17"/>
        </w:rPr>
        <w:t>, Buenos Aires, Siglo </w:t>
      </w:r>
      <w:r>
        <w:rPr>
          <w:rFonts w:ascii="Calibri" w:hAnsi="Calibri"/>
          <w:color w:val="231F20"/>
          <w:sz w:val="14"/>
        </w:rPr>
        <w:t>XXI </w:t>
      </w:r>
      <w:r>
        <w:rPr>
          <w:rFonts w:ascii="Calibri" w:hAnsi="Calibri"/>
          <w:color w:val="231F20"/>
          <w:sz w:val="17"/>
        </w:rPr>
        <w:t>Editores, 2009, pp. 21–66;</w:t>
      </w:r>
      <w:r>
        <w:rPr>
          <w:rFonts w:ascii="Calibri" w:hAnsi="Calibri"/>
          <w:color w:val="231F20"/>
          <w:spacing w:val="-15"/>
          <w:sz w:val="17"/>
        </w:rPr>
        <w:t> </w:t>
      </w:r>
      <w:r>
        <w:rPr>
          <w:rFonts w:ascii="Calibri" w:hAnsi="Calibri"/>
          <w:color w:val="231F20"/>
          <w:sz w:val="17"/>
        </w:rPr>
        <w:t>N.</w:t>
      </w:r>
      <w:r>
        <w:rPr>
          <w:rFonts w:ascii="Calibri" w:hAnsi="Calibri"/>
          <w:color w:val="231F20"/>
          <w:spacing w:val="-15"/>
          <w:sz w:val="17"/>
        </w:rPr>
        <w:t> </w:t>
      </w:r>
      <w:r>
        <w:rPr>
          <w:rFonts w:ascii="Calibri" w:hAnsi="Calibri"/>
          <w:color w:val="231F20"/>
          <w:sz w:val="17"/>
        </w:rPr>
        <w:t>Lechner,</w:t>
      </w:r>
      <w:r>
        <w:rPr>
          <w:rFonts w:ascii="Calibri" w:hAnsi="Calibri"/>
          <w:color w:val="231F20"/>
          <w:spacing w:val="-15"/>
          <w:sz w:val="17"/>
        </w:rPr>
        <w:t> </w:t>
      </w:r>
      <w:r>
        <w:rPr>
          <w:rFonts w:ascii="Calibri" w:hAnsi="Calibri"/>
          <w:color w:val="231F20"/>
          <w:sz w:val="17"/>
        </w:rPr>
        <w:t>“Nuestros</w:t>
      </w:r>
      <w:r>
        <w:rPr>
          <w:rFonts w:ascii="Calibri" w:hAnsi="Calibri"/>
          <w:color w:val="231F20"/>
          <w:spacing w:val="-15"/>
          <w:sz w:val="17"/>
        </w:rPr>
        <w:t> </w:t>
      </w:r>
      <w:r>
        <w:rPr>
          <w:rFonts w:ascii="Calibri" w:hAnsi="Calibri"/>
          <w:color w:val="231F20"/>
          <w:sz w:val="17"/>
        </w:rPr>
        <w:t>miedos”,</w:t>
      </w:r>
      <w:r>
        <w:rPr>
          <w:rFonts w:ascii="Calibri" w:hAnsi="Calibri"/>
          <w:color w:val="231F20"/>
          <w:spacing w:val="-15"/>
          <w:sz w:val="17"/>
        </w:rPr>
        <w:t> </w:t>
      </w:r>
      <w:r>
        <w:rPr>
          <w:rFonts w:ascii="Calibri" w:hAnsi="Calibri"/>
          <w:i/>
          <w:color w:val="231F20"/>
          <w:sz w:val="17"/>
        </w:rPr>
        <w:t>Perfiles</w:t>
      </w:r>
      <w:r>
        <w:rPr>
          <w:rFonts w:ascii="Calibri" w:hAnsi="Calibri"/>
          <w:i/>
          <w:color w:val="231F20"/>
          <w:spacing w:val="-16"/>
          <w:sz w:val="17"/>
        </w:rPr>
        <w:t> </w:t>
      </w:r>
      <w:r>
        <w:rPr>
          <w:rFonts w:ascii="Calibri" w:hAnsi="Calibri"/>
          <w:i/>
          <w:color w:val="231F20"/>
          <w:sz w:val="17"/>
        </w:rPr>
        <w:t>latinoamericanos</w:t>
      </w:r>
      <w:r>
        <w:rPr>
          <w:rFonts w:ascii="Calibri" w:hAnsi="Calibri"/>
          <w:color w:val="231F20"/>
          <w:sz w:val="17"/>
        </w:rPr>
        <w:t>,</w:t>
      </w:r>
      <w:r>
        <w:rPr>
          <w:rFonts w:ascii="Calibri" w:hAnsi="Calibri"/>
          <w:color w:val="231F20"/>
          <w:spacing w:val="-15"/>
          <w:sz w:val="17"/>
        </w:rPr>
        <w:t> </w:t>
      </w:r>
      <w:r>
        <w:rPr>
          <w:rFonts w:ascii="Calibri" w:hAnsi="Calibri"/>
          <w:color w:val="231F20"/>
          <w:spacing w:val="-6"/>
          <w:sz w:val="17"/>
        </w:rPr>
        <w:t>7,</w:t>
      </w:r>
      <w:r>
        <w:rPr>
          <w:rFonts w:ascii="Calibri" w:hAnsi="Calibri"/>
          <w:color w:val="231F20"/>
          <w:spacing w:val="-15"/>
          <w:sz w:val="17"/>
        </w:rPr>
        <w:t> </w:t>
      </w:r>
      <w:r>
        <w:rPr>
          <w:rFonts w:ascii="Calibri" w:hAnsi="Calibri"/>
          <w:color w:val="231F20"/>
          <w:sz w:val="17"/>
        </w:rPr>
        <w:t>13,</w:t>
      </w:r>
      <w:r>
        <w:rPr>
          <w:rFonts w:ascii="Calibri" w:hAnsi="Calibri"/>
          <w:color w:val="231F20"/>
          <w:spacing w:val="-15"/>
          <w:sz w:val="17"/>
        </w:rPr>
        <w:t> </w:t>
      </w:r>
      <w:r>
        <w:rPr>
          <w:rFonts w:ascii="Calibri" w:hAnsi="Calibri"/>
          <w:color w:val="231F20"/>
          <w:sz w:val="17"/>
        </w:rPr>
        <w:t>1998,</w:t>
      </w:r>
      <w:r>
        <w:rPr>
          <w:rFonts w:ascii="Calibri" w:hAnsi="Calibri"/>
          <w:color w:val="231F20"/>
          <w:spacing w:val="-15"/>
          <w:sz w:val="17"/>
        </w:rPr>
        <w:t> </w:t>
      </w:r>
      <w:r>
        <w:rPr>
          <w:rFonts w:ascii="Calibri" w:hAnsi="Calibri"/>
          <w:color w:val="231F20"/>
          <w:sz w:val="17"/>
        </w:rPr>
        <w:t>pp.</w:t>
      </w:r>
      <w:r>
        <w:rPr>
          <w:rFonts w:ascii="Calibri" w:hAnsi="Calibri"/>
          <w:color w:val="231F20"/>
          <w:spacing w:val="-15"/>
          <w:sz w:val="17"/>
        </w:rPr>
        <w:t> </w:t>
      </w:r>
      <w:r>
        <w:rPr>
          <w:rFonts w:ascii="Calibri" w:hAnsi="Calibri"/>
          <w:color w:val="231F20"/>
          <w:sz w:val="17"/>
        </w:rPr>
        <w:t>179–198.</w:t>
      </w:r>
    </w:p>
    <w:p>
      <w:pPr>
        <w:spacing w:line="206" w:lineRule="exact" w:before="1"/>
        <w:ind w:left="117" w:right="0" w:firstLine="0"/>
        <w:jc w:val="both"/>
        <w:rPr>
          <w:rFonts w:ascii="Calibri" w:hAnsi="Calibri"/>
          <w:sz w:val="17"/>
        </w:rPr>
      </w:pPr>
      <w:r>
        <w:rPr>
          <w:rFonts w:ascii="Calibri" w:hAnsi="Calibri"/>
          <w:color w:val="231F20"/>
          <w:position w:val="6"/>
          <w:sz w:val="10"/>
        </w:rPr>
        <w:t>55  </w:t>
      </w:r>
      <w:r>
        <w:rPr>
          <w:rFonts w:ascii="Calibri" w:hAnsi="Calibri"/>
          <w:color w:val="231F20"/>
          <w:sz w:val="17"/>
        </w:rPr>
        <w:t>M. Serrano, “Crimen transnacional organizado y seguridad internacional: cambio y   continuidad“,</w:t>
      </w:r>
    </w:p>
    <w:p>
      <w:pPr>
        <w:spacing w:line="235" w:lineRule="auto" w:before="1"/>
        <w:ind w:left="117" w:right="121" w:firstLine="0"/>
        <w:jc w:val="both"/>
        <w:rPr>
          <w:rFonts w:ascii="Calibri" w:hAnsi="Calibri"/>
          <w:sz w:val="17"/>
        </w:rPr>
      </w:pPr>
      <w:r>
        <w:rPr>
          <w:rFonts w:ascii="Calibri" w:hAnsi="Calibri"/>
          <w:color w:val="231F20"/>
          <w:sz w:val="17"/>
        </w:rPr>
        <w:t>M.</w:t>
      </w:r>
      <w:r>
        <w:rPr>
          <w:rFonts w:ascii="Calibri" w:hAnsi="Calibri"/>
          <w:color w:val="231F20"/>
          <w:spacing w:val="-7"/>
          <w:sz w:val="17"/>
        </w:rPr>
        <w:t> </w:t>
      </w:r>
      <w:r>
        <w:rPr>
          <w:rFonts w:ascii="Calibri" w:hAnsi="Calibri"/>
          <w:color w:val="231F20"/>
          <w:sz w:val="17"/>
        </w:rPr>
        <w:t>Berdal</w:t>
      </w:r>
      <w:r>
        <w:rPr>
          <w:rFonts w:ascii="Calibri" w:hAnsi="Calibri"/>
          <w:color w:val="231F20"/>
          <w:spacing w:val="-9"/>
          <w:sz w:val="17"/>
        </w:rPr>
        <w:t> </w:t>
      </w:r>
      <w:r>
        <w:rPr>
          <w:rFonts w:ascii="Calibri" w:hAnsi="Calibri"/>
          <w:color w:val="231F20"/>
          <w:sz w:val="17"/>
        </w:rPr>
        <w:t>y</w:t>
      </w:r>
      <w:r>
        <w:rPr>
          <w:rFonts w:ascii="Calibri" w:hAnsi="Calibri"/>
          <w:color w:val="231F20"/>
          <w:spacing w:val="-7"/>
          <w:sz w:val="17"/>
        </w:rPr>
        <w:t> </w:t>
      </w:r>
      <w:r>
        <w:rPr>
          <w:rFonts w:ascii="Calibri" w:hAnsi="Calibri"/>
          <w:color w:val="231F20"/>
          <w:sz w:val="17"/>
        </w:rPr>
        <w:t>M.</w:t>
      </w:r>
      <w:r>
        <w:rPr>
          <w:rFonts w:ascii="Calibri" w:hAnsi="Calibri"/>
          <w:color w:val="231F20"/>
          <w:spacing w:val="-7"/>
          <w:sz w:val="17"/>
        </w:rPr>
        <w:t> </w:t>
      </w:r>
      <w:r>
        <w:rPr>
          <w:rFonts w:ascii="Calibri" w:hAnsi="Calibri"/>
          <w:color w:val="231F20"/>
          <w:sz w:val="17"/>
        </w:rPr>
        <w:t>Serrano</w:t>
      </w:r>
      <w:r>
        <w:rPr>
          <w:rFonts w:ascii="Calibri" w:hAnsi="Calibri"/>
          <w:color w:val="231F20"/>
          <w:spacing w:val="-7"/>
          <w:sz w:val="17"/>
        </w:rPr>
        <w:t> </w:t>
      </w:r>
      <w:r>
        <w:rPr>
          <w:rFonts w:ascii="Calibri" w:hAnsi="Calibri"/>
          <w:color w:val="231F20"/>
          <w:sz w:val="17"/>
        </w:rPr>
        <w:t>(coords),</w:t>
      </w:r>
      <w:r>
        <w:rPr>
          <w:rFonts w:ascii="Calibri" w:hAnsi="Calibri"/>
          <w:color w:val="231F20"/>
          <w:spacing w:val="-7"/>
          <w:sz w:val="17"/>
        </w:rPr>
        <w:t> </w:t>
      </w:r>
      <w:r>
        <w:rPr>
          <w:rFonts w:ascii="Calibri" w:hAnsi="Calibri"/>
          <w:i/>
          <w:color w:val="231F20"/>
          <w:sz w:val="17"/>
        </w:rPr>
        <w:t>Crimen</w:t>
      </w:r>
      <w:r>
        <w:rPr>
          <w:rFonts w:ascii="Calibri" w:hAnsi="Calibri"/>
          <w:i/>
          <w:color w:val="231F20"/>
          <w:spacing w:val="-8"/>
          <w:sz w:val="17"/>
        </w:rPr>
        <w:t> </w:t>
      </w:r>
      <w:r>
        <w:rPr>
          <w:rFonts w:ascii="Calibri" w:hAnsi="Calibri"/>
          <w:i/>
          <w:color w:val="231F20"/>
          <w:sz w:val="17"/>
        </w:rPr>
        <w:t>transnacional</w:t>
      </w:r>
      <w:r>
        <w:rPr>
          <w:rFonts w:ascii="Calibri" w:hAnsi="Calibri"/>
          <w:i/>
          <w:color w:val="231F20"/>
          <w:spacing w:val="-8"/>
          <w:sz w:val="17"/>
        </w:rPr>
        <w:t> </w:t>
      </w:r>
      <w:r>
        <w:rPr>
          <w:rFonts w:ascii="Calibri" w:hAnsi="Calibri"/>
          <w:i/>
          <w:color w:val="231F20"/>
          <w:sz w:val="17"/>
        </w:rPr>
        <w:t>organizado</w:t>
      </w:r>
      <w:r>
        <w:rPr>
          <w:rFonts w:ascii="Calibri" w:hAnsi="Calibri"/>
          <w:i/>
          <w:color w:val="231F20"/>
          <w:spacing w:val="-9"/>
          <w:sz w:val="17"/>
        </w:rPr>
        <w:t> </w:t>
      </w:r>
      <w:r>
        <w:rPr>
          <w:rFonts w:ascii="Calibri" w:hAnsi="Calibri"/>
          <w:i/>
          <w:color w:val="231F20"/>
          <w:sz w:val="17"/>
        </w:rPr>
        <w:t>y</w:t>
      </w:r>
      <w:r>
        <w:rPr>
          <w:rFonts w:ascii="Calibri" w:hAnsi="Calibri"/>
          <w:i/>
          <w:color w:val="231F20"/>
          <w:spacing w:val="-8"/>
          <w:sz w:val="17"/>
        </w:rPr>
        <w:t> </w:t>
      </w:r>
      <w:r>
        <w:rPr>
          <w:rFonts w:ascii="Calibri" w:hAnsi="Calibri"/>
          <w:i/>
          <w:color w:val="231F20"/>
          <w:sz w:val="17"/>
        </w:rPr>
        <w:t>seguridad</w:t>
      </w:r>
      <w:r>
        <w:rPr>
          <w:rFonts w:ascii="Calibri" w:hAnsi="Calibri"/>
          <w:i/>
          <w:color w:val="231F20"/>
          <w:spacing w:val="25"/>
          <w:sz w:val="17"/>
        </w:rPr>
        <w:t> </w:t>
      </w:r>
      <w:r>
        <w:rPr>
          <w:rFonts w:ascii="Calibri" w:hAnsi="Calibri"/>
          <w:i/>
          <w:color w:val="231F20"/>
          <w:sz w:val="17"/>
        </w:rPr>
        <w:t>internacional.</w:t>
      </w:r>
      <w:r>
        <w:rPr>
          <w:rFonts w:ascii="Calibri" w:hAnsi="Calibri"/>
          <w:i/>
          <w:color w:val="231F20"/>
          <w:spacing w:val="-8"/>
          <w:sz w:val="17"/>
        </w:rPr>
        <w:t> </w:t>
      </w:r>
      <w:r>
        <w:rPr>
          <w:rFonts w:ascii="Calibri" w:hAnsi="Calibri"/>
          <w:i/>
          <w:color w:val="231F20"/>
          <w:sz w:val="17"/>
        </w:rPr>
        <w:t>Cambio </w:t>
      </w:r>
      <w:r>
        <w:rPr>
          <w:rFonts w:ascii="Calibri" w:hAnsi="Calibri"/>
          <w:i/>
          <w:color w:val="231F20"/>
          <w:sz w:val="17"/>
        </w:rPr>
        <w:t>y continuidad</w:t>
      </w:r>
      <w:r>
        <w:rPr>
          <w:rFonts w:ascii="Calibri" w:hAnsi="Calibri"/>
          <w:color w:val="231F20"/>
          <w:sz w:val="17"/>
        </w:rPr>
        <w:t>, México, Fondo de Cultura Económica. 2005, pp.</w:t>
      </w:r>
      <w:r>
        <w:rPr>
          <w:rFonts w:ascii="Calibri" w:hAnsi="Calibri"/>
          <w:color w:val="231F20"/>
          <w:spacing w:val="21"/>
          <w:sz w:val="17"/>
        </w:rPr>
        <w:t> </w:t>
      </w:r>
      <w:r>
        <w:rPr>
          <w:rFonts w:ascii="Calibri" w:hAnsi="Calibri"/>
          <w:color w:val="231F20"/>
          <w:sz w:val="17"/>
        </w:rPr>
        <w:t>27–61.</w:t>
      </w:r>
    </w:p>
    <w:p>
      <w:pPr>
        <w:spacing w:after="0" w:line="235" w:lineRule="auto"/>
        <w:jc w:val="both"/>
        <w:rPr>
          <w:rFonts w:ascii="Calibri" w:hAnsi="Calibri"/>
          <w:sz w:val="17"/>
        </w:rPr>
        <w:sectPr>
          <w:type w:val="continuous"/>
          <w:pgSz w:w="9640" w:h="13890"/>
          <w:pgMar w:top="0" w:bottom="0" w:left="1300" w:right="1180"/>
        </w:sectPr>
      </w:pPr>
    </w:p>
    <w:p>
      <w:pPr>
        <w:pStyle w:val="BodyText"/>
        <w:spacing w:line="247" w:lineRule="auto" w:before="107"/>
        <w:ind w:left="103" w:right="110"/>
        <w:jc w:val="both"/>
        <w:rPr>
          <w:rFonts w:ascii="Arial" w:hAnsi="Arial"/>
          <w:sz w:val="12"/>
        </w:rPr>
      </w:pPr>
      <w:r>
        <w:rPr>
          <w:color w:val="231F20"/>
          <w:w w:val="105"/>
        </w:rPr>
        <w:t>che</w:t>
      </w:r>
      <w:r>
        <w:rPr>
          <w:color w:val="231F20"/>
          <w:spacing w:val="-46"/>
          <w:w w:val="105"/>
        </w:rPr>
        <w:t> </w:t>
      </w:r>
      <w:r>
        <w:rPr>
          <w:color w:val="231F20"/>
          <w:w w:val="105"/>
        </w:rPr>
        <w:t>permettono</w:t>
      </w:r>
      <w:r>
        <w:rPr>
          <w:color w:val="231F20"/>
          <w:spacing w:val="-46"/>
          <w:w w:val="105"/>
        </w:rPr>
        <w:t> </w:t>
      </w:r>
      <w:r>
        <w:rPr>
          <w:color w:val="231F20"/>
          <w:w w:val="105"/>
        </w:rPr>
        <w:t>la</w:t>
      </w:r>
      <w:r>
        <w:rPr>
          <w:color w:val="231F20"/>
          <w:spacing w:val="-46"/>
          <w:w w:val="105"/>
        </w:rPr>
        <w:t> </w:t>
      </w:r>
      <w:r>
        <w:rPr>
          <w:color w:val="231F20"/>
          <w:w w:val="105"/>
        </w:rPr>
        <w:t>mobilità</w:t>
      </w:r>
      <w:r>
        <w:rPr>
          <w:color w:val="231F20"/>
          <w:spacing w:val="-46"/>
          <w:w w:val="105"/>
        </w:rPr>
        <w:t> </w:t>
      </w:r>
      <w:r>
        <w:rPr>
          <w:color w:val="231F20"/>
          <w:w w:val="105"/>
        </w:rPr>
        <w:t>da</w:t>
      </w:r>
      <w:r>
        <w:rPr>
          <w:color w:val="231F20"/>
          <w:spacing w:val="-46"/>
          <w:w w:val="105"/>
        </w:rPr>
        <w:t> </w:t>
      </w:r>
      <w:r>
        <w:rPr>
          <w:color w:val="231F20"/>
          <w:w w:val="105"/>
        </w:rPr>
        <w:t>un</w:t>
      </w:r>
      <w:r>
        <w:rPr>
          <w:color w:val="231F20"/>
          <w:spacing w:val="-46"/>
          <w:w w:val="105"/>
        </w:rPr>
        <w:t> </w:t>
      </w:r>
      <w:r>
        <w:rPr>
          <w:color w:val="231F20"/>
          <w:w w:val="105"/>
        </w:rPr>
        <w:t>campo</w:t>
      </w:r>
      <w:r>
        <w:rPr>
          <w:color w:val="231F20"/>
          <w:spacing w:val="-46"/>
          <w:w w:val="105"/>
        </w:rPr>
        <w:t> </w:t>
      </w:r>
      <w:r>
        <w:rPr>
          <w:color w:val="231F20"/>
          <w:w w:val="105"/>
        </w:rPr>
        <w:t>di</w:t>
      </w:r>
      <w:r>
        <w:rPr>
          <w:color w:val="231F20"/>
          <w:spacing w:val="-46"/>
          <w:w w:val="105"/>
        </w:rPr>
        <w:t> </w:t>
      </w:r>
      <w:r>
        <w:rPr>
          <w:color w:val="231F20"/>
          <w:w w:val="105"/>
        </w:rPr>
        <w:t>forza</w:t>
      </w:r>
      <w:r>
        <w:rPr>
          <w:color w:val="231F20"/>
          <w:spacing w:val="-46"/>
          <w:w w:val="105"/>
        </w:rPr>
        <w:t> </w:t>
      </w:r>
      <w:r>
        <w:rPr>
          <w:color w:val="231F20"/>
          <w:spacing w:val="-3"/>
          <w:w w:val="105"/>
        </w:rPr>
        <w:t>all’altro</w:t>
      </w:r>
      <w:r>
        <w:rPr>
          <w:color w:val="231F20"/>
          <w:spacing w:val="-46"/>
          <w:w w:val="105"/>
        </w:rPr>
        <w:t> </w:t>
      </w:r>
      <w:r>
        <w:rPr>
          <w:color w:val="231F20"/>
          <w:w w:val="105"/>
        </w:rPr>
        <w:t>e</w:t>
      </w:r>
      <w:r>
        <w:rPr>
          <w:color w:val="231F20"/>
          <w:spacing w:val="-46"/>
          <w:w w:val="105"/>
        </w:rPr>
        <w:t> </w:t>
      </w:r>
      <w:r>
        <w:rPr>
          <w:color w:val="231F20"/>
          <w:w w:val="105"/>
        </w:rPr>
        <w:t>viceversa</w:t>
      </w:r>
      <w:r>
        <w:rPr>
          <w:color w:val="231F20"/>
          <w:w w:val="105"/>
          <w:position w:val="7"/>
          <w:sz w:val="12"/>
        </w:rPr>
        <w:t>56</w:t>
      </w:r>
      <w:r>
        <w:rPr>
          <w:color w:val="231F20"/>
          <w:spacing w:val="-16"/>
          <w:w w:val="105"/>
          <w:position w:val="7"/>
          <w:sz w:val="12"/>
        </w:rPr>
        <w:t> </w:t>
      </w:r>
      <w:r>
        <w:rPr>
          <w:color w:val="231F20"/>
          <w:w w:val="105"/>
        </w:rPr>
        <w:t>.</w:t>
      </w:r>
      <w:r>
        <w:rPr>
          <w:color w:val="231F20"/>
          <w:spacing w:val="-46"/>
          <w:w w:val="105"/>
        </w:rPr>
        <w:t> </w:t>
      </w:r>
      <w:r>
        <w:rPr>
          <w:color w:val="231F20"/>
          <w:w w:val="105"/>
        </w:rPr>
        <w:t>Detto in</w:t>
      </w:r>
      <w:r>
        <w:rPr>
          <w:color w:val="231F20"/>
          <w:spacing w:val="-48"/>
          <w:w w:val="105"/>
        </w:rPr>
        <w:t> </w:t>
      </w:r>
      <w:r>
        <w:rPr>
          <w:color w:val="231F20"/>
          <w:w w:val="105"/>
        </w:rPr>
        <w:t>altre</w:t>
      </w:r>
      <w:r>
        <w:rPr>
          <w:color w:val="231F20"/>
          <w:spacing w:val="-48"/>
          <w:w w:val="105"/>
        </w:rPr>
        <w:t> </w:t>
      </w:r>
      <w:r>
        <w:rPr>
          <w:color w:val="231F20"/>
          <w:w w:val="105"/>
        </w:rPr>
        <w:t>parole,</w:t>
      </w:r>
      <w:r>
        <w:rPr>
          <w:color w:val="231F20"/>
          <w:spacing w:val="-48"/>
          <w:w w:val="105"/>
        </w:rPr>
        <w:t> </w:t>
      </w:r>
      <w:r>
        <w:rPr>
          <w:color w:val="231F20"/>
          <w:w w:val="105"/>
        </w:rPr>
        <w:t>le</w:t>
      </w:r>
      <w:r>
        <w:rPr>
          <w:color w:val="231F20"/>
          <w:spacing w:val="-48"/>
          <w:w w:val="105"/>
        </w:rPr>
        <w:t> </w:t>
      </w:r>
      <w:r>
        <w:rPr>
          <w:color w:val="231F20"/>
          <w:w w:val="105"/>
        </w:rPr>
        <w:t>nuove</w:t>
      </w:r>
      <w:r>
        <w:rPr>
          <w:color w:val="231F20"/>
          <w:spacing w:val="-48"/>
          <w:w w:val="105"/>
        </w:rPr>
        <w:t> </w:t>
      </w:r>
      <w:r>
        <w:rPr>
          <w:color w:val="231F20"/>
          <w:w w:val="105"/>
        </w:rPr>
        <w:t>forme</w:t>
      </w:r>
      <w:r>
        <w:rPr>
          <w:color w:val="231F20"/>
          <w:spacing w:val="-48"/>
          <w:w w:val="105"/>
        </w:rPr>
        <w:t> </w:t>
      </w:r>
      <w:r>
        <w:rPr>
          <w:color w:val="231F20"/>
          <w:w w:val="105"/>
        </w:rPr>
        <w:t>di</w:t>
      </w:r>
      <w:r>
        <w:rPr>
          <w:color w:val="231F20"/>
          <w:spacing w:val="-48"/>
          <w:w w:val="105"/>
        </w:rPr>
        <w:t> </w:t>
      </w:r>
      <w:r>
        <w:rPr>
          <w:color w:val="231F20"/>
          <w:w w:val="105"/>
        </w:rPr>
        <w:t>sovranità</w:t>
      </w:r>
      <w:r>
        <w:rPr>
          <w:color w:val="231F20"/>
          <w:spacing w:val="-48"/>
          <w:w w:val="105"/>
        </w:rPr>
        <w:t> </w:t>
      </w:r>
      <w:r>
        <w:rPr>
          <w:color w:val="231F20"/>
          <w:w w:val="105"/>
        </w:rPr>
        <w:t>hanno</w:t>
      </w:r>
      <w:r>
        <w:rPr>
          <w:color w:val="231F20"/>
          <w:spacing w:val="-48"/>
          <w:w w:val="105"/>
        </w:rPr>
        <w:t> </w:t>
      </w:r>
      <w:r>
        <w:rPr>
          <w:color w:val="231F20"/>
          <w:w w:val="105"/>
        </w:rPr>
        <w:t>un’origine</w:t>
      </w:r>
      <w:r>
        <w:rPr>
          <w:color w:val="231F20"/>
          <w:spacing w:val="-48"/>
          <w:w w:val="105"/>
        </w:rPr>
        <w:t> </w:t>
      </w:r>
      <w:r>
        <w:rPr>
          <w:color w:val="231F20"/>
          <w:w w:val="105"/>
        </w:rPr>
        <w:t>nell’emergenza dei</w:t>
      </w:r>
      <w:r>
        <w:rPr>
          <w:color w:val="231F20"/>
          <w:spacing w:val="-48"/>
          <w:w w:val="105"/>
        </w:rPr>
        <w:t> </w:t>
      </w:r>
      <w:r>
        <w:rPr>
          <w:color w:val="231F20"/>
          <w:w w:val="105"/>
        </w:rPr>
        <w:t>campi</w:t>
      </w:r>
      <w:r>
        <w:rPr>
          <w:color w:val="231F20"/>
          <w:spacing w:val="-48"/>
          <w:w w:val="105"/>
        </w:rPr>
        <w:t> </w:t>
      </w:r>
      <w:r>
        <w:rPr>
          <w:color w:val="231F20"/>
          <w:w w:val="105"/>
        </w:rPr>
        <w:t>di</w:t>
      </w:r>
      <w:r>
        <w:rPr>
          <w:color w:val="231F20"/>
          <w:spacing w:val="-48"/>
          <w:w w:val="105"/>
        </w:rPr>
        <w:t> </w:t>
      </w:r>
      <w:r>
        <w:rPr>
          <w:color w:val="231F20"/>
          <w:w w:val="105"/>
        </w:rPr>
        <w:t>forza</w:t>
      </w:r>
      <w:r>
        <w:rPr>
          <w:color w:val="231F20"/>
          <w:spacing w:val="-48"/>
          <w:w w:val="105"/>
        </w:rPr>
        <w:t> </w:t>
      </w:r>
      <w:r>
        <w:rPr>
          <w:color w:val="231F20"/>
          <w:w w:val="105"/>
        </w:rPr>
        <w:t>dei</w:t>
      </w:r>
      <w:r>
        <w:rPr>
          <w:color w:val="231F20"/>
          <w:spacing w:val="-48"/>
          <w:w w:val="105"/>
        </w:rPr>
        <w:t> </w:t>
      </w:r>
      <w:r>
        <w:rPr>
          <w:color w:val="231F20"/>
          <w:w w:val="105"/>
        </w:rPr>
        <w:t>fenomeni</w:t>
      </w:r>
      <w:r>
        <w:rPr>
          <w:color w:val="231F20"/>
          <w:spacing w:val="-48"/>
          <w:w w:val="105"/>
        </w:rPr>
        <w:t> </w:t>
      </w:r>
      <w:r>
        <w:rPr>
          <w:color w:val="231F20"/>
          <w:w w:val="105"/>
        </w:rPr>
        <w:t>dell’insicurezza</w:t>
      </w:r>
      <w:r>
        <w:rPr>
          <w:color w:val="231F20"/>
          <w:spacing w:val="-48"/>
          <w:w w:val="105"/>
        </w:rPr>
        <w:t> </w:t>
      </w:r>
      <w:r>
        <w:rPr>
          <w:color w:val="231F20"/>
          <w:w w:val="105"/>
        </w:rPr>
        <w:t>che</w:t>
      </w:r>
      <w:r>
        <w:rPr>
          <w:color w:val="231F20"/>
          <w:spacing w:val="-48"/>
          <w:w w:val="105"/>
        </w:rPr>
        <w:t> </w:t>
      </w:r>
      <w:r>
        <w:rPr>
          <w:color w:val="231F20"/>
          <w:w w:val="105"/>
        </w:rPr>
        <w:t>sono</w:t>
      </w:r>
      <w:r>
        <w:rPr>
          <w:color w:val="231F20"/>
          <w:spacing w:val="-48"/>
          <w:w w:val="105"/>
        </w:rPr>
        <w:t> </w:t>
      </w:r>
      <w:r>
        <w:rPr>
          <w:color w:val="231F20"/>
          <w:w w:val="105"/>
        </w:rPr>
        <w:t>presenti</w:t>
      </w:r>
      <w:r>
        <w:rPr>
          <w:color w:val="231F20"/>
          <w:spacing w:val="-48"/>
          <w:w w:val="105"/>
        </w:rPr>
        <w:t> </w:t>
      </w:r>
      <w:r>
        <w:rPr>
          <w:color w:val="231F20"/>
          <w:w w:val="105"/>
        </w:rPr>
        <w:t>in</w:t>
      </w:r>
      <w:r>
        <w:rPr>
          <w:color w:val="231F20"/>
          <w:spacing w:val="-48"/>
          <w:w w:val="105"/>
        </w:rPr>
        <w:t> </w:t>
      </w:r>
      <w:r>
        <w:rPr>
          <w:color w:val="231F20"/>
          <w:w w:val="105"/>
        </w:rPr>
        <w:t>contesti d’estrema</w:t>
      </w:r>
      <w:r>
        <w:rPr>
          <w:color w:val="231F20"/>
          <w:spacing w:val="-21"/>
          <w:w w:val="105"/>
        </w:rPr>
        <w:t> </w:t>
      </w:r>
      <w:r>
        <w:rPr>
          <w:color w:val="231F20"/>
          <w:w w:val="105"/>
        </w:rPr>
        <w:t>fluidità</w:t>
      </w:r>
      <w:r>
        <w:rPr>
          <w:color w:val="231F20"/>
          <w:spacing w:val="-21"/>
          <w:w w:val="105"/>
        </w:rPr>
        <w:t> </w:t>
      </w:r>
      <w:r>
        <w:rPr>
          <w:color w:val="231F20"/>
          <w:w w:val="105"/>
        </w:rPr>
        <w:t>sociale.</w:t>
      </w:r>
      <w:r>
        <w:rPr>
          <w:color w:val="231F20"/>
          <w:spacing w:val="-21"/>
          <w:w w:val="105"/>
        </w:rPr>
        <w:t> </w:t>
      </w:r>
      <w:r>
        <w:rPr>
          <w:color w:val="231F20"/>
          <w:w w:val="105"/>
        </w:rPr>
        <w:t>Se</w:t>
      </w:r>
      <w:r>
        <w:rPr>
          <w:color w:val="231F20"/>
          <w:spacing w:val="-21"/>
          <w:w w:val="105"/>
        </w:rPr>
        <w:t> </w:t>
      </w:r>
      <w:r>
        <w:rPr>
          <w:color w:val="231F20"/>
          <w:w w:val="105"/>
        </w:rPr>
        <w:t>facciamo</w:t>
      </w:r>
      <w:r>
        <w:rPr>
          <w:color w:val="231F20"/>
          <w:spacing w:val="-21"/>
          <w:w w:val="105"/>
        </w:rPr>
        <w:t> </w:t>
      </w:r>
      <w:r>
        <w:rPr>
          <w:color w:val="231F20"/>
          <w:w w:val="105"/>
        </w:rPr>
        <w:t>una</w:t>
      </w:r>
      <w:r>
        <w:rPr>
          <w:color w:val="231F20"/>
          <w:spacing w:val="-21"/>
          <w:w w:val="105"/>
        </w:rPr>
        <w:t> </w:t>
      </w:r>
      <w:r>
        <w:rPr>
          <w:color w:val="231F20"/>
          <w:w w:val="105"/>
        </w:rPr>
        <w:t>analogia,</w:t>
      </w:r>
      <w:r>
        <w:rPr>
          <w:color w:val="231F20"/>
          <w:spacing w:val="-21"/>
          <w:w w:val="105"/>
        </w:rPr>
        <w:t> </w:t>
      </w:r>
      <w:r>
        <w:rPr>
          <w:color w:val="231F20"/>
          <w:w w:val="105"/>
        </w:rPr>
        <w:t>si</w:t>
      </w:r>
      <w:r>
        <w:rPr>
          <w:color w:val="231F20"/>
          <w:spacing w:val="-21"/>
          <w:w w:val="105"/>
        </w:rPr>
        <w:t> </w:t>
      </w:r>
      <w:r>
        <w:rPr>
          <w:color w:val="231F20"/>
          <w:w w:val="105"/>
        </w:rPr>
        <w:t>può</w:t>
      </w:r>
      <w:r>
        <w:rPr>
          <w:color w:val="231F20"/>
          <w:spacing w:val="-21"/>
          <w:w w:val="105"/>
        </w:rPr>
        <w:t> </w:t>
      </w:r>
      <w:r>
        <w:rPr>
          <w:color w:val="231F20"/>
          <w:w w:val="105"/>
        </w:rPr>
        <w:t>suggerire</w:t>
      </w:r>
      <w:r>
        <w:rPr>
          <w:color w:val="231F20"/>
          <w:spacing w:val="-21"/>
          <w:w w:val="105"/>
        </w:rPr>
        <w:t> </w:t>
      </w:r>
      <w:r>
        <w:rPr>
          <w:color w:val="231F20"/>
          <w:w w:val="105"/>
        </w:rPr>
        <w:t>che questa situazione è simile a quella che osserviamo nella traiettoria </w:t>
      </w:r>
      <w:r>
        <w:rPr>
          <w:color w:val="231F20"/>
          <w:spacing w:val="2"/>
          <w:w w:val="105"/>
        </w:rPr>
        <w:t>che </w:t>
      </w:r>
      <w:r>
        <w:rPr>
          <w:color w:val="231F20"/>
          <w:w w:val="105"/>
        </w:rPr>
        <w:t>seguì</w:t>
      </w:r>
      <w:r>
        <w:rPr>
          <w:color w:val="231F20"/>
          <w:spacing w:val="-7"/>
          <w:w w:val="105"/>
        </w:rPr>
        <w:t> </w:t>
      </w:r>
      <w:r>
        <w:rPr>
          <w:color w:val="231F20"/>
          <w:w w:val="105"/>
        </w:rPr>
        <w:t>l’evoluzione</w:t>
      </w:r>
      <w:r>
        <w:rPr>
          <w:color w:val="231F20"/>
          <w:spacing w:val="-7"/>
          <w:w w:val="105"/>
        </w:rPr>
        <w:t> </w:t>
      </w:r>
      <w:r>
        <w:rPr>
          <w:color w:val="231F20"/>
          <w:w w:val="105"/>
        </w:rPr>
        <w:t>storica</w:t>
      </w:r>
      <w:r>
        <w:rPr>
          <w:color w:val="231F20"/>
          <w:spacing w:val="-7"/>
          <w:w w:val="105"/>
        </w:rPr>
        <w:t> </w:t>
      </w:r>
      <w:r>
        <w:rPr>
          <w:color w:val="231F20"/>
          <w:w w:val="105"/>
        </w:rPr>
        <w:t>dello</w:t>
      </w:r>
      <w:r>
        <w:rPr>
          <w:color w:val="231F20"/>
          <w:spacing w:val="-7"/>
          <w:w w:val="105"/>
        </w:rPr>
        <w:t> </w:t>
      </w:r>
      <w:r>
        <w:rPr>
          <w:color w:val="231F20"/>
          <w:w w:val="105"/>
        </w:rPr>
        <w:t>Stato</w:t>
      </w:r>
      <w:r>
        <w:rPr>
          <w:color w:val="231F20"/>
          <w:spacing w:val="-7"/>
          <w:w w:val="105"/>
        </w:rPr>
        <w:t> </w:t>
      </w:r>
      <w:r>
        <w:rPr>
          <w:color w:val="231F20"/>
          <w:w w:val="105"/>
        </w:rPr>
        <w:t>moderno</w:t>
      </w:r>
      <w:r>
        <w:rPr>
          <w:color w:val="231F20"/>
          <w:spacing w:val="-7"/>
          <w:w w:val="105"/>
        </w:rPr>
        <w:t> </w:t>
      </w:r>
      <w:r>
        <w:rPr>
          <w:color w:val="231F20"/>
          <w:w w:val="105"/>
        </w:rPr>
        <w:t>agli</w:t>
      </w:r>
      <w:r>
        <w:rPr>
          <w:color w:val="231F20"/>
          <w:spacing w:val="-7"/>
          <w:w w:val="105"/>
        </w:rPr>
        <w:t> </w:t>
      </w:r>
      <w:r>
        <w:rPr>
          <w:color w:val="231F20"/>
          <w:w w:val="105"/>
        </w:rPr>
        <w:t>inizi</w:t>
      </w:r>
      <w:r>
        <w:rPr>
          <w:color w:val="231F20"/>
          <w:spacing w:val="-7"/>
          <w:w w:val="105"/>
        </w:rPr>
        <w:t> </w:t>
      </w:r>
      <w:r>
        <w:rPr>
          <w:color w:val="231F20"/>
          <w:w w:val="105"/>
        </w:rPr>
        <w:t>del</w:t>
      </w:r>
      <w:r>
        <w:rPr>
          <w:color w:val="231F20"/>
          <w:spacing w:val="-7"/>
          <w:w w:val="105"/>
        </w:rPr>
        <w:t> </w:t>
      </w:r>
      <w:r>
        <w:rPr>
          <w:color w:val="231F20"/>
          <w:w w:val="105"/>
        </w:rPr>
        <w:t>suo</w:t>
      </w:r>
      <w:r>
        <w:rPr>
          <w:color w:val="231F20"/>
          <w:spacing w:val="-7"/>
          <w:w w:val="105"/>
        </w:rPr>
        <w:t> </w:t>
      </w:r>
      <w:r>
        <w:rPr>
          <w:color w:val="231F20"/>
          <w:w w:val="105"/>
        </w:rPr>
        <w:t>processo d’agganciamento</w:t>
      </w:r>
      <w:r>
        <w:rPr>
          <w:color w:val="231F20"/>
          <w:spacing w:val="-23"/>
          <w:w w:val="105"/>
        </w:rPr>
        <w:t> </w:t>
      </w:r>
      <w:r>
        <w:rPr>
          <w:color w:val="231F20"/>
          <w:w w:val="105"/>
        </w:rPr>
        <w:t>della</w:t>
      </w:r>
      <w:r>
        <w:rPr>
          <w:color w:val="231F20"/>
          <w:spacing w:val="-23"/>
          <w:w w:val="105"/>
        </w:rPr>
        <w:t> </w:t>
      </w:r>
      <w:r>
        <w:rPr>
          <w:color w:val="231F20"/>
          <w:w w:val="105"/>
        </w:rPr>
        <w:t>sovranità</w:t>
      </w:r>
      <w:r>
        <w:rPr>
          <w:color w:val="231F20"/>
          <w:spacing w:val="-23"/>
          <w:w w:val="105"/>
        </w:rPr>
        <w:t> </w:t>
      </w:r>
      <w:r>
        <w:rPr>
          <w:color w:val="231F20"/>
          <w:w w:val="105"/>
        </w:rPr>
        <w:t>nel</w:t>
      </w:r>
      <w:r>
        <w:rPr>
          <w:color w:val="231F20"/>
          <w:spacing w:val="-23"/>
          <w:w w:val="105"/>
        </w:rPr>
        <w:t> </w:t>
      </w:r>
      <w:r>
        <w:rPr>
          <w:color w:val="231F20"/>
          <w:w w:val="105"/>
        </w:rPr>
        <w:t>rapporto</w:t>
      </w:r>
      <w:r>
        <w:rPr>
          <w:color w:val="231F20"/>
          <w:spacing w:val="-23"/>
          <w:w w:val="105"/>
        </w:rPr>
        <w:t> </w:t>
      </w:r>
      <w:r>
        <w:rPr>
          <w:color w:val="231F20"/>
          <w:w w:val="105"/>
        </w:rPr>
        <w:t>che</w:t>
      </w:r>
      <w:r>
        <w:rPr>
          <w:color w:val="231F20"/>
          <w:spacing w:val="-23"/>
          <w:w w:val="105"/>
        </w:rPr>
        <w:t> </w:t>
      </w:r>
      <w:r>
        <w:rPr>
          <w:color w:val="231F20"/>
          <w:w w:val="105"/>
        </w:rPr>
        <w:t>stabilivano</w:t>
      </w:r>
      <w:r>
        <w:rPr>
          <w:color w:val="231F20"/>
          <w:spacing w:val="-23"/>
          <w:w w:val="105"/>
        </w:rPr>
        <w:t> </w:t>
      </w:r>
      <w:r>
        <w:rPr>
          <w:color w:val="231F20"/>
          <w:w w:val="105"/>
        </w:rPr>
        <w:t>quelli</w:t>
      </w:r>
      <w:r>
        <w:rPr>
          <w:color w:val="231F20"/>
          <w:spacing w:val="-23"/>
          <w:w w:val="105"/>
        </w:rPr>
        <w:t> </w:t>
      </w:r>
      <w:r>
        <w:rPr>
          <w:color w:val="231F20"/>
          <w:w w:val="105"/>
        </w:rPr>
        <w:t>che</w:t>
      </w:r>
      <w:r>
        <w:rPr>
          <w:color w:val="231F20"/>
          <w:spacing w:val="-23"/>
          <w:w w:val="105"/>
        </w:rPr>
        <w:t> </w:t>
      </w:r>
      <w:r>
        <w:rPr>
          <w:color w:val="231F20"/>
          <w:w w:val="105"/>
        </w:rPr>
        <w:t>la rappresentavano</w:t>
      </w:r>
      <w:r>
        <w:rPr>
          <w:color w:val="231F20"/>
          <w:spacing w:val="-11"/>
          <w:w w:val="105"/>
        </w:rPr>
        <w:t> </w:t>
      </w:r>
      <w:r>
        <w:rPr>
          <w:color w:val="231F20"/>
          <w:w w:val="105"/>
        </w:rPr>
        <w:t>con</w:t>
      </w:r>
      <w:r>
        <w:rPr>
          <w:color w:val="231F20"/>
          <w:spacing w:val="-11"/>
          <w:w w:val="105"/>
        </w:rPr>
        <w:t> </w:t>
      </w:r>
      <w:r>
        <w:rPr>
          <w:color w:val="231F20"/>
          <w:w w:val="105"/>
        </w:rPr>
        <w:t>il</w:t>
      </w:r>
      <w:r>
        <w:rPr>
          <w:color w:val="231F20"/>
          <w:spacing w:val="-11"/>
          <w:w w:val="105"/>
        </w:rPr>
        <w:t> </w:t>
      </w:r>
      <w:r>
        <w:rPr>
          <w:color w:val="231F20"/>
          <w:w w:val="105"/>
        </w:rPr>
        <w:t>corpo</w:t>
      </w:r>
      <w:r>
        <w:rPr>
          <w:color w:val="231F20"/>
          <w:spacing w:val="-11"/>
          <w:w w:val="105"/>
        </w:rPr>
        <w:t> </w:t>
      </w:r>
      <w:r>
        <w:rPr>
          <w:color w:val="231F20"/>
          <w:w w:val="105"/>
        </w:rPr>
        <w:t>sociale</w:t>
      </w:r>
      <w:r>
        <w:rPr>
          <w:color w:val="231F20"/>
          <w:spacing w:val="-11"/>
          <w:w w:val="105"/>
        </w:rPr>
        <w:t> </w:t>
      </w:r>
      <w:r>
        <w:rPr>
          <w:color w:val="231F20"/>
          <w:w w:val="105"/>
        </w:rPr>
        <w:t>che</w:t>
      </w:r>
      <w:r>
        <w:rPr>
          <w:color w:val="231F20"/>
          <w:spacing w:val="-11"/>
          <w:w w:val="105"/>
        </w:rPr>
        <w:t> </w:t>
      </w:r>
      <w:r>
        <w:rPr>
          <w:color w:val="231F20"/>
          <w:w w:val="105"/>
        </w:rPr>
        <w:t>permetteva</w:t>
      </w:r>
      <w:r>
        <w:rPr>
          <w:color w:val="231F20"/>
          <w:spacing w:val="-11"/>
          <w:w w:val="105"/>
        </w:rPr>
        <w:t> </w:t>
      </w:r>
      <w:r>
        <w:rPr>
          <w:color w:val="231F20"/>
          <w:w w:val="105"/>
        </w:rPr>
        <w:t>la</w:t>
      </w:r>
      <w:r>
        <w:rPr>
          <w:color w:val="231F20"/>
          <w:spacing w:val="-11"/>
          <w:w w:val="105"/>
        </w:rPr>
        <w:t> </w:t>
      </w:r>
      <w:r>
        <w:rPr>
          <w:color w:val="231F20"/>
          <w:w w:val="105"/>
        </w:rPr>
        <w:t>riproduzione</w:t>
      </w:r>
      <w:r>
        <w:rPr>
          <w:color w:val="231F20"/>
          <w:spacing w:val="-11"/>
          <w:w w:val="105"/>
        </w:rPr>
        <w:t> </w:t>
      </w:r>
      <w:r>
        <w:rPr>
          <w:color w:val="231F20"/>
          <w:w w:val="105"/>
        </w:rPr>
        <w:t>del </w:t>
      </w:r>
      <w:r>
        <w:rPr>
          <w:rFonts w:ascii="Arial" w:hAnsi="Arial"/>
          <w:i/>
          <w:color w:val="231F20"/>
          <w:w w:val="105"/>
        </w:rPr>
        <w:t>luogo</w:t>
      </w:r>
      <w:r>
        <w:rPr>
          <w:rFonts w:ascii="Arial" w:hAnsi="Arial"/>
          <w:i/>
          <w:color w:val="231F20"/>
          <w:spacing w:val="-10"/>
          <w:w w:val="105"/>
        </w:rPr>
        <w:t> </w:t>
      </w:r>
      <w:r>
        <w:rPr>
          <w:color w:val="231F20"/>
          <w:w w:val="105"/>
        </w:rPr>
        <w:t>della</w:t>
      </w:r>
      <w:r>
        <w:rPr>
          <w:color w:val="231F20"/>
          <w:spacing w:val="-18"/>
          <w:w w:val="105"/>
        </w:rPr>
        <w:t> </w:t>
      </w:r>
      <w:r>
        <w:rPr>
          <w:color w:val="231F20"/>
          <w:w w:val="105"/>
        </w:rPr>
        <w:t>sovranità,</w:t>
      </w:r>
      <w:r>
        <w:rPr>
          <w:color w:val="231F20"/>
          <w:spacing w:val="-18"/>
          <w:w w:val="105"/>
        </w:rPr>
        <w:t> </w:t>
      </w:r>
      <w:r>
        <w:rPr>
          <w:color w:val="231F20"/>
          <w:w w:val="105"/>
        </w:rPr>
        <w:t>che</w:t>
      </w:r>
      <w:r>
        <w:rPr>
          <w:color w:val="231F20"/>
          <w:spacing w:val="-18"/>
          <w:w w:val="105"/>
        </w:rPr>
        <w:t> </w:t>
      </w:r>
      <w:r>
        <w:rPr>
          <w:color w:val="231F20"/>
          <w:w w:val="105"/>
        </w:rPr>
        <w:t>in</w:t>
      </w:r>
      <w:r>
        <w:rPr>
          <w:color w:val="231F20"/>
          <w:spacing w:val="-18"/>
          <w:w w:val="105"/>
        </w:rPr>
        <w:t> </w:t>
      </w:r>
      <w:r>
        <w:rPr>
          <w:color w:val="231F20"/>
          <w:w w:val="105"/>
        </w:rPr>
        <w:t>questo</w:t>
      </w:r>
      <w:r>
        <w:rPr>
          <w:color w:val="231F20"/>
          <w:spacing w:val="-18"/>
          <w:w w:val="105"/>
        </w:rPr>
        <w:t> </w:t>
      </w:r>
      <w:r>
        <w:rPr>
          <w:color w:val="231F20"/>
          <w:w w:val="105"/>
        </w:rPr>
        <w:t>caso</w:t>
      </w:r>
      <w:r>
        <w:rPr>
          <w:color w:val="231F20"/>
          <w:spacing w:val="-18"/>
          <w:w w:val="105"/>
        </w:rPr>
        <w:t> </w:t>
      </w:r>
      <w:r>
        <w:rPr>
          <w:color w:val="231F20"/>
          <w:w w:val="105"/>
        </w:rPr>
        <w:t>restava</w:t>
      </w:r>
      <w:r>
        <w:rPr>
          <w:color w:val="231F20"/>
          <w:spacing w:val="-18"/>
          <w:w w:val="105"/>
        </w:rPr>
        <w:t> </w:t>
      </w:r>
      <w:r>
        <w:rPr>
          <w:color w:val="231F20"/>
          <w:w w:val="105"/>
        </w:rPr>
        <w:t>subordinato</w:t>
      </w:r>
      <w:r>
        <w:rPr>
          <w:color w:val="231F20"/>
          <w:spacing w:val="-18"/>
          <w:w w:val="105"/>
        </w:rPr>
        <w:t> </w:t>
      </w:r>
      <w:r>
        <w:rPr>
          <w:color w:val="231F20"/>
          <w:w w:val="105"/>
        </w:rPr>
        <w:t>al</w:t>
      </w:r>
      <w:r>
        <w:rPr>
          <w:color w:val="231F20"/>
          <w:spacing w:val="-18"/>
          <w:w w:val="105"/>
        </w:rPr>
        <w:t> </w:t>
      </w:r>
      <w:r>
        <w:rPr>
          <w:color w:val="231F20"/>
          <w:w w:val="105"/>
        </w:rPr>
        <w:t>rapporto stesso</w:t>
      </w:r>
      <w:r>
        <w:rPr>
          <w:color w:val="231F20"/>
          <w:spacing w:val="-29"/>
          <w:w w:val="105"/>
        </w:rPr>
        <w:t> </w:t>
      </w:r>
      <w:r>
        <w:rPr>
          <w:color w:val="231F20"/>
          <w:w w:val="105"/>
        </w:rPr>
        <w:t>e</w:t>
      </w:r>
      <w:r>
        <w:rPr>
          <w:color w:val="231F20"/>
          <w:spacing w:val="-29"/>
          <w:w w:val="105"/>
        </w:rPr>
        <w:t> </w:t>
      </w:r>
      <w:r>
        <w:rPr>
          <w:color w:val="231F20"/>
          <w:w w:val="105"/>
        </w:rPr>
        <w:t>non</w:t>
      </w:r>
      <w:r>
        <w:rPr>
          <w:color w:val="231F20"/>
          <w:spacing w:val="-29"/>
          <w:w w:val="105"/>
        </w:rPr>
        <w:t> </w:t>
      </w:r>
      <w:r>
        <w:rPr>
          <w:color w:val="231F20"/>
          <w:w w:val="105"/>
        </w:rPr>
        <w:t>ai</w:t>
      </w:r>
      <w:r>
        <w:rPr>
          <w:color w:val="231F20"/>
          <w:spacing w:val="-29"/>
          <w:w w:val="105"/>
        </w:rPr>
        <w:t> </w:t>
      </w:r>
      <w:r>
        <w:rPr>
          <w:color w:val="231F20"/>
          <w:w w:val="105"/>
        </w:rPr>
        <w:t>suoi</w:t>
      </w:r>
      <w:r>
        <w:rPr>
          <w:color w:val="231F20"/>
          <w:spacing w:val="-29"/>
          <w:w w:val="105"/>
        </w:rPr>
        <w:t> </w:t>
      </w:r>
      <w:r>
        <w:rPr>
          <w:color w:val="231F20"/>
          <w:w w:val="105"/>
        </w:rPr>
        <w:t>componenti</w:t>
      </w:r>
      <w:r>
        <w:rPr>
          <w:color w:val="231F20"/>
          <w:w w:val="105"/>
          <w:position w:val="7"/>
          <w:sz w:val="12"/>
        </w:rPr>
        <w:t>57</w:t>
      </w:r>
      <w:r>
        <w:rPr>
          <w:color w:val="231F20"/>
          <w:spacing w:val="-16"/>
          <w:w w:val="105"/>
          <w:position w:val="7"/>
          <w:sz w:val="12"/>
        </w:rPr>
        <w:t> </w:t>
      </w:r>
      <w:r>
        <w:rPr>
          <w:color w:val="231F20"/>
          <w:w w:val="105"/>
          <w:position w:val="7"/>
          <w:sz w:val="12"/>
        </w:rPr>
        <w:t>58</w:t>
      </w:r>
      <w:r>
        <w:rPr>
          <w:rFonts w:ascii="Arial" w:hAnsi="Arial"/>
          <w:color w:val="231F20"/>
          <w:w w:val="105"/>
          <w:position w:val="7"/>
          <w:sz w:val="12"/>
        </w:rPr>
        <w:t>.</w:t>
      </w:r>
    </w:p>
    <w:p>
      <w:pPr>
        <w:pStyle w:val="BodyText"/>
        <w:spacing w:line="247" w:lineRule="auto"/>
        <w:ind w:left="103" w:right="106" w:firstLine="566"/>
        <w:jc w:val="both"/>
      </w:pPr>
      <w:r>
        <w:rPr>
          <w:color w:val="231F20"/>
        </w:rPr>
        <w:t>Prendiamo un esempio finale, che è il caso messicano negli ultimi   15 anni. In quel paese il fenomeno della criminalità organizzata ha eroso</w:t>
      </w:r>
      <w:r>
        <w:rPr>
          <w:color w:val="231F20"/>
          <w:spacing w:val="-45"/>
        </w:rPr>
        <w:t> </w:t>
      </w:r>
      <w:r>
        <w:rPr>
          <w:color w:val="231F20"/>
        </w:rPr>
        <w:t>la fiducia</w:t>
      </w:r>
      <w:r>
        <w:rPr>
          <w:color w:val="231F20"/>
          <w:spacing w:val="-15"/>
        </w:rPr>
        <w:t> </w:t>
      </w:r>
      <w:r>
        <w:rPr>
          <w:color w:val="231F20"/>
        </w:rPr>
        <w:t>nelle</w:t>
      </w:r>
      <w:r>
        <w:rPr>
          <w:color w:val="231F20"/>
          <w:spacing w:val="-15"/>
        </w:rPr>
        <w:t> </w:t>
      </w:r>
      <w:r>
        <w:rPr>
          <w:color w:val="231F20"/>
        </w:rPr>
        <w:t>risposte</w:t>
      </w:r>
      <w:r>
        <w:rPr>
          <w:color w:val="231F20"/>
          <w:spacing w:val="-15"/>
        </w:rPr>
        <w:t> </w:t>
      </w:r>
      <w:r>
        <w:rPr>
          <w:color w:val="231F20"/>
        </w:rPr>
        <w:t>istituzionali</w:t>
      </w:r>
      <w:r>
        <w:rPr>
          <w:color w:val="231F20"/>
          <w:spacing w:val="-15"/>
        </w:rPr>
        <w:t> </w:t>
      </w:r>
      <w:r>
        <w:rPr>
          <w:color w:val="231F20"/>
        </w:rPr>
        <w:t>al</w:t>
      </w:r>
      <w:r>
        <w:rPr>
          <w:color w:val="231F20"/>
          <w:spacing w:val="-15"/>
        </w:rPr>
        <w:t> </w:t>
      </w:r>
      <w:r>
        <w:rPr>
          <w:color w:val="231F20"/>
        </w:rPr>
        <w:t>problema</w:t>
      </w:r>
      <w:r>
        <w:rPr>
          <w:color w:val="231F20"/>
          <w:spacing w:val="-15"/>
        </w:rPr>
        <w:t> </w:t>
      </w:r>
      <w:r>
        <w:rPr>
          <w:color w:val="231F20"/>
        </w:rPr>
        <w:t>di</w:t>
      </w:r>
      <w:r>
        <w:rPr>
          <w:color w:val="231F20"/>
          <w:spacing w:val="-15"/>
        </w:rPr>
        <w:t> </w:t>
      </w:r>
      <w:r>
        <w:rPr>
          <w:color w:val="231F20"/>
        </w:rPr>
        <w:t>sicurezza</w:t>
      </w:r>
      <w:r>
        <w:rPr>
          <w:color w:val="231F20"/>
          <w:spacing w:val="-15"/>
        </w:rPr>
        <w:t> </w:t>
      </w:r>
      <w:r>
        <w:rPr>
          <w:color w:val="231F20"/>
        </w:rPr>
        <w:t>sociale</w:t>
      </w:r>
      <w:r>
        <w:rPr>
          <w:color w:val="231F20"/>
          <w:spacing w:val="-15"/>
        </w:rPr>
        <w:t> </w:t>
      </w:r>
      <w:r>
        <w:rPr>
          <w:color w:val="231F20"/>
        </w:rPr>
        <w:t>e</w:t>
      </w:r>
      <w:r>
        <w:rPr>
          <w:color w:val="231F20"/>
          <w:spacing w:val="-15"/>
        </w:rPr>
        <w:t> </w:t>
      </w:r>
      <w:r>
        <w:rPr>
          <w:color w:val="231F20"/>
        </w:rPr>
        <w:t>pubblica, soprattutto</w:t>
      </w:r>
      <w:r>
        <w:rPr>
          <w:color w:val="231F20"/>
          <w:spacing w:val="-18"/>
        </w:rPr>
        <w:t> </w:t>
      </w:r>
      <w:r>
        <w:rPr>
          <w:color w:val="231F20"/>
        </w:rPr>
        <w:t>in</w:t>
      </w:r>
      <w:r>
        <w:rPr>
          <w:color w:val="231F20"/>
          <w:spacing w:val="-18"/>
        </w:rPr>
        <w:t> </w:t>
      </w:r>
      <w:r>
        <w:rPr>
          <w:color w:val="231F20"/>
          <w:spacing w:val="-3"/>
        </w:rPr>
        <w:t>regioni</w:t>
      </w:r>
      <w:r>
        <w:rPr>
          <w:color w:val="231F20"/>
          <w:spacing w:val="-18"/>
        </w:rPr>
        <w:t> </w:t>
      </w:r>
      <w:r>
        <w:rPr>
          <w:color w:val="231F20"/>
          <w:spacing w:val="-3"/>
        </w:rPr>
        <w:t>(Guerrero,</w:t>
      </w:r>
      <w:r>
        <w:rPr>
          <w:color w:val="231F20"/>
          <w:spacing w:val="-18"/>
        </w:rPr>
        <w:t> </w:t>
      </w:r>
      <w:r>
        <w:rPr>
          <w:color w:val="231F20"/>
        </w:rPr>
        <w:t>Michoacán,</w:t>
      </w:r>
      <w:r>
        <w:rPr>
          <w:color w:val="231F20"/>
          <w:spacing w:val="-18"/>
        </w:rPr>
        <w:t> </w:t>
      </w:r>
      <w:r>
        <w:rPr>
          <w:color w:val="231F20"/>
          <w:spacing w:val="-4"/>
        </w:rPr>
        <w:t>Tamaulipas,</w:t>
      </w:r>
      <w:r>
        <w:rPr>
          <w:color w:val="231F20"/>
          <w:spacing w:val="-18"/>
        </w:rPr>
        <w:t> </w:t>
      </w:r>
      <w:r>
        <w:rPr>
          <w:color w:val="231F20"/>
          <w:spacing w:val="-3"/>
        </w:rPr>
        <w:t>Morelos</w:t>
      </w:r>
      <w:r>
        <w:rPr>
          <w:color w:val="231F20"/>
          <w:spacing w:val="-18"/>
        </w:rPr>
        <w:t> </w:t>
      </w:r>
      <w:r>
        <w:rPr>
          <w:color w:val="231F20"/>
        </w:rPr>
        <w:t>e</w:t>
      </w:r>
      <w:r>
        <w:rPr>
          <w:color w:val="231F20"/>
          <w:spacing w:val="-18"/>
        </w:rPr>
        <w:t> </w:t>
      </w:r>
      <w:r>
        <w:rPr>
          <w:color w:val="231F20"/>
          <w:spacing w:val="-4"/>
        </w:rPr>
        <w:t>Veracruz) </w:t>
      </w:r>
      <w:r>
        <w:rPr>
          <w:color w:val="231F20"/>
        </w:rPr>
        <w:t>dove ha una presenza quotidiana, al grado che spinge i limiti degli spazi della política aldilà delle antinomie classiche territoriali delle esperienze della legalità–illegalità. Questo evento storico non si può definire (e spiega </w:t>
      </w:r>
      <w:r>
        <w:rPr>
          <w:color w:val="231F20"/>
          <w:spacing w:val="3"/>
        </w:rPr>
        <w:t>poco </w:t>
      </w:r>
      <w:r>
        <w:rPr>
          <w:color w:val="231F20"/>
          <w:spacing w:val="2"/>
        </w:rPr>
        <w:t>del </w:t>
      </w:r>
      <w:r>
        <w:rPr>
          <w:color w:val="231F20"/>
          <w:spacing w:val="3"/>
        </w:rPr>
        <w:t>fenomeno) solo come </w:t>
      </w:r>
      <w:r>
        <w:rPr>
          <w:color w:val="231F20"/>
        </w:rPr>
        <w:t>un </w:t>
      </w:r>
      <w:r>
        <w:rPr>
          <w:color w:val="231F20"/>
          <w:spacing w:val="3"/>
        </w:rPr>
        <w:t>problema topografico dell’ordine </w:t>
      </w:r>
      <w:r>
        <w:rPr>
          <w:color w:val="231F20"/>
        </w:rPr>
        <w:t>statale messicano, cioè, come un problema binario di un “dentro” (ordine costituzionale)</w:t>
      </w:r>
      <w:r>
        <w:rPr>
          <w:color w:val="231F20"/>
          <w:spacing w:val="-14"/>
        </w:rPr>
        <w:t> </w:t>
      </w:r>
      <w:r>
        <w:rPr>
          <w:color w:val="231F20"/>
        </w:rPr>
        <w:t>che</w:t>
      </w:r>
      <w:r>
        <w:rPr>
          <w:color w:val="231F20"/>
          <w:spacing w:val="-14"/>
        </w:rPr>
        <w:t> </w:t>
      </w:r>
      <w:r>
        <w:rPr>
          <w:color w:val="231F20"/>
        </w:rPr>
        <w:t>attacca</w:t>
      </w:r>
      <w:r>
        <w:rPr>
          <w:color w:val="231F20"/>
          <w:spacing w:val="-14"/>
        </w:rPr>
        <w:t> </w:t>
      </w:r>
      <w:r>
        <w:rPr>
          <w:color w:val="231F20"/>
        </w:rPr>
        <w:t>e</w:t>
      </w:r>
      <w:r>
        <w:rPr>
          <w:color w:val="231F20"/>
          <w:spacing w:val="-14"/>
        </w:rPr>
        <w:t> </w:t>
      </w:r>
      <w:r>
        <w:rPr>
          <w:color w:val="231F20"/>
        </w:rPr>
        <w:t>confronta</w:t>
      </w:r>
      <w:r>
        <w:rPr>
          <w:color w:val="231F20"/>
          <w:spacing w:val="-14"/>
        </w:rPr>
        <w:t> </w:t>
      </w:r>
      <w:r>
        <w:rPr>
          <w:color w:val="231F20"/>
        </w:rPr>
        <w:t>un</w:t>
      </w:r>
      <w:r>
        <w:rPr>
          <w:color w:val="231F20"/>
          <w:spacing w:val="-14"/>
        </w:rPr>
        <w:t> </w:t>
      </w:r>
      <w:r>
        <w:rPr>
          <w:color w:val="231F20"/>
        </w:rPr>
        <w:t>“fuori”</w:t>
      </w:r>
      <w:r>
        <w:rPr>
          <w:color w:val="231F20"/>
          <w:spacing w:val="-14"/>
        </w:rPr>
        <w:t> </w:t>
      </w:r>
      <w:r>
        <w:rPr>
          <w:color w:val="231F20"/>
        </w:rPr>
        <w:t>(criminalità</w:t>
      </w:r>
      <w:r>
        <w:rPr>
          <w:color w:val="231F20"/>
          <w:spacing w:val="-14"/>
        </w:rPr>
        <w:t> </w:t>
      </w:r>
      <w:r>
        <w:rPr>
          <w:color w:val="231F20"/>
        </w:rPr>
        <w:t>non</w:t>
      </w:r>
      <w:r>
        <w:rPr>
          <w:color w:val="231F20"/>
          <w:spacing w:val="-14"/>
        </w:rPr>
        <w:t> </w:t>
      </w:r>
      <w:r>
        <w:rPr>
          <w:color w:val="231F20"/>
        </w:rPr>
        <w:t>statale),</w:t>
      </w:r>
      <w:r>
        <w:rPr>
          <w:color w:val="231F20"/>
          <w:spacing w:val="-14"/>
        </w:rPr>
        <w:t> </w:t>
      </w:r>
      <w:r>
        <w:rPr>
          <w:color w:val="231F20"/>
        </w:rPr>
        <w:t>e dal</w:t>
      </w:r>
      <w:r>
        <w:rPr>
          <w:color w:val="231F20"/>
          <w:spacing w:val="-12"/>
        </w:rPr>
        <w:t> </w:t>
      </w:r>
      <w:r>
        <w:rPr>
          <w:color w:val="231F20"/>
        </w:rPr>
        <w:t>cui</w:t>
      </w:r>
      <w:r>
        <w:rPr>
          <w:color w:val="231F20"/>
          <w:spacing w:val="-12"/>
        </w:rPr>
        <w:t> </w:t>
      </w:r>
      <w:r>
        <w:rPr>
          <w:color w:val="231F20"/>
          <w:spacing w:val="-3"/>
        </w:rPr>
        <w:t>deriverebbe</w:t>
      </w:r>
      <w:r>
        <w:rPr>
          <w:color w:val="231F20"/>
          <w:spacing w:val="-12"/>
        </w:rPr>
        <w:t> </w:t>
      </w:r>
      <w:r>
        <w:rPr>
          <w:color w:val="231F20"/>
        </w:rPr>
        <w:t>che</w:t>
      </w:r>
      <w:r>
        <w:rPr>
          <w:color w:val="231F20"/>
          <w:spacing w:val="-12"/>
        </w:rPr>
        <w:t> </w:t>
      </w:r>
      <w:r>
        <w:rPr>
          <w:color w:val="231F20"/>
        </w:rPr>
        <w:t>la</w:t>
      </w:r>
      <w:r>
        <w:rPr>
          <w:color w:val="231F20"/>
          <w:spacing w:val="-12"/>
        </w:rPr>
        <w:t> </w:t>
      </w:r>
      <w:r>
        <w:rPr>
          <w:color w:val="231F20"/>
        </w:rPr>
        <w:t>criminalità</w:t>
      </w:r>
      <w:r>
        <w:rPr>
          <w:color w:val="231F20"/>
          <w:spacing w:val="-12"/>
        </w:rPr>
        <w:t> </w:t>
      </w:r>
      <w:r>
        <w:rPr>
          <w:color w:val="231F20"/>
          <w:spacing w:val="-3"/>
        </w:rPr>
        <w:t>organizzata</w:t>
      </w:r>
      <w:r>
        <w:rPr>
          <w:color w:val="231F20"/>
          <w:spacing w:val="-13"/>
        </w:rPr>
        <w:t> </w:t>
      </w:r>
      <w:r>
        <w:rPr>
          <w:color w:val="231F20"/>
        </w:rPr>
        <w:t>è</w:t>
      </w:r>
      <w:r>
        <w:rPr>
          <w:color w:val="231F20"/>
          <w:spacing w:val="-12"/>
        </w:rPr>
        <w:t> </w:t>
      </w:r>
      <w:r>
        <w:rPr>
          <w:color w:val="231F20"/>
        </w:rPr>
        <w:t>un</w:t>
      </w:r>
      <w:r>
        <w:rPr>
          <w:color w:val="231F20"/>
          <w:spacing w:val="-12"/>
        </w:rPr>
        <w:t> </w:t>
      </w:r>
      <w:r>
        <w:rPr>
          <w:color w:val="231F20"/>
          <w:spacing w:val="-3"/>
        </w:rPr>
        <w:t>potere</w:t>
      </w:r>
      <w:r>
        <w:rPr>
          <w:color w:val="231F20"/>
          <w:spacing w:val="-12"/>
        </w:rPr>
        <w:t> </w:t>
      </w:r>
      <w:r>
        <w:rPr>
          <w:color w:val="231F20"/>
        </w:rPr>
        <w:t>“parallelo”</w:t>
      </w:r>
      <w:r>
        <w:rPr>
          <w:color w:val="231F20"/>
          <w:spacing w:val="-12"/>
        </w:rPr>
        <w:t> </w:t>
      </w:r>
      <w:r>
        <w:rPr>
          <w:color w:val="231F20"/>
        </w:rPr>
        <w:t>allo Stato</w:t>
      </w:r>
      <w:r>
        <w:rPr>
          <w:color w:val="231F20"/>
          <w:spacing w:val="-21"/>
        </w:rPr>
        <w:t> </w:t>
      </w:r>
      <w:r>
        <w:rPr>
          <w:color w:val="231F20"/>
        </w:rPr>
        <w:t>e</w:t>
      </w:r>
      <w:r>
        <w:rPr>
          <w:color w:val="231F20"/>
          <w:spacing w:val="-21"/>
        </w:rPr>
        <w:t> </w:t>
      </w:r>
      <w:r>
        <w:rPr>
          <w:color w:val="231F20"/>
        </w:rPr>
        <w:t>alle</w:t>
      </w:r>
      <w:r>
        <w:rPr>
          <w:color w:val="231F20"/>
          <w:spacing w:val="-21"/>
        </w:rPr>
        <w:t> </w:t>
      </w:r>
      <w:r>
        <w:rPr>
          <w:color w:val="231F20"/>
        </w:rPr>
        <w:t>istituzioni</w:t>
      </w:r>
      <w:r>
        <w:rPr>
          <w:color w:val="231F20"/>
          <w:spacing w:val="-21"/>
        </w:rPr>
        <w:t> </w:t>
      </w:r>
      <w:r>
        <w:rPr>
          <w:color w:val="231F20"/>
        </w:rPr>
        <w:t>pubbliche.</w:t>
      </w:r>
      <w:r>
        <w:rPr>
          <w:color w:val="231F20"/>
          <w:spacing w:val="-21"/>
        </w:rPr>
        <w:t> </w:t>
      </w:r>
      <w:r>
        <w:rPr>
          <w:color w:val="231F20"/>
        </w:rPr>
        <w:t>Anzi,</w:t>
      </w:r>
      <w:r>
        <w:rPr>
          <w:color w:val="231F20"/>
          <w:spacing w:val="-21"/>
        </w:rPr>
        <w:t> </w:t>
      </w:r>
      <w:r>
        <w:rPr>
          <w:color w:val="231F20"/>
        </w:rPr>
        <w:t>lo</w:t>
      </w:r>
      <w:r>
        <w:rPr>
          <w:color w:val="231F20"/>
          <w:spacing w:val="-21"/>
        </w:rPr>
        <w:t> </w:t>
      </w:r>
      <w:r>
        <w:rPr>
          <w:color w:val="231F20"/>
        </w:rPr>
        <w:t>Stato</w:t>
      </w:r>
      <w:r>
        <w:rPr>
          <w:color w:val="231F20"/>
          <w:spacing w:val="-21"/>
        </w:rPr>
        <w:t> </w:t>
      </w:r>
      <w:r>
        <w:rPr>
          <w:color w:val="231F20"/>
        </w:rPr>
        <w:t>messicano</w:t>
      </w:r>
      <w:r>
        <w:rPr>
          <w:color w:val="231F20"/>
          <w:spacing w:val="-21"/>
        </w:rPr>
        <w:t> </w:t>
      </w:r>
      <w:r>
        <w:rPr>
          <w:color w:val="231F20"/>
        </w:rPr>
        <w:t>e</w:t>
      </w:r>
      <w:r>
        <w:rPr>
          <w:color w:val="231F20"/>
          <w:spacing w:val="-21"/>
        </w:rPr>
        <w:t> </w:t>
      </w:r>
      <w:r>
        <w:rPr>
          <w:color w:val="231F20"/>
        </w:rPr>
        <w:t>le</w:t>
      </w:r>
      <w:r>
        <w:rPr>
          <w:color w:val="231F20"/>
          <w:spacing w:val="-21"/>
        </w:rPr>
        <w:t> </w:t>
      </w:r>
      <w:r>
        <w:rPr>
          <w:color w:val="231F20"/>
        </w:rPr>
        <w:t>sue</w:t>
      </w:r>
      <w:r>
        <w:rPr>
          <w:color w:val="231F20"/>
          <w:spacing w:val="-21"/>
        </w:rPr>
        <w:t> </w:t>
      </w:r>
      <w:r>
        <w:rPr>
          <w:color w:val="231F20"/>
        </w:rPr>
        <w:t>modalità</w:t>
      </w:r>
      <w:r>
        <w:rPr>
          <w:color w:val="231F20"/>
          <w:spacing w:val="-21"/>
        </w:rPr>
        <w:t> </w:t>
      </w:r>
      <w:r>
        <w:rPr>
          <w:color w:val="231F20"/>
        </w:rPr>
        <w:t>di </w:t>
      </w:r>
      <w:r>
        <w:rPr>
          <w:color w:val="231F20"/>
          <w:spacing w:val="-4"/>
        </w:rPr>
        <w:t>organizzazione </w:t>
      </w:r>
      <w:r>
        <w:rPr>
          <w:color w:val="231F20"/>
          <w:spacing w:val="-3"/>
        </w:rPr>
        <w:t>sono parte fondamentale della strutturazione </w:t>
      </w:r>
      <w:r>
        <w:rPr>
          <w:color w:val="231F20"/>
        </w:rPr>
        <w:t>di </w:t>
      </w:r>
      <w:r>
        <w:rPr>
          <w:color w:val="231F20"/>
          <w:spacing w:val="-3"/>
        </w:rPr>
        <w:t>questo nuovo </w:t>
      </w:r>
      <w:r>
        <w:rPr>
          <w:color w:val="231F20"/>
        </w:rPr>
        <w:t>spazio, dato che l’emergenza della sovranizzazione criminale in Messico,</w:t>
      </w:r>
      <w:r>
        <w:rPr>
          <w:color w:val="231F20"/>
          <w:position w:val="7"/>
          <w:sz w:val="12"/>
        </w:rPr>
        <w:t>59  </w:t>
      </w:r>
      <w:r>
        <w:rPr>
          <w:color w:val="231F20"/>
        </w:rPr>
        <w:t>è la conseguenza non attesa del processo di scentratura del potere politico che si è sviluppato con l’aumento della concorrenza e la alternanza (intese come opzioni di decisione politica) lungo il paese nel transito degli anni novanta</w:t>
      </w:r>
      <w:r>
        <w:rPr>
          <w:color w:val="231F20"/>
          <w:spacing w:val="-11"/>
        </w:rPr>
        <w:t> </w:t>
      </w:r>
      <w:r>
        <w:rPr>
          <w:color w:val="231F20"/>
        </w:rPr>
        <w:t>del</w:t>
      </w:r>
      <w:r>
        <w:rPr>
          <w:color w:val="231F20"/>
          <w:spacing w:val="-11"/>
        </w:rPr>
        <w:t> </w:t>
      </w:r>
      <w:r>
        <w:rPr>
          <w:color w:val="231F20"/>
        </w:rPr>
        <w:t>secolo</w:t>
      </w:r>
      <w:r>
        <w:rPr>
          <w:color w:val="231F20"/>
          <w:spacing w:val="-11"/>
        </w:rPr>
        <w:t> </w:t>
      </w:r>
      <w:r>
        <w:rPr>
          <w:color w:val="231F20"/>
        </w:rPr>
        <w:t>scorso</w:t>
      </w:r>
      <w:r>
        <w:rPr>
          <w:color w:val="231F20"/>
          <w:spacing w:val="-11"/>
        </w:rPr>
        <w:t> </w:t>
      </w:r>
      <w:r>
        <w:rPr>
          <w:color w:val="231F20"/>
        </w:rPr>
        <w:t>alla</w:t>
      </w:r>
      <w:r>
        <w:rPr>
          <w:color w:val="231F20"/>
          <w:spacing w:val="-11"/>
        </w:rPr>
        <w:t> </w:t>
      </w:r>
      <w:r>
        <w:rPr>
          <w:color w:val="231F20"/>
        </w:rPr>
        <w:t>prima</w:t>
      </w:r>
      <w:r>
        <w:rPr>
          <w:color w:val="231F20"/>
          <w:spacing w:val="-11"/>
        </w:rPr>
        <w:t> </w:t>
      </w:r>
      <w:r>
        <w:rPr>
          <w:color w:val="231F20"/>
        </w:rPr>
        <w:t>decade</w:t>
      </w:r>
      <w:r>
        <w:rPr>
          <w:color w:val="231F20"/>
          <w:spacing w:val="-11"/>
        </w:rPr>
        <w:t> </w:t>
      </w:r>
      <w:r>
        <w:rPr>
          <w:color w:val="231F20"/>
        </w:rPr>
        <w:t>di</w:t>
      </w:r>
      <w:r>
        <w:rPr>
          <w:color w:val="231F20"/>
          <w:spacing w:val="-11"/>
        </w:rPr>
        <w:t> </w:t>
      </w:r>
      <w:r>
        <w:rPr>
          <w:color w:val="231F20"/>
        </w:rPr>
        <w:t>questo</w:t>
      </w:r>
      <w:r>
        <w:rPr>
          <w:color w:val="231F20"/>
          <w:spacing w:val="-11"/>
        </w:rPr>
        <w:t> </w:t>
      </w:r>
      <w:r>
        <w:rPr>
          <w:color w:val="231F20"/>
        </w:rPr>
        <w:t>secolo.</w:t>
      </w:r>
      <w:r>
        <w:rPr>
          <w:color w:val="231F20"/>
          <w:spacing w:val="-11"/>
        </w:rPr>
        <w:t> </w:t>
      </w:r>
      <w:r>
        <w:rPr>
          <w:color w:val="231F20"/>
        </w:rPr>
        <w:t>Ciò</w:t>
      </w:r>
      <w:r>
        <w:rPr>
          <w:color w:val="231F20"/>
          <w:spacing w:val="-11"/>
        </w:rPr>
        <w:t> </w:t>
      </w:r>
      <w:r>
        <w:rPr>
          <w:color w:val="231F20"/>
        </w:rPr>
        <w:t>vuol</w:t>
      </w:r>
      <w:r>
        <w:rPr>
          <w:color w:val="231F20"/>
          <w:spacing w:val="-11"/>
        </w:rPr>
        <w:t> </w:t>
      </w:r>
      <w:r>
        <w:rPr>
          <w:color w:val="231F20"/>
        </w:rPr>
        <w:t>dire, il</w:t>
      </w:r>
      <w:r>
        <w:rPr>
          <w:color w:val="231F20"/>
          <w:spacing w:val="-20"/>
        </w:rPr>
        <w:t> </w:t>
      </w:r>
      <w:r>
        <w:rPr>
          <w:rFonts w:ascii="Arial" w:hAnsi="Arial"/>
          <w:i/>
          <w:color w:val="231F20"/>
        </w:rPr>
        <w:t>genus</w:t>
      </w:r>
      <w:r>
        <w:rPr>
          <w:rFonts w:ascii="Arial" w:hAnsi="Arial"/>
          <w:i/>
          <w:color w:val="231F20"/>
          <w:spacing w:val="-13"/>
        </w:rPr>
        <w:t> </w:t>
      </w:r>
      <w:r>
        <w:rPr>
          <w:color w:val="231F20"/>
        </w:rPr>
        <w:t>autoritario</w:t>
      </w:r>
      <w:r>
        <w:rPr>
          <w:color w:val="231F20"/>
          <w:spacing w:val="-20"/>
        </w:rPr>
        <w:t> </w:t>
      </w:r>
      <w:r>
        <w:rPr>
          <w:color w:val="231F20"/>
        </w:rPr>
        <w:t>ha</w:t>
      </w:r>
      <w:r>
        <w:rPr>
          <w:color w:val="231F20"/>
          <w:spacing w:val="-20"/>
        </w:rPr>
        <w:t> </w:t>
      </w:r>
      <w:r>
        <w:rPr>
          <w:color w:val="231F20"/>
        </w:rPr>
        <w:t>perso</w:t>
      </w:r>
      <w:r>
        <w:rPr>
          <w:color w:val="231F20"/>
          <w:spacing w:val="-20"/>
        </w:rPr>
        <w:t> </w:t>
      </w:r>
      <w:r>
        <w:rPr>
          <w:color w:val="231F20"/>
        </w:rPr>
        <w:t>la</w:t>
      </w:r>
      <w:r>
        <w:rPr>
          <w:color w:val="231F20"/>
          <w:spacing w:val="-20"/>
        </w:rPr>
        <w:t> </w:t>
      </w:r>
      <w:r>
        <w:rPr>
          <w:color w:val="231F20"/>
        </w:rPr>
        <w:t>sua</w:t>
      </w:r>
      <w:r>
        <w:rPr>
          <w:color w:val="231F20"/>
          <w:spacing w:val="-20"/>
        </w:rPr>
        <w:t> </w:t>
      </w:r>
      <w:r>
        <w:rPr>
          <w:color w:val="231F20"/>
        </w:rPr>
        <w:t>capacità</w:t>
      </w:r>
      <w:r>
        <w:rPr>
          <w:color w:val="231F20"/>
          <w:spacing w:val="-20"/>
        </w:rPr>
        <w:t> </w:t>
      </w:r>
      <w:r>
        <w:rPr>
          <w:color w:val="231F20"/>
        </w:rPr>
        <w:t>di</w:t>
      </w:r>
      <w:r>
        <w:rPr>
          <w:color w:val="231F20"/>
          <w:spacing w:val="-20"/>
        </w:rPr>
        <w:t> </w:t>
      </w:r>
      <w:r>
        <w:rPr>
          <w:color w:val="231F20"/>
        </w:rPr>
        <w:t>controllo</w:t>
      </w:r>
      <w:r>
        <w:rPr>
          <w:color w:val="231F20"/>
          <w:spacing w:val="-20"/>
        </w:rPr>
        <w:t> </w:t>
      </w:r>
      <w:r>
        <w:rPr>
          <w:rFonts w:ascii="Arial" w:hAnsi="Arial"/>
          <w:i/>
          <w:color w:val="231F20"/>
        </w:rPr>
        <w:t>da</w:t>
      </w:r>
      <w:r>
        <w:rPr>
          <w:rFonts w:ascii="Arial" w:hAnsi="Arial"/>
          <w:i/>
          <w:color w:val="231F20"/>
          <w:spacing w:val="-13"/>
        </w:rPr>
        <w:t> </w:t>
      </w:r>
      <w:r>
        <w:rPr>
          <w:color w:val="231F20"/>
        </w:rPr>
        <w:t>la</w:t>
      </w:r>
      <w:r>
        <w:rPr>
          <w:color w:val="231F20"/>
          <w:spacing w:val="-20"/>
        </w:rPr>
        <w:t> </w:t>
      </w:r>
      <w:r>
        <w:rPr>
          <w:color w:val="231F20"/>
        </w:rPr>
        <w:t>parte</w:t>
      </w:r>
      <w:r>
        <w:rPr>
          <w:color w:val="231F20"/>
          <w:spacing w:val="-20"/>
        </w:rPr>
        <w:t> </w:t>
      </w:r>
      <w:r>
        <w:rPr>
          <w:color w:val="231F20"/>
        </w:rPr>
        <w:t>nazionale</w:t>
      </w:r>
    </w:p>
    <w:p>
      <w:pPr>
        <w:pStyle w:val="BodyText"/>
        <w:rPr>
          <w:sz w:val="20"/>
        </w:rPr>
      </w:pPr>
    </w:p>
    <w:p>
      <w:pPr>
        <w:pStyle w:val="BodyText"/>
        <w:rPr>
          <w:sz w:val="14"/>
        </w:rPr>
      </w:pPr>
      <w:r>
        <w:rPr/>
        <w:pict>
          <v:line style="position:absolute;mso-position-horizontal-relative:page;mso-position-vertical-relative:paragraph;z-index:13984;mso-wrap-distance-left:0;mso-wrap-distance-right:0" from="65.196899pt,10.578584pt" to="178.582899pt,10.578584pt" stroked="true" strokeweight=".3pt" strokecolor="#231f20">
            <w10:wrap type="topAndBottom"/>
          </v:line>
        </w:pict>
      </w:r>
    </w:p>
    <w:p>
      <w:pPr>
        <w:spacing w:line="204" w:lineRule="exact" w:before="9"/>
        <w:ind w:left="103" w:right="115" w:firstLine="0"/>
        <w:jc w:val="both"/>
        <w:rPr>
          <w:rFonts w:ascii="Calibri" w:hAnsi="Calibri"/>
          <w:sz w:val="17"/>
        </w:rPr>
      </w:pPr>
      <w:r>
        <w:rPr>
          <w:rFonts w:ascii="Calibri" w:hAnsi="Calibri"/>
          <w:color w:val="231F20"/>
          <w:position w:val="6"/>
          <w:sz w:val="10"/>
        </w:rPr>
        <w:t>56 </w:t>
      </w:r>
      <w:r>
        <w:rPr>
          <w:rFonts w:ascii="Calibri" w:hAnsi="Calibri"/>
          <w:color w:val="231F20"/>
          <w:sz w:val="17"/>
        </w:rPr>
        <w:t>R. Ocampo Alcántar, I. Covarrubias y J. C. Cruz Revueltas, “(In)seguridad y política. pasajes y ámbitos de discusión”, R. Ocampo Alcántar, I. Covarrubias y J. C. Cruz Revueltas (coords), </w:t>
      </w:r>
      <w:r>
        <w:rPr>
          <w:rFonts w:ascii="Calibri" w:hAnsi="Calibri"/>
          <w:i/>
          <w:color w:val="231F20"/>
          <w:sz w:val="17"/>
        </w:rPr>
        <w:t>Estado, </w:t>
      </w:r>
      <w:r>
        <w:rPr>
          <w:rFonts w:ascii="Calibri" w:hAnsi="Calibri"/>
          <w:i/>
          <w:color w:val="231F20"/>
          <w:sz w:val="17"/>
        </w:rPr>
        <w:t>seguridad pública y criminalidades. Debates recientes</w:t>
      </w:r>
      <w:r>
        <w:rPr>
          <w:rFonts w:ascii="Calibri" w:hAnsi="Calibri"/>
          <w:color w:val="231F20"/>
          <w:sz w:val="17"/>
        </w:rPr>
        <w:t>, México, Universidad Autónoma de Sinaloa– Publicaciones Cruz, 2013, pp. 7–41; E. Stepanova,”El negocio de las drogas ilícitas y los conflictos armados: alcance y límites de sus vínculos”, J. G. Tokatlian (comp), </w:t>
      </w:r>
      <w:r>
        <w:rPr>
          <w:rFonts w:ascii="Calibri" w:hAnsi="Calibri"/>
          <w:i/>
          <w:color w:val="231F20"/>
          <w:sz w:val="17"/>
        </w:rPr>
        <w:t>Drogas y prohibición. Una vieja </w:t>
      </w:r>
      <w:r>
        <w:rPr>
          <w:rFonts w:ascii="Calibri" w:hAnsi="Calibri"/>
          <w:i/>
          <w:color w:val="231F20"/>
          <w:sz w:val="17"/>
        </w:rPr>
        <w:t>guerra, un nuevo debate</w:t>
      </w:r>
      <w:r>
        <w:rPr>
          <w:rFonts w:ascii="Calibri" w:hAnsi="Calibri"/>
          <w:color w:val="231F20"/>
          <w:sz w:val="17"/>
        </w:rPr>
        <w:t>, Buenos Aires, Libros del Zorzal, 2010, pp. 315–319.</w:t>
      </w:r>
    </w:p>
    <w:p>
      <w:pPr>
        <w:spacing w:line="204" w:lineRule="exact" w:before="0"/>
        <w:ind w:left="103" w:right="115" w:firstLine="0"/>
        <w:jc w:val="both"/>
        <w:rPr>
          <w:rFonts w:ascii="Calibri"/>
          <w:sz w:val="17"/>
        </w:rPr>
      </w:pPr>
      <w:r>
        <w:rPr>
          <w:rFonts w:ascii="Calibri"/>
          <w:color w:val="231F20"/>
          <w:position w:val="6"/>
          <w:sz w:val="10"/>
        </w:rPr>
        <w:t>57 </w:t>
      </w:r>
      <w:r>
        <w:rPr>
          <w:rFonts w:ascii="Calibri"/>
          <w:color w:val="231F20"/>
          <w:sz w:val="17"/>
        </w:rPr>
        <w:t>Q. Skinner, </w:t>
      </w:r>
      <w:r>
        <w:rPr>
          <w:rFonts w:ascii="Calibri"/>
          <w:i/>
          <w:color w:val="231F20"/>
          <w:sz w:val="17"/>
        </w:rPr>
        <w:t>Visions of Politics. Volumen 2: Renaissance Virtues</w:t>
      </w:r>
      <w:r>
        <w:rPr>
          <w:rFonts w:ascii="Calibri"/>
          <w:color w:val="231F20"/>
          <w:sz w:val="17"/>
        </w:rPr>
        <w:t>, Cambridge, Cambridge University Press, 2002, p. 410.</w:t>
      </w:r>
    </w:p>
    <w:p>
      <w:pPr>
        <w:spacing w:line="206" w:lineRule="exact" w:before="1"/>
        <w:ind w:left="103" w:right="0" w:firstLine="0"/>
        <w:jc w:val="both"/>
        <w:rPr>
          <w:rFonts w:ascii="Calibri" w:hAnsi="Calibri"/>
          <w:sz w:val="17"/>
        </w:rPr>
      </w:pPr>
      <w:r>
        <w:rPr>
          <w:rFonts w:ascii="Calibri" w:hAnsi="Calibri"/>
          <w:color w:val="231F20"/>
          <w:position w:val="6"/>
          <w:sz w:val="10"/>
        </w:rPr>
        <w:t>58    </w:t>
      </w:r>
      <w:r>
        <w:rPr>
          <w:rFonts w:ascii="Calibri" w:hAnsi="Calibri"/>
          <w:color w:val="231F20"/>
          <w:sz w:val="17"/>
        </w:rPr>
        <w:t>Skinner dice: “[…] the union itself remains the seat of sovereignty” (Skinner, p.   410).</w:t>
      </w:r>
    </w:p>
    <w:p>
      <w:pPr>
        <w:spacing w:line="235" w:lineRule="auto" w:before="1"/>
        <w:ind w:left="103" w:right="115" w:firstLine="0"/>
        <w:jc w:val="both"/>
        <w:rPr>
          <w:rFonts w:ascii="Calibri" w:hAnsi="Calibri"/>
          <w:sz w:val="17"/>
        </w:rPr>
      </w:pPr>
      <w:r>
        <w:rPr>
          <w:rFonts w:ascii="Calibri" w:hAnsi="Calibri"/>
          <w:color w:val="231F20"/>
          <w:w w:val="105"/>
          <w:position w:val="6"/>
          <w:sz w:val="10"/>
        </w:rPr>
        <w:t>59</w:t>
      </w:r>
      <w:r>
        <w:rPr>
          <w:rFonts w:ascii="Calibri" w:hAnsi="Calibri"/>
          <w:color w:val="231F20"/>
          <w:spacing w:val="3"/>
          <w:w w:val="105"/>
          <w:position w:val="6"/>
          <w:sz w:val="10"/>
        </w:rPr>
        <w:t> </w:t>
      </w:r>
      <w:r>
        <w:rPr>
          <w:rFonts w:ascii="Calibri" w:hAnsi="Calibri"/>
          <w:color w:val="231F20"/>
          <w:spacing w:val="-3"/>
          <w:w w:val="105"/>
          <w:sz w:val="17"/>
        </w:rPr>
        <w:t>L’espressione</w:t>
      </w:r>
      <w:r>
        <w:rPr>
          <w:rFonts w:ascii="Calibri" w:hAnsi="Calibri"/>
          <w:color w:val="231F20"/>
          <w:spacing w:val="-14"/>
          <w:w w:val="105"/>
          <w:sz w:val="17"/>
        </w:rPr>
        <w:t> </w:t>
      </w:r>
      <w:r>
        <w:rPr>
          <w:rFonts w:ascii="Calibri" w:hAnsi="Calibri"/>
          <w:color w:val="231F20"/>
          <w:w w:val="105"/>
          <w:sz w:val="17"/>
        </w:rPr>
        <w:t>più</w:t>
      </w:r>
      <w:r>
        <w:rPr>
          <w:rFonts w:ascii="Calibri" w:hAnsi="Calibri"/>
          <w:color w:val="231F20"/>
          <w:spacing w:val="-14"/>
          <w:w w:val="105"/>
          <w:sz w:val="17"/>
        </w:rPr>
        <w:t> </w:t>
      </w:r>
      <w:r>
        <w:rPr>
          <w:rFonts w:ascii="Calibri" w:hAnsi="Calibri"/>
          <w:color w:val="231F20"/>
          <w:w w:val="105"/>
          <w:sz w:val="17"/>
        </w:rPr>
        <w:t>corrosiva</w:t>
      </w:r>
      <w:r>
        <w:rPr>
          <w:rFonts w:ascii="Calibri" w:hAnsi="Calibri"/>
          <w:color w:val="231F20"/>
          <w:spacing w:val="-14"/>
          <w:w w:val="105"/>
          <w:sz w:val="17"/>
        </w:rPr>
        <w:t> </w:t>
      </w:r>
      <w:r>
        <w:rPr>
          <w:rFonts w:ascii="Calibri" w:hAnsi="Calibri"/>
          <w:color w:val="231F20"/>
          <w:w w:val="105"/>
          <w:sz w:val="17"/>
        </w:rPr>
        <w:t>di</w:t>
      </w:r>
      <w:r>
        <w:rPr>
          <w:rFonts w:ascii="Calibri" w:hAnsi="Calibri"/>
          <w:color w:val="231F20"/>
          <w:spacing w:val="-14"/>
          <w:w w:val="105"/>
          <w:sz w:val="17"/>
        </w:rPr>
        <w:t> </w:t>
      </w:r>
      <w:r>
        <w:rPr>
          <w:rFonts w:ascii="Calibri" w:hAnsi="Calibri"/>
          <w:color w:val="231F20"/>
          <w:w w:val="105"/>
          <w:sz w:val="17"/>
        </w:rPr>
        <w:t>questa</w:t>
      </w:r>
      <w:r>
        <w:rPr>
          <w:rFonts w:ascii="Calibri" w:hAnsi="Calibri"/>
          <w:color w:val="231F20"/>
          <w:spacing w:val="-14"/>
          <w:w w:val="105"/>
          <w:sz w:val="17"/>
        </w:rPr>
        <w:t> </w:t>
      </w:r>
      <w:r>
        <w:rPr>
          <w:rFonts w:ascii="Calibri" w:hAnsi="Calibri"/>
          <w:color w:val="231F20"/>
          <w:w w:val="105"/>
          <w:sz w:val="17"/>
        </w:rPr>
        <w:t>sovranizzazione</w:t>
      </w:r>
      <w:r>
        <w:rPr>
          <w:rFonts w:ascii="Calibri" w:hAnsi="Calibri"/>
          <w:color w:val="231F20"/>
          <w:spacing w:val="-14"/>
          <w:w w:val="105"/>
          <w:sz w:val="17"/>
        </w:rPr>
        <w:t> </w:t>
      </w:r>
      <w:r>
        <w:rPr>
          <w:rFonts w:ascii="Calibri" w:hAnsi="Calibri"/>
          <w:color w:val="231F20"/>
          <w:w w:val="105"/>
          <w:sz w:val="17"/>
        </w:rPr>
        <w:t>criminale</w:t>
      </w:r>
      <w:r>
        <w:rPr>
          <w:rFonts w:ascii="Calibri" w:hAnsi="Calibri"/>
          <w:color w:val="231F20"/>
          <w:spacing w:val="-14"/>
          <w:w w:val="105"/>
          <w:sz w:val="17"/>
        </w:rPr>
        <w:t> </w:t>
      </w:r>
      <w:r>
        <w:rPr>
          <w:rFonts w:ascii="Calibri" w:hAnsi="Calibri"/>
          <w:color w:val="231F20"/>
          <w:w w:val="105"/>
          <w:sz w:val="17"/>
        </w:rPr>
        <w:t>è</w:t>
      </w:r>
      <w:r>
        <w:rPr>
          <w:rFonts w:ascii="Calibri" w:hAnsi="Calibri"/>
          <w:color w:val="231F20"/>
          <w:spacing w:val="-14"/>
          <w:w w:val="105"/>
          <w:sz w:val="17"/>
        </w:rPr>
        <w:t> </w:t>
      </w:r>
      <w:r>
        <w:rPr>
          <w:rFonts w:ascii="Calibri" w:hAnsi="Calibri"/>
          <w:color w:val="231F20"/>
          <w:w w:val="105"/>
          <w:sz w:val="17"/>
        </w:rPr>
        <w:t>la</w:t>
      </w:r>
      <w:r>
        <w:rPr>
          <w:rFonts w:ascii="Calibri" w:hAnsi="Calibri"/>
          <w:color w:val="231F20"/>
          <w:spacing w:val="-14"/>
          <w:w w:val="105"/>
          <w:sz w:val="17"/>
        </w:rPr>
        <w:t> </w:t>
      </w:r>
      <w:r>
        <w:rPr>
          <w:rFonts w:ascii="Calibri" w:hAnsi="Calibri"/>
          <w:color w:val="231F20"/>
          <w:w w:val="105"/>
          <w:sz w:val="17"/>
        </w:rPr>
        <w:t>sparizione</w:t>
      </w:r>
      <w:r>
        <w:rPr>
          <w:rFonts w:ascii="Calibri" w:hAnsi="Calibri"/>
          <w:color w:val="231F20"/>
          <w:spacing w:val="-14"/>
          <w:w w:val="105"/>
          <w:sz w:val="17"/>
        </w:rPr>
        <w:t> </w:t>
      </w:r>
      <w:r>
        <w:rPr>
          <w:rFonts w:ascii="Calibri" w:hAnsi="Calibri"/>
          <w:color w:val="231F20"/>
          <w:w w:val="105"/>
          <w:sz w:val="17"/>
        </w:rPr>
        <w:t>il</w:t>
      </w:r>
      <w:r>
        <w:rPr>
          <w:rFonts w:ascii="Calibri" w:hAnsi="Calibri"/>
          <w:color w:val="231F20"/>
          <w:spacing w:val="-14"/>
          <w:w w:val="105"/>
          <w:sz w:val="17"/>
        </w:rPr>
        <w:t> </w:t>
      </w:r>
      <w:r>
        <w:rPr>
          <w:rFonts w:ascii="Calibri" w:hAnsi="Calibri"/>
          <w:color w:val="231F20"/>
          <w:w w:val="105"/>
          <w:sz w:val="17"/>
        </w:rPr>
        <w:t>26</w:t>
      </w:r>
      <w:r>
        <w:rPr>
          <w:rFonts w:ascii="Calibri" w:hAnsi="Calibri"/>
          <w:color w:val="231F20"/>
          <w:spacing w:val="-14"/>
          <w:w w:val="105"/>
          <w:sz w:val="17"/>
        </w:rPr>
        <w:t> </w:t>
      </w:r>
      <w:r>
        <w:rPr>
          <w:rFonts w:ascii="Calibri" w:hAnsi="Calibri"/>
          <w:color w:val="231F20"/>
          <w:w w:val="105"/>
          <w:sz w:val="17"/>
        </w:rPr>
        <w:t>de</w:t>
      </w:r>
      <w:r>
        <w:rPr>
          <w:rFonts w:ascii="Calibri" w:hAnsi="Calibri"/>
          <w:color w:val="231F20"/>
          <w:spacing w:val="-14"/>
          <w:w w:val="105"/>
          <w:sz w:val="17"/>
        </w:rPr>
        <w:t> </w:t>
      </w:r>
      <w:r>
        <w:rPr>
          <w:rFonts w:ascii="Calibri" w:hAnsi="Calibri"/>
          <w:color w:val="231F20"/>
          <w:w w:val="105"/>
          <w:sz w:val="17"/>
        </w:rPr>
        <w:t>settembre di 2014 di 43 studenti “normalistas” (di una scuola rurale) della località di Ayotzinapa, regione Iguala,</w:t>
      </w:r>
      <w:r>
        <w:rPr>
          <w:rFonts w:ascii="Calibri" w:hAnsi="Calibri"/>
          <w:color w:val="231F20"/>
          <w:spacing w:val="-20"/>
          <w:w w:val="105"/>
          <w:sz w:val="17"/>
        </w:rPr>
        <w:t> </w:t>
      </w:r>
      <w:r>
        <w:rPr>
          <w:rFonts w:ascii="Calibri" w:hAnsi="Calibri"/>
          <w:color w:val="231F20"/>
          <w:w w:val="105"/>
          <w:sz w:val="17"/>
        </w:rPr>
        <w:t>che</w:t>
      </w:r>
      <w:r>
        <w:rPr>
          <w:rFonts w:ascii="Calibri" w:hAnsi="Calibri"/>
          <w:color w:val="231F20"/>
          <w:spacing w:val="-20"/>
          <w:w w:val="105"/>
          <w:sz w:val="17"/>
        </w:rPr>
        <w:t> </w:t>
      </w:r>
      <w:r>
        <w:rPr>
          <w:rFonts w:ascii="Calibri" w:hAnsi="Calibri"/>
          <w:color w:val="231F20"/>
          <w:w w:val="105"/>
          <w:sz w:val="17"/>
        </w:rPr>
        <w:t>appartiene</w:t>
      </w:r>
      <w:r>
        <w:rPr>
          <w:rFonts w:ascii="Calibri" w:hAnsi="Calibri"/>
          <w:color w:val="231F20"/>
          <w:spacing w:val="-20"/>
          <w:w w:val="105"/>
          <w:sz w:val="17"/>
        </w:rPr>
        <w:t> </w:t>
      </w:r>
      <w:r>
        <w:rPr>
          <w:rFonts w:ascii="Calibri" w:hAnsi="Calibri"/>
          <w:color w:val="231F20"/>
          <w:w w:val="105"/>
          <w:sz w:val="17"/>
        </w:rPr>
        <w:t>allo</w:t>
      </w:r>
      <w:r>
        <w:rPr>
          <w:rFonts w:ascii="Calibri" w:hAnsi="Calibri"/>
          <w:color w:val="231F20"/>
          <w:spacing w:val="-20"/>
          <w:w w:val="105"/>
          <w:sz w:val="17"/>
        </w:rPr>
        <w:t> </w:t>
      </w:r>
      <w:r>
        <w:rPr>
          <w:rFonts w:ascii="Calibri" w:hAnsi="Calibri"/>
          <w:color w:val="231F20"/>
          <w:w w:val="105"/>
          <w:sz w:val="17"/>
        </w:rPr>
        <w:t>stato</w:t>
      </w:r>
      <w:r>
        <w:rPr>
          <w:rFonts w:ascii="Calibri" w:hAnsi="Calibri"/>
          <w:color w:val="231F20"/>
          <w:spacing w:val="-20"/>
          <w:w w:val="105"/>
          <w:sz w:val="17"/>
        </w:rPr>
        <w:t> </w:t>
      </w:r>
      <w:r>
        <w:rPr>
          <w:rFonts w:ascii="Calibri" w:hAnsi="Calibri"/>
          <w:color w:val="231F20"/>
          <w:w w:val="105"/>
          <w:sz w:val="17"/>
        </w:rPr>
        <w:t>di</w:t>
      </w:r>
      <w:r>
        <w:rPr>
          <w:rFonts w:ascii="Calibri" w:hAnsi="Calibri"/>
          <w:color w:val="231F20"/>
          <w:spacing w:val="-20"/>
          <w:w w:val="105"/>
          <w:sz w:val="17"/>
        </w:rPr>
        <w:t> </w:t>
      </w:r>
      <w:r>
        <w:rPr>
          <w:rFonts w:ascii="Calibri" w:hAnsi="Calibri"/>
          <w:color w:val="231F20"/>
          <w:w w:val="105"/>
          <w:sz w:val="17"/>
        </w:rPr>
        <w:t>Guerrero,</w:t>
      </w:r>
      <w:r>
        <w:rPr>
          <w:rFonts w:ascii="Calibri" w:hAnsi="Calibri"/>
          <w:color w:val="231F20"/>
          <w:spacing w:val="-20"/>
          <w:w w:val="105"/>
          <w:sz w:val="17"/>
        </w:rPr>
        <w:t> </w:t>
      </w:r>
      <w:r>
        <w:rPr>
          <w:rFonts w:ascii="Calibri" w:hAnsi="Calibri"/>
          <w:color w:val="231F20"/>
          <w:w w:val="105"/>
          <w:sz w:val="17"/>
        </w:rPr>
        <w:t>nella</w:t>
      </w:r>
      <w:r>
        <w:rPr>
          <w:rFonts w:ascii="Calibri" w:hAnsi="Calibri"/>
          <w:color w:val="231F20"/>
          <w:spacing w:val="-20"/>
          <w:w w:val="105"/>
          <w:sz w:val="17"/>
        </w:rPr>
        <w:t> </w:t>
      </w:r>
      <w:r>
        <w:rPr>
          <w:rFonts w:ascii="Calibri" w:hAnsi="Calibri"/>
          <w:color w:val="231F20"/>
          <w:w w:val="105"/>
          <w:sz w:val="17"/>
        </w:rPr>
        <w:t>quale</w:t>
      </w:r>
      <w:r>
        <w:rPr>
          <w:rFonts w:ascii="Calibri" w:hAnsi="Calibri"/>
          <w:color w:val="231F20"/>
          <w:spacing w:val="-20"/>
          <w:w w:val="105"/>
          <w:sz w:val="17"/>
        </w:rPr>
        <w:t> </w:t>
      </w:r>
      <w:r>
        <w:rPr>
          <w:rFonts w:ascii="Calibri" w:hAnsi="Calibri"/>
          <w:color w:val="231F20"/>
          <w:w w:val="105"/>
          <w:sz w:val="17"/>
        </w:rPr>
        <w:t>sono</w:t>
      </w:r>
      <w:r>
        <w:rPr>
          <w:rFonts w:ascii="Calibri" w:hAnsi="Calibri"/>
          <w:color w:val="231F20"/>
          <w:spacing w:val="-20"/>
          <w:w w:val="105"/>
          <w:sz w:val="17"/>
        </w:rPr>
        <w:t> </w:t>
      </w:r>
      <w:r>
        <w:rPr>
          <w:rFonts w:ascii="Calibri" w:hAnsi="Calibri"/>
          <w:color w:val="231F20"/>
          <w:w w:val="105"/>
          <w:sz w:val="17"/>
        </w:rPr>
        <w:t>stati</w:t>
      </w:r>
      <w:r>
        <w:rPr>
          <w:rFonts w:ascii="Calibri" w:hAnsi="Calibri"/>
          <w:color w:val="231F20"/>
          <w:spacing w:val="-20"/>
          <w:w w:val="105"/>
          <w:sz w:val="17"/>
        </w:rPr>
        <w:t> </w:t>
      </w:r>
      <w:r>
        <w:rPr>
          <w:rFonts w:ascii="Calibri" w:hAnsi="Calibri"/>
          <w:color w:val="231F20"/>
          <w:w w:val="105"/>
          <w:sz w:val="17"/>
        </w:rPr>
        <w:t>coinvolti</w:t>
      </w:r>
      <w:r>
        <w:rPr>
          <w:rFonts w:ascii="Calibri" w:hAnsi="Calibri"/>
          <w:color w:val="231F20"/>
          <w:spacing w:val="-20"/>
          <w:w w:val="105"/>
          <w:sz w:val="17"/>
        </w:rPr>
        <w:t> </w:t>
      </w:r>
      <w:r>
        <w:rPr>
          <w:rFonts w:ascii="Calibri" w:hAnsi="Calibri"/>
          <w:color w:val="231F20"/>
          <w:w w:val="105"/>
          <w:sz w:val="17"/>
        </w:rPr>
        <w:t>diversi</w:t>
      </w:r>
      <w:r>
        <w:rPr>
          <w:rFonts w:ascii="Calibri" w:hAnsi="Calibri"/>
          <w:color w:val="231F20"/>
          <w:spacing w:val="-20"/>
          <w:w w:val="105"/>
          <w:sz w:val="17"/>
        </w:rPr>
        <w:t> </w:t>
      </w:r>
      <w:r>
        <w:rPr>
          <w:rFonts w:ascii="Calibri" w:hAnsi="Calibri"/>
          <w:color w:val="231F20"/>
          <w:w w:val="105"/>
          <w:sz w:val="17"/>
        </w:rPr>
        <w:t>gruppi</w:t>
      </w:r>
      <w:r>
        <w:rPr>
          <w:rFonts w:ascii="Calibri" w:hAnsi="Calibri"/>
          <w:color w:val="231F20"/>
          <w:spacing w:val="-20"/>
          <w:w w:val="105"/>
          <w:sz w:val="17"/>
        </w:rPr>
        <w:t> </w:t>
      </w:r>
      <w:r>
        <w:rPr>
          <w:rFonts w:ascii="Calibri" w:hAnsi="Calibri"/>
          <w:color w:val="231F20"/>
          <w:w w:val="105"/>
          <w:sz w:val="17"/>
        </w:rPr>
        <w:t>criminali col sostegno del sindaco ed altre autorità pubbliche, così come la polizia municipale e l’Esercito nazionale.</w:t>
      </w:r>
      <w:r>
        <w:rPr>
          <w:rFonts w:ascii="Calibri" w:hAnsi="Calibri"/>
          <w:color w:val="231F20"/>
          <w:spacing w:val="-18"/>
          <w:w w:val="105"/>
          <w:sz w:val="17"/>
        </w:rPr>
        <w:t> </w:t>
      </w:r>
      <w:r>
        <w:rPr>
          <w:rFonts w:ascii="Calibri" w:hAnsi="Calibri"/>
          <w:color w:val="231F20"/>
          <w:w w:val="105"/>
          <w:sz w:val="17"/>
        </w:rPr>
        <w:t>Per</w:t>
      </w:r>
      <w:r>
        <w:rPr>
          <w:rFonts w:ascii="Calibri" w:hAnsi="Calibri"/>
          <w:color w:val="231F20"/>
          <w:spacing w:val="-18"/>
          <w:w w:val="105"/>
          <w:sz w:val="17"/>
        </w:rPr>
        <w:t> </w:t>
      </w:r>
      <w:r>
        <w:rPr>
          <w:rFonts w:ascii="Calibri" w:hAnsi="Calibri"/>
          <w:color w:val="231F20"/>
          <w:w w:val="105"/>
          <w:sz w:val="17"/>
        </w:rPr>
        <w:t>più</w:t>
      </w:r>
      <w:r>
        <w:rPr>
          <w:rFonts w:ascii="Calibri" w:hAnsi="Calibri"/>
          <w:color w:val="231F20"/>
          <w:spacing w:val="-18"/>
          <w:w w:val="105"/>
          <w:sz w:val="17"/>
        </w:rPr>
        <w:t> </w:t>
      </w:r>
      <w:r>
        <w:rPr>
          <w:rFonts w:ascii="Calibri" w:hAnsi="Calibri"/>
          <w:color w:val="231F20"/>
          <w:w w:val="105"/>
          <w:sz w:val="17"/>
        </w:rPr>
        <w:t>dettagli,</w:t>
      </w:r>
      <w:r>
        <w:rPr>
          <w:rFonts w:ascii="Calibri" w:hAnsi="Calibri"/>
          <w:color w:val="231F20"/>
          <w:spacing w:val="-18"/>
          <w:w w:val="105"/>
          <w:sz w:val="17"/>
        </w:rPr>
        <w:t> </w:t>
      </w:r>
      <w:r>
        <w:rPr>
          <w:rFonts w:ascii="Calibri" w:hAnsi="Calibri"/>
          <w:color w:val="231F20"/>
          <w:w w:val="105"/>
          <w:sz w:val="17"/>
        </w:rPr>
        <w:t>si</w:t>
      </w:r>
      <w:r>
        <w:rPr>
          <w:rFonts w:ascii="Calibri" w:hAnsi="Calibri"/>
          <w:color w:val="231F20"/>
          <w:spacing w:val="-20"/>
          <w:w w:val="105"/>
          <w:sz w:val="17"/>
        </w:rPr>
        <w:t> </w:t>
      </w:r>
      <w:r>
        <w:rPr>
          <w:rFonts w:ascii="Calibri" w:hAnsi="Calibri"/>
          <w:color w:val="231F20"/>
          <w:w w:val="105"/>
          <w:sz w:val="17"/>
        </w:rPr>
        <w:t>veda</w:t>
      </w:r>
      <w:r>
        <w:rPr>
          <w:rFonts w:ascii="Calibri" w:hAnsi="Calibri"/>
          <w:color w:val="231F20"/>
          <w:spacing w:val="-18"/>
          <w:w w:val="105"/>
          <w:sz w:val="17"/>
        </w:rPr>
        <w:t> </w:t>
      </w:r>
      <w:r>
        <w:rPr>
          <w:rFonts w:ascii="Calibri" w:hAnsi="Calibri"/>
          <w:color w:val="231F20"/>
          <w:w w:val="105"/>
          <w:sz w:val="17"/>
        </w:rPr>
        <w:t>S.</w:t>
      </w:r>
      <w:r>
        <w:rPr>
          <w:rFonts w:ascii="Calibri" w:hAnsi="Calibri"/>
          <w:color w:val="231F20"/>
          <w:spacing w:val="-18"/>
          <w:w w:val="105"/>
          <w:sz w:val="17"/>
        </w:rPr>
        <w:t> </w:t>
      </w:r>
      <w:r>
        <w:rPr>
          <w:rFonts w:ascii="Calibri" w:hAnsi="Calibri"/>
          <w:color w:val="231F20"/>
          <w:w w:val="105"/>
          <w:sz w:val="17"/>
        </w:rPr>
        <w:t>González</w:t>
      </w:r>
      <w:r>
        <w:rPr>
          <w:rFonts w:ascii="Calibri" w:hAnsi="Calibri"/>
          <w:color w:val="231F20"/>
          <w:spacing w:val="-18"/>
          <w:w w:val="105"/>
          <w:sz w:val="17"/>
        </w:rPr>
        <w:t> </w:t>
      </w:r>
      <w:r>
        <w:rPr>
          <w:rFonts w:ascii="Calibri" w:hAnsi="Calibri"/>
          <w:color w:val="231F20"/>
          <w:w w:val="105"/>
          <w:sz w:val="17"/>
        </w:rPr>
        <w:t>Rodríguez,</w:t>
      </w:r>
      <w:r>
        <w:rPr>
          <w:rFonts w:ascii="Calibri" w:hAnsi="Calibri"/>
          <w:color w:val="231F20"/>
          <w:spacing w:val="-18"/>
          <w:w w:val="105"/>
          <w:sz w:val="17"/>
        </w:rPr>
        <w:t> </w:t>
      </w:r>
      <w:r>
        <w:rPr>
          <w:rFonts w:ascii="Calibri" w:hAnsi="Calibri"/>
          <w:i/>
          <w:color w:val="231F20"/>
          <w:w w:val="105"/>
          <w:sz w:val="17"/>
        </w:rPr>
        <w:t>Los</w:t>
      </w:r>
      <w:r>
        <w:rPr>
          <w:rFonts w:ascii="Calibri" w:hAnsi="Calibri"/>
          <w:i/>
          <w:color w:val="231F20"/>
          <w:spacing w:val="-19"/>
          <w:w w:val="105"/>
          <w:sz w:val="17"/>
        </w:rPr>
        <w:t> </w:t>
      </w:r>
      <w:r>
        <w:rPr>
          <w:rFonts w:ascii="Calibri" w:hAnsi="Calibri"/>
          <w:i/>
          <w:color w:val="231F20"/>
          <w:w w:val="105"/>
          <w:sz w:val="17"/>
        </w:rPr>
        <w:t>43</w:t>
      </w:r>
      <w:r>
        <w:rPr>
          <w:rFonts w:ascii="Calibri" w:hAnsi="Calibri"/>
          <w:i/>
          <w:color w:val="231F20"/>
          <w:spacing w:val="-19"/>
          <w:w w:val="105"/>
          <w:sz w:val="17"/>
        </w:rPr>
        <w:t> </w:t>
      </w:r>
      <w:r>
        <w:rPr>
          <w:rFonts w:ascii="Calibri" w:hAnsi="Calibri"/>
          <w:i/>
          <w:color w:val="231F20"/>
          <w:w w:val="105"/>
          <w:sz w:val="17"/>
        </w:rPr>
        <w:t>de</w:t>
      </w:r>
      <w:r>
        <w:rPr>
          <w:rFonts w:ascii="Calibri" w:hAnsi="Calibri"/>
          <w:i/>
          <w:color w:val="231F20"/>
          <w:spacing w:val="-19"/>
          <w:w w:val="105"/>
          <w:sz w:val="17"/>
        </w:rPr>
        <w:t> </w:t>
      </w:r>
      <w:r>
        <w:rPr>
          <w:rFonts w:ascii="Calibri" w:hAnsi="Calibri"/>
          <w:i/>
          <w:color w:val="231F20"/>
          <w:w w:val="105"/>
          <w:sz w:val="17"/>
        </w:rPr>
        <w:t>Iguala.</w:t>
      </w:r>
      <w:r>
        <w:rPr>
          <w:rFonts w:ascii="Calibri" w:hAnsi="Calibri"/>
          <w:i/>
          <w:color w:val="231F20"/>
          <w:spacing w:val="-19"/>
          <w:w w:val="105"/>
          <w:sz w:val="17"/>
        </w:rPr>
        <w:t> </w:t>
      </w:r>
      <w:r>
        <w:rPr>
          <w:rFonts w:ascii="Calibri" w:hAnsi="Calibri"/>
          <w:i/>
          <w:color w:val="231F20"/>
          <w:w w:val="105"/>
          <w:sz w:val="17"/>
        </w:rPr>
        <w:t>México:</w:t>
      </w:r>
      <w:r>
        <w:rPr>
          <w:rFonts w:ascii="Calibri" w:hAnsi="Calibri"/>
          <w:i/>
          <w:color w:val="231F20"/>
          <w:spacing w:val="-21"/>
          <w:w w:val="105"/>
          <w:sz w:val="17"/>
        </w:rPr>
        <w:t> </w:t>
      </w:r>
      <w:r>
        <w:rPr>
          <w:rFonts w:ascii="Calibri" w:hAnsi="Calibri"/>
          <w:i/>
          <w:color w:val="231F20"/>
          <w:w w:val="105"/>
          <w:sz w:val="17"/>
        </w:rPr>
        <w:t>verdad</w:t>
      </w:r>
      <w:r>
        <w:rPr>
          <w:rFonts w:ascii="Calibri" w:hAnsi="Calibri"/>
          <w:i/>
          <w:color w:val="231F20"/>
          <w:spacing w:val="-20"/>
          <w:w w:val="105"/>
          <w:sz w:val="17"/>
        </w:rPr>
        <w:t> </w:t>
      </w:r>
      <w:r>
        <w:rPr>
          <w:rFonts w:ascii="Calibri" w:hAnsi="Calibri"/>
          <w:i/>
          <w:color w:val="231F20"/>
          <w:w w:val="105"/>
          <w:sz w:val="17"/>
        </w:rPr>
        <w:t>y</w:t>
      </w:r>
      <w:r>
        <w:rPr>
          <w:rFonts w:ascii="Calibri" w:hAnsi="Calibri"/>
          <w:i/>
          <w:color w:val="231F20"/>
          <w:spacing w:val="-19"/>
          <w:w w:val="105"/>
          <w:sz w:val="17"/>
        </w:rPr>
        <w:t> </w:t>
      </w:r>
      <w:r>
        <w:rPr>
          <w:rFonts w:ascii="Calibri" w:hAnsi="Calibri"/>
          <w:i/>
          <w:color w:val="231F20"/>
          <w:w w:val="105"/>
          <w:sz w:val="17"/>
        </w:rPr>
        <w:t>reto</w:t>
      </w:r>
      <w:r>
        <w:rPr>
          <w:rFonts w:ascii="Calibri" w:hAnsi="Calibri"/>
          <w:i/>
          <w:color w:val="231F20"/>
          <w:spacing w:val="-19"/>
          <w:w w:val="105"/>
          <w:sz w:val="17"/>
        </w:rPr>
        <w:t> </w:t>
      </w:r>
      <w:r>
        <w:rPr>
          <w:rFonts w:ascii="Calibri" w:hAnsi="Calibri"/>
          <w:i/>
          <w:color w:val="231F20"/>
          <w:w w:val="105"/>
          <w:sz w:val="17"/>
        </w:rPr>
        <w:t>de </w:t>
      </w:r>
      <w:r>
        <w:rPr>
          <w:rFonts w:ascii="Calibri" w:hAnsi="Calibri"/>
          <w:i/>
          <w:color w:val="231F20"/>
          <w:sz w:val="17"/>
        </w:rPr>
        <w:t>los estudiantes desaparecidos</w:t>
      </w:r>
      <w:r>
        <w:rPr>
          <w:rFonts w:ascii="Calibri" w:hAnsi="Calibri"/>
          <w:color w:val="231F20"/>
          <w:sz w:val="17"/>
        </w:rPr>
        <w:t>, México, Anagrama,</w:t>
      </w:r>
      <w:r>
        <w:rPr>
          <w:rFonts w:ascii="Calibri" w:hAnsi="Calibri"/>
          <w:color w:val="231F20"/>
          <w:spacing w:val="-23"/>
          <w:sz w:val="17"/>
        </w:rPr>
        <w:t> </w:t>
      </w:r>
      <w:r>
        <w:rPr>
          <w:rFonts w:ascii="Calibri" w:hAnsi="Calibri"/>
          <w:color w:val="231F20"/>
          <w:sz w:val="17"/>
        </w:rPr>
        <w:t>2015.</w:t>
      </w:r>
    </w:p>
    <w:p>
      <w:pPr>
        <w:pStyle w:val="BodyText"/>
        <w:rPr>
          <w:rFonts w:ascii="Calibri"/>
          <w:sz w:val="20"/>
        </w:rPr>
      </w:pPr>
    </w:p>
    <w:p>
      <w:pPr>
        <w:pStyle w:val="BodyText"/>
        <w:spacing w:before="10"/>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1392"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126</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0" w:right="0" w:firstLine="0"/>
        <w:jc w:val="right"/>
        <w:rPr>
          <w:rFonts w:ascii="Lucida Sans Unicode" w:hAnsi="Lucida Sans Unicode"/>
          <w:sz w:val="14"/>
        </w:rPr>
      </w:pPr>
      <w:r>
        <w:rPr/>
        <w:pict>
          <v:group style="position:absolute;margin-left:383.821014pt;margin-top:-25.479271pt;width:8.65pt;height:41pt;mso-position-horizontal-relative:page;mso-position-vertical-relative:paragraph;z-index:1405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“L’ESTERNO È SEMPRE DENTRO”. TENSIONI E TRASFORMAZIONI RECENTI NELLO SPAZIO POLITICO</w:t>
      </w:r>
    </w:p>
    <w:p>
      <w:pPr>
        <w:spacing w:line="198" w:lineRule="exact" w:before="0"/>
        <w:ind w:left="0" w:right="0" w:firstLine="0"/>
        <w:jc w:val="right"/>
        <w:rPr>
          <w:rFonts w:ascii="Lucida Sans Unicode"/>
          <w:sz w:val="14"/>
        </w:rPr>
      </w:pPr>
      <w:r>
        <w:rPr>
          <w:rFonts w:ascii="Lucida Sans Unicode"/>
          <w:color w:val="6D6E71"/>
          <w:w w:val="90"/>
          <w:sz w:val="14"/>
        </w:rPr>
        <w:t>DELLO STATO E LA DEMOCRAZIA</w:t>
      </w:r>
    </w:p>
    <w:p>
      <w:pPr>
        <w:spacing w:before="59"/>
        <w:ind w:left="338" w:right="0" w:firstLine="0"/>
        <w:jc w:val="left"/>
        <w:rPr>
          <w:rFonts w:ascii="Trebuchet MS"/>
          <w:sz w:val="20"/>
        </w:rPr>
      </w:pPr>
      <w:r>
        <w:rPr/>
        <w:br w:type="column"/>
      </w:r>
      <w:r>
        <w:rPr>
          <w:rFonts w:ascii="Trebuchet MS"/>
          <w:color w:val="414042"/>
          <w:w w:val="105"/>
          <w:sz w:val="20"/>
        </w:rPr>
        <w:t>127</w:t>
      </w:r>
    </w:p>
    <w:p>
      <w:pPr>
        <w:spacing w:after="0"/>
        <w:jc w:val="left"/>
        <w:rPr>
          <w:rFonts w:ascii="Trebuchet MS"/>
          <w:sz w:val="20"/>
        </w:rPr>
        <w:sectPr>
          <w:type w:val="continuous"/>
          <w:pgSz w:w="9640" w:h="13890"/>
          <w:pgMar w:top="0" w:bottom="0" w:left="1300" w:right="1200"/>
          <w:cols w:num="2" w:equalWidth="0">
            <w:col w:w="6261" w:space="40"/>
            <w:col w:w="839"/>
          </w:cols>
        </w:sectPr>
      </w:pPr>
    </w:p>
    <w:p>
      <w:pPr>
        <w:pStyle w:val="BodyText"/>
        <w:rPr>
          <w:rFonts w:ascii="Trebuchet MS"/>
          <w:sz w:val="20"/>
        </w:rPr>
      </w:pPr>
    </w:p>
    <w:p>
      <w:pPr>
        <w:pStyle w:val="BodyText"/>
        <w:spacing w:before="2"/>
        <w:rPr>
          <w:rFonts w:ascii="Trebuchet MS"/>
          <w:sz w:val="16"/>
        </w:rPr>
      </w:pPr>
    </w:p>
    <w:p>
      <w:pPr>
        <w:pStyle w:val="BodyText"/>
        <w:spacing w:line="247" w:lineRule="auto" w:before="44"/>
        <w:ind w:left="117" w:right="98"/>
        <w:jc w:val="both"/>
      </w:pPr>
      <w:r>
        <w:rPr>
          <w:color w:val="231F20"/>
          <w:w w:val="105"/>
        </w:rPr>
        <w:t>(“dall’alto</w:t>
      </w:r>
      <w:r>
        <w:rPr>
          <w:color w:val="231F20"/>
          <w:spacing w:val="-22"/>
          <w:w w:val="105"/>
        </w:rPr>
        <w:t> </w:t>
      </w:r>
      <w:r>
        <w:rPr>
          <w:color w:val="231F20"/>
          <w:w w:val="105"/>
        </w:rPr>
        <w:t>verso</w:t>
      </w:r>
      <w:r>
        <w:rPr>
          <w:color w:val="231F20"/>
          <w:spacing w:val="-22"/>
          <w:w w:val="105"/>
        </w:rPr>
        <w:t> </w:t>
      </w:r>
      <w:r>
        <w:rPr>
          <w:color w:val="231F20"/>
          <w:w w:val="105"/>
        </w:rPr>
        <w:t>il</w:t>
      </w:r>
      <w:r>
        <w:rPr>
          <w:color w:val="231F20"/>
          <w:spacing w:val="-22"/>
          <w:w w:val="105"/>
        </w:rPr>
        <w:t> </w:t>
      </w:r>
      <w:r>
        <w:rPr>
          <w:color w:val="231F20"/>
          <w:w w:val="105"/>
        </w:rPr>
        <w:t>basso”)</w:t>
      </w:r>
      <w:r>
        <w:rPr>
          <w:color w:val="231F20"/>
          <w:spacing w:val="-22"/>
          <w:w w:val="105"/>
        </w:rPr>
        <w:t> </w:t>
      </w:r>
      <w:r>
        <w:rPr>
          <w:color w:val="231F20"/>
          <w:w w:val="105"/>
        </w:rPr>
        <w:t>e</w:t>
      </w:r>
      <w:r>
        <w:rPr>
          <w:color w:val="231F20"/>
          <w:spacing w:val="-22"/>
          <w:w w:val="105"/>
        </w:rPr>
        <w:t> </w:t>
      </w:r>
      <w:r>
        <w:rPr>
          <w:color w:val="231F20"/>
          <w:w w:val="105"/>
        </w:rPr>
        <w:t>ha</w:t>
      </w:r>
      <w:r>
        <w:rPr>
          <w:color w:val="231F20"/>
          <w:spacing w:val="-22"/>
          <w:w w:val="105"/>
        </w:rPr>
        <w:t> </w:t>
      </w:r>
      <w:r>
        <w:rPr>
          <w:color w:val="231F20"/>
          <w:w w:val="105"/>
        </w:rPr>
        <w:t>permesso</w:t>
      </w:r>
      <w:r>
        <w:rPr>
          <w:color w:val="231F20"/>
          <w:spacing w:val="-22"/>
          <w:w w:val="105"/>
        </w:rPr>
        <w:t> </w:t>
      </w:r>
      <w:r>
        <w:rPr>
          <w:color w:val="231F20"/>
          <w:w w:val="105"/>
        </w:rPr>
        <w:t>il</w:t>
      </w:r>
      <w:r>
        <w:rPr>
          <w:color w:val="231F20"/>
          <w:spacing w:val="-22"/>
          <w:w w:val="105"/>
        </w:rPr>
        <w:t> </w:t>
      </w:r>
      <w:r>
        <w:rPr>
          <w:color w:val="231F20"/>
          <w:w w:val="105"/>
        </w:rPr>
        <w:t>passo</w:t>
      </w:r>
      <w:r>
        <w:rPr>
          <w:color w:val="231F20"/>
          <w:spacing w:val="-22"/>
          <w:w w:val="105"/>
        </w:rPr>
        <w:t> </w:t>
      </w:r>
      <w:r>
        <w:rPr>
          <w:color w:val="231F20"/>
          <w:w w:val="105"/>
        </w:rPr>
        <w:t>a</w:t>
      </w:r>
      <w:r>
        <w:rPr>
          <w:color w:val="231F20"/>
          <w:spacing w:val="-22"/>
          <w:w w:val="105"/>
        </w:rPr>
        <w:t> </w:t>
      </w:r>
      <w:r>
        <w:rPr>
          <w:color w:val="231F20"/>
          <w:w w:val="105"/>
        </w:rPr>
        <w:t>un</w:t>
      </w:r>
      <w:r>
        <w:rPr>
          <w:color w:val="231F20"/>
          <w:spacing w:val="-22"/>
          <w:w w:val="105"/>
        </w:rPr>
        <w:t> </w:t>
      </w:r>
      <w:r>
        <w:rPr>
          <w:color w:val="231F20"/>
          <w:w w:val="105"/>
        </w:rPr>
        <w:t>processo</w:t>
      </w:r>
      <w:r>
        <w:rPr>
          <w:color w:val="231F20"/>
          <w:spacing w:val="-22"/>
          <w:w w:val="105"/>
        </w:rPr>
        <w:t> </w:t>
      </w:r>
      <w:r>
        <w:rPr>
          <w:color w:val="231F20"/>
          <w:w w:val="105"/>
        </w:rPr>
        <w:t>politico</w:t>
      </w:r>
      <w:r>
        <w:rPr>
          <w:color w:val="231F20"/>
          <w:spacing w:val="-22"/>
          <w:w w:val="105"/>
        </w:rPr>
        <w:t> </w:t>
      </w:r>
      <w:r>
        <w:rPr>
          <w:color w:val="231F20"/>
          <w:w w:val="105"/>
        </w:rPr>
        <w:t>di </w:t>
      </w:r>
      <w:r>
        <w:rPr>
          <w:color w:val="231F20"/>
          <w:spacing w:val="-3"/>
          <w:w w:val="105"/>
        </w:rPr>
        <w:t>“consolidazione”</w:t>
      </w:r>
      <w:r>
        <w:rPr>
          <w:color w:val="231F20"/>
          <w:spacing w:val="-36"/>
          <w:w w:val="105"/>
        </w:rPr>
        <w:t> </w:t>
      </w:r>
      <w:r>
        <w:rPr>
          <w:color w:val="231F20"/>
          <w:spacing w:val="-3"/>
          <w:w w:val="105"/>
        </w:rPr>
        <w:t>democratica</w:t>
      </w:r>
      <w:r>
        <w:rPr>
          <w:color w:val="231F20"/>
          <w:spacing w:val="-36"/>
          <w:w w:val="105"/>
        </w:rPr>
        <w:t> </w:t>
      </w:r>
      <w:r>
        <w:rPr>
          <w:color w:val="231F20"/>
          <w:spacing w:val="-3"/>
          <w:w w:val="105"/>
        </w:rPr>
        <w:t>dove</w:t>
      </w:r>
      <w:r>
        <w:rPr>
          <w:color w:val="231F20"/>
          <w:spacing w:val="-36"/>
          <w:w w:val="105"/>
        </w:rPr>
        <w:t> </w:t>
      </w:r>
      <w:r>
        <w:rPr>
          <w:color w:val="231F20"/>
          <w:w w:val="105"/>
        </w:rPr>
        <w:t>il</w:t>
      </w:r>
      <w:r>
        <w:rPr>
          <w:color w:val="231F20"/>
          <w:spacing w:val="-36"/>
          <w:w w:val="105"/>
        </w:rPr>
        <w:t> </w:t>
      </w:r>
      <w:r>
        <w:rPr>
          <w:rFonts w:ascii="Arial" w:hAnsi="Arial"/>
          <w:i/>
          <w:color w:val="231F20"/>
          <w:spacing w:val="-3"/>
          <w:w w:val="105"/>
        </w:rPr>
        <w:t>genus</w:t>
      </w:r>
      <w:r>
        <w:rPr>
          <w:rFonts w:ascii="Arial" w:hAnsi="Arial"/>
          <w:i/>
          <w:color w:val="231F20"/>
          <w:spacing w:val="-29"/>
          <w:w w:val="105"/>
        </w:rPr>
        <w:t> </w:t>
      </w:r>
      <w:r>
        <w:rPr>
          <w:color w:val="231F20"/>
          <w:spacing w:val="-3"/>
          <w:w w:val="105"/>
        </w:rPr>
        <w:t>democratico</w:t>
      </w:r>
      <w:r>
        <w:rPr>
          <w:color w:val="231F20"/>
          <w:spacing w:val="-36"/>
          <w:w w:val="105"/>
        </w:rPr>
        <w:t> </w:t>
      </w:r>
      <w:r>
        <w:rPr>
          <w:color w:val="231F20"/>
          <w:spacing w:val="-3"/>
          <w:w w:val="105"/>
        </w:rPr>
        <w:t>deve</w:t>
      </w:r>
      <w:r>
        <w:rPr>
          <w:color w:val="231F20"/>
          <w:spacing w:val="-36"/>
          <w:w w:val="105"/>
        </w:rPr>
        <w:t> </w:t>
      </w:r>
      <w:r>
        <w:rPr>
          <w:color w:val="231F20"/>
          <w:spacing w:val="-4"/>
          <w:w w:val="105"/>
        </w:rPr>
        <w:t>lottare</w:t>
      </w:r>
      <w:r>
        <w:rPr>
          <w:color w:val="231F20"/>
          <w:spacing w:val="-36"/>
          <w:w w:val="105"/>
        </w:rPr>
        <w:t> </w:t>
      </w:r>
      <w:r>
        <w:rPr>
          <w:color w:val="231F20"/>
          <w:spacing w:val="-4"/>
          <w:w w:val="105"/>
        </w:rPr>
        <w:t>contro </w:t>
      </w:r>
      <w:r>
        <w:rPr>
          <w:color w:val="231F20"/>
          <w:w w:val="105"/>
        </w:rPr>
        <w:t>i</w:t>
      </w:r>
      <w:r>
        <w:rPr>
          <w:color w:val="231F20"/>
          <w:spacing w:val="-41"/>
          <w:w w:val="105"/>
        </w:rPr>
        <w:t> </w:t>
      </w:r>
      <w:r>
        <w:rPr>
          <w:color w:val="231F20"/>
          <w:spacing w:val="-3"/>
          <w:w w:val="105"/>
        </w:rPr>
        <w:t>“fantasmi”</w:t>
      </w:r>
      <w:r>
        <w:rPr>
          <w:color w:val="231F20"/>
          <w:spacing w:val="-41"/>
          <w:w w:val="105"/>
        </w:rPr>
        <w:t> </w:t>
      </w:r>
      <w:r>
        <w:rPr>
          <w:color w:val="231F20"/>
          <w:w w:val="105"/>
        </w:rPr>
        <w:t>e</w:t>
      </w:r>
      <w:r>
        <w:rPr>
          <w:color w:val="231F20"/>
          <w:spacing w:val="-41"/>
          <w:w w:val="105"/>
        </w:rPr>
        <w:t> </w:t>
      </w:r>
      <w:r>
        <w:rPr>
          <w:color w:val="231F20"/>
          <w:w w:val="105"/>
        </w:rPr>
        <w:t>i</w:t>
      </w:r>
      <w:r>
        <w:rPr>
          <w:color w:val="231F20"/>
          <w:spacing w:val="-41"/>
          <w:w w:val="105"/>
        </w:rPr>
        <w:t> </w:t>
      </w:r>
      <w:r>
        <w:rPr>
          <w:color w:val="231F20"/>
          <w:spacing w:val="-3"/>
          <w:w w:val="105"/>
        </w:rPr>
        <w:t>“nemici”</w:t>
      </w:r>
      <w:r>
        <w:rPr>
          <w:color w:val="231F20"/>
          <w:spacing w:val="-41"/>
          <w:w w:val="105"/>
        </w:rPr>
        <w:t> </w:t>
      </w:r>
      <w:r>
        <w:rPr>
          <w:color w:val="231F20"/>
          <w:w w:val="105"/>
        </w:rPr>
        <w:t>che</w:t>
      </w:r>
      <w:r>
        <w:rPr>
          <w:color w:val="231F20"/>
          <w:spacing w:val="-41"/>
          <w:w w:val="105"/>
        </w:rPr>
        <w:t> </w:t>
      </w:r>
      <w:r>
        <w:rPr>
          <w:color w:val="231F20"/>
          <w:w w:val="105"/>
        </w:rPr>
        <w:t>il</w:t>
      </w:r>
      <w:r>
        <w:rPr>
          <w:color w:val="231F20"/>
          <w:spacing w:val="-41"/>
          <w:w w:val="105"/>
        </w:rPr>
        <w:t> </w:t>
      </w:r>
      <w:r>
        <w:rPr>
          <w:color w:val="231F20"/>
          <w:spacing w:val="-3"/>
          <w:w w:val="105"/>
        </w:rPr>
        <w:t>centralismo</w:t>
      </w:r>
      <w:r>
        <w:rPr>
          <w:color w:val="231F20"/>
          <w:spacing w:val="-41"/>
          <w:w w:val="105"/>
        </w:rPr>
        <w:t> </w:t>
      </w:r>
      <w:r>
        <w:rPr>
          <w:color w:val="231F20"/>
          <w:spacing w:val="-3"/>
          <w:w w:val="105"/>
        </w:rPr>
        <w:t>autoritario</w:t>
      </w:r>
      <w:r>
        <w:rPr>
          <w:color w:val="231F20"/>
          <w:spacing w:val="-41"/>
          <w:w w:val="105"/>
        </w:rPr>
        <w:t> </w:t>
      </w:r>
      <w:r>
        <w:rPr>
          <w:color w:val="231F20"/>
          <w:spacing w:val="-3"/>
          <w:w w:val="105"/>
        </w:rPr>
        <w:t>lasciò</w:t>
      </w:r>
      <w:r>
        <w:rPr>
          <w:color w:val="231F20"/>
          <w:spacing w:val="-41"/>
          <w:w w:val="105"/>
        </w:rPr>
        <w:t> </w:t>
      </w:r>
      <w:r>
        <w:rPr>
          <w:color w:val="231F20"/>
          <w:spacing w:val="-3"/>
          <w:w w:val="105"/>
        </w:rPr>
        <w:t>irrisolti,</w:t>
      </w:r>
      <w:r>
        <w:rPr>
          <w:color w:val="231F20"/>
          <w:spacing w:val="-41"/>
          <w:w w:val="105"/>
        </w:rPr>
        <w:t> </w:t>
      </w:r>
      <w:r>
        <w:rPr>
          <w:color w:val="231F20"/>
          <w:w w:val="105"/>
        </w:rPr>
        <w:t>ma</w:t>
      </w:r>
      <w:r>
        <w:rPr>
          <w:color w:val="231F20"/>
          <w:spacing w:val="-41"/>
          <w:w w:val="105"/>
        </w:rPr>
        <w:t> </w:t>
      </w:r>
      <w:r>
        <w:rPr>
          <w:color w:val="231F20"/>
          <w:spacing w:val="-3"/>
          <w:w w:val="105"/>
        </w:rPr>
        <w:t>anche </w:t>
      </w:r>
      <w:r>
        <w:rPr>
          <w:color w:val="231F20"/>
          <w:w w:val="105"/>
        </w:rPr>
        <w:t>aggiungendo</w:t>
      </w:r>
      <w:r>
        <w:rPr>
          <w:color w:val="231F20"/>
          <w:spacing w:val="-12"/>
          <w:w w:val="105"/>
        </w:rPr>
        <w:t> </w:t>
      </w:r>
      <w:r>
        <w:rPr>
          <w:color w:val="231F20"/>
          <w:w w:val="105"/>
        </w:rPr>
        <w:t>i</w:t>
      </w:r>
      <w:r>
        <w:rPr>
          <w:color w:val="231F20"/>
          <w:spacing w:val="-12"/>
          <w:w w:val="105"/>
        </w:rPr>
        <w:t> </w:t>
      </w:r>
      <w:r>
        <w:rPr>
          <w:color w:val="231F20"/>
          <w:w w:val="105"/>
        </w:rPr>
        <w:t>nemici</w:t>
      </w:r>
      <w:r>
        <w:rPr>
          <w:color w:val="231F20"/>
          <w:spacing w:val="-12"/>
          <w:w w:val="105"/>
        </w:rPr>
        <w:t> </w:t>
      </w:r>
      <w:r>
        <w:rPr>
          <w:color w:val="231F20"/>
          <w:w w:val="105"/>
        </w:rPr>
        <w:t>che</w:t>
      </w:r>
      <w:r>
        <w:rPr>
          <w:color w:val="231F20"/>
          <w:spacing w:val="-12"/>
          <w:w w:val="105"/>
        </w:rPr>
        <w:t> </w:t>
      </w:r>
      <w:r>
        <w:rPr>
          <w:color w:val="231F20"/>
          <w:w w:val="105"/>
        </w:rPr>
        <w:t>la</w:t>
      </w:r>
      <w:r>
        <w:rPr>
          <w:color w:val="231F20"/>
          <w:spacing w:val="-12"/>
          <w:w w:val="105"/>
        </w:rPr>
        <w:t> </w:t>
      </w:r>
      <w:r>
        <w:rPr>
          <w:color w:val="231F20"/>
          <w:w w:val="105"/>
        </w:rPr>
        <w:t>scentratura</w:t>
      </w:r>
      <w:r>
        <w:rPr>
          <w:color w:val="231F20"/>
          <w:spacing w:val="-12"/>
          <w:w w:val="105"/>
        </w:rPr>
        <w:t> </w:t>
      </w:r>
      <w:r>
        <w:rPr>
          <w:color w:val="231F20"/>
          <w:w w:val="105"/>
        </w:rPr>
        <w:t>dei</w:t>
      </w:r>
      <w:r>
        <w:rPr>
          <w:color w:val="231F20"/>
          <w:spacing w:val="-12"/>
          <w:w w:val="105"/>
        </w:rPr>
        <w:t> </w:t>
      </w:r>
      <w:r>
        <w:rPr>
          <w:color w:val="231F20"/>
          <w:w w:val="105"/>
        </w:rPr>
        <w:t>problemi</w:t>
      </w:r>
      <w:r>
        <w:rPr>
          <w:color w:val="231F20"/>
          <w:spacing w:val="-12"/>
          <w:w w:val="105"/>
        </w:rPr>
        <w:t> </w:t>
      </w:r>
      <w:r>
        <w:rPr>
          <w:color w:val="231F20"/>
          <w:w w:val="105"/>
        </w:rPr>
        <w:t>nazionali</w:t>
      </w:r>
      <w:r>
        <w:rPr>
          <w:color w:val="231F20"/>
          <w:spacing w:val="-12"/>
          <w:w w:val="105"/>
        </w:rPr>
        <w:t> </w:t>
      </w:r>
      <w:r>
        <w:rPr>
          <w:color w:val="231F20"/>
          <w:w w:val="105"/>
        </w:rPr>
        <w:t>produsse e</w:t>
      </w:r>
      <w:r>
        <w:rPr>
          <w:color w:val="231F20"/>
          <w:spacing w:val="-22"/>
          <w:w w:val="105"/>
        </w:rPr>
        <w:t> </w:t>
      </w:r>
      <w:r>
        <w:rPr>
          <w:color w:val="231F20"/>
          <w:w w:val="105"/>
        </w:rPr>
        <w:t>sviluppò</w:t>
      </w:r>
      <w:r>
        <w:rPr>
          <w:color w:val="231F20"/>
          <w:spacing w:val="-22"/>
          <w:w w:val="105"/>
        </w:rPr>
        <w:t> </w:t>
      </w:r>
      <w:r>
        <w:rPr>
          <w:color w:val="231F20"/>
          <w:w w:val="105"/>
        </w:rPr>
        <w:t>nei</w:t>
      </w:r>
      <w:r>
        <w:rPr>
          <w:color w:val="231F20"/>
          <w:spacing w:val="-22"/>
          <w:w w:val="105"/>
        </w:rPr>
        <w:t> </w:t>
      </w:r>
      <w:r>
        <w:rPr>
          <w:color w:val="231F20"/>
          <w:w w:val="105"/>
        </w:rPr>
        <w:t>primi</w:t>
      </w:r>
      <w:r>
        <w:rPr>
          <w:color w:val="231F20"/>
          <w:spacing w:val="-22"/>
          <w:w w:val="105"/>
        </w:rPr>
        <w:t> </w:t>
      </w:r>
      <w:r>
        <w:rPr>
          <w:color w:val="231F20"/>
          <w:w w:val="105"/>
        </w:rPr>
        <w:t>anni</w:t>
      </w:r>
      <w:r>
        <w:rPr>
          <w:color w:val="231F20"/>
          <w:spacing w:val="-22"/>
          <w:w w:val="105"/>
        </w:rPr>
        <w:t> </w:t>
      </w:r>
      <w:r>
        <w:rPr>
          <w:color w:val="231F20"/>
          <w:w w:val="105"/>
        </w:rPr>
        <w:t>del</w:t>
      </w:r>
      <w:r>
        <w:rPr>
          <w:color w:val="231F20"/>
          <w:spacing w:val="-22"/>
          <w:w w:val="105"/>
        </w:rPr>
        <w:t> </w:t>
      </w:r>
      <w:r>
        <w:rPr>
          <w:color w:val="231F20"/>
          <w:w w:val="105"/>
        </w:rPr>
        <w:t>periodo</w:t>
      </w:r>
      <w:r>
        <w:rPr>
          <w:color w:val="231F20"/>
          <w:spacing w:val="-22"/>
          <w:w w:val="105"/>
        </w:rPr>
        <w:t> </w:t>
      </w:r>
      <w:r>
        <w:rPr>
          <w:color w:val="231F20"/>
          <w:w w:val="105"/>
        </w:rPr>
        <w:t>post-alternanza</w:t>
      </w:r>
      <w:r>
        <w:rPr>
          <w:color w:val="231F20"/>
          <w:spacing w:val="-22"/>
          <w:w w:val="105"/>
        </w:rPr>
        <w:t> </w:t>
      </w:r>
      <w:r>
        <w:rPr>
          <w:color w:val="231F20"/>
          <w:w w:val="105"/>
        </w:rPr>
        <w:t>sotto</w:t>
      </w:r>
      <w:r>
        <w:rPr>
          <w:color w:val="231F20"/>
          <w:spacing w:val="-22"/>
          <w:w w:val="105"/>
        </w:rPr>
        <w:t> </w:t>
      </w:r>
      <w:r>
        <w:rPr>
          <w:color w:val="231F20"/>
          <w:w w:val="105"/>
        </w:rPr>
        <w:t>la</w:t>
      </w:r>
      <w:r>
        <w:rPr>
          <w:color w:val="231F20"/>
          <w:spacing w:val="-22"/>
          <w:w w:val="105"/>
        </w:rPr>
        <w:t> </w:t>
      </w:r>
      <w:r>
        <w:rPr>
          <w:color w:val="231F20"/>
          <w:w w:val="105"/>
        </w:rPr>
        <w:t>modalità</w:t>
      </w:r>
      <w:r>
        <w:rPr>
          <w:color w:val="231F20"/>
          <w:spacing w:val="-22"/>
          <w:w w:val="105"/>
        </w:rPr>
        <w:t> </w:t>
      </w:r>
      <w:r>
        <w:rPr>
          <w:color w:val="231F20"/>
          <w:w w:val="105"/>
        </w:rPr>
        <w:t>del fenomeno totalmente atipico per qualsiasi processo di consolidazione e che,</w:t>
      </w:r>
      <w:r>
        <w:rPr>
          <w:color w:val="231F20"/>
          <w:spacing w:val="-22"/>
          <w:w w:val="105"/>
        </w:rPr>
        <w:t> </w:t>
      </w:r>
      <w:r>
        <w:rPr>
          <w:color w:val="231F20"/>
          <w:w w:val="105"/>
        </w:rPr>
        <w:t>nel</w:t>
      </w:r>
      <w:r>
        <w:rPr>
          <w:color w:val="231F20"/>
          <w:spacing w:val="-22"/>
          <w:w w:val="105"/>
        </w:rPr>
        <w:t> </w:t>
      </w:r>
      <w:r>
        <w:rPr>
          <w:color w:val="231F20"/>
          <w:w w:val="105"/>
        </w:rPr>
        <w:t>caso</w:t>
      </w:r>
      <w:r>
        <w:rPr>
          <w:color w:val="231F20"/>
          <w:spacing w:val="-22"/>
          <w:w w:val="105"/>
        </w:rPr>
        <w:t> </w:t>
      </w:r>
      <w:r>
        <w:rPr>
          <w:color w:val="231F20"/>
          <w:w w:val="105"/>
        </w:rPr>
        <w:t>della</w:t>
      </w:r>
      <w:r>
        <w:rPr>
          <w:color w:val="231F20"/>
          <w:spacing w:val="-22"/>
          <w:w w:val="105"/>
        </w:rPr>
        <w:t> </w:t>
      </w:r>
      <w:r>
        <w:rPr>
          <w:color w:val="231F20"/>
          <w:w w:val="105"/>
        </w:rPr>
        <w:t>democratizzazione</w:t>
      </w:r>
      <w:r>
        <w:rPr>
          <w:color w:val="231F20"/>
          <w:spacing w:val="-22"/>
          <w:w w:val="105"/>
        </w:rPr>
        <w:t> </w:t>
      </w:r>
      <w:r>
        <w:rPr>
          <w:color w:val="231F20"/>
          <w:w w:val="105"/>
        </w:rPr>
        <w:t>messicana,</w:t>
      </w:r>
      <w:r>
        <w:rPr>
          <w:color w:val="231F20"/>
          <w:spacing w:val="-22"/>
          <w:w w:val="105"/>
        </w:rPr>
        <w:t> </w:t>
      </w:r>
      <w:r>
        <w:rPr>
          <w:color w:val="231F20"/>
          <w:w w:val="105"/>
        </w:rPr>
        <w:t>si</w:t>
      </w:r>
      <w:r>
        <w:rPr>
          <w:color w:val="231F20"/>
          <w:spacing w:val="-22"/>
          <w:w w:val="105"/>
        </w:rPr>
        <w:t> </w:t>
      </w:r>
      <w:r>
        <w:rPr>
          <w:color w:val="231F20"/>
          <w:w w:val="105"/>
        </w:rPr>
        <w:t>è</w:t>
      </w:r>
      <w:r>
        <w:rPr>
          <w:color w:val="231F20"/>
          <w:spacing w:val="-22"/>
          <w:w w:val="105"/>
        </w:rPr>
        <w:t> </w:t>
      </w:r>
      <w:r>
        <w:rPr>
          <w:color w:val="231F20"/>
          <w:w w:val="105"/>
        </w:rPr>
        <w:t>basato</w:t>
      </w:r>
      <w:r>
        <w:rPr>
          <w:color w:val="231F20"/>
          <w:spacing w:val="-22"/>
          <w:w w:val="105"/>
        </w:rPr>
        <w:t> </w:t>
      </w:r>
      <w:r>
        <w:rPr>
          <w:color w:val="231F20"/>
          <w:w w:val="105"/>
        </w:rPr>
        <w:t>su</w:t>
      </w:r>
      <w:r>
        <w:rPr>
          <w:color w:val="231F20"/>
          <w:spacing w:val="-22"/>
          <w:w w:val="105"/>
        </w:rPr>
        <w:t> </w:t>
      </w:r>
      <w:r>
        <w:rPr>
          <w:color w:val="231F20"/>
          <w:w w:val="105"/>
        </w:rPr>
        <w:t>una</w:t>
      </w:r>
      <w:r>
        <w:rPr>
          <w:color w:val="231F20"/>
          <w:spacing w:val="-22"/>
          <w:w w:val="105"/>
        </w:rPr>
        <w:t> </w:t>
      </w:r>
      <w:r>
        <w:rPr>
          <w:color w:val="231F20"/>
          <w:w w:val="105"/>
        </w:rPr>
        <w:t>serie di</w:t>
      </w:r>
      <w:r>
        <w:rPr>
          <w:color w:val="231F20"/>
          <w:spacing w:val="-31"/>
          <w:w w:val="105"/>
        </w:rPr>
        <w:t> </w:t>
      </w:r>
      <w:r>
        <w:rPr>
          <w:color w:val="231F20"/>
          <w:w w:val="105"/>
        </w:rPr>
        <w:t>fenomeni</w:t>
      </w:r>
      <w:r>
        <w:rPr>
          <w:color w:val="231F20"/>
          <w:spacing w:val="-31"/>
          <w:w w:val="105"/>
        </w:rPr>
        <w:t> </w:t>
      </w:r>
      <w:r>
        <w:rPr>
          <w:color w:val="231F20"/>
          <w:w w:val="105"/>
        </w:rPr>
        <w:t>erosivi</w:t>
      </w:r>
      <w:r>
        <w:rPr>
          <w:color w:val="231F20"/>
          <w:spacing w:val="-31"/>
          <w:w w:val="105"/>
        </w:rPr>
        <w:t> </w:t>
      </w:r>
      <w:r>
        <w:rPr>
          <w:color w:val="231F20"/>
          <w:w w:val="105"/>
        </w:rPr>
        <w:t>dell’ordine</w:t>
      </w:r>
      <w:r>
        <w:rPr>
          <w:color w:val="231F20"/>
          <w:spacing w:val="-31"/>
          <w:w w:val="105"/>
        </w:rPr>
        <w:t> </w:t>
      </w:r>
      <w:r>
        <w:rPr>
          <w:color w:val="231F20"/>
          <w:w w:val="105"/>
        </w:rPr>
        <w:t>sociale</w:t>
      </w:r>
      <w:r>
        <w:rPr>
          <w:color w:val="231F20"/>
          <w:spacing w:val="-31"/>
          <w:w w:val="105"/>
        </w:rPr>
        <w:t> </w:t>
      </w:r>
      <w:r>
        <w:rPr>
          <w:color w:val="231F20"/>
          <w:w w:val="105"/>
        </w:rPr>
        <w:t>che</w:t>
      </w:r>
      <w:r>
        <w:rPr>
          <w:color w:val="231F20"/>
          <w:spacing w:val="-31"/>
          <w:w w:val="105"/>
        </w:rPr>
        <w:t> </w:t>
      </w:r>
      <w:r>
        <w:rPr>
          <w:color w:val="231F20"/>
          <w:w w:val="105"/>
        </w:rPr>
        <w:t>alterarono</w:t>
      </w:r>
      <w:r>
        <w:rPr>
          <w:color w:val="231F20"/>
          <w:spacing w:val="-31"/>
          <w:w w:val="105"/>
        </w:rPr>
        <w:t> </w:t>
      </w:r>
      <w:r>
        <w:rPr>
          <w:color w:val="231F20"/>
          <w:w w:val="105"/>
        </w:rPr>
        <w:t>lo</w:t>
      </w:r>
      <w:r>
        <w:rPr>
          <w:color w:val="231F20"/>
          <w:spacing w:val="-31"/>
          <w:w w:val="105"/>
        </w:rPr>
        <w:t> </w:t>
      </w:r>
      <w:r>
        <w:rPr>
          <w:color w:val="231F20"/>
          <w:w w:val="105"/>
        </w:rPr>
        <w:t>spazio</w:t>
      </w:r>
      <w:r>
        <w:rPr>
          <w:color w:val="231F20"/>
          <w:spacing w:val="-31"/>
          <w:w w:val="105"/>
        </w:rPr>
        <w:t> </w:t>
      </w:r>
      <w:r>
        <w:rPr>
          <w:color w:val="231F20"/>
          <w:w w:val="105"/>
        </w:rPr>
        <w:t>tradizionale </w:t>
      </w:r>
      <w:r>
        <w:rPr>
          <w:color w:val="231F20"/>
          <w:spacing w:val="-3"/>
          <w:w w:val="105"/>
        </w:rPr>
        <w:t>della</w:t>
      </w:r>
      <w:r>
        <w:rPr>
          <w:color w:val="231F20"/>
          <w:spacing w:val="-43"/>
          <w:w w:val="105"/>
        </w:rPr>
        <w:t> </w:t>
      </w:r>
      <w:r>
        <w:rPr>
          <w:color w:val="231F20"/>
          <w:spacing w:val="-3"/>
          <w:w w:val="105"/>
        </w:rPr>
        <w:t>política</w:t>
      </w:r>
      <w:r>
        <w:rPr>
          <w:color w:val="231F20"/>
          <w:spacing w:val="-43"/>
          <w:w w:val="105"/>
        </w:rPr>
        <w:t> </w:t>
      </w:r>
      <w:r>
        <w:rPr>
          <w:color w:val="231F20"/>
          <w:spacing w:val="-3"/>
          <w:w w:val="105"/>
        </w:rPr>
        <w:t>messicana</w:t>
      </w:r>
      <w:r>
        <w:rPr>
          <w:color w:val="231F20"/>
          <w:spacing w:val="-3"/>
          <w:w w:val="105"/>
          <w:position w:val="7"/>
          <w:sz w:val="12"/>
        </w:rPr>
        <w:t>60</w:t>
      </w:r>
      <w:r>
        <w:rPr>
          <w:color w:val="231F20"/>
          <w:spacing w:val="-3"/>
          <w:w w:val="105"/>
        </w:rPr>
        <w:t>.</w:t>
      </w:r>
      <w:r>
        <w:rPr>
          <w:color w:val="231F20"/>
          <w:spacing w:val="-43"/>
          <w:w w:val="105"/>
        </w:rPr>
        <w:t> </w:t>
      </w:r>
      <w:r>
        <w:rPr>
          <w:color w:val="231F20"/>
          <w:spacing w:val="-3"/>
          <w:w w:val="105"/>
        </w:rPr>
        <w:t>Questo</w:t>
      </w:r>
      <w:r>
        <w:rPr>
          <w:color w:val="231F20"/>
          <w:spacing w:val="-43"/>
          <w:w w:val="105"/>
        </w:rPr>
        <w:t> </w:t>
      </w:r>
      <w:r>
        <w:rPr>
          <w:color w:val="231F20"/>
          <w:spacing w:val="-3"/>
          <w:w w:val="105"/>
        </w:rPr>
        <w:t>suppone,</w:t>
      </w:r>
      <w:r>
        <w:rPr>
          <w:color w:val="231F20"/>
          <w:spacing w:val="-43"/>
          <w:w w:val="105"/>
        </w:rPr>
        <w:t> </w:t>
      </w:r>
      <w:r>
        <w:rPr>
          <w:color w:val="231F20"/>
          <w:w w:val="105"/>
        </w:rPr>
        <w:t>se</w:t>
      </w:r>
      <w:r>
        <w:rPr>
          <w:color w:val="231F20"/>
          <w:spacing w:val="-43"/>
          <w:w w:val="105"/>
        </w:rPr>
        <w:t> </w:t>
      </w:r>
      <w:r>
        <w:rPr>
          <w:color w:val="231F20"/>
          <w:spacing w:val="-3"/>
          <w:w w:val="105"/>
        </w:rPr>
        <w:t>seguiamo</w:t>
      </w:r>
      <w:r>
        <w:rPr>
          <w:color w:val="231F20"/>
          <w:spacing w:val="-43"/>
          <w:w w:val="105"/>
        </w:rPr>
        <w:t> </w:t>
      </w:r>
      <w:r>
        <w:rPr>
          <w:color w:val="231F20"/>
          <w:spacing w:val="-3"/>
          <w:w w:val="105"/>
        </w:rPr>
        <w:t>l’indicazione</w:t>
      </w:r>
      <w:r>
        <w:rPr>
          <w:color w:val="231F20"/>
          <w:spacing w:val="-43"/>
          <w:w w:val="105"/>
        </w:rPr>
        <w:t> </w:t>
      </w:r>
      <w:r>
        <w:rPr>
          <w:color w:val="231F20"/>
          <w:spacing w:val="-3"/>
          <w:w w:val="105"/>
        </w:rPr>
        <w:t>teorica </w:t>
      </w:r>
      <w:r>
        <w:rPr>
          <w:color w:val="231F20"/>
          <w:w w:val="105"/>
        </w:rPr>
        <w:t>di</w:t>
      </w:r>
      <w:r>
        <w:rPr>
          <w:color w:val="231F20"/>
          <w:spacing w:val="-35"/>
          <w:w w:val="105"/>
        </w:rPr>
        <w:t> </w:t>
      </w:r>
      <w:r>
        <w:rPr>
          <w:color w:val="231F20"/>
          <w:w w:val="105"/>
        </w:rPr>
        <w:t>Carlos</w:t>
      </w:r>
      <w:r>
        <w:rPr>
          <w:color w:val="231F20"/>
          <w:spacing w:val="-35"/>
          <w:w w:val="105"/>
        </w:rPr>
        <w:t> </w:t>
      </w:r>
      <w:r>
        <w:rPr>
          <w:color w:val="231F20"/>
          <w:w w:val="105"/>
        </w:rPr>
        <w:t>Antonio</w:t>
      </w:r>
      <w:r>
        <w:rPr>
          <w:color w:val="231F20"/>
          <w:spacing w:val="-35"/>
          <w:w w:val="105"/>
        </w:rPr>
        <w:t> </w:t>
      </w:r>
      <w:r>
        <w:rPr>
          <w:color w:val="231F20"/>
          <w:w w:val="105"/>
        </w:rPr>
        <w:t>Flores</w:t>
      </w:r>
      <w:r>
        <w:rPr>
          <w:color w:val="231F20"/>
          <w:spacing w:val="-35"/>
          <w:w w:val="105"/>
        </w:rPr>
        <w:t> </w:t>
      </w:r>
      <w:r>
        <w:rPr>
          <w:color w:val="231F20"/>
          <w:w w:val="105"/>
        </w:rPr>
        <w:t>Pérez</w:t>
      </w:r>
      <w:r>
        <w:rPr>
          <w:color w:val="231F20"/>
          <w:w w:val="105"/>
          <w:position w:val="7"/>
          <w:sz w:val="12"/>
        </w:rPr>
        <w:t>61</w:t>
      </w:r>
      <w:r>
        <w:rPr>
          <w:color w:val="231F20"/>
          <w:w w:val="105"/>
        </w:rPr>
        <w:t>,</w:t>
      </w:r>
      <w:r>
        <w:rPr>
          <w:color w:val="231F20"/>
          <w:spacing w:val="-35"/>
          <w:w w:val="105"/>
        </w:rPr>
        <w:t> </w:t>
      </w:r>
      <w:r>
        <w:rPr>
          <w:color w:val="231F20"/>
          <w:w w:val="105"/>
        </w:rPr>
        <w:t>un</w:t>
      </w:r>
      <w:r>
        <w:rPr>
          <w:color w:val="231F20"/>
          <w:spacing w:val="-35"/>
          <w:w w:val="105"/>
        </w:rPr>
        <w:t> </w:t>
      </w:r>
      <w:r>
        <w:rPr>
          <w:color w:val="231F20"/>
          <w:w w:val="105"/>
        </w:rPr>
        <w:t>cambiamento</w:t>
      </w:r>
      <w:r>
        <w:rPr>
          <w:color w:val="231F20"/>
          <w:spacing w:val="-35"/>
          <w:w w:val="105"/>
        </w:rPr>
        <w:t> </w:t>
      </w:r>
      <w:r>
        <w:rPr>
          <w:color w:val="231F20"/>
          <w:w w:val="105"/>
        </w:rPr>
        <w:t>profondo</w:t>
      </w:r>
      <w:r>
        <w:rPr>
          <w:color w:val="231F20"/>
          <w:spacing w:val="-35"/>
          <w:w w:val="105"/>
        </w:rPr>
        <w:t> </w:t>
      </w:r>
      <w:r>
        <w:rPr>
          <w:color w:val="231F20"/>
          <w:w w:val="105"/>
        </w:rPr>
        <w:t>nel</w:t>
      </w:r>
      <w:r>
        <w:rPr>
          <w:color w:val="231F20"/>
          <w:spacing w:val="-35"/>
          <w:w w:val="105"/>
        </w:rPr>
        <w:t> </w:t>
      </w:r>
      <w:r>
        <w:rPr>
          <w:color w:val="231F20"/>
          <w:w w:val="105"/>
        </w:rPr>
        <w:t>processo</w:t>
      </w:r>
      <w:r>
        <w:rPr>
          <w:color w:val="231F20"/>
          <w:spacing w:val="-35"/>
          <w:w w:val="105"/>
        </w:rPr>
        <w:t> </w:t>
      </w:r>
      <w:r>
        <w:rPr>
          <w:color w:val="231F20"/>
          <w:w w:val="105"/>
        </w:rPr>
        <w:t>di gestione</w:t>
      </w:r>
      <w:r>
        <w:rPr>
          <w:color w:val="231F20"/>
          <w:spacing w:val="-45"/>
          <w:w w:val="105"/>
        </w:rPr>
        <w:t> </w:t>
      </w:r>
      <w:r>
        <w:rPr>
          <w:color w:val="231F20"/>
          <w:w w:val="105"/>
        </w:rPr>
        <w:t>dei</w:t>
      </w:r>
      <w:r>
        <w:rPr>
          <w:color w:val="231F20"/>
          <w:spacing w:val="-45"/>
          <w:w w:val="105"/>
        </w:rPr>
        <w:t> </w:t>
      </w:r>
      <w:r>
        <w:rPr>
          <w:color w:val="231F20"/>
          <w:w w:val="105"/>
        </w:rPr>
        <w:t>rischi</w:t>
      </w:r>
      <w:r>
        <w:rPr>
          <w:color w:val="231F20"/>
          <w:spacing w:val="-45"/>
          <w:w w:val="105"/>
        </w:rPr>
        <w:t> </w:t>
      </w:r>
      <w:r>
        <w:rPr>
          <w:color w:val="231F20"/>
          <w:w w:val="105"/>
        </w:rPr>
        <w:t>e</w:t>
      </w:r>
      <w:r>
        <w:rPr>
          <w:color w:val="231F20"/>
          <w:spacing w:val="-45"/>
          <w:w w:val="105"/>
        </w:rPr>
        <w:t> </w:t>
      </w:r>
      <w:r>
        <w:rPr>
          <w:color w:val="231F20"/>
          <w:w w:val="105"/>
        </w:rPr>
        <w:t>distribuzione</w:t>
      </w:r>
      <w:r>
        <w:rPr>
          <w:color w:val="231F20"/>
          <w:spacing w:val="-45"/>
          <w:w w:val="105"/>
        </w:rPr>
        <w:t> </w:t>
      </w:r>
      <w:r>
        <w:rPr>
          <w:color w:val="231F20"/>
          <w:w w:val="105"/>
        </w:rPr>
        <w:t>di</w:t>
      </w:r>
      <w:r>
        <w:rPr>
          <w:color w:val="231F20"/>
          <w:spacing w:val="-45"/>
          <w:w w:val="105"/>
        </w:rPr>
        <w:t> </w:t>
      </w:r>
      <w:r>
        <w:rPr>
          <w:color w:val="231F20"/>
          <w:spacing w:val="-3"/>
          <w:w w:val="105"/>
        </w:rPr>
        <w:t>responsabilità</w:t>
      </w:r>
      <w:r>
        <w:rPr>
          <w:color w:val="231F20"/>
          <w:spacing w:val="-45"/>
          <w:w w:val="105"/>
        </w:rPr>
        <w:t> </w:t>
      </w:r>
      <w:r>
        <w:rPr>
          <w:color w:val="231F20"/>
          <w:w w:val="105"/>
        </w:rPr>
        <w:t>dello</w:t>
      </w:r>
      <w:r>
        <w:rPr>
          <w:color w:val="231F20"/>
          <w:spacing w:val="-45"/>
          <w:w w:val="105"/>
        </w:rPr>
        <w:t> </w:t>
      </w:r>
      <w:r>
        <w:rPr>
          <w:color w:val="231F20"/>
          <w:w w:val="105"/>
        </w:rPr>
        <w:t>spazio</w:t>
      </w:r>
      <w:r>
        <w:rPr>
          <w:color w:val="231F20"/>
          <w:spacing w:val="-45"/>
          <w:w w:val="105"/>
        </w:rPr>
        <w:t> </w:t>
      </w:r>
      <w:r>
        <w:rPr>
          <w:color w:val="231F20"/>
          <w:w w:val="105"/>
        </w:rPr>
        <w:t>della</w:t>
      </w:r>
      <w:r>
        <w:rPr>
          <w:color w:val="231F20"/>
          <w:spacing w:val="-45"/>
          <w:w w:val="105"/>
        </w:rPr>
        <w:t> </w:t>
      </w:r>
      <w:r>
        <w:rPr>
          <w:color w:val="231F20"/>
          <w:spacing w:val="-2"/>
          <w:w w:val="105"/>
        </w:rPr>
        <w:t>política, </w:t>
      </w:r>
      <w:r>
        <w:rPr>
          <w:color w:val="231F20"/>
          <w:w w:val="105"/>
        </w:rPr>
        <w:t>dato</w:t>
      </w:r>
      <w:r>
        <w:rPr>
          <w:color w:val="231F20"/>
          <w:spacing w:val="-49"/>
          <w:w w:val="105"/>
        </w:rPr>
        <w:t> </w:t>
      </w:r>
      <w:r>
        <w:rPr>
          <w:color w:val="231F20"/>
          <w:w w:val="105"/>
        </w:rPr>
        <w:t>che</w:t>
      </w:r>
      <w:r>
        <w:rPr>
          <w:color w:val="231F20"/>
          <w:spacing w:val="-49"/>
          <w:w w:val="105"/>
        </w:rPr>
        <w:t> </w:t>
      </w:r>
      <w:r>
        <w:rPr>
          <w:color w:val="231F20"/>
          <w:w w:val="105"/>
        </w:rPr>
        <w:t>passa</w:t>
      </w:r>
      <w:r>
        <w:rPr>
          <w:color w:val="231F20"/>
          <w:spacing w:val="-49"/>
          <w:w w:val="105"/>
        </w:rPr>
        <w:t> </w:t>
      </w:r>
      <w:r>
        <w:rPr>
          <w:color w:val="231F20"/>
          <w:w w:val="105"/>
        </w:rPr>
        <w:t>da</w:t>
      </w:r>
      <w:r>
        <w:rPr>
          <w:color w:val="231F20"/>
          <w:spacing w:val="-49"/>
          <w:w w:val="105"/>
        </w:rPr>
        <w:t> </w:t>
      </w:r>
      <w:r>
        <w:rPr>
          <w:color w:val="231F20"/>
          <w:w w:val="105"/>
        </w:rPr>
        <w:t>una</w:t>
      </w:r>
      <w:r>
        <w:rPr>
          <w:color w:val="231F20"/>
          <w:spacing w:val="-49"/>
          <w:w w:val="105"/>
        </w:rPr>
        <w:t> </w:t>
      </w:r>
      <w:r>
        <w:rPr>
          <w:color w:val="231F20"/>
          <w:w w:val="105"/>
        </w:rPr>
        <w:t>modalità</w:t>
      </w:r>
      <w:r>
        <w:rPr>
          <w:color w:val="231F20"/>
          <w:spacing w:val="-49"/>
          <w:w w:val="105"/>
        </w:rPr>
        <w:t> </w:t>
      </w:r>
      <w:r>
        <w:rPr>
          <w:color w:val="231F20"/>
          <w:w w:val="105"/>
        </w:rPr>
        <w:t>“centralizzato–discendente–incrementale” (autoritaria),</w:t>
      </w:r>
      <w:r>
        <w:rPr>
          <w:color w:val="231F20"/>
          <w:spacing w:val="-9"/>
          <w:w w:val="105"/>
        </w:rPr>
        <w:t> </w:t>
      </w:r>
      <w:r>
        <w:rPr>
          <w:color w:val="231F20"/>
          <w:w w:val="105"/>
        </w:rPr>
        <w:t>a</w:t>
      </w:r>
      <w:r>
        <w:rPr>
          <w:color w:val="231F20"/>
          <w:spacing w:val="-9"/>
          <w:w w:val="105"/>
        </w:rPr>
        <w:t> </w:t>
      </w:r>
      <w:r>
        <w:rPr>
          <w:color w:val="231F20"/>
          <w:w w:val="105"/>
        </w:rPr>
        <w:t>uno</w:t>
      </w:r>
      <w:r>
        <w:rPr>
          <w:color w:val="231F20"/>
          <w:spacing w:val="-9"/>
          <w:w w:val="105"/>
        </w:rPr>
        <w:t> </w:t>
      </w:r>
      <w:r>
        <w:rPr>
          <w:color w:val="231F20"/>
          <w:w w:val="105"/>
        </w:rPr>
        <w:t>spazio</w:t>
      </w:r>
      <w:r>
        <w:rPr>
          <w:color w:val="231F20"/>
          <w:spacing w:val="-9"/>
          <w:w w:val="105"/>
        </w:rPr>
        <w:t> </w:t>
      </w:r>
      <w:r>
        <w:rPr>
          <w:color w:val="231F20"/>
          <w:w w:val="105"/>
        </w:rPr>
        <w:t>di</w:t>
      </w:r>
      <w:r>
        <w:rPr>
          <w:color w:val="231F20"/>
          <w:spacing w:val="-9"/>
          <w:w w:val="105"/>
        </w:rPr>
        <w:t> </w:t>
      </w:r>
      <w:r>
        <w:rPr>
          <w:color w:val="231F20"/>
          <w:w w:val="105"/>
        </w:rPr>
        <w:t>contrazione</w:t>
      </w:r>
      <w:r>
        <w:rPr>
          <w:color w:val="231F20"/>
          <w:spacing w:val="-9"/>
          <w:w w:val="105"/>
        </w:rPr>
        <w:t> </w:t>
      </w:r>
      <w:r>
        <w:rPr>
          <w:color w:val="231F20"/>
          <w:w w:val="105"/>
        </w:rPr>
        <w:t>“atomizzato–multidirezionale– incrementale”</w:t>
      </w:r>
      <w:r>
        <w:rPr>
          <w:color w:val="231F20"/>
          <w:spacing w:val="-13"/>
          <w:w w:val="105"/>
        </w:rPr>
        <w:t> </w:t>
      </w:r>
      <w:r>
        <w:rPr>
          <w:color w:val="231F20"/>
          <w:w w:val="105"/>
        </w:rPr>
        <w:t>(democratica),</w:t>
      </w:r>
      <w:r>
        <w:rPr>
          <w:color w:val="231F20"/>
          <w:spacing w:val="-13"/>
          <w:w w:val="105"/>
        </w:rPr>
        <w:t> </w:t>
      </w:r>
      <w:r>
        <w:rPr>
          <w:color w:val="231F20"/>
          <w:w w:val="105"/>
        </w:rPr>
        <w:t>che</w:t>
      </w:r>
      <w:r>
        <w:rPr>
          <w:color w:val="231F20"/>
          <w:spacing w:val="-13"/>
          <w:w w:val="105"/>
        </w:rPr>
        <w:t> </w:t>
      </w:r>
      <w:r>
        <w:rPr>
          <w:color w:val="231F20"/>
          <w:w w:val="105"/>
        </w:rPr>
        <w:t>“libera”</w:t>
      </w:r>
      <w:r>
        <w:rPr>
          <w:color w:val="231F20"/>
          <w:spacing w:val="-13"/>
          <w:w w:val="105"/>
        </w:rPr>
        <w:t> </w:t>
      </w:r>
      <w:r>
        <w:rPr>
          <w:color w:val="231F20"/>
          <w:w w:val="105"/>
        </w:rPr>
        <w:t>spazi</w:t>
      </w:r>
      <w:r>
        <w:rPr>
          <w:color w:val="231F20"/>
          <w:spacing w:val="-13"/>
          <w:w w:val="105"/>
        </w:rPr>
        <w:t> </w:t>
      </w:r>
      <w:r>
        <w:rPr>
          <w:color w:val="231F20"/>
          <w:w w:val="105"/>
        </w:rPr>
        <w:t>che</w:t>
      </w:r>
      <w:r>
        <w:rPr>
          <w:color w:val="231F20"/>
          <w:spacing w:val="-13"/>
          <w:w w:val="105"/>
        </w:rPr>
        <w:t> </w:t>
      </w:r>
      <w:r>
        <w:rPr>
          <w:color w:val="231F20"/>
          <w:w w:val="105"/>
        </w:rPr>
        <w:t>erano</w:t>
      </w:r>
      <w:r>
        <w:rPr>
          <w:color w:val="231F20"/>
          <w:spacing w:val="-13"/>
          <w:w w:val="105"/>
        </w:rPr>
        <w:t> </w:t>
      </w:r>
      <w:r>
        <w:rPr>
          <w:color w:val="231F20"/>
          <w:w w:val="105"/>
        </w:rPr>
        <w:t>colonizzati</w:t>
      </w:r>
      <w:r>
        <w:rPr>
          <w:color w:val="231F20"/>
          <w:spacing w:val="-13"/>
          <w:w w:val="105"/>
        </w:rPr>
        <w:t> </w:t>
      </w:r>
      <w:r>
        <w:rPr>
          <w:color w:val="231F20"/>
          <w:w w:val="105"/>
        </w:rPr>
        <w:t>da agenti</w:t>
      </w:r>
      <w:r>
        <w:rPr>
          <w:color w:val="231F20"/>
          <w:spacing w:val="-13"/>
          <w:w w:val="105"/>
        </w:rPr>
        <w:t> </w:t>
      </w:r>
      <w:r>
        <w:rPr>
          <w:color w:val="231F20"/>
          <w:w w:val="105"/>
        </w:rPr>
        <w:t>direttamente</w:t>
      </w:r>
      <w:r>
        <w:rPr>
          <w:color w:val="231F20"/>
          <w:spacing w:val="-13"/>
          <w:w w:val="105"/>
        </w:rPr>
        <w:t> </w:t>
      </w:r>
      <w:r>
        <w:rPr>
          <w:color w:val="231F20"/>
          <w:w w:val="105"/>
        </w:rPr>
        <w:t>connessi</w:t>
      </w:r>
      <w:r>
        <w:rPr>
          <w:color w:val="231F20"/>
          <w:spacing w:val="-13"/>
          <w:w w:val="105"/>
        </w:rPr>
        <w:t> </w:t>
      </w:r>
      <w:r>
        <w:rPr>
          <w:color w:val="231F20"/>
          <w:w w:val="105"/>
        </w:rPr>
        <w:t>al</w:t>
      </w:r>
      <w:r>
        <w:rPr>
          <w:color w:val="231F20"/>
          <w:spacing w:val="-13"/>
          <w:w w:val="105"/>
        </w:rPr>
        <w:t> </w:t>
      </w:r>
      <w:r>
        <w:rPr>
          <w:color w:val="231F20"/>
          <w:w w:val="105"/>
        </w:rPr>
        <w:t>potere</w:t>
      </w:r>
      <w:r>
        <w:rPr>
          <w:color w:val="231F20"/>
          <w:spacing w:val="-13"/>
          <w:w w:val="105"/>
        </w:rPr>
        <w:t> </w:t>
      </w:r>
      <w:r>
        <w:rPr>
          <w:color w:val="231F20"/>
          <w:w w:val="105"/>
        </w:rPr>
        <w:t>politico</w:t>
      </w:r>
      <w:r>
        <w:rPr>
          <w:color w:val="231F20"/>
          <w:spacing w:val="-13"/>
          <w:w w:val="105"/>
        </w:rPr>
        <w:t> </w:t>
      </w:r>
      <w:r>
        <w:rPr>
          <w:color w:val="231F20"/>
          <w:w w:val="105"/>
        </w:rPr>
        <w:t>nazionale</w:t>
      </w:r>
      <w:r>
        <w:rPr>
          <w:color w:val="231F20"/>
          <w:spacing w:val="-13"/>
          <w:w w:val="105"/>
        </w:rPr>
        <w:t> </w:t>
      </w:r>
      <w:r>
        <w:rPr>
          <w:color w:val="231F20"/>
          <w:w w:val="105"/>
        </w:rPr>
        <w:t>e</w:t>
      </w:r>
      <w:r>
        <w:rPr>
          <w:color w:val="231F20"/>
          <w:spacing w:val="-13"/>
          <w:w w:val="105"/>
        </w:rPr>
        <w:t> </w:t>
      </w:r>
      <w:r>
        <w:rPr>
          <w:color w:val="231F20"/>
          <w:w w:val="105"/>
        </w:rPr>
        <w:t>da</w:t>
      </w:r>
      <w:r>
        <w:rPr>
          <w:color w:val="231F20"/>
          <w:spacing w:val="-13"/>
          <w:w w:val="105"/>
        </w:rPr>
        <w:t> </w:t>
      </w:r>
      <w:r>
        <w:rPr>
          <w:color w:val="231F20"/>
          <w:w w:val="105"/>
        </w:rPr>
        <w:t>una</w:t>
      </w:r>
      <w:r>
        <w:rPr>
          <w:color w:val="231F20"/>
          <w:spacing w:val="-13"/>
          <w:w w:val="105"/>
        </w:rPr>
        <w:t> </w:t>
      </w:r>
      <w:r>
        <w:rPr>
          <w:color w:val="231F20"/>
          <w:w w:val="105"/>
        </w:rPr>
        <w:t>logica dell’esercizio</w:t>
      </w:r>
      <w:r>
        <w:rPr>
          <w:color w:val="231F20"/>
          <w:spacing w:val="-34"/>
          <w:w w:val="105"/>
        </w:rPr>
        <w:t> </w:t>
      </w:r>
      <w:r>
        <w:rPr>
          <w:color w:val="231F20"/>
          <w:w w:val="105"/>
        </w:rPr>
        <w:t>del</w:t>
      </w:r>
      <w:r>
        <w:rPr>
          <w:color w:val="231F20"/>
          <w:spacing w:val="-34"/>
          <w:w w:val="105"/>
        </w:rPr>
        <w:t> </w:t>
      </w:r>
      <w:r>
        <w:rPr>
          <w:color w:val="231F20"/>
          <w:w w:val="105"/>
        </w:rPr>
        <w:t>potere</w:t>
      </w:r>
      <w:r>
        <w:rPr>
          <w:color w:val="231F20"/>
          <w:spacing w:val="-34"/>
          <w:w w:val="105"/>
        </w:rPr>
        <w:t> </w:t>
      </w:r>
      <w:r>
        <w:rPr>
          <w:color w:val="231F20"/>
          <w:w w:val="105"/>
        </w:rPr>
        <w:t>verticalizzata,</w:t>
      </w:r>
      <w:r>
        <w:rPr>
          <w:color w:val="231F20"/>
          <w:spacing w:val="-34"/>
          <w:w w:val="105"/>
        </w:rPr>
        <w:t> </w:t>
      </w:r>
      <w:r>
        <w:rPr>
          <w:color w:val="231F20"/>
          <w:w w:val="105"/>
        </w:rPr>
        <w:t>“dall’alto</w:t>
      </w:r>
      <w:r>
        <w:rPr>
          <w:color w:val="231F20"/>
          <w:spacing w:val="-34"/>
          <w:w w:val="105"/>
        </w:rPr>
        <w:t> </w:t>
      </w:r>
      <w:r>
        <w:rPr>
          <w:color w:val="231F20"/>
          <w:w w:val="105"/>
        </w:rPr>
        <w:t>verso</w:t>
      </w:r>
      <w:r>
        <w:rPr>
          <w:color w:val="231F20"/>
          <w:spacing w:val="-34"/>
          <w:w w:val="105"/>
        </w:rPr>
        <w:t> </w:t>
      </w:r>
      <w:r>
        <w:rPr>
          <w:color w:val="231F20"/>
          <w:w w:val="105"/>
        </w:rPr>
        <w:t>il</w:t>
      </w:r>
      <w:r>
        <w:rPr>
          <w:color w:val="231F20"/>
          <w:spacing w:val="-34"/>
          <w:w w:val="105"/>
        </w:rPr>
        <w:t> </w:t>
      </w:r>
      <w:r>
        <w:rPr>
          <w:color w:val="231F20"/>
          <w:w w:val="105"/>
        </w:rPr>
        <w:t>basso”,</w:t>
      </w:r>
      <w:r>
        <w:rPr>
          <w:color w:val="231F20"/>
          <w:spacing w:val="-34"/>
          <w:w w:val="105"/>
        </w:rPr>
        <w:t> </w:t>
      </w:r>
      <w:r>
        <w:rPr>
          <w:color w:val="231F20"/>
          <w:w w:val="105"/>
        </w:rPr>
        <w:t>operavano il</w:t>
      </w:r>
      <w:r>
        <w:rPr>
          <w:color w:val="231F20"/>
          <w:spacing w:val="-50"/>
          <w:w w:val="105"/>
        </w:rPr>
        <w:t> </w:t>
      </w:r>
      <w:r>
        <w:rPr>
          <w:color w:val="231F20"/>
          <w:spacing w:val="-3"/>
          <w:w w:val="105"/>
        </w:rPr>
        <w:t>potere</w:t>
      </w:r>
      <w:r>
        <w:rPr>
          <w:color w:val="231F20"/>
          <w:spacing w:val="-50"/>
          <w:w w:val="105"/>
        </w:rPr>
        <w:t> </w:t>
      </w:r>
      <w:r>
        <w:rPr>
          <w:color w:val="231F20"/>
          <w:w w:val="105"/>
        </w:rPr>
        <w:t>politico</w:t>
      </w:r>
      <w:r>
        <w:rPr>
          <w:color w:val="231F20"/>
          <w:spacing w:val="-50"/>
          <w:w w:val="105"/>
        </w:rPr>
        <w:t> </w:t>
      </w:r>
      <w:r>
        <w:rPr>
          <w:color w:val="231F20"/>
          <w:w w:val="105"/>
        </w:rPr>
        <w:t>locale.</w:t>
      </w:r>
      <w:r>
        <w:rPr>
          <w:color w:val="231F20"/>
          <w:spacing w:val="-50"/>
          <w:w w:val="105"/>
        </w:rPr>
        <w:t> </w:t>
      </w:r>
      <w:r>
        <w:rPr>
          <w:color w:val="231F20"/>
          <w:w w:val="105"/>
        </w:rPr>
        <w:t>Di</w:t>
      </w:r>
      <w:r>
        <w:rPr>
          <w:color w:val="231F20"/>
          <w:spacing w:val="-50"/>
          <w:w w:val="105"/>
        </w:rPr>
        <w:t> </w:t>
      </w:r>
      <w:r>
        <w:rPr>
          <w:color w:val="231F20"/>
          <w:w w:val="105"/>
        </w:rPr>
        <w:t>conseguenza,</w:t>
      </w:r>
      <w:r>
        <w:rPr>
          <w:color w:val="231F20"/>
          <w:spacing w:val="-50"/>
          <w:w w:val="105"/>
        </w:rPr>
        <w:t> </w:t>
      </w:r>
      <w:r>
        <w:rPr>
          <w:color w:val="231F20"/>
          <w:w w:val="105"/>
        </w:rPr>
        <w:t>appariranno</w:t>
      </w:r>
      <w:r>
        <w:rPr>
          <w:color w:val="231F20"/>
          <w:spacing w:val="-50"/>
          <w:w w:val="105"/>
        </w:rPr>
        <w:t> </w:t>
      </w:r>
      <w:r>
        <w:rPr>
          <w:color w:val="231F20"/>
          <w:w w:val="105"/>
        </w:rPr>
        <w:t>nuovi</w:t>
      </w:r>
      <w:r>
        <w:rPr>
          <w:color w:val="231F20"/>
          <w:spacing w:val="-50"/>
          <w:w w:val="105"/>
        </w:rPr>
        <w:t> </w:t>
      </w:r>
      <w:r>
        <w:rPr>
          <w:color w:val="231F20"/>
          <w:w w:val="105"/>
        </w:rPr>
        <w:t>attori</w:t>
      </w:r>
      <w:r>
        <w:rPr>
          <w:color w:val="231F20"/>
          <w:spacing w:val="-50"/>
          <w:w w:val="105"/>
        </w:rPr>
        <w:t> </w:t>
      </w:r>
      <w:r>
        <w:rPr>
          <w:color w:val="231F20"/>
          <w:w w:val="105"/>
        </w:rPr>
        <w:t>non</w:t>
      </w:r>
      <w:r>
        <w:rPr>
          <w:color w:val="231F20"/>
          <w:spacing w:val="-50"/>
          <w:w w:val="105"/>
        </w:rPr>
        <w:t> </w:t>
      </w:r>
      <w:r>
        <w:rPr>
          <w:color w:val="231F20"/>
          <w:w w:val="105"/>
        </w:rPr>
        <w:t>statali definibili come parapolitici, che annidano i loro interessi nelle strutture </w:t>
      </w:r>
      <w:r>
        <w:rPr>
          <w:color w:val="231F20"/>
        </w:rPr>
        <w:t>dell’organizzazione</w:t>
      </w:r>
      <w:r>
        <w:rPr>
          <w:color w:val="231F20"/>
          <w:spacing w:val="-20"/>
        </w:rPr>
        <w:t> </w:t>
      </w:r>
      <w:r>
        <w:rPr>
          <w:color w:val="231F20"/>
        </w:rPr>
        <w:t>della</w:t>
      </w:r>
      <w:r>
        <w:rPr>
          <w:color w:val="231F20"/>
          <w:spacing w:val="-20"/>
        </w:rPr>
        <w:t> </w:t>
      </w:r>
      <w:r>
        <w:rPr>
          <w:color w:val="231F20"/>
        </w:rPr>
        <w:t>democrazia</w:t>
      </w:r>
      <w:r>
        <w:rPr>
          <w:color w:val="231F20"/>
          <w:position w:val="7"/>
          <w:sz w:val="12"/>
        </w:rPr>
        <w:t>62</w:t>
      </w:r>
      <w:r>
        <w:rPr>
          <w:color w:val="231F20"/>
          <w:spacing w:val="8"/>
          <w:position w:val="7"/>
          <w:sz w:val="12"/>
        </w:rPr>
        <w:t> </w:t>
      </w:r>
      <w:r>
        <w:rPr>
          <w:color w:val="231F20"/>
        </w:rPr>
        <w:t>(Covarrubias,</w:t>
      </w:r>
      <w:r>
        <w:rPr>
          <w:color w:val="231F20"/>
          <w:spacing w:val="-20"/>
        </w:rPr>
        <w:t> </w:t>
      </w:r>
      <w:r>
        <w:rPr>
          <w:color w:val="231F20"/>
        </w:rPr>
        <w:t>2015c;</w:t>
      </w:r>
      <w:r>
        <w:rPr>
          <w:color w:val="231F20"/>
          <w:spacing w:val="-20"/>
        </w:rPr>
        <w:t> </w:t>
      </w:r>
      <w:r>
        <w:rPr>
          <w:color w:val="231F20"/>
          <w:spacing w:val="-3"/>
        </w:rPr>
        <w:t>Schedler,</w:t>
      </w:r>
      <w:r>
        <w:rPr>
          <w:color w:val="231F20"/>
          <w:spacing w:val="-20"/>
        </w:rPr>
        <w:t> </w:t>
      </w:r>
      <w:r>
        <w:rPr>
          <w:color w:val="231F20"/>
        </w:rPr>
        <w:t>2014), </w:t>
      </w:r>
      <w:r>
        <w:rPr>
          <w:color w:val="231F20"/>
          <w:w w:val="105"/>
        </w:rPr>
        <w:t>ma</w:t>
      </w:r>
      <w:r>
        <w:rPr>
          <w:color w:val="231F20"/>
          <w:spacing w:val="-41"/>
          <w:w w:val="105"/>
        </w:rPr>
        <w:t> </w:t>
      </w:r>
      <w:r>
        <w:rPr>
          <w:color w:val="231F20"/>
          <w:w w:val="105"/>
        </w:rPr>
        <w:t>anche</w:t>
      </w:r>
      <w:r>
        <w:rPr>
          <w:color w:val="231F20"/>
          <w:spacing w:val="-41"/>
          <w:w w:val="105"/>
        </w:rPr>
        <w:t> </w:t>
      </w:r>
      <w:r>
        <w:rPr>
          <w:color w:val="231F20"/>
          <w:w w:val="105"/>
        </w:rPr>
        <w:t>diventano,</w:t>
      </w:r>
      <w:r>
        <w:rPr>
          <w:color w:val="231F20"/>
          <w:spacing w:val="-41"/>
          <w:w w:val="105"/>
        </w:rPr>
        <w:t> </w:t>
      </w:r>
      <w:r>
        <w:rPr>
          <w:color w:val="231F20"/>
          <w:w w:val="105"/>
        </w:rPr>
        <w:t>in</w:t>
      </w:r>
      <w:r>
        <w:rPr>
          <w:color w:val="231F20"/>
          <w:spacing w:val="-41"/>
          <w:w w:val="105"/>
        </w:rPr>
        <w:t> </w:t>
      </w:r>
      <w:r>
        <w:rPr>
          <w:color w:val="231F20"/>
          <w:w w:val="105"/>
        </w:rPr>
        <w:t>certi</w:t>
      </w:r>
      <w:r>
        <w:rPr>
          <w:color w:val="231F20"/>
          <w:spacing w:val="-41"/>
          <w:w w:val="105"/>
        </w:rPr>
        <w:t> </w:t>
      </w:r>
      <w:r>
        <w:rPr>
          <w:color w:val="231F20"/>
          <w:w w:val="105"/>
        </w:rPr>
        <w:t>casi,</w:t>
      </w:r>
      <w:r>
        <w:rPr>
          <w:color w:val="231F20"/>
          <w:spacing w:val="-41"/>
          <w:w w:val="105"/>
        </w:rPr>
        <w:t> </w:t>
      </w:r>
      <w:r>
        <w:rPr>
          <w:color w:val="231F20"/>
          <w:w w:val="105"/>
        </w:rPr>
        <w:t>surrogati</w:t>
      </w:r>
      <w:r>
        <w:rPr>
          <w:color w:val="231F20"/>
          <w:spacing w:val="-41"/>
          <w:w w:val="105"/>
        </w:rPr>
        <w:t> </w:t>
      </w:r>
      <w:r>
        <w:rPr>
          <w:color w:val="231F20"/>
          <w:w w:val="105"/>
        </w:rPr>
        <w:t>della</w:t>
      </w:r>
      <w:r>
        <w:rPr>
          <w:color w:val="231F20"/>
          <w:spacing w:val="-41"/>
          <w:w w:val="105"/>
        </w:rPr>
        <w:t> </w:t>
      </w:r>
      <w:r>
        <w:rPr>
          <w:color w:val="231F20"/>
          <w:w w:val="105"/>
        </w:rPr>
        <w:t>declinazione–erosione</w:t>
      </w:r>
      <w:r>
        <w:rPr>
          <w:color w:val="231F20"/>
          <w:spacing w:val="-41"/>
          <w:w w:val="105"/>
        </w:rPr>
        <w:t> </w:t>
      </w:r>
      <w:r>
        <w:rPr>
          <w:color w:val="231F20"/>
          <w:w w:val="105"/>
        </w:rPr>
        <w:t>del regime di benessere, che nel caso del Messico, non ha raggiunto la</w:t>
      </w:r>
      <w:r>
        <w:rPr>
          <w:color w:val="231F20"/>
          <w:spacing w:val="-19"/>
          <w:w w:val="105"/>
        </w:rPr>
        <w:t> </w:t>
      </w:r>
      <w:r>
        <w:rPr>
          <w:color w:val="231F20"/>
          <w:w w:val="105"/>
        </w:rPr>
        <w:t>sua totale</w:t>
      </w:r>
      <w:r>
        <w:rPr>
          <w:color w:val="231F20"/>
          <w:spacing w:val="-31"/>
          <w:w w:val="105"/>
        </w:rPr>
        <w:t> </w:t>
      </w:r>
      <w:r>
        <w:rPr>
          <w:color w:val="231F20"/>
          <w:w w:val="105"/>
        </w:rPr>
        <w:t>consolidazione</w:t>
      </w:r>
      <w:r>
        <w:rPr>
          <w:color w:val="231F20"/>
          <w:spacing w:val="-31"/>
          <w:w w:val="105"/>
        </w:rPr>
        <w:t> </w:t>
      </w:r>
      <w:r>
        <w:rPr>
          <w:color w:val="231F20"/>
          <w:w w:val="105"/>
        </w:rPr>
        <w:t>nel</w:t>
      </w:r>
      <w:r>
        <w:rPr>
          <w:color w:val="231F20"/>
          <w:spacing w:val="-31"/>
          <w:w w:val="105"/>
        </w:rPr>
        <w:t> </w:t>
      </w:r>
      <w:r>
        <w:rPr>
          <w:color w:val="231F20"/>
          <w:w w:val="105"/>
        </w:rPr>
        <w:t>processo</w:t>
      </w:r>
      <w:r>
        <w:rPr>
          <w:color w:val="231F20"/>
          <w:spacing w:val="-31"/>
          <w:w w:val="105"/>
        </w:rPr>
        <w:t> </w:t>
      </w:r>
      <w:r>
        <w:rPr>
          <w:color w:val="231F20"/>
          <w:w w:val="105"/>
        </w:rPr>
        <w:t>d’integrazione</w:t>
      </w:r>
      <w:r>
        <w:rPr>
          <w:color w:val="231F20"/>
          <w:spacing w:val="-31"/>
          <w:w w:val="105"/>
        </w:rPr>
        <w:t> </w:t>
      </w:r>
      <w:r>
        <w:rPr>
          <w:color w:val="231F20"/>
          <w:w w:val="105"/>
        </w:rPr>
        <w:t>sotto</w:t>
      </w:r>
      <w:r>
        <w:rPr>
          <w:color w:val="231F20"/>
          <w:spacing w:val="-31"/>
          <w:w w:val="105"/>
        </w:rPr>
        <w:t> </w:t>
      </w:r>
      <w:r>
        <w:rPr>
          <w:color w:val="231F20"/>
          <w:w w:val="105"/>
        </w:rPr>
        <w:t>lo</w:t>
      </w:r>
      <w:r>
        <w:rPr>
          <w:color w:val="231F20"/>
          <w:spacing w:val="-31"/>
          <w:w w:val="105"/>
        </w:rPr>
        <w:t> </w:t>
      </w:r>
      <w:r>
        <w:rPr>
          <w:color w:val="231F20"/>
          <w:w w:val="105"/>
        </w:rPr>
        <w:t>Stato–nazionale durante</w:t>
      </w:r>
      <w:r>
        <w:rPr>
          <w:color w:val="231F20"/>
          <w:spacing w:val="-28"/>
          <w:w w:val="105"/>
        </w:rPr>
        <w:t> </w:t>
      </w:r>
      <w:r>
        <w:rPr>
          <w:color w:val="231F20"/>
          <w:w w:val="105"/>
        </w:rPr>
        <w:t>i</w:t>
      </w:r>
      <w:r>
        <w:rPr>
          <w:color w:val="231F20"/>
          <w:spacing w:val="-28"/>
          <w:w w:val="105"/>
        </w:rPr>
        <w:t> </w:t>
      </w:r>
      <w:r>
        <w:rPr>
          <w:color w:val="231F20"/>
          <w:w w:val="105"/>
        </w:rPr>
        <w:t>secoli</w:t>
      </w:r>
      <w:r>
        <w:rPr>
          <w:color w:val="231F20"/>
          <w:spacing w:val="-28"/>
          <w:w w:val="105"/>
        </w:rPr>
        <w:t> </w:t>
      </w:r>
      <w:r>
        <w:rPr>
          <w:color w:val="231F20"/>
          <w:w w:val="105"/>
          <w:sz w:val="18"/>
        </w:rPr>
        <w:t>XIX</w:t>
      </w:r>
      <w:r>
        <w:rPr>
          <w:color w:val="231F20"/>
          <w:spacing w:val="-18"/>
          <w:w w:val="105"/>
          <w:sz w:val="18"/>
        </w:rPr>
        <w:t> </w:t>
      </w:r>
      <w:r>
        <w:rPr>
          <w:color w:val="231F20"/>
          <w:w w:val="105"/>
        </w:rPr>
        <w:t>e</w:t>
      </w:r>
      <w:r>
        <w:rPr>
          <w:color w:val="231F20"/>
          <w:spacing w:val="-28"/>
          <w:w w:val="105"/>
        </w:rPr>
        <w:t> </w:t>
      </w:r>
      <w:r>
        <w:rPr>
          <w:color w:val="231F20"/>
          <w:w w:val="105"/>
          <w:sz w:val="18"/>
        </w:rPr>
        <w:t>XX</w:t>
      </w:r>
      <w:r>
        <w:rPr>
          <w:color w:val="231F20"/>
          <w:w w:val="105"/>
        </w:rPr>
        <w:t>.</w:t>
      </w:r>
    </w:p>
    <w:p>
      <w:pPr>
        <w:pStyle w:val="BodyText"/>
        <w:spacing w:line="247" w:lineRule="auto"/>
        <w:ind w:left="117" w:right="101" w:firstLine="566"/>
        <w:jc w:val="both"/>
      </w:pPr>
      <w:r>
        <w:rPr>
          <w:color w:val="231F20"/>
          <w:w w:val="105"/>
        </w:rPr>
        <w:t>Per</w:t>
      </w:r>
      <w:r>
        <w:rPr>
          <w:color w:val="231F20"/>
          <w:spacing w:val="-21"/>
          <w:w w:val="105"/>
        </w:rPr>
        <w:t> </w:t>
      </w:r>
      <w:r>
        <w:rPr>
          <w:color w:val="231F20"/>
          <w:w w:val="105"/>
        </w:rPr>
        <w:t>concludere,</w:t>
      </w:r>
      <w:r>
        <w:rPr>
          <w:color w:val="231F20"/>
          <w:spacing w:val="-21"/>
          <w:w w:val="105"/>
        </w:rPr>
        <w:t> </w:t>
      </w:r>
      <w:r>
        <w:rPr>
          <w:color w:val="231F20"/>
          <w:w w:val="105"/>
        </w:rPr>
        <w:t>possiamo</w:t>
      </w:r>
      <w:r>
        <w:rPr>
          <w:color w:val="231F20"/>
          <w:spacing w:val="-21"/>
          <w:w w:val="105"/>
        </w:rPr>
        <w:t> </w:t>
      </w:r>
      <w:r>
        <w:rPr>
          <w:color w:val="231F20"/>
          <w:w w:val="105"/>
        </w:rPr>
        <w:t>aggiungere</w:t>
      </w:r>
      <w:r>
        <w:rPr>
          <w:color w:val="231F20"/>
          <w:spacing w:val="-21"/>
          <w:w w:val="105"/>
        </w:rPr>
        <w:t> </w:t>
      </w:r>
      <w:r>
        <w:rPr>
          <w:color w:val="231F20"/>
          <w:w w:val="105"/>
        </w:rPr>
        <w:t>che</w:t>
      </w:r>
      <w:r>
        <w:rPr>
          <w:color w:val="231F20"/>
          <w:spacing w:val="-21"/>
          <w:w w:val="105"/>
        </w:rPr>
        <w:t> </w:t>
      </w:r>
      <w:r>
        <w:rPr>
          <w:color w:val="231F20"/>
          <w:w w:val="105"/>
        </w:rPr>
        <w:t>la</w:t>
      </w:r>
      <w:r>
        <w:rPr>
          <w:color w:val="231F20"/>
          <w:spacing w:val="-21"/>
          <w:w w:val="105"/>
        </w:rPr>
        <w:t> </w:t>
      </w:r>
      <w:r>
        <w:rPr>
          <w:color w:val="231F20"/>
          <w:w w:val="105"/>
        </w:rPr>
        <w:t>realtà</w:t>
      </w:r>
      <w:r>
        <w:rPr>
          <w:color w:val="231F20"/>
          <w:spacing w:val="-21"/>
          <w:w w:val="105"/>
        </w:rPr>
        <w:t> </w:t>
      </w:r>
      <w:r>
        <w:rPr>
          <w:color w:val="231F20"/>
          <w:w w:val="105"/>
        </w:rPr>
        <w:t>contemporanea dello</w:t>
      </w:r>
      <w:r>
        <w:rPr>
          <w:color w:val="231F20"/>
          <w:spacing w:val="-21"/>
          <w:w w:val="105"/>
        </w:rPr>
        <w:t> </w:t>
      </w:r>
      <w:r>
        <w:rPr>
          <w:color w:val="231F20"/>
          <w:w w:val="105"/>
        </w:rPr>
        <w:t>Stato</w:t>
      </w:r>
      <w:r>
        <w:rPr>
          <w:color w:val="231F20"/>
          <w:spacing w:val="-21"/>
          <w:w w:val="105"/>
        </w:rPr>
        <w:t> </w:t>
      </w:r>
      <w:r>
        <w:rPr>
          <w:color w:val="231F20"/>
          <w:w w:val="105"/>
        </w:rPr>
        <w:t>ci</w:t>
      </w:r>
      <w:r>
        <w:rPr>
          <w:color w:val="231F20"/>
          <w:spacing w:val="-21"/>
          <w:w w:val="105"/>
        </w:rPr>
        <w:t> </w:t>
      </w:r>
      <w:r>
        <w:rPr>
          <w:color w:val="231F20"/>
          <w:w w:val="105"/>
        </w:rPr>
        <w:t>insegna</w:t>
      </w:r>
      <w:r>
        <w:rPr>
          <w:color w:val="231F20"/>
          <w:spacing w:val="-21"/>
          <w:w w:val="105"/>
        </w:rPr>
        <w:t> </w:t>
      </w:r>
      <w:r>
        <w:rPr>
          <w:color w:val="231F20"/>
          <w:w w:val="105"/>
        </w:rPr>
        <w:t>che</w:t>
      </w:r>
      <w:r>
        <w:rPr>
          <w:color w:val="231F20"/>
          <w:spacing w:val="-21"/>
          <w:w w:val="105"/>
        </w:rPr>
        <w:t> </w:t>
      </w:r>
      <w:r>
        <w:rPr>
          <w:color w:val="231F20"/>
          <w:w w:val="105"/>
        </w:rPr>
        <w:t>le</w:t>
      </w:r>
      <w:r>
        <w:rPr>
          <w:color w:val="231F20"/>
          <w:spacing w:val="-21"/>
          <w:w w:val="105"/>
        </w:rPr>
        <w:t> </w:t>
      </w:r>
      <w:r>
        <w:rPr>
          <w:color w:val="231F20"/>
          <w:w w:val="105"/>
        </w:rPr>
        <w:t>oscillazioni</w:t>
      </w:r>
      <w:r>
        <w:rPr>
          <w:color w:val="231F20"/>
          <w:spacing w:val="-21"/>
          <w:w w:val="105"/>
        </w:rPr>
        <w:t> </w:t>
      </w:r>
      <w:r>
        <w:rPr>
          <w:color w:val="231F20"/>
          <w:w w:val="105"/>
        </w:rPr>
        <w:t>che</w:t>
      </w:r>
      <w:r>
        <w:rPr>
          <w:color w:val="231F20"/>
          <w:spacing w:val="-21"/>
          <w:w w:val="105"/>
        </w:rPr>
        <w:t> </w:t>
      </w:r>
      <w:r>
        <w:rPr>
          <w:color w:val="231F20"/>
          <w:w w:val="105"/>
        </w:rPr>
        <w:t>sono</w:t>
      </w:r>
      <w:r>
        <w:rPr>
          <w:color w:val="231F20"/>
          <w:spacing w:val="-21"/>
          <w:w w:val="105"/>
        </w:rPr>
        <w:t> </w:t>
      </w:r>
      <w:r>
        <w:rPr>
          <w:color w:val="231F20"/>
          <w:w w:val="105"/>
        </w:rPr>
        <w:t>state</w:t>
      </w:r>
      <w:r>
        <w:rPr>
          <w:color w:val="231F20"/>
          <w:spacing w:val="-21"/>
          <w:w w:val="105"/>
        </w:rPr>
        <w:t> </w:t>
      </w:r>
      <w:r>
        <w:rPr>
          <w:color w:val="231F20"/>
          <w:w w:val="105"/>
        </w:rPr>
        <w:t>descritte</w:t>
      </w:r>
      <w:r>
        <w:rPr>
          <w:color w:val="231F20"/>
          <w:spacing w:val="-21"/>
          <w:w w:val="105"/>
        </w:rPr>
        <w:t> </w:t>
      </w:r>
      <w:r>
        <w:rPr>
          <w:color w:val="231F20"/>
          <w:w w:val="105"/>
        </w:rPr>
        <w:t>in</w:t>
      </w:r>
      <w:r>
        <w:rPr>
          <w:color w:val="231F20"/>
          <w:spacing w:val="-21"/>
          <w:w w:val="105"/>
        </w:rPr>
        <w:t> </w:t>
      </w:r>
      <w:r>
        <w:rPr>
          <w:color w:val="231F20"/>
          <w:w w:val="105"/>
        </w:rPr>
        <w:t>questo capitolo,</w:t>
      </w:r>
      <w:r>
        <w:rPr>
          <w:color w:val="231F20"/>
          <w:spacing w:val="-36"/>
          <w:w w:val="105"/>
        </w:rPr>
        <w:t> </w:t>
      </w:r>
      <w:r>
        <w:rPr>
          <w:color w:val="231F20"/>
          <w:w w:val="105"/>
        </w:rPr>
        <w:t>non</w:t>
      </w:r>
      <w:r>
        <w:rPr>
          <w:color w:val="231F20"/>
          <w:spacing w:val="-36"/>
          <w:w w:val="105"/>
        </w:rPr>
        <w:t> </w:t>
      </w:r>
      <w:r>
        <w:rPr>
          <w:color w:val="231F20"/>
          <w:w w:val="105"/>
        </w:rPr>
        <w:t>sono</w:t>
      </w:r>
      <w:r>
        <w:rPr>
          <w:color w:val="231F20"/>
          <w:spacing w:val="-36"/>
          <w:w w:val="105"/>
        </w:rPr>
        <w:t> </w:t>
      </w:r>
      <w:r>
        <w:rPr>
          <w:color w:val="231F20"/>
          <w:w w:val="105"/>
        </w:rPr>
        <w:t>un</w:t>
      </w:r>
      <w:r>
        <w:rPr>
          <w:color w:val="231F20"/>
          <w:spacing w:val="-36"/>
          <w:w w:val="105"/>
        </w:rPr>
        <w:t> </w:t>
      </w:r>
      <w:r>
        <w:rPr>
          <w:color w:val="231F20"/>
          <w:w w:val="105"/>
        </w:rPr>
        <w:t>momento</w:t>
      </w:r>
      <w:r>
        <w:rPr>
          <w:color w:val="231F20"/>
          <w:spacing w:val="-36"/>
          <w:w w:val="105"/>
        </w:rPr>
        <w:t> </w:t>
      </w:r>
      <w:r>
        <w:rPr>
          <w:color w:val="231F20"/>
          <w:w w:val="105"/>
        </w:rPr>
        <w:t>eccezionale,</w:t>
      </w:r>
      <w:r>
        <w:rPr>
          <w:color w:val="231F20"/>
          <w:spacing w:val="-36"/>
          <w:w w:val="105"/>
        </w:rPr>
        <w:t> </w:t>
      </w:r>
      <w:r>
        <w:rPr>
          <w:color w:val="231F20"/>
          <w:w w:val="105"/>
        </w:rPr>
        <w:t>passeggero,</w:t>
      </w:r>
      <w:r>
        <w:rPr>
          <w:color w:val="231F20"/>
          <w:spacing w:val="-36"/>
          <w:w w:val="105"/>
        </w:rPr>
        <w:t> </w:t>
      </w:r>
      <w:r>
        <w:rPr>
          <w:color w:val="231F20"/>
          <w:w w:val="105"/>
        </w:rPr>
        <w:t>e</w:t>
      </w:r>
      <w:r>
        <w:rPr>
          <w:color w:val="231F20"/>
          <w:spacing w:val="-36"/>
          <w:w w:val="105"/>
        </w:rPr>
        <w:t> </w:t>
      </w:r>
      <w:r>
        <w:rPr>
          <w:color w:val="231F20"/>
          <w:w w:val="105"/>
        </w:rPr>
        <w:t>che</w:t>
      </w:r>
      <w:r>
        <w:rPr>
          <w:color w:val="231F20"/>
          <w:spacing w:val="-36"/>
          <w:w w:val="105"/>
        </w:rPr>
        <w:t> </w:t>
      </w:r>
      <w:r>
        <w:rPr>
          <w:color w:val="231F20"/>
          <w:w w:val="105"/>
        </w:rPr>
        <w:t>siamo</w:t>
      </w:r>
      <w:r>
        <w:rPr>
          <w:color w:val="231F20"/>
          <w:spacing w:val="-36"/>
          <w:w w:val="105"/>
        </w:rPr>
        <w:t> </w:t>
      </w:r>
      <w:r>
        <w:rPr>
          <w:color w:val="231F20"/>
          <w:w w:val="105"/>
        </w:rPr>
        <w:t>solo in</w:t>
      </w:r>
      <w:r>
        <w:rPr>
          <w:color w:val="231F20"/>
          <w:spacing w:val="-46"/>
          <w:w w:val="105"/>
        </w:rPr>
        <w:t> </w:t>
      </w:r>
      <w:r>
        <w:rPr>
          <w:color w:val="231F20"/>
          <w:w w:val="105"/>
        </w:rPr>
        <w:t>attesa</w:t>
      </w:r>
      <w:r>
        <w:rPr>
          <w:color w:val="231F20"/>
          <w:spacing w:val="-46"/>
          <w:w w:val="105"/>
        </w:rPr>
        <w:t> </w:t>
      </w:r>
      <w:r>
        <w:rPr>
          <w:color w:val="231F20"/>
          <w:w w:val="105"/>
        </w:rPr>
        <w:t>d’osservare</w:t>
      </w:r>
      <w:r>
        <w:rPr>
          <w:color w:val="231F20"/>
          <w:spacing w:val="-46"/>
          <w:w w:val="105"/>
        </w:rPr>
        <w:t> </w:t>
      </w:r>
      <w:r>
        <w:rPr>
          <w:color w:val="231F20"/>
          <w:w w:val="105"/>
        </w:rPr>
        <w:t>che</w:t>
      </w:r>
      <w:r>
        <w:rPr>
          <w:color w:val="231F20"/>
          <w:spacing w:val="-46"/>
          <w:w w:val="105"/>
        </w:rPr>
        <w:t> </w:t>
      </w:r>
      <w:r>
        <w:rPr>
          <w:color w:val="231F20"/>
          <w:w w:val="105"/>
        </w:rPr>
        <w:t>lo</w:t>
      </w:r>
      <w:r>
        <w:rPr>
          <w:color w:val="231F20"/>
          <w:spacing w:val="-46"/>
          <w:w w:val="105"/>
        </w:rPr>
        <w:t> </w:t>
      </w:r>
      <w:r>
        <w:rPr>
          <w:color w:val="231F20"/>
          <w:w w:val="105"/>
        </w:rPr>
        <w:t>Stato</w:t>
      </w:r>
      <w:r>
        <w:rPr>
          <w:color w:val="231F20"/>
          <w:spacing w:val="-46"/>
          <w:w w:val="105"/>
        </w:rPr>
        <w:t> </w:t>
      </w:r>
      <w:r>
        <w:rPr>
          <w:color w:val="231F20"/>
          <w:w w:val="105"/>
        </w:rPr>
        <w:t>si</w:t>
      </w:r>
      <w:r>
        <w:rPr>
          <w:color w:val="231F20"/>
          <w:spacing w:val="-46"/>
          <w:w w:val="105"/>
        </w:rPr>
        <w:t> </w:t>
      </w:r>
      <w:r>
        <w:rPr>
          <w:color w:val="231F20"/>
          <w:w w:val="105"/>
        </w:rPr>
        <w:t>avvii</w:t>
      </w:r>
      <w:r>
        <w:rPr>
          <w:color w:val="231F20"/>
          <w:spacing w:val="-46"/>
          <w:w w:val="105"/>
        </w:rPr>
        <w:t> </w:t>
      </w:r>
      <w:r>
        <w:rPr>
          <w:color w:val="231F20"/>
          <w:w w:val="105"/>
        </w:rPr>
        <w:t>all’incontro</w:t>
      </w:r>
      <w:r>
        <w:rPr>
          <w:color w:val="231F20"/>
          <w:spacing w:val="-46"/>
          <w:w w:val="105"/>
        </w:rPr>
        <w:t> </w:t>
      </w:r>
      <w:r>
        <w:rPr>
          <w:color w:val="231F20"/>
          <w:w w:val="105"/>
        </w:rPr>
        <w:t>di</w:t>
      </w:r>
      <w:r>
        <w:rPr>
          <w:color w:val="231F20"/>
          <w:spacing w:val="-46"/>
          <w:w w:val="105"/>
        </w:rPr>
        <w:t> </w:t>
      </w:r>
      <w:r>
        <w:rPr>
          <w:color w:val="231F20"/>
          <w:w w:val="105"/>
        </w:rPr>
        <w:t>un</w:t>
      </w:r>
      <w:r>
        <w:rPr>
          <w:color w:val="231F20"/>
          <w:spacing w:val="-46"/>
          <w:w w:val="105"/>
        </w:rPr>
        <w:t> </w:t>
      </w:r>
      <w:r>
        <w:rPr>
          <w:color w:val="231F20"/>
          <w:w w:val="105"/>
        </w:rPr>
        <w:t>incrocio</w:t>
      </w:r>
      <w:r>
        <w:rPr>
          <w:color w:val="231F20"/>
          <w:spacing w:val="-46"/>
          <w:w w:val="105"/>
        </w:rPr>
        <w:t> </w:t>
      </w:r>
      <w:r>
        <w:rPr>
          <w:color w:val="231F20"/>
          <w:w w:val="105"/>
        </w:rPr>
        <w:t>che</w:t>
      </w:r>
      <w:r>
        <w:rPr>
          <w:color w:val="231F20"/>
          <w:spacing w:val="-46"/>
          <w:w w:val="105"/>
        </w:rPr>
        <w:t> </w:t>
      </w:r>
      <w:r>
        <w:rPr>
          <w:color w:val="231F20"/>
          <w:w w:val="105"/>
        </w:rPr>
        <w:t>riesca ad</w:t>
      </w:r>
      <w:r>
        <w:rPr>
          <w:color w:val="231F20"/>
          <w:spacing w:val="-52"/>
          <w:w w:val="105"/>
        </w:rPr>
        <w:t> </w:t>
      </w:r>
      <w:r>
        <w:rPr>
          <w:color w:val="231F20"/>
          <w:spacing w:val="-3"/>
          <w:w w:val="105"/>
        </w:rPr>
        <w:t>allacciare</w:t>
      </w:r>
      <w:r>
        <w:rPr>
          <w:color w:val="231F20"/>
          <w:spacing w:val="-52"/>
          <w:w w:val="105"/>
        </w:rPr>
        <w:t> </w:t>
      </w:r>
      <w:r>
        <w:rPr>
          <w:color w:val="231F20"/>
          <w:w w:val="105"/>
        </w:rPr>
        <w:t>con</w:t>
      </w:r>
      <w:r>
        <w:rPr>
          <w:color w:val="231F20"/>
          <w:spacing w:val="-52"/>
          <w:w w:val="105"/>
        </w:rPr>
        <w:t> </w:t>
      </w:r>
      <w:r>
        <w:rPr>
          <w:color w:val="231F20"/>
          <w:w w:val="105"/>
        </w:rPr>
        <w:t>successo</w:t>
      </w:r>
      <w:r>
        <w:rPr>
          <w:color w:val="231F20"/>
          <w:spacing w:val="-52"/>
          <w:w w:val="105"/>
        </w:rPr>
        <w:t> </w:t>
      </w:r>
      <w:r>
        <w:rPr>
          <w:color w:val="231F20"/>
          <w:w w:val="105"/>
        </w:rPr>
        <w:t>e</w:t>
      </w:r>
      <w:r>
        <w:rPr>
          <w:color w:val="231F20"/>
          <w:spacing w:val="-52"/>
          <w:w w:val="105"/>
        </w:rPr>
        <w:t> </w:t>
      </w:r>
      <w:r>
        <w:rPr>
          <w:color w:val="231F20"/>
          <w:w w:val="105"/>
        </w:rPr>
        <w:t>in</w:t>
      </w:r>
      <w:r>
        <w:rPr>
          <w:color w:val="231F20"/>
          <w:spacing w:val="-52"/>
          <w:w w:val="105"/>
        </w:rPr>
        <w:t> </w:t>
      </w:r>
      <w:r>
        <w:rPr>
          <w:color w:val="231F20"/>
          <w:w w:val="105"/>
        </w:rPr>
        <w:t>maniera</w:t>
      </w:r>
      <w:r>
        <w:rPr>
          <w:color w:val="231F20"/>
          <w:spacing w:val="-52"/>
          <w:w w:val="105"/>
        </w:rPr>
        <w:t> </w:t>
      </w:r>
      <w:r>
        <w:rPr>
          <w:color w:val="231F20"/>
          <w:spacing w:val="-3"/>
          <w:w w:val="105"/>
        </w:rPr>
        <w:t>efficace</w:t>
      </w:r>
      <w:r>
        <w:rPr>
          <w:color w:val="231F20"/>
          <w:spacing w:val="-52"/>
          <w:w w:val="105"/>
        </w:rPr>
        <w:t> </w:t>
      </w:r>
      <w:r>
        <w:rPr>
          <w:color w:val="231F20"/>
          <w:w w:val="105"/>
        </w:rPr>
        <w:t>l’integrazione</w:t>
      </w:r>
      <w:r>
        <w:rPr>
          <w:color w:val="231F20"/>
          <w:spacing w:val="-52"/>
          <w:w w:val="105"/>
        </w:rPr>
        <w:t> </w:t>
      </w:r>
      <w:r>
        <w:rPr>
          <w:color w:val="231F20"/>
          <w:w w:val="105"/>
        </w:rPr>
        <w:t>territoriale</w:t>
      </w:r>
      <w:r>
        <w:rPr>
          <w:color w:val="231F20"/>
          <w:spacing w:val="-52"/>
          <w:w w:val="105"/>
        </w:rPr>
        <w:t> </w:t>
      </w:r>
      <w:r>
        <w:rPr>
          <w:color w:val="231F20"/>
          <w:spacing w:val="-2"/>
          <w:w w:val="105"/>
        </w:rPr>
        <w:t>con </w:t>
      </w:r>
      <w:r>
        <w:rPr>
          <w:color w:val="231F20"/>
          <w:spacing w:val="-3"/>
          <w:w w:val="105"/>
        </w:rPr>
        <w:t>l’apparato</w:t>
      </w:r>
      <w:r>
        <w:rPr>
          <w:color w:val="231F20"/>
          <w:spacing w:val="-38"/>
          <w:w w:val="105"/>
        </w:rPr>
        <w:t> </w:t>
      </w:r>
      <w:r>
        <w:rPr>
          <w:color w:val="231F20"/>
          <w:spacing w:val="-3"/>
          <w:w w:val="105"/>
        </w:rPr>
        <w:t>statale,</w:t>
      </w:r>
      <w:r>
        <w:rPr>
          <w:color w:val="231F20"/>
          <w:spacing w:val="-38"/>
          <w:w w:val="105"/>
        </w:rPr>
        <w:t> </w:t>
      </w:r>
      <w:r>
        <w:rPr>
          <w:color w:val="231F20"/>
          <w:spacing w:val="-3"/>
          <w:w w:val="105"/>
        </w:rPr>
        <w:t>soprattutto</w:t>
      </w:r>
      <w:r>
        <w:rPr>
          <w:color w:val="231F20"/>
          <w:spacing w:val="-38"/>
          <w:w w:val="105"/>
        </w:rPr>
        <w:t> </w:t>
      </w:r>
      <w:r>
        <w:rPr>
          <w:color w:val="231F20"/>
          <w:spacing w:val="-3"/>
          <w:w w:val="105"/>
        </w:rPr>
        <w:t>quando</w:t>
      </w:r>
      <w:r>
        <w:rPr>
          <w:color w:val="231F20"/>
          <w:spacing w:val="-38"/>
          <w:w w:val="105"/>
        </w:rPr>
        <w:t> </w:t>
      </w:r>
      <w:r>
        <w:rPr>
          <w:color w:val="231F20"/>
          <w:spacing w:val="-3"/>
          <w:w w:val="105"/>
        </w:rPr>
        <w:t>quello</w:t>
      </w:r>
      <w:r>
        <w:rPr>
          <w:color w:val="231F20"/>
          <w:spacing w:val="-38"/>
          <w:w w:val="105"/>
        </w:rPr>
        <w:t> </w:t>
      </w:r>
      <w:r>
        <w:rPr>
          <w:color w:val="231F20"/>
          <w:w w:val="105"/>
        </w:rPr>
        <w:t>che</w:t>
      </w:r>
      <w:r>
        <w:rPr>
          <w:color w:val="231F20"/>
          <w:spacing w:val="-38"/>
          <w:w w:val="105"/>
        </w:rPr>
        <w:t> </w:t>
      </w:r>
      <w:r>
        <w:rPr>
          <w:color w:val="231F20"/>
          <w:w w:val="105"/>
        </w:rPr>
        <w:t>c’é</w:t>
      </w:r>
      <w:r>
        <w:rPr>
          <w:color w:val="231F20"/>
          <w:spacing w:val="-38"/>
          <w:w w:val="105"/>
        </w:rPr>
        <w:t> </w:t>
      </w:r>
      <w:r>
        <w:rPr>
          <w:color w:val="231F20"/>
          <w:w w:val="105"/>
        </w:rPr>
        <w:t>in</w:t>
      </w:r>
      <w:r>
        <w:rPr>
          <w:color w:val="231F20"/>
          <w:spacing w:val="-38"/>
          <w:w w:val="105"/>
        </w:rPr>
        <w:t> </w:t>
      </w:r>
      <w:r>
        <w:rPr>
          <w:color w:val="231F20"/>
          <w:spacing w:val="-3"/>
          <w:w w:val="105"/>
        </w:rPr>
        <w:t>gioco</w:t>
      </w:r>
      <w:r>
        <w:rPr>
          <w:color w:val="231F20"/>
          <w:spacing w:val="-38"/>
          <w:w w:val="105"/>
        </w:rPr>
        <w:t> </w:t>
      </w:r>
      <w:r>
        <w:rPr>
          <w:color w:val="231F20"/>
          <w:spacing w:val="-3"/>
          <w:w w:val="105"/>
        </w:rPr>
        <w:t>sono</w:t>
      </w:r>
      <w:r>
        <w:rPr>
          <w:color w:val="231F20"/>
          <w:spacing w:val="-38"/>
          <w:w w:val="105"/>
        </w:rPr>
        <w:t> </w:t>
      </w:r>
      <w:r>
        <w:rPr>
          <w:color w:val="231F20"/>
          <w:w w:val="105"/>
        </w:rPr>
        <w:t>le</w:t>
      </w:r>
      <w:r>
        <w:rPr>
          <w:color w:val="231F20"/>
          <w:spacing w:val="-38"/>
          <w:w w:val="105"/>
        </w:rPr>
        <w:t> </w:t>
      </w:r>
      <w:r>
        <w:rPr>
          <w:color w:val="231F20"/>
          <w:spacing w:val="-3"/>
          <w:w w:val="105"/>
        </w:rPr>
        <w:t>risposte </w:t>
      </w:r>
      <w:r>
        <w:rPr>
          <w:color w:val="231F20"/>
          <w:w w:val="105"/>
        </w:rPr>
        <w:t>che</w:t>
      </w:r>
      <w:r>
        <w:rPr>
          <w:color w:val="231F20"/>
          <w:spacing w:val="-31"/>
          <w:w w:val="105"/>
        </w:rPr>
        <w:t> </w:t>
      </w:r>
      <w:r>
        <w:rPr>
          <w:color w:val="231F20"/>
          <w:w w:val="105"/>
        </w:rPr>
        <w:t>lo</w:t>
      </w:r>
      <w:r>
        <w:rPr>
          <w:color w:val="231F20"/>
          <w:spacing w:val="-31"/>
          <w:w w:val="105"/>
        </w:rPr>
        <w:t> </w:t>
      </w:r>
      <w:r>
        <w:rPr>
          <w:color w:val="231F20"/>
          <w:w w:val="105"/>
        </w:rPr>
        <w:t>Stato</w:t>
      </w:r>
      <w:r>
        <w:rPr>
          <w:color w:val="231F20"/>
          <w:spacing w:val="-31"/>
          <w:w w:val="105"/>
        </w:rPr>
        <w:t> </w:t>
      </w:r>
      <w:r>
        <w:rPr>
          <w:color w:val="231F20"/>
          <w:w w:val="105"/>
        </w:rPr>
        <w:t>si</w:t>
      </w:r>
      <w:r>
        <w:rPr>
          <w:color w:val="231F20"/>
          <w:spacing w:val="-31"/>
          <w:w w:val="105"/>
        </w:rPr>
        <w:t> </w:t>
      </w:r>
      <w:r>
        <w:rPr>
          <w:color w:val="231F20"/>
          <w:w w:val="105"/>
        </w:rPr>
        <w:t>vede</w:t>
      </w:r>
      <w:r>
        <w:rPr>
          <w:color w:val="231F20"/>
          <w:spacing w:val="-31"/>
          <w:w w:val="105"/>
        </w:rPr>
        <w:t> </w:t>
      </w:r>
      <w:r>
        <w:rPr>
          <w:color w:val="231F20"/>
          <w:w w:val="105"/>
        </w:rPr>
        <w:t>obbligato</w:t>
      </w:r>
      <w:r>
        <w:rPr>
          <w:color w:val="231F20"/>
          <w:spacing w:val="-31"/>
          <w:w w:val="105"/>
        </w:rPr>
        <w:t> </w:t>
      </w:r>
      <w:r>
        <w:rPr>
          <w:color w:val="231F20"/>
          <w:w w:val="105"/>
        </w:rPr>
        <w:t>ad</w:t>
      </w:r>
      <w:r>
        <w:rPr>
          <w:color w:val="231F20"/>
          <w:spacing w:val="-31"/>
          <w:w w:val="105"/>
        </w:rPr>
        <w:t> </w:t>
      </w:r>
      <w:r>
        <w:rPr>
          <w:color w:val="231F20"/>
          <w:w w:val="105"/>
        </w:rPr>
        <w:t>affrontare,</w:t>
      </w:r>
      <w:r>
        <w:rPr>
          <w:color w:val="231F20"/>
          <w:spacing w:val="-31"/>
          <w:w w:val="105"/>
        </w:rPr>
        <w:t> </w:t>
      </w:r>
      <w:r>
        <w:rPr>
          <w:color w:val="231F20"/>
          <w:w w:val="105"/>
        </w:rPr>
        <w:t>le</w:t>
      </w:r>
      <w:r>
        <w:rPr>
          <w:color w:val="231F20"/>
          <w:spacing w:val="-31"/>
          <w:w w:val="105"/>
        </w:rPr>
        <w:t> </w:t>
      </w:r>
      <w:r>
        <w:rPr>
          <w:color w:val="231F20"/>
          <w:w w:val="105"/>
        </w:rPr>
        <w:t>sfide</w:t>
      </w:r>
      <w:r>
        <w:rPr>
          <w:color w:val="231F20"/>
          <w:spacing w:val="-31"/>
          <w:w w:val="105"/>
        </w:rPr>
        <w:t> </w:t>
      </w:r>
      <w:r>
        <w:rPr>
          <w:color w:val="231F20"/>
          <w:w w:val="105"/>
        </w:rPr>
        <w:t>ogni</w:t>
      </w:r>
      <w:r>
        <w:rPr>
          <w:color w:val="231F20"/>
          <w:spacing w:val="-31"/>
          <w:w w:val="105"/>
        </w:rPr>
        <w:t> </w:t>
      </w:r>
      <w:r>
        <w:rPr>
          <w:color w:val="231F20"/>
          <w:w w:val="105"/>
        </w:rPr>
        <w:t>volta</w:t>
      </w:r>
      <w:r>
        <w:rPr>
          <w:color w:val="231F20"/>
          <w:spacing w:val="-31"/>
          <w:w w:val="105"/>
        </w:rPr>
        <w:t> </w:t>
      </w:r>
      <w:r>
        <w:rPr>
          <w:color w:val="231F20"/>
          <w:w w:val="105"/>
        </w:rPr>
        <w:t>più</w:t>
      </w:r>
      <w:r>
        <w:rPr>
          <w:color w:val="231F20"/>
          <w:spacing w:val="-31"/>
          <w:w w:val="105"/>
        </w:rPr>
        <w:t> </w:t>
      </w:r>
      <w:r>
        <w:rPr>
          <w:color w:val="231F20"/>
          <w:w w:val="105"/>
        </w:rPr>
        <w:t>esigenti, come</w:t>
      </w:r>
      <w:r>
        <w:rPr>
          <w:color w:val="231F20"/>
          <w:spacing w:val="-34"/>
          <w:w w:val="105"/>
        </w:rPr>
        <w:t> </w:t>
      </w:r>
      <w:r>
        <w:rPr>
          <w:color w:val="231F20"/>
          <w:w w:val="105"/>
        </w:rPr>
        <w:t>la</w:t>
      </w:r>
      <w:r>
        <w:rPr>
          <w:color w:val="231F20"/>
          <w:spacing w:val="-34"/>
          <w:w w:val="105"/>
        </w:rPr>
        <w:t> </w:t>
      </w:r>
      <w:r>
        <w:rPr>
          <w:color w:val="231F20"/>
          <w:w w:val="105"/>
        </w:rPr>
        <w:t>modalità</w:t>
      </w:r>
      <w:r>
        <w:rPr>
          <w:color w:val="231F20"/>
          <w:spacing w:val="-34"/>
          <w:w w:val="105"/>
        </w:rPr>
        <w:t> </w:t>
      </w:r>
      <w:r>
        <w:rPr>
          <w:color w:val="231F20"/>
          <w:w w:val="105"/>
        </w:rPr>
        <w:t>che</w:t>
      </w:r>
      <w:r>
        <w:rPr>
          <w:color w:val="231F20"/>
          <w:spacing w:val="-34"/>
          <w:w w:val="105"/>
        </w:rPr>
        <w:t> </w:t>
      </w:r>
      <w:r>
        <w:rPr>
          <w:color w:val="231F20"/>
          <w:w w:val="105"/>
        </w:rPr>
        <w:t>abbiamo</w:t>
      </w:r>
      <w:r>
        <w:rPr>
          <w:color w:val="231F20"/>
          <w:spacing w:val="-34"/>
          <w:w w:val="105"/>
        </w:rPr>
        <w:t> </w:t>
      </w:r>
      <w:r>
        <w:rPr>
          <w:color w:val="231F20"/>
          <w:w w:val="105"/>
        </w:rPr>
        <w:t>chiamato</w:t>
      </w:r>
      <w:r>
        <w:rPr>
          <w:color w:val="231F20"/>
          <w:spacing w:val="-34"/>
          <w:w w:val="105"/>
        </w:rPr>
        <w:t> </w:t>
      </w:r>
      <w:r>
        <w:rPr>
          <w:color w:val="231F20"/>
          <w:w w:val="105"/>
        </w:rPr>
        <w:t>“sovranizzazione”</w:t>
      </w:r>
      <w:r>
        <w:rPr>
          <w:color w:val="231F20"/>
          <w:spacing w:val="-34"/>
          <w:w w:val="105"/>
        </w:rPr>
        <w:t> </w:t>
      </w:r>
      <w:r>
        <w:rPr>
          <w:color w:val="231F20"/>
          <w:w w:val="105"/>
        </w:rPr>
        <w:t>criminale.</w:t>
      </w:r>
    </w:p>
    <w:p>
      <w:pPr>
        <w:pStyle w:val="BodyText"/>
        <w:spacing w:line="247" w:lineRule="auto"/>
        <w:ind w:left="117" w:right="101" w:firstLine="566"/>
        <w:jc w:val="both"/>
      </w:pPr>
      <w:r>
        <w:rPr>
          <w:color w:val="231F20"/>
        </w:rPr>
        <w:t>Anzi, la sovranità del crimine è una delle sue realtà in atto, cioè, una delle sue situazioni attuali. Sono realtà, da parte loro, che esprimono </w:t>
      </w:r>
      <w:r>
        <w:rPr>
          <w:color w:val="231F20"/>
          <w:spacing w:val="64"/>
        </w:rPr>
        <w:t> </w:t>
      </w:r>
      <w:r>
        <w:rPr>
          <w:color w:val="231F20"/>
        </w:rPr>
        <w:t>una</w:t>
      </w:r>
    </w:p>
    <w:p>
      <w:pPr>
        <w:pStyle w:val="BodyText"/>
        <w:rPr>
          <w:sz w:val="20"/>
        </w:rPr>
      </w:pPr>
    </w:p>
    <w:p>
      <w:pPr>
        <w:pStyle w:val="BodyText"/>
        <w:spacing w:before="5"/>
        <w:rPr>
          <w:sz w:val="12"/>
        </w:rPr>
      </w:pPr>
      <w:r>
        <w:rPr/>
        <w:pict>
          <v:line style="position:absolute;mso-position-horizontal-relative:page;mso-position-vertical-relative:paragraph;z-index:14032;mso-wrap-distance-left:0;mso-wrap-distance-right:0" from="70.866096pt,9.636672pt" to="184.252096pt,9.636672pt" stroked="true" strokeweight=".3pt" strokecolor="#231f20">
            <w10:wrap type="topAndBottom"/>
          </v:line>
        </w:pict>
      </w:r>
    </w:p>
    <w:p>
      <w:pPr>
        <w:spacing w:line="206" w:lineRule="exact" w:before="10"/>
        <w:ind w:left="117" w:right="0" w:firstLine="0"/>
        <w:jc w:val="both"/>
        <w:rPr>
          <w:rFonts w:ascii="Calibri" w:hAnsi="Calibri"/>
          <w:sz w:val="17"/>
        </w:rPr>
      </w:pPr>
      <w:r>
        <w:rPr>
          <w:rFonts w:ascii="Calibri" w:hAnsi="Calibri"/>
          <w:color w:val="231F20"/>
          <w:w w:val="105"/>
          <w:position w:val="6"/>
          <w:sz w:val="10"/>
        </w:rPr>
        <w:t>60</w:t>
      </w:r>
      <w:r>
        <w:rPr>
          <w:rFonts w:ascii="Calibri" w:hAnsi="Calibri"/>
          <w:color w:val="231F20"/>
          <w:spacing w:val="4"/>
          <w:w w:val="105"/>
          <w:position w:val="6"/>
          <w:sz w:val="10"/>
        </w:rPr>
        <w:t> </w:t>
      </w:r>
      <w:r>
        <w:rPr>
          <w:rFonts w:ascii="Calibri" w:hAnsi="Calibri"/>
          <w:color w:val="231F20"/>
          <w:w w:val="105"/>
          <w:sz w:val="17"/>
        </w:rPr>
        <w:t>L.</w:t>
      </w:r>
      <w:r>
        <w:rPr>
          <w:rFonts w:ascii="Calibri" w:hAnsi="Calibri"/>
          <w:color w:val="231F20"/>
          <w:spacing w:val="-13"/>
          <w:w w:val="105"/>
          <w:sz w:val="17"/>
        </w:rPr>
        <w:t> </w:t>
      </w:r>
      <w:r>
        <w:rPr>
          <w:rFonts w:ascii="Calibri" w:hAnsi="Calibri"/>
          <w:color w:val="231F20"/>
          <w:w w:val="105"/>
          <w:sz w:val="17"/>
        </w:rPr>
        <w:t>Astorga,</w:t>
      </w:r>
      <w:r>
        <w:rPr>
          <w:rFonts w:ascii="Calibri" w:hAnsi="Calibri"/>
          <w:color w:val="231F20"/>
          <w:spacing w:val="-13"/>
          <w:w w:val="105"/>
          <w:sz w:val="17"/>
        </w:rPr>
        <w:t> </w:t>
      </w:r>
      <w:r>
        <w:rPr>
          <w:rFonts w:ascii="Calibri" w:hAnsi="Calibri"/>
          <w:color w:val="231F20"/>
          <w:w w:val="105"/>
          <w:sz w:val="17"/>
        </w:rPr>
        <w:t>“México:</w:t>
      </w:r>
      <w:r>
        <w:rPr>
          <w:rFonts w:ascii="Calibri" w:hAnsi="Calibri"/>
          <w:color w:val="231F20"/>
          <w:spacing w:val="-13"/>
          <w:w w:val="105"/>
          <w:sz w:val="17"/>
        </w:rPr>
        <w:t> </w:t>
      </w:r>
      <w:r>
        <w:rPr>
          <w:rFonts w:ascii="Calibri" w:hAnsi="Calibri"/>
          <w:color w:val="231F20"/>
          <w:w w:val="105"/>
          <w:sz w:val="17"/>
        </w:rPr>
        <w:t>de</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seguridad</w:t>
      </w:r>
      <w:r>
        <w:rPr>
          <w:rFonts w:ascii="Calibri" w:hAnsi="Calibri"/>
          <w:color w:val="231F20"/>
          <w:spacing w:val="-13"/>
          <w:w w:val="105"/>
          <w:sz w:val="17"/>
        </w:rPr>
        <w:t> </w:t>
      </w:r>
      <w:r>
        <w:rPr>
          <w:rFonts w:ascii="Calibri" w:hAnsi="Calibri"/>
          <w:color w:val="231F20"/>
          <w:w w:val="105"/>
          <w:sz w:val="17"/>
        </w:rPr>
        <w:t>autoritaria</w:t>
      </w:r>
      <w:r>
        <w:rPr>
          <w:rFonts w:ascii="Calibri" w:hAnsi="Calibri"/>
          <w:color w:val="231F20"/>
          <w:spacing w:val="-13"/>
          <w:w w:val="105"/>
          <w:sz w:val="17"/>
        </w:rPr>
        <w:t> </w:t>
      </w:r>
      <w:r>
        <w:rPr>
          <w:rFonts w:ascii="Calibri" w:hAnsi="Calibri"/>
          <w:color w:val="231F20"/>
          <w:w w:val="105"/>
          <w:sz w:val="17"/>
        </w:rPr>
        <w:t>a</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inseguridad</w:t>
      </w:r>
      <w:r>
        <w:rPr>
          <w:rFonts w:ascii="Calibri" w:hAnsi="Calibri"/>
          <w:color w:val="231F20"/>
          <w:spacing w:val="-13"/>
          <w:w w:val="105"/>
          <w:sz w:val="17"/>
        </w:rPr>
        <w:t> </w:t>
      </w:r>
      <w:r>
        <w:rPr>
          <w:rFonts w:ascii="Calibri" w:hAnsi="Calibri"/>
          <w:color w:val="231F20"/>
          <w:w w:val="105"/>
          <w:sz w:val="17"/>
        </w:rPr>
        <w:t>en</w:t>
      </w:r>
      <w:r>
        <w:rPr>
          <w:rFonts w:ascii="Calibri" w:hAnsi="Calibri"/>
          <w:color w:val="231F20"/>
          <w:spacing w:val="-13"/>
          <w:w w:val="105"/>
          <w:sz w:val="17"/>
        </w:rPr>
        <w:t> </w:t>
      </w:r>
      <w:r>
        <w:rPr>
          <w:rFonts w:ascii="Calibri" w:hAnsi="Calibri"/>
          <w:color w:val="231F20"/>
          <w:w w:val="105"/>
          <w:sz w:val="17"/>
        </w:rPr>
        <w:t>la</w:t>
      </w:r>
      <w:r>
        <w:rPr>
          <w:rFonts w:ascii="Calibri" w:hAnsi="Calibri"/>
          <w:color w:val="231F20"/>
          <w:spacing w:val="-13"/>
          <w:w w:val="105"/>
          <w:sz w:val="17"/>
        </w:rPr>
        <w:t> </w:t>
      </w:r>
      <w:r>
        <w:rPr>
          <w:rFonts w:ascii="Calibri" w:hAnsi="Calibri"/>
          <w:color w:val="231F20"/>
          <w:w w:val="105"/>
          <w:sz w:val="17"/>
        </w:rPr>
        <w:t>transición</w:t>
      </w:r>
      <w:r>
        <w:rPr>
          <w:rFonts w:ascii="Calibri" w:hAnsi="Calibri"/>
          <w:color w:val="231F20"/>
          <w:spacing w:val="-13"/>
          <w:w w:val="105"/>
          <w:sz w:val="17"/>
        </w:rPr>
        <w:t> </w:t>
      </w:r>
      <w:r>
        <w:rPr>
          <w:rFonts w:ascii="Calibri" w:hAnsi="Calibri"/>
          <w:color w:val="231F20"/>
          <w:w w:val="105"/>
          <w:sz w:val="17"/>
        </w:rPr>
        <w:t>democrática”,</w:t>
      </w:r>
      <w:r>
        <w:rPr>
          <w:rFonts w:ascii="Calibri" w:hAnsi="Calibri"/>
          <w:color w:val="231F20"/>
          <w:spacing w:val="-13"/>
          <w:w w:val="105"/>
          <w:sz w:val="17"/>
        </w:rPr>
        <w:t> </w:t>
      </w:r>
      <w:r>
        <w:rPr>
          <w:rFonts w:ascii="Calibri" w:hAnsi="Calibri"/>
          <w:color w:val="231F20"/>
          <w:w w:val="105"/>
          <w:sz w:val="17"/>
        </w:rPr>
        <w:t>J.</w:t>
      </w:r>
    </w:p>
    <w:p>
      <w:pPr>
        <w:spacing w:line="235" w:lineRule="auto" w:before="1"/>
        <w:ind w:left="117" w:right="101" w:firstLine="0"/>
        <w:jc w:val="both"/>
        <w:rPr>
          <w:rFonts w:ascii="Calibri" w:hAnsi="Calibri"/>
          <w:sz w:val="17"/>
        </w:rPr>
      </w:pPr>
      <w:r>
        <w:rPr>
          <w:rFonts w:ascii="Calibri" w:hAnsi="Calibri"/>
          <w:color w:val="231F20"/>
          <w:sz w:val="17"/>
        </w:rPr>
        <w:t>G. Tokatlian (comp), </w:t>
      </w:r>
      <w:r>
        <w:rPr>
          <w:rFonts w:ascii="Calibri" w:hAnsi="Calibri"/>
          <w:i/>
          <w:color w:val="231F20"/>
          <w:sz w:val="17"/>
        </w:rPr>
        <w:t>Drogas y prohibición. Una vieja guerra, un nuevo debate</w:t>
      </w:r>
      <w:r>
        <w:rPr>
          <w:rFonts w:ascii="Calibri" w:hAnsi="Calibri"/>
          <w:color w:val="231F20"/>
          <w:sz w:val="17"/>
        </w:rPr>
        <w:t>, Buenos Aires, Libros del Zorzal, 2010 p. 355.</w:t>
      </w:r>
    </w:p>
    <w:p>
      <w:pPr>
        <w:spacing w:line="235" w:lineRule="auto" w:before="0"/>
        <w:ind w:left="117" w:right="101" w:firstLine="0"/>
        <w:jc w:val="both"/>
        <w:rPr>
          <w:rFonts w:ascii="Calibri" w:hAnsi="Calibri"/>
          <w:sz w:val="17"/>
        </w:rPr>
      </w:pPr>
      <w:r>
        <w:rPr>
          <w:rFonts w:ascii="Calibri" w:hAnsi="Calibri"/>
          <w:color w:val="231F20"/>
          <w:position w:val="6"/>
          <w:sz w:val="10"/>
        </w:rPr>
        <w:t>61 </w:t>
      </w:r>
      <w:r>
        <w:rPr>
          <w:rFonts w:ascii="Calibri" w:hAnsi="Calibri"/>
          <w:color w:val="231F20"/>
          <w:sz w:val="17"/>
        </w:rPr>
        <w:t>C. A. Flores Pérez, </w:t>
      </w:r>
      <w:r>
        <w:rPr>
          <w:rFonts w:ascii="Calibri" w:hAnsi="Calibri"/>
          <w:i/>
          <w:color w:val="231F20"/>
          <w:sz w:val="17"/>
        </w:rPr>
        <w:t>El Estado en crisis: crimen organizado y política. Desafíos para la consolidación </w:t>
      </w:r>
      <w:r>
        <w:rPr>
          <w:rFonts w:ascii="Calibri" w:hAnsi="Calibri"/>
          <w:i/>
          <w:color w:val="231F20"/>
          <w:sz w:val="17"/>
        </w:rPr>
        <w:t>democrática</w:t>
      </w:r>
      <w:r>
        <w:rPr>
          <w:rFonts w:ascii="Calibri" w:hAnsi="Calibri"/>
          <w:color w:val="231F20"/>
          <w:sz w:val="17"/>
        </w:rPr>
        <w:t>, México, Centro de Investigaciones y estudios Superiores en Antropología  Social,  2009,</w:t>
      </w:r>
      <w:r>
        <w:rPr>
          <w:rFonts w:ascii="Calibri" w:hAnsi="Calibri"/>
          <w:color w:val="231F20"/>
          <w:spacing w:val="-18"/>
          <w:sz w:val="17"/>
        </w:rPr>
        <w:t> </w:t>
      </w:r>
      <w:r>
        <w:rPr>
          <w:rFonts w:ascii="Calibri" w:hAnsi="Calibri"/>
          <w:color w:val="231F20"/>
          <w:sz w:val="17"/>
        </w:rPr>
        <w:t>pp.</w:t>
      </w:r>
      <w:r>
        <w:rPr>
          <w:rFonts w:ascii="Calibri" w:hAnsi="Calibri"/>
          <w:color w:val="231F20"/>
          <w:spacing w:val="-18"/>
          <w:sz w:val="17"/>
        </w:rPr>
        <w:t> </w:t>
      </w:r>
      <w:r>
        <w:rPr>
          <w:rFonts w:ascii="Calibri" w:hAnsi="Calibri"/>
          <w:color w:val="231F20"/>
          <w:sz w:val="17"/>
        </w:rPr>
        <w:t>139–140.</w:t>
      </w:r>
    </w:p>
    <w:p>
      <w:pPr>
        <w:spacing w:line="235" w:lineRule="auto" w:before="0"/>
        <w:ind w:left="117" w:right="101" w:firstLine="0"/>
        <w:jc w:val="both"/>
        <w:rPr>
          <w:rFonts w:ascii="Calibri" w:hAnsi="Calibri"/>
          <w:sz w:val="17"/>
        </w:rPr>
      </w:pPr>
      <w:r>
        <w:rPr>
          <w:rFonts w:ascii="Calibri" w:hAnsi="Calibri"/>
          <w:color w:val="231F20"/>
          <w:position w:val="6"/>
          <w:sz w:val="10"/>
        </w:rPr>
        <w:t>62 </w:t>
      </w:r>
      <w:r>
        <w:rPr>
          <w:rFonts w:ascii="Calibri" w:hAnsi="Calibri"/>
          <w:color w:val="231F20"/>
          <w:sz w:val="17"/>
        </w:rPr>
        <w:t>I. Covarrubias, “Delincuencia organizada, descentramiento del poder y controversias en ciertas formas de (des)organización social en México”, </w:t>
      </w:r>
      <w:r>
        <w:rPr>
          <w:rFonts w:ascii="Calibri" w:hAnsi="Calibri"/>
          <w:i/>
          <w:color w:val="231F20"/>
          <w:sz w:val="17"/>
        </w:rPr>
        <w:t>Khantati. Revista boliviana de ciencia política</w:t>
      </w:r>
      <w:r>
        <w:rPr>
          <w:rFonts w:ascii="Calibri" w:hAnsi="Calibri"/>
          <w:color w:val="231F20"/>
          <w:sz w:val="17"/>
        </w:rPr>
        <w:t>, 1 (en prensa), 2015; A. Schedler, “The Criminal Subversion of Mexican Democracy”, </w:t>
      </w:r>
      <w:r>
        <w:rPr>
          <w:rFonts w:ascii="Calibri" w:hAnsi="Calibri"/>
          <w:i/>
          <w:color w:val="231F20"/>
          <w:sz w:val="17"/>
        </w:rPr>
        <w:t>Journal of</w:t>
      </w:r>
      <w:r>
        <w:rPr>
          <w:rFonts w:ascii="Calibri" w:hAnsi="Calibri"/>
          <w:i/>
          <w:color w:val="231F20"/>
          <w:spacing w:val="-27"/>
          <w:sz w:val="17"/>
        </w:rPr>
        <w:t> </w:t>
      </w:r>
      <w:r>
        <w:rPr>
          <w:rFonts w:ascii="Calibri" w:hAnsi="Calibri"/>
          <w:i/>
          <w:color w:val="231F20"/>
          <w:sz w:val="17"/>
        </w:rPr>
        <w:t>Democracy</w:t>
      </w:r>
      <w:r>
        <w:rPr>
          <w:rFonts w:ascii="Calibri" w:hAnsi="Calibri"/>
          <w:color w:val="231F20"/>
          <w:sz w:val="17"/>
        </w:rPr>
        <w:t>, 25,</w:t>
      </w:r>
      <w:r>
        <w:rPr>
          <w:rFonts w:ascii="Calibri" w:hAnsi="Calibri"/>
          <w:color w:val="231F20"/>
          <w:spacing w:val="-26"/>
          <w:sz w:val="17"/>
        </w:rPr>
        <w:t> </w:t>
      </w:r>
      <w:r>
        <w:rPr>
          <w:rFonts w:ascii="Calibri" w:hAnsi="Calibri"/>
          <w:color w:val="231F20"/>
          <w:sz w:val="17"/>
        </w:rPr>
        <w:t>1,</w:t>
      </w:r>
      <w:r>
        <w:rPr>
          <w:rFonts w:ascii="Calibri" w:hAnsi="Calibri"/>
          <w:color w:val="231F20"/>
          <w:spacing w:val="-26"/>
          <w:sz w:val="17"/>
        </w:rPr>
        <w:t> </w:t>
      </w:r>
      <w:r>
        <w:rPr>
          <w:rFonts w:ascii="Calibri" w:hAnsi="Calibri"/>
          <w:color w:val="231F20"/>
          <w:sz w:val="17"/>
        </w:rPr>
        <w:t>2014,</w:t>
      </w:r>
      <w:r>
        <w:rPr>
          <w:rFonts w:ascii="Calibri" w:hAnsi="Calibri"/>
          <w:color w:val="231F20"/>
          <w:spacing w:val="-26"/>
          <w:sz w:val="17"/>
        </w:rPr>
        <w:t> </w:t>
      </w:r>
      <w:r>
        <w:rPr>
          <w:rFonts w:ascii="Calibri" w:hAnsi="Calibri"/>
          <w:color w:val="231F20"/>
          <w:sz w:val="17"/>
        </w:rPr>
        <w:t>pp.</w:t>
      </w:r>
      <w:r>
        <w:rPr>
          <w:rFonts w:ascii="Calibri" w:hAnsi="Calibri"/>
          <w:color w:val="231F20"/>
          <w:spacing w:val="-26"/>
          <w:sz w:val="17"/>
        </w:rPr>
        <w:t> </w:t>
      </w:r>
      <w:r>
        <w:rPr>
          <w:rFonts w:ascii="Calibri" w:hAnsi="Calibri"/>
          <w:color w:val="231F20"/>
          <w:sz w:val="17"/>
        </w:rPr>
        <w:t>5–18.</w:t>
      </w:r>
    </w:p>
    <w:p>
      <w:pPr>
        <w:spacing w:after="0" w:line="235" w:lineRule="auto"/>
        <w:jc w:val="both"/>
        <w:rPr>
          <w:rFonts w:ascii="Calibri" w:hAnsi="Calibri"/>
          <w:sz w:val="17"/>
        </w:rPr>
        <w:sectPr>
          <w:type w:val="continuous"/>
          <w:pgSz w:w="9640" w:h="13890"/>
          <w:pgMar w:top="0" w:bottom="0" w:left="1300" w:right="1200"/>
        </w:sectPr>
      </w:pPr>
    </w:p>
    <w:p>
      <w:pPr>
        <w:pStyle w:val="BodyText"/>
        <w:spacing w:line="247" w:lineRule="auto" w:before="107"/>
        <w:ind w:left="103" w:right="112"/>
        <w:jc w:val="both"/>
      </w:pPr>
      <w:r>
        <w:rPr>
          <w:color w:val="231F20"/>
        </w:rPr>
        <w:t>forma consolidata e in certo modo “raffinata” (per il grado di complessità che hanno raggiunto) di organizzazione degli interessi della politica </w:t>
      </w:r>
      <w:r>
        <w:rPr>
          <w:color w:val="231F20"/>
          <w:spacing w:val="2"/>
        </w:rPr>
        <w:t>nel </w:t>
      </w:r>
      <w:r>
        <w:rPr>
          <w:color w:val="231F20"/>
        </w:rPr>
        <w:t>campo</w:t>
      </w:r>
      <w:r>
        <w:rPr>
          <w:color w:val="231F20"/>
          <w:spacing w:val="-15"/>
        </w:rPr>
        <w:t> </w:t>
      </w:r>
      <w:r>
        <w:rPr>
          <w:color w:val="231F20"/>
        </w:rPr>
        <w:t>del</w:t>
      </w:r>
      <w:r>
        <w:rPr>
          <w:color w:val="231F20"/>
          <w:spacing w:val="-15"/>
        </w:rPr>
        <w:t> </w:t>
      </w:r>
      <w:r>
        <w:rPr>
          <w:color w:val="231F20"/>
        </w:rPr>
        <w:t>sociale.</w:t>
      </w:r>
      <w:r>
        <w:rPr>
          <w:color w:val="231F20"/>
          <w:spacing w:val="-14"/>
        </w:rPr>
        <w:t> </w:t>
      </w:r>
      <w:r>
        <w:rPr>
          <w:color w:val="231F20"/>
        </w:rPr>
        <w:t>È</w:t>
      </w:r>
      <w:r>
        <w:rPr>
          <w:color w:val="231F20"/>
          <w:spacing w:val="-15"/>
        </w:rPr>
        <w:t> </w:t>
      </w:r>
      <w:r>
        <w:rPr>
          <w:color w:val="231F20"/>
          <w:spacing w:val="-3"/>
        </w:rPr>
        <w:t>difficile</w:t>
      </w:r>
      <w:r>
        <w:rPr>
          <w:color w:val="231F20"/>
          <w:spacing w:val="-15"/>
        </w:rPr>
        <w:t> </w:t>
      </w:r>
      <w:r>
        <w:rPr>
          <w:color w:val="231F20"/>
          <w:spacing w:val="-3"/>
        </w:rPr>
        <w:t>credere</w:t>
      </w:r>
      <w:r>
        <w:rPr>
          <w:color w:val="231F20"/>
          <w:spacing w:val="-15"/>
        </w:rPr>
        <w:t> </w:t>
      </w:r>
      <w:r>
        <w:rPr>
          <w:color w:val="231F20"/>
        </w:rPr>
        <w:t>che</w:t>
      </w:r>
      <w:r>
        <w:rPr>
          <w:color w:val="231F20"/>
          <w:spacing w:val="-15"/>
        </w:rPr>
        <w:t> </w:t>
      </w:r>
      <w:r>
        <w:rPr>
          <w:color w:val="231F20"/>
        </w:rPr>
        <w:t>lo</w:t>
      </w:r>
      <w:r>
        <w:rPr>
          <w:color w:val="231F20"/>
          <w:spacing w:val="-15"/>
        </w:rPr>
        <w:t> </w:t>
      </w:r>
      <w:r>
        <w:rPr>
          <w:color w:val="231F20"/>
        </w:rPr>
        <w:t>Stato</w:t>
      </w:r>
      <w:r>
        <w:rPr>
          <w:color w:val="231F20"/>
          <w:spacing w:val="-15"/>
        </w:rPr>
        <w:t> </w:t>
      </w:r>
      <w:r>
        <w:rPr>
          <w:color w:val="231F20"/>
        </w:rPr>
        <w:t>nella</w:t>
      </w:r>
      <w:r>
        <w:rPr>
          <w:color w:val="231F20"/>
          <w:spacing w:val="-15"/>
        </w:rPr>
        <w:t> </w:t>
      </w:r>
      <w:r>
        <w:rPr>
          <w:color w:val="231F20"/>
        </w:rPr>
        <w:t>situazione</w:t>
      </w:r>
      <w:r>
        <w:rPr>
          <w:color w:val="231F20"/>
          <w:spacing w:val="-15"/>
        </w:rPr>
        <w:t> </w:t>
      </w:r>
      <w:r>
        <w:rPr>
          <w:color w:val="231F20"/>
        </w:rPr>
        <w:t>globale</w:t>
      </w:r>
      <w:r>
        <w:rPr>
          <w:color w:val="231F20"/>
          <w:spacing w:val="-15"/>
        </w:rPr>
        <w:t> </w:t>
      </w:r>
      <w:r>
        <w:rPr>
          <w:color w:val="231F20"/>
          <w:spacing w:val="-2"/>
        </w:rPr>
        <w:t>sta </w:t>
      </w:r>
      <w:r>
        <w:rPr>
          <w:color w:val="231F20"/>
          <w:spacing w:val="-4"/>
        </w:rPr>
        <w:t>affrontando</w:t>
      </w:r>
      <w:r>
        <w:rPr>
          <w:color w:val="231F20"/>
          <w:spacing w:val="-12"/>
        </w:rPr>
        <w:t> </w:t>
      </w:r>
      <w:r>
        <w:rPr>
          <w:color w:val="231F20"/>
        </w:rPr>
        <w:t>una</w:t>
      </w:r>
      <w:r>
        <w:rPr>
          <w:color w:val="231F20"/>
          <w:spacing w:val="-12"/>
        </w:rPr>
        <w:t> </w:t>
      </w:r>
      <w:r>
        <w:rPr>
          <w:color w:val="231F20"/>
          <w:spacing w:val="-3"/>
        </w:rPr>
        <w:t>“rivincita”</w:t>
      </w:r>
      <w:r>
        <w:rPr>
          <w:color w:val="231F20"/>
          <w:spacing w:val="-12"/>
        </w:rPr>
        <w:t> </w:t>
      </w:r>
      <w:r>
        <w:rPr>
          <w:color w:val="231F20"/>
          <w:spacing w:val="-3"/>
        </w:rPr>
        <w:t>della</w:t>
      </w:r>
      <w:r>
        <w:rPr>
          <w:color w:val="231F20"/>
          <w:spacing w:val="-12"/>
        </w:rPr>
        <w:t> </w:t>
      </w:r>
      <w:r>
        <w:rPr>
          <w:color w:val="231F20"/>
          <w:spacing w:val="-3"/>
        </w:rPr>
        <w:t>società</w:t>
      </w:r>
      <w:r>
        <w:rPr>
          <w:color w:val="231F20"/>
          <w:spacing w:val="-12"/>
        </w:rPr>
        <w:t> </w:t>
      </w:r>
      <w:r>
        <w:rPr>
          <w:color w:val="231F20"/>
          <w:spacing w:val="-4"/>
        </w:rPr>
        <w:t>contro</w:t>
      </w:r>
      <w:r>
        <w:rPr>
          <w:color w:val="231F20"/>
          <w:spacing w:val="-12"/>
        </w:rPr>
        <w:t> </w:t>
      </w:r>
      <w:r>
        <w:rPr>
          <w:color w:val="231F20"/>
        </w:rPr>
        <w:t>lo</w:t>
      </w:r>
      <w:r>
        <w:rPr>
          <w:color w:val="231F20"/>
          <w:spacing w:val="-12"/>
        </w:rPr>
        <w:t> </w:t>
      </w:r>
      <w:r>
        <w:rPr>
          <w:color w:val="231F20"/>
          <w:spacing w:val="-3"/>
        </w:rPr>
        <w:t>Stato.</w:t>
      </w:r>
      <w:r>
        <w:rPr>
          <w:color w:val="231F20"/>
          <w:spacing w:val="-12"/>
        </w:rPr>
        <w:t> </w:t>
      </w:r>
      <w:r>
        <w:rPr>
          <w:color w:val="231F20"/>
        </w:rPr>
        <w:t>In</w:t>
      </w:r>
      <w:r>
        <w:rPr>
          <w:color w:val="231F20"/>
          <w:spacing w:val="-12"/>
        </w:rPr>
        <w:t> </w:t>
      </w:r>
      <w:r>
        <w:rPr>
          <w:color w:val="231F20"/>
          <w:spacing w:val="-3"/>
        </w:rPr>
        <w:t>cambio,</w:t>
      </w:r>
      <w:r>
        <w:rPr>
          <w:color w:val="231F20"/>
          <w:spacing w:val="-12"/>
        </w:rPr>
        <w:t> </w:t>
      </w:r>
      <w:r>
        <w:rPr>
          <w:color w:val="231F20"/>
        </w:rPr>
        <w:t>è</w:t>
      </w:r>
      <w:r>
        <w:rPr>
          <w:color w:val="231F20"/>
          <w:spacing w:val="-12"/>
        </w:rPr>
        <w:t> </w:t>
      </w:r>
      <w:r>
        <w:rPr>
          <w:color w:val="231F20"/>
          <w:spacing w:val="-4"/>
        </w:rPr>
        <w:t>credibile </w:t>
      </w:r>
      <w:r>
        <w:rPr>
          <w:color w:val="231F20"/>
        </w:rPr>
        <w:t>che assistiamo a un processo lento di “dis-universalizzazione” dell’ordine territoriale</w:t>
      </w:r>
      <w:r>
        <w:rPr>
          <w:color w:val="231F20"/>
          <w:spacing w:val="-17"/>
        </w:rPr>
        <w:t> </w:t>
      </w:r>
      <w:r>
        <w:rPr>
          <w:color w:val="231F20"/>
        </w:rPr>
        <w:t>dello</w:t>
      </w:r>
      <w:r>
        <w:rPr>
          <w:color w:val="231F20"/>
          <w:spacing w:val="-17"/>
        </w:rPr>
        <w:t> </w:t>
      </w:r>
      <w:r>
        <w:rPr>
          <w:color w:val="231F20"/>
        </w:rPr>
        <w:t>Stato,</w:t>
      </w:r>
      <w:r>
        <w:rPr>
          <w:color w:val="231F20"/>
          <w:spacing w:val="-17"/>
        </w:rPr>
        <w:t> </w:t>
      </w:r>
      <w:r>
        <w:rPr>
          <w:color w:val="231F20"/>
        </w:rPr>
        <w:t>perchè</w:t>
      </w:r>
      <w:r>
        <w:rPr>
          <w:color w:val="231F20"/>
          <w:spacing w:val="-17"/>
        </w:rPr>
        <w:t> </w:t>
      </w:r>
      <w:r>
        <w:rPr>
          <w:color w:val="231F20"/>
        </w:rPr>
        <w:t>vediamo</w:t>
      </w:r>
      <w:r>
        <w:rPr>
          <w:color w:val="231F20"/>
          <w:spacing w:val="-17"/>
        </w:rPr>
        <w:t> </w:t>
      </w:r>
      <w:r>
        <w:rPr>
          <w:color w:val="231F20"/>
        </w:rPr>
        <w:t>che</w:t>
      </w:r>
      <w:r>
        <w:rPr>
          <w:color w:val="231F20"/>
          <w:spacing w:val="-17"/>
        </w:rPr>
        <w:t> </w:t>
      </w:r>
      <w:r>
        <w:rPr>
          <w:color w:val="231F20"/>
        </w:rPr>
        <w:t>i</w:t>
      </w:r>
      <w:r>
        <w:rPr>
          <w:color w:val="231F20"/>
          <w:spacing w:val="-17"/>
        </w:rPr>
        <w:t> </w:t>
      </w:r>
      <w:r>
        <w:rPr>
          <w:color w:val="231F20"/>
        </w:rPr>
        <w:t>limiti</w:t>
      </w:r>
      <w:r>
        <w:rPr>
          <w:color w:val="231F20"/>
          <w:spacing w:val="-17"/>
        </w:rPr>
        <w:t> </w:t>
      </w:r>
      <w:r>
        <w:rPr>
          <w:color w:val="231F20"/>
        </w:rPr>
        <w:t>e</w:t>
      </w:r>
      <w:r>
        <w:rPr>
          <w:color w:val="231F20"/>
          <w:spacing w:val="-17"/>
        </w:rPr>
        <w:t> </w:t>
      </w:r>
      <w:r>
        <w:rPr>
          <w:color w:val="231F20"/>
        </w:rPr>
        <w:t>i</w:t>
      </w:r>
      <w:r>
        <w:rPr>
          <w:color w:val="231F20"/>
          <w:spacing w:val="-17"/>
        </w:rPr>
        <w:t> </w:t>
      </w:r>
      <w:r>
        <w:rPr>
          <w:color w:val="231F20"/>
        </w:rPr>
        <w:t>tratti</w:t>
      </w:r>
      <w:r>
        <w:rPr>
          <w:color w:val="231F20"/>
          <w:spacing w:val="-14"/>
        </w:rPr>
        <w:t> </w:t>
      </w:r>
      <w:r>
        <w:rPr>
          <w:color w:val="231F20"/>
        </w:rPr>
        <w:t>più</w:t>
      </w:r>
      <w:r>
        <w:rPr>
          <w:color w:val="231F20"/>
          <w:spacing w:val="-17"/>
        </w:rPr>
        <w:t> </w:t>
      </w:r>
      <w:r>
        <w:rPr>
          <w:color w:val="231F20"/>
        </w:rPr>
        <w:t>rilevanti</w:t>
      </w:r>
      <w:r>
        <w:rPr>
          <w:color w:val="231F20"/>
          <w:spacing w:val="-17"/>
        </w:rPr>
        <w:t> </w:t>
      </w:r>
      <w:r>
        <w:rPr>
          <w:color w:val="231F20"/>
        </w:rPr>
        <w:t>sono “imposti” da agenti e strutture parastatali che si sviluppano nel suo seno, al grado di mettere in evidenza l’incapacità dello Stato di agglutinare la “diversità” nell’unificazione della política nel campo di sviluppo della vita sociale delle democrazie</w:t>
      </w:r>
      <w:r>
        <w:rPr>
          <w:color w:val="231F20"/>
          <w:spacing w:val="39"/>
        </w:rPr>
        <w:t> </w:t>
      </w:r>
      <w:r>
        <w:rPr>
          <w:color w:val="231F20"/>
        </w:rPr>
        <w:t>attuali.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tabs>
          <w:tab w:pos="1317" w:val="left" w:leader="none"/>
        </w:tabs>
        <w:spacing w:before="0"/>
        <w:ind w:left="212" w:right="0" w:firstLine="0"/>
        <w:jc w:val="left"/>
        <w:rPr>
          <w:rFonts w:ascii="Calibri"/>
          <w:sz w:val="16"/>
        </w:rPr>
      </w:pPr>
      <w:r>
        <w:rPr/>
        <w:pict>
          <v:group style="position:absolute;margin-left:98.079102pt;margin-top:-6.758812pt;width:20.4pt;height:43pt;mso-position-horizontal-relative:page;mso-position-vertical-relative:paragraph;z-index:-161320" coordorigin="1962,-135" coordsize="408,860">
            <v:line style="position:absolute" from="2211,4" to="2211,720" stroked="true" strokeweight=".35pt" strokecolor="#231f20"/>
            <v:shape style="position:absolute;left:2179;top:-82;width:190;height:445" type="#_x0000_t75" stroked="false">
              <v:imagedata r:id="rId34" o:title=""/>
            </v:shape>
            <v:shape style="position:absolute;left:1962;top:-135;width:250;height:502" type="#_x0000_t75" stroked="false">
              <v:imagedata r:id="rId35" o:title=""/>
            </v:shape>
            <w10:wrap type="none"/>
          </v:group>
        </w:pict>
      </w:r>
      <w:r>
        <w:rPr>
          <w:rFonts w:ascii="Trebuchet MS"/>
          <w:color w:val="414042"/>
          <w:w w:val="105"/>
          <w:position w:val="-4"/>
          <w:sz w:val="20"/>
        </w:rPr>
        <w:t>128</w:t>
        <w:tab/>
      </w:r>
      <w:r>
        <w:rPr>
          <w:rFonts w:ascii="Calibri"/>
          <w:color w:val="6D6E71"/>
          <w:sz w:val="16"/>
        </w:rPr>
        <w:t>Israel</w:t>
      </w:r>
      <w:r>
        <w:rPr>
          <w:rFonts w:ascii="Calibri"/>
          <w:color w:val="6D6E71"/>
          <w:spacing w:val="28"/>
          <w:sz w:val="16"/>
        </w:rPr>
        <w:t> </w:t>
      </w:r>
      <w:r>
        <w:rPr>
          <w:rFonts w:ascii="Calibri"/>
          <w:color w:val="6D6E71"/>
          <w:sz w:val="16"/>
        </w:rPr>
        <w:t>Covarrubias</w:t>
      </w:r>
    </w:p>
    <w:p>
      <w:pPr>
        <w:spacing w:after="0"/>
        <w:jc w:val="left"/>
        <w:rPr>
          <w:rFonts w:ascii="Calibri"/>
          <w:sz w:val="16"/>
        </w:rPr>
        <w:sectPr>
          <w:pgSz w:w="9640" w:h="13890"/>
          <w:pgMar w:top="1300" w:bottom="0" w:left="1200" w:right="1300"/>
        </w:sectPr>
      </w:pPr>
    </w:p>
    <w:p>
      <w:pPr>
        <w:pStyle w:val="BodyText"/>
        <w:ind w:left="884"/>
        <w:rPr>
          <w:rFonts w:ascii="Calibri"/>
          <w:sz w:val="20"/>
        </w:rPr>
      </w:pPr>
      <w:r>
        <w:rPr/>
        <w:pict>
          <v:rect style="position:absolute;margin-left:1.021000pt;margin-top:-.000024pt;width:480.869pt;height:694.488pt;mso-position-horizontal-relative:page;mso-position-vertical-relative:page;z-index:-161272" filled="true" fillcolor="#6d6e71" stroked="false">
            <v:fill type="solid"/>
            <w10:wrap type="none"/>
          </v:rect>
        </w:pict>
      </w:r>
      <w:r>
        <w:rPr>
          <w:rFonts w:ascii="Calibri"/>
          <w:sz w:val="20"/>
        </w:rPr>
        <w:pict>
          <v:group style="width:259.5pt;height:425.1pt;mso-position-horizontal-relative:char;mso-position-vertical-relative:line" coordorigin="0,0" coordsize="5190,8502">
            <v:shape style="position:absolute;left:2843;top:633;width:2346;height:7869" type="#_x0000_t75" stroked="false">
              <v:imagedata r:id="rId64" o:title=""/>
            </v:shape>
            <v:shape style="position:absolute;left:2864;top:1653;width:1729;height:3773" coordorigin="2864,1653" coordsize="1729,3773" path="m2953,1653l2941,1678,2914,1749,2885,1854,2864,1984,3158,3145,3436,3890,3860,4543,4593,5425,4587,5306,4571,5018,4552,4668,4535,4361,4023,4075,3687,3697,3380,2974,2953,1653xe" filled="true" fillcolor="#7e8083" stroked="false">
              <v:path arrowok="t"/>
              <v:fill type="solid"/>
            </v:shape>
            <v:shape style="position:absolute;left:0;top:0;width:4665;height:6117" type="#_x0000_t75" stroked="false">
              <v:imagedata r:id="rId65" o:title=""/>
            </v:shape>
            <v:shape style="position:absolute;left:2253;top:9;width:721;height:3805" coordorigin="2253,9" coordsize="721,3805" path="m2757,9l2525,58,2286,1239,2253,2024,2468,2765,2973,3814,2757,9xe" filled="true" fillcolor="#a9abae" stroked="false">
              <v:path arrowok="t"/>
              <v:fill type="solid"/>
            </v:shape>
            <v:shape style="position:absolute;left:2385;top:7;width:602;height:3856" coordorigin="2385,7" coordsize="602,3856" path="m2759,7l2524,51,2520,52,2519,56,2493,174,2487,203,2481,233,2475,262,2470,292,2449,411,2444,441,2440,470,2436,500,2432,530,2424,590,2417,650,2411,710,2405,770,2402,800,2400,833,2398,863,2396,891,2392,952,2391,981,2390,1012,2386,1132,2385,1162,2385,1222,2385,1313,2386,1374,2389,1437,2391,1495,2394,1555,2398,1615,2402,1675,2413,1796,2419,1856,2426,1916,2433,1976,2441,2036,2449,2096,2458,2155,2468,2215,2473,2245,2478,2274,2484,2304,2495,2363,2501,2393,2506,2422,2513,2452,2538,2570,2566,2687,2581,2746,2596,2804,2612,2863,2628,2920,2645,2978,2662,3035,2680,3093,2698,3150,2718,3207,2737,3264,2757,3321,2778,3377,2799,3433,2821,3489,2843,3545,2866,3600,2889,3656,2913,3710,2939,3765,2965,3819,2986,3862,2983,3815,2964,3815,2961,3765,2957,3756,2933,3701,2910,3646,2888,3591,2866,3535,2845,3479,2824,3423,2804,3367,2785,3310,2766,3253,2747,3196,2729,3139,2712,3082,2695,3025,2679,2967,2663,2909,2647,2852,2632,2794,2618,2735,2603,2677,2577,2561,2552,2443,2546,2414,2541,2384,2535,2355,2530,2325,2525,2296,2519,2266,2515,2237,2510,2207,2500,2148,2491,2089,2483,2029,2474,1970,2460,1851,2454,1791,2449,1732,2443,1672,2439,1612,2431,1492,2427,1372,2425,1342,2424,1313,2424,1282,2424,1252,2423,1222,2423,1192,2422,1162,2423,1132,2425,1011,2425,982,2426,951,2428,923,2431,860,2432,830,2434,803,2436,773,2441,713,2446,653,2451,593,2458,534,2461,504,2465,474,2468,444,2472,414,2490,296,2494,266,2499,236,2504,207,2530,64,2526,64,2531,59,2548,59,2755,12,2759,12,2759,7xm2961,3765l2964,3815,2982,3810,2961,3765xm2759,12l2755,12,2758,91,2767,328,2771,414,2774,485,2796,961,2821,1437,2825,1516,2829,1596,2834,1675,2839,1754,2843,1834,2853,1992,2858,2071,2864,2150,2875,2309,2880,2388,2885,2467,2896,2626,2902,2705,2907,2784,2912,2863,2926,3101,2930,3161,2933,3220,2936,3280,2944,3418,2948,3498,2952,3577,2956,3656,2960,3736,2961,3765,2982,3810,2964,3815,2983,3815,2978,3735,2972,3655,2967,3576,2962,3497,2958,3418,2949,3279,2946,3219,2942,3160,2927,2862,2923,2783,2919,2704,2915,2625,2908,2466,2904,2384,2901,2304,2894,2148,2890,2069,2886,1990,2878,1831,2874,1752,2869,1672,2865,1594,2860,1514,2855,1434,2826,959,2794,484,2789,405,2783,326,2777,247,2765,88,2759,12xm2531,59l2526,64,2530,63,2531,59xm2530,63l2526,64,2530,64,2530,63xm2548,59l2531,59,2530,63,2548,59xe" filled="true" fillcolor="#ffffff" stroked="false">
              <v:path arrowok="t"/>
              <v:fill type="solid"/>
            </v:shape>
            <v:shape style="position:absolute;left:765;top:4108;width:1689;height:2056" coordorigin="765,4108" coordsize="1689,2056" path="m2396,4108l2330,4111,2257,4118,2175,4134,2085,4160,1988,4198,1882,4250,1826,4282,1769,4318,1709,4358,1648,4404,1584,4454,1519,4510,1452,4571,1383,4638,1312,4711,1239,4790,1165,4876,1088,4969,1010,5069,930,5176,848,5291,765,5413,874,6164,1348,5141,1671,4586,1990,4307,2453,4110,2425,4109,2396,4108xe" filled="true" fillcolor="#bec0c2" stroked="false">
              <v:path arrowok="t"/>
              <v:fill type="solid"/>
            </v:shape>
            <v:shape style="position:absolute;left:763;top:4090;width:1709;height:2094" coordorigin="763,4090" coordsize="1709,2094" path="m2385,4090l2350,4090,2315,4092,2280,4096,2246,4100,2211,4106,2177,4113,2109,4130,2027,4159,2010,4165,1994,4172,1978,4179,1946,4193,1931,4200,1915,4208,1838,4250,1823,4259,1808,4268,1705,4335,1622,4398,1608,4409,1594,4419,1580,4430,1461,4534,1337,4658,1313,4684,1290,4710,1266,4736,1243,4762,1219,4788,1196,4815,1174,4842,1086,4951,1064,4979,1043,5007,918,5177,899,5206,763,5412,763,5413,763,5414,785,5602,791,5649,796,5696,802,5743,818,5866,828,5941,838,6016,848,6092,858,6167,859,6172,862,6177,874,6183,884,6180,888,6171,888,6171,892,6162,889,6162,859,6157,881,6110,878,6087,866,6012,854,5937,842,5862,823,5740,815,5694,807,5647,799,5600,767,5414,912,5216,933,5188,1062,5023,1084,4996,1220,4837,1244,4812,1268,4786,1291,4761,1315,4736,1339,4710,1363,4685,1488,4565,1606,4464,1619,4453,1633,4443,1729,4371,1829,4306,1844,4297,1859,4289,1933,4248,1949,4241,2026,4206,2041,4199,2121,4171,2186,4153,2218,4146,2251,4140,2285,4135,2318,4132,2351,4129,2366,4129,2371,4126,2447,4093,2465,4093,2464,4092,2419,4090,2385,4090xm881,6110l859,6157,889,6162,881,6110xm2385,4128l2366,4129,2299,4166,2231,4212,2214,4224,2197,4236,2165,4261,2133,4287,2102,4314,2071,4342,2026,4384,2011,4398,1997,4413,1983,4428,1968,4443,1954,4457,1940,4472,1871,4549,1817,4612,1791,4644,1765,4676,1739,4708,1689,4773,1664,4806,1615,4872,1566,4939,1542,4973,1495,5041,1449,5110,1426,5144,1380,5213,1358,5247,1335,5282,1291,5352,1248,5423,1205,5494,1163,5566,1142,5602,1122,5638,1102,5674,1062,5747,1043,5784,1023,5821,1004,5858,967,5932,930,6006,894,6081,881,6110,889,6162,892,6162,924,6097,960,6022,998,5949,1036,5875,1074,5802,1113,5729,1152,5656,1192,5583,1272,5439,1287,5412,1313,5367,1334,5331,1355,5295,1397,5225,1441,5154,1485,5084,1531,5016,1554,4982,1577,4948,1625,4880,1649,4847,1674,4814,1699,4782,1750,4717,1776,4685,1802,4654,1829,4622,1883,4561,1954,4487,1968,4473,1983,4459,1999,4443,2012,4430,2027,4416,2042,4402,2088,4362,2119,4336,2150,4311,2182,4286,2199,4274,2231,4250,2248,4239,2316,4196,2386,4159,2456,4129,2452,4129,2418,4128,2385,4128xm2452,4128l2385,4128,2418,4128,2452,4129,2452,4128xm2465,4093l2447,4093,2452,4129,2456,4129,2459,4128,2460,4128,2466,4125,2471,4119,2472,4101,2465,4093xm2447,4093l2371,4126,2366,4129,2385,4128,2452,4128,2447,4093xe" filled="true" fillcolor="#ffffff" stroked="false">
              <v:path arrowok="t"/>
              <v:fill type="solid"/>
            </v:shape>
            <v:shape style="position:absolute;left:874;top:4111;width:2141;height:2054" coordorigin="874,4111" coordsize="2141,2054" path="m2486,4111l2096,4164,1797,4395,1440,4998,874,6164,985,6035,1092,5914,1196,5800,1296,5693,1392,5593,1485,5501,1575,5414,1660,5334,1743,5261,1822,5193,1898,5131,1971,5074,2042,5022,2109,4976,2173,4934,2235,4896,2294,4863,2350,4834,2404,4809,2455,4787,2504,4769,2551,4754,2596,4742,2638,4732,2679,4725,2717,4720,2754,4718,2789,4716,2975,4716,2959,4706,2904,4657,2850,4599,2797,4535,2746,4467,2696,4397,2604,4263,2561,4203,2522,4152,2486,4111xm2975,4716l2789,4716,2822,4717,2854,4719,2884,4721,2913,4725,2940,4729,2966,4734,3015,4743,2975,4716xe" filled="true" fillcolor="#828486" stroked="false">
              <v:path arrowok="t"/>
              <v:fill type="solid"/>
            </v:shape>
            <v:shape style="position:absolute;left:871;top:4104;width:2162;height:2063" coordorigin="871,4104" coordsize="2162,2063" path="m872,6166l873,6167,873,6166,872,6166xm875,6165l874,6166,873,6166,874,6167,875,6166,875,6165xm885,6147l872,6163,872,6163,872,6165,872,6166,872,6166,873,6166,874,6166,875,6165,885,6147xm872,6165l872,6166,872,6166,872,6165xm2810,4698l2768,4698,2725,4701,2683,4705,2642,4712,2600,4721,2559,4731,2519,4743,2479,4757,2439,4772,2400,4788,2362,4805,2324,4824,2286,4843,2249,4863,2213,4884,2141,4928,2071,4975,2036,5000,2002,5025,1968,5050,1934,5076,1901,5101,1868,5128,1803,5182,1739,5237,1708,5265,1645,5322,1614,5351,1553,5409,1523,5439,1493,5469,1433,5529,1345,5620,1316,5651,1230,5744,1117,5871,1090,5903,1035,5967,980,6032,885,6147,875,6165,988,6040,1132,5885,1248,5763,1337,5673,1456,5553,1547,5466,1578,5437,1639,5380,1671,5352,1733,5297,1765,5269,1797,5242,1829,5215,1894,5162,1926,5136,1993,5085,2026,5060,2060,5036,2094,5012,2163,4966,2234,4923,2269,4902,2306,4882,2342,4862,2379,4844,2416,4827,2454,4811,2492,4796,2530,4782,2569,4770,2609,4760,2648,4751,2688,4744,2728,4739,2769,4736,2809,4735,2974,4735,2963,4728,2944,4712,2936,4711,2894,4705,2852,4700,2810,4698xm872,6163l871,6164,871,6164,872,6163xm2488,4104l2486,4104,2444,4109,2404,4119,2365,4132,2327,4148,2289,4166,2253,4187,2218,4209,2184,4233,2119,4285,2056,4339,1995,4397,1937,4457,1880,4518,1825,4581,1772,4646,1719,4712,1668,4778,1619,4846,1571,4915,1523,4985,1477,5055,1432,5126,1387,5197,1343,5269,1300,5341,1258,5414,1216,5487,1175,5561,1135,5635,1095,5709,1056,5784,1018,5859,980,5934,943,6010,907,6087,872,6163,885,6147,915,6091,954,6016,994,5942,1075,5795,1116,5722,1158,5649,1200,5576,1242,5504,1285,5431,1328,5359,1372,5288,1416,5217,1461,5146,1507,5076,1553,5006,1599,4936,1647,4867,1695,4799,1744,4732,1794,4665,1845,4599,1898,4535,1952,4472,2008,4411,2067,4352,2128,4297,2193,4245,2226,4221,2260,4199,2295,4178,2332,4159,2369,4144,2407,4131,2447,4123,2483,4118,2481,4116,2500,4116,2491,4106,2489,4104,2488,4104xm2974,4735l2809,4735,2850,4737,2890,4740,2930,4745,2971,4752,3012,4760,3012,4760,3018,4761,3025,4758,3007,4758,2974,4735xm2944,4712l2963,4728,3007,4758,3017,4727,2977,4718,2944,4712xm2500,4116l2481,4116,2486,4118,2483,4118,2499,4135,2515,4154,2531,4175,2546,4195,2562,4216,2577,4237,2591,4259,2606,4280,2664,4367,2693,4410,2723,4453,2753,4495,2784,4537,2816,4578,2849,4619,2885,4657,2922,4694,2944,4712,2977,4718,3017,4727,3007,4758,3025,4758,3025,4758,3029,4751,3033,4743,3030,4733,3022,4728,3001,4716,2981,4702,2961,4687,2942,4671,2923,4654,2905,4636,2887,4618,2869,4599,2835,4561,2802,4521,2771,4481,2740,4439,2709,4398,2679,4355,2589,4228,2573,4207,2558,4186,2542,4165,2526,4145,2509,4125,2500,4116xm2481,4116l2483,4118,2486,4118,2481,4116xe" filled="true" fillcolor="#ffffff" stroked="false">
              <v:path arrowok="t"/>
              <v:fill type="solid"/>
            </v:shape>
            <v:shape style="position:absolute;left:1244;top:138;width:1771;height:4609" coordorigin="1244,138" coordsize="1771,4609" path="m2174,138l1618,256,1244,1778,1264,2753,1811,3602,3015,4747,3001,4483,2984,4202,2969,3979,2963,3887,2240,3071,1917,2408,1920,1547,2174,138xe" filled="true" fillcolor="#959799" stroked="false">
              <v:path arrowok="t"/>
              <v:fill type="solid"/>
            </v:shape>
            <v:shape style="position:absolute;left:1491;top:130;width:1535;height:4640" coordorigin="1491,130" coordsize="1535,4640" path="m2186,130l2172,130,1616,270,1597,350,1581,410,1566,490,1552,570,1540,650,1529,730,1520,790,1512,870,1506,950,1500,1030,1496,1110,1493,1190,1491,1270,1491,1350,1491,1430,1493,1490,1497,1570,1501,1650,1507,1730,1514,1810,1522,1890,1531,1970,1541,2050,1553,2110,1566,2190,1581,2270,1596,2350,1613,2430,1632,2490,1651,2570,1672,2650,1695,2730,1718,2790,1743,2870,1769,2950,1797,3010,1825,3090,1855,3150,1887,3230,1919,3290,1953,3370,1987,3430,2024,3510,2061,3570,2099,3630,2138,3710,2179,3770,2220,3830,2262,3890,2306,3970,2350,4030,2396,4090,2419,4110,2442,4150,2466,4170,2489,4210,2513,4230,2537,4270,2562,4290,2586,4330,2611,4350,2636,4390,2661,4410,2687,4430,2713,4470,2739,4490,2765,4530,2791,4550,2844,4610,2898,4650,2953,4710,3008,4770,3025,4770,3024,4750,3005,4750,3004,4732,2965,4690,2910,4650,2855,4590,2802,4550,2775,4510,2749,4490,2723,4450,2671,4410,2646,4370,2621,4350,2596,4310,2571,4290,2547,4250,2523,4230,2499,4190,2452,4130,2428,4110,2406,4070,2361,4010,2317,3950,2274,3890,2232,3830,2192,3770,2152,3690,2114,3630,2077,3570,2042,3490,2007,3430,1974,3350,1942,3290,1910,3210,1881,3150,1852,3070,1825,3010,1799,2930,1774,2850,1750,2790,1727,2710,1706,2630,1685,2570,1666,2490,1648,2410,1632,2330,1616,2270,1601,2190,1588,2110,1575,2030,1564,1950,1555,1890,1546,1810,1539,1730,1533,1650,1528,1570,1524,1490,1521,1410,1519,1350,1518,1270,1519,1190,1521,1110,1523,1030,1528,950,1533,870,1539,810,1547,730,1555,650,1565,570,1576,490,1589,410,1603,350,1620,270,2164,152,2165,150,2183,150,2186,130xm3004,4732l3005,4750,3021,4750,3004,4732xm2949,3906l2954,3990,2960,4070,2967,4150,2973,4250,2978,4330,3004,4732,3021,4750,3024,4750,2999,4250,2994,4150,2989,4070,2984,3990,2980,3910,2952,3910,2949,3906xm2947,3890l2949,3906,2952,3910,2947,3890xm2979,3890l2947,3890,2952,3910,2980,3910,2979,3890xm2183,150l2176,150,2164,152,2153,210,2141,270,2130,330,2120,390,2110,450,2102,510,2093,570,2086,630,2079,690,2073,770,2068,830,2063,890,2059,950,2056,1010,2053,1070,2052,1130,2051,1190,2051,1270,2051,1330,2052,1390,2055,1450,2057,1510,2061,1570,2066,1630,2074,1710,2083,1790,2093,1870,2105,1970,2119,2050,2134,2130,2151,2210,2169,2290,2188,2370,2209,2450,2232,2530,2256,2610,2281,2690,2308,2770,2337,2850,2367,2930,2399,2990,2432,3070,2467,3150,2503,3230,2540,3290,2579,3370,2620,3430,2662,3510,2695,3570,2728,3610,2763,3670,2798,3710,2835,3770,2872,3810,2911,3870,2949,3906,2947,3890,2974,3890,2935,3850,2898,3790,2861,3750,2826,3690,2791,3650,2758,3590,2725,3550,2693,3490,2652,3410,2613,3350,2574,3270,2538,3210,2502,3130,2469,3050,2436,2970,2405,2910,2376,2830,2348,2750,2322,2670,2296,2590,2272,2510,2250,2430,2229,2350,2209,2270,2191,2190,2175,2110,2160,2030,2146,1950,2134,1870,2123,1790,2114,1710,2106,1630,2100,1570,2096,1510,2092,1450,2089,1390,2085,1250,2085,1190,2085,1130,2085,1070,2087,1010,2089,950,2092,890,2096,830,2101,770,2106,710,2112,630,2118,570,2126,510,2134,450,2142,390,2152,330,2162,270,2172,210,2183,150xm2176,150l2165,150,2164,152,2176,150xe" filled="true" fillcolor="#ffffff" stroked="false">
              <v:path arrowok="t"/>
              <v:fill type="solid"/>
            </v:shape>
          </v:group>
        </w:pict>
      </w:r>
      <w:r>
        <w:rPr>
          <w:rFonts w:ascii="Calibri"/>
          <w:sz w:val="20"/>
        </w:rPr>
      </w:r>
    </w:p>
    <w:p>
      <w:pPr>
        <w:spacing w:line="187" w:lineRule="auto" w:before="22"/>
        <w:ind w:left="688" w:right="3001" w:firstLine="322"/>
        <w:jc w:val="right"/>
        <w:rPr>
          <w:rFonts w:ascii="Lucida Sans Unicode" w:hAnsi="Lucida Sans Unicode"/>
          <w:sz w:val="28"/>
        </w:rPr>
      </w:pPr>
      <w:r>
        <w:rPr>
          <w:rFonts w:ascii="Lucida Sans Unicode" w:hAnsi="Lucida Sans Unicode"/>
          <w:color w:val="FFFFFF"/>
          <w:w w:val="90"/>
          <w:sz w:val="28"/>
        </w:rPr>
        <w:t>QUESTIONI DI CONFINE.</w:t>
      </w:r>
      <w:r>
        <w:rPr>
          <w:rFonts w:ascii="Lucida Sans Unicode" w:hAnsi="Lucida Sans Unicode"/>
          <w:color w:val="FFFFFF"/>
          <w:w w:val="91"/>
          <w:sz w:val="28"/>
        </w:rPr>
        <w:t> </w:t>
      </w:r>
      <w:r>
        <w:rPr>
          <w:rFonts w:ascii="Lucida Sans Unicode" w:hAnsi="Lucida Sans Unicode"/>
          <w:color w:val="FFFFFF"/>
          <w:spacing w:val="-3"/>
          <w:w w:val="90"/>
          <w:sz w:val="28"/>
        </w:rPr>
        <w:t>SOVRANITÀ </w:t>
      </w:r>
      <w:r>
        <w:rPr>
          <w:rFonts w:ascii="Lucida Sans Unicode" w:hAnsi="Lucida Sans Unicode"/>
          <w:color w:val="FFFFFF"/>
          <w:w w:val="90"/>
          <w:sz w:val="28"/>
        </w:rPr>
        <w:t>TERRITORIALE</w:t>
      </w:r>
      <w:r>
        <w:rPr>
          <w:rFonts w:ascii="Lucida Sans Unicode" w:hAnsi="Lucida Sans Unicode"/>
          <w:color w:val="FFFFFF"/>
          <w:w w:val="92"/>
          <w:sz w:val="28"/>
        </w:rPr>
        <w:t> </w:t>
      </w:r>
      <w:r>
        <w:rPr>
          <w:rFonts w:ascii="Lucida Sans Unicode" w:hAnsi="Lucida Sans Unicode"/>
          <w:color w:val="FFFFFF"/>
          <w:w w:val="95"/>
          <w:sz w:val="28"/>
        </w:rPr>
        <w:t>E ORDINE</w:t>
      </w:r>
      <w:r>
        <w:rPr>
          <w:rFonts w:ascii="Lucida Sans Unicode" w:hAnsi="Lucida Sans Unicode"/>
          <w:color w:val="FFFFFF"/>
          <w:spacing w:val="-58"/>
          <w:w w:val="95"/>
          <w:sz w:val="28"/>
        </w:rPr>
        <w:t> </w:t>
      </w:r>
      <w:r>
        <w:rPr>
          <w:rFonts w:ascii="Lucida Sans Unicode" w:hAnsi="Lucida Sans Unicode"/>
          <w:color w:val="FFFFFF"/>
          <w:w w:val="95"/>
          <w:sz w:val="28"/>
        </w:rPr>
        <w:t>ftLOBALE NEL</w:t>
      </w:r>
      <w:r>
        <w:rPr>
          <w:rFonts w:ascii="Lucida Sans Unicode" w:hAnsi="Lucida Sans Unicode"/>
          <w:color w:val="FFFFFF"/>
          <w:w w:val="95"/>
          <w:sz w:val="28"/>
        </w:rPr>
        <w:t> </w:t>
      </w:r>
      <w:r>
        <w:rPr>
          <w:rFonts w:ascii="Lucida Sans Unicode" w:hAnsi="Lucida Sans Unicode"/>
          <w:color w:val="FFFFFF"/>
          <w:w w:val="90"/>
          <w:sz w:val="28"/>
        </w:rPr>
        <w:t>DIBATTITO SUL </w:t>
      </w:r>
      <w:r>
        <w:rPr>
          <w:color w:val="FFFFFF"/>
          <w:w w:val="90"/>
          <w:sz w:val="28"/>
        </w:rPr>
        <w:t>“</w:t>
      </w:r>
      <w:r>
        <w:rPr>
          <w:rFonts w:ascii="Lucida Sans Unicode" w:hAnsi="Lucida Sans Unicode"/>
          <w:color w:val="FFFFFF"/>
          <w:w w:val="90"/>
          <w:sz w:val="28"/>
        </w:rPr>
        <w:t>NUOVO</w:t>
      </w:r>
    </w:p>
    <w:p>
      <w:pPr>
        <w:spacing w:line="363" w:lineRule="exact" w:before="0"/>
        <w:ind w:left="0" w:right="3001" w:firstLine="0"/>
        <w:jc w:val="right"/>
        <w:rPr>
          <w:sz w:val="28"/>
        </w:rPr>
      </w:pPr>
      <w:r>
        <w:rPr>
          <w:rFonts w:ascii="Lucida Sans Unicode" w:hAnsi="Lucida Sans Unicode"/>
          <w:color w:val="FFFFFF"/>
          <w:w w:val="90"/>
          <w:sz w:val="28"/>
        </w:rPr>
        <w:t>INTERVENTISMO UMANITARIO</w:t>
      </w:r>
      <w:r>
        <w:rPr>
          <w:color w:val="FFFFFF"/>
          <w:w w:val="90"/>
          <w:sz w:val="28"/>
        </w:rPr>
        <w:t>”</w:t>
      </w:r>
    </w:p>
    <w:p>
      <w:pPr>
        <w:pStyle w:val="BodyText"/>
        <w:spacing w:before="4"/>
        <w:rPr>
          <w:sz w:val="26"/>
        </w:rPr>
      </w:pPr>
    </w:p>
    <w:p>
      <w:pPr>
        <w:spacing w:before="45"/>
        <w:ind w:left="3954" w:right="692" w:firstLine="0"/>
        <w:jc w:val="left"/>
        <w:rPr>
          <w:rFonts w:ascii="Calibri"/>
          <w:sz w:val="28"/>
        </w:rPr>
      </w:pPr>
      <w:r>
        <w:rPr>
          <w:rFonts w:ascii="Calibri"/>
          <w:color w:val="FFFFFF"/>
          <w:w w:val="105"/>
          <w:sz w:val="28"/>
        </w:rPr>
        <w:t>Luca Scuccimarra</w:t>
      </w:r>
    </w:p>
    <w:p>
      <w:pPr>
        <w:spacing w:after="0"/>
        <w:jc w:val="left"/>
        <w:rPr>
          <w:rFonts w:ascii="Calibri"/>
          <w:sz w:val="28"/>
        </w:rPr>
        <w:sectPr>
          <w:pgSz w:w="9640" w:h="13890"/>
          <w:pgMar w:top="118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7"/>
        </w:rPr>
      </w:pPr>
    </w:p>
    <w:p>
      <w:pPr>
        <w:spacing w:before="57"/>
        <w:ind w:left="117" w:right="0" w:firstLine="0"/>
        <w:jc w:val="left"/>
        <w:rPr>
          <w:rFonts w:ascii="Arial"/>
          <w:i/>
          <w:sz w:val="21"/>
        </w:rPr>
      </w:pPr>
      <w:r>
        <w:rPr>
          <w:rFonts w:ascii="Arial"/>
          <w:i/>
          <w:color w:val="231F20"/>
          <w:sz w:val="21"/>
        </w:rPr>
        <w:t>La grande trasformazione</w:t>
      </w:r>
    </w:p>
    <w:p>
      <w:pPr>
        <w:pStyle w:val="BodyText"/>
        <w:rPr>
          <w:rFonts w:ascii="Arial"/>
          <w:i/>
          <w:sz w:val="20"/>
        </w:rPr>
      </w:pPr>
    </w:p>
    <w:p>
      <w:pPr>
        <w:pStyle w:val="BodyText"/>
        <w:spacing w:line="247" w:lineRule="auto" w:before="172"/>
        <w:ind w:left="1180" w:right="117"/>
        <w:jc w:val="both"/>
      </w:pPr>
      <w:r>
        <w:rPr/>
        <w:pict>
          <v:shape style="position:absolute;margin-left:76.553596pt;margin-top:21.62044pt;width:42.5pt;height:51pt;mso-position-horizontal-relative:page;mso-position-vertical-relative:paragraph;z-index:14176"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sz w:val="102"/>
                    </w:rPr>
                    <w:t>N</w:t>
                  </w:r>
                </w:p>
              </w:txbxContent>
            </v:textbox>
            <w10:wrap type="none"/>
          </v:shape>
        </w:pict>
      </w:r>
      <w:r>
        <w:rPr>
          <w:color w:val="231F20"/>
          <w:w w:val="105"/>
        </w:rPr>
        <w:t>on</w:t>
      </w:r>
      <w:r>
        <w:rPr>
          <w:color w:val="231F20"/>
          <w:spacing w:val="-29"/>
          <w:w w:val="105"/>
        </w:rPr>
        <w:t> </w:t>
      </w:r>
      <w:r>
        <w:rPr>
          <w:color w:val="231F20"/>
          <w:w w:val="105"/>
        </w:rPr>
        <w:t>è</w:t>
      </w:r>
      <w:r>
        <w:rPr>
          <w:color w:val="231F20"/>
          <w:spacing w:val="-29"/>
          <w:w w:val="105"/>
        </w:rPr>
        <w:t> </w:t>
      </w:r>
      <w:r>
        <w:rPr>
          <w:color w:val="231F20"/>
          <w:w w:val="105"/>
        </w:rPr>
        <w:t>possibile</w:t>
      </w:r>
      <w:r>
        <w:rPr>
          <w:color w:val="231F20"/>
          <w:spacing w:val="-29"/>
          <w:w w:val="105"/>
        </w:rPr>
        <w:t> </w:t>
      </w:r>
      <w:r>
        <w:rPr>
          <w:color w:val="231F20"/>
          <w:w w:val="105"/>
        </w:rPr>
        <w:t>comprendere</w:t>
      </w:r>
      <w:r>
        <w:rPr>
          <w:color w:val="231F20"/>
          <w:spacing w:val="-29"/>
          <w:w w:val="105"/>
        </w:rPr>
        <w:t> </w:t>
      </w:r>
      <w:r>
        <w:rPr>
          <w:color w:val="231F20"/>
          <w:w w:val="105"/>
        </w:rPr>
        <w:t>a</w:t>
      </w:r>
      <w:r>
        <w:rPr>
          <w:color w:val="231F20"/>
          <w:spacing w:val="-29"/>
          <w:w w:val="105"/>
        </w:rPr>
        <w:t> </w:t>
      </w:r>
      <w:r>
        <w:rPr>
          <w:color w:val="231F20"/>
          <w:w w:val="105"/>
        </w:rPr>
        <w:t>pieno</w:t>
      </w:r>
      <w:r>
        <w:rPr>
          <w:color w:val="231F20"/>
          <w:spacing w:val="-29"/>
          <w:w w:val="105"/>
        </w:rPr>
        <w:t> </w:t>
      </w:r>
      <w:r>
        <w:rPr>
          <w:color w:val="231F20"/>
          <w:w w:val="105"/>
        </w:rPr>
        <w:t>le</w:t>
      </w:r>
      <w:r>
        <w:rPr>
          <w:color w:val="231F20"/>
          <w:spacing w:val="-29"/>
          <w:w w:val="105"/>
        </w:rPr>
        <w:t> </w:t>
      </w:r>
      <w:r>
        <w:rPr>
          <w:color w:val="231F20"/>
          <w:w w:val="105"/>
        </w:rPr>
        <w:t>profonde</w:t>
      </w:r>
      <w:r>
        <w:rPr>
          <w:color w:val="231F20"/>
          <w:spacing w:val="-29"/>
          <w:w w:val="105"/>
        </w:rPr>
        <w:t> </w:t>
      </w:r>
      <w:r>
        <w:rPr>
          <w:color w:val="231F20"/>
          <w:w w:val="105"/>
        </w:rPr>
        <w:t>trasformazioni politiche</w:t>
      </w:r>
      <w:r>
        <w:rPr>
          <w:color w:val="231F20"/>
          <w:spacing w:val="-13"/>
          <w:w w:val="105"/>
        </w:rPr>
        <w:t> </w:t>
      </w:r>
      <w:r>
        <w:rPr>
          <w:color w:val="231F20"/>
          <w:w w:val="105"/>
        </w:rPr>
        <w:t>e</w:t>
      </w:r>
      <w:r>
        <w:rPr>
          <w:color w:val="231F20"/>
          <w:spacing w:val="-13"/>
          <w:w w:val="105"/>
        </w:rPr>
        <w:t> </w:t>
      </w:r>
      <w:r>
        <w:rPr>
          <w:color w:val="231F20"/>
          <w:w w:val="105"/>
        </w:rPr>
        <w:t>giuridiche</w:t>
      </w:r>
      <w:r>
        <w:rPr>
          <w:color w:val="231F20"/>
          <w:spacing w:val="-13"/>
          <w:w w:val="105"/>
        </w:rPr>
        <w:t> </w:t>
      </w:r>
      <w:r>
        <w:rPr>
          <w:color w:val="231F20"/>
          <w:w w:val="105"/>
        </w:rPr>
        <w:t>innescate</w:t>
      </w:r>
      <w:r>
        <w:rPr>
          <w:color w:val="231F20"/>
          <w:spacing w:val="-13"/>
          <w:w w:val="105"/>
        </w:rPr>
        <w:t> </w:t>
      </w:r>
      <w:r>
        <w:rPr>
          <w:color w:val="231F20"/>
          <w:w w:val="105"/>
        </w:rPr>
        <w:t>dalla</w:t>
      </w:r>
      <w:r>
        <w:rPr>
          <w:color w:val="231F20"/>
          <w:spacing w:val="-13"/>
          <w:w w:val="105"/>
        </w:rPr>
        <w:t> </w:t>
      </w:r>
      <w:r>
        <w:rPr>
          <w:color w:val="231F20"/>
          <w:w w:val="105"/>
        </w:rPr>
        <w:t>tumultuosa</w:t>
      </w:r>
      <w:r>
        <w:rPr>
          <w:color w:val="231F20"/>
          <w:spacing w:val="-13"/>
          <w:w w:val="105"/>
        </w:rPr>
        <w:t> </w:t>
      </w:r>
      <w:r>
        <w:rPr>
          <w:color w:val="231F20"/>
          <w:w w:val="105"/>
        </w:rPr>
        <w:t>contingenza </w:t>
      </w:r>
      <w:r>
        <w:rPr>
          <w:color w:val="231F20"/>
          <w:spacing w:val="6"/>
          <w:w w:val="105"/>
        </w:rPr>
        <w:t>dell’“epoca globale” </w:t>
      </w:r>
      <w:r>
        <w:rPr>
          <w:color w:val="231F20"/>
          <w:spacing w:val="3"/>
          <w:w w:val="105"/>
        </w:rPr>
        <w:t>se </w:t>
      </w:r>
      <w:r>
        <w:rPr>
          <w:color w:val="231F20"/>
          <w:spacing w:val="4"/>
          <w:w w:val="105"/>
        </w:rPr>
        <w:t>non </w:t>
      </w:r>
      <w:r>
        <w:rPr>
          <w:color w:val="231F20"/>
          <w:spacing w:val="3"/>
          <w:w w:val="105"/>
        </w:rPr>
        <w:t>si </w:t>
      </w:r>
      <w:r>
        <w:rPr>
          <w:color w:val="231F20"/>
          <w:spacing w:val="5"/>
          <w:w w:val="105"/>
        </w:rPr>
        <w:t>tiene conto </w:t>
      </w:r>
      <w:r>
        <w:rPr>
          <w:color w:val="231F20"/>
          <w:spacing w:val="4"/>
          <w:w w:val="105"/>
        </w:rPr>
        <w:t>dei </w:t>
      </w:r>
      <w:r>
        <w:rPr>
          <w:color w:val="231F20"/>
          <w:spacing w:val="6"/>
          <w:w w:val="105"/>
        </w:rPr>
        <w:t>rilevanti </w:t>
      </w:r>
      <w:r>
        <w:rPr>
          <w:color w:val="231F20"/>
          <w:spacing w:val="-3"/>
          <w:w w:val="105"/>
        </w:rPr>
        <w:t>cambiamenti</w:t>
      </w:r>
      <w:r>
        <w:rPr>
          <w:color w:val="231F20"/>
          <w:spacing w:val="-51"/>
          <w:w w:val="105"/>
        </w:rPr>
        <w:t> </w:t>
      </w:r>
      <w:r>
        <w:rPr>
          <w:color w:val="231F20"/>
          <w:w w:val="105"/>
        </w:rPr>
        <w:t>da</w:t>
      </w:r>
      <w:r>
        <w:rPr>
          <w:color w:val="231F20"/>
          <w:spacing w:val="-51"/>
          <w:w w:val="105"/>
        </w:rPr>
        <w:t> </w:t>
      </w:r>
      <w:r>
        <w:rPr>
          <w:color w:val="231F20"/>
          <w:spacing w:val="-3"/>
          <w:w w:val="105"/>
        </w:rPr>
        <w:t>essa</w:t>
      </w:r>
      <w:r>
        <w:rPr>
          <w:color w:val="231F20"/>
          <w:spacing w:val="-51"/>
          <w:w w:val="105"/>
        </w:rPr>
        <w:t> </w:t>
      </w:r>
      <w:r>
        <w:rPr>
          <w:color w:val="231F20"/>
          <w:spacing w:val="-4"/>
          <w:w w:val="105"/>
        </w:rPr>
        <w:t>prodotti</w:t>
      </w:r>
      <w:r>
        <w:rPr>
          <w:color w:val="231F20"/>
          <w:spacing w:val="-51"/>
          <w:w w:val="105"/>
        </w:rPr>
        <w:t> </w:t>
      </w:r>
      <w:r>
        <w:rPr>
          <w:color w:val="231F20"/>
          <w:spacing w:val="-3"/>
          <w:w w:val="105"/>
        </w:rPr>
        <w:t>nella</w:t>
      </w:r>
      <w:r>
        <w:rPr>
          <w:color w:val="231F20"/>
          <w:spacing w:val="-51"/>
          <w:w w:val="105"/>
        </w:rPr>
        <w:t> </w:t>
      </w:r>
      <w:r>
        <w:rPr>
          <w:color w:val="231F20"/>
          <w:spacing w:val="-3"/>
          <w:w w:val="105"/>
        </w:rPr>
        <w:t>stessa</w:t>
      </w:r>
      <w:r>
        <w:rPr>
          <w:color w:val="231F20"/>
          <w:spacing w:val="-51"/>
          <w:w w:val="105"/>
        </w:rPr>
        <w:t> </w:t>
      </w:r>
      <w:r>
        <w:rPr>
          <w:color w:val="231F20"/>
          <w:spacing w:val="-3"/>
          <w:w w:val="105"/>
        </w:rPr>
        <w:t>consolidata</w:t>
      </w:r>
      <w:r>
        <w:rPr>
          <w:color w:val="231F20"/>
          <w:spacing w:val="-51"/>
          <w:w w:val="105"/>
        </w:rPr>
        <w:t> </w:t>
      </w:r>
      <w:r>
        <w:rPr>
          <w:color w:val="231F20"/>
          <w:spacing w:val="-3"/>
          <w:w w:val="105"/>
        </w:rPr>
        <w:t>intelaiatura categoriale</w:t>
      </w:r>
      <w:r>
        <w:rPr>
          <w:color w:val="231F20"/>
          <w:spacing w:val="-46"/>
          <w:w w:val="105"/>
        </w:rPr>
        <w:t> </w:t>
      </w:r>
      <w:r>
        <w:rPr>
          <w:color w:val="231F20"/>
          <w:w w:val="105"/>
        </w:rPr>
        <w:t>e</w:t>
      </w:r>
      <w:r>
        <w:rPr>
          <w:color w:val="231F20"/>
          <w:spacing w:val="-46"/>
          <w:w w:val="105"/>
        </w:rPr>
        <w:t> </w:t>
      </w:r>
      <w:r>
        <w:rPr>
          <w:color w:val="231F20"/>
          <w:spacing w:val="-3"/>
          <w:w w:val="105"/>
        </w:rPr>
        <w:t>normativa</w:t>
      </w:r>
      <w:r>
        <w:rPr>
          <w:color w:val="231F20"/>
          <w:spacing w:val="-46"/>
          <w:w w:val="105"/>
        </w:rPr>
        <w:t> </w:t>
      </w:r>
      <w:r>
        <w:rPr>
          <w:color w:val="231F20"/>
          <w:spacing w:val="-3"/>
          <w:w w:val="105"/>
        </w:rPr>
        <w:t>posta</w:t>
      </w:r>
      <w:r>
        <w:rPr>
          <w:color w:val="231F20"/>
          <w:spacing w:val="-46"/>
          <w:w w:val="105"/>
        </w:rPr>
        <w:t> </w:t>
      </w:r>
      <w:r>
        <w:rPr>
          <w:color w:val="231F20"/>
          <w:spacing w:val="-3"/>
          <w:w w:val="105"/>
        </w:rPr>
        <w:t>alla</w:t>
      </w:r>
      <w:r>
        <w:rPr>
          <w:color w:val="231F20"/>
          <w:spacing w:val="-46"/>
          <w:w w:val="105"/>
        </w:rPr>
        <w:t> </w:t>
      </w:r>
      <w:r>
        <w:rPr>
          <w:color w:val="231F20"/>
          <w:spacing w:val="-3"/>
          <w:w w:val="105"/>
        </w:rPr>
        <w:t>base</w:t>
      </w:r>
      <w:r>
        <w:rPr>
          <w:color w:val="231F20"/>
          <w:spacing w:val="-46"/>
          <w:w w:val="105"/>
        </w:rPr>
        <w:t> </w:t>
      </w:r>
      <w:r>
        <w:rPr>
          <w:color w:val="231F20"/>
          <w:spacing w:val="-3"/>
          <w:w w:val="105"/>
        </w:rPr>
        <w:t>della</w:t>
      </w:r>
      <w:r>
        <w:rPr>
          <w:color w:val="231F20"/>
          <w:spacing w:val="-46"/>
          <w:w w:val="105"/>
        </w:rPr>
        <w:t> </w:t>
      </w:r>
      <w:r>
        <w:rPr>
          <w:color w:val="231F20"/>
          <w:spacing w:val="-3"/>
          <w:w w:val="105"/>
        </w:rPr>
        <w:t>moderna</w:t>
      </w:r>
      <w:r>
        <w:rPr>
          <w:color w:val="231F20"/>
          <w:spacing w:val="-46"/>
          <w:w w:val="105"/>
        </w:rPr>
        <w:t> </w:t>
      </w:r>
      <w:r>
        <w:rPr>
          <w:color w:val="231F20"/>
          <w:spacing w:val="-3"/>
          <w:w w:val="105"/>
        </w:rPr>
        <w:t>esperienza</w:t>
      </w:r>
    </w:p>
    <w:p>
      <w:pPr>
        <w:pStyle w:val="BodyText"/>
        <w:spacing w:line="252" w:lineRule="exact"/>
        <w:ind w:left="117"/>
        <w:jc w:val="both"/>
      </w:pPr>
      <w:r>
        <w:rPr>
          <w:color w:val="231F20"/>
          <w:w w:val="105"/>
        </w:rPr>
        <w:t>dello Stato territoriale sovrano. Come è stato sottolineato, tra le grandi</w:t>
      </w:r>
    </w:p>
    <w:p>
      <w:pPr>
        <w:pStyle w:val="BodyText"/>
        <w:spacing w:before="6"/>
        <w:ind w:left="117"/>
        <w:jc w:val="both"/>
      </w:pPr>
      <w:r>
        <w:rPr>
          <w:color w:val="231F20"/>
          <w:w w:val="105"/>
        </w:rPr>
        <w:t>questioni aperte dalla fine dell’ordine bipolare del mondo rientra, infatti,</w:t>
      </w:r>
    </w:p>
    <w:p>
      <w:pPr>
        <w:pStyle w:val="BodyText"/>
        <w:spacing w:line="247" w:lineRule="auto" w:before="6"/>
        <w:ind w:left="117" w:right="119"/>
        <w:jc w:val="both"/>
      </w:pPr>
      <w:r>
        <w:rPr>
          <w:color w:val="231F20"/>
          <w:spacing w:val="-3"/>
          <w:w w:val="105"/>
        </w:rPr>
        <w:t>—accanto</w:t>
      </w:r>
      <w:r>
        <w:rPr>
          <w:color w:val="231F20"/>
          <w:spacing w:val="-36"/>
          <w:w w:val="105"/>
        </w:rPr>
        <w:t> </w:t>
      </w:r>
      <w:r>
        <w:rPr>
          <w:color w:val="231F20"/>
          <w:w w:val="105"/>
        </w:rPr>
        <w:t>a</w:t>
      </w:r>
      <w:r>
        <w:rPr>
          <w:color w:val="231F20"/>
          <w:spacing w:val="-36"/>
          <w:w w:val="105"/>
        </w:rPr>
        <w:t> </w:t>
      </w:r>
      <w:r>
        <w:rPr>
          <w:color w:val="231F20"/>
          <w:spacing w:val="-3"/>
          <w:w w:val="105"/>
        </w:rPr>
        <w:t>quella</w:t>
      </w:r>
      <w:r>
        <w:rPr>
          <w:color w:val="231F20"/>
          <w:spacing w:val="-36"/>
          <w:w w:val="105"/>
        </w:rPr>
        <w:t> </w:t>
      </w:r>
      <w:r>
        <w:rPr>
          <w:color w:val="231F20"/>
          <w:spacing w:val="-3"/>
          <w:w w:val="105"/>
        </w:rPr>
        <w:t>della</w:t>
      </w:r>
      <w:r>
        <w:rPr>
          <w:color w:val="231F20"/>
          <w:spacing w:val="-36"/>
          <w:w w:val="105"/>
        </w:rPr>
        <w:t> </w:t>
      </w:r>
      <w:r>
        <w:rPr>
          <w:color w:val="231F20"/>
          <w:spacing w:val="-3"/>
          <w:w w:val="105"/>
        </w:rPr>
        <w:t>ricostruzione</w:t>
      </w:r>
      <w:r>
        <w:rPr>
          <w:color w:val="231F20"/>
          <w:spacing w:val="-36"/>
          <w:w w:val="105"/>
        </w:rPr>
        <w:t> </w:t>
      </w:r>
      <w:r>
        <w:rPr>
          <w:color w:val="231F20"/>
          <w:w w:val="105"/>
        </w:rPr>
        <w:t>di</w:t>
      </w:r>
      <w:r>
        <w:rPr>
          <w:color w:val="231F20"/>
          <w:spacing w:val="-36"/>
          <w:w w:val="105"/>
        </w:rPr>
        <w:t> </w:t>
      </w:r>
      <w:r>
        <w:rPr>
          <w:color w:val="231F20"/>
          <w:w w:val="105"/>
        </w:rPr>
        <w:t>un</w:t>
      </w:r>
      <w:r>
        <w:rPr>
          <w:color w:val="231F20"/>
          <w:spacing w:val="-36"/>
          <w:w w:val="105"/>
        </w:rPr>
        <w:t> </w:t>
      </w:r>
      <w:r>
        <w:rPr>
          <w:color w:val="231F20"/>
          <w:spacing w:val="-3"/>
          <w:w w:val="105"/>
        </w:rPr>
        <w:t>“complesso</w:t>
      </w:r>
      <w:r>
        <w:rPr>
          <w:color w:val="231F20"/>
          <w:spacing w:val="-36"/>
          <w:w w:val="105"/>
        </w:rPr>
        <w:t> </w:t>
      </w:r>
      <w:r>
        <w:rPr>
          <w:color w:val="231F20"/>
          <w:w w:val="105"/>
        </w:rPr>
        <w:t>di</w:t>
      </w:r>
      <w:r>
        <w:rPr>
          <w:color w:val="231F20"/>
          <w:spacing w:val="-36"/>
          <w:w w:val="105"/>
        </w:rPr>
        <w:t> </w:t>
      </w:r>
      <w:r>
        <w:rPr>
          <w:color w:val="231F20"/>
          <w:spacing w:val="-4"/>
          <w:w w:val="105"/>
        </w:rPr>
        <w:t>gerarchie</w:t>
      </w:r>
      <w:r>
        <w:rPr>
          <w:color w:val="231F20"/>
          <w:spacing w:val="-36"/>
          <w:w w:val="105"/>
        </w:rPr>
        <w:t> </w:t>
      </w:r>
      <w:r>
        <w:rPr>
          <w:color w:val="231F20"/>
          <w:w w:val="105"/>
        </w:rPr>
        <w:t>di</w:t>
      </w:r>
      <w:r>
        <w:rPr>
          <w:color w:val="231F20"/>
          <w:spacing w:val="-36"/>
          <w:w w:val="105"/>
        </w:rPr>
        <w:t> </w:t>
      </w:r>
      <w:r>
        <w:rPr>
          <w:color w:val="231F20"/>
          <w:spacing w:val="-4"/>
          <w:w w:val="105"/>
        </w:rPr>
        <w:t>potere </w:t>
      </w:r>
      <w:r>
        <w:rPr>
          <w:color w:val="231F20"/>
          <w:w w:val="105"/>
        </w:rPr>
        <w:t>e</w:t>
      </w:r>
      <w:r>
        <w:rPr>
          <w:color w:val="231F20"/>
          <w:spacing w:val="-44"/>
          <w:w w:val="105"/>
        </w:rPr>
        <w:t> </w:t>
      </w:r>
      <w:r>
        <w:rPr>
          <w:color w:val="231F20"/>
          <w:w w:val="105"/>
        </w:rPr>
        <w:t>prestigio,</w:t>
      </w:r>
      <w:r>
        <w:rPr>
          <w:color w:val="231F20"/>
          <w:spacing w:val="-44"/>
          <w:w w:val="105"/>
        </w:rPr>
        <w:t> </w:t>
      </w:r>
      <w:r>
        <w:rPr>
          <w:color w:val="231F20"/>
          <w:w w:val="105"/>
        </w:rPr>
        <w:t>di</w:t>
      </w:r>
      <w:r>
        <w:rPr>
          <w:color w:val="231F20"/>
          <w:spacing w:val="-44"/>
          <w:w w:val="105"/>
        </w:rPr>
        <w:t> </w:t>
      </w:r>
      <w:r>
        <w:rPr>
          <w:color w:val="231F20"/>
          <w:w w:val="105"/>
        </w:rPr>
        <w:t>distribuzione</w:t>
      </w:r>
      <w:r>
        <w:rPr>
          <w:color w:val="231F20"/>
          <w:spacing w:val="-44"/>
          <w:w w:val="105"/>
        </w:rPr>
        <w:t> </w:t>
      </w:r>
      <w:r>
        <w:rPr>
          <w:color w:val="231F20"/>
          <w:w w:val="105"/>
        </w:rPr>
        <w:t>di</w:t>
      </w:r>
      <w:r>
        <w:rPr>
          <w:color w:val="231F20"/>
          <w:spacing w:val="-44"/>
          <w:w w:val="105"/>
        </w:rPr>
        <w:t> </w:t>
      </w:r>
      <w:r>
        <w:rPr>
          <w:color w:val="231F20"/>
          <w:w w:val="105"/>
        </w:rPr>
        <w:t>territori</w:t>
      </w:r>
      <w:r>
        <w:rPr>
          <w:color w:val="231F20"/>
          <w:spacing w:val="-44"/>
          <w:w w:val="105"/>
        </w:rPr>
        <w:t> </w:t>
      </w:r>
      <w:r>
        <w:rPr>
          <w:color w:val="231F20"/>
          <w:w w:val="105"/>
        </w:rPr>
        <w:t>e</w:t>
      </w:r>
      <w:r>
        <w:rPr>
          <w:color w:val="231F20"/>
          <w:spacing w:val="-44"/>
          <w:w w:val="105"/>
        </w:rPr>
        <w:t> </w:t>
      </w:r>
      <w:r>
        <w:rPr>
          <w:color w:val="231F20"/>
          <w:w w:val="105"/>
        </w:rPr>
        <w:t>influenza”—</w:t>
      </w:r>
      <w:r>
        <w:rPr>
          <w:color w:val="231F20"/>
          <w:spacing w:val="-44"/>
          <w:w w:val="105"/>
        </w:rPr>
        <w:t> </w:t>
      </w:r>
      <w:r>
        <w:rPr>
          <w:color w:val="231F20"/>
          <w:w w:val="105"/>
        </w:rPr>
        <w:t>anche</w:t>
      </w:r>
      <w:r>
        <w:rPr>
          <w:color w:val="231F20"/>
          <w:spacing w:val="-44"/>
          <w:w w:val="105"/>
        </w:rPr>
        <w:t> </w:t>
      </w:r>
      <w:r>
        <w:rPr>
          <w:color w:val="231F20"/>
          <w:w w:val="105"/>
        </w:rPr>
        <w:t>il</w:t>
      </w:r>
      <w:r>
        <w:rPr>
          <w:color w:val="231F20"/>
          <w:spacing w:val="-44"/>
          <w:w w:val="105"/>
        </w:rPr>
        <w:t> </w:t>
      </w:r>
      <w:r>
        <w:rPr>
          <w:color w:val="231F20"/>
          <w:spacing w:val="-3"/>
          <w:w w:val="105"/>
        </w:rPr>
        <w:t>problema</w:t>
      </w:r>
      <w:r>
        <w:rPr>
          <w:color w:val="231F20"/>
          <w:spacing w:val="-44"/>
          <w:w w:val="105"/>
        </w:rPr>
        <w:t> </w:t>
      </w:r>
      <w:r>
        <w:rPr>
          <w:color w:val="231F20"/>
          <w:w w:val="105"/>
        </w:rPr>
        <w:t>della </w:t>
      </w:r>
      <w:r>
        <w:rPr>
          <w:color w:val="231F20"/>
          <w:spacing w:val="-3"/>
          <w:w w:val="105"/>
        </w:rPr>
        <w:t>rifondazione</w:t>
      </w:r>
      <w:r>
        <w:rPr>
          <w:color w:val="231F20"/>
          <w:spacing w:val="-39"/>
          <w:w w:val="105"/>
        </w:rPr>
        <w:t> </w:t>
      </w:r>
      <w:r>
        <w:rPr>
          <w:color w:val="231F20"/>
          <w:w w:val="105"/>
        </w:rPr>
        <w:t>dei</w:t>
      </w:r>
      <w:r>
        <w:rPr>
          <w:color w:val="231F20"/>
          <w:spacing w:val="-39"/>
          <w:w w:val="105"/>
        </w:rPr>
        <w:t> </w:t>
      </w:r>
      <w:r>
        <w:rPr>
          <w:color w:val="231F20"/>
          <w:spacing w:val="-3"/>
          <w:w w:val="105"/>
        </w:rPr>
        <w:t>generali</w:t>
      </w:r>
      <w:r>
        <w:rPr>
          <w:color w:val="231F20"/>
          <w:spacing w:val="-39"/>
          <w:w w:val="105"/>
        </w:rPr>
        <w:t> </w:t>
      </w:r>
      <w:r>
        <w:rPr>
          <w:color w:val="231F20"/>
          <w:spacing w:val="-3"/>
          <w:w w:val="105"/>
        </w:rPr>
        <w:t>principi</w:t>
      </w:r>
      <w:r>
        <w:rPr>
          <w:color w:val="231F20"/>
          <w:spacing w:val="-39"/>
          <w:w w:val="105"/>
        </w:rPr>
        <w:t> </w:t>
      </w:r>
      <w:r>
        <w:rPr>
          <w:color w:val="231F20"/>
          <w:w w:val="105"/>
        </w:rPr>
        <w:t>di</w:t>
      </w:r>
      <w:r>
        <w:rPr>
          <w:color w:val="231F20"/>
          <w:spacing w:val="-39"/>
          <w:w w:val="105"/>
        </w:rPr>
        <w:t> </w:t>
      </w:r>
      <w:r>
        <w:rPr>
          <w:color w:val="231F20"/>
          <w:spacing w:val="-3"/>
          <w:w w:val="105"/>
        </w:rPr>
        <w:t>legittimità</w:t>
      </w:r>
      <w:r>
        <w:rPr>
          <w:color w:val="231F20"/>
          <w:spacing w:val="-39"/>
          <w:w w:val="105"/>
        </w:rPr>
        <w:t> </w:t>
      </w:r>
      <w:r>
        <w:rPr>
          <w:color w:val="231F20"/>
          <w:spacing w:val="-3"/>
          <w:w w:val="105"/>
        </w:rPr>
        <w:t>chiamati</w:t>
      </w:r>
      <w:r>
        <w:rPr>
          <w:color w:val="231F20"/>
          <w:spacing w:val="-39"/>
          <w:w w:val="105"/>
        </w:rPr>
        <w:t> </w:t>
      </w:r>
      <w:r>
        <w:rPr>
          <w:color w:val="231F20"/>
          <w:w w:val="105"/>
        </w:rPr>
        <w:t>a</w:t>
      </w:r>
      <w:r>
        <w:rPr>
          <w:color w:val="231F20"/>
          <w:spacing w:val="-39"/>
          <w:w w:val="105"/>
        </w:rPr>
        <w:t> </w:t>
      </w:r>
      <w:r>
        <w:rPr>
          <w:color w:val="231F20"/>
          <w:spacing w:val="-4"/>
          <w:w w:val="105"/>
        </w:rPr>
        <w:t>sorreggere</w:t>
      </w:r>
      <w:r>
        <w:rPr>
          <w:color w:val="231F20"/>
          <w:spacing w:val="-39"/>
          <w:w w:val="105"/>
        </w:rPr>
        <w:t> </w:t>
      </w:r>
      <w:r>
        <w:rPr>
          <w:color w:val="231F20"/>
          <w:spacing w:val="-4"/>
          <w:w w:val="105"/>
        </w:rPr>
        <w:t>“l’ordine </w:t>
      </w:r>
      <w:r>
        <w:rPr>
          <w:color w:val="231F20"/>
          <w:w w:val="105"/>
        </w:rPr>
        <w:t>internazionale</w:t>
      </w:r>
      <w:r>
        <w:rPr>
          <w:color w:val="231F20"/>
          <w:spacing w:val="-26"/>
          <w:w w:val="105"/>
        </w:rPr>
        <w:t> </w:t>
      </w:r>
      <w:r>
        <w:rPr>
          <w:color w:val="231F20"/>
          <w:w w:val="105"/>
        </w:rPr>
        <w:t>e</w:t>
      </w:r>
      <w:r>
        <w:rPr>
          <w:color w:val="231F20"/>
          <w:spacing w:val="-26"/>
          <w:w w:val="105"/>
        </w:rPr>
        <w:t> </w:t>
      </w:r>
      <w:r>
        <w:rPr>
          <w:color w:val="231F20"/>
          <w:w w:val="105"/>
        </w:rPr>
        <w:t>i</w:t>
      </w:r>
      <w:r>
        <w:rPr>
          <w:color w:val="231F20"/>
          <w:spacing w:val="-26"/>
          <w:w w:val="105"/>
        </w:rPr>
        <w:t> </w:t>
      </w:r>
      <w:r>
        <w:rPr>
          <w:color w:val="231F20"/>
          <w:w w:val="105"/>
        </w:rPr>
        <w:t>suoi</w:t>
      </w:r>
      <w:r>
        <w:rPr>
          <w:color w:val="231F20"/>
          <w:spacing w:val="-26"/>
          <w:w w:val="105"/>
        </w:rPr>
        <w:t> </w:t>
      </w:r>
      <w:r>
        <w:rPr>
          <w:color w:val="231F20"/>
          <w:w w:val="105"/>
        </w:rPr>
        <w:t>rapporti</w:t>
      </w:r>
      <w:r>
        <w:rPr>
          <w:color w:val="231F20"/>
          <w:spacing w:val="-26"/>
          <w:w w:val="105"/>
        </w:rPr>
        <w:t> </w:t>
      </w:r>
      <w:r>
        <w:rPr>
          <w:color w:val="231F20"/>
          <w:w w:val="105"/>
        </w:rPr>
        <w:t>con</w:t>
      </w:r>
      <w:r>
        <w:rPr>
          <w:color w:val="231F20"/>
          <w:spacing w:val="-26"/>
          <w:w w:val="105"/>
        </w:rPr>
        <w:t> </w:t>
      </w:r>
      <w:r>
        <w:rPr>
          <w:color w:val="231F20"/>
          <w:w w:val="105"/>
        </w:rPr>
        <w:t>l’ordine</w:t>
      </w:r>
      <w:r>
        <w:rPr>
          <w:color w:val="231F20"/>
          <w:spacing w:val="-26"/>
          <w:w w:val="105"/>
        </w:rPr>
        <w:t> </w:t>
      </w:r>
      <w:r>
        <w:rPr>
          <w:color w:val="231F20"/>
          <w:w w:val="105"/>
        </w:rPr>
        <w:t>interno</w:t>
      </w:r>
      <w:r>
        <w:rPr>
          <w:color w:val="231F20"/>
          <w:spacing w:val="-26"/>
          <w:w w:val="105"/>
        </w:rPr>
        <w:t> </w:t>
      </w:r>
      <w:r>
        <w:rPr>
          <w:color w:val="231F20"/>
          <w:w w:val="105"/>
        </w:rPr>
        <w:t>dei</w:t>
      </w:r>
      <w:r>
        <w:rPr>
          <w:color w:val="231F20"/>
          <w:spacing w:val="-26"/>
          <w:w w:val="105"/>
        </w:rPr>
        <w:t> </w:t>
      </w:r>
      <w:r>
        <w:rPr>
          <w:color w:val="231F20"/>
          <w:w w:val="105"/>
        </w:rPr>
        <w:t>diversi</w:t>
      </w:r>
      <w:r>
        <w:rPr>
          <w:color w:val="231F20"/>
          <w:spacing w:val="-26"/>
          <w:w w:val="105"/>
        </w:rPr>
        <w:t> </w:t>
      </w:r>
      <w:r>
        <w:rPr>
          <w:color w:val="231F20"/>
          <w:w w:val="105"/>
        </w:rPr>
        <w:t>soggetti”,</w:t>
      </w:r>
      <w:r>
        <w:rPr>
          <w:color w:val="231F20"/>
          <w:spacing w:val="-26"/>
          <w:w w:val="105"/>
        </w:rPr>
        <w:t> </w:t>
      </w:r>
      <w:r>
        <w:rPr>
          <w:color w:val="231F20"/>
          <w:w w:val="105"/>
        </w:rPr>
        <w:t>in un approccio graduato che va dall’“estremo dell’indifferenza” a “quello della</w:t>
      </w:r>
      <w:r>
        <w:rPr>
          <w:color w:val="231F20"/>
          <w:spacing w:val="-12"/>
          <w:w w:val="105"/>
        </w:rPr>
        <w:t> </w:t>
      </w:r>
      <w:r>
        <w:rPr>
          <w:color w:val="231F20"/>
          <w:w w:val="105"/>
        </w:rPr>
        <w:t>penetrazione</w:t>
      </w:r>
      <w:r>
        <w:rPr>
          <w:color w:val="231F20"/>
          <w:spacing w:val="-12"/>
          <w:w w:val="105"/>
        </w:rPr>
        <w:t> </w:t>
      </w:r>
      <w:r>
        <w:rPr>
          <w:color w:val="231F20"/>
          <w:w w:val="105"/>
        </w:rPr>
        <w:t>e</w:t>
      </w:r>
      <w:r>
        <w:rPr>
          <w:color w:val="231F20"/>
          <w:spacing w:val="-12"/>
          <w:w w:val="105"/>
        </w:rPr>
        <w:t> </w:t>
      </w:r>
      <w:r>
        <w:rPr>
          <w:color w:val="231F20"/>
          <w:w w:val="105"/>
        </w:rPr>
        <w:t>dell’ingerenza”</w:t>
      </w:r>
      <w:r>
        <w:rPr>
          <w:color w:val="231F20"/>
          <w:w w:val="105"/>
          <w:position w:val="7"/>
          <w:sz w:val="12"/>
        </w:rPr>
        <w:t>1</w:t>
      </w:r>
      <w:r>
        <w:rPr>
          <w:color w:val="231F20"/>
          <w:w w:val="105"/>
        </w:rPr>
        <w:t>.</w:t>
      </w:r>
      <w:r>
        <w:rPr>
          <w:color w:val="231F20"/>
          <w:spacing w:val="-12"/>
          <w:w w:val="105"/>
        </w:rPr>
        <w:t> </w:t>
      </w:r>
      <w:r>
        <w:rPr>
          <w:color w:val="231F20"/>
          <w:w w:val="105"/>
        </w:rPr>
        <w:t>Un</w:t>
      </w:r>
      <w:r>
        <w:rPr>
          <w:color w:val="231F20"/>
          <w:spacing w:val="-12"/>
          <w:w w:val="105"/>
        </w:rPr>
        <w:t> </w:t>
      </w:r>
      <w:r>
        <w:rPr>
          <w:color w:val="231F20"/>
          <w:w w:val="105"/>
        </w:rPr>
        <w:t>contesto</w:t>
      </w:r>
      <w:r>
        <w:rPr>
          <w:color w:val="231F20"/>
          <w:spacing w:val="-12"/>
          <w:w w:val="105"/>
        </w:rPr>
        <w:t> </w:t>
      </w:r>
      <w:r>
        <w:rPr>
          <w:color w:val="231F20"/>
          <w:w w:val="105"/>
        </w:rPr>
        <w:t>problematico,</w:t>
      </w:r>
      <w:r>
        <w:rPr>
          <w:color w:val="231F20"/>
          <w:spacing w:val="-12"/>
          <w:w w:val="105"/>
        </w:rPr>
        <w:t> </w:t>
      </w:r>
      <w:r>
        <w:rPr>
          <w:color w:val="231F20"/>
          <w:w w:val="105"/>
        </w:rPr>
        <w:t>questo, che</w:t>
      </w:r>
      <w:r>
        <w:rPr>
          <w:color w:val="231F20"/>
          <w:spacing w:val="-14"/>
          <w:w w:val="105"/>
        </w:rPr>
        <w:t> </w:t>
      </w:r>
      <w:r>
        <w:rPr>
          <w:color w:val="231F20"/>
          <w:w w:val="105"/>
        </w:rPr>
        <w:t>a</w:t>
      </w:r>
      <w:r>
        <w:rPr>
          <w:color w:val="231F20"/>
          <w:spacing w:val="-14"/>
          <w:w w:val="105"/>
        </w:rPr>
        <w:t> </w:t>
      </w:r>
      <w:r>
        <w:rPr>
          <w:color w:val="231F20"/>
          <w:w w:val="105"/>
        </w:rPr>
        <w:t>ben</w:t>
      </w:r>
      <w:r>
        <w:rPr>
          <w:color w:val="231F20"/>
          <w:spacing w:val="-14"/>
          <w:w w:val="105"/>
        </w:rPr>
        <w:t> </w:t>
      </w:r>
      <w:r>
        <w:rPr>
          <w:color w:val="231F20"/>
          <w:w w:val="105"/>
        </w:rPr>
        <w:t>vedere</w:t>
      </w:r>
      <w:r>
        <w:rPr>
          <w:color w:val="231F20"/>
          <w:spacing w:val="-14"/>
          <w:w w:val="105"/>
        </w:rPr>
        <w:t> </w:t>
      </w:r>
      <w:r>
        <w:rPr>
          <w:color w:val="231F20"/>
          <w:w w:val="105"/>
        </w:rPr>
        <w:t>chiama</w:t>
      </w:r>
      <w:r>
        <w:rPr>
          <w:color w:val="231F20"/>
          <w:spacing w:val="-14"/>
          <w:w w:val="105"/>
        </w:rPr>
        <w:t> </w:t>
      </w:r>
      <w:r>
        <w:rPr>
          <w:color w:val="231F20"/>
          <w:w w:val="105"/>
        </w:rPr>
        <w:t>in</w:t>
      </w:r>
      <w:r>
        <w:rPr>
          <w:color w:val="231F20"/>
          <w:spacing w:val="-14"/>
          <w:w w:val="105"/>
        </w:rPr>
        <w:t> </w:t>
      </w:r>
      <w:r>
        <w:rPr>
          <w:color w:val="231F20"/>
          <w:w w:val="105"/>
        </w:rPr>
        <w:t>causa</w:t>
      </w:r>
      <w:r>
        <w:rPr>
          <w:color w:val="231F20"/>
          <w:spacing w:val="-14"/>
          <w:w w:val="105"/>
        </w:rPr>
        <w:t> </w:t>
      </w:r>
      <w:r>
        <w:rPr>
          <w:color w:val="231F20"/>
          <w:w w:val="105"/>
        </w:rPr>
        <w:t>“non</w:t>
      </w:r>
      <w:r>
        <w:rPr>
          <w:color w:val="231F20"/>
          <w:spacing w:val="-14"/>
          <w:w w:val="105"/>
        </w:rPr>
        <w:t> </w:t>
      </w:r>
      <w:r>
        <w:rPr>
          <w:color w:val="231F20"/>
          <w:w w:val="105"/>
        </w:rPr>
        <w:t>una</w:t>
      </w:r>
      <w:r>
        <w:rPr>
          <w:color w:val="231F20"/>
          <w:spacing w:val="-14"/>
          <w:w w:val="105"/>
        </w:rPr>
        <w:t> </w:t>
      </w:r>
      <w:r>
        <w:rPr>
          <w:color w:val="231F20"/>
          <w:w w:val="105"/>
        </w:rPr>
        <w:t>parte</w:t>
      </w:r>
      <w:r>
        <w:rPr>
          <w:color w:val="231F20"/>
          <w:spacing w:val="-14"/>
          <w:w w:val="105"/>
        </w:rPr>
        <w:t> </w:t>
      </w:r>
      <w:r>
        <w:rPr>
          <w:color w:val="231F20"/>
          <w:w w:val="105"/>
        </w:rPr>
        <w:t>ma</w:t>
      </w:r>
      <w:r>
        <w:rPr>
          <w:color w:val="231F20"/>
          <w:spacing w:val="-14"/>
          <w:w w:val="105"/>
        </w:rPr>
        <w:t> </w:t>
      </w:r>
      <w:r>
        <w:rPr>
          <w:color w:val="231F20"/>
          <w:w w:val="105"/>
        </w:rPr>
        <w:t>tutte</w:t>
      </w:r>
      <w:r>
        <w:rPr>
          <w:color w:val="231F20"/>
          <w:spacing w:val="-14"/>
          <w:w w:val="105"/>
        </w:rPr>
        <w:t> </w:t>
      </w:r>
      <w:r>
        <w:rPr>
          <w:color w:val="231F20"/>
          <w:w w:val="105"/>
        </w:rPr>
        <w:t>le</w:t>
      </w:r>
      <w:r>
        <w:rPr>
          <w:color w:val="231F20"/>
          <w:spacing w:val="-14"/>
          <w:w w:val="105"/>
        </w:rPr>
        <w:t> </w:t>
      </w:r>
      <w:r>
        <w:rPr>
          <w:color w:val="231F20"/>
          <w:w w:val="105"/>
        </w:rPr>
        <w:t>dimensioni fondamentali</w:t>
      </w:r>
      <w:r>
        <w:rPr>
          <w:color w:val="231F20"/>
          <w:spacing w:val="-51"/>
          <w:w w:val="105"/>
        </w:rPr>
        <w:t> </w:t>
      </w:r>
      <w:r>
        <w:rPr>
          <w:color w:val="231F20"/>
          <w:spacing w:val="-3"/>
          <w:w w:val="105"/>
        </w:rPr>
        <w:t>dell’ordinamento</w:t>
      </w:r>
      <w:r>
        <w:rPr>
          <w:color w:val="231F20"/>
          <w:spacing w:val="-51"/>
          <w:w w:val="105"/>
        </w:rPr>
        <w:t> </w:t>
      </w:r>
      <w:r>
        <w:rPr>
          <w:color w:val="231F20"/>
          <w:w w:val="105"/>
        </w:rPr>
        <w:t>politico–giuridico</w:t>
      </w:r>
      <w:r>
        <w:rPr>
          <w:color w:val="231F20"/>
          <w:spacing w:val="-51"/>
          <w:w w:val="105"/>
        </w:rPr>
        <w:t> </w:t>
      </w:r>
      <w:r>
        <w:rPr>
          <w:color w:val="231F20"/>
          <w:w w:val="105"/>
        </w:rPr>
        <w:t>esistente,</w:t>
      </w:r>
      <w:r>
        <w:rPr>
          <w:color w:val="231F20"/>
          <w:spacing w:val="-51"/>
          <w:w w:val="105"/>
        </w:rPr>
        <w:t> </w:t>
      </w:r>
      <w:r>
        <w:rPr>
          <w:color w:val="231F20"/>
          <w:w w:val="105"/>
        </w:rPr>
        <w:t>a</w:t>
      </w:r>
      <w:r>
        <w:rPr>
          <w:color w:val="231F20"/>
          <w:spacing w:val="-51"/>
          <w:w w:val="105"/>
        </w:rPr>
        <w:t> </w:t>
      </w:r>
      <w:r>
        <w:rPr>
          <w:color w:val="231F20"/>
          <w:spacing w:val="-3"/>
          <w:w w:val="105"/>
        </w:rPr>
        <w:t>partire</w:t>
      </w:r>
      <w:r>
        <w:rPr>
          <w:color w:val="231F20"/>
          <w:spacing w:val="-51"/>
          <w:w w:val="105"/>
        </w:rPr>
        <w:t> </w:t>
      </w:r>
      <w:r>
        <w:rPr>
          <w:color w:val="231F20"/>
          <w:spacing w:val="-3"/>
          <w:w w:val="105"/>
        </w:rPr>
        <w:t>proprio </w:t>
      </w:r>
      <w:r>
        <w:rPr>
          <w:color w:val="231F20"/>
          <w:w w:val="105"/>
        </w:rPr>
        <w:t>dai</w:t>
      </w:r>
      <w:r>
        <w:rPr>
          <w:color w:val="231F20"/>
          <w:spacing w:val="-8"/>
          <w:w w:val="105"/>
        </w:rPr>
        <w:t> </w:t>
      </w:r>
      <w:r>
        <w:rPr>
          <w:color w:val="231F20"/>
          <w:w w:val="105"/>
        </w:rPr>
        <w:t>“principi</w:t>
      </w:r>
      <w:r>
        <w:rPr>
          <w:color w:val="231F20"/>
          <w:spacing w:val="-8"/>
          <w:w w:val="105"/>
        </w:rPr>
        <w:t> </w:t>
      </w:r>
      <w:r>
        <w:rPr>
          <w:color w:val="231F20"/>
          <w:w w:val="105"/>
        </w:rPr>
        <w:t>strutturali”</w:t>
      </w:r>
      <w:r>
        <w:rPr>
          <w:color w:val="231F20"/>
          <w:spacing w:val="-8"/>
          <w:w w:val="105"/>
        </w:rPr>
        <w:t> </w:t>
      </w:r>
      <w:r>
        <w:rPr>
          <w:color w:val="231F20"/>
          <w:w w:val="105"/>
        </w:rPr>
        <w:t>sui</w:t>
      </w:r>
      <w:r>
        <w:rPr>
          <w:color w:val="231F20"/>
          <w:spacing w:val="-8"/>
          <w:w w:val="105"/>
        </w:rPr>
        <w:t> </w:t>
      </w:r>
      <w:r>
        <w:rPr>
          <w:color w:val="231F20"/>
          <w:w w:val="105"/>
        </w:rPr>
        <w:t>quali</w:t>
      </w:r>
      <w:r>
        <w:rPr>
          <w:color w:val="231F20"/>
          <w:spacing w:val="-8"/>
          <w:w w:val="105"/>
        </w:rPr>
        <w:t> </w:t>
      </w:r>
      <w:r>
        <w:rPr>
          <w:color w:val="231F20"/>
          <w:w w:val="105"/>
        </w:rPr>
        <w:t>è</w:t>
      </w:r>
      <w:r>
        <w:rPr>
          <w:color w:val="231F20"/>
          <w:spacing w:val="-8"/>
          <w:w w:val="105"/>
        </w:rPr>
        <w:t> </w:t>
      </w:r>
      <w:r>
        <w:rPr>
          <w:color w:val="231F20"/>
          <w:w w:val="105"/>
        </w:rPr>
        <w:t>fondato</w:t>
      </w:r>
      <w:r>
        <w:rPr>
          <w:color w:val="231F20"/>
          <w:spacing w:val="-8"/>
          <w:w w:val="105"/>
        </w:rPr>
        <w:t> </w:t>
      </w:r>
      <w:r>
        <w:rPr>
          <w:color w:val="231F20"/>
          <w:w w:val="105"/>
        </w:rPr>
        <w:t>qualunque</w:t>
      </w:r>
      <w:r>
        <w:rPr>
          <w:color w:val="231F20"/>
          <w:spacing w:val="-8"/>
          <w:w w:val="105"/>
        </w:rPr>
        <w:t> </w:t>
      </w:r>
      <w:r>
        <w:rPr>
          <w:color w:val="231F20"/>
          <w:w w:val="105"/>
        </w:rPr>
        <w:t>modello</w:t>
      </w:r>
      <w:r>
        <w:rPr>
          <w:color w:val="231F20"/>
          <w:spacing w:val="-8"/>
          <w:w w:val="105"/>
        </w:rPr>
        <w:t> </w:t>
      </w:r>
      <w:r>
        <w:rPr>
          <w:color w:val="231F20"/>
          <w:w w:val="105"/>
        </w:rPr>
        <w:t>storico</w:t>
      </w:r>
      <w:r>
        <w:rPr>
          <w:color w:val="231F20"/>
          <w:spacing w:val="-8"/>
          <w:w w:val="105"/>
        </w:rPr>
        <w:t> </w:t>
      </w:r>
      <w:r>
        <w:rPr>
          <w:color w:val="231F20"/>
          <w:w w:val="105"/>
        </w:rPr>
        <w:t>di </w:t>
      </w:r>
      <w:r>
        <w:rPr>
          <w:color w:val="231F20"/>
        </w:rPr>
        <w:t>convivenza</w:t>
      </w:r>
      <w:r>
        <w:rPr>
          <w:color w:val="231F20"/>
          <w:spacing w:val="-21"/>
        </w:rPr>
        <w:t> </w:t>
      </w:r>
      <w:r>
        <w:rPr>
          <w:color w:val="231F20"/>
        </w:rPr>
        <w:t>internazionale:</w:t>
      </w:r>
      <w:r>
        <w:rPr>
          <w:color w:val="231F20"/>
          <w:spacing w:val="-21"/>
        </w:rPr>
        <w:t> </w:t>
      </w:r>
      <w:r>
        <w:rPr>
          <w:color w:val="231F20"/>
        </w:rPr>
        <w:t>quelli</w:t>
      </w:r>
      <w:r>
        <w:rPr>
          <w:color w:val="231F20"/>
          <w:spacing w:val="-21"/>
        </w:rPr>
        <w:t> </w:t>
      </w:r>
      <w:r>
        <w:rPr>
          <w:color w:val="231F20"/>
        </w:rPr>
        <w:t>che</w:t>
      </w:r>
      <w:r>
        <w:rPr>
          <w:color w:val="231F20"/>
          <w:spacing w:val="-21"/>
        </w:rPr>
        <w:t> </w:t>
      </w:r>
      <w:r>
        <w:rPr>
          <w:color w:val="231F20"/>
          <w:spacing w:val="-3"/>
        </w:rPr>
        <w:t>prescrivono</w:t>
      </w:r>
      <w:r>
        <w:rPr>
          <w:color w:val="231F20"/>
          <w:spacing w:val="-21"/>
        </w:rPr>
        <w:t> </w:t>
      </w:r>
      <w:r>
        <w:rPr>
          <w:color w:val="231F20"/>
        </w:rPr>
        <w:t>chi</w:t>
      </w:r>
      <w:r>
        <w:rPr>
          <w:color w:val="231F20"/>
          <w:spacing w:val="-21"/>
        </w:rPr>
        <w:t> </w:t>
      </w:r>
      <w:r>
        <w:rPr>
          <w:color w:val="231F20"/>
        </w:rPr>
        <w:t>siano</w:t>
      </w:r>
      <w:r>
        <w:rPr>
          <w:color w:val="231F20"/>
          <w:spacing w:val="-21"/>
        </w:rPr>
        <w:t> </w:t>
      </w:r>
      <w:r>
        <w:rPr>
          <w:color w:val="231F20"/>
        </w:rPr>
        <w:t>i</w:t>
      </w:r>
      <w:r>
        <w:rPr>
          <w:color w:val="231F20"/>
          <w:spacing w:val="-21"/>
        </w:rPr>
        <w:t> </w:t>
      </w:r>
      <w:r>
        <w:rPr>
          <w:color w:val="231F20"/>
        </w:rPr>
        <w:t>soggetti</w:t>
      </w:r>
      <w:r>
        <w:rPr>
          <w:color w:val="231F20"/>
          <w:spacing w:val="-21"/>
        </w:rPr>
        <w:t> </w:t>
      </w:r>
      <w:r>
        <w:rPr>
          <w:color w:val="231F20"/>
        </w:rPr>
        <w:t>legittimi </w:t>
      </w:r>
      <w:r>
        <w:rPr>
          <w:color w:val="231F20"/>
          <w:spacing w:val="3"/>
          <w:w w:val="105"/>
        </w:rPr>
        <w:t>dell’ordinamento, quale </w:t>
      </w:r>
      <w:r>
        <w:rPr>
          <w:color w:val="231F20"/>
          <w:spacing w:val="2"/>
          <w:w w:val="105"/>
        </w:rPr>
        <w:t>sia </w:t>
      </w:r>
      <w:r>
        <w:rPr>
          <w:color w:val="231F20"/>
          <w:w w:val="105"/>
        </w:rPr>
        <w:t>il loro </w:t>
      </w:r>
      <w:r>
        <w:rPr>
          <w:color w:val="231F20"/>
          <w:spacing w:val="3"/>
          <w:w w:val="105"/>
        </w:rPr>
        <w:t>status relativo, come debba </w:t>
      </w:r>
      <w:r>
        <w:rPr>
          <w:color w:val="231F20"/>
          <w:spacing w:val="2"/>
          <w:w w:val="105"/>
        </w:rPr>
        <w:t>essere </w:t>
      </w:r>
      <w:r>
        <w:rPr>
          <w:color w:val="231F20"/>
          <w:w w:val="105"/>
        </w:rPr>
        <w:t>distribuito</w:t>
      </w:r>
      <w:r>
        <w:rPr>
          <w:color w:val="231F20"/>
          <w:spacing w:val="-29"/>
          <w:w w:val="105"/>
        </w:rPr>
        <w:t> </w:t>
      </w:r>
      <w:r>
        <w:rPr>
          <w:color w:val="231F20"/>
          <w:w w:val="105"/>
        </w:rPr>
        <w:t>lo</w:t>
      </w:r>
      <w:r>
        <w:rPr>
          <w:color w:val="231F20"/>
          <w:spacing w:val="-29"/>
          <w:w w:val="105"/>
        </w:rPr>
        <w:t> </w:t>
      </w:r>
      <w:r>
        <w:rPr>
          <w:color w:val="231F20"/>
          <w:w w:val="105"/>
        </w:rPr>
        <w:t>spazio</w:t>
      </w:r>
      <w:r>
        <w:rPr>
          <w:color w:val="231F20"/>
          <w:spacing w:val="-29"/>
          <w:w w:val="105"/>
        </w:rPr>
        <w:t> </w:t>
      </w:r>
      <w:r>
        <w:rPr>
          <w:color w:val="231F20"/>
          <w:w w:val="105"/>
        </w:rPr>
        <w:t>tra</w:t>
      </w:r>
      <w:r>
        <w:rPr>
          <w:color w:val="231F20"/>
          <w:spacing w:val="-29"/>
          <w:w w:val="105"/>
        </w:rPr>
        <w:t> </w:t>
      </w:r>
      <w:r>
        <w:rPr>
          <w:color w:val="231F20"/>
          <w:w w:val="105"/>
        </w:rPr>
        <w:t>di</w:t>
      </w:r>
      <w:r>
        <w:rPr>
          <w:color w:val="231F20"/>
          <w:spacing w:val="-29"/>
          <w:w w:val="105"/>
        </w:rPr>
        <w:t> </w:t>
      </w:r>
      <w:r>
        <w:rPr>
          <w:color w:val="231F20"/>
          <w:w w:val="105"/>
        </w:rPr>
        <w:t>loro,</w:t>
      </w:r>
      <w:r>
        <w:rPr>
          <w:color w:val="231F20"/>
          <w:spacing w:val="-29"/>
          <w:w w:val="105"/>
        </w:rPr>
        <w:t> </w:t>
      </w:r>
      <w:r>
        <w:rPr>
          <w:color w:val="231F20"/>
          <w:w w:val="105"/>
        </w:rPr>
        <w:t>se</w:t>
      </w:r>
      <w:r>
        <w:rPr>
          <w:color w:val="231F20"/>
          <w:spacing w:val="-29"/>
          <w:w w:val="105"/>
        </w:rPr>
        <w:t> </w:t>
      </w:r>
      <w:r>
        <w:rPr>
          <w:color w:val="231F20"/>
          <w:w w:val="105"/>
        </w:rPr>
        <w:t>e</w:t>
      </w:r>
      <w:r>
        <w:rPr>
          <w:color w:val="231F20"/>
          <w:spacing w:val="-29"/>
          <w:w w:val="105"/>
        </w:rPr>
        <w:t> </w:t>
      </w:r>
      <w:r>
        <w:rPr>
          <w:color w:val="231F20"/>
          <w:w w:val="105"/>
        </w:rPr>
        <w:t>a</w:t>
      </w:r>
      <w:r>
        <w:rPr>
          <w:color w:val="231F20"/>
          <w:spacing w:val="-29"/>
          <w:w w:val="105"/>
        </w:rPr>
        <w:t> </w:t>
      </w:r>
      <w:r>
        <w:rPr>
          <w:color w:val="231F20"/>
          <w:w w:val="105"/>
        </w:rPr>
        <w:t>quali</w:t>
      </w:r>
      <w:r>
        <w:rPr>
          <w:color w:val="231F20"/>
          <w:spacing w:val="-29"/>
          <w:w w:val="105"/>
        </w:rPr>
        <w:t> </w:t>
      </w:r>
      <w:r>
        <w:rPr>
          <w:color w:val="231F20"/>
          <w:w w:val="105"/>
        </w:rPr>
        <w:t>condizioni</w:t>
      </w:r>
      <w:r>
        <w:rPr>
          <w:color w:val="231F20"/>
          <w:spacing w:val="-29"/>
          <w:w w:val="105"/>
        </w:rPr>
        <w:t> </w:t>
      </w:r>
      <w:r>
        <w:rPr>
          <w:color w:val="231F20"/>
          <w:w w:val="105"/>
        </w:rPr>
        <w:t>sia</w:t>
      </w:r>
      <w:r>
        <w:rPr>
          <w:color w:val="231F20"/>
          <w:spacing w:val="-29"/>
          <w:w w:val="105"/>
        </w:rPr>
        <w:t> </w:t>
      </w:r>
      <w:r>
        <w:rPr>
          <w:color w:val="231F20"/>
          <w:w w:val="105"/>
        </w:rPr>
        <w:t>legittimo</w:t>
      </w:r>
      <w:r>
        <w:rPr>
          <w:color w:val="231F20"/>
          <w:spacing w:val="-29"/>
          <w:w w:val="105"/>
        </w:rPr>
        <w:t> </w:t>
      </w:r>
      <w:r>
        <w:rPr>
          <w:color w:val="231F20"/>
          <w:w w:val="105"/>
        </w:rPr>
        <w:t>il</w:t>
      </w:r>
      <w:r>
        <w:rPr>
          <w:color w:val="231F20"/>
          <w:spacing w:val="-29"/>
          <w:w w:val="105"/>
        </w:rPr>
        <w:t> </w:t>
      </w:r>
      <w:r>
        <w:rPr>
          <w:color w:val="231F20"/>
          <w:w w:val="105"/>
        </w:rPr>
        <w:t>ricorso alla</w:t>
      </w:r>
      <w:r>
        <w:rPr>
          <w:color w:val="231F20"/>
          <w:spacing w:val="-51"/>
          <w:w w:val="105"/>
        </w:rPr>
        <w:t> </w:t>
      </w:r>
      <w:r>
        <w:rPr>
          <w:color w:val="231F20"/>
          <w:w w:val="105"/>
        </w:rPr>
        <w:t>guerra”</w:t>
      </w:r>
      <w:r>
        <w:rPr>
          <w:color w:val="231F20"/>
          <w:w w:val="105"/>
          <w:position w:val="7"/>
          <w:sz w:val="12"/>
        </w:rPr>
        <w:t>2</w:t>
      </w:r>
      <w:r>
        <w:rPr>
          <w:color w:val="231F20"/>
          <w:w w:val="105"/>
        </w:rPr>
        <w:t>.</w:t>
      </w:r>
    </w:p>
    <w:p>
      <w:pPr>
        <w:pStyle w:val="BodyText"/>
        <w:spacing w:line="244" w:lineRule="auto"/>
        <w:ind w:left="117" w:right="121" w:firstLine="566"/>
        <w:jc w:val="both"/>
      </w:pPr>
      <w:r>
        <w:rPr>
          <w:color w:val="231F20"/>
          <w:spacing w:val="-7"/>
          <w:w w:val="105"/>
        </w:rPr>
        <w:t>Tutto</w:t>
      </w:r>
      <w:r>
        <w:rPr>
          <w:color w:val="231F20"/>
          <w:spacing w:val="-50"/>
          <w:w w:val="105"/>
        </w:rPr>
        <w:t> </w:t>
      </w:r>
      <w:r>
        <w:rPr>
          <w:color w:val="231F20"/>
          <w:spacing w:val="-4"/>
          <w:w w:val="105"/>
        </w:rPr>
        <w:t>considerato,</w:t>
      </w:r>
      <w:r>
        <w:rPr>
          <w:color w:val="231F20"/>
          <w:spacing w:val="-50"/>
          <w:w w:val="105"/>
        </w:rPr>
        <w:t> </w:t>
      </w:r>
      <w:r>
        <w:rPr>
          <w:color w:val="231F20"/>
          <w:w w:val="105"/>
        </w:rPr>
        <w:t>è</w:t>
      </w:r>
      <w:r>
        <w:rPr>
          <w:color w:val="231F20"/>
          <w:spacing w:val="-50"/>
          <w:w w:val="105"/>
        </w:rPr>
        <w:t> </w:t>
      </w:r>
      <w:r>
        <w:rPr>
          <w:color w:val="231F20"/>
          <w:spacing w:val="-4"/>
          <w:w w:val="105"/>
        </w:rPr>
        <w:t>nella</w:t>
      </w:r>
      <w:r>
        <w:rPr>
          <w:color w:val="231F20"/>
          <w:spacing w:val="-50"/>
          <w:w w:val="105"/>
        </w:rPr>
        <w:t> </w:t>
      </w:r>
      <w:r>
        <w:rPr>
          <w:color w:val="231F20"/>
          <w:spacing w:val="-3"/>
          <w:w w:val="105"/>
        </w:rPr>
        <w:t>più</w:t>
      </w:r>
      <w:r>
        <w:rPr>
          <w:color w:val="231F20"/>
          <w:spacing w:val="-50"/>
          <w:w w:val="105"/>
        </w:rPr>
        <w:t> </w:t>
      </w:r>
      <w:r>
        <w:rPr>
          <w:color w:val="231F20"/>
          <w:spacing w:val="-4"/>
          <w:w w:val="105"/>
        </w:rPr>
        <w:t>recente</w:t>
      </w:r>
      <w:r>
        <w:rPr>
          <w:color w:val="231F20"/>
          <w:spacing w:val="-50"/>
          <w:w w:val="105"/>
        </w:rPr>
        <w:t> </w:t>
      </w:r>
      <w:r>
        <w:rPr>
          <w:color w:val="231F20"/>
          <w:spacing w:val="-4"/>
          <w:w w:val="105"/>
        </w:rPr>
        <w:t>discussione</w:t>
      </w:r>
      <w:r>
        <w:rPr>
          <w:color w:val="231F20"/>
          <w:spacing w:val="-50"/>
          <w:w w:val="105"/>
        </w:rPr>
        <w:t> </w:t>
      </w:r>
      <w:r>
        <w:rPr>
          <w:color w:val="231F20"/>
          <w:spacing w:val="-4"/>
          <w:w w:val="105"/>
        </w:rPr>
        <w:t>teorica</w:t>
      </w:r>
      <w:r>
        <w:rPr>
          <w:color w:val="231F20"/>
          <w:spacing w:val="-50"/>
          <w:w w:val="105"/>
        </w:rPr>
        <w:t> </w:t>
      </w:r>
      <w:r>
        <w:rPr>
          <w:color w:val="231F20"/>
          <w:spacing w:val="-3"/>
          <w:w w:val="105"/>
        </w:rPr>
        <w:t>sui</w:t>
      </w:r>
      <w:r>
        <w:rPr>
          <w:color w:val="231F20"/>
          <w:spacing w:val="-50"/>
          <w:w w:val="105"/>
        </w:rPr>
        <w:t> </w:t>
      </w:r>
      <w:r>
        <w:rPr>
          <w:color w:val="231F20"/>
          <w:spacing w:val="-4"/>
          <w:w w:val="105"/>
        </w:rPr>
        <w:t>fondamenti </w:t>
      </w:r>
      <w:r>
        <w:rPr>
          <w:color w:val="231F20"/>
          <w:w w:val="105"/>
        </w:rPr>
        <w:t>normativi</w:t>
      </w:r>
      <w:r>
        <w:rPr>
          <w:color w:val="231F20"/>
          <w:spacing w:val="-37"/>
          <w:w w:val="105"/>
        </w:rPr>
        <w:t> </w:t>
      </w:r>
      <w:r>
        <w:rPr>
          <w:color w:val="231F20"/>
          <w:w w:val="105"/>
        </w:rPr>
        <w:t>dell’</w:t>
      </w:r>
      <w:r>
        <w:rPr>
          <w:rFonts w:ascii="Arial" w:hAnsi="Arial"/>
          <w:i/>
          <w:color w:val="231F20"/>
          <w:w w:val="105"/>
        </w:rPr>
        <w:t>intervento</w:t>
      </w:r>
      <w:r>
        <w:rPr>
          <w:rFonts w:ascii="Arial" w:hAnsi="Arial"/>
          <w:i/>
          <w:color w:val="231F20"/>
          <w:spacing w:val="-29"/>
          <w:w w:val="105"/>
        </w:rPr>
        <w:t> </w:t>
      </w:r>
      <w:r>
        <w:rPr>
          <w:rFonts w:ascii="Arial" w:hAnsi="Arial"/>
          <w:i/>
          <w:color w:val="231F20"/>
          <w:w w:val="105"/>
        </w:rPr>
        <w:t>umanitario</w:t>
      </w:r>
      <w:r>
        <w:rPr>
          <w:rFonts w:ascii="Arial" w:hAnsi="Arial"/>
          <w:i/>
          <w:color w:val="231F20"/>
          <w:spacing w:val="-29"/>
          <w:w w:val="105"/>
        </w:rPr>
        <w:t> </w:t>
      </w:r>
      <w:r>
        <w:rPr>
          <w:color w:val="231F20"/>
          <w:w w:val="105"/>
        </w:rPr>
        <w:t>—nella</w:t>
      </w:r>
      <w:r>
        <w:rPr>
          <w:color w:val="231F20"/>
          <w:spacing w:val="-37"/>
          <w:w w:val="105"/>
        </w:rPr>
        <w:t> </w:t>
      </w:r>
      <w:r>
        <w:rPr>
          <w:color w:val="231F20"/>
          <w:w w:val="105"/>
        </w:rPr>
        <w:t>peculiare</w:t>
      </w:r>
      <w:r>
        <w:rPr>
          <w:color w:val="231F20"/>
          <w:spacing w:val="-37"/>
          <w:w w:val="105"/>
        </w:rPr>
        <w:t> </w:t>
      </w:r>
      <w:r>
        <w:rPr>
          <w:color w:val="231F20"/>
          <w:w w:val="105"/>
        </w:rPr>
        <w:t>declinazione</w:t>
      </w:r>
      <w:r>
        <w:rPr>
          <w:color w:val="231F20"/>
          <w:spacing w:val="-37"/>
          <w:w w:val="105"/>
        </w:rPr>
        <w:t> </w:t>
      </w:r>
      <w:r>
        <w:rPr>
          <w:rFonts w:ascii="Arial" w:hAnsi="Arial"/>
          <w:i/>
          <w:color w:val="231F20"/>
          <w:w w:val="105"/>
        </w:rPr>
        <w:t>militare </w:t>
      </w:r>
      <w:r>
        <w:rPr>
          <w:color w:val="231F20"/>
          <w:w w:val="105"/>
        </w:rPr>
        <w:t>da</w:t>
      </w:r>
      <w:r>
        <w:rPr>
          <w:color w:val="231F20"/>
          <w:spacing w:val="-31"/>
          <w:w w:val="105"/>
        </w:rPr>
        <w:t> </w:t>
      </w:r>
      <w:r>
        <w:rPr>
          <w:color w:val="231F20"/>
          <w:w w:val="105"/>
        </w:rPr>
        <w:t>questo</w:t>
      </w:r>
      <w:r>
        <w:rPr>
          <w:color w:val="231F20"/>
          <w:spacing w:val="-31"/>
          <w:w w:val="105"/>
        </w:rPr>
        <w:t> </w:t>
      </w:r>
      <w:r>
        <w:rPr>
          <w:color w:val="231F20"/>
          <w:w w:val="105"/>
        </w:rPr>
        <w:t>assunta</w:t>
      </w:r>
      <w:r>
        <w:rPr>
          <w:color w:val="231F20"/>
          <w:spacing w:val="-31"/>
          <w:w w:val="105"/>
        </w:rPr>
        <w:t> </w:t>
      </w:r>
      <w:r>
        <w:rPr>
          <w:color w:val="231F20"/>
          <w:w w:val="105"/>
        </w:rPr>
        <w:t>a</w:t>
      </w:r>
      <w:r>
        <w:rPr>
          <w:color w:val="231F20"/>
          <w:spacing w:val="-31"/>
          <w:w w:val="105"/>
        </w:rPr>
        <w:t> </w:t>
      </w:r>
      <w:r>
        <w:rPr>
          <w:color w:val="231F20"/>
          <w:w w:val="105"/>
        </w:rPr>
        <w:t>partire</w:t>
      </w:r>
      <w:r>
        <w:rPr>
          <w:color w:val="231F20"/>
          <w:spacing w:val="-31"/>
          <w:w w:val="105"/>
        </w:rPr>
        <w:t> </w:t>
      </w:r>
      <w:r>
        <w:rPr>
          <w:color w:val="231F20"/>
          <w:w w:val="105"/>
        </w:rPr>
        <w:t>dall’inizio</w:t>
      </w:r>
      <w:r>
        <w:rPr>
          <w:color w:val="231F20"/>
          <w:spacing w:val="-31"/>
          <w:w w:val="105"/>
        </w:rPr>
        <w:t> </w:t>
      </w:r>
      <w:r>
        <w:rPr>
          <w:color w:val="231F20"/>
          <w:w w:val="105"/>
        </w:rPr>
        <w:t>degli</w:t>
      </w:r>
      <w:r>
        <w:rPr>
          <w:color w:val="231F20"/>
          <w:spacing w:val="-31"/>
          <w:w w:val="105"/>
        </w:rPr>
        <w:t> </w:t>
      </w:r>
      <w:r>
        <w:rPr>
          <w:color w:val="231F20"/>
          <w:w w:val="105"/>
        </w:rPr>
        <w:t>anni</w:t>
      </w:r>
      <w:r>
        <w:rPr>
          <w:color w:val="231F20"/>
          <w:spacing w:val="-31"/>
          <w:w w:val="105"/>
        </w:rPr>
        <w:t> </w:t>
      </w:r>
      <w:r>
        <w:rPr>
          <w:color w:val="231F20"/>
          <w:w w:val="105"/>
        </w:rPr>
        <w:t>Novanta</w:t>
      </w:r>
      <w:r>
        <w:rPr>
          <w:color w:val="231F20"/>
          <w:spacing w:val="-31"/>
          <w:w w:val="105"/>
        </w:rPr>
        <w:t> </w:t>
      </w:r>
      <w:r>
        <w:rPr>
          <w:color w:val="231F20"/>
          <w:w w:val="105"/>
        </w:rPr>
        <w:t>del</w:t>
      </w:r>
      <w:r>
        <w:rPr>
          <w:color w:val="231F20"/>
          <w:spacing w:val="-31"/>
          <w:w w:val="105"/>
        </w:rPr>
        <w:t> </w:t>
      </w:r>
      <w:r>
        <w:rPr>
          <w:color w:val="231F20"/>
          <w:w w:val="105"/>
        </w:rPr>
        <w:t>Novecento</w:t>
      </w:r>
      <w:r>
        <w:rPr>
          <w:color w:val="231F20"/>
          <w:w w:val="105"/>
          <w:position w:val="7"/>
          <w:sz w:val="12"/>
        </w:rPr>
        <w:t>3</w:t>
      </w:r>
      <w:r>
        <w:rPr>
          <w:color w:val="231F20"/>
          <w:w w:val="105"/>
        </w:rPr>
        <w:t>—</w:t>
      </w:r>
    </w:p>
    <w:p>
      <w:pPr>
        <w:pStyle w:val="BodyText"/>
        <w:spacing w:before="1"/>
        <w:rPr>
          <w:sz w:val="16"/>
        </w:rPr>
      </w:pPr>
      <w:r>
        <w:rPr/>
        <w:pict>
          <v:line style="position:absolute;mso-position-horizontal-relative:page;mso-position-vertical-relative:paragraph;z-index:14152;mso-wrap-distance-left:0;mso-wrap-distance-right:0" from="70.866096pt,11.832227pt" to="184.252096pt,11.832227pt" stroked="true" strokeweight=".3pt" strokecolor="#231f20">
            <w10:wrap type="topAndBottom"/>
          </v:line>
        </w:pict>
      </w:r>
    </w:p>
    <w:p>
      <w:pPr>
        <w:spacing w:line="206" w:lineRule="exact" w:before="10"/>
        <w:ind w:left="117" w:right="0" w:firstLine="0"/>
        <w:jc w:val="both"/>
        <w:rPr>
          <w:rFonts w:ascii="Calibri" w:hAnsi="Calibri"/>
          <w:sz w:val="17"/>
        </w:rPr>
      </w:pPr>
      <w:r>
        <w:rPr>
          <w:rFonts w:ascii="Calibri" w:hAnsi="Calibri"/>
          <w:color w:val="231F20"/>
          <w:position w:val="6"/>
          <w:sz w:val="10"/>
        </w:rPr>
        <w:t>1   </w:t>
      </w:r>
      <w:r>
        <w:rPr>
          <w:rFonts w:ascii="Calibri" w:hAnsi="Calibri"/>
          <w:color w:val="231F20"/>
          <w:sz w:val="17"/>
        </w:rPr>
        <w:t>A. Colombo, </w:t>
      </w:r>
      <w:r>
        <w:rPr>
          <w:rFonts w:ascii="Calibri" w:hAnsi="Calibri"/>
          <w:i/>
          <w:color w:val="231F20"/>
          <w:sz w:val="17"/>
        </w:rPr>
        <w:t>La disunità del mondo. Dopo il secolo globale</w:t>
      </w:r>
      <w:r>
        <w:rPr>
          <w:rFonts w:ascii="Calibri" w:hAnsi="Calibri"/>
          <w:color w:val="231F20"/>
          <w:sz w:val="17"/>
        </w:rPr>
        <w:t>, Milano, Feltrinelli, 2010, pp. 13–14.</w:t>
      </w:r>
    </w:p>
    <w:p>
      <w:pPr>
        <w:spacing w:line="235" w:lineRule="auto" w:before="1"/>
        <w:ind w:left="117" w:right="122" w:firstLine="0"/>
        <w:jc w:val="both"/>
        <w:rPr>
          <w:rFonts w:ascii="Calibri" w:hAnsi="Calibri"/>
          <w:sz w:val="17"/>
        </w:rPr>
      </w:pPr>
      <w:r>
        <w:rPr>
          <w:rFonts w:ascii="Calibri" w:hAnsi="Calibri"/>
          <w:color w:val="231F20"/>
          <w:w w:val="105"/>
          <w:position w:val="6"/>
          <w:sz w:val="10"/>
        </w:rPr>
        <w:t>2</w:t>
      </w:r>
      <w:r>
        <w:rPr>
          <w:rFonts w:ascii="Calibri" w:hAnsi="Calibri"/>
          <w:color w:val="231F20"/>
          <w:spacing w:val="-1"/>
          <w:w w:val="105"/>
          <w:position w:val="6"/>
          <w:sz w:val="10"/>
        </w:rPr>
        <w:t> </w:t>
      </w:r>
      <w:r>
        <w:rPr>
          <w:rFonts w:ascii="Calibri" w:hAnsi="Calibri"/>
          <w:color w:val="231F20"/>
          <w:w w:val="105"/>
          <w:sz w:val="17"/>
        </w:rPr>
        <w:t>Colombo,</w:t>
      </w:r>
      <w:r>
        <w:rPr>
          <w:rFonts w:ascii="Calibri" w:hAnsi="Calibri"/>
          <w:color w:val="231F20"/>
          <w:spacing w:val="-17"/>
          <w:w w:val="105"/>
          <w:sz w:val="17"/>
        </w:rPr>
        <w:t> </w:t>
      </w:r>
      <w:r>
        <w:rPr>
          <w:rFonts w:ascii="Calibri" w:hAnsi="Calibri"/>
          <w:i/>
          <w:color w:val="231F20"/>
          <w:w w:val="105"/>
          <w:sz w:val="17"/>
        </w:rPr>
        <w:t>La</w:t>
      </w:r>
      <w:r>
        <w:rPr>
          <w:rFonts w:ascii="Calibri" w:hAnsi="Calibri"/>
          <w:i/>
          <w:color w:val="231F20"/>
          <w:spacing w:val="-18"/>
          <w:w w:val="105"/>
          <w:sz w:val="17"/>
        </w:rPr>
        <w:t> </w:t>
      </w:r>
      <w:r>
        <w:rPr>
          <w:rFonts w:ascii="Calibri" w:hAnsi="Calibri"/>
          <w:i/>
          <w:color w:val="231F20"/>
          <w:w w:val="105"/>
          <w:sz w:val="17"/>
        </w:rPr>
        <w:t>disunità</w:t>
      </w:r>
      <w:r>
        <w:rPr>
          <w:rFonts w:ascii="Calibri" w:hAnsi="Calibri"/>
          <w:i/>
          <w:color w:val="231F20"/>
          <w:spacing w:val="-18"/>
          <w:w w:val="105"/>
          <w:sz w:val="17"/>
        </w:rPr>
        <w:t> </w:t>
      </w:r>
      <w:r>
        <w:rPr>
          <w:rFonts w:ascii="Calibri" w:hAnsi="Calibri"/>
          <w:i/>
          <w:color w:val="231F20"/>
          <w:w w:val="105"/>
          <w:sz w:val="17"/>
        </w:rPr>
        <w:t>del</w:t>
      </w:r>
      <w:r>
        <w:rPr>
          <w:rFonts w:ascii="Calibri" w:hAnsi="Calibri"/>
          <w:i/>
          <w:color w:val="231F20"/>
          <w:spacing w:val="-18"/>
          <w:w w:val="105"/>
          <w:sz w:val="17"/>
        </w:rPr>
        <w:t> </w:t>
      </w:r>
      <w:r>
        <w:rPr>
          <w:rFonts w:ascii="Calibri" w:hAnsi="Calibri"/>
          <w:i/>
          <w:color w:val="231F20"/>
          <w:w w:val="105"/>
          <w:sz w:val="17"/>
        </w:rPr>
        <w:t>mondo.</w:t>
      </w:r>
      <w:r>
        <w:rPr>
          <w:rFonts w:ascii="Calibri" w:hAnsi="Calibri"/>
          <w:i/>
          <w:color w:val="231F20"/>
          <w:spacing w:val="-18"/>
          <w:w w:val="105"/>
          <w:sz w:val="17"/>
        </w:rPr>
        <w:t> </w:t>
      </w:r>
      <w:r>
        <w:rPr>
          <w:rFonts w:ascii="Calibri" w:hAnsi="Calibri"/>
          <w:i/>
          <w:color w:val="231F20"/>
          <w:w w:val="105"/>
          <w:sz w:val="17"/>
        </w:rPr>
        <w:t>Dopo</w:t>
      </w:r>
      <w:r>
        <w:rPr>
          <w:rFonts w:ascii="Calibri" w:hAnsi="Calibri"/>
          <w:i/>
          <w:color w:val="231F20"/>
          <w:spacing w:val="-18"/>
          <w:w w:val="105"/>
          <w:sz w:val="17"/>
        </w:rPr>
        <w:t> </w:t>
      </w:r>
      <w:r>
        <w:rPr>
          <w:rFonts w:ascii="Calibri" w:hAnsi="Calibri"/>
          <w:i/>
          <w:color w:val="231F20"/>
          <w:w w:val="105"/>
          <w:sz w:val="17"/>
        </w:rPr>
        <w:t>il</w:t>
      </w:r>
      <w:r>
        <w:rPr>
          <w:rFonts w:ascii="Calibri" w:hAnsi="Calibri"/>
          <w:i/>
          <w:color w:val="231F20"/>
          <w:spacing w:val="-18"/>
          <w:w w:val="105"/>
          <w:sz w:val="17"/>
        </w:rPr>
        <w:t> </w:t>
      </w:r>
      <w:r>
        <w:rPr>
          <w:rFonts w:ascii="Calibri" w:hAnsi="Calibri"/>
          <w:i/>
          <w:color w:val="231F20"/>
          <w:w w:val="105"/>
          <w:sz w:val="17"/>
        </w:rPr>
        <w:t>secolo</w:t>
      </w:r>
      <w:r>
        <w:rPr>
          <w:rFonts w:ascii="Calibri" w:hAnsi="Calibri"/>
          <w:i/>
          <w:color w:val="231F20"/>
          <w:spacing w:val="-18"/>
          <w:w w:val="105"/>
          <w:sz w:val="17"/>
        </w:rPr>
        <w:t> </w:t>
      </w:r>
      <w:r>
        <w:rPr>
          <w:rFonts w:ascii="Calibri" w:hAnsi="Calibri"/>
          <w:i/>
          <w:color w:val="231F20"/>
          <w:w w:val="105"/>
          <w:sz w:val="17"/>
        </w:rPr>
        <w:t>globale</w:t>
      </w:r>
      <w:r>
        <w:rPr>
          <w:rFonts w:ascii="Calibri" w:hAnsi="Calibri"/>
          <w:color w:val="231F20"/>
          <w:w w:val="105"/>
          <w:sz w:val="17"/>
        </w:rPr>
        <w:t>,</w:t>
      </w:r>
      <w:r>
        <w:rPr>
          <w:rFonts w:ascii="Calibri" w:hAnsi="Calibri"/>
          <w:color w:val="231F20"/>
          <w:spacing w:val="-17"/>
          <w:w w:val="105"/>
          <w:sz w:val="17"/>
        </w:rPr>
        <w:t> </w:t>
      </w:r>
      <w:r>
        <w:rPr>
          <w:rFonts w:ascii="Calibri" w:hAnsi="Calibri"/>
          <w:color w:val="231F20"/>
          <w:w w:val="105"/>
          <w:sz w:val="17"/>
        </w:rPr>
        <w:t>p.</w:t>
      </w:r>
      <w:r>
        <w:rPr>
          <w:rFonts w:ascii="Calibri" w:hAnsi="Calibri"/>
          <w:color w:val="231F20"/>
          <w:spacing w:val="-17"/>
          <w:w w:val="105"/>
          <w:sz w:val="17"/>
        </w:rPr>
        <w:t> </w:t>
      </w:r>
      <w:r>
        <w:rPr>
          <w:rFonts w:ascii="Calibri" w:hAnsi="Calibri"/>
          <w:color w:val="231F20"/>
          <w:w w:val="105"/>
          <w:sz w:val="17"/>
        </w:rPr>
        <w:t>43:</w:t>
      </w:r>
      <w:r>
        <w:rPr>
          <w:rFonts w:ascii="Calibri" w:hAnsi="Calibri"/>
          <w:color w:val="231F20"/>
          <w:spacing w:val="-17"/>
          <w:w w:val="105"/>
          <w:sz w:val="17"/>
        </w:rPr>
        <w:t> </w:t>
      </w:r>
      <w:r>
        <w:rPr>
          <w:rFonts w:ascii="Calibri" w:hAnsi="Calibri"/>
          <w:color w:val="231F20"/>
          <w:w w:val="105"/>
          <w:sz w:val="17"/>
        </w:rPr>
        <w:t>“Su</w:t>
      </w:r>
      <w:r>
        <w:rPr>
          <w:rFonts w:ascii="Calibri" w:hAnsi="Calibri"/>
          <w:color w:val="231F20"/>
          <w:spacing w:val="-17"/>
          <w:w w:val="105"/>
          <w:sz w:val="17"/>
        </w:rPr>
        <w:t> </w:t>
      </w:r>
      <w:r>
        <w:rPr>
          <w:rFonts w:ascii="Calibri" w:hAnsi="Calibri"/>
          <w:color w:val="231F20"/>
          <w:w w:val="105"/>
          <w:sz w:val="17"/>
        </w:rPr>
        <w:t>ciascuna</w:t>
      </w:r>
      <w:r>
        <w:rPr>
          <w:rFonts w:ascii="Calibri" w:hAnsi="Calibri"/>
          <w:color w:val="231F20"/>
          <w:spacing w:val="-17"/>
          <w:w w:val="105"/>
          <w:sz w:val="17"/>
        </w:rPr>
        <w:t> </w:t>
      </w:r>
      <w:r>
        <w:rPr>
          <w:rFonts w:ascii="Calibri" w:hAnsi="Calibri"/>
          <w:color w:val="231F20"/>
          <w:w w:val="105"/>
          <w:sz w:val="17"/>
        </w:rPr>
        <w:t>di</w:t>
      </w:r>
      <w:r>
        <w:rPr>
          <w:rFonts w:ascii="Calibri" w:hAnsi="Calibri"/>
          <w:color w:val="231F20"/>
          <w:spacing w:val="-17"/>
          <w:w w:val="105"/>
          <w:sz w:val="17"/>
        </w:rPr>
        <w:t> </w:t>
      </w:r>
      <w:r>
        <w:rPr>
          <w:rFonts w:ascii="Calibri" w:hAnsi="Calibri"/>
          <w:color w:val="231F20"/>
          <w:w w:val="105"/>
          <w:sz w:val="17"/>
        </w:rPr>
        <w:t>queste</w:t>
      </w:r>
      <w:r>
        <w:rPr>
          <w:rFonts w:ascii="Calibri" w:hAnsi="Calibri"/>
          <w:color w:val="231F20"/>
          <w:spacing w:val="-17"/>
          <w:w w:val="105"/>
          <w:sz w:val="17"/>
        </w:rPr>
        <w:t> </w:t>
      </w:r>
      <w:r>
        <w:rPr>
          <w:rFonts w:ascii="Calibri" w:hAnsi="Calibri"/>
          <w:color w:val="231F20"/>
          <w:w w:val="105"/>
          <w:sz w:val="17"/>
        </w:rPr>
        <w:t>assunzioni,</w:t>
      </w:r>
      <w:r>
        <w:rPr>
          <w:rFonts w:ascii="Calibri" w:hAnsi="Calibri"/>
          <w:color w:val="231F20"/>
          <w:spacing w:val="-17"/>
          <w:w w:val="105"/>
          <w:sz w:val="17"/>
        </w:rPr>
        <w:t> </w:t>
      </w:r>
      <w:r>
        <w:rPr>
          <w:rFonts w:ascii="Calibri" w:hAnsi="Calibri"/>
          <w:color w:val="231F20"/>
          <w:w w:val="105"/>
          <w:sz w:val="17"/>
        </w:rPr>
        <w:t>il contesto</w:t>
      </w:r>
      <w:r>
        <w:rPr>
          <w:rFonts w:ascii="Calibri" w:hAnsi="Calibri"/>
          <w:color w:val="231F20"/>
          <w:spacing w:val="-12"/>
          <w:w w:val="105"/>
          <w:sz w:val="17"/>
        </w:rPr>
        <w:t> </w:t>
      </w:r>
      <w:r>
        <w:rPr>
          <w:rFonts w:ascii="Calibri" w:hAnsi="Calibri"/>
          <w:color w:val="231F20"/>
          <w:w w:val="105"/>
          <w:sz w:val="17"/>
        </w:rPr>
        <w:t>internazionale</w:t>
      </w:r>
      <w:r>
        <w:rPr>
          <w:rFonts w:ascii="Calibri" w:hAnsi="Calibri"/>
          <w:color w:val="231F20"/>
          <w:spacing w:val="-12"/>
          <w:w w:val="105"/>
          <w:sz w:val="17"/>
        </w:rPr>
        <w:t> </w:t>
      </w:r>
      <w:r>
        <w:rPr>
          <w:rFonts w:ascii="Calibri" w:hAnsi="Calibri"/>
          <w:color w:val="231F20"/>
          <w:w w:val="105"/>
          <w:sz w:val="17"/>
        </w:rPr>
        <w:t>attuale</w:t>
      </w:r>
      <w:r>
        <w:rPr>
          <w:rFonts w:ascii="Calibri" w:hAnsi="Calibri"/>
          <w:color w:val="231F20"/>
          <w:spacing w:val="-12"/>
          <w:w w:val="105"/>
          <w:sz w:val="17"/>
        </w:rPr>
        <w:t> </w:t>
      </w:r>
      <w:r>
        <w:rPr>
          <w:rFonts w:ascii="Calibri" w:hAnsi="Calibri"/>
          <w:color w:val="231F20"/>
          <w:w w:val="105"/>
          <w:sz w:val="17"/>
        </w:rPr>
        <w:t>sta</w:t>
      </w:r>
      <w:r>
        <w:rPr>
          <w:rFonts w:ascii="Calibri" w:hAnsi="Calibri"/>
          <w:color w:val="231F20"/>
          <w:spacing w:val="-14"/>
          <w:w w:val="105"/>
          <w:sz w:val="17"/>
        </w:rPr>
        <w:t> </w:t>
      </w:r>
      <w:r>
        <w:rPr>
          <w:rFonts w:ascii="Calibri" w:hAnsi="Calibri"/>
          <w:color w:val="231F20"/>
          <w:w w:val="105"/>
          <w:sz w:val="17"/>
        </w:rPr>
        <w:t>vivendo</w:t>
      </w:r>
      <w:r>
        <w:rPr>
          <w:rFonts w:ascii="Calibri" w:hAnsi="Calibri"/>
          <w:color w:val="231F20"/>
          <w:spacing w:val="-12"/>
          <w:w w:val="105"/>
          <w:sz w:val="17"/>
        </w:rPr>
        <w:t> </w:t>
      </w:r>
      <w:r>
        <w:rPr>
          <w:rFonts w:ascii="Calibri" w:hAnsi="Calibri"/>
          <w:color w:val="231F20"/>
          <w:w w:val="105"/>
          <w:sz w:val="17"/>
        </w:rPr>
        <w:t>qualcosa</w:t>
      </w:r>
      <w:r>
        <w:rPr>
          <w:rFonts w:ascii="Calibri" w:hAnsi="Calibri"/>
          <w:color w:val="231F20"/>
          <w:spacing w:val="-12"/>
          <w:w w:val="105"/>
          <w:sz w:val="17"/>
        </w:rPr>
        <w:t> </w:t>
      </w:r>
      <w:r>
        <w:rPr>
          <w:rFonts w:ascii="Calibri" w:hAnsi="Calibri"/>
          <w:color w:val="231F20"/>
          <w:w w:val="105"/>
          <w:sz w:val="17"/>
        </w:rPr>
        <w:t>di</w:t>
      </w:r>
      <w:r>
        <w:rPr>
          <w:rFonts w:ascii="Calibri" w:hAnsi="Calibri"/>
          <w:color w:val="231F20"/>
          <w:spacing w:val="-12"/>
          <w:w w:val="105"/>
          <w:sz w:val="17"/>
        </w:rPr>
        <w:t> </w:t>
      </w:r>
      <w:r>
        <w:rPr>
          <w:rFonts w:ascii="Calibri" w:hAnsi="Calibri"/>
          <w:color w:val="231F20"/>
          <w:w w:val="105"/>
          <w:sz w:val="17"/>
        </w:rPr>
        <w:t>simile</w:t>
      </w:r>
      <w:r>
        <w:rPr>
          <w:rFonts w:ascii="Calibri" w:hAnsi="Calibri"/>
          <w:color w:val="231F20"/>
          <w:spacing w:val="-12"/>
          <w:w w:val="105"/>
          <w:sz w:val="17"/>
        </w:rPr>
        <w:t> </w:t>
      </w:r>
      <w:r>
        <w:rPr>
          <w:rFonts w:ascii="Calibri" w:hAnsi="Calibri"/>
          <w:color w:val="231F20"/>
          <w:w w:val="105"/>
          <w:sz w:val="17"/>
        </w:rPr>
        <w:t>a</w:t>
      </w:r>
      <w:r>
        <w:rPr>
          <w:rFonts w:ascii="Calibri" w:hAnsi="Calibri"/>
          <w:color w:val="231F20"/>
          <w:spacing w:val="-12"/>
          <w:w w:val="105"/>
          <w:sz w:val="17"/>
        </w:rPr>
        <w:t> </w:t>
      </w:r>
      <w:r>
        <w:rPr>
          <w:rFonts w:ascii="Calibri" w:hAnsi="Calibri"/>
          <w:color w:val="231F20"/>
          <w:w w:val="105"/>
          <w:sz w:val="17"/>
        </w:rPr>
        <w:t>una</w:t>
      </w:r>
      <w:r>
        <w:rPr>
          <w:rFonts w:ascii="Calibri" w:hAnsi="Calibri"/>
          <w:color w:val="231F20"/>
          <w:spacing w:val="-12"/>
          <w:w w:val="105"/>
          <w:sz w:val="17"/>
        </w:rPr>
        <w:t> </w:t>
      </w:r>
      <w:r>
        <w:rPr>
          <w:rFonts w:ascii="Calibri" w:hAnsi="Calibri"/>
          <w:color w:val="231F20"/>
          <w:w w:val="105"/>
          <w:sz w:val="17"/>
        </w:rPr>
        <w:t>crisi</w:t>
      </w:r>
      <w:r>
        <w:rPr>
          <w:rFonts w:ascii="Calibri" w:hAnsi="Calibri"/>
          <w:color w:val="231F20"/>
          <w:spacing w:val="-12"/>
          <w:w w:val="105"/>
          <w:sz w:val="17"/>
        </w:rPr>
        <w:t> </w:t>
      </w:r>
      <w:r>
        <w:rPr>
          <w:rFonts w:ascii="Calibri" w:hAnsi="Calibri"/>
          <w:color w:val="231F20"/>
          <w:spacing w:val="-3"/>
          <w:w w:val="105"/>
          <w:sz w:val="17"/>
        </w:rPr>
        <w:t>costituente…”.</w:t>
      </w:r>
    </w:p>
    <w:p>
      <w:pPr>
        <w:spacing w:line="235" w:lineRule="auto" w:before="0"/>
        <w:ind w:left="117" w:right="121" w:firstLine="0"/>
        <w:jc w:val="both"/>
        <w:rPr>
          <w:rFonts w:ascii="Calibri" w:hAnsi="Calibri"/>
          <w:sz w:val="17"/>
        </w:rPr>
      </w:pPr>
      <w:r>
        <w:rPr>
          <w:rFonts w:ascii="Calibri" w:hAnsi="Calibri"/>
          <w:color w:val="231F20"/>
          <w:w w:val="105"/>
          <w:position w:val="6"/>
          <w:sz w:val="10"/>
        </w:rPr>
        <w:t>3</w:t>
      </w:r>
      <w:r>
        <w:rPr>
          <w:rFonts w:ascii="Calibri" w:hAnsi="Calibri"/>
          <w:color w:val="231F20"/>
          <w:spacing w:val="1"/>
          <w:w w:val="105"/>
          <w:position w:val="6"/>
          <w:sz w:val="10"/>
        </w:rPr>
        <w:t> </w:t>
      </w:r>
      <w:r>
        <w:rPr>
          <w:rFonts w:ascii="Calibri" w:hAnsi="Calibri"/>
          <w:color w:val="231F20"/>
          <w:w w:val="105"/>
          <w:sz w:val="17"/>
        </w:rPr>
        <w:t>Ph.</w:t>
      </w:r>
      <w:r>
        <w:rPr>
          <w:rFonts w:ascii="Calibri" w:hAnsi="Calibri"/>
          <w:color w:val="231F20"/>
          <w:spacing w:val="-16"/>
          <w:w w:val="105"/>
          <w:sz w:val="17"/>
        </w:rPr>
        <w:t> </w:t>
      </w:r>
      <w:r>
        <w:rPr>
          <w:rFonts w:ascii="Calibri" w:hAnsi="Calibri"/>
          <w:color w:val="231F20"/>
          <w:w w:val="105"/>
          <w:sz w:val="17"/>
        </w:rPr>
        <w:t>Moreau</w:t>
      </w:r>
      <w:r>
        <w:rPr>
          <w:rFonts w:ascii="Calibri" w:hAnsi="Calibri"/>
          <w:color w:val="231F20"/>
          <w:spacing w:val="-16"/>
          <w:w w:val="105"/>
          <w:sz w:val="17"/>
        </w:rPr>
        <w:t> </w:t>
      </w:r>
      <w:r>
        <w:rPr>
          <w:rFonts w:ascii="Calibri" w:hAnsi="Calibri"/>
          <w:color w:val="231F20"/>
          <w:w w:val="105"/>
          <w:sz w:val="17"/>
        </w:rPr>
        <w:t>Defarges,</w:t>
      </w:r>
      <w:r>
        <w:rPr>
          <w:rFonts w:ascii="Calibri" w:hAnsi="Calibri"/>
          <w:color w:val="231F20"/>
          <w:spacing w:val="-16"/>
          <w:w w:val="105"/>
          <w:sz w:val="17"/>
        </w:rPr>
        <w:t> </w:t>
      </w:r>
      <w:r>
        <w:rPr>
          <w:rFonts w:ascii="Calibri" w:hAnsi="Calibri"/>
          <w:i/>
          <w:color w:val="231F20"/>
          <w:w w:val="105"/>
          <w:sz w:val="17"/>
        </w:rPr>
        <w:t>Droits</w:t>
      </w:r>
      <w:r>
        <w:rPr>
          <w:rFonts w:ascii="Calibri" w:hAnsi="Calibri"/>
          <w:i/>
          <w:color w:val="231F20"/>
          <w:spacing w:val="-16"/>
          <w:w w:val="105"/>
          <w:sz w:val="17"/>
        </w:rPr>
        <w:t> </w:t>
      </w:r>
      <w:r>
        <w:rPr>
          <w:rFonts w:ascii="Calibri" w:hAnsi="Calibri"/>
          <w:i/>
          <w:color w:val="231F20"/>
          <w:w w:val="105"/>
          <w:sz w:val="17"/>
        </w:rPr>
        <w:t>d’ingérence</w:t>
      </w:r>
      <w:r>
        <w:rPr>
          <w:rFonts w:ascii="Calibri" w:hAnsi="Calibri"/>
          <w:i/>
          <w:color w:val="231F20"/>
          <w:spacing w:val="-16"/>
          <w:w w:val="105"/>
          <w:sz w:val="17"/>
        </w:rPr>
        <w:t> </w:t>
      </w:r>
      <w:r>
        <w:rPr>
          <w:rFonts w:ascii="Calibri" w:hAnsi="Calibri"/>
          <w:i/>
          <w:color w:val="231F20"/>
          <w:w w:val="105"/>
          <w:sz w:val="17"/>
        </w:rPr>
        <w:t>dans</w:t>
      </w:r>
      <w:r>
        <w:rPr>
          <w:rFonts w:ascii="Calibri" w:hAnsi="Calibri"/>
          <w:i/>
          <w:color w:val="231F20"/>
          <w:spacing w:val="-16"/>
          <w:w w:val="105"/>
          <w:sz w:val="17"/>
        </w:rPr>
        <w:t> </w:t>
      </w:r>
      <w:r>
        <w:rPr>
          <w:rFonts w:ascii="Calibri" w:hAnsi="Calibri"/>
          <w:i/>
          <w:color w:val="231F20"/>
          <w:w w:val="105"/>
          <w:sz w:val="17"/>
        </w:rPr>
        <w:t>le</w:t>
      </w:r>
      <w:r>
        <w:rPr>
          <w:rFonts w:ascii="Calibri" w:hAnsi="Calibri"/>
          <w:i/>
          <w:color w:val="231F20"/>
          <w:spacing w:val="-16"/>
          <w:w w:val="105"/>
          <w:sz w:val="17"/>
        </w:rPr>
        <w:t> </w:t>
      </w:r>
      <w:r>
        <w:rPr>
          <w:rFonts w:ascii="Calibri" w:hAnsi="Calibri"/>
          <w:i/>
          <w:color w:val="231F20"/>
          <w:w w:val="105"/>
          <w:sz w:val="17"/>
        </w:rPr>
        <w:t>monde</w:t>
      </w:r>
      <w:r>
        <w:rPr>
          <w:rFonts w:ascii="Calibri" w:hAnsi="Calibri"/>
          <w:i/>
          <w:color w:val="231F20"/>
          <w:spacing w:val="-16"/>
          <w:w w:val="105"/>
          <w:sz w:val="17"/>
        </w:rPr>
        <w:t> </w:t>
      </w:r>
      <w:r>
        <w:rPr>
          <w:rFonts w:ascii="Calibri" w:hAnsi="Calibri"/>
          <w:i/>
          <w:color w:val="231F20"/>
          <w:w w:val="105"/>
          <w:sz w:val="17"/>
        </w:rPr>
        <w:t>post–2001</w:t>
      </w:r>
      <w:r>
        <w:rPr>
          <w:rFonts w:ascii="Calibri" w:hAnsi="Calibri"/>
          <w:color w:val="231F20"/>
          <w:w w:val="105"/>
          <w:sz w:val="17"/>
        </w:rPr>
        <w:t>,</w:t>
      </w:r>
      <w:r>
        <w:rPr>
          <w:rFonts w:ascii="Calibri" w:hAnsi="Calibri"/>
          <w:color w:val="231F20"/>
          <w:spacing w:val="-16"/>
          <w:w w:val="105"/>
          <w:sz w:val="17"/>
        </w:rPr>
        <w:t> </w:t>
      </w:r>
      <w:r>
        <w:rPr>
          <w:rFonts w:ascii="Calibri" w:hAnsi="Calibri"/>
          <w:color w:val="231F20"/>
          <w:w w:val="105"/>
          <w:sz w:val="17"/>
        </w:rPr>
        <w:t>Paris,</w:t>
      </w:r>
      <w:r>
        <w:rPr>
          <w:rFonts w:ascii="Calibri" w:hAnsi="Calibri"/>
          <w:color w:val="231F20"/>
          <w:spacing w:val="-16"/>
          <w:w w:val="105"/>
          <w:sz w:val="17"/>
        </w:rPr>
        <w:t> </w:t>
      </w:r>
      <w:r>
        <w:rPr>
          <w:rFonts w:ascii="Calibri" w:hAnsi="Calibri"/>
          <w:color w:val="231F20"/>
          <w:w w:val="105"/>
          <w:sz w:val="17"/>
        </w:rPr>
        <w:t>Presses</w:t>
      </w:r>
      <w:r>
        <w:rPr>
          <w:rFonts w:ascii="Calibri" w:hAnsi="Calibri"/>
          <w:color w:val="231F20"/>
          <w:spacing w:val="-16"/>
          <w:w w:val="105"/>
          <w:sz w:val="17"/>
        </w:rPr>
        <w:t> </w:t>
      </w:r>
      <w:r>
        <w:rPr>
          <w:rFonts w:ascii="Calibri" w:hAnsi="Calibri"/>
          <w:color w:val="231F20"/>
          <w:w w:val="105"/>
          <w:sz w:val="17"/>
        </w:rPr>
        <w:t>de</w:t>
      </w:r>
      <w:r>
        <w:rPr>
          <w:rFonts w:ascii="Calibri" w:hAnsi="Calibri"/>
          <w:color w:val="231F20"/>
          <w:spacing w:val="-16"/>
          <w:w w:val="105"/>
          <w:sz w:val="17"/>
        </w:rPr>
        <w:t> </w:t>
      </w:r>
      <w:r>
        <w:rPr>
          <w:rFonts w:ascii="Calibri" w:hAnsi="Calibri"/>
          <w:color w:val="231F20"/>
          <w:w w:val="105"/>
          <w:sz w:val="17"/>
        </w:rPr>
        <w:t>la</w:t>
      </w:r>
      <w:r>
        <w:rPr>
          <w:rFonts w:ascii="Calibri" w:hAnsi="Calibri"/>
          <w:color w:val="231F20"/>
          <w:spacing w:val="-16"/>
          <w:w w:val="105"/>
          <w:sz w:val="17"/>
        </w:rPr>
        <w:t> </w:t>
      </w:r>
      <w:r>
        <w:rPr>
          <w:rFonts w:ascii="Calibri" w:hAnsi="Calibri"/>
          <w:color w:val="231F20"/>
          <w:w w:val="105"/>
          <w:sz w:val="17"/>
        </w:rPr>
        <w:t>fondation Nationale</w:t>
      </w:r>
      <w:r>
        <w:rPr>
          <w:rFonts w:ascii="Calibri" w:hAnsi="Calibri"/>
          <w:color w:val="231F20"/>
          <w:spacing w:val="-22"/>
          <w:w w:val="105"/>
          <w:sz w:val="17"/>
        </w:rPr>
        <w:t> </w:t>
      </w:r>
      <w:r>
        <w:rPr>
          <w:rFonts w:ascii="Calibri" w:hAnsi="Calibri"/>
          <w:color w:val="231F20"/>
          <w:w w:val="105"/>
          <w:sz w:val="17"/>
        </w:rPr>
        <w:t>des</w:t>
      </w:r>
      <w:r>
        <w:rPr>
          <w:rFonts w:ascii="Calibri" w:hAnsi="Calibri"/>
          <w:color w:val="231F20"/>
          <w:spacing w:val="-22"/>
          <w:w w:val="105"/>
          <w:sz w:val="17"/>
        </w:rPr>
        <w:t> </w:t>
      </w:r>
      <w:r>
        <w:rPr>
          <w:rFonts w:ascii="Calibri" w:hAnsi="Calibri"/>
          <w:color w:val="231F20"/>
          <w:w w:val="105"/>
          <w:sz w:val="17"/>
        </w:rPr>
        <w:t>Sciences</w:t>
      </w:r>
      <w:r>
        <w:rPr>
          <w:rFonts w:ascii="Calibri" w:hAnsi="Calibri"/>
          <w:color w:val="231F20"/>
          <w:spacing w:val="-22"/>
          <w:w w:val="105"/>
          <w:sz w:val="17"/>
        </w:rPr>
        <w:t> </w:t>
      </w:r>
      <w:r>
        <w:rPr>
          <w:rFonts w:ascii="Calibri" w:hAnsi="Calibri"/>
          <w:color w:val="231F20"/>
          <w:w w:val="105"/>
          <w:sz w:val="17"/>
        </w:rPr>
        <w:t>Politiques,</w:t>
      </w:r>
      <w:r>
        <w:rPr>
          <w:rFonts w:ascii="Calibri" w:hAnsi="Calibri"/>
          <w:color w:val="231F20"/>
          <w:spacing w:val="-22"/>
          <w:w w:val="105"/>
          <w:sz w:val="17"/>
        </w:rPr>
        <w:t> </w:t>
      </w:r>
      <w:r>
        <w:rPr>
          <w:rFonts w:ascii="Calibri" w:hAnsi="Calibri"/>
          <w:color w:val="231F20"/>
          <w:w w:val="105"/>
          <w:sz w:val="17"/>
        </w:rPr>
        <w:t>2006</w:t>
      </w:r>
      <w:r>
        <w:rPr>
          <w:rFonts w:ascii="Calibri" w:hAnsi="Calibri"/>
          <w:color w:val="231F20"/>
          <w:spacing w:val="-22"/>
          <w:w w:val="105"/>
          <w:sz w:val="17"/>
        </w:rPr>
        <w:t> </w:t>
      </w:r>
      <w:r>
        <w:rPr>
          <w:rFonts w:ascii="Calibri" w:hAnsi="Calibri"/>
          <w:color w:val="231F20"/>
          <w:w w:val="105"/>
          <w:sz w:val="17"/>
        </w:rPr>
        <w:t>(trad.</w:t>
      </w:r>
      <w:r>
        <w:rPr>
          <w:rFonts w:ascii="Calibri" w:hAnsi="Calibri"/>
          <w:color w:val="231F20"/>
          <w:spacing w:val="-22"/>
          <w:w w:val="105"/>
          <w:sz w:val="17"/>
        </w:rPr>
        <w:t> </w:t>
      </w:r>
      <w:r>
        <w:rPr>
          <w:rFonts w:ascii="Calibri" w:hAnsi="Calibri"/>
          <w:color w:val="231F20"/>
          <w:w w:val="105"/>
          <w:sz w:val="17"/>
        </w:rPr>
        <w:t>it.</w:t>
      </w:r>
      <w:r>
        <w:rPr>
          <w:rFonts w:ascii="Calibri" w:hAnsi="Calibri"/>
          <w:color w:val="231F20"/>
          <w:spacing w:val="-22"/>
          <w:w w:val="105"/>
          <w:sz w:val="17"/>
        </w:rPr>
        <w:t> </w:t>
      </w:r>
      <w:r>
        <w:rPr>
          <w:rFonts w:ascii="Calibri" w:hAnsi="Calibri"/>
          <w:i/>
          <w:color w:val="231F20"/>
          <w:w w:val="105"/>
          <w:sz w:val="17"/>
        </w:rPr>
        <w:t>Legittime</w:t>
      </w:r>
      <w:r>
        <w:rPr>
          <w:rFonts w:ascii="Calibri" w:hAnsi="Calibri"/>
          <w:i/>
          <w:color w:val="231F20"/>
          <w:spacing w:val="-23"/>
          <w:w w:val="105"/>
          <w:sz w:val="17"/>
        </w:rPr>
        <w:t> </w:t>
      </w:r>
      <w:r>
        <w:rPr>
          <w:rFonts w:ascii="Calibri" w:hAnsi="Calibri"/>
          <w:i/>
          <w:color w:val="231F20"/>
          <w:w w:val="105"/>
          <w:sz w:val="17"/>
        </w:rPr>
        <w:t>interferenze.</w:t>
      </w:r>
      <w:r>
        <w:rPr>
          <w:rFonts w:ascii="Calibri" w:hAnsi="Calibri"/>
          <w:i/>
          <w:color w:val="231F20"/>
          <w:spacing w:val="-23"/>
          <w:w w:val="105"/>
          <w:sz w:val="17"/>
        </w:rPr>
        <w:t> </w:t>
      </w:r>
      <w:r>
        <w:rPr>
          <w:rFonts w:ascii="Calibri" w:hAnsi="Calibri"/>
          <w:i/>
          <w:color w:val="231F20"/>
          <w:w w:val="105"/>
          <w:sz w:val="17"/>
        </w:rPr>
        <w:t>Il</w:t>
      </w:r>
      <w:r>
        <w:rPr>
          <w:rFonts w:ascii="Calibri" w:hAnsi="Calibri"/>
          <w:i/>
          <w:color w:val="231F20"/>
          <w:spacing w:val="-23"/>
          <w:w w:val="105"/>
          <w:sz w:val="17"/>
        </w:rPr>
        <w:t> </w:t>
      </w:r>
      <w:r>
        <w:rPr>
          <w:rFonts w:ascii="Calibri" w:hAnsi="Calibri"/>
          <w:i/>
          <w:color w:val="231F20"/>
          <w:w w:val="105"/>
          <w:sz w:val="17"/>
        </w:rPr>
        <w:t>diritto</w:t>
      </w:r>
      <w:r>
        <w:rPr>
          <w:rFonts w:ascii="Calibri" w:hAnsi="Calibri"/>
          <w:i/>
          <w:color w:val="231F20"/>
          <w:spacing w:val="-23"/>
          <w:w w:val="105"/>
          <w:sz w:val="17"/>
        </w:rPr>
        <w:t> </w:t>
      </w:r>
      <w:r>
        <w:rPr>
          <w:rFonts w:ascii="Calibri" w:hAnsi="Calibri"/>
          <w:i/>
          <w:color w:val="231F20"/>
          <w:w w:val="105"/>
          <w:sz w:val="17"/>
        </w:rPr>
        <w:t>di</w:t>
      </w:r>
      <w:r>
        <w:rPr>
          <w:rFonts w:ascii="Calibri" w:hAnsi="Calibri"/>
          <w:i/>
          <w:color w:val="231F20"/>
          <w:spacing w:val="-23"/>
          <w:w w:val="105"/>
          <w:sz w:val="17"/>
        </w:rPr>
        <w:t> </w:t>
      </w:r>
      <w:r>
        <w:rPr>
          <w:rFonts w:ascii="Calibri" w:hAnsi="Calibri"/>
          <w:i/>
          <w:color w:val="231F20"/>
          <w:w w:val="105"/>
          <w:sz w:val="17"/>
        </w:rPr>
        <w:t>ingerenza</w:t>
      </w:r>
      <w:r>
        <w:rPr>
          <w:rFonts w:ascii="Calibri" w:hAnsi="Calibri"/>
          <w:i/>
          <w:color w:val="231F20"/>
          <w:spacing w:val="-23"/>
          <w:w w:val="105"/>
          <w:sz w:val="17"/>
        </w:rPr>
        <w:t> </w:t>
      </w:r>
      <w:r>
        <w:rPr>
          <w:rFonts w:ascii="Calibri" w:hAnsi="Calibri"/>
          <w:i/>
          <w:color w:val="231F20"/>
          <w:w w:val="105"/>
          <w:sz w:val="17"/>
        </w:rPr>
        <w:t>dopo</w:t>
      </w:r>
      <w:r>
        <w:rPr>
          <w:rFonts w:ascii="Calibri" w:hAnsi="Calibri"/>
          <w:i/>
          <w:color w:val="231F20"/>
          <w:spacing w:val="-23"/>
          <w:w w:val="105"/>
          <w:sz w:val="17"/>
        </w:rPr>
        <w:t> </w:t>
      </w:r>
      <w:r>
        <w:rPr>
          <w:rFonts w:ascii="Calibri" w:hAnsi="Calibri"/>
          <w:i/>
          <w:color w:val="231F20"/>
          <w:w w:val="105"/>
          <w:sz w:val="17"/>
        </w:rPr>
        <w:t>il </w:t>
      </w:r>
      <w:r>
        <w:rPr>
          <w:rFonts w:ascii="Calibri" w:hAnsi="Calibri"/>
          <w:i/>
          <w:color w:val="231F20"/>
          <w:w w:val="105"/>
          <w:sz w:val="17"/>
        </w:rPr>
        <w:t>2001</w:t>
      </w:r>
      <w:r>
        <w:rPr>
          <w:rFonts w:ascii="Calibri" w:hAnsi="Calibri"/>
          <w:color w:val="231F20"/>
          <w:w w:val="105"/>
          <w:sz w:val="17"/>
        </w:rPr>
        <w:t>,</w:t>
      </w:r>
      <w:r>
        <w:rPr>
          <w:rFonts w:ascii="Calibri" w:hAnsi="Calibri"/>
          <w:color w:val="231F20"/>
          <w:spacing w:val="-16"/>
          <w:w w:val="105"/>
          <w:sz w:val="17"/>
        </w:rPr>
        <w:t> </w:t>
      </w:r>
      <w:r>
        <w:rPr>
          <w:rFonts w:ascii="Calibri" w:hAnsi="Calibri"/>
          <w:color w:val="231F20"/>
          <w:w w:val="105"/>
          <w:sz w:val="17"/>
        </w:rPr>
        <w:t>Milano,</w:t>
      </w:r>
      <w:r>
        <w:rPr>
          <w:rFonts w:ascii="Calibri" w:hAnsi="Calibri"/>
          <w:color w:val="231F20"/>
          <w:spacing w:val="-16"/>
          <w:w w:val="105"/>
          <w:sz w:val="17"/>
        </w:rPr>
        <w:t> </w:t>
      </w:r>
      <w:r>
        <w:rPr>
          <w:rFonts w:ascii="Calibri" w:hAnsi="Calibri"/>
          <w:color w:val="231F20"/>
          <w:w w:val="105"/>
          <w:sz w:val="17"/>
        </w:rPr>
        <w:t>Bruno</w:t>
      </w:r>
      <w:r>
        <w:rPr>
          <w:rFonts w:ascii="Calibri" w:hAnsi="Calibri"/>
          <w:color w:val="231F20"/>
          <w:spacing w:val="-16"/>
          <w:w w:val="105"/>
          <w:sz w:val="17"/>
        </w:rPr>
        <w:t> </w:t>
      </w:r>
      <w:r>
        <w:rPr>
          <w:rFonts w:ascii="Calibri" w:hAnsi="Calibri"/>
          <w:color w:val="231F20"/>
          <w:w w:val="105"/>
          <w:sz w:val="17"/>
        </w:rPr>
        <w:t>Mondadori,</w:t>
      </w:r>
      <w:r>
        <w:rPr>
          <w:rFonts w:ascii="Calibri" w:hAnsi="Calibri"/>
          <w:color w:val="231F20"/>
          <w:spacing w:val="-16"/>
          <w:w w:val="105"/>
          <w:sz w:val="17"/>
        </w:rPr>
        <w:t> </w:t>
      </w:r>
      <w:r>
        <w:rPr>
          <w:rFonts w:ascii="Calibri" w:hAnsi="Calibri"/>
          <w:color w:val="231F20"/>
          <w:w w:val="105"/>
          <w:sz w:val="17"/>
        </w:rPr>
        <w:t>2008).</w:t>
      </w:r>
      <w:r>
        <w:rPr>
          <w:rFonts w:ascii="Calibri" w:hAnsi="Calibri"/>
          <w:color w:val="231F20"/>
          <w:spacing w:val="-16"/>
          <w:w w:val="105"/>
          <w:sz w:val="17"/>
        </w:rPr>
        <w:t> </w:t>
      </w:r>
      <w:r>
        <w:rPr>
          <w:rFonts w:ascii="Calibri" w:hAnsi="Calibri"/>
          <w:color w:val="231F20"/>
          <w:w w:val="105"/>
          <w:sz w:val="17"/>
        </w:rPr>
        <w:t>Per</w:t>
      </w:r>
      <w:r>
        <w:rPr>
          <w:rFonts w:ascii="Calibri" w:hAnsi="Calibri"/>
          <w:color w:val="231F20"/>
          <w:spacing w:val="-16"/>
          <w:w w:val="105"/>
          <w:sz w:val="17"/>
        </w:rPr>
        <w:t> </w:t>
      </w:r>
      <w:r>
        <w:rPr>
          <w:rFonts w:ascii="Calibri" w:hAnsi="Calibri"/>
          <w:color w:val="231F20"/>
          <w:w w:val="105"/>
          <w:sz w:val="17"/>
        </w:rPr>
        <w:t>una</w:t>
      </w:r>
      <w:r>
        <w:rPr>
          <w:rFonts w:ascii="Calibri" w:hAnsi="Calibri"/>
          <w:color w:val="231F20"/>
          <w:spacing w:val="-16"/>
          <w:w w:val="105"/>
          <w:sz w:val="17"/>
        </w:rPr>
        <w:t> </w:t>
      </w:r>
      <w:r>
        <w:rPr>
          <w:rFonts w:ascii="Calibri" w:hAnsi="Calibri"/>
          <w:color w:val="231F20"/>
          <w:w w:val="105"/>
          <w:sz w:val="17"/>
        </w:rPr>
        <w:t>sintetica</w:t>
      </w:r>
      <w:r>
        <w:rPr>
          <w:rFonts w:ascii="Calibri" w:hAnsi="Calibri"/>
          <w:color w:val="231F20"/>
          <w:spacing w:val="-16"/>
          <w:w w:val="105"/>
          <w:sz w:val="17"/>
        </w:rPr>
        <w:t> </w:t>
      </w:r>
      <w:r>
        <w:rPr>
          <w:rFonts w:ascii="Calibri" w:hAnsi="Calibri"/>
          <w:color w:val="231F20"/>
          <w:w w:val="105"/>
          <w:sz w:val="17"/>
        </w:rPr>
        <w:t>ricostruzione</w:t>
      </w:r>
      <w:r>
        <w:rPr>
          <w:rFonts w:ascii="Calibri" w:hAnsi="Calibri"/>
          <w:color w:val="231F20"/>
          <w:spacing w:val="-16"/>
          <w:w w:val="105"/>
          <w:sz w:val="17"/>
        </w:rPr>
        <w:t> </w:t>
      </w:r>
      <w:r>
        <w:rPr>
          <w:rFonts w:ascii="Calibri" w:hAnsi="Calibri"/>
          <w:color w:val="231F20"/>
          <w:w w:val="105"/>
          <w:sz w:val="17"/>
        </w:rPr>
        <w:t>dello</w:t>
      </w:r>
      <w:r>
        <w:rPr>
          <w:rFonts w:ascii="Calibri" w:hAnsi="Calibri"/>
          <w:color w:val="231F20"/>
          <w:spacing w:val="-16"/>
          <w:w w:val="105"/>
          <w:sz w:val="17"/>
        </w:rPr>
        <w:t> </w:t>
      </w:r>
      <w:r>
        <w:rPr>
          <w:rFonts w:ascii="Calibri" w:hAnsi="Calibri"/>
          <w:color w:val="231F20"/>
          <w:w w:val="105"/>
          <w:sz w:val="17"/>
        </w:rPr>
        <w:t>sviluppo</w:t>
      </w:r>
      <w:r>
        <w:rPr>
          <w:rFonts w:ascii="Calibri" w:hAnsi="Calibri"/>
          <w:color w:val="231F20"/>
          <w:spacing w:val="-16"/>
          <w:w w:val="105"/>
          <w:sz w:val="17"/>
        </w:rPr>
        <w:t> </w:t>
      </w:r>
      <w:r>
        <w:rPr>
          <w:rFonts w:ascii="Calibri" w:hAnsi="Calibri"/>
          <w:color w:val="231F20"/>
          <w:w w:val="105"/>
          <w:sz w:val="17"/>
        </w:rPr>
        <w:t>del</w:t>
      </w:r>
      <w:r>
        <w:rPr>
          <w:rFonts w:ascii="Calibri" w:hAnsi="Calibri"/>
          <w:color w:val="231F20"/>
          <w:spacing w:val="-16"/>
          <w:w w:val="105"/>
          <w:sz w:val="17"/>
        </w:rPr>
        <w:t> </w:t>
      </w:r>
      <w:r>
        <w:rPr>
          <w:rFonts w:ascii="Calibri" w:hAnsi="Calibri"/>
          <w:color w:val="231F20"/>
          <w:w w:val="105"/>
          <w:sz w:val="17"/>
        </w:rPr>
        <w:t>dibattito in</w:t>
      </w:r>
      <w:r>
        <w:rPr>
          <w:rFonts w:ascii="Calibri" w:hAnsi="Calibri"/>
          <w:color w:val="231F20"/>
          <w:spacing w:val="-22"/>
          <w:w w:val="105"/>
          <w:sz w:val="17"/>
        </w:rPr>
        <w:t> </w:t>
      </w:r>
      <w:r>
        <w:rPr>
          <w:rFonts w:ascii="Calibri" w:hAnsi="Calibri"/>
          <w:color w:val="231F20"/>
          <w:w w:val="105"/>
          <w:sz w:val="17"/>
        </w:rPr>
        <w:t>specifico</w:t>
      </w:r>
      <w:r>
        <w:rPr>
          <w:rFonts w:ascii="Calibri" w:hAnsi="Calibri"/>
          <w:color w:val="231F20"/>
          <w:spacing w:val="-22"/>
          <w:w w:val="105"/>
          <w:sz w:val="17"/>
        </w:rPr>
        <w:t> </w:t>
      </w:r>
      <w:r>
        <w:rPr>
          <w:rFonts w:ascii="Calibri" w:hAnsi="Calibri"/>
          <w:color w:val="231F20"/>
          <w:w w:val="105"/>
          <w:sz w:val="17"/>
        </w:rPr>
        <w:t>riferimento</w:t>
      </w:r>
      <w:r>
        <w:rPr>
          <w:rFonts w:ascii="Calibri" w:hAnsi="Calibri"/>
          <w:color w:val="231F20"/>
          <w:spacing w:val="-22"/>
          <w:w w:val="105"/>
          <w:sz w:val="17"/>
        </w:rPr>
        <w:t> </w:t>
      </w:r>
      <w:r>
        <w:rPr>
          <w:rFonts w:ascii="Calibri" w:hAnsi="Calibri"/>
          <w:color w:val="231F20"/>
          <w:w w:val="105"/>
          <w:sz w:val="17"/>
        </w:rPr>
        <w:t>alle</w:t>
      </w:r>
      <w:r>
        <w:rPr>
          <w:rFonts w:ascii="Calibri" w:hAnsi="Calibri"/>
          <w:color w:val="231F20"/>
          <w:spacing w:val="-22"/>
          <w:w w:val="105"/>
          <w:sz w:val="17"/>
        </w:rPr>
        <w:t> </w:t>
      </w:r>
      <w:r>
        <w:rPr>
          <w:rFonts w:ascii="Calibri" w:hAnsi="Calibri"/>
          <w:color w:val="231F20"/>
          <w:w w:val="105"/>
          <w:sz w:val="17"/>
        </w:rPr>
        <w:t>dinamiche</w:t>
      </w:r>
      <w:r>
        <w:rPr>
          <w:rFonts w:ascii="Calibri" w:hAnsi="Calibri"/>
          <w:color w:val="231F20"/>
          <w:spacing w:val="-22"/>
          <w:w w:val="105"/>
          <w:sz w:val="17"/>
        </w:rPr>
        <w:t> </w:t>
      </w:r>
      <w:r>
        <w:rPr>
          <w:rFonts w:ascii="Calibri" w:hAnsi="Calibri"/>
          <w:color w:val="231F20"/>
          <w:w w:val="105"/>
          <w:sz w:val="17"/>
        </w:rPr>
        <w:t>del</w:t>
      </w:r>
      <w:r>
        <w:rPr>
          <w:rFonts w:ascii="Calibri" w:hAnsi="Calibri"/>
          <w:color w:val="231F20"/>
          <w:spacing w:val="-22"/>
          <w:w w:val="105"/>
          <w:sz w:val="17"/>
        </w:rPr>
        <w:t> </w:t>
      </w:r>
      <w:r>
        <w:rPr>
          <w:rFonts w:ascii="Calibri" w:hAnsi="Calibri"/>
          <w:color w:val="231F20"/>
          <w:w w:val="105"/>
          <w:sz w:val="17"/>
        </w:rPr>
        <w:t>“decennio</w:t>
      </w:r>
      <w:r>
        <w:rPr>
          <w:rFonts w:ascii="Calibri" w:hAnsi="Calibri"/>
          <w:color w:val="231F20"/>
          <w:spacing w:val="-22"/>
          <w:w w:val="105"/>
          <w:sz w:val="17"/>
        </w:rPr>
        <w:t> </w:t>
      </w:r>
      <w:r>
        <w:rPr>
          <w:rFonts w:ascii="Calibri" w:hAnsi="Calibri"/>
          <w:color w:val="231F20"/>
          <w:w w:val="105"/>
          <w:sz w:val="17"/>
        </w:rPr>
        <w:t>umanitario”</w:t>
      </w:r>
      <w:r>
        <w:rPr>
          <w:rFonts w:ascii="Calibri" w:hAnsi="Calibri"/>
          <w:color w:val="231F20"/>
          <w:spacing w:val="-22"/>
          <w:w w:val="105"/>
          <w:sz w:val="17"/>
        </w:rPr>
        <w:t> </w:t>
      </w:r>
      <w:r>
        <w:rPr>
          <w:rFonts w:ascii="Calibri" w:hAnsi="Calibri"/>
          <w:color w:val="231F20"/>
          <w:w w:val="105"/>
          <w:sz w:val="17"/>
        </w:rPr>
        <w:t>si</w:t>
      </w:r>
      <w:r>
        <w:rPr>
          <w:rFonts w:ascii="Calibri" w:hAnsi="Calibri"/>
          <w:color w:val="231F20"/>
          <w:spacing w:val="-24"/>
          <w:w w:val="105"/>
          <w:sz w:val="17"/>
        </w:rPr>
        <w:t> </w:t>
      </w:r>
      <w:r>
        <w:rPr>
          <w:rFonts w:ascii="Calibri" w:hAnsi="Calibri"/>
          <w:color w:val="231F20"/>
          <w:w w:val="105"/>
          <w:sz w:val="17"/>
        </w:rPr>
        <w:t>veda</w:t>
      </w:r>
      <w:r>
        <w:rPr>
          <w:rFonts w:ascii="Calibri" w:hAnsi="Calibri"/>
          <w:color w:val="231F20"/>
          <w:spacing w:val="-22"/>
          <w:w w:val="105"/>
          <w:sz w:val="17"/>
        </w:rPr>
        <w:t> </w:t>
      </w:r>
      <w:r>
        <w:rPr>
          <w:rFonts w:ascii="Calibri" w:hAnsi="Calibri"/>
          <w:color w:val="231F20"/>
          <w:w w:val="105"/>
          <w:sz w:val="17"/>
        </w:rPr>
        <w:t>Scuccimarra,</w:t>
      </w:r>
      <w:r>
        <w:rPr>
          <w:rFonts w:ascii="Calibri" w:hAnsi="Calibri"/>
          <w:color w:val="231F20"/>
          <w:spacing w:val="-22"/>
          <w:w w:val="105"/>
          <w:sz w:val="17"/>
        </w:rPr>
        <w:t> </w:t>
      </w:r>
      <w:r>
        <w:rPr>
          <w:rFonts w:ascii="Calibri" w:hAnsi="Calibri"/>
          <w:color w:val="231F20"/>
          <w:spacing w:val="-3"/>
          <w:w w:val="105"/>
          <w:sz w:val="17"/>
        </w:rPr>
        <w:t>“L’eccezione </w:t>
      </w:r>
      <w:r>
        <w:rPr>
          <w:rFonts w:ascii="Calibri" w:hAnsi="Calibri"/>
          <w:color w:val="231F20"/>
          <w:w w:val="105"/>
          <w:sz w:val="17"/>
        </w:rPr>
        <w:t>umanitaria. Sovranità territoriale e diritto di intervento nel dibattito sul ‘new global order’”,</w:t>
      </w:r>
      <w:r>
        <w:rPr>
          <w:rFonts w:ascii="Calibri" w:hAnsi="Calibri"/>
          <w:color w:val="231F20"/>
          <w:spacing w:val="26"/>
          <w:w w:val="105"/>
          <w:sz w:val="17"/>
        </w:rPr>
        <w:t> </w:t>
      </w:r>
      <w:r>
        <w:rPr>
          <w:rFonts w:ascii="Calibri" w:hAnsi="Calibri"/>
          <w:color w:val="231F20"/>
          <w:w w:val="105"/>
          <w:sz w:val="17"/>
        </w:rPr>
        <w:t>M.</w:t>
      </w:r>
    </w:p>
    <w:p>
      <w:pPr>
        <w:spacing w:after="0" w:line="235" w:lineRule="auto"/>
        <w:jc w:val="both"/>
        <w:rPr>
          <w:rFonts w:ascii="Calibri" w:hAnsi="Calibri"/>
          <w:sz w:val="17"/>
        </w:rPr>
        <w:sectPr>
          <w:pgSz w:w="9640" w:h="13890"/>
          <w:pgMar w:top="1300" w:bottom="280" w:left="1300" w:right="1180"/>
        </w:sectPr>
      </w:pPr>
    </w:p>
    <w:p>
      <w:pPr>
        <w:pStyle w:val="BodyText"/>
        <w:spacing w:line="247" w:lineRule="auto" w:before="107"/>
        <w:ind w:left="103" w:right="110"/>
        <w:jc w:val="both"/>
      </w:pPr>
      <w:r>
        <w:rPr>
          <w:color w:val="231F20"/>
          <w:w w:val="105"/>
        </w:rPr>
        <w:t>che</w:t>
      </w:r>
      <w:r>
        <w:rPr>
          <w:color w:val="231F20"/>
          <w:spacing w:val="-33"/>
          <w:w w:val="105"/>
        </w:rPr>
        <w:t> </w:t>
      </w:r>
      <w:r>
        <w:rPr>
          <w:color w:val="231F20"/>
          <w:w w:val="105"/>
        </w:rPr>
        <w:t>è</w:t>
      </w:r>
      <w:r>
        <w:rPr>
          <w:color w:val="231F20"/>
          <w:spacing w:val="-33"/>
          <w:w w:val="105"/>
        </w:rPr>
        <w:t> </w:t>
      </w:r>
      <w:r>
        <w:rPr>
          <w:color w:val="231F20"/>
          <w:w w:val="105"/>
        </w:rPr>
        <w:t>possibile</w:t>
      </w:r>
      <w:r>
        <w:rPr>
          <w:color w:val="231F20"/>
          <w:spacing w:val="-33"/>
          <w:w w:val="105"/>
        </w:rPr>
        <w:t> </w:t>
      </w:r>
      <w:r>
        <w:rPr>
          <w:color w:val="231F20"/>
          <w:w w:val="105"/>
        </w:rPr>
        <w:t>toccare</w:t>
      </w:r>
      <w:r>
        <w:rPr>
          <w:color w:val="231F20"/>
          <w:spacing w:val="-33"/>
          <w:w w:val="105"/>
        </w:rPr>
        <w:t> </w:t>
      </w:r>
      <w:r>
        <w:rPr>
          <w:color w:val="231F20"/>
          <w:w w:val="105"/>
        </w:rPr>
        <w:t>con</w:t>
      </w:r>
      <w:r>
        <w:rPr>
          <w:color w:val="231F20"/>
          <w:spacing w:val="-33"/>
          <w:w w:val="105"/>
        </w:rPr>
        <w:t> </w:t>
      </w:r>
      <w:r>
        <w:rPr>
          <w:color w:val="231F20"/>
          <w:w w:val="105"/>
        </w:rPr>
        <w:t>mano</w:t>
      </w:r>
      <w:r>
        <w:rPr>
          <w:color w:val="231F20"/>
          <w:spacing w:val="-33"/>
          <w:w w:val="105"/>
        </w:rPr>
        <w:t> </w:t>
      </w:r>
      <w:r>
        <w:rPr>
          <w:color w:val="231F20"/>
          <w:w w:val="105"/>
        </w:rPr>
        <w:t>l’impatto</w:t>
      </w:r>
      <w:r>
        <w:rPr>
          <w:color w:val="231F20"/>
          <w:spacing w:val="-33"/>
          <w:w w:val="105"/>
        </w:rPr>
        <w:t> </w:t>
      </w:r>
      <w:r>
        <w:rPr>
          <w:color w:val="231F20"/>
          <w:w w:val="105"/>
        </w:rPr>
        <w:t>deflagrante</w:t>
      </w:r>
      <w:r>
        <w:rPr>
          <w:color w:val="231F20"/>
          <w:spacing w:val="-33"/>
          <w:w w:val="105"/>
        </w:rPr>
        <w:t> </w:t>
      </w:r>
      <w:r>
        <w:rPr>
          <w:color w:val="231F20"/>
          <w:w w:val="105"/>
        </w:rPr>
        <w:t>prodotto</w:t>
      </w:r>
      <w:r>
        <w:rPr>
          <w:color w:val="231F20"/>
          <w:spacing w:val="-33"/>
          <w:w w:val="105"/>
        </w:rPr>
        <w:t> </w:t>
      </w:r>
      <w:r>
        <w:rPr>
          <w:color w:val="231F20"/>
          <w:w w:val="105"/>
        </w:rPr>
        <w:t>da</w:t>
      </w:r>
      <w:r>
        <w:rPr>
          <w:color w:val="231F20"/>
          <w:spacing w:val="-33"/>
          <w:w w:val="105"/>
        </w:rPr>
        <w:t> </w:t>
      </w:r>
      <w:r>
        <w:rPr>
          <w:color w:val="231F20"/>
          <w:w w:val="105"/>
        </w:rPr>
        <w:t>questo </w:t>
      </w:r>
      <w:r>
        <w:rPr>
          <w:color w:val="231F20"/>
          <w:spacing w:val="2"/>
          <w:w w:val="105"/>
        </w:rPr>
        <w:t>passaggio epocale sulle tradizionali basi fondative dell’ordine politico </w:t>
      </w:r>
      <w:r>
        <w:rPr>
          <w:color w:val="231F20"/>
          <w:w w:val="105"/>
        </w:rPr>
        <w:t>occidentale. Al centro del dibattito c’è, infatti, in questo caso proprio la legittimità</w:t>
      </w:r>
      <w:r>
        <w:rPr>
          <w:color w:val="231F20"/>
          <w:spacing w:val="-9"/>
          <w:w w:val="105"/>
        </w:rPr>
        <w:t> </w:t>
      </w:r>
      <w:r>
        <w:rPr>
          <w:color w:val="231F20"/>
          <w:w w:val="105"/>
        </w:rPr>
        <w:t>dell’“uso</w:t>
      </w:r>
      <w:r>
        <w:rPr>
          <w:color w:val="231F20"/>
          <w:spacing w:val="-9"/>
          <w:w w:val="105"/>
        </w:rPr>
        <w:t> </w:t>
      </w:r>
      <w:r>
        <w:rPr>
          <w:color w:val="231F20"/>
          <w:w w:val="105"/>
        </w:rPr>
        <w:t>della</w:t>
      </w:r>
      <w:r>
        <w:rPr>
          <w:color w:val="231F20"/>
          <w:spacing w:val="-9"/>
          <w:w w:val="105"/>
        </w:rPr>
        <w:t> </w:t>
      </w:r>
      <w:r>
        <w:rPr>
          <w:color w:val="231F20"/>
          <w:w w:val="105"/>
        </w:rPr>
        <w:t>forza</w:t>
      </w:r>
      <w:r>
        <w:rPr>
          <w:color w:val="231F20"/>
          <w:spacing w:val="-9"/>
          <w:w w:val="105"/>
        </w:rPr>
        <w:t> </w:t>
      </w:r>
      <w:r>
        <w:rPr>
          <w:color w:val="231F20"/>
          <w:w w:val="105"/>
        </w:rPr>
        <w:t>al</w:t>
      </w:r>
      <w:r>
        <w:rPr>
          <w:color w:val="231F20"/>
          <w:spacing w:val="-9"/>
          <w:w w:val="105"/>
        </w:rPr>
        <w:t> </w:t>
      </w:r>
      <w:r>
        <w:rPr>
          <w:color w:val="231F20"/>
          <w:w w:val="105"/>
        </w:rPr>
        <w:t>di</w:t>
      </w:r>
      <w:r>
        <w:rPr>
          <w:color w:val="231F20"/>
          <w:spacing w:val="-9"/>
          <w:w w:val="105"/>
        </w:rPr>
        <w:t> </w:t>
      </w:r>
      <w:r>
        <w:rPr>
          <w:color w:val="231F20"/>
          <w:w w:val="105"/>
        </w:rPr>
        <w:t>là</w:t>
      </w:r>
      <w:r>
        <w:rPr>
          <w:color w:val="231F20"/>
          <w:spacing w:val="-9"/>
          <w:w w:val="105"/>
        </w:rPr>
        <w:t> </w:t>
      </w:r>
      <w:r>
        <w:rPr>
          <w:color w:val="231F20"/>
          <w:w w:val="105"/>
        </w:rPr>
        <w:t>dei</w:t>
      </w:r>
      <w:r>
        <w:rPr>
          <w:color w:val="231F20"/>
          <w:spacing w:val="-9"/>
          <w:w w:val="105"/>
        </w:rPr>
        <w:t> </w:t>
      </w:r>
      <w:r>
        <w:rPr>
          <w:color w:val="231F20"/>
          <w:w w:val="105"/>
        </w:rPr>
        <w:t>confini</w:t>
      </w:r>
      <w:r>
        <w:rPr>
          <w:color w:val="231F20"/>
          <w:spacing w:val="-9"/>
          <w:w w:val="105"/>
        </w:rPr>
        <w:t> </w:t>
      </w:r>
      <w:r>
        <w:rPr>
          <w:color w:val="231F20"/>
          <w:w w:val="105"/>
        </w:rPr>
        <w:t>statuali</w:t>
      </w:r>
      <w:r>
        <w:rPr>
          <w:color w:val="231F20"/>
          <w:spacing w:val="-9"/>
          <w:w w:val="105"/>
        </w:rPr>
        <w:t> </w:t>
      </w:r>
      <w:r>
        <w:rPr>
          <w:color w:val="231F20"/>
          <w:w w:val="105"/>
        </w:rPr>
        <w:t>da</w:t>
      </w:r>
      <w:r>
        <w:rPr>
          <w:color w:val="231F20"/>
          <w:spacing w:val="-9"/>
          <w:w w:val="105"/>
        </w:rPr>
        <w:t> </w:t>
      </w:r>
      <w:r>
        <w:rPr>
          <w:color w:val="231F20"/>
          <w:w w:val="105"/>
        </w:rPr>
        <w:t>parte</w:t>
      </w:r>
      <w:r>
        <w:rPr>
          <w:color w:val="231F20"/>
          <w:spacing w:val="-9"/>
          <w:w w:val="105"/>
        </w:rPr>
        <w:t> </w:t>
      </w:r>
      <w:r>
        <w:rPr>
          <w:color w:val="231F20"/>
          <w:w w:val="105"/>
        </w:rPr>
        <w:t>di</w:t>
      </w:r>
      <w:r>
        <w:rPr>
          <w:color w:val="231F20"/>
          <w:spacing w:val="-9"/>
          <w:w w:val="105"/>
        </w:rPr>
        <w:t> </w:t>
      </w:r>
      <w:r>
        <w:rPr>
          <w:color w:val="231F20"/>
          <w:w w:val="105"/>
        </w:rPr>
        <w:t>uno Stato</w:t>
      </w:r>
      <w:r>
        <w:rPr>
          <w:color w:val="231F20"/>
          <w:spacing w:val="-16"/>
          <w:w w:val="105"/>
        </w:rPr>
        <w:t> </w:t>
      </w:r>
      <w:r>
        <w:rPr>
          <w:color w:val="231F20"/>
          <w:w w:val="105"/>
        </w:rPr>
        <w:t>(o</w:t>
      </w:r>
      <w:r>
        <w:rPr>
          <w:color w:val="231F20"/>
          <w:spacing w:val="-16"/>
          <w:w w:val="105"/>
        </w:rPr>
        <w:t> </w:t>
      </w:r>
      <w:r>
        <w:rPr>
          <w:color w:val="231F20"/>
          <w:w w:val="105"/>
        </w:rPr>
        <w:t>di</w:t>
      </w:r>
      <w:r>
        <w:rPr>
          <w:color w:val="231F20"/>
          <w:spacing w:val="-16"/>
          <w:w w:val="105"/>
        </w:rPr>
        <w:t> </w:t>
      </w:r>
      <w:r>
        <w:rPr>
          <w:color w:val="231F20"/>
          <w:w w:val="105"/>
        </w:rPr>
        <w:t>un</w:t>
      </w:r>
      <w:r>
        <w:rPr>
          <w:color w:val="231F20"/>
          <w:spacing w:val="-16"/>
          <w:w w:val="105"/>
        </w:rPr>
        <w:t> </w:t>
      </w:r>
      <w:r>
        <w:rPr>
          <w:color w:val="231F20"/>
          <w:w w:val="105"/>
        </w:rPr>
        <w:t>gruppo</w:t>
      </w:r>
      <w:r>
        <w:rPr>
          <w:color w:val="231F20"/>
          <w:spacing w:val="-16"/>
          <w:w w:val="105"/>
        </w:rPr>
        <w:t> </w:t>
      </w:r>
      <w:r>
        <w:rPr>
          <w:color w:val="231F20"/>
          <w:w w:val="105"/>
        </w:rPr>
        <w:t>di</w:t>
      </w:r>
      <w:r>
        <w:rPr>
          <w:color w:val="231F20"/>
          <w:spacing w:val="-16"/>
          <w:w w:val="105"/>
        </w:rPr>
        <w:t> </w:t>
      </w:r>
      <w:r>
        <w:rPr>
          <w:color w:val="231F20"/>
          <w:w w:val="105"/>
        </w:rPr>
        <w:t>Stati),</w:t>
      </w:r>
      <w:r>
        <w:rPr>
          <w:color w:val="231F20"/>
          <w:spacing w:val="-16"/>
          <w:w w:val="105"/>
        </w:rPr>
        <w:t> </w:t>
      </w:r>
      <w:r>
        <w:rPr>
          <w:color w:val="231F20"/>
          <w:w w:val="105"/>
        </w:rPr>
        <w:t>al</w:t>
      </w:r>
      <w:r>
        <w:rPr>
          <w:color w:val="231F20"/>
          <w:spacing w:val="-16"/>
          <w:w w:val="105"/>
        </w:rPr>
        <w:t> </w:t>
      </w:r>
      <w:r>
        <w:rPr>
          <w:color w:val="231F20"/>
          <w:w w:val="105"/>
        </w:rPr>
        <w:t>fine</w:t>
      </w:r>
      <w:r>
        <w:rPr>
          <w:color w:val="231F20"/>
          <w:spacing w:val="-16"/>
          <w:w w:val="105"/>
        </w:rPr>
        <w:t> </w:t>
      </w:r>
      <w:r>
        <w:rPr>
          <w:color w:val="231F20"/>
          <w:w w:val="105"/>
        </w:rPr>
        <w:t>di</w:t>
      </w:r>
      <w:r>
        <w:rPr>
          <w:color w:val="231F20"/>
          <w:spacing w:val="-16"/>
          <w:w w:val="105"/>
        </w:rPr>
        <w:t> </w:t>
      </w:r>
      <w:r>
        <w:rPr>
          <w:color w:val="231F20"/>
          <w:w w:val="105"/>
        </w:rPr>
        <w:t>prevenire</w:t>
      </w:r>
      <w:r>
        <w:rPr>
          <w:color w:val="231F20"/>
          <w:spacing w:val="-16"/>
          <w:w w:val="105"/>
        </w:rPr>
        <w:t> </w:t>
      </w:r>
      <w:r>
        <w:rPr>
          <w:color w:val="231F20"/>
          <w:w w:val="105"/>
        </w:rPr>
        <w:t>o</w:t>
      </w:r>
      <w:r>
        <w:rPr>
          <w:color w:val="231F20"/>
          <w:spacing w:val="-16"/>
          <w:w w:val="105"/>
        </w:rPr>
        <w:t> </w:t>
      </w:r>
      <w:r>
        <w:rPr>
          <w:color w:val="231F20"/>
          <w:w w:val="105"/>
        </w:rPr>
        <w:t>porre</w:t>
      </w:r>
      <w:r>
        <w:rPr>
          <w:color w:val="231F20"/>
          <w:spacing w:val="-16"/>
          <w:w w:val="105"/>
        </w:rPr>
        <w:t> </w:t>
      </w:r>
      <w:r>
        <w:rPr>
          <w:color w:val="231F20"/>
          <w:w w:val="105"/>
        </w:rPr>
        <w:t>fine</w:t>
      </w:r>
      <w:r>
        <w:rPr>
          <w:color w:val="231F20"/>
          <w:spacing w:val="-16"/>
          <w:w w:val="105"/>
        </w:rPr>
        <w:t> </w:t>
      </w:r>
      <w:r>
        <w:rPr>
          <w:color w:val="231F20"/>
          <w:w w:val="105"/>
        </w:rPr>
        <w:t>a</w:t>
      </w:r>
      <w:r>
        <w:rPr>
          <w:color w:val="231F20"/>
          <w:spacing w:val="-16"/>
          <w:w w:val="105"/>
        </w:rPr>
        <w:t> </w:t>
      </w:r>
      <w:r>
        <w:rPr>
          <w:color w:val="231F20"/>
          <w:w w:val="105"/>
        </w:rPr>
        <w:t>diffuse</w:t>
      </w:r>
      <w:r>
        <w:rPr>
          <w:color w:val="231F20"/>
          <w:spacing w:val="-16"/>
          <w:w w:val="105"/>
        </w:rPr>
        <w:t> </w:t>
      </w:r>
      <w:r>
        <w:rPr>
          <w:color w:val="231F20"/>
          <w:w w:val="105"/>
        </w:rPr>
        <w:t>e gravi</w:t>
      </w:r>
      <w:r>
        <w:rPr>
          <w:color w:val="231F20"/>
          <w:spacing w:val="-26"/>
          <w:w w:val="105"/>
        </w:rPr>
        <w:t> </w:t>
      </w:r>
      <w:r>
        <w:rPr>
          <w:color w:val="231F20"/>
          <w:w w:val="105"/>
        </w:rPr>
        <w:t>violazioni</w:t>
      </w:r>
      <w:r>
        <w:rPr>
          <w:color w:val="231F20"/>
          <w:spacing w:val="-26"/>
          <w:w w:val="105"/>
        </w:rPr>
        <w:t> </w:t>
      </w:r>
      <w:r>
        <w:rPr>
          <w:color w:val="231F20"/>
          <w:w w:val="105"/>
        </w:rPr>
        <w:t>dei</w:t>
      </w:r>
      <w:r>
        <w:rPr>
          <w:color w:val="231F20"/>
          <w:spacing w:val="-26"/>
          <w:w w:val="105"/>
        </w:rPr>
        <w:t> </w:t>
      </w:r>
      <w:r>
        <w:rPr>
          <w:color w:val="231F20"/>
          <w:w w:val="105"/>
        </w:rPr>
        <w:t>diritti</w:t>
      </w:r>
      <w:r>
        <w:rPr>
          <w:color w:val="231F20"/>
          <w:spacing w:val="-26"/>
          <w:w w:val="105"/>
        </w:rPr>
        <w:t> </w:t>
      </w:r>
      <w:r>
        <w:rPr>
          <w:color w:val="231F20"/>
          <w:w w:val="105"/>
        </w:rPr>
        <w:t>umani</w:t>
      </w:r>
      <w:r>
        <w:rPr>
          <w:color w:val="231F20"/>
          <w:spacing w:val="-26"/>
          <w:w w:val="105"/>
        </w:rPr>
        <w:t> </w:t>
      </w:r>
      <w:r>
        <w:rPr>
          <w:color w:val="231F20"/>
          <w:w w:val="105"/>
        </w:rPr>
        <w:t>fondamentali</w:t>
      </w:r>
      <w:r>
        <w:rPr>
          <w:color w:val="231F20"/>
          <w:spacing w:val="-26"/>
          <w:w w:val="105"/>
        </w:rPr>
        <w:t> </w:t>
      </w:r>
      <w:r>
        <w:rPr>
          <w:color w:val="231F20"/>
          <w:w w:val="105"/>
        </w:rPr>
        <w:t>di</w:t>
      </w:r>
      <w:r>
        <w:rPr>
          <w:color w:val="231F20"/>
          <w:spacing w:val="-26"/>
          <w:w w:val="105"/>
        </w:rPr>
        <w:t> </w:t>
      </w:r>
      <w:r>
        <w:rPr>
          <w:color w:val="231F20"/>
          <w:w w:val="105"/>
        </w:rPr>
        <w:t>individui</w:t>
      </w:r>
      <w:r>
        <w:rPr>
          <w:color w:val="231F20"/>
          <w:spacing w:val="-26"/>
          <w:w w:val="105"/>
        </w:rPr>
        <w:t> </w:t>
      </w:r>
      <w:r>
        <w:rPr>
          <w:color w:val="231F20"/>
          <w:w w:val="105"/>
        </w:rPr>
        <w:t>diversi</w:t>
      </w:r>
      <w:r>
        <w:rPr>
          <w:color w:val="231F20"/>
          <w:spacing w:val="-26"/>
          <w:w w:val="105"/>
        </w:rPr>
        <w:t> </w:t>
      </w:r>
      <w:r>
        <w:rPr>
          <w:color w:val="231F20"/>
          <w:w w:val="105"/>
        </w:rPr>
        <w:t>dai</w:t>
      </w:r>
      <w:r>
        <w:rPr>
          <w:color w:val="231F20"/>
          <w:spacing w:val="-26"/>
          <w:w w:val="105"/>
        </w:rPr>
        <w:t> </w:t>
      </w:r>
      <w:r>
        <w:rPr>
          <w:color w:val="231F20"/>
          <w:w w:val="105"/>
        </w:rPr>
        <w:t>propri cittadini,</w:t>
      </w:r>
      <w:r>
        <w:rPr>
          <w:color w:val="231F20"/>
          <w:spacing w:val="-21"/>
          <w:w w:val="105"/>
        </w:rPr>
        <w:t> </w:t>
      </w:r>
      <w:r>
        <w:rPr>
          <w:color w:val="231F20"/>
          <w:w w:val="105"/>
        </w:rPr>
        <w:t>senza</w:t>
      </w:r>
      <w:r>
        <w:rPr>
          <w:color w:val="231F20"/>
          <w:spacing w:val="-21"/>
          <w:w w:val="105"/>
        </w:rPr>
        <w:t> </w:t>
      </w:r>
      <w:r>
        <w:rPr>
          <w:color w:val="231F20"/>
          <w:w w:val="105"/>
        </w:rPr>
        <w:t>il</w:t>
      </w:r>
      <w:r>
        <w:rPr>
          <w:color w:val="231F20"/>
          <w:spacing w:val="-21"/>
          <w:w w:val="105"/>
        </w:rPr>
        <w:t> </w:t>
      </w:r>
      <w:r>
        <w:rPr>
          <w:color w:val="231F20"/>
          <w:w w:val="105"/>
        </w:rPr>
        <w:t>permesso</w:t>
      </w:r>
      <w:r>
        <w:rPr>
          <w:color w:val="231F20"/>
          <w:spacing w:val="-21"/>
          <w:w w:val="105"/>
        </w:rPr>
        <w:t> </w:t>
      </w:r>
      <w:r>
        <w:rPr>
          <w:color w:val="231F20"/>
          <w:w w:val="105"/>
        </w:rPr>
        <w:t>dello</w:t>
      </w:r>
      <w:r>
        <w:rPr>
          <w:color w:val="231F20"/>
          <w:spacing w:val="-21"/>
          <w:w w:val="105"/>
        </w:rPr>
        <w:t> </w:t>
      </w:r>
      <w:r>
        <w:rPr>
          <w:color w:val="231F20"/>
          <w:w w:val="105"/>
        </w:rPr>
        <w:t>Stato</w:t>
      </w:r>
      <w:r>
        <w:rPr>
          <w:color w:val="231F20"/>
          <w:spacing w:val="-21"/>
          <w:w w:val="105"/>
        </w:rPr>
        <w:t> </w:t>
      </w:r>
      <w:r>
        <w:rPr>
          <w:color w:val="231F20"/>
          <w:w w:val="105"/>
        </w:rPr>
        <w:t>all’interno</w:t>
      </w:r>
      <w:r>
        <w:rPr>
          <w:color w:val="231F20"/>
          <w:spacing w:val="-21"/>
          <w:w w:val="105"/>
        </w:rPr>
        <w:t> </w:t>
      </w:r>
      <w:r>
        <w:rPr>
          <w:color w:val="231F20"/>
          <w:w w:val="105"/>
        </w:rPr>
        <w:t>del</w:t>
      </w:r>
      <w:r>
        <w:rPr>
          <w:color w:val="231F20"/>
          <w:spacing w:val="-21"/>
          <w:w w:val="105"/>
        </w:rPr>
        <w:t> </w:t>
      </w:r>
      <w:r>
        <w:rPr>
          <w:color w:val="231F20"/>
          <w:w w:val="105"/>
        </w:rPr>
        <w:t>cui</w:t>
      </w:r>
      <w:r>
        <w:rPr>
          <w:color w:val="231F20"/>
          <w:spacing w:val="-21"/>
          <w:w w:val="105"/>
        </w:rPr>
        <w:t> </w:t>
      </w:r>
      <w:r>
        <w:rPr>
          <w:color w:val="231F20"/>
          <w:w w:val="105"/>
        </w:rPr>
        <w:t>territorio</w:t>
      </w:r>
      <w:r>
        <w:rPr>
          <w:color w:val="231F20"/>
          <w:spacing w:val="-21"/>
          <w:w w:val="105"/>
        </w:rPr>
        <w:t> </w:t>
      </w:r>
      <w:r>
        <w:rPr>
          <w:color w:val="231F20"/>
          <w:w w:val="105"/>
        </w:rPr>
        <w:t>la</w:t>
      </w:r>
      <w:r>
        <w:rPr>
          <w:color w:val="231F20"/>
          <w:spacing w:val="-21"/>
          <w:w w:val="105"/>
        </w:rPr>
        <w:t> </w:t>
      </w:r>
      <w:r>
        <w:rPr>
          <w:color w:val="231F20"/>
          <w:w w:val="105"/>
        </w:rPr>
        <w:t>forza è</w:t>
      </w:r>
      <w:r>
        <w:rPr>
          <w:color w:val="231F20"/>
          <w:spacing w:val="-18"/>
          <w:w w:val="105"/>
        </w:rPr>
        <w:t> </w:t>
      </w:r>
      <w:r>
        <w:rPr>
          <w:color w:val="231F20"/>
          <w:w w:val="105"/>
        </w:rPr>
        <w:t>applicata”</w:t>
      </w:r>
      <w:r>
        <w:rPr>
          <w:color w:val="231F20"/>
          <w:w w:val="105"/>
          <w:position w:val="7"/>
          <w:sz w:val="12"/>
        </w:rPr>
        <w:t>4</w:t>
      </w:r>
      <w:r>
        <w:rPr>
          <w:color w:val="231F20"/>
          <w:spacing w:val="11"/>
          <w:w w:val="105"/>
          <w:position w:val="7"/>
          <w:sz w:val="12"/>
        </w:rPr>
        <w:t> </w:t>
      </w:r>
      <w:r>
        <w:rPr>
          <w:color w:val="231F20"/>
          <w:w w:val="105"/>
        </w:rPr>
        <w:t>—una</w:t>
      </w:r>
      <w:r>
        <w:rPr>
          <w:color w:val="231F20"/>
          <w:spacing w:val="-18"/>
          <w:w w:val="105"/>
        </w:rPr>
        <w:t> </w:t>
      </w:r>
      <w:r>
        <w:rPr>
          <w:color w:val="231F20"/>
          <w:w w:val="105"/>
        </w:rPr>
        <w:t>fattispecie,</w:t>
      </w:r>
      <w:r>
        <w:rPr>
          <w:color w:val="231F20"/>
          <w:spacing w:val="-18"/>
          <w:w w:val="105"/>
        </w:rPr>
        <w:t> </w:t>
      </w:r>
      <w:r>
        <w:rPr>
          <w:color w:val="231F20"/>
          <w:w w:val="105"/>
        </w:rPr>
        <w:t>questa,</w:t>
      </w:r>
      <w:r>
        <w:rPr>
          <w:color w:val="231F20"/>
          <w:spacing w:val="-18"/>
          <w:w w:val="105"/>
        </w:rPr>
        <w:t> </w:t>
      </w:r>
      <w:r>
        <w:rPr>
          <w:color w:val="231F20"/>
          <w:w w:val="105"/>
        </w:rPr>
        <w:t>in</w:t>
      </w:r>
      <w:r>
        <w:rPr>
          <w:color w:val="231F20"/>
          <w:spacing w:val="-18"/>
          <w:w w:val="105"/>
        </w:rPr>
        <w:t> </w:t>
      </w:r>
      <w:r>
        <w:rPr>
          <w:color w:val="231F20"/>
          <w:w w:val="105"/>
        </w:rPr>
        <w:t>cui</w:t>
      </w:r>
      <w:r>
        <w:rPr>
          <w:color w:val="231F20"/>
          <w:spacing w:val="-18"/>
          <w:w w:val="105"/>
        </w:rPr>
        <w:t> </w:t>
      </w:r>
      <w:r>
        <w:rPr>
          <w:color w:val="231F20"/>
          <w:w w:val="105"/>
        </w:rPr>
        <w:t>l’elemento—</w:t>
      </w:r>
      <w:r>
        <w:rPr>
          <w:color w:val="231F20"/>
          <w:spacing w:val="-18"/>
          <w:w w:val="105"/>
        </w:rPr>
        <w:t> </w:t>
      </w:r>
      <w:r>
        <w:rPr>
          <w:color w:val="231F20"/>
          <w:w w:val="105"/>
        </w:rPr>
        <w:t>chiave</w:t>
      </w:r>
      <w:r>
        <w:rPr>
          <w:color w:val="231F20"/>
          <w:spacing w:val="-18"/>
          <w:w w:val="105"/>
        </w:rPr>
        <w:t> </w:t>
      </w:r>
      <w:r>
        <w:rPr>
          <w:color w:val="231F20"/>
          <w:w w:val="105"/>
        </w:rPr>
        <w:t>sembra </w:t>
      </w:r>
      <w:r>
        <w:rPr>
          <w:color w:val="231F20"/>
          <w:spacing w:val="-4"/>
          <w:w w:val="105"/>
        </w:rPr>
        <w:t>essere</w:t>
      </w:r>
      <w:r>
        <w:rPr>
          <w:color w:val="231F20"/>
          <w:spacing w:val="-48"/>
          <w:w w:val="105"/>
        </w:rPr>
        <w:t> </w:t>
      </w:r>
      <w:r>
        <w:rPr>
          <w:color w:val="231F20"/>
          <w:spacing w:val="-4"/>
          <w:w w:val="105"/>
        </w:rPr>
        <w:t>proprio</w:t>
      </w:r>
      <w:r>
        <w:rPr>
          <w:color w:val="231F20"/>
          <w:spacing w:val="-48"/>
          <w:w w:val="105"/>
        </w:rPr>
        <w:t> </w:t>
      </w:r>
      <w:r>
        <w:rPr>
          <w:color w:val="231F20"/>
          <w:w w:val="105"/>
        </w:rPr>
        <w:t>il</w:t>
      </w:r>
      <w:r>
        <w:rPr>
          <w:color w:val="231F20"/>
          <w:spacing w:val="-48"/>
          <w:w w:val="105"/>
        </w:rPr>
        <w:t> </w:t>
      </w:r>
      <w:r>
        <w:rPr>
          <w:color w:val="231F20"/>
          <w:spacing w:val="-3"/>
          <w:w w:val="105"/>
        </w:rPr>
        <w:t>riferimento</w:t>
      </w:r>
      <w:r>
        <w:rPr>
          <w:color w:val="231F20"/>
          <w:spacing w:val="-48"/>
          <w:w w:val="105"/>
        </w:rPr>
        <w:t> </w:t>
      </w:r>
      <w:r>
        <w:rPr>
          <w:color w:val="231F20"/>
          <w:w w:val="105"/>
        </w:rPr>
        <w:t>ad</w:t>
      </w:r>
      <w:r>
        <w:rPr>
          <w:color w:val="231F20"/>
          <w:spacing w:val="-48"/>
          <w:w w:val="105"/>
        </w:rPr>
        <w:t> </w:t>
      </w:r>
      <w:r>
        <w:rPr>
          <w:color w:val="231F20"/>
          <w:w w:val="105"/>
        </w:rPr>
        <w:t>una</w:t>
      </w:r>
      <w:r>
        <w:rPr>
          <w:color w:val="231F20"/>
          <w:spacing w:val="-48"/>
          <w:w w:val="105"/>
        </w:rPr>
        <w:t> </w:t>
      </w:r>
      <w:r>
        <w:rPr>
          <w:color w:val="231F20"/>
          <w:spacing w:val="-3"/>
          <w:w w:val="105"/>
        </w:rPr>
        <w:t>modalità</w:t>
      </w:r>
      <w:r>
        <w:rPr>
          <w:color w:val="231F20"/>
          <w:spacing w:val="-48"/>
          <w:w w:val="105"/>
        </w:rPr>
        <w:t> </w:t>
      </w:r>
      <w:r>
        <w:rPr>
          <w:color w:val="231F20"/>
          <w:w w:val="105"/>
        </w:rPr>
        <w:t>di</w:t>
      </w:r>
      <w:r>
        <w:rPr>
          <w:color w:val="231F20"/>
          <w:spacing w:val="-46"/>
          <w:w w:val="105"/>
        </w:rPr>
        <w:t> </w:t>
      </w:r>
      <w:r>
        <w:rPr>
          <w:rFonts w:ascii="Arial" w:hAnsi="Arial"/>
          <w:i/>
          <w:color w:val="231F20"/>
          <w:spacing w:val="-3"/>
          <w:w w:val="105"/>
        </w:rPr>
        <w:t>azione</w:t>
      </w:r>
      <w:r>
        <w:rPr>
          <w:rFonts w:ascii="Arial" w:hAnsi="Arial"/>
          <w:i/>
          <w:color w:val="231F20"/>
          <w:spacing w:val="-40"/>
          <w:w w:val="105"/>
        </w:rPr>
        <w:t> </w:t>
      </w:r>
      <w:r>
        <w:rPr>
          <w:rFonts w:ascii="Arial" w:hAnsi="Arial"/>
          <w:i/>
          <w:color w:val="231F20"/>
          <w:spacing w:val="-3"/>
          <w:w w:val="105"/>
        </w:rPr>
        <w:t>unilaterale</w:t>
      </w:r>
      <w:r>
        <w:rPr>
          <w:color w:val="231F20"/>
          <w:spacing w:val="-3"/>
          <w:w w:val="105"/>
        </w:rPr>
        <w:t>,</w:t>
      </w:r>
      <w:r>
        <w:rPr>
          <w:color w:val="231F20"/>
          <w:spacing w:val="-48"/>
          <w:w w:val="105"/>
        </w:rPr>
        <w:t> </w:t>
      </w:r>
      <w:r>
        <w:rPr>
          <w:color w:val="231F20"/>
          <w:spacing w:val="-3"/>
          <w:w w:val="105"/>
        </w:rPr>
        <w:t>totalmente </w:t>
      </w:r>
      <w:r>
        <w:rPr>
          <w:color w:val="231F20"/>
          <w:w w:val="105"/>
        </w:rPr>
        <w:t>svincolata</w:t>
      </w:r>
      <w:r>
        <w:rPr>
          <w:color w:val="231F20"/>
          <w:spacing w:val="-29"/>
          <w:w w:val="105"/>
        </w:rPr>
        <w:t> </w:t>
      </w:r>
      <w:r>
        <w:rPr>
          <w:color w:val="231F20"/>
          <w:w w:val="105"/>
        </w:rPr>
        <w:t>dal</w:t>
      </w:r>
      <w:r>
        <w:rPr>
          <w:color w:val="231F20"/>
          <w:spacing w:val="-29"/>
          <w:w w:val="105"/>
        </w:rPr>
        <w:t> </w:t>
      </w:r>
      <w:r>
        <w:rPr>
          <w:color w:val="231F20"/>
          <w:w w:val="105"/>
        </w:rPr>
        <w:t>rispetto</w:t>
      </w:r>
      <w:r>
        <w:rPr>
          <w:color w:val="231F20"/>
          <w:spacing w:val="-29"/>
          <w:w w:val="105"/>
        </w:rPr>
        <w:t> </w:t>
      </w:r>
      <w:r>
        <w:rPr>
          <w:color w:val="231F20"/>
          <w:w w:val="105"/>
        </w:rPr>
        <w:t>di</w:t>
      </w:r>
      <w:r>
        <w:rPr>
          <w:color w:val="231F20"/>
          <w:spacing w:val="-29"/>
          <w:w w:val="105"/>
        </w:rPr>
        <w:t> </w:t>
      </w:r>
      <w:r>
        <w:rPr>
          <w:color w:val="231F20"/>
          <w:w w:val="105"/>
        </w:rPr>
        <w:t>una</w:t>
      </w:r>
      <w:r>
        <w:rPr>
          <w:color w:val="231F20"/>
          <w:spacing w:val="-29"/>
          <w:w w:val="105"/>
        </w:rPr>
        <w:t> </w:t>
      </w:r>
      <w:r>
        <w:rPr>
          <w:color w:val="231F20"/>
          <w:w w:val="105"/>
        </w:rPr>
        <w:t>formale</w:t>
      </w:r>
      <w:r>
        <w:rPr>
          <w:color w:val="231F20"/>
          <w:spacing w:val="-29"/>
          <w:w w:val="105"/>
        </w:rPr>
        <w:t> </w:t>
      </w:r>
      <w:r>
        <w:rPr>
          <w:color w:val="231F20"/>
          <w:w w:val="105"/>
        </w:rPr>
        <w:t>cornice</w:t>
      </w:r>
      <w:r>
        <w:rPr>
          <w:color w:val="231F20"/>
          <w:spacing w:val="-29"/>
          <w:w w:val="105"/>
        </w:rPr>
        <w:t> </w:t>
      </w:r>
      <w:r>
        <w:rPr>
          <w:color w:val="231F20"/>
          <w:w w:val="105"/>
        </w:rPr>
        <w:t>procedurale</w:t>
      </w:r>
      <w:r>
        <w:rPr>
          <w:color w:val="231F20"/>
          <w:spacing w:val="-29"/>
          <w:w w:val="105"/>
        </w:rPr>
        <w:t> </w:t>
      </w:r>
      <w:r>
        <w:rPr>
          <w:color w:val="231F20"/>
          <w:w w:val="105"/>
        </w:rPr>
        <w:t>finalizzata</w:t>
      </w:r>
      <w:r>
        <w:rPr>
          <w:color w:val="231F20"/>
          <w:spacing w:val="-29"/>
          <w:w w:val="105"/>
        </w:rPr>
        <w:t> </w:t>
      </w:r>
      <w:r>
        <w:rPr>
          <w:color w:val="231F20"/>
          <w:w w:val="105"/>
        </w:rPr>
        <w:t>al</w:t>
      </w:r>
      <w:r>
        <w:rPr>
          <w:color w:val="231F20"/>
          <w:spacing w:val="-29"/>
          <w:w w:val="105"/>
        </w:rPr>
        <w:t> </w:t>
      </w:r>
      <w:r>
        <w:rPr>
          <w:color w:val="231F20"/>
          <w:w w:val="105"/>
        </w:rPr>
        <w:t>più ampio</w:t>
      </w:r>
      <w:r>
        <w:rPr>
          <w:color w:val="231F20"/>
          <w:spacing w:val="-37"/>
          <w:w w:val="105"/>
        </w:rPr>
        <w:t> </w:t>
      </w:r>
      <w:r>
        <w:rPr>
          <w:color w:val="231F20"/>
          <w:w w:val="105"/>
        </w:rPr>
        <w:t>coinvolgimento</w:t>
      </w:r>
      <w:r>
        <w:rPr>
          <w:color w:val="231F20"/>
          <w:spacing w:val="-37"/>
          <w:w w:val="105"/>
        </w:rPr>
        <w:t> </w:t>
      </w:r>
      <w:r>
        <w:rPr>
          <w:color w:val="231F20"/>
          <w:w w:val="105"/>
        </w:rPr>
        <w:t>possibile</w:t>
      </w:r>
      <w:r>
        <w:rPr>
          <w:color w:val="231F20"/>
          <w:spacing w:val="-37"/>
          <w:w w:val="105"/>
        </w:rPr>
        <w:t> </w:t>
      </w:r>
      <w:r>
        <w:rPr>
          <w:color w:val="231F20"/>
          <w:w w:val="105"/>
        </w:rPr>
        <w:t>della</w:t>
      </w:r>
      <w:r>
        <w:rPr>
          <w:color w:val="231F20"/>
          <w:spacing w:val="-37"/>
          <w:w w:val="105"/>
        </w:rPr>
        <w:t> </w:t>
      </w:r>
      <w:r>
        <w:rPr>
          <w:color w:val="231F20"/>
          <w:w w:val="105"/>
        </w:rPr>
        <w:t>comunità</w:t>
      </w:r>
      <w:r>
        <w:rPr>
          <w:color w:val="231F20"/>
          <w:spacing w:val="-37"/>
          <w:w w:val="105"/>
        </w:rPr>
        <w:t> </w:t>
      </w:r>
      <w:r>
        <w:rPr>
          <w:color w:val="231F20"/>
          <w:w w:val="105"/>
        </w:rPr>
        <w:t>internazionale</w:t>
      </w:r>
      <w:r>
        <w:rPr>
          <w:color w:val="231F20"/>
          <w:w w:val="105"/>
          <w:position w:val="7"/>
          <w:sz w:val="12"/>
        </w:rPr>
        <w:t>5</w:t>
      </w:r>
      <w:r>
        <w:rPr>
          <w:color w:val="231F20"/>
          <w:w w:val="105"/>
        </w:rPr>
        <w:t>.</w:t>
      </w:r>
    </w:p>
    <w:p>
      <w:pPr>
        <w:pStyle w:val="BodyText"/>
        <w:spacing w:line="247" w:lineRule="auto"/>
        <w:ind w:left="103" w:right="110" w:firstLine="566"/>
        <w:jc w:val="both"/>
      </w:pPr>
      <w:r>
        <w:rPr>
          <w:color w:val="231F20"/>
        </w:rPr>
        <w:t>Ora,</w:t>
      </w:r>
      <w:r>
        <w:rPr>
          <w:color w:val="231F20"/>
          <w:spacing w:val="-18"/>
        </w:rPr>
        <w:t> </w:t>
      </w:r>
      <w:r>
        <w:rPr>
          <w:color w:val="231F20"/>
        </w:rPr>
        <w:t>è</w:t>
      </w:r>
      <w:r>
        <w:rPr>
          <w:color w:val="231F20"/>
          <w:spacing w:val="-18"/>
        </w:rPr>
        <w:t> </w:t>
      </w:r>
      <w:r>
        <w:rPr>
          <w:color w:val="231F20"/>
        </w:rPr>
        <w:t>sufficiente</w:t>
      </w:r>
      <w:r>
        <w:rPr>
          <w:color w:val="231F20"/>
          <w:spacing w:val="-18"/>
        </w:rPr>
        <w:t> </w:t>
      </w:r>
      <w:r>
        <w:rPr>
          <w:color w:val="231F20"/>
        </w:rPr>
        <w:t>una</w:t>
      </w:r>
      <w:r>
        <w:rPr>
          <w:color w:val="231F20"/>
          <w:spacing w:val="-18"/>
        </w:rPr>
        <w:t> </w:t>
      </w:r>
      <w:r>
        <w:rPr>
          <w:color w:val="231F20"/>
        </w:rPr>
        <w:t>conoscenza</w:t>
      </w:r>
      <w:r>
        <w:rPr>
          <w:color w:val="231F20"/>
          <w:spacing w:val="-18"/>
        </w:rPr>
        <w:t> </w:t>
      </w:r>
      <w:r>
        <w:rPr>
          <w:color w:val="231F20"/>
        </w:rPr>
        <w:t>anche</w:t>
      </w:r>
      <w:r>
        <w:rPr>
          <w:color w:val="231F20"/>
          <w:spacing w:val="-18"/>
        </w:rPr>
        <w:t> </w:t>
      </w:r>
      <w:r>
        <w:rPr>
          <w:color w:val="231F20"/>
        </w:rPr>
        <w:t>superficiale</w:t>
      </w:r>
      <w:r>
        <w:rPr>
          <w:color w:val="231F20"/>
          <w:spacing w:val="-18"/>
        </w:rPr>
        <w:t> </w:t>
      </w:r>
      <w:r>
        <w:rPr>
          <w:color w:val="231F20"/>
        </w:rPr>
        <w:t>della</w:t>
      </w:r>
      <w:r>
        <w:rPr>
          <w:color w:val="231F20"/>
          <w:spacing w:val="-18"/>
        </w:rPr>
        <w:t> </w:t>
      </w:r>
      <w:r>
        <w:rPr>
          <w:color w:val="231F20"/>
        </w:rPr>
        <w:t>discussione sviluppatasi nel corso degli ultimi due decenni per rendersi conto delle rilevanti questioni architettoniche e fondative sollevate da un approccio di </w:t>
      </w:r>
      <w:r>
        <w:rPr>
          <w:color w:val="231F20"/>
          <w:spacing w:val="-3"/>
        </w:rPr>
        <w:t>questo</w:t>
      </w:r>
      <w:r>
        <w:rPr>
          <w:color w:val="231F20"/>
          <w:spacing w:val="-14"/>
        </w:rPr>
        <w:t> </w:t>
      </w:r>
      <w:r>
        <w:rPr>
          <w:color w:val="231F20"/>
          <w:spacing w:val="-3"/>
        </w:rPr>
        <w:t>tipo.</w:t>
      </w:r>
      <w:r>
        <w:rPr>
          <w:color w:val="231F20"/>
          <w:spacing w:val="-14"/>
        </w:rPr>
        <w:t> </w:t>
      </w:r>
      <w:r>
        <w:rPr>
          <w:color w:val="231F20"/>
        </w:rPr>
        <w:t>Ad</w:t>
      </w:r>
      <w:r>
        <w:rPr>
          <w:color w:val="231F20"/>
          <w:spacing w:val="-14"/>
        </w:rPr>
        <w:t> </w:t>
      </w:r>
      <w:r>
        <w:rPr>
          <w:color w:val="231F20"/>
          <w:spacing w:val="-4"/>
        </w:rPr>
        <w:t>essere</w:t>
      </w:r>
      <w:r>
        <w:rPr>
          <w:color w:val="231F20"/>
          <w:spacing w:val="-14"/>
        </w:rPr>
        <w:t> </w:t>
      </w:r>
      <w:r>
        <w:rPr>
          <w:color w:val="231F20"/>
          <w:spacing w:val="-3"/>
        </w:rPr>
        <w:t>messo</w:t>
      </w:r>
      <w:r>
        <w:rPr>
          <w:color w:val="231F20"/>
          <w:spacing w:val="-14"/>
        </w:rPr>
        <w:t> </w:t>
      </w:r>
      <w:r>
        <w:rPr>
          <w:color w:val="231F20"/>
        </w:rPr>
        <w:t>in</w:t>
      </w:r>
      <w:r>
        <w:rPr>
          <w:color w:val="231F20"/>
          <w:spacing w:val="-14"/>
        </w:rPr>
        <w:t> </w:t>
      </w:r>
      <w:r>
        <w:rPr>
          <w:color w:val="231F20"/>
          <w:spacing w:val="-3"/>
        </w:rPr>
        <w:t>questione</w:t>
      </w:r>
      <w:r>
        <w:rPr>
          <w:color w:val="231F20"/>
          <w:spacing w:val="-14"/>
        </w:rPr>
        <w:t> </w:t>
      </w:r>
      <w:r>
        <w:rPr>
          <w:color w:val="231F20"/>
        </w:rPr>
        <w:t>qui</w:t>
      </w:r>
      <w:r>
        <w:rPr>
          <w:color w:val="231F20"/>
          <w:spacing w:val="-14"/>
        </w:rPr>
        <w:t> </w:t>
      </w:r>
      <w:r>
        <w:rPr>
          <w:color w:val="231F20"/>
        </w:rPr>
        <w:t>è,</w:t>
      </w:r>
      <w:r>
        <w:rPr>
          <w:color w:val="231F20"/>
          <w:spacing w:val="-14"/>
        </w:rPr>
        <w:t> </w:t>
      </w:r>
      <w:r>
        <w:rPr>
          <w:color w:val="231F20"/>
          <w:spacing w:val="-3"/>
        </w:rPr>
        <w:t>infatti,</w:t>
      </w:r>
      <w:r>
        <w:rPr>
          <w:color w:val="231F20"/>
          <w:spacing w:val="-14"/>
        </w:rPr>
        <w:t> </w:t>
      </w:r>
      <w:r>
        <w:rPr>
          <w:color w:val="231F20"/>
        </w:rPr>
        <w:t>il</w:t>
      </w:r>
      <w:r>
        <w:rPr>
          <w:color w:val="231F20"/>
          <w:spacing w:val="-14"/>
        </w:rPr>
        <w:t> </w:t>
      </w:r>
      <w:r>
        <w:rPr>
          <w:color w:val="231F20"/>
          <w:spacing w:val="-3"/>
        </w:rPr>
        <w:t>complessivo</w:t>
      </w:r>
      <w:r>
        <w:rPr>
          <w:color w:val="231F20"/>
          <w:spacing w:val="-14"/>
        </w:rPr>
        <w:t> </w:t>
      </w:r>
      <w:r>
        <w:rPr>
          <w:color w:val="231F20"/>
          <w:spacing w:val="-4"/>
        </w:rPr>
        <w:t>regime </w:t>
      </w:r>
      <w:r>
        <w:rPr>
          <w:color w:val="231F20"/>
        </w:rPr>
        <w:t>dello </w:t>
      </w:r>
      <w:r>
        <w:rPr>
          <w:rFonts w:ascii="Arial" w:hAnsi="Arial"/>
          <w:i/>
          <w:color w:val="231F20"/>
        </w:rPr>
        <w:t>jus ad bellum </w:t>
      </w:r>
      <w:r>
        <w:rPr>
          <w:color w:val="231F20"/>
        </w:rPr>
        <w:t>introdotto dopo la fine della Seconda guerra mondiale con l’approvazione della Carta delle Nazioni Unite–un impianto normativo fondato</w:t>
      </w:r>
      <w:r>
        <w:rPr>
          <w:color w:val="231F20"/>
          <w:spacing w:val="-17"/>
        </w:rPr>
        <w:t> </w:t>
      </w:r>
      <w:r>
        <w:rPr>
          <w:color w:val="231F20"/>
        </w:rPr>
        <w:t>sul</w:t>
      </w:r>
      <w:r>
        <w:rPr>
          <w:color w:val="231F20"/>
          <w:spacing w:val="-17"/>
        </w:rPr>
        <w:t> </w:t>
      </w:r>
      <w:r>
        <w:rPr>
          <w:color w:val="231F20"/>
        </w:rPr>
        <w:t>generale</w:t>
      </w:r>
      <w:r>
        <w:rPr>
          <w:color w:val="231F20"/>
          <w:spacing w:val="-17"/>
        </w:rPr>
        <w:t> </w:t>
      </w:r>
      <w:r>
        <w:rPr>
          <w:color w:val="231F20"/>
        </w:rPr>
        <w:t>divieto</w:t>
      </w:r>
      <w:r>
        <w:rPr>
          <w:color w:val="231F20"/>
          <w:spacing w:val="-17"/>
        </w:rPr>
        <w:t> </w:t>
      </w:r>
      <w:r>
        <w:rPr>
          <w:color w:val="231F20"/>
        </w:rPr>
        <w:t>dell’uso</w:t>
      </w:r>
      <w:r>
        <w:rPr>
          <w:color w:val="231F20"/>
          <w:spacing w:val="-17"/>
        </w:rPr>
        <w:t> </w:t>
      </w:r>
      <w:r>
        <w:rPr>
          <w:color w:val="231F20"/>
        </w:rPr>
        <w:t>della</w:t>
      </w:r>
      <w:r>
        <w:rPr>
          <w:color w:val="231F20"/>
          <w:spacing w:val="-17"/>
        </w:rPr>
        <w:t> </w:t>
      </w:r>
      <w:r>
        <w:rPr>
          <w:color w:val="231F20"/>
        </w:rPr>
        <w:t>forza</w:t>
      </w:r>
      <w:r>
        <w:rPr>
          <w:color w:val="231F20"/>
          <w:spacing w:val="-17"/>
        </w:rPr>
        <w:t> </w:t>
      </w:r>
      <w:r>
        <w:rPr>
          <w:color w:val="231F20"/>
        </w:rPr>
        <w:t>nelle</w:t>
      </w:r>
      <w:r>
        <w:rPr>
          <w:color w:val="231F20"/>
          <w:spacing w:val="-17"/>
        </w:rPr>
        <w:t> </w:t>
      </w:r>
      <w:r>
        <w:rPr>
          <w:color w:val="231F20"/>
        </w:rPr>
        <w:t>relazioni</w:t>
      </w:r>
      <w:r>
        <w:rPr>
          <w:color w:val="231F20"/>
          <w:spacing w:val="-17"/>
        </w:rPr>
        <w:t> </w:t>
      </w:r>
      <w:r>
        <w:rPr>
          <w:color w:val="231F20"/>
        </w:rPr>
        <w:t>inter-statuali</w:t>
      </w:r>
      <w:r>
        <w:rPr>
          <w:color w:val="231F20"/>
          <w:position w:val="7"/>
          <w:sz w:val="12"/>
        </w:rPr>
        <w:t>6</w:t>
      </w:r>
      <w:r>
        <w:rPr>
          <w:color w:val="231F20"/>
        </w:rPr>
        <w:t>, con</w:t>
      </w:r>
      <w:r>
        <w:rPr>
          <w:color w:val="231F20"/>
          <w:spacing w:val="-6"/>
        </w:rPr>
        <w:t> </w:t>
      </w:r>
      <w:r>
        <w:rPr>
          <w:color w:val="231F20"/>
        </w:rPr>
        <w:t>le</w:t>
      </w:r>
      <w:r>
        <w:rPr>
          <w:color w:val="231F20"/>
          <w:spacing w:val="-6"/>
        </w:rPr>
        <w:t> </w:t>
      </w:r>
      <w:r>
        <w:rPr>
          <w:color w:val="231F20"/>
        </w:rPr>
        <w:t>due</w:t>
      </w:r>
      <w:r>
        <w:rPr>
          <w:color w:val="231F20"/>
          <w:spacing w:val="-6"/>
        </w:rPr>
        <w:t> </w:t>
      </w:r>
      <w:r>
        <w:rPr>
          <w:color w:val="231F20"/>
        </w:rPr>
        <w:t>sole</w:t>
      </w:r>
      <w:r>
        <w:rPr>
          <w:color w:val="231F20"/>
          <w:spacing w:val="-6"/>
        </w:rPr>
        <w:t> </w:t>
      </w:r>
      <w:r>
        <w:rPr>
          <w:color w:val="231F20"/>
        </w:rPr>
        <w:t>eccezioni</w:t>
      </w:r>
      <w:r>
        <w:rPr>
          <w:color w:val="231F20"/>
          <w:spacing w:val="-6"/>
        </w:rPr>
        <w:t> </w:t>
      </w:r>
      <w:r>
        <w:rPr>
          <w:color w:val="231F20"/>
        </w:rPr>
        <w:t>previste</w:t>
      </w:r>
      <w:r>
        <w:rPr>
          <w:color w:val="231F20"/>
          <w:spacing w:val="-6"/>
        </w:rPr>
        <w:t> </w:t>
      </w:r>
      <w:r>
        <w:rPr>
          <w:color w:val="231F20"/>
        </w:rPr>
        <w:t>dal</w:t>
      </w:r>
      <w:r>
        <w:rPr>
          <w:color w:val="231F20"/>
          <w:spacing w:val="-6"/>
        </w:rPr>
        <w:t> </w:t>
      </w:r>
      <w:r>
        <w:rPr>
          <w:color w:val="231F20"/>
        </w:rPr>
        <w:t>capitolo</w:t>
      </w:r>
      <w:r>
        <w:rPr>
          <w:color w:val="231F20"/>
          <w:spacing w:val="-6"/>
        </w:rPr>
        <w:t> </w:t>
      </w:r>
      <w:r>
        <w:rPr>
          <w:color w:val="231F20"/>
          <w:sz w:val="18"/>
        </w:rPr>
        <w:t>VII</w:t>
      </w:r>
      <w:r>
        <w:rPr>
          <w:color w:val="231F20"/>
          <w:spacing w:val="4"/>
          <w:sz w:val="18"/>
        </w:rPr>
        <w:t> </w:t>
      </w:r>
      <w:r>
        <w:rPr>
          <w:color w:val="231F20"/>
        </w:rPr>
        <w:t>del</w:t>
      </w:r>
      <w:r>
        <w:rPr>
          <w:color w:val="231F20"/>
          <w:spacing w:val="-6"/>
        </w:rPr>
        <w:t> </w:t>
      </w:r>
      <w:r>
        <w:rPr>
          <w:color w:val="231F20"/>
        </w:rPr>
        <w:t>testo:</w:t>
      </w:r>
      <w:r>
        <w:rPr>
          <w:color w:val="231F20"/>
          <w:spacing w:val="-6"/>
        </w:rPr>
        <w:t> </w:t>
      </w:r>
      <w:r>
        <w:rPr>
          <w:color w:val="231F20"/>
        </w:rPr>
        <w:t>le</w:t>
      </w:r>
      <w:r>
        <w:rPr>
          <w:color w:val="231F20"/>
          <w:spacing w:val="-6"/>
        </w:rPr>
        <w:t> </w:t>
      </w:r>
      <w:r>
        <w:rPr>
          <w:color w:val="231F20"/>
        </w:rPr>
        <w:t>azioni</w:t>
      </w:r>
      <w:r>
        <w:rPr>
          <w:color w:val="231F20"/>
          <w:spacing w:val="-6"/>
        </w:rPr>
        <w:t> </w:t>
      </w:r>
      <w:r>
        <w:rPr>
          <w:color w:val="231F20"/>
        </w:rPr>
        <w:t>militari promosse dal Consiglio di sicurezza al fine di “mantenere o ristabilire la pace</w:t>
      </w:r>
      <w:r>
        <w:rPr>
          <w:color w:val="231F20"/>
          <w:spacing w:val="-12"/>
        </w:rPr>
        <w:t> </w:t>
      </w:r>
      <w:r>
        <w:rPr>
          <w:color w:val="231F20"/>
        </w:rPr>
        <w:t>e</w:t>
      </w:r>
      <w:r>
        <w:rPr>
          <w:color w:val="231F20"/>
          <w:spacing w:val="-12"/>
        </w:rPr>
        <w:t> </w:t>
      </w:r>
      <w:r>
        <w:rPr>
          <w:color w:val="231F20"/>
        </w:rPr>
        <w:t>la</w:t>
      </w:r>
      <w:r>
        <w:rPr>
          <w:color w:val="231F20"/>
          <w:spacing w:val="-12"/>
        </w:rPr>
        <w:t> </w:t>
      </w:r>
      <w:r>
        <w:rPr>
          <w:color w:val="231F20"/>
        </w:rPr>
        <w:t>sicurezza</w:t>
      </w:r>
      <w:r>
        <w:rPr>
          <w:color w:val="231F20"/>
          <w:spacing w:val="-12"/>
        </w:rPr>
        <w:t> </w:t>
      </w:r>
      <w:r>
        <w:rPr>
          <w:color w:val="231F20"/>
        </w:rPr>
        <w:t>internazionale”</w:t>
      </w:r>
      <w:r>
        <w:rPr>
          <w:color w:val="231F20"/>
          <w:spacing w:val="-12"/>
        </w:rPr>
        <w:t> </w:t>
      </w:r>
      <w:r>
        <w:rPr>
          <w:color w:val="231F20"/>
        </w:rPr>
        <w:t>e</w:t>
      </w:r>
      <w:r>
        <w:rPr>
          <w:color w:val="231F20"/>
          <w:spacing w:val="-12"/>
        </w:rPr>
        <w:t> </w:t>
      </w:r>
      <w:r>
        <w:rPr>
          <w:color w:val="231F20"/>
        </w:rPr>
        <w:t>le</w:t>
      </w:r>
      <w:r>
        <w:rPr>
          <w:color w:val="231F20"/>
          <w:spacing w:val="-12"/>
        </w:rPr>
        <w:t> </w:t>
      </w:r>
      <w:r>
        <w:rPr>
          <w:color w:val="231F20"/>
        </w:rPr>
        <w:t>“misure”</w:t>
      </w:r>
      <w:r>
        <w:rPr>
          <w:color w:val="231F20"/>
          <w:spacing w:val="-12"/>
        </w:rPr>
        <w:t> </w:t>
      </w:r>
      <w:r>
        <w:rPr>
          <w:color w:val="231F20"/>
        </w:rPr>
        <w:t>adottate</w:t>
      </w:r>
      <w:r>
        <w:rPr>
          <w:color w:val="231F20"/>
          <w:spacing w:val="-12"/>
        </w:rPr>
        <w:t> </w:t>
      </w:r>
      <w:r>
        <w:rPr>
          <w:color w:val="231F20"/>
        </w:rPr>
        <w:t>dagli</w:t>
      </w:r>
      <w:r>
        <w:rPr>
          <w:color w:val="231F20"/>
          <w:spacing w:val="-12"/>
        </w:rPr>
        <w:t> </w:t>
      </w:r>
      <w:r>
        <w:rPr>
          <w:color w:val="231F20"/>
        </w:rPr>
        <w:t>Stati</w:t>
      </w:r>
      <w:r>
        <w:rPr>
          <w:color w:val="231F20"/>
          <w:spacing w:val="-12"/>
        </w:rPr>
        <w:t> </w:t>
      </w:r>
      <w:r>
        <w:rPr>
          <w:color w:val="231F20"/>
        </w:rPr>
        <w:t>membri </w:t>
      </w:r>
      <w:r>
        <w:rPr>
          <w:color w:val="231F20"/>
          <w:spacing w:val="3"/>
        </w:rPr>
        <w:t>“nell’esercizio  </w:t>
      </w:r>
      <w:r>
        <w:rPr>
          <w:color w:val="231F20"/>
          <w:spacing w:val="2"/>
        </w:rPr>
        <w:t>del  </w:t>
      </w:r>
      <w:r>
        <w:rPr>
          <w:color w:val="231F20"/>
          <w:spacing w:val="3"/>
        </w:rPr>
        <w:t>diritto  </w:t>
      </w:r>
      <w:r>
        <w:rPr>
          <w:color w:val="231F20"/>
        </w:rPr>
        <w:t>di  </w:t>
      </w:r>
      <w:r>
        <w:rPr>
          <w:color w:val="231F20"/>
          <w:spacing w:val="3"/>
        </w:rPr>
        <w:t>autodifesa”</w:t>
      </w:r>
      <w:r>
        <w:rPr>
          <w:color w:val="231F20"/>
          <w:spacing w:val="3"/>
          <w:position w:val="7"/>
          <w:sz w:val="12"/>
        </w:rPr>
        <w:t>7</w:t>
      </w:r>
      <w:r>
        <w:rPr>
          <w:color w:val="231F20"/>
          <w:spacing w:val="3"/>
        </w:rPr>
        <w:t>.  </w:t>
      </w:r>
      <w:r>
        <w:rPr>
          <w:color w:val="231F20"/>
        </w:rPr>
        <w:t>I  </w:t>
      </w:r>
      <w:r>
        <w:rPr>
          <w:color w:val="231F20"/>
          <w:spacing w:val="3"/>
        </w:rPr>
        <w:t>sostenitori</w:t>
      </w:r>
      <w:r>
        <w:rPr>
          <w:color w:val="231F20"/>
          <w:spacing w:val="5"/>
        </w:rPr>
        <w:t> </w:t>
      </w:r>
      <w:r>
        <w:rPr>
          <w:color w:val="231F20"/>
          <w:spacing w:val="4"/>
        </w:rPr>
        <w:t>dell’“intervento</w:t>
      </w:r>
    </w:p>
    <w:p>
      <w:pPr>
        <w:pStyle w:val="BodyText"/>
        <w:spacing w:before="11"/>
        <w:rPr>
          <w:sz w:val="15"/>
        </w:rPr>
      </w:pPr>
      <w:r>
        <w:rPr/>
        <w:pict>
          <v:line style="position:absolute;mso-position-horizontal-relative:page;mso-position-vertical-relative:paragraph;z-index:14200;mso-wrap-distance-left:0;mso-wrap-distance-right:0" from="65.196899pt,11.706985pt" to="178.582899pt,11.706985pt" stroked="true" strokeweight=".3pt" strokecolor="#231f20">
            <w10:wrap type="topAndBottom"/>
          </v:line>
        </w:pict>
      </w:r>
    </w:p>
    <w:p>
      <w:pPr>
        <w:spacing w:line="204" w:lineRule="exact" w:before="9"/>
        <w:ind w:left="103" w:right="114" w:firstLine="0"/>
        <w:jc w:val="both"/>
        <w:rPr>
          <w:rFonts w:ascii="Calibri" w:hAnsi="Calibri"/>
          <w:sz w:val="17"/>
        </w:rPr>
      </w:pPr>
      <w:r>
        <w:rPr>
          <w:rFonts w:ascii="Calibri" w:hAnsi="Calibri"/>
          <w:color w:val="231F20"/>
          <w:sz w:val="17"/>
        </w:rPr>
        <w:t>Meccarelli,</w:t>
      </w:r>
      <w:r>
        <w:rPr>
          <w:rFonts w:ascii="Calibri" w:hAnsi="Calibri"/>
          <w:color w:val="231F20"/>
          <w:spacing w:val="-3"/>
          <w:sz w:val="17"/>
        </w:rPr>
        <w:t> </w:t>
      </w:r>
      <w:r>
        <w:rPr>
          <w:rFonts w:ascii="Calibri" w:hAnsi="Calibri"/>
          <w:color w:val="231F20"/>
          <w:spacing w:val="-10"/>
          <w:sz w:val="17"/>
        </w:rPr>
        <w:t>P.</w:t>
      </w:r>
      <w:r>
        <w:rPr>
          <w:rFonts w:ascii="Calibri" w:hAnsi="Calibri"/>
          <w:color w:val="231F20"/>
          <w:spacing w:val="-3"/>
          <w:sz w:val="17"/>
        </w:rPr>
        <w:t> </w:t>
      </w:r>
      <w:r>
        <w:rPr>
          <w:rFonts w:ascii="Calibri" w:hAnsi="Calibri"/>
          <w:color w:val="231F20"/>
          <w:sz w:val="17"/>
        </w:rPr>
        <w:t>Palchetti</w:t>
      </w:r>
      <w:r>
        <w:rPr>
          <w:rFonts w:ascii="Calibri" w:hAnsi="Calibri"/>
          <w:color w:val="231F20"/>
          <w:spacing w:val="-5"/>
          <w:sz w:val="17"/>
        </w:rPr>
        <w:t> </w:t>
      </w:r>
      <w:r>
        <w:rPr>
          <w:rFonts w:ascii="Calibri" w:hAnsi="Calibri"/>
          <w:color w:val="231F20"/>
          <w:sz w:val="17"/>
        </w:rPr>
        <w:t>y</w:t>
      </w:r>
      <w:r>
        <w:rPr>
          <w:rFonts w:ascii="Calibri" w:hAnsi="Calibri"/>
          <w:color w:val="231F20"/>
          <w:spacing w:val="-3"/>
          <w:sz w:val="17"/>
        </w:rPr>
        <w:t> </w:t>
      </w:r>
      <w:r>
        <w:rPr>
          <w:rFonts w:ascii="Calibri" w:hAnsi="Calibri"/>
          <w:color w:val="231F20"/>
          <w:sz w:val="17"/>
        </w:rPr>
        <w:t>C.</w:t>
      </w:r>
      <w:r>
        <w:rPr>
          <w:rFonts w:ascii="Calibri" w:hAnsi="Calibri"/>
          <w:color w:val="231F20"/>
          <w:spacing w:val="-3"/>
          <w:sz w:val="17"/>
        </w:rPr>
        <w:t> </w:t>
      </w:r>
      <w:r>
        <w:rPr>
          <w:rFonts w:ascii="Calibri" w:hAnsi="Calibri"/>
          <w:color w:val="231F20"/>
          <w:sz w:val="17"/>
        </w:rPr>
        <w:t>Sotis</w:t>
      </w:r>
      <w:r>
        <w:rPr>
          <w:rFonts w:ascii="Calibri" w:hAnsi="Calibri"/>
          <w:color w:val="231F20"/>
          <w:spacing w:val="-3"/>
          <w:sz w:val="17"/>
        </w:rPr>
        <w:t> </w:t>
      </w:r>
      <w:r>
        <w:rPr>
          <w:rFonts w:ascii="Calibri" w:hAnsi="Calibri"/>
          <w:color w:val="231F20"/>
          <w:sz w:val="17"/>
        </w:rPr>
        <w:t>(Eds.),</w:t>
      </w:r>
      <w:r>
        <w:rPr>
          <w:rFonts w:ascii="Calibri" w:hAnsi="Calibri"/>
          <w:color w:val="231F20"/>
          <w:spacing w:val="-3"/>
          <w:sz w:val="17"/>
        </w:rPr>
        <w:t> </w:t>
      </w:r>
      <w:r>
        <w:rPr>
          <w:rFonts w:ascii="Calibri" w:hAnsi="Calibri"/>
          <w:i/>
          <w:color w:val="231F20"/>
          <w:sz w:val="17"/>
        </w:rPr>
        <w:t>Le</w:t>
      </w:r>
      <w:r>
        <w:rPr>
          <w:rFonts w:ascii="Calibri" w:hAnsi="Calibri"/>
          <w:i/>
          <w:color w:val="231F20"/>
          <w:spacing w:val="-4"/>
          <w:sz w:val="17"/>
        </w:rPr>
        <w:t> </w:t>
      </w:r>
      <w:r>
        <w:rPr>
          <w:rFonts w:ascii="Calibri" w:hAnsi="Calibri"/>
          <w:i/>
          <w:color w:val="231F20"/>
          <w:sz w:val="17"/>
        </w:rPr>
        <w:t>regole</w:t>
      </w:r>
      <w:r>
        <w:rPr>
          <w:rFonts w:ascii="Calibri" w:hAnsi="Calibri"/>
          <w:i/>
          <w:color w:val="231F20"/>
          <w:spacing w:val="-4"/>
          <w:sz w:val="17"/>
        </w:rPr>
        <w:t> </w:t>
      </w:r>
      <w:r>
        <w:rPr>
          <w:rFonts w:ascii="Calibri" w:hAnsi="Calibri"/>
          <w:i/>
          <w:color w:val="231F20"/>
          <w:sz w:val="17"/>
        </w:rPr>
        <w:t>dell’eccezione.</w:t>
      </w:r>
      <w:r>
        <w:rPr>
          <w:rFonts w:ascii="Calibri" w:hAnsi="Calibri"/>
          <w:i/>
          <w:color w:val="231F20"/>
          <w:spacing w:val="-4"/>
          <w:sz w:val="17"/>
        </w:rPr>
        <w:t> </w:t>
      </w:r>
      <w:r>
        <w:rPr>
          <w:rFonts w:ascii="Calibri" w:hAnsi="Calibri"/>
          <w:i/>
          <w:color w:val="231F20"/>
          <w:sz w:val="17"/>
        </w:rPr>
        <w:t>Un</w:t>
      </w:r>
      <w:r>
        <w:rPr>
          <w:rFonts w:ascii="Calibri" w:hAnsi="Calibri"/>
          <w:i/>
          <w:color w:val="231F20"/>
          <w:spacing w:val="-4"/>
          <w:sz w:val="17"/>
        </w:rPr>
        <w:t> </w:t>
      </w:r>
      <w:r>
        <w:rPr>
          <w:rFonts w:ascii="Calibri" w:hAnsi="Calibri"/>
          <w:i/>
          <w:color w:val="231F20"/>
          <w:sz w:val="17"/>
        </w:rPr>
        <w:t>dialogo</w:t>
      </w:r>
      <w:r>
        <w:rPr>
          <w:rFonts w:ascii="Calibri" w:hAnsi="Calibri"/>
          <w:i/>
          <w:color w:val="231F20"/>
          <w:spacing w:val="-4"/>
          <w:sz w:val="17"/>
        </w:rPr>
        <w:t> </w:t>
      </w:r>
      <w:r>
        <w:rPr>
          <w:rFonts w:ascii="Calibri" w:hAnsi="Calibri"/>
          <w:i/>
          <w:color w:val="231F20"/>
          <w:sz w:val="17"/>
        </w:rPr>
        <w:t>interdisciplinare</w:t>
      </w:r>
      <w:r>
        <w:rPr>
          <w:rFonts w:ascii="Calibri" w:hAnsi="Calibri"/>
          <w:i/>
          <w:color w:val="231F20"/>
          <w:spacing w:val="-4"/>
          <w:sz w:val="17"/>
        </w:rPr>
        <w:t> </w:t>
      </w:r>
      <w:r>
        <w:rPr>
          <w:rFonts w:ascii="Calibri" w:hAnsi="Calibri"/>
          <w:i/>
          <w:color w:val="231F20"/>
          <w:sz w:val="17"/>
        </w:rPr>
        <w:t>a</w:t>
      </w:r>
      <w:r>
        <w:rPr>
          <w:rFonts w:ascii="Calibri" w:hAnsi="Calibri"/>
          <w:i/>
          <w:color w:val="231F20"/>
          <w:spacing w:val="-4"/>
          <w:sz w:val="17"/>
        </w:rPr>
        <w:t> </w:t>
      </w:r>
      <w:r>
        <w:rPr>
          <w:rFonts w:ascii="Calibri" w:hAnsi="Calibri"/>
          <w:i/>
          <w:color w:val="231F20"/>
          <w:sz w:val="17"/>
        </w:rPr>
        <w:t>partire </w:t>
      </w:r>
      <w:r>
        <w:rPr>
          <w:rFonts w:ascii="Calibri" w:hAnsi="Calibri"/>
          <w:i/>
          <w:color w:val="231F20"/>
          <w:sz w:val="17"/>
        </w:rPr>
        <w:t>dalla</w:t>
      </w:r>
      <w:r>
        <w:rPr>
          <w:rFonts w:ascii="Calibri" w:hAnsi="Calibri"/>
          <w:i/>
          <w:color w:val="231F20"/>
          <w:spacing w:val="-15"/>
          <w:sz w:val="17"/>
        </w:rPr>
        <w:t> </w:t>
      </w:r>
      <w:r>
        <w:rPr>
          <w:rFonts w:ascii="Calibri" w:hAnsi="Calibri"/>
          <w:i/>
          <w:color w:val="231F20"/>
          <w:sz w:val="17"/>
        </w:rPr>
        <w:t>questione</w:t>
      </w:r>
      <w:r>
        <w:rPr>
          <w:rFonts w:ascii="Calibri" w:hAnsi="Calibri"/>
          <w:i/>
          <w:color w:val="231F20"/>
          <w:spacing w:val="-15"/>
          <w:sz w:val="17"/>
        </w:rPr>
        <w:t> </w:t>
      </w:r>
      <w:r>
        <w:rPr>
          <w:rFonts w:ascii="Calibri" w:hAnsi="Calibri"/>
          <w:i/>
          <w:color w:val="231F20"/>
          <w:sz w:val="17"/>
        </w:rPr>
        <w:t>del</w:t>
      </w:r>
      <w:r>
        <w:rPr>
          <w:rFonts w:ascii="Calibri" w:hAnsi="Calibri"/>
          <w:i/>
          <w:color w:val="231F20"/>
          <w:spacing w:val="-15"/>
          <w:sz w:val="17"/>
        </w:rPr>
        <w:t> </w:t>
      </w:r>
      <w:r>
        <w:rPr>
          <w:rFonts w:ascii="Calibri" w:hAnsi="Calibri"/>
          <w:i/>
          <w:color w:val="231F20"/>
          <w:sz w:val="17"/>
        </w:rPr>
        <w:t>terrorismo</w:t>
      </w:r>
      <w:r>
        <w:rPr>
          <w:rFonts w:ascii="Calibri" w:hAnsi="Calibri"/>
          <w:color w:val="231F20"/>
          <w:sz w:val="17"/>
        </w:rPr>
        <w:t>,</w:t>
      </w:r>
      <w:r>
        <w:rPr>
          <w:rFonts w:ascii="Calibri" w:hAnsi="Calibri"/>
          <w:color w:val="231F20"/>
          <w:spacing w:val="-14"/>
          <w:sz w:val="17"/>
        </w:rPr>
        <w:t> </w:t>
      </w:r>
      <w:r>
        <w:rPr>
          <w:rFonts w:ascii="Calibri" w:hAnsi="Calibri"/>
          <w:color w:val="231F20"/>
          <w:sz w:val="17"/>
        </w:rPr>
        <w:t>Macerata,</w:t>
      </w:r>
      <w:r>
        <w:rPr>
          <w:rFonts w:ascii="Calibri" w:hAnsi="Calibri"/>
          <w:color w:val="231F20"/>
          <w:spacing w:val="-14"/>
          <w:sz w:val="17"/>
        </w:rPr>
        <w:t> </w:t>
      </w:r>
      <w:r>
        <w:rPr>
          <w:rFonts w:ascii="Calibri" w:hAnsi="Calibri"/>
          <w:color w:val="231F20"/>
          <w:sz w:val="17"/>
        </w:rPr>
        <w:t>Eum,</w:t>
      </w:r>
      <w:r>
        <w:rPr>
          <w:rFonts w:ascii="Calibri" w:hAnsi="Calibri"/>
          <w:color w:val="231F20"/>
          <w:spacing w:val="-14"/>
          <w:sz w:val="17"/>
        </w:rPr>
        <w:t> </w:t>
      </w:r>
      <w:r>
        <w:rPr>
          <w:rFonts w:ascii="Calibri" w:hAnsi="Calibri"/>
          <w:color w:val="231F20"/>
          <w:sz w:val="17"/>
        </w:rPr>
        <w:t>pp.</w:t>
      </w:r>
      <w:r>
        <w:rPr>
          <w:rFonts w:ascii="Calibri" w:hAnsi="Calibri"/>
          <w:color w:val="231F20"/>
          <w:spacing w:val="-14"/>
          <w:sz w:val="17"/>
        </w:rPr>
        <w:t> </w:t>
      </w:r>
      <w:r>
        <w:rPr>
          <w:rFonts w:ascii="Calibri" w:hAnsi="Calibri"/>
          <w:color w:val="231F20"/>
          <w:sz w:val="17"/>
        </w:rPr>
        <w:t>141–146.</w:t>
      </w:r>
    </w:p>
    <w:p>
      <w:pPr>
        <w:spacing w:line="204" w:lineRule="exact" w:before="0"/>
        <w:ind w:left="103" w:right="114" w:firstLine="0"/>
        <w:jc w:val="both"/>
        <w:rPr>
          <w:rFonts w:ascii="Calibri" w:hAnsi="Calibri"/>
          <w:sz w:val="17"/>
        </w:rPr>
      </w:pPr>
      <w:r>
        <w:rPr>
          <w:rFonts w:ascii="Calibri" w:hAnsi="Calibri"/>
          <w:color w:val="231F20"/>
          <w:position w:val="6"/>
          <w:sz w:val="10"/>
        </w:rPr>
        <w:t>4 </w:t>
      </w:r>
      <w:r>
        <w:rPr>
          <w:rFonts w:ascii="Calibri" w:hAnsi="Calibri"/>
          <w:color w:val="231F20"/>
          <w:sz w:val="17"/>
        </w:rPr>
        <w:t>J.L. Holzgrefe, “The humanitarian intervention debate”, J. L. Holzgrefe y R. O. Keohane (Eds.), </w:t>
      </w:r>
      <w:r>
        <w:rPr>
          <w:rFonts w:ascii="Calibri" w:hAnsi="Calibri"/>
          <w:i/>
          <w:color w:val="231F20"/>
          <w:sz w:val="17"/>
        </w:rPr>
        <w:t>Humanitarian Intervention. Ethical, Legal and Political Dilemmas</w:t>
      </w:r>
      <w:r>
        <w:rPr>
          <w:rFonts w:ascii="Calibri" w:hAnsi="Calibri"/>
          <w:color w:val="231F20"/>
          <w:sz w:val="17"/>
        </w:rPr>
        <w:t>, Cambridge, Cambridge University Press, 2003, pp. 15–16.</w:t>
      </w:r>
    </w:p>
    <w:p>
      <w:pPr>
        <w:spacing w:line="204" w:lineRule="exact" w:before="0"/>
        <w:ind w:left="103" w:right="114" w:firstLine="0"/>
        <w:jc w:val="both"/>
        <w:rPr>
          <w:rFonts w:ascii="Calibri" w:hAnsi="Calibri"/>
          <w:sz w:val="17"/>
        </w:rPr>
      </w:pPr>
      <w:r>
        <w:rPr>
          <w:rFonts w:ascii="Calibri" w:hAnsi="Calibri"/>
          <w:color w:val="231F20"/>
          <w:w w:val="105"/>
          <w:position w:val="6"/>
          <w:sz w:val="10"/>
        </w:rPr>
        <w:t>5 </w:t>
      </w:r>
      <w:r>
        <w:rPr>
          <w:rFonts w:ascii="Calibri" w:hAnsi="Calibri"/>
          <w:color w:val="231F20"/>
          <w:w w:val="105"/>
          <w:sz w:val="17"/>
        </w:rPr>
        <w:t>R. O. Keohane, “Introduction”, </w:t>
      </w:r>
      <w:r>
        <w:rPr>
          <w:rFonts w:ascii="Calibri" w:hAnsi="Calibri"/>
          <w:i/>
          <w:color w:val="231F20"/>
          <w:w w:val="105"/>
          <w:sz w:val="17"/>
        </w:rPr>
        <w:t>Humanitarian intervention</w:t>
      </w:r>
      <w:r>
        <w:rPr>
          <w:rFonts w:ascii="Calibri" w:hAnsi="Calibri"/>
          <w:color w:val="231F20"/>
          <w:w w:val="105"/>
          <w:sz w:val="17"/>
        </w:rPr>
        <w:t>, pp. 1–2. Ma per una lungimirante anticipazione di questo aspetto del dibattito contemporaneo si veda </w:t>
      </w:r>
      <w:r>
        <w:rPr>
          <w:rFonts w:ascii="Calibri" w:hAnsi="Calibri"/>
          <w:color w:val="231F20"/>
          <w:spacing w:val="-6"/>
          <w:w w:val="105"/>
          <w:sz w:val="17"/>
        </w:rPr>
        <w:t>W. </w:t>
      </w:r>
      <w:r>
        <w:rPr>
          <w:rFonts w:ascii="Calibri" w:hAnsi="Calibri"/>
          <w:color w:val="231F20"/>
          <w:w w:val="105"/>
          <w:sz w:val="17"/>
        </w:rPr>
        <w:t>D. </w:t>
      </w:r>
      <w:r>
        <w:rPr>
          <w:rFonts w:ascii="Calibri" w:hAnsi="Calibri"/>
          <w:color w:val="231F20"/>
          <w:spacing w:val="-3"/>
          <w:w w:val="105"/>
          <w:sz w:val="17"/>
        </w:rPr>
        <w:t>Verwey, </w:t>
      </w:r>
      <w:r>
        <w:rPr>
          <w:rFonts w:ascii="Calibri" w:hAnsi="Calibri"/>
          <w:color w:val="231F20"/>
          <w:w w:val="105"/>
          <w:sz w:val="17"/>
        </w:rPr>
        <w:t>“Legality of Humanitarian</w:t>
      </w:r>
      <w:r>
        <w:rPr>
          <w:rFonts w:ascii="Calibri" w:hAnsi="Calibri"/>
          <w:color w:val="231F20"/>
          <w:spacing w:val="-20"/>
          <w:w w:val="105"/>
          <w:sz w:val="17"/>
        </w:rPr>
        <w:t> </w:t>
      </w:r>
      <w:r>
        <w:rPr>
          <w:rFonts w:ascii="Calibri" w:hAnsi="Calibri"/>
          <w:color w:val="231F20"/>
          <w:w w:val="105"/>
          <w:sz w:val="17"/>
        </w:rPr>
        <w:t>Intervention</w:t>
      </w:r>
      <w:r>
        <w:rPr>
          <w:rFonts w:ascii="Calibri" w:hAnsi="Calibri"/>
          <w:color w:val="231F20"/>
          <w:spacing w:val="-20"/>
          <w:w w:val="105"/>
          <w:sz w:val="17"/>
        </w:rPr>
        <w:t> </w:t>
      </w:r>
      <w:r>
        <w:rPr>
          <w:rFonts w:ascii="Calibri" w:hAnsi="Calibri"/>
          <w:color w:val="231F20"/>
          <w:w w:val="105"/>
          <w:sz w:val="17"/>
        </w:rPr>
        <w:t>after</w:t>
      </w:r>
      <w:r>
        <w:rPr>
          <w:rFonts w:ascii="Calibri" w:hAnsi="Calibri"/>
          <w:color w:val="231F20"/>
          <w:spacing w:val="-20"/>
          <w:w w:val="105"/>
          <w:sz w:val="17"/>
        </w:rPr>
        <w:t> </w:t>
      </w:r>
      <w:r>
        <w:rPr>
          <w:rFonts w:ascii="Calibri" w:hAnsi="Calibri"/>
          <w:color w:val="231F20"/>
          <w:w w:val="105"/>
          <w:sz w:val="17"/>
        </w:rPr>
        <w:t>the</w:t>
      </w:r>
      <w:r>
        <w:rPr>
          <w:rFonts w:ascii="Calibri" w:hAnsi="Calibri"/>
          <w:color w:val="231F20"/>
          <w:spacing w:val="-20"/>
          <w:w w:val="105"/>
          <w:sz w:val="17"/>
        </w:rPr>
        <w:t> </w:t>
      </w:r>
      <w:r>
        <w:rPr>
          <w:rFonts w:ascii="Calibri" w:hAnsi="Calibri"/>
          <w:color w:val="231F20"/>
          <w:w w:val="105"/>
          <w:sz w:val="17"/>
        </w:rPr>
        <w:t>Cold</w:t>
      </w:r>
      <w:r>
        <w:rPr>
          <w:rFonts w:ascii="Calibri" w:hAnsi="Calibri"/>
          <w:color w:val="231F20"/>
          <w:spacing w:val="-23"/>
          <w:w w:val="105"/>
          <w:sz w:val="17"/>
        </w:rPr>
        <w:t> </w:t>
      </w:r>
      <w:r>
        <w:rPr>
          <w:rFonts w:ascii="Calibri" w:hAnsi="Calibri"/>
          <w:color w:val="231F20"/>
          <w:w w:val="105"/>
          <w:sz w:val="17"/>
        </w:rPr>
        <w:t>War”,</w:t>
      </w:r>
      <w:r>
        <w:rPr>
          <w:rFonts w:ascii="Calibri" w:hAnsi="Calibri"/>
          <w:color w:val="231F20"/>
          <w:spacing w:val="-20"/>
          <w:w w:val="105"/>
          <w:sz w:val="17"/>
        </w:rPr>
        <w:t> </w:t>
      </w:r>
      <w:r>
        <w:rPr>
          <w:rFonts w:ascii="Calibri" w:hAnsi="Calibri"/>
          <w:color w:val="231F20"/>
          <w:w w:val="105"/>
          <w:sz w:val="17"/>
        </w:rPr>
        <w:t>Ferris</w:t>
      </w:r>
      <w:r>
        <w:rPr>
          <w:rFonts w:ascii="Calibri" w:hAnsi="Calibri"/>
          <w:color w:val="231F20"/>
          <w:spacing w:val="-20"/>
          <w:w w:val="105"/>
          <w:sz w:val="17"/>
        </w:rPr>
        <w:t> </w:t>
      </w:r>
      <w:r>
        <w:rPr>
          <w:rFonts w:ascii="Calibri" w:hAnsi="Calibri"/>
          <w:color w:val="231F20"/>
          <w:w w:val="105"/>
          <w:sz w:val="17"/>
        </w:rPr>
        <w:t>(Ed.),</w:t>
      </w:r>
      <w:r>
        <w:rPr>
          <w:rFonts w:ascii="Calibri" w:hAnsi="Calibri"/>
          <w:color w:val="231F20"/>
          <w:spacing w:val="-20"/>
          <w:w w:val="105"/>
          <w:sz w:val="17"/>
        </w:rPr>
        <w:t> </w:t>
      </w:r>
      <w:r>
        <w:rPr>
          <w:rFonts w:ascii="Calibri" w:hAnsi="Calibri"/>
          <w:i/>
          <w:color w:val="231F20"/>
          <w:w w:val="105"/>
          <w:sz w:val="17"/>
        </w:rPr>
        <w:t>The</w:t>
      </w:r>
      <w:r>
        <w:rPr>
          <w:rFonts w:ascii="Calibri" w:hAnsi="Calibri"/>
          <w:i/>
          <w:color w:val="231F20"/>
          <w:spacing w:val="-21"/>
          <w:w w:val="105"/>
          <w:sz w:val="17"/>
        </w:rPr>
        <w:t> </w:t>
      </w:r>
      <w:r>
        <w:rPr>
          <w:rFonts w:ascii="Calibri" w:hAnsi="Calibri"/>
          <w:i/>
          <w:color w:val="231F20"/>
          <w:w w:val="105"/>
          <w:sz w:val="17"/>
        </w:rPr>
        <w:t>Challenge</w:t>
      </w:r>
      <w:r>
        <w:rPr>
          <w:rFonts w:ascii="Calibri" w:hAnsi="Calibri"/>
          <w:i/>
          <w:color w:val="231F20"/>
          <w:spacing w:val="-21"/>
          <w:w w:val="105"/>
          <w:sz w:val="17"/>
        </w:rPr>
        <w:t> </w:t>
      </w:r>
      <w:r>
        <w:rPr>
          <w:rFonts w:ascii="Calibri" w:hAnsi="Calibri"/>
          <w:i/>
          <w:color w:val="231F20"/>
          <w:w w:val="105"/>
          <w:sz w:val="17"/>
        </w:rPr>
        <w:t>to</w:t>
      </w:r>
      <w:r>
        <w:rPr>
          <w:rFonts w:ascii="Calibri" w:hAnsi="Calibri"/>
          <w:i/>
          <w:color w:val="231F20"/>
          <w:spacing w:val="-21"/>
          <w:w w:val="105"/>
          <w:sz w:val="17"/>
        </w:rPr>
        <w:t> </w:t>
      </w:r>
      <w:r>
        <w:rPr>
          <w:rFonts w:ascii="Calibri" w:hAnsi="Calibri"/>
          <w:i/>
          <w:color w:val="231F20"/>
          <w:w w:val="105"/>
          <w:sz w:val="17"/>
        </w:rPr>
        <w:t>Intervene:</w:t>
      </w:r>
      <w:r>
        <w:rPr>
          <w:rFonts w:ascii="Calibri" w:hAnsi="Calibri"/>
          <w:i/>
          <w:color w:val="231F20"/>
          <w:spacing w:val="-21"/>
          <w:w w:val="105"/>
          <w:sz w:val="17"/>
        </w:rPr>
        <w:t> </w:t>
      </w:r>
      <w:r>
        <w:rPr>
          <w:rFonts w:ascii="Calibri" w:hAnsi="Calibri"/>
          <w:i/>
          <w:color w:val="231F20"/>
          <w:w w:val="105"/>
          <w:sz w:val="17"/>
        </w:rPr>
        <w:t>A</w:t>
      </w:r>
      <w:r>
        <w:rPr>
          <w:rFonts w:ascii="Calibri" w:hAnsi="Calibri"/>
          <w:i/>
          <w:color w:val="231F20"/>
          <w:spacing w:val="-21"/>
          <w:w w:val="105"/>
          <w:sz w:val="17"/>
        </w:rPr>
        <w:t> </w:t>
      </w:r>
      <w:r>
        <w:rPr>
          <w:rFonts w:ascii="Calibri" w:hAnsi="Calibri"/>
          <w:i/>
          <w:color w:val="231F20"/>
          <w:w w:val="105"/>
          <w:sz w:val="17"/>
        </w:rPr>
        <w:t>New</w:t>
      </w:r>
      <w:r>
        <w:rPr>
          <w:rFonts w:ascii="Calibri" w:hAnsi="Calibri"/>
          <w:i/>
          <w:color w:val="231F20"/>
          <w:spacing w:val="-21"/>
          <w:w w:val="105"/>
          <w:sz w:val="17"/>
        </w:rPr>
        <w:t> </w:t>
      </w:r>
      <w:r>
        <w:rPr>
          <w:rFonts w:ascii="Calibri" w:hAnsi="Calibri"/>
          <w:i/>
          <w:color w:val="231F20"/>
          <w:w w:val="105"/>
          <w:sz w:val="17"/>
        </w:rPr>
        <w:t>Role </w:t>
      </w:r>
      <w:r>
        <w:rPr>
          <w:rFonts w:ascii="Calibri" w:hAnsi="Calibri"/>
          <w:i/>
          <w:color w:val="231F20"/>
          <w:sz w:val="17"/>
        </w:rPr>
        <w:t>for</w:t>
      </w:r>
      <w:r>
        <w:rPr>
          <w:rFonts w:ascii="Calibri" w:hAnsi="Calibri"/>
          <w:i/>
          <w:color w:val="231F20"/>
          <w:spacing w:val="-11"/>
          <w:sz w:val="17"/>
        </w:rPr>
        <w:t> </w:t>
      </w:r>
      <w:r>
        <w:rPr>
          <w:rFonts w:ascii="Calibri" w:hAnsi="Calibri"/>
          <w:i/>
          <w:color w:val="231F20"/>
          <w:sz w:val="17"/>
        </w:rPr>
        <w:t>the</w:t>
      </w:r>
      <w:r>
        <w:rPr>
          <w:rFonts w:ascii="Calibri" w:hAnsi="Calibri"/>
          <w:i/>
          <w:color w:val="231F20"/>
          <w:spacing w:val="-11"/>
          <w:sz w:val="17"/>
        </w:rPr>
        <w:t> </w:t>
      </w:r>
      <w:r>
        <w:rPr>
          <w:rFonts w:ascii="Calibri" w:hAnsi="Calibri"/>
          <w:i/>
          <w:color w:val="231F20"/>
          <w:sz w:val="17"/>
        </w:rPr>
        <w:t>United</w:t>
      </w:r>
      <w:r>
        <w:rPr>
          <w:rFonts w:ascii="Calibri" w:hAnsi="Calibri"/>
          <w:i/>
          <w:color w:val="231F20"/>
          <w:spacing w:val="-11"/>
          <w:sz w:val="17"/>
        </w:rPr>
        <w:t> </w:t>
      </w:r>
      <w:r>
        <w:rPr>
          <w:rFonts w:ascii="Calibri" w:hAnsi="Calibri"/>
          <w:i/>
          <w:color w:val="231F20"/>
          <w:sz w:val="17"/>
        </w:rPr>
        <w:t>Nations?</w:t>
      </w:r>
      <w:r>
        <w:rPr>
          <w:rFonts w:ascii="Calibri" w:hAnsi="Calibri"/>
          <w:color w:val="231F20"/>
          <w:sz w:val="17"/>
        </w:rPr>
        <w:t>,</w:t>
      </w:r>
      <w:r>
        <w:rPr>
          <w:rFonts w:ascii="Calibri" w:hAnsi="Calibri"/>
          <w:color w:val="231F20"/>
          <w:spacing w:val="-10"/>
          <w:sz w:val="17"/>
        </w:rPr>
        <w:t> </w:t>
      </w:r>
      <w:r>
        <w:rPr>
          <w:rFonts w:ascii="Calibri" w:hAnsi="Calibri"/>
          <w:color w:val="231F20"/>
          <w:sz w:val="17"/>
        </w:rPr>
        <w:t>Uppsala,</w:t>
      </w:r>
      <w:r>
        <w:rPr>
          <w:rFonts w:ascii="Calibri" w:hAnsi="Calibri"/>
          <w:color w:val="231F20"/>
          <w:spacing w:val="-10"/>
          <w:sz w:val="17"/>
        </w:rPr>
        <w:t> </w:t>
      </w:r>
      <w:r>
        <w:rPr>
          <w:rFonts w:ascii="Calibri" w:hAnsi="Calibri"/>
          <w:color w:val="231F20"/>
          <w:sz w:val="17"/>
        </w:rPr>
        <w:t>Life</w:t>
      </w:r>
      <w:r>
        <w:rPr>
          <w:rFonts w:ascii="Calibri" w:hAnsi="Calibri"/>
          <w:color w:val="231F20"/>
          <w:spacing w:val="-10"/>
          <w:sz w:val="17"/>
        </w:rPr>
        <w:t> </w:t>
      </w:r>
      <w:r>
        <w:rPr>
          <w:rFonts w:ascii="Calibri" w:hAnsi="Calibri"/>
          <w:color w:val="231F20"/>
          <w:sz w:val="17"/>
        </w:rPr>
        <w:t>and</w:t>
      </w:r>
      <w:r>
        <w:rPr>
          <w:rFonts w:ascii="Calibri" w:hAnsi="Calibri"/>
          <w:color w:val="231F20"/>
          <w:spacing w:val="-10"/>
          <w:sz w:val="17"/>
        </w:rPr>
        <w:t> </w:t>
      </w:r>
      <w:r>
        <w:rPr>
          <w:rFonts w:ascii="Calibri" w:hAnsi="Calibri"/>
          <w:color w:val="231F20"/>
          <w:sz w:val="17"/>
        </w:rPr>
        <w:t>Peace</w:t>
      </w:r>
      <w:r>
        <w:rPr>
          <w:rFonts w:ascii="Calibri" w:hAnsi="Calibri"/>
          <w:color w:val="231F20"/>
          <w:spacing w:val="-10"/>
          <w:sz w:val="17"/>
        </w:rPr>
        <w:t> </w:t>
      </w:r>
      <w:r>
        <w:rPr>
          <w:rFonts w:ascii="Calibri" w:hAnsi="Calibri"/>
          <w:color w:val="231F20"/>
          <w:sz w:val="17"/>
        </w:rPr>
        <w:t>Institute,</w:t>
      </w:r>
      <w:r>
        <w:rPr>
          <w:rFonts w:ascii="Calibri" w:hAnsi="Calibri"/>
          <w:color w:val="231F20"/>
          <w:spacing w:val="-10"/>
          <w:sz w:val="17"/>
        </w:rPr>
        <w:t> </w:t>
      </w:r>
      <w:r>
        <w:rPr>
          <w:rFonts w:ascii="Calibri" w:hAnsi="Calibri"/>
          <w:color w:val="231F20"/>
          <w:sz w:val="17"/>
        </w:rPr>
        <w:t>1992,</w:t>
      </w:r>
      <w:r>
        <w:rPr>
          <w:rFonts w:ascii="Calibri" w:hAnsi="Calibri"/>
          <w:color w:val="231F20"/>
          <w:spacing w:val="-10"/>
          <w:sz w:val="17"/>
        </w:rPr>
        <w:t> </w:t>
      </w:r>
      <w:r>
        <w:rPr>
          <w:rFonts w:ascii="Calibri" w:hAnsi="Calibri"/>
          <w:color w:val="231F20"/>
          <w:sz w:val="17"/>
        </w:rPr>
        <w:t>pp.</w:t>
      </w:r>
      <w:r>
        <w:rPr>
          <w:rFonts w:ascii="Calibri" w:hAnsi="Calibri"/>
          <w:color w:val="231F20"/>
          <w:spacing w:val="-10"/>
          <w:sz w:val="17"/>
        </w:rPr>
        <w:t> </w:t>
      </w:r>
      <w:r>
        <w:rPr>
          <w:rFonts w:ascii="Calibri" w:hAnsi="Calibri"/>
          <w:color w:val="231F20"/>
          <w:sz w:val="17"/>
        </w:rPr>
        <w:t>113–114.</w:t>
      </w:r>
    </w:p>
    <w:p>
      <w:pPr>
        <w:spacing w:line="204" w:lineRule="exact" w:before="0"/>
        <w:ind w:left="103" w:right="114" w:firstLine="0"/>
        <w:jc w:val="both"/>
        <w:rPr>
          <w:rFonts w:ascii="Calibri" w:hAnsi="Calibri"/>
          <w:sz w:val="17"/>
        </w:rPr>
      </w:pPr>
      <w:r>
        <w:rPr>
          <w:rFonts w:ascii="Calibri" w:hAnsi="Calibri"/>
          <w:color w:val="231F20"/>
          <w:w w:val="105"/>
          <w:position w:val="6"/>
          <w:sz w:val="10"/>
        </w:rPr>
        <w:t>6 </w:t>
      </w:r>
      <w:r>
        <w:rPr>
          <w:rFonts w:ascii="Calibri" w:hAnsi="Calibri"/>
          <w:i/>
          <w:color w:val="231F20"/>
          <w:w w:val="105"/>
          <w:sz w:val="17"/>
        </w:rPr>
        <w:t>Charter of United Nations</w:t>
      </w:r>
      <w:r>
        <w:rPr>
          <w:rFonts w:ascii="Calibri" w:hAnsi="Calibri"/>
          <w:color w:val="231F20"/>
          <w:w w:val="105"/>
          <w:sz w:val="17"/>
        </w:rPr>
        <w:t>, Art. 2 (3): </w:t>
      </w:r>
      <w:r>
        <w:rPr>
          <w:rFonts w:ascii="Calibri" w:hAnsi="Calibri"/>
          <w:color w:val="231F20"/>
          <w:spacing w:val="-5"/>
          <w:w w:val="105"/>
          <w:sz w:val="17"/>
        </w:rPr>
        <w:t>“All </w:t>
      </w:r>
      <w:r>
        <w:rPr>
          <w:rFonts w:ascii="Calibri" w:hAnsi="Calibri"/>
          <w:color w:val="231F20"/>
          <w:w w:val="105"/>
          <w:sz w:val="17"/>
        </w:rPr>
        <w:t>Members shall settle their international disputes by peaceful means in such a manner that international peace and security, and justice, are not endangered.”;</w:t>
      </w:r>
      <w:r>
        <w:rPr>
          <w:rFonts w:ascii="Calibri" w:hAnsi="Calibri"/>
          <w:color w:val="231F20"/>
          <w:spacing w:val="-12"/>
          <w:w w:val="105"/>
          <w:sz w:val="17"/>
        </w:rPr>
        <w:t> </w:t>
      </w:r>
      <w:r>
        <w:rPr>
          <w:rFonts w:ascii="Calibri" w:hAnsi="Calibri"/>
          <w:color w:val="231F20"/>
          <w:w w:val="105"/>
          <w:sz w:val="17"/>
        </w:rPr>
        <w:t>Art.</w:t>
      </w:r>
      <w:r>
        <w:rPr>
          <w:rFonts w:ascii="Calibri" w:hAnsi="Calibri"/>
          <w:color w:val="231F20"/>
          <w:spacing w:val="-12"/>
          <w:w w:val="105"/>
          <w:sz w:val="17"/>
        </w:rPr>
        <w:t> </w:t>
      </w:r>
      <w:r>
        <w:rPr>
          <w:rFonts w:ascii="Calibri" w:hAnsi="Calibri"/>
          <w:color w:val="231F20"/>
          <w:w w:val="105"/>
          <w:sz w:val="17"/>
        </w:rPr>
        <w:t>2</w:t>
      </w:r>
      <w:r>
        <w:rPr>
          <w:rFonts w:ascii="Calibri" w:hAnsi="Calibri"/>
          <w:color w:val="231F20"/>
          <w:spacing w:val="-12"/>
          <w:w w:val="105"/>
          <w:sz w:val="17"/>
        </w:rPr>
        <w:t> </w:t>
      </w:r>
      <w:r>
        <w:rPr>
          <w:rFonts w:ascii="Calibri" w:hAnsi="Calibri"/>
          <w:color w:val="231F20"/>
          <w:w w:val="105"/>
          <w:sz w:val="17"/>
        </w:rPr>
        <w:t>(4):</w:t>
      </w:r>
      <w:r>
        <w:rPr>
          <w:rFonts w:ascii="Calibri" w:hAnsi="Calibri"/>
          <w:color w:val="231F20"/>
          <w:spacing w:val="-12"/>
          <w:w w:val="105"/>
          <w:sz w:val="17"/>
        </w:rPr>
        <w:t> </w:t>
      </w:r>
      <w:r>
        <w:rPr>
          <w:rFonts w:ascii="Calibri" w:hAnsi="Calibri"/>
          <w:color w:val="231F20"/>
          <w:spacing w:val="-5"/>
          <w:w w:val="105"/>
          <w:sz w:val="17"/>
        </w:rPr>
        <w:t>“All</w:t>
      </w:r>
      <w:r>
        <w:rPr>
          <w:rFonts w:ascii="Calibri" w:hAnsi="Calibri"/>
          <w:color w:val="231F20"/>
          <w:spacing w:val="-12"/>
          <w:w w:val="105"/>
          <w:sz w:val="17"/>
        </w:rPr>
        <w:t> </w:t>
      </w:r>
      <w:r>
        <w:rPr>
          <w:rFonts w:ascii="Calibri" w:hAnsi="Calibri"/>
          <w:color w:val="231F20"/>
          <w:w w:val="105"/>
          <w:sz w:val="17"/>
        </w:rPr>
        <w:t>Members</w:t>
      </w:r>
      <w:r>
        <w:rPr>
          <w:rFonts w:ascii="Calibri" w:hAnsi="Calibri"/>
          <w:color w:val="231F20"/>
          <w:spacing w:val="-12"/>
          <w:w w:val="105"/>
          <w:sz w:val="17"/>
        </w:rPr>
        <w:t> </w:t>
      </w:r>
      <w:r>
        <w:rPr>
          <w:rFonts w:ascii="Calibri" w:hAnsi="Calibri"/>
          <w:color w:val="231F20"/>
          <w:w w:val="105"/>
          <w:sz w:val="17"/>
        </w:rPr>
        <w:t>shall</w:t>
      </w:r>
      <w:r>
        <w:rPr>
          <w:rFonts w:ascii="Calibri" w:hAnsi="Calibri"/>
          <w:color w:val="231F20"/>
          <w:spacing w:val="-12"/>
          <w:w w:val="105"/>
          <w:sz w:val="17"/>
        </w:rPr>
        <w:t> </w:t>
      </w:r>
      <w:r>
        <w:rPr>
          <w:rFonts w:ascii="Calibri" w:hAnsi="Calibri"/>
          <w:color w:val="231F20"/>
          <w:w w:val="105"/>
          <w:sz w:val="17"/>
        </w:rPr>
        <w:t>refrain</w:t>
      </w:r>
      <w:r>
        <w:rPr>
          <w:rFonts w:ascii="Calibri" w:hAnsi="Calibri"/>
          <w:color w:val="231F20"/>
          <w:spacing w:val="-12"/>
          <w:w w:val="105"/>
          <w:sz w:val="17"/>
        </w:rPr>
        <w:t> </w:t>
      </w:r>
      <w:r>
        <w:rPr>
          <w:rFonts w:ascii="Calibri" w:hAnsi="Calibri"/>
          <w:color w:val="231F20"/>
          <w:w w:val="105"/>
          <w:sz w:val="17"/>
        </w:rPr>
        <w:t>in</w:t>
      </w:r>
      <w:r>
        <w:rPr>
          <w:rFonts w:ascii="Calibri" w:hAnsi="Calibri"/>
          <w:color w:val="231F20"/>
          <w:spacing w:val="-12"/>
          <w:w w:val="105"/>
          <w:sz w:val="17"/>
        </w:rPr>
        <w:t> </w:t>
      </w:r>
      <w:r>
        <w:rPr>
          <w:rFonts w:ascii="Calibri" w:hAnsi="Calibri"/>
          <w:color w:val="231F20"/>
          <w:w w:val="105"/>
          <w:sz w:val="17"/>
        </w:rPr>
        <w:t>their</w:t>
      </w:r>
      <w:r>
        <w:rPr>
          <w:rFonts w:ascii="Calibri" w:hAnsi="Calibri"/>
          <w:color w:val="231F20"/>
          <w:spacing w:val="-12"/>
          <w:w w:val="105"/>
          <w:sz w:val="17"/>
        </w:rPr>
        <w:t> </w:t>
      </w:r>
      <w:r>
        <w:rPr>
          <w:rFonts w:ascii="Calibri" w:hAnsi="Calibri"/>
          <w:color w:val="231F20"/>
          <w:w w:val="105"/>
          <w:sz w:val="17"/>
        </w:rPr>
        <w:t>international</w:t>
      </w:r>
      <w:r>
        <w:rPr>
          <w:rFonts w:ascii="Calibri" w:hAnsi="Calibri"/>
          <w:color w:val="231F20"/>
          <w:spacing w:val="-12"/>
          <w:w w:val="105"/>
          <w:sz w:val="17"/>
        </w:rPr>
        <w:t> </w:t>
      </w:r>
      <w:r>
        <w:rPr>
          <w:rFonts w:ascii="Calibri" w:hAnsi="Calibri"/>
          <w:color w:val="231F20"/>
          <w:w w:val="105"/>
          <w:sz w:val="17"/>
        </w:rPr>
        <w:t>relations</w:t>
      </w:r>
      <w:r>
        <w:rPr>
          <w:rFonts w:ascii="Calibri" w:hAnsi="Calibri"/>
          <w:color w:val="231F20"/>
          <w:spacing w:val="-12"/>
          <w:w w:val="105"/>
          <w:sz w:val="17"/>
        </w:rPr>
        <w:t> </w:t>
      </w:r>
      <w:r>
        <w:rPr>
          <w:rFonts w:ascii="Calibri" w:hAnsi="Calibri"/>
          <w:color w:val="231F20"/>
          <w:w w:val="105"/>
          <w:sz w:val="17"/>
        </w:rPr>
        <w:t>from</w:t>
      </w:r>
      <w:r>
        <w:rPr>
          <w:rFonts w:ascii="Calibri" w:hAnsi="Calibri"/>
          <w:color w:val="231F20"/>
          <w:spacing w:val="-12"/>
          <w:w w:val="105"/>
          <w:sz w:val="17"/>
        </w:rPr>
        <w:t> </w:t>
      </w:r>
      <w:r>
        <w:rPr>
          <w:rFonts w:ascii="Calibri" w:hAnsi="Calibri"/>
          <w:color w:val="231F20"/>
          <w:w w:val="105"/>
          <w:sz w:val="17"/>
        </w:rPr>
        <w:t>the</w:t>
      </w:r>
      <w:r>
        <w:rPr>
          <w:rFonts w:ascii="Calibri" w:hAnsi="Calibri"/>
          <w:color w:val="231F20"/>
          <w:spacing w:val="-12"/>
          <w:w w:val="105"/>
          <w:sz w:val="17"/>
        </w:rPr>
        <w:t> </w:t>
      </w:r>
      <w:r>
        <w:rPr>
          <w:rFonts w:ascii="Calibri" w:hAnsi="Calibri"/>
          <w:color w:val="231F20"/>
          <w:w w:val="105"/>
          <w:sz w:val="17"/>
        </w:rPr>
        <w:t>threat or</w:t>
      </w:r>
      <w:r>
        <w:rPr>
          <w:rFonts w:ascii="Calibri" w:hAnsi="Calibri"/>
          <w:color w:val="231F20"/>
          <w:spacing w:val="-18"/>
          <w:w w:val="105"/>
          <w:sz w:val="17"/>
        </w:rPr>
        <w:t> </w:t>
      </w:r>
      <w:r>
        <w:rPr>
          <w:rFonts w:ascii="Calibri" w:hAnsi="Calibri"/>
          <w:color w:val="231F20"/>
          <w:w w:val="105"/>
          <w:sz w:val="17"/>
        </w:rPr>
        <w:t>use</w:t>
      </w:r>
      <w:r>
        <w:rPr>
          <w:rFonts w:ascii="Calibri" w:hAnsi="Calibri"/>
          <w:color w:val="231F20"/>
          <w:spacing w:val="-18"/>
          <w:w w:val="105"/>
          <w:sz w:val="17"/>
        </w:rPr>
        <w:t> </w:t>
      </w:r>
      <w:r>
        <w:rPr>
          <w:rFonts w:ascii="Calibri" w:hAnsi="Calibri"/>
          <w:color w:val="231F20"/>
          <w:w w:val="105"/>
          <w:sz w:val="17"/>
        </w:rPr>
        <w:t>of</w:t>
      </w:r>
      <w:r>
        <w:rPr>
          <w:rFonts w:ascii="Calibri" w:hAnsi="Calibri"/>
          <w:color w:val="231F20"/>
          <w:spacing w:val="-18"/>
          <w:w w:val="105"/>
          <w:sz w:val="17"/>
        </w:rPr>
        <w:t> </w:t>
      </w:r>
      <w:r>
        <w:rPr>
          <w:rFonts w:ascii="Calibri" w:hAnsi="Calibri"/>
          <w:color w:val="231F20"/>
          <w:w w:val="105"/>
          <w:sz w:val="17"/>
        </w:rPr>
        <w:t>force</w:t>
      </w:r>
      <w:r>
        <w:rPr>
          <w:rFonts w:ascii="Calibri" w:hAnsi="Calibri"/>
          <w:color w:val="231F20"/>
          <w:spacing w:val="-18"/>
          <w:w w:val="105"/>
          <w:sz w:val="17"/>
        </w:rPr>
        <w:t> </w:t>
      </w:r>
      <w:r>
        <w:rPr>
          <w:rFonts w:ascii="Calibri" w:hAnsi="Calibri"/>
          <w:color w:val="231F20"/>
          <w:w w:val="105"/>
          <w:sz w:val="17"/>
        </w:rPr>
        <w:t>against</w:t>
      </w:r>
      <w:r>
        <w:rPr>
          <w:rFonts w:ascii="Calibri" w:hAnsi="Calibri"/>
          <w:color w:val="231F20"/>
          <w:spacing w:val="-18"/>
          <w:w w:val="105"/>
          <w:sz w:val="17"/>
        </w:rPr>
        <w:t> </w:t>
      </w:r>
      <w:r>
        <w:rPr>
          <w:rFonts w:ascii="Calibri" w:hAnsi="Calibri"/>
          <w:color w:val="231F20"/>
          <w:w w:val="105"/>
          <w:sz w:val="17"/>
        </w:rPr>
        <w:t>the</w:t>
      </w:r>
      <w:r>
        <w:rPr>
          <w:rFonts w:ascii="Calibri" w:hAnsi="Calibri"/>
          <w:color w:val="231F20"/>
          <w:spacing w:val="-18"/>
          <w:w w:val="105"/>
          <w:sz w:val="17"/>
        </w:rPr>
        <w:t> </w:t>
      </w:r>
      <w:r>
        <w:rPr>
          <w:rFonts w:ascii="Calibri" w:hAnsi="Calibri"/>
          <w:color w:val="231F20"/>
          <w:w w:val="105"/>
          <w:sz w:val="17"/>
        </w:rPr>
        <w:t>territorial</w:t>
      </w:r>
      <w:r>
        <w:rPr>
          <w:rFonts w:ascii="Calibri" w:hAnsi="Calibri"/>
          <w:color w:val="231F20"/>
          <w:spacing w:val="-18"/>
          <w:w w:val="105"/>
          <w:sz w:val="17"/>
        </w:rPr>
        <w:t> </w:t>
      </w:r>
      <w:r>
        <w:rPr>
          <w:rFonts w:ascii="Calibri" w:hAnsi="Calibri"/>
          <w:color w:val="231F20"/>
          <w:w w:val="105"/>
          <w:sz w:val="17"/>
        </w:rPr>
        <w:t>integrity</w:t>
      </w:r>
      <w:r>
        <w:rPr>
          <w:rFonts w:ascii="Calibri" w:hAnsi="Calibri"/>
          <w:color w:val="231F20"/>
          <w:spacing w:val="-18"/>
          <w:w w:val="105"/>
          <w:sz w:val="17"/>
        </w:rPr>
        <w:t> </w:t>
      </w:r>
      <w:r>
        <w:rPr>
          <w:rFonts w:ascii="Calibri" w:hAnsi="Calibri"/>
          <w:color w:val="231F20"/>
          <w:w w:val="105"/>
          <w:sz w:val="17"/>
        </w:rPr>
        <w:t>or</w:t>
      </w:r>
      <w:r>
        <w:rPr>
          <w:rFonts w:ascii="Calibri" w:hAnsi="Calibri"/>
          <w:color w:val="231F20"/>
          <w:spacing w:val="-18"/>
          <w:w w:val="105"/>
          <w:sz w:val="17"/>
        </w:rPr>
        <w:t> </w:t>
      </w:r>
      <w:r>
        <w:rPr>
          <w:rFonts w:ascii="Calibri" w:hAnsi="Calibri"/>
          <w:color w:val="231F20"/>
          <w:w w:val="105"/>
          <w:sz w:val="17"/>
        </w:rPr>
        <w:t>political</w:t>
      </w:r>
      <w:r>
        <w:rPr>
          <w:rFonts w:ascii="Calibri" w:hAnsi="Calibri"/>
          <w:color w:val="231F20"/>
          <w:spacing w:val="-18"/>
          <w:w w:val="105"/>
          <w:sz w:val="17"/>
        </w:rPr>
        <w:t> </w:t>
      </w:r>
      <w:r>
        <w:rPr>
          <w:rFonts w:ascii="Calibri" w:hAnsi="Calibri"/>
          <w:color w:val="231F20"/>
          <w:w w:val="105"/>
          <w:sz w:val="17"/>
        </w:rPr>
        <w:t>independence</w:t>
      </w:r>
      <w:r>
        <w:rPr>
          <w:rFonts w:ascii="Calibri" w:hAnsi="Calibri"/>
          <w:color w:val="231F20"/>
          <w:spacing w:val="-18"/>
          <w:w w:val="105"/>
          <w:sz w:val="17"/>
        </w:rPr>
        <w:t> </w:t>
      </w:r>
      <w:r>
        <w:rPr>
          <w:rFonts w:ascii="Calibri" w:hAnsi="Calibri"/>
          <w:color w:val="231F20"/>
          <w:w w:val="105"/>
          <w:sz w:val="17"/>
        </w:rPr>
        <w:t>of</w:t>
      </w:r>
      <w:r>
        <w:rPr>
          <w:rFonts w:ascii="Calibri" w:hAnsi="Calibri"/>
          <w:color w:val="231F20"/>
          <w:spacing w:val="-18"/>
          <w:w w:val="105"/>
          <w:sz w:val="17"/>
        </w:rPr>
        <w:t> </w:t>
      </w:r>
      <w:r>
        <w:rPr>
          <w:rFonts w:ascii="Calibri" w:hAnsi="Calibri"/>
          <w:color w:val="231F20"/>
          <w:w w:val="105"/>
          <w:sz w:val="17"/>
        </w:rPr>
        <w:t>any</w:t>
      </w:r>
      <w:r>
        <w:rPr>
          <w:rFonts w:ascii="Calibri" w:hAnsi="Calibri"/>
          <w:color w:val="231F20"/>
          <w:spacing w:val="-18"/>
          <w:w w:val="105"/>
          <w:sz w:val="17"/>
        </w:rPr>
        <w:t> </w:t>
      </w:r>
      <w:r>
        <w:rPr>
          <w:rFonts w:ascii="Calibri" w:hAnsi="Calibri"/>
          <w:color w:val="231F20"/>
          <w:w w:val="105"/>
          <w:sz w:val="17"/>
        </w:rPr>
        <w:t>state,</w:t>
      </w:r>
      <w:r>
        <w:rPr>
          <w:rFonts w:ascii="Calibri" w:hAnsi="Calibri"/>
          <w:color w:val="231F20"/>
          <w:spacing w:val="-18"/>
          <w:w w:val="105"/>
          <w:sz w:val="17"/>
        </w:rPr>
        <w:t> </w:t>
      </w:r>
      <w:r>
        <w:rPr>
          <w:rFonts w:ascii="Calibri" w:hAnsi="Calibri"/>
          <w:color w:val="231F20"/>
          <w:w w:val="105"/>
          <w:sz w:val="17"/>
        </w:rPr>
        <w:t>or</w:t>
      </w:r>
      <w:r>
        <w:rPr>
          <w:rFonts w:ascii="Calibri" w:hAnsi="Calibri"/>
          <w:color w:val="231F20"/>
          <w:spacing w:val="-18"/>
          <w:w w:val="105"/>
          <w:sz w:val="17"/>
        </w:rPr>
        <w:t> </w:t>
      </w:r>
      <w:r>
        <w:rPr>
          <w:rFonts w:ascii="Calibri" w:hAnsi="Calibri"/>
          <w:color w:val="231F20"/>
          <w:w w:val="105"/>
          <w:sz w:val="17"/>
        </w:rPr>
        <w:t>in</w:t>
      </w:r>
      <w:r>
        <w:rPr>
          <w:rFonts w:ascii="Calibri" w:hAnsi="Calibri"/>
          <w:color w:val="231F20"/>
          <w:spacing w:val="-18"/>
          <w:w w:val="105"/>
          <w:sz w:val="17"/>
        </w:rPr>
        <w:t> </w:t>
      </w:r>
      <w:r>
        <w:rPr>
          <w:rFonts w:ascii="Calibri" w:hAnsi="Calibri"/>
          <w:color w:val="231F20"/>
          <w:w w:val="105"/>
          <w:sz w:val="17"/>
        </w:rPr>
        <w:t>any</w:t>
      </w:r>
      <w:r>
        <w:rPr>
          <w:rFonts w:ascii="Calibri" w:hAnsi="Calibri"/>
          <w:color w:val="231F20"/>
          <w:spacing w:val="-18"/>
          <w:w w:val="105"/>
          <w:sz w:val="17"/>
        </w:rPr>
        <w:t> </w:t>
      </w:r>
      <w:r>
        <w:rPr>
          <w:rFonts w:ascii="Calibri" w:hAnsi="Calibri"/>
          <w:color w:val="231F20"/>
          <w:w w:val="105"/>
          <w:sz w:val="17"/>
        </w:rPr>
        <w:t>other manner</w:t>
      </w:r>
      <w:r>
        <w:rPr>
          <w:rFonts w:ascii="Calibri" w:hAnsi="Calibri"/>
          <w:color w:val="231F20"/>
          <w:spacing w:val="-15"/>
          <w:w w:val="105"/>
          <w:sz w:val="17"/>
        </w:rPr>
        <w:t> </w:t>
      </w:r>
      <w:r>
        <w:rPr>
          <w:rFonts w:ascii="Calibri" w:hAnsi="Calibri"/>
          <w:color w:val="231F20"/>
          <w:w w:val="105"/>
          <w:sz w:val="17"/>
        </w:rPr>
        <w:t>inconsistent</w:t>
      </w:r>
      <w:r>
        <w:rPr>
          <w:rFonts w:ascii="Calibri" w:hAnsi="Calibri"/>
          <w:color w:val="231F20"/>
          <w:spacing w:val="-17"/>
          <w:w w:val="105"/>
          <w:sz w:val="17"/>
        </w:rPr>
        <w:t> </w:t>
      </w:r>
      <w:r>
        <w:rPr>
          <w:rFonts w:ascii="Calibri" w:hAnsi="Calibri"/>
          <w:color w:val="231F20"/>
          <w:w w:val="105"/>
          <w:sz w:val="17"/>
        </w:rPr>
        <w:t>with</w:t>
      </w:r>
      <w:r>
        <w:rPr>
          <w:rFonts w:ascii="Calibri" w:hAnsi="Calibri"/>
          <w:color w:val="231F20"/>
          <w:spacing w:val="-15"/>
          <w:w w:val="105"/>
          <w:sz w:val="17"/>
        </w:rPr>
        <w:t> </w:t>
      </w:r>
      <w:r>
        <w:rPr>
          <w:rFonts w:ascii="Calibri" w:hAnsi="Calibri"/>
          <w:color w:val="231F20"/>
          <w:w w:val="105"/>
          <w:sz w:val="17"/>
        </w:rPr>
        <w:t>the</w:t>
      </w:r>
      <w:r>
        <w:rPr>
          <w:rFonts w:ascii="Calibri" w:hAnsi="Calibri"/>
          <w:color w:val="231F20"/>
          <w:spacing w:val="-15"/>
          <w:w w:val="105"/>
          <w:sz w:val="17"/>
        </w:rPr>
        <w:t> </w:t>
      </w:r>
      <w:r>
        <w:rPr>
          <w:rFonts w:ascii="Calibri" w:hAnsi="Calibri"/>
          <w:color w:val="231F20"/>
          <w:w w:val="105"/>
          <w:sz w:val="17"/>
        </w:rPr>
        <w:t>Purposes</w:t>
      </w:r>
      <w:r>
        <w:rPr>
          <w:rFonts w:ascii="Calibri" w:hAnsi="Calibri"/>
          <w:color w:val="231F20"/>
          <w:spacing w:val="-15"/>
          <w:w w:val="105"/>
          <w:sz w:val="17"/>
        </w:rPr>
        <w:t> </w:t>
      </w:r>
      <w:r>
        <w:rPr>
          <w:rFonts w:ascii="Calibri" w:hAnsi="Calibri"/>
          <w:color w:val="231F20"/>
          <w:w w:val="105"/>
          <w:sz w:val="17"/>
        </w:rPr>
        <w:t>of</w:t>
      </w:r>
      <w:r>
        <w:rPr>
          <w:rFonts w:ascii="Calibri" w:hAnsi="Calibri"/>
          <w:color w:val="231F20"/>
          <w:spacing w:val="-15"/>
          <w:w w:val="105"/>
          <w:sz w:val="17"/>
        </w:rPr>
        <w:t> </w:t>
      </w:r>
      <w:r>
        <w:rPr>
          <w:rFonts w:ascii="Calibri" w:hAnsi="Calibri"/>
          <w:color w:val="231F20"/>
          <w:w w:val="105"/>
          <w:sz w:val="17"/>
        </w:rPr>
        <w:t>the</w:t>
      </w:r>
      <w:r>
        <w:rPr>
          <w:rFonts w:ascii="Calibri" w:hAnsi="Calibri"/>
          <w:color w:val="231F20"/>
          <w:spacing w:val="-15"/>
          <w:w w:val="105"/>
          <w:sz w:val="17"/>
        </w:rPr>
        <w:t> </w:t>
      </w:r>
      <w:r>
        <w:rPr>
          <w:rFonts w:ascii="Calibri" w:hAnsi="Calibri"/>
          <w:color w:val="231F20"/>
          <w:w w:val="105"/>
          <w:sz w:val="17"/>
        </w:rPr>
        <w:t>United</w:t>
      </w:r>
      <w:r>
        <w:rPr>
          <w:rFonts w:ascii="Calibri" w:hAnsi="Calibri"/>
          <w:color w:val="231F20"/>
          <w:spacing w:val="-15"/>
          <w:w w:val="105"/>
          <w:sz w:val="17"/>
        </w:rPr>
        <w:t> </w:t>
      </w:r>
      <w:r>
        <w:rPr>
          <w:rFonts w:ascii="Calibri" w:hAnsi="Calibri"/>
          <w:color w:val="231F20"/>
          <w:w w:val="105"/>
          <w:sz w:val="17"/>
        </w:rPr>
        <w:t>Nations”.</w:t>
      </w:r>
    </w:p>
    <w:p>
      <w:pPr>
        <w:spacing w:line="204" w:lineRule="exact" w:before="0"/>
        <w:ind w:left="103" w:right="114" w:firstLine="0"/>
        <w:jc w:val="both"/>
        <w:rPr>
          <w:rFonts w:ascii="Calibri" w:hAnsi="Calibri"/>
          <w:sz w:val="17"/>
        </w:rPr>
      </w:pPr>
      <w:r>
        <w:rPr>
          <w:rFonts w:ascii="Calibri" w:hAnsi="Calibri"/>
          <w:color w:val="231F20"/>
          <w:w w:val="105"/>
          <w:position w:val="6"/>
          <w:sz w:val="10"/>
        </w:rPr>
        <w:t>7 </w:t>
      </w:r>
      <w:r>
        <w:rPr>
          <w:rFonts w:ascii="Calibri" w:hAnsi="Calibri"/>
          <w:i/>
          <w:color w:val="231F20"/>
          <w:w w:val="105"/>
          <w:sz w:val="17"/>
        </w:rPr>
        <w:t>Charter of United Nations</w:t>
      </w:r>
      <w:r>
        <w:rPr>
          <w:rFonts w:ascii="Calibri" w:hAnsi="Calibri"/>
          <w:color w:val="231F20"/>
          <w:w w:val="105"/>
          <w:sz w:val="17"/>
        </w:rPr>
        <w:t>, Art. 39: “The Security Council shall determine the existence of any threat</w:t>
      </w:r>
      <w:r>
        <w:rPr>
          <w:rFonts w:ascii="Calibri" w:hAnsi="Calibri"/>
          <w:color w:val="231F20"/>
          <w:spacing w:val="-16"/>
          <w:w w:val="105"/>
          <w:sz w:val="17"/>
        </w:rPr>
        <w:t> </w:t>
      </w:r>
      <w:r>
        <w:rPr>
          <w:rFonts w:ascii="Calibri" w:hAnsi="Calibri"/>
          <w:color w:val="231F20"/>
          <w:w w:val="105"/>
          <w:sz w:val="17"/>
        </w:rPr>
        <w:t>to</w:t>
      </w:r>
      <w:r>
        <w:rPr>
          <w:rFonts w:ascii="Calibri" w:hAnsi="Calibri"/>
          <w:color w:val="231F20"/>
          <w:spacing w:val="-16"/>
          <w:w w:val="105"/>
          <w:sz w:val="17"/>
        </w:rPr>
        <w:t> </w:t>
      </w:r>
      <w:r>
        <w:rPr>
          <w:rFonts w:ascii="Calibri" w:hAnsi="Calibri"/>
          <w:color w:val="231F20"/>
          <w:w w:val="105"/>
          <w:sz w:val="17"/>
        </w:rPr>
        <w:t>the</w:t>
      </w:r>
      <w:r>
        <w:rPr>
          <w:rFonts w:ascii="Calibri" w:hAnsi="Calibri"/>
          <w:color w:val="231F20"/>
          <w:spacing w:val="-16"/>
          <w:w w:val="105"/>
          <w:sz w:val="17"/>
        </w:rPr>
        <w:t> </w:t>
      </w:r>
      <w:r>
        <w:rPr>
          <w:rFonts w:ascii="Calibri" w:hAnsi="Calibri"/>
          <w:color w:val="231F20"/>
          <w:w w:val="105"/>
          <w:sz w:val="17"/>
        </w:rPr>
        <w:t>peace,</w:t>
      </w:r>
      <w:r>
        <w:rPr>
          <w:rFonts w:ascii="Calibri" w:hAnsi="Calibri"/>
          <w:color w:val="231F20"/>
          <w:spacing w:val="-16"/>
          <w:w w:val="105"/>
          <w:sz w:val="17"/>
        </w:rPr>
        <w:t> </w:t>
      </w:r>
      <w:r>
        <w:rPr>
          <w:rFonts w:ascii="Calibri" w:hAnsi="Calibri"/>
          <w:color w:val="231F20"/>
          <w:w w:val="105"/>
          <w:sz w:val="17"/>
        </w:rPr>
        <w:t>breach</w:t>
      </w:r>
      <w:r>
        <w:rPr>
          <w:rFonts w:ascii="Calibri" w:hAnsi="Calibri"/>
          <w:color w:val="231F20"/>
          <w:spacing w:val="-16"/>
          <w:w w:val="105"/>
          <w:sz w:val="17"/>
        </w:rPr>
        <w:t> </w:t>
      </w:r>
      <w:r>
        <w:rPr>
          <w:rFonts w:ascii="Calibri" w:hAnsi="Calibri"/>
          <w:color w:val="231F20"/>
          <w:w w:val="105"/>
          <w:sz w:val="17"/>
        </w:rPr>
        <w:t>of</w:t>
      </w:r>
      <w:r>
        <w:rPr>
          <w:rFonts w:ascii="Calibri" w:hAnsi="Calibri"/>
          <w:color w:val="231F20"/>
          <w:spacing w:val="-16"/>
          <w:w w:val="105"/>
          <w:sz w:val="17"/>
        </w:rPr>
        <w:t> </w:t>
      </w:r>
      <w:r>
        <w:rPr>
          <w:rFonts w:ascii="Calibri" w:hAnsi="Calibri"/>
          <w:color w:val="231F20"/>
          <w:w w:val="105"/>
          <w:sz w:val="17"/>
        </w:rPr>
        <w:t>the</w:t>
      </w:r>
      <w:r>
        <w:rPr>
          <w:rFonts w:ascii="Calibri" w:hAnsi="Calibri"/>
          <w:color w:val="231F20"/>
          <w:spacing w:val="-16"/>
          <w:w w:val="105"/>
          <w:sz w:val="17"/>
        </w:rPr>
        <w:t> </w:t>
      </w:r>
      <w:r>
        <w:rPr>
          <w:rFonts w:ascii="Calibri" w:hAnsi="Calibri"/>
          <w:color w:val="231F20"/>
          <w:w w:val="105"/>
          <w:sz w:val="17"/>
        </w:rPr>
        <w:t>peace,</w:t>
      </w:r>
      <w:r>
        <w:rPr>
          <w:rFonts w:ascii="Calibri" w:hAnsi="Calibri"/>
          <w:color w:val="231F20"/>
          <w:spacing w:val="-16"/>
          <w:w w:val="105"/>
          <w:sz w:val="17"/>
        </w:rPr>
        <w:t> </w:t>
      </w:r>
      <w:r>
        <w:rPr>
          <w:rFonts w:ascii="Calibri" w:hAnsi="Calibri"/>
          <w:color w:val="231F20"/>
          <w:w w:val="105"/>
          <w:sz w:val="17"/>
        </w:rPr>
        <w:t>or</w:t>
      </w:r>
      <w:r>
        <w:rPr>
          <w:rFonts w:ascii="Calibri" w:hAnsi="Calibri"/>
          <w:color w:val="231F20"/>
          <w:spacing w:val="-16"/>
          <w:w w:val="105"/>
          <w:sz w:val="17"/>
        </w:rPr>
        <w:t> </w:t>
      </w:r>
      <w:r>
        <w:rPr>
          <w:rFonts w:ascii="Calibri" w:hAnsi="Calibri"/>
          <w:color w:val="231F20"/>
          <w:w w:val="105"/>
          <w:sz w:val="17"/>
        </w:rPr>
        <w:t>act</w:t>
      </w:r>
      <w:r>
        <w:rPr>
          <w:rFonts w:ascii="Calibri" w:hAnsi="Calibri"/>
          <w:color w:val="231F20"/>
          <w:spacing w:val="-16"/>
          <w:w w:val="105"/>
          <w:sz w:val="17"/>
        </w:rPr>
        <w:t> </w:t>
      </w:r>
      <w:r>
        <w:rPr>
          <w:rFonts w:ascii="Calibri" w:hAnsi="Calibri"/>
          <w:color w:val="231F20"/>
          <w:w w:val="105"/>
          <w:sz w:val="17"/>
        </w:rPr>
        <w:t>of</w:t>
      </w:r>
      <w:r>
        <w:rPr>
          <w:rFonts w:ascii="Calibri" w:hAnsi="Calibri"/>
          <w:color w:val="231F20"/>
          <w:spacing w:val="-16"/>
          <w:w w:val="105"/>
          <w:sz w:val="17"/>
        </w:rPr>
        <w:t> </w:t>
      </w:r>
      <w:r>
        <w:rPr>
          <w:rFonts w:ascii="Calibri" w:hAnsi="Calibri"/>
          <w:color w:val="231F20"/>
          <w:w w:val="105"/>
          <w:sz w:val="17"/>
        </w:rPr>
        <w:t>aggression</w:t>
      </w:r>
      <w:r>
        <w:rPr>
          <w:rFonts w:ascii="Calibri" w:hAnsi="Calibri"/>
          <w:color w:val="231F20"/>
          <w:spacing w:val="-16"/>
          <w:w w:val="105"/>
          <w:sz w:val="17"/>
        </w:rPr>
        <w:t> </w:t>
      </w:r>
      <w:r>
        <w:rPr>
          <w:rFonts w:ascii="Calibri" w:hAnsi="Calibri"/>
          <w:color w:val="231F20"/>
          <w:w w:val="105"/>
          <w:sz w:val="17"/>
        </w:rPr>
        <w:t>and</w:t>
      </w:r>
      <w:r>
        <w:rPr>
          <w:rFonts w:ascii="Calibri" w:hAnsi="Calibri"/>
          <w:color w:val="231F20"/>
          <w:spacing w:val="-16"/>
          <w:w w:val="105"/>
          <w:sz w:val="17"/>
        </w:rPr>
        <w:t> </w:t>
      </w:r>
      <w:r>
        <w:rPr>
          <w:rFonts w:ascii="Calibri" w:hAnsi="Calibri"/>
          <w:color w:val="231F20"/>
          <w:w w:val="105"/>
          <w:sz w:val="17"/>
        </w:rPr>
        <w:t>shall</w:t>
      </w:r>
      <w:r>
        <w:rPr>
          <w:rFonts w:ascii="Calibri" w:hAnsi="Calibri"/>
          <w:color w:val="231F20"/>
          <w:spacing w:val="-16"/>
          <w:w w:val="105"/>
          <w:sz w:val="17"/>
        </w:rPr>
        <w:t> </w:t>
      </w:r>
      <w:r>
        <w:rPr>
          <w:rFonts w:ascii="Calibri" w:hAnsi="Calibri"/>
          <w:color w:val="231F20"/>
          <w:w w:val="105"/>
          <w:sz w:val="17"/>
        </w:rPr>
        <w:t>make</w:t>
      </w:r>
      <w:r>
        <w:rPr>
          <w:rFonts w:ascii="Calibri" w:hAnsi="Calibri"/>
          <w:color w:val="231F20"/>
          <w:spacing w:val="-16"/>
          <w:w w:val="105"/>
          <w:sz w:val="17"/>
        </w:rPr>
        <w:t> </w:t>
      </w:r>
      <w:r>
        <w:rPr>
          <w:rFonts w:ascii="Calibri" w:hAnsi="Calibri"/>
          <w:color w:val="231F20"/>
          <w:w w:val="105"/>
          <w:sz w:val="17"/>
        </w:rPr>
        <w:t>recommendations,</w:t>
      </w:r>
      <w:r>
        <w:rPr>
          <w:rFonts w:ascii="Calibri" w:hAnsi="Calibri"/>
          <w:color w:val="231F20"/>
          <w:spacing w:val="-16"/>
          <w:w w:val="105"/>
          <w:sz w:val="17"/>
        </w:rPr>
        <w:t> </w:t>
      </w:r>
      <w:r>
        <w:rPr>
          <w:rFonts w:ascii="Calibri" w:hAnsi="Calibri"/>
          <w:color w:val="231F20"/>
          <w:w w:val="105"/>
          <w:sz w:val="17"/>
        </w:rPr>
        <w:t>or decide</w:t>
      </w:r>
      <w:r>
        <w:rPr>
          <w:rFonts w:ascii="Calibri" w:hAnsi="Calibri"/>
          <w:color w:val="231F20"/>
          <w:spacing w:val="-14"/>
          <w:w w:val="105"/>
          <w:sz w:val="17"/>
        </w:rPr>
        <w:t> </w:t>
      </w:r>
      <w:r>
        <w:rPr>
          <w:rFonts w:ascii="Calibri" w:hAnsi="Calibri"/>
          <w:color w:val="231F20"/>
          <w:w w:val="105"/>
          <w:sz w:val="17"/>
        </w:rPr>
        <w:t>what</w:t>
      </w:r>
      <w:r>
        <w:rPr>
          <w:rFonts w:ascii="Calibri" w:hAnsi="Calibri"/>
          <w:color w:val="231F20"/>
          <w:spacing w:val="-12"/>
          <w:w w:val="105"/>
          <w:sz w:val="17"/>
        </w:rPr>
        <w:t> </w:t>
      </w:r>
      <w:r>
        <w:rPr>
          <w:rFonts w:ascii="Calibri" w:hAnsi="Calibri"/>
          <w:color w:val="231F20"/>
          <w:w w:val="105"/>
          <w:sz w:val="17"/>
        </w:rPr>
        <w:t>measures</w:t>
      </w:r>
      <w:r>
        <w:rPr>
          <w:rFonts w:ascii="Calibri" w:hAnsi="Calibri"/>
          <w:color w:val="231F20"/>
          <w:spacing w:val="-12"/>
          <w:w w:val="105"/>
          <w:sz w:val="17"/>
        </w:rPr>
        <w:t> </w:t>
      </w:r>
      <w:r>
        <w:rPr>
          <w:rFonts w:ascii="Calibri" w:hAnsi="Calibri"/>
          <w:color w:val="231F20"/>
          <w:w w:val="105"/>
          <w:sz w:val="17"/>
        </w:rPr>
        <w:t>shall</w:t>
      </w:r>
      <w:r>
        <w:rPr>
          <w:rFonts w:ascii="Calibri" w:hAnsi="Calibri"/>
          <w:color w:val="231F20"/>
          <w:spacing w:val="-12"/>
          <w:w w:val="105"/>
          <w:sz w:val="17"/>
        </w:rPr>
        <w:t> </w:t>
      </w:r>
      <w:r>
        <w:rPr>
          <w:rFonts w:ascii="Calibri" w:hAnsi="Calibri"/>
          <w:color w:val="231F20"/>
          <w:w w:val="105"/>
          <w:sz w:val="17"/>
        </w:rPr>
        <w:t>be</w:t>
      </w:r>
      <w:r>
        <w:rPr>
          <w:rFonts w:ascii="Calibri" w:hAnsi="Calibri"/>
          <w:color w:val="231F20"/>
          <w:spacing w:val="-12"/>
          <w:w w:val="105"/>
          <w:sz w:val="17"/>
        </w:rPr>
        <w:t> </w:t>
      </w:r>
      <w:r>
        <w:rPr>
          <w:rFonts w:ascii="Calibri" w:hAnsi="Calibri"/>
          <w:color w:val="231F20"/>
          <w:w w:val="105"/>
          <w:sz w:val="17"/>
        </w:rPr>
        <w:t>taken</w:t>
      </w:r>
      <w:r>
        <w:rPr>
          <w:rFonts w:ascii="Calibri" w:hAnsi="Calibri"/>
          <w:color w:val="231F20"/>
          <w:spacing w:val="-12"/>
          <w:w w:val="105"/>
          <w:sz w:val="17"/>
        </w:rPr>
        <w:t> </w:t>
      </w:r>
      <w:r>
        <w:rPr>
          <w:rFonts w:ascii="Calibri" w:hAnsi="Calibri"/>
          <w:color w:val="231F20"/>
          <w:w w:val="105"/>
          <w:sz w:val="17"/>
        </w:rPr>
        <w:t>in</w:t>
      </w:r>
      <w:r>
        <w:rPr>
          <w:rFonts w:ascii="Calibri" w:hAnsi="Calibri"/>
          <w:color w:val="231F20"/>
          <w:spacing w:val="-12"/>
          <w:w w:val="105"/>
          <w:sz w:val="17"/>
        </w:rPr>
        <w:t> </w:t>
      </w:r>
      <w:r>
        <w:rPr>
          <w:rFonts w:ascii="Calibri" w:hAnsi="Calibri"/>
          <w:color w:val="231F20"/>
          <w:w w:val="105"/>
          <w:sz w:val="17"/>
        </w:rPr>
        <w:t>accordance</w:t>
      </w:r>
      <w:r>
        <w:rPr>
          <w:rFonts w:ascii="Calibri" w:hAnsi="Calibri"/>
          <w:color w:val="231F20"/>
          <w:spacing w:val="-14"/>
          <w:w w:val="105"/>
          <w:sz w:val="17"/>
        </w:rPr>
        <w:t> </w:t>
      </w:r>
      <w:r>
        <w:rPr>
          <w:rFonts w:ascii="Calibri" w:hAnsi="Calibri"/>
          <w:color w:val="231F20"/>
          <w:w w:val="105"/>
          <w:sz w:val="17"/>
        </w:rPr>
        <w:t>with</w:t>
      </w:r>
      <w:r>
        <w:rPr>
          <w:rFonts w:ascii="Calibri" w:hAnsi="Calibri"/>
          <w:color w:val="231F20"/>
          <w:spacing w:val="-12"/>
          <w:w w:val="105"/>
          <w:sz w:val="17"/>
        </w:rPr>
        <w:t> </w:t>
      </w:r>
      <w:r>
        <w:rPr>
          <w:rFonts w:ascii="Calibri" w:hAnsi="Calibri"/>
          <w:color w:val="231F20"/>
          <w:w w:val="105"/>
          <w:sz w:val="17"/>
        </w:rPr>
        <w:t>Articles</w:t>
      </w:r>
      <w:r>
        <w:rPr>
          <w:rFonts w:ascii="Calibri" w:hAnsi="Calibri"/>
          <w:color w:val="231F20"/>
          <w:spacing w:val="-12"/>
          <w:w w:val="105"/>
          <w:sz w:val="17"/>
        </w:rPr>
        <w:t> </w:t>
      </w:r>
      <w:r>
        <w:rPr>
          <w:rFonts w:ascii="Calibri" w:hAnsi="Calibri"/>
          <w:color w:val="231F20"/>
          <w:w w:val="105"/>
          <w:sz w:val="17"/>
        </w:rPr>
        <w:t>41</w:t>
      </w:r>
      <w:r>
        <w:rPr>
          <w:rFonts w:ascii="Calibri" w:hAnsi="Calibri"/>
          <w:color w:val="231F20"/>
          <w:spacing w:val="-12"/>
          <w:w w:val="105"/>
          <w:sz w:val="17"/>
        </w:rPr>
        <w:t> </w:t>
      </w:r>
      <w:r>
        <w:rPr>
          <w:rFonts w:ascii="Calibri" w:hAnsi="Calibri"/>
          <w:color w:val="231F20"/>
          <w:w w:val="105"/>
          <w:sz w:val="17"/>
        </w:rPr>
        <w:t>and</w:t>
      </w:r>
      <w:r>
        <w:rPr>
          <w:rFonts w:ascii="Calibri" w:hAnsi="Calibri"/>
          <w:color w:val="231F20"/>
          <w:spacing w:val="-12"/>
          <w:w w:val="105"/>
          <w:sz w:val="17"/>
        </w:rPr>
        <w:t> </w:t>
      </w:r>
      <w:r>
        <w:rPr>
          <w:rFonts w:ascii="Calibri" w:hAnsi="Calibri"/>
          <w:color w:val="231F20"/>
          <w:w w:val="105"/>
          <w:sz w:val="17"/>
        </w:rPr>
        <w:t>42,</w:t>
      </w:r>
      <w:r>
        <w:rPr>
          <w:rFonts w:ascii="Calibri" w:hAnsi="Calibri"/>
          <w:color w:val="231F20"/>
          <w:spacing w:val="-12"/>
          <w:w w:val="105"/>
          <w:sz w:val="17"/>
        </w:rPr>
        <w:t> </w:t>
      </w:r>
      <w:r>
        <w:rPr>
          <w:rFonts w:ascii="Calibri" w:hAnsi="Calibri"/>
          <w:color w:val="231F20"/>
          <w:w w:val="105"/>
          <w:sz w:val="17"/>
        </w:rPr>
        <w:t>to</w:t>
      </w:r>
      <w:r>
        <w:rPr>
          <w:rFonts w:ascii="Calibri" w:hAnsi="Calibri"/>
          <w:color w:val="231F20"/>
          <w:spacing w:val="-12"/>
          <w:w w:val="105"/>
          <w:sz w:val="17"/>
        </w:rPr>
        <w:t> </w:t>
      </w:r>
      <w:r>
        <w:rPr>
          <w:rFonts w:ascii="Calibri" w:hAnsi="Calibri"/>
          <w:color w:val="231F20"/>
          <w:w w:val="105"/>
          <w:sz w:val="17"/>
        </w:rPr>
        <w:t>maintain</w:t>
      </w:r>
      <w:r>
        <w:rPr>
          <w:rFonts w:ascii="Calibri" w:hAnsi="Calibri"/>
          <w:color w:val="231F20"/>
          <w:spacing w:val="-12"/>
          <w:w w:val="105"/>
          <w:sz w:val="17"/>
        </w:rPr>
        <w:t> </w:t>
      </w:r>
      <w:r>
        <w:rPr>
          <w:rFonts w:ascii="Calibri" w:hAnsi="Calibri"/>
          <w:color w:val="231F20"/>
          <w:w w:val="105"/>
          <w:sz w:val="17"/>
        </w:rPr>
        <w:t>or</w:t>
      </w:r>
      <w:r>
        <w:rPr>
          <w:rFonts w:ascii="Calibri" w:hAnsi="Calibri"/>
          <w:color w:val="231F20"/>
          <w:spacing w:val="-12"/>
          <w:w w:val="105"/>
          <w:sz w:val="17"/>
        </w:rPr>
        <w:t> </w:t>
      </w:r>
      <w:r>
        <w:rPr>
          <w:rFonts w:ascii="Calibri" w:hAnsi="Calibri"/>
          <w:color w:val="231F20"/>
          <w:w w:val="105"/>
          <w:sz w:val="17"/>
        </w:rPr>
        <w:t>restore international peace and security”. Art. 41 “ The Security Council may decide what measures</w:t>
      </w:r>
      <w:r>
        <w:rPr>
          <w:rFonts w:ascii="Calibri" w:hAnsi="Calibri"/>
          <w:color w:val="231F20"/>
          <w:spacing w:val="-10"/>
          <w:w w:val="105"/>
          <w:sz w:val="17"/>
        </w:rPr>
        <w:t> </w:t>
      </w:r>
      <w:r>
        <w:rPr>
          <w:rFonts w:ascii="Calibri" w:hAnsi="Calibri"/>
          <w:color w:val="231F20"/>
          <w:w w:val="105"/>
          <w:sz w:val="17"/>
        </w:rPr>
        <w:t>not involving</w:t>
      </w:r>
      <w:r>
        <w:rPr>
          <w:rFonts w:ascii="Calibri" w:hAnsi="Calibri"/>
          <w:color w:val="231F20"/>
          <w:spacing w:val="-7"/>
          <w:w w:val="105"/>
          <w:sz w:val="17"/>
        </w:rPr>
        <w:t> </w:t>
      </w:r>
      <w:r>
        <w:rPr>
          <w:rFonts w:ascii="Calibri" w:hAnsi="Calibri"/>
          <w:color w:val="231F20"/>
          <w:w w:val="105"/>
          <w:sz w:val="17"/>
        </w:rPr>
        <w:t>the</w:t>
      </w:r>
      <w:r>
        <w:rPr>
          <w:rFonts w:ascii="Calibri" w:hAnsi="Calibri"/>
          <w:color w:val="231F20"/>
          <w:spacing w:val="-7"/>
          <w:w w:val="105"/>
          <w:sz w:val="17"/>
        </w:rPr>
        <w:t> </w:t>
      </w:r>
      <w:r>
        <w:rPr>
          <w:rFonts w:ascii="Calibri" w:hAnsi="Calibri"/>
          <w:color w:val="231F20"/>
          <w:w w:val="105"/>
          <w:sz w:val="17"/>
        </w:rPr>
        <w:t>use</w:t>
      </w:r>
      <w:r>
        <w:rPr>
          <w:rFonts w:ascii="Calibri" w:hAnsi="Calibri"/>
          <w:color w:val="231F20"/>
          <w:spacing w:val="-7"/>
          <w:w w:val="105"/>
          <w:sz w:val="17"/>
        </w:rPr>
        <w:t> </w:t>
      </w:r>
      <w:r>
        <w:rPr>
          <w:rFonts w:ascii="Calibri" w:hAnsi="Calibri"/>
          <w:color w:val="231F20"/>
          <w:w w:val="105"/>
          <w:sz w:val="17"/>
        </w:rPr>
        <w:t>of</w:t>
      </w:r>
      <w:r>
        <w:rPr>
          <w:rFonts w:ascii="Calibri" w:hAnsi="Calibri"/>
          <w:color w:val="231F20"/>
          <w:spacing w:val="-7"/>
          <w:w w:val="105"/>
          <w:sz w:val="17"/>
        </w:rPr>
        <w:t> </w:t>
      </w:r>
      <w:r>
        <w:rPr>
          <w:rFonts w:ascii="Calibri" w:hAnsi="Calibri"/>
          <w:color w:val="231F20"/>
          <w:w w:val="105"/>
          <w:sz w:val="17"/>
        </w:rPr>
        <w:t>armed</w:t>
      </w:r>
      <w:r>
        <w:rPr>
          <w:rFonts w:ascii="Calibri" w:hAnsi="Calibri"/>
          <w:color w:val="231F20"/>
          <w:spacing w:val="-7"/>
          <w:w w:val="105"/>
          <w:sz w:val="17"/>
        </w:rPr>
        <w:t> </w:t>
      </w:r>
      <w:r>
        <w:rPr>
          <w:rFonts w:ascii="Calibri" w:hAnsi="Calibri"/>
          <w:color w:val="231F20"/>
          <w:w w:val="105"/>
          <w:sz w:val="17"/>
        </w:rPr>
        <w:t>force</w:t>
      </w:r>
      <w:r>
        <w:rPr>
          <w:rFonts w:ascii="Calibri" w:hAnsi="Calibri"/>
          <w:color w:val="231F20"/>
          <w:spacing w:val="-7"/>
          <w:w w:val="105"/>
          <w:sz w:val="17"/>
        </w:rPr>
        <w:t> </w:t>
      </w:r>
      <w:r>
        <w:rPr>
          <w:rFonts w:ascii="Calibri" w:hAnsi="Calibri"/>
          <w:color w:val="231F20"/>
          <w:w w:val="105"/>
          <w:sz w:val="17"/>
        </w:rPr>
        <w:t>are</w:t>
      </w:r>
      <w:r>
        <w:rPr>
          <w:rFonts w:ascii="Calibri" w:hAnsi="Calibri"/>
          <w:color w:val="231F20"/>
          <w:spacing w:val="-7"/>
          <w:w w:val="105"/>
          <w:sz w:val="17"/>
        </w:rPr>
        <w:t> </w:t>
      </w:r>
      <w:r>
        <w:rPr>
          <w:rFonts w:ascii="Calibri" w:hAnsi="Calibri"/>
          <w:color w:val="231F20"/>
          <w:w w:val="105"/>
          <w:sz w:val="17"/>
        </w:rPr>
        <w:t>to</w:t>
      </w:r>
      <w:r>
        <w:rPr>
          <w:rFonts w:ascii="Calibri" w:hAnsi="Calibri"/>
          <w:color w:val="231F20"/>
          <w:spacing w:val="-7"/>
          <w:w w:val="105"/>
          <w:sz w:val="17"/>
        </w:rPr>
        <w:t> </w:t>
      </w:r>
      <w:r>
        <w:rPr>
          <w:rFonts w:ascii="Calibri" w:hAnsi="Calibri"/>
          <w:color w:val="231F20"/>
          <w:w w:val="105"/>
          <w:sz w:val="17"/>
        </w:rPr>
        <w:t>be</w:t>
      </w:r>
      <w:r>
        <w:rPr>
          <w:rFonts w:ascii="Calibri" w:hAnsi="Calibri"/>
          <w:color w:val="231F20"/>
          <w:spacing w:val="-7"/>
          <w:w w:val="105"/>
          <w:sz w:val="17"/>
        </w:rPr>
        <w:t> </w:t>
      </w:r>
      <w:r>
        <w:rPr>
          <w:rFonts w:ascii="Calibri" w:hAnsi="Calibri"/>
          <w:color w:val="231F20"/>
          <w:w w:val="105"/>
          <w:sz w:val="17"/>
        </w:rPr>
        <w:t>employed</w:t>
      </w:r>
      <w:r>
        <w:rPr>
          <w:rFonts w:ascii="Calibri" w:hAnsi="Calibri"/>
          <w:color w:val="231F20"/>
          <w:spacing w:val="-7"/>
          <w:w w:val="105"/>
          <w:sz w:val="17"/>
        </w:rPr>
        <w:t> </w:t>
      </w:r>
      <w:r>
        <w:rPr>
          <w:rFonts w:ascii="Calibri" w:hAnsi="Calibri"/>
          <w:color w:val="231F20"/>
          <w:w w:val="105"/>
          <w:sz w:val="17"/>
        </w:rPr>
        <w:t>to</w:t>
      </w:r>
      <w:r>
        <w:rPr>
          <w:rFonts w:ascii="Calibri" w:hAnsi="Calibri"/>
          <w:color w:val="231F20"/>
          <w:spacing w:val="-7"/>
          <w:w w:val="105"/>
          <w:sz w:val="17"/>
        </w:rPr>
        <w:t> </w:t>
      </w:r>
      <w:r>
        <w:rPr>
          <w:rFonts w:ascii="Calibri" w:hAnsi="Calibri"/>
          <w:color w:val="231F20"/>
          <w:w w:val="105"/>
          <w:sz w:val="17"/>
        </w:rPr>
        <w:t>give</w:t>
      </w:r>
      <w:r>
        <w:rPr>
          <w:rFonts w:ascii="Calibri" w:hAnsi="Calibri"/>
          <w:color w:val="231F20"/>
          <w:spacing w:val="-7"/>
          <w:w w:val="105"/>
          <w:sz w:val="17"/>
        </w:rPr>
        <w:t> </w:t>
      </w:r>
      <w:r>
        <w:rPr>
          <w:rFonts w:ascii="Calibri" w:hAnsi="Calibri"/>
          <w:color w:val="231F20"/>
          <w:w w:val="105"/>
          <w:sz w:val="17"/>
        </w:rPr>
        <w:t>effect</w:t>
      </w:r>
      <w:r>
        <w:rPr>
          <w:rFonts w:ascii="Calibri" w:hAnsi="Calibri"/>
          <w:color w:val="231F20"/>
          <w:spacing w:val="-7"/>
          <w:w w:val="105"/>
          <w:sz w:val="17"/>
        </w:rPr>
        <w:t> </w:t>
      </w:r>
      <w:r>
        <w:rPr>
          <w:rFonts w:ascii="Calibri" w:hAnsi="Calibri"/>
          <w:color w:val="231F20"/>
          <w:w w:val="105"/>
          <w:sz w:val="17"/>
        </w:rPr>
        <w:t>to</w:t>
      </w:r>
      <w:r>
        <w:rPr>
          <w:rFonts w:ascii="Calibri" w:hAnsi="Calibri"/>
          <w:color w:val="231F20"/>
          <w:spacing w:val="-7"/>
          <w:w w:val="105"/>
          <w:sz w:val="17"/>
        </w:rPr>
        <w:t> </w:t>
      </w:r>
      <w:r>
        <w:rPr>
          <w:rFonts w:ascii="Calibri" w:hAnsi="Calibri"/>
          <w:color w:val="231F20"/>
          <w:w w:val="105"/>
          <w:sz w:val="17"/>
        </w:rPr>
        <w:t>its</w:t>
      </w:r>
      <w:r>
        <w:rPr>
          <w:rFonts w:ascii="Calibri" w:hAnsi="Calibri"/>
          <w:color w:val="231F20"/>
          <w:spacing w:val="-7"/>
          <w:w w:val="105"/>
          <w:sz w:val="17"/>
        </w:rPr>
        <w:t> </w:t>
      </w:r>
      <w:r>
        <w:rPr>
          <w:rFonts w:ascii="Calibri" w:hAnsi="Calibri"/>
          <w:color w:val="231F20"/>
          <w:w w:val="105"/>
          <w:sz w:val="17"/>
        </w:rPr>
        <w:t>decisions,</w:t>
      </w:r>
      <w:r>
        <w:rPr>
          <w:rFonts w:ascii="Calibri" w:hAnsi="Calibri"/>
          <w:color w:val="231F20"/>
          <w:spacing w:val="-7"/>
          <w:w w:val="105"/>
          <w:sz w:val="17"/>
        </w:rPr>
        <w:t> </w:t>
      </w:r>
      <w:r>
        <w:rPr>
          <w:rFonts w:ascii="Calibri" w:hAnsi="Calibri"/>
          <w:color w:val="231F20"/>
          <w:w w:val="105"/>
          <w:sz w:val="17"/>
        </w:rPr>
        <w:t>and</w:t>
      </w:r>
      <w:r>
        <w:rPr>
          <w:rFonts w:ascii="Calibri" w:hAnsi="Calibri"/>
          <w:color w:val="231F20"/>
          <w:spacing w:val="-7"/>
          <w:w w:val="105"/>
          <w:sz w:val="17"/>
        </w:rPr>
        <w:t> </w:t>
      </w:r>
      <w:r>
        <w:rPr>
          <w:rFonts w:ascii="Calibri" w:hAnsi="Calibri"/>
          <w:color w:val="231F20"/>
          <w:w w:val="105"/>
          <w:sz w:val="17"/>
        </w:rPr>
        <w:t>it</w:t>
      </w:r>
      <w:r>
        <w:rPr>
          <w:rFonts w:ascii="Calibri" w:hAnsi="Calibri"/>
          <w:color w:val="231F20"/>
          <w:spacing w:val="-7"/>
          <w:w w:val="105"/>
          <w:sz w:val="17"/>
        </w:rPr>
        <w:t> </w:t>
      </w:r>
      <w:r>
        <w:rPr>
          <w:rFonts w:ascii="Calibri" w:hAnsi="Calibri"/>
          <w:color w:val="231F20"/>
          <w:w w:val="105"/>
          <w:sz w:val="17"/>
        </w:rPr>
        <w:t>may</w:t>
      </w:r>
      <w:r>
        <w:rPr>
          <w:rFonts w:ascii="Calibri" w:hAnsi="Calibri"/>
          <w:color w:val="231F20"/>
          <w:spacing w:val="-7"/>
          <w:w w:val="105"/>
          <w:sz w:val="17"/>
        </w:rPr>
        <w:t> </w:t>
      </w:r>
      <w:r>
        <w:rPr>
          <w:rFonts w:ascii="Calibri" w:hAnsi="Calibri"/>
          <w:color w:val="231F20"/>
          <w:w w:val="105"/>
          <w:sz w:val="17"/>
        </w:rPr>
        <w:t>call upon the Members of the United Nations to apply such measures. These may include complete or partial interruption of economic relations and of rail, sea, </w:t>
      </w:r>
      <w:r>
        <w:rPr>
          <w:rFonts w:ascii="Calibri" w:hAnsi="Calibri"/>
          <w:color w:val="231F20"/>
          <w:spacing w:val="-3"/>
          <w:w w:val="105"/>
          <w:sz w:val="17"/>
        </w:rPr>
        <w:t>air, </w:t>
      </w:r>
      <w:r>
        <w:rPr>
          <w:rFonts w:ascii="Calibri" w:hAnsi="Calibri"/>
          <w:color w:val="231F20"/>
          <w:w w:val="105"/>
          <w:sz w:val="17"/>
        </w:rPr>
        <w:t>postal, telegraphic, radio, and other</w:t>
      </w:r>
      <w:r>
        <w:rPr>
          <w:rFonts w:ascii="Calibri" w:hAnsi="Calibri"/>
          <w:color w:val="231F20"/>
          <w:spacing w:val="-14"/>
          <w:w w:val="105"/>
          <w:sz w:val="17"/>
        </w:rPr>
        <w:t> </w:t>
      </w:r>
      <w:r>
        <w:rPr>
          <w:rFonts w:ascii="Calibri" w:hAnsi="Calibri"/>
          <w:color w:val="231F20"/>
          <w:w w:val="105"/>
          <w:sz w:val="17"/>
        </w:rPr>
        <w:t>means</w:t>
      </w:r>
      <w:r>
        <w:rPr>
          <w:rFonts w:ascii="Calibri" w:hAnsi="Calibri"/>
          <w:color w:val="231F20"/>
          <w:spacing w:val="-14"/>
          <w:w w:val="105"/>
          <w:sz w:val="17"/>
        </w:rPr>
        <w:t> </w:t>
      </w:r>
      <w:r>
        <w:rPr>
          <w:rFonts w:ascii="Calibri" w:hAnsi="Calibri"/>
          <w:color w:val="231F20"/>
          <w:w w:val="105"/>
          <w:sz w:val="17"/>
        </w:rPr>
        <w:t>of</w:t>
      </w:r>
      <w:r>
        <w:rPr>
          <w:rFonts w:ascii="Calibri" w:hAnsi="Calibri"/>
          <w:color w:val="231F20"/>
          <w:spacing w:val="-14"/>
          <w:w w:val="105"/>
          <w:sz w:val="17"/>
        </w:rPr>
        <w:t> </w:t>
      </w:r>
      <w:r>
        <w:rPr>
          <w:rFonts w:ascii="Calibri" w:hAnsi="Calibri"/>
          <w:color w:val="231F20"/>
          <w:w w:val="105"/>
          <w:sz w:val="17"/>
        </w:rPr>
        <w:t>communication,</w:t>
      </w:r>
      <w:r>
        <w:rPr>
          <w:rFonts w:ascii="Calibri" w:hAnsi="Calibri"/>
          <w:color w:val="231F20"/>
          <w:spacing w:val="-14"/>
          <w:w w:val="105"/>
          <w:sz w:val="17"/>
        </w:rPr>
        <w:t> </w:t>
      </w:r>
      <w:r>
        <w:rPr>
          <w:rFonts w:ascii="Calibri" w:hAnsi="Calibri"/>
          <w:color w:val="231F20"/>
          <w:w w:val="105"/>
          <w:sz w:val="17"/>
        </w:rPr>
        <w:t>and</w:t>
      </w:r>
      <w:r>
        <w:rPr>
          <w:rFonts w:ascii="Calibri" w:hAnsi="Calibri"/>
          <w:color w:val="231F20"/>
          <w:spacing w:val="-14"/>
          <w:w w:val="105"/>
          <w:sz w:val="17"/>
        </w:rPr>
        <w:t> </w:t>
      </w:r>
      <w:r>
        <w:rPr>
          <w:rFonts w:ascii="Calibri" w:hAnsi="Calibri"/>
          <w:color w:val="231F20"/>
          <w:w w:val="105"/>
          <w:sz w:val="17"/>
        </w:rPr>
        <w:t>the</w:t>
      </w:r>
      <w:r>
        <w:rPr>
          <w:rFonts w:ascii="Calibri" w:hAnsi="Calibri"/>
          <w:color w:val="231F20"/>
          <w:spacing w:val="-14"/>
          <w:w w:val="105"/>
          <w:sz w:val="17"/>
        </w:rPr>
        <w:t> </w:t>
      </w:r>
      <w:r>
        <w:rPr>
          <w:rFonts w:ascii="Calibri" w:hAnsi="Calibri"/>
          <w:color w:val="231F20"/>
          <w:w w:val="105"/>
          <w:sz w:val="17"/>
        </w:rPr>
        <w:t>severance</w:t>
      </w:r>
      <w:r>
        <w:rPr>
          <w:rFonts w:ascii="Calibri" w:hAnsi="Calibri"/>
          <w:color w:val="231F20"/>
          <w:spacing w:val="-14"/>
          <w:w w:val="105"/>
          <w:sz w:val="17"/>
        </w:rPr>
        <w:t> </w:t>
      </w:r>
      <w:r>
        <w:rPr>
          <w:rFonts w:ascii="Calibri" w:hAnsi="Calibri"/>
          <w:color w:val="231F20"/>
          <w:w w:val="105"/>
          <w:sz w:val="17"/>
        </w:rPr>
        <w:t>of</w:t>
      </w:r>
      <w:r>
        <w:rPr>
          <w:rFonts w:ascii="Calibri" w:hAnsi="Calibri"/>
          <w:color w:val="231F20"/>
          <w:spacing w:val="-14"/>
          <w:w w:val="105"/>
          <w:sz w:val="17"/>
        </w:rPr>
        <w:t> </w:t>
      </w:r>
      <w:r>
        <w:rPr>
          <w:rFonts w:ascii="Calibri" w:hAnsi="Calibri"/>
          <w:color w:val="231F20"/>
          <w:w w:val="105"/>
          <w:sz w:val="17"/>
        </w:rPr>
        <w:t>diplomatic</w:t>
      </w:r>
      <w:r>
        <w:rPr>
          <w:rFonts w:ascii="Calibri" w:hAnsi="Calibri"/>
          <w:color w:val="231F20"/>
          <w:spacing w:val="-14"/>
          <w:w w:val="105"/>
          <w:sz w:val="17"/>
        </w:rPr>
        <w:t> </w:t>
      </w:r>
      <w:r>
        <w:rPr>
          <w:rFonts w:ascii="Calibri" w:hAnsi="Calibri"/>
          <w:color w:val="231F20"/>
          <w:w w:val="105"/>
          <w:sz w:val="17"/>
        </w:rPr>
        <w:t>relations”.</w:t>
      </w:r>
      <w:r>
        <w:rPr>
          <w:rFonts w:ascii="Calibri" w:hAnsi="Calibri"/>
          <w:color w:val="231F20"/>
          <w:spacing w:val="-14"/>
          <w:w w:val="105"/>
          <w:sz w:val="17"/>
        </w:rPr>
        <w:t> </w:t>
      </w:r>
      <w:r>
        <w:rPr>
          <w:rFonts w:ascii="Calibri" w:hAnsi="Calibri"/>
          <w:color w:val="231F20"/>
          <w:w w:val="105"/>
          <w:sz w:val="17"/>
        </w:rPr>
        <w:t>Art.</w:t>
      </w:r>
      <w:r>
        <w:rPr>
          <w:rFonts w:ascii="Calibri" w:hAnsi="Calibri"/>
          <w:color w:val="231F20"/>
          <w:spacing w:val="-14"/>
          <w:w w:val="105"/>
          <w:sz w:val="17"/>
        </w:rPr>
        <w:t> </w:t>
      </w:r>
      <w:r>
        <w:rPr>
          <w:rFonts w:ascii="Calibri" w:hAnsi="Calibri"/>
          <w:color w:val="231F20"/>
          <w:w w:val="105"/>
          <w:sz w:val="17"/>
        </w:rPr>
        <w:t>42:</w:t>
      </w:r>
      <w:r>
        <w:rPr>
          <w:rFonts w:ascii="Calibri" w:hAnsi="Calibri"/>
          <w:color w:val="231F20"/>
          <w:spacing w:val="-14"/>
          <w:w w:val="105"/>
          <w:sz w:val="17"/>
        </w:rPr>
        <w:t> </w:t>
      </w:r>
      <w:r>
        <w:rPr>
          <w:rFonts w:ascii="Calibri" w:hAnsi="Calibri"/>
          <w:color w:val="231F20"/>
          <w:w w:val="105"/>
          <w:sz w:val="17"/>
        </w:rPr>
        <w:t>“The</w:t>
      </w:r>
      <w:r>
        <w:rPr>
          <w:rFonts w:ascii="Calibri" w:hAnsi="Calibri"/>
          <w:color w:val="231F20"/>
          <w:spacing w:val="-14"/>
          <w:w w:val="105"/>
          <w:sz w:val="17"/>
        </w:rPr>
        <w:t> </w:t>
      </w:r>
      <w:r>
        <w:rPr>
          <w:rFonts w:ascii="Calibri" w:hAnsi="Calibri"/>
          <w:color w:val="231F20"/>
          <w:w w:val="105"/>
          <w:sz w:val="17"/>
        </w:rPr>
        <w:t>Security Council (…) may take such action by </w:t>
      </w:r>
      <w:r>
        <w:rPr>
          <w:rFonts w:ascii="Calibri" w:hAnsi="Calibri"/>
          <w:color w:val="231F20"/>
          <w:spacing w:val="-3"/>
          <w:w w:val="105"/>
          <w:sz w:val="17"/>
        </w:rPr>
        <w:t>air, </w:t>
      </w:r>
      <w:r>
        <w:rPr>
          <w:rFonts w:ascii="Calibri" w:hAnsi="Calibri"/>
          <w:color w:val="231F20"/>
          <w:w w:val="105"/>
          <w:sz w:val="17"/>
        </w:rPr>
        <w:t>sea, or land forces as may be necessary to maintain or restore</w:t>
      </w:r>
      <w:r>
        <w:rPr>
          <w:rFonts w:ascii="Calibri" w:hAnsi="Calibri"/>
          <w:color w:val="231F20"/>
          <w:spacing w:val="-11"/>
          <w:w w:val="105"/>
          <w:sz w:val="17"/>
        </w:rPr>
        <w:t> </w:t>
      </w:r>
      <w:r>
        <w:rPr>
          <w:rFonts w:ascii="Calibri" w:hAnsi="Calibri"/>
          <w:color w:val="231F20"/>
          <w:w w:val="105"/>
          <w:sz w:val="17"/>
        </w:rPr>
        <w:t>international</w:t>
      </w:r>
      <w:r>
        <w:rPr>
          <w:rFonts w:ascii="Calibri" w:hAnsi="Calibri"/>
          <w:color w:val="231F20"/>
          <w:spacing w:val="-11"/>
          <w:w w:val="105"/>
          <w:sz w:val="17"/>
        </w:rPr>
        <w:t> </w:t>
      </w:r>
      <w:r>
        <w:rPr>
          <w:rFonts w:ascii="Calibri" w:hAnsi="Calibri"/>
          <w:color w:val="231F20"/>
          <w:w w:val="105"/>
          <w:sz w:val="17"/>
        </w:rPr>
        <w:t>peace</w:t>
      </w:r>
      <w:r>
        <w:rPr>
          <w:rFonts w:ascii="Calibri" w:hAnsi="Calibri"/>
          <w:color w:val="231F20"/>
          <w:spacing w:val="-11"/>
          <w:w w:val="105"/>
          <w:sz w:val="17"/>
        </w:rPr>
        <w:t> </w:t>
      </w:r>
      <w:r>
        <w:rPr>
          <w:rFonts w:ascii="Calibri" w:hAnsi="Calibri"/>
          <w:color w:val="231F20"/>
          <w:w w:val="105"/>
          <w:sz w:val="17"/>
        </w:rPr>
        <w:t>and</w:t>
      </w:r>
      <w:r>
        <w:rPr>
          <w:rFonts w:ascii="Calibri" w:hAnsi="Calibri"/>
          <w:color w:val="231F20"/>
          <w:spacing w:val="-11"/>
          <w:w w:val="105"/>
          <w:sz w:val="17"/>
        </w:rPr>
        <w:t> </w:t>
      </w:r>
      <w:r>
        <w:rPr>
          <w:rFonts w:ascii="Calibri" w:hAnsi="Calibri"/>
          <w:color w:val="231F20"/>
          <w:w w:val="105"/>
          <w:sz w:val="17"/>
        </w:rPr>
        <w:t>security.</w:t>
      </w:r>
      <w:r>
        <w:rPr>
          <w:rFonts w:ascii="Calibri" w:hAnsi="Calibri"/>
          <w:color w:val="231F20"/>
          <w:spacing w:val="-11"/>
          <w:w w:val="105"/>
          <w:sz w:val="17"/>
        </w:rPr>
        <w:t> </w:t>
      </w:r>
      <w:r>
        <w:rPr>
          <w:rFonts w:ascii="Calibri" w:hAnsi="Calibri"/>
          <w:color w:val="231F20"/>
          <w:w w:val="105"/>
          <w:sz w:val="17"/>
        </w:rPr>
        <w:t>Such</w:t>
      </w:r>
      <w:r>
        <w:rPr>
          <w:rFonts w:ascii="Calibri" w:hAnsi="Calibri"/>
          <w:color w:val="231F20"/>
          <w:spacing w:val="-11"/>
          <w:w w:val="105"/>
          <w:sz w:val="17"/>
        </w:rPr>
        <w:t> </w:t>
      </w:r>
      <w:r>
        <w:rPr>
          <w:rFonts w:ascii="Calibri" w:hAnsi="Calibri"/>
          <w:color w:val="231F20"/>
          <w:w w:val="105"/>
          <w:sz w:val="17"/>
        </w:rPr>
        <w:t>action</w:t>
      </w:r>
      <w:r>
        <w:rPr>
          <w:rFonts w:ascii="Calibri" w:hAnsi="Calibri"/>
          <w:color w:val="231F20"/>
          <w:spacing w:val="-11"/>
          <w:w w:val="105"/>
          <w:sz w:val="17"/>
        </w:rPr>
        <w:t> </w:t>
      </w:r>
      <w:r>
        <w:rPr>
          <w:rFonts w:ascii="Calibri" w:hAnsi="Calibri"/>
          <w:color w:val="231F20"/>
          <w:w w:val="105"/>
          <w:sz w:val="17"/>
        </w:rPr>
        <w:t>may</w:t>
      </w:r>
      <w:r>
        <w:rPr>
          <w:rFonts w:ascii="Calibri" w:hAnsi="Calibri"/>
          <w:color w:val="231F20"/>
          <w:spacing w:val="-11"/>
          <w:w w:val="105"/>
          <w:sz w:val="17"/>
        </w:rPr>
        <w:t> </w:t>
      </w:r>
      <w:r>
        <w:rPr>
          <w:rFonts w:ascii="Calibri" w:hAnsi="Calibri"/>
          <w:color w:val="231F20"/>
          <w:w w:val="105"/>
          <w:sz w:val="17"/>
        </w:rPr>
        <w:t>include</w:t>
      </w:r>
      <w:r>
        <w:rPr>
          <w:rFonts w:ascii="Calibri" w:hAnsi="Calibri"/>
          <w:color w:val="231F20"/>
          <w:spacing w:val="-11"/>
          <w:w w:val="105"/>
          <w:sz w:val="17"/>
        </w:rPr>
        <w:t> </w:t>
      </w:r>
      <w:r>
        <w:rPr>
          <w:rFonts w:ascii="Calibri" w:hAnsi="Calibri"/>
          <w:color w:val="231F20"/>
          <w:w w:val="105"/>
          <w:sz w:val="17"/>
        </w:rPr>
        <w:t>demonstrations,</w:t>
      </w:r>
      <w:r>
        <w:rPr>
          <w:rFonts w:ascii="Calibri" w:hAnsi="Calibri"/>
          <w:color w:val="231F20"/>
          <w:spacing w:val="-11"/>
          <w:w w:val="105"/>
          <w:sz w:val="17"/>
        </w:rPr>
        <w:t> </w:t>
      </w:r>
      <w:r>
        <w:rPr>
          <w:rFonts w:ascii="Calibri" w:hAnsi="Calibri"/>
          <w:color w:val="231F20"/>
          <w:w w:val="105"/>
          <w:sz w:val="17"/>
        </w:rPr>
        <w:t>blockade,</w:t>
      </w:r>
      <w:r>
        <w:rPr>
          <w:rFonts w:ascii="Calibri" w:hAnsi="Calibri"/>
          <w:color w:val="231F20"/>
          <w:spacing w:val="-11"/>
          <w:w w:val="105"/>
          <w:sz w:val="17"/>
        </w:rPr>
        <w:t> </w:t>
      </w:r>
      <w:r>
        <w:rPr>
          <w:rFonts w:ascii="Calibri" w:hAnsi="Calibri"/>
          <w:color w:val="231F20"/>
          <w:w w:val="105"/>
          <w:sz w:val="17"/>
        </w:rPr>
        <w:t>and other</w:t>
      </w:r>
      <w:r>
        <w:rPr>
          <w:rFonts w:ascii="Calibri" w:hAnsi="Calibri"/>
          <w:color w:val="231F20"/>
          <w:spacing w:val="-6"/>
          <w:w w:val="105"/>
          <w:sz w:val="17"/>
        </w:rPr>
        <w:t> </w:t>
      </w:r>
      <w:r>
        <w:rPr>
          <w:rFonts w:ascii="Calibri" w:hAnsi="Calibri"/>
          <w:color w:val="231F20"/>
          <w:w w:val="105"/>
          <w:sz w:val="17"/>
        </w:rPr>
        <w:t>operations</w:t>
      </w:r>
      <w:r>
        <w:rPr>
          <w:rFonts w:ascii="Calibri" w:hAnsi="Calibri"/>
          <w:color w:val="231F20"/>
          <w:spacing w:val="-6"/>
          <w:w w:val="105"/>
          <w:sz w:val="17"/>
        </w:rPr>
        <w:t> </w:t>
      </w:r>
      <w:r>
        <w:rPr>
          <w:rFonts w:ascii="Calibri" w:hAnsi="Calibri"/>
          <w:color w:val="231F20"/>
          <w:w w:val="105"/>
          <w:sz w:val="17"/>
        </w:rPr>
        <w:t>by</w:t>
      </w:r>
      <w:r>
        <w:rPr>
          <w:rFonts w:ascii="Calibri" w:hAnsi="Calibri"/>
          <w:color w:val="231F20"/>
          <w:spacing w:val="-6"/>
          <w:w w:val="105"/>
          <w:sz w:val="17"/>
        </w:rPr>
        <w:t> </w:t>
      </w:r>
      <w:r>
        <w:rPr>
          <w:rFonts w:ascii="Calibri" w:hAnsi="Calibri"/>
          <w:color w:val="231F20"/>
          <w:spacing w:val="-3"/>
          <w:w w:val="105"/>
          <w:sz w:val="17"/>
        </w:rPr>
        <w:t>air,</w:t>
      </w:r>
      <w:r>
        <w:rPr>
          <w:rFonts w:ascii="Calibri" w:hAnsi="Calibri"/>
          <w:color w:val="231F20"/>
          <w:spacing w:val="-6"/>
          <w:w w:val="105"/>
          <w:sz w:val="17"/>
        </w:rPr>
        <w:t> </w:t>
      </w:r>
      <w:r>
        <w:rPr>
          <w:rFonts w:ascii="Calibri" w:hAnsi="Calibri"/>
          <w:color w:val="231F20"/>
          <w:w w:val="105"/>
          <w:sz w:val="17"/>
        </w:rPr>
        <w:t>sea,</w:t>
      </w:r>
      <w:r>
        <w:rPr>
          <w:rFonts w:ascii="Calibri" w:hAnsi="Calibri"/>
          <w:color w:val="231F20"/>
          <w:spacing w:val="-6"/>
          <w:w w:val="105"/>
          <w:sz w:val="17"/>
        </w:rPr>
        <w:t> </w:t>
      </w:r>
      <w:r>
        <w:rPr>
          <w:rFonts w:ascii="Calibri" w:hAnsi="Calibri"/>
          <w:color w:val="231F20"/>
          <w:w w:val="105"/>
          <w:sz w:val="17"/>
        </w:rPr>
        <w:t>or</w:t>
      </w:r>
      <w:r>
        <w:rPr>
          <w:rFonts w:ascii="Calibri" w:hAnsi="Calibri"/>
          <w:color w:val="231F20"/>
          <w:spacing w:val="-6"/>
          <w:w w:val="105"/>
          <w:sz w:val="17"/>
        </w:rPr>
        <w:t> </w:t>
      </w:r>
      <w:r>
        <w:rPr>
          <w:rFonts w:ascii="Calibri" w:hAnsi="Calibri"/>
          <w:color w:val="231F20"/>
          <w:w w:val="105"/>
          <w:sz w:val="17"/>
        </w:rPr>
        <w:t>land</w:t>
      </w:r>
      <w:r>
        <w:rPr>
          <w:rFonts w:ascii="Calibri" w:hAnsi="Calibri"/>
          <w:color w:val="231F20"/>
          <w:spacing w:val="-6"/>
          <w:w w:val="105"/>
          <w:sz w:val="17"/>
        </w:rPr>
        <w:t> </w:t>
      </w:r>
      <w:r>
        <w:rPr>
          <w:rFonts w:ascii="Calibri" w:hAnsi="Calibri"/>
          <w:color w:val="231F20"/>
          <w:w w:val="105"/>
          <w:sz w:val="17"/>
        </w:rPr>
        <w:t>forces</w:t>
      </w:r>
      <w:r>
        <w:rPr>
          <w:rFonts w:ascii="Calibri" w:hAnsi="Calibri"/>
          <w:color w:val="231F20"/>
          <w:spacing w:val="-6"/>
          <w:w w:val="105"/>
          <w:sz w:val="17"/>
        </w:rPr>
        <w:t> </w:t>
      </w:r>
      <w:r>
        <w:rPr>
          <w:rFonts w:ascii="Calibri" w:hAnsi="Calibri"/>
          <w:color w:val="231F20"/>
          <w:w w:val="105"/>
          <w:sz w:val="17"/>
        </w:rPr>
        <w:t>of</w:t>
      </w:r>
      <w:r>
        <w:rPr>
          <w:rFonts w:ascii="Calibri" w:hAnsi="Calibri"/>
          <w:color w:val="231F20"/>
          <w:spacing w:val="-6"/>
          <w:w w:val="105"/>
          <w:sz w:val="17"/>
        </w:rPr>
        <w:t> </w:t>
      </w:r>
      <w:r>
        <w:rPr>
          <w:rFonts w:ascii="Calibri" w:hAnsi="Calibri"/>
          <w:color w:val="231F20"/>
          <w:w w:val="105"/>
          <w:sz w:val="17"/>
        </w:rPr>
        <w:t>Members</w:t>
      </w:r>
      <w:r>
        <w:rPr>
          <w:rFonts w:ascii="Calibri" w:hAnsi="Calibri"/>
          <w:color w:val="231F20"/>
          <w:spacing w:val="-6"/>
          <w:w w:val="105"/>
          <w:sz w:val="17"/>
        </w:rPr>
        <w:t> </w:t>
      </w:r>
      <w:r>
        <w:rPr>
          <w:rFonts w:ascii="Calibri" w:hAnsi="Calibri"/>
          <w:color w:val="231F20"/>
          <w:w w:val="105"/>
          <w:sz w:val="17"/>
        </w:rPr>
        <w:t>of</w:t>
      </w:r>
      <w:r>
        <w:rPr>
          <w:rFonts w:ascii="Calibri" w:hAnsi="Calibri"/>
          <w:color w:val="231F20"/>
          <w:spacing w:val="-6"/>
          <w:w w:val="105"/>
          <w:sz w:val="17"/>
        </w:rPr>
        <w:t> </w:t>
      </w:r>
      <w:r>
        <w:rPr>
          <w:rFonts w:ascii="Calibri" w:hAnsi="Calibri"/>
          <w:color w:val="231F20"/>
          <w:w w:val="105"/>
          <w:sz w:val="17"/>
        </w:rPr>
        <w:t>the</w:t>
      </w:r>
      <w:r>
        <w:rPr>
          <w:rFonts w:ascii="Calibri" w:hAnsi="Calibri"/>
          <w:color w:val="231F20"/>
          <w:spacing w:val="-6"/>
          <w:w w:val="105"/>
          <w:sz w:val="17"/>
        </w:rPr>
        <w:t> </w:t>
      </w:r>
      <w:r>
        <w:rPr>
          <w:rFonts w:ascii="Calibri" w:hAnsi="Calibri"/>
          <w:color w:val="231F20"/>
          <w:w w:val="105"/>
          <w:sz w:val="17"/>
        </w:rPr>
        <w:t>United</w:t>
      </w:r>
      <w:r>
        <w:rPr>
          <w:rFonts w:ascii="Calibri" w:hAnsi="Calibri"/>
          <w:color w:val="231F20"/>
          <w:spacing w:val="-6"/>
          <w:w w:val="105"/>
          <w:sz w:val="17"/>
        </w:rPr>
        <w:t> </w:t>
      </w:r>
      <w:r>
        <w:rPr>
          <w:rFonts w:ascii="Calibri" w:hAnsi="Calibri"/>
          <w:color w:val="231F20"/>
          <w:w w:val="105"/>
          <w:sz w:val="17"/>
        </w:rPr>
        <w:t>Nations”;</w:t>
      </w:r>
      <w:r>
        <w:rPr>
          <w:rFonts w:ascii="Calibri" w:hAnsi="Calibri"/>
          <w:color w:val="231F20"/>
          <w:spacing w:val="-6"/>
          <w:w w:val="105"/>
          <w:sz w:val="17"/>
        </w:rPr>
        <w:t> </w:t>
      </w:r>
      <w:r>
        <w:rPr>
          <w:rFonts w:ascii="Calibri" w:hAnsi="Calibri"/>
          <w:color w:val="231F20"/>
          <w:w w:val="105"/>
          <w:sz w:val="17"/>
        </w:rPr>
        <w:t>Art.</w:t>
      </w:r>
      <w:r>
        <w:rPr>
          <w:rFonts w:ascii="Calibri" w:hAnsi="Calibri"/>
          <w:color w:val="231F20"/>
          <w:spacing w:val="-6"/>
          <w:w w:val="105"/>
          <w:sz w:val="17"/>
        </w:rPr>
        <w:t> </w:t>
      </w:r>
      <w:r>
        <w:rPr>
          <w:rFonts w:ascii="Calibri" w:hAnsi="Calibri"/>
          <w:color w:val="231F20"/>
          <w:w w:val="105"/>
          <w:sz w:val="17"/>
        </w:rPr>
        <w:t>51:</w:t>
      </w:r>
      <w:r>
        <w:rPr>
          <w:rFonts w:ascii="Calibri" w:hAnsi="Calibri"/>
          <w:color w:val="231F20"/>
          <w:spacing w:val="-6"/>
          <w:w w:val="105"/>
          <w:sz w:val="17"/>
        </w:rPr>
        <w:t> </w:t>
      </w:r>
      <w:r>
        <w:rPr>
          <w:rFonts w:ascii="Calibri" w:hAnsi="Calibri"/>
          <w:color w:val="231F20"/>
          <w:w w:val="105"/>
          <w:sz w:val="17"/>
        </w:rPr>
        <w:t>“Nothing</w:t>
      </w:r>
    </w:p>
    <w:p>
      <w:pPr>
        <w:pStyle w:val="BodyText"/>
        <w:rPr>
          <w:rFonts w:ascii="Calibri"/>
          <w:sz w:val="20"/>
        </w:rPr>
      </w:pPr>
    </w:p>
    <w:p>
      <w:pPr>
        <w:pStyle w:val="BodyText"/>
        <w:spacing w:before="1"/>
        <w:rPr>
          <w:rFonts w:ascii="Calibri"/>
          <w:sz w:val="28"/>
        </w:rPr>
      </w:pPr>
    </w:p>
    <w:p>
      <w:pPr>
        <w:tabs>
          <w:tab w:pos="1317" w:val="left" w:leader="none"/>
        </w:tabs>
        <w:spacing w:before="69"/>
        <w:ind w:left="212" w:right="0" w:firstLine="0"/>
        <w:jc w:val="left"/>
        <w:rPr>
          <w:rFonts w:ascii="Calibri"/>
          <w:sz w:val="16"/>
        </w:rPr>
      </w:pPr>
      <w:r>
        <w:rPr/>
        <w:pict>
          <v:group style="position:absolute;margin-left:98.079102pt;margin-top:-3.308812pt;width:20.4pt;height:43pt;mso-position-horizontal-relative:page;mso-position-vertical-relative:paragraph;z-index:-161176" coordorigin="1962,-66" coordsize="408,860">
            <v:line style="position:absolute" from="2211,73" to="2211,789" stroked="true" strokeweight=".35pt" strokecolor="#231f20"/>
            <v:shape style="position:absolute;left:2179;top:-13;width:190;height:445" type="#_x0000_t75" stroked="false">
              <v:imagedata r:id="rId34" o:title=""/>
            </v:shape>
            <v:shape style="position:absolute;left:1962;top:-66;width:250;height:502" type="#_x0000_t75" stroked="false">
              <v:imagedata r:id="rId35" o:title=""/>
            </v:shape>
            <w10:wrap type="none"/>
          </v:group>
        </w:pict>
      </w:r>
      <w:r>
        <w:rPr>
          <w:rFonts w:ascii="Trebuchet MS"/>
          <w:color w:val="414042"/>
          <w:w w:val="105"/>
          <w:position w:val="-4"/>
          <w:sz w:val="20"/>
        </w:rPr>
        <w:t>132</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796"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1427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QUESTIONI</w:t>
      </w:r>
      <w:r>
        <w:rPr>
          <w:rFonts w:ascii="Lucida Sans Unicode" w:hAnsi="Lucida Sans Unicode"/>
          <w:color w:val="6D6E71"/>
          <w:spacing w:val="-11"/>
          <w:w w:val="90"/>
          <w:sz w:val="14"/>
        </w:rPr>
        <w:t> </w:t>
      </w:r>
      <w:r>
        <w:rPr>
          <w:rFonts w:ascii="Lucida Sans Unicode" w:hAnsi="Lucida Sans Unicode"/>
          <w:color w:val="6D6E71"/>
          <w:w w:val="90"/>
          <w:sz w:val="14"/>
        </w:rPr>
        <w:t>DI</w:t>
      </w:r>
      <w:r>
        <w:rPr>
          <w:rFonts w:ascii="Lucida Sans Unicode" w:hAnsi="Lucida Sans Unicode"/>
          <w:color w:val="6D6E71"/>
          <w:spacing w:val="-11"/>
          <w:w w:val="90"/>
          <w:sz w:val="14"/>
        </w:rPr>
        <w:t> </w:t>
      </w:r>
      <w:r>
        <w:rPr>
          <w:rFonts w:ascii="Lucida Sans Unicode" w:hAnsi="Lucida Sans Unicode"/>
          <w:color w:val="6D6E71"/>
          <w:w w:val="90"/>
          <w:sz w:val="14"/>
        </w:rPr>
        <w:t>CONFINE.</w:t>
      </w:r>
      <w:r>
        <w:rPr>
          <w:rFonts w:ascii="Lucida Sans Unicode" w:hAnsi="Lucida Sans Unicode"/>
          <w:color w:val="6D6E71"/>
          <w:spacing w:val="-11"/>
          <w:w w:val="90"/>
          <w:sz w:val="14"/>
        </w:rPr>
        <w:t> </w:t>
      </w:r>
      <w:r>
        <w:rPr>
          <w:rFonts w:ascii="Lucida Sans Unicode" w:hAnsi="Lucida Sans Unicode"/>
          <w:color w:val="6D6E71"/>
          <w:w w:val="90"/>
          <w:sz w:val="14"/>
        </w:rPr>
        <w:t>SOVRANITÀ</w:t>
      </w:r>
      <w:r>
        <w:rPr>
          <w:rFonts w:ascii="Lucida Sans Unicode" w:hAnsi="Lucida Sans Unicode"/>
          <w:color w:val="6D6E71"/>
          <w:spacing w:val="-11"/>
          <w:w w:val="90"/>
          <w:sz w:val="14"/>
        </w:rPr>
        <w:t> </w:t>
      </w:r>
      <w:r>
        <w:rPr>
          <w:rFonts w:ascii="Lucida Sans Unicode" w:hAnsi="Lucida Sans Unicode"/>
          <w:color w:val="6D6E71"/>
          <w:w w:val="90"/>
          <w:sz w:val="14"/>
        </w:rPr>
        <w:t>TERRITORIALE</w:t>
      </w:r>
      <w:r>
        <w:rPr>
          <w:rFonts w:ascii="Lucida Sans Unicode" w:hAnsi="Lucida Sans Unicode"/>
          <w:color w:val="6D6E71"/>
          <w:spacing w:val="-11"/>
          <w:w w:val="90"/>
          <w:sz w:val="14"/>
        </w:rPr>
        <w:t> </w:t>
      </w:r>
      <w:r>
        <w:rPr>
          <w:rFonts w:ascii="Lucida Sans Unicode" w:hAnsi="Lucida Sans Unicode"/>
          <w:color w:val="6D6E71"/>
          <w:w w:val="90"/>
          <w:sz w:val="14"/>
        </w:rPr>
        <w:t>E</w:t>
      </w:r>
      <w:r>
        <w:rPr>
          <w:rFonts w:ascii="Lucida Sans Unicode" w:hAnsi="Lucida Sans Unicode"/>
          <w:color w:val="6D6E71"/>
          <w:spacing w:val="-11"/>
          <w:w w:val="90"/>
          <w:sz w:val="14"/>
        </w:rPr>
        <w:t> </w:t>
      </w:r>
      <w:r>
        <w:rPr>
          <w:rFonts w:ascii="Lucida Sans Unicode" w:hAnsi="Lucida Sans Unicode"/>
          <w:color w:val="6D6E71"/>
          <w:w w:val="90"/>
          <w:sz w:val="14"/>
        </w:rPr>
        <w:t>ORDINE</w:t>
      </w:r>
      <w:r>
        <w:rPr>
          <w:rFonts w:ascii="Lucida Sans Unicode" w:hAnsi="Lucida Sans Unicode"/>
          <w:color w:val="6D6E71"/>
          <w:spacing w:val="-11"/>
          <w:w w:val="90"/>
          <w:sz w:val="14"/>
        </w:rPr>
        <w:t> </w:t>
      </w:r>
      <w:r>
        <w:rPr>
          <w:rFonts w:ascii="Lucida Sans Unicode" w:hAnsi="Lucida Sans Unicode"/>
          <w:color w:val="6D6E71"/>
          <w:w w:val="90"/>
          <w:sz w:val="14"/>
        </w:rPr>
        <w:t>GLOBALE</w:t>
      </w:r>
      <w:r>
        <w:rPr>
          <w:rFonts w:ascii="Lucida Sans Unicode" w:hAnsi="Lucida Sans Unicode"/>
          <w:color w:val="6D6E71"/>
          <w:spacing w:val="-11"/>
          <w:w w:val="90"/>
          <w:sz w:val="14"/>
        </w:rPr>
        <w:t> </w:t>
      </w:r>
      <w:r>
        <w:rPr>
          <w:rFonts w:ascii="Lucida Sans Unicode" w:hAnsi="Lucida Sans Unicode"/>
          <w:color w:val="6D6E71"/>
          <w:w w:val="90"/>
          <w:sz w:val="14"/>
        </w:rPr>
        <w:t>NEL</w:t>
      </w:r>
      <w:r>
        <w:rPr>
          <w:rFonts w:ascii="Lucida Sans Unicode" w:hAnsi="Lucida Sans Unicode"/>
          <w:color w:val="6D6E71"/>
          <w:spacing w:val="-11"/>
          <w:w w:val="90"/>
          <w:sz w:val="14"/>
        </w:rPr>
        <w:t> </w:t>
      </w:r>
      <w:r>
        <w:rPr>
          <w:rFonts w:ascii="Lucida Sans Unicode" w:hAnsi="Lucida Sans Unicode"/>
          <w:color w:val="6D6E71"/>
          <w:w w:val="90"/>
          <w:sz w:val="14"/>
        </w:rPr>
        <w:t>DIBATTITO</w:t>
      </w:r>
      <w:r>
        <w:rPr>
          <w:rFonts w:ascii="Lucida Sans Unicode" w:hAnsi="Lucida Sans Unicode"/>
          <w:color w:val="6D6E71"/>
          <w:spacing w:val="-11"/>
          <w:w w:val="90"/>
          <w:sz w:val="14"/>
        </w:rPr>
        <w:t> </w:t>
      </w:r>
      <w:r>
        <w:rPr>
          <w:rFonts w:ascii="Lucida Sans Unicode" w:hAnsi="Lucida Sans Unicode"/>
          <w:color w:val="6D6E71"/>
          <w:w w:val="90"/>
          <w:sz w:val="14"/>
        </w:rPr>
        <w:t>SUL</w:t>
      </w:r>
    </w:p>
    <w:p>
      <w:pPr>
        <w:spacing w:line="198" w:lineRule="exact" w:before="0"/>
        <w:ind w:left="3896" w:right="-13" w:firstLine="0"/>
        <w:jc w:val="left"/>
        <w:rPr>
          <w:rFonts w:ascii="Lucida Sans Unicode" w:hAnsi="Lucida Sans Unicode"/>
          <w:sz w:val="14"/>
        </w:rPr>
      </w:pPr>
      <w:r>
        <w:rPr>
          <w:rFonts w:ascii="Lucida Sans Unicode" w:hAnsi="Lucida Sans Unicode"/>
          <w:color w:val="6D6E71"/>
          <w:w w:val="85"/>
          <w:sz w:val="14"/>
        </w:rPr>
        <w:t>“NUOVO  INTERVENTISMO  UMANITARIO”</w:t>
      </w:r>
    </w:p>
    <w:p>
      <w:pPr>
        <w:spacing w:before="59"/>
        <w:ind w:left="338" w:right="0" w:firstLine="0"/>
        <w:jc w:val="left"/>
        <w:rPr>
          <w:rFonts w:ascii="Trebuchet MS"/>
          <w:sz w:val="20"/>
        </w:rPr>
      </w:pPr>
      <w:r>
        <w:rPr/>
        <w:br w:type="column"/>
      </w:r>
      <w:r>
        <w:rPr>
          <w:rFonts w:ascii="Trebuchet MS"/>
          <w:color w:val="414042"/>
          <w:w w:val="105"/>
          <w:sz w:val="20"/>
        </w:rPr>
        <w:t>133</w:t>
      </w:r>
    </w:p>
    <w:p>
      <w:pPr>
        <w:spacing w:after="0"/>
        <w:jc w:val="left"/>
        <w:rPr>
          <w:rFonts w:ascii="Trebuchet MS"/>
          <w:sz w:val="20"/>
        </w:rPr>
        <w:sectPr>
          <w:type w:val="continuous"/>
          <w:pgSz w:w="9640" w:h="13890"/>
          <w:pgMar w:top="0" w:bottom="0" w:left="1300" w:right="1200"/>
          <w:cols w:num="2" w:equalWidth="0">
            <w:col w:w="6261" w:space="40"/>
            <w:col w:w="839"/>
          </w:cols>
        </w:sectPr>
      </w:pPr>
    </w:p>
    <w:p>
      <w:pPr>
        <w:pStyle w:val="BodyText"/>
        <w:rPr>
          <w:rFonts w:ascii="Trebuchet MS"/>
          <w:sz w:val="20"/>
        </w:rPr>
      </w:pPr>
    </w:p>
    <w:p>
      <w:pPr>
        <w:pStyle w:val="BodyText"/>
        <w:spacing w:before="2"/>
        <w:rPr>
          <w:rFonts w:ascii="Trebuchet MS"/>
          <w:sz w:val="16"/>
        </w:rPr>
      </w:pPr>
    </w:p>
    <w:p>
      <w:pPr>
        <w:pStyle w:val="BodyText"/>
        <w:spacing w:line="244" w:lineRule="auto" w:before="44"/>
        <w:ind w:left="117" w:right="98"/>
        <w:jc w:val="both"/>
      </w:pPr>
      <w:r>
        <w:rPr>
          <w:color w:val="231F20"/>
          <w:w w:val="105"/>
        </w:rPr>
        <w:t>unilaterale”</w:t>
      </w:r>
      <w:r>
        <w:rPr>
          <w:color w:val="231F20"/>
          <w:spacing w:val="-50"/>
          <w:w w:val="105"/>
        </w:rPr>
        <w:t> </w:t>
      </w:r>
      <w:r>
        <w:rPr>
          <w:color w:val="231F20"/>
          <w:w w:val="105"/>
        </w:rPr>
        <w:t>contestano,</w:t>
      </w:r>
      <w:r>
        <w:rPr>
          <w:color w:val="231F20"/>
          <w:spacing w:val="-50"/>
          <w:w w:val="105"/>
        </w:rPr>
        <w:t> </w:t>
      </w:r>
      <w:r>
        <w:rPr>
          <w:color w:val="231F20"/>
          <w:w w:val="105"/>
        </w:rPr>
        <w:t>cioè,</w:t>
      </w:r>
      <w:r>
        <w:rPr>
          <w:color w:val="231F20"/>
          <w:spacing w:val="-50"/>
          <w:w w:val="105"/>
        </w:rPr>
        <w:t> </w:t>
      </w:r>
      <w:r>
        <w:rPr>
          <w:color w:val="231F20"/>
          <w:w w:val="105"/>
        </w:rPr>
        <w:t>alla</w:t>
      </w:r>
      <w:r>
        <w:rPr>
          <w:color w:val="231F20"/>
          <w:spacing w:val="-50"/>
          <w:w w:val="105"/>
        </w:rPr>
        <w:t> </w:t>
      </w:r>
      <w:r>
        <w:rPr>
          <w:color w:val="231F20"/>
          <w:w w:val="105"/>
        </w:rPr>
        <w:t>radice</w:t>
      </w:r>
      <w:r>
        <w:rPr>
          <w:color w:val="231F20"/>
          <w:spacing w:val="-50"/>
          <w:w w:val="105"/>
        </w:rPr>
        <w:t> </w:t>
      </w:r>
      <w:r>
        <w:rPr>
          <w:color w:val="231F20"/>
          <w:w w:val="105"/>
        </w:rPr>
        <w:t>la</w:t>
      </w:r>
      <w:r>
        <w:rPr>
          <w:color w:val="231F20"/>
          <w:spacing w:val="-50"/>
          <w:w w:val="105"/>
        </w:rPr>
        <w:t> </w:t>
      </w:r>
      <w:r>
        <w:rPr>
          <w:color w:val="231F20"/>
          <w:w w:val="105"/>
        </w:rPr>
        <w:t>rigida</w:t>
      </w:r>
      <w:r>
        <w:rPr>
          <w:color w:val="231F20"/>
          <w:spacing w:val="-50"/>
          <w:w w:val="105"/>
        </w:rPr>
        <w:t> </w:t>
      </w:r>
      <w:r>
        <w:rPr>
          <w:color w:val="231F20"/>
          <w:w w:val="105"/>
        </w:rPr>
        <w:t>“tripartizione</w:t>
      </w:r>
      <w:r>
        <w:rPr>
          <w:color w:val="231F20"/>
          <w:spacing w:val="-50"/>
          <w:w w:val="105"/>
        </w:rPr>
        <w:t> </w:t>
      </w:r>
      <w:r>
        <w:rPr>
          <w:color w:val="231F20"/>
          <w:w w:val="105"/>
        </w:rPr>
        <w:t>dell’universo della</w:t>
      </w:r>
      <w:r>
        <w:rPr>
          <w:color w:val="231F20"/>
          <w:spacing w:val="-28"/>
          <w:w w:val="105"/>
        </w:rPr>
        <w:t> </w:t>
      </w:r>
      <w:r>
        <w:rPr>
          <w:color w:val="231F20"/>
          <w:w w:val="105"/>
        </w:rPr>
        <w:t>forza”</w:t>
      </w:r>
      <w:r>
        <w:rPr>
          <w:color w:val="231F20"/>
          <w:spacing w:val="-28"/>
          <w:w w:val="105"/>
        </w:rPr>
        <w:t> </w:t>
      </w:r>
      <w:r>
        <w:rPr>
          <w:color w:val="231F20"/>
          <w:w w:val="105"/>
        </w:rPr>
        <w:t>(atti</w:t>
      </w:r>
      <w:r>
        <w:rPr>
          <w:color w:val="231F20"/>
          <w:spacing w:val="-28"/>
          <w:w w:val="105"/>
        </w:rPr>
        <w:t> </w:t>
      </w:r>
      <w:r>
        <w:rPr>
          <w:color w:val="231F20"/>
          <w:w w:val="105"/>
        </w:rPr>
        <w:t>di</w:t>
      </w:r>
      <w:r>
        <w:rPr>
          <w:color w:val="231F20"/>
          <w:spacing w:val="-28"/>
          <w:w w:val="105"/>
        </w:rPr>
        <w:t> </w:t>
      </w:r>
      <w:r>
        <w:rPr>
          <w:color w:val="231F20"/>
          <w:w w:val="105"/>
        </w:rPr>
        <w:t>aggressione,</w:t>
      </w:r>
      <w:r>
        <w:rPr>
          <w:color w:val="231F20"/>
          <w:spacing w:val="-28"/>
          <w:w w:val="105"/>
        </w:rPr>
        <w:t> </w:t>
      </w:r>
      <w:r>
        <w:rPr>
          <w:color w:val="231F20"/>
          <w:w w:val="105"/>
        </w:rPr>
        <w:t>atti</w:t>
      </w:r>
      <w:r>
        <w:rPr>
          <w:color w:val="231F20"/>
          <w:spacing w:val="-28"/>
          <w:w w:val="105"/>
        </w:rPr>
        <w:t> </w:t>
      </w:r>
      <w:r>
        <w:rPr>
          <w:color w:val="231F20"/>
          <w:w w:val="105"/>
        </w:rPr>
        <w:t>di</w:t>
      </w:r>
      <w:r>
        <w:rPr>
          <w:color w:val="231F20"/>
          <w:spacing w:val="-28"/>
          <w:w w:val="105"/>
        </w:rPr>
        <w:t> </w:t>
      </w:r>
      <w:r>
        <w:rPr>
          <w:color w:val="231F20"/>
          <w:w w:val="105"/>
        </w:rPr>
        <w:t>auto-difesa</w:t>
      </w:r>
      <w:r>
        <w:rPr>
          <w:color w:val="231F20"/>
          <w:spacing w:val="-28"/>
          <w:w w:val="105"/>
        </w:rPr>
        <w:t> </w:t>
      </w:r>
      <w:r>
        <w:rPr>
          <w:color w:val="231F20"/>
          <w:w w:val="105"/>
        </w:rPr>
        <w:t>e</w:t>
      </w:r>
      <w:r>
        <w:rPr>
          <w:color w:val="231F20"/>
          <w:spacing w:val="-28"/>
          <w:w w:val="105"/>
        </w:rPr>
        <w:t> </w:t>
      </w:r>
      <w:r>
        <w:rPr>
          <w:color w:val="231F20"/>
          <w:w w:val="105"/>
        </w:rPr>
        <w:t>azioni</w:t>
      </w:r>
      <w:r>
        <w:rPr>
          <w:color w:val="231F20"/>
          <w:spacing w:val="-28"/>
          <w:w w:val="105"/>
        </w:rPr>
        <w:t> </w:t>
      </w:r>
      <w:r>
        <w:rPr>
          <w:color w:val="231F20"/>
          <w:w w:val="105"/>
        </w:rPr>
        <w:t>di</w:t>
      </w:r>
      <w:r>
        <w:rPr>
          <w:color w:val="231F20"/>
          <w:spacing w:val="-28"/>
          <w:w w:val="105"/>
        </w:rPr>
        <w:t> </w:t>
      </w:r>
      <w:r>
        <w:rPr>
          <w:rFonts w:ascii="Arial" w:hAnsi="Arial"/>
          <w:i/>
          <w:color w:val="231F20"/>
          <w:w w:val="105"/>
        </w:rPr>
        <w:t>enforcement </w:t>
      </w:r>
      <w:r>
        <w:rPr>
          <w:color w:val="231F20"/>
          <w:w w:val="105"/>
        </w:rPr>
        <w:t>autorizzate</w:t>
      </w:r>
      <w:r>
        <w:rPr>
          <w:color w:val="231F20"/>
          <w:spacing w:val="-33"/>
          <w:w w:val="105"/>
        </w:rPr>
        <w:t> </w:t>
      </w:r>
      <w:r>
        <w:rPr>
          <w:color w:val="231F20"/>
          <w:w w:val="105"/>
        </w:rPr>
        <w:t>dal</w:t>
      </w:r>
      <w:r>
        <w:rPr>
          <w:color w:val="231F20"/>
          <w:spacing w:val="-33"/>
          <w:w w:val="105"/>
        </w:rPr>
        <w:t> </w:t>
      </w:r>
      <w:r>
        <w:rPr>
          <w:color w:val="231F20"/>
          <w:w w:val="105"/>
        </w:rPr>
        <w:t>Consiglio</w:t>
      </w:r>
      <w:r>
        <w:rPr>
          <w:color w:val="231F20"/>
          <w:spacing w:val="-33"/>
          <w:w w:val="105"/>
        </w:rPr>
        <w:t> </w:t>
      </w:r>
      <w:r>
        <w:rPr>
          <w:color w:val="231F20"/>
          <w:w w:val="105"/>
        </w:rPr>
        <w:t>di</w:t>
      </w:r>
      <w:r>
        <w:rPr>
          <w:color w:val="231F20"/>
          <w:spacing w:val="-33"/>
          <w:w w:val="105"/>
        </w:rPr>
        <w:t> </w:t>
      </w:r>
      <w:r>
        <w:rPr>
          <w:color w:val="231F20"/>
          <w:w w:val="105"/>
        </w:rPr>
        <w:t>sicurezza)</w:t>
      </w:r>
      <w:r>
        <w:rPr>
          <w:color w:val="231F20"/>
          <w:spacing w:val="-33"/>
          <w:w w:val="105"/>
        </w:rPr>
        <w:t> </w:t>
      </w:r>
      <w:r>
        <w:rPr>
          <w:color w:val="231F20"/>
          <w:w w:val="105"/>
        </w:rPr>
        <w:t>fissata</w:t>
      </w:r>
      <w:r>
        <w:rPr>
          <w:color w:val="231F20"/>
          <w:spacing w:val="-33"/>
          <w:w w:val="105"/>
        </w:rPr>
        <w:t> </w:t>
      </w:r>
      <w:r>
        <w:rPr>
          <w:color w:val="231F20"/>
          <w:w w:val="105"/>
        </w:rPr>
        <w:t>nella</w:t>
      </w:r>
      <w:r>
        <w:rPr>
          <w:color w:val="231F20"/>
          <w:spacing w:val="-33"/>
          <w:w w:val="105"/>
        </w:rPr>
        <w:t> </w:t>
      </w:r>
      <w:r>
        <w:rPr>
          <w:color w:val="231F20"/>
          <w:w w:val="105"/>
        </w:rPr>
        <w:t>Carta</w:t>
      </w:r>
      <w:r>
        <w:rPr>
          <w:color w:val="231F20"/>
          <w:spacing w:val="-33"/>
          <w:w w:val="105"/>
        </w:rPr>
        <w:t> </w:t>
      </w:r>
      <w:r>
        <w:rPr>
          <w:color w:val="231F20"/>
          <w:w w:val="105"/>
          <w:sz w:val="18"/>
        </w:rPr>
        <w:t>ONU</w:t>
      </w:r>
      <w:r>
        <w:rPr>
          <w:color w:val="231F20"/>
          <w:w w:val="105"/>
          <w:position w:val="7"/>
          <w:sz w:val="12"/>
        </w:rPr>
        <w:t>8</w:t>
      </w:r>
      <w:r>
        <w:rPr>
          <w:color w:val="231F20"/>
          <w:w w:val="105"/>
        </w:rPr>
        <w:t>,</w:t>
      </w:r>
      <w:r>
        <w:rPr>
          <w:color w:val="231F20"/>
          <w:spacing w:val="-33"/>
          <w:w w:val="105"/>
        </w:rPr>
        <w:t> </w:t>
      </w:r>
      <w:r>
        <w:rPr>
          <w:color w:val="231F20"/>
          <w:w w:val="105"/>
        </w:rPr>
        <w:t>affermando che in presenza di focolai di crisi in grado di mettere massicciamente a rischio la vita di persone innocenti o incidere profondamente sulle loro condizioni</w:t>
      </w:r>
      <w:r>
        <w:rPr>
          <w:color w:val="231F20"/>
          <w:spacing w:val="-9"/>
          <w:w w:val="105"/>
        </w:rPr>
        <w:t> </w:t>
      </w:r>
      <w:r>
        <w:rPr>
          <w:color w:val="231F20"/>
          <w:w w:val="105"/>
        </w:rPr>
        <w:t>di</w:t>
      </w:r>
      <w:r>
        <w:rPr>
          <w:color w:val="231F20"/>
          <w:spacing w:val="-9"/>
          <w:w w:val="105"/>
        </w:rPr>
        <w:t> </w:t>
      </w:r>
      <w:r>
        <w:rPr>
          <w:color w:val="231F20"/>
          <w:w w:val="105"/>
        </w:rPr>
        <w:t>esistenza,</w:t>
      </w:r>
      <w:r>
        <w:rPr>
          <w:color w:val="231F20"/>
          <w:spacing w:val="-9"/>
          <w:w w:val="105"/>
        </w:rPr>
        <w:t> </w:t>
      </w:r>
      <w:r>
        <w:rPr>
          <w:color w:val="231F20"/>
          <w:w w:val="105"/>
        </w:rPr>
        <w:t>ciascuno</w:t>
      </w:r>
      <w:r>
        <w:rPr>
          <w:color w:val="231F20"/>
          <w:spacing w:val="-9"/>
          <w:w w:val="105"/>
        </w:rPr>
        <w:t> </w:t>
      </w:r>
      <w:r>
        <w:rPr>
          <w:color w:val="231F20"/>
          <w:w w:val="105"/>
        </w:rPr>
        <w:t>Stato</w:t>
      </w:r>
      <w:r>
        <w:rPr>
          <w:color w:val="231F20"/>
          <w:spacing w:val="-9"/>
          <w:w w:val="105"/>
        </w:rPr>
        <w:t> </w:t>
      </w:r>
      <w:r>
        <w:rPr>
          <w:color w:val="231F20"/>
          <w:w w:val="105"/>
        </w:rPr>
        <w:t>ha</w:t>
      </w:r>
      <w:r>
        <w:rPr>
          <w:color w:val="231F20"/>
          <w:spacing w:val="-9"/>
          <w:w w:val="105"/>
        </w:rPr>
        <w:t> </w:t>
      </w:r>
      <w:r>
        <w:rPr>
          <w:color w:val="231F20"/>
          <w:w w:val="105"/>
        </w:rPr>
        <w:t>il</w:t>
      </w:r>
      <w:r>
        <w:rPr>
          <w:color w:val="231F20"/>
          <w:spacing w:val="-5"/>
          <w:w w:val="105"/>
        </w:rPr>
        <w:t> </w:t>
      </w:r>
      <w:r>
        <w:rPr>
          <w:rFonts w:ascii="Arial" w:hAnsi="Arial"/>
          <w:i/>
          <w:color w:val="231F20"/>
          <w:w w:val="105"/>
        </w:rPr>
        <w:t>diritto</w:t>
      </w:r>
      <w:r>
        <w:rPr>
          <w:rFonts w:ascii="Arial" w:hAnsi="Arial"/>
          <w:i/>
          <w:color w:val="231F20"/>
          <w:spacing w:val="-1"/>
          <w:w w:val="105"/>
        </w:rPr>
        <w:t> </w:t>
      </w:r>
      <w:r>
        <w:rPr>
          <w:color w:val="231F20"/>
          <w:w w:val="105"/>
        </w:rPr>
        <w:t>—e</w:t>
      </w:r>
      <w:r>
        <w:rPr>
          <w:color w:val="231F20"/>
          <w:spacing w:val="-9"/>
          <w:w w:val="105"/>
        </w:rPr>
        <w:t> </w:t>
      </w:r>
      <w:r>
        <w:rPr>
          <w:color w:val="231F20"/>
          <w:w w:val="105"/>
        </w:rPr>
        <w:t>secondo</w:t>
      </w:r>
      <w:r>
        <w:rPr>
          <w:color w:val="231F20"/>
          <w:spacing w:val="-9"/>
          <w:w w:val="105"/>
        </w:rPr>
        <w:t> </w:t>
      </w:r>
      <w:r>
        <w:rPr>
          <w:color w:val="231F20"/>
          <w:w w:val="105"/>
        </w:rPr>
        <w:t>qualcuno persino</w:t>
      </w:r>
      <w:r>
        <w:rPr>
          <w:color w:val="231F20"/>
          <w:spacing w:val="-24"/>
          <w:w w:val="105"/>
        </w:rPr>
        <w:t> </w:t>
      </w:r>
      <w:r>
        <w:rPr>
          <w:color w:val="231F20"/>
          <w:w w:val="105"/>
        </w:rPr>
        <w:t>il</w:t>
      </w:r>
      <w:r>
        <w:rPr>
          <w:color w:val="231F20"/>
          <w:spacing w:val="-24"/>
          <w:w w:val="105"/>
        </w:rPr>
        <w:t> </w:t>
      </w:r>
      <w:r>
        <w:rPr>
          <w:rFonts w:ascii="Arial" w:hAnsi="Arial"/>
          <w:i/>
          <w:color w:val="231F20"/>
          <w:w w:val="105"/>
        </w:rPr>
        <w:t>dovere</w:t>
      </w:r>
      <w:r>
        <w:rPr>
          <w:color w:val="231F20"/>
          <w:w w:val="105"/>
        </w:rPr>
        <w:t>—</w:t>
      </w:r>
      <w:r>
        <w:rPr>
          <w:color w:val="231F20"/>
          <w:spacing w:val="-24"/>
          <w:w w:val="105"/>
        </w:rPr>
        <w:t> </w:t>
      </w:r>
      <w:r>
        <w:rPr>
          <w:color w:val="231F20"/>
          <w:w w:val="105"/>
        </w:rPr>
        <w:t>di</w:t>
      </w:r>
      <w:r>
        <w:rPr>
          <w:color w:val="231F20"/>
          <w:spacing w:val="-24"/>
          <w:w w:val="105"/>
        </w:rPr>
        <w:t> </w:t>
      </w:r>
      <w:r>
        <w:rPr>
          <w:color w:val="231F20"/>
          <w:w w:val="105"/>
        </w:rPr>
        <w:t>ricorrere</w:t>
      </w:r>
      <w:r>
        <w:rPr>
          <w:color w:val="231F20"/>
          <w:spacing w:val="-24"/>
          <w:w w:val="105"/>
        </w:rPr>
        <w:t> </w:t>
      </w:r>
      <w:r>
        <w:rPr>
          <w:color w:val="231F20"/>
          <w:w w:val="105"/>
        </w:rPr>
        <w:t>anche</w:t>
      </w:r>
      <w:r>
        <w:rPr>
          <w:color w:val="231F20"/>
          <w:spacing w:val="-24"/>
          <w:w w:val="105"/>
        </w:rPr>
        <w:t> </w:t>
      </w:r>
      <w:r>
        <w:rPr>
          <w:color w:val="231F20"/>
          <w:w w:val="105"/>
        </w:rPr>
        <w:t>ad</w:t>
      </w:r>
      <w:r>
        <w:rPr>
          <w:color w:val="231F20"/>
          <w:spacing w:val="-24"/>
          <w:w w:val="105"/>
        </w:rPr>
        <w:t> </w:t>
      </w:r>
      <w:r>
        <w:rPr>
          <w:color w:val="231F20"/>
          <w:w w:val="105"/>
        </w:rPr>
        <w:t>iniziative</w:t>
      </w:r>
      <w:r>
        <w:rPr>
          <w:color w:val="231F20"/>
          <w:spacing w:val="-24"/>
          <w:w w:val="105"/>
        </w:rPr>
        <w:t> </w:t>
      </w:r>
      <w:r>
        <w:rPr>
          <w:color w:val="231F20"/>
          <w:w w:val="105"/>
        </w:rPr>
        <w:t>di</w:t>
      </w:r>
      <w:r>
        <w:rPr>
          <w:color w:val="231F20"/>
          <w:spacing w:val="-24"/>
          <w:w w:val="105"/>
        </w:rPr>
        <w:t> </w:t>
      </w:r>
      <w:r>
        <w:rPr>
          <w:color w:val="231F20"/>
          <w:w w:val="105"/>
        </w:rPr>
        <w:t>carattere</w:t>
      </w:r>
      <w:r>
        <w:rPr>
          <w:color w:val="231F20"/>
          <w:spacing w:val="-24"/>
          <w:w w:val="105"/>
        </w:rPr>
        <w:t> </w:t>
      </w:r>
      <w:r>
        <w:rPr>
          <w:color w:val="231F20"/>
          <w:w w:val="105"/>
        </w:rPr>
        <w:t>militare</w:t>
      </w:r>
      <w:r>
        <w:rPr>
          <w:color w:val="231F20"/>
          <w:spacing w:val="-24"/>
          <w:w w:val="105"/>
        </w:rPr>
        <w:t> </w:t>
      </w:r>
      <w:r>
        <w:rPr>
          <w:color w:val="231F20"/>
          <w:w w:val="105"/>
        </w:rPr>
        <w:t>per ripristinare le condizioni di una convivenza pacifica e ordinata. Secondo tale impostazione, l’</w:t>
      </w:r>
      <w:r>
        <w:rPr>
          <w:rFonts w:ascii="Arial" w:hAnsi="Arial"/>
          <w:i/>
          <w:color w:val="231F20"/>
          <w:w w:val="105"/>
        </w:rPr>
        <w:t>emergenza umanitaria</w:t>
      </w:r>
      <w:r>
        <w:rPr>
          <w:color w:val="231F20"/>
          <w:w w:val="105"/>
        </w:rPr>
        <w:t>, nell’ampia varietà delle sue </w:t>
      </w:r>
      <w:r>
        <w:rPr>
          <w:color w:val="231F20"/>
        </w:rPr>
        <w:t>caratterizzazioni,</w:t>
      </w:r>
      <w:r>
        <w:rPr>
          <w:color w:val="231F20"/>
          <w:spacing w:val="-18"/>
        </w:rPr>
        <w:t> </w:t>
      </w:r>
      <w:r>
        <w:rPr>
          <w:color w:val="231F20"/>
        </w:rPr>
        <w:t>configurerebbe</w:t>
      </w:r>
      <w:r>
        <w:rPr>
          <w:color w:val="231F20"/>
          <w:spacing w:val="-18"/>
        </w:rPr>
        <w:t> </w:t>
      </w:r>
      <w:r>
        <w:rPr>
          <w:color w:val="231F20"/>
        </w:rPr>
        <w:t>dunque</w:t>
      </w:r>
      <w:r>
        <w:rPr>
          <w:color w:val="231F20"/>
          <w:spacing w:val="-18"/>
        </w:rPr>
        <w:t> </w:t>
      </w:r>
      <w:r>
        <w:rPr>
          <w:color w:val="231F20"/>
        </w:rPr>
        <w:t>un’ulteriore</w:t>
      </w:r>
      <w:r>
        <w:rPr>
          <w:color w:val="231F20"/>
          <w:spacing w:val="-20"/>
        </w:rPr>
        <w:t> </w:t>
      </w:r>
      <w:r>
        <w:rPr>
          <w:rFonts w:ascii="Arial" w:hAnsi="Arial"/>
          <w:i/>
          <w:color w:val="231F20"/>
        </w:rPr>
        <w:t>eccezione</w:t>
      </w:r>
      <w:r>
        <w:rPr>
          <w:rFonts w:ascii="Arial" w:hAnsi="Arial"/>
          <w:i/>
          <w:color w:val="231F20"/>
          <w:spacing w:val="-11"/>
        </w:rPr>
        <w:t> </w:t>
      </w:r>
      <w:r>
        <w:rPr>
          <w:color w:val="231F20"/>
        </w:rPr>
        <w:t>al</w:t>
      </w:r>
      <w:r>
        <w:rPr>
          <w:color w:val="231F20"/>
          <w:spacing w:val="-18"/>
        </w:rPr>
        <w:t> </w:t>
      </w:r>
      <w:r>
        <w:rPr>
          <w:color w:val="231F20"/>
        </w:rPr>
        <w:t>generale </w:t>
      </w:r>
      <w:r>
        <w:rPr>
          <w:color w:val="231F20"/>
          <w:w w:val="105"/>
        </w:rPr>
        <w:t>“bando</w:t>
      </w:r>
      <w:r>
        <w:rPr>
          <w:color w:val="231F20"/>
          <w:spacing w:val="-7"/>
          <w:w w:val="105"/>
        </w:rPr>
        <w:t> </w:t>
      </w:r>
      <w:r>
        <w:rPr>
          <w:color w:val="231F20"/>
          <w:w w:val="105"/>
        </w:rPr>
        <w:t>nei</w:t>
      </w:r>
      <w:r>
        <w:rPr>
          <w:color w:val="231F20"/>
          <w:spacing w:val="-7"/>
          <w:w w:val="105"/>
        </w:rPr>
        <w:t> </w:t>
      </w:r>
      <w:r>
        <w:rPr>
          <w:color w:val="231F20"/>
          <w:w w:val="105"/>
        </w:rPr>
        <w:t>confronti</w:t>
      </w:r>
      <w:r>
        <w:rPr>
          <w:color w:val="231F20"/>
          <w:spacing w:val="-7"/>
          <w:w w:val="105"/>
        </w:rPr>
        <w:t> </w:t>
      </w:r>
      <w:r>
        <w:rPr>
          <w:color w:val="231F20"/>
          <w:w w:val="105"/>
        </w:rPr>
        <w:t>dell’uso</w:t>
      </w:r>
      <w:r>
        <w:rPr>
          <w:color w:val="231F20"/>
          <w:spacing w:val="-7"/>
          <w:w w:val="105"/>
        </w:rPr>
        <w:t> </w:t>
      </w:r>
      <w:r>
        <w:rPr>
          <w:color w:val="231F20"/>
          <w:w w:val="105"/>
        </w:rPr>
        <w:t>della</w:t>
      </w:r>
      <w:r>
        <w:rPr>
          <w:color w:val="231F20"/>
          <w:spacing w:val="-7"/>
          <w:w w:val="105"/>
        </w:rPr>
        <w:t> </w:t>
      </w:r>
      <w:r>
        <w:rPr>
          <w:color w:val="231F20"/>
          <w:w w:val="105"/>
        </w:rPr>
        <w:t>forza”</w:t>
      </w:r>
      <w:r>
        <w:rPr>
          <w:color w:val="231F20"/>
          <w:spacing w:val="-7"/>
          <w:w w:val="105"/>
        </w:rPr>
        <w:t> </w:t>
      </w:r>
      <w:r>
        <w:rPr>
          <w:color w:val="231F20"/>
          <w:w w:val="105"/>
        </w:rPr>
        <w:t>imposto</w:t>
      </w:r>
      <w:r>
        <w:rPr>
          <w:color w:val="231F20"/>
          <w:spacing w:val="-7"/>
          <w:w w:val="105"/>
        </w:rPr>
        <w:t> </w:t>
      </w:r>
      <w:r>
        <w:rPr>
          <w:color w:val="231F20"/>
          <w:w w:val="105"/>
        </w:rPr>
        <w:t>dalla</w:t>
      </w:r>
      <w:r>
        <w:rPr>
          <w:color w:val="231F20"/>
          <w:spacing w:val="-7"/>
          <w:w w:val="105"/>
        </w:rPr>
        <w:t> </w:t>
      </w:r>
      <w:r>
        <w:rPr>
          <w:color w:val="231F20"/>
          <w:w w:val="105"/>
        </w:rPr>
        <w:t>Carta</w:t>
      </w:r>
      <w:r>
        <w:rPr>
          <w:color w:val="231F20"/>
          <w:spacing w:val="-8"/>
          <w:w w:val="105"/>
        </w:rPr>
        <w:t> </w:t>
      </w:r>
      <w:r>
        <w:rPr>
          <w:color w:val="231F20"/>
          <w:w w:val="105"/>
          <w:sz w:val="18"/>
        </w:rPr>
        <w:t>ONU</w:t>
      </w:r>
      <w:r>
        <w:rPr>
          <w:color w:val="231F20"/>
          <w:spacing w:val="2"/>
          <w:w w:val="105"/>
          <w:sz w:val="18"/>
        </w:rPr>
        <w:t> </w:t>
      </w:r>
      <w:r>
        <w:rPr>
          <w:color w:val="231F20"/>
          <w:w w:val="105"/>
        </w:rPr>
        <w:t>a</w:t>
      </w:r>
      <w:r>
        <w:rPr>
          <w:color w:val="231F20"/>
          <w:spacing w:val="-7"/>
          <w:w w:val="105"/>
        </w:rPr>
        <w:t> </w:t>
      </w:r>
      <w:r>
        <w:rPr>
          <w:color w:val="231F20"/>
          <w:w w:val="105"/>
        </w:rPr>
        <w:t>tutti gli</w:t>
      </w:r>
      <w:r>
        <w:rPr>
          <w:color w:val="231F20"/>
          <w:spacing w:val="-28"/>
          <w:w w:val="105"/>
        </w:rPr>
        <w:t> </w:t>
      </w:r>
      <w:r>
        <w:rPr>
          <w:color w:val="231F20"/>
          <w:w w:val="105"/>
        </w:rPr>
        <w:t>Stati</w:t>
      </w:r>
      <w:r>
        <w:rPr>
          <w:color w:val="231F20"/>
          <w:spacing w:val="-28"/>
          <w:w w:val="105"/>
        </w:rPr>
        <w:t> </w:t>
      </w:r>
      <w:r>
        <w:rPr>
          <w:color w:val="231F20"/>
          <w:w w:val="105"/>
        </w:rPr>
        <w:t>membri</w:t>
      </w:r>
      <w:r>
        <w:rPr>
          <w:color w:val="231F20"/>
          <w:spacing w:val="-28"/>
          <w:w w:val="105"/>
        </w:rPr>
        <w:t> </w:t>
      </w:r>
      <w:r>
        <w:rPr>
          <w:color w:val="231F20"/>
          <w:w w:val="105"/>
        </w:rPr>
        <w:t>—una</w:t>
      </w:r>
      <w:r>
        <w:rPr>
          <w:color w:val="231F20"/>
          <w:spacing w:val="-28"/>
          <w:w w:val="105"/>
        </w:rPr>
        <w:t> </w:t>
      </w:r>
      <w:r>
        <w:rPr>
          <w:color w:val="231F20"/>
          <w:w w:val="105"/>
        </w:rPr>
        <w:t>condizione</w:t>
      </w:r>
      <w:r>
        <w:rPr>
          <w:color w:val="231F20"/>
          <w:spacing w:val="-28"/>
          <w:w w:val="105"/>
        </w:rPr>
        <w:t> </w:t>
      </w:r>
      <w:r>
        <w:rPr>
          <w:color w:val="231F20"/>
          <w:w w:val="105"/>
        </w:rPr>
        <w:t>non</w:t>
      </w:r>
      <w:r>
        <w:rPr>
          <w:color w:val="231F20"/>
          <w:spacing w:val="-28"/>
          <w:w w:val="105"/>
        </w:rPr>
        <w:t> </w:t>
      </w:r>
      <w:r>
        <w:rPr>
          <w:color w:val="231F20"/>
          <w:w w:val="105"/>
        </w:rPr>
        <w:t>codificata</w:t>
      </w:r>
      <w:r>
        <w:rPr>
          <w:color w:val="231F20"/>
          <w:spacing w:val="-28"/>
          <w:w w:val="105"/>
        </w:rPr>
        <w:t> </w:t>
      </w:r>
      <w:r>
        <w:rPr>
          <w:color w:val="231F20"/>
          <w:w w:val="105"/>
        </w:rPr>
        <w:t>dal</w:t>
      </w:r>
      <w:r>
        <w:rPr>
          <w:color w:val="231F20"/>
          <w:spacing w:val="-28"/>
          <w:w w:val="105"/>
        </w:rPr>
        <w:t> </w:t>
      </w:r>
      <w:r>
        <w:rPr>
          <w:color w:val="231F20"/>
          <w:w w:val="105"/>
        </w:rPr>
        <w:t>diritto</w:t>
      </w:r>
      <w:r>
        <w:rPr>
          <w:color w:val="231F20"/>
          <w:spacing w:val="-28"/>
          <w:w w:val="105"/>
        </w:rPr>
        <w:t> </w:t>
      </w:r>
      <w:r>
        <w:rPr>
          <w:color w:val="231F20"/>
          <w:w w:val="105"/>
        </w:rPr>
        <w:t>internazionale, ma</w:t>
      </w:r>
      <w:r>
        <w:rPr>
          <w:color w:val="231F20"/>
          <w:spacing w:val="-37"/>
          <w:w w:val="105"/>
        </w:rPr>
        <w:t> </w:t>
      </w:r>
      <w:r>
        <w:rPr>
          <w:color w:val="231F20"/>
          <w:w w:val="105"/>
        </w:rPr>
        <w:t>fondata</w:t>
      </w:r>
      <w:r>
        <w:rPr>
          <w:color w:val="231F20"/>
          <w:spacing w:val="-37"/>
          <w:w w:val="105"/>
        </w:rPr>
        <w:t> </w:t>
      </w:r>
      <w:r>
        <w:rPr>
          <w:color w:val="231F20"/>
          <w:w w:val="105"/>
        </w:rPr>
        <w:t>su</w:t>
      </w:r>
      <w:r>
        <w:rPr>
          <w:color w:val="231F20"/>
          <w:spacing w:val="-37"/>
          <w:w w:val="105"/>
        </w:rPr>
        <w:t> </w:t>
      </w:r>
      <w:r>
        <w:rPr>
          <w:color w:val="231F20"/>
          <w:w w:val="105"/>
        </w:rPr>
        <w:t>più</w:t>
      </w:r>
      <w:r>
        <w:rPr>
          <w:color w:val="231F20"/>
          <w:spacing w:val="-37"/>
          <w:w w:val="105"/>
        </w:rPr>
        <w:t> </w:t>
      </w:r>
      <w:r>
        <w:rPr>
          <w:color w:val="231F20"/>
          <w:w w:val="105"/>
        </w:rPr>
        <w:t>profondi</w:t>
      </w:r>
      <w:r>
        <w:rPr>
          <w:color w:val="231F20"/>
          <w:spacing w:val="-37"/>
          <w:w w:val="105"/>
        </w:rPr>
        <w:t> </w:t>
      </w:r>
      <w:r>
        <w:rPr>
          <w:color w:val="231F20"/>
          <w:w w:val="105"/>
        </w:rPr>
        <w:t>principi</w:t>
      </w:r>
      <w:r>
        <w:rPr>
          <w:color w:val="231F20"/>
          <w:spacing w:val="-37"/>
          <w:w w:val="105"/>
        </w:rPr>
        <w:t> </w:t>
      </w:r>
      <w:r>
        <w:rPr>
          <w:color w:val="231F20"/>
          <w:w w:val="105"/>
        </w:rPr>
        <w:t>di</w:t>
      </w:r>
      <w:r>
        <w:rPr>
          <w:color w:val="231F20"/>
          <w:spacing w:val="-37"/>
          <w:w w:val="105"/>
        </w:rPr>
        <w:t> </w:t>
      </w:r>
      <w:r>
        <w:rPr>
          <w:color w:val="231F20"/>
          <w:w w:val="105"/>
        </w:rPr>
        <w:t>giustizia,</w:t>
      </w:r>
      <w:r>
        <w:rPr>
          <w:color w:val="231F20"/>
          <w:spacing w:val="-37"/>
          <w:w w:val="105"/>
        </w:rPr>
        <w:t> </w:t>
      </w:r>
      <w:r>
        <w:rPr>
          <w:color w:val="231F20"/>
          <w:w w:val="105"/>
        </w:rPr>
        <w:t>universalmente</w:t>
      </w:r>
      <w:r>
        <w:rPr>
          <w:color w:val="231F20"/>
          <w:spacing w:val="-37"/>
          <w:w w:val="105"/>
        </w:rPr>
        <w:t> </w:t>
      </w:r>
      <w:r>
        <w:rPr>
          <w:color w:val="231F20"/>
          <w:w w:val="105"/>
        </w:rPr>
        <w:t>vincolanti</w:t>
      </w:r>
      <w:r>
        <w:rPr>
          <w:color w:val="231F20"/>
          <w:spacing w:val="-37"/>
          <w:w w:val="105"/>
        </w:rPr>
        <w:t> </w:t>
      </w:r>
      <w:r>
        <w:rPr>
          <w:color w:val="231F20"/>
          <w:w w:val="105"/>
        </w:rPr>
        <w:t>a </w:t>
      </w:r>
      <w:r>
        <w:rPr>
          <w:color w:val="231F20"/>
          <w:spacing w:val="-4"/>
          <w:w w:val="105"/>
        </w:rPr>
        <w:t>prescindere</w:t>
      </w:r>
      <w:r>
        <w:rPr>
          <w:color w:val="231F20"/>
          <w:spacing w:val="-41"/>
          <w:w w:val="105"/>
        </w:rPr>
        <w:t> </w:t>
      </w:r>
      <w:r>
        <w:rPr>
          <w:color w:val="231F20"/>
          <w:w w:val="105"/>
        </w:rPr>
        <w:t>dal</w:t>
      </w:r>
      <w:r>
        <w:rPr>
          <w:color w:val="231F20"/>
          <w:spacing w:val="-41"/>
          <w:w w:val="105"/>
        </w:rPr>
        <w:t> </w:t>
      </w:r>
      <w:r>
        <w:rPr>
          <w:color w:val="231F20"/>
          <w:spacing w:val="-4"/>
          <w:w w:val="105"/>
        </w:rPr>
        <w:t>loro</w:t>
      </w:r>
      <w:r>
        <w:rPr>
          <w:color w:val="231F20"/>
          <w:spacing w:val="-41"/>
          <w:w w:val="105"/>
        </w:rPr>
        <w:t> </w:t>
      </w:r>
      <w:r>
        <w:rPr>
          <w:color w:val="231F20"/>
          <w:spacing w:val="-3"/>
          <w:w w:val="105"/>
        </w:rPr>
        <w:t>riconoscimento</w:t>
      </w:r>
      <w:r>
        <w:rPr>
          <w:color w:val="231F20"/>
          <w:spacing w:val="-41"/>
          <w:w w:val="105"/>
        </w:rPr>
        <w:t> </w:t>
      </w:r>
      <w:r>
        <w:rPr>
          <w:color w:val="231F20"/>
          <w:spacing w:val="-3"/>
          <w:w w:val="105"/>
        </w:rPr>
        <w:t>giuspositivo.</w:t>
      </w:r>
      <w:r>
        <w:rPr>
          <w:color w:val="231F20"/>
          <w:spacing w:val="-41"/>
          <w:w w:val="105"/>
        </w:rPr>
        <w:t> </w:t>
      </w:r>
      <w:r>
        <w:rPr>
          <w:color w:val="231F20"/>
          <w:spacing w:val="-4"/>
          <w:w w:val="105"/>
        </w:rPr>
        <w:t>Ancorché</w:t>
      </w:r>
      <w:r>
        <w:rPr>
          <w:color w:val="231F20"/>
          <w:spacing w:val="-38"/>
          <w:w w:val="105"/>
        </w:rPr>
        <w:t> </w:t>
      </w:r>
      <w:r>
        <w:rPr>
          <w:rFonts w:ascii="Arial" w:hAnsi="Arial"/>
          <w:i/>
          <w:color w:val="231F20"/>
          <w:spacing w:val="-3"/>
          <w:w w:val="105"/>
        </w:rPr>
        <w:t>illegale</w:t>
      </w:r>
      <w:r>
        <w:rPr>
          <w:rFonts w:ascii="Arial" w:hAnsi="Arial"/>
          <w:i/>
          <w:color w:val="231F20"/>
          <w:spacing w:val="-31"/>
          <w:w w:val="105"/>
        </w:rPr>
        <w:t> </w:t>
      </w:r>
      <w:r>
        <w:rPr>
          <w:color w:val="231F20"/>
          <w:w w:val="105"/>
        </w:rPr>
        <w:t>dal</w:t>
      </w:r>
      <w:r>
        <w:rPr>
          <w:color w:val="231F20"/>
          <w:spacing w:val="-41"/>
          <w:w w:val="105"/>
        </w:rPr>
        <w:t> </w:t>
      </w:r>
      <w:r>
        <w:rPr>
          <w:color w:val="231F20"/>
          <w:spacing w:val="-3"/>
          <w:w w:val="105"/>
        </w:rPr>
        <w:t>punto </w:t>
      </w:r>
      <w:r>
        <w:rPr>
          <w:color w:val="231F20"/>
          <w:w w:val="105"/>
        </w:rPr>
        <w:t>di</w:t>
      </w:r>
      <w:r>
        <w:rPr>
          <w:color w:val="231F20"/>
          <w:spacing w:val="-30"/>
          <w:w w:val="105"/>
        </w:rPr>
        <w:t> </w:t>
      </w:r>
      <w:r>
        <w:rPr>
          <w:color w:val="231F20"/>
          <w:w w:val="105"/>
        </w:rPr>
        <w:t>vista</w:t>
      </w:r>
      <w:r>
        <w:rPr>
          <w:color w:val="231F20"/>
          <w:spacing w:val="-30"/>
          <w:w w:val="105"/>
        </w:rPr>
        <w:t> </w:t>
      </w:r>
      <w:r>
        <w:rPr>
          <w:color w:val="231F20"/>
          <w:w w:val="105"/>
        </w:rPr>
        <w:t>del</w:t>
      </w:r>
      <w:r>
        <w:rPr>
          <w:color w:val="231F20"/>
          <w:spacing w:val="-30"/>
          <w:w w:val="105"/>
        </w:rPr>
        <w:t> </w:t>
      </w:r>
      <w:r>
        <w:rPr>
          <w:color w:val="231F20"/>
          <w:w w:val="105"/>
        </w:rPr>
        <w:t>diritto</w:t>
      </w:r>
      <w:r>
        <w:rPr>
          <w:color w:val="231F20"/>
          <w:spacing w:val="-30"/>
          <w:w w:val="105"/>
        </w:rPr>
        <w:t> </w:t>
      </w:r>
      <w:r>
        <w:rPr>
          <w:color w:val="231F20"/>
          <w:w w:val="105"/>
        </w:rPr>
        <w:t>internazionale,</w:t>
      </w:r>
      <w:r>
        <w:rPr>
          <w:color w:val="231F20"/>
          <w:spacing w:val="-30"/>
          <w:w w:val="105"/>
        </w:rPr>
        <w:t> </w:t>
      </w:r>
      <w:r>
        <w:rPr>
          <w:color w:val="231F20"/>
          <w:w w:val="105"/>
        </w:rPr>
        <w:t>una</w:t>
      </w:r>
      <w:r>
        <w:rPr>
          <w:color w:val="231F20"/>
          <w:spacing w:val="-30"/>
          <w:w w:val="105"/>
        </w:rPr>
        <w:t> </w:t>
      </w:r>
      <w:r>
        <w:rPr>
          <w:color w:val="231F20"/>
          <w:w w:val="105"/>
        </w:rPr>
        <w:t>guerra</w:t>
      </w:r>
      <w:r>
        <w:rPr>
          <w:color w:val="231F20"/>
          <w:spacing w:val="-30"/>
          <w:w w:val="105"/>
        </w:rPr>
        <w:t> </w:t>
      </w:r>
      <w:r>
        <w:rPr>
          <w:color w:val="231F20"/>
          <w:w w:val="105"/>
        </w:rPr>
        <w:t>combattuta</w:t>
      </w:r>
      <w:r>
        <w:rPr>
          <w:color w:val="231F20"/>
          <w:spacing w:val="-30"/>
          <w:w w:val="105"/>
        </w:rPr>
        <w:t> </w:t>
      </w:r>
      <w:r>
        <w:rPr>
          <w:color w:val="231F20"/>
          <w:w w:val="105"/>
        </w:rPr>
        <w:t>per</w:t>
      </w:r>
      <w:r>
        <w:rPr>
          <w:color w:val="231F20"/>
          <w:spacing w:val="-30"/>
          <w:w w:val="105"/>
        </w:rPr>
        <w:t> </w:t>
      </w:r>
      <w:r>
        <w:rPr>
          <w:color w:val="231F20"/>
          <w:w w:val="105"/>
        </w:rPr>
        <w:t>fini</w:t>
      </w:r>
      <w:r>
        <w:rPr>
          <w:color w:val="231F20"/>
          <w:spacing w:val="-30"/>
          <w:w w:val="105"/>
        </w:rPr>
        <w:t> </w:t>
      </w:r>
      <w:r>
        <w:rPr>
          <w:color w:val="231F20"/>
          <w:w w:val="105"/>
        </w:rPr>
        <w:t>umanitari </w:t>
      </w:r>
      <w:r>
        <w:rPr>
          <w:color w:val="231F20"/>
          <w:spacing w:val="3"/>
          <w:w w:val="105"/>
        </w:rPr>
        <w:t>deve essere </w:t>
      </w:r>
      <w:r>
        <w:rPr>
          <w:color w:val="231F20"/>
          <w:spacing w:val="4"/>
          <w:w w:val="105"/>
        </w:rPr>
        <w:t>considerata, </w:t>
      </w:r>
      <w:r>
        <w:rPr>
          <w:color w:val="231F20"/>
          <w:spacing w:val="3"/>
          <w:w w:val="105"/>
        </w:rPr>
        <w:t>perciò, come </w:t>
      </w:r>
      <w:r>
        <w:rPr>
          <w:color w:val="231F20"/>
          <w:spacing w:val="4"/>
          <w:w w:val="105"/>
        </w:rPr>
        <w:t>un’azione </w:t>
      </w:r>
      <w:r>
        <w:rPr>
          <w:color w:val="231F20"/>
          <w:spacing w:val="3"/>
          <w:w w:val="105"/>
        </w:rPr>
        <w:t>del </w:t>
      </w:r>
      <w:r>
        <w:rPr>
          <w:color w:val="231F20"/>
          <w:spacing w:val="4"/>
          <w:w w:val="105"/>
        </w:rPr>
        <w:t>tutto </w:t>
      </w:r>
      <w:r>
        <w:rPr>
          <w:rFonts w:ascii="Arial" w:hAnsi="Arial"/>
          <w:i/>
          <w:color w:val="231F20"/>
          <w:spacing w:val="4"/>
          <w:w w:val="105"/>
        </w:rPr>
        <w:t>legittima</w:t>
      </w:r>
      <w:r>
        <w:rPr>
          <w:color w:val="231F20"/>
          <w:spacing w:val="4"/>
          <w:w w:val="105"/>
        </w:rPr>
        <w:t>, </w:t>
      </w:r>
      <w:r>
        <w:rPr>
          <w:color w:val="231F20"/>
          <w:w w:val="105"/>
        </w:rPr>
        <w:t>addirittura</w:t>
      </w:r>
      <w:r>
        <w:rPr>
          <w:color w:val="231F20"/>
          <w:spacing w:val="-24"/>
          <w:w w:val="105"/>
        </w:rPr>
        <w:t> </w:t>
      </w:r>
      <w:r>
        <w:rPr>
          <w:color w:val="231F20"/>
          <w:w w:val="105"/>
        </w:rPr>
        <w:t>come</w:t>
      </w:r>
      <w:r>
        <w:rPr>
          <w:color w:val="231F20"/>
          <w:spacing w:val="-24"/>
          <w:w w:val="105"/>
        </w:rPr>
        <w:t> </w:t>
      </w:r>
      <w:r>
        <w:rPr>
          <w:color w:val="231F20"/>
          <w:w w:val="105"/>
        </w:rPr>
        <w:t>un</w:t>
      </w:r>
      <w:r>
        <w:rPr>
          <w:color w:val="231F20"/>
          <w:spacing w:val="-24"/>
          <w:w w:val="105"/>
        </w:rPr>
        <w:t> </w:t>
      </w:r>
      <w:r>
        <w:rPr>
          <w:color w:val="231F20"/>
          <w:w w:val="105"/>
        </w:rPr>
        <w:t>“bene</w:t>
      </w:r>
      <w:r>
        <w:rPr>
          <w:color w:val="231F20"/>
          <w:spacing w:val="-24"/>
          <w:w w:val="105"/>
        </w:rPr>
        <w:t> </w:t>
      </w:r>
      <w:r>
        <w:rPr>
          <w:color w:val="231F20"/>
          <w:w w:val="105"/>
        </w:rPr>
        <w:t>morale</w:t>
      </w:r>
      <w:r>
        <w:rPr>
          <w:color w:val="231F20"/>
          <w:spacing w:val="-24"/>
          <w:w w:val="105"/>
        </w:rPr>
        <w:t> </w:t>
      </w:r>
      <w:r>
        <w:rPr>
          <w:color w:val="231F20"/>
          <w:w w:val="105"/>
        </w:rPr>
        <w:t>in</w:t>
      </w:r>
      <w:r>
        <w:rPr>
          <w:color w:val="231F20"/>
          <w:spacing w:val="-24"/>
          <w:w w:val="105"/>
        </w:rPr>
        <w:t> </w:t>
      </w:r>
      <w:r>
        <w:rPr>
          <w:color w:val="231F20"/>
          <w:w w:val="105"/>
        </w:rPr>
        <w:t>sé”,</w:t>
      </w:r>
      <w:r>
        <w:rPr>
          <w:color w:val="231F20"/>
          <w:spacing w:val="-24"/>
          <w:w w:val="105"/>
        </w:rPr>
        <w:t> </w:t>
      </w:r>
      <w:r>
        <w:rPr>
          <w:color w:val="231F20"/>
          <w:w w:val="105"/>
        </w:rPr>
        <w:t>come</w:t>
      </w:r>
      <w:r>
        <w:rPr>
          <w:color w:val="231F20"/>
          <w:spacing w:val="-24"/>
          <w:w w:val="105"/>
        </w:rPr>
        <w:t> </w:t>
      </w:r>
      <w:r>
        <w:rPr>
          <w:color w:val="231F20"/>
          <w:w w:val="105"/>
        </w:rPr>
        <w:t>affermano</w:t>
      </w:r>
      <w:r>
        <w:rPr>
          <w:color w:val="231F20"/>
          <w:spacing w:val="-24"/>
          <w:w w:val="105"/>
        </w:rPr>
        <w:t> </w:t>
      </w:r>
      <w:r>
        <w:rPr>
          <w:color w:val="231F20"/>
          <w:w w:val="105"/>
        </w:rPr>
        <w:t>i</w:t>
      </w:r>
      <w:r>
        <w:rPr>
          <w:color w:val="231F20"/>
          <w:spacing w:val="-24"/>
          <w:w w:val="105"/>
        </w:rPr>
        <w:t> </w:t>
      </w:r>
      <w:r>
        <w:rPr>
          <w:color w:val="231F20"/>
          <w:w w:val="105"/>
        </w:rPr>
        <w:t>sostenitori</w:t>
      </w:r>
      <w:r>
        <w:rPr>
          <w:color w:val="231F20"/>
          <w:spacing w:val="-24"/>
          <w:w w:val="105"/>
        </w:rPr>
        <w:t> </w:t>
      </w:r>
      <w:r>
        <w:rPr>
          <w:color w:val="231F20"/>
          <w:w w:val="105"/>
        </w:rPr>
        <w:t>più </w:t>
      </w:r>
      <w:r>
        <w:rPr>
          <w:color w:val="231F20"/>
          <w:spacing w:val="-3"/>
          <w:w w:val="105"/>
        </w:rPr>
        <w:t>radicali</w:t>
      </w:r>
      <w:r>
        <w:rPr>
          <w:color w:val="231F20"/>
          <w:spacing w:val="-40"/>
          <w:w w:val="105"/>
        </w:rPr>
        <w:t> </w:t>
      </w:r>
      <w:r>
        <w:rPr>
          <w:color w:val="231F20"/>
          <w:w w:val="105"/>
        </w:rPr>
        <w:t>di</w:t>
      </w:r>
      <w:r>
        <w:rPr>
          <w:color w:val="231F20"/>
          <w:spacing w:val="-40"/>
          <w:w w:val="105"/>
        </w:rPr>
        <w:t> </w:t>
      </w:r>
      <w:r>
        <w:rPr>
          <w:color w:val="231F20"/>
          <w:w w:val="105"/>
        </w:rPr>
        <w:t>una</w:t>
      </w:r>
      <w:r>
        <w:rPr>
          <w:color w:val="231F20"/>
          <w:spacing w:val="-40"/>
          <w:w w:val="105"/>
        </w:rPr>
        <w:t> </w:t>
      </w:r>
      <w:r>
        <w:rPr>
          <w:color w:val="231F20"/>
          <w:spacing w:val="-3"/>
          <w:w w:val="105"/>
        </w:rPr>
        <w:t>“cosmopolitan</w:t>
      </w:r>
      <w:r>
        <w:rPr>
          <w:color w:val="231F20"/>
          <w:spacing w:val="-40"/>
          <w:w w:val="105"/>
        </w:rPr>
        <w:t> </w:t>
      </w:r>
      <w:r>
        <w:rPr>
          <w:color w:val="231F20"/>
          <w:spacing w:val="-3"/>
          <w:w w:val="105"/>
        </w:rPr>
        <w:t>political</w:t>
      </w:r>
      <w:r>
        <w:rPr>
          <w:color w:val="231F20"/>
          <w:spacing w:val="-40"/>
          <w:w w:val="105"/>
        </w:rPr>
        <w:t> </w:t>
      </w:r>
      <w:r>
        <w:rPr>
          <w:color w:val="231F20"/>
          <w:spacing w:val="-3"/>
          <w:w w:val="105"/>
        </w:rPr>
        <w:t>morality”</w:t>
      </w:r>
      <w:r>
        <w:rPr>
          <w:color w:val="231F20"/>
          <w:spacing w:val="-40"/>
          <w:w w:val="105"/>
        </w:rPr>
        <w:t> </w:t>
      </w:r>
      <w:r>
        <w:rPr>
          <w:color w:val="231F20"/>
          <w:spacing w:val="-3"/>
          <w:w w:val="105"/>
        </w:rPr>
        <w:t>delle</w:t>
      </w:r>
      <w:r>
        <w:rPr>
          <w:color w:val="231F20"/>
          <w:spacing w:val="-40"/>
          <w:w w:val="105"/>
        </w:rPr>
        <w:t> </w:t>
      </w:r>
      <w:r>
        <w:rPr>
          <w:color w:val="231F20"/>
          <w:spacing w:val="-4"/>
          <w:w w:val="105"/>
        </w:rPr>
        <w:t>relazioni</w:t>
      </w:r>
      <w:r>
        <w:rPr>
          <w:color w:val="231F20"/>
          <w:spacing w:val="-40"/>
          <w:w w:val="105"/>
        </w:rPr>
        <w:t> </w:t>
      </w:r>
      <w:r>
        <w:rPr>
          <w:color w:val="231F20"/>
          <w:spacing w:val="-4"/>
          <w:w w:val="105"/>
        </w:rPr>
        <w:t>internazionali</w:t>
      </w:r>
      <w:r>
        <w:rPr>
          <w:color w:val="231F20"/>
          <w:spacing w:val="-4"/>
          <w:w w:val="105"/>
          <w:position w:val="7"/>
          <w:sz w:val="12"/>
        </w:rPr>
        <w:t>9</w:t>
      </w:r>
      <w:r>
        <w:rPr>
          <w:color w:val="231F20"/>
          <w:spacing w:val="-4"/>
          <w:w w:val="105"/>
        </w:rPr>
        <w:t>. </w:t>
      </w:r>
      <w:r>
        <w:rPr>
          <w:color w:val="231F20"/>
          <w:w w:val="105"/>
        </w:rPr>
        <w:t>Come</w:t>
      </w:r>
      <w:r>
        <w:rPr>
          <w:color w:val="231F20"/>
          <w:spacing w:val="-17"/>
          <w:w w:val="105"/>
        </w:rPr>
        <w:t> </w:t>
      </w:r>
      <w:r>
        <w:rPr>
          <w:color w:val="231F20"/>
          <w:w w:val="105"/>
        </w:rPr>
        <w:t>è</w:t>
      </w:r>
      <w:r>
        <w:rPr>
          <w:color w:val="231F20"/>
          <w:spacing w:val="-17"/>
          <w:w w:val="105"/>
        </w:rPr>
        <w:t> </w:t>
      </w:r>
      <w:r>
        <w:rPr>
          <w:color w:val="231F20"/>
          <w:w w:val="105"/>
        </w:rPr>
        <w:t>evidente,</w:t>
      </w:r>
      <w:r>
        <w:rPr>
          <w:color w:val="231F20"/>
          <w:spacing w:val="-17"/>
          <w:w w:val="105"/>
        </w:rPr>
        <w:t> </w:t>
      </w:r>
      <w:r>
        <w:rPr>
          <w:color w:val="231F20"/>
          <w:w w:val="105"/>
        </w:rPr>
        <w:t>alla</w:t>
      </w:r>
      <w:r>
        <w:rPr>
          <w:color w:val="231F20"/>
          <w:spacing w:val="-17"/>
          <w:w w:val="105"/>
        </w:rPr>
        <w:t> </w:t>
      </w:r>
      <w:r>
        <w:rPr>
          <w:color w:val="231F20"/>
          <w:w w:val="105"/>
        </w:rPr>
        <w:t>base</w:t>
      </w:r>
      <w:r>
        <w:rPr>
          <w:color w:val="231F20"/>
          <w:spacing w:val="-17"/>
          <w:w w:val="105"/>
        </w:rPr>
        <w:t> </w:t>
      </w:r>
      <w:r>
        <w:rPr>
          <w:color w:val="231F20"/>
          <w:w w:val="105"/>
        </w:rPr>
        <w:t>di</w:t>
      </w:r>
      <w:r>
        <w:rPr>
          <w:color w:val="231F20"/>
          <w:spacing w:val="-17"/>
          <w:w w:val="105"/>
        </w:rPr>
        <w:t> </w:t>
      </w:r>
      <w:r>
        <w:rPr>
          <w:color w:val="231F20"/>
          <w:w w:val="105"/>
        </w:rPr>
        <w:t>questo</w:t>
      </w:r>
      <w:r>
        <w:rPr>
          <w:color w:val="231F20"/>
          <w:spacing w:val="-17"/>
          <w:w w:val="105"/>
        </w:rPr>
        <w:t> </w:t>
      </w:r>
      <w:r>
        <w:rPr>
          <w:color w:val="231F20"/>
          <w:w w:val="105"/>
        </w:rPr>
        <w:t>“nuovo</w:t>
      </w:r>
      <w:r>
        <w:rPr>
          <w:color w:val="231F20"/>
          <w:spacing w:val="-17"/>
          <w:w w:val="105"/>
        </w:rPr>
        <w:t> </w:t>
      </w:r>
      <w:r>
        <w:rPr>
          <w:color w:val="231F20"/>
          <w:w w:val="105"/>
        </w:rPr>
        <w:t>interventismo</w:t>
      </w:r>
      <w:r>
        <w:rPr>
          <w:color w:val="231F20"/>
          <w:spacing w:val="-17"/>
          <w:w w:val="105"/>
        </w:rPr>
        <w:t> </w:t>
      </w:r>
      <w:r>
        <w:rPr>
          <w:color w:val="231F20"/>
          <w:w w:val="105"/>
        </w:rPr>
        <w:t>umanitario”</w:t>
      </w:r>
      <w:r>
        <w:rPr>
          <w:color w:val="231F20"/>
          <w:w w:val="105"/>
          <w:position w:val="7"/>
          <w:sz w:val="12"/>
        </w:rPr>
        <w:t>10 </w:t>
      </w:r>
      <w:r>
        <w:rPr>
          <w:color w:val="231F20"/>
          <w:w w:val="105"/>
        </w:rPr>
        <w:t>si </w:t>
      </w:r>
      <w:r>
        <w:rPr>
          <w:color w:val="231F20"/>
          <w:spacing w:val="2"/>
          <w:w w:val="105"/>
        </w:rPr>
        <w:t>pone </w:t>
      </w:r>
      <w:r>
        <w:rPr>
          <w:color w:val="231F20"/>
          <w:w w:val="105"/>
        </w:rPr>
        <w:t>una </w:t>
      </w:r>
      <w:r>
        <w:rPr>
          <w:color w:val="231F20"/>
          <w:spacing w:val="2"/>
          <w:w w:val="105"/>
        </w:rPr>
        <w:t>decisa ridefinizione </w:t>
      </w:r>
      <w:r>
        <w:rPr>
          <w:color w:val="231F20"/>
          <w:w w:val="105"/>
        </w:rPr>
        <w:t>del </w:t>
      </w:r>
      <w:r>
        <w:rPr>
          <w:color w:val="231F20"/>
          <w:spacing w:val="2"/>
          <w:w w:val="105"/>
        </w:rPr>
        <w:t>rapporto </w:t>
      </w:r>
      <w:r>
        <w:rPr>
          <w:color w:val="231F20"/>
          <w:w w:val="105"/>
        </w:rPr>
        <w:t>—in </w:t>
      </w:r>
      <w:r>
        <w:rPr>
          <w:color w:val="231F20"/>
          <w:spacing w:val="2"/>
          <w:w w:val="105"/>
        </w:rPr>
        <w:t>verità </w:t>
      </w:r>
      <w:r>
        <w:rPr>
          <w:color w:val="231F20"/>
          <w:w w:val="105"/>
        </w:rPr>
        <w:t>sin </w:t>
      </w:r>
      <w:r>
        <w:rPr>
          <w:color w:val="231F20"/>
          <w:spacing w:val="3"/>
          <w:w w:val="105"/>
        </w:rPr>
        <w:t>dall’inizio </w:t>
      </w:r>
      <w:r>
        <w:rPr>
          <w:color w:val="231F20"/>
          <w:w w:val="105"/>
        </w:rPr>
        <w:t>problematico— esistente tra il “vecchio ordine della sovranità</w:t>
      </w:r>
      <w:r>
        <w:rPr>
          <w:color w:val="231F20"/>
          <w:spacing w:val="-42"/>
          <w:w w:val="105"/>
        </w:rPr>
        <w:t> </w:t>
      </w:r>
      <w:r>
        <w:rPr>
          <w:color w:val="231F20"/>
          <w:w w:val="105"/>
        </w:rPr>
        <w:t>nazional–</w:t>
      </w:r>
    </w:p>
    <w:p>
      <w:pPr>
        <w:pStyle w:val="BodyText"/>
        <w:rPr>
          <w:sz w:val="20"/>
        </w:rPr>
      </w:pPr>
    </w:p>
    <w:p>
      <w:pPr>
        <w:pStyle w:val="BodyText"/>
        <w:spacing w:before="8"/>
        <w:rPr>
          <w:sz w:val="17"/>
        </w:rPr>
      </w:pPr>
      <w:r>
        <w:rPr/>
        <w:pict>
          <v:line style="position:absolute;mso-position-horizontal-relative:page;mso-position-vertical-relative:paragraph;z-index:14248;mso-wrap-distance-left:0;mso-wrap-distance-right:0" from="70.866096pt,12.763411pt" to="184.252096pt,12.763411pt" stroked="true" strokeweight=".3pt" strokecolor="#231f20">
            <w10:wrap type="topAndBottom"/>
          </v:line>
        </w:pict>
      </w:r>
    </w:p>
    <w:p>
      <w:pPr>
        <w:spacing w:line="204" w:lineRule="exact" w:before="9"/>
        <w:ind w:left="117" w:right="101" w:firstLine="0"/>
        <w:jc w:val="both"/>
        <w:rPr>
          <w:rFonts w:ascii="Calibri" w:hAnsi="Calibri"/>
          <w:sz w:val="17"/>
        </w:rPr>
      </w:pPr>
      <w:r>
        <w:rPr>
          <w:rFonts w:ascii="Calibri" w:hAnsi="Calibri"/>
          <w:color w:val="231F20"/>
          <w:w w:val="105"/>
          <w:sz w:val="17"/>
        </w:rPr>
        <w:t>in</w:t>
      </w:r>
      <w:r>
        <w:rPr>
          <w:rFonts w:ascii="Calibri" w:hAnsi="Calibri"/>
          <w:color w:val="231F20"/>
          <w:spacing w:val="-6"/>
          <w:w w:val="105"/>
          <w:sz w:val="17"/>
        </w:rPr>
        <w:t> </w:t>
      </w:r>
      <w:r>
        <w:rPr>
          <w:rFonts w:ascii="Calibri" w:hAnsi="Calibri"/>
          <w:color w:val="231F20"/>
          <w:w w:val="105"/>
          <w:sz w:val="17"/>
        </w:rPr>
        <w:t>the</w:t>
      </w:r>
      <w:r>
        <w:rPr>
          <w:rFonts w:ascii="Calibri" w:hAnsi="Calibri"/>
          <w:color w:val="231F20"/>
          <w:spacing w:val="-6"/>
          <w:w w:val="105"/>
          <w:sz w:val="17"/>
        </w:rPr>
        <w:t> </w:t>
      </w:r>
      <w:r>
        <w:rPr>
          <w:rFonts w:ascii="Calibri" w:hAnsi="Calibri"/>
          <w:color w:val="231F20"/>
          <w:w w:val="105"/>
          <w:sz w:val="17"/>
        </w:rPr>
        <w:t>present</w:t>
      </w:r>
      <w:r>
        <w:rPr>
          <w:rFonts w:ascii="Calibri" w:hAnsi="Calibri"/>
          <w:color w:val="231F20"/>
          <w:spacing w:val="-6"/>
          <w:w w:val="105"/>
          <w:sz w:val="17"/>
        </w:rPr>
        <w:t> </w:t>
      </w:r>
      <w:r>
        <w:rPr>
          <w:rFonts w:ascii="Calibri" w:hAnsi="Calibri"/>
          <w:color w:val="231F20"/>
          <w:w w:val="105"/>
          <w:sz w:val="17"/>
        </w:rPr>
        <w:t>Charter</w:t>
      </w:r>
      <w:r>
        <w:rPr>
          <w:rFonts w:ascii="Calibri" w:hAnsi="Calibri"/>
          <w:color w:val="231F20"/>
          <w:spacing w:val="-6"/>
          <w:w w:val="105"/>
          <w:sz w:val="17"/>
        </w:rPr>
        <w:t> </w:t>
      </w:r>
      <w:r>
        <w:rPr>
          <w:rFonts w:ascii="Calibri" w:hAnsi="Calibri"/>
          <w:color w:val="231F20"/>
          <w:w w:val="105"/>
          <w:sz w:val="17"/>
        </w:rPr>
        <w:t>shall</w:t>
      </w:r>
      <w:r>
        <w:rPr>
          <w:rFonts w:ascii="Calibri" w:hAnsi="Calibri"/>
          <w:color w:val="231F20"/>
          <w:spacing w:val="-6"/>
          <w:w w:val="105"/>
          <w:sz w:val="17"/>
        </w:rPr>
        <w:t> </w:t>
      </w:r>
      <w:r>
        <w:rPr>
          <w:rFonts w:ascii="Calibri" w:hAnsi="Calibri"/>
          <w:color w:val="231F20"/>
          <w:w w:val="105"/>
          <w:sz w:val="17"/>
        </w:rPr>
        <w:t>impair</w:t>
      </w:r>
      <w:r>
        <w:rPr>
          <w:rFonts w:ascii="Calibri" w:hAnsi="Calibri"/>
          <w:color w:val="231F20"/>
          <w:spacing w:val="-6"/>
          <w:w w:val="105"/>
          <w:sz w:val="17"/>
        </w:rPr>
        <w:t> </w:t>
      </w:r>
      <w:r>
        <w:rPr>
          <w:rFonts w:ascii="Calibri" w:hAnsi="Calibri"/>
          <w:color w:val="231F20"/>
          <w:w w:val="105"/>
          <w:sz w:val="17"/>
        </w:rPr>
        <w:t>the</w:t>
      </w:r>
      <w:r>
        <w:rPr>
          <w:rFonts w:ascii="Calibri" w:hAnsi="Calibri"/>
          <w:color w:val="231F20"/>
          <w:spacing w:val="-6"/>
          <w:w w:val="105"/>
          <w:sz w:val="17"/>
        </w:rPr>
        <w:t> </w:t>
      </w:r>
      <w:r>
        <w:rPr>
          <w:rFonts w:ascii="Calibri" w:hAnsi="Calibri"/>
          <w:color w:val="231F20"/>
          <w:w w:val="105"/>
          <w:sz w:val="17"/>
        </w:rPr>
        <w:t>inherent</w:t>
      </w:r>
      <w:r>
        <w:rPr>
          <w:rFonts w:ascii="Calibri" w:hAnsi="Calibri"/>
          <w:color w:val="231F20"/>
          <w:spacing w:val="-6"/>
          <w:w w:val="105"/>
          <w:sz w:val="17"/>
        </w:rPr>
        <w:t> </w:t>
      </w:r>
      <w:r>
        <w:rPr>
          <w:rFonts w:ascii="Calibri" w:hAnsi="Calibri"/>
          <w:color w:val="231F20"/>
          <w:w w:val="105"/>
          <w:sz w:val="17"/>
        </w:rPr>
        <w:t>right</w:t>
      </w:r>
      <w:r>
        <w:rPr>
          <w:rFonts w:ascii="Calibri" w:hAnsi="Calibri"/>
          <w:color w:val="231F20"/>
          <w:spacing w:val="-6"/>
          <w:w w:val="105"/>
          <w:sz w:val="17"/>
        </w:rPr>
        <w:t> </w:t>
      </w:r>
      <w:r>
        <w:rPr>
          <w:rFonts w:ascii="Calibri" w:hAnsi="Calibri"/>
          <w:color w:val="231F20"/>
          <w:w w:val="105"/>
          <w:sz w:val="17"/>
        </w:rPr>
        <w:t>of</w:t>
      </w:r>
      <w:r>
        <w:rPr>
          <w:rFonts w:ascii="Calibri" w:hAnsi="Calibri"/>
          <w:color w:val="231F20"/>
          <w:spacing w:val="-6"/>
          <w:w w:val="105"/>
          <w:sz w:val="17"/>
        </w:rPr>
        <w:t> </w:t>
      </w:r>
      <w:r>
        <w:rPr>
          <w:rFonts w:ascii="Calibri" w:hAnsi="Calibri"/>
          <w:color w:val="231F20"/>
          <w:w w:val="105"/>
          <w:sz w:val="17"/>
        </w:rPr>
        <w:t>individual</w:t>
      </w:r>
      <w:r>
        <w:rPr>
          <w:rFonts w:ascii="Calibri" w:hAnsi="Calibri"/>
          <w:color w:val="231F20"/>
          <w:spacing w:val="-6"/>
          <w:w w:val="105"/>
          <w:sz w:val="17"/>
        </w:rPr>
        <w:t> </w:t>
      </w:r>
      <w:r>
        <w:rPr>
          <w:rFonts w:ascii="Calibri" w:hAnsi="Calibri"/>
          <w:color w:val="231F20"/>
          <w:w w:val="105"/>
          <w:sz w:val="17"/>
        </w:rPr>
        <w:t>or</w:t>
      </w:r>
      <w:r>
        <w:rPr>
          <w:rFonts w:ascii="Calibri" w:hAnsi="Calibri"/>
          <w:color w:val="231F20"/>
          <w:spacing w:val="-6"/>
          <w:w w:val="105"/>
          <w:sz w:val="17"/>
        </w:rPr>
        <w:t> </w:t>
      </w:r>
      <w:r>
        <w:rPr>
          <w:rFonts w:ascii="Calibri" w:hAnsi="Calibri"/>
          <w:color w:val="231F20"/>
          <w:w w:val="105"/>
          <w:sz w:val="17"/>
        </w:rPr>
        <w:t>collective</w:t>
      </w:r>
      <w:r>
        <w:rPr>
          <w:rFonts w:ascii="Calibri" w:hAnsi="Calibri"/>
          <w:color w:val="231F20"/>
          <w:spacing w:val="-6"/>
          <w:w w:val="105"/>
          <w:sz w:val="17"/>
        </w:rPr>
        <w:t> </w:t>
      </w:r>
      <w:r>
        <w:rPr>
          <w:rFonts w:ascii="Calibri" w:hAnsi="Calibri"/>
          <w:color w:val="231F20"/>
          <w:w w:val="105"/>
          <w:sz w:val="17"/>
        </w:rPr>
        <w:t>self–defence</w:t>
      </w:r>
      <w:r>
        <w:rPr>
          <w:rFonts w:ascii="Calibri" w:hAnsi="Calibri"/>
          <w:color w:val="231F20"/>
          <w:spacing w:val="-6"/>
          <w:w w:val="105"/>
          <w:sz w:val="17"/>
        </w:rPr>
        <w:t> </w:t>
      </w:r>
      <w:r>
        <w:rPr>
          <w:rFonts w:ascii="Calibri" w:hAnsi="Calibri"/>
          <w:color w:val="231F20"/>
          <w:w w:val="105"/>
          <w:sz w:val="17"/>
        </w:rPr>
        <w:t>if</w:t>
      </w:r>
      <w:r>
        <w:rPr>
          <w:rFonts w:ascii="Calibri" w:hAnsi="Calibri"/>
          <w:color w:val="231F20"/>
          <w:spacing w:val="-6"/>
          <w:w w:val="105"/>
          <w:sz w:val="17"/>
        </w:rPr>
        <w:t> </w:t>
      </w:r>
      <w:r>
        <w:rPr>
          <w:rFonts w:ascii="Calibri" w:hAnsi="Calibri"/>
          <w:color w:val="231F20"/>
          <w:w w:val="105"/>
          <w:sz w:val="17"/>
        </w:rPr>
        <w:t>an armed</w:t>
      </w:r>
      <w:r>
        <w:rPr>
          <w:rFonts w:ascii="Calibri" w:hAnsi="Calibri"/>
          <w:color w:val="231F20"/>
          <w:spacing w:val="-11"/>
          <w:w w:val="105"/>
          <w:sz w:val="17"/>
        </w:rPr>
        <w:t> </w:t>
      </w:r>
      <w:r>
        <w:rPr>
          <w:rFonts w:ascii="Calibri" w:hAnsi="Calibri"/>
          <w:color w:val="231F20"/>
          <w:w w:val="105"/>
          <w:sz w:val="17"/>
        </w:rPr>
        <w:t>attack</w:t>
      </w:r>
      <w:r>
        <w:rPr>
          <w:rFonts w:ascii="Calibri" w:hAnsi="Calibri"/>
          <w:color w:val="231F20"/>
          <w:spacing w:val="-11"/>
          <w:w w:val="105"/>
          <w:sz w:val="17"/>
        </w:rPr>
        <w:t> </w:t>
      </w:r>
      <w:r>
        <w:rPr>
          <w:rFonts w:ascii="Calibri" w:hAnsi="Calibri"/>
          <w:color w:val="231F20"/>
          <w:w w:val="105"/>
          <w:sz w:val="17"/>
        </w:rPr>
        <w:t>occurs</w:t>
      </w:r>
      <w:r>
        <w:rPr>
          <w:rFonts w:ascii="Calibri" w:hAnsi="Calibri"/>
          <w:color w:val="231F20"/>
          <w:spacing w:val="-11"/>
          <w:w w:val="105"/>
          <w:sz w:val="17"/>
        </w:rPr>
        <w:t> </w:t>
      </w:r>
      <w:r>
        <w:rPr>
          <w:rFonts w:ascii="Calibri" w:hAnsi="Calibri"/>
          <w:color w:val="231F20"/>
          <w:w w:val="105"/>
          <w:sz w:val="17"/>
        </w:rPr>
        <w:t>against</w:t>
      </w:r>
      <w:r>
        <w:rPr>
          <w:rFonts w:ascii="Calibri" w:hAnsi="Calibri"/>
          <w:color w:val="231F20"/>
          <w:spacing w:val="-11"/>
          <w:w w:val="105"/>
          <w:sz w:val="17"/>
        </w:rPr>
        <w:t> </w:t>
      </w:r>
      <w:r>
        <w:rPr>
          <w:rFonts w:ascii="Calibri" w:hAnsi="Calibri"/>
          <w:color w:val="231F20"/>
          <w:w w:val="105"/>
          <w:sz w:val="17"/>
        </w:rPr>
        <w:t>a</w:t>
      </w:r>
      <w:r>
        <w:rPr>
          <w:rFonts w:ascii="Calibri" w:hAnsi="Calibri"/>
          <w:color w:val="231F20"/>
          <w:spacing w:val="-11"/>
          <w:w w:val="105"/>
          <w:sz w:val="17"/>
        </w:rPr>
        <w:t> </w:t>
      </w:r>
      <w:r>
        <w:rPr>
          <w:rFonts w:ascii="Calibri" w:hAnsi="Calibri"/>
          <w:color w:val="231F20"/>
          <w:w w:val="105"/>
          <w:sz w:val="17"/>
        </w:rPr>
        <w:t>Member</w:t>
      </w:r>
      <w:r>
        <w:rPr>
          <w:rFonts w:ascii="Calibri" w:hAnsi="Calibri"/>
          <w:color w:val="231F20"/>
          <w:spacing w:val="-11"/>
          <w:w w:val="105"/>
          <w:sz w:val="17"/>
        </w:rPr>
        <w:t> </w:t>
      </w:r>
      <w:r>
        <w:rPr>
          <w:rFonts w:ascii="Calibri" w:hAnsi="Calibri"/>
          <w:color w:val="231F20"/>
          <w:w w:val="105"/>
          <w:sz w:val="17"/>
        </w:rPr>
        <w:t>of</w:t>
      </w:r>
      <w:r>
        <w:rPr>
          <w:rFonts w:ascii="Calibri" w:hAnsi="Calibri"/>
          <w:color w:val="231F20"/>
          <w:spacing w:val="-11"/>
          <w:w w:val="105"/>
          <w:sz w:val="17"/>
        </w:rPr>
        <w:t> </w:t>
      </w:r>
      <w:r>
        <w:rPr>
          <w:rFonts w:ascii="Calibri" w:hAnsi="Calibri"/>
          <w:color w:val="231F20"/>
          <w:w w:val="105"/>
          <w:sz w:val="17"/>
        </w:rPr>
        <w:t>the</w:t>
      </w:r>
      <w:r>
        <w:rPr>
          <w:rFonts w:ascii="Calibri" w:hAnsi="Calibri"/>
          <w:color w:val="231F20"/>
          <w:spacing w:val="-11"/>
          <w:w w:val="105"/>
          <w:sz w:val="17"/>
        </w:rPr>
        <w:t> </w:t>
      </w:r>
      <w:r>
        <w:rPr>
          <w:rFonts w:ascii="Calibri" w:hAnsi="Calibri"/>
          <w:color w:val="231F20"/>
          <w:w w:val="105"/>
          <w:sz w:val="17"/>
        </w:rPr>
        <w:t>United</w:t>
      </w:r>
      <w:r>
        <w:rPr>
          <w:rFonts w:ascii="Calibri" w:hAnsi="Calibri"/>
          <w:color w:val="231F20"/>
          <w:spacing w:val="-11"/>
          <w:w w:val="105"/>
          <w:sz w:val="17"/>
        </w:rPr>
        <w:t> </w:t>
      </w:r>
      <w:r>
        <w:rPr>
          <w:rFonts w:ascii="Calibri" w:hAnsi="Calibri"/>
          <w:color w:val="231F20"/>
          <w:w w:val="105"/>
          <w:sz w:val="17"/>
        </w:rPr>
        <w:t>Nations,</w:t>
      </w:r>
      <w:r>
        <w:rPr>
          <w:rFonts w:ascii="Calibri" w:hAnsi="Calibri"/>
          <w:color w:val="231F20"/>
          <w:spacing w:val="-11"/>
          <w:w w:val="105"/>
          <w:sz w:val="17"/>
        </w:rPr>
        <w:t> </w:t>
      </w:r>
      <w:r>
        <w:rPr>
          <w:rFonts w:ascii="Calibri" w:hAnsi="Calibri"/>
          <w:color w:val="231F20"/>
          <w:w w:val="105"/>
          <w:sz w:val="17"/>
        </w:rPr>
        <w:t>until</w:t>
      </w:r>
      <w:r>
        <w:rPr>
          <w:rFonts w:ascii="Calibri" w:hAnsi="Calibri"/>
          <w:color w:val="231F20"/>
          <w:spacing w:val="-11"/>
          <w:w w:val="105"/>
          <w:sz w:val="17"/>
        </w:rPr>
        <w:t> </w:t>
      </w:r>
      <w:r>
        <w:rPr>
          <w:rFonts w:ascii="Calibri" w:hAnsi="Calibri"/>
          <w:color w:val="231F20"/>
          <w:w w:val="105"/>
          <w:sz w:val="17"/>
        </w:rPr>
        <w:t>the</w:t>
      </w:r>
      <w:r>
        <w:rPr>
          <w:rFonts w:ascii="Calibri" w:hAnsi="Calibri"/>
          <w:color w:val="231F20"/>
          <w:spacing w:val="-11"/>
          <w:w w:val="105"/>
          <w:sz w:val="17"/>
        </w:rPr>
        <w:t> </w:t>
      </w:r>
      <w:r>
        <w:rPr>
          <w:rFonts w:ascii="Calibri" w:hAnsi="Calibri"/>
          <w:color w:val="231F20"/>
          <w:w w:val="105"/>
          <w:sz w:val="17"/>
        </w:rPr>
        <w:t>Security</w:t>
      </w:r>
      <w:r>
        <w:rPr>
          <w:rFonts w:ascii="Calibri" w:hAnsi="Calibri"/>
          <w:color w:val="231F20"/>
          <w:spacing w:val="-11"/>
          <w:w w:val="105"/>
          <w:sz w:val="17"/>
        </w:rPr>
        <w:t> </w:t>
      </w:r>
      <w:r>
        <w:rPr>
          <w:rFonts w:ascii="Calibri" w:hAnsi="Calibri"/>
          <w:color w:val="231F20"/>
          <w:w w:val="105"/>
          <w:sz w:val="17"/>
        </w:rPr>
        <w:t>Council</w:t>
      </w:r>
      <w:r>
        <w:rPr>
          <w:rFonts w:ascii="Calibri" w:hAnsi="Calibri"/>
          <w:color w:val="231F20"/>
          <w:spacing w:val="-11"/>
          <w:w w:val="105"/>
          <w:sz w:val="17"/>
        </w:rPr>
        <w:t> </w:t>
      </w:r>
      <w:r>
        <w:rPr>
          <w:rFonts w:ascii="Calibri" w:hAnsi="Calibri"/>
          <w:color w:val="231F20"/>
          <w:w w:val="105"/>
          <w:sz w:val="17"/>
        </w:rPr>
        <w:t>has</w:t>
      </w:r>
      <w:r>
        <w:rPr>
          <w:rFonts w:ascii="Calibri" w:hAnsi="Calibri"/>
          <w:color w:val="231F20"/>
          <w:spacing w:val="-11"/>
          <w:w w:val="105"/>
          <w:sz w:val="17"/>
        </w:rPr>
        <w:t> </w:t>
      </w:r>
      <w:r>
        <w:rPr>
          <w:rFonts w:ascii="Calibri" w:hAnsi="Calibri"/>
          <w:color w:val="231F20"/>
          <w:w w:val="105"/>
          <w:sz w:val="17"/>
        </w:rPr>
        <w:t>taken measures necessary to maintain international peace and security. Measures taken by Members in</w:t>
      </w:r>
      <w:r>
        <w:rPr>
          <w:rFonts w:ascii="Calibri" w:hAnsi="Calibri"/>
          <w:color w:val="231F20"/>
          <w:spacing w:val="-6"/>
          <w:w w:val="105"/>
          <w:sz w:val="17"/>
        </w:rPr>
        <w:t> </w:t>
      </w:r>
      <w:r>
        <w:rPr>
          <w:rFonts w:ascii="Calibri" w:hAnsi="Calibri"/>
          <w:color w:val="231F20"/>
          <w:w w:val="105"/>
          <w:sz w:val="17"/>
        </w:rPr>
        <w:t>the</w:t>
      </w:r>
      <w:r>
        <w:rPr>
          <w:rFonts w:ascii="Calibri" w:hAnsi="Calibri"/>
          <w:color w:val="231F20"/>
          <w:spacing w:val="-6"/>
          <w:w w:val="105"/>
          <w:sz w:val="17"/>
        </w:rPr>
        <w:t> </w:t>
      </w:r>
      <w:r>
        <w:rPr>
          <w:rFonts w:ascii="Calibri" w:hAnsi="Calibri"/>
          <w:color w:val="231F20"/>
          <w:w w:val="105"/>
          <w:sz w:val="17"/>
        </w:rPr>
        <w:t>exercise</w:t>
      </w:r>
      <w:r>
        <w:rPr>
          <w:rFonts w:ascii="Calibri" w:hAnsi="Calibri"/>
          <w:color w:val="231F20"/>
          <w:spacing w:val="-6"/>
          <w:w w:val="105"/>
          <w:sz w:val="17"/>
        </w:rPr>
        <w:t> </w:t>
      </w:r>
      <w:r>
        <w:rPr>
          <w:rFonts w:ascii="Calibri" w:hAnsi="Calibri"/>
          <w:color w:val="231F20"/>
          <w:w w:val="105"/>
          <w:sz w:val="17"/>
        </w:rPr>
        <w:t>of</w:t>
      </w:r>
      <w:r>
        <w:rPr>
          <w:rFonts w:ascii="Calibri" w:hAnsi="Calibri"/>
          <w:color w:val="231F20"/>
          <w:spacing w:val="-6"/>
          <w:w w:val="105"/>
          <w:sz w:val="17"/>
        </w:rPr>
        <w:t> </w:t>
      </w:r>
      <w:r>
        <w:rPr>
          <w:rFonts w:ascii="Calibri" w:hAnsi="Calibri"/>
          <w:color w:val="231F20"/>
          <w:w w:val="105"/>
          <w:sz w:val="17"/>
        </w:rPr>
        <w:t>this</w:t>
      </w:r>
      <w:r>
        <w:rPr>
          <w:rFonts w:ascii="Calibri" w:hAnsi="Calibri"/>
          <w:color w:val="231F20"/>
          <w:spacing w:val="-6"/>
          <w:w w:val="105"/>
          <w:sz w:val="17"/>
        </w:rPr>
        <w:t> </w:t>
      </w:r>
      <w:r>
        <w:rPr>
          <w:rFonts w:ascii="Calibri" w:hAnsi="Calibri"/>
          <w:color w:val="231F20"/>
          <w:w w:val="105"/>
          <w:sz w:val="17"/>
        </w:rPr>
        <w:t>right</w:t>
      </w:r>
      <w:r>
        <w:rPr>
          <w:rFonts w:ascii="Calibri" w:hAnsi="Calibri"/>
          <w:color w:val="231F20"/>
          <w:spacing w:val="-6"/>
          <w:w w:val="105"/>
          <w:sz w:val="17"/>
        </w:rPr>
        <w:t> </w:t>
      </w:r>
      <w:r>
        <w:rPr>
          <w:rFonts w:ascii="Calibri" w:hAnsi="Calibri"/>
          <w:color w:val="231F20"/>
          <w:w w:val="105"/>
          <w:sz w:val="17"/>
        </w:rPr>
        <w:t>of</w:t>
      </w:r>
      <w:r>
        <w:rPr>
          <w:rFonts w:ascii="Calibri" w:hAnsi="Calibri"/>
          <w:color w:val="231F20"/>
          <w:spacing w:val="-6"/>
          <w:w w:val="105"/>
          <w:sz w:val="17"/>
        </w:rPr>
        <w:t> </w:t>
      </w:r>
      <w:r>
        <w:rPr>
          <w:rFonts w:ascii="Calibri" w:hAnsi="Calibri"/>
          <w:color w:val="231F20"/>
          <w:w w:val="105"/>
          <w:sz w:val="17"/>
        </w:rPr>
        <w:t>self–defence</w:t>
      </w:r>
      <w:r>
        <w:rPr>
          <w:rFonts w:ascii="Calibri" w:hAnsi="Calibri"/>
          <w:color w:val="231F20"/>
          <w:spacing w:val="-6"/>
          <w:w w:val="105"/>
          <w:sz w:val="17"/>
        </w:rPr>
        <w:t> </w:t>
      </w:r>
      <w:r>
        <w:rPr>
          <w:rFonts w:ascii="Calibri" w:hAnsi="Calibri"/>
          <w:color w:val="231F20"/>
          <w:w w:val="105"/>
          <w:sz w:val="17"/>
        </w:rPr>
        <w:t>shall</w:t>
      </w:r>
      <w:r>
        <w:rPr>
          <w:rFonts w:ascii="Calibri" w:hAnsi="Calibri"/>
          <w:color w:val="231F20"/>
          <w:spacing w:val="-6"/>
          <w:w w:val="105"/>
          <w:sz w:val="17"/>
        </w:rPr>
        <w:t> </w:t>
      </w:r>
      <w:r>
        <w:rPr>
          <w:rFonts w:ascii="Calibri" w:hAnsi="Calibri"/>
          <w:color w:val="231F20"/>
          <w:w w:val="105"/>
          <w:sz w:val="17"/>
        </w:rPr>
        <w:t>be</w:t>
      </w:r>
      <w:r>
        <w:rPr>
          <w:rFonts w:ascii="Calibri" w:hAnsi="Calibri"/>
          <w:color w:val="231F20"/>
          <w:spacing w:val="-6"/>
          <w:w w:val="105"/>
          <w:sz w:val="17"/>
        </w:rPr>
        <w:t> </w:t>
      </w:r>
      <w:r>
        <w:rPr>
          <w:rFonts w:ascii="Calibri" w:hAnsi="Calibri"/>
          <w:color w:val="231F20"/>
          <w:w w:val="105"/>
          <w:sz w:val="17"/>
        </w:rPr>
        <w:t>immediately</w:t>
      </w:r>
      <w:r>
        <w:rPr>
          <w:rFonts w:ascii="Calibri" w:hAnsi="Calibri"/>
          <w:color w:val="231F20"/>
          <w:spacing w:val="-6"/>
          <w:w w:val="105"/>
          <w:sz w:val="17"/>
        </w:rPr>
        <w:t> </w:t>
      </w:r>
      <w:r>
        <w:rPr>
          <w:rFonts w:ascii="Calibri" w:hAnsi="Calibri"/>
          <w:color w:val="231F20"/>
          <w:w w:val="105"/>
          <w:sz w:val="17"/>
        </w:rPr>
        <w:t>reported</w:t>
      </w:r>
      <w:r>
        <w:rPr>
          <w:rFonts w:ascii="Calibri" w:hAnsi="Calibri"/>
          <w:color w:val="231F20"/>
          <w:spacing w:val="-6"/>
          <w:w w:val="105"/>
          <w:sz w:val="17"/>
        </w:rPr>
        <w:t> </w:t>
      </w:r>
      <w:r>
        <w:rPr>
          <w:rFonts w:ascii="Calibri" w:hAnsi="Calibri"/>
          <w:color w:val="231F20"/>
          <w:w w:val="105"/>
          <w:sz w:val="17"/>
        </w:rPr>
        <w:t>to</w:t>
      </w:r>
      <w:r>
        <w:rPr>
          <w:rFonts w:ascii="Calibri" w:hAnsi="Calibri"/>
          <w:color w:val="231F20"/>
          <w:spacing w:val="-6"/>
          <w:w w:val="105"/>
          <w:sz w:val="17"/>
        </w:rPr>
        <w:t> </w:t>
      </w:r>
      <w:r>
        <w:rPr>
          <w:rFonts w:ascii="Calibri" w:hAnsi="Calibri"/>
          <w:color w:val="231F20"/>
          <w:w w:val="105"/>
          <w:sz w:val="17"/>
        </w:rPr>
        <w:t>the</w:t>
      </w:r>
      <w:r>
        <w:rPr>
          <w:rFonts w:ascii="Calibri" w:hAnsi="Calibri"/>
          <w:color w:val="231F20"/>
          <w:spacing w:val="-6"/>
          <w:w w:val="105"/>
          <w:sz w:val="17"/>
        </w:rPr>
        <w:t> </w:t>
      </w:r>
      <w:r>
        <w:rPr>
          <w:rFonts w:ascii="Calibri" w:hAnsi="Calibri"/>
          <w:color w:val="231F20"/>
          <w:w w:val="105"/>
          <w:sz w:val="17"/>
        </w:rPr>
        <w:t>Security</w:t>
      </w:r>
      <w:r>
        <w:rPr>
          <w:rFonts w:ascii="Calibri" w:hAnsi="Calibri"/>
          <w:color w:val="231F20"/>
          <w:spacing w:val="-6"/>
          <w:w w:val="105"/>
          <w:sz w:val="17"/>
        </w:rPr>
        <w:t> </w:t>
      </w:r>
      <w:r>
        <w:rPr>
          <w:rFonts w:ascii="Calibri" w:hAnsi="Calibri"/>
          <w:color w:val="231F20"/>
          <w:w w:val="105"/>
          <w:sz w:val="17"/>
        </w:rPr>
        <w:t>Council and</w:t>
      </w:r>
      <w:r>
        <w:rPr>
          <w:rFonts w:ascii="Calibri" w:hAnsi="Calibri"/>
          <w:color w:val="231F20"/>
          <w:spacing w:val="-3"/>
          <w:w w:val="105"/>
          <w:sz w:val="17"/>
        </w:rPr>
        <w:t> </w:t>
      </w:r>
      <w:r>
        <w:rPr>
          <w:rFonts w:ascii="Calibri" w:hAnsi="Calibri"/>
          <w:color w:val="231F20"/>
          <w:w w:val="105"/>
          <w:sz w:val="17"/>
        </w:rPr>
        <w:t>shall</w:t>
      </w:r>
      <w:r>
        <w:rPr>
          <w:rFonts w:ascii="Calibri" w:hAnsi="Calibri"/>
          <w:color w:val="231F20"/>
          <w:spacing w:val="-3"/>
          <w:w w:val="105"/>
          <w:sz w:val="17"/>
        </w:rPr>
        <w:t> </w:t>
      </w:r>
      <w:r>
        <w:rPr>
          <w:rFonts w:ascii="Calibri" w:hAnsi="Calibri"/>
          <w:color w:val="231F20"/>
          <w:w w:val="105"/>
          <w:sz w:val="17"/>
        </w:rPr>
        <w:t>not</w:t>
      </w:r>
      <w:r>
        <w:rPr>
          <w:rFonts w:ascii="Calibri" w:hAnsi="Calibri"/>
          <w:color w:val="231F20"/>
          <w:spacing w:val="-3"/>
          <w:w w:val="105"/>
          <w:sz w:val="17"/>
        </w:rPr>
        <w:t> </w:t>
      </w:r>
      <w:r>
        <w:rPr>
          <w:rFonts w:ascii="Calibri" w:hAnsi="Calibri"/>
          <w:color w:val="231F20"/>
          <w:w w:val="105"/>
          <w:sz w:val="17"/>
        </w:rPr>
        <w:t>in</w:t>
      </w:r>
      <w:r>
        <w:rPr>
          <w:rFonts w:ascii="Calibri" w:hAnsi="Calibri"/>
          <w:color w:val="231F20"/>
          <w:spacing w:val="-3"/>
          <w:w w:val="105"/>
          <w:sz w:val="17"/>
        </w:rPr>
        <w:t> </w:t>
      </w:r>
      <w:r>
        <w:rPr>
          <w:rFonts w:ascii="Calibri" w:hAnsi="Calibri"/>
          <w:color w:val="231F20"/>
          <w:w w:val="105"/>
          <w:sz w:val="17"/>
        </w:rPr>
        <w:t>any</w:t>
      </w:r>
      <w:r>
        <w:rPr>
          <w:rFonts w:ascii="Calibri" w:hAnsi="Calibri"/>
          <w:color w:val="231F20"/>
          <w:spacing w:val="-5"/>
          <w:w w:val="105"/>
          <w:sz w:val="17"/>
        </w:rPr>
        <w:t> </w:t>
      </w:r>
      <w:r>
        <w:rPr>
          <w:rFonts w:ascii="Calibri" w:hAnsi="Calibri"/>
          <w:color w:val="231F20"/>
          <w:w w:val="105"/>
          <w:sz w:val="17"/>
        </w:rPr>
        <w:t>way</w:t>
      </w:r>
      <w:r>
        <w:rPr>
          <w:rFonts w:ascii="Calibri" w:hAnsi="Calibri"/>
          <w:color w:val="231F20"/>
          <w:spacing w:val="-3"/>
          <w:w w:val="105"/>
          <w:sz w:val="17"/>
        </w:rPr>
        <w:t> </w:t>
      </w:r>
      <w:r>
        <w:rPr>
          <w:rFonts w:ascii="Calibri" w:hAnsi="Calibri"/>
          <w:color w:val="231F20"/>
          <w:w w:val="105"/>
          <w:sz w:val="17"/>
        </w:rPr>
        <w:t>affect</w:t>
      </w:r>
      <w:r>
        <w:rPr>
          <w:rFonts w:ascii="Calibri" w:hAnsi="Calibri"/>
          <w:color w:val="231F20"/>
          <w:spacing w:val="-3"/>
          <w:w w:val="105"/>
          <w:sz w:val="17"/>
        </w:rPr>
        <w:t> </w:t>
      </w:r>
      <w:r>
        <w:rPr>
          <w:rFonts w:ascii="Calibri" w:hAnsi="Calibri"/>
          <w:color w:val="231F20"/>
          <w:w w:val="105"/>
          <w:sz w:val="17"/>
        </w:rPr>
        <w:t>the</w:t>
      </w:r>
      <w:r>
        <w:rPr>
          <w:rFonts w:ascii="Calibri" w:hAnsi="Calibri"/>
          <w:color w:val="231F20"/>
          <w:spacing w:val="-3"/>
          <w:w w:val="105"/>
          <w:sz w:val="17"/>
        </w:rPr>
        <w:t> </w:t>
      </w:r>
      <w:r>
        <w:rPr>
          <w:rFonts w:ascii="Calibri" w:hAnsi="Calibri"/>
          <w:color w:val="231F20"/>
          <w:w w:val="105"/>
          <w:sz w:val="17"/>
        </w:rPr>
        <w:t>authority</w:t>
      </w:r>
      <w:r>
        <w:rPr>
          <w:rFonts w:ascii="Calibri" w:hAnsi="Calibri"/>
          <w:color w:val="231F20"/>
          <w:spacing w:val="-3"/>
          <w:w w:val="105"/>
          <w:sz w:val="17"/>
        </w:rPr>
        <w:t> </w:t>
      </w:r>
      <w:r>
        <w:rPr>
          <w:rFonts w:ascii="Calibri" w:hAnsi="Calibri"/>
          <w:color w:val="231F20"/>
          <w:w w:val="105"/>
          <w:sz w:val="17"/>
        </w:rPr>
        <w:t>and</w:t>
      </w:r>
      <w:r>
        <w:rPr>
          <w:rFonts w:ascii="Calibri" w:hAnsi="Calibri"/>
          <w:color w:val="231F20"/>
          <w:spacing w:val="-3"/>
          <w:w w:val="105"/>
          <w:sz w:val="17"/>
        </w:rPr>
        <w:t> </w:t>
      </w:r>
      <w:r>
        <w:rPr>
          <w:rFonts w:ascii="Calibri" w:hAnsi="Calibri"/>
          <w:color w:val="231F20"/>
          <w:w w:val="105"/>
          <w:sz w:val="17"/>
        </w:rPr>
        <w:t>responsibility</w:t>
      </w:r>
      <w:r>
        <w:rPr>
          <w:rFonts w:ascii="Calibri" w:hAnsi="Calibri"/>
          <w:color w:val="231F20"/>
          <w:spacing w:val="-3"/>
          <w:w w:val="105"/>
          <w:sz w:val="17"/>
        </w:rPr>
        <w:t> </w:t>
      </w:r>
      <w:r>
        <w:rPr>
          <w:rFonts w:ascii="Calibri" w:hAnsi="Calibri"/>
          <w:color w:val="231F20"/>
          <w:w w:val="105"/>
          <w:sz w:val="17"/>
        </w:rPr>
        <w:t>of</w:t>
      </w:r>
      <w:r>
        <w:rPr>
          <w:rFonts w:ascii="Calibri" w:hAnsi="Calibri"/>
          <w:color w:val="231F20"/>
          <w:spacing w:val="-3"/>
          <w:w w:val="105"/>
          <w:sz w:val="17"/>
        </w:rPr>
        <w:t> </w:t>
      </w:r>
      <w:r>
        <w:rPr>
          <w:rFonts w:ascii="Calibri" w:hAnsi="Calibri"/>
          <w:color w:val="231F20"/>
          <w:w w:val="105"/>
          <w:sz w:val="17"/>
        </w:rPr>
        <w:t>the</w:t>
      </w:r>
      <w:r>
        <w:rPr>
          <w:rFonts w:ascii="Calibri" w:hAnsi="Calibri"/>
          <w:color w:val="231F20"/>
          <w:spacing w:val="-3"/>
          <w:w w:val="105"/>
          <w:sz w:val="17"/>
        </w:rPr>
        <w:t> </w:t>
      </w:r>
      <w:r>
        <w:rPr>
          <w:rFonts w:ascii="Calibri" w:hAnsi="Calibri"/>
          <w:color w:val="231F20"/>
          <w:w w:val="105"/>
          <w:sz w:val="17"/>
        </w:rPr>
        <w:t>Security</w:t>
      </w:r>
      <w:r>
        <w:rPr>
          <w:rFonts w:ascii="Calibri" w:hAnsi="Calibri"/>
          <w:color w:val="231F20"/>
          <w:spacing w:val="-3"/>
          <w:w w:val="105"/>
          <w:sz w:val="17"/>
        </w:rPr>
        <w:t> </w:t>
      </w:r>
      <w:r>
        <w:rPr>
          <w:rFonts w:ascii="Calibri" w:hAnsi="Calibri"/>
          <w:color w:val="231F20"/>
          <w:w w:val="105"/>
          <w:sz w:val="17"/>
        </w:rPr>
        <w:t>Council</w:t>
      </w:r>
      <w:r>
        <w:rPr>
          <w:rFonts w:ascii="Calibri" w:hAnsi="Calibri"/>
          <w:color w:val="231F20"/>
          <w:spacing w:val="-3"/>
          <w:w w:val="105"/>
          <w:sz w:val="17"/>
        </w:rPr>
        <w:t> </w:t>
      </w:r>
      <w:r>
        <w:rPr>
          <w:rFonts w:ascii="Calibri" w:hAnsi="Calibri"/>
          <w:color w:val="231F20"/>
          <w:w w:val="105"/>
          <w:sz w:val="17"/>
        </w:rPr>
        <w:t>under</w:t>
      </w:r>
      <w:r>
        <w:rPr>
          <w:rFonts w:ascii="Calibri" w:hAnsi="Calibri"/>
          <w:color w:val="231F20"/>
          <w:spacing w:val="-3"/>
          <w:w w:val="105"/>
          <w:sz w:val="17"/>
        </w:rPr>
        <w:t> </w:t>
      </w:r>
      <w:r>
        <w:rPr>
          <w:rFonts w:ascii="Calibri" w:hAnsi="Calibri"/>
          <w:color w:val="231F20"/>
          <w:w w:val="105"/>
          <w:sz w:val="17"/>
        </w:rPr>
        <w:t>the present Charter to take at any time such action as it deems necessary in order to maintain or restore</w:t>
      </w:r>
      <w:r>
        <w:rPr>
          <w:rFonts w:ascii="Calibri" w:hAnsi="Calibri"/>
          <w:color w:val="231F20"/>
          <w:spacing w:val="-28"/>
          <w:w w:val="105"/>
          <w:sz w:val="17"/>
        </w:rPr>
        <w:t> </w:t>
      </w:r>
      <w:r>
        <w:rPr>
          <w:rFonts w:ascii="Calibri" w:hAnsi="Calibri"/>
          <w:color w:val="231F20"/>
          <w:w w:val="105"/>
          <w:sz w:val="17"/>
        </w:rPr>
        <w:t>international</w:t>
      </w:r>
      <w:r>
        <w:rPr>
          <w:rFonts w:ascii="Calibri" w:hAnsi="Calibri"/>
          <w:color w:val="231F20"/>
          <w:spacing w:val="-28"/>
          <w:w w:val="105"/>
          <w:sz w:val="17"/>
        </w:rPr>
        <w:t> </w:t>
      </w:r>
      <w:r>
        <w:rPr>
          <w:rFonts w:ascii="Calibri" w:hAnsi="Calibri"/>
          <w:color w:val="231F20"/>
          <w:w w:val="105"/>
          <w:sz w:val="17"/>
        </w:rPr>
        <w:t>peace</w:t>
      </w:r>
      <w:r>
        <w:rPr>
          <w:rFonts w:ascii="Calibri" w:hAnsi="Calibri"/>
          <w:color w:val="231F20"/>
          <w:spacing w:val="-28"/>
          <w:w w:val="105"/>
          <w:sz w:val="17"/>
        </w:rPr>
        <w:t> </w:t>
      </w:r>
      <w:r>
        <w:rPr>
          <w:rFonts w:ascii="Calibri" w:hAnsi="Calibri"/>
          <w:color w:val="231F20"/>
          <w:w w:val="105"/>
          <w:sz w:val="17"/>
        </w:rPr>
        <w:t>and</w:t>
      </w:r>
      <w:r>
        <w:rPr>
          <w:rFonts w:ascii="Calibri" w:hAnsi="Calibri"/>
          <w:color w:val="231F20"/>
          <w:spacing w:val="-28"/>
          <w:w w:val="105"/>
          <w:sz w:val="17"/>
        </w:rPr>
        <w:t> </w:t>
      </w:r>
      <w:r>
        <w:rPr>
          <w:rFonts w:ascii="Calibri" w:hAnsi="Calibri"/>
          <w:color w:val="231F20"/>
          <w:w w:val="105"/>
          <w:sz w:val="17"/>
        </w:rPr>
        <w:t>security”.</w:t>
      </w:r>
    </w:p>
    <w:p>
      <w:pPr>
        <w:spacing w:line="204" w:lineRule="exact" w:before="0"/>
        <w:ind w:left="117" w:right="101" w:firstLine="0"/>
        <w:jc w:val="both"/>
        <w:rPr>
          <w:rFonts w:ascii="Calibri" w:hAnsi="Calibri"/>
          <w:sz w:val="17"/>
        </w:rPr>
      </w:pPr>
      <w:r>
        <w:rPr>
          <w:rFonts w:ascii="Calibri" w:hAnsi="Calibri"/>
          <w:color w:val="231F20"/>
          <w:position w:val="6"/>
          <w:sz w:val="10"/>
        </w:rPr>
        <w:t>8</w:t>
      </w:r>
      <w:r>
        <w:rPr>
          <w:rFonts w:ascii="Calibri" w:hAnsi="Calibri"/>
          <w:color w:val="231F20"/>
          <w:spacing w:val="6"/>
          <w:position w:val="6"/>
          <w:sz w:val="10"/>
        </w:rPr>
        <w:t> </w:t>
      </w:r>
      <w:r>
        <w:rPr>
          <w:rFonts w:ascii="Calibri" w:hAnsi="Calibri"/>
          <w:color w:val="231F20"/>
          <w:spacing w:val="-9"/>
          <w:sz w:val="17"/>
        </w:rPr>
        <w:t>T.</w:t>
      </w:r>
      <w:r>
        <w:rPr>
          <w:rFonts w:ascii="Calibri" w:hAnsi="Calibri"/>
          <w:color w:val="231F20"/>
          <w:spacing w:val="-7"/>
          <w:sz w:val="17"/>
        </w:rPr>
        <w:t> </w:t>
      </w:r>
      <w:r>
        <w:rPr>
          <w:rFonts w:ascii="Calibri" w:hAnsi="Calibri"/>
          <w:color w:val="231F20"/>
          <w:sz w:val="17"/>
        </w:rPr>
        <w:t>J.</w:t>
      </w:r>
      <w:r>
        <w:rPr>
          <w:rFonts w:ascii="Calibri" w:hAnsi="Calibri"/>
          <w:color w:val="231F20"/>
          <w:spacing w:val="-7"/>
          <w:sz w:val="17"/>
        </w:rPr>
        <w:t> </w:t>
      </w:r>
      <w:r>
        <w:rPr>
          <w:rFonts w:ascii="Calibri" w:hAnsi="Calibri"/>
          <w:color w:val="231F20"/>
          <w:spacing w:val="-3"/>
          <w:sz w:val="17"/>
        </w:rPr>
        <w:t>Farer,</w:t>
      </w:r>
      <w:r>
        <w:rPr>
          <w:rFonts w:ascii="Calibri" w:hAnsi="Calibri"/>
          <w:color w:val="231F20"/>
          <w:spacing w:val="-7"/>
          <w:sz w:val="17"/>
        </w:rPr>
        <w:t> </w:t>
      </w:r>
      <w:r>
        <w:rPr>
          <w:rFonts w:ascii="Calibri" w:hAnsi="Calibri"/>
          <w:color w:val="231F20"/>
          <w:sz w:val="17"/>
        </w:rPr>
        <w:t>“Humanitarian</w:t>
      </w:r>
      <w:r>
        <w:rPr>
          <w:rFonts w:ascii="Calibri" w:hAnsi="Calibri"/>
          <w:color w:val="231F20"/>
          <w:spacing w:val="-7"/>
          <w:sz w:val="17"/>
        </w:rPr>
        <w:t> </w:t>
      </w:r>
      <w:r>
        <w:rPr>
          <w:rFonts w:ascii="Calibri" w:hAnsi="Calibri"/>
          <w:color w:val="231F20"/>
          <w:sz w:val="17"/>
        </w:rPr>
        <w:t>Intervention</w:t>
      </w:r>
      <w:r>
        <w:rPr>
          <w:rFonts w:ascii="Calibri" w:hAnsi="Calibri"/>
          <w:color w:val="231F20"/>
          <w:spacing w:val="-7"/>
          <w:sz w:val="17"/>
        </w:rPr>
        <w:t> </w:t>
      </w:r>
      <w:r>
        <w:rPr>
          <w:rFonts w:ascii="Calibri" w:hAnsi="Calibri"/>
          <w:color w:val="231F20"/>
          <w:sz w:val="17"/>
        </w:rPr>
        <w:t>before</w:t>
      </w:r>
      <w:r>
        <w:rPr>
          <w:rFonts w:ascii="Calibri" w:hAnsi="Calibri"/>
          <w:color w:val="231F20"/>
          <w:spacing w:val="-7"/>
          <w:sz w:val="17"/>
        </w:rPr>
        <w:t> </w:t>
      </w:r>
      <w:r>
        <w:rPr>
          <w:rFonts w:ascii="Calibri" w:hAnsi="Calibri"/>
          <w:color w:val="231F20"/>
          <w:sz w:val="17"/>
        </w:rPr>
        <w:t>and</w:t>
      </w:r>
      <w:r>
        <w:rPr>
          <w:rFonts w:ascii="Calibri" w:hAnsi="Calibri"/>
          <w:color w:val="231F20"/>
          <w:spacing w:val="-7"/>
          <w:sz w:val="17"/>
        </w:rPr>
        <w:t> </w:t>
      </w:r>
      <w:r>
        <w:rPr>
          <w:rFonts w:ascii="Calibri" w:hAnsi="Calibri"/>
          <w:color w:val="231F20"/>
          <w:sz w:val="17"/>
        </w:rPr>
        <w:t>after</w:t>
      </w:r>
      <w:r>
        <w:rPr>
          <w:rFonts w:ascii="Calibri" w:hAnsi="Calibri"/>
          <w:color w:val="231F20"/>
          <w:spacing w:val="-7"/>
          <w:sz w:val="17"/>
        </w:rPr>
        <w:t> </w:t>
      </w:r>
      <w:r>
        <w:rPr>
          <w:rFonts w:ascii="Calibri" w:hAnsi="Calibri"/>
          <w:color w:val="231F20"/>
          <w:sz w:val="17"/>
        </w:rPr>
        <w:t>9/11:</w:t>
      </w:r>
      <w:r>
        <w:rPr>
          <w:rFonts w:ascii="Calibri" w:hAnsi="Calibri"/>
          <w:color w:val="231F20"/>
          <w:spacing w:val="-7"/>
          <w:sz w:val="17"/>
        </w:rPr>
        <w:t> </w:t>
      </w:r>
      <w:r>
        <w:rPr>
          <w:rFonts w:ascii="Calibri" w:hAnsi="Calibri"/>
          <w:color w:val="231F20"/>
          <w:sz w:val="17"/>
        </w:rPr>
        <w:t>legality</w:t>
      </w:r>
      <w:r>
        <w:rPr>
          <w:rFonts w:ascii="Calibri" w:hAnsi="Calibri"/>
          <w:color w:val="231F20"/>
          <w:spacing w:val="-7"/>
          <w:sz w:val="17"/>
        </w:rPr>
        <w:t> </w:t>
      </w:r>
      <w:r>
        <w:rPr>
          <w:rFonts w:ascii="Calibri" w:hAnsi="Calibri"/>
          <w:color w:val="231F20"/>
          <w:sz w:val="17"/>
        </w:rPr>
        <w:t>and</w:t>
      </w:r>
      <w:r>
        <w:rPr>
          <w:rFonts w:ascii="Calibri" w:hAnsi="Calibri"/>
          <w:color w:val="231F20"/>
          <w:spacing w:val="-7"/>
          <w:sz w:val="17"/>
        </w:rPr>
        <w:t> </w:t>
      </w:r>
      <w:r>
        <w:rPr>
          <w:rFonts w:ascii="Calibri" w:hAnsi="Calibri"/>
          <w:color w:val="231F20"/>
          <w:sz w:val="17"/>
        </w:rPr>
        <w:t>legitimacy”,</w:t>
      </w:r>
      <w:r>
        <w:rPr>
          <w:rFonts w:ascii="Calibri" w:hAnsi="Calibri"/>
          <w:color w:val="231F20"/>
          <w:spacing w:val="-8"/>
          <w:sz w:val="17"/>
        </w:rPr>
        <w:t> </w:t>
      </w:r>
      <w:r>
        <w:rPr>
          <w:rFonts w:ascii="Calibri" w:hAnsi="Calibri"/>
          <w:i/>
          <w:color w:val="231F20"/>
          <w:sz w:val="17"/>
        </w:rPr>
        <w:t>Humanitarian </w:t>
      </w:r>
      <w:r>
        <w:rPr>
          <w:rFonts w:ascii="Calibri" w:hAnsi="Calibri"/>
          <w:i/>
          <w:color w:val="231F20"/>
          <w:sz w:val="17"/>
        </w:rPr>
        <w:t>Intervention</w:t>
      </w:r>
      <w:r>
        <w:rPr>
          <w:rFonts w:ascii="Calibri" w:hAnsi="Calibri"/>
          <w:color w:val="231F20"/>
          <w:sz w:val="17"/>
        </w:rPr>
        <w:t>, p.</w:t>
      </w:r>
      <w:r>
        <w:rPr>
          <w:rFonts w:ascii="Calibri" w:hAnsi="Calibri"/>
          <w:color w:val="231F20"/>
          <w:spacing w:val="-9"/>
          <w:sz w:val="17"/>
        </w:rPr>
        <w:t> </w:t>
      </w:r>
      <w:r>
        <w:rPr>
          <w:rFonts w:ascii="Calibri" w:hAnsi="Calibri"/>
          <w:color w:val="231F20"/>
          <w:sz w:val="17"/>
        </w:rPr>
        <w:t>58.</w:t>
      </w:r>
    </w:p>
    <w:p>
      <w:pPr>
        <w:spacing w:line="204" w:lineRule="exact" w:before="0"/>
        <w:ind w:left="117" w:right="100" w:firstLine="0"/>
        <w:jc w:val="both"/>
        <w:rPr>
          <w:rFonts w:ascii="Calibri" w:hAnsi="Calibri"/>
          <w:sz w:val="17"/>
        </w:rPr>
      </w:pPr>
      <w:r>
        <w:rPr>
          <w:rFonts w:ascii="Calibri" w:hAnsi="Calibri"/>
          <w:color w:val="231F20"/>
          <w:w w:val="105"/>
          <w:position w:val="6"/>
          <w:sz w:val="10"/>
        </w:rPr>
        <w:t>9</w:t>
      </w:r>
      <w:r>
        <w:rPr>
          <w:rFonts w:ascii="Calibri" w:hAnsi="Calibri"/>
          <w:color w:val="231F20"/>
          <w:spacing w:val="-3"/>
          <w:w w:val="105"/>
          <w:position w:val="6"/>
          <w:sz w:val="10"/>
        </w:rPr>
        <w:t> </w:t>
      </w:r>
      <w:r>
        <w:rPr>
          <w:rFonts w:ascii="Calibri" w:hAnsi="Calibri"/>
          <w:color w:val="231F20"/>
          <w:w w:val="105"/>
          <w:sz w:val="17"/>
        </w:rPr>
        <w:t>J.</w:t>
      </w:r>
      <w:r>
        <w:rPr>
          <w:rFonts w:ascii="Calibri" w:hAnsi="Calibri"/>
          <w:color w:val="231F20"/>
          <w:spacing w:val="-20"/>
          <w:w w:val="105"/>
          <w:sz w:val="17"/>
        </w:rPr>
        <w:t> </w:t>
      </w:r>
      <w:r>
        <w:rPr>
          <w:rFonts w:ascii="Calibri" w:hAnsi="Calibri"/>
          <w:color w:val="231F20"/>
          <w:w w:val="105"/>
          <w:sz w:val="17"/>
        </w:rPr>
        <w:t>Boyle,</w:t>
      </w:r>
      <w:r>
        <w:rPr>
          <w:rFonts w:ascii="Calibri" w:hAnsi="Calibri"/>
          <w:color w:val="231F20"/>
          <w:spacing w:val="-20"/>
          <w:w w:val="105"/>
          <w:sz w:val="17"/>
        </w:rPr>
        <w:t> </w:t>
      </w:r>
      <w:r>
        <w:rPr>
          <w:rFonts w:ascii="Calibri" w:hAnsi="Calibri"/>
          <w:color w:val="231F20"/>
          <w:w w:val="105"/>
          <w:sz w:val="17"/>
        </w:rPr>
        <w:t>“Natural</w:t>
      </w:r>
      <w:r>
        <w:rPr>
          <w:rFonts w:ascii="Calibri" w:hAnsi="Calibri"/>
          <w:color w:val="231F20"/>
          <w:spacing w:val="-20"/>
          <w:w w:val="105"/>
          <w:sz w:val="17"/>
        </w:rPr>
        <w:t> </w:t>
      </w:r>
      <w:r>
        <w:rPr>
          <w:rFonts w:ascii="Calibri" w:hAnsi="Calibri"/>
          <w:color w:val="231F20"/>
          <w:w w:val="105"/>
          <w:sz w:val="17"/>
        </w:rPr>
        <w:t>Law</w:t>
      </w:r>
      <w:r>
        <w:rPr>
          <w:rFonts w:ascii="Calibri" w:hAnsi="Calibri"/>
          <w:color w:val="231F20"/>
          <w:spacing w:val="-20"/>
          <w:w w:val="105"/>
          <w:sz w:val="17"/>
        </w:rPr>
        <w:t> </w:t>
      </w:r>
      <w:r>
        <w:rPr>
          <w:rFonts w:ascii="Calibri" w:hAnsi="Calibri"/>
          <w:color w:val="231F20"/>
          <w:w w:val="105"/>
          <w:sz w:val="17"/>
        </w:rPr>
        <w:t>and</w:t>
      </w:r>
      <w:r>
        <w:rPr>
          <w:rFonts w:ascii="Calibri" w:hAnsi="Calibri"/>
          <w:color w:val="231F20"/>
          <w:spacing w:val="-20"/>
          <w:w w:val="105"/>
          <w:sz w:val="17"/>
        </w:rPr>
        <w:t> </w:t>
      </w:r>
      <w:r>
        <w:rPr>
          <w:rFonts w:ascii="Calibri" w:hAnsi="Calibri"/>
          <w:color w:val="231F20"/>
          <w:w w:val="105"/>
          <w:sz w:val="17"/>
        </w:rPr>
        <w:t>International</w:t>
      </w:r>
      <w:r>
        <w:rPr>
          <w:rFonts w:ascii="Calibri" w:hAnsi="Calibri"/>
          <w:color w:val="231F20"/>
          <w:spacing w:val="-20"/>
          <w:w w:val="105"/>
          <w:sz w:val="17"/>
        </w:rPr>
        <w:t> </w:t>
      </w:r>
      <w:r>
        <w:rPr>
          <w:rFonts w:ascii="Calibri" w:hAnsi="Calibri"/>
          <w:color w:val="231F20"/>
          <w:w w:val="105"/>
          <w:sz w:val="17"/>
        </w:rPr>
        <w:t>Ethics”,</w:t>
      </w:r>
      <w:r>
        <w:rPr>
          <w:rFonts w:ascii="Calibri" w:hAnsi="Calibri"/>
          <w:color w:val="231F20"/>
          <w:spacing w:val="-22"/>
          <w:w w:val="105"/>
          <w:sz w:val="17"/>
        </w:rPr>
        <w:t> </w:t>
      </w:r>
      <w:r>
        <w:rPr>
          <w:rFonts w:ascii="Calibri" w:hAnsi="Calibri"/>
          <w:color w:val="231F20"/>
          <w:spacing w:val="-9"/>
          <w:w w:val="105"/>
          <w:sz w:val="17"/>
        </w:rPr>
        <w:t>T.</w:t>
      </w:r>
      <w:r>
        <w:rPr>
          <w:rFonts w:ascii="Calibri" w:hAnsi="Calibri"/>
          <w:color w:val="231F20"/>
          <w:spacing w:val="-20"/>
          <w:w w:val="105"/>
          <w:sz w:val="17"/>
        </w:rPr>
        <w:t> </w:t>
      </w:r>
      <w:r>
        <w:rPr>
          <w:rFonts w:ascii="Calibri" w:hAnsi="Calibri"/>
          <w:color w:val="231F20"/>
          <w:w w:val="105"/>
          <w:sz w:val="17"/>
        </w:rPr>
        <w:t>Nardin</w:t>
      </w:r>
      <w:r>
        <w:rPr>
          <w:rFonts w:ascii="Calibri" w:hAnsi="Calibri"/>
          <w:color w:val="231F20"/>
          <w:spacing w:val="-21"/>
          <w:w w:val="105"/>
          <w:sz w:val="17"/>
        </w:rPr>
        <w:t> </w:t>
      </w:r>
      <w:r>
        <w:rPr>
          <w:rFonts w:ascii="Calibri" w:hAnsi="Calibri"/>
          <w:color w:val="231F20"/>
          <w:w w:val="105"/>
          <w:sz w:val="17"/>
        </w:rPr>
        <w:t>y</w:t>
      </w:r>
      <w:r>
        <w:rPr>
          <w:rFonts w:ascii="Calibri" w:hAnsi="Calibri"/>
          <w:color w:val="231F20"/>
          <w:spacing w:val="-20"/>
          <w:w w:val="105"/>
          <w:sz w:val="17"/>
        </w:rPr>
        <w:t> </w:t>
      </w:r>
      <w:r>
        <w:rPr>
          <w:rFonts w:ascii="Calibri" w:hAnsi="Calibri"/>
          <w:color w:val="231F20"/>
          <w:w w:val="105"/>
          <w:sz w:val="17"/>
        </w:rPr>
        <w:t>D.</w:t>
      </w:r>
      <w:r>
        <w:rPr>
          <w:rFonts w:ascii="Calibri" w:hAnsi="Calibri"/>
          <w:color w:val="231F20"/>
          <w:spacing w:val="-20"/>
          <w:w w:val="105"/>
          <w:sz w:val="17"/>
        </w:rPr>
        <w:t> </w:t>
      </w:r>
      <w:r>
        <w:rPr>
          <w:rFonts w:ascii="Calibri" w:hAnsi="Calibri"/>
          <w:color w:val="231F20"/>
          <w:w w:val="105"/>
          <w:sz w:val="17"/>
        </w:rPr>
        <w:t>R.</w:t>
      </w:r>
      <w:r>
        <w:rPr>
          <w:rFonts w:ascii="Calibri" w:hAnsi="Calibri"/>
          <w:color w:val="231F20"/>
          <w:spacing w:val="-20"/>
          <w:w w:val="105"/>
          <w:sz w:val="17"/>
        </w:rPr>
        <w:t> </w:t>
      </w:r>
      <w:r>
        <w:rPr>
          <w:rFonts w:ascii="Calibri" w:hAnsi="Calibri"/>
          <w:color w:val="231F20"/>
          <w:w w:val="105"/>
          <w:sz w:val="17"/>
        </w:rPr>
        <w:t>Mapel,</w:t>
      </w:r>
      <w:r>
        <w:rPr>
          <w:rFonts w:ascii="Calibri" w:hAnsi="Calibri"/>
          <w:color w:val="231F20"/>
          <w:spacing w:val="-20"/>
          <w:w w:val="105"/>
          <w:sz w:val="17"/>
        </w:rPr>
        <w:t> </w:t>
      </w:r>
      <w:r>
        <w:rPr>
          <w:rFonts w:ascii="Calibri" w:hAnsi="Calibri"/>
          <w:i/>
          <w:color w:val="231F20"/>
          <w:w w:val="105"/>
          <w:sz w:val="17"/>
        </w:rPr>
        <w:t>Traditions</w:t>
      </w:r>
      <w:r>
        <w:rPr>
          <w:rFonts w:ascii="Calibri" w:hAnsi="Calibri"/>
          <w:i/>
          <w:color w:val="231F20"/>
          <w:spacing w:val="-20"/>
          <w:w w:val="105"/>
          <w:sz w:val="17"/>
        </w:rPr>
        <w:t> </w:t>
      </w:r>
      <w:r>
        <w:rPr>
          <w:rFonts w:ascii="Calibri" w:hAnsi="Calibri"/>
          <w:i/>
          <w:color w:val="231F20"/>
          <w:w w:val="105"/>
          <w:sz w:val="17"/>
        </w:rPr>
        <w:t>of</w:t>
      </w:r>
      <w:r>
        <w:rPr>
          <w:rFonts w:ascii="Calibri" w:hAnsi="Calibri"/>
          <w:i/>
          <w:color w:val="231F20"/>
          <w:spacing w:val="-20"/>
          <w:w w:val="105"/>
          <w:sz w:val="17"/>
        </w:rPr>
        <w:t> </w:t>
      </w:r>
      <w:r>
        <w:rPr>
          <w:rFonts w:ascii="Calibri" w:hAnsi="Calibri"/>
          <w:i/>
          <w:color w:val="231F20"/>
          <w:w w:val="105"/>
          <w:sz w:val="17"/>
        </w:rPr>
        <w:t>International </w:t>
      </w:r>
      <w:r>
        <w:rPr>
          <w:rFonts w:ascii="Calibri" w:hAnsi="Calibri"/>
          <w:i/>
          <w:color w:val="231F20"/>
          <w:w w:val="105"/>
          <w:sz w:val="17"/>
        </w:rPr>
        <w:t>Ethics</w:t>
      </w:r>
      <w:r>
        <w:rPr>
          <w:rFonts w:ascii="Calibri" w:hAnsi="Calibri"/>
          <w:color w:val="231F20"/>
          <w:w w:val="105"/>
          <w:sz w:val="17"/>
        </w:rPr>
        <w:t>, Cambridge, Cambridge University Press, 1993, p. 123: secondo Boyle, le obbligazioni nei confronti</w:t>
      </w:r>
      <w:r>
        <w:rPr>
          <w:rFonts w:ascii="Calibri" w:hAnsi="Calibri"/>
          <w:color w:val="231F20"/>
          <w:spacing w:val="-25"/>
          <w:w w:val="105"/>
          <w:sz w:val="17"/>
        </w:rPr>
        <w:t> </w:t>
      </w:r>
      <w:r>
        <w:rPr>
          <w:rFonts w:ascii="Calibri" w:hAnsi="Calibri"/>
          <w:color w:val="231F20"/>
          <w:w w:val="105"/>
          <w:sz w:val="17"/>
        </w:rPr>
        <w:t>degli</w:t>
      </w:r>
      <w:r>
        <w:rPr>
          <w:rFonts w:ascii="Calibri" w:hAnsi="Calibri"/>
          <w:color w:val="231F20"/>
          <w:spacing w:val="-25"/>
          <w:w w:val="105"/>
          <w:sz w:val="17"/>
        </w:rPr>
        <w:t> </w:t>
      </w:r>
      <w:r>
        <w:rPr>
          <w:rFonts w:ascii="Calibri" w:hAnsi="Calibri"/>
          <w:color w:val="231F20"/>
          <w:w w:val="105"/>
          <w:sz w:val="17"/>
        </w:rPr>
        <w:t>altri</w:t>
      </w:r>
      <w:r>
        <w:rPr>
          <w:rFonts w:ascii="Calibri" w:hAnsi="Calibri"/>
          <w:color w:val="231F20"/>
          <w:spacing w:val="-25"/>
          <w:w w:val="105"/>
          <w:sz w:val="17"/>
        </w:rPr>
        <w:t> </w:t>
      </w:r>
      <w:r>
        <w:rPr>
          <w:rFonts w:ascii="Calibri" w:hAnsi="Calibri"/>
          <w:color w:val="231F20"/>
          <w:w w:val="105"/>
          <w:sz w:val="17"/>
        </w:rPr>
        <w:t>imposte</w:t>
      </w:r>
      <w:r>
        <w:rPr>
          <w:rFonts w:ascii="Calibri" w:hAnsi="Calibri"/>
          <w:color w:val="231F20"/>
          <w:spacing w:val="-25"/>
          <w:w w:val="105"/>
          <w:sz w:val="17"/>
        </w:rPr>
        <w:t> </w:t>
      </w:r>
      <w:r>
        <w:rPr>
          <w:rFonts w:ascii="Calibri" w:hAnsi="Calibri"/>
          <w:color w:val="231F20"/>
          <w:w w:val="105"/>
          <w:sz w:val="17"/>
        </w:rPr>
        <w:t>dalla</w:t>
      </w:r>
      <w:r>
        <w:rPr>
          <w:rFonts w:ascii="Calibri" w:hAnsi="Calibri"/>
          <w:color w:val="231F20"/>
          <w:spacing w:val="-25"/>
          <w:w w:val="105"/>
          <w:sz w:val="17"/>
        </w:rPr>
        <w:t> </w:t>
      </w:r>
      <w:r>
        <w:rPr>
          <w:rFonts w:ascii="Calibri" w:hAnsi="Calibri"/>
          <w:color w:val="231F20"/>
          <w:w w:val="105"/>
          <w:sz w:val="17"/>
        </w:rPr>
        <w:t>nostra</w:t>
      </w:r>
      <w:r>
        <w:rPr>
          <w:rFonts w:ascii="Calibri" w:hAnsi="Calibri"/>
          <w:color w:val="231F20"/>
          <w:spacing w:val="-25"/>
          <w:w w:val="105"/>
          <w:sz w:val="17"/>
        </w:rPr>
        <w:t> </w:t>
      </w:r>
      <w:r>
        <w:rPr>
          <w:rFonts w:ascii="Calibri" w:hAnsi="Calibri"/>
          <w:color w:val="231F20"/>
          <w:w w:val="105"/>
          <w:sz w:val="17"/>
        </w:rPr>
        <w:t>“comune</w:t>
      </w:r>
      <w:r>
        <w:rPr>
          <w:rFonts w:ascii="Calibri" w:hAnsi="Calibri"/>
          <w:color w:val="231F20"/>
          <w:spacing w:val="-25"/>
          <w:w w:val="105"/>
          <w:sz w:val="17"/>
        </w:rPr>
        <w:t> </w:t>
      </w:r>
      <w:r>
        <w:rPr>
          <w:rFonts w:ascii="Calibri" w:hAnsi="Calibri"/>
          <w:color w:val="231F20"/>
          <w:w w:val="105"/>
          <w:sz w:val="17"/>
        </w:rPr>
        <w:t>moralità”</w:t>
      </w:r>
      <w:r>
        <w:rPr>
          <w:rFonts w:ascii="Calibri" w:hAnsi="Calibri"/>
          <w:color w:val="231F20"/>
          <w:spacing w:val="-25"/>
          <w:w w:val="105"/>
          <w:sz w:val="17"/>
        </w:rPr>
        <w:t> </w:t>
      </w:r>
      <w:r>
        <w:rPr>
          <w:rFonts w:ascii="Calibri" w:hAnsi="Calibri"/>
          <w:color w:val="231F20"/>
          <w:w w:val="105"/>
          <w:sz w:val="17"/>
        </w:rPr>
        <w:t>non</w:t>
      </w:r>
      <w:r>
        <w:rPr>
          <w:rFonts w:ascii="Calibri" w:hAnsi="Calibri"/>
          <w:color w:val="231F20"/>
          <w:spacing w:val="-25"/>
          <w:w w:val="105"/>
          <w:sz w:val="17"/>
        </w:rPr>
        <w:t> </w:t>
      </w:r>
      <w:r>
        <w:rPr>
          <w:rFonts w:ascii="Calibri" w:hAnsi="Calibri"/>
          <w:color w:val="231F20"/>
          <w:w w:val="105"/>
          <w:sz w:val="17"/>
        </w:rPr>
        <w:t>sono,</w:t>
      </w:r>
      <w:r>
        <w:rPr>
          <w:rFonts w:ascii="Calibri" w:hAnsi="Calibri"/>
          <w:color w:val="231F20"/>
          <w:spacing w:val="-25"/>
          <w:w w:val="105"/>
          <w:sz w:val="17"/>
        </w:rPr>
        <w:t> </w:t>
      </w:r>
      <w:r>
        <w:rPr>
          <w:rFonts w:ascii="Calibri" w:hAnsi="Calibri"/>
          <w:color w:val="231F20"/>
          <w:w w:val="105"/>
          <w:sz w:val="17"/>
        </w:rPr>
        <w:t>infatti,</w:t>
      </w:r>
      <w:r>
        <w:rPr>
          <w:rFonts w:ascii="Calibri" w:hAnsi="Calibri"/>
          <w:color w:val="231F20"/>
          <w:spacing w:val="-25"/>
          <w:w w:val="105"/>
          <w:sz w:val="17"/>
        </w:rPr>
        <w:t> </w:t>
      </w:r>
      <w:r>
        <w:rPr>
          <w:rFonts w:ascii="Calibri" w:hAnsi="Calibri"/>
          <w:color w:val="231F20"/>
          <w:w w:val="105"/>
          <w:sz w:val="17"/>
        </w:rPr>
        <w:t>“limitate</w:t>
      </w:r>
      <w:r>
        <w:rPr>
          <w:rFonts w:ascii="Calibri" w:hAnsi="Calibri"/>
          <w:color w:val="231F20"/>
          <w:spacing w:val="-25"/>
          <w:w w:val="105"/>
          <w:sz w:val="17"/>
        </w:rPr>
        <w:t> </w:t>
      </w:r>
      <w:r>
        <w:rPr>
          <w:rFonts w:ascii="Calibri" w:hAnsi="Calibri"/>
          <w:color w:val="231F20"/>
          <w:w w:val="105"/>
          <w:sz w:val="17"/>
        </w:rPr>
        <w:t>alle</w:t>
      </w:r>
      <w:r>
        <w:rPr>
          <w:rFonts w:ascii="Calibri" w:hAnsi="Calibri"/>
          <w:color w:val="231F20"/>
          <w:spacing w:val="-25"/>
          <w:w w:val="105"/>
          <w:sz w:val="17"/>
        </w:rPr>
        <w:t> </w:t>
      </w:r>
      <w:r>
        <w:rPr>
          <w:rFonts w:ascii="Calibri" w:hAnsi="Calibri"/>
          <w:color w:val="231F20"/>
          <w:w w:val="105"/>
          <w:sz w:val="17"/>
        </w:rPr>
        <w:t>persone con cui abbiamo legami comunitari in virtù di un contratto, di vincoli politici, o di una comune appartenenza territoriale (</w:t>
      </w:r>
      <w:r>
        <w:rPr>
          <w:rFonts w:ascii="Calibri" w:hAnsi="Calibri"/>
          <w:i/>
          <w:color w:val="231F20"/>
          <w:w w:val="105"/>
          <w:sz w:val="17"/>
        </w:rPr>
        <w:t>common locale</w:t>
      </w:r>
      <w:r>
        <w:rPr>
          <w:rFonts w:ascii="Calibri" w:hAnsi="Calibri"/>
          <w:color w:val="231F20"/>
          <w:w w:val="105"/>
          <w:sz w:val="17"/>
        </w:rPr>
        <w:t>). Noi siamo obbligati ad aiutare chiunque possiamo (nella</w:t>
      </w:r>
      <w:r>
        <w:rPr>
          <w:rFonts w:ascii="Calibri" w:hAnsi="Calibri"/>
          <w:color w:val="231F20"/>
          <w:spacing w:val="-20"/>
          <w:w w:val="105"/>
          <w:sz w:val="17"/>
        </w:rPr>
        <w:t> </w:t>
      </w:r>
      <w:r>
        <w:rPr>
          <w:rFonts w:ascii="Calibri" w:hAnsi="Calibri"/>
          <w:color w:val="231F20"/>
          <w:w w:val="105"/>
          <w:sz w:val="17"/>
        </w:rPr>
        <w:t>misura</w:t>
      </w:r>
      <w:r>
        <w:rPr>
          <w:rFonts w:ascii="Calibri" w:hAnsi="Calibri"/>
          <w:color w:val="231F20"/>
          <w:spacing w:val="-20"/>
          <w:w w:val="105"/>
          <w:sz w:val="17"/>
        </w:rPr>
        <w:t> </w:t>
      </w:r>
      <w:r>
        <w:rPr>
          <w:rFonts w:ascii="Calibri" w:hAnsi="Calibri"/>
          <w:color w:val="231F20"/>
          <w:w w:val="105"/>
          <w:sz w:val="17"/>
        </w:rPr>
        <w:t>in</w:t>
      </w:r>
      <w:r>
        <w:rPr>
          <w:rFonts w:ascii="Calibri" w:hAnsi="Calibri"/>
          <w:color w:val="231F20"/>
          <w:spacing w:val="-20"/>
          <w:w w:val="105"/>
          <w:sz w:val="17"/>
        </w:rPr>
        <w:t> </w:t>
      </w:r>
      <w:r>
        <w:rPr>
          <w:rFonts w:ascii="Calibri" w:hAnsi="Calibri"/>
          <w:color w:val="231F20"/>
          <w:w w:val="105"/>
          <w:sz w:val="17"/>
        </w:rPr>
        <w:t>cui</w:t>
      </w:r>
      <w:r>
        <w:rPr>
          <w:rFonts w:ascii="Calibri" w:hAnsi="Calibri"/>
          <w:color w:val="231F20"/>
          <w:spacing w:val="-20"/>
          <w:w w:val="105"/>
          <w:sz w:val="17"/>
        </w:rPr>
        <w:t> </w:t>
      </w:r>
      <w:r>
        <w:rPr>
          <w:rFonts w:ascii="Calibri" w:hAnsi="Calibri"/>
          <w:color w:val="231F20"/>
          <w:w w:val="105"/>
          <w:sz w:val="17"/>
        </w:rPr>
        <w:t>ciò</w:t>
      </w:r>
      <w:r>
        <w:rPr>
          <w:rFonts w:ascii="Calibri" w:hAnsi="Calibri"/>
          <w:color w:val="231F20"/>
          <w:spacing w:val="-20"/>
          <w:w w:val="105"/>
          <w:sz w:val="17"/>
        </w:rPr>
        <w:t> </w:t>
      </w:r>
      <w:r>
        <w:rPr>
          <w:rFonts w:ascii="Calibri" w:hAnsi="Calibri"/>
          <w:color w:val="231F20"/>
          <w:w w:val="105"/>
          <w:sz w:val="17"/>
        </w:rPr>
        <w:t>sia</w:t>
      </w:r>
      <w:r>
        <w:rPr>
          <w:rFonts w:ascii="Calibri" w:hAnsi="Calibri"/>
          <w:color w:val="231F20"/>
          <w:spacing w:val="-20"/>
          <w:w w:val="105"/>
          <w:sz w:val="17"/>
        </w:rPr>
        <w:t> </w:t>
      </w:r>
      <w:r>
        <w:rPr>
          <w:rFonts w:ascii="Calibri" w:hAnsi="Calibri"/>
          <w:color w:val="231F20"/>
          <w:w w:val="105"/>
          <w:sz w:val="17"/>
        </w:rPr>
        <w:t>compatibile</w:t>
      </w:r>
      <w:r>
        <w:rPr>
          <w:rFonts w:ascii="Calibri" w:hAnsi="Calibri"/>
          <w:color w:val="231F20"/>
          <w:spacing w:val="-20"/>
          <w:w w:val="105"/>
          <w:sz w:val="17"/>
        </w:rPr>
        <w:t> </w:t>
      </w:r>
      <w:r>
        <w:rPr>
          <w:rFonts w:ascii="Calibri" w:hAnsi="Calibri"/>
          <w:color w:val="231F20"/>
          <w:w w:val="105"/>
          <w:sz w:val="17"/>
        </w:rPr>
        <w:t>con</w:t>
      </w:r>
      <w:r>
        <w:rPr>
          <w:rFonts w:ascii="Calibri" w:hAnsi="Calibri"/>
          <w:color w:val="231F20"/>
          <w:spacing w:val="-20"/>
          <w:w w:val="105"/>
          <w:sz w:val="17"/>
        </w:rPr>
        <w:t> </w:t>
      </w:r>
      <w:r>
        <w:rPr>
          <w:rFonts w:ascii="Calibri" w:hAnsi="Calibri"/>
          <w:color w:val="231F20"/>
          <w:w w:val="105"/>
          <w:sz w:val="17"/>
        </w:rPr>
        <w:t>l’adempimento</w:t>
      </w:r>
      <w:r>
        <w:rPr>
          <w:rFonts w:ascii="Calibri" w:hAnsi="Calibri"/>
          <w:color w:val="231F20"/>
          <w:spacing w:val="-20"/>
          <w:w w:val="105"/>
          <w:sz w:val="17"/>
        </w:rPr>
        <w:t> </w:t>
      </w:r>
      <w:r>
        <w:rPr>
          <w:rFonts w:ascii="Calibri" w:hAnsi="Calibri"/>
          <w:color w:val="231F20"/>
          <w:w w:val="105"/>
          <w:sz w:val="17"/>
        </w:rPr>
        <w:t>di</w:t>
      </w:r>
      <w:r>
        <w:rPr>
          <w:rFonts w:ascii="Calibri" w:hAnsi="Calibri"/>
          <w:color w:val="231F20"/>
          <w:spacing w:val="-20"/>
          <w:w w:val="105"/>
          <w:sz w:val="17"/>
        </w:rPr>
        <w:t> </w:t>
      </w:r>
      <w:r>
        <w:rPr>
          <w:rFonts w:ascii="Calibri" w:hAnsi="Calibri"/>
          <w:color w:val="231F20"/>
          <w:w w:val="105"/>
          <w:sz w:val="17"/>
        </w:rPr>
        <w:t>altri</w:t>
      </w:r>
      <w:r>
        <w:rPr>
          <w:rFonts w:ascii="Calibri" w:hAnsi="Calibri"/>
          <w:color w:val="231F20"/>
          <w:spacing w:val="-20"/>
          <w:w w:val="105"/>
          <w:sz w:val="17"/>
        </w:rPr>
        <w:t> </w:t>
      </w:r>
      <w:r>
        <w:rPr>
          <w:rFonts w:ascii="Calibri" w:hAnsi="Calibri"/>
          <w:color w:val="231F20"/>
          <w:w w:val="105"/>
          <w:sz w:val="17"/>
        </w:rPr>
        <w:t>doveri)</w:t>
      </w:r>
      <w:r>
        <w:rPr>
          <w:rFonts w:ascii="Calibri" w:hAnsi="Calibri"/>
          <w:color w:val="231F20"/>
          <w:spacing w:val="-20"/>
          <w:w w:val="105"/>
          <w:sz w:val="17"/>
        </w:rPr>
        <w:t> </w:t>
      </w:r>
      <w:r>
        <w:rPr>
          <w:rFonts w:ascii="Calibri" w:hAnsi="Calibri"/>
          <w:color w:val="231F20"/>
          <w:w w:val="105"/>
          <w:sz w:val="17"/>
        </w:rPr>
        <w:t>ed</w:t>
      </w:r>
      <w:r>
        <w:rPr>
          <w:rFonts w:ascii="Calibri" w:hAnsi="Calibri"/>
          <w:color w:val="231F20"/>
          <w:spacing w:val="-20"/>
          <w:w w:val="105"/>
          <w:sz w:val="17"/>
        </w:rPr>
        <w:t> </w:t>
      </w:r>
      <w:r>
        <w:rPr>
          <w:rFonts w:ascii="Calibri" w:hAnsi="Calibri"/>
          <w:color w:val="231F20"/>
          <w:w w:val="105"/>
          <w:sz w:val="17"/>
        </w:rPr>
        <w:t>essere</w:t>
      </w:r>
      <w:r>
        <w:rPr>
          <w:rFonts w:ascii="Calibri" w:hAnsi="Calibri"/>
          <w:color w:val="231F20"/>
          <w:spacing w:val="-20"/>
          <w:w w:val="105"/>
          <w:sz w:val="17"/>
        </w:rPr>
        <w:t> </w:t>
      </w:r>
      <w:r>
        <w:rPr>
          <w:rFonts w:ascii="Calibri" w:hAnsi="Calibri"/>
          <w:color w:val="231F20"/>
          <w:w w:val="105"/>
          <w:sz w:val="17"/>
        </w:rPr>
        <w:t>pronti</w:t>
      </w:r>
      <w:r>
        <w:rPr>
          <w:rFonts w:ascii="Calibri" w:hAnsi="Calibri"/>
          <w:color w:val="231F20"/>
          <w:spacing w:val="-20"/>
          <w:w w:val="105"/>
          <w:sz w:val="17"/>
        </w:rPr>
        <w:t> </w:t>
      </w:r>
      <w:r>
        <w:rPr>
          <w:rFonts w:ascii="Calibri" w:hAnsi="Calibri"/>
          <w:color w:val="231F20"/>
          <w:w w:val="105"/>
          <w:sz w:val="17"/>
        </w:rPr>
        <w:t>a</w:t>
      </w:r>
      <w:r>
        <w:rPr>
          <w:rFonts w:ascii="Calibri" w:hAnsi="Calibri"/>
          <w:color w:val="231F20"/>
          <w:spacing w:val="-20"/>
          <w:w w:val="105"/>
          <w:sz w:val="17"/>
        </w:rPr>
        <w:t> </w:t>
      </w:r>
      <w:r>
        <w:rPr>
          <w:rFonts w:ascii="Calibri" w:hAnsi="Calibri"/>
          <w:color w:val="231F20"/>
          <w:w w:val="105"/>
          <w:sz w:val="17"/>
        </w:rPr>
        <w:t>creare</w:t>
      </w:r>
      <w:r>
        <w:rPr>
          <w:rFonts w:ascii="Calibri" w:hAnsi="Calibri"/>
          <w:color w:val="231F20"/>
          <w:spacing w:val="-20"/>
          <w:w w:val="105"/>
          <w:sz w:val="17"/>
        </w:rPr>
        <w:t> </w:t>
      </w:r>
      <w:r>
        <w:rPr>
          <w:rFonts w:ascii="Calibri" w:hAnsi="Calibri"/>
          <w:color w:val="231F20"/>
          <w:w w:val="105"/>
          <w:sz w:val="17"/>
        </w:rPr>
        <w:t>e promuovere</w:t>
      </w:r>
      <w:r>
        <w:rPr>
          <w:rFonts w:ascii="Calibri" w:hAnsi="Calibri"/>
          <w:color w:val="231F20"/>
          <w:spacing w:val="-19"/>
          <w:w w:val="105"/>
          <w:sz w:val="17"/>
        </w:rPr>
        <w:t> </w:t>
      </w:r>
      <w:r>
        <w:rPr>
          <w:rFonts w:ascii="Calibri" w:hAnsi="Calibri"/>
          <w:color w:val="231F20"/>
          <w:w w:val="105"/>
          <w:sz w:val="17"/>
        </w:rPr>
        <w:t>relazioni</w:t>
      </w:r>
      <w:r>
        <w:rPr>
          <w:rFonts w:ascii="Calibri" w:hAnsi="Calibri"/>
          <w:color w:val="231F20"/>
          <w:spacing w:val="-19"/>
          <w:w w:val="105"/>
          <w:sz w:val="17"/>
        </w:rPr>
        <w:t> </w:t>
      </w:r>
      <w:r>
        <w:rPr>
          <w:rFonts w:ascii="Calibri" w:hAnsi="Calibri"/>
          <w:color w:val="231F20"/>
          <w:w w:val="105"/>
          <w:sz w:val="17"/>
        </w:rPr>
        <w:t>dignitose</w:t>
      </w:r>
      <w:r>
        <w:rPr>
          <w:rFonts w:ascii="Calibri" w:hAnsi="Calibri"/>
          <w:color w:val="231F20"/>
          <w:spacing w:val="-19"/>
          <w:w w:val="105"/>
          <w:sz w:val="17"/>
        </w:rPr>
        <w:t> </w:t>
      </w:r>
      <w:r>
        <w:rPr>
          <w:rFonts w:ascii="Calibri" w:hAnsi="Calibri"/>
          <w:color w:val="231F20"/>
          <w:w w:val="105"/>
          <w:sz w:val="17"/>
        </w:rPr>
        <w:t>(</w:t>
      </w:r>
      <w:r>
        <w:rPr>
          <w:rFonts w:ascii="Calibri" w:hAnsi="Calibri"/>
          <w:i/>
          <w:color w:val="231F20"/>
          <w:w w:val="105"/>
          <w:sz w:val="17"/>
        </w:rPr>
        <w:t>decent</w:t>
      </w:r>
      <w:r>
        <w:rPr>
          <w:rFonts w:ascii="Calibri" w:hAnsi="Calibri"/>
          <w:color w:val="231F20"/>
          <w:w w:val="105"/>
          <w:sz w:val="17"/>
        </w:rPr>
        <w:t>)</w:t>
      </w:r>
      <w:r>
        <w:rPr>
          <w:rFonts w:ascii="Calibri" w:hAnsi="Calibri"/>
          <w:color w:val="231F20"/>
          <w:spacing w:val="-19"/>
          <w:w w:val="105"/>
          <w:sz w:val="17"/>
        </w:rPr>
        <w:t> </w:t>
      </w:r>
      <w:r>
        <w:rPr>
          <w:rFonts w:ascii="Calibri" w:hAnsi="Calibri"/>
          <w:color w:val="231F20"/>
          <w:w w:val="105"/>
          <w:sz w:val="17"/>
        </w:rPr>
        <w:t>con</w:t>
      </w:r>
      <w:r>
        <w:rPr>
          <w:rFonts w:ascii="Calibri" w:hAnsi="Calibri"/>
          <w:color w:val="231F20"/>
          <w:spacing w:val="-19"/>
          <w:w w:val="105"/>
          <w:sz w:val="17"/>
        </w:rPr>
        <w:t> </w:t>
      </w:r>
      <w:r>
        <w:rPr>
          <w:rFonts w:ascii="Calibri" w:hAnsi="Calibri"/>
          <w:color w:val="231F20"/>
          <w:w w:val="105"/>
          <w:sz w:val="17"/>
        </w:rPr>
        <w:t>tutti</w:t>
      </w:r>
      <w:r>
        <w:rPr>
          <w:rFonts w:ascii="Calibri" w:hAnsi="Calibri"/>
          <w:color w:val="231F20"/>
          <w:spacing w:val="-19"/>
          <w:w w:val="105"/>
          <w:sz w:val="17"/>
        </w:rPr>
        <w:t> </w:t>
      </w:r>
      <w:r>
        <w:rPr>
          <w:rFonts w:ascii="Calibri" w:hAnsi="Calibri"/>
          <w:color w:val="231F20"/>
          <w:w w:val="105"/>
          <w:sz w:val="17"/>
        </w:rPr>
        <w:t>loro.</w:t>
      </w:r>
      <w:r>
        <w:rPr>
          <w:rFonts w:ascii="Calibri" w:hAnsi="Calibri"/>
          <w:color w:val="231F20"/>
          <w:spacing w:val="-19"/>
          <w:w w:val="105"/>
          <w:sz w:val="17"/>
        </w:rPr>
        <w:t> </w:t>
      </w:r>
      <w:r>
        <w:rPr>
          <w:rFonts w:ascii="Calibri" w:hAnsi="Calibri"/>
          <w:color w:val="231F20"/>
          <w:w w:val="105"/>
          <w:sz w:val="17"/>
        </w:rPr>
        <w:t>(…)</w:t>
      </w:r>
      <w:r>
        <w:rPr>
          <w:rFonts w:ascii="Calibri" w:hAnsi="Calibri"/>
          <w:color w:val="231F20"/>
          <w:spacing w:val="-19"/>
          <w:w w:val="105"/>
          <w:sz w:val="17"/>
        </w:rPr>
        <w:t> </w:t>
      </w:r>
      <w:r>
        <w:rPr>
          <w:rFonts w:ascii="Calibri" w:hAnsi="Calibri"/>
          <w:color w:val="231F20"/>
          <w:w w:val="105"/>
          <w:sz w:val="17"/>
        </w:rPr>
        <w:t>Nell’ambito</w:t>
      </w:r>
      <w:r>
        <w:rPr>
          <w:rFonts w:ascii="Calibri" w:hAnsi="Calibri"/>
          <w:color w:val="231F20"/>
          <w:spacing w:val="-19"/>
          <w:w w:val="105"/>
          <w:sz w:val="17"/>
        </w:rPr>
        <w:t> </w:t>
      </w:r>
      <w:r>
        <w:rPr>
          <w:rFonts w:ascii="Calibri" w:hAnsi="Calibri"/>
          <w:color w:val="231F20"/>
          <w:w w:val="105"/>
          <w:sz w:val="17"/>
        </w:rPr>
        <w:t>di</w:t>
      </w:r>
      <w:r>
        <w:rPr>
          <w:rFonts w:ascii="Calibri" w:hAnsi="Calibri"/>
          <w:color w:val="231F20"/>
          <w:spacing w:val="-19"/>
          <w:w w:val="105"/>
          <w:sz w:val="17"/>
        </w:rPr>
        <w:t> </w:t>
      </w:r>
      <w:r>
        <w:rPr>
          <w:rFonts w:ascii="Calibri" w:hAnsi="Calibri"/>
          <w:color w:val="231F20"/>
          <w:w w:val="105"/>
          <w:sz w:val="17"/>
        </w:rPr>
        <w:t>questa</w:t>
      </w:r>
      <w:r>
        <w:rPr>
          <w:rFonts w:ascii="Calibri" w:hAnsi="Calibri"/>
          <w:color w:val="231F20"/>
          <w:spacing w:val="-19"/>
          <w:w w:val="105"/>
          <w:sz w:val="17"/>
        </w:rPr>
        <w:t> </w:t>
      </w:r>
      <w:r>
        <w:rPr>
          <w:rFonts w:ascii="Calibri" w:hAnsi="Calibri"/>
          <w:color w:val="231F20"/>
          <w:w w:val="105"/>
          <w:sz w:val="17"/>
        </w:rPr>
        <w:t>comune</w:t>
      </w:r>
      <w:r>
        <w:rPr>
          <w:rFonts w:ascii="Calibri" w:hAnsi="Calibri"/>
          <w:color w:val="231F20"/>
          <w:spacing w:val="-19"/>
          <w:w w:val="105"/>
          <w:sz w:val="17"/>
        </w:rPr>
        <w:t> </w:t>
      </w:r>
      <w:r>
        <w:rPr>
          <w:rFonts w:ascii="Calibri" w:hAnsi="Calibri"/>
          <w:color w:val="231F20"/>
          <w:w w:val="105"/>
          <w:sz w:val="17"/>
        </w:rPr>
        <w:t>moralità, il</w:t>
      </w:r>
      <w:r>
        <w:rPr>
          <w:rFonts w:ascii="Calibri" w:hAnsi="Calibri"/>
          <w:color w:val="231F20"/>
          <w:spacing w:val="-20"/>
          <w:w w:val="105"/>
          <w:sz w:val="17"/>
        </w:rPr>
        <w:t> </w:t>
      </w:r>
      <w:r>
        <w:rPr>
          <w:rFonts w:ascii="Calibri" w:hAnsi="Calibri"/>
          <w:color w:val="231F20"/>
          <w:w w:val="105"/>
          <w:sz w:val="17"/>
        </w:rPr>
        <w:t>dovere</w:t>
      </w:r>
      <w:r>
        <w:rPr>
          <w:rFonts w:ascii="Calibri" w:hAnsi="Calibri"/>
          <w:color w:val="231F20"/>
          <w:spacing w:val="-20"/>
          <w:w w:val="105"/>
          <w:sz w:val="17"/>
        </w:rPr>
        <w:t> </w:t>
      </w:r>
      <w:r>
        <w:rPr>
          <w:rFonts w:ascii="Calibri" w:hAnsi="Calibri"/>
          <w:color w:val="231F20"/>
          <w:w w:val="105"/>
          <w:sz w:val="17"/>
        </w:rPr>
        <w:t>generale</w:t>
      </w:r>
      <w:r>
        <w:rPr>
          <w:rFonts w:ascii="Calibri" w:hAnsi="Calibri"/>
          <w:color w:val="231F20"/>
          <w:spacing w:val="-20"/>
          <w:w w:val="105"/>
          <w:sz w:val="17"/>
        </w:rPr>
        <w:t> </w:t>
      </w:r>
      <w:r>
        <w:rPr>
          <w:rFonts w:ascii="Calibri" w:hAnsi="Calibri"/>
          <w:color w:val="231F20"/>
          <w:w w:val="105"/>
          <w:sz w:val="17"/>
        </w:rPr>
        <w:t>di</w:t>
      </w:r>
      <w:r>
        <w:rPr>
          <w:rFonts w:ascii="Calibri" w:hAnsi="Calibri"/>
          <w:color w:val="231F20"/>
          <w:spacing w:val="-20"/>
          <w:w w:val="105"/>
          <w:sz w:val="17"/>
        </w:rPr>
        <w:t> </w:t>
      </w:r>
      <w:r>
        <w:rPr>
          <w:rFonts w:ascii="Calibri" w:hAnsi="Calibri"/>
          <w:color w:val="231F20"/>
          <w:w w:val="105"/>
          <w:sz w:val="17"/>
        </w:rPr>
        <w:t>aiutare</w:t>
      </w:r>
      <w:r>
        <w:rPr>
          <w:rFonts w:ascii="Calibri" w:hAnsi="Calibri"/>
          <w:color w:val="231F20"/>
          <w:spacing w:val="-20"/>
          <w:w w:val="105"/>
          <w:sz w:val="17"/>
        </w:rPr>
        <w:t> </w:t>
      </w:r>
      <w:r>
        <w:rPr>
          <w:rFonts w:ascii="Calibri" w:hAnsi="Calibri"/>
          <w:color w:val="231F20"/>
          <w:w w:val="105"/>
          <w:sz w:val="17"/>
        </w:rPr>
        <w:t>gli</w:t>
      </w:r>
      <w:r>
        <w:rPr>
          <w:rFonts w:ascii="Calibri" w:hAnsi="Calibri"/>
          <w:color w:val="231F20"/>
          <w:spacing w:val="-20"/>
          <w:w w:val="105"/>
          <w:sz w:val="17"/>
        </w:rPr>
        <w:t> </w:t>
      </w:r>
      <w:r>
        <w:rPr>
          <w:rFonts w:ascii="Calibri" w:hAnsi="Calibri"/>
          <w:color w:val="231F20"/>
          <w:w w:val="105"/>
          <w:sz w:val="17"/>
        </w:rPr>
        <w:t>altri</w:t>
      </w:r>
      <w:r>
        <w:rPr>
          <w:rFonts w:ascii="Calibri" w:hAnsi="Calibri"/>
          <w:color w:val="231F20"/>
          <w:spacing w:val="-20"/>
          <w:w w:val="105"/>
          <w:sz w:val="17"/>
        </w:rPr>
        <w:t> </w:t>
      </w:r>
      <w:r>
        <w:rPr>
          <w:rFonts w:ascii="Calibri" w:hAnsi="Calibri"/>
          <w:color w:val="231F20"/>
          <w:w w:val="105"/>
          <w:sz w:val="17"/>
        </w:rPr>
        <w:t>è</w:t>
      </w:r>
      <w:r>
        <w:rPr>
          <w:rFonts w:ascii="Calibri" w:hAnsi="Calibri"/>
          <w:color w:val="231F20"/>
          <w:spacing w:val="-20"/>
          <w:w w:val="105"/>
          <w:sz w:val="17"/>
        </w:rPr>
        <w:t> </w:t>
      </w:r>
      <w:r>
        <w:rPr>
          <w:rFonts w:ascii="Calibri" w:hAnsi="Calibri"/>
          <w:color w:val="231F20"/>
          <w:w w:val="105"/>
          <w:sz w:val="17"/>
        </w:rPr>
        <w:t>il</w:t>
      </w:r>
      <w:r>
        <w:rPr>
          <w:rFonts w:ascii="Calibri" w:hAnsi="Calibri"/>
          <w:color w:val="231F20"/>
          <w:spacing w:val="-20"/>
          <w:w w:val="105"/>
          <w:sz w:val="17"/>
        </w:rPr>
        <w:t> </w:t>
      </w:r>
      <w:r>
        <w:rPr>
          <w:rFonts w:ascii="Calibri" w:hAnsi="Calibri"/>
          <w:color w:val="231F20"/>
          <w:w w:val="105"/>
          <w:sz w:val="17"/>
        </w:rPr>
        <w:t>fondamento</w:t>
      </w:r>
      <w:r>
        <w:rPr>
          <w:rFonts w:ascii="Calibri" w:hAnsi="Calibri"/>
          <w:color w:val="231F20"/>
          <w:spacing w:val="-20"/>
          <w:w w:val="105"/>
          <w:sz w:val="17"/>
        </w:rPr>
        <w:t> </w:t>
      </w:r>
      <w:r>
        <w:rPr>
          <w:rFonts w:ascii="Calibri" w:hAnsi="Calibri"/>
          <w:color w:val="231F20"/>
          <w:w w:val="105"/>
          <w:sz w:val="17"/>
        </w:rPr>
        <w:t>più</w:t>
      </w:r>
      <w:r>
        <w:rPr>
          <w:rFonts w:ascii="Calibri" w:hAnsi="Calibri"/>
          <w:color w:val="231F20"/>
          <w:spacing w:val="-20"/>
          <w:w w:val="105"/>
          <w:sz w:val="17"/>
        </w:rPr>
        <w:t> </w:t>
      </w:r>
      <w:r>
        <w:rPr>
          <w:rFonts w:ascii="Calibri" w:hAnsi="Calibri"/>
          <w:color w:val="231F20"/>
          <w:w w:val="105"/>
          <w:sz w:val="17"/>
        </w:rPr>
        <w:t>basilare</w:t>
      </w:r>
      <w:r>
        <w:rPr>
          <w:rFonts w:ascii="Calibri" w:hAnsi="Calibri"/>
          <w:color w:val="231F20"/>
          <w:spacing w:val="-20"/>
          <w:w w:val="105"/>
          <w:sz w:val="17"/>
        </w:rPr>
        <w:t> </w:t>
      </w:r>
      <w:r>
        <w:rPr>
          <w:rFonts w:ascii="Calibri" w:hAnsi="Calibri"/>
          <w:color w:val="231F20"/>
          <w:w w:val="105"/>
          <w:sz w:val="17"/>
        </w:rPr>
        <w:t>dell’interferenza</w:t>
      </w:r>
      <w:r>
        <w:rPr>
          <w:rFonts w:ascii="Calibri" w:hAnsi="Calibri"/>
          <w:color w:val="231F20"/>
          <w:spacing w:val="-20"/>
          <w:w w:val="105"/>
          <w:sz w:val="17"/>
        </w:rPr>
        <w:t> </w:t>
      </w:r>
      <w:r>
        <w:rPr>
          <w:rFonts w:ascii="Calibri" w:hAnsi="Calibri"/>
          <w:color w:val="231F20"/>
          <w:w w:val="105"/>
          <w:sz w:val="17"/>
        </w:rPr>
        <w:t>negli</w:t>
      </w:r>
      <w:r>
        <w:rPr>
          <w:rFonts w:ascii="Calibri" w:hAnsi="Calibri"/>
          <w:color w:val="231F20"/>
          <w:spacing w:val="-20"/>
          <w:w w:val="105"/>
          <w:sz w:val="17"/>
        </w:rPr>
        <w:t> </w:t>
      </w:r>
      <w:r>
        <w:rPr>
          <w:rFonts w:ascii="Calibri" w:hAnsi="Calibri"/>
          <w:color w:val="231F20"/>
          <w:w w:val="105"/>
          <w:sz w:val="17"/>
        </w:rPr>
        <w:t>affari</w:t>
      </w:r>
      <w:r>
        <w:rPr>
          <w:rFonts w:ascii="Calibri" w:hAnsi="Calibri"/>
          <w:color w:val="231F20"/>
          <w:spacing w:val="-20"/>
          <w:w w:val="105"/>
          <w:sz w:val="17"/>
        </w:rPr>
        <w:t> </w:t>
      </w:r>
      <w:r>
        <w:rPr>
          <w:rFonts w:ascii="Calibri" w:hAnsi="Calibri"/>
          <w:color w:val="231F20"/>
          <w:w w:val="105"/>
          <w:sz w:val="17"/>
        </w:rPr>
        <w:t>interni di</w:t>
      </w:r>
      <w:r>
        <w:rPr>
          <w:rFonts w:ascii="Calibri" w:hAnsi="Calibri"/>
          <w:color w:val="231F20"/>
          <w:spacing w:val="-11"/>
          <w:w w:val="105"/>
          <w:sz w:val="17"/>
        </w:rPr>
        <w:t> </w:t>
      </w:r>
      <w:r>
        <w:rPr>
          <w:rFonts w:ascii="Calibri" w:hAnsi="Calibri"/>
          <w:color w:val="231F20"/>
          <w:w w:val="105"/>
          <w:sz w:val="17"/>
        </w:rPr>
        <w:t>una</w:t>
      </w:r>
      <w:r>
        <w:rPr>
          <w:rFonts w:ascii="Calibri" w:hAnsi="Calibri"/>
          <w:color w:val="231F20"/>
          <w:spacing w:val="-11"/>
          <w:w w:val="105"/>
          <w:sz w:val="17"/>
        </w:rPr>
        <w:t> </w:t>
      </w:r>
      <w:r>
        <w:rPr>
          <w:rFonts w:ascii="Calibri" w:hAnsi="Calibri"/>
          <w:color w:val="231F20"/>
          <w:w w:val="105"/>
          <w:sz w:val="17"/>
        </w:rPr>
        <w:t>nazione</w:t>
      </w:r>
      <w:r>
        <w:rPr>
          <w:rFonts w:ascii="Calibri" w:hAnsi="Calibri"/>
          <w:color w:val="231F20"/>
          <w:spacing w:val="-11"/>
          <w:w w:val="105"/>
          <w:sz w:val="17"/>
        </w:rPr>
        <w:t> </w:t>
      </w:r>
      <w:r>
        <w:rPr>
          <w:rFonts w:ascii="Calibri" w:hAnsi="Calibri"/>
          <w:color w:val="231F20"/>
          <w:w w:val="105"/>
          <w:sz w:val="17"/>
        </w:rPr>
        <w:t>da</w:t>
      </w:r>
      <w:r>
        <w:rPr>
          <w:rFonts w:ascii="Calibri" w:hAnsi="Calibri"/>
          <w:color w:val="231F20"/>
          <w:spacing w:val="-11"/>
          <w:w w:val="105"/>
          <w:sz w:val="17"/>
        </w:rPr>
        <w:t> </w:t>
      </w:r>
      <w:r>
        <w:rPr>
          <w:rFonts w:ascii="Calibri" w:hAnsi="Calibri"/>
          <w:color w:val="231F20"/>
          <w:w w:val="105"/>
          <w:sz w:val="17"/>
        </w:rPr>
        <w:t>parte</w:t>
      </w:r>
      <w:r>
        <w:rPr>
          <w:rFonts w:ascii="Calibri" w:hAnsi="Calibri"/>
          <w:color w:val="231F20"/>
          <w:spacing w:val="-11"/>
          <w:w w:val="105"/>
          <w:sz w:val="17"/>
        </w:rPr>
        <w:t> </w:t>
      </w:r>
      <w:r>
        <w:rPr>
          <w:rFonts w:ascii="Calibri" w:hAnsi="Calibri"/>
          <w:color w:val="231F20"/>
          <w:w w:val="105"/>
          <w:sz w:val="17"/>
        </w:rPr>
        <w:t>di</w:t>
      </w:r>
      <w:r>
        <w:rPr>
          <w:rFonts w:ascii="Calibri" w:hAnsi="Calibri"/>
          <w:color w:val="231F20"/>
          <w:spacing w:val="-11"/>
          <w:w w:val="105"/>
          <w:sz w:val="17"/>
        </w:rPr>
        <w:t> </w:t>
      </w:r>
      <w:r>
        <w:rPr>
          <w:rFonts w:ascii="Calibri" w:hAnsi="Calibri"/>
          <w:color w:val="231F20"/>
          <w:w w:val="105"/>
          <w:sz w:val="17"/>
        </w:rPr>
        <w:t>estranei,</w:t>
      </w:r>
      <w:r>
        <w:rPr>
          <w:rFonts w:ascii="Calibri" w:hAnsi="Calibri"/>
          <w:color w:val="231F20"/>
          <w:spacing w:val="-11"/>
          <w:w w:val="105"/>
          <w:sz w:val="17"/>
        </w:rPr>
        <w:t> </w:t>
      </w:r>
      <w:r>
        <w:rPr>
          <w:rFonts w:ascii="Calibri" w:hAnsi="Calibri"/>
          <w:color w:val="231F20"/>
          <w:w w:val="105"/>
          <w:sz w:val="17"/>
        </w:rPr>
        <w:t>incluse</w:t>
      </w:r>
      <w:r>
        <w:rPr>
          <w:rFonts w:ascii="Calibri" w:hAnsi="Calibri"/>
          <w:color w:val="231F20"/>
          <w:spacing w:val="-11"/>
          <w:w w:val="105"/>
          <w:sz w:val="17"/>
        </w:rPr>
        <w:t> </w:t>
      </w:r>
      <w:r>
        <w:rPr>
          <w:rFonts w:ascii="Calibri" w:hAnsi="Calibri"/>
          <w:color w:val="231F20"/>
          <w:w w:val="105"/>
          <w:sz w:val="17"/>
        </w:rPr>
        <w:t>le</w:t>
      </w:r>
      <w:r>
        <w:rPr>
          <w:rFonts w:ascii="Calibri" w:hAnsi="Calibri"/>
          <w:color w:val="231F20"/>
          <w:spacing w:val="-11"/>
          <w:w w:val="105"/>
          <w:sz w:val="17"/>
        </w:rPr>
        <w:t> </w:t>
      </w:r>
      <w:r>
        <w:rPr>
          <w:rFonts w:ascii="Calibri" w:hAnsi="Calibri"/>
          <w:color w:val="231F20"/>
          <w:w w:val="105"/>
          <w:sz w:val="17"/>
        </w:rPr>
        <w:t>altre</w:t>
      </w:r>
      <w:r>
        <w:rPr>
          <w:rFonts w:ascii="Calibri" w:hAnsi="Calibri"/>
          <w:color w:val="231F20"/>
          <w:spacing w:val="-11"/>
          <w:w w:val="105"/>
          <w:sz w:val="17"/>
        </w:rPr>
        <w:t> </w:t>
      </w:r>
      <w:r>
        <w:rPr>
          <w:rFonts w:ascii="Calibri" w:hAnsi="Calibri"/>
          <w:color w:val="231F20"/>
          <w:w w:val="105"/>
          <w:sz w:val="17"/>
        </w:rPr>
        <w:t>nazioni</w:t>
      </w:r>
      <w:r>
        <w:rPr>
          <w:rFonts w:ascii="Calibri" w:hAnsi="Calibri"/>
          <w:color w:val="231F20"/>
          <w:spacing w:val="-11"/>
          <w:w w:val="105"/>
          <w:sz w:val="17"/>
        </w:rPr>
        <w:t> </w:t>
      </w:r>
      <w:r>
        <w:rPr>
          <w:rFonts w:ascii="Calibri" w:hAnsi="Calibri"/>
          <w:color w:val="231F20"/>
          <w:w w:val="105"/>
          <w:sz w:val="17"/>
        </w:rPr>
        <w:t>e</w:t>
      </w:r>
      <w:r>
        <w:rPr>
          <w:rFonts w:ascii="Calibri" w:hAnsi="Calibri"/>
          <w:color w:val="231F20"/>
          <w:spacing w:val="-11"/>
          <w:w w:val="105"/>
          <w:sz w:val="17"/>
        </w:rPr>
        <w:t> </w:t>
      </w:r>
      <w:r>
        <w:rPr>
          <w:rFonts w:ascii="Calibri" w:hAnsi="Calibri"/>
          <w:color w:val="231F20"/>
          <w:w w:val="105"/>
          <w:sz w:val="17"/>
        </w:rPr>
        <w:t>gli</w:t>
      </w:r>
      <w:r>
        <w:rPr>
          <w:rFonts w:ascii="Calibri" w:hAnsi="Calibri"/>
          <w:color w:val="231F20"/>
          <w:spacing w:val="-11"/>
          <w:w w:val="105"/>
          <w:sz w:val="17"/>
        </w:rPr>
        <w:t> </w:t>
      </w:r>
      <w:r>
        <w:rPr>
          <w:rFonts w:ascii="Calibri" w:hAnsi="Calibri"/>
          <w:color w:val="231F20"/>
          <w:w w:val="105"/>
          <w:sz w:val="17"/>
        </w:rPr>
        <w:t>organi</w:t>
      </w:r>
      <w:r>
        <w:rPr>
          <w:rFonts w:ascii="Calibri" w:hAnsi="Calibri"/>
          <w:color w:val="231F20"/>
          <w:spacing w:val="-11"/>
          <w:w w:val="105"/>
          <w:sz w:val="17"/>
        </w:rPr>
        <w:t> </w:t>
      </w:r>
      <w:r>
        <w:rPr>
          <w:rFonts w:ascii="Calibri" w:hAnsi="Calibri"/>
          <w:color w:val="231F20"/>
          <w:w w:val="105"/>
          <w:sz w:val="17"/>
        </w:rPr>
        <w:t>internazionali.</w:t>
      </w:r>
      <w:r>
        <w:rPr>
          <w:rFonts w:ascii="Calibri" w:hAnsi="Calibri"/>
          <w:color w:val="231F20"/>
          <w:spacing w:val="-11"/>
          <w:w w:val="105"/>
          <w:sz w:val="17"/>
        </w:rPr>
        <w:t> </w:t>
      </w:r>
      <w:r>
        <w:rPr>
          <w:rFonts w:ascii="Calibri" w:hAnsi="Calibri"/>
          <w:color w:val="231F20"/>
          <w:w w:val="105"/>
          <w:sz w:val="17"/>
        </w:rPr>
        <w:t>Le</w:t>
      </w:r>
      <w:r>
        <w:rPr>
          <w:rFonts w:ascii="Calibri" w:hAnsi="Calibri"/>
          <w:color w:val="231F20"/>
          <w:spacing w:val="-11"/>
          <w:w w:val="105"/>
          <w:sz w:val="17"/>
        </w:rPr>
        <w:t> </w:t>
      </w:r>
      <w:r>
        <w:rPr>
          <w:rFonts w:ascii="Calibri" w:hAnsi="Calibri"/>
          <w:color w:val="231F20"/>
          <w:w w:val="105"/>
          <w:sz w:val="17"/>
        </w:rPr>
        <w:t>specifiche implicazioni</w:t>
      </w:r>
      <w:r>
        <w:rPr>
          <w:rFonts w:ascii="Calibri" w:hAnsi="Calibri"/>
          <w:color w:val="231F20"/>
          <w:spacing w:val="-23"/>
          <w:w w:val="105"/>
          <w:sz w:val="17"/>
        </w:rPr>
        <w:t> </w:t>
      </w:r>
      <w:r>
        <w:rPr>
          <w:rFonts w:ascii="Calibri" w:hAnsi="Calibri"/>
          <w:color w:val="231F20"/>
          <w:w w:val="105"/>
          <w:sz w:val="17"/>
        </w:rPr>
        <w:t>del</w:t>
      </w:r>
      <w:r>
        <w:rPr>
          <w:rFonts w:ascii="Calibri" w:hAnsi="Calibri"/>
          <w:color w:val="231F20"/>
          <w:spacing w:val="-23"/>
          <w:w w:val="105"/>
          <w:sz w:val="17"/>
        </w:rPr>
        <w:t> </w:t>
      </w:r>
      <w:r>
        <w:rPr>
          <w:rFonts w:ascii="Calibri" w:hAnsi="Calibri"/>
          <w:color w:val="231F20"/>
          <w:w w:val="105"/>
          <w:sz w:val="17"/>
        </w:rPr>
        <w:t>dovere</w:t>
      </w:r>
      <w:r>
        <w:rPr>
          <w:rFonts w:ascii="Calibri" w:hAnsi="Calibri"/>
          <w:color w:val="231F20"/>
          <w:spacing w:val="-23"/>
          <w:w w:val="105"/>
          <w:sz w:val="17"/>
        </w:rPr>
        <w:t> </w:t>
      </w:r>
      <w:r>
        <w:rPr>
          <w:rFonts w:ascii="Calibri" w:hAnsi="Calibri"/>
          <w:color w:val="231F20"/>
          <w:w w:val="105"/>
          <w:sz w:val="17"/>
        </w:rPr>
        <w:t>generale</w:t>
      </w:r>
      <w:r>
        <w:rPr>
          <w:rFonts w:ascii="Calibri" w:hAnsi="Calibri"/>
          <w:color w:val="231F20"/>
          <w:spacing w:val="-23"/>
          <w:w w:val="105"/>
          <w:sz w:val="17"/>
        </w:rPr>
        <w:t> </w:t>
      </w:r>
      <w:r>
        <w:rPr>
          <w:rFonts w:ascii="Calibri" w:hAnsi="Calibri"/>
          <w:color w:val="231F20"/>
          <w:w w:val="105"/>
          <w:sz w:val="17"/>
        </w:rPr>
        <w:t>di</w:t>
      </w:r>
      <w:r>
        <w:rPr>
          <w:rFonts w:ascii="Calibri" w:hAnsi="Calibri"/>
          <w:color w:val="231F20"/>
          <w:spacing w:val="-23"/>
          <w:w w:val="105"/>
          <w:sz w:val="17"/>
        </w:rPr>
        <w:t> </w:t>
      </w:r>
      <w:r>
        <w:rPr>
          <w:rFonts w:ascii="Calibri" w:hAnsi="Calibri"/>
          <w:color w:val="231F20"/>
          <w:w w:val="105"/>
          <w:sz w:val="17"/>
        </w:rPr>
        <w:t>fornire</w:t>
      </w:r>
      <w:r>
        <w:rPr>
          <w:rFonts w:ascii="Calibri" w:hAnsi="Calibri"/>
          <w:color w:val="231F20"/>
          <w:spacing w:val="-23"/>
          <w:w w:val="105"/>
          <w:sz w:val="17"/>
        </w:rPr>
        <w:t> </w:t>
      </w:r>
      <w:r>
        <w:rPr>
          <w:rFonts w:ascii="Calibri" w:hAnsi="Calibri"/>
          <w:color w:val="231F20"/>
          <w:w w:val="105"/>
          <w:sz w:val="17"/>
        </w:rPr>
        <w:t>aiuto</w:t>
      </w:r>
      <w:r>
        <w:rPr>
          <w:rFonts w:ascii="Calibri" w:hAnsi="Calibri"/>
          <w:color w:val="231F20"/>
          <w:spacing w:val="-23"/>
          <w:w w:val="105"/>
          <w:sz w:val="17"/>
        </w:rPr>
        <w:t> </w:t>
      </w:r>
      <w:r>
        <w:rPr>
          <w:rFonts w:ascii="Calibri" w:hAnsi="Calibri"/>
          <w:color w:val="231F20"/>
          <w:w w:val="105"/>
          <w:sz w:val="17"/>
        </w:rPr>
        <w:t>dipendono</w:t>
      </w:r>
      <w:r>
        <w:rPr>
          <w:rFonts w:ascii="Calibri" w:hAnsi="Calibri"/>
          <w:color w:val="231F20"/>
          <w:spacing w:val="-23"/>
          <w:w w:val="105"/>
          <w:sz w:val="17"/>
        </w:rPr>
        <w:t> </w:t>
      </w:r>
      <w:r>
        <w:rPr>
          <w:rFonts w:ascii="Calibri" w:hAnsi="Calibri"/>
          <w:color w:val="231F20"/>
          <w:w w:val="105"/>
          <w:sz w:val="17"/>
        </w:rPr>
        <w:t>da</w:t>
      </w:r>
      <w:r>
        <w:rPr>
          <w:rFonts w:ascii="Calibri" w:hAnsi="Calibri"/>
          <w:color w:val="231F20"/>
          <w:spacing w:val="-23"/>
          <w:w w:val="105"/>
          <w:sz w:val="17"/>
        </w:rPr>
        <w:t> </w:t>
      </w:r>
      <w:r>
        <w:rPr>
          <w:rFonts w:ascii="Calibri" w:hAnsi="Calibri"/>
          <w:color w:val="231F20"/>
          <w:w w:val="105"/>
          <w:sz w:val="17"/>
        </w:rPr>
        <w:t>una</w:t>
      </w:r>
      <w:r>
        <w:rPr>
          <w:rFonts w:ascii="Calibri" w:hAnsi="Calibri"/>
          <w:color w:val="231F20"/>
          <w:spacing w:val="-23"/>
          <w:w w:val="105"/>
          <w:sz w:val="17"/>
        </w:rPr>
        <w:t> </w:t>
      </w:r>
      <w:r>
        <w:rPr>
          <w:rFonts w:ascii="Calibri" w:hAnsi="Calibri"/>
          <w:color w:val="231F20"/>
          <w:w w:val="105"/>
          <w:sz w:val="17"/>
        </w:rPr>
        <w:t>molteplicità</w:t>
      </w:r>
      <w:r>
        <w:rPr>
          <w:rFonts w:ascii="Calibri" w:hAnsi="Calibri"/>
          <w:color w:val="231F20"/>
          <w:spacing w:val="-23"/>
          <w:w w:val="105"/>
          <w:sz w:val="17"/>
        </w:rPr>
        <w:t> </w:t>
      </w:r>
      <w:r>
        <w:rPr>
          <w:rFonts w:ascii="Calibri" w:hAnsi="Calibri"/>
          <w:color w:val="231F20"/>
          <w:w w:val="105"/>
          <w:sz w:val="17"/>
        </w:rPr>
        <w:t>di</w:t>
      </w:r>
      <w:r>
        <w:rPr>
          <w:rFonts w:ascii="Calibri" w:hAnsi="Calibri"/>
          <w:color w:val="231F20"/>
          <w:spacing w:val="-23"/>
          <w:w w:val="105"/>
          <w:sz w:val="17"/>
        </w:rPr>
        <w:t> </w:t>
      </w:r>
      <w:r>
        <w:rPr>
          <w:rFonts w:ascii="Calibri" w:hAnsi="Calibri"/>
          <w:color w:val="231F20"/>
          <w:w w:val="105"/>
          <w:sz w:val="17"/>
        </w:rPr>
        <w:t>fattori</w:t>
      </w:r>
      <w:r>
        <w:rPr>
          <w:rFonts w:ascii="Calibri" w:hAnsi="Calibri"/>
          <w:color w:val="231F20"/>
          <w:spacing w:val="-23"/>
          <w:w w:val="105"/>
          <w:sz w:val="17"/>
        </w:rPr>
        <w:t> </w:t>
      </w:r>
      <w:r>
        <w:rPr>
          <w:rFonts w:ascii="Calibri" w:hAnsi="Calibri"/>
          <w:color w:val="231F20"/>
          <w:w w:val="105"/>
          <w:sz w:val="17"/>
        </w:rPr>
        <w:t>altamente contingenti,</w:t>
      </w:r>
      <w:r>
        <w:rPr>
          <w:rFonts w:ascii="Calibri" w:hAnsi="Calibri"/>
          <w:color w:val="231F20"/>
          <w:spacing w:val="-10"/>
          <w:w w:val="105"/>
          <w:sz w:val="17"/>
        </w:rPr>
        <w:t> </w:t>
      </w:r>
      <w:r>
        <w:rPr>
          <w:rFonts w:ascii="Calibri" w:hAnsi="Calibri"/>
          <w:color w:val="231F20"/>
          <w:w w:val="105"/>
          <w:sz w:val="17"/>
        </w:rPr>
        <w:t>che</w:t>
      </w:r>
      <w:r>
        <w:rPr>
          <w:rFonts w:ascii="Calibri" w:hAnsi="Calibri"/>
          <w:color w:val="231F20"/>
          <w:spacing w:val="-10"/>
          <w:w w:val="105"/>
          <w:sz w:val="17"/>
        </w:rPr>
        <w:t> </w:t>
      </w:r>
      <w:r>
        <w:rPr>
          <w:rFonts w:ascii="Calibri" w:hAnsi="Calibri"/>
          <w:color w:val="231F20"/>
          <w:w w:val="105"/>
          <w:sz w:val="17"/>
        </w:rPr>
        <w:t>includono</w:t>
      </w:r>
      <w:r>
        <w:rPr>
          <w:rFonts w:ascii="Calibri" w:hAnsi="Calibri"/>
          <w:color w:val="231F20"/>
          <w:spacing w:val="-10"/>
          <w:w w:val="105"/>
          <w:sz w:val="17"/>
        </w:rPr>
        <w:t> </w:t>
      </w:r>
      <w:r>
        <w:rPr>
          <w:rFonts w:ascii="Calibri" w:hAnsi="Calibri"/>
          <w:color w:val="231F20"/>
          <w:w w:val="105"/>
          <w:sz w:val="17"/>
        </w:rPr>
        <w:t>il</w:t>
      </w:r>
      <w:r>
        <w:rPr>
          <w:rFonts w:ascii="Calibri" w:hAnsi="Calibri"/>
          <w:color w:val="231F20"/>
          <w:spacing w:val="-10"/>
          <w:w w:val="105"/>
          <w:sz w:val="17"/>
        </w:rPr>
        <w:t> </w:t>
      </w:r>
      <w:r>
        <w:rPr>
          <w:rFonts w:ascii="Calibri" w:hAnsi="Calibri"/>
          <w:color w:val="231F20"/>
          <w:w w:val="105"/>
          <w:sz w:val="17"/>
        </w:rPr>
        <w:t>rispetto</w:t>
      </w:r>
      <w:r>
        <w:rPr>
          <w:rFonts w:ascii="Calibri" w:hAnsi="Calibri"/>
          <w:color w:val="231F20"/>
          <w:spacing w:val="-10"/>
          <w:w w:val="105"/>
          <w:sz w:val="17"/>
        </w:rPr>
        <w:t> </w:t>
      </w:r>
      <w:r>
        <w:rPr>
          <w:rFonts w:ascii="Calibri" w:hAnsi="Calibri"/>
          <w:color w:val="231F20"/>
          <w:w w:val="105"/>
          <w:sz w:val="17"/>
        </w:rPr>
        <w:t>per</w:t>
      </w:r>
      <w:r>
        <w:rPr>
          <w:rFonts w:ascii="Calibri" w:hAnsi="Calibri"/>
          <w:color w:val="231F20"/>
          <w:spacing w:val="-10"/>
          <w:w w:val="105"/>
          <w:sz w:val="17"/>
        </w:rPr>
        <w:t> </w:t>
      </w:r>
      <w:r>
        <w:rPr>
          <w:rFonts w:ascii="Calibri" w:hAnsi="Calibri"/>
          <w:color w:val="231F20"/>
          <w:w w:val="105"/>
          <w:sz w:val="17"/>
        </w:rPr>
        <w:t>la</w:t>
      </w:r>
      <w:r>
        <w:rPr>
          <w:rFonts w:ascii="Calibri" w:hAnsi="Calibri"/>
          <w:color w:val="231F20"/>
          <w:spacing w:val="-10"/>
          <w:w w:val="105"/>
          <w:sz w:val="17"/>
        </w:rPr>
        <w:t> </w:t>
      </w:r>
      <w:r>
        <w:rPr>
          <w:rFonts w:ascii="Calibri" w:hAnsi="Calibri"/>
          <w:color w:val="231F20"/>
          <w:w w:val="105"/>
          <w:sz w:val="17"/>
        </w:rPr>
        <w:t>sovranità</w:t>
      </w:r>
      <w:r>
        <w:rPr>
          <w:rFonts w:ascii="Calibri" w:hAnsi="Calibri"/>
          <w:color w:val="231F20"/>
          <w:spacing w:val="-10"/>
          <w:w w:val="105"/>
          <w:sz w:val="17"/>
        </w:rPr>
        <w:t> </w:t>
      </w:r>
      <w:r>
        <w:rPr>
          <w:rFonts w:ascii="Calibri" w:hAnsi="Calibri"/>
          <w:color w:val="231F20"/>
          <w:w w:val="105"/>
          <w:sz w:val="17"/>
        </w:rPr>
        <w:t>di</w:t>
      </w:r>
      <w:r>
        <w:rPr>
          <w:rFonts w:ascii="Calibri" w:hAnsi="Calibri"/>
          <w:color w:val="231F20"/>
          <w:spacing w:val="-10"/>
          <w:w w:val="105"/>
          <w:sz w:val="17"/>
        </w:rPr>
        <w:t> </w:t>
      </w:r>
      <w:r>
        <w:rPr>
          <w:rFonts w:ascii="Calibri" w:hAnsi="Calibri"/>
          <w:color w:val="231F20"/>
          <w:w w:val="105"/>
          <w:sz w:val="17"/>
        </w:rPr>
        <w:t>una</w:t>
      </w:r>
      <w:r>
        <w:rPr>
          <w:rFonts w:ascii="Calibri" w:hAnsi="Calibri"/>
          <w:color w:val="231F20"/>
          <w:spacing w:val="-10"/>
          <w:w w:val="105"/>
          <w:sz w:val="17"/>
        </w:rPr>
        <w:t> </w:t>
      </w:r>
      <w:r>
        <w:rPr>
          <w:rFonts w:ascii="Calibri" w:hAnsi="Calibri"/>
          <w:color w:val="231F20"/>
          <w:w w:val="105"/>
          <w:sz w:val="17"/>
        </w:rPr>
        <w:t>nazione</w:t>
      </w:r>
      <w:r>
        <w:rPr>
          <w:rFonts w:ascii="Calibri" w:hAnsi="Calibri"/>
          <w:color w:val="231F20"/>
          <w:spacing w:val="-10"/>
          <w:w w:val="105"/>
          <w:sz w:val="17"/>
        </w:rPr>
        <w:t> </w:t>
      </w:r>
      <w:r>
        <w:rPr>
          <w:rFonts w:ascii="Calibri" w:hAnsi="Calibri"/>
          <w:color w:val="231F20"/>
          <w:w w:val="105"/>
          <w:sz w:val="17"/>
        </w:rPr>
        <w:t>e</w:t>
      </w:r>
      <w:r>
        <w:rPr>
          <w:rFonts w:ascii="Calibri" w:hAnsi="Calibri"/>
          <w:color w:val="231F20"/>
          <w:spacing w:val="-10"/>
          <w:w w:val="105"/>
          <w:sz w:val="17"/>
        </w:rPr>
        <w:t> </w:t>
      </w:r>
      <w:r>
        <w:rPr>
          <w:rFonts w:ascii="Calibri" w:hAnsi="Calibri"/>
          <w:color w:val="231F20"/>
          <w:w w:val="105"/>
          <w:sz w:val="17"/>
        </w:rPr>
        <w:t>la</w:t>
      </w:r>
      <w:r>
        <w:rPr>
          <w:rFonts w:ascii="Calibri" w:hAnsi="Calibri"/>
          <w:color w:val="231F20"/>
          <w:spacing w:val="-10"/>
          <w:w w:val="105"/>
          <w:sz w:val="17"/>
        </w:rPr>
        <w:t> </w:t>
      </w:r>
      <w:r>
        <w:rPr>
          <w:rFonts w:ascii="Calibri" w:hAnsi="Calibri"/>
          <w:color w:val="231F20"/>
          <w:w w:val="105"/>
          <w:sz w:val="17"/>
        </w:rPr>
        <w:t>consapevolezza</w:t>
      </w:r>
      <w:r>
        <w:rPr>
          <w:rFonts w:ascii="Calibri" w:hAnsi="Calibri"/>
          <w:color w:val="231F20"/>
          <w:spacing w:val="-10"/>
          <w:w w:val="105"/>
          <w:sz w:val="17"/>
        </w:rPr>
        <w:t> </w:t>
      </w:r>
      <w:r>
        <w:rPr>
          <w:rFonts w:ascii="Calibri" w:hAnsi="Calibri"/>
          <w:color w:val="231F20"/>
          <w:w w:val="105"/>
          <w:sz w:val="17"/>
        </w:rPr>
        <w:t>dei</w:t>
      </w:r>
      <w:r>
        <w:rPr>
          <w:rFonts w:ascii="Calibri" w:hAnsi="Calibri"/>
          <w:color w:val="231F20"/>
          <w:spacing w:val="-10"/>
          <w:w w:val="105"/>
          <w:sz w:val="17"/>
        </w:rPr>
        <w:t> </w:t>
      </w:r>
      <w:r>
        <w:rPr>
          <w:rFonts w:ascii="Calibri" w:hAnsi="Calibri"/>
          <w:color w:val="231F20"/>
          <w:w w:val="105"/>
          <w:sz w:val="17"/>
        </w:rPr>
        <w:t>limiti dell’ausilio</w:t>
      </w:r>
      <w:r>
        <w:rPr>
          <w:rFonts w:ascii="Calibri" w:hAnsi="Calibri"/>
          <w:color w:val="231F20"/>
          <w:spacing w:val="-14"/>
          <w:w w:val="105"/>
          <w:sz w:val="17"/>
        </w:rPr>
        <w:t> </w:t>
      </w:r>
      <w:r>
        <w:rPr>
          <w:rFonts w:ascii="Calibri" w:hAnsi="Calibri"/>
          <w:color w:val="231F20"/>
          <w:w w:val="105"/>
          <w:sz w:val="17"/>
        </w:rPr>
        <w:t>esterno.</w:t>
      </w:r>
      <w:r>
        <w:rPr>
          <w:rFonts w:ascii="Calibri" w:hAnsi="Calibri"/>
          <w:color w:val="231F20"/>
          <w:spacing w:val="-14"/>
          <w:w w:val="105"/>
          <w:sz w:val="17"/>
        </w:rPr>
        <w:t> </w:t>
      </w:r>
      <w:r>
        <w:rPr>
          <w:rFonts w:ascii="Calibri" w:hAnsi="Calibri"/>
          <w:color w:val="231F20"/>
          <w:w w:val="105"/>
          <w:sz w:val="17"/>
        </w:rPr>
        <w:t>Ma</w:t>
      </w:r>
      <w:r>
        <w:rPr>
          <w:rFonts w:ascii="Calibri" w:hAnsi="Calibri"/>
          <w:color w:val="231F20"/>
          <w:spacing w:val="-14"/>
          <w:w w:val="105"/>
          <w:sz w:val="17"/>
        </w:rPr>
        <w:t> </w:t>
      </w:r>
      <w:r>
        <w:rPr>
          <w:rFonts w:ascii="Calibri" w:hAnsi="Calibri"/>
          <w:color w:val="231F20"/>
          <w:w w:val="105"/>
          <w:sz w:val="17"/>
        </w:rPr>
        <w:t>il</w:t>
      </w:r>
      <w:r>
        <w:rPr>
          <w:rFonts w:ascii="Calibri" w:hAnsi="Calibri"/>
          <w:color w:val="231F20"/>
          <w:spacing w:val="-14"/>
          <w:w w:val="105"/>
          <w:sz w:val="17"/>
        </w:rPr>
        <w:t> </w:t>
      </w:r>
      <w:r>
        <w:rPr>
          <w:rFonts w:ascii="Calibri" w:hAnsi="Calibri"/>
          <w:color w:val="231F20"/>
          <w:w w:val="105"/>
          <w:sz w:val="17"/>
        </w:rPr>
        <w:t>fondamento</w:t>
      </w:r>
      <w:r>
        <w:rPr>
          <w:rFonts w:ascii="Calibri" w:hAnsi="Calibri"/>
          <w:color w:val="231F20"/>
          <w:spacing w:val="-14"/>
          <w:w w:val="105"/>
          <w:sz w:val="17"/>
        </w:rPr>
        <w:t> </w:t>
      </w:r>
      <w:r>
        <w:rPr>
          <w:rFonts w:ascii="Calibri" w:hAnsi="Calibri"/>
          <w:color w:val="231F20"/>
          <w:w w:val="105"/>
          <w:sz w:val="17"/>
        </w:rPr>
        <w:t>normativo</w:t>
      </w:r>
      <w:r>
        <w:rPr>
          <w:rFonts w:ascii="Calibri" w:hAnsi="Calibri"/>
          <w:color w:val="231F20"/>
          <w:spacing w:val="-14"/>
          <w:w w:val="105"/>
          <w:sz w:val="17"/>
        </w:rPr>
        <w:t> </w:t>
      </w:r>
      <w:r>
        <w:rPr>
          <w:rFonts w:ascii="Calibri" w:hAnsi="Calibri"/>
          <w:color w:val="231F20"/>
          <w:w w:val="105"/>
          <w:sz w:val="17"/>
        </w:rPr>
        <w:t>c’è,</w:t>
      </w:r>
      <w:r>
        <w:rPr>
          <w:rFonts w:ascii="Calibri" w:hAnsi="Calibri"/>
          <w:color w:val="231F20"/>
          <w:spacing w:val="-14"/>
          <w:w w:val="105"/>
          <w:sz w:val="17"/>
        </w:rPr>
        <w:t> </w:t>
      </w:r>
      <w:r>
        <w:rPr>
          <w:rFonts w:ascii="Calibri" w:hAnsi="Calibri"/>
          <w:color w:val="231F20"/>
          <w:w w:val="105"/>
          <w:sz w:val="17"/>
        </w:rPr>
        <w:t>e</w:t>
      </w:r>
      <w:r>
        <w:rPr>
          <w:rFonts w:ascii="Calibri" w:hAnsi="Calibri"/>
          <w:color w:val="231F20"/>
          <w:spacing w:val="-14"/>
          <w:w w:val="105"/>
          <w:sz w:val="17"/>
        </w:rPr>
        <w:t> </w:t>
      </w:r>
      <w:r>
        <w:rPr>
          <w:rFonts w:ascii="Calibri" w:hAnsi="Calibri"/>
          <w:color w:val="231F20"/>
          <w:w w:val="105"/>
          <w:sz w:val="17"/>
        </w:rPr>
        <w:t>(…)</w:t>
      </w:r>
      <w:r>
        <w:rPr>
          <w:rFonts w:ascii="Calibri" w:hAnsi="Calibri"/>
          <w:color w:val="231F20"/>
          <w:spacing w:val="-14"/>
          <w:w w:val="105"/>
          <w:sz w:val="17"/>
        </w:rPr>
        <w:t> </w:t>
      </w:r>
      <w:r>
        <w:rPr>
          <w:rFonts w:ascii="Calibri" w:hAnsi="Calibri"/>
          <w:color w:val="231F20"/>
          <w:w w:val="105"/>
          <w:sz w:val="17"/>
        </w:rPr>
        <w:t>in</w:t>
      </w:r>
      <w:r>
        <w:rPr>
          <w:rFonts w:ascii="Calibri" w:hAnsi="Calibri"/>
          <w:color w:val="231F20"/>
          <w:spacing w:val="-14"/>
          <w:w w:val="105"/>
          <w:sz w:val="17"/>
        </w:rPr>
        <w:t> </w:t>
      </w:r>
      <w:r>
        <w:rPr>
          <w:rFonts w:ascii="Calibri" w:hAnsi="Calibri"/>
          <w:color w:val="231F20"/>
          <w:w w:val="105"/>
          <w:sz w:val="17"/>
        </w:rPr>
        <w:t>circostanze</w:t>
      </w:r>
      <w:r>
        <w:rPr>
          <w:rFonts w:ascii="Calibri" w:hAnsi="Calibri"/>
          <w:color w:val="231F20"/>
          <w:spacing w:val="-14"/>
          <w:w w:val="105"/>
          <w:sz w:val="17"/>
        </w:rPr>
        <w:t> </w:t>
      </w:r>
      <w:r>
        <w:rPr>
          <w:rFonts w:ascii="Calibri" w:hAnsi="Calibri"/>
          <w:color w:val="231F20"/>
          <w:w w:val="105"/>
          <w:sz w:val="17"/>
        </w:rPr>
        <w:t>estreme</w:t>
      </w:r>
      <w:r>
        <w:rPr>
          <w:rFonts w:ascii="Calibri" w:hAnsi="Calibri"/>
          <w:color w:val="231F20"/>
          <w:spacing w:val="-14"/>
          <w:w w:val="105"/>
          <w:sz w:val="17"/>
        </w:rPr>
        <w:t> </w:t>
      </w:r>
      <w:r>
        <w:rPr>
          <w:rFonts w:ascii="Calibri" w:hAnsi="Calibri"/>
          <w:color w:val="231F20"/>
          <w:w w:val="105"/>
          <w:sz w:val="17"/>
        </w:rPr>
        <w:t>può</w:t>
      </w:r>
      <w:r>
        <w:rPr>
          <w:rFonts w:ascii="Calibri" w:hAnsi="Calibri"/>
          <w:color w:val="231F20"/>
          <w:spacing w:val="-14"/>
          <w:w w:val="105"/>
          <w:sz w:val="17"/>
        </w:rPr>
        <w:t> </w:t>
      </w:r>
      <w:r>
        <w:rPr>
          <w:rFonts w:ascii="Calibri" w:hAnsi="Calibri"/>
          <w:color w:val="231F20"/>
          <w:w w:val="105"/>
          <w:sz w:val="17"/>
        </w:rPr>
        <w:t>giustificare l’uso</w:t>
      </w:r>
      <w:r>
        <w:rPr>
          <w:rFonts w:ascii="Calibri" w:hAnsi="Calibri"/>
          <w:color w:val="231F20"/>
          <w:spacing w:val="-22"/>
          <w:w w:val="105"/>
          <w:sz w:val="17"/>
        </w:rPr>
        <w:t> </w:t>
      </w:r>
      <w:r>
        <w:rPr>
          <w:rFonts w:ascii="Calibri" w:hAnsi="Calibri"/>
          <w:color w:val="231F20"/>
          <w:w w:val="105"/>
          <w:sz w:val="17"/>
        </w:rPr>
        <w:t>della</w:t>
      </w:r>
      <w:r>
        <w:rPr>
          <w:rFonts w:ascii="Calibri" w:hAnsi="Calibri"/>
          <w:color w:val="231F20"/>
          <w:spacing w:val="-22"/>
          <w:w w:val="105"/>
          <w:sz w:val="17"/>
        </w:rPr>
        <w:t> </w:t>
      </w:r>
      <w:r>
        <w:rPr>
          <w:rFonts w:ascii="Calibri" w:hAnsi="Calibri"/>
          <w:color w:val="231F20"/>
          <w:spacing w:val="-4"/>
          <w:w w:val="105"/>
          <w:sz w:val="17"/>
        </w:rPr>
        <w:t>forza”.</w:t>
      </w:r>
      <w:r>
        <w:rPr>
          <w:rFonts w:ascii="Calibri" w:hAnsi="Calibri"/>
          <w:color w:val="231F20"/>
          <w:spacing w:val="-22"/>
          <w:w w:val="105"/>
          <w:sz w:val="17"/>
        </w:rPr>
        <w:t> </w:t>
      </w:r>
      <w:r>
        <w:rPr>
          <w:rFonts w:ascii="Calibri" w:hAnsi="Calibri"/>
          <w:color w:val="231F20"/>
          <w:w w:val="105"/>
          <w:sz w:val="17"/>
        </w:rPr>
        <w:t>Per</w:t>
      </w:r>
      <w:r>
        <w:rPr>
          <w:rFonts w:ascii="Calibri" w:hAnsi="Calibri"/>
          <w:color w:val="231F20"/>
          <w:spacing w:val="-22"/>
          <w:w w:val="105"/>
          <w:sz w:val="17"/>
        </w:rPr>
        <w:t> </w:t>
      </w:r>
      <w:r>
        <w:rPr>
          <w:rFonts w:ascii="Calibri" w:hAnsi="Calibri"/>
          <w:color w:val="231F20"/>
          <w:w w:val="105"/>
          <w:sz w:val="17"/>
        </w:rPr>
        <w:t>un’utile</w:t>
      </w:r>
      <w:r>
        <w:rPr>
          <w:rFonts w:ascii="Calibri" w:hAnsi="Calibri"/>
          <w:color w:val="231F20"/>
          <w:spacing w:val="-22"/>
          <w:w w:val="105"/>
          <w:sz w:val="17"/>
        </w:rPr>
        <w:t> </w:t>
      </w:r>
      <w:r>
        <w:rPr>
          <w:rFonts w:ascii="Calibri" w:hAnsi="Calibri"/>
          <w:color w:val="231F20"/>
          <w:w w:val="105"/>
          <w:sz w:val="17"/>
        </w:rPr>
        <w:t>ricognizione</w:t>
      </w:r>
      <w:r>
        <w:rPr>
          <w:rFonts w:ascii="Calibri" w:hAnsi="Calibri"/>
          <w:color w:val="231F20"/>
          <w:spacing w:val="-22"/>
          <w:w w:val="105"/>
          <w:sz w:val="17"/>
        </w:rPr>
        <w:t> </w:t>
      </w:r>
      <w:r>
        <w:rPr>
          <w:rFonts w:ascii="Calibri" w:hAnsi="Calibri"/>
          <w:color w:val="231F20"/>
          <w:w w:val="105"/>
          <w:sz w:val="17"/>
        </w:rPr>
        <w:t>di</w:t>
      </w:r>
      <w:r>
        <w:rPr>
          <w:rFonts w:ascii="Calibri" w:hAnsi="Calibri"/>
          <w:color w:val="231F20"/>
          <w:spacing w:val="-22"/>
          <w:w w:val="105"/>
          <w:sz w:val="17"/>
        </w:rPr>
        <w:t> </w:t>
      </w:r>
      <w:r>
        <w:rPr>
          <w:rFonts w:ascii="Calibri" w:hAnsi="Calibri"/>
          <w:color w:val="231F20"/>
          <w:w w:val="105"/>
          <w:sz w:val="17"/>
        </w:rPr>
        <w:t>questo</w:t>
      </w:r>
      <w:r>
        <w:rPr>
          <w:rFonts w:ascii="Calibri" w:hAnsi="Calibri"/>
          <w:color w:val="231F20"/>
          <w:spacing w:val="-22"/>
          <w:w w:val="105"/>
          <w:sz w:val="17"/>
        </w:rPr>
        <w:t> </w:t>
      </w:r>
      <w:r>
        <w:rPr>
          <w:rFonts w:ascii="Calibri" w:hAnsi="Calibri"/>
          <w:color w:val="231F20"/>
          <w:w w:val="105"/>
          <w:sz w:val="17"/>
        </w:rPr>
        <w:t>aspetto</w:t>
      </w:r>
      <w:r>
        <w:rPr>
          <w:rFonts w:ascii="Calibri" w:hAnsi="Calibri"/>
          <w:color w:val="231F20"/>
          <w:spacing w:val="-22"/>
          <w:w w:val="105"/>
          <w:sz w:val="17"/>
        </w:rPr>
        <w:t> </w:t>
      </w:r>
      <w:r>
        <w:rPr>
          <w:rFonts w:ascii="Calibri" w:hAnsi="Calibri"/>
          <w:color w:val="231F20"/>
          <w:w w:val="105"/>
          <w:sz w:val="17"/>
        </w:rPr>
        <w:t>della</w:t>
      </w:r>
      <w:r>
        <w:rPr>
          <w:rFonts w:ascii="Calibri" w:hAnsi="Calibri"/>
          <w:color w:val="231F20"/>
          <w:spacing w:val="-22"/>
          <w:w w:val="105"/>
          <w:sz w:val="17"/>
        </w:rPr>
        <w:t> </w:t>
      </w:r>
      <w:r>
        <w:rPr>
          <w:rFonts w:ascii="Calibri" w:hAnsi="Calibri"/>
          <w:color w:val="231F20"/>
          <w:w w:val="105"/>
          <w:sz w:val="17"/>
        </w:rPr>
        <w:t>discussione</w:t>
      </w:r>
      <w:r>
        <w:rPr>
          <w:rFonts w:ascii="Calibri" w:hAnsi="Calibri"/>
          <w:color w:val="231F20"/>
          <w:spacing w:val="-22"/>
          <w:w w:val="105"/>
          <w:sz w:val="17"/>
        </w:rPr>
        <w:t> </w:t>
      </w:r>
      <w:r>
        <w:rPr>
          <w:rFonts w:ascii="Calibri" w:hAnsi="Calibri"/>
          <w:color w:val="231F20"/>
          <w:w w:val="105"/>
          <w:sz w:val="17"/>
        </w:rPr>
        <w:t>si</w:t>
      </w:r>
      <w:r>
        <w:rPr>
          <w:rFonts w:ascii="Calibri" w:hAnsi="Calibri"/>
          <w:color w:val="231F20"/>
          <w:spacing w:val="-23"/>
          <w:w w:val="105"/>
          <w:sz w:val="17"/>
        </w:rPr>
        <w:t> </w:t>
      </w:r>
      <w:r>
        <w:rPr>
          <w:rFonts w:ascii="Calibri" w:hAnsi="Calibri"/>
          <w:color w:val="231F20"/>
          <w:w w:val="105"/>
          <w:sz w:val="17"/>
        </w:rPr>
        <w:t>veda</w:t>
      </w:r>
      <w:r>
        <w:rPr>
          <w:rFonts w:ascii="Calibri" w:hAnsi="Calibri"/>
          <w:color w:val="231F20"/>
          <w:spacing w:val="-22"/>
          <w:w w:val="105"/>
          <w:sz w:val="17"/>
        </w:rPr>
        <w:t> </w:t>
      </w:r>
      <w:r>
        <w:rPr>
          <w:rFonts w:ascii="Calibri" w:hAnsi="Calibri"/>
          <w:color w:val="231F20"/>
          <w:w w:val="105"/>
          <w:sz w:val="17"/>
        </w:rPr>
        <w:t>J.L.</w:t>
      </w:r>
      <w:r>
        <w:rPr>
          <w:rFonts w:ascii="Calibri" w:hAnsi="Calibri"/>
          <w:color w:val="231F20"/>
          <w:spacing w:val="-22"/>
          <w:w w:val="105"/>
          <w:sz w:val="17"/>
        </w:rPr>
        <w:t> </w:t>
      </w:r>
      <w:r>
        <w:rPr>
          <w:rFonts w:ascii="Calibri" w:hAnsi="Calibri"/>
          <w:color w:val="231F20"/>
          <w:w w:val="105"/>
          <w:sz w:val="17"/>
        </w:rPr>
        <w:t>Holzgreve, </w:t>
      </w:r>
      <w:r>
        <w:rPr>
          <w:rFonts w:ascii="Calibri" w:hAnsi="Calibri"/>
          <w:i/>
          <w:color w:val="231F20"/>
          <w:sz w:val="17"/>
        </w:rPr>
        <w:t>The</w:t>
      </w:r>
      <w:r>
        <w:rPr>
          <w:rFonts w:ascii="Calibri" w:hAnsi="Calibri"/>
          <w:i/>
          <w:color w:val="231F20"/>
          <w:spacing w:val="-15"/>
          <w:sz w:val="17"/>
        </w:rPr>
        <w:t> </w:t>
      </w:r>
      <w:r>
        <w:rPr>
          <w:rFonts w:ascii="Calibri" w:hAnsi="Calibri"/>
          <w:i/>
          <w:color w:val="231F20"/>
          <w:sz w:val="17"/>
        </w:rPr>
        <w:t>humanitarian</w:t>
      </w:r>
      <w:r>
        <w:rPr>
          <w:rFonts w:ascii="Calibri" w:hAnsi="Calibri"/>
          <w:i/>
          <w:color w:val="231F20"/>
          <w:spacing w:val="-15"/>
          <w:sz w:val="17"/>
        </w:rPr>
        <w:t> </w:t>
      </w:r>
      <w:r>
        <w:rPr>
          <w:rFonts w:ascii="Calibri" w:hAnsi="Calibri"/>
          <w:i/>
          <w:color w:val="231F20"/>
          <w:sz w:val="17"/>
        </w:rPr>
        <w:t>intervention</w:t>
      </w:r>
      <w:r>
        <w:rPr>
          <w:rFonts w:ascii="Calibri" w:hAnsi="Calibri"/>
          <w:i/>
          <w:color w:val="231F20"/>
          <w:spacing w:val="-15"/>
          <w:sz w:val="17"/>
        </w:rPr>
        <w:t> </w:t>
      </w:r>
      <w:r>
        <w:rPr>
          <w:rFonts w:ascii="Calibri" w:hAnsi="Calibri"/>
          <w:i/>
          <w:color w:val="231F20"/>
          <w:sz w:val="17"/>
        </w:rPr>
        <w:t>debate</w:t>
      </w:r>
      <w:r>
        <w:rPr>
          <w:rFonts w:ascii="Calibri" w:hAnsi="Calibri"/>
          <w:color w:val="231F20"/>
          <w:sz w:val="17"/>
        </w:rPr>
        <w:t>,</w:t>
      </w:r>
      <w:r>
        <w:rPr>
          <w:rFonts w:ascii="Calibri" w:hAnsi="Calibri"/>
          <w:color w:val="231F20"/>
          <w:spacing w:val="-14"/>
          <w:sz w:val="17"/>
        </w:rPr>
        <w:t> </w:t>
      </w:r>
      <w:r>
        <w:rPr>
          <w:rFonts w:ascii="Calibri" w:hAnsi="Calibri"/>
          <w:color w:val="231F20"/>
          <w:sz w:val="17"/>
        </w:rPr>
        <w:t>pp.</w:t>
      </w:r>
      <w:r>
        <w:rPr>
          <w:rFonts w:ascii="Calibri" w:hAnsi="Calibri"/>
          <w:color w:val="231F20"/>
          <w:spacing w:val="-14"/>
          <w:sz w:val="17"/>
        </w:rPr>
        <w:t> </w:t>
      </w:r>
      <w:r>
        <w:rPr>
          <w:rFonts w:ascii="Calibri" w:hAnsi="Calibri"/>
          <w:color w:val="231F20"/>
          <w:sz w:val="17"/>
        </w:rPr>
        <w:t>18–19.</w:t>
      </w:r>
    </w:p>
    <w:p>
      <w:pPr>
        <w:spacing w:line="206" w:lineRule="exact" w:before="1"/>
        <w:ind w:left="117" w:right="0" w:firstLine="0"/>
        <w:jc w:val="both"/>
        <w:rPr>
          <w:rFonts w:ascii="Calibri"/>
          <w:sz w:val="17"/>
        </w:rPr>
      </w:pPr>
      <w:r>
        <w:rPr>
          <w:rFonts w:ascii="Calibri"/>
          <w:color w:val="231F20"/>
          <w:position w:val="6"/>
          <w:sz w:val="10"/>
        </w:rPr>
        <w:t>10  </w:t>
      </w:r>
      <w:r>
        <w:rPr>
          <w:rFonts w:ascii="Calibri"/>
          <w:i/>
          <w:color w:val="231F20"/>
          <w:sz w:val="17"/>
        </w:rPr>
        <w:t>Cfr</w:t>
      </w:r>
      <w:r>
        <w:rPr>
          <w:rFonts w:ascii="Calibri"/>
          <w:color w:val="231F20"/>
          <w:sz w:val="17"/>
        </w:rPr>
        <w:t>. D. Chandler, </w:t>
      </w:r>
      <w:r>
        <w:rPr>
          <w:rFonts w:ascii="Calibri"/>
          <w:i/>
          <w:color w:val="231F20"/>
          <w:sz w:val="17"/>
        </w:rPr>
        <w:t>From Kosovo to Kabul: Human Rights and International Intervention</w:t>
      </w:r>
      <w:r>
        <w:rPr>
          <w:rFonts w:ascii="Calibri"/>
          <w:color w:val="231F20"/>
          <w:sz w:val="17"/>
        </w:rPr>
        <w:t>, London,</w:t>
      </w:r>
    </w:p>
    <w:p>
      <w:pPr>
        <w:spacing w:line="206" w:lineRule="exact" w:before="0"/>
        <w:ind w:left="117" w:right="0" w:firstLine="0"/>
        <w:jc w:val="both"/>
        <w:rPr>
          <w:rFonts w:ascii="Calibri" w:hAnsi="Calibri"/>
          <w:sz w:val="17"/>
        </w:rPr>
      </w:pPr>
      <w:r>
        <w:rPr>
          <w:rFonts w:ascii="Calibri" w:hAnsi="Calibri"/>
          <w:color w:val="231F20"/>
          <w:w w:val="105"/>
          <w:sz w:val="17"/>
        </w:rPr>
        <w:t>Pluto, 2002, nueva edición 2006.</w:t>
      </w:r>
    </w:p>
    <w:p>
      <w:pPr>
        <w:spacing w:after="0" w:line="206" w:lineRule="exact"/>
        <w:jc w:val="both"/>
        <w:rPr>
          <w:rFonts w:ascii="Calibri" w:hAnsi="Calibri"/>
          <w:sz w:val="17"/>
        </w:rPr>
        <w:sectPr>
          <w:type w:val="continuous"/>
          <w:pgSz w:w="9640" w:h="13890"/>
          <w:pgMar w:top="0" w:bottom="0" w:left="1300" w:right="1200"/>
        </w:sectPr>
      </w:pPr>
    </w:p>
    <w:p>
      <w:pPr>
        <w:pStyle w:val="BodyText"/>
        <w:spacing w:line="247" w:lineRule="auto" w:before="107"/>
        <w:ind w:left="103" w:right="109"/>
        <w:jc w:val="both"/>
      </w:pPr>
      <w:r>
        <w:rPr>
          <w:color w:val="231F20"/>
        </w:rPr>
        <w:t>statuale legata al diritto internazionale”</w:t>
      </w:r>
      <w:r>
        <w:rPr>
          <w:color w:val="231F20"/>
          <w:position w:val="7"/>
          <w:sz w:val="12"/>
        </w:rPr>
        <w:t>11  </w:t>
      </w:r>
      <w:r>
        <w:rPr>
          <w:color w:val="231F20"/>
        </w:rPr>
        <w:t>e quella sfera di fondamentali   ed </w:t>
      </w:r>
      <w:r>
        <w:rPr>
          <w:color w:val="231F20"/>
          <w:spacing w:val="3"/>
        </w:rPr>
        <w:t>intangibili attribuzioni giuridico–morali abitualmente associata </w:t>
      </w:r>
      <w:r>
        <w:rPr>
          <w:color w:val="231F20"/>
          <w:spacing w:val="4"/>
        </w:rPr>
        <w:t>alla </w:t>
      </w:r>
      <w:r>
        <w:rPr>
          <w:color w:val="231F20"/>
          <w:spacing w:val="5"/>
        </w:rPr>
        <w:t>dimensione dell’umano. </w:t>
      </w:r>
      <w:r>
        <w:rPr>
          <w:color w:val="231F20"/>
          <w:spacing w:val="4"/>
        </w:rPr>
        <w:t>Più </w:t>
      </w:r>
      <w:r>
        <w:rPr>
          <w:color w:val="231F20"/>
          <w:spacing w:val="3"/>
        </w:rPr>
        <w:t>in </w:t>
      </w:r>
      <w:r>
        <w:rPr>
          <w:color w:val="231F20"/>
          <w:spacing w:val="5"/>
        </w:rPr>
        <w:t>particolare, </w:t>
      </w:r>
      <w:r>
        <w:rPr>
          <w:color w:val="231F20"/>
          <w:spacing w:val="3"/>
        </w:rPr>
        <w:t>ad </w:t>
      </w:r>
      <w:r>
        <w:rPr>
          <w:color w:val="231F20"/>
          <w:spacing w:val="4"/>
        </w:rPr>
        <w:t>essere </w:t>
      </w:r>
      <w:r>
        <w:rPr>
          <w:color w:val="231F20"/>
          <w:spacing w:val="6"/>
        </w:rPr>
        <w:t>drasticamente </w:t>
      </w:r>
      <w:r>
        <w:rPr>
          <w:color w:val="231F20"/>
        </w:rPr>
        <w:t>ripensato qui è quel “principio particolaristico della sovranità degli Stati e della inviolabilità delle loro frontiere”, presente alla base del processo di formazione del moderno sistema delle relazioni internazionali dalla pace di </w:t>
      </w:r>
      <w:r>
        <w:rPr>
          <w:color w:val="231F20"/>
          <w:spacing w:val="-5"/>
        </w:rPr>
        <w:t>Vestfalia</w:t>
      </w:r>
      <w:r>
        <w:rPr>
          <w:color w:val="231F20"/>
          <w:spacing w:val="-19"/>
        </w:rPr>
        <w:t> </w:t>
      </w:r>
      <w:r>
        <w:rPr>
          <w:color w:val="231F20"/>
          <w:spacing w:val="-3"/>
        </w:rPr>
        <w:t>sino</w:t>
      </w:r>
      <w:r>
        <w:rPr>
          <w:color w:val="231F20"/>
          <w:spacing w:val="-19"/>
        </w:rPr>
        <w:t> </w:t>
      </w:r>
      <w:r>
        <w:rPr>
          <w:color w:val="231F20"/>
          <w:spacing w:val="-3"/>
        </w:rPr>
        <w:t>alla</w:t>
      </w:r>
      <w:r>
        <w:rPr>
          <w:color w:val="231F20"/>
          <w:spacing w:val="-19"/>
        </w:rPr>
        <w:t> </w:t>
      </w:r>
      <w:r>
        <w:rPr>
          <w:color w:val="231F20"/>
          <w:spacing w:val="-4"/>
        </w:rPr>
        <w:t>nascita</w:t>
      </w:r>
      <w:r>
        <w:rPr>
          <w:color w:val="231F20"/>
          <w:spacing w:val="-19"/>
        </w:rPr>
        <w:t> </w:t>
      </w:r>
      <w:r>
        <w:rPr>
          <w:color w:val="231F20"/>
          <w:spacing w:val="-3"/>
        </w:rPr>
        <w:t>delle</w:t>
      </w:r>
      <w:r>
        <w:rPr>
          <w:color w:val="231F20"/>
          <w:spacing w:val="-19"/>
        </w:rPr>
        <w:t> </w:t>
      </w:r>
      <w:r>
        <w:rPr>
          <w:color w:val="231F20"/>
          <w:spacing w:val="-4"/>
        </w:rPr>
        <w:t>Nazioni</w:t>
      </w:r>
      <w:r>
        <w:rPr>
          <w:color w:val="231F20"/>
          <w:spacing w:val="-19"/>
        </w:rPr>
        <w:t> </w:t>
      </w:r>
      <w:r>
        <w:rPr>
          <w:color w:val="231F20"/>
          <w:spacing w:val="-3"/>
        </w:rPr>
        <w:t>Unite</w:t>
      </w:r>
      <w:r>
        <w:rPr>
          <w:color w:val="231F20"/>
          <w:spacing w:val="-3"/>
          <w:position w:val="7"/>
          <w:sz w:val="12"/>
        </w:rPr>
        <w:t>12</w:t>
      </w:r>
      <w:r>
        <w:rPr>
          <w:color w:val="231F20"/>
          <w:spacing w:val="-3"/>
        </w:rPr>
        <w:t>:</w:t>
      </w:r>
      <w:r>
        <w:rPr>
          <w:color w:val="231F20"/>
          <w:spacing w:val="-19"/>
        </w:rPr>
        <w:t> </w:t>
      </w:r>
      <w:r>
        <w:rPr>
          <w:color w:val="231F20"/>
          <w:spacing w:val="-3"/>
        </w:rPr>
        <w:t>vale</w:t>
      </w:r>
      <w:r>
        <w:rPr>
          <w:color w:val="231F20"/>
          <w:spacing w:val="-19"/>
        </w:rPr>
        <w:t> </w:t>
      </w:r>
      <w:r>
        <w:rPr>
          <w:color w:val="231F20"/>
        </w:rPr>
        <w:t>a</w:t>
      </w:r>
      <w:r>
        <w:rPr>
          <w:color w:val="231F20"/>
          <w:spacing w:val="-19"/>
        </w:rPr>
        <w:t> </w:t>
      </w:r>
      <w:r>
        <w:rPr>
          <w:color w:val="231F20"/>
          <w:spacing w:val="-4"/>
        </w:rPr>
        <w:t>dire</w:t>
      </w:r>
      <w:r>
        <w:rPr>
          <w:color w:val="231F20"/>
          <w:spacing w:val="-19"/>
        </w:rPr>
        <w:t> </w:t>
      </w:r>
      <w:r>
        <w:rPr>
          <w:color w:val="231F20"/>
          <w:spacing w:val="-3"/>
        </w:rPr>
        <w:t>“la</w:t>
      </w:r>
      <w:r>
        <w:rPr>
          <w:color w:val="231F20"/>
          <w:spacing w:val="-19"/>
        </w:rPr>
        <w:t> </w:t>
      </w:r>
      <w:r>
        <w:rPr>
          <w:color w:val="231F20"/>
          <w:spacing w:val="-4"/>
        </w:rPr>
        <w:t>pretesa</w:t>
      </w:r>
      <w:r>
        <w:rPr>
          <w:color w:val="231F20"/>
          <w:spacing w:val="-19"/>
        </w:rPr>
        <w:t> </w:t>
      </w:r>
      <w:r>
        <w:rPr>
          <w:color w:val="231F20"/>
        </w:rPr>
        <w:t>un</w:t>
      </w:r>
      <w:r>
        <w:rPr>
          <w:color w:val="231F20"/>
          <w:spacing w:val="-19"/>
        </w:rPr>
        <w:t> </w:t>
      </w:r>
      <w:r>
        <w:rPr>
          <w:color w:val="231F20"/>
          <w:spacing w:val="-4"/>
        </w:rPr>
        <w:t>tempo </w:t>
      </w:r>
      <w:r>
        <w:rPr>
          <w:color w:val="231F20"/>
        </w:rPr>
        <w:t>indiscutibile dello Stato sovrano di essere il luogo principale di potere e lealtà”</w:t>
      </w:r>
      <w:r>
        <w:rPr>
          <w:color w:val="231F20"/>
          <w:spacing w:val="-15"/>
        </w:rPr>
        <w:t> </w:t>
      </w:r>
      <w:r>
        <w:rPr>
          <w:color w:val="231F20"/>
        </w:rPr>
        <w:t>e</w:t>
      </w:r>
      <w:r>
        <w:rPr>
          <w:color w:val="231F20"/>
          <w:spacing w:val="-15"/>
        </w:rPr>
        <w:t> </w:t>
      </w:r>
      <w:r>
        <w:rPr>
          <w:color w:val="231F20"/>
        </w:rPr>
        <w:t>la</w:t>
      </w:r>
      <w:r>
        <w:rPr>
          <w:color w:val="231F20"/>
          <w:spacing w:val="-15"/>
        </w:rPr>
        <w:t> </w:t>
      </w:r>
      <w:r>
        <w:rPr>
          <w:color w:val="231F20"/>
        </w:rPr>
        <w:t>sua</w:t>
      </w:r>
      <w:r>
        <w:rPr>
          <w:color w:val="231F20"/>
          <w:spacing w:val="-15"/>
        </w:rPr>
        <w:t> </w:t>
      </w:r>
      <w:r>
        <w:rPr>
          <w:color w:val="231F20"/>
        </w:rPr>
        <w:t>parallela</w:t>
      </w:r>
      <w:r>
        <w:rPr>
          <w:color w:val="231F20"/>
          <w:spacing w:val="-15"/>
        </w:rPr>
        <w:t> </w:t>
      </w:r>
      <w:r>
        <w:rPr>
          <w:color w:val="231F20"/>
        </w:rPr>
        <w:t>rivendicazione</w:t>
      </w:r>
      <w:r>
        <w:rPr>
          <w:color w:val="231F20"/>
          <w:spacing w:val="-15"/>
        </w:rPr>
        <w:t> </w:t>
      </w:r>
      <w:r>
        <w:rPr>
          <w:color w:val="231F20"/>
        </w:rPr>
        <w:t>di</w:t>
      </w:r>
      <w:r>
        <w:rPr>
          <w:color w:val="231F20"/>
          <w:spacing w:val="-15"/>
        </w:rPr>
        <w:t> </w:t>
      </w:r>
      <w:r>
        <w:rPr>
          <w:color w:val="231F20"/>
        </w:rPr>
        <w:t>“una</w:t>
      </w:r>
      <w:r>
        <w:rPr>
          <w:color w:val="231F20"/>
          <w:spacing w:val="-15"/>
        </w:rPr>
        <w:t> </w:t>
      </w:r>
      <w:r>
        <w:rPr>
          <w:color w:val="231F20"/>
        </w:rPr>
        <w:t>libera</w:t>
      </w:r>
      <w:r>
        <w:rPr>
          <w:color w:val="231F20"/>
          <w:spacing w:val="-15"/>
        </w:rPr>
        <w:t> </w:t>
      </w:r>
      <w:r>
        <w:rPr>
          <w:color w:val="231F20"/>
          <w:spacing w:val="-3"/>
        </w:rPr>
        <w:t>discrezionalità</w:t>
      </w:r>
      <w:r>
        <w:rPr>
          <w:color w:val="231F20"/>
          <w:spacing w:val="-15"/>
        </w:rPr>
        <w:t> </w:t>
      </w:r>
      <w:r>
        <w:rPr>
          <w:color w:val="231F20"/>
          <w:spacing w:val="-3"/>
        </w:rPr>
        <w:t>riguardo </w:t>
      </w:r>
      <w:r>
        <w:rPr>
          <w:color w:val="231F20"/>
        </w:rPr>
        <w:t>alla produzione e alla distribuzione di beni pubblici e alla determinazione dei diritti e delle obbligazioni” dei soggetti presenti all’interno delle sue frontiere</w:t>
      </w:r>
      <w:r>
        <w:rPr>
          <w:color w:val="231F20"/>
          <w:position w:val="7"/>
          <w:sz w:val="12"/>
        </w:rPr>
        <w:t>13</w:t>
      </w:r>
      <w:r>
        <w:rPr>
          <w:color w:val="231F20"/>
        </w:rPr>
        <w:t>. </w:t>
      </w:r>
      <w:r>
        <w:rPr>
          <w:color w:val="231F20"/>
          <w:spacing w:val="2"/>
        </w:rPr>
        <w:t>Come dimostrano alcuni </w:t>
      </w:r>
      <w:r>
        <w:rPr>
          <w:color w:val="231F20"/>
        </w:rPr>
        <w:t>dei </w:t>
      </w:r>
      <w:r>
        <w:rPr>
          <w:color w:val="231F20"/>
          <w:spacing w:val="2"/>
        </w:rPr>
        <w:t>principali documenti </w:t>
      </w:r>
      <w:r>
        <w:rPr>
          <w:color w:val="231F20"/>
          <w:spacing w:val="3"/>
        </w:rPr>
        <w:t>politico– </w:t>
      </w:r>
      <w:r>
        <w:rPr>
          <w:color w:val="231F20"/>
        </w:rPr>
        <w:t>diplomatici elaborati a partire dalla fine degli anni Novanta, al tradizionale modello di sovranità </w:t>
      </w:r>
      <w:r>
        <w:rPr>
          <w:rFonts w:ascii="Arial" w:hAnsi="Arial"/>
          <w:i/>
          <w:color w:val="231F20"/>
        </w:rPr>
        <w:t>chiusa</w:t>
      </w:r>
      <w:r>
        <w:rPr>
          <w:color w:val="231F20"/>
        </w:rPr>
        <w:t>, protetta dall’interferenza di altri soggetti nel proprio </w:t>
      </w:r>
      <w:r>
        <w:rPr>
          <w:color w:val="231F20"/>
          <w:spacing w:val="2"/>
        </w:rPr>
        <w:t>ambito </w:t>
      </w:r>
      <w:r>
        <w:rPr>
          <w:color w:val="231F20"/>
        </w:rPr>
        <w:t>di </w:t>
      </w:r>
      <w:r>
        <w:rPr>
          <w:color w:val="231F20"/>
          <w:spacing w:val="2"/>
        </w:rPr>
        <w:t>“giurisdizione interna”</w:t>
      </w:r>
      <w:r>
        <w:rPr>
          <w:color w:val="231F20"/>
          <w:spacing w:val="2"/>
          <w:position w:val="7"/>
          <w:sz w:val="12"/>
        </w:rPr>
        <w:t>14</w:t>
      </w:r>
      <w:r>
        <w:rPr>
          <w:color w:val="231F20"/>
          <w:spacing w:val="2"/>
        </w:rPr>
        <w:t>, </w:t>
      </w:r>
      <w:r>
        <w:rPr>
          <w:color w:val="231F20"/>
        </w:rPr>
        <w:t>è </w:t>
      </w:r>
      <w:r>
        <w:rPr>
          <w:color w:val="231F20"/>
          <w:spacing w:val="2"/>
        </w:rPr>
        <w:t>venuto </w:t>
      </w:r>
      <w:r>
        <w:rPr>
          <w:color w:val="231F20"/>
          <w:spacing w:val="3"/>
        </w:rPr>
        <w:t>sovrapponendosi</w:t>
      </w:r>
      <w:r>
        <w:rPr>
          <w:color w:val="231F20"/>
          <w:spacing w:val="71"/>
        </w:rPr>
        <w:t> </w:t>
      </w:r>
      <w:r>
        <w:rPr>
          <w:color w:val="231F20"/>
        </w:rPr>
        <w:t>così un modello di sovranità </w:t>
      </w:r>
      <w:r>
        <w:rPr>
          <w:rFonts w:ascii="Arial" w:hAnsi="Arial"/>
          <w:i/>
          <w:color w:val="231F20"/>
        </w:rPr>
        <w:t>aperta</w:t>
      </w:r>
      <w:r>
        <w:rPr>
          <w:color w:val="231F20"/>
        </w:rPr>
        <w:t>, esposta nell’esercizio delle sue stesse fondamentali</w:t>
      </w:r>
      <w:r>
        <w:rPr>
          <w:color w:val="231F20"/>
          <w:spacing w:val="-20"/>
        </w:rPr>
        <w:t> </w:t>
      </w:r>
      <w:r>
        <w:rPr>
          <w:color w:val="231F20"/>
          <w:spacing w:val="-3"/>
        </w:rPr>
        <w:t>prerogative</w:t>
      </w:r>
      <w:r>
        <w:rPr>
          <w:color w:val="231F20"/>
          <w:spacing w:val="-20"/>
        </w:rPr>
        <w:t> </w:t>
      </w:r>
      <w:r>
        <w:rPr>
          <w:color w:val="231F20"/>
        </w:rPr>
        <w:t>giuridico–istituzionali</w:t>
      </w:r>
      <w:r>
        <w:rPr>
          <w:color w:val="231F20"/>
          <w:spacing w:val="-20"/>
        </w:rPr>
        <w:t> </w:t>
      </w:r>
      <w:r>
        <w:rPr>
          <w:color w:val="231F20"/>
        </w:rPr>
        <w:t>alla</w:t>
      </w:r>
      <w:r>
        <w:rPr>
          <w:color w:val="231F20"/>
          <w:spacing w:val="-20"/>
        </w:rPr>
        <w:t> </w:t>
      </w:r>
      <w:r>
        <w:rPr>
          <w:color w:val="231F20"/>
        </w:rPr>
        <w:t>sorveglianza</w:t>
      </w:r>
      <w:r>
        <w:rPr>
          <w:color w:val="231F20"/>
          <w:spacing w:val="-20"/>
        </w:rPr>
        <w:t> </w:t>
      </w:r>
      <w:r>
        <w:rPr>
          <w:color w:val="231F20"/>
        </w:rPr>
        <w:t>e</w:t>
      </w:r>
      <w:r>
        <w:rPr>
          <w:color w:val="231F20"/>
          <w:spacing w:val="-20"/>
        </w:rPr>
        <w:t> </w:t>
      </w:r>
      <w:r>
        <w:rPr>
          <w:color w:val="231F20"/>
        </w:rPr>
        <w:t>al</w:t>
      </w:r>
      <w:r>
        <w:rPr>
          <w:color w:val="231F20"/>
          <w:spacing w:val="-20"/>
        </w:rPr>
        <w:t> </w:t>
      </w:r>
      <w:r>
        <w:rPr>
          <w:color w:val="231F20"/>
        </w:rPr>
        <w:t>giudizio della comunità internazionale: secondo i sostenitori di questo approccio, è </w:t>
      </w:r>
      <w:r>
        <w:rPr>
          <w:color w:val="231F20"/>
          <w:spacing w:val="-3"/>
        </w:rPr>
        <w:t>inaccettabile,</w:t>
      </w:r>
      <w:r>
        <w:rPr>
          <w:color w:val="231F20"/>
          <w:spacing w:val="-13"/>
        </w:rPr>
        <w:t> </w:t>
      </w:r>
      <w:r>
        <w:rPr>
          <w:color w:val="231F20"/>
          <w:spacing w:val="-3"/>
        </w:rPr>
        <w:t>infatti,</w:t>
      </w:r>
      <w:r>
        <w:rPr>
          <w:color w:val="231F20"/>
          <w:spacing w:val="-13"/>
        </w:rPr>
        <w:t> </w:t>
      </w:r>
      <w:r>
        <w:rPr>
          <w:color w:val="231F20"/>
        </w:rPr>
        <w:t>che</w:t>
      </w:r>
      <w:r>
        <w:rPr>
          <w:color w:val="231F20"/>
          <w:spacing w:val="-13"/>
        </w:rPr>
        <w:t> </w:t>
      </w:r>
      <w:r>
        <w:rPr>
          <w:color w:val="231F20"/>
        </w:rPr>
        <w:t>“i</w:t>
      </w:r>
      <w:r>
        <w:rPr>
          <w:color w:val="231F20"/>
          <w:spacing w:val="-13"/>
        </w:rPr>
        <w:t> </w:t>
      </w:r>
      <w:r>
        <w:rPr>
          <w:color w:val="231F20"/>
          <w:spacing w:val="-3"/>
        </w:rPr>
        <w:t>governi</w:t>
      </w:r>
      <w:r>
        <w:rPr>
          <w:color w:val="231F20"/>
          <w:spacing w:val="-13"/>
        </w:rPr>
        <w:t> </w:t>
      </w:r>
      <w:r>
        <w:rPr>
          <w:color w:val="231F20"/>
          <w:spacing w:val="-3"/>
        </w:rPr>
        <w:t>utilizzino</w:t>
      </w:r>
      <w:r>
        <w:rPr>
          <w:color w:val="231F20"/>
          <w:spacing w:val="-13"/>
        </w:rPr>
        <w:t> </w:t>
      </w:r>
      <w:r>
        <w:rPr>
          <w:color w:val="231F20"/>
        </w:rPr>
        <w:t>il</w:t>
      </w:r>
      <w:r>
        <w:rPr>
          <w:color w:val="231F20"/>
          <w:spacing w:val="-13"/>
        </w:rPr>
        <w:t> </w:t>
      </w:r>
      <w:r>
        <w:rPr>
          <w:color w:val="231F20"/>
          <w:spacing w:val="-3"/>
        </w:rPr>
        <w:t>principio</w:t>
      </w:r>
      <w:r>
        <w:rPr>
          <w:color w:val="231F20"/>
          <w:spacing w:val="-13"/>
        </w:rPr>
        <w:t> </w:t>
      </w:r>
      <w:r>
        <w:rPr>
          <w:color w:val="231F20"/>
        </w:rPr>
        <w:t>di</w:t>
      </w:r>
      <w:r>
        <w:rPr>
          <w:color w:val="231F20"/>
          <w:spacing w:val="-13"/>
        </w:rPr>
        <w:t> </w:t>
      </w:r>
      <w:r>
        <w:rPr>
          <w:color w:val="231F20"/>
          <w:spacing w:val="-3"/>
        </w:rPr>
        <w:t>sovranità</w:t>
      </w:r>
      <w:r>
        <w:rPr>
          <w:color w:val="231F20"/>
          <w:spacing w:val="-13"/>
        </w:rPr>
        <w:t> </w:t>
      </w:r>
      <w:r>
        <w:rPr>
          <w:color w:val="231F20"/>
          <w:spacing w:val="-3"/>
        </w:rPr>
        <w:t>come</w:t>
      </w:r>
      <w:r>
        <w:rPr>
          <w:color w:val="231F20"/>
          <w:spacing w:val="-13"/>
        </w:rPr>
        <w:t> </w:t>
      </w:r>
      <w:r>
        <w:rPr>
          <w:color w:val="231F20"/>
          <w:spacing w:val="-3"/>
        </w:rPr>
        <w:t>uno </w:t>
      </w:r>
      <w:r>
        <w:rPr>
          <w:color w:val="231F20"/>
        </w:rPr>
        <w:t>scudo</w:t>
      </w:r>
      <w:r>
        <w:rPr>
          <w:color w:val="231F20"/>
          <w:spacing w:val="-5"/>
        </w:rPr>
        <w:t> </w:t>
      </w:r>
      <w:r>
        <w:rPr>
          <w:color w:val="231F20"/>
        </w:rPr>
        <w:t>dietro</w:t>
      </w:r>
      <w:r>
        <w:rPr>
          <w:color w:val="231F20"/>
          <w:spacing w:val="-5"/>
        </w:rPr>
        <w:t> </w:t>
      </w:r>
      <w:r>
        <w:rPr>
          <w:color w:val="231F20"/>
        </w:rPr>
        <w:t>il</w:t>
      </w:r>
      <w:r>
        <w:rPr>
          <w:color w:val="231F20"/>
          <w:spacing w:val="-5"/>
        </w:rPr>
        <w:t> </w:t>
      </w:r>
      <w:r>
        <w:rPr>
          <w:color w:val="231F20"/>
        </w:rPr>
        <w:t>quale</w:t>
      </w:r>
      <w:r>
        <w:rPr>
          <w:color w:val="231F20"/>
          <w:spacing w:val="-5"/>
        </w:rPr>
        <w:t> </w:t>
      </w:r>
      <w:r>
        <w:rPr>
          <w:color w:val="231F20"/>
        </w:rPr>
        <w:t>possono</w:t>
      </w:r>
      <w:r>
        <w:rPr>
          <w:color w:val="231F20"/>
          <w:spacing w:val="-5"/>
        </w:rPr>
        <w:t> </w:t>
      </w:r>
      <w:r>
        <w:rPr>
          <w:color w:val="231F20"/>
        </w:rPr>
        <w:t>pretendere</w:t>
      </w:r>
      <w:r>
        <w:rPr>
          <w:color w:val="231F20"/>
          <w:spacing w:val="-5"/>
        </w:rPr>
        <w:t> </w:t>
      </w:r>
      <w:r>
        <w:rPr>
          <w:color w:val="231F20"/>
        </w:rPr>
        <w:t>di</w:t>
      </w:r>
      <w:r>
        <w:rPr>
          <w:color w:val="231F20"/>
          <w:spacing w:val="-5"/>
        </w:rPr>
        <w:t> </w:t>
      </w:r>
      <w:r>
        <w:rPr>
          <w:color w:val="231F20"/>
        </w:rPr>
        <w:t>essere</w:t>
      </w:r>
      <w:r>
        <w:rPr>
          <w:color w:val="231F20"/>
          <w:spacing w:val="-5"/>
        </w:rPr>
        <w:t> </w:t>
      </w:r>
      <w:r>
        <w:rPr>
          <w:color w:val="231F20"/>
        </w:rPr>
        <w:t>liberi</w:t>
      </w:r>
      <w:r>
        <w:rPr>
          <w:color w:val="231F20"/>
          <w:spacing w:val="-5"/>
        </w:rPr>
        <w:t> </w:t>
      </w:r>
      <w:r>
        <w:rPr>
          <w:color w:val="231F20"/>
        </w:rPr>
        <w:t>di</w:t>
      </w:r>
      <w:r>
        <w:rPr>
          <w:color w:val="231F20"/>
          <w:spacing w:val="-5"/>
        </w:rPr>
        <w:t> </w:t>
      </w:r>
      <w:r>
        <w:rPr>
          <w:color w:val="231F20"/>
        </w:rPr>
        <w:t>svolgere</w:t>
      </w:r>
      <w:r>
        <w:rPr>
          <w:color w:val="231F20"/>
          <w:spacing w:val="-5"/>
        </w:rPr>
        <w:t> </w:t>
      </w:r>
      <w:r>
        <w:rPr>
          <w:color w:val="231F20"/>
        </w:rPr>
        <w:t>attività che creano enormi minacce ai loro cittadini, ai loro vicini o al resto della </w:t>
      </w:r>
      <w:r>
        <w:rPr>
          <w:color w:val="231F20"/>
          <w:spacing w:val="-3"/>
        </w:rPr>
        <w:t>comunità internazionale”</w:t>
      </w:r>
      <w:r>
        <w:rPr>
          <w:color w:val="231F20"/>
          <w:spacing w:val="-3"/>
          <w:position w:val="7"/>
          <w:sz w:val="12"/>
        </w:rPr>
        <w:t>15</w:t>
      </w:r>
      <w:r>
        <w:rPr>
          <w:color w:val="231F20"/>
          <w:spacing w:val="-3"/>
        </w:rPr>
        <w:t>. Un’istanza, questa, </w:t>
      </w:r>
      <w:r>
        <w:rPr>
          <w:color w:val="231F20"/>
        </w:rPr>
        <w:t>che nel </w:t>
      </w:r>
      <w:r>
        <w:rPr>
          <w:color w:val="231F20"/>
          <w:spacing w:val="-4"/>
        </w:rPr>
        <w:t>celebre </w:t>
      </w:r>
      <w:r>
        <w:rPr>
          <w:color w:val="231F20"/>
          <w:spacing w:val="-3"/>
        </w:rPr>
        <w:t>rapporto della </w:t>
      </w:r>
      <w:r>
        <w:rPr>
          <w:rFonts w:ascii="Arial" w:hAnsi="Arial"/>
          <w:i/>
          <w:color w:val="231F20"/>
        </w:rPr>
        <w:t>International Commission on Intervention and State Sovereignty </w:t>
      </w:r>
      <w:r>
        <w:rPr>
          <w:color w:val="231F20"/>
        </w:rPr>
        <w:t>troviamo esplicitamente modulata nella forma di una transizione dal </w:t>
      </w:r>
      <w:r>
        <w:rPr>
          <w:color w:val="231F20"/>
          <w:spacing w:val="2"/>
        </w:rPr>
        <w:t>tradizionale </w:t>
      </w:r>
      <w:r>
        <w:rPr>
          <w:color w:val="231F20"/>
        </w:rPr>
        <w:t>modello della </w:t>
      </w:r>
      <w:r>
        <w:rPr>
          <w:rFonts w:ascii="Arial" w:hAnsi="Arial"/>
          <w:i/>
          <w:color w:val="231F20"/>
        </w:rPr>
        <w:t>sovranità–controllo  </w:t>
      </w:r>
      <w:r>
        <w:rPr>
          <w:color w:val="231F20"/>
        </w:rPr>
        <w:t>a quello della </w:t>
      </w:r>
      <w:r>
        <w:rPr>
          <w:color w:val="231F20"/>
          <w:spacing w:val="26"/>
        </w:rPr>
        <w:t> </w:t>
      </w:r>
      <w:r>
        <w:rPr>
          <w:rFonts w:ascii="Arial" w:hAnsi="Arial"/>
          <w:i/>
          <w:color w:val="231F20"/>
        </w:rPr>
        <w:t>sovranità–responsabilità</w:t>
      </w:r>
      <w:r>
        <w:rPr>
          <w:color w:val="231F20"/>
        </w:rPr>
        <w:t>,</w:t>
      </w:r>
    </w:p>
    <w:p>
      <w:pPr>
        <w:pStyle w:val="BodyText"/>
        <w:spacing w:before="9"/>
        <w:rPr>
          <w:sz w:val="18"/>
        </w:rPr>
      </w:pPr>
      <w:r>
        <w:rPr/>
        <w:pict>
          <v:line style="position:absolute;mso-position-horizontal-relative:page;mso-position-vertical-relative:paragraph;z-index:14296;mso-wrap-distance-left:0;mso-wrap-distance-right:0" from="65.1968pt,13.448896pt" to="178.5828pt,13.448896pt" stroked="true" strokeweight=".3pt" strokecolor="#231f20">
            <w10:wrap type="topAndBottom"/>
          </v:line>
        </w:pict>
      </w:r>
    </w:p>
    <w:p>
      <w:pPr>
        <w:spacing w:line="206" w:lineRule="exact" w:before="10"/>
        <w:ind w:left="103" w:right="0" w:firstLine="0"/>
        <w:jc w:val="both"/>
        <w:rPr>
          <w:rFonts w:ascii="Calibri"/>
          <w:sz w:val="17"/>
        </w:rPr>
      </w:pPr>
      <w:r>
        <w:rPr>
          <w:rFonts w:ascii="Calibri"/>
          <w:color w:val="231F20"/>
          <w:position w:val="6"/>
          <w:sz w:val="10"/>
        </w:rPr>
        <w:t>11 </w:t>
      </w:r>
      <w:r>
        <w:rPr>
          <w:rFonts w:ascii="Calibri"/>
          <w:color w:val="231F20"/>
          <w:sz w:val="17"/>
        </w:rPr>
        <w:t>U. Beck, </w:t>
      </w:r>
      <w:r>
        <w:rPr>
          <w:rFonts w:ascii="Calibri"/>
          <w:i/>
          <w:color w:val="231F20"/>
          <w:sz w:val="17"/>
        </w:rPr>
        <w:t>Der kosmopolitische Blick oder: Krieg ist Frieden</w:t>
      </w:r>
      <w:r>
        <w:rPr>
          <w:rFonts w:ascii="Calibri"/>
          <w:color w:val="231F20"/>
          <w:sz w:val="17"/>
        </w:rPr>
        <w:t>, Frankfurt a. Main, Suhrkamp, 2004 (trad.</w:t>
      </w:r>
    </w:p>
    <w:p>
      <w:pPr>
        <w:spacing w:line="204" w:lineRule="exact" w:before="0"/>
        <w:ind w:left="103" w:right="0" w:firstLine="0"/>
        <w:jc w:val="both"/>
        <w:rPr>
          <w:rFonts w:ascii="Calibri"/>
          <w:sz w:val="17"/>
        </w:rPr>
      </w:pPr>
      <w:r>
        <w:rPr>
          <w:rFonts w:ascii="Calibri"/>
          <w:color w:val="231F20"/>
          <w:sz w:val="17"/>
        </w:rPr>
        <w:t>it. </w:t>
      </w:r>
      <w:r>
        <w:rPr>
          <w:rFonts w:ascii="Calibri"/>
          <w:i/>
          <w:color w:val="231F20"/>
          <w:sz w:val="17"/>
        </w:rPr>
        <w:t>Lo sguardo cosmopolita</w:t>
      </w:r>
      <w:r>
        <w:rPr>
          <w:rFonts w:ascii="Calibri"/>
          <w:color w:val="231F20"/>
          <w:sz w:val="17"/>
        </w:rPr>
        <w:t>, Roma, Carocci, 2005, p. 174).</w:t>
      </w:r>
    </w:p>
    <w:p>
      <w:pPr>
        <w:spacing w:line="204" w:lineRule="exact" w:before="0"/>
        <w:ind w:left="103" w:right="0" w:firstLine="0"/>
        <w:jc w:val="both"/>
        <w:rPr>
          <w:rFonts w:ascii="Calibri" w:hAnsi="Calibri"/>
          <w:sz w:val="17"/>
        </w:rPr>
      </w:pPr>
      <w:r>
        <w:rPr>
          <w:rFonts w:ascii="Calibri" w:hAnsi="Calibri"/>
          <w:color w:val="231F20"/>
          <w:position w:val="6"/>
          <w:sz w:val="10"/>
        </w:rPr>
        <w:t>12  </w:t>
      </w:r>
      <w:r>
        <w:rPr>
          <w:rFonts w:ascii="Calibri" w:hAnsi="Calibri"/>
          <w:color w:val="231F20"/>
          <w:sz w:val="17"/>
        </w:rPr>
        <w:t>D. Zolo, </w:t>
      </w:r>
      <w:r>
        <w:rPr>
          <w:rFonts w:ascii="Calibri" w:hAnsi="Calibri"/>
          <w:i/>
          <w:color w:val="231F20"/>
          <w:sz w:val="17"/>
        </w:rPr>
        <w:t>La giustizia dei vincitori</w:t>
      </w:r>
      <w:r>
        <w:rPr>
          <w:rFonts w:ascii="Calibri" w:hAnsi="Calibri"/>
          <w:color w:val="231F20"/>
          <w:sz w:val="17"/>
        </w:rPr>
        <w:t>, Roma–Bari, Laterza, 2007, pp. 60–61.</w:t>
      </w:r>
    </w:p>
    <w:p>
      <w:pPr>
        <w:spacing w:line="204" w:lineRule="exact" w:before="0"/>
        <w:ind w:left="103" w:right="0" w:firstLine="0"/>
        <w:jc w:val="both"/>
        <w:rPr>
          <w:rFonts w:ascii="Calibri"/>
          <w:sz w:val="17"/>
        </w:rPr>
      </w:pPr>
      <w:r>
        <w:rPr>
          <w:rFonts w:ascii="Calibri"/>
          <w:color w:val="231F20"/>
          <w:position w:val="6"/>
          <w:sz w:val="10"/>
        </w:rPr>
        <w:t>13 </w:t>
      </w:r>
      <w:r>
        <w:rPr>
          <w:rFonts w:ascii="Calibri"/>
          <w:color w:val="231F20"/>
          <w:sz w:val="17"/>
        </w:rPr>
        <w:t>T.J. Farer, </w:t>
      </w:r>
      <w:r>
        <w:rPr>
          <w:rFonts w:ascii="Calibri"/>
          <w:i/>
          <w:color w:val="231F20"/>
          <w:sz w:val="17"/>
        </w:rPr>
        <w:t>Humanitarian intervention before and after 9/11</w:t>
      </w:r>
      <w:r>
        <w:rPr>
          <w:rFonts w:ascii="Calibri"/>
          <w:color w:val="231F20"/>
          <w:sz w:val="17"/>
        </w:rPr>
        <w:t>, p. 55.</w:t>
      </w:r>
    </w:p>
    <w:p>
      <w:pPr>
        <w:spacing w:line="235" w:lineRule="auto" w:before="1"/>
        <w:ind w:left="103" w:right="114" w:firstLine="0"/>
        <w:jc w:val="both"/>
        <w:rPr>
          <w:rFonts w:ascii="Calibri" w:hAnsi="Calibri"/>
          <w:sz w:val="17"/>
        </w:rPr>
      </w:pPr>
      <w:r>
        <w:rPr>
          <w:rFonts w:ascii="Calibri" w:hAnsi="Calibri"/>
          <w:color w:val="231F20"/>
          <w:w w:val="105"/>
          <w:position w:val="6"/>
          <w:sz w:val="10"/>
        </w:rPr>
        <w:t>14</w:t>
      </w:r>
      <w:r>
        <w:rPr>
          <w:rFonts w:ascii="Calibri" w:hAnsi="Calibri"/>
          <w:color w:val="231F20"/>
          <w:spacing w:val="12"/>
          <w:w w:val="105"/>
          <w:position w:val="6"/>
          <w:sz w:val="10"/>
        </w:rPr>
        <w:t> </w:t>
      </w:r>
      <w:r>
        <w:rPr>
          <w:rFonts w:ascii="Calibri" w:hAnsi="Calibri"/>
          <w:i/>
          <w:color w:val="231F20"/>
          <w:w w:val="105"/>
          <w:sz w:val="17"/>
        </w:rPr>
        <w:t>Charter</w:t>
      </w:r>
      <w:r>
        <w:rPr>
          <w:rFonts w:ascii="Calibri" w:hAnsi="Calibri"/>
          <w:i/>
          <w:color w:val="231F20"/>
          <w:spacing w:val="-5"/>
          <w:w w:val="105"/>
          <w:sz w:val="17"/>
        </w:rPr>
        <w:t> </w:t>
      </w:r>
      <w:r>
        <w:rPr>
          <w:rFonts w:ascii="Calibri" w:hAnsi="Calibri"/>
          <w:i/>
          <w:color w:val="231F20"/>
          <w:w w:val="105"/>
          <w:sz w:val="17"/>
        </w:rPr>
        <w:t>of</w:t>
      </w:r>
      <w:r>
        <w:rPr>
          <w:rFonts w:ascii="Calibri" w:hAnsi="Calibri"/>
          <w:i/>
          <w:color w:val="231F20"/>
          <w:spacing w:val="-5"/>
          <w:w w:val="105"/>
          <w:sz w:val="17"/>
        </w:rPr>
        <w:t> </w:t>
      </w:r>
      <w:r>
        <w:rPr>
          <w:rFonts w:ascii="Calibri" w:hAnsi="Calibri"/>
          <w:i/>
          <w:color w:val="231F20"/>
          <w:w w:val="105"/>
          <w:sz w:val="17"/>
        </w:rPr>
        <w:t>United</w:t>
      </w:r>
      <w:r>
        <w:rPr>
          <w:rFonts w:ascii="Calibri" w:hAnsi="Calibri"/>
          <w:i/>
          <w:color w:val="231F20"/>
          <w:spacing w:val="-5"/>
          <w:w w:val="105"/>
          <w:sz w:val="17"/>
        </w:rPr>
        <w:t> </w:t>
      </w:r>
      <w:r>
        <w:rPr>
          <w:rFonts w:ascii="Calibri" w:hAnsi="Calibri"/>
          <w:i/>
          <w:color w:val="231F20"/>
          <w:w w:val="105"/>
          <w:sz w:val="17"/>
        </w:rPr>
        <w:t>Nations</w:t>
      </w:r>
      <w:r>
        <w:rPr>
          <w:rFonts w:ascii="Calibri" w:hAnsi="Calibri"/>
          <w:color w:val="231F20"/>
          <w:w w:val="105"/>
          <w:sz w:val="17"/>
        </w:rPr>
        <w:t>,</w:t>
      </w:r>
      <w:r>
        <w:rPr>
          <w:rFonts w:ascii="Calibri" w:hAnsi="Calibri"/>
          <w:color w:val="231F20"/>
          <w:spacing w:val="-4"/>
          <w:w w:val="105"/>
          <w:sz w:val="17"/>
        </w:rPr>
        <w:t> </w:t>
      </w:r>
      <w:r>
        <w:rPr>
          <w:rFonts w:ascii="Calibri" w:hAnsi="Calibri"/>
          <w:color w:val="231F20"/>
          <w:w w:val="105"/>
          <w:sz w:val="17"/>
        </w:rPr>
        <w:t>art.</w:t>
      </w:r>
      <w:r>
        <w:rPr>
          <w:rFonts w:ascii="Calibri" w:hAnsi="Calibri"/>
          <w:color w:val="231F20"/>
          <w:spacing w:val="-4"/>
          <w:w w:val="105"/>
          <w:sz w:val="17"/>
        </w:rPr>
        <w:t> </w:t>
      </w:r>
      <w:r>
        <w:rPr>
          <w:rFonts w:ascii="Calibri" w:hAnsi="Calibri"/>
          <w:color w:val="231F20"/>
          <w:w w:val="105"/>
          <w:sz w:val="17"/>
        </w:rPr>
        <w:t>2</w:t>
      </w:r>
      <w:r>
        <w:rPr>
          <w:rFonts w:ascii="Calibri" w:hAnsi="Calibri"/>
          <w:color w:val="231F20"/>
          <w:spacing w:val="-4"/>
          <w:w w:val="105"/>
          <w:sz w:val="17"/>
        </w:rPr>
        <w:t> </w:t>
      </w:r>
      <w:r>
        <w:rPr>
          <w:rFonts w:ascii="Calibri" w:hAnsi="Calibri"/>
          <w:color w:val="231F20"/>
          <w:spacing w:val="2"/>
          <w:w w:val="105"/>
          <w:sz w:val="17"/>
        </w:rPr>
        <w:t>(7):</w:t>
      </w:r>
      <w:r>
        <w:rPr>
          <w:rFonts w:ascii="Calibri" w:hAnsi="Calibri"/>
          <w:color w:val="231F20"/>
          <w:spacing w:val="-4"/>
          <w:w w:val="105"/>
          <w:sz w:val="17"/>
        </w:rPr>
        <w:t> </w:t>
      </w:r>
      <w:r>
        <w:rPr>
          <w:rFonts w:ascii="Calibri" w:hAnsi="Calibri"/>
          <w:color w:val="231F20"/>
          <w:w w:val="105"/>
          <w:sz w:val="17"/>
        </w:rPr>
        <w:t>“Nothing</w:t>
      </w:r>
      <w:r>
        <w:rPr>
          <w:rFonts w:ascii="Calibri" w:hAnsi="Calibri"/>
          <w:color w:val="231F20"/>
          <w:spacing w:val="-4"/>
          <w:w w:val="105"/>
          <w:sz w:val="17"/>
        </w:rPr>
        <w:t> </w:t>
      </w:r>
      <w:r>
        <w:rPr>
          <w:rFonts w:ascii="Calibri" w:hAnsi="Calibri"/>
          <w:color w:val="231F20"/>
          <w:w w:val="105"/>
          <w:sz w:val="17"/>
        </w:rPr>
        <w:t>contained</w:t>
      </w:r>
      <w:r>
        <w:rPr>
          <w:rFonts w:ascii="Calibri" w:hAnsi="Calibri"/>
          <w:color w:val="231F20"/>
          <w:spacing w:val="-4"/>
          <w:w w:val="105"/>
          <w:sz w:val="17"/>
        </w:rPr>
        <w:t> </w:t>
      </w:r>
      <w:r>
        <w:rPr>
          <w:rFonts w:ascii="Calibri" w:hAnsi="Calibri"/>
          <w:color w:val="231F20"/>
          <w:w w:val="105"/>
          <w:sz w:val="17"/>
        </w:rPr>
        <w:t>in</w:t>
      </w:r>
      <w:r>
        <w:rPr>
          <w:rFonts w:ascii="Calibri" w:hAnsi="Calibri"/>
          <w:color w:val="231F20"/>
          <w:spacing w:val="-4"/>
          <w:w w:val="105"/>
          <w:sz w:val="17"/>
        </w:rPr>
        <w:t> </w:t>
      </w:r>
      <w:r>
        <w:rPr>
          <w:rFonts w:ascii="Calibri" w:hAnsi="Calibri"/>
          <w:color w:val="231F20"/>
          <w:w w:val="105"/>
          <w:sz w:val="17"/>
        </w:rPr>
        <w:t>the</w:t>
      </w:r>
      <w:r>
        <w:rPr>
          <w:rFonts w:ascii="Calibri" w:hAnsi="Calibri"/>
          <w:color w:val="231F20"/>
          <w:spacing w:val="-4"/>
          <w:w w:val="105"/>
          <w:sz w:val="17"/>
        </w:rPr>
        <w:t> </w:t>
      </w:r>
      <w:r>
        <w:rPr>
          <w:rFonts w:ascii="Calibri" w:hAnsi="Calibri"/>
          <w:color w:val="231F20"/>
          <w:w w:val="105"/>
          <w:sz w:val="17"/>
        </w:rPr>
        <w:t>present</w:t>
      </w:r>
      <w:r>
        <w:rPr>
          <w:rFonts w:ascii="Calibri" w:hAnsi="Calibri"/>
          <w:color w:val="231F20"/>
          <w:spacing w:val="-4"/>
          <w:w w:val="105"/>
          <w:sz w:val="17"/>
        </w:rPr>
        <w:t> </w:t>
      </w:r>
      <w:r>
        <w:rPr>
          <w:rFonts w:ascii="Calibri" w:hAnsi="Calibri"/>
          <w:color w:val="231F20"/>
          <w:w w:val="105"/>
          <w:sz w:val="17"/>
        </w:rPr>
        <w:t>Charter</w:t>
      </w:r>
      <w:r>
        <w:rPr>
          <w:rFonts w:ascii="Calibri" w:hAnsi="Calibri"/>
          <w:color w:val="231F20"/>
          <w:spacing w:val="-4"/>
          <w:w w:val="105"/>
          <w:sz w:val="17"/>
        </w:rPr>
        <w:t> </w:t>
      </w:r>
      <w:r>
        <w:rPr>
          <w:rFonts w:ascii="Calibri" w:hAnsi="Calibri"/>
          <w:color w:val="231F20"/>
          <w:w w:val="105"/>
          <w:sz w:val="17"/>
        </w:rPr>
        <w:t>shall</w:t>
      </w:r>
      <w:r>
        <w:rPr>
          <w:rFonts w:ascii="Calibri" w:hAnsi="Calibri"/>
          <w:color w:val="231F20"/>
          <w:spacing w:val="-4"/>
          <w:w w:val="105"/>
          <w:sz w:val="17"/>
        </w:rPr>
        <w:t> </w:t>
      </w:r>
      <w:r>
        <w:rPr>
          <w:rFonts w:ascii="Calibri" w:hAnsi="Calibri"/>
          <w:color w:val="231F20"/>
          <w:w w:val="105"/>
          <w:sz w:val="17"/>
        </w:rPr>
        <w:t>authorize the</w:t>
      </w:r>
      <w:r>
        <w:rPr>
          <w:rFonts w:ascii="Calibri" w:hAnsi="Calibri"/>
          <w:color w:val="231F20"/>
          <w:spacing w:val="-5"/>
          <w:w w:val="105"/>
          <w:sz w:val="17"/>
        </w:rPr>
        <w:t> </w:t>
      </w:r>
      <w:r>
        <w:rPr>
          <w:rFonts w:ascii="Calibri" w:hAnsi="Calibri"/>
          <w:color w:val="231F20"/>
          <w:w w:val="105"/>
          <w:sz w:val="17"/>
        </w:rPr>
        <w:t>United</w:t>
      </w:r>
      <w:r>
        <w:rPr>
          <w:rFonts w:ascii="Calibri" w:hAnsi="Calibri"/>
          <w:color w:val="231F20"/>
          <w:spacing w:val="-5"/>
          <w:w w:val="105"/>
          <w:sz w:val="17"/>
        </w:rPr>
        <w:t> </w:t>
      </w:r>
      <w:r>
        <w:rPr>
          <w:rFonts w:ascii="Calibri" w:hAnsi="Calibri"/>
          <w:color w:val="231F20"/>
          <w:w w:val="105"/>
          <w:sz w:val="17"/>
        </w:rPr>
        <w:t>Nations</w:t>
      </w:r>
      <w:r>
        <w:rPr>
          <w:rFonts w:ascii="Calibri" w:hAnsi="Calibri"/>
          <w:color w:val="231F20"/>
          <w:spacing w:val="-5"/>
          <w:w w:val="105"/>
          <w:sz w:val="17"/>
        </w:rPr>
        <w:t> </w:t>
      </w:r>
      <w:r>
        <w:rPr>
          <w:rFonts w:ascii="Calibri" w:hAnsi="Calibri"/>
          <w:color w:val="231F20"/>
          <w:w w:val="105"/>
          <w:sz w:val="17"/>
        </w:rPr>
        <w:t>to</w:t>
      </w:r>
      <w:r>
        <w:rPr>
          <w:rFonts w:ascii="Calibri" w:hAnsi="Calibri"/>
          <w:color w:val="231F20"/>
          <w:spacing w:val="-5"/>
          <w:w w:val="105"/>
          <w:sz w:val="17"/>
        </w:rPr>
        <w:t> </w:t>
      </w:r>
      <w:r>
        <w:rPr>
          <w:rFonts w:ascii="Calibri" w:hAnsi="Calibri"/>
          <w:color w:val="231F20"/>
          <w:w w:val="105"/>
          <w:sz w:val="17"/>
        </w:rPr>
        <w:t>intervene</w:t>
      </w:r>
      <w:r>
        <w:rPr>
          <w:rFonts w:ascii="Calibri" w:hAnsi="Calibri"/>
          <w:color w:val="231F20"/>
          <w:spacing w:val="-5"/>
          <w:w w:val="105"/>
          <w:sz w:val="17"/>
        </w:rPr>
        <w:t> </w:t>
      </w:r>
      <w:r>
        <w:rPr>
          <w:rFonts w:ascii="Calibri" w:hAnsi="Calibri"/>
          <w:color w:val="231F20"/>
          <w:w w:val="105"/>
          <w:sz w:val="17"/>
        </w:rPr>
        <w:t>in</w:t>
      </w:r>
      <w:r>
        <w:rPr>
          <w:rFonts w:ascii="Calibri" w:hAnsi="Calibri"/>
          <w:color w:val="231F20"/>
          <w:spacing w:val="-5"/>
          <w:w w:val="105"/>
          <w:sz w:val="17"/>
        </w:rPr>
        <w:t> </w:t>
      </w:r>
      <w:r>
        <w:rPr>
          <w:rFonts w:ascii="Calibri" w:hAnsi="Calibri"/>
          <w:color w:val="231F20"/>
          <w:w w:val="105"/>
          <w:sz w:val="17"/>
        </w:rPr>
        <w:t>matters</w:t>
      </w:r>
      <w:r>
        <w:rPr>
          <w:rFonts w:ascii="Calibri" w:hAnsi="Calibri"/>
          <w:color w:val="231F20"/>
          <w:spacing w:val="-7"/>
          <w:w w:val="105"/>
          <w:sz w:val="17"/>
        </w:rPr>
        <w:t> </w:t>
      </w:r>
      <w:r>
        <w:rPr>
          <w:rFonts w:ascii="Calibri" w:hAnsi="Calibri"/>
          <w:color w:val="231F20"/>
          <w:w w:val="105"/>
          <w:sz w:val="17"/>
        </w:rPr>
        <w:t>which</w:t>
      </w:r>
      <w:r>
        <w:rPr>
          <w:rFonts w:ascii="Calibri" w:hAnsi="Calibri"/>
          <w:color w:val="231F20"/>
          <w:spacing w:val="-5"/>
          <w:w w:val="105"/>
          <w:sz w:val="17"/>
        </w:rPr>
        <w:t> </w:t>
      </w:r>
      <w:r>
        <w:rPr>
          <w:rFonts w:ascii="Calibri" w:hAnsi="Calibri"/>
          <w:color w:val="231F20"/>
          <w:w w:val="105"/>
          <w:sz w:val="17"/>
        </w:rPr>
        <w:t>are</w:t>
      </w:r>
      <w:r>
        <w:rPr>
          <w:rFonts w:ascii="Calibri" w:hAnsi="Calibri"/>
          <w:color w:val="231F20"/>
          <w:spacing w:val="-5"/>
          <w:w w:val="105"/>
          <w:sz w:val="17"/>
        </w:rPr>
        <w:t> </w:t>
      </w:r>
      <w:r>
        <w:rPr>
          <w:rFonts w:ascii="Calibri" w:hAnsi="Calibri"/>
          <w:color w:val="231F20"/>
          <w:w w:val="105"/>
          <w:sz w:val="17"/>
        </w:rPr>
        <w:t>essentially</w:t>
      </w:r>
      <w:r>
        <w:rPr>
          <w:rFonts w:ascii="Calibri" w:hAnsi="Calibri"/>
          <w:color w:val="231F20"/>
          <w:spacing w:val="-7"/>
          <w:w w:val="105"/>
          <w:sz w:val="17"/>
        </w:rPr>
        <w:t> </w:t>
      </w:r>
      <w:r>
        <w:rPr>
          <w:rFonts w:ascii="Calibri" w:hAnsi="Calibri"/>
          <w:color w:val="231F20"/>
          <w:w w:val="105"/>
          <w:sz w:val="17"/>
        </w:rPr>
        <w:t>within</w:t>
      </w:r>
      <w:r>
        <w:rPr>
          <w:rFonts w:ascii="Calibri" w:hAnsi="Calibri"/>
          <w:color w:val="231F20"/>
          <w:spacing w:val="-5"/>
          <w:w w:val="105"/>
          <w:sz w:val="17"/>
        </w:rPr>
        <w:t> </w:t>
      </w:r>
      <w:r>
        <w:rPr>
          <w:rFonts w:ascii="Calibri" w:hAnsi="Calibri"/>
          <w:color w:val="231F20"/>
          <w:w w:val="105"/>
          <w:sz w:val="17"/>
        </w:rPr>
        <w:t>the</w:t>
      </w:r>
      <w:r>
        <w:rPr>
          <w:rFonts w:ascii="Calibri" w:hAnsi="Calibri"/>
          <w:color w:val="231F20"/>
          <w:spacing w:val="-5"/>
          <w:w w:val="105"/>
          <w:sz w:val="17"/>
        </w:rPr>
        <w:t> </w:t>
      </w:r>
      <w:r>
        <w:rPr>
          <w:rFonts w:ascii="Calibri" w:hAnsi="Calibri"/>
          <w:color w:val="231F20"/>
          <w:w w:val="105"/>
          <w:sz w:val="17"/>
        </w:rPr>
        <w:t>domestic</w:t>
      </w:r>
      <w:r>
        <w:rPr>
          <w:rFonts w:ascii="Calibri" w:hAnsi="Calibri"/>
          <w:color w:val="231F20"/>
          <w:spacing w:val="-5"/>
          <w:w w:val="105"/>
          <w:sz w:val="17"/>
        </w:rPr>
        <w:t> </w:t>
      </w:r>
      <w:r>
        <w:rPr>
          <w:rFonts w:ascii="Calibri" w:hAnsi="Calibri"/>
          <w:color w:val="231F20"/>
          <w:w w:val="105"/>
          <w:sz w:val="17"/>
        </w:rPr>
        <w:t>jurisdiction of</w:t>
      </w:r>
      <w:r>
        <w:rPr>
          <w:rFonts w:ascii="Calibri" w:hAnsi="Calibri"/>
          <w:color w:val="231F20"/>
          <w:spacing w:val="-13"/>
          <w:w w:val="105"/>
          <w:sz w:val="17"/>
        </w:rPr>
        <w:t> </w:t>
      </w:r>
      <w:r>
        <w:rPr>
          <w:rFonts w:ascii="Calibri" w:hAnsi="Calibri"/>
          <w:color w:val="231F20"/>
          <w:w w:val="105"/>
          <w:sz w:val="17"/>
        </w:rPr>
        <w:t>any</w:t>
      </w:r>
      <w:r>
        <w:rPr>
          <w:rFonts w:ascii="Calibri" w:hAnsi="Calibri"/>
          <w:color w:val="231F20"/>
          <w:spacing w:val="-13"/>
          <w:w w:val="105"/>
          <w:sz w:val="17"/>
        </w:rPr>
        <w:t> </w:t>
      </w:r>
      <w:r>
        <w:rPr>
          <w:rFonts w:ascii="Calibri" w:hAnsi="Calibri"/>
          <w:color w:val="231F20"/>
          <w:w w:val="105"/>
          <w:sz w:val="17"/>
        </w:rPr>
        <w:t>state</w:t>
      </w:r>
      <w:r>
        <w:rPr>
          <w:rFonts w:ascii="Calibri" w:hAnsi="Calibri"/>
          <w:color w:val="231F20"/>
          <w:spacing w:val="-13"/>
          <w:w w:val="105"/>
          <w:sz w:val="17"/>
        </w:rPr>
        <w:t> </w:t>
      </w:r>
      <w:r>
        <w:rPr>
          <w:rFonts w:ascii="Calibri" w:hAnsi="Calibri"/>
          <w:color w:val="231F20"/>
          <w:w w:val="105"/>
          <w:sz w:val="17"/>
        </w:rPr>
        <w:t>or</w:t>
      </w:r>
      <w:r>
        <w:rPr>
          <w:rFonts w:ascii="Calibri" w:hAnsi="Calibri"/>
          <w:color w:val="231F20"/>
          <w:spacing w:val="-13"/>
          <w:w w:val="105"/>
          <w:sz w:val="17"/>
        </w:rPr>
        <w:t> </w:t>
      </w:r>
      <w:r>
        <w:rPr>
          <w:rFonts w:ascii="Calibri" w:hAnsi="Calibri"/>
          <w:color w:val="231F20"/>
          <w:w w:val="105"/>
          <w:sz w:val="17"/>
        </w:rPr>
        <w:t>shall</w:t>
      </w:r>
      <w:r>
        <w:rPr>
          <w:rFonts w:ascii="Calibri" w:hAnsi="Calibri"/>
          <w:color w:val="231F20"/>
          <w:spacing w:val="-13"/>
          <w:w w:val="105"/>
          <w:sz w:val="17"/>
        </w:rPr>
        <w:t> </w:t>
      </w:r>
      <w:r>
        <w:rPr>
          <w:rFonts w:ascii="Calibri" w:hAnsi="Calibri"/>
          <w:color w:val="231F20"/>
          <w:w w:val="105"/>
          <w:sz w:val="17"/>
        </w:rPr>
        <w:t>require</w:t>
      </w:r>
      <w:r>
        <w:rPr>
          <w:rFonts w:ascii="Calibri" w:hAnsi="Calibri"/>
          <w:color w:val="231F20"/>
          <w:spacing w:val="-13"/>
          <w:w w:val="105"/>
          <w:sz w:val="17"/>
        </w:rPr>
        <w:t> </w:t>
      </w:r>
      <w:r>
        <w:rPr>
          <w:rFonts w:ascii="Calibri" w:hAnsi="Calibri"/>
          <w:color w:val="231F20"/>
          <w:w w:val="105"/>
          <w:sz w:val="17"/>
        </w:rPr>
        <w:t>the</w:t>
      </w:r>
      <w:r>
        <w:rPr>
          <w:rFonts w:ascii="Calibri" w:hAnsi="Calibri"/>
          <w:color w:val="231F20"/>
          <w:spacing w:val="-13"/>
          <w:w w:val="105"/>
          <w:sz w:val="17"/>
        </w:rPr>
        <w:t> </w:t>
      </w:r>
      <w:r>
        <w:rPr>
          <w:rFonts w:ascii="Calibri" w:hAnsi="Calibri"/>
          <w:color w:val="231F20"/>
          <w:w w:val="105"/>
          <w:sz w:val="17"/>
        </w:rPr>
        <w:t>Members</w:t>
      </w:r>
      <w:r>
        <w:rPr>
          <w:rFonts w:ascii="Calibri" w:hAnsi="Calibri"/>
          <w:color w:val="231F20"/>
          <w:spacing w:val="-13"/>
          <w:w w:val="105"/>
          <w:sz w:val="17"/>
        </w:rPr>
        <w:t> </w:t>
      </w:r>
      <w:r>
        <w:rPr>
          <w:rFonts w:ascii="Calibri" w:hAnsi="Calibri"/>
          <w:color w:val="231F20"/>
          <w:w w:val="105"/>
          <w:sz w:val="17"/>
        </w:rPr>
        <w:t>to</w:t>
      </w:r>
      <w:r>
        <w:rPr>
          <w:rFonts w:ascii="Calibri" w:hAnsi="Calibri"/>
          <w:color w:val="231F20"/>
          <w:spacing w:val="-13"/>
          <w:w w:val="105"/>
          <w:sz w:val="17"/>
        </w:rPr>
        <w:t> </w:t>
      </w:r>
      <w:r>
        <w:rPr>
          <w:rFonts w:ascii="Calibri" w:hAnsi="Calibri"/>
          <w:color w:val="231F20"/>
          <w:w w:val="105"/>
          <w:sz w:val="17"/>
        </w:rPr>
        <w:t>submit</w:t>
      </w:r>
      <w:r>
        <w:rPr>
          <w:rFonts w:ascii="Calibri" w:hAnsi="Calibri"/>
          <w:color w:val="231F20"/>
          <w:spacing w:val="-13"/>
          <w:w w:val="105"/>
          <w:sz w:val="17"/>
        </w:rPr>
        <w:t> </w:t>
      </w:r>
      <w:r>
        <w:rPr>
          <w:rFonts w:ascii="Calibri" w:hAnsi="Calibri"/>
          <w:color w:val="231F20"/>
          <w:w w:val="105"/>
          <w:sz w:val="17"/>
        </w:rPr>
        <w:t>such</w:t>
      </w:r>
      <w:r>
        <w:rPr>
          <w:rFonts w:ascii="Calibri" w:hAnsi="Calibri"/>
          <w:color w:val="231F20"/>
          <w:spacing w:val="-13"/>
          <w:w w:val="105"/>
          <w:sz w:val="17"/>
        </w:rPr>
        <w:t> </w:t>
      </w:r>
      <w:r>
        <w:rPr>
          <w:rFonts w:ascii="Calibri" w:hAnsi="Calibri"/>
          <w:color w:val="231F20"/>
          <w:w w:val="105"/>
          <w:sz w:val="17"/>
        </w:rPr>
        <w:t>matters</w:t>
      </w:r>
      <w:r>
        <w:rPr>
          <w:rFonts w:ascii="Calibri" w:hAnsi="Calibri"/>
          <w:color w:val="231F20"/>
          <w:spacing w:val="-13"/>
          <w:w w:val="105"/>
          <w:sz w:val="17"/>
        </w:rPr>
        <w:t> </w:t>
      </w:r>
      <w:r>
        <w:rPr>
          <w:rFonts w:ascii="Calibri" w:hAnsi="Calibri"/>
          <w:color w:val="231F20"/>
          <w:w w:val="105"/>
          <w:sz w:val="17"/>
        </w:rPr>
        <w:t>to</w:t>
      </w:r>
      <w:r>
        <w:rPr>
          <w:rFonts w:ascii="Calibri" w:hAnsi="Calibri"/>
          <w:color w:val="231F20"/>
          <w:spacing w:val="-13"/>
          <w:w w:val="105"/>
          <w:sz w:val="17"/>
        </w:rPr>
        <w:t> </w:t>
      </w:r>
      <w:r>
        <w:rPr>
          <w:rFonts w:ascii="Calibri" w:hAnsi="Calibri"/>
          <w:color w:val="231F20"/>
          <w:w w:val="105"/>
          <w:sz w:val="17"/>
        </w:rPr>
        <w:t>settlement</w:t>
      </w:r>
      <w:r>
        <w:rPr>
          <w:rFonts w:ascii="Calibri" w:hAnsi="Calibri"/>
          <w:color w:val="231F20"/>
          <w:spacing w:val="-13"/>
          <w:w w:val="105"/>
          <w:sz w:val="17"/>
        </w:rPr>
        <w:t> </w:t>
      </w:r>
      <w:r>
        <w:rPr>
          <w:rFonts w:ascii="Calibri" w:hAnsi="Calibri"/>
          <w:color w:val="231F20"/>
          <w:w w:val="105"/>
          <w:sz w:val="17"/>
        </w:rPr>
        <w:t>under</w:t>
      </w:r>
      <w:r>
        <w:rPr>
          <w:rFonts w:ascii="Calibri" w:hAnsi="Calibri"/>
          <w:color w:val="231F20"/>
          <w:spacing w:val="-13"/>
          <w:w w:val="105"/>
          <w:sz w:val="17"/>
        </w:rPr>
        <w:t> </w:t>
      </w:r>
      <w:r>
        <w:rPr>
          <w:rFonts w:ascii="Calibri" w:hAnsi="Calibri"/>
          <w:color w:val="231F20"/>
          <w:w w:val="105"/>
          <w:sz w:val="17"/>
        </w:rPr>
        <w:t>the</w:t>
      </w:r>
      <w:r>
        <w:rPr>
          <w:rFonts w:ascii="Calibri" w:hAnsi="Calibri"/>
          <w:color w:val="231F20"/>
          <w:spacing w:val="-13"/>
          <w:w w:val="105"/>
          <w:sz w:val="17"/>
        </w:rPr>
        <w:t> </w:t>
      </w:r>
      <w:r>
        <w:rPr>
          <w:rFonts w:ascii="Calibri" w:hAnsi="Calibri"/>
          <w:color w:val="231F20"/>
          <w:w w:val="105"/>
          <w:sz w:val="17"/>
        </w:rPr>
        <w:t>present Charter; but this principle shall not prejudice the application of enforcement measures under Chapter</w:t>
      </w:r>
      <w:r>
        <w:rPr>
          <w:rFonts w:ascii="Calibri" w:hAnsi="Calibri"/>
          <w:color w:val="231F20"/>
          <w:spacing w:val="-8"/>
          <w:w w:val="105"/>
          <w:sz w:val="17"/>
        </w:rPr>
        <w:t> </w:t>
      </w:r>
      <w:r>
        <w:rPr>
          <w:rFonts w:ascii="Calibri" w:hAnsi="Calibri"/>
          <w:color w:val="231F20"/>
          <w:spacing w:val="-8"/>
          <w:w w:val="105"/>
          <w:sz w:val="14"/>
        </w:rPr>
        <w:t>Vll</w:t>
      </w:r>
      <w:r>
        <w:rPr>
          <w:rFonts w:ascii="Calibri" w:hAnsi="Calibri"/>
          <w:color w:val="231F20"/>
          <w:spacing w:val="-8"/>
          <w:w w:val="105"/>
          <w:sz w:val="17"/>
        </w:rPr>
        <w:t>”.</w:t>
      </w:r>
    </w:p>
    <w:p>
      <w:pPr>
        <w:spacing w:line="235" w:lineRule="auto" w:before="0"/>
        <w:ind w:left="103" w:right="114" w:firstLine="0"/>
        <w:jc w:val="both"/>
        <w:rPr>
          <w:rFonts w:ascii="Calibri" w:hAnsi="Calibri"/>
          <w:sz w:val="17"/>
        </w:rPr>
      </w:pPr>
      <w:r>
        <w:rPr>
          <w:rFonts w:ascii="Calibri" w:hAnsi="Calibri"/>
          <w:color w:val="231F20"/>
          <w:position w:val="6"/>
          <w:sz w:val="10"/>
        </w:rPr>
        <w:t>15</w:t>
      </w:r>
      <w:r>
        <w:rPr>
          <w:rFonts w:ascii="Calibri" w:hAnsi="Calibri"/>
          <w:color w:val="231F20"/>
          <w:spacing w:val="5"/>
          <w:position w:val="6"/>
          <w:sz w:val="10"/>
        </w:rPr>
        <w:t> </w:t>
      </w:r>
      <w:r>
        <w:rPr>
          <w:rFonts w:ascii="Calibri" w:hAnsi="Calibri"/>
          <w:color w:val="231F20"/>
          <w:sz w:val="17"/>
        </w:rPr>
        <w:t>United</w:t>
      </w:r>
      <w:r>
        <w:rPr>
          <w:rFonts w:ascii="Calibri" w:hAnsi="Calibri"/>
          <w:color w:val="231F20"/>
          <w:spacing w:val="-11"/>
          <w:sz w:val="17"/>
        </w:rPr>
        <w:t> </w:t>
      </w:r>
      <w:r>
        <w:rPr>
          <w:rFonts w:ascii="Calibri" w:hAnsi="Calibri"/>
          <w:color w:val="231F20"/>
          <w:sz w:val="17"/>
        </w:rPr>
        <w:t>States</w:t>
      </w:r>
      <w:r>
        <w:rPr>
          <w:rFonts w:ascii="Calibri" w:hAnsi="Calibri"/>
          <w:color w:val="231F20"/>
          <w:spacing w:val="-11"/>
          <w:sz w:val="17"/>
        </w:rPr>
        <w:t> </w:t>
      </w:r>
      <w:r>
        <w:rPr>
          <w:rFonts w:ascii="Calibri" w:hAnsi="Calibri"/>
          <w:color w:val="231F20"/>
          <w:sz w:val="17"/>
        </w:rPr>
        <w:t>Department</w:t>
      </w:r>
      <w:r>
        <w:rPr>
          <w:rFonts w:ascii="Calibri" w:hAnsi="Calibri"/>
          <w:color w:val="231F20"/>
          <w:spacing w:val="-11"/>
          <w:sz w:val="17"/>
        </w:rPr>
        <w:t> </w:t>
      </w:r>
      <w:r>
        <w:rPr>
          <w:rFonts w:ascii="Calibri" w:hAnsi="Calibri"/>
          <w:color w:val="231F20"/>
          <w:sz w:val="17"/>
        </w:rPr>
        <w:t>of</w:t>
      </w:r>
      <w:r>
        <w:rPr>
          <w:rFonts w:ascii="Calibri" w:hAnsi="Calibri"/>
          <w:color w:val="231F20"/>
          <w:spacing w:val="-11"/>
          <w:sz w:val="17"/>
        </w:rPr>
        <w:t> </w:t>
      </w:r>
      <w:r>
        <w:rPr>
          <w:rFonts w:ascii="Calibri" w:hAnsi="Calibri"/>
          <w:color w:val="231F20"/>
          <w:sz w:val="17"/>
        </w:rPr>
        <w:t>Defense,</w:t>
      </w:r>
      <w:r>
        <w:rPr>
          <w:rFonts w:ascii="Calibri" w:hAnsi="Calibri"/>
          <w:color w:val="231F20"/>
          <w:spacing w:val="-15"/>
          <w:sz w:val="17"/>
        </w:rPr>
        <w:t> </w:t>
      </w:r>
      <w:r>
        <w:rPr>
          <w:rFonts w:ascii="Calibri" w:hAnsi="Calibri"/>
          <w:color w:val="231F20"/>
          <w:sz w:val="17"/>
        </w:rPr>
        <w:t>T</w:t>
      </w:r>
      <w:r>
        <w:rPr>
          <w:rFonts w:ascii="Calibri" w:hAnsi="Calibri"/>
          <w:i/>
          <w:color w:val="231F20"/>
          <w:sz w:val="17"/>
        </w:rPr>
        <w:t>he</w:t>
      </w:r>
      <w:r>
        <w:rPr>
          <w:rFonts w:ascii="Calibri" w:hAnsi="Calibri"/>
          <w:i/>
          <w:color w:val="231F20"/>
          <w:spacing w:val="-12"/>
          <w:sz w:val="17"/>
        </w:rPr>
        <w:t> </w:t>
      </w:r>
      <w:r>
        <w:rPr>
          <w:rFonts w:ascii="Calibri" w:hAnsi="Calibri"/>
          <w:i/>
          <w:color w:val="231F20"/>
          <w:sz w:val="17"/>
        </w:rPr>
        <w:t>National</w:t>
      </w:r>
      <w:r>
        <w:rPr>
          <w:rFonts w:ascii="Calibri" w:hAnsi="Calibri"/>
          <w:i/>
          <w:color w:val="231F20"/>
          <w:spacing w:val="-12"/>
          <w:sz w:val="17"/>
        </w:rPr>
        <w:t> </w:t>
      </w:r>
      <w:r>
        <w:rPr>
          <w:rFonts w:ascii="Calibri" w:hAnsi="Calibri"/>
          <w:i/>
          <w:color w:val="231F20"/>
          <w:spacing w:val="-3"/>
          <w:sz w:val="17"/>
        </w:rPr>
        <w:t>defense</w:t>
      </w:r>
      <w:r>
        <w:rPr>
          <w:rFonts w:ascii="Calibri" w:hAnsi="Calibri"/>
          <w:i/>
          <w:color w:val="231F20"/>
          <w:spacing w:val="-12"/>
          <w:sz w:val="17"/>
        </w:rPr>
        <w:t> </w:t>
      </w:r>
      <w:r>
        <w:rPr>
          <w:rFonts w:ascii="Calibri" w:hAnsi="Calibri"/>
          <w:i/>
          <w:color w:val="231F20"/>
          <w:spacing w:val="-3"/>
          <w:sz w:val="17"/>
        </w:rPr>
        <w:t>strategy</w:t>
      </w:r>
      <w:r>
        <w:rPr>
          <w:rFonts w:ascii="Calibri" w:hAnsi="Calibri"/>
          <w:i/>
          <w:color w:val="231F20"/>
          <w:spacing w:val="-12"/>
          <w:sz w:val="17"/>
        </w:rPr>
        <w:t> </w:t>
      </w:r>
      <w:r>
        <w:rPr>
          <w:rFonts w:ascii="Calibri" w:hAnsi="Calibri"/>
          <w:i/>
          <w:color w:val="231F20"/>
          <w:sz w:val="17"/>
        </w:rPr>
        <w:t>of</w:t>
      </w:r>
      <w:r>
        <w:rPr>
          <w:rFonts w:ascii="Calibri" w:hAnsi="Calibri"/>
          <w:i/>
          <w:color w:val="231F20"/>
          <w:spacing w:val="-12"/>
          <w:sz w:val="17"/>
        </w:rPr>
        <w:t> </w:t>
      </w:r>
      <w:r>
        <w:rPr>
          <w:rFonts w:ascii="Calibri" w:hAnsi="Calibri"/>
          <w:i/>
          <w:color w:val="231F20"/>
          <w:sz w:val="17"/>
        </w:rPr>
        <w:t>the</w:t>
      </w:r>
      <w:r>
        <w:rPr>
          <w:rFonts w:ascii="Calibri" w:hAnsi="Calibri"/>
          <w:i/>
          <w:color w:val="231F20"/>
          <w:spacing w:val="-12"/>
          <w:sz w:val="17"/>
        </w:rPr>
        <w:t> </w:t>
      </w:r>
      <w:r>
        <w:rPr>
          <w:rFonts w:ascii="Calibri" w:hAnsi="Calibri"/>
          <w:i/>
          <w:color w:val="231F20"/>
          <w:sz w:val="17"/>
        </w:rPr>
        <w:t>United</w:t>
      </w:r>
      <w:r>
        <w:rPr>
          <w:rFonts w:ascii="Calibri" w:hAnsi="Calibri"/>
          <w:i/>
          <w:color w:val="231F20"/>
          <w:spacing w:val="-12"/>
          <w:sz w:val="17"/>
        </w:rPr>
        <w:t> </w:t>
      </w:r>
      <w:r>
        <w:rPr>
          <w:rFonts w:ascii="Calibri" w:hAnsi="Calibri"/>
          <w:i/>
          <w:color w:val="231F20"/>
          <w:spacing w:val="-3"/>
          <w:sz w:val="17"/>
        </w:rPr>
        <w:t>States</w:t>
      </w:r>
      <w:r>
        <w:rPr>
          <w:rFonts w:ascii="Calibri" w:hAnsi="Calibri"/>
          <w:i/>
          <w:color w:val="231F20"/>
          <w:spacing w:val="-12"/>
          <w:sz w:val="17"/>
        </w:rPr>
        <w:t> </w:t>
      </w:r>
      <w:r>
        <w:rPr>
          <w:rFonts w:ascii="Calibri" w:hAnsi="Calibri"/>
          <w:i/>
          <w:color w:val="231F20"/>
          <w:sz w:val="17"/>
        </w:rPr>
        <w:t>of</w:t>
      </w:r>
      <w:r>
        <w:rPr>
          <w:rFonts w:ascii="Calibri" w:hAnsi="Calibri"/>
          <w:i/>
          <w:color w:val="231F20"/>
          <w:spacing w:val="-12"/>
          <w:sz w:val="17"/>
        </w:rPr>
        <w:t> </w:t>
      </w:r>
      <w:r>
        <w:rPr>
          <w:rFonts w:ascii="Calibri" w:hAnsi="Calibri"/>
          <w:i/>
          <w:color w:val="231F20"/>
          <w:sz w:val="17"/>
        </w:rPr>
        <w:t>America</w:t>
      </w:r>
      <w:r>
        <w:rPr>
          <w:rFonts w:ascii="Calibri" w:hAnsi="Calibri"/>
          <w:color w:val="231F20"/>
          <w:sz w:val="17"/>
        </w:rPr>
        <w:t>, March 2005, citato in A. J. </w:t>
      </w:r>
      <w:r>
        <w:rPr>
          <w:rFonts w:ascii="Calibri" w:hAnsi="Calibri"/>
          <w:color w:val="231F20"/>
          <w:spacing w:val="-3"/>
          <w:sz w:val="17"/>
        </w:rPr>
        <w:t>Bellamy, </w:t>
      </w:r>
      <w:r>
        <w:rPr>
          <w:rFonts w:ascii="Calibri" w:hAnsi="Calibri"/>
          <w:i/>
          <w:color w:val="231F20"/>
          <w:sz w:val="17"/>
        </w:rPr>
        <w:t>Responsibility to </w:t>
      </w:r>
      <w:r>
        <w:rPr>
          <w:rFonts w:ascii="Calibri" w:hAnsi="Calibri"/>
          <w:i/>
          <w:color w:val="231F20"/>
          <w:spacing w:val="-3"/>
          <w:sz w:val="17"/>
        </w:rPr>
        <w:t>protect</w:t>
      </w:r>
      <w:r>
        <w:rPr>
          <w:rFonts w:ascii="Calibri" w:hAnsi="Calibri"/>
          <w:color w:val="231F20"/>
          <w:spacing w:val="-3"/>
          <w:sz w:val="17"/>
        </w:rPr>
        <w:t>, </w:t>
      </w:r>
      <w:r>
        <w:rPr>
          <w:rFonts w:ascii="Calibri" w:hAnsi="Calibri"/>
          <w:color w:val="231F20"/>
          <w:sz w:val="17"/>
        </w:rPr>
        <w:t>Cambridge, Polity Press, </w:t>
      </w:r>
      <w:r>
        <w:rPr>
          <w:rFonts w:ascii="Calibri" w:hAnsi="Calibri"/>
          <w:color w:val="231F20"/>
          <w:spacing w:val="-4"/>
          <w:sz w:val="17"/>
        </w:rPr>
        <w:t>2009, </w:t>
      </w:r>
      <w:r>
        <w:rPr>
          <w:rFonts w:ascii="Calibri" w:hAnsi="Calibri"/>
          <w:color w:val="231F20"/>
          <w:sz w:val="17"/>
        </w:rPr>
        <w:t>p. </w:t>
      </w:r>
      <w:r>
        <w:rPr>
          <w:rFonts w:ascii="Calibri" w:hAnsi="Calibri"/>
          <w:color w:val="231F20"/>
          <w:spacing w:val="-4"/>
          <w:sz w:val="17"/>
        </w:rPr>
        <w:t>24. </w:t>
      </w:r>
      <w:r>
        <w:rPr>
          <w:rFonts w:ascii="Calibri" w:hAnsi="Calibri"/>
          <w:color w:val="231F20"/>
          <w:sz w:val="17"/>
        </w:rPr>
        <w:t>Analoghe affermazioni compaiono nella celebre </w:t>
      </w:r>
      <w:r>
        <w:rPr>
          <w:rFonts w:ascii="Calibri" w:hAnsi="Calibri"/>
          <w:i/>
          <w:color w:val="231F20"/>
          <w:sz w:val="17"/>
        </w:rPr>
        <w:t>Doctrine of the </w:t>
      </w:r>
      <w:r>
        <w:rPr>
          <w:rFonts w:ascii="Calibri" w:hAnsi="Calibri"/>
          <w:i/>
          <w:color w:val="231F20"/>
          <w:spacing w:val="-3"/>
          <w:sz w:val="17"/>
        </w:rPr>
        <w:t>International </w:t>
      </w:r>
      <w:r>
        <w:rPr>
          <w:rFonts w:ascii="Calibri" w:hAnsi="Calibri"/>
          <w:i/>
          <w:color w:val="231F20"/>
          <w:spacing w:val="-2"/>
          <w:sz w:val="17"/>
        </w:rPr>
        <w:t>Community </w:t>
      </w:r>
      <w:r>
        <w:rPr>
          <w:rFonts w:ascii="Calibri" w:hAnsi="Calibri"/>
          <w:color w:val="231F20"/>
          <w:sz w:val="17"/>
        </w:rPr>
        <w:t>di </w:t>
      </w:r>
      <w:r>
        <w:rPr>
          <w:rFonts w:ascii="Calibri" w:hAnsi="Calibri"/>
          <w:color w:val="231F20"/>
          <w:spacing w:val="-5"/>
          <w:sz w:val="17"/>
        </w:rPr>
        <w:t>Tony </w:t>
      </w:r>
      <w:r>
        <w:rPr>
          <w:rFonts w:ascii="Calibri" w:hAnsi="Calibri"/>
          <w:color w:val="231F20"/>
          <w:spacing w:val="-4"/>
          <w:sz w:val="17"/>
        </w:rPr>
        <w:t>Blair, </w:t>
      </w:r>
      <w:r>
        <w:rPr>
          <w:rFonts w:ascii="Calibri" w:hAnsi="Calibri"/>
          <w:color w:val="231F20"/>
          <w:spacing w:val="-2"/>
          <w:sz w:val="17"/>
        </w:rPr>
        <w:t>formulata </w:t>
      </w:r>
      <w:r>
        <w:rPr>
          <w:rFonts w:ascii="Calibri" w:hAnsi="Calibri"/>
          <w:color w:val="231F20"/>
          <w:sz w:val="17"/>
        </w:rPr>
        <w:t>nella sua prima versione in un discorso </w:t>
      </w:r>
      <w:r>
        <w:rPr>
          <w:rFonts w:ascii="Calibri" w:hAnsi="Calibri"/>
          <w:color w:val="231F20"/>
          <w:spacing w:val="-3"/>
          <w:sz w:val="17"/>
        </w:rPr>
        <w:t>all’Economic </w:t>
      </w:r>
      <w:r>
        <w:rPr>
          <w:rFonts w:ascii="Calibri" w:hAnsi="Calibri"/>
          <w:color w:val="231F20"/>
          <w:sz w:val="17"/>
        </w:rPr>
        <w:t>Club di Chicago </w:t>
      </w:r>
      <w:r>
        <w:rPr>
          <w:rFonts w:ascii="Calibri" w:hAnsi="Calibri"/>
          <w:color w:val="231F20"/>
          <w:spacing w:val="-3"/>
          <w:sz w:val="17"/>
        </w:rPr>
        <w:t>nell’aprile </w:t>
      </w:r>
      <w:r>
        <w:rPr>
          <w:rFonts w:ascii="Calibri" w:hAnsi="Calibri"/>
          <w:color w:val="231F20"/>
          <w:spacing w:val="-2"/>
          <w:sz w:val="17"/>
        </w:rPr>
        <w:t>del </w:t>
      </w:r>
      <w:r>
        <w:rPr>
          <w:rFonts w:ascii="Calibri" w:hAnsi="Calibri"/>
          <w:color w:val="231F20"/>
          <w:sz w:val="17"/>
        </w:rPr>
        <w:t>1999:</w:t>
      </w:r>
      <w:r>
        <w:rPr>
          <w:rFonts w:ascii="Calibri" w:hAnsi="Calibri"/>
          <w:color w:val="231F20"/>
          <w:spacing w:val="-5"/>
          <w:sz w:val="17"/>
        </w:rPr>
        <w:t> </w:t>
      </w:r>
      <w:r>
        <w:rPr>
          <w:rFonts w:ascii="Calibri" w:hAnsi="Calibri"/>
          <w:color w:val="231F20"/>
          <w:sz w:val="17"/>
        </w:rPr>
        <w:t>“The</w:t>
      </w:r>
      <w:r>
        <w:rPr>
          <w:rFonts w:ascii="Calibri" w:hAnsi="Calibri"/>
          <w:color w:val="231F20"/>
          <w:spacing w:val="-5"/>
          <w:sz w:val="17"/>
        </w:rPr>
        <w:t> </w:t>
      </w:r>
      <w:r>
        <w:rPr>
          <w:rFonts w:ascii="Calibri" w:hAnsi="Calibri"/>
          <w:color w:val="231F20"/>
          <w:sz w:val="17"/>
        </w:rPr>
        <w:t>most</w:t>
      </w:r>
      <w:r>
        <w:rPr>
          <w:rFonts w:ascii="Calibri" w:hAnsi="Calibri"/>
          <w:color w:val="231F20"/>
          <w:spacing w:val="-5"/>
          <w:sz w:val="17"/>
        </w:rPr>
        <w:t> </w:t>
      </w:r>
      <w:r>
        <w:rPr>
          <w:rFonts w:ascii="Calibri" w:hAnsi="Calibri"/>
          <w:color w:val="231F20"/>
          <w:sz w:val="17"/>
        </w:rPr>
        <w:t>pressing</w:t>
      </w:r>
      <w:r>
        <w:rPr>
          <w:rFonts w:ascii="Calibri" w:hAnsi="Calibri"/>
          <w:color w:val="231F20"/>
          <w:spacing w:val="-5"/>
          <w:sz w:val="17"/>
        </w:rPr>
        <w:t> </w:t>
      </w:r>
      <w:r>
        <w:rPr>
          <w:rFonts w:ascii="Calibri" w:hAnsi="Calibri"/>
          <w:color w:val="231F20"/>
          <w:spacing w:val="-3"/>
          <w:sz w:val="17"/>
        </w:rPr>
        <w:t>foreign</w:t>
      </w:r>
      <w:r>
        <w:rPr>
          <w:rFonts w:ascii="Calibri" w:hAnsi="Calibri"/>
          <w:color w:val="231F20"/>
          <w:spacing w:val="-5"/>
          <w:sz w:val="17"/>
        </w:rPr>
        <w:t> </w:t>
      </w:r>
      <w:r>
        <w:rPr>
          <w:rFonts w:ascii="Calibri" w:hAnsi="Calibri"/>
          <w:color w:val="231F20"/>
          <w:sz w:val="17"/>
        </w:rPr>
        <w:t>policy</w:t>
      </w:r>
      <w:r>
        <w:rPr>
          <w:rFonts w:ascii="Calibri" w:hAnsi="Calibri"/>
          <w:color w:val="231F20"/>
          <w:spacing w:val="-5"/>
          <w:sz w:val="17"/>
        </w:rPr>
        <w:t> </w:t>
      </w:r>
      <w:r>
        <w:rPr>
          <w:rFonts w:ascii="Calibri" w:hAnsi="Calibri"/>
          <w:color w:val="231F20"/>
          <w:sz w:val="17"/>
        </w:rPr>
        <w:t>problem</w:t>
      </w:r>
      <w:r>
        <w:rPr>
          <w:rFonts w:ascii="Calibri" w:hAnsi="Calibri"/>
          <w:color w:val="231F20"/>
          <w:spacing w:val="-6"/>
          <w:sz w:val="17"/>
        </w:rPr>
        <w:t> </w:t>
      </w:r>
      <w:r>
        <w:rPr>
          <w:rFonts w:ascii="Calibri" w:hAnsi="Calibri"/>
          <w:color w:val="231F20"/>
          <w:sz w:val="17"/>
        </w:rPr>
        <w:t>we</w:t>
      </w:r>
      <w:r>
        <w:rPr>
          <w:rFonts w:ascii="Calibri" w:hAnsi="Calibri"/>
          <w:color w:val="231F20"/>
          <w:spacing w:val="-5"/>
          <w:sz w:val="17"/>
        </w:rPr>
        <w:t> </w:t>
      </w:r>
      <w:r>
        <w:rPr>
          <w:rFonts w:ascii="Calibri" w:hAnsi="Calibri"/>
          <w:color w:val="231F20"/>
          <w:spacing w:val="-3"/>
          <w:sz w:val="17"/>
        </w:rPr>
        <w:t>face</w:t>
      </w:r>
      <w:r>
        <w:rPr>
          <w:rFonts w:ascii="Calibri" w:hAnsi="Calibri"/>
          <w:color w:val="231F20"/>
          <w:spacing w:val="-5"/>
          <w:sz w:val="17"/>
        </w:rPr>
        <w:t> </w:t>
      </w:r>
      <w:r>
        <w:rPr>
          <w:rFonts w:ascii="Calibri" w:hAnsi="Calibri"/>
          <w:color w:val="231F20"/>
          <w:sz w:val="17"/>
        </w:rPr>
        <w:t>is</w:t>
      </w:r>
      <w:r>
        <w:rPr>
          <w:rFonts w:ascii="Calibri" w:hAnsi="Calibri"/>
          <w:color w:val="231F20"/>
          <w:spacing w:val="-5"/>
          <w:sz w:val="17"/>
        </w:rPr>
        <w:t> </w:t>
      </w:r>
      <w:r>
        <w:rPr>
          <w:rFonts w:ascii="Calibri" w:hAnsi="Calibri"/>
          <w:color w:val="231F20"/>
          <w:sz w:val="17"/>
        </w:rPr>
        <w:t>to</w:t>
      </w:r>
      <w:r>
        <w:rPr>
          <w:rFonts w:ascii="Calibri" w:hAnsi="Calibri"/>
          <w:color w:val="231F20"/>
          <w:spacing w:val="-5"/>
          <w:sz w:val="17"/>
        </w:rPr>
        <w:t> </w:t>
      </w:r>
      <w:r>
        <w:rPr>
          <w:rFonts w:ascii="Calibri" w:hAnsi="Calibri"/>
          <w:color w:val="231F20"/>
          <w:sz w:val="17"/>
        </w:rPr>
        <w:t>identify</w:t>
      </w:r>
      <w:r>
        <w:rPr>
          <w:rFonts w:ascii="Calibri" w:hAnsi="Calibri"/>
          <w:color w:val="231F20"/>
          <w:spacing w:val="-5"/>
          <w:sz w:val="17"/>
        </w:rPr>
        <w:t> </w:t>
      </w:r>
      <w:r>
        <w:rPr>
          <w:rFonts w:ascii="Calibri" w:hAnsi="Calibri"/>
          <w:color w:val="231F20"/>
          <w:sz w:val="17"/>
        </w:rPr>
        <w:t>the</w:t>
      </w:r>
      <w:r>
        <w:rPr>
          <w:rFonts w:ascii="Calibri" w:hAnsi="Calibri"/>
          <w:color w:val="231F20"/>
          <w:spacing w:val="-5"/>
          <w:sz w:val="17"/>
        </w:rPr>
        <w:t> </w:t>
      </w:r>
      <w:r>
        <w:rPr>
          <w:rFonts w:ascii="Calibri" w:hAnsi="Calibri"/>
          <w:color w:val="231F20"/>
          <w:sz w:val="17"/>
        </w:rPr>
        <w:t>circumstances</w:t>
      </w:r>
      <w:r>
        <w:rPr>
          <w:rFonts w:ascii="Calibri" w:hAnsi="Calibri"/>
          <w:color w:val="231F20"/>
          <w:spacing w:val="-5"/>
          <w:sz w:val="17"/>
        </w:rPr>
        <w:t> </w:t>
      </w:r>
      <w:r>
        <w:rPr>
          <w:rFonts w:ascii="Calibri" w:hAnsi="Calibri"/>
          <w:color w:val="231F20"/>
          <w:sz w:val="17"/>
        </w:rPr>
        <w:t>in</w:t>
      </w:r>
      <w:r>
        <w:rPr>
          <w:rFonts w:ascii="Calibri" w:hAnsi="Calibri"/>
          <w:color w:val="231F20"/>
          <w:spacing w:val="-6"/>
          <w:sz w:val="17"/>
        </w:rPr>
        <w:t> </w:t>
      </w:r>
      <w:r>
        <w:rPr>
          <w:rFonts w:ascii="Calibri" w:hAnsi="Calibri"/>
          <w:color w:val="231F20"/>
          <w:sz w:val="17"/>
        </w:rPr>
        <w:t>which</w:t>
      </w:r>
      <w:r>
        <w:rPr>
          <w:rFonts w:ascii="Calibri" w:hAnsi="Calibri"/>
          <w:color w:val="231F20"/>
          <w:spacing w:val="-6"/>
          <w:sz w:val="17"/>
        </w:rPr>
        <w:t> </w:t>
      </w:r>
      <w:r>
        <w:rPr>
          <w:rFonts w:ascii="Calibri" w:hAnsi="Calibri"/>
          <w:color w:val="231F20"/>
          <w:sz w:val="17"/>
        </w:rPr>
        <w:t>we should get actively involved in other </w:t>
      </w:r>
      <w:r>
        <w:rPr>
          <w:rFonts w:ascii="Calibri" w:hAnsi="Calibri"/>
          <w:color w:val="231F20"/>
          <w:spacing w:val="-3"/>
          <w:sz w:val="17"/>
        </w:rPr>
        <w:t>people’s </w:t>
      </w:r>
      <w:r>
        <w:rPr>
          <w:rFonts w:ascii="Calibri" w:hAnsi="Calibri"/>
          <w:color w:val="231F20"/>
          <w:sz w:val="17"/>
        </w:rPr>
        <w:t>conflicts. </w:t>
      </w:r>
      <w:r>
        <w:rPr>
          <w:rFonts w:ascii="Calibri" w:hAnsi="Calibri"/>
          <w:color w:val="231F20"/>
          <w:spacing w:val="-3"/>
          <w:sz w:val="17"/>
        </w:rPr>
        <w:t>Non–interference </w:t>
      </w:r>
      <w:r>
        <w:rPr>
          <w:rFonts w:ascii="Calibri" w:hAnsi="Calibri"/>
          <w:color w:val="231F20"/>
          <w:sz w:val="17"/>
        </w:rPr>
        <w:t>has long been </w:t>
      </w:r>
      <w:r>
        <w:rPr>
          <w:rFonts w:ascii="Calibri" w:hAnsi="Calibri"/>
          <w:color w:val="231F20"/>
          <w:spacing w:val="-3"/>
          <w:sz w:val="17"/>
        </w:rPr>
        <w:t>considered </w:t>
      </w:r>
      <w:r>
        <w:rPr>
          <w:rFonts w:ascii="Calibri" w:hAnsi="Calibri"/>
          <w:color w:val="231F20"/>
          <w:sz w:val="17"/>
        </w:rPr>
        <w:t>an important principle of international </w:t>
      </w:r>
      <w:r>
        <w:rPr>
          <w:rFonts w:ascii="Calibri" w:hAnsi="Calibri"/>
          <w:color w:val="231F20"/>
          <w:spacing w:val="-4"/>
          <w:sz w:val="17"/>
        </w:rPr>
        <w:t>order. </w:t>
      </w:r>
      <w:r>
        <w:rPr>
          <w:rFonts w:ascii="Calibri" w:hAnsi="Calibri"/>
          <w:color w:val="231F20"/>
          <w:sz w:val="17"/>
        </w:rPr>
        <w:t>And it is not one we would want to jettison too </w:t>
      </w:r>
      <w:r>
        <w:rPr>
          <w:rFonts w:ascii="Calibri" w:hAnsi="Calibri"/>
          <w:color w:val="231F20"/>
          <w:spacing w:val="-3"/>
          <w:sz w:val="17"/>
        </w:rPr>
        <w:t>readily. </w:t>
      </w:r>
      <w:r>
        <w:rPr>
          <w:rFonts w:ascii="Calibri" w:hAnsi="Calibri"/>
          <w:color w:val="231F20"/>
          <w:sz w:val="17"/>
        </w:rPr>
        <w:t>One state should not feel it has the right to change the political system of another or </w:t>
      </w:r>
      <w:r>
        <w:rPr>
          <w:rFonts w:ascii="Calibri" w:hAnsi="Calibri"/>
          <w:color w:val="231F20"/>
          <w:spacing w:val="-3"/>
          <w:sz w:val="17"/>
        </w:rPr>
        <w:t>forment </w:t>
      </w:r>
      <w:r>
        <w:rPr>
          <w:rFonts w:ascii="Calibri" w:hAnsi="Calibri"/>
          <w:color w:val="231F20"/>
          <w:sz w:val="17"/>
        </w:rPr>
        <w:t>subversion or seize pieces of territory to which it feels it should have some claim. But the principle of </w:t>
      </w:r>
      <w:r>
        <w:rPr>
          <w:rFonts w:ascii="Calibri" w:hAnsi="Calibri"/>
          <w:color w:val="231F20"/>
          <w:spacing w:val="-3"/>
          <w:sz w:val="17"/>
        </w:rPr>
        <w:t>non–interference </w:t>
      </w:r>
      <w:r>
        <w:rPr>
          <w:rFonts w:ascii="Calibri" w:hAnsi="Calibri"/>
          <w:color w:val="231F20"/>
          <w:sz w:val="17"/>
        </w:rPr>
        <w:t>must be qualified in important respects. Acts of genocide can never be a purely internal </w:t>
      </w:r>
      <w:r>
        <w:rPr>
          <w:rFonts w:ascii="Calibri" w:hAnsi="Calibri"/>
          <w:color w:val="231F20"/>
          <w:spacing w:val="-4"/>
          <w:sz w:val="17"/>
        </w:rPr>
        <w:t>matter. </w:t>
      </w:r>
      <w:r>
        <w:rPr>
          <w:rFonts w:ascii="Calibri" w:hAnsi="Calibri"/>
          <w:color w:val="231F20"/>
          <w:sz w:val="17"/>
        </w:rPr>
        <w:t>When oppression produces massive flows of refugees which unsettle </w:t>
      </w:r>
      <w:r>
        <w:rPr>
          <w:rFonts w:ascii="Calibri" w:hAnsi="Calibri"/>
          <w:color w:val="231F20"/>
          <w:spacing w:val="-2"/>
          <w:sz w:val="17"/>
        </w:rPr>
        <w:t>neighbouring</w:t>
      </w:r>
      <w:r>
        <w:rPr>
          <w:rFonts w:ascii="Calibri" w:hAnsi="Calibri"/>
          <w:color w:val="231F20"/>
          <w:spacing w:val="34"/>
          <w:sz w:val="17"/>
        </w:rPr>
        <w:t> </w:t>
      </w:r>
      <w:r>
        <w:rPr>
          <w:rFonts w:ascii="Calibri" w:hAnsi="Calibri"/>
          <w:color w:val="231F20"/>
          <w:sz w:val="17"/>
        </w:rPr>
        <w:t>countries</w:t>
      </w:r>
      <w:r>
        <w:rPr>
          <w:rFonts w:ascii="Calibri" w:hAnsi="Calibri"/>
          <w:color w:val="231F20"/>
          <w:spacing w:val="-4"/>
          <w:sz w:val="17"/>
        </w:rPr>
        <w:t> </w:t>
      </w:r>
      <w:r>
        <w:rPr>
          <w:rFonts w:ascii="Calibri" w:hAnsi="Calibri"/>
          <w:color w:val="231F20"/>
          <w:sz w:val="17"/>
        </w:rPr>
        <w:t>then</w:t>
      </w:r>
      <w:r>
        <w:rPr>
          <w:rFonts w:ascii="Calibri" w:hAnsi="Calibri"/>
          <w:color w:val="231F20"/>
          <w:spacing w:val="-4"/>
          <w:sz w:val="17"/>
        </w:rPr>
        <w:t> </w:t>
      </w:r>
      <w:r>
        <w:rPr>
          <w:rFonts w:ascii="Calibri" w:hAnsi="Calibri"/>
          <w:color w:val="231F20"/>
          <w:sz w:val="17"/>
        </w:rPr>
        <w:t>they</w:t>
      </w:r>
      <w:r>
        <w:rPr>
          <w:rFonts w:ascii="Calibri" w:hAnsi="Calibri"/>
          <w:color w:val="231F20"/>
          <w:spacing w:val="-4"/>
          <w:sz w:val="17"/>
        </w:rPr>
        <w:t> </w:t>
      </w:r>
      <w:r>
        <w:rPr>
          <w:rFonts w:ascii="Calibri" w:hAnsi="Calibri"/>
          <w:color w:val="231F20"/>
          <w:sz w:val="17"/>
        </w:rPr>
        <w:t>can</w:t>
      </w:r>
      <w:r>
        <w:rPr>
          <w:rFonts w:ascii="Calibri" w:hAnsi="Calibri"/>
          <w:color w:val="231F20"/>
          <w:spacing w:val="-4"/>
          <w:sz w:val="17"/>
        </w:rPr>
        <w:t> </w:t>
      </w:r>
      <w:r>
        <w:rPr>
          <w:rFonts w:ascii="Calibri" w:hAnsi="Calibri"/>
          <w:color w:val="231F20"/>
          <w:sz w:val="17"/>
        </w:rPr>
        <w:t>properly</w:t>
      </w:r>
      <w:r>
        <w:rPr>
          <w:rFonts w:ascii="Calibri" w:hAnsi="Calibri"/>
          <w:color w:val="231F20"/>
          <w:spacing w:val="-4"/>
          <w:sz w:val="17"/>
        </w:rPr>
        <w:t> </w:t>
      </w:r>
      <w:r>
        <w:rPr>
          <w:rFonts w:ascii="Calibri" w:hAnsi="Calibri"/>
          <w:color w:val="231F20"/>
          <w:sz w:val="17"/>
        </w:rPr>
        <w:t>be</w:t>
      </w:r>
      <w:r>
        <w:rPr>
          <w:rFonts w:ascii="Calibri" w:hAnsi="Calibri"/>
          <w:color w:val="231F20"/>
          <w:spacing w:val="-4"/>
          <w:sz w:val="17"/>
        </w:rPr>
        <w:t> </w:t>
      </w:r>
      <w:r>
        <w:rPr>
          <w:rFonts w:ascii="Calibri" w:hAnsi="Calibri"/>
          <w:color w:val="231F20"/>
          <w:sz w:val="17"/>
        </w:rPr>
        <w:t>described</w:t>
      </w:r>
      <w:r>
        <w:rPr>
          <w:rFonts w:ascii="Calibri" w:hAnsi="Calibri"/>
          <w:color w:val="231F20"/>
          <w:spacing w:val="-4"/>
          <w:sz w:val="17"/>
        </w:rPr>
        <w:t> </w:t>
      </w:r>
      <w:r>
        <w:rPr>
          <w:rFonts w:ascii="Calibri" w:hAnsi="Calibri"/>
          <w:color w:val="231F20"/>
          <w:sz w:val="17"/>
        </w:rPr>
        <w:t>as</w:t>
      </w:r>
      <w:r>
        <w:rPr>
          <w:rFonts w:ascii="Calibri" w:hAnsi="Calibri"/>
          <w:color w:val="231F20"/>
          <w:spacing w:val="-4"/>
          <w:sz w:val="17"/>
        </w:rPr>
        <w:t> </w:t>
      </w:r>
      <w:r>
        <w:rPr>
          <w:rFonts w:ascii="Calibri" w:hAnsi="Calibri"/>
          <w:color w:val="231F20"/>
          <w:sz w:val="17"/>
        </w:rPr>
        <w:t>“threats</w:t>
      </w:r>
      <w:r>
        <w:rPr>
          <w:rFonts w:ascii="Calibri" w:hAnsi="Calibri"/>
          <w:color w:val="231F20"/>
          <w:spacing w:val="-4"/>
          <w:sz w:val="17"/>
        </w:rPr>
        <w:t> </w:t>
      </w:r>
      <w:r>
        <w:rPr>
          <w:rFonts w:ascii="Calibri" w:hAnsi="Calibri"/>
          <w:color w:val="231F20"/>
          <w:sz w:val="17"/>
        </w:rPr>
        <w:t>to</w:t>
      </w:r>
      <w:r>
        <w:rPr>
          <w:rFonts w:ascii="Calibri" w:hAnsi="Calibri"/>
          <w:color w:val="231F20"/>
          <w:spacing w:val="-4"/>
          <w:sz w:val="17"/>
        </w:rPr>
        <w:t> </w:t>
      </w:r>
      <w:r>
        <w:rPr>
          <w:rFonts w:ascii="Calibri" w:hAnsi="Calibri"/>
          <w:color w:val="231F20"/>
          <w:sz w:val="17"/>
        </w:rPr>
        <w:t>international</w:t>
      </w:r>
      <w:r>
        <w:rPr>
          <w:rFonts w:ascii="Calibri" w:hAnsi="Calibri"/>
          <w:color w:val="231F20"/>
          <w:spacing w:val="-4"/>
          <w:sz w:val="17"/>
        </w:rPr>
        <w:t> </w:t>
      </w:r>
      <w:r>
        <w:rPr>
          <w:rFonts w:ascii="Calibri" w:hAnsi="Calibri"/>
          <w:color w:val="231F20"/>
          <w:sz w:val="17"/>
        </w:rPr>
        <w:t>peace</w:t>
      </w:r>
      <w:r>
        <w:rPr>
          <w:rFonts w:ascii="Calibri" w:hAnsi="Calibri"/>
          <w:color w:val="231F20"/>
          <w:spacing w:val="-4"/>
          <w:sz w:val="17"/>
        </w:rPr>
        <w:t> </w:t>
      </w:r>
      <w:r>
        <w:rPr>
          <w:rFonts w:ascii="Calibri" w:hAnsi="Calibri"/>
          <w:color w:val="231F20"/>
          <w:sz w:val="17"/>
        </w:rPr>
        <w:t>and</w:t>
      </w:r>
      <w:r>
        <w:rPr>
          <w:rFonts w:ascii="Calibri" w:hAnsi="Calibri"/>
          <w:color w:val="231F20"/>
          <w:spacing w:val="-4"/>
          <w:sz w:val="17"/>
        </w:rPr>
        <w:t> security”.</w:t>
      </w:r>
    </w:p>
    <w:p>
      <w:pPr>
        <w:pStyle w:val="BodyText"/>
        <w:rPr>
          <w:rFonts w:ascii="Calibri"/>
          <w:sz w:val="20"/>
        </w:rPr>
      </w:pPr>
    </w:p>
    <w:p>
      <w:pPr>
        <w:pStyle w:val="BodyText"/>
        <w:spacing w:before="10"/>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1080"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134</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98" w:lineRule="exact" w:before="52"/>
        <w:ind w:left="796"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1436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QUESTIONI</w:t>
      </w:r>
      <w:r>
        <w:rPr>
          <w:rFonts w:ascii="Lucida Sans Unicode" w:hAnsi="Lucida Sans Unicode"/>
          <w:color w:val="6D6E71"/>
          <w:spacing w:val="-11"/>
          <w:w w:val="90"/>
          <w:sz w:val="14"/>
        </w:rPr>
        <w:t> </w:t>
      </w:r>
      <w:r>
        <w:rPr>
          <w:rFonts w:ascii="Lucida Sans Unicode" w:hAnsi="Lucida Sans Unicode"/>
          <w:color w:val="6D6E71"/>
          <w:w w:val="90"/>
          <w:sz w:val="14"/>
        </w:rPr>
        <w:t>DI</w:t>
      </w:r>
      <w:r>
        <w:rPr>
          <w:rFonts w:ascii="Lucida Sans Unicode" w:hAnsi="Lucida Sans Unicode"/>
          <w:color w:val="6D6E71"/>
          <w:spacing w:val="-11"/>
          <w:w w:val="90"/>
          <w:sz w:val="14"/>
        </w:rPr>
        <w:t> </w:t>
      </w:r>
      <w:r>
        <w:rPr>
          <w:rFonts w:ascii="Lucida Sans Unicode" w:hAnsi="Lucida Sans Unicode"/>
          <w:color w:val="6D6E71"/>
          <w:w w:val="90"/>
          <w:sz w:val="14"/>
        </w:rPr>
        <w:t>CONFINE.</w:t>
      </w:r>
      <w:r>
        <w:rPr>
          <w:rFonts w:ascii="Lucida Sans Unicode" w:hAnsi="Lucida Sans Unicode"/>
          <w:color w:val="6D6E71"/>
          <w:spacing w:val="-11"/>
          <w:w w:val="90"/>
          <w:sz w:val="14"/>
        </w:rPr>
        <w:t> </w:t>
      </w:r>
      <w:r>
        <w:rPr>
          <w:rFonts w:ascii="Lucida Sans Unicode" w:hAnsi="Lucida Sans Unicode"/>
          <w:color w:val="6D6E71"/>
          <w:w w:val="90"/>
          <w:sz w:val="14"/>
        </w:rPr>
        <w:t>SOVRANITÀ</w:t>
      </w:r>
      <w:r>
        <w:rPr>
          <w:rFonts w:ascii="Lucida Sans Unicode" w:hAnsi="Lucida Sans Unicode"/>
          <w:color w:val="6D6E71"/>
          <w:spacing w:val="-11"/>
          <w:w w:val="90"/>
          <w:sz w:val="14"/>
        </w:rPr>
        <w:t> </w:t>
      </w:r>
      <w:r>
        <w:rPr>
          <w:rFonts w:ascii="Lucida Sans Unicode" w:hAnsi="Lucida Sans Unicode"/>
          <w:color w:val="6D6E71"/>
          <w:w w:val="90"/>
          <w:sz w:val="14"/>
        </w:rPr>
        <w:t>TERRITORIALE</w:t>
      </w:r>
      <w:r>
        <w:rPr>
          <w:rFonts w:ascii="Lucida Sans Unicode" w:hAnsi="Lucida Sans Unicode"/>
          <w:color w:val="6D6E71"/>
          <w:spacing w:val="-11"/>
          <w:w w:val="90"/>
          <w:sz w:val="14"/>
        </w:rPr>
        <w:t> </w:t>
      </w:r>
      <w:r>
        <w:rPr>
          <w:rFonts w:ascii="Lucida Sans Unicode" w:hAnsi="Lucida Sans Unicode"/>
          <w:color w:val="6D6E71"/>
          <w:w w:val="90"/>
          <w:sz w:val="14"/>
        </w:rPr>
        <w:t>E</w:t>
      </w:r>
      <w:r>
        <w:rPr>
          <w:rFonts w:ascii="Lucida Sans Unicode" w:hAnsi="Lucida Sans Unicode"/>
          <w:color w:val="6D6E71"/>
          <w:spacing w:val="-11"/>
          <w:w w:val="90"/>
          <w:sz w:val="14"/>
        </w:rPr>
        <w:t> </w:t>
      </w:r>
      <w:r>
        <w:rPr>
          <w:rFonts w:ascii="Lucida Sans Unicode" w:hAnsi="Lucida Sans Unicode"/>
          <w:color w:val="6D6E71"/>
          <w:w w:val="90"/>
          <w:sz w:val="14"/>
        </w:rPr>
        <w:t>ORDINE</w:t>
      </w:r>
      <w:r>
        <w:rPr>
          <w:rFonts w:ascii="Lucida Sans Unicode" w:hAnsi="Lucida Sans Unicode"/>
          <w:color w:val="6D6E71"/>
          <w:spacing w:val="-11"/>
          <w:w w:val="90"/>
          <w:sz w:val="14"/>
        </w:rPr>
        <w:t> </w:t>
      </w:r>
      <w:r>
        <w:rPr>
          <w:rFonts w:ascii="Lucida Sans Unicode" w:hAnsi="Lucida Sans Unicode"/>
          <w:color w:val="6D6E71"/>
          <w:w w:val="90"/>
          <w:sz w:val="14"/>
        </w:rPr>
        <w:t>GLOBALE</w:t>
      </w:r>
      <w:r>
        <w:rPr>
          <w:rFonts w:ascii="Lucida Sans Unicode" w:hAnsi="Lucida Sans Unicode"/>
          <w:color w:val="6D6E71"/>
          <w:spacing w:val="-11"/>
          <w:w w:val="90"/>
          <w:sz w:val="14"/>
        </w:rPr>
        <w:t> </w:t>
      </w:r>
      <w:r>
        <w:rPr>
          <w:rFonts w:ascii="Lucida Sans Unicode" w:hAnsi="Lucida Sans Unicode"/>
          <w:color w:val="6D6E71"/>
          <w:w w:val="90"/>
          <w:sz w:val="14"/>
        </w:rPr>
        <w:t>NEL</w:t>
      </w:r>
      <w:r>
        <w:rPr>
          <w:rFonts w:ascii="Lucida Sans Unicode" w:hAnsi="Lucida Sans Unicode"/>
          <w:color w:val="6D6E71"/>
          <w:spacing w:val="-11"/>
          <w:w w:val="90"/>
          <w:sz w:val="14"/>
        </w:rPr>
        <w:t> </w:t>
      </w:r>
      <w:r>
        <w:rPr>
          <w:rFonts w:ascii="Lucida Sans Unicode" w:hAnsi="Lucida Sans Unicode"/>
          <w:color w:val="6D6E71"/>
          <w:w w:val="90"/>
          <w:sz w:val="14"/>
        </w:rPr>
        <w:t>DIBATTITO</w:t>
      </w:r>
      <w:r>
        <w:rPr>
          <w:rFonts w:ascii="Lucida Sans Unicode" w:hAnsi="Lucida Sans Unicode"/>
          <w:color w:val="6D6E71"/>
          <w:spacing w:val="-11"/>
          <w:w w:val="90"/>
          <w:sz w:val="14"/>
        </w:rPr>
        <w:t> </w:t>
      </w:r>
      <w:r>
        <w:rPr>
          <w:rFonts w:ascii="Lucida Sans Unicode" w:hAnsi="Lucida Sans Unicode"/>
          <w:color w:val="6D6E71"/>
          <w:w w:val="90"/>
          <w:sz w:val="14"/>
        </w:rPr>
        <w:t>SUL</w:t>
      </w:r>
    </w:p>
    <w:p>
      <w:pPr>
        <w:spacing w:line="198" w:lineRule="exact" w:before="0"/>
        <w:ind w:left="3896" w:right="-13" w:firstLine="0"/>
        <w:jc w:val="left"/>
        <w:rPr>
          <w:rFonts w:ascii="Lucida Sans Unicode" w:hAnsi="Lucida Sans Unicode"/>
          <w:sz w:val="14"/>
        </w:rPr>
      </w:pPr>
      <w:r>
        <w:rPr>
          <w:rFonts w:ascii="Lucida Sans Unicode" w:hAnsi="Lucida Sans Unicode"/>
          <w:color w:val="6D6E71"/>
          <w:w w:val="85"/>
          <w:sz w:val="14"/>
        </w:rPr>
        <w:t>“NUOVO  INTERVENTISMO  UMANITARIO”</w:t>
      </w:r>
    </w:p>
    <w:p>
      <w:pPr>
        <w:spacing w:before="59"/>
        <w:ind w:left="338" w:right="0" w:firstLine="0"/>
        <w:jc w:val="left"/>
        <w:rPr>
          <w:rFonts w:ascii="Trebuchet MS"/>
          <w:sz w:val="20"/>
        </w:rPr>
      </w:pPr>
      <w:r>
        <w:rPr/>
        <w:br w:type="column"/>
      </w:r>
      <w:r>
        <w:rPr>
          <w:rFonts w:ascii="Trebuchet MS"/>
          <w:color w:val="414042"/>
          <w:w w:val="105"/>
          <w:sz w:val="20"/>
        </w:rPr>
        <w:t>135</w:t>
      </w:r>
    </w:p>
    <w:p>
      <w:pPr>
        <w:spacing w:after="0"/>
        <w:jc w:val="left"/>
        <w:rPr>
          <w:rFonts w:ascii="Trebuchet MS"/>
          <w:sz w:val="20"/>
        </w:rPr>
        <w:sectPr>
          <w:type w:val="continuous"/>
          <w:pgSz w:w="9640" w:h="13890"/>
          <w:pgMar w:top="0" w:bottom="0" w:left="1300" w:right="1180"/>
          <w:cols w:num="2" w:equalWidth="0">
            <w:col w:w="6261" w:space="40"/>
            <w:col w:w="859"/>
          </w:cols>
        </w:sectPr>
      </w:pPr>
    </w:p>
    <w:p>
      <w:pPr>
        <w:pStyle w:val="BodyText"/>
        <w:rPr>
          <w:rFonts w:ascii="Trebuchet MS"/>
          <w:sz w:val="20"/>
        </w:rPr>
      </w:pPr>
    </w:p>
    <w:p>
      <w:pPr>
        <w:pStyle w:val="BodyText"/>
        <w:spacing w:before="2"/>
        <w:rPr>
          <w:rFonts w:ascii="Trebuchet MS"/>
          <w:sz w:val="16"/>
        </w:rPr>
      </w:pPr>
    </w:p>
    <w:p>
      <w:pPr>
        <w:pStyle w:val="BodyText"/>
        <w:spacing w:line="247" w:lineRule="auto" w:before="44"/>
        <w:ind w:left="117" w:right="120"/>
        <w:jc w:val="both"/>
      </w:pPr>
      <w:r>
        <w:rPr>
          <w:color w:val="231F20"/>
          <w:spacing w:val="-3"/>
          <w:w w:val="105"/>
        </w:rPr>
        <w:t>peraltro</w:t>
      </w:r>
      <w:r>
        <w:rPr>
          <w:color w:val="231F20"/>
          <w:spacing w:val="-50"/>
          <w:w w:val="105"/>
        </w:rPr>
        <w:t> </w:t>
      </w:r>
      <w:r>
        <w:rPr>
          <w:color w:val="231F20"/>
          <w:w w:val="105"/>
        </w:rPr>
        <w:t>qui</w:t>
      </w:r>
      <w:r>
        <w:rPr>
          <w:color w:val="231F20"/>
          <w:spacing w:val="-50"/>
          <w:w w:val="105"/>
        </w:rPr>
        <w:t> </w:t>
      </w:r>
      <w:r>
        <w:rPr>
          <w:color w:val="231F20"/>
          <w:w w:val="105"/>
        </w:rPr>
        <w:t>concepito,</w:t>
      </w:r>
      <w:r>
        <w:rPr>
          <w:color w:val="231F20"/>
          <w:spacing w:val="-50"/>
          <w:w w:val="105"/>
        </w:rPr>
        <w:t> </w:t>
      </w:r>
      <w:r>
        <w:rPr>
          <w:color w:val="231F20"/>
          <w:w w:val="105"/>
        </w:rPr>
        <w:t>non</w:t>
      </w:r>
      <w:r>
        <w:rPr>
          <w:color w:val="231F20"/>
          <w:spacing w:val="-50"/>
          <w:w w:val="105"/>
        </w:rPr>
        <w:t> </w:t>
      </w:r>
      <w:r>
        <w:rPr>
          <w:color w:val="231F20"/>
          <w:w w:val="105"/>
        </w:rPr>
        <w:t>senza</w:t>
      </w:r>
      <w:r>
        <w:rPr>
          <w:color w:val="231F20"/>
          <w:spacing w:val="-50"/>
          <w:w w:val="105"/>
        </w:rPr>
        <w:t> </w:t>
      </w:r>
      <w:r>
        <w:rPr>
          <w:color w:val="231F20"/>
          <w:spacing w:val="-3"/>
          <w:w w:val="105"/>
        </w:rPr>
        <w:t>forzature,</w:t>
      </w:r>
      <w:r>
        <w:rPr>
          <w:color w:val="231F20"/>
          <w:spacing w:val="-50"/>
          <w:w w:val="105"/>
        </w:rPr>
        <w:t> </w:t>
      </w:r>
      <w:r>
        <w:rPr>
          <w:color w:val="231F20"/>
          <w:w w:val="105"/>
        </w:rPr>
        <w:t>in</w:t>
      </w:r>
      <w:r>
        <w:rPr>
          <w:color w:val="231F20"/>
          <w:spacing w:val="-50"/>
          <w:w w:val="105"/>
        </w:rPr>
        <w:t> </w:t>
      </w:r>
      <w:r>
        <w:rPr>
          <w:color w:val="231F20"/>
          <w:spacing w:val="-3"/>
          <w:w w:val="105"/>
        </w:rPr>
        <w:t>stretta</w:t>
      </w:r>
      <w:r>
        <w:rPr>
          <w:color w:val="231F20"/>
          <w:spacing w:val="-50"/>
          <w:w w:val="105"/>
        </w:rPr>
        <w:t> </w:t>
      </w:r>
      <w:r>
        <w:rPr>
          <w:color w:val="231F20"/>
          <w:w w:val="105"/>
        </w:rPr>
        <w:t>continuità</w:t>
      </w:r>
      <w:r>
        <w:rPr>
          <w:color w:val="231F20"/>
          <w:spacing w:val="-50"/>
          <w:w w:val="105"/>
        </w:rPr>
        <w:t> </w:t>
      </w:r>
      <w:r>
        <w:rPr>
          <w:color w:val="231F20"/>
          <w:w w:val="105"/>
        </w:rPr>
        <w:t>con</w:t>
      </w:r>
      <w:r>
        <w:rPr>
          <w:color w:val="231F20"/>
          <w:spacing w:val="-50"/>
          <w:w w:val="105"/>
        </w:rPr>
        <w:t> </w:t>
      </w:r>
      <w:r>
        <w:rPr>
          <w:color w:val="231F20"/>
          <w:w w:val="105"/>
        </w:rPr>
        <w:t>gli</w:t>
      </w:r>
      <w:r>
        <w:rPr>
          <w:color w:val="231F20"/>
          <w:spacing w:val="-50"/>
          <w:w w:val="105"/>
        </w:rPr>
        <w:t> </w:t>
      </w:r>
      <w:r>
        <w:rPr>
          <w:color w:val="231F20"/>
          <w:spacing w:val="-2"/>
          <w:w w:val="105"/>
        </w:rPr>
        <w:t>stessi </w:t>
      </w:r>
      <w:r>
        <w:rPr>
          <w:color w:val="231F20"/>
          <w:w w:val="105"/>
        </w:rPr>
        <w:t>fondamentali</w:t>
      </w:r>
      <w:r>
        <w:rPr>
          <w:color w:val="231F20"/>
          <w:spacing w:val="-34"/>
          <w:w w:val="105"/>
        </w:rPr>
        <w:t> </w:t>
      </w:r>
      <w:r>
        <w:rPr>
          <w:color w:val="231F20"/>
          <w:w w:val="105"/>
        </w:rPr>
        <w:t>principi</w:t>
      </w:r>
      <w:r>
        <w:rPr>
          <w:color w:val="231F20"/>
          <w:spacing w:val="-34"/>
          <w:w w:val="105"/>
        </w:rPr>
        <w:t> </w:t>
      </w:r>
      <w:r>
        <w:rPr>
          <w:color w:val="231F20"/>
          <w:w w:val="105"/>
        </w:rPr>
        <w:t>organizzativi</w:t>
      </w:r>
      <w:r>
        <w:rPr>
          <w:color w:val="231F20"/>
          <w:spacing w:val="-34"/>
          <w:w w:val="105"/>
        </w:rPr>
        <w:t> </w:t>
      </w:r>
      <w:r>
        <w:rPr>
          <w:color w:val="231F20"/>
          <w:w w:val="105"/>
        </w:rPr>
        <w:t>del</w:t>
      </w:r>
      <w:r>
        <w:rPr>
          <w:color w:val="231F20"/>
          <w:spacing w:val="-34"/>
          <w:w w:val="105"/>
        </w:rPr>
        <w:t> </w:t>
      </w:r>
      <w:r>
        <w:rPr>
          <w:color w:val="231F20"/>
          <w:w w:val="105"/>
        </w:rPr>
        <w:t>regime</w:t>
      </w:r>
      <w:r>
        <w:rPr>
          <w:color w:val="231F20"/>
          <w:spacing w:val="-34"/>
          <w:w w:val="105"/>
        </w:rPr>
        <w:t> </w:t>
      </w:r>
      <w:r>
        <w:rPr>
          <w:color w:val="231F20"/>
          <w:w w:val="105"/>
          <w:sz w:val="18"/>
        </w:rPr>
        <w:t>ONU</w:t>
      </w:r>
      <w:r>
        <w:rPr>
          <w:color w:val="231F20"/>
          <w:w w:val="105"/>
        </w:rPr>
        <w:t>:</w:t>
      </w:r>
    </w:p>
    <w:p>
      <w:pPr>
        <w:pStyle w:val="BodyText"/>
        <w:spacing w:before="10"/>
        <w:rPr>
          <w:sz w:val="22"/>
        </w:rPr>
      </w:pPr>
    </w:p>
    <w:p>
      <w:pPr>
        <w:spacing w:line="220" w:lineRule="exact" w:before="1"/>
        <w:ind w:left="1534" w:right="113" w:firstLine="0"/>
        <w:jc w:val="both"/>
        <w:rPr>
          <w:sz w:val="19"/>
        </w:rPr>
      </w:pPr>
      <w:r>
        <w:rPr>
          <w:color w:val="231F20"/>
          <w:sz w:val="19"/>
        </w:rPr>
        <w:t>Thinking of sovereignty as responsibility, in a way that is being </w:t>
      </w:r>
      <w:r>
        <w:rPr>
          <w:color w:val="231F20"/>
          <w:spacing w:val="6"/>
          <w:sz w:val="19"/>
        </w:rPr>
        <w:t>increasingly recognized </w:t>
      </w:r>
      <w:r>
        <w:rPr>
          <w:color w:val="231F20"/>
          <w:spacing w:val="3"/>
          <w:sz w:val="19"/>
        </w:rPr>
        <w:t>in </w:t>
      </w:r>
      <w:r>
        <w:rPr>
          <w:color w:val="231F20"/>
          <w:spacing w:val="5"/>
          <w:sz w:val="19"/>
        </w:rPr>
        <w:t>state </w:t>
      </w:r>
      <w:r>
        <w:rPr>
          <w:color w:val="231F20"/>
          <w:spacing w:val="6"/>
          <w:sz w:val="19"/>
        </w:rPr>
        <w:t>practice, </w:t>
      </w:r>
      <w:r>
        <w:rPr>
          <w:color w:val="231F20"/>
          <w:spacing w:val="4"/>
          <w:sz w:val="19"/>
        </w:rPr>
        <w:t>has </w:t>
      </w:r>
      <w:r>
        <w:rPr>
          <w:color w:val="231F20"/>
          <w:sz w:val="19"/>
        </w:rPr>
        <w:t>a </w:t>
      </w:r>
      <w:r>
        <w:rPr>
          <w:color w:val="231F20"/>
          <w:spacing w:val="6"/>
          <w:sz w:val="19"/>
        </w:rPr>
        <w:t>threefold </w:t>
      </w:r>
      <w:r>
        <w:rPr>
          <w:color w:val="231F20"/>
          <w:spacing w:val="-3"/>
          <w:sz w:val="19"/>
        </w:rPr>
        <w:t>significance.</w:t>
      </w:r>
      <w:r>
        <w:rPr>
          <w:color w:val="231F20"/>
          <w:spacing w:val="-18"/>
          <w:sz w:val="19"/>
        </w:rPr>
        <w:t> </w:t>
      </w:r>
      <w:r>
        <w:rPr>
          <w:color w:val="231F20"/>
          <w:spacing w:val="-3"/>
          <w:sz w:val="19"/>
        </w:rPr>
        <w:t>First,</w:t>
      </w:r>
      <w:r>
        <w:rPr>
          <w:color w:val="231F20"/>
          <w:spacing w:val="-18"/>
          <w:sz w:val="19"/>
        </w:rPr>
        <w:t> </w:t>
      </w:r>
      <w:r>
        <w:rPr>
          <w:color w:val="231F20"/>
          <w:sz w:val="19"/>
        </w:rPr>
        <w:t>it</w:t>
      </w:r>
      <w:r>
        <w:rPr>
          <w:color w:val="231F20"/>
          <w:spacing w:val="-18"/>
          <w:sz w:val="19"/>
        </w:rPr>
        <w:t> </w:t>
      </w:r>
      <w:r>
        <w:rPr>
          <w:color w:val="231F20"/>
          <w:spacing w:val="-3"/>
          <w:sz w:val="19"/>
        </w:rPr>
        <w:t>implies</w:t>
      </w:r>
      <w:r>
        <w:rPr>
          <w:color w:val="231F20"/>
          <w:spacing w:val="-18"/>
          <w:sz w:val="19"/>
        </w:rPr>
        <w:t> </w:t>
      </w:r>
      <w:r>
        <w:rPr>
          <w:color w:val="231F20"/>
          <w:spacing w:val="-3"/>
          <w:sz w:val="19"/>
        </w:rPr>
        <w:t>that</w:t>
      </w:r>
      <w:r>
        <w:rPr>
          <w:color w:val="231F20"/>
          <w:spacing w:val="-18"/>
          <w:sz w:val="19"/>
        </w:rPr>
        <w:t> </w:t>
      </w:r>
      <w:r>
        <w:rPr>
          <w:color w:val="231F20"/>
          <w:sz w:val="19"/>
        </w:rPr>
        <w:t>the</w:t>
      </w:r>
      <w:r>
        <w:rPr>
          <w:color w:val="231F20"/>
          <w:spacing w:val="-18"/>
          <w:sz w:val="19"/>
        </w:rPr>
        <w:t> </w:t>
      </w:r>
      <w:r>
        <w:rPr>
          <w:color w:val="231F20"/>
          <w:spacing w:val="-3"/>
          <w:sz w:val="19"/>
        </w:rPr>
        <w:t>state</w:t>
      </w:r>
      <w:r>
        <w:rPr>
          <w:color w:val="231F20"/>
          <w:spacing w:val="-18"/>
          <w:sz w:val="19"/>
        </w:rPr>
        <w:t> </w:t>
      </w:r>
      <w:r>
        <w:rPr>
          <w:color w:val="231F20"/>
          <w:spacing w:val="-3"/>
          <w:sz w:val="19"/>
        </w:rPr>
        <w:t>authorities</w:t>
      </w:r>
      <w:r>
        <w:rPr>
          <w:color w:val="231F20"/>
          <w:spacing w:val="-18"/>
          <w:sz w:val="19"/>
        </w:rPr>
        <w:t> </w:t>
      </w:r>
      <w:r>
        <w:rPr>
          <w:color w:val="231F20"/>
          <w:spacing w:val="-3"/>
          <w:sz w:val="19"/>
        </w:rPr>
        <w:t>are</w:t>
      </w:r>
      <w:r>
        <w:rPr>
          <w:color w:val="231F20"/>
          <w:spacing w:val="-18"/>
          <w:sz w:val="19"/>
        </w:rPr>
        <w:t> </w:t>
      </w:r>
      <w:r>
        <w:rPr>
          <w:color w:val="231F20"/>
          <w:spacing w:val="-3"/>
          <w:sz w:val="19"/>
        </w:rPr>
        <w:t>responsible </w:t>
      </w:r>
      <w:r>
        <w:rPr>
          <w:color w:val="231F20"/>
          <w:sz w:val="19"/>
        </w:rPr>
        <w:t>for the functions of protecting the safety and lives of citizens and promotion of their welfare. Secondly, it suggests that the</w:t>
      </w:r>
      <w:r>
        <w:rPr>
          <w:color w:val="231F20"/>
          <w:spacing w:val="-27"/>
          <w:sz w:val="19"/>
        </w:rPr>
        <w:t> </w:t>
      </w:r>
      <w:r>
        <w:rPr>
          <w:color w:val="231F20"/>
          <w:sz w:val="19"/>
        </w:rPr>
        <w:t>national political</w:t>
      </w:r>
      <w:r>
        <w:rPr>
          <w:color w:val="231F20"/>
          <w:spacing w:val="-9"/>
          <w:sz w:val="19"/>
        </w:rPr>
        <w:t> </w:t>
      </w:r>
      <w:r>
        <w:rPr>
          <w:color w:val="231F20"/>
          <w:sz w:val="19"/>
        </w:rPr>
        <w:t>authorities</w:t>
      </w:r>
      <w:r>
        <w:rPr>
          <w:color w:val="231F20"/>
          <w:spacing w:val="-9"/>
          <w:sz w:val="19"/>
        </w:rPr>
        <w:t> </w:t>
      </w:r>
      <w:r>
        <w:rPr>
          <w:color w:val="231F20"/>
          <w:sz w:val="19"/>
        </w:rPr>
        <w:t>are</w:t>
      </w:r>
      <w:r>
        <w:rPr>
          <w:color w:val="231F20"/>
          <w:spacing w:val="-9"/>
          <w:sz w:val="19"/>
        </w:rPr>
        <w:t> </w:t>
      </w:r>
      <w:r>
        <w:rPr>
          <w:color w:val="231F20"/>
          <w:sz w:val="19"/>
        </w:rPr>
        <w:t>responsible</w:t>
      </w:r>
      <w:r>
        <w:rPr>
          <w:color w:val="231F20"/>
          <w:spacing w:val="-9"/>
          <w:sz w:val="19"/>
        </w:rPr>
        <w:t> </w:t>
      </w:r>
      <w:r>
        <w:rPr>
          <w:color w:val="231F20"/>
          <w:sz w:val="19"/>
        </w:rPr>
        <w:t>to</w:t>
      </w:r>
      <w:r>
        <w:rPr>
          <w:color w:val="231F20"/>
          <w:spacing w:val="-9"/>
          <w:sz w:val="19"/>
        </w:rPr>
        <w:t> </w:t>
      </w:r>
      <w:r>
        <w:rPr>
          <w:color w:val="231F20"/>
          <w:sz w:val="19"/>
        </w:rPr>
        <w:t>the</w:t>
      </w:r>
      <w:r>
        <w:rPr>
          <w:color w:val="231F20"/>
          <w:spacing w:val="-9"/>
          <w:sz w:val="19"/>
        </w:rPr>
        <w:t> </w:t>
      </w:r>
      <w:r>
        <w:rPr>
          <w:color w:val="231F20"/>
          <w:sz w:val="19"/>
        </w:rPr>
        <w:t>citizens</w:t>
      </w:r>
      <w:r>
        <w:rPr>
          <w:color w:val="231F20"/>
          <w:spacing w:val="-9"/>
          <w:sz w:val="19"/>
        </w:rPr>
        <w:t> </w:t>
      </w:r>
      <w:r>
        <w:rPr>
          <w:color w:val="231F20"/>
          <w:sz w:val="19"/>
        </w:rPr>
        <w:t>internally</w:t>
      </w:r>
      <w:r>
        <w:rPr>
          <w:color w:val="231F20"/>
          <w:spacing w:val="-9"/>
          <w:sz w:val="19"/>
        </w:rPr>
        <w:t> </w:t>
      </w:r>
      <w:r>
        <w:rPr>
          <w:color w:val="231F20"/>
          <w:sz w:val="19"/>
        </w:rPr>
        <w:t>and</w:t>
      </w:r>
      <w:r>
        <w:rPr>
          <w:color w:val="231F20"/>
          <w:spacing w:val="-9"/>
          <w:sz w:val="19"/>
        </w:rPr>
        <w:t> </w:t>
      </w:r>
      <w:r>
        <w:rPr>
          <w:color w:val="231F20"/>
          <w:sz w:val="19"/>
        </w:rPr>
        <w:t>to the</w:t>
      </w:r>
      <w:r>
        <w:rPr>
          <w:color w:val="231F20"/>
          <w:spacing w:val="-6"/>
          <w:sz w:val="19"/>
        </w:rPr>
        <w:t> </w:t>
      </w:r>
      <w:r>
        <w:rPr>
          <w:color w:val="231F20"/>
          <w:sz w:val="19"/>
        </w:rPr>
        <w:t>international</w:t>
      </w:r>
      <w:r>
        <w:rPr>
          <w:color w:val="231F20"/>
          <w:spacing w:val="-6"/>
          <w:sz w:val="19"/>
        </w:rPr>
        <w:t> </w:t>
      </w:r>
      <w:r>
        <w:rPr>
          <w:color w:val="231F20"/>
          <w:sz w:val="19"/>
        </w:rPr>
        <w:t>community</w:t>
      </w:r>
      <w:r>
        <w:rPr>
          <w:color w:val="231F20"/>
          <w:spacing w:val="-6"/>
          <w:sz w:val="19"/>
        </w:rPr>
        <w:t> </w:t>
      </w:r>
      <w:r>
        <w:rPr>
          <w:color w:val="231F20"/>
          <w:sz w:val="19"/>
        </w:rPr>
        <w:t>through</w:t>
      </w:r>
      <w:r>
        <w:rPr>
          <w:color w:val="231F20"/>
          <w:spacing w:val="-6"/>
          <w:sz w:val="19"/>
        </w:rPr>
        <w:t> </w:t>
      </w:r>
      <w:r>
        <w:rPr>
          <w:color w:val="231F20"/>
          <w:sz w:val="19"/>
        </w:rPr>
        <w:t>the</w:t>
      </w:r>
      <w:r>
        <w:rPr>
          <w:color w:val="231F20"/>
          <w:spacing w:val="-6"/>
          <w:sz w:val="19"/>
        </w:rPr>
        <w:t> </w:t>
      </w:r>
      <w:r>
        <w:rPr>
          <w:color w:val="231F20"/>
          <w:sz w:val="18"/>
        </w:rPr>
        <w:t>UN</w:t>
      </w:r>
      <w:r>
        <w:rPr>
          <w:color w:val="231F20"/>
          <w:sz w:val="19"/>
        </w:rPr>
        <w:t>.</w:t>
      </w:r>
      <w:r>
        <w:rPr>
          <w:color w:val="231F20"/>
          <w:spacing w:val="-6"/>
          <w:sz w:val="19"/>
        </w:rPr>
        <w:t> </w:t>
      </w:r>
      <w:r>
        <w:rPr>
          <w:color w:val="231F20"/>
          <w:sz w:val="19"/>
        </w:rPr>
        <w:t>And</w:t>
      </w:r>
      <w:r>
        <w:rPr>
          <w:color w:val="231F20"/>
          <w:spacing w:val="-6"/>
          <w:sz w:val="19"/>
        </w:rPr>
        <w:t> </w:t>
      </w:r>
      <w:r>
        <w:rPr>
          <w:color w:val="231F20"/>
          <w:spacing w:val="-3"/>
          <w:sz w:val="19"/>
        </w:rPr>
        <w:t>thirdly,</w:t>
      </w:r>
      <w:r>
        <w:rPr>
          <w:color w:val="231F20"/>
          <w:spacing w:val="-6"/>
          <w:sz w:val="19"/>
        </w:rPr>
        <w:t> </w:t>
      </w:r>
      <w:r>
        <w:rPr>
          <w:color w:val="231F20"/>
          <w:sz w:val="19"/>
        </w:rPr>
        <w:t>it</w:t>
      </w:r>
      <w:r>
        <w:rPr>
          <w:color w:val="231F20"/>
          <w:spacing w:val="-6"/>
          <w:sz w:val="19"/>
        </w:rPr>
        <w:t> </w:t>
      </w:r>
      <w:r>
        <w:rPr>
          <w:color w:val="231F20"/>
          <w:sz w:val="19"/>
        </w:rPr>
        <w:t>means that</w:t>
      </w:r>
      <w:r>
        <w:rPr>
          <w:color w:val="231F20"/>
          <w:spacing w:val="-6"/>
          <w:sz w:val="19"/>
        </w:rPr>
        <w:t> </w:t>
      </w:r>
      <w:r>
        <w:rPr>
          <w:color w:val="231F20"/>
          <w:sz w:val="19"/>
        </w:rPr>
        <w:t>the</w:t>
      </w:r>
      <w:r>
        <w:rPr>
          <w:color w:val="231F20"/>
          <w:spacing w:val="-6"/>
          <w:sz w:val="19"/>
        </w:rPr>
        <w:t> </w:t>
      </w:r>
      <w:r>
        <w:rPr>
          <w:color w:val="231F20"/>
          <w:sz w:val="19"/>
        </w:rPr>
        <w:t>agents</w:t>
      </w:r>
      <w:r>
        <w:rPr>
          <w:color w:val="231F20"/>
          <w:spacing w:val="-6"/>
          <w:sz w:val="19"/>
        </w:rPr>
        <w:t> </w:t>
      </w:r>
      <w:r>
        <w:rPr>
          <w:color w:val="231F20"/>
          <w:sz w:val="19"/>
        </w:rPr>
        <w:t>of</w:t>
      </w:r>
      <w:r>
        <w:rPr>
          <w:color w:val="231F20"/>
          <w:spacing w:val="-6"/>
          <w:sz w:val="19"/>
        </w:rPr>
        <w:t> </w:t>
      </w:r>
      <w:r>
        <w:rPr>
          <w:color w:val="231F20"/>
          <w:sz w:val="19"/>
        </w:rPr>
        <w:t>state</w:t>
      </w:r>
      <w:r>
        <w:rPr>
          <w:color w:val="231F20"/>
          <w:spacing w:val="-6"/>
          <w:sz w:val="19"/>
        </w:rPr>
        <w:t> </w:t>
      </w:r>
      <w:r>
        <w:rPr>
          <w:color w:val="231F20"/>
          <w:sz w:val="19"/>
        </w:rPr>
        <w:t>are</w:t>
      </w:r>
      <w:r>
        <w:rPr>
          <w:color w:val="231F20"/>
          <w:spacing w:val="-6"/>
          <w:sz w:val="19"/>
        </w:rPr>
        <w:t> </w:t>
      </w:r>
      <w:r>
        <w:rPr>
          <w:color w:val="231F20"/>
          <w:sz w:val="19"/>
        </w:rPr>
        <w:t>responsible</w:t>
      </w:r>
      <w:r>
        <w:rPr>
          <w:color w:val="231F20"/>
          <w:spacing w:val="-6"/>
          <w:sz w:val="19"/>
        </w:rPr>
        <w:t> </w:t>
      </w:r>
      <w:r>
        <w:rPr>
          <w:color w:val="231F20"/>
          <w:sz w:val="19"/>
        </w:rPr>
        <w:t>for</w:t>
      </w:r>
      <w:r>
        <w:rPr>
          <w:color w:val="231F20"/>
          <w:spacing w:val="-6"/>
          <w:sz w:val="19"/>
        </w:rPr>
        <w:t> </w:t>
      </w:r>
      <w:r>
        <w:rPr>
          <w:color w:val="231F20"/>
          <w:sz w:val="19"/>
        </w:rPr>
        <w:t>their</w:t>
      </w:r>
      <w:r>
        <w:rPr>
          <w:color w:val="231F20"/>
          <w:spacing w:val="-6"/>
          <w:sz w:val="19"/>
        </w:rPr>
        <w:t> </w:t>
      </w:r>
      <w:r>
        <w:rPr>
          <w:color w:val="231F20"/>
          <w:sz w:val="19"/>
        </w:rPr>
        <w:t>actions;</w:t>
      </w:r>
      <w:r>
        <w:rPr>
          <w:color w:val="231F20"/>
          <w:spacing w:val="-6"/>
          <w:sz w:val="19"/>
        </w:rPr>
        <w:t> </w:t>
      </w:r>
      <w:r>
        <w:rPr>
          <w:color w:val="231F20"/>
          <w:sz w:val="19"/>
        </w:rPr>
        <w:t>that</w:t>
      </w:r>
      <w:r>
        <w:rPr>
          <w:color w:val="231F20"/>
          <w:spacing w:val="-6"/>
          <w:sz w:val="19"/>
        </w:rPr>
        <w:t> </w:t>
      </w:r>
      <w:r>
        <w:rPr>
          <w:color w:val="231F20"/>
          <w:sz w:val="19"/>
        </w:rPr>
        <w:t>is</w:t>
      </w:r>
      <w:r>
        <w:rPr>
          <w:color w:val="231F20"/>
          <w:spacing w:val="-6"/>
          <w:sz w:val="19"/>
        </w:rPr>
        <w:t> </w:t>
      </w:r>
      <w:r>
        <w:rPr>
          <w:color w:val="231F20"/>
          <w:sz w:val="19"/>
        </w:rPr>
        <w:t>to </w:t>
      </w:r>
      <w:r>
        <w:rPr>
          <w:color w:val="231F20"/>
          <w:spacing w:val="-6"/>
          <w:sz w:val="19"/>
        </w:rPr>
        <w:t>say,</w:t>
      </w:r>
      <w:r>
        <w:rPr>
          <w:color w:val="231F20"/>
          <w:spacing w:val="-25"/>
          <w:sz w:val="19"/>
        </w:rPr>
        <w:t> </w:t>
      </w:r>
      <w:r>
        <w:rPr>
          <w:color w:val="231F20"/>
          <w:sz w:val="19"/>
        </w:rPr>
        <w:t>they</w:t>
      </w:r>
      <w:r>
        <w:rPr>
          <w:color w:val="231F20"/>
          <w:spacing w:val="-25"/>
          <w:sz w:val="19"/>
        </w:rPr>
        <w:t> </w:t>
      </w:r>
      <w:r>
        <w:rPr>
          <w:color w:val="231F20"/>
          <w:spacing w:val="-3"/>
          <w:sz w:val="19"/>
        </w:rPr>
        <w:t>are</w:t>
      </w:r>
      <w:r>
        <w:rPr>
          <w:color w:val="231F20"/>
          <w:spacing w:val="-25"/>
          <w:sz w:val="19"/>
        </w:rPr>
        <w:t> </w:t>
      </w:r>
      <w:r>
        <w:rPr>
          <w:color w:val="231F20"/>
          <w:sz w:val="19"/>
        </w:rPr>
        <w:t>accountable</w:t>
      </w:r>
      <w:r>
        <w:rPr>
          <w:color w:val="231F20"/>
          <w:spacing w:val="-25"/>
          <w:sz w:val="19"/>
        </w:rPr>
        <w:t> </w:t>
      </w:r>
      <w:r>
        <w:rPr>
          <w:color w:val="231F20"/>
          <w:sz w:val="19"/>
        </w:rPr>
        <w:t>for</w:t>
      </w:r>
      <w:r>
        <w:rPr>
          <w:color w:val="231F20"/>
          <w:spacing w:val="-25"/>
          <w:sz w:val="19"/>
        </w:rPr>
        <w:t> </w:t>
      </w:r>
      <w:r>
        <w:rPr>
          <w:color w:val="231F20"/>
          <w:sz w:val="19"/>
        </w:rPr>
        <w:t>their</w:t>
      </w:r>
      <w:r>
        <w:rPr>
          <w:color w:val="231F20"/>
          <w:spacing w:val="-25"/>
          <w:sz w:val="19"/>
        </w:rPr>
        <w:t> </w:t>
      </w:r>
      <w:r>
        <w:rPr>
          <w:color w:val="231F20"/>
          <w:sz w:val="19"/>
        </w:rPr>
        <w:t>acts</w:t>
      </w:r>
      <w:r>
        <w:rPr>
          <w:color w:val="231F20"/>
          <w:spacing w:val="-25"/>
          <w:sz w:val="19"/>
        </w:rPr>
        <w:t> </w:t>
      </w:r>
      <w:r>
        <w:rPr>
          <w:color w:val="231F20"/>
          <w:sz w:val="19"/>
        </w:rPr>
        <w:t>of</w:t>
      </w:r>
      <w:r>
        <w:rPr>
          <w:color w:val="231F20"/>
          <w:spacing w:val="-25"/>
          <w:sz w:val="19"/>
        </w:rPr>
        <w:t> </w:t>
      </w:r>
      <w:r>
        <w:rPr>
          <w:color w:val="231F20"/>
          <w:sz w:val="19"/>
        </w:rPr>
        <w:t>commission</w:t>
      </w:r>
      <w:r>
        <w:rPr>
          <w:color w:val="231F20"/>
          <w:spacing w:val="-25"/>
          <w:sz w:val="19"/>
        </w:rPr>
        <w:t> </w:t>
      </w:r>
      <w:r>
        <w:rPr>
          <w:color w:val="231F20"/>
          <w:sz w:val="19"/>
        </w:rPr>
        <w:t>and</w:t>
      </w:r>
      <w:r>
        <w:rPr>
          <w:color w:val="231F20"/>
          <w:spacing w:val="-25"/>
          <w:sz w:val="19"/>
        </w:rPr>
        <w:t> </w:t>
      </w:r>
      <w:r>
        <w:rPr>
          <w:color w:val="231F20"/>
          <w:sz w:val="19"/>
        </w:rPr>
        <w:t>omission. The</w:t>
      </w:r>
      <w:r>
        <w:rPr>
          <w:color w:val="231F20"/>
          <w:spacing w:val="-15"/>
          <w:sz w:val="19"/>
        </w:rPr>
        <w:t> </w:t>
      </w:r>
      <w:r>
        <w:rPr>
          <w:color w:val="231F20"/>
          <w:sz w:val="19"/>
        </w:rPr>
        <w:t>case</w:t>
      </w:r>
      <w:r>
        <w:rPr>
          <w:color w:val="231F20"/>
          <w:spacing w:val="-15"/>
          <w:sz w:val="19"/>
        </w:rPr>
        <w:t> </w:t>
      </w:r>
      <w:r>
        <w:rPr>
          <w:color w:val="231F20"/>
          <w:sz w:val="19"/>
        </w:rPr>
        <w:t>for</w:t>
      </w:r>
      <w:r>
        <w:rPr>
          <w:color w:val="231F20"/>
          <w:spacing w:val="-15"/>
          <w:sz w:val="19"/>
        </w:rPr>
        <w:t> </w:t>
      </w:r>
      <w:r>
        <w:rPr>
          <w:color w:val="231F20"/>
          <w:sz w:val="19"/>
        </w:rPr>
        <w:t>thinking</w:t>
      </w:r>
      <w:r>
        <w:rPr>
          <w:color w:val="231F20"/>
          <w:spacing w:val="-15"/>
          <w:sz w:val="19"/>
        </w:rPr>
        <w:t> </w:t>
      </w:r>
      <w:r>
        <w:rPr>
          <w:color w:val="231F20"/>
          <w:sz w:val="19"/>
        </w:rPr>
        <w:t>of</w:t>
      </w:r>
      <w:r>
        <w:rPr>
          <w:color w:val="231F20"/>
          <w:spacing w:val="-15"/>
          <w:sz w:val="19"/>
        </w:rPr>
        <w:t> </w:t>
      </w:r>
      <w:r>
        <w:rPr>
          <w:color w:val="231F20"/>
          <w:sz w:val="19"/>
        </w:rPr>
        <w:t>sovereignty</w:t>
      </w:r>
      <w:r>
        <w:rPr>
          <w:color w:val="231F20"/>
          <w:spacing w:val="-15"/>
          <w:sz w:val="19"/>
        </w:rPr>
        <w:t> </w:t>
      </w:r>
      <w:r>
        <w:rPr>
          <w:color w:val="231F20"/>
          <w:sz w:val="19"/>
        </w:rPr>
        <w:t>in</w:t>
      </w:r>
      <w:r>
        <w:rPr>
          <w:color w:val="231F20"/>
          <w:spacing w:val="-15"/>
          <w:sz w:val="19"/>
        </w:rPr>
        <w:t> </w:t>
      </w:r>
      <w:r>
        <w:rPr>
          <w:color w:val="231F20"/>
          <w:sz w:val="19"/>
        </w:rPr>
        <w:t>these</w:t>
      </w:r>
      <w:r>
        <w:rPr>
          <w:color w:val="231F20"/>
          <w:spacing w:val="-15"/>
          <w:sz w:val="19"/>
        </w:rPr>
        <w:t> </w:t>
      </w:r>
      <w:r>
        <w:rPr>
          <w:color w:val="231F20"/>
          <w:sz w:val="19"/>
        </w:rPr>
        <w:t>terms</w:t>
      </w:r>
      <w:r>
        <w:rPr>
          <w:color w:val="231F20"/>
          <w:spacing w:val="-15"/>
          <w:sz w:val="19"/>
        </w:rPr>
        <w:t> </w:t>
      </w:r>
      <w:r>
        <w:rPr>
          <w:color w:val="231F20"/>
          <w:sz w:val="19"/>
        </w:rPr>
        <w:t>is</w:t>
      </w:r>
      <w:r>
        <w:rPr>
          <w:color w:val="231F20"/>
          <w:spacing w:val="-15"/>
          <w:sz w:val="19"/>
        </w:rPr>
        <w:t> </w:t>
      </w:r>
      <w:r>
        <w:rPr>
          <w:color w:val="231F20"/>
          <w:sz w:val="19"/>
        </w:rPr>
        <w:t>strengthened by</w:t>
      </w:r>
      <w:r>
        <w:rPr>
          <w:color w:val="231F20"/>
          <w:spacing w:val="-22"/>
          <w:sz w:val="19"/>
        </w:rPr>
        <w:t> </w:t>
      </w:r>
      <w:r>
        <w:rPr>
          <w:color w:val="231F20"/>
          <w:sz w:val="19"/>
        </w:rPr>
        <w:t>the</w:t>
      </w:r>
      <w:r>
        <w:rPr>
          <w:color w:val="231F20"/>
          <w:spacing w:val="-22"/>
          <w:sz w:val="19"/>
        </w:rPr>
        <w:t> </w:t>
      </w:r>
      <w:r>
        <w:rPr>
          <w:color w:val="231F20"/>
          <w:sz w:val="19"/>
        </w:rPr>
        <w:t>ever–increasing</w:t>
      </w:r>
      <w:r>
        <w:rPr>
          <w:color w:val="231F20"/>
          <w:spacing w:val="-22"/>
          <w:sz w:val="19"/>
        </w:rPr>
        <w:t> </w:t>
      </w:r>
      <w:r>
        <w:rPr>
          <w:color w:val="231F20"/>
          <w:sz w:val="19"/>
        </w:rPr>
        <w:t>impact</w:t>
      </w:r>
      <w:r>
        <w:rPr>
          <w:color w:val="231F20"/>
          <w:spacing w:val="-22"/>
          <w:sz w:val="19"/>
        </w:rPr>
        <w:t> </w:t>
      </w:r>
      <w:r>
        <w:rPr>
          <w:color w:val="231F20"/>
          <w:sz w:val="19"/>
        </w:rPr>
        <w:t>of</w:t>
      </w:r>
      <w:r>
        <w:rPr>
          <w:color w:val="231F20"/>
          <w:spacing w:val="-22"/>
          <w:sz w:val="19"/>
        </w:rPr>
        <w:t> </w:t>
      </w:r>
      <w:r>
        <w:rPr>
          <w:color w:val="231F20"/>
          <w:sz w:val="19"/>
        </w:rPr>
        <w:t>international</w:t>
      </w:r>
      <w:r>
        <w:rPr>
          <w:color w:val="231F20"/>
          <w:spacing w:val="-22"/>
          <w:sz w:val="19"/>
        </w:rPr>
        <w:t> </w:t>
      </w:r>
      <w:r>
        <w:rPr>
          <w:color w:val="231F20"/>
          <w:sz w:val="19"/>
        </w:rPr>
        <w:t>human</w:t>
      </w:r>
      <w:r>
        <w:rPr>
          <w:color w:val="231F20"/>
          <w:spacing w:val="-22"/>
          <w:sz w:val="19"/>
        </w:rPr>
        <w:t> </w:t>
      </w:r>
      <w:r>
        <w:rPr>
          <w:color w:val="231F20"/>
          <w:sz w:val="19"/>
        </w:rPr>
        <w:t>rights</w:t>
      </w:r>
      <w:r>
        <w:rPr>
          <w:color w:val="231F20"/>
          <w:spacing w:val="-22"/>
          <w:sz w:val="19"/>
        </w:rPr>
        <w:t> </w:t>
      </w:r>
      <w:r>
        <w:rPr>
          <w:color w:val="231F20"/>
          <w:sz w:val="19"/>
        </w:rPr>
        <w:t>norms, and</w:t>
      </w:r>
      <w:r>
        <w:rPr>
          <w:color w:val="231F20"/>
          <w:spacing w:val="-14"/>
          <w:sz w:val="19"/>
        </w:rPr>
        <w:t> </w:t>
      </w:r>
      <w:r>
        <w:rPr>
          <w:color w:val="231F20"/>
          <w:sz w:val="19"/>
        </w:rPr>
        <w:t>the</w:t>
      </w:r>
      <w:r>
        <w:rPr>
          <w:color w:val="231F20"/>
          <w:spacing w:val="-14"/>
          <w:sz w:val="19"/>
        </w:rPr>
        <w:t> </w:t>
      </w:r>
      <w:r>
        <w:rPr>
          <w:color w:val="231F20"/>
          <w:sz w:val="19"/>
        </w:rPr>
        <w:t>increasing</w:t>
      </w:r>
      <w:r>
        <w:rPr>
          <w:color w:val="231F20"/>
          <w:spacing w:val="-14"/>
          <w:sz w:val="19"/>
        </w:rPr>
        <w:t> </w:t>
      </w:r>
      <w:r>
        <w:rPr>
          <w:color w:val="231F20"/>
          <w:sz w:val="19"/>
        </w:rPr>
        <w:t>impact</w:t>
      </w:r>
      <w:r>
        <w:rPr>
          <w:color w:val="231F20"/>
          <w:spacing w:val="-14"/>
          <w:sz w:val="19"/>
        </w:rPr>
        <w:t> </w:t>
      </w:r>
      <w:r>
        <w:rPr>
          <w:color w:val="231F20"/>
          <w:sz w:val="19"/>
        </w:rPr>
        <w:t>in</w:t>
      </w:r>
      <w:r>
        <w:rPr>
          <w:color w:val="231F20"/>
          <w:spacing w:val="-14"/>
          <w:sz w:val="19"/>
        </w:rPr>
        <w:t> </w:t>
      </w:r>
      <w:r>
        <w:rPr>
          <w:color w:val="231F20"/>
          <w:sz w:val="19"/>
        </w:rPr>
        <w:t>international</w:t>
      </w:r>
      <w:r>
        <w:rPr>
          <w:color w:val="231F20"/>
          <w:spacing w:val="-14"/>
          <w:sz w:val="19"/>
        </w:rPr>
        <w:t> </w:t>
      </w:r>
      <w:r>
        <w:rPr>
          <w:color w:val="231F20"/>
          <w:sz w:val="19"/>
        </w:rPr>
        <w:t>discourse</w:t>
      </w:r>
      <w:r>
        <w:rPr>
          <w:color w:val="231F20"/>
          <w:spacing w:val="-14"/>
          <w:sz w:val="19"/>
        </w:rPr>
        <w:t> </w:t>
      </w:r>
      <w:r>
        <w:rPr>
          <w:color w:val="231F20"/>
          <w:sz w:val="19"/>
        </w:rPr>
        <w:t>of</w:t>
      </w:r>
      <w:r>
        <w:rPr>
          <w:color w:val="231F20"/>
          <w:spacing w:val="-14"/>
          <w:sz w:val="19"/>
        </w:rPr>
        <w:t> </w:t>
      </w:r>
      <w:r>
        <w:rPr>
          <w:color w:val="231F20"/>
          <w:sz w:val="19"/>
        </w:rPr>
        <w:t>the</w:t>
      </w:r>
      <w:r>
        <w:rPr>
          <w:color w:val="231F20"/>
          <w:spacing w:val="-14"/>
          <w:sz w:val="19"/>
        </w:rPr>
        <w:t> </w:t>
      </w:r>
      <w:r>
        <w:rPr>
          <w:color w:val="231F20"/>
          <w:sz w:val="19"/>
        </w:rPr>
        <w:t>concept of human</w:t>
      </w:r>
      <w:r>
        <w:rPr>
          <w:color w:val="231F20"/>
          <w:spacing w:val="-33"/>
          <w:sz w:val="19"/>
        </w:rPr>
        <w:t> </w:t>
      </w:r>
      <w:r>
        <w:rPr>
          <w:color w:val="231F20"/>
          <w:sz w:val="19"/>
        </w:rPr>
        <w:t>security</w:t>
      </w:r>
      <w:r>
        <w:rPr>
          <w:color w:val="231F20"/>
          <w:position w:val="6"/>
          <w:sz w:val="11"/>
        </w:rPr>
        <w:t>16</w:t>
      </w:r>
      <w:r>
        <w:rPr>
          <w:color w:val="231F20"/>
          <w:sz w:val="19"/>
        </w:rPr>
        <w:t>.</w:t>
      </w:r>
    </w:p>
    <w:p>
      <w:pPr>
        <w:pStyle w:val="BodyText"/>
        <w:spacing w:before="11"/>
        <w:rPr>
          <w:sz w:val="23"/>
        </w:rPr>
      </w:pPr>
    </w:p>
    <w:p>
      <w:pPr>
        <w:pStyle w:val="BodyText"/>
        <w:spacing w:line="247" w:lineRule="auto"/>
        <w:ind w:left="117" w:right="118"/>
        <w:jc w:val="both"/>
      </w:pPr>
      <w:r>
        <w:rPr>
          <w:color w:val="231F20"/>
          <w:spacing w:val="-3"/>
          <w:w w:val="105"/>
        </w:rPr>
        <w:t>Come</w:t>
      </w:r>
      <w:r>
        <w:rPr>
          <w:color w:val="231F20"/>
          <w:spacing w:val="-40"/>
          <w:w w:val="105"/>
        </w:rPr>
        <w:t> </w:t>
      </w:r>
      <w:r>
        <w:rPr>
          <w:color w:val="231F20"/>
          <w:w w:val="105"/>
        </w:rPr>
        <w:t>è</w:t>
      </w:r>
      <w:r>
        <w:rPr>
          <w:color w:val="231F20"/>
          <w:spacing w:val="-40"/>
          <w:w w:val="105"/>
        </w:rPr>
        <w:t> </w:t>
      </w:r>
      <w:r>
        <w:rPr>
          <w:color w:val="231F20"/>
          <w:spacing w:val="-3"/>
          <w:w w:val="105"/>
        </w:rPr>
        <w:t>noto,</w:t>
      </w:r>
      <w:r>
        <w:rPr>
          <w:color w:val="231F20"/>
          <w:spacing w:val="-40"/>
          <w:w w:val="105"/>
        </w:rPr>
        <w:t> </w:t>
      </w:r>
      <w:r>
        <w:rPr>
          <w:color w:val="231F20"/>
          <w:spacing w:val="-3"/>
          <w:w w:val="105"/>
        </w:rPr>
        <w:t>questa</w:t>
      </w:r>
      <w:r>
        <w:rPr>
          <w:color w:val="231F20"/>
          <w:spacing w:val="-40"/>
          <w:w w:val="105"/>
        </w:rPr>
        <w:t> </w:t>
      </w:r>
      <w:r>
        <w:rPr>
          <w:color w:val="231F20"/>
          <w:spacing w:val="-3"/>
          <w:w w:val="105"/>
        </w:rPr>
        <w:t>radicale</w:t>
      </w:r>
      <w:r>
        <w:rPr>
          <w:color w:val="231F20"/>
          <w:spacing w:val="-40"/>
          <w:w w:val="105"/>
        </w:rPr>
        <w:t> </w:t>
      </w:r>
      <w:r>
        <w:rPr>
          <w:color w:val="231F20"/>
          <w:spacing w:val="-4"/>
          <w:w w:val="105"/>
        </w:rPr>
        <w:t>reinterpretazione</w:t>
      </w:r>
      <w:r>
        <w:rPr>
          <w:color w:val="231F20"/>
          <w:spacing w:val="-40"/>
          <w:w w:val="105"/>
        </w:rPr>
        <w:t> </w:t>
      </w:r>
      <w:r>
        <w:rPr>
          <w:color w:val="231F20"/>
          <w:w w:val="105"/>
        </w:rPr>
        <w:t>del</w:t>
      </w:r>
      <w:r>
        <w:rPr>
          <w:color w:val="231F20"/>
          <w:spacing w:val="-40"/>
          <w:w w:val="105"/>
        </w:rPr>
        <w:t> </w:t>
      </w:r>
      <w:r>
        <w:rPr>
          <w:color w:val="231F20"/>
          <w:spacing w:val="-3"/>
          <w:w w:val="105"/>
        </w:rPr>
        <w:t>tradizionale</w:t>
      </w:r>
      <w:r>
        <w:rPr>
          <w:color w:val="231F20"/>
          <w:spacing w:val="-40"/>
          <w:w w:val="105"/>
        </w:rPr>
        <w:t> </w:t>
      </w:r>
      <w:r>
        <w:rPr>
          <w:color w:val="231F20"/>
          <w:spacing w:val="-3"/>
          <w:w w:val="105"/>
        </w:rPr>
        <w:t>modello</w:t>
      </w:r>
      <w:r>
        <w:rPr>
          <w:color w:val="231F20"/>
          <w:spacing w:val="-40"/>
          <w:w w:val="105"/>
        </w:rPr>
        <w:t> </w:t>
      </w:r>
      <w:r>
        <w:rPr>
          <w:color w:val="231F20"/>
          <w:spacing w:val="-3"/>
          <w:w w:val="105"/>
        </w:rPr>
        <w:t>della </w:t>
      </w:r>
      <w:r>
        <w:rPr>
          <w:color w:val="231F20"/>
          <w:spacing w:val="-5"/>
          <w:w w:val="105"/>
        </w:rPr>
        <w:t>sovranità</w:t>
      </w:r>
      <w:r>
        <w:rPr>
          <w:color w:val="231F20"/>
          <w:spacing w:val="-56"/>
          <w:w w:val="105"/>
        </w:rPr>
        <w:t> </w:t>
      </w:r>
      <w:r>
        <w:rPr>
          <w:color w:val="231F20"/>
          <w:spacing w:val="-5"/>
          <w:w w:val="105"/>
        </w:rPr>
        <w:t>territoriale</w:t>
      </w:r>
      <w:r>
        <w:rPr>
          <w:color w:val="231F20"/>
          <w:spacing w:val="-56"/>
          <w:w w:val="105"/>
        </w:rPr>
        <w:t> </w:t>
      </w:r>
      <w:r>
        <w:rPr>
          <w:color w:val="231F20"/>
          <w:spacing w:val="-3"/>
          <w:w w:val="105"/>
        </w:rPr>
        <w:t>ha</w:t>
      </w:r>
      <w:r>
        <w:rPr>
          <w:color w:val="231F20"/>
          <w:spacing w:val="-56"/>
          <w:w w:val="105"/>
        </w:rPr>
        <w:t> </w:t>
      </w:r>
      <w:r>
        <w:rPr>
          <w:color w:val="231F20"/>
          <w:spacing w:val="-5"/>
          <w:w w:val="105"/>
        </w:rPr>
        <w:t>trovato</w:t>
      </w:r>
      <w:r>
        <w:rPr>
          <w:color w:val="231F20"/>
          <w:spacing w:val="-56"/>
          <w:w w:val="105"/>
        </w:rPr>
        <w:t> </w:t>
      </w:r>
      <w:r>
        <w:rPr>
          <w:color w:val="231F20"/>
          <w:spacing w:val="-3"/>
          <w:w w:val="105"/>
        </w:rPr>
        <w:t>il</w:t>
      </w:r>
      <w:r>
        <w:rPr>
          <w:color w:val="231F20"/>
          <w:spacing w:val="-56"/>
          <w:w w:val="105"/>
        </w:rPr>
        <w:t> </w:t>
      </w:r>
      <w:r>
        <w:rPr>
          <w:color w:val="231F20"/>
          <w:spacing w:val="-4"/>
          <w:w w:val="105"/>
        </w:rPr>
        <w:t>suo</w:t>
      </w:r>
      <w:r>
        <w:rPr>
          <w:color w:val="231F20"/>
          <w:spacing w:val="-56"/>
          <w:w w:val="105"/>
        </w:rPr>
        <w:t> </w:t>
      </w:r>
      <w:r>
        <w:rPr>
          <w:color w:val="231F20"/>
          <w:spacing w:val="-4"/>
          <w:w w:val="105"/>
        </w:rPr>
        <w:t>più</w:t>
      </w:r>
      <w:r>
        <w:rPr>
          <w:color w:val="231F20"/>
          <w:spacing w:val="-56"/>
          <w:w w:val="105"/>
        </w:rPr>
        <w:t> </w:t>
      </w:r>
      <w:r>
        <w:rPr>
          <w:color w:val="231F20"/>
          <w:spacing w:val="-5"/>
          <w:w w:val="105"/>
        </w:rPr>
        <w:t>avanzato</w:t>
      </w:r>
      <w:r>
        <w:rPr>
          <w:color w:val="231F20"/>
          <w:spacing w:val="-56"/>
          <w:w w:val="105"/>
        </w:rPr>
        <w:t> </w:t>
      </w:r>
      <w:r>
        <w:rPr>
          <w:color w:val="231F20"/>
          <w:spacing w:val="-5"/>
          <w:w w:val="105"/>
        </w:rPr>
        <w:t>momento</w:t>
      </w:r>
      <w:r>
        <w:rPr>
          <w:color w:val="231F20"/>
          <w:spacing w:val="-56"/>
          <w:w w:val="105"/>
        </w:rPr>
        <w:t> </w:t>
      </w:r>
      <w:r>
        <w:rPr>
          <w:color w:val="231F20"/>
          <w:w w:val="105"/>
        </w:rPr>
        <w:t>di</w:t>
      </w:r>
      <w:r>
        <w:rPr>
          <w:color w:val="231F20"/>
          <w:spacing w:val="-56"/>
          <w:w w:val="105"/>
        </w:rPr>
        <w:t> </w:t>
      </w:r>
      <w:r>
        <w:rPr>
          <w:color w:val="231F20"/>
          <w:spacing w:val="-5"/>
          <w:w w:val="105"/>
        </w:rPr>
        <w:t>“cristallizzazione </w:t>
      </w:r>
      <w:r>
        <w:rPr>
          <w:color w:val="231F20"/>
          <w:w w:val="105"/>
        </w:rPr>
        <w:t>normativa”</w:t>
      </w:r>
      <w:r>
        <w:rPr>
          <w:color w:val="231F20"/>
          <w:spacing w:val="-10"/>
          <w:w w:val="105"/>
        </w:rPr>
        <w:t> </w:t>
      </w:r>
      <w:r>
        <w:rPr>
          <w:color w:val="231F20"/>
          <w:w w:val="105"/>
        </w:rPr>
        <w:t>nella</w:t>
      </w:r>
      <w:r>
        <w:rPr>
          <w:color w:val="231F20"/>
          <w:spacing w:val="-10"/>
          <w:w w:val="105"/>
        </w:rPr>
        <w:t> </w:t>
      </w:r>
      <w:r>
        <w:rPr>
          <w:color w:val="231F20"/>
          <w:w w:val="105"/>
        </w:rPr>
        <w:t>dottrina</w:t>
      </w:r>
      <w:r>
        <w:rPr>
          <w:color w:val="231F20"/>
          <w:spacing w:val="-10"/>
          <w:w w:val="105"/>
        </w:rPr>
        <w:t> </w:t>
      </w:r>
      <w:r>
        <w:rPr>
          <w:color w:val="231F20"/>
          <w:w w:val="105"/>
        </w:rPr>
        <w:t>della</w:t>
      </w:r>
      <w:r>
        <w:rPr>
          <w:color w:val="231F20"/>
          <w:spacing w:val="-9"/>
          <w:w w:val="105"/>
        </w:rPr>
        <w:t> </w:t>
      </w:r>
      <w:r>
        <w:rPr>
          <w:rFonts w:ascii="Arial" w:hAnsi="Arial"/>
          <w:i/>
          <w:color w:val="231F20"/>
          <w:w w:val="105"/>
        </w:rPr>
        <w:t>responsibility</w:t>
      </w:r>
      <w:r>
        <w:rPr>
          <w:rFonts w:ascii="Arial" w:hAnsi="Arial"/>
          <w:i/>
          <w:color w:val="231F20"/>
          <w:spacing w:val="-2"/>
          <w:w w:val="105"/>
        </w:rPr>
        <w:t> </w:t>
      </w:r>
      <w:r>
        <w:rPr>
          <w:rFonts w:ascii="Arial" w:hAnsi="Arial"/>
          <w:i/>
          <w:color w:val="231F20"/>
          <w:w w:val="105"/>
        </w:rPr>
        <w:t>to</w:t>
      </w:r>
      <w:r>
        <w:rPr>
          <w:rFonts w:ascii="Arial" w:hAnsi="Arial"/>
          <w:i/>
          <w:color w:val="231F20"/>
          <w:spacing w:val="-2"/>
          <w:w w:val="105"/>
        </w:rPr>
        <w:t> </w:t>
      </w:r>
      <w:r>
        <w:rPr>
          <w:rFonts w:ascii="Arial" w:hAnsi="Arial"/>
          <w:i/>
          <w:color w:val="231F20"/>
          <w:w w:val="105"/>
        </w:rPr>
        <w:t>protect</w:t>
      </w:r>
      <w:r>
        <w:rPr>
          <w:rFonts w:ascii="Arial" w:hAnsi="Arial"/>
          <w:i/>
          <w:color w:val="231F20"/>
          <w:spacing w:val="-2"/>
          <w:w w:val="105"/>
        </w:rPr>
        <w:t> </w:t>
      </w:r>
      <w:r>
        <w:rPr>
          <w:color w:val="231F20"/>
          <w:w w:val="105"/>
        </w:rPr>
        <w:t>approvata,</w:t>
      </w:r>
      <w:r>
        <w:rPr>
          <w:color w:val="231F20"/>
          <w:spacing w:val="-10"/>
          <w:w w:val="105"/>
        </w:rPr>
        <w:t> </w:t>
      </w:r>
      <w:r>
        <w:rPr>
          <w:color w:val="231F20"/>
          <w:w w:val="105"/>
        </w:rPr>
        <w:t>con</w:t>
      </w:r>
      <w:r>
        <w:rPr>
          <w:color w:val="231F20"/>
          <w:spacing w:val="-10"/>
          <w:w w:val="105"/>
        </w:rPr>
        <w:t> </w:t>
      </w:r>
      <w:r>
        <w:rPr>
          <w:color w:val="231F20"/>
          <w:w w:val="105"/>
        </w:rPr>
        <w:t>il massimo</w:t>
      </w:r>
      <w:r>
        <w:rPr>
          <w:color w:val="231F20"/>
          <w:spacing w:val="-10"/>
          <w:w w:val="105"/>
        </w:rPr>
        <w:t> </w:t>
      </w:r>
      <w:r>
        <w:rPr>
          <w:color w:val="231F20"/>
          <w:w w:val="105"/>
        </w:rPr>
        <w:t>livello</w:t>
      </w:r>
      <w:r>
        <w:rPr>
          <w:color w:val="231F20"/>
          <w:spacing w:val="-9"/>
          <w:w w:val="105"/>
        </w:rPr>
        <w:t> </w:t>
      </w:r>
      <w:r>
        <w:rPr>
          <w:color w:val="231F20"/>
          <w:w w:val="105"/>
        </w:rPr>
        <w:t>di</w:t>
      </w:r>
      <w:r>
        <w:rPr>
          <w:color w:val="231F20"/>
          <w:spacing w:val="-9"/>
          <w:w w:val="105"/>
        </w:rPr>
        <w:t> </w:t>
      </w:r>
      <w:r>
        <w:rPr>
          <w:color w:val="231F20"/>
          <w:w w:val="105"/>
        </w:rPr>
        <w:t>solennità,</w:t>
      </w:r>
      <w:r>
        <w:rPr>
          <w:color w:val="231F20"/>
          <w:spacing w:val="-9"/>
          <w:w w:val="105"/>
        </w:rPr>
        <w:t> </w:t>
      </w:r>
      <w:r>
        <w:rPr>
          <w:color w:val="231F20"/>
          <w:w w:val="105"/>
        </w:rPr>
        <w:t>dall’Assemblea</w:t>
      </w:r>
      <w:r>
        <w:rPr>
          <w:color w:val="231F20"/>
          <w:spacing w:val="-10"/>
          <w:w w:val="105"/>
        </w:rPr>
        <w:t> </w:t>
      </w:r>
      <w:r>
        <w:rPr>
          <w:color w:val="231F20"/>
          <w:w w:val="105"/>
        </w:rPr>
        <w:t>generale</w:t>
      </w:r>
      <w:r>
        <w:rPr>
          <w:color w:val="231F20"/>
          <w:spacing w:val="-10"/>
          <w:w w:val="105"/>
        </w:rPr>
        <w:t> </w:t>
      </w:r>
      <w:r>
        <w:rPr>
          <w:color w:val="231F20"/>
          <w:w w:val="105"/>
        </w:rPr>
        <w:t>delle</w:t>
      </w:r>
      <w:r>
        <w:rPr>
          <w:color w:val="231F20"/>
          <w:spacing w:val="-10"/>
          <w:w w:val="105"/>
        </w:rPr>
        <w:t> </w:t>
      </w:r>
      <w:r>
        <w:rPr>
          <w:color w:val="231F20"/>
          <w:w w:val="105"/>
        </w:rPr>
        <w:t>Nazioni</w:t>
      </w:r>
      <w:r>
        <w:rPr>
          <w:color w:val="231F20"/>
          <w:spacing w:val="-9"/>
          <w:w w:val="105"/>
        </w:rPr>
        <w:t> </w:t>
      </w:r>
      <w:r>
        <w:rPr>
          <w:color w:val="231F20"/>
          <w:w w:val="105"/>
        </w:rPr>
        <w:t>Unite nel</w:t>
      </w:r>
      <w:r>
        <w:rPr>
          <w:color w:val="231F20"/>
          <w:spacing w:val="-15"/>
          <w:w w:val="105"/>
        </w:rPr>
        <w:t> </w:t>
      </w:r>
      <w:r>
        <w:rPr>
          <w:rFonts w:ascii="Arial" w:hAnsi="Arial"/>
          <w:i/>
          <w:color w:val="231F20"/>
          <w:w w:val="105"/>
        </w:rPr>
        <w:t>2005</w:t>
      </w:r>
      <w:r>
        <w:rPr>
          <w:rFonts w:ascii="Arial" w:hAnsi="Arial"/>
          <w:i/>
          <w:color w:val="231F20"/>
          <w:spacing w:val="-8"/>
          <w:w w:val="105"/>
        </w:rPr>
        <w:t> </w:t>
      </w:r>
      <w:r>
        <w:rPr>
          <w:rFonts w:ascii="Arial" w:hAnsi="Arial"/>
          <w:i/>
          <w:color w:val="231F20"/>
          <w:w w:val="105"/>
        </w:rPr>
        <w:t>World</w:t>
      </w:r>
      <w:r>
        <w:rPr>
          <w:rFonts w:ascii="Arial" w:hAnsi="Arial"/>
          <w:i/>
          <w:color w:val="231F20"/>
          <w:spacing w:val="-8"/>
          <w:w w:val="105"/>
        </w:rPr>
        <w:t> </w:t>
      </w:r>
      <w:r>
        <w:rPr>
          <w:rFonts w:ascii="Arial" w:hAnsi="Arial"/>
          <w:i/>
          <w:color w:val="231F20"/>
          <w:w w:val="105"/>
        </w:rPr>
        <w:t>Summit</w:t>
      </w:r>
      <w:r>
        <w:rPr>
          <w:rFonts w:ascii="Arial" w:hAnsi="Arial"/>
          <w:i/>
          <w:color w:val="231F20"/>
          <w:spacing w:val="-8"/>
          <w:w w:val="105"/>
        </w:rPr>
        <w:t> </w:t>
      </w:r>
      <w:r>
        <w:rPr>
          <w:rFonts w:ascii="Arial" w:hAnsi="Arial"/>
          <w:i/>
          <w:color w:val="231F20"/>
          <w:w w:val="105"/>
        </w:rPr>
        <w:t>Outcome</w:t>
      </w:r>
      <w:r>
        <w:rPr>
          <w:rFonts w:ascii="Arial" w:hAnsi="Arial"/>
          <w:i/>
          <w:color w:val="231F20"/>
          <w:spacing w:val="-8"/>
          <w:w w:val="105"/>
        </w:rPr>
        <w:t> </w:t>
      </w:r>
      <w:r>
        <w:rPr>
          <w:rFonts w:ascii="Arial" w:hAnsi="Arial"/>
          <w:i/>
          <w:color w:val="231F20"/>
          <w:w w:val="105"/>
        </w:rPr>
        <w:t>Document</w:t>
      </w:r>
      <w:r>
        <w:rPr>
          <w:color w:val="231F20"/>
          <w:w w:val="105"/>
        </w:rPr>
        <w:t>.</w:t>
      </w:r>
      <w:r>
        <w:rPr>
          <w:color w:val="231F20"/>
          <w:spacing w:val="-15"/>
          <w:w w:val="105"/>
        </w:rPr>
        <w:t> </w:t>
      </w:r>
      <w:r>
        <w:rPr>
          <w:color w:val="231F20"/>
          <w:spacing w:val="-6"/>
          <w:w w:val="105"/>
        </w:rPr>
        <w:t>Tale</w:t>
      </w:r>
      <w:r>
        <w:rPr>
          <w:color w:val="231F20"/>
          <w:spacing w:val="-15"/>
          <w:w w:val="105"/>
        </w:rPr>
        <w:t> </w:t>
      </w:r>
      <w:r>
        <w:rPr>
          <w:color w:val="231F20"/>
          <w:w w:val="105"/>
        </w:rPr>
        <w:t>documento</w:t>
      </w:r>
      <w:r>
        <w:rPr>
          <w:color w:val="231F20"/>
          <w:spacing w:val="-15"/>
          <w:w w:val="105"/>
        </w:rPr>
        <w:t> </w:t>
      </w:r>
      <w:r>
        <w:rPr>
          <w:color w:val="231F20"/>
          <w:w w:val="105"/>
        </w:rPr>
        <w:t>fa,</w:t>
      </w:r>
      <w:r>
        <w:rPr>
          <w:color w:val="231F20"/>
          <w:spacing w:val="-15"/>
          <w:w w:val="105"/>
        </w:rPr>
        <w:t> </w:t>
      </w:r>
      <w:r>
        <w:rPr>
          <w:color w:val="231F20"/>
          <w:w w:val="105"/>
        </w:rPr>
        <w:t>infatti, sue</w:t>
      </w:r>
      <w:r>
        <w:rPr>
          <w:color w:val="231F20"/>
          <w:spacing w:val="-31"/>
          <w:w w:val="105"/>
        </w:rPr>
        <w:t> </w:t>
      </w:r>
      <w:r>
        <w:rPr>
          <w:color w:val="231F20"/>
          <w:w w:val="105"/>
        </w:rPr>
        <w:t>—sebbene,</w:t>
      </w:r>
      <w:r>
        <w:rPr>
          <w:color w:val="231F20"/>
          <w:spacing w:val="-31"/>
          <w:w w:val="105"/>
        </w:rPr>
        <w:t> </w:t>
      </w:r>
      <w:r>
        <w:rPr>
          <w:color w:val="231F20"/>
          <w:w w:val="105"/>
        </w:rPr>
        <w:t>a</w:t>
      </w:r>
      <w:r>
        <w:rPr>
          <w:color w:val="231F20"/>
          <w:spacing w:val="-31"/>
          <w:w w:val="105"/>
        </w:rPr>
        <w:t> </w:t>
      </w:r>
      <w:r>
        <w:rPr>
          <w:color w:val="231F20"/>
          <w:w w:val="105"/>
        </w:rPr>
        <w:t>parere</w:t>
      </w:r>
      <w:r>
        <w:rPr>
          <w:color w:val="231F20"/>
          <w:spacing w:val="-31"/>
          <w:w w:val="105"/>
        </w:rPr>
        <w:t> </w:t>
      </w:r>
      <w:r>
        <w:rPr>
          <w:color w:val="231F20"/>
          <w:w w:val="105"/>
        </w:rPr>
        <w:t>di</w:t>
      </w:r>
      <w:r>
        <w:rPr>
          <w:color w:val="231F20"/>
          <w:spacing w:val="-31"/>
          <w:w w:val="105"/>
        </w:rPr>
        <w:t> </w:t>
      </w:r>
      <w:r>
        <w:rPr>
          <w:color w:val="231F20"/>
          <w:w w:val="105"/>
        </w:rPr>
        <w:t>alcuni,</w:t>
      </w:r>
      <w:r>
        <w:rPr>
          <w:color w:val="231F20"/>
          <w:spacing w:val="-31"/>
          <w:w w:val="105"/>
        </w:rPr>
        <w:t> </w:t>
      </w:r>
      <w:r>
        <w:rPr>
          <w:color w:val="231F20"/>
          <w:w w:val="105"/>
        </w:rPr>
        <w:t>in</w:t>
      </w:r>
      <w:r>
        <w:rPr>
          <w:color w:val="231F20"/>
          <w:spacing w:val="-31"/>
          <w:w w:val="105"/>
        </w:rPr>
        <w:t> </w:t>
      </w:r>
      <w:r>
        <w:rPr>
          <w:color w:val="231F20"/>
          <w:w w:val="105"/>
        </w:rPr>
        <w:t>forma</w:t>
      </w:r>
      <w:r>
        <w:rPr>
          <w:color w:val="231F20"/>
          <w:spacing w:val="-31"/>
          <w:w w:val="105"/>
        </w:rPr>
        <w:t> </w:t>
      </w:r>
      <w:r>
        <w:rPr>
          <w:color w:val="231F20"/>
          <w:w w:val="105"/>
        </w:rPr>
        <w:t>decisamente</w:t>
      </w:r>
      <w:r>
        <w:rPr>
          <w:color w:val="231F20"/>
          <w:spacing w:val="-31"/>
          <w:w w:val="105"/>
        </w:rPr>
        <w:t> </w:t>
      </w:r>
      <w:r>
        <w:rPr>
          <w:color w:val="231F20"/>
          <w:w w:val="105"/>
        </w:rPr>
        <w:t>“annacquata”</w:t>
      </w:r>
      <w:r>
        <w:rPr>
          <w:color w:val="231F20"/>
          <w:w w:val="105"/>
          <w:position w:val="7"/>
          <w:sz w:val="12"/>
        </w:rPr>
        <w:t>17</w:t>
      </w:r>
      <w:r>
        <w:rPr>
          <w:color w:val="231F20"/>
          <w:w w:val="105"/>
        </w:rPr>
        <w:t>— le</w:t>
      </w:r>
      <w:r>
        <w:rPr>
          <w:color w:val="231F20"/>
          <w:spacing w:val="-24"/>
          <w:w w:val="105"/>
        </w:rPr>
        <w:t> </w:t>
      </w:r>
      <w:r>
        <w:rPr>
          <w:color w:val="231F20"/>
          <w:w w:val="105"/>
        </w:rPr>
        <w:t>principali</w:t>
      </w:r>
      <w:r>
        <w:rPr>
          <w:color w:val="231F20"/>
          <w:spacing w:val="-24"/>
          <w:w w:val="105"/>
        </w:rPr>
        <w:t> </w:t>
      </w:r>
      <w:r>
        <w:rPr>
          <w:color w:val="231F20"/>
          <w:w w:val="105"/>
        </w:rPr>
        <w:t>istanze</w:t>
      </w:r>
      <w:r>
        <w:rPr>
          <w:color w:val="231F20"/>
          <w:spacing w:val="-24"/>
          <w:w w:val="105"/>
        </w:rPr>
        <w:t> </w:t>
      </w:r>
      <w:r>
        <w:rPr>
          <w:color w:val="231F20"/>
          <w:w w:val="105"/>
        </w:rPr>
        <w:t>maturate</w:t>
      </w:r>
      <w:r>
        <w:rPr>
          <w:color w:val="231F20"/>
          <w:spacing w:val="-24"/>
          <w:w w:val="105"/>
        </w:rPr>
        <w:t> </w:t>
      </w:r>
      <w:r>
        <w:rPr>
          <w:color w:val="231F20"/>
          <w:w w:val="105"/>
        </w:rPr>
        <w:t>nel</w:t>
      </w:r>
      <w:r>
        <w:rPr>
          <w:color w:val="231F20"/>
          <w:spacing w:val="-24"/>
          <w:w w:val="105"/>
        </w:rPr>
        <w:t> </w:t>
      </w:r>
      <w:r>
        <w:rPr>
          <w:color w:val="231F20"/>
          <w:w w:val="105"/>
        </w:rPr>
        <w:t>corso</w:t>
      </w:r>
      <w:r>
        <w:rPr>
          <w:color w:val="231F20"/>
          <w:spacing w:val="-24"/>
          <w:w w:val="105"/>
        </w:rPr>
        <w:t> </w:t>
      </w:r>
      <w:r>
        <w:rPr>
          <w:color w:val="231F20"/>
          <w:w w:val="105"/>
        </w:rPr>
        <w:t>della</w:t>
      </w:r>
      <w:r>
        <w:rPr>
          <w:color w:val="231F20"/>
          <w:spacing w:val="-24"/>
          <w:w w:val="105"/>
        </w:rPr>
        <w:t> </w:t>
      </w:r>
      <w:r>
        <w:rPr>
          <w:color w:val="231F20"/>
          <w:w w:val="105"/>
        </w:rPr>
        <w:t>peculiare</w:t>
      </w:r>
      <w:r>
        <w:rPr>
          <w:color w:val="231F20"/>
          <w:spacing w:val="-24"/>
          <w:w w:val="105"/>
        </w:rPr>
        <w:t> </w:t>
      </w:r>
      <w:r>
        <w:rPr>
          <w:color w:val="231F20"/>
          <w:w w:val="105"/>
        </w:rPr>
        <w:t>“svolta</w:t>
      </w:r>
      <w:r>
        <w:rPr>
          <w:color w:val="231F20"/>
          <w:spacing w:val="-24"/>
          <w:w w:val="105"/>
        </w:rPr>
        <w:t> </w:t>
      </w:r>
      <w:r>
        <w:rPr>
          <w:color w:val="231F20"/>
          <w:w w:val="105"/>
        </w:rPr>
        <w:t>umanitaria” della</w:t>
      </w:r>
      <w:r>
        <w:rPr>
          <w:color w:val="231F20"/>
          <w:spacing w:val="-26"/>
          <w:w w:val="105"/>
        </w:rPr>
        <w:t> </w:t>
      </w:r>
      <w:r>
        <w:rPr>
          <w:color w:val="231F20"/>
          <w:w w:val="105"/>
        </w:rPr>
        <w:t>politica</w:t>
      </w:r>
      <w:r>
        <w:rPr>
          <w:color w:val="231F20"/>
          <w:spacing w:val="-26"/>
          <w:w w:val="105"/>
        </w:rPr>
        <w:t> </w:t>
      </w:r>
      <w:r>
        <w:rPr>
          <w:color w:val="231F20"/>
          <w:w w:val="105"/>
        </w:rPr>
        <w:t>internazionale</w:t>
      </w:r>
      <w:r>
        <w:rPr>
          <w:color w:val="231F20"/>
          <w:spacing w:val="-26"/>
          <w:w w:val="105"/>
        </w:rPr>
        <w:t> </w:t>
      </w:r>
      <w:r>
        <w:rPr>
          <w:color w:val="231F20"/>
          <w:w w:val="105"/>
        </w:rPr>
        <w:t>contemporanea</w:t>
      </w:r>
      <w:r>
        <w:rPr>
          <w:color w:val="231F20"/>
          <w:w w:val="105"/>
          <w:position w:val="7"/>
          <w:sz w:val="12"/>
        </w:rPr>
        <w:t>18</w:t>
      </w:r>
      <w:r>
        <w:rPr>
          <w:color w:val="231F20"/>
          <w:w w:val="105"/>
        </w:rPr>
        <w:t>,</w:t>
      </w:r>
      <w:r>
        <w:rPr>
          <w:color w:val="231F20"/>
          <w:spacing w:val="-26"/>
          <w:w w:val="105"/>
        </w:rPr>
        <w:t> </w:t>
      </w:r>
      <w:r>
        <w:rPr>
          <w:color w:val="231F20"/>
          <w:w w:val="105"/>
        </w:rPr>
        <w:t>fissando</w:t>
      </w:r>
      <w:r>
        <w:rPr>
          <w:color w:val="231F20"/>
          <w:spacing w:val="-26"/>
          <w:w w:val="105"/>
        </w:rPr>
        <w:t> </w:t>
      </w:r>
      <w:r>
        <w:rPr>
          <w:color w:val="231F20"/>
          <w:w w:val="105"/>
        </w:rPr>
        <w:t>alcuni</w:t>
      </w:r>
      <w:r>
        <w:rPr>
          <w:color w:val="231F20"/>
          <w:spacing w:val="-26"/>
          <w:w w:val="105"/>
        </w:rPr>
        <w:t> </w:t>
      </w:r>
      <w:r>
        <w:rPr>
          <w:color w:val="231F20"/>
          <w:w w:val="105"/>
        </w:rPr>
        <w:t>principi</w:t>
      </w:r>
      <w:r>
        <w:rPr>
          <w:color w:val="231F20"/>
          <w:spacing w:val="-26"/>
          <w:w w:val="105"/>
        </w:rPr>
        <w:t> </w:t>
      </w:r>
      <w:r>
        <w:rPr>
          <w:color w:val="231F20"/>
          <w:w w:val="105"/>
        </w:rPr>
        <w:t>che dovrebbero</w:t>
      </w:r>
      <w:r>
        <w:rPr>
          <w:color w:val="231F20"/>
          <w:spacing w:val="-43"/>
          <w:w w:val="105"/>
        </w:rPr>
        <w:t> </w:t>
      </w:r>
      <w:r>
        <w:rPr>
          <w:color w:val="231F20"/>
          <w:w w:val="105"/>
        </w:rPr>
        <w:t>rappresentare</w:t>
      </w:r>
      <w:r>
        <w:rPr>
          <w:color w:val="231F20"/>
          <w:spacing w:val="-43"/>
          <w:w w:val="105"/>
        </w:rPr>
        <w:t> </w:t>
      </w:r>
      <w:r>
        <w:rPr>
          <w:color w:val="231F20"/>
          <w:w w:val="105"/>
        </w:rPr>
        <w:t>un</w:t>
      </w:r>
      <w:r>
        <w:rPr>
          <w:color w:val="231F20"/>
          <w:spacing w:val="-43"/>
          <w:w w:val="105"/>
        </w:rPr>
        <w:t> </w:t>
      </w:r>
      <w:r>
        <w:rPr>
          <w:color w:val="231F20"/>
          <w:w w:val="105"/>
        </w:rPr>
        <w:t>punto</w:t>
      </w:r>
      <w:r>
        <w:rPr>
          <w:color w:val="231F20"/>
          <w:spacing w:val="-43"/>
          <w:w w:val="105"/>
        </w:rPr>
        <w:t> </w:t>
      </w:r>
      <w:r>
        <w:rPr>
          <w:color w:val="231F20"/>
          <w:w w:val="105"/>
        </w:rPr>
        <w:t>di</w:t>
      </w:r>
      <w:r>
        <w:rPr>
          <w:color w:val="231F20"/>
          <w:spacing w:val="-43"/>
          <w:w w:val="105"/>
        </w:rPr>
        <w:t> </w:t>
      </w:r>
      <w:r>
        <w:rPr>
          <w:color w:val="231F20"/>
          <w:w w:val="105"/>
        </w:rPr>
        <w:t>non</w:t>
      </w:r>
      <w:r>
        <w:rPr>
          <w:color w:val="231F20"/>
          <w:spacing w:val="-43"/>
          <w:w w:val="105"/>
        </w:rPr>
        <w:t> </w:t>
      </w:r>
      <w:r>
        <w:rPr>
          <w:color w:val="231F20"/>
          <w:w w:val="105"/>
        </w:rPr>
        <w:t>ritorno</w:t>
      </w:r>
      <w:r>
        <w:rPr>
          <w:color w:val="231F20"/>
          <w:spacing w:val="-43"/>
          <w:w w:val="105"/>
        </w:rPr>
        <w:t> </w:t>
      </w:r>
      <w:r>
        <w:rPr>
          <w:color w:val="231F20"/>
          <w:w w:val="105"/>
        </w:rPr>
        <w:t>sulla</w:t>
      </w:r>
      <w:r>
        <w:rPr>
          <w:color w:val="231F20"/>
          <w:spacing w:val="-43"/>
          <w:w w:val="105"/>
        </w:rPr>
        <w:t> </w:t>
      </w:r>
      <w:r>
        <w:rPr>
          <w:color w:val="231F20"/>
          <w:w w:val="105"/>
        </w:rPr>
        <w:t>strada</w:t>
      </w:r>
      <w:r>
        <w:rPr>
          <w:color w:val="231F20"/>
          <w:spacing w:val="-43"/>
          <w:w w:val="105"/>
        </w:rPr>
        <w:t> </w:t>
      </w:r>
      <w:r>
        <w:rPr>
          <w:color w:val="231F20"/>
          <w:w w:val="105"/>
        </w:rPr>
        <w:t>di</w:t>
      </w:r>
      <w:r>
        <w:rPr>
          <w:color w:val="231F20"/>
          <w:spacing w:val="-43"/>
          <w:w w:val="105"/>
        </w:rPr>
        <w:t> </w:t>
      </w:r>
      <w:r>
        <w:rPr>
          <w:color w:val="231F20"/>
          <w:w w:val="105"/>
        </w:rPr>
        <w:t>una</w:t>
      </w:r>
      <w:r>
        <w:rPr>
          <w:color w:val="231F20"/>
          <w:spacing w:val="-43"/>
          <w:w w:val="105"/>
        </w:rPr>
        <w:t> </w:t>
      </w:r>
      <w:r>
        <w:rPr>
          <w:color w:val="231F20"/>
          <w:w w:val="105"/>
        </w:rPr>
        <w:t>nuova e</w:t>
      </w:r>
      <w:r>
        <w:rPr>
          <w:color w:val="231F20"/>
          <w:spacing w:val="-51"/>
          <w:w w:val="105"/>
        </w:rPr>
        <w:t> </w:t>
      </w:r>
      <w:r>
        <w:rPr>
          <w:color w:val="231F20"/>
          <w:w w:val="105"/>
        </w:rPr>
        <w:t>più</w:t>
      </w:r>
      <w:r>
        <w:rPr>
          <w:color w:val="231F20"/>
          <w:spacing w:val="-51"/>
          <w:w w:val="105"/>
        </w:rPr>
        <w:t> </w:t>
      </w:r>
      <w:r>
        <w:rPr>
          <w:color w:val="231F20"/>
          <w:w w:val="105"/>
        </w:rPr>
        <w:t>evoluta</w:t>
      </w:r>
      <w:r>
        <w:rPr>
          <w:color w:val="231F20"/>
          <w:spacing w:val="-51"/>
          <w:w w:val="105"/>
        </w:rPr>
        <w:t> </w:t>
      </w:r>
      <w:r>
        <w:rPr>
          <w:color w:val="231F20"/>
          <w:w w:val="105"/>
        </w:rPr>
        <w:t>forma</w:t>
      </w:r>
      <w:r>
        <w:rPr>
          <w:color w:val="231F20"/>
          <w:spacing w:val="-51"/>
          <w:w w:val="105"/>
        </w:rPr>
        <w:t> </w:t>
      </w:r>
      <w:r>
        <w:rPr>
          <w:color w:val="231F20"/>
          <w:w w:val="105"/>
        </w:rPr>
        <w:t>di</w:t>
      </w:r>
      <w:r>
        <w:rPr>
          <w:color w:val="231F20"/>
          <w:spacing w:val="-51"/>
          <w:w w:val="105"/>
        </w:rPr>
        <w:t> </w:t>
      </w:r>
      <w:r>
        <w:rPr>
          <w:color w:val="231F20"/>
          <w:w w:val="105"/>
        </w:rPr>
        <w:t>ordine</w:t>
      </w:r>
      <w:r>
        <w:rPr>
          <w:color w:val="231F20"/>
          <w:spacing w:val="-51"/>
          <w:w w:val="105"/>
        </w:rPr>
        <w:t> </w:t>
      </w:r>
      <w:r>
        <w:rPr>
          <w:color w:val="231F20"/>
          <w:w w:val="105"/>
        </w:rPr>
        <w:t>internazionale:</w:t>
      </w:r>
      <w:r>
        <w:rPr>
          <w:color w:val="231F20"/>
          <w:spacing w:val="-51"/>
          <w:w w:val="105"/>
        </w:rPr>
        <w:t> </w:t>
      </w:r>
      <w:r>
        <w:rPr>
          <w:color w:val="231F20"/>
          <w:w w:val="105"/>
        </w:rPr>
        <w:t>in</w:t>
      </w:r>
      <w:r>
        <w:rPr>
          <w:color w:val="231F20"/>
          <w:spacing w:val="-51"/>
          <w:w w:val="105"/>
        </w:rPr>
        <w:t> </w:t>
      </w:r>
      <w:r>
        <w:rPr>
          <w:color w:val="231F20"/>
          <w:w w:val="105"/>
        </w:rPr>
        <w:t>particolare,</w:t>
      </w:r>
      <w:r>
        <w:rPr>
          <w:color w:val="231F20"/>
          <w:spacing w:val="-51"/>
          <w:w w:val="105"/>
        </w:rPr>
        <w:t> </w:t>
      </w:r>
      <w:r>
        <w:rPr>
          <w:color w:val="231F20"/>
          <w:w w:val="105"/>
        </w:rPr>
        <w:t>il</w:t>
      </w:r>
      <w:r>
        <w:rPr>
          <w:color w:val="231F20"/>
          <w:spacing w:val="-51"/>
          <w:w w:val="105"/>
        </w:rPr>
        <w:t> </w:t>
      </w:r>
      <w:r>
        <w:rPr>
          <w:color w:val="231F20"/>
          <w:w w:val="105"/>
        </w:rPr>
        <w:t>riconoscimento “che</w:t>
      </w:r>
      <w:r>
        <w:rPr>
          <w:color w:val="231F20"/>
          <w:spacing w:val="-27"/>
          <w:w w:val="105"/>
        </w:rPr>
        <w:t> </w:t>
      </w:r>
      <w:r>
        <w:rPr>
          <w:color w:val="231F20"/>
          <w:w w:val="105"/>
        </w:rPr>
        <w:t>tutti</w:t>
      </w:r>
      <w:r>
        <w:rPr>
          <w:color w:val="231F20"/>
          <w:spacing w:val="-27"/>
          <w:w w:val="105"/>
        </w:rPr>
        <w:t> </w:t>
      </w:r>
      <w:r>
        <w:rPr>
          <w:color w:val="231F20"/>
          <w:w w:val="105"/>
        </w:rPr>
        <w:t>gli</w:t>
      </w:r>
      <w:r>
        <w:rPr>
          <w:color w:val="231F20"/>
          <w:spacing w:val="-27"/>
          <w:w w:val="105"/>
        </w:rPr>
        <w:t> </w:t>
      </w:r>
      <w:r>
        <w:rPr>
          <w:color w:val="231F20"/>
          <w:w w:val="105"/>
        </w:rPr>
        <w:t>Stati</w:t>
      </w:r>
      <w:r>
        <w:rPr>
          <w:color w:val="231F20"/>
          <w:spacing w:val="-27"/>
          <w:w w:val="105"/>
        </w:rPr>
        <w:t> </w:t>
      </w:r>
      <w:r>
        <w:rPr>
          <w:color w:val="231F20"/>
          <w:w w:val="105"/>
        </w:rPr>
        <w:t>hanno</w:t>
      </w:r>
      <w:r>
        <w:rPr>
          <w:color w:val="231F20"/>
          <w:spacing w:val="-27"/>
          <w:w w:val="105"/>
        </w:rPr>
        <w:t> </w:t>
      </w:r>
      <w:r>
        <w:rPr>
          <w:color w:val="231F20"/>
          <w:w w:val="105"/>
        </w:rPr>
        <w:t>la</w:t>
      </w:r>
      <w:r>
        <w:rPr>
          <w:color w:val="231F20"/>
          <w:spacing w:val="-27"/>
          <w:w w:val="105"/>
        </w:rPr>
        <w:t> </w:t>
      </w:r>
      <w:r>
        <w:rPr>
          <w:color w:val="231F20"/>
          <w:w w:val="105"/>
        </w:rPr>
        <w:t>responsabilità</w:t>
      </w:r>
      <w:r>
        <w:rPr>
          <w:color w:val="231F20"/>
          <w:spacing w:val="-27"/>
          <w:w w:val="105"/>
        </w:rPr>
        <w:t> </w:t>
      </w:r>
      <w:r>
        <w:rPr>
          <w:color w:val="231F20"/>
          <w:w w:val="105"/>
        </w:rPr>
        <w:t>di</w:t>
      </w:r>
      <w:r>
        <w:rPr>
          <w:color w:val="231F20"/>
          <w:spacing w:val="-27"/>
          <w:w w:val="105"/>
        </w:rPr>
        <w:t> </w:t>
      </w:r>
      <w:r>
        <w:rPr>
          <w:color w:val="231F20"/>
          <w:w w:val="105"/>
        </w:rPr>
        <w:t>proteggere</w:t>
      </w:r>
      <w:r>
        <w:rPr>
          <w:color w:val="231F20"/>
          <w:spacing w:val="-27"/>
          <w:w w:val="105"/>
        </w:rPr>
        <w:t> </w:t>
      </w:r>
      <w:r>
        <w:rPr>
          <w:color w:val="231F20"/>
          <w:w w:val="105"/>
        </w:rPr>
        <w:t>le</w:t>
      </w:r>
      <w:r>
        <w:rPr>
          <w:color w:val="231F20"/>
          <w:spacing w:val="-27"/>
          <w:w w:val="105"/>
        </w:rPr>
        <w:t> </w:t>
      </w:r>
      <w:r>
        <w:rPr>
          <w:color w:val="231F20"/>
          <w:w w:val="105"/>
        </w:rPr>
        <w:t>loro</w:t>
      </w:r>
      <w:r>
        <w:rPr>
          <w:color w:val="231F20"/>
          <w:spacing w:val="-27"/>
          <w:w w:val="105"/>
        </w:rPr>
        <w:t> </w:t>
      </w:r>
      <w:r>
        <w:rPr>
          <w:color w:val="231F20"/>
          <w:w w:val="105"/>
        </w:rPr>
        <w:t>popolazioni dal</w:t>
      </w:r>
      <w:r>
        <w:rPr>
          <w:color w:val="231F20"/>
          <w:spacing w:val="-26"/>
          <w:w w:val="105"/>
        </w:rPr>
        <w:t> </w:t>
      </w:r>
      <w:r>
        <w:rPr>
          <w:color w:val="231F20"/>
          <w:w w:val="105"/>
        </w:rPr>
        <w:t>genocidio,</w:t>
      </w:r>
      <w:r>
        <w:rPr>
          <w:color w:val="231F20"/>
          <w:spacing w:val="-26"/>
          <w:w w:val="105"/>
        </w:rPr>
        <w:t> </w:t>
      </w:r>
      <w:r>
        <w:rPr>
          <w:color w:val="231F20"/>
          <w:w w:val="105"/>
        </w:rPr>
        <w:t>dai</w:t>
      </w:r>
      <w:r>
        <w:rPr>
          <w:color w:val="231F20"/>
          <w:spacing w:val="-26"/>
          <w:w w:val="105"/>
        </w:rPr>
        <w:t> </w:t>
      </w:r>
      <w:r>
        <w:rPr>
          <w:color w:val="231F20"/>
          <w:w w:val="105"/>
        </w:rPr>
        <w:t>crimini</w:t>
      </w:r>
      <w:r>
        <w:rPr>
          <w:color w:val="231F20"/>
          <w:spacing w:val="-26"/>
          <w:w w:val="105"/>
        </w:rPr>
        <w:t> </w:t>
      </w:r>
      <w:r>
        <w:rPr>
          <w:color w:val="231F20"/>
          <w:w w:val="105"/>
        </w:rPr>
        <w:t>di</w:t>
      </w:r>
      <w:r>
        <w:rPr>
          <w:color w:val="231F20"/>
          <w:spacing w:val="-26"/>
          <w:w w:val="105"/>
        </w:rPr>
        <w:t> </w:t>
      </w:r>
      <w:r>
        <w:rPr>
          <w:color w:val="231F20"/>
          <w:w w:val="105"/>
        </w:rPr>
        <w:t>guerra,</w:t>
      </w:r>
      <w:r>
        <w:rPr>
          <w:color w:val="231F20"/>
          <w:spacing w:val="-26"/>
          <w:w w:val="105"/>
        </w:rPr>
        <w:t> </w:t>
      </w:r>
      <w:r>
        <w:rPr>
          <w:color w:val="231F20"/>
          <w:w w:val="105"/>
        </w:rPr>
        <w:t>dalla</w:t>
      </w:r>
      <w:r>
        <w:rPr>
          <w:color w:val="231F20"/>
          <w:spacing w:val="-26"/>
          <w:w w:val="105"/>
        </w:rPr>
        <w:t> </w:t>
      </w:r>
      <w:r>
        <w:rPr>
          <w:color w:val="231F20"/>
          <w:w w:val="105"/>
        </w:rPr>
        <w:t>pulizia</w:t>
      </w:r>
      <w:r>
        <w:rPr>
          <w:color w:val="231F20"/>
          <w:spacing w:val="-26"/>
          <w:w w:val="105"/>
        </w:rPr>
        <w:t> </w:t>
      </w:r>
      <w:r>
        <w:rPr>
          <w:color w:val="231F20"/>
          <w:w w:val="105"/>
        </w:rPr>
        <w:t>etnica</w:t>
      </w:r>
      <w:r>
        <w:rPr>
          <w:color w:val="231F20"/>
          <w:spacing w:val="-26"/>
          <w:w w:val="105"/>
        </w:rPr>
        <w:t> </w:t>
      </w:r>
      <w:r>
        <w:rPr>
          <w:color w:val="231F20"/>
          <w:w w:val="105"/>
        </w:rPr>
        <w:t>e</w:t>
      </w:r>
      <w:r>
        <w:rPr>
          <w:color w:val="231F20"/>
          <w:spacing w:val="-26"/>
          <w:w w:val="105"/>
        </w:rPr>
        <w:t> </w:t>
      </w:r>
      <w:r>
        <w:rPr>
          <w:color w:val="231F20"/>
          <w:w w:val="105"/>
        </w:rPr>
        <w:t>dai</w:t>
      </w:r>
      <w:r>
        <w:rPr>
          <w:color w:val="231F20"/>
          <w:spacing w:val="-26"/>
          <w:w w:val="105"/>
        </w:rPr>
        <w:t> </w:t>
      </w:r>
      <w:r>
        <w:rPr>
          <w:color w:val="231F20"/>
          <w:w w:val="105"/>
        </w:rPr>
        <w:t>crimini</w:t>
      </w:r>
      <w:r>
        <w:rPr>
          <w:color w:val="231F20"/>
          <w:spacing w:val="-26"/>
          <w:w w:val="105"/>
        </w:rPr>
        <w:t> </w:t>
      </w:r>
      <w:r>
        <w:rPr>
          <w:color w:val="231F20"/>
          <w:w w:val="105"/>
        </w:rPr>
        <w:t>contro l’umanità”;</w:t>
      </w:r>
      <w:r>
        <w:rPr>
          <w:color w:val="231F20"/>
          <w:spacing w:val="-31"/>
          <w:w w:val="105"/>
        </w:rPr>
        <w:t> </w:t>
      </w:r>
      <w:r>
        <w:rPr>
          <w:color w:val="231F20"/>
          <w:w w:val="105"/>
        </w:rPr>
        <w:t>che</w:t>
      </w:r>
      <w:r>
        <w:rPr>
          <w:color w:val="231F20"/>
          <w:spacing w:val="-31"/>
          <w:w w:val="105"/>
        </w:rPr>
        <w:t> </w:t>
      </w:r>
      <w:r>
        <w:rPr>
          <w:color w:val="231F20"/>
          <w:w w:val="105"/>
        </w:rPr>
        <w:t>i</w:t>
      </w:r>
      <w:r>
        <w:rPr>
          <w:color w:val="231F20"/>
          <w:spacing w:val="-31"/>
          <w:w w:val="105"/>
        </w:rPr>
        <w:t> </w:t>
      </w:r>
      <w:r>
        <w:rPr>
          <w:color w:val="231F20"/>
          <w:w w:val="105"/>
        </w:rPr>
        <w:t>membri</w:t>
      </w:r>
      <w:r>
        <w:rPr>
          <w:color w:val="231F20"/>
          <w:spacing w:val="-31"/>
          <w:w w:val="105"/>
        </w:rPr>
        <w:t> </w:t>
      </w:r>
      <w:r>
        <w:rPr>
          <w:color w:val="231F20"/>
          <w:w w:val="105"/>
        </w:rPr>
        <w:t>delle</w:t>
      </w:r>
      <w:r>
        <w:rPr>
          <w:color w:val="231F20"/>
          <w:spacing w:val="-31"/>
          <w:w w:val="105"/>
        </w:rPr>
        <w:t> </w:t>
      </w:r>
      <w:r>
        <w:rPr>
          <w:color w:val="231F20"/>
          <w:w w:val="105"/>
        </w:rPr>
        <w:t>Nazioni</w:t>
      </w:r>
      <w:r>
        <w:rPr>
          <w:color w:val="231F20"/>
          <w:spacing w:val="-31"/>
          <w:w w:val="105"/>
        </w:rPr>
        <w:t> </w:t>
      </w:r>
      <w:r>
        <w:rPr>
          <w:color w:val="231F20"/>
          <w:w w:val="105"/>
        </w:rPr>
        <w:t>Unite</w:t>
      </w:r>
      <w:r>
        <w:rPr>
          <w:color w:val="231F20"/>
          <w:spacing w:val="-31"/>
          <w:w w:val="105"/>
        </w:rPr>
        <w:t> </w:t>
      </w:r>
      <w:r>
        <w:rPr>
          <w:color w:val="231F20"/>
          <w:w w:val="105"/>
        </w:rPr>
        <w:t>hanno</w:t>
      </w:r>
      <w:r>
        <w:rPr>
          <w:color w:val="231F20"/>
          <w:spacing w:val="-31"/>
          <w:w w:val="105"/>
        </w:rPr>
        <w:t> </w:t>
      </w:r>
      <w:r>
        <w:rPr>
          <w:color w:val="231F20"/>
          <w:w w:val="105"/>
        </w:rPr>
        <w:t>il</w:t>
      </w:r>
      <w:r>
        <w:rPr>
          <w:color w:val="231F20"/>
          <w:spacing w:val="-31"/>
          <w:w w:val="105"/>
        </w:rPr>
        <w:t> </w:t>
      </w:r>
      <w:r>
        <w:rPr>
          <w:color w:val="231F20"/>
          <w:w w:val="105"/>
        </w:rPr>
        <w:t>dovere</w:t>
      </w:r>
      <w:r>
        <w:rPr>
          <w:color w:val="231F20"/>
          <w:spacing w:val="-31"/>
          <w:w w:val="105"/>
        </w:rPr>
        <w:t> </w:t>
      </w:r>
      <w:r>
        <w:rPr>
          <w:color w:val="231F20"/>
          <w:w w:val="105"/>
        </w:rPr>
        <w:t>di</w:t>
      </w:r>
      <w:r>
        <w:rPr>
          <w:color w:val="231F20"/>
          <w:spacing w:val="-31"/>
          <w:w w:val="105"/>
        </w:rPr>
        <w:t> </w:t>
      </w:r>
      <w:r>
        <w:rPr>
          <w:color w:val="231F20"/>
          <w:w w:val="105"/>
        </w:rPr>
        <w:t>assistere</w:t>
      </w:r>
      <w:r>
        <w:rPr>
          <w:color w:val="231F20"/>
          <w:spacing w:val="-31"/>
          <w:w w:val="105"/>
        </w:rPr>
        <w:t> </w:t>
      </w:r>
      <w:r>
        <w:rPr>
          <w:color w:val="231F20"/>
          <w:w w:val="105"/>
        </w:rPr>
        <w:t>gli Stati</w:t>
      </w:r>
      <w:r>
        <w:rPr>
          <w:color w:val="231F20"/>
          <w:spacing w:val="-43"/>
          <w:w w:val="105"/>
        </w:rPr>
        <w:t> </w:t>
      </w:r>
      <w:r>
        <w:rPr>
          <w:color w:val="231F20"/>
          <w:w w:val="105"/>
        </w:rPr>
        <w:t>nell’adempimento</w:t>
      </w:r>
      <w:r>
        <w:rPr>
          <w:color w:val="231F20"/>
          <w:spacing w:val="-43"/>
          <w:w w:val="105"/>
        </w:rPr>
        <w:t> </w:t>
      </w:r>
      <w:r>
        <w:rPr>
          <w:color w:val="231F20"/>
          <w:w w:val="105"/>
        </w:rPr>
        <w:t>di</w:t>
      </w:r>
      <w:r>
        <w:rPr>
          <w:color w:val="231F20"/>
          <w:spacing w:val="-43"/>
          <w:w w:val="105"/>
        </w:rPr>
        <w:t> </w:t>
      </w:r>
      <w:r>
        <w:rPr>
          <w:color w:val="231F20"/>
          <w:w w:val="105"/>
        </w:rPr>
        <w:t>tale</w:t>
      </w:r>
      <w:r>
        <w:rPr>
          <w:color w:val="231F20"/>
          <w:spacing w:val="-43"/>
          <w:w w:val="105"/>
        </w:rPr>
        <w:t> </w:t>
      </w:r>
      <w:r>
        <w:rPr>
          <w:color w:val="231F20"/>
          <w:spacing w:val="-3"/>
          <w:w w:val="105"/>
        </w:rPr>
        <w:t>responsabilità</w:t>
      </w:r>
      <w:r>
        <w:rPr>
          <w:color w:val="231F20"/>
          <w:spacing w:val="-43"/>
          <w:w w:val="105"/>
        </w:rPr>
        <w:t> </w:t>
      </w:r>
      <w:r>
        <w:rPr>
          <w:color w:val="231F20"/>
          <w:w w:val="105"/>
        </w:rPr>
        <w:t>e</w:t>
      </w:r>
      <w:r>
        <w:rPr>
          <w:color w:val="231F20"/>
          <w:spacing w:val="-43"/>
          <w:w w:val="105"/>
        </w:rPr>
        <w:t> </w:t>
      </w:r>
      <w:r>
        <w:rPr>
          <w:color w:val="231F20"/>
          <w:w w:val="105"/>
        </w:rPr>
        <w:t>che</w:t>
      </w:r>
      <w:r>
        <w:rPr>
          <w:color w:val="231F20"/>
          <w:spacing w:val="-43"/>
          <w:w w:val="105"/>
        </w:rPr>
        <w:t> </w:t>
      </w:r>
      <w:r>
        <w:rPr>
          <w:color w:val="231F20"/>
          <w:w w:val="105"/>
        </w:rPr>
        <w:t>“quando</w:t>
      </w:r>
      <w:r>
        <w:rPr>
          <w:color w:val="231F20"/>
          <w:spacing w:val="-43"/>
          <w:w w:val="105"/>
        </w:rPr>
        <w:t> </w:t>
      </w:r>
      <w:r>
        <w:rPr>
          <w:color w:val="231F20"/>
          <w:w w:val="105"/>
        </w:rPr>
        <w:t>uno</w:t>
      </w:r>
      <w:r>
        <w:rPr>
          <w:color w:val="231F20"/>
          <w:spacing w:val="-43"/>
          <w:w w:val="105"/>
        </w:rPr>
        <w:t> </w:t>
      </w:r>
      <w:r>
        <w:rPr>
          <w:color w:val="231F20"/>
          <w:w w:val="105"/>
        </w:rPr>
        <w:t>Stato</w:t>
      </w:r>
      <w:r>
        <w:rPr>
          <w:color w:val="231F20"/>
          <w:spacing w:val="-43"/>
          <w:w w:val="105"/>
        </w:rPr>
        <w:t> </w:t>
      </w:r>
      <w:r>
        <w:rPr>
          <w:color w:val="231F20"/>
          <w:w w:val="105"/>
        </w:rPr>
        <w:t>viene manifestamente</w:t>
      </w:r>
      <w:r>
        <w:rPr>
          <w:color w:val="231F20"/>
          <w:spacing w:val="-17"/>
          <w:w w:val="105"/>
        </w:rPr>
        <w:t> </w:t>
      </w:r>
      <w:r>
        <w:rPr>
          <w:color w:val="231F20"/>
          <w:w w:val="105"/>
        </w:rPr>
        <w:t>meno</w:t>
      </w:r>
      <w:r>
        <w:rPr>
          <w:color w:val="231F20"/>
          <w:spacing w:val="-17"/>
          <w:w w:val="105"/>
        </w:rPr>
        <w:t> </w:t>
      </w:r>
      <w:r>
        <w:rPr>
          <w:color w:val="231F20"/>
          <w:w w:val="105"/>
        </w:rPr>
        <w:t>alle</w:t>
      </w:r>
      <w:r>
        <w:rPr>
          <w:color w:val="231F20"/>
          <w:spacing w:val="-17"/>
          <w:w w:val="105"/>
        </w:rPr>
        <w:t> </w:t>
      </w:r>
      <w:r>
        <w:rPr>
          <w:color w:val="231F20"/>
          <w:w w:val="105"/>
        </w:rPr>
        <w:t>proprie</w:t>
      </w:r>
      <w:r>
        <w:rPr>
          <w:color w:val="231F20"/>
          <w:spacing w:val="-17"/>
          <w:w w:val="105"/>
        </w:rPr>
        <w:t> </w:t>
      </w:r>
      <w:r>
        <w:rPr>
          <w:color w:val="231F20"/>
          <w:w w:val="105"/>
        </w:rPr>
        <w:t>responsabilità,</w:t>
      </w:r>
      <w:r>
        <w:rPr>
          <w:color w:val="231F20"/>
          <w:spacing w:val="-17"/>
          <w:w w:val="105"/>
        </w:rPr>
        <w:t> </w:t>
      </w:r>
      <w:r>
        <w:rPr>
          <w:color w:val="231F20"/>
          <w:w w:val="105"/>
        </w:rPr>
        <w:t>attori</w:t>
      </w:r>
      <w:r>
        <w:rPr>
          <w:color w:val="231F20"/>
          <w:spacing w:val="-17"/>
          <w:w w:val="105"/>
        </w:rPr>
        <w:t> </w:t>
      </w:r>
      <w:r>
        <w:rPr>
          <w:color w:val="231F20"/>
          <w:w w:val="105"/>
        </w:rPr>
        <w:t>esterni</w:t>
      </w:r>
      <w:r>
        <w:rPr>
          <w:color w:val="231F20"/>
          <w:spacing w:val="-17"/>
          <w:w w:val="105"/>
        </w:rPr>
        <w:t> </w:t>
      </w:r>
      <w:r>
        <w:rPr>
          <w:color w:val="231F20"/>
          <w:w w:val="105"/>
        </w:rPr>
        <w:t>debbono assumere</w:t>
      </w:r>
      <w:r>
        <w:rPr>
          <w:color w:val="231F20"/>
          <w:spacing w:val="-21"/>
          <w:w w:val="105"/>
        </w:rPr>
        <w:t> </w:t>
      </w:r>
      <w:r>
        <w:rPr>
          <w:color w:val="231F20"/>
          <w:w w:val="105"/>
        </w:rPr>
        <w:t>iniziative</w:t>
      </w:r>
      <w:r>
        <w:rPr>
          <w:color w:val="231F20"/>
          <w:spacing w:val="-21"/>
          <w:w w:val="105"/>
        </w:rPr>
        <w:t> </w:t>
      </w:r>
      <w:r>
        <w:rPr>
          <w:color w:val="231F20"/>
          <w:w w:val="105"/>
        </w:rPr>
        <w:t>“tempestive</w:t>
      </w:r>
      <w:r>
        <w:rPr>
          <w:color w:val="231F20"/>
          <w:spacing w:val="-21"/>
          <w:w w:val="105"/>
        </w:rPr>
        <w:t> </w:t>
      </w:r>
      <w:r>
        <w:rPr>
          <w:color w:val="231F20"/>
          <w:w w:val="105"/>
        </w:rPr>
        <w:t>e</w:t>
      </w:r>
      <w:r>
        <w:rPr>
          <w:color w:val="231F20"/>
          <w:spacing w:val="-21"/>
          <w:w w:val="105"/>
        </w:rPr>
        <w:t> </w:t>
      </w:r>
      <w:r>
        <w:rPr>
          <w:color w:val="231F20"/>
          <w:w w:val="105"/>
        </w:rPr>
        <w:t>decisive”</w:t>
      </w:r>
      <w:r>
        <w:rPr>
          <w:color w:val="231F20"/>
          <w:spacing w:val="-21"/>
          <w:w w:val="105"/>
        </w:rPr>
        <w:t> </w:t>
      </w:r>
      <w:r>
        <w:rPr>
          <w:color w:val="231F20"/>
          <w:w w:val="105"/>
        </w:rPr>
        <w:t>per</w:t>
      </w:r>
      <w:r>
        <w:rPr>
          <w:color w:val="231F20"/>
          <w:spacing w:val="-21"/>
          <w:w w:val="105"/>
        </w:rPr>
        <w:t> </w:t>
      </w:r>
      <w:r>
        <w:rPr>
          <w:color w:val="231F20"/>
          <w:w w:val="105"/>
        </w:rPr>
        <w:t>proteggere</w:t>
      </w:r>
      <w:r>
        <w:rPr>
          <w:color w:val="231F20"/>
          <w:spacing w:val="-21"/>
          <w:w w:val="105"/>
        </w:rPr>
        <w:t> </w:t>
      </w:r>
      <w:r>
        <w:rPr>
          <w:color w:val="231F20"/>
          <w:w w:val="105"/>
        </w:rPr>
        <w:t>le</w:t>
      </w:r>
      <w:r>
        <w:rPr>
          <w:color w:val="231F20"/>
          <w:spacing w:val="-21"/>
          <w:w w:val="105"/>
        </w:rPr>
        <w:t> </w:t>
      </w:r>
      <w:r>
        <w:rPr>
          <w:color w:val="231F20"/>
          <w:w w:val="105"/>
        </w:rPr>
        <w:t>popolazioni da</w:t>
      </w:r>
      <w:r>
        <w:rPr>
          <w:color w:val="231F20"/>
          <w:spacing w:val="-21"/>
          <w:w w:val="105"/>
        </w:rPr>
        <w:t> </w:t>
      </w:r>
      <w:r>
        <w:rPr>
          <w:color w:val="231F20"/>
          <w:w w:val="105"/>
        </w:rPr>
        <w:t>questi</w:t>
      </w:r>
      <w:r>
        <w:rPr>
          <w:color w:val="231F20"/>
          <w:spacing w:val="-21"/>
          <w:w w:val="105"/>
        </w:rPr>
        <w:t> </w:t>
      </w:r>
      <w:r>
        <w:rPr>
          <w:color w:val="231F20"/>
          <w:w w:val="105"/>
        </w:rPr>
        <w:t>crimini</w:t>
      </w:r>
      <w:r>
        <w:rPr>
          <w:color w:val="231F20"/>
          <w:spacing w:val="-21"/>
          <w:w w:val="105"/>
        </w:rPr>
        <w:t> </w:t>
      </w:r>
      <w:r>
        <w:rPr>
          <w:color w:val="231F20"/>
          <w:w w:val="105"/>
        </w:rPr>
        <w:t>in</w:t>
      </w:r>
      <w:r>
        <w:rPr>
          <w:color w:val="231F20"/>
          <w:spacing w:val="-21"/>
          <w:w w:val="105"/>
        </w:rPr>
        <w:t> </w:t>
      </w:r>
      <w:r>
        <w:rPr>
          <w:color w:val="231F20"/>
          <w:w w:val="105"/>
        </w:rPr>
        <w:t>modi</w:t>
      </w:r>
      <w:r>
        <w:rPr>
          <w:color w:val="231F20"/>
          <w:spacing w:val="-21"/>
          <w:w w:val="105"/>
        </w:rPr>
        <w:t> </w:t>
      </w:r>
      <w:r>
        <w:rPr>
          <w:color w:val="231F20"/>
          <w:w w:val="105"/>
        </w:rPr>
        <w:t>compatibili</w:t>
      </w:r>
      <w:r>
        <w:rPr>
          <w:color w:val="231F20"/>
          <w:spacing w:val="-21"/>
          <w:w w:val="105"/>
        </w:rPr>
        <w:t> </w:t>
      </w:r>
      <w:r>
        <w:rPr>
          <w:color w:val="231F20"/>
          <w:w w:val="105"/>
        </w:rPr>
        <w:t>con</w:t>
      </w:r>
      <w:r>
        <w:rPr>
          <w:color w:val="231F20"/>
          <w:spacing w:val="-21"/>
          <w:w w:val="105"/>
        </w:rPr>
        <w:t> </w:t>
      </w:r>
      <w:r>
        <w:rPr>
          <w:color w:val="231F20"/>
          <w:w w:val="105"/>
        </w:rPr>
        <w:t>la</w:t>
      </w:r>
      <w:r>
        <w:rPr>
          <w:color w:val="231F20"/>
          <w:spacing w:val="-21"/>
          <w:w w:val="105"/>
        </w:rPr>
        <w:t> </w:t>
      </w:r>
      <w:r>
        <w:rPr>
          <w:color w:val="231F20"/>
          <w:w w:val="105"/>
        </w:rPr>
        <w:t>Carta</w:t>
      </w:r>
      <w:r>
        <w:rPr>
          <w:color w:val="231F20"/>
          <w:spacing w:val="-21"/>
          <w:w w:val="105"/>
        </w:rPr>
        <w:t> </w:t>
      </w:r>
      <w:r>
        <w:rPr>
          <w:color w:val="231F20"/>
          <w:w w:val="105"/>
        </w:rPr>
        <w:t>delle</w:t>
      </w:r>
      <w:r>
        <w:rPr>
          <w:color w:val="231F20"/>
          <w:spacing w:val="-21"/>
          <w:w w:val="105"/>
        </w:rPr>
        <w:t> </w:t>
      </w:r>
      <w:r>
        <w:rPr>
          <w:color w:val="231F20"/>
          <w:w w:val="105"/>
        </w:rPr>
        <w:t>Nazioni</w:t>
      </w:r>
      <w:r>
        <w:rPr>
          <w:color w:val="231F20"/>
          <w:spacing w:val="-21"/>
          <w:w w:val="105"/>
        </w:rPr>
        <w:t> </w:t>
      </w:r>
      <w:r>
        <w:rPr>
          <w:color w:val="231F20"/>
          <w:w w:val="105"/>
        </w:rPr>
        <w:t>Unite”</w:t>
      </w:r>
      <w:r>
        <w:rPr>
          <w:color w:val="231F20"/>
          <w:w w:val="105"/>
          <w:position w:val="7"/>
          <w:sz w:val="12"/>
        </w:rPr>
        <w:t>19</w:t>
      </w:r>
      <w:r>
        <w:rPr>
          <w:color w:val="231F20"/>
          <w:w w:val="105"/>
        </w:rPr>
        <w:t>.</w:t>
      </w:r>
    </w:p>
    <w:p>
      <w:pPr>
        <w:pStyle w:val="BodyText"/>
        <w:spacing w:before="4"/>
        <w:rPr>
          <w:sz w:val="16"/>
        </w:rPr>
      </w:pPr>
      <w:r>
        <w:rPr/>
        <w:pict>
          <v:line style="position:absolute;mso-position-horizontal-relative:page;mso-position-vertical-relative:paragraph;z-index:14344;mso-wrap-distance-left:0;mso-wrap-distance-right:0" from="70.866096pt,11.960488pt" to="184.252096pt,11.960488pt" stroked="true" strokeweight=".3pt" strokecolor="#231f20">
            <w10:wrap type="topAndBottom"/>
          </v:line>
        </w:pict>
      </w:r>
    </w:p>
    <w:p>
      <w:pPr>
        <w:spacing w:line="204" w:lineRule="exact" w:before="9"/>
        <w:ind w:left="117" w:right="121" w:firstLine="0"/>
        <w:jc w:val="both"/>
        <w:rPr>
          <w:rFonts w:ascii="Calibri"/>
          <w:sz w:val="17"/>
        </w:rPr>
      </w:pPr>
      <w:r>
        <w:rPr>
          <w:rFonts w:ascii="Calibri"/>
          <w:color w:val="231F20"/>
          <w:position w:val="6"/>
          <w:sz w:val="10"/>
        </w:rPr>
        <w:t>16 </w:t>
      </w:r>
      <w:r>
        <w:rPr>
          <w:rFonts w:ascii="Calibri"/>
          <w:color w:val="231F20"/>
          <w:sz w:val="17"/>
        </w:rPr>
        <w:t>International Commission on Intervention and State Sovereignty, </w:t>
      </w:r>
      <w:r>
        <w:rPr>
          <w:rFonts w:ascii="Calibri"/>
          <w:i/>
          <w:color w:val="231F20"/>
          <w:sz w:val="17"/>
        </w:rPr>
        <w:t>The Responsibility to Protect</w:t>
      </w:r>
      <w:r>
        <w:rPr>
          <w:rFonts w:ascii="Calibri"/>
          <w:color w:val="231F20"/>
          <w:sz w:val="17"/>
        </w:rPr>
        <w:t>, Ottawa, International development Research Centre, 2001, p.  13.</w:t>
      </w:r>
    </w:p>
    <w:p>
      <w:pPr>
        <w:spacing w:line="204" w:lineRule="exact" w:before="0"/>
        <w:ind w:left="117" w:right="121" w:firstLine="0"/>
        <w:jc w:val="both"/>
        <w:rPr>
          <w:rFonts w:ascii="Calibri" w:hAnsi="Calibri"/>
          <w:sz w:val="17"/>
        </w:rPr>
      </w:pPr>
      <w:r>
        <w:rPr>
          <w:rFonts w:ascii="Calibri" w:hAnsi="Calibri"/>
          <w:color w:val="231F20"/>
          <w:w w:val="105"/>
          <w:position w:val="6"/>
          <w:sz w:val="10"/>
        </w:rPr>
        <w:t>17</w:t>
      </w:r>
      <w:r>
        <w:rPr>
          <w:rFonts w:ascii="Calibri" w:hAnsi="Calibri"/>
          <w:color w:val="231F20"/>
          <w:spacing w:val="12"/>
          <w:w w:val="105"/>
          <w:position w:val="6"/>
          <w:sz w:val="10"/>
        </w:rPr>
        <w:t> </w:t>
      </w:r>
      <w:r>
        <w:rPr>
          <w:rFonts w:ascii="Calibri" w:hAnsi="Calibri"/>
          <w:color w:val="231F20"/>
          <w:w w:val="105"/>
          <w:sz w:val="17"/>
        </w:rPr>
        <w:t>A.</w:t>
      </w:r>
      <w:r>
        <w:rPr>
          <w:rFonts w:ascii="Calibri" w:hAnsi="Calibri"/>
          <w:color w:val="231F20"/>
          <w:spacing w:val="-5"/>
          <w:w w:val="105"/>
          <w:sz w:val="17"/>
        </w:rPr>
        <w:t> </w:t>
      </w:r>
      <w:r>
        <w:rPr>
          <w:rFonts w:ascii="Calibri" w:hAnsi="Calibri"/>
          <w:color w:val="231F20"/>
          <w:w w:val="105"/>
          <w:sz w:val="17"/>
        </w:rPr>
        <w:t>J.</w:t>
      </w:r>
      <w:r>
        <w:rPr>
          <w:rFonts w:ascii="Calibri" w:hAnsi="Calibri"/>
          <w:color w:val="231F20"/>
          <w:spacing w:val="-5"/>
          <w:w w:val="105"/>
          <w:sz w:val="17"/>
        </w:rPr>
        <w:t> </w:t>
      </w:r>
      <w:r>
        <w:rPr>
          <w:rFonts w:ascii="Calibri" w:hAnsi="Calibri"/>
          <w:color w:val="231F20"/>
          <w:w w:val="105"/>
          <w:sz w:val="17"/>
        </w:rPr>
        <w:t>Bellamy,</w:t>
      </w:r>
      <w:r>
        <w:rPr>
          <w:rFonts w:ascii="Calibri" w:hAnsi="Calibri"/>
          <w:color w:val="231F20"/>
          <w:spacing w:val="-5"/>
          <w:w w:val="105"/>
          <w:sz w:val="17"/>
        </w:rPr>
        <w:t> </w:t>
      </w:r>
      <w:r>
        <w:rPr>
          <w:rFonts w:ascii="Calibri" w:hAnsi="Calibri"/>
          <w:color w:val="231F20"/>
          <w:w w:val="105"/>
          <w:sz w:val="17"/>
        </w:rPr>
        <w:t>“Whither</w:t>
      </w:r>
      <w:r>
        <w:rPr>
          <w:rFonts w:ascii="Calibri" w:hAnsi="Calibri"/>
          <w:color w:val="231F20"/>
          <w:spacing w:val="-5"/>
          <w:w w:val="105"/>
          <w:sz w:val="17"/>
        </w:rPr>
        <w:t> </w:t>
      </w:r>
      <w:r>
        <w:rPr>
          <w:rFonts w:ascii="Calibri" w:hAnsi="Calibri"/>
          <w:color w:val="231F20"/>
          <w:w w:val="105"/>
          <w:sz w:val="17"/>
        </w:rPr>
        <w:t>the</w:t>
      </w:r>
      <w:r>
        <w:rPr>
          <w:rFonts w:ascii="Calibri" w:hAnsi="Calibri"/>
          <w:color w:val="231F20"/>
          <w:spacing w:val="-5"/>
          <w:w w:val="105"/>
          <w:sz w:val="17"/>
        </w:rPr>
        <w:t> </w:t>
      </w:r>
      <w:r>
        <w:rPr>
          <w:rFonts w:ascii="Calibri" w:hAnsi="Calibri"/>
          <w:color w:val="231F20"/>
          <w:w w:val="105"/>
          <w:sz w:val="17"/>
        </w:rPr>
        <w:t>Responsibility</w:t>
      </w:r>
      <w:r>
        <w:rPr>
          <w:rFonts w:ascii="Calibri" w:hAnsi="Calibri"/>
          <w:color w:val="231F20"/>
          <w:spacing w:val="-5"/>
          <w:w w:val="105"/>
          <w:sz w:val="17"/>
        </w:rPr>
        <w:t> </w:t>
      </w:r>
      <w:r>
        <w:rPr>
          <w:rFonts w:ascii="Calibri" w:hAnsi="Calibri"/>
          <w:color w:val="231F20"/>
          <w:w w:val="105"/>
          <w:sz w:val="17"/>
        </w:rPr>
        <w:t>to</w:t>
      </w:r>
      <w:r>
        <w:rPr>
          <w:rFonts w:ascii="Calibri" w:hAnsi="Calibri"/>
          <w:color w:val="231F20"/>
          <w:spacing w:val="-5"/>
          <w:w w:val="105"/>
          <w:sz w:val="17"/>
        </w:rPr>
        <w:t> </w:t>
      </w:r>
      <w:r>
        <w:rPr>
          <w:rFonts w:ascii="Calibri" w:hAnsi="Calibri"/>
          <w:color w:val="231F20"/>
          <w:w w:val="105"/>
          <w:sz w:val="17"/>
        </w:rPr>
        <w:t>Protect?</w:t>
      </w:r>
      <w:r>
        <w:rPr>
          <w:rFonts w:ascii="Calibri" w:hAnsi="Calibri"/>
          <w:color w:val="231F20"/>
          <w:spacing w:val="-5"/>
          <w:w w:val="105"/>
          <w:sz w:val="17"/>
        </w:rPr>
        <w:t> </w:t>
      </w:r>
      <w:r>
        <w:rPr>
          <w:rFonts w:ascii="Calibri" w:hAnsi="Calibri"/>
          <w:color w:val="231F20"/>
          <w:w w:val="105"/>
          <w:sz w:val="17"/>
        </w:rPr>
        <w:t>Humanitarian</w:t>
      </w:r>
      <w:r>
        <w:rPr>
          <w:rFonts w:ascii="Calibri" w:hAnsi="Calibri"/>
          <w:color w:val="231F20"/>
          <w:spacing w:val="-5"/>
          <w:w w:val="105"/>
          <w:sz w:val="17"/>
        </w:rPr>
        <w:t> </w:t>
      </w:r>
      <w:r>
        <w:rPr>
          <w:rFonts w:ascii="Calibri" w:hAnsi="Calibri"/>
          <w:color w:val="231F20"/>
          <w:w w:val="105"/>
          <w:sz w:val="17"/>
        </w:rPr>
        <w:t>Intervention</w:t>
      </w:r>
      <w:r>
        <w:rPr>
          <w:rFonts w:ascii="Calibri" w:hAnsi="Calibri"/>
          <w:color w:val="231F20"/>
          <w:spacing w:val="-5"/>
          <w:w w:val="105"/>
          <w:sz w:val="17"/>
        </w:rPr>
        <w:t> </w:t>
      </w:r>
      <w:r>
        <w:rPr>
          <w:rFonts w:ascii="Calibri" w:hAnsi="Calibri"/>
          <w:color w:val="231F20"/>
          <w:w w:val="105"/>
          <w:sz w:val="17"/>
        </w:rPr>
        <w:t>and</w:t>
      </w:r>
      <w:r>
        <w:rPr>
          <w:rFonts w:ascii="Calibri" w:hAnsi="Calibri"/>
          <w:color w:val="231F20"/>
          <w:spacing w:val="-5"/>
          <w:w w:val="105"/>
          <w:sz w:val="17"/>
        </w:rPr>
        <w:t> </w:t>
      </w:r>
      <w:r>
        <w:rPr>
          <w:rFonts w:ascii="Calibri" w:hAnsi="Calibri"/>
          <w:color w:val="231F20"/>
          <w:w w:val="105"/>
          <w:sz w:val="17"/>
        </w:rPr>
        <w:t>the</w:t>
      </w:r>
      <w:r>
        <w:rPr>
          <w:rFonts w:ascii="Calibri" w:hAnsi="Calibri"/>
          <w:color w:val="231F20"/>
          <w:spacing w:val="-5"/>
          <w:w w:val="105"/>
          <w:sz w:val="17"/>
        </w:rPr>
        <w:t> </w:t>
      </w:r>
      <w:r>
        <w:rPr>
          <w:rFonts w:ascii="Calibri" w:hAnsi="Calibri"/>
          <w:color w:val="231F20"/>
          <w:w w:val="105"/>
          <w:sz w:val="17"/>
        </w:rPr>
        <w:t>2005 World</w:t>
      </w:r>
      <w:r>
        <w:rPr>
          <w:rFonts w:ascii="Calibri" w:hAnsi="Calibri"/>
          <w:color w:val="231F20"/>
          <w:spacing w:val="-23"/>
          <w:w w:val="105"/>
          <w:sz w:val="17"/>
        </w:rPr>
        <w:t> </w:t>
      </w:r>
      <w:r>
        <w:rPr>
          <w:rFonts w:ascii="Calibri" w:hAnsi="Calibri"/>
          <w:color w:val="231F20"/>
          <w:w w:val="105"/>
          <w:sz w:val="17"/>
        </w:rPr>
        <w:t>Summit”,</w:t>
      </w:r>
      <w:r>
        <w:rPr>
          <w:rFonts w:ascii="Calibri" w:hAnsi="Calibri"/>
          <w:color w:val="231F20"/>
          <w:spacing w:val="-23"/>
          <w:w w:val="105"/>
          <w:sz w:val="17"/>
        </w:rPr>
        <w:t> </w:t>
      </w:r>
      <w:r>
        <w:rPr>
          <w:rFonts w:ascii="Calibri" w:hAnsi="Calibri"/>
          <w:i/>
          <w:color w:val="231F20"/>
          <w:w w:val="105"/>
          <w:sz w:val="17"/>
        </w:rPr>
        <w:t>Ethics</w:t>
      </w:r>
      <w:r>
        <w:rPr>
          <w:rFonts w:ascii="Calibri" w:hAnsi="Calibri"/>
          <w:i/>
          <w:color w:val="231F20"/>
          <w:spacing w:val="-24"/>
          <w:w w:val="105"/>
          <w:sz w:val="17"/>
        </w:rPr>
        <w:t> </w:t>
      </w:r>
      <w:r>
        <w:rPr>
          <w:rFonts w:ascii="Calibri" w:hAnsi="Calibri"/>
          <w:i/>
          <w:color w:val="231F20"/>
          <w:w w:val="105"/>
          <w:sz w:val="17"/>
        </w:rPr>
        <w:t>&amp;</w:t>
      </w:r>
      <w:r>
        <w:rPr>
          <w:rFonts w:ascii="Calibri" w:hAnsi="Calibri"/>
          <w:i/>
          <w:color w:val="231F20"/>
          <w:spacing w:val="-24"/>
          <w:w w:val="105"/>
          <w:sz w:val="17"/>
        </w:rPr>
        <w:t> </w:t>
      </w:r>
      <w:r>
        <w:rPr>
          <w:rFonts w:ascii="Calibri" w:hAnsi="Calibri"/>
          <w:i/>
          <w:color w:val="231F20"/>
          <w:w w:val="105"/>
          <w:sz w:val="17"/>
        </w:rPr>
        <w:t>International</w:t>
      </w:r>
      <w:r>
        <w:rPr>
          <w:rFonts w:ascii="Calibri" w:hAnsi="Calibri"/>
          <w:i/>
          <w:color w:val="231F20"/>
          <w:spacing w:val="-24"/>
          <w:w w:val="105"/>
          <w:sz w:val="17"/>
        </w:rPr>
        <w:t> </w:t>
      </w:r>
      <w:r>
        <w:rPr>
          <w:rFonts w:ascii="Calibri" w:hAnsi="Calibri"/>
          <w:i/>
          <w:color w:val="231F20"/>
          <w:w w:val="105"/>
          <w:sz w:val="17"/>
        </w:rPr>
        <w:t>Affairs</w:t>
      </w:r>
      <w:r>
        <w:rPr>
          <w:rFonts w:ascii="Calibri" w:hAnsi="Calibri"/>
          <w:color w:val="231F20"/>
          <w:w w:val="105"/>
          <w:sz w:val="17"/>
        </w:rPr>
        <w:t>,</w:t>
      </w:r>
      <w:r>
        <w:rPr>
          <w:rFonts w:ascii="Calibri" w:hAnsi="Calibri"/>
          <w:color w:val="231F20"/>
          <w:spacing w:val="-25"/>
          <w:w w:val="105"/>
          <w:sz w:val="17"/>
        </w:rPr>
        <w:t> </w:t>
      </w:r>
      <w:r>
        <w:rPr>
          <w:rFonts w:ascii="Calibri" w:hAnsi="Calibri"/>
          <w:color w:val="231F20"/>
          <w:w w:val="105"/>
          <w:sz w:val="17"/>
        </w:rPr>
        <w:t>vol.</w:t>
      </w:r>
      <w:r>
        <w:rPr>
          <w:rFonts w:ascii="Calibri" w:hAnsi="Calibri"/>
          <w:color w:val="231F20"/>
          <w:spacing w:val="-23"/>
          <w:w w:val="105"/>
          <w:sz w:val="17"/>
        </w:rPr>
        <w:t> </w:t>
      </w:r>
      <w:r>
        <w:rPr>
          <w:rFonts w:ascii="Calibri" w:hAnsi="Calibri"/>
          <w:color w:val="231F20"/>
          <w:w w:val="105"/>
          <w:sz w:val="17"/>
        </w:rPr>
        <w:t>20,</w:t>
      </w:r>
      <w:r>
        <w:rPr>
          <w:rFonts w:ascii="Calibri" w:hAnsi="Calibri"/>
          <w:color w:val="231F20"/>
          <w:spacing w:val="-23"/>
          <w:w w:val="105"/>
          <w:sz w:val="17"/>
        </w:rPr>
        <w:t> </w:t>
      </w:r>
      <w:r>
        <w:rPr>
          <w:rFonts w:ascii="Calibri" w:hAnsi="Calibri"/>
          <w:color w:val="231F20"/>
          <w:w w:val="105"/>
          <w:sz w:val="17"/>
        </w:rPr>
        <w:t>no.</w:t>
      </w:r>
      <w:r>
        <w:rPr>
          <w:rFonts w:ascii="Calibri" w:hAnsi="Calibri"/>
          <w:color w:val="231F20"/>
          <w:spacing w:val="-23"/>
          <w:w w:val="105"/>
          <w:sz w:val="17"/>
        </w:rPr>
        <w:t> </w:t>
      </w:r>
      <w:r>
        <w:rPr>
          <w:rFonts w:ascii="Calibri" w:hAnsi="Calibri"/>
          <w:color w:val="231F20"/>
          <w:w w:val="105"/>
          <w:sz w:val="17"/>
        </w:rPr>
        <w:t>2,</w:t>
      </w:r>
      <w:r>
        <w:rPr>
          <w:rFonts w:ascii="Calibri" w:hAnsi="Calibri"/>
          <w:color w:val="231F20"/>
          <w:spacing w:val="-23"/>
          <w:w w:val="105"/>
          <w:sz w:val="17"/>
        </w:rPr>
        <w:t> </w:t>
      </w:r>
      <w:r>
        <w:rPr>
          <w:rFonts w:ascii="Calibri" w:hAnsi="Calibri"/>
          <w:color w:val="231F20"/>
          <w:w w:val="105"/>
          <w:sz w:val="17"/>
        </w:rPr>
        <w:t>2006,</w:t>
      </w:r>
      <w:r>
        <w:rPr>
          <w:rFonts w:ascii="Calibri" w:hAnsi="Calibri"/>
          <w:color w:val="231F20"/>
          <w:spacing w:val="-23"/>
          <w:w w:val="105"/>
          <w:sz w:val="17"/>
        </w:rPr>
        <w:t> </w:t>
      </w:r>
      <w:r>
        <w:rPr>
          <w:rFonts w:ascii="Calibri" w:hAnsi="Calibri"/>
          <w:color w:val="231F20"/>
          <w:w w:val="105"/>
          <w:sz w:val="17"/>
        </w:rPr>
        <w:t>p.</w:t>
      </w:r>
      <w:r>
        <w:rPr>
          <w:rFonts w:ascii="Calibri" w:hAnsi="Calibri"/>
          <w:color w:val="231F20"/>
          <w:spacing w:val="-23"/>
          <w:w w:val="105"/>
          <w:sz w:val="17"/>
        </w:rPr>
        <w:t> </w:t>
      </w:r>
      <w:r>
        <w:rPr>
          <w:rFonts w:ascii="Calibri" w:hAnsi="Calibri"/>
          <w:color w:val="231F20"/>
          <w:w w:val="105"/>
          <w:sz w:val="17"/>
        </w:rPr>
        <w:t>144.</w:t>
      </w:r>
      <w:r>
        <w:rPr>
          <w:rFonts w:ascii="Calibri" w:hAnsi="Calibri"/>
          <w:color w:val="231F20"/>
          <w:spacing w:val="-23"/>
          <w:w w:val="105"/>
          <w:sz w:val="17"/>
        </w:rPr>
        <w:t> </w:t>
      </w:r>
      <w:r>
        <w:rPr>
          <w:rFonts w:ascii="Calibri" w:hAnsi="Calibri"/>
          <w:color w:val="231F20"/>
          <w:w w:val="105"/>
          <w:sz w:val="17"/>
        </w:rPr>
        <w:t>Nel</w:t>
      </w:r>
      <w:r>
        <w:rPr>
          <w:rFonts w:ascii="Calibri" w:hAnsi="Calibri"/>
          <w:color w:val="231F20"/>
          <w:spacing w:val="-25"/>
          <w:w w:val="105"/>
          <w:sz w:val="17"/>
        </w:rPr>
        <w:t> </w:t>
      </w:r>
      <w:r>
        <w:rPr>
          <w:rFonts w:ascii="Calibri" w:hAnsi="Calibri"/>
          <w:color w:val="231F20"/>
          <w:w w:val="105"/>
          <w:sz w:val="17"/>
        </w:rPr>
        <w:t>volume</w:t>
      </w:r>
      <w:r>
        <w:rPr>
          <w:rFonts w:ascii="Calibri" w:hAnsi="Calibri"/>
          <w:color w:val="231F20"/>
          <w:spacing w:val="-23"/>
          <w:w w:val="105"/>
          <w:sz w:val="17"/>
        </w:rPr>
        <w:t> </w:t>
      </w:r>
      <w:r>
        <w:rPr>
          <w:rFonts w:ascii="Calibri" w:hAnsi="Calibri"/>
          <w:i/>
          <w:color w:val="231F20"/>
          <w:w w:val="105"/>
          <w:sz w:val="17"/>
        </w:rPr>
        <w:t>Humanitarian </w:t>
      </w:r>
      <w:r>
        <w:rPr>
          <w:rFonts w:ascii="Calibri" w:hAnsi="Calibri"/>
          <w:i/>
          <w:color w:val="231F20"/>
          <w:w w:val="105"/>
          <w:sz w:val="17"/>
        </w:rPr>
        <w:t>Intervention:</w:t>
      </w:r>
      <w:r>
        <w:rPr>
          <w:rFonts w:ascii="Calibri" w:hAnsi="Calibri"/>
          <w:i/>
          <w:color w:val="231F20"/>
          <w:spacing w:val="-10"/>
          <w:w w:val="105"/>
          <w:sz w:val="17"/>
        </w:rPr>
        <w:t> </w:t>
      </w:r>
      <w:r>
        <w:rPr>
          <w:rFonts w:ascii="Calibri" w:hAnsi="Calibri"/>
          <w:i/>
          <w:color w:val="231F20"/>
          <w:w w:val="105"/>
          <w:sz w:val="17"/>
        </w:rPr>
        <w:t>Ideas</w:t>
      </w:r>
      <w:r>
        <w:rPr>
          <w:rFonts w:ascii="Calibri" w:hAnsi="Calibri"/>
          <w:i/>
          <w:color w:val="231F20"/>
          <w:spacing w:val="-10"/>
          <w:w w:val="105"/>
          <w:sz w:val="17"/>
        </w:rPr>
        <w:t> </w:t>
      </w:r>
      <w:r>
        <w:rPr>
          <w:rFonts w:ascii="Calibri" w:hAnsi="Calibri"/>
          <w:i/>
          <w:color w:val="231F20"/>
          <w:w w:val="105"/>
          <w:sz w:val="17"/>
        </w:rPr>
        <w:t>in</w:t>
      </w:r>
      <w:r>
        <w:rPr>
          <w:rFonts w:ascii="Calibri" w:hAnsi="Calibri"/>
          <w:i/>
          <w:color w:val="231F20"/>
          <w:spacing w:val="-10"/>
          <w:w w:val="105"/>
          <w:sz w:val="17"/>
        </w:rPr>
        <w:t> </w:t>
      </w:r>
      <w:r>
        <w:rPr>
          <w:rFonts w:ascii="Calibri" w:hAnsi="Calibri"/>
          <w:i/>
          <w:color w:val="231F20"/>
          <w:w w:val="105"/>
          <w:sz w:val="17"/>
        </w:rPr>
        <w:t>Action</w:t>
      </w:r>
      <w:r>
        <w:rPr>
          <w:rFonts w:ascii="Calibri" w:hAnsi="Calibri"/>
          <w:color w:val="231F20"/>
          <w:w w:val="105"/>
          <w:sz w:val="17"/>
        </w:rPr>
        <w:t>,</w:t>
      </w:r>
      <w:r>
        <w:rPr>
          <w:rFonts w:ascii="Calibri" w:hAnsi="Calibri"/>
          <w:color w:val="231F20"/>
          <w:spacing w:val="-9"/>
          <w:w w:val="105"/>
          <w:sz w:val="17"/>
        </w:rPr>
        <w:t> </w:t>
      </w:r>
      <w:r>
        <w:rPr>
          <w:rFonts w:ascii="Calibri" w:hAnsi="Calibri"/>
          <w:color w:val="231F20"/>
          <w:w w:val="105"/>
          <w:sz w:val="17"/>
        </w:rPr>
        <w:t>Cambridge,</w:t>
      </w:r>
      <w:r>
        <w:rPr>
          <w:rFonts w:ascii="Calibri" w:hAnsi="Calibri"/>
          <w:color w:val="231F20"/>
          <w:spacing w:val="-9"/>
          <w:w w:val="105"/>
          <w:sz w:val="17"/>
        </w:rPr>
        <w:t> </w:t>
      </w:r>
      <w:r>
        <w:rPr>
          <w:rFonts w:ascii="Calibri" w:hAnsi="Calibri"/>
          <w:color w:val="231F20"/>
          <w:w w:val="105"/>
          <w:sz w:val="17"/>
        </w:rPr>
        <w:t>Polity</w:t>
      </w:r>
      <w:r>
        <w:rPr>
          <w:rFonts w:ascii="Calibri" w:hAnsi="Calibri"/>
          <w:color w:val="231F20"/>
          <w:spacing w:val="-9"/>
          <w:w w:val="105"/>
          <w:sz w:val="17"/>
        </w:rPr>
        <w:t> </w:t>
      </w:r>
      <w:r>
        <w:rPr>
          <w:rFonts w:ascii="Calibri" w:hAnsi="Calibri"/>
          <w:color w:val="231F20"/>
          <w:w w:val="105"/>
          <w:sz w:val="17"/>
        </w:rPr>
        <w:t>Press,</w:t>
      </w:r>
      <w:r>
        <w:rPr>
          <w:rFonts w:ascii="Calibri" w:hAnsi="Calibri"/>
          <w:color w:val="231F20"/>
          <w:spacing w:val="-9"/>
          <w:w w:val="105"/>
          <w:sz w:val="17"/>
        </w:rPr>
        <w:t> </w:t>
      </w:r>
      <w:r>
        <w:rPr>
          <w:rFonts w:ascii="Calibri" w:hAnsi="Calibri"/>
          <w:color w:val="231F20"/>
          <w:spacing w:val="-3"/>
          <w:w w:val="105"/>
          <w:sz w:val="17"/>
        </w:rPr>
        <w:t>2007,</w:t>
      </w:r>
      <w:r>
        <w:rPr>
          <w:rFonts w:ascii="Calibri" w:hAnsi="Calibri"/>
          <w:color w:val="231F20"/>
          <w:spacing w:val="-9"/>
          <w:w w:val="105"/>
          <w:sz w:val="17"/>
        </w:rPr>
        <w:t> </w:t>
      </w:r>
      <w:r>
        <w:rPr>
          <w:rFonts w:ascii="Calibri" w:hAnsi="Calibri"/>
          <w:color w:val="231F20"/>
          <w:w w:val="105"/>
          <w:sz w:val="17"/>
        </w:rPr>
        <w:t>p.</w:t>
      </w:r>
      <w:r>
        <w:rPr>
          <w:rFonts w:ascii="Calibri" w:hAnsi="Calibri"/>
          <w:color w:val="231F20"/>
          <w:spacing w:val="-9"/>
          <w:w w:val="105"/>
          <w:sz w:val="17"/>
        </w:rPr>
        <w:t> </w:t>
      </w:r>
      <w:r>
        <w:rPr>
          <w:rFonts w:ascii="Calibri" w:hAnsi="Calibri"/>
          <w:color w:val="231F20"/>
          <w:spacing w:val="-3"/>
          <w:w w:val="105"/>
          <w:sz w:val="17"/>
        </w:rPr>
        <w:t>117,</w:t>
      </w:r>
      <w:r>
        <w:rPr>
          <w:rFonts w:ascii="Calibri" w:hAnsi="Calibri"/>
          <w:color w:val="231F20"/>
          <w:spacing w:val="-11"/>
          <w:w w:val="105"/>
          <w:sz w:val="17"/>
        </w:rPr>
        <w:t> </w:t>
      </w:r>
      <w:r>
        <w:rPr>
          <w:rFonts w:ascii="Calibri" w:hAnsi="Calibri"/>
          <w:color w:val="231F20"/>
          <w:w w:val="105"/>
          <w:sz w:val="17"/>
        </w:rPr>
        <w:t>Thomas</w:t>
      </w:r>
      <w:r>
        <w:rPr>
          <w:rFonts w:ascii="Calibri" w:hAnsi="Calibri"/>
          <w:color w:val="231F20"/>
          <w:spacing w:val="-9"/>
          <w:w w:val="105"/>
          <w:sz w:val="17"/>
        </w:rPr>
        <w:t> </w:t>
      </w:r>
      <w:r>
        <w:rPr>
          <w:rFonts w:ascii="Calibri" w:hAnsi="Calibri"/>
          <w:color w:val="231F20"/>
          <w:w w:val="105"/>
          <w:sz w:val="17"/>
        </w:rPr>
        <w:t>G.</w:t>
      </w:r>
      <w:r>
        <w:rPr>
          <w:rFonts w:ascii="Calibri" w:hAnsi="Calibri"/>
          <w:color w:val="231F20"/>
          <w:spacing w:val="-12"/>
          <w:w w:val="105"/>
          <w:sz w:val="17"/>
        </w:rPr>
        <w:t> </w:t>
      </w:r>
      <w:r>
        <w:rPr>
          <w:rFonts w:ascii="Calibri" w:hAnsi="Calibri"/>
          <w:color w:val="231F20"/>
          <w:w w:val="105"/>
          <w:sz w:val="17"/>
        </w:rPr>
        <w:t>Weiss</w:t>
      </w:r>
      <w:r>
        <w:rPr>
          <w:rFonts w:ascii="Calibri" w:hAnsi="Calibri"/>
          <w:color w:val="231F20"/>
          <w:spacing w:val="-9"/>
          <w:w w:val="105"/>
          <w:sz w:val="17"/>
        </w:rPr>
        <w:t> </w:t>
      </w:r>
      <w:r>
        <w:rPr>
          <w:rFonts w:ascii="Calibri" w:hAnsi="Calibri"/>
          <w:color w:val="231F20"/>
          <w:w w:val="105"/>
          <w:sz w:val="17"/>
        </w:rPr>
        <w:t>ha</w:t>
      </w:r>
      <w:r>
        <w:rPr>
          <w:rFonts w:ascii="Calibri" w:hAnsi="Calibri"/>
          <w:color w:val="231F20"/>
          <w:spacing w:val="-9"/>
          <w:w w:val="105"/>
          <w:sz w:val="17"/>
        </w:rPr>
        <w:t> </w:t>
      </w:r>
      <w:r>
        <w:rPr>
          <w:rFonts w:ascii="Calibri" w:hAnsi="Calibri"/>
          <w:color w:val="231F20"/>
          <w:w w:val="105"/>
          <w:sz w:val="17"/>
        </w:rPr>
        <w:t>definito</w:t>
      </w:r>
      <w:r>
        <w:rPr>
          <w:rFonts w:ascii="Calibri" w:hAnsi="Calibri"/>
          <w:color w:val="231F20"/>
          <w:spacing w:val="-9"/>
          <w:w w:val="105"/>
          <w:sz w:val="17"/>
        </w:rPr>
        <w:t> </w:t>
      </w:r>
      <w:r>
        <w:rPr>
          <w:rFonts w:ascii="Calibri" w:hAnsi="Calibri"/>
          <w:color w:val="231F20"/>
          <w:w w:val="105"/>
          <w:sz w:val="17"/>
        </w:rPr>
        <w:t>il linguaggio</w:t>
      </w:r>
      <w:r>
        <w:rPr>
          <w:rFonts w:ascii="Calibri" w:hAnsi="Calibri"/>
          <w:color w:val="231F20"/>
          <w:spacing w:val="-14"/>
          <w:w w:val="105"/>
          <w:sz w:val="17"/>
        </w:rPr>
        <w:t> </w:t>
      </w:r>
      <w:r>
        <w:rPr>
          <w:rFonts w:ascii="Calibri" w:hAnsi="Calibri"/>
          <w:color w:val="231F20"/>
          <w:w w:val="105"/>
          <w:sz w:val="17"/>
        </w:rPr>
        <w:t>del</w:t>
      </w:r>
      <w:r>
        <w:rPr>
          <w:rFonts w:ascii="Calibri" w:hAnsi="Calibri"/>
          <w:color w:val="231F20"/>
          <w:spacing w:val="-14"/>
          <w:w w:val="105"/>
          <w:sz w:val="17"/>
        </w:rPr>
        <w:t> </w:t>
      </w:r>
      <w:r>
        <w:rPr>
          <w:rFonts w:ascii="Calibri" w:hAnsi="Calibri"/>
          <w:color w:val="231F20"/>
          <w:w w:val="105"/>
          <w:sz w:val="17"/>
        </w:rPr>
        <w:t>summit</w:t>
      </w:r>
      <w:r>
        <w:rPr>
          <w:rFonts w:ascii="Calibri" w:hAnsi="Calibri"/>
          <w:color w:val="231F20"/>
          <w:spacing w:val="-14"/>
          <w:w w:val="105"/>
          <w:sz w:val="17"/>
        </w:rPr>
        <w:t> </w:t>
      </w:r>
      <w:r>
        <w:rPr>
          <w:rFonts w:ascii="Calibri" w:hAnsi="Calibri"/>
          <w:color w:val="231F20"/>
          <w:w w:val="105"/>
          <w:sz w:val="17"/>
        </w:rPr>
        <w:t>come</w:t>
      </w:r>
      <w:r>
        <w:rPr>
          <w:rFonts w:ascii="Calibri" w:hAnsi="Calibri"/>
          <w:color w:val="231F20"/>
          <w:spacing w:val="-14"/>
          <w:w w:val="105"/>
          <w:sz w:val="17"/>
        </w:rPr>
        <w:t> </w:t>
      </w:r>
      <w:r>
        <w:rPr>
          <w:rFonts w:ascii="Calibri" w:hAnsi="Calibri"/>
          <w:color w:val="231F20"/>
          <w:w w:val="105"/>
          <w:sz w:val="17"/>
        </w:rPr>
        <w:t>una</w:t>
      </w:r>
      <w:r>
        <w:rPr>
          <w:rFonts w:ascii="Calibri" w:hAnsi="Calibri"/>
          <w:color w:val="231F20"/>
          <w:spacing w:val="-14"/>
          <w:w w:val="105"/>
          <w:sz w:val="17"/>
        </w:rPr>
        <w:t> </w:t>
      </w:r>
      <w:r>
        <w:rPr>
          <w:rFonts w:ascii="Calibri" w:hAnsi="Calibri"/>
          <w:color w:val="231F20"/>
          <w:w w:val="105"/>
          <w:sz w:val="17"/>
        </w:rPr>
        <w:t>“Responsability</w:t>
      </w:r>
      <w:r>
        <w:rPr>
          <w:rFonts w:ascii="Calibri" w:hAnsi="Calibri"/>
          <w:color w:val="231F20"/>
          <w:spacing w:val="-14"/>
          <w:w w:val="105"/>
          <w:sz w:val="17"/>
        </w:rPr>
        <w:t> </w:t>
      </w:r>
      <w:r>
        <w:rPr>
          <w:rFonts w:ascii="Calibri" w:hAnsi="Calibri"/>
          <w:color w:val="231F20"/>
          <w:w w:val="105"/>
          <w:sz w:val="17"/>
        </w:rPr>
        <w:t>to</w:t>
      </w:r>
      <w:r>
        <w:rPr>
          <w:rFonts w:ascii="Calibri" w:hAnsi="Calibri"/>
          <w:color w:val="231F20"/>
          <w:spacing w:val="-14"/>
          <w:w w:val="105"/>
          <w:sz w:val="17"/>
        </w:rPr>
        <w:t> </w:t>
      </w:r>
      <w:r>
        <w:rPr>
          <w:rFonts w:ascii="Calibri" w:hAnsi="Calibri"/>
          <w:color w:val="231F20"/>
          <w:w w:val="105"/>
          <w:sz w:val="17"/>
        </w:rPr>
        <w:t>Protect</w:t>
      </w:r>
      <w:r>
        <w:rPr>
          <w:rFonts w:ascii="Calibri" w:hAnsi="Calibri"/>
          <w:color w:val="231F20"/>
          <w:spacing w:val="-14"/>
          <w:w w:val="105"/>
          <w:sz w:val="17"/>
        </w:rPr>
        <w:t> </w:t>
      </w:r>
      <w:r>
        <w:rPr>
          <w:rFonts w:ascii="Calibri" w:hAnsi="Calibri"/>
          <w:color w:val="231F20"/>
          <w:w w:val="105"/>
          <w:sz w:val="17"/>
        </w:rPr>
        <w:t>lite”,</w:t>
      </w:r>
      <w:r>
        <w:rPr>
          <w:rFonts w:ascii="Calibri" w:hAnsi="Calibri"/>
          <w:color w:val="231F20"/>
          <w:spacing w:val="-14"/>
          <w:w w:val="105"/>
          <w:sz w:val="17"/>
        </w:rPr>
        <w:t> </w:t>
      </w:r>
      <w:r>
        <w:rPr>
          <w:rFonts w:ascii="Calibri" w:hAnsi="Calibri"/>
          <w:color w:val="231F20"/>
          <w:w w:val="105"/>
          <w:sz w:val="17"/>
        </w:rPr>
        <w:t>“giacché</w:t>
      </w:r>
      <w:r>
        <w:rPr>
          <w:rFonts w:ascii="Calibri" w:hAnsi="Calibri"/>
          <w:color w:val="231F20"/>
          <w:spacing w:val="-14"/>
          <w:w w:val="105"/>
          <w:sz w:val="17"/>
        </w:rPr>
        <w:t> </w:t>
      </w:r>
      <w:r>
        <w:rPr>
          <w:rFonts w:ascii="Calibri" w:hAnsi="Calibri"/>
          <w:color w:val="231F20"/>
          <w:w w:val="105"/>
          <w:sz w:val="17"/>
        </w:rPr>
        <w:t>l’intervento</w:t>
      </w:r>
      <w:r>
        <w:rPr>
          <w:rFonts w:ascii="Calibri" w:hAnsi="Calibri"/>
          <w:color w:val="231F20"/>
          <w:spacing w:val="-14"/>
          <w:w w:val="105"/>
          <w:sz w:val="17"/>
        </w:rPr>
        <w:t> </w:t>
      </w:r>
      <w:r>
        <w:rPr>
          <w:rFonts w:ascii="Calibri" w:hAnsi="Calibri"/>
          <w:color w:val="231F20"/>
          <w:w w:val="105"/>
          <w:sz w:val="17"/>
        </w:rPr>
        <w:t>umanitario deve</w:t>
      </w:r>
      <w:r>
        <w:rPr>
          <w:rFonts w:ascii="Calibri" w:hAnsi="Calibri"/>
          <w:color w:val="231F20"/>
          <w:spacing w:val="-16"/>
          <w:w w:val="105"/>
          <w:sz w:val="17"/>
        </w:rPr>
        <w:t> </w:t>
      </w:r>
      <w:r>
        <w:rPr>
          <w:rFonts w:ascii="Calibri" w:hAnsi="Calibri"/>
          <w:color w:val="231F20"/>
          <w:w w:val="105"/>
          <w:sz w:val="17"/>
        </w:rPr>
        <w:t>essere</w:t>
      </w:r>
      <w:r>
        <w:rPr>
          <w:rFonts w:ascii="Calibri" w:hAnsi="Calibri"/>
          <w:color w:val="231F20"/>
          <w:spacing w:val="-16"/>
          <w:w w:val="105"/>
          <w:sz w:val="17"/>
        </w:rPr>
        <w:t> </w:t>
      </w:r>
      <w:r>
        <w:rPr>
          <w:rFonts w:ascii="Calibri" w:hAnsi="Calibri"/>
          <w:color w:val="231F20"/>
          <w:w w:val="105"/>
          <w:sz w:val="17"/>
        </w:rPr>
        <w:t>approvato</w:t>
      </w:r>
      <w:r>
        <w:rPr>
          <w:rFonts w:ascii="Calibri" w:hAnsi="Calibri"/>
          <w:color w:val="231F20"/>
          <w:spacing w:val="-16"/>
          <w:w w:val="105"/>
          <w:sz w:val="17"/>
        </w:rPr>
        <w:t> </w:t>
      </w:r>
      <w:r>
        <w:rPr>
          <w:rFonts w:ascii="Calibri" w:hAnsi="Calibri"/>
          <w:color w:val="231F20"/>
          <w:w w:val="105"/>
          <w:sz w:val="17"/>
        </w:rPr>
        <w:t>dal</w:t>
      </w:r>
      <w:r>
        <w:rPr>
          <w:rFonts w:ascii="Calibri" w:hAnsi="Calibri"/>
          <w:color w:val="231F20"/>
          <w:spacing w:val="-16"/>
          <w:w w:val="105"/>
          <w:sz w:val="17"/>
        </w:rPr>
        <w:t> </w:t>
      </w:r>
      <w:r>
        <w:rPr>
          <w:rFonts w:ascii="Calibri" w:hAnsi="Calibri"/>
          <w:color w:val="231F20"/>
          <w:w w:val="105"/>
          <w:sz w:val="17"/>
        </w:rPr>
        <w:t>Consiglio</w:t>
      </w:r>
      <w:r>
        <w:rPr>
          <w:rFonts w:ascii="Calibri" w:hAnsi="Calibri"/>
          <w:color w:val="231F20"/>
          <w:spacing w:val="-16"/>
          <w:w w:val="105"/>
          <w:sz w:val="17"/>
        </w:rPr>
        <w:t> </w:t>
      </w:r>
      <w:r>
        <w:rPr>
          <w:rFonts w:ascii="Calibri" w:hAnsi="Calibri"/>
          <w:color w:val="231F20"/>
          <w:w w:val="105"/>
          <w:sz w:val="17"/>
        </w:rPr>
        <w:t>di</w:t>
      </w:r>
      <w:r>
        <w:rPr>
          <w:rFonts w:ascii="Calibri" w:hAnsi="Calibri"/>
          <w:color w:val="231F20"/>
          <w:spacing w:val="-16"/>
          <w:w w:val="105"/>
          <w:sz w:val="17"/>
        </w:rPr>
        <w:t> </w:t>
      </w:r>
      <w:r>
        <w:rPr>
          <w:rFonts w:ascii="Calibri" w:hAnsi="Calibri"/>
          <w:color w:val="231F20"/>
          <w:spacing w:val="-3"/>
          <w:w w:val="105"/>
          <w:sz w:val="17"/>
        </w:rPr>
        <w:t>Sicurezza”.</w:t>
      </w:r>
    </w:p>
    <w:p>
      <w:pPr>
        <w:spacing w:line="204" w:lineRule="exact" w:before="0"/>
        <w:ind w:left="117" w:right="121" w:firstLine="0"/>
        <w:jc w:val="both"/>
        <w:rPr>
          <w:rFonts w:ascii="Calibri" w:hAnsi="Calibri"/>
          <w:sz w:val="17"/>
        </w:rPr>
      </w:pPr>
      <w:r>
        <w:rPr>
          <w:rFonts w:ascii="Calibri" w:hAnsi="Calibri"/>
          <w:color w:val="231F20"/>
          <w:position w:val="6"/>
          <w:sz w:val="10"/>
        </w:rPr>
        <w:t>18 </w:t>
      </w:r>
      <w:r>
        <w:rPr>
          <w:rFonts w:ascii="Calibri" w:hAnsi="Calibri"/>
          <w:color w:val="231F20"/>
          <w:sz w:val="17"/>
        </w:rPr>
        <w:t>M. Serrano, “The Responsibility to protect and its Critics: Explaining the Consensus”, </w:t>
      </w:r>
      <w:r>
        <w:rPr>
          <w:rFonts w:ascii="Calibri" w:hAnsi="Calibri"/>
          <w:i/>
          <w:color w:val="231F20"/>
          <w:sz w:val="17"/>
        </w:rPr>
        <w:t>Global </w:t>
      </w:r>
      <w:r>
        <w:rPr>
          <w:rFonts w:ascii="Calibri" w:hAnsi="Calibri"/>
          <w:i/>
          <w:color w:val="231F20"/>
          <w:sz w:val="17"/>
        </w:rPr>
        <w:t>Responsibility to Protect</w:t>
      </w:r>
      <w:r>
        <w:rPr>
          <w:rFonts w:ascii="Calibri" w:hAnsi="Calibri"/>
          <w:color w:val="231F20"/>
          <w:sz w:val="17"/>
        </w:rPr>
        <w:t>, no. 3, 2011, pp. 1–13, in part. p. 3. Sulla “svolta umanitaria” delle relazioni internazionali si veda, in sintesi, I. Holliday, “Ethics of Intervention: Just War Theory and the Challenge of the 21st Century”, </w:t>
      </w:r>
      <w:r>
        <w:rPr>
          <w:rFonts w:ascii="Calibri" w:hAnsi="Calibri"/>
          <w:i/>
          <w:color w:val="231F20"/>
          <w:sz w:val="17"/>
        </w:rPr>
        <w:t>International Relations</w:t>
      </w:r>
      <w:r>
        <w:rPr>
          <w:rFonts w:ascii="Calibri" w:hAnsi="Calibri"/>
          <w:color w:val="231F20"/>
          <w:sz w:val="17"/>
        </w:rPr>
        <w:t>, vol. 17, 2, 2003, pp. 115–133.</w:t>
      </w:r>
    </w:p>
    <w:p>
      <w:pPr>
        <w:spacing w:before="1"/>
        <w:ind w:left="117" w:right="0" w:firstLine="0"/>
        <w:jc w:val="both"/>
        <w:rPr>
          <w:rFonts w:ascii="Calibri" w:hAnsi="Calibri"/>
          <w:sz w:val="17"/>
        </w:rPr>
      </w:pPr>
      <w:r>
        <w:rPr>
          <w:rFonts w:ascii="Calibri" w:hAnsi="Calibri"/>
          <w:color w:val="231F20"/>
          <w:position w:val="6"/>
          <w:sz w:val="10"/>
        </w:rPr>
        <w:t>19   </w:t>
      </w:r>
      <w:r>
        <w:rPr>
          <w:rFonts w:ascii="Calibri" w:hAnsi="Calibri"/>
          <w:color w:val="231F20"/>
          <w:sz w:val="17"/>
        </w:rPr>
        <w:t>A.  J.  Bellamy  and  P.  Williams,  “On  the  limits  of  moral  hazard: The  ‘responsibility  to protect’,</w:t>
      </w:r>
    </w:p>
    <w:p>
      <w:pPr>
        <w:spacing w:after="0"/>
        <w:jc w:val="both"/>
        <w:rPr>
          <w:rFonts w:ascii="Calibri" w:hAnsi="Calibri"/>
          <w:sz w:val="17"/>
        </w:rPr>
        <w:sectPr>
          <w:type w:val="continuous"/>
          <w:pgSz w:w="9640" w:h="13890"/>
          <w:pgMar w:top="0" w:bottom="0" w:left="1300" w:right="1180"/>
        </w:sectPr>
      </w:pPr>
    </w:p>
    <w:p>
      <w:pPr>
        <w:pStyle w:val="BodyText"/>
        <w:spacing w:line="247" w:lineRule="auto" w:before="107"/>
        <w:ind w:left="103" w:right="108" w:firstLine="566"/>
        <w:jc w:val="both"/>
      </w:pPr>
      <w:r>
        <w:rPr>
          <w:color w:val="231F20"/>
          <w:w w:val="105"/>
        </w:rPr>
        <w:t>È</w:t>
      </w:r>
      <w:r>
        <w:rPr>
          <w:color w:val="231F20"/>
          <w:spacing w:val="-32"/>
          <w:w w:val="105"/>
        </w:rPr>
        <w:t> </w:t>
      </w:r>
      <w:r>
        <w:rPr>
          <w:color w:val="231F20"/>
          <w:w w:val="105"/>
        </w:rPr>
        <w:t>forse</w:t>
      </w:r>
      <w:r>
        <w:rPr>
          <w:color w:val="231F20"/>
          <w:spacing w:val="-32"/>
          <w:w w:val="105"/>
        </w:rPr>
        <w:t> </w:t>
      </w:r>
      <w:r>
        <w:rPr>
          <w:color w:val="231F20"/>
          <w:w w:val="105"/>
        </w:rPr>
        <w:t>superfluo</w:t>
      </w:r>
      <w:r>
        <w:rPr>
          <w:color w:val="231F20"/>
          <w:spacing w:val="-32"/>
          <w:w w:val="105"/>
        </w:rPr>
        <w:t> </w:t>
      </w:r>
      <w:r>
        <w:rPr>
          <w:color w:val="231F20"/>
          <w:w w:val="105"/>
        </w:rPr>
        <w:t>sottolineare</w:t>
      </w:r>
      <w:r>
        <w:rPr>
          <w:color w:val="231F20"/>
          <w:spacing w:val="-32"/>
          <w:w w:val="105"/>
        </w:rPr>
        <w:t> </w:t>
      </w:r>
      <w:r>
        <w:rPr>
          <w:color w:val="231F20"/>
          <w:w w:val="105"/>
        </w:rPr>
        <w:t>il</w:t>
      </w:r>
      <w:r>
        <w:rPr>
          <w:color w:val="231F20"/>
          <w:spacing w:val="-32"/>
          <w:w w:val="105"/>
        </w:rPr>
        <w:t> </w:t>
      </w:r>
      <w:r>
        <w:rPr>
          <w:color w:val="231F20"/>
          <w:w w:val="105"/>
        </w:rPr>
        <w:t>ruolo</w:t>
      </w:r>
      <w:r>
        <w:rPr>
          <w:color w:val="231F20"/>
          <w:spacing w:val="-32"/>
          <w:w w:val="105"/>
        </w:rPr>
        <w:t> </w:t>
      </w:r>
      <w:r>
        <w:rPr>
          <w:color w:val="231F20"/>
          <w:w w:val="105"/>
        </w:rPr>
        <w:t>decisivo</w:t>
      </w:r>
      <w:r>
        <w:rPr>
          <w:color w:val="231F20"/>
          <w:spacing w:val="-32"/>
          <w:w w:val="105"/>
        </w:rPr>
        <w:t> </w:t>
      </w:r>
      <w:r>
        <w:rPr>
          <w:color w:val="231F20"/>
          <w:w w:val="105"/>
        </w:rPr>
        <w:t>giocato</w:t>
      </w:r>
      <w:r>
        <w:rPr>
          <w:color w:val="231F20"/>
          <w:spacing w:val="-32"/>
          <w:w w:val="105"/>
        </w:rPr>
        <w:t> </w:t>
      </w:r>
      <w:r>
        <w:rPr>
          <w:color w:val="231F20"/>
          <w:w w:val="105"/>
        </w:rPr>
        <w:t>dall’espansivo </w:t>
      </w:r>
      <w:r>
        <w:rPr>
          <w:color w:val="231F20"/>
          <w:spacing w:val="2"/>
          <w:w w:val="105"/>
        </w:rPr>
        <w:t>linguaggio </w:t>
      </w:r>
      <w:r>
        <w:rPr>
          <w:color w:val="231F20"/>
          <w:w w:val="105"/>
        </w:rPr>
        <w:t>dei </w:t>
      </w:r>
      <w:r>
        <w:rPr>
          <w:color w:val="231F20"/>
          <w:spacing w:val="2"/>
          <w:w w:val="105"/>
        </w:rPr>
        <w:t>diritti umani </w:t>
      </w:r>
      <w:r>
        <w:rPr>
          <w:color w:val="231F20"/>
          <w:w w:val="105"/>
        </w:rPr>
        <w:t>in </w:t>
      </w:r>
      <w:r>
        <w:rPr>
          <w:color w:val="231F20"/>
          <w:spacing w:val="2"/>
          <w:w w:val="105"/>
        </w:rPr>
        <w:t>questo processo </w:t>
      </w:r>
      <w:r>
        <w:rPr>
          <w:color w:val="231F20"/>
          <w:w w:val="105"/>
        </w:rPr>
        <w:t>di </w:t>
      </w:r>
      <w:r>
        <w:rPr>
          <w:color w:val="231F20"/>
          <w:spacing w:val="2"/>
          <w:w w:val="105"/>
        </w:rPr>
        <w:t>rimodulazione </w:t>
      </w:r>
      <w:r>
        <w:rPr>
          <w:color w:val="231F20"/>
          <w:spacing w:val="3"/>
          <w:w w:val="105"/>
        </w:rPr>
        <w:t>della </w:t>
      </w:r>
      <w:r>
        <w:rPr>
          <w:color w:val="231F20"/>
          <w:spacing w:val="-3"/>
        </w:rPr>
        <w:t>tradizionale</w:t>
      </w:r>
      <w:r>
        <w:rPr>
          <w:color w:val="231F20"/>
          <w:spacing w:val="-11"/>
        </w:rPr>
        <w:t> </w:t>
      </w:r>
      <w:r>
        <w:rPr>
          <w:color w:val="231F20"/>
          <w:spacing w:val="-3"/>
        </w:rPr>
        <w:t>visione</w:t>
      </w:r>
      <w:r>
        <w:rPr>
          <w:color w:val="231F20"/>
          <w:spacing w:val="-11"/>
        </w:rPr>
        <w:t> </w:t>
      </w:r>
      <w:r>
        <w:rPr>
          <w:color w:val="231F20"/>
          <w:spacing w:val="-3"/>
        </w:rPr>
        <w:t>stato–centrica</w:t>
      </w:r>
      <w:r>
        <w:rPr>
          <w:color w:val="231F20"/>
          <w:spacing w:val="-11"/>
        </w:rPr>
        <w:t> </w:t>
      </w:r>
      <w:r>
        <w:rPr>
          <w:color w:val="231F20"/>
          <w:spacing w:val="-4"/>
        </w:rPr>
        <w:t>dell’ordine</w:t>
      </w:r>
      <w:r>
        <w:rPr>
          <w:color w:val="231F20"/>
          <w:spacing w:val="-11"/>
        </w:rPr>
        <w:t> </w:t>
      </w:r>
      <w:r>
        <w:rPr>
          <w:color w:val="231F20"/>
          <w:spacing w:val="-3"/>
        </w:rPr>
        <w:t>internazionale</w:t>
      </w:r>
      <w:r>
        <w:rPr>
          <w:color w:val="231F20"/>
          <w:spacing w:val="-3"/>
          <w:position w:val="7"/>
          <w:sz w:val="12"/>
        </w:rPr>
        <w:t>20</w:t>
      </w:r>
      <w:r>
        <w:rPr>
          <w:color w:val="231F20"/>
          <w:spacing w:val="-3"/>
        </w:rPr>
        <w:t>.</w:t>
      </w:r>
      <w:r>
        <w:rPr>
          <w:color w:val="231F20"/>
          <w:spacing w:val="-11"/>
        </w:rPr>
        <w:t> </w:t>
      </w:r>
      <w:r>
        <w:rPr>
          <w:color w:val="231F20"/>
        </w:rPr>
        <w:t>Per</w:t>
      </w:r>
      <w:r>
        <w:rPr>
          <w:color w:val="231F20"/>
          <w:spacing w:val="-11"/>
        </w:rPr>
        <w:t> </w:t>
      </w:r>
      <w:r>
        <w:rPr>
          <w:color w:val="231F20"/>
        </w:rPr>
        <w:t>i</w:t>
      </w:r>
      <w:r>
        <w:rPr>
          <w:color w:val="231F20"/>
          <w:spacing w:val="-11"/>
        </w:rPr>
        <w:t> </w:t>
      </w:r>
      <w:r>
        <w:rPr>
          <w:color w:val="231F20"/>
          <w:spacing w:val="-3"/>
        </w:rPr>
        <w:t>sostenitori </w:t>
      </w:r>
      <w:r>
        <w:rPr>
          <w:color w:val="231F20"/>
          <w:w w:val="105"/>
        </w:rPr>
        <w:t>di</w:t>
      </w:r>
      <w:r>
        <w:rPr>
          <w:color w:val="231F20"/>
          <w:spacing w:val="-31"/>
          <w:w w:val="105"/>
        </w:rPr>
        <w:t> </w:t>
      </w:r>
      <w:r>
        <w:rPr>
          <w:color w:val="231F20"/>
          <w:w w:val="105"/>
        </w:rPr>
        <w:t>un</w:t>
      </w:r>
      <w:r>
        <w:rPr>
          <w:color w:val="231F20"/>
          <w:spacing w:val="-31"/>
          <w:w w:val="105"/>
        </w:rPr>
        <w:t> </w:t>
      </w:r>
      <w:r>
        <w:rPr>
          <w:color w:val="231F20"/>
          <w:w w:val="105"/>
        </w:rPr>
        <w:t>approccio</w:t>
      </w:r>
      <w:r>
        <w:rPr>
          <w:color w:val="231F20"/>
          <w:spacing w:val="-31"/>
          <w:w w:val="105"/>
        </w:rPr>
        <w:t> </w:t>
      </w:r>
      <w:r>
        <w:rPr>
          <w:color w:val="231F20"/>
          <w:w w:val="105"/>
        </w:rPr>
        <w:t>“universalistico”</w:t>
      </w:r>
      <w:r>
        <w:rPr>
          <w:color w:val="231F20"/>
          <w:spacing w:val="-31"/>
          <w:w w:val="105"/>
        </w:rPr>
        <w:t> </w:t>
      </w:r>
      <w:r>
        <w:rPr>
          <w:color w:val="231F20"/>
          <w:w w:val="105"/>
        </w:rPr>
        <w:t>alle</w:t>
      </w:r>
      <w:r>
        <w:rPr>
          <w:color w:val="231F20"/>
          <w:spacing w:val="-31"/>
          <w:w w:val="105"/>
        </w:rPr>
        <w:t> </w:t>
      </w:r>
      <w:r>
        <w:rPr>
          <w:color w:val="231F20"/>
          <w:w w:val="105"/>
        </w:rPr>
        <w:t>relazioni</w:t>
      </w:r>
      <w:r>
        <w:rPr>
          <w:color w:val="231F20"/>
          <w:spacing w:val="-31"/>
          <w:w w:val="105"/>
        </w:rPr>
        <w:t> </w:t>
      </w:r>
      <w:r>
        <w:rPr>
          <w:color w:val="231F20"/>
          <w:w w:val="105"/>
        </w:rPr>
        <w:t>tra</w:t>
      </w:r>
      <w:r>
        <w:rPr>
          <w:color w:val="231F20"/>
          <w:spacing w:val="-31"/>
          <w:w w:val="105"/>
        </w:rPr>
        <w:t> </w:t>
      </w:r>
      <w:r>
        <w:rPr>
          <w:color w:val="231F20"/>
          <w:w w:val="105"/>
        </w:rPr>
        <w:t>Stati,</w:t>
      </w:r>
      <w:r>
        <w:rPr>
          <w:color w:val="231F20"/>
          <w:spacing w:val="-31"/>
          <w:w w:val="105"/>
        </w:rPr>
        <w:t> </w:t>
      </w:r>
      <w:r>
        <w:rPr>
          <w:color w:val="231F20"/>
          <w:w w:val="105"/>
        </w:rPr>
        <w:t>il</w:t>
      </w:r>
      <w:r>
        <w:rPr>
          <w:color w:val="231F20"/>
          <w:spacing w:val="-31"/>
          <w:w w:val="105"/>
        </w:rPr>
        <w:t> </w:t>
      </w:r>
      <w:r>
        <w:rPr>
          <w:color w:val="231F20"/>
          <w:w w:val="105"/>
        </w:rPr>
        <w:t>riconoscimento</w:t>
      </w:r>
      <w:r>
        <w:rPr>
          <w:color w:val="231F20"/>
          <w:spacing w:val="-31"/>
          <w:w w:val="105"/>
        </w:rPr>
        <w:t> </w:t>
      </w:r>
      <w:r>
        <w:rPr>
          <w:color w:val="231F20"/>
          <w:w w:val="105"/>
        </w:rPr>
        <w:t>di limiti</w:t>
      </w:r>
      <w:r>
        <w:rPr>
          <w:color w:val="231F20"/>
          <w:spacing w:val="-33"/>
          <w:w w:val="105"/>
        </w:rPr>
        <w:t> </w:t>
      </w:r>
      <w:r>
        <w:rPr>
          <w:color w:val="231F20"/>
          <w:w w:val="105"/>
        </w:rPr>
        <w:t>sostanziali</w:t>
      </w:r>
      <w:r>
        <w:rPr>
          <w:color w:val="231F20"/>
          <w:spacing w:val="-33"/>
          <w:w w:val="105"/>
        </w:rPr>
        <w:t> </w:t>
      </w:r>
      <w:r>
        <w:rPr>
          <w:color w:val="231F20"/>
          <w:w w:val="105"/>
        </w:rPr>
        <w:t>al</w:t>
      </w:r>
      <w:r>
        <w:rPr>
          <w:color w:val="231F20"/>
          <w:spacing w:val="-33"/>
          <w:w w:val="105"/>
        </w:rPr>
        <w:t> </w:t>
      </w:r>
      <w:r>
        <w:rPr>
          <w:color w:val="231F20"/>
          <w:w w:val="105"/>
        </w:rPr>
        <w:t>principio</w:t>
      </w:r>
      <w:r>
        <w:rPr>
          <w:color w:val="231F20"/>
          <w:spacing w:val="-33"/>
          <w:w w:val="105"/>
        </w:rPr>
        <w:t> </w:t>
      </w:r>
      <w:r>
        <w:rPr>
          <w:color w:val="231F20"/>
          <w:w w:val="105"/>
        </w:rPr>
        <w:t>di</w:t>
      </w:r>
      <w:r>
        <w:rPr>
          <w:color w:val="231F20"/>
          <w:spacing w:val="-33"/>
          <w:w w:val="105"/>
        </w:rPr>
        <w:t> </w:t>
      </w:r>
      <w:r>
        <w:rPr>
          <w:color w:val="231F20"/>
          <w:w w:val="105"/>
        </w:rPr>
        <w:t>non-ingerenza</w:t>
      </w:r>
      <w:r>
        <w:rPr>
          <w:color w:val="231F20"/>
          <w:spacing w:val="-33"/>
          <w:w w:val="105"/>
        </w:rPr>
        <w:t> </w:t>
      </w:r>
      <w:r>
        <w:rPr>
          <w:color w:val="231F20"/>
          <w:w w:val="105"/>
        </w:rPr>
        <w:t>caratteristico</w:t>
      </w:r>
      <w:r>
        <w:rPr>
          <w:color w:val="231F20"/>
          <w:spacing w:val="-33"/>
          <w:w w:val="105"/>
        </w:rPr>
        <w:t> </w:t>
      </w:r>
      <w:r>
        <w:rPr>
          <w:color w:val="231F20"/>
          <w:w w:val="105"/>
        </w:rPr>
        <w:t>del</w:t>
      </w:r>
      <w:r>
        <w:rPr>
          <w:color w:val="231F20"/>
          <w:spacing w:val="-33"/>
          <w:w w:val="105"/>
        </w:rPr>
        <w:t> </w:t>
      </w:r>
      <w:r>
        <w:rPr>
          <w:color w:val="231F20"/>
          <w:w w:val="105"/>
        </w:rPr>
        <w:t>regime</w:t>
      </w:r>
      <w:r>
        <w:rPr>
          <w:color w:val="231F20"/>
          <w:spacing w:val="-33"/>
          <w:w w:val="105"/>
        </w:rPr>
        <w:t> </w:t>
      </w:r>
      <w:r>
        <w:rPr>
          <w:color w:val="231F20"/>
          <w:w w:val="105"/>
          <w:sz w:val="18"/>
        </w:rPr>
        <w:t>ONU </w:t>
      </w:r>
      <w:r>
        <w:rPr>
          <w:color w:val="231F20"/>
          <w:w w:val="105"/>
        </w:rPr>
        <w:t>coincide,</w:t>
      </w:r>
      <w:r>
        <w:rPr>
          <w:color w:val="231F20"/>
          <w:spacing w:val="-48"/>
          <w:w w:val="105"/>
        </w:rPr>
        <w:t> </w:t>
      </w:r>
      <w:r>
        <w:rPr>
          <w:color w:val="231F20"/>
          <w:w w:val="105"/>
        </w:rPr>
        <w:t>infatti,</w:t>
      </w:r>
      <w:r>
        <w:rPr>
          <w:color w:val="231F20"/>
          <w:spacing w:val="-48"/>
          <w:w w:val="105"/>
        </w:rPr>
        <w:t> </w:t>
      </w:r>
      <w:r>
        <w:rPr>
          <w:color w:val="231F20"/>
          <w:w w:val="105"/>
        </w:rPr>
        <w:t>per</w:t>
      </w:r>
      <w:r>
        <w:rPr>
          <w:color w:val="231F20"/>
          <w:spacing w:val="-48"/>
          <w:w w:val="105"/>
        </w:rPr>
        <w:t> </w:t>
      </w:r>
      <w:r>
        <w:rPr>
          <w:color w:val="231F20"/>
          <w:w w:val="105"/>
        </w:rPr>
        <w:t>lo</w:t>
      </w:r>
      <w:r>
        <w:rPr>
          <w:color w:val="231F20"/>
          <w:spacing w:val="-48"/>
          <w:w w:val="105"/>
        </w:rPr>
        <w:t> </w:t>
      </w:r>
      <w:r>
        <w:rPr>
          <w:color w:val="231F20"/>
          <w:w w:val="105"/>
        </w:rPr>
        <w:t>più</w:t>
      </w:r>
      <w:r>
        <w:rPr>
          <w:color w:val="231F20"/>
          <w:spacing w:val="-48"/>
          <w:w w:val="105"/>
        </w:rPr>
        <w:t> </w:t>
      </w:r>
      <w:r>
        <w:rPr>
          <w:color w:val="231F20"/>
          <w:w w:val="105"/>
        </w:rPr>
        <w:t>con</w:t>
      </w:r>
      <w:r>
        <w:rPr>
          <w:color w:val="231F20"/>
          <w:spacing w:val="-48"/>
          <w:w w:val="105"/>
        </w:rPr>
        <w:t> </w:t>
      </w:r>
      <w:r>
        <w:rPr>
          <w:color w:val="231F20"/>
          <w:w w:val="105"/>
        </w:rPr>
        <w:t>l’assunzione</w:t>
      </w:r>
      <w:r>
        <w:rPr>
          <w:color w:val="231F20"/>
          <w:spacing w:val="-48"/>
          <w:w w:val="105"/>
        </w:rPr>
        <w:t> </w:t>
      </w:r>
      <w:r>
        <w:rPr>
          <w:color w:val="231F20"/>
          <w:w w:val="105"/>
        </w:rPr>
        <w:t>di</w:t>
      </w:r>
      <w:r>
        <w:rPr>
          <w:color w:val="231F20"/>
          <w:spacing w:val="-48"/>
          <w:w w:val="105"/>
        </w:rPr>
        <w:t> </w:t>
      </w:r>
      <w:r>
        <w:rPr>
          <w:color w:val="231F20"/>
          <w:w w:val="105"/>
        </w:rPr>
        <w:t>una</w:t>
      </w:r>
      <w:r>
        <w:rPr>
          <w:color w:val="231F20"/>
          <w:spacing w:val="-48"/>
          <w:w w:val="105"/>
        </w:rPr>
        <w:t> </w:t>
      </w:r>
      <w:r>
        <w:rPr>
          <w:color w:val="231F20"/>
          <w:w w:val="105"/>
        </w:rPr>
        <w:t>generale</w:t>
      </w:r>
      <w:r>
        <w:rPr>
          <w:color w:val="231F20"/>
          <w:spacing w:val="-48"/>
          <w:w w:val="105"/>
        </w:rPr>
        <w:t> </w:t>
      </w:r>
      <w:r>
        <w:rPr>
          <w:color w:val="231F20"/>
          <w:w w:val="105"/>
        </w:rPr>
        <w:t>concezione</w:t>
      </w:r>
      <w:r>
        <w:rPr>
          <w:color w:val="231F20"/>
          <w:spacing w:val="-48"/>
          <w:w w:val="105"/>
        </w:rPr>
        <w:t> </w:t>
      </w:r>
      <w:r>
        <w:rPr>
          <w:color w:val="231F20"/>
          <w:w w:val="105"/>
        </w:rPr>
        <w:t>della </w:t>
      </w:r>
      <w:r>
        <w:rPr>
          <w:color w:val="231F20"/>
        </w:rPr>
        <w:t>giustizia</w:t>
      </w:r>
      <w:r>
        <w:rPr>
          <w:color w:val="231F20"/>
          <w:spacing w:val="-20"/>
        </w:rPr>
        <w:t> </w:t>
      </w:r>
      <w:r>
        <w:rPr>
          <w:color w:val="231F20"/>
        </w:rPr>
        <w:t>politica</w:t>
      </w:r>
      <w:r>
        <w:rPr>
          <w:color w:val="231F20"/>
          <w:spacing w:val="-20"/>
        </w:rPr>
        <w:t> </w:t>
      </w:r>
      <w:r>
        <w:rPr>
          <w:color w:val="231F20"/>
        </w:rPr>
        <w:t>di</w:t>
      </w:r>
      <w:r>
        <w:rPr>
          <w:color w:val="231F20"/>
          <w:spacing w:val="-20"/>
        </w:rPr>
        <w:t> </w:t>
      </w:r>
      <w:r>
        <w:rPr>
          <w:color w:val="231F20"/>
        </w:rPr>
        <w:t>evidente</w:t>
      </w:r>
      <w:r>
        <w:rPr>
          <w:color w:val="231F20"/>
          <w:spacing w:val="-20"/>
        </w:rPr>
        <w:t> </w:t>
      </w:r>
      <w:r>
        <w:rPr>
          <w:color w:val="231F20"/>
        </w:rPr>
        <w:t>derivazione</w:t>
      </w:r>
      <w:r>
        <w:rPr>
          <w:color w:val="231F20"/>
          <w:spacing w:val="-20"/>
        </w:rPr>
        <w:t> </w:t>
      </w:r>
      <w:r>
        <w:rPr>
          <w:color w:val="231F20"/>
        </w:rPr>
        <w:t>giusnaturalistica.</w:t>
      </w:r>
      <w:r>
        <w:rPr>
          <w:color w:val="231F20"/>
          <w:spacing w:val="-20"/>
        </w:rPr>
        <w:t> </w:t>
      </w:r>
      <w:r>
        <w:rPr>
          <w:color w:val="231F20"/>
        </w:rPr>
        <w:t>Alla</w:t>
      </w:r>
      <w:r>
        <w:rPr>
          <w:color w:val="231F20"/>
          <w:spacing w:val="-20"/>
        </w:rPr>
        <w:t> </w:t>
      </w:r>
      <w:r>
        <w:rPr>
          <w:color w:val="231F20"/>
        </w:rPr>
        <w:t>base</w:t>
      </w:r>
      <w:r>
        <w:rPr>
          <w:color w:val="231F20"/>
          <w:spacing w:val="-20"/>
        </w:rPr>
        <w:t> </w:t>
      </w:r>
      <w:r>
        <w:rPr>
          <w:color w:val="231F20"/>
        </w:rPr>
        <w:t>di</w:t>
      </w:r>
      <w:r>
        <w:rPr>
          <w:color w:val="231F20"/>
          <w:spacing w:val="-20"/>
        </w:rPr>
        <w:t> </w:t>
      </w:r>
      <w:r>
        <w:rPr>
          <w:color w:val="231F20"/>
          <w:spacing w:val="-2"/>
        </w:rPr>
        <w:t>questo </w:t>
      </w:r>
      <w:r>
        <w:rPr>
          <w:color w:val="231F20"/>
          <w:spacing w:val="-3"/>
          <w:w w:val="105"/>
        </w:rPr>
        <w:t>approccio</w:t>
      </w:r>
      <w:r>
        <w:rPr>
          <w:color w:val="231F20"/>
          <w:spacing w:val="-47"/>
          <w:w w:val="105"/>
        </w:rPr>
        <w:t> </w:t>
      </w:r>
      <w:r>
        <w:rPr>
          <w:color w:val="231F20"/>
          <w:w w:val="105"/>
        </w:rPr>
        <w:t>si</w:t>
      </w:r>
      <w:r>
        <w:rPr>
          <w:color w:val="231F20"/>
          <w:spacing w:val="-47"/>
          <w:w w:val="105"/>
        </w:rPr>
        <w:t> </w:t>
      </w:r>
      <w:r>
        <w:rPr>
          <w:color w:val="231F20"/>
          <w:w w:val="105"/>
        </w:rPr>
        <w:t>pone,</w:t>
      </w:r>
      <w:r>
        <w:rPr>
          <w:color w:val="231F20"/>
          <w:spacing w:val="-47"/>
          <w:w w:val="105"/>
        </w:rPr>
        <w:t> </w:t>
      </w:r>
      <w:r>
        <w:rPr>
          <w:color w:val="231F20"/>
          <w:w w:val="105"/>
        </w:rPr>
        <w:t>cioè,</w:t>
      </w:r>
      <w:r>
        <w:rPr>
          <w:color w:val="231F20"/>
          <w:spacing w:val="-47"/>
          <w:w w:val="105"/>
        </w:rPr>
        <w:t> </w:t>
      </w:r>
      <w:r>
        <w:rPr>
          <w:color w:val="231F20"/>
          <w:w w:val="105"/>
        </w:rPr>
        <w:t>la</w:t>
      </w:r>
      <w:r>
        <w:rPr>
          <w:color w:val="231F20"/>
          <w:spacing w:val="-47"/>
          <w:w w:val="105"/>
        </w:rPr>
        <w:t> </w:t>
      </w:r>
      <w:r>
        <w:rPr>
          <w:color w:val="231F20"/>
          <w:w w:val="105"/>
        </w:rPr>
        <w:t>convinzione</w:t>
      </w:r>
      <w:r>
        <w:rPr>
          <w:color w:val="231F20"/>
          <w:spacing w:val="-47"/>
          <w:w w:val="105"/>
        </w:rPr>
        <w:t> </w:t>
      </w:r>
      <w:r>
        <w:rPr>
          <w:color w:val="231F20"/>
          <w:w w:val="105"/>
        </w:rPr>
        <w:t>—secondo</w:t>
      </w:r>
      <w:r>
        <w:rPr>
          <w:color w:val="231F20"/>
          <w:spacing w:val="-47"/>
          <w:w w:val="105"/>
        </w:rPr>
        <w:t> </w:t>
      </w:r>
      <w:r>
        <w:rPr>
          <w:color w:val="231F20"/>
          <w:w w:val="105"/>
        </w:rPr>
        <w:t>alcuni</w:t>
      </w:r>
      <w:r>
        <w:rPr>
          <w:color w:val="231F20"/>
          <w:spacing w:val="-47"/>
          <w:w w:val="105"/>
        </w:rPr>
        <w:t> </w:t>
      </w:r>
      <w:r>
        <w:rPr>
          <w:color w:val="231F20"/>
          <w:w w:val="105"/>
        </w:rPr>
        <w:t>autori</w:t>
      </w:r>
      <w:r>
        <w:rPr>
          <w:color w:val="231F20"/>
          <w:spacing w:val="-47"/>
          <w:w w:val="105"/>
        </w:rPr>
        <w:t> </w:t>
      </w:r>
      <w:r>
        <w:rPr>
          <w:color w:val="231F20"/>
          <w:w w:val="105"/>
        </w:rPr>
        <w:t>ampiamente condivisa—</w:t>
      </w:r>
      <w:r>
        <w:rPr>
          <w:color w:val="231F20"/>
          <w:spacing w:val="-41"/>
          <w:w w:val="105"/>
        </w:rPr>
        <w:t> </w:t>
      </w:r>
      <w:r>
        <w:rPr>
          <w:color w:val="231F20"/>
          <w:w w:val="105"/>
        </w:rPr>
        <w:t>che</w:t>
      </w:r>
      <w:r>
        <w:rPr>
          <w:color w:val="231F20"/>
          <w:spacing w:val="-41"/>
          <w:w w:val="105"/>
        </w:rPr>
        <w:t> </w:t>
      </w:r>
      <w:r>
        <w:rPr>
          <w:color w:val="231F20"/>
          <w:w w:val="105"/>
        </w:rPr>
        <w:t>nella</w:t>
      </w:r>
      <w:r>
        <w:rPr>
          <w:color w:val="231F20"/>
          <w:spacing w:val="-41"/>
          <w:w w:val="105"/>
        </w:rPr>
        <w:t> </w:t>
      </w:r>
      <w:r>
        <w:rPr>
          <w:color w:val="231F20"/>
          <w:w w:val="105"/>
        </w:rPr>
        <w:t>loro</w:t>
      </w:r>
      <w:r>
        <w:rPr>
          <w:color w:val="231F20"/>
          <w:spacing w:val="-41"/>
          <w:w w:val="105"/>
        </w:rPr>
        <w:t> </w:t>
      </w:r>
      <w:r>
        <w:rPr>
          <w:color w:val="231F20"/>
          <w:w w:val="105"/>
        </w:rPr>
        <w:t>ordinaria</w:t>
      </w:r>
      <w:r>
        <w:rPr>
          <w:color w:val="231F20"/>
          <w:spacing w:val="-41"/>
          <w:w w:val="105"/>
        </w:rPr>
        <w:t> </w:t>
      </w:r>
      <w:r>
        <w:rPr>
          <w:color w:val="231F20"/>
          <w:w w:val="105"/>
        </w:rPr>
        <w:t>funzionalità</w:t>
      </w:r>
      <w:r>
        <w:rPr>
          <w:color w:val="231F20"/>
          <w:spacing w:val="-41"/>
          <w:w w:val="105"/>
        </w:rPr>
        <w:t> </w:t>
      </w:r>
      <w:r>
        <w:rPr>
          <w:color w:val="231F20"/>
          <w:w w:val="105"/>
        </w:rPr>
        <w:t>gli</w:t>
      </w:r>
      <w:r>
        <w:rPr>
          <w:color w:val="231F20"/>
          <w:spacing w:val="-41"/>
          <w:w w:val="105"/>
        </w:rPr>
        <w:t> </w:t>
      </w:r>
      <w:r>
        <w:rPr>
          <w:color w:val="231F20"/>
          <w:w w:val="105"/>
        </w:rPr>
        <w:t>Stati</w:t>
      </w:r>
      <w:r>
        <w:rPr>
          <w:color w:val="231F20"/>
          <w:spacing w:val="-41"/>
          <w:w w:val="105"/>
        </w:rPr>
        <w:t> </w:t>
      </w:r>
      <w:r>
        <w:rPr>
          <w:color w:val="231F20"/>
          <w:w w:val="105"/>
        </w:rPr>
        <w:t>abbiano</w:t>
      </w:r>
      <w:r>
        <w:rPr>
          <w:color w:val="231F20"/>
          <w:spacing w:val="-41"/>
          <w:w w:val="105"/>
        </w:rPr>
        <w:t> </w:t>
      </w:r>
      <w:r>
        <w:rPr>
          <w:color w:val="231F20"/>
          <w:w w:val="105"/>
        </w:rPr>
        <w:t>un</w:t>
      </w:r>
      <w:r>
        <w:rPr>
          <w:color w:val="231F20"/>
          <w:spacing w:val="-41"/>
          <w:w w:val="105"/>
        </w:rPr>
        <w:t> </w:t>
      </w:r>
      <w:r>
        <w:rPr>
          <w:color w:val="231F20"/>
          <w:w w:val="105"/>
        </w:rPr>
        <w:t>obbligo generale</w:t>
      </w:r>
      <w:r>
        <w:rPr>
          <w:color w:val="231F20"/>
          <w:spacing w:val="-30"/>
          <w:w w:val="105"/>
        </w:rPr>
        <w:t> </w:t>
      </w:r>
      <w:r>
        <w:rPr>
          <w:color w:val="231F20"/>
          <w:w w:val="105"/>
        </w:rPr>
        <w:t>di</w:t>
      </w:r>
      <w:r>
        <w:rPr>
          <w:color w:val="231F20"/>
          <w:spacing w:val="-30"/>
          <w:w w:val="105"/>
        </w:rPr>
        <w:t> </w:t>
      </w:r>
      <w:r>
        <w:rPr>
          <w:color w:val="231F20"/>
          <w:w w:val="105"/>
        </w:rPr>
        <w:t>garantire</w:t>
      </w:r>
      <w:r>
        <w:rPr>
          <w:color w:val="231F20"/>
          <w:spacing w:val="-30"/>
          <w:w w:val="105"/>
        </w:rPr>
        <w:t> </w:t>
      </w:r>
      <w:r>
        <w:rPr>
          <w:color w:val="231F20"/>
          <w:w w:val="105"/>
        </w:rPr>
        <w:t>ai</w:t>
      </w:r>
      <w:r>
        <w:rPr>
          <w:color w:val="231F20"/>
          <w:spacing w:val="-30"/>
          <w:w w:val="105"/>
        </w:rPr>
        <w:t> </w:t>
      </w:r>
      <w:r>
        <w:rPr>
          <w:color w:val="231F20"/>
          <w:w w:val="105"/>
        </w:rPr>
        <w:t>propri</w:t>
      </w:r>
      <w:r>
        <w:rPr>
          <w:color w:val="231F20"/>
          <w:spacing w:val="-30"/>
          <w:w w:val="105"/>
        </w:rPr>
        <w:t> </w:t>
      </w:r>
      <w:r>
        <w:rPr>
          <w:color w:val="231F20"/>
          <w:w w:val="105"/>
        </w:rPr>
        <w:t>cittadini</w:t>
      </w:r>
    </w:p>
    <w:p>
      <w:pPr>
        <w:pStyle w:val="BodyText"/>
        <w:spacing w:before="10"/>
        <w:rPr>
          <w:sz w:val="22"/>
        </w:rPr>
      </w:pPr>
    </w:p>
    <w:p>
      <w:pPr>
        <w:spacing w:line="220" w:lineRule="exact" w:before="1"/>
        <w:ind w:left="1521" w:right="112" w:firstLine="0"/>
        <w:jc w:val="both"/>
        <w:rPr>
          <w:sz w:val="19"/>
        </w:rPr>
      </w:pPr>
      <w:r>
        <w:rPr>
          <w:color w:val="231F20"/>
          <w:sz w:val="19"/>
        </w:rPr>
        <w:t>alcuni</w:t>
      </w:r>
      <w:r>
        <w:rPr>
          <w:color w:val="231F20"/>
          <w:spacing w:val="-7"/>
          <w:sz w:val="19"/>
        </w:rPr>
        <w:t> </w:t>
      </w:r>
      <w:r>
        <w:rPr>
          <w:color w:val="231F20"/>
          <w:sz w:val="19"/>
        </w:rPr>
        <w:t>diritti</w:t>
      </w:r>
      <w:r>
        <w:rPr>
          <w:color w:val="231F20"/>
          <w:spacing w:val="-7"/>
          <w:sz w:val="19"/>
        </w:rPr>
        <w:t> </w:t>
      </w:r>
      <w:r>
        <w:rPr>
          <w:color w:val="231F20"/>
          <w:sz w:val="19"/>
        </w:rPr>
        <w:t>basilari</w:t>
      </w:r>
      <w:r>
        <w:rPr>
          <w:color w:val="231F20"/>
          <w:spacing w:val="-7"/>
          <w:sz w:val="19"/>
        </w:rPr>
        <w:t> </w:t>
      </w:r>
      <w:r>
        <w:rPr>
          <w:color w:val="231F20"/>
          <w:sz w:val="19"/>
        </w:rPr>
        <w:t>o</w:t>
      </w:r>
      <w:r>
        <w:rPr>
          <w:color w:val="231F20"/>
          <w:spacing w:val="-7"/>
          <w:sz w:val="19"/>
        </w:rPr>
        <w:t> </w:t>
      </w:r>
      <w:r>
        <w:rPr>
          <w:color w:val="231F20"/>
          <w:sz w:val="19"/>
        </w:rPr>
        <w:t>fondamentali</w:t>
      </w:r>
      <w:r>
        <w:rPr>
          <w:color w:val="231F20"/>
          <w:spacing w:val="-7"/>
          <w:sz w:val="19"/>
        </w:rPr>
        <w:t> </w:t>
      </w:r>
      <w:r>
        <w:rPr>
          <w:color w:val="231F20"/>
          <w:sz w:val="19"/>
        </w:rPr>
        <w:t>che</w:t>
      </w:r>
      <w:r>
        <w:rPr>
          <w:color w:val="231F20"/>
          <w:spacing w:val="-7"/>
          <w:sz w:val="19"/>
        </w:rPr>
        <w:t> </w:t>
      </w:r>
      <w:r>
        <w:rPr>
          <w:color w:val="231F20"/>
          <w:sz w:val="19"/>
        </w:rPr>
        <w:t>sono</w:t>
      </w:r>
      <w:r>
        <w:rPr>
          <w:color w:val="231F20"/>
          <w:spacing w:val="-7"/>
          <w:sz w:val="19"/>
        </w:rPr>
        <w:t> </w:t>
      </w:r>
      <w:r>
        <w:rPr>
          <w:color w:val="231F20"/>
          <w:sz w:val="19"/>
        </w:rPr>
        <w:t>considerati</w:t>
      </w:r>
      <w:r>
        <w:rPr>
          <w:color w:val="231F20"/>
          <w:spacing w:val="-7"/>
          <w:sz w:val="19"/>
        </w:rPr>
        <w:t> </w:t>
      </w:r>
      <w:r>
        <w:rPr>
          <w:color w:val="231F20"/>
          <w:sz w:val="19"/>
        </w:rPr>
        <w:t>necessari per</w:t>
      </w:r>
      <w:r>
        <w:rPr>
          <w:color w:val="231F20"/>
          <w:spacing w:val="-17"/>
          <w:sz w:val="19"/>
        </w:rPr>
        <w:t> </w:t>
      </w:r>
      <w:r>
        <w:rPr>
          <w:color w:val="231F20"/>
          <w:sz w:val="19"/>
        </w:rPr>
        <w:t>la</w:t>
      </w:r>
      <w:r>
        <w:rPr>
          <w:color w:val="231F20"/>
          <w:spacing w:val="-17"/>
          <w:sz w:val="19"/>
        </w:rPr>
        <w:t> </w:t>
      </w:r>
      <w:r>
        <w:rPr>
          <w:color w:val="231F20"/>
          <w:spacing w:val="-3"/>
          <w:sz w:val="19"/>
        </w:rPr>
        <w:t>loro</w:t>
      </w:r>
      <w:r>
        <w:rPr>
          <w:color w:val="231F20"/>
          <w:spacing w:val="-17"/>
          <w:sz w:val="19"/>
        </w:rPr>
        <w:t> </w:t>
      </w:r>
      <w:r>
        <w:rPr>
          <w:color w:val="231F20"/>
          <w:spacing w:val="-3"/>
          <w:sz w:val="19"/>
        </w:rPr>
        <w:t>esistenza</w:t>
      </w:r>
      <w:r>
        <w:rPr>
          <w:color w:val="231F20"/>
          <w:spacing w:val="-17"/>
          <w:sz w:val="19"/>
        </w:rPr>
        <w:t> </w:t>
      </w:r>
      <w:r>
        <w:rPr>
          <w:color w:val="231F20"/>
          <w:sz w:val="19"/>
        </w:rPr>
        <w:t>e</w:t>
      </w:r>
      <w:r>
        <w:rPr>
          <w:color w:val="231F20"/>
          <w:spacing w:val="-17"/>
          <w:sz w:val="19"/>
        </w:rPr>
        <w:t> </w:t>
      </w:r>
      <w:r>
        <w:rPr>
          <w:color w:val="231F20"/>
          <w:sz w:val="19"/>
        </w:rPr>
        <w:t>per</w:t>
      </w:r>
      <w:r>
        <w:rPr>
          <w:color w:val="231F20"/>
          <w:spacing w:val="-17"/>
          <w:sz w:val="19"/>
        </w:rPr>
        <w:t> </w:t>
      </w:r>
      <w:r>
        <w:rPr>
          <w:color w:val="231F20"/>
          <w:sz w:val="19"/>
        </w:rPr>
        <w:t>il</w:t>
      </w:r>
      <w:r>
        <w:rPr>
          <w:color w:val="231F20"/>
          <w:spacing w:val="-17"/>
          <w:sz w:val="19"/>
        </w:rPr>
        <w:t> </w:t>
      </w:r>
      <w:r>
        <w:rPr>
          <w:color w:val="231F20"/>
          <w:spacing w:val="-3"/>
          <w:sz w:val="19"/>
        </w:rPr>
        <w:t>mantenimento</w:t>
      </w:r>
      <w:r>
        <w:rPr>
          <w:color w:val="231F20"/>
          <w:spacing w:val="-17"/>
          <w:sz w:val="19"/>
        </w:rPr>
        <w:t> </w:t>
      </w:r>
      <w:r>
        <w:rPr>
          <w:color w:val="231F20"/>
          <w:sz w:val="19"/>
        </w:rPr>
        <w:t>di</w:t>
      </w:r>
      <w:r>
        <w:rPr>
          <w:color w:val="231F20"/>
          <w:spacing w:val="-17"/>
          <w:sz w:val="19"/>
        </w:rPr>
        <w:t> </w:t>
      </w:r>
      <w:r>
        <w:rPr>
          <w:color w:val="231F20"/>
          <w:spacing w:val="-3"/>
          <w:sz w:val="19"/>
        </w:rPr>
        <w:t>relazioni</w:t>
      </w:r>
      <w:r>
        <w:rPr>
          <w:color w:val="231F20"/>
          <w:spacing w:val="-17"/>
          <w:sz w:val="19"/>
        </w:rPr>
        <w:t> </w:t>
      </w:r>
      <w:r>
        <w:rPr>
          <w:color w:val="231F20"/>
          <w:spacing w:val="-3"/>
          <w:sz w:val="19"/>
        </w:rPr>
        <w:t>amichevoli</w:t>
      </w:r>
      <w:r>
        <w:rPr>
          <w:color w:val="231F20"/>
          <w:spacing w:val="-17"/>
          <w:sz w:val="19"/>
        </w:rPr>
        <w:t> </w:t>
      </w:r>
      <w:r>
        <w:rPr>
          <w:color w:val="231F20"/>
          <w:spacing w:val="-3"/>
          <w:sz w:val="19"/>
        </w:rPr>
        <w:t>tra </w:t>
      </w:r>
      <w:r>
        <w:rPr>
          <w:color w:val="231F20"/>
          <w:sz w:val="19"/>
        </w:rPr>
        <w:t>le</w:t>
      </w:r>
      <w:r>
        <w:rPr>
          <w:color w:val="231F20"/>
          <w:spacing w:val="-5"/>
          <w:sz w:val="19"/>
        </w:rPr>
        <w:t> </w:t>
      </w:r>
      <w:r>
        <w:rPr>
          <w:color w:val="231F20"/>
          <w:sz w:val="19"/>
        </w:rPr>
        <w:t>nazioni.</w:t>
      </w:r>
      <w:r>
        <w:rPr>
          <w:color w:val="231F20"/>
          <w:spacing w:val="-5"/>
          <w:sz w:val="19"/>
        </w:rPr>
        <w:t> </w:t>
      </w:r>
      <w:r>
        <w:rPr>
          <w:color w:val="231F20"/>
          <w:sz w:val="19"/>
        </w:rPr>
        <w:t>Si</w:t>
      </w:r>
      <w:r>
        <w:rPr>
          <w:color w:val="231F20"/>
          <w:spacing w:val="-5"/>
          <w:sz w:val="19"/>
        </w:rPr>
        <w:t> </w:t>
      </w:r>
      <w:r>
        <w:rPr>
          <w:color w:val="231F20"/>
          <w:sz w:val="19"/>
        </w:rPr>
        <w:t>sostiene</w:t>
      </w:r>
      <w:r>
        <w:rPr>
          <w:color w:val="231F20"/>
          <w:spacing w:val="-5"/>
          <w:sz w:val="19"/>
        </w:rPr>
        <w:t> </w:t>
      </w:r>
      <w:r>
        <w:rPr>
          <w:color w:val="231F20"/>
          <w:sz w:val="19"/>
        </w:rPr>
        <w:t>inoltre</w:t>
      </w:r>
      <w:r>
        <w:rPr>
          <w:color w:val="231F20"/>
          <w:spacing w:val="-5"/>
          <w:sz w:val="19"/>
        </w:rPr>
        <w:t> </w:t>
      </w:r>
      <w:r>
        <w:rPr>
          <w:color w:val="231F20"/>
          <w:sz w:val="19"/>
        </w:rPr>
        <w:t>che</w:t>
      </w:r>
      <w:r>
        <w:rPr>
          <w:color w:val="231F20"/>
          <w:spacing w:val="-5"/>
          <w:sz w:val="19"/>
        </w:rPr>
        <w:t> </w:t>
      </w:r>
      <w:r>
        <w:rPr>
          <w:color w:val="231F20"/>
          <w:sz w:val="19"/>
        </w:rPr>
        <w:t>questi</w:t>
      </w:r>
      <w:r>
        <w:rPr>
          <w:color w:val="231F20"/>
          <w:spacing w:val="-5"/>
          <w:sz w:val="19"/>
        </w:rPr>
        <w:t> </w:t>
      </w:r>
      <w:r>
        <w:rPr>
          <w:color w:val="231F20"/>
          <w:sz w:val="19"/>
        </w:rPr>
        <w:t>diritti</w:t>
      </w:r>
      <w:r>
        <w:rPr>
          <w:color w:val="231F20"/>
          <w:spacing w:val="-5"/>
          <w:sz w:val="19"/>
        </w:rPr>
        <w:t> </w:t>
      </w:r>
      <w:r>
        <w:rPr>
          <w:color w:val="231F20"/>
          <w:sz w:val="19"/>
        </w:rPr>
        <w:t>sono</w:t>
      </w:r>
      <w:r>
        <w:rPr>
          <w:color w:val="231F20"/>
          <w:spacing w:val="-5"/>
          <w:sz w:val="19"/>
        </w:rPr>
        <w:t> </w:t>
      </w:r>
      <w:r>
        <w:rPr>
          <w:color w:val="231F20"/>
          <w:sz w:val="19"/>
        </w:rPr>
        <w:t>così</w:t>
      </w:r>
      <w:r>
        <w:rPr>
          <w:color w:val="231F20"/>
          <w:spacing w:val="-5"/>
          <w:sz w:val="19"/>
        </w:rPr>
        <w:t> </w:t>
      </w:r>
      <w:r>
        <w:rPr>
          <w:color w:val="231F20"/>
          <w:sz w:val="19"/>
        </w:rPr>
        <w:t>essenziali, universali, e hanno una tale rilevanza per la persona umana che le violazioni commesse da ciascuno Stato non possono essere ignorate dagli altri. Questa assunzione autorizzerebbe l’intervento di</w:t>
      </w:r>
      <w:r>
        <w:rPr>
          <w:color w:val="231F20"/>
          <w:spacing w:val="-7"/>
          <w:sz w:val="19"/>
        </w:rPr>
        <w:t> </w:t>
      </w:r>
      <w:r>
        <w:rPr>
          <w:color w:val="231F20"/>
          <w:sz w:val="19"/>
        </w:rPr>
        <w:t>altri</w:t>
      </w:r>
      <w:r>
        <w:rPr>
          <w:color w:val="231F20"/>
          <w:spacing w:val="-7"/>
          <w:sz w:val="19"/>
        </w:rPr>
        <w:t> </w:t>
      </w:r>
      <w:r>
        <w:rPr>
          <w:color w:val="231F20"/>
          <w:sz w:val="19"/>
        </w:rPr>
        <w:t>Stati,</w:t>
      </w:r>
      <w:r>
        <w:rPr>
          <w:color w:val="231F20"/>
          <w:spacing w:val="-7"/>
          <w:sz w:val="19"/>
        </w:rPr>
        <w:t> </w:t>
      </w:r>
      <w:r>
        <w:rPr>
          <w:color w:val="231F20"/>
          <w:sz w:val="19"/>
        </w:rPr>
        <w:t>in</w:t>
      </w:r>
      <w:r>
        <w:rPr>
          <w:color w:val="231F20"/>
          <w:spacing w:val="-7"/>
          <w:sz w:val="19"/>
        </w:rPr>
        <w:t> </w:t>
      </w:r>
      <w:r>
        <w:rPr>
          <w:color w:val="231F20"/>
          <w:sz w:val="19"/>
        </w:rPr>
        <w:t>caso</w:t>
      </w:r>
      <w:r>
        <w:rPr>
          <w:color w:val="231F20"/>
          <w:spacing w:val="-5"/>
          <w:sz w:val="19"/>
        </w:rPr>
        <w:t> </w:t>
      </w:r>
      <w:r>
        <w:rPr>
          <w:color w:val="231F20"/>
          <w:sz w:val="19"/>
        </w:rPr>
        <w:t>di</w:t>
      </w:r>
      <w:r>
        <w:rPr>
          <w:color w:val="231F20"/>
          <w:spacing w:val="-7"/>
          <w:sz w:val="19"/>
        </w:rPr>
        <w:t> </w:t>
      </w:r>
      <w:r>
        <w:rPr>
          <w:color w:val="231F20"/>
          <w:sz w:val="19"/>
        </w:rPr>
        <w:t>flagrante</w:t>
      </w:r>
      <w:r>
        <w:rPr>
          <w:color w:val="231F20"/>
          <w:spacing w:val="-7"/>
          <w:sz w:val="19"/>
        </w:rPr>
        <w:t> </w:t>
      </w:r>
      <w:r>
        <w:rPr>
          <w:color w:val="231F20"/>
          <w:sz w:val="19"/>
        </w:rPr>
        <w:t>negazione</w:t>
      </w:r>
      <w:r>
        <w:rPr>
          <w:color w:val="231F20"/>
          <w:spacing w:val="-7"/>
          <w:sz w:val="19"/>
        </w:rPr>
        <w:t> </w:t>
      </w:r>
      <w:r>
        <w:rPr>
          <w:color w:val="231F20"/>
          <w:sz w:val="19"/>
        </w:rPr>
        <w:t>di</w:t>
      </w:r>
      <w:r>
        <w:rPr>
          <w:color w:val="231F20"/>
          <w:spacing w:val="-7"/>
          <w:sz w:val="19"/>
        </w:rPr>
        <w:t> </w:t>
      </w:r>
      <w:r>
        <w:rPr>
          <w:color w:val="231F20"/>
          <w:sz w:val="19"/>
        </w:rPr>
        <w:t>tali</w:t>
      </w:r>
      <w:r>
        <w:rPr>
          <w:color w:val="231F20"/>
          <w:spacing w:val="-7"/>
          <w:sz w:val="19"/>
        </w:rPr>
        <w:t> </w:t>
      </w:r>
      <w:r>
        <w:rPr>
          <w:color w:val="231F20"/>
          <w:sz w:val="19"/>
        </w:rPr>
        <w:t>diritti</w:t>
      </w:r>
      <w:r>
        <w:rPr>
          <w:color w:val="231F20"/>
          <w:spacing w:val="-7"/>
          <w:sz w:val="19"/>
        </w:rPr>
        <w:t> </w:t>
      </w:r>
      <w:r>
        <w:rPr>
          <w:color w:val="231F20"/>
          <w:sz w:val="19"/>
        </w:rPr>
        <w:t>da</w:t>
      </w:r>
      <w:r>
        <w:rPr>
          <w:color w:val="231F20"/>
          <w:spacing w:val="-7"/>
          <w:sz w:val="19"/>
        </w:rPr>
        <w:t> </w:t>
      </w:r>
      <w:r>
        <w:rPr>
          <w:color w:val="231F20"/>
          <w:sz w:val="19"/>
        </w:rPr>
        <w:t>parte</w:t>
      </w:r>
      <w:r>
        <w:rPr>
          <w:color w:val="231F20"/>
          <w:spacing w:val="-7"/>
          <w:sz w:val="19"/>
        </w:rPr>
        <w:t> </w:t>
      </w:r>
      <w:r>
        <w:rPr>
          <w:color w:val="231F20"/>
          <w:sz w:val="19"/>
        </w:rPr>
        <w:t>di uno Stato nei confronti dei propri</w:t>
      </w:r>
      <w:r>
        <w:rPr>
          <w:color w:val="231F20"/>
          <w:spacing w:val="19"/>
          <w:sz w:val="19"/>
        </w:rPr>
        <w:t> </w:t>
      </w:r>
      <w:r>
        <w:rPr>
          <w:color w:val="231F20"/>
          <w:sz w:val="19"/>
        </w:rPr>
        <w:t>cittadini</w:t>
      </w:r>
      <w:r>
        <w:rPr>
          <w:color w:val="231F20"/>
          <w:position w:val="6"/>
          <w:sz w:val="11"/>
        </w:rPr>
        <w:t>21</w:t>
      </w:r>
      <w:r>
        <w:rPr>
          <w:color w:val="231F20"/>
          <w:sz w:val="19"/>
        </w:rPr>
        <w:t>.</w:t>
      </w:r>
    </w:p>
    <w:p>
      <w:pPr>
        <w:pStyle w:val="BodyText"/>
        <w:rPr>
          <w:sz w:val="20"/>
        </w:rPr>
      </w:pPr>
    </w:p>
    <w:p>
      <w:pPr>
        <w:pStyle w:val="BodyText"/>
        <w:rPr>
          <w:sz w:val="20"/>
        </w:rPr>
      </w:pPr>
    </w:p>
    <w:p>
      <w:pPr>
        <w:pStyle w:val="BodyText"/>
        <w:spacing w:before="11"/>
        <w:rPr>
          <w:sz w:val="14"/>
        </w:rPr>
      </w:pPr>
      <w:r>
        <w:rPr/>
        <w:pict>
          <v:line style="position:absolute;mso-position-horizontal-relative:page;mso-position-vertical-relative:paragraph;z-index:14392;mso-wrap-distance-left:0;mso-wrap-distance-right:0" from="65.1968pt,11.142089pt" to="178.5828pt,11.142089pt" stroked="true" strokeweight=".3pt" strokecolor="#231f20">
            <w10:wrap type="topAndBottom"/>
          </v:line>
        </w:pict>
      </w:r>
    </w:p>
    <w:p>
      <w:pPr>
        <w:spacing w:line="204" w:lineRule="exact" w:before="8"/>
        <w:ind w:left="103" w:right="114" w:firstLine="0"/>
        <w:jc w:val="both"/>
        <w:rPr>
          <w:rFonts w:ascii="Calibri" w:hAnsi="Calibri"/>
          <w:sz w:val="17"/>
        </w:rPr>
      </w:pPr>
      <w:r>
        <w:rPr>
          <w:rFonts w:ascii="Calibri" w:hAnsi="Calibri"/>
          <w:color w:val="231F20"/>
          <w:w w:val="105"/>
          <w:sz w:val="17"/>
        </w:rPr>
        <w:t>armed conflict and mass atrocities”, </w:t>
      </w:r>
      <w:r>
        <w:rPr>
          <w:rFonts w:ascii="Calibri" w:hAnsi="Calibri"/>
          <w:i/>
          <w:color w:val="231F20"/>
          <w:w w:val="105"/>
          <w:sz w:val="17"/>
        </w:rPr>
        <w:t>European Journal of International Relations</w:t>
      </w:r>
      <w:r>
        <w:rPr>
          <w:rFonts w:ascii="Calibri" w:hAnsi="Calibri"/>
          <w:color w:val="231F20"/>
          <w:w w:val="105"/>
          <w:sz w:val="17"/>
        </w:rPr>
        <w:t>, 18, 2012, pp. 531–532. </w:t>
      </w:r>
      <w:r>
        <w:rPr>
          <w:rFonts w:ascii="Calibri" w:hAnsi="Calibri"/>
          <w:i/>
          <w:color w:val="231F20"/>
          <w:w w:val="105"/>
          <w:sz w:val="17"/>
        </w:rPr>
        <w:t>Cfr</w:t>
      </w:r>
      <w:r>
        <w:rPr>
          <w:rFonts w:ascii="Calibri" w:hAnsi="Calibri"/>
          <w:color w:val="231F20"/>
          <w:w w:val="105"/>
          <w:sz w:val="17"/>
        </w:rPr>
        <w:t>. </w:t>
      </w:r>
      <w:r>
        <w:rPr>
          <w:rFonts w:ascii="Calibri" w:hAnsi="Calibri"/>
          <w:color w:val="231F20"/>
          <w:w w:val="105"/>
          <w:sz w:val="14"/>
        </w:rPr>
        <w:t>UN GAOR</w:t>
      </w:r>
      <w:r>
        <w:rPr>
          <w:rFonts w:ascii="Calibri" w:hAnsi="Calibri"/>
          <w:color w:val="231F20"/>
          <w:w w:val="105"/>
          <w:sz w:val="17"/>
        </w:rPr>
        <w:t>, Sixtieth Session, 8th plen. mtg., UN Doc. A/RES/60/1, paras. 138 and</w:t>
      </w:r>
      <w:r>
        <w:rPr>
          <w:rFonts w:ascii="Calibri" w:hAnsi="Calibri"/>
          <w:color w:val="231F20"/>
          <w:spacing w:val="-26"/>
          <w:w w:val="105"/>
          <w:sz w:val="17"/>
        </w:rPr>
        <w:t> </w:t>
      </w:r>
      <w:r>
        <w:rPr>
          <w:rFonts w:ascii="Calibri" w:hAnsi="Calibri"/>
          <w:color w:val="231F20"/>
          <w:w w:val="105"/>
          <w:sz w:val="17"/>
        </w:rPr>
        <w:t>139 (October </w:t>
      </w:r>
      <w:r>
        <w:rPr>
          <w:rFonts w:ascii="Calibri" w:hAnsi="Calibri"/>
          <w:color w:val="231F20"/>
          <w:spacing w:val="-2"/>
          <w:w w:val="105"/>
          <w:sz w:val="17"/>
        </w:rPr>
        <w:t>24, </w:t>
      </w:r>
      <w:r>
        <w:rPr>
          <w:rFonts w:ascii="Calibri" w:hAnsi="Calibri"/>
          <w:color w:val="231F20"/>
          <w:w w:val="105"/>
          <w:sz w:val="17"/>
        </w:rPr>
        <w:t>2005), </w:t>
      </w:r>
      <w:hyperlink r:id="rId48">
        <w:r>
          <w:rPr>
            <w:rFonts w:ascii="Calibri" w:hAnsi="Calibri"/>
            <w:color w:val="231F20"/>
            <w:w w:val="105"/>
            <w:sz w:val="17"/>
          </w:rPr>
          <w:t>http://daccessdds.un.org/doc/UNDOC/GEN/</w:t>
        </w:r>
      </w:hyperlink>
      <w:r>
        <w:rPr>
          <w:rFonts w:ascii="Calibri" w:hAnsi="Calibri"/>
          <w:color w:val="231F20"/>
          <w:w w:val="105"/>
          <w:sz w:val="17"/>
        </w:rPr>
        <w:t> N05/487/60/PDF/N0548760. </w:t>
      </w:r>
      <w:r>
        <w:rPr>
          <w:rFonts w:ascii="Calibri" w:hAnsi="Calibri"/>
          <w:color w:val="231F20"/>
          <w:spacing w:val="2"/>
          <w:w w:val="105"/>
          <w:sz w:val="17"/>
        </w:rPr>
        <w:t>pdf? </w:t>
      </w:r>
      <w:r>
        <w:rPr>
          <w:rFonts w:ascii="Calibri" w:hAnsi="Calibri"/>
          <w:color w:val="231F20"/>
          <w:w w:val="105"/>
          <w:sz w:val="17"/>
        </w:rPr>
        <w:t>OpenElement: “138. Each individual State has the responsibility to protect its populations from genocide, war crimes, ethnic cleansing and crimes against humanity. This responsibility entails the prevention of such crimes, including their incitement, through appropriate and necessary</w:t>
      </w:r>
      <w:r>
        <w:rPr>
          <w:rFonts w:ascii="Calibri" w:hAnsi="Calibri"/>
          <w:color w:val="231F20"/>
          <w:spacing w:val="-20"/>
          <w:w w:val="105"/>
          <w:sz w:val="17"/>
        </w:rPr>
        <w:t> </w:t>
      </w:r>
      <w:r>
        <w:rPr>
          <w:rFonts w:ascii="Calibri" w:hAnsi="Calibri"/>
          <w:color w:val="231F20"/>
          <w:w w:val="105"/>
          <w:sz w:val="17"/>
        </w:rPr>
        <w:t>means.</w:t>
      </w:r>
      <w:r>
        <w:rPr>
          <w:rFonts w:ascii="Calibri" w:hAnsi="Calibri"/>
          <w:color w:val="231F20"/>
          <w:spacing w:val="-23"/>
          <w:w w:val="105"/>
          <w:sz w:val="17"/>
        </w:rPr>
        <w:t> </w:t>
      </w:r>
      <w:r>
        <w:rPr>
          <w:rFonts w:ascii="Calibri" w:hAnsi="Calibri"/>
          <w:color w:val="231F20"/>
          <w:spacing w:val="-3"/>
          <w:w w:val="105"/>
          <w:sz w:val="17"/>
        </w:rPr>
        <w:t>We</w:t>
      </w:r>
      <w:r>
        <w:rPr>
          <w:rFonts w:ascii="Calibri" w:hAnsi="Calibri"/>
          <w:color w:val="231F20"/>
          <w:spacing w:val="-20"/>
          <w:w w:val="105"/>
          <w:sz w:val="17"/>
        </w:rPr>
        <w:t> </w:t>
      </w:r>
      <w:r>
        <w:rPr>
          <w:rFonts w:ascii="Calibri" w:hAnsi="Calibri"/>
          <w:color w:val="231F20"/>
          <w:w w:val="105"/>
          <w:sz w:val="17"/>
        </w:rPr>
        <w:t>accept</w:t>
      </w:r>
      <w:r>
        <w:rPr>
          <w:rFonts w:ascii="Calibri" w:hAnsi="Calibri"/>
          <w:color w:val="231F20"/>
          <w:spacing w:val="-20"/>
          <w:w w:val="105"/>
          <w:sz w:val="17"/>
        </w:rPr>
        <w:t> </w:t>
      </w:r>
      <w:r>
        <w:rPr>
          <w:rFonts w:ascii="Calibri" w:hAnsi="Calibri"/>
          <w:color w:val="231F20"/>
          <w:w w:val="105"/>
          <w:sz w:val="17"/>
        </w:rPr>
        <w:t>that</w:t>
      </w:r>
      <w:r>
        <w:rPr>
          <w:rFonts w:ascii="Calibri" w:hAnsi="Calibri"/>
          <w:color w:val="231F20"/>
          <w:spacing w:val="-20"/>
          <w:w w:val="105"/>
          <w:sz w:val="17"/>
        </w:rPr>
        <w:t> </w:t>
      </w:r>
      <w:r>
        <w:rPr>
          <w:rFonts w:ascii="Calibri" w:hAnsi="Calibri"/>
          <w:color w:val="231F20"/>
          <w:w w:val="105"/>
          <w:sz w:val="17"/>
        </w:rPr>
        <w:t>responsibility</w:t>
      </w:r>
      <w:r>
        <w:rPr>
          <w:rFonts w:ascii="Calibri" w:hAnsi="Calibri"/>
          <w:color w:val="231F20"/>
          <w:spacing w:val="-20"/>
          <w:w w:val="105"/>
          <w:sz w:val="17"/>
        </w:rPr>
        <w:t> </w:t>
      </w:r>
      <w:r>
        <w:rPr>
          <w:rFonts w:ascii="Calibri" w:hAnsi="Calibri"/>
          <w:color w:val="231F20"/>
          <w:w w:val="105"/>
          <w:sz w:val="17"/>
        </w:rPr>
        <w:t>and</w:t>
      </w:r>
      <w:r>
        <w:rPr>
          <w:rFonts w:ascii="Calibri" w:hAnsi="Calibri"/>
          <w:color w:val="231F20"/>
          <w:spacing w:val="-20"/>
          <w:w w:val="105"/>
          <w:sz w:val="17"/>
        </w:rPr>
        <w:t> </w:t>
      </w:r>
      <w:r>
        <w:rPr>
          <w:rFonts w:ascii="Calibri" w:hAnsi="Calibri"/>
          <w:color w:val="231F20"/>
          <w:w w:val="105"/>
          <w:sz w:val="17"/>
        </w:rPr>
        <w:t>will</w:t>
      </w:r>
      <w:r>
        <w:rPr>
          <w:rFonts w:ascii="Calibri" w:hAnsi="Calibri"/>
          <w:color w:val="231F20"/>
          <w:spacing w:val="-20"/>
          <w:w w:val="105"/>
          <w:sz w:val="17"/>
        </w:rPr>
        <w:t> </w:t>
      </w:r>
      <w:r>
        <w:rPr>
          <w:rFonts w:ascii="Calibri" w:hAnsi="Calibri"/>
          <w:color w:val="231F20"/>
          <w:w w:val="105"/>
          <w:sz w:val="17"/>
        </w:rPr>
        <w:t>act</w:t>
      </w:r>
      <w:r>
        <w:rPr>
          <w:rFonts w:ascii="Calibri" w:hAnsi="Calibri"/>
          <w:color w:val="231F20"/>
          <w:spacing w:val="-20"/>
          <w:w w:val="105"/>
          <w:sz w:val="17"/>
        </w:rPr>
        <w:t> </w:t>
      </w:r>
      <w:r>
        <w:rPr>
          <w:rFonts w:ascii="Calibri" w:hAnsi="Calibri"/>
          <w:color w:val="231F20"/>
          <w:w w:val="105"/>
          <w:sz w:val="17"/>
        </w:rPr>
        <w:t>in</w:t>
      </w:r>
      <w:r>
        <w:rPr>
          <w:rFonts w:ascii="Calibri" w:hAnsi="Calibri"/>
          <w:color w:val="231F20"/>
          <w:spacing w:val="-20"/>
          <w:w w:val="105"/>
          <w:sz w:val="17"/>
        </w:rPr>
        <w:t> </w:t>
      </w:r>
      <w:r>
        <w:rPr>
          <w:rFonts w:ascii="Calibri" w:hAnsi="Calibri"/>
          <w:color w:val="231F20"/>
          <w:w w:val="105"/>
          <w:sz w:val="17"/>
        </w:rPr>
        <w:t>accordance</w:t>
      </w:r>
      <w:r>
        <w:rPr>
          <w:rFonts w:ascii="Calibri" w:hAnsi="Calibri"/>
          <w:color w:val="231F20"/>
          <w:spacing w:val="-20"/>
          <w:w w:val="105"/>
          <w:sz w:val="17"/>
        </w:rPr>
        <w:t> </w:t>
      </w:r>
      <w:r>
        <w:rPr>
          <w:rFonts w:ascii="Calibri" w:hAnsi="Calibri"/>
          <w:color w:val="231F20"/>
          <w:w w:val="105"/>
          <w:sz w:val="17"/>
        </w:rPr>
        <w:t>with</w:t>
      </w:r>
      <w:r>
        <w:rPr>
          <w:rFonts w:ascii="Calibri" w:hAnsi="Calibri"/>
          <w:color w:val="231F20"/>
          <w:spacing w:val="-20"/>
          <w:w w:val="105"/>
          <w:sz w:val="17"/>
        </w:rPr>
        <w:t> </w:t>
      </w:r>
      <w:r>
        <w:rPr>
          <w:rFonts w:ascii="Calibri" w:hAnsi="Calibri"/>
          <w:color w:val="231F20"/>
          <w:w w:val="105"/>
          <w:sz w:val="17"/>
        </w:rPr>
        <w:t>it.</w:t>
      </w:r>
      <w:r>
        <w:rPr>
          <w:rFonts w:ascii="Calibri" w:hAnsi="Calibri"/>
          <w:color w:val="231F20"/>
          <w:spacing w:val="-22"/>
          <w:w w:val="105"/>
          <w:sz w:val="17"/>
        </w:rPr>
        <w:t> </w:t>
      </w:r>
      <w:r>
        <w:rPr>
          <w:rFonts w:ascii="Calibri" w:hAnsi="Calibri"/>
          <w:color w:val="231F20"/>
          <w:w w:val="105"/>
          <w:sz w:val="17"/>
        </w:rPr>
        <w:t>The</w:t>
      </w:r>
      <w:r>
        <w:rPr>
          <w:rFonts w:ascii="Calibri" w:hAnsi="Calibri"/>
          <w:color w:val="231F20"/>
          <w:spacing w:val="-20"/>
          <w:w w:val="105"/>
          <w:sz w:val="17"/>
        </w:rPr>
        <w:t> </w:t>
      </w:r>
      <w:r>
        <w:rPr>
          <w:rFonts w:ascii="Calibri" w:hAnsi="Calibri"/>
          <w:color w:val="231F20"/>
          <w:w w:val="105"/>
          <w:sz w:val="17"/>
        </w:rPr>
        <w:t>international community</w:t>
      </w:r>
      <w:r>
        <w:rPr>
          <w:rFonts w:ascii="Calibri" w:hAnsi="Calibri"/>
          <w:color w:val="231F20"/>
          <w:spacing w:val="-3"/>
          <w:w w:val="105"/>
          <w:sz w:val="17"/>
        </w:rPr>
        <w:t> </w:t>
      </w:r>
      <w:r>
        <w:rPr>
          <w:rFonts w:ascii="Calibri" w:hAnsi="Calibri"/>
          <w:color w:val="231F20"/>
          <w:w w:val="105"/>
          <w:sz w:val="17"/>
        </w:rPr>
        <w:t>should,</w:t>
      </w:r>
      <w:r>
        <w:rPr>
          <w:rFonts w:ascii="Calibri" w:hAnsi="Calibri"/>
          <w:color w:val="231F20"/>
          <w:spacing w:val="-3"/>
          <w:w w:val="105"/>
          <w:sz w:val="17"/>
        </w:rPr>
        <w:t> </w:t>
      </w:r>
      <w:r>
        <w:rPr>
          <w:rFonts w:ascii="Calibri" w:hAnsi="Calibri"/>
          <w:color w:val="231F20"/>
          <w:w w:val="105"/>
          <w:sz w:val="17"/>
        </w:rPr>
        <w:t>as</w:t>
      </w:r>
      <w:r>
        <w:rPr>
          <w:rFonts w:ascii="Calibri" w:hAnsi="Calibri"/>
          <w:color w:val="231F20"/>
          <w:spacing w:val="-3"/>
          <w:w w:val="105"/>
          <w:sz w:val="17"/>
        </w:rPr>
        <w:t> </w:t>
      </w:r>
      <w:r>
        <w:rPr>
          <w:rFonts w:ascii="Calibri" w:hAnsi="Calibri"/>
          <w:color w:val="231F20"/>
          <w:w w:val="105"/>
          <w:sz w:val="17"/>
        </w:rPr>
        <w:t>appropriate,</w:t>
      </w:r>
      <w:r>
        <w:rPr>
          <w:rFonts w:ascii="Calibri" w:hAnsi="Calibri"/>
          <w:color w:val="231F20"/>
          <w:spacing w:val="-3"/>
          <w:w w:val="105"/>
          <w:sz w:val="17"/>
        </w:rPr>
        <w:t> </w:t>
      </w:r>
      <w:r>
        <w:rPr>
          <w:rFonts w:ascii="Calibri" w:hAnsi="Calibri"/>
          <w:color w:val="231F20"/>
          <w:w w:val="105"/>
          <w:sz w:val="17"/>
        </w:rPr>
        <w:t>encourage</w:t>
      </w:r>
      <w:r>
        <w:rPr>
          <w:rFonts w:ascii="Calibri" w:hAnsi="Calibri"/>
          <w:color w:val="231F20"/>
          <w:spacing w:val="-3"/>
          <w:w w:val="105"/>
          <w:sz w:val="17"/>
        </w:rPr>
        <w:t> </w:t>
      </w:r>
      <w:r>
        <w:rPr>
          <w:rFonts w:ascii="Calibri" w:hAnsi="Calibri"/>
          <w:color w:val="231F20"/>
          <w:w w:val="105"/>
          <w:sz w:val="17"/>
        </w:rPr>
        <w:t>and</w:t>
      </w:r>
      <w:r>
        <w:rPr>
          <w:rFonts w:ascii="Calibri" w:hAnsi="Calibri"/>
          <w:color w:val="231F20"/>
          <w:spacing w:val="-3"/>
          <w:w w:val="105"/>
          <w:sz w:val="17"/>
        </w:rPr>
        <w:t> </w:t>
      </w:r>
      <w:r>
        <w:rPr>
          <w:rFonts w:ascii="Calibri" w:hAnsi="Calibri"/>
          <w:color w:val="231F20"/>
          <w:w w:val="105"/>
          <w:sz w:val="17"/>
        </w:rPr>
        <w:t>help</w:t>
      </w:r>
      <w:r>
        <w:rPr>
          <w:rFonts w:ascii="Calibri" w:hAnsi="Calibri"/>
          <w:color w:val="231F20"/>
          <w:spacing w:val="-3"/>
          <w:w w:val="105"/>
          <w:sz w:val="17"/>
        </w:rPr>
        <w:t> </w:t>
      </w:r>
      <w:r>
        <w:rPr>
          <w:rFonts w:ascii="Calibri" w:hAnsi="Calibri"/>
          <w:color w:val="231F20"/>
          <w:w w:val="105"/>
          <w:sz w:val="17"/>
        </w:rPr>
        <w:t>states</w:t>
      </w:r>
      <w:r>
        <w:rPr>
          <w:rFonts w:ascii="Calibri" w:hAnsi="Calibri"/>
          <w:color w:val="231F20"/>
          <w:spacing w:val="-3"/>
          <w:w w:val="105"/>
          <w:sz w:val="17"/>
        </w:rPr>
        <w:t> </w:t>
      </w:r>
      <w:r>
        <w:rPr>
          <w:rFonts w:ascii="Calibri" w:hAnsi="Calibri"/>
          <w:color w:val="231F20"/>
          <w:w w:val="105"/>
          <w:sz w:val="17"/>
        </w:rPr>
        <w:t>to</w:t>
      </w:r>
      <w:r>
        <w:rPr>
          <w:rFonts w:ascii="Calibri" w:hAnsi="Calibri"/>
          <w:color w:val="231F20"/>
          <w:spacing w:val="-3"/>
          <w:w w:val="105"/>
          <w:sz w:val="17"/>
        </w:rPr>
        <w:t> </w:t>
      </w:r>
      <w:r>
        <w:rPr>
          <w:rFonts w:ascii="Calibri" w:hAnsi="Calibri"/>
          <w:color w:val="231F20"/>
          <w:w w:val="105"/>
          <w:sz w:val="17"/>
        </w:rPr>
        <w:t>exercise</w:t>
      </w:r>
      <w:r>
        <w:rPr>
          <w:rFonts w:ascii="Calibri" w:hAnsi="Calibri"/>
          <w:color w:val="231F20"/>
          <w:spacing w:val="-3"/>
          <w:w w:val="105"/>
          <w:sz w:val="17"/>
        </w:rPr>
        <w:t> </w:t>
      </w:r>
      <w:r>
        <w:rPr>
          <w:rFonts w:ascii="Calibri" w:hAnsi="Calibri"/>
          <w:color w:val="231F20"/>
          <w:w w:val="105"/>
          <w:sz w:val="17"/>
        </w:rPr>
        <w:t>this</w:t>
      </w:r>
      <w:r>
        <w:rPr>
          <w:rFonts w:ascii="Calibri" w:hAnsi="Calibri"/>
          <w:color w:val="231F20"/>
          <w:spacing w:val="-3"/>
          <w:w w:val="105"/>
          <w:sz w:val="17"/>
        </w:rPr>
        <w:t> </w:t>
      </w:r>
      <w:r>
        <w:rPr>
          <w:rFonts w:ascii="Calibri" w:hAnsi="Calibri"/>
          <w:color w:val="231F20"/>
          <w:w w:val="105"/>
          <w:sz w:val="17"/>
        </w:rPr>
        <w:t>responsibility</w:t>
      </w:r>
      <w:r>
        <w:rPr>
          <w:rFonts w:ascii="Calibri" w:hAnsi="Calibri"/>
          <w:color w:val="231F20"/>
          <w:spacing w:val="-3"/>
          <w:w w:val="105"/>
          <w:sz w:val="17"/>
        </w:rPr>
        <w:t> </w:t>
      </w:r>
      <w:r>
        <w:rPr>
          <w:rFonts w:ascii="Calibri" w:hAnsi="Calibri"/>
          <w:color w:val="231F20"/>
          <w:w w:val="105"/>
          <w:sz w:val="17"/>
        </w:rPr>
        <w:t>and support the United Nations in establishing an early warning capability. 139. The international community,</w:t>
      </w:r>
      <w:r>
        <w:rPr>
          <w:rFonts w:ascii="Calibri" w:hAnsi="Calibri"/>
          <w:color w:val="231F20"/>
          <w:spacing w:val="-17"/>
          <w:w w:val="105"/>
          <w:sz w:val="17"/>
        </w:rPr>
        <w:t> </w:t>
      </w:r>
      <w:r>
        <w:rPr>
          <w:rFonts w:ascii="Calibri" w:hAnsi="Calibri"/>
          <w:color w:val="231F20"/>
          <w:w w:val="105"/>
          <w:sz w:val="17"/>
        </w:rPr>
        <w:t>through</w:t>
      </w:r>
      <w:r>
        <w:rPr>
          <w:rFonts w:ascii="Calibri" w:hAnsi="Calibri"/>
          <w:color w:val="231F20"/>
          <w:spacing w:val="-17"/>
          <w:w w:val="105"/>
          <w:sz w:val="17"/>
        </w:rPr>
        <w:t> </w:t>
      </w:r>
      <w:r>
        <w:rPr>
          <w:rFonts w:ascii="Calibri" w:hAnsi="Calibri"/>
          <w:color w:val="231F20"/>
          <w:w w:val="105"/>
          <w:sz w:val="17"/>
        </w:rPr>
        <w:t>the</w:t>
      </w:r>
      <w:r>
        <w:rPr>
          <w:rFonts w:ascii="Calibri" w:hAnsi="Calibri"/>
          <w:color w:val="231F20"/>
          <w:spacing w:val="-17"/>
          <w:w w:val="105"/>
          <w:sz w:val="17"/>
        </w:rPr>
        <w:t> </w:t>
      </w:r>
      <w:r>
        <w:rPr>
          <w:rFonts w:ascii="Calibri" w:hAnsi="Calibri"/>
          <w:color w:val="231F20"/>
          <w:w w:val="105"/>
          <w:sz w:val="17"/>
        </w:rPr>
        <w:t>United</w:t>
      </w:r>
      <w:r>
        <w:rPr>
          <w:rFonts w:ascii="Calibri" w:hAnsi="Calibri"/>
          <w:color w:val="231F20"/>
          <w:spacing w:val="-17"/>
          <w:w w:val="105"/>
          <w:sz w:val="17"/>
        </w:rPr>
        <w:t> </w:t>
      </w:r>
      <w:r>
        <w:rPr>
          <w:rFonts w:ascii="Calibri" w:hAnsi="Calibri"/>
          <w:color w:val="231F20"/>
          <w:w w:val="105"/>
          <w:sz w:val="17"/>
        </w:rPr>
        <w:t>Nations,</w:t>
      </w:r>
      <w:r>
        <w:rPr>
          <w:rFonts w:ascii="Calibri" w:hAnsi="Calibri"/>
          <w:color w:val="231F20"/>
          <w:spacing w:val="-17"/>
          <w:w w:val="105"/>
          <w:sz w:val="17"/>
        </w:rPr>
        <w:t> </w:t>
      </w:r>
      <w:r>
        <w:rPr>
          <w:rFonts w:ascii="Calibri" w:hAnsi="Calibri"/>
          <w:color w:val="231F20"/>
          <w:w w:val="105"/>
          <w:sz w:val="17"/>
        </w:rPr>
        <w:t>also</w:t>
      </w:r>
      <w:r>
        <w:rPr>
          <w:rFonts w:ascii="Calibri" w:hAnsi="Calibri"/>
          <w:color w:val="231F20"/>
          <w:spacing w:val="-17"/>
          <w:w w:val="105"/>
          <w:sz w:val="17"/>
        </w:rPr>
        <w:t> </w:t>
      </w:r>
      <w:r>
        <w:rPr>
          <w:rFonts w:ascii="Calibri" w:hAnsi="Calibri"/>
          <w:color w:val="231F20"/>
          <w:w w:val="105"/>
          <w:sz w:val="17"/>
        </w:rPr>
        <w:t>has</w:t>
      </w:r>
      <w:r>
        <w:rPr>
          <w:rFonts w:ascii="Calibri" w:hAnsi="Calibri"/>
          <w:color w:val="231F20"/>
          <w:spacing w:val="-17"/>
          <w:w w:val="105"/>
          <w:sz w:val="17"/>
        </w:rPr>
        <w:t> </w:t>
      </w:r>
      <w:r>
        <w:rPr>
          <w:rFonts w:ascii="Calibri" w:hAnsi="Calibri"/>
          <w:color w:val="231F20"/>
          <w:w w:val="105"/>
          <w:sz w:val="17"/>
        </w:rPr>
        <w:t>the</w:t>
      </w:r>
      <w:r>
        <w:rPr>
          <w:rFonts w:ascii="Calibri" w:hAnsi="Calibri"/>
          <w:color w:val="231F20"/>
          <w:spacing w:val="-17"/>
          <w:w w:val="105"/>
          <w:sz w:val="17"/>
        </w:rPr>
        <w:t> </w:t>
      </w:r>
      <w:r>
        <w:rPr>
          <w:rFonts w:ascii="Calibri" w:hAnsi="Calibri"/>
          <w:color w:val="231F20"/>
          <w:w w:val="105"/>
          <w:sz w:val="17"/>
        </w:rPr>
        <w:t>responsibility</w:t>
      </w:r>
      <w:r>
        <w:rPr>
          <w:rFonts w:ascii="Calibri" w:hAnsi="Calibri"/>
          <w:color w:val="231F20"/>
          <w:spacing w:val="-17"/>
          <w:w w:val="105"/>
          <w:sz w:val="17"/>
        </w:rPr>
        <w:t> </w:t>
      </w:r>
      <w:r>
        <w:rPr>
          <w:rFonts w:ascii="Calibri" w:hAnsi="Calibri"/>
          <w:color w:val="231F20"/>
          <w:w w:val="105"/>
          <w:sz w:val="17"/>
        </w:rPr>
        <w:t>to</w:t>
      </w:r>
      <w:r>
        <w:rPr>
          <w:rFonts w:ascii="Calibri" w:hAnsi="Calibri"/>
          <w:color w:val="231F20"/>
          <w:spacing w:val="-17"/>
          <w:w w:val="105"/>
          <w:sz w:val="17"/>
        </w:rPr>
        <w:t> </w:t>
      </w:r>
      <w:r>
        <w:rPr>
          <w:rFonts w:ascii="Calibri" w:hAnsi="Calibri"/>
          <w:color w:val="231F20"/>
          <w:w w:val="105"/>
          <w:sz w:val="17"/>
        </w:rPr>
        <w:t>use</w:t>
      </w:r>
      <w:r>
        <w:rPr>
          <w:rFonts w:ascii="Calibri" w:hAnsi="Calibri"/>
          <w:color w:val="231F20"/>
          <w:spacing w:val="-17"/>
          <w:w w:val="105"/>
          <w:sz w:val="17"/>
        </w:rPr>
        <w:t> </w:t>
      </w:r>
      <w:r>
        <w:rPr>
          <w:rFonts w:ascii="Calibri" w:hAnsi="Calibri"/>
          <w:color w:val="231F20"/>
          <w:w w:val="105"/>
          <w:sz w:val="17"/>
        </w:rPr>
        <w:t>appropriate</w:t>
      </w:r>
      <w:r>
        <w:rPr>
          <w:rFonts w:ascii="Calibri" w:hAnsi="Calibri"/>
          <w:color w:val="231F20"/>
          <w:spacing w:val="-17"/>
          <w:w w:val="105"/>
          <w:sz w:val="17"/>
        </w:rPr>
        <w:t> </w:t>
      </w:r>
      <w:r>
        <w:rPr>
          <w:rFonts w:ascii="Calibri" w:hAnsi="Calibri"/>
          <w:color w:val="231F20"/>
          <w:w w:val="105"/>
          <w:sz w:val="17"/>
        </w:rPr>
        <w:t>diplomatic, humanitarian and other peaceful means, in accordance with Chapters </w:t>
      </w:r>
      <w:r>
        <w:rPr>
          <w:rFonts w:ascii="Calibri" w:hAnsi="Calibri"/>
          <w:color w:val="231F20"/>
          <w:w w:val="105"/>
          <w:sz w:val="14"/>
        </w:rPr>
        <w:t>VI </w:t>
      </w:r>
      <w:r>
        <w:rPr>
          <w:rFonts w:ascii="Calibri" w:hAnsi="Calibri"/>
          <w:color w:val="231F20"/>
          <w:w w:val="105"/>
          <w:sz w:val="17"/>
        </w:rPr>
        <w:t>and </w:t>
      </w:r>
      <w:r>
        <w:rPr>
          <w:rFonts w:ascii="Calibri" w:hAnsi="Calibri"/>
          <w:color w:val="231F20"/>
          <w:w w:val="105"/>
          <w:sz w:val="14"/>
        </w:rPr>
        <w:t>VIII </w:t>
      </w:r>
      <w:r>
        <w:rPr>
          <w:rFonts w:ascii="Calibri" w:hAnsi="Calibri"/>
          <w:color w:val="231F20"/>
          <w:w w:val="105"/>
          <w:sz w:val="17"/>
        </w:rPr>
        <w:t>of the Charter, to help to protect populations from genocide, war crimes, ethnic cleansing and crimes against humanity.</w:t>
      </w:r>
      <w:r>
        <w:rPr>
          <w:rFonts w:ascii="Calibri" w:hAnsi="Calibri"/>
          <w:color w:val="231F20"/>
          <w:spacing w:val="-24"/>
          <w:w w:val="105"/>
          <w:sz w:val="17"/>
        </w:rPr>
        <w:t> </w:t>
      </w:r>
      <w:r>
        <w:rPr>
          <w:rFonts w:ascii="Calibri" w:hAnsi="Calibri"/>
          <w:color w:val="231F20"/>
          <w:w w:val="105"/>
          <w:sz w:val="17"/>
        </w:rPr>
        <w:t>In</w:t>
      </w:r>
      <w:r>
        <w:rPr>
          <w:rFonts w:ascii="Calibri" w:hAnsi="Calibri"/>
          <w:color w:val="231F20"/>
          <w:spacing w:val="-24"/>
          <w:w w:val="105"/>
          <w:sz w:val="17"/>
        </w:rPr>
        <w:t> </w:t>
      </w:r>
      <w:r>
        <w:rPr>
          <w:rFonts w:ascii="Calibri" w:hAnsi="Calibri"/>
          <w:color w:val="231F20"/>
          <w:w w:val="105"/>
          <w:sz w:val="17"/>
        </w:rPr>
        <w:t>this</w:t>
      </w:r>
      <w:r>
        <w:rPr>
          <w:rFonts w:ascii="Calibri" w:hAnsi="Calibri"/>
          <w:color w:val="231F20"/>
          <w:spacing w:val="-24"/>
          <w:w w:val="105"/>
          <w:sz w:val="17"/>
        </w:rPr>
        <w:t> </w:t>
      </w:r>
      <w:r>
        <w:rPr>
          <w:rFonts w:ascii="Calibri" w:hAnsi="Calibri"/>
          <w:color w:val="231F20"/>
          <w:w w:val="105"/>
          <w:sz w:val="17"/>
        </w:rPr>
        <w:t>context,</w:t>
      </w:r>
      <w:r>
        <w:rPr>
          <w:rFonts w:ascii="Calibri" w:hAnsi="Calibri"/>
          <w:color w:val="231F20"/>
          <w:spacing w:val="-25"/>
          <w:w w:val="105"/>
          <w:sz w:val="17"/>
        </w:rPr>
        <w:t> </w:t>
      </w:r>
      <w:r>
        <w:rPr>
          <w:rFonts w:ascii="Calibri" w:hAnsi="Calibri"/>
          <w:color w:val="231F20"/>
          <w:w w:val="105"/>
          <w:sz w:val="17"/>
        </w:rPr>
        <w:t>we</w:t>
      </w:r>
      <w:r>
        <w:rPr>
          <w:rFonts w:ascii="Calibri" w:hAnsi="Calibri"/>
          <w:color w:val="231F20"/>
          <w:spacing w:val="-24"/>
          <w:w w:val="105"/>
          <w:sz w:val="17"/>
        </w:rPr>
        <w:t> </w:t>
      </w:r>
      <w:r>
        <w:rPr>
          <w:rFonts w:ascii="Calibri" w:hAnsi="Calibri"/>
          <w:color w:val="231F20"/>
          <w:w w:val="105"/>
          <w:sz w:val="17"/>
        </w:rPr>
        <w:t>are</w:t>
      </w:r>
      <w:r>
        <w:rPr>
          <w:rFonts w:ascii="Calibri" w:hAnsi="Calibri"/>
          <w:color w:val="231F20"/>
          <w:spacing w:val="-24"/>
          <w:w w:val="105"/>
          <w:sz w:val="17"/>
        </w:rPr>
        <w:t> </w:t>
      </w:r>
      <w:r>
        <w:rPr>
          <w:rFonts w:ascii="Calibri" w:hAnsi="Calibri"/>
          <w:color w:val="231F20"/>
          <w:w w:val="105"/>
          <w:sz w:val="17"/>
        </w:rPr>
        <w:t>prepared</w:t>
      </w:r>
      <w:r>
        <w:rPr>
          <w:rFonts w:ascii="Calibri" w:hAnsi="Calibri"/>
          <w:color w:val="231F20"/>
          <w:spacing w:val="-24"/>
          <w:w w:val="105"/>
          <w:sz w:val="17"/>
        </w:rPr>
        <w:t> </w:t>
      </w:r>
      <w:r>
        <w:rPr>
          <w:rFonts w:ascii="Calibri" w:hAnsi="Calibri"/>
          <w:color w:val="231F20"/>
          <w:w w:val="105"/>
          <w:sz w:val="17"/>
        </w:rPr>
        <w:t>to</w:t>
      </w:r>
      <w:r>
        <w:rPr>
          <w:rFonts w:ascii="Calibri" w:hAnsi="Calibri"/>
          <w:color w:val="231F20"/>
          <w:spacing w:val="-24"/>
          <w:w w:val="105"/>
          <w:sz w:val="17"/>
        </w:rPr>
        <w:t> </w:t>
      </w:r>
      <w:r>
        <w:rPr>
          <w:rFonts w:ascii="Calibri" w:hAnsi="Calibri"/>
          <w:color w:val="231F20"/>
          <w:w w:val="105"/>
          <w:sz w:val="17"/>
        </w:rPr>
        <w:t>take</w:t>
      </w:r>
      <w:r>
        <w:rPr>
          <w:rFonts w:ascii="Calibri" w:hAnsi="Calibri"/>
          <w:color w:val="231F20"/>
          <w:spacing w:val="-24"/>
          <w:w w:val="105"/>
          <w:sz w:val="17"/>
        </w:rPr>
        <w:t> </w:t>
      </w:r>
      <w:r>
        <w:rPr>
          <w:rFonts w:ascii="Calibri" w:hAnsi="Calibri"/>
          <w:color w:val="231F20"/>
          <w:w w:val="105"/>
          <w:sz w:val="17"/>
        </w:rPr>
        <w:t>collective</w:t>
      </w:r>
      <w:r>
        <w:rPr>
          <w:rFonts w:ascii="Calibri" w:hAnsi="Calibri"/>
          <w:color w:val="231F20"/>
          <w:spacing w:val="-24"/>
          <w:w w:val="105"/>
          <w:sz w:val="17"/>
        </w:rPr>
        <w:t> </w:t>
      </w:r>
      <w:r>
        <w:rPr>
          <w:rFonts w:ascii="Calibri" w:hAnsi="Calibri"/>
          <w:color w:val="231F20"/>
          <w:w w:val="105"/>
          <w:sz w:val="17"/>
        </w:rPr>
        <w:t>action,</w:t>
      </w:r>
      <w:r>
        <w:rPr>
          <w:rFonts w:ascii="Calibri" w:hAnsi="Calibri"/>
          <w:color w:val="231F20"/>
          <w:spacing w:val="-24"/>
          <w:w w:val="105"/>
          <w:sz w:val="17"/>
        </w:rPr>
        <w:t> </w:t>
      </w:r>
      <w:r>
        <w:rPr>
          <w:rFonts w:ascii="Calibri" w:hAnsi="Calibri"/>
          <w:color w:val="231F20"/>
          <w:w w:val="105"/>
          <w:sz w:val="17"/>
        </w:rPr>
        <w:t>in</w:t>
      </w:r>
      <w:r>
        <w:rPr>
          <w:rFonts w:ascii="Calibri" w:hAnsi="Calibri"/>
          <w:color w:val="231F20"/>
          <w:spacing w:val="-24"/>
          <w:w w:val="105"/>
          <w:sz w:val="17"/>
        </w:rPr>
        <w:t> </w:t>
      </w:r>
      <w:r>
        <w:rPr>
          <w:rFonts w:ascii="Calibri" w:hAnsi="Calibri"/>
          <w:color w:val="231F20"/>
          <w:w w:val="105"/>
          <w:sz w:val="17"/>
        </w:rPr>
        <w:t>a</w:t>
      </w:r>
      <w:r>
        <w:rPr>
          <w:rFonts w:ascii="Calibri" w:hAnsi="Calibri"/>
          <w:color w:val="231F20"/>
          <w:spacing w:val="-24"/>
          <w:w w:val="105"/>
          <w:sz w:val="17"/>
        </w:rPr>
        <w:t> </w:t>
      </w:r>
      <w:r>
        <w:rPr>
          <w:rFonts w:ascii="Calibri" w:hAnsi="Calibri"/>
          <w:color w:val="231F20"/>
          <w:w w:val="105"/>
          <w:sz w:val="17"/>
        </w:rPr>
        <w:t>timely</w:t>
      </w:r>
      <w:r>
        <w:rPr>
          <w:rFonts w:ascii="Calibri" w:hAnsi="Calibri"/>
          <w:color w:val="231F20"/>
          <w:spacing w:val="-24"/>
          <w:w w:val="105"/>
          <w:sz w:val="17"/>
        </w:rPr>
        <w:t> </w:t>
      </w:r>
      <w:r>
        <w:rPr>
          <w:rFonts w:ascii="Calibri" w:hAnsi="Calibri"/>
          <w:color w:val="231F20"/>
          <w:w w:val="105"/>
          <w:sz w:val="17"/>
        </w:rPr>
        <w:t>and</w:t>
      </w:r>
      <w:r>
        <w:rPr>
          <w:rFonts w:ascii="Calibri" w:hAnsi="Calibri"/>
          <w:color w:val="231F20"/>
          <w:spacing w:val="-24"/>
          <w:w w:val="105"/>
          <w:sz w:val="17"/>
        </w:rPr>
        <w:t> </w:t>
      </w:r>
      <w:r>
        <w:rPr>
          <w:rFonts w:ascii="Calibri" w:hAnsi="Calibri"/>
          <w:color w:val="231F20"/>
          <w:w w:val="105"/>
          <w:sz w:val="17"/>
        </w:rPr>
        <w:t>decisive</w:t>
      </w:r>
      <w:r>
        <w:rPr>
          <w:rFonts w:ascii="Calibri" w:hAnsi="Calibri"/>
          <w:color w:val="231F20"/>
          <w:spacing w:val="-24"/>
          <w:w w:val="105"/>
          <w:sz w:val="17"/>
        </w:rPr>
        <w:t> </w:t>
      </w:r>
      <w:r>
        <w:rPr>
          <w:rFonts w:ascii="Calibri" w:hAnsi="Calibri"/>
          <w:color w:val="231F20"/>
          <w:w w:val="105"/>
          <w:sz w:val="17"/>
        </w:rPr>
        <w:t>manner, through</w:t>
      </w:r>
      <w:r>
        <w:rPr>
          <w:rFonts w:ascii="Calibri" w:hAnsi="Calibri"/>
          <w:color w:val="231F20"/>
          <w:spacing w:val="-11"/>
          <w:w w:val="105"/>
          <w:sz w:val="17"/>
        </w:rPr>
        <w:t> </w:t>
      </w:r>
      <w:r>
        <w:rPr>
          <w:rFonts w:ascii="Calibri" w:hAnsi="Calibri"/>
          <w:color w:val="231F20"/>
          <w:w w:val="105"/>
          <w:sz w:val="17"/>
        </w:rPr>
        <w:t>the</w:t>
      </w:r>
      <w:r>
        <w:rPr>
          <w:rFonts w:ascii="Calibri" w:hAnsi="Calibri"/>
          <w:color w:val="231F20"/>
          <w:spacing w:val="-11"/>
          <w:w w:val="105"/>
          <w:sz w:val="17"/>
        </w:rPr>
        <w:t> </w:t>
      </w:r>
      <w:r>
        <w:rPr>
          <w:rFonts w:ascii="Calibri" w:hAnsi="Calibri"/>
          <w:color w:val="231F20"/>
          <w:w w:val="105"/>
          <w:sz w:val="17"/>
        </w:rPr>
        <w:t>Security</w:t>
      </w:r>
      <w:r>
        <w:rPr>
          <w:rFonts w:ascii="Calibri" w:hAnsi="Calibri"/>
          <w:color w:val="231F20"/>
          <w:spacing w:val="-11"/>
          <w:w w:val="105"/>
          <w:sz w:val="17"/>
        </w:rPr>
        <w:t> </w:t>
      </w:r>
      <w:r>
        <w:rPr>
          <w:rFonts w:ascii="Calibri" w:hAnsi="Calibri"/>
          <w:color w:val="231F20"/>
          <w:w w:val="105"/>
          <w:sz w:val="17"/>
        </w:rPr>
        <w:t>Council,</w:t>
      </w:r>
      <w:r>
        <w:rPr>
          <w:rFonts w:ascii="Calibri" w:hAnsi="Calibri"/>
          <w:color w:val="231F20"/>
          <w:spacing w:val="-11"/>
          <w:w w:val="105"/>
          <w:sz w:val="17"/>
        </w:rPr>
        <w:t> </w:t>
      </w:r>
      <w:r>
        <w:rPr>
          <w:rFonts w:ascii="Calibri" w:hAnsi="Calibri"/>
          <w:color w:val="231F20"/>
          <w:w w:val="105"/>
          <w:sz w:val="17"/>
        </w:rPr>
        <w:t>in</w:t>
      </w:r>
      <w:r>
        <w:rPr>
          <w:rFonts w:ascii="Calibri" w:hAnsi="Calibri"/>
          <w:color w:val="231F20"/>
          <w:spacing w:val="-11"/>
          <w:w w:val="105"/>
          <w:sz w:val="17"/>
        </w:rPr>
        <w:t> </w:t>
      </w:r>
      <w:r>
        <w:rPr>
          <w:rFonts w:ascii="Calibri" w:hAnsi="Calibri"/>
          <w:color w:val="231F20"/>
          <w:w w:val="105"/>
          <w:sz w:val="17"/>
        </w:rPr>
        <w:t>accordance</w:t>
      </w:r>
      <w:r>
        <w:rPr>
          <w:rFonts w:ascii="Calibri" w:hAnsi="Calibri"/>
          <w:color w:val="231F20"/>
          <w:spacing w:val="-12"/>
          <w:w w:val="105"/>
          <w:sz w:val="17"/>
        </w:rPr>
        <w:t> </w:t>
      </w:r>
      <w:r>
        <w:rPr>
          <w:rFonts w:ascii="Calibri" w:hAnsi="Calibri"/>
          <w:color w:val="231F20"/>
          <w:w w:val="105"/>
          <w:sz w:val="17"/>
        </w:rPr>
        <w:t>with</w:t>
      </w:r>
      <w:r>
        <w:rPr>
          <w:rFonts w:ascii="Calibri" w:hAnsi="Calibri"/>
          <w:color w:val="231F20"/>
          <w:spacing w:val="-11"/>
          <w:w w:val="105"/>
          <w:sz w:val="17"/>
        </w:rPr>
        <w:t> </w:t>
      </w:r>
      <w:r>
        <w:rPr>
          <w:rFonts w:ascii="Calibri" w:hAnsi="Calibri"/>
          <w:color w:val="231F20"/>
          <w:w w:val="105"/>
          <w:sz w:val="17"/>
        </w:rPr>
        <w:t>the</w:t>
      </w:r>
      <w:r>
        <w:rPr>
          <w:rFonts w:ascii="Calibri" w:hAnsi="Calibri"/>
          <w:color w:val="231F20"/>
          <w:spacing w:val="-11"/>
          <w:w w:val="105"/>
          <w:sz w:val="17"/>
        </w:rPr>
        <w:t> </w:t>
      </w:r>
      <w:r>
        <w:rPr>
          <w:rFonts w:ascii="Calibri" w:hAnsi="Calibri"/>
          <w:color w:val="231F20"/>
          <w:w w:val="105"/>
          <w:sz w:val="17"/>
        </w:rPr>
        <w:t>Charter,</w:t>
      </w:r>
      <w:r>
        <w:rPr>
          <w:rFonts w:ascii="Calibri" w:hAnsi="Calibri"/>
          <w:color w:val="231F20"/>
          <w:spacing w:val="-11"/>
          <w:w w:val="105"/>
          <w:sz w:val="17"/>
        </w:rPr>
        <w:t> </w:t>
      </w:r>
      <w:r>
        <w:rPr>
          <w:rFonts w:ascii="Calibri" w:hAnsi="Calibri"/>
          <w:color w:val="231F20"/>
          <w:w w:val="105"/>
          <w:sz w:val="17"/>
        </w:rPr>
        <w:t>including</w:t>
      </w:r>
      <w:r>
        <w:rPr>
          <w:rFonts w:ascii="Calibri" w:hAnsi="Calibri"/>
          <w:color w:val="231F20"/>
          <w:spacing w:val="-11"/>
          <w:w w:val="105"/>
          <w:sz w:val="17"/>
        </w:rPr>
        <w:t> </w:t>
      </w:r>
      <w:r>
        <w:rPr>
          <w:rFonts w:ascii="Calibri" w:hAnsi="Calibri"/>
          <w:color w:val="231F20"/>
          <w:w w:val="105"/>
          <w:sz w:val="17"/>
        </w:rPr>
        <w:t>Chapter</w:t>
      </w:r>
      <w:r>
        <w:rPr>
          <w:rFonts w:ascii="Calibri" w:hAnsi="Calibri"/>
          <w:color w:val="231F20"/>
          <w:spacing w:val="-11"/>
          <w:w w:val="105"/>
          <w:sz w:val="17"/>
        </w:rPr>
        <w:t> </w:t>
      </w:r>
      <w:r>
        <w:rPr>
          <w:rFonts w:ascii="Calibri" w:hAnsi="Calibri"/>
          <w:color w:val="231F20"/>
          <w:w w:val="105"/>
          <w:sz w:val="14"/>
        </w:rPr>
        <w:t>VII</w:t>
      </w:r>
      <w:r>
        <w:rPr>
          <w:rFonts w:ascii="Calibri" w:hAnsi="Calibri"/>
          <w:color w:val="231F20"/>
          <w:w w:val="105"/>
          <w:sz w:val="17"/>
        </w:rPr>
        <w:t>,</w:t>
      </w:r>
      <w:r>
        <w:rPr>
          <w:rFonts w:ascii="Calibri" w:hAnsi="Calibri"/>
          <w:color w:val="231F20"/>
          <w:spacing w:val="-11"/>
          <w:w w:val="105"/>
          <w:sz w:val="17"/>
        </w:rPr>
        <w:t> </w:t>
      </w:r>
      <w:r>
        <w:rPr>
          <w:rFonts w:ascii="Calibri" w:hAnsi="Calibri"/>
          <w:color w:val="231F20"/>
          <w:w w:val="105"/>
          <w:sz w:val="17"/>
        </w:rPr>
        <w:t>on</w:t>
      </w:r>
      <w:r>
        <w:rPr>
          <w:rFonts w:ascii="Calibri" w:hAnsi="Calibri"/>
          <w:color w:val="231F20"/>
          <w:spacing w:val="-11"/>
          <w:w w:val="105"/>
          <w:sz w:val="17"/>
        </w:rPr>
        <w:t> </w:t>
      </w:r>
      <w:r>
        <w:rPr>
          <w:rFonts w:ascii="Calibri" w:hAnsi="Calibri"/>
          <w:color w:val="231F20"/>
          <w:w w:val="105"/>
          <w:sz w:val="17"/>
        </w:rPr>
        <w:t>a</w:t>
      </w:r>
      <w:r>
        <w:rPr>
          <w:rFonts w:ascii="Calibri" w:hAnsi="Calibri"/>
          <w:color w:val="231F20"/>
          <w:spacing w:val="-11"/>
          <w:w w:val="105"/>
          <w:sz w:val="17"/>
        </w:rPr>
        <w:t> </w:t>
      </w:r>
      <w:r>
        <w:rPr>
          <w:rFonts w:ascii="Calibri" w:hAnsi="Calibri"/>
          <w:color w:val="231F20"/>
          <w:w w:val="105"/>
          <w:sz w:val="17"/>
        </w:rPr>
        <w:t>case–by– case</w:t>
      </w:r>
      <w:r>
        <w:rPr>
          <w:rFonts w:ascii="Calibri" w:hAnsi="Calibri"/>
          <w:color w:val="231F20"/>
          <w:spacing w:val="-17"/>
          <w:w w:val="105"/>
          <w:sz w:val="17"/>
        </w:rPr>
        <w:t> </w:t>
      </w:r>
      <w:r>
        <w:rPr>
          <w:rFonts w:ascii="Calibri" w:hAnsi="Calibri"/>
          <w:color w:val="231F20"/>
          <w:w w:val="105"/>
          <w:sz w:val="17"/>
        </w:rPr>
        <w:t>basis</w:t>
      </w:r>
      <w:r>
        <w:rPr>
          <w:rFonts w:ascii="Calibri" w:hAnsi="Calibri"/>
          <w:color w:val="231F20"/>
          <w:spacing w:val="-17"/>
          <w:w w:val="105"/>
          <w:sz w:val="17"/>
        </w:rPr>
        <w:t> </w:t>
      </w:r>
      <w:r>
        <w:rPr>
          <w:rFonts w:ascii="Calibri" w:hAnsi="Calibri"/>
          <w:color w:val="231F20"/>
          <w:w w:val="105"/>
          <w:sz w:val="17"/>
        </w:rPr>
        <w:t>and</w:t>
      </w:r>
      <w:r>
        <w:rPr>
          <w:rFonts w:ascii="Calibri" w:hAnsi="Calibri"/>
          <w:color w:val="231F20"/>
          <w:spacing w:val="-17"/>
          <w:w w:val="105"/>
          <w:sz w:val="17"/>
        </w:rPr>
        <w:t> </w:t>
      </w:r>
      <w:r>
        <w:rPr>
          <w:rFonts w:ascii="Calibri" w:hAnsi="Calibri"/>
          <w:color w:val="231F20"/>
          <w:w w:val="105"/>
          <w:sz w:val="17"/>
        </w:rPr>
        <w:t>in</w:t>
      </w:r>
      <w:r>
        <w:rPr>
          <w:rFonts w:ascii="Calibri" w:hAnsi="Calibri"/>
          <w:color w:val="231F20"/>
          <w:spacing w:val="-17"/>
          <w:w w:val="105"/>
          <w:sz w:val="17"/>
        </w:rPr>
        <w:t> </w:t>
      </w:r>
      <w:r>
        <w:rPr>
          <w:rFonts w:ascii="Calibri" w:hAnsi="Calibri"/>
          <w:color w:val="231F20"/>
          <w:w w:val="105"/>
          <w:sz w:val="17"/>
        </w:rPr>
        <w:t>cooperation</w:t>
      </w:r>
      <w:r>
        <w:rPr>
          <w:rFonts w:ascii="Calibri" w:hAnsi="Calibri"/>
          <w:color w:val="231F20"/>
          <w:spacing w:val="-18"/>
          <w:w w:val="105"/>
          <w:sz w:val="17"/>
        </w:rPr>
        <w:t> </w:t>
      </w:r>
      <w:r>
        <w:rPr>
          <w:rFonts w:ascii="Calibri" w:hAnsi="Calibri"/>
          <w:color w:val="231F20"/>
          <w:w w:val="105"/>
          <w:sz w:val="17"/>
        </w:rPr>
        <w:t>with</w:t>
      </w:r>
      <w:r>
        <w:rPr>
          <w:rFonts w:ascii="Calibri" w:hAnsi="Calibri"/>
          <w:color w:val="231F20"/>
          <w:spacing w:val="-17"/>
          <w:w w:val="105"/>
          <w:sz w:val="17"/>
        </w:rPr>
        <w:t> </w:t>
      </w:r>
      <w:r>
        <w:rPr>
          <w:rFonts w:ascii="Calibri" w:hAnsi="Calibri"/>
          <w:color w:val="231F20"/>
          <w:w w:val="105"/>
          <w:sz w:val="17"/>
        </w:rPr>
        <w:t>relevant</w:t>
      </w:r>
      <w:r>
        <w:rPr>
          <w:rFonts w:ascii="Calibri" w:hAnsi="Calibri"/>
          <w:color w:val="231F20"/>
          <w:spacing w:val="-17"/>
          <w:w w:val="105"/>
          <w:sz w:val="17"/>
        </w:rPr>
        <w:t> </w:t>
      </w:r>
      <w:r>
        <w:rPr>
          <w:rFonts w:ascii="Calibri" w:hAnsi="Calibri"/>
          <w:color w:val="231F20"/>
          <w:w w:val="105"/>
          <w:sz w:val="17"/>
        </w:rPr>
        <w:t>regional</w:t>
      </w:r>
      <w:r>
        <w:rPr>
          <w:rFonts w:ascii="Calibri" w:hAnsi="Calibri"/>
          <w:color w:val="231F20"/>
          <w:spacing w:val="-17"/>
          <w:w w:val="105"/>
          <w:sz w:val="17"/>
        </w:rPr>
        <w:t> </w:t>
      </w:r>
      <w:r>
        <w:rPr>
          <w:rFonts w:ascii="Calibri" w:hAnsi="Calibri"/>
          <w:color w:val="231F20"/>
          <w:w w:val="105"/>
          <w:sz w:val="17"/>
        </w:rPr>
        <w:t>organizations</w:t>
      </w:r>
      <w:r>
        <w:rPr>
          <w:rFonts w:ascii="Calibri" w:hAnsi="Calibri"/>
          <w:color w:val="231F20"/>
          <w:spacing w:val="-17"/>
          <w:w w:val="105"/>
          <w:sz w:val="17"/>
        </w:rPr>
        <w:t> </w:t>
      </w:r>
      <w:r>
        <w:rPr>
          <w:rFonts w:ascii="Calibri" w:hAnsi="Calibri"/>
          <w:color w:val="231F20"/>
          <w:w w:val="105"/>
          <w:sz w:val="17"/>
        </w:rPr>
        <w:t>as</w:t>
      </w:r>
      <w:r>
        <w:rPr>
          <w:rFonts w:ascii="Calibri" w:hAnsi="Calibri"/>
          <w:color w:val="231F20"/>
          <w:spacing w:val="-17"/>
          <w:w w:val="105"/>
          <w:sz w:val="17"/>
        </w:rPr>
        <w:t> </w:t>
      </w:r>
      <w:r>
        <w:rPr>
          <w:rFonts w:ascii="Calibri" w:hAnsi="Calibri"/>
          <w:color w:val="231F20"/>
          <w:w w:val="105"/>
          <w:sz w:val="17"/>
        </w:rPr>
        <w:t>appropriate,</w:t>
      </w:r>
      <w:r>
        <w:rPr>
          <w:rFonts w:ascii="Calibri" w:hAnsi="Calibri"/>
          <w:color w:val="231F20"/>
          <w:spacing w:val="-17"/>
          <w:w w:val="105"/>
          <w:sz w:val="17"/>
        </w:rPr>
        <w:t> </w:t>
      </w:r>
      <w:r>
        <w:rPr>
          <w:rFonts w:ascii="Calibri" w:hAnsi="Calibri"/>
          <w:color w:val="231F20"/>
          <w:w w:val="105"/>
          <w:sz w:val="17"/>
        </w:rPr>
        <w:t>should</w:t>
      </w:r>
      <w:r>
        <w:rPr>
          <w:rFonts w:ascii="Calibri" w:hAnsi="Calibri"/>
          <w:color w:val="231F20"/>
          <w:spacing w:val="-17"/>
          <w:w w:val="105"/>
          <w:sz w:val="17"/>
        </w:rPr>
        <w:t> </w:t>
      </w:r>
      <w:r>
        <w:rPr>
          <w:rFonts w:ascii="Calibri" w:hAnsi="Calibri"/>
          <w:color w:val="231F20"/>
          <w:w w:val="105"/>
          <w:sz w:val="17"/>
        </w:rPr>
        <w:t>peaceful means</w:t>
      </w:r>
      <w:r>
        <w:rPr>
          <w:rFonts w:ascii="Calibri" w:hAnsi="Calibri"/>
          <w:color w:val="231F20"/>
          <w:spacing w:val="-5"/>
          <w:w w:val="105"/>
          <w:sz w:val="17"/>
        </w:rPr>
        <w:t> </w:t>
      </w:r>
      <w:r>
        <w:rPr>
          <w:rFonts w:ascii="Calibri" w:hAnsi="Calibri"/>
          <w:color w:val="231F20"/>
          <w:w w:val="105"/>
          <w:sz w:val="17"/>
        </w:rPr>
        <w:t>be</w:t>
      </w:r>
      <w:r>
        <w:rPr>
          <w:rFonts w:ascii="Calibri" w:hAnsi="Calibri"/>
          <w:color w:val="231F20"/>
          <w:spacing w:val="-5"/>
          <w:w w:val="105"/>
          <w:sz w:val="17"/>
        </w:rPr>
        <w:t> </w:t>
      </w:r>
      <w:r>
        <w:rPr>
          <w:rFonts w:ascii="Calibri" w:hAnsi="Calibri"/>
          <w:color w:val="231F20"/>
          <w:w w:val="105"/>
          <w:sz w:val="17"/>
        </w:rPr>
        <w:t>inadequate</w:t>
      </w:r>
      <w:r>
        <w:rPr>
          <w:rFonts w:ascii="Calibri" w:hAnsi="Calibri"/>
          <w:color w:val="231F20"/>
          <w:spacing w:val="-5"/>
          <w:w w:val="105"/>
          <w:sz w:val="17"/>
        </w:rPr>
        <w:t> </w:t>
      </w:r>
      <w:r>
        <w:rPr>
          <w:rFonts w:ascii="Calibri" w:hAnsi="Calibri"/>
          <w:color w:val="231F20"/>
          <w:w w:val="105"/>
          <w:sz w:val="17"/>
        </w:rPr>
        <w:t>and</w:t>
      </w:r>
      <w:r>
        <w:rPr>
          <w:rFonts w:ascii="Calibri" w:hAnsi="Calibri"/>
          <w:color w:val="231F20"/>
          <w:spacing w:val="-5"/>
          <w:w w:val="105"/>
          <w:sz w:val="17"/>
        </w:rPr>
        <w:t> </w:t>
      </w:r>
      <w:r>
        <w:rPr>
          <w:rFonts w:ascii="Calibri" w:hAnsi="Calibri"/>
          <w:color w:val="231F20"/>
          <w:w w:val="105"/>
          <w:sz w:val="17"/>
        </w:rPr>
        <w:t>national</w:t>
      </w:r>
      <w:r>
        <w:rPr>
          <w:rFonts w:ascii="Calibri" w:hAnsi="Calibri"/>
          <w:color w:val="231F20"/>
          <w:spacing w:val="-5"/>
          <w:w w:val="105"/>
          <w:sz w:val="17"/>
        </w:rPr>
        <w:t> </w:t>
      </w:r>
      <w:r>
        <w:rPr>
          <w:rFonts w:ascii="Calibri" w:hAnsi="Calibri"/>
          <w:color w:val="231F20"/>
          <w:w w:val="105"/>
          <w:sz w:val="17"/>
        </w:rPr>
        <w:t>authorities</w:t>
      </w:r>
      <w:r>
        <w:rPr>
          <w:rFonts w:ascii="Calibri" w:hAnsi="Calibri"/>
          <w:color w:val="231F20"/>
          <w:spacing w:val="-5"/>
          <w:w w:val="105"/>
          <w:sz w:val="17"/>
        </w:rPr>
        <w:t> </w:t>
      </w:r>
      <w:r>
        <w:rPr>
          <w:rFonts w:ascii="Calibri" w:hAnsi="Calibri"/>
          <w:color w:val="231F20"/>
          <w:w w:val="105"/>
          <w:sz w:val="17"/>
        </w:rPr>
        <w:t>are</w:t>
      </w:r>
      <w:r>
        <w:rPr>
          <w:rFonts w:ascii="Calibri" w:hAnsi="Calibri"/>
          <w:color w:val="231F20"/>
          <w:spacing w:val="-5"/>
          <w:w w:val="105"/>
          <w:sz w:val="17"/>
        </w:rPr>
        <w:t> </w:t>
      </w:r>
      <w:r>
        <w:rPr>
          <w:rFonts w:ascii="Calibri" w:hAnsi="Calibri"/>
          <w:color w:val="231F20"/>
          <w:w w:val="105"/>
          <w:sz w:val="17"/>
        </w:rPr>
        <w:t>manifestly</w:t>
      </w:r>
      <w:r>
        <w:rPr>
          <w:rFonts w:ascii="Calibri" w:hAnsi="Calibri"/>
          <w:color w:val="231F20"/>
          <w:spacing w:val="-5"/>
          <w:w w:val="105"/>
          <w:sz w:val="17"/>
        </w:rPr>
        <w:t> </w:t>
      </w:r>
      <w:r>
        <w:rPr>
          <w:rFonts w:ascii="Calibri" w:hAnsi="Calibri"/>
          <w:color w:val="231F20"/>
          <w:w w:val="105"/>
          <w:sz w:val="17"/>
        </w:rPr>
        <w:t>failing</w:t>
      </w:r>
      <w:r>
        <w:rPr>
          <w:rFonts w:ascii="Calibri" w:hAnsi="Calibri"/>
          <w:color w:val="231F20"/>
          <w:spacing w:val="-5"/>
          <w:w w:val="105"/>
          <w:sz w:val="17"/>
        </w:rPr>
        <w:t> </w:t>
      </w:r>
      <w:r>
        <w:rPr>
          <w:rFonts w:ascii="Calibri" w:hAnsi="Calibri"/>
          <w:color w:val="231F20"/>
          <w:w w:val="105"/>
          <w:sz w:val="17"/>
        </w:rPr>
        <w:t>to</w:t>
      </w:r>
      <w:r>
        <w:rPr>
          <w:rFonts w:ascii="Calibri" w:hAnsi="Calibri"/>
          <w:color w:val="231F20"/>
          <w:spacing w:val="-5"/>
          <w:w w:val="105"/>
          <w:sz w:val="17"/>
        </w:rPr>
        <w:t> </w:t>
      </w:r>
      <w:r>
        <w:rPr>
          <w:rFonts w:ascii="Calibri" w:hAnsi="Calibri"/>
          <w:color w:val="231F20"/>
          <w:w w:val="105"/>
          <w:sz w:val="17"/>
        </w:rPr>
        <w:t>protect</w:t>
      </w:r>
      <w:r>
        <w:rPr>
          <w:rFonts w:ascii="Calibri" w:hAnsi="Calibri"/>
          <w:color w:val="231F20"/>
          <w:spacing w:val="-5"/>
          <w:w w:val="105"/>
          <w:sz w:val="17"/>
        </w:rPr>
        <w:t> </w:t>
      </w:r>
      <w:r>
        <w:rPr>
          <w:rFonts w:ascii="Calibri" w:hAnsi="Calibri"/>
          <w:color w:val="231F20"/>
          <w:w w:val="105"/>
          <w:sz w:val="17"/>
        </w:rPr>
        <w:t>their</w:t>
      </w:r>
      <w:r>
        <w:rPr>
          <w:rFonts w:ascii="Calibri" w:hAnsi="Calibri"/>
          <w:color w:val="231F20"/>
          <w:spacing w:val="-5"/>
          <w:w w:val="105"/>
          <w:sz w:val="17"/>
        </w:rPr>
        <w:t> </w:t>
      </w:r>
      <w:r>
        <w:rPr>
          <w:rFonts w:ascii="Calibri" w:hAnsi="Calibri"/>
          <w:color w:val="231F20"/>
          <w:w w:val="105"/>
          <w:sz w:val="17"/>
        </w:rPr>
        <w:t>populations from</w:t>
      </w:r>
      <w:r>
        <w:rPr>
          <w:rFonts w:ascii="Calibri" w:hAnsi="Calibri"/>
          <w:color w:val="231F20"/>
          <w:spacing w:val="-9"/>
          <w:w w:val="105"/>
          <w:sz w:val="17"/>
        </w:rPr>
        <w:t> </w:t>
      </w:r>
      <w:r>
        <w:rPr>
          <w:rFonts w:ascii="Calibri" w:hAnsi="Calibri"/>
          <w:color w:val="231F20"/>
          <w:w w:val="105"/>
          <w:sz w:val="17"/>
        </w:rPr>
        <w:t>genocide,</w:t>
      </w:r>
      <w:r>
        <w:rPr>
          <w:rFonts w:ascii="Calibri" w:hAnsi="Calibri"/>
          <w:color w:val="231F20"/>
          <w:spacing w:val="-10"/>
          <w:w w:val="105"/>
          <w:sz w:val="17"/>
        </w:rPr>
        <w:t> </w:t>
      </w:r>
      <w:r>
        <w:rPr>
          <w:rFonts w:ascii="Calibri" w:hAnsi="Calibri"/>
          <w:color w:val="231F20"/>
          <w:w w:val="105"/>
          <w:sz w:val="17"/>
        </w:rPr>
        <w:t>war</w:t>
      </w:r>
      <w:r>
        <w:rPr>
          <w:rFonts w:ascii="Calibri" w:hAnsi="Calibri"/>
          <w:color w:val="231F20"/>
          <w:spacing w:val="-9"/>
          <w:w w:val="105"/>
          <w:sz w:val="17"/>
        </w:rPr>
        <w:t> </w:t>
      </w:r>
      <w:r>
        <w:rPr>
          <w:rFonts w:ascii="Calibri" w:hAnsi="Calibri"/>
          <w:color w:val="231F20"/>
          <w:w w:val="105"/>
          <w:sz w:val="17"/>
        </w:rPr>
        <w:t>crimes,</w:t>
      </w:r>
      <w:r>
        <w:rPr>
          <w:rFonts w:ascii="Calibri" w:hAnsi="Calibri"/>
          <w:color w:val="231F20"/>
          <w:spacing w:val="-9"/>
          <w:w w:val="105"/>
          <w:sz w:val="17"/>
        </w:rPr>
        <w:t> </w:t>
      </w:r>
      <w:r>
        <w:rPr>
          <w:rFonts w:ascii="Calibri" w:hAnsi="Calibri"/>
          <w:color w:val="231F20"/>
          <w:w w:val="105"/>
          <w:sz w:val="17"/>
        </w:rPr>
        <w:t>ethnic</w:t>
      </w:r>
      <w:r>
        <w:rPr>
          <w:rFonts w:ascii="Calibri" w:hAnsi="Calibri"/>
          <w:color w:val="231F20"/>
          <w:spacing w:val="-9"/>
          <w:w w:val="105"/>
          <w:sz w:val="17"/>
        </w:rPr>
        <w:t> </w:t>
      </w:r>
      <w:r>
        <w:rPr>
          <w:rFonts w:ascii="Calibri" w:hAnsi="Calibri"/>
          <w:color w:val="231F20"/>
          <w:w w:val="105"/>
          <w:sz w:val="17"/>
        </w:rPr>
        <w:t>cleansing</w:t>
      </w:r>
      <w:r>
        <w:rPr>
          <w:rFonts w:ascii="Calibri" w:hAnsi="Calibri"/>
          <w:color w:val="231F20"/>
          <w:spacing w:val="-9"/>
          <w:w w:val="105"/>
          <w:sz w:val="17"/>
        </w:rPr>
        <w:t> </w:t>
      </w:r>
      <w:r>
        <w:rPr>
          <w:rFonts w:ascii="Calibri" w:hAnsi="Calibri"/>
          <w:color w:val="231F20"/>
          <w:w w:val="105"/>
          <w:sz w:val="17"/>
        </w:rPr>
        <w:t>and</w:t>
      </w:r>
      <w:r>
        <w:rPr>
          <w:rFonts w:ascii="Calibri" w:hAnsi="Calibri"/>
          <w:color w:val="231F20"/>
          <w:spacing w:val="-9"/>
          <w:w w:val="105"/>
          <w:sz w:val="17"/>
        </w:rPr>
        <w:t> </w:t>
      </w:r>
      <w:r>
        <w:rPr>
          <w:rFonts w:ascii="Calibri" w:hAnsi="Calibri"/>
          <w:color w:val="231F20"/>
          <w:w w:val="105"/>
          <w:sz w:val="17"/>
        </w:rPr>
        <w:t>crimes</w:t>
      </w:r>
      <w:r>
        <w:rPr>
          <w:rFonts w:ascii="Calibri" w:hAnsi="Calibri"/>
          <w:color w:val="231F20"/>
          <w:spacing w:val="-9"/>
          <w:w w:val="105"/>
          <w:sz w:val="17"/>
        </w:rPr>
        <w:t> </w:t>
      </w:r>
      <w:r>
        <w:rPr>
          <w:rFonts w:ascii="Calibri" w:hAnsi="Calibri"/>
          <w:color w:val="231F20"/>
          <w:w w:val="105"/>
          <w:sz w:val="17"/>
        </w:rPr>
        <w:t>against</w:t>
      </w:r>
      <w:r>
        <w:rPr>
          <w:rFonts w:ascii="Calibri" w:hAnsi="Calibri"/>
          <w:color w:val="231F20"/>
          <w:spacing w:val="-9"/>
          <w:w w:val="105"/>
          <w:sz w:val="17"/>
        </w:rPr>
        <w:t> </w:t>
      </w:r>
      <w:r>
        <w:rPr>
          <w:rFonts w:ascii="Calibri" w:hAnsi="Calibri"/>
          <w:color w:val="231F20"/>
          <w:w w:val="105"/>
          <w:sz w:val="17"/>
        </w:rPr>
        <w:t>humanity.</w:t>
      </w:r>
      <w:r>
        <w:rPr>
          <w:rFonts w:ascii="Calibri" w:hAnsi="Calibri"/>
          <w:color w:val="231F20"/>
          <w:spacing w:val="-13"/>
          <w:w w:val="105"/>
          <w:sz w:val="17"/>
        </w:rPr>
        <w:t> </w:t>
      </w:r>
      <w:r>
        <w:rPr>
          <w:rFonts w:ascii="Calibri" w:hAnsi="Calibri"/>
          <w:color w:val="231F20"/>
          <w:spacing w:val="-3"/>
          <w:w w:val="105"/>
          <w:sz w:val="17"/>
        </w:rPr>
        <w:t>We</w:t>
      </w:r>
      <w:r>
        <w:rPr>
          <w:rFonts w:ascii="Calibri" w:hAnsi="Calibri"/>
          <w:color w:val="231F20"/>
          <w:spacing w:val="-9"/>
          <w:w w:val="105"/>
          <w:sz w:val="17"/>
        </w:rPr>
        <w:t> </w:t>
      </w:r>
      <w:r>
        <w:rPr>
          <w:rFonts w:ascii="Calibri" w:hAnsi="Calibri"/>
          <w:color w:val="231F20"/>
          <w:w w:val="105"/>
          <w:sz w:val="17"/>
        </w:rPr>
        <w:t>stress</w:t>
      </w:r>
      <w:r>
        <w:rPr>
          <w:rFonts w:ascii="Calibri" w:hAnsi="Calibri"/>
          <w:color w:val="231F20"/>
          <w:spacing w:val="-9"/>
          <w:w w:val="105"/>
          <w:sz w:val="17"/>
        </w:rPr>
        <w:t> </w:t>
      </w:r>
      <w:r>
        <w:rPr>
          <w:rFonts w:ascii="Calibri" w:hAnsi="Calibri"/>
          <w:color w:val="231F20"/>
          <w:w w:val="105"/>
          <w:sz w:val="17"/>
        </w:rPr>
        <w:t>the</w:t>
      </w:r>
      <w:r>
        <w:rPr>
          <w:rFonts w:ascii="Calibri" w:hAnsi="Calibri"/>
          <w:color w:val="231F20"/>
          <w:spacing w:val="-9"/>
          <w:w w:val="105"/>
          <w:sz w:val="17"/>
        </w:rPr>
        <w:t> </w:t>
      </w:r>
      <w:r>
        <w:rPr>
          <w:rFonts w:ascii="Calibri" w:hAnsi="Calibri"/>
          <w:color w:val="231F20"/>
          <w:w w:val="105"/>
          <w:sz w:val="17"/>
        </w:rPr>
        <w:t>need</w:t>
      </w:r>
      <w:r>
        <w:rPr>
          <w:rFonts w:ascii="Calibri" w:hAnsi="Calibri"/>
          <w:color w:val="231F20"/>
          <w:spacing w:val="-9"/>
          <w:w w:val="105"/>
          <w:sz w:val="17"/>
        </w:rPr>
        <w:t> </w:t>
      </w:r>
      <w:r>
        <w:rPr>
          <w:rFonts w:ascii="Calibri" w:hAnsi="Calibri"/>
          <w:color w:val="231F20"/>
          <w:w w:val="105"/>
          <w:sz w:val="17"/>
        </w:rPr>
        <w:t>for the</w:t>
      </w:r>
      <w:r>
        <w:rPr>
          <w:rFonts w:ascii="Calibri" w:hAnsi="Calibri"/>
          <w:color w:val="231F20"/>
          <w:spacing w:val="-12"/>
          <w:w w:val="105"/>
          <w:sz w:val="17"/>
        </w:rPr>
        <w:t> </w:t>
      </w:r>
      <w:r>
        <w:rPr>
          <w:rFonts w:ascii="Calibri" w:hAnsi="Calibri"/>
          <w:color w:val="231F20"/>
          <w:w w:val="105"/>
          <w:sz w:val="17"/>
        </w:rPr>
        <w:t>General</w:t>
      </w:r>
      <w:r>
        <w:rPr>
          <w:rFonts w:ascii="Calibri" w:hAnsi="Calibri"/>
          <w:color w:val="231F20"/>
          <w:spacing w:val="-12"/>
          <w:w w:val="105"/>
          <w:sz w:val="17"/>
        </w:rPr>
        <w:t> </w:t>
      </w:r>
      <w:r>
        <w:rPr>
          <w:rFonts w:ascii="Calibri" w:hAnsi="Calibri"/>
          <w:color w:val="231F20"/>
          <w:w w:val="105"/>
          <w:sz w:val="17"/>
        </w:rPr>
        <w:t>Assembly</w:t>
      </w:r>
      <w:r>
        <w:rPr>
          <w:rFonts w:ascii="Calibri" w:hAnsi="Calibri"/>
          <w:color w:val="231F20"/>
          <w:spacing w:val="-12"/>
          <w:w w:val="105"/>
          <w:sz w:val="17"/>
        </w:rPr>
        <w:t> </w:t>
      </w:r>
      <w:r>
        <w:rPr>
          <w:rFonts w:ascii="Calibri" w:hAnsi="Calibri"/>
          <w:color w:val="231F20"/>
          <w:w w:val="105"/>
          <w:sz w:val="17"/>
        </w:rPr>
        <w:t>to</w:t>
      </w:r>
      <w:r>
        <w:rPr>
          <w:rFonts w:ascii="Calibri" w:hAnsi="Calibri"/>
          <w:color w:val="231F20"/>
          <w:spacing w:val="-12"/>
          <w:w w:val="105"/>
          <w:sz w:val="17"/>
        </w:rPr>
        <w:t> </w:t>
      </w:r>
      <w:r>
        <w:rPr>
          <w:rFonts w:ascii="Calibri" w:hAnsi="Calibri"/>
          <w:color w:val="231F20"/>
          <w:w w:val="105"/>
          <w:sz w:val="17"/>
        </w:rPr>
        <w:t>continue</w:t>
      </w:r>
      <w:r>
        <w:rPr>
          <w:rFonts w:ascii="Calibri" w:hAnsi="Calibri"/>
          <w:color w:val="231F20"/>
          <w:spacing w:val="-12"/>
          <w:w w:val="105"/>
          <w:sz w:val="17"/>
        </w:rPr>
        <w:t> </w:t>
      </w:r>
      <w:r>
        <w:rPr>
          <w:rFonts w:ascii="Calibri" w:hAnsi="Calibri"/>
          <w:color w:val="231F20"/>
          <w:w w:val="105"/>
          <w:sz w:val="17"/>
        </w:rPr>
        <w:t>consideration</w:t>
      </w:r>
      <w:r>
        <w:rPr>
          <w:rFonts w:ascii="Calibri" w:hAnsi="Calibri"/>
          <w:color w:val="231F20"/>
          <w:spacing w:val="-12"/>
          <w:w w:val="105"/>
          <w:sz w:val="17"/>
        </w:rPr>
        <w:t> </w:t>
      </w:r>
      <w:r>
        <w:rPr>
          <w:rFonts w:ascii="Calibri" w:hAnsi="Calibri"/>
          <w:color w:val="231F20"/>
          <w:w w:val="105"/>
          <w:sz w:val="17"/>
        </w:rPr>
        <w:t>of</w:t>
      </w:r>
      <w:r>
        <w:rPr>
          <w:rFonts w:ascii="Calibri" w:hAnsi="Calibri"/>
          <w:color w:val="231F20"/>
          <w:spacing w:val="-12"/>
          <w:w w:val="105"/>
          <w:sz w:val="17"/>
        </w:rPr>
        <w:t> </w:t>
      </w:r>
      <w:r>
        <w:rPr>
          <w:rFonts w:ascii="Calibri" w:hAnsi="Calibri"/>
          <w:color w:val="231F20"/>
          <w:w w:val="105"/>
          <w:sz w:val="17"/>
        </w:rPr>
        <w:t>the</w:t>
      </w:r>
      <w:r>
        <w:rPr>
          <w:rFonts w:ascii="Calibri" w:hAnsi="Calibri"/>
          <w:color w:val="231F20"/>
          <w:spacing w:val="-12"/>
          <w:w w:val="105"/>
          <w:sz w:val="17"/>
        </w:rPr>
        <w:t> </w:t>
      </w:r>
      <w:r>
        <w:rPr>
          <w:rFonts w:ascii="Calibri" w:hAnsi="Calibri"/>
          <w:color w:val="231F20"/>
          <w:w w:val="105"/>
          <w:sz w:val="17"/>
        </w:rPr>
        <w:t>responsibility</w:t>
      </w:r>
      <w:r>
        <w:rPr>
          <w:rFonts w:ascii="Calibri" w:hAnsi="Calibri"/>
          <w:color w:val="231F20"/>
          <w:spacing w:val="-12"/>
          <w:w w:val="105"/>
          <w:sz w:val="17"/>
        </w:rPr>
        <w:t> </w:t>
      </w:r>
      <w:r>
        <w:rPr>
          <w:rFonts w:ascii="Calibri" w:hAnsi="Calibri"/>
          <w:color w:val="231F20"/>
          <w:w w:val="105"/>
          <w:sz w:val="17"/>
        </w:rPr>
        <w:t>to</w:t>
      </w:r>
      <w:r>
        <w:rPr>
          <w:rFonts w:ascii="Calibri" w:hAnsi="Calibri"/>
          <w:color w:val="231F20"/>
          <w:spacing w:val="-12"/>
          <w:w w:val="105"/>
          <w:sz w:val="17"/>
        </w:rPr>
        <w:t> </w:t>
      </w:r>
      <w:r>
        <w:rPr>
          <w:rFonts w:ascii="Calibri" w:hAnsi="Calibri"/>
          <w:color w:val="231F20"/>
          <w:w w:val="105"/>
          <w:sz w:val="17"/>
        </w:rPr>
        <w:t>protect</w:t>
      </w:r>
      <w:r>
        <w:rPr>
          <w:rFonts w:ascii="Calibri" w:hAnsi="Calibri"/>
          <w:color w:val="231F20"/>
          <w:spacing w:val="-12"/>
          <w:w w:val="105"/>
          <w:sz w:val="17"/>
        </w:rPr>
        <w:t> </w:t>
      </w:r>
      <w:r>
        <w:rPr>
          <w:rFonts w:ascii="Calibri" w:hAnsi="Calibri"/>
          <w:color w:val="231F20"/>
          <w:w w:val="105"/>
          <w:sz w:val="17"/>
        </w:rPr>
        <w:t>populations</w:t>
      </w:r>
      <w:r>
        <w:rPr>
          <w:rFonts w:ascii="Calibri" w:hAnsi="Calibri"/>
          <w:color w:val="231F20"/>
          <w:spacing w:val="-12"/>
          <w:w w:val="105"/>
          <w:sz w:val="17"/>
        </w:rPr>
        <w:t> </w:t>
      </w:r>
      <w:r>
        <w:rPr>
          <w:rFonts w:ascii="Calibri" w:hAnsi="Calibri"/>
          <w:color w:val="231F20"/>
          <w:w w:val="105"/>
          <w:sz w:val="17"/>
        </w:rPr>
        <w:t>from genocide,</w:t>
      </w:r>
      <w:r>
        <w:rPr>
          <w:rFonts w:ascii="Calibri" w:hAnsi="Calibri"/>
          <w:color w:val="231F20"/>
          <w:spacing w:val="-9"/>
          <w:w w:val="105"/>
          <w:sz w:val="17"/>
        </w:rPr>
        <w:t> </w:t>
      </w:r>
      <w:r>
        <w:rPr>
          <w:rFonts w:ascii="Calibri" w:hAnsi="Calibri"/>
          <w:color w:val="231F20"/>
          <w:w w:val="105"/>
          <w:sz w:val="17"/>
        </w:rPr>
        <w:t>war</w:t>
      </w:r>
      <w:r>
        <w:rPr>
          <w:rFonts w:ascii="Calibri" w:hAnsi="Calibri"/>
          <w:color w:val="231F20"/>
          <w:spacing w:val="-7"/>
          <w:w w:val="105"/>
          <w:sz w:val="17"/>
        </w:rPr>
        <w:t> </w:t>
      </w:r>
      <w:r>
        <w:rPr>
          <w:rFonts w:ascii="Calibri" w:hAnsi="Calibri"/>
          <w:color w:val="231F20"/>
          <w:w w:val="105"/>
          <w:sz w:val="17"/>
        </w:rPr>
        <w:t>crimes,</w:t>
      </w:r>
      <w:r>
        <w:rPr>
          <w:rFonts w:ascii="Calibri" w:hAnsi="Calibri"/>
          <w:color w:val="231F20"/>
          <w:spacing w:val="-7"/>
          <w:w w:val="105"/>
          <w:sz w:val="17"/>
        </w:rPr>
        <w:t> </w:t>
      </w:r>
      <w:r>
        <w:rPr>
          <w:rFonts w:ascii="Calibri" w:hAnsi="Calibri"/>
          <w:color w:val="231F20"/>
          <w:w w:val="105"/>
          <w:sz w:val="17"/>
        </w:rPr>
        <w:t>ethnic</w:t>
      </w:r>
      <w:r>
        <w:rPr>
          <w:rFonts w:ascii="Calibri" w:hAnsi="Calibri"/>
          <w:color w:val="231F20"/>
          <w:spacing w:val="-7"/>
          <w:w w:val="105"/>
          <w:sz w:val="17"/>
        </w:rPr>
        <w:t> </w:t>
      </w:r>
      <w:r>
        <w:rPr>
          <w:rFonts w:ascii="Calibri" w:hAnsi="Calibri"/>
          <w:color w:val="231F20"/>
          <w:w w:val="105"/>
          <w:sz w:val="17"/>
        </w:rPr>
        <w:t>cleansing</w:t>
      </w:r>
      <w:r>
        <w:rPr>
          <w:rFonts w:ascii="Calibri" w:hAnsi="Calibri"/>
          <w:color w:val="231F20"/>
          <w:spacing w:val="-7"/>
          <w:w w:val="105"/>
          <w:sz w:val="17"/>
        </w:rPr>
        <w:t> </w:t>
      </w:r>
      <w:r>
        <w:rPr>
          <w:rFonts w:ascii="Calibri" w:hAnsi="Calibri"/>
          <w:color w:val="231F20"/>
          <w:w w:val="105"/>
          <w:sz w:val="17"/>
        </w:rPr>
        <w:t>and</w:t>
      </w:r>
      <w:r>
        <w:rPr>
          <w:rFonts w:ascii="Calibri" w:hAnsi="Calibri"/>
          <w:color w:val="231F20"/>
          <w:spacing w:val="-7"/>
          <w:w w:val="105"/>
          <w:sz w:val="17"/>
        </w:rPr>
        <w:t> </w:t>
      </w:r>
      <w:r>
        <w:rPr>
          <w:rFonts w:ascii="Calibri" w:hAnsi="Calibri"/>
          <w:color w:val="231F20"/>
          <w:w w:val="105"/>
          <w:sz w:val="17"/>
        </w:rPr>
        <w:t>crimes</w:t>
      </w:r>
      <w:r>
        <w:rPr>
          <w:rFonts w:ascii="Calibri" w:hAnsi="Calibri"/>
          <w:color w:val="231F20"/>
          <w:spacing w:val="-7"/>
          <w:w w:val="105"/>
          <w:sz w:val="17"/>
        </w:rPr>
        <w:t> </w:t>
      </w:r>
      <w:r>
        <w:rPr>
          <w:rFonts w:ascii="Calibri" w:hAnsi="Calibri"/>
          <w:color w:val="231F20"/>
          <w:w w:val="105"/>
          <w:sz w:val="17"/>
        </w:rPr>
        <w:t>against</w:t>
      </w:r>
      <w:r>
        <w:rPr>
          <w:rFonts w:ascii="Calibri" w:hAnsi="Calibri"/>
          <w:color w:val="231F20"/>
          <w:spacing w:val="-7"/>
          <w:w w:val="105"/>
          <w:sz w:val="17"/>
        </w:rPr>
        <w:t> </w:t>
      </w:r>
      <w:r>
        <w:rPr>
          <w:rFonts w:ascii="Calibri" w:hAnsi="Calibri"/>
          <w:color w:val="231F20"/>
          <w:w w:val="105"/>
          <w:sz w:val="17"/>
        </w:rPr>
        <w:t>humanity</w:t>
      </w:r>
      <w:r>
        <w:rPr>
          <w:rFonts w:ascii="Calibri" w:hAnsi="Calibri"/>
          <w:color w:val="231F20"/>
          <w:spacing w:val="-7"/>
          <w:w w:val="105"/>
          <w:sz w:val="17"/>
        </w:rPr>
        <w:t> </w:t>
      </w:r>
      <w:r>
        <w:rPr>
          <w:rFonts w:ascii="Calibri" w:hAnsi="Calibri"/>
          <w:color w:val="231F20"/>
          <w:w w:val="105"/>
          <w:sz w:val="17"/>
        </w:rPr>
        <w:t>and</w:t>
      </w:r>
      <w:r>
        <w:rPr>
          <w:rFonts w:ascii="Calibri" w:hAnsi="Calibri"/>
          <w:color w:val="231F20"/>
          <w:spacing w:val="-7"/>
          <w:w w:val="105"/>
          <w:sz w:val="17"/>
        </w:rPr>
        <w:t> </w:t>
      </w:r>
      <w:r>
        <w:rPr>
          <w:rFonts w:ascii="Calibri" w:hAnsi="Calibri"/>
          <w:color w:val="231F20"/>
          <w:w w:val="105"/>
          <w:sz w:val="17"/>
        </w:rPr>
        <w:t>its</w:t>
      </w:r>
      <w:r>
        <w:rPr>
          <w:rFonts w:ascii="Calibri" w:hAnsi="Calibri"/>
          <w:color w:val="231F20"/>
          <w:spacing w:val="-7"/>
          <w:w w:val="105"/>
          <w:sz w:val="17"/>
        </w:rPr>
        <w:t> </w:t>
      </w:r>
      <w:r>
        <w:rPr>
          <w:rFonts w:ascii="Calibri" w:hAnsi="Calibri"/>
          <w:color w:val="231F20"/>
          <w:w w:val="105"/>
          <w:sz w:val="17"/>
        </w:rPr>
        <w:t>implications,</w:t>
      </w:r>
      <w:r>
        <w:rPr>
          <w:rFonts w:ascii="Calibri" w:hAnsi="Calibri"/>
          <w:color w:val="231F20"/>
          <w:spacing w:val="-7"/>
          <w:w w:val="105"/>
          <w:sz w:val="17"/>
        </w:rPr>
        <w:t> </w:t>
      </w:r>
      <w:r>
        <w:rPr>
          <w:rFonts w:ascii="Calibri" w:hAnsi="Calibri"/>
          <w:color w:val="231F20"/>
          <w:w w:val="105"/>
          <w:sz w:val="17"/>
        </w:rPr>
        <w:t>bearing in</w:t>
      </w:r>
      <w:r>
        <w:rPr>
          <w:rFonts w:ascii="Calibri" w:hAnsi="Calibri"/>
          <w:color w:val="231F20"/>
          <w:spacing w:val="-3"/>
          <w:w w:val="105"/>
          <w:sz w:val="17"/>
        </w:rPr>
        <w:t> </w:t>
      </w:r>
      <w:r>
        <w:rPr>
          <w:rFonts w:ascii="Calibri" w:hAnsi="Calibri"/>
          <w:color w:val="231F20"/>
          <w:w w:val="105"/>
          <w:sz w:val="17"/>
        </w:rPr>
        <w:t>mind</w:t>
      </w:r>
      <w:r>
        <w:rPr>
          <w:rFonts w:ascii="Calibri" w:hAnsi="Calibri"/>
          <w:color w:val="231F20"/>
          <w:spacing w:val="-3"/>
          <w:w w:val="105"/>
          <w:sz w:val="17"/>
        </w:rPr>
        <w:t> </w:t>
      </w:r>
      <w:r>
        <w:rPr>
          <w:rFonts w:ascii="Calibri" w:hAnsi="Calibri"/>
          <w:color w:val="231F20"/>
          <w:w w:val="105"/>
          <w:sz w:val="17"/>
        </w:rPr>
        <w:t>the</w:t>
      </w:r>
      <w:r>
        <w:rPr>
          <w:rFonts w:ascii="Calibri" w:hAnsi="Calibri"/>
          <w:color w:val="231F20"/>
          <w:spacing w:val="-3"/>
          <w:w w:val="105"/>
          <w:sz w:val="17"/>
        </w:rPr>
        <w:t> </w:t>
      </w:r>
      <w:r>
        <w:rPr>
          <w:rFonts w:ascii="Calibri" w:hAnsi="Calibri"/>
          <w:color w:val="231F20"/>
          <w:w w:val="105"/>
          <w:sz w:val="17"/>
        </w:rPr>
        <w:t>principles</w:t>
      </w:r>
      <w:r>
        <w:rPr>
          <w:rFonts w:ascii="Calibri" w:hAnsi="Calibri"/>
          <w:color w:val="231F20"/>
          <w:spacing w:val="-3"/>
          <w:w w:val="105"/>
          <w:sz w:val="17"/>
        </w:rPr>
        <w:t> </w:t>
      </w:r>
      <w:r>
        <w:rPr>
          <w:rFonts w:ascii="Calibri" w:hAnsi="Calibri"/>
          <w:color w:val="231F20"/>
          <w:w w:val="105"/>
          <w:sz w:val="17"/>
        </w:rPr>
        <w:t>of</w:t>
      </w:r>
      <w:r>
        <w:rPr>
          <w:rFonts w:ascii="Calibri" w:hAnsi="Calibri"/>
          <w:color w:val="231F20"/>
          <w:spacing w:val="-3"/>
          <w:w w:val="105"/>
          <w:sz w:val="17"/>
        </w:rPr>
        <w:t> </w:t>
      </w:r>
      <w:r>
        <w:rPr>
          <w:rFonts w:ascii="Calibri" w:hAnsi="Calibri"/>
          <w:color w:val="231F20"/>
          <w:w w:val="105"/>
          <w:sz w:val="17"/>
        </w:rPr>
        <w:t>the</w:t>
      </w:r>
      <w:r>
        <w:rPr>
          <w:rFonts w:ascii="Calibri" w:hAnsi="Calibri"/>
          <w:color w:val="231F20"/>
          <w:spacing w:val="-3"/>
          <w:w w:val="105"/>
          <w:sz w:val="17"/>
        </w:rPr>
        <w:t> </w:t>
      </w:r>
      <w:r>
        <w:rPr>
          <w:rFonts w:ascii="Calibri" w:hAnsi="Calibri"/>
          <w:color w:val="231F20"/>
          <w:w w:val="105"/>
          <w:sz w:val="17"/>
        </w:rPr>
        <w:t>Charter</w:t>
      </w:r>
      <w:r>
        <w:rPr>
          <w:rFonts w:ascii="Calibri" w:hAnsi="Calibri"/>
          <w:color w:val="231F20"/>
          <w:spacing w:val="-3"/>
          <w:w w:val="105"/>
          <w:sz w:val="17"/>
        </w:rPr>
        <w:t> </w:t>
      </w:r>
      <w:r>
        <w:rPr>
          <w:rFonts w:ascii="Calibri" w:hAnsi="Calibri"/>
          <w:color w:val="231F20"/>
          <w:w w:val="105"/>
          <w:sz w:val="17"/>
        </w:rPr>
        <w:t>and</w:t>
      </w:r>
      <w:r>
        <w:rPr>
          <w:rFonts w:ascii="Calibri" w:hAnsi="Calibri"/>
          <w:color w:val="231F20"/>
          <w:spacing w:val="-3"/>
          <w:w w:val="105"/>
          <w:sz w:val="17"/>
        </w:rPr>
        <w:t> </w:t>
      </w:r>
      <w:r>
        <w:rPr>
          <w:rFonts w:ascii="Calibri" w:hAnsi="Calibri"/>
          <w:color w:val="231F20"/>
          <w:w w:val="105"/>
          <w:sz w:val="17"/>
        </w:rPr>
        <w:t>international</w:t>
      </w:r>
      <w:r>
        <w:rPr>
          <w:rFonts w:ascii="Calibri" w:hAnsi="Calibri"/>
          <w:color w:val="231F20"/>
          <w:spacing w:val="-3"/>
          <w:w w:val="105"/>
          <w:sz w:val="17"/>
        </w:rPr>
        <w:t> </w:t>
      </w:r>
      <w:r>
        <w:rPr>
          <w:rFonts w:ascii="Calibri" w:hAnsi="Calibri"/>
          <w:color w:val="231F20"/>
          <w:w w:val="105"/>
          <w:sz w:val="17"/>
        </w:rPr>
        <w:t>law.</w:t>
      </w:r>
      <w:r>
        <w:rPr>
          <w:rFonts w:ascii="Calibri" w:hAnsi="Calibri"/>
          <w:color w:val="231F20"/>
          <w:spacing w:val="-7"/>
          <w:w w:val="105"/>
          <w:sz w:val="17"/>
        </w:rPr>
        <w:t> </w:t>
      </w:r>
      <w:r>
        <w:rPr>
          <w:rFonts w:ascii="Calibri" w:hAnsi="Calibri"/>
          <w:color w:val="231F20"/>
          <w:spacing w:val="-3"/>
          <w:w w:val="105"/>
          <w:sz w:val="17"/>
        </w:rPr>
        <w:t>We </w:t>
      </w:r>
      <w:r>
        <w:rPr>
          <w:rFonts w:ascii="Calibri" w:hAnsi="Calibri"/>
          <w:color w:val="231F20"/>
          <w:w w:val="105"/>
          <w:sz w:val="17"/>
        </w:rPr>
        <w:t>also</w:t>
      </w:r>
      <w:r>
        <w:rPr>
          <w:rFonts w:ascii="Calibri" w:hAnsi="Calibri"/>
          <w:color w:val="231F20"/>
          <w:spacing w:val="-3"/>
          <w:w w:val="105"/>
          <w:sz w:val="17"/>
        </w:rPr>
        <w:t> </w:t>
      </w:r>
      <w:r>
        <w:rPr>
          <w:rFonts w:ascii="Calibri" w:hAnsi="Calibri"/>
          <w:color w:val="231F20"/>
          <w:w w:val="105"/>
          <w:sz w:val="17"/>
        </w:rPr>
        <w:t>intend</w:t>
      </w:r>
      <w:r>
        <w:rPr>
          <w:rFonts w:ascii="Calibri" w:hAnsi="Calibri"/>
          <w:color w:val="231F20"/>
          <w:spacing w:val="-3"/>
          <w:w w:val="105"/>
          <w:sz w:val="17"/>
        </w:rPr>
        <w:t> </w:t>
      </w:r>
      <w:r>
        <w:rPr>
          <w:rFonts w:ascii="Calibri" w:hAnsi="Calibri"/>
          <w:color w:val="231F20"/>
          <w:w w:val="105"/>
          <w:sz w:val="17"/>
        </w:rPr>
        <w:t>to</w:t>
      </w:r>
      <w:r>
        <w:rPr>
          <w:rFonts w:ascii="Calibri" w:hAnsi="Calibri"/>
          <w:color w:val="231F20"/>
          <w:spacing w:val="-3"/>
          <w:w w:val="105"/>
          <w:sz w:val="17"/>
        </w:rPr>
        <w:t> </w:t>
      </w:r>
      <w:r>
        <w:rPr>
          <w:rFonts w:ascii="Calibri" w:hAnsi="Calibri"/>
          <w:color w:val="231F20"/>
          <w:w w:val="105"/>
          <w:sz w:val="17"/>
        </w:rPr>
        <w:t>commit</w:t>
      </w:r>
      <w:r>
        <w:rPr>
          <w:rFonts w:ascii="Calibri" w:hAnsi="Calibri"/>
          <w:color w:val="231F20"/>
          <w:spacing w:val="-3"/>
          <w:w w:val="105"/>
          <w:sz w:val="17"/>
        </w:rPr>
        <w:t> </w:t>
      </w:r>
      <w:r>
        <w:rPr>
          <w:rFonts w:ascii="Calibri" w:hAnsi="Calibri"/>
          <w:color w:val="231F20"/>
          <w:w w:val="105"/>
          <w:sz w:val="17"/>
        </w:rPr>
        <w:t>ourselves, as necessary and appropriate, to helping states build capacity to protect their populations from genocide,</w:t>
      </w:r>
      <w:r>
        <w:rPr>
          <w:rFonts w:ascii="Calibri" w:hAnsi="Calibri"/>
          <w:color w:val="231F20"/>
          <w:spacing w:val="-8"/>
          <w:w w:val="105"/>
          <w:sz w:val="17"/>
        </w:rPr>
        <w:t> </w:t>
      </w:r>
      <w:r>
        <w:rPr>
          <w:rFonts w:ascii="Calibri" w:hAnsi="Calibri"/>
          <w:color w:val="231F20"/>
          <w:w w:val="105"/>
          <w:sz w:val="17"/>
        </w:rPr>
        <w:t>war</w:t>
      </w:r>
      <w:r>
        <w:rPr>
          <w:rFonts w:ascii="Calibri" w:hAnsi="Calibri"/>
          <w:color w:val="231F20"/>
          <w:spacing w:val="-7"/>
          <w:w w:val="105"/>
          <w:sz w:val="17"/>
        </w:rPr>
        <w:t> </w:t>
      </w:r>
      <w:r>
        <w:rPr>
          <w:rFonts w:ascii="Calibri" w:hAnsi="Calibri"/>
          <w:color w:val="231F20"/>
          <w:w w:val="105"/>
          <w:sz w:val="17"/>
        </w:rPr>
        <w:t>crimes,</w:t>
      </w:r>
      <w:r>
        <w:rPr>
          <w:rFonts w:ascii="Calibri" w:hAnsi="Calibri"/>
          <w:color w:val="231F20"/>
          <w:spacing w:val="-7"/>
          <w:w w:val="105"/>
          <w:sz w:val="17"/>
        </w:rPr>
        <w:t> </w:t>
      </w:r>
      <w:r>
        <w:rPr>
          <w:rFonts w:ascii="Calibri" w:hAnsi="Calibri"/>
          <w:color w:val="231F20"/>
          <w:w w:val="105"/>
          <w:sz w:val="17"/>
        </w:rPr>
        <w:t>ethnic</w:t>
      </w:r>
      <w:r>
        <w:rPr>
          <w:rFonts w:ascii="Calibri" w:hAnsi="Calibri"/>
          <w:color w:val="231F20"/>
          <w:spacing w:val="-7"/>
          <w:w w:val="105"/>
          <w:sz w:val="17"/>
        </w:rPr>
        <w:t> </w:t>
      </w:r>
      <w:r>
        <w:rPr>
          <w:rFonts w:ascii="Calibri" w:hAnsi="Calibri"/>
          <w:color w:val="231F20"/>
          <w:w w:val="105"/>
          <w:sz w:val="17"/>
        </w:rPr>
        <w:t>cleansing</w:t>
      </w:r>
      <w:r>
        <w:rPr>
          <w:rFonts w:ascii="Calibri" w:hAnsi="Calibri"/>
          <w:color w:val="231F20"/>
          <w:spacing w:val="-7"/>
          <w:w w:val="105"/>
          <w:sz w:val="17"/>
        </w:rPr>
        <w:t> </w:t>
      </w:r>
      <w:r>
        <w:rPr>
          <w:rFonts w:ascii="Calibri" w:hAnsi="Calibri"/>
          <w:color w:val="231F20"/>
          <w:w w:val="105"/>
          <w:sz w:val="17"/>
        </w:rPr>
        <w:t>and</w:t>
      </w:r>
      <w:r>
        <w:rPr>
          <w:rFonts w:ascii="Calibri" w:hAnsi="Calibri"/>
          <w:color w:val="231F20"/>
          <w:spacing w:val="-7"/>
          <w:w w:val="105"/>
          <w:sz w:val="17"/>
        </w:rPr>
        <w:t> </w:t>
      </w:r>
      <w:r>
        <w:rPr>
          <w:rFonts w:ascii="Calibri" w:hAnsi="Calibri"/>
          <w:color w:val="231F20"/>
          <w:w w:val="105"/>
          <w:sz w:val="17"/>
        </w:rPr>
        <w:t>crimes</w:t>
      </w:r>
      <w:r>
        <w:rPr>
          <w:rFonts w:ascii="Calibri" w:hAnsi="Calibri"/>
          <w:color w:val="231F20"/>
          <w:spacing w:val="-7"/>
          <w:w w:val="105"/>
          <w:sz w:val="17"/>
        </w:rPr>
        <w:t> </w:t>
      </w:r>
      <w:r>
        <w:rPr>
          <w:rFonts w:ascii="Calibri" w:hAnsi="Calibri"/>
          <w:color w:val="231F20"/>
          <w:w w:val="105"/>
          <w:sz w:val="17"/>
        </w:rPr>
        <w:t>against</w:t>
      </w:r>
      <w:r>
        <w:rPr>
          <w:rFonts w:ascii="Calibri" w:hAnsi="Calibri"/>
          <w:color w:val="231F20"/>
          <w:spacing w:val="-7"/>
          <w:w w:val="105"/>
          <w:sz w:val="17"/>
        </w:rPr>
        <w:t> </w:t>
      </w:r>
      <w:r>
        <w:rPr>
          <w:rFonts w:ascii="Calibri" w:hAnsi="Calibri"/>
          <w:color w:val="231F20"/>
          <w:w w:val="105"/>
          <w:sz w:val="17"/>
        </w:rPr>
        <w:t>humanity</w:t>
      </w:r>
      <w:r>
        <w:rPr>
          <w:rFonts w:ascii="Calibri" w:hAnsi="Calibri"/>
          <w:color w:val="231F20"/>
          <w:spacing w:val="-7"/>
          <w:w w:val="105"/>
          <w:sz w:val="17"/>
        </w:rPr>
        <w:t> </w:t>
      </w:r>
      <w:r>
        <w:rPr>
          <w:rFonts w:ascii="Calibri" w:hAnsi="Calibri"/>
          <w:color w:val="231F20"/>
          <w:w w:val="105"/>
          <w:sz w:val="17"/>
        </w:rPr>
        <w:t>and</w:t>
      </w:r>
      <w:r>
        <w:rPr>
          <w:rFonts w:ascii="Calibri" w:hAnsi="Calibri"/>
          <w:color w:val="231F20"/>
          <w:spacing w:val="-7"/>
          <w:w w:val="105"/>
          <w:sz w:val="17"/>
        </w:rPr>
        <w:t> </w:t>
      </w:r>
      <w:r>
        <w:rPr>
          <w:rFonts w:ascii="Calibri" w:hAnsi="Calibri"/>
          <w:color w:val="231F20"/>
          <w:w w:val="105"/>
          <w:sz w:val="17"/>
        </w:rPr>
        <w:t>to</w:t>
      </w:r>
      <w:r>
        <w:rPr>
          <w:rFonts w:ascii="Calibri" w:hAnsi="Calibri"/>
          <w:color w:val="231F20"/>
          <w:spacing w:val="-7"/>
          <w:w w:val="105"/>
          <w:sz w:val="17"/>
        </w:rPr>
        <w:t> </w:t>
      </w:r>
      <w:r>
        <w:rPr>
          <w:rFonts w:ascii="Calibri" w:hAnsi="Calibri"/>
          <w:color w:val="231F20"/>
          <w:w w:val="105"/>
          <w:sz w:val="17"/>
        </w:rPr>
        <w:t>assisting</w:t>
      </w:r>
      <w:r>
        <w:rPr>
          <w:rFonts w:ascii="Calibri" w:hAnsi="Calibri"/>
          <w:color w:val="231F20"/>
          <w:spacing w:val="-7"/>
          <w:w w:val="105"/>
          <w:sz w:val="17"/>
        </w:rPr>
        <w:t> </w:t>
      </w:r>
      <w:r>
        <w:rPr>
          <w:rFonts w:ascii="Calibri" w:hAnsi="Calibri"/>
          <w:color w:val="231F20"/>
          <w:w w:val="105"/>
          <w:sz w:val="17"/>
        </w:rPr>
        <w:t>those</w:t>
      </w:r>
      <w:r>
        <w:rPr>
          <w:rFonts w:ascii="Calibri" w:hAnsi="Calibri"/>
          <w:color w:val="231F20"/>
          <w:spacing w:val="-8"/>
          <w:w w:val="105"/>
          <w:sz w:val="17"/>
        </w:rPr>
        <w:t> </w:t>
      </w:r>
      <w:r>
        <w:rPr>
          <w:rFonts w:ascii="Calibri" w:hAnsi="Calibri"/>
          <w:color w:val="231F20"/>
          <w:w w:val="105"/>
          <w:sz w:val="17"/>
        </w:rPr>
        <w:t>which are</w:t>
      </w:r>
      <w:r>
        <w:rPr>
          <w:rFonts w:ascii="Calibri" w:hAnsi="Calibri"/>
          <w:color w:val="231F20"/>
          <w:spacing w:val="-16"/>
          <w:w w:val="105"/>
          <w:sz w:val="17"/>
        </w:rPr>
        <w:t> </w:t>
      </w:r>
      <w:r>
        <w:rPr>
          <w:rFonts w:ascii="Calibri" w:hAnsi="Calibri"/>
          <w:color w:val="231F20"/>
          <w:w w:val="105"/>
          <w:sz w:val="17"/>
        </w:rPr>
        <w:t>under</w:t>
      </w:r>
      <w:r>
        <w:rPr>
          <w:rFonts w:ascii="Calibri" w:hAnsi="Calibri"/>
          <w:color w:val="231F20"/>
          <w:spacing w:val="-16"/>
          <w:w w:val="105"/>
          <w:sz w:val="17"/>
        </w:rPr>
        <w:t> </w:t>
      </w:r>
      <w:r>
        <w:rPr>
          <w:rFonts w:ascii="Calibri" w:hAnsi="Calibri"/>
          <w:color w:val="231F20"/>
          <w:w w:val="105"/>
          <w:sz w:val="17"/>
        </w:rPr>
        <w:t>stress</w:t>
      </w:r>
      <w:r>
        <w:rPr>
          <w:rFonts w:ascii="Calibri" w:hAnsi="Calibri"/>
          <w:color w:val="231F20"/>
          <w:spacing w:val="-16"/>
          <w:w w:val="105"/>
          <w:sz w:val="17"/>
        </w:rPr>
        <w:t> </w:t>
      </w:r>
      <w:r>
        <w:rPr>
          <w:rFonts w:ascii="Calibri" w:hAnsi="Calibri"/>
          <w:color w:val="231F20"/>
          <w:w w:val="105"/>
          <w:sz w:val="17"/>
        </w:rPr>
        <w:t>before</w:t>
      </w:r>
      <w:r>
        <w:rPr>
          <w:rFonts w:ascii="Calibri" w:hAnsi="Calibri"/>
          <w:color w:val="231F20"/>
          <w:spacing w:val="-16"/>
          <w:w w:val="105"/>
          <w:sz w:val="17"/>
        </w:rPr>
        <w:t> </w:t>
      </w:r>
      <w:r>
        <w:rPr>
          <w:rFonts w:ascii="Calibri" w:hAnsi="Calibri"/>
          <w:color w:val="231F20"/>
          <w:w w:val="105"/>
          <w:sz w:val="17"/>
        </w:rPr>
        <w:t>crises</w:t>
      </w:r>
      <w:r>
        <w:rPr>
          <w:rFonts w:ascii="Calibri" w:hAnsi="Calibri"/>
          <w:color w:val="231F20"/>
          <w:spacing w:val="-16"/>
          <w:w w:val="105"/>
          <w:sz w:val="17"/>
        </w:rPr>
        <w:t> </w:t>
      </w:r>
      <w:r>
        <w:rPr>
          <w:rFonts w:ascii="Calibri" w:hAnsi="Calibri"/>
          <w:color w:val="231F20"/>
          <w:w w:val="105"/>
          <w:sz w:val="17"/>
        </w:rPr>
        <w:t>and</w:t>
      </w:r>
      <w:r>
        <w:rPr>
          <w:rFonts w:ascii="Calibri" w:hAnsi="Calibri"/>
          <w:color w:val="231F20"/>
          <w:spacing w:val="-16"/>
          <w:w w:val="105"/>
          <w:sz w:val="17"/>
        </w:rPr>
        <w:t> </w:t>
      </w:r>
      <w:r>
        <w:rPr>
          <w:rFonts w:ascii="Calibri" w:hAnsi="Calibri"/>
          <w:color w:val="231F20"/>
          <w:w w:val="105"/>
          <w:sz w:val="17"/>
        </w:rPr>
        <w:t>conflicts</w:t>
      </w:r>
      <w:r>
        <w:rPr>
          <w:rFonts w:ascii="Calibri" w:hAnsi="Calibri"/>
          <w:color w:val="231F20"/>
          <w:spacing w:val="-16"/>
          <w:w w:val="105"/>
          <w:sz w:val="17"/>
        </w:rPr>
        <w:t> </w:t>
      </w:r>
      <w:r>
        <w:rPr>
          <w:rFonts w:ascii="Calibri" w:hAnsi="Calibri"/>
          <w:color w:val="231F20"/>
          <w:w w:val="105"/>
          <w:sz w:val="17"/>
        </w:rPr>
        <w:t>break</w:t>
      </w:r>
      <w:r>
        <w:rPr>
          <w:rFonts w:ascii="Calibri" w:hAnsi="Calibri"/>
          <w:color w:val="231F20"/>
          <w:spacing w:val="-16"/>
          <w:w w:val="105"/>
          <w:sz w:val="17"/>
        </w:rPr>
        <w:t> </w:t>
      </w:r>
      <w:r>
        <w:rPr>
          <w:rFonts w:ascii="Calibri" w:hAnsi="Calibri"/>
          <w:color w:val="231F20"/>
          <w:spacing w:val="-4"/>
          <w:w w:val="105"/>
          <w:sz w:val="17"/>
        </w:rPr>
        <w:t>out”.</w:t>
      </w:r>
    </w:p>
    <w:p>
      <w:pPr>
        <w:spacing w:line="204" w:lineRule="exact" w:before="0"/>
        <w:ind w:left="103" w:right="115" w:firstLine="0"/>
        <w:jc w:val="both"/>
        <w:rPr>
          <w:rFonts w:ascii="Calibri" w:hAnsi="Calibri"/>
          <w:sz w:val="17"/>
        </w:rPr>
      </w:pPr>
      <w:r>
        <w:rPr>
          <w:rFonts w:ascii="Calibri" w:hAnsi="Calibri"/>
          <w:color w:val="231F20"/>
          <w:position w:val="6"/>
          <w:sz w:val="10"/>
        </w:rPr>
        <w:t>20 </w:t>
      </w:r>
      <w:r>
        <w:rPr>
          <w:rFonts w:ascii="Calibri" w:hAnsi="Calibri"/>
          <w:color w:val="231F20"/>
          <w:sz w:val="14"/>
        </w:rPr>
        <w:t>UN GAOR</w:t>
      </w:r>
      <w:r>
        <w:rPr>
          <w:rFonts w:ascii="Calibri" w:hAnsi="Calibri"/>
          <w:color w:val="231F20"/>
          <w:sz w:val="17"/>
        </w:rPr>
        <w:t>, Sixtieth Session, pp. 13 ss. Ma sul tema si veda anche D. M. Mednicoff, “Humane wars? International law, Just War theory and contemporary armed humanitarian intervention”, </w:t>
      </w:r>
      <w:r>
        <w:rPr>
          <w:rFonts w:ascii="Calibri" w:hAnsi="Calibri"/>
          <w:i/>
          <w:color w:val="231F20"/>
          <w:sz w:val="17"/>
        </w:rPr>
        <w:t>Law, </w:t>
      </w:r>
      <w:r>
        <w:rPr>
          <w:rFonts w:ascii="Calibri" w:hAnsi="Calibri"/>
          <w:i/>
          <w:color w:val="231F20"/>
          <w:sz w:val="17"/>
        </w:rPr>
        <w:t>Culture and the Humanities</w:t>
      </w:r>
      <w:r>
        <w:rPr>
          <w:rFonts w:ascii="Calibri" w:hAnsi="Calibri"/>
          <w:color w:val="231F20"/>
          <w:sz w:val="17"/>
        </w:rPr>
        <w:t>, no. 2, 2006, pp. 373–398, in part. p. 382.</w:t>
      </w:r>
    </w:p>
    <w:p>
      <w:pPr>
        <w:spacing w:line="204" w:lineRule="exact" w:before="0"/>
        <w:ind w:left="103" w:right="115" w:firstLine="0"/>
        <w:jc w:val="both"/>
        <w:rPr>
          <w:rFonts w:ascii="Calibri" w:hAnsi="Calibri"/>
          <w:sz w:val="17"/>
        </w:rPr>
      </w:pPr>
      <w:r>
        <w:rPr>
          <w:rFonts w:ascii="Calibri" w:hAnsi="Calibri"/>
          <w:color w:val="231F20"/>
          <w:w w:val="105"/>
          <w:position w:val="6"/>
          <w:sz w:val="10"/>
        </w:rPr>
        <w:t>21 </w:t>
      </w:r>
      <w:r>
        <w:rPr>
          <w:rFonts w:ascii="Calibri" w:hAnsi="Calibri"/>
          <w:color w:val="231F20"/>
          <w:spacing w:val="-7"/>
          <w:w w:val="105"/>
          <w:sz w:val="17"/>
        </w:rPr>
        <w:t>F.</w:t>
      </w:r>
      <w:r>
        <w:rPr>
          <w:rFonts w:ascii="Calibri" w:hAnsi="Calibri"/>
          <w:color w:val="231F20"/>
          <w:spacing w:val="-16"/>
          <w:w w:val="105"/>
          <w:sz w:val="17"/>
        </w:rPr>
        <w:t> </w:t>
      </w:r>
      <w:r>
        <w:rPr>
          <w:rFonts w:ascii="Calibri" w:hAnsi="Calibri"/>
          <w:color w:val="231F20"/>
          <w:w w:val="105"/>
          <w:sz w:val="17"/>
        </w:rPr>
        <w:t>K.</w:t>
      </w:r>
      <w:r>
        <w:rPr>
          <w:rFonts w:ascii="Calibri" w:hAnsi="Calibri"/>
          <w:color w:val="231F20"/>
          <w:spacing w:val="-16"/>
          <w:w w:val="105"/>
          <w:sz w:val="17"/>
        </w:rPr>
        <w:t> </w:t>
      </w:r>
      <w:r>
        <w:rPr>
          <w:rFonts w:ascii="Calibri" w:hAnsi="Calibri"/>
          <w:color w:val="231F20"/>
          <w:w w:val="105"/>
          <w:sz w:val="17"/>
        </w:rPr>
        <w:t>Abiew,</w:t>
      </w:r>
      <w:r>
        <w:rPr>
          <w:rFonts w:ascii="Calibri" w:hAnsi="Calibri"/>
          <w:color w:val="231F20"/>
          <w:spacing w:val="-17"/>
          <w:w w:val="105"/>
          <w:sz w:val="17"/>
        </w:rPr>
        <w:t> </w:t>
      </w:r>
      <w:r>
        <w:rPr>
          <w:rFonts w:ascii="Calibri" w:hAnsi="Calibri"/>
          <w:i/>
          <w:color w:val="231F20"/>
          <w:w w:val="105"/>
          <w:sz w:val="17"/>
        </w:rPr>
        <w:t>The</w:t>
      </w:r>
      <w:r>
        <w:rPr>
          <w:rFonts w:ascii="Calibri" w:hAnsi="Calibri"/>
          <w:i/>
          <w:color w:val="231F20"/>
          <w:spacing w:val="-17"/>
          <w:w w:val="105"/>
          <w:sz w:val="17"/>
        </w:rPr>
        <w:t> </w:t>
      </w:r>
      <w:r>
        <w:rPr>
          <w:rFonts w:ascii="Calibri" w:hAnsi="Calibri"/>
          <w:i/>
          <w:color w:val="231F20"/>
          <w:w w:val="105"/>
          <w:sz w:val="17"/>
        </w:rPr>
        <w:t>Evolution</w:t>
      </w:r>
      <w:r>
        <w:rPr>
          <w:rFonts w:ascii="Calibri" w:hAnsi="Calibri"/>
          <w:i/>
          <w:color w:val="231F20"/>
          <w:spacing w:val="-17"/>
          <w:w w:val="105"/>
          <w:sz w:val="17"/>
        </w:rPr>
        <w:t> </w:t>
      </w:r>
      <w:r>
        <w:rPr>
          <w:rFonts w:ascii="Calibri" w:hAnsi="Calibri"/>
          <w:i/>
          <w:color w:val="231F20"/>
          <w:w w:val="105"/>
          <w:sz w:val="17"/>
        </w:rPr>
        <w:t>of</w:t>
      </w:r>
      <w:r>
        <w:rPr>
          <w:rFonts w:ascii="Calibri" w:hAnsi="Calibri"/>
          <w:i/>
          <w:color w:val="231F20"/>
          <w:spacing w:val="-17"/>
          <w:w w:val="105"/>
          <w:sz w:val="17"/>
        </w:rPr>
        <w:t> </w:t>
      </w:r>
      <w:r>
        <w:rPr>
          <w:rFonts w:ascii="Calibri" w:hAnsi="Calibri"/>
          <w:i/>
          <w:color w:val="231F20"/>
          <w:w w:val="105"/>
          <w:sz w:val="17"/>
        </w:rPr>
        <w:t>the</w:t>
      </w:r>
      <w:r>
        <w:rPr>
          <w:rFonts w:ascii="Calibri" w:hAnsi="Calibri"/>
          <w:i/>
          <w:color w:val="231F20"/>
          <w:spacing w:val="-17"/>
          <w:w w:val="105"/>
          <w:sz w:val="17"/>
        </w:rPr>
        <w:t> </w:t>
      </w:r>
      <w:r>
        <w:rPr>
          <w:rFonts w:ascii="Calibri" w:hAnsi="Calibri"/>
          <w:i/>
          <w:color w:val="231F20"/>
          <w:w w:val="105"/>
          <w:sz w:val="17"/>
        </w:rPr>
        <w:t>Doctrine</w:t>
      </w:r>
      <w:r>
        <w:rPr>
          <w:rFonts w:ascii="Calibri" w:hAnsi="Calibri"/>
          <w:i/>
          <w:color w:val="231F20"/>
          <w:spacing w:val="-17"/>
          <w:w w:val="105"/>
          <w:sz w:val="17"/>
        </w:rPr>
        <w:t> </w:t>
      </w:r>
      <w:r>
        <w:rPr>
          <w:rFonts w:ascii="Calibri" w:hAnsi="Calibri"/>
          <w:i/>
          <w:color w:val="231F20"/>
          <w:w w:val="105"/>
          <w:sz w:val="17"/>
        </w:rPr>
        <w:t>and</w:t>
      </w:r>
      <w:r>
        <w:rPr>
          <w:rFonts w:ascii="Calibri" w:hAnsi="Calibri"/>
          <w:i/>
          <w:color w:val="231F20"/>
          <w:spacing w:val="-17"/>
          <w:w w:val="105"/>
          <w:sz w:val="17"/>
        </w:rPr>
        <w:t> </w:t>
      </w:r>
      <w:r>
        <w:rPr>
          <w:rFonts w:ascii="Calibri" w:hAnsi="Calibri"/>
          <w:i/>
          <w:color w:val="231F20"/>
          <w:w w:val="105"/>
          <w:sz w:val="17"/>
        </w:rPr>
        <w:t>Practice</w:t>
      </w:r>
      <w:r>
        <w:rPr>
          <w:rFonts w:ascii="Calibri" w:hAnsi="Calibri"/>
          <w:i/>
          <w:color w:val="231F20"/>
          <w:spacing w:val="-17"/>
          <w:w w:val="105"/>
          <w:sz w:val="17"/>
        </w:rPr>
        <w:t> </w:t>
      </w:r>
      <w:r>
        <w:rPr>
          <w:rFonts w:ascii="Calibri" w:hAnsi="Calibri"/>
          <w:i/>
          <w:color w:val="231F20"/>
          <w:w w:val="105"/>
          <w:sz w:val="17"/>
        </w:rPr>
        <w:t>of</w:t>
      </w:r>
      <w:r>
        <w:rPr>
          <w:rFonts w:ascii="Calibri" w:hAnsi="Calibri"/>
          <w:i/>
          <w:color w:val="231F20"/>
          <w:spacing w:val="-17"/>
          <w:w w:val="105"/>
          <w:sz w:val="17"/>
        </w:rPr>
        <w:t> </w:t>
      </w:r>
      <w:r>
        <w:rPr>
          <w:rFonts w:ascii="Calibri" w:hAnsi="Calibri"/>
          <w:i/>
          <w:color w:val="231F20"/>
          <w:w w:val="105"/>
          <w:sz w:val="17"/>
        </w:rPr>
        <w:t>Humanitarian</w:t>
      </w:r>
      <w:r>
        <w:rPr>
          <w:rFonts w:ascii="Calibri" w:hAnsi="Calibri"/>
          <w:i/>
          <w:color w:val="231F20"/>
          <w:spacing w:val="-17"/>
          <w:w w:val="105"/>
          <w:sz w:val="17"/>
        </w:rPr>
        <w:t> </w:t>
      </w:r>
      <w:r>
        <w:rPr>
          <w:rFonts w:ascii="Calibri" w:hAnsi="Calibri"/>
          <w:i/>
          <w:color w:val="231F20"/>
          <w:w w:val="105"/>
          <w:sz w:val="17"/>
        </w:rPr>
        <w:t>Intervention</w:t>
      </w:r>
      <w:r>
        <w:rPr>
          <w:rFonts w:ascii="Calibri" w:hAnsi="Calibri"/>
          <w:color w:val="231F20"/>
          <w:w w:val="105"/>
          <w:sz w:val="17"/>
        </w:rPr>
        <w:t>,</w:t>
      </w:r>
      <w:r>
        <w:rPr>
          <w:rFonts w:ascii="Calibri" w:hAnsi="Calibri"/>
          <w:color w:val="231F20"/>
          <w:spacing w:val="-18"/>
          <w:w w:val="105"/>
          <w:sz w:val="17"/>
        </w:rPr>
        <w:t> </w:t>
      </w:r>
      <w:r>
        <w:rPr>
          <w:rFonts w:ascii="Calibri" w:hAnsi="Calibri"/>
          <w:color w:val="231F20"/>
          <w:w w:val="105"/>
          <w:sz w:val="17"/>
        </w:rPr>
        <w:t>The</w:t>
      </w:r>
      <w:r>
        <w:rPr>
          <w:rFonts w:ascii="Calibri" w:hAnsi="Calibri"/>
          <w:color w:val="231F20"/>
          <w:spacing w:val="-16"/>
          <w:w w:val="105"/>
          <w:sz w:val="17"/>
        </w:rPr>
        <w:t> </w:t>
      </w:r>
      <w:r>
        <w:rPr>
          <w:rFonts w:ascii="Calibri" w:hAnsi="Calibri"/>
          <w:color w:val="231F20"/>
          <w:w w:val="105"/>
          <w:sz w:val="17"/>
        </w:rPr>
        <w:t>Hague– London–Boston,</w:t>
      </w:r>
      <w:r>
        <w:rPr>
          <w:rFonts w:ascii="Calibri" w:hAnsi="Calibri"/>
          <w:color w:val="231F20"/>
          <w:spacing w:val="-20"/>
          <w:w w:val="105"/>
          <w:sz w:val="17"/>
        </w:rPr>
        <w:t> </w:t>
      </w:r>
      <w:r>
        <w:rPr>
          <w:rFonts w:ascii="Calibri" w:hAnsi="Calibri"/>
          <w:color w:val="231F20"/>
          <w:w w:val="105"/>
          <w:sz w:val="17"/>
        </w:rPr>
        <w:t>Kluwer</w:t>
      </w:r>
      <w:r>
        <w:rPr>
          <w:rFonts w:ascii="Calibri" w:hAnsi="Calibri"/>
          <w:color w:val="231F20"/>
          <w:spacing w:val="-20"/>
          <w:w w:val="105"/>
          <w:sz w:val="17"/>
        </w:rPr>
        <w:t> </w:t>
      </w:r>
      <w:r>
        <w:rPr>
          <w:rFonts w:ascii="Calibri" w:hAnsi="Calibri"/>
          <w:color w:val="231F20"/>
          <w:w w:val="105"/>
          <w:sz w:val="17"/>
        </w:rPr>
        <w:t>Law</w:t>
      </w:r>
      <w:r>
        <w:rPr>
          <w:rFonts w:ascii="Calibri" w:hAnsi="Calibri"/>
          <w:color w:val="231F20"/>
          <w:spacing w:val="-20"/>
          <w:w w:val="105"/>
          <w:sz w:val="17"/>
        </w:rPr>
        <w:t> </w:t>
      </w:r>
      <w:r>
        <w:rPr>
          <w:rFonts w:ascii="Calibri" w:hAnsi="Calibri"/>
          <w:color w:val="231F20"/>
          <w:w w:val="105"/>
          <w:sz w:val="17"/>
        </w:rPr>
        <w:t>International,</w:t>
      </w:r>
      <w:r>
        <w:rPr>
          <w:rFonts w:ascii="Calibri" w:hAnsi="Calibri"/>
          <w:color w:val="231F20"/>
          <w:spacing w:val="-20"/>
          <w:w w:val="105"/>
          <w:sz w:val="17"/>
        </w:rPr>
        <w:t> </w:t>
      </w:r>
      <w:r>
        <w:rPr>
          <w:rFonts w:ascii="Calibri" w:hAnsi="Calibri"/>
          <w:color w:val="231F20"/>
          <w:w w:val="105"/>
          <w:sz w:val="17"/>
        </w:rPr>
        <w:t>1999,</w:t>
      </w:r>
      <w:r>
        <w:rPr>
          <w:rFonts w:ascii="Calibri" w:hAnsi="Calibri"/>
          <w:color w:val="231F20"/>
          <w:spacing w:val="-20"/>
          <w:w w:val="105"/>
          <w:sz w:val="17"/>
        </w:rPr>
        <w:t> </w:t>
      </w:r>
      <w:r>
        <w:rPr>
          <w:rFonts w:ascii="Calibri" w:hAnsi="Calibri"/>
          <w:color w:val="231F20"/>
          <w:w w:val="105"/>
          <w:sz w:val="17"/>
        </w:rPr>
        <w:t>p.</w:t>
      </w:r>
      <w:r>
        <w:rPr>
          <w:rFonts w:ascii="Calibri" w:hAnsi="Calibri"/>
          <w:color w:val="231F20"/>
          <w:spacing w:val="-20"/>
          <w:w w:val="105"/>
          <w:sz w:val="17"/>
        </w:rPr>
        <w:t> </w:t>
      </w:r>
      <w:r>
        <w:rPr>
          <w:rFonts w:ascii="Calibri" w:hAnsi="Calibri"/>
          <w:color w:val="231F20"/>
          <w:w w:val="105"/>
          <w:sz w:val="17"/>
        </w:rPr>
        <w:t>30.</w:t>
      </w:r>
    </w:p>
    <w:p>
      <w:pPr>
        <w:pStyle w:val="BodyText"/>
        <w:rPr>
          <w:rFonts w:ascii="Calibri"/>
          <w:sz w:val="20"/>
        </w:rPr>
      </w:pPr>
    </w:p>
    <w:p>
      <w:pPr>
        <w:pStyle w:val="BodyText"/>
        <w:spacing w:before="1"/>
        <w:rPr>
          <w:rFonts w:ascii="Calibri"/>
          <w:sz w:val="28"/>
        </w:rPr>
      </w:pPr>
    </w:p>
    <w:p>
      <w:pPr>
        <w:tabs>
          <w:tab w:pos="1317" w:val="left" w:leader="none"/>
        </w:tabs>
        <w:spacing w:before="69"/>
        <w:ind w:left="212" w:right="0" w:firstLine="0"/>
        <w:jc w:val="left"/>
        <w:rPr>
          <w:rFonts w:ascii="Calibri"/>
          <w:sz w:val="16"/>
        </w:rPr>
      </w:pPr>
      <w:r>
        <w:rPr/>
        <w:pict>
          <v:group style="position:absolute;margin-left:98.079102pt;margin-top:-3.308812pt;width:20.4pt;height:43pt;mso-position-horizontal-relative:page;mso-position-vertical-relative:paragraph;z-index:-160984" coordorigin="1962,-66" coordsize="408,860">
            <v:line style="position:absolute" from="2211,73" to="2211,789" stroked="true" strokeweight=".35pt" strokecolor="#231f20"/>
            <v:shape style="position:absolute;left:2179;top:-13;width:190;height:445" type="#_x0000_t75" stroked="false">
              <v:imagedata r:id="rId34" o:title=""/>
            </v:shape>
            <v:shape style="position:absolute;left:1962;top:-66;width:250;height:502" type="#_x0000_t75" stroked="false">
              <v:imagedata r:id="rId35" o:title=""/>
            </v:shape>
            <w10:wrap type="none"/>
          </v:group>
        </w:pict>
      </w:r>
      <w:r>
        <w:rPr>
          <w:rFonts w:ascii="Trebuchet MS"/>
          <w:color w:val="414042"/>
          <w:w w:val="105"/>
          <w:position w:val="-4"/>
          <w:sz w:val="20"/>
        </w:rPr>
        <w:t>136</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98" w:lineRule="exact" w:before="52"/>
        <w:ind w:left="796"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1446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QUESTIONI</w:t>
      </w:r>
      <w:r>
        <w:rPr>
          <w:rFonts w:ascii="Lucida Sans Unicode" w:hAnsi="Lucida Sans Unicode"/>
          <w:color w:val="6D6E71"/>
          <w:spacing w:val="-11"/>
          <w:w w:val="90"/>
          <w:sz w:val="14"/>
        </w:rPr>
        <w:t> </w:t>
      </w:r>
      <w:r>
        <w:rPr>
          <w:rFonts w:ascii="Lucida Sans Unicode" w:hAnsi="Lucida Sans Unicode"/>
          <w:color w:val="6D6E71"/>
          <w:w w:val="90"/>
          <w:sz w:val="14"/>
        </w:rPr>
        <w:t>DI</w:t>
      </w:r>
      <w:r>
        <w:rPr>
          <w:rFonts w:ascii="Lucida Sans Unicode" w:hAnsi="Lucida Sans Unicode"/>
          <w:color w:val="6D6E71"/>
          <w:spacing w:val="-11"/>
          <w:w w:val="90"/>
          <w:sz w:val="14"/>
        </w:rPr>
        <w:t> </w:t>
      </w:r>
      <w:r>
        <w:rPr>
          <w:rFonts w:ascii="Lucida Sans Unicode" w:hAnsi="Lucida Sans Unicode"/>
          <w:color w:val="6D6E71"/>
          <w:w w:val="90"/>
          <w:sz w:val="14"/>
        </w:rPr>
        <w:t>CONFINE.</w:t>
      </w:r>
      <w:r>
        <w:rPr>
          <w:rFonts w:ascii="Lucida Sans Unicode" w:hAnsi="Lucida Sans Unicode"/>
          <w:color w:val="6D6E71"/>
          <w:spacing w:val="-11"/>
          <w:w w:val="90"/>
          <w:sz w:val="14"/>
        </w:rPr>
        <w:t> </w:t>
      </w:r>
      <w:r>
        <w:rPr>
          <w:rFonts w:ascii="Lucida Sans Unicode" w:hAnsi="Lucida Sans Unicode"/>
          <w:color w:val="6D6E71"/>
          <w:w w:val="90"/>
          <w:sz w:val="14"/>
        </w:rPr>
        <w:t>SOVRANITÀ</w:t>
      </w:r>
      <w:r>
        <w:rPr>
          <w:rFonts w:ascii="Lucida Sans Unicode" w:hAnsi="Lucida Sans Unicode"/>
          <w:color w:val="6D6E71"/>
          <w:spacing w:val="-11"/>
          <w:w w:val="90"/>
          <w:sz w:val="14"/>
        </w:rPr>
        <w:t> </w:t>
      </w:r>
      <w:r>
        <w:rPr>
          <w:rFonts w:ascii="Lucida Sans Unicode" w:hAnsi="Lucida Sans Unicode"/>
          <w:color w:val="6D6E71"/>
          <w:w w:val="90"/>
          <w:sz w:val="14"/>
        </w:rPr>
        <w:t>TERRITORIALE</w:t>
      </w:r>
      <w:r>
        <w:rPr>
          <w:rFonts w:ascii="Lucida Sans Unicode" w:hAnsi="Lucida Sans Unicode"/>
          <w:color w:val="6D6E71"/>
          <w:spacing w:val="-11"/>
          <w:w w:val="90"/>
          <w:sz w:val="14"/>
        </w:rPr>
        <w:t> </w:t>
      </w:r>
      <w:r>
        <w:rPr>
          <w:rFonts w:ascii="Lucida Sans Unicode" w:hAnsi="Lucida Sans Unicode"/>
          <w:color w:val="6D6E71"/>
          <w:w w:val="90"/>
          <w:sz w:val="14"/>
        </w:rPr>
        <w:t>E</w:t>
      </w:r>
      <w:r>
        <w:rPr>
          <w:rFonts w:ascii="Lucida Sans Unicode" w:hAnsi="Lucida Sans Unicode"/>
          <w:color w:val="6D6E71"/>
          <w:spacing w:val="-11"/>
          <w:w w:val="90"/>
          <w:sz w:val="14"/>
        </w:rPr>
        <w:t> </w:t>
      </w:r>
      <w:r>
        <w:rPr>
          <w:rFonts w:ascii="Lucida Sans Unicode" w:hAnsi="Lucida Sans Unicode"/>
          <w:color w:val="6D6E71"/>
          <w:w w:val="90"/>
          <w:sz w:val="14"/>
        </w:rPr>
        <w:t>ORDINE</w:t>
      </w:r>
      <w:r>
        <w:rPr>
          <w:rFonts w:ascii="Lucida Sans Unicode" w:hAnsi="Lucida Sans Unicode"/>
          <w:color w:val="6D6E71"/>
          <w:spacing w:val="-11"/>
          <w:w w:val="90"/>
          <w:sz w:val="14"/>
        </w:rPr>
        <w:t> </w:t>
      </w:r>
      <w:r>
        <w:rPr>
          <w:rFonts w:ascii="Lucida Sans Unicode" w:hAnsi="Lucida Sans Unicode"/>
          <w:color w:val="6D6E71"/>
          <w:w w:val="90"/>
          <w:sz w:val="14"/>
        </w:rPr>
        <w:t>GLOBALE</w:t>
      </w:r>
      <w:r>
        <w:rPr>
          <w:rFonts w:ascii="Lucida Sans Unicode" w:hAnsi="Lucida Sans Unicode"/>
          <w:color w:val="6D6E71"/>
          <w:spacing w:val="-11"/>
          <w:w w:val="90"/>
          <w:sz w:val="14"/>
        </w:rPr>
        <w:t> </w:t>
      </w:r>
      <w:r>
        <w:rPr>
          <w:rFonts w:ascii="Lucida Sans Unicode" w:hAnsi="Lucida Sans Unicode"/>
          <w:color w:val="6D6E71"/>
          <w:w w:val="90"/>
          <w:sz w:val="14"/>
        </w:rPr>
        <w:t>NEL</w:t>
      </w:r>
      <w:r>
        <w:rPr>
          <w:rFonts w:ascii="Lucida Sans Unicode" w:hAnsi="Lucida Sans Unicode"/>
          <w:color w:val="6D6E71"/>
          <w:spacing w:val="-11"/>
          <w:w w:val="90"/>
          <w:sz w:val="14"/>
        </w:rPr>
        <w:t> </w:t>
      </w:r>
      <w:r>
        <w:rPr>
          <w:rFonts w:ascii="Lucida Sans Unicode" w:hAnsi="Lucida Sans Unicode"/>
          <w:color w:val="6D6E71"/>
          <w:w w:val="90"/>
          <w:sz w:val="14"/>
        </w:rPr>
        <w:t>DIBATTITO</w:t>
      </w:r>
      <w:r>
        <w:rPr>
          <w:rFonts w:ascii="Lucida Sans Unicode" w:hAnsi="Lucida Sans Unicode"/>
          <w:color w:val="6D6E71"/>
          <w:spacing w:val="-11"/>
          <w:w w:val="90"/>
          <w:sz w:val="14"/>
        </w:rPr>
        <w:t> </w:t>
      </w:r>
      <w:r>
        <w:rPr>
          <w:rFonts w:ascii="Lucida Sans Unicode" w:hAnsi="Lucida Sans Unicode"/>
          <w:color w:val="6D6E71"/>
          <w:w w:val="90"/>
          <w:sz w:val="14"/>
        </w:rPr>
        <w:t>SUL</w:t>
      </w:r>
    </w:p>
    <w:p>
      <w:pPr>
        <w:spacing w:line="198" w:lineRule="exact" w:before="0"/>
        <w:ind w:left="3896" w:right="-13" w:firstLine="0"/>
        <w:jc w:val="left"/>
        <w:rPr>
          <w:rFonts w:ascii="Lucida Sans Unicode" w:hAnsi="Lucida Sans Unicode"/>
          <w:sz w:val="14"/>
        </w:rPr>
      </w:pPr>
      <w:r>
        <w:rPr>
          <w:rFonts w:ascii="Lucida Sans Unicode" w:hAnsi="Lucida Sans Unicode"/>
          <w:color w:val="6D6E71"/>
          <w:w w:val="85"/>
          <w:sz w:val="14"/>
        </w:rPr>
        <w:t>“NUOVO  INTERVENTISMO  UMANITARIO”</w:t>
      </w:r>
    </w:p>
    <w:p>
      <w:pPr>
        <w:spacing w:before="59"/>
        <w:ind w:left="338" w:right="0" w:firstLine="0"/>
        <w:jc w:val="left"/>
        <w:rPr>
          <w:rFonts w:ascii="Trebuchet MS"/>
          <w:sz w:val="20"/>
        </w:rPr>
      </w:pPr>
      <w:r>
        <w:rPr/>
        <w:br w:type="column"/>
      </w:r>
      <w:r>
        <w:rPr>
          <w:rFonts w:ascii="Trebuchet MS"/>
          <w:color w:val="414042"/>
          <w:w w:val="105"/>
          <w:sz w:val="20"/>
        </w:rPr>
        <w:t>137</w:t>
      </w:r>
    </w:p>
    <w:p>
      <w:pPr>
        <w:spacing w:after="0"/>
        <w:jc w:val="left"/>
        <w:rPr>
          <w:rFonts w:ascii="Trebuchet MS"/>
          <w:sz w:val="20"/>
        </w:rPr>
        <w:sectPr>
          <w:type w:val="continuous"/>
          <w:pgSz w:w="9640" w:h="13890"/>
          <w:pgMar w:top="0" w:bottom="0" w:left="1300" w:right="1180"/>
          <w:cols w:num="2" w:equalWidth="0">
            <w:col w:w="6261" w:space="40"/>
            <w:col w:w="859"/>
          </w:cols>
        </w:sectPr>
      </w:pPr>
    </w:p>
    <w:p>
      <w:pPr>
        <w:pStyle w:val="BodyText"/>
        <w:rPr>
          <w:rFonts w:ascii="Trebuchet MS"/>
          <w:sz w:val="20"/>
        </w:rPr>
      </w:pPr>
    </w:p>
    <w:p>
      <w:pPr>
        <w:pStyle w:val="BodyText"/>
        <w:spacing w:before="2"/>
        <w:rPr>
          <w:rFonts w:ascii="Trebuchet MS"/>
          <w:sz w:val="16"/>
        </w:rPr>
      </w:pPr>
    </w:p>
    <w:p>
      <w:pPr>
        <w:pStyle w:val="BodyText"/>
        <w:spacing w:line="247" w:lineRule="auto" w:before="44"/>
        <w:ind w:left="117" w:right="116"/>
        <w:jc w:val="both"/>
      </w:pPr>
      <w:r>
        <w:rPr>
          <w:color w:val="231F20"/>
          <w:w w:val="105"/>
        </w:rPr>
        <w:t>Secondo</w:t>
      </w:r>
      <w:r>
        <w:rPr>
          <w:color w:val="231F20"/>
          <w:spacing w:val="-33"/>
          <w:w w:val="105"/>
        </w:rPr>
        <w:t> </w:t>
      </w:r>
      <w:r>
        <w:rPr>
          <w:color w:val="231F20"/>
          <w:w w:val="105"/>
        </w:rPr>
        <w:t>tale</w:t>
      </w:r>
      <w:r>
        <w:rPr>
          <w:color w:val="231F20"/>
          <w:spacing w:val="-33"/>
          <w:w w:val="105"/>
        </w:rPr>
        <w:t> </w:t>
      </w:r>
      <w:r>
        <w:rPr>
          <w:color w:val="231F20"/>
          <w:w w:val="105"/>
        </w:rPr>
        <w:t>impostazione,</w:t>
      </w:r>
      <w:r>
        <w:rPr>
          <w:color w:val="231F20"/>
          <w:spacing w:val="-33"/>
          <w:w w:val="105"/>
        </w:rPr>
        <w:t> </w:t>
      </w:r>
      <w:r>
        <w:rPr>
          <w:color w:val="231F20"/>
          <w:w w:val="105"/>
        </w:rPr>
        <w:t>la</w:t>
      </w:r>
      <w:r>
        <w:rPr>
          <w:color w:val="231F20"/>
          <w:spacing w:val="-33"/>
          <w:w w:val="105"/>
        </w:rPr>
        <w:t> </w:t>
      </w:r>
      <w:r>
        <w:rPr>
          <w:color w:val="231F20"/>
          <w:w w:val="105"/>
        </w:rPr>
        <w:t>teoria</w:t>
      </w:r>
      <w:r>
        <w:rPr>
          <w:color w:val="231F20"/>
          <w:spacing w:val="-33"/>
          <w:w w:val="105"/>
        </w:rPr>
        <w:t> </w:t>
      </w:r>
      <w:r>
        <w:rPr>
          <w:color w:val="231F20"/>
          <w:w w:val="105"/>
        </w:rPr>
        <w:t>e</w:t>
      </w:r>
      <w:r>
        <w:rPr>
          <w:color w:val="231F20"/>
          <w:spacing w:val="-33"/>
          <w:w w:val="105"/>
        </w:rPr>
        <w:t> </w:t>
      </w:r>
      <w:r>
        <w:rPr>
          <w:color w:val="231F20"/>
          <w:w w:val="105"/>
        </w:rPr>
        <w:t>la</w:t>
      </w:r>
      <w:r>
        <w:rPr>
          <w:color w:val="231F20"/>
          <w:spacing w:val="-33"/>
          <w:w w:val="105"/>
        </w:rPr>
        <w:t> </w:t>
      </w:r>
      <w:r>
        <w:rPr>
          <w:color w:val="231F20"/>
          <w:w w:val="105"/>
        </w:rPr>
        <w:t>pratica</w:t>
      </w:r>
      <w:r>
        <w:rPr>
          <w:color w:val="231F20"/>
          <w:spacing w:val="-33"/>
          <w:w w:val="105"/>
        </w:rPr>
        <w:t> </w:t>
      </w:r>
      <w:r>
        <w:rPr>
          <w:color w:val="231F20"/>
          <w:w w:val="105"/>
        </w:rPr>
        <w:t>dell’intervento</w:t>
      </w:r>
      <w:r>
        <w:rPr>
          <w:color w:val="231F20"/>
          <w:spacing w:val="-33"/>
          <w:w w:val="105"/>
        </w:rPr>
        <w:t> </w:t>
      </w:r>
      <w:r>
        <w:rPr>
          <w:color w:val="231F20"/>
          <w:w w:val="105"/>
        </w:rPr>
        <w:t>umanitario </w:t>
      </w:r>
      <w:r>
        <w:rPr>
          <w:color w:val="231F20"/>
        </w:rPr>
        <w:t>progressivamente delineatesi negli ultimi due decenni rappresenterebbero, </w:t>
      </w:r>
      <w:r>
        <w:rPr>
          <w:color w:val="231F20"/>
          <w:w w:val="105"/>
        </w:rPr>
        <w:t>dunque,</w:t>
      </w:r>
      <w:r>
        <w:rPr>
          <w:color w:val="231F20"/>
          <w:spacing w:val="-24"/>
          <w:w w:val="105"/>
        </w:rPr>
        <w:t> </w:t>
      </w:r>
      <w:r>
        <w:rPr>
          <w:color w:val="231F20"/>
          <w:w w:val="105"/>
        </w:rPr>
        <w:t>l’interessante</w:t>
      </w:r>
      <w:r>
        <w:rPr>
          <w:color w:val="231F20"/>
          <w:spacing w:val="-24"/>
          <w:w w:val="105"/>
        </w:rPr>
        <w:t> </w:t>
      </w:r>
      <w:r>
        <w:rPr>
          <w:color w:val="231F20"/>
          <w:w w:val="105"/>
        </w:rPr>
        <w:t>sintomo</w:t>
      </w:r>
      <w:r>
        <w:rPr>
          <w:color w:val="231F20"/>
          <w:spacing w:val="-24"/>
          <w:w w:val="105"/>
        </w:rPr>
        <w:t> </w:t>
      </w:r>
      <w:r>
        <w:rPr>
          <w:color w:val="231F20"/>
          <w:w w:val="105"/>
        </w:rPr>
        <w:t>di</w:t>
      </w:r>
      <w:r>
        <w:rPr>
          <w:color w:val="231F20"/>
          <w:spacing w:val="-24"/>
          <w:w w:val="105"/>
        </w:rPr>
        <w:t> </w:t>
      </w:r>
      <w:r>
        <w:rPr>
          <w:color w:val="231F20"/>
          <w:w w:val="105"/>
        </w:rPr>
        <w:t>una</w:t>
      </w:r>
      <w:r>
        <w:rPr>
          <w:color w:val="231F20"/>
          <w:spacing w:val="-24"/>
          <w:w w:val="105"/>
        </w:rPr>
        <w:t> </w:t>
      </w:r>
      <w:r>
        <w:rPr>
          <w:rFonts w:ascii="Arial" w:hAnsi="Arial"/>
          <w:i/>
          <w:color w:val="231F20"/>
          <w:w w:val="105"/>
        </w:rPr>
        <w:t>grande</w:t>
      </w:r>
      <w:r>
        <w:rPr>
          <w:rFonts w:ascii="Arial" w:hAnsi="Arial"/>
          <w:i/>
          <w:color w:val="231F20"/>
          <w:spacing w:val="-16"/>
          <w:w w:val="105"/>
        </w:rPr>
        <w:t> </w:t>
      </w:r>
      <w:r>
        <w:rPr>
          <w:rFonts w:ascii="Arial" w:hAnsi="Arial"/>
          <w:i/>
          <w:color w:val="231F20"/>
          <w:w w:val="105"/>
        </w:rPr>
        <w:t>trasformazione</w:t>
      </w:r>
      <w:r>
        <w:rPr>
          <w:rFonts w:ascii="Arial" w:hAnsi="Arial"/>
          <w:i/>
          <w:color w:val="231F20"/>
          <w:spacing w:val="-16"/>
          <w:w w:val="105"/>
        </w:rPr>
        <w:t> </w:t>
      </w:r>
      <w:r>
        <w:rPr>
          <w:color w:val="231F20"/>
          <w:w w:val="105"/>
        </w:rPr>
        <w:t>in</w:t>
      </w:r>
      <w:r>
        <w:rPr>
          <w:color w:val="231F20"/>
          <w:spacing w:val="-24"/>
          <w:w w:val="105"/>
        </w:rPr>
        <w:t> </w:t>
      </w:r>
      <w:r>
        <w:rPr>
          <w:color w:val="231F20"/>
          <w:w w:val="105"/>
        </w:rPr>
        <w:t>corso</w:t>
      </w:r>
      <w:r>
        <w:rPr>
          <w:color w:val="231F20"/>
          <w:spacing w:val="-24"/>
          <w:w w:val="105"/>
        </w:rPr>
        <w:t> </w:t>
      </w:r>
      <w:r>
        <w:rPr>
          <w:color w:val="231F20"/>
          <w:w w:val="105"/>
        </w:rPr>
        <w:t>nel mondo</w:t>
      </w:r>
      <w:r>
        <w:rPr>
          <w:color w:val="231F20"/>
          <w:spacing w:val="-10"/>
          <w:w w:val="105"/>
        </w:rPr>
        <w:t> </w:t>
      </w:r>
      <w:r>
        <w:rPr>
          <w:color w:val="231F20"/>
          <w:w w:val="105"/>
        </w:rPr>
        <w:t>contemporaneo:</w:t>
      </w:r>
      <w:r>
        <w:rPr>
          <w:color w:val="231F20"/>
          <w:spacing w:val="-10"/>
          <w:w w:val="105"/>
        </w:rPr>
        <w:t> </w:t>
      </w:r>
      <w:r>
        <w:rPr>
          <w:color w:val="231F20"/>
          <w:w w:val="105"/>
        </w:rPr>
        <w:t>l’emergere,</w:t>
      </w:r>
      <w:r>
        <w:rPr>
          <w:color w:val="231F20"/>
          <w:spacing w:val="-10"/>
          <w:w w:val="105"/>
        </w:rPr>
        <w:t> </w:t>
      </w:r>
      <w:r>
        <w:rPr>
          <w:color w:val="231F20"/>
          <w:w w:val="105"/>
        </w:rPr>
        <w:t>cioè,</w:t>
      </w:r>
      <w:r>
        <w:rPr>
          <w:color w:val="231F20"/>
          <w:spacing w:val="-10"/>
          <w:w w:val="105"/>
        </w:rPr>
        <w:t> </w:t>
      </w:r>
      <w:r>
        <w:rPr>
          <w:color w:val="231F20"/>
          <w:w w:val="105"/>
        </w:rPr>
        <w:t>di</w:t>
      </w:r>
      <w:r>
        <w:rPr>
          <w:color w:val="231F20"/>
          <w:spacing w:val="-10"/>
          <w:w w:val="105"/>
        </w:rPr>
        <w:t> </w:t>
      </w:r>
      <w:r>
        <w:rPr>
          <w:color w:val="231F20"/>
          <w:w w:val="105"/>
        </w:rPr>
        <w:t>una</w:t>
      </w:r>
      <w:r>
        <w:rPr>
          <w:color w:val="231F20"/>
          <w:spacing w:val="-10"/>
          <w:w w:val="105"/>
        </w:rPr>
        <w:t> </w:t>
      </w:r>
      <w:r>
        <w:rPr>
          <w:color w:val="231F20"/>
          <w:w w:val="105"/>
        </w:rPr>
        <w:t>nuova</w:t>
      </w:r>
      <w:r>
        <w:rPr>
          <w:color w:val="231F20"/>
          <w:spacing w:val="-10"/>
          <w:w w:val="105"/>
        </w:rPr>
        <w:t> </w:t>
      </w:r>
      <w:r>
        <w:rPr>
          <w:color w:val="231F20"/>
          <w:w w:val="105"/>
        </w:rPr>
        <w:t>forma</w:t>
      </w:r>
      <w:r>
        <w:rPr>
          <w:color w:val="231F20"/>
          <w:spacing w:val="-10"/>
          <w:w w:val="105"/>
        </w:rPr>
        <w:t> </w:t>
      </w:r>
      <w:r>
        <w:rPr>
          <w:color w:val="231F20"/>
          <w:w w:val="105"/>
        </w:rPr>
        <w:t>di</w:t>
      </w:r>
      <w:r>
        <w:rPr>
          <w:color w:val="231F20"/>
          <w:spacing w:val="-10"/>
          <w:w w:val="105"/>
        </w:rPr>
        <w:t> </w:t>
      </w:r>
      <w:r>
        <w:rPr>
          <w:color w:val="231F20"/>
          <w:w w:val="105"/>
        </w:rPr>
        <w:t>società </w:t>
      </w:r>
      <w:r>
        <w:rPr>
          <w:color w:val="231F20"/>
          <w:spacing w:val="-3"/>
          <w:w w:val="105"/>
        </w:rPr>
        <w:t>internazionale,</w:t>
      </w:r>
      <w:r>
        <w:rPr>
          <w:color w:val="231F20"/>
          <w:spacing w:val="-56"/>
          <w:w w:val="105"/>
        </w:rPr>
        <w:t> </w:t>
      </w:r>
      <w:r>
        <w:rPr>
          <w:color w:val="231F20"/>
          <w:spacing w:val="-3"/>
          <w:w w:val="105"/>
        </w:rPr>
        <w:t>caratterizzata</w:t>
      </w:r>
      <w:r>
        <w:rPr>
          <w:color w:val="231F20"/>
          <w:spacing w:val="-56"/>
          <w:w w:val="105"/>
        </w:rPr>
        <w:t> </w:t>
      </w:r>
      <w:r>
        <w:rPr>
          <w:color w:val="231F20"/>
          <w:w w:val="105"/>
        </w:rPr>
        <w:t>da</w:t>
      </w:r>
      <w:r>
        <w:rPr>
          <w:color w:val="231F20"/>
          <w:spacing w:val="-56"/>
          <w:w w:val="105"/>
        </w:rPr>
        <w:t> </w:t>
      </w:r>
      <w:r>
        <w:rPr>
          <w:color w:val="231F20"/>
          <w:w w:val="105"/>
        </w:rPr>
        <w:t>una</w:t>
      </w:r>
      <w:r>
        <w:rPr>
          <w:color w:val="231F20"/>
          <w:spacing w:val="-56"/>
          <w:w w:val="105"/>
        </w:rPr>
        <w:t> </w:t>
      </w:r>
      <w:r>
        <w:rPr>
          <w:color w:val="231F20"/>
          <w:spacing w:val="-3"/>
          <w:w w:val="105"/>
        </w:rPr>
        <w:t>diretta</w:t>
      </w:r>
      <w:r>
        <w:rPr>
          <w:color w:val="231F20"/>
          <w:spacing w:val="-56"/>
          <w:w w:val="105"/>
        </w:rPr>
        <w:t> </w:t>
      </w:r>
      <w:r>
        <w:rPr>
          <w:color w:val="231F20"/>
          <w:spacing w:val="-3"/>
          <w:w w:val="105"/>
        </w:rPr>
        <w:t>assunzione</w:t>
      </w:r>
      <w:r>
        <w:rPr>
          <w:color w:val="231F20"/>
          <w:spacing w:val="-56"/>
          <w:w w:val="105"/>
        </w:rPr>
        <w:t> </w:t>
      </w:r>
      <w:r>
        <w:rPr>
          <w:color w:val="231F20"/>
          <w:w w:val="105"/>
        </w:rPr>
        <w:t>di</w:t>
      </w:r>
      <w:r>
        <w:rPr>
          <w:color w:val="231F20"/>
          <w:spacing w:val="-56"/>
          <w:w w:val="105"/>
        </w:rPr>
        <w:t> </w:t>
      </w:r>
      <w:r>
        <w:rPr>
          <w:color w:val="231F20"/>
          <w:spacing w:val="-3"/>
          <w:w w:val="105"/>
        </w:rPr>
        <w:t>responsabilità</w:t>
      </w:r>
      <w:r>
        <w:rPr>
          <w:color w:val="231F20"/>
          <w:spacing w:val="-56"/>
          <w:w w:val="105"/>
        </w:rPr>
        <w:t> </w:t>
      </w:r>
      <w:r>
        <w:rPr>
          <w:color w:val="231F20"/>
          <w:spacing w:val="-3"/>
          <w:w w:val="105"/>
        </w:rPr>
        <w:t>nella salvaguardia</w:t>
      </w:r>
      <w:r>
        <w:rPr>
          <w:color w:val="231F20"/>
          <w:spacing w:val="-44"/>
          <w:w w:val="105"/>
        </w:rPr>
        <w:t> </w:t>
      </w:r>
      <w:r>
        <w:rPr>
          <w:color w:val="231F20"/>
          <w:w w:val="105"/>
        </w:rPr>
        <w:t>dei</w:t>
      </w:r>
      <w:r>
        <w:rPr>
          <w:color w:val="231F20"/>
          <w:spacing w:val="-44"/>
          <w:w w:val="105"/>
        </w:rPr>
        <w:t> </w:t>
      </w:r>
      <w:r>
        <w:rPr>
          <w:color w:val="231F20"/>
          <w:w w:val="105"/>
        </w:rPr>
        <w:t>più</w:t>
      </w:r>
      <w:r>
        <w:rPr>
          <w:color w:val="231F20"/>
          <w:spacing w:val="-44"/>
          <w:w w:val="105"/>
        </w:rPr>
        <w:t> </w:t>
      </w:r>
      <w:r>
        <w:rPr>
          <w:color w:val="231F20"/>
          <w:w w:val="105"/>
        </w:rPr>
        <w:t>elementari</w:t>
      </w:r>
      <w:r>
        <w:rPr>
          <w:color w:val="231F20"/>
          <w:spacing w:val="-44"/>
          <w:w w:val="105"/>
        </w:rPr>
        <w:t> </w:t>
      </w:r>
      <w:r>
        <w:rPr>
          <w:color w:val="231F20"/>
          <w:w w:val="105"/>
        </w:rPr>
        <w:t>diritti</w:t>
      </w:r>
      <w:r>
        <w:rPr>
          <w:color w:val="231F20"/>
          <w:spacing w:val="-44"/>
          <w:w w:val="105"/>
        </w:rPr>
        <w:t> </w:t>
      </w:r>
      <w:r>
        <w:rPr>
          <w:color w:val="231F20"/>
          <w:w w:val="105"/>
        </w:rPr>
        <w:t>umani</w:t>
      </w:r>
      <w:r>
        <w:rPr>
          <w:color w:val="231F20"/>
          <w:spacing w:val="-44"/>
          <w:w w:val="105"/>
        </w:rPr>
        <w:t> </w:t>
      </w:r>
      <w:r>
        <w:rPr>
          <w:color w:val="231F20"/>
          <w:w w:val="105"/>
        </w:rPr>
        <w:t>e</w:t>
      </w:r>
      <w:r>
        <w:rPr>
          <w:color w:val="231F20"/>
          <w:spacing w:val="-44"/>
          <w:w w:val="105"/>
        </w:rPr>
        <w:t> </w:t>
      </w:r>
      <w:r>
        <w:rPr>
          <w:color w:val="231F20"/>
          <w:w w:val="105"/>
        </w:rPr>
        <w:t>in</w:t>
      </w:r>
      <w:r>
        <w:rPr>
          <w:color w:val="231F20"/>
          <w:spacing w:val="-44"/>
          <w:w w:val="105"/>
        </w:rPr>
        <w:t> </w:t>
      </w:r>
      <w:r>
        <w:rPr>
          <w:color w:val="231F20"/>
          <w:w w:val="105"/>
        </w:rPr>
        <w:t>grado</w:t>
      </w:r>
      <w:r>
        <w:rPr>
          <w:color w:val="231F20"/>
          <w:spacing w:val="-44"/>
          <w:w w:val="105"/>
        </w:rPr>
        <w:t> </w:t>
      </w:r>
      <w:r>
        <w:rPr>
          <w:color w:val="231F20"/>
          <w:spacing w:val="-3"/>
          <w:w w:val="105"/>
        </w:rPr>
        <w:t>perciò</w:t>
      </w:r>
      <w:r>
        <w:rPr>
          <w:color w:val="231F20"/>
          <w:spacing w:val="-44"/>
          <w:w w:val="105"/>
        </w:rPr>
        <w:t> </w:t>
      </w:r>
      <w:r>
        <w:rPr>
          <w:color w:val="231F20"/>
          <w:w w:val="105"/>
        </w:rPr>
        <w:t>di</w:t>
      </w:r>
      <w:r>
        <w:rPr>
          <w:color w:val="231F20"/>
          <w:spacing w:val="-44"/>
          <w:w w:val="105"/>
        </w:rPr>
        <w:t> </w:t>
      </w:r>
      <w:r>
        <w:rPr>
          <w:color w:val="231F20"/>
          <w:spacing w:val="-3"/>
          <w:w w:val="105"/>
        </w:rPr>
        <w:t>promuovere </w:t>
      </w:r>
      <w:r>
        <w:rPr>
          <w:color w:val="231F20"/>
          <w:w w:val="105"/>
        </w:rPr>
        <w:t>una</w:t>
      </w:r>
      <w:r>
        <w:rPr>
          <w:color w:val="231F20"/>
          <w:spacing w:val="-52"/>
          <w:w w:val="105"/>
        </w:rPr>
        <w:t> </w:t>
      </w:r>
      <w:r>
        <w:rPr>
          <w:color w:val="231F20"/>
          <w:w w:val="105"/>
        </w:rPr>
        <w:t>definitiva</w:t>
      </w:r>
      <w:r>
        <w:rPr>
          <w:color w:val="231F20"/>
          <w:spacing w:val="-52"/>
          <w:w w:val="105"/>
        </w:rPr>
        <w:t> </w:t>
      </w:r>
      <w:r>
        <w:rPr>
          <w:color w:val="231F20"/>
          <w:w w:val="105"/>
        </w:rPr>
        <w:t>democratizzazione</w:t>
      </w:r>
      <w:r>
        <w:rPr>
          <w:color w:val="231F20"/>
          <w:spacing w:val="-52"/>
          <w:w w:val="105"/>
        </w:rPr>
        <w:t> </w:t>
      </w:r>
      <w:r>
        <w:rPr>
          <w:color w:val="231F20"/>
          <w:w w:val="105"/>
        </w:rPr>
        <w:t>della</w:t>
      </w:r>
      <w:r>
        <w:rPr>
          <w:color w:val="231F20"/>
          <w:spacing w:val="-52"/>
          <w:w w:val="105"/>
        </w:rPr>
        <w:t> </w:t>
      </w:r>
      <w:r>
        <w:rPr>
          <w:color w:val="231F20"/>
          <w:w w:val="105"/>
        </w:rPr>
        <w:t>vita</w:t>
      </w:r>
      <w:r>
        <w:rPr>
          <w:color w:val="231F20"/>
          <w:spacing w:val="-52"/>
          <w:w w:val="105"/>
        </w:rPr>
        <w:t> </w:t>
      </w:r>
      <w:r>
        <w:rPr>
          <w:color w:val="231F20"/>
          <w:w w:val="105"/>
        </w:rPr>
        <w:t>internazionale</w:t>
      </w:r>
      <w:r>
        <w:rPr>
          <w:color w:val="231F20"/>
          <w:w w:val="105"/>
          <w:position w:val="7"/>
          <w:sz w:val="12"/>
        </w:rPr>
        <w:t>22</w:t>
      </w:r>
      <w:r>
        <w:rPr>
          <w:color w:val="231F20"/>
          <w:w w:val="105"/>
        </w:rPr>
        <w:t>.</w:t>
      </w:r>
      <w:r>
        <w:rPr>
          <w:color w:val="231F20"/>
          <w:spacing w:val="-52"/>
          <w:w w:val="105"/>
        </w:rPr>
        <w:t> </w:t>
      </w:r>
      <w:r>
        <w:rPr>
          <w:color w:val="231F20"/>
          <w:w w:val="105"/>
        </w:rPr>
        <w:t>Come</w:t>
      </w:r>
      <w:r>
        <w:rPr>
          <w:color w:val="231F20"/>
          <w:spacing w:val="-52"/>
          <w:w w:val="105"/>
        </w:rPr>
        <w:t> </w:t>
      </w:r>
      <w:r>
        <w:rPr>
          <w:color w:val="231F20"/>
          <w:w w:val="105"/>
        </w:rPr>
        <w:t>ha</w:t>
      </w:r>
      <w:r>
        <w:rPr>
          <w:color w:val="231F20"/>
          <w:spacing w:val="-52"/>
          <w:w w:val="105"/>
        </w:rPr>
        <w:t> </w:t>
      </w:r>
      <w:r>
        <w:rPr>
          <w:color w:val="231F20"/>
          <w:w w:val="105"/>
        </w:rPr>
        <w:t>scritto Seyla</w:t>
      </w:r>
      <w:r>
        <w:rPr>
          <w:color w:val="231F20"/>
          <w:spacing w:val="-13"/>
          <w:w w:val="105"/>
        </w:rPr>
        <w:t> </w:t>
      </w:r>
      <w:r>
        <w:rPr>
          <w:color w:val="231F20"/>
          <w:w w:val="105"/>
        </w:rPr>
        <w:t>Benhabib,</w:t>
      </w:r>
      <w:r>
        <w:rPr>
          <w:color w:val="231F20"/>
          <w:spacing w:val="-13"/>
          <w:w w:val="105"/>
        </w:rPr>
        <w:t> </w:t>
      </w:r>
      <w:r>
        <w:rPr>
          <w:color w:val="231F20"/>
          <w:w w:val="105"/>
        </w:rPr>
        <w:t>“indipendentemente</w:t>
      </w:r>
      <w:r>
        <w:rPr>
          <w:color w:val="231F20"/>
          <w:spacing w:val="-13"/>
          <w:w w:val="105"/>
        </w:rPr>
        <w:t> </w:t>
      </w:r>
      <w:r>
        <w:rPr>
          <w:color w:val="231F20"/>
          <w:w w:val="105"/>
        </w:rPr>
        <w:t>da</w:t>
      </w:r>
      <w:r>
        <w:rPr>
          <w:color w:val="231F20"/>
          <w:spacing w:val="-13"/>
          <w:w w:val="105"/>
        </w:rPr>
        <w:t> </w:t>
      </w:r>
      <w:r>
        <w:rPr>
          <w:color w:val="231F20"/>
          <w:w w:val="105"/>
        </w:rPr>
        <w:t>quanto</w:t>
      </w:r>
      <w:r>
        <w:rPr>
          <w:color w:val="231F20"/>
          <w:spacing w:val="-13"/>
          <w:w w:val="105"/>
        </w:rPr>
        <w:t> </w:t>
      </w:r>
      <w:r>
        <w:rPr>
          <w:color w:val="231F20"/>
          <w:w w:val="105"/>
        </w:rPr>
        <w:t>la</w:t>
      </w:r>
      <w:r>
        <w:rPr>
          <w:color w:val="231F20"/>
          <w:spacing w:val="-13"/>
          <w:w w:val="105"/>
        </w:rPr>
        <w:t> </w:t>
      </w:r>
      <w:r>
        <w:rPr>
          <w:color w:val="231F20"/>
          <w:w w:val="105"/>
        </w:rPr>
        <w:t>loro</w:t>
      </w:r>
      <w:r>
        <w:rPr>
          <w:color w:val="231F20"/>
          <w:spacing w:val="-13"/>
          <w:w w:val="105"/>
        </w:rPr>
        <w:t> </w:t>
      </w:r>
      <w:r>
        <w:rPr>
          <w:color w:val="231F20"/>
          <w:w w:val="105"/>
        </w:rPr>
        <w:t>interpretazione</w:t>
      </w:r>
      <w:r>
        <w:rPr>
          <w:color w:val="231F20"/>
          <w:spacing w:val="-13"/>
          <w:w w:val="105"/>
        </w:rPr>
        <w:t> </w:t>
      </w:r>
      <w:r>
        <w:rPr>
          <w:color w:val="231F20"/>
          <w:w w:val="105"/>
        </w:rPr>
        <w:t>e al</w:t>
      </w:r>
      <w:r>
        <w:rPr>
          <w:color w:val="231F20"/>
          <w:spacing w:val="-28"/>
          <w:w w:val="105"/>
        </w:rPr>
        <w:t> </w:t>
      </w:r>
      <w:r>
        <w:rPr>
          <w:color w:val="231F20"/>
          <w:w w:val="105"/>
        </w:rPr>
        <w:t>loro</w:t>
      </w:r>
      <w:r>
        <w:rPr>
          <w:color w:val="231F20"/>
          <w:spacing w:val="-28"/>
          <w:w w:val="105"/>
        </w:rPr>
        <w:t> </w:t>
      </w:r>
      <w:r>
        <w:rPr>
          <w:color w:val="231F20"/>
          <w:w w:val="105"/>
        </w:rPr>
        <w:t>applicazione</w:t>
      </w:r>
      <w:r>
        <w:rPr>
          <w:color w:val="231F20"/>
          <w:spacing w:val="-28"/>
          <w:w w:val="105"/>
        </w:rPr>
        <w:t> </w:t>
      </w:r>
      <w:r>
        <w:rPr>
          <w:color w:val="231F20"/>
          <w:w w:val="105"/>
        </w:rPr>
        <w:t>possano</w:t>
      </w:r>
      <w:r>
        <w:rPr>
          <w:color w:val="231F20"/>
          <w:spacing w:val="-28"/>
          <w:w w:val="105"/>
        </w:rPr>
        <w:t> </w:t>
      </w:r>
      <w:r>
        <w:rPr>
          <w:color w:val="231F20"/>
          <w:w w:val="105"/>
        </w:rPr>
        <w:t>essere</w:t>
      </w:r>
      <w:r>
        <w:rPr>
          <w:color w:val="231F20"/>
          <w:spacing w:val="-28"/>
          <w:w w:val="105"/>
        </w:rPr>
        <w:t> </w:t>
      </w:r>
      <w:r>
        <w:rPr>
          <w:color w:val="231F20"/>
          <w:w w:val="105"/>
        </w:rPr>
        <w:t>controverse”,</w:t>
      </w:r>
      <w:r>
        <w:rPr>
          <w:color w:val="231F20"/>
          <w:spacing w:val="-28"/>
          <w:w w:val="105"/>
        </w:rPr>
        <w:t> </w:t>
      </w:r>
      <w:r>
        <w:rPr>
          <w:color w:val="231F20"/>
          <w:w w:val="105"/>
        </w:rPr>
        <w:t>interventi</w:t>
      </w:r>
      <w:r>
        <w:rPr>
          <w:color w:val="231F20"/>
          <w:spacing w:val="-28"/>
          <w:w w:val="105"/>
        </w:rPr>
        <w:t> </w:t>
      </w:r>
      <w:r>
        <w:rPr>
          <w:color w:val="231F20"/>
          <w:w w:val="105"/>
        </w:rPr>
        <w:t>di</w:t>
      </w:r>
      <w:r>
        <w:rPr>
          <w:color w:val="231F20"/>
          <w:spacing w:val="-28"/>
          <w:w w:val="105"/>
        </w:rPr>
        <w:t> </w:t>
      </w:r>
      <w:r>
        <w:rPr>
          <w:color w:val="231F20"/>
          <w:w w:val="105"/>
        </w:rPr>
        <w:t>questo</w:t>
      </w:r>
      <w:r>
        <w:rPr>
          <w:color w:val="231F20"/>
          <w:spacing w:val="-28"/>
          <w:w w:val="105"/>
        </w:rPr>
        <w:t> </w:t>
      </w:r>
      <w:r>
        <w:rPr>
          <w:color w:val="231F20"/>
          <w:w w:val="105"/>
        </w:rPr>
        <w:t>tipo si</w:t>
      </w:r>
      <w:r>
        <w:rPr>
          <w:color w:val="231F20"/>
          <w:spacing w:val="-19"/>
          <w:w w:val="105"/>
        </w:rPr>
        <w:t> </w:t>
      </w:r>
      <w:r>
        <w:rPr>
          <w:color w:val="231F20"/>
          <w:w w:val="105"/>
        </w:rPr>
        <w:t>basano,</w:t>
      </w:r>
      <w:r>
        <w:rPr>
          <w:color w:val="231F20"/>
          <w:spacing w:val="-19"/>
          <w:w w:val="105"/>
        </w:rPr>
        <w:t> </w:t>
      </w:r>
      <w:r>
        <w:rPr>
          <w:color w:val="231F20"/>
          <w:w w:val="105"/>
        </w:rPr>
        <w:t>infatti,</w:t>
      </w:r>
      <w:r>
        <w:rPr>
          <w:color w:val="231F20"/>
          <w:spacing w:val="-19"/>
          <w:w w:val="105"/>
        </w:rPr>
        <w:t> </w:t>
      </w:r>
      <w:r>
        <w:rPr>
          <w:color w:val="231F20"/>
          <w:w w:val="105"/>
        </w:rPr>
        <w:t>su</w:t>
      </w:r>
      <w:r>
        <w:rPr>
          <w:color w:val="231F20"/>
          <w:spacing w:val="-19"/>
          <w:w w:val="105"/>
        </w:rPr>
        <w:t> </w:t>
      </w:r>
      <w:r>
        <w:rPr>
          <w:color w:val="231F20"/>
          <w:w w:val="105"/>
        </w:rPr>
        <w:t>un</w:t>
      </w:r>
      <w:r>
        <w:rPr>
          <w:color w:val="231F20"/>
          <w:spacing w:val="-19"/>
          <w:w w:val="105"/>
        </w:rPr>
        <w:t> </w:t>
      </w:r>
      <w:r>
        <w:rPr>
          <w:color w:val="231F20"/>
          <w:w w:val="105"/>
        </w:rPr>
        <w:t>“consenso</w:t>
      </w:r>
      <w:r>
        <w:rPr>
          <w:color w:val="231F20"/>
          <w:spacing w:val="-19"/>
          <w:w w:val="105"/>
        </w:rPr>
        <w:t> </w:t>
      </w:r>
      <w:r>
        <w:rPr>
          <w:color w:val="231F20"/>
          <w:w w:val="105"/>
        </w:rPr>
        <w:t>crescente</w:t>
      </w:r>
      <w:r>
        <w:rPr>
          <w:color w:val="231F20"/>
          <w:spacing w:val="-19"/>
          <w:w w:val="105"/>
        </w:rPr>
        <w:t> </w:t>
      </w:r>
      <w:r>
        <w:rPr>
          <w:color w:val="231F20"/>
          <w:w w:val="105"/>
        </w:rPr>
        <w:t>circa</w:t>
      </w:r>
      <w:r>
        <w:rPr>
          <w:color w:val="231F20"/>
          <w:spacing w:val="-19"/>
          <w:w w:val="105"/>
        </w:rPr>
        <w:t> </w:t>
      </w:r>
      <w:r>
        <w:rPr>
          <w:color w:val="231F20"/>
          <w:w w:val="105"/>
        </w:rPr>
        <w:t>il</w:t>
      </w:r>
      <w:r>
        <w:rPr>
          <w:color w:val="231F20"/>
          <w:spacing w:val="-19"/>
          <w:w w:val="105"/>
        </w:rPr>
        <w:t> </w:t>
      </w:r>
      <w:r>
        <w:rPr>
          <w:color w:val="231F20"/>
          <w:w w:val="105"/>
        </w:rPr>
        <w:t>fatto</w:t>
      </w:r>
      <w:r>
        <w:rPr>
          <w:color w:val="231F20"/>
          <w:spacing w:val="-19"/>
          <w:w w:val="105"/>
        </w:rPr>
        <w:t> </w:t>
      </w:r>
      <w:r>
        <w:rPr>
          <w:color w:val="231F20"/>
          <w:w w:val="105"/>
        </w:rPr>
        <w:t>che</w:t>
      </w:r>
      <w:r>
        <w:rPr>
          <w:color w:val="231F20"/>
          <w:spacing w:val="-19"/>
          <w:w w:val="105"/>
        </w:rPr>
        <w:t> </w:t>
      </w:r>
      <w:r>
        <w:rPr>
          <w:color w:val="231F20"/>
          <w:w w:val="105"/>
        </w:rPr>
        <w:t>la</w:t>
      </w:r>
      <w:r>
        <w:rPr>
          <w:color w:val="231F20"/>
          <w:spacing w:val="-19"/>
          <w:w w:val="105"/>
        </w:rPr>
        <w:t> </w:t>
      </w:r>
      <w:r>
        <w:rPr>
          <w:color w:val="231F20"/>
          <w:w w:val="105"/>
        </w:rPr>
        <w:t>sovranità dello</w:t>
      </w:r>
      <w:r>
        <w:rPr>
          <w:color w:val="231F20"/>
          <w:spacing w:val="-17"/>
          <w:w w:val="105"/>
        </w:rPr>
        <w:t> </w:t>
      </w:r>
      <w:r>
        <w:rPr>
          <w:color w:val="231F20"/>
          <w:w w:val="105"/>
        </w:rPr>
        <w:t>Stato</w:t>
      </w:r>
      <w:r>
        <w:rPr>
          <w:color w:val="231F20"/>
          <w:spacing w:val="-17"/>
          <w:w w:val="105"/>
        </w:rPr>
        <w:t> </w:t>
      </w:r>
      <w:r>
        <w:rPr>
          <w:color w:val="231F20"/>
          <w:w w:val="105"/>
        </w:rPr>
        <w:t>nel</w:t>
      </w:r>
      <w:r>
        <w:rPr>
          <w:color w:val="231F20"/>
          <w:spacing w:val="-17"/>
          <w:w w:val="105"/>
        </w:rPr>
        <w:t> </w:t>
      </w:r>
      <w:r>
        <w:rPr>
          <w:color w:val="231F20"/>
          <w:w w:val="105"/>
        </w:rPr>
        <w:t>disporre</w:t>
      </w:r>
      <w:r>
        <w:rPr>
          <w:color w:val="231F20"/>
          <w:spacing w:val="-17"/>
          <w:w w:val="105"/>
        </w:rPr>
        <w:t> </w:t>
      </w:r>
      <w:r>
        <w:rPr>
          <w:color w:val="231F20"/>
          <w:w w:val="105"/>
        </w:rPr>
        <w:t>della</w:t>
      </w:r>
      <w:r>
        <w:rPr>
          <w:color w:val="231F20"/>
          <w:spacing w:val="-17"/>
          <w:w w:val="105"/>
        </w:rPr>
        <w:t> </w:t>
      </w:r>
      <w:r>
        <w:rPr>
          <w:color w:val="231F20"/>
          <w:w w:val="105"/>
        </w:rPr>
        <w:t>vita,</w:t>
      </w:r>
      <w:r>
        <w:rPr>
          <w:color w:val="231F20"/>
          <w:spacing w:val="-17"/>
          <w:w w:val="105"/>
        </w:rPr>
        <w:t> </w:t>
      </w:r>
      <w:r>
        <w:rPr>
          <w:color w:val="231F20"/>
          <w:w w:val="105"/>
        </w:rPr>
        <w:t>della</w:t>
      </w:r>
      <w:r>
        <w:rPr>
          <w:color w:val="231F20"/>
          <w:spacing w:val="-17"/>
          <w:w w:val="105"/>
        </w:rPr>
        <w:t> </w:t>
      </w:r>
      <w:r>
        <w:rPr>
          <w:color w:val="231F20"/>
          <w:w w:val="105"/>
        </w:rPr>
        <w:t>libertà</w:t>
      </w:r>
      <w:r>
        <w:rPr>
          <w:color w:val="231F20"/>
          <w:spacing w:val="-17"/>
          <w:w w:val="105"/>
        </w:rPr>
        <w:t> </w:t>
      </w:r>
      <w:r>
        <w:rPr>
          <w:color w:val="231F20"/>
          <w:w w:val="105"/>
        </w:rPr>
        <w:t>o</w:t>
      </w:r>
      <w:r>
        <w:rPr>
          <w:color w:val="231F20"/>
          <w:spacing w:val="-17"/>
          <w:w w:val="105"/>
        </w:rPr>
        <w:t> </w:t>
      </w:r>
      <w:r>
        <w:rPr>
          <w:color w:val="231F20"/>
          <w:w w:val="105"/>
        </w:rPr>
        <w:t>della</w:t>
      </w:r>
      <w:r>
        <w:rPr>
          <w:color w:val="231F20"/>
          <w:spacing w:val="-17"/>
          <w:w w:val="105"/>
        </w:rPr>
        <w:t> </w:t>
      </w:r>
      <w:r>
        <w:rPr>
          <w:color w:val="231F20"/>
          <w:w w:val="105"/>
        </w:rPr>
        <w:t>proprietà</w:t>
      </w:r>
      <w:r>
        <w:rPr>
          <w:color w:val="231F20"/>
          <w:spacing w:val="-17"/>
          <w:w w:val="105"/>
        </w:rPr>
        <w:t> </w:t>
      </w:r>
      <w:r>
        <w:rPr>
          <w:color w:val="231F20"/>
          <w:w w:val="105"/>
        </w:rPr>
        <w:t>dei</w:t>
      </w:r>
      <w:r>
        <w:rPr>
          <w:color w:val="231F20"/>
          <w:spacing w:val="-17"/>
          <w:w w:val="105"/>
        </w:rPr>
        <w:t> </w:t>
      </w:r>
      <w:r>
        <w:rPr>
          <w:color w:val="231F20"/>
          <w:w w:val="105"/>
        </w:rPr>
        <w:t>propri cittadini</w:t>
      </w:r>
      <w:r>
        <w:rPr>
          <w:color w:val="231F20"/>
          <w:spacing w:val="-19"/>
          <w:w w:val="105"/>
        </w:rPr>
        <w:t> </w:t>
      </w:r>
      <w:r>
        <w:rPr>
          <w:color w:val="231F20"/>
          <w:w w:val="105"/>
        </w:rPr>
        <w:t>o</w:t>
      </w:r>
      <w:r>
        <w:rPr>
          <w:color w:val="231F20"/>
          <w:spacing w:val="-19"/>
          <w:w w:val="105"/>
        </w:rPr>
        <w:t> </w:t>
      </w:r>
      <w:r>
        <w:rPr>
          <w:color w:val="231F20"/>
          <w:w w:val="105"/>
        </w:rPr>
        <w:t>residenti</w:t>
      </w:r>
      <w:r>
        <w:rPr>
          <w:color w:val="231F20"/>
          <w:spacing w:val="-19"/>
          <w:w w:val="105"/>
        </w:rPr>
        <w:t> </w:t>
      </w:r>
      <w:r>
        <w:rPr>
          <w:color w:val="231F20"/>
          <w:w w:val="105"/>
        </w:rPr>
        <w:t>non</w:t>
      </w:r>
      <w:r>
        <w:rPr>
          <w:color w:val="231F20"/>
          <w:spacing w:val="-19"/>
          <w:w w:val="105"/>
        </w:rPr>
        <w:t> </w:t>
      </w:r>
      <w:r>
        <w:rPr>
          <w:color w:val="231F20"/>
          <w:w w:val="105"/>
        </w:rPr>
        <w:t>è</w:t>
      </w:r>
      <w:r>
        <w:rPr>
          <w:color w:val="231F20"/>
          <w:spacing w:val="-19"/>
          <w:w w:val="105"/>
        </w:rPr>
        <w:t> </w:t>
      </w:r>
      <w:r>
        <w:rPr>
          <w:color w:val="231F20"/>
          <w:w w:val="105"/>
        </w:rPr>
        <w:t>incondizionata</w:t>
      </w:r>
      <w:r>
        <w:rPr>
          <w:color w:val="231F20"/>
          <w:spacing w:val="-19"/>
          <w:w w:val="105"/>
        </w:rPr>
        <w:t> </w:t>
      </w:r>
      <w:r>
        <w:rPr>
          <w:color w:val="231F20"/>
          <w:w w:val="105"/>
        </w:rPr>
        <w:t>né</w:t>
      </w:r>
      <w:r>
        <w:rPr>
          <w:color w:val="231F20"/>
          <w:spacing w:val="-19"/>
          <w:w w:val="105"/>
        </w:rPr>
        <w:t> </w:t>
      </w:r>
      <w:r>
        <w:rPr>
          <w:color w:val="231F20"/>
          <w:w w:val="105"/>
        </w:rPr>
        <w:t>illimitata”</w:t>
      </w:r>
      <w:r>
        <w:rPr>
          <w:color w:val="231F20"/>
          <w:w w:val="105"/>
          <w:position w:val="7"/>
          <w:sz w:val="12"/>
        </w:rPr>
        <w:t>23</w:t>
      </w:r>
      <w:r>
        <w:rPr>
          <w:color w:val="231F20"/>
          <w:w w:val="105"/>
        </w:rPr>
        <w:t>.</w:t>
      </w:r>
      <w:r>
        <w:rPr>
          <w:color w:val="231F20"/>
          <w:spacing w:val="-19"/>
          <w:w w:val="105"/>
        </w:rPr>
        <w:t> </w:t>
      </w:r>
      <w:r>
        <w:rPr>
          <w:color w:val="231F20"/>
          <w:w w:val="105"/>
        </w:rPr>
        <w:t>Da</w:t>
      </w:r>
      <w:r>
        <w:rPr>
          <w:color w:val="231F20"/>
          <w:spacing w:val="-19"/>
          <w:w w:val="105"/>
        </w:rPr>
        <w:t> </w:t>
      </w:r>
      <w:r>
        <w:rPr>
          <w:color w:val="231F20"/>
          <w:w w:val="105"/>
        </w:rPr>
        <w:t>questo</w:t>
      </w:r>
      <w:r>
        <w:rPr>
          <w:color w:val="231F20"/>
          <w:spacing w:val="-19"/>
          <w:w w:val="105"/>
        </w:rPr>
        <w:t> </w:t>
      </w:r>
      <w:r>
        <w:rPr>
          <w:color w:val="231F20"/>
          <w:w w:val="105"/>
        </w:rPr>
        <w:t>punto di vista, l’ambito teorico–pratico dell’intervento umanitario rappresenta una</w:t>
      </w:r>
      <w:r>
        <w:rPr>
          <w:color w:val="231F20"/>
          <w:spacing w:val="-12"/>
          <w:w w:val="105"/>
        </w:rPr>
        <w:t> </w:t>
      </w:r>
      <w:r>
        <w:rPr>
          <w:color w:val="231F20"/>
          <w:w w:val="105"/>
        </w:rPr>
        <w:t>delle</w:t>
      </w:r>
      <w:r>
        <w:rPr>
          <w:color w:val="231F20"/>
          <w:spacing w:val="-12"/>
          <w:w w:val="105"/>
        </w:rPr>
        <w:t> </w:t>
      </w:r>
      <w:r>
        <w:rPr>
          <w:color w:val="231F20"/>
          <w:w w:val="105"/>
        </w:rPr>
        <w:t>aree</w:t>
      </w:r>
      <w:r>
        <w:rPr>
          <w:color w:val="231F20"/>
          <w:spacing w:val="-12"/>
          <w:w w:val="105"/>
        </w:rPr>
        <w:t> </w:t>
      </w:r>
      <w:r>
        <w:rPr>
          <w:color w:val="231F20"/>
          <w:w w:val="105"/>
        </w:rPr>
        <w:t>in</w:t>
      </w:r>
      <w:r>
        <w:rPr>
          <w:color w:val="231F20"/>
          <w:spacing w:val="-12"/>
          <w:w w:val="105"/>
        </w:rPr>
        <w:t> </w:t>
      </w:r>
      <w:r>
        <w:rPr>
          <w:color w:val="231F20"/>
          <w:w w:val="105"/>
        </w:rPr>
        <w:t>cui</w:t>
      </w:r>
      <w:r>
        <w:rPr>
          <w:color w:val="231F20"/>
          <w:spacing w:val="-12"/>
          <w:w w:val="105"/>
        </w:rPr>
        <w:t> </w:t>
      </w:r>
      <w:r>
        <w:rPr>
          <w:color w:val="231F20"/>
          <w:w w:val="105"/>
        </w:rPr>
        <w:t>più</w:t>
      </w:r>
      <w:r>
        <w:rPr>
          <w:color w:val="231F20"/>
          <w:spacing w:val="-12"/>
          <w:w w:val="105"/>
        </w:rPr>
        <w:t> </w:t>
      </w:r>
      <w:r>
        <w:rPr>
          <w:color w:val="231F20"/>
          <w:w w:val="105"/>
        </w:rPr>
        <w:t>evidente</w:t>
      </w:r>
      <w:r>
        <w:rPr>
          <w:color w:val="231F20"/>
          <w:spacing w:val="-12"/>
          <w:w w:val="105"/>
        </w:rPr>
        <w:t> </w:t>
      </w:r>
      <w:r>
        <w:rPr>
          <w:color w:val="231F20"/>
          <w:w w:val="105"/>
        </w:rPr>
        <w:t>appare</w:t>
      </w:r>
      <w:r>
        <w:rPr>
          <w:color w:val="231F20"/>
          <w:spacing w:val="-12"/>
          <w:w w:val="105"/>
        </w:rPr>
        <w:t> </w:t>
      </w:r>
      <w:r>
        <w:rPr>
          <w:color w:val="231F20"/>
          <w:w w:val="105"/>
        </w:rPr>
        <w:t>l’emergere</w:t>
      </w:r>
      <w:r>
        <w:rPr>
          <w:color w:val="231F20"/>
          <w:spacing w:val="-12"/>
          <w:w w:val="105"/>
        </w:rPr>
        <w:t> </w:t>
      </w:r>
      <w:r>
        <w:rPr>
          <w:color w:val="231F20"/>
          <w:w w:val="105"/>
        </w:rPr>
        <w:t>di</w:t>
      </w:r>
      <w:r>
        <w:rPr>
          <w:color w:val="231F20"/>
          <w:spacing w:val="-12"/>
          <w:w w:val="105"/>
        </w:rPr>
        <w:t> </w:t>
      </w:r>
      <w:r>
        <w:rPr>
          <w:color w:val="231F20"/>
          <w:w w:val="105"/>
        </w:rPr>
        <w:t>un</w:t>
      </w:r>
      <w:r>
        <w:rPr>
          <w:color w:val="231F20"/>
          <w:spacing w:val="-12"/>
          <w:w w:val="105"/>
        </w:rPr>
        <w:t> </w:t>
      </w:r>
      <w:r>
        <w:rPr>
          <w:color w:val="231F20"/>
          <w:w w:val="105"/>
        </w:rPr>
        <w:t>vero</w:t>
      </w:r>
      <w:r>
        <w:rPr>
          <w:color w:val="231F20"/>
          <w:spacing w:val="-12"/>
          <w:w w:val="105"/>
        </w:rPr>
        <w:t> </w:t>
      </w:r>
      <w:r>
        <w:rPr>
          <w:color w:val="231F20"/>
          <w:w w:val="105"/>
        </w:rPr>
        <w:t>e</w:t>
      </w:r>
      <w:r>
        <w:rPr>
          <w:color w:val="231F20"/>
          <w:spacing w:val="-12"/>
          <w:w w:val="105"/>
        </w:rPr>
        <w:t> </w:t>
      </w:r>
      <w:r>
        <w:rPr>
          <w:color w:val="231F20"/>
          <w:w w:val="105"/>
        </w:rPr>
        <w:t>proprio “regime</w:t>
      </w:r>
      <w:r>
        <w:rPr>
          <w:color w:val="231F20"/>
          <w:spacing w:val="-23"/>
          <w:w w:val="105"/>
        </w:rPr>
        <w:t> </w:t>
      </w:r>
      <w:r>
        <w:rPr>
          <w:color w:val="231F20"/>
          <w:w w:val="105"/>
        </w:rPr>
        <w:t>internazionale</w:t>
      </w:r>
      <w:r>
        <w:rPr>
          <w:color w:val="231F20"/>
          <w:spacing w:val="-23"/>
          <w:w w:val="105"/>
        </w:rPr>
        <w:t> </w:t>
      </w:r>
      <w:r>
        <w:rPr>
          <w:color w:val="231F20"/>
          <w:w w:val="105"/>
        </w:rPr>
        <w:t>dei</w:t>
      </w:r>
      <w:r>
        <w:rPr>
          <w:color w:val="231F20"/>
          <w:spacing w:val="-23"/>
          <w:w w:val="105"/>
        </w:rPr>
        <w:t> </w:t>
      </w:r>
      <w:r>
        <w:rPr>
          <w:color w:val="231F20"/>
          <w:w w:val="105"/>
        </w:rPr>
        <w:t>diritti</w:t>
      </w:r>
      <w:r>
        <w:rPr>
          <w:color w:val="231F20"/>
          <w:spacing w:val="-23"/>
          <w:w w:val="105"/>
        </w:rPr>
        <w:t> </w:t>
      </w:r>
      <w:r>
        <w:rPr>
          <w:color w:val="231F20"/>
          <w:w w:val="105"/>
        </w:rPr>
        <w:t>umani”</w:t>
      </w:r>
      <w:r>
        <w:rPr>
          <w:color w:val="231F20"/>
          <w:w w:val="105"/>
          <w:position w:val="7"/>
          <w:sz w:val="12"/>
        </w:rPr>
        <w:t>24</w:t>
      </w:r>
      <w:r>
        <w:rPr>
          <w:color w:val="231F20"/>
          <w:w w:val="105"/>
        </w:rPr>
        <w:t>,</w:t>
      </w:r>
      <w:r>
        <w:rPr>
          <w:color w:val="231F20"/>
          <w:spacing w:val="-23"/>
          <w:w w:val="105"/>
        </w:rPr>
        <w:t> </w:t>
      </w:r>
      <w:r>
        <w:rPr>
          <w:color w:val="231F20"/>
          <w:w w:val="105"/>
        </w:rPr>
        <w:t>fondato</w:t>
      </w:r>
      <w:r>
        <w:rPr>
          <w:color w:val="231F20"/>
          <w:spacing w:val="-23"/>
          <w:w w:val="105"/>
        </w:rPr>
        <w:t> </w:t>
      </w:r>
      <w:r>
        <w:rPr>
          <w:color w:val="231F20"/>
          <w:w w:val="105"/>
        </w:rPr>
        <w:t>su</w:t>
      </w:r>
      <w:r>
        <w:rPr>
          <w:color w:val="231F20"/>
          <w:spacing w:val="-23"/>
          <w:w w:val="105"/>
        </w:rPr>
        <w:t> </w:t>
      </w:r>
      <w:r>
        <w:rPr>
          <w:color w:val="231F20"/>
          <w:w w:val="105"/>
        </w:rPr>
        <w:t>una</w:t>
      </w:r>
      <w:r>
        <w:rPr>
          <w:color w:val="231F20"/>
          <w:spacing w:val="-23"/>
          <w:w w:val="105"/>
        </w:rPr>
        <w:t> </w:t>
      </w:r>
      <w:r>
        <w:rPr>
          <w:color w:val="231F20"/>
          <w:w w:val="105"/>
        </w:rPr>
        <w:t>nuova</w:t>
      </w:r>
      <w:r>
        <w:rPr>
          <w:color w:val="231F20"/>
          <w:spacing w:val="-23"/>
          <w:w w:val="105"/>
        </w:rPr>
        <w:t> </w:t>
      </w:r>
      <w:r>
        <w:rPr>
          <w:color w:val="231F20"/>
          <w:w w:val="105"/>
        </w:rPr>
        <w:t>forma</w:t>
      </w:r>
      <w:r>
        <w:rPr>
          <w:color w:val="231F20"/>
          <w:spacing w:val="-23"/>
          <w:w w:val="105"/>
        </w:rPr>
        <w:t> </w:t>
      </w:r>
      <w:r>
        <w:rPr>
          <w:color w:val="231F20"/>
          <w:w w:val="105"/>
        </w:rPr>
        <w:t>di </w:t>
      </w:r>
      <w:r>
        <w:rPr>
          <w:rFonts w:ascii="Arial" w:hAnsi="Arial"/>
          <w:i/>
          <w:color w:val="231F20"/>
          <w:w w:val="105"/>
        </w:rPr>
        <w:t>responsabilità</w:t>
      </w:r>
      <w:r>
        <w:rPr>
          <w:rFonts w:ascii="Arial" w:hAnsi="Arial"/>
          <w:i/>
          <w:color w:val="231F20"/>
          <w:spacing w:val="-24"/>
          <w:w w:val="105"/>
        </w:rPr>
        <w:t> </w:t>
      </w:r>
      <w:r>
        <w:rPr>
          <w:rFonts w:ascii="Arial" w:hAnsi="Arial"/>
          <w:i/>
          <w:color w:val="231F20"/>
          <w:w w:val="105"/>
        </w:rPr>
        <w:t>cosmopolitica</w:t>
      </w:r>
      <w:r>
        <w:rPr>
          <w:color w:val="231F20"/>
          <w:w w:val="105"/>
        </w:rPr>
        <w:t>,</w:t>
      </w:r>
      <w:r>
        <w:rPr>
          <w:color w:val="231F20"/>
          <w:spacing w:val="-31"/>
          <w:w w:val="105"/>
        </w:rPr>
        <w:t> </w:t>
      </w:r>
      <w:r>
        <w:rPr>
          <w:color w:val="231F20"/>
          <w:w w:val="105"/>
        </w:rPr>
        <w:t>che</w:t>
      </w:r>
      <w:r>
        <w:rPr>
          <w:color w:val="231F20"/>
          <w:spacing w:val="-31"/>
          <w:w w:val="105"/>
        </w:rPr>
        <w:t> </w:t>
      </w:r>
      <w:r>
        <w:rPr>
          <w:color w:val="231F20"/>
          <w:w w:val="105"/>
        </w:rPr>
        <w:t>“cancella</w:t>
      </w:r>
      <w:r>
        <w:rPr>
          <w:color w:val="231F20"/>
          <w:spacing w:val="-31"/>
          <w:w w:val="105"/>
        </w:rPr>
        <w:t> </w:t>
      </w:r>
      <w:r>
        <w:rPr>
          <w:color w:val="231F20"/>
          <w:w w:val="105"/>
        </w:rPr>
        <w:t>i</w:t>
      </w:r>
      <w:r>
        <w:rPr>
          <w:color w:val="231F20"/>
          <w:spacing w:val="-31"/>
          <w:w w:val="105"/>
        </w:rPr>
        <w:t> </w:t>
      </w:r>
      <w:r>
        <w:rPr>
          <w:color w:val="231F20"/>
          <w:w w:val="105"/>
        </w:rPr>
        <w:t>confini</w:t>
      </w:r>
      <w:r>
        <w:rPr>
          <w:color w:val="231F20"/>
          <w:spacing w:val="-31"/>
          <w:w w:val="105"/>
        </w:rPr>
        <w:t> </w:t>
      </w:r>
      <w:r>
        <w:rPr>
          <w:color w:val="231F20"/>
          <w:w w:val="105"/>
        </w:rPr>
        <w:t>tra</w:t>
      </w:r>
      <w:r>
        <w:rPr>
          <w:color w:val="231F20"/>
          <w:spacing w:val="-31"/>
          <w:w w:val="105"/>
        </w:rPr>
        <w:t> </w:t>
      </w:r>
      <w:r>
        <w:rPr>
          <w:color w:val="231F20"/>
          <w:w w:val="105"/>
        </w:rPr>
        <w:t>interno</w:t>
      </w:r>
      <w:r>
        <w:rPr>
          <w:color w:val="231F20"/>
          <w:spacing w:val="-31"/>
          <w:w w:val="105"/>
        </w:rPr>
        <w:t> </w:t>
      </w:r>
      <w:r>
        <w:rPr>
          <w:color w:val="231F20"/>
          <w:w w:val="105"/>
        </w:rPr>
        <w:t>ed</w:t>
      </w:r>
      <w:r>
        <w:rPr>
          <w:color w:val="231F20"/>
          <w:spacing w:val="-31"/>
          <w:w w:val="105"/>
        </w:rPr>
        <w:t> </w:t>
      </w:r>
      <w:r>
        <w:rPr>
          <w:color w:val="231F20"/>
          <w:w w:val="105"/>
        </w:rPr>
        <w:t>esterno e</w:t>
      </w:r>
      <w:r>
        <w:rPr>
          <w:color w:val="231F20"/>
          <w:spacing w:val="-20"/>
          <w:w w:val="105"/>
        </w:rPr>
        <w:t> </w:t>
      </w:r>
      <w:r>
        <w:rPr>
          <w:color w:val="231F20"/>
          <w:w w:val="105"/>
        </w:rPr>
        <w:t>pone</w:t>
      </w:r>
      <w:r>
        <w:rPr>
          <w:color w:val="231F20"/>
          <w:spacing w:val="-20"/>
          <w:w w:val="105"/>
        </w:rPr>
        <w:t> </w:t>
      </w:r>
      <w:r>
        <w:rPr>
          <w:color w:val="231F20"/>
          <w:w w:val="105"/>
        </w:rPr>
        <w:t>interrogativi</w:t>
      </w:r>
      <w:r>
        <w:rPr>
          <w:color w:val="231F20"/>
          <w:spacing w:val="-20"/>
          <w:w w:val="105"/>
        </w:rPr>
        <w:t> </w:t>
      </w:r>
      <w:r>
        <w:rPr>
          <w:color w:val="231F20"/>
          <w:w w:val="105"/>
        </w:rPr>
        <w:t>sulla</w:t>
      </w:r>
      <w:r>
        <w:rPr>
          <w:color w:val="231F20"/>
          <w:spacing w:val="-20"/>
          <w:w w:val="105"/>
        </w:rPr>
        <w:t> </w:t>
      </w:r>
      <w:r>
        <w:rPr>
          <w:color w:val="231F20"/>
          <w:w w:val="105"/>
        </w:rPr>
        <w:t>legittimità</w:t>
      </w:r>
      <w:r>
        <w:rPr>
          <w:color w:val="231F20"/>
          <w:spacing w:val="-20"/>
          <w:w w:val="105"/>
        </w:rPr>
        <w:t> </w:t>
      </w:r>
      <w:r>
        <w:rPr>
          <w:color w:val="231F20"/>
          <w:w w:val="105"/>
        </w:rPr>
        <w:t>dell’agire</w:t>
      </w:r>
      <w:r>
        <w:rPr>
          <w:color w:val="231F20"/>
          <w:spacing w:val="-20"/>
          <w:w w:val="105"/>
        </w:rPr>
        <w:t> </w:t>
      </w:r>
      <w:r>
        <w:rPr>
          <w:color w:val="231F20"/>
          <w:w w:val="105"/>
        </w:rPr>
        <w:t>statuale</w:t>
      </w:r>
      <w:r>
        <w:rPr>
          <w:color w:val="231F20"/>
          <w:spacing w:val="-20"/>
          <w:w w:val="105"/>
        </w:rPr>
        <w:t> </w:t>
      </w:r>
      <w:r>
        <w:rPr>
          <w:color w:val="231F20"/>
          <w:w w:val="105"/>
        </w:rPr>
        <w:t>sia</w:t>
      </w:r>
      <w:r>
        <w:rPr>
          <w:color w:val="231F20"/>
          <w:spacing w:val="-20"/>
          <w:w w:val="105"/>
        </w:rPr>
        <w:t> </w:t>
      </w:r>
      <w:r>
        <w:rPr>
          <w:color w:val="231F20"/>
          <w:w w:val="105"/>
        </w:rPr>
        <w:t>all’interno</w:t>
      </w:r>
      <w:r>
        <w:rPr>
          <w:color w:val="231F20"/>
          <w:spacing w:val="-20"/>
          <w:w w:val="105"/>
        </w:rPr>
        <w:t> </w:t>
      </w:r>
      <w:r>
        <w:rPr>
          <w:color w:val="231F20"/>
          <w:w w:val="105"/>
        </w:rPr>
        <w:t>degli stati</w:t>
      </w:r>
      <w:r>
        <w:rPr>
          <w:color w:val="231F20"/>
          <w:spacing w:val="-20"/>
          <w:w w:val="105"/>
        </w:rPr>
        <w:t> </w:t>
      </w:r>
      <w:r>
        <w:rPr>
          <w:color w:val="231F20"/>
          <w:w w:val="105"/>
        </w:rPr>
        <w:t>che</w:t>
      </w:r>
      <w:r>
        <w:rPr>
          <w:color w:val="231F20"/>
          <w:spacing w:val="-20"/>
          <w:w w:val="105"/>
        </w:rPr>
        <w:t> </w:t>
      </w:r>
      <w:r>
        <w:rPr>
          <w:color w:val="231F20"/>
          <w:w w:val="105"/>
        </w:rPr>
        <w:t>nel</w:t>
      </w:r>
      <w:r>
        <w:rPr>
          <w:color w:val="231F20"/>
          <w:spacing w:val="-20"/>
          <w:w w:val="105"/>
        </w:rPr>
        <w:t> </w:t>
      </w:r>
      <w:r>
        <w:rPr>
          <w:color w:val="231F20"/>
          <w:w w:val="105"/>
        </w:rPr>
        <w:t>loro</w:t>
      </w:r>
      <w:r>
        <w:rPr>
          <w:color w:val="231F20"/>
          <w:spacing w:val="-20"/>
          <w:w w:val="105"/>
        </w:rPr>
        <w:t> </w:t>
      </w:r>
      <w:r>
        <w:rPr>
          <w:color w:val="231F20"/>
          <w:w w:val="105"/>
        </w:rPr>
        <w:t>rapporto</w:t>
      </w:r>
      <w:r>
        <w:rPr>
          <w:color w:val="231F20"/>
          <w:spacing w:val="-20"/>
          <w:w w:val="105"/>
        </w:rPr>
        <w:t> </w:t>
      </w:r>
      <w:r>
        <w:rPr>
          <w:color w:val="231F20"/>
          <w:w w:val="105"/>
        </w:rPr>
        <w:t>con</w:t>
      </w:r>
      <w:r>
        <w:rPr>
          <w:color w:val="231F20"/>
          <w:spacing w:val="-20"/>
          <w:w w:val="105"/>
        </w:rPr>
        <w:t> </w:t>
      </w:r>
      <w:r>
        <w:rPr>
          <w:color w:val="231F20"/>
          <w:w w:val="105"/>
        </w:rPr>
        <w:t>l’esterno”</w:t>
      </w:r>
      <w:r>
        <w:rPr>
          <w:color w:val="231F20"/>
          <w:w w:val="105"/>
          <w:position w:val="7"/>
          <w:sz w:val="12"/>
        </w:rPr>
        <w:t>25</w:t>
      </w:r>
      <w:r>
        <w:rPr>
          <w:color w:val="231F20"/>
          <w:w w:val="105"/>
        </w:rPr>
        <w:t>.</w:t>
      </w:r>
      <w:r>
        <w:rPr>
          <w:color w:val="231F20"/>
          <w:spacing w:val="-20"/>
          <w:w w:val="105"/>
        </w:rPr>
        <w:t> </w:t>
      </w:r>
      <w:r>
        <w:rPr>
          <w:color w:val="231F20"/>
          <w:w w:val="105"/>
        </w:rPr>
        <w:t>Con</w:t>
      </w:r>
      <w:r>
        <w:rPr>
          <w:color w:val="231F20"/>
          <w:spacing w:val="-20"/>
          <w:w w:val="105"/>
        </w:rPr>
        <w:t> </w:t>
      </w:r>
      <w:r>
        <w:rPr>
          <w:color w:val="231F20"/>
          <w:w w:val="105"/>
        </w:rPr>
        <w:t>ciò,</w:t>
      </w:r>
      <w:r>
        <w:rPr>
          <w:color w:val="231F20"/>
          <w:spacing w:val="-20"/>
          <w:w w:val="105"/>
        </w:rPr>
        <w:t> </w:t>
      </w:r>
      <w:r>
        <w:rPr>
          <w:color w:val="231F20"/>
          <w:w w:val="105"/>
        </w:rPr>
        <w:t>il</w:t>
      </w:r>
      <w:r>
        <w:rPr>
          <w:color w:val="231F20"/>
          <w:spacing w:val="-20"/>
          <w:w w:val="105"/>
        </w:rPr>
        <w:t> </w:t>
      </w:r>
      <w:r>
        <w:rPr>
          <w:color w:val="231F20"/>
          <w:w w:val="105"/>
        </w:rPr>
        <w:t>tradizionale</w:t>
      </w:r>
      <w:r>
        <w:rPr>
          <w:color w:val="231F20"/>
          <w:spacing w:val="-20"/>
          <w:w w:val="105"/>
        </w:rPr>
        <w:t> </w:t>
      </w:r>
      <w:r>
        <w:rPr>
          <w:color w:val="231F20"/>
          <w:w w:val="105"/>
        </w:rPr>
        <w:t>sistema di</w:t>
      </w:r>
      <w:r>
        <w:rPr>
          <w:color w:val="231F20"/>
          <w:spacing w:val="-12"/>
          <w:w w:val="105"/>
        </w:rPr>
        <w:t> </w:t>
      </w:r>
      <w:r>
        <w:rPr>
          <w:color w:val="231F20"/>
          <w:spacing w:val="2"/>
          <w:w w:val="105"/>
        </w:rPr>
        <w:t>relazioni</w:t>
      </w:r>
      <w:r>
        <w:rPr>
          <w:color w:val="231F20"/>
          <w:spacing w:val="-12"/>
          <w:w w:val="105"/>
        </w:rPr>
        <w:t> </w:t>
      </w:r>
      <w:r>
        <w:rPr>
          <w:color w:val="231F20"/>
          <w:spacing w:val="2"/>
          <w:w w:val="105"/>
        </w:rPr>
        <w:t>internazionali</w:t>
      </w:r>
      <w:r>
        <w:rPr>
          <w:color w:val="231F20"/>
          <w:spacing w:val="-12"/>
          <w:w w:val="105"/>
        </w:rPr>
        <w:t> </w:t>
      </w:r>
      <w:r>
        <w:rPr>
          <w:color w:val="231F20"/>
          <w:spacing w:val="2"/>
          <w:w w:val="105"/>
        </w:rPr>
        <w:t>centrato</w:t>
      </w:r>
      <w:r>
        <w:rPr>
          <w:color w:val="231F20"/>
          <w:spacing w:val="-12"/>
          <w:w w:val="105"/>
        </w:rPr>
        <w:t> </w:t>
      </w:r>
      <w:r>
        <w:rPr>
          <w:color w:val="231F20"/>
          <w:spacing w:val="2"/>
          <w:w w:val="105"/>
        </w:rPr>
        <w:t>sulla</w:t>
      </w:r>
      <w:r>
        <w:rPr>
          <w:color w:val="231F20"/>
          <w:spacing w:val="-12"/>
          <w:w w:val="105"/>
        </w:rPr>
        <w:t> </w:t>
      </w:r>
      <w:r>
        <w:rPr>
          <w:color w:val="231F20"/>
          <w:spacing w:val="2"/>
          <w:w w:val="105"/>
        </w:rPr>
        <w:t>“sovranità</w:t>
      </w:r>
      <w:r>
        <w:rPr>
          <w:color w:val="231F20"/>
          <w:spacing w:val="-12"/>
          <w:w w:val="105"/>
        </w:rPr>
        <w:t> </w:t>
      </w:r>
      <w:r>
        <w:rPr>
          <w:color w:val="231F20"/>
          <w:spacing w:val="2"/>
          <w:w w:val="105"/>
        </w:rPr>
        <w:t>westfaliana”</w:t>
      </w:r>
      <w:r>
        <w:rPr>
          <w:color w:val="231F20"/>
          <w:spacing w:val="-12"/>
          <w:w w:val="105"/>
        </w:rPr>
        <w:t> </w:t>
      </w:r>
      <w:r>
        <w:rPr>
          <w:color w:val="231F20"/>
          <w:spacing w:val="3"/>
          <w:w w:val="105"/>
        </w:rPr>
        <w:t>sembra </w:t>
      </w:r>
      <w:r>
        <w:rPr>
          <w:color w:val="231F20"/>
          <w:spacing w:val="-3"/>
          <w:w w:val="105"/>
        </w:rPr>
        <w:t>davvero</w:t>
      </w:r>
      <w:r>
        <w:rPr>
          <w:color w:val="231F20"/>
          <w:spacing w:val="-40"/>
          <w:w w:val="105"/>
        </w:rPr>
        <w:t> </w:t>
      </w:r>
      <w:r>
        <w:rPr>
          <w:color w:val="231F20"/>
          <w:spacing w:val="-3"/>
          <w:w w:val="105"/>
        </w:rPr>
        <w:t>lasciare</w:t>
      </w:r>
      <w:r>
        <w:rPr>
          <w:color w:val="231F20"/>
          <w:spacing w:val="-40"/>
          <w:w w:val="105"/>
        </w:rPr>
        <w:t> </w:t>
      </w:r>
      <w:r>
        <w:rPr>
          <w:color w:val="231F20"/>
          <w:w w:val="105"/>
        </w:rPr>
        <w:t>il</w:t>
      </w:r>
      <w:r>
        <w:rPr>
          <w:color w:val="231F20"/>
          <w:spacing w:val="-40"/>
          <w:w w:val="105"/>
        </w:rPr>
        <w:t> </w:t>
      </w:r>
      <w:r>
        <w:rPr>
          <w:color w:val="231F20"/>
          <w:spacing w:val="-3"/>
          <w:w w:val="105"/>
        </w:rPr>
        <w:t>campo</w:t>
      </w:r>
      <w:r>
        <w:rPr>
          <w:color w:val="231F20"/>
          <w:spacing w:val="-40"/>
          <w:w w:val="105"/>
        </w:rPr>
        <w:t> </w:t>
      </w:r>
      <w:r>
        <w:rPr>
          <w:color w:val="231F20"/>
          <w:w w:val="105"/>
        </w:rPr>
        <w:t>a</w:t>
      </w:r>
      <w:r>
        <w:rPr>
          <w:color w:val="231F20"/>
          <w:spacing w:val="-40"/>
          <w:w w:val="105"/>
        </w:rPr>
        <w:t> </w:t>
      </w:r>
      <w:r>
        <w:rPr>
          <w:color w:val="231F20"/>
          <w:spacing w:val="-3"/>
          <w:w w:val="105"/>
        </w:rPr>
        <w:t>quel</w:t>
      </w:r>
      <w:r>
        <w:rPr>
          <w:color w:val="231F20"/>
          <w:spacing w:val="-40"/>
          <w:w w:val="105"/>
        </w:rPr>
        <w:t> </w:t>
      </w:r>
      <w:r>
        <w:rPr>
          <w:color w:val="231F20"/>
          <w:spacing w:val="-3"/>
          <w:w w:val="105"/>
        </w:rPr>
        <w:t>rivoluzionario</w:t>
      </w:r>
      <w:r>
        <w:rPr>
          <w:color w:val="231F20"/>
          <w:spacing w:val="-40"/>
          <w:w w:val="105"/>
        </w:rPr>
        <w:t> </w:t>
      </w:r>
      <w:r>
        <w:rPr>
          <w:color w:val="231F20"/>
          <w:spacing w:val="-3"/>
          <w:w w:val="105"/>
        </w:rPr>
        <w:t>ordine</w:t>
      </w:r>
      <w:r>
        <w:rPr>
          <w:color w:val="231F20"/>
          <w:spacing w:val="-40"/>
          <w:w w:val="105"/>
        </w:rPr>
        <w:t> </w:t>
      </w:r>
      <w:r>
        <w:rPr>
          <w:color w:val="231F20"/>
          <w:spacing w:val="-3"/>
          <w:w w:val="105"/>
        </w:rPr>
        <w:t>giuridico</w:t>
      </w:r>
      <w:r>
        <w:rPr>
          <w:color w:val="231F20"/>
          <w:spacing w:val="-40"/>
          <w:w w:val="105"/>
        </w:rPr>
        <w:t> </w:t>
      </w:r>
      <w:r>
        <w:rPr>
          <w:color w:val="231F20"/>
          <w:spacing w:val="-3"/>
          <w:w w:val="105"/>
        </w:rPr>
        <w:t>cosmopolitico prefigurato</w:t>
      </w:r>
      <w:r>
        <w:rPr>
          <w:color w:val="231F20"/>
          <w:spacing w:val="-49"/>
          <w:w w:val="105"/>
        </w:rPr>
        <w:t> </w:t>
      </w:r>
      <w:r>
        <w:rPr>
          <w:color w:val="231F20"/>
          <w:w w:val="105"/>
        </w:rPr>
        <w:t>da</w:t>
      </w:r>
      <w:r>
        <w:rPr>
          <w:color w:val="231F20"/>
          <w:spacing w:val="-49"/>
          <w:w w:val="105"/>
        </w:rPr>
        <w:t> </w:t>
      </w:r>
      <w:r>
        <w:rPr>
          <w:color w:val="231F20"/>
          <w:spacing w:val="-3"/>
          <w:w w:val="105"/>
        </w:rPr>
        <w:t>Kant</w:t>
      </w:r>
      <w:r>
        <w:rPr>
          <w:color w:val="231F20"/>
          <w:spacing w:val="-49"/>
          <w:w w:val="105"/>
        </w:rPr>
        <w:t> </w:t>
      </w:r>
      <w:r>
        <w:rPr>
          <w:color w:val="231F20"/>
          <w:w w:val="105"/>
        </w:rPr>
        <w:t>in</w:t>
      </w:r>
      <w:r>
        <w:rPr>
          <w:color w:val="231F20"/>
          <w:spacing w:val="-49"/>
          <w:w w:val="105"/>
        </w:rPr>
        <w:t> </w:t>
      </w:r>
      <w:r>
        <w:rPr>
          <w:color w:val="231F20"/>
          <w:spacing w:val="-3"/>
          <w:w w:val="105"/>
        </w:rPr>
        <w:t>alcune</w:t>
      </w:r>
      <w:r>
        <w:rPr>
          <w:color w:val="231F20"/>
          <w:spacing w:val="-49"/>
          <w:w w:val="105"/>
        </w:rPr>
        <w:t> </w:t>
      </w:r>
      <w:r>
        <w:rPr>
          <w:color w:val="231F20"/>
          <w:spacing w:val="-3"/>
          <w:w w:val="105"/>
        </w:rPr>
        <w:t>celebri</w:t>
      </w:r>
      <w:r>
        <w:rPr>
          <w:color w:val="231F20"/>
          <w:spacing w:val="-49"/>
          <w:w w:val="105"/>
        </w:rPr>
        <w:t> </w:t>
      </w:r>
      <w:r>
        <w:rPr>
          <w:color w:val="231F20"/>
          <w:spacing w:val="-3"/>
          <w:w w:val="105"/>
        </w:rPr>
        <w:t>pagine</w:t>
      </w:r>
      <w:r>
        <w:rPr>
          <w:color w:val="231F20"/>
          <w:spacing w:val="-49"/>
          <w:w w:val="105"/>
        </w:rPr>
        <w:t> </w:t>
      </w:r>
      <w:r>
        <w:rPr>
          <w:color w:val="231F20"/>
          <w:w w:val="105"/>
        </w:rPr>
        <w:t>del</w:t>
      </w:r>
      <w:r>
        <w:rPr>
          <w:color w:val="231F20"/>
          <w:spacing w:val="-49"/>
          <w:w w:val="105"/>
        </w:rPr>
        <w:t> </w:t>
      </w:r>
      <w:r>
        <w:rPr>
          <w:color w:val="231F20"/>
          <w:spacing w:val="-3"/>
          <w:w w:val="105"/>
        </w:rPr>
        <w:t>saggio</w:t>
      </w:r>
      <w:r>
        <w:rPr>
          <w:color w:val="231F20"/>
          <w:spacing w:val="-51"/>
          <w:w w:val="105"/>
        </w:rPr>
        <w:t> </w:t>
      </w:r>
      <w:r>
        <w:rPr>
          <w:rFonts w:ascii="Arial" w:hAnsi="Arial"/>
          <w:i/>
          <w:color w:val="231F20"/>
          <w:w w:val="105"/>
        </w:rPr>
        <w:t>Zum</w:t>
      </w:r>
      <w:r>
        <w:rPr>
          <w:rFonts w:ascii="Arial" w:hAnsi="Arial"/>
          <w:i/>
          <w:color w:val="231F20"/>
          <w:spacing w:val="-41"/>
          <w:w w:val="105"/>
        </w:rPr>
        <w:t> </w:t>
      </w:r>
      <w:r>
        <w:rPr>
          <w:rFonts w:ascii="Arial" w:hAnsi="Arial"/>
          <w:i/>
          <w:color w:val="231F20"/>
          <w:spacing w:val="-3"/>
          <w:w w:val="105"/>
        </w:rPr>
        <w:t>ewigen</w:t>
      </w:r>
      <w:r>
        <w:rPr>
          <w:rFonts w:ascii="Arial" w:hAnsi="Arial"/>
          <w:i/>
          <w:color w:val="231F20"/>
          <w:spacing w:val="-41"/>
          <w:w w:val="105"/>
        </w:rPr>
        <w:t> </w:t>
      </w:r>
      <w:r>
        <w:rPr>
          <w:rFonts w:ascii="Arial" w:hAnsi="Arial"/>
          <w:i/>
          <w:color w:val="231F20"/>
          <w:spacing w:val="-3"/>
          <w:w w:val="105"/>
        </w:rPr>
        <w:t>Frieden</w:t>
      </w:r>
      <w:r>
        <w:rPr>
          <w:color w:val="231F20"/>
          <w:spacing w:val="-3"/>
          <w:w w:val="105"/>
          <w:position w:val="7"/>
          <w:sz w:val="12"/>
        </w:rPr>
        <w:t>26</w:t>
      </w:r>
      <w:r>
        <w:rPr>
          <w:color w:val="231F20"/>
          <w:spacing w:val="-3"/>
          <w:w w:val="105"/>
        </w:rPr>
        <w:t>: </w:t>
      </w:r>
      <w:r>
        <w:rPr>
          <w:color w:val="231F20"/>
          <w:w w:val="105"/>
        </w:rPr>
        <w:t>uno</w:t>
      </w:r>
      <w:r>
        <w:rPr>
          <w:color w:val="231F20"/>
          <w:spacing w:val="-25"/>
          <w:w w:val="105"/>
        </w:rPr>
        <w:t> </w:t>
      </w:r>
      <w:r>
        <w:rPr>
          <w:color w:val="231F20"/>
          <w:w w:val="105"/>
        </w:rPr>
        <w:t>spazio</w:t>
      </w:r>
      <w:r>
        <w:rPr>
          <w:color w:val="231F20"/>
          <w:spacing w:val="-25"/>
          <w:w w:val="105"/>
        </w:rPr>
        <w:t> </w:t>
      </w:r>
      <w:r>
        <w:rPr>
          <w:color w:val="231F20"/>
          <w:w w:val="105"/>
        </w:rPr>
        <w:t>globale</w:t>
      </w:r>
      <w:r>
        <w:rPr>
          <w:color w:val="231F20"/>
          <w:spacing w:val="-25"/>
          <w:w w:val="105"/>
        </w:rPr>
        <w:t> </w:t>
      </w:r>
      <w:r>
        <w:rPr>
          <w:color w:val="231F20"/>
          <w:w w:val="105"/>
        </w:rPr>
        <w:t>di</w:t>
      </w:r>
      <w:r>
        <w:rPr>
          <w:color w:val="231F20"/>
          <w:spacing w:val="-25"/>
          <w:w w:val="105"/>
        </w:rPr>
        <w:t> </w:t>
      </w:r>
      <w:r>
        <w:rPr>
          <w:color w:val="231F20"/>
          <w:w w:val="105"/>
        </w:rPr>
        <w:t>relazioni</w:t>
      </w:r>
      <w:r>
        <w:rPr>
          <w:color w:val="231F20"/>
          <w:spacing w:val="-25"/>
          <w:w w:val="105"/>
        </w:rPr>
        <w:t> </w:t>
      </w:r>
      <w:r>
        <w:rPr>
          <w:color w:val="231F20"/>
          <w:w w:val="105"/>
        </w:rPr>
        <w:t>intersoggettive</w:t>
      </w:r>
      <w:r>
        <w:rPr>
          <w:color w:val="231F20"/>
          <w:spacing w:val="-25"/>
          <w:w w:val="105"/>
        </w:rPr>
        <w:t> </w:t>
      </w:r>
      <w:r>
        <w:rPr>
          <w:color w:val="231F20"/>
          <w:w w:val="105"/>
        </w:rPr>
        <w:t>fondato</w:t>
      </w:r>
      <w:r>
        <w:rPr>
          <w:color w:val="231F20"/>
          <w:spacing w:val="-25"/>
          <w:w w:val="105"/>
        </w:rPr>
        <w:t> </w:t>
      </w:r>
      <w:r>
        <w:rPr>
          <w:color w:val="231F20"/>
          <w:w w:val="105"/>
        </w:rPr>
        <w:t>sul</w:t>
      </w:r>
      <w:r>
        <w:rPr>
          <w:color w:val="231F20"/>
          <w:spacing w:val="-25"/>
          <w:w w:val="105"/>
        </w:rPr>
        <w:t> </w:t>
      </w:r>
      <w:r>
        <w:rPr>
          <w:color w:val="231F20"/>
          <w:w w:val="105"/>
        </w:rPr>
        <w:t>riconoscimento</w:t>
      </w:r>
    </w:p>
    <w:p>
      <w:pPr>
        <w:pStyle w:val="BodyText"/>
        <w:rPr>
          <w:sz w:val="20"/>
        </w:rPr>
      </w:pPr>
    </w:p>
    <w:p>
      <w:pPr>
        <w:pStyle w:val="BodyText"/>
        <w:spacing w:before="8"/>
        <w:rPr>
          <w:sz w:val="29"/>
        </w:rPr>
      </w:pPr>
      <w:r>
        <w:rPr/>
        <w:pict>
          <v:line style="position:absolute;mso-position-horizontal-relative:page;mso-position-vertical-relative:paragraph;z-index:14440;mso-wrap-distance-left:0;mso-wrap-distance-right:0" from="70.866096pt,20.036673pt" to="184.252096pt,20.036673pt" stroked="true" strokeweight=".3pt" strokecolor="#231f20">
            <w10:wrap type="topAndBottom"/>
          </v:line>
        </w:pict>
      </w:r>
    </w:p>
    <w:p>
      <w:pPr>
        <w:spacing w:line="204" w:lineRule="exact" w:before="8"/>
        <w:ind w:left="117" w:right="121" w:firstLine="0"/>
        <w:jc w:val="both"/>
        <w:rPr>
          <w:rFonts w:ascii="Calibri"/>
          <w:sz w:val="17"/>
        </w:rPr>
      </w:pPr>
      <w:r>
        <w:rPr>
          <w:rFonts w:ascii="Calibri"/>
          <w:color w:val="231F20"/>
          <w:position w:val="6"/>
          <w:sz w:val="10"/>
        </w:rPr>
        <w:t>22 </w:t>
      </w:r>
      <w:r>
        <w:rPr>
          <w:rFonts w:ascii="Calibri"/>
          <w:color w:val="231F20"/>
          <w:sz w:val="17"/>
        </w:rPr>
        <w:t>L. Bonanate, </w:t>
      </w:r>
      <w:r>
        <w:rPr>
          <w:rFonts w:ascii="Calibri"/>
          <w:i/>
          <w:color w:val="231F20"/>
          <w:sz w:val="17"/>
        </w:rPr>
        <w:t>Prefazione </w:t>
      </w:r>
      <w:r>
        <w:rPr>
          <w:rFonts w:ascii="Calibri"/>
          <w:color w:val="231F20"/>
          <w:sz w:val="17"/>
        </w:rPr>
        <w:t>a </w:t>
      </w:r>
      <w:r>
        <w:rPr>
          <w:rFonts w:ascii="Calibri"/>
          <w:color w:val="231F20"/>
          <w:spacing w:val="-10"/>
          <w:sz w:val="17"/>
        </w:rPr>
        <w:t>P. </w:t>
      </w:r>
      <w:r>
        <w:rPr>
          <w:rFonts w:ascii="Calibri"/>
          <w:color w:val="231F20"/>
          <w:sz w:val="17"/>
        </w:rPr>
        <w:t>M. Defarges, </w:t>
      </w:r>
      <w:r>
        <w:rPr>
          <w:rFonts w:ascii="Calibri"/>
          <w:i/>
          <w:color w:val="231F20"/>
          <w:sz w:val="17"/>
        </w:rPr>
        <w:t>Legittime interferenze. Il diritto di ingerenza dopo il</w:t>
      </w:r>
      <w:r>
        <w:rPr>
          <w:rFonts w:ascii="Calibri"/>
          <w:i/>
          <w:color w:val="231F20"/>
          <w:spacing w:val="-21"/>
          <w:sz w:val="17"/>
        </w:rPr>
        <w:t> </w:t>
      </w:r>
      <w:r>
        <w:rPr>
          <w:rFonts w:ascii="Calibri"/>
          <w:i/>
          <w:color w:val="231F20"/>
          <w:sz w:val="17"/>
        </w:rPr>
        <w:t>2001</w:t>
      </w:r>
      <w:r>
        <w:rPr>
          <w:rFonts w:ascii="Calibri"/>
          <w:color w:val="231F20"/>
          <w:sz w:val="17"/>
        </w:rPr>
        <w:t>, Milano, Bruno Mondadori, 2008, p. </w:t>
      </w:r>
      <w:r>
        <w:rPr>
          <w:rFonts w:ascii="Calibri"/>
          <w:color w:val="231F20"/>
          <w:spacing w:val="17"/>
          <w:sz w:val="17"/>
        </w:rPr>
        <w:t> </w:t>
      </w:r>
      <w:r>
        <w:rPr>
          <w:rFonts w:ascii="Calibri"/>
          <w:color w:val="231F20"/>
          <w:sz w:val="14"/>
        </w:rPr>
        <w:t>XIX</w:t>
      </w:r>
      <w:r>
        <w:rPr>
          <w:rFonts w:ascii="Calibri"/>
          <w:color w:val="231F20"/>
          <w:sz w:val="17"/>
        </w:rPr>
        <w:t>.</w:t>
      </w:r>
    </w:p>
    <w:p>
      <w:pPr>
        <w:spacing w:line="204" w:lineRule="exact" w:before="0"/>
        <w:ind w:left="117" w:right="121" w:firstLine="0"/>
        <w:jc w:val="both"/>
        <w:rPr>
          <w:rFonts w:ascii="Calibri" w:hAnsi="Calibri"/>
          <w:sz w:val="17"/>
        </w:rPr>
      </w:pPr>
      <w:r>
        <w:rPr>
          <w:rFonts w:ascii="Calibri" w:hAnsi="Calibri"/>
          <w:color w:val="231F20"/>
          <w:position w:val="6"/>
          <w:sz w:val="10"/>
        </w:rPr>
        <w:t>23 </w:t>
      </w:r>
      <w:r>
        <w:rPr>
          <w:rFonts w:ascii="Calibri" w:hAnsi="Calibri"/>
          <w:color w:val="231F20"/>
          <w:sz w:val="17"/>
        </w:rPr>
        <w:t>S. Benhabib, </w:t>
      </w:r>
      <w:r>
        <w:rPr>
          <w:rFonts w:ascii="Calibri" w:hAnsi="Calibri"/>
          <w:i/>
          <w:color w:val="231F20"/>
          <w:sz w:val="17"/>
        </w:rPr>
        <w:t>Another Cosmopolitanism</w:t>
      </w:r>
      <w:r>
        <w:rPr>
          <w:rFonts w:ascii="Calibri" w:hAnsi="Calibri"/>
          <w:color w:val="231F20"/>
          <w:sz w:val="17"/>
        </w:rPr>
        <w:t>, Oxford, Oxford University Press, 2006 (trad. it. parz. </w:t>
      </w:r>
      <w:r>
        <w:rPr>
          <w:rFonts w:ascii="Calibri" w:hAnsi="Calibri"/>
          <w:i/>
          <w:color w:val="231F20"/>
          <w:sz w:val="17"/>
        </w:rPr>
        <w:t>Cittadini globali. Cosmopolitismo e democrazia</w:t>
      </w:r>
      <w:r>
        <w:rPr>
          <w:rFonts w:ascii="Calibri" w:hAnsi="Calibri"/>
          <w:color w:val="231F20"/>
          <w:sz w:val="17"/>
        </w:rPr>
        <w:t>, Bologna, il Mulino, 2008, pp. 41–42). Ma sul tema   si veda anche S. Benhabib, </w:t>
      </w:r>
      <w:r>
        <w:rPr>
          <w:rFonts w:ascii="Calibri" w:hAnsi="Calibri"/>
          <w:i/>
          <w:color w:val="231F20"/>
          <w:sz w:val="17"/>
        </w:rPr>
        <w:t>The Rights of the Others. Aliens, Residents and Citizens</w:t>
      </w:r>
      <w:r>
        <w:rPr>
          <w:rFonts w:ascii="Calibri" w:hAnsi="Calibri"/>
          <w:color w:val="231F20"/>
          <w:sz w:val="17"/>
        </w:rPr>
        <w:t>, Cambridge, Cambridge University Press, 2004 (trad. it. </w:t>
      </w:r>
      <w:r>
        <w:rPr>
          <w:rFonts w:ascii="Calibri" w:hAnsi="Calibri"/>
          <w:i/>
          <w:color w:val="231F20"/>
          <w:sz w:val="17"/>
        </w:rPr>
        <w:t>I diritti degli altri. Stranieri, residenti, cittadin</w:t>
      </w:r>
      <w:r>
        <w:rPr>
          <w:rFonts w:ascii="Calibri" w:hAnsi="Calibri"/>
          <w:color w:val="231F20"/>
          <w:sz w:val="17"/>
        </w:rPr>
        <w:t>i, Milano, Cortina, </w:t>
      </w:r>
      <w:r>
        <w:rPr>
          <w:rFonts w:ascii="Calibri" w:hAnsi="Calibri"/>
          <w:color w:val="231F20"/>
          <w:spacing w:val="2"/>
          <w:sz w:val="17"/>
        </w:rPr>
        <w:t> </w:t>
      </w:r>
      <w:r>
        <w:rPr>
          <w:rFonts w:ascii="Calibri" w:hAnsi="Calibri"/>
          <w:color w:val="231F20"/>
          <w:sz w:val="17"/>
        </w:rPr>
        <w:t>2006.</w:t>
      </w:r>
    </w:p>
    <w:p>
      <w:pPr>
        <w:spacing w:line="204" w:lineRule="exact" w:before="0"/>
        <w:ind w:left="117" w:right="121" w:firstLine="0"/>
        <w:jc w:val="both"/>
        <w:rPr>
          <w:rFonts w:ascii="Calibri" w:hAnsi="Calibri"/>
          <w:sz w:val="17"/>
        </w:rPr>
      </w:pPr>
      <w:r>
        <w:rPr>
          <w:rFonts w:ascii="Calibri" w:hAnsi="Calibri"/>
          <w:color w:val="231F20"/>
          <w:w w:val="105"/>
          <w:position w:val="6"/>
          <w:sz w:val="10"/>
        </w:rPr>
        <w:t>24</w:t>
      </w:r>
      <w:r>
        <w:rPr>
          <w:rFonts w:ascii="Calibri" w:hAnsi="Calibri"/>
          <w:color w:val="231F20"/>
          <w:spacing w:val="8"/>
          <w:w w:val="105"/>
          <w:position w:val="6"/>
          <w:sz w:val="10"/>
        </w:rPr>
        <w:t> </w:t>
      </w:r>
      <w:r>
        <w:rPr>
          <w:rFonts w:ascii="Calibri" w:hAnsi="Calibri"/>
          <w:color w:val="231F20"/>
          <w:w w:val="105"/>
          <w:sz w:val="17"/>
        </w:rPr>
        <w:t>Benhabib,</w:t>
      </w:r>
      <w:r>
        <w:rPr>
          <w:rFonts w:ascii="Calibri" w:hAnsi="Calibri"/>
          <w:color w:val="231F20"/>
          <w:spacing w:val="-10"/>
          <w:w w:val="105"/>
          <w:sz w:val="17"/>
        </w:rPr>
        <w:t> </w:t>
      </w:r>
      <w:r>
        <w:rPr>
          <w:rFonts w:ascii="Calibri" w:hAnsi="Calibri"/>
          <w:i/>
          <w:color w:val="231F20"/>
          <w:w w:val="105"/>
          <w:sz w:val="17"/>
        </w:rPr>
        <w:t>Cittadini</w:t>
      </w:r>
      <w:r>
        <w:rPr>
          <w:rFonts w:ascii="Calibri" w:hAnsi="Calibri"/>
          <w:i/>
          <w:color w:val="231F20"/>
          <w:spacing w:val="-10"/>
          <w:w w:val="105"/>
          <w:sz w:val="17"/>
        </w:rPr>
        <w:t> </w:t>
      </w:r>
      <w:r>
        <w:rPr>
          <w:rFonts w:ascii="Calibri" w:hAnsi="Calibri"/>
          <w:i/>
          <w:color w:val="231F20"/>
          <w:w w:val="105"/>
          <w:sz w:val="17"/>
        </w:rPr>
        <w:t>globali</w:t>
      </w:r>
      <w:r>
        <w:rPr>
          <w:rFonts w:ascii="Calibri" w:hAnsi="Calibri"/>
          <w:color w:val="231F20"/>
          <w:w w:val="105"/>
          <w:sz w:val="17"/>
        </w:rPr>
        <w:t>,</w:t>
      </w:r>
      <w:r>
        <w:rPr>
          <w:rFonts w:ascii="Calibri" w:hAnsi="Calibri"/>
          <w:color w:val="231F20"/>
          <w:spacing w:val="-9"/>
          <w:w w:val="105"/>
          <w:sz w:val="17"/>
        </w:rPr>
        <w:t> </w:t>
      </w:r>
      <w:r>
        <w:rPr>
          <w:rFonts w:ascii="Calibri" w:hAnsi="Calibri"/>
          <w:color w:val="231F20"/>
          <w:w w:val="105"/>
          <w:sz w:val="17"/>
        </w:rPr>
        <w:t>p.</w:t>
      </w:r>
      <w:r>
        <w:rPr>
          <w:rFonts w:ascii="Calibri" w:hAnsi="Calibri"/>
          <w:color w:val="231F20"/>
          <w:spacing w:val="-9"/>
          <w:w w:val="105"/>
          <w:sz w:val="17"/>
        </w:rPr>
        <w:t> </w:t>
      </w:r>
      <w:r>
        <w:rPr>
          <w:rFonts w:ascii="Calibri" w:hAnsi="Calibri"/>
          <w:color w:val="231F20"/>
          <w:spacing w:val="-5"/>
          <w:w w:val="105"/>
          <w:sz w:val="17"/>
        </w:rPr>
        <w:t>17.</w:t>
      </w:r>
      <w:r>
        <w:rPr>
          <w:rFonts w:ascii="Calibri" w:hAnsi="Calibri"/>
          <w:color w:val="231F20"/>
          <w:spacing w:val="24"/>
          <w:w w:val="105"/>
          <w:sz w:val="17"/>
        </w:rPr>
        <w:t> </w:t>
      </w:r>
      <w:r>
        <w:rPr>
          <w:rFonts w:ascii="Calibri" w:hAnsi="Calibri"/>
          <w:color w:val="231F20"/>
          <w:w w:val="105"/>
          <w:sz w:val="17"/>
        </w:rPr>
        <w:t>Gli</w:t>
      </w:r>
      <w:r>
        <w:rPr>
          <w:rFonts w:ascii="Calibri" w:hAnsi="Calibri"/>
          <w:color w:val="231F20"/>
          <w:spacing w:val="-9"/>
          <w:w w:val="105"/>
          <w:sz w:val="17"/>
        </w:rPr>
        <w:t> </w:t>
      </w:r>
      <w:r>
        <w:rPr>
          <w:rFonts w:ascii="Calibri" w:hAnsi="Calibri"/>
          <w:color w:val="231F20"/>
          <w:w w:val="105"/>
          <w:sz w:val="17"/>
        </w:rPr>
        <w:t>altri</w:t>
      </w:r>
      <w:r>
        <w:rPr>
          <w:rFonts w:ascii="Calibri" w:hAnsi="Calibri"/>
          <w:color w:val="231F20"/>
          <w:spacing w:val="-9"/>
          <w:w w:val="105"/>
          <w:sz w:val="17"/>
        </w:rPr>
        <w:t> </w:t>
      </w:r>
      <w:r>
        <w:rPr>
          <w:rFonts w:ascii="Calibri" w:hAnsi="Calibri"/>
          <w:color w:val="231F20"/>
          <w:w w:val="105"/>
          <w:sz w:val="17"/>
        </w:rPr>
        <w:t>ambiti</w:t>
      </w:r>
      <w:r>
        <w:rPr>
          <w:rFonts w:ascii="Calibri" w:hAnsi="Calibri"/>
          <w:color w:val="231F20"/>
          <w:spacing w:val="-9"/>
          <w:w w:val="105"/>
          <w:sz w:val="17"/>
        </w:rPr>
        <w:t> </w:t>
      </w:r>
      <w:r>
        <w:rPr>
          <w:rFonts w:ascii="Calibri" w:hAnsi="Calibri"/>
          <w:color w:val="231F20"/>
          <w:w w:val="105"/>
          <w:sz w:val="17"/>
        </w:rPr>
        <w:t>in</w:t>
      </w:r>
      <w:r>
        <w:rPr>
          <w:rFonts w:ascii="Calibri" w:hAnsi="Calibri"/>
          <w:color w:val="231F20"/>
          <w:spacing w:val="-9"/>
          <w:w w:val="105"/>
          <w:sz w:val="17"/>
        </w:rPr>
        <w:t> </w:t>
      </w:r>
      <w:r>
        <w:rPr>
          <w:rFonts w:ascii="Calibri" w:hAnsi="Calibri"/>
          <w:color w:val="231F20"/>
          <w:w w:val="105"/>
          <w:sz w:val="17"/>
        </w:rPr>
        <w:t>cui</w:t>
      </w:r>
      <w:r>
        <w:rPr>
          <w:rFonts w:ascii="Calibri" w:hAnsi="Calibri"/>
          <w:color w:val="231F20"/>
          <w:spacing w:val="-9"/>
          <w:w w:val="105"/>
          <w:sz w:val="17"/>
        </w:rPr>
        <w:t> </w:t>
      </w:r>
      <w:r>
        <w:rPr>
          <w:rFonts w:ascii="Calibri" w:hAnsi="Calibri"/>
          <w:color w:val="231F20"/>
          <w:w w:val="105"/>
          <w:sz w:val="17"/>
        </w:rPr>
        <w:t>“le</w:t>
      </w:r>
      <w:r>
        <w:rPr>
          <w:rFonts w:ascii="Calibri" w:hAnsi="Calibri"/>
          <w:color w:val="231F20"/>
          <w:spacing w:val="-9"/>
          <w:w w:val="105"/>
          <w:sz w:val="17"/>
        </w:rPr>
        <w:t> </w:t>
      </w:r>
      <w:r>
        <w:rPr>
          <w:rFonts w:ascii="Calibri" w:hAnsi="Calibri"/>
          <w:color w:val="231F20"/>
          <w:w w:val="105"/>
          <w:sz w:val="17"/>
        </w:rPr>
        <w:t>norme</w:t>
      </w:r>
      <w:r>
        <w:rPr>
          <w:rFonts w:ascii="Calibri" w:hAnsi="Calibri"/>
          <w:color w:val="231F20"/>
          <w:spacing w:val="-9"/>
          <w:w w:val="105"/>
          <w:sz w:val="17"/>
        </w:rPr>
        <w:t> </w:t>
      </w:r>
      <w:r>
        <w:rPr>
          <w:rFonts w:ascii="Calibri" w:hAnsi="Calibri"/>
          <w:color w:val="231F20"/>
          <w:w w:val="105"/>
          <w:sz w:val="17"/>
        </w:rPr>
        <w:t>internazionali</w:t>
      </w:r>
      <w:r>
        <w:rPr>
          <w:rFonts w:ascii="Calibri" w:hAnsi="Calibri"/>
          <w:color w:val="231F20"/>
          <w:spacing w:val="-9"/>
          <w:w w:val="105"/>
          <w:sz w:val="17"/>
        </w:rPr>
        <w:t> </w:t>
      </w:r>
      <w:r>
        <w:rPr>
          <w:rFonts w:ascii="Calibri" w:hAnsi="Calibri"/>
          <w:color w:val="231F20"/>
          <w:w w:val="105"/>
          <w:sz w:val="17"/>
        </w:rPr>
        <w:t>sui</w:t>
      </w:r>
      <w:r>
        <w:rPr>
          <w:rFonts w:ascii="Calibri" w:hAnsi="Calibri"/>
          <w:color w:val="231F20"/>
          <w:spacing w:val="-9"/>
          <w:w w:val="105"/>
          <w:sz w:val="17"/>
        </w:rPr>
        <w:t> </w:t>
      </w:r>
      <w:r>
        <w:rPr>
          <w:rFonts w:ascii="Calibri" w:hAnsi="Calibri"/>
          <w:color w:val="231F20"/>
          <w:w w:val="105"/>
          <w:sz w:val="17"/>
        </w:rPr>
        <w:t>diritti</w:t>
      </w:r>
      <w:r>
        <w:rPr>
          <w:rFonts w:ascii="Calibri" w:hAnsi="Calibri"/>
          <w:color w:val="231F20"/>
          <w:spacing w:val="-9"/>
          <w:w w:val="105"/>
          <w:sz w:val="17"/>
        </w:rPr>
        <w:t> </w:t>
      </w:r>
      <w:r>
        <w:rPr>
          <w:rFonts w:ascii="Calibri" w:hAnsi="Calibri"/>
          <w:color w:val="231F20"/>
          <w:w w:val="105"/>
          <w:sz w:val="17"/>
        </w:rPr>
        <w:t>umani stanno</w:t>
      </w:r>
      <w:r>
        <w:rPr>
          <w:rFonts w:ascii="Calibri" w:hAnsi="Calibri"/>
          <w:color w:val="231F20"/>
          <w:spacing w:val="-19"/>
          <w:w w:val="105"/>
          <w:sz w:val="17"/>
        </w:rPr>
        <w:t> </w:t>
      </w:r>
      <w:r>
        <w:rPr>
          <w:rFonts w:ascii="Calibri" w:hAnsi="Calibri"/>
          <w:color w:val="231F20"/>
          <w:w w:val="105"/>
          <w:sz w:val="17"/>
        </w:rPr>
        <w:t>istituendo</w:t>
      </w:r>
      <w:r>
        <w:rPr>
          <w:rFonts w:ascii="Calibri" w:hAnsi="Calibri"/>
          <w:color w:val="231F20"/>
          <w:spacing w:val="-19"/>
          <w:w w:val="105"/>
          <w:sz w:val="17"/>
        </w:rPr>
        <w:t> </w:t>
      </w:r>
      <w:r>
        <w:rPr>
          <w:rFonts w:ascii="Calibri" w:hAnsi="Calibri"/>
          <w:color w:val="231F20"/>
          <w:w w:val="105"/>
          <w:sz w:val="17"/>
        </w:rPr>
        <w:t>linee</w:t>
      </w:r>
      <w:r>
        <w:rPr>
          <w:rFonts w:ascii="Calibri" w:hAnsi="Calibri"/>
          <w:color w:val="231F20"/>
          <w:spacing w:val="-19"/>
          <w:w w:val="105"/>
          <w:sz w:val="17"/>
        </w:rPr>
        <w:t> </w:t>
      </w:r>
      <w:r>
        <w:rPr>
          <w:rFonts w:ascii="Calibri" w:hAnsi="Calibri"/>
          <w:color w:val="231F20"/>
          <w:w w:val="105"/>
          <w:sz w:val="17"/>
        </w:rPr>
        <w:t>guida</w:t>
      </w:r>
      <w:r>
        <w:rPr>
          <w:rFonts w:ascii="Calibri" w:hAnsi="Calibri"/>
          <w:color w:val="231F20"/>
          <w:spacing w:val="-20"/>
          <w:w w:val="105"/>
          <w:sz w:val="17"/>
        </w:rPr>
        <w:t> </w:t>
      </w:r>
      <w:r>
        <w:rPr>
          <w:rFonts w:ascii="Calibri" w:hAnsi="Calibri"/>
          <w:color w:val="231F20"/>
          <w:w w:val="105"/>
          <w:sz w:val="17"/>
        </w:rPr>
        <w:t>vincolanti</w:t>
      </w:r>
      <w:r>
        <w:rPr>
          <w:rFonts w:ascii="Calibri" w:hAnsi="Calibri"/>
          <w:color w:val="231F20"/>
          <w:spacing w:val="-19"/>
          <w:w w:val="105"/>
          <w:sz w:val="17"/>
        </w:rPr>
        <w:t> </w:t>
      </w:r>
      <w:r>
        <w:rPr>
          <w:rFonts w:ascii="Calibri" w:hAnsi="Calibri"/>
          <w:color w:val="231F20"/>
          <w:w w:val="105"/>
          <w:sz w:val="17"/>
        </w:rPr>
        <w:t>per</w:t>
      </w:r>
      <w:r>
        <w:rPr>
          <w:rFonts w:ascii="Calibri" w:hAnsi="Calibri"/>
          <w:color w:val="231F20"/>
          <w:spacing w:val="-19"/>
          <w:w w:val="105"/>
          <w:sz w:val="17"/>
        </w:rPr>
        <w:t> </w:t>
      </w:r>
      <w:r>
        <w:rPr>
          <w:rFonts w:ascii="Calibri" w:hAnsi="Calibri"/>
          <w:color w:val="231F20"/>
          <w:w w:val="105"/>
          <w:sz w:val="17"/>
        </w:rPr>
        <w:t>la</w:t>
      </w:r>
      <w:r>
        <w:rPr>
          <w:rFonts w:ascii="Calibri" w:hAnsi="Calibri"/>
          <w:color w:val="231F20"/>
          <w:spacing w:val="-20"/>
          <w:w w:val="105"/>
          <w:sz w:val="17"/>
        </w:rPr>
        <w:t> </w:t>
      </w:r>
      <w:r>
        <w:rPr>
          <w:rFonts w:ascii="Calibri" w:hAnsi="Calibri"/>
          <w:color w:val="231F20"/>
          <w:w w:val="105"/>
          <w:sz w:val="17"/>
        </w:rPr>
        <w:t>volontà</w:t>
      </w:r>
      <w:r>
        <w:rPr>
          <w:rFonts w:ascii="Calibri" w:hAnsi="Calibri"/>
          <w:color w:val="231F20"/>
          <w:spacing w:val="-19"/>
          <w:w w:val="105"/>
          <w:sz w:val="17"/>
        </w:rPr>
        <w:t> </w:t>
      </w:r>
      <w:r>
        <w:rPr>
          <w:rFonts w:ascii="Calibri" w:hAnsi="Calibri"/>
          <w:color w:val="231F20"/>
          <w:w w:val="105"/>
          <w:sz w:val="17"/>
        </w:rPr>
        <w:t>degli</w:t>
      </w:r>
      <w:r>
        <w:rPr>
          <w:rFonts w:ascii="Calibri" w:hAnsi="Calibri"/>
          <w:color w:val="231F20"/>
          <w:spacing w:val="-19"/>
          <w:w w:val="105"/>
          <w:sz w:val="17"/>
        </w:rPr>
        <w:t> </w:t>
      </w:r>
      <w:r>
        <w:rPr>
          <w:rFonts w:ascii="Calibri" w:hAnsi="Calibri"/>
          <w:color w:val="231F20"/>
          <w:w w:val="105"/>
          <w:sz w:val="17"/>
        </w:rPr>
        <w:t>Stati</w:t>
      </w:r>
      <w:r>
        <w:rPr>
          <w:rFonts w:ascii="Calibri" w:hAnsi="Calibri"/>
          <w:color w:val="231F20"/>
          <w:spacing w:val="-19"/>
          <w:w w:val="105"/>
          <w:sz w:val="17"/>
        </w:rPr>
        <w:t> </w:t>
      </w:r>
      <w:r>
        <w:rPr>
          <w:rFonts w:ascii="Calibri" w:hAnsi="Calibri"/>
          <w:color w:val="231F20"/>
          <w:w w:val="105"/>
          <w:sz w:val="17"/>
        </w:rPr>
        <w:t>sovrani”</w:t>
      </w:r>
      <w:r>
        <w:rPr>
          <w:rFonts w:ascii="Calibri" w:hAnsi="Calibri"/>
          <w:color w:val="231F20"/>
          <w:spacing w:val="-19"/>
          <w:w w:val="105"/>
          <w:sz w:val="17"/>
        </w:rPr>
        <w:t> </w:t>
      </w:r>
      <w:r>
        <w:rPr>
          <w:rFonts w:ascii="Calibri" w:hAnsi="Calibri"/>
          <w:color w:val="231F20"/>
          <w:w w:val="105"/>
          <w:sz w:val="17"/>
        </w:rPr>
        <w:t>sono,</w:t>
      </w:r>
      <w:r>
        <w:rPr>
          <w:rFonts w:ascii="Calibri" w:hAnsi="Calibri"/>
          <w:color w:val="231F20"/>
          <w:spacing w:val="-19"/>
          <w:w w:val="105"/>
          <w:sz w:val="17"/>
        </w:rPr>
        <w:t> </w:t>
      </w:r>
      <w:r>
        <w:rPr>
          <w:rFonts w:ascii="Calibri" w:hAnsi="Calibri"/>
          <w:color w:val="231F20"/>
          <w:w w:val="105"/>
          <w:sz w:val="17"/>
        </w:rPr>
        <w:t>secondo</w:t>
      </w:r>
      <w:r>
        <w:rPr>
          <w:rFonts w:ascii="Calibri" w:hAnsi="Calibri"/>
          <w:color w:val="231F20"/>
          <w:spacing w:val="-19"/>
          <w:w w:val="105"/>
          <w:sz w:val="17"/>
        </w:rPr>
        <w:t> </w:t>
      </w:r>
      <w:r>
        <w:rPr>
          <w:rFonts w:ascii="Calibri" w:hAnsi="Calibri"/>
          <w:color w:val="231F20"/>
          <w:w w:val="105"/>
          <w:sz w:val="17"/>
        </w:rPr>
        <w:t>Benhabib, quelli dei </w:t>
      </w:r>
      <w:r>
        <w:rPr>
          <w:rFonts w:ascii="Calibri" w:hAnsi="Calibri"/>
          <w:i/>
          <w:color w:val="231F20"/>
          <w:w w:val="105"/>
          <w:sz w:val="17"/>
        </w:rPr>
        <w:t>crimini contro l’umanità</w:t>
      </w:r>
      <w:r>
        <w:rPr>
          <w:rFonts w:ascii="Calibri" w:hAnsi="Calibri"/>
          <w:color w:val="231F20"/>
          <w:w w:val="105"/>
          <w:sz w:val="17"/>
        </w:rPr>
        <w:t>, e delle </w:t>
      </w:r>
      <w:r>
        <w:rPr>
          <w:rFonts w:ascii="Calibri" w:hAnsi="Calibri"/>
          <w:i/>
          <w:color w:val="231F20"/>
          <w:w w:val="105"/>
          <w:sz w:val="17"/>
        </w:rPr>
        <w:t>migrazioni transnazionali</w:t>
      </w:r>
      <w:r>
        <w:rPr>
          <w:rFonts w:ascii="Calibri" w:hAnsi="Calibri"/>
          <w:color w:val="231F20"/>
          <w:w w:val="105"/>
          <w:sz w:val="17"/>
        </w:rPr>
        <w:t>: “Gli interventi umanitari hanno</w:t>
      </w:r>
      <w:r>
        <w:rPr>
          <w:rFonts w:ascii="Calibri" w:hAnsi="Calibri"/>
          <w:color w:val="231F20"/>
          <w:spacing w:val="-13"/>
          <w:w w:val="105"/>
          <w:sz w:val="17"/>
        </w:rPr>
        <w:t> </w:t>
      </w:r>
      <w:r>
        <w:rPr>
          <w:rFonts w:ascii="Calibri" w:hAnsi="Calibri"/>
          <w:color w:val="231F20"/>
          <w:w w:val="105"/>
          <w:sz w:val="17"/>
        </w:rPr>
        <w:t>a</w:t>
      </w:r>
      <w:r>
        <w:rPr>
          <w:rFonts w:ascii="Calibri" w:hAnsi="Calibri"/>
          <w:color w:val="231F20"/>
          <w:spacing w:val="-13"/>
          <w:w w:val="105"/>
          <w:sz w:val="17"/>
        </w:rPr>
        <w:t> </w:t>
      </w:r>
      <w:r>
        <w:rPr>
          <w:rFonts w:ascii="Calibri" w:hAnsi="Calibri"/>
          <w:color w:val="231F20"/>
          <w:w w:val="105"/>
          <w:sz w:val="17"/>
        </w:rPr>
        <w:t>che</w:t>
      </w:r>
      <w:r>
        <w:rPr>
          <w:rFonts w:ascii="Calibri" w:hAnsi="Calibri"/>
          <w:color w:val="231F20"/>
          <w:spacing w:val="-13"/>
          <w:w w:val="105"/>
          <w:sz w:val="17"/>
        </w:rPr>
        <w:t> </w:t>
      </w:r>
      <w:r>
        <w:rPr>
          <w:rFonts w:ascii="Calibri" w:hAnsi="Calibri"/>
          <w:color w:val="231F20"/>
          <w:w w:val="105"/>
          <w:sz w:val="17"/>
        </w:rPr>
        <w:t>fare</w:t>
      </w:r>
      <w:r>
        <w:rPr>
          <w:rFonts w:ascii="Calibri" w:hAnsi="Calibri"/>
          <w:color w:val="231F20"/>
          <w:spacing w:val="-13"/>
          <w:w w:val="105"/>
          <w:sz w:val="17"/>
        </w:rPr>
        <w:t> </w:t>
      </w:r>
      <w:r>
        <w:rPr>
          <w:rFonts w:ascii="Calibri" w:hAnsi="Calibri"/>
          <w:color w:val="231F20"/>
          <w:w w:val="105"/>
          <w:sz w:val="17"/>
        </w:rPr>
        <w:t>con</w:t>
      </w:r>
      <w:r>
        <w:rPr>
          <w:rFonts w:ascii="Calibri" w:hAnsi="Calibri"/>
          <w:color w:val="231F20"/>
          <w:spacing w:val="-13"/>
          <w:w w:val="105"/>
          <w:sz w:val="17"/>
        </w:rPr>
        <w:t> </w:t>
      </w:r>
      <w:r>
        <w:rPr>
          <w:rFonts w:ascii="Calibri" w:hAnsi="Calibri"/>
          <w:color w:val="231F20"/>
          <w:w w:val="105"/>
          <w:sz w:val="17"/>
        </w:rPr>
        <w:t>il</w:t>
      </w:r>
      <w:r>
        <w:rPr>
          <w:rFonts w:ascii="Calibri" w:hAnsi="Calibri"/>
          <w:color w:val="231F20"/>
          <w:spacing w:val="-13"/>
          <w:w w:val="105"/>
          <w:sz w:val="17"/>
        </w:rPr>
        <w:t> </w:t>
      </w:r>
      <w:r>
        <w:rPr>
          <w:rFonts w:ascii="Calibri" w:hAnsi="Calibri"/>
          <w:color w:val="231F20"/>
          <w:w w:val="105"/>
          <w:sz w:val="17"/>
        </w:rPr>
        <w:t>trattamento</w:t>
      </w:r>
      <w:r>
        <w:rPr>
          <w:rFonts w:ascii="Calibri" w:hAnsi="Calibri"/>
          <w:color w:val="231F20"/>
          <w:spacing w:val="-13"/>
          <w:w w:val="105"/>
          <w:sz w:val="17"/>
        </w:rPr>
        <w:t> </w:t>
      </w:r>
      <w:r>
        <w:rPr>
          <w:rFonts w:ascii="Calibri" w:hAnsi="Calibri"/>
          <w:color w:val="231F20"/>
          <w:w w:val="105"/>
          <w:sz w:val="17"/>
        </w:rPr>
        <w:t>riservato</w:t>
      </w:r>
      <w:r>
        <w:rPr>
          <w:rFonts w:ascii="Calibri" w:hAnsi="Calibri"/>
          <w:color w:val="231F20"/>
          <w:spacing w:val="-13"/>
          <w:w w:val="105"/>
          <w:sz w:val="17"/>
        </w:rPr>
        <w:t> </w:t>
      </w:r>
      <w:r>
        <w:rPr>
          <w:rFonts w:ascii="Calibri" w:hAnsi="Calibri"/>
          <w:color w:val="231F20"/>
          <w:w w:val="105"/>
          <w:sz w:val="17"/>
        </w:rPr>
        <w:t>dagli</w:t>
      </w:r>
      <w:r>
        <w:rPr>
          <w:rFonts w:ascii="Calibri" w:hAnsi="Calibri"/>
          <w:color w:val="231F20"/>
          <w:spacing w:val="-13"/>
          <w:w w:val="105"/>
          <w:sz w:val="17"/>
        </w:rPr>
        <w:t> </w:t>
      </w:r>
      <w:r>
        <w:rPr>
          <w:rFonts w:ascii="Calibri" w:hAnsi="Calibri"/>
          <w:color w:val="231F20"/>
          <w:w w:val="105"/>
          <w:sz w:val="17"/>
        </w:rPr>
        <w:t>Stati</w:t>
      </w:r>
      <w:r>
        <w:rPr>
          <w:rFonts w:ascii="Calibri" w:hAnsi="Calibri"/>
          <w:color w:val="231F20"/>
          <w:spacing w:val="-13"/>
          <w:w w:val="105"/>
          <w:sz w:val="17"/>
        </w:rPr>
        <w:t> </w:t>
      </w:r>
      <w:r>
        <w:rPr>
          <w:rFonts w:ascii="Calibri" w:hAnsi="Calibri"/>
          <w:color w:val="231F20"/>
          <w:w w:val="105"/>
          <w:sz w:val="17"/>
        </w:rPr>
        <w:t>ai</w:t>
      </w:r>
      <w:r>
        <w:rPr>
          <w:rFonts w:ascii="Calibri" w:hAnsi="Calibri"/>
          <w:color w:val="231F20"/>
          <w:spacing w:val="-13"/>
          <w:w w:val="105"/>
          <w:sz w:val="17"/>
        </w:rPr>
        <w:t> </w:t>
      </w:r>
      <w:r>
        <w:rPr>
          <w:rFonts w:ascii="Calibri" w:hAnsi="Calibri"/>
          <w:color w:val="231F20"/>
          <w:w w:val="105"/>
          <w:sz w:val="17"/>
        </w:rPr>
        <w:t>loro</w:t>
      </w:r>
      <w:r>
        <w:rPr>
          <w:rFonts w:ascii="Calibri" w:hAnsi="Calibri"/>
          <w:color w:val="231F20"/>
          <w:spacing w:val="-13"/>
          <w:w w:val="105"/>
          <w:sz w:val="17"/>
        </w:rPr>
        <w:t> </w:t>
      </w:r>
      <w:r>
        <w:rPr>
          <w:rFonts w:ascii="Calibri" w:hAnsi="Calibri"/>
          <w:color w:val="231F20"/>
          <w:w w:val="105"/>
          <w:sz w:val="17"/>
        </w:rPr>
        <w:t>cittadini</w:t>
      </w:r>
      <w:r>
        <w:rPr>
          <w:rFonts w:ascii="Calibri" w:hAnsi="Calibri"/>
          <w:color w:val="231F20"/>
          <w:spacing w:val="-13"/>
          <w:w w:val="105"/>
          <w:sz w:val="17"/>
        </w:rPr>
        <w:t> </w:t>
      </w:r>
      <w:r>
        <w:rPr>
          <w:rFonts w:ascii="Calibri" w:hAnsi="Calibri"/>
          <w:color w:val="231F20"/>
          <w:w w:val="105"/>
          <w:sz w:val="17"/>
        </w:rPr>
        <w:t>o</w:t>
      </w:r>
      <w:r>
        <w:rPr>
          <w:rFonts w:ascii="Calibri" w:hAnsi="Calibri"/>
          <w:color w:val="231F20"/>
          <w:spacing w:val="-13"/>
          <w:w w:val="105"/>
          <w:sz w:val="17"/>
        </w:rPr>
        <w:t> </w:t>
      </w:r>
      <w:r>
        <w:rPr>
          <w:rFonts w:ascii="Calibri" w:hAnsi="Calibri"/>
          <w:color w:val="231F20"/>
          <w:w w:val="105"/>
          <w:sz w:val="17"/>
        </w:rPr>
        <w:t>residenti;</w:t>
      </w:r>
      <w:r>
        <w:rPr>
          <w:rFonts w:ascii="Calibri" w:hAnsi="Calibri"/>
          <w:color w:val="231F20"/>
          <w:spacing w:val="-13"/>
          <w:w w:val="105"/>
          <w:sz w:val="17"/>
        </w:rPr>
        <w:t> </w:t>
      </w:r>
      <w:r>
        <w:rPr>
          <w:rFonts w:ascii="Calibri" w:hAnsi="Calibri"/>
          <w:color w:val="231F20"/>
          <w:w w:val="105"/>
          <w:sz w:val="17"/>
        </w:rPr>
        <w:t>i</w:t>
      </w:r>
      <w:r>
        <w:rPr>
          <w:rFonts w:ascii="Calibri" w:hAnsi="Calibri"/>
          <w:color w:val="231F20"/>
          <w:spacing w:val="-13"/>
          <w:w w:val="105"/>
          <w:sz w:val="17"/>
        </w:rPr>
        <w:t> </w:t>
      </w:r>
      <w:r>
        <w:rPr>
          <w:rFonts w:ascii="Calibri" w:hAnsi="Calibri"/>
          <w:i/>
          <w:color w:val="231F20"/>
          <w:w w:val="105"/>
          <w:sz w:val="17"/>
        </w:rPr>
        <w:t>crimini</w:t>
      </w:r>
      <w:r>
        <w:rPr>
          <w:rFonts w:ascii="Calibri" w:hAnsi="Calibri"/>
          <w:i/>
          <w:color w:val="231F20"/>
          <w:spacing w:val="-14"/>
          <w:w w:val="105"/>
          <w:sz w:val="17"/>
        </w:rPr>
        <w:t> </w:t>
      </w:r>
      <w:r>
        <w:rPr>
          <w:rFonts w:ascii="Calibri" w:hAnsi="Calibri"/>
          <w:i/>
          <w:color w:val="231F20"/>
          <w:w w:val="105"/>
          <w:sz w:val="17"/>
        </w:rPr>
        <w:t>contro </w:t>
      </w:r>
      <w:r>
        <w:rPr>
          <w:rFonts w:ascii="Calibri" w:hAnsi="Calibri"/>
          <w:i/>
          <w:color w:val="231F20"/>
          <w:w w:val="105"/>
          <w:sz w:val="17"/>
        </w:rPr>
        <w:t>l’umanità</w:t>
      </w:r>
      <w:r>
        <w:rPr>
          <w:rFonts w:ascii="Calibri" w:hAnsi="Calibri"/>
          <w:i/>
          <w:color w:val="231F20"/>
          <w:spacing w:val="-21"/>
          <w:w w:val="105"/>
          <w:sz w:val="17"/>
        </w:rPr>
        <w:t> </w:t>
      </w:r>
      <w:r>
        <w:rPr>
          <w:rFonts w:ascii="Calibri" w:hAnsi="Calibri"/>
          <w:color w:val="231F20"/>
          <w:w w:val="105"/>
          <w:sz w:val="17"/>
        </w:rPr>
        <w:t>e</w:t>
      </w:r>
      <w:r>
        <w:rPr>
          <w:rFonts w:ascii="Calibri" w:hAnsi="Calibri"/>
          <w:color w:val="231F20"/>
          <w:spacing w:val="-21"/>
          <w:w w:val="105"/>
          <w:sz w:val="17"/>
        </w:rPr>
        <w:t> </w:t>
      </w:r>
      <w:r>
        <w:rPr>
          <w:rFonts w:ascii="Calibri" w:hAnsi="Calibri"/>
          <w:color w:val="231F20"/>
          <w:w w:val="105"/>
          <w:sz w:val="17"/>
        </w:rPr>
        <w:t>i</w:t>
      </w:r>
      <w:r>
        <w:rPr>
          <w:rFonts w:ascii="Calibri" w:hAnsi="Calibri"/>
          <w:color w:val="231F20"/>
          <w:spacing w:val="-21"/>
          <w:w w:val="105"/>
          <w:sz w:val="17"/>
        </w:rPr>
        <w:t> </w:t>
      </w:r>
      <w:r>
        <w:rPr>
          <w:rFonts w:ascii="Calibri" w:hAnsi="Calibri"/>
          <w:i/>
          <w:color w:val="231F20"/>
          <w:w w:val="105"/>
          <w:sz w:val="17"/>
        </w:rPr>
        <w:t>crimini</w:t>
      </w:r>
      <w:r>
        <w:rPr>
          <w:rFonts w:ascii="Calibri" w:hAnsi="Calibri"/>
          <w:i/>
          <w:color w:val="231F20"/>
          <w:spacing w:val="-21"/>
          <w:w w:val="105"/>
          <w:sz w:val="17"/>
        </w:rPr>
        <w:t> </w:t>
      </w:r>
      <w:r>
        <w:rPr>
          <w:rFonts w:ascii="Calibri" w:hAnsi="Calibri"/>
          <w:i/>
          <w:color w:val="231F20"/>
          <w:w w:val="105"/>
          <w:sz w:val="17"/>
        </w:rPr>
        <w:t>di</w:t>
      </w:r>
      <w:r>
        <w:rPr>
          <w:rFonts w:ascii="Calibri" w:hAnsi="Calibri"/>
          <w:i/>
          <w:color w:val="231F20"/>
          <w:spacing w:val="-21"/>
          <w:w w:val="105"/>
          <w:sz w:val="17"/>
        </w:rPr>
        <w:t> </w:t>
      </w:r>
      <w:r>
        <w:rPr>
          <w:rFonts w:ascii="Calibri" w:hAnsi="Calibri"/>
          <w:i/>
          <w:color w:val="231F20"/>
          <w:w w:val="105"/>
          <w:sz w:val="17"/>
        </w:rPr>
        <w:t>guerra</w:t>
      </w:r>
      <w:r>
        <w:rPr>
          <w:rFonts w:ascii="Calibri" w:hAnsi="Calibri"/>
          <w:i/>
          <w:color w:val="231F20"/>
          <w:spacing w:val="-21"/>
          <w:w w:val="105"/>
          <w:sz w:val="17"/>
        </w:rPr>
        <w:t> </w:t>
      </w:r>
      <w:r>
        <w:rPr>
          <w:rFonts w:ascii="Calibri" w:hAnsi="Calibri"/>
          <w:color w:val="231F20"/>
          <w:w w:val="105"/>
          <w:sz w:val="17"/>
        </w:rPr>
        <w:t>riguardano</w:t>
      </w:r>
      <w:r>
        <w:rPr>
          <w:rFonts w:ascii="Calibri" w:hAnsi="Calibri"/>
          <w:color w:val="231F20"/>
          <w:spacing w:val="-21"/>
          <w:w w:val="105"/>
          <w:sz w:val="17"/>
        </w:rPr>
        <w:t> </w:t>
      </w:r>
      <w:r>
        <w:rPr>
          <w:rFonts w:ascii="Calibri" w:hAnsi="Calibri"/>
          <w:color w:val="231F20"/>
          <w:w w:val="105"/>
          <w:sz w:val="17"/>
        </w:rPr>
        <w:t>i</w:t>
      </w:r>
      <w:r>
        <w:rPr>
          <w:rFonts w:ascii="Calibri" w:hAnsi="Calibri"/>
          <w:color w:val="231F20"/>
          <w:spacing w:val="-21"/>
          <w:w w:val="105"/>
          <w:sz w:val="17"/>
        </w:rPr>
        <w:t> </w:t>
      </w:r>
      <w:r>
        <w:rPr>
          <w:rFonts w:ascii="Calibri" w:hAnsi="Calibri"/>
          <w:color w:val="231F20"/>
          <w:w w:val="105"/>
          <w:sz w:val="17"/>
        </w:rPr>
        <w:t>rapporti</w:t>
      </w:r>
      <w:r>
        <w:rPr>
          <w:rFonts w:ascii="Calibri" w:hAnsi="Calibri"/>
          <w:color w:val="231F20"/>
          <w:spacing w:val="-21"/>
          <w:w w:val="105"/>
          <w:sz w:val="17"/>
        </w:rPr>
        <w:t> </w:t>
      </w:r>
      <w:r>
        <w:rPr>
          <w:rFonts w:ascii="Calibri" w:hAnsi="Calibri"/>
          <w:color w:val="231F20"/>
          <w:w w:val="105"/>
          <w:sz w:val="17"/>
        </w:rPr>
        <w:t>tra</w:t>
      </w:r>
      <w:r>
        <w:rPr>
          <w:rFonts w:ascii="Calibri" w:hAnsi="Calibri"/>
          <w:color w:val="231F20"/>
          <w:spacing w:val="-21"/>
          <w:w w:val="105"/>
          <w:sz w:val="17"/>
        </w:rPr>
        <w:t> </w:t>
      </w:r>
      <w:r>
        <w:rPr>
          <w:rFonts w:ascii="Calibri" w:hAnsi="Calibri"/>
          <w:color w:val="231F20"/>
          <w:w w:val="105"/>
          <w:sz w:val="17"/>
        </w:rPr>
        <w:t>nemici</w:t>
      </w:r>
      <w:r>
        <w:rPr>
          <w:rFonts w:ascii="Calibri" w:hAnsi="Calibri"/>
          <w:color w:val="231F20"/>
          <w:spacing w:val="-21"/>
          <w:w w:val="105"/>
          <w:sz w:val="17"/>
        </w:rPr>
        <w:t> </w:t>
      </w:r>
      <w:r>
        <w:rPr>
          <w:rFonts w:ascii="Calibri" w:hAnsi="Calibri"/>
          <w:color w:val="231F20"/>
          <w:w w:val="105"/>
          <w:sz w:val="17"/>
        </w:rPr>
        <w:t>o</w:t>
      </w:r>
      <w:r>
        <w:rPr>
          <w:rFonts w:ascii="Calibri" w:hAnsi="Calibri"/>
          <w:color w:val="231F20"/>
          <w:spacing w:val="-21"/>
          <w:w w:val="105"/>
          <w:sz w:val="17"/>
        </w:rPr>
        <w:t> </w:t>
      </w:r>
      <w:r>
        <w:rPr>
          <w:rFonts w:ascii="Calibri" w:hAnsi="Calibri"/>
          <w:color w:val="231F20"/>
          <w:w w:val="105"/>
          <w:sz w:val="17"/>
        </w:rPr>
        <w:t>contendenti</w:t>
      </w:r>
      <w:r>
        <w:rPr>
          <w:rFonts w:ascii="Calibri" w:hAnsi="Calibri"/>
          <w:color w:val="231F20"/>
          <w:spacing w:val="-21"/>
          <w:w w:val="105"/>
          <w:sz w:val="17"/>
        </w:rPr>
        <w:t> </w:t>
      </w:r>
      <w:r>
        <w:rPr>
          <w:rFonts w:ascii="Calibri" w:hAnsi="Calibri"/>
          <w:color w:val="231F20"/>
          <w:w w:val="105"/>
          <w:sz w:val="17"/>
        </w:rPr>
        <w:t>in</w:t>
      </w:r>
      <w:r>
        <w:rPr>
          <w:rFonts w:ascii="Calibri" w:hAnsi="Calibri"/>
          <w:color w:val="231F20"/>
          <w:spacing w:val="-21"/>
          <w:w w:val="105"/>
          <w:sz w:val="17"/>
        </w:rPr>
        <w:t> </w:t>
      </w:r>
      <w:r>
        <w:rPr>
          <w:rFonts w:ascii="Calibri" w:hAnsi="Calibri"/>
          <w:color w:val="231F20"/>
          <w:w w:val="105"/>
          <w:sz w:val="17"/>
        </w:rPr>
        <w:t>contesti</w:t>
      </w:r>
      <w:r>
        <w:rPr>
          <w:rFonts w:ascii="Calibri" w:hAnsi="Calibri"/>
          <w:color w:val="231F20"/>
          <w:spacing w:val="-21"/>
          <w:w w:val="105"/>
          <w:sz w:val="17"/>
        </w:rPr>
        <w:t> </w:t>
      </w:r>
      <w:r>
        <w:rPr>
          <w:rFonts w:ascii="Calibri" w:hAnsi="Calibri"/>
          <w:color w:val="231F20"/>
          <w:w w:val="105"/>
          <w:sz w:val="17"/>
        </w:rPr>
        <w:t>sia</w:t>
      </w:r>
      <w:r>
        <w:rPr>
          <w:rFonts w:ascii="Calibri" w:hAnsi="Calibri"/>
          <w:color w:val="231F20"/>
          <w:spacing w:val="-21"/>
          <w:w w:val="105"/>
          <w:sz w:val="17"/>
        </w:rPr>
        <w:t> </w:t>
      </w:r>
      <w:r>
        <w:rPr>
          <w:rFonts w:ascii="Calibri" w:hAnsi="Calibri"/>
          <w:color w:val="231F20"/>
          <w:w w:val="105"/>
          <w:sz w:val="17"/>
        </w:rPr>
        <w:t>nazionali sia extraterritoriali. Le migrazioni transnazionali, al contrario, concernono i diritti degli individui non</w:t>
      </w:r>
      <w:r>
        <w:rPr>
          <w:rFonts w:ascii="Calibri" w:hAnsi="Calibri"/>
          <w:color w:val="231F20"/>
          <w:spacing w:val="-21"/>
          <w:w w:val="105"/>
          <w:sz w:val="17"/>
        </w:rPr>
        <w:t> </w:t>
      </w:r>
      <w:r>
        <w:rPr>
          <w:rFonts w:ascii="Calibri" w:hAnsi="Calibri"/>
          <w:color w:val="231F20"/>
          <w:w w:val="105"/>
          <w:sz w:val="17"/>
        </w:rPr>
        <w:t>in</w:t>
      </w:r>
      <w:r>
        <w:rPr>
          <w:rFonts w:ascii="Calibri" w:hAnsi="Calibri"/>
          <w:color w:val="231F20"/>
          <w:spacing w:val="-21"/>
          <w:w w:val="105"/>
          <w:sz w:val="17"/>
        </w:rPr>
        <w:t> </w:t>
      </w:r>
      <w:r>
        <w:rPr>
          <w:rFonts w:ascii="Calibri" w:hAnsi="Calibri"/>
          <w:color w:val="231F20"/>
          <w:w w:val="105"/>
          <w:sz w:val="17"/>
        </w:rPr>
        <w:t>quanto</w:t>
      </w:r>
      <w:r>
        <w:rPr>
          <w:rFonts w:ascii="Calibri" w:hAnsi="Calibri"/>
          <w:color w:val="231F20"/>
          <w:spacing w:val="-21"/>
          <w:w w:val="105"/>
          <w:sz w:val="17"/>
        </w:rPr>
        <w:t> </w:t>
      </w:r>
      <w:r>
        <w:rPr>
          <w:rFonts w:ascii="Calibri" w:hAnsi="Calibri"/>
          <w:color w:val="231F20"/>
          <w:w w:val="105"/>
          <w:sz w:val="17"/>
        </w:rPr>
        <w:t>membri</w:t>
      </w:r>
      <w:r>
        <w:rPr>
          <w:rFonts w:ascii="Calibri" w:hAnsi="Calibri"/>
          <w:color w:val="231F20"/>
          <w:spacing w:val="-21"/>
          <w:w w:val="105"/>
          <w:sz w:val="17"/>
        </w:rPr>
        <w:t> </w:t>
      </w:r>
      <w:r>
        <w:rPr>
          <w:rFonts w:ascii="Calibri" w:hAnsi="Calibri"/>
          <w:color w:val="231F20"/>
          <w:w w:val="105"/>
          <w:sz w:val="17"/>
        </w:rPr>
        <w:t>di</w:t>
      </w:r>
      <w:r>
        <w:rPr>
          <w:rFonts w:ascii="Calibri" w:hAnsi="Calibri"/>
          <w:color w:val="231F20"/>
          <w:spacing w:val="-21"/>
          <w:w w:val="105"/>
          <w:sz w:val="17"/>
        </w:rPr>
        <w:t> </w:t>
      </w:r>
      <w:r>
        <w:rPr>
          <w:rFonts w:ascii="Calibri" w:hAnsi="Calibri"/>
          <w:color w:val="231F20"/>
          <w:w w:val="105"/>
          <w:sz w:val="17"/>
        </w:rPr>
        <w:t>concrete</w:t>
      </w:r>
      <w:r>
        <w:rPr>
          <w:rFonts w:ascii="Calibri" w:hAnsi="Calibri"/>
          <w:color w:val="231F20"/>
          <w:spacing w:val="-21"/>
          <w:w w:val="105"/>
          <w:sz w:val="17"/>
        </w:rPr>
        <w:t> </w:t>
      </w:r>
      <w:r>
        <w:rPr>
          <w:rFonts w:ascii="Calibri" w:hAnsi="Calibri"/>
          <w:color w:val="231F20"/>
          <w:w w:val="105"/>
          <w:sz w:val="17"/>
        </w:rPr>
        <w:t>comunità</w:t>
      </w:r>
      <w:r>
        <w:rPr>
          <w:rFonts w:ascii="Calibri" w:hAnsi="Calibri"/>
          <w:color w:val="231F20"/>
          <w:spacing w:val="-21"/>
          <w:w w:val="105"/>
          <w:sz w:val="17"/>
        </w:rPr>
        <w:t> </w:t>
      </w:r>
      <w:r>
        <w:rPr>
          <w:rFonts w:ascii="Calibri" w:hAnsi="Calibri"/>
          <w:color w:val="231F20"/>
          <w:w w:val="105"/>
          <w:sz w:val="17"/>
        </w:rPr>
        <w:t>circoscritte,</w:t>
      </w:r>
      <w:r>
        <w:rPr>
          <w:rFonts w:ascii="Calibri" w:hAnsi="Calibri"/>
          <w:color w:val="231F20"/>
          <w:spacing w:val="-21"/>
          <w:w w:val="105"/>
          <w:sz w:val="17"/>
        </w:rPr>
        <w:t> </w:t>
      </w:r>
      <w:r>
        <w:rPr>
          <w:rFonts w:ascii="Calibri" w:hAnsi="Calibri"/>
          <w:color w:val="231F20"/>
          <w:w w:val="105"/>
          <w:sz w:val="17"/>
        </w:rPr>
        <w:t>ma</w:t>
      </w:r>
      <w:r>
        <w:rPr>
          <w:rFonts w:ascii="Calibri" w:hAnsi="Calibri"/>
          <w:color w:val="231F20"/>
          <w:spacing w:val="-21"/>
          <w:w w:val="105"/>
          <w:sz w:val="17"/>
        </w:rPr>
        <w:t> </w:t>
      </w:r>
      <w:r>
        <w:rPr>
          <w:rFonts w:ascii="Calibri" w:hAnsi="Calibri"/>
          <w:i/>
          <w:color w:val="231F20"/>
          <w:w w:val="105"/>
          <w:sz w:val="17"/>
        </w:rPr>
        <w:t>simpliciter</w:t>
      </w:r>
      <w:r>
        <w:rPr>
          <w:rFonts w:ascii="Calibri" w:hAnsi="Calibri"/>
          <w:i/>
          <w:color w:val="231F20"/>
          <w:spacing w:val="-21"/>
          <w:w w:val="105"/>
          <w:sz w:val="17"/>
        </w:rPr>
        <w:t> </w:t>
      </w:r>
      <w:r>
        <w:rPr>
          <w:rFonts w:ascii="Calibri" w:hAnsi="Calibri"/>
          <w:color w:val="231F20"/>
          <w:w w:val="105"/>
          <w:sz w:val="17"/>
        </w:rPr>
        <w:t>in</w:t>
      </w:r>
      <w:r>
        <w:rPr>
          <w:rFonts w:ascii="Calibri" w:hAnsi="Calibri"/>
          <w:color w:val="231F20"/>
          <w:spacing w:val="-21"/>
          <w:w w:val="105"/>
          <w:sz w:val="17"/>
        </w:rPr>
        <w:t> </w:t>
      </w:r>
      <w:r>
        <w:rPr>
          <w:rFonts w:ascii="Calibri" w:hAnsi="Calibri"/>
          <w:color w:val="231F20"/>
          <w:w w:val="105"/>
          <w:sz w:val="17"/>
        </w:rPr>
        <w:t>quanto</w:t>
      </w:r>
      <w:r>
        <w:rPr>
          <w:rFonts w:ascii="Calibri" w:hAnsi="Calibri"/>
          <w:color w:val="231F20"/>
          <w:spacing w:val="-21"/>
          <w:w w:val="105"/>
          <w:sz w:val="17"/>
        </w:rPr>
        <w:t> </w:t>
      </w:r>
      <w:r>
        <w:rPr>
          <w:rFonts w:ascii="Calibri" w:hAnsi="Calibri"/>
          <w:color w:val="231F20"/>
          <w:w w:val="105"/>
          <w:sz w:val="17"/>
        </w:rPr>
        <w:t>esseri</w:t>
      </w:r>
      <w:r>
        <w:rPr>
          <w:rFonts w:ascii="Calibri" w:hAnsi="Calibri"/>
          <w:color w:val="231F20"/>
          <w:spacing w:val="-21"/>
          <w:w w:val="105"/>
          <w:sz w:val="17"/>
        </w:rPr>
        <w:t> </w:t>
      </w:r>
      <w:r>
        <w:rPr>
          <w:rFonts w:ascii="Calibri" w:hAnsi="Calibri"/>
          <w:color w:val="231F20"/>
          <w:w w:val="105"/>
          <w:sz w:val="17"/>
        </w:rPr>
        <w:t>umani,</w:t>
      </w:r>
      <w:r>
        <w:rPr>
          <w:rFonts w:ascii="Calibri" w:hAnsi="Calibri"/>
          <w:color w:val="231F20"/>
          <w:spacing w:val="-21"/>
          <w:w w:val="105"/>
          <w:sz w:val="17"/>
        </w:rPr>
        <w:t> </w:t>
      </w:r>
      <w:r>
        <w:rPr>
          <w:rFonts w:ascii="Calibri" w:hAnsi="Calibri"/>
          <w:color w:val="231F20"/>
          <w:w w:val="105"/>
          <w:sz w:val="17"/>
        </w:rPr>
        <w:t>che entrano</w:t>
      </w:r>
      <w:r>
        <w:rPr>
          <w:rFonts w:ascii="Calibri" w:hAnsi="Calibri"/>
          <w:color w:val="231F20"/>
          <w:spacing w:val="-6"/>
          <w:w w:val="105"/>
          <w:sz w:val="17"/>
        </w:rPr>
        <w:t> </w:t>
      </w:r>
      <w:r>
        <w:rPr>
          <w:rFonts w:ascii="Calibri" w:hAnsi="Calibri"/>
          <w:color w:val="231F20"/>
          <w:w w:val="105"/>
          <w:sz w:val="17"/>
        </w:rPr>
        <w:t>in</w:t>
      </w:r>
      <w:r>
        <w:rPr>
          <w:rFonts w:ascii="Calibri" w:hAnsi="Calibri"/>
          <w:color w:val="231F20"/>
          <w:spacing w:val="-6"/>
          <w:w w:val="105"/>
          <w:sz w:val="17"/>
        </w:rPr>
        <w:t> </w:t>
      </w:r>
      <w:r>
        <w:rPr>
          <w:rFonts w:ascii="Calibri" w:hAnsi="Calibri"/>
          <w:color w:val="231F20"/>
          <w:w w:val="105"/>
          <w:sz w:val="17"/>
        </w:rPr>
        <w:t>contatto</w:t>
      </w:r>
      <w:r>
        <w:rPr>
          <w:rFonts w:ascii="Calibri" w:hAnsi="Calibri"/>
          <w:color w:val="231F20"/>
          <w:spacing w:val="-6"/>
          <w:w w:val="105"/>
          <w:sz w:val="17"/>
        </w:rPr>
        <w:t> </w:t>
      </w:r>
      <w:r>
        <w:rPr>
          <w:rFonts w:ascii="Calibri" w:hAnsi="Calibri"/>
          <w:color w:val="231F20"/>
          <w:w w:val="105"/>
          <w:sz w:val="17"/>
        </w:rPr>
        <w:t>con</w:t>
      </w:r>
      <w:r>
        <w:rPr>
          <w:rFonts w:ascii="Calibri" w:hAnsi="Calibri"/>
          <w:color w:val="231F20"/>
          <w:spacing w:val="-6"/>
          <w:w w:val="105"/>
          <w:sz w:val="17"/>
        </w:rPr>
        <w:t> </w:t>
      </w:r>
      <w:r>
        <w:rPr>
          <w:rFonts w:ascii="Calibri" w:hAnsi="Calibri"/>
          <w:color w:val="231F20"/>
          <w:w w:val="105"/>
          <w:sz w:val="17"/>
        </w:rPr>
        <w:t>comunità</w:t>
      </w:r>
      <w:r>
        <w:rPr>
          <w:rFonts w:ascii="Calibri" w:hAnsi="Calibri"/>
          <w:color w:val="231F20"/>
          <w:spacing w:val="-6"/>
          <w:w w:val="105"/>
          <w:sz w:val="17"/>
        </w:rPr>
        <w:t> </w:t>
      </w:r>
      <w:r>
        <w:rPr>
          <w:rFonts w:ascii="Calibri" w:hAnsi="Calibri"/>
          <w:color w:val="231F20"/>
          <w:w w:val="105"/>
          <w:sz w:val="17"/>
        </w:rPr>
        <w:t>territorialmente</w:t>
      </w:r>
      <w:r>
        <w:rPr>
          <w:rFonts w:ascii="Calibri" w:hAnsi="Calibri"/>
          <w:color w:val="231F20"/>
          <w:spacing w:val="-6"/>
          <w:w w:val="105"/>
          <w:sz w:val="17"/>
        </w:rPr>
        <w:t> </w:t>
      </w:r>
      <w:r>
        <w:rPr>
          <w:rFonts w:ascii="Calibri" w:hAnsi="Calibri"/>
          <w:color w:val="231F20"/>
          <w:w w:val="105"/>
          <w:sz w:val="17"/>
        </w:rPr>
        <w:t>delimitate,</w:t>
      </w:r>
      <w:r>
        <w:rPr>
          <w:rFonts w:ascii="Calibri" w:hAnsi="Calibri"/>
          <w:color w:val="231F20"/>
          <w:spacing w:val="-6"/>
          <w:w w:val="105"/>
          <w:sz w:val="17"/>
        </w:rPr>
        <w:t> </w:t>
      </w:r>
      <w:r>
        <w:rPr>
          <w:rFonts w:ascii="Calibri" w:hAnsi="Calibri"/>
          <w:color w:val="231F20"/>
          <w:w w:val="105"/>
          <w:sz w:val="17"/>
        </w:rPr>
        <w:t>cercano</w:t>
      </w:r>
      <w:r>
        <w:rPr>
          <w:rFonts w:ascii="Calibri" w:hAnsi="Calibri"/>
          <w:color w:val="231F20"/>
          <w:spacing w:val="-6"/>
          <w:w w:val="105"/>
          <w:sz w:val="17"/>
        </w:rPr>
        <w:t> </w:t>
      </w:r>
      <w:r>
        <w:rPr>
          <w:rFonts w:ascii="Calibri" w:hAnsi="Calibri"/>
          <w:color w:val="231F20"/>
          <w:w w:val="105"/>
          <w:sz w:val="17"/>
        </w:rPr>
        <w:t>di</w:t>
      </w:r>
      <w:r>
        <w:rPr>
          <w:rFonts w:ascii="Calibri" w:hAnsi="Calibri"/>
          <w:color w:val="231F20"/>
          <w:spacing w:val="-6"/>
          <w:w w:val="105"/>
          <w:sz w:val="17"/>
        </w:rPr>
        <w:t> </w:t>
      </w:r>
      <w:r>
        <w:rPr>
          <w:rFonts w:ascii="Calibri" w:hAnsi="Calibri"/>
          <w:color w:val="231F20"/>
          <w:w w:val="105"/>
          <w:sz w:val="17"/>
        </w:rPr>
        <w:t>entrarvi</w:t>
      </w:r>
      <w:r>
        <w:rPr>
          <w:rFonts w:ascii="Calibri" w:hAnsi="Calibri"/>
          <w:color w:val="231F20"/>
          <w:spacing w:val="-6"/>
          <w:w w:val="105"/>
          <w:sz w:val="17"/>
        </w:rPr>
        <w:t> </w:t>
      </w:r>
      <w:r>
        <w:rPr>
          <w:rFonts w:ascii="Calibri" w:hAnsi="Calibri"/>
          <w:color w:val="231F20"/>
          <w:w w:val="105"/>
          <w:sz w:val="17"/>
        </w:rPr>
        <w:t>o</w:t>
      </w:r>
      <w:r>
        <w:rPr>
          <w:rFonts w:ascii="Calibri" w:hAnsi="Calibri"/>
          <w:color w:val="231F20"/>
          <w:spacing w:val="-6"/>
          <w:w w:val="105"/>
          <w:sz w:val="17"/>
        </w:rPr>
        <w:t> </w:t>
      </w:r>
      <w:r>
        <w:rPr>
          <w:rFonts w:ascii="Calibri" w:hAnsi="Calibri"/>
          <w:color w:val="231F20"/>
          <w:w w:val="105"/>
          <w:sz w:val="17"/>
        </w:rPr>
        <w:t>ambiscono</w:t>
      </w:r>
      <w:r>
        <w:rPr>
          <w:rFonts w:ascii="Calibri" w:hAnsi="Calibri"/>
          <w:color w:val="231F20"/>
          <w:spacing w:val="-6"/>
          <w:w w:val="105"/>
          <w:sz w:val="17"/>
        </w:rPr>
        <w:t> </w:t>
      </w:r>
      <w:r>
        <w:rPr>
          <w:rFonts w:ascii="Calibri" w:hAnsi="Calibri"/>
          <w:color w:val="231F20"/>
          <w:w w:val="105"/>
          <w:sz w:val="17"/>
        </w:rPr>
        <w:t>a </w:t>
      </w:r>
      <w:r>
        <w:rPr>
          <w:rFonts w:ascii="Calibri" w:hAnsi="Calibri"/>
          <w:color w:val="231F20"/>
          <w:sz w:val="17"/>
        </w:rPr>
        <w:t>diventarne</w:t>
      </w:r>
      <w:r>
        <w:rPr>
          <w:rFonts w:ascii="Calibri" w:hAnsi="Calibri"/>
          <w:color w:val="231F20"/>
          <w:spacing w:val="24"/>
          <w:sz w:val="17"/>
        </w:rPr>
        <w:t> </w:t>
      </w:r>
      <w:r>
        <w:rPr>
          <w:rFonts w:ascii="Calibri" w:hAnsi="Calibri"/>
          <w:color w:val="231F20"/>
          <w:spacing w:val="-3"/>
          <w:sz w:val="17"/>
        </w:rPr>
        <w:t>membri”.</w:t>
      </w:r>
    </w:p>
    <w:p>
      <w:pPr>
        <w:spacing w:line="206" w:lineRule="exact" w:before="1"/>
        <w:ind w:left="117" w:right="0" w:firstLine="0"/>
        <w:jc w:val="both"/>
        <w:rPr>
          <w:rFonts w:ascii="Calibri" w:hAnsi="Calibri"/>
          <w:sz w:val="17"/>
        </w:rPr>
      </w:pPr>
      <w:r>
        <w:rPr>
          <w:rFonts w:ascii="Calibri" w:hAnsi="Calibri"/>
          <w:color w:val="231F20"/>
          <w:position w:val="6"/>
          <w:sz w:val="10"/>
        </w:rPr>
        <w:t>25 </w:t>
      </w:r>
      <w:r>
        <w:rPr>
          <w:rFonts w:ascii="Calibri" w:hAnsi="Calibri"/>
          <w:color w:val="231F20"/>
          <w:sz w:val="17"/>
        </w:rPr>
        <w:t>Beck, </w:t>
      </w:r>
      <w:r>
        <w:rPr>
          <w:rFonts w:ascii="Calibri" w:hAnsi="Calibri"/>
          <w:i/>
          <w:color w:val="231F20"/>
          <w:sz w:val="17"/>
        </w:rPr>
        <w:t>Lo sguardo cosmopolita</w:t>
      </w:r>
      <w:r>
        <w:rPr>
          <w:rFonts w:ascii="Calibri" w:hAnsi="Calibri"/>
          <w:color w:val="231F20"/>
          <w:sz w:val="17"/>
        </w:rPr>
        <w:t>, pp. 179–180.</w:t>
      </w:r>
    </w:p>
    <w:p>
      <w:pPr>
        <w:spacing w:line="235" w:lineRule="auto" w:before="1"/>
        <w:ind w:left="117" w:right="121" w:firstLine="0"/>
        <w:jc w:val="both"/>
        <w:rPr>
          <w:rFonts w:ascii="Calibri" w:hAnsi="Calibri"/>
          <w:sz w:val="17"/>
        </w:rPr>
      </w:pPr>
      <w:r>
        <w:rPr>
          <w:rFonts w:ascii="Calibri" w:hAnsi="Calibri"/>
          <w:color w:val="231F20"/>
          <w:position w:val="6"/>
          <w:sz w:val="10"/>
        </w:rPr>
        <w:t>26</w:t>
      </w:r>
      <w:r>
        <w:rPr>
          <w:rFonts w:ascii="Calibri" w:hAnsi="Calibri"/>
          <w:color w:val="231F20"/>
          <w:spacing w:val="-4"/>
          <w:position w:val="6"/>
          <w:sz w:val="10"/>
        </w:rPr>
        <w:t> </w:t>
      </w:r>
      <w:r>
        <w:rPr>
          <w:rFonts w:ascii="Calibri" w:hAnsi="Calibri"/>
          <w:color w:val="231F20"/>
          <w:sz w:val="17"/>
        </w:rPr>
        <w:t>Benhabib,</w:t>
      </w:r>
      <w:r>
        <w:rPr>
          <w:rFonts w:ascii="Calibri" w:hAnsi="Calibri"/>
          <w:color w:val="231F20"/>
          <w:spacing w:val="-7"/>
          <w:sz w:val="17"/>
        </w:rPr>
        <w:t> </w:t>
      </w:r>
      <w:r>
        <w:rPr>
          <w:rFonts w:ascii="Calibri" w:hAnsi="Calibri"/>
          <w:i/>
          <w:color w:val="231F20"/>
          <w:sz w:val="17"/>
        </w:rPr>
        <w:t>Cittadini</w:t>
      </w:r>
      <w:r>
        <w:rPr>
          <w:rFonts w:ascii="Calibri" w:hAnsi="Calibri"/>
          <w:i/>
          <w:color w:val="231F20"/>
          <w:spacing w:val="-7"/>
          <w:sz w:val="17"/>
        </w:rPr>
        <w:t> </w:t>
      </w:r>
      <w:r>
        <w:rPr>
          <w:rFonts w:ascii="Calibri" w:hAnsi="Calibri"/>
          <w:i/>
          <w:color w:val="231F20"/>
          <w:sz w:val="17"/>
        </w:rPr>
        <w:t>globali</w:t>
      </w:r>
      <w:r>
        <w:rPr>
          <w:rFonts w:ascii="Calibri" w:hAnsi="Calibri"/>
          <w:color w:val="231F20"/>
          <w:sz w:val="17"/>
        </w:rPr>
        <w:t>,</w:t>
      </w:r>
      <w:r>
        <w:rPr>
          <w:rFonts w:ascii="Calibri" w:hAnsi="Calibri"/>
          <w:color w:val="231F20"/>
          <w:spacing w:val="-7"/>
          <w:sz w:val="17"/>
        </w:rPr>
        <w:t> </w:t>
      </w:r>
      <w:r>
        <w:rPr>
          <w:rFonts w:ascii="Calibri" w:hAnsi="Calibri"/>
          <w:color w:val="231F20"/>
          <w:sz w:val="17"/>
        </w:rPr>
        <w:t>pp.</w:t>
      </w:r>
      <w:r>
        <w:rPr>
          <w:rFonts w:ascii="Calibri" w:hAnsi="Calibri"/>
          <w:color w:val="231F20"/>
          <w:spacing w:val="-7"/>
          <w:sz w:val="17"/>
        </w:rPr>
        <w:t> </w:t>
      </w:r>
      <w:r>
        <w:rPr>
          <w:rFonts w:ascii="Calibri" w:hAnsi="Calibri"/>
          <w:color w:val="231F20"/>
          <w:sz w:val="17"/>
        </w:rPr>
        <w:t>21–32.</w:t>
      </w:r>
      <w:r>
        <w:rPr>
          <w:rFonts w:ascii="Calibri" w:hAnsi="Calibri"/>
          <w:color w:val="231F20"/>
          <w:spacing w:val="-7"/>
          <w:sz w:val="17"/>
        </w:rPr>
        <w:t> </w:t>
      </w:r>
      <w:r>
        <w:rPr>
          <w:rFonts w:ascii="Calibri" w:hAnsi="Calibri"/>
          <w:color w:val="231F20"/>
          <w:sz w:val="17"/>
        </w:rPr>
        <w:t>Il</w:t>
      </w:r>
      <w:r>
        <w:rPr>
          <w:rFonts w:ascii="Calibri" w:hAnsi="Calibri"/>
          <w:color w:val="231F20"/>
          <w:spacing w:val="-7"/>
          <w:sz w:val="17"/>
        </w:rPr>
        <w:t> </w:t>
      </w:r>
      <w:r>
        <w:rPr>
          <w:rFonts w:ascii="Calibri" w:hAnsi="Calibri"/>
          <w:color w:val="231F20"/>
          <w:sz w:val="17"/>
        </w:rPr>
        <w:t>riferimento</w:t>
      </w:r>
      <w:r>
        <w:rPr>
          <w:rFonts w:ascii="Calibri" w:hAnsi="Calibri"/>
          <w:color w:val="231F20"/>
          <w:spacing w:val="-7"/>
          <w:sz w:val="17"/>
        </w:rPr>
        <w:t> </w:t>
      </w:r>
      <w:r>
        <w:rPr>
          <w:rFonts w:ascii="Calibri" w:hAnsi="Calibri"/>
          <w:color w:val="231F20"/>
          <w:sz w:val="17"/>
        </w:rPr>
        <w:t>è,</w:t>
      </w:r>
      <w:r>
        <w:rPr>
          <w:rFonts w:ascii="Calibri" w:hAnsi="Calibri"/>
          <w:color w:val="231F20"/>
          <w:spacing w:val="-7"/>
          <w:sz w:val="17"/>
        </w:rPr>
        <w:t> </w:t>
      </w:r>
      <w:r>
        <w:rPr>
          <w:rFonts w:ascii="Calibri" w:hAnsi="Calibri"/>
          <w:color w:val="231F20"/>
          <w:sz w:val="17"/>
        </w:rPr>
        <w:t>ovviamente,</w:t>
      </w:r>
      <w:r>
        <w:rPr>
          <w:rFonts w:ascii="Calibri" w:hAnsi="Calibri"/>
          <w:color w:val="231F20"/>
          <w:spacing w:val="-7"/>
          <w:sz w:val="17"/>
        </w:rPr>
        <w:t> </w:t>
      </w:r>
      <w:r>
        <w:rPr>
          <w:rFonts w:ascii="Calibri" w:hAnsi="Calibri"/>
          <w:color w:val="231F20"/>
          <w:sz w:val="17"/>
        </w:rPr>
        <w:t>al</w:t>
      </w:r>
      <w:r>
        <w:rPr>
          <w:rFonts w:ascii="Calibri" w:hAnsi="Calibri"/>
          <w:color w:val="231F20"/>
          <w:spacing w:val="-7"/>
          <w:sz w:val="17"/>
        </w:rPr>
        <w:t> </w:t>
      </w:r>
      <w:r>
        <w:rPr>
          <w:rFonts w:ascii="Calibri" w:hAnsi="Calibri"/>
          <w:i/>
          <w:color w:val="231F20"/>
          <w:spacing w:val="-3"/>
          <w:sz w:val="17"/>
        </w:rPr>
        <w:t>Terzo</w:t>
      </w:r>
      <w:r>
        <w:rPr>
          <w:rFonts w:ascii="Calibri" w:hAnsi="Calibri"/>
          <w:i/>
          <w:color w:val="231F20"/>
          <w:spacing w:val="-7"/>
          <w:sz w:val="17"/>
        </w:rPr>
        <w:t> </w:t>
      </w:r>
      <w:r>
        <w:rPr>
          <w:rFonts w:ascii="Calibri" w:hAnsi="Calibri"/>
          <w:i/>
          <w:color w:val="231F20"/>
          <w:sz w:val="17"/>
        </w:rPr>
        <w:t>articolo</w:t>
      </w:r>
      <w:r>
        <w:rPr>
          <w:rFonts w:ascii="Calibri" w:hAnsi="Calibri"/>
          <w:i/>
          <w:color w:val="231F20"/>
          <w:spacing w:val="-7"/>
          <w:sz w:val="17"/>
        </w:rPr>
        <w:t> </w:t>
      </w:r>
      <w:r>
        <w:rPr>
          <w:rFonts w:ascii="Calibri" w:hAnsi="Calibri"/>
          <w:i/>
          <w:color w:val="231F20"/>
          <w:sz w:val="17"/>
        </w:rPr>
        <w:t>definitivo</w:t>
      </w:r>
      <w:r>
        <w:rPr>
          <w:rFonts w:ascii="Calibri" w:hAnsi="Calibri"/>
          <w:i/>
          <w:color w:val="231F20"/>
          <w:spacing w:val="-7"/>
          <w:sz w:val="17"/>
        </w:rPr>
        <w:t> </w:t>
      </w:r>
      <w:r>
        <w:rPr>
          <w:rFonts w:ascii="Calibri" w:hAnsi="Calibri"/>
          <w:i/>
          <w:color w:val="231F20"/>
          <w:sz w:val="17"/>
        </w:rPr>
        <w:t>per</w:t>
      </w:r>
      <w:r>
        <w:rPr>
          <w:rFonts w:ascii="Calibri" w:hAnsi="Calibri"/>
          <w:i/>
          <w:color w:val="231F20"/>
          <w:spacing w:val="-7"/>
          <w:sz w:val="17"/>
        </w:rPr>
        <w:t> </w:t>
      </w:r>
      <w:r>
        <w:rPr>
          <w:rFonts w:ascii="Calibri" w:hAnsi="Calibri"/>
          <w:i/>
          <w:color w:val="231F20"/>
          <w:sz w:val="17"/>
        </w:rPr>
        <w:t>la </w:t>
      </w:r>
      <w:r>
        <w:rPr>
          <w:rFonts w:ascii="Calibri" w:hAnsi="Calibri"/>
          <w:i/>
          <w:color w:val="231F20"/>
          <w:sz w:val="17"/>
        </w:rPr>
        <w:t>pace perpetua</w:t>
      </w:r>
      <w:r>
        <w:rPr>
          <w:rFonts w:ascii="Calibri" w:hAnsi="Calibri"/>
          <w:color w:val="231F20"/>
          <w:sz w:val="17"/>
        </w:rPr>
        <w:t>, che suona “Il diritto cosmopolitico deve essere limitato alle condizioni dell’ospitalità universale”. </w:t>
      </w:r>
      <w:r>
        <w:rPr>
          <w:rFonts w:ascii="Calibri" w:hAnsi="Calibri"/>
          <w:i/>
          <w:color w:val="231F20"/>
          <w:sz w:val="17"/>
        </w:rPr>
        <w:t>Cfr</w:t>
      </w:r>
      <w:r>
        <w:rPr>
          <w:rFonts w:ascii="Calibri" w:hAnsi="Calibri"/>
          <w:color w:val="231F20"/>
          <w:sz w:val="17"/>
        </w:rPr>
        <w:t>. I. Kant, </w:t>
      </w:r>
      <w:r>
        <w:rPr>
          <w:rFonts w:ascii="Calibri" w:hAnsi="Calibri"/>
          <w:i/>
          <w:color w:val="231F20"/>
          <w:sz w:val="17"/>
        </w:rPr>
        <w:t>Per la pace perpetua</w:t>
      </w:r>
      <w:r>
        <w:rPr>
          <w:rFonts w:ascii="Calibri" w:hAnsi="Calibri"/>
          <w:color w:val="231F20"/>
          <w:sz w:val="17"/>
        </w:rPr>
        <w:t>, Milano, Feltrinelli, 2003, pp. 65–68. Sul generale impianto della riflessione kantiana e sulle sue ambivalenze costruttive mi permetto di rinviare a L. Scuccimarra, </w:t>
      </w:r>
      <w:r>
        <w:rPr>
          <w:rFonts w:ascii="Calibri" w:hAnsi="Calibri"/>
          <w:i/>
          <w:color w:val="231F20"/>
          <w:sz w:val="17"/>
        </w:rPr>
        <w:t>I confini del mondo. Storia del cosmopolitismo dall’Antichità al Settecento</w:t>
      </w:r>
      <w:r>
        <w:rPr>
          <w:rFonts w:ascii="Calibri" w:hAnsi="Calibri"/>
          <w:color w:val="231F20"/>
          <w:sz w:val="17"/>
        </w:rPr>
        <w:t>, Bologna, il Mulino, 2006, pp.</w:t>
      </w:r>
      <w:r>
        <w:rPr>
          <w:rFonts w:ascii="Calibri" w:hAnsi="Calibri"/>
          <w:color w:val="231F20"/>
          <w:spacing w:val="27"/>
          <w:sz w:val="17"/>
        </w:rPr>
        <w:t> </w:t>
      </w:r>
      <w:r>
        <w:rPr>
          <w:rFonts w:ascii="Calibri" w:hAnsi="Calibri"/>
          <w:color w:val="231F20"/>
          <w:sz w:val="17"/>
        </w:rPr>
        <w:t>395–396.</w:t>
      </w:r>
    </w:p>
    <w:p>
      <w:pPr>
        <w:spacing w:after="0" w:line="235" w:lineRule="auto"/>
        <w:jc w:val="both"/>
        <w:rPr>
          <w:rFonts w:ascii="Calibri" w:hAnsi="Calibri"/>
          <w:sz w:val="17"/>
        </w:rPr>
        <w:sectPr>
          <w:type w:val="continuous"/>
          <w:pgSz w:w="9640" w:h="13890"/>
          <w:pgMar w:top="0" w:bottom="0" w:left="1300" w:right="1180"/>
        </w:sectPr>
      </w:pPr>
    </w:p>
    <w:p>
      <w:pPr>
        <w:pStyle w:val="BodyText"/>
        <w:spacing w:line="247" w:lineRule="auto" w:before="107"/>
        <w:ind w:left="103" w:right="115"/>
        <w:jc w:val="both"/>
      </w:pPr>
      <w:r>
        <w:rPr>
          <w:color w:val="231F20"/>
        </w:rPr>
        <w:t>di universali diritti individuali, vincolanti anche nei confronti degli Stati e</w:t>
      </w:r>
      <w:r>
        <w:rPr>
          <w:color w:val="231F20"/>
          <w:spacing w:val="-21"/>
        </w:rPr>
        <w:t> </w:t>
      </w:r>
      <w:r>
        <w:rPr>
          <w:color w:val="231F20"/>
        </w:rPr>
        <w:t>ad essi opponibili, se necessario anche attraverso l’uso della</w:t>
      </w:r>
      <w:r>
        <w:rPr>
          <w:color w:val="231F20"/>
          <w:spacing w:val="-1"/>
        </w:rPr>
        <w:t> </w:t>
      </w:r>
      <w:r>
        <w:rPr>
          <w:color w:val="231F20"/>
        </w:rPr>
        <w:t>forza</w:t>
      </w:r>
      <w:r>
        <w:rPr>
          <w:color w:val="231F20"/>
          <w:position w:val="7"/>
          <w:sz w:val="12"/>
        </w:rPr>
        <w:t>27</w:t>
      </w:r>
      <w:r>
        <w:rPr>
          <w:color w:val="231F20"/>
        </w:rPr>
        <w:t>.</w:t>
      </w:r>
    </w:p>
    <w:p>
      <w:pPr>
        <w:pStyle w:val="BodyText"/>
        <w:spacing w:line="247" w:lineRule="auto"/>
        <w:ind w:left="103" w:right="111" w:firstLine="566"/>
        <w:jc w:val="both"/>
      </w:pPr>
      <w:r>
        <w:rPr>
          <w:color w:val="231F20"/>
          <w:spacing w:val="4"/>
        </w:rPr>
        <w:t>Non può </w:t>
      </w:r>
      <w:r>
        <w:rPr>
          <w:color w:val="231F20"/>
          <w:spacing w:val="5"/>
        </w:rPr>
        <w:t>sorprendere, dunque, </w:t>
      </w:r>
      <w:r>
        <w:rPr>
          <w:color w:val="231F20"/>
          <w:spacing w:val="4"/>
        </w:rPr>
        <w:t>che nel più recente </w:t>
      </w:r>
      <w:r>
        <w:rPr>
          <w:color w:val="231F20"/>
          <w:spacing w:val="6"/>
        </w:rPr>
        <w:t>dibattito </w:t>
      </w:r>
      <w:r>
        <w:rPr>
          <w:color w:val="231F20"/>
        </w:rPr>
        <w:t>giusinternazionalistico sul tema, i più radicali sostenitori di un approccio </w:t>
      </w:r>
      <w:r>
        <w:rPr>
          <w:color w:val="231F20"/>
          <w:spacing w:val="2"/>
        </w:rPr>
        <w:t>cosmopolitico alla tutela </w:t>
      </w:r>
      <w:r>
        <w:rPr>
          <w:color w:val="231F20"/>
        </w:rPr>
        <w:t>dei </w:t>
      </w:r>
      <w:r>
        <w:rPr>
          <w:color w:val="231F20"/>
          <w:spacing w:val="2"/>
        </w:rPr>
        <w:t>diritti umani —quelli </w:t>
      </w:r>
      <w:r>
        <w:rPr>
          <w:color w:val="231F20"/>
        </w:rPr>
        <w:t>che </w:t>
      </w:r>
      <w:r>
        <w:rPr>
          <w:color w:val="231F20"/>
          <w:spacing w:val="2"/>
        </w:rPr>
        <w:t>Anne </w:t>
      </w:r>
      <w:r>
        <w:rPr>
          <w:color w:val="231F20"/>
        </w:rPr>
        <w:t>Orford ha </w:t>
      </w:r>
      <w:r>
        <w:rPr>
          <w:color w:val="231F20"/>
          <w:spacing w:val="2"/>
        </w:rPr>
        <w:t>definito </w:t>
      </w:r>
      <w:r>
        <w:rPr>
          <w:color w:val="231F20"/>
        </w:rPr>
        <w:t>i </w:t>
      </w:r>
      <w:r>
        <w:rPr>
          <w:color w:val="231F20"/>
          <w:spacing w:val="2"/>
        </w:rPr>
        <w:t>“new human rights warriors”</w:t>
      </w:r>
      <w:r>
        <w:rPr>
          <w:color w:val="231F20"/>
          <w:spacing w:val="2"/>
          <w:position w:val="7"/>
          <w:sz w:val="12"/>
        </w:rPr>
        <w:t>28</w:t>
      </w:r>
      <w:r>
        <w:rPr>
          <w:color w:val="231F20"/>
          <w:spacing w:val="2"/>
        </w:rPr>
        <w:t>— abbiano potuto celebrare </w:t>
      </w:r>
      <w:r>
        <w:rPr>
          <w:color w:val="231F20"/>
          <w:spacing w:val="3"/>
        </w:rPr>
        <w:t>la </w:t>
      </w:r>
      <w:r>
        <w:rPr>
          <w:color w:val="231F20"/>
        </w:rPr>
        <w:t>“svolta umanitaria” della politica internazionale come l’inizio di una “third age of human rights”, l’epoca dello “human rights enforcement”. Per tali autori è proprio a questo livello, infatti, che trova compiuta espressione     il cambiamento più significativo sperimentato dal movimento per i diritti umani</w:t>
      </w:r>
      <w:r>
        <w:rPr>
          <w:color w:val="231F20"/>
          <w:spacing w:val="-14"/>
        </w:rPr>
        <w:t> </w:t>
      </w:r>
      <w:r>
        <w:rPr>
          <w:color w:val="231F20"/>
        </w:rPr>
        <w:t>nel</w:t>
      </w:r>
      <w:r>
        <w:rPr>
          <w:color w:val="231F20"/>
          <w:spacing w:val="-14"/>
        </w:rPr>
        <w:t> </w:t>
      </w:r>
      <w:r>
        <w:rPr>
          <w:color w:val="231F20"/>
        </w:rPr>
        <w:t>passaggio</w:t>
      </w:r>
      <w:r>
        <w:rPr>
          <w:color w:val="231F20"/>
          <w:spacing w:val="-14"/>
        </w:rPr>
        <w:t> </w:t>
      </w:r>
      <w:r>
        <w:rPr>
          <w:color w:val="231F20"/>
        </w:rPr>
        <w:t>al</w:t>
      </w:r>
      <w:r>
        <w:rPr>
          <w:color w:val="231F20"/>
          <w:spacing w:val="-14"/>
        </w:rPr>
        <w:t> </w:t>
      </w:r>
      <w:r>
        <w:rPr>
          <w:color w:val="231F20"/>
        </w:rPr>
        <w:t>nuovo</w:t>
      </w:r>
      <w:r>
        <w:rPr>
          <w:color w:val="231F20"/>
          <w:spacing w:val="-14"/>
        </w:rPr>
        <w:t> </w:t>
      </w:r>
      <w:r>
        <w:rPr>
          <w:color w:val="231F20"/>
        </w:rPr>
        <w:t>secolo</w:t>
      </w:r>
      <w:r>
        <w:rPr>
          <w:color w:val="231F20"/>
          <w:spacing w:val="-14"/>
        </w:rPr>
        <w:t> </w:t>
      </w:r>
      <w:r>
        <w:rPr>
          <w:color w:val="231F20"/>
        </w:rPr>
        <w:t>—vale</w:t>
      </w:r>
      <w:r>
        <w:rPr>
          <w:color w:val="231F20"/>
          <w:spacing w:val="-14"/>
        </w:rPr>
        <w:t> </w:t>
      </w:r>
      <w:r>
        <w:rPr>
          <w:color w:val="231F20"/>
        </w:rPr>
        <w:t>a</w:t>
      </w:r>
      <w:r>
        <w:rPr>
          <w:color w:val="231F20"/>
          <w:spacing w:val="-14"/>
        </w:rPr>
        <w:t> </w:t>
      </w:r>
      <w:r>
        <w:rPr>
          <w:color w:val="231F20"/>
        </w:rPr>
        <w:t>dire</w:t>
      </w:r>
      <w:r>
        <w:rPr>
          <w:color w:val="231F20"/>
          <w:spacing w:val="-14"/>
        </w:rPr>
        <w:t> </w:t>
      </w:r>
      <w:r>
        <w:rPr>
          <w:color w:val="231F20"/>
        </w:rPr>
        <w:t>la</w:t>
      </w:r>
      <w:r>
        <w:rPr>
          <w:color w:val="231F20"/>
          <w:spacing w:val="-14"/>
        </w:rPr>
        <w:t> </w:t>
      </w:r>
      <w:r>
        <w:rPr>
          <w:color w:val="231F20"/>
        </w:rPr>
        <w:t>sua</w:t>
      </w:r>
      <w:r>
        <w:rPr>
          <w:color w:val="231F20"/>
          <w:spacing w:val="-14"/>
        </w:rPr>
        <w:t> </w:t>
      </w:r>
      <w:r>
        <w:rPr>
          <w:color w:val="231F20"/>
        </w:rPr>
        <w:t>capacità</w:t>
      </w:r>
      <w:r>
        <w:rPr>
          <w:color w:val="231F20"/>
          <w:spacing w:val="-14"/>
        </w:rPr>
        <w:t> </w:t>
      </w:r>
      <w:r>
        <w:rPr>
          <w:color w:val="231F20"/>
        </w:rPr>
        <w:t>di</w:t>
      </w:r>
      <w:r>
        <w:rPr>
          <w:color w:val="231F20"/>
          <w:spacing w:val="-19"/>
        </w:rPr>
        <w:t> </w:t>
      </w:r>
      <w:r>
        <w:rPr>
          <w:rFonts w:ascii="Arial" w:hAnsi="Arial"/>
          <w:i/>
          <w:color w:val="231F20"/>
        </w:rPr>
        <w:t>passare </w:t>
      </w:r>
      <w:r>
        <w:rPr>
          <w:rFonts w:ascii="Arial" w:hAnsi="Arial"/>
          <w:i/>
          <w:color w:val="231F20"/>
        </w:rPr>
        <w:t>all’offensiva</w:t>
      </w:r>
      <w:r>
        <w:rPr>
          <w:color w:val="231F20"/>
        </w:rPr>
        <w:t>:</w:t>
      </w:r>
    </w:p>
    <w:p>
      <w:pPr>
        <w:pStyle w:val="BodyText"/>
        <w:spacing w:before="9"/>
        <w:rPr>
          <w:sz w:val="22"/>
        </w:rPr>
      </w:pPr>
    </w:p>
    <w:p>
      <w:pPr>
        <w:spacing w:line="220" w:lineRule="exact" w:before="0"/>
        <w:ind w:left="1521" w:right="114" w:firstLine="0"/>
        <w:jc w:val="both"/>
        <w:rPr>
          <w:sz w:val="19"/>
        </w:rPr>
      </w:pPr>
      <w:r>
        <w:rPr>
          <w:color w:val="231F20"/>
          <w:sz w:val="19"/>
        </w:rPr>
        <w:t>The</w:t>
      </w:r>
      <w:r>
        <w:rPr>
          <w:color w:val="231F20"/>
          <w:spacing w:val="-13"/>
          <w:sz w:val="19"/>
        </w:rPr>
        <w:t> </w:t>
      </w:r>
      <w:r>
        <w:rPr>
          <w:color w:val="231F20"/>
          <w:sz w:val="19"/>
        </w:rPr>
        <w:t>past</w:t>
      </w:r>
      <w:r>
        <w:rPr>
          <w:color w:val="231F20"/>
          <w:spacing w:val="-13"/>
          <w:sz w:val="19"/>
        </w:rPr>
        <w:t> </w:t>
      </w:r>
      <w:r>
        <w:rPr>
          <w:color w:val="231F20"/>
          <w:sz w:val="19"/>
        </w:rPr>
        <w:t>has</w:t>
      </w:r>
      <w:r>
        <w:rPr>
          <w:color w:val="231F20"/>
          <w:spacing w:val="-13"/>
          <w:sz w:val="19"/>
        </w:rPr>
        <w:t> </w:t>
      </w:r>
      <w:r>
        <w:rPr>
          <w:color w:val="231F20"/>
          <w:sz w:val="19"/>
        </w:rPr>
        <w:t>been</w:t>
      </w:r>
      <w:r>
        <w:rPr>
          <w:color w:val="231F20"/>
          <w:spacing w:val="-13"/>
          <w:sz w:val="19"/>
        </w:rPr>
        <w:t> </w:t>
      </w:r>
      <w:r>
        <w:rPr>
          <w:color w:val="231F20"/>
          <w:sz w:val="19"/>
        </w:rPr>
        <w:t>a</w:t>
      </w:r>
      <w:r>
        <w:rPr>
          <w:color w:val="231F20"/>
          <w:spacing w:val="-13"/>
          <w:sz w:val="19"/>
        </w:rPr>
        <w:t> </w:t>
      </w:r>
      <w:r>
        <w:rPr>
          <w:color w:val="231F20"/>
          <w:sz w:val="19"/>
        </w:rPr>
        <w:t>matter</w:t>
      </w:r>
      <w:r>
        <w:rPr>
          <w:color w:val="231F20"/>
          <w:spacing w:val="-13"/>
          <w:sz w:val="19"/>
        </w:rPr>
        <w:t> </w:t>
      </w:r>
      <w:r>
        <w:rPr>
          <w:color w:val="231F20"/>
          <w:sz w:val="19"/>
        </w:rPr>
        <w:t>of</w:t>
      </w:r>
      <w:r>
        <w:rPr>
          <w:color w:val="231F20"/>
          <w:spacing w:val="-13"/>
          <w:sz w:val="19"/>
        </w:rPr>
        <w:t> </w:t>
      </w:r>
      <w:r>
        <w:rPr>
          <w:color w:val="231F20"/>
          <w:sz w:val="19"/>
        </w:rPr>
        <w:t>pleading</w:t>
      </w:r>
      <w:r>
        <w:rPr>
          <w:color w:val="231F20"/>
          <w:spacing w:val="-13"/>
          <w:sz w:val="19"/>
        </w:rPr>
        <w:t> </w:t>
      </w:r>
      <w:r>
        <w:rPr>
          <w:color w:val="231F20"/>
          <w:sz w:val="19"/>
        </w:rPr>
        <w:t>with</w:t>
      </w:r>
      <w:r>
        <w:rPr>
          <w:color w:val="231F20"/>
          <w:spacing w:val="-13"/>
          <w:sz w:val="19"/>
        </w:rPr>
        <w:t> </w:t>
      </w:r>
      <w:r>
        <w:rPr>
          <w:color w:val="231F20"/>
          <w:sz w:val="19"/>
        </w:rPr>
        <w:t>tyrants,</w:t>
      </w:r>
      <w:r>
        <w:rPr>
          <w:color w:val="231F20"/>
          <w:spacing w:val="-13"/>
          <w:sz w:val="19"/>
        </w:rPr>
        <w:t> </w:t>
      </w:r>
      <w:r>
        <w:rPr>
          <w:color w:val="231F20"/>
          <w:sz w:val="19"/>
        </w:rPr>
        <w:t>writing</w:t>
      </w:r>
      <w:r>
        <w:rPr>
          <w:color w:val="231F20"/>
          <w:spacing w:val="-13"/>
          <w:sz w:val="19"/>
        </w:rPr>
        <w:t> </w:t>
      </w:r>
      <w:r>
        <w:rPr>
          <w:color w:val="231F20"/>
          <w:sz w:val="19"/>
        </w:rPr>
        <w:t>letters and sending missions to beg them not to act </w:t>
      </w:r>
      <w:r>
        <w:rPr>
          <w:color w:val="231F20"/>
          <w:spacing w:val="-3"/>
          <w:sz w:val="19"/>
        </w:rPr>
        <w:t>cruelly. </w:t>
      </w:r>
      <w:r>
        <w:rPr>
          <w:color w:val="231F20"/>
          <w:sz w:val="19"/>
        </w:rPr>
        <w:t>That will not be necessary if there is a possibility that they can be deterred, by threats of humanitarian or UN intervention or with the nemesis in the</w:t>
      </w:r>
      <w:r>
        <w:rPr>
          <w:color w:val="231F20"/>
          <w:spacing w:val="-15"/>
          <w:sz w:val="19"/>
        </w:rPr>
        <w:t> </w:t>
      </w:r>
      <w:r>
        <w:rPr>
          <w:color w:val="231F20"/>
          <w:spacing w:val="-3"/>
          <w:sz w:val="19"/>
        </w:rPr>
        <w:t>form</w:t>
      </w:r>
      <w:r>
        <w:rPr>
          <w:color w:val="231F20"/>
          <w:spacing w:val="-15"/>
          <w:sz w:val="19"/>
        </w:rPr>
        <w:t> </w:t>
      </w:r>
      <w:r>
        <w:rPr>
          <w:color w:val="231F20"/>
          <w:sz w:val="19"/>
        </w:rPr>
        <w:t>of</w:t>
      </w:r>
      <w:r>
        <w:rPr>
          <w:color w:val="231F20"/>
          <w:spacing w:val="-15"/>
          <w:sz w:val="19"/>
        </w:rPr>
        <w:t> </w:t>
      </w:r>
      <w:r>
        <w:rPr>
          <w:color w:val="231F20"/>
          <w:sz w:val="19"/>
        </w:rPr>
        <w:t>the</w:t>
      </w:r>
      <w:r>
        <w:rPr>
          <w:color w:val="231F20"/>
          <w:spacing w:val="-15"/>
          <w:sz w:val="19"/>
        </w:rPr>
        <w:t> </w:t>
      </w:r>
      <w:r>
        <w:rPr>
          <w:color w:val="231F20"/>
          <w:spacing w:val="-3"/>
          <w:sz w:val="19"/>
        </w:rPr>
        <w:t>international</w:t>
      </w:r>
      <w:r>
        <w:rPr>
          <w:color w:val="231F20"/>
          <w:spacing w:val="-15"/>
          <w:sz w:val="19"/>
        </w:rPr>
        <w:t> </w:t>
      </w:r>
      <w:r>
        <w:rPr>
          <w:color w:val="231F20"/>
          <w:spacing w:val="-3"/>
          <w:sz w:val="19"/>
        </w:rPr>
        <w:t>Criminal</w:t>
      </w:r>
      <w:r>
        <w:rPr>
          <w:color w:val="231F20"/>
          <w:spacing w:val="-15"/>
          <w:sz w:val="19"/>
        </w:rPr>
        <w:t> </w:t>
      </w:r>
      <w:r>
        <w:rPr>
          <w:color w:val="231F20"/>
          <w:spacing w:val="-3"/>
          <w:sz w:val="19"/>
        </w:rPr>
        <w:t>Court.</w:t>
      </w:r>
      <w:r>
        <w:rPr>
          <w:color w:val="231F20"/>
          <w:spacing w:val="-15"/>
          <w:sz w:val="19"/>
        </w:rPr>
        <w:t> </w:t>
      </w:r>
      <w:r>
        <w:rPr>
          <w:color w:val="231F20"/>
          <w:spacing w:val="-3"/>
          <w:sz w:val="19"/>
        </w:rPr>
        <w:t>Human</w:t>
      </w:r>
      <w:r>
        <w:rPr>
          <w:color w:val="231F20"/>
          <w:spacing w:val="-15"/>
          <w:sz w:val="19"/>
        </w:rPr>
        <w:t> </w:t>
      </w:r>
      <w:r>
        <w:rPr>
          <w:color w:val="231F20"/>
          <w:spacing w:val="-3"/>
          <w:sz w:val="19"/>
        </w:rPr>
        <w:t>rights</w:t>
      </w:r>
      <w:r>
        <w:rPr>
          <w:color w:val="231F20"/>
          <w:spacing w:val="-15"/>
          <w:sz w:val="19"/>
        </w:rPr>
        <w:t> </w:t>
      </w:r>
      <w:r>
        <w:rPr>
          <w:color w:val="231F20"/>
          <w:spacing w:val="-3"/>
          <w:sz w:val="19"/>
        </w:rPr>
        <w:t>discourse </w:t>
      </w:r>
      <w:r>
        <w:rPr>
          <w:color w:val="231F20"/>
          <w:sz w:val="19"/>
        </w:rPr>
        <w:t>will in the future be less pious and less ‘politically correct’. We</w:t>
      </w:r>
      <w:r>
        <w:rPr>
          <w:color w:val="231F20"/>
          <w:spacing w:val="-38"/>
          <w:sz w:val="19"/>
        </w:rPr>
        <w:t> </w:t>
      </w:r>
      <w:r>
        <w:rPr>
          <w:color w:val="231F20"/>
          <w:sz w:val="19"/>
        </w:rPr>
        <w:t>will call</w:t>
      </w:r>
      <w:r>
        <w:rPr>
          <w:color w:val="231F20"/>
          <w:spacing w:val="-8"/>
          <w:sz w:val="19"/>
        </w:rPr>
        <w:t> </w:t>
      </w:r>
      <w:r>
        <w:rPr>
          <w:color w:val="231F20"/>
          <w:sz w:val="19"/>
        </w:rPr>
        <w:t>a</w:t>
      </w:r>
      <w:r>
        <w:rPr>
          <w:color w:val="231F20"/>
          <w:spacing w:val="-8"/>
          <w:sz w:val="19"/>
        </w:rPr>
        <w:t> </w:t>
      </w:r>
      <w:r>
        <w:rPr>
          <w:color w:val="231F20"/>
          <w:sz w:val="19"/>
        </w:rPr>
        <w:t>savage</w:t>
      </w:r>
      <w:r>
        <w:rPr>
          <w:color w:val="231F20"/>
          <w:spacing w:val="-8"/>
          <w:sz w:val="19"/>
        </w:rPr>
        <w:t> </w:t>
      </w:r>
      <w:r>
        <w:rPr>
          <w:color w:val="231F20"/>
          <w:sz w:val="19"/>
        </w:rPr>
        <w:t>a</w:t>
      </w:r>
      <w:r>
        <w:rPr>
          <w:color w:val="231F20"/>
          <w:spacing w:val="-8"/>
          <w:sz w:val="19"/>
        </w:rPr>
        <w:t> </w:t>
      </w:r>
      <w:r>
        <w:rPr>
          <w:color w:val="231F20"/>
          <w:sz w:val="19"/>
        </w:rPr>
        <w:t>savage,</w:t>
      </w:r>
      <w:r>
        <w:rPr>
          <w:color w:val="231F20"/>
          <w:spacing w:val="-8"/>
          <w:sz w:val="19"/>
        </w:rPr>
        <w:t> </w:t>
      </w:r>
      <w:r>
        <w:rPr>
          <w:color w:val="231F20"/>
          <w:sz w:val="19"/>
        </w:rPr>
        <w:t>whether</w:t>
      </w:r>
      <w:r>
        <w:rPr>
          <w:color w:val="231F20"/>
          <w:spacing w:val="-8"/>
          <w:sz w:val="19"/>
        </w:rPr>
        <w:t> </w:t>
      </w:r>
      <w:r>
        <w:rPr>
          <w:color w:val="231F20"/>
          <w:sz w:val="19"/>
        </w:rPr>
        <w:t>or</w:t>
      </w:r>
      <w:r>
        <w:rPr>
          <w:color w:val="231F20"/>
          <w:spacing w:val="-8"/>
          <w:sz w:val="19"/>
        </w:rPr>
        <w:t> </w:t>
      </w:r>
      <w:r>
        <w:rPr>
          <w:color w:val="231F20"/>
          <w:sz w:val="19"/>
        </w:rPr>
        <w:t>not</w:t>
      </w:r>
      <w:r>
        <w:rPr>
          <w:color w:val="231F20"/>
          <w:spacing w:val="-8"/>
          <w:sz w:val="19"/>
        </w:rPr>
        <w:t> </w:t>
      </w:r>
      <w:r>
        <w:rPr>
          <w:color w:val="231F20"/>
          <w:sz w:val="19"/>
        </w:rPr>
        <w:t>he</w:t>
      </w:r>
      <w:r>
        <w:rPr>
          <w:color w:val="231F20"/>
          <w:spacing w:val="-8"/>
          <w:sz w:val="19"/>
        </w:rPr>
        <w:t> </w:t>
      </w:r>
      <w:r>
        <w:rPr>
          <w:color w:val="231F20"/>
          <w:sz w:val="19"/>
        </w:rPr>
        <w:t>or</w:t>
      </w:r>
      <w:r>
        <w:rPr>
          <w:color w:val="231F20"/>
          <w:spacing w:val="-8"/>
          <w:sz w:val="19"/>
        </w:rPr>
        <w:t> </w:t>
      </w:r>
      <w:r>
        <w:rPr>
          <w:color w:val="231F20"/>
          <w:sz w:val="19"/>
        </w:rPr>
        <w:t>she</w:t>
      </w:r>
      <w:r>
        <w:rPr>
          <w:color w:val="231F20"/>
          <w:spacing w:val="-8"/>
          <w:sz w:val="19"/>
        </w:rPr>
        <w:t> </w:t>
      </w:r>
      <w:r>
        <w:rPr>
          <w:color w:val="231F20"/>
          <w:sz w:val="19"/>
        </w:rPr>
        <w:t>is</w:t>
      </w:r>
      <w:r>
        <w:rPr>
          <w:color w:val="231F20"/>
          <w:spacing w:val="-8"/>
          <w:sz w:val="19"/>
        </w:rPr>
        <w:t> </w:t>
      </w:r>
      <w:r>
        <w:rPr>
          <w:color w:val="231F20"/>
          <w:sz w:val="19"/>
        </w:rPr>
        <w:t>black</w:t>
      </w:r>
      <w:r>
        <w:rPr>
          <w:color w:val="231F20"/>
          <w:position w:val="6"/>
          <w:sz w:val="11"/>
        </w:rPr>
        <w:t>29</w:t>
      </w:r>
      <w:r>
        <w:rPr>
          <w:color w:val="231F20"/>
          <w:sz w:val="19"/>
        </w:rPr>
        <w:t>.</w:t>
      </w:r>
    </w:p>
    <w:p>
      <w:pPr>
        <w:pStyle w:val="BodyText"/>
        <w:rPr>
          <w:sz w:val="20"/>
        </w:rPr>
      </w:pPr>
    </w:p>
    <w:p>
      <w:pPr>
        <w:pStyle w:val="BodyText"/>
        <w:spacing w:before="6"/>
        <w:rPr>
          <w:sz w:val="28"/>
        </w:rPr>
      </w:pPr>
    </w:p>
    <w:p>
      <w:pPr>
        <w:spacing w:before="0"/>
        <w:ind w:left="103" w:right="0" w:firstLine="0"/>
        <w:jc w:val="both"/>
        <w:rPr>
          <w:rFonts w:ascii="Arial" w:hAnsi="Arial"/>
          <w:i/>
          <w:sz w:val="21"/>
        </w:rPr>
      </w:pPr>
      <w:r>
        <w:rPr>
          <w:rFonts w:ascii="Arial" w:hAnsi="Arial"/>
          <w:i/>
          <w:color w:val="231F20"/>
          <w:sz w:val="21"/>
        </w:rPr>
        <w:t>I  paradossi dell’interventismo</w:t>
      </w:r>
    </w:p>
    <w:p>
      <w:pPr>
        <w:pStyle w:val="BodyText"/>
        <w:rPr>
          <w:rFonts w:ascii="Arial"/>
          <w:i/>
          <w:sz w:val="20"/>
        </w:rPr>
      </w:pPr>
    </w:p>
    <w:p>
      <w:pPr>
        <w:pStyle w:val="BodyText"/>
        <w:spacing w:line="244" w:lineRule="auto" w:before="172"/>
        <w:ind w:left="103" w:right="110"/>
        <w:jc w:val="both"/>
      </w:pPr>
      <w:r>
        <w:rPr>
          <w:color w:val="231F20"/>
          <w:w w:val="105"/>
        </w:rPr>
        <w:t>Nel dibattito degli ultimi anni non sono mancate, peraltro, decise prese di posizione contro le inquietanti ambiguità proprie di questo modello  di </w:t>
      </w:r>
      <w:r>
        <w:rPr>
          <w:rFonts w:ascii="Arial" w:hAnsi="Arial"/>
          <w:i/>
          <w:color w:val="231F20"/>
          <w:w w:val="105"/>
        </w:rPr>
        <w:t>interventismo umanitario</w:t>
      </w:r>
      <w:r>
        <w:rPr>
          <w:color w:val="231F20"/>
          <w:w w:val="105"/>
        </w:rPr>
        <w:t>. In questa sede non è possibile entrare </w:t>
      </w:r>
      <w:r>
        <w:rPr>
          <w:color w:val="231F20"/>
          <w:spacing w:val="2"/>
          <w:w w:val="105"/>
        </w:rPr>
        <w:t>nel </w:t>
      </w:r>
      <w:r>
        <w:rPr>
          <w:color w:val="231F20"/>
          <w:w w:val="105"/>
        </w:rPr>
        <w:t>merito degli specifici problemi di ordine giuridico da più parti sollevati per</w:t>
      </w:r>
      <w:r>
        <w:rPr>
          <w:color w:val="231F20"/>
          <w:spacing w:val="-13"/>
          <w:w w:val="105"/>
        </w:rPr>
        <w:t> </w:t>
      </w:r>
      <w:r>
        <w:rPr>
          <w:color w:val="231F20"/>
          <w:w w:val="105"/>
        </w:rPr>
        <w:t>mettere</w:t>
      </w:r>
      <w:r>
        <w:rPr>
          <w:color w:val="231F20"/>
          <w:spacing w:val="-13"/>
          <w:w w:val="105"/>
        </w:rPr>
        <w:t> </w:t>
      </w:r>
      <w:r>
        <w:rPr>
          <w:color w:val="231F20"/>
          <w:w w:val="105"/>
        </w:rPr>
        <w:t>in</w:t>
      </w:r>
      <w:r>
        <w:rPr>
          <w:color w:val="231F20"/>
          <w:spacing w:val="-13"/>
          <w:w w:val="105"/>
        </w:rPr>
        <w:t> </w:t>
      </w:r>
      <w:r>
        <w:rPr>
          <w:color w:val="231F20"/>
          <w:w w:val="105"/>
        </w:rPr>
        <w:t>dubbio</w:t>
      </w:r>
      <w:r>
        <w:rPr>
          <w:color w:val="231F20"/>
          <w:spacing w:val="-13"/>
          <w:w w:val="105"/>
        </w:rPr>
        <w:t> </w:t>
      </w:r>
      <w:r>
        <w:rPr>
          <w:color w:val="231F20"/>
          <w:w w:val="105"/>
        </w:rPr>
        <w:t>la</w:t>
      </w:r>
      <w:r>
        <w:rPr>
          <w:color w:val="231F20"/>
          <w:spacing w:val="-13"/>
          <w:w w:val="105"/>
        </w:rPr>
        <w:t> </w:t>
      </w:r>
      <w:r>
        <w:rPr>
          <w:color w:val="231F20"/>
          <w:w w:val="105"/>
        </w:rPr>
        <w:t>sua</w:t>
      </w:r>
      <w:r>
        <w:rPr>
          <w:color w:val="231F20"/>
          <w:spacing w:val="-13"/>
          <w:w w:val="105"/>
        </w:rPr>
        <w:t> </w:t>
      </w:r>
      <w:r>
        <w:rPr>
          <w:color w:val="231F20"/>
          <w:w w:val="105"/>
        </w:rPr>
        <w:t>legittimità</w:t>
      </w:r>
      <w:r>
        <w:rPr>
          <w:color w:val="231F20"/>
          <w:w w:val="105"/>
          <w:position w:val="7"/>
          <w:sz w:val="12"/>
        </w:rPr>
        <w:t>30</w:t>
      </w:r>
      <w:r>
        <w:rPr>
          <w:color w:val="231F20"/>
          <w:w w:val="105"/>
        </w:rPr>
        <w:t>.</w:t>
      </w:r>
      <w:r>
        <w:rPr>
          <w:color w:val="231F20"/>
          <w:spacing w:val="-13"/>
          <w:w w:val="105"/>
        </w:rPr>
        <w:t> </w:t>
      </w:r>
      <w:r>
        <w:rPr>
          <w:color w:val="231F20"/>
          <w:w w:val="105"/>
        </w:rPr>
        <w:t>Al</w:t>
      </w:r>
      <w:r>
        <w:rPr>
          <w:color w:val="231F20"/>
          <w:spacing w:val="-13"/>
          <w:w w:val="105"/>
        </w:rPr>
        <w:t> </w:t>
      </w:r>
      <w:r>
        <w:rPr>
          <w:color w:val="231F20"/>
          <w:w w:val="105"/>
        </w:rPr>
        <w:t>proposito,</w:t>
      </w:r>
      <w:r>
        <w:rPr>
          <w:color w:val="231F20"/>
          <w:spacing w:val="-13"/>
          <w:w w:val="105"/>
        </w:rPr>
        <w:t> </w:t>
      </w:r>
      <w:r>
        <w:rPr>
          <w:color w:val="231F20"/>
          <w:w w:val="105"/>
        </w:rPr>
        <w:t>mi</w:t>
      </w:r>
      <w:r>
        <w:rPr>
          <w:color w:val="231F20"/>
          <w:spacing w:val="-13"/>
          <w:w w:val="105"/>
        </w:rPr>
        <w:t> </w:t>
      </w:r>
      <w:r>
        <w:rPr>
          <w:color w:val="231F20"/>
          <w:w w:val="105"/>
        </w:rPr>
        <w:t>limiterò</w:t>
      </w:r>
      <w:r>
        <w:rPr>
          <w:color w:val="231F20"/>
          <w:spacing w:val="-13"/>
          <w:w w:val="105"/>
        </w:rPr>
        <w:t> </w:t>
      </w:r>
      <w:r>
        <w:rPr>
          <w:color w:val="231F20"/>
          <w:w w:val="105"/>
        </w:rPr>
        <w:t>perciò solo</w:t>
      </w:r>
      <w:r>
        <w:rPr>
          <w:color w:val="231F20"/>
          <w:spacing w:val="-34"/>
          <w:w w:val="105"/>
        </w:rPr>
        <w:t> </w:t>
      </w:r>
      <w:r>
        <w:rPr>
          <w:color w:val="231F20"/>
          <w:w w:val="105"/>
        </w:rPr>
        <w:t>a</w:t>
      </w:r>
      <w:r>
        <w:rPr>
          <w:color w:val="231F20"/>
          <w:spacing w:val="-34"/>
          <w:w w:val="105"/>
        </w:rPr>
        <w:t> </w:t>
      </w:r>
      <w:r>
        <w:rPr>
          <w:color w:val="231F20"/>
          <w:w w:val="105"/>
        </w:rPr>
        <w:t>richiamare</w:t>
      </w:r>
      <w:r>
        <w:rPr>
          <w:color w:val="231F20"/>
          <w:spacing w:val="-34"/>
          <w:w w:val="105"/>
        </w:rPr>
        <w:t> </w:t>
      </w:r>
      <w:r>
        <w:rPr>
          <w:color w:val="231F20"/>
          <w:w w:val="105"/>
        </w:rPr>
        <w:t>l’</w:t>
      </w:r>
      <w:r>
        <w:rPr>
          <w:rFonts w:ascii="Arial" w:hAnsi="Arial"/>
          <w:i/>
          <w:color w:val="231F20"/>
          <w:w w:val="105"/>
        </w:rPr>
        <w:t>obiezione</w:t>
      </w:r>
      <w:r>
        <w:rPr>
          <w:rFonts w:ascii="Arial" w:hAnsi="Arial"/>
          <w:i/>
          <w:color w:val="231F20"/>
          <w:spacing w:val="-27"/>
          <w:w w:val="105"/>
        </w:rPr>
        <w:t> </w:t>
      </w:r>
      <w:r>
        <w:rPr>
          <w:rFonts w:ascii="Arial" w:hAnsi="Arial"/>
          <w:i/>
          <w:color w:val="231F20"/>
          <w:w w:val="105"/>
        </w:rPr>
        <w:t>strutturale</w:t>
      </w:r>
      <w:r>
        <w:rPr>
          <w:rFonts w:ascii="Arial" w:hAnsi="Arial"/>
          <w:i/>
          <w:color w:val="231F20"/>
          <w:spacing w:val="-27"/>
          <w:w w:val="105"/>
        </w:rPr>
        <w:t> </w:t>
      </w:r>
      <w:r>
        <w:rPr>
          <w:color w:val="231F20"/>
          <w:w w:val="105"/>
        </w:rPr>
        <w:t>avanzata</w:t>
      </w:r>
      <w:r>
        <w:rPr>
          <w:color w:val="231F20"/>
          <w:spacing w:val="-34"/>
          <w:w w:val="105"/>
        </w:rPr>
        <w:t> </w:t>
      </w:r>
      <w:r>
        <w:rPr>
          <w:color w:val="231F20"/>
          <w:w w:val="105"/>
        </w:rPr>
        <w:t>da</w:t>
      </w:r>
      <w:r>
        <w:rPr>
          <w:color w:val="231F20"/>
          <w:spacing w:val="-34"/>
          <w:w w:val="105"/>
        </w:rPr>
        <w:t> </w:t>
      </w:r>
      <w:r>
        <w:rPr>
          <w:color w:val="231F20"/>
          <w:w w:val="105"/>
        </w:rPr>
        <w:t>coloro</w:t>
      </w:r>
      <w:r>
        <w:rPr>
          <w:color w:val="231F20"/>
          <w:spacing w:val="-34"/>
          <w:w w:val="105"/>
        </w:rPr>
        <w:t> </w:t>
      </w:r>
      <w:r>
        <w:rPr>
          <w:color w:val="231F20"/>
          <w:w w:val="105"/>
        </w:rPr>
        <w:t>che</w:t>
      </w:r>
      <w:r>
        <w:rPr>
          <w:color w:val="231F20"/>
          <w:spacing w:val="-34"/>
          <w:w w:val="105"/>
        </w:rPr>
        <w:t> </w:t>
      </w:r>
      <w:r>
        <w:rPr>
          <w:color w:val="231F20"/>
          <w:w w:val="105"/>
        </w:rPr>
        <w:t>lamentano l’assoluta</w:t>
      </w:r>
      <w:r>
        <w:rPr>
          <w:color w:val="231F20"/>
          <w:spacing w:val="-22"/>
          <w:w w:val="105"/>
        </w:rPr>
        <w:t> </w:t>
      </w:r>
      <w:r>
        <w:rPr>
          <w:color w:val="231F20"/>
          <w:w w:val="105"/>
        </w:rPr>
        <w:t>incompatibilità</w:t>
      </w:r>
      <w:r>
        <w:rPr>
          <w:color w:val="231F20"/>
          <w:spacing w:val="-22"/>
          <w:w w:val="105"/>
        </w:rPr>
        <w:t> </w:t>
      </w:r>
      <w:r>
        <w:rPr>
          <w:color w:val="231F20"/>
          <w:w w:val="105"/>
        </w:rPr>
        <w:t>di</w:t>
      </w:r>
      <w:r>
        <w:rPr>
          <w:color w:val="231F20"/>
          <w:spacing w:val="-22"/>
          <w:w w:val="105"/>
        </w:rPr>
        <w:t> </w:t>
      </w:r>
      <w:r>
        <w:rPr>
          <w:color w:val="231F20"/>
          <w:w w:val="105"/>
        </w:rPr>
        <w:t>tale</w:t>
      </w:r>
      <w:r>
        <w:rPr>
          <w:color w:val="231F20"/>
          <w:spacing w:val="-22"/>
          <w:w w:val="105"/>
        </w:rPr>
        <w:t> </w:t>
      </w:r>
      <w:r>
        <w:rPr>
          <w:color w:val="231F20"/>
          <w:w w:val="105"/>
        </w:rPr>
        <w:t>approccio</w:t>
      </w:r>
      <w:r>
        <w:rPr>
          <w:color w:val="231F20"/>
          <w:spacing w:val="-22"/>
          <w:w w:val="105"/>
        </w:rPr>
        <w:t> </w:t>
      </w:r>
      <w:r>
        <w:rPr>
          <w:color w:val="231F20"/>
          <w:w w:val="105"/>
        </w:rPr>
        <w:t>con</w:t>
      </w:r>
      <w:r>
        <w:rPr>
          <w:color w:val="231F20"/>
          <w:spacing w:val="-22"/>
          <w:w w:val="105"/>
        </w:rPr>
        <w:t> </w:t>
      </w:r>
      <w:r>
        <w:rPr>
          <w:color w:val="231F20"/>
          <w:w w:val="105"/>
        </w:rPr>
        <w:t>gli</w:t>
      </w:r>
      <w:r>
        <w:rPr>
          <w:color w:val="231F20"/>
          <w:spacing w:val="-22"/>
          <w:w w:val="105"/>
        </w:rPr>
        <w:t> </w:t>
      </w:r>
      <w:r>
        <w:rPr>
          <w:color w:val="231F20"/>
          <w:w w:val="105"/>
        </w:rPr>
        <w:t>attuali</w:t>
      </w:r>
      <w:r>
        <w:rPr>
          <w:color w:val="231F20"/>
          <w:spacing w:val="-22"/>
          <w:w w:val="105"/>
        </w:rPr>
        <w:t> </w:t>
      </w:r>
      <w:r>
        <w:rPr>
          <w:color w:val="231F20"/>
          <w:w w:val="105"/>
        </w:rPr>
        <w:t>assetti</w:t>
      </w:r>
      <w:r>
        <w:rPr>
          <w:color w:val="231F20"/>
          <w:spacing w:val="-22"/>
          <w:w w:val="105"/>
        </w:rPr>
        <w:t> </w:t>
      </w:r>
      <w:r>
        <w:rPr>
          <w:color w:val="231F20"/>
          <w:w w:val="105"/>
        </w:rPr>
        <w:t>giuridico– istituzionali</w:t>
      </w:r>
      <w:r>
        <w:rPr>
          <w:color w:val="231F20"/>
          <w:spacing w:val="-35"/>
          <w:w w:val="105"/>
        </w:rPr>
        <w:t> </w:t>
      </w:r>
      <w:r>
        <w:rPr>
          <w:color w:val="231F20"/>
          <w:w w:val="105"/>
        </w:rPr>
        <w:t>della</w:t>
      </w:r>
      <w:r>
        <w:rPr>
          <w:color w:val="231F20"/>
          <w:spacing w:val="-35"/>
          <w:w w:val="105"/>
        </w:rPr>
        <w:t> </w:t>
      </w:r>
      <w:r>
        <w:rPr>
          <w:color w:val="231F20"/>
          <w:w w:val="105"/>
        </w:rPr>
        <w:t>società</w:t>
      </w:r>
      <w:r>
        <w:rPr>
          <w:color w:val="231F20"/>
          <w:spacing w:val="-35"/>
          <w:w w:val="105"/>
        </w:rPr>
        <w:t> </w:t>
      </w:r>
      <w:r>
        <w:rPr>
          <w:color w:val="231F20"/>
          <w:w w:val="105"/>
        </w:rPr>
        <w:t>internazionale.</w:t>
      </w:r>
      <w:r>
        <w:rPr>
          <w:color w:val="231F20"/>
          <w:spacing w:val="-35"/>
          <w:w w:val="105"/>
        </w:rPr>
        <w:t> </w:t>
      </w:r>
      <w:r>
        <w:rPr>
          <w:color w:val="231F20"/>
          <w:w w:val="105"/>
        </w:rPr>
        <w:t>Come</w:t>
      </w:r>
      <w:r>
        <w:rPr>
          <w:color w:val="231F20"/>
          <w:spacing w:val="-35"/>
          <w:w w:val="105"/>
        </w:rPr>
        <w:t> </w:t>
      </w:r>
      <w:r>
        <w:rPr>
          <w:color w:val="231F20"/>
          <w:w w:val="105"/>
        </w:rPr>
        <w:t>ha</w:t>
      </w:r>
      <w:r>
        <w:rPr>
          <w:color w:val="231F20"/>
          <w:spacing w:val="-35"/>
          <w:w w:val="105"/>
        </w:rPr>
        <w:t> </w:t>
      </w:r>
      <w:r>
        <w:rPr>
          <w:color w:val="231F20"/>
          <w:w w:val="105"/>
        </w:rPr>
        <w:t>sottolineato</w:t>
      </w:r>
      <w:r>
        <w:rPr>
          <w:color w:val="231F20"/>
          <w:spacing w:val="-35"/>
          <w:w w:val="105"/>
        </w:rPr>
        <w:t> </w:t>
      </w:r>
      <w:r>
        <w:rPr>
          <w:color w:val="231F20"/>
          <w:w w:val="105"/>
        </w:rPr>
        <w:t>Danilo</w:t>
      </w:r>
      <w:r>
        <w:rPr>
          <w:color w:val="231F20"/>
          <w:spacing w:val="-35"/>
          <w:w w:val="105"/>
        </w:rPr>
        <w:t> </w:t>
      </w:r>
      <w:r>
        <w:rPr>
          <w:color w:val="231F20"/>
          <w:w w:val="105"/>
        </w:rPr>
        <w:t>Zolo, uno dei più feroci critici del modello in discussione, nella misura in </w:t>
      </w:r>
      <w:r>
        <w:rPr>
          <w:color w:val="231F20"/>
          <w:spacing w:val="2"/>
          <w:w w:val="105"/>
        </w:rPr>
        <w:t>cui </w:t>
      </w:r>
      <w:r>
        <w:rPr>
          <w:color w:val="231F20"/>
          <w:w w:val="105"/>
        </w:rPr>
        <w:t>tende</w:t>
      </w:r>
      <w:r>
        <w:rPr>
          <w:color w:val="231F20"/>
          <w:spacing w:val="-34"/>
          <w:w w:val="105"/>
        </w:rPr>
        <w:t> </w:t>
      </w:r>
      <w:r>
        <w:rPr>
          <w:color w:val="231F20"/>
          <w:w w:val="105"/>
        </w:rPr>
        <w:t>a</w:t>
      </w:r>
      <w:r>
        <w:rPr>
          <w:color w:val="231F20"/>
          <w:spacing w:val="-34"/>
          <w:w w:val="105"/>
        </w:rPr>
        <w:t> </w:t>
      </w:r>
      <w:r>
        <w:rPr>
          <w:color w:val="231F20"/>
          <w:w w:val="105"/>
        </w:rPr>
        <w:t>“negare</w:t>
      </w:r>
      <w:r>
        <w:rPr>
          <w:color w:val="231F20"/>
          <w:spacing w:val="-34"/>
          <w:w w:val="105"/>
        </w:rPr>
        <w:t> </w:t>
      </w:r>
      <w:r>
        <w:rPr>
          <w:color w:val="231F20"/>
          <w:w w:val="105"/>
        </w:rPr>
        <w:t>in</w:t>
      </w:r>
      <w:r>
        <w:rPr>
          <w:color w:val="231F20"/>
          <w:spacing w:val="-34"/>
          <w:w w:val="105"/>
        </w:rPr>
        <w:t> </w:t>
      </w:r>
      <w:r>
        <w:rPr>
          <w:color w:val="231F20"/>
          <w:w w:val="105"/>
        </w:rPr>
        <w:t>radice</w:t>
      </w:r>
      <w:r>
        <w:rPr>
          <w:color w:val="231F20"/>
          <w:spacing w:val="-34"/>
          <w:w w:val="105"/>
        </w:rPr>
        <w:t> </w:t>
      </w:r>
      <w:r>
        <w:rPr>
          <w:color w:val="231F20"/>
          <w:w w:val="105"/>
        </w:rPr>
        <w:t>la</w:t>
      </w:r>
      <w:r>
        <w:rPr>
          <w:color w:val="231F20"/>
          <w:spacing w:val="-34"/>
          <w:w w:val="105"/>
        </w:rPr>
        <w:t> </w:t>
      </w:r>
      <w:r>
        <w:rPr>
          <w:color w:val="231F20"/>
          <w:w w:val="105"/>
        </w:rPr>
        <w:t>sovranità</w:t>
      </w:r>
      <w:r>
        <w:rPr>
          <w:color w:val="231F20"/>
          <w:spacing w:val="-34"/>
          <w:w w:val="105"/>
        </w:rPr>
        <w:t> </w:t>
      </w:r>
      <w:r>
        <w:rPr>
          <w:color w:val="231F20"/>
          <w:w w:val="105"/>
        </w:rPr>
        <w:t>degli</w:t>
      </w:r>
      <w:r>
        <w:rPr>
          <w:color w:val="231F20"/>
          <w:spacing w:val="-34"/>
          <w:w w:val="105"/>
        </w:rPr>
        <w:t> </w:t>
      </w:r>
      <w:r>
        <w:rPr>
          <w:color w:val="231F20"/>
          <w:w w:val="105"/>
        </w:rPr>
        <w:t>Stati</w:t>
      </w:r>
      <w:r>
        <w:rPr>
          <w:color w:val="231F20"/>
          <w:spacing w:val="-34"/>
          <w:w w:val="105"/>
        </w:rPr>
        <w:t> </w:t>
      </w:r>
      <w:r>
        <w:rPr>
          <w:color w:val="231F20"/>
          <w:w w:val="105"/>
        </w:rPr>
        <w:t>in</w:t>
      </w:r>
      <w:r>
        <w:rPr>
          <w:color w:val="231F20"/>
          <w:spacing w:val="-34"/>
          <w:w w:val="105"/>
        </w:rPr>
        <w:t> </w:t>
      </w:r>
      <w:r>
        <w:rPr>
          <w:color w:val="231F20"/>
          <w:w w:val="105"/>
        </w:rPr>
        <w:t>nome</w:t>
      </w:r>
      <w:r>
        <w:rPr>
          <w:color w:val="231F20"/>
          <w:spacing w:val="-34"/>
          <w:w w:val="105"/>
        </w:rPr>
        <w:t> </w:t>
      </w:r>
      <w:r>
        <w:rPr>
          <w:color w:val="231F20"/>
          <w:w w:val="105"/>
        </w:rPr>
        <w:t>di</w:t>
      </w:r>
      <w:r>
        <w:rPr>
          <w:color w:val="231F20"/>
          <w:spacing w:val="-34"/>
          <w:w w:val="105"/>
        </w:rPr>
        <w:t> </w:t>
      </w:r>
      <w:r>
        <w:rPr>
          <w:color w:val="231F20"/>
          <w:w w:val="105"/>
        </w:rPr>
        <w:t>una</w:t>
      </w:r>
      <w:r>
        <w:rPr>
          <w:color w:val="231F20"/>
          <w:spacing w:val="-34"/>
          <w:w w:val="105"/>
        </w:rPr>
        <w:t> </w:t>
      </w:r>
      <w:r>
        <w:rPr>
          <w:color w:val="231F20"/>
          <w:w w:val="105"/>
        </w:rPr>
        <w:t>concezione </w:t>
      </w:r>
      <w:r>
        <w:rPr>
          <w:color w:val="231F20"/>
        </w:rPr>
        <w:t>universalistica</w:t>
      </w:r>
      <w:r>
        <w:rPr>
          <w:color w:val="231F20"/>
          <w:spacing w:val="-16"/>
        </w:rPr>
        <w:t> </w:t>
      </w:r>
      <w:r>
        <w:rPr>
          <w:color w:val="231F20"/>
        </w:rPr>
        <w:t>—cosmopolitica—</w:t>
      </w:r>
      <w:r>
        <w:rPr>
          <w:color w:val="231F20"/>
          <w:spacing w:val="-16"/>
        </w:rPr>
        <w:t> </w:t>
      </w:r>
      <w:r>
        <w:rPr>
          <w:color w:val="231F20"/>
        </w:rPr>
        <w:t>del</w:t>
      </w:r>
      <w:r>
        <w:rPr>
          <w:color w:val="231F20"/>
          <w:spacing w:val="-16"/>
        </w:rPr>
        <w:t> </w:t>
      </w:r>
      <w:r>
        <w:rPr>
          <w:color w:val="231F20"/>
        </w:rPr>
        <w:t>diritto</w:t>
      </w:r>
      <w:r>
        <w:rPr>
          <w:color w:val="231F20"/>
          <w:spacing w:val="-16"/>
        </w:rPr>
        <w:t> </w:t>
      </w:r>
      <w:r>
        <w:rPr>
          <w:color w:val="231F20"/>
        </w:rPr>
        <w:t>e</w:t>
      </w:r>
      <w:r>
        <w:rPr>
          <w:color w:val="231F20"/>
          <w:spacing w:val="-16"/>
        </w:rPr>
        <w:t> </w:t>
      </w:r>
      <w:r>
        <w:rPr>
          <w:color w:val="231F20"/>
        </w:rPr>
        <w:t>delle</w:t>
      </w:r>
      <w:r>
        <w:rPr>
          <w:color w:val="231F20"/>
          <w:spacing w:val="-16"/>
        </w:rPr>
        <w:t> </w:t>
      </w:r>
      <w:r>
        <w:rPr>
          <w:color w:val="231F20"/>
        </w:rPr>
        <w:t>istituzioni</w:t>
      </w:r>
      <w:r>
        <w:rPr>
          <w:color w:val="231F20"/>
          <w:spacing w:val="-16"/>
        </w:rPr>
        <w:t> </w:t>
      </w:r>
      <w:r>
        <w:rPr>
          <w:color w:val="231F20"/>
        </w:rPr>
        <w:t>internazionali”, la</w:t>
      </w:r>
      <w:r>
        <w:rPr>
          <w:color w:val="231F20"/>
          <w:spacing w:val="-22"/>
        </w:rPr>
        <w:t> </w:t>
      </w:r>
      <w:r>
        <w:rPr>
          <w:color w:val="231F20"/>
        </w:rPr>
        <w:t>prospettiva</w:t>
      </w:r>
      <w:r>
        <w:rPr>
          <w:color w:val="231F20"/>
          <w:spacing w:val="-22"/>
        </w:rPr>
        <w:t> </w:t>
      </w:r>
      <w:r>
        <w:rPr>
          <w:color w:val="231F20"/>
        </w:rPr>
        <w:t>umanitaria,</w:t>
      </w:r>
      <w:r>
        <w:rPr>
          <w:color w:val="231F20"/>
          <w:spacing w:val="-22"/>
        </w:rPr>
        <w:t> </w:t>
      </w:r>
      <w:r>
        <w:rPr>
          <w:color w:val="231F20"/>
        </w:rPr>
        <w:t>se</w:t>
      </w:r>
      <w:r>
        <w:rPr>
          <w:color w:val="231F20"/>
          <w:spacing w:val="-22"/>
        </w:rPr>
        <w:t> </w:t>
      </w:r>
      <w:r>
        <w:rPr>
          <w:color w:val="231F20"/>
        </w:rPr>
        <w:t>presa</w:t>
      </w:r>
      <w:r>
        <w:rPr>
          <w:color w:val="231F20"/>
          <w:spacing w:val="-22"/>
        </w:rPr>
        <w:t> </w:t>
      </w:r>
      <w:r>
        <w:rPr>
          <w:color w:val="231F20"/>
        </w:rPr>
        <w:t>minimamente</w:t>
      </w:r>
      <w:r>
        <w:rPr>
          <w:color w:val="231F20"/>
          <w:spacing w:val="-22"/>
        </w:rPr>
        <w:t> </w:t>
      </w:r>
      <w:r>
        <w:rPr>
          <w:color w:val="231F20"/>
        </w:rPr>
        <w:t>sul</w:t>
      </w:r>
      <w:r>
        <w:rPr>
          <w:color w:val="231F20"/>
          <w:spacing w:val="-22"/>
        </w:rPr>
        <w:t> </w:t>
      </w:r>
      <w:r>
        <w:rPr>
          <w:color w:val="231F20"/>
        </w:rPr>
        <w:t>serio,</w:t>
      </w:r>
      <w:r>
        <w:rPr>
          <w:color w:val="231F20"/>
          <w:spacing w:val="-22"/>
        </w:rPr>
        <w:t> </w:t>
      </w:r>
      <w:r>
        <w:rPr>
          <w:color w:val="231F20"/>
        </w:rPr>
        <w:t>esigerebbe</w:t>
      </w:r>
      <w:r>
        <w:rPr>
          <w:color w:val="231F20"/>
          <w:spacing w:val="-22"/>
        </w:rPr>
        <w:t> </w:t>
      </w:r>
      <w:r>
        <w:rPr>
          <w:color w:val="231F20"/>
        </w:rPr>
        <w:t>infatti</w:t>
      </w:r>
    </w:p>
    <w:p>
      <w:pPr>
        <w:pStyle w:val="BodyText"/>
        <w:spacing w:before="9"/>
        <w:rPr>
          <w:sz w:val="24"/>
        </w:rPr>
      </w:pPr>
      <w:r>
        <w:rPr/>
        <w:pict>
          <v:line style="position:absolute;mso-position-horizontal-relative:page;mso-position-vertical-relative:paragraph;z-index:14488;mso-wrap-distance-left:0;mso-wrap-distance-right:0" from="65.196899pt,17.071526pt" to="178.582899pt,17.071526pt" stroked="true" strokeweight=".3pt" strokecolor="#231f20">
            <w10:wrap type="topAndBottom"/>
          </v:line>
        </w:pict>
      </w:r>
    </w:p>
    <w:p>
      <w:pPr>
        <w:spacing w:line="206" w:lineRule="exact" w:before="10"/>
        <w:ind w:left="103" w:right="0" w:firstLine="0"/>
        <w:jc w:val="left"/>
        <w:rPr>
          <w:rFonts w:ascii="Calibri"/>
          <w:sz w:val="17"/>
        </w:rPr>
      </w:pPr>
      <w:r>
        <w:rPr>
          <w:rFonts w:ascii="Calibri"/>
          <w:color w:val="231F20"/>
          <w:position w:val="6"/>
          <w:sz w:val="10"/>
        </w:rPr>
        <w:t>27 </w:t>
      </w:r>
      <w:r>
        <w:rPr>
          <w:rFonts w:ascii="Calibri"/>
          <w:color w:val="231F20"/>
          <w:sz w:val="17"/>
        </w:rPr>
        <w:t>Beck, </w:t>
      </w:r>
      <w:r>
        <w:rPr>
          <w:rFonts w:ascii="Calibri"/>
          <w:i/>
          <w:color w:val="231F20"/>
          <w:sz w:val="17"/>
        </w:rPr>
        <w:t>Lo sguardo cosmopolita</w:t>
      </w:r>
      <w:r>
        <w:rPr>
          <w:rFonts w:ascii="Calibri"/>
          <w:color w:val="231F20"/>
          <w:sz w:val="17"/>
        </w:rPr>
        <w:t>, p. 179.</w:t>
      </w:r>
    </w:p>
    <w:p>
      <w:pPr>
        <w:spacing w:line="235" w:lineRule="auto" w:before="1"/>
        <w:ind w:left="103" w:right="0" w:firstLine="0"/>
        <w:jc w:val="left"/>
        <w:rPr>
          <w:rFonts w:ascii="Calibri"/>
          <w:sz w:val="17"/>
        </w:rPr>
      </w:pPr>
      <w:r>
        <w:rPr>
          <w:rFonts w:ascii="Calibri"/>
          <w:color w:val="231F20"/>
          <w:position w:val="6"/>
          <w:sz w:val="10"/>
        </w:rPr>
        <w:t>28 </w:t>
      </w:r>
      <w:r>
        <w:rPr>
          <w:rFonts w:ascii="Calibri"/>
          <w:color w:val="231F20"/>
          <w:sz w:val="17"/>
        </w:rPr>
        <w:t>A. Orford, </w:t>
      </w:r>
      <w:r>
        <w:rPr>
          <w:rFonts w:ascii="Calibri"/>
          <w:i/>
          <w:color w:val="231F20"/>
          <w:sz w:val="17"/>
        </w:rPr>
        <w:t>Reading Humanitarian Intervention. Human Rights and the Use of Force in International </w:t>
      </w:r>
      <w:r>
        <w:rPr>
          <w:rFonts w:ascii="Calibri"/>
          <w:i/>
          <w:color w:val="231F20"/>
          <w:sz w:val="17"/>
        </w:rPr>
        <w:t>Law</w:t>
      </w:r>
      <w:r>
        <w:rPr>
          <w:rFonts w:ascii="Calibri"/>
          <w:color w:val="231F20"/>
          <w:sz w:val="17"/>
        </w:rPr>
        <w:t>, Cambridge, Cambridge University Press, 2003, p.  6.</w:t>
      </w:r>
    </w:p>
    <w:p>
      <w:pPr>
        <w:spacing w:line="203" w:lineRule="exact" w:before="0"/>
        <w:ind w:left="103" w:right="0" w:firstLine="0"/>
        <w:jc w:val="left"/>
        <w:rPr>
          <w:rFonts w:ascii="Calibri"/>
          <w:sz w:val="17"/>
        </w:rPr>
      </w:pPr>
      <w:r>
        <w:rPr>
          <w:rFonts w:ascii="Calibri"/>
          <w:color w:val="231F20"/>
          <w:position w:val="6"/>
          <w:sz w:val="10"/>
        </w:rPr>
        <w:t>29  </w:t>
      </w:r>
      <w:r>
        <w:rPr>
          <w:rFonts w:ascii="Calibri"/>
          <w:color w:val="231F20"/>
          <w:sz w:val="17"/>
        </w:rPr>
        <w:t>G. Robertson, </w:t>
      </w:r>
      <w:r>
        <w:rPr>
          <w:rFonts w:ascii="Calibri"/>
          <w:i/>
          <w:color w:val="231F20"/>
          <w:sz w:val="17"/>
        </w:rPr>
        <w:t>Crimes against Humanity. The Struggle for Global Justice</w:t>
      </w:r>
      <w:r>
        <w:rPr>
          <w:rFonts w:ascii="Calibri"/>
          <w:color w:val="231F20"/>
          <w:sz w:val="17"/>
        </w:rPr>
        <w:t>, New York, New Press,</w:t>
      </w:r>
    </w:p>
    <w:p>
      <w:pPr>
        <w:spacing w:line="204" w:lineRule="exact" w:before="0"/>
        <w:ind w:left="103" w:right="0" w:firstLine="0"/>
        <w:jc w:val="left"/>
        <w:rPr>
          <w:rFonts w:ascii="Calibri"/>
          <w:sz w:val="17"/>
        </w:rPr>
      </w:pPr>
      <w:r>
        <w:rPr>
          <w:rFonts w:ascii="Calibri"/>
          <w:color w:val="231F20"/>
          <w:sz w:val="17"/>
        </w:rPr>
        <w:t>1999, p. 453.</w:t>
      </w:r>
    </w:p>
    <w:p>
      <w:pPr>
        <w:spacing w:line="235" w:lineRule="auto" w:before="1"/>
        <w:ind w:left="103" w:right="0" w:firstLine="0"/>
        <w:jc w:val="left"/>
        <w:rPr>
          <w:rFonts w:ascii="Calibri"/>
          <w:sz w:val="17"/>
        </w:rPr>
      </w:pPr>
      <w:r>
        <w:rPr>
          <w:rFonts w:ascii="Calibri"/>
          <w:color w:val="231F20"/>
          <w:position w:val="6"/>
          <w:sz w:val="10"/>
        </w:rPr>
        <w:t>30 </w:t>
      </w:r>
      <w:r>
        <w:rPr>
          <w:rFonts w:ascii="Calibri"/>
          <w:color w:val="231F20"/>
          <w:sz w:val="17"/>
        </w:rPr>
        <w:t>Su questo aspetto del dibattito si veda S. Chesterman, </w:t>
      </w:r>
      <w:r>
        <w:rPr>
          <w:rFonts w:ascii="Calibri"/>
          <w:i/>
          <w:color w:val="231F20"/>
          <w:sz w:val="17"/>
        </w:rPr>
        <w:t>Just Wars or Just Peace: Humanitarian </w:t>
      </w:r>
      <w:r>
        <w:rPr>
          <w:rFonts w:ascii="Calibri"/>
          <w:i/>
          <w:color w:val="231F20"/>
          <w:sz w:val="17"/>
        </w:rPr>
        <w:t>Intervention and International Law</w:t>
      </w:r>
      <w:r>
        <w:rPr>
          <w:rFonts w:ascii="Calibri"/>
          <w:color w:val="231F20"/>
          <w:sz w:val="17"/>
        </w:rPr>
        <w:t>, Oxford, Oxford University Press,  2002.</w:t>
      </w:r>
    </w:p>
    <w:p>
      <w:pPr>
        <w:pStyle w:val="BodyText"/>
        <w:rPr>
          <w:rFonts w:ascii="Calibri"/>
          <w:sz w:val="20"/>
        </w:rPr>
      </w:pPr>
    </w:p>
    <w:p>
      <w:pPr>
        <w:pStyle w:val="BodyText"/>
        <w:spacing w:before="10"/>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0888"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138</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98" w:lineRule="exact" w:before="52"/>
        <w:ind w:left="796"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1456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QUESTIONI</w:t>
      </w:r>
      <w:r>
        <w:rPr>
          <w:rFonts w:ascii="Lucida Sans Unicode" w:hAnsi="Lucida Sans Unicode"/>
          <w:color w:val="6D6E71"/>
          <w:spacing w:val="-11"/>
          <w:w w:val="90"/>
          <w:sz w:val="14"/>
        </w:rPr>
        <w:t> </w:t>
      </w:r>
      <w:r>
        <w:rPr>
          <w:rFonts w:ascii="Lucida Sans Unicode" w:hAnsi="Lucida Sans Unicode"/>
          <w:color w:val="6D6E71"/>
          <w:w w:val="90"/>
          <w:sz w:val="14"/>
        </w:rPr>
        <w:t>DI</w:t>
      </w:r>
      <w:r>
        <w:rPr>
          <w:rFonts w:ascii="Lucida Sans Unicode" w:hAnsi="Lucida Sans Unicode"/>
          <w:color w:val="6D6E71"/>
          <w:spacing w:val="-11"/>
          <w:w w:val="90"/>
          <w:sz w:val="14"/>
        </w:rPr>
        <w:t> </w:t>
      </w:r>
      <w:r>
        <w:rPr>
          <w:rFonts w:ascii="Lucida Sans Unicode" w:hAnsi="Lucida Sans Unicode"/>
          <w:color w:val="6D6E71"/>
          <w:w w:val="90"/>
          <w:sz w:val="14"/>
        </w:rPr>
        <w:t>CONFINE.</w:t>
      </w:r>
      <w:r>
        <w:rPr>
          <w:rFonts w:ascii="Lucida Sans Unicode" w:hAnsi="Lucida Sans Unicode"/>
          <w:color w:val="6D6E71"/>
          <w:spacing w:val="-11"/>
          <w:w w:val="90"/>
          <w:sz w:val="14"/>
        </w:rPr>
        <w:t> </w:t>
      </w:r>
      <w:r>
        <w:rPr>
          <w:rFonts w:ascii="Lucida Sans Unicode" w:hAnsi="Lucida Sans Unicode"/>
          <w:color w:val="6D6E71"/>
          <w:w w:val="90"/>
          <w:sz w:val="14"/>
        </w:rPr>
        <w:t>SOVRANITÀ</w:t>
      </w:r>
      <w:r>
        <w:rPr>
          <w:rFonts w:ascii="Lucida Sans Unicode" w:hAnsi="Lucida Sans Unicode"/>
          <w:color w:val="6D6E71"/>
          <w:spacing w:val="-11"/>
          <w:w w:val="90"/>
          <w:sz w:val="14"/>
        </w:rPr>
        <w:t> </w:t>
      </w:r>
      <w:r>
        <w:rPr>
          <w:rFonts w:ascii="Lucida Sans Unicode" w:hAnsi="Lucida Sans Unicode"/>
          <w:color w:val="6D6E71"/>
          <w:w w:val="90"/>
          <w:sz w:val="14"/>
        </w:rPr>
        <w:t>TERRITORIALE</w:t>
      </w:r>
      <w:r>
        <w:rPr>
          <w:rFonts w:ascii="Lucida Sans Unicode" w:hAnsi="Lucida Sans Unicode"/>
          <w:color w:val="6D6E71"/>
          <w:spacing w:val="-11"/>
          <w:w w:val="90"/>
          <w:sz w:val="14"/>
        </w:rPr>
        <w:t> </w:t>
      </w:r>
      <w:r>
        <w:rPr>
          <w:rFonts w:ascii="Lucida Sans Unicode" w:hAnsi="Lucida Sans Unicode"/>
          <w:color w:val="6D6E71"/>
          <w:w w:val="90"/>
          <w:sz w:val="14"/>
        </w:rPr>
        <w:t>E</w:t>
      </w:r>
      <w:r>
        <w:rPr>
          <w:rFonts w:ascii="Lucida Sans Unicode" w:hAnsi="Lucida Sans Unicode"/>
          <w:color w:val="6D6E71"/>
          <w:spacing w:val="-11"/>
          <w:w w:val="90"/>
          <w:sz w:val="14"/>
        </w:rPr>
        <w:t> </w:t>
      </w:r>
      <w:r>
        <w:rPr>
          <w:rFonts w:ascii="Lucida Sans Unicode" w:hAnsi="Lucida Sans Unicode"/>
          <w:color w:val="6D6E71"/>
          <w:w w:val="90"/>
          <w:sz w:val="14"/>
        </w:rPr>
        <w:t>ORDINE</w:t>
      </w:r>
      <w:r>
        <w:rPr>
          <w:rFonts w:ascii="Lucida Sans Unicode" w:hAnsi="Lucida Sans Unicode"/>
          <w:color w:val="6D6E71"/>
          <w:spacing w:val="-11"/>
          <w:w w:val="90"/>
          <w:sz w:val="14"/>
        </w:rPr>
        <w:t> </w:t>
      </w:r>
      <w:r>
        <w:rPr>
          <w:rFonts w:ascii="Lucida Sans Unicode" w:hAnsi="Lucida Sans Unicode"/>
          <w:color w:val="6D6E71"/>
          <w:w w:val="90"/>
          <w:sz w:val="14"/>
        </w:rPr>
        <w:t>GLOBALE</w:t>
      </w:r>
      <w:r>
        <w:rPr>
          <w:rFonts w:ascii="Lucida Sans Unicode" w:hAnsi="Lucida Sans Unicode"/>
          <w:color w:val="6D6E71"/>
          <w:spacing w:val="-11"/>
          <w:w w:val="90"/>
          <w:sz w:val="14"/>
        </w:rPr>
        <w:t> </w:t>
      </w:r>
      <w:r>
        <w:rPr>
          <w:rFonts w:ascii="Lucida Sans Unicode" w:hAnsi="Lucida Sans Unicode"/>
          <w:color w:val="6D6E71"/>
          <w:w w:val="90"/>
          <w:sz w:val="14"/>
        </w:rPr>
        <w:t>NEL</w:t>
      </w:r>
      <w:r>
        <w:rPr>
          <w:rFonts w:ascii="Lucida Sans Unicode" w:hAnsi="Lucida Sans Unicode"/>
          <w:color w:val="6D6E71"/>
          <w:spacing w:val="-11"/>
          <w:w w:val="90"/>
          <w:sz w:val="14"/>
        </w:rPr>
        <w:t> </w:t>
      </w:r>
      <w:r>
        <w:rPr>
          <w:rFonts w:ascii="Lucida Sans Unicode" w:hAnsi="Lucida Sans Unicode"/>
          <w:color w:val="6D6E71"/>
          <w:w w:val="90"/>
          <w:sz w:val="14"/>
        </w:rPr>
        <w:t>DIBATTITO</w:t>
      </w:r>
      <w:r>
        <w:rPr>
          <w:rFonts w:ascii="Lucida Sans Unicode" w:hAnsi="Lucida Sans Unicode"/>
          <w:color w:val="6D6E71"/>
          <w:spacing w:val="-11"/>
          <w:w w:val="90"/>
          <w:sz w:val="14"/>
        </w:rPr>
        <w:t> </w:t>
      </w:r>
      <w:r>
        <w:rPr>
          <w:rFonts w:ascii="Lucida Sans Unicode" w:hAnsi="Lucida Sans Unicode"/>
          <w:color w:val="6D6E71"/>
          <w:w w:val="90"/>
          <w:sz w:val="14"/>
        </w:rPr>
        <w:t>SUL</w:t>
      </w:r>
    </w:p>
    <w:p>
      <w:pPr>
        <w:spacing w:line="198" w:lineRule="exact" w:before="0"/>
        <w:ind w:left="3896" w:right="-13" w:firstLine="0"/>
        <w:jc w:val="left"/>
        <w:rPr>
          <w:rFonts w:ascii="Lucida Sans Unicode" w:hAnsi="Lucida Sans Unicode"/>
          <w:sz w:val="14"/>
        </w:rPr>
      </w:pPr>
      <w:r>
        <w:rPr>
          <w:rFonts w:ascii="Lucida Sans Unicode" w:hAnsi="Lucida Sans Unicode"/>
          <w:color w:val="6D6E71"/>
          <w:w w:val="85"/>
          <w:sz w:val="14"/>
        </w:rPr>
        <w:t>“NUOVO  INTERVENTISMO  UMANITARIO”</w:t>
      </w:r>
    </w:p>
    <w:p>
      <w:pPr>
        <w:spacing w:before="59"/>
        <w:ind w:left="338" w:right="0" w:firstLine="0"/>
        <w:jc w:val="left"/>
        <w:rPr>
          <w:rFonts w:ascii="Trebuchet MS"/>
          <w:sz w:val="20"/>
        </w:rPr>
      </w:pPr>
      <w:r>
        <w:rPr/>
        <w:br w:type="column"/>
      </w:r>
      <w:r>
        <w:rPr>
          <w:rFonts w:ascii="Trebuchet MS"/>
          <w:color w:val="414042"/>
          <w:w w:val="105"/>
          <w:sz w:val="20"/>
        </w:rPr>
        <w:t>139</w:t>
      </w:r>
    </w:p>
    <w:p>
      <w:pPr>
        <w:spacing w:after="0"/>
        <w:jc w:val="left"/>
        <w:rPr>
          <w:rFonts w:ascii="Trebuchet MS"/>
          <w:sz w:val="20"/>
        </w:rPr>
        <w:sectPr>
          <w:type w:val="continuous"/>
          <w:pgSz w:w="9640" w:h="13890"/>
          <w:pgMar w:top="0" w:bottom="0" w:left="1300" w:right="1180"/>
          <w:cols w:num="2" w:equalWidth="0">
            <w:col w:w="6261" w:space="40"/>
            <w:col w:w="859"/>
          </w:cols>
        </w:sectPr>
      </w:pPr>
    </w:p>
    <w:p>
      <w:pPr>
        <w:pStyle w:val="BodyText"/>
        <w:rPr>
          <w:rFonts w:ascii="Trebuchet MS"/>
          <w:sz w:val="20"/>
        </w:rPr>
      </w:pPr>
    </w:p>
    <w:p>
      <w:pPr>
        <w:pStyle w:val="BodyText"/>
        <w:spacing w:before="2"/>
        <w:rPr>
          <w:rFonts w:ascii="Trebuchet MS"/>
          <w:sz w:val="16"/>
        </w:rPr>
      </w:pPr>
    </w:p>
    <w:p>
      <w:pPr>
        <w:pStyle w:val="BodyText"/>
        <w:spacing w:line="247" w:lineRule="auto" w:before="44"/>
        <w:ind w:left="117" w:right="116"/>
        <w:jc w:val="both"/>
      </w:pPr>
      <w:r>
        <w:rPr>
          <w:color w:val="231F20"/>
        </w:rPr>
        <w:t>che</w:t>
      </w:r>
      <w:r>
        <w:rPr>
          <w:color w:val="231F20"/>
          <w:spacing w:val="-15"/>
        </w:rPr>
        <w:t> </w:t>
      </w:r>
      <w:r>
        <w:rPr>
          <w:color w:val="231F20"/>
          <w:spacing w:val="-3"/>
        </w:rPr>
        <w:t>l’ordinamento</w:t>
      </w:r>
      <w:r>
        <w:rPr>
          <w:color w:val="231F20"/>
          <w:spacing w:val="-15"/>
        </w:rPr>
        <w:t> </w:t>
      </w:r>
      <w:r>
        <w:rPr>
          <w:color w:val="231F20"/>
        </w:rPr>
        <w:t>internazionale</w:t>
      </w:r>
      <w:r>
        <w:rPr>
          <w:color w:val="231F20"/>
          <w:spacing w:val="-15"/>
        </w:rPr>
        <w:t> </w:t>
      </w:r>
      <w:r>
        <w:rPr>
          <w:color w:val="231F20"/>
        </w:rPr>
        <w:t>vigente,</w:t>
      </w:r>
      <w:r>
        <w:rPr>
          <w:color w:val="231F20"/>
          <w:spacing w:val="-15"/>
        </w:rPr>
        <w:t> </w:t>
      </w:r>
      <w:r>
        <w:rPr>
          <w:color w:val="231F20"/>
        </w:rPr>
        <w:t>oggi</w:t>
      </w:r>
      <w:r>
        <w:rPr>
          <w:color w:val="231F20"/>
          <w:spacing w:val="-15"/>
        </w:rPr>
        <w:t> </w:t>
      </w:r>
      <w:r>
        <w:rPr>
          <w:color w:val="231F20"/>
        </w:rPr>
        <w:t>imperniato</w:t>
      </w:r>
      <w:r>
        <w:rPr>
          <w:color w:val="231F20"/>
          <w:spacing w:val="-15"/>
        </w:rPr>
        <w:t> </w:t>
      </w:r>
      <w:r>
        <w:rPr>
          <w:color w:val="231F20"/>
        </w:rPr>
        <w:t>sul</w:t>
      </w:r>
      <w:r>
        <w:rPr>
          <w:color w:val="231F20"/>
          <w:spacing w:val="-15"/>
        </w:rPr>
        <w:t> </w:t>
      </w:r>
      <w:r>
        <w:rPr>
          <w:color w:val="231F20"/>
        </w:rPr>
        <w:t>particolarismo </w:t>
      </w:r>
      <w:r>
        <w:rPr>
          <w:color w:val="231F20"/>
          <w:w w:val="105"/>
        </w:rPr>
        <w:t>delle relazioni intergovernative, lasciasse il campo ad un vero e proprio “</w:t>
      </w:r>
      <w:r>
        <w:rPr>
          <w:rFonts w:ascii="Arial" w:hAnsi="Arial"/>
          <w:i/>
          <w:color w:val="231F20"/>
          <w:w w:val="105"/>
        </w:rPr>
        <w:t>global</w:t>
      </w:r>
      <w:r>
        <w:rPr>
          <w:rFonts w:ascii="Arial" w:hAnsi="Arial"/>
          <w:i/>
          <w:color w:val="231F20"/>
          <w:spacing w:val="-19"/>
          <w:w w:val="105"/>
        </w:rPr>
        <w:t> </w:t>
      </w:r>
      <w:r>
        <w:rPr>
          <w:rFonts w:ascii="Arial" w:hAnsi="Arial"/>
          <w:i/>
          <w:color w:val="231F20"/>
          <w:w w:val="105"/>
        </w:rPr>
        <w:t>humanitarian</w:t>
      </w:r>
      <w:r>
        <w:rPr>
          <w:rFonts w:ascii="Arial" w:hAnsi="Arial"/>
          <w:i/>
          <w:color w:val="231F20"/>
          <w:spacing w:val="-19"/>
          <w:w w:val="105"/>
        </w:rPr>
        <w:t> </w:t>
      </w:r>
      <w:r>
        <w:rPr>
          <w:rFonts w:ascii="Arial" w:hAnsi="Arial"/>
          <w:i/>
          <w:color w:val="231F20"/>
          <w:w w:val="105"/>
        </w:rPr>
        <w:t>regime</w:t>
      </w:r>
      <w:r>
        <w:rPr>
          <w:color w:val="231F20"/>
          <w:w w:val="105"/>
        </w:rPr>
        <w:t>”,</w:t>
      </w:r>
      <w:r>
        <w:rPr>
          <w:color w:val="231F20"/>
          <w:spacing w:val="-26"/>
          <w:w w:val="105"/>
        </w:rPr>
        <w:t> </w:t>
      </w:r>
      <w:r>
        <w:rPr>
          <w:color w:val="231F20"/>
          <w:w w:val="105"/>
        </w:rPr>
        <w:t>“una</w:t>
      </w:r>
      <w:r>
        <w:rPr>
          <w:color w:val="231F20"/>
          <w:spacing w:val="-26"/>
          <w:w w:val="105"/>
        </w:rPr>
        <w:t> </w:t>
      </w:r>
      <w:r>
        <w:rPr>
          <w:color w:val="231F20"/>
          <w:w w:val="105"/>
        </w:rPr>
        <w:t>sorta</w:t>
      </w:r>
      <w:r>
        <w:rPr>
          <w:color w:val="231F20"/>
          <w:spacing w:val="-26"/>
          <w:w w:val="105"/>
        </w:rPr>
        <w:t> </w:t>
      </w:r>
      <w:r>
        <w:rPr>
          <w:color w:val="231F20"/>
          <w:w w:val="105"/>
        </w:rPr>
        <w:t>di</w:t>
      </w:r>
      <w:r>
        <w:rPr>
          <w:color w:val="231F20"/>
          <w:spacing w:val="-26"/>
          <w:w w:val="105"/>
        </w:rPr>
        <w:t> </w:t>
      </w:r>
      <w:r>
        <w:rPr>
          <w:rFonts w:ascii="Arial" w:hAnsi="Arial"/>
          <w:i/>
          <w:color w:val="231F20"/>
          <w:w w:val="105"/>
        </w:rPr>
        <w:t>civitas</w:t>
      </w:r>
      <w:r>
        <w:rPr>
          <w:rFonts w:ascii="Arial" w:hAnsi="Arial"/>
          <w:i/>
          <w:color w:val="231F20"/>
          <w:spacing w:val="-19"/>
          <w:w w:val="105"/>
        </w:rPr>
        <w:t> </w:t>
      </w:r>
      <w:r>
        <w:rPr>
          <w:rFonts w:ascii="Arial" w:hAnsi="Arial"/>
          <w:i/>
          <w:color w:val="231F20"/>
          <w:w w:val="105"/>
        </w:rPr>
        <w:t>maxima</w:t>
      </w:r>
      <w:r>
        <w:rPr>
          <w:rFonts w:ascii="Arial" w:hAnsi="Arial"/>
          <w:i/>
          <w:color w:val="231F20"/>
          <w:spacing w:val="-19"/>
          <w:w w:val="105"/>
        </w:rPr>
        <w:t> </w:t>
      </w:r>
      <w:r>
        <w:rPr>
          <w:color w:val="231F20"/>
          <w:w w:val="105"/>
        </w:rPr>
        <w:t>politicamente unificata”,</w:t>
      </w:r>
      <w:r>
        <w:rPr>
          <w:color w:val="231F20"/>
          <w:spacing w:val="-30"/>
          <w:w w:val="105"/>
        </w:rPr>
        <w:t> </w:t>
      </w:r>
      <w:r>
        <w:rPr>
          <w:color w:val="231F20"/>
          <w:w w:val="105"/>
        </w:rPr>
        <w:t>in</w:t>
      </w:r>
      <w:r>
        <w:rPr>
          <w:color w:val="231F20"/>
          <w:spacing w:val="-30"/>
          <w:w w:val="105"/>
        </w:rPr>
        <w:t> </w:t>
      </w:r>
      <w:r>
        <w:rPr>
          <w:color w:val="231F20"/>
          <w:w w:val="105"/>
        </w:rPr>
        <w:t>grado</w:t>
      </w:r>
      <w:r>
        <w:rPr>
          <w:color w:val="231F20"/>
          <w:spacing w:val="-30"/>
          <w:w w:val="105"/>
        </w:rPr>
        <w:t> </w:t>
      </w:r>
      <w:r>
        <w:rPr>
          <w:color w:val="231F20"/>
          <w:w w:val="105"/>
        </w:rPr>
        <w:t>di</w:t>
      </w:r>
      <w:r>
        <w:rPr>
          <w:color w:val="231F20"/>
          <w:spacing w:val="-30"/>
          <w:w w:val="105"/>
        </w:rPr>
        <w:t> </w:t>
      </w:r>
      <w:r>
        <w:rPr>
          <w:color w:val="231F20"/>
          <w:w w:val="105"/>
        </w:rPr>
        <w:t>garantire</w:t>
      </w:r>
      <w:r>
        <w:rPr>
          <w:color w:val="231F20"/>
          <w:spacing w:val="-30"/>
          <w:w w:val="105"/>
        </w:rPr>
        <w:t> </w:t>
      </w:r>
      <w:r>
        <w:rPr>
          <w:color w:val="231F20"/>
          <w:w w:val="105"/>
        </w:rPr>
        <w:t>l’effettivo</w:t>
      </w:r>
      <w:r>
        <w:rPr>
          <w:color w:val="231F20"/>
          <w:spacing w:val="-30"/>
          <w:w w:val="105"/>
        </w:rPr>
        <w:t> </w:t>
      </w:r>
      <w:r>
        <w:rPr>
          <w:color w:val="231F20"/>
          <w:w w:val="105"/>
        </w:rPr>
        <w:t>godimento</w:t>
      </w:r>
      <w:r>
        <w:rPr>
          <w:color w:val="231F20"/>
          <w:spacing w:val="-30"/>
          <w:w w:val="105"/>
        </w:rPr>
        <w:t> </w:t>
      </w:r>
      <w:r>
        <w:rPr>
          <w:color w:val="231F20"/>
          <w:w w:val="105"/>
        </w:rPr>
        <w:t>di</w:t>
      </w:r>
      <w:r>
        <w:rPr>
          <w:color w:val="231F20"/>
          <w:spacing w:val="-30"/>
          <w:w w:val="105"/>
        </w:rPr>
        <w:t> </w:t>
      </w:r>
      <w:r>
        <w:rPr>
          <w:color w:val="231F20"/>
          <w:w w:val="105"/>
        </w:rPr>
        <w:t>una</w:t>
      </w:r>
      <w:r>
        <w:rPr>
          <w:color w:val="231F20"/>
          <w:spacing w:val="-30"/>
          <w:w w:val="105"/>
        </w:rPr>
        <w:t> </w:t>
      </w:r>
      <w:r>
        <w:rPr>
          <w:color w:val="231F20"/>
          <w:w w:val="105"/>
        </w:rPr>
        <w:t>soggettività</w:t>
      </w:r>
      <w:r>
        <w:rPr>
          <w:color w:val="231F20"/>
          <w:spacing w:val="-30"/>
          <w:w w:val="105"/>
        </w:rPr>
        <w:t> </w:t>
      </w:r>
      <w:r>
        <w:rPr>
          <w:color w:val="231F20"/>
          <w:w w:val="105"/>
        </w:rPr>
        <w:t>di diritto</w:t>
      </w:r>
      <w:r>
        <w:rPr>
          <w:color w:val="231F20"/>
          <w:spacing w:val="-22"/>
          <w:w w:val="105"/>
        </w:rPr>
        <w:t> </w:t>
      </w:r>
      <w:r>
        <w:rPr>
          <w:color w:val="231F20"/>
          <w:w w:val="105"/>
        </w:rPr>
        <w:t>internazionale</w:t>
      </w:r>
      <w:r>
        <w:rPr>
          <w:color w:val="231F20"/>
          <w:spacing w:val="-22"/>
          <w:w w:val="105"/>
        </w:rPr>
        <w:t> </w:t>
      </w:r>
      <w:r>
        <w:rPr>
          <w:color w:val="231F20"/>
          <w:w w:val="105"/>
        </w:rPr>
        <w:t>a</w:t>
      </w:r>
      <w:r>
        <w:rPr>
          <w:color w:val="231F20"/>
          <w:spacing w:val="-22"/>
          <w:w w:val="105"/>
        </w:rPr>
        <w:t> </w:t>
      </w:r>
      <w:r>
        <w:rPr>
          <w:color w:val="231F20"/>
          <w:w w:val="105"/>
        </w:rPr>
        <w:t>tutti</w:t>
      </w:r>
      <w:r>
        <w:rPr>
          <w:color w:val="231F20"/>
          <w:spacing w:val="-22"/>
          <w:w w:val="105"/>
        </w:rPr>
        <w:t> </w:t>
      </w:r>
      <w:r>
        <w:rPr>
          <w:color w:val="231F20"/>
          <w:w w:val="105"/>
        </w:rPr>
        <w:t>gli</w:t>
      </w:r>
      <w:r>
        <w:rPr>
          <w:color w:val="231F20"/>
          <w:spacing w:val="-22"/>
          <w:w w:val="105"/>
        </w:rPr>
        <w:t> </w:t>
      </w:r>
      <w:r>
        <w:rPr>
          <w:color w:val="231F20"/>
          <w:w w:val="105"/>
        </w:rPr>
        <w:t>esseri</w:t>
      </w:r>
      <w:r>
        <w:rPr>
          <w:color w:val="231F20"/>
          <w:spacing w:val="-22"/>
          <w:w w:val="105"/>
        </w:rPr>
        <w:t> </w:t>
      </w:r>
      <w:r>
        <w:rPr>
          <w:color w:val="231F20"/>
          <w:w w:val="105"/>
        </w:rPr>
        <w:t>umani</w:t>
      </w:r>
      <w:r>
        <w:rPr>
          <w:color w:val="231F20"/>
          <w:spacing w:val="-22"/>
          <w:w w:val="105"/>
        </w:rPr>
        <w:t> </w:t>
      </w:r>
      <w:r>
        <w:rPr>
          <w:color w:val="231F20"/>
          <w:w w:val="105"/>
        </w:rPr>
        <w:t>e</w:t>
      </w:r>
      <w:r>
        <w:rPr>
          <w:color w:val="231F20"/>
          <w:spacing w:val="-22"/>
          <w:w w:val="105"/>
        </w:rPr>
        <w:t> </w:t>
      </w:r>
      <w:r>
        <w:rPr>
          <w:color w:val="231F20"/>
          <w:w w:val="105"/>
        </w:rPr>
        <w:t>non</w:t>
      </w:r>
      <w:r>
        <w:rPr>
          <w:color w:val="231F20"/>
          <w:spacing w:val="-22"/>
          <w:w w:val="105"/>
        </w:rPr>
        <w:t> </w:t>
      </w:r>
      <w:r>
        <w:rPr>
          <w:color w:val="231F20"/>
          <w:w w:val="105"/>
        </w:rPr>
        <w:t>più</w:t>
      </w:r>
      <w:r>
        <w:rPr>
          <w:color w:val="231F20"/>
          <w:spacing w:val="-22"/>
          <w:w w:val="105"/>
        </w:rPr>
        <w:t> </w:t>
      </w:r>
      <w:r>
        <w:rPr>
          <w:color w:val="231F20"/>
          <w:w w:val="105"/>
        </w:rPr>
        <w:t>soltanto</w:t>
      </w:r>
      <w:r>
        <w:rPr>
          <w:color w:val="231F20"/>
          <w:spacing w:val="-22"/>
          <w:w w:val="105"/>
        </w:rPr>
        <w:t> </w:t>
      </w:r>
      <w:r>
        <w:rPr>
          <w:color w:val="231F20"/>
          <w:w w:val="105"/>
        </w:rPr>
        <w:t>agli</w:t>
      </w:r>
      <w:r>
        <w:rPr>
          <w:color w:val="231F20"/>
          <w:spacing w:val="-22"/>
          <w:w w:val="105"/>
        </w:rPr>
        <w:t> </w:t>
      </w:r>
      <w:r>
        <w:rPr>
          <w:color w:val="231F20"/>
          <w:w w:val="105"/>
        </w:rPr>
        <w:t>Stati</w:t>
      </w:r>
      <w:r>
        <w:rPr>
          <w:color w:val="231F20"/>
          <w:w w:val="105"/>
          <w:position w:val="7"/>
          <w:sz w:val="12"/>
        </w:rPr>
        <w:t>31</w:t>
      </w:r>
      <w:r>
        <w:rPr>
          <w:color w:val="231F20"/>
          <w:w w:val="105"/>
        </w:rPr>
        <w:t>. Inserita</w:t>
      </w:r>
      <w:r>
        <w:rPr>
          <w:color w:val="231F20"/>
          <w:spacing w:val="-35"/>
          <w:w w:val="105"/>
        </w:rPr>
        <w:t> </w:t>
      </w:r>
      <w:r>
        <w:rPr>
          <w:color w:val="231F20"/>
          <w:w w:val="105"/>
        </w:rPr>
        <w:t>in</w:t>
      </w:r>
      <w:r>
        <w:rPr>
          <w:color w:val="231F20"/>
          <w:spacing w:val="-35"/>
          <w:w w:val="105"/>
        </w:rPr>
        <w:t> </w:t>
      </w:r>
      <w:r>
        <w:rPr>
          <w:color w:val="231F20"/>
          <w:w w:val="105"/>
        </w:rPr>
        <w:t>un</w:t>
      </w:r>
      <w:r>
        <w:rPr>
          <w:color w:val="231F20"/>
          <w:spacing w:val="-35"/>
          <w:w w:val="105"/>
        </w:rPr>
        <w:t> </w:t>
      </w:r>
      <w:r>
        <w:rPr>
          <w:color w:val="231F20"/>
          <w:w w:val="105"/>
        </w:rPr>
        <w:t>ordine</w:t>
      </w:r>
      <w:r>
        <w:rPr>
          <w:color w:val="231F20"/>
          <w:spacing w:val="-35"/>
          <w:w w:val="105"/>
        </w:rPr>
        <w:t> </w:t>
      </w:r>
      <w:r>
        <w:rPr>
          <w:color w:val="231F20"/>
          <w:w w:val="105"/>
        </w:rPr>
        <w:t>di</w:t>
      </w:r>
      <w:r>
        <w:rPr>
          <w:color w:val="231F20"/>
          <w:spacing w:val="-35"/>
          <w:w w:val="105"/>
        </w:rPr>
        <w:t> </w:t>
      </w:r>
      <w:r>
        <w:rPr>
          <w:color w:val="231F20"/>
          <w:w w:val="105"/>
        </w:rPr>
        <w:t>relazioni</w:t>
      </w:r>
      <w:r>
        <w:rPr>
          <w:color w:val="231F20"/>
          <w:spacing w:val="-35"/>
          <w:w w:val="105"/>
        </w:rPr>
        <w:t> </w:t>
      </w:r>
      <w:r>
        <w:rPr>
          <w:color w:val="231F20"/>
          <w:w w:val="105"/>
        </w:rPr>
        <w:t>internazionali</w:t>
      </w:r>
      <w:r>
        <w:rPr>
          <w:color w:val="231F20"/>
          <w:spacing w:val="-35"/>
          <w:w w:val="105"/>
        </w:rPr>
        <w:t> </w:t>
      </w:r>
      <w:r>
        <w:rPr>
          <w:color w:val="231F20"/>
          <w:w w:val="105"/>
        </w:rPr>
        <w:t>ancora</w:t>
      </w:r>
      <w:r>
        <w:rPr>
          <w:color w:val="231F20"/>
          <w:spacing w:val="-35"/>
          <w:w w:val="105"/>
        </w:rPr>
        <w:t> </w:t>
      </w:r>
      <w:r>
        <w:rPr>
          <w:color w:val="231F20"/>
          <w:w w:val="105"/>
        </w:rPr>
        <w:t>saldamente</w:t>
      </w:r>
      <w:r>
        <w:rPr>
          <w:color w:val="231F20"/>
          <w:spacing w:val="-35"/>
          <w:w w:val="105"/>
        </w:rPr>
        <w:t> </w:t>
      </w:r>
      <w:r>
        <w:rPr>
          <w:color w:val="231F20"/>
          <w:w w:val="105"/>
        </w:rPr>
        <w:t>centrato sul</w:t>
      </w:r>
      <w:r>
        <w:rPr>
          <w:color w:val="231F20"/>
          <w:spacing w:val="-38"/>
          <w:w w:val="105"/>
        </w:rPr>
        <w:t> </w:t>
      </w:r>
      <w:r>
        <w:rPr>
          <w:color w:val="231F20"/>
          <w:w w:val="105"/>
        </w:rPr>
        <w:t>particolarismo</w:t>
      </w:r>
      <w:r>
        <w:rPr>
          <w:color w:val="231F20"/>
          <w:spacing w:val="-38"/>
          <w:w w:val="105"/>
        </w:rPr>
        <w:t> </w:t>
      </w:r>
      <w:r>
        <w:rPr>
          <w:color w:val="231F20"/>
          <w:w w:val="105"/>
        </w:rPr>
        <w:t>statuale,</w:t>
      </w:r>
      <w:r>
        <w:rPr>
          <w:color w:val="231F20"/>
          <w:spacing w:val="-38"/>
          <w:w w:val="105"/>
        </w:rPr>
        <w:t> </w:t>
      </w:r>
      <w:r>
        <w:rPr>
          <w:color w:val="231F20"/>
          <w:w w:val="105"/>
        </w:rPr>
        <w:t>essa</w:t>
      </w:r>
      <w:r>
        <w:rPr>
          <w:color w:val="231F20"/>
          <w:spacing w:val="-38"/>
          <w:w w:val="105"/>
        </w:rPr>
        <w:t> </w:t>
      </w:r>
      <w:r>
        <w:rPr>
          <w:color w:val="231F20"/>
          <w:w w:val="105"/>
        </w:rPr>
        <w:t>resta</w:t>
      </w:r>
      <w:r>
        <w:rPr>
          <w:color w:val="231F20"/>
          <w:spacing w:val="-38"/>
          <w:w w:val="105"/>
        </w:rPr>
        <w:t> </w:t>
      </w:r>
      <w:r>
        <w:rPr>
          <w:color w:val="231F20"/>
          <w:w w:val="105"/>
        </w:rPr>
        <w:t>invece</w:t>
      </w:r>
      <w:r>
        <w:rPr>
          <w:color w:val="231F20"/>
          <w:spacing w:val="-38"/>
          <w:w w:val="105"/>
        </w:rPr>
        <w:t> </w:t>
      </w:r>
      <w:r>
        <w:rPr>
          <w:color w:val="231F20"/>
          <w:w w:val="105"/>
        </w:rPr>
        <w:t>assoggettata</w:t>
      </w:r>
      <w:r>
        <w:rPr>
          <w:color w:val="231F20"/>
          <w:spacing w:val="-38"/>
          <w:w w:val="105"/>
        </w:rPr>
        <w:t> </w:t>
      </w:r>
      <w:r>
        <w:rPr>
          <w:color w:val="231F20"/>
          <w:w w:val="105"/>
        </w:rPr>
        <w:t>alle</w:t>
      </w:r>
      <w:r>
        <w:rPr>
          <w:color w:val="231F20"/>
          <w:spacing w:val="-38"/>
          <w:w w:val="105"/>
        </w:rPr>
        <w:t> </w:t>
      </w:r>
      <w:r>
        <w:rPr>
          <w:color w:val="231F20"/>
          <w:w w:val="105"/>
        </w:rPr>
        <w:t>estrinseche dinamiche</w:t>
      </w:r>
      <w:r>
        <w:rPr>
          <w:color w:val="231F20"/>
          <w:spacing w:val="-46"/>
          <w:w w:val="105"/>
        </w:rPr>
        <w:t> </w:t>
      </w:r>
      <w:r>
        <w:rPr>
          <w:color w:val="231F20"/>
          <w:w w:val="105"/>
        </w:rPr>
        <w:t>decisionali</w:t>
      </w:r>
      <w:r>
        <w:rPr>
          <w:color w:val="231F20"/>
          <w:spacing w:val="-46"/>
          <w:w w:val="105"/>
        </w:rPr>
        <w:t> </w:t>
      </w:r>
      <w:r>
        <w:rPr>
          <w:color w:val="231F20"/>
          <w:w w:val="105"/>
        </w:rPr>
        <w:t>dei</w:t>
      </w:r>
      <w:r>
        <w:rPr>
          <w:color w:val="231F20"/>
          <w:spacing w:val="-46"/>
          <w:w w:val="105"/>
        </w:rPr>
        <w:t> </w:t>
      </w:r>
      <w:r>
        <w:rPr>
          <w:color w:val="231F20"/>
          <w:w w:val="105"/>
        </w:rPr>
        <w:t>singoli</w:t>
      </w:r>
      <w:r>
        <w:rPr>
          <w:color w:val="231F20"/>
          <w:spacing w:val="-46"/>
          <w:w w:val="105"/>
        </w:rPr>
        <w:t> </w:t>
      </w:r>
      <w:r>
        <w:rPr>
          <w:color w:val="231F20"/>
          <w:w w:val="105"/>
        </w:rPr>
        <w:t>Stati,</w:t>
      </w:r>
      <w:r>
        <w:rPr>
          <w:color w:val="231F20"/>
          <w:spacing w:val="-46"/>
          <w:w w:val="105"/>
        </w:rPr>
        <w:t> </w:t>
      </w:r>
      <w:r>
        <w:rPr>
          <w:color w:val="231F20"/>
          <w:w w:val="105"/>
        </w:rPr>
        <w:t>finendo</w:t>
      </w:r>
      <w:r>
        <w:rPr>
          <w:color w:val="231F20"/>
          <w:spacing w:val="-46"/>
          <w:w w:val="105"/>
        </w:rPr>
        <w:t> </w:t>
      </w:r>
      <w:r>
        <w:rPr>
          <w:color w:val="231F20"/>
          <w:w w:val="105"/>
        </w:rPr>
        <w:t>così</w:t>
      </w:r>
      <w:r>
        <w:rPr>
          <w:color w:val="231F20"/>
          <w:spacing w:val="-46"/>
          <w:w w:val="105"/>
        </w:rPr>
        <w:t> </w:t>
      </w:r>
      <w:r>
        <w:rPr>
          <w:color w:val="231F20"/>
          <w:w w:val="105"/>
        </w:rPr>
        <w:t>per</w:t>
      </w:r>
      <w:r>
        <w:rPr>
          <w:color w:val="231F20"/>
          <w:spacing w:val="-46"/>
          <w:w w:val="105"/>
        </w:rPr>
        <w:t> </w:t>
      </w:r>
      <w:r>
        <w:rPr>
          <w:color w:val="231F20"/>
          <w:spacing w:val="-3"/>
          <w:w w:val="105"/>
        </w:rPr>
        <w:t>coesistere</w:t>
      </w:r>
      <w:r>
        <w:rPr>
          <w:color w:val="231F20"/>
          <w:spacing w:val="-46"/>
          <w:w w:val="105"/>
        </w:rPr>
        <w:t> </w:t>
      </w:r>
      <w:r>
        <w:rPr>
          <w:color w:val="231F20"/>
          <w:w w:val="105"/>
        </w:rPr>
        <w:t>con</w:t>
      </w:r>
      <w:r>
        <w:rPr>
          <w:color w:val="231F20"/>
          <w:spacing w:val="-46"/>
          <w:w w:val="105"/>
        </w:rPr>
        <w:t> </w:t>
      </w:r>
      <w:r>
        <w:rPr>
          <w:color w:val="231F20"/>
          <w:w w:val="105"/>
        </w:rPr>
        <w:t>forme più</w:t>
      </w:r>
      <w:r>
        <w:rPr>
          <w:color w:val="231F20"/>
          <w:spacing w:val="-37"/>
          <w:w w:val="105"/>
        </w:rPr>
        <w:t> </w:t>
      </w:r>
      <w:r>
        <w:rPr>
          <w:color w:val="231F20"/>
          <w:w w:val="105"/>
        </w:rPr>
        <w:t>o</w:t>
      </w:r>
      <w:r>
        <w:rPr>
          <w:color w:val="231F20"/>
          <w:spacing w:val="-37"/>
          <w:w w:val="105"/>
        </w:rPr>
        <w:t> </w:t>
      </w:r>
      <w:r>
        <w:rPr>
          <w:color w:val="231F20"/>
          <w:spacing w:val="-3"/>
          <w:w w:val="105"/>
        </w:rPr>
        <w:t>meno</w:t>
      </w:r>
      <w:r>
        <w:rPr>
          <w:color w:val="231F20"/>
          <w:spacing w:val="-37"/>
          <w:w w:val="105"/>
        </w:rPr>
        <w:t> </w:t>
      </w:r>
      <w:r>
        <w:rPr>
          <w:color w:val="231F20"/>
          <w:spacing w:val="-3"/>
          <w:w w:val="105"/>
        </w:rPr>
        <w:t>crude</w:t>
      </w:r>
      <w:r>
        <w:rPr>
          <w:color w:val="231F20"/>
          <w:spacing w:val="-37"/>
          <w:w w:val="105"/>
        </w:rPr>
        <w:t> </w:t>
      </w:r>
      <w:r>
        <w:rPr>
          <w:color w:val="231F20"/>
          <w:w w:val="105"/>
        </w:rPr>
        <w:t>di</w:t>
      </w:r>
      <w:r>
        <w:rPr>
          <w:color w:val="231F20"/>
          <w:spacing w:val="-37"/>
          <w:w w:val="105"/>
        </w:rPr>
        <w:t> </w:t>
      </w:r>
      <w:r>
        <w:rPr>
          <w:color w:val="231F20"/>
          <w:spacing w:val="-3"/>
          <w:w w:val="105"/>
        </w:rPr>
        <w:t>“politica</w:t>
      </w:r>
      <w:r>
        <w:rPr>
          <w:color w:val="231F20"/>
          <w:spacing w:val="-37"/>
          <w:w w:val="105"/>
        </w:rPr>
        <w:t> </w:t>
      </w:r>
      <w:r>
        <w:rPr>
          <w:color w:val="231F20"/>
          <w:spacing w:val="-3"/>
          <w:w w:val="105"/>
        </w:rPr>
        <w:t>degli</w:t>
      </w:r>
      <w:r>
        <w:rPr>
          <w:color w:val="231F20"/>
          <w:spacing w:val="-37"/>
          <w:w w:val="105"/>
        </w:rPr>
        <w:t> </w:t>
      </w:r>
      <w:r>
        <w:rPr>
          <w:color w:val="231F20"/>
          <w:spacing w:val="-3"/>
          <w:w w:val="105"/>
        </w:rPr>
        <w:t>interessi”</w:t>
      </w:r>
      <w:r>
        <w:rPr>
          <w:color w:val="231F20"/>
          <w:spacing w:val="-3"/>
          <w:w w:val="105"/>
          <w:position w:val="7"/>
          <w:sz w:val="12"/>
        </w:rPr>
        <w:t>32</w:t>
      </w:r>
      <w:r>
        <w:rPr>
          <w:color w:val="231F20"/>
          <w:spacing w:val="-3"/>
          <w:w w:val="105"/>
        </w:rPr>
        <w:t>.</w:t>
      </w:r>
      <w:r>
        <w:rPr>
          <w:color w:val="231F20"/>
          <w:spacing w:val="-37"/>
          <w:w w:val="105"/>
        </w:rPr>
        <w:t> </w:t>
      </w:r>
      <w:r>
        <w:rPr>
          <w:color w:val="231F20"/>
          <w:w w:val="105"/>
        </w:rPr>
        <w:t>Di</w:t>
      </w:r>
      <w:r>
        <w:rPr>
          <w:color w:val="231F20"/>
          <w:spacing w:val="-37"/>
          <w:w w:val="105"/>
        </w:rPr>
        <w:t> </w:t>
      </w:r>
      <w:r>
        <w:rPr>
          <w:color w:val="231F20"/>
          <w:spacing w:val="-3"/>
          <w:w w:val="105"/>
        </w:rPr>
        <w:t>più,</w:t>
      </w:r>
      <w:r>
        <w:rPr>
          <w:color w:val="231F20"/>
          <w:spacing w:val="-37"/>
          <w:w w:val="105"/>
        </w:rPr>
        <w:t> </w:t>
      </w:r>
      <w:r>
        <w:rPr>
          <w:color w:val="231F20"/>
          <w:spacing w:val="-3"/>
          <w:w w:val="105"/>
        </w:rPr>
        <w:t>nella</w:t>
      </w:r>
      <w:r>
        <w:rPr>
          <w:color w:val="231F20"/>
          <w:spacing w:val="-37"/>
          <w:w w:val="105"/>
        </w:rPr>
        <w:t> </w:t>
      </w:r>
      <w:r>
        <w:rPr>
          <w:color w:val="231F20"/>
          <w:w w:val="105"/>
        </w:rPr>
        <w:t>sua</w:t>
      </w:r>
      <w:r>
        <w:rPr>
          <w:color w:val="231F20"/>
          <w:spacing w:val="-37"/>
          <w:w w:val="105"/>
        </w:rPr>
        <w:t> </w:t>
      </w:r>
      <w:r>
        <w:rPr>
          <w:color w:val="231F20"/>
          <w:spacing w:val="-4"/>
          <w:w w:val="105"/>
        </w:rPr>
        <w:t>riproposizione </w:t>
      </w:r>
      <w:r>
        <w:rPr>
          <w:color w:val="231F20"/>
          <w:w w:val="105"/>
        </w:rPr>
        <w:t>di</w:t>
      </w:r>
      <w:r>
        <w:rPr>
          <w:color w:val="231F20"/>
          <w:spacing w:val="-45"/>
          <w:w w:val="105"/>
        </w:rPr>
        <w:t> </w:t>
      </w:r>
      <w:r>
        <w:rPr>
          <w:color w:val="231F20"/>
          <w:w w:val="105"/>
        </w:rPr>
        <w:t>una</w:t>
      </w:r>
      <w:r>
        <w:rPr>
          <w:color w:val="231F20"/>
          <w:spacing w:val="-45"/>
          <w:w w:val="105"/>
        </w:rPr>
        <w:t> </w:t>
      </w:r>
      <w:r>
        <w:rPr>
          <w:color w:val="231F20"/>
          <w:w w:val="105"/>
        </w:rPr>
        <w:t>relazione</w:t>
      </w:r>
      <w:r>
        <w:rPr>
          <w:color w:val="231F20"/>
          <w:spacing w:val="-45"/>
          <w:w w:val="105"/>
        </w:rPr>
        <w:t> </w:t>
      </w:r>
      <w:r>
        <w:rPr>
          <w:color w:val="231F20"/>
          <w:w w:val="105"/>
        </w:rPr>
        <w:t>non</w:t>
      </w:r>
      <w:r>
        <w:rPr>
          <w:color w:val="231F20"/>
          <w:spacing w:val="-45"/>
          <w:w w:val="105"/>
        </w:rPr>
        <w:t> </w:t>
      </w:r>
      <w:r>
        <w:rPr>
          <w:color w:val="231F20"/>
          <w:w w:val="105"/>
        </w:rPr>
        <w:t>mediata</w:t>
      </w:r>
      <w:r>
        <w:rPr>
          <w:color w:val="231F20"/>
          <w:spacing w:val="-45"/>
          <w:w w:val="105"/>
        </w:rPr>
        <w:t> </w:t>
      </w:r>
      <w:r>
        <w:rPr>
          <w:color w:val="231F20"/>
          <w:w w:val="105"/>
        </w:rPr>
        <w:t>tra</w:t>
      </w:r>
      <w:r>
        <w:rPr>
          <w:color w:val="231F20"/>
          <w:spacing w:val="-45"/>
          <w:w w:val="105"/>
        </w:rPr>
        <w:t> </w:t>
      </w:r>
      <w:r>
        <w:rPr>
          <w:color w:val="231F20"/>
          <w:w w:val="105"/>
        </w:rPr>
        <w:t>esercizio</w:t>
      </w:r>
      <w:r>
        <w:rPr>
          <w:color w:val="231F20"/>
          <w:spacing w:val="-45"/>
          <w:w w:val="105"/>
        </w:rPr>
        <w:t> </w:t>
      </w:r>
      <w:r>
        <w:rPr>
          <w:color w:val="231F20"/>
          <w:w w:val="105"/>
        </w:rPr>
        <w:t>della</w:t>
      </w:r>
      <w:r>
        <w:rPr>
          <w:color w:val="231F20"/>
          <w:spacing w:val="-45"/>
          <w:w w:val="105"/>
        </w:rPr>
        <w:t> </w:t>
      </w:r>
      <w:r>
        <w:rPr>
          <w:color w:val="231F20"/>
          <w:w w:val="105"/>
        </w:rPr>
        <w:t>forza</w:t>
      </w:r>
      <w:r>
        <w:rPr>
          <w:color w:val="231F20"/>
          <w:spacing w:val="-45"/>
          <w:w w:val="105"/>
        </w:rPr>
        <w:t> </w:t>
      </w:r>
      <w:r>
        <w:rPr>
          <w:color w:val="231F20"/>
          <w:w w:val="105"/>
        </w:rPr>
        <w:t>e</w:t>
      </w:r>
      <w:r>
        <w:rPr>
          <w:color w:val="231F20"/>
          <w:spacing w:val="-45"/>
          <w:w w:val="105"/>
        </w:rPr>
        <w:t> </w:t>
      </w:r>
      <w:r>
        <w:rPr>
          <w:color w:val="231F20"/>
          <w:w w:val="105"/>
        </w:rPr>
        <w:t>principi</w:t>
      </w:r>
      <w:r>
        <w:rPr>
          <w:color w:val="231F20"/>
          <w:spacing w:val="-45"/>
          <w:w w:val="105"/>
        </w:rPr>
        <w:t> </w:t>
      </w:r>
      <w:r>
        <w:rPr>
          <w:color w:val="231F20"/>
          <w:w w:val="105"/>
        </w:rPr>
        <w:t>di</w:t>
      </w:r>
      <w:r>
        <w:rPr>
          <w:color w:val="231F20"/>
          <w:spacing w:val="-45"/>
          <w:w w:val="105"/>
        </w:rPr>
        <w:t> </w:t>
      </w:r>
      <w:r>
        <w:rPr>
          <w:color w:val="231F20"/>
          <w:w w:val="105"/>
        </w:rPr>
        <w:t>giustizia,</w:t>
      </w:r>
      <w:r>
        <w:rPr>
          <w:color w:val="231F20"/>
          <w:spacing w:val="-45"/>
          <w:w w:val="105"/>
        </w:rPr>
        <w:t> </w:t>
      </w:r>
      <w:r>
        <w:rPr>
          <w:color w:val="231F20"/>
          <w:w w:val="105"/>
        </w:rPr>
        <w:t>la logica</w:t>
      </w:r>
      <w:r>
        <w:rPr>
          <w:color w:val="231F20"/>
          <w:spacing w:val="-50"/>
          <w:w w:val="105"/>
        </w:rPr>
        <w:t> </w:t>
      </w:r>
      <w:r>
        <w:rPr>
          <w:color w:val="231F20"/>
          <w:w w:val="105"/>
        </w:rPr>
        <w:t>dell’interventismo</w:t>
      </w:r>
      <w:r>
        <w:rPr>
          <w:color w:val="231F20"/>
          <w:spacing w:val="-50"/>
          <w:w w:val="105"/>
        </w:rPr>
        <w:t> </w:t>
      </w:r>
      <w:r>
        <w:rPr>
          <w:color w:val="231F20"/>
          <w:w w:val="105"/>
        </w:rPr>
        <w:t>umanitario</w:t>
      </w:r>
      <w:r>
        <w:rPr>
          <w:color w:val="231F20"/>
          <w:spacing w:val="-50"/>
          <w:w w:val="105"/>
        </w:rPr>
        <w:t> </w:t>
      </w:r>
      <w:r>
        <w:rPr>
          <w:color w:val="231F20"/>
          <w:w w:val="105"/>
        </w:rPr>
        <w:t>si</w:t>
      </w:r>
      <w:r>
        <w:rPr>
          <w:color w:val="231F20"/>
          <w:spacing w:val="-50"/>
          <w:w w:val="105"/>
        </w:rPr>
        <w:t> </w:t>
      </w:r>
      <w:r>
        <w:rPr>
          <w:color w:val="231F20"/>
          <w:w w:val="105"/>
        </w:rPr>
        <w:t>è</w:t>
      </w:r>
      <w:r>
        <w:rPr>
          <w:color w:val="231F20"/>
          <w:spacing w:val="-50"/>
          <w:w w:val="105"/>
        </w:rPr>
        <w:t> </w:t>
      </w:r>
      <w:r>
        <w:rPr>
          <w:color w:val="231F20"/>
          <w:w w:val="105"/>
        </w:rPr>
        <w:t>rivelata</w:t>
      </w:r>
      <w:r>
        <w:rPr>
          <w:color w:val="231F20"/>
          <w:spacing w:val="-50"/>
          <w:w w:val="105"/>
        </w:rPr>
        <w:t> </w:t>
      </w:r>
      <w:r>
        <w:rPr>
          <w:color w:val="231F20"/>
          <w:w w:val="105"/>
        </w:rPr>
        <w:t>particolarmente</w:t>
      </w:r>
      <w:r>
        <w:rPr>
          <w:color w:val="231F20"/>
          <w:spacing w:val="-50"/>
          <w:w w:val="105"/>
        </w:rPr>
        <w:t> </w:t>
      </w:r>
      <w:r>
        <w:rPr>
          <w:color w:val="231F20"/>
          <w:w w:val="105"/>
        </w:rPr>
        <w:t>funzionale alle</w:t>
      </w:r>
      <w:r>
        <w:rPr>
          <w:color w:val="231F20"/>
          <w:spacing w:val="-39"/>
          <w:w w:val="105"/>
        </w:rPr>
        <w:t> </w:t>
      </w:r>
      <w:r>
        <w:rPr>
          <w:color w:val="231F20"/>
          <w:w w:val="105"/>
        </w:rPr>
        <w:t>strategie</w:t>
      </w:r>
      <w:r>
        <w:rPr>
          <w:color w:val="231F20"/>
          <w:spacing w:val="-39"/>
          <w:w w:val="105"/>
        </w:rPr>
        <w:t> </w:t>
      </w:r>
      <w:r>
        <w:rPr>
          <w:color w:val="231F20"/>
          <w:w w:val="105"/>
        </w:rPr>
        <w:t>del</w:t>
      </w:r>
      <w:r>
        <w:rPr>
          <w:color w:val="231F20"/>
          <w:spacing w:val="-39"/>
          <w:w w:val="105"/>
        </w:rPr>
        <w:t> </w:t>
      </w:r>
      <w:r>
        <w:rPr>
          <w:color w:val="231F20"/>
          <w:w w:val="105"/>
        </w:rPr>
        <w:t>nuovo</w:t>
      </w:r>
      <w:r>
        <w:rPr>
          <w:color w:val="231F20"/>
          <w:spacing w:val="-39"/>
          <w:w w:val="105"/>
        </w:rPr>
        <w:t> </w:t>
      </w:r>
      <w:r>
        <w:rPr>
          <w:color w:val="231F20"/>
          <w:w w:val="105"/>
        </w:rPr>
        <w:t>“</w:t>
      </w:r>
      <w:r>
        <w:rPr>
          <w:rFonts w:ascii="Arial" w:hAnsi="Arial"/>
          <w:i/>
          <w:color w:val="231F20"/>
          <w:w w:val="105"/>
        </w:rPr>
        <w:t>global</w:t>
      </w:r>
      <w:r>
        <w:rPr>
          <w:rFonts w:ascii="Arial" w:hAnsi="Arial"/>
          <w:i/>
          <w:color w:val="231F20"/>
          <w:spacing w:val="-32"/>
          <w:w w:val="105"/>
        </w:rPr>
        <w:t> </w:t>
      </w:r>
      <w:r>
        <w:rPr>
          <w:rFonts w:ascii="Arial" w:hAnsi="Arial"/>
          <w:i/>
          <w:color w:val="231F20"/>
          <w:w w:val="105"/>
        </w:rPr>
        <w:t>hegemon</w:t>
      </w:r>
      <w:r>
        <w:rPr>
          <w:color w:val="231F20"/>
          <w:w w:val="105"/>
        </w:rPr>
        <w:t>”</w:t>
      </w:r>
      <w:r>
        <w:rPr>
          <w:color w:val="231F20"/>
          <w:spacing w:val="-39"/>
          <w:w w:val="105"/>
        </w:rPr>
        <w:t> </w:t>
      </w:r>
      <w:r>
        <w:rPr>
          <w:color w:val="231F20"/>
          <w:w w:val="105"/>
        </w:rPr>
        <w:t>emerso</w:t>
      </w:r>
      <w:r>
        <w:rPr>
          <w:color w:val="231F20"/>
          <w:spacing w:val="-39"/>
          <w:w w:val="105"/>
        </w:rPr>
        <w:t> </w:t>
      </w:r>
      <w:r>
        <w:rPr>
          <w:color w:val="231F20"/>
          <w:w w:val="105"/>
        </w:rPr>
        <w:t>dal</w:t>
      </w:r>
      <w:r>
        <w:rPr>
          <w:color w:val="231F20"/>
          <w:spacing w:val="-39"/>
          <w:w w:val="105"/>
        </w:rPr>
        <w:t> </w:t>
      </w:r>
      <w:r>
        <w:rPr>
          <w:color w:val="231F20"/>
          <w:w w:val="105"/>
        </w:rPr>
        <w:t>tramonto</w:t>
      </w:r>
      <w:r>
        <w:rPr>
          <w:color w:val="231F20"/>
          <w:spacing w:val="-39"/>
          <w:w w:val="105"/>
        </w:rPr>
        <w:t> </w:t>
      </w:r>
      <w:r>
        <w:rPr>
          <w:color w:val="231F20"/>
          <w:w w:val="105"/>
        </w:rPr>
        <w:t>dell’ordine bipolare</w:t>
      </w:r>
      <w:r>
        <w:rPr>
          <w:color w:val="231F20"/>
          <w:spacing w:val="-24"/>
          <w:w w:val="105"/>
        </w:rPr>
        <w:t> </w:t>
      </w:r>
      <w:r>
        <w:rPr>
          <w:color w:val="231F20"/>
          <w:w w:val="105"/>
        </w:rPr>
        <w:t>del</w:t>
      </w:r>
      <w:r>
        <w:rPr>
          <w:color w:val="231F20"/>
          <w:spacing w:val="-24"/>
          <w:w w:val="105"/>
        </w:rPr>
        <w:t> </w:t>
      </w:r>
      <w:r>
        <w:rPr>
          <w:color w:val="231F20"/>
          <w:w w:val="105"/>
        </w:rPr>
        <w:t>mondo</w:t>
      </w:r>
      <w:r>
        <w:rPr>
          <w:color w:val="231F20"/>
          <w:w w:val="105"/>
          <w:position w:val="7"/>
          <w:sz w:val="12"/>
        </w:rPr>
        <w:t>33</w:t>
      </w:r>
      <w:r>
        <w:rPr>
          <w:color w:val="231F20"/>
          <w:w w:val="105"/>
        </w:rPr>
        <w:t>:</w:t>
      </w:r>
      <w:r>
        <w:rPr>
          <w:color w:val="231F20"/>
          <w:spacing w:val="-24"/>
          <w:w w:val="105"/>
        </w:rPr>
        <w:t> </w:t>
      </w:r>
      <w:r>
        <w:rPr>
          <w:color w:val="231F20"/>
          <w:w w:val="105"/>
        </w:rPr>
        <w:t>essa</w:t>
      </w:r>
      <w:r>
        <w:rPr>
          <w:color w:val="231F20"/>
          <w:spacing w:val="-24"/>
          <w:w w:val="105"/>
        </w:rPr>
        <w:t> </w:t>
      </w:r>
      <w:r>
        <w:rPr>
          <w:color w:val="231F20"/>
          <w:w w:val="105"/>
        </w:rPr>
        <w:t>ha</w:t>
      </w:r>
      <w:r>
        <w:rPr>
          <w:color w:val="231F20"/>
          <w:spacing w:val="-24"/>
          <w:w w:val="105"/>
        </w:rPr>
        <w:t> </w:t>
      </w:r>
      <w:r>
        <w:rPr>
          <w:color w:val="231F20"/>
          <w:w w:val="105"/>
        </w:rPr>
        <w:t>favorito,</w:t>
      </w:r>
      <w:r>
        <w:rPr>
          <w:color w:val="231F20"/>
          <w:spacing w:val="-24"/>
          <w:w w:val="105"/>
        </w:rPr>
        <w:t> </w:t>
      </w:r>
      <w:r>
        <w:rPr>
          <w:color w:val="231F20"/>
          <w:w w:val="105"/>
        </w:rPr>
        <w:t>infatti,</w:t>
      </w:r>
      <w:r>
        <w:rPr>
          <w:color w:val="231F20"/>
          <w:spacing w:val="-24"/>
          <w:w w:val="105"/>
        </w:rPr>
        <w:t> </w:t>
      </w:r>
      <w:r>
        <w:rPr>
          <w:color w:val="231F20"/>
          <w:w w:val="105"/>
        </w:rPr>
        <w:t>la</w:t>
      </w:r>
      <w:r>
        <w:rPr>
          <w:color w:val="231F20"/>
          <w:spacing w:val="-24"/>
          <w:w w:val="105"/>
        </w:rPr>
        <w:t> </w:t>
      </w:r>
      <w:r>
        <w:rPr>
          <w:color w:val="231F20"/>
          <w:w w:val="105"/>
        </w:rPr>
        <w:t>nascita</w:t>
      </w:r>
      <w:r>
        <w:rPr>
          <w:color w:val="231F20"/>
          <w:spacing w:val="-24"/>
          <w:w w:val="105"/>
        </w:rPr>
        <w:t> </w:t>
      </w:r>
      <w:r>
        <w:rPr>
          <w:color w:val="231F20"/>
          <w:w w:val="105"/>
        </w:rPr>
        <w:t>di</w:t>
      </w:r>
      <w:r>
        <w:rPr>
          <w:color w:val="231F20"/>
          <w:spacing w:val="-24"/>
          <w:w w:val="105"/>
        </w:rPr>
        <w:t> </w:t>
      </w:r>
      <w:r>
        <w:rPr>
          <w:color w:val="231F20"/>
          <w:w w:val="105"/>
        </w:rPr>
        <w:t>un</w:t>
      </w:r>
      <w:r>
        <w:rPr>
          <w:color w:val="231F20"/>
          <w:spacing w:val="-24"/>
          <w:w w:val="105"/>
        </w:rPr>
        <w:t> </w:t>
      </w:r>
      <w:r>
        <w:rPr>
          <w:color w:val="231F20"/>
          <w:w w:val="105"/>
        </w:rPr>
        <w:t>“monopolio cosmopolitico della morale, del diritto e della violenza” nelle mani degli Stati</w:t>
      </w:r>
      <w:r>
        <w:rPr>
          <w:color w:val="231F20"/>
          <w:spacing w:val="-37"/>
          <w:w w:val="105"/>
        </w:rPr>
        <w:t> </w:t>
      </w:r>
      <w:r>
        <w:rPr>
          <w:color w:val="231F20"/>
          <w:w w:val="105"/>
        </w:rPr>
        <w:t>Uniti</w:t>
      </w:r>
      <w:r>
        <w:rPr>
          <w:color w:val="231F20"/>
          <w:spacing w:val="-37"/>
          <w:w w:val="105"/>
        </w:rPr>
        <w:t> </w:t>
      </w:r>
      <w:r>
        <w:rPr>
          <w:color w:val="231F20"/>
          <w:w w:val="105"/>
        </w:rPr>
        <w:t>e</w:t>
      </w:r>
      <w:r>
        <w:rPr>
          <w:color w:val="231F20"/>
          <w:spacing w:val="-37"/>
          <w:w w:val="105"/>
        </w:rPr>
        <w:t> </w:t>
      </w:r>
      <w:r>
        <w:rPr>
          <w:color w:val="231F20"/>
          <w:w w:val="105"/>
        </w:rPr>
        <w:t>dei</w:t>
      </w:r>
      <w:r>
        <w:rPr>
          <w:color w:val="231F20"/>
          <w:spacing w:val="-37"/>
          <w:w w:val="105"/>
        </w:rPr>
        <w:t> </w:t>
      </w:r>
      <w:r>
        <w:rPr>
          <w:color w:val="231F20"/>
          <w:w w:val="105"/>
        </w:rPr>
        <w:t>suoi</w:t>
      </w:r>
      <w:r>
        <w:rPr>
          <w:color w:val="231F20"/>
          <w:spacing w:val="-37"/>
          <w:w w:val="105"/>
        </w:rPr>
        <w:t> </w:t>
      </w:r>
      <w:r>
        <w:rPr>
          <w:color w:val="231F20"/>
          <w:w w:val="105"/>
        </w:rPr>
        <w:t>alleati,</w:t>
      </w:r>
      <w:r>
        <w:rPr>
          <w:color w:val="231F20"/>
          <w:spacing w:val="-37"/>
          <w:w w:val="105"/>
        </w:rPr>
        <w:t> </w:t>
      </w:r>
      <w:r>
        <w:rPr>
          <w:color w:val="231F20"/>
          <w:w w:val="105"/>
        </w:rPr>
        <w:t>aprendo</w:t>
      </w:r>
      <w:r>
        <w:rPr>
          <w:color w:val="231F20"/>
          <w:spacing w:val="-37"/>
          <w:w w:val="105"/>
        </w:rPr>
        <w:t> </w:t>
      </w:r>
      <w:r>
        <w:rPr>
          <w:color w:val="231F20"/>
          <w:w w:val="105"/>
        </w:rPr>
        <w:t>così</w:t>
      </w:r>
      <w:r>
        <w:rPr>
          <w:color w:val="231F20"/>
          <w:spacing w:val="-37"/>
          <w:w w:val="105"/>
        </w:rPr>
        <w:t> </w:t>
      </w:r>
      <w:r>
        <w:rPr>
          <w:color w:val="231F20"/>
          <w:w w:val="105"/>
        </w:rPr>
        <w:t>la</w:t>
      </w:r>
      <w:r>
        <w:rPr>
          <w:color w:val="231F20"/>
          <w:spacing w:val="-37"/>
          <w:w w:val="105"/>
        </w:rPr>
        <w:t> </w:t>
      </w:r>
      <w:r>
        <w:rPr>
          <w:color w:val="231F20"/>
          <w:w w:val="105"/>
        </w:rPr>
        <w:t>strada</w:t>
      </w:r>
      <w:r>
        <w:rPr>
          <w:color w:val="231F20"/>
          <w:spacing w:val="-37"/>
          <w:w w:val="105"/>
        </w:rPr>
        <w:t> </w:t>
      </w:r>
      <w:r>
        <w:rPr>
          <w:color w:val="231F20"/>
          <w:w w:val="105"/>
        </w:rPr>
        <w:t>non</w:t>
      </w:r>
      <w:r>
        <w:rPr>
          <w:color w:val="231F20"/>
          <w:spacing w:val="-37"/>
          <w:w w:val="105"/>
        </w:rPr>
        <w:t> </w:t>
      </w:r>
      <w:r>
        <w:rPr>
          <w:color w:val="231F20"/>
          <w:w w:val="105"/>
        </w:rPr>
        <w:t>all’eliminazione</w:t>
      </w:r>
      <w:r>
        <w:rPr>
          <w:color w:val="231F20"/>
          <w:spacing w:val="-37"/>
          <w:w w:val="105"/>
        </w:rPr>
        <w:t> </w:t>
      </w:r>
      <w:r>
        <w:rPr>
          <w:color w:val="231F20"/>
          <w:w w:val="105"/>
        </w:rPr>
        <w:t>della tradizionale</w:t>
      </w:r>
      <w:r>
        <w:rPr>
          <w:color w:val="231F20"/>
          <w:spacing w:val="-40"/>
          <w:w w:val="105"/>
        </w:rPr>
        <w:t> </w:t>
      </w:r>
      <w:r>
        <w:rPr>
          <w:color w:val="231F20"/>
          <w:w w:val="105"/>
        </w:rPr>
        <w:t>dimensione</w:t>
      </w:r>
      <w:r>
        <w:rPr>
          <w:color w:val="231F20"/>
          <w:spacing w:val="-40"/>
          <w:w w:val="105"/>
        </w:rPr>
        <w:t> </w:t>
      </w:r>
      <w:r>
        <w:rPr>
          <w:color w:val="231F20"/>
          <w:w w:val="105"/>
        </w:rPr>
        <w:t>della</w:t>
      </w:r>
      <w:r>
        <w:rPr>
          <w:color w:val="231F20"/>
          <w:spacing w:val="-40"/>
          <w:w w:val="105"/>
        </w:rPr>
        <w:t> </w:t>
      </w:r>
      <w:r>
        <w:rPr>
          <w:color w:val="231F20"/>
          <w:w w:val="105"/>
        </w:rPr>
        <w:t>sovranità</w:t>
      </w:r>
      <w:r>
        <w:rPr>
          <w:color w:val="231F20"/>
          <w:spacing w:val="-40"/>
          <w:w w:val="105"/>
        </w:rPr>
        <w:t> </w:t>
      </w:r>
      <w:r>
        <w:rPr>
          <w:color w:val="231F20"/>
          <w:w w:val="105"/>
        </w:rPr>
        <w:t>statuale,</w:t>
      </w:r>
      <w:r>
        <w:rPr>
          <w:color w:val="231F20"/>
          <w:spacing w:val="-40"/>
          <w:w w:val="105"/>
        </w:rPr>
        <w:t> </w:t>
      </w:r>
      <w:r>
        <w:rPr>
          <w:color w:val="231F20"/>
          <w:w w:val="105"/>
        </w:rPr>
        <w:t>ma</w:t>
      </w:r>
      <w:r>
        <w:rPr>
          <w:color w:val="231F20"/>
          <w:spacing w:val="-40"/>
          <w:w w:val="105"/>
        </w:rPr>
        <w:t> </w:t>
      </w:r>
      <w:r>
        <w:rPr>
          <w:color w:val="231F20"/>
          <w:w w:val="105"/>
        </w:rPr>
        <w:t>ad</w:t>
      </w:r>
      <w:r>
        <w:rPr>
          <w:color w:val="231F20"/>
          <w:spacing w:val="-40"/>
          <w:w w:val="105"/>
        </w:rPr>
        <w:t> </w:t>
      </w:r>
      <w:r>
        <w:rPr>
          <w:color w:val="231F20"/>
          <w:w w:val="105"/>
        </w:rPr>
        <w:t>una</w:t>
      </w:r>
      <w:r>
        <w:rPr>
          <w:color w:val="231F20"/>
          <w:spacing w:val="-40"/>
          <w:w w:val="105"/>
        </w:rPr>
        <w:t> </w:t>
      </w:r>
      <w:r>
        <w:rPr>
          <w:color w:val="231F20"/>
          <w:w w:val="105"/>
        </w:rPr>
        <w:t>sua</w:t>
      </w:r>
      <w:r>
        <w:rPr>
          <w:color w:val="231F20"/>
          <w:spacing w:val="-40"/>
          <w:w w:val="105"/>
        </w:rPr>
        <w:t> </w:t>
      </w:r>
      <w:r>
        <w:rPr>
          <w:color w:val="231F20"/>
          <w:w w:val="105"/>
        </w:rPr>
        <w:t>unilaterale</w:t>
      </w:r>
    </w:p>
    <w:p>
      <w:pPr>
        <w:pStyle w:val="BodyText"/>
        <w:spacing w:line="252" w:lineRule="exact"/>
        <w:ind w:left="117"/>
        <w:jc w:val="both"/>
      </w:pPr>
      <w:r>
        <w:rPr>
          <w:color w:val="231F20"/>
          <w:w w:val="105"/>
        </w:rPr>
        <w:t>—e decisamente squilibrata— redistribuzione</w:t>
      </w:r>
      <w:r>
        <w:rPr>
          <w:color w:val="231F20"/>
          <w:w w:val="105"/>
          <w:position w:val="7"/>
          <w:sz w:val="12"/>
        </w:rPr>
        <w:t>34</w:t>
      </w:r>
      <w:r>
        <w:rPr>
          <w:color w:val="231F20"/>
          <w:w w:val="105"/>
        </w:rPr>
        <w:t>.</w:t>
      </w:r>
    </w:p>
    <w:p>
      <w:pPr>
        <w:pStyle w:val="BodyText"/>
        <w:spacing w:line="244" w:lineRule="auto" w:before="6"/>
        <w:ind w:left="117" w:right="117" w:firstLine="566"/>
        <w:jc w:val="both"/>
      </w:pPr>
      <w:r>
        <w:rPr>
          <w:color w:val="231F20"/>
          <w:w w:val="105"/>
        </w:rPr>
        <w:t>Di</w:t>
      </w:r>
      <w:r>
        <w:rPr>
          <w:color w:val="231F20"/>
          <w:spacing w:val="-18"/>
          <w:w w:val="105"/>
        </w:rPr>
        <w:t> </w:t>
      </w:r>
      <w:r>
        <w:rPr>
          <w:color w:val="231F20"/>
          <w:w w:val="105"/>
        </w:rPr>
        <w:t>fronte</w:t>
      </w:r>
      <w:r>
        <w:rPr>
          <w:color w:val="231F20"/>
          <w:spacing w:val="-18"/>
          <w:w w:val="105"/>
        </w:rPr>
        <w:t> </w:t>
      </w:r>
      <w:r>
        <w:rPr>
          <w:color w:val="231F20"/>
          <w:w w:val="105"/>
        </w:rPr>
        <w:t>alla</w:t>
      </w:r>
      <w:r>
        <w:rPr>
          <w:color w:val="231F20"/>
          <w:spacing w:val="-18"/>
          <w:w w:val="105"/>
        </w:rPr>
        <w:t> </w:t>
      </w:r>
      <w:r>
        <w:rPr>
          <w:color w:val="231F20"/>
          <w:w w:val="105"/>
        </w:rPr>
        <w:t>profonda</w:t>
      </w:r>
      <w:r>
        <w:rPr>
          <w:color w:val="231F20"/>
          <w:spacing w:val="-18"/>
          <w:w w:val="105"/>
        </w:rPr>
        <w:t> </w:t>
      </w:r>
      <w:r>
        <w:rPr>
          <w:color w:val="231F20"/>
          <w:w w:val="105"/>
        </w:rPr>
        <w:t>ambivalenza</w:t>
      </w:r>
      <w:r>
        <w:rPr>
          <w:color w:val="231F20"/>
          <w:spacing w:val="-18"/>
          <w:w w:val="105"/>
        </w:rPr>
        <w:t> </w:t>
      </w:r>
      <w:r>
        <w:rPr>
          <w:color w:val="231F20"/>
          <w:w w:val="105"/>
        </w:rPr>
        <w:t>di</w:t>
      </w:r>
      <w:r>
        <w:rPr>
          <w:color w:val="231F20"/>
          <w:spacing w:val="-18"/>
          <w:w w:val="105"/>
        </w:rPr>
        <w:t> </w:t>
      </w:r>
      <w:r>
        <w:rPr>
          <w:color w:val="231F20"/>
          <w:w w:val="105"/>
        </w:rPr>
        <w:t>questo</w:t>
      </w:r>
      <w:r>
        <w:rPr>
          <w:color w:val="231F20"/>
          <w:spacing w:val="-18"/>
          <w:w w:val="105"/>
        </w:rPr>
        <w:t> </w:t>
      </w:r>
      <w:r>
        <w:rPr>
          <w:color w:val="231F20"/>
          <w:w w:val="105"/>
        </w:rPr>
        <w:t>orizzonte</w:t>
      </w:r>
      <w:r>
        <w:rPr>
          <w:color w:val="231F20"/>
          <w:spacing w:val="-18"/>
          <w:w w:val="105"/>
        </w:rPr>
        <w:t> </w:t>
      </w:r>
      <w:r>
        <w:rPr>
          <w:color w:val="231F20"/>
          <w:w w:val="105"/>
        </w:rPr>
        <w:t>normativo, sospeso</w:t>
      </w:r>
      <w:r>
        <w:rPr>
          <w:color w:val="231F20"/>
          <w:spacing w:val="-20"/>
          <w:w w:val="105"/>
        </w:rPr>
        <w:t> </w:t>
      </w:r>
      <w:r>
        <w:rPr>
          <w:color w:val="231F20"/>
          <w:w w:val="105"/>
        </w:rPr>
        <w:t>tra</w:t>
      </w:r>
      <w:r>
        <w:rPr>
          <w:color w:val="231F20"/>
          <w:spacing w:val="-20"/>
          <w:w w:val="105"/>
        </w:rPr>
        <w:t> </w:t>
      </w:r>
      <w:r>
        <w:rPr>
          <w:color w:val="231F20"/>
          <w:w w:val="105"/>
        </w:rPr>
        <w:t>il</w:t>
      </w:r>
      <w:r>
        <w:rPr>
          <w:color w:val="231F20"/>
          <w:spacing w:val="-20"/>
          <w:w w:val="105"/>
        </w:rPr>
        <w:t> </w:t>
      </w:r>
      <w:r>
        <w:rPr>
          <w:color w:val="231F20"/>
          <w:w w:val="105"/>
        </w:rPr>
        <w:t>cielo</w:t>
      </w:r>
      <w:r>
        <w:rPr>
          <w:color w:val="231F20"/>
          <w:spacing w:val="-20"/>
          <w:w w:val="105"/>
        </w:rPr>
        <w:t> </w:t>
      </w:r>
      <w:r>
        <w:rPr>
          <w:color w:val="231F20"/>
          <w:w w:val="105"/>
        </w:rPr>
        <w:t>di</w:t>
      </w:r>
      <w:r>
        <w:rPr>
          <w:color w:val="231F20"/>
          <w:spacing w:val="-20"/>
          <w:w w:val="105"/>
        </w:rPr>
        <w:t> </w:t>
      </w:r>
      <w:r>
        <w:rPr>
          <w:color w:val="231F20"/>
          <w:w w:val="105"/>
        </w:rPr>
        <w:t>una</w:t>
      </w:r>
      <w:r>
        <w:rPr>
          <w:color w:val="231F20"/>
          <w:spacing w:val="-20"/>
          <w:w w:val="105"/>
        </w:rPr>
        <w:t> </w:t>
      </w:r>
      <w:r>
        <w:rPr>
          <w:color w:val="231F20"/>
          <w:w w:val="105"/>
        </w:rPr>
        <w:t>morale</w:t>
      </w:r>
      <w:r>
        <w:rPr>
          <w:color w:val="231F20"/>
          <w:spacing w:val="-20"/>
          <w:w w:val="105"/>
        </w:rPr>
        <w:t> </w:t>
      </w:r>
      <w:r>
        <w:rPr>
          <w:color w:val="231F20"/>
          <w:w w:val="105"/>
        </w:rPr>
        <w:t>universalistica</w:t>
      </w:r>
      <w:r>
        <w:rPr>
          <w:color w:val="231F20"/>
          <w:spacing w:val="-20"/>
          <w:w w:val="105"/>
        </w:rPr>
        <w:t> </w:t>
      </w:r>
      <w:r>
        <w:rPr>
          <w:color w:val="231F20"/>
          <w:w w:val="105"/>
        </w:rPr>
        <w:t>dei</w:t>
      </w:r>
      <w:r>
        <w:rPr>
          <w:color w:val="231F20"/>
          <w:spacing w:val="-20"/>
          <w:w w:val="105"/>
        </w:rPr>
        <w:t> </w:t>
      </w:r>
      <w:r>
        <w:rPr>
          <w:color w:val="231F20"/>
          <w:w w:val="105"/>
        </w:rPr>
        <w:t>diritti</w:t>
      </w:r>
      <w:r>
        <w:rPr>
          <w:color w:val="231F20"/>
          <w:spacing w:val="-20"/>
          <w:w w:val="105"/>
        </w:rPr>
        <w:t> </w:t>
      </w:r>
      <w:r>
        <w:rPr>
          <w:color w:val="231F20"/>
          <w:w w:val="105"/>
        </w:rPr>
        <w:t>umani</w:t>
      </w:r>
      <w:r>
        <w:rPr>
          <w:color w:val="231F20"/>
          <w:spacing w:val="-20"/>
          <w:w w:val="105"/>
        </w:rPr>
        <w:t> </w:t>
      </w:r>
      <w:r>
        <w:rPr>
          <w:color w:val="231F20"/>
          <w:w w:val="105"/>
        </w:rPr>
        <w:t>e</w:t>
      </w:r>
      <w:r>
        <w:rPr>
          <w:color w:val="231F20"/>
          <w:spacing w:val="-20"/>
          <w:w w:val="105"/>
        </w:rPr>
        <w:t> </w:t>
      </w:r>
      <w:r>
        <w:rPr>
          <w:color w:val="231F20"/>
          <w:w w:val="105"/>
        </w:rPr>
        <w:t>la</w:t>
      </w:r>
      <w:r>
        <w:rPr>
          <w:color w:val="231F20"/>
          <w:spacing w:val="-20"/>
          <w:w w:val="105"/>
        </w:rPr>
        <w:t> </w:t>
      </w:r>
      <w:r>
        <w:rPr>
          <w:color w:val="231F20"/>
          <w:w w:val="105"/>
        </w:rPr>
        <w:t>terra di una “</w:t>
      </w:r>
      <w:r>
        <w:rPr>
          <w:rFonts w:ascii="Arial" w:hAnsi="Arial"/>
          <w:i/>
          <w:color w:val="231F20"/>
          <w:w w:val="105"/>
        </w:rPr>
        <w:t>realpolitik in humanitarian clothes</w:t>
      </w:r>
      <w:r>
        <w:rPr>
          <w:color w:val="231F20"/>
          <w:w w:val="105"/>
        </w:rPr>
        <w:t>”</w:t>
      </w:r>
      <w:r>
        <w:rPr>
          <w:color w:val="231F20"/>
          <w:w w:val="105"/>
          <w:position w:val="7"/>
          <w:sz w:val="12"/>
        </w:rPr>
        <w:t>35</w:t>
      </w:r>
      <w:r>
        <w:rPr>
          <w:color w:val="231F20"/>
          <w:w w:val="105"/>
        </w:rPr>
        <w:t>, non tutti i protagonisti del dibattito</w:t>
      </w:r>
      <w:r>
        <w:rPr>
          <w:color w:val="231F20"/>
          <w:spacing w:val="-14"/>
          <w:w w:val="105"/>
        </w:rPr>
        <w:t> </w:t>
      </w:r>
      <w:r>
        <w:rPr>
          <w:color w:val="231F20"/>
          <w:w w:val="105"/>
        </w:rPr>
        <w:t>sono</w:t>
      </w:r>
      <w:r>
        <w:rPr>
          <w:color w:val="231F20"/>
          <w:spacing w:val="-14"/>
          <w:w w:val="105"/>
        </w:rPr>
        <w:t> </w:t>
      </w:r>
      <w:r>
        <w:rPr>
          <w:color w:val="231F20"/>
          <w:w w:val="105"/>
        </w:rPr>
        <w:t>apparsi</w:t>
      </w:r>
      <w:r>
        <w:rPr>
          <w:color w:val="231F20"/>
          <w:spacing w:val="-14"/>
          <w:w w:val="105"/>
        </w:rPr>
        <w:t> </w:t>
      </w:r>
      <w:r>
        <w:rPr>
          <w:color w:val="231F20"/>
          <w:w w:val="105"/>
        </w:rPr>
        <w:t>perciò</w:t>
      </w:r>
      <w:r>
        <w:rPr>
          <w:color w:val="231F20"/>
          <w:spacing w:val="-14"/>
          <w:w w:val="105"/>
        </w:rPr>
        <w:t> </w:t>
      </w:r>
      <w:r>
        <w:rPr>
          <w:color w:val="231F20"/>
          <w:w w:val="105"/>
        </w:rPr>
        <w:t>disponibili</w:t>
      </w:r>
      <w:r>
        <w:rPr>
          <w:color w:val="231F20"/>
          <w:spacing w:val="-14"/>
          <w:w w:val="105"/>
        </w:rPr>
        <w:t> </w:t>
      </w:r>
      <w:r>
        <w:rPr>
          <w:color w:val="231F20"/>
          <w:w w:val="105"/>
        </w:rPr>
        <w:t>a</w:t>
      </w:r>
      <w:r>
        <w:rPr>
          <w:color w:val="231F20"/>
          <w:spacing w:val="-14"/>
          <w:w w:val="105"/>
        </w:rPr>
        <w:t> </w:t>
      </w:r>
      <w:r>
        <w:rPr>
          <w:color w:val="231F20"/>
          <w:w w:val="105"/>
        </w:rPr>
        <w:t>farsi</w:t>
      </w:r>
      <w:r>
        <w:rPr>
          <w:color w:val="231F20"/>
          <w:spacing w:val="-14"/>
          <w:w w:val="105"/>
        </w:rPr>
        <w:t> </w:t>
      </w:r>
      <w:r>
        <w:rPr>
          <w:color w:val="231F20"/>
          <w:w w:val="105"/>
        </w:rPr>
        <w:t>carico</w:t>
      </w:r>
      <w:r>
        <w:rPr>
          <w:color w:val="231F20"/>
          <w:spacing w:val="-14"/>
          <w:w w:val="105"/>
        </w:rPr>
        <w:t> </w:t>
      </w:r>
      <w:r>
        <w:rPr>
          <w:color w:val="231F20"/>
          <w:w w:val="105"/>
        </w:rPr>
        <w:t>dei</w:t>
      </w:r>
      <w:r>
        <w:rPr>
          <w:color w:val="231F20"/>
          <w:spacing w:val="-14"/>
          <w:w w:val="105"/>
        </w:rPr>
        <w:t> </w:t>
      </w:r>
      <w:r>
        <w:rPr>
          <w:color w:val="231F20"/>
          <w:w w:val="105"/>
        </w:rPr>
        <w:t>costi</w:t>
      </w:r>
      <w:r>
        <w:rPr>
          <w:color w:val="231F20"/>
          <w:spacing w:val="-14"/>
          <w:w w:val="105"/>
        </w:rPr>
        <w:t> </w:t>
      </w:r>
      <w:r>
        <w:rPr>
          <w:color w:val="231F20"/>
          <w:w w:val="105"/>
        </w:rPr>
        <w:t>di</w:t>
      </w:r>
      <w:r>
        <w:rPr>
          <w:color w:val="231F20"/>
          <w:spacing w:val="-14"/>
          <w:w w:val="105"/>
        </w:rPr>
        <w:t> </w:t>
      </w:r>
      <w:r>
        <w:rPr>
          <w:color w:val="231F20"/>
          <w:w w:val="105"/>
        </w:rPr>
        <w:t>un</w:t>
      </w:r>
      <w:r>
        <w:rPr>
          <w:color w:val="231F20"/>
          <w:spacing w:val="-14"/>
          <w:w w:val="105"/>
        </w:rPr>
        <w:t> </w:t>
      </w:r>
      <w:r>
        <w:rPr>
          <w:color w:val="231F20"/>
          <w:w w:val="105"/>
        </w:rPr>
        <w:t>lento e </w:t>
      </w:r>
      <w:r>
        <w:rPr>
          <w:color w:val="231F20"/>
          <w:spacing w:val="3"/>
          <w:w w:val="105"/>
        </w:rPr>
        <w:t>faticoso processo </w:t>
      </w:r>
      <w:r>
        <w:rPr>
          <w:color w:val="231F20"/>
          <w:w w:val="105"/>
        </w:rPr>
        <w:t>di </w:t>
      </w:r>
      <w:r>
        <w:rPr>
          <w:color w:val="231F20"/>
          <w:spacing w:val="3"/>
          <w:w w:val="105"/>
        </w:rPr>
        <w:t>apprendimento collettivo </w:t>
      </w:r>
      <w:r>
        <w:rPr>
          <w:color w:val="231F20"/>
          <w:spacing w:val="2"/>
          <w:w w:val="105"/>
        </w:rPr>
        <w:t>che nel </w:t>
      </w:r>
      <w:r>
        <w:rPr>
          <w:color w:val="231F20"/>
          <w:spacing w:val="3"/>
          <w:w w:val="105"/>
        </w:rPr>
        <w:t>campo </w:t>
      </w:r>
      <w:r>
        <w:rPr>
          <w:color w:val="231F20"/>
          <w:spacing w:val="4"/>
          <w:w w:val="105"/>
        </w:rPr>
        <w:t>delle </w:t>
      </w:r>
      <w:r>
        <w:rPr>
          <w:color w:val="231F20"/>
          <w:w w:val="105"/>
        </w:rPr>
        <w:t>relazioni</w:t>
      </w:r>
      <w:r>
        <w:rPr>
          <w:color w:val="231F20"/>
          <w:spacing w:val="-12"/>
          <w:w w:val="105"/>
        </w:rPr>
        <w:t> </w:t>
      </w:r>
      <w:r>
        <w:rPr>
          <w:color w:val="231F20"/>
          <w:w w:val="105"/>
        </w:rPr>
        <w:t>internazionali</w:t>
      </w:r>
      <w:r>
        <w:rPr>
          <w:color w:val="231F20"/>
          <w:spacing w:val="-12"/>
          <w:w w:val="105"/>
        </w:rPr>
        <w:t> </w:t>
      </w:r>
      <w:r>
        <w:rPr>
          <w:color w:val="231F20"/>
          <w:w w:val="105"/>
        </w:rPr>
        <w:t>dovrebbe</w:t>
      </w:r>
      <w:r>
        <w:rPr>
          <w:color w:val="231F20"/>
          <w:spacing w:val="-12"/>
          <w:w w:val="105"/>
        </w:rPr>
        <w:t> </w:t>
      </w:r>
      <w:r>
        <w:rPr>
          <w:color w:val="231F20"/>
          <w:w w:val="105"/>
        </w:rPr>
        <w:t>infine</w:t>
      </w:r>
      <w:r>
        <w:rPr>
          <w:color w:val="231F20"/>
          <w:spacing w:val="-12"/>
          <w:w w:val="105"/>
        </w:rPr>
        <w:t> </w:t>
      </w:r>
      <w:r>
        <w:rPr>
          <w:color w:val="231F20"/>
          <w:w w:val="105"/>
        </w:rPr>
        <w:t>condurci</w:t>
      </w:r>
      <w:r>
        <w:rPr>
          <w:color w:val="231F20"/>
          <w:spacing w:val="-12"/>
          <w:w w:val="105"/>
        </w:rPr>
        <w:t> </w:t>
      </w:r>
      <w:r>
        <w:rPr>
          <w:color w:val="231F20"/>
          <w:w w:val="105"/>
        </w:rPr>
        <w:t>dalla</w:t>
      </w:r>
      <w:r>
        <w:rPr>
          <w:color w:val="231F20"/>
          <w:spacing w:val="-12"/>
          <w:w w:val="105"/>
        </w:rPr>
        <w:t> </w:t>
      </w:r>
      <w:r>
        <w:rPr>
          <w:color w:val="231F20"/>
          <w:w w:val="105"/>
        </w:rPr>
        <w:t>politica</w:t>
      </w:r>
      <w:r>
        <w:rPr>
          <w:color w:val="231F20"/>
          <w:spacing w:val="-12"/>
          <w:w w:val="105"/>
        </w:rPr>
        <w:t> </w:t>
      </w:r>
      <w:r>
        <w:rPr>
          <w:color w:val="231F20"/>
          <w:w w:val="105"/>
        </w:rPr>
        <w:t>di</w:t>
      </w:r>
      <w:r>
        <w:rPr>
          <w:color w:val="231F20"/>
          <w:spacing w:val="-12"/>
          <w:w w:val="105"/>
        </w:rPr>
        <w:t> </w:t>
      </w:r>
      <w:r>
        <w:rPr>
          <w:color w:val="231F20"/>
          <w:w w:val="105"/>
        </w:rPr>
        <w:t>potenza </w:t>
      </w:r>
      <w:r>
        <w:rPr>
          <w:color w:val="231F20"/>
          <w:spacing w:val="2"/>
          <w:w w:val="105"/>
        </w:rPr>
        <w:t>classica </w:t>
      </w:r>
      <w:r>
        <w:rPr>
          <w:color w:val="231F20"/>
          <w:w w:val="105"/>
        </w:rPr>
        <w:t>ad uno </w:t>
      </w:r>
      <w:r>
        <w:rPr>
          <w:color w:val="231F20"/>
          <w:spacing w:val="2"/>
          <w:w w:val="105"/>
        </w:rPr>
        <w:t>stato </w:t>
      </w:r>
      <w:r>
        <w:rPr>
          <w:color w:val="231F20"/>
          <w:w w:val="105"/>
        </w:rPr>
        <w:t>di </w:t>
      </w:r>
      <w:r>
        <w:rPr>
          <w:color w:val="231F20"/>
          <w:spacing w:val="2"/>
          <w:w w:val="105"/>
        </w:rPr>
        <w:t>cittadinanza cosmopolitica</w:t>
      </w:r>
      <w:r>
        <w:rPr>
          <w:color w:val="231F20"/>
          <w:spacing w:val="2"/>
          <w:w w:val="105"/>
          <w:position w:val="7"/>
          <w:sz w:val="12"/>
        </w:rPr>
        <w:t>36</w:t>
      </w:r>
      <w:r>
        <w:rPr>
          <w:color w:val="231F20"/>
          <w:spacing w:val="2"/>
          <w:w w:val="105"/>
        </w:rPr>
        <w:t>. </w:t>
      </w:r>
      <w:r>
        <w:rPr>
          <w:color w:val="231F20"/>
          <w:w w:val="105"/>
        </w:rPr>
        <w:t>Al </w:t>
      </w:r>
      <w:r>
        <w:rPr>
          <w:color w:val="231F20"/>
          <w:spacing w:val="2"/>
          <w:w w:val="105"/>
        </w:rPr>
        <w:t>contrario,</w:t>
      </w:r>
      <w:r>
        <w:rPr>
          <w:color w:val="231F20"/>
          <w:spacing w:val="29"/>
          <w:w w:val="105"/>
        </w:rPr>
        <w:t> </w:t>
      </w:r>
      <w:r>
        <w:rPr>
          <w:color w:val="231F20"/>
          <w:spacing w:val="2"/>
          <w:w w:val="105"/>
        </w:rPr>
        <w:t>agli</w:t>
      </w:r>
    </w:p>
    <w:p>
      <w:pPr>
        <w:pStyle w:val="BodyText"/>
        <w:spacing w:before="9"/>
        <w:rPr>
          <w:sz w:val="23"/>
        </w:rPr>
      </w:pPr>
      <w:r>
        <w:rPr/>
        <w:pict>
          <v:line style="position:absolute;mso-position-horizontal-relative:page;mso-position-vertical-relative:paragraph;z-index:14536;mso-wrap-distance-left:0;mso-wrap-distance-right:0" from="70.866096pt,16.433723pt" to="184.252096pt,16.433723pt" stroked="true" strokeweight=".3pt" strokecolor="#231f20">
            <w10:wrap type="topAndBottom"/>
          </v:line>
        </w:pict>
      </w:r>
    </w:p>
    <w:p>
      <w:pPr>
        <w:spacing w:line="206" w:lineRule="exact" w:before="10"/>
        <w:ind w:left="117" w:right="0" w:firstLine="0"/>
        <w:jc w:val="both"/>
        <w:rPr>
          <w:rFonts w:ascii="Calibri"/>
          <w:sz w:val="17"/>
        </w:rPr>
      </w:pPr>
      <w:r>
        <w:rPr>
          <w:rFonts w:ascii="Calibri"/>
          <w:color w:val="231F20"/>
          <w:position w:val="6"/>
          <w:sz w:val="10"/>
        </w:rPr>
        <w:t>31 </w:t>
      </w:r>
      <w:r>
        <w:rPr>
          <w:rFonts w:ascii="Calibri"/>
          <w:color w:val="231F20"/>
          <w:sz w:val="17"/>
        </w:rPr>
        <w:t>Zolo, </w:t>
      </w:r>
      <w:r>
        <w:rPr>
          <w:rFonts w:ascii="Calibri"/>
          <w:i/>
          <w:color w:val="231F20"/>
          <w:sz w:val="17"/>
        </w:rPr>
        <w:t>La giustizia dei vincitori</w:t>
      </w:r>
      <w:r>
        <w:rPr>
          <w:rFonts w:ascii="Calibri"/>
          <w:color w:val="231F20"/>
          <w:sz w:val="17"/>
        </w:rPr>
        <w:t>, p. 61.</w:t>
      </w:r>
    </w:p>
    <w:p>
      <w:pPr>
        <w:spacing w:line="235" w:lineRule="auto" w:before="1"/>
        <w:ind w:left="117" w:right="121" w:firstLine="0"/>
        <w:jc w:val="both"/>
        <w:rPr>
          <w:rFonts w:ascii="Calibri" w:hAnsi="Calibri"/>
          <w:sz w:val="17"/>
        </w:rPr>
      </w:pPr>
      <w:r>
        <w:rPr>
          <w:rFonts w:ascii="Calibri" w:hAnsi="Calibri"/>
          <w:color w:val="231F20"/>
          <w:position w:val="6"/>
          <w:sz w:val="10"/>
        </w:rPr>
        <w:t>32 </w:t>
      </w:r>
      <w:r>
        <w:rPr>
          <w:rFonts w:ascii="Calibri" w:hAnsi="Calibri"/>
          <w:color w:val="231F20"/>
          <w:sz w:val="17"/>
        </w:rPr>
        <w:t>H. Köchler, </w:t>
      </w:r>
      <w:r>
        <w:rPr>
          <w:rFonts w:ascii="Calibri" w:hAnsi="Calibri"/>
          <w:i/>
          <w:color w:val="231F20"/>
          <w:sz w:val="17"/>
        </w:rPr>
        <w:t>The Concept of Humanitarian Intervention in the Context of Modern Power Politics. Is </w:t>
      </w:r>
      <w:r>
        <w:rPr>
          <w:rFonts w:ascii="Calibri" w:hAnsi="Calibri"/>
          <w:i/>
          <w:color w:val="231F20"/>
          <w:sz w:val="17"/>
        </w:rPr>
        <w:t>the</w:t>
      </w:r>
      <w:r>
        <w:rPr>
          <w:rFonts w:ascii="Calibri" w:hAnsi="Calibri"/>
          <w:i/>
          <w:color w:val="231F20"/>
          <w:spacing w:val="-5"/>
          <w:sz w:val="17"/>
        </w:rPr>
        <w:t> </w:t>
      </w:r>
      <w:r>
        <w:rPr>
          <w:rFonts w:ascii="Calibri" w:hAnsi="Calibri"/>
          <w:i/>
          <w:color w:val="231F20"/>
          <w:sz w:val="17"/>
        </w:rPr>
        <w:t>Revival</w:t>
      </w:r>
      <w:r>
        <w:rPr>
          <w:rFonts w:ascii="Calibri" w:hAnsi="Calibri"/>
          <w:i/>
          <w:color w:val="231F20"/>
          <w:spacing w:val="-5"/>
          <w:sz w:val="17"/>
        </w:rPr>
        <w:t> </w:t>
      </w:r>
      <w:r>
        <w:rPr>
          <w:rFonts w:ascii="Calibri" w:hAnsi="Calibri"/>
          <w:i/>
          <w:color w:val="231F20"/>
          <w:sz w:val="17"/>
        </w:rPr>
        <w:t>of</w:t>
      </w:r>
      <w:r>
        <w:rPr>
          <w:rFonts w:ascii="Calibri" w:hAnsi="Calibri"/>
          <w:i/>
          <w:color w:val="231F20"/>
          <w:spacing w:val="-5"/>
          <w:sz w:val="17"/>
        </w:rPr>
        <w:t> </w:t>
      </w:r>
      <w:r>
        <w:rPr>
          <w:rFonts w:ascii="Calibri" w:hAnsi="Calibri"/>
          <w:i/>
          <w:color w:val="231F20"/>
          <w:sz w:val="17"/>
        </w:rPr>
        <w:t>the</w:t>
      </w:r>
      <w:r>
        <w:rPr>
          <w:rFonts w:ascii="Calibri" w:hAnsi="Calibri"/>
          <w:i/>
          <w:color w:val="231F20"/>
          <w:spacing w:val="-5"/>
          <w:sz w:val="17"/>
        </w:rPr>
        <w:t> </w:t>
      </w:r>
      <w:r>
        <w:rPr>
          <w:rFonts w:ascii="Calibri" w:hAnsi="Calibri"/>
          <w:i/>
          <w:color w:val="231F20"/>
          <w:sz w:val="17"/>
        </w:rPr>
        <w:t>Doctrine</w:t>
      </w:r>
      <w:r>
        <w:rPr>
          <w:rFonts w:ascii="Calibri" w:hAnsi="Calibri"/>
          <w:i/>
          <w:color w:val="231F20"/>
          <w:spacing w:val="-5"/>
          <w:sz w:val="17"/>
        </w:rPr>
        <w:t> </w:t>
      </w:r>
      <w:r>
        <w:rPr>
          <w:rFonts w:ascii="Calibri" w:hAnsi="Calibri"/>
          <w:i/>
          <w:color w:val="231F20"/>
          <w:sz w:val="17"/>
        </w:rPr>
        <w:t>of</w:t>
      </w:r>
      <w:r>
        <w:rPr>
          <w:rFonts w:ascii="Calibri" w:hAnsi="Calibri"/>
          <w:i/>
          <w:color w:val="231F20"/>
          <w:spacing w:val="-5"/>
          <w:sz w:val="17"/>
        </w:rPr>
        <w:t> </w:t>
      </w:r>
      <w:r>
        <w:rPr>
          <w:rFonts w:ascii="Calibri" w:hAnsi="Calibri"/>
          <w:i/>
          <w:color w:val="231F20"/>
          <w:sz w:val="17"/>
        </w:rPr>
        <w:t>“Just</w:t>
      </w:r>
      <w:r>
        <w:rPr>
          <w:rFonts w:ascii="Calibri" w:hAnsi="Calibri"/>
          <w:i/>
          <w:color w:val="231F20"/>
          <w:spacing w:val="-7"/>
          <w:sz w:val="17"/>
        </w:rPr>
        <w:t> </w:t>
      </w:r>
      <w:r>
        <w:rPr>
          <w:rFonts w:ascii="Calibri" w:hAnsi="Calibri"/>
          <w:i/>
          <w:color w:val="231F20"/>
          <w:sz w:val="17"/>
        </w:rPr>
        <w:t>War”</w:t>
      </w:r>
      <w:r>
        <w:rPr>
          <w:rFonts w:ascii="Calibri" w:hAnsi="Calibri"/>
          <w:i/>
          <w:color w:val="231F20"/>
          <w:spacing w:val="-5"/>
          <w:sz w:val="17"/>
        </w:rPr>
        <w:t> </w:t>
      </w:r>
      <w:r>
        <w:rPr>
          <w:rFonts w:ascii="Calibri" w:hAnsi="Calibri"/>
          <w:i/>
          <w:color w:val="231F20"/>
          <w:sz w:val="17"/>
        </w:rPr>
        <w:t>Compatible</w:t>
      </w:r>
      <w:r>
        <w:rPr>
          <w:rFonts w:ascii="Calibri" w:hAnsi="Calibri"/>
          <w:i/>
          <w:color w:val="231F20"/>
          <w:spacing w:val="-7"/>
          <w:sz w:val="17"/>
        </w:rPr>
        <w:t> </w:t>
      </w:r>
      <w:r>
        <w:rPr>
          <w:rFonts w:ascii="Calibri" w:hAnsi="Calibri"/>
          <w:i/>
          <w:color w:val="231F20"/>
          <w:sz w:val="17"/>
        </w:rPr>
        <w:t>with</w:t>
      </w:r>
      <w:r>
        <w:rPr>
          <w:rFonts w:ascii="Calibri" w:hAnsi="Calibri"/>
          <w:i/>
          <w:color w:val="231F20"/>
          <w:spacing w:val="-5"/>
          <w:sz w:val="17"/>
        </w:rPr>
        <w:t> </w:t>
      </w:r>
      <w:r>
        <w:rPr>
          <w:rFonts w:ascii="Calibri" w:hAnsi="Calibri"/>
          <w:i/>
          <w:color w:val="231F20"/>
          <w:sz w:val="17"/>
        </w:rPr>
        <w:t>the</w:t>
      </w:r>
      <w:r>
        <w:rPr>
          <w:rFonts w:ascii="Calibri" w:hAnsi="Calibri"/>
          <w:i/>
          <w:color w:val="231F20"/>
          <w:spacing w:val="-5"/>
          <w:sz w:val="17"/>
        </w:rPr>
        <w:t> </w:t>
      </w:r>
      <w:r>
        <w:rPr>
          <w:rFonts w:ascii="Calibri" w:hAnsi="Calibri"/>
          <w:i/>
          <w:color w:val="231F20"/>
          <w:sz w:val="17"/>
        </w:rPr>
        <w:t>International</w:t>
      </w:r>
      <w:r>
        <w:rPr>
          <w:rFonts w:ascii="Calibri" w:hAnsi="Calibri"/>
          <w:i/>
          <w:color w:val="231F20"/>
          <w:spacing w:val="-5"/>
          <w:sz w:val="17"/>
        </w:rPr>
        <w:t> </w:t>
      </w:r>
      <w:r>
        <w:rPr>
          <w:rFonts w:ascii="Calibri" w:hAnsi="Calibri"/>
          <w:i/>
          <w:color w:val="231F20"/>
          <w:sz w:val="17"/>
        </w:rPr>
        <w:t>Rule</w:t>
      </w:r>
      <w:r>
        <w:rPr>
          <w:rFonts w:ascii="Calibri" w:hAnsi="Calibri"/>
          <w:i/>
          <w:color w:val="231F20"/>
          <w:spacing w:val="-5"/>
          <w:sz w:val="17"/>
        </w:rPr>
        <w:t> </w:t>
      </w:r>
      <w:r>
        <w:rPr>
          <w:rFonts w:ascii="Calibri" w:hAnsi="Calibri"/>
          <w:i/>
          <w:color w:val="231F20"/>
          <w:sz w:val="17"/>
        </w:rPr>
        <w:t>of</w:t>
      </w:r>
      <w:r>
        <w:rPr>
          <w:rFonts w:ascii="Calibri" w:hAnsi="Calibri"/>
          <w:i/>
          <w:color w:val="231F20"/>
          <w:spacing w:val="-5"/>
          <w:sz w:val="17"/>
        </w:rPr>
        <w:t> </w:t>
      </w:r>
      <w:r>
        <w:rPr>
          <w:rFonts w:ascii="Calibri" w:hAnsi="Calibri"/>
          <w:i/>
          <w:color w:val="231F20"/>
          <w:sz w:val="17"/>
        </w:rPr>
        <w:t>Law?</w:t>
      </w:r>
      <w:r>
        <w:rPr>
          <w:rFonts w:ascii="Calibri" w:hAnsi="Calibri"/>
          <w:color w:val="231F20"/>
          <w:sz w:val="17"/>
        </w:rPr>
        <w:t>,</w:t>
      </w:r>
      <w:r>
        <w:rPr>
          <w:rFonts w:ascii="Calibri" w:hAnsi="Calibri"/>
          <w:color w:val="231F20"/>
          <w:spacing w:val="-10"/>
          <w:sz w:val="17"/>
        </w:rPr>
        <w:t> </w:t>
      </w:r>
      <w:r>
        <w:rPr>
          <w:rFonts w:ascii="Calibri" w:hAnsi="Calibri"/>
          <w:color w:val="231F20"/>
          <w:sz w:val="17"/>
        </w:rPr>
        <w:t>Vienna,</w:t>
      </w:r>
      <w:r>
        <w:rPr>
          <w:rFonts w:ascii="Calibri" w:hAnsi="Calibri"/>
          <w:color w:val="231F20"/>
          <w:spacing w:val="-4"/>
          <w:sz w:val="17"/>
        </w:rPr>
        <w:t> </w:t>
      </w:r>
      <w:r>
        <w:rPr>
          <w:rFonts w:ascii="Calibri" w:hAnsi="Calibri"/>
          <w:color w:val="231F20"/>
          <w:sz w:val="17"/>
        </w:rPr>
        <w:t>IPO, 2001, pp.</w:t>
      </w:r>
      <w:r>
        <w:rPr>
          <w:rFonts w:ascii="Calibri" w:hAnsi="Calibri"/>
          <w:color w:val="231F20"/>
          <w:spacing w:val="-20"/>
          <w:sz w:val="17"/>
        </w:rPr>
        <w:t> </w:t>
      </w:r>
      <w:r>
        <w:rPr>
          <w:rFonts w:ascii="Calibri" w:hAnsi="Calibri"/>
          <w:color w:val="231F20"/>
          <w:sz w:val="17"/>
        </w:rPr>
        <w:t>53–54.</w:t>
      </w:r>
    </w:p>
    <w:p>
      <w:pPr>
        <w:spacing w:line="235" w:lineRule="auto" w:before="0"/>
        <w:ind w:left="117" w:right="121" w:firstLine="0"/>
        <w:jc w:val="both"/>
        <w:rPr>
          <w:rFonts w:ascii="Calibri" w:hAnsi="Calibri"/>
          <w:sz w:val="17"/>
        </w:rPr>
      </w:pPr>
      <w:r>
        <w:rPr>
          <w:rFonts w:ascii="Calibri" w:hAnsi="Calibri"/>
          <w:color w:val="231F20"/>
          <w:position w:val="6"/>
          <w:sz w:val="10"/>
        </w:rPr>
        <w:t>33 </w:t>
      </w:r>
      <w:r>
        <w:rPr>
          <w:rFonts w:ascii="Calibri" w:hAnsi="Calibri"/>
          <w:color w:val="231F20"/>
          <w:sz w:val="17"/>
        </w:rPr>
        <w:t>Köchler, </w:t>
      </w:r>
      <w:r>
        <w:rPr>
          <w:rFonts w:ascii="Calibri" w:hAnsi="Calibri"/>
          <w:i/>
          <w:color w:val="231F20"/>
          <w:sz w:val="17"/>
        </w:rPr>
        <w:t>The Concept of Humanitarian Intervention in the Context of Modern Power Politics. Is the </w:t>
      </w:r>
      <w:r>
        <w:rPr>
          <w:rFonts w:ascii="Calibri" w:hAnsi="Calibri"/>
          <w:i/>
          <w:color w:val="231F20"/>
          <w:sz w:val="17"/>
        </w:rPr>
        <w:t>Revival</w:t>
      </w:r>
      <w:r>
        <w:rPr>
          <w:rFonts w:ascii="Calibri" w:hAnsi="Calibri"/>
          <w:i/>
          <w:color w:val="231F20"/>
          <w:spacing w:val="-8"/>
          <w:sz w:val="17"/>
        </w:rPr>
        <w:t> </w:t>
      </w:r>
      <w:r>
        <w:rPr>
          <w:rFonts w:ascii="Calibri" w:hAnsi="Calibri"/>
          <w:i/>
          <w:color w:val="231F20"/>
          <w:sz w:val="17"/>
        </w:rPr>
        <w:t>of</w:t>
      </w:r>
      <w:r>
        <w:rPr>
          <w:rFonts w:ascii="Calibri" w:hAnsi="Calibri"/>
          <w:i/>
          <w:color w:val="231F20"/>
          <w:spacing w:val="-8"/>
          <w:sz w:val="17"/>
        </w:rPr>
        <w:t> </w:t>
      </w:r>
      <w:r>
        <w:rPr>
          <w:rFonts w:ascii="Calibri" w:hAnsi="Calibri"/>
          <w:i/>
          <w:color w:val="231F20"/>
          <w:sz w:val="17"/>
        </w:rPr>
        <w:t>the</w:t>
      </w:r>
      <w:r>
        <w:rPr>
          <w:rFonts w:ascii="Calibri" w:hAnsi="Calibri"/>
          <w:i/>
          <w:color w:val="231F20"/>
          <w:spacing w:val="-8"/>
          <w:sz w:val="17"/>
        </w:rPr>
        <w:t> </w:t>
      </w:r>
      <w:r>
        <w:rPr>
          <w:rFonts w:ascii="Calibri" w:hAnsi="Calibri"/>
          <w:i/>
          <w:color w:val="231F20"/>
          <w:sz w:val="17"/>
        </w:rPr>
        <w:t>Doctrine</w:t>
      </w:r>
      <w:r>
        <w:rPr>
          <w:rFonts w:ascii="Calibri" w:hAnsi="Calibri"/>
          <w:i/>
          <w:color w:val="231F20"/>
          <w:spacing w:val="-8"/>
          <w:sz w:val="17"/>
        </w:rPr>
        <w:t> </w:t>
      </w:r>
      <w:r>
        <w:rPr>
          <w:rFonts w:ascii="Calibri" w:hAnsi="Calibri"/>
          <w:i/>
          <w:color w:val="231F20"/>
          <w:sz w:val="17"/>
        </w:rPr>
        <w:t>of</w:t>
      </w:r>
      <w:r>
        <w:rPr>
          <w:rFonts w:ascii="Calibri" w:hAnsi="Calibri"/>
          <w:i/>
          <w:color w:val="231F20"/>
          <w:spacing w:val="-8"/>
          <w:sz w:val="17"/>
        </w:rPr>
        <w:t> </w:t>
      </w:r>
      <w:r>
        <w:rPr>
          <w:rFonts w:ascii="Calibri" w:hAnsi="Calibri"/>
          <w:i/>
          <w:color w:val="231F20"/>
          <w:sz w:val="17"/>
        </w:rPr>
        <w:t>“Just</w:t>
      </w:r>
      <w:r>
        <w:rPr>
          <w:rFonts w:ascii="Calibri" w:hAnsi="Calibri"/>
          <w:i/>
          <w:color w:val="231F20"/>
          <w:spacing w:val="-10"/>
          <w:sz w:val="17"/>
        </w:rPr>
        <w:t> </w:t>
      </w:r>
      <w:r>
        <w:rPr>
          <w:rFonts w:ascii="Calibri" w:hAnsi="Calibri"/>
          <w:i/>
          <w:color w:val="231F20"/>
          <w:sz w:val="17"/>
        </w:rPr>
        <w:t>War”</w:t>
      </w:r>
      <w:r>
        <w:rPr>
          <w:rFonts w:ascii="Calibri" w:hAnsi="Calibri"/>
          <w:i/>
          <w:color w:val="231F20"/>
          <w:spacing w:val="-8"/>
          <w:sz w:val="17"/>
        </w:rPr>
        <w:t> </w:t>
      </w:r>
      <w:r>
        <w:rPr>
          <w:rFonts w:ascii="Calibri" w:hAnsi="Calibri"/>
          <w:i/>
          <w:color w:val="231F20"/>
          <w:sz w:val="17"/>
        </w:rPr>
        <w:t>Compatible</w:t>
      </w:r>
      <w:r>
        <w:rPr>
          <w:rFonts w:ascii="Calibri" w:hAnsi="Calibri"/>
          <w:i/>
          <w:color w:val="231F20"/>
          <w:spacing w:val="-10"/>
          <w:sz w:val="17"/>
        </w:rPr>
        <w:t> </w:t>
      </w:r>
      <w:r>
        <w:rPr>
          <w:rFonts w:ascii="Calibri" w:hAnsi="Calibri"/>
          <w:i/>
          <w:color w:val="231F20"/>
          <w:sz w:val="17"/>
        </w:rPr>
        <w:t>with</w:t>
      </w:r>
      <w:r>
        <w:rPr>
          <w:rFonts w:ascii="Calibri" w:hAnsi="Calibri"/>
          <w:i/>
          <w:color w:val="231F20"/>
          <w:spacing w:val="-8"/>
          <w:sz w:val="17"/>
        </w:rPr>
        <w:t> </w:t>
      </w:r>
      <w:r>
        <w:rPr>
          <w:rFonts w:ascii="Calibri" w:hAnsi="Calibri"/>
          <w:i/>
          <w:color w:val="231F20"/>
          <w:sz w:val="17"/>
        </w:rPr>
        <w:t>the</w:t>
      </w:r>
      <w:r>
        <w:rPr>
          <w:rFonts w:ascii="Calibri" w:hAnsi="Calibri"/>
          <w:i/>
          <w:color w:val="231F20"/>
          <w:spacing w:val="-8"/>
          <w:sz w:val="17"/>
        </w:rPr>
        <w:t> </w:t>
      </w:r>
      <w:r>
        <w:rPr>
          <w:rFonts w:ascii="Calibri" w:hAnsi="Calibri"/>
          <w:i/>
          <w:color w:val="231F20"/>
          <w:sz w:val="17"/>
        </w:rPr>
        <w:t>International</w:t>
      </w:r>
      <w:r>
        <w:rPr>
          <w:rFonts w:ascii="Calibri" w:hAnsi="Calibri"/>
          <w:i/>
          <w:color w:val="231F20"/>
          <w:spacing w:val="-8"/>
          <w:sz w:val="17"/>
        </w:rPr>
        <w:t> </w:t>
      </w:r>
      <w:r>
        <w:rPr>
          <w:rFonts w:ascii="Calibri" w:hAnsi="Calibri"/>
          <w:i/>
          <w:color w:val="231F20"/>
          <w:sz w:val="17"/>
        </w:rPr>
        <w:t>Rule</w:t>
      </w:r>
      <w:r>
        <w:rPr>
          <w:rFonts w:ascii="Calibri" w:hAnsi="Calibri"/>
          <w:i/>
          <w:color w:val="231F20"/>
          <w:spacing w:val="-8"/>
          <w:sz w:val="17"/>
        </w:rPr>
        <w:t> </w:t>
      </w:r>
      <w:r>
        <w:rPr>
          <w:rFonts w:ascii="Calibri" w:hAnsi="Calibri"/>
          <w:i/>
          <w:color w:val="231F20"/>
          <w:sz w:val="17"/>
        </w:rPr>
        <w:t>of</w:t>
      </w:r>
      <w:r>
        <w:rPr>
          <w:rFonts w:ascii="Calibri" w:hAnsi="Calibri"/>
          <w:i/>
          <w:color w:val="231F20"/>
          <w:spacing w:val="-8"/>
          <w:sz w:val="17"/>
        </w:rPr>
        <w:t> </w:t>
      </w:r>
      <w:r>
        <w:rPr>
          <w:rFonts w:ascii="Calibri" w:hAnsi="Calibri"/>
          <w:i/>
          <w:color w:val="231F20"/>
          <w:sz w:val="17"/>
        </w:rPr>
        <w:t>Law?</w:t>
      </w:r>
      <w:r>
        <w:rPr>
          <w:rFonts w:ascii="Calibri" w:hAnsi="Calibri"/>
          <w:color w:val="231F20"/>
          <w:sz w:val="17"/>
        </w:rPr>
        <w:t>,</w:t>
      </w:r>
      <w:r>
        <w:rPr>
          <w:rFonts w:ascii="Calibri" w:hAnsi="Calibri"/>
          <w:color w:val="231F20"/>
          <w:spacing w:val="-7"/>
          <w:sz w:val="17"/>
        </w:rPr>
        <w:t> </w:t>
      </w:r>
      <w:r>
        <w:rPr>
          <w:rFonts w:ascii="Calibri" w:hAnsi="Calibri"/>
          <w:color w:val="231F20"/>
          <w:sz w:val="17"/>
        </w:rPr>
        <w:t>p.</w:t>
      </w:r>
      <w:r>
        <w:rPr>
          <w:rFonts w:ascii="Calibri" w:hAnsi="Calibri"/>
          <w:color w:val="231F20"/>
          <w:spacing w:val="-7"/>
          <w:sz w:val="17"/>
        </w:rPr>
        <w:t> </w:t>
      </w:r>
      <w:r>
        <w:rPr>
          <w:rFonts w:ascii="Calibri" w:hAnsi="Calibri"/>
          <w:color w:val="231F20"/>
          <w:sz w:val="17"/>
        </w:rPr>
        <w:t>29;</w:t>
      </w:r>
      <w:r>
        <w:rPr>
          <w:rFonts w:ascii="Calibri" w:hAnsi="Calibri"/>
          <w:color w:val="231F20"/>
          <w:spacing w:val="-7"/>
          <w:sz w:val="17"/>
        </w:rPr>
        <w:t> </w:t>
      </w:r>
      <w:r>
        <w:rPr>
          <w:rFonts w:ascii="Calibri" w:hAnsi="Calibri"/>
          <w:color w:val="231F20"/>
          <w:sz w:val="17"/>
        </w:rPr>
        <w:t>J.</w:t>
      </w:r>
      <w:r>
        <w:rPr>
          <w:rFonts w:ascii="Calibri" w:hAnsi="Calibri"/>
          <w:color w:val="231F20"/>
          <w:spacing w:val="-7"/>
          <w:sz w:val="17"/>
        </w:rPr>
        <w:t> </w:t>
      </w:r>
      <w:r>
        <w:rPr>
          <w:rFonts w:ascii="Calibri" w:hAnsi="Calibri"/>
          <w:color w:val="231F20"/>
          <w:sz w:val="17"/>
        </w:rPr>
        <w:t>Brunnée y</w:t>
      </w:r>
      <w:r>
        <w:rPr>
          <w:rFonts w:ascii="Calibri" w:hAnsi="Calibri"/>
          <w:color w:val="231F20"/>
          <w:spacing w:val="-5"/>
          <w:sz w:val="17"/>
        </w:rPr>
        <w:t> </w:t>
      </w:r>
      <w:r>
        <w:rPr>
          <w:rFonts w:ascii="Calibri" w:hAnsi="Calibri"/>
          <w:color w:val="231F20"/>
          <w:sz w:val="17"/>
        </w:rPr>
        <w:t>S.</w:t>
      </w:r>
      <w:r>
        <w:rPr>
          <w:rFonts w:ascii="Calibri" w:hAnsi="Calibri"/>
          <w:color w:val="231F20"/>
          <w:spacing w:val="-5"/>
          <w:sz w:val="17"/>
        </w:rPr>
        <w:t> </w:t>
      </w:r>
      <w:r>
        <w:rPr>
          <w:rFonts w:ascii="Calibri" w:hAnsi="Calibri"/>
          <w:color w:val="231F20"/>
          <w:sz w:val="17"/>
        </w:rPr>
        <w:t>J.</w:t>
      </w:r>
      <w:r>
        <w:rPr>
          <w:rFonts w:ascii="Calibri" w:hAnsi="Calibri"/>
          <w:color w:val="231F20"/>
          <w:spacing w:val="-9"/>
          <w:sz w:val="17"/>
        </w:rPr>
        <w:t> </w:t>
      </w:r>
      <w:r>
        <w:rPr>
          <w:rFonts w:ascii="Calibri" w:hAnsi="Calibri"/>
          <w:color w:val="231F20"/>
          <w:sz w:val="17"/>
        </w:rPr>
        <w:t>Toope,</w:t>
      </w:r>
      <w:r>
        <w:rPr>
          <w:rFonts w:ascii="Calibri" w:hAnsi="Calibri"/>
          <w:color w:val="231F20"/>
          <w:spacing w:val="-5"/>
          <w:sz w:val="17"/>
        </w:rPr>
        <w:t> </w:t>
      </w:r>
      <w:r>
        <w:rPr>
          <w:rFonts w:ascii="Calibri" w:hAnsi="Calibri"/>
          <w:color w:val="231F20"/>
          <w:sz w:val="17"/>
        </w:rPr>
        <w:t>“Slouching</w:t>
      </w:r>
      <w:r>
        <w:rPr>
          <w:rFonts w:ascii="Calibri" w:hAnsi="Calibri"/>
          <w:color w:val="231F20"/>
          <w:spacing w:val="-9"/>
          <w:sz w:val="17"/>
        </w:rPr>
        <w:t> </w:t>
      </w:r>
      <w:r>
        <w:rPr>
          <w:rFonts w:ascii="Calibri" w:hAnsi="Calibri"/>
          <w:color w:val="231F20"/>
          <w:spacing w:val="-3"/>
          <w:sz w:val="17"/>
        </w:rPr>
        <w:t>Towards</w:t>
      </w:r>
      <w:r>
        <w:rPr>
          <w:rFonts w:ascii="Calibri" w:hAnsi="Calibri"/>
          <w:color w:val="231F20"/>
          <w:spacing w:val="-5"/>
          <w:sz w:val="17"/>
        </w:rPr>
        <w:t> </w:t>
      </w:r>
      <w:r>
        <w:rPr>
          <w:rFonts w:ascii="Calibri" w:hAnsi="Calibri"/>
          <w:color w:val="231F20"/>
          <w:sz w:val="17"/>
        </w:rPr>
        <w:t>New</w:t>
      </w:r>
      <w:r>
        <w:rPr>
          <w:rFonts w:ascii="Calibri" w:hAnsi="Calibri"/>
          <w:color w:val="231F20"/>
          <w:spacing w:val="-5"/>
          <w:sz w:val="17"/>
        </w:rPr>
        <w:t> </w:t>
      </w:r>
      <w:r>
        <w:rPr>
          <w:rFonts w:ascii="Calibri" w:hAnsi="Calibri"/>
          <w:color w:val="231F20"/>
          <w:sz w:val="17"/>
        </w:rPr>
        <w:t>‘Just’</w:t>
      </w:r>
      <w:r>
        <w:rPr>
          <w:rFonts w:ascii="Calibri" w:hAnsi="Calibri"/>
          <w:color w:val="231F20"/>
          <w:spacing w:val="-9"/>
          <w:sz w:val="17"/>
        </w:rPr>
        <w:t> </w:t>
      </w:r>
      <w:r>
        <w:rPr>
          <w:rFonts w:ascii="Calibri" w:hAnsi="Calibri"/>
          <w:color w:val="231F20"/>
          <w:sz w:val="17"/>
        </w:rPr>
        <w:t>Wars:</w:t>
      </w:r>
      <w:r>
        <w:rPr>
          <w:rFonts w:ascii="Calibri" w:hAnsi="Calibri"/>
          <w:color w:val="231F20"/>
          <w:spacing w:val="-9"/>
          <w:sz w:val="17"/>
        </w:rPr>
        <w:t> </w:t>
      </w:r>
      <w:r>
        <w:rPr>
          <w:rFonts w:ascii="Calibri" w:hAnsi="Calibri"/>
          <w:color w:val="231F20"/>
          <w:sz w:val="17"/>
        </w:rPr>
        <w:t>The</w:t>
      </w:r>
      <w:r>
        <w:rPr>
          <w:rFonts w:ascii="Calibri" w:hAnsi="Calibri"/>
          <w:color w:val="231F20"/>
          <w:spacing w:val="-5"/>
          <w:sz w:val="17"/>
        </w:rPr>
        <w:t> </w:t>
      </w:r>
      <w:r>
        <w:rPr>
          <w:rFonts w:ascii="Calibri" w:hAnsi="Calibri"/>
          <w:color w:val="231F20"/>
          <w:sz w:val="17"/>
        </w:rPr>
        <w:t>Hegemon</w:t>
      </w:r>
      <w:r>
        <w:rPr>
          <w:rFonts w:ascii="Calibri" w:hAnsi="Calibri"/>
          <w:color w:val="231F20"/>
          <w:spacing w:val="-5"/>
          <w:sz w:val="17"/>
        </w:rPr>
        <w:t> </w:t>
      </w:r>
      <w:r>
        <w:rPr>
          <w:rFonts w:ascii="Calibri" w:hAnsi="Calibri"/>
          <w:color w:val="231F20"/>
          <w:sz w:val="17"/>
        </w:rPr>
        <w:t>after</w:t>
      </w:r>
      <w:r>
        <w:rPr>
          <w:rFonts w:ascii="Calibri" w:hAnsi="Calibri"/>
          <w:color w:val="231F20"/>
          <w:spacing w:val="-5"/>
          <w:sz w:val="17"/>
        </w:rPr>
        <w:t> </w:t>
      </w:r>
      <w:r>
        <w:rPr>
          <w:rFonts w:ascii="Calibri" w:hAnsi="Calibri"/>
          <w:color w:val="231F20"/>
          <w:sz w:val="17"/>
        </w:rPr>
        <w:t>September</w:t>
      </w:r>
      <w:r>
        <w:rPr>
          <w:rFonts w:ascii="Calibri" w:hAnsi="Calibri"/>
          <w:color w:val="231F20"/>
          <w:spacing w:val="-5"/>
          <w:sz w:val="17"/>
        </w:rPr>
        <w:t> </w:t>
      </w:r>
      <w:r>
        <w:rPr>
          <w:rFonts w:ascii="Calibri" w:hAnsi="Calibri"/>
          <w:color w:val="231F20"/>
          <w:sz w:val="17"/>
        </w:rPr>
        <w:t>11</w:t>
      </w:r>
      <w:r>
        <w:rPr>
          <w:rFonts w:ascii="Calibri" w:hAnsi="Calibri"/>
          <w:color w:val="231F20"/>
          <w:position w:val="6"/>
          <w:sz w:val="10"/>
        </w:rPr>
        <w:t>th</w:t>
      </w:r>
      <w:r>
        <w:rPr>
          <w:rFonts w:ascii="Calibri" w:hAnsi="Calibri"/>
          <w:color w:val="231F20"/>
          <w:sz w:val="17"/>
        </w:rPr>
        <w:t>”,</w:t>
      </w:r>
      <w:r>
        <w:rPr>
          <w:rFonts w:ascii="Calibri" w:hAnsi="Calibri"/>
          <w:color w:val="231F20"/>
          <w:spacing w:val="-5"/>
          <w:sz w:val="17"/>
        </w:rPr>
        <w:t> </w:t>
      </w:r>
      <w:r>
        <w:rPr>
          <w:rFonts w:ascii="Calibri" w:hAnsi="Calibri"/>
          <w:i/>
          <w:color w:val="231F20"/>
          <w:sz w:val="17"/>
        </w:rPr>
        <w:t>International </w:t>
      </w:r>
      <w:r>
        <w:rPr>
          <w:rFonts w:ascii="Calibri" w:hAnsi="Calibri"/>
          <w:i/>
          <w:color w:val="231F20"/>
          <w:sz w:val="17"/>
        </w:rPr>
        <w:t>Relations</w:t>
      </w:r>
      <w:r>
        <w:rPr>
          <w:rFonts w:ascii="Calibri" w:hAnsi="Calibri"/>
          <w:color w:val="231F20"/>
          <w:sz w:val="17"/>
        </w:rPr>
        <w:t>, 2004, no.18, 4, pp.</w:t>
      </w:r>
      <w:r>
        <w:rPr>
          <w:rFonts w:ascii="Calibri" w:hAnsi="Calibri"/>
          <w:color w:val="231F20"/>
          <w:spacing w:val="-11"/>
          <w:sz w:val="17"/>
        </w:rPr>
        <w:t> </w:t>
      </w:r>
      <w:r>
        <w:rPr>
          <w:rFonts w:ascii="Calibri" w:hAnsi="Calibri"/>
          <w:color w:val="231F20"/>
          <w:sz w:val="17"/>
        </w:rPr>
        <w:t>405–423.</w:t>
      </w:r>
    </w:p>
    <w:p>
      <w:pPr>
        <w:spacing w:line="203" w:lineRule="exact" w:before="0"/>
        <w:ind w:left="117" w:right="0" w:firstLine="0"/>
        <w:jc w:val="both"/>
        <w:rPr>
          <w:rFonts w:ascii="Calibri" w:hAnsi="Calibri"/>
          <w:sz w:val="17"/>
        </w:rPr>
      </w:pPr>
      <w:r>
        <w:rPr>
          <w:rFonts w:ascii="Calibri" w:hAnsi="Calibri"/>
          <w:color w:val="231F20"/>
          <w:position w:val="6"/>
          <w:sz w:val="10"/>
        </w:rPr>
        <w:t>34 </w:t>
      </w:r>
      <w:r>
        <w:rPr>
          <w:rFonts w:ascii="Calibri" w:hAnsi="Calibri"/>
          <w:color w:val="231F20"/>
          <w:sz w:val="17"/>
        </w:rPr>
        <w:t>Beck, </w:t>
      </w:r>
      <w:r>
        <w:rPr>
          <w:rFonts w:ascii="Calibri" w:hAnsi="Calibri"/>
          <w:i/>
          <w:color w:val="231F20"/>
          <w:sz w:val="17"/>
        </w:rPr>
        <w:t>Lo sguardo cosmopolita</w:t>
      </w:r>
      <w:r>
        <w:rPr>
          <w:rFonts w:ascii="Calibri" w:hAnsi="Calibri"/>
          <w:color w:val="231F20"/>
          <w:sz w:val="17"/>
        </w:rPr>
        <w:t>, pp. 187–188.</w:t>
      </w:r>
    </w:p>
    <w:p>
      <w:pPr>
        <w:spacing w:line="204" w:lineRule="exact" w:before="0"/>
        <w:ind w:left="117" w:right="0" w:firstLine="0"/>
        <w:jc w:val="both"/>
        <w:rPr>
          <w:rFonts w:ascii="Calibri" w:hAnsi="Calibri"/>
          <w:sz w:val="17"/>
        </w:rPr>
      </w:pPr>
      <w:r>
        <w:rPr>
          <w:rFonts w:ascii="Calibri" w:hAnsi="Calibri"/>
          <w:color w:val="231F20"/>
          <w:position w:val="6"/>
          <w:sz w:val="10"/>
        </w:rPr>
        <w:t>35  </w:t>
      </w:r>
      <w:r>
        <w:rPr>
          <w:rFonts w:ascii="Calibri" w:hAnsi="Calibri"/>
          <w:color w:val="231F20"/>
          <w:sz w:val="17"/>
        </w:rPr>
        <w:t>Köchler, </w:t>
      </w:r>
      <w:r>
        <w:rPr>
          <w:rFonts w:ascii="Calibri" w:hAnsi="Calibri"/>
          <w:i/>
          <w:color w:val="231F20"/>
          <w:sz w:val="17"/>
        </w:rPr>
        <w:t>The Concept of Humanitarian Intervention</w:t>
      </w:r>
      <w:r>
        <w:rPr>
          <w:rFonts w:ascii="Calibri" w:hAnsi="Calibri"/>
          <w:color w:val="231F20"/>
          <w:sz w:val="17"/>
        </w:rPr>
        <w:t>, p. 40.</w:t>
      </w:r>
    </w:p>
    <w:p>
      <w:pPr>
        <w:spacing w:line="235" w:lineRule="auto" w:before="1"/>
        <w:ind w:left="117" w:right="121" w:firstLine="0"/>
        <w:jc w:val="both"/>
        <w:rPr>
          <w:rFonts w:ascii="Calibri" w:hAnsi="Calibri"/>
          <w:sz w:val="17"/>
        </w:rPr>
      </w:pPr>
      <w:r>
        <w:rPr>
          <w:rFonts w:ascii="Calibri" w:hAnsi="Calibri"/>
          <w:color w:val="231F20"/>
          <w:w w:val="105"/>
          <w:position w:val="6"/>
          <w:sz w:val="10"/>
        </w:rPr>
        <w:t>36 </w:t>
      </w:r>
      <w:r>
        <w:rPr>
          <w:rFonts w:ascii="Calibri" w:hAnsi="Calibri"/>
          <w:color w:val="231F20"/>
          <w:w w:val="105"/>
          <w:sz w:val="17"/>
        </w:rPr>
        <w:t>Il riferimento è, naturalmente, alle riflessioni svolte da J. Habermas nel saggio “Bestialität und Humanität.</w:t>
      </w:r>
      <w:r>
        <w:rPr>
          <w:rFonts w:ascii="Calibri" w:hAnsi="Calibri"/>
          <w:color w:val="231F20"/>
          <w:spacing w:val="-26"/>
          <w:w w:val="105"/>
          <w:sz w:val="17"/>
        </w:rPr>
        <w:t> </w:t>
      </w:r>
      <w:r>
        <w:rPr>
          <w:rFonts w:ascii="Calibri" w:hAnsi="Calibri"/>
          <w:color w:val="231F20"/>
          <w:w w:val="105"/>
          <w:sz w:val="17"/>
        </w:rPr>
        <w:t>Ein</w:t>
      </w:r>
      <w:r>
        <w:rPr>
          <w:rFonts w:ascii="Calibri" w:hAnsi="Calibri"/>
          <w:color w:val="231F20"/>
          <w:spacing w:val="-26"/>
          <w:w w:val="105"/>
          <w:sz w:val="17"/>
        </w:rPr>
        <w:t> </w:t>
      </w:r>
      <w:r>
        <w:rPr>
          <w:rFonts w:ascii="Calibri" w:hAnsi="Calibri"/>
          <w:color w:val="231F20"/>
          <w:w w:val="105"/>
          <w:sz w:val="17"/>
        </w:rPr>
        <w:t>Krieg</w:t>
      </w:r>
      <w:r>
        <w:rPr>
          <w:rFonts w:ascii="Calibri" w:hAnsi="Calibri"/>
          <w:color w:val="231F20"/>
          <w:spacing w:val="-26"/>
          <w:w w:val="105"/>
          <w:sz w:val="17"/>
        </w:rPr>
        <w:t> </w:t>
      </w:r>
      <w:r>
        <w:rPr>
          <w:rFonts w:ascii="Calibri" w:hAnsi="Calibri"/>
          <w:color w:val="231F20"/>
          <w:w w:val="105"/>
          <w:sz w:val="17"/>
        </w:rPr>
        <w:t>an</w:t>
      </w:r>
      <w:r>
        <w:rPr>
          <w:rFonts w:ascii="Calibri" w:hAnsi="Calibri"/>
          <w:color w:val="231F20"/>
          <w:spacing w:val="-26"/>
          <w:w w:val="105"/>
          <w:sz w:val="17"/>
        </w:rPr>
        <w:t> </w:t>
      </w:r>
      <w:r>
        <w:rPr>
          <w:rFonts w:ascii="Calibri" w:hAnsi="Calibri"/>
          <w:color w:val="231F20"/>
          <w:w w:val="105"/>
          <w:sz w:val="17"/>
        </w:rPr>
        <w:t>der</w:t>
      </w:r>
      <w:r>
        <w:rPr>
          <w:rFonts w:ascii="Calibri" w:hAnsi="Calibri"/>
          <w:color w:val="231F20"/>
          <w:spacing w:val="-26"/>
          <w:w w:val="105"/>
          <w:sz w:val="17"/>
        </w:rPr>
        <w:t> </w:t>
      </w:r>
      <w:r>
        <w:rPr>
          <w:rFonts w:ascii="Calibri" w:hAnsi="Calibri"/>
          <w:color w:val="231F20"/>
          <w:w w:val="105"/>
          <w:sz w:val="17"/>
        </w:rPr>
        <w:t>Grenze</w:t>
      </w:r>
      <w:r>
        <w:rPr>
          <w:rFonts w:ascii="Calibri" w:hAnsi="Calibri"/>
          <w:color w:val="231F20"/>
          <w:spacing w:val="-26"/>
          <w:w w:val="105"/>
          <w:sz w:val="17"/>
        </w:rPr>
        <w:t> </w:t>
      </w:r>
      <w:r>
        <w:rPr>
          <w:rFonts w:ascii="Calibri" w:hAnsi="Calibri"/>
          <w:color w:val="231F20"/>
          <w:w w:val="105"/>
          <w:sz w:val="17"/>
        </w:rPr>
        <w:t>zwischen</w:t>
      </w:r>
      <w:r>
        <w:rPr>
          <w:rFonts w:ascii="Calibri" w:hAnsi="Calibri"/>
          <w:color w:val="231F20"/>
          <w:spacing w:val="-26"/>
          <w:w w:val="105"/>
          <w:sz w:val="17"/>
        </w:rPr>
        <w:t> </w:t>
      </w:r>
      <w:r>
        <w:rPr>
          <w:rFonts w:ascii="Calibri" w:hAnsi="Calibri"/>
          <w:color w:val="231F20"/>
          <w:w w:val="105"/>
          <w:sz w:val="17"/>
        </w:rPr>
        <w:t>Recht</w:t>
      </w:r>
      <w:r>
        <w:rPr>
          <w:rFonts w:ascii="Calibri" w:hAnsi="Calibri"/>
          <w:color w:val="231F20"/>
          <w:spacing w:val="-26"/>
          <w:w w:val="105"/>
          <w:sz w:val="17"/>
        </w:rPr>
        <w:t> </w:t>
      </w:r>
      <w:r>
        <w:rPr>
          <w:rFonts w:ascii="Calibri" w:hAnsi="Calibri"/>
          <w:color w:val="231F20"/>
          <w:w w:val="105"/>
          <w:sz w:val="17"/>
        </w:rPr>
        <w:t>und</w:t>
      </w:r>
      <w:r>
        <w:rPr>
          <w:rFonts w:ascii="Calibri" w:hAnsi="Calibri"/>
          <w:color w:val="231F20"/>
          <w:spacing w:val="-26"/>
          <w:w w:val="105"/>
          <w:sz w:val="17"/>
        </w:rPr>
        <w:t> </w:t>
      </w:r>
      <w:r>
        <w:rPr>
          <w:rFonts w:ascii="Calibri" w:hAnsi="Calibri"/>
          <w:color w:val="231F20"/>
          <w:w w:val="105"/>
          <w:sz w:val="17"/>
        </w:rPr>
        <w:t>Moral”,</w:t>
      </w:r>
      <w:r>
        <w:rPr>
          <w:rFonts w:ascii="Calibri" w:hAnsi="Calibri"/>
          <w:color w:val="231F20"/>
          <w:spacing w:val="-26"/>
          <w:w w:val="105"/>
          <w:sz w:val="17"/>
        </w:rPr>
        <w:t> </w:t>
      </w:r>
      <w:r>
        <w:rPr>
          <w:rFonts w:ascii="Calibri" w:hAnsi="Calibri"/>
          <w:i/>
          <w:color w:val="231F20"/>
          <w:w w:val="105"/>
          <w:sz w:val="17"/>
        </w:rPr>
        <w:t>Die</w:t>
      </w:r>
      <w:r>
        <w:rPr>
          <w:rFonts w:ascii="Calibri" w:hAnsi="Calibri"/>
          <w:i/>
          <w:color w:val="231F20"/>
          <w:spacing w:val="-26"/>
          <w:w w:val="105"/>
          <w:sz w:val="17"/>
        </w:rPr>
        <w:t> </w:t>
      </w:r>
      <w:r>
        <w:rPr>
          <w:rFonts w:ascii="Calibri" w:hAnsi="Calibri"/>
          <w:i/>
          <w:color w:val="231F20"/>
          <w:w w:val="105"/>
          <w:sz w:val="17"/>
        </w:rPr>
        <w:t>Zeit</w:t>
      </w:r>
      <w:r>
        <w:rPr>
          <w:rFonts w:ascii="Calibri" w:hAnsi="Calibri"/>
          <w:color w:val="231F20"/>
          <w:w w:val="105"/>
          <w:sz w:val="17"/>
        </w:rPr>
        <w:t>,</w:t>
      </w:r>
      <w:r>
        <w:rPr>
          <w:rFonts w:ascii="Calibri" w:hAnsi="Calibri"/>
          <w:color w:val="231F20"/>
          <w:spacing w:val="-26"/>
          <w:w w:val="105"/>
          <w:sz w:val="17"/>
        </w:rPr>
        <w:t> </w:t>
      </w:r>
      <w:r>
        <w:rPr>
          <w:rFonts w:ascii="Calibri" w:hAnsi="Calibri"/>
          <w:color w:val="231F20"/>
          <w:w w:val="105"/>
          <w:sz w:val="17"/>
        </w:rPr>
        <w:t>18,</w:t>
      </w:r>
      <w:r>
        <w:rPr>
          <w:rFonts w:ascii="Calibri" w:hAnsi="Calibri"/>
          <w:color w:val="231F20"/>
          <w:spacing w:val="-26"/>
          <w:w w:val="105"/>
          <w:sz w:val="17"/>
        </w:rPr>
        <w:t> </w:t>
      </w:r>
      <w:r>
        <w:rPr>
          <w:rFonts w:ascii="Calibri" w:hAnsi="Calibri"/>
          <w:color w:val="231F20"/>
          <w:w w:val="105"/>
          <w:sz w:val="17"/>
        </w:rPr>
        <w:t>1999</w:t>
      </w:r>
      <w:r>
        <w:rPr>
          <w:rFonts w:ascii="Calibri" w:hAnsi="Calibri"/>
          <w:color w:val="231F20"/>
          <w:spacing w:val="-26"/>
          <w:w w:val="105"/>
          <w:sz w:val="17"/>
        </w:rPr>
        <w:t> </w:t>
      </w:r>
      <w:r>
        <w:rPr>
          <w:rFonts w:ascii="Calibri" w:hAnsi="Calibri"/>
          <w:color w:val="231F20"/>
          <w:w w:val="105"/>
          <w:sz w:val="17"/>
        </w:rPr>
        <w:t>(trad.</w:t>
      </w:r>
      <w:r>
        <w:rPr>
          <w:rFonts w:ascii="Calibri" w:hAnsi="Calibri"/>
          <w:color w:val="231F20"/>
          <w:spacing w:val="-26"/>
          <w:w w:val="105"/>
          <w:sz w:val="17"/>
        </w:rPr>
        <w:t> </w:t>
      </w:r>
      <w:r>
        <w:rPr>
          <w:rFonts w:ascii="Calibri" w:hAnsi="Calibri"/>
          <w:color w:val="231F20"/>
          <w:w w:val="105"/>
          <w:sz w:val="17"/>
        </w:rPr>
        <w:t>it.</w:t>
      </w:r>
      <w:r>
        <w:rPr>
          <w:rFonts w:ascii="Calibri" w:hAnsi="Calibri"/>
          <w:color w:val="231F20"/>
          <w:spacing w:val="-26"/>
          <w:w w:val="105"/>
          <w:sz w:val="17"/>
        </w:rPr>
        <w:t> </w:t>
      </w:r>
      <w:r>
        <w:rPr>
          <w:rFonts w:ascii="Calibri" w:hAnsi="Calibri"/>
          <w:i/>
          <w:color w:val="231F20"/>
          <w:w w:val="105"/>
          <w:sz w:val="17"/>
        </w:rPr>
        <w:t>Umanità</w:t>
      </w:r>
      <w:r>
        <w:rPr>
          <w:rFonts w:ascii="Calibri" w:hAnsi="Calibri"/>
          <w:i/>
          <w:color w:val="231F20"/>
          <w:spacing w:val="-26"/>
          <w:w w:val="105"/>
          <w:sz w:val="17"/>
        </w:rPr>
        <w:t> </w:t>
      </w:r>
      <w:r>
        <w:rPr>
          <w:rFonts w:ascii="Calibri" w:hAnsi="Calibri"/>
          <w:i/>
          <w:color w:val="231F20"/>
          <w:w w:val="105"/>
          <w:sz w:val="17"/>
        </w:rPr>
        <w:t>e </w:t>
      </w:r>
      <w:r>
        <w:rPr>
          <w:rFonts w:ascii="Calibri" w:hAnsi="Calibri"/>
          <w:i/>
          <w:color w:val="231F20"/>
          <w:w w:val="105"/>
          <w:sz w:val="17"/>
        </w:rPr>
        <w:t>bestialità:</w:t>
      </w:r>
      <w:r>
        <w:rPr>
          <w:rFonts w:ascii="Calibri" w:hAnsi="Calibri"/>
          <w:i/>
          <w:color w:val="231F20"/>
          <w:spacing w:val="-28"/>
          <w:w w:val="105"/>
          <w:sz w:val="17"/>
        </w:rPr>
        <w:t> </w:t>
      </w:r>
      <w:r>
        <w:rPr>
          <w:rFonts w:ascii="Calibri" w:hAnsi="Calibri"/>
          <w:i/>
          <w:color w:val="231F20"/>
          <w:w w:val="105"/>
          <w:sz w:val="17"/>
        </w:rPr>
        <w:t>una</w:t>
      </w:r>
      <w:r>
        <w:rPr>
          <w:rFonts w:ascii="Calibri" w:hAnsi="Calibri"/>
          <w:i/>
          <w:color w:val="231F20"/>
          <w:spacing w:val="-28"/>
          <w:w w:val="105"/>
          <w:sz w:val="17"/>
        </w:rPr>
        <w:t> </w:t>
      </w:r>
      <w:r>
        <w:rPr>
          <w:rFonts w:ascii="Calibri" w:hAnsi="Calibri"/>
          <w:i/>
          <w:color w:val="231F20"/>
          <w:w w:val="105"/>
          <w:sz w:val="17"/>
        </w:rPr>
        <w:t>guerra</w:t>
      </w:r>
      <w:r>
        <w:rPr>
          <w:rFonts w:ascii="Calibri" w:hAnsi="Calibri"/>
          <w:i/>
          <w:color w:val="231F20"/>
          <w:spacing w:val="-28"/>
          <w:w w:val="105"/>
          <w:sz w:val="17"/>
        </w:rPr>
        <w:t> </w:t>
      </w:r>
      <w:r>
        <w:rPr>
          <w:rFonts w:ascii="Calibri" w:hAnsi="Calibri"/>
          <w:i/>
          <w:color w:val="231F20"/>
          <w:w w:val="105"/>
          <w:sz w:val="17"/>
        </w:rPr>
        <w:t>ai</w:t>
      </w:r>
      <w:r>
        <w:rPr>
          <w:rFonts w:ascii="Calibri" w:hAnsi="Calibri"/>
          <w:i/>
          <w:color w:val="231F20"/>
          <w:spacing w:val="-28"/>
          <w:w w:val="105"/>
          <w:sz w:val="17"/>
        </w:rPr>
        <w:t> </w:t>
      </w:r>
      <w:r>
        <w:rPr>
          <w:rFonts w:ascii="Calibri" w:hAnsi="Calibri"/>
          <w:i/>
          <w:color w:val="231F20"/>
          <w:w w:val="105"/>
          <w:sz w:val="17"/>
        </w:rPr>
        <w:t>confine</w:t>
      </w:r>
      <w:r>
        <w:rPr>
          <w:rFonts w:ascii="Calibri" w:hAnsi="Calibri"/>
          <w:i/>
          <w:color w:val="231F20"/>
          <w:spacing w:val="-28"/>
          <w:w w:val="105"/>
          <w:sz w:val="17"/>
        </w:rPr>
        <w:t> </w:t>
      </w:r>
      <w:r>
        <w:rPr>
          <w:rFonts w:ascii="Calibri" w:hAnsi="Calibri"/>
          <w:i/>
          <w:color w:val="231F20"/>
          <w:w w:val="105"/>
          <w:sz w:val="17"/>
        </w:rPr>
        <w:t>tra</w:t>
      </w:r>
      <w:r>
        <w:rPr>
          <w:rFonts w:ascii="Calibri" w:hAnsi="Calibri"/>
          <w:i/>
          <w:color w:val="231F20"/>
          <w:spacing w:val="-28"/>
          <w:w w:val="105"/>
          <w:sz w:val="17"/>
        </w:rPr>
        <w:t> </w:t>
      </w:r>
      <w:r>
        <w:rPr>
          <w:rFonts w:ascii="Calibri" w:hAnsi="Calibri"/>
          <w:i/>
          <w:color w:val="231F20"/>
          <w:w w:val="105"/>
          <w:sz w:val="17"/>
        </w:rPr>
        <w:t>diritto</w:t>
      </w:r>
      <w:r>
        <w:rPr>
          <w:rFonts w:ascii="Calibri" w:hAnsi="Calibri"/>
          <w:i/>
          <w:color w:val="231F20"/>
          <w:spacing w:val="-28"/>
          <w:w w:val="105"/>
          <w:sz w:val="17"/>
        </w:rPr>
        <w:t> </w:t>
      </w:r>
      <w:r>
        <w:rPr>
          <w:rFonts w:ascii="Calibri" w:hAnsi="Calibri"/>
          <w:i/>
          <w:color w:val="231F20"/>
          <w:w w:val="105"/>
          <w:sz w:val="17"/>
        </w:rPr>
        <w:t>e</w:t>
      </w:r>
      <w:r>
        <w:rPr>
          <w:rFonts w:ascii="Calibri" w:hAnsi="Calibri"/>
          <w:i/>
          <w:color w:val="231F20"/>
          <w:spacing w:val="-28"/>
          <w:w w:val="105"/>
          <w:sz w:val="17"/>
        </w:rPr>
        <w:t> </w:t>
      </w:r>
      <w:r>
        <w:rPr>
          <w:rFonts w:ascii="Calibri" w:hAnsi="Calibri"/>
          <w:i/>
          <w:color w:val="231F20"/>
          <w:w w:val="105"/>
          <w:sz w:val="17"/>
        </w:rPr>
        <w:t>morale</w:t>
      </w:r>
      <w:r>
        <w:rPr>
          <w:rFonts w:ascii="Calibri" w:hAnsi="Calibri"/>
          <w:color w:val="231F20"/>
          <w:w w:val="105"/>
          <w:sz w:val="17"/>
        </w:rPr>
        <w:t>,</w:t>
      </w:r>
      <w:r>
        <w:rPr>
          <w:rFonts w:ascii="Calibri" w:hAnsi="Calibri"/>
          <w:color w:val="231F20"/>
          <w:spacing w:val="-28"/>
          <w:w w:val="105"/>
          <w:sz w:val="17"/>
        </w:rPr>
        <w:t> </w:t>
      </w:r>
      <w:r>
        <w:rPr>
          <w:rFonts w:ascii="Calibri" w:hAnsi="Calibri"/>
          <w:color w:val="231F20"/>
          <w:w w:val="105"/>
          <w:sz w:val="17"/>
        </w:rPr>
        <w:t>in</w:t>
      </w:r>
      <w:r>
        <w:rPr>
          <w:rFonts w:ascii="Calibri" w:hAnsi="Calibri"/>
          <w:color w:val="231F20"/>
          <w:spacing w:val="-28"/>
          <w:w w:val="105"/>
          <w:sz w:val="17"/>
        </w:rPr>
        <w:t> </w:t>
      </w:r>
      <w:r>
        <w:rPr>
          <w:rFonts w:ascii="Calibri" w:hAnsi="Calibri"/>
          <w:color w:val="231F20"/>
          <w:w w:val="105"/>
          <w:sz w:val="17"/>
        </w:rPr>
        <w:t>AA.</w:t>
      </w:r>
      <w:r>
        <w:rPr>
          <w:rFonts w:ascii="Calibri" w:hAnsi="Calibri"/>
          <w:color w:val="231F20"/>
          <w:spacing w:val="-30"/>
          <w:w w:val="105"/>
          <w:sz w:val="17"/>
        </w:rPr>
        <w:t> </w:t>
      </w:r>
      <w:r>
        <w:rPr>
          <w:rFonts w:ascii="Calibri" w:hAnsi="Calibri"/>
          <w:color w:val="231F20"/>
          <w:spacing w:val="-3"/>
          <w:w w:val="105"/>
          <w:sz w:val="17"/>
        </w:rPr>
        <w:t>VV.,</w:t>
      </w:r>
      <w:r>
        <w:rPr>
          <w:rFonts w:ascii="Calibri" w:hAnsi="Calibri"/>
          <w:color w:val="231F20"/>
          <w:spacing w:val="-28"/>
          <w:w w:val="105"/>
          <w:sz w:val="17"/>
        </w:rPr>
        <w:t> </w:t>
      </w:r>
      <w:r>
        <w:rPr>
          <w:rFonts w:ascii="Calibri" w:hAnsi="Calibri"/>
          <w:i/>
          <w:color w:val="231F20"/>
          <w:spacing w:val="-3"/>
          <w:w w:val="105"/>
          <w:sz w:val="17"/>
        </w:rPr>
        <w:t>L’ultima</w:t>
      </w:r>
      <w:r>
        <w:rPr>
          <w:rFonts w:ascii="Calibri" w:hAnsi="Calibri"/>
          <w:i/>
          <w:color w:val="231F20"/>
          <w:spacing w:val="-28"/>
          <w:w w:val="105"/>
          <w:sz w:val="17"/>
        </w:rPr>
        <w:t> </w:t>
      </w:r>
      <w:r>
        <w:rPr>
          <w:rFonts w:ascii="Calibri" w:hAnsi="Calibri"/>
          <w:i/>
          <w:color w:val="231F20"/>
          <w:w w:val="105"/>
          <w:sz w:val="17"/>
        </w:rPr>
        <w:t>crociata?</w:t>
      </w:r>
      <w:r>
        <w:rPr>
          <w:rFonts w:ascii="Calibri" w:hAnsi="Calibri"/>
          <w:i/>
          <w:color w:val="231F20"/>
          <w:spacing w:val="-28"/>
          <w:w w:val="105"/>
          <w:sz w:val="17"/>
        </w:rPr>
        <w:t> </w:t>
      </w:r>
      <w:r>
        <w:rPr>
          <w:rFonts w:ascii="Calibri" w:hAnsi="Calibri"/>
          <w:i/>
          <w:color w:val="231F20"/>
          <w:w w:val="105"/>
          <w:sz w:val="17"/>
        </w:rPr>
        <w:t>Ragioni</w:t>
      </w:r>
      <w:r>
        <w:rPr>
          <w:rFonts w:ascii="Calibri" w:hAnsi="Calibri"/>
          <w:i/>
          <w:color w:val="231F20"/>
          <w:spacing w:val="-28"/>
          <w:w w:val="105"/>
          <w:sz w:val="17"/>
        </w:rPr>
        <w:t> </w:t>
      </w:r>
      <w:r>
        <w:rPr>
          <w:rFonts w:ascii="Calibri" w:hAnsi="Calibri"/>
          <w:i/>
          <w:color w:val="231F20"/>
          <w:w w:val="105"/>
          <w:sz w:val="17"/>
        </w:rPr>
        <w:t>e</w:t>
      </w:r>
      <w:r>
        <w:rPr>
          <w:rFonts w:ascii="Calibri" w:hAnsi="Calibri"/>
          <w:i/>
          <w:color w:val="231F20"/>
          <w:spacing w:val="-28"/>
          <w:w w:val="105"/>
          <w:sz w:val="17"/>
        </w:rPr>
        <w:t> </w:t>
      </w:r>
      <w:r>
        <w:rPr>
          <w:rFonts w:ascii="Calibri" w:hAnsi="Calibri"/>
          <w:i/>
          <w:color w:val="231F20"/>
          <w:w w:val="105"/>
          <w:sz w:val="17"/>
        </w:rPr>
        <w:t>torti</w:t>
      </w:r>
      <w:r>
        <w:rPr>
          <w:rFonts w:ascii="Calibri" w:hAnsi="Calibri"/>
          <w:i/>
          <w:color w:val="231F20"/>
          <w:spacing w:val="-28"/>
          <w:w w:val="105"/>
          <w:sz w:val="17"/>
        </w:rPr>
        <w:t> </w:t>
      </w:r>
      <w:r>
        <w:rPr>
          <w:rFonts w:ascii="Calibri" w:hAnsi="Calibri"/>
          <w:i/>
          <w:color w:val="231F20"/>
          <w:w w:val="105"/>
          <w:sz w:val="17"/>
        </w:rPr>
        <w:t>di</w:t>
      </w:r>
      <w:r>
        <w:rPr>
          <w:rFonts w:ascii="Calibri" w:hAnsi="Calibri"/>
          <w:i/>
          <w:color w:val="231F20"/>
          <w:spacing w:val="-28"/>
          <w:w w:val="105"/>
          <w:sz w:val="17"/>
        </w:rPr>
        <w:t> </w:t>
      </w:r>
      <w:r>
        <w:rPr>
          <w:rFonts w:ascii="Calibri" w:hAnsi="Calibri"/>
          <w:i/>
          <w:color w:val="231F20"/>
          <w:w w:val="105"/>
          <w:sz w:val="17"/>
        </w:rPr>
        <w:t>una </w:t>
      </w:r>
      <w:r>
        <w:rPr>
          <w:rFonts w:ascii="Calibri" w:hAnsi="Calibri"/>
          <w:i/>
          <w:color w:val="231F20"/>
          <w:w w:val="105"/>
          <w:sz w:val="17"/>
        </w:rPr>
        <w:t>guerra</w:t>
      </w:r>
      <w:r>
        <w:rPr>
          <w:rFonts w:ascii="Calibri" w:hAnsi="Calibri"/>
          <w:i/>
          <w:color w:val="231F20"/>
          <w:spacing w:val="-12"/>
          <w:w w:val="105"/>
          <w:sz w:val="17"/>
        </w:rPr>
        <w:t> </w:t>
      </w:r>
      <w:r>
        <w:rPr>
          <w:rFonts w:ascii="Calibri" w:hAnsi="Calibri"/>
          <w:i/>
          <w:color w:val="231F20"/>
          <w:w w:val="105"/>
          <w:sz w:val="17"/>
        </w:rPr>
        <w:t>giusta</w:t>
      </w:r>
      <w:r>
        <w:rPr>
          <w:rFonts w:ascii="Calibri" w:hAnsi="Calibri"/>
          <w:color w:val="231F20"/>
          <w:w w:val="105"/>
          <w:sz w:val="17"/>
        </w:rPr>
        <w:t>,</w:t>
      </w:r>
      <w:r>
        <w:rPr>
          <w:rFonts w:ascii="Calibri" w:hAnsi="Calibri"/>
          <w:color w:val="231F20"/>
          <w:spacing w:val="-10"/>
          <w:w w:val="105"/>
          <w:sz w:val="17"/>
        </w:rPr>
        <w:t> </w:t>
      </w:r>
      <w:r>
        <w:rPr>
          <w:rFonts w:ascii="Calibri" w:hAnsi="Calibri"/>
          <w:color w:val="231F20"/>
          <w:w w:val="105"/>
          <w:sz w:val="17"/>
        </w:rPr>
        <w:t>Roma,</w:t>
      </w:r>
      <w:r>
        <w:rPr>
          <w:rFonts w:ascii="Calibri" w:hAnsi="Calibri"/>
          <w:color w:val="231F20"/>
          <w:spacing w:val="-10"/>
          <w:w w:val="105"/>
          <w:sz w:val="17"/>
        </w:rPr>
        <w:t> </w:t>
      </w:r>
      <w:r>
        <w:rPr>
          <w:rFonts w:ascii="Calibri" w:hAnsi="Calibri"/>
          <w:color w:val="231F20"/>
          <w:w w:val="105"/>
          <w:sz w:val="17"/>
        </w:rPr>
        <w:t>Reset,</w:t>
      </w:r>
      <w:r>
        <w:rPr>
          <w:rFonts w:ascii="Calibri" w:hAnsi="Calibri"/>
          <w:color w:val="231F20"/>
          <w:spacing w:val="-10"/>
          <w:w w:val="105"/>
          <w:sz w:val="17"/>
        </w:rPr>
        <w:t> </w:t>
      </w:r>
      <w:r>
        <w:rPr>
          <w:rFonts w:ascii="Calibri" w:hAnsi="Calibri"/>
          <w:color w:val="231F20"/>
          <w:w w:val="105"/>
          <w:sz w:val="17"/>
        </w:rPr>
        <w:t>1999,</w:t>
      </w:r>
      <w:r>
        <w:rPr>
          <w:rFonts w:ascii="Calibri" w:hAnsi="Calibri"/>
          <w:color w:val="231F20"/>
          <w:spacing w:val="-10"/>
          <w:w w:val="105"/>
          <w:sz w:val="17"/>
        </w:rPr>
        <w:t> </w:t>
      </w:r>
      <w:r>
        <w:rPr>
          <w:rFonts w:ascii="Calibri" w:hAnsi="Calibri"/>
          <w:color w:val="231F20"/>
          <w:w w:val="105"/>
          <w:sz w:val="17"/>
        </w:rPr>
        <w:t>pp.</w:t>
      </w:r>
      <w:r>
        <w:rPr>
          <w:rFonts w:ascii="Calibri" w:hAnsi="Calibri"/>
          <w:color w:val="231F20"/>
          <w:spacing w:val="-10"/>
          <w:w w:val="105"/>
          <w:sz w:val="17"/>
        </w:rPr>
        <w:t> </w:t>
      </w:r>
      <w:r>
        <w:rPr>
          <w:rFonts w:ascii="Calibri" w:hAnsi="Calibri"/>
          <w:color w:val="231F20"/>
          <w:w w:val="105"/>
          <w:sz w:val="17"/>
        </w:rPr>
        <w:t>74–75).</w:t>
      </w:r>
      <w:r>
        <w:rPr>
          <w:rFonts w:ascii="Calibri" w:hAnsi="Calibri"/>
          <w:color w:val="231F20"/>
          <w:spacing w:val="-10"/>
          <w:w w:val="105"/>
          <w:sz w:val="17"/>
        </w:rPr>
        <w:t> </w:t>
      </w:r>
      <w:r>
        <w:rPr>
          <w:rFonts w:ascii="Calibri" w:hAnsi="Calibri"/>
          <w:color w:val="231F20"/>
          <w:w w:val="105"/>
          <w:sz w:val="17"/>
        </w:rPr>
        <w:t>Come</w:t>
      </w:r>
      <w:r>
        <w:rPr>
          <w:rFonts w:ascii="Calibri" w:hAnsi="Calibri"/>
          <w:color w:val="231F20"/>
          <w:spacing w:val="-10"/>
          <w:w w:val="105"/>
          <w:sz w:val="17"/>
        </w:rPr>
        <w:t> </w:t>
      </w:r>
      <w:r>
        <w:rPr>
          <w:rFonts w:ascii="Calibri" w:hAnsi="Calibri"/>
          <w:color w:val="231F20"/>
          <w:w w:val="105"/>
          <w:sz w:val="17"/>
        </w:rPr>
        <w:t>sottolinea</w:t>
      </w:r>
      <w:r>
        <w:rPr>
          <w:rFonts w:ascii="Calibri" w:hAnsi="Calibri"/>
          <w:color w:val="231F20"/>
          <w:spacing w:val="-10"/>
          <w:w w:val="105"/>
          <w:sz w:val="17"/>
        </w:rPr>
        <w:t> </w:t>
      </w:r>
      <w:r>
        <w:rPr>
          <w:rFonts w:ascii="Calibri" w:hAnsi="Calibri"/>
          <w:color w:val="231F20"/>
          <w:w w:val="105"/>
          <w:sz w:val="17"/>
        </w:rPr>
        <w:t>Habermas,</w:t>
      </w:r>
      <w:r>
        <w:rPr>
          <w:rFonts w:ascii="Calibri" w:hAnsi="Calibri"/>
          <w:color w:val="231F20"/>
          <w:spacing w:val="-10"/>
          <w:w w:val="105"/>
          <w:sz w:val="17"/>
        </w:rPr>
        <w:t> </w:t>
      </w:r>
      <w:r>
        <w:rPr>
          <w:rFonts w:ascii="Calibri" w:hAnsi="Calibri"/>
          <w:color w:val="231F20"/>
          <w:w w:val="105"/>
          <w:sz w:val="17"/>
        </w:rPr>
        <w:t>la</w:t>
      </w:r>
      <w:r>
        <w:rPr>
          <w:rFonts w:ascii="Calibri" w:hAnsi="Calibri"/>
          <w:color w:val="231F20"/>
          <w:spacing w:val="-10"/>
          <w:w w:val="105"/>
          <w:sz w:val="17"/>
        </w:rPr>
        <w:t> </w:t>
      </w:r>
      <w:r>
        <w:rPr>
          <w:rFonts w:ascii="Calibri" w:hAnsi="Calibri"/>
          <w:color w:val="231F20"/>
          <w:w w:val="105"/>
          <w:sz w:val="17"/>
        </w:rPr>
        <w:t>istituzionalizzazione di</w:t>
      </w:r>
      <w:r>
        <w:rPr>
          <w:rFonts w:ascii="Calibri" w:hAnsi="Calibri"/>
          <w:color w:val="231F20"/>
          <w:spacing w:val="-9"/>
          <w:w w:val="105"/>
          <w:sz w:val="17"/>
        </w:rPr>
        <w:t> </w:t>
      </w:r>
      <w:r>
        <w:rPr>
          <w:rFonts w:ascii="Calibri" w:hAnsi="Calibri"/>
          <w:color w:val="231F20"/>
          <w:w w:val="105"/>
          <w:sz w:val="17"/>
        </w:rPr>
        <w:t>procedure</w:t>
      </w:r>
      <w:r>
        <w:rPr>
          <w:rFonts w:ascii="Calibri" w:hAnsi="Calibri"/>
          <w:color w:val="231F20"/>
          <w:spacing w:val="-9"/>
          <w:w w:val="105"/>
          <w:sz w:val="17"/>
        </w:rPr>
        <w:t> </w:t>
      </w:r>
      <w:r>
        <w:rPr>
          <w:rFonts w:ascii="Calibri" w:hAnsi="Calibri"/>
          <w:color w:val="231F20"/>
          <w:w w:val="105"/>
          <w:sz w:val="17"/>
        </w:rPr>
        <w:t>consolidate</w:t>
      </w:r>
      <w:r>
        <w:rPr>
          <w:rFonts w:ascii="Calibri" w:hAnsi="Calibri"/>
          <w:color w:val="231F20"/>
          <w:spacing w:val="-9"/>
          <w:w w:val="105"/>
          <w:sz w:val="17"/>
        </w:rPr>
        <w:t> </w:t>
      </w:r>
      <w:r>
        <w:rPr>
          <w:rFonts w:ascii="Calibri" w:hAnsi="Calibri"/>
          <w:color w:val="231F20"/>
          <w:w w:val="105"/>
          <w:sz w:val="17"/>
        </w:rPr>
        <w:t>di</w:t>
      </w:r>
      <w:r>
        <w:rPr>
          <w:rFonts w:ascii="Calibri" w:hAnsi="Calibri"/>
          <w:color w:val="231F20"/>
          <w:spacing w:val="-9"/>
          <w:w w:val="105"/>
          <w:sz w:val="17"/>
        </w:rPr>
        <w:t> </w:t>
      </w:r>
      <w:r>
        <w:rPr>
          <w:rFonts w:ascii="Calibri" w:hAnsi="Calibri"/>
          <w:color w:val="231F20"/>
          <w:w w:val="105"/>
          <w:sz w:val="17"/>
        </w:rPr>
        <w:t>soluzione</w:t>
      </w:r>
      <w:r>
        <w:rPr>
          <w:rFonts w:ascii="Calibri" w:hAnsi="Calibri"/>
          <w:color w:val="231F20"/>
          <w:spacing w:val="-9"/>
          <w:w w:val="105"/>
          <w:sz w:val="17"/>
        </w:rPr>
        <w:t> </w:t>
      </w:r>
      <w:r>
        <w:rPr>
          <w:rFonts w:ascii="Calibri" w:hAnsi="Calibri"/>
          <w:color w:val="231F20"/>
          <w:w w:val="105"/>
          <w:sz w:val="17"/>
        </w:rPr>
        <w:t>dei</w:t>
      </w:r>
      <w:r>
        <w:rPr>
          <w:rFonts w:ascii="Calibri" w:hAnsi="Calibri"/>
          <w:color w:val="231F20"/>
          <w:spacing w:val="-9"/>
          <w:w w:val="105"/>
          <w:sz w:val="17"/>
        </w:rPr>
        <w:t> </w:t>
      </w:r>
      <w:r>
        <w:rPr>
          <w:rFonts w:ascii="Calibri" w:hAnsi="Calibri"/>
          <w:color w:val="231F20"/>
          <w:w w:val="105"/>
          <w:sz w:val="17"/>
        </w:rPr>
        <w:t>conflitti,</w:t>
      </w:r>
      <w:r>
        <w:rPr>
          <w:rFonts w:ascii="Calibri" w:hAnsi="Calibri"/>
          <w:color w:val="231F20"/>
          <w:spacing w:val="-9"/>
          <w:w w:val="105"/>
          <w:sz w:val="17"/>
        </w:rPr>
        <w:t> </w:t>
      </w:r>
      <w:r>
        <w:rPr>
          <w:rFonts w:ascii="Calibri" w:hAnsi="Calibri"/>
          <w:color w:val="231F20"/>
          <w:w w:val="105"/>
          <w:sz w:val="17"/>
        </w:rPr>
        <w:t>in</w:t>
      </w:r>
      <w:r>
        <w:rPr>
          <w:rFonts w:ascii="Calibri" w:hAnsi="Calibri"/>
          <w:color w:val="231F20"/>
          <w:spacing w:val="-9"/>
          <w:w w:val="105"/>
          <w:sz w:val="17"/>
        </w:rPr>
        <w:t> </w:t>
      </w:r>
      <w:r>
        <w:rPr>
          <w:rFonts w:ascii="Calibri" w:hAnsi="Calibri"/>
          <w:color w:val="231F20"/>
          <w:w w:val="105"/>
          <w:sz w:val="17"/>
        </w:rPr>
        <w:t>grado</w:t>
      </w:r>
      <w:r>
        <w:rPr>
          <w:rFonts w:ascii="Calibri" w:hAnsi="Calibri"/>
          <w:color w:val="231F20"/>
          <w:spacing w:val="-9"/>
          <w:w w:val="105"/>
          <w:sz w:val="17"/>
        </w:rPr>
        <w:t> </w:t>
      </w:r>
      <w:r>
        <w:rPr>
          <w:rFonts w:ascii="Calibri" w:hAnsi="Calibri"/>
          <w:color w:val="231F20"/>
          <w:w w:val="105"/>
          <w:sz w:val="17"/>
        </w:rPr>
        <w:t>di</w:t>
      </w:r>
      <w:r>
        <w:rPr>
          <w:rFonts w:ascii="Calibri" w:hAnsi="Calibri"/>
          <w:color w:val="231F20"/>
          <w:spacing w:val="-9"/>
          <w:w w:val="105"/>
          <w:sz w:val="17"/>
        </w:rPr>
        <w:t> </w:t>
      </w:r>
      <w:r>
        <w:rPr>
          <w:rFonts w:ascii="Calibri" w:hAnsi="Calibri"/>
          <w:color w:val="231F20"/>
          <w:w w:val="105"/>
          <w:sz w:val="17"/>
        </w:rPr>
        <w:t>sottrarre</w:t>
      </w:r>
      <w:r>
        <w:rPr>
          <w:rFonts w:ascii="Calibri" w:hAnsi="Calibri"/>
          <w:color w:val="231F20"/>
          <w:spacing w:val="-9"/>
          <w:w w:val="105"/>
          <w:sz w:val="17"/>
        </w:rPr>
        <w:t> </w:t>
      </w:r>
      <w:r>
        <w:rPr>
          <w:rFonts w:ascii="Calibri" w:hAnsi="Calibri"/>
          <w:color w:val="231F20"/>
          <w:w w:val="105"/>
          <w:sz w:val="17"/>
        </w:rPr>
        <w:t>il</w:t>
      </w:r>
      <w:r>
        <w:rPr>
          <w:rFonts w:ascii="Calibri" w:hAnsi="Calibri"/>
          <w:color w:val="231F20"/>
          <w:spacing w:val="-9"/>
          <w:w w:val="105"/>
          <w:sz w:val="17"/>
        </w:rPr>
        <w:t> </w:t>
      </w:r>
      <w:r>
        <w:rPr>
          <w:rFonts w:ascii="Calibri" w:hAnsi="Calibri"/>
          <w:color w:val="231F20"/>
          <w:w w:val="105"/>
          <w:sz w:val="17"/>
        </w:rPr>
        <w:t>trattamento</w:t>
      </w:r>
      <w:r>
        <w:rPr>
          <w:rFonts w:ascii="Calibri" w:hAnsi="Calibri"/>
          <w:color w:val="231F20"/>
          <w:spacing w:val="-9"/>
          <w:w w:val="105"/>
          <w:sz w:val="17"/>
        </w:rPr>
        <w:t> </w:t>
      </w:r>
      <w:r>
        <w:rPr>
          <w:rFonts w:ascii="Calibri" w:hAnsi="Calibri"/>
          <w:color w:val="231F20"/>
          <w:w w:val="105"/>
          <w:sz w:val="17"/>
        </w:rPr>
        <w:t>legale</w:t>
      </w:r>
      <w:r>
        <w:rPr>
          <w:rFonts w:ascii="Calibri" w:hAnsi="Calibri"/>
          <w:color w:val="231F20"/>
          <w:spacing w:val="-9"/>
          <w:w w:val="105"/>
          <w:sz w:val="17"/>
        </w:rPr>
        <w:t> </w:t>
      </w:r>
      <w:r>
        <w:rPr>
          <w:rFonts w:ascii="Calibri" w:hAnsi="Calibri"/>
          <w:color w:val="231F20"/>
          <w:w w:val="105"/>
          <w:sz w:val="17"/>
        </w:rPr>
        <w:t>delle violazioni dei diritti umani allo stato di “indistinzione giuridica” che attualmente lo caratterizza, può essere infatti immaginato anche “a prescindere dal monopolio della violenza di uno stato e di</w:t>
      </w:r>
      <w:r>
        <w:rPr>
          <w:rFonts w:ascii="Calibri" w:hAnsi="Calibri"/>
          <w:color w:val="231F20"/>
          <w:spacing w:val="-4"/>
          <w:w w:val="105"/>
          <w:sz w:val="17"/>
        </w:rPr>
        <w:t> </w:t>
      </w:r>
      <w:r>
        <w:rPr>
          <w:rFonts w:ascii="Calibri" w:hAnsi="Calibri"/>
          <w:color w:val="231F20"/>
          <w:w w:val="105"/>
          <w:sz w:val="17"/>
        </w:rPr>
        <w:t>un</w:t>
      </w:r>
      <w:r>
        <w:rPr>
          <w:rFonts w:ascii="Calibri" w:hAnsi="Calibri"/>
          <w:color w:val="231F20"/>
          <w:spacing w:val="-4"/>
          <w:w w:val="105"/>
          <w:sz w:val="17"/>
        </w:rPr>
        <w:t> </w:t>
      </w:r>
      <w:r>
        <w:rPr>
          <w:rFonts w:ascii="Calibri" w:hAnsi="Calibri"/>
          <w:color w:val="231F20"/>
          <w:w w:val="105"/>
          <w:sz w:val="17"/>
        </w:rPr>
        <w:t>governo</w:t>
      </w:r>
      <w:r>
        <w:rPr>
          <w:rFonts w:ascii="Calibri" w:hAnsi="Calibri"/>
          <w:color w:val="231F20"/>
          <w:spacing w:val="-4"/>
          <w:w w:val="105"/>
          <w:sz w:val="17"/>
        </w:rPr>
        <w:t> </w:t>
      </w:r>
      <w:r>
        <w:rPr>
          <w:rFonts w:ascii="Calibri" w:hAnsi="Calibri"/>
          <w:color w:val="231F20"/>
          <w:w w:val="105"/>
          <w:sz w:val="17"/>
        </w:rPr>
        <w:t>mondiali”,</w:t>
      </w:r>
      <w:r>
        <w:rPr>
          <w:rFonts w:ascii="Calibri" w:hAnsi="Calibri"/>
          <w:color w:val="231F20"/>
          <w:spacing w:val="-4"/>
          <w:w w:val="105"/>
          <w:sz w:val="17"/>
        </w:rPr>
        <w:t> </w:t>
      </w:r>
      <w:r>
        <w:rPr>
          <w:rFonts w:ascii="Calibri" w:hAnsi="Calibri"/>
          <w:color w:val="231F20"/>
          <w:w w:val="105"/>
          <w:sz w:val="17"/>
        </w:rPr>
        <w:t>attraverso</w:t>
      </w:r>
      <w:r>
        <w:rPr>
          <w:rFonts w:ascii="Calibri" w:hAnsi="Calibri"/>
          <w:color w:val="231F20"/>
          <w:spacing w:val="-4"/>
          <w:w w:val="105"/>
          <w:sz w:val="17"/>
        </w:rPr>
        <w:t> </w:t>
      </w:r>
      <w:r>
        <w:rPr>
          <w:rFonts w:ascii="Calibri" w:hAnsi="Calibri"/>
          <w:color w:val="231F20"/>
          <w:w w:val="105"/>
          <w:sz w:val="17"/>
        </w:rPr>
        <w:t>la</w:t>
      </w:r>
      <w:r>
        <w:rPr>
          <w:rFonts w:ascii="Calibri" w:hAnsi="Calibri"/>
          <w:color w:val="231F20"/>
          <w:spacing w:val="-4"/>
          <w:w w:val="105"/>
          <w:sz w:val="17"/>
        </w:rPr>
        <w:t> </w:t>
      </w:r>
      <w:r>
        <w:rPr>
          <w:rFonts w:ascii="Calibri" w:hAnsi="Calibri"/>
          <w:color w:val="231F20"/>
          <w:w w:val="105"/>
          <w:sz w:val="17"/>
        </w:rPr>
        <w:t>consequenziale</w:t>
      </w:r>
      <w:r>
        <w:rPr>
          <w:rFonts w:ascii="Calibri" w:hAnsi="Calibri"/>
          <w:color w:val="231F20"/>
          <w:spacing w:val="-4"/>
          <w:w w:val="105"/>
          <w:sz w:val="17"/>
        </w:rPr>
        <w:t> </w:t>
      </w:r>
      <w:r>
        <w:rPr>
          <w:rFonts w:ascii="Calibri" w:hAnsi="Calibri"/>
          <w:color w:val="231F20"/>
          <w:w w:val="105"/>
          <w:sz w:val="17"/>
        </w:rPr>
        <w:t>trasformazione</w:t>
      </w:r>
      <w:r>
        <w:rPr>
          <w:rFonts w:ascii="Calibri" w:hAnsi="Calibri"/>
          <w:color w:val="231F20"/>
          <w:spacing w:val="-4"/>
          <w:w w:val="105"/>
          <w:sz w:val="17"/>
        </w:rPr>
        <w:t> </w:t>
      </w:r>
      <w:r>
        <w:rPr>
          <w:rFonts w:ascii="Calibri" w:hAnsi="Calibri"/>
          <w:color w:val="231F20"/>
          <w:w w:val="105"/>
          <w:sz w:val="17"/>
        </w:rPr>
        <w:t>delle</w:t>
      </w:r>
      <w:r>
        <w:rPr>
          <w:rFonts w:ascii="Calibri" w:hAnsi="Calibri"/>
          <w:color w:val="231F20"/>
          <w:spacing w:val="-4"/>
          <w:w w:val="105"/>
          <w:sz w:val="17"/>
        </w:rPr>
        <w:t> </w:t>
      </w:r>
      <w:r>
        <w:rPr>
          <w:rFonts w:ascii="Calibri" w:hAnsi="Calibri"/>
          <w:color w:val="231F20"/>
          <w:w w:val="105"/>
          <w:sz w:val="17"/>
        </w:rPr>
        <w:t>Nazioni</w:t>
      </w:r>
      <w:r>
        <w:rPr>
          <w:rFonts w:ascii="Calibri" w:hAnsi="Calibri"/>
          <w:color w:val="231F20"/>
          <w:spacing w:val="-4"/>
          <w:w w:val="105"/>
          <w:sz w:val="17"/>
        </w:rPr>
        <w:t> </w:t>
      </w:r>
      <w:r>
        <w:rPr>
          <w:rFonts w:ascii="Calibri" w:hAnsi="Calibri"/>
          <w:color w:val="231F20"/>
          <w:w w:val="105"/>
          <w:sz w:val="17"/>
        </w:rPr>
        <w:t>Unite</w:t>
      </w:r>
      <w:r>
        <w:rPr>
          <w:rFonts w:ascii="Calibri" w:hAnsi="Calibri"/>
          <w:color w:val="231F20"/>
          <w:spacing w:val="-4"/>
          <w:w w:val="105"/>
          <w:sz w:val="17"/>
        </w:rPr>
        <w:t> </w:t>
      </w:r>
      <w:r>
        <w:rPr>
          <w:rFonts w:ascii="Calibri" w:hAnsi="Calibri"/>
          <w:color w:val="231F20"/>
          <w:w w:val="105"/>
          <w:sz w:val="17"/>
        </w:rPr>
        <w:t>in</w:t>
      </w:r>
      <w:r>
        <w:rPr>
          <w:rFonts w:ascii="Calibri" w:hAnsi="Calibri"/>
          <w:color w:val="231F20"/>
          <w:spacing w:val="-4"/>
          <w:w w:val="105"/>
          <w:sz w:val="17"/>
        </w:rPr>
        <w:t> </w:t>
      </w:r>
      <w:r>
        <w:rPr>
          <w:rFonts w:ascii="Calibri" w:hAnsi="Calibri"/>
          <w:color w:val="231F20"/>
          <w:w w:val="105"/>
          <w:sz w:val="17"/>
        </w:rPr>
        <w:t>una forma</w:t>
      </w:r>
      <w:r>
        <w:rPr>
          <w:rFonts w:ascii="Calibri" w:hAnsi="Calibri"/>
          <w:color w:val="231F20"/>
          <w:spacing w:val="-24"/>
          <w:w w:val="105"/>
          <w:sz w:val="17"/>
        </w:rPr>
        <w:t> </w:t>
      </w:r>
      <w:r>
        <w:rPr>
          <w:rFonts w:ascii="Calibri" w:hAnsi="Calibri"/>
          <w:color w:val="231F20"/>
          <w:w w:val="105"/>
          <w:sz w:val="17"/>
        </w:rPr>
        <w:t>di</w:t>
      </w:r>
      <w:r>
        <w:rPr>
          <w:rFonts w:ascii="Calibri" w:hAnsi="Calibri"/>
          <w:color w:val="231F20"/>
          <w:spacing w:val="-25"/>
          <w:w w:val="105"/>
          <w:sz w:val="17"/>
        </w:rPr>
        <w:t> </w:t>
      </w:r>
      <w:r>
        <w:rPr>
          <w:rFonts w:ascii="Calibri" w:hAnsi="Calibri"/>
          <w:color w:val="231F20"/>
          <w:w w:val="105"/>
          <w:sz w:val="17"/>
        </w:rPr>
        <w:t>vera</w:t>
      </w:r>
      <w:r>
        <w:rPr>
          <w:rFonts w:ascii="Calibri" w:hAnsi="Calibri"/>
          <w:color w:val="231F20"/>
          <w:spacing w:val="-24"/>
          <w:w w:val="105"/>
          <w:sz w:val="17"/>
        </w:rPr>
        <w:t> </w:t>
      </w:r>
      <w:r>
        <w:rPr>
          <w:rFonts w:ascii="Calibri" w:hAnsi="Calibri"/>
          <w:color w:val="231F20"/>
          <w:w w:val="105"/>
          <w:sz w:val="17"/>
        </w:rPr>
        <w:t>e</w:t>
      </w:r>
      <w:r>
        <w:rPr>
          <w:rFonts w:ascii="Calibri" w:hAnsi="Calibri"/>
          <w:color w:val="231F20"/>
          <w:spacing w:val="-24"/>
          <w:w w:val="105"/>
          <w:sz w:val="17"/>
        </w:rPr>
        <w:t> </w:t>
      </w:r>
      <w:r>
        <w:rPr>
          <w:rFonts w:ascii="Calibri" w:hAnsi="Calibri"/>
          <w:color w:val="231F20"/>
          <w:w w:val="105"/>
          <w:sz w:val="17"/>
        </w:rPr>
        <w:t>propria</w:t>
      </w:r>
      <w:r>
        <w:rPr>
          <w:rFonts w:ascii="Calibri" w:hAnsi="Calibri"/>
          <w:color w:val="231F20"/>
          <w:spacing w:val="-24"/>
          <w:w w:val="105"/>
          <w:sz w:val="17"/>
        </w:rPr>
        <w:t> </w:t>
      </w:r>
      <w:r>
        <w:rPr>
          <w:rFonts w:ascii="Calibri" w:hAnsi="Calibri"/>
          <w:color w:val="231F20"/>
          <w:w w:val="105"/>
          <w:sz w:val="17"/>
        </w:rPr>
        <w:t>“democrazia</w:t>
      </w:r>
      <w:r>
        <w:rPr>
          <w:rFonts w:ascii="Calibri" w:hAnsi="Calibri"/>
          <w:color w:val="231F20"/>
          <w:spacing w:val="-24"/>
          <w:w w:val="105"/>
          <w:sz w:val="17"/>
        </w:rPr>
        <w:t> </w:t>
      </w:r>
      <w:r>
        <w:rPr>
          <w:rFonts w:ascii="Calibri" w:hAnsi="Calibri"/>
          <w:color w:val="231F20"/>
          <w:w w:val="105"/>
          <w:sz w:val="17"/>
        </w:rPr>
        <w:t>cosmopolitica”:</w:t>
      </w:r>
      <w:r>
        <w:rPr>
          <w:rFonts w:ascii="Calibri" w:hAnsi="Calibri"/>
          <w:color w:val="231F20"/>
          <w:spacing w:val="-24"/>
          <w:w w:val="105"/>
          <w:sz w:val="17"/>
        </w:rPr>
        <w:t> </w:t>
      </w:r>
      <w:r>
        <w:rPr>
          <w:rFonts w:ascii="Calibri" w:hAnsi="Calibri"/>
          <w:color w:val="231F20"/>
          <w:w w:val="105"/>
          <w:sz w:val="17"/>
        </w:rPr>
        <w:t>un</w:t>
      </w:r>
      <w:r>
        <w:rPr>
          <w:rFonts w:ascii="Calibri" w:hAnsi="Calibri"/>
          <w:color w:val="231F20"/>
          <w:spacing w:val="-24"/>
          <w:w w:val="105"/>
          <w:sz w:val="17"/>
        </w:rPr>
        <w:t> </w:t>
      </w:r>
      <w:r>
        <w:rPr>
          <w:rFonts w:ascii="Calibri" w:hAnsi="Calibri"/>
          <w:color w:val="231F20"/>
          <w:w w:val="105"/>
          <w:sz w:val="17"/>
        </w:rPr>
        <w:t>passaggio,</w:t>
      </w:r>
      <w:r>
        <w:rPr>
          <w:rFonts w:ascii="Calibri" w:hAnsi="Calibri"/>
          <w:color w:val="231F20"/>
          <w:spacing w:val="-24"/>
          <w:w w:val="105"/>
          <w:sz w:val="17"/>
        </w:rPr>
        <w:t> </w:t>
      </w:r>
      <w:r>
        <w:rPr>
          <w:rFonts w:ascii="Calibri" w:hAnsi="Calibri"/>
          <w:color w:val="231F20"/>
          <w:w w:val="105"/>
          <w:sz w:val="17"/>
        </w:rPr>
        <w:t>questo,</w:t>
      </w:r>
      <w:r>
        <w:rPr>
          <w:rFonts w:ascii="Calibri" w:hAnsi="Calibri"/>
          <w:color w:val="231F20"/>
          <w:spacing w:val="-24"/>
          <w:w w:val="105"/>
          <w:sz w:val="17"/>
        </w:rPr>
        <w:t> </w:t>
      </w:r>
      <w:r>
        <w:rPr>
          <w:rFonts w:ascii="Calibri" w:hAnsi="Calibri"/>
          <w:color w:val="231F20"/>
          <w:w w:val="105"/>
          <w:sz w:val="17"/>
        </w:rPr>
        <w:t>per</w:t>
      </w:r>
      <w:r>
        <w:rPr>
          <w:rFonts w:ascii="Calibri" w:hAnsi="Calibri"/>
          <w:color w:val="231F20"/>
          <w:spacing w:val="-24"/>
          <w:w w:val="105"/>
          <w:sz w:val="17"/>
        </w:rPr>
        <w:t> </w:t>
      </w:r>
      <w:r>
        <w:rPr>
          <w:rFonts w:ascii="Calibri" w:hAnsi="Calibri"/>
          <w:color w:val="231F20"/>
          <w:w w:val="105"/>
          <w:sz w:val="17"/>
        </w:rPr>
        <w:t>il</w:t>
      </w:r>
      <w:r>
        <w:rPr>
          <w:rFonts w:ascii="Calibri" w:hAnsi="Calibri"/>
          <w:color w:val="231F20"/>
          <w:spacing w:val="-24"/>
          <w:w w:val="105"/>
          <w:sz w:val="17"/>
        </w:rPr>
        <w:t> </w:t>
      </w:r>
      <w:r>
        <w:rPr>
          <w:rFonts w:ascii="Calibri" w:hAnsi="Calibri"/>
          <w:color w:val="231F20"/>
          <w:w w:val="105"/>
          <w:sz w:val="17"/>
        </w:rPr>
        <w:t>quale</w:t>
      </w:r>
      <w:r>
        <w:rPr>
          <w:rFonts w:ascii="Calibri" w:hAnsi="Calibri"/>
          <w:color w:val="231F20"/>
          <w:spacing w:val="-24"/>
          <w:w w:val="105"/>
          <w:sz w:val="17"/>
        </w:rPr>
        <w:t> </w:t>
      </w:r>
      <w:r>
        <w:rPr>
          <w:rFonts w:ascii="Calibri" w:hAnsi="Calibri"/>
          <w:color w:val="231F20"/>
          <w:w w:val="105"/>
          <w:sz w:val="17"/>
        </w:rPr>
        <w:t>è</w:t>
      </w:r>
      <w:r>
        <w:rPr>
          <w:rFonts w:ascii="Calibri" w:hAnsi="Calibri"/>
          <w:color w:val="231F20"/>
          <w:spacing w:val="-24"/>
          <w:w w:val="105"/>
          <w:sz w:val="17"/>
        </w:rPr>
        <w:t> </w:t>
      </w:r>
      <w:r>
        <w:rPr>
          <w:rFonts w:ascii="Calibri" w:hAnsi="Calibri"/>
          <w:color w:val="231F20"/>
          <w:w w:val="105"/>
          <w:sz w:val="17"/>
        </w:rPr>
        <w:t>necessario, come</w:t>
      </w:r>
      <w:r>
        <w:rPr>
          <w:rFonts w:ascii="Calibri" w:hAnsi="Calibri"/>
          <w:color w:val="231F20"/>
          <w:spacing w:val="-9"/>
          <w:w w:val="105"/>
          <w:sz w:val="17"/>
        </w:rPr>
        <w:t> </w:t>
      </w:r>
      <w:r>
        <w:rPr>
          <w:rFonts w:ascii="Calibri" w:hAnsi="Calibri"/>
          <w:color w:val="231F20"/>
          <w:w w:val="105"/>
          <w:sz w:val="17"/>
        </w:rPr>
        <w:t>minimo,</w:t>
      </w:r>
      <w:r>
        <w:rPr>
          <w:rFonts w:ascii="Calibri" w:hAnsi="Calibri"/>
          <w:color w:val="231F20"/>
          <w:spacing w:val="-9"/>
          <w:w w:val="105"/>
          <w:sz w:val="17"/>
        </w:rPr>
        <w:t> </w:t>
      </w:r>
      <w:r>
        <w:rPr>
          <w:rFonts w:ascii="Calibri" w:hAnsi="Calibri"/>
          <w:color w:val="231F20"/>
          <w:w w:val="105"/>
          <w:sz w:val="17"/>
        </w:rPr>
        <w:t>“un</w:t>
      </w:r>
      <w:r>
        <w:rPr>
          <w:rFonts w:ascii="Calibri" w:hAnsi="Calibri"/>
          <w:color w:val="231F20"/>
          <w:spacing w:val="-9"/>
          <w:w w:val="105"/>
          <w:sz w:val="17"/>
        </w:rPr>
        <w:t> </w:t>
      </w:r>
      <w:r>
        <w:rPr>
          <w:rFonts w:ascii="Calibri" w:hAnsi="Calibri"/>
          <w:color w:val="231F20"/>
          <w:w w:val="105"/>
          <w:sz w:val="17"/>
        </w:rPr>
        <w:t>Consiglio</w:t>
      </w:r>
      <w:r>
        <w:rPr>
          <w:rFonts w:ascii="Calibri" w:hAnsi="Calibri"/>
          <w:color w:val="231F20"/>
          <w:spacing w:val="-9"/>
          <w:w w:val="105"/>
          <w:sz w:val="17"/>
        </w:rPr>
        <w:t> </w:t>
      </w:r>
      <w:r>
        <w:rPr>
          <w:rFonts w:ascii="Calibri" w:hAnsi="Calibri"/>
          <w:color w:val="231F20"/>
          <w:w w:val="105"/>
          <w:sz w:val="17"/>
        </w:rPr>
        <w:t>di</w:t>
      </w:r>
      <w:r>
        <w:rPr>
          <w:rFonts w:ascii="Calibri" w:hAnsi="Calibri"/>
          <w:color w:val="231F20"/>
          <w:spacing w:val="-9"/>
          <w:w w:val="105"/>
          <w:sz w:val="17"/>
        </w:rPr>
        <w:t> </w:t>
      </w:r>
      <w:r>
        <w:rPr>
          <w:rFonts w:ascii="Calibri" w:hAnsi="Calibri"/>
          <w:color w:val="231F20"/>
          <w:w w:val="105"/>
          <w:sz w:val="17"/>
        </w:rPr>
        <w:t>sicurezza</w:t>
      </w:r>
      <w:r>
        <w:rPr>
          <w:rFonts w:ascii="Calibri" w:hAnsi="Calibri"/>
          <w:color w:val="231F20"/>
          <w:spacing w:val="-9"/>
          <w:w w:val="105"/>
          <w:sz w:val="17"/>
        </w:rPr>
        <w:t> </w:t>
      </w:r>
      <w:r>
        <w:rPr>
          <w:rFonts w:ascii="Calibri" w:hAnsi="Calibri"/>
          <w:color w:val="231F20"/>
          <w:w w:val="105"/>
          <w:sz w:val="17"/>
        </w:rPr>
        <w:t>funzionante,</w:t>
      </w:r>
      <w:r>
        <w:rPr>
          <w:rFonts w:ascii="Calibri" w:hAnsi="Calibri"/>
          <w:color w:val="231F20"/>
          <w:spacing w:val="-9"/>
          <w:w w:val="105"/>
          <w:sz w:val="17"/>
        </w:rPr>
        <w:t> </w:t>
      </w:r>
      <w:r>
        <w:rPr>
          <w:rFonts w:ascii="Calibri" w:hAnsi="Calibri"/>
          <w:color w:val="231F20"/>
          <w:w w:val="105"/>
          <w:sz w:val="17"/>
        </w:rPr>
        <w:t>la</w:t>
      </w:r>
      <w:r>
        <w:rPr>
          <w:rFonts w:ascii="Calibri" w:hAnsi="Calibri"/>
          <w:color w:val="231F20"/>
          <w:spacing w:val="-9"/>
          <w:w w:val="105"/>
          <w:sz w:val="17"/>
        </w:rPr>
        <w:t> </w:t>
      </w:r>
      <w:r>
        <w:rPr>
          <w:rFonts w:ascii="Calibri" w:hAnsi="Calibri"/>
          <w:color w:val="231F20"/>
          <w:w w:val="105"/>
          <w:sz w:val="17"/>
        </w:rPr>
        <w:t>giurisprudenza</w:t>
      </w:r>
      <w:r>
        <w:rPr>
          <w:rFonts w:ascii="Calibri" w:hAnsi="Calibri"/>
          <w:color w:val="231F20"/>
          <w:spacing w:val="-11"/>
          <w:w w:val="105"/>
          <w:sz w:val="17"/>
        </w:rPr>
        <w:t> </w:t>
      </w:r>
      <w:r>
        <w:rPr>
          <w:rFonts w:ascii="Calibri" w:hAnsi="Calibri"/>
          <w:color w:val="231F20"/>
          <w:w w:val="105"/>
          <w:sz w:val="17"/>
        </w:rPr>
        <w:t>vincolante</w:t>
      </w:r>
      <w:r>
        <w:rPr>
          <w:rFonts w:ascii="Calibri" w:hAnsi="Calibri"/>
          <w:color w:val="231F20"/>
          <w:spacing w:val="-9"/>
          <w:w w:val="105"/>
          <w:sz w:val="17"/>
        </w:rPr>
        <w:t> </w:t>
      </w:r>
      <w:r>
        <w:rPr>
          <w:rFonts w:ascii="Calibri" w:hAnsi="Calibri"/>
          <w:color w:val="231F20"/>
          <w:w w:val="105"/>
          <w:sz w:val="17"/>
        </w:rPr>
        <w:t>di</w:t>
      </w:r>
      <w:r>
        <w:rPr>
          <w:rFonts w:ascii="Calibri" w:hAnsi="Calibri"/>
          <w:color w:val="231F20"/>
          <w:spacing w:val="-9"/>
          <w:w w:val="105"/>
          <w:sz w:val="17"/>
        </w:rPr>
        <w:t> </w:t>
      </w:r>
      <w:r>
        <w:rPr>
          <w:rFonts w:ascii="Calibri" w:hAnsi="Calibri"/>
          <w:color w:val="231F20"/>
          <w:w w:val="105"/>
          <w:sz w:val="17"/>
        </w:rPr>
        <w:t>una</w:t>
      </w:r>
      <w:r>
        <w:rPr>
          <w:rFonts w:ascii="Calibri" w:hAnsi="Calibri"/>
          <w:color w:val="231F20"/>
          <w:spacing w:val="-9"/>
          <w:w w:val="105"/>
          <w:sz w:val="17"/>
        </w:rPr>
        <w:t> </w:t>
      </w:r>
      <w:r>
        <w:rPr>
          <w:rFonts w:ascii="Calibri" w:hAnsi="Calibri"/>
          <w:color w:val="231F20"/>
          <w:w w:val="105"/>
          <w:sz w:val="17"/>
        </w:rPr>
        <w:t>corte</w:t>
      </w:r>
      <w:r>
        <w:rPr>
          <w:rFonts w:ascii="Calibri" w:hAnsi="Calibri"/>
          <w:color w:val="231F20"/>
          <w:spacing w:val="-9"/>
          <w:w w:val="105"/>
          <w:sz w:val="17"/>
        </w:rPr>
        <w:t> </w:t>
      </w:r>
      <w:r>
        <w:rPr>
          <w:rFonts w:ascii="Calibri" w:hAnsi="Calibri"/>
          <w:color w:val="231F20"/>
          <w:w w:val="105"/>
          <w:sz w:val="17"/>
        </w:rPr>
        <w:t>di giustizia</w:t>
      </w:r>
      <w:r>
        <w:rPr>
          <w:rFonts w:ascii="Calibri" w:hAnsi="Calibri"/>
          <w:color w:val="231F20"/>
          <w:spacing w:val="-25"/>
          <w:w w:val="105"/>
          <w:sz w:val="17"/>
        </w:rPr>
        <w:t> </w:t>
      </w:r>
      <w:r>
        <w:rPr>
          <w:rFonts w:ascii="Calibri" w:hAnsi="Calibri"/>
          <w:color w:val="231F20"/>
          <w:w w:val="105"/>
          <w:sz w:val="17"/>
        </w:rPr>
        <w:t>internazionale</w:t>
      </w:r>
      <w:r>
        <w:rPr>
          <w:rFonts w:ascii="Calibri" w:hAnsi="Calibri"/>
          <w:color w:val="231F20"/>
          <w:spacing w:val="-25"/>
          <w:w w:val="105"/>
          <w:sz w:val="17"/>
        </w:rPr>
        <w:t> </w:t>
      </w:r>
      <w:r>
        <w:rPr>
          <w:rFonts w:ascii="Calibri" w:hAnsi="Calibri"/>
          <w:color w:val="231F20"/>
          <w:w w:val="105"/>
          <w:sz w:val="17"/>
        </w:rPr>
        <w:t>e</w:t>
      </w:r>
      <w:r>
        <w:rPr>
          <w:rFonts w:ascii="Calibri" w:hAnsi="Calibri"/>
          <w:color w:val="231F20"/>
          <w:spacing w:val="-25"/>
          <w:w w:val="105"/>
          <w:sz w:val="17"/>
        </w:rPr>
        <w:t> </w:t>
      </w:r>
      <w:r>
        <w:rPr>
          <w:rFonts w:ascii="Calibri" w:hAnsi="Calibri"/>
          <w:color w:val="231F20"/>
          <w:w w:val="105"/>
          <w:sz w:val="17"/>
        </w:rPr>
        <w:t>l’integrazione</w:t>
      </w:r>
      <w:r>
        <w:rPr>
          <w:rFonts w:ascii="Calibri" w:hAnsi="Calibri"/>
          <w:color w:val="231F20"/>
          <w:spacing w:val="-25"/>
          <w:w w:val="105"/>
          <w:sz w:val="17"/>
        </w:rPr>
        <w:t> </w:t>
      </w:r>
      <w:r>
        <w:rPr>
          <w:rFonts w:ascii="Calibri" w:hAnsi="Calibri"/>
          <w:color w:val="231F20"/>
          <w:w w:val="105"/>
          <w:sz w:val="17"/>
        </w:rPr>
        <w:t>della</w:t>
      </w:r>
      <w:r>
        <w:rPr>
          <w:rFonts w:ascii="Calibri" w:hAnsi="Calibri"/>
          <w:color w:val="231F20"/>
          <w:spacing w:val="-25"/>
          <w:w w:val="105"/>
          <w:sz w:val="17"/>
        </w:rPr>
        <w:t> </w:t>
      </w:r>
      <w:r>
        <w:rPr>
          <w:rFonts w:ascii="Calibri" w:hAnsi="Calibri"/>
          <w:color w:val="231F20"/>
          <w:w w:val="105"/>
          <w:sz w:val="17"/>
        </w:rPr>
        <w:t>Assembra</w:t>
      </w:r>
      <w:r>
        <w:rPr>
          <w:rFonts w:ascii="Calibri" w:hAnsi="Calibri"/>
          <w:color w:val="231F20"/>
          <w:spacing w:val="-25"/>
          <w:w w:val="105"/>
          <w:sz w:val="17"/>
        </w:rPr>
        <w:t> </w:t>
      </w:r>
      <w:r>
        <w:rPr>
          <w:rFonts w:ascii="Calibri" w:hAnsi="Calibri"/>
          <w:color w:val="231F20"/>
          <w:w w:val="105"/>
          <w:sz w:val="17"/>
        </w:rPr>
        <w:t>generale</w:t>
      </w:r>
      <w:r>
        <w:rPr>
          <w:rFonts w:ascii="Calibri" w:hAnsi="Calibri"/>
          <w:color w:val="231F20"/>
          <w:spacing w:val="-25"/>
          <w:w w:val="105"/>
          <w:sz w:val="17"/>
        </w:rPr>
        <w:t> </w:t>
      </w:r>
      <w:r>
        <w:rPr>
          <w:rFonts w:ascii="Calibri" w:hAnsi="Calibri"/>
          <w:color w:val="231F20"/>
          <w:w w:val="105"/>
          <w:sz w:val="17"/>
        </w:rPr>
        <w:t>dei</w:t>
      </w:r>
      <w:r>
        <w:rPr>
          <w:rFonts w:ascii="Calibri" w:hAnsi="Calibri"/>
          <w:color w:val="231F20"/>
          <w:spacing w:val="-25"/>
          <w:w w:val="105"/>
          <w:sz w:val="17"/>
        </w:rPr>
        <w:t> </w:t>
      </w:r>
      <w:r>
        <w:rPr>
          <w:rFonts w:ascii="Calibri" w:hAnsi="Calibri"/>
          <w:color w:val="231F20"/>
          <w:w w:val="105"/>
          <w:sz w:val="17"/>
        </w:rPr>
        <w:t>rappresentanti</w:t>
      </w:r>
      <w:r>
        <w:rPr>
          <w:rFonts w:ascii="Calibri" w:hAnsi="Calibri"/>
          <w:color w:val="231F20"/>
          <w:spacing w:val="-25"/>
          <w:w w:val="105"/>
          <w:sz w:val="17"/>
        </w:rPr>
        <w:t> </w:t>
      </w:r>
      <w:r>
        <w:rPr>
          <w:rFonts w:ascii="Calibri" w:hAnsi="Calibri"/>
          <w:color w:val="231F20"/>
          <w:w w:val="105"/>
          <w:sz w:val="17"/>
        </w:rPr>
        <w:t>dei</w:t>
      </w:r>
      <w:r>
        <w:rPr>
          <w:rFonts w:ascii="Calibri" w:hAnsi="Calibri"/>
          <w:color w:val="231F20"/>
          <w:spacing w:val="-25"/>
          <w:w w:val="105"/>
          <w:sz w:val="17"/>
        </w:rPr>
        <w:t> </w:t>
      </w:r>
      <w:r>
        <w:rPr>
          <w:rFonts w:ascii="Calibri" w:hAnsi="Calibri"/>
          <w:color w:val="231F20"/>
          <w:w w:val="105"/>
          <w:sz w:val="17"/>
        </w:rPr>
        <w:t>governi</w:t>
      </w:r>
      <w:r>
        <w:rPr>
          <w:rFonts w:ascii="Calibri" w:hAnsi="Calibri"/>
          <w:color w:val="231F20"/>
          <w:spacing w:val="-25"/>
          <w:w w:val="105"/>
          <w:sz w:val="17"/>
        </w:rPr>
        <w:t> </w:t>
      </w:r>
      <w:r>
        <w:rPr>
          <w:rFonts w:ascii="Calibri" w:hAnsi="Calibri"/>
          <w:color w:val="231F20"/>
          <w:w w:val="105"/>
          <w:sz w:val="17"/>
        </w:rPr>
        <w:t>con un</w:t>
      </w:r>
      <w:r>
        <w:rPr>
          <w:rFonts w:ascii="Calibri" w:hAnsi="Calibri"/>
          <w:color w:val="231F20"/>
          <w:spacing w:val="-7"/>
          <w:w w:val="105"/>
          <w:sz w:val="17"/>
        </w:rPr>
        <w:t> </w:t>
      </w:r>
      <w:r>
        <w:rPr>
          <w:rFonts w:ascii="Calibri" w:hAnsi="Calibri"/>
          <w:color w:val="231F20"/>
          <w:w w:val="105"/>
          <w:sz w:val="17"/>
        </w:rPr>
        <w:t>“secondo</w:t>
      </w:r>
      <w:r>
        <w:rPr>
          <w:rFonts w:ascii="Calibri" w:hAnsi="Calibri"/>
          <w:color w:val="231F20"/>
          <w:spacing w:val="-7"/>
          <w:w w:val="105"/>
          <w:sz w:val="17"/>
        </w:rPr>
        <w:t> </w:t>
      </w:r>
      <w:r>
        <w:rPr>
          <w:rFonts w:ascii="Calibri" w:hAnsi="Calibri"/>
          <w:color w:val="231F20"/>
          <w:w w:val="105"/>
          <w:sz w:val="17"/>
        </w:rPr>
        <w:t>livello”</w:t>
      </w:r>
      <w:r>
        <w:rPr>
          <w:rFonts w:ascii="Calibri" w:hAnsi="Calibri"/>
          <w:color w:val="231F20"/>
          <w:spacing w:val="-7"/>
          <w:w w:val="105"/>
          <w:sz w:val="17"/>
        </w:rPr>
        <w:t> </w:t>
      </w:r>
      <w:r>
        <w:rPr>
          <w:rFonts w:ascii="Calibri" w:hAnsi="Calibri"/>
          <w:color w:val="231F20"/>
          <w:w w:val="105"/>
          <w:sz w:val="17"/>
        </w:rPr>
        <w:t>di</w:t>
      </w:r>
      <w:r>
        <w:rPr>
          <w:rFonts w:ascii="Calibri" w:hAnsi="Calibri"/>
          <w:color w:val="231F20"/>
          <w:spacing w:val="-7"/>
          <w:w w:val="105"/>
          <w:sz w:val="17"/>
        </w:rPr>
        <w:t> </w:t>
      </w:r>
      <w:r>
        <w:rPr>
          <w:rFonts w:ascii="Calibri" w:hAnsi="Calibri"/>
          <w:color w:val="231F20"/>
          <w:w w:val="105"/>
          <w:sz w:val="17"/>
        </w:rPr>
        <w:t>rappresentanza</w:t>
      </w:r>
      <w:r>
        <w:rPr>
          <w:rFonts w:ascii="Calibri" w:hAnsi="Calibri"/>
          <w:color w:val="231F20"/>
          <w:spacing w:val="-7"/>
          <w:w w:val="105"/>
          <w:sz w:val="17"/>
        </w:rPr>
        <w:t> </w:t>
      </w:r>
      <w:r>
        <w:rPr>
          <w:rFonts w:ascii="Calibri" w:hAnsi="Calibri"/>
          <w:color w:val="231F20"/>
          <w:w w:val="105"/>
          <w:sz w:val="17"/>
        </w:rPr>
        <w:t>dei</w:t>
      </w:r>
      <w:r>
        <w:rPr>
          <w:rFonts w:ascii="Calibri" w:hAnsi="Calibri"/>
          <w:color w:val="231F20"/>
          <w:spacing w:val="-7"/>
          <w:w w:val="105"/>
          <w:sz w:val="17"/>
        </w:rPr>
        <w:t> </w:t>
      </w:r>
      <w:r>
        <w:rPr>
          <w:rFonts w:ascii="Calibri" w:hAnsi="Calibri"/>
          <w:color w:val="231F20"/>
          <w:w w:val="105"/>
          <w:sz w:val="17"/>
        </w:rPr>
        <w:t>cittadini”.</w:t>
      </w:r>
      <w:r>
        <w:rPr>
          <w:rFonts w:ascii="Calibri" w:hAnsi="Calibri"/>
          <w:color w:val="231F20"/>
          <w:spacing w:val="-7"/>
          <w:w w:val="105"/>
          <w:sz w:val="17"/>
        </w:rPr>
        <w:t> </w:t>
      </w:r>
      <w:r>
        <w:rPr>
          <w:rFonts w:ascii="Calibri" w:hAnsi="Calibri"/>
          <w:color w:val="231F20"/>
          <w:w w:val="105"/>
          <w:sz w:val="17"/>
        </w:rPr>
        <w:t>Sul</w:t>
      </w:r>
      <w:r>
        <w:rPr>
          <w:rFonts w:ascii="Calibri" w:hAnsi="Calibri"/>
          <w:color w:val="231F20"/>
          <w:spacing w:val="-7"/>
          <w:w w:val="105"/>
          <w:sz w:val="17"/>
        </w:rPr>
        <w:t> </w:t>
      </w:r>
      <w:r>
        <w:rPr>
          <w:rFonts w:ascii="Calibri" w:hAnsi="Calibri"/>
          <w:color w:val="231F20"/>
          <w:w w:val="105"/>
          <w:sz w:val="17"/>
        </w:rPr>
        <w:t>tema</w:t>
      </w:r>
      <w:r>
        <w:rPr>
          <w:rFonts w:ascii="Calibri" w:hAnsi="Calibri"/>
          <w:color w:val="231F20"/>
          <w:spacing w:val="-7"/>
          <w:w w:val="105"/>
          <w:sz w:val="17"/>
        </w:rPr>
        <w:t> </w:t>
      </w:r>
      <w:r>
        <w:rPr>
          <w:rFonts w:ascii="Calibri" w:hAnsi="Calibri"/>
          <w:color w:val="231F20"/>
          <w:w w:val="105"/>
          <w:sz w:val="17"/>
        </w:rPr>
        <w:t>si</w:t>
      </w:r>
      <w:r>
        <w:rPr>
          <w:rFonts w:ascii="Calibri" w:hAnsi="Calibri"/>
          <w:color w:val="231F20"/>
          <w:spacing w:val="-8"/>
          <w:w w:val="105"/>
          <w:sz w:val="17"/>
        </w:rPr>
        <w:t> </w:t>
      </w:r>
      <w:r>
        <w:rPr>
          <w:rFonts w:ascii="Calibri" w:hAnsi="Calibri"/>
          <w:color w:val="231F20"/>
          <w:w w:val="105"/>
          <w:sz w:val="17"/>
        </w:rPr>
        <w:t>veda</w:t>
      </w:r>
      <w:r>
        <w:rPr>
          <w:rFonts w:ascii="Calibri" w:hAnsi="Calibri"/>
          <w:color w:val="231F20"/>
          <w:spacing w:val="-7"/>
          <w:w w:val="105"/>
          <w:sz w:val="17"/>
        </w:rPr>
        <w:t> </w:t>
      </w:r>
      <w:r>
        <w:rPr>
          <w:rFonts w:ascii="Calibri" w:hAnsi="Calibri"/>
          <w:color w:val="231F20"/>
          <w:w w:val="105"/>
          <w:sz w:val="17"/>
        </w:rPr>
        <w:t>anche</w:t>
      </w:r>
      <w:r>
        <w:rPr>
          <w:rFonts w:ascii="Calibri" w:hAnsi="Calibri"/>
          <w:color w:val="231F20"/>
          <w:spacing w:val="-7"/>
          <w:w w:val="105"/>
          <w:sz w:val="17"/>
        </w:rPr>
        <w:t> </w:t>
      </w:r>
      <w:r>
        <w:rPr>
          <w:rFonts w:ascii="Calibri" w:hAnsi="Calibri"/>
          <w:color w:val="231F20"/>
          <w:w w:val="105"/>
          <w:sz w:val="17"/>
        </w:rPr>
        <w:t>J.</w:t>
      </w:r>
      <w:r>
        <w:rPr>
          <w:rFonts w:ascii="Calibri" w:hAnsi="Calibri"/>
          <w:color w:val="231F20"/>
          <w:spacing w:val="-7"/>
          <w:w w:val="105"/>
          <w:sz w:val="17"/>
        </w:rPr>
        <w:t> </w:t>
      </w:r>
      <w:r>
        <w:rPr>
          <w:rFonts w:ascii="Calibri" w:hAnsi="Calibri"/>
          <w:color w:val="231F20"/>
          <w:w w:val="105"/>
          <w:sz w:val="17"/>
        </w:rPr>
        <w:t>Habermas,</w:t>
      </w:r>
      <w:r>
        <w:rPr>
          <w:rFonts w:ascii="Calibri" w:hAnsi="Calibri"/>
          <w:color w:val="231F20"/>
          <w:spacing w:val="-7"/>
          <w:w w:val="105"/>
          <w:sz w:val="17"/>
        </w:rPr>
        <w:t> </w:t>
      </w:r>
      <w:r>
        <w:rPr>
          <w:rFonts w:ascii="Calibri" w:hAnsi="Calibri"/>
          <w:color w:val="231F20"/>
          <w:w w:val="105"/>
          <w:sz w:val="17"/>
        </w:rPr>
        <w:t>“Kants</w:t>
      </w:r>
    </w:p>
    <w:p>
      <w:pPr>
        <w:spacing w:after="0" w:line="235" w:lineRule="auto"/>
        <w:jc w:val="both"/>
        <w:rPr>
          <w:rFonts w:ascii="Calibri" w:hAnsi="Calibri"/>
          <w:sz w:val="17"/>
        </w:rPr>
        <w:sectPr>
          <w:type w:val="continuous"/>
          <w:pgSz w:w="9640" w:h="13890"/>
          <w:pgMar w:top="0" w:bottom="0" w:left="1300" w:right="1180"/>
        </w:sectPr>
      </w:pPr>
    </w:p>
    <w:p>
      <w:pPr>
        <w:pStyle w:val="BodyText"/>
        <w:spacing w:line="247" w:lineRule="auto" w:before="107"/>
        <w:ind w:left="103" w:right="110"/>
        <w:jc w:val="both"/>
      </w:pPr>
      <w:r>
        <w:rPr>
          <w:color w:val="231F20"/>
        </w:rPr>
        <w:t>evidenti dilemmi del “nuovo umanitarismo militare”</w:t>
      </w:r>
      <w:r>
        <w:rPr>
          <w:color w:val="231F20"/>
          <w:position w:val="7"/>
          <w:sz w:val="12"/>
        </w:rPr>
        <w:t>37 </w:t>
      </w:r>
      <w:r>
        <w:rPr>
          <w:color w:val="231F20"/>
        </w:rPr>
        <w:t>molti autori hanno risposto risfoderando le consolidate certezze di una visione “pluralistica” dell’ordine</w:t>
      </w:r>
      <w:r>
        <w:rPr>
          <w:color w:val="231F20"/>
          <w:spacing w:val="-17"/>
        </w:rPr>
        <w:t> </w:t>
      </w:r>
      <w:r>
        <w:rPr>
          <w:color w:val="231F20"/>
        </w:rPr>
        <w:t>internazionale,</w:t>
      </w:r>
      <w:r>
        <w:rPr>
          <w:color w:val="231F20"/>
          <w:spacing w:val="-17"/>
        </w:rPr>
        <w:t> </w:t>
      </w:r>
      <w:r>
        <w:rPr>
          <w:color w:val="231F20"/>
        </w:rPr>
        <w:t>decisamente</w:t>
      </w:r>
      <w:r>
        <w:rPr>
          <w:color w:val="231F20"/>
          <w:spacing w:val="-17"/>
        </w:rPr>
        <w:t> </w:t>
      </w:r>
      <w:r>
        <w:rPr>
          <w:color w:val="231F20"/>
        </w:rPr>
        <w:t>più</w:t>
      </w:r>
      <w:r>
        <w:rPr>
          <w:color w:val="231F20"/>
          <w:spacing w:val="-17"/>
        </w:rPr>
        <w:t> </w:t>
      </w:r>
      <w:r>
        <w:rPr>
          <w:color w:val="231F20"/>
        </w:rPr>
        <w:t>legata</w:t>
      </w:r>
      <w:r>
        <w:rPr>
          <w:color w:val="231F20"/>
          <w:spacing w:val="-17"/>
        </w:rPr>
        <w:t> </w:t>
      </w:r>
      <w:r>
        <w:rPr>
          <w:color w:val="231F20"/>
        </w:rPr>
        <w:t>ai</w:t>
      </w:r>
      <w:r>
        <w:rPr>
          <w:color w:val="231F20"/>
          <w:spacing w:val="-17"/>
        </w:rPr>
        <w:t> </w:t>
      </w:r>
      <w:r>
        <w:rPr>
          <w:color w:val="231F20"/>
        </w:rPr>
        <w:t>fondamenti</w:t>
      </w:r>
      <w:r>
        <w:rPr>
          <w:color w:val="231F20"/>
          <w:spacing w:val="-17"/>
        </w:rPr>
        <w:t> </w:t>
      </w:r>
      <w:r>
        <w:rPr>
          <w:color w:val="231F20"/>
        </w:rPr>
        <w:t>concettuali e istituzionali del tradizionale sistema–Westfalia, di volta in volta riletti in chiave nazional–democratica o addirittura apertamente post-coloniale</w:t>
      </w:r>
      <w:r>
        <w:rPr>
          <w:color w:val="231F20"/>
          <w:position w:val="7"/>
          <w:sz w:val="12"/>
        </w:rPr>
        <w:t>38</w:t>
      </w:r>
      <w:r>
        <w:rPr>
          <w:color w:val="231F20"/>
        </w:rPr>
        <w:t>. In tale linea di approfondimento teorico, la questione–chiave della seconda modernità diviene così proprio quella di “rendere compatibili gli interventi transnazionali</w:t>
      </w:r>
      <w:r>
        <w:rPr>
          <w:color w:val="231F20"/>
          <w:spacing w:val="-9"/>
        </w:rPr>
        <w:t> </w:t>
      </w:r>
      <w:r>
        <w:rPr>
          <w:color w:val="231F20"/>
        </w:rPr>
        <w:t>a</w:t>
      </w:r>
      <w:r>
        <w:rPr>
          <w:color w:val="231F20"/>
          <w:spacing w:val="-9"/>
        </w:rPr>
        <w:t> </w:t>
      </w:r>
      <w:r>
        <w:rPr>
          <w:color w:val="231F20"/>
        </w:rPr>
        <w:t>tutela</w:t>
      </w:r>
      <w:r>
        <w:rPr>
          <w:color w:val="231F20"/>
          <w:spacing w:val="-9"/>
        </w:rPr>
        <w:t> </w:t>
      </w:r>
      <w:r>
        <w:rPr>
          <w:color w:val="231F20"/>
        </w:rPr>
        <w:t>dei</w:t>
      </w:r>
      <w:r>
        <w:rPr>
          <w:color w:val="231F20"/>
          <w:spacing w:val="-9"/>
        </w:rPr>
        <w:t> </w:t>
      </w:r>
      <w:r>
        <w:rPr>
          <w:color w:val="231F20"/>
        </w:rPr>
        <w:t>diritti</w:t>
      </w:r>
      <w:r>
        <w:rPr>
          <w:color w:val="231F20"/>
          <w:spacing w:val="-9"/>
        </w:rPr>
        <w:t> </w:t>
      </w:r>
      <w:r>
        <w:rPr>
          <w:color w:val="231F20"/>
        </w:rPr>
        <w:t>soggettivi</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diversità</w:t>
      </w:r>
      <w:r>
        <w:rPr>
          <w:color w:val="231F20"/>
          <w:spacing w:val="-9"/>
        </w:rPr>
        <w:t> </w:t>
      </w:r>
      <w:r>
        <w:rPr>
          <w:color w:val="231F20"/>
        </w:rPr>
        <w:t>delle</w:t>
      </w:r>
      <w:r>
        <w:rPr>
          <w:color w:val="231F20"/>
          <w:spacing w:val="-9"/>
        </w:rPr>
        <w:t> </w:t>
      </w:r>
      <w:r>
        <w:rPr>
          <w:color w:val="231F20"/>
        </w:rPr>
        <w:t>culture,</w:t>
      </w:r>
      <w:r>
        <w:rPr>
          <w:color w:val="231F20"/>
          <w:spacing w:val="-9"/>
        </w:rPr>
        <w:t> </w:t>
      </w:r>
      <w:r>
        <w:rPr>
          <w:color w:val="231F20"/>
        </w:rPr>
        <w:t>con l’identità e la dignità dei popoli, con l’integrità delle strutture giuridico– politiche di cui essi si siano liberamente dotati”</w:t>
      </w:r>
      <w:r>
        <w:rPr>
          <w:color w:val="231F20"/>
          <w:position w:val="7"/>
          <w:sz w:val="12"/>
        </w:rPr>
        <w:t>39</w:t>
      </w:r>
      <w:r>
        <w:rPr>
          <w:color w:val="231F20"/>
        </w:rPr>
        <w:t>. E in questa prospettiva</w:t>
      </w:r>
      <w:r>
        <w:rPr>
          <w:color w:val="231F20"/>
          <w:spacing w:val="-34"/>
        </w:rPr>
        <w:t> </w:t>
      </w:r>
      <w:r>
        <w:rPr>
          <w:color w:val="231F20"/>
        </w:rPr>
        <w:t>la stessa</w:t>
      </w:r>
      <w:r>
        <w:rPr>
          <w:color w:val="231F20"/>
          <w:spacing w:val="-17"/>
        </w:rPr>
        <w:t> </w:t>
      </w:r>
      <w:r>
        <w:rPr>
          <w:color w:val="231F20"/>
        </w:rPr>
        <w:t>“ideologia</w:t>
      </w:r>
      <w:r>
        <w:rPr>
          <w:color w:val="231F20"/>
          <w:spacing w:val="-17"/>
        </w:rPr>
        <w:t> </w:t>
      </w:r>
      <w:r>
        <w:rPr>
          <w:color w:val="231F20"/>
        </w:rPr>
        <w:t>umanitaria”,</w:t>
      </w:r>
      <w:r>
        <w:rPr>
          <w:color w:val="231F20"/>
          <w:spacing w:val="-17"/>
        </w:rPr>
        <w:t> </w:t>
      </w:r>
      <w:r>
        <w:rPr>
          <w:color w:val="231F20"/>
        </w:rPr>
        <w:t>nella</w:t>
      </w:r>
      <w:r>
        <w:rPr>
          <w:color w:val="231F20"/>
          <w:spacing w:val="-17"/>
        </w:rPr>
        <w:t> </w:t>
      </w:r>
      <w:r>
        <w:rPr>
          <w:color w:val="231F20"/>
        </w:rPr>
        <w:t>misura</w:t>
      </w:r>
      <w:r>
        <w:rPr>
          <w:color w:val="231F20"/>
          <w:spacing w:val="-17"/>
        </w:rPr>
        <w:t> </w:t>
      </w:r>
      <w:r>
        <w:rPr>
          <w:color w:val="231F20"/>
        </w:rPr>
        <w:t>in</w:t>
      </w:r>
      <w:r>
        <w:rPr>
          <w:color w:val="231F20"/>
          <w:spacing w:val="-17"/>
        </w:rPr>
        <w:t> </w:t>
      </w:r>
      <w:r>
        <w:rPr>
          <w:color w:val="231F20"/>
        </w:rPr>
        <w:t>cui</w:t>
      </w:r>
      <w:r>
        <w:rPr>
          <w:color w:val="231F20"/>
          <w:spacing w:val="-17"/>
        </w:rPr>
        <w:t> </w:t>
      </w:r>
      <w:r>
        <w:rPr>
          <w:color w:val="231F20"/>
        </w:rPr>
        <w:t>si</w:t>
      </w:r>
      <w:r>
        <w:rPr>
          <w:color w:val="231F20"/>
          <w:spacing w:val="-17"/>
        </w:rPr>
        <w:t> </w:t>
      </w:r>
      <w:r>
        <w:rPr>
          <w:color w:val="231F20"/>
          <w:spacing w:val="-3"/>
        </w:rPr>
        <w:t>propone</w:t>
      </w:r>
      <w:r>
        <w:rPr>
          <w:color w:val="231F20"/>
          <w:spacing w:val="-17"/>
        </w:rPr>
        <w:t> </w:t>
      </w:r>
      <w:r>
        <w:rPr>
          <w:color w:val="231F20"/>
        </w:rPr>
        <w:t>come</w:t>
      </w:r>
      <w:r>
        <w:rPr>
          <w:color w:val="231F20"/>
          <w:spacing w:val="-17"/>
        </w:rPr>
        <w:t> </w:t>
      </w:r>
      <w:r>
        <w:rPr>
          <w:color w:val="231F20"/>
        </w:rPr>
        <w:t>il</w:t>
      </w:r>
      <w:r>
        <w:rPr>
          <w:color w:val="231F20"/>
          <w:spacing w:val="-17"/>
        </w:rPr>
        <w:t> </w:t>
      </w:r>
      <w:r>
        <w:rPr>
          <w:color w:val="231F20"/>
        </w:rPr>
        <w:t>principio di</w:t>
      </w:r>
      <w:r>
        <w:rPr>
          <w:color w:val="231F20"/>
          <w:spacing w:val="-9"/>
        </w:rPr>
        <w:t> </w:t>
      </w:r>
      <w:r>
        <w:rPr>
          <w:color w:val="231F20"/>
        </w:rPr>
        <w:t>legittimazione</w:t>
      </w:r>
      <w:r>
        <w:rPr>
          <w:color w:val="231F20"/>
          <w:spacing w:val="-9"/>
        </w:rPr>
        <w:t> </w:t>
      </w:r>
      <w:r>
        <w:rPr>
          <w:color w:val="231F20"/>
        </w:rPr>
        <w:t>di</w:t>
      </w:r>
      <w:r>
        <w:rPr>
          <w:color w:val="231F20"/>
          <w:spacing w:val="-9"/>
        </w:rPr>
        <w:t> </w:t>
      </w:r>
      <w:r>
        <w:rPr>
          <w:color w:val="231F20"/>
        </w:rPr>
        <w:t>una</w:t>
      </w:r>
      <w:r>
        <w:rPr>
          <w:color w:val="231F20"/>
          <w:spacing w:val="-9"/>
        </w:rPr>
        <w:t> </w:t>
      </w:r>
      <w:r>
        <w:rPr>
          <w:color w:val="231F20"/>
        </w:rPr>
        <w:t>forma</w:t>
      </w:r>
      <w:r>
        <w:rPr>
          <w:color w:val="231F20"/>
          <w:spacing w:val="-9"/>
        </w:rPr>
        <w:t> </w:t>
      </w:r>
      <w:r>
        <w:rPr>
          <w:color w:val="231F20"/>
        </w:rPr>
        <w:t>di</w:t>
      </w:r>
      <w:r>
        <w:rPr>
          <w:color w:val="231F20"/>
          <w:spacing w:val="-9"/>
        </w:rPr>
        <w:t> </w:t>
      </w:r>
      <w:r>
        <w:rPr>
          <w:color w:val="231F20"/>
        </w:rPr>
        <w:t>interventismo</w:t>
      </w:r>
      <w:r>
        <w:rPr>
          <w:color w:val="231F20"/>
          <w:spacing w:val="-9"/>
        </w:rPr>
        <w:t> </w:t>
      </w:r>
      <w:r>
        <w:rPr>
          <w:color w:val="231F20"/>
        </w:rPr>
        <w:t>militare</w:t>
      </w:r>
      <w:r>
        <w:rPr>
          <w:color w:val="231F20"/>
          <w:spacing w:val="-9"/>
        </w:rPr>
        <w:t> </w:t>
      </w:r>
      <w:r>
        <w:rPr>
          <w:color w:val="231F20"/>
        </w:rPr>
        <w:t>sconfinato</w:t>
      </w:r>
      <w:r>
        <w:rPr>
          <w:color w:val="231F20"/>
          <w:spacing w:val="-9"/>
        </w:rPr>
        <w:t> </w:t>
      </w:r>
      <w:r>
        <w:rPr>
          <w:color w:val="231F20"/>
        </w:rPr>
        <w:t>e</w:t>
      </w:r>
      <w:r>
        <w:rPr>
          <w:color w:val="231F20"/>
          <w:spacing w:val="-9"/>
        </w:rPr>
        <w:t> </w:t>
      </w:r>
      <w:r>
        <w:rPr>
          <w:color w:val="231F20"/>
        </w:rPr>
        <w:t>privo</w:t>
      </w:r>
      <w:r>
        <w:rPr>
          <w:color w:val="231F20"/>
          <w:spacing w:val="-9"/>
        </w:rPr>
        <w:t> </w:t>
      </w:r>
      <w:r>
        <w:rPr>
          <w:color w:val="231F20"/>
        </w:rPr>
        <w:t>di </w:t>
      </w:r>
      <w:r>
        <w:rPr>
          <w:color w:val="231F20"/>
          <w:spacing w:val="-3"/>
        </w:rPr>
        <w:t>mediazioni,</w:t>
      </w:r>
      <w:r>
        <w:rPr>
          <w:color w:val="231F20"/>
          <w:spacing w:val="-13"/>
        </w:rPr>
        <w:t> </w:t>
      </w:r>
      <w:r>
        <w:rPr>
          <w:color w:val="231F20"/>
          <w:spacing w:val="-3"/>
        </w:rPr>
        <w:t>finisce</w:t>
      </w:r>
      <w:r>
        <w:rPr>
          <w:color w:val="231F20"/>
          <w:spacing w:val="-13"/>
        </w:rPr>
        <w:t> </w:t>
      </w:r>
      <w:r>
        <w:rPr>
          <w:color w:val="231F20"/>
        </w:rPr>
        <w:t>per</w:t>
      </w:r>
      <w:r>
        <w:rPr>
          <w:color w:val="231F20"/>
          <w:spacing w:val="-13"/>
        </w:rPr>
        <w:t> </w:t>
      </w:r>
      <w:r>
        <w:rPr>
          <w:color w:val="231F20"/>
          <w:spacing w:val="-4"/>
        </w:rPr>
        <w:t>assumere</w:t>
      </w:r>
      <w:r>
        <w:rPr>
          <w:color w:val="231F20"/>
          <w:spacing w:val="-13"/>
        </w:rPr>
        <w:t> </w:t>
      </w:r>
      <w:r>
        <w:rPr>
          <w:color w:val="231F20"/>
        </w:rPr>
        <w:t>i</w:t>
      </w:r>
      <w:r>
        <w:rPr>
          <w:color w:val="231F20"/>
          <w:spacing w:val="-13"/>
        </w:rPr>
        <w:t> </w:t>
      </w:r>
      <w:r>
        <w:rPr>
          <w:color w:val="231F20"/>
          <w:spacing w:val="-3"/>
        </w:rPr>
        <w:t>tratti</w:t>
      </w:r>
      <w:r>
        <w:rPr>
          <w:color w:val="231F20"/>
          <w:spacing w:val="-13"/>
        </w:rPr>
        <w:t> </w:t>
      </w:r>
      <w:r>
        <w:rPr>
          <w:color w:val="231F20"/>
          <w:spacing w:val="-3"/>
        </w:rPr>
        <w:t>inquietanti</w:t>
      </w:r>
      <w:r>
        <w:rPr>
          <w:color w:val="231F20"/>
          <w:spacing w:val="-13"/>
        </w:rPr>
        <w:t> </w:t>
      </w:r>
      <w:r>
        <w:rPr>
          <w:color w:val="231F20"/>
        </w:rPr>
        <w:t>di</w:t>
      </w:r>
      <w:r>
        <w:rPr>
          <w:color w:val="231F20"/>
          <w:spacing w:val="-13"/>
        </w:rPr>
        <w:t> </w:t>
      </w:r>
      <w:r>
        <w:rPr>
          <w:color w:val="231F20"/>
        </w:rPr>
        <w:t>un</w:t>
      </w:r>
      <w:r>
        <w:rPr>
          <w:color w:val="231F20"/>
          <w:spacing w:val="-13"/>
        </w:rPr>
        <w:t> </w:t>
      </w:r>
      <w:r>
        <w:rPr>
          <w:color w:val="231F20"/>
          <w:spacing w:val="-3"/>
        </w:rPr>
        <w:t>intollerabile</w:t>
      </w:r>
      <w:r>
        <w:rPr>
          <w:color w:val="231F20"/>
          <w:spacing w:val="-13"/>
        </w:rPr>
        <w:t> </w:t>
      </w:r>
      <w:r>
        <w:rPr>
          <w:color w:val="231F20"/>
          <w:spacing w:val="-3"/>
        </w:rPr>
        <w:t>“inganno </w:t>
      </w:r>
      <w:r>
        <w:rPr>
          <w:color w:val="231F20"/>
        </w:rPr>
        <w:t>etico–giuridico”,</w:t>
      </w:r>
      <w:r>
        <w:rPr>
          <w:color w:val="231F20"/>
          <w:spacing w:val="-15"/>
        </w:rPr>
        <w:t> </w:t>
      </w:r>
      <w:r>
        <w:rPr>
          <w:color w:val="231F20"/>
        </w:rPr>
        <w:t>una</w:t>
      </w:r>
      <w:r>
        <w:rPr>
          <w:color w:val="231F20"/>
          <w:spacing w:val="-15"/>
        </w:rPr>
        <w:t> </w:t>
      </w:r>
      <w:r>
        <w:rPr>
          <w:color w:val="231F20"/>
        </w:rPr>
        <w:t>vera</w:t>
      </w:r>
      <w:r>
        <w:rPr>
          <w:color w:val="231F20"/>
          <w:spacing w:val="-15"/>
        </w:rPr>
        <w:t> </w:t>
      </w:r>
      <w:r>
        <w:rPr>
          <w:color w:val="231F20"/>
        </w:rPr>
        <w:t>e</w:t>
      </w:r>
      <w:r>
        <w:rPr>
          <w:color w:val="231F20"/>
          <w:spacing w:val="-15"/>
        </w:rPr>
        <w:t> </w:t>
      </w:r>
      <w:r>
        <w:rPr>
          <w:color w:val="231F20"/>
          <w:spacing w:val="-3"/>
        </w:rPr>
        <w:t>propria</w:t>
      </w:r>
      <w:r>
        <w:rPr>
          <w:color w:val="231F20"/>
          <w:spacing w:val="-15"/>
        </w:rPr>
        <w:t> </w:t>
      </w:r>
      <w:r>
        <w:rPr>
          <w:color w:val="231F20"/>
        </w:rPr>
        <w:t>“impostura”</w:t>
      </w:r>
      <w:r>
        <w:rPr>
          <w:color w:val="231F20"/>
          <w:position w:val="7"/>
          <w:sz w:val="12"/>
        </w:rPr>
        <w:t>40</w:t>
      </w:r>
      <w:r>
        <w:rPr>
          <w:color w:val="231F20"/>
        </w:rPr>
        <w:t>,</w:t>
      </w:r>
      <w:r>
        <w:rPr>
          <w:color w:val="231F20"/>
          <w:spacing w:val="-15"/>
        </w:rPr>
        <w:t> </w:t>
      </w:r>
      <w:r>
        <w:rPr>
          <w:color w:val="231F20"/>
        </w:rPr>
        <w:t>peculiarmente</w:t>
      </w:r>
      <w:r>
        <w:rPr>
          <w:color w:val="231F20"/>
          <w:spacing w:val="-15"/>
        </w:rPr>
        <w:t> </w:t>
      </w:r>
      <w:r>
        <w:rPr>
          <w:color w:val="231F20"/>
        </w:rPr>
        <w:t>funzionale alle logiche di una </w:t>
      </w:r>
      <w:r>
        <w:rPr>
          <w:rFonts w:ascii="Arial" w:hAnsi="Arial"/>
          <w:i/>
          <w:color w:val="231F20"/>
        </w:rPr>
        <w:t>politica assoluta </w:t>
      </w:r>
      <w:r>
        <w:rPr>
          <w:color w:val="231F20"/>
        </w:rPr>
        <w:t>che si ritiene esentata dall’obbligo del confronto argomentativo e della ricerca del compromesso per tutto ciò che attiene all’esercizio del</w:t>
      </w:r>
      <w:r>
        <w:rPr>
          <w:color w:val="231F20"/>
          <w:spacing w:val="37"/>
        </w:rPr>
        <w:t> </w:t>
      </w:r>
      <w:r>
        <w:rPr>
          <w:color w:val="231F20"/>
        </w:rPr>
        <w:t>potere</w:t>
      </w:r>
      <w:r>
        <w:rPr>
          <w:color w:val="231F20"/>
          <w:position w:val="7"/>
          <w:sz w:val="12"/>
        </w:rPr>
        <w:t>41</w:t>
      </w:r>
      <w:r>
        <w:rPr>
          <w:color w:val="231F20"/>
        </w:rPr>
        <w:t>.</w:t>
      </w:r>
    </w:p>
    <w:p>
      <w:pPr>
        <w:pStyle w:val="BodyText"/>
        <w:spacing w:line="247" w:lineRule="auto"/>
        <w:ind w:left="103" w:right="109" w:firstLine="566"/>
        <w:jc w:val="both"/>
      </w:pPr>
      <w:r>
        <w:rPr>
          <w:color w:val="231F20"/>
        </w:rPr>
        <w:t>È </w:t>
      </w:r>
      <w:r>
        <w:rPr>
          <w:color w:val="231F20"/>
          <w:spacing w:val="2"/>
        </w:rPr>
        <w:t>appena </w:t>
      </w:r>
      <w:r>
        <w:rPr>
          <w:color w:val="231F20"/>
        </w:rPr>
        <w:t>il </w:t>
      </w:r>
      <w:r>
        <w:rPr>
          <w:color w:val="231F20"/>
          <w:spacing w:val="2"/>
        </w:rPr>
        <w:t>caso </w:t>
      </w:r>
      <w:r>
        <w:rPr>
          <w:color w:val="231F20"/>
        </w:rPr>
        <w:t>di rimarcare il </w:t>
      </w:r>
      <w:r>
        <w:rPr>
          <w:color w:val="231F20"/>
          <w:spacing w:val="2"/>
        </w:rPr>
        <w:t>ruolo giocato </w:t>
      </w:r>
      <w:r>
        <w:rPr>
          <w:color w:val="231F20"/>
        </w:rPr>
        <w:t>in </w:t>
      </w:r>
      <w:r>
        <w:rPr>
          <w:color w:val="231F20"/>
          <w:spacing w:val="2"/>
        </w:rPr>
        <w:t>tale direttrice </w:t>
      </w:r>
      <w:r>
        <w:rPr>
          <w:color w:val="231F20"/>
        </w:rPr>
        <w:t>di </w:t>
      </w:r>
      <w:r>
        <w:rPr>
          <w:color w:val="231F20"/>
          <w:spacing w:val="2"/>
        </w:rPr>
        <w:t>discorso dalle tesi </w:t>
      </w:r>
      <w:r>
        <w:rPr>
          <w:color w:val="231F20"/>
        </w:rPr>
        <w:t>di </w:t>
      </w:r>
      <w:r>
        <w:rPr>
          <w:color w:val="231F20"/>
          <w:spacing w:val="2"/>
        </w:rPr>
        <w:t>Carl Schmitt, </w:t>
      </w:r>
      <w:r>
        <w:rPr>
          <w:color w:val="231F20"/>
        </w:rPr>
        <w:t>il più celebre e </w:t>
      </w:r>
      <w:r>
        <w:rPr>
          <w:color w:val="231F20"/>
          <w:spacing w:val="2"/>
        </w:rPr>
        <w:t>discusso </w:t>
      </w:r>
      <w:r>
        <w:rPr>
          <w:color w:val="231F20"/>
          <w:spacing w:val="3"/>
        </w:rPr>
        <w:t>esponente   </w:t>
      </w:r>
      <w:r>
        <w:rPr>
          <w:color w:val="231F20"/>
        </w:rPr>
        <w:t>del realismo politico novecentesco, protagonista negli ultimi anni di un improvviso e per molti versi inaspettato “ritorno” anche nel campo degli studi internazionalistici</w:t>
      </w:r>
      <w:r>
        <w:rPr>
          <w:color w:val="231F20"/>
          <w:position w:val="7"/>
          <w:sz w:val="12"/>
        </w:rPr>
        <w:t>42</w:t>
      </w:r>
      <w:r>
        <w:rPr>
          <w:color w:val="231F20"/>
        </w:rPr>
        <w:t>. Come è stato sottolineato, è proprio nel</w:t>
      </w:r>
      <w:r>
        <w:rPr>
          <w:color w:val="231F20"/>
          <w:spacing w:val="28"/>
        </w:rPr>
        <w:t> </w:t>
      </w:r>
      <w:r>
        <w:rPr>
          <w:color w:val="231F20"/>
        </w:rPr>
        <w:t>pensiero</w:t>
      </w:r>
    </w:p>
    <w:p>
      <w:pPr>
        <w:pStyle w:val="BodyText"/>
        <w:spacing w:before="11"/>
        <w:rPr>
          <w:sz w:val="15"/>
        </w:rPr>
      </w:pPr>
      <w:r>
        <w:rPr/>
        <w:pict>
          <v:line style="position:absolute;mso-position-horizontal-relative:page;mso-position-vertical-relative:paragraph;z-index:14584;mso-wrap-distance-left:0;mso-wrap-distance-right:0" from="65.196899pt,11.706985pt" to="178.582899pt,11.706985pt" stroked="true" strokeweight=".3pt" strokecolor="#231f20">
            <w10:wrap type="topAndBottom"/>
          </v:line>
        </w:pict>
      </w:r>
    </w:p>
    <w:p>
      <w:pPr>
        <w:spacing w:line="204" w:lineRule="exact" w:before="9"/>
        <w:ind w:left="103" w:right="115" w:firstLine="0"/>
        <w:jc w:val="both"/>
        <w:rPr>
          <w:rFonts w:ascii="Calibri" w:hAnsi="Calibri"/>
          <w:sz w:val="17"/>
        </w:rPr>
      </w:pPr>
      <w:r>
        <w:rPr>
          <w:rFonts w:ascii="Calibri" w:hAnsi="Calibri"/>
          <w:color w:val="231F20"/>
          <w:sz w:val="17"/>
        </w:rPr>
        <w:t>Idee des Ewigen Friedens – aus dem historischen Abstand von 200 Jahre”, en J. Habermas, </w:t>
      </w:r>
      <w:r>
        <w:rPr>
          <w:rFonts w:ascii="Calibri" w:hAnsi="Calibri"/>
          <w:i/>
          <w:color w:val="231F20"/>
          <w:sz w:val="17"/>
        </w:rPr>
        <w:t>Die </w:t>
      </w:r>
      <w:r>
        <w:rPr>
          <w:rFonts w:ascii="Calibri" w:hAnsi="Calibri"/>
          <w:i/>
          <w:color w:val="231F20"/>
          <w:sz w:val="17"/>
        </w:rPr>
        <w:t>Einbeziehung des Anderen</w:t>
      </w:r>
      <w:r>
        <w:rPr>
          <w:rFonts w:ascii="Calibri" w:hAnsi="Calibri"/>
          <w:color w:val="231F20"/>
          <w:sz w:val="17"/>
        </w:rPr>
        <w:t>, Frankfurt a. Main, Suhrkamp, 1996 (trad. it. </w:t>
      </w:r>
      <w:r>
        <w:rPr>
          <w:rFonts w:ascii="Calibri" w:hAnsi="Calibri"/>
          <w:i/>
          <w:color w:val="231F20"/>
          <w:sz w:val="17"/>
        </w:rPr>
        <w:t>L’idea kantiana della pace </w:t>
      </w:r>
      <w:r>
        <w:rPr>
          <w:rFonts w:ascii="Calibri" w:hAnsi="Calibri"/>
          <w:i/>
          <w:color w:val="231F20"/>
          <w:sz w:val="17"/>
        </w:rPr>
        <w:t>perpetua, due secoli dopo</w:t>
      </w:r>
      <w:r>
        <w:rPr>
          <w:rFonts w:ascii="Calibri" w:hAnsi="Calibri"/>
          <w:color w:val="231F20"/>
          <w:sz w:val="17"/>
        </w:rPr>
        <w:t>, in Idem, </w:t>
      </w:r>
      <w:r>
        <w:rPr>
          <w:rFonts w:ascii="Calibri" w:hAnsi="Calibri"/>
          <w:i/>
          <w:color w:val="231F20"/>
          <w:sz w:val="17"/>
        </w:rPr>
        <w:t>L’inclusione dell’altro. Studi di teoria politica</w:t>
      </w:r>
      <w:r>
        <w:rPr>
          <w:rFonts w:ascii="Calibri" w:hAnsi="Calibri"/>
          <w:color w:val="231F20"/>
          <w:sz w:val="17"/>
        </w:rPr>
        <w:t>, Milano, Feltrinelli, </w:t>
      </w:r>
      <w:r>
        <w:rPr>
          <w:rFonts w:ascii="Calibri" w:hAnsi="Calibri"/>
          <w:color w:val="231F20"/>
          <w:w w:val="95"/>
          <w:sz w:val="17"/>
        </w:rPr>
        <w:t>Milano, 1998, pp. 177–178).</w:t>
      </w:r>
    </w:p>
    <w:p>
      <w:pPr>
        <w:spacing w:line="204" w:lineRule="exact" w:before="0"/>
        <w:ind w:left="103" w:right="115" w:firstLine="0"/>
        <w:jc w:val="both"/>
        <w:rPr>
          <w:rFonts w:ascii="Calibri"/>
          <w:sz w:val="17"/>
        </w:rPr>
      </w:pPr>
      <w:r>
        <w:rPr>
          <w:rFonts w:ascii="Calibri"/>
          <w:color w:val="231F20"/>
          <w:position w:val="6"/>
          <w:sz w:val="10"/>
        </w:rPr>
        <w:t>37 </w:t>
      </w:r>
      <w:r>
        <w:rPr>
          <w:rFonts w:ascii="Calibri"/>
          <w:color w:val="231F20"/>
          <w:sz w:val="17"/>
        </w:rPr>
        <w:t>N. Chomsky, </w:t>
      </w:r>
      <w:r>
        <w:rPr>
          <w:rFonts w:ascii="Calibri"/>
          <w:i/>
          <w:color w:val="231F20"/>
          <w:sz w:val="17"/>
        </w:rPr>
        <w:t>The New Military Humanism: Lessons from Kosovo</w:t>
      </w:r>
      <w:r>
        <w:rPr>
          <w:rFonts w:ascii="Calibri"/>
          <w:color w:val="231F20"/>
          <w:sz w:val="17"/>
        </w:rPr>
        <w:t>, London, Pluto, 1999 (trad. it. </w:t>
      </w:r>
      <w:r>
        <w:rPr>
          <w:rFonts w:ascii="Calibri"/>
          <w:i/>
          <w:color w:val="231F20"/>
          <w:sz w:val="17"/>
        </w:rPr>
        <w:t>Il </w:t>
      </w:r>
      <w:r>
        <w:rPr>
          <w:rFonts w:ascii="Calibri"/>
          <w:i/>
          <w:color w:val="231F20"/>
          <w:sz w:val="17"/>
        </w:rPr>
        <w:t>nuovo umanesimo militare. Lezioni dal Kosovo</w:t>
      </w:r>
      <w:r>
        <w:rPr>
          <w:rFonts w:ascii="Calibri"/>
          <w:color w:val="231F20"/>
          <w:sz w:val="17"/>
        </w:rPr>
        <w:t>, Trieste, Asterios, 2000).</w:t>
      </w:r>
    </w:p>
    <w:p>
      <w:pPr>
        <w:spacing w:line="204" w:lineRule="exact" w:before="0"/>
        <w:ind w:left="103" w:right="114" w:firstLine="0"/>
        <w:jc w:val="both"/>
        <w:rPr>
          <w:rFonts w:ascii="Calibri" w:hAnsi="Calibri"/>
          <w:sz w:val="17"/>
        </w:rPr>
      </w:pPr>
      <w:r>
        <w:rPr>
          <w:rFonts w:ascii="Calibri" w:hAnsi="Calibri"/>
          <w:color w:val="231F20"/>
          <w:position w:val="6"/>
          <w:sz w:val="10"/>
        </w:rPr>
        <w:t>38 </w:t>
      </w:r>
      <w:r>
        <w:rPr>
          <w:rFonts w:ascii="Calibri" w:hAnsi="Calibri"/>
          <w:color w:val="231F20"/>
          <w:sz w:val="17"/>
        </w:rPr>
        <w:t>J. M. Welsch, “Taking Consequences Seriously: Objections to Humanitarian Intervention”, J. M. Welsch (Ed.), </w:t>
      </w:r>
      <w:r>
        <w:rPr>
          <w:rFonts w:ascii="Calibri" w:hAnsi="Calibri"/>
          <w:i/>
          <w:color w:val="231F20"/>
          <w:sz w:val="17"/>
        </w:rPr>
        <w:t>Humanitarian Intervention and International Relations</w:t>
      </w:r>
      <w:r>
        <w:rPr>
          <w:rFonts w:ascii="Calibri" w:hAnsi="Calibri"/>
          <w:color w:val="231F20"/>
          <w:sz w:val="17"/>
        </w:rPr>
        <w:t>, Oxford, UP. 2004, pp. 64–65. Per una radicale versione post-coloniale dell’approccio pluralista si veda M. Ayoob, “Inequality and Theorizing in International Relations: The Case for Subaltern Realism”, </w:t>
      </w:r>
      <w:r>
        <w:rPr>
          <w:rFonts w:ascii="Calibri" w:hAnsi="Calibri"/>
          <w:i/>
          <w:color w:val="231F20"/>
          <w:sz w:val="17"/>
        </w:rPr>
        <w:t>International Studies Review</w:t>
      </w:r>
      <w:r>
        <w:rPr>
          <w:rFonts w:ascii="Calibri" w:hAnsi="Calibri"/>
          <w:color w:val="231F20"/>
          <w:sz w:val="17"/>
        </w:rPr>
        <w:t>, vol. 4, 3, 2002, pp. 27–48.</w:t>
      </w:r>
    </w:p>
    <w:p>
      <w:pPr>
        <w:spacing w:line="204" w:lineRule="exact" w:before="0"/>
        <w:ind w:left="103" w:right="114" w:firstLine="0"/>
        <w:jc w:val="both"/>
        <w:rPr>
          <w:rFonts w:ascii="Calibri" w:hAnsi="Calibri"/>
          <w:sz w:val="17"/>
        </w:rPr>
      </w:pPr>
      <w:r>
        <w:rPr>
          <w:rFonts w:ascii="Calibri" w:hAnsi="Calibri"/>
          <w:color w:val="231F20"/>
          <w:w w:val="105"/>
          <w:position w:val="6"/>
          <w:sz w:val="10"/>
        </w:rPr>
        <w:t>39</w:t>
      </w:r>
      <w:r>
        <w:rPr>
          <w:rFonts w:ascii="Calibri" w:hAnsi="Calibri"/>
          <w:color w:val="231F20"/>
          <w:spacing w:val="-4"/>
          <w:w w:val="105"/>
          <w:position w:val="6"/>
          <w:sz w:val="10"/>
        </w:rPr>
        <w:t> </w:t>
      </w:r>
      <w:r>
        <w:rPr>
          <w:rFonts w:ascii="Calibri" w:hAnsi="Calibri"/>
          <w:color w:val="231F20"/>
          <w:w w:val="105"/>
          <w:sz w:val="17"/>
        </w:rPr>
        <w:t>Zolo,</w:t>
      </w:r>
      <w:r>
        <w:rPr>
          <w:rFonts w:ascii="Calibri" w:hAnsi="Calibri"/>
          <w:color w:val="231F20"/>
          <w:spacing w:val="-21"/>
          <w:w w:val="105"/>
          <w:sz w:val="17"/>
        </w:rPr>
        <w:t> </w:t>
      </w:r>
      <w:r>
        <w:rPr>
          <w:rFonts w:ascii="Calibri" w:hAnsi="Calibri"/>
          <w:i/>
          <w:color w:val="231F20"/>
          <w:w w:val="105"/>
          <w:sz w:val="17"/>
        </w:rPr>
        <w:t>La</w:t>
      </w:r>
      <w:r>
        <w:rPr>
          <w:rFonts w:ascii="Calibri" w:hAnsi="Calibri"/>
          <w:i/>
          <w:color w:val="231F20"/>
          <w:spacing w:val="-22"/>
          <w:w w:val="105"/>
          <w:sz w:val="17"/>
        </w:rPr>
        <w:t> </w:t>
      </w:r>
      <w:r>
        <w:rPr>
          <w:rFonts w:ascii="Calibri" w:hAnsi="Calibri"/>
          <w:i/>
          <w:color w:val="231F20"/>
          <w:w w:val="105"/>
          <w:sz w:val="17"/>
        </w:rPr>
        <w:t>giustizia</w:t>
      </w:r>
      <w:r>
        <w:rPr>
          <w:rFonts w:ascii="Calibri" w:hAnsi="Calibri"/>
          <w:i/>
          <w:color w:val="231F20"/>
          <w:spacing w:val="-22"/>
          <w:w w:val="105"/>
          <w:sz w:val="17"/>
        </w:rPr>
        <w:t> </w:t>
      </w:r>
      <w:r>
        <w:rPr>
          <w:rFonts w:ascii="Calibri" w:hAnsi="Calibri"/>
          <w:i/>
          <w:color w:val="231F20"/>
          <w:w w:val="105"/>
          <w:sz w:val="17"/>
        </w:rPr>
        <w:t>dei</w:t>
      </w:r>
      <w:r>
        <w:rPr>
          <w:rFonts w:ascii="Calibri" w:hAnsi="Calibri"/>
          <w:i/>
          <w:color w:val="231F20"/>
          <w:spacing w:val="-23"/>
          <w:w w:val="105"/>
          <w:sz w:val="17"/>
        </w:rPr>
        <w:t> </w:t>
      </w:r>
      <w:r>
        <w:rPr>
          <w:rFonts w:ascii="Calibri" w:hAnsi="Calibri"/>
          <w:i/>
          <w:color w:val="231F20"/>
          <w:w w:val="105"/>
          <w:sz w:val="17"/>
        </w:rPr>
        <w:t>vincitori</w:t>
      </w:r>
      <w:r>
        <w:rPr>
          <w:rFonts w:ascii="Calibri" w:hAnsi="Calibri"/>
          <w:color w:val="231F20"/>
          <w:w w:val="105"/>
          <w:sz w:val="17"/>
        </w:rPr>
        <w:t>,</w:t>
      </w:r>
      <w:r>
        <w:rPr>
          <w:rFonts w:ascii="Calibri" w:hAnsi="Calibri"/>
          <w:color w:val="231F20"/>
          <w:spacing w:val="-21"/>
          <w:w w:val="105"/>
          <w:sz w:val="17"/>
        </w:rPr>
        <w:t> </w:t>
      </w:r>
      <w:r>
        <w:rPr>
          <w:rFonts w:ascii="Calibri" w:hAnsi="Calibri"/>
          <w:color w:val="231F20"/>
          <w:w w:val="105"/>
          <w:sz w:val="17"/>
        </w:rPr>
        <w:t>p.</w:t>
      </w:r>
      <w:r>
        <w:rPr>
          <w:rFonts w:ascii="Calibri" w:hAnsi="Calibri"/>
          <w:color w:val="231F20"/>
          <w:spacing w:val="-21"/>
          <w:w w:val="105"/>
          <w:sz w:val="17"/>
        </w:rPr>
        <w:t> </w:t>
      </w:r>
      <w:r>
        <w:rPr>
          <w:rFonts w:ascii="Calibri" w:hAnsi="Calibri"/>
          <w:color w:val="231F20"/>
          <w:w w:val="105"/>
          <w:sz w:val="17"/>
        </w:rPr>
        <w:t>66.</w:t>
      </w:r>
      <w:r>
        <w:rPr>
          <w:rFonts w:ascii="Calibri" w:hAnsi="Calibri"/>
          <w:color w:val="231F20"/>
          <w:spacing w:val="-21"/>
          <w:w w:val="105"/>
          <w:sz w:val="17"/>
        </w:rPr>
        <w:t> </w:t>
      </w:r>
      <w:r>
        <w:rPr>
          <w:rFonts w:ascii="Calibri" w:hAnsi="Calibri"/>
          <w:color w:val="231F20"/>
          <w:w w:val="105"/>
          <w:sz w:val="17"/>
        </w:rPr>
        <w:t>Come</w:t>
      </w:r>
      <w:r>
        <w:rPr>
          <w:rFonts w:ascii="Calibri" w:hAnsi="Calibri"/>
          <w:color w:val="231F20"/>
          <w:spacing w:val="-21"/>
          <w:w w:val="105"/>
          <w:sz w:val="17"/>
        </w:rPr>
        <w:t> </w:t>
      </w:r>
      <w:r>
        <w:rPr>
          <w:rFonts w:ascii="Calibri" w:hAnsi="Calibri"/>
          <w:color w:val="231F20"/>
          <w:w w:val="105"/>
          <w:sz w:val="17"/>
        </w:rPr>
        <w:t>è</w:t>
      </w:r>
      <w:r>
        <w:rPr>
          <w:rFonts w:ascii="Calibri" w:hAnsi="Calibri"/>
          <w:color w:val="231F20"/>
          <w:spacing w:val="-21"/>
          <w:w w:val="105"/>
          <w:sz w:val="17"/>
        </w:rPr>
        <w:t> </w:t>
      </w:r>
      <w:r>
        <w:rPr>
          <w:rFonts w:ascii="Calibri" w:hAnsi="Calibri"/>
          <w:color w:val="231F20"/>
          <w:w w:val="105"/>
          <w:sz w:val="17"/>
        </w:rPr>
        <w:t>evidente,</w:t>
      </w:r>
      <w:r>
        <w:rPr>
          <w:rFonts w:ascii="Calibri" w:hAnsi="Calibri"/>
          <w:color w:val="231F20"/>
          <w:spacing w:val="-21"/>
          <w:w w:val="105"/>
          <w:sz w:val="17"/>
        </w:rPr>
        <w:t> </w:t>
      </w:r>
      <w:r>
        <w:rPr>
          <w:rFonts w:ascii="Calibri" w:hAnsi="Calibri"/>
          <w:color w:val="231F20"/>
          <w:w w:val="105"/>
          <w:sz w:val="17"/>
        </w:rPr>
        <w:t>a</w:t>
      </w:r>
      <w:r>
        <w:rPr>
          <w:rFonts w:ascii="Calibri" w:hAnsi="Calibri"/>
          <w:color w:val="231F20"/>
          <w:spacing w:val="-21"/>
          <w:w w:val="105"/>
          <w:sz w:val="17"/>
        </w:rPr>
        <w:t> </w:t>
      </w:r>
      <w:r>
        <w:rPr>
          <w:rFonts w:ascii="Calibri" w:hAnsi="Calibri"/>
          <w:color w:val="231F20"/>
          <w:w w:val="105"/>
          <w:sz w:val="17"/>
        </w:rPr>
        <w:t>questo</w:t>
      </w:r>
      <w:r>
        <w:rPr>
          <w:rFonts w:ascii="Calibri" w:hAnsi="Calibri"/>
          <w:color w:val="231F20"/>
          <w:spacing w:val="-21"/>
          <w:w w:val="105"/>
          <w:sz w:val="17"/>
        </w:rPr>
        <w:t> </w:t>
      </w:r>
      <w:r>
        <w:rPr>
          <w:rFonts w:ascii="Calibri" w:hAnsi="Calibri"/>
          <w:color w:val="231F20"/>
          <w:w w:val="105"/>
          <w:sz w:val="17"/>
        </w:rPr>
        <w:t>livello</w:t>
      </w:r>
      <w:r>
        <w:rPr>
          <w:rFonts w:ascii="Calibri" w:hAnsi="Calibri"/>
          <w:color w:val="231F20"/>
          <w:spacing w:val="-21"/>
          <w:w w:val="105"/>
          <w:sz w:val="17"/>
        </w:rPr>
        <w:t> </w:t>
      </w:r>
      <w:r>
        <w:rPr>
          <w:rFonts w:ascii="Calibri" w:hAnsi="Calibri"/>
          <w:color w:val="231F20"/>
          <w:w w:val="105"/>
          <w:sz w:val="17"/>
        </w:rPr>
        <w:t>i</w:t>
      </w:r>
      <w:r>
        <w:rPr>
          <w:rFonts w:ascii="Calibri" w:hAnsi="Calibri"/>
          <w:color w:val="231F20"/>
          <w:spacing w:val="-21"/>
          <w:w w:val="105"/>
          <w:sz w:val="17"/>
        </w:rPr>
        <w:t> </w:t>
      </w:r>
      <w:r>
        <w:rPr>
          <w:rFonts w:ascii="Calibri" w:hAnsi="Calibri"/>
          <w:color w:val="231F20"/>
          <w:w w:val="105"/>
          <w:sz w:val="17"/>
        </w:rPr>
        <w:t>dilemmi</w:t>
      </w:r>
      <w:r>
        <w:rPr>
          <w:rFonts w:ascii="Calibri" w:hAnsi="Calibri"/>
          <w:color w:val="231F20"/>
          <w:spacing w:val="-21"/>
          <w:w w:val="105"/>
          <w:sz w:val="17"/>
        </w:rPr>
        <w:t> </w:t>
      </w:r>
      <w:r>
        <w:rPr>
          <w:rFonts w:ascii="Calibri" w:hAnsi="Calibri"/>
          <w:color w:val="231F20"/>
          <w:w w:val="105"/>
          <w:sz w:val="17"/>
        </w:rPr>
        <w:t>dell’interventismo umanitario</w:t>
      </w:r>
      <w:r>
        <w:rPr>
          <w:rFonts w:ascii="Calibri" w:hAnsi="Calibri"/>
          <w:color w:val="231F20"/>
          <w:spacing w:val="-20"/>
          <w:w w:val="105"/>
          <w:sz w:val="17"/>
        </w:rPr>
        <w:t> </w:t>
      </w:r>
      <w:r>
        <w:rPr>
          <w:rFonts w:ascii="Calibri" w:hAnsi="Calibri"/>
          <w:color w:val="231F20"/>
          <w:w w:val="105"/>
          <w:sz w:val="17"/>
        </w:rPr>
        <w:t>si</w:t>
      </w:r>
      <w:r>
        <w:rPr>
          <w:rFonts w:ascii="Calibri" w:hAnsi="Calibri"/>
          <w:color w:val="231F20"/>
          <w:spacing w:val="-20"/>
          <w:w w:val="105"/>
          <w:sz w:val="17"/>
        </w:rPr>
        <w:t> </w:t>
      </w:r>
      <w:r>
        <w:rPr>
          <w:rFonts w:ascii="Calibri" w:hAnsi="Calibri"/>
          <w:color w:val="231F20"/>
          <w:w w:val="105"/>
          <w:sz w:val="17"/>
        </w:rPr>
        <w:t>intrecciano</w:t>
      </w:r>
      <w:r>
        <w:rPr>
          <w:rFonts w:ascii="Calibri" w:hAnsi="Calibri"/>
          <w:color w:val="231F20"/>
          <w:spacing w:val="-20"/>
          <w:w w:val="105"/>
          <w:sz w:val="17"/>
        </w:rPr>
        <w:t> </w:t>
      </w:r>
      <w:r>
        <w:rPr>
          <w:rFonts w:ascii="Calibri" w:hAnsi="Calibri"/>
          <w:color w:val="231F20"/>
          <w:w w:val="105"/>
          <w:sz w:val="17"/>
        </w:rPr>
        <w:t>strettamente</w:t>
      </w:r>
      <w:r>
        <w:rPr>
          <w:rFonts w:ascii="Calibri" w:hAnsi="Calibri"/>
          <w:color w:val="231F20"/>
          <w:spacing w:val="-20"/>
          <w:w w:val="105"/>
          <w:sz w:val="17"/>
        </w:rPr>
        <w:t> </w:t>
      </w:r>
      <w:r>
        <w:rPr>
          <w:rFonts w:ascii="Calibri" w:hAnsi="Calibri"/>
          <w:color w:val="231F20"/>
          <w:w w:val="105"/>
          <w:sz w:val="17"/>
        </w:rPr>
        <w:t>con</w:t>
      </w:r>
      <w:r>
        <w:rPr>
          <w:rFonts w:ascii="Calibri" w:hAnsi="Calibri"/>
          <w:color w:val="231F20"/>
          <w:spacing w:val="-20"/>
          <w:w w:val="105"/>
          <w:sz w:val="17"/>
        </w:rPr>
        <w:t> </w:t>
      </w:r>
      <w:r>
        <w:rPr>
          <w:rFonts w:ascii="Calibri" w:hAnsi="Calibri"/>
          <w:color w:val="231F20"/>
          <w:w w:val="105"/>
          <w:sz w:val="17"/>
        </w:rPr>
        <w:t>la</w:t>
      </w:r>
      <w:r>
        <w:rPr>
          <w:rFonts w:ascii="Calibri" w:hAnsi="Calibri"/>
          <w:color w:val="231F20"/>
          <w:spacing w:val="-20"/>
          <w:w w:val="105"/>
          <w:sz w:val="17"/>
        </w:rPr>
        <w:t> </w:t>
      </w:r>
      <w:r>
        <w:rPr>
          <w:rFonts w:ascii="Calibri" w:hAnsi="Calibri"/>
          <w:color w:val="231F20"/>
          <w:w w:val="105"/>
          <w:sz w:val="17"/>
        </w:rPr>
        <w:t>più</w:t>
      </w:r>
      <w:r>
        <w:rPr>
          <w:rFonts w:ascii="Calibri" w:hAnsi="Calibri"/>
          <w:color w:val="231F20"/>
          <w:spacing w:val="-20"/>
          <w:w w:val="105"/>
          <w:sz w:val="17"/>
        </w:rPr>
        <w:t> </w:t>
      </w:r>
      <w:r>
        <w:rPr>
          <w:rFonts w:ascii="Calibri" w:hAnsi="Calibri"/>
          <w:color w:val="231F20"/>
          <w:w w:val="105"/>
          <w:sz w:val="17"/>
        </w:rPr>
        <w:t>generale</w:t>
      </w:r>
      <w:r>
        <w:rPr>
          <w:rFonts w:ascii="Calibri" w:hAnsi="Calibri"/>
          <w:color w:val="231F20"/>
          <w:spacing w:val="-20"/>
          <w:w w:val="105"/>
          <w:sz w:val="17"/>
        </w:rPr>
        <w:t> </w:t>
      </w:r>
      <w:r>
        <w:rPr>
          <w:rFonts w:ascii="Calibri" w:hAnsi="Calibri"/>
          <w:color w:val="231F20"/>
          <w:w w:val="105"/>
          <w:sz w:val="17"/>
        </w:rPr>
        <w:t>disputa</w:t>
      </w:r>
      <w:r>
        <w:rPr>
          <w:rFonts w:ascii="Calibri" w:hAnsi="Calibri"/>
          <w:color w:val="231F20"/>
          <w:spacing w:val="-20"/>
          <w:w w:val="105"/>
          <w:sz w:val="17"/>
        </w:rPr>
        <w:t> </w:t>
      </w:r>
      <w:r>
        <w:rPr>
          <w:rFonts w:ascii="Calibri" w:hAnsi="Calibri"/>
          <w:color w:val="231F20"/>
          <w:w w:val="105"/>
          <w:sz w:val="17"/>
        </w:rPr>
        <w:t>“filosofica”</w:t>
      </w:r>
      <w:r>
        <w:rPr>
          <w:rFonts w:ascii="Calibri" w:hAnsi="Calibri"/>
          <w:color w:val="231F20"/>
          <w:spacing w:val="-20"/>
          <w:w w:val="105"/>
          <w:sz w:val="17"/>
        </w:rPr>
        <w:t> </w:t>
      </w:r>
      <w:r>
        <w:rPr>
          <w:rFonts w:ascii="Calibri" w:hAnsi="Calibri"/>
          <w:color w:val="231F20"/>
          <w:w w:val="105"/>
          <w:sz w:val="17"/>
        </w:rPr>
        <w:t>sulla</w:t>
      </w:r>
      <w:r>
        <w:rPr>
          <w:rFonts w:ascii="Calibri" w:hAnsi="Calibri"/>
          <w:color w:val="231F20"/>
          <w:spacing w:val="-20"/>
          <w:w w:val="105"/>
          <w:sz w:val="17"/>
        </w:rPr>
        <w:t> </w:t>
      </w:r>
      <w:r>
        <w:rPr>
          <w:rFonts w:ascii="Calibri" w:hAnsi="Calibri"/>
          <w:color w:val="231F20"/>
          <w:w w:val="105"/>
          <w:sz w:val="17"/>
        </w:rPr>
        <w:t>universalità</w:t>
      </w:r>
      <w:r>
        <w:rPr>
          <w:rFonts w:ascii="Calibri" w:hAnsi="Calibri"/>
          <w:color w:val="231F20"/>
          <w:spacing w:val="-20"/>
          <w:w w:val="105"/>
          <w:sz w:val="17"/>
        </w:rPr>
        <w:t> </w:t>
      </w:r>
      <w:r>
        <w:rPr>
          <w:rFonts w:ascii="Calibri" w:hAnsi="Calibri"/>
          <w:color w:val="231F20"/>
          <w:w w:val="105"/>
          <w:sz w:val="17"/>
        </w:rPr>
        <w:t>dei diritti</w:t>
      </w:r>
      <w:r>
        <w:rPr>
          <w:rFonts w:ascii="Calibri" w:hAnsi="Calibri"/>
          <w:color w:val="231F20"/>
          <w:spacing w:val="-10"/>
          <w:w w:val="105"/>
          <w:sz w:val="17"/>
        </w:rPr>
        <w:t> </w:t>
      </w:r>
      <w:r>
        <w:rPr>
          <w:rFonts w:ascii="Calibri" w:hAnsi="Calibri"/>
          <w:color w:val="231F20"/>
          <w:w w:val="105"/>
          <w:sz w:val="17"/>
        </w:rPr>
        <w:t>dell’uomo.</w:t>
      </w:r>
      <w:r>
        <w:rPr>
          <w:rFonts w:ascii="Calibri" w:hAnsi="Calibri"/>
          <w:color w:val="231F20"/>
          <w:spacing w:val="-10"/>
          <w:w w:val="105"/>
          <w:sz w:val="17"/>
        </w:rPr>
        <w:t> </w:t>
      </w:r>
      <w:r>
        <w:rPr>
          <w:rFonts w:ascii="Calibri" w:hAnsi="Calibri"/>
          <w:color w:val="231F20"/>
          <w:w w:val="105"/>
          <w:sz w:val="17"/>
        </w:rPr>
        <w:t>Come</w:t>
      </w:r>
      <w:r>
        <w:rPr>
          <w:rFonts w:ascii="Calibri" w:hAnsi="Calibri"/>
          <w:color w:val="231F20"/>
          <w:spacing w:val="-10"/>
          <w:w w:val="105"/>
          <w:sz w:val="17"/>
        </w:rPr>
        <w:t> </w:t>
      </w:r>
      <w:r>
        <w:rPr>
          <w:rFonts w:ascii="Calibri" w:hAnsi="Calibri"/>
          <w:color w:val="231F20"/>
          <w:w w:val="105"/>
          <w:sz w:val="17"/>
        </w:rPr>
        <w:t>ricorda</w:t>
      </w:r>
      <w:r>
        <w:rPr>
          <w:rFonts w:ascii="Calibri" w:hAnsi="Calibri"/>
          <w:color w:val="231F20"/>
          <w:spacing w:val="-10"/>
          <w:w w:val="105"/>
          <w:sz w:val="17"/>
        </w:rPr>
        <w:t> </w:t>
      </w:r>
      <w:r>
        <w:rPr>
          <w:rFonts w:ascii="Calibri" w:hAnsi="Calibri"/>
          <w:color w:val="231F20"/>
          <w:w w:val="105"/>
          <w:sz w:val="17"/>
        </w:rPr>
        <w:t>Zolo,</w:t>
      </w:r>
      <w:r>
        <w:rPr>
          <w:rFonts w:ascii="Calibri" w:hAnsi="Calibri"/>
          <w:color w:val="231F20"/>
          <w:spacing w:val="-10"/>
          <w:w w:val="105"/>
          <w:sz w:val="17"/>
        </w:rPr>
        <w:t> </w:t>
      </w:r>
      <w:r>
        <w:rPr>
          <w:rFonts w:ascii="Calibri" w:hAnsi="Calibri"/>
          <w:i/>
          <w:color w:val="231F20"/>
          <w:w w:val="105"/>
          <w:sz w:val="17"/>
        </w:rPr>
        <w:t>La</w:t>
      </w:r>
      <w:r>
        <w:rPr>
          <w:rFonts w:ascii="Calibri" w:hAnsi="Calibri"/>
          <w:i/>
          <w:color w:val="231F20"/>
          <w:spacing w:val="-11"/>
          <w:w w:val="105"/>
          <w:sz w:val="17"/>
        </w:rPr>
        <w:t> </w:t>
      </w:r>
      <w:r>
        <w:rPr>
          <w:rFonts w:ascii="Calibri" w:hAnsi="Calibri"/>
          <w:i/>
          <w:color w:val="231F20"/>
          <w:w w:val="105"/>
          <w:sz w:val="17"/>
        </w:rPr>
        <w:t>giustizia</w:t>
      </w:r>
      <w:r>
        <w:rPr>
          <w:rFonts w:ascii="Calibri" w:hAnsi="Calibri"/>
          <w:i/>
          <w:color w:val="231F20"/>
          <w:spacing w:val="-11"/>
          <w:w w:val="105"/>
          <w:sz w:val="17"/>
        </w:rPr>
        <w:t> </w:t>
      </w:r>
      <w:r>
        <w:rPr>
          <w:rFonts w:ascii="Calibri" w:hAnsi="Calibri"/>
          <w:i/>
          <w:color w:val="231F20"/>
          <w:w w:val="105"/>
          <w:sz w:val="17"/>
        </w:rPr>
        <w:t>dei</w:t>
      </w:r>
      <w:r>
        <w:rPr>
          <w:rFonts w:ascii="Calibri" w:hAnsi="Calibri"/>
          <w:i/>
          <w:color w:val="231F20"/>
          <w:spacing w:val="-13"/>
          <w:w w:val="105"/>
          <w:sz w:val="17"/>
        </w:rPr>
        <w:t> </w:t>
      </w:r>
      <w:r>
        <w:rPr>
          <w:rFonts w:ascii="Calibri" w:hAnsi="Calibri"/>
          <w:i/>
          <w:color w:val="231F20"/>
          <w:w w:val="105"/>
          <w:sz w:val="17"/>
        </w:rPr>
        <w:t>vincitoti</w:t>
      </w:r>
      <w:r>
        <w:rPr>
          <w:rFonts w:ascii="Calibri" w:hAnsi="Calibri"/>
          <w:color w:val="231F20"/>
          <w:w w:val="105"/>
          <w:sz w:val="17"/>
        </w:rPr>
        <w:t>,</w:t>
      </w:r>
      <w:r>
        <w:rPr>
          <w:rFonts w:ascii="Calibri" w:hAnsi="Calibri"/>
          <w:color w:val="231F20"/>
          <w:spacing w:val="-10"/>
          <w:w w:val="105"/>
          <w:sz w:val="17"/>
        </w:rPr>
        <w:t> </w:t>
      </w:r>
      <w:r>
        <w:rPr>
          <w:rFonts w:ascii="Calibri" w:hAnsi="Calibri"/>
          <w:color w:val="231F20"/>
          <w:w w:val="105"/>
          <w:sz w:val="17"/>
        </w:rPr>
        <w:t>p.</w:t>
      </w:r>
      <w:r>
        <w:rPr>
          <w:rFonts w:ascii="Calibri" w:hAnsi="Calibri"/>
          <w:color w:val="231F20"/>
          <w:spacing w:val="-10"/>
          <w:w w:val="105"/>
          <w:sz w:val="17"/>
        </w:rPr>
        <w:t> </w:t>
      </w:r>
      <w:r>
        <w:rPr>
          <w:rFonts w:ascii="Calibri" w:hAnsi="Calibri"/>
          <w:color w:val="231F20"/>
          <w:w w:val="105"/>
          <w:sz w:val="17"/>
        </w:rPr>
        <w:t>65,</w:t>
      </w:r>
      <w:r>
        <w:rPr>
          <w:rFonts w:ascii="Calibri" w:hAnsi="Calibri"/>
          <w:color w:val="231F20"/>
          <w:spacing w:val="-10"/>
          <w:w w:val="105"/>
          <w:sz w:val="17"/>
        </w:rPr>
        <w:t> </w:t>
      </w:r>
      <w:r>
        <w:rPr>
          <w:rFonts w:ascii="Calibri" w:hAnsi="Calibri"/>
          <w:color w:val="231F20"/>
          <w:w w:val="105"/>
          <w:sz w:val="17"/>
        </w:rPr>
        <w:t>il</w:t>
      </w:r>
      <w:r>
        <w:rPr>
          <w:rFonts w:ascii="Calibri" w:hAnsi="Calibri"/>
          <w:color w:val="231F20"/>
          <w:spacing w:val="-10"/>
          <w:w w:val="105"/>
          <w:sz w:val="17"/>
        </w:rPr>
        <w:t> </w:t>
      </w:r>
      <w:r>
        <w:rPr>
          <w:rFonts w:ascii="Calibri" w:hAnsi="Calibri"/>
          <w:color w:val="231F20"/>
          <w:w w:val="105"/>
          <w:sz w:val="17"/>
        </w:rPr>
        <w:t>confronto</w:t>
      </w:r>
      <w:r>
        <w:rPr>
          <w:rFonts w:ascii="Calibri" w:hAnsi="Calibri"/>
          <w:color w:val="231F20"/>
          <w:spacing w:val="-10"/>
          <w:w w:val="105"/>
          <w:sz w:val="17"/>
        </w:rPr>
        <w:t> </w:t>
      </w:r>
      <w:r>
        <w:rPr>
          <w:rFonts w:ascii="Calibri" w:hAnsi="Calibri"/>
          <w:color w:val="231F20"/>
          <w:w w:val="105"/>
          <w:sz w:val="17"/>
        </w:rPr>
        <w:t>in</w:t>
      </w:r>
      <w:r>
        <w:rPr>
          <w:rFonts w:ascii="Calibri" w:hAnsi="Calibri"/>
          <w:color w:val="231F20"/>
          <w:spacing w:val="-10"/>
          <w:w w:val="105"/>
          <w:sz w:val="17"/>
        </w:rPr>
        <w:t> </w:t>
      </w:r>
      <w:r>
        <w:rPr>
          <w:rFonts w:ascii="Calibri" w:hAnsi="Calibri"/>
          <w:color w:val="231F20"/>
          <w:w w:val="105"/>
          <w:sz w:val="17"/>
        </w:rPr>
        <w:t>corso</w:t>
      </w:r>
      <w:r>
        <w:rPr>
          <w:rFonts w:ascii="Calibri" w:hAnsi="Calibri"/>
          <w:color w:val="231F20"/>
          <w:spacing w:val="-10"/>
          <w:w w:val="105"/>
          <w:sz w:val="17"/>
        </w:rPr>
        <w:t> </w:t>
      </w:r>
      <w:r>
        <w:rPr>
          <w:rFonts w:ascii="Calibri" w:hAnsi="Calibri"/>
          <w:color w:val="231F20"/>
          <w:w w:val="105"/>
          <w:sz w:val="17"/>
        </w:rPr>
        <w:t>“riguarda in particolare il rapporto tra la filosofia individualistica che è sottesa alla dottrina occidentale dei diritti dell’uomo, da una parte, e, dall’altra, l’ampia gamma di civiltà e di cultura i cui valori sono molto lontani da quelli occidentale. Si pensi, in particolare, ai paesi del sud-est e del nord- est asiatico, di prevalente cultura confuciana, </w:t>
      </w:r>
      <w:r>
        <w:rPr>
          <w:rFonts w:ascii="Calibri" w:hAnsi="Calibri"/>
          <w:color w:val="231F20"/>
          <w:spacing w:val="-3"/>
          <w:w w:val="105"/>
          <w:sz w:val="17"/>
        </w:rPr>
        <w:t>all’Africa </w:t>
      </w:r>
      <w:r>
        <w:rPr>
          <w:rFonts w:ascii="Calibri" w:hAnsi="Calibri"/>
          <w:color w:val="231F20"/>
          <w:w w:val="105"/>
          <w:sz w:val="17"/>
        </w:rPr>
        <w:t>sub-sahariana e, ovviamente, al mondo </w:t>
      </w:r>
      <w:r>
        <w:rPr>
          <w:rFonts w:ascii="Calibri" w:hAnsi="Calibri"/>
          <w:color w:val="231F20"/>
          <w:spacing w:val="-3"/>
          <w:w w:val="105"/>
          <w:sz w:val="17"/>
        </w:rPr>
        <w:t>islamico”. </w:t>
      </w:r>
      <w:r>
        <w:rPr>
          <w:rFonts w:ascii="Calibri" w:hAnsi="Calibri"/>
          <w:color w:val="231F20"/>
          <w:w w:val="105"/>
          <w:sz w:val="17"/>
        </w:rPr>
        <w:t>Sul punto si veda, da ultimo, L. Baccelli, </w:t>
      </w:r>
      <w:r>
        <w:rPr>
          <w:rFonts w:ascii="Calibri" w:hAnsi="Calibri"/>
          <w:i/>
          <w:color w:val="231F20"/>
          <w:w w:val="105"/>
          <w:sz w:val="17"/>
        </w:rPr>
        <w:t>I diritti dei popoli. Universalismo e differenze </w:t>
      </w:r>
      <w:r>
        <w:rPr>
          <w:rFonts w:ascii="Calibri" w:hAnsi="Calibri"/>
          <w:i/>
          <w:color w:val="231F20"/>
          <w:w w:val="105"/>
          <w:sz w:val="17"/>
        </w:rPr>
        <w:t>culturali</w:t>
      </w:r>
      <w:r>
        <w:rPr>
          <w:rFonts w:ascii="Calibri" w:hAnsi="Calibri"/>
          <w:color w:val="231F20"/>
          <w:w w:val="105"/>
          <w:sz w:val="17"/>
        </w:rPr>
        <w:t>,</w:t>
      </w:r>
      <w:r>
        <w:rPr>
          <w:rFonts w:ascii="Calibri" w:hAnsi="Calibri"/>
          <w:color w:val="231F20"/>
          <w:spacing w:val="-26"/>
          <w:w w:val="105"/>
          <w:sz w:val="17"/>
        </w:rPr>
        <w:t> </w:t>
      </w:r>
      <w:r>
        <w:rPr>
          <w:rFonts w:ascii="Calibri" w:hAnsi="Calibri"/>
          <w:color w:val="231F20"/>
          <w:w w:val="105"/>
          <w:sz w:val="17"/>
        </w:rPr>
        <w:t>Roma–Bari,</w:t>
      </w:r>
      <w:r>
        <w:rPr>
          <w:rFonts w:ascii="Calibri" w:hAnsi="Calibri"/>
          <w:color w:val="231F20"/>
          <w:spacing w:val="-26"/>
          <w:w w:val="105"/>
          <w:sz w:val="17"/>
        </w:rPr>
        <w:t> </w:t>
      </w:r>
      <w:r>
        <w:rPr>
          <w:rFonts w:ascii="Calibri" w:hAnsi="Calibri"/>
          <w:color w:val="231F20"/>
          <w:w w:val="105"/>
          <w:sz w:val="17"/>
        </w:rPr>
        <w:t>Laterza,</w:t>
      </w:r>
      <w:r>
        <w:rPr>
          <w:rFonts w:ascii="Calibri" w:hAnsi="Calibri"/>
          <w:color w:val="231F20"/>
          <w:spacing w:val="-26"/>
          <w:w w:val="105"/>
          <w:sz w:val="17"/>
        </w:rPr>
        <w:t> </w:t>
      </w:r>
      <w:r>
        <w:rPr>
          <w:rFonts w:ascii="Calibri" w:hAnsi="Calibri"/>
          <w:color w:val="231F20"/>
          <w:w w:val="105"/>
          <w:sz w:val="17"/>
        </w:rPr>
        <w:t>2009,</w:t>
      </w:r>
      <w:r>
        <w:rPr>
          <w:rFonts w:ascii="Calibri" w:hAnsi="Calibri"/>
          <w:color w:val="231F20"/>
          <w:spacing w:val="-26"/>
          <w:w w:val="105"/>
          <w:sz w:val="17"/>
        </w:rPr>
        <w:t> </w:t>
      </w:r>
      <w:r>
        <w:rPr>
          <w:rFonts w:ascii="Calibri" w:hAnsi="Calibri"/>
          <w:color w:val="231F20"/>
          <w:w w:val="105"/>
          <w:sz w:val="17"/>
        </w:rPr>
        <w:t>en</w:t>
      </w:r>
      <w:r>
        <w:rPr>
          <w:rFonts w:ascii="Calibri" w:hAnsi="Calibri"/>
          <w:color w:val="231F20"/>
          <w:spacing w:val="-26"/>
          <w:w w:val="105"/>
          <w:sz w:val="17"/>
        </w:rPr>
        <w:t> </w:t>
      </w:r>
      <w:r>
        <w:rPr>
          <w:rFonts w:ascii="Calibri" w:hAnsi="Calibri"/>
          <w:color w:val="231F20"/>
          <w:w w:val="105"/>
          <w:sz w:val="17"/>
        </w:rPr>
        <w:t>part.</w:t>
      </w:r>
      <w:r>
        <w:rPr>
          <w:rFonts w:ascii="Calibri" w:hAnsi="Calibri"/>
          <w:color w:val="231F20"/>
          <w:spacing w:val="-26"/>
          <w:w w:val="105"/>
          <w:sz w:val="17"/>
        </w:rPr>
        <w:t> </w:t>
      </w:r>
      <w:r>
        <w:rPr>
          <w:rFonts w:ascii="Calibri" w:hAnsi="Calibri"/>
          <w:color w:val="231F20"/>
          <w:w w:val="105"/>
          <w:sz w:val="17"/>
        </w:rPr>
        <w:t>pp.</w:t>
      </w:r>
      <w:r>
        <w:rPr>
          <w:rFonts w:ascii="Calibri" w:hAnsi="Calibri"/>
          <w:color w:val="231F20"/>
          <w:spacing w:val="-26"/>
          <w:w w:val="105"/>
          <w:sz w:val="17"/>
        </w:rPr>
        <w:t> </w:t>
      </w:r>
      <w:r>
        <w:rPr>
          <w:rFonts w:ascii="Calibri" w:hAnsi="Calibri"/>
          <w:color w:val="231F20"/>
          <w:w w:val="105"/>
          <w:sz w:val="17"/>
        </w:rPr>
        <w:t>64–123.</w:t>
      </w:r>
    </w:p>
    <w:p>
      <w:pPr>
        <w:spacing w:line="204" w:lineRule="exact" w:before="0"/>
        <w:ind w:left="103" w:right="115" w:firstLine="0"/>
        <w:jc w:val="both"/>
        <w:rPr>
          <w:rFonts w:ascii="Calibri" w:hAnsi="Calibri"/>
          <w:sz w:val="17"/>
        </w:rPr>
      </w:pPr>
      <w:r>
        <w:rPr>
          <w:rFonts w:ascii="Calibri" w:hAnsi="Calibri"/>
          <w:color w:val="231F20"/>
          <w:position w:val="6"/>
          <w:sz w:val="10"/>
        </w:rPr>
        <w:t>40 </w:t>
      </w:r>
      <w:r>
        <w:rPr>
          <w:rFonts w:ascii="Calibri" w:hAnsi="Calibri"/>
          <w:color w:val="231F20"/>
          <w:sz w:val="17"/>
        </w:rPr>
        <w:t>Zolo, </w:t>
      </w:r>
      <w:r>
        <w:rPr>
          <w:rFonts w:ascii="Calibri" w:hAnsi="Calibri"/>
          <w:i/>
          <w:color w:val="231F20"/>
          <w:sz w:val="17"/>
        </w:rPr>
        <w:t>La giustizia dei vincitori</w:t>
      </w:r>
      <w:r>
        <w:rPr>
          <w:rFonts w:ascii="Calibri" w:hAnsi="Calibri"/>
          <w:color w:val="231F20"/>
          <w:sz w:val="17"/>
        </w:rPr>
        <w:t>, p. 67. Ma sul tema si veda anche D. Zolo, </w:t>
      </w:r>
      <w:r>
        <w:rPr>
          <w:rFonts w:ascii="Calibri" w:hAnsi="Calibri"/>
          <w:i/>
          <w:color w:val="231F20"/>
          <w:sz w:val="17"/>
        </w:rPr>
        <w:t>Chi dice umanità. Guerra, </w:t>
      </w:r>
      <w:r>
        <w:rPr>
          <w:rFonts w:ascii="Calibri" w:hAnsi="Calibri"/>
          <w:i/>
          <w:color w:val="231F20"/>
          <w:sz w:val="17"/>
        </w:rPr>
        <w:t>diritto e ordine globale</w:t>
      </w:r>
      <w:r>
        <w:rPr>
          <w:rFonts w:ascii="Calibri" w:hAnsi="Calibri"/>
          <w:color w:val="231F20"/>
          <w:sz w:val="17"/>
        </w:rPr>
        <w:t>, Torino, Einaudi, 2000, pp. 106–107.</w:t>
      </w:r>
    </w:p>
    <w:p>
      <w:pPr>
        <w:spacing w:line="206" w:lineRule="exact" w:before="1"/>
        <w:ind w:left="103" w:right="0" w:firstLine="0"/>
        <w:jc w:val="both"/>
        <w:rPr>
          <w:rFonts w:ascii="Calibri" w:hAnsi="Calibri"/>
          <w:sz w:val="17"/>
        </w:rPr>
      </w:pPr>
      <w:r>
        <w:rPr>
          <w:rFonts w:ascii="Calibri" w:hAnsi="Calibri"/>
          <w:color w:val="231F20"/>
          <w:position w:val="6"/>
          <w:sz w:val="10"/>
        </w:rPr>
        <w:t>41  </w:t>
      </w:r>
      <w:r>
        <w:rPr>
          <w:rFonts w:ascii="Calibri" w:hAnsi="Calibri"/>
          <w:color w:val="231F20"/>
          <w:sz w:val="17"/>
        </w:rPr>
        <w:t>Köchler, </w:t>
      </w:r>
      <w:r>
        <w:rPr>
          <w:rFonts w:ascii="Calibri" w:hAnsi="Calibri"/>
          <w:i/>
          <w:color w:val="231F20"/>
          <w:sz w:val="17"/>
        </w:rPr>
        <w:t>The Concept of Humanitarian Intervention</w:t>
      </w:r>
      <w:r>
        <w:rPr>
          <w:rFonts w:ascii="Calibri" w:hAnsi="Calibri"/>
          <w:color w:val="231F20"/>
          <w:sz w:val="17"/>
        </w:rPr>
        <w:t>, pp. 29–30.</w:t>
      </w:r>
    </w:p>
    <w:p>
      <w:pPr>
        <w:spacing w:line="235" w:lineRule="auto" w:before="1"/>
        <w:ind w:left="103" w:right="115" w:firstLine="0"/>
        <w:jc w:val="both"/>
        <w:rPr>
          <w:rFonts w:ascii="Calibri" w:hAnsi="Calibri"/>
          <w:sz w:val="17"/>
        </w:rPr>
      </w:pPr>
      <w:r>
        <w:rPr>
          <w:rFonts w:ascii="Calibri" w:hAnsi="Calibri"/>
          <w:color w:val="231F20"/>
          <w:w w:val="105"/>
          <w:position w:val="6"/>
          <w:sz w:val="10"/>
        </w:rPr>
        <w:t>42 </w:t>
      </w:r>
      <w:r>
        <w:rPr>
          <w:rFonts w:ascii="Calibri" w:hAnsi="Calibri"/>
          <w:color w:val="231F20"/>
          <w:w w:val="105"/>
          <w:sz w:val="17"/>
        </w:rPr>
        <w:t>D. Chandler, “The Revival of Carl Schmitt in International Relations: The Last Refuge of Critical Theorists?”,</w:t>
      </w:r>
      <w:r>
        <w:rPr>
          <w:rFonts w:ascii="Calibri" w:hAnsi="Calibri"/>
          <w:color w:val="231F20"/>
          <w:spacing w:val="-27"/>
          <w:w w:val="105"/>
          <w:sz w:val="17"/>
        </w:rPr>
        <w:t> </w:t>
      </w:r>
      <w:r>
        <w:rPr>
          <w:rFonts w:ascii="Calibri" w:hAnsi="Calibri"/>
          <w:i/>
          <w:color w:val="231F20"/>
          <w:w w:val="105"/>
          <w:sz w:val="17"/>
        </w:rPr>
        <w:t>Millennium:</w:t>
      </w:r>
      <w:r>
        <w:rPr>
          <w:rFonts w:ascii="Calibri" w:hAnsi="Calibri"/>
          <w:i/>
          <w:color w:val="231F20"/>
          <w:spacing w:val="-27"/>
          <w:w w:val="105"/>
          <w:sz w:val="17"/>
        </w:rPr>
        <w:t> </w:t>
      </w:r>
      <w:r>
        <w:rPr>
          <w:rFonts w:ascii="Calibri" w:hAnsi="Calibri"/>
          <w:i/>
          <w:color w:val="231F20"/>
          <w:w w:val="105"/>
          <w:sz w:val="17"/>
        </w:rPr>
        <w:t>Journal</w:t>
      </w:r>
      <w:r>
        <w:rPr>
          <w:rFonts w:ascii="Calibri" w:hAnsi="Calibri"/>
          <w:i/>
          <w:color w:val="231F20"/>
          <w:spacing w:val="-27"/>
          <w:w w:val="105"/>
          <w:sz w:val="17"/>
        </w:rPr>
        <w:t> </w:t>
      </w:r>
      <w:r>
        <w:rPr>
          <w:rFonts w:ascii="Calibri" w:hAnsi="Calibri"/>
          <w:i/>
          <w:color w:val="231F20"/>
          <w:w w:val="105"/>
          <w:sz w:val="17"/>
        </w:rPr>
        <w:t>of</w:t>
      </w:r>
      <w:r>
        <w:rPr>
          <w:rFonts w:ascii="Calibri" w:hAnsi="Calibri"/>
          <w:i/>
          <w:color w:val="231F20"/>
          <w:spacing w:val="-27"/>
          <w:w w:val="105"/>
          <w:sz w:val="17"/>
        </w:rPr>
        <w:t> </w:t>
      </w:r>
      <w:r>
        <w:rPr>
          <w:rFonts w:ascii="Calibri" w:hAnsi="Calibri"/>
          <w:i/>
          <w:color w:val="231F20"/>
          <w:w w:val="105"/>
          <w:sz w:val="17"/>
        </w:rPr>
        <w:t>International</w:t>
      </w:r>
      <w:r>
        <w:rPr>
          <w:rFonts w:ascii="Calibri" w:hAnsi="Calibri"/>
          <w:i/>
          <w:color w:val="231F20"/>
          <w:spacing w:val="-27"/>
          <w:w w:val="105"/>
          <w:sz w:val="17"/>
        </w:rPr>
        <w:t> </w:t>
      </w:r>
      <w:r>
        <w:rPr>
          <w:rFonts w:ascii="Calibri" w:hAnsi="Calibri"/>
          <w:i/>
          <w:color w:val="231F20"/>
          <w:w w:val="105"/>
          <w:sz w:val="17"/>
        </w:rPr>
        <w:t>Studies</w:t>
      </w:r>
      <w:r>
        <w:rPr>
          <w:rFonts w:ascii="Calibri" w:hAnsi="Calibri"/>
          <w:color w:val="231F20"/>
          <w:w w:val="105"/>
          <w:sz w:val="17"/>
        </w:rPr>
        <w:t>,</w:t>
      </w:r>
      <w:r>
        <w:rPr>
          <w:rFonts w:ascii="Calibri" w:hAnsi="Calibri"/>
          <w:color w:val="231F20"/>
          <w:spacing w:val="-27"/>
          <w:w w:val="105"/>
          <w:sz w:val="17"/>
        </w:rPr>
        <w:t> </w:t>
      </w:r>
      <w:r>
        <w:rPr>
          <w:rFonts w:ascii="Calibri" w:hAnsi="Calibri"/>
          <w:color w:val="231F20"/>
          <w:w w:val="105"/>
          <w:sz w:val="17"/>
        </w:rPr>
        <w:t>no.</w:t>
      </w:r>
      <w:r>
        <w:rPr>
          <w:rFonts w:ascii="Calibri" w:hAnsi="Calibri"/>
          <w:color w:val="231F20"/>
          <w:spacing w:val="-27"/>
          <w:w w:val="105"/>
          <w:sz w:val="17"/>
        </w:rPr>
        <w:t> </w:t>
      </w:r>
      <w:r>
        <w:rPr>
          <w:rFonts w:ascii="Calibri" w:hAnsi="Calibri"/>
          <w:color w:val="231F20"/>
          <w:w w:val="105"/>
          <w:sz w:val="17"/>
        </w:rPr>
        <w:t>1,</w:t>
      </w:r>
      <w:r>
        <w:rPr>
          <w:rFonts w:ascii="Calibri" w:hAnsi="Calibri"/>
          <w:color w:val="231F20"/>
          <w:spacing w:val="-27"/>
          <w:w w:val="105"/>
          <w:sz w:val="17"/>
        </w:rPr>
        <w:t> </w:t>
      </w:r>
      <w:r>
        <w:rPr>
          <w:rFonts w:ascii="Calibri" w:hAnsi="Calibri"/>
          <w:color w:val="231F20"/>
          <w:w w:val="105"/>
          <w:sz w:val="17"/>
        </w:rPr>
        <w:t>2008,</w:t>
      </w:r>
      <w:r>
        <w:rPr>
          <w:rFonts w:ascii="Calibri" w:hAnsi="Calibri"/>
          <w:color w:val="231F20"/>
          <w:spacing w:val="-27"/>
          <w:w w:val="105"/>
          <w:sz w:val="17"/>
        </w:rPr>
        <w:t> </w:t>
      </w:r>
      <w:r>
        <w:rPr>
          <w:rFonts w:ascii="Calibri" w:hAnsi="Calibri"/>
          <w:color w:val="231F20"/>
          <w:w w:val="105"/>
          <w:sz w:val="17"/>
        </w:rPr>
        <w:t>pp.</w:t>
      </w:r>
      <w:r>
        <w:rPr>
          <w:rFonts w:ascii="Calibri" w:hAnsi="Calibri"/>
          <w:color w:val="231F20"/>
          <w:spacing w:val="-27"/>
          <w:w w:val="105"/>
          <w:sz w:val="17"/>
        </w:rPr>
        <w:t> </w:t>
      </w:r>
      <w:r>
        <w:rPr>
          <w:rFonts w:ascii="Calibri" w:hAnsi="Calibri"/>
          <w:color w:val="231F20"/>
          <w:w w:val="105"/>
          <w:sz w:val="17"/>
        </w:rPr>
        <w:t>27–48.</w:t>
      </w:r>
      <w:r>
        <w:rPr>
          <w:rFonts w:ascii="Calibri" w:hAnsi="Calibri"/>
          <w:color w:val="231F20"/>
          <w:spacing w:val="-27"/>
          <w:w w:val="105"/>
          <w:sz w:val="17"/>
        </w:rPr>
        <w:t> </w:t>
      </w:r>
      <w:r>
        <w:rPr>
          <w:rFonts w:ascii="Calibri" w:hAnsi="Calibri"/>
          <w:color w:val="231F20"/>
          <w:w w:val="105"/>
          <w:sz w:val="17"/>
        </w:rPr>
        <w:t>Ma</w:t>
      </w:r>
      <w:r>
        <w:rPr>
          <w:rFonts w:ascii="Calibri" w:hAnsi="Calibri"/>
          <w:color w:val="231F20"/>
          <w:spacing w:val="-27"/>
          <w:w w:val="105"/>
          <w:sz w:val="17"/>
        </w:rPr>
        <w:t> </w:t>
      </w:r>
      <w:r>
        <w:rPr>
          <w:rFonts w:ascii="Calibri" w:hAnsi="Calibri"/>
          <w:color w:val="231F20"/>
          <w:w w:val="105"/>
          <w:sz w:val="17"/>
        </w:rPr>
        <w:t>sul</w:t>
      </w:r>
      <w:r>
        <w:rPr>
          <w:rFonts w:ascii="Calibri" w:hAnsi="Calibri"/>
          <w:color w:val="231F20"/>
          <w:spacing w:val="-27"/>
          <w:w w:val="105"/>
          <w:sz w:val="17"/>
        </w:rPr>
        <w:t> </w:t>
      </w:r>
      <w:r>
        <w:rPr>
          <w:rFonts w:ascii="Calibri" w:hAnsi="Calibri"/>
          <w:color w:val="231F20"/>
          <w:w w:val="105"/>
          <w:sz w:val="17"/>
        </w:rPr>
        <w:t>tema</w:t>
      </w:r>
      <w:r>
        <w:rPr>
          <w:rFonts w:ascii="Calibri" w:hAnsi="Calibri"/>
          <w:color w:val="231F20"/>
          <w:spacing w:val="-27"/>
          <w:w w:val="105"/>
          <w:sz w:val="17"/>
        </w:rPr>
        <w:t> </w:t>
      </w:r>
      <w:r>
        <w:rPr>
          <w:rFonts w:ascii="Calibri" w:hAnsi="Calibri"/>
          <w:color w:val="231F20"/>
          <w:w w:val="105"/>
          <w:sz w:val="17"/>
        </w:rPr>
        <w:t>si</w:t>
      </w:r>
      <w:r>
        <w:rPr>
          <w:rFonts w:ascii="Calibri" w:hAnsi="Calibri"/>
          <w:color w:val="231F20"/>
          <w:spacing w:val="-28"/>
          <w:w w:val="105"/>
          <w:sz w:val="17"/>
        </w:rPr>
        <w:t> </w:t>
      </w:r>
      <w:r>
        <w:rPr>
          <w:rFonts w:ascii="Calibri" w:hAnsi="Calibri"/>
          <w:color w:val="231F20"/>
          <w:w w:val="105"/>
          <w:sz w:val="17"/>
        </w:rPr>
        <w:t>veda</w:t>
      </w:r>
    </w:p>
    <w:p>
      <w:pPr>
        <w:pStyle w:val="BodyText"/>
        <w:rPr>
          <w:rFonts w:ascii="Calibri"/>
          <w:sz w:val="20"/>
        </w:rPr>
      </w:pPr>
    </w:p>
    <w:p>
      <w:pPr>
        <w:pStyle w:val="BodyText"/>
        <w:spacing w:before="10"/>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0792"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140</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98" w:lineRule="exact" w:before="52"/>
        <w:ind w:left="796"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1465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QUESTIONI</w:t>
      </w:r>
      <w:r>
        <w:rPr>
          <w:rFonts w:ascii="Lucida Sans Unicode" w:hAnsi="Lucida Sans Unicode"/>
          <w:color w:val="6D6E71"/>
          <w:spacing w:val="-11"/>
          <w:w w:val="90"/>
          <w:sz w:val="14"/>
        </w:rPr>
        <w:t> </w:t>
      </w:r>
      <w:r>
        <w:rPr>
          <w:rFonts w:ascii="Lucida Sans Unicode" w:hAnsi="Lucida Sans Unicode"/>
          <w:color w:val="6D6E71"/>
          <w:w w:val="90"/>
          <w:sz w:val="14"/>
        </w:rPr>
        <w:t>DI</w:t>
      </w:r>
      <w:r>
        <w:rPr>
          <w:rFonts w:ascii="Lucida Sans Unicode" w:hAnsi="Lucida Sans Unicode"/>
          <w:color w:val="6D6E71"/>
          <w:spacing w:val="-11"/>
          <w:w w:val="90"/>
          <w:sz w:val="14"/>
        </w:rPr>
        <w:t> </w:t>
      </w:r>
      <w:r>
        <w:rPr>
          <w:rFonts w:ascii="Lucida Sans Unicode" w:hAnsi="Lucida Sans Unicode"/>
          <w:color w:val="6D6E71"/>
          <w:w w:val="90"/>
          <w:sz w:val="14"/>
        </w:rPr>
        <w:t>CONFINE.</w:t>
      </w:r>
      <w:r>
        <w:rPr>
          <w:rFonts w:ascii="Lucida Sans Unicode" w:hAnsi="Lucida Sans Unicode"/>
          <w:color w:val="6D6E71"/>
          <w:spacing w:val="-11"/>
          <w:w w:val="90"/>
          <w:sz w:val="14"/>
        </w:rPr>
        <w:t> </w:t>
      </w:r>
      <w:r>
        <w:rPr>
          <w:rFonts w:ascii="Lucida Sans Unicode" w:hAnsi="Lucida Sans Unicode"/>
          <w:color w:val="6D6E71"/>
          <w:w w:val="90"/>
          <w:sz w:val="14"/>
        </w:rPr>
        <w:t>SOVRANITÀ</w:t>
      </w:r>
      <w:r>
        <w:rPr>
          <w:rFonts w:ascii="Lucida Sans Unicode" w:hAnsi="Lucida Sans Unicode"/>
          <w:color w:val="6D6E71"/>
          <w:spacing w:val="-11"/>
          <w:w w:val="90"/>
          <w:sz w:val="14"/>
        </w:rPr>
        <w:t> </w:t>
      </w:r>
      <w:r>
        <w:rPr>
          <w:rFonts w:ascii="Lucida Sans Unicode" w:hAnsi="Lucida Sans Unicode"/>
          <w:color w:val="6D6E71"/>
          <w:w w:val="90"/>
          <w:sz w:val="14"/>
        </w:rPr>
        <w:t>TERRITORIALE</w:t>
      </w:r>
      <w:r>
        <w:rPr>
          <w:rFonts w:ascii="Lucida Sans Unicode" w:hAnsi="Lucida Sans Unicode"/>
          <w:color w:val="6D6E71"/>
          <w:spacing w:val="-11"/>
          <w:w w:val="90"/>
          <w:sz w:val="14"/>
        </w:rPr>
        <w:t> </w:t>
      </w:r>
      <w:r>
        <w:rPr>
          <w:rFonts w:ascii="Lucida Sans Unicode" w:hAnsi="Lucida Sans Unicode"/>
          <w:color w:val="6D6E71"/>
          <w:w w:val="90"/>
          <w:sz w:val="14"/>
        </w:rPr>
        <w:t>E</w:t>
      </w:r>
      <w:r>
        <w:rPr>
          <w:rFonts w:ascii="Lucida Sans Unicode" w:hAnsi="Lucida Sans Unicode"/>
          <w:color w:val="6D6E71"/>
          <w:spacing w:val="-11"/>
          <w:w w:val="90"/>
          <w:sz w:val="14"/>
        </w:rPr>
        <w:t> </w:t>
      </w:r>
      <w:r>
        <w:rPr>
          <w:rFonts w:ascii="Lucida Sans Unicode" w:hAnsi="Lucida Sans Unicode"/>
          <w:color w:val="6D6E71"/>
          <w:w w:val="90"/>
          <w:sz w:val="14"/>
        </w:rPr>
        <w:t>ORDINE</w:t>
      </w:r>
      <w:r>
        <w:rPr>
          <w:rFonts w:ascii="Lucida Sans Unicode" w:hAnsi="Lucida Sans Unicode"/>
          <w:color w:val="6D6E71"/>
          <w:spacing w:val="-11"/>
          <w:w w:val="90"/>
          <w:sz w:val="14"/>
        </w:rPr>
        <w:t> </w:t>
      </w:r>
      <w:r>
        <w:rPr>
          <w:rFonts w:ascii="Lucida Sans Unicode" w:hAnsi="Lucida Sans Unicode"/>
          <w:color w:val="6D6E71"/>
          <w:w w:val="90"/>
          <w:sz w:val="14"/>
        </w:rPr>
        <w:t>GLOBALE</w:t>
      </w:r>
      <w:r>
        <w:rPr>
          <w:rFonts w:ascii="Lucida Sans Unicode" w:hAnsi="Lucida Sans Unicode"/>
          <w:color w:val="6D6E71"/>
          <w:spacing w:val="-11"/>
          <w:w w:val="90"/>
          <w:sz w:val="14"/>
        </w:rPr>
        <w:t> </w:t>
      </w:r>
      <w:r>
        <w:rPr>
          <w:rFonts w:ascii="Lucida Sans Unicode" w:hAnsi="Lucida Sans Unicode"/>
          <w:color w:val="6D6E71"/>
          <w:w w:val="90"/>
          <w:sz w:val="14"/>
        </w:rPr>
        <w:t>NEL</w:t>
      </w:r>
      <w:r>
        <w:rPr>
          <w:rFonts w:ascii="Lucida Sans Unicode" w:hAnsi="Lucida Sans Unicode"/>
          <w:color w:val="6D6E71"/>
          <w:spacing w:val="-11"/>
          <w:w w:val="90"/>
          <w:sz w:val="14"/>
        </w:rPr>
        <w:t> </w:t>
      </w:r>
      <w:r>
        <w:rPr>
          <w:rFonts w:ascii="Lucida Sans Unicode" w:hAnsi="Lucida Sans Unicode"/>
          <w:color w:val="6D6E71"/>
          <w:w w:val="90"/>
          <w:sz w:val="14"/>
        </w:rPr>
        <w:t>DIBATTITO</w:t>
      </w:r>
      <w:r>
        <w:rPr>
          <w:rFonts w:ascii="Lucida Sans Unicode" w:hAnsi="Lucida Sans Unicode"/>
          <w:color w:val="6D6E71"/>
          <w:spacing w:val="-11"/>
          <w:w w:val="90"/>
          <w:sz w:val="14"/>
        </w:rPr>
        <w:t> </w:t>
      </w:r>
      <w:r>
        <w:rPr>
          <w:rFonts w:ascii="Lucida Sans Unicode" w:hAnsi="Lucida Sans Unicode"/>
          <w:color w:val="6D6E71"/>
          <w:w w:val="90"/>
          <w:sz w:val="14"/>
        </w:rPr>
        <w:t>SUL</w:t>
      </w:r>
    </w:p>
    <w:p>
      <w:pPr>
        <w:spacing w:line="198" w:lineRule="exact" w:before="0"/>
        <w:ind w:left="3896" w:right="-13" w:firstLine="0"/>
        <w:jc w:val="left"/>
        <w:rPr>
          <w:rFonts w:ascii="Lucida Sans Unicode" w:hAnsi="Lucida Sans Unicode"/>
          <w:sz w:val="14"/>
        </w:rPr>
      </w:pPr>
      <w:r>
        <w:rPr>
          <w:rFonts w:ascii="Lucida Sans Unicode" w:hAnsi="Lucida Sans Unicode"/>
          <w:color w:val="6D6E71"/>
          <w:w w:val="85"/>
          <w:sz w:val="14"/>
        </w:rPr>
        <w:t>“NUOVO  INTERVENTISMO  UMANITARIO”</w:t>
      </w:r>
    </w:p>
    <w:p>
      <w:pPr>
        <w:spacing w:before="59"/>
        <w:ind w:left="338" w:right="0" w:firstLine="0"/>
        <w:jc w:val="left"/>
        <w:rPr>
          <w:rFonts w:ascii="Trebuchet MS"/>
          <w:sz w:val="20"/>
        </w:rPr>
      </w:pPr>
      <w:r>
        <w:rPr/>
        <w:br w:type="column"/>
      </w:r>
      <w:r>
        <w:rPr>
          <w:rFonts w:ascii="Trebuchet MS"/>
          <w:color w:val="414042"/>
          <w:w w:val="105"/>
          <w:sz w:val="20"/>
        </w:rPr>
        <w:t>141</w:t>
      </w:r>
    </w:p>
    <w:p>
      <w:pPr>
        <w:spacing w:after="0"/>
        <w:jc w:val="left"/>
        <w:rPr>
          <w:rFonts w:ascii="Trebuchet MS"/>
          <w:sz w:val="20"/>
        </w:rPr>
        <w:sectPr>
          <w:type w:val="continuous"/>
          <w:pgSz w:w="9640" w:h="13890"/>
          <w:pgMar w:top="0" w:bottom="0" w:left="1300" w:right="1180"/>
          <w:cols w:num="2" w:equalWidth="0">
            <w:col w:w="6261" w:space="40"/>
            <w:col w:w="859"/>
          </w:cols>
        </w:sectPr>
      </w:pPr>
    </w:p>
    <w:p>
      <w:pPr>
        <w:pStyle w:val="BodyText"/>
        <w:rPr>
          <w:rFonts w:ascii="Trebuchet MS"/>
          <w:sz w:val="20"/>
        </w:rPr>
      </w:pPr>
    </w:p>
    <w:p>
      <w:pPr>
        <w:pStyle w:val="BodyText"/>
        <w:spacing w:before="2"/>
        <w:rPr>
          <w:rFonts w:ascii="Trebuchet MS"/>
          <w:sz w:val="16"/>
        </w:rPr>
      </w:pPr>
    </w:p>
    <w:p>
      <w:pPr>
        <w:pStyle w:val="BodyText"/>
        <w:spacing w:line="247" w:lineRule="auto" w:before="44"/>
        <w:ind w:left="117" w:right="117"/>
        <w:jc w:val="both"/>
      </w:pPr>
      <w:r>
        <w:rPr>
          <w:color w:val="231F20"/>
          <w:spacing w:val="-3"/>
        </w:rPr>
        <w:t>schmittiano</w:t>
      </w:r>
      <w:r>
        <w:rPr>
          <w:color w:val="231F20"/>
          <w:spacing w:val="-13"/>
        </w:rPr>
        <w:t> </w:t>
      </w:r>
      <w:r>
        <w:rPr>
          <w:color w:val="231F20"/>
        </w:rPr>
        <w:t>che</w:t>
      </w:r>
      <w:r>
        <w:rPr>
          <w:color w:val="231F20"/>
          <w:spacing w:val="-13"/>
        </w:rPr>
        <w:t> </w:t>
      </w:r>
      <w:r>
        <w:rPr>
          <w:color w:val="231F20"/>
        </w:rPr>
        <w:t>è</w:t>
      </w:r>
      <w:r>
        <w:rPr>
          <w:color w:val="231F20"/>
          <w:spacing w:val="-13"/>
        </w:rPr>
        <w:t> </w:t>
      </w:r>
      <w:r>
        <w:rPr>
          <w:color w:val="231F20"/>
          <w:spacing w:val="-3"/>
        </w:rPr>
        <w:t>possibile,</w:t>
      </w:r>
      <w:r>
        <w:rPr>
          <w:color w:val="231F20"/>
          <w:spacing w:val="-13"/>
        </w:rPr>
        <w:t> </w:t>
      </w:r>
      <w:r>
        <w:rPr>
          <w:color w:val="231F20"/>
          <w:spacing w:val="-3"/>
        </w:rPr>
        <w:t>infatti,</w:t>
      </w:r>
      <w:r>
        <w:rPr>
          <w:color w:val="231F20"/>
          <w:spacing w:val="-13"/>
        </w:rPr>
        <w:t> </w:t>
      </w:r>
      <w:r>
        <w:rPr>
          <w:color w:val="231F20"/>
          <w:spacing w:val="-4"/>
        </w:rPr>
        <w:t>trovare</w:t>
      </w:r>
      <w:r>
        <w:rPr>
          <w:color w:val="231F20"/>
          <w:spacing w:val="-13"/>
        </w:rPr>
        <w:t> </w:t>
      </w:r>
      <w:r>
        <w:rPr>
          <w:color w:val="231F20"/>
          <w:spacing w:val="-3"/>
        </w:rPr>
        <w:t>enunciato</w:t>
      </w:r>
      <w:r>
        <w:rPr>
          <w:color w:val="231F20"/>
          <w:spacing w:val="-13"/>
        </w:rPr>
        <w:t> </w:t>
      </w:r>
      <w:r>
        <w:rPr>
          <w:color w:val="231F20"/>
        </w:rPr>
        <w:t>nel</w:t>
      </w:r>
      <w:r>
        <w:rPr>
          <w:color w:val="231F20"/>
          <w:spacing w:val="-13"/>
        </w:rPr>
        <w:t> </w:t>
      </w:r>
      <w:r>
        <w:rPr>
          <w:color w:val="231F20"/>
          <w:spacing w:val="-3"/>
        </w:rPr>
        <w:t>modo</w:t>
      </w:r>
      <w:r>
        <w:rPr>
          <w:color w:val="231F20"/>
          <w:spacing w:val="-13"/>
        </w:rPr>
        <w:t> </w:t>
      </w:r>
      <w:r>
        <w:rPr>
          <w:color w:val="231F20"/>
        </w:rPr>
        <w:t>più</w:t>
      </w:r>
      <w:r>
        <w:rPr>
          <w:color w:val="231F20"/>
          <w:spacing w:val="-13"/>
        </w:rPr>
        <w:t> </w:t>
      </w:r>
      <w:r>
        <w:rPr>
          <w:color w:val="231F20"/>
          <w:spacing w:val="-4"/>
        </w:rPr>
        <w:t>pregnante </w:t>
      </w:r>
      <w:r>
        <w:rPr>
          <w:color w:val="231F20"/>
        </w:rPr>
        <w:t>il </w:t>
      </w:r>
      <w:r>
        <w:rPr>
          <w:color w:val="231F20"/>
          <w:spacing w:val="2"/>
        </w:rPr>
        <w:t>dubbio realista </w:t>
      </w:r>
      <w:r>
        <w:rPr>
          <w:color w:val="231F20"/>
        </w:rPr>
        <w:t>contro </w:t>
      </w:r>
      <w:r>
        <w:rPr>
          <w:color w:val="231F20"/>
          <w:spacing w:val="2"/>
        </w:rPr>
        <w:t>ogni tentativo </w:t>
      </w:r>
      <w:r>
        <w:rPr>
          <w:color w:val="231F20"/>
        </w:rPr>
        <w:t>di </w:t>
      </w:r>
      <w:r>
        <w:rPr>
          <w:color w:val="231F20"/>
          <w:spacing w:val="2"/>
        </w:rPr>
        <w:t>tagliare “orizzontalmente </w:t>
      </w:r>
      <w:r>
        <w:rPr>
          <w:color w:val="231F20"/>
          <w:spacing w:val="3"/>
        </w:rPr>
        <w:t>la </w:t>
      </w:r>
      <w:r>
        <w:rPr>
          <w:color w:val="231F20"/>
        </w:rPr>
        <w:t>sovranità</w:t>
      </w:r>
      <w:r>
        <w:rPr>
          <w:color w:val="231F20"/>
          <w:spacing w:val="-17"/>
        </w:rPr>
        <w:t> </w:t>
      </w:r>
      <w:r>
        <w:rPr>
          <w:color w:val="231F20"/>
        </w:rPr>
        <w:t>degli</w:t>
      </w:r>
      <w:r>
        <w:rPr>
          <w:color w:val="231F20"/>
          <w:spacing w:val="-17"/>
        </w:rPr>
        <w:t> </w:t>
      </w:r>
      <w:r>
        <w:rPr>
          <w:color w:val="231F20"/>
        </w:rPr>
        <w:t>Stati”</w:t>
      </w:r>
      <w:r>
        <w:rPr>
          <w:color w:val="231F20"/>
          <w:spacing w:val="-17"/>
        </w:rPr>
        <w:t> </w:t>
      </w:r>
      <w:r>
        <w:rPr>
          <w:color w:val="231F20"/>
        </w:rPr>
        <w:t>in</w:t>
      </w:r>
      <w:r>
        <w:rPr>
          <w:color w:val="231F20"/>
          <w:spacing w:val="-17"/>
        </w:rPr>
        <w:t> </w:t>
      </w:r>
      <w:r>
        <w:rPr>
          <w:color w:val="231F20"/>
        </w:rPr>
        <w:t>nome</w:t>
      </w:r>
      <w:r>
        <w:rPr>
          <w:color w:val="231F20"/>
          <w:spacing w:val="-17"/>
        </w:rPr>
        <w:t> </w:t>
      </w:r>
      <w:r>
        <w:rPr>
          <w:color w:val="231F20"/>
        </w:rPr>
        <w:t>degli</w:t>
      </w:r>
      <w:r>
        <w:rPr>
          <w:color w:val="231F20"/>
          <w:spacing w:val="-17"/>
        </w:rPr>
        <w:t> </w:t>
      </w:r>
      <w:r>
        <w:rPr>
          <w:color w:val="231F20"/>
        </w:rPr>
        <w:t>imperativi</w:t>
      </w:r>
      <w:r>
        <w:rPr>
          <w:color w:val="231F20"/>
          <w:spacing w:val="-17"/>
        </w:rPr>
        <w:t> </w:t>
      </w:r>
      <w:r>
        <w:rPr>
          <w:color w:val="231F20"/>
        </w:rPr>
        <w:t>universalistici</w:t>
      </w:r>
      <w:r>
        <w:rPr>
          <w:color w:val="231F20"/>
          <w:spacing w:val="-17"/>
        </w:rPr>
        <w:t> </w:t>
      </w:r>
      <w:r>
        <w:rPr>
          <w:color w:val="231F20"/>
        </w:rPr>
        <w:t>di</w:t>
      </w:r>
      <w:r>
        <w:rPr>
          <w:color w:val="231F20"/>
          <w:spacing w:val="-17"/>
        </w:rPr>
        <w:t> </w:t>
      </w:r>
      <w:r>
        <w:rPr>
          <w:color w:val="231F20"/>
        </w:rPr>
        <w:t>una</w:t>
      </w:r>
      <w:r>
        <w:rPr>
          <w:color w:val="231F20"/>
          <w:spacing w:val="-17"/>
        </w:rPr>
        <w:t> </w:t>
      </w:r>
      <w:r>
        <w:rPr>
          <w:color w:val="231F20"/>
        </w:rPr>
        <w:t>presunta morale</w:t>
      </w:r>
      <w:r>
        <w:rPr>
          <w:color w:val="231F20"/>
          <w:spacing w:val="-21"/>
        </w:rPr>
        <w:t> </w:t>
      </w:r>
      <w:r>
        <w:rPr>
          <w:color w:val="231F20"/>
        </w:rPr>
        <w:t>umanitaria</w:t>
      </w:r>
      <w:r>
        <w:rPr>
          <w:color w:val="231F20"/>
          <w:position w:val="7"/>
          <w:sz w:val="12"/>
        </w:rPr>
        <w:t>43</w:t>
      </w:r>
      <w:r>
        <w:rPr>
          <w:color w:val="231F20"/>
        </w:rPr>
        <w:t>.</w:t>
      </w:r>
      <w:r>
        <w:rPr>
          <w:color w:val="231F20"/>
          <w:spacing w:val="-21"/>
        </w:rPr>
        <w:t> </w:t>
      </w:r>
      <w:r>
        <w:rPr>
          <w:color w:val="231F20"/>
        </w:rPr>
        <w:t>Nel</w:t>
      </w:r>
      <w:r>
        <w:rPr>
          <w:color w:val="231F20"/>
          <w:spacing w:val="-21"/>
        </w:rPr>
        <w:t> </w:t>
      </w:r>
      <w:r>
        <w:rPr>
          <w:color w:val="231F20"/>
          <w:spacing w:val="-3"/>
        </w:rPr>
        <w:t>quadro</w:t>
      </w:r>
      <w:r>
        <w:rPr>
          <w:color w:val="231F20"/>
          <w:spacing w:val="-21"/>
        </w:rPr>
        <w:t> </w:t>
      </w:r>
      <w:r>
        <w:rPr>
          <w:color w:val="231F20"/>
        </w:rPr>
        <w:t>della</w:t>
      </w:r>
      <w:r>
        <w:rPr>
          <w:color w:val="231F20"/>
          <w:spacing w:val="-21"/>
        </w:rPr>
        <w:t> </w:t>
      </w:r>
      <w:r>
        <w:rPr>
          <w:color w:val="231F20"/>
        </w:rPr>
        <w:t>sua</w:t>
      </w:r>
      <w:r>
        <w:rPr>
          <w:color w:val="231F20"/>
          <w:spacing w:val="-21"/>
        </w:rPr>
        <w:t> </w:t>
      </w:r>
      <w:r>
        <w:rPr>
          <w:color w:val="231F20"/>
        </w:rPr>
        <w:t>concezione</w:t>
      </w:r>
      <w:r>
        <w:rPr>
          <w:color w:val="231F20"/>
          <w:spacing w:val="-21"/>
        </w:rPr>
        <w:t> </w:t>
      </w:r>
      <w:r>
        <w:rPr>
          <w:color w:val="231F20"/>
        </w:rPr>
        <w:t>anti-normativistica</w:t>
      </w:r>
      <w:r>
        <w:rPr>
          <w:color w:val="231F20"/>
          <w:spacing w:val="-21"/>
        </w:rPr>
        <w:t> </w:t>
      </w:r>
      <w:r>
        <w:rPr>
          <w:color w:val="231F20"/>
          <w:spacing w:val="-2"/>
        </w:rPr>
        <w:t>del </w:t>
      </w:r>
      <w:r>
        <w:rPr>
          <w:color w:val="231F20"/>
        </w:rPr>
        <w:t>“politico”, le guerre combattute in nome dell’umanità —così come quelle combattute</w:t>
      </w:r>
      <w:r>
        <w:rPr>
          <w:color w:val="231F20"/>
          <w:spacing w:val="-16"/>
        </w:rPr>
        <w:t> </w:t>
      </w:r>
      <w:r>
        <w:rPr>
          <w:color w:val="231F20"/>
        </w:rPr>
        <w:t>in</w:t>
      </w:r>
      <w:r>
        <w:rPr>
          <w:color w:val="231F20"/>
          <w:spacing w:val="-16"/>
        </w:rPr>
        <w:t> </w:t>
      </w:r>
      <w:r>
        <w:rPr>
          <w:color w:val="231F20"/>
        </w:rPr>
        <w:t>nome</w:t>
      </w:r>
      <w:r>
        <w:rPr>
          <w:color w:val="231F20"/>
          <w:spacing w:val="-16"/>
        </w:rPr>
        <w:t> </w:t>
      </w:r>
      <w:r>
        <w:rPr>
          <w:color w:val="231F20"/>
        </w:rPr>
        <w:t>della</w:t>
      </w:r>
      <w:r>
        <w:rPr>
          <w:color w:val="231F20"/>
          <w:spacing w:val="-16"/>
        </w:rPr>
        <w:t> </w:t>
      </w:r>
      <w:r>
        <w:rPr>
          <w:color w:val="231F20"/>
        </w:rPr>
        <w:t>giustizia,</w:t>
      </w:r>
      <w:r>
        <w:rPr>
          <w:color w:val="231F20"/>
          <w:spacing w:val="-16"/>
        </w:rPr>
        <w:t> </w:t>
      </w:r>
      <w:r>
        <w:rPr>
          <w:color w:val="231F20"/>
        </w:rPr>
        <w:t>della</w:t>
      </w:r>
      <w:r>
        <w:rPr>
          <w:color w:val="231F20"/>
          <w:spacing w:val="-16"/>
        </w:rPr>
        <w:t> </w:t>
      </w:r>
      <w:r>
        <w:rPr>
          <w:color w:val="231F20"/>
        </w:rPr>
        <w:t>pace,</w:t>
      </w:r>
      <w:r>
        <w:rPr>
          <w:color w:val="231F20"/>
          <w:spacing w:val="-16"/>
        </w:rPr>
        <w:t> </w:t>
      </w:r>
      <w:r>
        <w:rPr>
          <w:color w:val="231F20"/>
        </w:rPr>
        <w:t>del</w:t>
      </w:r>
      <w:r>
        <w:rPr>
          <w:color w:val="231F20"/>
          <w:spacing w:val="-16"/>
        </w:rPr>
        <w:t> </w:t>
      </w:r>
      <w:r>
        <w:rPr>
          <w:color w:val="231F20"/>
          <w:spacing w:val="-3"/>
        </w:rPr>
        <w:t>progresso</w:t>
      </w:r>
      <w:r>
        <w:rPr>
          <w:color w:val="231F20"/>
          <w:spacing w:val="-16"/>
        </w:rPr>
        <w:t> </w:t>
      </w:r>
      <w:r>
        <w:rPr>
          <w:color w:val="231F20"/>
        </w:rPr>
        <w:t>o</w:t>
      </w:r>
      <w:r>
        <w:rPr>
          <w:color w:val="231F20"/>
          <w:spacing w:val="-16"/>
        </w:rPr>
        <w:t> </w:t>
      </w:r>
      <w:r>
        <w:rPr>
          <w:color w:val="231F20"/>
        </w:rPr>
        <w:t>della</w:t>
      </w:r>
      <w:r>
        <w:rPr>
          <w:color w:val="231F20"/>
          <w:spacing w:val="-16"/>
        </w:rPr>
        <w:t> </w:t>
      </w:r>
      <w:r>
        <w:rPr>
          <w:color w:val="231F20"/>
        </w:rPr>
        <w:t>civiltà— non sono altro che conflitti ideologicamente radicalizzati in cui uno Stato cerca</w:t>
      </w:r>
      <w:r>
        <w:rPr>
          <w:color w:val="231F20"/>
          <w:spacing w:val="-13"/>
        </w:rPr>
        <w:t> </w:t>
      </w:r>
      <w:r>
        <w:rPr>
          <w:color w:val="231F20"/>
        </w:rPr>
        <w:t>di</w:t>
      </w:r>
      <w:r>
        <w:rPr>
          <w:color w:val="231F20"/>
          <w:spacing w:val="-13"/>
        </w:rPr>
        <w:t> </w:t>
      </w:r>
      <w:r>
        <w:rPr>
          <w:color w:val="231F20"/>
        </w:rPr>
        <w:t>acquisire</w:t>
      </w:r>
      <w:r>
        <w:rPr>
          <w:color w:val="231F20"/>
          <w:spacing w:val="-13"/>
        </w:rPr>
        <w:t> </w:t>
      </w:r>
      <w:r>
        <w:rPr>
          <w:color w:val="231F20"/>
        </w:rPr>
        <w:t>una</w:t>
      </w:r>
      <w:r>
        <w:rPr>
          <w:color w:val="231F20"/>
          <w:spacing w:val="-13"/>
        </w:rPr>
        <w:t> </w:t>
      </w:r>
      <w:r>
        <w:rPr>
          <w:color w:val="231F20"/>
        </w:rPr>
        <w:t>superiorità</w:t>
      </w:r>
      <w:r>
        <w:rPr>
          <w:color w:val="231F20"/>
          <w:spacing w:val="-13"/>
        </w:rPr>
        <w:t> </w:t>
      </w:r>
      <w:r>
        <w:rPr>
          <w:color w:val="231F20"/>
        </w:rPr>
        <w:t>morale</w:t>
      </w:r>
      <w:r>
        <w:rPr>
          <w:color w:val="231F20"/>
          <w:spacing w:val="-13"/>
        </w:rPr>
        <w:t> </w:t>
      </w:r>
      <w:r>
        <w:rPr>
          <w:color w:val="231F20"/>
        </w:rPr>
        <w:t>sui</w:t>
      </w:r>
      <w:r>
        <w:rPr>
          <w:color w:val="231F20"/>
          <w:spacing w:val="-13"/>
        </w:rPr>
        <w:t> </w:t>
      </w:r>
      <w:r>
        <w:rPr>
          <w:color w:val="231F20"/>
        </w:rPr>
        <w:t>suoi</w:t>
      </w:r>
      <w:r>
        <w:rPr>
          <w:color w:val="231F20"/>
          <w:spacing w:val="-13"/>
        </w:rPr>
        <w:t> </w:t>
      </w:r>
      <w:r>
        <w:rPr>
          <w:color w:val="231F20"/>
        </w:rPr>
        <w:t>avversari,</w:t>
      </w:r>
      <w:r>
        <w:rPr>
          <w:color w:val="231F20"/>
          <w:spacing w:val="-13"/>
        </w:rPr>
        <w:t> </w:t>
      </w:r>
      <w:r>
        <w:rPr>
          <w:color w:val="231F20"/>
        </w:rPr>
        <w:t>impadronendosi di un “concetto universale per potersi identificare con esso (a spese del suo nemico)”, secondo una dinamica che Schmitt considera peculiarmente consonante con i fini dell’“espansione imperialistica”</w:t>
      </w:r>
      <w:r>
        <w:rPr>
          <w:color w:val="231F20"/>
          <w:position w:val="7"/>
          <w:sz w:val="12"/>
        </w:rPr>
        <w:t>44</w:t>
      </w:r>
      <w:r>
        <w:rPr>
          <w:color w:val="231F20"/>
        </w:rPr>
        <w:t>. Nella prospettiva schmittiana, gli esiti prodotti da questo processo di trasvalutazione </w:t>
      </w:r>
      <w:r>
        <w:rPr>
          <w:color w:val="231F20"/>
          <w:spacing w:val="2"/>
        </w:rPr>
        <w:t>del </w:t>
      </w:r>
      <w:r>
        <w:rPr>
          <w:color w:val="231F20"/>
        </w:rPr>
        <w:t>conflitto</w:t>
      </w:r>
      <w:r>
        <w:rPr>
          <w:color w:val="231F20"/>
          <w:spacing w:val="-15"/>
        </w:rPr>
        <w:t> </w:t>
      </w:r>
      <w:r>
        <w:rPr>
          <w:color w:val="231F20"/>
        </w:rPr>
        <w:t>sono</w:t>
      </w:r>
      <w:r>
        <w:rPr>
          <w:color w:val="231F20"/>
          <w:spacing w:val="-15"/>
        </w:rPr>
        <w:t> </w:t>
      </w:r>
      <w:r>
        <w:rPr>
          <w:color w:val="231F20"/>
          <w:spacing w:val="-3"/>
        </w:rPr>
        <w:t>però</w:t>
      </w:r>
      <w:r>
        <w:rPr>
          <w:color w:val="231F20"/>
          <w:spacing w:val="-15"/>
        </w:rPr>
        <w:t> </w:t>
      </w:r>
      <w:r>
        <w:rPr>
          <w:color w:val="231F20"/>
        </w:rPr>
        <w:t>di</w:t>
      </w:r>
      <w:r>
        <w:rPr>
          <w:color w:val="231F20"/>
          <w:spacing w:val="-15"/>
        </w:rPr>
        <w:t> </w:t>
      </w:r>
      <w:r>
        <w:rPr>
          <w:color w:val="231F20"/>
        </w:rPr>
        <w:t>portata</w:t>
      </w:r>
      <w:r>
        <w:rPr>
          <w:color w:val="231F20"/>
          <w:spacing w:val="-15"/>
        </w:rPr>
        <w:t> </w:t>
      </w:r>
      <w:r>
        <w:rPr>
          <w:color w:val="231F20"/>
        </w:rPr>
        <w:t>tale</w:t>
      </w:r>
      <w:r>
        <w:rPr>
          <w:color w:val="231F20"/>
          <w:spacing w:val="-15"/>
        </w:rPr>
        <w:t> </w:t>
      </w:r>
      <w:r>
        <w:rPr>
          <w:color w:val="231F20"/>
        </w:rPr>
        <w:t>da</w:t>
      </w:r>
      <w:r>
        <w:rPr>
          <w:color w:val="231F20"/>
          <w:spacing w:val="-15"/>
        </w:rPr>
        <w:t> </w:t>
      </w:r>
      <w:r>
        <w:rPr>
          <w:color w:val="231F20"/>
          <w:spacing w:val="-3"/>
        </w:rPr>
        <w:t>alterare</w:t>
      </w:r>
      <w:r>
        <w:rPr>
          <w:color w:val="231F20"/>
          <w:spacing w:val="-15"/>
        </w:rPr>
        <w:t> </w:t>
      </w:r>
      <w:r>
        <w:rPr>
          <w:color w:val="231F20"/>
          <w:spacing w:val="-3"/>
        </w:rPr>
        <w:t>irreversibilmente</w:t>
      </w:r>
      <w:r>
        <w:rPr>
          <w:color w:val="231F20"/>
          <w:spacing w:val="-15"/>
        </w:rPr>
        <w:t> </w:t>
      </w:r>
      <w:r>
        <w:rPr>
          <w:color w:val="231F20"/>
        </w:rPr>
        <w:t>il</w:t>
      </w:r>
      <w:r>
        <w:rPr>
          <w:color w:val="231F20"/>
          <w:spacing w:val="-15"/>
        </w:rPr>
        <w:t> </w:t>
      </w:r>
      <w:r>
        <w:rPr>
          <w:color w:val="231F20"/>
        </w:rPr>
        <w:t>complessivo contesto delle relazioni politiche. Per la sua stessa struttura semantica, la nozione di “umanità” risulta, infatti, dotata di una portata polemica così accentuata da aprire il confronto tra gli Stati al rischio della più profonda asimmetria e discriminazione: come Schmitt annota nel saggio </w:t>
      </w:r>
      <w:r>
        <w:rPr>
          <w:rFonts w:ascii="Arial" w:hAnsi="Arial"/>
          <w:i/>
          <w:color w:val="231F20"/>
        </w:rPr>
        <w:t>Der Begriff </w:t>
      </w:r>
      <w:r>
        <w:rPr>
          <w:rFonts w:ascii="Arial" w:hAnsi="Arial"/>
          <w:i/>
          <w:color w:val="231F20"/>
        </w:rPr>
        <w:t>des</w:t>
      </w:r>
      <w:r>
        <w:rPr>
          <w:rFonts w:ascii="Arial" w:hAnsi="Arial"/>
          <w:i/>
          <w:color w:val="231F20"/>
          <w:spacing w:val="-3"/>
        </w:rPr>
        <w:t> </w:t>
      </w:r>
      <w:r>
        <w:rPr>
          <w:rFonts w:ascii="Arial" w:hAnsi="Arial"/>
          <w:i/>
          <w:color w:val="231F20"/>
        </w:rPr>
        <w:t>Politischen</w:t>
      </w:r>
      <w:r>
        <w:rPr>
          <w:color w:val="231F20"/>
        </w:rPr>
        <w:t>,</w:t>
      </w:r>
      <w:r>
        <w:rPr>
          <w:color w:val="231F20"/>
          <w:spacing w:val="-10"/>
        </w:rPr>
        <w:t> </w:t>
      </w:r>
      <w:r>
        <w:rPr>
          <w:color w:val="231F20"/>
        </w:rPr>
        <w:t>“proclamare</w:t>
      </w:r>
      <w:r>
        <w:rPr>
          <w:color w:val="231F20"/>
          <w:spacing w:val="-10"/>
        </w:rPr>
        <w:t> </w:t>
      </w:r>
      <w:r>
        <w:rPr>
          <w:color w:val="231F20"/>
        </w:rPr>
        <w:t>il</w:t>
      </w:r>
      <w:r>
        <w:rPr>
          <w:color w:val="231F20"/>
          <w:spacing w:val="-10"/>
        </w:rPr>
        <w:t> </w:t>
      </w:r>
      <w:r>
        <w:rPr>
          <w:color w:val="231F20"/>
        </w:rPr>
        <w:t>concetto</w:t>
      </w:r>
      <w:r>
        <w:rPr>
          <w:color w:val="231F20"/>
          <w:spacing w:val="-10"/>
        </w:rPr>
        <w:t> </w:t>
      </w:r>
      <w:r>
        <w:rPr>
          <w:color w:val="231F20"/>
        </w:rPr>
        <w:t>di</w:t>
      </w:r>
      <w:r>
        <w:rPr>
          <w:color w:val="231F20"/>
          <w:spacing w:val="-10"/>
        </w:rPr>
        <w:t> </w:t>
      </w:r>
      <w:r>
        <w:rPr>
          <w:color w:val="231F20"/>
        </w:rPr>
        <w:t>umanità,</w:t>
      </w:r>
      <w:r>
        <w:rPr>
          <w:color w:val="231F20"/>
          <w:spacing w:val="-10"/>
        </w:rPr>
        <w:t> </w:t>
      </w:r>
      <w:r>
        <w:rPr>
          <w:color w:val="231F20"/>
        </w:rPr>
        <w:t>richiamarsi</w:t>
      </w:r>
      <w:r>
        <w:rPr>
          <w:color w:val="231F20"/>
          <w:spacing w:val="-10"/>
        </w:rPr>
        <w:t> </w:t>
      </w:r>
      <w:r>
        <w:rPr>
          <w:color w:val="231F20"/>
        </w:rPr>
        <w:t>all’umanità, monopolizzare questa parola” ha, infatti, come conseguenza la “terribile </w:t>
      </w:r>
      <w:r>
        <w:rPr>
          <w:color w:val="231F20"/>
          <w:spacing w:val="2"/>
        </w:rPr>
        <w:t>pretesa” </w:t>
      </w:r>
      <w:r>
        <w:rPr>
          <w:color w:val="231F20"/>
        </w:rPr>
        <w:t>di </w:t>
      </w:r>
      <w:r>
        <w:rPr>
          <w:color w:val="231F20"/>
          <w:spacing w:val="2"/>
        </w:rPr>
        <w:t>sottrarre </w:t>
      </w:r>
      <w:r>
        <w:rPr>
          <w:color w:val="231F20"/>
        </w:rPr>
        <w:t>al proprio </w:t>
      </w:r>
      <w:r>
        <w:rPr>
          <w:color w:val="231F20"/>
          <w:spacing w:val="2"/>
        </w:rPr>
        <w:t>nemico </w:t>
      </w:r>
      <w:r>
        <w:rPr>
          <w:color w:val="231F20"/>
        </w:rPr>
        <w:t>la </w:t>
      </w:r>
      <w:r>
        <w:rPr>
          <w:color w:val="231F20"/>
          <w:spacing w:val="2"/>
        </w:rPr>
        <w:t>qualità stessa </w:t>
      </w:r>
      <w:r>
        <w:rPr>
          <w:color w:val="231F20"/>
        </w:rPr>
        <w:t>di </w:t>
      </w:r>
      <w:r>
        <w:rPr>
          <w:color w:val="231F20"/>
          <w:spacing w:val="2"/>
        </w:rPr>
        <w:t>“uomo”, </w:t>
      </w:r>
      <w:r>
        <w:rPr>
          <w:color w:val="231F20"/>
        </w:rPr>
        <w:t>di dichiararlo “</w:t>
      </w:r>
      <w:r>
        <w:rPr>
          <w:rFonts w:ascii="Arial" w:hAnsi="Arial"/>
          <w:i/>
          <w:color w:val="231F20"/>
        </w:rPr>
        <w:t>hors–la–loi e hors l’humanité</w:t>
      </w:r>
      <w:r>
        <w:rPr>
          <w:color w:val="231F20"/>
        </w:rPr>
        <w:t>”, portando la guerra contro di lui sino</w:t>
      </w:r>
      <w:r>
        <w:rPr>
          <w:color w:val="231F20"/>
          <w:spacing w:val="-8"/>
        </w:rPr>
        <w:t> </w:t>
      </w:r>
      <w:r>
        <w:rPr>
          <w:color w:val="231F20"/>
        </w:rPr>
        <w:t>alla</w:t>
      </w:r>
      <w:r>
        <w:rPr>
          <w:color w:val="231F20"/>
          <w:spacing w:val="-8"/>
        </w:rPr>
        <w:t> </w:t>
      </w:r>
      <w:r>
        <w:rPr>
          <w:color w:val="231F20"/>
        </w:rPr>
        <w:t>più</w:t>
      </w:r>
      <w:r>
        <w:rPr>
          <w:color w:val="231F20"/>
          <w:spacing w:val="-8"/>
        </w:rPr>
        <w:t> </w:t>
      </w:r>
      <w:r>
        <w:rPr>
          <w:color w:val="231F20"/>
        </w:rPr>
        <w:t>“estrema</w:t>
      </w:r>
      <w:r>
        <w:rPr>
          <w:color w:val="231F20"/>
          <w:spacing w:val="-8"/>
        </w:rPr>
        <w:t> </w:t>
      </w:r>
      <w:r>
        <w:rPr>
          <w:color w:val="231F20"/>
        </w:rPr>
        <w:t>inumanità”</w:t>
      </w:r>
      <w:r>
        <w:rPr>
          <w:color w:val="231F20"/>
          <w:position w:val="7"/>
          <w:sz w:val="12"/>
        </w:rPr>
        <w:t>45</w:t>
      </w:r>
      <w:r>
        <w:rPr>
          <w:color w:val="231F20"/>
        </w:rPr>
        <w:t>.</w:t>
      </w:r>
      <w:r>
        <w:rPr>
          <w:color w:val="231F20"/>
          <w:spacing w:val="-8"/>
        </w:rPr>
        <w:t> </w:t>
      </w:r>
      <w:r>
        <w:rPr>
          <w:color w:val="231F20"/>
        </w:rPr>
        <w:t>Una</w:t>
      </w:r>
      <w:r>
        <w:rPr>
          <w:color w:val="231F20"/>
          <w:spacing w:val="-8"/>
        </w:rPr>
        <w:t> </w:t>
      </w:r>
      <w:r>
        <w:rPr>
          <w:color w:val="231F20"/>
        </w:rPr>
        <w:t>dinamica,</w:t>
      </w:r>
      <w:r>
        <w:rPr>
          <w:color w:val="231F20"/>
          <w:spacing w:val="-8"/>
        </w:rPr>
        <w:t> </w:t>
      </w:r>
      <w:r>
        <w:rPr>
          <w:color w:val="231F20"/>
        </w:rPr>
        <w:t>questa,</w:t>
      </w:r>
      <w:r>
        <w:rPr>
          <w:color w:val="231F20"/>
          <w:spacing w:val="-8"/>
        </w:rPr>
        <w:t> </w:t>
      </w:r>
      <w:r>
        <w:rPr>
          <w:color w:val="231F20"/>
        </w:rPr>
        <w:t>che</w:t>
      </w:r>
      <w:r>
        <w:rPr>
          <w:color w:val="231F20"/>
          <w:spacing w:val="-8"/>
        </w:rPr>
        <w:t> </w:t>
      </w:r>
      <w:r>
        <w:rPr>
          <w:color w:val="231F20"/>
        </w:rPr>
        <w:t>nei</w:t>
      </w:r>
      <w:r>
        <w:rPr>
          <w:color w:val="231F20"/>
          <w:spacing w:val="-8"/>
        </w:rPr>
        <w:t> </w:t>
      </w:r>
      <w:r>
        <w:rPr>
          <w:color w:val="231F20"/>
        </w:rPr>
        <w:t>suoi</w:t>
      </w:r>
      <w:r>
        <w:rPr>
          <w:color w:val="231F20"/>
          <w:spacing w:val="-8"/>
        </w:rPr>
        <w:t> </w:t>
      </w:r>
      <w:r>
        <w:rPr>
          <w:color w:val="231F20"/>
        </w:rPr>
        <w:t>esiti radicalmente</w:t>
      </w:r>
      <w:r>
        <w:rPr>
          <w:color w:val="231F20"/>
          <w:spacing w:val="-15"/>
        </w:rPr>
        <w:t> </w:t>
      </w:r>
      <w:r>
        <w:rPr>
          <w:color w:val="231F20"/>
        </w:rPr>
        <w:t>discriminatori</w:t>
      </w:r>
      <w:r>
        <w:rPr>
          <w:color w:val="231F20"/>
          <w:spacing w:val="-15"/>
        </w:rPr>
        <w:t> </w:t>
      </w:r>
      <w:r>
        <w:rPr>
          <w:color w:val="231F20"/>
        </w:rPr>
        <w:t>sembra</w:t>
      </w:r>
      <w:r>
        <w:rPr>
          <w:color w:val="231F20"/>
          <w:spacing w:val="-15"/>
        </w:rPr>
        <w:t> </w:t>
      </w:r>
      <w:r>
        <w:rPr>
          <w:color w:val="231F20"/>
        </w:rPr>
        <w:t>trovare</w:t>
      </w:r>
      <w:r>
        <w:rPr>
          <w:color w:val="231F20"/>
          <w:spacing w:val="-15"/>
        </w:rPr>
        <w:t> </w:t>
      </w:r>
      <w:r>
        <w:rPr>
          <w:color w:val="231F20"/>
        </w:rPr>
        <w:t>un</w:t>
      </w:r>
      <w:r>
        <w:rPr>
          <w:color w:val="231F20"/>
          <w:spacing w:val="-15"/>
        </w:rPr>
        <w:t> </w:t>
      </w:r>
      <w:r>
        <w:rPr>
          <w:color w:val="231F20"/>
        </w:rPr>
        <w:t>contrappunto</w:t>
      </w:r>
      <w:r>
        <w:rPr>
          <w:color w:val="231F20"/>
          <w:spacing w:val="-15"/>
        </w:rPr>
        <w:t> </w:t>
      </w:r>
      <w:r>
        <w:rPr>
          <w:color w:val="231F20"/>
        </w:rPr>
        <w:t>peculiarmente </w:t>
      </w:r>
      <w:r>
        <w:rPr>
          <w:color w:val="231F20"/>
          <w:spacing w:val="6"/>
        </w:rPr>
        <w:t>consonante </w:t>
      </w:r>
      <w:r>
        <w:rPr>
          <w:color w:val="231F20"/>
          <w:spacing w:val="4"/>
        </w:rPr>
        <w:t>nel </w:t>
      </w:r>
      <w:r>
        <w:rPr>
          <w:color w:val="231F20"/>
          <w:spacing w:val="5"/>
        </w:rPr>
        <w:t>progressivo incremento della </w:t>
      </w:r>
      <w:r>
        <w:rPr>
          <w:color w:val="231F20"/>
          <w:spacing w:val="6"/>
        </w:rPr>
        <w:t>potenza distruttiva </w:t>
      </w:r>
      <w:r>
        <w:rPr>
          <w:color w:val="231F20"/>
        </w:rPr>
        <w:t>a disposizione dei belligeranti</w:t>
      </w:r>
      <w:r>
        <w:rPr>
          <w:color w:val="231F20"/>
          <w:position w:val="7"/>
          <w:sz w:val="12"/>
        </w:rPr>
        <w:t>46</w:t>
      </w:r>
      <w:r>
        <w:rPr>
          <w:color w:val="231F20"/>
        </w:rPr>
        <w:t>, sino agli scandalosi estremi di quella </w:t>
      </w:r>
      <w:r>
        <w:rPr>
          <w:color w:val="231F20"/>
          <w:spacing w:val="8"/>
        </w:rPr>
        <w:t> </w:t>
      </w:r>
      <w:r>
        <w:rPr>
          <w:color w:val="231F20"/>
        </w:rPr>
        <w:t>guerra</w:t>
      </w:r>
    </w:p>
    <w:p>
      <w:pPr>
        <w:pStyle w:val="BodyText"/>
        <w:spacing w:before="10"/>
        <w:rPr>
          <w:sz w:val="18"/>
        </w:rPr>
      </w:pPr>
      <w:r>
        <w:rPr/>
        <w:pict>
          <v:line style="position:absolute;mso-position-horizontal-relative:page;mso-position-vertical-relative:paragraph;z-index:14632;mso-wrap-distance-left:0;mso-wrap-distance-right:0" from="70.866096pt,13.506985pt" to="184.252096pt,13.506985pt" stroked="true" strokeweight=".3pt" strokecolor="#231f20">
            <w10:wrap type="topAndBottom"/>
          </v:line>
        </w:pict>
      </w:r>
    </w:p>
    <w:p>
      <w:pPr>
        <w:spacing w:line="204" w:lineRule="exact" w:before="9"/>
        <w:ind w:left="117" w:right="121" w:firstLine="0"/>
        <w:jc w:val="both"/>
        <w:rPr>
          <w:rFonts w:ascii="Calibri" w:hAnsi="Calibri"/>
          <w:sz w:val="17"/>
        </w:rPr>
      </w:pPr>
      <w:r>
        <w:rPr>
          <w:rFonts w:ascii="Calibri" w:hAnsi="Calibri"/>
          <w:color w:val="231F20"/>
          <w:w w:val="105"/>
          <w:sz w:val="17"/>
        </w:rPr>
        <w:t>anche, più in generale, J. McCormick, “Political Theory and Political Theology: The Second</w:t>
      </w:r>
      <w:r>
        <w:rPr>
          <w:rFonts w:ascii="Calibri" w:hAnsi="Calibri"/>
          <w:color w:val="231F20"/>
          <w:spacing w:val="-20"/>
          <w:w w:val="105"/>
          <w:sz w:val="17"/>
        </w:rPr>
        <w:t> </w:t>
      </w:r>
      <w:r>
        <w:rPr>
          <w:rFonts w:ascii="Calibri" w:hAnsi="Calibri"/>
          <w:color w:val="231F20"/>
          <w:w w:val="105"/>
          <w:sz w:val="17"/>
        </w:rPr>
        <w:t>Wave of</w:t>
      </w:r>
      <w:r>
        <w:rPr>
          <w:rFonts w:ascii="Calibri" w:hAnsi="Calibri"/>
          <w:color w:val="231F20"/>
          <w:spacing w:val="-9"/>
          <w:w w:val="105"/>
          <w:sz w:val="17"/>
        </w:rPr>
        <w:t> </w:t>
      </w:r>
      <w:r>
        <w:rPr>
          <w:rFonts w:ascii="Calibri" w:hAnsi="Calibri"/>
          <w:color w:val="231F20"/>
          <w:w w:val="105"/>
          <w:sz w:val="17"/>
        </w:rPr>
        <w:t>Carl</w:t>
      </w:r>
      <w:r>
        <w:rPr>
          <w:rFonts w:ascii="Calibri" w:hAnsi="Calibri"/>
          <w:color w:val="231F20"/>
          <w:spacing w:val="-9"/>
          <w:w w:val="105"/>
          <w:sz w:val="17"/>
        </w:rPr>
        <w:t> </w:t>
      </w:r>
      <w:r>
        <w:rPr>
          <w:rFonts w:ascii="Calibri" w:hAnsi="Calibri"/>
          <w:color w:val="231F20"/>
          <w:w w:val="105"/>
          <w:sz w:val="17"/>
        </w:rPr>
        <w:t>Schmitt”,</w:t>
      </w:r>
      <w:r>
        <w:rPr>
          <w:rFonts w:ascii="Calibri" w:hAnsi="Calibri"/>
          <w:color w:val="231F20"/>
          <w:spacing w:val="-9"/>
          <w:w w:val="105"/>
          <w:sz w:val="17"/>
        </w:rPr>
        <w:t> </w:t>
      </w:r>
      <w:r>
        <w:rPr>
          <w:rFonts w:ascii="Calibri" w:hAnsi="Calibri"/>
          <w:i/>
          <w:color w:val="231F20"/>
          <w:w w:val="105"/>
          <w:sz w:val="17"/>
        </w:rPr>
        <w:t>Political</w:t>
      </w:r>
      <w:r>
        <w:rPr>
          <w:rFonts w:ascii="Calibri" w:hAnsi="Calibri"/>
          <w:i/>
          <w:color w:val="231F20"/>
          <w:spacing w:val="-11"/>
          <w:w w:val="105"/>
          <w:sz w:val="17"/>
        </w:rPr>
        <w:t> </w:t>
      </w:r>
      <w:r>
        <w:rPr>
          <w:rFonts w:ascii="Calibri" w:hAnsi="Calibri"/>
          <w:i/>
          <w:color w:val="231F20"/>
          <w:w w:val="105"/>
          <w:sz w:val="17"/>
        </w:rPr>
        <w:t>Theory</w:t>
      </w:r>
      <w:r>
        <w:rPr>
          <w:rFonts w:ascii="Calibri" w:hAnsi="Calibri"/>
          <w:color w:val="231F20"/>
          <w:w w:val="105"/>
          <w:sz w:val="17"/>
        </w:rPr>
        <w:t>,</w:t>
      </w:r>
      <w:r>
        <w:rPr>
          <w:rFonts w:ascii="Calibri" w:hAnsi="Calibri"/>
          <w:color w:val="231F20"/>
          <w:spacing w:val="-9"/>
          <w:w w:val="105"/>
          <w:sz w:val="17"/>
        </w:rPr>
        <w:t> </w:t>
      </w:r>
      <w:r>
        <w:rPr>
          <w:rFonts w:ascii="Calibri" w:hAnsi="Calibri"/>
          <w:color w:val="231F20"/>
          <w:w w:val="105"/>
          <w:sz w:val="17"/>
        </w:rPr>
        <w:t>no.</w:t>
      </w:r>
      <w:r>
        <w:rPr>
          <w:rFonts w:ascii="Calibri" w:hAnsi="Calibri"/>
          <w:color w:val="231F20"/>
          <w:spacing w:val="-9"/>
          <w:w w:val="105"/>
          <w:sz w:val="17"/>
        </w:rPr>
        <w:t> </w:t>
      </w:r>
      <w:r>
        <w:rPr>
          <w:rFonts w:ascii="Calibri" w:hAnsi="Calibri"/>
          <w:color w:val="231F20"/>
          <w:w w:val="105"/>
          <w:sz w:val="17"/>
        </w:rPr>
        <w:t>6,</w:t>
      </w:r>
      <w:r>
        <w:rPr>
          <w:rFonts w:ascii="Calibri" w:hAnsi="Calibri"/>
          <w:color w:val="231F20"/>
          <w:spacing w:val="-9"/>
          <w:w w:val="105"/>
          <w:sz w:val="17"/>
        </w:rPr>
        <w:t> </w:t>
      </w:r>
      <w:r>
        <w:rPr>
          <w:rFonts w:ascii="Calibri" w:hAnsi="Calibri"/>
          <w:color w:val="231F20"/>
          <w:w w:val="105"/>
          <w:sz w:val="17"/>
        </w:rPr>
        <w:t>1998,</w:t>
      </w:r>
      <w:r>
        <w:rPr>
          <w:rFonts w:ascii="Calibri" w:hAnsi="Calibri"/>
          <w:color w:val="231F20"/>
          <w:spacing w:val="-9"/>
          <w:w w:val="105"/>
          <w:sz w:val="17"/>
        </w:rPr>
        <w:t> </w:t>
      </w:r>
      <w:r>
        <w:rPr>
          <w:rFonts w:ascii="Calibri" w:hAnsi="Calibri"/>
          <w:color w:val="231F20"/>
          <w:w w:val="105"/>
          <w:sz w:val="17"/>
        </w:rPr>
        <w:t>pp.</w:t>
      </w:r>
      <w:r>
        <w:rPr>
          <w:rFonts w:ascii="Calibri" w:hAnsi="Calibri"/>
          <w:color w:val="231F20"/>
          <w:spacing w:val="-9"/>
          <w:w w:val="105"/>
          <w:sz w:val="17"/>
        </w:rPr>
        <w:t> </w:t>
      </w:r>
      <w:r>
        <w:rPr>
          <w:rFonts w:ascii="Calibri" w:hAnsi="Calibri"/>
          <w:color w:val="231F20"/>
          <w:w w:val="105"/>
          <w:sz w:val="17"/>
        </w:rPr>
        <w:t>830–854;</w:t>
      </w:r>
      <w:r>
        <w:rPr>
          <w:rFonts w:ascii="Calibri" w:hAnsi="Calibri"/>
          <w:color w:val="231F20"/>
          <w:spacing w:val="-9"/>
          <w:w w:val="105"/>
          <w:sz w:val="17"/>
        </w:rPr>
        <w:t> </w:t>
      </w:r>
      <w:r>
        <w:rPr>
          <w:rFonts w:ascii="Calibri" w:hAnsi="Calibri"/>
          <w:color w:val="231F20"/>
          <w:w w:val="105"/>
          <w:sz w:val="17"/>
        </w:rPr>
        <w:t>C.</w:t>
      </w:r>
      <w:r>
        <w:rPr>
          <w:rFonts w:ascii="Calibri" w:hAnsi="Calibri"/>
          <w:color w:val="231F20"/>
          <w:spacing w:val="-9"/>
          <w:w w:val="105"/>
          <w:sz w:val="17"/>
        </w:rPr>
        <w:t> </w:t>
      </w:r>
      <w:r>
        <w:rPr>
          <w:rFonts w:ascii="Calibri" w:hAnsi="Calibri"/>
          <w:color w:val="231F20"/>
          <w:w w:val="105"/>
          <w:sz w:val="17"/>
        </w:rPr>
        <w:t>Galli,</w:t>
      </w:r>
      <w:r>
        <w:rPr>
          <w:rFonts w:ascii="Calibri" w:hAnsi="Calibri"/>
          <w:color w:val="231F20"/>
          <w:spacing w:val="-9"/>
          <w:w w:val="105"/>
          <w:sz w:val="17"/>
        </w:rPr>
        <w:t> </w:t>
      </w:r>
      <w:r>
        <w:rPr>
          <w:rFonts w:ascii="Calibri" w:hAnsi="Calibri"/>
          <w:color w:val="231F20"/>
          <w:w w:val="105"/>
          <w:sz w:val="17"/>
        </w:rPr>
        <w:t>“Schmitt</w:t>
      </w:r>
      <w:r>
        <w:rPr>
          <w:rFonts w:ascii="Calibri" w:hAnsi="Calibri"/>
          <w:color w:val="231F20"/>
          <w:spacing w:val="-9"/>
          <w:w w:val="105"/>
          <w:sz w:val="17"/>
        </w:rPr>
        <w:t> </w:t>
      </w:r>
      <w:r>
        <w:rPr>
          <w:rFonts w:ascii="Calibri" w:hAnsi="Calibri"/>
          <w:color w:val="231F20"/>
          <w:w w:val="105"/>
          <w:sz w:val="17"/>
        </w:rPr>
        <w:t>e</w:t>
      </w:r>
      <w:r>
        <w:rPr>
          <w:rFonts w:ascii="Calibri" w:hAnsi="Calibri"/>
          <w:color w:val="231F20"/>
          <w:spacing w:val="-9"/>
          <w:w w:val="105"/>
          <w:sz w:val="17"/>
        </w:rPr>
        <w:t> </w:t>
      </w:r>
      <w:r>
        <w:rPr>
          <w:rFonts w:ascii="Calibri" w:hAnsi="Calibri"/>
          <w:color w:val="231F20"/>
          <w:spacing w:val="-3"/>
          <w:w w:val="105"/>
          <w:sz w:val="17"/>
        </w:rPr>
        <w:t>l’età</w:t>
      </w:r>
      <w:r>
        <w:rPr>
          <w:rFonts w:ascii="Calibri" w:hAnsi="Calibri"/>
          <w:color w:val="231F20"/>
          <w:spacing w:val="-9"/>
          <w:w w:val="105"/>
          <w:sz w:val="17"/>
        </w:rPr>
        <w:t> </w:t>
      </w:r>
      <w:r>
        <w:rPr>
          <w:rFonts w:ascii="Calibri" w:hAnsi="Calibri"/>
          <w:color w:val="231F20"/>
          <w:w w:val="105"/>
          <w:sz w:val="17"/>
        </w:rPr>
        <w:t>gobale”,</w:t>
      </w:r>
      <w:r>
        <w:rPr>
          <w:rFonts w:ascii="Calibri" w:hAnsi="Calibri"/>
          <w:color w:val="231F20"/>
          <w:spacing w:val="-9"/>
          <w:w w:val="105"/>
          <w:sz w:val="17"/>
        </w:rPr>
        <w:t> </w:t>
      </w:r>
      <w:r>
        <w:rPr>
          <w:rFonts w:ascii="Calibri" w:hAnsi="Calibri"/>
          <w:color w:val="231F20"/>
          <w:w w:val="105"/>
          <w:sz w:val="17"/>
        </w:rPr>
        <w:t>en</w:t>
      </w:r>
      <w:r>
        <w:rPr>
          <w:rFonts w:ascii="Calibri" w:hAnsi="Calibri"/>
          <w:color w:val="231F20"/>
          <w:spacing w:val="-9"/>
          <w:w w:val="105"/>
          <w:sz w:val="17"/>
        </w:rPr>
        <w:t> </w:t>
      </w:r>
      <w:r>
        <w:rPr>
          <w:rFonts w:ascii="Calibri" w:hAnsi="Calibri"/>
          <w:color w:val="231F20"/>
          <w:w w:val="105"/>
          <w:sz w:val="17"/>
        </w:rPr>
        <w:t>C. Galli,</w:t>
      </w:r>
      <w:r>
        <w:rPr>
          <w:rFonts w:ascii="Calibri" w:hAnsi="Calibri"/>
          <w:color w:val="231F20"/>
          <w:spacing w:val="-22"/>
          <w:w w:val="105"/>
          <w:sz w:val="17"/>
        </w:rPr>
        <w:t> </w:t>
      </w:r>
      <w:r>
        <w:rPr>
          <w:rFonts w:ascii="Calibri" w:hAnsi="Calibri"/>
          <w:i/>
          <w:color w:val="231F20"/>
          <w:w w:val="105"/>
          <w:sz w:val="17"/>
        </w:rPr>
        <w:t>Lo</w:t>
      </w:r>
      <w:r>
        <w:rPr>
          <w:rFonts w:ascii="Calibri" w:hAnsi="Calibri"/>
          <w:i/>
          <w:color w:val="231F20"/>
          <w:spacing w:val="-23"/>
          <w:w w:val="105"/>
          <w:sz w:val="17"/>
        </w:rPr>
        <w:t> </w:t>
      </w:r>
      <w:r>
        <w:rPr>
          <w:rFonts w:ascii="Calibri" w:hAnsi="Calibri"/>
          <w:i/>
          <w:color w:val="231F20"/>
          <w:w w:val="105"/>
          <w:sz w:val="17"/>
        </w:rPr>
        <w:t>sguardo</w:t>
      </w:r>
      <w:r>
        <w:rPr>
          <w:rFonts w:ascii="Calibri" w:hAnsi="Calibri"/>
          <w:i/>
          <w:color w:val="231F20"/>
          <w:spacing w:val="-23"/>
          <w:w w:val="105"/>
          <w:sz w:val="17"/>
        </w:rPr>
        <w:t> </w:t>
      </w:r>
      <w:r>
        <w:rPr>
          <w:rFonts w:ascii="Calibri" w:hAnsi="Calibri"/>
          <w:i/>
          <w:color w:val="231F20"/>
          <w:w w:val="105"/>
          <w:sz w:val="17"/>
        </w:rPr>
        <w:t>di</w:t>
      </w:r>
      <w:r>
        <w:rPr>
          <w:rFonts w:ascii="Calibri" w:hAnsi="Calibri"/>
          <w:i/>
          <w:color w:val="231F20"/>
          <w:spacing w:val="-23"/>
          <w:w w:val="105"/>
          <w:sz w:val="17"/>
        </w:rPr>
        <w:t> </w:t>
      </w:r>
      <w:r>
        <w:rPr>
          <w:rFonts w:ascii="Calibri" w:hAnsi="Calibri"/>
          <w:i/>
          <w:color w:val="231F20"/>
          <w:w w:val="105"/>
          <w:sz w:val="17"/>
        </w:rPr>
        <w:t>Giano.</w:t>
      </w:r>
      <w:r>
        <w:rPr>
          <w:rFonts w:ascii="Calibri" w:hAnsi="Calibri"/>
          <w:i/>
          <w:color w:val="231F20"/>
          <w:spacing w:val="-23"/>
          <w:w w:val="105"/>
          <w:sz w:val="17"/>
        </w:rPr>
        <w:t> </w:t>
      </w:r>
      <w:r>
        <w:rPr>
          <w:rFonts w:ascii="Calibri" w:hAnsi="Calibri"/>
          <w:i/>
          <w:color w:val="231F20"/>
          <w:w w:val="105"/>
          <w:sz w:val="17"/>
        </w:rPr>
        <w:t>Saggi</w:t>
      </w:r>
      <w:r>
        <w:rPr>
          <w:rFonts w:ascii="Calibri" w:hAnsi="Calibri"/>
          <w:i/>
          <w:color w:val="231F20"/>
          <w:spacing w:val="-23"/>
          <w:w w:val="105"/>
          <w:sz w:val="17"/>
        </w:rPr>
        <w:t> </w:t>
      </w:r>
      <w:r>
        <w:rPr>
          <w:rFonts w:ascii="Calibri" w:hAnsi="Calibri"/>
          <w:i/>
          <w:color w:val="231F20"/>
          <w:w w:val="105"/>
          <w:sz w:val="17"/>
        </w:rPr>
        <w:t>su</w:t>
      </w:r>
      <w:r>
        <w:rPr>
          <w:rFonts w:ascii="Calibri" w:hAnsi="Calibri"/>
          <w:i/>
          <w:color w:val="231F20"/>
          <w:spacing w:val="-23"/>
          <w:w w:val="105"/>
          <w:sz w:val="17"/>
        </w:rPr>
        <w:t> </w:t>
      </w:r>
      <w:r>
        <w:rPr>
          <w:rFonts w:ascii="Calibri" w:hAnsi="Calibri"/>
          <w:i/>
          <w:color w:val="231F20"/>
          <w:w w:val="105"/>
          <w:sz w:val="17"/>
        </w:rPr>
        <w:t>Carl</w:t>
      </w:r>
      <w:r>
        <w:rPr>
          <w:rFonts w:ascii="Calibri" w:hAnsi="Calibri"/>
          <w:i/>
          <w:color w:val="231F20"/>
          <w:spacing w:val="-23"/>
          <w:w w:val="105"/>
          <w:sz w:val="17"/>
        </w:rPr>
        <w:t> </w:t>
      </w:r>
      <w:r>
        <w:rPr>
          <w:rFonts w:ascii="Calibri" w:hAnsi="Calibri"/>
          <w:i/>
          <w:color w:val="231F20"/>
          <w:w w:val="105"/>
          <w:sz w:val="17"/>
        </w:rPr>
        <w:t>Schmitt,</w:t>
      </w:r>
      <w:r>
        <w:rPr>
          <w:rFonts w:ascii="Calibri" w:hAnsi="Calibri"/>
          <w:i/>
          <w:color w:val="231F20"/>
          <w:spacing w:val="-22"/>
          <w:w w:val="105"/>
          <w:sz w:val="17"/>
        </w:rPr>
        <w:t> </w:t>
      </w:r>
      <w:r>
        <w:rPr>
          <w:rFonts w:ascii="Calibri" w:hAnsi="Calibri"/>
          <w:color w:val="231F20"/>
          <w:w w:val="105"/>
          <w:sz w:val="17"/>
        </w:rPr>
        <w:t>Bologna,</w:t>
      </w:r>
      <w:r>
        <w:rPr>
          <w:rFonts w:ascii="Calibri" w:hAnsi="Calibri"/>
          <w:color w:val="231F20"/>
          <w:spacing w:val="-22"/>
          <w:w w:val="105"/>
          <w:sz w:val="17"/>
        </w:rPr>
        <w:t> </w:t>
      </w:r>
      <w:r>
        <w:rPr>
          <w:rFonts w:ascii="Calibri" w:hAnsi="Calibri"/>
          <w:color w:val="231F20"/>
          <w:w w:val="105"/>
          <w:sz w:val="17"/>
        </w:rPr>
        <w:t>il</w:t>
      </w:r>
      <w:r>
        <w:rPr>
          <w:rFonts w:ascii="Calibri" w:hAnsi="Calibri"/>
          <w:color w:val="231F20"/>
          <w:spacing w:val="-22"/>
          <w:w w:val="105"/>
          <w:sz w:val="17"/>
        </w:rPr>
        <w:t> </w:t>
      </w:r>
      <w:r>
        <w:rPr>
          <w:rFonts w:ascii="Calibri" w:hAnsi="Calibri"/>
          <w:color w:val="231F20"/>
          <w:w w:val="105"/>
          <w:sz w:val="17"/>
        </w:rPr>
        <w:t>Mulino,</w:t>
      </w:r>
      <w:r>
        <w:rPr>
          <w:rFonts w:ascii="Calibri" w:hAnsi="Calibri"/>
          <w:color w:val="231F20"/>
          <w:spacing w:val="-22"/>
          <w:w w:val="105"/>
          <w:sz w:val="17"/>
        </w:rPr>
        <w:t> </w:t>
      </w:r>
      <w:r>
        <w:rPr>
          <w:rFonts w:ascii="Calibri" w:hAnsi="Calibri"/>
          <w:color w:val="231F20"/>
          <w:w w:val="105"/>
          <w:sz w:val="17"/>
        </w:rPr>
        <w:t>2009,</w:t>
      </w:r>
      <w:r>
        <w:rPr>
          <w:rFonts w:ascii="Calibri" w:hAnsi="Calibri"/>
          <w:color w:val="231F20"/>
          <w:spacing w:val="-22"/>
          <w:w w:val="105"/>
          <w:sz w:val="17"/>
        </w:rPr>
        <w:t> </w:t>
      </w:r>
      <w:r>
        <w:rPr>
          <w:rFonts w:ascii="Calibri" w:hAnsi="Calibri"/>
          <w:color w:val="231F20"/>
          <w:w w:val="105"/>
          <w:sz w:val="17"/>
        </w:rPr>
        <w:t>pp.</w:t>
      </w:r>
      <w:r>
        <w:rPr>
          <w:rFonts w:ascii="Calibri" w:hAnsi="Calibri"/>
          <w:color w:val="231F20"/>
          <w:spacing w:val="-22"/>
          <w:w w:val="105"/>
          <w:sz w:val="17"/>
        </w:rPr>
        <w:t> </w:t>
      </w:r>
      <w:r>
        <w:rPr>
          <w:rFonts w:ascii="Calibri" w:hAnsi="Calibri"/>
          <w:color w:val="231F20"/>
          <w:w w:val="105"/>
          <w:sz w:val="17"/>
        </w:rPr>
        <w:t>129–172.</w:t>
      </w:r>
    </w:p>
    <w:p>
      <w:pPr>
        <w:spacing w:line="206" w:lineRule="exact" w:before="1"/>
        <w:ind w:left="117" w:right="0" w:firstLine="0"/>
        <w:jc w:val="both"/>
        <w:rPr>
          <w:rFonts w:ascii="Calibri" w:hAnsi="Calibri"/>
          <w:sz w:val="17"/>
        </w:rPr>
      </w:pPr>
      <w:r>
        <w:rPr>
          <w:rFonts w:ascii="Calibri" w:hAnsi="Calibri"/>
          <w:color w:val="231F20"/>
          <w:position w:val="6"/>
          <w:sz w:val="10"/>
        </w:rPr>
        <w:t>43 </w:t>
      </w:r>
      <w:r>
        <w:rPr>
          <w:rFonts w:ascii="Calibri" w:hAnsi="Calibri"/>
          <w:color w:val="231F20"/>
          <w:sz w:val="17"/>
        </w:rPr>
        <w:t>Habermas, </w:t>
      </w:r>
      <w:r>
        <w:rPr>
          <w:rFonts w:ascii="Calibri" w:hAnsi="Calibri"/>
          <w:i/>
          <w:color w:val="231F20"/>
          <w:sz w:val="17"/>
        </w:rPr>
        <w:t>L’idea kantiana della pace perpetua, due secoli dopo</w:t>
      </w:r>
      <w:r>
        <w:rPr>
          <w:rFonts w:ascii="Calibri" w:hAnsi="Calibri"/>
          <w:color w:val="231F20"/>
          <w:sz w:val="17"/>
        </w:rPr>
        <w:t>, pp. 200–201.</w:t>
      </w:r>
    </w:p>
    <w:p>
      <w:pPr>
        <w:spacing w:line="235" w:lineRule="auto" w:before="1"/>
        <w:ind w:left="117" w:right="121" w:firstLine="0"/>
        <w:jc w:val="both"/>
        <w:rPr>
          <w:rFonts w:ascii="Calibri" w:hAnsi="Calibri"/>
          <w:sz w:val="17"/>
        </w:rPr>
      </w:pPr>
      <w:r>
        <w:rPr>
          <w:rFonts w:ascii="Calibri" w:hAnsi="Calibri"/>
          <w:color w:val="231F20"/>
          <w:w w:val="105"/>
          <w:position w:val="6"/>
          <w:sz w:val="10"/>
        </w:rPr>
        <w:t>44 </w:t>
      </w:r>
      <w:r>
        <w:rPr>
          <w:rFonts w:ascii="Calibri" w:hAnsi="Calibri"/>
          <w:color w:val="231F20"/>
          <w:w w:val="105"/>
          <w:sz w:val="17"/>
        </w:rPr>
        <w:t>C. Schmitt, </w:t>
      </w:r>
      <w:r>
        <w:rPr>
          <w:rFonts w:ascii="Calibri" w:hAnsi="Calibri"/>
          <w:i/>
          <w:color w:val="231F20"/>
          <w:w w:val="105"/>
          <w:sz w:val="17"/>
        </w:rPr>
        <w:t>Der Begriff des Politischen</w:t>
      </w:r>
      <w:r>
        <w:rPr>
          <w:rFonts w:ascii="Calibri" w:hAnsi="Calibri"/>
          <w:color w:val="231F20"/>
          <w:w w:val="105"/>
          <w:sz w:val="17"/>
        </w:rPr>
        <w:t>, Berlin, Duncker &amp; Humblot, 1932 (trad. it. </w:t>
      </w:r>
      <w:r>
        <w:rPr>
          <w:rFonts w:ascii="Calibri" w:hAnsi="Calibri"/>
          <w:i/>
          <w:color w:val="231F20"/>
          <w:w w:val="105"/>
          <w:sz w:val="17"/>
        </w:rPr>
        <w:t>Il concetto di </w:t>
      </w:r>
      <w:r>
        <w:rPr>
          <w:rFonts w:ascii="Calibri" w:hAnsi="Calibri"/>
          <w:i/>
          <w:color w:val="231F20"/>
          <w:w w:val="105"/>
          <w:sz w:val="17"/>
        </w:rPr>
        <w:t>‘politico’</w:t>
      </w:r>
      <w:r>
        <w:rPr>
          <w:rFonts w:ascii="Calibri" w:hAnsi="Calibri"/>
          <w:color w:val="231F20"/>
          <w:w w:val="105"/>
          <w:sz w:val="17"/>
        </w:rPr>
        <w:t>, in Carl Schmitt, </w:t>
      </w:r>
      <w:r>
        <w:rPr>
          <w:rFonts w:ascii="Calibri" w:hAnsi="Calibri"/>
          <w:i/>
          <w:color w:val="231F20"/>
          <w:w w:val="105"/>
          <w:sz w:val="17"/>
        </w:rPr>
        <w:t>Le categorie del «politico»</w:t>
      </w:r>
      <w:r>
        <w:rPr>
          <w:rFonts w:ascii="Calibri" w:hAnsi="Calibri"/>
          <w:color w:val="231F20"/>
          <w:w w:val="105"/>
          <w:sz w:val="17"/>
        </w:rPr>
        <w:t>, Bologna, il Mulino, 1972, p. 139). E</w:t>
      </w:r>
      <w:r>
        <w:rPr>
          <w:rFonts w:ascii="Calibri" w:hAnsi="Calibri"/>
          <w:color w:val="231F20"/>
          <w:spacing w:val="-15"/>
          <w:w w:val="105"/>
          <w:sz w:val="17"/>
        </w:rPr>
        <w:t> </w:t>
      </w:r>
      <w:r>
        <w:rPr>
          <w:rFonts w:ascii="Calibri" w:hAnsi="Calibri"/>
          <w:color w:val="231F20"/>
          <w:w w:val="105"/>
          <w:sz w:val="17"/>
        </w:rPr>
        <w:t>ancora, </w:t>
      </w:r>
      <w:r>
        <w:rPr>
          <w:rFonts w:ascii="Calibri" w:hAnsi="Calibri"/>
          <w:i/>
          <w:color w:val="231F20"/>
          <w:w w:val="105"/>
          <w:sz w:val="17"/>
        </w:rPr>
        <w:t>Schmitt,</w:t>
      </w:r>
      <w:r>
        <w:rPr>
          <w:rFonts w:ascii="Calibri" w:hAnsi="Calibri"/>
          <w:i/>
          <w:color w:val="231F20"/>
          <w:spacing w:val="-19"/>
          <w:w w:val="105"/>
          <w:sz w:val="17"/>
        </w:rPr>
        <w:t> </w:t>
      </w:r>
      <w:r>
        <w:rPr>
          <w:rFonts w:ascii="Calibri" w:hAnsi="Calibri"/>
          <w:i/>
          <w:color w:val="231F20"/>
          <w:w w:val="105"/>
          <w:sz w:val="17"/>
        </w:rPr>
        <w:t>Le</w:t>
      </w:r>
      <w:r>
        <w:rPr>
          <w:rFonts w:ascii="Calibri" w:hAnsi="Calibri"/>
          <w:i/>
          <w:color w:val="231F20"/>
          <w:spacing w:val="-19"/>
          <w:w w:val="105"/>
          <w:sz w:val="17"/>
        </w:rPr>
        <w:t> </w:t>
      </w:r>
      <w:r>
        <w:rPr>
          <w:rFonts w:ascii="Calibri" w:hAnsi="Calibri"/>
          <w:i/>
          <w:color w:val="231F20"/>
          <w:w w:val="105"/>
          <w:sz w:val="17"/>
        </w:rPr>
        <w:t>categorie</w:t>
      </w:r>
      <w:r>
        <w:rPr>
          <w:rFonts w:ascii="Calibri" w:hAnsi="Calibri"/>
          <w:i/>
          <w:color w:val="231F20"/>
          <w:spacing w:val="-19"/>
          <w:w w:val="105"/>
          <w:sz w:val="17"/>
        </w:rPr>
        <w:t> </w:t>
      </w:r>
      <w:r>
        <w:rPr>
          <w:rFonts w:ascii="Calibri" w:hAnsi="Calibri"/>
          <w:i/>
          <w:color w:val="231F20"/>
          <w:w w:val="105"/>
          <w:sz w:val="17"/>
        </w:rPr>
        <w:t>del</w:t>
      </w:r>
      <w:r>
        <w:rPr>
          <w:rFonts w:ascii="Calibri" w:hAnsi="Calibri"/>
          <w:i/>
          <w:color w:val="231F20"/>
          <w:spacing w:val="-19"/>
          <w:w w:val="105"/>
          <w:sz w:val="17"/>
        </w:rPr>
        <w:t> </w:t>
      </w:r>
      <w:r>
        <w:rPr>
          <w:rFonts w:ascii="Calibri" w:hAnsi="Calibri"/>
          <w:i/>
          <w:color w:val="231F20"/>
          <w:w w:val="105"/>
          <w:sz w:val="17"/>
        </w:rPr>
        <w:t>«politico»</w:t>
      </w:r>
      <w:r>
        <w:rPr>
          <w:rFonts w:ascii="Calibri" w:hAnsi="Calibri"/>
          <w:color w:val="231F20"/>
          <w:w w:val="105"/>
          <w:sz w:val="17"/>
        </w:rPr>
        <w:t>,</w:t>
      </w:r>
      <w:r>
        <w:rPr>
          <w:rFonts w:ascii="Calibri" w:hAnsi="Calibri"/>
          <w:color w:val="231F20"/>
          <w:spacing w:val="-18"/>
          <w:w w:val="105"/>
          <w:sz w:val="17"/>
        </w:rPr>
        <w:t> </w:t>
      </w:r>
      <w:r>
        <w:rPr>
          <w:rFonts w:ascii="Calibri" w:hAnsi="Calibri"/>
          <w:color w:val="231F20"/>
          <w:w w:val="105"/>
          <w:sz w:val="17"/>
        </w:rPr>
        <w:t>p.</w:t>
      </w:r>
      <w:r>
        <w:rPr>
          <w:rFonts w:ascii="Calibri" w:hAnsi="Calibri"/>
          <w:color w:val="231F20"/>
          <w:spacing w:val="-18"/>
          <w:w w:val="105"/>
          <w:sz w:val="17"/>
        </w:rPr>
        <w:t> </w:t>
      </w:r>
      <w:r>
        <w:rPr>
          <w:rFonts w:ascii="Calibri" w:hAnsi="Calibri"/>
          <w:color w:val="231F20"/>
          <w:w w:val="105"/>
          <w:sz w:val="17"/>
        </w:rPr>
        <w:t>153:</w:t>
      </w:r>
      <w:r>
        <w:rPr>
          <w:rFonts w:ascii="Calibri" w:hAnsi="Calibri"/>
          <w:color w:val="231F20"/>
          <w:spacing w:val="-18"/>
          <w:w w:val="105"/>
          <w:sz w:val="17"/>
        </w:rPr>
        <w:t> </w:t>
      </w:r>
      <w:r>
        <w:rPr>
          <w:rFonts w:ascii="Calibri" w:hAnsi="Calibri"/>
          <w:color w:val="231F20"/>
          <w:w w:val="105"/>
          <w:sz w:val="17"/>
        </w:rPr>
        <w:t>“Il</w:t>
      </w:r>
      <w:r>
        <w:rPr>
          <w:rFonts w:ascii="Calibri" w:hAnsi="Calibri"/>
          <w:color w:val="231F20"/>
          <w:spacing w:val="-18"/>
          <w:w w:val="105"/>
          <w:sz w:val="17"/>
        </w:rPr>
        <w:t> </w:t>
      </w:r>
      <w:r>
        <w:rPr>
          <w:rFonts w:ascii="Calibri" w:hAnsi="Calibri"/>
          <w:color w:val="231F20"/>
          <w:w w:val="105"/>
          <w:sz w:val="17"/>
        </w:rPr>
        <w:t>pensiero</w:t>
      </w:r>
      <w:r>
        <w:rPr>
          <w:rFonts w:ascii="Calibri" w:hAnsi="Calibri"/>
          <w:color w:val="231F20"/>
          <w:spacing w:val="-18"/>
          <w:w w:val="105"/>
          <w:sz w:val="17"/>
        </w:rPr>
        <w:t> </w:t>
      </w:r>
      <w:r>
        <w:rPr>
          <w:rFonts w:ascii="Calibri" w:hAnsi="Calibri"/>
          <w:color w:val="231F20"/>
          <w:w w:val="105"/>
          <w:sz w:val="17"/>
        </w:rPr>
        <w:t>politico</w:t>
      </w:r>
      <w:r>
        <w:rPr>
          <w:rFonts w:ascii="Calibri" w:hAnsi="Calibri"/>
          <w:color w:val="231F20"/>
          <w:spacing w:val="-18"/>
          <w:w w:val="105"/>
          <w:sz w:val="17"/>
        </w:rPr>
        <w:t> </w:t>
      </w:r>
      <w:r>
        <w:rPr>
          <w:rFonts w:ascii="Calibri" w:hAnsi="Calibri"/>
          <w:color w:val="231F20"/>
          <w:w w:val="105"/>
          <w:sz w:val="17"/>
        </w:rPr>
        <w:t>è</w:t>
      </w:r>
      <w:r>
        <w:rPr>
          <w:rFonts w:ascii="Calibri" w:hAnsi="Calibri"/>
          <w:color w:val="231F20"/>
          <w:spacing w:val="-18"/>
          <w:w w:val="105"/>
          <w:sz w:val="17"/>
        </w:rPr>
        <w:t> </w:t>
      </w:r>
      <w:r>
        <w:rPr>
          <w:rFonts w:ascii="Calibri" w:hAnsi="Calibri"/>
          <w:color w:val="231F20"/>
          <w:w w:val="105"/>
          <w:sz w:val="17"/>
        </w:rPr>
        <w:t>qui</w:t>
      </w:r>
      <w:r>
        <w:rPr>
          <w:rFonts w:ascii="Calibri" w:hAnsi="Calibri"/>
          <w:color w:val="231F20"/>
          <w:spacing w:val="-18"/>
          <w:w w:val="105"/>
          <w:sz w:val="17"/>
        </w:rPr>
        <w:t> </w:t>
      </w:r>
      <w:r>
        <w:rPr>
          <w:rFonts w:ascii="Calibri" w:hAnsi="Calibri"/>
          <w:color w:val="231F20"/>
          <w:w w:val="105"/>
          <w:sz w:val="17"/>
        </w:rPr>
        <w:t>inconfutabile,</w:t>
      </w:r>
      <w:r>
        <w:rPr>
          <w:rFonts w:ascii="Calibri" w:hAnsi="Calibri"/>
          <w:color w:val="231F20"/>
          <w:spacing w:val="-18"/>
          <w:w w:val="105"/>
          <w:sz w:val="17"/>
        </w:rPr>
        <w:t> </w:t>
      </w:r>
      <w:r>
        <w:rPr>
          <w:rFonts w:ascii="Calibri" w:hAnsi="Calibri"/>
          <w:color w:val="231F20"/>
          <w:w w:val="105"/>
          <w:sz w:val="17"/>
        </w:rPr>
        <w:t>nell’autonomia e</w:t>
      </w:r>
      <w:r>
        <w:rPr>
          <w:rFonts w:ascii="Calibri" w:hAnsi="Calibri"/>
          <w:color w:val="231F20"/>
          <w:spacing w:val="-9"/>
          <w:w w:val="105"/>
          <w:sz w:val="17"/>
        </w:rPr>
        <w:t> </w:t>
      </w:r>
      <w:r>
        <w:rPr>
          <w:rFonts w:ascii="Calibri" w:hAnsi="Calibri"/>
          <w:color w:val="231F20"/>
          <w:w w:val="105"/>
          <w:sz w:val="17"/>
        </w:rPr>
        <w:t>nella</w:t>
      </w:r>
      <w:r>
        <w:rPr>
          <w:rFonts w:ascii="Calibri" w:hAnsi="Calibri"/>
          <w:color w:val="231F20"/>
          <w:spacing w:val="-9"/>
          <w:w w:val="105"/>
          <w:sz w:val="17"/>
        </w:rPr>
        <w:t> </w:t>
      </w:r>
      <w:r>
        <w:rPr>
          <w:rFonts w:ascii="Calibri" w:hAnsi="Calibri"/>
          <w:color w:val="231F20"/>
          <w:w w:val="105"/>
          <w:sz w:val="17"/>
        </w:rPr>
        <w:t>chiusura</w:t>
      </w:r>
      <w:r>
        <w:rPr>
          <w:rFonts w:ascii="Calibri" w:hAnsi="Calibri"/>
          <w:color w:val="231F20"/>
          <w:spacing w:val="-9"/>
          <w:w w:val="105"/>
          <w:sz w:val="17"/>
        </w:rPr>
        <w:t> </w:t>
      </w:r>
      <w:r>
        <w:rPr>
          <w:rFonts w:ascii="Calibri" w:hAnsi="Calibri"/>
          <w:color w:val="231F20"/>
          <w:w w:val="105"/>
          <w:sz w:val="17"/>
        </w:rPr>
        <w:t>della</w:t>
      </w:r>
      <w:r>
        <w:rPr>
          <w:rFonts w:ascii="Calibri" w:hAnsi="Calibri"/>
          <w:color w:val="231F20"/>
          <w:spacing w:val="-9"/>
          <w:w w:val="105"/>
          <w:sz w:val="17"/>
        </w:rPr>
        <w:t> </w:t>
      </w:r>
      <w:r>
        <w:rPr>
          <w:rFonts w:ascii="Calibri" w:hAnsi="Calibri"/>
          <w:color w:val="231F20"/>
          <w:w w:val="105"/>
          <w:sz w:val="17"/>
        </w:rPr>
        <w:t>sua</w:t>
      </w:r>
      <w:r>
        <w:rPr>
          <w:rFonts w:ascii="Calibri" w:hAnsi="Calibri"/>
          <w:color w:val="231F20"/>
          <w:spacing w:val="-9"/>
          <w:w w:val="105"/>
          <w:sz w:val="17"/>
        </w:rPr>
        <w:t> </w:t>
      </w:r>
      <w:r>
        <w:rPr>
          <w:rFonts w:ascii="Calibri" w:hAnsi="Calibri"/>
          <w:color w:val="231F20"/>
          <w:w w:val="105"/>
          <w:sz w:val="17"/>
        </w:rPr>
        <w:t>sfera,</w:t>
      </w:r>
      <w:r>
        <w:rPr>
          <w:rFonts w:ascii="Calibri" w:hAnsi="Calibri"/>
          <w:color w:val="231F20"/>
          <w:spacing w:val="-9"/>
          <w:w w:val="105"/>
          <w:sz w:val="17"/>
        </w:rPr>
        <w:t> </w:t>
      </w:r>
      <w:r>
        <w:rPr>
          <w:rFonts w:ascii="Calibri" w:hAnsi="Calibri"/>
          <w:color w:val="231F20"/>
          <w:w w:val="105"/>
          <w:sz w:val="17"/>
        </w:rPr>
        <w:t>perché</w:t>
      </w:r>
      <w:r>
        <w:rPr>
          <w:rFonts w:ascii="Calibri" w:hAnsi="Calibri"/>
          <w:color w:val="231F20"/>
          <w:spacing w:val="-10"/>
          <w:w w:val="105"/>
          <w:sz w:val="17"/>
        </w:rPr>
        <w:t> </w:t>
      </w:r>
      <w:r>
        <w:rPr>
          <w:rFonts w:ascii="Calibri" w:hAnsi="Calibri"/>
          <w:color w:val="231F20"/>
          <w:w w:val="105"/>
          <w:sz w:val="17"/>
        </w:rPr>
        <w:t>vi</w:t>
      </w:r>
      <w:r>
        <w:rPr>
          <w:rFonts w:ascii="Calibri" w:hAnsi="Calibri"/>
          <w:color w:val="231F20"/>
          <w:spacing w:val="-9"/>
          <w:w w:val="105"/>
          <w:sz w:val="17"/>
        </w:rPr>
        <w:t> </w:t>
      </w:r>
      <w:r>
        <w:rPr>
          <w:rFonts w:ascii="Calibri" w:hAnsi="Calibri"/>
          <w:color w:val="231F20"/>
          <w:w w:val="105"/>
          <w:sz w:val="17"/>
        </w:rPr>
        <w:t>sono</w:t>
      </w:r>
      <w:r>
        <w:rPr>
          <w:rFonts w:ascii="Calibri" w:hAnsi="Calibri"/>
          <w:color w:val="231F20"/>
          <w:spacing w:val="-9"/>
          <w:w w:val="105"/>
          <w:sz w:val="17"/>
        </w:rPr>
        <w:t> </w:t>
      </w:r>
      <w:r>
        <w:rPr>
          <w:rFonts w:ascii="Calibri" w:hAnsi="Calibri"/>
          <w:color w:val="231F20"/>
          <w:w w:val="105"/>
          <w:sz w:val="17"/>
        </w:rPr>
        <w:t>sempre</w:t>
      </w:r>
      <w:r>
        <w:rPr>
          <w:rFonts w:ascii="Calibri" w:hAnsi="Calibri"/>
          <w:color w:val="231F20"/>
          <w:spacing w:val="-9"/>
          <w:w w:val="105"/>
          <w:sz w:val="17"/>
        </w:rPr>
        <w:t> </w:t>
      </w:r>
      <w:r>
        <w:rPr>
          <w:rFonts w:ascii="Calibri" w:hAnsi="Calibri"/>
          <w:color w:val="231F20"/>
          <w:w w:val="105"/>
          <w:sz w:val="17"/>
        </w:rPr>
        <w:t>gruppi</w:t>
      </w:r>
      <w:r>
        <w:rPr>
          <w:rFonts w:ascii="Calibri" w:hAnsi="Calibri"/>
          <w:color w:val="231F20"/>
          <w:spacing w:val="-9"/>
          <w:w w:val="105"/>
          <w:sz w:val="17"/>
        </w:rPr>
        <w:t> </w:t>
      </w:r>
      <w:r>
        <w:rPr>
          <w:rFonts w:ascii="Calibri" w:hAnsi="Calibri"/>
          <w:color w:val="231F20"/>
          <w:w w:val="105"/>
          <w:sz w:val="17"/>
        </w:rPr>
        <w:t>concreti</w:t>
      </w:r>
      <w:r>
        <w:rPr>
          <w:rFonts w:ascii="Calibri" w:hAnsi="Calibri"/>
          <w:color w:val="231F20"/>
          <w:spacing w:val="-9"/>
          <w:w w:val="105"/>
          <w:sz w:val="17"/>
        </w:rPr>
        <w:t> </w:t>
      </w:r>
      <w:r>
        <w:rPr>
          <w:rFonts w:ascii="Calibri" w:hAnsi="Calibri"/>
          <w:color w:val="231F20"/>
          <w:w w:val="105"/>
          <w:sz w:val="17"/>
        </w:rPr>
        <w:t>di</w:t>
      </w:r>
      <w:r>
        <w:rPr>
          <w:rFonts w:ascii="Calibri" w:hAnsi="Calibri"/>
          <w:color w:val="231F20"/>
          <w:spacing w:val="-9"/>
          <w:w w:val="105"/>
          <w:sz w:val="17"/>
        </w:rPr>
        <w:t> </w:t>
      </w:r>
      <w:r>
        <w:rPr>
          <w:rFonts w:ascii="Calibri" w:hAnsi="Calibri"/>
          <w:color w:val="231F20"/>
          <w:w w:val="105"/>
          <w:sz w:val="17"/>
        </w:rPr>
        <w:t>uomini</w:t>
      </w:r>
      <w:r>
        <w:rPr>
          <w:rFonts w:ascii="Calibri" w:hAnsi="Calibri"/>
          <w:color w:val="231F20"/>
          <w:spacing w:val="-9"/>
          <w:w w:val="105"/>
          <w:sz w:val="17"/>
        </w:rPr>
        <w:t> </w:t>
      </w:r>
      <w:r>
        <w:rPr>
          <w:rFonts w:ascii="Calibri" w:hAnsi="Calibri"/>
          <w:color w:val="231F20"/>
          <w:w w:val="105"/>
          <w:sz w:val="17"/>
        </w:rPr>
        <w:t>che,</w:t>
      </w:r>
      <w:r>
        <w:rPr>
          <w:rFonts w:ascii="Calibri" w:hAnsi="Calibri"/>
          <w:color w:val="231F20"/>
          <w:spacing w:val="-9"/>
          <w:w w:val="105"/>
          <w:sz w:val="17"/>
        </w:rPr>
        <w:t> </w:t>
      </w:r>
      <w:r>
        <w:rPr>
          <w:rFonts w:ascii="Calibri" w:hAnsi="Calibri"/>
          <w:color w:val="231F20"/>
          <w:w w:val="105"/>
          <w:sz w:val="17"/>
        </w:rPr>
        <w:t>in</w:t>
      </w:r>
      <w:r>
        <w:rPr>
          <w:rFonts w:ascii="Calibri" w:hAnsi="Calibri"/>
          <w:color w:val="231F20"/>
          <w:spacing w:val="-9"/>
          <w:w w:val="105"/>
          <w:sz w:val="17"/>
        </w:rPr>
        <w:t> </w:t>
      </w:r>
      <w:r>
        <w:rPr>
          <w:rFonts w:ascii="Calibri" w:hAnsi="Calibri"/>
          <w:color w:val="231F20"/>
          <w:w w:val="105"/>
          <w:sz w:val="17"/>
        </w:rPr>
        <w:t>nome</w:t>
      </w:r>
      <w:r>
        <w:rPr>
          <w:rFonts w:ascii="Calibri" w:hAnsi="Calibri"/>
          <w:color w:val="231F20"/>
          <w:spacing w:val="-9"/>
          <w:w w:val="105"/>
          <w:sz w:val="17"/>
        </w:rPr>
        <w:t> </w:t>
      </w:r>
      <w:r>
        <w:rPr>
          <w:rFonts w:ascii="Calibri" w:hAnsi="Calibri"/>
          <w:color w:val="231F20"/>
          <w:w w:val="105"/>
          <w:sz w:val="17"/>
        </w:rPr>
        <w:t>del “diritto”</w:t>
      </w:r>
      <w:r>
        <w:rPr>
          <w:rFonts w:ascii="Calibri" w:hAnsi="Calibri"/>
          <w:color w:val="231F20"/>
          <w:spacing w:val="-8"/>
          <w:w w:val="105"/>
          <w:sz w:val="17"/>
        </w:rPr>
        <w:t> </w:t>
      </w:r>
      <w:r>
        <w:rPr>
          <w:rFonts w:ascii="Calibri" w:hAnsi="Calibri"/>
          <w:color w:val="231F20"/>
          <w:w w:val="105"/>
          <w:sz w:val="17"/>
        </w:rPr>
        <w:t>o</w:t>
      </w:r>
      <w:r>
        <w:rPr>
          <w:rFonts w:ascii="Calibri" w:hAnsi="Calibri"/>
          <w:color w:val="231F20"/>
          <w:spacing w:val="-8"/>
          <w:w w:val="105"/>
          <w:sz w:val="17"/>
        </w:rPr>
        <w:t> </w:t>
      </w:r>
      <w:r>
        <w:rPr>
          <w:rFonts w:ascii="Calibri" w:hAnsi="Calibri"/>
          <w:color w:val="231F20"/>
          <w:w w:val="105"/>
          <w:sz w:val="17"/>
        </w:rPr>
        <w:t>dell’”umanità”</w:t>
      </w:r>
      <w:r>
        <w:rPr>
          <w:rFonts w:ascii="Calibri" w:hAnsi="Calibri"/>
          <w:color w:val="231F20"/>
          <w:spacing w:val="-8"/>
          <w:w w:val="105"/>
          <w:sz w:val="17"/>
        </w:rPr>
        <w:t> </w:t>
      </w:r>
      <w:r>
        <w:rPr>
          <w:rFonts w:ascii="Calibri" w:hAnsi="Calibri"/>
          <w:color w:val="231F20"/>
          <w:w w:val="105"/>
          <w:sz w:val="17"/>
        </w:rPr>
        <w:t>o</w:t>
      </w:r>
      <w:r>
        <w:rPr>
          <w:rFonts w:ascii="Calibri" w:hAnsi="Calibri"/>
          <w:color w:val="231F20"/>
          <w:spacing w:val="-8"/>
          <w:w w:val="105"/>
          <w:sz w:val="17"/>
        </w:rPr>
        <w:t> </w:t>
      </w:r>
      <w:r>
        <w:rPr>
          <w:rFonts w:ascii="Calibri" w:hAnsi="Calibri"/>
          <w:color w:val="231F20"/>
          <w:w w:val="105"/>
          <w:sz w:val="17"/>
        </w:rPr>
        <w:t>dell’</w:t>
      </w:r>
      <w:r>
        <w:rPr>
          <w:rFonts w:ascii="Calibri" w:hAnsi="Calibri"/>
          <w:color w:val="231F20"/>
          <w:spacing w:val="-8"/>
          <w:w w:val="105"/>
          <w:sz w:val="17"/>
        </w:rPr>
        <w:t> </w:t>
      </w:r>
      <w:r>
        <w:rPr>
          <w:rFonts w:ascii="Calibri" w:hAnsi="Calibri"/>
          <w:color w:val="231F20"/>
          <w:w w:val="105"/>
          <w:sz w:val="17"/>
        </w:rPr>
        <w:t>“ordine”</w:t>
      </w:r>
      <w:r>
        <w:rPr>
          <w:rFonts w:ascii="Calibri" w:hAnsi="Calibri"/>
          <w:color w:val="231F20"/>
          <w:spacing w:val="-8"/>
          <w:w w:val="105"/>
          <w:sz w:val="17"/>
        </w:rPr>
        <w:t> </w:t>
      </w:r>
      <w:r>
        <w:rPr>
          <w:rFonts w:ascii="Calibri" w:hAnsi="Calibri"/>
          <w:color w:val="231F20"/>
          <w:w w:val="105"/>
          <w:sz w:val="17"/>
        </w:rPr>
        <w:t>o</w:t>
      </w:r>
      <w:r>
        <w:rPr>
          <w:rFonts w:ascii="Calibri" w:hAnsi="Calibri"/>
          <w:color w:val="231F20"/>
          <w:spacing w:val="-8"/>
          <w:w w:val="105"/>
          <w:sz w:val="17"/>
        </w:rPr>
        <w:t> </w:t>
      </w:r>
      <w:r>
        <w:rPr>
          <w:rFonts w:ascii="Calibri" w:hAnsi="Calibri"/>
          <w:color w:val="231F20"/>
          <w:w w:val="105"/>
          <w:sz w:val="17"/>
        </w:rPr>
        <w:t>della</w:t>
      </w:r>
      <w:r>
        <w:rPr>
          <w:rFonts w:ascii="Calibri" w:hAnsi="Calibri"/>
          <w:color w:val="231F20"/>
          <w:spacing w:val="-8"/>
          <w:w w:val="105"/>
          <w:sz w:val="17"/>
        </w:rPr>
        <w:t> </w:t>
      </w:r>
      <w:r>
        <w:rPr>
          <w:rFonts w:ascii="Calibri" w:hAnsi="Calibri"/>
          <w:color w:val="231F20"/>
          <w:w w:val="105"/>
          <w:sz w:val="17"/>
        </w:rPr>
        <w:t>“pace”,</w:t>
      </w:r>
      <w:r>
        <w:rPr>
          <w:rFonts w:ascii="Calibri" w:hAnsi="Calibri"/>
          <w:color w:val="231F20"/>
          <w:spacing w:val="-8"/>
          <w:w w:val="105"/>
          <w:sz w:val="17"/>
        </w:rPr>
        <w:t> </w:t>
      </w:r>
      <w:r>
        <w:rPr>
          <w:rFonts w:ascii="Calibri" w:hAnsi="Calibri"/>
          <w:color w:val="231F20"/>
          <w:w w:val="105"/>
          <w:sz w:val="17"/>
        </w:rPr>
        <w:t>combattono</w:t>
      </w:r>
      <w:r>
        <w:rPr>
          <w:rFonts w:ascii="Calibri" w:hAnsi="Calibri"/>
          <w:color w:val="231F20"/>
          <w:spacing w:val="-8"/>
          <w:w w:val="105"/>
          <w:sz w:val="17"/>
        </w:rPr>
        <w:t> </w:t>
      </w:r>
      <w:r>
        <w:rPr>
          <w:rFonts w:ascii="Calibri" w:hAnsi="Calibri"/>
          <w:color w:val="231F20"/>
          <w:w w:val="105"/>
          <w:sz w:val="17"/>
        </w:rPr>
        <w:t>contro</w:t>
      </w:r>
      <w:r>
        <w:rPr>
          <w:rFonts w:ascii="Calibri" w:hAnsi="Calibri"/>
          <w:color w:val="231F20"/>
          <w:spacing w:val="-8"/>
          <w:w w:val="105"/>
          <w:sz w:val="17"/>
        </w:rPr>
        <w:t> </w:t>
      </w:r>
      <w:r>
        <w:rPr>
          <w:rFonts w:ascii="Calibri" w:hAnsi="Calibri"/>
          <w:color w:val="231F20"/>
          <w:w w:val="105"/>
          <w:sz w:val="17"/>
        </w:rPr>
        <w:t>altri</w:t>
      </w:r>
      <w:r>
        <w:rPr>
          <w:rFonts w:ascii="Calibri" w:hAnsi="Calibri"/>
          <w:color w:val="231F20"/>
          <w:spacing w:val="-8"/>
          <w:w w:val="105"/>
          <w:sz w:val="17"/>
        </w:rPr>
        <w:t> </w:t>
      </w:r>
      <w:r>
        <w:rPr>
          <w:rFonts w:ascii="Calibri" w:hAnsi="Calibri"/>
          <w:color w:val="231F20"/>
          <w:w w:val="105"/>
          <w:sz w:val="17"/>
        </w:rPr>
        <w:t>gruppi</w:t>
      </w:r>
      <w:r>
        <w:rPr>
          <w:rFonts w:ascii="Calibri" w:hAnsi="Calibri"/>
          <w:color w:val="231F20"/>
          <w:spacing w:val="-8"/>
          <w:w w:val="105"/>
          <w:sz w:val="17"/>
        </w:rPr>
        <w:t> </w:t>
      </w:r>
      <w:r>
        <w:rPr>
          <w:rFonts w:ascii="Calibri" w:hAnsi="Calibri"/>
          <w:color w:val="231F20"/>
          <w:w w:val="105"/>
          <w:sz w:val="17"/>
        </w:rPr>
        <w:t>concreti di uomini, e l’osservatore dei fenomeni politici, se resta conseguente al suo pensiero politico, può</w:t>
      </w:r>
      <w:r>
        <w:rPr>
          <w:rFonts w:ascii="Calibri" w:hAnsi="Calibri"/>
          <w:color w:val="231F20"/>
          <w:spacing w:val="-7"/>
          <w:w w:val="105"/>
          <w:sz w:val="17"/>
        </w:rPr>
        <w:t> </w:t>
      </w:r>
      <w:r>
        <w:rPr>
          <w:rFonts w:ascii="Calibri" w:hAnsi="Calibri"/>
          <w:color w:val="231F20"/>
          <w:w w:val="105"/>
          <w:sz w:val="17"/>
        </w:rPr>
        <w:t>riconoscere</w:t>
      </w:r>
      <w:r>
        <w:rPr>
          <w:rFonts w:ascii="Calibri" w:hAnsi="Calibri"/>
          <w:color w:val="231F20"/>
          <w:spacing w:val="-7"/>
          <w:w w:val="105"/>
          <w:sz w:val="17"/>
        </w:rPr>
        <w:t> </w:t>
      </w:r>
      <w:r>
        <w:rPr>
          <w:rFonts w:ascii="Calibri" w:hAnsi="Calibri"/>
          <w:color w:val="231F20"/>
          <w:w w:val="105"/>
          <w:sz w:val="17"/>
        </w:rPr>
        <w:t>sempre</w:t>
      </w:r>
      <w:r>
        <w:rPr>
          <w:rFonts w:ascii="Calibri" w:hAnsi="Calibri"/>
          <w:color w:val="231F20"/>
          <w:spacing w:val="-7"/>
          <w:w w:val="105"/>
          <w:sz w:val="17"/>
        </w:rPr>
        <w:t> </w:t>
      </w:r>
      <w:r>
        <w:rPr>
          <w:rFonts w:ascii="Calibri" w:hAnsi="Calibri"/>
          <w:color w:val="231F20"/>
          <w:w w:val="105"/>
          <w:sz w:val="17"/>
        </w:rPr>
        <w:t>anche</w:t>
      </w:r>
      <w:r>
        <w:rPr>
          <w:rFonts w:ascii="Calibri" w:hAnsi="Calibri"/>
          <w:color w:val="231F20"/>
          <w:spacing w:val="-7"/>
          <w:w w:val="105"/>
          <w:sz w:val="17"/>
        </w:rPr>
        <w:t> </w:t>
      </w:r>
      <w:r>
        <w:rPr>
          <w:rFonts w:ascii="Calibri" w:hAnsi="Calibri"/>
          <w:color w:val="231F20"/>
          <w:w w:val="105"/>
          <w:sz w:val="17"/>
        </w:rPr>
        <w:t>nella</w:t>
      </w:r>
      <w:r>
        <w:rPr>
          <w:rFonts w:ascii="Calibri" w:hAnsi="Calibri"/>
          <w:color w:val="231F20"/>
          <w:spacing w:val="-7"/>
          <w:w w:val="105"/>
          <w:sz w:val="17"/>
        </w:rPr>
        <w:t> </w:t>
      </w:r>
      <w:r>
        <w:rPr>
          <w:rFonts w:ascii="Calibri" w:hAnsi="Calibri"/>
          <w:color w:val="231F20"/>
          <w:w w:val="105"/>
          <w:sz w:val="17"/>
        </w:rPr>
        <w:t>condanna</w:t>
      </w:r>
      <w:r>
        <w:rPr>
          <w:rFonts w:ascii="Calibri" w:hAnsi="Calibri"/>
          <w:color w:val="231F20"/>
          <w:spacing w:val="-7"/>
          <w:w w:val="105"/>
          <w:sz w:val="17"/>
        </w:rPr>
        <w:t> </w:t>
      </w:r>
      <w:r>
        <w:rPr>
          <w:rFonts w:ascii="Calibri" w:hAnsi="Calibri"/>
          <w:color w:val="231F20"/>
          <w:w w:val="105"/>
          <w:sz w:val="17"/>
        </w:rPr>
        <w:t>dell’immoralità</w:t>
      </w:r>
      <w:r>
        <w:rPr>
          <w:rFonts w:ascii="Calibri" w:hAnsi="Calibri"/>
          <w:color w:val="231F20"/>
          <w:spacing w:val="-7"/>
          <w:w w:val="105"/>
          <w:sz w:val="17"/>
        </w:rPr>
        <w:t> </w:t>
      </w:r>
      <w:r>
        <w:rPr>
          <w:rFonts w:ascii="Calibri" w:hAnsi="Calibri"/>
          <w:color w:val="231F20"/>
          <w:w w:val="105"/>
          <w:sz w:val="17"/>
        </w:rPr>
        <w:t>e</w:t>
      </w:r>
      <w:r>
        <w:rPr>
          <w:rFonts w:ascii="Calibri" w:hAnsi="Calibri"/>
          <w:color w:val="231F20"/>
          <w:spacing w:val="-7"/>
          <w:w w:val="105"/>
          <w:sz w:val="17"/>
        </w:rPr>
        <w:t> </w:t>
      </w:r>
      <w:r>
        <w:rPr>
          <w:rFonts w:ascii="Calibri" w:hAnsi="Calibri"/>
          <w:color w:val="231F20"/>
          <w:w w:val="105"/>
          <w:sz w:val="17"/>
        </w:rPr>
        <w:t>del</w:t>
      </w:r>
      <w:r>
        <w:rPr>
          <w:rFonts w:ascii="Calibri" w:hAnsi="Calibri"/>
          <w:color w:val="231F20"/>
          <w:spacing w:val="-7"/>
          <w:w w:val="105"/>
          <w:sz w:val="17"/>
        </w:rPr>
        <w:t> </w:t>
      </w:r>
      <w:r>
        <w:rPr>
          <w:rFonts w:ascii="Calibri" w:hAnsi="Calibri"/>
          <w:color w:val="231F20"/>
          <w:w w:val="105"/>
          <w:sz w:val="17"/>
        </w:rPr>
        <w:t>cinismo</w:t>
      </w:r>
      <w:r>
        <w:rPr>
          <w:rFonts w:ascii="Calibri" w:hAnsi="Calibri"/>
          <w:color w:val="231F20"/>
          <w:spacing w:val="-7"/>
          <w:w w:val="105"/>
          <w:sz w:val="17"/>
        </w:rPr>
        <w:t> </w:t>
      </w:r>
      <w:r>
        <w:rPr>
          <w:rFonts w:ascii="Calibri" w:hAnsi="Calibri"/>
          <w:color w:val="231F20"/>
          <w:w w:val="105"/>
          <w:sz w:val="17"/>
        </w:rPr>
        <w:t>solo</w:t>
      </w:r>
      <w:r>
        <w:rPr>
          <w:rFonts w:ascii="Calibri" w:hAnsi="Calibri"/>
          <w:color w:val="231F20"/>
          <w:spacing w:val="-7"/>
          <w:w w:val="105"/>
          <w:sz w:val="17"/>
        </w:rPr>
        <w:t> </w:t>
      </w:r>
      <w:r>
        <w:rPr>
          <w:rFonts w:ascii="Calibri" w:hAnsi="Calibri"/>
          <w:color w:val="231F20"/>
          <w:w w:val="105"/>
          <w:sz w:val="17"/>
        </w:rPr>
        <w:t>uno</w:t>
      </w:r>
      <w:r>
        <w:rPr>
          <w:rFonts w:ascii="Calibri" w:hAnsi="Calibri"/>
          <w:color w:val="231F20"/>
          <w:spacing w:val="-7"/>
          <w:w w:val="105"/>
          <w:sz w:val="17"/>
        </w:rPr>
        <w:t> </w:t>
      </w:r>
      <w:r>
        <w:rPr>
          <w:rFonts w:ascii="Calibri" w:hAnsi="Calibri"/>
          <w:color w:val="231F20"/>
          <w:w w:val="105"/>
          <w:sz w:val="17"/>
        </w:rPr>
        <w:t>strumento politico</w:t>
      </w:r>
      <w:r>
        <w:rPr>
          <w:rFonts w:ascii="Calibri" w:hAnsi="Calibri"/>
          <w:color w:val="231F20"/>
          <w:spacing w:val="-12"/>
          <w:w w:val="105"/>
          <w:sz w:val="17"/>
        </w:rPr>
        <w:t> </w:t>
      </w:r>
      <w:r>
        <w:rPr>
          <w:rFonts w:ascii="Calibri" w:hAnsi="Calibri"/>
          <w:color w:val="231F20"/>
          <w:w w:val="105"/>
          <w:sz w:val="17"/>
        </w:rPr>
        <w:t>di</w:t>
      </w:r>
      <w:r>
        <w:rPr>
          <w:rFonts w:ascii="Calibri" w:hAnsi="Calibri"/>
          <w:color w:val="231F20"/>
          <w:spacing w:val="-12"/>
          <w:w w:val="105"/>
          <w:sz w:val="17"/>
        </w:rPr>
        <w:t> </w:t>
      </w:r>
      <w:r>
        <w:rPr>
          <w:rFonts w:ascii="Calibri" w:hAnsi="Calibri"/>
          <w:color w:val="231F20"/>
          <w:w w:val="105"/>
          <w:sz w:val="17"/>
        </w:rPr>
        <w:t>uomini</w:t>
      </w:r>
      <w:r>
        <w:rPr>
          <w:rFonts w:ascii="Calibri" w:hAnsi="Calibri"/>
          <w:color w:val="231F20"/>
          <w:spacing w:val="-12"/>
          <w:w w:val="105"/>
          <w:sz w:val="17"/>
        </w:rPr>
        <w:t> </w:t>
      </w:r>
      <w:r>
        <w:rPr>
          <w:rFonts w:ascii="Calibri" w:hAnsi="Calibri"/>
          <w:color w:val="231F20"/>
          <w:w w:val="105"/>
          <w:sz w:val="17"/>
        </w:rPr>
        <w:t>concretamente</w:t>
      </w:r>
      <w:r>
        <w:rPr>
          <w:rFonts w:ascii="Calibri" w:hAnsi="Calibri"/>
          <w:color w:val="231F20"/>
          <w:spacing w:val="-12"/>
          <w:w w:val="105"/>
          <w:sz w:val="17"/>
        </w:rPr>
        <w:t> </w:t>
      </w:r>
      <w:r>
        <w:rPr>
          <w:rFonts w:ascii="Calibri" w:hAnsi="Calibri"/>
          <w:color w:val="231F20"/>
          <w:w w:val="105"/>
          <w:sz w:val="17"/>
        </w:rPr>
        <w:t>in</w:t>
      </w:r>
      <w:r>
        <w:rPr>
          <w:rFonts w:ascii="Calibri" w:hAnsi="Calibri"/>
          <w:color w:val="231F20"/>
          <w:spacing w:val="-12"/>
          <w:w w:val="105"/>
          <w:sz w:val="17"/>
        </w:rPr>
        <w:t> </w:t>
      </w:r>
      <w:r>
        <w:rPr>
          <w:rFonts w:ascii="Calibri" w:hAnsi="Calibri"/>
          <w:color w:val="231F20"/>
          <w:spacing w:val="-4"/>
          <w:w w:val="105"/>
          <w:sz w:val="17"/>
        </w:rPr>
        <w:t>lotta”.</w:t>
      </w:r>
    </w:p>
    <w:p>
      <w:pPr>
        <w:spacing w:line="235" w:lineRule="auto" w:before="0"/>
        <w:ind w:left="117" w:right="121" w:firstLine="0"/>
        <w:jc w:val="both"/>
        <w:rPr>
          <w:rFonts w:ascii="Calibri" w:hAnsi="Calibri"/>
          <w:sz w:val="17"/>
        </w:rPr>
      </w:pPr>
      <w:r>
        <w:rPr>
          <w:rFonts w:ascii="Calibri" w:hAnsi="Calibri"/>
          <w:color w:val="231F20"/>
          <w:w w:val="105"/>
          <w:position w:val="6"/>
          <w:sz w:val="10"/>
        </w:rPr>
        <w:t>45</w:t>
      </w:r>
      <w:r>
        <w:rPr>
          <w:rFonts w:ascii="Calibri" w:hAnsi="Calibri"/>
          <w:color w:val="231F20"/>
          <w:spacing w:val="-7"/>
          <w:w w:val="105"/>
          <w:position w:val="6"/>
          <w:sz w:val="10"/>
        </w:rPr>
        <w:t> </w:t>
      </w:r>
      <w:r>
        <w:rPr>
          <w:rFonts w:ascii="Calibri" w:hAnsi="Calibri"/>
          <w:color w:val="231F20"/>
          <w:w w:val="105"/>
          <w:sz w:val="17"/>
        </w:rPr>
        <w:t>Schmitt,</w:t>
      </w:r>
      <w:r>
        <w:rPr>
          <w:rFonts w:ascii="Calibri" w:hAnsi="Calibri"/>
          <w:color w:val="231F20"/>
          <w:spacing w:val="-23"/>
          <w:w w:val="105"/>
          <w:sz w:val="17"/>
        </w:rPr>
        <w:t> </w:t>
      </w:r>
      <w:r>
        <w:rPr>
          <w:rFonts w:ascii="Calibri" w:hAnsi="Calibri"/>
          <w:i/>
          <w:color w:val="231F20"/>
          <w:w w:val="105"/>
          <w:sz w:val="17"/>
        </w:rPr>
        <w:t>Il</w:t>
      </w:r>
      <w:r>
        <w:rPr>
          <w:rFonts w:ascii="Calibri" w:hAnsi="Calibri"/>
          <w:i/>
          <w:color w:val="231F20"/>
          <w:spacing w:val="-24"/>
          <w:w w:val="105"/>
          <w:sz w:val="17"/>
        </w:rPr>
        <w:t> </w:t>
      </w:r>
      <w:r>
        <w:rPr>
          <w:rFonts w:ascii="Calibri" w:hAnsi="Calibri"/>
          <w:i/>
          <w:color w:val="231F20"/>
          <w:w w:val="105"/>
          <w:sz w:val="17"/>
        </w:rPr>
        <w:t>concetto</w:t>
      </w:r>
      <w:r>
        <w:rPr>
          <w:rFonts w:ascii="Calibri" w:hAnsi="Calibri"/>
          <w:i/>
          <w:color w:val="231F20"/>
          <w:spacing w:val="-24"/>
          <w:w w:val="105"/>
          <w:sz w:val="17"/>
        </w:rPr>
        <w:t> </w:t>
      </w:r>
      <w:r>
        <w:rPr>
          <w:rFonts w:ascii="Calibri" w:hAnsi="Calibri"/>
          <w:i/>
          <w:color w:val="231F20"/>
          <w:w w:val="105"/>
          <w:sz w:val="17"/>
        </w:rPr>
        <w:t>del</w:t>
      </w:r>
      <w:r>
        <w:rPr>
          <w:rFonts w:ascii="Calibri" w:hAnsi="Calibri"/>
          <w:i/>
          <w:color w:val="231F20"/>
          <w:spacing w:val="-24"/>
          <w:w w:val="105"/>
          <w:sz w:val="17"/>
        </w:rPr>
        <w:t> </w:t>
      </w:r>
      <w:r>
        <w:rPr>
          <w:rFonts w:ascii="Calibri" w:hAnsi="Calibri"/>
          <w:i/>
          <w:color w:val="231F20"/>
          <w:w w:val="105"/>
          <w:sz w:val="17"/>
        </w:rPr>
        <w:t>politico</w:t>
      </w:r>
      <w:r>
        <w:rPr>
          <w:rFonts w:ascii="Calibri" w:hAnsi="Calibri"/>
          <w:color w:val="231F20"/>
          <w:w w:val="105"/>
          <w:sz w:val="17"/>
        </w:rPr>
        <w:t>,</w:t>
      </w:r>
      <w:r>
        <w:rPr>
          <w:rFonts w:ascii="Calibri" w:hAnsi="Calibri"/>
          <w:color w:val="231F20"/>
          <w:spacing w:val="-23"/>
          <w:w w:val="105"/>
          <w:sz w:val="17"/>
        </w:rPr>
        <w:t> </w:t>
      </w:r>
      <w:r>
        <w:rPr>
          <w:rFonts w:ascii="Calibri" w:hAnsi="Calibri"/>
          <w:color w:val="231F20"/>
          <w:w w:val="105"/>
          <w:sz w:val="17"/>
        </w:rPr>
        <w:t>p.</w:t>
      </w:r>
      <w:r>
        <w:rPr>
          <w:rFonts w:ascii="Calibri" w:hAnsi="Calibri"/>
          <w:color w:val="231F20"/>
          <w:spacing w:val="-23"/>
          <w:w w:val="105"/>
          <w:sz w:val="17"/>
        </w:rPr>
        <w:t> </w:t>
      </w:r>
      <w:r>
        <w:rPr>
          <w:rFonts w:ascii="Calibri" w:hAnsi="Calibri"/>
          <w:color w:val="231F20"/>
          <w:w w:val="105"/>
          <w:sz w:val="17"/>
        </w:rPr>
        <w:t>139.Per</w:t>
      </w:r>
      <w:r>
        <w:rPr>
          <w:rFonts w:ascii="Calibri" w:hAnsi="Calibri"/>
          <w:color w:val="231F20"/>
          <w:spacing w:val="-23"/>
          <w:w w:val="105"/>
          <w:sz w:val="17"/>
        </w:rPr>
        <w:t> </w:t>
      </w:r>
      <w:r>
        <w:rPr>
          <w:rFonts w:ascii="Calibri" w:hAnsi="Calibri"/>
          <w:color w:val="231F20"/>
          <w:w w:val="105"/>
          <w:sz w:val="17"/>
        </w:rPr>
        <w:t>una</w:t>
      </w:r>
      <w:r>
        <w:rPr>
          <w:rFonts w:ascii="Calibri" w:hAnsi="Calibri"/>
          <w:color w:val="231F20"/>
          <w:spacing w:val="-23"/>
          <w:w w:val="105"/>
          <w:sz w:val="17"/>
        </w:rPr>
        <w:t> </w:t>
      </w:r>
      <w:r>
        <w:rPr>
          <w:rFonts w:ascii="Calibri" w:hAnsi="Calibri"/>
          <w:color w:val="231F20"/>
          <w:w w:val="105"/>
          <w:sz w:val="17"/>
        </w:rPr>
        <w:t>più</w:t>
      </w:r>
      <w:r>
        <w:rPr>
          <w:rFonts w:ascii="Calibri" w:hAnsi="Calibri"/>
          <w:color w:val="231F20"/>
          <w:spacing w:val="-23"/>
          <w:w w:val="105"/>
          <w:sz w:val="17"/>
        </w:rPr>
        <w:t> </w:t>
      </w:r>
      <w:r>
        <w:rPr>
          <w:rFonts w:ascii="Calibri" w:hAnsi="Calibri"/>
          <w:color w:val="231F20"/>
          <w:w w:val="105"/>
          <w:sz w:val="17"/>
        </w:rPr>
        <w:t>argomentata</w:t>
      </w:r>
      <w:r>
        <w:rPr>
          <w:rFonts w:ascii="Calibri" w:hAnsi="Calibri"/>
          <w:color w:val="231F20"/>
          <w:spacing w:val="-25"/>
          <w:w w:val="105"/>
          <w:sz w:val="17"/>
        </w:rPr>
        <w:t> </w:t>
      </w:r>
      <w:r>
        <w:rPr>
          <w:rFonts w:ascii="Calibri" w:hAnsi="Calibri"/>
          <w:color w:val="231F20"/>
          <w:w w:val="105"/>
          <w:sz w:val="17"/>
        </w:rPr>
        <w:t>versione</w:t>
      </w:r>
      <w:r>
        <w:rPr>
          <w:rFonts w:ascii="Calibri" w:hAnsi="Calibri"/>
          <w:color w:val="231F20"/>
          <w:spacing w:val="-23"/>
          <w:w w:val="105"/>
          <w:sz w:val="17"/>
        </w:rPr>
        <w:t> </w:t>
      </w:r>
      <w:r>
        <w:rPr>
          <w:rFonts w:ascii="Calibri" w:hAnsi="Calibri"/>
          <w:color w:val="231F20"/>
          <w:w w:val="105"/>
          <w:sz w:val="17"/>
        </w:rPr>
        <w:t>di</w:t>
      </w:r>
      <w:r>
        <w:rPr>
          <w:rFonts w:ascii="Calibri" w:hAnsi="Calibri"/>
          <w:color w:val="231F20"/>
          <w:spacing w:val="-23"/>
          <w:w w:val="105"/>
          <w:sz w:val="17"/>
        </w:rPr>
        <w:t> </w:t>
      </w:r>
      <w:r>
        <w:rPr>
          <w:rFonts w:ascii="Calibri" w:hAnsi="Calibri"/>
          <w:color w:val="231F20"/>
          <w:w w:val="105"/>
          <w:sz w:val="17"/>
        </w:rPr>
        <w:t>questo</w:t>
      </w:r>
      <w:r>
        <w:rPr>
          <w:rFonts w:ascii="Calibri" w:hAnsi="Calibri"/>
          <w:color w:val="231F20"/>
          <w:spacing w:val="-23"/>
          <w:w w:val="105"/>
          <w:sz w:val="17"/>
        </w:rPr>
        <w:t> </w:t>
      </w:r>
      <w:r>
        <w:rPr>
          <w:rFonts w:ascii="Calibri" w:hAnsi="Calibri"/>
          <w:color w:val="231F20"/>
          <w:w w:val="105"/>
          <w:sz w:val="17"/>
        </w:rPr>
        <w:t>assunto</w:t>
      </w:r>
      <w:r>
        <w:rPr>
          <w:rFonts w:ascii="Calibri" w:hAnsi="Calibri"/>
          <w:color w:val="231F20"/>
          <w:spacing w:val="-23"/>
          <w:w w:val="105"/>
          <w:sz w:val="17"/>
        </w:rPr>
        <w:t> </w:t>
      </w:r>
      <w:r>
        <w:rPr>
          <w:rFonts w:ascii="Calibri" w:hAnsi="Calibri"/>
          <w:color w:val="231F20"/>
          <w:w w:val="105"/>
          <w:sz w:val="17"/>
        </w:rPr>
        <w:t>si</w:t>
      </w:r>
      <w:r>
        <w:rPr>
          <w:rFonts w:ascii="Calibri" w:hAnsi="Calibri"/>
          <w:color w:val="231F20"/>
          <w:spacing w:val="-25"/>
          <w:w w:val="105"/>
          <w:sz w:val="17"/>
        </w:rPr>
        <w:t> </w:t>
      </w:r>
      <w:r>
        <w:rPr>
          <w:rFonts w:ascii="Calibri" w:hAnsi="Calibri"/>
          <w:color w:val="231F20"/>
          <w:w w:val="105"/>
          <w:sz w:val="17"/>
        </w:rPr>
        <w:t>veda però</w:t>
      </w:r>
      <w:r>
        <w:rPr>
          <w:rFonts w:ascii="Calibri" w:hAnsi="Calibri"/>
          <w:color w:val="231F20"/>
          <w:spacing w:val="-4"/>
          <w:w w:val="105"/>
          <w:sz w:val="17"/>
        </w:rPr>
        <w:t> </w:t>
      </w:r>
      <w:r>
        <w:rPr>
          <w:rFonts w:ascii="Calibri" w:hAnsi="Calibri"/>
          <w:color w:val="231F20"/>
          <w:w w:val="105"/>
          <w:sz w:val="17"/>
        </w:rPr>
        <w:t>C.</w:t>
      </w:r>
      <w:r>
        <w:rPr>
          <w:rFonts w:ascii="Calibri" w:hAnsi="Calibri"/>
          <w:color w:val="231F20"/>
          <w:spacing w:val="-4"/>
          <w:w w:val="105"/>
          <w:sz w:val="17"/>
        </w:rPr>
        <w:t> </w:t>
      </w:r>
      <w:r>
        <w:rPr>
          <w:rFonts w:ascii="Calibri" w:hAnsi="Calibri"/>
          <w:color w:val="231F20"/>
          <w:w w:val="105"/>
          <w:sz w:val="17"/>
        </w:rPr>
        <w:t>Schmitt,</w:t>
      </w:r>
      <w:r>
        <w:rPr>
          <w:rFonts w:ascii="Calibri" w:hAnsi="Calibri"/>
          <w:color w:val="231F20"/>
          <w:spacing w:val="-4"/>
          <w:w w:val="105"/>
          <w:sz w:val="17"/>
        </w:rPr>
        <w:t> </w:t>
      </w:r>
      <w:r>
        <w:rPr>
          <w:rFonts w:ascii="Calibri" w:hAnsi="Calibri"/>
          <w:color w:val="231F20"/>
          <w:w w:val="105"/>
          <w:sz w:val="17"/>
        </w:rPr>
        <w:t>“Staatsethik</w:t>
      </w:r>
      <w:r>
        <w:rPr>
          <w:rFonts w:ascii="Calibri" w:hAnsi="Calibri"/>
          <w:color w:val="231F20"/>
          <w:spacing w:val="-4"/>
          <w:w w:val="105"/>
          <w:sz w:val="17"/>
        </w:rPr>
        <w:t> </w:t>
      </w:r>
      <w:r>
        <w:rPr>
          <w:rFonts w:ascii="Calibri" w:hAnsi="Calibri"/>
          <w:color w:val="231F20"/>
          <w:w w:val="105"/>
          <w:sz w:val="17"/>
        </w:rPr>
        <w:t>und</w:t>
      </w:r>
      <w:r>
        <w:rPr>
          <w:rFonts w:ascii="Calibri" w:hAnsi="Calibri"/>
          <w:color w:val="231F20"/>
          <w:spacing w:val="-4"/>
          <w:w w:val="105"/>
          <w:sz w:val="17"/>
        </w:rPr>
        <w:t> </w:t>
      </w:r>
      <w:r>
        <w:rPr>
          <w:rFonts w:ascii="Calibri" w:hAnsi="Calibri"/>
          <w:color w:val="231F20"/>
          <w:w w:val="105"/>
          <w:sz w:val="17"/>
        </w:rPr>
        <w:t>pluralistischer</w:t>
      </w:r>
      <w:r>
        <w:rPr>
          <w:rFonts w:ascii="Calibri" w:hAnsi="Calibri"/>
          <w:color w:val="231F20"/>
          <w:spacing w:val="-4"/>
          <w:w w:val="105"/>
          <w:sz w:val="17"/>
        </w:rPr>
        <w:t> </w:t>
      </w:r>
      <w:r>
        <w:rPr>
          <w:rFonts w:ascii="Calibri" w:hAnsi="Calibri"/>
          <w:color w:val="231F20"/>
          <w:w w:val="105"/>
          <w:sz w:val="17"/>
        </w:rPr>
        <w:t>Staat</w:t>
      </w:r>
      <w:r>
        <w:rPr>
          <w:rFonts w:ascii="Calibri" w:hAnsi="Calibri"/>
          <w:color w:val="231F20"/>
          <w:spacing w:val="-4"/>
          <w:w w:val="105"/>
          <w:sz w:val="17"/>
        </w:rPr>
        <w:t> </w:t>
      </w:r>
      <w:r>
        <w:rPr>
          <w:rFonts w:ascii="Calibri" w:hAnsi="Calibri"/>
          <w:color w:val="231F20"/>
          <w:w w:val="105"/>
          <w:sz w:val="17"/>
        </w:rPr>
        <w:t>(1930)”,</w:t>
      </w:r>
      <w:r>
        <w:rPr>
          <w:rFonts w:ascii="Calibri" w:hAnsi="Calibri"/>
          <w:color w:val="231F20"/>
          <w:spacing w:val="-4"/>
          <w:w w:val="105"/>
          <w:sz w:val="17"/>
        </w:rPr>
        <w:t> </w:t>
      </w:r>
      <w:r>
        <w:rPr>
          <w:rFonts w:ascii="Calibri" w:hAnsi="Calibri"/>
          <w:i/>
          <w:color w:val="231F20"/>
          <w:w w:val="105"/>
          <w:sz w:val="17"/>
        </w:rPr>
        <w:t>Positionen</w:t>
      </w:r>
      <w:r>
        <w:rPr>
          <w:rFonts w:ascii="Calibri" w:hAnsi="Calibri"/>
          <w:i/>
          <w:color w:val="231F20"/>
          <w:spacing w:val="-5"/>
          <w:w w:val="105"/>
          <w:sz w:val="17"/>
        </w:rPr>
        <w:t> </w:t>
      </w:r>
      <w:r>
        <w:rPr>
          <w:rFonts w:ascii="Calibri" w:hAnsi="Calibri"/>
          <w:i/>
          <w:color w:val="231F20"/>
          <w:w w:val="105"/>
          <w:sz w:val="17"/>
        </w:rPr>
        <w:t>und</w:t>
      </w:r>
      <w:r>
        <w:rPr>
          <w:rFonts w:ascii="Calibri" w:hAnsi="Calibri"/>
          <w:i/>
          <w:color w:val="231F20"/>
          <w:spacing w:val="-5"/>
          <w:w w:val="105"/>
          <w:sz w:val="17"/>
        </w:rPr>
        <w:t> </w:t>
      </w:r>
      <w:r>
        <w:rPr>
          <w:rFonts w:ascii="Calibri" w:hAnsi="Calibri"/>
          <w:i/>
          <w:color w:val="231F20"/>
          <w:w w:val="105"/>
          <w:sz w:val="17"/>
        </w:rPr>
        <w:t>Begriffe</w:t>
      </w:r>
      <w:r>
        <w:rPr>
          <w:rFonts w:ascii="Calibri" w:hAnsi="Calibri"/>
          <w:i/>
          <w:color w:val="231F20"/>
          <w:spacing w:val="-5"/>
          <w:w w:val="105"/>
          <w:sz w:val="17"/>
        </w:rPr>
        <w:t> </w:t>
      </w:r>
      <w:r>
        <w:rPr>
          <w:rFonts w:ascii="Calibri" w:hAnsi="Calibri"/>
          <w:i/>
          <w:color w:val="231F20"/>
          <w:w w:val="105"/>
          <w:sz w:val="17"/>
        </w:rPr>
        <w:t>im</w:t>
      </w:r>
      <w:r>
        <w:rPr>
          <w:rFonts w:ascii="Calibri" w:hAnsi="Calibri"/>
          <w:i/>
          <w:color w:val="231F20"/>
          <w:spacing w:val="-5"/>
          <w:w w:val="105"/>
          <w:sz w:val="17"/>
        </w:rPr>
        <w:t> </w:t>
      </w:r>
      <w:r>
        <w:rPr>
          <w:rFonts w:ascii="Calibri" w:hAnsi="Calibri"/>
          <w:i/>
          <w:color w:val="231F20"/>
          <w:w w:val="105"/>
          <w:sz w:val="17"/>
        </w:rPr>
        <w:t>Kampf </w:t>
      </w:r>
      <w:r>
        <w:rPr>
          <w:rFonts w:ascii="Calibri" w:hAnsi="Calibri"/>
          <w:i/>
          <w:color w:val="231F20"/>
          <w:w w:val="105"/>
          <w:sz w:val="17"/>
        </w:rPr>
        <w:t>mit</w:t>
      </w:r>
      <w:r>
        <w:rPr>
          <w:rFonts w:ascii="Calibri" w:hAnsi="Calibri"/>
          <w:i/>
          <w:color w:val="231F20"/>
          <w:spacing w:val="-19"/>
          <w:w w:val="105"/>
          <w:sz w:val="17"/>
        </w:rPr>
        <w:t> </w:t>
      </w:r>
      <w:r>
        <w:rPr>
          <w:rFonts w:ascii="Calibri" w:hAnsi="Calibri"/>
          <w:i/>
          <w:color w:val="231F20"/>
          <w:w w:val="105"/>
          <w:sz w:val="17"/>
        </w:rPr>
        <w:t>Weimar</w:t>
      </w:r>
      <w:r>
        <w:rPr>
          <w:rFonts w:ascii="Calibri" w:hAnsi="Calibri"/>
          <w:i/>
          <w:color w:val="231F20"/>
          <w:spacing w:val="-18"/>
          <w:w w:val="105"/>
          <w:sz w:val="17"/>
        </w:rPr>
        <w:t> </w:t>
      </w:r>
      <w:r>
        <w:rPr>
          <w:rFonts w:ascii="Calibri" w:hAnsi="Calibri"/>
          <w:i/>
          <w:color w:val="231F20"/>
          <w:w w:val="105"/>
          <w:sz w:val="17"/>
        </w:rPr>
        <w:t>–</w:t>
      </w:r>
      <w:r>
        <w:rPr>
          <w:rFonts w:ascii="Calibri" w:hAnsi="Calibri"/>
          <w:i/>
          <w:color w:val="231F20"/>
          <w:spacing w:val="-18"/>
          <w:w w:val="105"/>
          <w:sz w:val="17"/>
        </w:rPr>
        <w:t> </w:t>
      </w:r>
      <w:r>
        <w:rPr>
          <w:rFonts w:ascii="Calibri" w:hAnsi="Calibri"/>
          <w:i/>
          <w:color w:val="231F20"/>
          <w:w w:val="105"/>
          <w:sz w:val="17"/>
        </w:rPr>
        <w:t>Genf</w:t>
      </w:r>
      <w:r>
        <w:rPr>
          <w:rFonts w:ascii="Calibri" w:hAnsi="Calibri"/>
          <w:i/>
          <w:color w:val="231F20"/>
          <w:spacing w:val="-18"/>
          <w:w w:val="105"/>
          <w:sz w:val="17"/>
        </w:rPr>
        <w:t> </w:t>
      </w:r>
      <w:r>
        <w:rPr>
          <w:rFonts w:ascii="Calibri" w:hAnsi="Calibri"/>
          <w:i/>
          <w:color w:val="231F20"/>
          <w:w w:val="105"/>
          <w:sz w:val="17"/>
        </w:rPr>
        <w:t>–</w:t>
      </w:r>
      <w:r>
        <w:rPr>
          <w:rFonts w:ascii="Calibri" w:hAnsi="Calibri"/>
          <w:i/>
          <w:color w:val="231F20"/>
          <w:spacing w:val="-19"/>
          <w:w w:val="105"/>
          <w:sz w:val="17"/>
        </w:rPr>
        <w:t> </w:t>
      </w:r>
      <w:r>
        <w:rPr>
          <w:rFonts w:ascii="Calibri" w:hAnsi="Calibri"/>
          <w:i/>
          <w:color w:val="231F20"/>
          <w:w w:val="105"/>
          <w:sz w:val="17"/>
        </w:rPr>
        <w:t>Versailles</w:t>
      </w:r>
      <w:r>
        <w:rPr>
          <w:rFonts w:ascii="Calibri" w:hAnsi="Calibri"/>
          <w:i/>
          <w:color w:val="231F20"/>
          <w:spacing w:val="-18"/>
          <w:w w:val="105"/>
          <w:sz w:val="17"/>
        </w:rPr>
        <w:t> </w:t>
      </w:r>
      <w:r>
        <w:rPr>
          <w:rFonts w:ascii="Calibri" w:hAnsi="Calibri"/>
          <w:i/>
          <w:color w:val="231F20"/>
          <w:w w:val="105"/>
          <w:sz w:val="17"/>
        </w:rPr>
        <w:t>1929–1939</w:t>
      </w:r>
      <w:r>
        <w:rPr>
          <w:rFonts w:ascii="Calibri" w:hAnsi="Calibri"/>
          <w:color w:val="231F20"/>
          <w:w w:val="105"/>
          <w:sz w:val="17"/>
        </w:rPr>
        <w:t>,</w:t>
      </w:r>
      <w:r>
        <w:rPr>
          <w:rFonts w:ascii="Calibri" w:hAnsi="Calibri"/>
          <w:color w:val="231F20"/>
          <w:spacing w:val="-17"/>
          <w:w w:val="105"/>
          <w:sz w:val="17"/>
        </w:rPr>
        <w:t> </w:t>
      </w:r>
      <w:r>
        <w:rPr>
          <w:rFonts w:ascii="Calibri" w:hAnsi="Calibri"/>
          <w:color w:val="231F20"/>
          <w:w w:val="105"/>
          <w:sz w:val="17"/>
        </w:rPr>
        <w:t>Berlin,</w:t>
      </w:r>
      <w:r>
        <w:rPr>
          <w:rFonts w:ascii="Calibri" w:hAnsi="Calibri"/>
          <w:color w:val="231F20"/>
          <w:spacing w:val="-17"/>
          <w:w w:val="105"/>
          <w:sz w:val="17"/>
        </w:rPr>
        <w:t> </w:t>
      </w:r>
      <w:r>
        <w:rPr>
          <w:rFonts w:ascii="Calibri" w:hAnsi="Calibri"/>
          <w:color w:val="231F20"/>
          <w:w w:val="105"/>
          <w:sz w:val="17"/>
        </w:rPr>
        <w:t>Duncker</w:t>
      </w:r>
      <w:r>
        <w:rPr>
          <w:rFonts w:ascii="Calibri" w:hAnsi="Calibri"/>
          <w:color w:val="231F20"/>
          <w:spacing w:val="-17"/>
          <w:w w:val="105"/>
          <w:sz w:val="17"/>
        </w:rPr>
        <w:t> </w:t>
      </w:r>
      <w:r>
        <w:rPr>
          <w:rFonts w:ascii="Calibri" w:hAnsi="Calibri"/>
          <w:color w:val="231F20"/>
          <w:w w:val="105"/>
          <w:sz w:val="17"/>
        </w:rPr>
        <w:t>&amp;</w:t>
      </w:r>
      <w:r>
        <w:rPr>
          <w:rFonts w:ascii="Calibri" w:hAnsi="Calibri"/>
          <w:color w:val="231F20"/>
          <w:spacing w:val="-17"/>
          <w:w w:val="105"/>
          <w:sz w:val="17"/>
        </w:rPr>
        <w:t> </w:t>
      </w:r>
      <w:r>
        <w:rPr>
          <w:rFonts w:ascii="Calibri" w:hAnsi="Calibri"/>
          <w:color w:val="231F20"/>
          <w:w w:val="105"/>
          <w:sz w:val="17"/>
        </w:rPr>
        <w:t>Humblot,</w:t>
      </w:r>
      <w:r>
        <w:rPr>
          <w:rFonts w:ascii="Calibri" w:hAnsi="Calibri"/>
          <w:color w:val="231F20"/>
          <w:spacing w:val="-17"/>
          <w:w w:val="105"/>
          <w:sz w:val="17"/>
        </w:rPr>
        <w:t> </w:t>
      </w:r>
      <w:r>
        <w:rPr>
          <w:rFonts w:ascii="Calibri" w:hAnsi="Calibri"/>
          <w:color w:val="231F20"/>
          <w:w w:val="105"/>
          <w:sz w:val="17"/>
        </w:rPr>
        <w:t>1988,</w:t>
      </w:r>
      <w:r>
        <w:rPr>
          <w:rFonts w:ascii="Calibri" w:hAnsi="Calibri"/>
          <w:color w:val="231F20"/>
          <w:spacing w:val="-17"/>
          <w:w w:val="105"/>
          <w:sz w:val="17"/>
        </w:rPr>
        <w:t> </w:t>
      </w:r>
      <w:r>
        <w:rPr>
          <w:rFonts w:ascii="Calibri" w:hAnsi="Calibri"/>
          <w:color w:val="231F20"/>
          <w:w w:val="105"/>
          <w:sz w:val="17"/>
        </w:rPr>
        <w:t>p.</w:t>
      </w:r>
      <w:r>
        <w:rPr>
          <w:rFonts w:ascii="Calibri" w:hAnsi="Calibri"/>
          <w:color w:val="231F20"/>
          <w:spacing w:val="-17"/>
          <w:w w:val="105"/>
          <w:sz w:val="17"/>
        </w:rPr>
        <w:t> </w:t>
      </w:r>
      <w:r>
        <w:rPr>
          <w:rFonts w:ascii="Calibri" w:hAnsi="Calibri"/>
          <w:color w:val="231F20"/>
          <w:w w:val="105"/>
          <w:sz w:val="17"/>
        </w:rPr>
        <w:t>143:</w:t>
      </w:r>
      <w:r>
        <w:rPr>
          <w:rFonts w:ascii="Calibri" w:hAnsi="Calibri"/>
          <w:color w:val="231F20"/>
          <w:spacing w:val="-17"/>
          <w:w w:val="105"/>
          <w:sz w:val="17"/>
        </w:rPr>
        <w:t> </w:t>
      </w:r>
      <w:r>
        <w:rPr>
          <w:rFonts w:ascii="Calibri" w:hAnsi="Calibri"/>
          <w:color w:val="231F20"/>
          <w:w w:val="105"/>
          <w:sz w:val="17"/>
        </w:rPr>
        <w:t>“Solo</w:t>
      </w:r>
      <w:r>
        <w:rPr>
          <w:rFonts w:ascii="Calibri" w:hAnsi="Calibri"/>
          <w:color w:val="231F20"/>
          <w:spacing w:val="-17"/>
          <w:w w:val="105"/>
          <w:sz w:val="17"/>
        </w:rPr>
        <w:t> </w:t>
      </w:r>
      <w:r>
        <w:rPr>
          <w:rFonts w:ascii="Calibri" w:hAnsi="Calibri"/>
          <w:color w:val="231F20"/>
          <w:w w:val="105"/>
          <w:sz w:val="17"/>
        </w:rPr>
        <w:t>quando concetti</w:t>
      </w:r>
      <w:r>
        <w:rPr>
          <w:rFonts w:ascii="Calibri" w:hAnsi="Calibri"/>
          <w:color w:val="231F20"/>
          <w:spacing w:val="-7"/>
          <w:w w:val="105"/>
          <w:sz w:val="17"/>
        </w:rPr>
        <w:t> </w:t>
      </w:r>
      <w:r>
        <w:rPr>
          <w:rFonts w:ascii="Calibri" w:hAnsi="Calibri"/>
          <w:color w:val="231F20"/>
          <w:w w:val="105"/>
          <w:sz w:val="17"/>
        </w:rPr>
        <w:t>supremi</w:t>
      </w:r>
      <w:r>
        <w:rPr>
          <w:rFonts w:ascii="Calibri" w:hAnsi="Calibri"/>
          <w:color w:val="231F20"/>
          <w:spacing w:val="-7"/>
          <w:w w:val="105"/>
          <w:sz w:val="17"/>
        </w:rPr>
        <w:t> </w:t>
      </w:r>
      <w:r>
        <w:rPr>
          <w:rFonts w:ascii="Calibri" w:hAnsi="Calibri"/>
          <w:color w:val="231F20"/>
          <w:w w:val="105"/>
          <w:sz w:val="17"/>
        </w:rPr>
        <w:t>e</w:t>
      </w:r>
      <w:r>
        <w:rPr>
          <w:rFonts w:ascii="Calibri" w:hAnsi="Calibri"/>
          <w:color w:val="231F20"/>
          <w:spacing w:val="-7"/>
          <w:w w:val="105"/>
          <w:sz w:val="17"/>
        </w:rPr>
        <w:t> </w:t>
      </w:r>
      <w:r>
        <w:rPr>
          <w:rFonts w:ascii="Calibri" w:hAnsi="Calibri"/>
          <w:color w:val="231F20"/>
          <w:w w:val="105"/>
          <w:sz w:val="17"/>
        </w:rPr>
        <w:t>universali</w:t>
      </w:r>
      <w:r>
        <w:rPr>
          <w:rFonts w:ascii="Calibri" w:hAnsi="Calibri"/>
          <w:color w:val="231F20"/>
          <w:spacing w:val="-7"/>
          <w:w w:val="105"/>
          <w:sz w:val="17"/>
        </w:rPr>
        <w:t> </w:t>
      </w:r>
      <w:r>
        <w:rPr>
          <w:rFonts w:ascii="Calibri" w:hAnsi="Calibri"/>
          <w:color w:val="231F20"/>
          <w:w w:val="105"/>
          <w:sz w:val="17"/>
        </w:rPr>
        <w:t>come</w:t>
      </w:r>
      <w:r>
        <w:rPr>
          <w:rFonts w:ascii="Calibri" w:hAnsi="Calibri"/>
          <w:color w:val="231F20"/>
          <w:spacing w:val="-7"/>
          <w:w w:val="105"/>
          <w:sz w:val="17"/>
        </w:rPr>
        <w:t> </w:t>
      </w:r>
      <w:r>
        <w:rPr>
          <w:rFonts w:ascii="Calibri" w:hAnsi="Calibri"/>
          <w:color w:val="231F20"/>
          <w:w w:val="105"/>
          <w:sz w:val="17"/>
        </w:rPr>
        <w:t>umanità</w:t>
      </w:r>
      <w:r>
        <w:rPr>
          <w:rFonts w:ascii="Calibri" w:hAnsi="Calibri"/>
          <w:color w:val="231F20"/>
          <w:spacing w:val="-9"/>
          <w:w w:val="105"/>
          <w:sz w:val="17"/>
        </w:rPr>
        <w:t> </w:t>
      </w:r>
      <w:r>
        <w:rPr>
          <w:rFonts w:ascii="Calibri" w:hAnsi="Calibri"/>
          <w:color w:val="231F20"/>
          <w:w w:val="105"/>
          <w:sz w:val="17"/>
        </w:rPr>
        <w:t>vengono</w:t>
      </w:r>
      <w:r>
        <w:rPr>
          <w:rFonts w:ascii="Calibri" w:hAnsi="Calibri"/>
          <w:color w:val="231F20"/>
          <w:spacing w:val="-7"/>
          <w:w w:val="105"/>
          <w:sz w:val="17"/>
        </w:rPr>
        <w:t> </w:t>
      </w:r>
      <w:r>
        <w:rPr>
          <w:rFonts w:ascii="Calibri" w:hAnsi="Calibri"/>
          <w:color w:val="231F20"/>
          <w:w w:val="105"/>
          <w:sz w:val="17"/>
        </w:rPr>
        <w:t>utilizzati</w:t>
      </w:r>
      <w:r>
        <w:rPr>
          <w:rFonts w:ascii="Calibri" w:hAnsi="Calibri"/>
          <w:color w:val="231F20"/>
          <w:spacing w:val="-7"/>
          <w:w w:val="105"/>
          <w:sz w:val="17"/>
        </w:rPr>
        <w:t> </w:t>
      </w:r>
      <w:r>
        <w:rPr>
          <w:rFonts w:ascii="Calibri" w:hAnsi="Calibri"/>
          <w:color w:val="231F20"/>
          <w:w w:val="105"/>
          <w:sz w:val="17"/>
        </w:rPr>
        <w:t>politicamente</w:t>
      </w:r>
      <w:r>
        <w:rPr>
          <w:rFonts w:ascii="Calibri" w:hAnsi="Calibri"/>
          <w:color w:val="231F20"/>
          <w:spacing w:val="-7"/>
          <w:w w:val="105"/>
          <w:sz w:val="17"/>
        </w:rPr>
        <w:t> </w:t>
      </w:r>
      <w:r>
        <w:rPr>
          <w:rFonts w:ascii="Calibri" w:hAnsi="Calibri"/>
          <w:color w:val="231F20"/>
          <w:w w:val="105"/>
          <w:sz w:val="17"/>
        </w:rPr>
        <w:t>per</w:t>
      </w:r>
      <w:r>
        <w:rPr>
          <w:rFonts w:ascii="Calibri" w:hAnsi="Calibri"/>
          <w:color w:val="231F20"/>
          <w:spacing w:val="-7"/>
          <w:w w:val="105"/>
          <w:sz w:val="17"/>
        </w:rPr>
        <w:t> </w:t>
      </w:r>
      <w:r>
        <w:rPr>
          <w:rFonts w:ascii="Calibri" w:hAnsi="Calibri"/>
          <w:color w:val="231F20"/>
          <w:w w:val="105"/>
          <w:sz w:val="17"/>
        </w:rPr>
        <w:t>identificare</w:t>
      </w:r>
      <w:r>
        <w:rPr>
          <w:rFonts w:ascii="Calibri" w:hAnsi="Calibri"/>
          <w:color w:val="231F20"/>
          <w:spacing w:val="-7"/>
          <w:w w:val="105"/>
          <w:sz w:val="17"/>
        </w:rPr>
        <w:t> </w:t>
      </w:r>
      <w:r>
        <w:rPr>
          <w:rFonts w:ascii="Calibri" w:hAnsi="Calibri"/>
          <w:color w:val="231F20"/>
          <w:w w:val="105"/>
          <w:sz w:val="17"/>
        </w:rPr>
        <w:t>con essi</w:t>
      </w:r>
      <w:r>
        <w:rPr>
          <w:rFonts w:ascii="Calibri" w:hAnsi="Calibri"/>
          <w:color w:val="231F20"/>
          <w:spacing w:val="-8"/>
          <w:w w:val="105"/>
          <w:sz w:val="17"/>
        </w:rPr>
        <w:t> </w:t>
      </w:r>
      <w:r>
        <w:rPr>
          <w:rFonts w:ascii="Calibri" w:hAnsi="Calibri"/>
          <w:color w:val="231F20"/>
          <w:w w:val="105"/>
          <w:sz w:val="17"/>
        </w:rPr>
        <w:t>un</w:t>
      </w:r>
      <w:r>
        <w:rPr>
          <w:rFonts w:ascii="Calibri" w:hAnsi="Calibri"/>
          <w:color w:val="231F20"/>
          <w:spacing w:val="-8"/>
          <w:w w:val="105"/>
          <w:sz w:val="17"/>
        </w:rPr>
        <w:t> </w:t>
      </w:r>
      <w:r>
        <w:rPr>
          <w:rFonts w:ascii="Calibri" w:hAnsi="Calibri"/>
          <w:color w:val="231F20"/>
          <w:w w:val="105"/>
          <w:sz w:val="17"/>
        </w:rPr>
        <w:t>singolo</w:t>
      </w:r>
      <w:r>
        <w:rPr>
          <w:rFonts w:ascii="Calibri" w:hAnsi="Calibri"/>
          <w:color w:val="231F20"/>
          <w:spacing w:val="-8"/>
          <w:w w:val="105"/>
          <w:sz w:val="17"/>
        </w:rPr>
        <w:t> </w:t>
      </w:r>
      <w:r>
        <w:rPr>
          <w:rFonts w:ascii="Calibri" w:hAnsi="Calibri"/>
          <w:color w:val="231F20"/>
          <w:w w:val="105"/>
          <w:sz w:val="17"/>
        </w:rPr>
        <w:t>popolo</w:t>
      </w:r>
      <w:r>
        <w:rPr>
          <w:rFonts w:ascii="Calibri" w:hAnsi="Calibri"/>
          <w:color w:val="231F20"/>
          <w:spacing w:val="-8"/>
          <w:w w:val="105"/>
          <w:sz w:val="17"/>
        </w:rPr>
        <w:t> </w:t>
      </w:r>
      <w:r>
        <w:rPr>
          <w:rFonts w:ascii="Calibri" w:hAnsi="Calibri"/>
          <w:color w:val="231F20"/>
          <w:w w:val="105"/>
          <w:sz w:val="17"/>
        </w:rPr>
        <w:t>o</w:t>
      </w:r>
      <w:r>
        <w:rPr>
          <w:rFonts w:ascii="Calibri" w:hAnsi="Calibri"/>
          <w:color w:val="231F20"/>
          <w:spacing w:val="-8"/>
          <w:w w:val="105"/>
          <w:sz w:val="17"/>
        </w:rPr>
        <w:t> </w:t>
      </w:r>
      <w:r>
        <w:rPr>
          <w:rFonts w:ascii="Calibri" w:hAnsi="Calibri"/>
          <w:color w:val="231F20"/>
          <w:w w:val="105"/>
          <w:sz w:val="17"/>
        </w:rPr>
        <w:t>una</w:t>
      </w:r>
      <w:r>
        <w:rPr>
          <w:rFonts w:ascii="Calibri" w:hAnsi="Calibri"/>
          <w:color w:val="231F20"/>
          <w:spacing w:val="-8"/>
          <w:w w:val="105"/>
          <w:sz w:val="17"/>
        </w:rPr>
        <w:t> </w:t>
      </w:r>
      <w:r>
        <w:rPr>
          <w:rFonts w:ascii="Calibri" w:hAnsi="Calibri"/>
          <w:color w:val="231F20"/>
          <w:w w:val="105"/>
          <w:sz w:val="17"/>
        </w:rPr>
        <w:t>determinata</w:t>
      </w:r>
      <w:r>
        <w:rPr>
          <w:rFonts w:ascii="Calibri" w:hAnsi="Calibri"/>
          <w:color w:val="231F20"/>
          <w:spacing w:val="-8"/>
          <w:w w:val="105"/>
          <w:sz w:val="17"/>
        </w:rPr>
        <w:t> </w:t>
      </w:r>
      <w:r>
        <w:rPr>
          <w:rFonts w:ascii="Calibri" w:hAnsi="Calibri"/>
          <w:color w:val="231F20"/>
          <w:w w:val="105"/>
          <w:sz w:val="17"/>
        </w:rPr>
        <w:t>organizzazione</w:t>
      </w:r>
      <w:r>
        <w:rPr>
          <w:rFonts w:ascii="Calibri" w:hAnsi="Calibri"/>
          <w:color w:val="231F20"/>
          <w:spacing w:val="-8"/>
          <w:w w:val="105"/>
          <w:sz w:val="17"/>
        </w:rPr>
        <w:t> </w:t>
      </w:r>
      <w:r>
        <w:rPr>
          <w:rFonts w:ascii="Calibri" w:hAnsi="Calibri"/>
          <w:color w:val="231F20"/>
          <w:w w:val="105"/>
          <w:sz w:val="17"/>
        </w:rPr>
        <w:t>sociale,</w:t>
      </w:r>
      <w:r>
        <w:rPr>
          <w:rFonts w:ascii="Calibri" w:hAnsi="Calibri"/>
          <w:color w:val="231F20"/>
          <w:spacing w:val="-8"/>
          <w:w w:val="105"/>
          <w:sz w:val="17"/>
        </w:rPr>
        <w:t> </w:t>
      </w:r>
      <w:r>
        <w:rPr>
          <w:rFonts w:ascii="Calibri" w:hAnsi="Calibri"/>
          <w:color w:val="231F20"/>
          <w:w w:val="105"/>
          <w:sz w:val="17"/>
        </w:rPr>
        <w:t>allora</w:t>
      </w:r>
      <w:r>
        <w:rPr>
          <w:rFonts w:ascii="Calibri" w:hAnsi="Calibri"/>
          <w:color w:val="231F20"/>
          <w:spacing w:val="-8"/>
          <w:w w:val="105"/>
          <w:sz w:val="17"/>
        </w:rPr>
        <w:t> </w:t>
      </w:r>
      <w:r>
        <w:rPr>
          <w:rFonts w:ascii="Calibri" w:hAnsi="Calibri"/>
          <w:color w:val="231F20"/>
          <w:w w:val="105"/>
          <w:sz w:val="17"/>
        </w:rPr>
        <w:t>sorge</w:t>
      </w:r>
      <w:r>
        <w:rPr>
          <w:rFonts w:ascii="Calibri" w:hAnsi="Calibri"/>
          <w:color w:val="231F20"/>
          <w:spacing w:val="-8"/>
          <w:w w:val="105"/>
          <w:sz w:val="17"/>
        </w:rPr>
        <w:t> </w:t>
      </w:r>
      <w:r>
        <w:rPr>
          <w:rFonts w:ascii="Calibri" w:hAnsi="Calibri"/>
          <w:color w:val="231F20"/>
          <w:w w:val="105"/>
          <w:sz w:val="17"/>
        </w:rPr>
        <w:t>la</w:t>
      </w:r>
      <w:r>
        <w:rPr>
          <w:rFonts w:ascii="Calibri" w:hAnsi="Calibri"/>
          <w:color w:val="231F20"/>
          <w:spacing w:val="-8"/>
          <w:w w:val="105"/>
          <w:sz w:val="17"/>
        </w:rPr>
        <w:t> </w:t>
      </w:r>
      <w:r>
        <w:rPr>
          <w:rFonts w:ascii="Calibri" w:hAnsi="Calibri"/>
          <w:color w:val="231F20"/>
          <w:w w:val="105"/>
          <w:sz w:val="17"/>
        </w:rPr>
        <w:t>possibilità</w:t>
      </w:r>
      <w:r>
        <w:rPr>
          <w:rFonts w:ascii="Calibri" w:hAnsi="Calibri"/>
          <w:color w:val="231F20"/>
          <w:spacing w:val="-8"/>
          <w:w w:val="105"/>
          <w:sz w:val="17"/>
        </w:rPr>
        <w:t> </w:t>
      </w:r>
      <w:r>
        <w:rPr>
          <w:rFonts w:ascii="Calibri" w:hAnsi="Calibri"/>
          <w:color w:val="231F20"/>
          <w:w w:val="105"/>
          <w:sz w:val="17"/>
        </w:rPr>
        <w:t>di</w:t>
      </w:r>
      <w:r>
        <w:rPr>
          <w:rFonts w:ascii="Calibri" w:hAnsi="Calibri"/>
          <w:color w:val="231F20"/>
          <w:spacing w:val="-8"/>
          <w:w w:val="105"/>
          <w:sz w:val="17"/>
        </w:rPr>
        <w:t> </w:t>
      </w:r>
      <w:r>
        <w:rPr>
          <w:rFonts w:ascii="Calibri" w:hAnsi="Calibri"/>
          <w:color w:val="231F20"/>
          <w:w w:val="105"/>
          <w:sz w:val="17"/>
        </w:rPr>
        <w:t>una pericolosa</w:t>
      </w:r>
      <w:r>
        <w:rPr>
          <w:rFonts w:ascii="Calibri" w:hAnsi="Calibri"/>
          <w:color w:val="231F20"/>
          <w:spacing w:val="-16"/>
          <w:w w:val="105"/>
          <w:sz w:val="17"/>
        </w:rPr>
        <w:t> </w:t>
      </w:r>
      <w:r>
        <w:rPr>
          <w:rFonts w:ascii="Calibri" w:hAnsi="Calibri"/>
          <w:color w:val="231F20"/>
          <w:w w:val="105"/>
          <w:sz w:val="17"/>
        </w:rPr>
        <w:t>espansione</w:t>
      </w:r>
      <w:r>
        <w:rPr>
          <w:rFonts w:ascii="Calibri" w:hAnsi="Calibri"/>
          <w:color w:val="231F20"/>
          <w:spacing w:val="-16"/>
          <w:w w:val="105"/>
          <w:sz w:val="17"/>
        </w:rPr>
        <w:t> </w:t>
      </w:r>
      <w:r>
        <w:rPr>
          <w:rFonts w:ascii="Calibri" w:hAnsi="Calibri"/>
          <w:color w:val="231F20"/>
          <w:w w:val="105"/>
          <w:sz w:val="17"/>
        </w:rPr>
        <w:t>e</w:t>
      </w:r>
      <w:r>
        <w:rPr>
          <w:rFonts w:ascii="Calibri" w:hAnsi="Calibri"/>
          <w:color w:val="231F20"/>
          <w:spacing w:val="-16"/>
          <w:w w:val="105"/>
          <w:sz w:val="17"/>
        </w:rPr>
        <w:t> </w:t>
      </w:r>
      <w:r>
        <w:rPr>
          <w:rFonts w:ascii="Calibri" w:hAnsi="Calibri"/>
          <w:color w:val="231F20"/>
          <w:w w:val="105"/>
          <w:sz w:val="17"/>
        </w:rPr>
        <w:t>di</w:t>
      </w:r>
      <w:r>
        <w:rPr>
          <w:rFonts w:ascii="Calibri" w:hAnsi="Calibri"/>
          <w:color w:val="231F20"/>
          <w:spacing w:val="-16"/>
          <w:w w:val="105"/>
          <w:sz w:val="17"/>
        </w:rPr>
        <w:t> </w:t>
      </w:r>
      <w:r>
        <w:rPr>
          <w:rFonts w:ascii="Calibri" w:hAnsi="Calibri"/>
          <w:color w:val="231F20"/>
          <w:w w:val="105"/>
          <w:sz w:val="17"/>
        </w:rPr>
        <w:t>un</w:t>
      </w:r>
      <w:r>
        <w:rPr>
          <w:rFonts w:ascii="Calibri" w:hAnsi="Calibri"/>
          <w:color w:val="231F20"/>
          <w:spacing w:val="-16"/>
          <w:w w:val="105"/>
          <w:sz w:val="17"/>
        </w:rPr>
        <w:t> </w:t>
      </w:r>
      <w:r>
        <w:rPr>
          <w:rFonts w:ascii="Calibri" w:hAnsi="Calibri"/>
          <w:color w:val="231F20"/>
          <w:w w:val="105"/>
          <w:sz w:val="17"/>
        </w:rPr>
        <w:t>imperialismo</w:t>
      </w:r>
      <w:r>
        <w:rPr>
          <w:rFonts w:ascii="Calibri" w:hAnsi="Calibri"/>
          <w:color w:val="231F20"/>
          <w:spacing w:val="-16"/>
          <w:w w:val="105"/>
          <w:sz w:val="17"/>
        </w:rPr>
        <w:t> </w:t>
      </w:r>
      <w:r>
        <w:rPr>
          <w:rFonts w:ascii="Calibri" w:hAnsi="Calibri"/>
          <w:color w:val="231F20"/>
          <w:spacing w:val="-3"/>
          <w:w w:val="105"/>
          <w:sz w:val="17"/>
        </w:rPr>
        <w:t>assassino”.</w:t>
      </w:r>
    </w:p>
    <w:p>
      <w:pPr>
        <w:spacing w:line="235" w:lineRule="auto" w:before="0"/>
        <w:ind w:left="117" w:right="121" w:firstLine="0"/>
        <w:jc w:val="both"/>
        <w:rPr>
          <w:rFonts w:ascii="Calibri" w:hAnsi="Calibri"/>
          <w:sz w:val="17"/>
        </w:rPr>
      </w:pPr>
      <w:r>
        <w:rPr>
          <w:rFonts w:ascii="Calibri" w:hAnsi="Calibri"/>
          <w:color w:val="231F20"/>
          <w:w w:val="105"/>
          <w:position w:val="6"/>
          <w:sz w:val="10"/>
        </w:rPr>
        <w:t>46 </w:t>
      </w:r>
      <w:r>
        <w:rPr>
          <w:rFonts w:ascii="Calibri" w:hAnsi="Calibri"/>
          <w:color w:val="231F20"/>
          <w:w w:val="105"/>
          <w:sz w:val="17"/>
        </w:rPr>
        <w:t>Come annota Schmitt, </w:t>
      </w:r>
      <w:r>
        <w:rPr>
          <w:rFonts w:ascii="Calibri" w:hAnsi="Calibri"/>
          <w:i/>
          <w:color w:val="231F20"/>
          <w:w w:val="105"/>
          <w:sz w:val="17"/>
        </w:rPr>
        <w:t>Il concetto di ‘politico’</w:t>
      </w:r>
      <w:r>
        <w:rPr>
          <w:rFonts w:ascii="Calibri" w:hAnsi="Calibri"/>
          <w:color w:val="231F20"/>
          <w:w w:val="105"/>
          <w:sz w:val="17"/>
        </w:rPr>
        <w:t>, pp. 164–165, a dispetto della sua “terminologia essenzialmente non bellicosa”, il nuovo imperialismo etico–economico scaturito dal primo conflitto mondiale dispone, infatti, “ancora di strumenti tecnici di uccisione fisica violenta, di</w:t>
      </w:r>
    </w:p>
    <w:p>
      <w:pPr>
        <w:spacing w:after="0" w:line="235" w:lineRule="auto"/>
        <w:jc w:val="both"/>
        <w:rPr>
          <w:rFonts w:ascii="Calibri" w:hAnsi="Calibri"/>
          <w:sz w:val="17"/>
        </w:rPr>
        <w:sectPr>
          <w:type w:val="continuous"/>
          <w:pgSz w:w="9640" w:h="13890"/>
          <w:pgMar w:top="0" w:bottom="0" w:left="1300" w:right="1180"/>
        </w:sectPr>
      </w:pPr>
    </w:p>
    <w:p>
      <w:pPr>
        <w:pStyle w:val="BodyText"/>
        <w:spacing w:line="247" w:lineRule="auto" w:before="107"/>
        <w:ind w:left="103" w:right="115"/>
        <w:jc w:val="both"/>
      </w:pPr>
      <w:r>
        <w:rPr>
          <w:color w:val="231F20"/>
          <w:w w:val="105"/>
        </w:rPr>
        <w:t>punitiva</w:t>
      </w:r>
      <w:r>
        <w:rPr>
          <w:color w:val="231F20"/>
          <w:spacing w:val="-9"/>
          <w:w w:val="105"/>
        </w:rPr>
        <w:t> </w:t>
      </w:r>
      <w:r>
        <w:rPr>
          <w:color w:val="231F20"/>
          <w:w w:val="105"/>
        </w:rPr>
        <w:t>ad</w:t>
      </w:r>
      <w:r>
        <w:rPr>
          <w:color w:val="231F20"/>
          <w:spacing w:val="-9"/>
          <w:w w:val="105"/>
        </w:rPr>
        <w:t> </w:t>
      </w:r>
      <w:r>
        <w:rPr>
          <w:color w:val="231F20"/>
          <w:w w:val="105"/>
        </w:rPr>
        <w:t>elevato</w:t>
      </w:r>
      <w:r>
        <w:rPr>
          <w:color w:val="231F20"/>
          <w:spacing w:val="-9"/>
          <w:w w:val="105"/>
        </w:rPr>
        <w:t> </w:t>
      </w:r>
      <w:r>
        <w:rPr>
          <w:color w:val="231F20"/>
          <w:w w:val="105"/>
        </w:rPr>
        <w:t>tasso</w:t>
      </w:r>
      <w:r>
        <w:rPr>
          <w:color w:val="231F20"/>
          <w:spacing w:val="-9"/>
          <w:w w:val="105"/>
        </w:rPr>
        <w:t> </w:t>
      </w:r>
      <w:r>
        <w:rPr>
          <w:color w:val="231F20"/>
          <w:w w:val="105"/>
        </w:rPr>
        <w:t>tecnologico</w:t>
      </w:r>
      <w:r>
        <w:rPr>
          <w:color w:val="231F20"/>
          <w:spacing w:val="-9"/>
          <w:w w:val="105"/>
        </w:rPr>
        <w:t> </w:t>
      </w:r>
      <w:r>
        <w:rPr>
          <w:color w:val="231F20"/>
          <w:w w:val="105"/>
        </w:rPr>
        <w:t>descritta</w:t>
      </w:r>
      <w:r>
        <w:rPr>
          <w:color w:val="231F20"/>
          <w:spacing w:val="-9"/>
          <w:w w:val="105"/>
        </w:rPr>
        <w:t> </w:t>
      </w:r>
      <w:r>
        <w:rPr>
          <w:color w:val="231F20"/>
          <w:w w:val="105"/>
        </w:rPr>
        <w:t>in</w:t>
      </w:r>
      <w:r>
        <w:rPr>
          <w:color w:val="231F20"/>
          <w:spacing w:val="-9"/>
          <w:w w:val="105"/>
        </w:rPr>
        <w:t> </w:t>
      </w:r>
      <w:r>
        <w:rPr>
          <w:color w:val="231F20"/>
          <w:w w:val="105"/>
        </w:rPr>
        <w:t>una</w:t>
      </w:r>
      <w:r>
        <w:rPr>
          <w:color w:val="231F20"/>
          <w:spacing w:val="-9"/>
          <w:w w:val="105"/>
        </w:rPr>
        <w:t> </w:t>
      </w:r>
      <w:r>
        <w:rPr>
          <w:color w:val="231F20"/>
          <w:w w:val="105"/>
        </w:rPr>
        <w:t>celebre</w:t>
      </w:r>
      <w:r>
        <w:rPr>
          <w:color w:val="231F20"/>
          <w:spacing w:val="-9"/>
          <w:w w:val="105"/>
        </w:rPr>
        <w:t> </w:t>
      </w:r>
      <w:r>
        <w:rPr>
          <w:color w:val="231F20"/>
          <w:w w:val="105"/>
        </w:rPr>
        <w:t>pagina</w:t>
      </w:r>
      <w:r>
        <w:rPr>
          <w:color w:val="231F20"/>
          <w:spacing w:val="-9"/>
          <w:w w:val="105"/>
        </w:rPr>
        <w:t> </w:t>
      </w:r>
      <w:r>
        <w:rPr>
          <w:color w:val="231F20"/>
          <w:w w:val="105"/>
        </w:rPr>
        <w:t>del volume</w:t>
      </w:r>
      <w:r>
        <w:rPr>
          <w:color w:val="231F20"/>
          <w:spacing w:val="-42"/>
          <w:w w:val="105"/>
        </w:rPr>
        <w:t> </w:t>
      </w:r>
      <w:r>
        <w:rPr>
          <w:rFonts w:ascii="Arial"/>
          <w:i/>
          <w:color w:val="231F20"/>
          <w:w w:val="105"/>
        </w:rPr>
        <w:t>Der</w:t>
      </w:r>
      <w:r>
        <w:rPr>
          <w:rFonts w:ascii="Arial"/>
          <w:i/>
          <w:color w:val="231F20"/>
          <w:spacing w:val="-34"/>
          <w:w w:val="105"/>
        </w:rPr>
        <w:t> </w:t>
      </w:r>
      <w:r>
        <w:rPr>
          <w:rFonts w:ascii="Arial"/>
          <w:i/>
          <w:color w:val="231F20"/>
          <w:w w:val="105"/>
        </w:rPr>
        <w:t>Nomos</w:t>
      </w:r>
      <w:r>
        <w:rPr>
          <w:rFonts w:ascii="Arial"/>
          <w:i/>
          <w:color w:val="231F20"/>
          <w:spacing w:val="-34"/>
          <w:w w:val="105"/>
        </w:rPr>
        <w:t> </w:t>
      </w:r>
      <w:r>
        <w:rPr>
          <w:rFonts w:ascii="Arial"/>
          <w:i/>
          <w:color w:val="231F20"/>
          <w:w w:val="105"/>
        </w:rPr>
        <w:t>der</w:t>
      </w:r>
      <w:r>
        <w:rPr>
          <w:rFonts w:ascii="Arial"/>
          <w:i/>
          <w:color w:val="231F20"/>
          <w:spacing w:val="-34"/>
          <w:w w:val="105"/>
        </w:rPr>
        <w:t> </w:t>
      </w:r>
      <w:r>
        <w:rPr>
          <w:rFonts w:ascii="Arial"/>
          <w:i/>
          <w:color w:val="231F20"/>
          <w:w w:val="105"/>
        </w:rPr>
        <w:t>Erde</w:t>
      </w:r>
      <w:r>
        <w:rPr>
          <w:color w:val="231F20"/>
          <w:w w:val="105"/>
        </w:rPr>
        <w:t>:</w:t>
      </w:r>
    </w:p>
    <w:p>
      <w:pPr>
        <w:pStyle w:val="BodyText"/>
        <w:spacing w:before="9"/>
        <w:rPr>
          <w:sz w:val="22"/>
        </w:rPr>
      </w:pPr>
    </w:p>
    <w:p>
      <w:pPr>
        <w:spacing w:line="220" w:lineRule="exact" w:before="0"/>
        <w:ind w:left="1521" w:right="107" w:firstLine="0"/>
        <w:jc w:val="both"/>
        <w:rPr>
          <w:sz w:val="19"/>
        </w:rPr>
      </w:pPr>
      <w:r>
        <w:rPr>
          <w:color w:val="231F20"/>
          <w:sz w:val="19"/>
        </w:rPr>
        <w:t>La</w:t>
      </w:r>
      <w:r>
        <w:rPr>
          <w:color w:val="231F20"/>
          <w:spacing w:val="-11"/>
          <w:sz w:val="19"/>
        </w:rPr>
        <w:t> </w:t>
      </w:r>
      <w:r>
        <w:rPr>
          <w:color w:val="231F20"/>
          <w:sz w:val="19"/>
        </w:rPr>
        <w:t>discriminazione</w:t>
      </w:r>
      <w:r>
        <w:rPr>
          <w:color w:val="231F20"/>
          <w:spacing w:val="-11"/>
          <w:sz w:val="19"/>
        </w:rPr>
        <w:t> </w:t>
      </w:r>
      <w:r>
        <w:rPr>
          <w:color w:val="231F20"/>
          <w:sz w:val="19"/>
        </w:rPr>
        <w:t>del</w:t>
      </w:r>
      <w:r>
        <w:rPr>
          <w:color w:val="231F20"/>
          <w:spacing w:val="-11"/>
          <w:sz w:val="19"/>
        </w:rPr>
        <w:t> </w:t>
      </w:r>
      <w:r>
        <w:rPr>
          <w:color w:val="231F20"/>
          <w:sz w:val="19"/>
        </w:rPr>
        <w:t>nemico</w:t>
      </w:r>
      <w:r>
        <w:rPr>
          <w:color w:val="231F20"/>
          <w:spacing w:val="-11"/>
          <w:sz w:val="19"/>
        </w:rPr>
        <w:t> </w:t>
      </w:r>
      <w:r>
        <w:rPr>
          <w:color w:val="231F20"/>
          <w:sz w:val="19"/>
        </w:rPr>
        <w:t>quale</w:t>
      </w:r>
      <w:r>
        <w:rPr>
          <w:color w:val="231F20"/>
          <w:spacing w:val="-11"/>
          <w:sz w:val="19"/>
        </w:rPr>
        <w:t> </w:t>
      </w:r>
      <w:r>
        <w:rPr>
          <w:color w:val="231F20"/>
          <w:sz w:val="19"/>
        </w:rPr>
        <w:t>criminale</w:t>
      </w:r>
      <w:r>
        <w:rPr>
          <w:color w:val="231F20"/>
          <w:spacing w:val="-11"/>
          <w:sz w:val="19"/>
        </w:rPr>
        <w:t> </w:t>
      </w:r>
      <w:r>
        <w:rPr>
          <w:color w:val="231F20"/>
          <w:sz w:val="19"/>
        </w:rPr>
        <w:t>e</w:t>
      </w:r>
      <w:r>
        <w:rPr>
          <w:color w:val="231F20"/>
          <w:spacing w:val="-11"/>
          <w:sz w:val="19"/>
        </w:rPr>
        <w:t> </w:t>
      </w:r>
      <w:r>
        <w:rPr>
          <w:color w:val="231F20"/>
          <w:sz w:val="19"/>
        </w:rPr>
        <w:t>la</w:t>
      </w:r>
      <w:r>
        <w:rPr>
          <w:color w:val="231F20"/>
          <w:spacing w:val="-11"/>
          <w:sz w:val="19"/>
        </w:rPr>
        <w:t> </w:t>
      </w:r>
      <w:r>
        <w:rPr>
          <w:color w:val="231F20"/>
          <w:sz w:val="19"/>
        </w:rPr>
        <w:t>contemporanea </w:t>
      </w:r>
      <w:r>
        <w:rPr>
          <w:color w:val="231F20"/>
          <w:spacing w:val="6"/>
          <w:sz w:val="19"/>
        </w:rPr>
        <w:t>implicazione </w:t>
      </w:r>
      <w:r>
        <w:rPr>
          <w:color w:val="231F20"/>
          <w:spacing w:val="5"/>
          <w:sz w:val="19"/>
        </w:rPr>
        <w:t>della </w:t>
      </w:r>
      <w:r>
        <w:rPr>
          <w:rFonts w:ascii="Arial" w:hAnsi="Arial"/>
          <w:i/>
          <w:color w:val="231F20"/>
          <w:spacing w:val="5"/>
          <w:sz w:val="19"/>
        </w:rPr>
        <w:t>justa causa </w:t>
      </w:r>
      <w:r>
        <w:rPr>
          <w:color w:val="231F20"/>
          <w:spacing w:val="5"/>
          <w:sz w:val="19"/>
        </w:rPr>
        <w:t>vanno </w:t>
      </w:r>
      <w:r>
        <w:rPr>
          <w:color w:val="231F20"/>
          <w:spacing w:val="3"/>
          <w:sz w:val="19"/>
        </w:rPr>
        <w:t>di </w:t>
      </w:r>
      <w:r>
        <w:rPr>
          <w:color w:val="231F20"/>
          <w:spacing w:val="5"/>
          <w:sz w:val="19"/>
        </w:rPr>
        <w:t>pari passo </w:t>
      </w:r>
      <w:r>
        <w:rPr>
          <w:color w:val="231F20"/>
          <w:spacing w:val="4"/>
          <w:sz w:val="19"/>
        </w:rPr>
        <w:t>con </w:t>
      </w:r>
      <w:r>
        <w:rPr>
          <w:color w:val="231F20"/>
          <w:spacing w:val="7"/>
          <w:sz w:val="19"/>
        </w:rPr>
        <w:t>il </w:t>
      </w:r>
      <w:r>
        <w:rPr>
          <w:color w:val="231F20"/>
          <w:sz w:val="19"/>
        </w:rPr>
        <w:t>potenziamento dei mezzi di annientamento e con lo sradicamento spaziale del teatro di guerra: Il potenziamento dei mezzi tecnici</w:t>
      </w:r>
      <w:r>
        <w:rPr>
          <w:color w:val="231F20"/>
          <w:spacing w:val="-26"/>
          <w:sz w:val="19"/>
        </w:rPr>
        <w:t> </w:t>
      </w:r>
      <w:r>
        <w:rPr>
          <w:color w:val="231F20"/>
          <w:sz w:val="19"/>
        </w:rPr>
        <w:t>di annientamento spalanca l’abisso di una discriminazione giuridica e morale altrettanto distruttiva. (…) Il bombardiere o l’aereo di attacco</w:t>
      </w:r>
      <w:r>
        <w:rPr>
          <w:color w:val="231F20"/>
          <w:spacing w:val="-12"/>
          <w:sz w:val="19"/>
        </w:rPr>
        <w:t> </w:t>
      </w:r>
      <w:r>
        <w:rPr>
          <w:color w:val="231F20"/>
          <w:sz w:val="19"/>
        </w:rPr>
        <w:t>a</w:t>
      </w:r>
      <w:r>
        <w:rPr>
          <w:color w:val="231F20"/>
          <w:spacing w:val="-12"/>
          <w:sz w:val="19"/>
        </w:rPr>
        <w:t> </w:t>
      </w:r>
      <w:r>
        <w:rPr>
          <w:color w:val="231F20"/>
          <w:sz w:val="19"/>
        </w:rPr>
        <w:t>volo</w:t>
      </w:r>
      <w:r>
        <w:rPr>
          <w:color w:val="231F20"/>
          <w:spacing w:val="-12"/>
          <w:sz w:val="19"/>
        </w:rPr>
        <w:t> </w:t>
      </w:r>
      <w:r>
        <w:rPr>
          <w:color w:val="231F20"/>
          <w:sz w:val="19"/>
        </w:rPr>
        <w:t>radente</w:t>
      </w:r>
      <w:r>
        <w:rPr>
          <w:color w:val="231F20"/>
          <w:spacing w:val="-12"/>
          <w:sz w:val="19"/>
        </w:rPr>
        <w:t> </w:t>
      </w:r>
      <w:r>
        <w:rPr>
          <w:color w:val="231F20"/>
          <w:sz w:val="19"/>
        </w:rPr>
        <w:t>usano</w:t>
      </w:r>
      <w:r>
        <w:rPr>
          <w:color w:val="231F20"/>
          <w:spacing w:val="-12"/>
          <w:sz w:val="19"/>
        </w:rPr>
        <w:t> </w:t>
      </w:r>
      <w:r>
        <w:rPr>
          <w:color w:val="231F20"/>
          <w:sz w:val="19"/>
        </w:rPr>
        <w:t>le</w:t>
      </w:r>
      <w:r>
        <w:rPr>
          <w:color w:val="231F20"/>
          <w:spacing w:val="-12"/>
          <w:sz w:val="19"/>
        </w:rPr>
        <w:t> </w:t>
      </w:r>
      <w:r>
        <w:rPr>
          <w:color w:val="231F20"/>
          <w:sz w:val="19"/>
        </w:rPr>
        <w:t>proprie</w:t>
      </w:r>
      <w:r>
        <w:rPr>
          <w:color w:val="231F20"/>
          <w:spacing w:val="-12"/>
          <w:sz w:val="19"/>
        </w:rPr>
        <w:t> </w:t>
      </w:r>
      <w:r>
        <w:rPr>
          <w:color w:val="231F20"/>
          <w:sz w:val="19"/>
        </w:rPr>
        <w:t>armi</w:t>
      </w:r>
      <w:r>
        <w:rPr>
          <w:color w:val="231F20"/>
          <w:spacing w:val="-12"/>
          <w:sz w:val="19"/>
        </w:rPr>
        <w:t> </w:t>
      </w:r>
      <w:r>
        <w:rPr>
          <w:color w:val="231F20"/>
          <w:sz w:val="19"/>
        </w:rPr>
        <w:t>contro</w:t>
      </w:r>
      <w:r>
        <w:rPr>
          <w:color w:val="231F20"/>
          <w:spacing w:val="-12"/>
          <w:sz w:val="19"/>
        </w:rPr>
        <w:t> </w:t>
      </w:r>
      <w:r>
        <w:rPr>
          <w:color w:val="231F20"/>
          <w:sz w:val="19"/>
        </w:rPr>
        <w:t>la</w:t>
      </w:r>
      <w:r>
        <w:rPr>
          <w:color w:val="231F20"/>
          <w:spacing w:val="-12"/>
          <w:sz w:val="19"/>
        </w:rPr>
        <w:t> </w:t>
      </w:r>
      <w:r>
        <w:rPr>
          <w:color w:val="231F20"/>
          <w:sz w:val="19"/>
        </w:rPr>
        <w:t>popolazione nemica</w:t>
      </w:r>
      <w:r>
        <w:rPr>
          <w:color w:val="231F20"/>
          <w:spacing w:val="-17"/>
          <w:sz w:val="19"/>
        </w:rPr>
        <w:t> </w:t>
      </w:r>
      <w:r>
        <w:rPr>
          <w:color w:val="231F20"/>
          <w:sz w:val="19"/>
        </w:rPr>
        <w:t>verticalmente,</w:t>
      </w:r>
      <w:r>
        <w:rPr>
          <w:color w:val="231F20"/>
          <w:spacing w:val="-17"/>
          <w:sz w:val="19"/>
        </w:rPr>
        <w:t> </w:t>
      </w:r>
      <w:r>
        <w:rPr>
          <w:color w:val="231F20"/>
          <w:sz w:val="19"/>
        </w:rPr>
        <w:t>come</w:t>
      </w:r>
      <w:r>
        <w:rPr>
          <w:color w:val="231F20"/>
          <w:spacing w:val="-17"/>
          <w:sz w:val="19"/>
        </w:rPr>
        <w:t> </w:t>
      </w:r>
      <w:r>
        <w:rPr>
          <w:color w:val="231F20"/>
          <w:sz w:val="19"/>
        </w:rPr>
        <w:t>San</w:t>
      </w:r>
      <w:r>
        <w:rPr>
          <w:color w:val="231F20"/>
          <w:spacing w:val="-17"/>
          <w:sz w:val="19"/>
        </w:rPr>
        <w:t> </w:t>
      </w:r>
      <w:r>
        <w:rPr>
          <w:color w:val="231F20"/>
          <w:sz w:val="19"/>
        </w:rPr>
        <w:t>Giorgio</w:t>
      </w:r>
      <w:r>
        <w:rPr>
          <w:color w:val="231F20"/>
          <w:spacing w:val="-17"/>
          <w:sz w:val="19"/>
        </w:rPr>
        <w:t> </w:t>
      </w:r>
      <w:r>
        <w:rPr>
          <w:color w:val="231F20"/>
          <w:sz w:val="19"/>
        </w:rPr>
        <w:t>usava</w:t>
      </w:r>
      <w:r>
        <w:rPr>
          <w:color w:val="231F20"/>
          <w:spacing w:val="-17"/>
          <w:sz w:val="19"/>
        </w:rPr>
        <w:t> </w:t>
      </w:r>
      <w:r>
        <w:rPr>
          <w:color w:val="231F20"/>
          <w:sz w:val="19"/>
        </w:rPr>
        <w:t>la</w:t>
      </w:r>
      <w:r>
        <w:rPr>
          <w:color w:val="231F20"/>
          <w:spacing w:val="-17"/>
          <w:sz w:val="19"/>
        </w:rPr>
        <w:t> </w:t>
      </w:r>
      <w:r>
        <w:rPr>
          <w:color w:val="231F20"/>
          <w:sz w:val="19"/>
        </w:rPr>
        <w:t>sua</w:t>
      </w:r>
      <w:r>
        <w:rPr>
          <w:color w:val="231F20"/>
          <w:spacing w:val="-17"/>
          <w:sz w:val="19"/>
        </w:rPr>
        <w:t> </w:t>
      </w:r>
      <w:r>
        <w:rPr>
          <w:color w:val="231F20"/>
          <w:sz w:val="19"/>
        </w:rPr>
        <w:t>lancia</w:t>
      </w:r>
      <w:r>
        <w:rPr>
          <w:color w:val="231F20"/>
          <w:spacing w:val="-17"/>
          <w:sz w:val="19"/>
        </w:rPr>
        <w:t> </w:t>
      </w:r>
      <w:r>
        <w:rPr>
          <w:color w:val="231F20"/>
          <w:sz w:val="19"/>
        </w:rPr>
        <w:t>contro il drago. Nella misura in cui oggi la guerra viene trasformata in azione</w:t>
      </w:r>
      <w:r>
        <w:rPr>
          <w:color w:val="231F20"/>
          <w:spacing w:val="-12"/>
          <w:sz w:val="19"/>
        </w:rPr>
        <w:t> </w:t>
      </w:r>
      <w:r>
        <w:rPr>
          <w:color w:val="231F20"/>
          <w:sz w:val="19"/>
        </w:rPr>
        <w:t>di</w:t>
      </w:r>
      <w:r>
        <w:rPr>
          <w:color w:val="231F20"/>
          <w:spacing w:val="-12"/>
          <w:sz w:val="19"/>
        </w:rPr>
        <w:t> </w:t>
      </w:r>
      <w:r>
        <w:rPr>
          <w:color w:val="231F20"/>
          <w:sz w:val="19"/>
        </w:rPr>
        <w:t>polizia</w:t>
      </w:r>
      <w:r>
        <w:rPr>
          <w:color w:val="231F20"/>
          <w:spacing w:val="-12"/>
          <w:sz w:val="19"/>
        </w:rPr>
        <w:t> </w:t>
      </w:r>
      <w:r>
        <w:rPr>
          <w:color w:val="231F20"/>
          <w:sz w:val="19"/>
        </w:rPr>
        <w:t>contro</w:t>
      </w:r>
      <w:r>
        <w:rPr>
          <w:color w:val="231F20"/>
          <w:spacing w:val="-12"/>
          <w:sz w:val="19"/>
        </w:rPr>
        <w:t> </w:t>
      </w:r>
      <w:r>
        <w:rPr>
          <w:color w:val="231F20"/>
          <w:sz w:val="19"/>
        </w:rPr>
        <w:t>i</w:t>
      </w:r>
      <w:r>
        <w:rPr>
          <w:color w:val="231F20"/>
          <w:spacing w:val="-12"/>
          <w:sz w:val="19"/>
        </w:rPr>
        <w:t> </w:t>
      </w:r>
      <w:r>
        <w:rPr>
          <w:color w:val="231F20"/>
          <w:sz w:val="19"/>
        </w:rPr>
        <w:t>turbatori</w:t>
      </w:r>
      <w:r>
        <w:rPr>
          <w:color w:val="231F20"/>
          <w:spacing w:val="-12"/>
          <w:sz w:val="19"/>
        </w:rPr>
        <w:t> </w:t>
      </w:r>
      <w:r>
        <w:rPr>
          <w:color w:val="231F20"/>
          <w:sz w:val="19"/>
        </w:rPr>
        <w:t>della</w:t>
      </w:r>
      <w:r>
        <w:rPr>
          <w:color w:val="231F20"/>
          <w:spacing w:val="-12"/>
          <w:sz w:val="19"/>
        </w:rPr>
        <w:t> </w:t>
      </w:r>
      <w:r>
        <w:rPr>
          <w:color w:val="231F20"/>
          <w:sz w:val="19"/>
        </w:rPr>
        <w:t>pace,</w:t>
      </w:r>
      <w:r>
        <w:rPr>
          <w:color w:val="231F20"/>
          <w:spacing w:val="-12"/>
          <w:sz w:val="19"/>
        </w:rPr>
        <w:t> </w:t>
      </w:r>
      <w:r>
        <w:rPr>
          <w:color w:val="231F20"/>
          <w:sz w:val="19"/>
        </w:rPr>
        <w:t>criminali</w:t>
      </w:r>
      <w:r>
        <w:rPr>
          <w:color w:val="231F20"/>
          <w:spacing w:val="-12"/>
          <w:sz w:val="19"/>
        </w:rPr>
        <w:t> </w:t>
      </w:r>
      <w:r>
        <w:rPr>
          <w:color w:val="231F20"/>
          <w:sz w:val="19"/>
        </w:rPr>
        <w:t>ed</w:t>
      </w:r>
      <w:r>
        <w:rPr>
          <w:color w:val="231F20"/>
          <w:spacing w:val="-12"/>
          <w:sz w:val="19"/>
        </w:rPr>
        <w:t> </w:t>
      </w:r>
      <w:r>
        <w:rPr>
          <w:color w:val="231F20"/>
          <w:sz w:val="19"/>
        </w:rPr>
        <w:t>elementi nocivi, deve anche essere potenziata la giustificazione di questo </w:t>
      </w:r>
      <w:r>
        <w:rPr>
          <w:rFonts w:ascii="Arial" w:hAnsi="Arial"/>
          <w:i/>
          <w:color w:val="231F20"/>
          <w:sz w:val="19"/>
        </w:rPr>
        <w:t>police bombing</w:t>
      </w:r>
      <w:r>
        <w:rPr>
          <w:color w:val="231F20"/>
          <w:sz w:val="19"/>
        </w:rPr>
        <w:t>. Si è così costretti a spingere la discriminazione dell’avversario in dimensioni</w:t>
      </w:r>
      <w:r>
        <w:rPr>
          <w:color w:val="231F20"/>
          <w:spacing w:val="14"/>
          <w:sz w:val="19"/>
        </w:rPr>
        <w:t> </w:t>
      </w:r>
      <w:r>
        <w:rPr>
          <w:color w:val="231F20"/>
          <w:sz w:val="19"/>
        </w:rPr>
        <w:t>abissali</w:t>
      </w:r>
      <w:r>
        <w:rPr>
          <w:color w:val="231F20"/>
          <w:position w:val="6"/>
          <w:sz w:val="11"/>
        </w:rPr>
        <w:t>47</w:t>
      </w:r>
      <w:r>
        <w:rPr>
          <w:color w:val="231F20"/>
          <w:sz w:val="19"/>
        </w:rPr>
        <w:t>.</w:t>
      </w:r>
    </w:p>
    <w:p>
      <w:pPr>
        <w:pStyle w:val="BodyText"/>
        <w:spacing w:before="11"/>
        <w:rPr>
          <w:sz w:val="23"/>
        </w:rPr>
      </w:pPr>
    </w:p>
    <w:p>
      <w:pPr>
        <w:pStyle w:val="BodyText"/>
        <w:spacing w:line="247" w:lineRule="auto"/>
        <w:ind w:left="103" w:right="108"/>
        <w:jc w:val="both"/>
      </w:pPr>
      <w:r>
        <w:rPr>
          <w:color w:val="231F20"/>
          <w:spacing w:val="3"/>
          <w:w w:val="105"/>
        </w:rPr>
        <w:t>Sono appunto queste linee </w:t>
      </w:r>
      <w:r>
        <w:rPr>
          <w:color w:val="231F20"/>
          <w:w w:val="105"/>
        </w:rPr>
        <w:t>di </w:t>
      </w:r>
      <w:r>
        <w:rPr>
          <w:color w:val="231F20"/>
          <w:spacing w:val="3"/>
          <w:w w:val="105"/>
        </w:rPr>
        <w:t>decostruzione critica </w:t>
      </w:r>
      <w:r>
        <w:rPr>
          <w:color w:val="231F20"/>
          <w:spacing w:val="2"/>
          <w:w w:val="105"/>
        </w:rPr>
        <w:t>che </w:t>
      </w:r>
      <w:r>
        <w:rPr>
          <w:color w:val="231F20"/>
          <w:spacing w:val="3"/>
          <w:w w:val="105"/>
        </w:rPr>
        <w:t>troviamo </w:t>
      </w:r>
      <w:r>
        <w:rPr>
          <w:color w:val="231F20"/>
          <w:spacing w:val="4"/>
          <w:w w:val="105"/>
        </w:rPr>
        <w:t>più </w:t>
      </w:r>
      <w:r>
        <w:rPr>
          <w:color w:val="231F20"/>
          <w:w w:val="105"/>
        </w:rPr>
        <w:t>o </w:t>
      </w:r>
      <w:r>
        <w:rPr>
          <w:color w:val="231F20"/>
          <w:spacing w:val="2"/>
          <w:w w:val="105"/>
        </w:rPr>
        <w:t>meno esplicitamente richiamate nelle molte riflessioni </w:t>
      </w:r>
      <w:r>
        <w:rPr>
          <w:color w:val="231F20"/>
          <w:w w:val="105"/>
        </w:rPr>
        <w:t>di </w:t>
      </w:r>
      <w:r>
        <w:rPr>
          <w:color w:val="231F20"/>
          <w:spacing w:val="2"/>
          <w:w w:val="105"/>
        </w:rPr>
        <w:t>ispirazione </w:t>
      </w:r>
      <w:r>
        <w:rPr>
          <w:color w:val="231F20"/>
          <w:w w:val="105"/>
        </w:rPr>
        <w:t>“realista”</w:t>
      </w:r>
      <w:r>
        <w:rPr>
          <w:color w:val="231F20"/>
          <w:spacing w:val="-30"/>
          <w:w w:val="105"/>
        </w:rPr>
        <w:t> </w:t>
      </w:r>
      <w:r>
        <w:rPr>
          <w:color w:val="231F20"/>
          <w:w w:val="105"/>
        </w:rPr>
        <w:t>che</w:t>
      </w:r>
      <w:r>
        <w:rPr>
          <w:color w:val="231F20"/>
          <w:spacing w:val="-30"/>
          <w:w w:val="105"/>
        </w:rPr>
        <w:t> </w:t>
      </w:r>
      <w:r>
        <w:rPr>
          <w:color w:val="231F20"/>
          <w:w w:val="105"/>
        </w:rPr>
        <w:t>nel</w:t>
      </w:r>
      <w:r>
        <w:rPr>
          <w:color w:val="231F20"/>
          <w:spacing w:val="-30"/>
          <w:w w:val="105"/>
        </w:rPr>
        <w:t> </w:t>
      </w:r>
      <w:r>
        <w:rPr>
          <w:color w:val="231F20"/>
          <w:w w:val="105"/>
        </w:rPr>
        <w:t>corso</w:t>
      </w:r>
      <w:r>
        <w:rPr>
          <w:color w:val="231F20"/>
          <w:spacing w:val="-30"/>
          <w:w w:val="105"/>
        </w:rPr>
        <w:t> </w:t>
      </w:r>
      <w:r>
        <w:rPr>
          <w:color w:val="231F20"/>
          <w:w w:val="105"/>
        </w:rPr>
        <w:t>degli</w:t>
      </w:r>
      <w:r>
        <w:rPr>
          <w:color w:val="231F20"/>
          <w:spacing w:val="-30"/>
          <w:w w:val="105"/>
        </w:rPr>
        <w:t> </w:t>
      </w:r>
      <w:r>
        <w:rPr>
          <w:color w:val="231F20"/>
          <w:w w:val="105"/>
        </w:rPr>
        <w:t>ultimi</w:t>
      </w:r>
      <w:r>
        <w:rPr>
          <w:color w:val="231F20"/>
          <w:spacing w:val="-30"/>
          <w:w w:val="105"/>
        </w:rPr>
        <w:t> </w:t>
      </w:r>
      <w:r>
        <w:rPr>
          <w:color w:val="231F20"/>
          <w:w w:val="105"/>
        </w:rPr>
        <w:t>anni</w:t>
      </w:r>
      <w:r>
        <w:rPr>
          <w:color w:val="231F20"/>
          <w:spacing w:val="-30"/>
          <w:w w:val="105"/>
        </w:rPr>
        <w:t> </w:t>
      </w:r>
      <w:r>
        <w:rPr>
          <w:color w:val="231F20"/>
          <w:w w:val="105"/>
        </w:rPr>
        <w:t>si</w:t>
      </w:r>
      <w:r>
        <w:rPr>
          <w:color w:val="231F20"/>
          <w:spacing w:val="-30"/>
          <w:w w:val="105"/>
        </w:rPr>
        <w:t> </w:t>
      </w:r>
      <w:r>
        <w:rPr>
          <w:color w:val="231F20"/>
          <w:w w:val="105"/>
        </w:rPr>
        <w:t>sono</w:t>
      </w:r>
      <w:r>
        <w:rPr>
          <w:color w:val="231F20"/>
          <w:spacing w:val="-30"/>
          <w:w w:val="105"/>
        </w:rPr>
        <w:t> </w:t>
      </w:r>
      <w:r>
        <w:rPr>
          <w:color w:val="231F20"/>
          <w:w w:val="105"/>
        </w:rPr>
        <w:t>concentrate</w:t>
      </w:r>
      <w:r>
        <w:rPr>
          <w:color w:val="231F20"/>
          <w:spacing w:val="-30"/>
          <w:w w:val="105"/>
        </w:rPr>
        <w:t> </w:t>
      </w:r>
      <w:r>
        <w:rPr>
          <w:color w:val="231F20"/>
          <w:w w:val="105"/>
        </w:rPr>
        <w:t>sul</w:t>
      </w:r>
      <w:r>
        <w:rPr>
          <w:color w:val="231F20"/>
          <w:spacing w:val="-30"/>
          <w:w w:val="105"/>
        </w:rPr>
        <w:t> </w:t>
      </w:r>
      <w:r>
        <w:rPr>
          <w:color w:val="231F20"/>
          <w:w w:val="105"/>
        </w:rPr>
        <w:t>paradigma dell’intervento</w:t>
      </w:r>
      <w:r>
        <w:rPr>
          <w:color w:val="231F20"/>
          <w:spacing w:val="-32"/>
          <w:w w:val="105"/>
        </w:rPr>
        <w:t> </w:t>
      </w:r>
      <w:r>
        <w:rPr>
          <w:color w:val="231F20"/>
          <w:w w:val="105"/>
        </w:rPr>
        <w:t>umanitario.</w:t>
      </w:r>
      <w:r>
        <w:rPr>
          <w:color w:val="231F20"/>
          <w:spacing w:val="-32"/>
          <w:w w:val="105"/>
        </w:rPr>
        <w:t> </w:t>
      </w:r>
      <w:r>
        <w:rPr>
          <w:color w:val="231F20"/>
          <w:w w:val="105"/>
        </w:rPr>
        <w:t>Come</w:t>
      </w:r>
      <w:r>
        <w:rPr>
          <w:color w:val="231F20"/>
          <w:spacing w:val="-32"/>
          <w:w w:val="105"/>
        </w:rPr>
        <w:t> </w:t>
      </w:r>
      <w:r>
        <w:rPr>
          <w:color w:val="231F20"/>
          <w:w w:val="105"/>
        </w:rPr>
        <w:t>è</w:t>
      </w:r>
      <w:r>
        <w:rPr>
          <w:color w:val="231F20"/>
          <w:spacing w:val="-32"/>
          <w:w w:val="105"/>
        </w:rPr>
        <w:t> </w:t>
      </w:r>
      <w:r>
        <w:rPr>
          <w:color w:val="231F20"/>
          <w:w w:val="105"/>
        </w:rPr>
        <w:t>stato</w:t>
      </w:r>
      <w:r>
        <w:rPr>
          <w:color w:val="231F20"/>
          <w:spacing w:val="-32"/>
          <w:w w:val="105"/>
        </w:rPr>
        <w:t> </w:t>
      </w:r>
      <w:r>
        <w:rPr>
          <w:color w:val="231F20"/>
          <w:w w:val="105"/>
        </w:rPr>
        <w:t>sottolineato,</w:t>
      </w:r>
      <w:r>
        <w:rPr>
          <w:color w:val="231F20"/>
          <w:spacing w:val="-32"/>
          <w:w w:val="105"/>
        </w:rPr>
        <w:t> </w:t>
      </w:r>
      <w:r>
        <w:rPr>
          <w:color w:val="231F20"/>
          <w:w w:val="105"/>
        </w:rPr>
        <w:t>applicate</w:t>
      </w:r>
      <w:r>
        <w:rPr>
          <w:color w:val="231F20"/>
          <w:spacing w:val="-32"/>
          <w:w w:val="105"/>
        </w:rPr>
        <w:t> </w:t>
      </w:r>
      <w:r>
        <w:rPr>
          <w:color w:val="231F20"/>
          <w:w w:val="105"/>
        </w:rPr>
        <w:t>agli</w:t>
      </w:r>
      <w:r>
        <w:rPr>
          <w:color w:val="231F20"/>
          <w:spacing w:val="-32"/>
          <w:w w:val="105"/>
        </w:rPr>
        <w:t> </w:t>
      </w:r>
      <w:r>
        <w:rPr>
          <w:color w:val="231F20"/>
          <w:w w:val="105"/>
        </w:rPr>
        <w:t>eventi contemporanei,</w:t>
      </w:r>
      <w:r>
        <w:rPr>
          <w:color w:val="231F20"/>
          <w:spacing w:val="-42"/>
          <w:w w:val="105"/>
        </w:rPr>
        <w:t> </w:t>
      </w:r>
      <w:r>
        <w:rPr>
          <w:color w:val="231F20"/>
          <w:w w:val="105"/>
        </w:rPr>
        <w:t>le</w:t>
      </w:r>
      <w:r>
        <w:rPr>
          <w:color w:val="231F20"/>
          <w:spacing w:val="-42"/>
          <w:w w:val="105"/>
        </w:rPr>
        <w:t> </w:t>
      </w:r>
      <w:r>
        <w:rPr>
          <w:color w:val="231F20"/>
          <w:w w:val="105"/>
        </w:rPr>
        <w:t>provocatorie</w:t>
      </w:r>
      <w:r>
        <w:rPr>
          <w:color w:val="231F20"/>
          <w:spacing w:val="-42"/>
          <w:w w:val="105"/>
        </w:rPr>
        <w:t> </w:t>
      </w:r>
      <w:r>
        <w:rPr>
          <w:color w:val="231F20"/>
          <w:w w:val="105"/>
        </w:rPr>
        <w:t>tesi</w:t>
      </w:r>
      <w:r>
        <w:rPr>
          <w:color w:val="231F20"/>
          <w:spacing w:val="-42"/>
          <w:w w:val="105"/>
        </w:rPr>
        <w:t> </w:t>
      </w:r>
      <w:r>
        <w:rPr>
          <w:color w:val="231F20"/>
          <w:w w:val="105"/>
        </w:rPr>
        <w:t>di</w:t>
      </w:r>
      <w:r>
        <w:rPr>
          <w:color w:val="231F20"/>
          <w:spacing w:val="-42"/>
          <w:w w:val="105"/>
        </w:rPr>
        <w:t> </w:t>
      </w:r>
      <w:r>
        <w:rPr>
          <w:color w:val="231F20"/>
          <w:w w:val="105"/>
        </w:rPr>
        <w:t>Schmitt</w:t>
      </w:r>
      <w:r>
        <w:rPr>
          <w:color w:val="231F20"/>
          <w:spacing w:val="-42"/>
          <w:w w:val="105"/>
        </w:rPr>
        <w:t> </w:t>
      </w:r>
      <w:r>
        <w:rPr>
          <w:color w:val="231F20"/>
          <w:w w:val="105"/>
        </w:rPr>
        <w:t>sono</w:t>
      </w:r>
      <w:r>
        <w:rPr>
          <w:color w:val="231F20"/>
          <w:spacing w:val="-42"/>
          <w:w w:val="105"/>
        </w:rPr>
        <w:t> </w:t>
      </w:r>
      <w:r>
        <w:rPr>
          <w:color w:val="231F20"/>
          <w:w w:val="105"/>
        </w:rPr>
        <w:t>apparse,</w:t>
      </w:r>
      <w:r>
        <w:rPr>
          <w:color w:val="231F20"/>
          <w:spacing w:val="-42"/>
          <w:w w:val="105"/>
        </w:rPr>
        <w:t> </w:t>
      </w:r>
      <w:r>
        <w:rPr>
          <w:color w:val="231F20"/>
          <w:w w:val="105"/>
        </w:rPr>
        <w:t>infatti,</w:t>
      </w:r>
      <w:r>
        <w:rPr>
          <w:color w:val="231F20"/>
          <w:spacing w:val="-42"/>
          <w:w w:val="105"/>
        </w:rPr>
        <w:t> </w:t>
      </w:r>
      <w:r>
        <w:rPr>
          <w:color w:val="231F20"/>
          <w:w w:val="105"/>
        </w:rPr>
        <w:t>dotate ancora</w:t>
      </w:r>
      <w:r>
        <w:rPr>
          <w:color w:val="231F20"/>
          <w:spacing w:val="-39"/>
          <w:w w:val="105"/>
        </w:rPr>
        <w:t> </w:t>
      </w:r>
      <w:r>
        <w:rPr>
          <w:color w:val="231F20"/>
          <w:w w:val="105"/>
        </w:rPr>
        <w:t>di</w:t>
      </w:r>
      <w:r>
        <w:rPr>
          <w:color w:val="231F20"/>
          <w:spacing w:val="-39"/>
          <w:w w:val="105"/>
        </w:rPr>
        <w:t> </w:t>
      </w:r>
      <w:r>
        <w:rPr>
          <w:color w:val="231F20"/>
          <w:w w:val="105"/>
        </w:rPr>
        <w:t>una</w:t>
      </w:r>
      <w:r>
        <w:rPr>
          <w:color w:val="231F20"/>
          <w:spacing w:val="-39"/>
          <w:w w:val="105"/>
        </w:rPr>
        <w:t> </w:t>
      </w:r>
      <w:r>
        <w:rPr>
          <w:color w:val="231F20"/>
          <w:w w:val="105"/>
        </w:rPr>
        <w:t>sorprendente</w:t>
      </w:r>
      <w:r>
        <w:rPr>
          <w:color w:val="231F20"/>
          <w:spacing w:val="-39"/>
          <w:w w:val="105"/>
        </w:rPr>
        <w:t> </w:t>
      </w:r>
      <w:r>
        <w:rPr>
          <w:color w:val="231F20"/>
          <w:w w:val="105"/>
        </w:rPr>
        <w:t>“forza</w:t>
      </w:r>
      <w:r>
        <w:rPr>
          <w:color w:val="231F20"/>
          <w:spacing w:val="-39"/>
          <w:w w:val="105"/>
        </w:rPr>
        <w:t> </w:t>
      </w:r>
      <w:r>
        <w:rPr>
          <w:color w:val="231F20"/>
          <w:w w:val="105"/>
        </w:rPr>
        <w:t>espressiva”,</w:t>
      </w:r>
      <w:r>
        <w:rPr>
          <w:color w:val="231F20"/>
          <w:spacing w:val="-39"/>
          <w:w w:val="105"/>
        </w:rPr>
        <w:t> </w:t>
      </w:r>
      <w:r>
        <w:rPr>
          <w:color w:val="231F20"/>
          <w:w w:val="105"/>
        </w:rPr>
        <w:t>in</w:t>
      </w:r>
      <w:r>
        <w:rPr>
          <w:color w:val="231F20"/>
          <w:spacing w:val="-39"/>
          <w:w w:val="105"/>
        </w:rPr>
        <w:t> </w:t>
      </w:r>
      <w:r>
        <w:rPr>
          <w:color w:val="231F20"/>
          <w:w w:val="105"/>
        </w:rPr>
        <w:t>grado</w:t>
      </w:r>
      <w:r>
        <w:rPr>
          <w:color w:val="231F20"/>
          <w:spacing w:val="-39"/>
          <w:w w:val="105"/>
        </w:rPr>
        <w:t> </w:t>
      </w:r>
      <w:r>
        <w:rPr>
          <w:color w:val="231F20"/>
          <w:w w:val="105"/>
        </w:rPr>
        <w:t>di</w:t>
      </w:r>
      <w:r>
        <w:rPr>
          <w:color w:val="231F20"/>
          <w:spacing w:val="-39"/>
          <w:w w:val="105"/>
        </w:rPr>
        <w:t> </w:t>
      </w:r>
      <w:r>
        <w:rPr>
          <w:color w:val="231F20"/>
          <w:w w:val="105"/>
        </w:rPr>
        <w:t>aprire</w:t>
      </w:r>
      <w:r>
        <w:rPr>
          <w:color w:val="231F20"/>
          <w:spacing w:val="-39"/>
          <w:w w:val="105"/>
        </w:rPr>
        <w:t> </w:t>
      </w:r>
      <w:r>
        <w:rPr>
          <w:color w:val="231F20"/>
          <w:w w:val="105"/>
        </w:rPr>
        <w:t>imprevisti squarci di </w:t>
      </w:r>
      <w:r>
        <w:rPr>
          <w:color w:val="231F20"/>
          <w:spacing w:val="2"/>
          <w:w w:val="105"/>
        </w:rPr>
        <w:t>intelligibilità sulle </w:t>
      </w:r>
      <w:r>
        <w:rPr>
          <w:color w:val="231F20"/>
          <w:w w:val="105"/>
        </w:rPr>
        <w:t>più </w:t>
      </w:r>
      <w:r>
        <w:rPr>
          <w:color w:val="231F20"/>
          <w:spacing w:val="2"/>
          <w:w w:val="105"/>
        </w:rPr>
        <w:t>profonde trasformazioni </w:t>
      </w:r>
      <w:r>
        <w:rPr>
          <w:color w:val="231F20"/>
          <w:w w:val="105"/>
        </w:rPr>
        <w:t>in </w:t>
      </w:r>
      <w:r>
        <w:rPr>
          <w:color w:val="231F20"/>
          <w:spacing w:val="2"/>
          <w:w w:val="105"/>
        </w:rPr>
        <w:t>corso </w:t>
      </w:r>
      <w:r>
        <w:rPr>
          <w:color w:val="231F20"/>
          <w:spacing w:val="3"/>
          <w:w w:val="105"/>
        </w:rPr>
        <w:t>nelle </w:t>
      </w:r>
      <w:r>
        <w:rPr>
          <w:color w:val="231F20"/>
        </w:rPr>
        <w:t>strutture</w:t>
      </w:r>
      <w:r>
        <w:rPr>
          <w:color w:val="231F20"/>
          <w:spacing w:val="-19"/>
        </w:rPr>
        <w:t> </w:t>
      </w:r>
      <w:r>
        <w:rPr>
          <w:color w:val="231F20"/>
        </w:rPr>
        <w:t>normative</w:t>
      </w:r>
      <w:r>
        <w:rPr>
          <w:color w:val="231F20"/>
          <w:spacing w:val="-19"/>
        </w:rPr>
        <w:t> </w:t>
      </w:r>
      <w:r>
        <w:rPr>
          <w:color w:val="231F20"/>
        </w:rPr>
        <w:t>della</w:t>
      </w:r>
      <w:r>
        <w:rPr>
          <w:color w:val="231F20"/>
          <w:spacing w:val="-19"/>
        </w:rPr>
        <w:t> </w:t>
      </w:r>
      <w:r>
        <w:rPr>
          <w:color w:val="231F20"/>
        </w:rPr>
        <w:t>società</w:t>
      </w:r>
      <w:r>
        <w:rPr>
          <w:color w:val="231F20"/>
          <w:spacing w:val="-19"/>
        </w:rPr>
        <w:t> </w:t>
      </w:r>
      <w:r>
        <w:rPr>
          <w:color w:val="231F20"/>
        </w:rPr>
        <w:t>internazionale</w:t>
      </w:r>
      <w:r>
        <w:rPr>
          <w:color w:val="231F20"/>
          <w:position w:val="7"/>
          <w:sz w:val="12"/>
        </w:rPr>
        <w:t>48</w:t>
      </w:r>
      <w:r>
        <w:rPr>
          <w:color w:val="231F20"/>
        </w:rPr>
        <w:t>.</w:t>
      </w:r>
      <w:r>
        <w:rPr>
          <w:color w:val="231F20"/>
          <w:spacing w:val="-19"/>
        </w:rPr>
        <w:t> </w:t>
      </w:r>
      <w:r>
        <w:rPr>
          <w:color w:val="231F20"/>
        </w:rPr>
        <w:t>Nell’affrontare</w:t>
      </w:r>
      <w:r>
        <w:rPr>
          <w:color w:val="231F20"/>
          <w:spacing w:val="-19"/>
        </w:rPr>
        <w:t> </w:t>
      </w:r>
      <w:r>
        <w:rPr>
          <w:color w:val="231F20"/>
        </w:rPr>
        <w:t>i</w:t>
      </w:r>
      <w:r>
        <w:rPr>
          <w:color w:val="231F20"/>
          <w:spacing w:val="-19"/>
        </w:rPr>
        <w:t> </w:t>
      </w:r>
      <w:r>
        <w:rPr>
          <w:color w:val="231F20"/>
        </w:rPr>
        <w:t>complessi </w:t>
      </w:r>
      <w:r>
        <w:rPr>
          <w:color w:val="231F20"/>
          <w:w w:val="105"/>
        </w:rPr>
        <w:t>nodi</w:t>
      </w:r>
      <w:r>
        <w:rPr>
          <w:color w:val="231F20"/>
          <w:spacing w:val="-18"/>
          <w:w w:val="105"/>
        </w:rPr>
        <w:t> </w:t>
      </w:r>
      <w:r>
        <w:rPr>
          <w:color w:val="231F20"/>
          <w:w w:val="105"/>
        </w:rPr>
        <w:t>etico–politici</w:t>
      </w:r>
      <w:r>
        <w:rPr>
          <w:color w:val="231F20"/>
          <w:spacing w:val="-18"/>
          <w:w w:val="105"/>
        </w:rPr>
        <w:t> </w:t>
      </w:r>
      <w:r>
        <w:rPr>
          <w:color w:val="231F20"/>
          <w:w w:val="105"/>
        </w:rPr>
        <w:t>connessi</w:t>
      </w:r>
      <w:r>
        <w:rPr>
          <w:color w:val="231F20"/>
          <w:spacing w:val="-18"/>
          <w:w w:val="105"/>
        </w:rPr>
        <w:t> </w:t>
      </w:r>
      <w:r>
        <w:rPr>
          <w:color w:val="231F20"/>
          <w:w w:val="105"/>
        </w:rPr>
        <w:t>alla</w:t>
      </w:r>
      <w:r>
        <w:rPr>
          <w:color w:val="231F20"/>
          <w:spacing w:val="-18"/>
          <w:w w:val="105"/>
        </w:rPr>
        <w:t> </w:t>
      </w:r>
      <w:r>
        <w:rPr>
          <w:color w:val="231F20"/>
          <w:w w:val="105"/>
        </w:rPr>
        <w:t>pratica</w:t>
      </w:r>
      <w:r>
        <w:rPr>
          <w:color w:val="231F20"/>
          <w:spacing w:val="-18"/>
          <w:w w:val="105"/>
        </w:rPr>
        <w:t> </w:t>
      </w:r>
      <w:r>
        <w:rPr>
          <w:color w:val="231F20"/>
          <w:w w:val="105"/>
        </w:rPr>
        <w:t>dell’intervento</w:t>
      </w:r>
      <w:r>
        <w:rPr>
          <w:color w:val="231F20"/>
          <w:spacing w:val="-18"/>
          <w:w w:val="105"/>
        </w:rPr>
        <w:t> </w:t>
      </w:r>
      <w:r>
        <w:rPr>
          <w:color w:val="231F20"/>
          <w:w w:val="105"/>
        </w:rPr>
        <w:t>umanitario,</w:t>
      </w:r>
      <w:r>
        <w:rPr>
          <w:color w:val="231F20"/>
          <w:spacing w:val="-18"/>
          <w:w w:val="105"/>
        </w:rPr>
        <w:t> </w:t>
      </w:r>
      <w:r>
        <w:rPr>
          <w:color w:val="231F20"/>
          <w:w w:val="105"/>
        </w:rPr>
        <w:t>diversi autori</w:t>
      </w:r>
      <w:r>
        <w:rPr>
          <w:color w:val="231F20"/>
          <w:spacing w:val="-11"/>
          <w:w w:val="105"/>
        </w:rPr>
        <w:t> </w:t>
      </w:r>
      <w:r>
        <w:rPr>
          <w:color w:val="231F20"/>
          <w:w w:val="105"/>
        </w:rPr>
        <w:t>hanno</w:t>
      </w:r>
      <w:r>
        <w:rPr>
          <w:color w:val="231F20"/>
          <w:spacing w:val="-11"/>
          <w:w w:val="105"/>
        </w:rPr>
        <w:t> </w:t>
      </w:r>
      <w:r>
        <w:rPr>
          <w:color w:val="231F20"/>
          <w:w w:val="105"/>
        </w:rPr>
        <w:t>ritenuto</w:t>
      </w:r>
      <w:r>
        <w:rPr>
          <w:color w:val="231F20"/>
          <w:spacing w:val="-11"/>
          <w:w w:val="105"/>
        </w:rPr>
        <w:t> </w:t>
      </w:r>
      <w:r>
        <w:rPr>
          <w:color w:val="231F20"/>
          <w:w w:val="105"/>
        </w:rPr>
        <w:t>perciò</w:t>
      </w:r>
      <w:r>
        <w:rPr>
          <w:color w:val="231F20"/>
          <w:spacing w:val="-11"/>
          <w:w w:val="105"/>
        </w:rPr>
        <w:t> </w:t>
      </w:r>
      <w:r>
        <w:rPr>
          <w:color w:val="231F20"/>
          <w:w w:val="105"/>
        </w:rPr>
        <w:t>opportuno</w:t>
      </w:r>
      <w:r>
        <w:rPr>
          <w:color w:val="231F20"/>
          <w:spacing w:val="-11"/>
          <w:w w:val="105"/>
        </w:rPr>
        <w:t> </w:t>
      </w:r>
      <w:r>
        <w:rPr>
          <w:color w:val="231F20"/>
          <w:w w:val="105"/>
        </w:rPr>
        <w:t>farsi</w:t>
      </w:r>
      <w:r>
        <w:rPr>
          <w:color w:val="231F20"/>
          <w:spacing w:val="-11"/>
          <w:w w:val="105"/>
        </w:rPr>
        <w:t> </w:t>
      </w:r>
      <w:r>
        <w:rPr>
          <w:color w:val="231F20"/>
          <w:w w:val="105"/>
        </w:rPr>
        <w:t>guidare</w:t>
      </w:r>
      <w:r>
        <w:rPr>
          <w:color w:val="231F20"/>
          <w:spacing w:val="-11"/>
          <w:w w:val="105"/>
        </w:rPr>
        <w:t> </w:t>
      </w:r>
      <w:r>
        <w:rPr>
          <w:color w:val="231F20"/>
          <w:w w:val="105"/>
        </w:rPr>
        <w:t>dal</w:t>
      </w:r>
      <w:r>
        <w:rPr>
          <w:color w:val="231F20"/>
          <w:spacing w:val="-11"/>
          <w:w w:val="105"/>
        </w:rPr>
        <w:t> </w:t>
      </w:r>
      <w:r>
        <w:rPr>
          <w:color w:val="231F20"/>
          <w:w w:val="105"/>
        </w:rPr>
        <w:t>radicale</w:t>
      </w:r>
      <w:r>
        <w:rPr>
          <w:color w:val="231F20"/>
          <w:spacing w:val="-11"/>
          <w:w w:val="105"/>
        </w:rPr>
        <w:t> </w:t>
      </w:r>
      <w:r>
        <w:rPr>
          <w:color w:val="231F20"/>
          <w:w w:val="105"/>
        </w:rPr>
        <w:t>monito schmittiano</w:t>
      </w:r>
      <w:r>
        <w:rPr>
          <w:color w:val="231F20"/>
          <w:spacing w:val="-21"/>
          <w:w w:val="105"/>
        </w:rPr>
        <w:t> </w:t>
      </w:r>
      <w:r>
        <w:rPr>
          <w:color w:val="231F20"/>
          <w:w w:val="105"/>
        </w:rPr>
        <w:t>nei</w:t>
      </w:r>
      <w:r>
        <w:rPr>
          <w:color w:val="231F20"/>
          <w:spacing w:val="-21"/>
          <w:w w:val="105"/>
        </w:rPr>
        <w:t> </w:t>
      </w:r>
      <w:r>
        <w:rPr>
          <w:color w:val="231F20"/>
          <w:w w:val="105"/>
        </w:rPr>
        <w:t>confronti</w:t>
      </w:r>
      <w:r>
        <w:rPr>
          <w:color w:val="231F20"/>
          <w:spacing w:val="-21"/>
          <w:w w:val="105"/>
        </w:rPr>
        <w:t> </w:t>
      </w:r>
      <w:r>
        <w:rPr>
          <w:color w:val="231F20"/>
          <w:w w:val="105"/>
        </w:rPr>
        <w:t>di</w:t>
      </w:r>
      <w:r>
        <w:rPr>
          <w:color w:val="231F20"/>
          <w:spacing w:val="-21"/>
          <w:w w:val="105"/>
        </w:rPr>
        <w:t> </w:t>
      </w:r>
      <w:r>
        <w:rPr>
          <w:color w:val="231F20"/>
          <w:w w:val="105"/>
        </w:rPr>
        <w:t>ogni</w:t>
      </w:r>
      <w:r>
        <w:rPr>
          <w:color w:val="231F20"/>
          <w:spacing w:val="-21"/>
          <w:w w:val="105"/>
        </w:rPr>
        <w:t> </w:t>
      </w:r>
      <w:r>
        <w:rPr>
          <w:color w:val="231F20"/>
          <w:w w:val="105"/>
        </w:rPr>
        <w:t>trasvalutazione</w:t>
      </w:r>
      <w:r>
        <w:rPr>
          <w:color w:val="231F20"/>
          <w:spacing w:val="-21"/>
          <w:w w:val="105"/>
        </w:rPr>
        <w:t> </w:t>
      </w:r>
      <w:r>
        <w:rPr>
          <w:color w:val="231F20"/>
          <w:w w:val="105"/>
        </w:rPr>
        <w:t>morale</w:t>
      </w:r>
      <w:r>
        <w:rPr>
          <w:color w:val="231F20"/>
          <w:spacing w:val="-21"/>
          <w:w w:val="105"/>
        </w:rPr>
        <w:t> </w:t>
      </w:r>
      <w:r>
        <w:rPr>
          <w:color w:val="231F20"/>
          <w:w w:val="105"/>
        </w:rPr>
        <w:t>del</w:t>
      </w:r>
      <w:r>
        <w:rPr>
          <w:color w:val="231F20"/>
          <w:spacing w:val="-21"/>
          <w:w w:val="105"/>
        </w:rPr>
        <w:t> </w:t>
      </w:r>
      <w:r>
        <w:rPr>
          <w:color w:val="231F20"/>
          <w:w w:val="105"/>
        </w:rPr>
        <w:t>contesto</w:t>
      </w:r>
      <w:r>
        <w:rPr>
          <w:color w:val="231F20"/>
          <w:spacing w:val="-21"/>
          <w:w w:val="105"/>
        </w:rPr>
        <w:t> </w:t>
      </w:r>
      <w:r>
        <w:rPr>
          <w:color w:val="231F20"/>
          <w:w w:val="105"/>
        </w:rPr>
        <w:t>—in</w:t>
      </w:r>
    </w:p>
    <w:p>
      <w:pPr>
        <w:pStyle w:val="BodyText"/>
        <w:spacing w:before="3"/>
        <w:rPr>
          <w:sz w:val="27"/>
        </w:rPr>
      </w:pPr>
      <w:r>
        <w:rPr/>
        <w:pict>
          <v:line style="position:absolute;mso-position-horizontal-relative:page;mso-position-vertical-relative:paragraph;z-index:14680;mso-wrap-distance-left:0;mso-wrap-distance-right:0" from="65.1968pt,18.560488pt" to="178.5828pt,18.560488pt" stroked="true" strokeweight=".3pt" strokecolor="#231f20">
            <w10:wrap type="topAndBottom"/>
          </v:line>
        </w:pict>
      </w:r>
    </w:p>
    <w:p>
      <w:pPr>
        <w:spacing w:line="204" w:lineRule="exact" w:before="8"/>
        <w:ind w:left="103" w:right="114" w:firstLine="0"/>
        <w:jc w:val="both"/>
        <w:rPr>
          <w:rFonts w:ascii="Calibri" w:hAnsi="Calibri"/>
          <w:sz w:val="17"/>
        </w:rPr>
      </w:pPr>
      <w:r>
        <w:rPr>
          <w:rFonts w:ascii="Calibri" w:hAnsi="Calibri"/>
          <w:color w:val="231F20"/>
          <w:w w:val="105"/>
          <w:sz w:val="17"/>
        </w:rPr>
        <w:t>armi moderne tecnicamente perfette, che sono state rese di tanta inaudita utilità, mediante un impiego</w:t>
      </w:r>
      <w:r>
        <w:rPr>
          <w:rFonts w:ascii="Calibri" w:hAnsi="Calibri"/>
          <w:color w:val="231F20"/>
          <w:spacing w:val="-7"/>
          <w:w w:val="105"/>
          <w:sz w:val="17"/>
        </w:rPr>
        <w:t> </w:t>
      </w:r>
      <w:r>
        <w:rPr>
          <w:rFonts w:ascii="Calibri" w:hAnsi="Calibri"/>
          <w:color w:val="231F20"/>
          <w:w w:val="105"/>
          <w:sz w:val="17"/>
        </w:rPr>
        <w:t>di</w:t>
      </w:r>
      <w:r>
        <w:rPr>
          <w:rFonts w:ascii="Calibri" w:hAnsi="Calibri"/>
          <w:color w:val="231F20"/>
          <w:spacing w:val="-7"/>
          <w:w w:val="105"/>
          <w:sz w:val="17"/>
        </w:rPr>
        <w:t> </w:t>
      </w:r>
      <w:r>
        <w:rPr>
          <w:rFonts w:ascii="Calibri" w:hAnsi="Calibri"/>
          <w:color w:val="231F20"/>
          <w:w w:val="105"/>
          <w:sz w:val="17"/>
        </w:rPr>
        <w:t>capitale</w:t>
      </w:r>
      <w:r>
        <w:rPr>
          <w:rFonts w:ascii="Calibri" w:hAnsi="Calibri"/>
          <w:color w:val="231F20"/>
          <w:spacing w:val="-7"/>
          <w:w w:val="105"/>
          <w:sz w:val="17"/>
        </w:rPr>
        <w:t> </w:t>
      </w:r>
      <w:r>
        <w:rPr>
          <w:rFonts w:ascii="Calibri" w:hAnsi="Calibri"/>
          <w:color w:val="231F20"/>
          <w:w w:val="105"/>
          <w:sz w:val="17"/>
        </w:rPr>
        <w:t>ed</w:t>
      </w:r>
      <w:r>
        <w:rPr>
          <w:rFonts w:ascii="Calibri" w:hAnsi="Calibri"/>
          <w:color w:val="231F20"/>
          <w:spacing w:val="-7"/>
          <w:w w:val="105"/>
          <w:sz w:val="17"/>
        </w:rPr>
        <w:t> </w:t>
      </w:r>
      <w:r>
        <w:rPr>
          <w:rFonts w:ascii="Calibri" w:hAnsi="Calibri"/>
          <w:color w:val="231F20"/>
          <w:w w:val="105"/>
          <w:sz w:val="17"/>
        </w:rPr>
        <w:t>intelligenza,</w:t>
      </w:r>
      <w:r>
        <w:rPr>
          <w:rFonts w:ascii="Calibri" w:hAnsi="Calibri"/>
          <w:color w:val="231F20"/>
          <w:spacing w:val="-7"/>
          <w:w w:val="105"/>
          <w:sz w:val="17"/>
        </w:rPr>
        <w:t> </w:t>
      </w:r>
      <w:r>
        <w:rPr>
          <w:rFonts w:ascii="Calibri" w:hAnsi="Calibri"/>
          <w:color w:val="231F20"/>
          <w:w w:val="105"/>
          <w:sz w:val="17"/>
        </w:rPr>
        <w:t>per</w:t>
      </w:r>
      <w:r>
        <w:rPr>
          <w:rFonts w:ascii="Calibri" w:hAnsi="Calibri"/>
          <w:color w:val="231F20"/>
          <w:spacing w:val="-7"/>
          <w:w w:val="105"/>
          <w:sz w:val="17"/>
        </w:rPr>
        <w:t> </w:t>
      </w:r>
      <w:r>
        <w:rPr>
          <w:rFonts w:ascii="Calibri" w:hAnsi="Calibri"/>
          <w:color w:val="231F20"/>
          <w:w w:val="105"/>
          <w:sz w:val="17"/>
        </w:rPr>
        <w:t>essere</w:t>
      </w:r>
      <w:r>
        <w:rPr>
          <w:rFonts w:ascii="Calibri" w:hAnsi="Calibri"/>
          <w:color w:val="231F20"/>
          <w:spacing w:val="-7"/>
          <w:w w:val="105"/>
          <w:sz w:val="17"/>
        </w:rPr>
        <w:t> </w:t>
      </w:r>
      <w:r>
        <w:rPr>
          <w:rFonts w:ascii="Calibri" w:hAnsi="Calibri"/>
          <w:color w:val="231F20"/>
          <w:w w:val="105"/>
          <w:sz w:val="17"/>
        </w:rPr>
        <w:t>realmente</w:t>
      </w:r>
      <w:r>
        <w:rPr>
          <w:rFonts w:ascii="Calibri" w:hAnsi="Calibri"/>
          <w:color w:val="231F20"/>
          <w:spacing w:val="-7"/>
          <w:w w:val="105"/>
          <w:sz w:val="17"/>
        </w:rPr>
        <w:t> </w:t>
      </w:r>
      <w:r>
        <w:rPr>
          <w:rFonts w:ascii="Calibri" w:hAnsi="Calibri"/>
          <w:color w:val="231F20"/>
          <w:w w:val="105"/>
          <w:sz w:val="17"/>
        </w:rPr>
        <w:t>usate</w:t>
      </w:r>
      <w:r>
        <w:rPr>
          <w:rFonts w:ascii="Calibri" w:hAnsi="Calibri"/>
          <w:color w:val="231F20"/>
          <w:spacing w:val="-7"/>
          <w:w w:val="105"/>
          <w:sz w:val="17"/>
        </w:rPr>
        <w:t> </w:t>
      </w:r>
      <w:r>
        <w:rPr>
          <w:rFonts w:ascii="Calibri" w:hAnsi="Calibri"/>
          <w:color w:val="231F20"/>
          <w:w w:val="105"/>
          <w:sz w:val="17"/>
        </w:rPr>
        <w:t>in</w:t>
      </w:r>
      <w:r>
        <w:rPr>
          <w:rFonts w:ascii="Calibri" w:hAnsi="Calibri"/>
          <w:color w:val="231F20"/>
          <w:spacing w:val="-7"/>
          <w:w w:val="105"/>
          <w:sz w:val="17"/>
        </w:rPr>
        <w:t> </w:t>
      </w:r>
      <w:r>
        <w:rPr>
          <w:rFonts w:ascii="Calibri" w:hAnsi="Calibri"/>
          <w:color w:val="231F20"/>
          <w:w w:val="105"/>
          <w:sz w:val="17"/>
        </w:rPr>
        <w:t>caso</w:t>
      </w:r>
      <w:r>
        <w:rPr>
          <w:rFonts w:ascii="Calibri" w:hAnsi="Calibri"/>
          <w:color w:val="231F20"/>
          <w:spacing w:val="-7"/>
          <w:w w:val="105"/>
          <w:sz w:val="17"/>
        </w:rPr>
        <w:t> </w:t>
      </w:r>
      <w:r>
        <w:rPr>
          <w:rFonts w:ascii="Calibri" w:hAnsi="Calibri"/>
          <w:color w:val="231F20"/>
          <w:w w:val="105"/>
          <w:sz w:val="17"/>
        </w:rPr>
        <w:t>di</w:t>
      </w:r>
      <w:r>
        <w:rPr>
          <w:rFonts w:ascii="Calibri" w:hAnsi="Calibri"/>
          <w:color w:val="231F20"/>
          <w:spacing w:val="-7"/>
          <w:w w:val="105"/>
          <w:sz w:val="17"/>
        </w:rPr>
        <w:t> </w:t>
      </w:r>
      <w:r>
        <w:rPr>
          <w:rFonts w:ascii="Calibri" w:hAnsi="Calibri"/>
          <w:color w:val="231F20"/>
          <w:w w:val="105"/>
          <w:sz w:val="17"/>
        </w:rPr>
        <w:t>necessità.</w:t>
      </w:r>
      <w:r>
        <w:rPr>
          <w:rFonts w:ascii="Calibri" w:hAnsi="Calibri"/>
          <w:color w:val="231F20"/>
          <w:spacing w:val="-7"/>
          <w:w w:val="105"/>
          <w:sz w:val="17"/>
        </w:rPr>
        <w:t> </w:t>
      </w:r>
      <w:r>
        <w:rPr>
          <w:rFonts w:ascii="Calibri" w:hAnsi="Calibri"/>
          <w:color w:val="231F20"/>
          <w:w w:val="105"/>
          <w:sz w:val="17"/>
        </w:rPr>
        <w:t>Per</w:t>
      </w:r>
      <w:r>
        <w:rPr>
          <w:rFonts w:ascii="Calibri" w:hAnsi="Calibri"/>
          <w:color w:val="231F20"/>
          <w:spacing w:val="-7"/>
          <w:w w:val="105"/>
          <w:sz w:val="17"/>
        </w:rPr>
        <w:t> </w:t>
      </w:r>
      <w:r>
        <w:rPr>
          <w:rFonts w:ascii="Calibri" w:hAnsi="Calibri"/>
          <w:color w:val="231F20"/>
          <w:w w:val="105"/>
          <w:sz w:val="17"/>
        </w:rPr>
        <w:t>l’impiego di</w:t>
      </w:r>
      <w:r>
        <w:rPr>
          <w:rFonts w:ascii="Calibri" w:hAnsi="Calibri"/>
          <w:color w:val="231F20"/>
          <w:spacing w:val="-11"/>
          <w:w w:val="105"/>
          <w:sz w:val="17"/>
        </w:rPr>
        <w:t> </w:t>
      </w:r>
      <w:r>
        <w:rPr>
          <w:rFonts w:ascii="Calibri" w:hAnsi="Calibri"/>
          <w:color w:val="231F20"/>
          <w:w w:val="105"/>
          <w:sz w:val="17"/>
        </w:rPr>
        <w:t>questi</w:t>
      </w:r>
      <w:r>
        <w:rPr>
          <w:rFonts w:ascii="Calibri" w:hAnsi="Calibri"/>
          <w:color w:val="231F20"/>
          <w:spacing w:val="-11"/>
          <w:w w:val="105"/>
          <w:sz w:val="17"/>
        </w:rPr>
        <w:t> </w:t>
      </w:r>
      <w:r>
        <w:rPr>
          <w:rFonts w:ascii="Calibri" w:hAnsi="Calibri"/>
          <w:color w:val="231F20"/>
          <w:w w:val="105"/>
          <w:sz w:val="17"/>
        </w:rPr>
        <w:t>strumenti</w:t>
      </w:r>
      <w:r>
        <w:rPr>
          <w:rFonts w:ascii="Calibri" w:hAnsi="Calibri"/>
          <w:color w:val="231F20"/>
          <w:spacing w:val="-11"/>
          <w:w w:val="105"/>
          <w:sz w:val="17"/>
        </w:rPr>
        <w:t> </w:t>
      </w:r>
      <w:r>
        <w:rPr>
          <w:rFonts w:ascii="Calibri" w:hAnsi="Calibri"/>
          <w:color w:val="231F20"/>
          <w:w w:val="105"/>
          <w:sz w:val="17"/>
        </w:rPr>
        <w:t>si</w:t>
      </w:r>
      <w:r>
        <w:rPr>
          <w:rFonts w:ascii="Calibri" w:hAnsi="Calibri"/>
          <w:color w:val="231F20"/>
          <w:spacing w:val="-11"/>
          <w:w w:val="105"/>
          <w:sz w:val="17"/>
        </w:rPr>
        <w:t> </w:t>
      </w:r>
      <w:r>
        <w:rPr>
          <w:rFonts w:ascii="Calibri" w:hAnsi="Calibri"/>
          <w:color w:val="231F20"/>
          <w:w w:val="105"/>
          <w:sz w:val="17"/>
        </w:rPr>
        <w:t>sta</w:t>
      </w:r>
      <w:r>
        <w:rPr>
          <w:rFonts w:ascii="Calibri" w:hAnsi="Calibri"/>
          <w:color w:val="231F20"/>
          <w:spacing w:val="-11"/>
          <w:w w:val="105"/>
          <w:sz w:val="17"/>
        </w:rPr>
        <w:t> </w:t>
      </w:r>
      <w:r>
        <w:rPr>
          <w:rFonts w:ascii="Calibri" w:hAnsi="Calibri"/>
          <w:color w:val="231F20"/>
          <w:w w:val="105"/>
          <w:sz w:val="17"/>
        </w:rPr>
        <w:t>formando</w:t>
      </w:r>
      <w:r>
        <w:rPr>
          <w:rFonts w:ascii="Calibri" w:hAnsi="Calibri"/>
          <w:color w:val="231F20"/>
          <w:spacing w:val="-11"/>
          <w:w w:val="105"/>
          <w:sz w:val="17"/>
        </w:rPr>
        <w:t> </w:t>
      </w:r>
      <w:r>
        <w:rPr>
          <w:rFonts w:ascii="Calibri" w:hAnsi="Calibri"/>
          <w:color w:val="231F20"/>
          <w:w w:val="105"/>
          <w:sz w:val="17"/>
        </w:rPr>
        <w:t>d’altra</w:t>
      </w:r>
      <w:r>
        <w:rPr>
          <w:rFonts w:ascii="Calibri" w:hAnsi="Calibri"/>
          <w:color w:val="231F20"/>
          <w:spacing w:val="-11"/>
          <w:w w:val="105"/>
          <w:sz w:val="17"/>
        </w:rPr>
        <w:t> </w:t>
      </w:r>
      <w:r>
        <w:rPr>
          <w:rFonts w:ascii="Calibri" w:hAnsi="Calibri"/>
          <w:color w:val="231F20"/>
          <w:w w:val="105"/>
          <w:sz w:val="17"/>
        </w:rPr>
        <w:t>parte</w:t>
      </w:r>
      <w:r>
        <w:rPr>
          <w:rFonts w:ascii="Calibri" w:hAnsi="Calibri"/>
          <w:color w:val="231F20"/>
          <w:spacing w:val="-11"/>
          <w:w w:val="105"/>
          <w:sz w:val="17"/>
        </w:rPr>
        <w:t> </w:t>
      </w:r>
      <w:r>
        <w:rPr>
          <w:rFonts w:ascii="Calibri" w:hAnsi="Calibri"/>
          <w:color w:val="231F20"/>
          <w:w w:val="105"/>
          <w:sz w:val="17"/>
        </w:rPr>
        <w:t>un</w:t>
      </w:r>
      <w:r>
        <w:rPr>
          <w:rFonts w:ascii="Calibri" w:hAnsi="Calibri"/>
          <w:color w:val="231F20"/>
          <w:spacing w:val="-13"/>
          <w:w w:val="105"/>
          <w:sz w:val="17"/>
        </w:rPr>
        <w:t> </w:t>
      </w:r>
      <w:r>
        <w:rPr>
          <w:rFonts w:ascii="Calibri" w:hAnsi="Calibri"/>
          <w:color w:val="231F20"/>
          <w:w w:val="105"/>
          <w:sz w:val="17"/>
        </w:rPr>
        <w:t>vocabolario</w:t>
      </w:r>
      <w:r>
        <w:rPr>
          <w:rFonts w:ascii="Calibri" w:hAnsi="Calibri"/>
          <w:color w:val="231F20"/>
          <w:spacing w:val="-11"/>
          <w:w w:val="105"/>
          <w:sz w:val="17"/>
        </w:rPr>
        <w:t> </w:t>
      </w:r>
      <w:r>
        <w:rPr>
          <w:rFonts w:ascii="Calibri" w:hAnsi="Calibri"/>
          <w:color w:val="231F20"/>
          <w:w w:val="105"/>
          <w:sz w:val="17"/>
        </w:rPr>
        <w:t>nuovo</w:t>
      </w:r>
      <w:r>
        <w:rPr>
          <w:rFonts w:ascii="Calibri" w:hAnsi="Calibri"/>
          <w:color w:val="231F20"/>
          <w:spacing w:val="-11"/>
          <w:w w:val="105"/>
          <w:sz w:val="17"/>
        </w:rPr>
        <w:t> </w:t>
      </w:r>
      <w:r>
        <w:rPr>
          <w:rFonts w:ascii="Calibri" w:hAnsi="Calibri"/>
          <w:color w:val="231F20"/>
          <w:w w:val="105"/>
          <w:sz w:val="17"/>
        </w:rPr>
        <w:t>essenzialmente</w:t>
      </w:r>
      <w:r>
        <w:rPr>
          <w:rFonts w:ascii="Calibri" w:hAnsi="Calibri"/>
          <w:color w:val="231F20"/>
          <w:spacing w:val="-11"/>
          <w:w w:val="105"/>
          <w:sz w:val="17"/>
        </w:rPr>
        <w:t> </w:t>
      </w:r>
      <w:r>
        <w:rPr>
          <w:rFonts w:ascii="Calibri" w:hAnsi="Calibri"/>
          <w:color w:val="231F20"/>
          <w:w w:val="105"/>
          <w:sz w:val="17"/>
        </w:rPr>
        <w:t>pacifistico che non conosce più la guerra, ma solo esecuzioni, sanzioni, spedizioni punitive, pacificazioni, difesa</w:t>
      </w:r>
      <w:r>
        <w:rPr>
          <w:rFonts w:ascii="Calibri" w:hAnsi="Calibri"/>
          <w:color w:val="231F20"/>
          <w:spacing w:val="-8"/>
          <w:w w:val="105"/>
          <w:sz w:val="17"/>
        </w:rPr>
        <w:t> </w:t>
      </w:r>
      <w:r>
        <w:rPr>
          <w:rFonts w:ascii="Calibri" w:hAnsi="Calibri"/>
          <w:color w:val="231F20"/>
          <w:w w:val="105"/>
          <w:sz w:val="17"/>
        </w:rPr>
        <w:t>dei</w:t>
      </w:r>
      <w:r>
        <w:rPr>
          <w:rFonts w:ascii="Calibri" w:hAnsi="Calibri"/>
          <w:color w:val="231F20"/>
          <w:spacing w:val="-8"/>
          <w:w w:val="105"/>
          <w:sz w:val="17"/>
        </w:rPr>
        <w:t> </w:t>
      </w:r>
      <w:r>
        <w:rPr>
          <w:rFonts w:ascii="Calibri" w:hAnsi="Calibri"/>
          <w:color w:val="231F20"/>
          <w:w w:val="105"/>
          <w:sz w:val="17"/>
        </w:rPr>
        <w:t>trattati,</w:t>
      </w:r>
      <w:r>
        <w:rPr>
          <w:rFonts w:ascii="Calibri" w:hAnsi="Calibri"/>
          <w:color w:val="231F20"/>
          <w:spacing w:val="-8"/>
          <w:w w:val="105"/>
          <w:sz w:val="17"/>
        </w:rPr>
        <w:t> </w:t>
      </w:r>
      <w:r>
        <w:rPr>
          <w:rFonts w:ascii="Calibri" w:hAnsi="Calibri"/>
          <w:color w:val="231F20"/>
          <w:w w:val="105"/>
          <w:sz w:val="17"/>
        </w:rPr>
        <w:t>polizia</w:t>
      </w:r>
      <w:r>
        <w:rPr>
          <w:rFonts w:ascii="Calibri" w:hAnsi="Calibri"/>
          <w:color w:val="231F20"/>
          <w:spacing w:val="-8"/>
          <w:w w:val="105"/>
          <w:sz w:val="17"/>
        </w:rPr>
        <w:t> </w:t>
      </w:r>
      <w:r>
        <w:rPr>
          <w:rFonts w:ascii="Calibri" w:hAnsi="Calibri"/>
          <w:color w:val="231F20"/>
          <w:w w:val="105"/>
          <w:sz w:val="17"/>
        </w:rPr>
        <w:t>internazionale,</w:t>
      </w:r>
      <w:r>
        <w:rPr>
          <w:rFonts w:ascii="Calibri" w:hAnsi="Calibri"/>
          <w:color w:val="231F20"/>
          <w:spacing w:val="-8"/>
          <w:w w:val="105"/>
          <w:sz w:val="17"/>
        </w:rPr>
        <w:t> </w:t>
      </w:r>
      <w:r>
        <w:rPr>
          <w:rFonts w:ascii="Calibri" w:hAnsi="Calibri"/>
          <w:color w:val="231F20"/>
          <w:w w:val="105"/>
          <w:sz w:val="17"/>
        </w:rPr>
        <w:t>misure</w:t>
      </w:r>
      <w:r>
        <w:rPr>
          <w:rFonts w:ascii="Calibri" w:hAnsi="Calibri"/>
          <w:color w:val="231F20"/>
          <w:spacing w:val="-8"/>
          <w:w w:val="105"/>
          <w:sz w:val="17"/>
        </w:rPr>
        <w:t> </w:t>
      </w:r>
      <w:r>
        <w:rPr>
          <w:rFonts w:ascii="Calibri" w:hAnsi="Calibri"/>
          <w:color w:val="231F20"/>
          <w:w w:val="105"/>
          <w:sz w:val="17"/>
        </w:rPr>
        <w:t>per</w:t>
      </w:r>
      <w:r>
        <w:rPr>
          <w:rFonts w:ascii="Calibri" w:hAnsi="Calibri"/>
          <w:color w:val="231F20"/>
          <w:spacing w:val="-8"/>
          <w:w w:val="105"/>
          <w:sz w:val="17"/>
        </w:rPr>
        <w:t> </w:t>
      </w:r>
      <w:r>
        <w:rPr>
          <w:rFonts w:ascii="Calibri" w:hAnsi="Calibri"/>
          <w:color w:val="231F20"/>
          <w:w w:val="105"/>
          <w:sz w:val="17"/>
        </w:rPr>
        <w:t>la</w:t>
      </w:r>
      <w:r>
        <w:rPr>
          <w:rFonts w:ascii="Calibri" w:hAnsi="Calibri"/>
          <w:color w:val="231F20"/>
          <w:spacing w:val="-8"/>
          <w:w w:val="105"/>
          <w:sz w:val="17"/>
        </w:rPr>
        <w:t> </w:t>
      </w:r>
      <w:r>
        <w:rPr>
          <w:rFonts w:ascii="Calibri" w:hAnsi="Calibri"/>
          <w:color w:val="231F20"/>
          <w:w w:val="105"/>
          <w:sz w:val="17"/>
        </w:rPr>
        <w:t>preservazione</w:t>
      </w:r>
      <w:r>
        <w:rPr>
          <w:rFonts w:ascii="Calibri" w:hAnsi="Calibri"/>
          <w:color w:val="231F20"/>
          <w:spacing w:val="-8"/>
          <w:w w:val="105"/>
          <w:sz w:val="17"/>
        </w:rPr>
        <w:t> </w:t>
      </w:r>
      <w:r>
        <w:rPr>
          <w:rFonts w:ascii="Calibri" w:hAnsi="Calibri"/>
          <w:color w:val="231F20"/>
          <w:w w:val="105"/>
          <w:sz w:val="17"/>
        </w:rPr>
        <w:t>della</w:t>
      </w:r>
      <w:r>
        <w:rPr>
          <w:rFonts w:ascii="Calibri" w:hAnsi="Calibri"/>
          <w:color w:val="231F20"/>
          <w:spacing w:val="-8"/>
          <w:w w:val="105"/>
          <w:sz w:val="17"/>
        </w:rPr>
        <w:t> </w:t>
      </w:r>
      <w:r>
        <w:rPr>
          <w:rFonts w:ascii="Calibri" w:hAnsi="Calibri"/>
          <w:color w:val="231F20"/>
          <w:w w:val="105"/>
          <w:sz w:val="17"/>
        </w:rPr>
        <w:t>pace.</w:t>
      </w:r>
      <w:r>
        <w:rPr>
          <w:rFonts w:ascii="Calibri" w:hAnsi="Calibri"/>
          <w:color w:val="231F20"/>
          <w:spacing w:val="-8"/>
          <w:w w:val="105"/>
          <w:sz w:val="17"/>
        </w:rPr>
        <w:t> </w:t>
      </w:r>
      <w:r>
        <w:rPr>
          <w:rFonts w:ascii="Calibri" w:hAnsi="Calibri"/>
          <w:color w:val="231F20"/>
          <w:spacing w:val="-3"/>
          <w:w w:val="105"/>
          <w:sz w:val="17"/>
        </w:rPr>
        <w:t>L’avversario</w:t>
      </w:r>
      <w:r>
        <w:rPr>
          <w:rFonts w:ascii="Calibri" w:hAnsi="Calibri"/>
          <w:color w:val="231F20"/>
          <w:spacing w:val="-8"/>
          <w:w w:val="105"/>
          <w:sz w:val="17"/>
        </w:rPr>
        <w:t> </w:t>
      </w:r>
      <w:r>
        <w:rPr>
          <w:rFonts w:ascii="Calibri" w:hAnsi="Calibri"/>
          <w:color w:val="231F20"/>
          <w:w w:val="105"/>
          <w:sz w:val="17"/>
        </w:rPr>
        <w:t>non si</w:t>
      </w:r>
      <w:r>
        <w:rPr>
          <w:rFonts w:ascii="Calibri" w:hAnsi="Calibri"/>
          <w:color w:val="231F20"/>
          <w:spacing w:val="-7"/>
          <w:w w:val="105"/>
          <w:sz w:val="17"/>
        </w:rPr>
        <w:t> </w:t>
      </w:r>
      <w:r>
        <w:rPr>
          <w:rFonts w:ascii="Calibri" w:hAnsi="Calibri"/>
          <w:color w:val="231F20"/>
          <w:w w:val="105"/>
          <w:sz w:val="17"/>
        </w:rPr>
        <w:t>chiama</w:t>
      </w:r>
      <w:r>
        <w:rPr>
          <w:rFonts w:ascii="Calibri" w:hAnsi="Calibri"/>
          <w:color w:val="231F20"/>
          <w:spacing w:val="-7"/>
          <w:w w:val="105"/>
          <w:sz w:val="17"/>
        </w:rPr>
        <w:t> </w:t>
      </w:r>
      <w:r>
        <w:rPr>
          <w:rFonts w:ascii="Calibri" w:hAnsi="Calibri"/>
          <w:color w:val="231F20"/>
          <w:w w:val="105"/>
          <w:sz w:val="17"/>
        </w:rPr>
        <w:t>più</w:t>
      </w:r>
      <w:r>
        <w:rPr>
          <w:rFonts w:ascii="Calibri" w:hAnsi="Calibri"/>
          <w:color w:val="231F20"/>
          <w:spacing w:val="-7"/>
          <w:w w:val="105"/>
          <w:sz w:val="17"/>
        </w:rPr>
        <w:t> </w:t>
      </w:r>
      <w:r>
        <w:rPr>
          <w:rFonts w:ascii="Calibri" w:hAnsi="Calibri"/>
          <w:color w:val="231F20"/>
          <w:w w:val="105"/>
          <w:sz w:val="17"/>
        </w:rPr>
        <w:t>nemico,</w:t>
      </w:r>
      <w:r>
        <w:rPr>
          <w:rFonts w:ascii="Calibri" w:hAnsi="Calibri"/>
          <w:color w:val="231F20"/>
          <w:spacing w:val="-7"/>
          <w:w w:val="105"/>
          <w:sz w:val="17"/>
        </w:rPr>
        <w:t> </w:t>
      </w:r>
      <w:r>
        <w:rPr>
          <w:rFonts w:ascii="Calibri" w:hAnsi="Calibri"/>
          <w:color w:val="231F20"/>
          <w:w w:val="105"/>
          <w:sz w:val="17"/>
        </w:rPr>
        <w:t>ma</w:t>
      </w:r>
      <w:r>
        <w:rPr>
          <w:rFonts w:ascii="Calibri" w:hAnsi="Calibri"/>
          <w:color w:val="231F20"/>
          <w:spacing w:val="-7"/>
          <w:w w:val="105"/>
          <w:sz w:val="17"/>
        </w:rPr>
        <w:t> </w:t>
      </w:r>
      <w:r>
        <w:rPr>
          <w:rFonts w:ascii="Calibri" w:hAnsi="Calibri"/>
          <w:color w:val="231F20"/>
          <w:w w:val="105"/>
          <w:sz w:val="17"/>
        </w:rPr>
        <w:t>perciò</w:t>
      </w:r>
      <w:r>
        <w:rPr>
          <w:rFonts w:ascii="Calibri" w:hAnsi="Calibri"/>
          <w:color w:val="231F20"/>
          <w:spacing w:val="-7"/>
          <w:w w:val="105"/>
          <w:sz w:val="17"/>
        </w:rPr>
        <w:t> </w:t>
      </w:r>
      <w:r>
        <w:rPr>
          <w:rFonts w:ascii="Calibri" w:hAnsi="Calibri"/>
          <w:color w:val="231F20"/>
          <w:w w:val="105"/>
          <w:sz w:val="17"/>
        </w:rPr>
        <w:t>egli</w:t>
      </w:r>
      <w:r>
        <w:rPr>
          <w:rFonts w:ascii="Calibri" w:hAnsi="Calibri"/>
          <w:color w:val="231F20"/>
          <w:spacing w:val="-10"/>
          <w:w w:val="105"/>
          <w:sz w:val="17"/>
        </w:rPr>
        <w:t> </w:t>
      </w:r>
      <w:r>
        <w:rPr>
          <w:rFonts w:ascii="Calibri" w:hAnsi="Calibri"/>
          <w:color w:val="231F20"/>
          <w:w w:val="105"/>
          <w:sz w:val="17"/>
        </w:rPr>
        <w:t>viene</w:t>
      </w:r>
      <w:r>
        <w:rPr>
          <w:rFonts w:ascii="Calibri" w:hAnsi="Calibri"/>
          <w:color w:val="231F20"/>
          <w:spacing w:val="-7"/>
          <w:w w:val="105"/>
          <w:sz w:val="17"/>
        </w:rPr>
        <w:t> </w:t>
      </w:r>
      <w:r>
        <w:rPr>
          <w:rFonts w:ascii="Calibri" w:hAnsi="Calibri"/>
          <w:color w:val="231F20"/>
          <w:w w:val="105"/>
          <w:sz w:val="17"/>
        </w:rPr>
        <w:t>posto,</w:t>
      </w:r>
      <w:r>
        <w:rPr>
          <w:rFonts w:ascii="Calibri" w:hAnsi="Calibri"/>
          <w:color w:val="231F20"/>
          <w:spacing w:val="-7"/>
          <w:w w:val="105"/>
          <w:sz w:val="17"/>
        </w:rPr>
        <w:t> </w:t>
      </w:r>
      <w:r>
        <w:rPr>
          <w:rFonts w:ascii="Calibri" w:hAnsi="Calibri"/>
          <w:color w:val="231F20"/>
          <w:w w:val="105"/>
          <w:sz w:val="17"/>
        </w:rPr>
        <w:t>come</w:t>
      </w:r>
      <w:r>
        <w:rPr>
          <w:rFonts w:ascii="Calibri" w:hAnsi="Calibri"/>
          <w:color w:val="231F20"/>
          <w:spacing w:val="-10"/>
          <w:w w:val="105"/>
          <w:sz w:val="17"/>
        </w:rPr>
        <w:t> </w:t>
      </w:r>
      <w:r>
        <w:rPr>
          <w:rFonts w:ascii="Calibri" w:hAnsi="Calibri"/>
          <w:color w:val="231F20"/>
          <w:w w:val="105"/>
          <w:sz w:val="17"/>
        </w:rPr>
        <w:t>violatore</w:t>
      </w:r>
      <w:r>
        <w:rPr>
          <w:rFonts w:ascii="Calibri" w:hAnsi="Calibri"/>
          <w:color w:val="231F20"/>
          <w:spacing w:val="-7"/>
          <w:w w:val="105"/>
          <w:sz w:val="17"/>
        </w:rPr>
        <w:t> </w:t>
      </w:r>
      <w:r>
        <w:rPr>
          <w:rFonts w:ascii="Calibri" w:hAnsi="Calibri"/>
          <w:color w:val="231F20"/>
          <w:w w:val="105"/>
          <w:sz w:val="17"/>
        </w:rPr>
        <w:t>e</w:t>
      </w:r>
      <w:r>
        <w:rPr>
          <w:rFonts w:ascii="Calibri" w:hAnsi="Calibri"/>
          <w:color w:val="231F20"/>
          <w:spacing w:val="-7"/>
          <w:w w:val="105"/>
          <w:sz w:val="17"/>
        </w:rPr>
        <w:t> </w:t>
      </w:r>
      <w:r>
        <w:rPr>
          <w:rFonts w:ascii="Calibri" w:hAnsi="Calibri"/>
          <w:color w:val="231F20"/>
          <w:w w:val="105"/>
          <w:sz w:val="17"/>
        </w:rPr>
        <w:t>disturbatore</w:t>
      </w:r>
      <w:r>
        <w:rPr>
          <w:rFonts w:ascii="Calibri" w:hAnsi="Calibri"/>
          <w:color w:val="231F20"/>
          <w:spacing w:val="-7"/>
          <w:w w:val="105"/>
          <w:sz w:val="17"/>
        </w:rPr>
        <w:t> </w:t>
      </w:r>
      <w:r>
        <w:rPr>
          <w:rFonts w:ascii="Calibri" w:hAnsi="Calibri"/>
          <w:color w:val="231F20"/>
          <w:w w:val="105"/>
          <w:sz w:val="17"/>
        </w:rPr>
        <w:t>della</w:t>
      </w:r>
      <w:r>
        <w:rPr>
          <w:rFonts w:ascii="Calibri" w:hAnsi="Calibri"/>
          <w:color w:val="231F20"/>
          <w:spacing w:val="-7"/>
          <w:w w:val="105"/>
          <w:sz w:val="17"/>
        </w:rPr>
        <w:t> </w:t>
      </w:r>
      <w:r>
        <w:rPr>
          <w:rFonts w:ascii="Calibri" w:hAnsi="Calibri"/>
          <w:color w:val="231F20"/>
          <w:w w:val="105"/>
          <w:sz w:val="17"/>
        </w:rPr>
        <w:t>pace,</w:t>
      </w:r>
      <w:r>
        <w:rPr>
          <w:rFonts w:ascii="Calibri" w:hAnsi="Calibri"/>
          <w:color w:val="231F20"/>
          <w:spacing w:val="-8"/>
          <w:w w:val="105"/>
          <w:sz w:val="17"/>
        </w:rPr>
        <w:t> </w:t>
      </w:r>
      <w:r>
        <w:rPr>
          <w:rFonts w:ascii="Calibri" w:hAnsi="Calibri"/>
          <w:i/>
          <w:color w:val="231F20"/>
          <w:w w:val="105"/>
          <w:sz w:val="17"/>
        </w:rPr>
        <w:t>hors– </w:t>
      </w:r>
      <w:r>
        <w:rPr>
          <w:rFonts w:ascii="Calibri" w:hAnsi="Calibri"/>
          <w:i/>
          <w:color w:val="231F20"/>
          <w:w w:val="105"/>
          <w:sz w:val="17"/>
        </w:rPr>
        <w:t>la–loi</w:t>
      </w:r>
      <w:r>
        <w:rPr>
          <w:rFonts w:ascii="Calibri" w:hAnsi="Calibri"/>
          <w:i/>
          <w:color w:val="231F20"/>
          <w:spacing w:val="-8"/>
          <w:w w:val="105"/>
          <w:sz w:val="17"/>
        </w:rPr>
        <w:t> </w:t>
      </w:r>
      <w:r>
        <w:rPr>
          <w:rFonts w:ascii="Calibri" w:hAnsi="Calibri"/>
          <w:color w:val="231F20"/>
          <w:w w:val="105"/>
          <w:sz w:val="17"/>
        </w:rPr>
        <w:t>e</w:t>
      </w:r>
      <w:r>
        <w:rPr>
          <w:rFonts w:ascii="Calibri" w:hAnsi="Calibri"/>
          <w:color w:val="231F20"/>
          <w:spacing w:val="-8"/>
          <w:w w:val="105"/>
          <w:sz w:val="17"/>
        </w:rPr>
        <w:t> </w:t>
      </w:r>
      <w:r>
        <w:rPr>
          <w:rFonts w:ascii="Calibri" w:hAnsi="Calibri"/>
          <w:i/>
          <w:color w:val="231F20"/>
          <w:w w:val="105"/>
          <w:sz w:val="17"/>
        </w:rPr>
        <w:t>hors</w:t>
      </w:r>
      <w:r>
        <w:rPr>
          <w:rFonts w:ascii="Calibri" w:hAnsi="Calibri"/>
          <w:i/>
          <w:color w:val="231F20"/>
          <w:spacing w:val="-9"/>
          <w:w w:val="105"/>
          <w:sz w:val="17"/>
        </w:rPr>
        <w:t> </w:t>
      </w:r>
      <w:r>
        <w:rPr>
          <w:rFonts w:ascii="Calibri" w:hAnsi="Calibri"/>
          <w:i/>
          <w:color w:val="231F20"/>
          <w:w w:val="105"/>
          <w:sz w:val="17"/>
        </w:rPr>
        <w:t>l’humanité</w:t>
      </w:r>
      <w:r>
        <w:rPr>
          <w:rFonts w:ascii="Calibri" w:hAnsi="Calibri"/>
          <w:color w:val="231F20"/>
          <w:w w:val="105"/>
          <w:sz w:val="17"/>
        </w:rPr>
        <w:t>,</w:t>
      </w:r>
      <w:r>
        <w:rPr>
          <w:rFonts w:ascii="Calibri" w:hAnsi="Calibri"/>
          <w:color w:val="231F20"/>
          <w:spacing w:val="-8"/>
          <w:w w:val="105"/>
          <w:sz w:val="17"/>
        </w:rPr>
        <w:t> </w:t>
      </w:r>
      <w:r>
        <w:rPr>
          <w:rFonts w:ascii="Calibri" w:hAnsi="Calibri"/>
          <w:color w:val="231F20"/>
          <w:w w:val="105"/>
          <w:sz w:val="17"/>
        </w:rPr>
        <w:t>e</w:t>
      </w:r>
      <w:r>
        <w:rPr>
          <w:rFonts w:ascii="Calibri" w:hAnsi="Calibri"/>
          <w:color w:val="231F20"/>
          <w:spacing w:val="-8"/>
          <w:w w:val="105"/>
          <w:sz w:val="17"/>
        </w:rPr>
        <w:t> </w:t>
      </w:r>
      <w:r>
        <w:rPr>
          <w:rFonts w:ascii="Calibri" w:hAnsi="Calibri"/>
          <w:color w:val="231F20"/>
          <w:w w:val="105"/>
          <w:sz w:val="17"/>
        </w:rPr>
        <w:t>una</w:t>
      </w:r>
      <w:r>
        <w:rPr>
          <w:rFonts w:ascii="Calibri" w:hAnsi="Calibri"/>
          <w:color w:val="231F20"/>
          <w:spacing w:val="-8"/>
          <w:w w:val="105"/>
          <w:sz w:val="17"/>
        </w:rPr>
        <w:t> </w:t>
      </w:r>
      <w:r>
        <w:rPr>
          <w:rFonts w:ascii="Calibri" w:hAnsi="Calibri"/>
          <w:color w:val="231F20"/>
          <w:w w:val="105"/>
          <w:sz w:val="17"/>
        </w:rPr>
        <w:t>guerra</w:t>
      </w:r>
      <w:r>
        <w:rPr>
          <w:rFonts w:ascii="Calibri" w:hAnsi="Calibri"/>
          <w:color w:val="231F20"/>
          <w:spacing w:val="-8"/>
          <w:w w:val="105"/>
          <w:sz w:val="17"/>
        </w:rPr>
        <w:t> </w:t>
      </w:r>
      <w:r>
        <w:rPr>
          <w:rFonts w:ascii="Calibri" w:hAnsi="Calibri"/>
          <w:color w:val="231F20"/>
          <w:w w:val="105"/>
          <w:sz w:val="17"/>
        </w:rPr>
        <w:t>condotta</w:t>
      </w:r>
      <w:r>
        <w:rPr>
          <w:rFonts w:ascii="Calibri" w:hAnsi="Calibri"/>
          <w:color w:val="231F20"/>
          <w:spacing w:val="-8"/>
          <w:w w:val="105"/>
          <w:sz w:val="17"/>
        </w:rPr>
        <w:t> </w:t>
      </w:r>
      <w:r>
        <w:rPr>
          <w:rFonts w:ascii="Calibri" w:hAnsi="Calibri"/>
          <w:color w:val="231F20"/>
          <w:w w:val="105"/>
          <w:sz w:val="17"/>
        </w:rPr>
        <w:t>per</w:t>
      </w:r>
      <w:r>
        <w:rPr>
          <w:rFonts w:ascii="Calibri" w:hAnsi="Calibri"/>
          <w:color w:val="231F20"/>
          <w:spacing w:val="-8"/>
          <w:w w:val="105"/>
          <w:sz w:val="17"/>
        </w:rPr>
        <w:t> </w:t>
      </w:r>
      <w:r>
        <w:rPr>
          <w:rFonts w:ascii="Calibri" w:hAnsi="Calibri"/>
          <w:color w:val="231F20"/>
          <w:w w:val="105"/>
          <w:sz w:val="17"/>
        </w:rPr>
        <w:t>il</w:t>
      </w:r>
      <w:r>
        <w:rPr>
          <w:rFonts w:ascii="Calibri" w:hAnsi="Calibri"/>
          <w:color w:val="231F20"/>
          <w:spacing w:val="-8"/>
          <w:w w:val="105"/>
          <w:sz w:val="17"/>
        </w:rPr>
        <w:t> </w:t>
      </w:r>
      <w:r>
        <w:rPr>
          <w:rFonts w:ascii="Calibri" w:hAnsi="Calibri"/>
          <w:color w:val="231F20"/>
          <w:w w:val="105"/>
          <w:sz w:val="17"/>
        </w:rPr>
        <w:t>mantenimento</w:t>
      </w:r>
      <w:r>
        <w:rPr>
          <w:rFonts w:ascii="Calibri" w:hAnsi="Calibri"/>
          <w:color w:val="231F20"/>
          <w:spacing w:val="-8"/>
          <w:w w:val="105"/>
          <w:sz w:val="17"/>
        </w:rPr>
        <w:t> </w:t>
      </w:r>
      <w:r>
        <w:rPr>
          <w:rFonts w:ascii="Calibri" w:hAnsi="Calibri"/>
          <w:color w:val="231F20"/>
          <w:w w:val="105"/>
          <w:sz w:val="17"/>
        </w:rPr>
        <w:t>o</w:t>
      </w:r>
      <w:r>
        <w:rPr>
          <w:rFonts w:ascii="Calibri" w:hAnsi="Calibri"/>
          <w:color w:val="231F20"/>
          <w:spacing w:val="-8"/>
          <w:w w:val="105"/>
          <w:sz w:val="17"/>
        </w:rPr>
        <w:t> </w:t>
      </w:r>
      <w:r>
        <w:rPr>
          <w:rFonts w:ascii="Calibri" w:hAnsi="Calibri"/>
          <w:color w:val="231F20"/>
          <w:w w:val="105"/>
          <w:sz w:val="17"/>
        </w:rPr>
        <w:t>l’allargamento</w:t>
      </w:r>
      <w:r>
        <w:rPr>
          <w:rFonts w:ascii="Calibri" w:hAnsi="Calibri"/>
          <w:color w:val="231F20"/>
          <w:spacing w:val="-8"/>
          <w:w w:val="105"/>
          <w:sz w:val="17"/>
        </w:rPr>
        <w:t> </w:t>
      </w:r>
      <w:r>
        <w:rPr>
          <w:rFonts w:ascii="Calibri" w:hAnsi="Calibri"/>
          <w:color w:val="231F20"/>
          <w:w w:val="105"/>
          <w:sz w:val="17"/>
        </w:rPr>
        <w:t>di</w:t>
      </w:r>
      <w:r>
        <w:rPr>
          <w:rFonts w:ascii="Calibri" w:hAnsi="Calibri"/>
          <w:color w:val="231F20"/>
          <w:spacing w:val="-8"/>
          <w:w w:val="105"/>
          <w:sz w:val="17"/>
        </w:rPr>
        <w:t> </w:t>
      </w:r>
      <w:r>
        <w:rPr>
          <w:rFonts w:ascii="Calibri" w:hAnsi="Calibri"/>
          <w:color w:val="231F20"/>
          <w:w w:val="105"/>
          <w:sz w:val="17"/>
        </w:rPr>
        <w:t>posizioni economicistiche</w:t>
      </w:r>
      <w:r>
        <w:rPr>
          <w:rFonts w:ascii="Calibri" w:hAnsi="Calibri"/>
          <w:color w:val="231F20"/>
          <w:spacing w:val="-16"/>
          <w:w w:val="105"/>
          <w:sz w:val="17"/>
        </w:rPr>
        <w:t> </w:t>
      </w:r>
      <w:r>
        <w:rPr>
          <w:rFonts w:ascii="Calibri" w:hAnsi="Calibri"/>
          <w:color w:val="231F20"/>
          <w:w w:val="105"/>
          <w:sz w:val="17"/>
        </w:rPr>
        <w:t>di</w:t>
      </w:r>
      <w:r>
        <w:rPr>
          <w:rFonts w:ascii="Calibri" w:hAnsi="Calibri"/>
          <w:color w:val="231F20"/>
          <w:spacing w:val="-16"/>
          <w:w w:val="105"/>
          <w:sz w:val="17"/>
        </w:rPr>
        <w:t> </w:t>
      </w:r>
      <w:r>
        <w:rPr>
          <w:rFonts w:ascii="Calibri" w:hAnsi="Calibri"/>
          <w:color w:val="231F20"/>
          <w:w w:val="105"/>
          <w:sz w:val="17"/>
        </w:rPr>
        <w:t>potere</w:t>
      </w:r>
      <w:r>
        <w:rPr>
          <w:rFonts w:ascii="Calibri" w:hAnsi="Calibri"/>
          <w:color w:val="231F20"/>
          <w:spacing w:val="-16"/>
          <w:w w:val="105"/>
          <w:sz w:val="17"/>
        </w:rPr>
        <w:t> </w:t>
      </w:r>
      <w:r>
        <w:rPr>
          <w:rFonts w:ascii="Calibri" w:hAnsi="Calibri"/>
          <w:color w:val="231F20"/>
          <w:w w:val="105"/>
          <w:sz w:val="17"/>
        </w:rPr>
        <w:t>deve</w:t>
      </w:r>
      <w:r>
        <w:rPr>
          <w:rFonts w:ascii="Calibri" w:hAnsi="Calibri"/>
          <w:color w:val="231F20"/>
          <w:spacing w:val="-16"/>
          <w:w w:val="105"/>
          <w:sz w:val="17"/>
        </w:rPr>
        <w:t> </w:t>
      </w:r>
      <w:r>
        <w:rPr>
          <w:rFonts w:ascii="Calibri" w:hAnsi="Calibri"/>
          <w:color w:val="231F20"/>
          <w:w w:val="105"/>
          <w:sz w:val="17"/>
        </w:rPr>
        <w:t>essere</w:t>
      </w:r>
      <w:r>
        <w:rPr>
          <w:rFonts w:ascii="Calibri" w:hAnsi="Calibri"/>
          <w:color w:val="231F20"/>
          <w:spacing w:val="-16"/>
          <w:w w:val="105"/>
          <w:sz w:val="17"/>
        </w:rPr>
        <w:t> </w:t>
      </w:r>
      <w:r>
        <w:rPr>
          <w:rFonts w:ascii="Calibri" w:hAnsi="Calibri"/>
          <w:color w:val="231F20"/>
          <w:w w:val="105"/>
          <w:sz w:val="17"/>
        </w:rPr>
        <w:t>trasformata,</w:t>
      </w:r>
      <w:r>
        <w:rPr>
          <w:rFonts w:ascii="Calibri" w:hAnsi="Calibri"/>
          <w:color w:val="231F20"/>
          <w:spacing w:val="-16"/>
          <w:w w:val="105"/>
          <w:sz w:val="17"/>
        </w:rPr>
        <w:t> </w:t>
      </w:r>
      <w:r>
        <w:rPr>
          <w:rFonts w:ascii="Calibri" w:hAnsi="Calibri"/>
          <w:color w:val="231F20"/>
          <w:w w:val="105"/>
          <w:sz w:val="17"/>
        </w:rPr>
        <w:t>con</w:t>
      </w:r>
      <w:r>
        <w:rPr>
          <w:rFonts w:ascii="Calibri" w:hAnsi="Calibri"/>
          <w:color w:val="231F20"/>
          <w:spacing w:val="-16"/>
          <w:w w:val="105"/>
          <w:sz w:val="17"/>
        </w:rPr>
        <w:t> </w:t>
      </w:r>
      <w:r>
        <w:rPr>
          <w:rFonts w:ascii="Calibri" w:hAnsi="Calibri"/>
          <w:color w:val="231F20"/>
          <w:w w:val="105"/>
          <w:sz w:val="17"/>
        </w:rPr>
        <w:t>il</w:t>
      </w:r>
      <w:r>
        <w:rPr>
          <w:rFonts w:ascii="Calibri" w:hAnsi="Calibri"/>
          <w:color w:val="231F20"/>
          <w:spacing w:val="-16"/>
          <w:w w:val="105"/>
          <w:sz w:val="17"/>
        </w:rPr>
        <w:t> </w:t>
      </w:r>
      <w:r>
        <w:rPr>
          <w:rFonts w:ascii="Calibri" w:hAnsi="Calibri"/>
          <w:color w:val="231F20"/>
          <w:w w:val="105"/>
          <w:sz w:val="17"/>
        </w:rPr>
        <w:t>ricorso</w:t>
      </w:r>
      <w:r>
        <w:rPr>
          <w:rFonts w:ascii="Calibri" w:hAnsi="Calibri"/>
          <w:color w:val="231F20"/>
          <w:spacing w:val="-16"/>
          <w:w w:val="105"/>
          <w:sz w:val="17"/>
        </w:rPr>
        <w:t> </w:t>
      </w:r>
      <w:r>
        <w:rPr>
          <w:rFonts w:ascii="Calibri" w:hAnsi="Calibri"/>
          <w:color w:val="231F20"/>
          <w:w w:val="105"/>
          <w:sz w:val="17"/>
        </w:rPr>
        <w:t>alla</w:t>
      </w:r>
      <w:r>
        <w:rPr>
          <w:rFonts w:ascii="Calibri" w:hAnsi="Calibri"/>
          <w:color w:val="231F20"/>
          <w:spacing w:val="-16"/>
          <w:w w:val="105"/>
          <w:sz w:val="17"/>
        </w:rPr>
        <w:t> </w:t>
      </w:r>
      <w:r>
        <w:rPr>
          <w:rFonts w:ascii="Calibri" w:hAnsi="Calibri"/>
          <w:color w:val="231F20"/>
          <w:w w:val="105"/>
          <w:sz w:val="17"/>
        </w:rPr>
        <w:t>propaganda,</w:t>
      </w:r>
      <w:r>
        <w:rPr>
          <w:rFonts w:ascii="Calibri" w:hAnsi="Calibri"/>
          <w:color w:val="231F20"/>
          <w:spacing w:val="-16"/>
          <w:w w:val="105"/>
          <w:sz w:val="17"/>
        </w:rPr>
        <w:t> </w:t>
      </w:r>
      <w:r>
        <w:rPr>
          <w:rFonts w:ascii="Calibri" w:hAnsi="Calibri"/>
          <w:color w:val="231F20"/>
          <w:w w:val="105"/>
          <w:sz w:val="17"/>
        </w:rPr>
        <w:t>nella</w:t>
      </w:r>
      <w:r>
        <w:rPr>
          <w:rFonts w:ascii="Calibri" w:hAnsi="Calibri"/>
          <w:color w:val="231F20"/>
          <w:spacing w:val="-16"/>
          <w:w w:val="105"/>
          <w:sz w:val="17"/>
        </w:rPr>
        <w:t> </w:t>
      </w:r>
      <w:r>
        <w:rPr>
          <w:rFonts w:ascii="Calibri" w:hAnsi="Calibri"/>
          <w:color w:val="231F20"/>
          <w:w w:val="105"/>
          <w:sz w:val="17"/>
        </w:rPr>
        <w:t>“crociata” e nell’”ultima guerra </w:t>
      </w:r>
      <w:r>
        <w:rPr>
          <w:rFonts w:ascii="Calibri" w:hAnsi="Calibri"/>
          <w:color w:val="231F20"/>
          <w:spacing w:val="-3"/>
          <w:w w:val="105"/>
          <w:sz w:val="17"/>
        </w:rPr>
        <w:t>dell’umanità”. </w:t>
      </w:r>
      <w:r>
        <w:rPr>
          <w:rFonts w:ascii="Calibri" w:hAnsi="Calibri"/>
          <w:color w:val="231F20"/>
          <w:w w:val="105"/>
          <w:sz w:val="17"/>
        </w:rPr>
        <w:t>Ma sul punto si veda anche C. Schmitt, “Das Zeitalter der Neutralisierungen und Entpolitisierungen” (1929), </w:t>
      </w:r>
      <w:r>
        <w:rPr>
          <w:rFonts w:ascii="Calibri" w:hAnsi="Calibri"/>
          <w:i/>
          <w:color w:val="231F20"/>
          <w:w w:val="105"/>
          <w:sz w:val="17"/>
        </w:rPr>
        <w:t>Der Begriff des Politischen</w:t>
      </w:r>
      <w:r>
        <w:rPr>
          <w:rFonts w:ascii="Calibri" w:hAnsi="Calibri"/>
          <w:color w:val="231F20"/>
          <w:w w:val="105"/>
          <w:sz w:val="17"/>
        </w:rPr>
        <w:t>, (trad. it. </w:t>
      </w:r>
      <w:r>
        <w:rPr>
          <w:rFonts w:ascii="Calibri" w:hAnsi="Calibri"/>
          <w:i/>
          <w:color w:val="231F20"/>
          <w:spacing w:val="-5"/>
          <w:w w:val="105"/>
          <w:sz w:val="17"/>
        </w:rPr>
        <w:t>L’epoca </w:t>
      </w:r>
      <w:r>
        <w:rPr>
          <w:rFonts w:ascii="Calibri" w:hAnsi="Calibri"/>
          <w:i/>
          <w:color w:val="231F20"/>
          <w:w w:val="105"/>
          <w:sz w:val="17"/>
        </w:rPr>
        <w:t>delle</w:t>
      </w:r>
      <w:r>
        <w:rPr>
          <w:rFonts w:ascii="Calibri" w:hAnsi="Calibri"/>
          <w:i/>
          <w:color w:val="231F20"/>
          <w:spacing w:val="-21"/>
          <w:w w:val="105"/>
          <w:sz w:val="17"/>
        </w:rPr>
        <w:t> </w:t>
      </w:r>
      <w:r>
        <w:rPr>
          <w:rFonts w:ascii="Calibri" w:hAnsi="Calibri"/>
          <w:i/>
          <w:color w:val="231F20"/>
          <w:w w:val="105"/>
          <w:sz w:val="17"/>
        </w:rPr>
        <w:t>neutralizzazioni</w:t>
      </w:r>
      <w:r>
        <w:rPr>
          <w:rFonts w:ascii="Calibri" w:hAnsi="Calibri"/>
          <w:i/>
          <w:color w:val="231F20"/>
          <w:spacing w:val="-21"/>
          <w:w w:val="105"/>
          <w:sz w:val="17"/>
        </w:rPr>
        <w:t> </w:t>
      </w:r>
      <w:r>
        <w:rPr>
          <w:rFonts w:ascii="Calibri" w:hAnsi="Calibri"/>
          <w:i/>
          <w:color w:val="231F20"/>
          <w:w w:val="105"/>
          <w:sz w:val="17"/>
        </w:rPr>
        <w:t>e</w:t>
      </w:r>
      <w:r>
        <w:rPr>
          <w:rFonts w:ascii="Calibri" w:hAnsi="Calibri"/>
          <w:i/>
          <w:color w:val="231F20"/>
          <w:spacing w:val="-21"/>
          <w:w w:val="105"/>
          <w:sz w:val="17"/>
        </w:rPr>
        <w:t> </w:t>
      </w:r>
      <w:r>
        <w:rPr>
          <w:rFonts w:ascii="Calibri" w:hAnsi="Calibri"/>
          <w:i/>
          <w:color w:val="231F20"/>
          <w:w w:val="105"/>
          <w:sz w:val="17"/>
        </w:rPr>
        <w:t>delle</w:t>
      </w:r>
      <w:r>
        <w:rPr>
          <w:rFonts w:ascii="Calibri" w:hAnsi="Calibri"/>
          <w:i/>
          <w:color w:val="231F20"/>
          <w:spacing w:val="-21"/>
          <w:w w:val="105"/>
          <w:sz w:val="17"/>
        </w:rPr>
        <w:t> </w:t>
      </w:r>
      <w:r>
        <w:rPr>
          <w:rFonts w:ascii="Calibri" w:hAnsi="Calibri"/>
          <w:i/>
          <w:color w:val="231F20"/>
          <w:w w:val="105"/>
          <w:sz w:val="17"/>
        </w:rPr>
        <w:t>spoliticizazioni</w:t>
      </w:r>
      <w:r>
        <w:rPr>
          <w:rFonts w:ascii="Calibri" w:hAnsi="Calibri"/>
          <w:color w:val="231F20"/>
          <w:w w:val="105"/>
          <w:sz w:val="17"/>
        </w:rPr>
        <w:t>,</w:t>
      </w:r>
      <w:r>
        <w:rPr>
          <w:rFonts w:ascii="Calibri" w:hAnsi="Calibri"/>
          <w:color w:val="231F20"/>
          <w:spacing w:val="-21"/>
          <w:w w:val="105"/>
          <w:sz w:val="17"/>
        </w:rPr>
        <w:t> </w:t>
      </w:r>
      <w:r>
        <w:rPr>
          <w:rFonts w:ascii="Calibri" w:hAnsi="Calibri"/>
          <w:color w:val="231F20"/>
          <w:w w:val="105"/>
          <w:sz w:val="17"/>
        </w:rPr>
        <w:t>en</w:t>
      </w:r>
      <w:r>
        <w:rPr>
          <w:rFonts w:ascii="Calibri" w:hAnsi="Calibri"/>
          <w:color w:val="231F20"/>
          <w:spacing w:val="-21"/>
          <w:w w:val="105"/>
          <w:sz w:val="17"/>
        </w:rPr>
        <w:t> </w:t>
      </w:r>
      <w:r>
        <w:rPr>
          <w:rFonts w:ascii="Calibri" w:hAnsi="Calibri"/>
          <w:i/>
          <w:color w:val="231F20"/>
          <w:w w:val="105"/>
          <w:sz w:val="17"/>
        </w:rPr>
        <w:t>Le</w:t>
      </w:r>
      <w:r>
        <w:rPr>
          <w:rFonts w:ascii="Calibri" w:hAnsi="Calibri"/>
          <w:i/>
          <w:color w:val="231F20"/>
          <w:spacing w:val="-21"/>
          <w:w w:val="105"/>
          <w:sz w:val="17"/>
        </w:rPr>
        <w:t> </w:t>
      </w:r>
      <w:r>
        <w:rPr>
          <w:rFonts w:ascii="Calibri" w:hAnsi="Calibri"/>
          <w:i/>
          <w:color w:val="231F20"/>
          <w:w w:val="105"/>
          <w:sz w:val="17"/>
        </w:rPr>
        <w:t>categorie</w:t>
      </w:r>
      <w:r>
        <w:rPr>
          <w:rFonts w:ascii="Calibri" w:hAnsi="Calibri"/>
          <w:i/>
          <w:color w:val="231F20"/>
          <w:spacing w:val="-21"/>
          <w:w w:val="105"/>
          <w:sz w:val="17"/>
        </w:rPr>
        <w:t> </w:t>
      </w:r>
      <w:r>
        <w:rPr>
          <w:rFonts w:ascii="Calibri" w:hAnsi="Calibri"/>
          <w:i/>
          <w:color w:val="231F20"/>
          <w:w w:val="105"/>
          <w:sz w:val="17"/>
        </w:rPr>
        <w:t>del</w:t>
      </w:r>
      <w:r>
        <w:rPr>
          <w:rFonts w:ascii="Calibri" w:hAnsi="Calibri"/>
          <w:i/>
          <w:color w:val="231F20"/>
          <w:spacing w:val="-21"/>
          <w:w w:val="105"/>
          <w:sz w:val="17"/>
        </w:rPr>
        <w:t> </w:t>
      </w:r>
      <w:r>
        <w:rPr>
          <w:rFonts w:ascii="Calibri" w:hAnsi="Calibri"/>
          <w:i/>
          <w:color w:val="231F20"/>
          <w:w w:val="105"/>
          <w:sz w:val="17"/>
        </w:rPr>
        <w:t>politico</w:t>
      </w:r>
      <w:r>
        <w:rPr>
          <w:rFonts w:ascii="Calibri" w:hAnsi="Calibri"/>
          <w:color w:val="231F20"/>
          <w:w w:val="105"/>
          <w:sz w:val="17"/>
        </w:rPr>
        <w:t>,</w:t>
      </w:r>
      <w:r>
        <w:rPr>
          <w:rFonts w:ascii="Calibri" w:hAnsi="Calibri"/>
          <w:color w:val="231F20"/>
          <w:spacing w:val="-21"/>
          <w:w w:val="105"/>
          <w:sz w:val="17"/>
        </w:rPr>
        <w:t> </w:t>
      </w:r>
      <w:r>
        <w:rPr>
          <w:rFonts w:ascii="Calibri" w:hAnsi="Calibri"/>
          <w:color w:val="231F20"/>
          <w:w w:val="105"/>
          <w:sz w:val="17"/>
        </w:rPr>
        <w:t>cit.,</w:t>
      </w:r>
      <w:r>
        <w:rPr>
          <w:rFonts w:ascii="Calibri" w:hAnsi="Calibri"/>
          <w:color w:val="231F20"/>
          <w:spacing w:val="-21"/>
          <w:w w:val="105"/>
          <w:sz w:val="17"/>
        </w:rPr>
        <w:t> </w:t>
      </w:r>
      <w:r>
        <w:rPr>
          <w:rFonts w:ascii="Calibri" w:hAnsi="Calibri"/>
          <w:color w:val="231F20"/>
          <w:w w:val="105"/>
          <w:sz w:val="17"/>
        </w:rPr>
        <w:t>pp.</w:t>
      </w:r>
      <w:r>
        <w:rPr>
          <w:rFonts w:ascii="Calibri" w:hAnsi="Calibri"/>
          <w:color w:val="231F20"/>
          <w:spacing w:val="-21"/>
          <w:w w:val="105"/>
          <w:sz w:val="17"/>
        </w:rPr>
        <w:t> </w:t>
      </w:r>
      <w:r>
        <w:rPr>
          <w:rFonts w:ascii="Calibri" w:hAnsi="Calibri"/>
          <w:color w:val="231F20"/>
          <w:w w:val="105"/>
          <w:sz w:val="17"/>
        </w:rPr>
        <w:t>167–183,</w:t>
      </w:r>
      <w:r>
        <w:rPr>
          <w:rFonts w:ascii="Calibri" w:hAnsi="Calibri"/>
          <w:color w:val="231F20"/>
          <w:spacing w:val="-21"/>
          <w:w w:val="105"/>
          <w:sz w:val="17"/>
        </w:rPr>
        <w:t> </w:t>
      </w:r>
      <w:r>
        <w:rPr>
          <w:rFonts w:ascii="Calibri" w:hAnsi="Calibri"/>
          <w:color w:val="231F20"/>
          <w:w w:val="105"/>
          <w:sz w:val="17"/>
        </w:rPr>
        <w:t>in</w:t>
      </w:r>
      <w:r>
        <w:rPr>
          <w:rFonts w:ascii="Calibri" w:hAnsi="Calibri"/>
          <w:color w:val="231F20"/>
          <w:spacing w:val="-21"/>
          <w:w w:val="105"/>
          <w:sz w:val="17"/>
        </w:rPr>
        <w:t> </w:t>
      </w:r>
      <w:r>
        <w:rPr>
          <w:rFonts w:ascii="Calibri" w:hAnsi="Calibri"/>
          <w:color w:val="231F20"/>
          <w:w w:val="105"/>
          <w:sz w:val="17"/>
        </w:rPr>
        <w:t>part.</w:t>
      </w:r>
      <w:r>
        <w:rPr>
          <w:rFonts w:ascii="Calibri" w:hAnsi="Calibri"/>
          <w:color w:val="231F20"/>
          <w:spacing w:val="-21"/>
          <w:w w:val="105"/>
          <w:sz w:val="17"/>
        </w:rPr>
        <w:t> </w:t>
      </w:r>
      <w:r>
        <w:rPr>
          <w:rFonts w:ascii="Calibri" w:hAnsi="Calibri"/>
          <w:color w:val="231F20"/>
          <w:w w:val="105"/>
          <w:sz w:val="17"/>
        </w:rPr>
        <w:t>p. 182):</w:t>
      </w:r>
      <w:r>
        <w:rPr>
          <w:rFonts w:ascii="Calibri" w:hAnsi="Calibri"/>
          <w:color w:val="231F20"/>
          <w:spacing w:val="-12"/>
          <w:w w:val="105"/>
          <w:sz w:val="17"/>
        </w:rPr>
        <w:t> </w:t>
      </w:r>
      <w:r>
        <w:rPr>
          <w:rFonts w:ascii="Calibri" w:hAnsi="Calibri"/>
          <w:color w:val="231F20"/>
          <w:w w:val="105"/>
          <w:sz w:val="17"/>
        </w:rPr>
        <w:t>“Ormai</w:t>
      </w:r>
      <w:r>
        <w:rPr>
          <w:rFonts w:ascii="Calibri" w:hAnsi="Calibri"/>
          <w:color w:val="231F20"/>
          <w:spacing w:val="-12"/>
          <w:w w:val="105"/>
          <w:sz w:val="17"/>
        </w:rPr>
        <w:t> </w:t>
      </w:r>
      <w:r>
        <w:rPr>
          <w:rFonts w:ascii="Calibri" w:hAnsi="Calibri"/>
          <w:color w:val="231F20"/>
          <w:w w:val="105"/>
          <w:sz w:val="17"/>
        </w:rPr>
        <w:t>conosciamo</w:t>
      </w:r>
      <w:r>
        <w:rPr>
          <w:rFonts w:ascii="Calibri" w:hAnsi="Calibri"/>
          <w:color w:val="231F20"/>
          <w:spacing w:val="-12"/>
          <w:w w:val="105"/>
          <w:sz w:val="17"/>
        </w:rPr>
        <w:t> </w:t>
      </w:r>
      <w:r>
        <w:rPr>
          <w:rFonts w:ascii="Calibri" w:hAnsi="Calibri"/>
          <w:color w:val="231F20"/>
          <w:w w:val="105"/>
          <w:sz w:val="17"/>
        </w:rPr>
        <w:t>la</w:t>
      </w:r>
      <w:r>
        <w:rPr>
          <w:rFonts w:ascii="Calibri" w:hAnsi="Calibri"/>
          <w:color w:val="231F20"/>
          <w:spacing w:val="-12"/>
          <w:w w:val="105"/>
          <w:sz w:val="17"/>
        </w:rPr>
        <w:t> </w:t>
      </w:r>
      <w:r>
        <w:rPr>
          <w:rFonts w:ascii="Calibri" w:hAnsi="Calibri"/>
          <w:color w:val="231F20"/>
          <w:w w:val="105"/>
          <w:sz w:val="17"/>
        </w:rPr>
        <w:t>legge</w:t>
      </w:r>
      <w:r>
        <w:rPr>
          <w:rFonts w:ascii="Calibri" w:hAnsi="Calibri"/>
          <w:color w:val="231F20"/>
          <w:spacing w:val="-12"/>
          <w:w w:val="105"/>
          <w:sz w:val="17"/>
        </w:rPr>
        <w:t> </w:t>
      </w:r>
      <w:r>
        <w:rPr>
          <w:rFonts w:ascii="Calibri" w:hAnsi="Calibri"/>
          <w:color w:val="231F20"/>
          <w:w w:val="105"/>
          <w:sz w:val="17"/>
        </w:rPr>
        <w:t>segreta</w:t>
      </w:r>
      <w:r>
        <w:rPr>
          <w:rFonts w:ascii="Calibri" w:hAnsi="Calibri"/>
          <w:color w:val="231F20"/>
          <w:spacing w:val="-12"/>
          <w:w w:val="105"/>
          <w:sz w:val="17"/>
        </w:rPr>
        <w:t> </w:t>
      </w:r>
      <w:r>
        <w:rPr>
          <w:rFonts w:ascii="Calibri" w:hAnsi="Calibri"/>
          <w:color w:val="231F20"/>
          <w:w w:val="105"/>
          <w:sz w:val="17"/>
        </w:rPr>
        <w:t>di</w:t>
      </w:r>
      <w:r>
        <w:rPr>
          <w:rFonts w:ascii="Calibri" w:hAnsi="Calibri"/>
          <w:color w:val="231F20"/>
          <w:spacing w:val="-12"/>
          <w:w w:val="105"/>
          <w:sz w:val="17"/>
        </w:rPr>
        <w:t> </w:t>
      </w:r>
      <w:r>
        <w:rPr>
          <w:rFonts w:ascii="Calibri" w:hAnsi="Calibri"/>
          <w:color w:val="231F20"/>
          <w:w w:val="105"/>
          <w:sz w:val="17"/>
        </w:rPr>
        <w:t>questo</w:t>
      </w:r>
      <w:r>
        <w:rPr>
          <w:rFonts w:ascii="Calibri" w:hAnsi="Calibri"/>
          <w:color w:val="231F20"/>
          <w:spacing w:val="-14"/>
          <w:w w:val="105"/>
          <w:sz w:val="17"/>
        </w:rPr>
        <w:t> </w:t>
      </w:r>
      <w:r>
        <w:rPr>
          <w:rFonts w:ascii="Calibri" w:hAnsi="Calibri"/>
          <w:color w:val="231F20"/>
          <w:w w:val="105"/>
          <w:sz w:val="17"/>
        </w:rPr>
        <w:t>vocabolario</w:t>
      </w:r>
      <w:r>
        <w:rPr>
          <w:rFonts w:ascii="Calibri" w:hAnsi="Calibri"/>
          <w:color w:val="231F20"/>
          <w:spacing w:val="-12"/>
          <w:w w:val="105"/>
          <w:sz w:val="17"/>
        </w:rPr>
        <w:t> </w:t>
      </w:r>
      <w:r>
        <w:rPr>
          <w:rFonts w:ascii="Calibri" w:hAnsi="Calibri"/>
          <w:color w:val="231F20"/>
          <w:w w:val="105"/>
          <w:sz w:val="17"/>
        </w:rPr>
        <w:t>e</w:t>
      </w:r>
      <w:r>
        <w:rPr>
          <w:rFonts w:ascii="Calibri" w:hAnsi="Calibri"/>
          <w:color w:val="231F20"/>
          <w:spacing w:val="-12"/>
          <w:w w:val="105"/>
          <w:sz w:val="17"/>
        </w:rPr>
        <w:t> </w:t>
      </w:r>
      <w:r>
        <w:rPr>
          <w:rFonts w:ascii="Calibri" w:hAnsi="Calibri"/>
          <w:color w:val="231F20"/>
          <w:w w:val="105"/>
          <w:sz w:val="17"/>
        </w:rPr>
        <w:t>sappiamo</w:t>
      </w:r>
      <w:r>
        <w:rPr>
          <w:rFonts w:ascii="Calibri" w:hAnsi="Calibri"/>
          <w:color w:val="231F20"/>
          <w:spacing w:val="-12"/>
          <w:w w:val="105"/>
          <w:sz w:val="17"/>
        </w:rPr>
        <w:t> </w:t>
      </w:r>
      <w:r>
        <w:rPr>
          <w:rFonts w:ascii="Calibri" w:hAnsi="Calibri"/>
          <w:color w:val="231F20"/>
          <w:w w:val="105"/>
          <w:sz w:val="17"/>
        </w:rPr>
        <w:t>che</w:t>
      </w:r>
      <w:r>
        <w:rPr>
          <w:rFonts w:ascii="Calibri" w:hAnsi="Calibri"/>
          <w:color w:val="231F20"/>
          <w:spacing w:val="-12"/>
          <w:w w:val="105"/>
          <w:sz w:val="17"/>
        </w:rPr>
        <w:t> </w:t>
      </w:r>
      <w:r>
        <w:rPr>
          <w:rFonts w:ascii="Calibri" w:hAnsi="Calibri"/>
          <w:color w:val="231F20"/>
          <w:w w:val="105"/>
          <w:sz w:val="17"/>
        </w:rPr>
        <w:t>oggi</w:t>
      </w:r>
      <w:r>
        <w:rPr>
          <w:rFonts w:ascii="Calibri" w:hAnsi="Calibri"/>
          <w:color w:val="231F20"/>
          <w:spacing w:val="-12"/>
          <w:w w:val="105"/>
          <w:sz w:val="17"/>
        </w:rPr>
        <w:t> </w:t>
      </w:r>
      <w:r>
        <w:rPr>
          <w:rFonts w:ascii="Calibri" w:hAnsi="Calibri"/>
          <w:color w:val="231F20"/>
          <w:w w:val="105"/>
          <w:sz w:val="17"/>
        </w:rPr>
        <w:t>la</w:t>
      </w:r>
      <w:r>
        <w:rPr>
          <w:rFonts w:ascii="Calibri" w:hAnsi="Calibri"/>
          <w:color w:val="231F20"/>
          <w:spacing w:val="-12"/>
          <w:w w:val="105"/>
          <w:sz w:val="17"/>
        </w:rPr>
        <w:t> </w:t>
      </w:r>
      <w:r>
        <w:rPr>
          <w:rFonts w:ascii="Calibri" w:hAnsi="Calibri"/>
          <w:color w:val="231F20"/>
          <w:w w:val="105"/>
          <w:sz w:val="17"/>
        </w:rPr>
        <w:t>guerra</w:t>
      </w:r>
      <w:r>
        <w:rPr>
          <w:rFonts w:ascii="Calibri" w:hAnsi="Calibri"/>
          <w:color w:val="231F20"/>
          <w:spacing w:val="-12"/>
          <w:w w:val="105"/>
          <w:sz w:val="17"/>
        </w:rPr>
        <w:t> </w:t>
      </w:r>
      <w:r>
        <w:rPr>
          <w:rFonts w:ascii="Calibri" w:hAnsi="Calibri"/>
          <w:color w:val="231F20"/>
          <w:w w:val="105"/>
          <w:sz w:val="17"/>
        </w:rPr>
        <w:t>più terribile</w:t>
      </w:r>
      <w:r>
        <w:rPr>
          <w:rFonts w:ascii="Calibri" w:hAnsi="Calibri"/>
          <w:color w:val="231F20"/>
          <w:spacing w:val="-8"/>
          <w:w w:val="105"/>
          <w:sz w:val="17"/>
        </w:rPr>
        <w:t> </w:t>
      </w:r>
      <w:r>
        <w:rPr>
          <w:rFonts w:ascii="Calibri" w:hAnsi="Calibri"/>
          <w:color w:val="231F20"/>
          <w:w w:val="105"/>
          <w:sz w:val="17"/>
        </w:rPr>
        <w:t>può</w:t>
      </w:r>
      <w:r>
        <w:rPr>
          <w:rFonts w:ascii="Calibri" w:hAnsi="Calibri"/>
          <w:color w:val="231F20"/>
          <w:spacing w:val="-8"/>
          <w:w w:val="105"/>
          <w:sz w:val="17"/>
        </w:rPr>
        <w:t> </w:t>
      </w:r>
      <w:r>
        <w:rPr>
          <w:rFonts w:ascii="Calibri" w:hAnsi="Calibri"/>
          <w:color w:val="231F20"/>
          <w:w w:val="105"/>
          <w:sz w:val="17"/>
        </w:rPr>
        <w:t>essere</w:t>
      </w:r>
      <w:r>
        <w:rPr>
          <w:rFonts w:ascii="Calibri" w:hAnsi="Calibri"/>
          <w:color w:val="231F20"/>
          <w:spacing w:val="-8"/>
          <w:w w:val="105"/>
          <w:sz w:val="17"/>
        </w:rPr>
        <w:t> </w:t>
      </w:r>
      <w:r>
        <w:rPr>
          <w:rFonts w:ascii="Calibri" w:hAnsi="Calibri"/>
          <w:color w:val="231F20"/>
          <w:w w:val="105"/>
          <w:sz w:val="17"/>
        </w:rPr>
        <w:t>condotta</w:t>
      </w:r>
      <w:r>
        <w:rPr>
          <w:rFonts w:ascii="Calibri" w:hAnsi="Calibri"/>
          <w:color w:val="231F20"/>
          <w:spacing w:val="-8"/>
          <w:w w:val="105"/>
          <w:sz w:val="17"/>
        </w:rPr>
        <w:t> </w:t>
      </w:r>
      <w:r>
        <w:rPr>
          <w:rFonts w:ascii="Calibri" w:hAnsi="Calibri"/>
          <w:color w:val="231F20"/>
          <w:w w:val="105"/>
          <w:sz w:val="17"/>
        </w:rPr>
        <w:t>solo</w:t>
      </w:r>
      <w:r>
        <w:rPr>
          <w:rFonts w:ascii="Calibri" w:hAnsi="Calibri"/>
          <w:color w:val="231F20"/>
          <w:spacing w:val="-8"/>
          <w:w w:val="105"/>
          <w:sz w:val="17"/>
        </w:rPr>
        <w:t> </w:t>
      </w:r>
      <w:r>
        <w:rPr>
          <w:rFonts w:ascii="Calibri" w:hAnsi="Calibri"/>
          <w:color w:val="231F20"/>
          <w:w w:val="105"/>
          <w:sz w:val="17"/>
        </w:rPr>
        <w:t>in</w:t>
      </w:r>
      <w:r>
        <w:rPr>
          <w:rFonts w:ascii="Calibri" w:hAnsi="Calibri"/>
          <w:color w:val="231F20"/>
          <w:spacing w:val="-8"/>
          <w:w w:val="105"/>
          <w:sz w:val="17"/>
        </w:rPr>
        <w:t> </w:t>
      </w:r>
      <w:r>
        <w:rPr>
          <w:rFonts w:ascii="Calibri" w:hAnsi="Calibri"/>
          <w:color w:val="231F20"/>
          <w:w w:val="105"/>
          <w:sz w:val="17"/>
        </w:rPr>
        <w:t>nome</w:t>
      </w:r>
      <w:r>
        <w:rPr>
          <w:rFonts w:ascii="Calibri" w:hAnsi="Calibri"/>
          <w:color w:val="231F20"/>
          <w:spacing w:val="-8"/>
          <w:w w:val="105"/>
          <w:sz w:val="17"/>
        </w:rPr>
        <w:t> </w:t>
      </w:r>
      <w:r>
        <w:rPr>
          <w:rFonts w:ascii="Calibri" w:hAnsi="Calibri"/>
          <w:color w:val="231F20"/>
          <w:w w:val="105"/>
          <w:sz w:val="17"/>
        </w:rPr>
        <w:t>della</w:t>
      </w:r>
      <w:r>
        <w:rPr>
          <w:rFonts w:ascii="Calibri" w:hAnsi="Calibri"/>
          <w:color w:val="231F20"/>
          <w:spacing w:val="-8"/>
          <w:w w:val="105"/>
          <w:sz w:val="17"/>
        </w:rPr>
        <w:t> </w:t>
      </w:r>
      <w:r>
        <w:rPr>
          <w:rFonts w:ascii="Calibri" w:hAnsi="Calibri"/>
          <w:color w:val="231F20"/>
          <w:w w:val="105"/>
          <w:sz w:val="17"/>
        </w:rPr>
        <w:t>pace,</w:t>
      </w:r>
      <w:r>
        <w:rPr>
          <w:rFonts w:ascii="Calibri" w:hAnsi="Calibri"/>
          <w:color w:val="231F20"/>
          <w:spacing w:val="-8"/>
          <w:w w:val="105"/>
          <w:sz w:val="17"/>
        </w:rPr>
        <w:t> </w:t>
      </w:r>
      <w:r>
        <w:rPr>
          <w:rFonts w:ascii="Calibri" w:hAnsi="Calibri"/>
          <w:color w:val="231F20"/>
          <w:w w:val="105"/>
          <w:sz w:val="17"/>
        </w:rPr>
        <w:t>l’oppressione</w:t>
      </w:r>
      <w:r>
        <w:rPr>
          <w:rFonts w:ascii="Calibri" w:hAnsi="Calibri"/>
          <w:color w:val="231F20"/>
          <w:spacing w:val="-8"/>
          <w:w w:val="105"/>
          <w:sz w:val="17"/>
        </w:rPr>
        <w:t> </w:t>
      </w:r>
      <w:r>
        <w:rPr>
          <w:rFonts w:ascii="Calibri" w:hAnsi="Calibri"/>
          <w:color w:val="231F20"/>
          <w:w w:val="105"/>
          <w:sz w:val="17"/>
        </w:rPr>
        <w:t>più</w:t>
      </w:r>
      <w:r>
        <w:rPr>
          <w:rFonts w:ascii="Calibri" w:hAnsi="Calibri"/>
          <w:color w:val="231F20"/>
          <w:spacing w:val="-8"/>
          <w:w w:val="105"/>
          <w:sz w:val="17"/>
        </w:rPr>
        <w:t> </w:t>
      </w:r>
      <w:r>
        <w:rPr>
          <w:rFonts w:ascii="Calibri" w:hAnsi="Calibri"/>
          <w:color w:val="231F20"/>
          <w:w w:val="105"/>
          <w:sz w:val="17"/>
        </w:rPr>
        <w:t>terrificante</w:t>
      </w:r>
      <w:r>
        <w:rPr>
          <w:rFonts w:ascii="Calibri" w:hAnsi="Calibri"/>
          <w:color w:val="231F20"/>
          <w:spacing w:val="-8"/>
          <w:w w:val="105"/>
          <w:sz w:val="17"/>
        </w:rPr>
        <w:t> </w:t>
      </w:r>
      <w:r>
        <w:rPr>
          <w:rFonts w:ascii="Calibri" w:hAnsi="Calibri"/>
          <w:color w:val="231F20"/>
          <w:w w:val="105"/>
          <w:sz w:val="17"/>
        </w:rPr>
        <w:t>solo</w:t>
      </w:r>
      <w:r>
        <w:rPr>
          <w:rFonts w:ascii="Calibri" w:hAnsi="Calibri"/>
          <w:color w:val="231F20"/>
          <w:spacing w:val="-8"/>
          <w:w w:val="105"/>
          <w:sz w:val="17"/>
        </w:rPr>
        <w:t> </w:t>
      </w:r>
      <w:r>
        <w:rPr>
          <w:rFonts w:ascii="Calibri" w:hAnsi="Calibri"/>
          <w:color w:val="231F20"/>
          <w:w w:val="105"/>
          <w:sz w:val="17"/>
        </w:rPr>
        <w:t>in</w:t>
      </w:r>
      <w:r>
        <w:rPr>
          <w:rFonts w:ascii="Calibri" w:hAnsi="Calibri"/>
          <w:color w:val="231F20"/>
          <w:spacing w:val="-8"/>
          <w:w w:val="105"/>
          <w:sz w:val="17"/>
        </w:rPr>
        <w:t> </w:t>
      </w:r>
      <w:r>
        <w:rPr>
          <w:rFonts w:ascii="Calibri" w:hAnsi="Calibri"/>
          <w:color w:val="231F20"/>
          <w:w w:val="105"/>
          <w:sz w:val="17"/>
        </w:rPr>
        <w:t>nome della</w:t>
      </w:r>
      <w:r>
        <w:rPr>
          <w:rFonts w:ascii="Calibri" w:hAnsi="Calibri"/>
          <w:color w:val="231F20"/>
          <w:spacing w:val="-9"/>
          <w:w w:val="105"/>
          <w:sz w:val="17"/>
        </w:rPr>
        <w:t> </w:t>
      </w:r>
      <w:r>
        <w:rPr>
          <w:rFonts w:ascii="Calibri" w:hAnsi="Calibri"/>
          <w:color w:val="231F20"/>
          <w:w w:val="105"/>
          <w:sz w:val="17"/>
        </w:rPr>
        <w:t>libertà</w:t>
      </w:r>
      <w:r>
        <w:rPr>
          <w:rFonts w:ascii="Calibri" w:hAnsi="Calibri"/>
          <w:color w:val="231F20"/>
          <w:spacing w:val="-9"/>
          <w:w w:val="105"/>
          <w:sz w:val="17"/>
        </w:rPr>
        <w:t> </w:t>
      </w:r>
      <w:r>
        <w:rPr>
          <w:rFonts w:ascii="Calibri" w:hAnsi="Calibri"/>
          <w:color w:val="231F20"/>
          <w:w w:val="105"/>
          <w:sz w:val="17"/>
        </w:rPr>
        <w:t>e</w:t>
      </w:r>
      <w:r>
        <w:rPr>
          <w:rFonts w:ascii="Calibri" w:hAnsi="Calibri"/>
          <w:color w:val="231F20"/>
          <w:spacing w:val="-9"/>
          <w:w w:val="105"/>
          <w:sz w:val="17"/>
        </w:rPr>
        <w:t> </w:t>
      </w:r>
      <w:r>
        <w:rPr>
          <w:rFonts w:ascii="Calibri" w:hAnsi="Calibri"/>
          <w:color w:val="231F20"/>
          <w:w w:val="105"/>
          <w:sz w:val="17"/>
        </w:rPr>
        <w:t>la</w:t>
      </w:r>
      <w:r>
        <w:rPr>
          <w:rFonts w:ascii="Calibri" w:hAnsi="Calibri"/>
          <w:color w:val="231F20"/>
          <w:spacing w:val="-9"/>
          <w:w w:val="105"/>
          <w:sz w:val="17"/>
        </w:rPr>
        <w:t> </w:t>
      </w:r>
      <w:r>
        <w:rPr>
          <w:rFonts w:ascii="Calibri" w:hAnsi="Calibri"/>
          <w:color w:val="231F20"/>
          <w:w w:val="105"/>
          <w:sz w:val="17"/>
        </w:rPr>
        <w:t>disumanità</w:t>
      </w:r>
      <w:r>
        <w:rPr>
          <w:rFonts w:ascii="Calibri" w:hAnsi="Calibri"/>
          <w:color w:val="231F20"/>
          <w:spacing w:val="-9"/>
          <w:w w:val="105"/>
          <w:sz w:val="17"/>
        </w:rPr>
        <w:t> </w:t>
      </w:r>
      <w:r>
        <w:rPr>
          <w:rFonts w:ascii="Calibri" w:hAnsi="Calibri"/>
          <w:color w:val="231F20"/>
          <w:w w:val="105"/>
          <w:sz w:val="17"/>
        </w:rPr>
        <w:t>più</w:t>
      </w:r>
      <w:r>
        <w:rPr>
          <w:rFonts w:ascii="Calibri" w:hAnsi="Calibri"/>
          <w:color w:val="231F20"/>
          <w:spacing w:val="-9"/>
          <w:w w:val="105"/>
          <w:sz w:val="17"/>
        </w:rPr>
        <w:t> </w:t>
      </w:r>
      <w:r>
        <w:rPr>
          <w:rFonts w:ascii="Calibri" w:hAnsi="Calibri"/>
          <w:color w:val="231F20"/>
          <w:w w:val="105"/>
          <w:sz w:val="17"/>
        </w:rPr>
        <w:t>abietta</w:t>
      </w:r>
      <w:r>
        <w:rPr>
          <w:rFonts w:ascii="Calibri" w:hAnsi="Calibri"/>
          <w:color w:val="231F20"/>
          <w:spacing w:val="-9"/>
          <w:w w:val="105"/>
          <w:sz w:val="17"/>
        </w:rPr>
        <w:t> </w:t>
      </w:r>
      <w:r>
        <w:rPr>
          <w:rFonts w:ascii="Calibri" w:hAnsi="Calibri"/>
          <w:color w:val="231F20"/>
          <w:w w:val="105"/>
          <w:sz w:val="17"/>
        </w:rPr>
        <w:t>solo</w:t>
      </w:r>
      <w:r>
        <w:rPr>
          <w:rFonts w:ascii="Calibri" w:hAnsi="Calibri"/>
          <w:color w:val="231F20"/>
          <w:spacing w:val="-9"/>
          <w:w w:val="105"/>
          <w:sz w:val="17"/>
        </w:rPr>
        <w:t> </w:t>
      </w:r>
      <w:r>
        <w:rPr>
          <w:rFonts w:ascii="Calibri" w:hAnsi="Calibri"/>
          <w:color w:val="231F20"/>
          <w:w w:val="105"/>
          <w:sz w:val="17"/>
        </w:rPr>
        <w:t>in</w:t>
      </w:r>
      <w:r>
        <w:rPr>
          <w:rFonts w:ascii="Calibri" w:hAnsi="Calibri"/>
          <w:color w:val="231F20"/>
          <w:spacing w:val="-9"/>
          <w:w w:val="105"/>
          <w:sz w:val="17"/>
        </w:rPr>
        <w:t> </w:t>
      </w:r>
      <w:r>
        <w:rPr>
          <w:rFonts w:ascii="Calibri" w:hAnsi="Calibri"/>
          <w:color w:val="231F20"/>
          <w:w w:val="105"/>
          <w:sz w:val="17"/>
        </w:rPr>
        <w:t>nome</w:t>
      </w:r>
      <w:r>
        <w:rPr>
          <w:rFonts w:ascii="Calibri" w:hAnsi="Calibri"/>
          <w:color w:val="231F20"/>
          <w:spacing w:val="-9"/>
          <w:w w:val="105"/>
          <w:sz w:val="17"/>
        </w:rPr>
        <w:t> </w:t>
      </w:r>
      <w:r>
        <w:rPr>
          <w:rFonts w:ascii="Calibri" w:hAnsi="Calibri"/>
          <w:color w:val="231F20"/>
          <w:spacing w:val="-3"/>
          <w:w w:val="105"/>
          <w:sz w:val="17"/>
        </w:rPr>
        <w:t>dell’umanità”.</w:t>
      </w:r>
    </w:p>
    <w:p>
      <w:pPr>
        <w:spacing w:line="204" w:lineRule="exact" w:before="0"/>
        <w:ind w:left="103" w:right="115" w:firstLine="0"/>
        <w:jc w:val="both"/>
        <w:rPr>
          <w:rFonts w:ascii="Calibri" w:hAnsi="Calibri"/>
          <w:sz w:val="17"/>
        </w:rPr>
      </w:pPr>
      <w:r>
        <w:rPr>
          <w:rFonts w:ascii="Calibri" w:hAnsi="Calibri"/>
          <w:color w:val="231F20"/>
          <w:position w:val="6"/>
          <w:sz w:val="10"/>
        </w:rPr>
        <w:t>47 </w:t>
      </w:r>
      <w:r>
        <w:rPr>
          <w:rFonts w:ascii="Calibri" w:hAnsi="Calibri"/>
          <w:color w:val="231F20"/>
          <w:sz w:val="17"/>
        </w:rPr>
        <w:t>C. Schmitt, </w:t>
      </w:r>
      <w:r>
        <w:rPr>
          <w:rFonts w:ascii="Calibri" w:hAnsi="Calibri"/>
          <w:i/>
          <w:color w:val="231F20"/>
          <w:sz w:val="17"/>
        </w:rPr>
        <w:t>Der Nomos der Erde im Völkerrecht des Jus Publicum Europeum</w:t>
      </w:r>
      <w:r>
        <w:rPr>
          <w:rFonts w:ascii="Calibri" w:hAnsi="Calibri"/>
          <w:color w:val="231F20"/>
          <w:sz w:val="17"/>
        </w:rPr>
        <w:t>, Berlin, Duncker &amp; Humblot,</w:t>
      </w:r>
      <w:r>
        <w:rPr>
          <w:rFonts w:ascii="Calibri" w:hAnsi="Calibri"/>
          <w:color w:val="231F20"/>
          <w:spacing w:val="-5"/>
          <w:sz w:val="17"/>
        </w:rPr>
        <w:t> </w:t>
      </w:r>
      <w:r>
        <w:rPr>
          <w:rFonts w:ascii="Calibri" w:hAnsi="Calibri"/>
          <w:color w:val="231F20"/>
          <w:spacing w:val="-3"/>
          <w:sz w:val="17"/>
        </w:rPr>
        <w:t>1974</w:t>
      </w:r>
      <w:r>
        <w:rPr>
          <w:rFonts w:ascii="Calibri" w:hAnsi="Calibri"/>
          <w:color w:val="231F20"/>
          <w:spacing w:val="-5"/>
          <w:sz w:val="17"/>
        </w:rPr>
        <w:t> </w:t>
      </w:r>
      <w:r>
        <w:rPr>
          <w:rFonts w:ascii="Calibri" w:hAnsi="Calibri"/>
          <w:color w:val="231F20"/>
          <w:sz w:val="17"/>
        </w:rPr>
        <w:t>(trad.</w:t>
      </w:r>
      <w:r>
        <w:rPr>
          <w:rFonts w:ascii="Calibri" w:hAnsi="Calibri"/>
          <w:color w:val="231F20"/>
          <w:spacing w:val="-5"/>
          <w:sz w:val="17"/>
        </w:rPr>
        <w:t> </w:t>
      </w:r>
      <w:r>
        <w:rPr>
          <w:rFonts w:ascii="Calibri" w:hAnsi="Calibri"/>
          <w:color w:val="231F20"/>
          <w:sz w:val="17"/>
        </w:rPr>
        <w:t>it.</w:t>
      </w:r>
      <w:r>
        <w:rPr>
          <w:rFonts w:ascii="Calibri" w:hAnsi="Calibri"/>
          <w:color w:val="231F20"/>
          <w:spacing w:val="-5"/>
          <w:sz w:val="17"/>
        </w:rPr>
        <w:t> </w:t>
      </w:r>
      <w:r>
        <w:rPr>
          <w:rFonts w:ascii="Calibri" w:hAnsi="Calibri"/>
          <w:i/>
          <w:color w:val="231F20"/>
          <w:sz w:val="17"/>
        </w:rPr>
        <w:t>Il</w:t>
      </w:r>
      <w:r>
        <w:rPr>
          <w:rFonts w:ascii="Calibri" w:hAnsi="Calibri"/>
          <w:i/>
          <w:color w:val="231F20"/>
          <w:spacing w:val="-6"/>
          <w:sz w:val="17"/>
        </w:rPr>
        <w:t> </w:t>
      </w:r>
      <w:r>
        <w:rPr>
          <w:rFonts w:ascii="Calibri" w:hAnsi="Calibri"/>
          <w:i/>
          <w:color w:val="231F20"/>
          <w:sz w:val="17"/>
        </w:rPr>
        <w:t>nomos</w:t>
      </w:r>
      <w:r>
        <w:rPr>
          <w:rFonts w:ascii="Calibri" w:hAnsi="Calibri"/>
          <w:i/>
          <w:color w:val="231F20"/>
          <w:spacing w:val="-6"/>
          <w:sz w:val="17"/>
        </w:rPr>
        <w:t> </w:t>
      </w:r>
      <w:r>
        <w:rPr>
          <w:rFonts w:ascii="Calibri" w:hAnsi="Calibri"/>
          <w:i/>
          <w:color w:val="231F20"/>
          <w:sz w:val="17"/>
        </w:rPr>
        <w:t>della</w:t>
      </w:r>
      <w:r>
        <w:rPr>
          <w:rFonts w:ascii="Calibri" w:hAnsi="Calibri"/>
          <w:i/>
          <w:color w:val="231F20"/>
          <w:spacing w:val="-6"/>
          <w:sz w:val="17"/>
        </w:rPr>
        <w:t> </w:t>
      </w:r>
      <w:r>
        <w:rPr>
          <w:rFonts w:ascii="Calibri" w:hAnsi="Calibri"/>
          <w:i/>
          <w:color w:val="231F20"/>
          <w:sz w:val="17"/>
        </w:rPr>
        <w:t>terra</w:t>
      </w:r>
      <w:r>
        <w:rPr>
          <w:rFonts w:ascii="Calibri" w:hAnsi="Calibri"/>
          <w:i/>
          <w:color w:val="231F20"/>
          <w:spacing w:val="-6"/>
          <w:sz w:val="17"/>
        </w:rPr>
        <w:t> </w:t>
      </w:r>
      <w:r>
        <w:rPr>
          <w:rFonts w:ascii="Calibri" w:hAnsi="Calibri"/>
          <w:i/>
          <w:color w:val="231F20"/>
          <w:sz w:val="17"/>
        </w:rPr>
        <w:t>nel</w:t>
      </w:r>
      <w:r>
        <w:rPr>
          <w:rFonts w:ascii="Calibri" w:hAnsi="Calibri"/>
          <w:i/>
          <w:color w:val="231F20"/>
          <w:spacing w:val="-6"/>
          <w:sz w:val="17"/>
        </w:rPr>
        <w:t> </w:t>
      </w:r>
      <w:r>
        <w:rPr>
          <w:rFonts w:ascii="Calibri" w:hAnsi="Calibri"/>
          <w:i/>
          <w:color w:val="231F20"/>
          <w:sz w:val="17"/>
        </w:rPr>
        <w:t>diritto</w:t>
      </w:r>
      <w:r>
        <w:rPr>
          <w:rFonts w:ascii="Calibri" w:hAnsi="Calibri"/>
          <w:i/>
          <w:color w:val="231F20"/>
          <w:spacing w:val="-6"/>
          <w:sz w:val="17"/>
        </w:rPr>
        <w:t> </w:t>
      </w:r>
      <w:r>
        <w:rPr>
          <w:rFonts w:ascii="Calibri" w:hAnsi="Calibri"/>
          <w:i/>
          <w:color w:val="231F20"/>
          <w:sz w:val="17"/>
        </w:rPr>
        <w:t>internazionale</w:t>
      </w:r>
      <w:r>
        <w:rPr>
          <w:rFonts w:ascii="Calibri" w:hAnsi="Calibri"/>
          <w:i/>
          <w:color w:val="231F20"/>
          <w:spacing w:val="-6"/>
          <w:sz w:val="17"/>
        </w:rPr>
        <w:t> </w:t>
      </w:r>
      <w:r>
        <w:rPr>
          <w:rFonts w:ascii="Calibri" w:hAnsi="Calibri"/>
          <w:i/>
          <w:color w:val="231F20"/>
          <w:sz w:val="17"/>
        </w:rPr>
        <w:t>dello</w:t>
      </w:r>
      <w:r>
        <w:rPr>
          <w:rFonts w:ascii="Calibri" w:hAnsi="Calibri"/>
          <w:i/>
          <w:color w:val="231F20"/>
          <w:spacing w:val="-6"/>
          <w:sz w:val="17"/>
        </w:rPr>
        <w:t> </w:t>
      </w:r>
      <w:r>
        <w:rPr>
          <w:rFonts w:ascii="Calibri" w:hAnsi="Calibri"/>
          <w:i/>
          <w:color w:val="231F20"/>
          <w:sz w:val="17"/>
        </w:rPr>
        <w:t>«Jus</w:t>
      </w:r>
      <w:r>
        <w:rPr>
          <w:rFonts w:ascii="Calibri" w:hAnsi="Calibri"/>
          <w:i/>
          <w:color w:val="231F20"/>
          <w:spacing w:val="-6"/>
          <w:sz w:val="17"/>
        </w:rPr>
        <w:t> </w:t>
      </w:r>
      <w:r>
        <w:rPr>
          <w:rFonts w:ascii="Calibri" w:hAnsi="Calibri"/>
          <w:i/>
          <w:color w:val="231F20"/>
          <w:sz w:val="17"/>
        </w:rPr>
        <w:t>publicum</w:t>
      </w:r>
      <w:r>
        <w:rPr>
          <w:rFonts w:ascii="Calibri" w:hAnsi="Calibri"/>
          <w:i/>
          <w:color w:val="231F20"/>
          <w:spacing w:val="-6"/>
          <w:sz w:val="17"/>
        </w:rPr>
        <w:t> </w:t>
      </w:r>
      <w:r>
        <w:rPr>
          <w:rFonts w:ascii="Calibri" w:hAnsi="Calibri"/>
          <w:i/>
          <w:color w:val="231F20"/>
          <w:sz w:val="17"/>
        </w:rPr>
        <w:t>europeum»</w:t>
      </w:r>
      <w:r>
        <w:rPr>
          <w:rFonts w:ascii="Calibri" w:hAnsi="Calibri"/>
          <w:color w:val="231F20"/>
          <w:sz w:val="17"/>
        </w:rPr>
        <w:t>, Milano, Adelphi, 1991, p.</w:t>
      </w:r>
      <w:r>
        <w:rPr>
          <w:rFonts w:ascii="Calibri" w:hAnsi="Calibri"/>
          <w:color w:val="231F20"/>
          <w:spacing w:val="-17"/>
          <w:sz w:val="17"/>
        </w:rPr>
        <w:t> </w:t>
      </w:r>
      <w:r>
        <w:rPr>
          <w:rFonts w:ascii="Calibri" w:hAnsi="Calibri"/>
          <w:color w:val="231F20"/>
          <w:sz w:val="17"/>
        </w:rPr>
        <w:t>430)</w:t>
      </w:r>
    </w:p>
    <w:p>
      <w:pPr>
        <w:spacing w:line="206" w:lineRule="exact" w:before="1"/>
        <w:ind w:left="103" w:right="0" w:firstLine="0"/>
        <w:jc w:val="both"/>
        <w:rPr>
          <w:rFonts w:ascii="Calibri" w:hAnsi="Calibri"/>
          <w:sz w:val="17"/>
        </w:rPr>
      </w:pPr>
      <w:r>
        <w:rPr>
          <w:rFonts w:ascii="Calibri" w:hAnsi="Calibri"/>
          <w:color w:val="231F20"/>
          <w:w w:val="105"/>
          <w:position w:val="6"/>
          <w:sz w:val="10"/>
        </w:rPr>
        <w:t>48  </w:t>
      </w:r>
      <w:r>
        <w:rPr>
          <w:rFonts w:ascii="Calibri" w:hAnsi="Calibri"/>
          <w:color w:val="231F20"/>
          <w:w w:val="105"/>
          <w:sz w:val="17"/>
        </w:rPr>
        <w:t>M. Koskenniemi, “International Law as Political Theology: How to Read Nomos der Erde?”,</w:t>
      </w:r>
    </w:p>
    <w:p>
      <w:pPr>
        <w:spacing w:line="206" w:lineRule="exact" w:before="0"/>
        <w:ind w:left="103" w:right="0" w:firstLine="0"/>
        <w:jc w:val="both"/>
        <w:rPr>
          <w:rFonts w:ascii="Calibri" w:hAnsi="Calibri"/>
          <w:sz w:val="17"/>
        </w:rPr>
      </w:pPr>
      <w:r>
        <w:rPr>
          <w:rFonts w:ascii="Calibri" w:hAnsi="Calibri"/>
          <w:i/>
          <w:color w:val="231F20"/>
          <w:sz w:val="17"/>
        </w:rPr>
        <w:t>Constellations</w:t>
      </w:r>
      <w:r>
        <w:rPr>
          <w:rFonts w:ascii="Calibri" w:hAnsi="Calibri"/>
          <w:color w:val="231F20"/>
          <w:sz w:val="17"/>
        </w:rPr>
        <w:t>, no. 4, 2004, pp. 492–511, p. 493.</w:t>
      </w:r>
    </w:p>
    <w:p>
      <w:pPr>
        <w:pStyle w:val="BodyText"/>
        <w:rPr>
          <w:rFonts w:ascii="Calibri"/>
          <w:sz w:val="20"/>
        </w:rPr>
      </w:pPr>
    </w:p>
    <w:p>
      <w:pPr>
        <w:pStyle w:val="BodyText"/>
        <w:spacing w:before="9"/>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0696"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142</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98" w:lineRule="exact" w:before="52"/>
        <w:ind w:left="796"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14752"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QUESTIONI</w:t>
      </w:r>
      <w:r>
        <w:rPr>
          <w:rFonts w:ascii="Lucida Sans Unicode" w:hAnsi="Lucida Sans Unicode"/>
          <w:color w:val="6D6E71"/>
          <w:spacing w:val="-11"/>
          <w:w w:val="90"/>
          <w:sz w:val="14"/>
        </w:rPr>
        <w:t> </w:t>
      </w:r>
      <w:r>
        <w:rPr>
          <w:rFonts w:ascii="Lucida Sans Unicode" w:hAnsi="Lucida Sans Unicode"/>
          <w:color w:val="6D6E71"/>
          <w:w w:val="90"/>
          <w:sz w:val="14"/>
        </w:rPr>
        <w:t>DI</w:t>
      </w:r>
      <w:r>
        <w:rPr>
          <w:rFonts w:ascii="Lucida Sans Unicode" w:hAnsi="Lucida Sans Unicode"/>
          <w:color w:val="6D6E71"/>
          <w:spacing w:val="-11"/>
          <w:w w:val="90"/>
          <w:sz w:val="14"/>
        </w:rPr>
        <w:t> </w:t>
      </w:r>
      <w:r>
        <w:rPr>
          <w:rFonts w:ascii="Lucida Sans Unicode" w:hAnsi="Lucida Sans Unicode"/>
          <w:color w:val="6D6E71"/>
          <w:w w:val="90"/>
          <w:sz w:val="14"/>
        </w:rPr>
        <w:t>CONFINE.</w:t>
      </w:r>
      <w:r>
        <w:rPr>
          <w:rFonts w:ascii="Lucida Sans Unicode" w:hAnsi="Lucida Sans Unicode"/>
          <w:color w:val="6D6E71"/>
          <w:spacing w:val="-11"/>
          <w:w w:val="90"/>
          <w:sz w:val="14"/>
        </w:rPr>
        <w:t> </w:t>
      </w:r>
      <w:r>
        <w:rPr>
          <w:rFonts w:ascii="Lucida Sans Unicode" w:hAnsi="Lucida Sans Unicode"/>
          <w:color w:val="6D6E71"/>
          <w:w w:val="90"/>
          <w:sz w:val="14"/>
        </w:rPr>
        <w:t>SOVRANITÀ</w:t>
      </w:r>
      <w:r>
        <w:rPr>
          <w:rFonts w:ascii="Lucida Sans Unicode" w:hAnsi="Lucida Sans Unicode"/>
          <w:color w:val="6D6E71"/>
          <w:spacing w:val="-11"/>
          <w:w w:val="90"/>
          <w:sz w:val="14"/>
        </w:rPr>
        <w:t> </w:t>
      </w:r>
      <w:r>
        <w:rPr>
          <w:rFonts w:ascii="Lucida Sans Unicode" w:hAnsi="Lucida Sans Unicode"/>
          <w:color w:val="6D6E71"/>
          <w:w w:val="90"/>
          <w:sz w:val="14"/>
        </w:rPr>
        <w:t>TERRITORIALE</w:t>
      </w:r>
      <w:r>
        <w:rPr>
          <w:rFonts w:ascii="Lucida Sans Unicode" w:hAnsi="Lucida Sans Unicode"/>
          <w:color w:val="6D6E71"/>
          <w:spacing w:val="-11"/>
          <w:w w:val="90"/>
          <w:sz w:val="14"/>
        </w:rPr>
        <w:t> </w:t>
      </w:r>
      <w:r>
        <w:rPr>
          <w:rFonts w:ascii="Lucida Sans Unicode" w:hAnsi="Lucida Sans Unicode"/>
          <w:color w:val="6D6E71"/>
          <w:w w:val="90"/>
          <w:sz w:val="14"/>
        </w:rPr>
        <w:t>E</w:t>
      </w:r>
      <w:r>
        <w:rPr>
          <w:rFonts w:ascii="Lucida Sans Unicode" w:hAnsi="Lucida Sans Unicode"/>
          <w:color w:val="6D6E71"/>
          <w:spacing w:val="-11"/>
          <w:w w:val="90"/>
          <w:sz w:val="14"/>
        </w:rPr>
        <w:t> </w:t>
      </w:r>
      <w:r>
        <w:rPr>
          <w:rFonts w:ascii="Lucida Sans Unicode" w:hAnsi="Lucida Sans Unicode"/>
          <w:color w:val="6D6E71"/>
          <w:w w:val="90"/>
          <w:sz w:val="14"/>
        </w:rPr>
        <w:t>ORDINE</w:t>
      </w:r>
      <w:r>
        <w:rPr>
          <w:rFonts w:ascii="Lucida Sans Unicode" w:hAnsi="Lucida Sans Unicode"/>
          <w:color w:val="6D6E71"/>
          <w:spacing w:val="-11"/>
          <w:w w:val="90"/>
          <w:sz w:val="14"/>
        </w:rPr>
        <w:t> </w:t>
      </w:r>
      <w:r>
        <w:rPr>
          <w:rFonts w:ascii="Lucida Sans Unicode" w:hAnsi="Lucida Sans Unicode"/>
          <w:color w:val="6D6E71"/>
          <w:w w:val="90"/>
          <w:sz w:val="14"/>
        </w:rPr>
        <w:t>GLOBALE</w:t>
      </w:r>
      <w:r>
        <w:rPr>
          <w:rFonts w:ascii="Lucida Sans Unicode" w:hAnsi="Lucida Sans Unicode"/>
          <w:color w:val="6D6E71"/>
          <w:spacing w:val="-11"/>
          <w:w w:val="90"/>
          <w:sz w:val="14"/>
        </w:rPr>
        <w:t> </w:t>
      </w:r>
      <w:r>
        <w:rPr>
          <w:rFonts w:ascii="Lucida Sans Unicode" w:hAnsi="Lucida Sans Unicode"/>
          <w:color w:val="6D6E71"/>
          <w:w w:val="90"/>
          <w:sz w:val="14"/>
        </w:rPr>
        <w:t>NEL</w:t>
      </w:r>
      <w:r>
        <w:rPr>
          <w:rFonts w:ascii="Lucida Sans Unicode" w:hAnsi="Lucida Sans Unicode"/>
          <w:color w:val="6D6E71"/>
          <w:spacing w:val="-11"/>
          <w:w w:val="90"/>
          <w:sz w:val="14"/>
        </w:rPr>
        <w:t> </w:t>
      </w:r>
      <w:r>
        <w:rPr>
          <w:rFonts w:ascii="Lucida Sans Unicode" w:hAnsi="Lucida Sans Unicode"/>
          <w:color w:val="6D6E71"/>
          <w:w w:val="90"/>
          <w:sz w:val="14"/>
        </w:rPr>
        <w:t>DIBATTITO</w:t>
      </w:r>
      <w:r>
        <w:rPr>
          <w:rFonts w:ascii="Lucida Sans Unicode" w:hAnsi="Lucida Sans Unicode"/>
          <w:color w:val="6D6E71"/>
          <w:spacing w:val="-11"/>
          <w:w w:val="90"/>
          <w:sz w:val="14"/>
        </w:rPr>
        <w:t> </w:t>
      </w:r>
      <w:r>
        <w:rPr>
          <w:rFonts w:ascii="Lucida Sans Unicode" w:hAnsi="Lucida Sans Unicode"/>
          <w:color w:val="6D6E71"/>
          <w:w w:val="90"/>
          <w:sz w:val="14"/>
        </w:rPr>
        <w:t>SUL</w:t>
      </w:r>
    </w:p>
    <w:p>
      <w:pPr>
        <w:spacing w:line="198" w:lineRule="exact" w:before="0"/>
        <w:ind w:left="3896" w:right="-13" w:firstLine="0"/>
        <w:jc w:val="left"/>
        <w:rPr>
          <w:rFonts w:ascii="Lucida Sans Unicode" w:hAnsi="Lucida Sans Unicode"/>
          <w:sz w:val="14"/>
        </w:rPr>
      </w:pPr>
      <w:r>
        <w:rPr>
          <w:rFonts w:ascii="Lucida Sans Unicode" w:hAnsi="Lucida Sans Unicode"/>
          <w:color w:val="6D6E71"/>
          <w:w w:val="85"/>
          <w:sz w:val="14"/>
        </w:rPr>
        <w:t>“NUOVO  INTERVENTISMO  UMANITARIO”</w:t>
      </w:r>
    </w:p>
    <w:p>
      <w:pPr>
        <w:spacing w:before="59"/>
        <w:ind w:left="338" w:right="0" w:firstLine="0"/>
        <w:jc w:val="left"/>
        <w:rPr>
          <w:rFonts w:ascii="Trebuchet MS"/>
          <w:sz w:val="20"/>
        </w:rPr>
      </w:pPr>
      <w:r>
        <w:rPr/>
        <w:br w:type="column"/>
      </w:r>
      <w:r>
        <w:rPr>
          <w:rFonts w:ascii="Trebuchet MS"/>
          <w:color w:val="414042"/>
          <w:w w:val="105"/>
          <w:sz w:val="20"/>
        </w:rPr>
        <w:t>143</w:t>
      </w:r>
    </w:p>
    <w:p>
      <w:pPr>
        <w:spacing w:after="0"/>
        <w:jc w:val="left"/>
        <w:rPr>
          <w:rFonts w:ascii="Trebuchet MS"/>
          <w:sz w:val="20"/>
        </w:rPr>
        <w:sectPr>
          <w:type w:val="continuous"/>
          <w:pgSz w:w="9640" w:h="13890"/>
          <w:pgMar w:top="0" w:bottom="0" w:left="1300" w:right="1200"/>
          <w:cols w:num="2" w:equalWidth="0">
            <w:col w:w="6261" w:space="40"/>
            <w:col w:w="839"/>
          </w:cols>
        </w:sectPr>
      </w:pPr>
    </w:p>
    <w:p>
      <w:pPr>
        <w:pStyle w:val="BodyText"/>
        <w:rPr>
          <w:rFonts w:ascii="Trebuchet MS"/>
          <w:sz w:val="20"/>
        </w:rPr>
      </w:pPr>
    </w:p>
    <w:p>
      <w:pPr>
        <w:pStyle w:val="BodyText"/>
        <w:spacing w:before="2"/>
        <w:rPr>
          <w:rFonts w:ascii="Trebuchet MS"/>
          <w:sz w:val="16"/>
        </w:rPr>
      </w:pPr>
    </w:p>
    <w:p>
      <w:pPr>
        <w:pStyle w:val="BodyText"/>
        <w:spacing w:line="247" w:lineRule="auto" w:before="44"/>
        <w:ind w:left="117" w:right="98"/>
        <w:jc w:val="both"/>
      </w:pPr>
      <w:r>
        <w:rPr>
          <w:color w:val="231F20"/>
          <w:w w:val="105"/>
        </w:rPr>
        <w:t>sé</w:t>
      </w:r>
      <w:r>
        <w:rPr>
          <w:color w:val="231F20"/>
          <w:spacing w:val="-35"/>
          <w:w w:val="105"/>
        </w:rPr>
        <w:t> </w:t>
      </w:r>
      <w:r>
        <w:rPr>
          <w:color w:val="231F20"/>
          <w:w w:val="105"/>
        </w:rPr>
        <w:t>ben</w:t>
      </w:r>
      <w:r>
        <w:rPr>
          <w:color w:val="231F20"/>
          <w:spacing w:val="-35"/>
          <w:w w:val="105"/>
        </w:rPr>
        <w:t> </w:t>
      </w:r>
      <w:r>
        <w:rPr>
          <w:color w:val="231F20"/>
          <w:w w:val="105"/>
        </w:rPr>
        <w:t>poco</w:t>
      </w:r>
      <w:r>
        <w:rPr>
          <w:color w:val="231F20"/>
          <w:spacing w:val="-35"/>
          <w:w w:val="105"/>
        </w:rPr>
        <w:t> </w:t>
      </w:r>
      <w:r>
        <w:rPr>
          <w:color w:val="231F20"/>
          <w:w w:val="105"/>
        </w:rPr>
        <w:t>idealistico—</w:t>
      </w:r>
      <w:r>
        <w:rPr>
          <w:color w:val="231F20"/>
          <w:spacing w:val="-35"/>
          <w:w w:val="105"/>
        </w:rPr>
        <w:t> </w:t>
      </w:r>
      <w:r>
        <w:rPr>
          <w:color w:val="231F20"/>
          <w:w w:val="105"/>
        </w:rPr>
        <w:t>delle</w:t>
      </w:r>
      <w:r>
        <w:rPr>
          <w:color w:val="231F20"/>
          <w:spacing w:val="-35"/>
          <w:w w:val="105"/>
        </w:rPr>
        <w:t> </w:t>
      </w:r>
      <w:r>
        <w:rPr>
          <w:color w:val="231F20"/>
          <w:w w:val="105"/>
        </w:rPr>
        <w:t>relazioni</w:t>
      </w:r>
      <w:r>
        <w:rPr>
          <w:color w:val="231F20"/>
          <w:spacing w:val="-35"/>
          <w:w w:val="105"/>
        </w:rPr>
        <w:t> </w:t>
      </w:r>
      <w:r>
        <w:rPr>
          <w:color w:val="231F20"/>
          <w:w w:val="105"/>
        </w:rPr>
        <w:t>interstatuali:</w:t>
      </w:r>
      <w:r>
        <w:rPr>
          <w:color w:val="231F20"/>
          <w:spacing w:val="-35"/>
          <w:w w:val="105"/>
        </w:rPr>
        <w:t> </w:t>
      </w:r>
      <w:r>
        <w:rPr>
          <w:color w:val="231F20"/>
          <w:w w:val="105"/>
        </w:rPr>
        <w:t>“Chi</w:t>
      </w:r>
      <w:r>
        <w:rPr>
          <w:color w:val="231F20"/>
          <w:spacing w:val="-35"/>
          <w:w w:val="105"/>
        </w:rPr>
        <w:t> </w:t>
      </w:r>
      <w:r>
        <w:rPr>
          <w:color w:val="231F20"/>
          <w:w w:val="105"/>
        </w:rPr>
        <w:t>parla</w:t>
      </w:r>
      <w:r>
        <w:rPr>
          <w:color w:val="231F20"/>
          <w:spacing w:val="-35"/>
          <w:w w:val="105"/>
        </w:rPr>
        <w:t> </w:t>
      </w:r>
      <w:r>
        <w:rPr>
          <w:color w:val="231F20"/>
          <w:w w:val="105"/>
        </w:rPr>
        <w:t>di</w:t>
      </w:r>
      <w:r>
        <w:rPr>
          <w:color w:val="231F20"/>
          <w:spacing w:val="-35"/>
          <w:w w:val="105"/>
        </w:rPr>
        <w:t> </w:t>
      </w:r>
      <w:r>
        <w:rPr>
          <w:color w:val="231F20"/>
          <w:w w:val="105"/>
        </w:rPr>
        <w:t>umanità, vuol</w:t>
      </w:r>
      <w:r>
        <w:rPr>
          <w:color w:val="231F20"/>
          <w:spacing w:val="-35"/>
          <w:w w:val="105"/>
        </w:rPr>
        <w:t> </w:t>
      </w:r>
      <w:r>
        <w:rPr>
          <w:color w:val="231F20"/>
          <w:w w:val="105"/>
        </w:rPr>
        <w:t>trarvi</w:t>
      </w:r>
      <w:r>
        <w:rPr>
          <w:color w:val="231F20"/>
          <w:spacing w:val="-35"/>
          <w:w w:val="105"/>
        </w:rPr>
        <w:t> </w:t>
      </w:r>
      <w:r>
        <w:rPr>
          <w:color w:val="231F20"/>
          <w:w w:val="105"/>
        </w:rPr>
        <w:t>in</w:t>
      </w:r>
      <w:r>
        <w:rPr>
          <w:color w:val="231F20"/>
          <w:spacing w:val="-35"/>
          <w:w w:val="105"/>
        </w:rPr>
        <w:t> </w:t>
      </w:r>
      <w:r>
        <w:rPr>
          <w:color w:val="231F20"/>
          <w:w w:val="105"/>
        </w:rPr>
        <w:t>inganno”</w:t>
      </w:r>
      <w:r>
        <w:rPr>
          <w:color w:val="231F20"/>
          <w:w w:val="105"/>
          <w:position w:val="7"/>
          <w:sz w:val="12"/>
        </w:rPr>
        <w:t>49</w:t>
      </w:r>
      <w:r>
        <w:rPr>
          <w:color w:val="231F20"/>
          <w:w w:val="105"/>
        </w:rPr>
        <w:t>.</w:t>
      </w:r>
      <w:r>
        <w:rPr>
          <w:color w:val="231F20"/>
          <w:spacing w:val="-35"/>
          <w:w w:val="105"/>
        </w:rPr>
        <w:t> </w:t>
      </w:r>
      <w:r>
        <w:rPr>
          <w:color w:val="231F20"/>
          <w:w w:val="105"/>
        </w:rPr>
        <w:t>Secondo</w:t>
      </w:r>
      <w:r>
        <w:rPr>
          <w:color w:val="231F20"/>
          <w:spacing w:val="-35"/>
          <w:w w:val="105"/>
        </w:rPr>
        <w:t> </w:t>
      </w:r>
      <w:r>
        <w:rPr>
          <w:color w:val="231F20"/>
          <w:w w:val="105"/>
        </w:rPr>
        <w:t>questa</w:t>
      </w:r>
      <w:r>
        <w:rPr>
          <w:color w:val="231F20"/>
          <w:spacing w:val="-35"/>
          <w:w w:val="105"/>
        </w:rPr>
        <w:t> </w:t>
      </w:r>
      <w:r>
        <w:rPr>
          <w:color w:val="231F20"/>
          <w:w w:val="105"/>
        </w:rPr>
        <w:t>impostazione,</w:t>
      </w:r>
      <w:r>
        <w:rPr>
          <w:color w:val="231F20"/>
          <w:spacing w:val="-35"/>
          <w:w w:val="105"/>
        </w:rPr>
        <w:t> </w:t>
      </w:r>
      <w:r>
        <w:rPr>
          <w:color w:val="231F20"/>
          <w:w w:val="105"/>
        </w:rPr>
        <w:t>la</w:t>
      </w:r>
      <w:r>
        <w:rPr>
          <w:color w:val="231F20"/>
          <w:spacing w:val="-35"/>
          <w:w w:val="105"/>
        </w:rPr>
        <w:t> </w:t>
      </w:r>
      <w:r>
        <w:rPr>
          <w:color w:val="231F20"/>
          <w:w w:val="105"/>
        </w:rPr>
        <w:t>qualificazione</w:t>
      </w:r>
      <w:r>
        <w:rPr>
          <w:color w:val="231F20"/>
          <w:spacing w:val="-35"/>
          <w:w w:val="105"/>
        </w:rPr>
        <w:t> </w:t>
      </w:r>
      <w:r>
        <w:rPr>
          <w:color w:val="231F20"/>
          <w:w w:val="105"/>
        </w:rPr>
        <w:t>di un’azione</w:t>
      </w:r>
      <w:r>
        <w:rPr>
          <w:color w:val="231F20"/>
          <w:spacing w:val="-10"/>
          <w:w w:val="105"/>
        </w:rPr>
        <w:t> </w:t>
      </w:r>
      <w:r>
        <w:rPr>
          <w:color w:val="231F20"/>
          <w:w w:val="105"/>
        </w:rPr>
        <w:t>bellica</w:t>
      </w:r>
      <w:r>
        <w:rPr>
          <w:color w:val="231F20"/>
          <w:spacing w:val="-10"/>
          <w:w w:val="105"/>
        </w:rPr>
        <w:t> </w:t>
      </w:r>
      <w:r>
        <w:rPr>
          <w:color w:val="231F20"/>
          <w:w w:val="105"/>
        </w:rPr>
        <w:t>come</w:t>
      </w:r>
      <w:r>
        <w:rPr>
          <w:color w:val="231F20"/>
          <w:spacing w:val="-10"/>
          <w:w w:val="105"/>
        </w:rPr>
        <w:t> </w:t>
      </w:r>
      <w:r>
        <w:rPr>
          <w:color w:val="231F20"/>
          <w:w w:val="105"/>
        </w:rPr>
        <w:t>“intervento</w:t>
      </w:r>
      <w:r>
        <w:rPr>
          <w:color w:val="231F20"/>
          <w:spacing w:val="-10"/>
          <w:w w:val="105"/>
        </w:rPr>
        <w:t> </w:t>
      </w:r>
      <w:r>
        <w:rPr>
          <w:color w:val="231F20"/>
          <w:w w:val="105"/>
        </w:rPr>
        <w:t>umanitario”</w:t>
      </w:r>
      <w:r>
        <w:rPr>
          <w:color w:val="231F20"/>
          <w:spacing w:val="-10"/>
          <w:w w:val="105"/>
        </w:rPr>
        <w:t> </w:t>
      </w:r>
      <w:r>
        <w:rPr>
          <w:color w:val="231F20"/>
          <w:w w:val="105"/>
        </w:rPr>
        <w:t>è</w:t>
      </w:r>
      <w:r>
        <w:rPr>
          <w:color w:val="231F20"/>
          <w:spacing w:val="-10"/>
          <w:w w:val="105"/>
        </w:rPr>
        <w:t> </w:t>
      </w:r>
      <w:r>
        <w:rPr>
          <w:color w:val="231F20"/>
          <w:w w:val="105"/>
        </w:rPr>
        <w:t>un</w:t>
      </w:r>
      <w:r>
        <w:rPr>
          <w:color w:val="231F20"/>
          <w:spacing w:val="-10"/>
          <w:w w:val="105"/>
        </w:rPr>
        <w:t> </w:t>
      </w:r>
      <w:r>
        <w:rPr>
          <w:color w:val="231F20"/>
          <w:w w:val="105"/>
        </w:rPr>
        <w:t>“tipico</w:t>
      </w:r>
      <w:r>
        <w:rPr>
          <w:color w:val="231F20"/>
          <w:spacing w:val="-10"/>
          <w:w w:val="105"/>
        </w:rPr>
        <w:t> </w:t>
      </w:r>
      <w:r>
        <w:rPr>
          <w:color w:val="231F20"/>
          <w:w w:val="105"/>
        </w:rPr>
        <w:t>strumento</w:t>
      </w:r>
      <w:r>
        <w:rPr>
          <w:color w:val="231F20"/>
          <w:spacing w:val="-10"/>
          <w:w w:val="105"/>
        </w:rPr>
        <w:t> </w:t>
      </w:r>
      <w:r>
        <w:rPr>
          <w:color w:val="231F20"/>
          <w:w w:val="105"/>
        </w:rPr>
        <w:t>di auto-legittimazione</w:t>
      </w:r>
      <w:r>
        <w:rPr>
          <w:color w:val="231F20"/>
          <w:spacing w:val="-24"/>
          <w:w w:val="105"/>
        </w:rPr>
        <w:t> </w:t>
      </w:r>
      <w:r>
        <w:rPr>
          <w:color w:val="231F20"/>
          <w:w w:val="105"/>
        </w:rPr>
        <w:t>della</w:t>
      </w:r>
      <w:r>
        <w:rPr>
          <w:color w:val="231F20"/>
          <w:spacing w:val="-24"/>
          <w:w w:val="105"/>
        </w:rPr>
        <w:t> </w:t>
      </w:r>
      <w:r>
        <w:rPr>
          <w:color w:val="231F20"/>
          <w:w w:val="105"/>
        </w:rPr>
        <w:t>guerra</w:t>
      </w:r>
      <w:r>
        <w:rPr>
          <w:color w:val="231F20"/>
          <w:spacing w:val="-24"/>
          <w:w w:val="105"/>
        </w:rPr>
        <w:t> </w:t>
      </w:r>
      <w:r>
        <w:rPr>
          <w:color w:val="231F20"/>
          <w:w w:val="105"/>
        </w:rPr>
        <w:t>da</w:t>
      </w:r>
      <w:r>
        <w:rPr>
          <w:color w:val="231F20"/>
          <w:spacing w:val="-24"/>
          <w:w w:val="105"/>
        </w:rPr>
        <w:t> </w:t>
      </w:r>
      <w:r>
        <w:rPr>
          <w:color w:val="231F20"/>
          <w:w w:val="105"/>
        </w:rPr>
        <w:t>parte</w:t>
      </w:r>
      <w:r>
        <w:rPr>
          <w:color w:val="231F20"/>
          <w:spacing w:val="-24"/>
          <w:w w:val="105"/>
        </w:rPr>
        <w:t> </w:t>
      </w:r>
      <w:r>
        <w:rPr>
          <w:color w:val="231F20"/>
          <w:w w:val="105"/>
        </w:rPr>
        <w:t>di</w:t>
      </w:r>
      <w:r>
        <w:rPr>
          <w:color w:val="231F20"/>
          <w:spacing w:val="-24"/>
          <w:w w:val="105"/>
        </w:rPr>
        <w:t> </w:t>
      </w:r>
      <w:r>
        <w:rPr>
          <w:color w:val="231F20"/>
          <w:w w:val="105"/>
        </w:rPr>
        <w:t>chi</w:t>
      </w:r>
      <w:r>
        <w:rPr>
          <w:color w:val="231F20"/>
          <w:spacing w:val="-24"/>
          <w:w w:val="105"/>
        </w:rPr>
        <w:t> </w:t>
      </w:r>
      <w:r>
        <w:rPr>
          <w:color w:val="231F20"/>
          <w:w w:val="105"/>
        </w:rPr>
        <w:t>la</w:t>
      </w:r>
      <w:r>
        <w:rPr>
          <w:color w:val="231F20"/>
          <w:spacing w:val="-24"/>
          <w:w w:val="105"/>
        </w:rPr>
        <w:t> </w:t>
      </w:r>
      <w:r>
        <w:rPr>
          <w:color w:val="231F20"/>
          <w:w w:val="105"/>
        </w:rPr>
        <w:t>sta</w:t>
      </w:r>
      <w:r>
        <w:rPr>
          <w:color w:val="231F20"/>
          <w:spacing w:val="-24"/>
          <w:w w:val="105"/>
        </w:rPr>
        <w:t> </w:t>
      </w:r>
      <w:r>
        <w:rPr>
          <w:color w:val="231F20"/>
          <w:w w:val="105"/>
        </w:rPr>
        <w:t>combattendo”:</w:t>
      </w:r>
      <w:r>
        <w:rPr>
          <w:color w:val="231F20"/>
          <w:spacing w:val="-24"/>
          <w:w w:val="105"/>
        </w:rPr>
        <w:t> </w:t>
      </w:r>
      <w:r>
        <w:rPr>
          <w:color w:val="231F20"/>
          <w:w w:val="105"/>
        </w:rPr>
        <w:t>essa corrisponde,</w:t>
      </w:r>
      <w:r>
        <w:rPr>
          <w:color w:val="231F20"/>
          <w:spacing w:val="-49"/>
          <w:w w:val="105"/>
        </w:rPr>
        <w:t> </w:t>
      </w:r>
      <w:r>
        <w:rPr>
          <w:color w:val="231F20"/>
          <w:w w:val="105"/>
        </w:rPr>
        <w:t>cioè,</w:t>
      </w:r>
      <w:r>
        <w:rPr>
          <w:color w:val="231F20"/>
          <w:spacing w:val="-49"/>
          <w:w w:val="105"/>
        </w:rPr>
        <w:t> </w:t>
      </w:r>
      <w:r>
        <w:rPr>
          <w:color w:val="231F20"/>
          <w:w w:val="105"/>
        </w:rPr>
        <w:t>“alla</w:t>
      </w:r>
      <w:r>
        <w:rPr>
          <w:color w:val="231F20"/>
          <w:spacing w:val="-49"/>
          <w:w w:val="105"/>
        </w:rPr>
        <w:t> </w:t>
      </w:r>
      <w:r>
        <w:rPr>
          <w:color w:val="231F20"/>
          <w:w w:val="105"/>
        </w:rPr>
        <w:t>tradizionale</w:t>
      </w:r>
      <w:r>
        <w:rPr>
          <w:color w:val="231F20"/>
          <w:spacing w:val="-49"/>
          <w:w w:val="105"/>
        </w:rPr>
        <w:t> </w:t>
      </w:r>
      <w:r>
        <w:rPr>
          <w:color w:val="231F20"/>
          <w:w w:val="105"/>
        </w:rPr>
        <w:t>necessità</w:t>
      </w:r>
      <w:r>
        <w:rPr>
          <w:color w:val="231F20"/>
          <w:spacing w:val="-49"/>
          <w:w w:val="105"/>
        </w:rPr>
        <w:t> </w:t>
      </w:r>
      <w:r>
        <w:rPr>
          <w:color w:val="231F20"/>
          <w:w w:val="105"/>
        </w:rPr>
        <w:t>di</w:t>
      </w:r>
      <w:r>
        <w:rPr>
          <w:color w:val="231F20"/>
          <w:spacing w:val="-49"/>
          <w:w w:val="105"/>
        </w:rPr>
        <w:t> </w:t>
      </w:r>
      <w:r>
        <w:rPr>
          <w:color w:val="231F20"/>
          <w:spacing w:val="-3"/>
          <w:w w:val="105"/>
        </w:rPr>
        <w:t>legittimare</w:t>
      </w:r>
      <w:r>
        <w:rPr>
          <w:color w:val="231F20"/>
          <w:spacing w:val="-49"/>
          <w:w w:val="105"/>
        </w:rPr>
        <w:t> </w:t>
      </w:r>
      <w:r>
        <w:rPr>
          <w:color w:val="231F20"/>
          <w:w w:val="105"/>
        </w:rPr>
        <w:t>la</w:t>
      </w:r>
      <w:r>
        <w:rPr>
          <w:color w:val="231F20"/>
          <w:spacing w:val="-49"/>
          <w:w w:val="105"/>
        </w:rPr>
        <w:t> </w:t>
      </w:r>
      <w:r>
        <w:rPr>
          <w:color w:val="231F20"/>
          <w:spacing w:val="-3"/>
          <w:w w:val="105"/>
        </w:rPr>
        <w:t>propria</w:t>
      </w:r>
      <w:r>
        <w:rPr>
          <w:color w:val="231F20"/>
          <w:spacing w:val="-49"/>
          <w:w w:val="105"/>
        </w:rPr>
        <w:t> </w:t>
      </w:r>
      <w:r>
        <w:rPr>
          <w:color w:val="231F20"/>
          <w:spacing w:val="-2"/>
          <w:w w:val="105"/>
        </w:rPr>
        <w:t>guerra </w:t>
      </w:r>
      <w:r>
        <w:rPr>
          <w:color w:val="231F20"/>
          <w:w w:val="105"/>
        </w:rPr>
        <w:t>come</w:t>
      </w:r>
      <w:r>
        <w:rPr>
          <w:color w:val="231F20"/>
          <w:spacing w:val="-36"/>
          <w:w w:val="105"/>
        </w:rPr>
        <w:t> </w:t>
      </w:r>
      <w:r>
        <w:rPr>
          <w:rFonts w:ascii="Arial" w:hAnsi="Arial"/>
          <w:i/>
          <w:color w:val="231F20"/>
          <w:w w:val="105"/>
        </w:rPr>
        <w:t>iustum</w:t>
      </w:r>
      <w:r>
        <w:rPr>
          <w:rFonts w:ascii="Arial" w:hAnsi="Arial"/>
          <w:i/>
          <w:color w:val="231F20"/>
          <w:spacing w:val="-29"/>
          <w:w w:val="105"/>
        </w:rPr>
        <w:t> </w:t>
      </w:r>
      <w:r>
        <w:rPr>
          <w:rFonts w:ascii="Arial" w:hAnsi="Arial"/>
          <w:i/>
          <w:color w:val="231F20"/>
          <w:w w:val="105"/>
        </w:rPr>
        <w:t>bellum</w:t>
      </w:r>
      <w:r>
        <w:rPr>
          <w:rFonts w:ascii="Arial" w:hAnsi="Arial"/>
          <w:i/>
          <w:color w:val="231F20"/>
          <w:spacing w:val="-29"/>
          <w:w w:val="105"/>
        </w:rPr>
        <w:t> </w:t>
      </w:r>
      <w:r>
        <w:rPr>
          <w:color w:val="231F20"/>
          <w:w w:val="105"/>
        </w:rPr>
        <w:t>e</w:t>
      </w:r>
      <w:r>
        <w:rPr>
          <w:color w:val="231F20"/>
          <w:spacing w:val="-36"/>
          <w:w w:val="105"/>
        </w:rPr>
        <w:t> </w:t>
      </w:r>
      <w:r>
        <w:rPr>
          <w:color w:val="231F20"/>
          <w:w w:val="105"/>
        </w:rPr>
        <w:t>di</w:t>
      </w:r>
      <w:r>
        <w:rPr>
          <w:color w:val="231F20"/>
          <w:spacing w:val="-36"/>
          <w:w w:val="105"/>
        </w:rPr>
        <w:t> </w:t>
      </w:r>
      <w:r>
        <w:rPr>
          <w:color w:val="231F20"/>
          <w:w w:val="105"/>
        </w:rPr>
        <w:t>bollare</w:t>
      </w:r>
      <w:r>
        <w:rPr>
          <w:color w:val="231F20"/>
          <w:spacing w:val="-36"/>
          <w:w w:val="105"/>
        </w:rPr>
        <w:t> </w:t>
      </w:r>
      <w:r>
        <w:rPr>
          <w:color w:val="231F20"/>
          <w:w w:val="105"/>
        </w:rPr>
        <w:t>il</w:t>
      </w:r>
      <w:r>
        <w:rPr>
          <w:color w:val="231F20"/>
          <w:spacing w:val="-36"/>
          <w:w w:val="105"/>
        </w:rPr>
        <w:t> </w:t>
      </w:r>
      <w:r>
        <w:rPr>
          <w:color w:val="231F20"/>
          <w:w w:val="105"/>
        </w:rPr>
        <w:t>proprio</w:t>
      </w:r>
      <w:r>
        <w:rPr>
          <w:color w:val="231F20"/>
          <w:spacing w:val="-36"/>
          <w:w w:val="105"/>
        </w:rPr>
        <w:t> </w:t>
      </w:r>
      <w:r>
        <w:rPr>
          <w:color w:val="231F20"/>
          <w:w w:val="105"/>
        </w:rPr>
        <w:t>avversario</w:t>
      </w:r>
      <w:r>
        <w:rPr>
          <w:color w:val="231F20"/>
          <w:spacing w:val="-36"/>
          <w:w w:val="105"/>
        </w:rPr>
        <w:t> </w:t>
      </w:r>
      <w:r>
        <w:rPr>
          <w:color w:val="231F20"/>
          <w:w w:val="105"/>
        </w:rPr>
        <w:t>come</w:t>
      </w:r>
      <w:r>
        <w:rPr>
          <w:color w:val="231F20"/>
          <w:spacing w:val="-36"/>
          <w:w w:val="105"/>
        </w:rPr>
        <w:t> </w:t>
      </w:r>
      <w:r>
        <w:rPr>
          <w:rFonts w:ascii="Arial" w:hAnsi="Arial"/>
          <w:i/>
          <w:color w:val="231F20"/>
          <w:w w:val="105"/>
        </w:rPr>
        <w:t>iniustus</w:t>
      </w:r>
      <w:r>
        <w:rPr>
          <w:rFonts w:ascii="Arial" w:hAnsi="Arial"/>
          <w:i/>
          <w:color w:val="231F20"/>
          <w:spacing w:val="-29"/>
          <w:w w:val="105"/>
        </w:rPr>
        <w:t> </w:t>
      </w:r>
      <w:r>
        <w:rPr>
          <w:rFonts w:ascii="Arial" w:hAnsi="Arial"/>
          <w:i/>
          <w:color w:val="231F20"/>
          <w:w w:val="105"/>
        </w:rPr>
        <w:t>hostis</w:t>
      </w:r>
      <w:r>
        <w:rPr>
          <w:color w:val="231F20"/>
          <w:w w:val="105"/>
        </w:rPr>
        <w:t>”, con</w:t>
      </w:r>
      <w:r>
        <w:rPr>
          <w:color w:val="231F20"/>
          <w:spacing w:val="-5"/>
          <w:w w:val="105"/>
        </w:rPr>
        <w:t> </w:t>
      </w:r>
      <w:r>
        <w:rPr>
          <w:color w:val="231F20"/>
          <w:w w:val="105"/>
        </w:rPr>
        <w:t>tutte</w:t>
      </w:r>
      <w:r>
        <w:rPr>
          <w:color w:val="231F20"/>
          <w:spacing w:val="-5"/>
          <w:w w:val="105"/>
        </w:rPr>
        <w:t> </w:t>
      </w:r>
      <w:r>
        <w:rPr>
          <w:color w:val="231F20"/>
          <w:w w:val="105"/>
        </w:rPr>
        <w:t>le</w:t>
      </w:r>
      <w:r>
        <w:rPr>
          <w:color w:val="231F20"/>
          <w:spacing w:val="-5"/>
          <w:w w:val="105"/>
        </w:rPr>
        <w:t> </w:t>
      </w:r>
      <w:r>
        <w:rPr>
          <w:color w:val="231F20"/>
          <w:w w:val="105"/>
        </w:rPr>
        <w:t>conseguenze</w:t>
      </w:r>
      <w:r>
        <w:rPr>
          <w:color w:val="231F20"/>
          <w:spacing w:val="-5"/>
          <w:w w:val="105"/>
        </w:rPr>
        <w:t> </w:t>
      </w:r>
      <w:r>
        <w:rPr>
          <w:color w:val="231F20"/>
          <w:w w:val="105"/>
        </w:rPr>
        <w:t>del</w:t>
      </w:r>
      <w:r>
        <w:rPr>
          <w:color w:val="231F20"/>
          <w:spacing w:val="-5"/>
          <w:w w:val="105"/>
        </w:rPr>
        <w:t> </w:t>
      </w:r>
      <w:r>
        <w:rPr>
          <w:color w:val="231F20"/>
          <w:w w:val="105"/>
        </w:rPr>
        <w:t>caso</w:t>
      </w:r>
      <w:r>
        <w:rPr>
          <w:color w:val="231F20"/>
          <w:spacing w:val="-5"/>
          <w:w w:val="105"/>
        </w:rPr>
        <w:t> </w:t>
      </w:r>
      <w:r>
        <w:rPr>
          <w:color w:val="231F20"/>
          <w:w w:val="105"/>
        </w:rPr>
        <w:t>—in</w:t>
      </w:r>
      <w:r>
        <w:rPr>
          <w:color w:val="231F20"/>
          <w:spacing w:val="-5"/>
          <w:w w:val="105"/>
        </w:rPr>
        <w:t> </w:t>
      </w:r>
      <w:r>
        <w:rPr>
          <w:color w:val="231F20"/>
          <w:w w:val="105"/>
        </w:rPr>
        <w:t>tal</w:t>
      </w:r>
      <w:r>
        <w:rPr>
          <w:color w:val="231F20"/>
          <w:spacing w:val="-5"/>
          <w:w w:val="105"/>
        </w:rPr>
        <w:t> </w:t>
      </w:r>
      <w:r>
        <w:rPr>
          <w:color w:val="231F20"/>
          <w:w w:val="105"/>
        </w:rPr>
        <w:t>senso</w:t>
      </w:r>
      <w:r>
        <w:rPr>
          <w:color w:val="231F20"/>
          <w:spacing w:val="-5"/>
          <w:w w:val="105"/>
        </w:rPr>
        <w:t> </w:t>
      </w:r>
      <w:r>
        <w:rPr>
          <w:color w:val="231F20"/>
          <w:w w:val="105"/>
        </w:rPr>
        <w:t>è,</w:t>
      </w:r>
      <w:r>
        <w:rPr>
          <w:color w:val="231F20"/>
          <w:spacing w:val="-5"/>
          <w:w w:val="105"/>
        </w:rPr>
        <w:t> </w:t>
      </w:r>
      <w:r>
        <w:rPr>
          <w:color w:val="231F20"/>
          <w:w w:val="105"/>
        </w:rPr>
        <w:t>dunque,</w:t>
      </w:r>
      <w:r>
        <w:rPr>
          <w:color w:val="231F20"/>
          <w:spacing w:val="-5"/>
          <w:w w:val="105"/>
        </w:rPr>
        <w:t> </w:t>
      </w:r>
      <w:r>
        <w:rPr>
          <w:color w:val="231F20"/>
          <w:w w:val="105"/>
        </w:rPr>
        <w:t>“parte</w:t>
      </w:r>
      <w:r>
        <w:rPr>
          <w:color w:val="231F20"/>
          <w:spacing w:val="-5"/>
          <w:w w:val="105"/>
        </w:rPr>
        <w:t> </w:t>
      </w:r>
      <w:r>
        <w:rPr>
          <w:color w:val="231F20"/>
          <w:w w:val="105"/>
        </w:rPr>
        <w:t>della guerra</w:t>
      </w:r>
      <w:r>
        <w:rPr>
          <w:color w:val="231F20"/>
          <w:spacing w:val="-21"/>
          <w:w w:val="105"/>
        </w:rPr>
        <w:t> </w:t>
      </w:r>
      <w:r>
        <w:rPr>
          <w:color w:val="231F20"/>
          <w:w w:val="105"/>
        </w:rPr>
        <w:t>stessa”,</w:t>
      </w:r>
      <w:r>
        <w:rPr>
          <w:color w:val="231F20"/>
          <w:spacing w:val="-21"/>
          <w:w w:val="105"/>
        </w:rPr>
        <w:t> </w:t>
      </w:r>
      <w:r>
        <w:rPr>
          <w:color w:val="231F20"/>
          <w:w w:val="105"/>
        </w:rPr>
        <w:t>“uno</w:t>
      </w:r>
      <w:r>
        <w:rPr>
          <w:color w:val="231F20"/>
          <w:spacing w:val="-21"/>
          <w:w w:val="105"/>
        </w:rPr>
        <w:t> </w:t>
      </w:r>
      <w:r>
        <w:rPr>
          <w:color w:val="231F20"/>
          <w:w w:val="105"/>
        </w:rPr>
        <w:t>strumento</w:t>
      </w:r>
      <w:r>
        <w:rPr>
          <w:color w:val="231F20"/>
          <w:spacing w:val="-21"/>
          <w:w w:val="105"/>
        </w:rPr>
        <w:t> </w:t>
      </w:r>
      <w:r>
        <w:rPr>
          <w:color w:val="231F20"/>
          <w:w w:val="105"/>
        </w:rPr>
        <w:t>di</w:t>
      </w:r>
      <w:r>
        <w:rPr>
          <w:color w:val="231F20"/>
          <w:spacing w:val="-21"/>
          <w:w w:val="105"/>
        </w:rPr>
        <w:t> </w:t>
      </w:r>
      <w:r>
        <w:rPr>
          <w:color w:val="231F20"/>
          <w:w w:val="105"/>
        </w:rPr>
        <w:t>strategia</w:t>
      </w:r>
      <w:r>
        <w:rPr>
          <w:color w:val="231F20"/>
          <w:spacing w:val="-21"/>
          <w:w w:val="105"/>
        </w:rPr>
        <w:t> </w:t>
      </w:r>
      <w:r>
        <w:rPr>
          <w:color w:val="231F20"/>
          <w:w w:val="105"/>
        </w:rPr>
        <w:t>militare</w:t>
      </w:r>
      <w:r>
        <w:rPr>
          <w:color w:val="231F20"/>
          <w:spacing w:val="-21"/>
          <w:w w:val="105"/>
        </w:rPr>
        <w:t> </w:t>
      </w:r>
      <w:r>
        <w:rPr>
          <w:color w:val="231F20"/>
          <w:w w:val="105"/>
        </w:rPr>
        <w:t>diretto</w:t>
      </w:r>
      <w:r>
        <w:rPr>
          <w:color w:val="231F20"/>
          <w:spacing w:val="-21"/>
          <w:w w:val="105"/>
        </w:rPr>
        <w:t> </w:t>
      </w:r>
      <w:r>
        <w:rPr>
          <w:color w:val="231F20"/>
          <w:w w:val="105"/>
        </w:rPr>
        <w:t>ad</w:t>
      </w:r>
      <w:r>
        <w:rPr>
          <w:color w:val="231F20"/>
          <w:spacing w:val="-21"/>
          <w:w w:val="105"/>
        </w:rPr>
        <w:t> </w:t>
      </w:r>
      <w:r>
        <w:rPr>
          <w:color w:val="231F20"/>
          <w:w w:val="105"/>
        </w:rPr>
        <w:t>ottenere</w:t>
      </w:r>
      <w:r>
        <w:rPr>
          <w:color w:val="231F20"/>
          <w:spacing w:val="-21"/>
          <w:w w:val="105"/>
        </w:rPr>
        <w:t> </w:t>
      </w:r>
      <w:r>
        <w:rPr>
          <w:color w:val="231F20"/>
          <w:w w:val="105"/>
        </w:rPr>
        <w:t>la vittoria</w:t>
      </w:r>
      <w:r>
        <w:rPr>
          <w:color w:val="231F20"/>
          <w:spacing w:val="-9"/>
          <w:w w:val="105"/>
        </w:rPr>
        <w:t> </w:t>
      </w:r>
      <w:r>
        <w:rPr>
          <w:color w:val="231F20"/>
          <w:w w:val="105"/>
        </w:rPr>
        <w:t>sul</w:t>
      </w:r>
      <w:r>
        <w:rPr>
          <w:color w:val="231F20"/>
          <w:spacing w:val="-9"/>
          <w:w w:val="105"/>
        </w:rPr>
        <w:t> </w:t>
      </w:r>
      <w:r>
        <w:rPr>
          <w:color w:val="231F20"/>
          <w:w w:val="105"/>
        </w:rPr>
        <w:t>nemico”</w:t>
      </w:r>
      <w:r>
        <w:rPr>
          <w:color w:val="231F20"/>
          <w:w w:val="105"/>
          <w:position w:val="7"/>
          <w:sz w:val="12"/>
        </w:rPr>
        <w:t>50</w:t>
      </w:r>
      <w:r>
        <w:rPr>
          <w:color w:val="231F20"/>
          <w:w w:val="105"/>
        </w:rPr>
        <w:t>.</w:t>
      </w:r>
      <w:r>
        <w:rPr>
          <w:color w:val="231F20"/>
          <w:spacing w:val="-9"/>
          <w:w w:val="105"/>
        </w:rPr>
        <w:t> </w:t>
      </w:r>
      <w:r>
        <w:rPr>
          <w:color w:val="231F20"/>
          <w:w w:val="105"/>
        </w:rPr>
        <w:t>Di</w:t>
      </w:r>
      <w:r>
        <w:rPr>
          <w:color w:val="231F20"/>
          <w:spacing w:val="-9"/>
          <w:w w:val="105"/>
        </w:rPr>
        <w:t> </w:t>
      </w:r>
      <w:r>
        <w:rPr>
          <w:color w:val="231F20"/>
          <w:w w:val="105"/>
        </w:rPr>
        <w:t>più,</w:t>
      </w:r>
      <w:r>
        <w:rPr>
          <w:color w:val="231F20"/>
          <w:spacing w:val="-9"/>
          <w:w w:val="105"/>
        </w:rPr>
        <w:t> </w:t>
      </w:r>
      <w:r>
        <w:rPr>
          <w:color w:val="231F20"/>
          <w:w w:val="105"/>
        </w:rPr>
        <w:t>ciò</w:t>
      </w:r>
      <w:r>
        <w:rPr>
          <w:color w:val="231F20"/>
          <w:spacing w:val="-9"/>
          <w:w w:val="105"/>
        </w:rPr>
        <w:t> </w:t>
      </w:r>
      <w:r>
        <w:rPr>
          <w:color w:val="231F20"/>
          <w:w w:val="105"/>
        </w:rPr>
        <w:t>che</w:t>
      </w:r>
      <w:r>
        <w:rPr>
          <w:color w:val="231F20"/>
          <w:spacing w:val="-9"/>
          <w:w w:val="105"/>
        </w:rPr>
        <w:t> </w:t>
      </w:r>
      <w:r>
        <w:rPr>
          <w:color w:val="231F20"/>
          <w:w w:val="105"/>
        </w:rPr>
        <w:t>ci</w:t>
      </w:r>
      <w:r>
        <w:rPr>
          <w:color w:val="231F20"/>
          <w:spacing w:val="-9"/>
          <w:w w:val="105"/>
        </w:rPr>
        <w:t> </w:t>
      </w:r>
      <w:r>
        <w:rPr>
          <w:color w:val="231F20"/>
          <w:w w:val="105"/>
        </w:rPr>
        <w:t>troviamo</w:t>
      </w:r>
      <w:r>
        <w:rPr>
          <w:color w:val="231F20"/>
          <w:spacing w:val="-9"/>
          <w:w w:val="105"/>
        </w:rPr>
        <w:t> </w:t>
      </w:r>
      <w:r>
        <w:rPr>
          <w:color w:val="231F20"/>
          <w:w w:val="105"/>
        </w:rPr>
        <w:t>di</w:t>
      </w:r>
      <w:r>
        <w:rPr>
          <w:color w:val="231F20"/>
          <w:spacing w:val="-9"/>
          <w:w w:val="105"/>
        </w:rPr>
        <w:t> </w:t>
      </w:r>
      <w:r>
        <w:rPr>
          <w:color w:val="231F20"/>
          <w:w w:val="105"/>
        </w:rPr>
        <w:t>fronte</w:t>
      </w:r>
      <w:r>
        <w:rPr>
          <w:color w:val="231F20"/>
          <w:spacing w:val="-9"/>
          <w:w w:val="105"/>
        </w:rPr>
        <w:t> </w:t>
      </w:r>
      <w:r>
        <w:rPr>
          <w:color w:val="231F20"/>
          <w:w w:val="105"/>
        </w:rPr>
        <w:t>in</w:t>
      </w:r>
      <w:r>
        <w:rPr>
          <w:color w:val="231F20"/>
          <w:spacing w:val="-9"/>
          <w:w w:val="105"/>
        </w:rPr>
        <w:t> </w:t>
      </w:r>
      <w:r>
        <w:rPr>
          <w:color w:val="231F20"/>
          <w:w w:val="105"/>
        </w:rPr>
        <w:t>questo</w:t>
      </w:r>
      <w:r>
        <w:rPr>
          <w:color w:val="231F20"/>
          <w:spacing w:val="-9"/>
          <w:w w:val="105"/>
        </w:rPr>
        <w:t> </w:t>
      </w:r>
      <w:r>
        <w:rPr>
          <w:color w:val="231F20"/>
          <w:w w:val="105"/>
        </w:rPr>
        <w:t>caso è</w:t>
      </w:r>
      <w:r>
        <w:rPr>
          <w:color w:val="231F20"/>
          <w:spacing w:val="-17"/>
          <w:w w:val="105"/>
        </w:rPr>
        <w:t> </w:t>
      </w:r>
      <w:r>
        <w:rPr>
          <w:color w:val="231F20"/>
          <w:w w:val="105"/>
        </w:rPr>
        <w:t>il</w:t>
      </w:r>
      <w:r>
        <w:rPr>
          <w:color w:val="231F20"/>
          <w:spacing w:val="-17"/>
          <w:w w:val="105"/>
        </w:rPr>
        <w:t> </w:t>
      </w:r>
      <w:r>
        <w:rPr>
          <w:color w:val="231F20"/>
          <w:w w:val="105"/>
        </w:rPr>
        <w:t>tentativo</w:t>
      </w:r>
      <w:r>
        <w:rPr>
          <w:color w:val="231F20"/>
          <w:spacing w:val="-17"/>
          <w:w w:val="105"/>
        </w:rPr>
        <w:t> </w:t>
      </w:r>
      <w:r>
        <w:rPr>
          <w:color w:val="231F20"/>
          <w:w w:val="105"/>
        </w:rPr>
        <w:t>di</w:t>
      </w:r>
      <w:r>
        <w:rPr>
          <w:color w:val="231F20"/>
          <w:spacing w:val="-17"/>
          <w:w w:val="105"/>
        </w:rPr>
        <w:t> </w:t>
      </w:r>
      <w:r>
        <w:rPr>
          <w:color w:val="231F20"/>
          <w:w w:val="105"/>
        </w:rPr>
        <w:t>riclassificare</w:t>
      </w:r>
      <w:r>
        <w:rPr>
          <w:color w:val="231F20"/>
          <w:spacing w:val="-17"/>
          <w:w w:val="105"/>
        </w:rPr>
        <w:t> </w:t>
      </w:r>
      <w:r>
        <w:rPr>
          <w:color w:val="231F20"/>
          <w:w w:val="105"/>
        </w:rPr>
        <w:t>l’intero</w:t>
      </w:r>
      <w:r>
        <w:rPr>
          <w:color w:val="231F20"/>
          <w:spacing w:val="-17"/>
          <w:w w:val="105"/>
        </w:rPr>
        <w:t> </w:t>
      </w:r>
      <w:r>
        <w:rPr>
          <w:color w:val="231F20"/>
          <w:w w:val="105"/>
        </w:rPr>
        <w:t>universo</w:t>
      </w:r>
      <w:r>
        <w:rPr>
          <w:color w:val="231F20"/>
          <w:spacing w:val="-17"/>
          <w:w w:val="105"/>
        </w:rPr>
        <w:t> </w:t>
      </w:r>
      <w:r>
        <w:rPr>
          <w:color w:val="231F20"/>
          <w:w w:val="105"/>
        </w:rPr>
        <w:t>della</w:t>
      </w:r>
      <w:r>
        <w:rPr>
          <w:color w:val="231F20"/>
          <w:spacing w:val="-17"/>
          <w:w w:val="105"/>
        </w:rPr>
        <w:t> </w:t>
      </w:r>
      <w:r>
        <w:rPr>
          <w:color w:val="231F20"/>
          <w:w w:val="105"/>
        </w:rPr>
        <w:t>forza</w:t>
      </w:r>
      <w:r>
        <w:rPr>
          <w:color w:val="231F20"/>
          <w:spacing w:val="-17"/>
          <w:w w:val="105"/>
        </w:rPr>
        <w:t> </w:t>
      </w:r>
      <w:r>
        <w:rPr>
          <w:color w:val="231F20"/>
          <w:w w:val="105"/>
        </w:rPr>
        <w:t>militare</w:t>
      </w:r>
      <w:r>
        <w:rPr>
          <w:color w:val="231F20"/>
          <w:spacing w:val="-17"/>
          <w:w w:val="105"/>
        </w:rPr>
        <w:t> </w:t>
      </w:r>
      <w:r>
        <w:rPr>
          <w:color w:val="231F20"/>
          <w:w w:val="105"/>
        </w:rPr>
        <w:t>a</w:t>
      </w:r>
      <w:r>
        <w:rPr>
          <w:color w:val="231F20"/>
          <w:spacing w:val="-17"/>
          <w:w w:val="105"/>
        </w:rPr>
        <w:t> </w:t>
      </w:r>
      <w:r>
        <w:rPr>
          <w:color w:val="231F20"/>
          <w:w w:val="105"/>
        </w:rPr>
        <w:t>partire dalla</w:t>
      </w:r>
      <w:r>
        <w:rPr>
          <w:color w:val="231F20"/>
          <w:spacing w:val="-31"/>
          <w:w w:val="105"/>
        </w:rPr>
        <w:t> </w:t>
      </w:r>
      <w:r>
        <w:rPr>
          <w:color w:val="231F20"/>
          <w:w w:val="105"/>
        </w:rPr>
        <w:t>distinzione</w:t>
      </w:r>
      <w:r>
        <w:rPr>
          <w:color w:val="231F20"/>
          <w:spacing w:val="-31"/>
          <w:w w:val="105"/>
        </w:rPr>
        <w:t> </w:t>
      </w:r>
      <w:r>
        <w:rPr>
          <w:color w:val="231F20"/>
          <w:w w:val="105"/>
        </w:rPr>
        <w:t>—in</w:t>
      </w:r>
      <w:r>
        <w:rPr>
          <w:color w:val="231F20"/>
          <w:spacing w:val="-31"/>
          <w:w w:val="105"/>
        </w:rPr>
        <w:t> </w:t>
      </w:r>
      <w:r>
        <w:rPr>
          <w:color w:val="231F20"/>
          <w:w w:val="105"/>
        </w:rPr>
        <w:t>sé</w:t>
      </w:r>
      <w:r>
        <w:rPr>
          <w:color w:val="231F20"/>
          <w:spacing w:val="-31"/>
          <w:w w:val="105"/>
        </w:rPr>
        <w:t> </w:t>
      </w:r>
      <w:r>
        <w:rPr>
          <w:color w:val="231F20"/>
          <w:w w:val="105"/>
        </w:rPr>
        <w:t>del</w:t>
      </w:r>
      <w:r>
        <w:rPr>
          <w:color w:val="231F20"/>
          <w:spacing w:val="-31"/>
          <w:w w:val="105"/>
        </w:rPr>
        <w:t> </w:t>
      </w:r>
      <w:r>
        <w:rPr>
          <w:color w:val="231F20"/>
          <w:w w:val="105"/>
        </w:rPr>
        <w:t>tutto</w:t>
      </w:r>
      <w:r>
        <w:rPr>
          <w:color w:val="231F20"/>
          <w:spacing w:val="-31"/>
          <w:w w:val="105"/>
        </w:rPr>
        <w:t> </w:t>
      </w:r>
      <w:r>
        <w:rPr>
          <w:color w:val="231F20"/>
          <w:w w:val="105"/>
        </w:rPr>
        <w:t>arbitraria—</w:t>
      </w:r>
      <w:r>
        <w:rPr>
          <w:color w:val="231F20"/>
          <w:spacing w:val="-31"/>
          <w:w w:val="105"/>
        </w:rPr>
        <w:t> </w:t>
      </w:r>
      <w:r>
        <w:rPr>
          <w:color w:val="231F20"/>
          <w:w w:val="105"/>
        </w:rPr>
        <w:t>tra</w:t>
      </w:r>
      <w:r>
        <w:rPr>
          <w:color w:val="231F20"/>
          <w:spacing w:val="-31"/>
          <w:w w:val="105"/>
        </w:rPr>
        <w:t> </w:t>
      </w:r>
      <w:r>
        <w:rPr>
          <w:color w:val="231F20"/>
          <w:w w:val="105"/>
        </w:rPr>
        <w:t>atti</w:t>
      </w:r>
      <w:r>
        <w:rPr>
          <w:color w:val="231F20"/>
          <w:spacing w:val="-31"/>
          <w:w w:val="105"/>
        </w:rPr>
        <w:t> </w:t>
      </w:r>
      <w:r>
        <w:rPr>
          <w:color w:val="231F20"/>
          <w:w w:val="105"/>
        </w:rPr>
        <w:t>di</w:t>
      </w:r>
      <w:r>
        <w:rPr>
          <w:color w:val="231F20"/>
          <w:spacing w:val="-31"/>
          <w:w w:val="105"/>
        </w:rPr>
        <w:t> </w:t>
      </w:r>
      <w:r>
        <w:rPr>
          <w:color w:val="231F20"/>
          <w:w w:val="105"/>
        </w:rPr>
        <w:t>violenza</w:t>
      </w:r>
      <w:r>
        <w:rPr>
          <w:color w:val="231F20"/>
          <w:spacing w:val="-31"/>
          <w:w w:val="105"/>
        </w:rPr>
        <w:t> </w:t>
      </w:r>
      <w:r>
        <w:rPr>
          <w:color w:val="231F20"/>
          <w:w w:val="105"/>
        </w:rPr>
        <w:t>“criminale” e “disumana” e legittime misure coercitive, assimilabili a vere e proprie operazioni</w:t>
      </w:r>
      <w:r>
        <w:rPr>
          <w:color w:val="231F20"/>
          <w:spacing w:val="-49"/>
          <w:w w:val="105"/>
        </w:rPr>
        <w:t> </w:t>
      </w:r>
      <w:r>
        <w:rPr>
          <w:color w:val="231F20"/>
          <w:w w:val="105"/>
        </w:rPr>
        <w:t>di</w:t>
      </w:r>
      <w:r>
        <w:rPr>
          <w:color w:val="231F20"/>
          <w:spacing w:val="-49"/>
          <w:w w:val="105"/>
        </w:rPr>
        <w:t> </w:t>
      </w:r>
      <w:r>
        <w:rPr>
          <w:color w:val="231F20"/>
          <w:w w:val="105"/>
        </w:rPr>
        <w:t>“polizia</w:t>
      </w:r>
      <w:r>
        <w:rPr>
          <w:color w:val="231F20"/>
          <w:spacing w:val="-49"/>
          <w:w w:val="105"/>
        </w:rPr>
        <w:t> </w:t>
      </w:r>
      <w:r>
        <w:rPr>
          <w:color w:val="231F20"/>
          <w:w w:val="105"/>
        </w:rPr>
        <w:t>internazionale”</w:t>
      </w:r>
      <w:r>
        <w:rPr>
          <w:color w:val="231F20"/>
          <w:w w:val="105"/>
          <w:position w:val="7"/>
          <w:sz w:val="12"/>
        </w:rPr>
        <w:t>51</w:t>
      </w:r>
      <w:r>
        <w:rPr>
          <w:color w:val="231F20"/>
          <w:w w:val="105"/>
        </w:rPr>
        <w:t>:</w:t>
      </w:r>
      <w:r>
        <w:rPr>
          <w:color w:val="231F20"/>
          <w:spacing w:val="-49"/>
          <w:w w:val="105"/>
        </w:rPr>
        <w:t> </w:t>
      </w:r>
      <w:r>
        <w:rPr>
          <w:color w:val="231F20"/>
          <w:w w:val="105"/>
        </w:rPr>
        <w:t>un</w:t>
      </w:r>
      <w:r>
        <w:rPr>
          <w:color w:val="231F20"/>
          <w:spacing w:val="-49"/>
          <w:w w:val="105"/>
        </w:rPr>
        <w:t> </w:t>
      </w:r>
      <w:r>
        <w:rPr>
          <w:color w:val="231F20"/>
          <w:spacing w:val="-3"/>
          <w:w w:val="105"/>
        </w:rPr>
        <w:t>approccio</w:t>
      </w:r>
      <w:r>
        <w:rPr>
          <w:color w:val="231F20"/>
          <w:spacing w:val="-49"/>
          <w:w w:val="105"/>
        </w:rPr>
        <w:t> </w:t>
      </w:r>
      <w:r>
        <w:rPr>
          <w:color w:val="231F20"/>
          <w:w w:val="105"/>
        </w:rPr>
        <w:t>di</w:t>
      </w:r>
      <w:r>
        <w:rPr>
          <w:color w:val="231F20"/>
          <w:spacing w:val="-49"/>
          <w:w w:val="105"/>
        </w:rPr>
        <w:t> </w:t>
      </w:r>
      <w:r>
        <w:rPr>
          <w:color w:val="231F20"/>
          <w:w w:val="105"/>
        </w:rPr>
        <w:t>tipo</w:t>
      </w:r>
      <w:r>
        <w:rPr>
          <w:color w:val="231F20"/>
          <w:spacing w:val="-49"/>
          <w:w w:val="105"/>
        </w:rPr>
        <w:t> </w:t>
      </w:r>
      <w:r>
        <w:rPr>
          <w:color w:val="231F20"/>
          <w:w w:val="105"/>
        </w:rPr>
        <w:t>smaccatamente </w:t>
      </w:r>
      <w:r>
        <w:rPr>
          <w:rFonts w:ascii="Arial" w:hAnsi="Arial"/>
          <w:i/>
          <w:color w:val="231F20"/>
          <w:w w:val="105"/>
        </w:rPr>
        <w:t>imperiale</w:t>
      </w:r>
      <w:r>
        <w:rPr>
          <w:color w:val="231F20"/>
          <w:w w:val="105"/>
        </w:rPr>
        <w:t>,</w:t>
      </w:r>
      <w:r>
        <w:rPr>
          <w:color w:val="231F20"/>
          <w:spacing w:val="-31"/>
          <w:w w:val="105"/>
        </w:rPr>
        <w:t> </w:t>
      </w:r>
      <w:r>
        <w:rPr>
          <w:color w:val="231F20"/>
          <w:w w:val="105"/>
        </w:rPr>
        <w:t>in</w:t>
      </w:r>
      <w:r>
        <w:rPr>
          <w:color w:val="231F20"/>
          <w:spacing w:val="-31"/>
          <w:w w:val="105"/>
        </w:rPr>
        <w:t> </w:t>
      </w:r>
      <w:r>
        <w:rPr>
          <w:color w:val="231F20"/>
          <w:w w:val="105"/>
        </w:rPr>
        <w:t>cui</w:t>
      </w:r>
      <w:r>
        <w:rPr>
          <w:color w:val="231F20"/>
          <w:spacing w:val="-31"/>
          <w:w w:val="105"/>
        </w:rPr>
        <w:t> </w:t>
      </w:r>
      <w:r>
        <w:rPr>
          <w:color w:val="231F20"/>
          <w:w w:val="105"/>
        </w:rPr>
        <w:t>la</w:t>
      </w:r>
      <w:r>
        <w:rPr>
          <w:color w:val="231F20"/>
          <w:spacing w:val="-31"/>
          <w:w w:val="105"/>
        </w:rPr>
        <w:t> </w:t>
      </w:r>
      <w:r>
        <w:rPr>
          <w:color w:val="231F20"/>
          <w:w w:val="105"/>
        </w:rPr>
        <w:t>guerra</w:t>
      </w:r>
      <w:r>
        <w:rPr>
          <w:color w:val="231F20"/>
          <w:spacing w:val="-31"/>
          <w:w w:val="105"/>
        </w:rPr>
        <w:t> </w:t>
      </w:r>
      <w:r>
        <w:rPr>
          <w:color w:val="231F20"/>
          <w:w w:val="105"/>
        </w:rPr>
        <w:t>trova</w:t>
      </w:r>
      <w:r>
        <w:rPr>
          <w:color w:val="231F20"/>
          <w:spacing w:val="9"/>
          <w:w w:val="105"/>
        </w:rPr>
        <w:t> </w:t>
      </w:r>
      <w:r>
        <w:rPr>
          <w:color w:val="231F20"/>
          <w:w w:val="105"/>
        </w:rPr>
        <w:t>giustificazione</w:t>
      </w:r>
      <w:r>
        <w:rPr>
          <w:color w:val="231F20"/>
          <w:spacing w:val="-31"/>
          <w:w w:val="105"/>
        </w:rPr>
        <w:t> </w:t>
      </w:r>
      <w:r>
        <w:rPr>
          <w:color w:val="231F20"/>
          <w:w w:val="105"/>
        </w:rPr>
        <w:t>non</w:t>
      </w:r>
      <w:r>
        <w:rPr>
          <w:color w:val="231F20"/>
          <w:spacing w:val="-31"/>
          <w:w w:val="105"/>
        </w:rPr>
        <w:t> </w:t>
      </w:r>
      <w:r>
        <w:rPr>
          <w:color w:val="231F20"/>
          <w:w w:val="105"/>
        </w:rPr>
        <w:t>più</w:t>
      </w:r>
      <w:r>
        <w:rPr>
          <w:color w:val="231F20"/>
          <w:spacing w:val="-31"/>
          <w:w w:val="105"/>
        </w:rPr>
        <w:t> </w:t>
      </w:r>
      <w:r>
        <w:rPr>
          <w:color w:val="231F20"/>
          <w:w w:val="105"/>
        </w:rPr>
        <w:t>in</w:t>
      </w:r>
      <w:r>
        <w:rPr>
          <w:color w:val="231F20"/>
          <w:spacing w:val="-31"/>
          <w:w w:val="105"/>
        </w:rPr>
        <w:t> </w:t>
      </w:r>
      <w:r>
        <w:rPr>
          <w:color w:val="231F20"/>
          <w:w w:val="105"/>
        </w:rPr>
        <w:t>virtù</w:t>
      </w:r>
      <w:r>
        <w:rPr>
          <w:color w:val="231F20"/>
          <w:spacing w:val="-31"/>
          <w:w w:val="105"/>
        </w:rPr>
        <w:t> </w:t>
      </w:r>
      <w:r>
        <w:rPr>
          <w:color w:val="231F20"/>
          <w:w w:val="105"/>
        </w:rPr>
        <w:t>di</w:t>
      </w:r>
      <w:r>
        <w:rPr>
          <w:color w:val="231F20"/>
          <w:spacing w:val="-31"/>
          <w:w w:val="105"/>
        </w:rPr>
        <w:t> </w:t>
      </w:r>
      <w:r>
        <w:rPr>
          <w:color w:val="231F20"/>
          <w:w w:val="105"/>
        </w:rPr>
        <w:t>“interessi di</w:t>
      </w:r>
      <w:r>
        <w:rPr>
          <w:color w:val="231F20"/>
          <w:spacing w:val="-9"/>
          <w:w w:val="105"/>
        </w:rPr>
        <w:t> </w:t>
      </w:r>
      <w:r>
        <w:rPr>
          <w:color w:val="231F20"/>
          <w:w w:val="105"/>
        </w:rPr>
        <w:t>parte</w:t>
      </w:r>
      <w:r>
        <w:rPr>
          <w:color w:val="231F20"/>
          <w:spacing w:val="-9"/>
          <w:w w:val="105"/>
        </w:rPr>
        <w:t> </w:t>
      </w:r>
      <w:r>
        <w:rPr>
          <w:color w:val="231F20"/>
          <w:w w:val="105"/>
        </w:rPr>
        <w:t>o</w:t>
      </w:r>
      <w:r>
        <w:rPr>
          <w:color w:val="231F20"/>
          <w:spacing w:val="-9"/>
          <w:w w:val="105"/>
        </w:rPr>
        <w:t> </w:t>
      </w:r>
      <w:r>
        <w:rPr>
          <w:color w:val="231F20"/>
          <w:w w:val="105"/>
        </w:rPr>
        <w:t>di</w:t>
      </w:r>
      <w:r>
        <w:rPr>
          <w:color w:val="231F20"/>
          <w:spacing w:val="-9"/>
          <w:w w:val="105"/>
        </w:rPr>
        <w:t> </w:t>
      </w:r>
      <w:r>
        <w:rPr>
          <w:color w:val="231F20"/>
          <w:w w:val="105"/>
        </w:rPr>
        <w:t>obiettivi</w:t>
      </w:r>
      <w:r>
        <w:rPr>
          <w:color w:val="231F20"/>
          <w:spacing w:val="-9"/>
          <w:w w:val="105"/>
        </w:rPr>
        <w:t> </w:t>
      </w:r>
      <w:r>
        <w:rPr>
          <w:color w:val="231F20"/>
          <w:w w:val="105"/>
        </w:rPr>
        <w:t>particolari”,</w:t>
      </w:r>
      <w:r>
        <w:rPr>
          <w:color w:val="231F20"/>
          <w:spacing w:val="-9"/>
          <w:w w:val="105"/>
        </w:rPr>
        <w:t> </w:t>
      </w:r>
      <w:r>
        <w:rPr>
          <w:color w:val="231F20"/>
          <w:w w:val="105"/>
        </w:rPr>
        <w:t>ma</w:t>
      </w:r>
      <w:r>
        <w:rPr>
          <w:color w:val="231F20"/>
          <w:spacing w:val="-9"/>
          <w:w w:val="105"/>
        </w:rPr>
        <w:t> </w:t>
      </w:r>
      <w:r>
        <w:rPr>
          <w:color w:val="231F20"/>
          <w:w w:val="105"/>
        </w:rPr>
        <w:t>solo</w:t>
      </w:r>
      <w:r>
        <w:rPr>
          <w:color w:val="231F20"/>
          <w:spacing w:val="-9"/>
          <w:w w:val="105"/>
        </w:rPr>
        <w:t> </w:t>
      </w:r>
      <w:r>
        <w:rPr>
          <w:color w:val="231F20"/>
          <w:w w:val="105"/>
        </w:rPr>
        <w:t>“di</w:t>
      </w:r>
      <w:r>
        <w:rPr>
          <w:color w:val="231F20"/>
          <w:spacing w:val="-9"/>
          <w:w w:val="105"/>
        </w:rPr>
        <w:t> </w:t>
      </w:r>
      <w:r>
        <w:rPr>
          <w:color w:val="231F20"/>
          <w:w w:val="105"/>
        </w:rPr>
        <w:t>un</w:t>
      </w:r>
      <w:r>
        <w:rPr>
          <w:color w:val="231F20"/>
          <w:spacing w:val="-9"/>
          <w:w w:val="105"/>
        </w:rPr>
        <w:t> </w:t>
      </w:r>
      <w:r>
        <w:rPr>
          <w:color w:val="231F20"/>
          <w:w w:val="105"/>
        </w:rPr>
        <w:t>punto</w:t>
      </w:r>
      <w:r>
        <w:rPr>
          <w:color w:val="231F20"/>
          <w:spacing w:val="-9"/>
          <w:w w:val="105"/>
        </w:rPr>
        <w:t> </w:t>
      </w:r>
      <w:r>
        <w:rPr>
          <w:color w:val="231F20"/>
          <w:w w:val="105"/>
        </w:rPr>
        <w:t>di</w:t>
      </w:r>
      <w:r>
        <w:rPr>
          <w:color w:val="231F20"/>
          <w:spacing w:val="-9"/>
          <w:w w:val="105"/>
        </w:rPr>
        <w:t> </w:t>
      </w:r>
      <w:r>
        <w:rPr>
          <w:color w:val="231F20"/>
          <w:w w:val="105"/>
        </w:rPr>
        <w:t>vista</w:t>
      </w:r>
      <w:r>
        <w:rPr>
          <w:color w:val="231F20"/>
          <w:spacing w:val="-9"/>
          <w:w w:val="105"/>
        </w:rPr>
        <w:t> </w:t>
      </w:r>
      <w:r>
        <w:rPr>
          <w:color w:val="231F20"/>
          <w:w w:val="105"/>
        </w:rPr>
        <w:t>superiore e </w:t>
      </w:r>
      <w:r>
        <w:rPr>
          <w:color w:val="231F20"/>
          <w:spacing w:val="2"/>
          <w:w w:val="105"/>
        </w:rPr>
        <w:t>imparziale, </w:t>
      </w:r>
      <w:r>
        <w:rPr>
          <w:color w:val="231F20"/>
          <w:w w:val="105"/>
        </w:rPr>
        <w:t>in </w:t>
      </w:r>
      <w:r>
        <w:rPr>
          <w:color w:val="231F20"/>
          <w:spacing w:val="2"/>
          <w:w w:val="105"/>
        </w:rPr>
        <w:t>nome </w:t>
      </w:r>
      <w:r>
        <w:rPr>
          <w:color w:val="231F20"/>
          <w:w w:val="105"/>
        </w:rPr>
        <w:t>di </w:t>
      </w:r>
      <w:r>
        <w:rPr>
          <w:color w:val="231F20"/>
          <w:spacing w:val="2"/>
          <w:w w:val="105"/>
        </w:rPr>
        <w:t>valori </w:t>
      </w:r>
      <w:r>
        <w:rPr>
          <w:color w:val="231F20"/>
          <w:w w:val="105"/>
        </w:rPr>
        <w:t>che si </w:t>
      </w:r>
      <w:r>
        <w:rPr>
          <w:color w:val="231F20"/>
          <w:spacing w:val="2"/>
          <w:w w:val="105"/>
        </w:rPr>
        <w:t>ritengono condivisi </w:t>
      </w:r>
      <w:r>
        <w:rPr>
          <w:color w:val="231F20"/>
          <w:spacing w:val="3"/>
          <w:w w:val="105"/>
        </w:rPr>
        <w:t>dall’umanità </w:t>
      </w:r>
      <w:r>
        <w:rPr>
          <w:color w:val="231F20"/>
          <w:w w:val="105"/>
        </w:rPr>
        <w:t>intera”</w:t>
      </w:r>
      <w:r>
        <w:rPr>
          <w:color w:val="231F20"/>
          <w:spacing w:val="-27"/>
          <w:w w:val="105"/>
        </w:rPr>
        <w:t> </w:t>
      </w:r>
      <w:r>
        <w:rPr>
          <w:color w:val="231F20"/>
          <w:w w:val="105"/>
        </w:rPr>
        <w:t>—come</w:t>
      </w:r>
      <w:r>
        <w:rPr>
          <w:color w:val="231F20"/>
          <w:spacing w:val="-27"/>
          <w:w w:val="105"/>
        </w:rPr>
        <w:t> </w:t>
      </w:r>
      <w:r>
        <w:rPr>
          <w:color w:val="231F20"/>
          <w:w w:val="105"/>
        </w:rPr>
        <w:t>strumento</w:t>
      </w:r>
      <w:r>
        <w:rPr>
          <w:color w:val="231F20"/>
          <w:spacing w:val="-27"/>
          <w:w w:val="105"/>
        </w:rPr>
        <w:t> </w:t>
      </w:r>
      <w:r>
        <w:rPr>
          <w:color w:val="231F20"/>
          <w:w w:val="105"/>
        </w:rPr>
        <w:t>principe,</w:t>
      </w:r>
      <w:r>
        <w:rPr>
          <w:color w:val="231F20"/>
          <w:spacing w:val="-27"/>
          <w:w w:val="105"/>
        </w:rPr>
        <w:t> </w:t>
      </w:r>
      <w:r>
        <w:rPr>
          <w:color w:val="231F20"/>
          <w:w w:val="105"/>
        </w:rPr>
        <w:t>cioè,</w:t>
      </w:r>
      <w:r>
        <w:rPr>
          <w:color w:val="231F20"/>
          <w:spacing w:val="-27"/>
          <w:w w:val="105"/>
        </w:rPr>
        <w:t> </w:t>
      </w:r>
      <w:r>
        <w:rPr>
          <w:color w:val="231F20"/>
          <w:w w:val="105"/>
        </w:rPr>
        <w:t>“della</w:t>
      </w:r>
      <w:r>
        <w:rPr>
          <w:color w:val="231F20"/>
          <w:spacing w:val="-27"/>
          <w:w w:val="105"/>
        </w:rPr>
        <w:t> </w:t>
      </w:r>
      <w:r>
        <w:rPr>
          <w:color w:val="231F20"/>
          <w:w w:val="105"/>
        </w:rPr>
        <w:t>tutela</w:t>
      </w:r>
      <w:r>
        <w:rPr>
          <w:color w:val="231F20"/>
          <w:spacing w:val="-27"/>
          <w:w w:val="105"/>
        </w:rPr>
        <w:t> </w:t>
      </w:r>
      <w:r>
        <w:rPr>
          <w:color w:val="231F20"/>
          <w:w w:val="105"/>
        </w:rPr>
        <w:t>dei</w:t>
      </w:r>
      <w:r>
        <w:rPr>
          <w:color w:val="231F20"/>
          <w:spacing w:val="-27"/>
          <w:w w:val="105"/>
        </w:rPr>
        <w:t> </w:t>
      </w:r>
      <w:r>
        <w:rPr>
          <w:color w:val="231F20"/>
          <w:w w:val="105"/>
        </w:rPr>
        <w:t>diritti</w:t>
      </w:r>
      <w:r>
        <w:rPr>
          <w:color w:val="231F20"/>
          <w:spacing w:val="-27"/>
          <w:w w:val="105"/>
        </w:rPr>
        <w:t> </w:t>
      </w:r>
      <w:r>
        <w:rPr>
          <w:color w:val="231F20"/>
          <w:w w:val="105"/>
        </w:rPr>
        <w:t>dell’uomo, dell’espansione della libertà, della democratizzazione del mondo, della sicurezza</w:t>
      </w:r>
      <w:r>
        <w:rPr>
          <w:color w:val="231F20"/>
          <w:spacing w:val="-25"/>
          <w:w w:val="105"/>
        </w:rPr>
        <w:t> </w:t>
      </w:r>
      <w:r>
        <w:rPr>
          <w:color w:val="231F20"/>
          <w:w w:val="105"/>
        </w:rPr>
        <w:t>e</w:t>
      </w:r>
      <w:r>
        <w:rPr>
          <w:color w:val="231F20"/>
          <w:spacing w:val="-25"/>
          <w:w w:val="105"/>
        </w:rPr>
        <w:t> </w:t>
      </w:r>
      <w:r>
        <w:rPr>
          <w:color w:val="231F20"/>
          <w:w w:val="105"/>
        </w:rPr>
        <w:t>del</w:t>
      </w:r>
      <w:r>
        <w:rPr>
          <w:color w:val="231F20"/>
          <w:spacing w:val="-25"/>
          <w:w w:val="105"/>
        </w:rPr>
        <w:t> </w:t>
      </w:r>
      <w:r>
        <w:rPr>
          <w:color w:val="231F20"/>
          <w:w w:val="105"/>
        </w:rPr>
        <w:t>benessere</w:t>
      </w:r>
      <w:r>
        <w:rPr>
          <w:color w:val="231F20"/>
          <w:spacing w:val="-25"/>
          <w:w w:val="105"/>
        </w:rPr>
        <w:t> </w:t>
      </w:r>
      <w:r>
        <w:rPr>
          <w:color w:val="231F20"/>
          <w:w w:val="105"/>
        </w:rPr>
        <w:t>di</w:t>
      </w:r>
      <w:r>
        <w:rPr>
          <w:color w:val="231F20"/>
          <w:spacing w:val="-25"/>
          <w:w w:val="105"/>
        </w:rPr>
        <w:t> </w:t>
      </w:r>
      <w:r>
        <w:rPr>
          <w:color w:val="231F20"/>
          <w:w w:val="105"/>
        </w:rPr>
        <w:t>tutti</w:t>
      </w:r>
      <w:r>
        <w:rPr>
          <w:color w:val="231F20"/>
          <w:spacing w:val="-25"/>
          <w:w w:val="105"/>
        </w:rPr>
        <w:t> </w:t>
      </w:r>
      <w:r>
        <w:rPr>
          <w:color w:val="231F20"/>
          <w:w w:val="105"/>
        </w:rPr>
        <w:t>i</w:t>
      </w:r>
      <w:r>
        <w:rPr>
          <w:color w:val="231F20"/>
          <w:spacing w:val="-25"/>
          <w:w w:val="105"/>
        </w:rPr>
        <w:t> </w:t>
      </w:r>
      <w:r>
        <w:rPr>
          <w:color w:val="231F20"/>
          <w:w w:val="105"/>
        </w:rPr>
        <w:t>popoli”</w:t>
      </w:r>
      <w:r>
        <w:rPr>
          <w:color w:val="231F20"/>
          <w:w w:val="105"/>
          <w:position w:val="7"/>
          <w:sz w:val="12"/>
        </w:rPr>
        <w:t>52</w:t>
      </w:r>
      <w:r>
        <w:rPr>
          <w:color w:val="231F20"/>
          <w:w w:val="105"/>
        </w:rPr>
        <w:t>.</w:t>
      </w:r>
    </w:p>
    <w:p>
      <w:pPr>
        <w:pStyle w:val="BodyText"/>
        <w:spacing w:before="10"/>
        <w:rPr>
          <w:sz w:val="29"/>
        </w:rPr>
      </w:pPr>
      <w:r>
        <w:rPr/>
        <w:pict>
          <v:line style="position:absolute;mso-position-horizontal-relative:page;mso-position-vertical-relative:paragraph;z-index:14728;mso-wrap-distance-left:0;mso-wrap-distance-right:0" from="70.866096pt,20.106985pt" to="184.252096pt,20.106985pt" stroked="true" strokeweight=".3pt" strokecolor="#231f20">
            <w10:wrap type="topAndBottom"/>
          </v:line>
        </w:pict>
      </w:r>
    </w:p>
    <w:p>
      <w:pPr>
        <w:spacing w:line="206" w:lineRule="exact" w:before="10"/>
        <w:ind w:left="117" w:right="0" w:firstLine="0"/>
        <w:jc w:val="both"/>
        <w:rPr>
          <w:rFonts w:ascii="Calibri" w:hAnsi="Calibri"/>
          <w:sz w:val="17"/>
        </w:rPr>
      </w:pPr>
      <w:r>
        <w:rPr>
          <w:rFonts w:ascii="Calibri" w:hAnsi="Calibri"/>
          <w:color w:val="231F20"/>
          <w:w w:val="105"/>
          <w:position w:val="6"/>
          <w:sz w:val="10"/>
        </w:rPr>
        <w:t>49 </w:t>
      </w:r>
      <w:r>
        <w:rPr>
          <w:rFonts w:ascii="Calibri" w:hAnsi="Calibri"/>
          <w:color w:val="231F20"/>
          <w:w w:val="105"/>
          <w:sz w:val="17"/>
        </w:rPr>
        <w:t>Schmitt, </w:t>
      </w:r>
      <w:r>
        <w:rPr>
          <w:rFonts w:ascii="Calibri" w:hAnsi="Calibri"/>
          <w:i/>
          <w:color w:val="231F20"/>
          <w:w w:val="105"/>
          <w:sz w:val="17"/>
        </w:rPr>
        <w:t>Il concetto di ‘politico’</w:t>
      </w:r>
      <w:r>
        <w:rPr>
          <w:rFonts w:ascii="Calibri" w:hAnsi="Calibri"/>
          <w:color w:val="231F20"/>
          <w:w w:val="105"/>
          <w:sz w:val="17"/>
        </w:rPr>
        <w:t>, p. 139; Schmitt, “Staatsethik und pluralistischer Staat (1930)”,</w:t>
      </w:r>
    </w:p>
    <w:p>
      <w:pPr>
        <w:spacing w:line="235" w:lineRule="auto" w:before="1"/>
        <w:ind w:left="117" w:right="101" w:firstLine="0"/>
        <w:jc w:val="both"/>
        <w:rPr>
          <w:rFonts w:ascii="Calibri" w:hAnsi="Calibri"/>
          <w:sz w:val="17"/>
        </w:rPr>
      </w:pPr>
      <w:r>
        <w:rPr>
          <w:rFonts w:ascii="Calibri" w:hAnsi="Calibri"/>
          <w:color w:val="231F20"/>
          <w:sz w:val="17"/>
        </w:rPr>
        <w:t>p. 143. Per una eThcace dimostrazione del ruolo assunto dal </w:t>
      </w:r>
      <w:r>
        <w:rPr>
          <w:rFonts w:ascii="Calibri" w:hAnsi="Calibri"/>
          <w:i/>
          <w:color w:val="231F20"/>
          <w:sz w:val="17"/>
        </w:rPr>
        <w:t>diktum </w:t>
      </w:r>
      <w:r>
        <w:rPr>
          <w:rFonts w:ascii="Calibri" w:hAnsi="Calibri"/>
          <w:color w:val="231F20"/>
          <w:sz w:val="17"/>
        </w:rPr>
        <w:t>schmittiano nel più recente dibattito</w:t>
      </w:r>
      <w:r>
        <w:rPr>
          <w:rFonts w:ascii="Calibri" w:hAnsi="Calibri"/>
          <w:color w:val="231F20"/>
          <w:spacing w:val="-4"/>
          <w:sz w:val="17"/>
        </w:rPr>
        <w:t> </w:t>
      </w:r>
      <w:r>
        <w:rPr>
          <w:rFonts w:ascii="Calibri" w:hAnsi="Calibri"/>
          <w:color w:val="231F20"/>
          <w:sz w:val="17"/>
        </w:rPr>
        <w:t>sull’intervento</w:t>
      </w:r>
      <w:r>
        <w:rPr>
          <w:rFonts w:ascii="Calibri" w:hAnsi="Calibri"/>
          <w:color w:val="231F20"/>
          <w:spacing w:val="-4"/>
          <w:sz w:val="17"/>
        </w:rPr>
        <w:t> </w:t>
      </w:r>
      <w:r>
        <w:rPr>
          <w:rFonts w:ascii="Calibri" w:hAnsi="Calibri"/>
          <w:color w:val="231F20"/>
          <w:sz w:val="17"/>
        </w:rPr>
        <w:t>umanitario</w:t>
      </w:r>
      <w:r>
        <w:rPr>
          <w:rFonts w:ascii="Calibri" w:hAnsi="Calibri"/>
          <w:color w:val="231F20"/>
          <w:spacing w:val="-4"/>
          <w:sz w:val="17"/>
        </w:rPr>
        <w:t> </w:t>
      </w:r>
      <w:r>
        <w:rPr>
          <w:rFonts w:ascii="Calibri" w:hAnsi="Calibri"/>
          <w:color w:val="231F20"/>
          <w:sz w:val="17"/>
        </w:rPr>
        <w:t>si</w:t>
      </w:r>
      <w:r>
        <w:rPr>
          <w:rFonts w:ascii="Calibri" w:hAnsi="Calibri"/>
          <w:color w:val="231F20"/>
          <w:spacing w:val="-8"/>
          <w:sz w:val="17"/>
        </w:rPr>
        <w:t> </w:t>
      </w:r>
      <w:r>
        <w:rPr>
          <w:rFonts w:ascii="Calibri" w:hAnsi="Calibri"/>
          <w:color w:val="231F20"/>
          <w:sz w:val="17"/>
        </w:rPr>
        <w:t>veda</w:t>
      </w:r>
      <w:r>
        <w:rPr>
          <w:rFonts w:ascii="Calibri" w:hAnsi="Calibri"/>
          <w:color w:val="231F20"/>
          <w:spacing w:val="-4"/>
          <w:sz w:val="17"/>
        </w:rPr>
        <w:t> </w:t>
      </w:r>
      <w:r>
        <w:rPr>
          <w:rFonts w:ascii="Calibri" w:hAnsi="Calibri"/>
          <w:color w:val="231F20"/>
          <w:sz w:val="17"/>
        </w:rPr>
        <w:t>D.</w:t>
      </w:r>
      <w:r>
        <w:rPr>
          <w:rFonts w:ascii="Calibri" w:hAnsi="Calibri"/>
          <w:color w:val="231F20"/>
          <w:spacing w:val="-4"/>
          <w:sz w:val="17"/>
        </w:rPr>
        <w:t> </w:t>
      </w:r>
      <w:r>
        <w:rPr>
          <w:rFonts w:ascii="Calibri" w:hAnsi="Calibri"/>
          <w:color w:val="231F20"/>
          <w:sz w:val="17"/>
        </w:rPr>
        <w:t>Zolo,</w:t>
      </w:r>
      <w:r>
        <w:rPr>
          <w:rFonts w:ascii="Calibri" w:hAnsi="Calibri"/>
          <w:color w:val="231F20"/>
          <w:spacing w:val="-5"/>
          <w:sz w:val="17"/>
        </w:rPr>
        <w:t> </w:t>
      </w:r>
      <w:r>
        <w:rPr>
          <w:rFonts w:ascii="Calibri" w:hAnsi="Calibri"/>
          <w:i/>
          <w:color w:val="231F20"/>
          <w:sz w:val="17"/>
        </w:rPr>
        <w:t>Chi</w:t>
      </w:r>
      <w:r>
        <w:rPr>
          <w:rFonts w:ascii="Calibri" w:hAnsi="Calibri"/>
          <w:i/>
          <w:color w:val="231F20"/>
          <w:spacing w:val="-5"/>
          <w:sz w:val="17"/>
        </w:rPr>
        <w:t> </w:t>
      </w:r>
      <w:r>
        <w:rPr>
          <w:rFonts w:ascii="Calibri" w:hAnsi="Calibri"/>
          <w:i/>
          <w:color w:val="231F20"/>
          <w:sz w:val="17"/>
        </w:rPr>
        <w:t>dice</w:t>
      </w:r>
      <w:r>
        <w:rPr>
          <w:rFonts w:ascii="Calibri" w:hAnsi="Calibri"/>
          <w:i/>
          <w:color w:val="231F20"/>
          <w:spacing w:val="-5"/>
          <w:sz w:val="17"/>
        </w:rPr>
        <w:t> </w:t>
      </w:r>
      <w:r>
        <w:rPr>
          <w:rFonts w:ascii="Calibri" w:hAnsi="Calibri"/>
          <w:i/>
          <w:color w:val="231F20"/>
          <w:sz w:val="17"/>
        </w:rPr>
        <w:t>umanità.</w:t>
      </w:r>
      <w:r>
        <w:rPr>
          <w:rFonts w:ascii="Calibri" w:hAnsi="Calibri"/>
          <w:i/>
          <w:color w:val="231F20"/>
          <w:spacing w:val="-5"/>
          <w:sz w:val="17"/>
        </w:rPr>
        <w:t> </w:t>
      </w:r>
      <w:r>
        <w:rPr>
          <w:rFonts w:ascii="Calibri" w:hAnsi="Calibri"/>
          <w:i/>
          <w:color w:val="231F20"/>
          <w:sz w:val="17"/>
        </w:rPr>
        <w:t>Guerra,</w:t>
      </w:r>
      <w:r>
        <w:rPr>
          <w:rFonts w:ascii="Calibri" w:hAnsi="Calibri"/>
          <w:i/>
          <w:color w:val="231F20"/>
          <w:spacing w:val="-5"/>
          <w:sz w:val="17"/>
        </w:rPr>
        <w:t> </w:t>
      </w:r>
      <w:r>
        <w:rPr>
          <w:rFonts w:ascii="Calibri" w:hAnsi="Calibri"/>
          <w:i/>
          <w:color w:val="231F20"/>
          <w:sz w:val="17"/>
        </w:rPr>
        <w:t>diritto</w:t>
      </w:r>
      <w:r>
        <w:rPr>
          <w:rFonts w:ascii="Calibri" w:hAnsi="Calibri"/>
          <w:i/>
          <w:color w:val="231F20"/>
          <w:spacing w:val="-5"/>
          <w:sz w:val="17"/>
        </w:rPr>
        <w:t> </w:t>
      </w:r>
      <w:r>
        <w:rPr>
          <w:rFonts w:ascii="Calibri" w:hAnsi="Calibri"/>
          <w:i/>
          <w:color w:val="231F20"/>
          <w:sz w:val="17"/>
        </w:rPr>
        <w:t>e</w:t>
      </w:r>
      <w:r>
        <w:rPr>
          <w:rFonts w:ascii="Calibri" w:hAnsi="Calibri"/>
          <w:i/>
          <w:color w:val="231F20"/>
          <w:spacing w:val="-5"/>
          <w:sz w:val="17"/>
        </w:rPr>
        <w:t> </w:t>
      </w:r>
      <w:r>
        <w:rPr>
          <w:rFonts w:ascii="Calibri" w:hAnsi="Calibri"/>
          <w:i/>
          <w:color w:val="231F20"/>
          <w:sz w:val="17"/>
        </w:rPr>
        <w:t>ordine</w:t>
      </w:r>
      <w:r>
        <w:rPr>
          <w:rFonts w:ascii="Calibri" w:hAnsi="Calibri"/>
          <w:i/>
          <w:color w:val="231F20"/>
          <w:spacing w:val="-5"/>
          <w:sz w:val="17"/>
        </w:rPr>
        <w:t> </w:t>
      </w:r>
      <w:r>
        <w:rPr>
          <w:rFonts w:ascii="Calibri" w:hAnsi="Calibri"/>
          <w:i/>
          <w:color w:val="231F20"/>
          <w:sz w:val="17"/>
        </w:rPr>
        <w:t>globale</w:t>
      </w:r>
      <w:r>
        <w:rPr>
          <w:rFonts w:ascii="Calibri" w:hAnsi="Calibri"/>
          <w:color w:val="231F20"/>
          <w:sz w:val="17"/>
        </w:rPr>
        <w:t>, Torino, Einaudi, 2000, pp. 42–48. Ma per una più generale valutazione della “Schmitt–Renaissance” in tale contesto di discorso si veda almeno G. Ananiadis, </w:t>
      </w:r>
      <w:r>
        <w:rPr>
          <w:rFonts w:ascii="Calibri" w:hAnsi="Calibri"/>
          <w:i/>
          <w:color w:val="231F20"/>
          <w:sz w:val="17"/>
        </w:rPr>
        <w:t>Carl Schmitt on Kosovo, </w:t>
      </w:r>
      <w:r>
        <w:rPr>
          <w:rFonts w:ascii="Calibri" w:hAnsi="Calibri"/>
          <w:i/>
          <w:color w:val="231F20"/>
          <w:spacing w:val="-3"/>
          <w:sz w:val="17"/>
        </w:rPr>
        <w:t>or, Taking </w:t>
      </w:r>
      <w:r>
        <w:rPr>
          <w:rFonts w:ascii="Calibri" w:hAnsi="Calibri"/>
          <w:i/>
          <w:color w:val="231F20"/>
          <w:sz w:val="17"/>
        </w:rPr>
        <w:t>War </w:t>
      </w:r>
      <w:r>
        <w:rPr>
          <w:rFonts w:ascii="Calibri" w:hAnsi="Calibri"/>
          <w:i/>
          <w:color w:val="231F20"/>
          <w:sz w:val="17"/>
        </w:rPr>
        <w:t>Seriously</w:t>
      </w:r>
      <w:r>
        <w:rPr>
          <w:rFonts w:ascii="Calibri" w:hAnsi="Calibri"/>
          <w:color w:val="231F20"/>
          <w:sz w:val="17"/>
        </w:rPr>
        <w:t>,</w:t>
      </w:r>
      <w:r>
        <w:rPr>
          <w:rFonts w:ascii="Calibri" w:hAnsi="Calibri"/>
          <w:color w:val="231F20"/>
          <w:spacing w:val="-5"/>
          <w:sz w:val="17"/>
        </w:rPr>
        <w:t> </w:t>
      </w:r>
      <w:r>
        <w:rPr>
          <w:rFonts w:ascii="Calibri" w:hAnsi="Calibri"/>
          <w:color w:val="231F20"/>
          <w:sz w:val="17"/>
        </w:rPr>
        <w:t>D.I.</w:t>
      </w:r>
      <w:r>
        <w:rPr>
          <w:rFonts w:ascii="Calibri" w:hAnsi="Calibri"/>
          <w:color w:val="231F20"/>
          <w:spacing w:val="-5"/>
          <w:sz w:val="17"/>
        </w:rPr>
        <w:t> </w:t>
      </w:r>
      <w:r>
        <w:rPr>
          <w:rFonts w:ascii="Calibri" w:hAnsi="Calibri"/>
          <w:color w:val="231F20"/>
          <w:sz w:val="17"/>
        </w:rPr>
        <w:t>Bjelić</w:t>
      </w:r>
      <w:r>
        <w:rPr>
          <w:rFonts w:ascii="Calibri" w:hAnsi="Calibri"/>
          <w:color w:val="231F20"/>
          <w:spacing w:val="-7"/>
          <w:sz w:val="17"/>
        </w:rPr>
        <w:t> </w:t>
      </w:r>
      <w:r>
        <w:rPr>
          <w:rFonts w:ascii="Calibri" w:hAnsi="Calibri"/>
          <w:color w:val="231F20"/>
          <w:sz w:val="17"/>
        </w:rPr>
        <w:t>y</w:t>
      </w:r>
      <w:r>
        <w:rPr>
          <w:rFonts w:ascii="Calibri" w:hAnsi="Calibri"/>
          <w:color w:val="231F20"/>
          <w:spacing w:val="-5"/>
          <w:sz w:val="17"/>
        </w:rPr>
        <w:t> </w:t>
      </w:r>
      <w:r>
        <w:rPr>
          <w:rFonts w:ascii="Calibri" w:hAnsi="Calibri"/>
          <w:color w:val="231F20"/>
          <w:sz w:val="17"/>
        </w:rPr>
        <w:t>O.</w:t>
      </w:r>
      <w:r>
        <w:rPr>
          <w:rFonts w:ascii="Calibri" w:hAnsi="Calibri"/>
          <w:color w:val="231F20"/>
          <w:spacing w:val="-5"/>
          <w:sz w:val="17"/>
        </w:rPr>
        <w:t> </w:t>
      </w:r>
      <w:r>
        <w:rPr>
          <w:rFonts w:ascii="Calibri" w:hAnsi="Calibri"/>
          <w:color w:val="231F20"/>
          <w:sz w:val="17"/>
        </w:rPr>
        <w:t>Savić</w:t>
      </w:r>
      <w:r>
        <w:rPr>
          <w:rFonts w:ascii="Calibri" w:hAnsi="Calibri"/>
          <w:color w:val="231F20"/>
          <w:spacing w:val="-5"/>
          <w:sz w:val="17"/>
        </w:rPr>
        <w:t> </w:t>
      </w:r>
      <w:r>
        <w:rPr>
          <w:rFonts w:ascii="Calibri" w:hAnsi="Calibri"/>
          <w:color w:val="231F20"/>
          <w:sz w:val="17"/>
        </w:rPr>
        <w:t>(Eds.),</w:t>
      </w:r>
      <w:r>
        <w:rPr>
          <w:rFonts w:ascii="Calibri" w:hAnsi="Calibri"/>
          <w:color w:val="231F20"/>
          <w:spacing w:val="-5"/>
          <w:sz w:val="17"/>
        </w:rPr>
        <w:t> </w:t>
      </w:r>
      <w:r>
        <w:rPr>
          <w:rFonts w:ascii="Calibri" w:hAnsi="Calibri"/>
          <w:i/>
          <w:color w:val="231F20"/>
          <w:sz w:val="17"/>
        </w:rPr>
        <w:t>Balkan</w:t>
      </w:r>
      <w:r>
        <w:rPr>
          <w:rFonts w:ascii="Calibri" w:hAnsi="Calibri"/>
          <w:i/>
          <w:color w:val="231F20"/>
          <w:spacing w:val="-6"/>
          <w:sz w:val="17"/>
        </w:rPr>
        <w:t> </w:t>
      </w:r>
      <w:r>
        <w:rPr>
          <w:rFonts w:ascii="Calibri" w:hAnsi="Calibri"/>
          <w:i/>
          <w:color w:val="231F20"/>
          <w:sz w:val="17"/>
        </w:rPr>
        <w:t>as</w:t>
      </w:r>
      <w:r>
        <w:rPr>
          <w:rFonts w:ascii="Calibri" w:hAnsi="Calibri"/>
          <w:i/>
          <w:color w:val="231F20"/>
          <w:spacing w:val="-6"/>
          <w:sz w:val="17"/>
        </w:rPr>
        <w:t> </w:t>
      </w:r>
      <w:r>
        <w:rPr>
          <w:rFonts w:ascii="Calibri" w:hAnsi="Calibri"/>
          <w:i/>
          <w:color w:val="231F20"/>
          <w:sz w:val="17"/>
        </w:rPr>
        <w:t>Metaphor.</w:t>
      </w:r>
      <w:r>
        <w:rPr>
          <w:rFonts w:ascii="Calibri" w:hAnsi="Calibri"/>
          <w:i/>
          <w:color w:val="231F20"/>
          <w:spacing w:val="-6"/>
          <w:sz w:val="17"/>
        </w:rPr>
        <w:t> </w:t>
      </w:r>
      <w:r>
        <w:rPr>
          <w:rFonts w:ascii="Calibri" w:hAnsi="Calibri"/>
          <w:i/>
          <w:color w:val="231F20"/>
          <w:sz w:val="17"/>
        </w:rPr>
        <w:t>Between</w:t>
      </w:r>
      <w:r>
        <w:rPr>
          <w:rFonts w:ascii="Calibri" w:hAnsi="Calibri"/>
          <w:i/>
          <w:color w:val="231F20"/>
          <w:spacing w:val="-6"/>
          <w:sz w:val="17"/>
        </w:rPr>
        <w:t> </w:t>
      </w:r>
      <w:r>
        <w:rPr>
          <w:rFonts w:ascii="Calibri" w:hAnsi="Calibri"/>
          <w:i/>
          <w:color w:val="231F20"/>
          <w:sz w:val="17"/>
        </w:rPr>
        <w:t>Globalization</w:t>
      </w:r>
      <w:r>
        <w:rPr>
          <w:rFonts w:ascii="Calibri" w:hAnsi="Calibri"/>
          <w:i/>
          <w:color w:val="231F20"/>
          <w:spacing w:val="-6"/>
          <w:sz w:val="17"/>
        </w:rPr>
        <w:t> </w:t>
      </w:r>
      <w:r>
        <w:rPr>
          <w:rFonts w:ascii="Calibri" w:hAnsi="Calibri"/>
          <w:i/>
          <w:color w:val="231F20"/>
          <w:sz w:val="17"/>
        </w:rPr>
        <w:t>and</w:t>
      </w:r>
      <w:r>
        <w:rPr>
          <w:rFonts w:ascii="Calibri" w:hAnsi="Calibri"/>
          <w:i/>
          <w:color w:val="231F20"/>
          <w:spacing w:val="-6"/>
          <w:sz w:val="17"/>
        </w:rPr>
        <w:t> </w:t>
      </w:r>
      <w:r>
        <w:rPr>
          <w:rFonts w:ascii="Calibri" w:hAnsi="Calibri"/>
          <w:i/>
          <w:color w:val="231F20"/>
          <w:sz w:val="17"/>
        </w:rPr>
        <w:t>Fragmentation</w:t>
      </w:r>
      <w:r>
        <w:rPr>
          <w:rFonts w:ascii="Calibri" w:hAnsi="Calibri"/>
          <w:color w:val="231F20"/>
          <w:sz w:val="17"/>
        </w:rPr>
        <w:t>, Cambridge (MA), MIT Press, pp. </w:t>
      </w:r>
      <w:r>
        <w:rPr>
          <w:rFonts w:ascii="Calibri" w:hAnsi="Calibri"/>
          <w:color w:val="231F20"/>
          <w:spacing w:val="-3"/>
          <w:sz w:val="17"/>
        </w:rPr>
        <w:t>117–161; </w:t>
      </w:r>
      <w:r>
        <w:rPr>
          <w:rFonts w:ascii="Calibri" w:hAnsi="Calibri"/>
          <w:color w:val="231F20"/>
          <w:spacing w:val="-6"/>
          <w:sz w:val="17"/>
        </w:rPr>
        <w:t>W. </w:t>
      </w:r>
      <w:r>
        <w:rPr>
          <w:rFonts w:ascii="Calibri" w:hAnsi="Calibri"/>
          <w:color w:val="231F20"/>
          <w:sz w:val="17"/>
        </w:rPr>
        <w:t>Rasch, </w:t>
      </w:r>
      <w:r>
        <w:rPr>
          <w:rFonts w:ascii="Calibri" w:hAnsi="Calibri"/>
          <w:color w:val="231F20"/>
          <w:spacing w:val="-10"/>
          <w:sz w:val="17"/>
        </w:rPr>
        <w:t>“A </w:t>
      </w:r>
      <w:r>
        <w:rPr>
          <w:rFonts w:ascii="Calibri" w:hAnsi="Calibri"/>
          <w:color w:val="231F20"/>
          <w:sz w:val="17"/>
        </w:rPr>
        <w:t>Just War? Or Just a War?: Habermas and the Cosmopolitan Orthodoxy”, </w:t>
      </w:r>
      <w:r>
        <w:rPr>
          <w:rFonts w:ascii="Calibri" w:hAnsi="Calibri"/>
          <w:i/>
          <w:color w:val="231F20"/>
          <w:sz w:val="17"/>
        </w:rPr>
        <w:t>Cardozo Law Review</w:t>
      </w:r>
      <w:r>
        <w:rPr>
          <w:rFonts w:ascii="Calibri" w:hAnsi="Calibri"/>
          <w:color w:val="231F20"/>
          <w:sz w:val="17"/>
        </w:rPr>
        <w:t>, no. 21, 2000, pp. 1665–1684; </w:t>
      </w:r>
      <w:r>
        <w:rPr>
          <w:rFonts w:ascii="Calibri" w:hAnsi="Calibri"/>
          <w:color w:val="231F20"/>
          <w:spacing w:val="-10"/>
          <w:sz w:val="17"/>
        </w:rPr>
        <w:t>P. </w:t>
      </w:r>
      <w:r>
        <w:rPr>
          <w:rFonts w:ascii="Calibri" w:hAnsi="Calibri"/>
          <w:color w:val="231F20"/>
          <w:sz w:val="17"/>
        </w:rPr>
        <w:t>Stirk, “Carl Schmitt, the Law of Occupation, and the Iraq War”, Constellations, no. 11, 4, 2004, pp. 527–536; L. Odysseos y </w:t>
      </w:r>
      <w:r>
        <w:rPr>
          <w:rFonts w:ascii="Calibri" w:hAnsi="Calibri"/>
          <w:color w:val="231F20"/>
          <w:spacing w:val="-7"/>
          <w:sz w:val="17"/>
        </w:rPr>
        <w:t>F. </w:t>
      </w:r>
      <w:r>
        <w:rPr>
          <w:rFonts w:ascii="Calibri" w:hAnsi="Calibri"/>
          <w:color w:val="231F20"/>
          <w:sz w:val="17"/>
        </w:rPr>
        <w:t>Petito (Eds.), </w:t>
      </w:r>
      <w:r>
        <w:rPr>
          <w:rFonts w:ascii="Calibri" w:hAnsi="Calibri"/>
          <w:i/>
          <w:color w:val="231F20"/>
          <w:sz w:val="17"/>
        </w:rPr>
        <w:t>The International Political Thought of Carl Schmitt. </w:t>
      </w:r>
      <w:r>
        <w:rPr>
          <w:rFonts w:ascii="Calibri" w:hAnsi="Calibri"/>
          <w:i/>
          <w:color w:val="231F20"/>
          <w:spacing w:val="-4"/>
          <w:sz w:val="17"/>
        </w:rPr>
        <w:t>Terror, </w:t>
      </w:r>
      <w:r>
        <w:rPr>
          <w:rFonts w:ascii="Calibri" w:hAnsi="Calibri"/>
          <w:i/>
          <w:color w:val="231F20"/>
          <w:sz w:val="17"/>
        </w:rPr>
        <w:t>liberal war and the crisis </w:t>
      </w:r>
      <w:r>
        <w:rPr>
          <w:rFonts w:ascii="Calibri" w:hAnsi="Calibri"/>
          <w:i/>
          <w:color w:val="231F20"/>
          <w:sz w:val="17"/>
        </w:rPr>
        <w:t>of global </w:t>
      </w:r>
      <w:r>
        <w:rPr>
          <w:rFonts w:ascii="Calibri" w:hAnsi="Calibri"/>
          <w:i/>
          <w:color w:val="231F20"/>
          <w:spacing w:val="-3"/>
          <w:sz w:val="17"/>
        </w:rPr>
        <w:t>orde</w:t>
      </w:r>
      <w:r>
        <w:rPr>
          <w:rFonts w:ascii="Calibri" w:hAnsi="Calibri"/>
          <w:color w:val="231F20"/>
          <w:spacing w:val="-3"/>
          <w:sz w:val="17"/>
        </w:rPr>
        <w:t>r, </w:t>
      </w:r>
      <w:r>
        <w:rPr>
          <w:rFonts w:ascii="Calibri" w:hAnsi="Calibri"/>
          <w:color w:val="231F20"/>
          <w:sz w:val="17"/>
        </w:rPr>
        <w:t>Oxon, Routledge, </w:t>
      </w:r>
      <w:r>
        <w:rPr>
          <w:rFonts w:ascii="Calibri" w:hAnsi="Calibri"/>
          <w:color w:val="231F20"/>
          <w:spacing w:val="1"/>
          <w:sz w:val="17"/>
        </w:rPr>
        <w:t> </w:t>
      </w:r>
      <w:r>
        <w:rPr>
          <w:rFonts w:ascii="Calibri" w:hAnsi="Calibri"/>
          <w:color w:val="231F20"/>
          <w:spacing w:val="-4"/>
          <w:sz w:val="17"/>
        </w:rPr>
        <w:t>2007.</w:t>
      </w:r>
    </w:p>
    <w:p>
      <w:pPr>
        <w:spacing w:line="235" w:lineRule="auto" w:before="0"/>
        <w:ind w:left="117" w:right="101" w:firstLine="0"/>
        <w:jc w:val="both"/>
        <w:rPr>
          <w:rFonts w:ascii="Calibri" w:hAnsi="Calibri"/>
          <w:sz w:val="17"/>
        </w:rPr>
      </w:pPr>
      <w:r>
        <w:rPr>
          <w:rFonts w:ascii="Calibri" w:hAnsi="Calibri"/>
          <w:color w:val="231F20"/>
          <w:w w:val="105"/>
          <w:position w:val="6"/>
          <w:sz w:val="10"/>
        </w:rPr>
        <w:t>50</w:t>
      </w:r>
      <w:r>
        <w:rPr>
          <w:rFonts w:ascii="Calibri" w:hAnsi="Calibri"/>
          <w:color w:val="231F20"/>
          <w:spacing w:val="-11"/>
          <w:w w:val="105"/>
          <w:position w:val="6"/>
          <w:sz w:val="10"/>
        </w:rPr>
        <w:t> </w:t>
      </w:r>
      <w:r>
        <w:rPr>
          <w:rFonts w:ascii="Calibri" w:hAnsi="Calibri"/>
          <w:color w:val="231F20"/>
          <w:w w:val="105"/>
          <w:sz w:val="17"/>
        </w:rPr>
        <w:t>Zolo,</w:t>
      </w:r>
      <w:r>
        <w:rPr>
          <w:rFonts w:ascii="Calibri" w:hAnsi="Calibri"/>
          <w:color w:val="231F20"/>
          <w:spacing w:val="-28"/>
          <w:w w:val="105"/>
          <w:sz w:val="17"/>
        </w:rPr>
        <w:t> </w:t>
      </w:r>
      <w:r>
        <w:rPr>
          <w:rFonts w:ascii="Calibri" w:hAnsi="Calibri"/>
          <w:i/>
          <w:color w:val="231F20"/>
          <w:w w:val="105"/>
          <w:sz w:val="17"/>
        </w:rPr>
        <w:t>Chi</w:t>
      </w:r>
      <w:r>
        <w:rPr>
          <w:rFonts w:ascii="Calibri" w:hAnsi="Calibri"/>
          <w:i/>
          <w:color w:val="231F20"/>
          <w:spacing w:val="-28"/>
          <w:w w:val="105"/>
          <w:sz w:val="17"/>
        </w:rPr>
        <w:t> </w:t>
      </w:r>
      <w:r>
        <w:rPr>
          <w:rFonts w:ascii="Calibri" w:hAnsi="Calibri"/>
          <w:i/>
          <w:color w:val="231F20"/>
          <w:w w:val="105"/>
          <w:sz w:val="17"/>
        </w:rPr>
        <w:t>dice</w:t>
      </w:r>
      <w:r>
        <w:rPr>
          <w:rFonts w:ascii="Calibri" w:hAnsi="Calibri"/>
          <w:i/>
          <w:color w:val="231F20"/>
          <w:spacing w:val="-28"/>
          <w:w w:val="105"/>
          <w:sz w:val="17"/>
        </w:rPr>
        <w:t> </w:t>
      </w:r>
      <w:r>
        <w:rPr>
          <w:rFonts w:ascii="Calibri" w:hAnsi="Calibri"/>
          <w:i/>
          <w:color w:val="231F20"/>
          <w:w w:val="105"/>
          <w:sz w:val="17"/>
        </w:rPr>
        <w:t>umanità</w:t>
      </w:r>
      <w:r>
        <w:rPr>
          <w:rFonts w:ascii="Calibri" w:hAnsi="Calibri"/>
          <w:color w:val="231F20"/>
          <w:w w:val="105"/>
          <w:sz w:val="17"/>
        </w:rPr>
        <w:t>,</w:t>
      </w:r>
      <w:r>
        <w:rPr>
          <w:rFonts w:ascii="Calibri" w:hAnsi="Calibri"/>
          <w:color w:val="231F20"/>
          <w:spacing w:val="-28"/>
          <w:w w:val="105"/>
          <w:sz w:val="17"/>
        </w:rPr>
        <w:t> </w:t>
      </w:r>
      <w:r>
        <w:rPr>
          <w:rFonts w:ascii="Calibri" w:hAnsi="Calibri"/>
          <w:color w:val="231F20"/>
          <w:w w:val="105"/>
          <w:sz w:val="17"/>
        </w:rPr>
        <w:t>p.</w:t>
      </w:r>
      <w:r>
        <w:rPr>
          <w:rFonts w:ascii="Calibri" w:hAnsi="Calibri"/>
          <w:color w:val="231F20"/>
          <w:spacing w:val="-28"/>
          <w:w w:val="105"/>
          <w:sz w:val="17"/>
        </w:rPr>
        <w:t> </w:t>
      </w:r>
      <w:r>
        <w:rPr>
          <w:rFonts w:ascii="Calibri" w:hAnsi="Calibri"/>
          <w:color w:val="231F20"/>
          <w:w w:val="105"/>
          <w:sz w:val="17"/>
        </w:rPr>
        <w:t>43.</w:t>
      </w:r>
      <w:r>
        <w:rPr>
          <w:rFonts w:ascii="Calibri" w:hAnsi="Calibri"/>
          <w:color w:val="231F20"/>
          <w:spacing w:val="-28"/>
          <w:w w:val="105"/>
          <w:sz w:val="17"/>
        </w:rPr>
        <w:t> </w:t>
      </w:r>
      <w:r>
        <w:rPr>
          <w:rFonts w:ascii="Calibri" w:hAnsi="Calibri"/>
          <w:color w:val="231F20"/>
          <w:w w:val="105"/>
          <w:sz w:val="17"/>
        </w:rPr>
        <w:t>Sulla</w:t>
      </w:r>
      <w:r>
        <w:rPr>
          <w:rFonts w:ascii="Calibri" w:hAnsi="Calibri"/>
          <w:color w:val="231F20"/>
          <w:spacing w:val="-28"/>
          <w:w w:val="105"/>
          <w:sz w:val="17"/>
        </w:rPr>
        <w:t> </w:t>
      </w:r>
      <w:r>
        <w:rPr>
          <w:rFonts w:ascii="Calibri" w:hAnsi="Calibri"/>
          <w:color w:val="231F20"/>
          <w:w w:val="105"/>
          <w:sz w:val="17"/>
        </w:rPr>
        <w:t>nozione</w:t>
      </w:r>
      <w:r>
        <w:rPr>
          <w:rFonts w:ascii="Calibri" w:hAnsi="Calibri"/>
          <w:color w:val="231F20"/>
          <w:spacing w:val="-28"/>
          <w:w w:val="105"/>
          <w:sz w:val="17"/>
        </w:rPr>
        <w:t> </w:t>
      </w:r>
      <w:r>
        <w:rPr>
          <w:rFonts w:ascii="Calibri" w:hAnsi="Calibri"/>
          <w:color w:val="231F20"/>
          <w:w w:val="105"/>
          <w:sz w:val="17"/>
        </w:rPr>
        <w:t>di</w:t>
      </w:r>
      <w:r>
        <w:rPr>
          <w:rFonts w:ascii="Calibri" w:hAnsi="Calibri"/>
          <w:color w:val="231F20"/>
          <w:spacing w:val="-28"/>
          <w:w w:val="105"/>
          <w:sz w:val="17"/>
        </w:rPr>
        <w:t> </w:t>
      </w:r>
      <w:r>
        <w:rPr>
          <w:rFonts w:ascii="Calibri" w:hAnsi="Calibri"/>
          <w:color w:val="231F20"/>
          <w:w w:val="105"/>
          <w:sz w:val="17"/>
        </w:rPr>
        <w:t>"guerra</w:t>
      </w:r>
      <w:r>
        <w:rPr>
          <w:rFonts w:ascii="Calibri" w:hAnsi="Calibri"/>
          <w:color w:val="231F20"/>
          <w:spacing w:val="-28"/>
          <w:w w:val="105"/>
          <w:sz w:val="17"/>
        </w:rPr>
        <w:t> </w:t>
      </w:r>
      <w:r>
        <w:rPr>
          <w:rFonts w:ascii="Calibri" w:hAnsi="Calibri"/>
          <w:color w:val="231F20"/>
          <w:w w:val="105"/>
          <w:sz w:val="17"/>
        </w:rPr>
        <w:t>umanitaria"</w:t>
      </w:r>
      <w:r>
        <w:rPr>
          <w:rFonts w:ascii="Calibri" w:hAnsi="Calibri"/>
          <w:color w:val="231F20"/>
          <w:spacing w:val="-28"/>
          <w:w w:val="105"/>
          <w:sz w:val="17"/>
        </w:rPr>
        <w:t> </w:t>
      </w:r>
      <w:r>
        <w:rPr>
          <w:rFonts w:ascii="Calibri" w:hAnsi="Calibri"/>
          <w:color w:val="231F20"/>
          <w:w w:val="105"/>
          <w:sz w:val="17"/>
        </w:rPr>
        <w:t>come</w:t>
      </w:r>
      <w:r>
        <w:rPr>
          <w:rFonts w:ascii="Calibri" w:hAnsi="Calibri"/>
          <w:color w:val="231F20"/>
          <w:spacing w:val="-28"/>
          <w:w w:val="105"/>
          <w:sz w:val="17"/>
        </w:rPr>
        <w:t> </w:t>
      </w:r>
      <w:r>
        <w:rPr>
          <w:rFonts w:ascii="Calibri" w:hAnsi="Calibri"/>
          <w:color w:val="231F20"/>
          <w:w w:val="105"/>
          <w:sz w:val="17"/>
        </w:rPr>
        <w:t>la</w:t>
      </w:r>
      <w:r>
        <w:rPr>
          <w:rFonts w:ascii="Calibri" w:hAnsi="Calibri"/>
          <w:color w:val="231F20"/>
          <w:spacing w:val="-28"/>
          <w:w w:val="105"/>
          <w:sz w:val="17"/>
        </w:rPr>
        <w:t> </w:t>
      </w:r>
      <w:r>
        <w:rPr>
          <w:rFonts w:ascii="Calibri" w:hAnsi="Calibri"/>
          <w:color w:val="231F20"/>
          <w:w w:val="105"/>
          <w:sz w:val="17"/>
        </w:rPr>
        <w:t>più</w:t>
      </w:r>
      <w:r>
        <w:rPr>
          <w:rFonts w:ascii="Calibri" w:hAnsi="Calibri"/>
          <w:color w:val="231F20"/>
          <w:spacing w:val="-28"/>
          <w:w w:val="105"/>
          <w:sz w:val="17"/>
        </w:rPr>
        <w:t> </w:t>
      </w:r>
      <w:r>
        <w:rPr>
          <w:rFonts w:ascii="Calibri" w:hAnsi="Calibri"/>
          <w:color w:val="231F20"/>
          <w:w w:val="105"/>
          <w:sz w:val="17"/>
        </w:rPr>
        <w:t>recente</w:t>
      </w:r>
      <w:r>
        <w:rPr>
          <w:rFonts w:ascii="Calibri" w:hAnsi="Calibri"/>
          <w:color w:val="231F20"/>
          <w:spacing w:val="-28"/>
          <w:w w:val="105"/>
          <w:sz w:val="17"/>
        </w:rPr>
        <w:t> </w:t>
      </w:r>
      <w:r>
        <w:rPr>
          <w:rFonts w:ascii="Calibri" w:hAnsi="Calibri"/>
          <w:color w:val="231F20"/>
          <w:w w:val="105"/>
          <w:sz w:val="17"/>
        </w:rPr>
        <w:t>incarnazione della</w:t>
      </w:r>
      <w:r>
        <w:rPr>
          <w:rFonts w:ascii="Calibri" w:hAnsi="Calibri"/>
          <w:color w:val="231F20"/>
          <w:spacing w:val="-8"/>
          <w:w w:val="105"/>
          <w:sz w:val="17"/>
        </w:rPr>
        <w:t> </w:t>
      </w:r>
      <w:r>
        <w:rPr>
          <w:rFonts w:ascii="Calibri" w:hAnsi="Calibri"/>
          <w:color w:val="231F20"/>
          <w:w w:val="105"/>
          <w:sz w:val="17"/>
        </w:rPr>
        <w:t>tradizionale</w:t>
      </w:r>
      <w:r>
        <w:rPr>
          <w:rFonts w:ascii="Calibri" w:hAnsi="Calibri"/>
          <w:color w:val="231F20"/>
          <w:spacing w:val="-8"/>
          <w:w w:val="105"/>
          <w:sz w:val="17"/>
        </w:rPr>
        <w:t> </w:t>
      </w:r>
      <w:r>
        <w:rPr>
          <w:rFonts w:ascii="Calibri" w:hAnsi="Calibri"/>
          <w:color w:val="231F20"/>
          <w:w w:val="105"/>
          <w:sz w:val="17"/>
        </w:rPr>
        <w:t>dottrina</w:t>
      </w:r>
      <w:r>
        <w:rPr>
          <w:rFonts w:ascii="Calibri" w:hAnsi="Calibri"/>
          <w:color w:val="231F20"/>
          <w:spacing w:val="-8"/>
          <w:w w:val="105"/>
          <w:sz w:val="17"/>
        </w:rPr>
        <w:t> </w:t>
      </w:r>
      <w:r>
        <w:rPr>
          <w:rFonts w:ascii="Calibri" w:hAnsi="Calibri"/>
          <w:color w:val="231F20"/>
          <w:w w:val="105"/>
          <w:sz w:val="17"/>
        </w:rPr>
        <w:t>della</w:t>
      </w:r>
      <w:r>
        <w:rPr>
          <w:rFonts w:ascii="Calibri" w:hAnsi="Calibri"/>
          <w:color w:val="231F20"/>
          <w:spacing w:val="-8"/>
          <w:w w:val="105"/>
          <w:sz w:val="17"/>
        </w:rPr>
        <w:t> </w:t>
      </w:r>
      <w:r>
        <w:rPr>
          <w:rFonts w:ascii="Calibri" w:hAnsi="Calibri"/>
          <w:color w:val="231F20"/>
          <w:w w:val="105"/>
          <w:sz w:val="17"/>
        </w:rPr>
        <w:t>guerra</w:t>
      </w:r>
      <w:r>
        <w:rPr>
          <w:rFonts w:ascii="Calibri" w:hAnsi="Calibri"/>
          <w:color w:val="231F20"/>
          <w:spacing w:val="-8"/>
          <w:w w:val="105"/>
          <w:sz w:val="17"/>
        </w:rPr>
        <w:t> </w:t>
      </w:r>
      <w:r>
        <w:rPr>
          <w:rFonts w:ascii="Calibri" w:hAnsi="Calibri"/>
          <w:color w:val="231F20"/>
          <w:w w:val="105"/>
          <w:sz w:val="17"/>
        </w:rPr>
        <w:t>giusta</w:t>
      </w:r>
      <w:r>
        <w:rPr>
          <w:rFonts w:ascii="Calibri" w:hAnsi="Calibri"/>
          <w:color w:val="231F20"/>
          <w:spacing w:val="-8"/>
          <w:w w:val="105"/>
          <w:sz w:val="17"/>
        </w:rPr>
        <w:t> </w:t>
      </w:r>
      <w:r>
        <w:rPr>
          <w:rFonts w:ascii="Calibri" w:hAnsi="Calibri"/>
          <w:color w:val="231F20"/>
          <w:w w:val="105"/>
          <w:sz w:val="17"/>
        </w:rPr>
        <w:t>si</w:t>
      </w:r>
      <w:r>
        <w:rPr>
          <w:rFonts w:ascii="Calibri" w:hAnsi="Calibri"/>
          <w:color w:val="231F20"/>
          <w:spacing w:val="-10"/>
          <w:w w:val="105"/>
          <w:sz w:val="17"/>
        </w:rPr>
        <w:t> </w:t>
      </w:r>
      <w:r>
        <w:rPr>
          <w:rFonts w:ascii="Calibri" w:hAnsi="Calibri"/>
          <w:color w:val="231F20"/>
          <w:w w:val="105"/>
          <w:sz w:val="17"/>
        </w:rPr>
        <w:t>veda</w:t>
      </w:r>
      <w:r>
        <w:rPr>
          <w:rFonts w:ascii="Calibri" w:hAnsi="Calibri"/>
          <w:color w:val="231F20"/>
          <w:spacing w:val="-8"/>
          <w:w w:val="105"/>
          <w:sz w:val="17"/>
        </w:rPr>
        <w:t> </w:t>
      </w:r>
      <w:r>
        <w:rPr>
          <w:rFonts w:ascii="Calibri" w:hAnsi="Calibri"/>
          <w:color w:val="231F20"/>
          <w:w w:val="105"/>
          <w:sz w:val="17"/>
        </w:rPr>
        <w:t>anche</w:t>
      </w:r>
      <w:r>
        <w:rPr>
          <w:rFonts w:ascii="Calibri" w:hAnsi="Calibri"/>
          <w:color w:val="231F20"/>
          <w:spacing w:val="-8"/>
          <w:w w:val="105"/>
          <w:sz w:val="17"/>
        </w:rPr>
        <w:t> </w:t>
      </w:r>
      <w:r>
        <w:rPr>
          <w:rFonts w:ascii="Calibri" w:hAnsi="Calibri"/>
          <w:color w:val="231F20"/>
          <w:w w:val="105"/>
          <w:sz w:val="17"/>
        </w:rPr>
        <w:t>K.</w:t>
      </w:r>
      <w:r>
        <w:rPr>
          <w:rFonts w:ascii="Calibri" w:hAnsi="Calibri"/>
          <w:color w:val="231F20"/>
          <w:spacing w:val="-8"/>
          <w:w w:val="105"/>
          <w:sz w:val="17"/>
        </w:rPr>
        <w:t> </w:t>
      </w:r>
      <w:r>
        <w:rPr>
          <w:rFonts w:ascii="Calibri" w:hAnsi="Calibri"/>
          <w:color w:val="231F20"/>
          <w:w w:val="105"/>
          <w:sz w:val="17"/>
        </w:rPr>
        <w:t>Booth,</w:t>
      </w:r>
      <w:r>
        <w:rPr>
          <w:rFonts w:ascii="Calibri" w:hAnsi="Calibri"/>
          <w:color w:val="231F20"/>
          <w:spacing w:val="-8"/>
          <w:w w:val="105"/>
          <w:sz w:val="17"/>
        </w:rPr>
        <w:t> </w:t>
      </w:r>
      <w:r>
        <w:rPr>
          <w:rFonts w:ascii="Calibri" w:hAnsi="Calibri"/>
          <w:color w:val="231F20"/>
          <w:w w:val="105"/>
          <w:sz w:val="17"/>
        </w:rPr>
        <w:t>“Ten</w:t>
      </w:r>
      <w:r>
        <w:rPr>
          <w:rFonts w:ascii="Calibri" w:hAnsi="Calibri"/>
          <w:color w:val="231F20"/>
          <w:spacing w:val="-8"/>
          <w:w w:val="105"/>
          <w:sz w:val="17"/>
        </w:rPr>
        <w:t> </w:t>
      </w:r>
      <w:r>
        <w:rPr>
          <w:rFonts w:ascii="Calibri" w:hAnsi="Calibri"/>
          <w:color w:val="231F20"/>
          <w:w w:val="105"/>
          <w:sz w:val="17"/>
        </w:rPr>
        <w:t>Flaws</w:t>
      </w:r>
      <w:r>
        <w:rPr>
          <w:rFonts w:ascii="Calibri" w:hAnsi="Calibri"/>
          <w:color w:val="231F20"/>
          <w:spacing w:val="-8"/>
          <w:w w:val="105"/>
          <w:sz w:val="17"/>
        </w:rPr>
        <w:t> </w:t>
      </w:r>
      <w:r>
        <w:rPr>
          <w:rFonts w:ascii="Calibri" w:hAnsi="Calibri"/>
          <w:color w:val="231F20"/>
          <w:w w:val="105"/>
          <w:sz w:val="17"/>
        </w:rPr>
        <w:t>of</w:t>
      </w:r>
      <w:r>
        <w:rPr>
          <w:rFonts w:ascii="Calibri" w:hAnsi="Calibri"/>
          <w:color w:val="231F20"/>
          <w:spacing w:val="-8"/>
          <w:w w:val="105"/>
          <w:sz w:val="17"/>
        </w:rPr>
        <w:t> </w:t>
      </w:r>
      <w:r>
        <w:rPr>
          <w:rFonts w:ascii="Calibri" w:hAnsi="Calibri"/>
          <w:color w:val="231F20"/>
          <w:w w:val="105"/>
          <w:sz w:val="17"/>
        </w:rPr>
        <w:t>Just</w:t>
      </w:r>
      <w:r>
        <w:rPr>
          <w:rFonts w:ascii="Calibri" w:hAnsi="Calibri"/>
          <w:color w:val="231F20"/>
          <w:spacing w:val="-11"/>
          <w:w w:val="105"/>
          <w:sz w:val="17"/>
        </w:rPr>
        <w:t> </w:t>
      </w:r>
      <w:r>
        <w:rPr>
          <w:rFonts w:ascii="Calibri" w:hAnsi="Calibri"/>
          <w:color w:val="231F20"/>
          <w:w w:val="105"/>
          <w:sz w:val="17"/>
        </w:rPr>
        <w:t>Wars”,</w:t>
      </w:r>
      <w:r>
        <w:rPr>
          <w:rFonts w:ascii="Calibri" w:hAnsi="Calibri"/>
          <w:color w:val="231F20"/>
          <w:spacing w:val="-8"/>
          <w:w w:val="105"/>
          <w:sz w:val="17"/>
        </w:rPr>
        <w:t> </w:t>
      </w:r>
      <w:r>
        <w:rPr>
          <w:rFonts w:ascii="Calibri" w:hAnsi="Calibri"/>
          <w:color w:val="231F20"/>
          <w:w w:val="105"/>
          <w:sz w:val="17"/>
        </w:rPr>
        <w:t>K. Booth</w:t>
      </w:r>
      <w:r>
        <w:rPr>
          <w:rFonts w:ascii="Calibri" w:hAnsi="Calibri"/>
          <w:color w:val="231F20"/>
          <w:spacing w:val="-13"/>
          <w:w w:val="105"/>
          <w:sz w:val="17"/>
        </w:rPr>
        <w:t> </w:t>
      </w:r>
      <w:r>
        <w:rPr>
          <w:rFonts w:ascii="Calibri" w:hAnsi="Calibri"/>
          <w:color w:val="231F20"/>
          <w:w w:val="105"/>
          <w:sz w:val="17"/>
        </w:rPr>
        <w:t>(Ed.),</w:t>
      </w:r>
      <w:r>
        <w:rPr>
          <w:rFonts w:ascii="Calibri" w:hAnsi="Calibri"/>
          <w:color w:val="231F20"/>
          <w:spacing w:val="-13"/>
          <w:w w:val="105"/>
          <w:sz w:val="17"/>
        </w:rPr>
        <w:t> </w:t>
      </w:r>
      <w:r>
        <w:rPr>
          <w:rFonts w:ascii="Calibri" w:hAnsi="Calibri"/>
          <w:i/>
          <w:color w:val="231F20"/>
          <w:w w:val="105"/>
          <w:sz w:val="17"/>
        </w:rPr>
        <w:t>The</w:t>
      </w:r>
      <w:r>
        <w:rPr>
          <w:rFonts w:ascii="Calibri" w:hAnsi="Calibri"/>
          <w:i/>
          <w:color w:val="231F20"/>
          <w:spacing w:val="-14"/>
          <w:w w:val="105"/>
          <w:sz w:val="17"/>
        </w:rPr>
        <w:t> </w:t>
      </w:r>
      <w:r>
        <w:rPr>
          <w:rFonts w:ascii="Calibri" w:hAnsi="Calibri"/>
          <w:i/>
          <w:color w:val="231F20"/>
          <w:w w:val="105"/>
          <w:sz w:val="17"/>
        </w:rPr>
        <w:t>Kosovo</w:t>
      </w:r>
      <w:r>
        <w:rPr>
          <w:rFonts w:ascii="Calibri" w:hAnsi="Calibri"/>
          <w:i/>
          <w:color w:val="231F20"/>
          <w:spacing w:val="-15"/>
          <w:w w:val="105"/>
          <w:sz w:val="17"/>
        </w:rPr>
        <w:t> </w:t>
      </w:r>
      <w:r>
        <w:rPr>
          <w:rFonts w:ascii="Calibri" w:hAnsi="Calibri"/>
          <w:i/>
          <w:color w:val="231F20"/>
          <w:spacing w:val="-3"/>
          <w:w w:val="105"/>
          <w:sz w:val="17"/>
        </w:rPr>
        <w:t>Tragedy.</w:t>
      </w:r>
      <w:r>
        <w:rPr>
          <w:rFonts w:ascii="Calibri" w:hAnsi="Calibri"/>
          <w:i/>
          <w:color w:val="231F20"/>
          <w:spacing w:val="-15"/>
          <w:w w:val="105"/>
          <w:sz w:val="17"/>
        </w:rPr>
        <w:t> </w:t>
      </w:r>
      <w:r>
        <w:rPr>
          <w:rFonts w:ascii="Calibri" w:hAnsi="Calibri"/>
          <w:i/>
          <w:color w:val="231F20"/>
          <w:w w:val="105"/>
          <w:sz w:val="17"/>
        </w:rPr>
        <w:t>The</w:t>
      </w:r>
      <w:r>
        <w:rPr>
          <w:rFonts w:ascii="Calibri" w:hAnsi="Calibri"/>
          <w:i/>
          <w:color w:val="231F20"/>
          <w:spacing w:val="-14"/>
          <w:w w:val="105"/>
          <w:sz w:val="17"/>
        </w:rPr>
        <w:t> </w:t>
      </w:r>
      <w:r>
        <w:rPr>
          <w:rFonts w:ascii="Calibri" w:hAnsi="Calibri"/>
          <w:i/>
          <w:color w:val="231F20"/>
          <w:w w:val="105"/>
          <w:sz w:val="17"/>
        </w:rPr>
        <w:t>Human</w:t>
      </w:r>
      <w:r>
        <w:rPr>
          <w:rFonts w:ascii="Calibri" w:hAnsi="Calibri"/>
          <w:i/>
          <w:color w:val="231F20"/>
          <w:spacing w:val="-14"/>
          <w:w w:val="105"/>
          <w:sz w:val="17"/>
        </w:rPr>
        <w:t> </w:t>
      </w:r>
      <w:r>
        <w:rPr>
          <w:rFonts w:ascii="Calibri" w:hAnsi="Calibri"/>
          <w:i/>
          <w:color w:val="231F20"/>
          <w:w w:val="105"/>
          <w:sz w:val="17"/>
        </w:rPr>
        <w:t>Rights</w:t>
      </w:r>
      <w:r>
        <w:rPr>
          <w:rFonts w:ascii="Calibri" w:hAnsi="Calibri"/>
          <w:i/>
          <w:color w:val="231F20"/>
          <w:spacing w:val="-14"/>
          <w:w w:val="105"/>
          <w:sz w:val="17"/>
        </w:rPr>
        <w:t> </w:t>
      </w:r>
      <w:r>
        <w:rPr>
          <w:rFonts w:ascii="Calibri" w:hAnsi="Calibri"/>
          <w:i/>
          <w:color w:val="231F20"/>
          <w:w w:val="105"/>
          <w:sz w:val="17"/>
        </w:rPr>
        <w:t>Dimensions</w:t>
      </w:r>
      <w:r>
        <w:rPr>
          <w:rFonts w:ascii="Calibri" w:hAnsi="Calibri"/>
          <w:color w:val="231F20"/>
          <w:w w:val="105"/>
          <w:sz w:val="17"/>
        </w:rPr>
        <w:t>,</w:t>
      </w:r>
      <w:r>
        <w:rPr>
          <w:rFonts w:ascii="Calibri" w:hAnsi="Calibri"/>
          <w:color w:val="231F20"/>
          <w:spacing w:val="-13"/>
          <w:w w:val="105"/>
          <w:sz w:val="17"/>
        </w:rPr>
        <w:t> </w:t>
      </w:r>
      <w:r>
        <w:rPr>
          <w:rFonts w:ascii="Calibri" w:hAnsi="Calibri"/>
          <w:color w:val="231F20"/>
          <w:w w:val="105"/>
          <w:sz w:val="17"/>
        </w:rPr>
        <w:t>Abingdon–New</w:t>
      </w:r>
      <w:r>
        <w:rPr>
          <w:rFonts w:ascii="Calibri" w:hAnsi="Calibri"/>
          <w:color w:val="231F20"/>
          <w:spacing w:val="-15"/>
          <w:w w:val="105"/>
          <w:sz w:val="17"/>
        </w:rPr>
        <w:t> </w:t>
      </w:r>
      <w:r>
        <w:rPr>
          <w:rFonts w:ascii="Calibri" w:hAnsi="Calibri"/>
          <w:color w:val="231F20"/>
          <w:w w:val="105"/>
          <w:sz w:val="17"/>
        </w:rPr>
        <w:t>York,</w:t>
      </w:r>
      <w:r>
        <w:rPr>
          <w:rFonts w:ascii="Calibri" w:hAnsi="Calibri"/>
          <w:color w:val="231F20"/>
          <w:spacing w:val="-13"/>
          <w:w w:val="105"/>
          <w:sz w:val="17"/>
        </w:rPr>
        <w:t> </w:t>
      </w:r>
      <w:r>
        <w:rPr>
          <w:rFonts w:ascii="Calibri" w:hAnsi="Calibri"/>
          <w:color w:val="231F20"/>
          <w:w w:val="105"/>
          <w:sz w:val="17"/>
        </w:rPr>
        <w:t>Frank</w:t>
      </w:r>
      <w:r>
        <w:rPr>
          <w:rFonts w:ascii="Calibri" w:hAnsi="Calibri"/>
          <w:color w:val="231F20"/>
          <w:spacing w:val="-13"/>
          <w:w w:val="105"/>
          <w:sz w:val="17"/>
        </w:rPr>
        <w:t> </w:t>
      </w:r>
      <w:r>
        <w:rPr>
          <w:rFonts w:ascii="Calibri" w:hAnsi="Calibri"/>
          <w:color w:val="231F20"/>
          <w:w w:val="105"/>
          <w:sz w:val="17"/>
        </w:rPr>
        <w:t>Cass, </w:t>
      </w:r>
      <w:r>
        <w:rPr>
          <w:rFonts w:ascii="Calibri" w:hAnsi="Calibri"/>
          <w:color w:val="231F20"/>
          <w:w w:val="95"/>
          <w:sz w:val="17"/>
        </w:rPr>
        <w:t>2001, pp.</w:t>
      </w:r>
      <w:r>
        <w:rPr>
          <w:rFonts w:ascii="Calibri" w:hAnsi="Calibri"/>
          <w:color w:val="231F20"/>
          <w:spacing w:val="6"/>
          <w:w w:val="95"/>
          <w:sz w:val="17"/>
        </w:rPr>
        <w:t> </w:t>
      </w:r>
      <w:r>
        <w:rPr>
          <w:rFonts w:ascii="Calibri" w:hAnsi="Calibri"/>
          <w:color w:val="231F20"/>
          <w:w w:val="95"/>
          <w:sz w:val="17"/>
        </w:rPr>
        <w:t>314–323.</w:t>
      </w:r>
    </w:p>
    <w:p>
      <w:pPr>
        <w:spacing w:line="235" w:lineRule="auto" w:before="0"/>
        <w:ind w:left="117" w:right="101" w:firstLine="0"/>
        <w:jc w:val="both"/>
        <w:rPr>
          <w:rFonts w:ascii="Calibri" w:hAnsi="Calibri"/>
          <w:sz w:val="17"/>
        </w:rPr>
      </w:pPr>
      <w:r>
        <w:rPr>
          <w:rFonts w:ascii="Calibri" w:hAnsi="Calibri"/>
          <w:color w:val="231F20"/>
          <w:position w:val="6"/>
          <w:sz w:val="10"/>
        </w:rPr>
        <w:t>51 </w:t>
      </w:r>
      <w:r>
        <w:rPr>
          <w:rFonts w:ascii="Calibri" w:hAnsi="Calibri"/>
          <w:color w:val="231F20"/>
          <w:sz w:val="17"/>
        </w:rPr>
        <w:t>Axtmann, </w:t>
      </w:r>
      <w:r>
        <w:rPr>
          <w:rFonts w:ascii="Calibri" w:hAnsi="Calibri"/>
          <w:i/>
          <w:color w:val="231F20"/>
          <w:sz w:val="17"/>
        </w:rPr>
        <w:t>Carl Schmitt on International Politics</w:t>
      </w:r>
      <w:r>
        <w:rPr>
          <w:rFonts w:ascii="Calibri" w:hAnsi="Calibri"/>
          <w:color w:val="231F20"/>
          <w:sz w:val="17"/>
        </w:rPr>
        <w:t>, p. 538. Acerca de este punto véase J. Isensee, “Weltpolizei</w:t>
      </w:r>
      <w:r>
        <w:rPr>
          <w:rFonts w:ascii="Calibri" w:hAnsi="Calibri"/>
          <w:color w:val="231F20"/>
          <w:spacing w:val="-14"/>
          <w:sz w:val="17"/>
        </w:rPr>
        <w:t> </w:t>
      </w:r>
      <w:r>
        <w:rPr>
          <w:rFonts w:ascii="Calibri" w:hAnsi="Calibri"/>
          <w:color w:val="231F20"/>
          <w:sz w:val="17"/>
        </w:rPr>
        <w:t>für</w:t>
      </w:r>
      <w:r>
        <w:rPr>
          <w:rFonts w:ascii="Calibri" w:hAnsi="Calibri"/>
          <w:color w:val="231F20"/>
          <w:spacing w:val="-14"/>
          <w:sz w:val="17"/>
        </w:rPr>
        <w:t> </w:t>
      </w:r>
      <w:r>
        <w:rPr>
          <w:rFonts w:ascii="Calibri" w:hAnsi="Calibri"/>
          <w:color w:val="231F20"/>
          <w:sz w:val="17"/>
        </w:rPr>
        <w:t>Menschenrechte”,</w:t>
      </w:r>
      <w:r>
        <w:rPr>
          <w:rFonts w:ascii="Calibri" w:hAnsi="Calibri"/>
          <w:color w:val="231F20"/>
          <w:spacing w:val="-14"/>
          <w:sz w:val="17"/>
        </w:rPr>
        <w:t> </w:t>
      </w:r>
      <w:r>
        <w:rPr>
          <w:rFonts w:ascii="Calibri" w:hAnsi="Calibri"/>
          <w:color w:val="231F20"/>
          <w:sz w:val="17"/>
        </w:rPr>
        <w:t>en</w:t>
      </w:r>
      <w:r>
        <w:rPr>
          <w:rFonts w:ascii="Calibri" w:hAnsi="Calibri"/>
          <w:color w:val="231F20"/>
          <w:spacing w:val="-14"/>
          <w:sz w:val="17"/>
        </w:rPr>
        <w:t> </w:t>
      </w:r>
      <w:r>
        <w:rPr>
          <w:rFonts w:ascii="Calibri" w:hAnsi="Calibri"/>
          <w:i/>
          <w:color w:val="231F20"/>
          <w:sz w:val="17"/>
        </w:rPr>
        <w:t>Juristenzeitung</w:t>
      </w:r>
      <w:r>
        <w:rPr>
          <w:rFonts w:ascii="Calibri" w:hAnsi="Calibri"/>
          <w:color w:val="231F20"/>
          <w:sz w:val="17"/>
        </w:rPr>
        <w:t>,</w:t>
      </w:r>
      <w:r>
        <w:rPr>
          <w:rFonts w:ascii="Calibri" w:hAnsi="Calibri"/>
          <w:color w:val="231F20"/>
          <w:spacing w:val="-14"/>
          <w:sz w:val="17"/>
        </w:rPr>
        <w:t> </w:t>
      </w:r>
      <w:r>
        <w:rPr>
          <w:rFonts w:ascii="Calibri" w:hAnsi="Calibri"/>
          <w:color w:val="231F20"/>
          <w:sz w:val="17"/>
        </w:rPr>
        <w:t>1995,</w:t>
      </w:r>
      <w:r>
        <w:rPr>
          <w:rFonts w:ascii="Calibri" w:hAnsi="Calibri"/>
          <w:color w:val="231F20"/>
          <w:spacing w:val="-14"/>
          <w:sz w:val="17"/>
        </w:rPr>
        <w:t> </w:t>
      </w:r>
      <w:r>
        <w:rPr>
          <w:rFonts w:ascii="Calibri" w:hAnsi="Calibri"/>
          <w:color w:val="231F20"/>
          <w:sz w:val="17"/>
        </w:rPr>
        <w:t>p.</w:t>
      </w:r>
      <w:r>
        <w:rPr>
          <w:rFonts w:ascii="Calibri" w:hAnsi="Calibri"/>
          <w:color w:val="231F20"/>
          <w:spacing w:val="-14"/>
          <w:sz w:val="17"/>
        </w:rPr>
        <w:t> </w:t>
      </w:r>
      <w:r>
        <w:rPr>
          <w:rFonts w:ascii="Calibri" w:hAnsi="Calibri"/>
          <w:color w:val="231F20"/>
          <w:sz w:val="17"/>
        </w:rPr>
        <w:t>429:</w:t>
      </w:r>
      <w:r>
        <w:rPr>
          <w:rFonts w:ascii="Calibri" w:hAnsi="Calibri"/>
          <w:color w:val="231F20"/>
          <w:spacing w:val="-14"/>
          <w:sz w:val="17"/>
        </w:rPr>
        <w:t> </w:t>
      </w:r>
      <w:r>
        <w:rPr>
          <w:rFonts w:ascii="Calibri" w:hAnsi="Calibri"/>
          <w:color w:val="231F20"/>
          <w:sz w:val="17"/>
        </w:rPr>
        <w:t>“Da</w:t>
      </w:r>
      <w:r>
        <w:rPr>
          <w:rFonts w:ascii="Calibri" w:hAnsi="Calibri"/>
          <w:color w:val="231F20"/>
          <w:spacing w:val="-14"/>
          <w:sz w:val="17"/>
        </w:rPr>
        <w:t> </w:t>
      </w:r>
      <w:r>
        <w:rPr>
          <w:rFonts w:ascii="Calibri" w:hAnsi="Calibri"/>
          <w:color w:val="231F20"/>
          <w:sz w:val="17"/>
        </w:rPr>
        <w:t>quando</w:t>
      </w:r>
      <w:r>
        <w:rPr>
          <w:rFonts w:ascii="Calibri" w:hAnsi="Calibri"/>
          <w:color w:val="231F20"/>
          <w:spacing w:val="-14"/>
          <w:sz w:val="17"/>
        </w:rPr>
        <w:t> </w:t>
      </w:r>
      <w:r>
        <w:rPr>
          <w:rFonts w:ascii="Calibri" w:hAnsi="Calibri"/>
          <w:color w:val="231F20"/>
          <w:sz w:val="17"/>
        </w:rPr>
        <w:t>esistono</w:t>
      </w:r>
      <w:r>
        <w:rPr>
          <w:rFonts w:ascii="Calibri" w:hAnsi="Calibri"/>
          <w:color w:val="231F20"/>
          <w:spacing w:val="-14"/>
          <w:sz w:val="17"/>
        </w:rPr>
        <w:t> </w:t>
      </w:r>
      <w:r>
        <w:rPr>
          <w:rFonts w:ascii="Calibri" w:hAnsi="Calibri"/>
          <w:color w:val="231F20"/>
          <w:sz w:val="17"/>
        </w:rPr>
        <w:t>gli</w:t>
      </w:r>
      <w:r>
        <w:rPr>
          <w:rFonts w:ascii="Calibri" w:hAnsi="Calibri"/>
          <w:color w:val="231F20"/>
          <w:spacing w:val="-14"/>
          <w:sz w:val="17"/>
        </w:rPr>
        <w:t> </w:t>
      </w:r>
      <w:r>
        <w:rPr>
          <w:rFonts w:ascii="Calibri" w:hAnsi="Calibri"/>
          <w:color w:val="231F20"/>
          <w:sz w:val="17"/>
        </w:rPr>
        <w:t>interventi militari [l’idea di umanità] ha sempre prestato servizio sotto le più svariate bandiere ideologiche, subordinandosi per esempio —a partire dal Sei e Settecento— alle ideologie confessionali, monarchiche, giacobine, ai principi umanitari, alla rivoluzione socialista mondiale. Ora  tocca  ai diritti dell’uomo e alla democrazia. Nella lunga storia degli interventi militari, l’ideologia è sempre servita a mascherare gli interessi di potere perseguiti dagli attaccanti, e a consacrare l’eThcacia dell’intervento con il velo della </w:t>
      </w:r>
      <w:r>
        <w:rPr>
          <w:rFonts w:ascii="Calibri" w:hAnsi="Calibri"/>
          <w:color w:val="231F20"/>
          <w:spacing w:val="23"/>
          <w:sz w:val="17"/>
        </w:rPr>
        <w:t> </w:t>
      </w:r>
      <w:r>
        <w:rPr>
          <w:rFonts w:ascii="Calibri" w:hAnsi="Calibri"/>
          <w:color w:val="231F20"/>
          <w:sz w:val="17"/>
        </w:rPr>
        <w:t>legittimità”.</w:t>
      </w:r>
    </w:p>
    <w:p>
      <w:pPr>
        <w:spacing w:line="235" w:lineRule="auto" w:before="0"/>
        <w:ind w:left="117" w:right="101" w:firstLine="0"/>
        <w:jc w:val="both"/>
        <w:rPr>
          <w:rFonts w:ascii="Calibri" w:hAnsi="Calibri"/>
          <w:sz w:val="17"/>
        </w:rPr>
      </w:pPr>
      <w:r>
        <w:rPr>
          <w:rFonts w:ascii="Calibri" w:hAnsi="Calibri"/>
          <w:color w:val="231F20"/>
          <w:position w:val="6"/>
          <w:sz w:val="10"/>
        </w:rPr>
        <w:t>52 </w:t>
      </w:r>
      <w:r>
        <w:rPr>
          <w:rFonts w:ascii="Calibri" w:hAnsi="Calibri"/>
          <w:color w:val="231F20"/>
          <w:sz w:val="17"/>
        </w:rPr>
        <w:t>Zolo, </w:t>
      </w:r>
      <w:r>
        <w:rPr>
          <w:rFonts w:ascii="Calibri" w:hAnsi="Calibri"/>
          <w:i/>
          <w:color w:val="231F20"/>
          <w:sz w:val="17"/>
        </w:rPr>
        <w:t>La giustizia dei vincitori</w:t>
      </w:r>
      <w:r>
        <w:rPr>
          <w:rFonts w:ascii="Calibri" w:hAnsi="Calibri"/>
          <w:color w:val="231F20"/>
          <w:sz w:val="17"/>
        </w:rPr>
        <w:t>, p. 100, 126. Sul peculiare “paradigma imperiale” che fa da presupposto di questa interpretazione dell’interventismo umanitario si veda Zolo, </w:t>
      </w:r>
      <w:r>
        <w:rPr>
          <w:rFonts w:ascii="Calibri" w:hAnsi="Calibri"/>
          <w:i/>
          <w:color w:val="231F20"/>
          <w:sz w:val="17"/>
        </w:rPr>
        <w:t>La giustizia dei </w:t>
      </w:r>
      <w:r>
        <w:rPr>
          <w:rFonts w:ascii="Calibri" w:hAnsi="Calibri"/>
          <w:i/>
          <w:color w:val="231F20"/>
          <w:sz w:val="17"/>
        </w:rPr>
        <w:t>vincitori</w:t>
      </w:r>
      <w:r>
        <w:rPr>
          <w:rFonts w:ascii="Calibri" w:hAnsi="Calibri"/>
          <w:color w:val="231F20"/>
          <w:sz w:val="17"/>
        </w:rPr>
        <w:t>, pp. 112–113. Sull’influenza esercitata dal pensiero schmittiano anche su questa specifica direttrice del dibattito </w:t>
      </w:r>
      <w:r>
        <w:rPr>
          <w:rFonts w:ascii="Calibri" w:hAnsi="Calibri"/>
          <w:i/>
          <w:color w:val="231F20"/>
          <w:sz w:val="17"/>
        </w:rPr>
        <w:t>cfr</w:t>
      </w:r>
      <w:r>
        <w:rPr>
          <w:rFonts w:ascii="Calibri" w:hAnsi="Calibri"/>
          <w:color w:val="231F20"/>
          <w:sz w:val="17"/>
        </w:rPr>
        <w:t>. D. Zolo, “The re–emerging notion of Empire and the influence of Carl Schmitt’s thought”, </w:t>
      </w:r>
      <w:r>
        <w:rPr>
          <w:rFonts w:ascii="Calibri" w:hAnsi="Calibri"/>
          <w:i/>
          <w:color w:val="231F20"/>
          <w:sz w:val="17"/>
        </w:rPr>
        <w:t>The International Political Thought of Carl Schmitt</w:t>
      </w:r>
      <w:r>
        <w:rPr>
          <w:rFonts w:ascii="Calibri" w:hAnsi="Calibri"/>
          <w:color w:val="231F20"/>
          <w:sz w:val="17"/>
        </w:rPr>
        <w:t>, pp. 154–165.</w:t>
      </w:r>
    </w:p>
    <w:p>
      <w:pPr>
        <w:spacing w:after="0" w:line="235" w:lineRule="auto"/>
        <w:jc w:val="both"/>
        <w:rPr>
          <w:rFonts w:ascii="Calibri" w:hAnsi="Calibri"/>
          <w:sz w:val="17"/>
        </w:rPr>
        <w:sectPr>
          <w:type w:val="continuous"/>
          <w:pgSz w:w="9640" w:h="13890"/>
          <w:pgMar w:top="0" w:bottom="0" w:left="1300" w:right="1200"/>
        </w:sectPr>
      </w:pPr>
    </w:p>
    <w:p>
      <w:pPr>
        <w:pStyle w:val="BodyText"/>
        <w:spacing w:line="247" w:lineRule="auto" w:before="107"/>
        <w:ind w:left="103" w:right="112" w:firstLine="566"/>
        <w:jc w:val="both"/>
      </w:pPr>
      <w:r>
        <w:rPr>
          <w:color w:val="231F20"/>
          <w:spacing w:val="2"/>
          <w:w w:val="105"/>
        </w:rPr>
        <w:t>Sulla base </w:t>
      </w:r>
      <w:r>
        <w:rPr>
          <w:color w:val="231F20"/>
          <w:w w:val="105"/>
        </w:rPr>
        <w:t>di </w:t>
      </w:r>
      <w:r>
        <w:rPr>
          <w:color w:val="231F20"/>
          <w:spacing w:val="2"/>
          <w:w w:val="105"/>
        </w:rPr>
        <w:t>tali considerazioni, diversi autori hanno ritenuto </w:t>
      </w:r>
      <w:r>
        <w:rPr>
          <w:color w:val="231F20"/>
          <w:w w:val="105"/>
        </w:rPr>
        <w:t>di poter identificare proprio nella dottrina dell’intervento umanitario la più </w:t>
      </w:r>
      <w:r>
        <w:rPr>
          <w:color w:val="231F20"/>
        </w:rPr>
        <w:t>caratteristica</w:t>
      </w:r>
      <w:r>
        <w:rPr>
          <w:color w:val="231F20"/>
          <w:spacing w:val="-22"/>
        </w:rPr>
        <w:t> </w:t>
      </w:r>
      <w:r>
        <w:rPr>
          <w:color w:val="231F20"/>
        </w:rPr>
        <w:t>sovrastruttura</w:t>
      </w:r>
      <w:r>
        <w:rPr>
          <w:color w:val="231F20"/>
          <w:spacing w:val="-22"/>
        </w:rPr>
        <w:t> </w:t>
      </w:r>
      <w:r>
        <w:rPr>
          <w:color w:val="231F20"/>
        </w:rPr>
        <w:t>ideologico–discorsiva</w:t>
      </w:r>
      <w:r>
        <w:rPr>
          <w:color w:val="231F20"/>
          <w:spacing w:val="-22"/>
        </w:rPr>
        <w:t> </w:t>
      </w:r>
      <w:r>
        <w:rPr>
          <w:color w:val="231F20"/>
        </w:rPr>
        <w:t>di</w:t>
      </w:r>
      <w:r>
        <w:rPr>
          <w:color w:val="231F20"/>
          <w:spacing w:val="-22"/>
        </w:rPr>
        <w:t> </w:t>
      </w:r>
      <w:r>
        <w:rPr>
          <w:color w:val="231F20"/>
        </w:rPr>
        <w:t>un</w:t>
      </w:r>
      <w:r>
        <w:rPr>
          <w:color w:val="231F20"/>
          <w:spacing w:val="-22"/>
        </w:rPr>
        <w:t> </w:t>
      </w:r>
      <w:r>
        <w:rPr>
          <w:color w:val="231F20"/>
        </w:rPr>
        <w:t>“new</w:t>
      </w:r>
      <w:r>
        <w:rPr>
          <w:color w:val="231F20"/>
          <w:spacing w:val="-22"/>
        </w:rPr>
        <w:t> </w:t>
      </w:r>
      <w:r>
        <w:rPr>
          <w:color w:val="231F20"/>
        </w:rPr>
        <w:t>imperial</w:t>
      </w:r>
      <w:r>
        <w:rPr>
          <w:color w:val="231F20"/>
          <w:spacing w:val="-22"/>
        </w:rPr>
        <w:t> </w:t>
      </w:r>
      <w:r>
        <w:rPr>
          <w:color w:val="231F20"/>
          <w:spacing w:val="-3"/>
        </w:rPr>
        <w:t>order” </w:t>
      </w:r>
      <w:r>
        <w:rPr>
          <w:color w:val="231F20"/>
          <w:w w:val="105"/>
        </w:rPr>
        <w:t>sorto</w:t>
      </w:r>
      <w:r>
        <w:rPr>
          <w:color w:val="231F20"/>
          <w:spacing w:val="-16"/>
          <w:w w:val="105"/>
        </w:rPr>
        <w:t> </w:t>
      </w:r>
      <w:r>
        <w:rPr>
          <w:color w:val="231F20"/>
          <w:w w:val="105"/>
        </w:rPr>
        <w:t>sulle</w:t>
      </w:r>
      <w:r>
        <w:rPr>
          <w:color w:val="231F20"/>
          <w:spacing w:val="-16"/>
          <w:w w:val="105"/>
        </w:rPr>
        <w:t> </w:t>
      </w:r>
      <w:r>
        <w:rPr>
          <w:color w:val="231F20"/>
          <w:w w:val="105"/>
        </w:rPr>
        <w:t>macerie</w:t>
      </w:r>
      <w:r>
        <w:rPr>
          <w:color w:val="231F20"/>
          <w:spacing w:val="-16"/>
          <w:w w:val="105"/>
        </w:rPr>
        <w:t> </w:t>
      </w:r>
      <w:r>
        <w:rPr>
          <w:color w:val="231F20"/>
          <w:w w:val="105"/>
        </w:rPr>
        <w:t>della</w:t>
      </w:r>
      <w:r>
        <w:rPr>
          <w:color w:val="231F20"/>
          <w:spacing w:val="-16"/>
          <w:w w:val="105"/>
        </w:rPr>
        <w:t> </w:t>
      </w:r>
      <w:r>
        <w:rPr>
          <w:color w:val="231F20"/>
          <w:w w:val="105"/>
        </w:rPr>
        <w:t>tradizionale</w:t>
      </w:r>
      <w:r>
        <w:rPr>
          <w:color w:val="231F20"/>
          <w:spacing w:val="-16"/>
          <w:w w:val="105"/>
        </w:rPr>
        <w:t> </w:t>
      </w:r>
      <w:r>
        <w:rPr>
          <w:color w:val="231F20"/>
          <w:w w:val="105"/>
        </w:rPr>
        <w:t>società</w:t>
      </w:r>
      <w:r>
        <w:rPr>
          <w:color w:val="231F20"/>
          <w:spacing w:val="-16"/>
          <w:w w:val="105"/>
        </w:rPr>
        <w:t> </w:t>
      </w:r>
      <w:r>
        <w:rPr>
          <w:color w:val="231F20"/>
          <w:w w:val="105"/>
        </w:rPr>
        <w:t>internazionale</w:t>
      </w:r>
      <w:r>
        <w:rPr>
          <w:color w:val="231F20"/>
          <w:spacing w:val="-16"/>
          <w:w w:val="105"/>
        </w:rPr>
        <w:t> </w:t>
      </w:r>
      <w:r>
        <w:rPr>
          <w:color w:val="231F20"/>
          <w:w w:val="105"/>
        </w:rPr>
        <w:t>degli</w:t>
      </w:r>
      <w:r>
        <w:rPr>
          <w:color w:val="231F20"/>
          <w:spacing w:val="-16"/>
          <w:w w:val="105"/>
        </w:rPr>
        <w:t> </w:t>
      </w:r>
      <w:r>
        <w:rPr>
          <w:color w:val="231F20"/>
          <w:w w:val="105"/>
        </w:rPr>
        <w:t>Stati:</w:t>
      </w:r>
      <w:r>
        <w:rPr>
          <w:color w:val="231F20"/>
          <w:spacing w:val="-16"/>
          <w:w w:val="105"/>
        </w:rPr>
        <w:t> </w:t>
      </w:r>
      <w:r>
        <w:rPr>
          <w:color w:val="231F20"/>
          <w:w w:val="105"/>
        </w:rPr>
        <w:t>la privilegiata</w:t>
      </w:r>
      <w:r>
        <w:rPr>
          <w:color w:val="231F20"/>
          <w:spacing w:val="-12"/>
          <w:w w:val="105"/>
        </w:rPr>
        <w:t> </w:t>
      </w:r>
      <w:r>
        <w:rPr>
          <w:color w:val="231F20"/>
          <w:w w:val="105"/>
        </w:rPr>
        <w:t>base</w:t>
      </w:r>
      <w:r>
        <w:rPr>
          <w:color w:val="231F20"/>
          <w:spacing w:val="-12"/>
          <w:w w:val="105"/>
        </w:rPr>
        <w:t> </w:t>
      </w:r>
      <w:r>
        <w:rPr>
          <w:color w:val="231F20"/>
          <w:w w:val="105"/>
        </w:rPr>
        <w:t>di</w:t>
      </w:r>
      <w:r>
        <w:rPr>
          <w:color w:val="231F20"/>
          <w:spacing w:val="-12"/>
          <w:w w:val="105"/>
        </w:rPr>
        <w:t> </w:t>
      </w:r>
      <w:r>
        <w:rPr>
          <w:color w:val="231F20"/>
          <w:w w:val="105"/>
        </w:rPr>
        <w:t>legittimazione,</w:t>
      </w:r>
      <w:r>
        <w:rPr>
          <w:color w:val="231F20"/>
          <w:spacing w:val="-12"/>
          <w:w w:val="105"/>
        </w:rPr>
        <w:t> </w:t>
      </w:r>
      <w:r>
        <w:rPr>
          <w:color w:val="231F20"/>
          <w:w w:val="105"/>
        </w:rPr>
        <w:t>cioè,</w:t>
      </w:r>
      <w:r>
        <w:rPr>
          <w:color w:val="231F20"/>
          <w:spacing w:val="-12"/>
          <w:w w:val="105"/>
        </w:rPr>
        <w:t> </w:t>
      </w:r>
      <w:r>
        <w:rPr>
          <w:color w:val="231F20"/>
          <w:w w:val="105"/>
        </w:rPr>
        <w:t>di</w:t>
      </w:r>
      <w:r>
        <w:rPr>
          <w:color w:val="231F20"/>
          <w:spacing w:val="-12"/>
          <w:w w:val="105"/>
        </w:rPr>
        <w:t> </w:t>
      </w:r>
      <w:r>
        <w:rPr>
          <w:color w:val="231F20"/>
          <w:w w:val="105"/>
        </w:rPr>
        <w:t>un</w:t>
      </w:r>
      <w:r>
        <w:rPr>
          <w:color w:val="231F20"/>
          <w:spacing w:val="-12"/>
          <w:w w:val="105"/>
        </w:rPr>
        <w:t> </w:t>
      </w:r>
      <w:r>
        <w:rPr>
          <w:color w:val="231F20"/>
          <w:w w:val="105"/>
        </w:rPr>
        <w:t>sistema</w:t>
      </w:r>
      <w:r>
        <w:rPr>
          <w:color w:val="231F20"/>
          <w:spacing w:val="-12"/>
          <w:w w:val="105"/>
        </w:rPr>
        <w:t> </w:t>
      </w:r>
      <w:r>
        <w:rPr>
          <w:color w:val="231F20"/>
          <w:w w:val="105"/>
        </w:rPr>
        <w:t>di</w:t>
      </w:r>
      <w:r>
        <w:rPr>
          <w:color w:val="231F20"/>
          <w:spacing w:val="-12"/>
          <w:w w:val="105"/>
        </w:rPr>
        <w:t> </w:t>
      </w:r>
      <w:r>
        <w:rPr>
          <w:color w:val="231F20"/>
          <w:w w:val="105"/>
        </w:rPr>
        <w:t>dominio</w:t>
      </w:r>
      <w:r>
        <w:rPr>
          <w:color w:val="231F20"/>
          <w:spacing w:val="-12"/>
          <w:w w:val="105"/>
        </w:rPr>
        <w:t> </w:t>
      </w:r>
      <w:r>
        <w:rPr>
          <w:color w:val="231F20"/>
          <w:w w:val="105"/>
        </w:rPr>
        <w:t>globale centrato</w:t>
      </w:r>
      <w:r>
        <w:rPr>
          <w:color w:val="231F20"/>
          <w:spacing w:val="-17"/>
          <w:w w:val="105"/>
        </w:rPr>
        <w:t> </w:t>
      </w:r>
      <w:r>
        <w:rPr>
          <w:color w:val="231F20"/>
          <w:w w:val="105"/>
        </w:rPr>
        <w:t>sulla</w:t>
      </w:r>
      <w:r>
        <w:rPr>
          <w:color w:val="231F20"/>
          <w:spacing w:val="-17"/>
          <w:w w:val="105"/>
        </w:rPr>
        <w:t> </w:t>
      </w:r>
      <w:r>
        <w:rPr>
          <w:color w:val="231F20"/>
          <w:w w:val="105"/>
        </w:rPr>
        <w:t>riabilitazione</w:t>
      </w:r>
      <w:r>
        <w:rPr>
          <w:color w:val="231F20"/>
          <w:spacing w:val="-17"/>
          <w:w w:val="105"/>
        </w:rPr>
        <w:t> </w:t>
      </w:r>
      <w:r>
        <w:rPr>
          <w:color w:val="231F20"/>
          <w:w w:val="105"/>
        </w:rPr>
        <w:t>dell’uso</w:t>
      </w:r>
      <w:r>
        <w:rPr>
          <w:color w:val="231F20"/>
          <w:spacing w:val="-17"/>
          <w:w w:val="105"/>
        </w:rPr>
        <w:t> </w:t>
      </w:r>
      <w:r>
        <w:rPr>
          <w:color w:val="231F20"/>
          <w:w w:val="105"/>
        </w:rPr>
        <w:t>della</w:t>
      </w:r>
      <w:r>
        <w:rPr>
          <w:color w:val="231F20"/>
          <w:spacing w:val="-17"/>
          <w:w w:val="105"/>
        </w:rPr>
        <w:t> </w:t>
      </w:r>
      <w:r>
        <w:rPr>
          <w:color w:val="231F20"/>
          <w:w w:val="105"/>
        </w:rPr>
        <w:t>forza</w:t>
      </w:r>
      <w:r>
        <w:rPr>
          <w:color w:val="231F20"/>
          <w:spacing w:val="-17"/>
          <w:w w:val="105"/>
        </w:rPr>
        <w:t> </w:t>
      </w:r>
      <w:r>
        <w:rPr>
          <w:color w:val="231F20"/>
          <w:w w:val="105"/>
        </w:rPr>
        <w:t>come</w:t>
      </w:r>
      <w:r>
        <w:rPr>
          <w:color w:val="231F20"/>
          <w:spacing w:val="-17"/>
          <w:w w:val="105"/>
        </w:rPr>
        <w:t> </w:t>
      </w:r>
      <w:r>
        <w:rPr>
          <w:color w:val="231F20"/>
          <w:w w:val="105"/>
        </w:rPr>
        <w:t>ordinario</w:t>
      </w:r>
      <w:r>
        <w:rPr>
          <w:color w:val="231F20"/>
          <w:spacing w:val="-17"/>
          <w:w w:val="105"/>
        </w:rPr>
        <w:t> </w:t>
      </w:r>
      <w:r>
        <w:rPr>
          <w:color w:val="231F20"/>
          <w:w w:val="105"/>
        </w:rPr>
        <w:t>strumento di</w:t>
      </w:r>
      <w:r>
        <w:rPr>
          <w:color w:val="231F20"/>
          <w:spacing w:val="-8"/>
          <w:w w:val="105"/>
        </w:rPr>
        <w:t> </w:t>
      </w:r>
      <w:r>
        <w:rPr>
          <w:color w:val="231F20"/>
          <w:w w:val="105"/>
        </w:rPr>
        <w:t>politica</w:t>
      </w:r>
      <w:r>
        <w:rPr>
          <w:color w:val="231F20"/>
          <w:spacing w:val="-8"/>
          <w:w w:val="105"/>
        </w:rPr>
        <w:t> </w:t>
      </w:r>
      <w:r>
        <w:rPr>
          <w:color w:val="231F20"/>
          <w:w w:val="105"/>
        </w:rPr>
        <w:t>internazionale.</w:t>
      </w:r>
      <w:r>
        <w:rPr>
          <w:color w:val="231F20"/>
          <w:spacing w:val="-8"/>
          <w:w w:val="105"/>
        </w:rPr>
        <w:t> </w:t>
      </w:r>
      <w:r>
        <w:rPr>
          <w:color w:val="231F20"/>
          <w:w w:val="105"/>
        </w:rPr>
        <w:t>Secondo</w:t>
      </w:r>
      <w:r>
        <w:rPr>
          <w:color w:val="231F20"/>
          <w:spacing w:val="-8"/>
          <w:w w:val="105"/>
        </w:rPr>
        <w:t> </w:t>
      </w:r>
      <w:r>
        <w:rPr>
          <w:color w:val="231F20"/>
          <w:w w:val="105"/>
        </w:rPr>
        <w:t>tale</w:t>
      </w:r>
      <w:r>
        <w:rPr>
          <w:color w:val="231F20"/>
          <w:spacing w:val="-8"/>
          <w:w w:val="105"/>
        </w:rPr>
        <w:t> </w:t>
      </w:r>
      <w:r>
        <w:rPr>
          <w:color w:val="231F20"/>
          <w:w w:val="105"/>
        </w:rPr>
        <w:t>lettura,</w:t>
      </w:r>
      <w:r>
        <w:rPr>
          <w:color w:val="231F20"/>
          <w:spacing w:val="-8"/>
          <w:w w:val="105"/>
        </w:rPr>
        <w:t> </w:t>
      </w:r>
      <w:r>
        <w:rPr>
          <w:color w:val="231F20"/>
          <w:w w:val="105"/>
        </w:rPr>
        <w:t>è</w:t>
      </w:r>
      <w:r>
        <w:rPr>
          <w:color w:val="231F20"/>
          <w:spacing w:val="-8"/>
          <w:w w:val="105"/>
        </w:rPr>
        <w:t> </w:t>
      </w:r>
      <w:r>
        <w:rPr>
          <w:color w:val="231F20"/>
          <w:w w:val="105"/>
        </w:rPr>
        <w:t>per</w:t>
      </w:r>
      <w:r>
        <w:rPr>
          <w:color w:val="231F20"/>
          <w:spacing w:val="-8"/>
          <w:w w:val="105"/>
        </w:rPr>
        <w:t> </w:t>
      </w:r>
      <w:r>
        <w:rPr>
          <w:color w:val="231F20"/>
          <w:w w:val="105"/>
        </w:rPr>
        <w:t>il</w:t>
      </w:r>
      <w:r>
        <w:rPr>
          <w:color w:val="231F20"/>
          <w:spacing w:val="-8"/>
          <w:w w:val="105"/>
        </w:rPr>
        <w:t> </w:t>
      </w:r>
      <w:r>
        <w:rPr>
          <w:color w:val="231F20"/>
          <w:w w:val="105"/>
        </w:rPr>
        <w:t>tramite</w:t>
      </w:r>
      <w:r>
        <w:rPr>
          <w:color w:val="231F20"/>
          <w:spacing w:val="-8"/>
          <w:w w:val="105"/>
        </w:rPr>
        <w:t> </w:t>
      </w:r>
      <w:r>
        <w:rPr>
          <w:color w:val="231F20"/>
          <w:w w:val="105"/>
        </w:rPr>
        <w:t>di</w:t>
      </w:r>
      <w:r>
        <w:rPr>
          <w:color w:val="231F20"/>
          <w:spacing w:val="-8"/>
          <w:w w:val="105"/>
        </w:rPr>
        <w:t> </w:t>
      </w:r>
      <w:r>
        <w:rPr>
          <w:color w:val="231F20"/>
          <w:w w:val="105"/>
        </w:rPr>
        <w:t>questa costellazione</w:t>
      </w:r>
      <w:r>
        <w:rPr>
          <w:color w:val="231F20"/>
          <w:spacing w:val="-23"/>
          <w:w w:val="105"/>
        </w:rPr>
        <w:t> </w:t>
      </w:r>
      <w:r>
        <w:rPr>
          <w:color w:val="231F20"/>
          <w:w w:val="105"/>
        </w:rPr>
        <w:t>retorica</w:t>
      </w:r>
      <w:r>
        <w:rPr>
          <w:color w:val="231F20"/>
          <w:spacing w:val="-23"/>
          <w:w w:val="105"/>
        </w:rPr>
        <w:t> </w:t>
      </w:r>
      <w:r>
        <w:rPr>
          <w:color w:val="231F20"/>
          <w:w w:val="105"/>
        </w:rPr>
        <w:t>e</w:t>
      </w:r>
      <w:r>
        <w:rPr>
          <w:color w:val="231F20"/>
          <w:spacing w:val="-23"/>
          <w:w w:val="105"/>
        </w:rPr>
        <w:t> </w:t>
      </w:r>
      <w:r>
        <w:rPr>
          <w:color w:val="231F20"/>
          <w:w w:val="105"/>
        </w:rPr>
        <w:t>argomentativa,</w:t>
      </w:r>
      <w:r>
        <w:rPr>
          <w:color w:val="231F20"/>
          <w:spacing w:val="-23"/>
          <w:w w:val="105"/>
        </w:rPr>
        <w:t> </w:t>
      </w:r>
      <w:r>
        <w:rPr>
          <w:color w:val="231F20"/>
          <w:w w:val="105"/>
        </w:rPr>
        <w:t>infatti,</w:t>
      </w:r>
      <w:r>
        <w:rPr>
          <w:color w:val="231F20"/>
          <w:spacing w:val="-23"/>
          <w:w w:val="105"/>
        </w:rPr>
        <w:t> </w:t>
      </w:r>
      <w:r>
        <w:rPr>
          <w:color w:val="231F20"/>
          <w:w w:val="105"/>
        </w:rPr>
        <w:t>che,</w:t>
      </w:r>
      <w:r>
        <w:rPr>
          <w:color w:val="231F20"/>
          <w:spacing w:val="-23"/>
          <w:w w:val="105"/>
        </w:rPr>
        <w:t> </w:t>
      </w:r>
      <w:r>
        <w:rPr>
          <w:color w:val="231F20"/>
          <w:w w:val="105"/>
        </w:rPr>
        <w:t>“in</w:t>
      </w:r>
      <w:r>
        <w:rPr>
          <w:color w:val="231F20"/>
          <w:spacing w:val="-23"/>
          <w:w w:val="105"/>
        </w:rPr>
        <w:t> </w:t>
      </w:r>
      <w:r>
        <w:rPr>
          <w:color w:val="231F20"/>
          <w:w w:val="105"/>
        </w:rPr>
        <w:t>una</w:t>
      </w:r>
      <w:r>
        <w:rPr>
          <w:color w:val="231F20"/>
          <w:spacing w:val="-23"/>
          <w:w w:val="105"/>
        </w:rPr>
        <w:t> </w:t>
      </w:r>
      <w:r>
        <w:rPr>
          <w:color w:val="231F20"/>
          <w:w w:val="105"/>
        </w:rPr>
        <w:t>maniera</w:t>
      </w:r>
      <w:r>
        <w:rPr>
          <w:color w:val="231F20"/>
          <w:spacing w:val="-23"/>
          <w:w w:val="105"/>
        </w:rPr>
        <w:t> </w:t>
      </w:r>
      <w:r>
        <w:rPr>
          <w:color w:val="231F20"/>
          <w:w w:val="105"/>
        </w:rPr>
        <w:t>quasi religiosa”,</w:t>
      </w:r>
      <w:r>
        <w:rPr>
          <w:color w:val="231F20"/>
          <w:spacing w:val="-24"/>
          <w:w w:val="105"/>
        </w:rPr>
        <w:t> </w:t>
      </w:r>
      <w:r>
        <w:rPr>
          <w:color w:val="231F20"/>
          <w:w w:val="105"/>
        </w:rPr>
        <w:t>un</w:t>
      </w:r>
      <w:r>
        <w:rPr>
          <w:color w:val="231F20"/>
          <w:spacing w:val="-24"/>
          <w:w w:val="105"/>
        </w:rPr>
        <w:t> </w:t>
      </w:r>
      <w:r>
        <w:rPr>
          <w:color w:val="231F20"/>
          <w:w w:val="105"/>
        </w:rPr>
        <w:t>sistema</w:t>
      </w:r>
      <w:r>
        <w:rPr>
          <w:color w:val="231F20"/>
          <w:spacing w:val="-24"/>
          <w:w w:val="105"/>
        </w:rPr>
        <w:t> </w:t>
      </w:r>
      <w:r>
        <w:rPr>
          <w:color w:val="231F20"/>
          <w:w w:val="105"/>
        </w:rPr>
        <w:t>di</w:t>
      </w:r>
      <w:r>
        <w:rPr>
          <w:color w:val="231F20"/>
          <w:spacing w:val="-24"/>
          <w:w w:val="105"/>
        </w:rPr>
        <w:t> </w:t>
      </w:r>
      <w:r>
        <w:rPr>
          <w:color w:val="231F20"/>
          <w:w w:val="105"/>
        </w:rPr>
        <w:t>norme</w:t>
      </w:r>
      <w:r>
        <w:rPr>
          <w:color w:val="231F20"/>
          <w:spacing w:val="-24"/>
          <w:w w:val="105"/>
        </w:rPr>
        <w:t> </w:t>
      </w:r>
      <w:r>
        <w:rPr>
          <w:color w:val="231F20"/>
          <w:w w:val="105"/>
        </w:rPr>
        <w:t>giuridiche</w:t>
      </w:r>
      <w:r>
        <w:rPr>
          <w:color w:val="231F20"/>
          <w:spacing w:val="-24"/>
          <w:w w:val="105"/>
        </w:rPr>
        <w:t> </w:t>
      </w:r>
      <w:r>
        <w:rPr>
          <w:color w:val="231F20"/>
          <w:w w:val="105"/>
        </w:rPr>
        <w:t>generalmente</w:t>
      </w:r>
      <w:r>
        <w:rPr>
          <w:color w:val="231F20"/>
          <w:spacing w:val="-24"/>
          <w:w w:val="105"/>
        </w:rPr>
        <w:t> </w:t>
      </w:r>
      <w:r>
        <w:rPr>
          <w:color w:val="231F20"/>
          <w:w w:val="105"/>
        </w:rPr>
        <w:t>condivise</w:t>
      </w:r>
      <w:r>
        <w:rPr>
          <w:color w:val="231F20"/>
          <w:spacing w:val="-24"/>
          <w:w w:val="105"/>
        </w:rPr>
        <w:t> </w:t>
      </w:r>
      <w:r>
        <w:rPr>
          <w:color w:val="231F20"/>
          <w:w w:val="105"/>
        </w:rPr>
        <w:t>è</w:t>
      </w:r>
      <w:r>
        <w:rPr>
          <w:color w:val="231F20"/>
          <w:spacing w:val="-24"/>
          <w:w w:val="105"/>
        </w:rPr>
        <w:t> </w:t>
      </w:r>
      <w:r>
        <w:rPr>
          <w:color w:val="231F20"/>
          <w:w w:val="105"/>
        </w:rPr>
        <w:t>stato </w:t>
      </w:r>
      <w:r>
        <w:rPr>
          <w:color w:val="231F20"/>
          <w:spacing w:val="-3"/>
        </w:rPr>
        <w:t>progressivamente</w:t>
      </w:r>
      <w:r>
        <w:rPr>
          <w:color w:val="231F20"/>
          <w:spacing w:val="-17"/>
        </w:rPr>
        <w:t> </w:t>
      </w:r>
      <w:r>
        <w:rPr>
          <w:color w:val="231F20"/>
        </w:rPr>
        <w:t>sostituito</w:t>
      </w:r>
      <w:r>
        <w:rPr>
          <w:color w:val="231F20"/>
          <w:spacing w:val="-17"/>
        </w:rPr>
        <w:t> </w:t>
      </w:r>
      <w:r>
        <w:rPr>
          <w:color w:val="231F20"/>
        </w:rPr>
        <w:t>da</w:t>
      </w:r>
      <w:r>
        <w:rPr>
          <w:color w:val="231F20"/>
          <w:spacing w:val="-17"/>
        </w:rPr>
        <w:t> </w:t>
      </w:r>
      <w:r>
        <w:rPr>
          <w:color w:val="231F20"/>
        </w:rPr>
        <w:t>una</w:t>
      </w:r>
      <w:r>
        <w:rPr>
          <w:color w:val="231F20"/>
          <w:spacing w:val="-17"/>
        </w:rPr>
        <w:t> </w:t>
      </w:r>
      <w:r>
        <w:rPr>
          <w:color w:val="231F20"/>
        </w:rPr>
        <w:t>fumosa</w:t>
      </w:r>
      <w:r>
        <w:rPr>
          <w:color w:val="231F20"/>
          <w:spacing w:val="-17"/>
        </w:rPr>
        <w:t> </w:t>
      </w:r>
      <w:r>
        <w:rPr>
          <w:color w:val="231F20"/>
        </w:rPr>
        <w:t>costellazione</w:t>
      </w:r>
      <w:r>
        <w:rPr>
          <w:color w:val="231F20"/>
          <w:spacing w:val="-17"/>
        </w:rPr>
        <w:t> </w:t>
      </w:r>
      <w:r>
        <w:rPr>
          <w:color w:val="231F20"/>
        </w:rPr>
        <w:t>di</w:t>
      </w:r>
      <w:r>
        <w:rPr>
          <w:color w:val="231F20"/>
          <w:spacing w:val="-17"/>
        </w:rPr>
        <w:t> </w:t>
      </w:r>
      <w:r>
        <w:rPr>
          <w:color w:val="231F20"/>
        </w:rPr>
        <w:t>superiori</w:t>
      </w:r>
      <w:r>
        <w:rPr>
          <w:color w:val="231F20"/>
          <w:spacing w:val="-17"/>
        </w:rPr>
        <w:t> </w:t>
      </w:r>
      <w:r>
        <w:rPr>
          <w:color w:val="231F20"/>
        </w:rPr>
        <w:t>principi </w:t>
      </w:r>
      <w:r>
        <w:rPr>
          <w:color w:val="231F20"/>
          <w:w w:val="105"/>
        </w:rPr>
        <w:t>morali, in grado di legittimare “azioni che altrimenti dovrebbero essere qualificate</w:t>
      </w:r>
      <w:r>
        <w:rPr>
          <w:color w:val="231F20"/>
          <w:spacing w:val="-6"/>
          <w:w w:val="105"/>
        </w:rPr>
        <w:t> </w:t>
      </w:r>
      <w:r>
        <w:rPr>
          <w:color w:val="231F20"/>
          <w:w w:val="105"/>
        </w:rPr>
        <w:t>come</w:t>
      </w:r>
      <w:r>
        <w:rPr>
          <w:color w:val="231F20"/>
          <w:spacing w:val="-6"/>
          <w:w w:val="105"/>
        </w:rPr>
        <w:t> </w:t>
      </w:r>
      <w:r>
        <w:rPr>
          <w:color w:val="231F20"/>
          <w:w w:val="105"/>
        </w:rPr>
        <w:t>crimini</w:t>
      </w:r>
      <w:r>
        <w:rPr>
          <w:color w:val="231F20"/>
          <w:spacing w:val="-6"/>
          <w:w w:val="105"/>
        </w:rPr>
        <w:t> </w:t>
      </w:r>
      <w:r>
        <w:rPr>
          <w:color w:val="231F20"/>
          <w:w w:val="105"/>
        </w:rPr>
        <w:t>di</w:t>
      </w:r>
      <w:r>
        <w:rPr>
          <w:color w:val="231F20"/>
          <w:spacing w:val="-6"/>
          <w:w w:val="105"/>
        </w:rPr>
        <w:t> </w:t>
      </w:r>
      <w:r>
        <w:rPr>
          <w:color w:val="231F20"/>
          <w:w w:val="105"/>
        </w:rPr>
        <w:t>guerra”</w:t>
      </w:r>
      <w:r>
        <w:rPr>
          <w:color w:val="231F20"/>
          <w:w w:val="105"/>
          <w:position w:val="7"/>
          <w:sz w:val="12"/>
        </w:rPr>
        <w:t>53</w:t>
      </w:r>
      <w:r>
        <w:rPr>
          <w:color w:val="231F20"/>
          <w:w w:val="105"/>
        </w:rPr>
        <w:t>.</w:t>
      </w:r>
      <w:r>
        <w:rPr>
          <w:color w:val="231F20"/>
          <w:spacing w:val="-6"/>
          <w:w w:val="105"/>
        </w:rPr>
        <w:t> </w:t>
      </w:r>
      <w:r>
        <w:rPr>
          <w:color w:val="231F20"/>
          <w:w w:val="105"/>
        </w:rPr>
        <w:t>Una</w:t>
      </w:r>
      <w:r>
        <w:rPr>
          <w:color w:val="231F20"/>
          <w:spacing w:val="-6"/>
          <w:w w:val="105"/>
        </w:rPr>
        <w:t> </w:t>
      </w:r>
      <w:r>
        <w:rPr>
          <w:color w:val="231F20"/>
          <w:w w:val="105"/>
        </w:rPr>
        <w:t>strategia,</w:t>
      </w:r>
      <w:r>
        <w:rPr>
          <w:color w:val="231F20"/>
          <w:spacing w:val="-6"/>
          <w:w w:val="105"/>
        </w:rPr>
        <w:t> </w:t>
      </w:r>
      <w:r>
        <w:rPr>
          <w:color w:val="231F20"/>
          <w:w w:val="105"/>
        </w:rPr>
        <w:t>questa,</w:t>
      </w:r>
      <w:r>
        <w:rPr>
          <w:color w:val="231F20"/>
          <w:spacing w:val="-6"/>
          <w:w w:val="105"/>
        </w:rPr>
        <w:t> </w:t>
      </w:r>
      <w:r>
        <w:rPr>
          <w:color w:val="231F20"/>
          <w:w w:val="105"/>
        </w:rPr>
        <w:t>che</w:t>
      </w:r>
      <w:r>
        <w:rPr>
          <w:color w:val="231F20"/>
          <w:spacing w:val="-6"/>
          <w:w w:val="105"/>
        </w:rPr>
        <w:t> </w:t>
      </w:r>
      <w:r>
        <w:rPr>
          <w:color w:val="231F20"/>
          <w:w w:val="105"/>
        </w:rPr>
        <w:t>—come è stato sottolineato— implica un approccio apertamente disegualitario, addirittura</w:t>
      </w:r>
      <w:r>
        <w:rPr>
          <w:color w:val="231F20"/>
          <w:spacing w:val="-48"/>
          <w:w w:val="105"/>
        </w:rPr>
        <w:t> </w:t>
      </w:r>
      <w:r>
        <w:rPr>
          <w:color w:val="231F20"/>
          <w:w w:val="105"/>
        </w:rPr>
        <w:t>“razzista”</w:t>
      </w:r>
      <w:r>
        <w:rPr>
          <w:color w:val="231F20"/>
          <w:w w:val="105"/>
          <w:position w:val="7"/>
          <w:sz w:val="12"/>
        </w:rPr>
        <w:t>54</w:t>
      </w:r>
      <w:r>
        <w:rPr>
          <w:color w:val="231F20"/>
          <w:w w:val="105"/>
        </w:rPr>
        <w:t>,</w:t>
      </w:r>
      <w:r>
        <w:rPr>
          <w:color w:val="231F20"/>
          <w:spacing w:val="-47"/>
          <w:w w:val="105"/>
        </w:rPr>
        <w:t> </w:t>
      </w:r>
      <w:r>
        <w:rPr>
          <w:color w:val="231F20"/>
          <w:w w:val="105"/>
        </w:rPr>
        <w:t>nei</w:t>
      </w:r>
      <w:r>
        <w:rPr>
          <w:color w:val="231F20"/>
          <w:spacing w:val="-47"/>
          <w:w w:val="105"/>
        </w:rPr>
        <w:t> </w:t>
      </w:r>
      <w:r>
        <w:rPr>
          <w:color w:val="231F20"/>
          <w:w w:val="105"/>
        </w:rPr>
        <w:t>confronti</w:t>
      </w:r>
      <w:r>
        <w:rPr>
          <w:color w:val="231F20"/>
          <w:spacing w:val="-47"/>
          <w:w w:val="105"/>
        </w:rPr>
        <w:t> </w:t>
      </w:r>
      <w:r>
        <w:rPr>
          <w:color w:val="231F20"/>
          <w:w w:val="105"/>
        </w:rPr>
        <w:t>di</w:t>
      </w:r>
      <w:r>
        <w:rPr>
          <w:color w:val="231F20"/>
          <w:spacing w:val="-48"/>
          <w:w w:val="105"/>
        </w:rPr>
        <w:t> </w:t>
      </w:r>
      <w:r>
        <w:rPr>
          <w:color w:val="231F20"/>
          <w:w w:val="105"/>
        </w:rPr>
        <w:t>una</w:t>
      </w:r>
      <w:r>
        <w:rPr>
          <w:color w:val="231F20"/>
          <w:spacing w:val="-47"/>
          <w:w w:val="105"/>
        </w:rPr>
        <w:t> </w:t>
      </w:r>
      <w:r>
        <w:rPr>
          <w:color w:val="231F20"/>
          <w:w w:val="105"/>
        </w:rPr>
        <w:t>larga</w:t>
      </w:r>
      <w:r>
        <w:rPr>
          <w:color w:val="231F20"/>
          <w:spacing w:val="-47"/>
          <w:w w:val="105"/>
        </w:rPr>
        <w:t> </w:t>
      </w:r>
      <w:r>
        <w:rPr>
          <w:color w:val="231F20"/>
          <w:w w:val="105"/>
        </w:rPr>
        <w:t>parte</w:t>
      </w:r>
      <w:r>
        <w:rPr>
          <w:color w:val="231F20"/>
          <w:spacing w:val="-48"/>
          <w:w w:val="105"/>
        </w:rPr>
        <w:t> </w:t>
      </w:r>
      <w:r>
        <w:rPr>
          <w:color w:val="231F20"/>
          <w:w w:val="105"/>
        </w:rPr>
        <w:t>degli</w:t>
      </w:r>
      <w:r>
        <w:rPr>
          <w:color w:val="231F20"/>
          <w:spacing w:val="-48"/>
          <w:w w:val="105"/>
        </w:rPr>
        <w:t> </w:t>
      </w:r>
      <w:r>
        <w:rPr>
          <w:color w:val="231F20"/>
          <w:w w:val="105"/>
        </w:rPr>
        <w:t>Stati</w:t>
      </w:r>
      <w:r>
        <w:rPr>
          <w:color w:val="231F20"/>
          <w:spacing w:val="-48"/>
          <w:w w:val="105"/>
        </w:rPr>
        <w:t> </w:t>
      </w:r>
      <w:r>
        <w:rPr>
          <w:color w:val="231F20"/>
          <w:w w:val="105"/>
        </w:rPr>
        <w:t>esistenti</w:t>
      </w:r>
      <w:r>
        <w:rPr>
          <w:color w:val="231F20"/>
          <w:w w:val="105"/>
          <w:position w:val="7"/>
          <w:sz w:val="12"/>
        </w:rPr>
        <w:t>55</w:t>
      </w:r>
      <w:r>
        <w:rPr>
          <w:color w:val="231F20"/>
          <w:w w:val="105"/>
        </w:rPr>
        <w:t>, </w:t>
      </w:r>
      <w:r>
        <w:rPr>
          <w:color w:val="231F20"/>
          <w:spacing w:val="-4"/>
          <w:w w:val="105"/>
        </w:rPr>
        <w:t>riaprendo</w:t>
      </w:r>
      <w:r>
        <w:rPr>
          <w:color w:val="231F20"/>
          <w:spacing w:val="-48"/>
          <w:w w:val="105"/>
        </w:rPr>
        <w:t> </w:t>
      </w:r>
      <w:r>
        <w:rPr>
          <w:color w:val="231F20"/>
          <w:spacing w:val="-3"/>
          <w:w w:val="105"/>
        </w:rPr>
        <w:t>non</w:t>
      </w:r>
      <w:r>
        <w:rPr>
          <w:color w:val="231F20"/>
          <w:spacing w:val="-48"/>
          <w:w w:val="105"/>
        </w:rPr>
        <w:t> </w:t>
      </w:r>
      <w:r>
        <w:rPr>
          <w:color w:val="231F20"/>
          <w:w w:val="105"/>
        </w:rPr>
        <w:t>a</w:t>
      </w:r>
      <w:r>
        <w:rPr>
          <w:color w:val="231F20"/>
          <w:spacing w:val="-48"/>
          <w:w w:val="105"/>
        </w:rPr>
        <w:t> </w:t>
      </w:r>
      <w:r>
        <w:rPr>
          <w:color w:val="231F20"/>
          <w:spacing w:val="-3"/>
          <w:w w:val="105"/>
        </w:rPr>
        <w:t>caso</w:t>
      </w:r>
      <w:r>
        <w:rPr>
          <w:color w:val="231F20"/>
          <w:spacing w:val="-48"/>
          <w:w w:val="105"/>
        </w:rPr>
        <w:t> </w:t>
      </w:r>
      <w:r>
        <w:rPr>
          <w:color w:val="231F20"/>
          <w:w w:val="105"/>
        </w:rPr>
        <w:t>il</w:t>
      </w:r>
      <w:r>
        <w:rPr>
          <w:color w:val="231F20"/>
          <w:spacing w:val="-48"/>
          <w:w w:val="105"/>
        </w:rPr>
        <w:t> </w:t>
      </w:r>
      <w:r>
        <w:rPr>
          <w:color w:val="231F20"/>
          <w:spacing w:val="-4"/>
          <w:w w:val="105"/>
        </w:rPr>
        <w:t>campo</w:t>
      </w:r>
      <w:r>
        <w:rPr>
          <w:color w:val="231F20"/>
          <w:spacing w:val="-48"/>
          <w:w w:val="105"/>
        </w:rPr>
        <w:t> </w:t>
      </w:r>
      <w:r>
        <w:rPr>
          <w:color w:val="231F20"/>
          <w:w w:val="105"/>
        </w:rPr>
        <w:t>al</w:t>
      </w:r>
      <w:r>
        <w:rPr>
          <w:color w:val="231F20"/>
          <w:spacing w:val="-48"/>
          <w:w w:val="105"/>
        </w:rPr>
        <w:t> </w:t>
      </w:r>
      <w:r>
        <w:rPr>
          <w:color w:val="231F20"/>
          <w:spacing w:val="-4"/>
          <w:w w:val="105"/>
        </w:rPr>
        <w:t>tradizionale</w:t>
      </w:r>
      <w:r>
        <w:rPr>
          <w:color w:val="231F20"/>
          <w:spacing w:val="-48"/>
          <w:w w:val="105"/>
        </w:rPr>
        <w:t> </w:t>
      </w:r>
      <w:r>
        <w:rPr>
          <w:color w:val="231F20"/>
          <w:spacing w:val="-4"/>
          <w:w w:val="105"/>
        </w:rPr>
        <w:t>impianto</w:t>
      </w:r>
      <w:r>
        <w:rPr>
          <w:color w:val="231F20"/>
          <w:spacing w:val="-48"/>
          <w:w w:val="105"/>
        </w:rPr>
        <w:t> </w:t>
      </w:r>
      <w:r>
        <w:rPr>
          <w:color w:val="231F20"/>
          <w:spacing w:val="-4"/>
          <w:w w:val="105"/>
        </w:rPr>
        <w:t>dualistico</w:t>
      </w:r>
      <w:r>
        <w:rPr>
          <w:color w:val="231F20"/>
          <w:spacing w:val="-48"/>
          <w:w w:val="105"/>
        </w:rPr>
        <w:t> </w:t>
      </w:r>
      <w:r>
        <w:rPr>
          <w:color w:val="231F20"/>
          <w:w w:val="105"/>
        </w:rPr>
        <w:t>e</w:t>
      </w:r>
      <w:r>
        <w:rPr>
          <w:color w:val="231F20"/>
          <w:spacing w:val="-48"/>
          <w:w w:val="105"/>
        </w:rPr>
        <w:t> </w:t>
      </w:r>
      <w:r>
        <w:rPr>
          <w:color w:val="231F20"/>
          <w:spacing w:val="-4"/>
          <w:w w:val="105"/>
        </w:rPr>
        <w:t>asimmetrico </w:t>
      </w:r>
      <w:r>
        <w:rPr>
          <w:color w:val="231F20"/>
          <w:w w:val="105"/>
        </w:rPr>
        <w:t>caratteristico</w:t>
      </w:r>
      <w:r>
        <w:rPr>
          <w:color w:val="231F20"/>
          <w:spacing w:val="-45"/>
          <w:w w:val="105"/>
        </w:rPr>
        <w:t> </w:t>
      </w:r>
      <w:r>
        <w:rPr>
          <w:color w:val="231F20"/>
          <w:w w:val="105"/>
        </w:rPr>
        <w:t>del</w:t>
      </w:r>
      <w:r>
        <w:rPr>
          <w:color w:val="231F20"/>
          <w:spacing w:val="-45"/>
          <w:w w:val="105"/>
        </w:rPr>
        <w:t> </w:t>
      </w:r>
      <w:r>
        <w:rPr>
          <w:color w:val="231F20"/>
          <w:w w:val="105"/>
        </w:rPr>
        <w:t>cosmopolitismo</w:t>
      </w:r>
      <w:r>
        <w:rPr>
          <w:color w:val="231F20"/>
          <w:spacing w:val="-45"/>
          <w:w w:val="105"/>
        </w:rPr>
        <w:t> </w:t>
      </w:r>
      <w:r>
        <w:rPr>
          <w:color w:val="231F20"/>
          <w:w w:val="105"/>
        </w:rPr>
        <w:t>coloniale</w:t>
      </w:r>
      <w:r>
        <w:rPr>
          <w:color w:val="231F20"/>
          <w:w w:val="105"/>
          <w:position w:val="7"/>
          <w:sz w:val="12"/>
        </w:rPr>
        <w:t>56</w:t>
      </w:r>
      <w:r>
        <w:rPr>
          <w:color w:val="231F20"/>
          <w:w w:val="105"/>
        </w:rPr>
        <w:t>:</w:t>
      </w:r>
    </w:p>
    <w:p>
      <w:pPr>
        <w:pStyle w:val="BodyText"/>
        <w:spacing w:before="10"/>
        <w:rPr>
          <w:sz w:val="22"/>
        </w:rPr>
      </w:pPr>
    </w:p>
    <w:p>
      <w:pPr>
        <w:spacing w:line="220" w:lineRule="exact" w:before="1"/>
        <w:ind w:left="1521" w:right="109" w:firstLine="0"/>
        <w:jc w:val="both"/>
        <w:rPr>
          <w:sz w:val="19"/>
        </w:rPr>
      </w:pPr>
      <w:r>
        <w:rPr>
          <w:color w:val="231F20"/>
          <w:sz w:val="19"/>
        </w:rPr>
        <w:t>In the old literature of empire, humanitarianism was invoked to justify the supposed responsibility of an imperial power operating at the margins of the civilized world to uphold the standards of civilized morality by suppressing cannibalism, human sacrifice, and</w:t>
      </w:r>
      <w:r>
        <w:rPr>
          <w:color w:val="231F20"/>
          <w:spacing w:val="-7"/>
          <w:sz w:val="19"/>
        </w:rPr>
        <w:t> </w:t>
      </w:r>
      <w:r>
        <w:rPr>
          <w:color w:val="231F20"/>
          <w:sz w:val="19"/>
        </w:rPr>
        <w:t>other</w:t>
      </w:r>
      <w:r>
        <w:rPr>
          <w:color w:val="231F20"/>
          <w:spacing w:val="-7"/>
          <w:sz w:val="19"/>
        </w:rPr>
        <w:t> </w:t>
      </w:r>
      <w:r>
        <w:rPr>
          <w:color w:val="231F20"/>
          <w:sz w:val="19"/>
        </w:rPr>
        <w:t>barbaric</w:t>
      </w:r>
      <w:r>
        <w:rPr>
          <w:color w:val="231F20"/>
          <w:spacing w:val="-7"/>
          <w:sz w:val="19"/>
        </w:rPr>
        <w:t> </w:t>
      </w:r>
      <w:r>
        <w:rPr>
          <w:color w:val="231F20"/>
          <w:sz w:val="19"/>
        </w:rPr>
        <w:t>practices.</w:t>
      </w:r>
      <w:r>
        <w:rPr>
          <w:color w:val="231F20"/>
          <w:spacing w:val="-7"/>
          <w:sz w:val="19"/>
        </w:rPr>
        <w:t> </w:t>
      </w:r>
      <w:r>
        <w:rPr>
          <w:color w:val="231F20"/>
          <w:sz w:val="19"/>
        </w:rPr>
        <w:t>In</w:t>
      </w:r>
      <w:r>
        <w:rPr>
          <w:color w:val="231F20"/>
          <w:spacing w:val="-7"/>
          <w:sz w:val="19"/>
        </w:rPr>
        <w:t> </w:t>
      </w:r>
      <w:r>
        <w:rPr>
          <w:color w:val="231F20"/>
          <w:spacing w:val="-4"/>
          <w:sz w:val="19"/>
        </w:rPr>
        <w:t>today’s</w:t>
      </w:r>
      <w:r>
        <w:rPr>
          <w:color w:val="231F20"/>
          <w:spacing w:val="-7"/>
          <w:sz w:val="19"/>
        </w:rPr>
        <w:t> </w:t>
      </w:r>
      <w:r>
        <w:rPr>
          <w:color w:val="231F20"/>
          <w:sz w:val="19"/>
        </w:rPr>
        <w:t>rhetoric</w:t>
      </w:r>
      <w:r>
        <w:rPr>
          <w:color w:val="231F20"/>
          <w:spacing w:val="-7"/>
          <w:sz w:val="19"/>
        </w:rPr>
        <w:t> </w:t>
      </w:r>
      <w:r>
        <w:rPr>
          <w:color w:val="231F20"/>
          <w:sz w:val="19"/>
        </w:rPr>
        <w:t>of</w:t>
      </w:r>
      <w:r>
        <w:rPr>
          <w:color w:val="231F20"/>
          <w:spacing w:val="-7"/>
          <w:sz w:val="19"/>
        </w:rPr>
        <w:t> </w:t>
      </w:r>
      <w:r>
        <w:rPr>
          <w:color w:val="231F20"/>
          <w:sz w:val="19"/>
        </w:rPr>
        <w:t>empire,</w:t>
      </w:r>
      <w:r>
        <w:rPr>
          <w:color w:val="231F20"/>
          <w:spacing w:val="-7"/>
          <w:sz w:val="19"/>
        </w:rPr>
        <w:t> </w:t>
      </w:r>
      <w:r>
        <w:rPr>
          <w:color w:val="231F20"/>
          <w:sz w:val="19"/>
        </w:rPr>
        <w:t>it</w:t>
      </w:r>
      <w:r>
        <w:rPr>
          <w:color w:val="231F20"/>
          <w:spacing w:val="-7"/>
          <w:sz w:val="19"/>
        </w:rPr>
        <w:t> </w:t>
      </w:r>
      <w:r>
        <w:rPr>
          <w:color w:val="231F20"/>
          <w:sz w:val="19"/>
        </w:rPr>
        <w:t>is</w:t>
      </w:r>
      <w:r>
        <w:rPr>
          <w:color w:val="231F20"/>
          <w:spacing w:val="-7"/>
          <w:sz w:val="19"/>
        </w:rPr>
        <w:t> </w:t>
      </w:r>
      <w:r>
        <w:rPr>
          <w:color w:val="231F20"/>
          <w:sz w:val="19"/>
        </w:rPr>
        <w:t>the barbarity</w:t>
      </w:r>
      <w:r>
        <w:rPr>
          <w:color w:val="231F20"/>
          <w:spacing w:val="-24"/>
          <w:sz w:val="19"/>
        </w:rPr>
        <w:t> </w:t>
      </w:r>
      <w:r>
        <w:rPr>
          <w:color w:val="231F20"/>
          <w:sz w:val="19"/>
        </w:rPr>
        <w:t>of</w:t>
      </w:r>
      <w:r>
        <w:rPr>
          <w:color w:val="231F20"/>
          <w:spacing w:val="-25"/>
          <w:sz w:val="19"/>
        </w:rPr>
        <w:t> </w:t>
      </w:r>
      <w:r>
        <w:rPr>
          <w:color w:val="231F20"/>
          <w:sz w:val="19"/>
        </w:rPr>
        <w:t>tyranny</w:t>
      </w:r>
      <w:r>
        <w:rPr>
          <w:color w:val="231F20"/>
          <w:spacing w:val="-25"/>
          <w:sz w:val="19"/>
        </w:rPr>
        <w:t> </w:t>
      </w:r>
      <w:r>
        <w:rPr>
          <w:color w:val="231F20"/>
          <w:sz w:val="19"/>
        </w:rPr>
        <w:t>and</w:t>
      </w:r>
      <w:r>
        <w:rPr>
          <w:color w:val="231F20"/>
          <w:spacing w:val="-24"/>
          <w:sz w:val="19"/>
        </w:rPr>
        <w:t> </w:t>
      </w:r>
      <w:r>
        <w:rPr>
          <w:color w:val="231F20"/>
          <w:spacing w:val="-3"/>
          <w:sz w:val="19"/>
        </w:rPr>
        <w:t>terrorism</w:t>
      </w:r>
      <w:r>
        <w:rPr>
          <w:color w:val="231F20"/>
          <w:spacing w:val="-25"/>
          <w:sz w:val="19"/>
        </w:rPr>
        <w:t> </w:t>
      </w:r>
      <w:r>
        <w:rPr>
          <w:color w:val="231F20"/>
          <w:sz w:val="19"/>
        </w:rPr>
        <w:t>that</w:t>
      </w:r>
      <w:r>
        <w:rPr>
          <w:color w:val="231F20"/>
          <w:spacing w:val="-25"/>
          <w:sz w:val="19"/>
        </w:rPr>
        <w:t> </w:t>
      </w:r>
      <w:r>
        <w:rPr>
          <w:color w:val="231F20"/>
          <w:spacing w:val="-3"/>
          <w:sz w:val="19"/>
        </w:rPr>
        <w:t>threaten</w:t>
      </w:r>
      <w:r>
        <w:rPr>
          <w:color w:val="231F20"/>
          <w:spacing w:val="-25"/>
          <w:sz w:val="19"/>
        </w:rPr>
        <w:t> </w:t>
      </w:r>
      <w:r>
        <w:rPr>
          <w:color w:val="231F20"/>
          <w:sz w:val="19"/>
        </w:rPr>
        <w:t>these</w:t>
      </w:r>
      <w:r>
        <w:rPr>
          <w:color w:val="231F20"/>
          <w:spacing w:val="-24"/>
          <w:sz w:val="19"/>
        </w:rPr>
        <w:t> </w:t>
      </w:r>
      <w:r>
        <w:rPr>
          <w:color w:val="231F20"/>
          <w:spacing w:val="-3"/>
          <w:sz w:val="19"/>
        </w:rPr>
        <w:t>standards</w:t>
      </w:r>
      <w:r>
        <w:rPr>
          <w:color w:val="231F20"/>
          <w:spacing w:val="-25"/>
          <w:sz w:val="19"/>
        </w:rPr>
        <w:t> </w:t>
      </w:r>
      <w:r>
        <w:rPr>
          <w:color w:val="231F20"/>
          <w:sz w:val="19"/>
        </w:rPr>
        <w:t>and that</w:t>
      </w:r>
      <w:r>
        <w:rPr>
          <w:color w:val="231F20"/>
          <w:spacing w:val="-4"/>
          <w:sz w:val="19"/>
        </w:rPr>
        <w:t> </w:t>
      </w:r>
      <w:r>
        <w:rPr>
          <w:color w:val="231F20"/>
          <w:sz w:val="19"/>
        </w:rPr>
        <w:t>must</w:t>
      </w:r>
      <w:r>
        <w:rPr>
          <w:color w:val="231F20"/>
          <w:spacing w:val="-4"/>
          <w:sz w:val="19"/>
        </w:rPr>
        <w:t> </w:t>
      </w:r>
      <w:r>
        <w:rPr>
          <w:color w:val="231F20"/>
          <w:sz w:val="19"/>
        </w:rPr>
        <w:t>be</w:t>
      </w:r>
      <w:r>
        <w:rPr>
          <w:color w:val="231F20"/>
          <w:spacing w:val="-4"/>
          <w:sz w:val="19"/>
        </w:rPr>
        <w:t> </w:t>
      </w:r>
      <w:r>
        <w:rPr>
          <w:color w:val="231F20"/>
          <w:sz w:val="19"/>
        </w:rPr>
        <w:t>countered,</w:t>
      </w:r>
      <w:r>
        <w:rPr>
          <w:color w:val="231F20"/>
          <w:spacing w:val="-4"/>
          <w:sz w:val="19"/>
        </w:rPr>
        <w:t> </w:t>
      </w:r>
      <w:r>
        <w:rPr>
          <w:color w:val="231F20"/>
          <w:sz w:val="19"/>
        </w:rPr>
        <w:t>in</w:t>
      </w:r>
      <w:r>
        <w:rPr>
          <w:color w:val="231F20"/>
          <w:spacing w:val="-4"/>
          <w:sz w:val="19"/>
        </w:rPr>
        <w:t> </w:t>
      </w:r>
      <w:r>
        <w:rPr>
          <w:color w:val="231F20"/>
          <w:sz w:val="19"/>
        </w:rPr>
        <w:t>the</w:t>
      </w:r>
      <w:r>
        <w:rPr>
          <w:color w:val="231F20"/>
          <w:spacing w:val="-4"/>
          <w:sz w:val="19"/>
        </w:rPr>
        <w:t> </w:t>
      </w:r>
      <w:r>
        <w:rPr>
          <w:color w:val="231F20"/>
          <w:sz w:val="19"/>
        </w:rPr>
        <w:t>name</w:t>
      </w:r>
      <w:r>
        <w:rPr>
          <w:color w:val="231F20"/>
          <w:spacing w:val="-4"/>
          <w:sz w:val="19"/>
        </w:rPr>
        <w:t> </w:t>
      </w:r>
      <w:r>
        <w:rPr>
          <w:color w:val="231F20"/>
          <w:sz w:val="19"/>
        </w:rPr>
        <w:t>of</w:t>
      </w:r>
      <w:r>
        <w:rPr>
          <w:color w:val="231F20"/>
          <w:spacing w:val="-4"/>
          <w:sz w:val="19"/>
        </w:rPr>
        <w:t> </w:t>
      </w:r>
      <w:r>
        <w:rPr>
          <w:color w:val="231F20"/>
          <w:sz w:val="19"/>
        </w:rPr>
        <w:t>humanity,</w:t>
      </w:r>
      <w:r>
        <w:rPr>
          <w:color w:val="231F20"/>
          <w:spacing w:val="-4"/>
          <w:sz w:val="19"/>
        </w:rPr>
        <w:t> </w:t>
      </w:r>
      <w:r>
        <w:rPr>
          <w:color w:val="231F20"/>
          <w:sz w:val="19"/>
        </w:rPr>
        <w:t>by</w:t>
      </w:r>
      <w:r>
        <w:rPr>
          <w:color w:val="231F20"/>
          <w:spacing w:val="-4"/>
          <w:sz w:val="19"/>
        </w:rPr>
        <w:t> </w:t>
      </w:r>
      <w:r>
        <w:rPr>
          <w:color w:val="231F20"/>
          <w:sz w:val="19"/>
        </w:rPr>
        <w:t>the</w:t>
      </w:r>
      <w:r>
        <w:rPr>
          <w:color w:val="231F20"/>
          <w:spacing w:val="-4"/>
          <w:sz w:val="19"/>
        </w:rPr>
        <w:t> </w:t>
      </w:r>
      <w:r>
        <w:rPr>
          <w:color w:val="231F20"/>
          <w:sz w:val="19"/>
        </w:rPr>
        <w:t>exercise of imperial power. In the old literature of empire, colonial rule was rationalized as providing backward peoples the benefits of civilization: public </w:t>
      </w:r>
      <w:r>
        <w:rPr>
          <w:color w:val="231F20"/>
          <w:spacing w:val="-4"/>
          <w:sz w:val="19"/>
        </w:rPr>
        <w:t>order, </w:t>
      </w:r>
      <w:r>
        <w:rPr>
          <w:color w:val="231F20"/>
          <w:sz w:val="19"/>
        </w:rPr>
        <w:t>public health, modern communications, economic development, and eventually constitutional rule.   </w:t>
      </w:r>
      <w:r>
        <w:rPr>
          <w:color w:val="231F20"/>
          <w:spacing w:val="29"/>
          <w:sz w:val="19"/>
        </w:rPr>
        <w:t> </w:t>
      </w:r>
      <w:r>
        <w:rPr>
          <w:color w:val="231F20"/>
          <w:sz w:val="19"/>
        </w:rPr>
        <w:t>The</w:t>
      </w:r>
    </w:p>
    <w:p>
      <w:pPr>
        <w:pStyle w:val="BodyText"/>
        <w:spacing w:before="2"/>
        <w:rPr>
          <w:sz w:val="23"/>
        </w:rPr>
      </w:pPr>
      <w:r>
        <w:rPr/>
        <w:pict>
          <v:line style="position:absolute;mso-position-horizontal-relative:page;mso-position-vertical-relative:paragraph;z-index:14776;mso-wrap-distance-left:0;mso-wrap-distance-right:0" from="65.196899pt,16.082714pt" to="178.582899pt,16.082714pt" stroked="true" strokeweight=".3pt" strokecolor="#231f20">
            <w10:wrap type="topAndBottom"/>
          </v:line>
        </w:pict>
      </w:r>
    </w:p>
    <w:p>
      <w:pPr>
        <w:spacing w:line="206" w:lineRule="exact" w:before="10"/>
        <w:ind w:left="103" w:right="0" w:firstLine="0"/>
        <w:jc w:val="both"/>
        <w:rPr>
          <w:rFonts w:ascii="Calibri" w:hAnsi="Calibri"/>
          <w:sz w:val="17"/>
        </w:rPr>
      </w:pPr>
      <w:r>
        <w:rPr>
          <w:rFonts w:ascii="Calibri" w:hAnsi="Calibri"/>
          <w:color w:val="231F20"/>
          <w:position w:val="6"/>
          <w:sz w:val="10"/>
        </w:rPr>
        <w:t>53  </w:t>
      </w:r>
      <w:r>
        <w:rPr>
          <w:rFonts w:ascii="Calibri" w:hAnsi="Calibri"/>
          <w:color w:val="231F20"/>
          <w:sz w:val="17"/>
        </w:rPr>
        <w:t>Köchler, </w:t>
      </w:r>
      <w:r>
        <w:rPr>
          <w:rFonts w:ascii="Calibri" w:hAnsi="Calibri"/>
          <w:i/>
          <w:color w:val="231F20"/>
          <w:sz w:val="17"/>
        </w:rPr>
        <w:t>The Concept of Humanitarian Intervention</w:t>
      </w:r>
      <w:r>
        <w:rPr>
          <w:rFonts w:ascii="Calibri" w:hAnsi="Calibri"/>
          <w:color w:val="231F20"/>
          <w:sz w:val="17"/>
        </w:rPr>
        <w:t>, p. 30.</w:t>
      </w:r>
    </w:p>
    <w:p>
      <w:pPr>
        <w:spacing w:line="235" w:lineRule="auto" w:before="1"/>
        <w:ind w:left="103" w:right="115" w:firstLine="0"/>
        <w:jc w:val="both"/>
        <w:rPr>
          <w:rFonts w:ascii="Calibri" w:hAnsi="Calibri"/>
          <w:sz w:val="17"/>
        </w:rPr>
      </w:pPr>
      <w:r>
        <w:rPr>
          <w:rFonts w:ascii="Calibri" w:hAnsi="Calibri"/>
          <w:color w:val="231F20"/>
          <w:position w:val="6"/>
          <w:sz w:val="10"/>
        </w:rPr>
        <w:t>54 </w:t>
      </w:r>
      <w:r>
        <w:rPr>
          <w:rFonts w:ascii="Calibri" w:hAnsi="Calibri"/>
          <w:color w:val="231F20"/>
          <w:sz w:val="17"/>
        </w:rPr>
        <w:t>D. Johnstone, </w:t>
      </w:r>
      <w:r>
        <w:rPr>
          <w:rFonts w:ascii="Calibri" w:hAnsi="Calibri"/>
          <w:i/>
          <w:color w:val="231F20"/>
          <w:sz w:val="17"/>
        </w:rPr>
        <w:t>Humanitarian War: Making the Crime Fit the Punishment</w:t>
      </w:r>
      <w:r>
        <w:rPr>
          <w:rFonts w:ascii="Calibri" w:hAnsi="Calibri"/>
          <w:color w:val="231F20"/>
          <w:sz w:val="17"/>
        </w:rPr>
        <w:t>, citato in Köchler, </w:t>
      </w:r>
      <w:r>
        <w:rPr>
          <w:rFonts w:ascii="Calibri" w:hAnsi="Calibri"/>
          <w:i/>
          <w:color w:val="231F20"/>
          <w:sz w:val="17"/>
        </w:rPr>
        <w:t>The </w:t>
      </w:r>
      <w:r>
        <w:rPr>
          <w:rFonts w:ascii="Calibri" w:hAnsi="Calibri"/>
          <w:i/>
          <w:color w:val="231F20"/>
          <w:sz w:val="17"/>
        </w:rPr>
        <w:t>Concept of Humanitarian Intervention</w:t>
      </w:r>
      <w:r>
        <w:rPr>
          <w:rFonts w:ascii="Calibri" w:hAnsi="Calibri"/>
          <w:color w:val="231F20"/>
          <w:sz w:val="17"/>
        </w:rPr>
        <w:t>, p. 32.</w:t>
      </w:r>
    </w:p>
    <w:p>
      <w:pPr>
        <w:spacing w:line="235" w:lineRule="auto" w:before="0"/>
        <w:ind w:left="103" w:right="114" w:firstLine="0"/>
        <w:jc w:val="both"/>
        <w:rPr>
          <w:rFonts w:ascii="Calibri" w:hAnsi="Calibri"/>
          <w:sz w:val="17"/>
        </w:rPr>
      </w:pPr>
      <w:r>
        <w:rPr>
          <w:rFonts w:ascii="Calibri" w:hAnsi="Calibri"/>
          <w:color w:val="231F20"/>
          <w:w w:val="105"/>
          <w:position w:val="6"/>
          <w:sz w:val="10"/>
        </w:rPr>
        <w:t>55</w:t>
      </w:r>
      <w:r>
        <w:rPr>
          <w:rFonts w:ascii="Calibri" w:hAnsi="Calibri"/>
          <w:color w:val="231F20"/>
          <w:spacing w:val="5"/>
          <w:w w:val="105"/>
          <w:position w:val="6"/>
          <w:sz w:val="10"/>
        </w:rPr>
        <w:t> </w:t>
      </w:r>
      <w:r>
        <w:rPr>
          <w:rFonts w:ascii="Calibri" w:hAnsi="Calibri"/>
          <w:color w:val="231F20"/>
          <w:w w:val="105"/>
          <w:sz w:val="17"/>
        </w:rPr>
        <w:t>Köchler,</w:t>
      </w:r>
      <w:r>
        <w:rPr>
          <w:rFonts w:ascii="Calibri" w:hAnsi="Calibri"/>
          <w:color w:val="231F20"/>
          <w:spacing w:val="-12"/>
          <w:w w:val="105"/>
          <w:sz w:val="17"/>
        </w:rPr>
        <w:t> </w:t>
      </w:r>
      <w:r>
        <w:rPr>
          <w:rFonts w:ascii="Calibri" w:hAnsi="Calibri"/>
          <w:color w:val="231F20"/>
          <w:w w:val="105"/>
          <w:sz w:val="17"/>
        </w:rPr>
        <w:t>p.</w:t>
      </w:r>
      <w:r>
        <w:rPr>
          <w:rFonts w:ascii="Calibri" w:hAnsi="Calibri"/>
          <w:color w:val="231F20"/>
          <w:spacing w:val="-12"/>
          <w:w w:val="105"/>
          <w:sz w:val="17"/>
        </w:rPr>
        <w:t> </w:t>
      </w:r>
      <w:r>
        <w:rPr>
          <w:rFonts w:ascii="Calibri" w:hAnsi="Calibri"/>
          <w:color w:val="231F20"/>
          <w:w w:val="105"/>
          <w:sz w:val="17"/>
        </w:rPr>
        <w:t>32,</w:t>
      </w:r>
      <w:r>
        <w:rPr>
          <w:rFonts w:ascii="Calibri" w:hAnsi="Calibri"/>
          <w:color w:val="231F20"/>
          <w:spacing w:val="-12"/>
          <w:w w:val="105"/>
          <w:sz w:val="17"/>
        </w:rPr>
        <w:t> </w:t>
      </w:r>
      <w:r>
        <w:rPr>
          <w:rFonts w:ascii="Calibri" w:hAnsi="Calibri"/>
          <w:color w:val="231F20"/>
          <w:w w:val="105"/>
          <w:sz w:val="17"/>
        </w:rPr>
        <w:t>38:</w:t>
      </w:r>
      <w:r>
        <w:rPr>
          <w:rFonts w:ascii="Calibri" w:hAnsi="Calibri"/>
          <w:color w:val="231F20"/>
          <w:spacing w:val="-12"/>
          <w:w w:val="105"/>
          <w:sz w:val="17"/>
        </w:rPr>
        <w:t> </w:t>
      </w:r>
      <w:r>
        <w:rPr>
          <w:rFonts w:ascii="Calibri" w:hAnsi="Calibri"/>
          <w:color w:val="231F20"/>
          <w:spacing w:val="-10"/>
          <w:w w:val="105"/>
          <w:sz w:val="17"/>
        </w:rPr>
        <w:t>“A</w:t>
      </w:r>
      <w:r>
        <w:rPr>
          <w:rFonts w:ascii="Calibri" w:hAnsi="Calibri"/>
          <w:color w:val="231F20"/>
          <w:spacing w:val="-12"/>
          <w:w w:val="105"/>
          <w:sz w:val="17"/>
        </w:rPr>
        <w:t> </w:t>
      </w:r>
      <w:r>
        <w:rPr>
          <w:rFonts w:ascii="Calibri" w:hAnsi="Calibri"/>
          <w:color w:val="231F20"/>
          <w:w w:val="105"/>
          <w:sz w:val="17"/>
        </w:rPr>
        <w:t>causa</w:t>
      </w:r>
      <w:r>
        <w:rPr>
          <w:rFonts w:ascii="Calibri" w:hAnsi="Calibri"/>
          <w:color w:val="231F20"/>
          <w:spacing w:val="-12"/>
          <w:w w:val="105"/>
          <w:sz w:val="17"/>
        </w:rPr>
        <w:t> </w:t>
      </w:r>
      <w:r>
        <w:rPr>
          <w:rFonts w:ascii="Calibri" w:hAnsi="Calibri"/>
          <w:color w:val="231F20"/>
          <w:w w:val="105"/>
          <w:sz w:val="17"/>
        </w:rPr>
        <w:t>della</w:t>
      </w:r>
      <w:r>
        <w:rPr>
          <w:rFonts w:ascii="Calibri" w:hAnsi="Calibri"/>
          <w:color w:val="231F20"/>
          <w:spacing w:val="-12"/>
          <w:w w:val="105"/>
          <w:sz w:val="17"/>
        </w:rPr>
        <w:t> </w:t>
      </w:r>
      <w:r>
        <w:rPr>
          <w:rFonts w:ascii="Calibri" w:hAnsi="Calibri"/>
          <w:color w:val="231F20"/>
          <w:w w:val="105"/>
          <w:sz w:val="17"/>
        </w:rPr>
        <w:t>nuova</w:t>
      </w:r>
      <w:r>
        <w:rPr>
          <w:rFonts w:ascii="Calibri" w:hAnsi="Calibri"/>
          <w:color w:val="231F20"/>
          <w:spacing w:val="-12"/>
          <w:w w:val="105"/>
          <w:sz w:val="17"/>
        </w:rPr>
        <w:t> </w:t>
      </w:r>
      <w:r>
        <w:rPr>
          <w:rFonts w:ascii="Calibri" w:hAnsi="Calibri"/>
          <w:color w:val="231F20"/>
          <w:w w:val="105"/>
          <w:sz w:val="17"/>
        </w:rPr>
        <w:t>dottrina</w:t>
      </w:r>
      <w:r>
        <w:rPr>
          <w:rFonts w:ascii="Calibri" w:hAnsi="Calibri"/>
          <w:color w:val="231F20"/>
          <w:spacing w:val="-12"/>
          <w:w w:val="105"/>
          <w:sz w:val="17"/>
        </w:rPr>
        <w:t> </w:t>
      </w:r>
      <w:r>
        <w:rPr>
          <w:rFonts w:ascii="Calibri" w:hAnsi="Calibri"/>
          <w:color w:val="231F20"/>
          <w:w w:val="105"/>
          <w:sz w:val="17"/>
        </w:rPr>
        <w:t>della</w:t>
      </w:r>
      <w:r>
        <w:rPr>
          <w:rFonts w:ascii="Calibri" w:hAnsi="Calibri"/>
          <w:color w:val="231F20"/>
          <w:spacing w:val="-12"/>
          <w:w w:val="105"/>
          <w:sz w:val="17"/>
        </w:rPr>
        <w:t> </w:t>
      </w:r>
      <w:r>
        <w:rPr>
          <w:rFonts w:ascii="Calibri" w:hAnsi="Calibri"/>
          <w:color w:val="231F20"/>
          <w:w w:val="105"/>
          <w:sz w:val="17"/>
        </w:rPr>
        <w:t>Guerra</w:t>
      </w:r>
      <w:r>
        <w:rPr>
          <w:rFonts w:ascii="Calibri" w:hAnsi="Calibri"/>
          <w:color w:val="231F20"/>
          <w:spacing w:val="-12"/>
          <w:w w:val="105"/>
          <w:sz w:val="17"/>
        </w:rPr>
        <w:t> </w:t>
      </w:r>
      <w:r>
        <w:rPr>
          <w:rFonts w:ascii="Calibri" w:hAnsi="Calibri"/>
          <w:color w:val="231F20"/>
          <w:w w:val="105"/>
          <w:sz w:val="17"/>
        </w:rPr>
        <w:t>giusta,</w:t>
      </w:r>
      <w:r>
        <w:rPr>
          <w:rFonts w:ascii="Calibri" w:hAnsi="Calibri"/>
          <w:color w:val="231F20"/>
          <w:spacing w:val="-12"/>
          <w:w w:val="105"/>
          <w:sz w:val="17"/>
        </w:rPr>
        <w:t> </w:t>
      </w:r>
      <w:r>
        <w:rPr>
          <w:rFonts w:ascii="Calibri" w:hAnsi="Calibri"/>
          <w:color w:val="231F20"/>
          <w:w w:val="105"/>
          <w:sz w:val="17"/>
        </w:rPr>
        <w:t>sono</w:t>
      </w:r>
      <w:r>
        <w:rPr>
          <w:rFonts w:ascii="Calibri" w:hAnsi="Calibri"/>
          <w:color w:val="231F20"/>
          <w:spacing w:val="-12"/>
          <w:w w:val="105"/>
          <w:sz w:val="17"/>
        </w:rPr>
        <w:t> </w:t>
      </w:r>
      <w:r>
        <w:rPr>
          <w:rFonts w:ascii="Calibri" w:hAnsi="Calibri"/>
          <w:color w:val="231F20"/>
          <w:w w:val="105"/>
          <w:sz w:val="17"/>
        </w:rPr>
        <w:t>state</w:t>
      </w:r>
      <w:r>
        <w:rPr>
          <w:rFonts w:ascii="Calibri" w:hAnsi="Calibri"/>
          <w:color w:val="231F20"/>
          <w:spacing w:val="-12"/>
          <w:w w:val="105"/>
          <w:sz w:val="17"/>
        </w:rPr>
        <w:t> </w:t>
      </w:r>
      <w:r>
        <w:rPr>
          <w:rFonts w:ascii="Calibri" w:hAnsi="Calibri"/>
          <w:color w:val="231F20"/>
          <w:w w:val="105"/>
          <w:sz w:val="17"/>
        </w:rPr>
        <w:t>create</w:t>
      </w:r>
      <w:r>
        <w:rPr>
          <w:rFonts w:ascii="Calibri" w:hAnsi="Calibri"/>
          <w:color w:val="231F20"/>
          <w:spacing w:val="-12"/>
          <w:w w:val="105"/>
          <w:sz w:val="17"/>
        </w:rPr>
        <w:t> </w:t>
      </w:r>
      <w:r>
        <w:rPr>
          <w:rFonts w:ascii="Calibri" w:hAnsi="Calibri"/>
          <w:color w:val="231F20"/>
          <w:w w:val="105"/>
          <w:sz w:val="17"/>
        </w:rPr>
        <w:t>due</w:t>
      </w:r>
      <w:r>
        <w:rPr>
          <w:rFonts w:ascii="Calibri" w:hAnsi="Calibri"/>
          <w:color w:val="231F20"/>
          <w:spacing w:val="-12"/>
          <w:w w:val="105"/>
          <w:sz w:val="17"/>
        </w:rPr>
        <w:t> </w:t>
      </w:r>
      <w:r>
        <w:rPr>
          <w:rFonts w:ascii="Calibri" w:hAnsi="Calibri"/>
          <w:color w:val="231F20"/>
          <w:w w:val="105"/>
          <w:sz w:val="17"/>
        </w:rPr>
        <w:t>classi (categorie)</w:t>
      </w:r>
      <w:r>
        <w:rPr>
          <w:rFonts w:ascii="Calibri" w:hAnsi="Calibri"/>
          <w:color w:val="231F20"/>
          <w:spacing w:val="-11"/>
          <w:w w:val="105"/>
          <w:sz w:val="17"/>
        </w:rPr>
        <w:t> </w:t>
      </w:r>
      <w:r>
        <w:rPr>
          <w:rFonts w:ascii="Calibri" w:hAnsi="Calibri"/>
          <w:color w:val="231F20"/>
          <w:w w:val="105"/>
          <w:sz w:val="17"/>
        </w:rPr>
        <w:t>di</w:t>
      </w:r>
      <w:r>
        <w:rPr>
          <w:rFonts w:ascii="Calibri" w:hAnsi="Calibri"/>
          <w:color w:val="231F20"/>
          <w:spacing w:val="-11"/>
          <w:w w:val="105"/>
          <w:sz w:val="17"/>
        </w:rPr>
        <w:t> </w:t>
      </w:r>
      <w:r>
        <w:rPr>
          <w:rFonts w:ascii="Calibri" w:hAnsi="Calibri"/>
          <w:color w:val="231F20"/>
          <w:w w:val="105"/>
          <w:sz w:val="17"/>
        </w:rPr>
        <w:t>stati:</w:t>
      </w:r>
      <w:r>
        <w:rPr>
          <w:rFonts w:ascii="Calibri" w:hAnsi="Calibri"/>
          <w:color w:val="231F20"/>
          <w:spacing w:val="-11"/>
          <w:w w:val="105"/>
          <w:sz w:val="17"/>
        </w:rPr>
        <w:t> </w:t>
      </w:r>
      <w:r>
        <w:rPr>
          <w:rFonts w:ascii="Calibri" w:hAnsi="Calibri"/>
          <w:color w:val="231F20"/>
          <w:w w:val="105"/>
          <w:sz w:val="17"/>
        </w:rPr>
        <w:t>quella</w:t>
      </w:r>
      <w:r>
        <w:rPr>
          <w:rFonts w:ascii="Calibri" w:hAnsi="Calibri"/>
          <w:color w:val="231F20"/>
          <w:spacing w:val="-11"/>
          <w:w w:val="105"/>
          <w:sz w:val="17"/>
        </w:rPr>
        <w:t> </w:t>
      </w:r>
      <w:r>
        <w:rPr>
          <w:rFonts w:ascii="Calibri" w:hAnsi="Calibri"/>
          <w:color w:val="231F20"/>
          <w:w w:val="105"/>
          <w:sz w:val="17"/>
        </w:rPr>
        <w:t>degli</w:t>
      </w:r>
      <w:r>
        <w:rPr>
          <w:rFonts w:ascii="Calibri" w:hAnsi="Calibri"/>
          <w:color w:val="231F20"/>
          <w:spacing w:val="-11"/>
          <w:w w:val="105"/>
          <w:sz w:val="17"/>
        </w:rPr>
        <w:t> </w:t>
      </w:r>
      <w:r>
        <w:rPr>
          <w:rFonts w:ascii="Calibri" w:hAnsi="Calibri"/>
          <w:color w:val="231F20"/>
          <w:w w:val="105"/>
          <w:sz w:val="17"/>
        </w:rPr>
        <w:t>Stati</w:t>
      </w:r>
      <w:r>
        <w:rPr>
          <w:rFonts w:ascii="Calibri" w:hAnsi="Calibri"/>
          <w:color w:val="231F20"/>
          <w:spacing w:val="-11"/>
          <w:w w:val="105"/>
          <w:sz w:val="17"/>
        </w:rPr>
        <w:t> </w:t>
      </w:r>
      <w:r>
        <w:rPr>
          <w:rFonts w:ascii="Calibri" w:hAnsi="Calibri"/>
          <w:color w:val="231F20"/>
          <w:w w:val="105"/>
          <w:sz w:val="17"/>
        </w:rPr>
        <w:t>imperiali</w:t>
      </w:r>
      <w:r>
        <w:rPr>
          <w:rFonts w:ascii="Calibri" w:hAnsi="Calibri"/>
          <w:color w:val="231F20"/>
          <w:spacing w:val="-11"/>
          <w:w w:val="105"/>
          <w:sz w:val="17"/>
        </w:rPr>
        <w:t> </w:t>
      </w:r>
      <w:r>
        <w:rPr>
          <w:rFonts w:ascii="Calibri" w:hAnsi="Calibri"/>
          <w:color w:val="231F20"/>
          <w:w w:val="105"/>
          <w:sz w:val="17"/>
        </w:rPr>
        <w:t>(o</w:t>
      </w:r>
      <w:r>
        <w:rPr>
          <w:rFonts w:ascii="Calibri" w:hAnsi="Calibri"/>
          <w:color w:val="231F20"/>
          <w:spacing w:val="-11"/>
          <w:w w:val="105"/>
          <w:sz w:val="17"/>
        </w:rPr>
        <w:t> </w:t>
      </w:r>
      <w:r>
        <w:rPr>
          <w:rFonts w:ascii="Calibri" w:hAnsi="Calibri"/>
          <w:color w:val="231F20"/>
          <w:w w:val="105"/>
          <w:sz w:val="17"/>
        </w:rPr>
        <w:t>superiori)</w:t>
      </w:r>
      <w:r>
        <w:rPr>
          <w:rFonts w:ascii="Calibri" w:hAnsi="Calibri"/>
          <w:color w:val="231F20"/>
          <w:spacing w:val="-11"/>
          <w:w w:val="105"/>
          <w:sz w:val="17"/>
        </w:rPr>
        <w:t> </w:t>
      </w:r>
      <w:r>
        <w:rPr>
          <w:rFonts w:ascii="Calibri" w:hAnsi="Calibri"/>
          <w:color w:val="231F20"/>
          <w:w w:val="105"/>
          <w:sz w:val="17"/>
        </w:rPr>
        <w:t>e</w:t>
      </w:r>
      <w:r>
        <w:rPr>
          <w:rFonts w:ascii="Calibri" w:hAnsi="Calibri"/>
          <w:color w:val="231F20"/>
          <w:spacing w:val="-11"/>
          <w:w w:val="105"/>
          <w:sz w:val="17"/>
        </w:rPr>
        <w:t> </w:t>
      </w:r>
      <w:r>
        <w:rPr>
          <w:rFonts w:ascii="Calibri" w:hAnsi="Calibri"/>
          <w:color w:val="231F20"/>
          <w:w w:val="105"/>
          <w:sz w:val="17"/>
        </w:rPr>
        <w:t>quella</w:t>
      </w:r>
      <w:r>
        <w:rPr>
          <w:rFonts w:ascii="Calibri" w:hAnsi="Calibri"/>
          <w:color w:val="231F20"/>
          <w:spacing w:val="-11"/>
          <w:w w:val="105"/>
          <w:sz w:val="17"/>
        </w:rPr>
        <w:t> </w:t>
      </w:r>
      <w:r>
        <w:rPr>
          <w:rFonts w:ascii="Calibri" w:hAnsi="Calibri"/>
          <w:color w:val="231F20"/>
          <w:w w:val="105"/>
          <w:sz w:val="17"/>
        </w:rPr>
        <w:t>degli</w:t>
      </w:r>
      <w:r>
        <w:rPr>
          <w:rFonts w:ascii="Calibri" w:hAnsi="Calibri"/>
          <w:color w:val="231F20"/>
          <w:spacing w:val="-11"/>
          <w:w w:val="105"/>
          <w:sz w:val="17"/>
        </w:rPr>
        <w:t> </w:t>
      </w:r>
      <w:r>
        <w:rPr>
          <w:rFonts w:ascii="Calibri" w:hAnsi="Calibri"/>
          <w:color w:val="231F20"/>
          <w:w w:val="105"/>
          <w:sz w:val="17"/>
        </w:rPr>
        <w:t>Stati</w:t>
      </w:r>
      <w:r>
        <w:rPr>
          <w:rFonts w:ascii="Calibri" w:hAnsi="Calibri"/>
          <w:color w:val="231F20"/>
          <w:spacing w:val="-11"/>
          <w:w w:val="105"/>
          <w:sz w:val="17"/>
        </w:rPr>
        <w:t> </w:t>
      </w:r>
      <w:r>
        <w:rPr>
          <w:rFonts w:ascii="Calibri" w:hAnsi="Calibri"/>
          <w:color w:val="231F20"/>
          <w:w w:val="105"/>
          <w:sz w:val="17"/>
        </w:rPr>
        <w:t>“inferiori”.</w:t>
      </w:r>
      <w:r>
        <w:rPr>
          <w:rFonts w:ascii="Calibri" w:hAnsi="Calibri"/>
          <w:color w:val="231F20"/>
          <w:spacing w:val="-11"/>
          <w:w w:val="105"/>
          <w:sz w:val="17"/>
        </w:rPr>
        <w:t> </w:t>
      </w:r>
      <w:r>
        <w:rPr>
          <w:rFonts w:ascii="Calibri" w:hAnsi="Calibri"/>
          <w:color w:val="231F20"/>
          <w:w w:val="105"/>
          <w:sz w:val="17"/>
        </w:rPr>
        <w:t>La</w:t>
      </w:r>
      <w:r>
        <w:rPr>
          <w:rFonts w:ascii="Calibri" w:hAnsi="Calibri"/>
          <w:color w:val="231F20"/>
          <w:spacing w:val="-11"/>
          <w:w w:val="105"/>
          <w:sz w:val="17"/>
        </w:rPr>
        <w:t> </w:t>
      </w:r>
      <w:r>
        <w:rPr>
          <w:rFonts w:ascii="Calibri" w:hAnsi="Calibri"/>
          <w:color w:val="231F20"/>
          <w:w w:val="105"/>
          <w:sz w:val="17"/>
        </w:rPr>
        <w:t>prima si</w:t>
      </w:r>
      <w:r>
        <w:rPr>
          <w:rFonts w:ascii="Calibri" w:hAnsi="Calibri"/>
          <w:color w:val="231F20"/>
          <w:spacing w:val="-9"/>
          <w:w w:val="105"/>
          <w:sz w:val="17"/>
        </w:rPr>
        <w:t> </w:t>
      </w:r>
      <w:r>
        <w:rPr>
          <w:rFonts w:ascii="Calibri" w:hAnsi="Calibri"/>
          <w:color w:val="231F20"/>
          <w:w w:val="105"/>
          <w:sz w:val="17"/>
        </w:rPr>
        <w:t>arroga</w:t>
      </w:r>
      <w:r>
        <w:rPr>
          <w:rFonts w:ascii="Calibri" w:hAnsi="Calibri"/>
          <w:color w:val="231F20"/>
          <w:spacing w:val="-9"/>
          <w:w w:val="105"/>
          <w:sz w:val="17"/>
        </w:rPr>
        <w:t> </w:t>
      </w:r>
      <w:r>
        <w:rPr>
          <w:rFonts w:ascii="Calibri" w:hAnsi="Calibri"/>
          <w:color w:val="231F20"/>
          <w:w w:val="105"/>
          <w:sz w:val="17"/>
        </w:rPr>
        <w:t>uno</w:t>
      </w:r>
      <w:r>
        <w:rPr>
          <w:rFonts w:ascii="Calibri" w:hAnsi="Calibri"/>
          <w:color w:val="231F20"/>
          <w:spacing w:val="-9"/>
          <w:w w:val="105"/>
          <w:sz w:val="17"/>
        </w:rPr>
        <w:t> </w:t>
      </w:r>
      <w:r>
        <w:rPr>
          <w:rFonts w:ascii="Calibri" w:hAnsi="Calibri"/>
          <w:color w:val="231F20"/>
          <w:w w:val="105"/>
          <w:sz w:val="17"/>
        </w:rPr>
        <w:t>status</w:t>
      </w:r>
      <w:r>
        <w:rPr>
          <w:rFonts w:ascii="Calibri" w:hAnsi="Calibri"/>
          <w:color w:val="231F20"/>
          <w:spacing w:val="-9"/>
          <w:w w:val="105"/>
          <w:sz w:val="17"/>
        </w:rPr>
        <w:t> </w:t>
      </w:r>
      <w:r>
        <w:rPr>
          <w:rFonts w:ascii="Calibri" w:hAnsi="Calibri"/>
          <w:color w:val="231F20"/>
          <w:w w:val="105"/>
          <w:sz w:val="17"/>
        </w:rPr>
        <w:t>di</w:t>
      </w:r>
      <w:r>
        <w:rPr>
          <w:rFonts w:ascii="Calibri" w:hAnsi="Calibri"/>
          <w:color w:val="231F20"/>
          <w:spacing w:val="-9"/>
          <w:w w:val="105"/>
          <w:sz w:val="17"/>
        </w:rPr>
        <w:t> </w:t>
      </w:r>
      <w:r>
        <w:rPr>
          <w:rFonts w:ascii="Calibri" w:hAnsi="Calibri"/>
          <w:color w:val="231F20"/>
          <w:w w:val="105"/>
          <w:sz w:val="17"/>
        </w:rPr>
        <w:t>superiorità</w:t>
      </w:r>
      <w:r>
        <w:rPr>
          <w:rFonts w:ascii="Calibri" w:hAnsi="Calibri"/>
          <w:color w:val="231F20"/>
          <w:spacing w:val="-9"/>
          <w:w w:val="105"/>
          <w:sz w:val="17"/>
        </w:rPr>
        <w:t> </w:t>
      </w:r>
      <w:r>
        <w:rPr>
          <w:rFonts w:ascii="Calibri" w:hAnsi="Calibri"/>
          <w:color w:val="231F20"/>
          <w:w w:val="105"/>
          <w:sz w:val="17"/>
        </w:rPr>
        <w:t>morale</w:t>
      </w:r>
      <w:r>
        <w:rPr>
          <w:rFonts w:ascii="Calibri" w:hAnsi="Calibri"/>
          <w:color w:val="231F20"/>
          <w:spacing w:val="-9"/>
          <w:w w:val="105"/>
          <w:sz w:val="17"/>
        </w:rPr>
        <w:t> </w:t>
      </w:r>
      <w:r>
        <w:rPr>
          <w:rFonts w:ascii="Calibri" w:hAnsi="Calibri"/>
          <w:color w:val="231F20"/>
          <w:w w:val="105"/>
          <w:sz w:val="17"/>
        </w:rPr>
        <w:t>—e</w:t>
      </w:r>
      <w:r>
        <w:rPr>
          <w:rFonts w:ascii="Calibri" w:hAnsi="Calibri"/>
          <w:color w:val="231F20"/>
          <w:spacing w:val="-9"/>
          <w:w w:val="105"/>
          <w:sz w:val="17"/>
        </w:rPr>
        <w:t> </w:t>
      </w:r>
      <w:r>
        <w:rPr>
          <w:rFonts w:ascii="Calibri" w:hAnsi="Calibri"/>
          <w:color w:val="231F20"/>
          <w:w w:val="105"/>
          <w:sz w:val="17"/>
        </w:rPr>
        <w:t>supremazia</w:t>
      </w:r>
      <w:r>
        <w:rPr>
          <w:rFonts w:ascii="Calibri" w:hAnsi="Calibri"/>
          <w:color w:val="231F20"/>
          <w:spacing w:val="-9"/>
          <w:w w:val="105"/>
          <w:sz w:val="17"/>
        </w:rPr>
        <w:t> </w:t>
      </w:r>
      <w:r>
        <w:rPr>
          <w:rFonts w:ascii="Calibri" w:hAnsi="Calibri"/>
          <w:color w:val="231F20"/>
          <w:w w:val="105"/>
          <w:sz w:val="17"/>
        </w:rPr>
        <w:t>ideologica—</w:t>
      </w:r>
      <w:r>
        <w:rPr>
          <w:rFonts w:ascii="Calibri" w:hAnsi="Calibri"/>
          <w:color w:val="231F20"/>
          <w:spacing w:val="-9"/>
          <w:w w:val="105"/>
          <w:sz w:val="17"/>
        </w:rPr>
        <w:t> </w:t>
      </w:r>
      <w:r>
        <w:rPr>
          <w:rFonts w:ascii="Calibri" w:hAnsi="Calibri"/>
          <w:color w:val="231F20"/>
          <w:w w:val="105"/>
          <w:sz w:val="17"/>
        </w:rPr>
        <w:t>incluso</w:t>
      </w:r>
      <w:r>
        <w:rPr>
          <w:rFonts w:ascii="Calibri" w:hAnsi="Calibri"/>
          <w:color w:val="231F20"/>
          <w:spacing w:val="-9"/>
          <w:w w:val="105"/>
          <w:sz w:val="17"/>
        </w:rPr>
        <w:t> </w:t>
      </w:r>
      <w:r>
        <w:rPr>
          <w:rFonts w:ascii="Calibri" w:hAnsi="Calibri"/>
          <w:color w:val="231F20"/>
          <w:w w:val="105"/>
          <w:sz w:val="17"/>
        </w:rPr>
        <w:t>il</w:t>
      </w:r>
      <w:r>
        <w:rPr>
          <w:rFonts w:ascii="Calibri" w:hAnsi="Calibri"/>
          <w:color w:val="231F20"/>
          <w:spacing w:val="-9"/>
          <w:w w:val="105"/>
          <w:sz w:val="17"/>
        </w:rPr>
        <w:t> </w:t>
      </w:r>
      <w:r>
        <w:rPr>
          <w:rFonts w:ascii="Calibri" w:hAnsi="Calibri"/>
          <w:color w:val="231F20"/>
          <w:w w:val="105"/>
          <w:sz w:val="17"/>
        </w:rPr>
        <w:t>diritto</w:t>
      </w:r>
      <w:r>
        <w:rPr>
          <w:rFonts w:ascii="Calibri" w:hAnsi="Calibri"/>
          <w:color w:val="231F20"/>
          <w:spacing w:val="-9"/>
          <w:w w:val="105"/>
          <w:sz w:val="17"/>
        </w:rPr>
        <w:t> </w:t>
      </w:r>
      <w:r>
        <w:rPr>
          <w:rFonts w:ascii="Calibri" w:hAnsi="Calibri"/>
          <w:color w:val="231F20"/>
          <w:w w:val="105"/>
          <w:sz w:val="17"/>
        </w:rPr>
        <w:t>di</w:t>
      </w:r>
      <w:r>
        <w:rPr>
          <w:rFonts w:ascii="Calibri" w:hAnsi="Calibri"/>
          <w:color w:val="231F20"/>
          <w:spacing w:val="-9"/>
          <w:w w:val="105"/>
          <w:sz w:val="17"/>
        </w:rPr>
        <w:t> </w:t>
      </w:r>
      <w:r>
        <w:rPr>
          <w:rFonts w:ascii="Calibri" w:hAnsi="Calibri"/>
          <w:color w:val="231F20"/>
          <w:w w:val="105"/>
          <w:sz w:val="17"/>
        </w:rPr>
        <w:t>definire presuntivamente dei criteri morali per l’uso della forza. Sino ad un recente cambiamento nella terminologia della diplomazia statunitense, ai secondi ci si riferiva spesso con il termine di</w:t>
      </w:r>
      <w:r>
        <w:rPr>
          <w:rFonts w:ascii="Calibri" w:hAnsi="Calibri"/>
          <w:color w:val="231F20"/>
          <w:spacing w:val="-28"/>
          <w:w w:val="105"/>
          <w:sz w:val="17"/>
        </w:rPr>
        <w:t> </w:t>
      </w:r>
      <w:r>
        <w:rPr>
          <w:rFonts w:ascii="Calibri" w:hAnsi="Calibri"/>
          <w:color w:val="231F20"/>
          <w:w w:val="105"/>
          <w:sz w:val="17"/>
        </w:rPr>
        <w:t>“stati </w:t>
      </w:r>
      <w:r>
        <w:rPr>
          <w:rFonts w:ascii="Calibri" w:hAnsi="Calibri"/>
          <w:color w:val="231F20"/>
          <w:spacing w:val="-3"/>
          <w:w w:val="105"/>
          <w:sz w:val="17"/>
        </w:rPr>
        <w:t>canaglia”.</w:t>
      </w:r>
      <w:r>
        <w:rPr>
          <w:rFonts w:ascii="Calibri" w:hAnsi="Calibri"/>
          <w:color w:val="231F20"/>
          <w:spacing w:val="-12"/>
          <w:w w:val="105"/>
          <w:sz w:val="17"/>
        </w:rPr>
        <w:t> </w:t>
      </w:r>
      <w:r>
        <w:rPr>
          <w:rFonts w:ascii="Calibri" w:hAnsi="Calibri"/>
          <w:color w:val="231F20"/>
          <w:w w:val="105"/>
          <w:sz w:val="17"/>
        </w:rPr>
        <w:t>Essi</w:t>
      </w:r>
      <w:r>
        <w:rPr>
          <w:rFonts w:ascii="Calibri" w:hAnsi="Calibri"/>
          <w:color w:val="231F20"/>
          <w:spacing w:val="-12"/>
          <w:w w:val="105"/>
          <w:sz w:val="17"/>
        </w:rPr>
        <w:t> </w:t>
      </w:r>
      <w:r>
        <w:rPr>
          <w:rFonts w:ascii="Calibri" w:hAnsi="Calibri"/>
          <w:color w:val="231F20"/>
          <w:w w:val="105"/>
          <w:sz w:val="17"/>
        </w:rPr>
        <w:t>appartengono</w:t>
      </w:r>
      <w:r>
        <w:rPr>
          <w:rFonts w:ascii="Calibri" w:hAnsi="Calibri"/>
          <w:color w:val="231F20"/>
          <w:spacing w:val="-12"/>
          <w:w w:val="105"/>
          <w:sz w:val="17"/>
        </w:rPr>
        <w:t> </w:t>
      </w:r>
      <w:r>
        <w:rPr>
          <w:rFonts w:ascii="Calibri" w:hAnsi="Calibri"/>
          <w:color w:val="231F20"/>
          <w:w w:val="105"/>
          <w:sz w:val="17"/>
        </w:rPr>
        <w:t>per</w:t>
      </w:r>
      <w:r>
        <w:rPr>
          <w:rFonts w:ascii="Calibri" w:hAnsi="Calibri"/>
          <w:color w:val="231F20"/>
          <w:spacing w:val="-12"/>
          <w:w w:val="105"/>
          <w:sz w:val="17"/>
        </w:rPr>
        <w:t> </w:t>
      </w:r>
      <w:r>
        <w:rPr>
          <w:rFonts w:ascii="Calibri" w:hAnsi="Calibri"/>
          <w:color w:val="231F20"/>
          <w:w w:val="105"/>
          <w:sz w:val="17"/>
        </w:rPr>
        <w:t>lo</w:t>
      </w:r>
      <w:r>
        <w:rPr>
          <w:rFonts w:ascii="Calibri" w:hAnsi="Calibri"/>
          <w:color w:val="231F20"/>
          <w:spacing w:val="-12"/>
          <w:w w:val="105"/>
          <w:sz w:val="17"/>
        </w:rPr>
        <w:t> </w:t>
      </w:r>
      <w:r>
        <w:rPr>
          <w:rFonts w:ascii="Calibri" w:hAnsi="Calibri"/>
          <w:color w:val="231F20"/>
          <w:w w:val="105"/>
          <w:sz w:val="17"/>
        </w:rPr>
        <w:t>più</w:t>
      </w:r>
      <w:r>
        <w:rPr>
          <w:rFonts w:ascii="Calibri" w:hAnsi="Calibri"/>
          <w:color w:val="231F20"/>
          <w:spacing w:val="-12"/>
          <w:w w:val="105"/>
          <w:sz w:val="17"/>
        </w:rPr>
        <w:t> </w:t>
      </w:r>
      <w:r>
        <w:rPr>
          <w:rFonts w:ascii="Calibri" w:hAnsi="Calibri"/>
          <w:color w:val="231F20"/>
          <w:w w:val="105"/>
          <w:sz w:val="17"/>
        </w:rPr>
        <w:t>al</w:t>
      </w:r>
      <w:r>
        <w:rPr>
          <w:rFonts w:ascii="Calibri" w:hAnsi="Calibri"/>
          <w:color w:val="231F20"/>
          <w:spacing w:val="-15"/>
          <w:w w:val="105"/>
          <w:sz w:val="17"/>
        </w:rPr>
        <w:t> </w:t>
      </w:r>
      <w:r>
        <w:rPr>
          <w:rFonts w:ascii="Calibri" w:hAnsi="Calibri"/>
          <w:color w:val="231F20"/>
          <w:spacing w:val="-3"/>
          <w:w w:val="105"/>
          <w:sz w:val="17"/>
        </w:rPr>
        <w:t>Terzo</w:t>
      </w:r>
      <w:r>
        <w:rPr>
          <w:rFonts w:ascii="Calibri" w:hAnsi="Calibri"/>
          <w:color w:val="231F20"/>
          <w:spacing w:val="-12"/>
          <w:w w:val="105"/>
          <w:sz w:val="17"/>
        </w:rPr>
        <w:t> </w:t>
      </w:r>
      <w:r>
        <w:rPr>
          <w:rFonts w:ascii="Calibri" w:hAnsi="Calibri"/>
          <w:color w:val="231F20"/>
          <w:w w:val="105"/>
          <w:sz w:val="17"/>
        </w:rPr>
        <w:t>Mondo.</w:t>
      </w:r>
      <w:r>
        <w:rPr>
          <w:rFonts w:ascii="Calibri" w:hAnsi="Calibri"/>
          <w:color w:val="231F20"/>
          <w:spacing w:val="-12"/>
          <w:w w:val="105"/>
          <w:sz w:val="17"/>
        </w:rPr>
        <w:t> </w:t>
      </w:r>
      <w:r>
        <w:rPr>
          <w:rFonts w:ascii="Calibri" w:hAnsi="Calibri"/>
          <w:color w:val="231F20"/>
          <w:w w:val="105"/>
          <w:sz w:val="17"/>
        </w:rPr>
        <w:t>Gli</w:t>
      </w:r>
      <w:r>
        <w:rPr>
          <w:rFonts w:ascii="Calibri" w:hAnsi="Calibri"/>
          <w:color w:val="231F20"/>
          <w:spacing w:val="-12"/>
          <w:w w:val="105"/>
          <w:sz w:val="17"/>
        </w:rPr>
        <w:t> </w:t>
      </w:r>
      <w:r>
        <w:rPr>
          <w:rFonts w:ascii="Calibri" w:hAnsi="Calibri"/>
          <w:color w:val="231F20"/>
          <w:w w:val="105"/>
          <w:sz w:val="17"/>
        </w:rPr>
        <w:t>Stati</w:t>
      </w:r>
      <w:r>
        <w:rPr>
          <w:rFonts w:ascii="Calibri" w:hAnsi="Calibri"/>
          <w:color w:val="231F20"/>
          <w:spacing w:val="-12"/>
          <w:w w:val="105"/>
          <w:sz w:val="17"/>
        </w:rPr>
        <w:t> </w:t>
      </w:r>
      <w:r>
        <w:rPr>
          <w:rFonts w:ascii="Calibri" w:hAnsi="Calibri"/>
          <w:color w:val="231F20"/>
          <w:w w:val="105"/>
          <w:sz w:val="17"/>
        </w:rPr>
        <w:t>imperiali</w:t>
      </w:r>
      <w:r>
        <w:rPr>
          <w:rFonts w:ascii="Calibri" w:hAnsi="Calibri"/>
          <w:color w:val="231F20"/>
          <w:spacing w:val="-12"/>
          <w:w w:val="105"/>
          <w:sz w:val="17"/>
        </w:rPr>
        <w:t> </w:t>
      </w:r>
      <w:r>
        <w:rPr>
          <w:rFonts w:ascii="Calibri" w:hAnsi="Calibri"/>
          <w:color w:val="231F20"/>
          <w:w w:val="105"/>
          <w:sz w:val="17"/>
        </w:rPr>
        <w:t>sostituiscono</w:t>
      </w:r>
      <w:r>
        <w:rPr>
          <w:rFonts w:ascii="Calibri" w:hAnsi="Calibri"/>
          <w:color w:val="231F20"/>
          <w:spacing w:val="-12"/>
          <w:w w:val="105"/>
          <w:sz w:val="17"/>
        </w:rPr>
        <w:t> </w:t>
      </w:r>
      <w:r>
        <w:rPr>
          <w:rFonts w:ascii="Calibri" w:hAnsi="Calibri"/>
          <w:color w:val="231F20"/>
          <w:w w:val="105"/>
          <w:sz w:val="17"/>
        </w:rPr>
        <w:t>il</w:t>
      </w:r>
      <w:r>
        <w:rPr>
          <w:rFonts w:ascii="Calibri" w:hAnsi="Calibri"/>
          <w:color w:val="231F20"/>
          <w:spacing w:val="-12"/>
          <w:w w:val="105"/>
          <w:sz w:val="17"/>
        </w:rPr>
        <w:t> </w:t>
      </w:r>
      <w:r>
        <w:rPr>
          <w:rFonts w:ascii="Calibri" w:hAnsi="Calibri"/>
          <w:color w:val="231F20"/>
          <w:w w:val="105"/>
          <w:sz w:val="17"/>
        </w:rPr>
        <w:t>principio di</w:t>
      </w:r>
      <w:r>
        <w:rPr>
          <w:rFonts w:ascii="Calibri" w:hAnsi="Calibri"/>
          <w:color w:val="231F20"/>
          <w:spacing w:val="-22"/>
          <w:w w:val="105"/>
          <w:sz w:val="17"/>
        </w:rPr>
        <w:t> </w:t>
      </w:r>
      <w:r>
        <w:rPr>
          <w:rFonts w:ascii="Calibri" w:hAnsi="Calibri"/>
          <w:color w:val="231F20"/>
          <w:w w:val="105"/>
          <w:sz w:val="17"/>
        </w:rPr>
        <w:t>non</w:t>
      </w:r>
      <w:r>
        <w:rPr>
          <w:rFonts w:ascii="Calibri" w:hAnsi="Calibri"/>
          <w:color w:val="231F20"/>
          <w:spacing w:val="-22"/>
          <w:w w:val="105"/>
          <w:sz w:val="17"/>
        </w:rPr>
        <w:t> </w:t>
      </w:r>
      <w:r>
        <w:rPr>
          <w:rFonts w:ascii="Calibri" w:hAnsi="Calibri"/>
          <w:color w:val="231F20"/>
          <w:w w:val="105"/>
          <w:sz w:val="17"/>
        </w:rPr>
        <w:t>utilizzo</w:t>
      </w:r>
      <w:r>
        <w:rPr>
          <w:rFonts w:ascii="Calibri" w:hAnsi="Calibri"/>
          <w:color w:val="231F20"/>
          <w:spacing w:val="-22"/>
          <w:w w:val="105"/>
          <w:sz w:val="17"/>
        </w:rPr>
        <w:t> </w:t>
      </w:r>
      <w:r>
        <w:rPr>
          <w:rFonts w:ascii="Calibri" w:hAnsi="Calibri"/>
          <w:color w:val="231F20"/>
          <w:w w:val="105"/>
          <w:sz w:val="17"/>
        </w:rPr>
        <w:t>della</w:t>
      </w:r>
      <w:r>
        <w:rPr>
          <w:rFonts w:ascii="Calibri" w:hAnsi="Calibri"/>
          <w:color w:val="231F20"/>
          <w:spacing w:val="-22"/>
          <w:w w:val="105"/>
          <w:sz w:val="17"/>
        </w:rPr>
        <w:t> </w:t>
      </w:r>
      <w:r>
        <w:rPr>
          <w:rFonts w:ascii="Calibri" w:hAnsi="Calibri"/>
          <w:color w:val="231F20"/>
          <w:w w:val="105"/>
          <w:sz w:val="17"/>
        </w:rPr>
        <w:t>forza</w:t>
      </w:r>
      <w:r>
        <w:rPr>
          <w:rFonts w:ascii="Calibri" w:hAnsi="Calibri"/>
          <w:color w:val="231F20"/>
          <w:spacing w:val="-22"/>
          <w:w w:val="105"/>
          <w:sz w:val="17"/>
        </w:rPr>
        <w:t> </w:t>
      </w:r>
      <w:r>
        <w:rPr>
          <w:rFonts w:ascii="Calibri" w:hAnsi="Calibri"/>
          <w:color w:val="231F20"/>
          <w:w w:val="105"/>
          <w:sz w:val="17"/>
        </w:rPr>
        <w:t>con</w:t>
      </w:r>
      <w:r>
        <w:rPr>
          <w:rFonts w:ascii="Calibri" w:hAnsi="Calibri"/>
          <w:color w:val="231F20"/>
          <w:spacing w:val="-22"/>
          <w:w w:val="105"/>
          <w:sz w:val="17"/>
        </w:rPr>
        <w:t> </w:t>
      </w:r>
      <w:r>
        <w:rPr>
          <w:rFonts w:ascii="Calibri" w:hAnsi="Calibri"/>
          <w:color w:val="231F20"/>
          <w:w w:val="105"/>
          <w:sz w:val="17"/>
        </w:rPr>
        <w:t>un</w:t>
      </w:r>
      <w:r>
        <w:rPr>
          <w:rFonts w:ascii="Calibri" w:hAnsi="Calibri"/>
          <w:color w:val="231F20"/>
          <w:spacing w:val="-22"/>
          <w:w w:val="105"/>
          <w:sz w:val="17"/>
        </w:rPr>
        <w:t> </w:t>
      </w:r>
      <w:r>
        <w:rPr>
          <w:rFonts w:ascii="Calibri" w:hAnsi="Calibri"/>
          <w:i/>
          <w:color w:val="231F20"/>
          <w:w w:val="105"/>
          <w:sz w:val="17"/>
        </w:rPr>
        <w:t>diritto</w:t>
      </w:r>
      <w:r>
        <w:rPr>
          <w:rFonts w:ascii="Calibri" w:hAnsi="Calibri"/>
          <w:i/>
          <w:color w:val="231F20"/>
          <w:spacing w:val="-22"/>
          <w:w w:val="105"/>
          <w:sz w:val="17"/>
        </w:rPr>
        <w:t> </w:t>
      </w:r>
      <w:r>
        <w:rPr>
          <w:rFonts w:ascii="Calibri" w:hAnsi="Calibri"/>
          <w:color w:val="231F20"/>
          <w:w w:val="105"/>
          <w:sz w:val="17"/>
        </w:rPr>
        <w:t>(in</w:t>
      </w:r>
      <w:r>
        <w:rPr>
          <w:rFonts w:ascii="Calibri" w:hAnsi="Calibri"/>
          <w:color w:val="231F20"/>
          <w:spacing w:val="-22"/>
          <w:w w:val="105"/>
          <w:sz w:val="17"/>
        </w:rPr>
        <w:t> </w:t>
      </w:r>
      <w:r>
        <w:rPr>
          <w:rFonts w:ascii="Calibri" w:hAnsi="Calibri"/>
          <w:color w:val="231F20"/>
          <w:w w:val="105"/>
          <w:sz w:val="17"/>
        </w:rPr>
        <w:t>alcuni</w:t>
      </w:r>
      <w:r>
        <w:rPr>
          <w:rFonts w:ascii="Calibri" w:hAnsi="Calibri"/>
          <w:color w:val="231F20"/>
          <w:spacing w:val="-22"/>
          <w:w w:val="105"/>
          <w:sz w:val="17"/>
        </w:rPr>
        <w:t> </w:t>
      </w:r>
      <w:r>
        <w:rPr>
          <w:rFonts w:ascii="Calibri" w:hAnsi="Calibri"/>
          <w:color w:val="231F20"/>
          <w:w w:val="105"/>
          <w:sz w:val="17"/>
        </w:rPr>
        <w:t>casi</w:t>
      </w:r>
      <w:r>
        <w:rPr>
          <w:rFonts w:ascii="Calibri" w:hAnsi="Calibri"/>
          <w:color w:val="231F20"/>
          <w:spacing w:val="-22"/>
          <w:w w:val="105"/>
          <w:sz w:val="17"/>
        </w:rPr>
        <w:t> </w:t>
      </w:r>
      <w:r>
        <w:rPr>
          <w:rFonts w:ascii="Calibri" w:hAnsi="Calibri"/>
          <w:color w:val="231F20"/>
          <w:w w:val="105"/>
          <w:sz w:val="17"/>
        </w:rPr>
        <w:t>considerato</w:t>
      </w:r>
      <w:r>
        <w:rPr>
          <w:rFonts w:ascii="Calibri" w:hAnsi="Calibri"/>
          <w:color w:val="231F20"/>
          <w:spacing w:val="-22"/>
          <w:w w:val="105"/>
          <w:sz w:val="17"/>
        </w:rPr>
        <w:t> </w:t>
      </w:r>
      <w:r>
        <w:rPr>
          <w:rFonts w:ascii="Calibri" w:hAnsi="Calibri"/>
          <w:color w:val="231F20"/>
          <w:w w:val="105"/>
          <w:sz w:val="17"/>
        </w:rPr>
        <w:t>persino</w:t>
      </w:r>
      <w:r>
        <w:rPr>
          <w:rFonts w:ascii="Calibri" w:hAnsi="Calibri"/>
          <w:color w:val="231F20"/>
          <w:spacing w:val="-22"/>
          <w:w w:val="105"/>
          <w:sz w:val="17"/>
        </w:rPr>
        <w:t> </w:t>
      </w:r>
      <w:r>
        <w:rPr>
          <w:rFonts w:ascii="Calibri" w:hAnsi="Calibri"/>
          <w:color w:val="231F20"/>
          <w:w w:val="105"/>
          <w:sz w:val="17"/>
        </w:rPr>
        <w:t>equivalente</w:t>
      </w:r>
      <w:r>
        <w:rPr>
          <w:rFonts w:ascii="Calibri" w:hAnsi="Calibri"/>
          <w:color w:val="231F20"/>
          <w:spacing w:val="-22"/>
          <w:w w:val="105"/>
          <w:sz w:val="17"/>
        </w:rPr>
        <w:t> </w:t>
      </w:r>
      <w:r>
        <w:rPr>
          <w:rFonts w:ascii="Calibri" w:hAnsi="Calibri"/>
          <w:color w:val="231F20"/>
          <w:w w:val="105"/>
          <w:sz w:val="17"/>
        </w:rPr>
        <w:t>ad</w:t>
      </w:r>
      <w:r>
        <w:rPr>
          <w:rFonts w:ascii="Calibri" w:hAnsi="Calibri"/>
          <w:color w:val="231F20"/>
          <w:spacing w:val="-22"/>
          <w:w w:val="105"/>
          <w:sz w:val="17"/>
        </w:rPr>
        <w:t> </w:t>
      </w:r>
      <w:r>
        <w:rPr>
          <w:rFonts w:ascii="Calibri" w:hAnsi="Calibri"/>
          <w:color w:val="231F20"/>
          <w:w w:val="105"/>
          <w:sz w:val="17"/>
        </w:rPr>
        <w:t>un</w:t>
      </w:r>
      <w:r>
        <w:rPr>
          <w:rFonts w:ascii="Calibri" w:hAnsi="Calibri"/>
          <w:color w:val="231F20"/>
          <w:spacing w:val="-22"/>
          <w:w w:val="105"/>
          <w:sz w:val="17"/>
        </w:rPr>
        <w:t> </w:t>
      </w:r>
      <w:r>
        <w:rPr>
          <w:rFonts w:ascii="Calibri" w:hAnsi="Calibri"/>
          <w:i/>
          <w:color w:val="231F20"/>
          <w:w w:val="105"/>
          <w:sz w:val="17"/>
        </w:rPr>
        <w:t>dovere</w:t>
      </w:r>
      <w:r>
        <w:rPr>
          <w:rFonts w:ascii="Calibri" w:hAnsi="Calibri"/>
          <w:color w:val="231F20"/>
          <w:w w:val="105"/>
          <w:sz w:val="17"/>
        </w:rPr>
        <w:t>) </w:t>
      </w:r>
      <w:r>
        <w:rPr>
          <w:rFonts w:ascii="Calibri" w:hAnsi="Calibri"/>
          <w:i/>
          <w:color w:val="231F20"/>
          <w:w w:val="105"/>
          <w:sz w:val="17"/>
        </w:rPr>
        <w:t>di</w:t>
      </w:r>
      <w:r>
        <w:rPr>
          <w:rFonts w:ascii="Calibri" w:hAnsi="Calibri"/>
          <w:i/>
          <w:color w:val="231F20"/>
          <w:spacing w:val="-5"/>
          <w:w w:val="105"/>
          <w:sz w:val="17"/>
        </w:rPr>
        <w:t> </w:t>
      </w:r>
      <w:r>
        <w:rPr>
          <w:rFonts w:ascii="Calibri" w:hAnsi="Calibri"/>
          <w:i/>
          <w:color w:val="231F20"/>
          <w:w w:val="105"/>
          <w:sz w:val="17"/>
        </w:rPr>
        <w:t>intervenire</w:t>
      </w:r>
      <w:r>
        <w:rPr>
          <w:rFonts w:ascii="Calibri" w:hAnsi="Calibri"/>
          <w:color w:val="231F20"/>
          <w:w w:val="105"/>
          <w:sz w:val="17"/>
        </w:rPr>
        <w:t>,</w:t>
      </w:r>
      <w:r>
        <w:rPr>
          <w:rFonts w:ascii="Calibri" w:hAnsi="Calibri"/>
          <w:color w:val="231F20"/>
          <w:spacing w:val="-4"/>
          <w:w w:val="105"/>
          <w:sz w:val="17"/>
        </w:rPr>
        <w:t> </w:t>
      </w:r>
      <w:r>
        <w:rPr>
          <w:rFonts w:ascii="Calibri" w:hAnsi="Calibri"/>
          <w:color w:val="231F20"/>
          <w:w w:val="105"/>
          <w:sz w:val="17"/>
        </w:rPr>
        <w:t>sostituendo</w:t>
      </w:r>
      <w:r>
        <w:rPr>
          <w:rFonts w:ascii="Calibri" w:hAnsi="Calibri"/>
          <w:color w:val="231F20"/>
          <w:spacing w:val="-4"/>
          <w:w w:val="105"/>
          <w:sz w:val="17"/>
        </w:rPr>
        <w:t> </w:t>
      </w:r>
      <w:r>
        <w:rPr>
          <w:rFonts w:ascii="Calibri" w:hAnsi="Calibri"/>
          <w:color w:val="231F20"/>
          <w:w w:val="105"/>
          <w:sz w:val="17"/>
        </w:rPr>
        <w:t>così</w:t>
      </w:r>
      <w:r>
        <w:rPr>
          <w:rFonts w:ascii="Calibri" w:hAnsi="Calibri"/>
          <w:color w:val="231F20"/>
          <w:spacing w:val="-4"/>
          <w:w w:val="105"/>
          <w:sz w:val="17"/>
        </w:rPr>
        <w:t> </w:t>
      </w:r>
      <w:r>
        <w:rPr>
          <w:rFonts w:ascii="Calibri" w:hAnsi="Calibri"/>
          <w:color w:val="231F20"/>
          <w:w w:val="105"/>
          <w:sz w:val="17"/>
        </w:rPr>
        <w:t>la</w:t>
      </w:r>
      <w:r>
        <w:rPr>
          <w:rFonts w:ascii="Calibri" w:hAnsi="Calibri"/>
          <w:color w:val="231F20"/>
          <w:spacing w:val="-4"/>
          <w:w w:val="105"/>
          <w:sz w:val="17"/>
        </w:rPr>
        <w:t> </w:t>
      </w:r>
      <w:r>
        <w:rPr>
          <w:rFonts w:ascii="Calibri" w:hAnsi="Calibri"/>
          <w:color w:val="231F20"/>
          <w:w w:val="105"/>
          <w:sz w:val="17"/>
        </w:rPr>
        <w:t>precedente</w:t>
      </w:r>
      <w:r>
        <w:rPr>
          <w:rFonts w:ascii="Calibri" w:hAnsi="Calibri"/>
          <w:color w:val="231F20"/>
          <w:spacing w:val="-4"/>
          <w:w w:val="105"/>
          <w:sz w:val="17"/>
        </w:rPr>
        <w:t> </w:t>
      </w:r>
      <w:r>
        <w:rPr>
          <w:rFonts w:ascii="Calibri" w:hAnsi="Calibri"/>
          <w:color w:val="231F20"/>
          <w:w w:val="105"/>
          <w:sz w:val="17"/>
        </w:rPr>
        <w:t>legittimazione</w:t>
      </w:r>
      <w:r>
        <w:rPr>
          <w:rFonts w:ascii="Calibri" w:hAnsi="Calibri"/>
          <w:color w:val="231F20"/>
          <w:spacing w:val="-4"/>
          <w:w w:val="105"/>
          <w:sz w:val="17"/>
        </w:rPr>
        <w:t> </w:t>
      </w:r>
      <w:r>
        <w:rPr>
          <w:rFonts w:ascii="Calibri" w:hAnsi="Calibri"/>
          <w:color w:val="231F20"/>
          <w:w w:val="105"/>
          <w:sz w:val="17"/>
        </w:rPr>
        <w:t>religiosa</w:t>
      </w:r>
      <w:r>
        <w:rPr>
          <w:rFonts w:ascii="Calibri" w:hAnsi="Calibri"/>
          <w:color w:val="231F20"/>
          <w:spacing w:val="-4"/>
          <w:w w:val="105"/>
          <w:sz w:val="17"/>
        </w:rPr>
        <w:t> </w:t>
      </w:r>
      <w:r>
        <w:rPr>
          <w:rFonts w:ascii="Calibri" w:hAnsi="Calibri"/>
          <w:color w:val="231F20"/>
          <w:w w:val="105"/>
          <w:sz w:val="17"/>
        </w:rPr>
        <w:t>con</w:t>
      </w:r>
      <w:r>
        <w:rPr>
          <w:rFonts w:ascii="Calibri" w:hAnsi="Calibri"/>
          <w:color w:val="231F20"/>
          <w:spacing w:val="-4"/>
          <w:w w:val="105"/>
          <w:sz w:val="17"/>
        </w:rPr>
        <w:t> </w:t>
      </w:r>
      <w:r>
        <w:rPr>
          <w:rFonts w:ascii="Calibri" w:hAnsi="Calibri"/>
          <w:color w:val="231F20"/>
          <w:w w:val="105"/>
          <w:sz w:val="17"/>
        </w:rPr>
        <w:t>un</w:t>
      </w:r>
      <w:r>
        <w:rPr>
          <w:rFonts w:ascii="Calibri" w:hAnsi="Calibri"/>
          <w:color w:val="231F20"/>
          <w:spacing w:val="-4"/>
          <w:w w:val="105"/>
          <w:sz w:val="17"/>
        </w:rPr>
        <w:t> </w:t>
      </w:r>
      <w:r>
        <w:rPr>
          <w:rFonts w:ascii="Calibri" w:hAnsi="Calibri"/>
          <w:color w:val="231F20"/>
          <w:w w:val="105"/>
          <w:sz w:val="17"/>
        </w:rPr>
        <w:t>discorso</w:t>
      </w:r>
      <w:r>
        <w:rPr>
          <w:rFonts w:ascii="Calibri" w:hAnsi="Calibri"/>
          <w:color w:val="231F20"/>
          <w:spacing w:val="-4"/>
          <w:w w:val="105"/>
          <w:sz w:val="17"/>
        </w:rPr>
        <w:t> </w:t>
      </w:r>
      <w:r>
        <w:rPr>
          <w:rFonts w:ascii="Calibri" w:hAnsi="Calibri"/>
          <w:color w:val="231F20"/>
          <w:w w:val="105"/>
          <w:sz w:val="17"/>
        </w:rPr>
        <w:t>“secolare” sui diritti umani. Tuttavia nella realtà, questo diritto di intervenire è basato soltanto sul potere superiore</w:t>
      </w:r>
      <w:r>
        <w:rPr>
          <w:rFonts w:ascii="Calibri" w:hAnsi="Calibri"/>
          <w:color w:val="231F20"/>
          <w:spacing w:val="-3"/>
          <w:w w:val="105"/>
          <w:sz w:val="17"/>
        </w:rPr>
        <w:t> </w:t>
      </w:r>
      <w:r>
        <w:rPr>
          <w:rFonts w:ascii="Calibri" w:hAnsi="Calibri"/>
          <w:color w:val="231F20"/>
          <w:w w:val="105"/>
          <w:sz w:val="17"/>
        </w:rPr>
        <w:t>degli</w:t>
      </w:r>
      <w:r>
        <w:rPr>
          <w:rFonts w:ascii="Calibri" w:hAnsi="Calibri"/>
          <w:color w:val="231F20"/>
          <w:spacing w:val="-3"/>
          <w:w w:val="105"/>
          <w:sz w:val="17"/>
        </w:rPr>
        <w:t> </w:t>
      </w:r>
      <w:r>
        <w:rPr>
          <w:rFonts w:ascii="Calibri" w:hAnsi="Calibri"/>
          <w:color w:val="231F20"/>
          <w:w w:val="105"/>
          <w:sz w:val="17"/>
        </w:rPr>
        <w:t>Stati</w:t>
      </w:r>
      <w:r>
        <w:rPr>
          <w:rFonts w:ascii="Calibri" w:hAnsi="Calibri"/>
          <w:color w:val="231F20"/>
          <w:spacing w:val="-3"/>
          <w:w w:val="105"/>
          <w:sz w:val="17"/>
        </w:rPr>
        <w:t> </w:t>
      </w:r>
      <w:r>
        <w:rPr>
          <w:rFonts w:ascii="Calibri" w:hAnsi="Calibri"/>
          <w:color w:val="231F20"/>
          <w:w w:val="105"/>
          <w:sz w:val="17"/>
        </w:rPr>
        <w:t>imperiali.</w:t>
      </w:r>
      <w:r>
        <w:rPr>
          <w:rFonts w:ascii="Calibri" w:hAnsi="Calibri"/>
          <w:color w:val="231F20"/>
          <w:spacing w:val="-3"/>
          <w:w w:val="105"/>
          <w:sz w:val="17"/>
        </w:rPr>
        <w:t> </w:t>
      </w:r>
      <w:r>
        <w:rPr>
          <w:rFonts w:ascii="Calibri" w:hAnsi="Calibri"/>
          <w:color w:val="231F20"/>
          <w:w w:val="105"/>
          <w:sz w:val="17"/>
        </w:rPr>
        <w:t>Esso</w:t>
      </w:r>
      <w:r>
        <w:rPr>
          <w:rFonts w:ascii="Calibri" w:hAnsi="Calibri"/>
          <w:color w:val="231F20"/>
          <w:spacing w:val="-3"/>
          <w:w w:val="105"/>
          <w:sz w:val="17"/>
        </w:rPr>
        <w:t> </w:t>
      </w:r>
      <w:r>
        <w:rPr>
          <w:rFonts w:ascii="Calibri" w:hAnsi="Calibri"/>
          <w:color w:val="231F20"/>
          <w:w w:val="105"/>
          <w:sz w:val="17"/>
        </w:rPr>
        <w:t>non</w:t>
      </w:r>
      <w:r>
        <w:rPr>
          <w:rFonts w:ascii="Calibri" w:hAnsi="Calibri"/>
          <w:color w:val="231F20"/>
          <w:spacing w:val="-3"/>
          <w:w w:val="105"/>
          <w:sz w:val="17"/>
        </w:rPr>
        <w:t> </w:t>
      </w:r>
      <w:r>
        <w:rPr>
          <w:rFonts w:ascii="Calibri" w:hAnsi="Calibri"/>
          <w:color w:val="231F20"/>
          <w:w w:val="105"/>
          <w:sz w:val="17"/>
        </w:rPr>
        <w:t>ha</w:t>
      </w:r>
      <w:r>
        <w:rPr>
          <w:rFonts w:ascii="Calibri" w:hAnsi="Calibri"/>
          <w:color w:val="231F20"/>
          <w:spacing w:val="-3"/>
          <w:w w:val="105"/>
          <w:sz w:val="17"/>
        </w:rPr>
        <w:t> </w:t>
      </w:r>
      <w:r>
        <w:rPr>
          <w:rFonts w:ascii="Calibri" w:hAnsi="Calibri"/>
          <w:color w:val="231F20"/>
          <w:w w:val="105"/>
          <w:sz w:val="17"/>
        </w:rPr>
        <w:t>fondamenti</w:t>
      </w:r>
      <w:r>
        <w:rPr>
          <w:rFonts w:ascii="Calibri" w:hAnsi="Calibri"/>
          <w:color w:val="231F20"/>
          <w:spacing w:val="-3"/>
          <w:w w:val="105"/>
          <w:sz w:val="17"/>
        </w:rPr>
        <w:t> </w:t>
      </w:r>
      <w:r>
        <w:rPr>
          <w:rFonts w:ascii="Calibri" w:hAnsi="Calibri"/>
          <w:color w:val="231F20"/>
          <w:w w:val="105"/>
          <w:sz w:val="17"/>
        </w:rPr>
        <w:t>giuridici”.</w:t>
      </w:r>
      <w:r>
        <w:rPr>
          <w:rFonts w:ascii="Calibri" w:hAnsi="Calibri"/>
          <w:color w:val="231F20"/>
          <w:spacing w:val="-3"/>
          <w:w w:val="105"/>
          <w:sz w:val="17"/>
        </w:rPr>
        <w:t> </w:t>
      </w:r>
      <w:r>
        <w:rPr>
          <w:rFonts w:ascii="Calibri" w:hAnsi="Calibri"/>
          <w:color w:val="231F20"/>
          <w:w w:val="105"/>
          <w:sz w:val="17"/>
        </w:rPr>
        <w:t>Ma</w:t>
      </w:r>
      <w:r>
        <w:rPr>
          <w:rFonts w:ascii="Calibri" w:hAnsi="Calibri"/>
          <w:color w:val="231F20"/>
          <w:spacing w:val="-3"/>
          <w:w w:val="105"/>
          <w:sz w:val="17"/>
        </w:rPr>
        <w:t> </w:t>
      </w:r>
      <w:r>
        <w:rPr>
          <w:rFonts w:ascii="Calibri" w:hAnsi="Calibri"/>
          <w:color w:val="231F20"/>
          <w:w w:val="105"/>
          <w:sz w:val="17"/>
        </w:rPr>
        <w:t>per</w:t>
      </w:r>
      <w:r>
        <w:rPr>
          <w:rFonts w:ascii="Calibri" w:hAnsi="Calibri"/>
          <w:color w:val="231F20"/>
          <w:spacing w:val="-3"/>
          <w:w w:val="105"/>
          <w:sz w:val="17"/>
        </w:rPr>
        <w:t> </w:t>
      </w:r>
      <w:r>
        <w:rPr>
          <w:rFonts w:ascii="Calibri" w:hAnsi="Calibri"/>
          <w:color w:val="231F20"/>
          <w:w w:val="105"/>
          <w:sz w:val="17"/>
        </w:rPr>
        <w:t>una</w:t>
      </w:r>
      <w:r>
        <w:rPr>
          <w:rFonts w:ascii="Calibri" w:hAnsi="Calibri"/>
          <w:color w:val="231F20"/>
          <w:spacing w:val="-3"/>
          <w:w w:val="105"/>
          <w:sz w:val="17"/>
        </w:rPr>
        <w:t> </w:t>
      </w:r>
      <w:r>
        <w:rPr>
          <w:rFonts w:ascii="Calibri" w:hAnsi="Calibri"/>
          <w:color w:val="231F20"/>
          <w:w w:val="105"/>
          <w:sz w:val="17"/>
        </w:rPr>
        <w:t>eThcace</w:t>
      </w:r>
      <w:r>
        <w:rPr>
          <w:rFonts w:ascii="Calibri" w:hAnsi="Calibri"/>
          <w:color w:val="231F20"/>
          <w:spacing w:val="-3"/>
          <w:w w:val="105"/>
          <w:sz w:val="17"/>
        </w:rPr>
        <w:t> </w:t>
      </w:r>
      <w:r>
        <w:rPr>
          <w:rFonts w:ascii="Calibri" w:hAnsi="Calibri"/>
          <w:color w:val="231F20"/>
          <w:w w:val="105"/>
          <w:sz w:val="17"/>
        </w:rPr>
        <w:t>critica</w:t>
      </w:r>
      <w:r>
        <w:rPr>
          <w:rFonts w:ascii="Calibri" w:hAnsi="Calibri"/>
          <w:color w:val="231F20"/>
          <w:spacing w:val="-3"/>
          <w:w w:val="105"/>
          <w:sz w:val="17"/>
        </w:rPr>
        <w:t> </w:t>
      </w:r>
      <w:r>
        <w:rPr>
          <w:rFonts w:ascii="Calibri" w:hAnsi="Calibri"/>
          <w:color w:val="231F20"/>
          <w:w w:val="105"/>
          <w:sz w:val="17"/>
        </w:rPr>
        <w:t>del carattere</w:t>
      </w:r>
      <w:r>
        <w:rPr>
          <w:rFonts w:ascii="Calibri" w:hAnsi="Calibri"/>
          <w:color w:val="231F20"/>
          <w:spacing w:val="-6"/>
          <w:w w:val="105"/>
          <w:sz w:val="17"/>
        </w:rPr>
        <w:t> </w:t>
      </w:r>
      <w:r>
        <w:rPr>
          <w:rFonts w:ascii="Calibri" w:hAnsi="Calibri"/>
          <w:color w:val="231F20"/>
          <w:w w:val="105"/>
          <w:sz w:val="17"/>
        </w:rPr>
        <w:t>neo-coloniale</w:t>
      </w:r>
      <w:r>
        <w:rPr>
          <w:rFonts w:ascii="Calibri" w:hAnsi="Calibri"/>
          <w:color w:val="231F20"/>
          <w:spacing w:val="-6"/>
          <w:w w:val="105"/>
          <w:sz w:val="17"/>
        </w:rPr>
        <w:t> </w:t>
      </w:r>
      <w:r>
        <w:rPr>
          <w:rFonts w:ascii="Calibri" w:hAnsi="Calibri"/>
          <w:color w:val="231F20"/>
          <w:w w:val="105"/>
          <w:sz w:val="17"/>
        </w:rPr>
        <w:t>di</w:t>
      </w:r>
      <w:r>
        <w:rPr>
          <w:rFonts w:ascii="Calibri" w:hAnsi="Calibri"/>
          <w:color w:val="231F20"/>
          <w:spacing w:val="-6"/>
          <w:w w:val="105"/>
          <w:sz w:val="17"/>
        </w:rPr>
        <w:t> </w:t>
      </w:r>
      <w:r>
        <w:rPr>
          <w:rFonts w:ascii="Calibri" w:hAnsi="Calibri"/>
          <w:color w:val="231F20"/>
          <w:w w:val="105"/>
          <w:sz w:val="17"/>
        </w:rPr>
        <w:t>questo</w:t>
      </w:r>
      <w:r>
        <w:rPr>
          <w:rFonts w:ascii="Calibri" w:hAnsi="Calibri"/>
          <w:color w:val="231F20"/>
          <w:spacing w:val="-6"/>
          <w:w w:val="105"/>
          <w:sz w:val="17"/>
        </w:rPr>
        <w:t> </w:t>
      </w:r>
      <w:r>
        <w:rPr>
          <w:rFonts w:ascii="Calibri" w:hAnsi="Calibri"/>
          <w:color w:val="231F20"/>
          <w:w w:val="105"/>
          <w:sz w:val="17"/>
        </w:rPr>
        <w:t>nuovo</w:t>
      </w:r>
      <w:r>
        <w:rPr>
          <w:rFonts w:ascii="Calibri" w:hAnsi="Calibri"/>
          <w:color w:val="231F20"/>
          <w:spacing w:val="-6"/>
          <w:w w:val="105"/>
          <w:sz w:val="17"/>
        </w:rPr>
        <w:t> </w:t>
      </w:r>
      <w:r>
        <w:rPr>
          <w:rFonts w:ascii="Calibri" w:hAnsi="Calibri"/>
          <w:color w:val="231F20"/>
          <w:w w:val="105"/>
          <w:sz w:val="17"/>
        </w:rPr>
        <w:t>interventismo</w:t>
      </w:r>
      <w:r>
        <w:rPr>
          <w:rFonts w:ascii="Calibri" w:hAnsi="Calibri"/>
          <w:color w:val="231F20"/>
          <w:spacing w:val="-6"/>
          <w:w w:val="105"/>
          <w:sz w:val="17"/>
        </w:rPr>
        <w:t> </w:t>
      </w:r>
      <w:r>
        <w:rPr>
          <w:rFonts w:ascii="Calibri" w:hAnsi="Calibri"/>
          <w:color w:val="231F20"/>
          <w:w w:val="105"/>
          <w:sz w:val="17"/>
        </w:rPr>
        <w:t>umanitario</w:t>
      </w:r>
      <w:r>
        <w:rPr>
          <w:rFonts w:ascii="Calibri" w:hAnsi="Calibri"/>
          <w:color w:val="231F20"/>
          <w:spacing w:val="-6"/>
          <w:w w:val="105"/>
          <w:sz w:val="17"/>
        </w:rPr>
        <w:t> </w:t>
      </w:r>
      <w:r>
        <w:rPr>
          <w:rFonts w:ascii="Calibri" w:hAnsi="Calibri"/>
          <w:color w:val="231F20"/>
          <w:w w:val="105"/>
          <w:sz w:val="17"/>
        </w:rPr>
        <w:t>si</w:t>
      </w:r>
      <w:r>
        <w:rPr>
          <w:rFonts w:ascii="Calibri" w:hAnsi="Calibri"/>
          <w:color w:val="231F20"/>
          <w:spacing w:val="-8"/>
          <w:w w:val="105"/>
          <w:sz w:val="17"/>
        </w:rPr>
        <w:t> </w:t>
      </w:r>
      <w:r>
        <w:rPr>
          <w:rFonts w:ascii="Calibri" w:hAnsi="Calibri"/>
          <w:color w:val="231F20"/>
          <w:w w:val="105"/>
          <w:sz w:val="17"/>
        </w:rPr>
        <w:t>veda</w:t>
      </w:r>
      <w:r>
        <w:rPr>
          <w:rFonts w:ascii="Calibri" w:hAnsi="Calibri"/>
          <w:color w:val="231F20"/>
          <w:spacing w:val="-6"/>
          <w:w w:val="105"/>
          <w:sz w:val="17"/>
        </w:rPr>
        <w:t> </w:t>
      </w:r>
      <w:r>
        <w:rPr>
          <w:rFonts w:ascii="Calibri" w:hAnsi="Calibri"/>
          <w:color w:val="231F20"/>
          <w:w w:val="105"/>
          <w:sz w:val="17"/>
        </w:rPr>
        <w:t>anche</w:t>
      </w:r>
      <w:r>
        <w:rPr>
          <w:rFonts w:ascii="Calibri" w:hAnsi="Calibri"/>
          <w:color w:val="231F20"/>
          <w:spacing w:val="-6"/>
          <w:w w:val="105"/>
          <w:sz w:val="17"/>
        </w:rPr>
        <w:t> </w:t>
      </w:r>
      <w:r>
        <w:rPr>
          <w:rFonts w:ascii="Calibri" w:hAnsi="Calibri"/>
          <w:color w:val="231F20"/>
          <w:w w:val="105"/>
          <w:sz w:val="17"/>
        </w:rPr>
        <w:t>Chandler,</w:t>
      </w:r>
      <w:r>
        <w:rPr>
          <w:rFonts w:ascii="Calibri" w:hAnsi="Calibri"/>
          <w:color w:val="231F20"/>
          <w:spacing w:val="-6"/>
          <w:w w:val="105"/>
          <w:sz w:val="17"/>
        </w:rPr>
        <w:t> </w:t>
      </w:r>
      <w:r>
        <w:rPr>
          <w:rFonts w:ascii="Calibri" w:hAnsi="Calibri"/>
          <w:i/>
          <w:color w:val="231F20"/>
          <w:w w:val="105"/>
          <w:sz w:val="17"/>
        </w:rPr>
        <w:t>From </w:t>
      </w:r>
      <w:r>
        <w:rPr>
          <w:rFonts w:ascii="Calibri" w:hAnsi="Calibri"/>
          <w:i/>
          <w:color w:val="231F20"/>
          <w:sz w:val="17"/>
        </w:rPr>
        <w:t>Kosovo to</w:t>
      </w:r>
      <w:r>
        <w:rPr>
          <w:rFonts w:ascii="Calibri" w:hAnsi="Calibri"/>
          <w:i/>
          <w:color w:val="231F20"/>
          <w:spacing w:val="-7"/>
          <w:sz w:val="17"/>
        </w:rPr>
        <w:t> </w:t>
      </w:r>
      <w:r>
        <w:rPr>
          <w:rFonts w:ascii="Calibri" w:hAnsi="Calibri"/>
          <w:i/>
          <w:color w:val="231F20"/>
          <w:sz w:val="17"/>
        </w:rPr>
        <w:t>Kabul</w:t>
      </w:r>
      <w:r>
        <w:rPr>
          <w:rFonts w:ascii="Calibri" w:hAnsi="Calibri"/>
          <w:color w:val="231F20"/>
          <w:sz w:val="17"/>
        </w:rPr>
        <w:t>.</w:t>
      </w:r>
    </w:p>
    <w:p>
      <w:pPr>
        <w:spacing w:line="235" w:lineRule="auto" w:before="0"/>
        <w:ind w:left="103" w:right="115" w:firstLine="0"/>
        <w:jc w:val="both"/>
        <w:rPr>
          <w:rFonts w:ascii="Calibri" w:hAnsi="Calibri"/>
          <w:sz w:val="17"/>
        </w:rPr>
      </w:pPr>
      <w:r>
        <w:rPr>
          <w:rFonts w:ascii="Calibri" w:hAnsi="Calibri"/>
          <w:color w:val="231F20"/>
          <w:w w:val="105"/>
          <w:position w:val="6"/>
          <w:sz w:val="10"/>
        </w:rPr>
        <w:t>56 </w:t>
      </w:r>
      <w:r>
        <w:rPr>
          <w:rFonts w:ascii="Calibri" w:hAnsi="Calibri"/>
          <w:color w:val="231F20"/>
          <w:w w:val="105"/>
          <w:sz w:val="17"/>
        </w:rPr>
        <w:t>R.</w:t>
      </w:r>
      <w:r>
        <w:rPr>
          <w:rFonts w:ascii="Calibri" w:hAnsi="Calibri"/>
          <w:color w:val="231F20"/>
          <w:spacing w:val="-17"/>
          <w:w w:val="105"/>
          <w:sz w:val="17"/>
        </w:rPr>
        <w:t> </w:t>
      </w:r>
      <w:r>
        <w:rPr>
          <w:rFonts w:ascii="Calibri" w:hAnsi="Calibri"/>
          <w:color w:val="231F20"/>
          <w:w w:val="105"/>
          <w:sz w:val="17"/>
        </w:rPr>
        <w:t>Koselleck,</w:t>
      </w:r>
      <w:r>
        <w:rPr>
          <w:rFonts w:ascii="Calibri" w:hAnsi="Calibri"/>
          <w:color w:val="231F20"/>
          <w:spacing w:val="-17"/>
          <w:w w:val="105"/>
          <w:sz w:val="17"/>
        </w:rPr>
        <w:t> </w:t>
      </w:r>
      <w:r>
        <w:rPr>
          <w:rFonts w:ascii="Calibri" w:hAnsi="Calibri"/>
          <w:color w:val="231F20"/>
          <w:w w:val="105"/>
          <w:sz w:val="17"/>
        </w:rPr>
        <w:t>“Zur</w:t>
      </w:r>
      <w:r>
        <w:rPr>
          <w:rFonts w:ascii="Calibri" w:hAnsi="Calibri"/>
          <w:color w:val="231F20"/>
          <w:spacing w:val="-17"/>
          <w:w w:val="105"/>
          <w:sz w:val="17"/>
        </w:rPr>
        <w:t> </w:t>
      </w:r>
      <w:r>
        <w:rPr>
          <w:rFonts w:ascii="Calibri" w:hAnsi="Calibri"/>
          <w:color w:val="231F20"/>
          <w:w w:val="105"/>
          <w:sz w:val="17"/>
        </w:rPr>
        <w:t>historisch–politischen</w:t>
      </w:r>
      <w:r>
        <w:rPr>
          <w:rFonts w:ascii="Calibri" w:hAnsi="Calibri"/>
          <w:color w:val="231F20"/>
          <w:spacing w:val="-17"/>
          <w:w w:val="105"/>
          <w:sz w:val="17"/>
        </w:rPr>
        <w:t> </w:t>
      </w:r>
      <w:r>
        <w:rPr>
          <w:rFonts w:ascii="Calibri" w:hAnsi="Calibri"/>
          <w:color w:val="231F20"/>
          <w:w w:val="105"/>
          <w:sz w:val="17"/>
        </w:rPr>
        <w:t>semantik</w:t>
      </w:r>
      <w:r>
        <w:rPr>
          <w:rFonts w:ascii="Calibri" w:hAnsi="Calibri"/>
          <w:color w:val="231F20"/>
          <w:spacing w:val="-17"/>
          <w:w w:val="105"/>
          <w:sz w:val="17"/>
        </w:rPr>
        <w:t> </w:t>
      </w:r>
      <w:r>
        <w:rPr>
          <w:rFonts w:ascii="Calibri" w:hAnsi="Calibri"/>
          <w:color w:val="231F20"/>
          <w:w w:val="105"/>
          <w:sz w:val="17"/>
        </w:rPr>
        <w:t>asymmetrischer</w:t>
      </w:r>
      <w:r>
        <w:rPr>
          <w:rFonts w:ascii="Calibri" w:hAnsi="Calibri"/>
          <w:color w:val="231F20"/>
          <w:spacing w:val="-17"/>
          <w:w w:val="105"/>
          <w:sz w:val="17"/>
        </w:rPr>
        <w:t> </w:t>
      </w:r>
      <w:r>
        <w:rPr>
          <w:rFonts w:ascii="Calibri" w:hAnsi="Calibri"/>
          <w:color w:val="231F20"/>
          <w:w w:val="105"/>
          <w:sz w:val="17"/>
        </w:rPr>
        <w:t>Gegenbegriffe”,</w:t>
      </w:r>
      <w:r>
        <w:rPr>
          <w:rFonts w:ascii="Calibri" w:hAnsi="Calibri"/>
          <w:color w:val="231F20"/>
          <w:spacing w:val="-17"/>
          <w:w w:val="105"/>
          <w:sz w:val="17"/>
        </w:rPr>
        <w:t> </w:t>
      </w:r>
      <w:r>
        <w:rPr>
          <w:rFonts w:ascii="Calibri" w:hAnsi="Calibri"/>
          <w:i/>
          <w:color w:val="231F20"/>
          <w:w w:val="105"/>
          <w:sz w:val="17"/>
        </w:rPr>
        <w:t>Vergangene </w:t>
      </w:r>
      <w:r>
        <w:rPr>
          <w:rFonts w:ascii="Calibri" w:hAnsi="Calibri"/>
          <w:i/>
          <w:color w:val="231F20"/>
          <w:w w:val="105"/>
          <w:sz w:val="17"/>
        </w:rPr>
        <w:t>Zukunft. Zur Semantik geschichtlicher Zeiten</w:t>
      </w:r>
      <w:r>
        <w:rPr>
          <w:rFonts w:ascii="Calibri" w:hAnsi="Calibri"/>
          <w:color w:val="231F20"/>
          <w:w w:val="105"/>
          <w:sz w:val="17"/>
        </w:rPr>
        <w:t>, Frankfurt a. Main, Suhrkamp, 1979 (trad. it. </w:t>
      </w:r>
      <w:r>
        <w:rPr>
          <w:rFonts w:ascii="Calibri" w:hAnsi="Calibri"/>
          <w:i/>
          <w:color w:val="231F20"/>
          <w:w w:val="105"/>
          <w:sz w:val="17"/>
        </w:rPr>
        <w:t>Per </w:t>
      </w:r>
      <w:r>
        <w:rPr>
          <w:rFonts w:ascii="Calibri" w:hAnsi="Calibri"/>
          <w:i/>
          <w:color w:val="231F20"/>
          <w:w w:val="105"/>
          <w:sz w:val="17"/>
        </w:rPr>
        <w:t>una</w:t>
      </w:r>
      <w:r>
        <w:rPr>
          <w:rFonts w:ascii="Calibri" w:hAnsi="Calibri"/>
          <w:i/>
          <w:color w:val="231F20"/>
          <w:spacing w:val="-11"/>
          <w:w w:val="105"/>
          <w:sz w:val="17"/>
        </w:rPr>
        <w:t> </w:t>
      </w:r>
      <w:r>
        <w:rPr>
          <w:rFonts w:ascii="Calibri" w:hAnsi="Calibri"/>
          <w:i/>
          <w:color w:val="231F20"/>
          <w:w w:val="105"/>
          <w:sz w:val="17"/>
        </w:rPr>
        <w:t>semantica</w:t>
      </w:r>
      <w:r>
        <w:rPr>
          <w:rFonts w:ascii="Calibri" w:hAnsi="Calibri"/>
          <w:i/>
          <w:color w:val="231F20"/>
          <w:spacing w:val="-11"/>
          <w:w w:val="105"/>
          <w:sz w:val="17"/>
        </w:rPr>
        <w:t> </w:t>
      </w:r>
      <w:r>
        <w:rPr>
          <w:rFonts w:ascii="Calibri" w:hAnsi="Calibri"/>
          <w:i/>
          <w:color w:val="231F20"/>
          <w:w w:val="105"/>
          <w:sz w:val="17"/>
        </w:rPr>
        <w:t>storico–politica</w:t>
      </w:r>
      <w:r>
        <w:rPr>
          <w:rFonts w:ascii="Calibri" w:hAnsi="Calibri"/>
          <w:i/>
          <w:color w:val="231F20"/>
          <w:spacing w:val="-11"/>
          <w:w w:val="105"/>
          <w:sz w:val="17"/>
        </w:rPr>
        <w:t> </w:t>
      </w:r>
      <w:r>
        <w:rPr>
          <w:rFonts w:ascii="Calibri" w:hAnsi="Calibri"/>
          <w:i/>
          <w:color w:val="231F20"/>
          <w:w w:val="105"/>
          <w:sz w:val="17"/>
        </w:rPr>
        <w:t>di</w:t>
      </w:r>
      <w:r>
        <w:rPr>
          <w:rFonts w:ascii="Calibri" w:hAnsi="Calibri"/>
          <w:i/>
          <w:color w:val="231F20"/>
          <w:spacing w:val="-11"/>
          <w:w w:val="105"/>
          <w:sz w:val="17"/>
        </w:rPr>
        <w:t> </w:t>
      </w:r>
      <w:r>
        <w:rPr>
          <w:rFonts w:ascii="Calibri" w:hAnsi="Calibri"/>
          <w:i/>
          <w:color w:val="231F20"/>
          <w:w w:val="105"/>
          <w:sz w:val="17"/>
        </w:rPr>
        <w:t>alcuni</w:t>
      </w:r>
      <w:r>
        <w:rPr>
          <w:rFonts w:ascii="Calibri" w:hAnsi="Calibri"/>
          <w:i/>
          <w:color w:val="231F20"/>
          <w:spacing w:val="-11"/>
          <w:w w:val="105"/>
          <w:sz w:val="17"/>
        </w:rPr>
        <w:t> </w:t>
      </w:r>
      <w:r>
        <w:rPr>
          <w:rFonts w:ascii="Calibri" w:hAnsi="Calibri"/>
          <w:i/>
          <w:color w:val="231F20"/>
          <w:w w:val="105"/>
          <w:sz w:val="17"/>
        </w:rPr>
        <w:t>concetti</w:t>
      </w:r>
      <w:r>
        <w:rPr>
          <w:rFonts w:ascii="Calibri" w:hAnsi="Calibri"/>
          <w:i/>
          <w:color w:val="231F20"/>
          <w:spacing w:val="-11"/>
          <w:w w:val="105"/>
          <w:sz w:val="17"/>
        </w:rPr>
        <w:t> </w:t>
      </w:r>
      <w:r>
        <w:rPr>
          <w:rFonts w:ascii="Calibri" w:hAnsi="Calibri"/>
          <w:i/>
          <w:color w:val="231F20"/>
          <w:w w:val="105"/>
          <w:sz w:val="17"/>
        </w:rPr>
        <w:t>antitetici</w:t>
      </w:r>
      <w:r>
        <w:rPr>
          <w:rFonts w:ascii="Calibri" w:hAnsi="Calibri"/>
          <w:i/>
          <w:color w:val="231F20"/>
          <w:spacing w:val="-11"/>
          <w:w w:val="105"/>
          <w:sz w:val="17"/>
        </w:rPr>
        <w:t> </w:t>
      </w:r>
      <w:r>
        <w:rPr>
          <w:rFonts w:ascii="Calibri" w:hAnsi="Calibri"/>
          <w:i/>
          <w:color w:val="231F20"/>
          <w:w w:val="105"/>
          <w:sz w:val="17"/>
        </w:rPr>
        <w:t>asimmetrici</w:t>
      </w:r>
      <w:r>
        <w:rPr>
          <w:rFonts w:ascii="Calibri" w:hAnsi="Calibri"/>
          <w:color w:val="231F20"/>
          <w:w w:val="105"/>
          <w:sz w:val="17"/>
        </w:rPr>
        <w:t>,</w:t>
      </w:r>
      <w:r>
        <w:rPr>
          <w:rFonts w:ascii="Calibri" w:hAnsi="Calibri"/>
          <w:color w:val="231F20"/>
          <w:spacing w:val="-10"/>
          <w:w w:val="105"/>
          <w:sz w:val="17"/>
        </w:rPr>
        <w:t> </w:t>
      </w:r>
      <w:r>
        <w:rPr>
          <w:rFonts w:ascii="Calibri" w:hAnsi="Calibri"/>
          <w:color w:val="231F20"/>
          <w:w w:val="105"/>
          <w:sz w:val="17"/>
        </w:rPr>
        <w:t>in</w:t>
      </w:r>
      <w:r>
        <w:rPr>
          <w:rFonts w:ascii="Calibri" w:hAnsi="Calibri"/>
          <w:color w:val="231F20"/>
          <w:spacing w:val="-10"/>
          <w:w w:val="105"/>
          <w:sz w:val="17"/>
        </w:rPr>
        <w:t> </w:t>
      </w:r>
      <w:r>
        <w:rPr>
          <w:rFonts w:ascii="Calibri" w:hAnsi="Calibri"/>
          <w:i/>
          <w:color w:val="231F20"/>
          <w:w w:val="105"/>
          <w:sz w:val="17"/>
        </w:rPr>
        <w:t>Futuro</w:t>
      </w:r>
      <w:r>
        <w:rPr>
          <w:rFonts w:ascii="Calibri" w:hAnsi="Calibri"/>
          <w:i/>
          <w:color w:val="231F20"/>
          <w:spacing w:val="-11"/>
          <w:w w:val="105"/>
          <w:sz w:val="17"/>
        </w:rPr>
        <w:t> </w:t>
      </w:r>
      <w:r>
        <w:rPr>
          <w:rFonts w:ascii="Calibri" w:hAnsi="Calibri"/>
          <w:i/>
          <w:color w:val="231F20"/>
          <w:w w:val="105"/>
          <w:sz w:val="17"/>
        </w:rPr>
        <w:t>passato.</w:t>
      </w:r>
      <w:r>
        <w:rPr>
          <w:rFonts w:ascii="Calibri" w:hAnsi="Calibri"/>
          <w:i/>
          <w:color w:val="231F20"/>
          <w:spacing w:val="-11"/>
          <w:w w:val="105"/>
          <w:sz w:val="17"/>
        </w:rPr>
        <w:t> </w:t>
      </w:r>
      <w:r>
        <w:rPr>
          <w:rFonts w:ascii="Calibri" w:hAnsi="Calibri"/>
          <w:i/>
          <w:color w:val="231F20"/>
          <w:w w:val="105"/>
          <w:sz w:val="17"/>
        </w:rPr>
        <w:t>Per</w:t>
      </w:r>
      <w:r>
        <w:rPr>
          <w:rFonts w:ascii="Calibri" w:hAnsi="Calibri"/>
          <w:i/>
          <w:color w:val="231F20"/>
          <w:spacing w:val="-11"/>
          <w:w w:val="105"/>
          <w:sz w:val="17"/>
        </w:rPr>
        <w:t> </w:t>
      </w:r>
      <w:r>
        <w:rPr>
          <w:rFonts w:ascii="Calibri" w:hAnsi="Calibri"/>
          <w:i/>
          <w:color w:val="231F20"/>
          <w:w w:val="105"/>
          <w:sz w:val="17"/>
        </w:rPr>
        <w:t>una </w:t>
      </w:r>
      <w:r>
        <w:rPr>
          <w:rFonts w:ascii="Calibri" w:hAnsi="Calibri"/>
          <w:i/>
          <w:color w:val="231F20"/>
          <w:sz w:val="17"/>
        </w:rPr>
        <w:t>semantica</w:t>
      </w:r>
      <w:r>
        <w:rPr>
          <w:rFonts w:ascii="Calibri" w:hAnsi="Calibri"/>
          <w:i/>
          <w:color w:val="231F20"/>
          <w:spacing w:val="-15"/>
          <w:sz w:val="17"/>
        </w:rPr>
        <w:t> </w:t>
      </w:r>
      <w:r>
        <w:rPr>
          <w:rFonts w:ascii="Calibri" w:hAnsi="Calibri"/>
          <w:i/>
          <w:color w:val="231F20"/>
          <w:sz w:val="17"/>
        </w:rPr>
        <w:t>dei</w:t>
      </w:r>
      <w:r>
        <w:rPr>
          <w:rFonts w:ascii="Calibri" w:hAnsi="Calibri"/>
          <w:i/>
          <w:color w:val="231F20"/>
          <w:spacing w:val="-15"/>
          <w:sz w:val="17"/>
        </w:rPr>
        <w:t> </w:t>
      </w:r>
      <w:r>
        <w:rPr>
          <w:rFonts w:ascii="Calibri" w:hAnsi="Calibri"/>
          <w:i/>
          <w:color w:val="231F20"/>
          <w:sz w:val="17"/>
        </w:rPr>
        <w:t>tempi</w:t>
      </w:r>
      <w:r>
        <w:rPr>
          <w:rFonts w:ascii="Calibri" w:hAnsi="Calibri"/>
          <w:i/>
          <w:color w:val="231F20"/>
          <w:spacing w:val="-15"/>
          <w:sz w:val="17"/>
        </w:rPr>
        <w:t> </w:t>
      </w:r>
      <w:r>
        <w:rPr>
          <w:rFonts w:ascii="Calibri" w:hAnsi="Calibri"/>
          <w:i/>
          <w:color w:val="231F20"/>
          <w:sz w:val="17"/>
        </w:rPr>
        <w:t>storici</w:t>
      </w:r>
      <w:r>
        <w:rPr>
          <w:rFonts w:ascii="Calibri" w:hAnsi="Calibri"/>
          <w:color w:val="231F20"/>
          <w:sz w:val="17"/>
        </w:rPr>
        <w:t>,</w:t>
      </w:r>
      <w:r>
        <w:rPr>
          <w:rFonts w:ascii="Calibri" w:hAnsi="Calibri"/>
          <w:color w:val="231F20"/>
          <w:spacing w:val="-14"/>
          <w:sz w:val="17"/>
        </w:rPr>
        <w:t> </w:t>
      </w:r>
      <w:r>
        <w:rPr>
          <w:rFonts w:ascii="Calibri" w:hAnsi="Calibri"/>
          <w:color w:val="231F20"/>
          <w:sz w:val="17"/>
        </w:rPr>
        <w:t>Genova,</w:t>
      </w:r>
      <w:r>
        <w:rPr>
          <w:rFonts w:ascii="Calibri" w:hAnsi="Calibri"/>
          <w:color w:val="231F20"/>
          <w:spacing w:val="-14"/>
          <w:sz w:val="17"/>
        </w:rPr>
        <w:t> </w:t>
      </w:r>
      <w:r>
        <w:rPr>
          <w:rFonts w:ascii="Calibri" w:hAnsi="Calibri"/>
          <w:color w:val="231F20"/>
          <w:sz w:val="17"/>
        </w:rPr>
        <w:t>Marietti,</w:t>
      </w:r>
      <w:r>
        <w:rPr>
          <w:rFonts w:ascii="Calibri" w:hAnsi="Calibri"/>
          <w:color w:val="231F20"/>
          <w:spacing w:val="-14"/>
          <w:sz w:val="17"/>
        </w:rPr>
        <w:t> </w:t>
      </w:r>
      <w:r>
        <w:rPr>
          <w:rFonts w:ascii="Calibri" w:hAnsi="Calibri"/>
          <w:color w:val="231F20"/>
          <w:sz w:val="17"/>
        </w:rPr>
        <w:t>1986,</w:t>
      </w:r>
      <w:r>
        <w:rPr>
          <w:rFonts w:ascii="Calibri" w:hAnsi="Calibri"/>
          <w:color w:val="231F20"/>
          <w:spacing w:val="-14"/>
          <w:sz w:val="17"/>
        </w:rPr>
        <w:t> </w:t>
      </w:r>
      <w:r>
        <w:rPr>
          <w:rFonts w:ascii="Calibri" w:hAnsi="Calibri"/>
          <w:color w:val="231F20"/>
          <w:sz w:val="17"/>
        </w:rPr>
        <w:t>181–189.</w:t>
      </w:r>
    </w:p>
    <w:p>
      <w:pPr>
        <w:pStyle w:val="BodyText"/>
        <w:rPr>
          <w:rFonts w:ascii="Calibri"/>
          <w:sz w:val="20"/>
        </w:rPr>
      </w:pPr>
    </w:p>
    <w:p>
      <w:pPr>
        <w:pStyle w:val="BodyText"/>
        <w:spacing w:before="10"/>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0600"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144</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98" w:lineRule="exact" w:before="52"/>
        <w:ind w:left="796"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14848"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QUESTIONI</w:t>
      </w:r>
      <w:r>
        <w:rPr>
          <w:rFonts w:ascii="Lucida Sans Unicode" w:hAnsi="Lucida Sans Unicode"/>
          <w:color w:val="6D6E71"/>
          <w:spacing w:val="-11"/>
          <w:w w:val="90"/>
          <w:sz w:val="14"/>
        </w:rPr>
        <w:t> </w:t>
      </w:r>
      <w:r>
        <w:rPr>
          <w:rFonts w:ascii="Lucida Sans Unicode" w:hAnsi="Lucida Sans Unicode"/>
          <w:color w:val="6D6E71"/>
          <w:w w:val="90"/>
          <w:sz w:val="14"/>
        </w:rPr>
        <w:t>DI</w:t>
      </w:r>
      <w:r>
        <w:rPr>
          <w:rFonts w:ascii="Lucida Sans Unicode" w:hAnsi="Lucida Sans Unicode"/>
          <w:color w:val="6D6E71"/>
          <w:spacing w:val="-11"/>
          <w:w w:val="90"/>
          <w:sz w:val="14"/>
        </w:rPr>
        <w:t> </w:t>
      </w:r>
      <w:r>
        <w:rPr>
          <w:rFonts w:ascii="Lucida Sans Unicode" w:hAnsi="Lucida Sans Unicode"/>
          <w:color w:val="6D6E71"/>
          <w:w w:val="90"/>
          <w:sz w:val="14"/>
        </w:rPr>
        <w:t>CONFINE.</w:t>
      </w:r>
      <w:r>
        <w:rPr>
          <w:rFonts w:ascii="Lucida Sans Unicode" w:hAnsi="Lucida Sans Unicode"/>
          <w:color w:val="6D6E71"/>
          <w:spacing w:val="-11"/>
          <w:w w:val="90"/>
          <w:sz w:val="14"/>
        </w:rPr>
        <w:t> </w:t>
      </w:r>
      <w:r>
        <w:rPr>
          <w:rFonts w:ascii="Lucida Sans Unicode" w:hAnsi="Lucida Sans Unicode"/>
          <w:color w:val="6D6E71"/>
          <w:w w:val="90"/>
          <w:sz w:val="14"/>
        </w:rPr>
        <w:t>SOVRANITÀ</w:t>
      </w:r>
      <w:r>
        <w:rPr>
          <w:rFonts w:ascii="Lucida Sans Unicode" w:hAnsi="Lucida Sans Unicode"/>
          <w:color w:val="6D6E71"/>
          <w:spacing w:val="-11"/>
          <w:w w:val="90"/>
          <w:sz w:val="14"/>
        </w:rPr>
        <w:t> </w:t>
      </w:r>
      <w:r>
        <w:rPr>
          <w:rFonts w:ascii="Lucida Sans Unicode" w:hAnsi="Lucida Sans Unicode"/>
          <w:color w:val="6D6E71"/>
          <w:w w:val="90"/>
          <w:sz w:val="14"/>
        </w:rPr>
        <w:t>TERRITORIALE</w:t>
      </w:r>
      <w:r>
        <w:rPr>
          <w:rFonts w:ascii="Lucida Sans Unicode" w:hAnsi="Lucida Sans Unicode"/>
          <w:color w:val="6D6E71"/>
          <w:spacing w:val="-11"/>
          <w:w w:val="90"/>
          <w:sz w:val="14"/>
        </w:rPr>
        <w:t> </w:t>
      </w:r>
      <w:r>
        <w:rPr>
          <w:rFonts w:ascii="Lucida Sans Unicode" w:hAnsi="Lucida Sans Unicode"/>
          <w:color w:val="6D6E71"/>
          <w:w w:val="90"/>
          <w:sz w:val="14"/>
        </w:rPr>
        <w:t>E</w:t>
      </w:r>
      <w:r>
        <w:rPr>
          <w:rFonts w:ascii="Lucida Sans Unicode" w:hAnsi="Lucida Sans Unicode"/>
          <w:color w:val="6D6E71"/>
          <w:spacing w:val="-11"/>
          <w:w w:val="90"/>
          <w:sz w:val="14"/>
        </w:rPr>
        <w:t> </w:t>
      </w:r>
      <w:r>
        <w:rPr>
          <w:rFonts w:ascii="Lucida Sans Unicode" w:hAnsi="Lucida Sans Unicode"/>
          <w:color w:val="6D6E71"/>
          <w:w w:val="90"/>
          <w:sz w:val="14"/>
        </w:rPr>
        <w:t>ORDINE</w:t>
      </w:r>
      <w:r>
        <w:rPr>
          <w:rFonts w:ascii="Lucida Sans Unicode" w:hAnsi="Lucida Sans Unicode"/>
          <w:color w:val="6D6E71"/>
          <w:spacing w:val="-11"/>
          <w:w w:val="90"/>
          <w:sz w:val="14"/>
        </w:rPr>
        <w:t> </w:t>
      </w:r>
      <w:r>
        <w:rPr>
          <w:rFonts w:ascii="Lucida Sans Unicode" w:hAnsi="Lucida Sans Unicode"/>
          <w:color w:val="6D6E71"/>
          <w:w w:val="90"/>
          <w:sz w:val="14"/>
        </w:rPr>
        <w:t>GLOBALE</w:t>
      </w:r>
      <w:r>
        <w:rPr>
          <w:rFonts w:ascii="Lucida Sans Unicode" w:hAnsi="Lucida Sans Unicode"/>
          <w:color w:val="6D6E71"/>
          <w:spacing w:val="-11"/>
          <w:w w:val="90"/>
          <w:sz w:val="14"/>
        </w:rPr>
        <w:t> </w:t>
      </w:r>
      <w:r>
        <w:rPr>
          <w:rFonts w:ascii="Lucida Sans Unicode" w:hAnsi="Lucida Sans Unicode"/>
          <w:color w:val="6D6E71"/>
          <w:w w:val="90"/>
          <w:sz w:val="14"/>
        </w:rPr>
        <w:t>NEL</w:t>
      </w:r>
      <w:r>
        <w:rPr>
          <w:rFonts w:ascii="Lucida Sans Unicode" w:hAnsi="Lucida Sans Unicode"/>
          <w:color w:val="6D6E71"/>
          <w:spacing w:val="-11"/>
          <w:w w:val="90"/>
          <w:sz w:val="14"/>
        </w:rPr>
        <w:t> </w:t>
      </w:r>
      <w:r>
        <w:rPr>
          <w:rFonts w:ascii="Lucida Sans Unicode" w:hAnsi="Lucida Sans Unicode"/>
          <w:color w:val="6D6E71"/>
          <w:w w:val="90"/>
          <w:sz w:val="14"/>
        </w:rPr>
        <w:t>DIBATTITO</w:t>
      </w:r>
      <w:r>
        <w:rPr>
          <w:rFonts w:ascii="Lucida Sans Unicode" w:hAnsi="Lucida Sans Unicode"/>
          <w:color w:val="6D6E71"/>
          <w:spacing w:val="-11"/>
          <w:w w:val="90"/>
          <w:sz w:val="14"/>
        </w:rPr>
        <w:t> </w:t>
      </w:r>
      <w:r>
        <w:rPr>
          <w:rFonts w:ascii="Lucida Sans Unicode" w:hAnsi="Lucida Sans Unicode"/>
          <w:color w:val="6D6E71"/>
          <w:w w:val="90"/>
          <w:sz w:val="14"/>
        </w:rPr>
        <w:t>SUL</w:t>
      </w:r>
    </w:p>
    <w:p>
      <w:pPr>
        <w:spacing w:line="198" w:lineRule="exact" w:before="0"/>
        <w:ind w:left="3896" w:right="-13" w:firstLine="0"/>
        <w:jc w:val="left"/>
        <w:rPr>
          <w:rFonts w:ascii="Lucida Sans Unicode" w:hAnsi="Lucida Sans Unicode"/>
          <w:sz w:val="14"/>
        </w:rPr>
      </w:pPr>
      <w:r>
        <w:rPr>
          <w:rFonts w:ascii="Lucida Sans Unicode" w:hAnsi="Lucida Sans Unicode"/>
          <w:color w:val="6D6E71"/>
          <w:w w:val="85"/>
          <w:sz w:val="14"/>
        </w:rPr>
        <w:t>“NUOVO  INTERVENTISMO  UMANITARIO”</w:t>
      </w:r>
    </w:p>
    <w:p>
      <w:pPr>
        <w:spacing w:before="59"/>
        <w:ind w:left="338" w:right="0" w:firstLine="0"/>
        <w:jc w:val="left"/>
        <w:rPr>
          <w:rFonts w:ascii="Trebuchet MS"/>
          <w:sz w:val="20"/>
        </w:rPr>
      </w:pPr>
      <w:r>
        <w:rPr/>
        <w:br w:type="column"/>
      </w:r>
      <w:r>
        <w:rPr>
          <w:rFonts w:ascii="Trebuchet MS"/>
          <w:color w:val="414042"/>
          <w:w w:val="105"/>
          <w:sz w:val="20"/>
        </w:rPr>
        <w:t>145</w:t>
      </w:r>
    </w:p>
    <w:p>
      <w:pPr>
        <w:spacing w:after="0"/>
        <w:jc w:val="left"/>
        <w:rPr>
          <w:rFonts w:ascii="Trebuchet MS"/>
          <w:sz w:val="20"/>
        </w:rPr>
        <w:sectPr>
          <w:type w:val="continuous"/>
          <w:pgSz w:w="9640" w:h="13890"/>
          <w:pgMar w:top="0" w:bottom="0" w:left="1300" w:right="1180"/>
          <w:cols w:num="2" w:equalWidth="0">
            <w:col w:w="6261" w:space="40"/>
            <w:col w:w="859"/>
          </w:cols>
        </w:sectPr>
      </w:pPr>
    </w:p>
    <w:p>
      <w:pPr>
        <w:pStyle w:val="BodyText"/>
        <w:rPr>
          <w:rFonts w:ascii="Trebuchet MS"/>
          <w:sz w:val="20"/>
        </w:rPr>
      </w:pPr>
    </w:p>
    <w:p>
      <w:pPr>
        <w:pStyle w:val="BodyText"/>
        <w:spacing w:before="8"/>
        <w:rPr>
          <w:rFonts w:ascii="Trebuchet MS"/>
          <w:sz w:val="15"/>
        </w:rPr>
      </w:pPr>
    </w:p>
    <w:p>
      <w:pPr>
        <w:spacing w:line="220" w:lineRule="exact" w:before="63"/>
        <w:ind w:left="1534" w:right="121" w:firstLine="0"/>
        <w:jc w:val="both"/>
        <w:rPr>
          <w:sz w:val="19"/>
        </w:rPr>
      </w:pPr>
      <w:r>
        <w:rPr>
          <w:color w:val="231F20"/>
          <w:sz w:val="19"/>
        </w:rPr>
        <w:t>new literature of empire rationalizes intervention in similar terms. Most of the old justifications for empire are close to the surface</w:t>
      </w:r>
      <w:r>
        <w:rPr>
          <w:color w:val="231F20"/>
          <w:spacing w:val="-37"/>
          <w:sz w:val="19"/>
        </w:rPr>
        <w:t> </w:t>
      </w:r>
      <w:r>
        <w:rPr>
          <w:color w:val="231F20"/>
          <w:sz w:val="19"/>
        </w:rPr>
        <w:t>in current understandings of </w:t>
      </w:r>
      <w:r>
        <w:rPr>
          <w:color w:val="231F20"/>
          <w:spacing w:val="-3"/>
          <w:sz w:val="19"/>
        </w:rPr>
        <w:t>America’s</w:t>
      </w:r>
      <w:r>
        <w:rPr>
          <w:color w:val="231F20"/>
          <w:spacing w:val="13"/>
          <w:sz w:val="19"/>
        </w:rPr>
        <w:t> </w:t>
      </w:r>
      <w:r>
        <w:rPr>
          <w:color w:val="231F20"/>
          <w:sz w:val="19"/>
        </w:rPr>
        <w:t>mission</w:t>
      </w:r>
      <w:r>
        <w:rPr>
          <w:color w:val="231F20"/>
          <w:position w:val="6"/>
          <w:sz w:val="11"/>
        </w:rPr>
        <w:t>57</w:t>
      </w:r>
      <w:r>
        <w:rPr>
          <w:color w:val="231F20"/>
          <w:sz w:val="19"/>
        </w:rPr>
        <w:t>.</w:t>
      </w:r>
    </w:p>
    <w:p>
      <w:pPr>
        <w:pStyle w:val="BodyText"/>
        <w:spacing w:before="11"/>
        <w:rPr>
          <w:sz w:val="23"/>
        </w:rPr>
      </w:pPr>
    </w:p>
    <w:p>
      <w:pPr>
        <w:pStyle w:val="BodyText"/>
        <w:spacing w:line="244" w:lineRule="auto"/>
        <w:ind w:left="117" w:right="113"/>
        <w:jc w:val="both"/>
      </w:pPr>
      <w:r>
        <w:rPr>
          <w:color w:val="231F20"/>
          <w:spacing w:val="2"/>
        </w:rPr>
        <w:t>Considerata </w:t>
      </w:r>
      <w:r>
        <w:rPr>
          <w:color w:val="231F20"/>
        </w:rPr>
        <w:t>in </w:t>
      </w:r>
      <w:r>
        <w:rPr>
          <w:color w:val="231F20"/>
          <w:spacing w:val="2"/>
        </w:rPr>
        <w:t>questa prospettiva, l’</w:t>
      </w:r>
      <w:r>
        <w:rPr>
          <w:rFonts w:ascii="Arial" w:hAnsi="Arial"/>
          <w:i/>
          <w:color w:val="231F20"/>
          <w:spacing w:val="2"/>
        </w:rPr>
        <w:t>eccezione umanitaria </w:t>
      </w:r>
      <w:r>
        <w:rPr>
          <w:color w:val="231F20"/>
        </w:rPr>
        <w:t>non può </w:t>
      </w:r>
      <w:r>
        <w:rPr>
          <w:color w:val="231F20"/>
          <w:spacing w:val="3"/>
        </w:rPr>
        <w:t>più </w:t>
      </w:r>
      <w:r>
        <w:rPr>
          <w:color w:val="231F20"/>
          <w:spacing w:val="5"/>
        </w:rPr>
        <w:t>esaurirsi, dunque, </w:t>
      </w:r>
      <w:r>
        <w:rPr>
          <w:color w:val="231F20"/>
          <w:spacing w:val="3"/>
        </w:rPr>
        <w:t>in </w:t>
      </w:r>
      <w:r>
        <w:rPr>
          <w:color w:val="231F20"/>
          <w:spacing w:val="4"/>
        </w:rPr>
        <w:t>una </w:t>
      </w:r>
      <w:r>
        <w:rPr>
          <w:color w:val="231F20"/>
          <w:spacing w:val="5"/>
        </w:rPr>
        <w:t>momentanea </w:t>
      </w:r>
      <w:r>
        <w:rPr>
          <w:color w:val="231F20"/>
        </w:rPr>
        <w:t>e </w:t>
      </w:r>
      <w:r>
        <w:rPr>
          <w:color w:val="231F20"/>
          <w:spacing w:val="5"/>
        </w:rPr>
        <w:t>limitata sospensione </w:t>
      </w:r>
      <w:r>
        <w:rPr>
          <w:color w:val="231F20"/>
          <w:spacing w:val="6"/>
        </w:rPr>
        <w:t>delle </w:t>
      </w:r>
      <w:r>
        <w:rPr>
          <w:color w:val="231F20"/>
        </w:rPr>
        <w:t>regole del </w:t>
      </w:r>
      <w:r>
        <w:rPr>
          <w:color w:val="231F20"/>
          <w:spacing w:val="2"/>
        </w:rPr>
        <w:t>diritto internazionale, funzionale alla riaffermazione </w:t>
      </w:r>
      <w:r>
        <w:rPr>
          <w:color w:val="231F20"/>
        </w:rPr>
        <w:t>dei </w:t>
      </w:r>
      <w:r>
        <w:rPr>
          <w:color w:val="231F20"/>
          <w:spacing w:val="2"/>
        </w:rPr>
        <w:t>suoi </w:t>
      </w:r>
      <w:r>
        <w:rPr>
          <w:color w:val="231F20"/>
          <w:spacing w:val="4"/>
        </w:rPr>
        <w:t>riconosciuti valori–chiave. </w:t>
      </w:r>
      <w:r>
        <w:rPr>
          <w:color w:val="231F20"/>
          <w:spacing w:val="2"/>
        </w:rPr>
        <w:t>Al  </w:t>
      </w:r>
      <w:r>
        <w:rPr>
          <w:color w:val="231F20"/>
          <w:spacing w:val="4"/>
        </w:rPr>
        <w:t>contrario, </w:t>
      </w:r>
      <w:r>
        <w:rPr>
          <w:color w:val="231F20"/>
          <w:spacing w:val="3"/>
        </w:rPr>
        <w:t>essa </w:t>
      </w:r>
      <w:r>
        <w:rPr>
          <w:color w:val="231F20"/>
          <w:spacing w:val="4"/>
        </w:rPr>
        <w:t>diviene l’espressione </w:t>
      </w:r>
      <w:r>
        <w:rPr>
          <w:color w:val="231F20"/>
          <w:spacing w:val="2"/>
        </w:rPr>
        <w:t>di   </w:t>
      </w:r>
      <w:r>
        <w:rPr>
          <w:color w:val="231F20"/>
        </w:rPr>
        <w:t>un processo di sistematica erosione dei fondamenti stessi della legalità internazionale, coincidente con l’emergere di un “potere imperiale anche  in </w:t>
      </w:r>
      <w:r>
        <w:rPr>
          <w:color w:val="231F20"/>
          <w:spacing w:val="2"/>
        </w:rPr>
        <w:t>senso normativo”, </w:t>
      </w:r>
      <w:r>
        <w:rPr>
          <w:color w:val="231F20"/>
        </w:rPr>
        <w:t>in sé </w:t>
      </w:r>
      <w:r>
        <w:rPr>
          <w:color w:val="231F20"/>
          <w:spacing w:val="2"/>
        </w:rPr>
        <w:t>“incompatibile </w:t>
      </w:r>
      <w:r>
        <w:rPr>
          <w:color w:val="231F20"/>
        </w:rPr>
        <w:t>sia con il </w:t>
      </w:r>
      <w:r>
        <w:rPr>
          <w:color w:val="231F20"/>
          <w:spacing w:val="2"/>
        </w:rPr>
        <w:t>carattere </w:t>
      </w:r>
      <w:r>
        <w:rPr>
          <w:color w:val="231F20"/>
          <w:spacing w:val="3"/>
        </w:rPr>
        <w:t>generale </w:t>
      </w:r>
      <w:r>
        <w:rPr>
          <w:color w:val="231F20"/>
        </w:rPr>
        <w:t>della legge, sia con l’eguaglianza giuridica dei soggetti dell’ordinamento internazionale”</w:t>
      </w:r>
      <w:r>
        <w:rPr>
          <w:color w:val="231F20"/>
          <w:position w:val="7"/>
          <w:sz w:val="12"/>
        </w:rPr>
        <w:t>58</w:t>
      </w:r>
      <w:r>
        <w:rPr>
          <w:color w:val="231F20"/>
        </w:rPr>
        <w:t>. Non può sorprendere, perciò, che in tale contesto di discorso</w:t>
      </w:r>
      <w:r>
        <w:rPr>
          <w:color w:val="231F20"/>
          <w:spacing w:val="-19"/>
        </w:rPr>
        <w:t> </w:t>
      </w:r>
      <w:r>
        <w:rPr>
          <w:color w:val="231F20"/>
        </w:rPr>
        <w:t>la</w:t>
      </w:r>
      <w:r>
        <w:rPr>
          <w:color w:val="231F20"/>
          <w:spacing w:val="-19"/>
        </w:rPr>
        <w:t> </w:t>
      </w:r>
      <w:r>
        <w:rPr>
          <w:color w:val="231F20"/>
        </w:rPr>
        <w:t>dimensione</w:t>
      </w:r>
      <w:r>
        <w:rPr>
          <w:color w:val="231F20"/>
          <w:spacing w:val="-19"/>
        </w:rPr>
        <w:t> </w:t>
      </w:r>
      <w:r>
        <w:rPr>
          <w:color w:val="231F20"/>
        </w:rPr>
        <w:t>stessa</w:t>
      </w:r>
      <w:r>
        <w:rPr>
          <w:color w:val="231F20"/>
          <w:spacing w:val="-19"/>
        </w:rPr>
        <w:t> </w:t>
      </w:r>
      <w:r>
        <w:rPr>
          <w:color w:val="231F20"/>
        </w:rPr>
        <w:t>dell’“eccezione”</w:t>
      </w:r>
      <w:r>
        <w:rPr>
          <w:color w:val="231F20"/>
          <w:spacing w:val="-19"/>
        </w:rPr>
        <w:t> </w:t>
      </w:r>
      <w:r>
        <w:rPr>
          <w:color w:val="231F20"/>
        </w:rPr>
        <w:t>finisca</w:t>
      </w:r>
      <w:r>
        <w:rPr>
          <w:color w:val="231F20"/>
          <w:spacing w:val="-19"/>
        </w:rPr>
        <w:t> </w:t>
      </w:r>
      <w:r>
        <w:rPr>
          <w:color w:val="231F20"/>
        </w:rPr>
        <w:t>per</w:t>
      </w:r>
      <w:r>
        <w:rPr>
          <w:color w:val="231F20"/>
          <w:spacing w:val="-19"/>
        </w:rPr>
        <w:t> </w:t>
      </w:r>
      <w:r>
        <w:rPr>
          <w:color w:val="231F20"/>
          <w:spacing w:val="-3"/>
        </w:rPr>
        <w:t>assumere</w:t>
      </w:r>
      <w:r>
        <w:rPr>
          <w:color w:val="231F20"/>
          <w:spacing w:val="-19"/>
        </w:rPr>
        <w:t> </w:t>
      </w:r>
      <w:r>
        <w:rPr>
          <w:color w:val="231F20"/>
        </w:rPr>
        <w:t>una</w:t>
      </w:r>
      <w:r>
        <w:rPr>
          <w:color w:val="231F20"/>
          <w:spacing w:val="-19"/>
        </w:rPr>
        <w:t> </w:t>
      </w:r>
      <w:r>
        <w:rPr>
          <w:color w:val="231F20"/>
        </w:rPr>
        <w:t>vera e</w:t>
      </w:r>
      <w:r>
        <w:rPr>
          <w:color w:val="231F20"/>
          <w:spacing w:val="-19"/>
        </w:rPr>
        <w:t> </w:t>
      </w:r>
      <w:r>
        <w:rPr>
          <w:color w:val="231F20"/>
          <w:spacing w:val="-3"/>
        </w:rPr>
        <w:t>propria</w:t>
      </w:r>
      <w:r>
        <w:rPr>
          <w:color w:val="231F20"/>
          <w:spacing w:val="-19"/>
        </w:rPr>
        <w:t> </w:t>
      </w:r>
      <w:r>
        <w:rPr>
          <w:color w:val="231F20"/>
        </w:rPr>
        <w:t>valenza</w:t>
      </w:r>
      <w:r>
        <w:rPr>
          <w:color w:val="231F20"/>
          <w:spacing w:val="-19"/>
        </w:rPr>
        <w:t> </w:t>
      </w:r>
      <w:r>
        <w:rPr>
          <w:color w:val="231F20"/>
        </w:rPr>
        <w:t>costitutiva,</w:t>
      </w:r>
      <w:r>
        <w:rPr>
          <w:color w:val="231F20"/>
          <w:spacing w:val="-19"/>
        </w:rPr>
        <w:t> </w:t>
      </w:r>
      <w:r>
        <w:rPr>
          <w:color w:val="231F20"/>
          <w:spacing w:val="-3"/>
        </w:rPr>
        <w:t>proponendosi</w:t>
      </w:r>
      <w:r>
        <w:rPr>
          <w:color w:val="231F20"/>
          <w:spacing w:val="-19"/>
        </w:rPr>
        <w:t> </w:t>
      </w:r>
      <w:r>
        <w:rPr>
          <w:color w:val="231F20"/>
        </w:rPr>
        <w:t>come</w:t>
      </w:r>
      <w:r>
        <w:rPr>
          <w:color w:val="231F20"/>
          <w:spacing w:val="-19"/>
        </w:rPr>
        <w:t> </w:t>
      </w:r>
      <w:r>
        <w:rPr>
          <w:color w:val="231F20"/>
        </w:rPr>
        <w:t>una</w:t>
      </w:r>
      <w:r>
        <w:rPr>
          <w:color w:val="231F20"/>
          <w:spacing w:val="-19"/>
        </w:rPr>
        <w:t> </w:t>
      </w:r>
      <w:r>
        <w:rPr>
          <w:color w:val="231F20"/>
        </w:rPr>
        <w:t>sorta</w:t>
      </w:r>
      <w:r>
        <w:rPr>
          <w:color w:val="231F20"/>
          <w:spacing w:val="-19"/>
        </w:rPr>
        <w:t> </w:t>
      </w:r>
      <w:r>
        <w:rPr>
          <w:color w:val="231F20"/>
        </w:rPr>
        <w:t>di</w:t>
      </w:r>
      <w:r>
        <w:rPr>
          <w:color w:val="231F20"/>
          <w:spacing w:val="-19"/>
        </w:rPr>
        <w:t> </w:t>
      </w:r>
      <w:r>
        <w:rPr>
          <w:color w:val="231F20"/>
        </w:rPr>
        <w:t>ibrida</w:t>
      </w:r>
      <w:r>
        <w:rPr>
          <w:color w:val="231F20"/>
          <w:spacing w:val="-19"/>
        </w:rPr>
        <w:t> </w:t>
      </w:r>
      <w:r>
        <w:rPr>
          <w:color w:val="231F20"/>
        </w:rPr>
        <w:t>variante internazionalistica</w:t>
      </w:r>
      <w:r>
        <w:rPr>
          <w:color w:val="231F20"/>
          <w:spacing w:val="-22"/>
        </w:rPr>
        <w:t> </w:t>
      </w:r>
      <w:r>
        <w:rPr>
          <w:color w:val="231F20"/>
        </w:rPr>
        <w:t>di</w:t>
      </w:r>
      <w:r>
        <w:rPr>
          <w:color w:val="231F20"/>
          <w:spacing w:val="-22"/>
        </w:rPr>
        <w:t> </w:t>
      </w:r>
      <w:r>
        <w:rPr>
          <w:color w:val="231F20"/>
        </w:rPr>
        <w:t>quell’</w:t>
      </w:r>
      <w:r>
        <w:rPr>
          <w:rFonts w:ascii="Arial" w:hAnsi="Arial"/>
          <w:i/>
          <w:color w:val="231F20"/>
        </w:rPr>
        <w:t>Ausnahmezustand</w:t>
      </w:r>
      <w:r>
        <w:rPr>
          <w:rFonts w:ascii="Arial" w:hAnsi="Arial"/>
          <w:i/>
          <w:color w:val="231F20"/>
          <w:spacing w:val="-16"/>
        </w:rPr>
        <w:t> </w:t>
      </w:r>
      <w:r>
        <w:rPr>
          <w:color w:val="231F20"/>
        </w:rPr>
        <w:t>teorizzato</w:t>
      </w:r>
      <w:r>
        <w:rPr>
          <w:color w:val="231F20"/>
          <w:spacing w:val="-22"/>
        </w:rPr>
        <w:t> </w:t>
      </w:r>
      <w:r>
        <w:rPr>
          <w:color w:val="231F20"/>
        </w:rPr>
        <w:t>da</w:t>
      </w:r>
      <w:r>
        <w:rPr>
          <w:color w:val="231F20"/>
          <w:spacing w:val="-22"/>
        </w:rPr>
        <w:t> </w:t>
      </w:r>
      <w:r>
        <w:rPr>
          <w:color w:val="231F20"/>
        </w:rPr>
        <w:t>Schmitt</w:t>
      </w:r>
      <w:r>
        <w:rPr>
          <w:color w:val="231F20"/>
          <w:spacing w:val="-22"/>
        </w:rPr>
        <w:t> </w:t>
      </w:r>
      <w:r>
        <w:rPr>
          <w:color w:val="231F20"/>
        </w:rPr>
        <w:t>in</w:t>
      </w:r>
      <w:r>
        <w:rPr>
          <w:color w:val="231F20"/>
          <w:spacing w:val="-22"/>
        </w:rPr>
        <w:t> </w:t>
      </w:r>
      <w:r>
        <w:rPr>
          <w:color w:val="231F20"/>
        </w:rPr>
        <w:t>alcuni celebri</w:t>
      </w:r>
      <w:r>
        <w:rPr>
          <w:color w:val="231F20"/>
          <w:spacing w:val="-18"/>
        </w:rPr>
        <w:t> </w:t>
      </w:r>
      <w:r>
        <w:rPr>
          <w:color w:val="231F20"/>
        </w:rPr>
        <w:t>passi</w:t>
      </w:r>
      <w:r>
        <w:rPr>
          <w:color w:val="231F20"/>
          <w:spacing w:val="-18"/>
        </w:rPr>
        <w:t> </w:t>
      </w:r>
      <w:r>
        <w:rPr>
          <w:color w:val="231F20"/>
        </w:rPr>
        <w:t>della</w:t>
      </w:r>
      <w:r>
        <w:rPr>
          <w:color w:val="231F20"/>
          <w:spacing w:val="-18"/>
        </w:rPr>
        <w:t> </w:t>
      </w:r>
      <w:r>
        <w:rPr>
          <w:color w:val="231F20"/>
        </w:rPr>
        <w:t>sua</w:t>
      </w:r>
      <w:r>
        <w:rPr>
          <w:color w:val="231F20"/>
          <w:spacing w:val="-16"/>
        </w:rPr>
        <w:t> </w:t>
      </w:r>
      <w:r>
        <w:rPr>
          <w:rFonts w:ascii="Arial" w:hAnsi="Arial"/>
          <w:i/>
          <w:color w:val="231F20"/>
        </w:rPr>
        <w:t>Politische</w:t>
      </w:r>
      <w:r>
        <w:rPr>
          <w:rFonts w:ascii="Arial" w:hAnsi="Arial"/>
          <w:i/>
          <w:color w:val="231F20"/>
          <w:spacing w:val="-10"/>
        </w:rPr>
        <w:t> </w:t>
      </w:r>
      <w:r>
        <w:rPr>
          <w:rFonts w:ascii="Arial" w:hAnsi="Arial"/>
          <w:i/>
          <w:color w:val="231F20"/>
        </w:rPr>
        <w:t>Theologie</w:t>
      </w:r>
      <w:r>
        <w:rPr>
          <w:color w:val="231F20"/>
          <w:position w:val="7"/>
          <w:sz w:val="12"/>
        </w:rPr>
        <w:t>59</w:t>
      </w:r>
      <w:r>
        <w:rPr>
          <w:color w:val="231F20"/>
        </w:rPr>
        <w:t>.</w:t>
      </w:r>
      <w:r>
        <w:rPr>
          <w:color w:val="231F20"/>
          <w:spacing w:val="-18"/>
        </w:rPr>
        <w:t> </w:t>
      </w:r>
      <w:r>
        <w:rPr>
          <w:color w:val="231F20"/>
        </w:rPr>
        <w:t>A</w:t>
      </w:r>
      <w:r>
        <w:rPr>
          <w:color w:val="231F20"/>
          <w:spacing w:val="-18"/>
        </w:rPr>
        <w:t> </w:t>
      </w:r>
      <w:r>
        <w:rPr>
          <w:color w:val="231F20"/>
        </w:rPr>
        <w:t>differenza</w:t>
      </w:r>
      <w:r>
        <w:rPr>
          <w:color w:val="231F20"/>
          <w:spacing w:val="-18"/>
        </w:rPr>
        <w:t> </w:t>
      </w:r>
      <w:r>
        <w:rPr>
          <w:color w:val="231F20"/>
        </w:rPr>
        <w:t>che</w:t>
      </w:r>
      <w:r>
        <w:rPr>
          <w:color w:val="231F20"/>
          <w:spacing w:val="-18"/>
        </w:rPr>
        <w:t> </w:t>
      </w:r>
      <w:r>
        <w:rPr>
          <w:color w:val="231F20"/>
        </w:rPr>
        <w:t>nell’originario modello schmittiano, lo “stato di eccezione” di cui ci parlano questi autori rappresenta, però, un “carattere permanente del paesaggio politico” della società globale, all’interno e all’esterno dei singoli Stati —esso si appalesa, cioè, come una condizione </w:t>
      </w:r>
      <w:r>
        <w:rPr>
          <w:rFonts w:ascii="Arial" w:hAnsi="Arial"/>
          <w:i/>
          <w:color w:val="231F20"/>
        </w:rPr>
        <w:t>normale </w:t>
      </w:r>
      <w:r>
        <w:rPr>
          <w:color w:val="231F20"/>
        </w:rPr>
        <w:t>del “new global order” scaturito dalla crisi dell’assetto bipolare del mondo</w:t>
      </w:r>
      <w:r>
        <w:rPr>
          <w:color w:val="231F20"/>
          <w:position w:val="7"/>
          <w:sz w:val="12"/>
        </w:rPr>
        <w:t>60</w:t>
      </w:r>
      <w:r>
        <w:rPr>
          <w:color w:val="231F20"/>
        </w:rPr>
        <w:t>. Come spiegano Hardt e Negri, tra i primi</w:t>
      </w:r>
      <w:r>
        <w:rPr>
          <w:color w:val="231F20"/>
          <w:spacing w:val="-16"/>
        </w:rPr>
        <w:t> </w:t>
      </w:r>
      <w:r>
        <w:rPr>
          <w:color w:val="231F20"/>
        </w:rPr>
        <w:t>a</w:t>
      </w:r>
      <w:r>
        <w:rPr>
          <w:color w:val="231F20"/>
          <w:spacing w:val="-16"/>
        </w:rPr>
        <w:t> </w:t>
      </w:r>
      <w:r>
        <w:rPr>
          <w:color w:val="231F20"/>
        </w:rPr>
        <w:t>proporre</w:t>
      </w:r>
      <w:r>
        <w:rPr>
          <w:color w:val="231F20"/>
          <w:spacing w:val="-16"/>
        </w:rPr>
        <w:t> </w:t>
      </w:r>
      <w:r>
        <w:rPr>
          <w:color w:val="231F20"/>
        </w:rPr>
        <w:t>una</w:t>
      </w:r>
      <w:r>
        <w:rPr>
          <w:color w:val="231F20"/>
          <w:spacing w:val="-16"/>
        </w:rPr>
        <w:t> </w:t>
      </w:r>
      <w:r>
        <w:rPr>
          <w:color w:val="231F20"/>
        </w:rPr>
        <w:t>lettura</w:t>
      </w:r>
      <w:r>
        <w:rPr>
          <w:color w:val="231F20"/>
          <w:spacing w:val="-16"/>
        </w:rPr>
        <w:t> </w:t>
      </w:r>
      <w:r>
        <w:rPr>
          <w:color w:val="231F20"/>
        </w:rPr>
        <w:t>costituente</w:t>
      </w:r>
      <w:r>
        <w:rPr>
          <w:color w:val="231F20"/>
          <w:spacing w:val="-16"/>
        </w:rPr>
        <w:t> </w:t>
      </w:r>
      <w:r>
        <w:rPr>
          <w:color w:val="231F20"/>
        </w:rPr>
        <w:t>dell’ingerenza</w:t>
      </w:r>
      <w:r>
        <w:rPr>
          <w:color w:val="231F20"/>
          <w:spacing w:val="-16"/>
        </w:rPr>
        <w:t> </w:t>
      </w:r>
      <w:r>
        <w:rPr>
          <w:color w:val="231F20"/>
        </w:rPr>
        <w:t>umanitaria,</w:t>
      </w:r>
      <w:r>
        <w:rPr>
          <w:color w:val="231F20"/>
          <w:spacing w:val="-16"/>
        </w:rPr>
        <w:t> </w:t>
      </w:r>
      <w:r>
        <w:rPr>
          <w:color w:val="231F20"/>
        </w:rPr>
        <w:t>è</w:t>
      </w:r>
      <w:r>
        <w:rPr>
          <w:color w:val="231F20"/>
          <w:spacing w:val="-16"/>
        </w:rPr>
        <w:t> </w:t>
      </w:r>
      <w:r>
        <w:rPr>
          <w:color w:val="231F20"/>
        </w:rPr>
        <w:t>proprio attraverso l’imporsi di “uno stato permanente di emergenza e</w:t>
      </w:r>
      <w:r>
        <w:rPr>
          <w:color w:val="231F20"/>
          <w:spacing w:val="-22"/>
        </w:rPr>
        <w:t> </w:t>
      </w:r>
      <w:r>
        <w:rPr>
          <w:color w:val="231F20"/>
        </w:rPr>
        <w:t>eccezionalità giustificato dall’appello a </w:t>
      </w:r>
      <w:r>
        <w:rPr>
          <w:rFonts w:ascii="Arial" w:hAnsi="Arial"/>
          <w:i/>
          <w:color w:val="231F20"/>
        </w:rPr>
        <w:t>fondamentali valori di giustizia</w:t>
      </w:r>
      <w:r>
        <w:rPr>
          <w:color w:val="231F20"/>
        </w:rPr>
        <w:t>” che il “nuovo </w:t>
      </w:r>
      <w:r>
        <w:rPr>
          <w:color w:val="231F20"/>
          <w:spacing w:val="-4"/>
        </w:rPr>
        <w:t>ordine</w:t>
      </w:r>
      <w:r>
        <w:rPr>
          <w:color w:val="231F20"/>
          <w:spacing w:val="-15"/>
        </w:rPr>
        <w:t> </w:t>
      </w:r>
      <w:r>
        <w:rPr>
          <w:color w:val="231F20"/>
          <w:spacing w:val="-3"/>
        </w:rPr>
        <w:t>planetario”</w:t>
      </w:r>
      <w:r>
        <w:rPr>
          <w:color w:val="231F20"/>
          <w:spacing w:val="-15"/>
        </w:rPr>
        <w:t> </w:t>
      </w:r>
      <w:r>
        <w:rPr>
          <w:color w:val="231F20"/>
          <w:spacing w:val="-3"/>
        </w:rPr>
        <w:t>consolida,</w:t>
      </w:r>
      <w:r>
        <w:rPr>
          <w:color w:val="231F20"/>
          <w:spacing w:val="-15"/>
        </w:rPr>
        <w:t> </w:t>
      </w:r>
      <w:r>
        <w:rPr>
          <w:color w:val="231F20"/>
          <w:spacing w:val="-3"/>
        </w:rPr>
        <w:t>infatti,</w:t>
      </w:r>
      <w:r>
        <w:rPr>
          <w:color w:val="231F20"/>
          <w:spacing w:val="-15"/>
        </w:rPr>
        <w:t> </w:t>
      </w:r>
      <w:r>
        <w:rPr>
          <w:color w:val="231F20"/>
        </w:rPr>
        <w:t>la</w:t>
      </w:r>
      <w:r>
        <w:rPr>
          <w:color w:val="231F20"/>
          <w:spacing w:val="-15"/>
        </w:rPr>
        <w:t> </w:t>
      </w:r>
      <w:r>
        <w:rPr>
          <w:color w:val="231F20"/>
        </w:rPr>
        <w:t>sua</w:t>
      </w:r>
      <w:r>
        <w:rPr>
          <w:color w:val="231F20"/>
          <w:spacing w:val="-15"/>
        </w:rPr>
        <w:t> </w:t>
      </w:r>
      <w:r>
        <w:rPr>
          <w:color w:val="231F20"/>
          <w:spacing w:val="-4"/>
        </w:rPr>
        <w:t>peculiare</w:t>
      </w:r>
      <w:r>
        <w:rPr>
          <w:color w:val="231F20"/>
          <w:spacing w:val="-15"/>
        </w:rPr>
        <w:t> </w:t>
      </w:r>
      <w:r>
        <w:rPr>
          <w:color w:val="231F20"/>
          <w:spacing w:val="-3"/>
        </w:rPr>
        <w:t>macchina</w:t>
      </w:r>
      <w:r>
        <w:rPr>
          <w:color w:val="231F20"/>
          <w:spacing w:val="-15"/>
        </w:rPr>
        <w:t> </w:t>
      </w:r>
      <w:r>
        <w:rPr>
          <w:color w:val="231F20"/>
          <w:spacing w:val="-3"/>
        </w:rPr>
        <w:t>amministrativa, </w:t>
      </w:r>
      <w:r>
        <w:rPr>
          <w:color w:val="231F20"/>
        </w:rPr>
        <w:t>producendo “nuove gerarchie di comando operanti sullo spazio globale”; e ciò che ne risulta è “un apparato di potere decentrato e deterritorializzante che progressivamente incorpora l’intero spazio mondiale all’interno delle sue frontiere aperte e in continua espansione”, radicalizzando al contempo</w:t>
      </w:r>
    </w:p>
    <w:p>
      <w:pPr>
        <w:pStyle w:val="BodyText"/>
        <w:spacing w:before="1"/>
        <w:rPr>
          <w:sz w:val="19"/>
        </w:rPr>
      </w:pPr>
      <w:r>
        <w:rPr/>
        <w:pict>
          <v:line style="position:absolute;mso-position-horizontal-relative:page;mso-position-vertical-relative:paragraph;z-index:14824;mso-wrap-distance-left:0;mso-wrap-distance-right:0" from="70.866096pt,13.660521pt" to="184.252096pt,13.660521pt" stroked="true" strokeweight=".3pt" strokecolor="#231f20">
            <w10:wrap type="topAndBottom"/>
          </v:line>
        </w:pict>
      </w:r>
    </w:p>
    <w:p>
      <w:pPr>
        <w:spacing w:line="206" w:lineRule="exact" w:before="10"/>
        <w:ind w:left="117" w:right="0" w:firstLine="0"/>
        <w:jc w:val="both"/>
        <w:rPr>
          <w:rFonts w:ascii="Calibri" w:hAnsi="Calibri"/>
          <w:sz w:val="17"/>
        </w:rPr>
      </w:pPr>
      <w:r>
        <w:rPr>
          <w:rFonts w:ascii="Calibri" w:hAnsi="Calibri"/>
          <w:color w:val="231F20"/>
          <w:position w:val="6"/>
          <w:sz w:val="10"/>
        </w:rPr>
        <w:t>57  </w:t>
      </w:r>
      <w:r>
        <w:rPr>
          <w:rFonts w:ascii="Calibri" w:hAnsi="Calibri"/>
          <w:color w:val="231F20"/>
          <w:sz w:val="17"/>
        </w:rPr>
        <w:t>T. Nardin, “Humanitarian Imperialism”, </w:t>
      </w:r>
      <w:r>
        <w:rPr>
          <w:rFonts w:ascii="Calibri" w:hAnsi="Calibri"/>
          <w:i/>
          <w:color w:val="231F20"/>
          <w:sz w:val="17"/>
        </w:rPr>
        <w:t>Ethics &amp; International Relations</w:t>
      </w:r>
      <w:r>
        <w:rPr>
          <w:rFonts w:ascii="Calibri" w:hAnsi="Calibri"/>
          <w:color w:val="231F20"/>
          <w:sz w:val="17"/>
        </w:rPr>
        <w:t>, 19, 2, 2005, p. 25.</w:t>
      </w:r>
    </w:p>
    <w:p>
      <w:pPr>
        <w:spacing w:line="235" w:lineRule="auto" w:before="1"/>
        <w:ind w:left="117" w:right="121" w:firstLine="0"/>
        <w:jc w:val="both"/>
        <w:rPr>
          <w:rFonts w:ascii="Calibri" w:hAnsi="Calibri"/>
          <w:sz w:val="17"/>
        </w:rPr>
      </w:pPr>
      <w:r>
        <w:rPr>
          <w:rFonts w:ascii="Calibri" w:hAnsi="Calibri"/>
          <w:color w:val="231F20"/>
          <w:position w:val="6"/>
          <w:sz w:val="10"/>
        </w:rPr>
        <w:t>58 </w:t>
      </w:r>
      <w:r>
        <w:rPr>
          <w:rFonts w:ascii="Calibri" w:hAnsi="Calibri"/>
          <w:color w:val="231F20"/>
          <w:sz w:val="17"/>
        </w:rPr>
        <w:t>Zolo, </w:t>
      </w:r>
      <w:r>
        <w:rPr>
          <w:rFonts w:ascii="Calibri" w:hAnsi="Calibri"/>
          <w:i/>
          <w:color w:val="231F20"/>
          <w:sz w:val="17"/>
        </w:rPr>
        <w:t>La giustizia dei vincitori</w:t>
      </w:r>
      <w:r>
        <w:rPr>
          <w:rFonts w:ascii="Calibri" w:hAnsi="Calibri"/>
          <w:color w:val="231F20"/>
          <w:sz w:val="17"/>
        </w:rPr>
        <w:t>, pp. 125–126. Secondo questa lettura, un potere imperiale è per principio</w:t>
      </w:r>
      <w:r>
        <w:rPr>
          <w:rFonts w:ascii="Calibri" w:hAnsi="Calibri"/>
          <w:color w:val="231F20"/>
          <w:spacing w:val="-4"/>
          <w:sz w:val="17"/>
        </w:rPr>
        <w:t> </w:t>
      </w:r>
      <w:r>
        <w:rPr>
          <w:rFonts w:ascii="Calibri" w:hAnsi="Calibri"/>
          <w:i/>
          <w:color w:val="231F20"/>
          <w:sz w:val="17"/>
        </w:rPr>
        <w:t>legibus</w:t>
      </w:r>
      <w:r>
        <w:rPr>
          <w:rFonts w:ascii="Calibri" w:hAnsi="Calibri"/>
          <w:i/>
          <w:color w:val="231F20"/>
          <w:spacing w:val="-4"/>
          <w:sz w:val="17"/>
        </w:rPr>
        <w:t> </w:t>
      </w:r>
      <w:r>
        <w:rPr>
          <w:rFonts w:ascii="Calibri" w:hAnsi="Calibri"/>
          <w:i/>
          <w:color w:val="231F20"/>
          <w:sz w:val="17"/>
        </w:rPr>
        <w:t>solutus</w:t>
      </w:r>
      <w:r>
        <w:rPr>
          <w:rFonts w:ascii="Calibri" w:hAnsi="Calibri"/>
          <w:color w:val="231F20"/>
          <w:sz w:val="17"/>
        </w:rPr>
        <w:t>:</w:t>
      </w:r>
      <w:r>
        <w:rPr>
          <w:rFonts w:ascii="Calibri" w:hAnsi="Calibri"/>
          <w:color w:val="231F20"/>
          <w:spacing w:val="-4"/>
          <w:sz w:val="17"/>
        </w:rPr>
        <w:t> </w:t>
      </w:r>
      <w:r>
        <w:rPr>
          <w:rFonts w:ascii="Calibri" w:hAnsi="Calibri"/>
          <w:color w:val="231F20"/>
          <w:sz w:val="17"/>
        </w:rPr>
        <w:t>“l’Imperatore</w:t>
      </w:r>
      <w:r>
        <w:rPr>
          <w:rFonts w:ascii="Calibri" w:hAnsi="Calibri"/>
          <w:color w:val="231F20"/>
          <w:spacing w:val="-4"/>
          <w:sz w:val="17"/>
        </w:rPr>
        <w:t> </w:t>
      </w:r>
      <w:r>
        <w:rPr>
          <w:rFonts w:ascii="Calibri" w:hAnsi="Calibri"/>
          <w:color w:val="231F20"/>
          <w:sz w:val="17"/>
        </w:rPr>
        <w:t>decide</w:t>
      </w:r>
      <w:r>
        <w:rPr>
          <w:rFonts w:ascii="Calibri" w:hAnsi="Calibri"/>
          <w:color w:val="231F20"/>
          <w:spacing w:val="-4"/>
          <w:sz w:val="17"/>
        </w:rPr>
        <w:t> </w:t>
      </w:r>
      <w:r>
        <w:rPr>
          <w:rFonts w:ascii="Calibri" w:hAnsi="Calibri"/>
          <w:color w:val="231F20"/>
          <w:sz w:val="17"/>
        </w:rPr>
        <w:t>di</w:t>
      </w:r>
      <w:r>
        <w:rPr>
          <w:rFonts w:ascii="Calibri" w:hAnsi="Calibri"/>
          <w:color w:val="231F20"/>
          <w:spacing w:val="-6"/>
          <w:sz w:val="17"/>
        </w:rPr>
        <w:t> </w:t>
      </w:r>
      <w:r>
        <w:rPr>
          <w:rFonts w:ascii="Calibri" w:hAnsi="Calibri"/>
          <w:color w:val="231F20"/>
          <w:sz w:val="17"/>
        </w:rPr>
        <w:t>volta</w:t>
      </w:r>
      <w:r>
        <w:rPr>
          <w:rFonts w:ascii="Calibri" w:hAnsi="Calibri"/>
          <w:color w:val="231F20"/>
          <w:spacing w:val="-4"/>
          <w:sz w:val="17"/>
        </w:rPr>
        <w:t> </w:t>
      </w:r>
      <w:r>
        <w:rPr>
          <w:rFonts w:ascii="Calibri" w:hAnsi="Calibri"/>
          <w:color w:val="231F20"/>
          <w:sz w:val="17"/>
        </w:rPr>
        <w:t>sui</w:t>
      </w:r>
      <w:r>
        <w:rPr>
          <w:rFonts w:ascii="Calibri" w:hAnsi="Calibri"/>
          <w:color w:val="231F20"/>
          <w:spacing w:val="-4"/>
          <w:sz w:val="17"/>
        </w:rPr>
        <w:t> </w:t>
      </w:r>
      <w:r>
        <w:rPr>
          <w:rFonts w:ascii="Calibri" w:hAnsi="Calibri"/>
          <w:color w:val="231F20"/>
          <w:sz w:val="17"/>
        </w:rPr>
        <w:t>singoli</w:t>
      </w:r>
      <w:r>
        <w:rPr>
          <w:rFonts w:ascii="Calibri" w:hAnsi="Calibri"/>
          <w:color w:val="231F20"/>
          <w:spacing w:val="-4"/>
          <w:sz w:val="17"/>
        </w:rPr>
        <w:t> </w:t>
      </w:r>
      <w:r>
        <w:rPr>
          <w:rFonts w:ascii="Calibri" w:hAnsi="Calibri"/>
          <w:color w:val="231F20"/>
          <w:sz w:val="17"/>
        </w:rPr>
        <w:t>casi,</w:t>
      </w:r>
      <w:r>
        <w:rPr>
          <w:rFonts w:ascii="Calibri" w:hAnsi="Calibri"/>
          <w:color w:val="231F20"/>
          <w:spacing w:val="-4"/>
          <w:sz w:val="17"/>
        </w:rPr>
        <w:t> </w:t>
      </w:r>
      <w:r>
        <w:rPr>
          <w:rFonts w:ascii="Calibri" w:hAnsi="Calibri"/>
          <w:color w:val="231F20"/>
          <w:sz w:val="17"/>
        </w:rPr>
        <w:t>ma</w:t>
      </w:r>
      <w:r>
        <w:rPr>
          <w:rFonts w:ascii="Calibri" w:hAnsi="Calibri"/>
          <w:color w:val="231F20"/>
          <w:spacing w:val="-4"/>
          <w:sz w:val="17"/>
        </w:rPr>
        <w:t> </w:t>
      </w:r>
      <w:r>
        <w:rPr>
          <w:rFonts w:ascii="Calibri" w:hAnsi="Calibri"/>
          <w:color w:val="231F20"/>
          <w:sz w:val="17"/>
        </w:rPr>
        <w:t>non</w:t>
      </w:r>
      <w:r>
        <w:rPr>
          <w:rFonts w:ascii="Calibri" w:hAnsi="Calibri"/>
          <w:color w:val="231F20"/>
          <w:spacing w:val="-4"/>
          <w:sz w:val="17"/>
        </w:rPr>
        <w:t> </w:t>
      </w:r>
      <w:r>
        <w:rPr>
          <w:rFonts w:ascii="Calibri" w:hAnsi="Calibri"/>
          <w:color w:val="231F20"/>
          <w:sz w:val="17"/>
        </w:rPr>
        <w:t>fissa</w:t>
      </w:r>
      <w:r>
        <w:rPr>
          <w:rFonts w:ascii="Calibri" w:hAnsi="Calibri"/>
          <w:color w:val="231F20"/>
          <w:spacing w:val="-4"/>
          <w:sz w:val="17"/>
        </w:rPr>
        <w:t> </w:t>
      </w:r>
      <w:r>
        <w:rPr>
          <w:rFonts w:ascii="Calibri" w:hAnsi="Calibri"/>
          <w:color w:val="231F20"/>
          <w:sz w:val="17"/>
        </w:rPr>
        <w:t>principi</w:t>
      </w:r>
      <w:r>
        <w:rPr>
          <w:rFonts w:ascii="Calibri" w:hAnsi="Calibri"/>
          <w:color w:val="231F20"/>
          <w:spacing w:val="-4"/>
          <w:sz w:val="17"/>
        </w:rPr>
        <w:t> </w:t>
      </w:r>
      <w:r>
        <w:rPr>
          <w:rFonts w:ascii="Calibri" w:hAnsi="Calibri"/>
          <w:color w:val="231F20"/>
          <w:sz w:val="17"/>
        </w:rPr>
        <w:t>normativi di carattere assoluto, né si impegna al rispetto di regole  </w:t>
      </w:r>
      <w:r>
        <w:rPr>
          <w:rFonts w:ascii="Calibri" w:hAnsi="Calibri"/>
          <w:color w:val="231F20"/>
          <w:spacing w:val="24"/>
          <w:sz w:val="17"/>
        </w:rPr>
        <w:t> </w:t>
      </w:r>
      <w:r>
        <w:rPr>
          <w:rFonts w:ascii="Calibri" w:hAnsi="Calibri"/>
          <w:color w:val="231F20"/>
          <w:spacing w:val="-3"/>
          <w:sz w:val="17"/>
        </w:rPr>
        <w:t>generali”.</w:t>
      </w:r>
    </w:p>
    <w:p>
      <w:pPr>
        <w:spacing w:line="235" w:lineRule="auto" w:before="0"/>
        <w:ind w:left="117" w:right="121" w:firstLine="0"/>
        <w:jc w:val="both"/>
        <w:rPr>
          <w:rFonts w:ascii="Calibri" w:hAnsi="Calibri"/>
          <w:sz w:val="17"/>
        </w:rPr>
      </w:pPr>
      <w:r>
        <w:rPr>
          <w:rFonts w:ascii="Calibri" w:hAnsi="Calibri"/>
          <w:color w:val="231F20"/>
          <w:position w:val="6"/>
          <w:sz w:val="10"/>
        </w:rPr>
        <w:t>59 </w:t>
      </w:r>
      <w:r>
        <w:rPr>
          <w:rFonts w:ascii="Calibri" w:hAnsi="Calibri"/>
          <w:color w:val="231F20"/>
          <w:sz w:val="17"/>
        </w:rPr>
        <w:t>C. Schmitt, </w:t>
      </w:r>
      <w:r>
        <w:rPr>
          <w:rFonts w:ascii="Calibri" w:hAnsi="Calibri"/>
          <w:i/>
          <w:color w:val="231F20"/>
          <w:sz w:val="17"/>
        </w:rPr>
        <w:t>Politische Teologie. Vier Kapitel zur Lehre der Souveranität, </w:t>
      </w:r>
      <w:r>
        <w:rPr>
          <w:rFonts w:ascii="Calibri" w:hAnsi="Calibri"/>
          <w:color w:val="231F20"/>
          <w:sz w:val="17"/>
        </w:rPr>
        <w:t>München–Leipzig, Duncker &amp;</w:t>
      </w:r>
      <w:r>
        <w:rPr>
          <w:rFonts w:ascii="Calibri" w:hAnsi="Calibri"/>
          <w:color w:val="231F20"/>
          <w:spacing w:val="-7"/>
          <w:sz w:val="17"/>
        </w:rPr>
        <w:t> </w:t>
      </w:r>
      <w:r>
        <w:rPr>
          <w:rFonts w:ascii="Calibri" w:hAnsi="Calibri"/>
          <w:color w:val="231F20"/>
          <w:sz w:val="17"/>
        </w:rPr>
        <w:t>Humblot,</w:t>
      </w:r>
      <w:r>
        <w:rPr>
          <w:rFonts w:ascii="Calibri" w:hAnsi="Calibri"/>
          <w:color w:val="231F20"/>
          <w:spacing w:val="-7"/>
          <w:sz w:val="17"/>
        </w:rPr>
        <w:t> </w:t>
      </w:r>
      <w:r>
        <w:rPr>
          <w:rFonts w:ascii="Calibri" w:hAnsi="Calibri"/>
          <w:color w:val="231F20"/>
          <w:sz w:val="17"/>
        </w:rPr>
        <w:t>1922</w:t>
      </w:r>
      <w:r>
        <w:rPr>
          <w:rFonts w:ascii="Calibri" w:hAnsi="Calibri"/>
          <w:color w:val="231F20"/>
          <w:spacing w:val="-7"/>
          <w:sz w:val="17"/>
        </w:rPr>
        <w:t> </w:t>
      </w:r>
      <w:r>
        <w:rPr>
          <w:rFonts w:ascii="Calibri" w:hAnsi="Calibri"/>
          <w:color w:val="231F20"/>
          <w:sz w:val="17"/>
        </w:rPr>
        <w:t>(trad.</w:t>
      </w:r>
      <w:r>
        <w:rPr>
          <w:rFonts w:ascii="Calibri" w:hAnsi="Calibri"/>
          <w:color w:val="231F20"/>
          <w:spacing w:val="-7"/>
          <w:sz w:val="17"/>
        </w:rPr>
        <w:t> </w:t>
      </w:r>
      <w:r>
        <w:rPr>
          <w:rFonts w:ascii="Calibri" w:hAnsi="Calibri"/>
          <w:color w:val="231F20"/>
          <w:sz w:val="17"/>
        </w:rPr>
        <w:t>it.,</w:t>
      </w:r>
      <w:r>
        <w:rPr>
          <w:rFonts w:ascii="Calibri" w:hAnsi="Calibri"/>
          <w:color w:val="231F20"/>
          <w:spacing w:val="-7"/>
          <w:sz w:val="17"/>
        </w:rPr>
        <w:t> </w:t>
      </w:r>
      <w:r>
        <w:rPr>
          <w:rFonts w:ascii="Calibri" w:hAnsi="Calibri"/>
          <w:i/>
          <w:color w:val="231F20"/>
          <w:sz w:val="17"/>
        </w:rPr>
        <w:t>Teologia</w:t>
      </w:r>
      <w:r>
        <w:rPr>
          <w:rFonts w:ascii="Calibri" w:hAnsi="Calibri"/>
          <w:i/>
          <w:color w:val="231F20"/>
          <w:spacing w:val="-7"/>
          <w:sz w:val="17"/>
        </w:rPr>
        <w:t> </w:t>
      </w:r>
      <w:r>
        <w:rPr>
          <w:rFonts w:ascii="Calibri" w:hAnsi="Calibri"/>
          <w:i/>
          <w:color w:val="231F20"/>
          <w:sz w:val="17"/>
        </w:rPr>
        <w:t>politica:</w:t>
      </w:r>
      <w:r>
        <w:rPr>
          <w:rFonts w:ascii="Calibri" w:hAnsi="Calibri"/>
          <w:i/>
          <w:color w:val="231F20"/>
          <w:spacing w:val="-7"/>
          <w:sz w:val="17"/>
        </w:rPr>
        <w:t> </w:t>
      </w:r>
      <w:r>
        <w:rPr>
          <w:rFonts w:ascii="Calibri" w:hAnsi="Calibri"/>
          <w:i/>
          <w:color w:val="231F20"/>
          <w:sz w:val="17"/>
        </w:rPr>
        <w:t>quattro</w:t>
      </w:r>
      <w:r>
        <w:rPr>
          <w:rFonts w:ascii="Calibri" w:hAnsi="Calibri"/>
          <w:i/>
          <w:color w:val="231F20"/>
          <w:spacing w:val="-7"/>
          <w:sz w:val="17"/>
        </w:rPr>
        <w:t> </w:t>
      </w:r>
      <w:r>
        <w:rPr>
          <w:rFonts w:ascii="Calibri" w:hAnsi="Calibri"/>
          <w:i/>
          <w:color w:val="231F20"/>
          <w:sz w:val="17"/>
        </w:rPr>
        <w:t>capitoli</w:t>
      </w:r>
      <w:r>
        <w:rPr>
          <w:rFonts w:ascii="Calibri" w:hAnsi="Calibri"/>
          <w:i/>
          <w:color w:val="231F20"/>
          <w:spacing w:val="-7"/>
          <w:sz w:val="17"/>
        </w:rPr>
        <w:t> </w:t>
      </w:r>
      <w:r>
        <w:rPr>
          <w:rFonts w:ascii="Calibri" w:hAnsi="Calibri"/>
          <w:i/>
          <w:color w:val="231F20"/>
          <w:sz w:val="17"/>
        </w:rPr>
        <w:t>sulla</w:t>
      </w:r>
      <w:r>
        <w:rPr>
          <w:rFonts w:ascii="Calibri" w:hAnsi="Calibri"/>
          <w:i/>
          <w:color w:val="231F20"/>
          <w:spacing w:val="-7"/>
          <w:sz w:val="17"/>
        </w:rPr>
        <w:t> </w:t>
      </w:r>
      <w:r>
        <w:rPr>
          <w:rFonts w:ascii="Calibri" w:hAnsi="Calibri"/>
          <w:i/>
          <w:color w:val="231F20"/>
          <w:sz w:val="17"/>
        </w:rPr>
        <w:t>dottrina</w:t>
      </w:r>
      <w:r>
        <w:rPr>
          <w:rFonts w:ascii="Calibri" w:hAnsi="Calibri"/>
          <w:i/>
          <w:color w:val="231F20"/>
          <w:spacing w:val="-7"/>
          <w:sz w:val="17"/>
        </w:rPr>
        <w:t> </w:t>
      </w:r>
      <w:r>
        <w:rPr>
          <w:rFonts w:ascii="Calibri" w:hAnsi="Calibri"/>
          <w:i/>
          <w:color w:val="231F20"/>
          <w:sz w:val="17"/>
        </w:rPr>
        <w:t>della</w:t>
      </w:r>
      <w:r>
        <w:rPr>
          <w:rFonts w:ascii="Calibri" w:hAnsi="Calibri"/>
          <w:i/>
          <w:color w:val="231F20"/>
          <w:spacing w:val="-7"/>
          <w:sz w:val="17"/>
        </w:rPr>
        <w:t> </w:t>
      </w:r>
      <w:r>
        <w:rPr>
          <w:rFonts w:ascii="Calibri" w:hAnsi="Calibri"/>
          <w:i/>
          <w:color w:val="231F20"/>
          <w:sz w:val="17"/>
        </w:rPr>
        <w:t>sovranità</w:t>
      </w:r>
      <w:r>
        <w:rPr>
          <w:rFonts w:ascii="Calibri" w:hAnsi="Calibri"/>
          <w:color w:val="231F20"/>
          <w:sz w:val="17"/>
        </w:rPr>
        <w:t>,</w:t>
      </w:r>
      <w:r>
        <w:rPr>
          <w:rFonts w:ascii="Calibri" w:hAnsi="Calibri"/>
          <w:color w:val="231F20"/>
          <w:spacing w:val="-7"/>
          <w:sz w:val="17"/>
        </w:rPr>
        <w:t> </w:t>
      </w:r>
      <w:r>
        <w:rPr>
          <w:rFonts w:ascii="Calibri" w:hAnsi="Calibri"/>
          <w:color w:val="231F20"/>
          <w:sz w:val="17"/>
        </w:rPr>
        <w:t>in</w:t>
      </w:r>
      <w:r>
        <w:rPr>
          <w:rFonts w:ascii="Calibri" w:hAnsi="Calibri"/>
          <w:color w:val="231F20"/>
          <w:spacing w:val="-7"/>
          <w:sz w:val="17"/>
        </w:rPr>
        <w:t> </w:t>
      </w:r>
      <w:r>
        <w:rPr>
          <w:rFonts w:ascii="Calibri" w:hAnsi="Calibri"/>
          <w:color w:val="231F20"/>
          <w:sz w:val="17"/>
        </w:rPr>
        <w:t>Idem,</w:t>
      </w:r>
      <w:r>
        <w:rPr>
          <w:rFonts w:ascii="Calibri" w:hAnsi="Calibri"/>
          <w:color w:val="231F20"/>
          <w:spacing w:val="-7"/>
          <w:sz w:val="17"/>
        </w:rPr>
        <w:t> </w:t>
      </w:r>
      <w:r>
        <w:rPr>
          <w:rFonts w:ascii="Calibri" w:hAnsi="Calibri"/>
          <w:i/>
          <w:color w:val="231F20"/>
          <w:sz w:val="17"/>
        </w:rPr>
        <w:t>Le </w:t>
      </w:r>
      <w:r>
        <w:rPr>
          <w:rFonts w:ascii="Calibri" w:hAnsi="Calibri"/>
          <w:i/>
          <w:color w:val="231F20"/>
          <w:sz w:val="17"/>
        </w:rPr>
        <w:t>categorie del politico</w:t>
      </w:r>
      <w:r>
        <w:rPr>
          <w:rFonts w:ascii="Calibri" w:hAnsi="Calibri"/>
          <w:color w:val="231F20"/>
          <w:sz w:val="17"/>
        </w:rPr>
        <w:t>, pp. 33–34).Su questo aspetto della teoria politica schmittiana si veda C. Galli, </w:t>
      </w:r>
      <w:r>
        <w:rPr>
          <w:rFonts w:ascii="Calibri" w:hAnsi="Calibri"/>
          <w:i/>
          <w:color w:val="231F20"/>
          <w:sz w:val="17"/>
        </w:rPr>
        <w:t>Genealogia della politica. Carl Schmitt e la crisi del pensiero politico moderno</w:t>
      </w:r>
      <w:r>
        <w:rPr>
          <w:rFonts w:ascii="Calibri" w:hAnsi="Calibri"/>
          <w:color w:val="231F20"/>
          <w:sz w:val="17"/>
        </w:rPr>
        <w:t>, Bologna, il Mulino, </w:t>
      </w:r>
      <w:r>
        <w:rPr>
          <w:rFonts w:ascii="Calibri" w:hAnsi="Calibri"/>
          <w:color w:val="231F20"/>
          <w:w w:val="95"/>
          <w:sz w:val="17"/>
        </w:rPr>
        <w:t>1996, pp.</w:t>
      </w:r>
      <w:r>
        <w:rPr>
          <w:rFonts w:ascii="Calibri" w:hAnsi="Calibri"/>
          <w:color w:val="231F20"/>
          <w:spacing w:val="-20"/>
          <w:w w:val="95"/>
          <w:sz w:val="17"/>
        </w:rPr>
        <w:t> </w:t>
      </w:r>
      <w:r>
        <w:rPr>
          <w:rFonts w:ascii="Calibri" w:hAnsi="Calibri"/>
          <w:color w:val="231F20"/>
          <w:w w:val="95"/>
          <w:sz w:val="17"/>
        </w:rPr>
        <w:t>331–347.</w:t>
      </w:r>
    </w:p>
    <w:p>
      <w:pPr>
        <w:spacing w:line="235" w:lineRule="auto" w:before="0"/>
        <w:ind w:left="117" w:right="121" w:firstLine="0"/>
        <w:jc w:val="both"/>
        <w:rPr>
          <w:rFonts w:ascii="Calibri" w:hAnsi="Calibri"/>
          <w:sz w:val="17"/>
        </w:rPr>
      </w:pPr>
      <w:r>
        <w:rPr>
          <w:rFonts w:ascii="Calibri" w:hAnsi="Calibri"/>
          <w:color w:val="231F20"/>
          <w:w w:val="105"/>
          <w:position w:val="6"/>
          <w:sz w:val="10"/>
        </w:rPr>
        <w:t>60 </w:t>
      </w:r>
      <w:r>
        <w:rPr>
          <w:rFonts w:ascii="Calibri" w:hAnsi="Calibri"/>
          <w:color w:val="231F20"/>
          <w:w w:val="105"/>
          <w:sz w:val="17"/>
        </w:rPr>
        <w:t>M. Neocleous, </w:t>
      </w:r>
      <w:r>
        <w:rPr>
          <w:rFonts w:ascii="Calibri" w:hAnsi="Calibri"/>
          <w:i/>
          <w:color w:val="231F20"/>
          <w:w w:val="105"/>
          <w:sz w:val="17"/>
        </w:rPr>
        <w:t>Critique of security</w:t>
      </w:r>
      <w:r>
        <w:rPr>
          <w:rFonts w:ascii="Calibri" w:hAnsi="Calibri"/>
          <w:color w:val="231F20"/>
          <w:w w:val="105"/>
          <w:sz w:val="17"/>
        </w:rPr>
        <w:t>, Edimburgh, Edimburgh University Press, 2008, p. 40. Sul processo</w:t>
      </w:r>
      <w:r>
        <w:rPr>
          <w:rFonts w:ascii="Calibri" w:hAnsi="Calibri"/>
          <w:color w:val="231F20"/>
          <w:spacing w:val="-22"/>
          <w:w w:val="105"/>
          <w:sz w:val="17"/>
        </w:rPr>
        <w:t> </w:t>
      </w:r>
      <w:r>
        <w:rPr>
          <w:rFonts w:ascii="Calibri" w:hAnsi="Calibri"/>
          <w:color w:val="231F20"/>
          <w:w w:val="105"/>
          <w:sz w:val="17"/>
        </w:rPr>
        <w:t>di</w:t>
      </w:r>
      <w:r>
        <w:rPr>
          <w:rFonts w:ascii="Calibri" w:hAnsi="Calibri"/>
          <w:color w:val="231F20"/>
          <w:spacing w:val="-22"/>
          <w:w w:val="105"/>
          <w:sz w:val="17"/>
        </w:rPr>
        <w:t> </w:t>
      </w:r>
      <w:r>
        <w:rPr>
          <w:rFonts w:ascii="Calibri" w:hAnsi="Calibri"/>
          <w:color w:val="231F20"/>
          <w:w w:val="105"/>
          <w:sz w:val="17"/>
        </w:rPr>
        <w:t>“normalizzazione”</w:t>
      </w:r>
      <w:r>
        <w:rPr>
          <w:rFonts w:ascii="Calibri" w:hAnsi="Calibri"/>
          <w:color w:val="231F20"/>
          <w:spacing w:val="-22"/>
          <w:w w:val="105"/>
          <w:sz w:val="17"/>
        </w:rPr>
        <w:t> </w:t>
      </w:r>
      <w:r>
        <w:rPr>
          <w:rFonts w:ascii="Calibri" w:hAnsi="Calibri"/>
          <w:color w:val="231F20"/>
          <w:w w:val="105"/>
          <w:sz w:val="17"/>
        </w:rPr>
        <w:t>del</w:t>
      </w:r>
      <w:r>
        <w:rPr>
          <w:rFonts w:ascii="Calibri" w:hAnsi="Calibri"/>
          <w:color w:val="231F20"/>
          <w:spacing w:val="-22"/>
          <w:w w:val="105"/>
          <w:sz w:val="17"/>
        </w:rPr>
        <w:t> </w:t>
      </w:r>
      <w:r>
        <w:rPr>
          <w:rFonts w:ascii="Calibri" w:hAnsi="Calibri"/>
          <w:color w:val="231F20"/>
          <w:w w:val="105"/>
          <w:sz w:val="17"/>
        </w:rPr>
        <w:t>paradigma</w:t>
      </w:r>
      <w:r>
        <w:rPr>
          <w:rFonts w:ascii="Calibri" w:hAnsi="Calibri"/>
          <w:color w:val="231F20"/>
          <w:spacing w:val="-22"/>
          <w:w w:val="105"/>
          <w:sz w:val="17"/>
        </w:rPr>
        <w:t> </w:t>
      </w:r>
      <w:r>
        <w:rPr>
          <w:rFonts w:ascii="Calibri" w:hAnsi="Calibri"/>
          <w:color w:val="231F20"/>
          <w:w w:val="105"/>
          <w:sz w:val="17"/>
        </w:rPr>
        <w:t>schmittiano</w:t>
      </w:r>
      <w:r>
        <w:rPr>
          <w:rFonts w:ascii="Calibri" w:hAnsi="Calibri"/>
          <w:color w:val="231F20"/>
          <w:spacing w:val="-22"/>
          <w:w w:val="105"/>
          <w:sz w:val="17"/>
        </w:rPr>
        <w:t> </w:t>
      </w:r>
      <w:r>
        <w:rPr>
          <w:rFonts w:ascii="Calibri" w:hAnsi="Calibri"/>
          <w:color w:val="231F20"/>
          <w:w w:val="105"/>
          <w:sz w:val="17"/>
        </w:rPr>
        <w:t>dell’eccezione</w:t>
      </w:r>
      <w:r>
        <w:rPr>
          <w:rFonts w:ascii="Calibri" w:hAnsi="Calibri"/>
          <w:color w:val="231F20"/>
          <w:spacing w:val="-22"/>
          <w:w w:val="105"/>
          <w:sz w:val="17"/>
        </w:rPr>
        <w:t> </w:t>
      </w:r>
      <w:r>
        <w:rPr>
          <w:rFonts w:ascii="Calibri" w:hAnsi="Calibri"/>
          <w:color w:val="231F20"/>
          <w:w w:val="105"/>
          <w:sz w:val="17"/>
        </w:rPr>
        <w:t>che</w:t>
      </w:r>
      <w:r>
        <w:rPr>
          <w:rFonts w:ascii="Calibri" w:hAnsi="Calibri"/>
          <w:color w:val="231F20"/>
          <w:spacing w:val="-22"/>
          <w:w w:val="105"/>
          <w:sz w:val="17"/>
        </w:rPr>
        <w:t> </w:t>
      </w:r>
      <w:r>
        <w:rPr>
          <w:rFonts w:ascii="Calibri" w:hAnsi="Calibri"/>
          <w:color w:val="231F20"/>
          <w:w w:val="105"/>
          <w:sz w:val="17"/>
        </w:rPr>
        <w:t>caratterizza</w:t>
      </w:r>
      <w:r>
        <w:rPr>
          <w:rFonts w:ascii="Calibri" w:hAnsi="Calibri"/>
          <w:color w:val="231F20"/>
          <w:spacing w:val="-22"/>
          <w:w w:val="105"/>
          <w:sz w:val="17"/>
        </w:rPr>
        <w:t> </w:t>
      </w:r>
      <w:r>
        <w:rPr>
          <w:rFonts w:ascii="Calibri" w:hAnsi="Calibri"/>
          <w:color w:val="231F20"/>
          <w:w w:val="105"/>
          <w:sz w:val="17"/>
        </w:rPr>
        <w:t>il</w:t>
      </w:r>
      <w:r>
        <w:rPr>
          <w:rFonts w:ascii="Calibri" w:hAnsi="Calibri"/>
          <w:color w:val="231F20"/>
          <w:spacing w:val="-22"/>
          <w:w w:val="105"/>
          <w:sz w:val="17"/>
        </w:rPr>
        <w:t> </w:t>
      </w:r>
      <w:r>
        <w:rPr>
          <w:rFonts w:ascii="Calibri" w:hAnsi="Calibri"/>
          <w:color w:val="231F20"/>
          <w:w w:val="105"/>
          <w:sz w:val="17"/>
        </w:rPr>
        <w:t>recente dibattito</w:t>
      </w:r>
      <w:r>
        <w:rPr>
          <w:rFonts w:ascii="Calibri" w:hAnsi="Calibri"/>
          <w:color w:val="231F20"/>
          <w:spacing w:val="-3"/>
          <w:w w:val="105"/>
          <w:sz w:val="17"/>
        </w:rPr>
        <w:t> </w:t>
      </w:r>
      <w:r>
        <w:rPr>
          <w:rFonts w:ascii="Calibri" w:hAnsi="Calibri"/>
          <w:color w:val="231F20"/>
          <w:w w:val="105"/>
          <w:sz w:val="17"/>
        </w:rPr>
        <w:t>sul</w:t>
      </w:r>
      <w:r>
        <w:rPr>
          <w:rFonts w:ascii="Calibri" w:hAnsi="Calibri"/>
          <w:color w:val="231F20"/>
          <w:spacing w:val="-3"/>
          <w:w w:val="105"/>
          <w:sz w:val="17"/>
        </w:rPr>
        <w:t> </w:t>
      </w:r>
      <w:r>
        <w:rPr>
          <w:rFonts w:ascii="Calibri" w:hAnsi="Calibri"/>
          <w:color w:val="231F20"/>
          <w:w w:val="105"/>
          <w:sz w:val="17"/>
        </w:rPr>
        <w:t>“new</w:t>
      </w:r>
      <w:r>
        <w:rPr>
          <w:rFonts w:ascii="Calibri" w:hAnsi="Calibri"/>
          <w:color w:val="231F20"/>
          <w:spacing w:val="-3"/>
          <w:w w:val="105"/>
          <w:sz w:val="17"/>
        </w:rPr>
        <w:t> </w:t>
      </w:r>
      <w:r>
        <w:rPr>
          <w:rFonts w:ascii="Calibri" w:hAnsi="Calibri"/>
          <w:color w:val="231F20"/>
          <w:w w:val="105"/>
          <w:sz w:val="17"/>
        </w:rPr>
        <w:t>global</w:t>
      </w:r>
      <w:r>
        <w:rPr>
          <w:rFonts w:ascii="Calibri" w:hAnsi="Calibri"/>
          <w:color w:val="231F20"/>
          <w:spacing w:val="-3"/>
          <w:w w:val="105"/>
          <w:sz w:val="17"/>
        </w:rPr>
        <w:t> </w:t>
      </w:r>
      <w:r>
        <w:rPr>
          <w:rFonts w:ascii="Calibri" w:hAnsi="Calibri"/>
          <w:color w:val="231F20"/>
          <w:w w:val="105"/>
          <w:sz w:val="17"/>
        </w:rPr>
        <w:t>order”</w:t>
      </w:r>
      <w:r>
        <w:rPr>
          <w:rFonts w:ascii="Calibri" w:hAnsi="Calibri"/>
          <w:color w:val="231F20"/>
          <w:spacing w:val="-3"/>
          <w:w w:val="105"/>
          <w:sz w:val="17"/>
        </w:rPr>
        <w:t> </w:t>
      </w:r>
      <w:r>
        <w:rPr>
          <w:rFonts w:ascii="Calibri" w:hAnsi="Calibri"/>
          <w:color w:val="231F20"/>
          <w:w w:val="105"/>
          <w:sz w:val="17"/>
        </w:rPr>
        <w:t>si</w:t>
      </w:r>
      <w:r>
        <w:rPr>
          <w:rFonts w:ascii="Calibri" w:hAnsi="Calibri"/>
          <w:color w:val="231F20"/>
          <w:spacing w:val="-6"/>
          <w:w w:val="105"/>
          <w:sz w:val="17"/>
        </w:rPr>
        <w:t> </w:t>
      </w:r>
      <w:r>
        <w:rPr>
          <w:rFonts w:ascii="Calibri" w:hAnsi="Calibri"/>
          <w:color w:val="231F20"/>
          <w:w w:val="105"/>
          <w:sz w:val="17"/>
        </w:rPr>
        <w:t>veda</w:t>
      </w:r>
      <w:r>
        <w:rPr>
          <w:rFonts w:ascii="Calibri" w:hAnsi="Calibri"/>
          <w:color w:val="231F20"/>
          <w:spacing w:val="-3"/>
          <w:w w:val="105"/>
          <w:sz w:val="17"/>
        </w:rPr>
        <w:t> </w:t>
      </w:r>
      <w:r>
        <w:rPr>
          <w:rFonts w:ascii="Calibri" w:hAnsi="Calibri"/>
          <w:color w:val="231F20"/>
          <w:w w:val="105"/>
          <w:sz w:val="17"/>
        </w:rPr>
        <w:t>almeno</w:t>
      </w:r>
      <w:r>
        <w:rPr>
          <w:rFonts w:ascii="Calibri" w:hAnsi="Calibri"/>
          <w:color w:val="231F20"/>
          <w:spacing w:val="-3"/>
          <w:w w:val="105"/>
          <w:sz w:val="17"/>
        </w:rPr>
        <w:t> </w:t>
      </w:r>
      <w:r>
        <w:rPr>
          <w:rFonts w:ascii="Calibri" w:hAnsi="Calibri"/>
          <w:color w:val="231F20"/>
          <w:w w:val="105"/>
          <w:sz w:val="17"/>
        </w:rPr>
        <w:t>A.</w:t>
      </w:r>
      <w:r>
        <w:rPr>
          <w:rFonts w:ascii="Calibri" w:hAnsi="Calibri"/>
          <w:color w:val="231F20"/>
          <w:spacing w:val="-3"/>
          <w:w w:val="105"/>
          <w:sz w:val="17"/>
        </w:rPr>
        <w:t> </w:t>
      </w:r>
      <w:r>
        <w:rPr>
          <w:rFonts w:ascii="Calibri" w:hAnsi="Calibri"/>
          <w:color w:val="231F20"/>
          <w:w w:val="105"/>
          <w:sz w:val="17"/>
        </w:rPr>
        <w:t>de</w:t>
      </w:r>
      <w:r>
        <w:rPr>
          <w:rFonts w:ascii="Calibri" w:hAnsi="Calibri"/>
          <w:color w:val="231F20"/>
          <w:spacing w:val="-3"/>
          <w:w w:val="105"/>
          <w:sz w:val="17"/>
        </w:rPr>
        <w:t> </w:t>
      </w:r>
      <w:r>
        <w:rPr>
          <w:rFonts w:ascii="Calibri" w:hAnsi="Calibri"/>
          <w:color w:val="231F20"/>
          <w:w w:val="105"/>
          <w:sz w:val="17"/>
        </w:rPr>
        <w:t>Benoist,</w:t>
      </w:r>
      <w:r>
        <w:rPr>
          <w:rFonts w:ascii="Calibri" w:hAnsi="Calibri"/>
          <w:color w:val="231F20"/>
          <w:spacing w:val="-3"/>
          <w:w w:val="105"/>
          <w:sz w:val="17"/>
        </w:rPr>
        <w:t> </w:t>
      </w:r>
      <w:r>
        <w:rPr>
          <w:rFonts w:ascii="Calibri" w:hAnsi="Calibri"/>
          <w:color w:val="231F20"/>
          <w:w w:val="105"/>
          <w:sz w:val="17"/>
        </w:rPr>
        <w:t>“Global</w:t>
      </w:r>
      <w:r>
        <w:rPr>
          <w:rFonts w:ascii="Calibri" w:hAnsi="Calibri"/>
          <w:color w:val="231F20"/>
          <w:spacing w:val="-3"/>
          <w:w w:val="105"/>
          <w:sz w:val="17"/>
        </w:rPr>
        <w:t> </w:t>
      </w:r>
      <w:r>
        <w:rPr>
          <w:rFonts w:ascii="Calibri" w:hAnsi="Calibri"/>
          <w:color w:val="231F20"/>
          <w:w w:val="105"/>
          <w:sz w:val="17"/>
        </w:rPr>
        <w:t>terrorism</w:t>
      </w:r>
      <w:r>
        <w:rPr>
          <w:rFonts w:ascii="Calibri" w:hAnsi="Calibri"/>
          <w:color w:val="231F20"/>
          <w:spacing w:val="-3"/>
          <w:w w:val="105"/>
          <w:sz w:val="17"/>
        </w:rPr>
        <w:t> </w:t>
      </w:r>
      <w:r>
        <w:rPr>
          <w:rFonts w:ascii="Calibri" w:hAnsi="Calibri"/>
          <w:color w:val="231F20"/>
          <w:w w:val="105"/>
          <w:sz w:val="17"/>
        </w:rPr>
        <w:t>and</w:t>
      </w:r>
      <w:r>
        <w:rPr>
          <w:rFonts w:ascii="Calibri" w:hAnsi="Calibri"/>
          <w:color w:val="231F20"/>
          <w:spacing w:val="-3"/>
          <w:w w:val="105"/>
          <w:sz w:val="17"/>
        </w:rPr>
        <w:t> </w:t>
      </w:r>
      <w:r>
        <w:rPr>
          <w:rFonts w:ascii="Calibri" w:hAnsi="Calibri"/>
          <w:color w:val="231F20"/>
          <w:w w:val="105"/>
          <w:sz w:val="17"/>
        </w:rPr>
        <w:t>the</w:t>
      </w:r>
      <w:r>
        <w:rPr>
          <w:rFonts w:ascii="Calibri" w:hAnsi="Calibri"/>
          <w:color w:val="231F20"/>
          <w:spacing w:val="-3"/>
          <w:w w:val="105"/>
          <w:sz w:val="17"/>
        </w:rPr>
        <w:t> </w:t>
      </w:r>
      <w:r>
        <w:rPr>
          <w:rFonts w:ascii="Calibri" w:hAnsi="Calibri"/>
          <w:color w:val="231F20"/>
          <w:w w:val="105"/>
          <w:sz w:val="17"/>
        </w:rPr>
        <w:t>state</w:t>
      </w:r>
      <w:r>
        <w:rPr>
          <w:rFonts w:ascii="Calibri" w:hAnsi="Calibri"/>
          <w:color w:val="231F20"/>
          <w:spacing w:val="-3"/>
          <w:w w:val="105"/>
          <w:sz w:val="17"/>
        </w:rPr>
        <w:t> </w:t>
      </w:r>
      <w:r>
        <w:rPr>
          <w:rFonts w:ascii="Calibri" w:hAnsi="Calibri"/>
          <w:color w:val="231F20"/>
          <w:w w:val="105"/>
          <w:sz w:val="17"/>
        </w:rPr>
        <w:t>of permanent</w:t>
      </w:r>
      <w:r>
        <w:rPr>
          <w:rFonts w:ascii="Calibri" w:hAnsi="Calibri"/>
          <w:color w:val="231F20"/>
          <w:spacing w:val="-17"/>
          <w:w w:val="105"/>
          <w:sz w:val="17"/>
        </w:rPr>
        <w:t> </w:t>
      </w:r>
      <w:r>
        <w:rPr>
          <w:rFonts w:ascii="Calibri" w:hAnsi="Calibri"/>
          <w:color w:val="231F20"/>
          <w:w w:val="105"/>
          <w:sz w:val="17"/>
        </w:rPr>
        <w:t>exception:</w:t>
      </w:r>
      <w:r>
        <w:rPr>
          <w:rFonts w:ascii="Calibri" w:hAnsi="Calibri"/>
          <w:color w:val="231F20"/>
          <w:spacing w:val="-17"/>
          <w:w w:val="105"/>
          <w:sz w:val="17"/>
        </w:rPr>
        <w:t> </w:t>
      </w:r>
      <w:r>
        <w:rPr>
          <w:rFonts w:ascii="Calibri" w:hAnsi="Calibri"/>
          <w:color w:val="231F20"/>
          <w:w w:val="105"/>
          <w:sz w:val="17"/>
        </w:rPr>
        <w:t>the</w:t>
      </w:r>
      <w:r>
        <w:rPr>
          <w:rFonts w:ascii="Calibri" w:hAnsi="Calibri"/>
          <w:color w:val="231F20"/>
          <w:spacing w:val="-17"/>
          <w:w w:val="105"/>
          <w:sz w:val="17"/>
        </w:rPr>
        <w:t> </w:t>
      </w:r>
      <w:r>
        <w:rPr>
          <w:rFonts w:ascii="Calibri" w:hAnsi="Calibri"/>
          <w:color w:val="231F20"/>
          <w:w w:val="105"/>
          <w:sz w:val="17"/>
        </w:rPr>
        <w:t>significance</w:t>
      </w:r>
      <w:r>
        <w:rPr>
          <w:rFonts w:ascii="Calibri" w:hAnsi="Calibri"/>
          <w:color w:val="231F20"/>
          <w:spacing w:val="-17"/>
          <w:w w:val="105"/>
          <w:sz w:val="17"/>
        </w:rPr>
        <w:t> </w:t>
      </w:r>
      <w:r>
        <w:rPr>
          <w:rFonts w:ascii="Calibri" w:hAnsi="Calibri"/>
          <w:color w:val="231F20"/>
          <w:w w:val="105"/>
          <w:sz w:val="17"/>
        </w:rPr>
        <w:t>of</w:t>
      </w:r>
      <w:r>
        <w:rPr>
          <w:rFonts w:ascii="Calibri" w:hAnsi="Calibri"/>
          <w:color w:val="231F20"/>
          <w:spacing w:val="-17"/>
          <w:w w:val="105"/>
          <w:sz w:val="17"/>
        </w:rPr>
        <w:t> </w:t>
      </w:r>
      <w:r>
        <w:rPr>
          <w:rFonts w:ascii="Calibri" w:hAnsi="Calibri"/>
          <w:color w:val="231F20"/>
          <w:w w:val="105"/>
          <w:sz w:val="17"/>
        </w:rPr>
        <w:t>Carl</w:t>
      </w:r>
      <w:r>
        <w:rPr>
          <w:rFonts w:ascii="Calibri" w:hAnsi="Calibri"/>
          <w:color w:val="231F20"/>
          <w:spacing w:val="-17"/>
          <w:w w:val="105"/>
          <w:sz w:val="17"/>
        </w:rPr>
        <w:t> </w:t>
      </w:r>
      <w:r>
        <w:rPr>
          <w:rFonts w:ascii="Calibri" w:hAnsi="Calibri"/>
          <w:color w:val="231F20"/>
          <w:w w:val="105"/>
          <w:sz w:val="17"/>
        </w:rPr>
        <w:t>Schmitt’s</w:t>
      </w:r>
      <w:r>
        <w:rPr>
          <w:rFonts w:ascii="Calibri" w:hAnsi="Calibri"/>
          <w:color w:val="231F20"/>
          <w:spacing w:val="-17"/>
          <w:w w:val="105"/>
          <w:sz w:val="17"/>
        </w:rPr>
        <w:t> </w:t>
      </w:r>
      <w:r>
        <w:rPr>
          <w:rFonts w:ascii="Calibri" w:hAnsi="Calibri"/>
          <w:color w:val="231F20"/>
          <w:w w:val="105"/>
          <w:sz w:val="17"/>
        </w:rPr>
        <w:t>thought</w:t>
      </w:r>
      <w:r>
        <w:rPr>
          <w:rFonts w:ascii="Calibri" w:hAnsi="Calibri"/>
          <w:color w:val="231F20"/>
          <w:spacing w:val="-17"/>
          <w:w w:val="105"/>
          <w:sz w:val="17"/>
        </w:rPr>
        <w:t> </w:t>
      </w:r>
      <w:r>
        <w:rPr>
          <w:rFonts w:ascii="Calibri" w:hAnsi="Calibri"/>
          <w:color w:val="231F20"/>
          <w:w w:val="105"/>
          <w:sz w:val="17"/>
        </w:rPr>
        <w:t>today”,</w:t>
      </w:r>
      <w:r>
        <w:rPr>
          <w:rFonts w:ascii="Calibri" w:hAnsi="Calibri"/>
          <w:color w:val="231F20"/>
          <w:spacing w:val="-17"/>
          <w:w w:val="105"/>
          <w:sz w:val="17"/>
        </w:rPr>
        <w:t> </w:t>
      </w:r>
      <w:r>
        <w:rPr>
          <w:rFonts w:ascii="Calibri" w:hAnsi="Calibri"/>
          <w:i/>
          <w:color w:val="231F20"/>
          <w:w w:val="105"/>
          <w:sz w:val="17"/>
        </w:rPr>
        <w:t>The</w:t>
      </w:r>
      <w:r>
        <w:rPr>
          <w:rFonts w:ascii="Calibri" w:hAnsi="Calibri"/>
          <w:i/>
          <w:color w:val="231F20"/>
          <w:spacing w:val="-18"/>
          <w:w w:val="105"/>
          <w:sz w:val="17"/>
        </w:rPr>
        <w:t> </w:t>
      </w:r>
      <w:r>
        <w:rPr>
          <w:rFonts w:ascii="Calibri" w:hAnsi="Calibri"/>
          <w:i/>
          <w:color w:val="231F20"/>
          <w:w w:val="105"/>
          <w:sz w:val="17"/>
        </w:rPr>
        <w:t>International</w:t>
      </w:r>
      <w:r>
        <w:rPr>
          <w:rFonts w:ascii="Calibri" w:hAnsi="Calibri"/>
          <w:i/>
          <w:color w:val="231F20"/>
          <w:spacing w:val="-18"/>
          <w:w w:val="105"/>
          <w:sz w:val="17"/>
        </w:rPr>
        <w:t> </w:t>
      </w:r>
      <w:r>
        <w:rPr>
          <w:rFonts w:ascii="Calibri" w:hAnsi="Calibri"/>
          <w:i/>
          <w:color w:val="231F20"/>
          <w:w w:val="105"/>
          <w:sz w:val="17"/>
        </w:rPr>
        <w:t>Political </w:t>
      </w:r>
      <w:r>
        <w:rPr>
          <w:rFonts w:ascii="Calibri" w:hAnsi="Calibri"/>
          <w:i/>
          <w:color w:val="231F20"/>
          <w:w w:val="105"/>
          <w:sz w:val="17"/>
        </w:rPr>
        <w:t>Thought of Carl Schmitt</w:t>
      </w:r>
      <w:r>
        <w:rPr>
          <w:rFonts w:ascii="Calibri" w:hAnsi="Calibri"/>
          <w:color w:val="231F20"/>
          <w:w w:val="105"/>
          <w:sz w:val="17"/>
        </w:rPr>
        <w:t>, pp. 73–95; J. Monod, </w:t>
      </w:r>
      <w:r>
        <w:rPr>
          <w:rFonts w:ascii="Calibri" w:hAnsi="Calibri"/>
          <w:i/>
          <w:color w:val="231F20"/>
          <w:w w:val="105"/>
          <w:sz w:val="17"/>
        </w:rPr>
        <w:t>Penser </w:t>
      </w:r>
      <w:r>
        <w:rPr>
          <w:rFonts w:ascii="Calibri" w:hAnsi="Calibri"/>
          <w:i/>
          <w:color w:val="231F20"/>
          <w:spacing w:val="-4"/>
          <w:w w:val="105"/>
          <w:sz w:val="17"/>
        </w:rPr>
        <w:t>L’ennemi, </w:t>
      </w:r>
      <w:r>
        <w:rPr>
          <w:rFonts w:ascii="Calibri" w:hAnsi="Calibri"/>
          <w:i/>
          <w:color w:val="231F20"/>
          <w:w w:val="105"/>
          <w:sz w:val="17"/>
        </w:rPr>
        <w:t>affronter l’exception. Réflexions </w:t>
      </w:r>
      <w:r>
        <w:rPr>
          <w:rFonts w:ascii="Calibri" w:hAnsi="Calibri"/>
          <w:i/>
          <w:color w:val="231F20"/>
          <w:w w:val="105"/>
          <w:sz w:val="17"/>
        </w:rPr>
        <w:t>critiques</w:t>
      </w:r>
      <w:r>
        <w:rPr>
          <w:rFonts w:ascii="Calibri" w:hAnsi="Calibri"/>
          <w:i/>
          <w:color w:val="231F20"/>
          <w:spacing w:val="-29"/>
          <w:w w:val="105"/>
          <w:sz w:val="17"/>
        </w:rPr>
        <w:t> </w:t>
      </w:r>
      <w:r>
        <w:rPr>
          <w:rFonts w:ascii="Calibri" w:hAnsi="Calibri"/>
          <w:i/>
          <w:color w:val="231F20"/>
          <w:w w:val="105"/>
          <w:sz w:val="17"/>
        </w:rPr>
        <w:t>sur</w:t>
      </w:r>
      <w:r>
        <w:rPr>
          <w:rFonts w:ascii="Calibri" w:hAnsi="Calibri"/>
          <w:i/>
          <w:color w:val="231F20"/>
          <w:spacing w:val="-29"/>
          <w:w w:val="105"/>
          <w:sz w:val="17"/>
        </w:rPr>
        <w:t> </w:t>
      </w:r>
      <w:r>
        <w:rPr>
          <w:rFonts w:ascii="Calibri" w:hAnsi="Calibri"/>
          <w:i/>
          <w:color w:val="231F20"/>
          <w:w w:val="105"/>
          <w:sz w:val="17"/>
        </w:rPr>
        <w:t>l’actualité</w:t>
      </w:r>
      <w:r>
        <w:rPr>
          <w:rFonts w:ascii="Calibri" w:hAnsi="Calibri"/>
          <w:i/>
          <w:color w:val="231F20"/>
          <w:spacing w:val="-29"/>
          <w:w w:val="105"/>
          <w:sz w:val="17"/>
        </w:rPr>
        <w:t> </w:t>
      </w:r>
      <w:r>
        <w:rPr>
          <w:rFonts w:ascii="Calibri" w:hAnsi="Calibri"/>
          <w:i/>
          <w:color w:val="231F20"/>
          <w:w w:val="105"/>
          <w:sz w:val="17"/>
        </w:rPr>
        <w:t>de</w:t>
      </w:r>
      <w:r>
        <w:rPr>
          <w:rFonts w:ascii="Calibri" w:hAnsi="Calibri"/>
          <w:i/>
          <w:color w:val="231F20"/>
          <w:spacing w:val="-29"/>
          <w:w w:val="105"/>
          <w:sz w:val="17"/>
        </w:rPr>
        <w:t> </w:t>
      </w:r>
      <w:r>
        <w:rPr>
          <w:rFonts w:ascii="Calibri" w:hAnsi="Calibri"/>
          <w:i/>
          <w:color w:val="231F20"/>
          <w:w w:val="105"/>
          <w:sz w:val="17"/>
        </w:rPr>
        <w:t>Carl</w:t>
      </w:r>
      <w:r>
        <w:rPr>
          <w:rFonts w:ascii="Calibri" w:hAnsi="Calibri"/>
          <w:i/>
          <w:color w:val="231F20"/>
          <w:spacing w:val="-29"/>
          <w:w w:val="105"/>
          <w:sz w:val="17"/>
        </w:rPr>
        <w:t> </w:t>
      </w:r>
      <w:r>
        <w:rPr>
          <w:rFonts w:ascii="Calibri" w:hAnsi="Calibri"/>
          <w:i/>
          <w:color w:val="231F20"/>
          <w:w w:val="105"/>
          <w:sz w:val="17"/>
        </w:rPr>
        <w:t>Schmitt</w:t>
      </w:r>
      <w:r>
        <w:rPr>
          <w:rFonts w:ascii="Calibri" w:hAnsi="Calibri"/>
          <w:color w:val="231F20"/>
          <w:w w:val="105"/>
          <w:sz w:val="17"/>
        </w:rPr>
        <w:t>,</w:t>
      </w:r>
      <w:r>
        <w:rPr>
          <w:rFonts w:ascii="Calibri" w:hAnsi="Calibri"/>
          <w:color w:val="231F20"/>
          <w:spacing w:val="-28"/>
          <w:w w:val="105"/>
          <w:sz w:val="17"/>
        </w:rPr>
        <w:t> </w:t>
      </w:r>
      <w:r>
        <w:rPr>
          <w:rFonts w:ascii="Calibri" w:hAnsi="Calibri"/>
          <w:color w:val="231F20"/>
          <w:w w:val="105"/>
          <w:sz w:val="17"/>
        </w:rPr>
        <w:t>Paris,</w:t>
      </w:r>
      <w:r>
        <w:rPr>
          <w:rFonts w:ascii="Calibri" w:hAnsi="Calibri"/>
          <w:color w:val="231F20"/>
          <w:spacing w:val="-28"/>
          <w:w w:val="105"/>
          <w:sz w:val="17"/>
        </w:rPr>
        <w:t> </w:t>
      </w:r>
      <w:r>
        <w:rPr>
          <w:rFonts w:ascii="Calibri" w:hAnsi="Calibri"/>
          <w:color w:val="231F20"/>
          <w:w w:val="105"/>
          <w:sz w:val="17"/>
        </w:rPr>
        <w:t>La</w:t>
      </w:r>
      <w:r>
        <w:rPr>
          <w:rFonts w:ascii="Calibri" w:hAnsi="Calibri"/>
          <w:color w:val="231F20"/>
          <w:spacing w:val="-28"/>
          <w:w w:val="105"/>
          <w:sz w:val="17"/>
        </w:rPr>
        <w:t> </w:t>
      </w:r>
      <w:r>
        <w:rPr>
          <w:rFonts w:ascii="Calibri" w:hAnsi="Calibri"/>
          <w:color w:val="231F20"/>
          <w:w w:val="105"/>
          <w:sz w:val="17"/>
        </w:rPr>
        <w:t>Découverte,</w:t>
      </w:r>
      <w:r>
        <w:rPr>
          <w:rFonts w:ascii="Calibri" w:hAnsi="Calibri"/>
          <w:color w:val="231F20"/>
          <w:spacing w:val="-28"/>
          <w:w w:val="105"/>
          <w:sz w:val="17"/>
        </w:rPr>
        <w:t> </w:t>
      </w:r>
      <w:r>
        <w:rPr>
          <w:rFonts w:ascii="Calibri" w:hAnsi="Calibri"/>
          <w:color w:val="231F20"/>
          <w:w w:val="105"/>
          <w:sz w:val="17"/>
        </w:rPr>
        <w:t>2006,</w:t>
      </w:r>
      <w:r>
        <w:rPr>
          <w:rFonts w:ascii="Calibri" w:hAnsi="Calibri"/>
          <w:color w:val="231F20"/>
          <w:spacing w:val="-28"/>
          <w:w w:val="105"/>
          <w:sz w:val="17"/>
        </w:rPr>
        <w:t> </w:t>
      </w:r>
      <w:r>
        <w:rPr>
          <w:rFonts w:ascii="Calibri" w:hAnsi="Calibri"/>
          <w:color w:val="231F20"/>
          <w:w w:val="105"/>
          <w:sz w:val="17"/>
        </w:rPr>
        <w:t>pp.</w:t>
      </w:r>
      <w:r>
        <w:rPr>
          <w:rFonts w:ascii="Calibri" w:hAnsi="Calibri"/>
          <w:color w:val="231F20"/>
          <w:spacing w:val="-28"/>
          <w:w w:val="105"/>
          <w:sz w:val="17"/>
        </w:rPr>
        <w:t> </w:t>
      </w:r>
      <w:r>
        <w:rPr>
          <w:rFonts w:ascii="Calibri" w:hAnsi="Calibri"/>
          <w:color w:val="231F20"/>
          <w:w w:val="105"/>
          <w:sz w:val="17"/>
        </w:rPr>
        <w:t>71–120.</w:t>
      </w:r>
    </w:p>
    <w:p>
      <w:pPr>
        <w:spacing w:after="0" w:line="235" w:lineRule="auto"/>
        <w:jc w:val="both"/>
        <w:rPr>
          <w:rFonts w:ascii="Calibri" w:hAnsi="Calibri"/>
          <w:sz w:val="17"/>
        </w:rPr>
        <w:sectPr>
          <w:type w:val="continuous"/>
          <w:pgSz w:w="9640" w:h="13890"/>
          <w:pgMar w:top="0" w:bottom="0" w:left="1300" w:right="1180"/>
        </w:sectPr>
      </w:pPr>
    </w:p>
    <w:p>
      <w:pPr>
        <w:pStyle w:val="BodyText"/>
        <w:spacing w:line="247" w:lineRule="auto" w:before="107"/>
        <w:ind w:left="103" w:right="115"/>
        <w:jc w:val="both"/>
        <w:rPr>
          <w:sz w:val="12"/>
        </w:rPr>
      </w:pPr>
      <w:r>
        <w:rPr>
          <w:color w:val="231F20"/>
          <w:w w:val="105"/>
        </w:rPr>
        <w:t>“la</w:t>
      </w:r>
      <w:r>
        <w:rPr>
          <w:color w:val="231F20"/>
          <w:spacing w:val="-10"/>
          <w:w w:val="105"/>
        </w:rPr>
        <w:t> </w:t>
      </w:r>
      <w:r>
        <w:rPr>
          <w:color w:val="231F20"/>
          <w:w w:val="105"/>
        </w:rPr>
        <w:t>coincidenza</w:t>
      </w:r>
      <w:r>
        <w:rPr>
          <w:color w:val="231F20"/>
          <w:spacing w:val="-10"/>
          <w:w w:val="105"/>
        </w:rPr>
        <w:t> </w:t>
      </w:r>
      <w:r>
        <w:rPr>
          <w:color w:val="231F20"/>
          <w:w w:val="105"/>
        </w:rPr>
        <w:t>dell’elemento</w:t>
      </w:r>
      <w:r>
        <w:rPr>
          <w:color w:val="231F20"/>
          <w:spacing w:val="-10"/>
          <w:w w:val="105"/>
        </w:rPr>
        <w:t> </w:t>
      </w:r>
      <w:r>
        <w:rPr>
          <w:color w:val="231F20"/>
          <w:w w:val="105"/>
        </w:rPr>
        <w:t>etico</w:t>
      </w:r>
      <w:r>
        <w:rPr>
          <w:color w:val="231F20"/>
          <w:spacing w:val="-10"/>
          <w:w w:val="105"/>
        </w:rPr>
        <w:t> </w:t>
      </w:r>
      <w:r>
        <w:rPr>
          <w:color w:val="231F20"/>
          <w:w w:val="105"/>
        </w:rPr>
        <w:t>e</w:t>
      </w:r>
      <w:r>
        <w:rPr>
          <w:color w:val="231F20"/>
          <w:spacing w:val="-10"/>
          <w:w w:val="105"/>
        </w:rPr>
        <w:t> </w:t>
      </w:r>
      <w:r>
        <w:rPr>
          <w:color w:val="231F20"/>
          <w:w w:val="105"/>
        </w:rPr>
        <w:t>di</w:t>
      </w:r>
      <w:r>
        <w:rPr>
          <w:color w:val="231F20"/>
          <w:spacing w:val="-10"/>
          <w:w w:val="105"/>
        </w:rPr>
        <w:t> </w:t>
      </w:r>
      <w:r>
        <w:rPr>
          <w:color w:val="231F20"/>
          <w:w w:val="105"/>
        </w:rPr>
        <w:t>quello</w:t>
      </w:r>
      <w:r>
        <w:rPr>
          <w:color w:val="231F20"/>
          <w:spacing w:val="-10"/>
          <w:w w:val="105"/>
        </w:rPr>
        <w:t> </w:t>
      </w:r>
      <w:r>
        <w:rPr>
          <w:color w:val="231F20"/>
          <w:w w:val="105"/>
        </w:rPr>
        <w:t>giuridico</w:t>
      </w:r>
      <w:r>
        <w:rPr>
          <w:color w:val="231F20"/>
          <w:spacing w:val="-10"/>
          <w:w w:val="105"/>
        </w:rPr>
        <w:t> </w:t>
      </w:r>
      <w:r>
        <w:rPr>
          <w:color w:val="231F20"/>
          <w:w w:val="105"/>
        </w:rPr>
        <w:t>assunti</w:t>
      </w:r>
      <w:r>
        <w:rPr>
          <w:color w:val="231F20"/>
          <w:spacing w:val="-10"/>
          <w:w w:val="105"/>
        </w:rPr>
        <w:t> </w:t>
      </w:r>
      <w:r>
        <w:rPr>
          <w:color w:val="231F20"/>
          <w:w w:val="105"/>
        </w:rPr>
        <w:t>nella</w:t>
      </w:r>
      <w:r>
        <w:rPr>
          <w:color w:val="231F20"/>
          <w:spacing w:val="-10"/>
          <w:w w:val="105"/>
        </w:rPr>
        <w:t> </w:t>
      </w:r>
      <w:r>
        <w:rPr>
          <w:color w:val="231F20"/>
          <w:w w:val="105"/>
        </w:rPr>
        <w:t>loro universalità”</w:t>
      </w:r>
      <w:r>
        <w:rPr>
          <w:color w:val="231F20"/>
          <w:w w:val="105"/>
          <w:position w:val="7"/>
          <w:sz w:val="12"/>
        </w:rPr>
        <w:t>61</w:t>
      </w:r>
    </w:p>
    <w:p>
      <w:pPr>
        <w:pStyle w:val="BodyText"/>
        <w:spacing w:before="5"/>
        <w:rPr>
          <w:sz w:val="24"/>
        </w:rPr>
      </w:pPr>
    </w:p>
    <w:p>
      <w:pPr>
        <w:spacing w:before="1"/>
        <w:ind w:left="103" w:right="0" w:firstLine="0"/>
        <w:jc w:val="both"/>
        <w:rPr>
          <w:rFonts w:ascii="Arial" w:hAnsi="Arial"/>
          <w:i/>
          <w:sz w:val="21"/>
        </w:rPr>
      </w:pPr>
      <w:r>
        <w:rPr>
          <w:rFonts w:ascii="Arial" w:hAnsi="Arial"/>
          <w:i/>
          <w:color w:val="231F20"/>
          <w:w w:val="105"/>
          <w:sz w:val="21"/>
        </w:rPr>
        <w:t>Solidarietà postnazionale: un’agenda per il nuovo secolo</w:t>
      </w:r>
    </w:p>
    <w:p>
      <w:pPr>
        <w:pStyle w:val="BodyText"/>
        <w:rPr>
          <w:rFonts w:ascii="Arial"/>
          <w:i/>
          <w:sz w:val="20"/>
        </w:rPr>
      </w:pPr>
    </w:p>
    <w:p>
      <w:pPr>
        <w:pStyle w:val="BodyText"/>
        <w:spacing w:line="247" w:lineRule="auto" w:before="172"/>
        <w:ind w:left="103" w:right="113"/>
        <w:jc w:val="both"/>
      </w:pPr>
      <w:r>
        <w:rPr>
          <w:color w:val="231F20"/>
          <w:w w:val="105"/>
        </w:rPr>
        <w:t>Molto ci sarebbe da dire su una forma di “neorealismo” politico che in nome</w:t>
      </w:r>
      <w:r>
        <w:rPr>
          <w:color w:val="231F20"/>
          <w:spacing w:val="-53"/>
          <w:w w:val="105"/>
        </w:rPr>
        <w:t> </w:t>
      </w:r>
      <w:r>
        <w:rPr>
          <w:color w:val="231F20"/>
          <w:w w:val="105"/>
        </w:rPr>
        <w:t>del</w:t>
      </w:r>
      <w:r>
        <w:rPr>
          <w:color w:val="231F20"/>
          <w:spacing w:val="-53"/>
          <w:w w:val="105"/>
        </w:rPr>
        <w:t> </w:t>
      </w:r>
      <w:r>
        <w:rPr>
          <w:color w:val="231F20"/>
          <w:w w:val="105"/>
        </w:rPr>
        <w:t>condivisibile</w:t>
      </w:r>
      <w:r>
        <w:rPr>
          <w:color w:val="231F20"/>
          <w:spacing w:val="-53"/>
          <w:w w:val="105"/>
        </w:rPr>
        <w:t> </w:t>
      </w:r>
      <w:r>
        <w:rPr>
          <w:color w:val="231F20"/>
          <w:w w:val="105"/>
        </w:rPr>
        <w:t>rifiuto</w:t>
      </w:r>
      <w:r>
        <w:rPr>
          <w:color w:val="231F20"/>
          <w:spacing w:val="-53"/>
          <w:w w:val="105"/>
        </w:rPr>
        <w:t> </w:t>
      </w:r>
      <w:r>
        <w:rPr>
          <w:color w:val="231F20"/>
          <w:w w:val="105"/>
        </w:rPr>
        <w:t>di</w:t>
      </w:r>
      <w:r>
        <w:rPr>
          <w:color w:val="231F20"/>
          <w:spacing w:val="-53"/>
          <w:w w:val="105"/>
        </w:rPr>
        <w:t> </w:t>
      </w:r>
      <w:r>
        <w:rPr>
          <w:color w:val="231F20"/>
          <w:w w:val="105"/>
        </w:rPr>
        <w:t>ogni</w:t>
      </w:r>
      <w:r>
        <w:rPr>
          <w:color w:val="231F20"/>
          <w:spacing w:val="-53"/>
          <w:w w:val="105"/>
        </w:rPr>
        <w:t> </w:t>
      </w:r>
      <w:r>
        <w:rPr>
          <w:color w:val="231F20"/>
          <w:w w:val="105"/>
        </w:rPr>
        <w:t>strumentale</w:t>
      </w:r>
      <w:r>
        <w:rPr>
          <w:color w:val="231F20"/>
          <w:spacing w:val="-53"/>
          <w:w w:val="105"/>
        </w:rPr>
        <w:t> </w:t>
      </w:r>
      <w:r>
        <w:rPr>
          <w:color w:val="231F20"/>
          <w:spacing w:val="-3"/>
          <w:w w:val="105"/>
        </w:rPr>
        <w:t>retorica</w:t>
      </w:r>
      <w:r>
        <w:rPr>
          <w:color w:val="231F20"/>
          <w:spacing w:val="-53"/>
          <w:w w:val="105"/>
        </w:rPr>
        <w:t> </w:t>
      </w:r>
      <w:r>
        <w:rPr>
          <w:color w:val="231F20"/>
          <w:w w:val="105"/>
        </w:rPr>
        <w:t>umanitaria</w:t>
      </w:r>
      <w:r>
        <w:rPr>
          <w:color w:val="231F20"/>
          <w:spacing w:val="-53"/>
          <w:w w:val="105"/>
        </w:rPr>
        <w:t> </w:t>
      </w:r>
      <w:r>
        <w:rPr>
          <w:color w:val="231F20"/>
          <w:spacing w:val="-2"/>
          <w:w w:val="105"/>
        </w:rPr>
        <w:t>sembra </w:t>
      </w:r>
      <w:r>
        <w:rPr>
          <w:color w:val="231F20"/>
          <w:w w:val="105"/>
        </w:rPr>
        <w:t>voler</w:t>
      </w:r>
      <w:r>
        <w:rPr>
          <w:color w:val="231F20"/>
          <w:spacing w:val="-29"/>
          <w:w w:val="105"/>
        </w:rPr>
        <w:t> </w:t>
      </w:r>
      <w:r>
        <w:rPr>
          <w:color w:val="231F20"/>
          <w:w w:val="105"/>
        </w:rPr>
        <w:t>chiudere</w:t>
      </w:r>
      <w:r>
        <w:rPr>
          <w:color w:val="231F20"/>
          <w:spacing w:val="-29"/>
          <w:w w:val="105"/>
        </w:rPr>
        <w:t> </w:t>
      </w:r>
      <w:r>
        <w:rPr>
          <w:color w:val="231F20"/>
          <w:w w:val="105"/>
        </w:rPr>
        <w:t>la</w:t>
      </w:r>
      <w:r>
        <w:rPr>
          <w:color w:val="231F20"/>
          <w:spacing w:val="-29"/>
          <w:w w:val="105"/>
        </w:rPr>
        <w:t> </w:t>
      </w:r>
      <w:r>
        <w:rPr>
          <w:color w:val="231F20"/>
          <w:w w:val="105"/>
        </w:rPr>
        <w:t>porta</w:t>
      </w:r>
      <w:r>
        <w:rPr>
          <w:color w:val="231F20"/>
          <w:spacing w:val="-29"/>
          <w:w w:val="105"/>
        </w:rPr>
        <w:t> </w:t>
      </w:r>
      <w:r>
        <w:rPr>
          <w:color w:val="231F20"/>
          <w:w w:val="105"/>
        </w:rPr>
        <w:t>alla</w:t>
      </w:r>
      <w:r>
        <w:rPr>
          <w:color w:val="231F20"/>
          <w:spacing w:val="-29"/>
          <w:w w:val="105"/>
        </w:rPr>
        <w:t> </w:t>
      </w:r>
      <w:r>
        <w:rPr>
          <w:color w:val="231F20"/>
          <w:w w:val="105"/>
        </w:rPr>
        <w:t>possibilità</w:t>
      </w:r>
      <w:r>
        <w:rPr>
          <w:color w:val="231F20"/>
          <w:spacing w:val="-29"/>
          <w:w w:val="105"/>
        </w:rPr>
        <w:t> </w:t>
      </w:r>
      <w:r>
        <w:rPr>
          <w:color w:val="231F20"/>
          <w:w w:val="105"/>
        </w:rPr>
        <w:t>stessa</w:t>
      </w:r>
      <w:r>
        <w:rPr>
          <w:color w:val="231F20"/>
          <w:spacing w:val="-29"/>
          <w:w w:val="105"/>
        </w:rPr>
        <w:t> </w:t>
      </w:r>
      <w:r>
        <w:rPr>
          <w:color w:val="231F20"/>
          <w:w w:val="105"/>
        </w:rPr>
        <w:t>di</w:t>
      </w:r>
      <w:r>
        <w:rPr>
          <w:color w:val="231F20"/>
          <w:spacing w:val="-29"/>
          <w:w w:val="105"/>
        </w:rPr>
        <w:t> </w:t>
      </w:r>
      <w:r>
        <w:rPr>
          <w:color w:val="231F20"/>
          <w:w w:val="105"/>
        </w:rPr>
        <w:t>una</w:t>
      </w:r>
      <w:r>
        <w:rPr>
          <w:color w:val="231F20"/>
          <w:spacing w:val="-29"/>
          <w:w w:val="105"/>
        </w:rPr>
        <w:t> </w:t>
      </w:r>
      <w:r>
        <w:rPr>
          <w:color w:val="231F20"/>
          <w:w w:val="105"/>
        </w:rPr>
        <w:t>ridiscussione</w:t>
      </w:r>
      <w:r>
        <w:rPr>
          <w:color w:val="231F20"/>
          <w:spacing w:val="-29"/>
          <w:w w:val="105"/>
        </w:rPr>
        <w:t> </w:t>
      </w:r>
      <w:r>
        <w:rPr>
          <w:color w:val="231F20"/>
          <w:w w:val="105"/>
        </w:rPr>
        <w:t>delle</w:t>
      </w:r>
      <w:r>
        <w:rPr>
          <w:color w:val="231F20"/>
          <w:spacing w:val="-29"/>
          <w:w w:val="105"/>
        </w:rPr>
        <w:t> </w:t>
      </w:r>
      <w:r>
        <w:rPr>
          <w:color w:val="231F20"/>
          <w:w w:val="105"/>
        </w:rPr>
        <w:t>basi morali</w:t>
      </w:r>
      <w:r>
        <w:rPr>
          <w:color w:val="231F20"/>
          <w:spacing w:val="-36"/>
          <w:w w:val="105"/>
        </w:rPr>
        <w:t> </w:t>
      </w:r>
      <w:r>
        <w:rPr>
          <w:color w:val="231F20"/>
          <w:w w:val="105"/>
        </w:rPr>
        <w:t>dello</w:t>
      </w:r>
      <w:r>
        <w:rPr>
          <w:color w:val="231F20"/>
          <w:spacing w:val="-36"/>
          <w:w w:val="105"/>
        </w:rPr>
        <w:t> </w:t>
      </w:r>
      <w:r>
        <w:rPr>
          <w:color w:val="231F20"/>
          <w:w w:val="105"/>
        </w:rPr>
        <w:t>spazio</w:t>
      </w:r>
      <w:r>
        <w:rPr>
          <w:color w:val="231F20"/>
          <w:spacing w:val="-36"/>
          <w:w w:val="105"/>
        </w:rPr>
        <w:t> </w:t>
      </w:r>
      <w:r>
        <w:rPr>
          <w:color w:val="231F20"/>
          <w:w w:val="105"/>
        </w:rPr>
        <w:t>delle</w:t>
      </w:r>
      <w:r>
        <w:rPr>
          <w:color w:val="231F20"/>
          <w:spacing w:val="-36"/>
          <w:w w:val="105"/>
        </w:rPr>
        <w:t> </w:t>
      </w:r>
      <w:r>
        <w:rPr>
          <w:color w:val="231F20"/>
          <w:w w:val="105"/>
        </w:rPr>
        <w:t>relazioni</w:t>
      </w:r>
      <w:r>
        <w:rPr>
          <w:color w:val="231F20"/>
          <w:spacing w:val="-36"/>
          <w:w w:val="105"/>
        </w:rPr>
        <w:t> </w:t>
      </w:r>
      <w:r>
        <w:rPr>
          <w:color w:val="231F20"/>
          <w:w w:val="105"/>
        </w:rPr>
        <w:t>internazionali.</w:t>
      </w:r>
      <w:r>
        <w:rPr>
          <w:color w:val="231F20"/>
          <w:spacing w:val="-36"/>
          <w:w w:val="105"/>
        </w:rPr>
        <w:t> </w:t>
      </w:r>
      <w:r>
        <w:rPr>
          <w:color w:val="231F20"/>
          <w:w w:val="105"/>
        </w:rPr>
        <w:t>E</w:t>
      </w:r>
      <w:r>
        <w:rPr>
          <w:color w:val="231F20"/>
          <w:spacing w:val="-36"/>
          <w:w w:val="105"/>
        </w:rPr>
        <w:t> </w:t>
      </w:r>
      <w:r>
        <w:rPr>
          <w:color w:val="231F20"/>
          <w:w w:val="105"/>
        </w:rPr>
        <w:t>molto</w:t>
      </w:r>
      <w:r>
        <w:rPr>
          <w:color w:val="231F20"/>
          <w:spacing w:val="-36"/>
          <w:w w:val="105"/>
        </w:rPr>
        <w:t> </w:t>
      </w:r>
      <w:r>
        <w:rPr>
          <w:color w:val="231F20"/>
          <w:w w:val="105"/>
        </w:rPr>
        <w:t>ci</w:t>
      </w:r>
      <w:r>
        <w:rPr>
          <w:color w:val="231F20"/>
          <w:spacing w:val="-36"/>
          <w:w w:val="105"/>
        </w:rPr>
        <w:t> </w:t>
      </w:r>
      <w:r>
        <w:rPr>
          <w:color w:val="231F20"/>
          <w:w w:val="105"/>
        </w:rPr>
        <w:t>sarebbe</w:t>
      </w:r>
      <w:r>
        <w:rPr>
          <w:color w:val="231F20"/>
          <w:spacing w:val="-36"/>
          <w:w w:val="105"/>
        </w:rPr>
        <w:t> </w:t>
      </w:r>
      <w:r>
        <w:rPr>
          <w:color w:val="231F20"/>
          <w:w w:val="105"/>
        </w:rPr>
        <w:t>da</w:t>
      </w:r>
      <w:r>
        <w:rPr>
          <w:color w:val="231F20"/>
          <w:spacing w:val="-36"/>
          <w:w w:val="105"/>
        </w:rPr>
        <w:t> </w:t>
      </w:r>
      <w:r>
        <w:rPr>
          <w:color w:val="231F20"/>
          <w:w w:val="105"/>
        </w:rPr>
        <w:t>dire, </w:t>
      </w:r>
      <w:r>
        <w:rPr>
          <w:color w:val="231F20"/>
        </w:rPr>
        <w:t>soprattutto,</w:t>
      </w:r>
      <w:r>
        <w:rPr>
          <w:color w:val="231F20"/>
          <w:spacing w:val="-22"/>
        </w:rPr>
        <w:t> </w:t>
      </w:r>
      <w:r>
        <w:rPr>
          <w:color w:val="231F20"/>
        </w:rPr>
        <w:t>sulle</w:t>
      </w:r>
      <w:r>
        <w:rPr>
          <w:color w:val="231F20"/>
          <w:spacing w:val="-22"/>
        </w:rPr>
        <w:t> </w:t>
      </w:r>
      <w:r>
        <w:rPr>
          <w:color w:val="231F20"/>
        </w:rPr>
        <w:t>intollerabili</w:t>
      </w:r>
      <w:r>
        <w:rPr>
          <w:color w:val="231F20"/>
          <w:spacing w:val="-22"/>
        </w:rPr>
        <w:t> </w:t>
      </w:r>
      <w:r>
        <w:rPr>
          <w:color w:val="231F20"/>
        </w:rPr>
        <w:t>semplificazioni</w:t>
      </w:r>
      <w:r>
        <w:rPr>
          <w:color w:val="231F20"/>
          <w:spacing w:val="-22"/>
        </w:rPr>
        <w:t> </w:t>
      </w:r>
      <w:r>
        <w:rPr>
          <w:color w:val="231F20"/>
        </w:rPr>
        <w:t>ermeneutiche</w:t>
      </w:r>
      <w:r>
        <w:rPr>
          <w:color w:val="231F20"/>
          <w:spacing w:val="-22"/>
        </w:rPr>
        <w:t> </w:t>
      </w:r>
      <w:r>
        <w:rPr>
          <w:color w:val="231F20"/>
          <w:spacing w:val="-3"/>
        </w:rPr>
        <w:t>presenti</w:t>
      </w:r>
      <w:r>
        <w:rPr>
          <w:color w:val="231F20"/>
          <w:spacing w:val="-22"/>
        </w:rPr>
        <w:t> </w:t>
      </w:r>
      <w:r>
        <w:rPr>
          <w:color w:val="231F20"/>
        </w:rPr>
        <w:t>alla</w:t>
      </w:r>
      <w:r>
        <w:rPr>
          <w:color w:val="231F20"/>
          <w:spacing w:val="-22"/>
        </w:rPr>
        <w:t> </w:t>
      </w:r>
      <w:r>
        <w:rPr>
          <w:color w:val="231F20"/>
        </w:rPr>
        <w:t>base </w:t>
      </w:r>
      <w:r>
        <w:rPr>
          <w:color w:val="231F20"/>
          <w:w w:val="105"/>
        </w:rPr>
        <w:t>di</w:t>
      </w:r>
      <w:r>
        <w:rPr>
          <w:color w:val="231F20"/>
          <w:spacing w:val="-22"/>
          <w:w w:val="105"/>
        </w:rPr>
        <w:t> </w:t>
      </w:r>
      <w:r>
        <w:rPr>
          <w:color w:val="231F20"/>
          <w:w w:val="105"/>
        </w:rPr>
        <w:t>questa</w:t>
      </w:r>
      <w:r>
        <w:rPr>
          <w:color w:val="231F20"/>
          <w:spacing w:val="-22"/>
          <w:w w:val="105"/>
        </w:rPr>
        <w:t> </w:t>
      </w:r>
      <w:r>
        <w:rPr>
          <w:color w:val="231F20"/>
          <w:w w:val="105"/>
        </w:rPr>
        <w:t>disinvolta</w:t>
      </w:r>
      <w:r>
        <w:rPr>
          <w:color w:val="231F20"/>
          <w:spacing w:val="-22"/>
          <w:w w:val="105"/>
        </w:rPr>
        <w:t> </w:t>
      </w:r>
      <w:r>
        <w:rPr>
          <w:color w:val="231F20"/>
          <w:w w:val="105"/>
        </w:rPr>
        <w:t>ripresa</w:t>
      </w:r>
      <w:r>
        <w:rPr>
          <w:color w:val="231F20"/>
          <w:spacing w:val="-22"/>
          <w:w w:val="105"/>
        </w:rPr>
        <w:t> </w:t>
      </w:r>
      <w:r>
        <w:rPr>
          <w:color w:val="231F20"/>
          <w:w w:val="105"/>
        </w:rPr>
        <w:t>della</w:t>
      </w:r>
      <w:r>
        <w:rPr>
          <w:color w:val="231F20"/>
          <w:spacing w:val="-22"/>
          <w:w w:val="105"/>
        </w:rPr>
        <w:t> </w:t>
      </w:r>
      <w:r>
        <w:rPr>
          <w:color w:val="231F20"/>
          <w:w w:val="105"/>
        </w:rPr>
        <w:t>prospettiva</w:t>
      </w:r>
      <w:r>
        <w:rPr>
          <w:color w:val="231F20"/>
          <w:spacing w:val="-22"/>
          <w:w w:val="105"/>
        </w:rPr>
        <w:t> </w:t>
      </w:r>
      <w:r>
        <w:rPr>
          <w:color w:val="231F20"/>
          <w:w w:val="105"/>
        </w:rPr>
        <w:t>schmittiana:</w:t>
      </w:r>
      <w:r>
        <w:rPr>
          <w:color w:val="231F20"/>
          <w:spacing w:val="-22"/>
          <w:w w:val="105"/>
        </w:rPr>
        <w:t> </w:t>
      </w:r>
      <w:r>
        <w:rPr>
          <w:color w:val="231F20"/>
          <w:w w:val="105"/>
        </w:rPr>
        <w:t>come</w:t>
      </w:r>
      <w:r>
        <w:rPr>
          <w:color w:val="231F20"/>
          <w:spacing w:val="-22"/>
          <w:w w:val="105"/>
        </w:rPr>
        <w:t> </w:t>
      </w:r>
      <w:r>
        <w:rPr>
          <w:color w:val="231F20"/>
          <w:w w:val="105"/>
        </w:rPr>
        <w:t>ignorare, infatti,</w:t>
      </w:r>
      <w:r>
        <w:rPr>
          <w:color w:val="231F20"/>
          <w:spacing w:val="-56"/>
          <w:w w:val="105"/>
        </w:rPr>
        <w:t> </w:t>
      </w:r>
      <w:r>
        <w:rPr>
          <w:color w:val="231F20"/>
          <w:w w:val="105"/>
        </w:rPr>
        <w:t>le</w:t>
      </w:r>
      <w:r>
        <w:rPr>
          <w:color w:val="231F20"/>
          <w:spacing w:val="-56"/>
          <w:w w:val="105"/>
        </w:rPr>
        <w:t> </w:t>
      </w:r>
      <w:r>
        <w:rPr>
          <w:color w:val="231F20"/>
          <w:w w:val="105"/>
        </w:rPr>
        <w:t>pesanti</w:t>
      </w:r>
      <w:r>
        <w:rPr>
          <w:color w:val="231F20"/>
          <w:spacing w:val="-56"/>
          <w:w w:val="105"/>
        </w:rPr>
        <w:t> </w:t>
      </w:r>
      <w:r>
        <w:rPr>
          <w:color w:val="231F20"/>
          <w:w w:val="105"/>
        </w:rPr>
        <w:t>ipoteche</w:t>
      </w:r>
      <w:r>
        <w:rPr>
          <w:color w:val="231F20"/>
          <w:spacing w:val="-56"/>
          <w:w w:val="105"/>
        </w:rPr>
        <w:t> </w:t>
      </w:r>
      <w:r>
        <w:rPr>
          <w:color w:val="231F20"/>
          <w:w w:val="105"/>
        </w:rPr>
        <w:t>teoriche,</w:t>
      </w:r>
      <w:r>
        <w:rPr>
          <w:color w:val="231F20"/>
          <w:spacing w:val="-56"/>
          <w:w w:val="105"/>
        </w:rPr>
        <w:t> </w:t>
      </w:r>
      <w:r>
        <w:rPr>
          <w:color w:val="231F20"/>
          <w:w w:val="105"/>
        </w:rPr>
        <w:t>storiografiche</w:t>
      </w:r>
      <w:r>
        <w:rPr>
          <w:color w:val="231F20"/>
          <w:spacing w:val="-56"/>
          <w:w w:val="105"/>
        </w:rPr>
        <w:t> </w:t>
      </w:r>
      <w:r>
        <w:rPr>
          <w:color w:val="231F20"/>
          <w:w w:val="105"/>
        </w:rPr>
        <w:t>e</w:t>
      </w:r>
      <w:r>
        <w:rPr>
          <w:color w:val="231F20"/>
          <w:spacing w:val="-56"/>
          <w:w w:val="105"/>
        </w:rPr>
        <w:t> </w:t>
      </w:r>
      <w:r>
        <w:rPr>
          <w:color w:val="231F20"/>
          <w:w w:val="105"/>
        </w:rPr>
        <w:t>ideologico–culturali</w:t>
      </w:r>
      <w:r>
        <w:rPr>
          <w:color w:val="231F20"/>
          <w:spacing w:val="-56"/>
          <w:w w:val="105"/>
        </w:rPr>
        <w:t> </w:t>
      </w:r>
      <w:r>
        <w:rPr>
          <w:color w:val="231F20"/>
          <w:spacing w:val="-2"/>
          <w:w w:val="105"/>
        </w:rPr>
        <w:t>che </w:t>
      </w:r>
      <w:r>
        <w:rPr>
          <w:color w:val="231F20"/>
          <w:spacing w:val="-3"/>
          <w:w w:val="105"/>
        </w:rPr>
        <w:t>sostengono</w:t>
      </w:r>
      <w:r>
        <w:rPr>
          <w:color w:val="231F20"/>
          <w:spacing w:val="-47"/>
          <w:w w:val="105"/>
        </w:rPr>
        <w:t> </w:t>
      </w:r>
      <w:r>
        <w:rPr>
          <w:color w:val="231F20"/>
          <w:w w:val="105"/>
        </w:rPr>
        <w:t>—e</w:t>
      </w:r>
      <w:r>
        <w:rPr>
          <w:color w:val="231F20"/>
          <w:spacing w:val="-47"/>
          <w:w w:val="105"/>
        </w:rPr>
        <w:t> </w:t>
      </w:r>
      <w:r>
        <w:rPr>
          <w:color w:val="231F20"/>
          <w:spacing w:val="-3"/>
          <w:w w:val="105"/>
        </w:rPr>
        <w:t>condizionano—</w:t>
      </w:r>
      <w:r>
        <w:rPr>
          <w:color w:val="231F20"/>
          <w:spacing w:val="-47"/>
          <w:w w:val="105"/>
        </w:rPr>
        <w:t> </w:t>
      </w:r>
      <w:r>
        <w:rPr>
          <w:color w:val="231F20"/>
          <w:w w:val="105"/>
        </w:rPr>
        <w:t>la</w:t>
      </w:r>
      <w:r>
        <w:rPr>
          <w:color w:val="231F20"/>
          <w:spacing w:val="-47"/>
          <w:w w:val="105"/>
        </w:rPr>
        <w:t> </w:t>
      </w:r>
      <w:r>
        <w:rPr>
          <w:color w:val="231F20"/>
          <w:spacing w:val="-3"/>
          <w:w w:val="105"/>
        </w:rPr>
        <w:t>vibrante</w:t>
      </w:r>
      <w:r>
        <w:rPr>
          <w:color w:val="231F20"/>
          <w:spacing w:val="-47"/>
          <w:w w:val="105"/>
        </w:rPr>
        <w:t> </w:t>
      </w:r>
      <w:r>
        <w:rPr>
          <w:color w:val="231F20"/>
          <w:spacing w:val="-3"/>
          <w:w w:val="105"/>
        </w:rPr>
        <w:t>critica</w:t>
      </w:r>
      <w:r>
        <w:rPr>
          <w:color w:val="231F20"/>
          <w:spacing w:val="-47"/>
          <w:w w:val="105"/>
        </w:rPr>
        <w:t> </w:t>
      </w:r>
      <w:r>
        <w:rPr>
          <w:color w:val="231F20"/>
          <w:w w:val="105"/>
        </w:rPr>
        <w:t>di</w:t>
      </w:r>
      <w:r>
        <w:rPr>
          <w:color w:val="231F20"/>
          <w:spacing w:val="-47"/>
          <w:w w:val="105"/>
        </w:rPr>
        <w:t> </w:t>
      </w:r>
      <w:r>
        <w:rPr>
          <w:color w:val="231F20"/>
          <w:spacing w:val="-3"/>
          <w:w w:val="105"/>
        </w:rPr>
        <w:t>Schmitt</w:t>
      </w:r>
      <w:r>
        <w:rPr>
          <w:color w:val="231F20"/>
          <w:spacing w:val="-47"/>
          <w:w w:val="105"/>
        </w:rPr>
        <w:t> </w:t>
      </w:r>
      <w:r>
        <w:rPr>
          <w:color w:val="231F20"/>
          <w:spacing w:val="-3"/>
          <w:w w:val="105"/>
        </w:rPr>
        <w:t>all’universalismo </w:t>
      </w:r>
      <w:r>
        <w:rPr>
          <w:color w:val="231F20"/>
          <w:w w:val="105"/>
        </w:rPr>
        <w:t>umanitario?</w:t>
      </w:r>
      <w:r>
        <w:rPr>
          <w:color w:val="231F20"/>
          <w:w w:val="105"/>
          <w:position w:val="7"/>
          <w:sz w:val="12"/>
        </w:rPr>
        <w:t>62</w:t>
      </w:r>
      <w:r>
        <w:rPr>
          <w:color w:val="231F20"/>
          <w:spacing w:val="1"/>
          <w:w w:val="105"/>
          <w:position w:val="7"/>
          <w:sz w:val="12"/>
        </w:rPr>
        <w:t> </w:t>
      </w:r>
      <w:r>
        <w:rPr>
          <w:color w:val="231F20"/>
          <w:w w:val="105"/>
        </w:rPr>
        <w:t>Anche</w:t>
      </w:r>
      <w:r>
        <w:rPr>
          <w:color w:val="231F20"/>
          <w:spacing w:val="-29"/>
          <w:w w:val="105"/>
        </w:rPr>
        <w:t> </w:t>
      </w:r>
      <w:r>
        <w:rPr>
          <w:color w:val="231F20"/>
          <w:w w:val="105"/>
        </w:rPr>
        <w:t>sotto</w:t>
      </w:r>
      <w:r>
        <w:rPr>
          <w:color w:val="231F20"/>
          <w:spacing w:val="-29"/>
          <w:w w:val="105"/>
        </w:rPr>
        <w:t> </w:t>
      </w:r>
      <w:r>
        <w:rPr>
          <w:color w:val="231F20"/>
          <w:w w:val="105"/>
        </w:rPr>
        <w:t>questo</w:t>
      </w:r>
      <w:r>
        <w:rPr>
          <w:color w:val="231F20"/>
          <w:spacing w:val="-29"/>
          <w:w w:val="105"/>
        </w:rPr>
        <w:t> </w:t>
      </w:r>
      <w:r>
        <w:rPr>
          <w:color w:val="231F20"/>
          <w:w w:val="105"/>
        </w:rPr>
        <w:t>profilo,</w:t>
      </w:r>
      <w:r>
        <w:rPr>
          <w:color w:val="231F20"/>
          <w:spacing w:val="-29"/>
          <w:w w:val="105"/>
        </w:rPr>
        <w:t> </w:t>
      </w:r>
      <w:r>
        <w:rPr>
          <w:color w:val="231F20"/>
          <w:w w:val="105"/>
        </w:rPr>
        <w:t>ciò</w:t>
      </w:r>
      <w:r>
        <w:rPr>
          <w:color w:val="231F20"/>
          <w:spacing w:val="-29"/>
          <w:w w:val="105"/>
        </w:rPr>
        <w:t> </w:t>
      </w:r>
      <w:r>
        <w:rPr>
          <w:color w:val="231F20"/>
          <w:w w:val="105"/>
        </w:rPr>
        <w:t>che</w:t>
      </w:r>
      <w:r>
        <w:rPr>
          <w:color w:val="231F20"/>
          <w:spacing w:val="-29"/>
          <w:w w:val="105"/>
        </w:rPr>
        <w:t> </w:t>
      </w:r>
      <w:r>
        <w:rPr>
          <w:color w:val="231F20"/>
          <w:w w:val="105"/>
        </w:rPr>
        <w:t>la</w:t>
      </w:r>
      <w:r>
        <w:rPr>
          <w:color w:val="231F20"/>
          <w:spacing w:val="-29"/>
          <w:w w:val="105"/>
        </w:rPr>
        <w:t> </w:t>
      </w:r>
      <w:r>
        <w:rPr>
          <w:color w:val="231F20"/>
          <w:w w:val="105"/>
        </w:rPr>
        <w:t>riflessione</w:t>
      </w:r>
      <w:r>
        <w:rPr>
          <w:color w:val="231F20"/>
          <w:spacing w:val="-29"/>
          <w:w w:val="105"/>
        </w:rPr>
        <w:t> </w:t>
      </w:r>
      <w:r>
        <w:rPr>
          <w:color w:val="231F20"/>
          <w:w w:val="105"/>
        </w:rPr>
        <w:t>schmittiana offre</w:t>
      </w:r>
      <w:r>
        <w:rPr>
          <w:color w:val="231F20"/>
          <w:spacing w:val="-14"/>
          <w:w w:val="105"/>
        </w:rPr>
        <w:t> </w:t>
      </w:r>
      <w:r>
        <w:rPr>
          <w:color w:val="231F20"/>
          <w:w w:val="105"/>
        </w:rPr>
        <w:t>ai</w:t>
      </w:r>
      <w:r>
        <w:rPr>
          <w:color w:val="231F20"/>
          <w:spacing w:val="-14"/>
          <w:w w:val="105"/>
        </w:rPr>
        <w:t> </w:t>
      </w:r>
      <w:r>
        <w:rPr>
          <w:color w:val="231F20"/>
          <w:w w:val="105"/>
        </w:rPr>
        <w:t>suoi</w:t>
      </w:r>
      <w:r>
        <w:rPr>
          <w:color w:val="231F20"/>
          <w:spacing w:val="-14"/>
          <w:w w:val="105"/>
        </w:rPr>
        <w:t> </w:t>
      </w:r>
      <w:r>
        <w:rPr>
          <w:color w:val="231F20"/>
          <w:w w:val="105"/>
        </w:rPr>
        <w:t>epigoni</w:t>
      </w:r>
      <w:r>
        <w:rPr>
          <w:color w:val="231F20"/>
          <w:spacing w:val="-14"/>
          <w:w w:val="105"/>
        </w:rPr>
        <w:t> </w:t>
      </w:r>
      <w:r>
        <w:rPr>
          <w:color w:val="231F20"/>
          <w:w w:val="105"/>
        </w:rPr>
        <w:t>contemporanei</w:t>
      </w:r>
      <w:r>
        <w:rPr>
          <w:color w:val="231F20"/>
          <w:spacing w:val="-14"/>
          <w:w w:val="105"/>
        </w:rPr>
        <w:t> </w:t>
      </w:r>
      <w:r>
        <w:rPr>
          <w:color w:val="231F20"/>
          <w:w w:val="105"/>
        </w:rPr>
        <w:t>è</w:t>
      </w:r>
      <w:r>
        <w:rPr>
          <w:color w:val="231F20"/>
          <w:spacing w:val="-14"/>
          <w:w w:val="105"/>
        </w:rPr>
        <w:t> </w:t>
      </w:r>
      <w:r>
        <w:rPr>
          <w:color w:val="231F20"/>
          <w:w w:val="105"/>
        </w:rPr>
        <w:t>una</w:t>
      </w:r>
      <w:r>
        <w:rPr>
          <w:color w:val="231F20"/>
          <w:spacing w:val="-14"/>
          <w:w w:val="105"/>
        </w:rPr>
        <w:t> </w:t>
      </w:r>
      <w:r>
        <w:rPr>
          <w:color w:val="231F20"/>
          <w:w w:val="105"/>
        </w:rPr>
        <w:t>“coerente</w:t>
      </w:r>
      <w:r>
        <w:rPr>
          <w:color w:val="231F20"/>
          <w:spacing w:val="-14"/>
          <w:w w:val="105"/>
        </w:rPr>
        <w:t> </w:t>
      </w:r>
      <w:r>
        <w:rPr>
          <w:color w:val="231F20"/>
          <w:w w:val="105"/>
        </w:rPr>
        <w:t>visione</w:t>
      </w:r>
      <w:r>
        <w:rPr>
          <w:color w:val="231F20"/>
          <w:spacing w:val="-14"/>
          <w:w w:val="105"/>
        </w:rPr>
        <w:t> </w:t>
      </w:r>
      <w:r>
        <w:rPr>
          <w:color w:val="231F20"/>
          <w:w w:val="105"/>
        </w:rPr>
        <w:t>del</w:t>
      </w:r>
      <w:r>
        <w:rPr>
          <w:color w:val="231F20"/>
          <w:spacing w:val="-14"/>
          <w:w w:val="105"/>
        </w:rPr>
        <w:t> </w:t>
      </w:r>
      <w:r>
        <w:rPr>
          <w:color w:val="231F20"/>
          <w:w w:val="105"/>
        </w:rPr>
        <w:t>mondo”, una</w:t>
      </w:r>
      <w:r>
        <w:rPr>
          <w:color w:val="231F20"/>
          <w:spacing w:val="-20"/>
          <w:w w:val="105"/>
        </w:rPr>
        <w:t> </w:t>
      </w:r>
      <w:r>
        <w:rPr>
          <w:color w:val="231F20"/>
          <w:w w:val="105"/>
        </w:rPr>
        <w:t>“compiuta”</w:t>
      </w:r>
      <w:r>
        <w:rPr>
          <w:color w:val="231F20"/>
          <w:spacing w:val="-20"/>
          <w:w w:val="105"/>
        </w:rPr>
        <w:t> </w:t>
      </w:r>
      <w:r>
        <w:rPr>
          <w:color w:val="231F20"/>
          <w:w w:val="105"/>
        </w:rPr>
        <w:t>cornice</w:t>
      </w:r>
      <w:r>
        <w:rPr>
          <w:color w:val="231F20"/>
          <w:spacing w:val="-20"/>
          <w:w w:val="105"/>
        </w:rPr>
        <w:t> </w:t>
      </w:r>
      <w:r>
        <w:rPr>
          <w:color w:val="231F20"/>
          <w:w w:val="105"/>
        </w:rPr>
        <w:t>interpretativa</w:t>
      </w:r>
      <w:r>
        <w:rPr>
          <w:color w:val="231F20"/>
          <w:spacing w:val="-20"/>
          <w:w w:val="105"/>
        </w:rPr>
        <w:t> </w:t>
      </w:r>
      <w:r>
        <w:rPr>
          <w:color w:val="231F20"/>
          <w:w w:val="105"/>
        </w:rPr>
        <w:t>e</w:t>
      </w:r>
      <w:r>
        <w:rPr>
          <w:color w:val="231F20"/>
          <w:spacing w:val="-20"/>
          <w:w w:val="105"/>
        </w:rPr>
        <w:t> </w:t>
      </w:r>
      <w:r>
        <w:rPr>
          <w:color w:val="231F20"/>
          <w:w w:val="105"/>
        </w:rPr>
        <w:t>valutativa</w:t>
      </w:r>
      <w:r>
        <w:rPr>
          <w:color w:val="231F20"/>
          <w:w w:val="105"/>
          <w:position w:val="7"/>
          <w:sz w:val="12"/>
        </w:rPr>
        <w:t>63</w:t>
      </w:r>
      <w:r>
        <w:rPr>
          <w:color w:val="231F20"/>
          <w:w w:val="105"/>
        </w:rPr>
        <w:t>,</w:t>
      </w:r>
      <w:r>
        <w:rPr>
          <w:color w:val="231F20"/>
          <w:spacing w:val="-20"/>
          <w:w w:val="105"/>
        </w:rPr>
        <w:t> </w:t>
      </w:r>
      <w:r>
        <w:rPr>
          <w:color w:val="231F20"/>
          <w:w w:val="105"/>
        </w:rPr>
        <w:t>rigidamente</w:t>
      </w:r>
      <w:r>
        <w:rPr>
          <w:color w:val="231F20"/>
          <w:spacing w:val="-20"/>
          <w:w w:val="105"/>
        </w:rPr>
        <w:t> </w:t>
      </w:r>
      <w:r>
        <w:rPr>
          <w:color w:val="231F20"/>
          <w:w w:val="105"/>
        </w:rPr>
        <w:t>definita nei</w:t>
      </w:r>
      <w:r>
        <w:rPr>
          <w:color w:val="231F20"/>
          <w:spacing w:val="-35"/>
          <w:w w:val="105"/>
        </w:rPr>
        <w:t> </w:t>
      </w:r>
      <w:r>
        <w:rPr>
          <w:color w:val="231F20"/>
          <w:w w:val="105"/>
        </w:rPr>
        <w:t>suoi</w:t>
      </w:r>
      <w:r>
        <w:rPr>
          <w:color w:val="231F20"/>
          <w:spacing w:val="-35"/>
          <w:w w:val="105"/>
        </w:rPr>
        <w:t> </w:t>
      </w:r>
      <w:r>
        <w:rPr>
          <w:color w:val="231F20"/>
          <w:w w:val="105"/>
        </w:rPr>
        <w:t>stessi</w:t>
      </w:r>
      <w:r>
        <w:rPr>
          <w:color w:val="231F20"/>
          <w:spacing w:val="-35"/>
          <w:w w:val="105"/>
        </w:rPr>
        <w:t> </w:t>
      </w:r>
      <w:r>
        <w:rPr>
          <w:color w:val="231F20"/>
          <w:w w:val="105"/>
        </w:rPr>
        <w:t>presupposti</w:t>
      </w:r>
      <w:r>
        <w:rPr>
          <w:color w:val="231F20"/>
          <w:spacing w:val="-35"/>
          <w:w w:val="105"/>
        </w:rPr>
        <w:t> </w:t>
      </w:r>
      <w:r>
        <w:rPr>
          <w:color w:val="231F20"/>
          <w:w w:val="105"/>
        </w:rPr>
        <w:t>di</w:t>
      </w:r>
      <w:r>
        <w:rPr>
          <w:color w:val="231F20"/>
          <w:spacing w:val="-35"/>
          <w:w w:val="105"/>
        </w:rPr>
        <w:t> </w:t>
      </w:r>
      <w:r>
        <w:rPr>
          <w:color w:val="231F20"/>
          <w:w w:val="105"/>
        </w:rPr>
        <w:t>senso:</w:t>
      </w:r>
      <w:r>
        <w:rPr>
          <w:color w:val="231F20"/>
          <w:spacing w:val="-35"/>
          <w:w w:val="105"/>
        </w:rPr>
        <w:t> </w:t>
      </w:r>
      <w:r>
        <w:rPr>
          <w:color w:val="231F20"/>
          <w:w w:val="105"/>
        </w:rPr>
        <w:t>se</w:t>
      </w:r>
      <w:r>
        <w:rPr>
          <w:color w:val="231F20"/>
          <w:spacing w:val="-35"/>
          <w:w w:val="105"/>
        </w:rPr>
        <w:t> </w:t>
      </w:r>
      <w:r>
        <w:rPr>
          <w:color w:val="231F20"/>
          <w:w w:val="105"/>
        </w:rPr>
        <w:t>è</w:t>
      </w:r>
      <w:r>
        <w:rPr>
          <w:color w:val="231F20"/>
          <w:spacing w:val="-35"/>
          <w:w w:val="105"/>
        </w:rPr>
        <w:t> </w:t>
      </w:r>
      <w:r>
        <w:rPr>
          <w:color w:val="231F20"/>
          <w:w w:val="105"/>
        </w:rPr>
        <w:t>vero,</w:t>
      </w:r>
      <w:r>
        <w:rPr>
          <w:color w:val="231F20"/>
          <w:spacing w:val="-35"/>
          <w:w w:val="105"/>
        </w:rPr>
        <w:t> </w:t>
      </w:r>
      <w:r>
        <w:rPr>
          <w:color w:val="231F20"/>
          <w:w w:val="105"/>
        </w:rPr>
        <w:t>perciò,</w:t>
      </w:r>
      <w:r>
        <w:rPr>
          <w:color w:val="231F20"/>
          <w:spacing w:val="-35"/>
          <w:w w:val="105"/>
        </w:rPr>
        <w:t> </w:t>
      </w:r>
      <w:r>
        <w:rPr>
          <w:color w:val="231F20"/>
          <w:w w:val="105"/>
        </w:rPr>
        <w:t>che</w:t>
      </w:r>
      <w:r>
        <w:rPr>
          <w:color w:val="231F20"/>
          <w:spacing w:val="-35"/>
          <w:w w:val="105"/>
        </w:rPr>
        <w:t> </w:t>
      </w:r>
      <w:r>
        <w:rPr>
          <w:color w:val="231F20"/>
          <w:w w:val="105"/>
        </w:rPr>
        <w:t>non</w:t>
      </w:r>
      <w:r>
        <w:rPr>
          <w:color w:val="231F20"/>
          <w:spacing w:val="-35"/>
          <w:w w:val="105"/>
        </w:rPr>
        <w:t> </w:t>
      </w:r>
      <w:r>
        <w:rPr>
          <w:color w:val="231F20"/>
          <w:w w:val="105"/>
        </w:rPr>
        <w:t>è</w:t>
      </w:r>
      <w:r>
        <w:rPr>
          <w:color w:val="231F20"/>
          <w:spacing w:val="-35"/>
          <w:w w:val="105"/>
        </w:rPr>
        <w:t> </w:t>
      </w:r>
      <w:r>
        <w:rPr>
          <w:color w:val="231F20"/>
          <w:w w:val="105"/>
        </w:rPr>
        <w:t>necessario aderire</w:t>
      </w:r>
      <w:r>
        <w:rPr>
          <w:color w:val="231F20"/>
          <w:spacing w:val="-45"/>
          <w:w w:val="105"/>
        </w:rPr>
        <w:t> </w:t>
      </w:r>
      <w:r>
        <w:rPr>
          <w:color w:val="231F20"/>
          <w:w w:val="105"/>
        </w:rPr>
        <w:t>integralmente</w:t>
      </w:r>
      <w:r>
        <w:rPr>
          <w:color w:val="231F20"/>
          <w:spacing w:val="-45"/>
          <w:w w:val="105"/>
        </w:rPr>
        <w:t> </w:t>
      </w:r>
      <w:r>
        <w:rPr>
          <w:color w:val="231F20"/>
          <w:w w:val="105"/>
        </w:rPr>
        <w:t>al</w:t>
      </w:r>
      <w:r>
        <w:rPr>
          <w:color w:val="231F20"/>
          <w:spacing w:val="-45"/>
          <w:w w:val="105"/>
        </w:rPr>
        <w:t> </w:t>
      </w:r>
      <w:r>
        <w:rPr>
          <w:color w:val="231F20"/>
          <w:w w:val="105"/>
        </w:rPr>
        <w:t>“radicale</w:t>
      </w:r>
      <w:r>
        <w:rPr>
          <w:color w:val="231F20"/>
          <w:spacing w:val="-45"/>
          <w:w w:val="105"/>
        </w:rPr>
        <w:t> </w:t>
      </w:r>
      <w:r>
        <w:rPr>
          <w:color w:val="231F20"/>
          <w:w w:val="105"/>
        </w:rPr>
        <w:t>antiumanesimo”</w:t>
      </w:r>
      <w:r>
        <w:rPr>
          <w:color w:val="231F20"/>
          <w:spacing w:val="-45"/>
          <w:w w:val="105"/>
        </w:rPr>
        <w:t> </w:t>
      </w:r>
      <w:r>
        <w:rPr>
          <w:color w:val="231F20"/>
          <w:w w:val="105"/>
        </w:rPr>
        <w:t>di</w:t>
      </w:r>
      <w:r>
        <w:rPr>
          <w:color w:val="231F20"/>
          <w:spacing w:val="-45"/>
          <w:w w:val="105"/>
        </w:rPr>
        <w:t> </w:t>
      </w:r>
      <w:r>
        <w:rPr>
          <w:color w:val="231F20"/>
          <w:w w:val="105"/>
        </w:rPr>
        <w:t>Schmitt</w:t>
      </w:r>
      <w:r>
        <w:rPr>
          <w:color w:val="231F20"/>
          <w:spacing w:val="-45"/>
          <w:w w:val="105"/>
        </w:rPr>
        <w:t> </w:t>
      </w:r>
      <w:r>
        <w:rPr>
          <w:color w:val="231F20"/>
          <w:w w:val="105"/>
        </w:rPr>
        <w:t>“per</w:t>
      </w:r>
      <w:r>
        <w:rPr>
          <w:color w:val="231F20"/>
          <w:spacing w:val="-45"/>
          <w:w w:val="105"/>
        </w:rPr>
        <w:t> </w:t>
      </w:r>
      <w:r>
        <w:rPr>
          <w:color w:val="231F20"/>
          <w:w w:val="105"/>
        </w:rPr>
        <w:t>diffidare di</w:t>
      </w:r>
      <w:r>
        <w:rPr>
          <w:color w:val="231F20"/>
          <w:spacing w:val="-42"/>
          <w:w w:val="105"/>
        </w:rPr>
        <w:t> </w:t>
      </w:r>
      <w:r>
        <w:rPr>
          <w:color w:val="231F20"/>
          <w:w w:val="105"/>
        </w:rPr>
        <w:t>chi</w:t>
      </w:r>
      <w:r>
        <w:rPr>
          <w:color w:val="231F20"/>
          <w:spacing w:val="-42"/>
          <w:w w:val="105"/>
        </w:rPr>
        <w:t> </w:t>
      </w:r>
      <w:r>
        <w:rPr>
          <w:color w:val="231F20"/>
          <w:w w:val="105"/>
        </w:rPr>
        <w:t>usa</w:t>
      </w:r>
      <w:r>
        <w:rPr>
          <w:color w:val="231F20"/>
          <w:spacing w:val="-42"/>
          <w:w w:val="105"/>
        </w:rPr>
        <w:t> </w:t>
      </w:r>
      <w:r>
        <w:rPr>
          <w:color w:val="231F20"/>
          <w:w w:val="105"/>
        </w:rPr>
        <w:t>la</w:t>
      </w:r>
      <w:r>
        <w:rPr>
          <w:color w:val="231F20"/>
          <w:spacing w:val="-42"/>
          <w:w w:val="105"/>
        </w:rPr>
        <w:t> </w:t>
      </w:r>
      <w:r>
        <w:rPr>
          <w:color w:val="231F20"/>
          <w:spacing w:val="-3"/>
          <w:w w:val="105"/>
        </w:rPr>
        <w:t>parola</w:t>
      </w:r>
      <w:r>
        <w:rPr>
          <w:color w:val="231F20"/>
          <w:spacing w:val="-42"/>
          <w:w w:val="105"/>
        </w:rPr>
        <w:t> </w:t>
      </w:r>
      <w:r>
        <w:rPr>
          <w:color w:val="231F20"/>
          <w:w w:val="105"/>
        </w:rPr>
        <w:t>“umanità”</w:t>
      </w:r>
      <w:r>
        <w:rPr>
          <w:color w:val="231F20"/>
          <w:spacing w:val="-42"/>
          <w:w w:val="105"/>
        </w:rPr>
        <w:t> </w:t>
      </w:r>
      <w:r>
        <w:rPr>
          <w:color w:val="231F20"/>
          <w:w w:val="105"/>
        </w:rPr>
        <w:t>nel</w:t>
      </w:r>
      <w:r>
        <w:rPr>
          <w:color w:val="231F20"/>
          <w:spacing w:val="-42"/>
          <w:w w:val="105"/>
        </w:rPr>
        <w:t> </w:t>
      </w:r>
      <w:r>
        <w:rPr>
          <w:color w:val="231F20"/>
          <w:w w:val="105"/>
        </w:rPr>
        <w:t>contesto</w:t>
      </w:r>
      <w:r>
        <w:rPr>
          <w:color w:val="231F20"/>
          <w:spacing w:val="-42"/>
          <w:w w:val="105"/>
        </w:rPr>
        <w:t> </w:t>
      </w:r>
      <w:r>
        <w:rPr>
          <w:color w:val="231F20"/>
          <w:w w:val="105"/>
        </w:rPr>
        <w:t>di</w:t>
      </w:r>
      <w:r>
        <w:rPr>
          <w:color w:val="231F20"/>
          <w:spacing w:val="-42"/>
          <w:w w:val="105"/>
        </w:rPr>
        <w:t> </w:t>
      </w:r>
      <w:r>
        <w:rPr>
          <w:color w:val="231F20"/>
          <w:w w:val="105"/>
        </w:rPr>
        <w:t>una</w:t>
      </w:r>
      <w:r>
        <w:rPr>
          <w:color w:val="231F20"/>
          <w:spacing w:val="-42"/>
          <w:w w:val="105"/>
        </w:rPr>
        <w:t> </w:t>
      </w:r>
      <w:r>
        <w:rPr>
          <w:color w:val="231F20"/>
          <w:w w:val="105"/>
        </w:rPr>
        <w:t>guerra”</w:t>
      </w:r>
      <w:r>
        <w:rPr>
          <w:color w:val="231F20"/>
          <w:w w:val="105"/>
          <w:position w:val="7"/>
          <w:sz w:val="12"/>
        </w:rPr>
        <w:t>64</w:t>
      </w:r>
      <w:r>
        <w:rPr>
          <w:color w:val="231F20"/>
          <w:w w:val="105"/>
        </w:rPr>
        <w:t>,</w:t>
      </w:r>
      <w:r>
        <w:rPr>
          <w:color w:val="231F20"/>
          <w:spacing w:val="-42"/>
          <w:w w:val="105"/>
        </w:rPr>
        <w:t> </w:t>
      </w:r>
      <w:r>
        <w:rPr>
          <w:color w:val="231F20"/>
          <w:w w:val="105"/>
        </w:rPr>
        <w:t>è</w:t>
      </w:r>
      <w:r>
        <w:rPr>
          <w:color w:val="231F20"/>
          <w:spacing w:val="-42"/>
          <w:w w:val="105"/>
        </w:rPr>
        <w:t> </w:t>
      </w:r>
      <w:r>
        <w:rPr>
          <w:color w:val="231F20"/>
          <w:spacing w:val="-3"/>
          <w:w w:val="105"/>
        </w:rPr>
        <w:t>vero</w:t>
      </w:r>
      <w:r>
        <w:rPr>
          <w:color w:val="231F20"/>
          <w:spacing w:val="-42"/>
          <w:w w:val="105"/>
        </w:rPr>
        <w:t> </w:t>
      </w:r>
      <w:r>
        <w:rPr>
          <w:color w:val="231F20"/>
          <w:w w:val="105"/>
        </w:rPr>
        <w:t>anche</w:t>
      </w:r>
      <w:r>
        <w:rPr>
          <w:color w:val="231F20"/>
          <w:spacing w:val="-42"/>
          <w:w w:val="105"/>
        </w:rPr>
        <w:t> </w:t>
      </w:r>
      <w:r>
        <w:rPr>
          <w:color w:val="231F20"/>
          <w:spacing w:val="-2"/>
          <w:w w:val="105"/>
        </w:rPr>
        <w:t>che </w:t>
      </w:r>
      <w:r>
        <w:rPr>
          <w:color w:val="231F20"/>
          <w:w w:val="105"/>
        </w:rPr>
        <w:t>tale</w:t>
      </w:r>
      <w:r>
        <w:rPr>
          <w:color w:val="231F20"/>
          <w:spacing w:val="-30"/>
          <w:w w:val="105"/>
        </w:rPr>
        <w:t> </w:t>
      </w:r>
      <w:r>
        <w:rPr>
          <w:color w:val="231F20"/>
          <w:w w:val="105"/>
        </w:rPr>
        <w:t>sospetto</w:t>
      </w:r>
      <w:r>
        <w:rPr>
          <w:color w:val="231F20"/>
          <w:spacing w:val="-30"/>
          <w:w w:val="105"/>
        </w:rPr>
        <w:t> </w:t>
      </w:r>
      <w:r>
        <w:rPr>
          <w:color w:val="231F20"/>
          <w:w w:val="105"/>
        </w:rPr>
        <w:t>può</w:t>
      </w:r>
      <w:r>
        <w:rPr>
          <w:color w:val="231F20"/>
          <w:spacing w:val="-30"/>
          <w:w w:val="105"/>
        </w:rPr>
        <w:t> </w:t>
      </w:r>
      <w:r>
        <w:rPr>
          <w:color w:val="231F20"/>
          <w:w w:val="105"/>
        </w:rPr>
        <w:t>assumere</w:t>
      </w:r>
      <w:r>
        <w:rPr>
          <w:color w:val="231F20"/>
          <w:spacing w:val="-30"/>
          <w:w w:val="105"/>
        </w:rPr>
        <w:t> </w:t>
      </w:r>
      <w:r>
        <w:rPr>
          <w:color w:val="231F20"/>
          <w:w w:val="105"/>
        </w:rPr>
        <w:t>la</w:t>
      </w:r>
      <w:r>
        <w:rPr>
          <w:color w:val="231F20"/>
          <w:spacing w:val="-30"/>
          <w:w w:val="105"/>
        </w:rPr>
        <w:t> </w:t>
      </w:r>
      <w:r>
        <w:rPr>
          <w:color w:val="231F20"/>
          <w:w w:val="105"/>
        </w:rPr>
        <w:t>forma</w:t>
      </w:r>
      <w:r>
        <w:rPr>
          <w:color w:val="231F20"/>
          <w:spacing w:val="-30"/>
          <w:w w:val="105"/>
        </w:rPr>
        <w:t> </w:t>
      </w:r>
      <w:r>
        <w:rPr>
          <w:color w:val="231F20"/>
          <w:w w:val="105"/>
        </w:rPr>
        <w:t>“radicale”</w:t>
      </w:r>
      <w:r>
        <w:rPr>
          <w:color w:val="231F20"/>
          <w:spacing w:val="-30"/>
          <w:w w:val="105"/>
        </w:rPr>
        <w:t> </w:t>
      </w:r>
      <w:r>
        <w:rPr>
          <w:color w:val="231F20"/>
          <w:w w:val="105"/>
        </w:rPr>
        <w:t>di</w:t>
      </w:r>
      <w:r>
        <w:rPr>
          <w:color w:val="231F20"/>
          <w:spacing w:val="-30"/>
          <w:w w:val="105"/>
        </w:rPr>
        <w:t> </w:t>
      </w:r>
      <w:r>
        <w:rPr>
          <w:color w:val="231F20"/>
          <w:w w:val="105"/>
        </w:rPr>
        <w:t>una</w:t>
      </w:r>
      <w:r>
        <w:rPr>
          <w:color w:val="231F20"/>
          <w:spacing w:val="-30"/>
          <w:w w:val="105"/>
        </w:rPr>
        <w:t> </w:t>
      </w:r>
      <w:r>
        <w:rPr>
          <w:color w:val="231F20"/>
          <w:w w:val="105"/>
        </w:rPr>
        <w:t>critica</w:t>
      </w:r>
      <w:r>
        <w:rPr>
          <w:color w:val="231F20"/>
          <w:spacing w:val="-30"/>
          <w:w w:val="105"/>
        </w:rPr>
        <w:t> </w:t>
      </w:r>
      <w:r>
        <w:rPr>
          <w:color w:val="231F20"/>
          <w:w w:val="105"/>
        </w:rPr>
        <w:t>generalizzata dell’universalismo</w:t>
      </w:r>
      <w:r>
        <w:rPr>
          <w:color w:val="231F20"/>
          <w:spacing w:val="-39"/>
          <w:w w:val="105"/>
        </w:rPr>
        <w:t> </w:t>
      </w:r>
      <w:r>
        <w:rPr>
          <w:color w:val="231F20"/>
          <w:w w:val="105"/>
        </w:rPr>
        <w:t>umanitario</w:t>
      </w:r>
      <w:r>
        <w:rPr>
          <w:color w:val="231F20"/>
          <w:spacing w:val="-39"/>
          <w:w w:val="105"/>
        </w:rPr>
        <w:t> </w:t>
      </w:r>
      <w:r>
        <w:rPr>
          <w:color w:val="231F20"/>
          <w:w w:val="105"/>
        </w:rPr>
        <w:t>solo</w:t>
      </w:r>
      <w:r>
        <w:rPr>
          <w:color w:val="231F20"/>
          <w:spacing w:val="-39"/>
          <w:w w:val="105"/>
        </w:rPr>
        <w:t> </w:t>
      </w:r>
      <w:r>
        <w:rPr>
          <w:color w:val="231F20"/>
          <w:w w:val="105"/>
        </w:rPr>
        <w:t>al</w:t>
      </w:r>
      <w:r>
        <w:rPr>
          <w:color w:val="231F20"/>
          <w:spacing w:val="-39"/>
          <w:w w:val="105"/>
        </w:rPr>
        <w:t> </w:t>
      </w:r>
      <w:r>
        <w:rPr>
          <w:color w:val="231F20"/>
          <w:w w:val="105"/>
        </w:rPr>
        <w:t>prezzo</w:t>
      </w:r>
      <w:r>
        <w:rPr>
          <w:color w:val="231F20"/>
          <w:spacing w:val="-39"/>
          <w:w w:val="105"/>
        </w:rPr>
        <w:t> </w:t>
      </w:r>
      <w:r>
        <w:rPr>
          <w:color w:val="231F20"/>
          <w:w w:val="105"/>
        </w:rPr>
        <w:t>di</w:t>
      </w:r>
      <w:r>
        <w:rPr>
          <w:color w:val="231F20"/>
          <w:spacing w:val="-39"/>
          <w:w w:val="105"/>
        </w:rPr>
        <w:t> </w:t>
      </w:r>
      <w:r>
        <w:rPr>
          <w:color w:val="231F20"/>
          <w:w w:val="105"/>
        </w:rPr>
        <w:t>una</w:t>
      </w:r>
      <w:r>
        <w:rPr>
          <w:color w:val="231F20"/>
          <w:spacing w:val="-39"/>
          <w:w w:val="105"/>
        </w:rPr>
        <w:t> </w:t>
      </w:r>
      <w:r>
        <w:rPr>
          <w:color w:val="231F20"/>
          <w:w w:val="105"/>
        </w:rPr>
        <w:t>più</w:t>
      </w:r>
      <w:r>
        <w:rPr>
          <w:color w:val="231F20"/>
          <w:spacing w:val="-39"/>
          <w:w w:val="105"/>
        </w:rPr>
        <w:t> </w:t>
      </w:r>
      <w:r>
        <w:rPr>
          <w:color w:val="231F20"/>
          <w:w w:val="105"/>
        </w:rPr>
        <w:t>o</w:t>
      </w:r>
      <w:r>
        <w:rPr>
          <w:color w:val="231F20"/>
          <w:spacing w:val="-39"/>
          <w:w w:val="105"/>
        </w:rPr>
        <w:t> </w:t>
      </w:r>
      <w:r>
        <w:rPr>
          <w:color w:val="231F20"/>
          <w:w w:val="105"/>
        </w:rPr>
        <w:t>meno</w:t>
      </w:r>
      <w:r>
        <w:rPr>
          <w:color w:val="231F20"/>
          <w:spacing w:val="-39"/>
          <w:w w:val="105"/>
        </w:rPr>
        <w:t> </w:t>
      </w:r>
      <w:r>
        <w:rPr>
          <w:color w:val="231F20"/>
          <w:w w:val="105"/>
        </w:rPr>
        <w:t>consapevole </w:t>
      </w:r>
      <w:r>
        <w:rPr>
          <w:color w:val="231F20"/>
          <w:spacing w:val="-3"/>
          <w:w w:val="105"/>
        </w:rPr>
        <w:t>adesione</w:t>
      </w:r>
      <w:r>
        <w:rPr>
          <w:color w:val="231F20"/>
          <w:spacing w:val="-32"/>
          <w:w w:val="105"/>
        </w:rPr>
        <w:t> </w:t>
      </w:r>
      <w:r>
        <w:rPr>
          <w:color w:val="231F20"/>
          <w:spacing w:val="-3"/>
          <w:w w:val="105"/>
        </w:rPr>
        <w:t>all’impegnativa</w:t>
      </w:r>
      <w:r>
        <w:rPr>
          <w:color w:val="231F20"/>
          <w:spacing w:val="-32"/>
          <w:w w:val="105"/>
        </w:rPr>
        <w:t> </w:t>
      </w:r>
      <w:r>
        <w:rPr>
          <w:color w:val="231F20"/>
          <w:spacing w:val="-3"/>
          <w:w w:val="105"/>
        </w:rPr>
        <w:t>concezione</w:t>
      </w:r>
      <w:r>
        <w:rPr>
          <w:color w:val="231F20"/>
          <w:spacing w:val="-32"/>
          <w:w w:val="105"/>
        </w:rPr>
        <w:t> </w:t>
      </w:r>
      <w:r>
        <w:rPr>
          <w:color w:val="231F20"/>
          <w:spacing w:val="-3"/>
          <w:w w:val="105"/>
        </w:rPr>
        <w:t>dell’“autonomia</w:t>
      </w:r>
      <w:r>
        <w:rPr>
          <w:color w:val="231F20"/>
          <w:spacing w:val="-32"/>
          <w:w w:val="105"/>
        </w:rPr>
        <w:t> </w:t>
      </w:r>
      <w:r>
        <w:rPr>
          <w:color w:val="231F20"/>
          <w:w w:val="105"/>
        </w:rPr>
        <w:t>del</w:t>
      </w:r>
      <w:r>
        <w:rPr>
          <w:color w:val="231F20"/>
          <w:spacing w:val="-32"/>
          <w:w w:val="105"/>
        </w:rPr>
        <w:t> </w:t>
      </w:r>
      <w:r>
        <w:rPr>
          <w:color w:val="231F20"/>
          <w:spacing w:val="-3"/>
          <w:w w:val="105"/>
        </w:rPr>
        <w:t>politico”</w:t>
      </w:r>
      <w:r>
        <w:rPr>
          <w:color w:val="231F20"/>
          <w:spacing w:val="-32"/>
          <w:w w:val="105"/>
        </w:rPr>
        <w:t> </w:t>
      </w:r>
      <w:r>
        <w:rPr>
          <w:color w:val="231F20"/>
          <w:spacing w:val="-3"/>
          <w:w w:val="105"/>
        </w:rPr>
        <w:t>posta</w:t>
      </w:r>
      <w:r>
        <w:rPr>
          <w:color w:val="231F20"/>
          <w:spacing w:val="-32"/>
          <w:w w:val="105"/>
        </w:rPr>
        <w:t> </w:t>
      </w:r>
      <w:r>
        <w:rPr>
          <w:color w:val="231F20"/>
          <w:spacing w:val="-3"/>
          <w:w w:val="105"/>
        </w:rPr>
        <w:t>alla </w:t>
      </w:r>
      <w:r>
        <w:rPr>
          <w:color w:val="231F20"/>
          <w:w w:val="105"/>
        </w:rPr>
        <w:t>base</w:t>
      </w:r>
      <w:r>
        <w:rPr>
          <w:color w:val="231F20"/>
          <w:spacing w:val="-23"/>
          <w:w w:val="105"/>
        </w:rPr>
        <w:t> </w:t>
      </w:r>
      <w:r>
        <w:rPr>
          <w:color w:val="231F20"/>
          <w:w w:val="105"/>
        </w:rPr>
        <w:t>di</w:t>
      </w:r>
      <w:r>
        <w:rPr>
          <w:color w:val="231F20"/>
          <w:spacing w:val="-23"/>
          <w:w w:val="105"/>
        </w:rPr>
        <w:t> </w:t>
      </w:r>
      <w:r>
        <w:rPr>
          <w:color w:val="231F20"/>
          <w:w w:val="105"/>
        </w:rPr>
        <w:t>tutta</w:t>
      </w:r>
      <w:r>
        <w:rPr>
          <w:color w:val="231F20"/>
          <w:spacing w:val="-23"/>
          <w:w w:val="105"/>
        </w:rPr>
        <w:t> </w:t>
      </w:r>
      <w:r>
        <w:rPr>
          <w:color w:val="231F20"/>
          <w:w w:val="105"/>
        </w:rPr>
        <w:t>la</w:t>
      </w:r>
      <w:r>
        <w:rPr>
          <w:color w:val="231F20"/>
          <w:spacing w:val="-23"/>
          <w:w w:val="105"/>
        </w:rPr>
        <w:t> </w:t>
      </w:r>
      <w:r>
        <w:rPr>
          <w:color w:val="231F20"/>
          <w:w w:val="105"/>
        </w:rPr>
        <w:t>sua</w:t>
      </w:r>
      <w:r>
        <w:rPr>
          <w:color w:val="231F20"/>
          <w:spacing w:val="-23"/>
          <w:w w:val="105"/>
        </w:rPr>
        <w:t> </w:t>
      </w:r>
      <w:r>
        <w:rPr>
          <w:color w:val="231F20"/>
          <w:w w:val="105"/>
        </w:rPr>
        <w:t>teorizzazione.</w:t>
      </w:r>
      <w:r>
        <w:rPr>
          <w:color w:val="231F20"/>
          <w:spacing w:val="-23"/>
          <w:w w:val="105"/>
        </w:rPr>
        <w:t> </w:t>
      </w:r>
      <w:r>
        <w:rPr>
          <w:color w:val="231F20"/>
          <w:w w:val="105"/>
        </w:rPr>
        <w:t>Come</w:t>
      </w:r>
      <w:r>
        <w:rPr>
          <w:color w:val="231F20"/>
          <w:spacing w:val="-23"/>
          <w:w w:val="105"/>
        </w:rPr>
        <w:t> </w:t>
      </w:r>
      <w:r>
        <w:rPr>
          <w:color w:val="231F20"/>
          <w:w w:val="105"/>
        </w:rPr>
        <w:t>ha</w:t>
      </w:r>
      <w:r>
        <w:rPr>
          <w:color w:val="231F20"/>
          <w:spacing w:val="-23"/>
          <w:w w:val="105"/>
        </w:rPr>
        <w:t> </w:t>
      </w:r>
      <w:r>
        <w:rPr>
          <w:color w:val="231F20"/>
          <w:w w:val="105"/>
        </w:rPr>
        <w:t>scritto</w:t>
      </w:r>
      <w:r>
        <w:rPr>
          <w:color w:val="231F20"/>
          <w:spacing w:val="-23"/>
          <w:w w:val="105"/>
        </w:rPr>
        <w:t> </w:t>
      </w:r>
      <w:r>
        <w:rPr>
          <w:color w:val="231F20"/>
          <w:w w:val="105"/>
        </w:rPr>
        <w:t>Chris</w:t>
      </w:r>
      <w:r>
        <w:rPr>
          <w:color w:val="231F20"/>
          <w:spacing w:val="-23"/>
          <w:w w:val="105"/>
        </w:rPr>
        <w:t> </w:t>
      </w:r>
      <w:r>
        <w:rPr>
          <w:color w:val="231F20"/>
          <w:w w:val="105"/>
        </w:rPr>
        <w:t>Brown,</w:t>
      </w:r>
      <w:r>
        <w:rPr>
          <w:color w:val="231F20"/>
          <w:spacing w:val="-23"/>
          <w:w w:val="105"/>
        </w:rPr>
        <w:t> </w:t>
      </w:r>
      <w:r>
        <w:rPr>
          <w:color w:val="231F20"/>
          <w:w w:val="105"/>
        </w:rPr>
        <w:t>da</w:t>
      </w:r>
      <w:r>
        <w:rPr>
          <w:color w:val="231F20"/>
          <w:spacing w:val="-23"/>
          <w:w w:val="105"/>
        </w:rPr>
        <w:t> </w:t>
      </w:r>
      <w:r>
        <w:rPr>
          <w:color w:val="231F20"/>
          <w:w w:val="105"/>
        </w:rPr>
        <w:t>questo punto</w:t>
      </w:r>
      <w:r>
        <w:rPr>
          <w:color w:val="231F20"/>
          <w:spacing w:val="-49"/>
          <w:w w:val="105"/>
        </w:rPr>
        <w:t> </w:t>
      </w:r>
      <w:r>
        <w:rPr>
          <w:color w:val="231F20"/>
          <w:w w:val="105"/>
        </w:rPr>
        <w:t>di</w:t>
      </w:r>
      <w:r>
        <w:rPr>
          <w:color w:val="231F20"/>
          <w:spacing w:val="-49"/>
          <w:w w:val="105"/>
        </w:rPr>
        <w:t> </w:t>
      </w:r>
      <w:r>
        <w:rPr>
          <w:color w:val="231F20"/>
          <w:w w:val="105"/>
        </w:rPr>
        <w:t>vista</w:t>
      </w:r>
      <w:r>
        <w:rPr>
          <w:color w:val="231F20"/>
          <w:spacing w:val="-49"/>
          <w:w w:val="105"/>
        </w:rPr>
        <w:t> </w:t>
      </w:r>
      <w:r>
        <w:rPr>
          <w:color w:val="231F20"/>
          <w:w w:val="105"/>
        </w:rPr>
        <w:t>quello</w:t>
      </w:r>
      <w:r>
        <w:rPr>
          <w:color w:val="231F20"/>
          <w:spacing w:val="-49"/>
          <w:w w:val="105"/>
        </w:rPr>
        <w:t> </w:t>
      </w:r>
      <w:r>
        <w:rPr>
          <w:color w:val="231F20"/>
          <w:w w:val="105"/>
        </w:rPr>
        <w:t>che</w:t>
      </w:r>
      <w:r>
        <w:rPr>
          <w:color w:val="231F20"/>
          <w:spacing w:val="-49"/>
          <w:w w:val="105"/>
        </w:rPr>
        <w:t> </w:t>
      </w:r>
      <w:r>
        <w:rPr>
          <w:color w:val="231F20"/>
          <w:w w:val="105"/>
        </w:rPr>
        <w:t>Schmitt</w:t>
      </w:r>
      <w:r>
        <w:rPr>
          <w:color w:val="231F20"/>
          <w:spacing w:val="-49"/>
          <w:w w:val="105"/>
        </w:rPr>
        <w:t> </w:t>
      </w:r>
      <w:r>
        <w:rPr>
          <w:color w:val="231F20"/>
          <w:w w:val="105"/>
        </w:rPr>
        <w:t>ci</w:t>
      </w:r>
      <w:r>
        <w:rPr>
          <w:color w:val="231F20"/>
          <w:spacing w:val="-49"/>
          <w:w w:val="105"/>
        </w:rPr>
        <w:t> </w:t>
      </w:r>
      <w:r>
        <w:rPr>
          <w:color w:val="231F20"/>
          <w:spacing w:val="-3"/>
          <w:w w:val="105"/>
        </w:rPr>
        <w:t>propone</w:t>
      </w:r>
      <w:r>
        <w:rPr>
          <w:color w:val="231F20"/>
          <w:spacing w:val="-49"/>
          <w:w w:val="105"/>
        </w:rPr>
        <w:t> </w:t>
      </w:r>
      <w:r>
        <w:rPr>
          <w:color w:val="231F20"/>
          <w:w w:val="105"/>
        </w:rPr>
        <w:t>attraverso</w:t>
      </w:r>
      <w:r>
        <w:rPr>
          <w:color w:val="231F20"/>
          <w:spacing w:val="-49"/>
          <w:w w:val="105"/>
        </w:rPr>
        <w:t> </w:t>
      </w:r>
      <w:r>
        <w:rPr>
          <w:color w:val="231F20"/>
          <w:w w:val="105"/>
        </w:rPr>
        <w:t>la</w:t>
      </w:r>
      <w:r>
        <w:rPr>
          <w:color w:val="231F20"/>
          <w:spacing w:val="-49"/>
          <w:w w:val="105"/>
        </w:rPr>
        <w:t> </w:t>
      </w:r>
      <w:r>
        <w:rPr>
          <w:color w:val="231F20"/>
          <w:w w:val="105"/>
        </w:rPr>
        <w:t>sua</w:t>
      </w:r>
      <w:r>
        <w:rPr>
          <w:color w:val="231F20"/>
          <w:spacing w:val="-49"/>
          <w:w w:val="105"/>
        </w:rPr>
        <w:t> </w:t>
      </w:r>
      <w:r>
        <w:rPr>
          <w:color w:val="231F20"/>
          <w:spacing w:val="-3"/>
          <w:w w:val="105"/>
        </w:rPr>
        <w:t>peculiare</w:t>
      </w:r>
      <w:r>
        <w:rPr>
          <w:color w:val="231F20"/>
          <w:spacing w:val="-49"/>
          <w:w w:val="105"/>
        </w:rPr>
        <w:t> </w:t>
      </w:r>
      <w:r>
        <w:rPr>
          <w:color w:val="231F20"/>
          <w:w w:val="105"/>
        </w:rPr>
        <w:t>forma di</w:t>
      </w:r>
      <w:r>
        <w:rPr>
          <w:color w:val="231F20"/>
          <w:spacing w:val="-26"/>
          <w:w w:val="105"/>
        </w:rPr>
        <w:t> </w:t>
      </w:r>
      <w:r>
        <w:rPr>
          <w:color w:val="231F20"/>
          <w:w w:val="105"/>
        </w:rPr>
        <w:t>realismo</w:t>
      </w:r>
      <w:r>
        <w:rPr>
          <w:color w:val="231F20"/>
          <w:spacing w:val="-26"/>
          <w:w w:val="105"/>
        </w:rPr>
        <w:t> </w:t>
      </w:r>
      <w:r>
        <w:rPr>
          <w:color w:val="231F20"/>
          <w:w w:val="105"/>
        </w:rPr>
        <w:t>politico</w:t>
      </w:r>
      <w:r>
        <w:rPr>
          <w:color w:val="231F20"/>
          <w:spacing w:val="-26"/>
          <w:w w:val="105"/>
        </w:rPr>
        <w:t> </w:t>
      </w:r>
      <w:r>
        <w:rPr>
          <w:color w:val="231F20"/>
          <w:w w:val="105"/>
        </w:rPr>
        <w:t>è</w:t>
      </w:r>
      <w:r>
        <w:rPr>
          <w:color w:val="231F20"/>
          <w:spacing w:val="-26"/>
          <w:w w:val="105"/>
        </w:rPr>
        <w:t> </w:t>
      </w:r>
      <w:r>
        <w:rPr>
          <w:color w:val="231F20"/>
          <w:w w:val="105"/>
        </w:rPr>
        <w:t>un</w:t>
      </w:r>
      <w:r>
        <w:rPr>
          <w:color w:val="231F20"/>
          <w:spacing w:val="-26"/>
          <w:w w:val="105"/>
        </w:rPr>
        <w:t> </w:t>
      </w:r>
      <w:r>
        <w:rPr>
          <w:color w:val="231F20"/>
          <w:w w:val="105"/>
        </w:rPr>
        <w:t>vero</w:t>
      </w:r>
      <w:r>
        <w:rPr>
          <w:color w:val="231F20"/>
          <w:spacing w:val="-26"/>
          <w:w w:val="105"/>
        </w:rPr>
        <w:t> </w:t>
      </w:r>
      <w:r>
        <w:rPr>
          <w:color w:val="231F20"/>
          <w:w w:val="105"/>
        </w:rPr>
        <w:t>e</w:t>
      </w:r>
      <w:r>
        <w:rPr>
          <w:color w:val="231F20"/>
          <w:spacing w:val="-26"/>
          <w:w w:val="105"/>
        </w:rPr>
        <w:t> </w:t>
      </w:r>
      <w:r>
        <w:rPr>
          <w:color w:val="231F20"/>
          <w:w w:val="105"/>
        </w:rPr>
        <w:t>proprio</w:t>
      </w:r>
      <w:r>
        <w:rPr>
          <w:color w:val="231F20"/>
          <w:spacing w:val="-27"/>
          <w:w w:val="105"/>
        </w:rPr>
        <w:t> </w:t>
      </w:r>
      <w:r>
        <w:rPr>
          <w:rFonts w:ascii="Arial" w:hAnsi="Arial"/>
          <w:i/>
          <w:color w:val="231F20"/>
          <w:w w:val="105"/>
        </w:rPr>
        <w:t>patto</w:t>
      </w:r>
      <w:r>
        <w:rPr>
          <w:rFonts w:ascii="Arial" w:hAnsi="Arial"/>
          <w:i/>
          <w:color w:val="231F20"/>
          <w:spacing w:val="-19"/>
          <w:w w:val="105"/>
        </w:rPr>
        <w:t> </w:t>
      </w:r>
      <w:r>
        <w:rPr>
          <w:rFonts w:ascii="Arial" w:hAnsi="Arial"/>
          <w:i/>
          <w:color w:val="231F20"/>
          <w:w w:val="105"/>
        </w:rPr>
        <w:t>col</w:t>
      </w:r>
      <w:r>
        <w:rPr>
          <w:rFonts w:ascii="Arial" w:hAnsi="Arial"/>
          <w:i/>
          <w:color w:val="231F20"/>
          <w:spacing w:val="-19"/>
          <w:w w:val="105"/>
        </w:rPr>
        <w:t> </w:t>
      </w:r>
      <w:r>
        <w:rPr>
          <w:rFonts w:ascii="Arial" w:hAnsi="Arial"/>
          <w:i/>
          <w:color w:val="231F20"/>
          <w:w w:val="105"/>
        </w:rPr>
        <w:t>diavolo</w:t>
      </w:r>
      <w:r>
        <w:rPr>
          <w:color w:val="231F20"/>
          <w:w w:val="105"/>
        </w:rPr>
        <w:t>:</w:t>
      </w:r>
      <w:r>
        <w:rPr>
          <w:color w:val="231F20"/>
          <w:spacing w:val="-26"/>
          <w:w w:val="105"/>
        </w:rPr>
        <w:t> </w:t>
      </w:r>
      <w:r>
        <w:rPr>
          <w:color w:val="231F20"/>
          <w:w w:val="105"/>
        </w:rPr>
        <w:t>“accettate</w:t>
      </w:r>
      <w:r>
        <w:rPr>
          <w:color w:val="231F20"/>
          <w:spacing w:val="-26"/>
          <w:w w:val="105"/>
        </w:rPr>
        <w:t> </w:t>
      </w:r>
      <w:r>
        <w:rPr>
          <w:color w:val="231F20"/>
          <w:w w:val="105"/>
        </w:rPr>
        <w:t>il</w:t>
      </w:r>
      <w:r>
        <w:rPr>
          <w:color w:val="231F20"/>
          <w:spacing w:val="-26"/>
          <w:w w:val="105"/>
        </w:rPr>
        <w:t> </w:t>
      </w:r>
      <w:r>
        <w:rPr>
          <w:color w:val="231F20"/>
          <w:w w:val="105"/>
        </w:rPr>
        <w:t>fatto che</w:t>
      </w:r>
      <w:r>
        <w:rPr>
          <w:color w:val="231F20"/>
          <w:spacing w:val="-34"/>
          <w:w w:val="105"/>
        </w:rPr>
        <w:t> </w:t>
      </w:r>
      <w:r>
        <w:rPr>
          <w:color w:val="231F20"/>
          <w:w w:val="105"/>
        </w:rPr>
        <w:t>la</w:t>
      </w:r>
      <w:r>
        <w:rPr>
          <w:color w:val="231F20"/>
          <w:spacing w:val="-34"/>
          <w:w w:val="105"/>
        </w:rPr>
        <w:t> </w:t>
      </w:r>
      <w:r>
        <w:rPr>
          <w:color w:val="231F20"/>
          <w:w w:val="105"/>
        </w:rPr>
        <w:t>violenza</w:t>
      </w:r>
      <w:r>
        <w:rPr>
          <w:color w:val="231F20"/>
          <w:spacing w:val="-34"/>
          <w:w w:val="105"/>
        </w:rPr>
        <w:t> </w:t>
      </w:r>
      <w:r>
        <w:rPr>
          <w:color w:val="231F20"/>
          <w:w w:val="105"/>
        </w:rPr>
        <w:t>è</w:t>
      </w:r>
      <w:r>
        <w:rPr>
          <w:color w:val="231F20"/>
          <w:spacing w:val="-34"/>
          <w:w w:val="105"/>
        </w:rPr>
        <w:t> </w:t>
      </w:r>
      <w:r>
        <w:rPr>
          <w:color w:val="231F20"/>
          <w:w w:val="105"/>
        </w:rPr>
        <w:t>semplicemente</w:t>
      </w:r>
      <w:r>
        <w:rPr>
          <w:color w:val="231F20"/>
          <w:spacing w:val="-34"/>
          <w:w w:val="105"/>
        </w:rPr>
        <w:t> </w:t>
      </w:r>
      <w:r>
        <w:rPr>
          <w:color w:val="231F20"/>
          <w:w w:val="105"/>
        </w:rPr>
        <w:t>parte</w:t>
      </w:r>
      <w:r>
        <w:rPr>
          <w:color w:val="231F20"/>
          <w:spacing w:val="-34"/>
          <w:w w:val="105"/>
        </w:rPr>
        <w:t> </w:t>
      </w:r>
      <w:r>
        <w:rPr>
          <w:color w:val="231F20"/>
          <w:w w:val="105"/>
        </w:rPr>
        <w:t>dell’esistenza</w:t>
      </w:r>
      <w:r>
        <w:rPr>
          <w:color w:val="231F20"/>
          <w:spacing w:val="-34"/>
          <w:w w:val="105"/>
        </w:rPr>
        <w:t> </w:t>
      </w:r>
      <w:r>
        <w:rPr>
          <w:color w:val="231F20"/>
          <w:w w:val="105"/>
        </w:rPr>
        <w:t>umana</w:t>
      </w:r>
      <w:r>
        <w:rPr>
          <w:color w:val="231F20"/>
          <w:spacing w:val="-34"/>
          <w:w w:val="105"/>
        </w:rPr>
        <w:t> </w:t>
      </w:r>
      <w:r>
        <w:rPr>
          <w:color w:val="231F20"/>
          <w:w w:val="105"/>
        </w:rPr>
        <w:t>—dimenticate i</w:t>
      </w:r>
      <w:r>
        <w:rPr>
          <w:color w:val="231F20"/>
          <w:spacing w:val="-26"/>
          <w:w w:val="105"/>
        </w:rPr>
        <w:t> </w:t>
      </w:r>
      <w:r>
        <w:rPr>
          <w:color w:val="231F20"/>
          <w:w w:val="105"/>
        </w:rPr>
        <w:t>tentativi</w:t>
      </w:r>
      <w:r>
        <w:rPr>
          <w:color w:val="231F20"/>
          <w:spacing w:val="-26"/>
          <w:w w:val="105"/>
        </w:rPr>
        <w:t> </w:t>
      </w:r>
      <w:r>
        <w:rPr>
          <w:color w:val="231F20"/>
          <w:w w:val="105"/>
        </w:rPr>
        <w:t>di</w:t>
      </w:r>
      <w:r>
        <w:rPr>
          <w:color w:val="231F20"/>
          <w:spacing w:val="-26"/>
          <w:w w:val="105"/>
        </w:rPr>
        <w:t> </w:t>
      </w:r>
      <w:r>
        <w:rPr>
          <w:color w:val="231F20"/>
          <w:w w:val="105"/>
        </w:rPr>
        <w:t>esigere</w:t>
      </w:r>
      <w:r>
        <w:rPr>
          <w:color w:val="231F20"/>
          <w:spacing w:val="-26"/>
          <w:w w:val="105"/>
        </w:rPr>
        <w:t> </w:t>
      </w:r>
      <w:r>
        <w:rPr>
          <w:color w:val="231F20"/>
          <w:w w:val="105"/>
        </w:rPr>
        <w:t>che</w:t>
      </w:r>
      <w:r>
        <w:rPr>
          <w:color w:val="231F20"/>
          <w:spacing w:val="-26"/>
          <w:w w:val="105"/>
        </w:rPr>
        <w:t> </w:t>
      </w:r>
      <w:r>
        <w:rPr>
          <w:color w:val="231F20"/>
          <w:w w:val="105"/>
        </w:rPr>
        <w:t>la</w:t>
      </w:r>
      <w:r>
        <w:rPr>
          <w:color w:val="231F20"/>
          <w:spacing w:val="-26"/>
          <w:w w:val="105"/>
        </w:rPr>
        <w:t> </w:t>
      </w:r>
      <w:r>
        <w:rPr>
          <w:color w:val="231F20"/>
          <w:w w:val="105"/>
        </w:rPr>
        <w:t>violenza</w:t>
      </w:r>
      <w:r>
        <w:rPr>
          <w:color w:val="231F20"/>
          <w:spacing w:val="-26"/>
          <w:w w:val="105"/>
        </w:rPr>
        <w:t> </w:t>
      </w:r>
      <w:r>
        <w:rPr>
          <w:color w:val="231F20"/>
          <w:w w:val="105"/>
        </w:rPr>
        <w:t>sia</w:t>
      </w:r>
      <w:r>
        <w:rPr>
          <w:color w:val="231F20"/>
          <w:spacing w:val="-26"/>
          <w:w w:val="105"/>
        </w:rPr>
        <w:t> </w:t>
      </w:r>
      <w:r>
        <w:rPr>
          <w:color w:val="231F20"/>
          <w:w w:val="105"/>
        </w:rPr>
        <w:t>giustificata—</w:t>
      </w:r>
      <w:r>
        <w:rPr>
          <w:color w:val="231F20"/>
          <w:spacing w:val="-26"/>
          <w:w w:val="105"/>
        </w:rPr>
        <w:t> </w:t>
      </w:r>
      <w:r>
        <w:rPr>
          <w:color w:val="231F20"/>
          <w:w w:val="105"/>
        </w:rPr>
        <w:t>e</w:t>
      </w:r>
      <w:r>
        <w:rPr>
          <w:color w:val="231F20"/>
          <w:spacing w:val="-26"/>
          <w:w w:val="105"/>
        </w:rPr>
        <w:t> </w:t>
      </w:r>
      <w:r>
        <w:rPr>
          <w:color w:val="231F20"/>
          <w:w w:val="105"/>
        </w:rPr>
        <w:t>in</w:t>
      </w:r>
      <w:r>
        <w:rPr>
          <w:color w:val="231F20"/>
          <w:spacing w:val="-26"/>
          <w:w w:val="105"/>
        </w:rPr>
        <w:t> </w:t>
      </w:r>
      <w:r>
        <w:rPr>
          <w:color w:val="231F20"/>
          <w:w w:val="105"/>
        </w:rPr>
        <w:t>cambio</w:t>
      </w:r>
      <w:r>
        <w:rPr>
          <w:color w:val="231F20"/>
          <w:spacing w:val="-26"/>
          <w:w w:val="105"/>
        </w:rPr>
        <w:t> </w:t>
      </w:r>
      <w:r>
        <w:rPr>
          <w:color w:val="231F20"/>
          <w:w w:val="105"/>
        </w:rPr>
        <w:t>avrete</w:t>
      </w:r>
      <w:r>
        <w:rPr>
          <w:color w:val="231F20"/>
          <w:spacing w:val="-26"/>
          <w:w w:val="105"/>
        </w:rPr>
        <w:t> </w:t>
      </w:r>
      <w:r>
        <w:rPr>
          <w:color w:val="231F20"/>
          <w:w w:val="105"/>
        </w:rPr>
        <w:t>un mondo</w:t>
      </w:r>
      <w:r>
        <w:rPr>
          <w:color w:val="231F20"/>
          <w:spacing w:val="-12"/>
          <w:w w:val="105"/>
        </w:rPr>
        <w:t> </w:t>
      </w:r>
      <w:r>
        <w:rPr>
          <w:color w:val="231F20"/>
          <w:w w:val="105"/>
        </w:rPr>
        <w:t>in</w:t>
      </w:r>
      <w:r>
        <w:rPr>
          <w:color w:val="231F20"/>
          <w:spacing w:val="-12"/>
          <w:w w:val="105"/>
        </w:rPr>
        <w:t> </w:t>
      </w:r>
      <w:r>
        <w:rPr>
          <w:color w:val="231F20"/>
          <w:w w:val="105"/>
        </w:rPr>
        <w:t>cui</w:t>
      </w:r>
      <w:r>
        <w:rPr>
          <w:color w:val="231F20"/>
          <w:spacing w:val="-12"/>
          <w:w w:val="105"/>
        </w:rPr>
        <w:t> </w:t>
      </w:r>
      <w:r>
        <w:rPr>
          <w:color w:val="231F20"/>
          <w:w w:val="105"/>
        </w:rPr>
        <w:t>essa</w:t>
      </w:r>
      <w:r>
        <w:rPr>
          <w:color w:val="231F20"/>
          <w:spacing w:val="-12"/>
          <w:w w:val="105"/>
        </w:rPr>
        <w:t> </w:t>
      </w:r>
      <w:r>
        <w:rPr>
          <w:color w:val="231F20"/>
          <w:w w:val="105"/>
        </w:rPr>
        <w:t>sarà</w:t>
      </w:r>
      <w:r>
        <w:rPr>
          <w:color w:val="231F20"/>
          <w:spacing w:val="-12"/>
          <w:w w:val="105"/>
        </w:rPr>
        <w:t> </w:t>
      </w:r>
      <w:r>
        <w:rPr>
          <w:color w:val="231F20"/>
          <w:w w:val="105"/>
        </w:rPr>
        <w:t>effettivamente</w:t>
      </w:r>
      <w:r>
        <w:rPr>
          <w:color w:val="231F20"/>
          <w:spacing w:val="-12"/>
          <w:w w:val="105"/>
        </w:rPr>
        <w:t> </w:t>
      </w:r>
      <w:r>
        <w:rPr>
          <w:color w:val="231F20"/>
          <w:w w:val="105"/>
        </w:rPr>
        <w:t>più</w:t>
      </w:r>
      <w:r>
        <w:rPr>
          <w:color w:val="231F20"/>
          <w:spacing w:val="-12"/>
          <w:w w:val="105"/>
        </w:rPr>
        <w:t> </w:t>
      </w:r>
      <w:r>
        <w:rPr>
          <w:color w:val="231F20"/>
          <w:w w:val="105"/>
        </w:rPr>
        <w:t>controllata</w:t>
      </w:r>
      <w:r>
        <w:rPr>
          <w:color w:val="231F20"/>
          <w:spacing w:val="-12"/>
          <w:w w:val="105"/>
        </w:rPr>
        <w:t> </w:t>
      </w:r>
      <w:r>
        <w:rPr>
          <w:color w:val="231F20"/>
          <w:w w:val="105"/>
        </w:rPr>
        <w:t>e</w:t>
      </w:r>
      <w:r>
        <w:rPr>
          <w:color w:val="231F20"/>
          <w:spacing w:val="-12"/>
          <w:w w:val="105"/>
        </w:rPr>
        <w:t> </w:t>
      </w:r>
      <w:r>
        <w:rPr>
          <w:color w:val="231F20"/>
          <w:w w:val="105"/>
        </w:rPr>
        <w:t>meno</w:t>
      </w:r>
      <w:r>
        <w:rPr>
          <w:color w:val="231F20"/>
          <w:spacing w:val="-12"/>
          <w:w w:val="105"/>
        </w:rPr>
        <w:t> </w:t>
      </w:r>
      <w:r>
        <w:rPr>
          <w:color w:val="231F20"/>
          <w:w w:val="105"/>
        </w:rPr>
        <w:t>pericolosa per</w:t>
      </w:r>
      <w:r>
        <w:rPr>
          <w:color w:val="231F20"/>
          <w:spacing w:val="-18"/>
          <w:w w:val="105"/>
        </w:rPr>
        <w:t> </w:t>
      </w:r>
      <w:r>
        <w:rPr>
          <w:color w:val="231F20"/>
          <w:w w:val="105"/>
        </w:rPr>
        <w:t>l’esistenza</w:t>
      </w:r>
      <w:r>
        <w:rPr>
          <w:color w:val="231F20"/>
          <w:spacing w:val="-18"/>
          <w:w w:val="105"/>
        </w:rPr>
        <w:t> </w:t>
      </w:r>
      <w:r>
        <w:rPr>
          <w:color w:val="231F20"/>
          <w:w w:val="105"/>
        </w:rPr>
        <w:t>umana</w:t>
      </w:r>
      <w:r>
        <w:rPr>
          <w:color w:val="231F20"/>
          <w:spacing w:val="-18"/>
          <w:w w:val="105"/>
        </w:rPr>
        <w:t> </w:t>
      </w:r>
      <w:r>
        <w:rPr>
          <w:color w:val="231F20"/>
          <w:w w:val="105"/>
        </w:rPr>
        <w:t>di</w:t>
      </w:r>
      <w:r>
        <w:rPr>
          <w:color w:val="231F20"/>
          <w:spacing w:val="-18"/>
          <w:w w:val="105"/>
        </w:rPr>
        <w:t> </w:t>
      </w:r>
      <w:r>
        <w:rPr>
          <w:color w:val="231F20"/>
          <w:w w:val="105"/>
        </w:rPr>
        <w:t>quanto</w:t>
      </w:r>
      <w:r>
        <w:rPr>
          <w:color w:val="231F20"/>
          <w:spacing w:val="-18"/>
          <w:w w:val="105"/>
        </w:rPr>
        <w:t> </w:t>
      </w:r>
      <w:r>
        <w:rPr>
          <w:color w:val="231F20"/>
          <w:w w:val="105"/>
        </w:rPr>
        <w:t>altrimenti</w:t>
      </w:r>
      <w:r>
        <w:rPr>
          <w:color w:val="231F20"/>
          <w:spacing w:val="-18"/>
          <w:w w:val="105"/>
        </w:rPr>
        <w:t> </w:t>
      </w:r>
      <w:r>
        <w:rPr>
          <w:color w:val="231F20"/>
          <w:w w:val="105"/>
        </w:rPr>
        <w:t>sarebbe”</w:t>
      </w:r>
      <w:r>
        <w:rPr>
          <w:color w:val="231F20"/>
          <w:w w:val="105"/>
          <w:position w:val="7"/>
          <w:sz w:val="12"/>
        </w:rPr>
        <w:t>65</w:t>
      </w:r>
      <w:r>
        <w:rPr>
          <w:color w:val="231F20"/>
          <w:w w:val="105"/>
        </w:rPr>
        <w:t>.</w:t>
      </w:r>
      <w:r>
        <w:rPr>
          <w:color w:val="231F20"/>
          <w:spacing w:val="-18"/>
          <w:w w:val="105"/>
        </w:rPr>
        <w:t> </w:t>
      </w:r>
      <w:r>
        <w:rPr>
          <w:color w:val="231F20"/>
          <w:w w:val="105"/>
        </w:rPr>
        <w:t>Far</w:t>
      </w:r>
      <w:r>
        <w:rPr>
          <w:color w:val="231F20"/>
          <w:spacing w:val="-18"/>
          <w:w w:val="105"/>
        </w:rPr>
        <w:t> </w:t>
      </w:r>
      <w:r>
        <w:rPr>
          <w:color w:val="231F20"/>
          <w:w w:val="105"/>
        </w:rPr>
        <w:t>propria</w:t>
      </w:r>
      <w:r>
        <w:rPr>
          <w:color w:val="231F20"/>
          <w:spacing w:val="-18"/>
          <w:w w:val="105"/>
        </w:rPr>
        <w:t> </w:t>
      </w:r>
      <w:r>
        <w:rPr>
          <w:color w:val="231F20"/>
          <w:w w:val="105"/>
        </w:rPr>
        <w:t>questa</w:t>
      </w:r>
    </w:p>
    <w:p>
      <w:pPr>
        <w:pStyle w:val="BodyText"/>
        <w:spacing w:before="10"/>
        <w:rPr>
          <w:sz w:val="20"/>
        </w:rPr>
      </w:pPr>
      <w:r>
        <w:rPr/>
        <w:pict>
          <v:line style="position:absolute;mso-position-horizontal-relative:page;mso-position-vertical-relative:paragraph;z-index:14872;mso-wrap-distance-left:0;mso-wrap-distance-right:0" from="65.1968pt,14.691176pt" to="178.5828pt,14.691176pt" stroked="true" strokeweight=".3pt" strokecolor="#231f20">
            <w10:wrap type="topAndBottom"/>
          </v:line>
        </w:pict>
      </w:r>
    </w:p>
    <w:p>
      <w:pPr>
        <w:spacing w:line="206" w:lineRule="exact" w:before="10"/>
        <w:ind w:left="103" w:right="0" w:firstLine="0"/>
        <w:jc w:val="both"/>
        <w:rPr>
          <w:rFonts w:ascii="Calibri"/>
          <w:sz w:val="17"/>
        </w:rPr>
      </w:pPr>
      <w:r>
        <w:rPr>
          <w:rFonts w:ascii="Calibri"/>
          <w:color w:val="231F20"/>
          <w:position w:val="6"/>
          <w:sz w:val="10"/>
        </w:rPr>
        <w:t>61  </w:t>
      </w:r>
      <w:r>
        <w:rPr>
          <w:rFonts w:ascii="Calibri"/>
          <w:color w:val="231F20"/>
          <w:sz w:val="17"/>
        </w:rPr>
        <w:t>M. Hardt y A. Negri, </w:t>
      </w:r>
      <w:r>
        <w:rPr>
          <w:rFonts w:ascii="Calibri"/>
          <w:i/>
          <w:color w:val="231F20"/>
          <w:sz w:val="17"/>
        </w:rPr>
        <w:t>Empire</w:t>
      </w:r>
      <w:r>
        <w:rPr>
          <w:rFonts w:ascii="Calibri"/>
          <w:color w:val="231F20"/>
          <w:sz w:val="17"/>
        </w:rPr>
        <w:t>, Harvard University Press, 2000 (trad. it. Impero. Il nuovo ordine della</w:t>
      </w:r>
    </w:p>
    <w:p>
      <w:pPr>
        <w:spacing w:line="204" w:lineRule="exact" w:before="0"/>
        <w:ind w:left="103" w:right="0" w:firstLine="0"/>
        <w:jc w:val="both"/>
        <w:rPr>
          <w:rFonts w:ascii="Calibri" w:hAnsi="Calibri"/>
          <w:sz w:val="17"/>
        </w:rPr>
      </w:pPr>
      <w:r>
        <w:rPr>
          <w:rFonts w:ascii="Calibri" w:hAnsi="Calibri"/>
          <w:i/>
          <w:color w:val="231F20"/>
          <w:sz w:val="17"/>
        </w:rPr>
        <w:t>globalizzazione</w:t>
      </w:r>
      <w:r>
        <w:rPr>
          <w:rFonts w:ascii="Calibri" w:hAnsi="Calibri"/>
          <w:color w:val="231F20"/>
          <w:sz w:val="17"/>
        </w:rPr>
        <w:t>, Milano, Rizzoli, 2002, pp. 23–24).</w:t>
      </w:r>
    </w:p>
    <w:p>
      <w:pPr>
        <w:spacing w:line="235" w:lineRule="auto" w:before="1"/>
        <w:ind w:left="103" w:right="114" w:firstLine="0"/>
        <w:jc w:val="both"/>
        <w:rPr>
          <w:rFonts w:ascii="Calibri" w:hAnsi="Calibri"/>
          <w:i/>
          <w:sz w:val="17"/>
        </w:rPr>
      </w:pPr>
      <w:r>
        <w:rPr>
          <w:rFonts w:ascii="Calibri" w:hAnsi="Calibri"/>
          <w:color w:val="231F20"/>
          <w:w w:val="105"/>
          <w:position w:val="6"/>
          <w:sz w:val="10"/>
        </w:rPr>
        <w:t>62</w:t>
      </w:r>
      <w:r>
        <w:rPr>
          <w:rFonts w:ascii="Calibri" w:hAnsi="Calibri"/>
          <w:color w:val="231F20"/>
          <w:spacing w:val="5"/>
          <w:w w:val="105"/>
          <w:position w:val="6"/>
          <w:sz w:val="10"/>
        </w:rPr>
        <w:t> </w:t>
      </w:r>
      <w:r>
        <w:rPr>
          <w:rFonts w:ascii="Calibri" w:hAnsi="Calibri"/>
          <w:color w:val="231F20"/>
          <w:w w:val="105"/>
          <w:sz w:val="17"/>
        </w:rPr>
        <w:t>Su</w:t>
      </w:r>
      <w:r>
        <w:rPr>
          <w:rFonts w:ascii="Calibri" w:hAnsi="Calibri"/>
          <w:color w:val="231F20"/>
          <w:spacing w:val="-11"/>
          <w:w w:val="105"/>
          <w:sz w:val="17"/>
        </w:rPr>
        <w:t> </w:t>
      </w:r>
      <w:r>
        <w:rPr>
          <w:rFonts w:ascii="Calibri" w:hAnsi="Calibri"/>
          <w:color w:val="231F20"/>
          <w:w w:val="105"/>
          <w:sz w:val="17"/>
        </w:rPr>
        <w:t>questo</w:t>
      </w:r>
      <w:r>
        <w:rPr>
          <w:rFonts w:ascii="Calibri" w:hAnsi="Calibri"/>
          <w:color w:val="231F20"/>
          <w:spacing w:val="-11"/>
          <w:w w:val="105"/>
          <w:sz w:val="17"/>
        </w:rPr>
        <w:t> </w:t>
      </w:r>
      <w:r>
        <w:rPr>
          <w:rFonts w:ascii="Calibri" w:hAnsi="Calibri"/>
          <w:color w:val="231F20"/>
          <w:w w:val="105"/>
          <w:sz w:val="17"/>
        </w:rPr>
        <w:t>condizionante</w:t>
      </w:r>
      <w:r>
        <w:rPr>
          <w:rFonts w:ascii="Calibri" w:hAnsi="Calibri"/>
          <w:color w:val="231F20"/>
          <w:spacing w:val="-11"/>
          <w:w w:val="105"/>
          <w:sz w:val="17"/>
        </w:rPr>
        <w:t> </w:t>
      </w:r>
      <w:r>
        <w:rPr>
          <w:rFonts w:ascii="Calibri" w:hAnsi="Calibri"/>
          <w:color w:val="231F20"/>
          <w:w w:val="105"/>
          <w:sz w:val="17"/>
        </w:rPr>
        <w:t>aspetto</w:t>
      </w:r>
      <w:r>
        <w:rPr>
          <w:rFonts w:ascii="Calibri" w:hAnsi="Calibri"/>
          <w:color w:val="231F20"/>
          <w:spacing w:val="-11"/>
          <w:w w:val="105"/>
          <w:sz w:val="17"/>
        </w:rPr>
        <w:t> </w:t>
      </w:r>
      <w:r>
        <w:rPr>
          <w:rFonts w:ascii="Calibri" w:hAnsi="Calibri"/>
          <w:color w:val="231F20"/>
          <w:w w:val="105"/>
          <w:sz w:val="17"/>
        </w:rPr>
        <w:t>dell’anti-universalismo</w:t>
      </w:r>
      <w:r>
        <w:rPr>
          <w:rFonts w:ascii="Calibri" w:hAnsi="Calibri"/>
          <w:color w:val="231F20"/>
          <w:spacing w:val="-11"/>
          <w:w w:val="105"/>
          <w:sz w:val="17"/>
        </w:rPr>
        <w:t> </w:t>
      </w:r>
      <w:r>
        <w:rPr>
          <w:rFonts w:ascii="Calibri" w:hAnsi="Calibri"/>
          <w:color w:val="231F20"/>
          <w:w w:val="105"/>
          <w:sz w:val="17"/>
        </w:rPr>
        <w:t>schmittiano</w:t>
      </w:r>
      <w:r>
        <w:rPr>
          <w:rFonts w:ascii="Calibri" w:hAnsi="Calibri"/>
          <w:color w:val="231F20"/>
          <w:spacing w:val="-11"/>
          <w:w w:val="105"/>
          <w:sz w:val="17"/>
        </w:rPr>
        <w:t> </w:t>
      </w:r>
      <w:r>
        <w:rPr>
          <w:rFonts w:ascii="Calibri" w:hAnsi="Calibri"/>
          <w:color w:val="231F20"/>
          <w:w w:val="105"/>
          <w:sz w:val="17"/>
        </w:rPr>
        <w:t>e</w:t>
      </w:r>
      <w:r>
        <w:rPr>
          <w:rFonts w:ascii="Calibri" w:hAnsi="Calibri"/>
          <w:color w:val="231F20"/>
          <w:spacing w:val="-11"/>
          <w:w w:val="105"/>
          <w:sz w:val="17"/>
        </w:rPr>
        <w:t> </w:t>
      </w:r>
      <w:r>
        <w:rPr>
          <w:rFonts w:ascii="Calibri" w:hAnsi="Calibri"/>
          <w:color w:val="231F20"/>
          <w:w w:val="105"/>
          <w:sz w:val="17"/>
        </w:rPr>
        <w:t>sulle</w:t>
      </w:r>
      <w:r>
        <w:rPr>
          <w:rFonts w:ascii="Calibri" w:hAnsi="Calibri"/>
          <w:color w:val="231F20"/>
          <w:spacing w:val="-11"/>
          <w:w w:val="105"/>
          <w:sz w:val="17"/>
        </w:rPr>
        <w:t> </w:t>
      </w:r>
      <w:r>
        <w:rPr>
          <w:rFonts w:ascii="Calibri" w:hAnsi="Calibri"/>
          <w:color w:val="231F20"/>
          <w:w w:val="105"/>
          <w:sz w:val="17"/>
        </w:rPr>
        <w:t>diThcoltà</w:t>
      </w:r>
      <w:r>
        <w:rPr>
          <w:rFonts w:ascii="Calibri" w:hAnsi="Calibri"/>
          <w:color w:val="231F20"/>
          <w:spacing w:val="-11"/>
          <w:w w:val="105"/>
          <w:sz w:val="17"/>
        </w:rPr>
        <w:t> </w:t>
      </w:r>
      <w:r>
        <w:rPr>
          <w:rFonts w:ascii="Calibri" w:hAnsi="Calibri"/>
          <w:color w:val="231F20"/>
          <w:w w:val="105"/>
          <w:sz w:val="17"/>
        </w:rPr>
        <w:t>che</w:t>
      </w:r>
      <w:r>
        <w:rPr>
          <w:rFonts w:ascii="Calibri" w:hAnsi="Calibri"/>
          <w:color w:val="231F20"/>
          <w:spacing w:val="-11"/>
          <w:w w:val="105"/>
          <w:sz w:val="17"/>
        </w:rPr>
        <w:t> </w:t>
      </w:r>
      <w:r>
        <w:rPr>
          <w:rFonts w:ascii="Calibri" w:hAnsi="Calibri"/>
          <w:color w:val="231F20"/>
          <w:w w:val="105"/>
          <w:sz w:val="17"/>
        </w:rPr>
        <w:t>esso pone ad un suo recupero contemporaneo si veda, da ultimo, Axtmann, </w:t>
      </w:r>
      <w:r>
        <w:rPr>
          <w:rFonts w:ascii="Calibri" w:hAnsi="Calibri"/>
          <w:i/>
          <w:color w:val="231F20"/>
          <w:w w:val="105"/>
          <w:sz w:val="17"/>
        </w:rPr>
        <w:t>Humanity or Enmity?</w:t>
      </w:r>
      <w:r>
        <w:rPr>
          <w:rFonts w:ascii="Calibri" w:hAnsi="Calibri"/>
          <w:color w:val="231F20"/>
          <w:w w:val="105"/>
          <w:sz w:val="17"/>
        </w:rPr>
        <w:t>; Chandler,</w:t>
      </w:r>
      <w:r>
        <w:rPr>
          <w:rFonts w:ascii="Calibri" w:hAnsi="Calibri"/>
          <w:color w:val="231F20"/>
          <w:spacing w:val="-5"/>
          <w:w w:val="105"/>
          <w:sz w:val="17"/>
        </w:rPr>
        <w:t> </w:t>
      </w:r>
      <w:r>
        <w:rPr>
          <w:rFonts w:ascii="Calibri" w:hAnsi="Calibri"/>
          <w:color w:val="231F20"/>
          <w:w w:val="105"/>
          <w:sz w:val="17"/>
        </w:rPr>
        <w:t>“The</w:t>
      </w:r>
      <w:r>
        <w:rPr>
          <w:rFonts w:ascii="Calibri" w:hAnsi="Calibri"/>
          <w:color w:val="231F20"/>
          <w:spacing w:val="-5"/>
          <w:w w:val="105"/>
          <w:sz w:val="17"/>
        </w:rPr>
        <w:t> </w:t>
      </w:r>
      <w:r>
        <w:rPr>
          <w:rFonts w:ascii="Calibri" w:hAnsi="Calibri"/>
          <w:color w:val="231F20"/>
          <w:w w:val="105"/>
          <w:sz w:val="17"/>
        </w:rPr>
        <w:t>Revival</w:t>
      </w:r>
      <w:r>
        <w:rPr>
          <w:rFonts w:ascii="Calibri" w:hAnsi="Calibri"/>
          <w:color w:val="231F20"/>
          <w:spacing w:val="-5"/>
          <w:w w:val="105"/>
          <w:sz w:val="17"/>
        </w:rPr>
        <w:t> </w:t>
      </w:r>
      <w:r>
        <w:rPr>
          <w:rFonts w:ascii="Calibri" w:hAnsi="Calibri"/>
          <w:color w:val="231F20"/>
          <w:w w:val="105"/>
          <w:sz w:val="17"/>
        </w:rPr>
        <w:t>of</w:t>
      </w:r>
      <w:r>
        <w:rPr>
          <w:rFonts w:ascii="Calibri" w:hAnsi="Calibri"/>
          <w:color w:val="231F20"/>
          <w:spacing w:val="-5"/>
          <w:w w:val="105"/>
          <w:sz w:val="17"/>
        </w:rPr>
        <w:t> </w:t>
      </w:r>
      <w:r>
        <w:rPr>
          <w:rFonts w:ascii="Calibri" w:hAnsi="Calibri"/>
          <w:color w:val="231F20"/>
          <w:w w:val="105"/>
          <w:sz w:val="17"/>
        </w:rPr>
        <w:t>Carl</w:t>
      </w:r>
      <w:r>
        <w:rPr>
          <w:rFonts w:ascii="Calibri" w:hAnsi="Calibri"/>
          <w:color w:val="231F20"/>
          <w:spacing w:val="-5"/>
          <w:w w:val="105"/>
          <w:sz w:val="17"/>
        </w:rPr>
        <w:t> </w:t>
      </w:r>
      <w:r>
        <w:rPr>
          <w:rFonts w:ascii="Calibri" w:hAnsi="Calibri"/>
          <w:color w:val="231F20"/>
          <w:w w:val="105"/>
          <w:sz w:val="17"/>
        </w:rPr>
        <w:t>Schmitt</w:t>
      </w:r>
      <w:r>
        <w:rPr>
          <w:rFonts w:ascii="Calibri" w:hAnsi="Calibri"/>
          <w:color w:val="231F20"/>
          <w:spacing w:val="-5"/>
          <w:w w:val="105"/>
          <w:sz w:val="17"/>
        </w:rPr>
        <w:t> </w:t>
      </w:r>
      <w:r>
        <w:rPr>
          <w:rFonts w:ascii="Calibri" w:hAnsi="Calibri"/>
          <w:color w:val="231F20"/>
          <w:w w:val="105"/>
          <w:sz w:val="17"/>
        </w:rPr>
        <w:t>in</w:t>
      </w:r>
      <w:r>
        <w:rPr>
          <w:rFonts w:ascii="Calibri" w:hAnsi="Calibri"/>
          <w:color w:val="231F20"/>
          <w:spacing w:val="-5"/>
          <w:w w:val="105"/>
          <w:sz w:val="17"/>
        </w:rPr>
        <w:t> </w:t>
      </w:r>
      <w:r>
        <w:rPr>
          <w:rFonts w:ascii="Calibri" w:hAnsi="Calibri"/>
          <w:color w:val="231F20"/>
          <w:w w:val="105"/>
          <w:sz w:val="17"/>
        </w:rPr>
        <w:t>International</w:t>
      </w:r>
      <w:r>
        <w:rPr>
          <w:rFonts w:ascii="Calibri" w:hAnsi="Calibri"/>
          <w:color w:val="231F20"/>
          <w:spacing w:val="-5"/>
          <w:w w:val="105"/>
          <w:sz w:val="17"/>
        </w:rPr>
        <w:t> </w:t>
      </w:r>
      <w:r>
        <w:rPr>
          <w:rFonts w:ascii="Calibri" w:hAnsi="Calibri"/>
          <w:color w:val="231F20"/>
          <w:w w:val="105"/>
          <w:sz w:val="17"/>
        </w:rPr>
        <w:t>Relations”,</w:t>
      </w:r>
      <w:r>
        <w:rPr>
          <w:rFonts w:ascii="Calibri" w:hAnsi="Calibri"/>
          <w:color w:val="231F20"/>
          <w:spacing w:val="-5"/>
          <w:w w:val="105"/>
          <w:sz w:val="17"/>
        </w:rPr>
        <w:t> </w:t>
      </w:r>
      <w:r>
        <w:rPr>
          <w:rFonts w:ascii="Calibri" w:hAnsi="Calibri"/>
          <w:color w:val="231F20"/>
          <w:w w:val="105"/>
          <w:sz w:val="17"/>
        </w:rPr>
        <w:t>pp.</w:t>
      </w:r>
      <w:r>
        <w:rPr>
          <w:rFonts w:ascii="Calibri" w:hAnsi="Calibri"/>
          <w:color w:val="231F20"/>
          <w:spacing w:val="-5"/>
          <w:w w:val="105"/>
          <w:sz w:val="17"/>
        </w:rPr>
        <w:t> </w:t>
      </w:r>
      <w:r>
        <w:rPr>
          <w:rFonts w:ascii="Calibri" w:hAnsi="Calibri"/>
          <w:color w:val="231F20"/>
          <w:w w:val="105"/>
          <w:sz w:val="17"/>
        </w:rPr>
        <w:t>37–38.;</w:t>
      </w:r>
      <w:r>
        <w:rPr>
          <w:rFonts w:ascii="Calibri" w:hAnsi="Calibri"/>
          <w:color w:val="231F20"/>
          <w:spacing w:val="-5"/>
          <w:w w:val="105"/>
          <w:sz w:val="17"/>
        </w:rPr>
        <w:t> </w:t>
      </w:r>
      <w:r>
        <w:rPr>
          <w:rFonts w:ascii="Calibri" w:hAnsi="Calibri"/>
          <w:color w:val="231F20"/>
          <w:w w:val="105"/>
          <w:sz w:val="17"/>
        </w:rPr>
        <w:t>Ch.</w:t>
      </w:r>
      <w:r>
        <w:rPr>
          <w:rFonts w:ascii="Calibri" w:hAnsi="Calibri"/>
          <w:color w:val="231F20"/>
          <w:spacing w:val="-5"/>
          <w:w w:val="105"/>
          <w:sz w:val="17"/>
        </w:rPr>
        <w:t> </w:t>
      </w:r>
      <w:r>
        <w:rPr>
          <w:rFonts w:ascii="Calibri" w:hAnsi="Calibri"/>
          <w:color w:val="231F20"/>
          <w:w w:val="105"/>
          <w:sz w:val="17"/>
        </w:rPr>
        <w:t>Brown,</w:t>
      </w:r>
      <w:r>
        <w:rPr>
          <w:rFonts w:ascii="Calibri" w:hAnsi="Calibri"/>
          <w:color w:val="231F20"/>
          <w:spacing w:val="-5"/>
          <w:w w:val="105"/>
          <w:sz w:val="17"/>
        </w:rPr>
        <w:t> </w:t>
      </w:r>
      <w:r>
        <w:rPr>
          <w:rFonts w:ascii="Calibri" w:hAnsi="Calibri"/>
          <w:color w:val="231F20"/>
          <w:w w:val="105"/>
          <w:sz w:val="17"/>
        </w:rPr>
        <w:t>“From humanized war to humanitarian intervention: Carl Schmitt’s critique of the Just War tradition”, </w:t>
      </w:r>
      <w:r>
        <w:rPr>
          <w:rFonts w:ascii="Calibri" w:hAnsi="Calibri"/>
          <w:i/>
          <w:color w:val="231F20"/>
          <w:w w:val="105"/>
          <w:sz w:val="17"/>
        </w:rPr>
        <w:t>The International Political Thought of Carl Schmitt</w:t>
      </w:r>
      <w:r>
        <w:rPr>
          <w:rFonts w:ascii="Calibri" w:hAnsi="Calibri"/>
          <w:color w:val="231F20"/>
          <w:w w:val="105"/>
          <w:sz w:val="17"/>
        </w:rPr>
        <w:t>, pp. 56–69; J. Huymans, “Know your Schmitt: A Godfather of </w:t>
      </w:r>
      <w:r>
        <w:rPr>
          <w:rFonts w:ascii="Calibri" w:hAnsi="Calibri"/>
          <w:color w:val="231F20"/>
          <w:spacing w:val="-3"/>
          <w:w w:val="105"/>
          <w:sz w:val="17"/>
        </w:rPr>
        <w:t>Truth </w:t>
      </w:r>
      <w:r>
        <w:rPr>
          <w:rFonts w:ascii="Calibri" w:hAnsi="Calibri"/>
          <w:color w:val="231F20"/>
          <w:w w:val="105"/>
          <w:sz w:val="17"/>
        </w:rPr>
        <w:t>and the Spectre of Nazism”, </w:t>
      </w:r>
      <w:r>
        <w:rPr>
          <w:rFonts w:ascii="Calibri" w:hAnsi="Calibri"/>
          <w:i/>
          <w:color w:val="231F20"/>
          <w:w w:val="105"/>
          <w:sz w:val="17"/>
        </w:rPr>
        <w:t>Review of International Studies</w:t>
      </w:r>
      <w:r>
        <w:rPr>
          <w:rFonts w:ascii="Calibri" w:hAnsi="Calibri"/>
          <w:color w:val="231F20"/>
          <w:w w:val="105"/>
          <w:sz w:val="17"/>
        </w:rPr>
        <w:t>, no. 2, 1999, pp.</w:t>
      </w:r>
      <w:r>
        <w:rPr>
          <w:rFonts w:ascii="Calibri" w:hAnsi="Calibri"/>
          <w:color w:val="231F20"/>
          <w:spacing w:val="-11"/>
          <w:w w:val="105"/>
          <w:sz w:val="17"/>
        </w:rPr>
        <w:t> </w:t>
      </w:r>
      <w:r>
        <w:rPr>
          <w:rFonts w:ascii="Calibri" w:hAnsi="Calibri"/>
          <w:color w:val="231F20"/>
          <w:w w:val="105"/>
          <w:sz w:val="17"/>
        </w:rPr>
        <w:t>323–328.</w:t>
      </w:r>
      <w:r>
        <w:rPr>
          <w:rFonts w:ascii="Calibri" w:hAnsi="Calibri"/>
          <w:color w:val="231F20"/>
          <w:spacing w:val="-11"/>
          <w:w w:val="105"/>
          <w:sz w:val="17"/>
        </w:rPr>
        <w:t> </w:t>
      </w:r>
      <w:r>
        <w:rPr>
          <w:rFonts w:ascii="Calibri" w:hAnsi="Calibri"/>
          <w:color w:val="231F20"/>
          <w:w w:val="105"/>
          <w:sz w:val="17"/>
        </w:rPr>
        <w:t>Sulla</w:t>
      </w:r>
      <w:r>
        <w:rPr>
          <w:rFonts w:ascii="Calibri" w:hAnsi="Calibri"/>
          <w:color w:val="231F20"/>
          <w:spacing w:val="-11"/>
          <w:w w:val="105"/>
          <w:sz w:val="17"/>
        </w:rPr>
        <w:t> </w:t>
      </w:r>
      <w:r>
        <w:rPr>
          <w:rFonts w:ascii="Calibri" w:hAnsi="Calibri"/>
          <w:color w:val="231F20"/>
          <w:w w:val="105"/>
          <w:sz w:val="17"/>
        </w:rPr>
        <w:t>“parzialità”</w:t>
      </w:r>
      <w:r>
        <w:rPr>
          <w:rFonts w:ascii="Calibri" w:hAnsi="Calibri"/>
          <w:color w:val="231F20"/>
          <w:spacing w:val="-11"/>
          <w:w w:val="105"/>
          <w:sz w:val="17"/>
        </w:rPr>
        <w:t> </w:t>
      </w:r>
      <w:r>
        <w:rPr>
          <w:rFonts w:ascii="Calibri" w:hAnsi="Calibri"/>
          <w:color w:val="231F20"/>
          <w:w w:val="105"/>
          <w:sz w:val="17"/>
        </w:rPr>
        <w:t>dell’impianto</w:t>
      </w:r>
      <w:r>
        <w:rPr>
          <w:rFonts w:ascii="Calibri" w:hAnsi="Calibri"/>
          <w:color w:val="231F20"/>
          <w:spacing w:val="-11"/>
          <w:w w:val="105"/>
          <w:sz w:val="17"/>
        </w:rPr>
        <w:t> </w:t>
      </w:r>
      <w:r>
        <w:rPr>
          <w:rFonts w:ascii="Calibri" w:hAnsi="Calibri"/>
          <w:color w:val="231F20"/>
          <w:w w:val="105"/>
          <w:sz w:val="17"/>
        </w:rPr>
        <w:t>teorico,</w:t>
      </w:r>
      <w:r>
        <w:rPr>
          <w:rFonts w:ascii="Calibri" w:hAnsi="Calibri"/>
          <w:color w:val="231F20"/>
          <w:spacing w:val="-11"/>
          <w:w w:val="105"/>
          <w:sz w:val="17"/>
        </w:rPr>
        <w:t> </w:t>
      </w:r>
      <w:r>
        <w:rPr>
          <w:rFonts w:ascii="Calibri" w:hAnsi="Calibri"/>
          <w:color w:val="231F20"/>
          <w:w w:val="105"/>
          <w:sz w:val="17"/>
        </w:rPr>
        <w:t>argomentativo</w:t>
      </w:r>
      <w:r>
        <w:rPr>
          <w:rFonts w:ascii="Calibri" w:hAnsi="Calibri"/>
          <w:color w:val="231F20"/>
          <w:spacing w:val="-11"/>
          <w:w w:val="105"/>
          <w:sz w:val="17"/>
        </w:rPr>
        <w:t> </w:t>
      </w:r>
      <w:r>
        <w:rPr>
          <w:rFonts w:ascii="Calibri" w:hAnsi="Calibri"/>
          <w:color w:val="231F20"/>
          <w:w w:val="105"/>
          <w:sz w:val="17"/>
        </w:rPr>
        <w:t>e</w:t>
      </w:r>
      <w:r>
        <w:rPr>
          <w:rFonts w:ascii="Calibri" w:hAnsi="Calibri"/>
          <w:color w:val="231F20"/>
          <w:spacing w:val="-11"/>
          <w:w w:val="105"/>
          <w:sz w:val="17"/>
        </w:rPr>
        <w:t> </w:t>
      </w:r>
      <w:r>
        <w:rPr>
          <w:rFonts w:ascii="Calibri" w:hAnsi="Calibri"/>
          <w:color w:val="231F20"/>
          <w:w w:val="105"/>
          <w:sz w:val="17"/>
        </w:rPr>
        <w:t>narrative</w:t>
      </w:r>
      <w:r>
        <w:rPr>
          <w:rFonts w:ascii="Calibri" w:hAnsi="Calibri"/>
          <w:color w:val="231F20"/>
          <w:spacing w:val="-11"/>
          <w:w w:val="105"/>
          <w:sz w:val="17"/>
        </w:rPr>
        <w:t> </w:t>
      </w:r>
      <w:r>
        <w:rPr>
          <w:rFonts w:ascii="Calibri" w:hAnsi="Calibri"/>
          <w:color w:val="231F20"/>
          <w:w w:val="105"/>
          <w:sz w:val="17"/>
        </w:rPr>
        <w:t>di</w:t>
      </w:r>
      <w:r>
        <w:rPr>
          <w:rFonts w:ascii="Calibri" w:hAnsi="Calibri"/>
          <w:color w:val="231F20"/>
          <w:spacing w:val="-11"/>
          <w:w w:val="105"/>
          <w:sz w:val="17"/>
        </w:rPr>
        <w:t> </w:t>
      </w:r>
      <w:r>
        <w:rPr>
          <w:rFonts w:ascii="Calibri" w:hAnsi="Calibri"/>
          <w:color w:val="231F20"/>
          <w:w w:val="105"/>
          <w:sz w:val="17"/>
        </w:rPr>
        <w:t>Schmitt</w:t>
      </w:r>
      <w:r>
        <w:rPr>
          <w:rFonts w:ascii="Calibri" w:hAnsi="Calibri"/>
          <w:color w:val="231F20"/>
          <w:spacing w:val="-11"/>
          <w:w w:val="105"/>
          <w:sz w:val="17"/>
        </w:rPr>
        <w:t> </w:t>
      </w:r>
      <w:r>
        <w:rPr>
          <w:rFonts w:ascii="Calibri" w:hAnsi="Calibri"/>
          <w:color w:val="231F20"/>
          <w:w w:val="105"/>
          <w:sz w:val="17"/>
        </w:rPr>
        <w:t>e</w:t>
      </w:r>
      <w:r>
        <w:rPr>
          <w:rFonts w:ascii="Calibri" w:hAnsi="Calibri"/>
          <w:color w:val="231F20"/>
          <w:spacing w:val="-11"/>
          <w:w w:val="105"/>
          <w:sz w:val="17"/>
        </w:rPr>
        <w:t> </w:t>
      </w:r>
      <w:r>
        <w:rPr>
          <w:rFonts w:ascii="Calibri" w:hAnsi="Calibri"/>
          <w:color w:val="231F20"/>
          <w:w w:val="105"/>
          <w:sz w:val="17"/>
        </w:rPr>
        <w:t>sulla discutibilità di ogni sua aproblematica attualizzazione si veda, più in generale, Galli, </w:t>
      </w:r>
      <w:r>
        <w:rPr>
          <w:rFonts w:ascii="Calibri" w:hAnsi="Calibri"/>
          <w:i/>
          <w:color w:val="231F20"/>
          <w:w w:val="105"/>
          <w:sz w:val="17"/>
        </w:rPr>
        <w:t>Schmitt e </w:t>
      </w:r>
      <w:r>
        <w:rPr>
          <w:rFonts w:ascii="Calibri" w:hAnsi="Calibri"/>
          <w:i/>
          <w:color w:val="231F20"/>
          <w:w w:val="95"/>
          <w:sz w:val="17"/>
        </w:rPr>
        <w:t>l’età</w:t>
      </w:r>
      <w:r>
        <w:rPr>
          <w:rFonts w:ascii="Calibri" w:hAnsi="Calibri"/>
          <w:i/>
          <w:color w:val="231F20"/>
          <w:spacing w:val="16"/>
          <w:w w:val="95"/>
          <w:sz w:val="17"/>
        </w:rPr>
        <w:t> </w:t>
      </w:r>
      <w:r>
        <w:rPr>
          <w:rFonts w:ascii="Calibri" w:hAnsi="Calibri"/>
          <w:i/>
          <w:color w:val="231F20"/>
          <w:w w:val="95"/>
          <w:sz w:val="17"/>
        </w:rPr>
        <w:t>globale.</w:t>
      </w:r>
    </w:p>
    <w:p>
      <w:pPr>
        <w:spacing w:line="203" w:lineRule="exact" w:before="0"/>
        <w:ind w:left="103" w:right="0" w:firstLine="0"/>
        <w:jc w:val="both"/>
        <w:rPr>
          <w:rFonts w:ascii="Calibri" w:hAnsi="Calibri"/>
          <w:sz w:val="17"/>
        </w:rPr>
      </w:pPr>
      <w:r>
        <w:rPr>
          <w:rFonts w:ascii="Calibri" w:hAnsi="Calibri"/>
          <w:color w:val="231F20"/>
          <w:w w:val="105"/>
          <w:position w:val="6"/>
          <w:sz w:val="10"/>
        </w:rPr>
        <w:t>63 </w:t>
      </w:r>
      <w:r>
        <w:rPr>
          <w:rFonts w:ascii="Calibri" w:hAnsi="Calibri"/>
          <w:color w:val="231F20"/>
          <w:w w:val="105"/>
          <w:sz w:val="17"/>
        </w:rPr>
        <w:t>Brown, “From humanized war to humanitarian intervention”, p. 66.</w:t>
      </w:r>
    </w:p>
    <w:p>
      <w:pPr>
        <w:spacing w:line="204" w:lineRule="exact" w:before="0"/>
        <w:ind w:left="103" w:right="0" w:firstLine="0"/>
        <w:jc w:val="both"/>
        <w:rPr>
          <w:rFonts w:ascii="Calibri" w:hAnsi="Calibri"/>
          <w:sz w:val="17"/>
        </w:rPr>
      </w:pPr>
      <w:r>
        <w:rPr>
          <w:rFonts w:ascii="Calibri" w:hAnsi="Calibri"/>
          <w:color w:val="231F20"/>
          <w:position w:val="6"/>
          <w:sz w:val="10"/>
        </w:rPr>
        <w:t>64 </w:t>
      </w:r>
      <w:r>
        <w:rPr>
          <w:rFonts w:ascii="Calibri" w:hAnsi="Calibri"/>
          <w:color w:val="231F20"/>
          <w:sz w:val="17"/>
        </w:rPr>
        <w:t>Zolo, </w:t>
      </w:r>
      <w:r>
        <w:rPr>
          <w:rFonts w:ascii="Calibri" w:hAnsi="Calibri"/>
          <w:i/>
          <w:color w:val="231F20"/>
          <w:sz w:val="17"/>
        </w:rPr>
        <w:t>Chi dice umanità</w:t>
      </w:r>
      <w:r>
        <w:rPr>
          <w:rFonts w:ascii="Calibri" w:hAnsi="Calibri"/>
          <w:color w:val="231F20"/>
          <w:sz w:val="17"/>
        </w:rPr>
        <w:t>, p. 44. Sul tema si veda anche J. Isensee, “Weltpolizei für Menschenrechte”,</w:t>
      </w:r>
    </w:p>
    <w:p>
      <w:pPr>
        <w:spacing w:line="204" w:lineRule="exact" w:before="0"/>
        <w:ind w:left="103" w:right="0" w:firstLine="0"/>
        <w:jc w:val="both"/>
        <w:rPr>
          <w:rFonts w:ascii="Calibri"/>
          <w:sz w:val="17"/>
        </w:rPr>
      </w:pPr>
      <w:r>
        <w:rPr>
          <w:rFonts w:ascii="Calibri"/>
          <w:i/>
          <w:color w:val="231F20"/>
          <w:sz w:val="17"/>
        </w:rPr>
        <w:t>Juristische Zeitung</w:t>
      </w:r>
      <w:r>
        <w:rPr>
          <w:rFonts w:ascii="Calibri"/>
          <w:color w:val="231F20"/>
          <w:sz w:val="17"/>
        </w:rPr>
        <w:t>, 1995, p. 429.</w:t>
      </w:r>
    </w:p>
    <w:p>
      <w:pPr>
        <w:spacing w:line="206" w:lineRule="exact" w:before="0"/>
        <w:ind w:left="103" w:right="0" w:firstLine="0"/>
        <w:jc w:val="both"/>
        <w:rPr>
          <w:rFonts w:ascii="Calibri" w:hAnsi="Calibri"/>
          <w:sz w:val="17"/>
        </w:rPr>
      </w:pPr>
      <w:r>
        <w:rPr>
          <w:rFonts w:ascii="Calibri" w:hAnsi="Calibri"/>
          <w:color w:val="231F20"/>
          <w:w w:val="105"/>
          <w:position w:val="6"/>
          <w:sz w:val="10"/>
        </w:rPr>
        <w:t>65 </w:t>
      </w:r>
      <w:r>
        <w:rPr>
          <w:rFonts w:ascii="Calibri" w:hAnsi="Calibri"/>
          <w:color w:val="231F20"/>
          <w:w w:val="105"/>
          <w:sz w:val="17"/>
        </w:rPr>
        <w:t>Brown, “From humanized war to humanitarian intervention”, p. 66.</w:t>
      </w:r>
    </w:p>
    <w:p>
      <w:pPr>
        <w:pStyle w:val="BodyText"/>
        <w:rPr>
          <w:rFonts w:ascii="Calibri"/>
          <w:sz w:val="20"/>
        </w:rPr>
      </w:pPr>
    </w:p>
    <w:p>
      <w:pPr>
        <w:pStyle w:val="BodyText"/>
        <w:spacing w:before="9"/>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0504"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146</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98" w:lineRule="exact" w:before="52"/>
        <w:ind w:left="796"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14944"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QUESTIONI</w:t>
      </w:r>
      <w:r>
        <w:rPr>
          <w:rFonts w:ascii="Lucida Sans Unicode" w:hAnsi="Lucida Sans Unicode"/>
          <w:color w:val="6D6E71"/>
          <w:spacing w:val="-11"/>
          <w:w w:val="90"/>
          <w:sz w:val="14"/>
        </w:rPr>
        <w:t> </w:t>
      </w:r>
      <w:r>
        <w:rPr>
          <w:rFonts w:ascii="Lucida Sans Unicode" w:hAnsi="Lucida Sans Unicode"/>
          <w:color w:val="6D6E71"/>
          <w:w w:val="90"/>
          <w:sz w:val="14"/>
        </w:rPr>
        <w:t>DI</w:t>
      </w:r>
      <w:r>
        <w:rPr>
          <w:rFonts w:ascii="Lucida Sans Unicode" w:hAnsi="Lucida Sans Unicode"/>
          <w:color w:val="6D6E71"/>
          <w:spacing w:val="-11"/>
          <w:w w:val="90"/>
          <w:sz w:val="14"/>
        </w:rPr>
        <w:t> </w:t>
      </w:r>
      <w:r>
        <w:rPr>
          <w:rFonts w:ascii="Lucida Sans Unicode" w:hAnsi="Lucida Sans Unicode"/>
          <w:color w:val="6D6E71"/>
          <w:w w:val="90"/>
          <w:sz w:val="14"/>
        </w:rPr>
        <w:t>CONFINE.</w:t>
      </w:r>
      <w:r>
        <w:rPr>
          <w:rFonts w:ascii="Lucida Sans Unicode" w:hAnsi="Lucida Sans Unicode"/>
          <w:color w:val="6D6E71"/>
          <w:spacing w:val="-11"/>
          <w:w w:val="90"/>
          <w:sz w:val="14"/>
        </w:rPr>
        <w:t> </w:t>
      </w:r>
      <w:r>
        <w:rPr>
          <w:rFonts w:ascii="Lucida Sans Unicode" w:hAnsi="Lucida Sans Unicode"/>
          <w:color w:val="6D6E71"/>
          <w:w w:val="90"/>
          <w:sz w:val="14"/>
        </w:rPr>
        <w:t>SOVRANITÀ</w:t>
      </w:r>
      <w:r>
        <w:rPr>
          <w:rFonts w:ascii="Lucida Sans Unicode" w:hAnsi="Lucida Sans Unicode"/>
          <w:color w:val="6D6E71"/>
          <w:spacing w:val="-11"/>
          <w:w w:val="90"/>
          <w:sz w:val="14"/>
        </w:rPr>
        <w:t> </w:t>
      </w:r>
      <w:r>
        <w:rPr>
          <w:rFonts w:ascii="Lucida Sans Unicode" w:hAnsi="Lucida Sans Unicode"/>
          <w:color w:val="6D6E71"/>
          <w:w w:val="90"/>
          <w:sz w:val="14"/>
        </w:rPr>
        <w:t>TERRITORIALE</w:t>
      </w:r>
      <w:r>
        <w:rPr>
          <w:rFonts w:ascii="Lucida Sans Unicode" w:hAnsi="Lucida Sans Unicode"/>
          <w:color w:val="6D6E71"/>
          <w:spacing w:val="-11"/>
          <w:w w:val="90"/>
          <w:sz w:val="14"/>
        </w:rPr>
        <w:t> </w:t>
      </w:r>
      <w:r>
        <w:rPr>
          <w:rFonts w:ascii="Lucida Sans Unicode" w:hAnsi="Lucida Sans Unicode"/>
          <w:color w:val="6D6E71"/>
          <w:w w:val="90"/>
          <w:sz w:val="14"/>
        </w:rPr>
        <w:t>E</w:t>
      </w:r>
      <w:r>
        <w:rPr>
          <w:rFonts w:ascii="Lucida Sans Unicode" w:hAnsi="Lucida Sans Unicode"/>
          <w:color w:val="6D6E71"/>
          <w:spacing w:val="-11"/>
          <w:w w:val="90"/>
          <w:sz w:val="14"/>
        </w:rPr>
        <w:t> </w:t>
      </w:r>
      <w:r>
        <w:rPr>
          <w:rFonts w:ascii="Lucida Sans Unicode" w:hAnsi="Lucida Sans Unicode"/>
          <w:color w:val="6D6E71"/>
          <w:w w:val="90"/>
          <w:sz w:val="14"/>
        </w:rPr>
        <w:t>ORDINE</w:t>
      </w:r>
      <w:r>
        <w:rPr>
          <w:rFonts w:ascii="Lucida Sans Unicode" w:hAnsi="Lucida Sans Unicode"/>
          <w:color w:val="6D6E71"/>
          <w:spacing w:val="-11"/>
          <w:w w:val="90"/>
          <w:sz w:val="14"/>
        </w:rPr>
        <w:t> </w:t>
      </w:r>
      <w:r>
        <w:rPr>
          <w:rFonts w:ascii="Lucida Sans Unicode" w:hAnsi="Lucida Sans Unicode"/>
          <w:color w:val="6D6E71"/>
          <w:w w:val="90"/>
          <w:sz w:val="14"/>
        </w:rPr>
        <w:t>GLOBALE</w:t>
      </w:r>
      <w:r>
        <w:rPr>
          <w:rFonts w:ascii="Lucida Sans Unicode" w:hAnsi="Lucida Sans Unicode"/>
          <w:color w:val="6D6E71"/>
          <w:spacing w:val="-11"/>
          <w:w w:val="90"/>
          <w:sz w:val="14"/>
        </w:rPr>
        <w:t> </w:t>
      </w:r>
      <w:r>
        <w:rPr>
          <w:rFonts w:ascii="Lucida Sans Unicode" w:hAnsi="Lucida Sans Unicode"/>
          <w:color w:val="6D6E71"/>
          <w:w w:val="90"/>
          <w:sz w:val="14"/>
        </w:rPr>
        <w:t>NEL</w:t>
      </w:r>
      <w:r>
        <w:rPr>
          <w:rFonts w:ascii="Lucida Sans Unicode" w:hAnsi="Lucida Sans Unicode"/>
          <w:color w:val="6D6E71"/>
          <w:spacing w:val="-11"/>
          <w:w w:val="90"/>
          <w:sz w:val="14"/>
        </w:rPr>
        <w:t> </w:t>
      </w:r>
      <w:r>
        <w:rPr>
          <w:rFonts w:ascii="Lucida Sans Unicode" w:hAnsi="Lucida Sans Unicode"/>
          <w:color w:val="6D6E71"/>
          <w:w w:val="90"/>
          <w:sz w:val="14"/>
        </w:rPr>
        <w:t>DIBATTITO</w:t>
      </w:r>
      <w:r>
        <w:rPr>
          <w:rFonts w:ascii="Lucida Sans Unicode" w:hAnsi="Lucida Sans Unicode"/>
          <w:color w:val="6D6E71"/>
          <w:spacing w:val="-11"/>
          <w:w w:val="90"/>
          <w:sz w:val="14"/>
        </w:rPr>
        <w:t> </w:t>
      </w:r>
      <w:r>
        <w:rPr>
          <w:rFonts w:ascii="Lucida Sans Unicode" w:hAnsi="Lucida Sans Unicode"/>
          <w:color w:val="6D6E71"/>
          <w:w w:val="90"/>
          <w:sz w:val="14"/>
        </w:rPr>
        <w:t>SUL</w:t>
      </w:r>
    </w:p>
    <w:p>
      <w:pPr>
        <w:spacing w:line="198" w:lineRule="exact" w:before="0"/>
        <w:ind w:left="3896" w:right="-13" w:firstLine="0"/>
        <w:jc w:val="left"/>
        <w:rPr>
          <w:rFonts w:ascii="Lucida Sans Unicode" w:hAnsi="Lucida Sans Unicode"/>
          <w:sz w:val="14"/>
        </w:rPr>
      </w:pPr>
      <w:r>
        <w:rPr>
          <w:rFonts w:ascii="Lucida Sans Unicode" w:hAnsi="Lucida Sans Unicode"/>
          <w:color w:val="6D6E71"/>
          <w:w w:val="85"/>
          <w:sz w:val="14"/>
        </w:rPr>
        <w:t>“NUOVO  INTERVENTISMO  UMANITARIO”</w:t>
      </w:r>
    </w:p>
    <w:p>
      <w:pPr>
        <w:spacing w:before="59"/>
        <w:ind w:left="338" w:right="0" w:firstLine="0"/>
        <w:jc w:val="left"/>
        <w:rPr>
          <w:rFonts w:ascii="Trebuchet MS"/>
          <w:sz w:val="20"/>
        </w:rPr>
      </w:pPr>
      <w:r>
        <w:rPr/>
        <w:br w:type="column"/>
      </w:r>
      <w:r>
        <w:rPr>
          <w:rFonts w:ascii="Trebuchet MS"/>
          <w:color w:val="414042"/>
          <w:w w:val="105"/>
          <w:sz w:val="20"/>
        </w:rPr>
        <w:t>147</w:t>
      </w:r>
    </w:p>
    <w:p>
      <w:pPr>
        <w:spacing w:after="0"/>
        <w:jc w:val="left"/>
        <w:rPr>
          <w:rFonts w:ascii="Trebuchet MS"/>
          <w:sz w:val="20"/>
        </w:rPr>
        <w:sectPr>
          <w:type w:val="continuous"/>
          <w:pgSz w:w="9640" w:h="13890"/>
          <w:pgMar w:top="0" w:bottom="0" w:left="1300" w:right="1180"/>
          <w:cols w:num="2" w:equalWidth="0">
            <w:col w:w="6261" w:space="40"/>
            <w:col w:w="859"/>
          </w:cols>
        </w:sectPr>
      </w:pPr>
    </w:p>
    <w:p>
      <w:pPr>
        <w:pStyle w:val="BodyText"/>
        <w:rPr>
          <w:rFonts w:ascii="Trebuchet MS"/>
          <w:sz w:val="20"/>
        </w:rPr>
      </w:pPr>
    </w:p>
    <w:p>
      <w:pPr>
        <w:pStyle w:val="BodyText"/>
        <w:spacing w:before="2"/>
        <w:rPr>
          <w:rFonts w:ascii="Trebuchet MS"/>
          <w:sz w:val="16"/>
        </w:rPr>
      </w:pPr>
    </w:p>
    <w:p>
      <w:pPr>
        <w:pStyle w:val="BodyText"/>
        <w:spacing w:line="247" w:lineRule="auto" w:before="44"/>
        <w:ind w:left="117" w:right="117"/>
        <w:jc w:val="both"/>
      </w:pPr>
      <w:r>
        <w:rPr>
          <w:color w:val="231F20"/>
        </w:rPr>
        <w:t>posizione significa però accettare il principio che l’uso della forza in politica non debba mai essere giustificato in termini morali. Di più, ammettere che “qualsiasi tentativo di controllare e limitare il ruolo della violenza nelle faccende umane è necessariamente futile e controproducente, (…) una posizione normativa che merita di essere respinta”</w:t>
      </w:r>
      <w:r>
        <w:rPr>
          <w:color w:val="231F20"/>
          <w:position w:val="7"/>
          <w:sz w:val="12"/>
        </w:rPr>
        <w:t>66</w:t>
      </w:r>
      <w:r>
        <w:rPr>
          <w:color w:val="231F20"/>
        </w:rPr>
        <w:t>.</w:t>
      </w:r>
    </w:p>
    <w:p>
      <w:pPr>
        <w:pStyle w:val="BodyText"/>
        <w:spacing w:line="247" w:lineRule="auto"/>
        <w:ind w:left="117" w:right="114" w:firstLine="566"/>
        <w:jc w:val="both"/>
      </w:pPr>
      <w:r>
        <w:rPr>
          <w:color w:val="231F20"/>
          <w:w w:val="105"/>
        </w:rPr>
        <w:t>Come nell’originale impianto teorico schmittiano, anche nelle </w:t>
      </w:r>
      <w:r>
        <w:rPr>
          <w:color w:val="231F20"/>
          <w:spacing w:val="2"/>
          <w:w w:val="105"/>
        </w:rPr>
        <w:t>più </w:t>
      </w:r>
      <w:r>
        <w:rPr>
          <w:color w:val="231F20"/>
          <w:w w:val="105"/>
        </w:rPr>
        <w:t>recenti</w:t>
      </w:r>
      <w:r>
        <w:rPr>
          <w:color w:val="231F20"/>
          <w:spacing w:val="-19"/>
          <w:w w:val="105"/>
        </w:rPr>
        <w:t> </w:t>
      </w:r>
      <w:r>
        <w:rPr>
          <w:color w:val="231F20"/>
          <w:w w:val="105"/>
        </w:rPr>
        <w:t>concezioni</w:t>
      </w:r>
      <w:r>
        <w:rPr>
          <w:color w:val="231F20"/>
          <w:spacing w:val="-19"/>
          <w:w w:val="105"/>
        </w:rPr>
        <w:t> </w:t>
      </w:r>
      <w:r>
        <w:rPr>
          <w:color w:val="231F20"/>
          <w:w w:val="105"/>
        </w:rPr>
        <w:t>“neorealiste”</w:t>
      </w:r>
      <w:r>
        <w:rPr>
          <w:color w:val="231F20"/>
          <w:spacing w:val="-19"/>
          <w:w w:val="105"/>
        </w:rPr>
        <w:t> </w:t>
      </w:r>
      <w:r>
        <w:rPr>
          <w:color w:val="231F20"/>
          <w:w w:val="105"/>
        </w:rPr>
        <w:t>dell’intervento</w:t>
      </w:r>
      <w:r>
        <w:rPr>
          <w:color w:val="231F20"/>
          <w:spacing w:val="-19"/>
          <w:w w:val="105"/>
        </w:rPr>
        <w:t> </w:t>
      </w:r>
      <w:r>
        <w:rPr>
          <w:color w:val="231F20"/>
          <w:w w:val="105"/>
        </w:rPr>
        <w:t>umanitario</w:t>
      </w:r>
      <w:r>
        <w:rPr>
          <w:color w:val="231F20"/>
          <w:spacing w:val="-19"/>
          <w:w w:val="105"/>
        </w:rPr>
        <w:t> </w:t>
      </w:r>
      <w:r>
        <w:rPr>
          <w:color w:val="231F20"/>
          <w:w w:val="105"/>
        </w:rPr>
        <w:t>il</w:t>
      </w:r>
      <w:r>
        <w:rPr>
          <w:color w:val="231F20"/>
          <w:spacing w:val="-19"/>
          <w:w w:val="105"/>
        </w:rPr>
        <w:t> </w:t>
      </w:r>
      <w:r>
        <w:rPr>
          <w:color w:val="231F20"/>
          <w:w w:val="105"/>
        </w:rPr>
        <w:t>rifiuto</w:t>
      </w:r>
      <w:r>
        <w:rPr>
          <w:color w:val="231F20"/>
          <w:spacing w:val="-19"/>
          <w:w w:val="105"/>
        </w:rPr>
        <w:t> </w:t>
      </w:r>
      <w:r>
        <w:rPr>
          <w:color w:val="231F20"/>
          <w:w w:val="105"/>
        </w:rPr>
        <w:t>di</w:t>
      </w:r>
      <w:r>
        <w:rPr>
          <w:color w:val="231F20"/>
          <w:spacing w:val="-19"/>
          <w:w w:val="105"/>
        </w:rPr>
        <w:t> </w:t>
      </w:r>
      <w:r>
        <w:rPr>
          <w:color w:val="231F20"/>
          <w:w w:val="105"/>
        </w:rPr>
        <w:t>una moralizzazione</w:t>
      </w:r>
      <w:r>
        <w:rPr>
          <w:color w:val="231F20"/>
          <w:spacing w:val="-34"/>
          <w:w w:val="105"/>
        </w:rPr>
        <w:t> </w:t>
      </w:r>
      <w:r>
        <w:rPr>
          <w:color w:val="231F20"/>
          <w:w w:val="105"/>
        </w:rPr>
        <w:t>del</w:t>
      </w:r>
      <w:r>
        <w:rPr>
          <w:color w:val="231F20"/>
          <w:spacing w:val="-34"/>
          <w:w w:val="105"/>
        </w:rPr>
        <w:t> </w:t>
      </w:r>
      <w:r>
        <w:rPr>
          <w:color w:val="231F20"/>
          <w:w w:val="105"/>
        </w:rPr>
        <w:t>contesto</w:t>
      </w:r>
      <w:r>
        <w:rPr>
          <w:color w:val="231F20"/>
          <w:spacing w:val="-34"/>
          <w:w w:val="105"/>
        </w:rPr>
        <w:t> </w:t>
      </w:r>
      <w:r>
        <w:rPr>
          <w:color w:val="231F20"/>
          <w:w w:val="105"/>
        </w:rPr>
        <w:t>delle</w:t>
      </w:r>
      <w:r>
        <w:rPr>
          <w:color w:val="231F20"/>
          <w:spacing w:val="-34"/>
          <w:w w:val="105"/>
        </w:rPr>
        <w:t> </w:t>
      </w:r>
      <w:r>
        <w:rPr>
          <w:color w:val="231F20"/>
          <w:w w:val="105"/>
        </w:rPr>
        <w:t>relazioni</w:t>
      </w:r>
      <w:r>
        <w:rPr>
          <w:color w:val="231F20"/>
          <w:spacing w:val="-34"/>
          <w:w w:val="105"/>
        </w:rPr>
        <w:t> </w:t>
      </w:r>
      <w:r>
        <w:rPr>
          <w:color w:val="231F20"/>
          <w:w w:val="105"/>
        </w:rPr>
        <w:t>internazionali</w:t>
      </w:r>
      <w:r>
        <w:rPr>
          <w:color w:val="231F20"/>
          <w:spacing w:val="-34"/>
          <w:w w:val="105"/>
        </w:rPr>
        <w:t> </w:t>
      </w:r>
      <w:r>
        <w:rPr>
          <w:color w:val="231F20"/>
          <w:w w:val="105"/>
        </w:rPr>
        <w:t>tende,</w:t>
      </w:r>
      <w:r>
        <w:rPr>
          <w:color w:val="231F20"/>
          <w:spacing w:val="-34"/>
          <w:w w:val="105"/>
        </w:rPr>
        <w:t> </w:t>
      </w:r>
      <w:r>
        <w:rPr>
          <w:color w:val="231F20"/>
          <w:w w:val="105"/>
        </w:rPr>
        <w:t>peraltro,</w:t>
      </w:r>
      <w:r>
        <w:rPr>
          <w:color w:val="231F20"/>
          <w:spacing w:val="-34"/>
          <w:w w:val="105"/>
        </w:rPr>
        <w:t> </w:t>
      </w:r>
      <w:r>
        <w:rPr>
          <w:color w:val="231F20"/>
          <w:w w:val="105"/>
        </w:rPr>
        <w:t>a fondersi</w:t>
      </w:r>
      <w:r>
        <w:rPr>
          <w:color w:val="231F20"/>
          <w:spacing w:val="-23"/>
          <w:w w:val="105"/>
        </w:rPr>
        <w:t> </w:t>
      </w:r>
      <w:r>
        <w:rPr>
          <w:color w:val="231F20"/>
          <w:w w:val="105"/>
        </w:rPr>
        <w:t>intimamente</w:t>
      </w:r>
      <w:r>
        <w:rPr>
          <w:color w:val="231F20"/>
          <w:spacing w:val="-23"/>
          <w:w w:val="105"/>
        </w:rPr>
        <w:t> </w:t>
      </w:r>
      <w:r>
        <w:rPr>
          <w:color w:val="231F20"/>
          <w:w w:val="105"/>
        </w:rPr>
        <w:t>con</w:t>
      </w:r>
      <w:r>
        <w:rPr>
          <w:color w:val="231F20"/>
          <w:spacing w:val="-23"/>
          <w:w w:val="105"/>
        </w:rPr>
        <w:t> </w:t>
      </w:r>
      <w:r>
        <w:rPr>
          <w:color w:val="231F20"/>
          <w:w w:val="105"/>
        </w:rPr>
        <w:t>una</w:t>
      </w:r>
      <w:r>
        <w:rPr>
          <w:color w:val="231F20"/>
          <w:spacing w:val="-23"/>
          <w:w w:val="105"/>
        </w:rPr>
        <w:t> </w:t>
      </w:r>
      <w:r>
        <w:rPr>
          <w:color w:val="231F20"/>
          <w:w w:val="105"/>
        </w:rPr>
        <w:t>decisa</w:t>
      </w:r>
      <w:r>
        <w:rPr>
          <w:color w:val="231F20"/>
          <w:spacing w:val="-23"/>
          <w:w w:val="105"/>
        </w:rPr>
        <w:t> </w:t>
      </w:r>
      <w:r>
        <w:rPr>
          <w:color w:val="231F20"/>
          <w:w w:val="105"/>
        </w:rPr>
        <w:t>difesa</w:t>
      </w:r>
      <w:r>
        <w:rPr>
          <w:color w:val="231F20"/>
          <w:spacing w:val="-23"/>
          <w:w w:val="105"/>
        </w:rPr>
        <w:t> </w:t>
      </w:r>
      <w:r>
        <w:rPr>
          <w:color w:val="231F20"/>
          <w:w w:val="105"/>
        </w:rPr>
        <w:t>della</w:t>
      </w:r>
      <w:r>
        <w:rPr>
          <w:color w:val="231F20"/>
          <w:spacing w:val="-23"/>
          <w:w w:val="105"/>
        </w:rPr>
        <w:t> </w:t>
      </w:r>
      <w:r>
        <w:rPr>
          <w:color w:val="231F20"/>
          <w:w w:val="105"/>
        </w:rPr>
        <w:t>sovranità</w:t>
      </w:r>
      <w:r>
        <w:rPr>
          <w:color w:val="231F20"/>
          <w:spacing w:val="-23"/>
          <w:w w:val="105"/>
        </w:rPr>
        <w:t> </w:t>
      </w:r>
      <w:r>
        <w:rPr>
          <w:color w:val="231F20"/>
          <w:w w:val="105"/>
        </w:rPr>
        <w:t>statuale</w:t>
      </w:r>
      <w:r>
        <w:rPr>
          <w:color w:val="231F20"/>
          <w:spacing w:val="-23"/>
          <w:w w:val="105"/>
        </w:rPr>
        <w:t> </w:t>
      </w:r>
      <w:r>
        <w:rPr>
          <w:color w:val="231F20"/>
          <w:w w:val="105"/>
        </w:rPr>
        <w:t>come “principio assoluto” della politica, da sostenere incondizionatamente a prescindere</w:t>
      </w:r>
      <w:r>
        <w:rPr>
          <w:color w:val="231F20"/>
          <w:spacing w:val="-11"/>
          <w:w w:val="105"/>
        </w:rPr>
        <w:t> </w:t>
      </w:r>
      <w:r>
        <w:rPr>
          <w:color w:val="231F20"/>
          <w:w w:val="105"/>
        </w:rPr>
        <w:t>dalle</w:t>
      </w:r>
      <w:r>
        <w:rPr>
          <w:color w:val="231F20"/>
          <w:spacing w:val="-11"/>
          <w:w w:val="105"/>
        </w:rPr>
        <w:t> </w:t>
      </w:r>
      <w:r>
        <w:rPr>
          <w:color w:val="231F20"/>
          <w:w w:val="105"/>
        </w:rPr>
        <w:t>concrete</w:t>
      </w:r>
      <w:r>
        <w:rPr>
          <w:color w:val="231F20"/>
          <w:spacing w:val="-11"/>
          <w:w w:val="105"/>
        </w:rPr>
        <w:t> </w:t>
      </w:r>
      <w:r>
        <w:rPr>
          <w:color w:val="231F20"/>
          <w:w w:val="105"/>
        </w:rPr>
        <w:t>modalità</w:t>
      </w:r>
      <w:r>
        <w:rPr>
          <w:color w:val="231F20"/>
          <w:spacing w:val="-11"/>
          <w:w w:val="105"/>
        </w:rPr>
        <w:t> </w:t>
      </w:r>
      <w:r>
        <w:rPr>
          <w:color w:val="231F20"/>
          <w:w w:val="105"/>
        </w:rPr>
        <w:t>del</w:t>
      </w:r>
      <w:r>
        <w:rPr>
          <w:color w:val="231F20"/>
          <w:spacing w:val="-11"/>
          <w:w w:val="105"/>
        </w:rPr>
        <w:t> </w:t>
      </w:r>
      <w:r>
        <w:rPr>
          <w:color w:val="231F20"/>
          <w:w w:val="105"/>
        </w:rPr>
        <w:t>suo</w:t>
      </w:r>
      <w:r>
        <w:rPr>
          <w:color w:val="231F20"/>
          <w:spacing w:val="-11"/>
          <w:w w:val="105"/>
        </w:rPr>
        <w:t> </w:t>
      </w:r>
      <w:r>
        <w:rPr>
          <w:color w:val="231F20"/>
          <w:w w:val="105"/>
        </w:rPr>
        <w:t>esercizio</w:t>
      </w:r>
      <w:r>
        <w:rPr>
          <w:color w:val="231F20"/>
          <w:w w:val="105"/>
          <w:position w:val="7"/>
          <w:sz w:val="12"/>
        </w:rPr>
        <w:t>67</w:t>
      </w:r>
      <w:r>
        <w:rPr>
          <w:color w:val="231F20"/>
          <w:w w:val="105"/>
        </w:rPr>
        <w:t>.</w:t>
      </w:r>
      <w:r>
        <w:rPr>
          <w:color w:val="231F20"/>
          <w:spacing w:val="-11"/>
          <w:w w:val="105"/>
        </w:rPr>
        <w:t> </w:t>
      </w:r>
      <w:r>
        <w:rPr>
          <w:color w:val="231F20"/>
          <w:w w:val="105"/>
        </w:rPr>
        <w:t>Per</w:t>
      </w:r>
      <w:r>
        <w:rPr>
          <w:color w:val="231F20"/>
          <w:spacing w:val="-11"/>
          <w:w w:val="105"/>
        </w:rPr>
        <w:t> </w:t>
      </w:r>
      <w:r>
        <w:rPr>
          <w:color w:val="231F20"/>
          <w:w w:val="105"/>
        </w:rPr>
        <w:t>gli</w:t>
      </w:r>
      <w:r>
        <w:rPr>
          <w:color w:val="231F20"/>
          <w:spacing w:val="-11"/>
          <w:w w:val="105"/>
        </w:rPr>
        <w:t> </w:t>
      </w:r>
      <w:r>
        <w:rPr>
          <w:color w:val="231F20"/>
          <w:w w:val="105"/>
        </w:rPr>
        <w:t>esponenti di </w:t>
      </w:r>
      <w:r>
        <w:rPr>
          <w:color w:val="231F20"/>
          <w:spacing w:val="3"/>
          <w:w w:val="105"/>
        </w:rPr>
        <w:t>questa direttrice </w:t>
      </w:r>
      <w:r>
        <w:rPr>
          <w:color w:val="231F20"/>
          <w:w w:val="105"/>
        </w:rPr>
        <w:t>di </w:t>
      </w:r>
      <w:r>
        <w:rPr>
          <w:color w:val="231F20"/>
          <w:spacing w:val="3"/>
          <w:w w:val="105"/>
        </w:rPr>
        <w:t>pensiero critico —con poche eccezioni, </w:t>
      </w:r>
      <w:r>
        <w:rPr>
          <w:color w:val="231F20"/>
          <w:spacing w:val="2"/>
          <w:w w:val="105"/>
        </w:rPr>
        <w:t>per </w:t>
      </w:r>
      <w:r>
        <w:rPr>
          <w:color w:val="231F20"/>
          <w:spacing w:val="4"/>
          <w:w w:val="105"/>
        </w:rPr>
        <w:t>lo </w:t>
      </w:r>
      <w:r>
        <w:rPr>
          <w:color w:val="231F20"/>
          <w:w w:val="105"/>
        </w:rPr>
        <w:t>più afferenti all’ala teoricamente più creativa dello </w:t>
      </w:r>
      <w:r>
        <w:rPr>
          <w:color w:val="231F20"/>
          <w:spacing w:val="2"/>
          <w:w w:val="105"/>
        </w:rPr>
        <w:t>“schmitt–marxismo” </w:t>
      </w:r>
      <w:r>
        <w:rPr>
          <w:color w:val="231F20"/>
          <w:w w:val="105"/>
        </w:rPr>
        <w:t>contemporaneo</w:t>
      </w:r>
      <w:r>
        <w:rPr>
          <w:color w:val="231F20"/>
          <w:w w:val="105"/>
          <w:position w:val="7"/>
          <w:sz w:val="12"/>
        </w:rPr>
        <w:t>68</w:t>
      </w:r>
      <w:r>
        <w:rPr>
          <w:color w:val="231F20"/>
          <w:w w:val="105"/>
        </w:rPr>
        <w:t>—</w:t>
      </w:r>
      <w:r>
        <w:rPr>
          <w:color w:val="231F20"/>
          <w:spacing w:val="-30"/>
          <w:w w:val="105"/>
        </w:rPr>
        <w:t> </w:t>
      </w:r>
      <w:r>
        <w:rPr>
          <w:color w:val="231F20"/>
          <w:w w:val="105"/>
        </w:rPr>
        <w:t>il</w:t>
      </w:r>
      <w:r>
        <w:rPr>
          <w:color w:val="231F20"/>
          <w:spacing w:val="-30"/>
          <w:w w:val="105"/>
        </w:rPr>
        <w:t> </w:t>
      </w:r>
      <w:r>
        <w:rPr>
          <w:color w:val="231F20"/>
          <w:w w:val="105"/>
        </w:rPr>
        <w:t>mantenimento</w:t>
      </w:r>
      <w:r>
        <w:rPr>
          <w:color w:val="231F20"/>
          <w:spacing w:val="-30"/>
          <w:w w:val="105"/>
        </w:rPr>
        <w:t> </w:t>
      </w:r>
      <w:r>
        <w:rPr>
          <w:color w:val="231F20"/>
          <w:w w:val="105"/>
        </w:rPr>
        <w:t>di</w:t>
      </w:r>
      <w:r>
        <w:rPr>
          <w:color w:val="231F20"/>
          <w:spacing w:val="-30"/>
          <w:w w:val="105"/>
        </w:rPr>
        <w:t> </w:t>
      </w:r>
      <w:r>
        <w:rPr>
          <w:color w:val="231F20"/>
          <w:w w:val="105"/>
        </w:rPr>
        <w:t>un</w:t>
      </w:r>
      <w:r>
        <w:rPr>
          <w:color w:val="231F20"/>
          <w:spacing w:val="-30"/>
          <w:w w:val="105"/>
        </w:rPr>
        <w:t> </w:t>
      </w:r>
      <w:r>
        <w:rPr>
          <w:color w:val="231F20"/>
          <w:w w:val="105"/>
        </w:rPr>
        <w:t>modello</w:t>
      </w:r>
      <w:r>
        <w:rPr>
          <w:color w:val="231F20"/>
          <w:spacing w:val="-30"/>
          <w:w w:val="105"/>
        </w:rPr>
        <w:t> </w:t>
      </w:r>
      <w:r>
        <w:rPr>
          <w:color w:val="231F20"/>
          <w:w w:val="105"/>
        </w:rPr>
        <w:t>“pluralistico”</w:t>
      </w:r>
      <w:r>
        <w:rPr>
          <w:color w:val="231F20"/>
          <w:spacing w:val="-30"/>
          <w:w w:val="105"/>
        </w:rPr>
        <w:t> </w:t>
      </w:r>
      <w:r>
        <w:rPr>
          <w:color w:val="231F20"/>
          <w:w w:val="105"/>
        </w:rPr>
        <w:t>di</w:t>
      </w:r>
      <w:r>
        <w:rPr>
          <w:color w:val="231F20"/>
          <w:spacing w:val="-30"/>
          <w:w w:val="105"/>
        </w:rPr>
        <w:t> </w:t>
      </w:r>
      <w:r>
        <w:rPr>
          <w:color w:val="231F20"/>
          <w:w w:val="105"/>
        </w:rPr>
        <w:t>società internazionale,</w:t>
      </w:r>
      <w:r>
        <w:rPr>
          <w:color w:val="231F20"/>
          <w:spacing w:val="-35"/>
          <w:w w:val="105"/>
        </w:rPr>
        <w:t> </w:t>
      </w:r>
      <w:r>
        <w:rPr>
          <w:color w:val="231F20"/>
          <w:w w:val="105"/>
        </w:rPr>
        <w:t>fondato</w:t>
      </w:r>
      <w:r>
        <w:rPr>
          <w:color w:val="231F20"/>
          <w:spacing w:val="-35"/>
          <w:w w:val="105"/>
        </w:rPr>
        <w:t> </w:t>
      </w:r>
      <w:r>
        <w:rPr>
          <w:color w:val="231F20"/>
          <w:w w:val="105"/>
        </w:rPr>
        <w:t>sul</w:t>
      </w:r>
      <w:r>
        <w:rPr>
          <w:color w:val="231F20"/>
          <w:spacing w:val="-35"/>
          <w:w w:val="105"/>
        </w:rPr>
        <w:t> </w:t>
      </w:r>
      <w:r>
        <w:rPr>
          <w:color w:val="231F20"/>
          <w:w w:val="105"/>
        </w:rPr>
        <w:t>generale</w:t>
      </w:r>
      <w:r>
        <w:rPr>
          <w:color w:val="231F20"/>
          <w:spacing w:val="-35"/>
          <w:w w:val="105"/>
        </w:rPr>
        <w:t> </w:t>
      </w:r>
      <w:r>
        <w:rPr>
          <w:color w:val="231F20"/>
          <w:w w:val="105"/>
        </w:rPr>
        <w:t>riconoscimento</w:t>
      </w:r>
      <w:r>
        <w:rPr>
          <w:color w:val="231F20"/>
          <w:spacing w:val="-35"/>
          <w:w w:val="105"/>
        </w:rPr>
        <w:t> </w:t>
      </w:r>
      <w:r>
        <w:rPr>
          <w:color w:val="231F20"/>
          <w:w w:val="105"/>
        </w:rPr>
        <w:t>di</w:t>
      </w:r>
      <w:r>
        <w:rPr>
          <w:color w:val="231F20"/>
          <w:spacing w:val="-35"/>
          <w:w w:val="105"/>
        </w:rPr>
        <w:t> </w:t>
      </w:r>
      <w:r>
        <w:rPr>
          <w:color w:val="231F20"/>
          <w:w w:val="105"/>
        </w:rPr>
        <w:t>un’intangibile</w:t>
      </w:r>
      <w:r>
        <w:rPr>
          <w:color w:val="231F20"/>
          <w:spacing w:val="-35"/>
          <w:w w:val="105"/>
        </w:rPr>
        <w:t> </w:t>
      </w:r>
      <w:r>
        <w:rPr>
          <w:color w:val="231F20"/>
          <w:w w:val="105"/>
        </w:rPr>
        <w:t>sfera di</w:t>
      </w:r>
      <w:r>
        <w:rPr>
          <w:color w:val="231F20"/>
          <w:spacing w:val="-27"/>
          <w:w w:val="105"/>
        </w:rPr>
        <w:t> </w:t>
      </w:r>
      <w:r>
        <w:rPr>
          <w:color w:val="231F20"/>
          <w:w w:val="105"/>
        </w:rPr>
        <w:t>sovranità</w:t>
      </w:r>
      <w:r>
        <w:rPr>
          <w:color w:val="231F20"/>
          <w:spacing w:val="-27"/>
          <w:w w:val="105"/>
        </w:rPr>
        <w:t> </w:t>
      </w:r>
      <w:r>
        <w:rPr>
          <w:color w:val="231F20"/>
          <w:w w:val="105"/>
        </w:rPr>
        <w:t>territoriale</w:t>
      </w:r>
      <w:r>
        <w:rPr>
          <w:color w:val="231F20"/>
          <w:spacing w:val="-27"/>
          <w:w w:val="105"/>
        </w:rPr>
        <w:t> </w:t>
      </w:r>
      <w:r>
        <w:rPr>
          <w:color w:val="231F20"/>
          <w:w w:val="105"/>
        </w:rPr>
        <w:t>e</w:t>
      </w:r>
      <w:r>
        <w:rPr>
          <w:color w:val="231F20"/>
          <w:spacing w:val="-27"/>
          <w:w w:val="105"/>
        </w:rPr>
        <w:t> </w:t>
      </w:r>
      <w:r>
        <w:rPr>
          <w:color w:val="231F20"/>
          <w:w w:val="105"/>
        </w:rPr>
        <w:t>sul</w:t>
      </w:r>
      <w:r>
        <w:rPr>
          <w:color w:val="231F20"/>
          <w:spacing w:val="-27"/>
          <w:w w:val="105"/>
        </w:rPr>
        <w:t> </w:t>
      </w:r>
      <w:r>
        <w:rPr>
          <w:color w:val="231F20"/>
          <w:w w:val="105"/>
        </w:rPr>
        <w:t>principio</w:t>
      </w:r>
      <w:r>
        <w:rPr>
          <w:color w:val="231F20"/>
          <w:spacing w:val="-27"/>
          <w:w w:val="105"/>
        </w:rPr>
        <w:t> </w:t>
      </w:r>
      <w:r>
        <w:rPr>
          <w:color w:val="231F20"/>
          <w:w w:val="105"/>
        </w:rPr>
        <w:t>di</w:t>
      </w:r>
      <w:r>
        <w:rPr>
          <w:color w:val="231F20"/>
          <w:spacing w:val="-27"/>
          <w:w w:val="105"/>
        </w:rPr>
        <w:t> </w:t>
      </w:r>
      <w:r>
        <w:rPr>
          <w:color w:val="231F20"/>
          <w:w w:val="105"/>
        </w:rPr>
        <w:t>non</w:t>
      </w:r>
      <w:r>
        <w:rPr>
          <w:color w:val="231F20"/>
          <w:spacing w:val="-27"/>
          <w:w w:val="105"/>
        </w:rPr>
        <w:t> </w:t>
      </w:r>
      <w:r>
        <w:rPr>
          <w:color w:val="231F20"/>
          <w:w w:val="105"/>
        </w:rPr>
        <w:t>ingerenza,</w:t>
      </w:r>
      <w:r>
        <w:rPr>
          <w:color w:val="231F20"/>
          <w:spacing w:val="-27"/>
          <w:w w:val="105"/>
        </w:rPr>
        <w:t> </w:t>
      </w:r>
      <w:r>
        <w:rPr>
          <w:color w:val="231F20"/>
          <w:w w:val="105"/>
        </w:rPr>
        <w:t>sembra</w:t>
      </w:r>
      <w:r>
        <w:rPr>
          <w:color w:val="231F20"/>
          <w:spacing w:val="-27"/>
          <w:w w:val="105"/>
        </w:rPr>
        <w:t> </w:t>
      </w:r>
      <w:r>
        <w:rPr>
          <w:color w:val="231F20"/>
          <w:w w:val="105"/>
        </w:rPr>
        <w:t>costituire, infatti,</w:t>
      </w:r>
      <w:r>
        <w:rPr>
          <w:color w:val="231F20"/>
          <w:spacing w:val="-36"/>
          <w:w w:val="105"/>
        </w:rPr>
        <w:t> </w:t>
      </w:r>
      <w:r>
        <w:rPr>
          <w:color w:val="231F20"/>
          <w:w w:val="105"/>
        </w:rPr>
        <w:t>un</w:t>
      </w:r>
      <w:r>
        <w:rPr>
          <w:color w:val="231F20"/>
          <w:spacing w:val="-36"/>
          <w:w w:val="105"/>
        </w:rPr>
        <w:t> </w:t>
      </w:r>
      <w:r>
        <w:rPr>
          <w:color w:val="231F20"/>
          <w:w w:val="105"/>
        </w:rPr>
        <w:t>presupposto</w:t>
      </w:r>
      <w:r>
        <w:rPr>
          <w:color w:val="231F20"/>
          <w:spacing w:val="-36"/>
          <w:w w:val="105"/>
        </w:rPr>
        <w:t> </w:t>
      </w:r>
      <w:r>
        <w:rPr>
          <w:color w:val="231F20"/>
          <w:w w:val="105"/>
        </w:rPr>
        <w:t>irrinunciabile</w:t>
      </w:r>
      <w:r>
        <w:rPr>
          <w:color w:val="231F20"/>
          <w:spacing w:val="-36"/>
          <w:w w:val="105"/>
        </w:rPr>
        <w:t> </w:t>
      </w:r>
      <w:r>
        <w:rPr>
          <w:color w:val="231F20"/>
          <w:w w:val="105"/>
        </w:rPr>
        <w:t>per</w:t>
      </w:r>
      <w:r>
        <w:rPr>
          <w:color w:val="231F20"/>
          <w:spacing w:val="-36"/>
          <w:w w:val="105"/>
        </w:rPr>
        <w:t> </w:t>
      </w:r>
      <w:r>
        <w:rPr>
          <w:color w:val="231F20"/>
          <w:w w:val="105"/>
        </w:rPr>
        <w:t>l’esercizio</w:t>
      </w:r>
      <w:r>
        <w:rPr>
          <w:color w:val="231F20"/>
          <w:spacing w:val="-36"/>
          <w:w w:val="105"/>
        </w:rPr>
        <w:t> </w:t>
      </w:r>
      <w:r>
        <w:rPr>
          <w:color w:val="231F20"/>
          <w:w w:val="105"/>
        </w:rPr>
        <w:t>dei</w:t>
      </w:r>
      <w:r>
        <w:rPr>
          <w:color w:val="231F20"/>
          <w:spacing w:val="-36"/>
          <w:w w:val="105"/>
        </w:rPr>
        <w:t> </w:t>
      </w:r>
      <w:r>
        <w:rPr>
          <w:color w:val="231F20"/>
          <w:w w:val="105"/>
        </w:rPr>
        <w:t>diritti</w:t>
      </w:r>
      <w:r>
        <w:rPr>
          <w:color w:val="231F20"/>
          <w:spacing w:val="-36"/>
          <w:w w:val="105"/>
        </w:rPr>
        <w:t> </w:t>
      </w:r>
      <w:r>
        <w:rPr>
          <w:color w:val="231F20"/>
          <w:w w:val="105"/>
        </w:rPr>
        <w:t>democratici</w:t>
      </w:r>
      <w:r>
        <w:rPr>
          <w:color w:val="231F20"/>
          <w:spacing w:val="-36"/>
          <w:w w:val="105"/>
        </w:rPr>
        <w:t> </w:t>
      </w:r>
      <w:r>
        <w:rPr>
          <w:color w:val="231F20"/>
          <w:w w:val="105"/>
        </w:rPr>
        <w:t>di autogoverno</w:t>
      </w:r>
      <w:r>
        <w:rPr>
          <w:color w:val="231F20"/>
          <w:spacing w:val="-18"/>
          <w:w w:val="105"/>
        </w:rPr>
        <w:t> </w:t>
      </w:r>
      <w:r>
        <w:rPr>
          <w:color w:val="231F20"/>
          <w:w w:val="105"/>
        </w:rPr>
        <w:t>da</w:t>
      </w:r>
      <w:r>
        <w:rPr>
          <w:color w:val="231F20"/>
          <w:spacing w:val="-18"/>
          <w:w w:val="105"/>
        </w:rPr>
        <w:t> </w:t>
      </w:r>
      <w:r>
        <w:rPr>
          <w:color w:val="231F20"/>
          <w:w w:val="105"/>
        </w:rPr>
        <w:t>parte</w:t>
      </w:r>
      <w:r>
        <w:rPr>
          <w:color w:val="231F20"/>
          <w:spacing w:val="-18"/>
          <w:w w:val="105"/>
        </w:rPr>
        <w:t> </w:t>
      </w:r>
      <w:r>
        <w:rPr>
          <w:color w:val="231F20"/>
          <w:w w:val="105"/>
        </w:rPr>
        <w:t>dei</w:t>
      </w:r>
      <w:r>
        <w:rPr>
          <w:color w:val="231F20"/>
          <w:spacing w:val="-18"/>
          <w:w w:val="105"/>
        </w:rPr>
        <w:t> </w:t>
      </w:r>
      <w:r>
        <w:rPr>
          <w:color w:val="231F20"/>
          <w:w w:val="105"/>
        </w:rPr>
        <w:t>cittadini</w:t>
      </w:r>
      <w:r>
        <w:rPr>
          <w:color w:val="231F20"/>
          <w:spacing w:val="-18"/>
          <w:w w:val="105"/>
        </w:rPr>
        <w:t> </w:t>
      </w:r>
      <w:r>
        <w:rPr>
          <w:color w:val="231F20"/>
          <w:w w:val="105"/>
        </w:rPr>
        <w:t>di</w:t>
      </w:r>
      <w:r>
        <w:rPr>
          <w:color w:val="231F20"/>
          <w:spacing w:val="-18"/>
          <w:w w:val="105"/>
        </w:rPr>
        <w:t> </w:t>
      </w:r>
      <w:r>
        <w:rPr>
          <w:color w:val="231F20"/>
          <w:w w:val="105"/>
        </w:rPr>
        <w:t>tutti</w:t>
      </w:r>
      <w:r>
        <w:rPr>
          <w:color w:val="231F20"/>
          <w:spacing w:val="-18"/>
          <w:w w:val="105"/>
        </w:rPr>
        <w:t> </w:t>
      </w:r>
      <w:r>
        <w:rPr>
          <w:color w:val="231F20"/>
          <w:w w:val="105"/>
        </w:rPr>
        <w:t>gli</w:t>
      </w:r>
      <w:r>
        <w:rPr>
          <w:color w:val="231F20"/>
          <w:spacing w:val="-18"/>
          <w:w w:val="105"/>
        </w:rPr>
        <w:t> </w:t>
      </w:r>
      <w:r>
        <w:rPr>
          <w:color w:val="231F20"/>
          <w:w w:val="105"/>
        </w:rPr>
        <w:t>Stati,</w:t>
      </w:r>
      <w:r>
        <w:rPr>
          <w:color w:val="231F20"/>
          <w:spacing w:val="-18"/>
          <w:w w:val="105"/>
        </w:rPr>
        <w:t> </w:t>
      </w:r>
      <w:r>
        <w:rPr>
          <w:color w:val="231F20"/>
          <w:w w:val="105"/>
        </w:rPr>
        <w:t>inclusi</w:t>
      </w:r>
      <w:r>
        <w:rPr>
          <w:color w:val="231F20"/>
          <w:spacing w:val="-18"/>
          <w:w w:val="105"/>
        </w:rPr>
        <w:t> </w:t>
      </w:r>
      <w:r>
        <w:rPr>
          <w:color w:val="231F20"/>
          <w:w w:val="105"/>
        </w:rPr>
        <w:t>quelli</w:t>
      </w:r>
      <w:r>
        <w:rPr>
          <w:color w:val="231F20"/>
          <w:spacing w:val="-18"/>
          <w:w w:val="105"/>
        </w:rPr>
        <w:t> </w:t>
      </w:r>
      <w:r>
        <w:rPr>
          <w:color w:val="231F20"/>
          <w:w w:val="105"/>
        </w:rPr>
        <w:t>più</w:t>
      </w:r>
      <w:r>
        <w:rPr>
          <w:color w:val="231F20"/>
          <w:spacing w:val="-18"/>
          <w:w w:val="105"/>
        </w:rPr>
        <w:t> </w:t>
      </w:r>
      <w:r>
        <w:rPr>
          <w:color w:val="231F20"/>
          <w:w w:val="105"/>
        </w:rPr>
        <w:t>deboli e</w:t>
      </w:r>
      <w:r>
        <w:rPr>
          <w:color w:val="231F20"/>
          <w:spacing w:val="-29"/>
          <w:w w:val="105"/>
        </w:rPr>
        <w:t> </w:t>
      </w:r>
      <w:r>
        <w:rPr>
          <w:color w:val="231F20"/>
          <w:w w:val="105"/>
        </w:rPr>
        <w:t>periferici</w:t>
      </w:r>
      <w:r>
        <w:rPr>
          <w:color w:val="231F20"/>
          <w:w w:val="105"/>
          <w:position w:val="7"/>
          <w:sz w:val="12"/>
        </w:rPr>
        <w:t>69</w:t>
      </w:r>
      <w:r>
        <w:rPr>
          <w:color w:val="231F20"/>
          <w:w w:val="105"/>
        </w:rPr>
        <w:t>.</w:t>
      </w:r>
      <w:r>
        <w:rPr>
          <w:color w:val="231F20"/>
          <w:spacing w:val="-29"/>
          <w:w w:val="105"/>
        </w:rPr>
        <w:t> </w:t>
      </w:r>
      <w:r>
        <w:rPr>
          <w:color w:val="231F20"/>
          <w:spacing w:val="-3"/>
          <w:w w:val="105"/>
        </w:rPr>
        <w:t>L’imporsi</w:t>
      </w:r>
      <w:r>
        <w:rPr>
          <w:color w:val="231F20"/>
          <w:spacing w:val="-29"/>
          <w:w w:val="105"/>
        </w:rPr>
        <w:t> </w:t>
      </w:r>
      <w:r>
        <w:rPr>
          <w:color w:val="231F20"/>
          <w:w w:val="105"/>
        </w:rPr>
        <w:t>di</w:t>
      </w:r>
      <w:r>
        <w:rPr>
          <w:color w:val="231F20"/>
          <w:spacing w:val="-29"/>
          <w:w w:val="105"/>
        </w:rPr>
        <w:t> </w:t>
      </w:r>
      <w:r>
        <w:rPr>
          <w:color w:val="231F20"/>
          <w:w w:val="105"/>
        </w:rPr>
        <w:t>un</w:t>
      </w:r>
      <w:r>
        <w:rPr>
          <w:color w:val="231F20"/>
          <w:spacing w:val="-29"/>
          <w:w w:val="105"/>
        </w:rPr>
        <w:t> </w:t>
      </w:r>
      <w:r>
        <w:rPr>
          <w:color w:val="231F20"/>
          <w:w w:val="105"/>
        </w:rPr>
        <w:t>“cosmopolitan</w:t>
      </w:r>
      <w:r>
        <w:rPr>
          <w:color w:val="231F20"/>
          <w:spacing w:val="-29"/>
          <w:w w:val="105"/>
        </w:rPr>
        <w:t> </w:t>
      </w:r>
      <w:r>
        <w:rPr>
          <w:color w:val="231F20"/>
          <w:w w:val="105"/>
        </w:rPr>
        <w:t>regime”</w:t>
      </w:r>
      <w:r>
        <w:rPr>
          <w:color w:val="231F20"/>
          <w:spacing w:val="-29"/>
          <w:w w:val="105"/>
        </w:rPr>
        <w:t> </w:t>
      </w:r>
      <w:r>
        <w:rPr>
          <w:color w:val="231F20"/>
          <w:w w:val="105"/>
        </w:rPr>
        <w:t>di</w:t>
      </w:r>
      <w:r>
        <w:rPr>
          <w:color w:val="231F20"/>
          <w:spacing w:val="-29"/>
          <w:w w:val="105"/>
        </w:rPr>
        <w:t> </w:t>
      </w:r>
      <w:r>
        <w:rPr>
          <w:color w:val="231F20"/>
          <w:w w:val="105"/>
        </w:rPr>
        <w:t>protezione</w:t>
      </w:r>
      <w:r>
        <w:rPr>
          <w:color w:val="231F20"/>
          <w:spacing w:val="-29"/>
          <w:w w:val="105"/>
        </w:rPr>
        <w:t> </w:t>
      </w:r>
      <w:r>
        <w:rPr>
          <w:color w:val="231F20"/>
          <w:w w:val="105"/>
        </w:rPr>
        <w:t>dei</w:t>
      </w:r>
      <w:r>
        <w:rPr>
          <w:color w:val="231F20"/>
          <w:spacing w:val="-29"/>
          <w:w w:val="105"/>
        </w:rPr>
        <w:t> </w:t>
      </w:r>
      <w:r>
        <w:rPr>
          <w:color w:val="231F20"/>
          <w:w w:val="105"/>
        </w:rPr>
        <w:t>diritti </w:t>
      </w:r>
      <w:r>
        <w:rPr>
          <w:color w:val="231F20"/>
          <w:spacing w:val="-3"/>
          <w:w w:val="105"/>
        </w:rPr>
        <w:t>umani</w:t>
      </w:r>
      <w:r>
        <w:rPr>
          <w:color w:val="231F20"/>
          <w:spacing w:val="-50"/>
          <w:w w:val="105"/>
        </w:rPr>
        <w:t> </w:t>
      </w:r>
      <w:r>
        <w:rPr>
          <w:color w:val="231F20"/>
          <w:spacing w:val="-4"/>
          <w:w w:val="105"/>
        </w:rPr>
        <w:t>aprirebbe,</w:t>
      </w:r>
      <w:r>
        <w:rPr>
          <w:color w:val="231F20"/>
          <w:spacing w:val="-50"/>
          <w:w w:val="105"/>
        </w:rPr>
        <w:t> </w:t>
      </w:r>
      <w:r>
        <w:rPr>
          <w:color w:val="231F20"/>
          <w:spacing w:val="-3"/>
          <w:w w:val="105"/>
        </w:rPr>
        <w:t>invece,</w:t>
      </w:r>
      <w:r>
        <w:rPr>
          <w:color w:val="231F20"/>
          <w:spacing w:val="-50"/>
          <w:w w:val="105"/>
        </w:rPr>
        <w:t> </w:t>
      </w:r>
      <w:r>
        <w:rPr>
          <w:color w:val="231F20"/>
          <w:w w:val="105"/>
        </w:rPr>
        <w:t>la</w:t>
      </w:r>
      <w:r>
        <w:rPr>
          <w:color w:val="231F20"/>
          <w:spacing w:val="-50"/>
          <w:w w:val="105"/>
        </w:rPr>
        <w:t> </w:t>
      </w:r>
      <w:r>
        <w:rPr>
          <w:color w:val="231F20"/>
          <w:spacing w:val="-3"/>
          <w:w w:val="105"/>
        </w:rPr>
        <w:t>strada</w:t>
      </w:r>
      <w:r>
        <w:rPr>
          <w:color w:val="231F20"/>
          <w:spacing w:val="-50"/>
          <w:w w:val="105"/>
        </w:rPr>
        <w:t> </w:t>
      </w:r>
      <w:r>
        <w:rPr>
          <w:color w:val="231F20"/>
          <w:w w:val="105"/>
        </w:rPr>
        <w:t>ad</w:t>
      </w:r>
      <w:r>
        <w:rPr>
          <w:color w:val="231F20"/>
          <w:spacing w:val="-50"/>
          <w:w w:val="105"/>
        </w:rPr>
        <w:t> </w:t>
      </w:r>
      <w:r>
        <w:rPr>
          <w:color w:val="231F20"/>
          <w:w w:val="105"/>
        </w:rPr>
        <w:t>un</w:t>
      </w:r>
      <w:r>
        <w:rPr>
          <w:color w:val="231F20"/>
          <w:spacing w:val="-50"/>
          <w:w w:val="105"/>
        </w:rPr>
        <w:t> </w:t>
      </w:r>
      <w:r>
        <w:rPr>
          <w:color w:val="231F20"/>
          <w:spacing w:val="-4"/>
          <w:w w:val="105"/>
        </w:rPr>
        <w:t>progressivo</w:t>
      </w:r>
      <w:r>
        <w:rPr>
          <w:color w:val="231F20"/>
          <w:spacing w:val="-50"/>
          <w:w w:val="105"/>
        </w:rPr>
        <w:t> </w:t>
      </w:r>
      <w:r>
        <w:rPr>
          <w:color w:val="231F20"/>
          <w:spacing w:val="-3"/>
          <w:w w:val="105"/>
        </w:rPr>
        <w:t>svuotamento</w:t>
      </w:r>
      <w:r>
        <w:rPr>
          <w:color w:val="231F20"/>
          <w:spacing w:val="-50"/>
          <w:w w:val="105"/>
        </w:rPr>
        <w:t> </w:t>
      </w:r>
      <w:r>
        <w:rPr>
          <w:color w:val="231F20"/>
          <w:spacing w:val="-3"/>
          <w:w w:val="105"/>
        </w:rPr>
        <w:t>delle</w:t>
      </w:r>
      <w:r>
        <w:rPr>
          <w:color w:val="231F20"/>
          <w:spacing w:val="-50"/>
          <w:w w:val="105"/>
        </w:rPr>
        <w:t> </w:t>
      </w:r>
      <w:r>
        <w:rPr>
          <w:color w:val="231F20"/>
          <w:spacing w:val="-3"/>
          <w:w w:val="105"/>
        </w:rPr>
        <w:t>forme </w:t>
      </w:r>
      <w:r>
        <w:rPr>
          <w:color w:val="231F20"/>
          <w:w w:val="105"/>
        </w:rPr>
        <w:t>territorializzate</w:t>
      </w:r>
      <w:r>
        <w:rPr>
          <w:color w:val="231F20"/>
          <w:spacing w:val="-29"/>
          <w:w w:val="105"/>
        </w:rPr>
        <w:t> </w:t>
      </w:r>
      <w:r>
        <w:rPr>
          <w:color w:val="231F20"/>
          <w:w w:val="105"/>
        </w:rPr>
        <w:t>di</w:t>
      </w:r>
      <w:r>
        <w:rPr>
          <w:color w:val="231F20"/>
          <w:spacing w:val="-29"/>
          <w:w w:val="105"/>
        </w:rPr>
        <w:t> </w:t>
      </w:r>
      <w:r>
        <w:rPr>
          <w:color w:val="231F20"/>
          <w:w w:val="105"/>
        </w:rPr>
        <w:t>democrazia</w:t>
      </w:r>
      <w:r>
        <w:rPr>
          <w:color w:val="231F20"/>
          <w:spacing w:val="-29"/>
          <w:w w:val="105"/>
        </w:rPr>
        <w:t> </w:t>
      </w:r>
      <w:r>
        <w:rPr>
          <w:color w:val="231F20"/>
          <w:w w:val="105"/>
        </w:rPr>
        <w:t>rappresentativa</w:t>
      </w:r>
      <w:r>
        <w:rPr>
          <w:color w:val="231F20"/>
          <w:spacing w:val="-29"/>
          <w:w w:val="105"/>
        </w:rPr>
        <w:t> </w:t>
      </w:r>
      <w:r>
        <w:rPr>
          <w:color w:val="231F20"/>
          <w:w w:val="105"/>
        </w:rPr>
        <w:t>—le</w:t>
      </w:r>
      <w:r>
        <w:rPr>
          <w:color w:val="231F20"/>
          <w:spacing w:val="-29"/>
          <w:w w:val="105"/>
        </w:rPr>
        <w:t> </w:t>
      </w:r>
      <w:r>
        <w:rPr>
          <w:color w:val="231F20"/>
          <w:w w:val="105"/>
        </w:rPr>
        <w:t>uniche</w:t>
      </w:r>
      <w:r>
        <w:rPr>
          <w:color w:val="231F20"/>
          <w:spacing w:val="-29"/>
          <w:w w:val="105"/>
        </w:rPr>
        <w:t> </w:t>
      </w:r>
      <w:r>
        <w:rPr>
          <w:color w:val="231F20"/>
          <w:w w:val="105"/>
        </w:rPr>
        <w:t>concretamente praticabili</w:t>
      </w:r>
      <w:r>
        <w:rPr>
          <w:color w:val="231F20"/>
          <w:spacing w:val="-29"/>
          <w:w w:val="105"/>
        </w:rPr>
        <w:t> </w:t>
      </w:r>
      <w:r>
        <w:rPr>
          <w:color w:val="231F20"/>
          <w:w w:val="105"/>
        </w:rPr>
        <w:t>in</w:t>
      </w:r>
      <w:r>
        <w:rPr>
          <w:color w:val="231F20"/>
          <w:spacing w:val="-29"/>
          <w:w w:val="105"/>
        </w:rPr>
        <w:t> </w:t>
      </w:r>
      <w:r>
        <w:rPr>
          <w:color w:val="231F20"/>
          <w:w w:val="105"/>
        </w:rPr>
        <w:t>un</w:t>
      </w:r>
      <w:r>
        <w:rPr>
          <w:color w:val="231F20"/>
          <w:spacing w:val="-29"/>
          <w:w w:val="105"/>
        </w:rPr>
        <w:t> </w:t>
      </w:r>
      <w:r>
        <w:rPr>
          <w:color w:val="231F20"/>
          <w:w w:val="105"/>
        </w:rPr>
        <w:t>mondo</w:t>
      </w:r>
      <w:r>
        <w:rPr>
          <w:color w:val="231F20"/>
          <w:spacing w:val="-29"/>
          <w:w w:val="105"/>
        </w:rPr>
        <w:t> </w:t>
      </w:r>
      <w:r>
        <w:rPr>
          <w:color w:val="231F20"/>
          <w:w w:val="105"/>
        </w:rPr>
        <w:t>di</w:t>
      </w:r>
      <w:r>
        <w:rPr>
          <w:color w:val="231F20"/>
          <w:spacing w:val="-29"/>
          <w:w w:val="105"/>
        </w:rPr>
        <w:t> </w:t>
      </w:r>
      <w:r>
        <w:rPr>
          <w:color w:val="231F20"/>
          <w:w w:val="105"/>
        </w:rPr>
        <w:t>Stati–nazione—</w:t>
      </w:r>
      <w:r>
        <w:rPr>
          <w:color w:val="231F20"/>
          <w:spacing w:val="-29"/>
          <w:w w:val="105"/>
        </w:rPr>
        <w:t> </w:t>
      </w:r>
      <w:r>
        <w:rPr>
          <w:color w:val="231F20"/>
          <w:w w:val="105"/>
        </w:rPr>
        <w:t>che</w:t>
      </w:r>
      <w:r>
        <w:rPr>
          <w:color w:val="231F20"/>
          <w:spacing w:val="-29"/>
          <w:w w:val="105"/>
        </w:rPr>
        <w:t> </w:t>
      </w:r>
      <w:r>
        <w:rPr>
          <w:color w:val="231F20"/>
          <w:w w:val="105"/>
        </w:rPr>
        <w:t>prefigura</w:t>
      </w:r>
      <w:r>
        <w:rPr>
          <w:color w:val="231F20"/>
          <w:spacing w:val="-29"/>
          <w:w w:val="105"/>
        </w:rPr>
        <w:t> </w:t>
      </w:r>
      <w:r>
        <w:rPr>
          <w:color w:val="231F20"/>
          <w:w w:val="105"/>
        </w:rPr>
        <w:t>la</w:t>
      </w:r>
      <w:r>
        <w:rPr>
          <w:color w:val="231F20"/>
          <w:spacing w:val="-29"/>
          <w:w w:val="105"/>
        </w:rPr>
        <w:t> </w:t>
      </w:r>
      <w:r>
        <w:rPr>
          <w:color w:val="231F20"/>
          <w:w w:val="105"/>
        </w:rPr>
        <w:t>istituzione</w:t>
      </w:r>
      <w:r>
        <w:rPr>
          <w:color w:val="231F20"/>
          <w:spacing w:val="-29"/>
          <w:w w:val="105"/>
        </w:rPr>
        <w:t> </w:t>
      </w:r>
      <w:r>
        <w:rPr>
          <w:color w:val="231F20"/>
          <w:w w:val="105"/>
        </w:rPr>
        <w:t>di</w:t>
      </w:r>
      <w:r>
        <w:rPr>
          <w:color w:val="231F20"/>
          <w:spacing w:val="-29"/>
          <w:w w:val="105"/>
        </w:rPr>
        <w:t> </w:t>
      </w:r>
      <w:r>
        <w:rPr>
          <w:color w:val="231F20"/>
          <w:w w:val="105"/>
        </w:rPr>
        <w:t>un vero</w:t>
      </w:r>
      <w:r>
        <w:rPr>
          <w:color w:val="231F20"/>
          <w:spacing w:val="-6"/>
          <w:w w:val="105"/>
        </w:rPr>
        <w:t> </w:t>
      </w:r>
      <w:r>
        <w:rPr>
          <w:color w:val="231F20"/>
          <w:w w:val="105"/>
        </w:rPr>
        <w:t>e</w:t>
      </w:r>
      <w:r>
        <w:rPr>
          <w:color w:val="231F20"/>
          <w:spacing w:val="-6"/>
          <w:w w:val="105"/>
        </w:rPr>
        <w:t> </w:t>
      </w:r>
      <w:r>
        <w:rPr>
          <w:color w:val="231F20"/>
          <w:w w:val="105"/>
        </w:rPr>
        <w:t>proprio</w:t>
      </w:r>
      <w:r>
        <w:rPr>
          <w:color w:val="231F20"/>
          <w:spacing w:val="-6"/>
          <w:w w:val="105"/>
        </w:rPr>
        <w:t> </w:t>
      </w:r>
      <w:r>
        <w:rPr>
          <w:color w:val="231F20"/>
          <w:w w:val="105"/>
        </w:rPr>
        <w:t>“direttorio”</w:t>
      </w:r>
      <w:r>
        <w:rPr>
          <w:color w:val="231F20"/>
          <w:spacing w:val="-6"/>
          <w:w w:val="105"/>
        </w:rPr>
        <w:t> </w:t>
      </w:r>
      <w:r>
        <w:rPr>
          <w:color w:val="231F20"/>
          <w:w w:val="105"/>
        </w:rPr>
        <w:t>globale.</w:t>
      </w:r>
      <w:r>
        <w:rPr>
          <w:color w:val="231F20"/>
          <w:spacing w:val="-6"/>
          <w:w w:val="105"/>
        </w:rPr>
        <w:t> </w:t>
      </w:r>
      <w:r>
        <w:rPr>
          <w:color w:val="231F20"/>
          <w:w w:val="105"/>
        </w:rPr>
        <w:t>In</w:t>
      </w:r>
      <w:r>
        <w:rPr>
          <w:color w:val="231F20"/>
          <w:spacing w:val="-6"/>
          <w:w w:val="105"/>
        </w:rPr>
        <w:t> </w:t>
      </w:r>
      <w:r>
        <w:rPr>
          <w:color w:val="231F20"/>
          <w:w w:val="105"/>
        </w:rPr>
        <w:t>questa</w:t>
      </w:r>
      <w:r>
        <w:rPr>
          <w:color w:val="231F20"/>
          <w:spacing w:val="-6"/>
          <w:w w:val="105"/>
        </w:rPr>
        <w:t> </w:t>
      </w:r>
      <w:r>
        <w:rPr>
          <w:color w:val="231F20"/>
          <w:w w:val="105"/>
        </w:rPr>
        <w:t>impostazione,</w:t>
      </w:r>
      <w:r>
        <w:rPr>
          <w:color w:val="231F20"/>
          <w:spacing w:val="-6"/>
          <w:w w:val="105"/>
        </w:rPr>
        <w:t> </w:t>
      </w:r>
      <w:r>
        <w:rPr>
          <w:color w:val="231F20"/>
          <w:w w:val="105"/>
        </w:rPr>
        <w:t>la</w:t>
      </w:r>
      <w:r>
        <w:rPr>
          <w:color w:val="231F20"/>
          <w:spacing w:val="-6"/>
          <w:w w:val="105"/>
        </w:rPr>
        <w:t> </w:t>
      </w:r>
      <w:r>
        <w:rPr>
          <w:color w:val="231F20"/>
          <w:w w:val="105"/>
        </w:rPr>
        <w:t>difesa</w:t>
      </w:r>
      <w:r>
        <w:rPr>
          <w:color w:val="231F20"/>
          <w:spacing w:val="-6"/>
          <w:w w:val="105"/>
        </w:rPr>
        <w:t> </w:t>
      </w:r>
      <w:r>
        <w:rPr>
          <w:color w:val="231F20"/>
          <w:w w:val="105"/>
        </w:rPr>
        <w:t>dei valori</w:t>
      </w:r>
      <w:r>
        <w:rPr>
          <w:color w:val="231F20"/>
          <w:spacing w:val="-24"/>
          <w:w w:val="105"/>
        </w:rPr>
        <w:t> </w:t>
      </w:r>
      <w:r>
        <w:rPr>
          <w:color w:val="231F20"/>
          <w:w w:val="105"/>
        </w:rPr>
        <w:t>della</w:t>
      </w:r>
      <w:r>
        <w:rPr>
          <w:color w:val="231F20"/>
          <w:spacing w:val="-24"/>
          <w:w w:val="105"/>
        </w:rPr>
        <w:t> </w:t>
      </w:r>
      <w:r>
        <w:rPr>
          <w:color w:val="231F20"/>
          <w:w w:val="105"/>
        </w:rPr>
        <w:t>democrazia</w:t>
      </w:r>
      <w:r>
        <w:rPr>
          <w:color w:val="231F20"/>
          <w:spacing w:val="-24"/>
          <w:w w:val="105"/>
        </w:rPr>
        <w:t> </w:t>
      </w:r>
      <w:r>
        <w:rPr>
          <w:color w:val="231F20"/>
          <w:w w:val="105"/>
        </w:rPr>
        <w:t>e</w:t>
      </w:r>
      <w:r>
        <w:rPr>
          <w:color w:val="231F20"/>
          <w:spacing w:val="-24"/>
          <w:w w:val="105"/>
        </w:rPr>
        <w:t> </w:t>
      </w:r>
      <w:r>
        <w:rPr>
          <w:color w:val="231F20"/>
          <w:w w:val="105"/>
        </w:rPr>
        <w:t>dell’autodeterminazione</w:t>
      </w:r>
      <w:r>
        <w:rPr>
          <w:color w:val="231F20"/>
          <w:spacing w:val="-24"/>
          <w:w w:val="105"/>
        </w:rPr>
        <w:t> </w:t>
      </w:r>
      <w:r>
        <w:rPr>
          <w:color w:val="231F20"/>
          <w:w w:val="105"/>
        </w:rPr>
        <w:t>politica</w:t>
      </w:r>
      <w:r>
        <w:rPr>
          <w:color w:val="231F20"/>
          <w:spacing w:val="-24"/>
          <w:w w:val="105"/>
        </w:rPr>
        <w:t> </w:t>
      </w:r>
      <w:r>
        <w:rPr>
          <w:color w:val="231F20"/>
          <w:w w:val="105"/>
        </w:rPr>
        <w:t>passa,</w:t>
      </w:r>
      <w:r>
        <w:rPr>
          <w:color w:val="231F20"/>
          <w:spacing w:val="-24"/>
          <w:w w:val="105"/>
        </w:rPr>
        <w:t> </w:t>
      </w:r>
      <w:r>
        <w:rPr>
          <w:color w:val="231F20"/>
          <w:w w:val="105"/>
        </w:rPr>
        <w:t>dunque, per</w:t>
      </w:r>
      <w:r>
        <w:rPr>
          <w:color w:val="231F20"/>
          <w:spacing w:val="-25"/>
          <w:w w:val="105"/>
        </w:rPr>
        <w:t> </w:t>
      </w:r>
      <w:r>
        <w:rPr>
          <w:color w:val="231F20"/>
          <w:w w:val="105"/>
        </w:rPr>
        <w:t>il</w:t>
      </w:r>
      <w:r>
        <w:rPr>
          <w:color w:val="231F20"/>
          <w:spacing w:val="-25"/>
          <w:w w:val="105"/>
        </w:rPr>
        <w:t> </w:t>
      </w:r>
      <w:r>
        <w:rPr>
          <w:color w:val="231F20"/>
          <w:w w:val="105"/>
        </w:rPr>
        <w:t>mantenimento</w:t>
      </w:r>
      <w:r>
        <w:rPr>
          <w:color w:val="231F20"/>
          <w:spacing w:val="-25"/>
          <w:w w:val="105"/>
        </w:rPr>
        <w:t> </w:t>
      </w:r>
      <w:r>
        <w:rPr>
          <w:color w:val="231F20"/>
          <w:w w:val="105"/>
        </w:rPr>
        <w:t>dei</w:t>
      </w:r>
      <w:r>
        <w:rPr>
          <w:color w:val="231F20"/>
          <w:spacing w:val="-25"/>
          <w:w w:val="105"/>
        </w:rPr>
        <w:t> </w:t>
      </w:r>
      <w:r>
        <w:rPr>
          <w:color w:val="231F20"/>
          <w:w w:val="105"/>
        </w:rPr>
        <w:t>“vecchi</w:t>
      </w:r>
      <w:r>
        <w:rPr>
          <w:color w:val="231F20"/>
          <w:spacing w:val="-25"/>
          <w:w w:val="105"/>
        </w:rPr>
        <w:t> </w:t>
      </w:r>
      <w:r>
        <w:rPr>
          <w:color w:val="231F20"/>
          <w:w w:val="105"/>
        </w:rPr>
        <w:t>diritti”</w:t>
      </w:r>
      <w:r>
        <w:rPr>
          <w:color w:val="231F20"/>
          <w:spacing w:val="-25"/>
          <w:w w:val="105"/>
        </w:rPr>
        <w:t> </w:t>
      </w:r>
      <w:r>
        <w:rPr>
          <w:color w:val="231F20"/>
          <w:w w:val="105"/>
        </w:rPr>
        <w:t>della</w:t>
      </w:r>
      <w:r>
        <w:rPr>
          <w:color w:val="231F20"/>
          <w:spacing w:val="-25"/>
          <w:w w:val="105"/>
        </w:rPr>
        <w:t> </w:t>
      </w:r>
      <w:r>
        <w:rPr>
          <w:color w:val="231F20"/>
          <w:w w:val="105"/>
        </w:rPr>
        <w:t>sovranità</w:t>
      </w:r>
      <w:r>
        <w:rPr>
          <w:color w:val="231F20"/>
          <w:spacing w:val="-25"/>
          <w:w w:val="105"/>
        </w:rPr>
        <w:t> </w:t>
      </w:r>
      <w:r>
        <w:rPr>
          <w:color w:val="231F20"/>
          <w:w w:val="105"/>
        </w:rPr>
        <w:t>territoriale</w:t>
      </w:r>
      <w:r>
        <w:rPr>
          <w:color w:val="231F20"/>
          <w:w w:val="105"/>
          <w:position w:val="7"/>
          <w:sz w:val="12"/>
        </w:rPr>
        <w:t>70</w:t>
      </w:r>
      <w:r>
        <w:rPr>
          <w:color w:val="231F20"/>
          <w:spacing w:val="5"/>
          <w:w w:val="105"/>
          <w:position w:val="7"/>
          <w:sz w:val="12"/>
        </w:rPr>
        <w:t> </w:t>
      </w:r>
      <w:r>
        <w:rPr>
          <w:color w:val="231F20"/>
          <w:w w:val="105"/>
        </w:rPr>
        <w:t>—oltre quel</w:t>
      </w:r>
      <w:r>
        <w:rPr>
          <w:color w:val="231F20"/>
          <w:spacing w:val="-15"/>
          <w:w w:val="105"/>
        </w:rPr>
        <w:t> </w:t>
      </w:r>
      <w:r>
        <w:rPr>
          <w:color w:val="231F20"/>
          <w:w w:val="105"/>
        </w:rPr>
        <w:t>crinale</w:t>
      </w:r>
      <w:r>
        <w:rPr>
          <w:color w:val="231F20"/>
          <w:spacing w:val="-15"/>
          <w:w w:val="105"/>
        </w:rPr>
        <w:t> </w:t>
      </w:r>
      <w:r>
        <w:rPr>
          <w:color w:val="231F20"/>
          <w:w w:val="105"/>
        </w:rPr>
        <w:t>si</w:t>
      </w:r>
      <w:r>
        <w:rPr>
          <w:color w:val="231F20"/>
          <w:spacing w:val="-15"/>
          <w:w w:val="105"/>
        </w:rPr>
        <w:t> </w:t>
      </w:r>
      <w:r>
        <w:rPr>
          <w:color w:val="231F20"/>
          <w:w w:val="105"/>
        </w:rPr>
        <w:t>apre,</w:t>
      </w:r>
      <w:r>
        <w:rPr>
          <w:color w:val="231F20"/>
          <w:spacing w:val="-15"/>
          <w:w w:val="105"/>
        </w:rPr>
        <w:t> </w:t>
      </w:r>
      <w:r>
        <w:rPr>
          <w:color w:val="231F20"/>
          <w:w w:val="105"/>
        </w:rPr>
        <w:t>infatti,</w:t>
      </w:r>
      <w:r>
        <w:rPr>
          <w:color w:val="231F20"/>
          <w:spacing w:val="-15"/>
          <w:w w:val="105"/>
        </w:rPr>
        <w:t> </w:t>
      </w:r>
      <w:r>
        <w:rPr>
          <w:color w:val="231F20"/>
          <w:w w:val="105"/>
        </w:rPr>
        <w:t>l’inquietante</w:t>
      </w:r>
      <w:r>
        <w:rPr>
          <w:color w:val="231F20"/>
          <w:spacing w:val="-15"/>
          <w:w w:val="105"/>
        </w:rPr>
        <w:t> </w:t>
      </w:r>
      <w:r>
        <w:rPr>
          <w:color w:val="231F20"/>
          <w:w w:val="105"/>
        </w:rPr>
        <w:t>prospettiva</w:t>
      </w:r>
      <w:r>
        <w:rPr>
          <w:color w:val="231F20"/>
          <w:spacing w:val="-15"/>
          <w:w w:val="105"/>
        </w:rPr>
        <w:t> </w:t>
      </w:r>
      <w:r>
        <w:rPr>
          <w:color w:val="231F20"/>
          <w:w w:val="105"/>
        </w:rPr>
        <w:t>di</w:t>
      </w:r>
      <w:r>
        <w:rPr>
          <w:color w:val="231F20"/>
          <w:spacing w:val="-15"/>
          <w:w w:val="105"/>
        </w:rPr>
        <w:t> </w:t>
      </w:r>
      <w:r>
        <w:rPr>
          <w:color w:val="231F20"/>
          <w:w w:val="105"/>
        </w:rPr>
        <w:t>un</w:t>
      </w:r>
      <w:r>
        <w:rPr>
          <w:color w:val="231F20"/>
          <w:spacing w:val="-15"/>
          <w:w w:val="105"/>
        </w:rPr>
        <w:t> </w:t>
      </w:r>
      <w:r>
        <w:rPr>
          <w:color w:val="231F20"/>
          <w:w w:val="105"/>
        </w:rPr>
        <w:t>mondo</w:t>
      </w:r>
      <w:r>
        <w:rPr>
          <w:color w:val="231F20"/>
          <w:spacing w:val="-15"/>
          <w:w w:val="105"/>
        </w:rPr>
        <w:t> </w:t>
      </w:r>
      <w:r>
        <w:rPr>
          <w:color w:val="231F20"/>
          <w:w w:val="105"/>
        </w:rPr>
        <w:t>di</w:t>
      </w:r>
      <w:r>
        <w:rPr>
          <w:color w:val="231F20"/>
          <w:spacing w:val="-15"/>
          <w:w w:val="105"/>
        </w:rPr>
        <w:t> </w:t>
      </w:r>
      <w:r>
        <w:rPr>
          <w:rFonts w:ascii="Arial" w:hAnsi="Arial"/>
          <w:i/>
          <w:color w:val="231F20"/>
          <w:w w:val="105"/>
        </w:rPr>
        <w:t>diritti </w:t>
      </w:r>
      <w:r>
        <w:rPr>
          <w:rFonts w:ascii="Arial" w:hAnsi="Arial"/>
          <w:i/>
          <w:color w:val="231F20"/>
        </w:rPr>
        <w:t>senza</w:t>
      </w:r>
      <w:r>
        <w:rPr>
          <w:rFonts w:ascii="Arial" w:hAnsi="Arial"/>
          <w:i/>
          <w:color w:val="231F20"/>
          <w:spacing w:val="-21"/>
        </w:rPr>
        <w:t> </w:t>
      </w:r>
      <w:r>
        <w:rPr>
          <w:rFonts w:ascii="Arial" w:hAnsi="Arial"/>
          <w:i/>
          <w:color w:val="231F20"/>
        </w:rPr>
        <w:t>cittadinanza</w:t>
      </w:r>
      <w:r>
        <w:rPr>
          <w:color w:val="231F20"/>
        </w:rPr>
        <w:t>,</w:t>
      </w:r>
      <w:r>
        <w:rPr>
          <w:color w:val="231F20"/>
          <w:spacing w:val="-28"/>
        </w:rPr>
        <w:t> </w:t>
      </w:r>
      <w:r>
        <w:rPr>
          <w:color w:val="231F20"/>
        </w:rPr>
        <w:t>in</w:t>
      </w:r>
      <w:r>
        <w:rPr>
          <w:color w:val="231F20"/>
          <w:spacing w:val="-28"/>
        </w:rPr>
        <w:t> </w:t>
      </w:r>
      <w:r>
        <w:rPr>
          <w:color w:val="231F20"/>
        </w:rPr>
        <w:t>qualche</w:t>
      </w:r>
      <w:r>
        <w:rPr>
          <w:color w:val="231F20"/>
          <w:spacing w:val="-28"/>
        </w:rPr>
        <w:t> </w:t>
      </w:r>
      <w:r>
        <w:rPr>
          <w:color w:val="231F20"/>
        </w:rPr>
        <w:t>modo</w:t>
      </w:r>
      <w:r>
        <w:rPr>
          <w:color w:val="231F20"/>
          <w:spacing w:val="-28"/>
        </w:rPr>
        <w:t> </w:t>
      </w:r>
      <w:r>
        <w:rPr>
          <w:color w:val="231F20"/>
          <w:spacing w:val="-3"/>
        </w:rPr>
        <w:t>prefigurato</w:t>
      </w:r>
      <w:r>
        <w:rPr>
          <w:color w:val="231F20"/>
          <w:spacing w:val="-28"/>
        </w:rPr>
        <w:t> </w:t>
      </w:r>
      <w:r>
        <w:rPr>
          <w:color w:val="231F20"/>
        </w:rPr>
        <w:t>dalla</w:t>
      </w:r>
      <w:r>
        <w:rPr>
          <w:color w:val="231F20"/>
          <w:spacing w:val="-28"/>
        </w:rPr>
        <w:t> </w:t>
      </w:r>
      <w:r>
        <w:rPr>
          <w:color w:val="231F20"/>
        </w:rPr>
        <w:t>spettrale</w:t>
      </w:r>
      <w:r>
        <w:rPr>
          <w:color w:val="231F20"/>
          <w:spacing w:val="-28"/>
        </w:rPr>
        <w:t> </w:t>
      </w:r>
      <w:r>
        <w:rPr>
          <w:color w:val="231F20"/>
        </w:rPr>
        <w:t>inconsistenza </w:t>
      </w:r>
      <w:r>
        <w:rPr>
          <w:color w:val="231F20"/>
          <w:w w:val="105"/>
        </w:rPr>
        <w:t>del</w:t>
      </w:r>
      <w:r>
        <w:rPr>
          <w:color w:val="231F20"/>
          <w:spacing w:val="-8"/>
          <w:w w:val="105"/>
        </w:rPr>
        <w:t> </w:t>
      </w:r>
      <w:r>
        <w:rPr>
          <w:color w:val="231F20"/>
          <w:w w:val="105"/>
        </w:rPr>
        <w:t>nuovo</w:t>
      </w:r>
      <w:r>
        <w:rPr>
          <w:color w:val="231F20"/>
          <w:spacing w:val="-8"/>
          <w:w w:val="105"/>
        </w:rPr>
        <w:t> </w:t>
      </w:r>
      <w:r>
        <w:rPr>
          <w:color w:val="231F20"/>
          <w:w w:val="105"/>
        </w:rPr>
        <w:t>“soggetto</w:t>
      </w:r>
      <w:r>
        <w:rPr>
          <w:color w:val="231F20"/>
          <w:spacing w:val="-8"/>
          <w:w w:val="105"/>
        </w:rPr>
        <w:t> </w:t>
      </w:r>
      <w:r>
        <w:rPr>
          <w:color w:val="231F20"/>
          <w:w w:val="105"/>
        </w:rPr>
        <w:t>umano</w:t>
      </w:r>
      <w:r>
        <w:rPr>
          <w:color w:val="231F20"/>
          <w:spacing w:val="-8"/>
          <w:w w:val="105"/>
        </w:rPr>
        <w:t> </w:t>
      </w:r>
      <w:r>
        <w:rPr>
          <w:color w:val="231F20"/>
          <w:w w:val="105"/>
        </w:rPr>
        <w:t>universale</w:t>
      </w:r>
      <w:r>
        <w:rPr>
          <w:color w:val="231F20"/>
          <w:spacing w:val="-8"/>
          <w:w w:val="105"/>
        </w:rPr>
        <w:t> </w:t>
      </w:r>
      <w:r>
        <w:rPr>
          <w:color w:val="231F20"/>
          <w:w w:val="105"/>
        </w:rPr>
        <w:t>dei</w:t>
      </w:r>
      <w:r>
        <w:rPr>
          <w:color w:val="231F20"/>
          <w:spacing w:val="-8"/>
          <w:w w:val="105"/>
        </w:rPr>
        <w:t> </w:t>
      </w:r>
      <w:r>
        <w:rPr>
          <w:color w:val="231F20"/>
          <w:w w:val="105"/>
        </w:rPr>
        <w:t>diritti</w:t>
      </w:r>
      <w:r>
        <w:rPr>
          <w:color w:val="231F20"/>
          <w:spacing w:val="-8"/>
          <w:w w:val="105"/>
        </w:rPr>
        <w:t> </w:t>
      </w:r>
      <w:r>
        <w:rPr>
          <w:color w:val="231F20"/>
          <w:w w:val="105"/>
        </w:rPr>
        <w:t>cosmopolitici”</w:t>
      </w:r>
      <w:r>
        <w:rPr>
          <w:color w:val="231F20"/>
          <w:spacing w:val="-8"/>
          <w:w w:val="105"/>
        </w:rPr>
        <w:t> </w:t>
      </w:r>
      <w:r>
        <w:rPr>
          <w:color w:val="231F20"/>
          <w:w w:val="105"/>
        </w:rPr>
        <w:t>descritto da</w:t>
      </w:r>
      <w:r>
        <w:rPr>
          <w:color w:val="231F20"/>
          <w:spacing w:val="-34"/>
          <w:w w:val="105"/>
        </w:rPr>
        <w:t> </w:t>
      </w:r>
      <w:r>
        <w:rPr>
          <w:color w:val="231F20"/>
          <w:w w:val="105"/>
        </w:rPr>
        <w:t>David</w:t>
      </w:r>
      <w:r>
        <w:rPr>
          <w:color w:val="231F20"/>
          <w:spacing w:val="-34"/>
          <w:w w:val="105"/>
        </w:rPr>
        <w:t> </w:t>
      </w:r>
      <w:r>
        <w:rPr>
          <w:color w:val="231F20"/>
          <w:w w:val="105"/>
        </w:rPr>
        <w:t>Chandler:</w:t>
      </w:r>
    </w:p>
    <w:p>
      <w:pPr>
        <w:pStyle w:val="BodyText"/>
        <w:spacing w:before="10"/>
        <w:rPr>
          <w:sz w:val="22"/>
        </w:rPr>
      </w:pPr>
    </w:p>
    <w:p>
      <w:pPr>
        <w:spacing w:line="220" w:lineRule="exact" w:before="1"/>
        <w:ind w:left="1534" w:right="120" w:firstLine="0"/>
        <w:jc w:val="both"/>
        <w:rPr>
          <w:sz w:val="19"/>
        </w:rPr>
      </w:pPr>
      <w:r>
        <w:rPr>
          <w:color w:val="231F20"/>
          <w:w w:val="105"/>
          <w:sz w:val="19"/>
        </w:rPr>
        <w:t>i</w:t>
      </w:r>
      <w:r>
        <w:rPr>
          <w:color w:val="231F20"/>
          <w:spacing w:val="-20"/>
          <w:w w:val="105"/>
          <w:sz w:val="19"/>
        </w:rPr>
        <w:t> </w:t>
      </w:r>
      <w:r>
        <w:rPr>
          <w:color w:val="231F20"/>
          <w:w w:val="105"/>
          <w:sz w:val="19"/>
        </w:rPr>
        <w:t>nuovi</w:t>
      </w:r>
      <w:r>
        <w:rPr>
          <w:color w:val="231F20"/>
          <w:spacing w:val="-20"/>
          <w:w w:val="105"/>
          <w:sz w:val="19"/>
        </w:rPr>
        <w:t> </w:t>
      </w:r>
      <w:r>
        <w:rPr>
          <w:color w:val="231F20"/>
          <w:w w:val="105"/>
          <w:sz w:val="19"/>
        </w:rPr>
        <w:t>diritti</w:t>
      </w:r>
      <w:r>
        <w:rPr>
          <w:color w:val="231F20"/>
          <w:spacing w:val="-20"/>
          <w:w w:val="105"/>
          <w:sz w:val="19"/>
        </w:rPr>
        <w:t> </w:t>
      </w:r>
      <w:r>
        <w:rPr>
          <w:color w:val="231F20"/>
          <w:w w:val="105"/>
          <w:sz w:val="19"/>
        </w:rPr>
        <w:t>dei</w:t>
      </w:r>
      <w:r>
        <w:rPr>
          <w:color w:val="231F20"/>
          <w:spacing w:val="-20"/>
          <w:w w:val="105"/>
          <w:sz w:val="19"/>
        </w:rPr>
        <w:t> </w:t>
      </w:r>
      <w:r>
        <w:rPr>
          <w:color w:val="231F20"/>
          <w:w w:val="105"/>
          <w:sz w:val="19"/>
        </w:rPr>
        <w:t>cittadini</w:t>
      </w:r>
      <w:r>
        <w:rPr>
          <w:color w:val="231F20"/>
          <w:spacing w:val="-20"/>
          <w:w w:val="105"/>
          <w:sz w:val="19"/>
        </w:rPr>
        <w:t> </w:t>
      </w:r>
      <w:r>
        <w:rPr>
          <w:color w:val="231F20"/>
          <w:w w:val="105"/>
          <w:sz w:val="19"/>
        </w:rPr>
        <w:t>cosmopolitici,</w:t>
      </w:r>
      <w:r>
        <w:rPr>
          <w:color w:val="231F20"/>
          <w:spacing w:val="-20"/>
          <w:w w:val="105"/>
          <w:sz w:val="19"/>
        </w:rPr>
        <w:t> </w:t>
      </w:r>
      <w:r>
        <w:rPr>
          <w:color w:val="231F20"/>
          <w:w w:val="105"/>
          <w:sz w:val="19"/>
        </w:rPr>
        <w:t>che</w:t>
      </w:r>
      <w:r>
        <w:rPr>
          <w:color w:val="231F20"/>
          <w:spacing w:val="-20"/>
          <w:w w:val="105"/>
          <w:sz w:val="19"/>
        </w:rPr>
        <w:t> </w:t>
      </w:r>
      <w:r>
        <w:rPr>
          <w:color w:val="231F20"/>
          <w:w w:val="105"/>
          <w:sz w:val="19"/>
        </w:rPr>
        <w:t>si</w:t>
      </w:r>
      <w:r>
        <w:rPr>
          <w:color w:val="231F20"/>
          <w:spacing w:val="-20"/>
          <w:w w:val="105"/>
          <w:sz w:val="19"/>
        </w:rPr>
        <w:t> </w:t>
      </w:r>
      <w:r>
        <w:rPr>
          <w:color w:val="231F20"/>
          <w:w w:val="105"/>
          <w:sz w:val="19"/>
        </w:rPr>
        <w:t>aggiungono</w:t>
      </w:r>
      <w:r>
        <w:rPr>
          <w:color w:val="231F20"/>
          <w:spacing w:val="-20"/>
          <w:w w:val="105"/>
          <w:sz w:val="19"/>
        </w:rPr>
        <w:t> </w:t>
      </w:r>
      <w:r>
        <w:rPr>
          <w:color w:val="231F20"/>
          <w:w w:val="105"/>
          <w:sz w:val="19"/>
        </w:rPr>
        <w:t>ai</w:t>
      </w:r>
      <w:r>
        <w:rPr>
          <w:color w:val="231F20"/>
          <w:spacing w:val="-20"/>
          <w:w w:val="105"/>
          <w:sz w:val="19"/>
        </w:rPr>
        <w:t> </w:t>
      </w:r>
      <w:r>
        <w:rPr>
          <w:color w:val="231F20"/>
          <w:w w:val="105"/>
          <w:sz w:val="19"/>
        </w:rPr>
        <w:t>loro diritti</w:t>
      </w:r>
      <w:r>
        <w:rPr>
          <w:color w:val="231F20"/>
          <w:spacing w:val="-29"/>
          <w:w w:val="105"/>
          <w:sz w:val="19"/>
        </w:rPr>
        <w:t> </w:t>
      </w:r>
      <w:r>
        <w:rPr>
          <w:color w:val="231F20"/>
          <w:w w:val="105"/>
          <w:sz w:val="19"/>
        </w:rPr>
        <w:t>di</w:t>
      </w:r>
      <w:r>
        <w:rPr>
          <w:color w:val="231F20"/>
          <w:spacing w:val="-29"/>
          <w:w w:val="105"/>
          <w:sz w:val="19"/>
        </w:rPr>
        <w:t> </w:t>
      </w:r>
      <w:r>
        <w:rPr>
          <w:color w:val="231F20"/>
          <w:w w:val="105"/>
          <w:sz w:val="19"/>
        </w:rPr>
        <w:t>cittadinanza</w:t>
      </w:r>
      <w:r>
        <w:rPr>
          <w:color w:val="231F20"/>
          <w:spacing w:val="-29"/>
          <w:w w:val="105"/>
          <w:sz w:val="19"/>
        </w:rPr>
        <w:t> </w:t>
      </w:r>
      <w:r>
        <w:rPr>
          <w:color w:val="231F20"/>
          <w:w w:val="105"/>
          <w:sz w:val="19"/>
        </w:rPr>
        <w:t>territoriale,</w:t>
      </w:r>
      <w:r>
        <w:rPr>
          <w:color w:val="231F20"/>
          <w:spacing w:val="-29"/>
          <w:w w:val="105"/>
          <w:sz w:val="19"/>
        </w:rPr>
        <w:t> </w:t>
      </w:r>
      <w:r>
        <w:rPr>
          <w:color w:val="231F20"/>
          <w:w w:val="105"/>
          <w:sz w:val="19"/>
        </w:rPr>
        <w:t>sono</w:t>
      </w:r>
      <w:r>
        <w:rPr>
          <w:color w:val="231F20"/>
          <w:spacing w:val="-29"/>
          <w:w w:val="105"/>
          <w:sz w:val="19"/>
        </w:rPr>
        <w:t> </w:t>
      </w:r>
      <w:r>
        <w:rPr>
          <w:color w:val="231F20"/>
          <w:w w:val="105"/>
          <w:sz w:val="19"/>
        </w:rPr>
        <w:t>diritti</w:t>
      </w:r>
      <w:r>
        <w:rPr>
          <w:color w:val="231F20"/>
          <w:spacing w:val="-29"/>
          <w:w w:val="105"/>
          <w:sz w:val="19"/>
        </w:rPr>
        <w:t> </w:t>
      </w:r>
      <w:r>
        <w:rPr>
          <w:color w:val="231F20"/>
          <w:w w:val="105"/>
          <w:sz w:val="19"/>
        </w:rPr>
        <w:t>che</w:t>
      </w:r>
      <w:r>
        <w:rPr>
          <w:color w:val="231F20"/>
          <w:spacing w:val="-29"/>
          <w:w w:val="105"/>
          <w:sz w:val="19"/>
        </w:rPr>
        <w:t> </w:t>
      </w:r>
      <w:r>
        <w:rPr>
          <w:color w:val="231F20"/>
          <w:w w:val="105"/>
          <w:sz w:val="19"/>
        </w:rPr>
        <w:t>essi</w:t>
      </w:r>
      <w:r>
        <w:rPr>
          <w:color w:val="231F20"/>
          <w:spacing w:val="-29"/>
          <w:w w:val="105"/>
          <w:sz w:val="19"/>
        </w:rPr>
        <w:t> </w:t>
      </w:r>
      <w:r>
        <w:rPr>
          <w:color w:val="231F20"/>
          <w:w w:val="105"/>
          <w:sz w:val="19"/>
        </w:rPr>
        <w:t>non</w:t>
      </w:r>
      <w:r>
        <w:rPr>
          <w:color w:val="231F20"/>
          <w:spacing w:val="-29"/>
          <w:w w:val="105"/>
          <w:sz w:val="19"/>
        </w:rPr>
        <w:t> </w:t>
      </w:r>
      <w:r>
        <w:rPr>
          <w:color w:val="231F20"/>
          <w:w w:val="105"/>
          <w:sz w:val="19"/>
        </w:rPr>
        <w:t>possono </w:t>
      </w:r>
      <w:r>
        <w:rPr>
          <w:color w:val="231F20"/>
          <w:spacing w:val="-4"/>
          <w:w w:val="105"/>
          <w:sz w:val="19"/>
        </w:rPr>
        <w:t>attuare</w:t>
      </w:r>
      <w:r>
        <w:rPr>
          <w:color w:val="231F20"/>
          <w:spacing w:val="-42"/>
          <w:w w:val="105"/>
          <w:sz w:val="19"/>
        </w:rPr>
        <w:t> </w:t>
      </w:r>
      <w:r>
        <w:rPr>
          <w:color w:val="231F20"/>
          <w:w w:val="105"/>
          <w:sz w:val="19"/>
        </w:rPr>
        <w:t>o</w:t>
      </w:r>
      <w:r>
        <w:rPr>
          <w:color w:val="231F20"/>
          <w:spacing w:val="-42"/>
          <w:w w:val="105"/>
          <w:sz w:val="19"/>
        </w:rPr>
        <w:t> </w:t>
      </w:r>
      <w:r>
        <w:rPr>
          <w:color w:val="231F20"/>
          <w:spacing w:val="-4"/>
          <w:w w:val="105"/>
          <w:sz w:val="19"/>
        </w:rPr>
        <w:t>esercitare</w:t>
      </w:r>
      <w:r>
        <w:rPr>
          <w:color w:val="231F20"/>
          <w:spacing w:val="-42"/>
          <w:w w:val="105"/>
          <w:sz w:val="19"/>
        </w:rPr>
        <w:t> </w:t>
      </w:r>
      <w:r>
        <w:rPr>
          <w:color w:val="231F20"/>
          <w:w w:val="105"/>
          <w:sz w:val="19"/>
        </w:rPr>
        <w:t>in</w:t>
      </w:r>
      <w:r>
        <w:rPr>
          <w:color w:val="231F20"/>
          <w:spacing w:val="-42"/>
          <w:w w:val="105"/>
          <w:sz w:val="19"/>
        </w:rPr>
        <w:t> </w:t>
      </w:r>
      <w:r>
        <w:rPr>
          <w:color w:val="231F20"/>
          <w:spacing w:val="-3"/>
          <w:w w:val="105"/>
          <w:sz w:val="19"/>
        </w:rPr>
        <w:t>prima</w:t>
      </w:r>
      <w:r>
        <w:rPr>
          <w:color w:val="231F20"/>
          <w:spacing w:val="-42"/>
          <w:w w:val="105"/>
          <w:sz w:val="19"/>
        </w:rPr>
        <w:t> </w:t>
      </w:r>
      <w:r>
        <w:rPr>
          <w:color w:val="231F20"/>
          <w:spacing w:val="-3"/>
          <w:w w:val="105"/>
          <w:sz w:val="19"/>
        </w:rPr>
        <w:t>persona,</w:t>
      </w:r>
      <w:r>
        <w:rPr>
          <w:color w:val="231F20"/>
          <w:spacing w:val="-42"/>
          <w:w w:val="105"/>
          <w:sz w:val="19"/>
        </w:rPr>
        <w:t> </w:t>
      </w:r>
      <w:r>
        <w:rPr>
          <w:color w:val="231F20"/>
          <w:w w:val="105"/>
          <w:sz w:val="19"/>
        </w:rPr>
        <w:t>e</w:t>
      </w:r>
      <w:r>
        <w:rPr>
          <w:color w:val="231F20"/>
          <w:spacing w:val="-42"/>
          <w:w w:val="105"/>
          <w:sz w:val="19"/>
        </w:rPr>
        <w:t> </w:t>
      </w:r>
      <w:r>
        <w:rPr>
          <w:color w:val="231F20"/>
          <w:spacing w:val="-3"/>
          <w:w w:val="105"/>
          <w:sz w:val="19"/>
        </w:rPr>
        <w:t>sotto</w:t>
      </w:r>
      <w:r>
        <w:rPr>
          <w:color w:val="231F20"/>
          <w:spacing w:val="-42"/>
          <w:w w:val="105"/>
          <w:sz w:val="19"/>
        </w:rPr>
        <w:t> </w:t>
      </w:r>
      <w:r>
        <w:rPr>
          <w:color w:val="231F20"/>
          <w:spacing w:val="-3"/>
          <w:w w:val="105"/>
          <w:sz w:val="19"/>
        </w:rPr>
        <w:t>questo</w:t>
      </w:r>
      <w:r>
        <w:rPr>
          <w:color w:val="231F20"/>
          <w:spacing w:val="-42"/>
          <w:w w:val="105"/>
          <w:sz w:val="19"/>
        </w:rPr>
        <w:t> </w:t>
      </w:r>
      <w:r>
        <w:rPr>
          <w:color w:val="231F20"/>
          <w:spacing w:val="-3"/>
          <w:w w:val="105"/>
          <w:sz w:val="19"/>
        </w:rPr>
        <w:t>aspetto</w:t>
      </w:r>
      <w:r>
        <w:rPr>
          <w:color w:val="231F20"/>
          <w:spacing w:val="-42"/>
          <w:w w:val="105"/>
          <w:sz w:val="19"/>
        </w:rPr>
        <w:t> </w:t>
      </w:r>
      <w:r>
        <w:rPr>
          <w:color w:val="231F20"/>
          <w:spacing w:val="-3"/>
          <w:w w:val="105"/>
          <w:sz w:val="19"/>
        </w:rPr>
        <w:t>cruciale</w:t>
      </w:r>
    </w:p>
    <w:p>
      <w:pPr>
        <w:pStyle w:val="BodyText"/>
        <w:spacing w:before="1"/>
        <w:rPr>
          <w:sz w:val="24"/>
        </w:rPr>
      </w:pPr>
      <w:r>
        <w:rPr/>
        <w:pict>
          <v:line style="position:absolute;mso-position-horizontal-relative:page;mso-position-vertical-relative:paragraph;z-index:14920;mso-wrap-distance-left:0;mso-wrap-distance-right:0" from="70.866096pt,16.682798pt" to="184.252096pt,16.682798pt" stroked="true" strokeweight=".3pt" strokecolor="#231f20">
            <w10:wrap type="topAndBottom"/>
          </v:line>
        </w:pict>
      </w:r>
    </w:p>
    <w:p>
      <w:pPr>
        <w:spacing w:line="204" w:lineRule="exact" w:before="8"/>
        <w:ind w:left="117" w:right="121" w:firstLine="0"/>
        <w:jc w:val="both"/>
        <w:rPr>
          <w:rFonts w:ascii="Calibri" w:hAnsi="Calibri"/>
          <w:sz w:val="17"/>
        </w:rPr>
      </w:pPr>
      <w:r>
        <w:rPr>
          <w:rFonts w:ascii="Calibri" w:hAnsi="Calibri"/>
          <w:color w:val="231F20"/>
          <w:w w:val="105"/>
          <w:position w:val="6"/>
          <w:sz w:val="10"/>
        </w:rPr>
        <w:t>66 </w:t>
      </w:r>
      <w:r>
        <w:rPr>
          <w:rFonts w:ascii="Calibri" w:hAnsi="Calibri"/>
          <w:color w:val="231F20"/>
          <w:w w:val="105"/>
          <w:sz w:val="17"/>
        </w:rPr>
        <w:t>Brown, “From humanized war to humanitarian intervention”, p. </w:t>
      </w:r>
      <w:r>
        <w:rPr>
          <w:rFonts w:ascii="Calibri" w:hAnsi="Calibri"/>
          <w:color w:val="231F20"/>
          <w:spacing w:val="-5"/>
          <w:w w:val="105"/>
          <w:sz w:val="17"/>
        </w:rPr>
        <w:t>67. </w:t>
      </w:r>
      <w:r>
        <w:rPr>
          <w:rFonts w:ascii="Calibri" w:hAnsi="Calibri"/>
          <w:color w:val="231F20"/>
          <w:w w:val="105"/>
          <w:sz w:val="17"/>
        </w:rPr>
        <w:t>Ma sul tema si veda R. Devetak,</w:t>
      </w:r>
      <w:r>
        <w:rPr>
          <w:rFonts w:ascii="Calibri" w:hAnsi="Calibri"/>
          <w:color w:val="231F20"/>
          <w:spacing w:val="-16"/>
          <w:w w:val="105"/>
          <w:sz w:val="17"/>
        </w:rPr>
        <w:t> </w:t>
      </w:r>
      <w:r>
        <w:rPr>
          <w:rFonts w:ascii="Calibri" w:hAnsi="Calibri"/>
          <w:color w:val="231F20"/>
          <w:w w:val="105"/>
          <w:sz w:val="17"/>
        </w:rPr>
        <w:t>“Between</w:t>
      </w:r>
      <w:r>
        <w:rPr>
          <w:rFonts w:ascii="Calibri" w:hAnsi="Calibri"/>
          <w:color w:val="231F20"/>
          <w:spacing w:val="-16"/>
          <w:w w:val="105"/>
          <w:sz w:val="17"/>
        </w:rPr>
        <w:t> </w:t>
      </w:r>
      <w:r>
        <w:rPr>
          <w:rFonts w:ascii="Calibri" w:hAnsi="Calibri"/>
          <w:color w:val="231F20"/>
          <w:w w:val="105"/>
          <w:sz w:val="17"/>
        </w:rPr>
        <w:t>Kant</w:t>
      </w:r>
      <w:r>
        <w:rPr>
          <w:rFonts w:ascii="Calibri" w:hAnsi="Calibri"/>
          <w:color w:val="231F20"/>
          <w:spacing w:val="-16"/>
          <w:w w:val="105"/>
          <w:sz w:val="17"/>
        </w:rPr>
        <w:t> </w:t>
      </w:r>
      <w:r>
        <w:rPr>
          <w:rFonts w:ascii="Calibri" w:hAnsi="Calibri"/>
          <w:color w:val="231F20"/>
          <w:w w:val="105"/>
          <w:sz w:val="17"/>
        </w:rPr>
        <w:t>and</w:t>
      </w:r>
      <w:r>
        <w:rPr>
          <w:rFonts w:ascii="Calibri" w:hAnsi="Calibri"/>
          <w:color w:val="231F20"/>
          <w:spacing w:val="-16"/>
          <w:w w:val="105"/>
          <w:sz w:val="17"/>
        </w:rPr>
        <w:t> </w:t>
      </w:r>
      <w:r>
        <w:rPr>
          <w:rFonts w:ascii="Calibri" w:hAnsi="Calibri"/>
          <w:color w:val="231F20"/>
          <w:w w:val="105"/>
          <w:sz w:val="17"/>
        </w:rPr>
        <w:t>Pufendorf:</w:t>
      </w:r>
      <w:r>
        <w:rPr>
          <w:rFonts w:ascii="Calibri" w:hAnsi="Calibri"/>
          <w:color w:val="231F20"/>
          <w:spacing w:val="-16"/>
          <w:w w:val="105"/>
          <w:sz w:val="17"/>
        </w:rPr>
        <w:t> </w:t>
      </w:r>
      <w:r>
        <w:rPr>
          <w:rFonts w:ascii="Calibri" w:hAnsi="Calibri"/>
          <w:color w:val="231F20"/>
          <w:w w:val="105"/>
          <w:sz w:val="17"/>
        </w:rPr>
        <w:t>humanitarian</w:t>
      </w:r>
      <w:r>
        <w:rPr>
          <w:rFonts w:ascii="Calibri" w:hAnsi="Calibri"/>
          <w:color w:val="231F20"/>
          <w:spacing w:val="-16"/>
          <w:w w:val="105"/>
          <w:sz w:val="17"/>
        </w:rPr>
        <w:t> </w:t>
      </w:r>
      <w:r>
        <w:rPr>
          <w:rFonts w:ascii="Calibri" w:hAnsi="Calibri"/>
          <w:color w:val="231F20"/>
          <w:w w:val="105"/>
          <w:sz w:val="17"/>
        </w:rPr>
        <w:t>intervention,</w:t>
      </w:r>
      <w:r>
        <w:rPr>
          <w:rFonts w:ascii="Calibri" w:hAnsi="Calibri"/>
          <w:color w:val="231F20"/>
          <w:spacing w:val="-16"/>
          <w:w w:val="105"/>
          <w:sz w:val="17"/>
        </w:rPr>
        <w:t> </w:t>
      </w:r>
      <w:r>
        <w:rPr>
          <w:rFonts w:ascii="Calibri" w:hAnsi="Calibri"/>
          <w:color w:val="231F20"/>
          <w:w w:val="105"/>
          <w:sz w:val="17"/>
        </w:rPr>
        <w:t>statist</w:t>
      </w:r>
      <w:r>
        <w:rPr>
          <w:rFonts w:ascii="Calibri" w:hAnsi="Calibri"/>
          <w:color w:val="231F20"/>
          <w:spacing w:val="-16"/>
          <w:w w:val="105"/>
          <w:sz w:val="17"/>
        </w:rPr>
        <w:t> </w:t>
      </w:r>
      <w:r>
        <w:rPr>
          <w:rFonts w:ascii="Calibri" w:hAnsi="Calibri"/>
          <w:color w:val="231F20"/>
          <w:w w:val="105"/>
          <w:sz w:val="17"/>
        </w:rPr>
        <w:t>anti–cosmopolitanism </w:t>
      </w:r>
      <w:r>
        <w:rPr>
          <w:rFonts w:ascii="Calibri" w:hAnsi="Calibri"/>
          <w:color w:val="231F20"/>
          <w:sz w:val="17"/>
        </w:rPr>
        <w:t>and critical international theory”, </w:t>
      </w:r>
      <w:r>
        <w:rPr>
          <w:rFonts w:ascii="Calibri" w:hAnsi="Calibri"/>
          <w:i/>
          <w:color w:val="231F20"/>
          <w:sz w:val="17"/>
        </w:rPr>
        <w:t>Review of International Studies</w:t>
      </w:r>
      <w:r>
        <w:rPr>
          <w:rFonts w:ascii="Calibri" w:hAnsi="Calibri"/>
          <w:color w:val="231F20"/>
          <w:sz w:val="17"/>
        </w:rPr>
        <w:t>, 33, </w:t>
      </w:r>
      <w:r>
        <w:rPr>
          <w:rFonts w:ascii="Calibri" w:hAnsi="Calibri"/>
          <w:color w:val="231F20"/>
          <w:spacing w:val="-3"/>
          <w:sz w:val="17"/>
        </w:rPr>
        <w:t>2007, </w:t>
      </w:r>
      <w:r>
        <w:rPr>
          <w:rFonts w:ascii="Calibri" w:hAnsi="Calibri"/>
          <w:color w:val="231F20"/>
          <w:sz w:val="17"/>
        </w:rPr>
        <w:t>pp.</w:t>
      </w:r>
      <w:r>
        <w:rPr>
          <w:rFonts w:ascii="Calibri" w:hAnsi="Calibri"/>
          <w:color w:val="231F20"/>
          <w:spacing w:val="-14"/>
          <w:sz w:val="17"/>
        </w:rPr>
        <w:t> </w:t>
      </w:r>
      <w:r>
        <w:rPr>
          <w:rFonts w:ascii="Calibri" w:hAnsi="Calibri"/>
          <w:color w:val="231F20"/>
          <w:sz w:val="17"/>
        </w:rPr>
        <w:t>168–169.</w:t>
      </w:r>
    </w:p>
    <w:p>
      <w:pPr>
        <w:spacing w:line="204" w:lineRule="exact" w:before="0"/>
        <w:ind w:left="117" w:right="120" w:firstLine="0"/>
        <w:jc w:val="both"/>
        <w:rPr>
          <w:rFonts w:ascii="Calibri" w:hAnsi="Calibri"/>
          <w:sz w:val="17"/>
        </w:rPr>
      </w:pPr>
      <w:r>
        <w:rPr>
          <w:rFonts w:ascii="Calibri" w:hAnsi="Calibri"/>
          <w:color w:val="231F20"/>
          <w:w w:val="105"/>
          <w:position w:val="6"/>
          <w:sz w:val="10"/>
        </w:rPr>
        <w:t>67 </w:t>
      </w:r>
      <w:r>
        <w:rPr>
          <w:rFonts w:ascii="Calibri" w:hAnsi="Calibri"/>
          <w:color w:val="231F20"/>
          <w:w w:val="105"/>
          <w:sz w:val="17"/>
        </w:rPr>
        <w:t>Devetak, p. 160. Sulle rilevanti differenze esistenti tra la concezione originale schmitiana della sovranità e quella dei suoi sostenitori radicali si veda Chandler, “The Revival of Carl Schmitt”, pp. 43–44.</w:t>
      </w:r>
    </w:p>
    <w:p>
      <w:pPr>
        <w:spacing w:line="206" w:lineRule="exact" w:before="1"/>
        <w:ind w:left="117" w:right="0" w:firstLine="0"/>
        <w:jc w:val="both"/>
        <w:rPr>
          <w:rFonts w:ascii="Calibri" w:hAnsi="Calibri"/>
          <w:sz w:val="17"/>
        </w:rPr>
      </w:pPr>
      <w:r>
        <w:rPr>
          <w:rFonts w:ascii="Calibri" w:hAnsi="Calibri"/>
          <w:color w:val="231F20"/>
          <w:position w:val="6"/>
          <w:sz w:val="10"/>
        </w:rPr>
        <w:t>68 </w:t>
      </w:r>
      <w:r>
        <w:rPr>
          <w:rFonts w:ascii="Calibri" w:hAnsi="Calibri"/>
          <w:color w:val="231F20"/>
          <w:sz w:val="17"/>
        </w:rPr>
        <w:t>Monod, </w:t>
      </w:r>
      <w:r>
        <w:rPr>
          <w:rFonts w:ascii="Calibri" w:hAnsi="Calibri"/>
          <w:i/>
          <w:color w:val="231F20"/>
          <w:sz w:val="17"/>
        </w:rPr>
        <w:t>Penser l’ennemi, affronter l’exception</w:t>
      </w:r>
      <w:r>
        <w:rPr>
          <w:rFonts w:ascii="Calibri" w:hAnsi="Calibri"/>
          <w:color w:val="231F20"/>
          <w:sz w:val="17"/>
        </w:rPr>
        <w:t>, pp. 95–96.</w:t>
      </w:r>
    </w:p>
    <w:p>
      <w:pPr>
        <w:spacing w:line="204" w:lineRule="exact" w:before="0"/>
        <w:ind w:left="117" w:right="0" w:firstLine="0"/>
        <w:jc w:val="both"/>
        <w:rPr>
          <w:rFonts w:ascii="Calibri" w:hAnsi="Calibri"/>
          <w:sz w:val="17"/>
        </w:rPr>
      </w:pPr>
      <w:r>
        <w:rPr>
          <w:rFonts w:ascii="Calibri" w:hAnsi="Calibri"/>
          <w:color w:val="231F20"/>
          <w:position w:val="6"/>
          <w:sz w:val="10"/>
        </w:rPr>
        <w:t>69      </w:t>
      </w:r>
      <w:r>
        <w:rPr>
          <w:rFonts w:ascii="Calibri" w:hAnsi="Calibri"/>
          <w:color w:val="231F20"/>
          <w:sz w:val="17"/>
        </w:rPr>
        <w:t>A.  J.  Bellamy,  “Power,  rules  and  argument:  new  approaches  to  humanitarian intervention”,</w:t>
      </w:r>
    </w:p>
    <w:p>
      <w:pPr>
        <w:spacing w:line="204" w:lineRule="exact" w:before="0"/>
        <w:ind w:left="117" w:right="0" w:firstLine="0"/>
        <w:jc w:val="both"/>
        <w:rPr>
          <w:rFonts w:ascii="Calibri" w:hAnsi="Calibri"/>
          <w:sz w:val="17"/>
        </w:rPr>
      </w:pPr>
      <w:r>
        <w:rPr>
          <w:rFonts w:ascii="Calibri" w:hAnsi="Calibri"/>
          <w:i/>
          <w:color w:val="231F20"/>
          <w:sz w:val="17"/>
        </w:rPr>
        <w:t>Australian Journal of International Affairs</w:t>
      </w:r>
      <w:r>
        <w:rPr>
          <w:rFonts w:ascii="Calibri" w:hAnsi="Calibri"/>
          <w:color w:val="231F20"/>
          <w:sz w:val="17"/>
        </w:rPr>
        <w:t>, no. 3, 2003, pp. 499–512.</w:t>
      </w:r>
    </w:p>
    <w:p>
      <w:pPr>
        <w:spacing w:line="204" w:lineRule="exact" w:before="0"/>
        <w:ind w:left="117" w:right="0" w:firstLine="0"/>
        <w:jc w:val="both"/>
        <w:rPr>
          <w:rFonts w:ascii="Calibri"/>
          <w:sz w:val="17"/>
        </w:rPr>
      </w:pPr>
      <w:r>
        <w:rPr>
          <w:rFonts w:ascii="Calibri"/>
          <w:color w:val="231F20"/>
          <w:w w:val="105"/>
          <w:position w:val="6"/>
          <w:sz w:val="10"/>
        </w:rPr>
        <w:t>70  </w:t>
      </w:r>
      <w:r>
        <w:rPr>
          <w:rFonts w:ascii="Calibri"/>
          <w:color w:val="231F20"/>
          <w:w w:val="105"/>
          <w:sz w:val="17"/>
        </w:rPr>
        <w:t>C. Mouffe, </w:t>
      </w:r>
      <w:r>
        <w:rPr>
          <w:rFonts w:ascii="Calibri"/>
          <w:i/>
          <w:color w:val="231F20"/>
          <w:w w:val="105"/>
          <w:sz w:val="17"/>
        </w:rPr>
        <w:t>On the Political</w:t>
      </w:r>
      <w:r>
        <w:rPr>
          <w:rFonts w:ascii="Calibri"/>
          <w:color w:val="231F20"/>
          <w:w w:val="105"/>
          <w:sz w:val="17"/>
        </w:rPr>
        <w:t>, London, Routledge, 2005 (trad. it. </w:t>
      </w:r>
      <w:r>
        <w:rPr>
          <w:rFonts w:ascii="Calibri"/>
          <w:i/>
          <w:color w:val="231F20"/>
          <w:w w:val="105"/>
          <w:sz w:val="17"/>
        </w:rPr>
        <w:t>Sul politico</w:t>
      </w:r>
      <w:r>
        <w:rPr>
          <w:rFonts w:ascii="Calibri"/>
          <w:color w:val="231F20"/>
          <w:w w:val="105"/>
          <w:sz w:val="17"/>
        </w:rPr>
        <w:t>, Milano, Bruno</w:t>
      </w:r>
    </w:p>
    <w:p>
      <w:pPr>
        <w:spacing w:line="206" w:lineRule="exact" w:before="0"/>
        <w:ind w:left="117" w:right="0" w:firstLine="0"/>
        <w:jc w:val="both"/>
        <w:rPr>
          <w:rFonts w:ascii="Calibri"/>
          <w:sz w:val="17"/>
        </w:rPr>
      </w:pPr>
      <w:r>
        <w:rPr>
          <w:rFonts w:ascii="Calibri"/>
          <w:color w:val="231F20"/>
          <w:sz w:val="17"/>
        </w:rPr>
        <w:t>Mondadori, 2007, p. 116).</w:t>
      </w:r>
    </w:p>
    <w:p>
      <w:pPr>
        <w:spacing w:after="0" w:line="206" w:lineRule="exact"/>
        <w:jc w:val="both"/>
        <w:rPr>
          <w:rFonts w:ascii="Calibri"/>
          <w:sz w:val="17"/>
        </w:rPr>
        <w:sectPr>
          <w:type w:val="continuous"/>
          <w:pgSz w:w="9640" w:h="13890"/>
          <w:pgMar w:top="0" w:bottom="0" w:left="1300" w:right="1180"/>
        </w:sectPr>
      </w:pPr>
    </w:p>
    <w:p>
      <w:pPr>
        <w:spacing w:line="220" w:lineRule="exact" w:before="121"/>
        <w:ind w:left="1521" w:right="114" w:firstLine="0"/>
        <w:jc w:val="both"/>
        <w:rPr>
          <w:sz w:val="19"/>
        </w:rPr>
      </w:pPr>
      <w:r>
        <w:rPr>
          <w:color w:val="231F20"/>
          <w:sz w:val="19"/>
        </w:rPr>
        <w:t>essi sono altamente condizionali. Mentre può esserci un dovere</w:t>
      </w:r>
      <w:r>
        <w:rPr>
          <w:color w:val="231F20"/>
          <w:spacing w:val="-17"/>
          <w:sz w:val="19"/>
        </w:rPr>
        <w:t> </w:t>
      </w:r>
      <w:r>
        <w:rPr>
          <w:color w:val="231F20"/>
          <w:sz w:val="19"/>
        </w:rPr>
        <w:t>di proteggere i nuovi diritti del cittadino cosmopolitico, la cornice </w:t>
      </w:r>
      <w:r>
        <w:rPr>
          <w:color w:val="231F20"/>
          <w:spacing w:val="-4"/>
          <w:sz w:val="19"/>
        </w:rPr>
        <w:t>cosmopolitica </w:t>
      </w:r>
      <w:r>
        <w:rPr>
          <w:color w:val="231F20"/>
          <w:spacing w:val="-3"/>
          <w:sz w:val="19"/>
        </w:rPr>
        <w:t>non </w:t>
      </w:r>
      <w:r>
        <w:rPr>
          <w:color w:val="231F20"/>
          <w:spacing w:val="-5"/>
          <w:sz w:val="19"/>
        </w:rPr>
        <w:t>offre </w:t>
      </w:r>
      <w:r>
        <w:rPr>
          <w:color w:val="231F20"/>
          <w:spacing w:val="-4"/>
          <w:sz w:val="19"/>
        </w:rPr>
        <w:t>alcun meccanismo </w:t>
      </w:r>
      <w:r>
        <w:rPr>
          <w:color w:val="231F20"/>
          <w:sz w:val="19"/>
        </w:rPr>
        <w:t>di </w:t>
      </w:r>
      <w:r>
        <w:rPr>
          <w:rFonts w:ascii="Arial" w:hAnsi="Arial"/>
          <w:i/>
          <w:color w:val="231F20"/>
          <w:spacing w:val="-3"/>
          <w:sz w:val="19"/>
        </w:rPr>
        <w:t>accountability </w:t>
      </w:r>
      <w:r>
        <w:rPr>
          <w:color w:val="231F20"/>
          <w:spacing w:val="-3"/>
          <w:sz w:val="19"/>
        </w:rPr>
        <w:t>per </w:t>
      </w:r>
      <w:r>
        <w:rPr>
          <w:color w:val="231F20"/>
          <w:spacing w:val="-4"/>
          <w:sz w:val="19"/>
        </w:rPr>
        <w:t>dare </w:t>
      </w:r>
      <w:r>
        <w:rPr>
          <w:color w:val="231F20"/>
          <w:sz w:val="19"/>
        </w:rPr>
        <w:t>un contenuto a questi diritti. Non c’è alcun legame tra il “diritto”</w:t>
      </w:r>
      <w:r>
        <w:rPr>
          <w:color w:val="231F20"/>
          <w:spacing w:val="-37"/>
          <w:sz w:val="19"/>
        </w:rPr>
        <w:t> </w:t>
      </w:r>
      <w:r>
        <w:rPr>
          <w:color w:val="231F20"/>
          <w:sz w:val="19"/>
        </w:rPr>
        <w:t>e il “dovere” della loro attuazione. I diritti aggiuntivi sostenuti nella cornice</w:t>
      </w:r>
      <w:r>
        <w:rPr>
          <w:color w:val="231F20"/>
          <w:spacing w:val="-8"/>
          <w:sz w:val="19"/>
        </w:rPr>
        <w:t> </w:t>
      </w:r>
      <w:r>
        <w:rPr>
          <w:color w:val="231F20"/>
          <w:sz w:val="19"/>
        </w:rPr>
        <w:t>cosmopolitica</w:t>
      </w:r>
      <w:r>
        <w:rPr>
          <w:color w:val="231F20"/>
          <w:spacing w:val="-8"/>
          <w:sz w:val="19"/>
        </w:rPr>
        <w:t> </w:t>
      </w:r>
      <w:r>
        <w:rPr>
          <w:color w:val="231F20"/>
          <w:sz w:val="19"/>
        </w:rPr>
        <w:t>si</w:t>
      </w:r>
      <w:r>
        <w:rPr>
          <w:color w:val="231F20"/>
          <w:spacing w:val="-8"/>
          <w:sz w:val="19"/>
        </w:rPr>
        <w:t> </w:t>
      </w:r>
      <w:r>
        <w:rPr>
          <w:color w:val="231F20"/>
          <w:sz w:val="19"/>
        </w:rPr>
        <w:t>rivelano</w:t>
      </w:r>
      <w:r>
        <w:rPr>
          <w:color w:val="231F20"/>
          <w:spacing w:val="-8"/>
          <w:sz w:val="19"/>
        </w:rPr>
        <w:t> </w:t>
      </w:r>
      <w:r>
        <w:rPr>
          <w:color w:val="231F20"/>
          <w:sz w:val="19"/>
        </w:rPr>
        <w:t>essere</w:t>
      </w:r>
      <w:r>
        <w:rPr>
          <w:color w:val="231F20"/>
          <w:spacing w:val="-8"/>
          <w:sz w:val="19"/>
        </w:rPr>
        <w:t> </w:t>
      </w:r>
      <w:r>
        <w:rPr>
          <w:color w:val="231F20"/>
          <w:sz w:val="19"/>
        </w:rPr>
        <w:t>una</w:t>
      </w:r>
      <w:r>
        <w:rPr>
          <w:color w:val="231F20"/>
          <w:spacing w:val="-8"/>
          <w:sz w:val="19"/>
        </w:rPr>
        <w:t> </w:t>
      </w:r>
      <w:r>
        <w:rPr>
          <w:color w:val="231F20"/>
          <w:sz w:val="19"/>
        </w:rPr>
        <w:t>chimera</w:t>
      </w:r>
      <w:r>
        <w:rPr>
          <w:color w:val="231F20"/>
          <w:position w:val="6"/>
          <w:sz w:val="11"/>
        </w:rPr>
        <w:t>71</w:t>
      </w:r>
      <w:r>
        <w:rPr>
          <w:color w:val="231F20"/>
          <w:sz w:val="19"/>
        </w:rPr>
        <w:t>.</w:t>
      </w:r>
    </w:p>
    <w:p>
      <w:pPr>
        <w:pStyle w:val="BodyText"/>
        <w:spacing w:before="11"/>
        <w:rPr>
          <w:sz w:val="23"/>
        </w:rPr>
      </w:pPr>
    </w:p>
    <w:p>
      <w:pPr>
        <w:pStyle w:val="BodyText"/>
        <w:spacing w:line="247" w:lineRule="auto"/>
        <w:ind w:left="103" w:right="111"/>
        <w:jc w:val="both"/>
      </w:pPr>
      <w:r>
        <w:rPr>
          <w:color w:val="231F20"/>
        </w:rPr>
        <w:t>Alla</w:t>
      </w:r>
      <w:r>
        <w:rPr>
          <w:color w:val="231F20"/>
          <w:spacing w:val="-13"/>
        </w:rPr>
        <w:t> </w:t>
      </w:r>
      <w:r>
        <w:rPr>
          <w:color w:val="231F20"/>
        </w:rPr>
        <w:t>base</w:t>
      </w:r>
      <w:r>
        <w:rPr>
          <w:color w:val="231F20"/>
          <w:spacing w:val="-13"/>
        </w:rPr>
        <w:t> </w:t>
      </w:r>
      <w:r>
        <w:rPr>
          <w:color w:val="231F20"/>
        </w:rPr>
        <w:t>di</w:t>
      </w:r>
      <w:r>
        <w:rPr>
          <w:color w:val="231F20"/>
          <w:spacing w:val="-13"/>
        </w:rPr>
        <w:t> </w:t>
      </w:r>
      <w:r>
        <w:rPr>
          <w:color w:val="231F20"/>
        </w:rPr>
        <w:t>questo</w:t>
      </w:r>
      <w:r>
        <w:rPr>
          <w:color w:val="231F20"/>
          <w:spacing w:val="-13"/>
        </w:rPr>
        <w:t> </w:t>
      </w:r>
      <w:r>
        <w:rPr>
          <w:color w:val="231F20"/>
        </w:rPr>
        <w:t>tipo</w:t>
      </w:r>
      <w:r>
        <w:rPr>
          <w:color w:val="231F20"/>
          <w:spacing w:val="-13"/>
        </w:rPr>
        <w:t> </w:t>
      </w:r>
      <w:r>
        <w:rPr>
          <w:color w:val="231F20"/>
        </w:rPr>
        <w:t>di</w:t>
      </w:r>
      <w:r>
        <w:rPr>
          <w:color w:val="231F20"/>
          <w:spacing w:val="-13"/>
        </w:rPr>
        <w:t> </w:t>
      </w:r>
      <w:r>
        <w:rPr>
          <w:color w:val="231F20"/>
        </w:rPr>
        <w:t>analisi</w:t>
      </w:r>
      <w:r>
        <w:rPr>
          <w:color w:val="231F20"/>
          <w:spacing w:val="-13"/>
        </w:rPr>
        <w:t> </w:t>
      </w:r>
      <w:r>
        <w:rPr>
          <w:color w:val="231F20"/>
        </w:rPr>
        <w:t>c’è,</w:t>
      </w:r>
      <w:r>
        <w:rPr>
          <w:color w:val="231F20"/>
          <w:spacing w:val="-13"/>
        </w:rPr>
        <w:t> </w:t>
      </w:r>
      <w:r>
        <w:rPr>
          <w:color w:val="231F20"/>
        </w:rPr>
        <w:t>evidentemente,</w:t>
      </w:r>
      <w:r>
        <w:rPr>
          <w:color w:val="231F20"/>
          <w:spacing w:val="-13"/>
        </w:rPr>
        <w:t> </w:t>
      </w:r>
      <w:r>
        <w:rPr>
          <w:color w:val="231F20"/>
        </w:rPr>
        <w:t>la</w:t>
      </w:r>
      <w:r>
        <w:rPr>
          <w:color w:val="231F20"/>
          <w:spacing w:val="-13"/>
        </w:rPr>
        <w:t> </w:t>
      </w:r>
      <w:r>
        <w:rPr>
          <w:color w:val="231F20"/>
        </w:rPr>
        <w:t>tendenza</w:t>
      </w:r>
      <w:r>
        <w:rPr>
          <w:color w:val="231F20"/>
          <w:spacing w:val="-13"/>
        </w:rPr>
        <w:t> </w:t>
      </w:r>
      <w:r>
        <w:rPr>
          <w:color w:val="231F20"/>
        </w:rPr>
        <w:t>a</w:t>
      </w:r>
      <w:r>
        <w:rPr>
          <w:color w:val="231F20"/>
          <w:spacing w:val="-13"/>
        </w:rPr>
        <w:t> </w:t>
      </w:r>
      <w:r>
        <w:rPr>
          <w:color w:val="231F20"/>
        </w:rPr>
        <w:t>pensare il</w:t>
      </w:r>
      <w:r>
        <w:rPr>
          <w:color w:val="231F20"/>
          <w:spacing w:val="-19"/>
        </w:rPr>
        <w:t> </w:t>
      </w:r>
      <w:r>
        <w:rPr>
          <w:color w:val="231F20"/>
        </w:rPr>
        <w:t>rapporto</w:t>
      </w:r>
      <w:r>
        <w:rPr>
          <w:color w:val="231F20"/>
          <w:spacing w:val="-19"/>
        </w:rPr>
        <w:t> </w:t>
      </w:r>
      <w:r>
        <w:rPr>
          <w:color w:val="231F20"/>
        </w:rPr>
        <w:t>tra</w:t>
      </w:r>
      <w:r>
        <w:rPr>
          <w:color w:val="231F20"/>
          <w:spacing w:val="-19"/>
        </w:rPr>
        <w:t> </w:t>
      </w:r>
      <w:r>
        <w:rPr>
          <w:color w:val="231F20"/>
        </w:rPr>
        <w:t>diritti</w:t>
      </w:r>
      <w:r>
        <w:rPr>
          <w:color w:val="231F20"/>
          <w:spacing w:val="-19"/>
        </w:rPr>
        <w:t> </w:t>
      </w:r>
      <w:r>
        <w:rPr>
          <w:color w:val="231F20"/>
        </w:rPr>
        <w:t>umani</w:t>
      </w:r>
      <w:r>
        <w:rPr>
          <w:color w:val="231F20"/>
          <w:spacing w:val="-19"/>
        </w:rPr>
        <w:t> </w:t>
      </w:r>
      <w:r>
        <w:rPr>
          <w:color w:val="231F20"/>
        </w:rPr>
        <w:t>e</w:t>
      </w:r>
      <w:r>
        <w:rPr>
          <w:color w:val="231F20"/>
          <w:spacing w:val="-19"/>
        </w:rPr>
        <w:t> </w:t>
      </w:r>
      <w:r>
        <w:rPr>
          <w:color w:val="231F20"/>
        </w:rPr>
        <w:t>sovranità</w:t>
      </w:r>
      <w:r>
        <w:rPr>
          <w:color w:val="231F20"/>
          <w:spacing w:val="-19"/>
        </w:rPr>
        <w:t> </w:t>
      </w:r>
      <w:r>
        <w:rPr>
          <w:color w:val="231F20"/>
        </w:rPr>
        <w:t>statuale</w:t>
      </w:r>
      <w:r>
        <w:rPr>
          <w:color w:val="231F20"/>
          <w:spacing w:val="-19"/>
        </w:rPr>
        <w:t> </w:t>
      </w:r>
      <w:r>
        <w:rPr>
          <w:color w:val="231F20"/>
        </w:rPr>
        <w:t>come</w:t>
      </w:r>
      <w:r>
        <w:rPr>
          <w:color w:val="231F20"/>
          <w:spacing w:val="-19"/>
        </w:rPr>
        <w:t> </w:t>
      </w:r>
      <w:r>
        <w:rPr>
          <w:color w:val="231F20"/>
        </w:rPr>
        <w:t>una</w:t>
      </w:r>
      <w:r>
        <w:rPr>
          <w:color w:val="231F20"/>
          <w:spacing w:val="-19"/>
        </w:rPr>
        <w:t> </w:t>
      </w:r>
      <w:r>
        <w:rPr>
          <w:color w:val="231F20"/>
        </w:rPr>
        <w:t>rigida</w:t>
      </w:r>
      <w:r>
        <w:rPr>
          <w:color w:val="231F20"/>
          <w:spacing w:val="-19"/>
        </w:rPr>
        <w:t> </w:t>
      </w:r>
      <w:r>
        <w:rPr>
          <w:color w:val="231F20"/>
          <w:spacing w:val="-2"/>
        </w:rPr>
        <w:t>“opposizione </w:t>
      </w:r>
      <w:r>
        <w:rPr>
          <w:color w:val="231F20"/>
          <w:spacing w:val="2"/>
        </w:rPr>
        <w:t>binaria”, sostanzialmente riconducibile alla </w:t>
      </w:r>
      <w:r>
        <w:rPr>
          <w:color w:val="231F20"/>
        </w:rPr>
        <w:t>più </w:t>
      </w:r>
      <w:r>
        <w:rPr>
          <w:color w:val="231F20"/>
          <w:spacing w:val="2"/>
        </w:rPr>
        <w:t>profonda dicotomia </w:t>
      </w:r>
      <w:r>
        <w:rPr>
          <w:color w:val="231F20"/>
          <w:spacing w:val="3"/>
        </w:rPr>
        <w:t>tra </w:t>
      </w:r>
      <w:r>
        <w:rPr>
          <w:color w:val="231F20"/>
          <w:spacing w:val="2"/>
        </w:rPr>
        <w:t>morale </w:t>
      </w:r>
      <w:r>
        <w:rPr>
          <w:color w:val="231F20"/>
        </w:rPr>
        <w:t>e </w:t>
      </w:r>
      <w:r>
        <w:rPr>
          <w:color w:val="231F20"/>
          <w:spacing w:val="2"/>
        </w:rPr>
        <w:t>politica</w:t>
      </w:r>
      <w:r>
        <w:rPr>
          <w:color w:val="231F20"/>
          <w:spacing w:val="2"/>
          <w:position w:val="7"/>
          <w:sz w:val="12"/>
        </w:rPr>
        <w:t>72</w:t>
      </w:r>
      <w:r>
        <w:rPr>
          <w:color w:val="231F20"/>
          <w:spacing w:val="2"/>
        </w:rPr>
        <w:t>. </w:t>
      </w:r>
      <w:r>
        <w:rPr>
          <w:color w:val="231F20"/>
          <w:spacing w:val="3"/>
        </w:rPr>
        <w:t>Secondo </w:t>
      </w:r>
      <w:r>
        <w:rPr>
          <w:color w:val="231F20"/>
          <w:spacing w:val="2"/>
        </w:rPr>
        <w:t>tale approccio, far propria </w:t>
      </w:r>
      <w:r>
        <w:rPr>
          <w:color w:val="231F20"/>
        </w:rPr>
        <w:t>la </w:t>
      </w:r>
      <w:r>
        <w:rPr>
          <w:color w:val="231F20"/>
          <w:spacing w:val="2"/>
        </w:rPr>
        <w:t>prospettiva </w:t>
      </w:r>
      <w:r>
        <w:rPr>
          <w:color w:val="231F20"/>
        </w:rPr>
        <w:t>dell’universalismo</w:t>
      </w:r>
      <w:r>
        <w:rPr>
          <w:color w:val="231F20"/>
          <w:spacing w:val="-10"/>
        </w:rPr>
        <w:t> </w:t>
      </w:r>
      <w:r>
        <w:rPr>
          <w:color w:val="231F20"/>
        </w:rPr>
        <w:t>umanitario</w:t>
      </w:r>
      <w:r>
        <w:rPr>
          <w:color w:val="231F20"/>
          <w:spacing w:val="-10"/>
        </w:rPr>
        <w:t> </w:t>
      </w:r>
      <w:r>
        <w:rPr>
          <w:color w:val="231F20"/>
        </w:rPr>
        <w:t>significa</w:t>
      </w:r>
      <w:r>
        <w:rPr>
          <w:color w:val="231F20"/>
          <w:spacing w:val="-10"/>
        </w:rPr>
        <w:t> </w:t>
      </w:r>
      <w:r>
        <w:rPr>
          <w:color w:val="231F20"/>
        </w:rPr>
        <w:t>mettere</w:t>
      </w:r>
      <w:r>
        <w:rPr>
          <w:color w:val="231F20"/>
          <w:spacing w:val="-10"/>
        </w:rPr>
        <w:t> </w:t>
      </w:r>
      <w:r>
        <w:rPr>
          <w:color w:val="231F20"/>
        </w:rPr>
        <w:t>completamente</w:t>
      </w:r>
      <w:r>
        <w:rPr>
          <w:color w:val="231F20"/>
          <w:spacing w:val="-10"/>
        </w:rPr>
        <w:t> </w:t>
      </w:r>
      <w:r>
        <w:rPr>
          <w:color w:val="231F20"/>
        </w:rPr>
        <w:t>in</w:t>
      </w:r>
      <w:r>
        <w:rPr>
          <w:color w:val="231F20"/>
          <w:spacing w:val="-10"/>
        </w:rPr>
        <w:t> </w:t>
      </w:r>
      <w:r>
        <w:rPr>
          <w:color w:val="231F20"/>
        </w:rPr>
        <w:t>questione la</w:t>
      </w:r>
      <w:r>
        <w:rPr>
          <w:color w:val="231F20"/>
          <w:spacing w:val="-14"/>
        </w:rPr>
        <w:t> </w:t>
      </w:r>
      <w:r>
        <w:rPr>
          <w:color w:val="231F20"/>
        </w:rPr>
        <w:t>segmentata</w:t>
      </w:r>
      <w:r>
        <w:rPr>
          <w:color w:val="231F20"/>
          <w:spacing w:val="-14"/>
        </w:rPr>
        <w:t> </w:t>
      </w:r>
      <w:r>
        <w:rPr>
          <w:color w:val="231F20"/>
        </w:rPr>
        <w:t>struttura</w:t>
      </w:r>
      <w:r>
        <w:rPr>
          <w:color w:val="231F20"/>
          <w:spacing w:val="-14"/>
        </w:rPr>
        <w:t> </w:t>
      </w:r>
      <w:r>
        <w:rPr>
          <w:color w:val="231F20"/>
        </w:rPr>
        <w:t>spaziale</w:t>
      </w:r>
      <w:r>
        <w:rPr>
          <w:color w:val="231F20"/>
          <w:spacing w:val="-14"/>
        </w:rPr>
        <w:t> </w:t>
      </w:r>
      <w:r>
        <w:rPr>
          <w:color w:val="231F20"/>
        </w:rPr>
        <w:t>dell’ordinamento</w:t>
      </w:r>
      <w:r>
        <w:rPr>
          <w:color w:val="231F20"/>
          <w:spacing w:val="-14"/>
        </w:rPr>
        <w:t> </w:t>
      </w:r>
      <w:r>
        <w:rPr>
          <w:color w:val="231F20"/>
        </w:rPr>
        <w:t>“westfaliano”,</w:t>
      </w:r>
      <w:r>
        <w:rPr>
          <w:color w:val="231F20"/>
          <w:spacing w:val="-14"/>
        </w:rPr>
        <w:t> </w:t>
      </w:r>
      <w:r>
        <w:rPr>
          <w:color w:val="231F20"/>
        </w:rPr>
        <w:t>e</w:t>
      </w:r>
      <w:r>
        <w:rPr>
          <w:color w:val="231F20"/>
          <w:spacing w:val="-14"/>
        </w:rPr>
        <w:t> </w:t>
      </w:r>
      <w:r>
        <w:rPr>
          <w:color w:val="231F20"/>
        </w:rPr>
        <w:t>con</w:t>
      </w:r>
      <w:r>
        <w:rPr>
          <w:color w:val="231F20"/>
          <w:spacing w:val="-14"/>
        </w:rPr>
        <w:t> </w:t>
      </w:r>
      <w:r>
        <w:rPr>
          <w:color w:val="231F20"/>
        </w:rPr>
        <w:t>essa </w:t>
      </w:r>
      <w:r>
        <w:rPr>
          <w:color w:val="231F20"/>
          <w:spacing w:val="-3"/>
        </w:rPr>
        <w:t>anche</w:t>
      </w:r>
      <w:r>
        <w:rPr>
          <w:color w:val="231F20"/>
          <w:spacing w:val="-13"/>
        </w:rPr>
        <w:t> </w:t>
      </w:r>
      <w:r>
        <w:rPr>
          <w:color w:val="231F20"/>
        </w:rPr>
        <w:t>il</w:t>
      </w:r>
      <w:r>
        <w:rPr>
          <w:color w:val="231F20"/>
          <w:spacing w:val="-13"/>
        </w:rPr>
        <w:t> </w:t>
      </w:r>
      <w:r>
        <w:rPr>
          <w:color w:val="231F20"/>
          <w:spacing w:val="-3"/>
        </w:rPr>
        <w:t>patrimonio</w:t>
      </w:r>
      <w:r>
        <w:rPr>
          <w:color w:val="231F20"/>
          <w:spacing w:val="-13"/>
        </w:rPr>
        <w:t> </w:t>
      </w:r>
      <w:r>
        <w:rPr>
          <w:color w:val="231F20"/>
        </w:rPr>
        <w:t>di</w:t>
      </w:r>
      <w:r>
        <w:rPr>
          <w:color w:val="231F20"/>
          <w:spacing w:val="-13"/>
        </w:rPr>
        <w:t> </w:t>
      </w:r>
      <w:r>
        <w:rPr>
          <w:color w:val="231F20"/>
          <w:spacing w:val="-3"/>
        </w:rPr>
        <w:t>principi,</w:t>
      </w:r>
      <w:r>
        <w:rPr>
          <w:color w:val="231F20"/>
          <w:spacing w:val="-13"/>
        </w:rPr>
        <w:t> </w:t>
      </w:r>
      <w:r>
        <w:rPr>
          <w:color w:val="231F20"/>
          <w:spacing w:val="-3"/>
        </w:rPr>
        <w:t>valori</w:t>
      </w:r>
      <w:r>
        <w:rPr>
          <w:color w:val="231F20"/>
          <w:spacing w:val="-13"/>
        </w:rPr>
        <w:t> </w:t>
      </w:r>
      <w:r>
        <w:rPr>
          <w:color w:val="231F20"/>
        </w:rPr>
        <w:t>e</w:t>
      </w:r>
      <w:r>
        <w:rPr>
          <w:color w:val="231F20"/>
          <w:spacing w:val="-13"/>
        </w:rPr>
        <w:t> </w:t>
      </w:r>
      <w:r>
        <w:rPr>
          <w:color w:val="231F20"/>
          <w:spacing w:val="-3"/>
        </w:rPr>
        <w:t>pratiche</w:t>
      </w:r>
      <w:r>
        <w:rPr>
          <w:color w:val="231F20"/>
          <w:spacing w:val="-13"/>
        </w:rPr>
        <w:t> </w:t>
      </w:r>
      <w:r>
        <w:rPr>
          <w:color w:val="231F20"/>
        </w:rPr>
        <w:t>di</w:t>
      </w:r>
      <w:r>
        <w:rPr>
          <w:color w:val="231F20"/>
          <w:spacing w:val="-13"/>
        </w:rPr>
        <w:t> </w:t>
      </w:r>
      <w:r>
        <w:rPr>
          <w:color w:val="231F20"/>
          <w:spacing w:val="-3"/>
        </w:rPr>
        <w:t>auto-governo</w:t>
      </w:r>
      <w:r>
        <w:rPr>
          <w:color w:val="231F20"/>
          <w:spacing w:val="-13"/>
        </w:rPr>
        <w:t> </w:t>
      </w:r>
      <w:r>
        <w:rPr>
          <w:color w:val="231F20"/>
          <w:spacing w:val="-3"/>
        </w:rPr>
        <w:t>accumulato</w:t>
      </w:r>
      <w:r>
        <w:rPr>
          <w:color w:val="231F20"/>
          <w:spacing w:val="-13"/>
        </w:rPr>
        <w:t> </w:t>
      </w:r>
      <w:r>
        <w:rPr>
          <w:color w:val="231F20"/>
          <w:spacing w:val="-3"/>
        </w:rPr>
        <w:t>al </w:t>
      </w:r>
      <w:r>
        <w:rPr>
          <w:color w:val="231F20"/>
        </w:rPr>
        <w:t>suo</w:t>
      </w:r>
      <w:r>
        <w:rPr>
          <w:color w:val="231F20"/>
          <w:spacing w:val="-20"/>
        </w:rPr>
        <w:t> </w:t>
      </w:r>
      <w:r>
        <w:rPr>
          <w:color w:val="231F20"/>
          <w:spacing w:val="-3"/>
        </w:rPr>
        <w:t>interno.</w:t>
      </w:r>
      <w:r>
        <w:rPr>
          <w:color w:val="231F20"/>
          <w:spacing w:val="-20"/>
        </w:rPr>
        <w:t> </w:t>
      </w:r>
      <w:r>
        <w:rPr>
          <w:color w:val="231F20"/>
          <w:spacing w:val="-5"/>
        </w:rPr>
        <w:t>Voler</w:t>
      </w:r>
      <w:r>
        <w:rPr>
          <w:color w:val="231F20"/>
          <w:spacing w:val="-20"/>
        </w:rPr>
        <w:t> </w:t>
      </w:r>
      <w:r>
        <w:rPr>
          <w:color w:val="231F20"/>
          <w:spacing w:val="-3"/>
        </w:rPr>
        <w:t>tener</w:t>
      </w:r>
      <w:r>
        <w:rPr>
          <w:color w:val="231F20"/>
          <w:spacing w:val="-20"/>
        </w:rPr>
        <w:t> </w:t>
      </w:r>
      <w:r>
        <w:rPr>
          <w:color w:val="231F20"/>
          <w:spacing w:val="-3"/>
        </w:rPr>
        <w:t>fermo</w:t>
      </w:r>
      <w:r>
        <w:rPr>
          <w:color w:val="231F20"/>
          <w:spacing w:val="-20"/>
        </w:rPr>
        <w:t> </w:t>
      </w:r>
      <w:r>
        <w:rPr>
          <w:color w:val="231F20"/>
          <w:spacing w:val="-3"/>
        </w:rPr>
        <w:t>tale</w:t>
      </w:r>
      <w:r>
        <w:rPr>
          <w:color w:val="231F20"/>
          <w:spacing w:val="-20"/>
        </w:rPr>
        <w:t> </w:t>
      </w:r>
      <w:r>
        <w:rPr>
          <w:color w:val="231F20"/>
          <w:spacing w:val="-3"/>
        </w:rPr>
        <w:t>patrimonio</w:t>
      </w:r>
      <w:r>
        <w:rPr>
          <w:color w:val="231F20"/>
          <w:spacing w:val="-20"/>
        </w:rPr>
        <w:t> </w:t>
      </w:r>
      <w:r>
        <w:rPr>
          <w:color w:val="231F20"/>
          <w:spacing w:val="-3"/>
        </w:rPr>
        <w:t>implica,</w:t>
      </w:r>
      <w:r>
        <w:rPr>
          <w:color w:val="231F20"/>
          <w:spacing w:val="-20"/>
        </w:rPr>
        <w:t> </w:t>
      </w:r>
      <w:r>
        <w:rPr>
          <w:color w:val="231F20"/>
          <w:spacing w:val="-3"/>
        </w:rPr>
        <w:t>viceversa,</w:t>
      </w:r>
      <w:r>
        <w:rPr>
          <w:color w:val="231F20"/>
          <w:spacing w:val="-20"/>
        </w:rPr>
        <w:t> </w:t>
      </w:r>
      <w:r>
        <w:rPr>
          <w:color w:val="231F20"/>
        </w:rPr>
        <w:t>la</w:t>
      </w:r>
      <w:r>
        <w:rPr>
          <w:color w:val="231F20"/>
          <w:spacing w:val="-20"/>
        </w:rPr>
        <w:t> </w:t>
      </w:r>
      <w:r>
        <w:rPr>
          <w:color w:val="231F20"/>
          <w:spacing w:val="-3"/>
        </w:rPr>
        <w:t>necessaria </w:t>
      </w:r>
      <w:r>
        <w:rPr>
          <w:color w:val="231F20"/>
        </w:rPr>
        <w:t>rinuncia ad ogni pretesa di controllo dall’esterno delle modalità in cui la sovranità</w:t>
      </w:r>
      <w:r>
        <w:rPr>
          <w:color w:val="231F20"/>
          <w:spacing w:val="-7"/>
        </w:rPr>
        <w:t> </w:t>
      </w:r>
      <w:r>
        <w:rPr>
          <w:color w:val="231F20"/>
        </w:rPr>
        <w:t>statuale</w:t>
      </w:r>
      <w:r>
        <w:rPr>
          <w:color w:val="231F20"/>
          <w:spacing w:val="-7"/>
        </w:rPr>
        <w:t> </w:t>
      </w:r>
      <w:r>
        <w:rPr>
          <w:color w:val="231F20"/>
        </w:rPr>
        <w:t>è</w:t>
      </w:r>
      <w:r>
        <w:rPr>
          <w:color w:val="231F20"/>
          <w:spacing w:val="-7"/>
        </w:rPr>
        <w:t> </w:t>
      </w:r>
      <w:r>
        <w:rPr>
          <w:color w:val="231F20"/>
        </w:rPr>
        <w:t>concretamente</w:t>
      </w:r>
      <w:r>
        <w:rPr>
          <w:color w:val="231F20"/>
          <w:spacing w:val="-7"/>
        </w:rPr>
        <w:t> </w:t>
      </w:r>
      <w:r>
        <w:rPr>
          <w:color w:val="231F20"/>
        </w:rPr>
        <w:t>esercitata.</w:t>
      </w:r>
      <w:r>
        <w:rPr>
          <w:color w:val="231F20"/>
          <w:spacing w:val="-7"/>
        </w:rPr>
        <w:t> </w:t>
      </w:r>
      <w:r>
        <w:rPr>
          <w:color w:val="231F20"/>
        </w:rPr>
        <w:t>I</w:t>
      </w:r>
      <w:r>
        <w:rPr>
          <w:color w:val="231F20"/>
          <w:spacing w:val="-7"/>
        </w:rPr>
        <w:t> </w:t>
      </w:r>
      <w:r>
        <w:rPr>
          <w:color w:val="231F20"/>
        </w:rPr>
        <w:t>sostenitori</w:t>
      </w:r>
      <w:r>
        <w:rPr>
          <w:color w:val="231F20"/>
          <w:spacing w:val="-7"/>
        </w:rPr>
        <w:t> </w:t>
      </w:r>
      <w:r>
        <w:rPr>
          <w:color w:val="231F20"/>
        </w:rPr>
        <w:t>di</w:t>
      </w:r>
      <w:r>
        <w:rPr>
          <w:color w:val="231F20"/>
          <w:spacing w:val="-7"/>
        </w:rPr>
        <w:t> </w:t>
      </w:r>
      <w:r>
        <w:rPr>
          <w:color w:val="231F20"/>
        </w:rPr>
        <w:t>questa</w:t>
      </w:r>
      <w:r>
        <w:rPr>
          <w:color w:val="231F20"/>
          <w:spacing w:val="-7"/>
        </w:rPr>
        <w:t> </w:t>
      </w:r>
      <w:r>
        <w:rPr>
          <w:color w:val="231F20"/>
        </w:rPr>
        <w:t>forma di</w:t>
      </w:r>
      <w:r>
        <w:rPr>
          <w:color w:val="231F20"/>
          <w:spacing w:val="-12"/>
        </w:rPr>
        <w:t> </w:t>
      </w:r>
      <w:r>
        <w:rPr>
          <w:color w:val="231F20"/>
        </w:rPr>
        <w:t>“anti-cosmopolitismo</w:t>
      </w:r>
      <w:r>
        <w:rPr>
          <w:color w:val="231F20"/>
          <w:spacing w:val="-12"/>
        </w:rPr>
        <w:t> </w:t>
      </w:r>
      <w:r>
        <w:rPr>
          <w:color w:val="231F20"/>
        </w:rPr>
        <w:t>statalista”</w:t>
      </w:r>
      <w:r>
        <w:rPr>
          <w:color w:val="231F20"/>
          <w:spacing w:val="-12"/>
        </w:rPr>
        <w:t> </w:t>
      </w:r>
      <w:r>
        <w:rPr>
          <w:color w:val="231F20"/>
        </w:rPr>
        <w:t>sono</w:t>
      </w:r>
      <w:r>
        <w:rPr>
          <w:color w:val="231F20"/>
          <w:spacing w:val="-12"/>
        </w:rPr>
        <w:t> </w:t>
      </w:r>
      <w:r>
        <w:rPr>
          <w:color w:val="231F20"/>
        </w:rPr>
        <w:t>costretti,</w:t>
      </w:r>
      <w:r>
        <w:rPr>
          <w:color w:val="231F20"/>
          <w:spacing w:val="-12"/>
        </w:rPr>
        <w:t> </w:t>
      </w:r>
      <w:r>
        <w:rPr>
          <w:color w:val="231F20"/>
        </w:rPr>
        <w:t>dunque,</w:t>
      </w:r>
      <w:r>
        <w:rPr>
          <w:color w:val="231F20"/>
          <w:spacing w:val="-12"/>
        </w:rPr>
        <w:t> </w:t>
      </w:r>
      <w:r>
        <w:rPr>
          <w:color w:val="231F20"/>
        </w:rPr>
        <w:t>a</w:t>
      </w:r>
      <w:r>
        <w:rPr>
          <w:color w:val="231F20"/>
          <w:spacing w:val="-12"/>
        </w:rPr>
        <w:t> </w:t>
      </w:r>
      <w:r>
        <w:rPr>
          <w:color w:val="231F20"/>
        </w:rPr>
        <w:t>tacere</w:t>
      </w:r>
      <w:r>
        <w:rPr>
          <w:color w:val="231F20"/>
          <w:spacing w:val="-12"/>
        </w:rPr>
        <w:t> </w:t>
      </w:r>
      <w:r>
        <w:rPr>
          <w:color w:val="231F20"/>
        </w:rPr>
        <w:t>anche</w:t>
      </w:r>
      <w:r>
        <w:rPr>
          <w:color w:val="231F20"/>
          <w:spacing w:val="-12"/>
        </w:rPr>
        <w:t> </w:t>
      </w:r>
      <w:r>
        <w:rPr>
          <w:color w:val="231F20"/>
        </w:rPr>
        <w:t>di </w:t>
      </w:r>
      <w:r>
        <w:rPr>
          <w:color w:val="231F20"/>
          <w:spacing w:val="-3"/>
        </w:rPr>
        <w:t>fronte</w:t>
      </w:r>
      <w:r>
        <w:rPr>
          <w:color w:val="231F20"/>
          <w:spacing w:val="-27"/>
        </w:rPr>
        <w:t> </w:t>
      </w:r>
      <w:r>
        <w:rPr>
          <w:color w:val="231F20"/>
        </w:rPr>
        <w:t>ai</w:t>
      </w:r>
      <w:r>
        <w:rPr>
          <w:color w:val="231F20"/>
          <w:spacing w:val="-27"/>
        </w:rPr>
        <w:t> </w:t>
      </w:r>
      <w:r>
        <w:rPr>
          <w:color w:val="231F20"/>
        </w:rPr>
        <w:t>casi</w:t>
      </w:r>
      <w:r>
        <w:rPr>
          <w:color w:val="231F20"/>
          <w:spacing w:val="-27"/>
        </w:rPr>
        <w:t> </w:t>
      </w:r>
      <w:r>
        <w:rPr>
          <w:color w:val="231F20"/>
        </w:rPr>
        <w:t>più</w:t>
      </w:r>
      <w:r>
        <w:rPr>
          <w:color w:val="231F20"/>
          <w:spacing w:val="-27"/>
        </w:rPr>
        <w:t> </w:t>
      </w:r>
      <w:r>
        <w:rPr>
          <w:color w:val="231F20"/>
          <w:spacing w:val="-3"/>
        </w:rPr>
        <w:t>estremi</w:t>
      </w:r>
      <w:r>
        <w:rPr>
          <w:color w:val="231F20"/>
          <w:spacing w:val="-27"/>
        </w:rPr>
        <w:t> </w:t>
      </w:r>
      <w:r>
        <w:rPr>
          <w:color w:val="231F20"/>
        </w:rPr>
        <w:t>di</w:t>
      </w:r>
      <w:r>
        <w:rPr>
          <w:color w:val="231F20"/>
          <w:spacing w:val="-27"/>
        </w:rPr>
        <w:t> </w:t>
      </w:r>
      <w:r>
        <w:rPr>
          <w:color w:val="231F20"/>
        </w:rPr>
        <w:t>violenza</w:t>
      </w:r>
      <w:r>
        <w:rPr>
          <w:color w:val="231F20"/>
          <w:spacing w:val="-27"/>
        </w:rPr>
        <w:t> </w:t>
      </w:r>
      <w:r>
        <w:rPr>
          <w:color w:val="231F20"/>
        </w:rPr>
        <w:t>di</w:t>
      </w:r>
      <w:r>
        <w:rPr>
          <w:color w:val="231F20"/>
          <w:spacing w:val="-27"/>
        </w:rPr>
        <w:t> </w:t>
      </w:r>
      <w:r>
        <w:rPr>
          <w:color w:val="231F20"/>
        </w:rPr>
        <w:t>Stato</w:t>
      </w:r>
      <w:r>
        <w:rPr>
          <w:color w:val="231F20"/>
          <w:spacing w:val="-27"/>
        </w:rPr>
        <w:t> </w:t>
      </w:r>
      <w:r>
        <w:rPr>
          <w:color w:val="231F20"/>
        </w:rPr>
        <w:t>(o</w:t>
      </w:r>
      <w:r>
        <w:rPr>
          <w:color w:val="231F20"/>
          <w:spacing w:val="-27"/>
        </w:rPr>
        <w:t> </w:t>
      </w:r>
      <w:r>
        <w:rPr>
          <w:color w:val="231F20"/>
        </w:rPr>
        <w:t>tollerata</w:t>
      </w:r>
      <w:r>
        <w:rPr>
          <w:color w:val="231F20"/>
          <w:spacing w:val="-27"/>
        </w:rPr>
        <w:t> </w:t>
      </w:r>
      <w:r>
        <w:rPr>
          <w:color w:val="231F20"/>
        </w:rPr>
        <w:t>dallo</w:t>
      </w:r>
      <w:r>
        <w:rPr>
          <w:color w:val="231F20"/>
          <w:spacing w:val="-27"/>
        </w:rPr>
        <w:t> </w:t>
      </w:r>
      <w:r>
        <w:rPr>
          <w:color w:val="231F20"/>
        </w:rPr>
        <w:t>Stato):</w:t>
      </w:r>
      <w:r>
        <w:rPr>
          <w:color w:val="231F20"/>
          <w:spacing w:val="-27"/>
        </w:rPr>
        <w:t> </w:t>
      </w:r>
      <w:r>
        <w:rPr>
          <w:color w:val="231F20"/>
        </w:rPr>
        <w:t>le</w:t>
      </w:r>
      <w:r>
        <w:rPr>
          <w:color w:val="231F20"/>
          <w:spacing w:val="-27"/>
        </w:rPr>
        <w:t> </w:t>
      </w:r>
      <w:r>
        <w:rPr>
          <w:color w:val="231F20"/>
        </w:rPr>
        <w:t>vittime di</w:t>
      </w:r>
      <w:r>
        <w:rPr>
          <w:color w:val="231F20"/>
          <w:spacing w:val="-23"/>
        </w:rPr>
        <w:t> </w:t>
      </w:r>
      <w:r>
        <w:rPr>
          <w:color w:val="231F20"/>
        </w:rPr>
        <w:t>quella</w:t>
      </w:r>
      <w:r>
        <w:rPr>
          <w:color w:val="231F20"/>
          <w:spacing w:val="-23"/>
        </w:rPr>
        <w:t> </w:t>
      </w:r>
      <w:r>
        <w:rPr>
          <w:color w:val="231F20"/>
        </w:rPr>
        <w:t>violenza</w:t>
      </w:r>
      <w:r>
        <w:rPr>
          <w:color w:val="231F20"/>
          <w:spacing w:val="-23"/>
        </w:rPr>
        <w:t> </w:t>
      </w:r>
      <w:r>
        <w:rPr>
          <w:color w:val="231F20"/>
        </w:rPr>
        <w:t>si</w:t>
      </w:r>
      <w:r>
        <w:rPr>
          <w:color w:val="231F20"/>
          <w:spacing w:val="-23"/>
        </w:rPr>
        <w:t> </w:t>
      </w:r>
      <w:r>
        <w:rPr>
          <w:color w:val="231F20"/>
        </w:rPr>
        <w:t>trasformano,</w:t>
      </w:r>
      <w:r>
        <w:rPr>
          <w:color w:val="231F20"/>
          <w:spacing w:val="-23"/>
        </w:rPr>
        <w:t> </w:t>
      </w:r>
      <w:r>
        <w:rPr>
          <w:color w:val="231F20"/>
        </w:rPr>
        <w:t>così,</w:t>
      </w:r>
      <w:r>
        <w:rPr>
          <w:color w:val="231F20"/>
          <w:spacing w:val="-23"/>
        </w:rPr>
        <w:t> </w:t>
      </w:r>
      <w:r>
        <w:rPr>
          <w:color w:val="231F20"/>
        </w:rPr>
        <w:t>nei</w:t>
      </w:r>
      <w:r>
        <w:rPr>
          <w:color w:val="231F20"/>
          <w:spacing w:val="-23"/>
        </w:rPr>
        <w:t> </w:t>
      </w:r>
      <w:r>
        <w:rPr>
          <w:color w:val="231F20"/>
        </w:rPr>
        <w:t>“silenziosi</w:t>
      </w:r>
      <w:r>
        <w:rPr>
          <w:color w:val="231F20"/>
          <w:spacing w:val="-23"/>
        </w:rPr>
        <w:t> </w:t>
      </w:r>
      <w:r>
        <w:rPr>
          <w:color w:val="231F20"/>
        </w:rPr>
        <w:t>relitti</w:t>
      </w:r>
      <w:r>
        <w:rPr>
          <w:color w:val="231F20"/>
          <w:spacing w:val="-23"/>
        </w:rPr>
        <w:t> </w:t>
      </w:r>
      <w:r>
        <w:rPr>
          <w:color w:val="231F20"/>
        </w:rPr>
        <w:t>di</w:t>
      </w:r>
      <w:r>
        <w:rPr>
          <w:color w:val="231F20"/>
          <w:spacing w:val="-23"/>
        </w:rPr>
        <w:t> </w:t>
      </w:r>
      <w:r>
        <w:rPr>
          <w:color w:val="231F20"/>
        </w:rPr>
        <w:t>una</w:t>
      </w:r>
      <w:r>
        <w:rPr>
          <w:color w:val="231F20"/>
          <w:spacing w:val="-23"/>
        </w:rPr>
        <w:t> </w:t>
      </w:r>
      <w:r>
        <w:rPr>
          <w:color w:val="231F20"/>
        </w:rPr>
        <w:t>politica</w:t>
      </w:r>
      <w:r>
        <w:rPr>
          <w:color w:val="231F20"/>
          <w:spacing w:val="-23"/>
        </w:rPr>
        <w:t> </w:t>
      </w:r>
      <w:r>
        <w:rPr>
          <w:color w:val="231F20"/>
          <w:spacing w:val="-2"/>
        </w:rPr>
        <w:t>che </w:t>
      </w:r>
      <w:r>
        <w:rPr>
          <w:color w:val="231F20"/>
        </w:rPr>
        <w:t>non può ammettere altri diritti che quelli legati agli Stati</w:t>
      </w:r>
      <w:r>
        <w:rPr>
          <w:color w:val="231F20"/>
          <w:spacing w:val="14"/>
        </w:rPr>
        <w:t> </w:t>
      </w:r>
      <w:r>
        <w:rPr>
          <w:color w:val="231F20"/>
        </w:rPr>
        <w:t>sovrani”</w:t>
      </w:r>
      <w:r>
        <w:rPr>
          <w:color w:val="231F20"/>
          <w:position w:val="7"/>
          <w:sz w:val="12"/>
        </w:rPr>
        <w:t>73</w:t>
      </w:r>
      <w:r>
        <w:rPr>
          <w:color w:val="231F20"/>
        </w:rPr>
        <w:t>.</w:t>
      </w:r>
    </w:p>
    <w:p>
      <w:pPr>
        <w:pStyle w:val="BodyText"/>
        <w:spacing w:line="247" w:lineRule="auto"/>
        <w:ind w:left="103" w:right="108" w:firstLine="566"/>
        <w:jc w:val="both"/>
      </w:pPr>
      <w:r>
        <w:rPr>
          <w:color w:val="231F20"/>
          <w:w w:val="105"/>
        </w:rPr>
        <w:t>È </w:t>
      </w:r>
      <w:r>
        <w:rPr>
          <w:color w:val="231F20"/>
          <w:spacing w:val="2"/>
          <w:w w:val="105"/>
        </w:rPr>
        <w:t>anche </w:t>
      </w:r>
      <w:r>
        <w:rPr>
          <w:color w:val="231F20"/>
          <w:w w:val="105"/>
        </w:rPr>
        <w:t>in </w:t>
      </w:r>
      <w:r>
        <w:rPr>
          <w:color w:val="231F20"/>
          <w:spacing w:val="2"/>
          <w:w w:val="105"/>
        </w:rPr>
        <w:t>risposta agli imbarazzanti esiti </w:t>
      </w:r>
      <w:r>
        <w:rPr>
          <w:color w:val="231F20"/>
          <w:w w:val="105"/>
        </w:rPr>
        <w:t>di </w:t>
      </w:r>
      <w:r>
        <w:rPr>
          <w:color w:val="231F20"/>
          <w:spacing w:val="2"/>
          <w:w w:val="105"/>
        </w:rPr>
        <w:t>questa </w:t>
      </w:r>
      <w:r>
        <w:rPr>
          <w:color w:val="231F20"/>
          <w:spacing w:val="3"/>
          <w:w w:val="105"/>
        </w:rPr>
        <w:t>paradossale </w:t>
      </w:r>
      <w:r>
        <w:rPr>
          <w:color w:val="231F20"/>
          <w:w w:val="105"/>
        </w:rPr>
        <w:t>linea di pensiero “anti-imperialistico”, che nel dibattito degli ultimi anni ha preso forma un approccio concettualmente più articolato ai dilemmi dell’intervento</w:t>
      </w:r>
      <w:r>
        <w:rPr>
          <w:color w:val="231F20"/>
          <w:spacing w:val="-16"/>
          <w:w w:val="105"/>
        </w:rPr>
        <w:t> </w:t>
      </w:r>
      <w:r>
        <w:rPr>
          <w:color w:val="231F20"/>
          <w:w w:val="105"/>
        </w:rPr>
        <w:t>umanitario,</w:t>
      </w:r>
      <w:r>
        <w:rPr>
          <w:color w:val="231F20"/>
          <w:spacing w:val="-16"/>
          <w:w w:val="105"/>
        </w:rPr>
        <w:t> </w:t>
      </w:r>
      <w:r>
        <w:rPr>
          <w:color w:val="231F20"/>
          <w:w w:val="105"/>
        </w:rPr>
        <w:t>centrato</w:t>
      </w:r>
      <w:r>
        <w:rPr>
          <w:color w:val="231F20"/>
          <w:spacing w:val="-16"/>
          <w:w w:val="105"/>
        </w:rPr>
        <w:t> </w:t>
      </w:r>
      <w:r>
        <w:rPr>
          <w:color w:val="231F20"/>
          <w:w w:val="105"/>
        </w:rPr>
        <w:t>sulla</w:t>
      </w:r>
      <w:r>
        <w:rPr>
          <w:color w:val="231F20"/>
          <w:spacing w:val="-16"/>
          <w:w w:val="105"/>
        </w:rPr>
        <w:t> </w:t>
      </w:r>
      <w:r>
        <w:rPr>
          <w:color w:val="231F20"/>
          <w:w w:val="105"/>
        </w:rPr>
        <w:t>sistematica</w:t>
      </w:r>
      <w:r>
        <w:rPr>
          <w:color w:val="231F20"/>
          <w:spacing w:val="-16"/>
          <w:w w:val="105"/>
        </w:rPr>
        <w:t> </w:t>
      </w:r>
      <w:r>
        <w:rPr>
          <w:color w:val="231F20"/>
          <w:w w:val="105"/>
        </w:rPr>
        <w:t>messa</w:t>
      </w:r>
      <w:r>
        <w:rPr>
          <w:color w:val="231F20"/>
          <w:spacing w:val="-16"/>
          <w:w w:val="105"/>
        </w:rPr>
        <w:t> </w:t>
      </w:r>
      <w:r>
        <w:rPr>
          <w:color w:val="231F20"/>
          <w:w w:val="105"/>
        </w:rPr>
        <w:t>in</w:t>
      </w:r>
      <w:r>
        <w:rPr>
          <w:color w:val="231F20"/>
          <w:spacing w:val="-16"/>
          <w:w w:val="105"/>
        </w:rPr>
        <w:t> </w:t>
      </w:r>
      <w:r>
        <w:rPr>
          <w:color w:val="231F20"/>
          <w:w w:val="105"/>
        </w:rPr>
        <w:t>questione del</w:t>
      </w:r>
      <w:r>
        <w:rPr>
          <w:color w:val="231F20"/>
          <w:spacing w:val="-27"/>
          <w:w w:val="105"/>
        </w:rPr>
        <w:t> </w:t>
      </w:r>
      <w:r>
        <w:rPr>
          <w:color w:val="231F20"/>
          <w:w w:val="105"/>
        </w:rPr>
        <w:t>monolitico</w:t>
      </w:r>
      <w:r>
        <w:rPr>
          <w:color w:val="231F20"/>
          <w:spacing w:val="-27"/>
          <w:w w:val="105"/>
        </w:rPr>
        <w:t> </w:t>
      </w:r>
      <w:r>
        <w:rPr>
          <w:color w:val="231F20"/>
          <w:w w:val="105"/>
        </w:rPr>
        <w:t>paradigma</w:t>
      </w:r>
      <w:r>
        <w:rPr>
          <w:color w:val="231F20"/>
          <w:spacing w:val="-27"/>
          <w:w w:val="105"/>
        </w:rPr>
        <w:t> </w:t>
      </w:r>
      <w:r>
        <w:rPr>
          <w:color w:val="231F20"/>
          <w:w w:val="105"/>
        </w:rPr>
        <w:t>sovranitario</w:t>
      </w:r>
      <w:r>
        <w:rPr>
          <w:color w:val="231F20"/>
          <w:spacing w:val="-27"/>
          <w:w w:val="105"/>
        </w:rPr>
        <w:t> </w:t>
      </w:r>
      <w:r>
        <w:rPr>
          <w:color w:val="231F20"/>
          <w:w w:val="105"/>
        </w:rPr>
        <w:t>posto</w:t>
      </w:r>
      <w:r>
        <w:rPr>
          <w:color w:val="231F20"/>
          <w:spacing w:val="-27"/>
          <w:w w:val="105"/>
        </w:rPr>
        <w:t> </w:t>
      </w:r>
      <w:r>
        <w:rPr>
          <w:color w:val="231F20"/>
          <w:w w:val="105"/>
        </w:rPr>
        <w:t>alla</w:t>
      </w:r>
      <w:r>
        <w:rPr>
          <w:color w:val="231F20"/>
          <w:spacing w:val="-27"/>
          <w:w w:val="105"/>
        </w:rPr>
        <w:t> </w:t>
      </w:r>
      <w:r>
        <w:rPr>
          <w:color w:val="231F20"/>
          <w:w w:val="105"/>
        </w:rPr>
        <w:t>base</w:t>
      </w:r>
      <w:r>
        <w:rPr>
          <w:color w:val="231F20"/>
          <w:spacing w:val="-27"/>
          <w:w w:val="105"/>
        </w:rPr>
        <w:t> </w:t>
      </w:r>
      <w:r>
        <w:rPr>
          <w:color w:val="231F20"/>
          <w:w w:val="105"/>
        </w:rPr>
        <w:t>del</w:t>
      </w:r>
      <w:r>
        <w:rPr>
          <w:color w:val="231F20"/>
          <w:spacing w:val="-27"/>
          <w:w w:val="105"/>
        </w:rPr>
        <w:t> </w:t>
      </w:r>
      <w:r>
        <w:rPr>
          <w:color w:val="231F20"/>
          <w:w w:val="105"/>
        </w:rPr>
        <w:t>discorso</w:t>
      </w:r>
      <w:r>
        <w:rPr>
          <w:color w:val="231F20"/>
          <w:spacing w:val="-27"/>
          <w:w w:val="105"/>
        </w:rPr>
        <w:t> </w:t>
      </w:r>
      <w:r>
        <w:rPr>
          <w:color w:val="231F20"/>
          <w:w w:val="105"/>
        </w:rPr>
        <w:t>politico della</w:t>
      </w:r>
      <w:r>
        <w:rPr>
          <w:color w:val="231F20"/>
          <w:spacing w:val="-26"/>
          <w:w w:val="105"/>
        </w:rPr>
        <w:t> </w:t>
      </w:r>
      <w:r>
        <w:rPr>
          <w:color w:val="231F20"/>
          <w:w w:val="105"/>
        </w:rPr>
        <w:t>modernità.</w:t>
      </w:r>
      <w:r>
        <w:rPr>
          <w:color w:val="231F20"/>
          <w:spacing w:val="-26"/>
          <w:w w:val="105"/>
        </w:rPr>
        <w:t> </w:t>
      </w:r>
      <w:r>
        <w:rPr>
          <w:color w:val="231F20"/>
          <w:w w:val="105"/>
        </w:rPr>
        <w:t>Secondo</w:t>
      </w:r>
      <w:r>
        <w:rPr>
          <w:color w:val="231F20"/>
          <w:spacing w:val="-26"/>
          <w:w w:val="105"/>
        </w:rPr>
        <w:t> </w:t>
      </w:r>
      <w:r>
        <w:rPr>
          <w:color w:val="231F20"/>
          <w:w w:val="105"/>
        </w:rPr>
        <w:t>i</w:t>
      </w:r>
      <w:r>
        <w:rPr>
          <w:color w:val="231F20"/>
          <w:spacing w:val="-26"/>
          <w:w w:val="105"/>
        </w:rPr>
        <w:t> </w:t>
      </w:r>
      <w:r>
        <w:rPr>
          <w:color w:val="231F20"/>
          <w:w w:val="105"/>
        </w:rPr>
        <w:t>sostenitori</w:t>
      </w:r>
      <w:r>
        <w:rPr>
          <w:color w:val="231F20"/>
          <w:spacing w:val="-26"/>
          <w:w w:val="105"/>
        </w:rPr>
        <w:t> </w:t>
      </w:r>
      <w:r>
        <w:rPr>
          <w:color w:val="231F20"/>
          <w:w w:val="105"/>
        </w:rPr>
        <w:t>di</w:t>
      </w:r>
      <w:r>
        <w:rPr>
          <w:color w:val="231F20"/>
          <w:spacing w:val="-26"/>
          <w:w w:val="105"/>
        </w:rPr>
        <w:t> </w:t>
      </w:r>
      <w:r>
        <w:rPr>
          <w:color w:val="231F20"/>
          <w:w w:val="105"/>
        </w:rPr>
        <w:t>questa</w:t>
      </w:r>
      <w:r>
        <w:rPr>
          <w:color w:val="231F20"/>
          <w:spacing w:val="-26"/>
          <w:w w:val="105"/>
        </w:rPr>
        <w:t> </w:t>
      </w:r>
      <w:r>
        <w:rPr>
          <w:color w:val="231F20"/>
          <w:w w:val="105"/>
        </w:rPr>
        <w:t>prospettiva,</w:t>
      </w:r>
      <w:r>
        <w:rPr>
          <w:color w:val="231F20"/>
          <w:spacing w:val="-26"/>
          <w:w w:val="105"/>
        </w:rPr>
        <w:t> </w:t>
      </w:r>
      <w:r>
        <w:rPr>
          <w:color w:val="231F20"/>
          <w:w w:val="105"/>
        </w:rPr>
        <w:t>le</w:t>
      </w:r>
      <w:r>
        <w:rPr>
          <w:color w:val="231F20"/>
          <w:spacing w:val="-26"/>
          <w:w w:val="105"/>
        </w:rPr>
        <w:t> </w:t>
      </w:r>
      <w:r>
        <w:rPr>
          <w:color w:val="231F20"/>
          <w:w w:val="105"/>
        </w:rPr>
        <w:t>complesse questioni</w:t>
      </w:r>
      <w:r>
        <w:rPr>
          <w:color w:val="231F20"/>
          <w:spacing w:val="-9"/>
          <w:w w:val="105"/>
        </w:rPr>
        <w:t> </w:t>
      </w:r>
      <w:r>
        <w:rPr>
          <w:color w:val="231F20"/>
          <w:w w:val="105"/>
        </w:rPr>
        <w:t>giuridico-politiche</w:t>
      </w:r>
      <w:r>
        <w:rPr>
          <w:color w:val="231F20"/>
          <w:spacing w:val="-9"/>
          <w:w w:val="105"/>
        </w:rPr>
        <w:t> </w:t>
      </w:r>
      <w:r>
        <w:rPr>
          <w:color w:val="231F20"/>
          <w:w w:val="105"/>
        </w:rPr>
        <w:t>oggi</w:t>
      </w:r>
      <w:r>
        <w:rPr>
          <w:color w:val="231F20"/>
          <w:spacing w:val="-9"/>
          <w:w w:val="105"/>
        </w:rPr>
        <w:t> </w:t>
      </w:r>
      <w:r>
        <w:rPr>
          <w:color w:val="231F20"/>
          <w:w w:val="105"/>
        </w:rPr>
        <w:t>al</w:t>
      </w:r>
      <w:r>
        <w:rPr>
          <w:color w:val="231F20"/>
          <w:spacing w:val="-9"/>
          <w:w w:val="105"/>
        </w:rPr>
        <w:t> </w:t>
      </w:r>
      <w:r>
        <w:rPr>
          <w:color w:val="231F20"/>
          <w:w w:val="105"/>
        </w:rPr>
        <w:t>centro</w:t>
      </w:r>
      <w:r>
        <w:rPr>
          <w:color w:val="231F20"/>
          <w:spacing w:val="-9"/>
          <w:w w:val="105"/>
        </w:rPr>
        <w:t> </w:t>
      </w:r>
      <w:r>
        <w:rPr>
          <w:color w:val="231F20"/>
          <w:w w:val="105"/>
        </w:rPr>
        <w:t>del</w:t>
      </w:r>
      <w:r>
        <w:rPr>
          <w:color w:val="231F20"/>
          <w:spacing w:val="-9"/>
          <w:w w:val="105"/>
        </w:rPr>
        <w:t> </w:t>
      </w:r>
      <w:r>
        <w:rPr>
          <w:color w:val="231F20"/>
          <w:w w:val="105"/>
        </w:rPr>
        <w:t>confronto</w:t>
      </w:r>
      <w:r>
        <w:rPr>
          <w:color w:val="231F20"/>
          <w:spacing w:val="-9"/>
          <w:w w:val="105"/>
        </w:rPr>
        <w:t> </w:t>
      </w:r>
      <w:r>
        <w:rPr>
          <w:color w:val="231F20"/>
          <w:w w:val="105"/>
        </w:rPr>
        <w:t>esigono,</w:t>
      </w:r>
      <w:r>
        <w:rPr>
          <w:color w:val="231F20"/>
          <w:spacing w:val="-9"/>
          <w:w w:val="105"/>
        </w:rPr>
        <w:t> </w:t>
      </w:r>
      <w:r>
        <w:rPr>
          <w:color w:val="231F20"/>
          <w:w w:val="105"/>
        </w:rPr>
        <w:t>infatti, la</w:t>
      </w:r>
      <w:r>
        <w:rPr>
          <w:color w:val="231F20"/>
          <w:spacing w:val="-9"/>
          <w:w w:val="105"/>
        </w:rPr>
        <w:t> </w:t>
      </w:r>
      <w:r>
        <w:rPr>
          <w:color w:val="231F20"/>
          <w:w w:val="105"/>
        </w:rPr>
        <w:t>messa</w:t>
      </w:r>
      <w:r>
        <w:rPr>
          <w:color w:val="231F20"/>
          <w:spacing w:val="-9"/>
          <w:w w:val="105"/>
        </w:rPr>
        <w:t> </w:t>
      </w:r>
      <w:r>
        <w:rPr>
          <w:color w:val="231F20"/>
          <w:w w:val="105"/>
        </w:rPr>
        <w:t>a</w:t>
      </w:r>
      <w:r>
        <w:rPr>
          <w:color w:val="231F20"/>
          <w:spacing w:val="-9"/>
          <w:w w:val="105"/>
        </w:rPr>
        <w:t> </w:t>
      </w:r>
      <w:r>
        <w:rPr>
          <w:color w:val="231F20"/>
          <w:w w:val="105"/>
        </w:rPr>
        <w:t>punto</w:t>
      </w:r>
      <w:r>
        <w:rPr>
          <w:color w:val="231F20"/>
          <w:spacing w:val="-9"/>
          <w:w w:val="105"/>
        </w:rPr>
        <w:t> </w:t>
      </w:r>
      <w:r>
        <w:rPr>
          <w:color w:val="231F20"/>
          <w:w w:val="105"/>
        </w:rPr>
        <w:t>di</w:t>
      </w:r>
      <w:r>
        <w:rPr>
          <w:color w:val="231F20"/>
          <w:spacing w:val="-9"/>
          <w:w w:val="105"/>
        </w:rPr>
        <w:t> </w:t>
      </w:r>
      <w:r>
        <w:rPr>
          <w:color w:val="231F20"/>
          <w:w w:val="105"/>
        </w:rPr>
        <w:t>un</w:t>
      </w:r>
      <w:r>
        <w:rPr>
          <w:color w:val="231F20"/>
          <w:spacing w:val="-9"/>
          <w:w w:val="105"/>
        </w:rPr>
        <w:t> </w:t>
      </w:r>
      <w:r>
        <w:rPr>
          <w:color w:val="231F20"/>
          <w:w w:val="105"/>
        </w:rPr>
        <w:t>rinnovato</w:t>
      </w:r>
      <w:r>
        <w:rPr>
          <w:color w:val="231F20"/>
          <w:spacing w:val="-9"/>
          <w:w w:val="105"/>
        </w:rPr>
        <w:t> </w:t>
      </w:r>
      <w:r>
        <w:rPr>
          <w:color w:val="231F20"/>
          <w:w w:val="105"/>
        </w:rPr>
        <w:t>e</w:t>
      </w:r>
      <w:r>
        <w:rPr>
          <w:color w:val="231F20"/>
          <w:spacing w:val="-9"/>
          <w:w w:val="105"/>
        </w:rPr>
        <w:t> </w:t>
      </w:r>
      <w:r>
        <w:rPr>
          <w:color w:val="231F20"/>
          <w:w w:val="105"/>
        </w:rPr>
        <w:t>più</w:t>
      </w:r>
      <w:r>
        <w:rPr>
          <w:color w:val="231F20"/>
          <w:spacing w:val="-9"/>
          <w:w w:val="105"/>
        </w:rPr>
        <w:t> </w:t>
      </w:r>
      <w:r>
        <w:rPr>
          <w:color w:val="231F20"/>
          <w:w w:val="105"/>
        </w:rPr>
        <w:t>flessibile</w:t>
      </w:r>
      <w:r>
        <w:rPr>
          <w:color w:val="231F20"/>
          <w:spacing w:val="-9"/>
          <w:w w:val="105"/>
        </w:rPr>
        <w:t> </w:t>
      </w:r>
      <w:r>
        <w:rPr>
          <w:color w:val="231F20"/>
          <w:w w:val="105"/>
        </w:rPr>
        <w:t>impianto</w:t>
      </w:r>
      <w:r>
        <w:rPr>
          <w:color w:val="231F20"/>
          <w:spacing w:val="-9"/>
          <w:w w:val="105"/>
        </w:rPr>
        <w:t> </w:t>
      </w:r>
      <w:r>
        <w:rPr>
          <w:color w:val="231F20"/>
          <w:w w:val="105"/>
        </w:rPr>
        <w:t>categoriale,</w:t>
      </w:r>
      <w:r>
        <w:rPr>
          <w:color w:val="231F20"/>
          <w:spacing w:val="-9"/>
          <w:w w:val="105"/>
        </w:rPr>
        <w:t> </w:t>
      </w:r>
      <w:r>
        <w:rPr>
          <w:color w:val="231F20"/>
          <w:w w:val="105"/>
        </w:rPr>
        <w:t>in grado</w:t>
      </w:r>
      <w:r>
        <w:rPr>
          <w:color w:val="231F20"/>
          <w:spacing w:val="-7"/>
          <w:w w:val="105"/>
        </w:rPr>
        <w:t> </w:t>
      </w:r>
      <w:r>
        <w:rPr>
          <w:color w:val="231F20"/>
          <w:w w:val="105"/>
        </w:rPr>
        <w:t>di</w:t>
      </w:r>
      <w:r>
        <w:rPr>
          <w:color w:val="231F20"/>
          <w:spacing w:val="-7"/>
          <w:w w:val="105"/>
        </w:rPr>
        <w:t> </w:t>
      </w:r>
      <w:r>
        <w:rPr>
          <w:color w:val="231F20"/>
          <w:w w:val="105"/>
        </w:rPr>
        <w:t>dare</w:t>
      </w:r>
      <w:r>
        <w:rPr>
          <w:color w:val="231F20"/>
          <w:spacing w:val="-7"/>
          <w:w w:val="105"/>
        </w:rPr>
        <w:t> </w:t>
      </w:r>
      <w:r>
        <w:rPr>
          <w:color w:val="231F20"/>
          <w:w w:val="105"/>
        </w:rPr>
        <w:t>adeguatamente</w:t>
      </w:r>
      <w:r>
        <w:rPr>
          <w:color w:val="231F20"/>
          <w:spacing w:val="-7"/>
          <w:w w:val="105"/>
        </w:rPr>
        <w:t> </w:t>
      </w:r>
      <w:r>
        <w:rPr>
          <w:color w:val="231F20"/>
          <w:w w:val="105"/>
        </w:rPr>
        <w:t>conto</w:t>
      </w:r>
      <w:r>
        <w:rPr>
          <w:color w:val="231F20"/>
          <w:spacing w:val="-7"/>
          <w:w w:val="105"/>
        </w:rPr>
        <w:t> </w:t>
      </w:r>
      <w:r>
        <w:rPr>
          <w:color w:val="231F20"/>
          <w:w w:val="105"/>
        </w:rPr>
        <w:t>delle</w:t>
      </w:r>
      <w:r>
        <w:rPr>
          <w:color w:val="231F20"/>
          <w:spacing w:val="-7"/>
          <w:w w:val="105"/>
        </w:rPr>
        <w:t> </w:t>
      </w:r>
      <w:r>
        <w:rPr>
          <w:color w:val="231F20"/>
          <w:w w:val="105"/>
        </w:rPr>
        <w:t>molteplici</w:t>
      </w:r>
      <w:r>
        <w:rPr>
          <w:color w:val="231F20"/>
          <w:spacing w:val="-7"/>
          <w:w w:val="105"/>
        </w:rPr>
        <w:t> </w:t>
      </w:r>
      <w:r>
        <w:rPr>
          <w:color w:val="231F20"/>
          <w:w w:val="105"/>
        </w:rPr>
        <w:t>dinamiche</w:t>
      </w:r>
      <w:r>
        <w:rPr>
          <w:color w:val="231F20"/>
          <w:spacing w:val="-7"/>
          <w:w w:val="105"/>
        </w:rPr>
        <w:t> </w:t>
      </w:r>
      <w:r>
        <w:rPr>
          <w:color w:val="231F20"/>
          <w:w w:val="105"/>
        </w:rPr>
        <w:t>materiali e </w:t>
      </w:r>
      <w:r>
        <w:rPr>
          <w:color w:val="231F20"/>
          <w:spacing w:val="3"/>
          <w:w w:val="105"/>
        </w:rPr>
        <w:t>intellettuali tradizionalmente approssimate attraverso </w:t>
      </w:r>
      <w:r>
        <w:rPr>
          <w:color w:val="231F20"/>
          <w:w w:val="105"/>
        </w:rPr>
        <w:t>la</w:t>
      </w:r>
      <w:r>
        <w:rPr>
          <w:color w:val="231F20"/>
          <w:spacing w:val="-40"/>
          <w:w w:val="105"/>
        </w:rPr>
        <w:t> </w:t>
      </w:r>
      <w:r>
        <w:rPr>
          <w:color w:val="231F20"/>
          <w:spacing w:val="4"/>
          <w:w w:val="105"/>
        </w:rPr>
        <w:t>consolidata </w:t>
      </w:r>
      <w:r>
        <w:rPr>
          <w:color w:val="231F20"/>
          <w:spacing w:val="3"/>
          <w:w w:val="105"/>
        </w:rPr>
        <w:t>semantica della sovranità nazionale. Come </w:t>
      </w:r>
      <w:r>
        <w:rPr>
          <w:color w:val="231F20"/>
          <w:w w:val="105"/>
        </w:rPr>
        <w:t>ha </w:t>
      </w:r>
      <w:r>
        <w:rPr>
          <w:color w:val="231F20"/>
          <w:spacing w:val="3"/>
          <w:w w:val="105"/>
        </w:rPr>
        <w:t>sottolineato Robert </w:t>
      </w:r>
      <w:r>
        <w:rPr>
          <w:color w:val="231F20"/>
          <w:spacing w:val="4"/>
          <w:w w:val="105"/>
        </w:rPr>
        <w:t>O. </w:t>
      </w:r>
      <w:r>
        <w:rPr>
          <w:color w:val="231F20"/>
          <w:w w:val="105"/>
        </w:rPr>
        <w:t>Keohane,</w:t>
      </w:r>
      <w:r>
        <w:rPr>
          <w:color w:val="231F20"/>
          <w:spacing w:val="-33"/>
          <w:w w:val="105"/>
        </w:rPr>
        <w:t> </w:t>
      </w:r>
      <w:r>
        <w:rPr>
          <w:color w:val="231F20"/>
          <w:w w:val="105"/>
        </w:rPr>
        <w:t>ciò</w:t>
      </w:r>
      <w:r>
        <w:rPr>
          <w:color w:val="231F20"/>
          <w:spacing w:val="-33"/>
          <w:w w:val="105"/>
        </w:rPr>
        <w:t> </w:t>
      </w:r>
      <w:r>
        <w:rPr>
          <w:color w:val="231F20"/>
          <w:w w:val="105"/>
        </w:rPr>
        <w:t>non</w:t>
      </w:r>
      <w:r>
        <w:rPr>
          <w:color w:val="231F20"/>
          <w:spacing w:val="-33"/>
          <w:w w:val="105"/>
        </w:rPr>
        <w:t> </w:t>
      </w:r>
      <w:r>
        <w:rPr>
          <w:color w:val="231F20"/>
          <w:w w:val="105"/>
        </w:rPr>
        <w:t>significa,</w:t>
      </w:r>
      <w:r>
        <w:rPr>
          <w:color w:val="231F20"/>
          <w:spacing w:val="-33"/>
          <w:w w:val="105"/>
        </w:rPr>
        <w:t> </w:t>
      </w:r>
      <w:r>
        <w:rPr>
          <w:color w:val="231F20"/>
          <w:w w:val="105"/>
        </w:rPr>
        <w:t>certo,</w:t>
      </w:r>
      <w:r>
        <w:rPr>
          <w:color w:val="231F20"/>
          <w:spacing w:val="-33"/>
          <w:w w:val="105"/>
        </w:rPr>
        <w:t> </w:t>
      </w:r>
      <w:r>
        <w:rPr>
          <w:color w:val="231F20"/>
          <w:w w:val="105"/>
        </w:rPr>
        <w:t>“che</w:t>
      </w:r>
      <w:r>
        <w:rPr>
          <w:color w:val="231F20"/>
          <w:spacing w:val="-33"/>
          <w:w w:val="105"/>
        </w:rPr>
        <w:t> </w:t>
      </w:r>
      <w:r>
        <w:rPr>
          <w:color w:val="231F20"/>
          <w:w w:val="105"/>
        </w:rPr>
        <w:t>lo</w:t>
      </w:r>
      <w:r>
        <w:rPr>
          <w:color w:val="231F20"/>
          <w:spacing w:val="-33"/>
          <w:w w:val="105"/>
        </w:rPr>
        <w:t> </w:t>
      </w:r>
      <w:r>
        <w:rPr>
          <w:color w:val="231F20"/>
          <w:w w:val="105"/>
        </w:rPr>
        <w:t>Stato</w:t>
      </w:r>
      <w:r>
        <w:rPr>
          <w:color w:val="231F20"/>
          <w:spacing w:val="-33"/>
          <w:w w:val="105"/>
        </w:rPr>
        <w:t> </w:t>
      </w:r>
      <w:r>
        <w:rPr>
          <w:color w:val="231F20"/>
          <w:w w:val="105"/>
        </w:rPr>
        <w:t>debba</w:t>
      </w:r>
      <w:r>
        <w:rPr>
          <w:color w:val="231F20"/>
          <w:spacing w:val="-33"/>
          <w:w w:val="105"/>
        </w:rPr>
        <w:t> </w:t>
      </w:r>
      <w:r>
        <w:rPr>
          <w:color w:val="231F20"/>
          <w:w w:val="105"/>
        </w:rPr>
        <w:t>essere</w:t>
      </w:r>
      <w:r>
        <w:rPr>
          <w:color w:val="231F20"/>
          <w:spacing w:val="-33"/>
          <w:w w:val="105"/>
        </w:rPr>
        <w:t> </w:t>
      </w:r>
      <w:r>
        <w:rPr>
          <w:color w:val="231F20"/>
          <w:w w:val="105"/>
        </w:rPr>
        <w:t>abbandonato o</w:t>
      </w:r>
      <w:r>
        <w:rPr>
          <w:color w:val="231F20"/>
          <w:spacing w:val="-44"/>
          <w:w w:val="105"/>
        </w:rPr>
        <w:t> </w:t>
      </w:r>
      <w:r>
        <w:rPr>
          <w:color w:val="231F20"/>
          <w:w w:val="105"/>
        </w:rPr>
        <w:t>la</w:t>
      </w:r>
      <w:r>
        <w:rPr>
          <w:color w:val="231F20"/>
          <w:spacing w:val="-44"/>
          <w:w w:val="105"/>
        </w:rPr>
        <w:t> </w:t>
      </w:r>
      <w:r>
        <w:rPr>
          <w:color w:val="231F20"/>
          <w:w w:val="105"/>
        </w:rPr>
        <w:t>sovranità</w:t>
      </w:r>
      <w:r>
        <w:rPr>
          <w:color w:val="231F20"/>
          <w:spacing w:val="-44"/>
          <w:w w:val="105"/>
        </w:rPr>
        <w:t> </w:t>
      </w:r>
      <w:r>
        <w:rPr>
          <w:color w:val="231F20"/>
          <w:w w:val="105"/>
        </w:rPr>
        <w:t>screditata</w:t>
      </w:r>
      <w:r>
        <w:rPr>
          <w:color w:val="231F20"/>
          <w:spacing w:val="-44"/>
          <w:w w:val="105"/>
        </w:rPr>
        <w:t> </w:t>
      </w:r>
      <w:r>
        <w:rPr>
          <w:color w:val="231F20"/>
          <w:w w:val="105"/>
        </w:rPr>
        <w:t>come</w:t>
      </w:r>
      <w:r>
        <w:rPr>
          <w:color w:val="231F20"/>
          <w:spacing w:val="-44"/>
          <w:w w:val="105"/>
        </w:rPr>
        <w:t> </w:t>
      </w:r>
      <w:r>
        <w:rPr>
          <w:color w:val="231F20"/>
          <w:w w:val="105"/>
        </w:rPr>
        <w:t>concetto”</w:t>
      </w:r>
      <w:r>
        <w:rPr>
          <w:color w:val="231F20"/>
          <w:w w:val="105"/>
          <w:position w:val="7"/>
          <w:sz w:val="12"/>
        </w:rPr>
        <w:t>74</w:t>
      </w:r>
      <w:r>
        <w:rPr>
          <w:color w:val="231F20"/>
          <w:w w:val="105"/>
        </w:rPr>
        <w:t>.</w:t>
      </w:r>
      <w:r>
        <w:rPr>
          <w:color w:val="231F20"/>
          <w:spacing w:val="-44"/>
          <w:w w:val="105"/>
        </w:rPr>
        <w:t> </w:t>
      </w:r>
      <w:r>
        <w:rPr>
          <w:color w:val="231F20"/>
          <w:w w:val="105"/>
        </w:rPr>
        <w:t>Anche</w:t>
      </w:r>
      <w:r>
        <w:rPr>
          <w:color w:val="231F20"/>
          <w:spacing w:val="-44"/>
          <w:w w:val="105"/>
        </w:rPr>
        <w:t> </w:t>
      </w:r>
      <w:r>
        <w:rPr>
          <w:color w:val="231F20"/>
          <w:w w:val="105"/>
        </w:rPr>
        <w:t>in</w:t>
      </w:r>
      <w:r>
        <w:rPr>
          <w:color w:val="231F20"/>
          <w:spacing w:val="-44"/>
          <w:w w:val="105"/>
        </w:rPr>
        <w:t> </w:t>
      </w:r>
      <w:r>
        <w:rPr>
          <w:color w:val="231F20"/>
          <w:w w:val="105"/>
        </w:rPr>
        <w:t>un</w:t>
      </w:r>
      <w:r>
        <w:rPr>
          <w:color w:val="231F20"/>
          <w:spacing w:val="-44"/>
          <w:w w:val="105"/>
        </w:rPr>
        <w:t> </w:t>
      </w:r>
      <w:r>
        <w:rPr>
          <w:color w:val="231F20"/>
          <w:w w:val="105"/>
        </w:rPr>
        <w:t>mondo</w:t>
      </w:r>
      <w:r>
        <w:rPr>
          <w:color w:val="231F20"/>
          <w:spacing w:val="-44"/>
          <w:w w:val="105"/>
        </w:rPr>
        <w:t> </w:t>
      </w:r>
      <w:r>
        <w:rPr>
          <w:color w:val="231F20"/>
          <w:w w:val="105"/>
        </w:rPr>
        <w:t>globalizzato, infatti,</w:t>
      </w:r>
      <w:r>
        <w:rPr>
          <w:color w:val="231F20"/>
          <w:spacing w:val="-33"/>
          <w:w w:val="105"/>
        </w:rPr>
        <w:t> </w:t>
      </w:r>
      <w:r>
        <w:rPr>
          <w:color w:val="231F20"/>
          <w:w w:val="105"/>
        </w:rPr>
        <w:t>“lo</w:t>
      </w:r>
      <w:r>
        <w:rPr>
          <w:color w:val="231F20"/>
          <w:spacing w:val="-33"/>
          <w:w w:val="105"/>
        </w:rPr>
        <w:t> </w:t>
      </w:r>
      <w:r>
        <w:rPr>
          <w:color w:val="231F20"/>
          <w:w w:val="105"/>
        </w:rPr>
        <w:t>Stato</w:t>
      </w:r>
      <w:r>
        <w:rPr>
          <w:color w:val="231F20"/>
          <w:spacing w:val="-33"/>
          <w:w w:val="105"/>
        </w:rPr>
        <w:t> </w:t>
      </w:r>
      <w:r>
        <w:rPr>
          <w:color w:val="231F20"/>
          <w:w w:val="105"/>
        </w:rPr>
        <w:t>rimane</w:t>
      </w:r>
      <w:r>
        <w:rPr>
          <w:color w:val="231F20"/>
          <w:spacing w:val="-33"/>
          <w:w w:val="105"/>
        </w:rPr>
        <w:t> </w:t>
      </w:r>
      <w:r>
        <w:rPr>
          <w:color w:val="231F20"/>
          <w:w w:val="105"/>
        </w:rPr>
        <w:t>la</w:t>
      </w:r>
      <w:r>
        <w:rPr>
          <w:color w:val="231F20"/>
          <w:spacing w:val="-33"/>
          <w:w w:val="105"/>
        </w:rPr>
        <w:t> </w:t>
      </w:r>
      <w:r>
        <w:rPr>
          <w:color w:val="231F20"/>
          <w:w w:val="105"/>
        </w:rPr>
        <w:t>principale</w:t>
      </w:r>
      <w:r>
        <w:rPr>
          <w:color w:val="231F20"/>
          <w:spacing w:val="-33"/>
          <w:w w:val="105"/>
        </w:rPr>
        <w:t> </w:t>
      </w:r>
      <w:r>
        <w:rPr>
          <w:color w:val="231F20"/>
          <w:w w:val="105"/>
        </w:rPr>
        <w:t>unità</w:t>
      </w:r>
      <w:r>
        <w:rPr>
          <w:color w:val="231F20"/>
          <w:spacing w:val="-33"/>
          <w:w w:val="105"/>
        </w:rPr>
        <w:t> </w:t>
      </w:r>
      <w:r>
        <w:rPr>
          <w:color w:val="231F20"/>
          <w:w w:val="105"/>
        </w:rPr>
        <w:t>di</w:t>
      </w:r>
      <w:r>
        <w:rPr>
          <w:color w:val="231F20"/>
          <w:spacing w:val="-33"/>
          <w:w w:val="105"/>
        </w:rPr>
        <w:t> </w:t>
      </w:r>
      <w:r>
        <w:rPr>
          <w:color w:val="231F20"/>
          <w:w w:val="105"/>
        </w:rPr>
        <w:t>protezione</w:t>
      </w:r>
      <w:r>
        <w:rPr>
          <w:color w:val="231F20"/>
          <w:spacing w:val="-33"/>
          <w:w w:val="105"/>
        </w:rPr>
        <w:t> </w:t>
      </w:r>
      <w:r>
        <w:rPr>
          <w:color w:val="231F20"/>
          <w:w w:val="105"/>
        </w:rPr>
        <w:t>e</w:t>
      </w:r>
      <w:r>
        <w:rPr>
          <w:color w:val="231F20"/>
          <w:spacing w:val="-33"/>
          <w:w w:val="105"/>
        </w:rPr>
        <w:t> </w:t>
      </w:r>
      <w:r>
        <w:rPr>
          <w:color w:val="231F20"/>
          <w:w w:val="105"/>
        </w:rPr>
        <w:t>azione</w:t>
      </w:r>
      <w:r>
        <w:rPr>
          <w:color w:val="231F20"/>
          <w:spacing w:val="-33"/>
          <w:w w:val="105"/>
        </w:rPr>
        <w:t> </w:t>
      </w:r>
      <w:r>
        <w:rPr>
          <w:color w:val="231F20"/>
          <w:w w:val="105"/>
        </w:rPr>
        <w:t>collettiva” e</w:t>
      </w:r>
      <w:r>
        <w:rPr>
          <w:color w:val="231F20"/>
          <w:spacing w:val="-22"/>
          <w:w w:val="105"/>
        </w:rPr>
        <w:t> </w:t>
      </w:r>
      <w:r>
        <w:rPr>
          <w:color w:val="231F20"/>
          <w:w w:val="105"/>
        </w:rPr>
        <w:t>“la</w:t>
      </w:r>
      <w:r>
        <w:rPr>
          <w:color w:val="231F20"/>
          <w:spacing w:val="-22"/>
          <w:w w:val="105"/>
        </w:rPr>
        <w:t> </w:t>
      </w:r>
      <w:r>
        <w:rPr>
          <w:color w:val="231F20"/>
          <w:w w:val="105"/>
        </w:rPr>
        <w:t>sovranità,</w:t>
      </w:r>
      <w:r>
        <w:rPr>
          <w:color w:val="231F20"/>
          <w:spacing w:val="-22"/>
          <w:w w:val="105"/>
        </w:rPr>
        <w:t> </w:t>
      </w:r>
      <w:r>
        <w:rPr>
          <w:color w:val="231F20"/>
          <w:w w:val="105"/>
        </w:rPr>
        <w:t>propriamente</w:t>
      </w:r>
      <w:r>
        <w:rPr>
          <w:color w:val="231F20"/>
          <w:spacing w:val="-22"/>
          <w:w w:val="105"/>
        </w:rPr>
        <w:t> </w:t>
      </w:r>
      <w:r>
        <w:rPr>
          <w:color w:val="231F20"/>
          <w:w w:val="105"/>
        </w:rPr>
        <w:t>intesa,</w:t>
      </w:r>
      <w:r>
        <w:rPr>
          <w:color w:val="231F20"/>
          <w:spacing w:val="-22"/>
          <w:w w:val="105"/>
        </w:rPr>
        <w:t> </w:t>
      </w:r>
      <w:r>
        <w:rPr>
          <w:color w:val="231F20"/>
          <w:w w:val="105"/>
        </w:rPr>
        <w:t>riflette</w:t>
      </w:r>
      <w:r>
        <w:rPr>
          <w:color w:val="231F20"/>
          <w:spacing w:val="-22"/>
          <w:w w:val="105"/>
        </w:rPr>
        <w:t> </w:t>
      </w:r>
      <w:r>
        <w:rPr>
          <w:color w:val="231F20"/>
          <w:w w:val="105"/>
        </w:rPr>
        <w:t>la</w:t>
      </w:r>
      <w:r>
        <w:rPr>
          <w:color w:val="231F20"/>
          <w:spacing w:val="-22"/>
          <w:w w:val="105"/>
        </w:rPr>
        <w:t> </w:t>
      </w:r>
      <w:r>
        <w:rPr>
          <w:color w:val="231F20"/>
          <w:w w:val="105"/>
        </w:rPr>
        <w:t>lealtà</w:t>
      </w:r>
      <w:r>
        <w:rPr>
          <w:color w:val="231F20"/>
          <w:spacing w:val="-22"/>
          <w:w w:val="105"/>
        </w:rPr>
        <w:t> </w:t>
      </w:r>
      <w:r>
        <w:rPr>
          <w:color w:val="231F20"/>
          <w:w w:val="105"/>
        </w:rPr>
        <w:t>che</w:t>
      </w:r>
      <w:r>
        <w:rPr>
          <w:color w:val="231F20"/>
          <w:spacing w:val="-22"/>
          <w:w w:val="105"/>
        </w:rPr>
        <w:t> </w:t>
      </w:r>
      <w:r>
        <w:rPr>
          <w:color w:val="231F20"/>
          <w:w w:val="105"/>
        </w:rPr>
        <w:t>la</w:t>
      </w:r>
      <w:r>
        <w:rPr>
          <w:color w:val="231F20"/>
          <w:spacing w:val="-22"/>
          <w:w w:val="105"/>
        </w:rPr>
        <w:t> </w:t>
      </w:r>
      <w:r>
        <w:rPr>
          <w:color w:val="231F20"/>
          <w:w w:val="105"/>
        </w:rPr>
        <w:t>maggior</w:t>
      </w:r>
      <w:r>
        <w:rPr>
          <w:color w:val="231F20"/>
          <w:spacing w:val="-22"/>
          <w:w w:val="105"/>
        </w:rPr>
        <w:t> </w:t>
      </w:r>
      <w:r>
        <w:rPr>
          <w:color w:val="231F20"/>
          <w:w w:val="105"/>
        </w:rPr>
        <w:t>parte</w:t>
      </w:r>
    </w:p>
    <w:p>
      <w:pPr>
        <w:pStyle w:val="BodyText"/>
        <w:rPr>
          <w:sz w:val="20"/>
        </w:rPr>
      </w:pPr>
    </w:p>
    <w:p>
      <w:pPr>
        <w:pStyle w:val="BodyText"/>
        <w:spacing w:before="10"/>
        <w:rPr>
          <w:sz w:val="14"/>
        </w:rPr>
      </w:pPr>
      <w:r>
        <w:rPr/>
        <w:pict>
          <v:line style="position:absolute;mso-position-horizontal-relative:page;mso-position-vertical-relative:paragraph;z-index:14968;mso-wrap-distance-left:0;mso-wrap-distance-right:0" from="65.1968pt,11.06347pt" to="178.5828pt,11.06347pt" stroked="true" strokeweight=".3pt" strokecolor="#231f20">
            <w10:wrap type="topAndBottom"/>
          </v:line>
        </w:pict>
      </w:r>
    </w:p>
    <w:p>
      <w:pPr>
        <w:spacing w:line="204" w:lineRule="exact" w:before="9"/>
        <w:ind w:left="103" w:right="115" w:firstLine="0"/>
        <w:jc w:val="both"/>
        <w:rPr>
          <w:rFonts w:ascii="Calibri" w:hAnsi="Calibri"/>
          <w:sz w:val="17"/>
        </w:rPr>
      </w:pPr>
      <w:r>
        <w:rPr>
          <w:rFonts w:ascii="Calibri" w:hAnsi="Calibri"/>
          <w:color w:val="231F20"/>
          <w:position w:val="6"/>
          <w:sz w:val="10"/>
        </w:rPr>
        <w:t>71</w:t>
      </w:r>
      <w:r>
        <w:rPr>
          <w:rFonts w:ascii="Calibri" w:hAnsi="Calibri"/>
          <w:color w:val="231F20"/>
          <w:spacing w:val="12"/>
          <w:position w:val="6"/>
          <w:sz w:val="10"/>
        </w:rPr>
        <w:t> </w:t>
      </w:r>
      <w:r>
        <w:rPr>
          <w:rFonts w:ascii="Calibri" w:hAnsi="Calibri"/>
          <w:color w:val="231F20"/>
          <w:sz w:val="17"/>
        </w:rPr>
        <w:t>D.</w:t>
      </w:r>
      <w:r>
        <w:rPr>
          <w:rFonts w:ascii="Calibri" w:hAnsi="Calibri"/>
          <w:color w:val="231F20"/>
          <w:spacing w:val="-5"/>
          <w:sz w:val="17"/>
        </w:rPr>
        <w:t> </w:t>
      </w:r>
      <w:r>
        <w:rPr>
          <w:rFonts w:ascii="Calibri" w:hAnsi="Calibri"/>
          <w:color w:val="231F20"/>
          <w:sz w:val="17"/>
        </w:rPr>
        <w:t>Chandler,</w:t>
      </w:r>
      <w:r>
        <w:rPr>
          <w:rFonts w:ascii="Calibri" w:hAnsi="Calibri"/>
          <w:color w:val="231F20"/>
          <w:spacing w:val="-5"/>
          <w:sz w:val="17"/>
        </w:rPr>
        <w:t> </w:t>
      </w:r>
      <w:r>
        <w:rPr>
          <w:rFonts w:ascii="Calibri" w:hAnsi="Calibri"/>
          <w:color w:val="231F20"/>
          <w:sz w:val="17"/>
        </w:rPr>
        <w:t>“New</w:t>
      </w:r>
      <w:r>
        <w:rPr>
          <w:rFonts w:ascii="Calibri" w:hAnsi="Calibri"/>
          <w:color w:val="231F20"/>
          <w:spacing w:val="-5"/>
          <w:sz w:val="17"/>
        </w:rPr>
        <w:t> </w:t>
      </w:r>
      <w:r>
        <w:rPr>
          <w:rFonts w:ascii="Calibri" w:hAnsi="Calibri"/>
          <w:color w:val="231F20"/>
          <w:sz w:val="17"/>
        </w:rPr>
        <w:t>Rights</w:t>
      </w:r>
      <w:r>
        <w:rPr>
          <w:rFonts w:ascii="Calibri" w:hAnsi="Calibri"/>
          <w:color w:val="231F20"/>
          <w:spacing w:val="-5"/>
          <w:sz w:val="17"/>
        </w:rPr>
        <w:t> </w:t>
      </w:r>
      <w:r>
        <w:rPr>
          <w:rFonts w:ascii="Calibri" w:hAnsi="Calibri"/>
          <w:color w:val="231F20"/>
          <w:sz w:val="17"/>
        </w:rPr>
        <w:t>for</w:t>
      </w:r>
      <w:r>
        <w:rPr>
          <w:rFonts w:ascii="Calibri" w:hAnsi="Calibri"/>
          <w:color w:val="231F20"/>
          <w:spacing w:val="-5"/>
          <w:sz w:val="17"/>
        </w:rPr>
        <w:t> </w:t>
      </w:r>
      <w:r>
        <w:rPr>
          <w:rFonts w:ascii="Calibri" w:hAnsi="Calibri"/>
          <w:color w:val="231F20"/>
          <w:sz w:val="17"/>
        </w:rPr>
        <w:t>Old?</w:t>
      </w:r>
      <w:r>
        <w:rPr>
          <w:rFonts w:ascii="Calibri" w:hAnsi="Calibri"/>
          <w:color w:val="231F20"/>
          <w:spacing w:val="-5"/>
          <w:sz w:val="17"/>
        </w:rPr>
        <w:t> </w:t>
      </w:r>
      <w:r>
        <w:rPr>
          <w:rFonts w:ascii="Calibri" w:hAnsi="Calibri"/>
          <w:color w:val="231F20"/>
          <w:sz w:val="17"/>
        </w:rPr>
        <w:t>Cosmopolitan</w:t>
      </w:r>
      <w:r>
        <w:rPr>
          <w:rFonts w:ascii="Calibri" w:hAnsi="Calibri"/>
          <w:color w:val="231F20"/>
          <w:spacing w:val="-5"/>
          <w:sz w:val="17"/>
        </w:rPr>
        <w:t> </w:t>
      </w:r>
      <w:r>
        <w:rPr>
          <w:rFonts w:ascii="Calibri" w:hAnsi="Calibri"/>
          <w:color w:val="231F20"/>
          <w:sz w:val="17"/>
        </w:rPr>
        <w:t>Citizenship</w:t>
      </w:r>
      <w:r>
        <w:rPr>
          <w:rFonts w:ascii="Calibri" w:hAnsi="Calibri"/>
          <w:color w:val="231F20"/>
          <w:spacing w:val="-5"/>
          <w:sz w:val="17"/>
        </w:rPr>
        <w:t> </w:t>
      </w:r>
      <w:r>
        <w:rPr>
          <w:rFonts w:ascii="Calibri" w:hAnsi="Calibri"/>
          <w:color w:val="231F20"/>
          <w:sz w:val="17"/>
        </w:rPr>
        <w:t>and</w:t>
      </w:r>
      <w:r>
        <w:rPr>
          <w:rFonts w:ascii="Calibri" w:hAnsi="Calibri"/>
          <w:color w:val="231F20"/>
          <w:spacing w:val="-5"/>
          <w:sz w:val="17"/>
        </w:rPr>
        <w:t> </w:t>
      </w:r>
      <w:r>
        <w:rPr>
          <w:rFonts w:ascii="Calibri" w:hAnsi="Calibri"/>
          <w:color w:val="231F20"/>
          <w:sz w:val="17"/>
        </w:rPr>
        <w:t>the</w:t>
      </w:r>
      <w:r>
        <w:rPr>
          <w:rFonts w:ascii="Calibri" w:hAnsi="Calibri"/>
          <w:color w:val="231F20"/>
          <w:spacing w:val="-5"/>
          <w:sz w:val="17"/>
        </w:rPr>
        <w:t> </w:t>
      </w:r>
      <w:r>
        <w:rPr>
          <w:rFonts w:ascii="Calibri" w:hAnsi="Calibri"/>
          <w:color w:val="231F20"/>
          <w:sz w:val="17"/>
        </w:rPr>
        <w:t>critique</w:t>
      </w:r>
      <w:r>
        <w:rPr>
          <w:rFonts w:ascii="Calibri" w:hAnsi="Calibri"/>
          <w:color w:val="231F20"/>
          <w:spacing w:val="-5"/>
          <w:sz w:val="17"/>
        </w:rPr>
        <w:t> </w:t>
      </w:r>
      <w:r>
        <w:rPr>
          <w:rFonts w:ascii="Calibri" w:hAnsi="Calibri"/>
          <w:color w:val="231F20"/>
          <w:sz w:val="17"/>
        </w:rPr>
        <w:t>of</w:t>
      </w:r>
      <w:r>
        <w:rPr>
          <w:rFonts w:ascii="Calibri" w:hAnsi="Calibri"/>
          <w:color w:val="231F20"/>
          <w:spacing w:val="-5"/>
          <w:sz w:val="17"/>
        </w:rPr>
        <w:t> </w:t>
      </w:r>
      <w:r>
        <w:rPr>
          <w:rFonts w:ascii="Calibri" w:hAnsi="Calibri"/>
          <w:color w:val="231F20"/>
          <w:sz w:val="17"/>
        </w:rPr>
        <w:t>State</w:t>
      </w:r>
      <w:r>
        <w:rPr>
          <w:rFonts w:ascii="Calibri" w:hAnsi="Calibri"/>
          <w:color w:val="231F20"/>
          <w:spacing w:val="-5"/>
          <w:sz w:val="17"/>
        </w:rPr>
        <w:t> </w:t>
      </w:r>
      <w:r>
        <w:rPr>
          <w:rFonts w:ascii="Calibri" w:hAnsi="Calibri"/>
          <w:color w:val="231F20"/>
          <w:sz w:val="17"/>
        </w:rPr>
        <w:t>Sovereignty”, </w:t>
      </w:r>
      <w:r>
        <w:rPr>
          <w:rFonts w:ascii="Calibri" w:hAnsi="Calibri"/>
          <w:i/>
          <w:color w:val="231F20"/>
          <w:sz w:val="17"/>
        </w:rPr>
        <w:t>Political Studies</w:t>
      </w:r>
      <w:r>
        <w:rPr>
          <w:rFonts w:ascii="Calibri" w:hAnsi="Calibri"/>
          <w:color w:val="231F20"/>
          <w:sz w:val="17"/>
        </w:rPr>
        <w:t>, vol. 51, 2003, pp. 332–349, in part. pp. 342–343. Ma sul punto si veda anche D. Chandler,</w:t>
      </w:r>
      <w:r>
        <w:rPr>
          <w:rFonts w:ascii="Calibri" w:hAnsi="Calibri"/>
          <w:color w:val="231F20"/>
          <w:spacing w:val="-6"/>
          <w:sz w:val="17"/>
        </w:rPr>
        <w:t> </w:t>
      </w:r>
      <w:r>
        <w:rPr>
          <w:rFonts w:ascii="Calibri" w:hAnsi="Calibri"/>
          <w:i/>
          <w:color w:val="231F20"/>
          <w:sz w:val="17"/>
        </w:rPr>
        <w:t>From</w:t>
      </w:r>
      <w:r>
        <w:rPr>
          <w:rFonts w:ascii="Calibri" w:hAnsi="Calibri"/>
          <w:i/>
          <w:color w:val="231F20"/>
          <w:spacing w:val="-7"/>
          <w:sz w:val="17"/>
        </w:rPr>
        <w:t> </w:t>
      </w:r>
      <w:r>
        <w:rPr>
          <w:rFonts w:ascii="Calibri" w:hAnsi="Calibri"/>
          <w:i/>
          <w:color w:val="231F20"/>
          <w:sz w:val="17"/>
        </w:rPr>
        <w:t>Kosovo</w:t>
      </w:r>
      <w:r>
        <w:rPr>
          <w:rFonts w:ascii="Calibri" w:hAnsi="Calibri"/>
          <w:i/>
          <w:color w:val="231F20"/>
          <w:spacing w:val="-7"/>
          <w:sz w:val="17"/>
        </w:rPr>
        <w:t> </w:t>
      </w:r>
      <w:r>
        <w:rPr>
          <w:rFonts w:ascii="Calibri" w:hAnsi="Calibri"/>
          <w:i/>
          <w:color w:val="231F20"/>
          <w:sz w:val="17"/>
        </w:rPr>
        <w:t>to</w:t>
      </w:r>
      <w:r>
        <w:rPr>
          <w:rFonts w:ascii="Calibri" w:hAnsi="Calibri"/>
          <w:i/>
          <w:color w:val="231F20"/>
          <w:spacing w:val="-7"/>
          <w:sz w:val="17"/>
        </w:rPr>
        <w:t> </w:t>
      </w:r>
      <w:r>
        <w:rPr>
          <w:rFonts w:ascii="Calibri" w:hAnsi="Calibri"/>
          <w:i/>
          <w:color w:val="231F20"/>
          <w:sz w:val="17"/>
        </w:rPr>
        <w:t>Kabul</w:t>
      </w:r>
      <w:r>
        <w:rPr>
          <w:rFonts w:ascii="Calibri" w:hAnsi="Calibri"/>
          <w:color w:val="231F20"/>
          <w:sz w:val="17"/>
        </w:rPr>
        <w:t>,</w:t>
      </w:r>
      <w:r>
        <w:rPr>
          <w:rFonts w:ascii="Calibri" w:hAnsi="Calibri"/>
          <w:color w:val="231F20"/>
          <w:spacing w:val="-6"/>
          <w:sz w:val="17"/>
        </w:rPr>
        <w:t> </w:t>
      </w:r>
      <w:r>
        <w:rPr>
          <w:rFonts w:ascii="Calibri" w:hAnsi="Calibri"/>
          <w:color w:val="231F20"/>
          <w:sz w:val="17"/>
        </w:rPr>
        <w:t>London,</w:t>
      </w:r>
      <w:r>
        <w:rPr>
          <w:rFonts w:ascii="Calibri" w:hAnsi="Calibri"/>
          <w:color w:val="231F20"/>
          <w:spacing w:val="-6"/>
          <w:sz w:val="17"/>
        </w:rPr>
        <w:t> </w:t>
      </w:r>
      <w:r>
        <w:rPr>
          <w:rFonts w:ascii="Calibri" w:hAnsi="Calibri"/>
          <w:color w:val="231F20"/>
          <w:sz w:val="17"/>
        </w:rPr>
        <w:t>Pluto,</w:t>
      </w:r>
      <w:r>
        <w:rPr>
          <w:rFonts w:ascii="Calibri" w:hAnsi="Calibri"/>
          <w:color w:val="231F20"/>
          <w:spacing w:val="-6"/>
          <w:sz w:val="17"/>
        </w:rPr>
        <w:t> </w:t>
      </w:r>
      <w:r>
        <w:rPr>
          <w:rFonts w:ascii="Calibri" w:hAnsi="Calibri"/>
          <w:color w:val="231F20"/>
          <w:sz w:val="17"/>
        </w:rPr>
        <w:t>2002,</w:t>
      </w:r>
      <w:r>
        <w:rPr>
          <w:rFonts w:ascii="Calibri" w:hAnsi="Calibri"/>
          <w:color w:val="231F20"/>
          <w:spacing w:val="-6"/>
          <w:sz w:val="17"/>
        </w:rPr>
        <w:t> </w:t>
      </w:r>
      <w:r>
        <w:rPr>
          <w:rFonts w:ascii="Calibri" w:hAnsi="Calibri"/>
          <w:color w:val="231F20"/>
          <w:sz w:val="17"/>
        </w:rPr>
        <w:t>pp.</w:t>
      </w:r>
      <w:r>
        <w:rPr>
          <w:rFonts w:ascii="Calibri" w:hAnsi="Calibri"/>
          <w:color w:val="231F20"/>
          <w:spacing w:val="-6"/>
          <w:sz w:val="17"/>
        </w:rPr>
        <w:t> </w:t>
      </w:r>
      <w:r>
        <w:rPr>
          <w:rFonts w:ascii="Calibri" w:hAnsi="Calibri"/>
          <w:color w:val="231F20"/>
          <w:sz w:val="17"/>
        </w:rPr>
        <w:t>119–120.</w:t>
      </w:r>
    </w:p>
    <w:p>
      <w:pPr>
        <w:spacing w:line="206" w:lineRule="exact" w:before="1"/>
        <w:ind w:left="103" w:right="0" w:firstLine="0"/>
        <w:jc w:val="both"/>
        <w:rPr>
          <w:rFonts w:ascii="Calibri" w:hAnsi="Calibri"/>
          <w:sz w:val="17"/>
        </w:rPr>
      </w:pPr>
      <w:r>
        <w:rPr>
          <w:rFonts w:ascii="Calibri" w:hAnsi="Calibri"/>
          <w:color w:val="231F20"/>
          <w:position w:val="6"/>
          <w:sz w:val="10"/>
        </w:rPr>
        <w:t>72   </w:t>
      </w:r>
      <w:r>
        <w:rPr>
          <w:rFonts w:ascii="Calibri" w:hAnsi="Calibri"/>
          <w:color w:val="231F20"/>
          <w:sz w:val="17"/>
        </w:rPr>
        <w:t>Devetak, “Between Kant and Pufendorf”, p. 159.</w:t>
      </w:r>
    </w:p>
    <w:p>
      <w:pPr>
        <w:spacing w:line="204" w:lineRule="exact" w:before="0"/>
        <w:ind w:left="103" w:right="0" w:firstLine="0"/>
        <w:jc w:val="both"/>
        <w:rPr>
          <w:rFonts w:ascii="Calibri" w:hAnsi="Calibri"/>
          <w:sz w:val="17"/>
        </w:rPr>
      </w:pPr>
      <w:r>
        <w:rPr>
          <w:rFonts w:ascii="Calibri" w:hAnsi="Calibri"/>
          <w:color w:val="231F20"/>
          <w:position w:val="6"/>
          <w:sz w:val="10"/>
        </w:rPr>
        <w:t>73  </w:t>
      </w:r>
      <w:r>
        <w:rPr>
          <w:rFonts w:ascii="Calibri" w:hAnsi="Calibri"/>
          <w:color w:val="231F20"/>
          <w:sz w:val="17"/>
        </w:rPr>
        <w:t>Devetak, “Between Kant and Pufendorf”, p. 168.</w:t>
      </w:r>
    </w:p>
    <w:p>
      <w:pPr>
        <w:spacing w:line="235" w:lineRule="auto" w:before="1"/>
        <w:ind w:left="103" w:right="115" w:firstLine="0"/>
        <w:jc w:val="both"/>
        <w:rPr>
          <w:rFonts w:ascii="Calibri" w:hAnsi="Calibri"/>
          <w:sz w:val="17"/>
        </w:rPr>
      </w:pPr>
      <w:r>
        <w:rPr>
          <w:rFonts w:ascii="Calibri" w:hAnsi="Calibri"/>
          <w:color w:val="231F20"/>
          <w:position w:val="6"/>
          <w:sz w:val="10"/>
        </w:rPr>
        <w:t>74 </w:t>
      </w:r>
      <w:r>
        <w:rPr>
          <w:rFonts w:ascii="Calibri" w:hAnsi="Calibri"/>
          <w:color w:val="231F20"/>
          <w:sz w:val="17"/>
        </w:rPr>
        <w:t>Keohane, “Political authority after intervention: gradations in sovereignty”, </w:t>
      </w:r>
      <w:r>
        <w:rPr>
          <w:rFonts w:ascii="Calibri" w:hAnsi="Calibri"/>
          <w:i/>
          <w:color w:val="231F20"/>
          <w:sz w:val="17"/>
        </w:rPr>
        <w:t>Humanitarian </w:t>
      </w:r>
      <w:r>
        <w:rPr>
          <w:rFonts w:ascii="Calibri" w:hAnsi="Calibri"/>
          <w:i/>
          <w:color w:val="231F20"/>
          <w:sz w:val="17"/>
        </w:rPr>
        <w:t>Intervention</w:t>
      </w:r>
      <w:r>
        <w:rPr>
          <w:rFonts w:ascii="Calibri" w:hAnsi="Calibri"/>
          <w:color w:val="231F20"/>
          <w:sz w:val="17"/>
        </w:rPr>
        <w:t>, p. 277.</w:t>
      </w:r>
    </w:p>
    <w:p>
      <w:pPr>
        <w:pStyle w:val="BodyText"/>
        <w:rPr>
          <w:rFonts w:ascii="Calibri"/>
          <w:sz w:val="20"/>
        </w:rPr>
      </w:pPr>
    </w:p>
    <w:p>
      <w:pPr>
        <w:pStyle w:val="BodyText"/>
        <w:spacing w:before="10"/>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0408"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148</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98" w:lineRule="exact" w:before="52"/>
        <w:ind w:left="796"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15040"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QUESTIONI</w:t>
      </w:r>
      <w:r>
        <w:rPr>
          <w:rFonts w:ascii="Lucida Sans Unicode" w:hAnsi="Lucida Sans Unicode"/>
          <w:color w:val="6D6E71"/>
          <w:spacing w:val="-11"/>
          <w:w w:val="90"/>
          <w:sz w:val="14"/>
        </w:rPr>
        <w:t> </w:t>
      </w:r>
      <w:r>
        <w:rPr>
          <w:rFonts w:ascii="Lucida Sans Unicode" w:hAnsi="Lucida Sans Unicode"/>
          <w:color w:val="6D6E71"/>
          <w:w w:val="90"/>
          <w:sz w:val="14"/>
        </w:rPr>
        <w:t>DI</w:t>
      </w:r>
      <w:r>
        <w:rPr>
          <w:rFonts w:ascii="Lucida Sans Unicode" w:hAnsi="Lucida Sans Unicode"/>
          <w:color w:val="6D6E71"/>
          <w:spacing w:val="-11"/>
          <w:w w:val="90"/>
          <w:sz w:val="14"/>
        </w:rPr>
        <w:t> </w:t>
      </w:r>
      <w:r>
        <w:rPr>
          <w:rFonts w:ascii="Lucida Sans Unicode" w:hAnsi="Lucida Sans Unicode"/>
          <w:color w:val="6D6E71"/>
          <w:w w:val="90"/>
          <w:sz w:val="14"/>
        </w:rPr>
        <w:t>CONFINE.</w:t>
      </w:r>
      <w:r>
        <w:rPr>
          <w:rFonts w:ascii="Lucida Sans Unicode" w:hAnsi="Lucida Sans Unicode"/>
          <w:color w:val="6D6E71"/>
          <w:spacing w:val="-11"/>
          <w:w w:val="90"/>
          <w:sz w:val="14"/>
        </w:rPr>
        <w:t> </w:t>
      </w:r>
      <w:r>
        <w:rPr>
          <w:rFonts w:ascii="Lucida Sans Unicode" w:hAnsi="Lucida Sans Unicode"/>
          <w:color w:val="6D6E71"/>
          <w:w w:val="90"/>
          <w:sz w:val="14"/>
        </w:rPr>
        <w:t>SOVRANITÀ</w:t>
      </w:r>
      <w:r>
        <w:rPr>
          <w:rFonts w:ascii="Lucida Sans Unicode" w:hAnsi="Lucida Sans Unicode"/>
          <w:color w:val="6D6E71"/>
          <w:spacing w:val="-11"/>
          <w:w w:val="90"/>
          <w:sz w:val="14"/>
        </w:rPr>
        <w:t> </w:t>
      </w:r>
      <w:r>
        <w:rPr>
          <w:rFonts w:ascii="Lucida Sans Unicode" w:hAnsi="Lucida Sans Unicode"/>
          <w:color w:val="6D6E71"/>
          <w:w w:val="90"/>
          <w:sz w:val="14"/>
        </w:rPr>
        <w:t>TERRITORIALE</w:t>
      </w:r>
      <w:r>
        <w:rPr>
          <w:rFonts w:ascii="Lucida Sans Unicode" w:hAnsi="Lucida Sans Unicode"/>
          <w:color w:val="6D6E71"/>
          <w:spacing w:val="-11"/>
          <w:w w:val="90"/>
          <w:sz w:val="14"/>
        </w:rPr>
        <w:t> </w:t>
      </w:r>
      <w:r>
        <w:rPr>
          <w:rFonts w:ascii="Lucida Sans Unicode" w:hAnsi="Lucida Sans Unicode"/>
          <w:color w:val="6D6E71"/>
          <w:w w:val="90"/>
          <w:sz w:val="14"/>
        </w:rPr>
        <w:t>E</w:t>
      </w:r>
      <w:r>
        <w:rPr>
          <w:rFonts w:ascii="Lucida Sans Unicode" w:hAnsi="Lucida Sans Unicode"/>
          <w:color w:val="6D6E71"/>
          <w:spacing w:val="-11"/>
          <w:w w:val="90"/>
          <w:sz w:val="14"/>
        </w:rPr>
        <w:t> </w:t>
      </w:r>
      <w:r>
        <w:rPr>
          <w:rFonts w:ascii="Lucida Sans Unicode" w:hAnsi="Lucida Sans Unicode"/>
          <w:color w:val="6D6E71"/>
          <w:w w:val="90"/>
          <w:sz w:val="14"/>
        </w:rPr>
        <w:t>ORDINE</w:t>
      </w:r>
      <w:r>
        <w:rPr>
          <w:rFonts w:ascii="Lucida Sans Unicode" w:hAnsi="Lucida Sans Unicode"/>
          <w:color w:val="6D6E71"/>
          <w:spacing w:val="-11"/>
          <w:w w:val="90"/>
          <w:sz w:val="14"/>
        </w:rPr>
        <w:t> </w:t>
      </w:r>
      <w:r>
        <w:rPr>
          <w:rFonts w:ascii="Lucida Sans Unicode" w:hAnsi="Lucida Sans Unicode"/>
          <w:color w:val="6D6E71"/>
          <w:w w:val="90"/>
          <w:sz w:val="14"/>
        </w:rPr>
        <w:t>GLOBALE</w:t>
      </w:r>
      <w:r>
        <w:rPr>
          <w:rFonts w:ascii="Lucida Sans Unicode" w:hAnsi="Lucida Sans Unicode"/>
          <w:color w:val="6D6E71"/>
          <w:spacing w:val="-11"/>
          <w:w w:val="90"/>
          <w:sz w:val="14"/>
        </w:rPr>
        <w:t> </w:t>
      </w:r>
      <w:r>
        <w:rPr>
          <w:rFonts w:ascii="Lucida Sans Unicode" w:hAnsi="Lucida Sans Unicode"/>
          <w:color w:val="6D6E71"/>
          <w:w w:val="90"/>
          <w:sz w:val="14"/>
        </w:rPr>
        <w:t>NEL</w:t>
      </w:r>
      <w:r>
        <w:rPr>
          <w:rFonts w:ascii="Lucida Sans Unicode" w:hAnsi="Lucida Sans Unicode"/>
          <w:color w:val="6D6E71"/>
          <w:spacing w:val="-11"/>
          <w:w w:val="90"/>
          <w:sz w:val="14"/>
        </w:rPr>
        <w:t> </w:t>
      </w:r>
      <w:r>
        <w:rPr>
          <w:rFonts w:ascii="Lucida Sans Unicode" w:hAnsi="Lucida Sans Unicode"/>
          <w:color w:val="6D6E71"/>
          <w:w w:val="90"/>
          <w:sz w:val="14"/>
        </w:rPr>
        <w:t>DIBATTITO</w:t>
      </w:r>
      <w:r>
        <w:rPr>
          <w:rFonts w:ascii="Lucida Sans Unicode" w:hAnsi="Lucida Sans Unicode"/>
          <w:color w:val="6D6E71"/>
          <w:spacing w:val="-11"/>
          <w:w w:val="90"/>
          <w:sz w:val="14"/>
        </w:rPr>
        <w:t> </w:t>
      </w:r>
      <w:r>
        <w:rPr>
          <w:rFonts w:ascii="Lucida Sans Unicode" w:hAnsi="Lucida Sans Unicode"/>
          <w:color w:val="6D6E71"/>
          <w:w w:val="90"/>
          <w:sz w:val="14"/>
        </w:rPr>
        <w:t>SUL</w:t>
      </w:r>
    </w:p>
    <w:p>
      <w:pPr>
        <w:spacing w:line="198" w:lineRule="exact" w:before="0"/>
        <w:ind w:left="3896" w:right="-13" w:firstLine="0"/>
        <w:jc w:val="left"/>
        <w:rPr>
          <w:rFonts w:ascii="Lucida Sans Unicode" w:hAnsi="Lucida Sans Unicode"/>
          <w:sz w:val="14"/>
        </w:rPr>
      </w:pPr>
      <w:r>
        <w:rPr>
          <w:rFonts w:ascii="Lucida Sans Unicode" w:hAnsi="Lucida Sans Unicode"/>
          <w:color w:val="6D6E71"/>
          <w:w w:val="85"/>
          <w:sz w:val="14"/>
        </w:rPr>
        <w:t>“NUOVO  INTERVENTISMO  UMANITARIO”</w:t>
      </w:r>
    </w:p>
    <w:p>
      <w:pPr>
        <w:spacing w:before="59"/>
        <w:ind w:left="338" w:right="0" w:firstLine="0"/>
        <w:jc w:val="left"/>
        <w:rPr>
          <w:rFonts w:ascii="Trebuchet MS"/>
          <w:sz w:val="20"/>
        </w:rPr>
      </w:pPr>
      <w:r>
        <w:rPr/>
        <w:br w:type="column"/>
      </w:r>
      <w:r>
        <w:rPr>
          <w:rFonts w:ascii="Trebuchet MS"/>
          <w:color w:val="414042"/>
          <w:w w:val="105"/>
          <w:sz w:val="20"/>
        </w:rPr>
        <w:t>149</w:t>
      </w:r>
    </w:p>
    <w:p>
      <w:pPr>
        <w:spacing w:after="0"/>
        <w:jc w:val="left"/>
        <w:rPr>
          <w:rFonts w:ascii="Trebuchet MS"/>
          <w:sz w:val="20"/>
        </w:rPr>
        <w:sectPr>
          <w:type w:val="continuous"/>
          <w:pgSz w:w="9640" w:h="13890"/>
          <w:pgMar w:top="0" w:bottom="0" w:left="1300" w:right="1180"/>
          <w:cols w:num="2" w:equalWidth="0">
            <w:col w:w="6261" w:space="40"/>
            <w:col w:w="859"/>
          </w:cols>
        </w:sectPr>
      </w:pPr>
    </w:p>
    <w:p>
      <w:pPr>
        <w:pStyle w:val="BodyText"/>
        <w:rPr>
          <w:rFonts w:ascii="Trebuchet MS"/>
          <w:sz w:val="20"/>
        </w:rPr>
      </w:pPr>
    </w:p>
    <w:p>
      <w:pPr>
        <w:pStyle w:val="BodyText"/>
        <w:spacing w:before="2"/>
        <w:rPr>
          <w:rFonts w:ascii="Trebuchet MS"/>
          <w:sz w:val="16"/>
        </w:rPr>
      </w:pPr>
    </w:p>
    <w:p>
      <w:pPr>
        <w:pStyle w:val="BodyText"/>
        <w:spacing w:line="247" w:lineRule="auto" w:before="44"/>
        <w:ind w:left="117" w:right="116"/>
        <w:jc w:val="both"/>
      </w:pPr>
      <w:r>
        <w:rPr>
          <w:color w:val="231F20"/>
          <w:w w:val="105"/>
        </w:rPr>
        <w:t>delle</w:t>
      </w:r>
      <w:r>
        <w:rPr>
          <w:color w:val="231F20"/>
          <w:spacing w:val="-25"/>
          <w:w w:val="105"/>
        </w:rPr>
        <w:t> </w:t>
      </w:r>
      <w:r>
        <w:rPr>
          <w:color w:val="231F20"/>
          <w:w w:val="105"/>
        </w:rPr>
        <w:t>persone</w:t>
      </w:r>
      <w:r>
        <w:rPr>
          <w:color w:val="231F20"/>
          <w:spacing w:val="-25"/>
          <w:w w:val="105"/>
        </w:rPr>
        <w:t> </w:t>
      </w:r>
      <w:r>
        <w:rPr>
          <w:color w:val="231F20"/>
          <w:w w:val="105"/>
        </w:rPr>
        <w:t>provano</w:t>
      </w:r>
      <w:r>
        <w:rPr>
          <w:color w:val="231F20"/>
          <w:spacing w:val="-25"/>
          <w:w w:val="105"/>
        </w:rPr>
        <w:t> </w:t>
      </w:r>
      <w:r>
        <w:rPr>
          <w:color w:val="231F20"/>
          <w:w w:val="105"/>
        </w:rPr>
        <w:t>per</w:t>
      </w:r>
      <w:r>
        <w:rPr>
          <w:color w:val="231F20"/>
          <w:spacing w:val="-25"/>
          <w:w w:val="105"/>
        </w:rPr>
        <w:t> </w:t>
      </w:r>
      <w:r>
        <w:rPr>
          <w:color w:val="231F20"/>
          <w:w w:val="105"/>
        </w:rPr>
        <w:t>i</w:t>
      </w:r>
      <w:r>
        <w:rPr>
          <w:color w:val="231F20"/>
          <w:spacing w:val="-25"/>
          <w:w w:val="105"/>
        </w:rPr>
        <w:t> </w:t>
      </w:r>
      <w:r>
        <w:rPr>
          <w:color w:val="231F20"/>
          <w:w w:val="105"/>
        </w:rPr>
        <w:t>propri</w:t>
      </w:r>
      <w:r>
        <w:rPr>
          <w:color w:val="231F20"/>
          <w:spacing w:val="-25"/>
          <w:w w:val="105"/>
        </w:rPr>
        <w:t> </w:t>
      </w:r>
      <w:r>
        <w:rPr>
          <w:color w:val="231F20"/>
          <w:w w:val="105"/>
        </w:rPr>
        <w:t>Stati”.</w:t>
      </w:r>
      <w:r>
        <w:rPr>
          <w:color w:val="231F20"/>
          <w:spacing w:val="-25"/>
          <w:w w:val="105"/>
        </w:rPr>
        <w:t> </w:t>
      </w:r>
      <w:r>
        <w:rPr>
          <w:color w:val="231F20"/>
          <w:w w:val="105"/>
        </w:rPr>
        <w:t>La</w:t>
      </w:r>
      <w:r>
        <w:rPr>
          <w:color w:val="231F20"/>
          <w:spacing w:val="-25"/>
          <w:w w:val="105"/>
        </w:rPr>
        <w:t> </w:t>
      </w:r>
      <w:r>
        <w:rPr>
          <w:color w:val="231F20"/>
          <w:w w:val="105"/>
        </w:rPr>
        <w:t>sfida</w:t>
      </w:r>
      <w:r>
        <w:rPr>
          <w:color w:val="231F20"/>
          <w:spacing w:val="-25"/>
          <w:w w:val="105"/>
        </w:rPr>
        <w:t> </w:t>
      </w:r>
      <w:r>
        <w:rPr>
          <w:color w:val="231F20"/>
          <w:w w:val="105"/>
        </w:rPr>
        <w:t>che</w:t>
      </w:r>
      <w:r>
        <w:rPr>
          <w:color w:val="231F20"/>
          <w:spacing w:val="-25"/>
          <w:w w:val="105"/>
        </w:rPr>
        <w:t> </w:t>
      </w:r>
      <w:r>
        <w:rPr>
          <w:color w:val="231F20"/>
          <w:w w:val="105"/>
        </w:rPr>
        <w:t>ci</w:t>
      </w:r>
      <w:r>
        <w:rPr>
          <w:color w:val="231F20"/>
          <w:spacing w:val="-25"/>
          <w:w w:val="105"/>
        </w:rPr>
        <w:t> </w:t>
      </w:r>
      <w:r>
        <w:rPr>
          <w:color w:val="231F20"/>
          <w:w w:val="105"/>
        </w:rPr>
        <w:t>troviamo</w:t>
      </w:r>
      <w:r>
        <w:rPr>
          <w:color w:val="231F20"/>
          <w:spacing w:val="-25"/>
          <w:w w:val="105"/>
        </w:rPr>
        <w:t> </w:t>
      </w:r>
      <w:r>
        <w:rPr>
          <w:color w:val="231F20"/>
          <w:w w:val="105"/>
        </w:rPr>
        <w:t>di</w:t>
      </w:r>
      <w:r>
        <w:rPr>
          <w:color w:val="231F20"/>
          <w:spacing w:val="-25"/>
          <w:w w:val="105"/>
        </w:rPr>
        <w:t> </w:t>
      </w:r>
      <w:r>
        <w:rPr>
          <w:color w:val="231F20"/>
          <w:w w:val="105"/>
        </w:rPr>
        <w:t>fronte è, però, quella di riconcettualizzare “lo Stato come una unità politica in grado</w:t>
      </w:r>
      <w:r>
        <w:rPr>
          <w:color w:val="231F20"/>
          <w:spacing w:val="-11"/>
          <w:w w:val="105"/>
        </w:rPr>
        <w:t> </w:t>
      </w:r>
      <w:r>
        <w:rPr>
          <w:color w:val="231F20"/>
          <w:w w:val="105"/>
        </w:rPr>
        <w:t>di</w:t>
      </w:r>
      <w:r>
        <w:rPr>
          <w:color w:val="231F20"/>
          <w:spacing w:val="-11"/>
          <w:w w:val="105"/>
        </w:rPr>
        <w:t> </w:t>
      </w:r>
      <w:r>
        <w:rPr>
          <w:color w:val="231F20"/>
          <w:w w:val="105"/>
        </w:rPr>
        <w:t>mantenere</w:t>
      </w:r>
      <w:r>
        <w:rPr>
          <w:color w:val="231F20"/>
          <w:spacing w:val="-11"/>
          <w:w w:val="105"/>
        </w:rPr>
        <w:t> </w:t>
      </w:r>
      <w:r>
        <w:rPr>
          <w:color w:val="231F20"/>
          <w:w w:val="105"/>
        </w:rPr>
        <w:t>l’ordine</w:t>
      </w:r>
      <w:r>
        <w:rPr>
          <w:color w:val="231F20"/>
          <w:spacing w:val="-11"/>
          <w:w w:val="105"/>
        </w:rPr>
        <w:t> </w:t>
      </w:r>
      <w:r>
        <w:rPr>
          <w:color w:val="231F20"/>
          <w:w w:val="105"/>
        </w:rPr>
        <w:t>interno</w:t>
      </w:r>
      <w:r>
        <w:rPr>
          <w:color w:val="231F20"/>
          <w:spacing w:val="-11"/>
          <w:w w:val="105"/>
        </w:rPr>
        <w:t> </w:t>
      </w:r>
      <w:r>
        <w:rPr>
          <w:color w:val="231F20"/>
          <w:w w:val="105"/>
        </w:rPr>
        <w:t>e</w:t>
      </w:r>
      <w:r>
        <w:rPr>
          <w:color w:val="231F20"/>
          <w:spacing w:val="-11"/>
          <w:w w:val="105"/>
        </w:rPr>
        <w:t> </w:t>
      </w:r>
      <w:r>
        <w:rPr>
          <w:color w:val="231F20"/>
          <w:w w:val="105"/>
        </w:rPr>
        <w:t>contemporaneamente</w:t>
      </w:r>
      <w:r>
        <w:rPr>
          <w:color w:val="231F20"/>
          <w:spacing w:val="-11"/>
          <w:w w:val="105"/>
        </w:rPr>
        <w:t> </w:t>
      </w:r>
      <w:r>
        <w:rPr>
          <w:color w:val="231F20"/>
          <w:w w:val="105"/>
        </w:rPr>
        <w:t>impegnarsi nella cooperazione internazionale, senza rivendicare quei diritti assoluti (…) tradizionalmente associati con la sovranità” —un obiettivo, questo, che</w:t>
      </w:r>
      <w:r>
        <w:rPr>
          <w:color w:val="231F20"/>
          <w:spacing w:val="-15"/>
          <w:w w:val="105"/>
        </w:rPr>
        <w:t> </w:t>
      </w:r>
      <w:r>
        <w:rPr>
          <w:color w:val="231F20"/>
          <w:w w:val="105"/>
        </w:rPr>
        <w:t>presuppone</w:t>
      </w:r>
      <w:r>
        <w:rPr>
          <w:color w:val="231F20"/>
          <w:spacing w:val="-15"/>
          <w:w w:val="105"/>
        </w:rPr>
        <w:t> </w:t>
      </w:r>
      <w:r>
        <w:rPr>
          <w:color w:val="231F20"/>
          <w:w w:val="105"/>
        </w:rPr>
        <w:t>il</w:t>
      </w:r>
      <w:r>
        <w:rPr>
          <w:color w:val="231F20"/>
          <w:spacing w:val="-15"/>
          <w:w w:val="105"/>
        </w:rPr>
        <w:t> </w:t>
      </w:r>
      <w:r>
        <w:rPr>
          <w:color w:val="231F20"/>
          <w:w w:val="105"/>
        </w:rPr>
        <w:t>definitivo</w:t>
      </w:r>
      <w:r>
        <w:rPr>
          <w:color w:val="231F20"/>
          <w:spacing w:val="-15"/>
          <w:w w:val="105"/>
        </w:rPr>
        <w:t> </w:t>
      </w:r>
      <w:r>
        <w:rPr>
          <w:color w:val="231F20"/>
          <w:w w:val="105"/>
        </w:rPr>
        <w:t>superamento</w:t>
      </w:r>
      <w:r>
        <w:rPr>
          <w:color w:val="231F20"/>
          <w:spacing w:val="-15"/>
          <w:w w:val="105"/>
        </w:rPr>
        <w:t> </w:t>
      </w:r>
      <w:r>
        <w:rPr>
          <w:color w:val="231F20"/>
          <w:w w:val="105"/>
        </w:rPr>
        <w:t>della</w:t>
      </w:r>
      <w:r>
        <w:rPr>
          <w:color w:val="231F20"/>
          <w:spacing w:val="-15"/>
          <w:w w:val="105"/>
        </w:rPr>
        <w:t> </w:t>
      </w:r>
      <w:r>
        <w:rPr>
          <w:color w:val="231F20"/>
          <w:w w:val="105"/>
        </w:rPr>
        <w:t>concezione</w:t>
      </w:r>
      <w:r>
        <w:rPr>
          <w:color w:val="231F20"/>
          <w:spacing w:val="-15"/>
          <w:w w:val="105"/>
        </w:rPr>
        <w:t> </w:t>
      </w:r>
      <w:r>
        <w:rPr>
          <w:color w:val="231F20"/>
          <w:w w:val="105"/>
        </w:rPr>
        <w:t>“monistica”</w:t>
      </w:r>
      <w:r>
        <w:rPr>
          <w:color w:val="231F20"/>
          <w:spacing w:val="-15"/>
          <w:w w:val="105"/>
        </w:rPr>
        <w:t> </w:t>
      </w:r>
      <w:r>
        <w:rPr>
          <w:color w:val="231F20"/>
          <w:w w:val="105"/>
        </w:rPr>
        <w:t>e “assoluta”</w:t>
      </w:r>
      <w:r>
        <w:rPr>
          <w:color w:val="231F20"/>
          <w:spacing w:val="-21"/>
          <w:w w:val="105"/>
        </w:rPr>
        <w:t> </w:t>
      </w:r>
      <w:r>
        <w:rPr>
          <w:color w:val="231F20"/>
          <w:w w:val="105"/>
        </w:rPr>
        <w:t>della</w:t>
      </w:r>
      <w:r>
        <w:rPr>
          <w:color w:val="231F20"/>
          <w:spacing w:val="-21"/>
          <w:w w:val="105"/>
        </w:rPr>
        <w:t> </w:t>
      </w:r>
      <w:r>
        <w:rPr>
          <w:color w:val="231F20"/>
          <w:w w:val="105"/>
        </w:rPr>
        <w:t>sovranità</w:t>
      </w:r>
      <w:r>
        <w:rPr>
          <w:color w:val="231F20"/>
          <w:spacing w:val="-21"/>
          <w:w w:val="105"/>
        </w:rPr>
        <w:t> </w:t>
      </w:r>
      <w:r>
        <w:rPr>
          <w:color w:val="231F20"/>
          <w:w w:val="105"/>
        </w:rPr>
        <w:t>caratteristica</w:t>
      </w:r>
      <w:r>
        <w:rPr>
          <w:color w:val="231F20"/>
          <w:spacing w:val="-21"/>
          <w:w w:val="105"/>
        </w:rPr>
        <w:t> </w:t>
      </w:r>
      <w:r>
        <w:rPr>
          <w:color w:val="231F20"/>
          <w:w w:val="105"/>
        </w:rPr>
        <w:t>del</w:t>
      </w:r>
      <w:r>
        <w:rPr>
          <w:color w:val="231F20"/>
          <w:spacing w:val="-21"/>
          <w:w w:val="105"/>
        </w:rPr>
        <w:t> </w:t>
      </w:r>
      <w:r>
        <w:rPr>
          <w:color w:val="231F20"/>
          <w:w w:val="105"/>
        </w:rPr>
        <w:t>“modello</w:t>
      </w:r>
      <w:r>
        <w:rPr>
          <w:color w:val="231F20"/>
          <w:spacing w:val="-21"/>
          <w:w w:val="105"/>
        </w:rPr>
        <w:t> </w:t>
      </w:r>
      <w:r>
        <w:rPr>
          <w:color w:val="231F20"/>
          <w:w w:val="105"/>
        </w:rPr>
        <w:t>Westfalia”,</w:t>
      </w:r>
      <w:r>
        <w:rPr>
          <w:color w:val="231F20"/>
          <w:spacing w:val="-21"/>
          <w:w w:val="105"/>
        </w:rPr>
        <w:t> </w:t>
      </w:r>
      <w:r>
        <w:rPr>
          <w:color w:val="231F20"/>
          <w:w w:val="105"/>
        </w:rPr>
        <w:t>in</w:t>
      </w:r>
      <w:r>
        <w:rPr>
          <w:color w:val="231F20"/>
          <w:spacing w:val="-21"/>
          <w:w w:val="105"/>
        </w:rPr>
        <w:t> </w:t>
      </w:r>
      <w:r>
        <w:rPr>
          <w:color w:val="231F20"/>
          <w:w w:val="105"/>
        </w:rPr>
        <w:t>favore di</w:t>
      </w:r>
      <w:r>
        <w:rPr>
          <w:color w:val="231F20"/>
          <w:spacing w:val="-10"/>
          <w:w w:val="105"/>
        </w:rPr>
        <w:t> </w:t>
      </w:r>
      <w:r>
        <w:rPr>
          <w:color w:val="231F20"/>
          <w:w w:val="105"/>
        </w:rPr>
        <w:t>una</w:t>
      </w:r>
      <w:r>
        <w:rPr>
          <w:color w:val="231F20"/>
          <w:spacing w:val="-10"/>
          <w:w w:val="105"/>
        </w:rPr>
        <w:t> </w:t>
      </w:r>
      <w:r>
        <w:rPr>
          <w:color w:val="231F20"/>
          <w:w w:val="105"/>
        </w:rPr>
        <w:t>caratterizzazione</w:t>
      </w:r>
      <w:r>
        <w:rPr>
          <w:color w:val="231F20"/>
          <w:spacing w:val="-10"/>
          <w:w w:val="105"/>
        </w:rPr>
        <w:t> </w:t>
      </w:r>
      <w:r>
        <w:rPr>
          <w:color w:val="231F20"/>
          <w:w w:val="105"/>
        </w:rPr>
        <w:t>“modulare”,</w:t>
      </w:r>
      <w:r>
        <w:rPr>
          <w:color w:val="231F20"/>
          <w:spacing w:val="-10"/>
          <w:w w:val="105"/>
        </w:rPr>
        <w:t> </w:t>
      </w:r>
      <w:r>
        <w:rPr>
          <w:color w:val="231F20"/>
          <w:w w:val="105"/>
        </w:rPr>
        <w:t>“graduata”</w:t>
      </w:r>
      <w:r>
        <w:rPr>
          <w:color w:val="231F20"/>
          <w:spacing w:val="-10"/>
          <w:w w:val="105"/>
        </w:rPr>
        <w:t> </w:t>
      </w:r>
      <w:r>
        <w:rPr>
          <w:color w:val="231F20"/>
          <w:w w:val="105"/>
        </w:rPr>
        <w:t>e</w:t>
      </w:r>
      <w:r>
        <w:rPr>
          <w:color w:val="231F20"/>
          <w:spacing w:val="-10"/>
          <w:w w:val="105"/>
        </w:rPr>
        <w:t> </w:t>
      </w:r>
      <w:r>
        <w:rPr>
          <w:color w:val="231F20"/>
          <w:w w:val="105"/>
        </w:rPr>
        <w:t>“relazionale”</w:t>
      </w:r>
      <w:r>
        <w:rPr>
          <w:color w:val="231F20"/>
          <w:spacing w:val="-10"/>
          <w:w w:val="105"/>
        </w:rPr>
        <w:t> </w:t>
      </w:r>
      <w:r>
        <w:rPr>
          <w:color w:val="231F20"/>
          <w:w w:val="105"/>
        </w:rPr>
        <w:t>di</w:t>
      </w:r>
      <w:r>
        <w:rPr>
          <w:color w:val="231F20"/>
          <w:spacing w:val="-10"/>
          <w:w w:val="105"/>
        </w:rPr>
        <w:t> </w:t>
      </w:r>
      <w:r>
        <w:rPr>
          <w:color w:val="231F20"/>
          <w:w w:val="105"/>
        </w:rPr>
        <w:t>quello </w:t>
      </w:r>
      <w:r>
        <w:rPr>
          <w:color w:val="231F20"/>
        </w:rPr>
        <w:t>stesso</w:t>
      </w:r>
      <w:r>
        <w:rPr>
          <w:color w:val="231F20"/>
          <w:spacing w:val="14"/>
        </w:rPr>
        <w:t> </w:t>
      </w:r>
      <w:r>
        <w:rPr>
          <w:color w:val="231F20"/>
        </w:rPr>
        <w:t>concetto</w:t>
      </w:r>
      <w:r>
        <w:rPr>
          <w:color w:val="231F20"/>
          <w:position w:val="7"/>
          <w:sz w:val="12"/>
        </w:rPr>
        <w:t>75</w:t>
      </w:r>
      <w:r>
        <w:rPr>
          <w:color w:val="231F20"/>
        </w:rPr>
        <w:t>.</w:t>
      </w:r>
    </w:p>
    <w:p>
      <w:pPr>
        <w:pStyle w:val="BodyText"/>
        <w:spacing w:line="247" w:lineRule="auto"/>
        <w:ind w:left="117" w:right="113" w:firstLine="566"/>
        <w:jc w:val="both"/>
      </w:pPr>
      <w:r>
        <w:rPr>
          <w:color w:val="231F20"/>
          <w:spacing w:val="-9"/>
        </w:rPr>
        <w:t>Tra</w:t>
      </w:r>
      <w:r>
        <w:rPr>
          <w:color w:val="231F20"/>
          <w:spacing w:val="-14"/>
        </w:rPr>
        <w:t> </w:t>
      </w:r>
      <w:r>
        <w:rPr>
          <w:color w:val="231F20"/>
        </w:rPr>
        <w:t>le</w:t>
      </w:r>
      <w:r>
        <w:rPr>
          <w:color w:val="231F20"/>
          <w:spacing w:val="-14"/>
        </w:rPr>
        <w:t> </w:t>
      </w:r>
      <w:r>
        <w:rPr>
          <w:color w:val="231F20"/>
          <w:spacing w:val="-4"/>
        </w:rPr>
        <w:t>elaborazioni</w:t>
      </w:r>
      <w:r>
        <w:rPr>
          <w:color w:val="231F20"/>
          <w:spacing w:val="-14"/>
        </w:rPr>
        <w:t> </w:t>
      </w:r>
      <w:r>
        <w:rPr>
          <w:color w:val="231F20"/>
          <w:spacing w:val="-4"/>
        </w:rPr>
        <w:t>teoriche</w:t>
      </w:r>
      <w:r>
        <w:rPr>
          <w:color w:val="231F20"/>
          <w:spacing w:val="-14"/>
        </w:rPr>
        <w:t> </w:t>
      </w:r>
      <w:r>
        <w:rPr>
          <w:color w:val="231F20"/>
          <w:spacing w:val="-3"/>
        </w:rPr>
        <w:t>che</w:t>
      </w:r>
      <w:r>
        <w:rPr>
          <w:color w:val="231F20"/>
          <w:spacing w:val="-14"/>
        </w:rPr>
        <w:t> </w:t>
      </w:r>
      <w:r>
        <w:rPr>
          <w:color w:val="231F20"/>
          <w:spacing w:val="-4"/>
        </w:rPr>
        <w:t>meglio</w:t>
      </w:r>
      <w:r>
        <w:rPr>
          <w:color w:val="231F20"/>
          <w:spacing w:val="-14"/>
        </w:rPr>
        <w:t> </w:t>
      </w:r>
      <w:r>
        <w:rPr>
          <w:color w:val="231F20"/>
          <w:spacing w:val="-4"/>
        </w:rPr>
        <w:t>esprimono</w:t>
      </w:r>
      <w:r>
        <w:rPr>
          <w:color w:val="231F20"/>
          <w:spacing w:val="-14"/>
        </w:rPr>
        <w:t> </w:t>
      </w:r>
      <w:r>
        <w:rPr>
          <w:color w:val="231F20"/>
        </w:rPr>
        <w:t>la</w:t>
      </w:r>
      <w:r>
        <w:rPr>
          <w:color w:val="231F20"/>
          <w:spacing w:val="-14"/>
        </w:rPr>
        <w:t> </w:t>
      </w:r>
      <w:r>
        <w:rPr>
          <w:color w:val="231F20"/>
          <w:spacing w:val="-4"/>
        </w:rPr>
        <w:t>concreta</w:t>
      </w:r>
      <w:r>
        <w:rPr>
          <w:color w:val="231F20"/>
          <w:spacing w:val="-14"/>
        </w:rPr>
        <w:t> </w:t>
      </w:r>
      <w:r>
        <w:rPr>
          <w:color w:val="231F20"/>
          <w:spacing w:val="-4"/>
        </w:rPr>
        <w:t>portata</w:t>
      </w:r>
      <w:r>
        <w:rPr>
          <w:color w:val="231F20"/>
          <w:spacing w:val="-14"/>
        </w:rPr>
        <w:t> </w:t>
      </w:r>
      <w:r>
        <w:rPr>
          <w:color w:val="231F20"/>
        </w:rPr>
        <w:t>di </w:t>
      </w:r>
      <w:r>
        <w:rPr>
          <w:color w:val="231F20"/>
          <w:spacing w:val="-4"/>
        </w:rPr>
        <w:t>questa “conceptual departure from </w:t>
      </w:r>
      <w:r>
        <w:rPr>
          <w:color w:val="231F20"/>
          <w:spacing w:val="-3"/>
        </w:rPr>
        <w:t>the </w:t>
      </w:r>
      <w:r>
        <w:rPr>
          <w:color w:val="231F20"/>
          <w:spacing w:val="-4"/>
        </w:rPr>
        <w:t>historical </w:t>
      </w:r>
      <w:r>
        <w:rPr>
          <w:color w:val="231F20"/>
          <w:spacing w:val="-3"/>
        </w:rPr>
        <w:t>and </w:t>
      </w:r>
      <w:r>
        <w:rPr>
          <w:color w:val="231F20"/>
          <w:spacing w:val="-4"/>
        </w:rPr>
        <w:t>discredited </w:t>
      </w:r>
      <w:r>
        <w:rPr>
          <w:color w:val="231F20"/>
          <w:spacing w:val="-5"/>
        </w:rPr>
        <w:t>Westphalian </w:t>
      </w:r>
      <w:r>
        <w:rPr>
          <w:color w:val="231F20"/>
        </w:rPr>
        <w:t>concept of sovereignty”</w:t>
      </w:r>
      <w:r>
        <w:rPr>
          <w:color w:val="231F20"/>
          <w:position w:val="7"/>
          <w:sz w:val="12"/>
        </w:rPr>
        <w:t>76</w:t>
      </w:r>
      <w:r>
        <w:rPr>
          <w:color w:val="231F20"/>
        </w:rPr>
        <w:t>, è possibile senz’altro richiamare la nozione di “pooled </w:t>
      </w:r>
      <w:r>
        <w:rPr>
          <w:color w:val="231F20"/>
          <w:spacing w:val="-3"/>
        </w:rPr>
        <w:t>sovereignty”, </w:t>
      </w:r>
      <w:r>
        <w:rPr>
          <w:color w:val="231F20"/>
        </w:rPr>
        <w:t>ampiamente </w:t>
      </w:r>
      <w:r>
        <w:rPr>
          <w:color w:val="231F20"/>
          <w:spacing w:val="-3"/>
        </w:rPr>
        <w:t>presente </w:t>
      </w:r>
      <w:r>
        <w:rPr>
          <w:color w:val="231F20"/>
        </w:rPr>
        <w:t>nel dibattito sulle nuove forme di organizzazione transnazionale come l’Unione Europea</w:t>
      </w:r>
      <w:r>
        <w:rPr>
          <w:color w:val="231F20"/>
          <w:position w:val="7"/>
          <w:sz w:val="12"/>
        </w:rPr>
        <w:t>77</w:t>
      </w:r>
      <w:r>
        <w:rPr>
          <w:color w:val="231F20"/>
        </w:rPr>
        <w:t>, la categoria di “complex sovereignty” utilizzata da sociologi e politologi per dare conto  dei fondamentali cambiamenti nelle modalità di esercizio del “governo”     e  </w:t>
      </w:r>
      <w:r>
        <w:rPr>
          <w:color w:val="231F20"/>
          <w:spacing w:val="3"/>
        </w:rPr>
        <w:t>dell’“autorità  politica”  caratteristici  delle  società  contemporanee</w:t>
      </w:r>
      <w:r>
        <w:rPr>
          <w:color w:val="231F20"/>
          <w:spacing w:val="3"/>
          <w:position w:val="7"/>
          <w:sz w:val="12"/>
        </w:rPr>
        <w:t>78</w:t>
      </w:r>
      <w:r>
        <w:rPr>
          <w:color w:val="231F20"/>
          <w:spacing w:val="3"/>
        </w:rPr>
        <w:t>, </w:t>
      </w:r>
      <w:r>
        <w:rPr>
          <w:color w:val="231F20"/>
        </w:rPr>
        <w:t>e soprattutto il modello di “unbundled sovereignty” messo a punto da Stephen Krasner in esplicita polemica con l’“ipocrita” rappresentazione </w:t>
      </w:r>
      <w:r>
        <w:rPr>
          <w:color w:val="231F20"/>
          <w:spacing w:val="2"/>
        </w:rPr>
        <w:t>dell’ordine internazionale offerta, </w:t>
      </w:r>
      <w:r>
        <w:rPr>
          <w:color w:val="231F20"/>
        </w:rPr>
        <w:t>sin </w:t>
      </w:r>
      <w:r>
        <w:rPr>
          <w:color w:val="231F20"/>
          <w:spacing w:val="2"/>
        </w:rPr>
        <w:t>dalle origini, dalla teoria </w:t>
      </w:r>
      <w:r>
        <w:rPr>
          <w:color w:val="231F20"/>
          <w:spacing w:val="3"/>
        </w:rPr>
        <w:t>politica </w:t>
      </w:r>
      <w:r>
        <w:rPr>
          <w:color w:val="231F20"/>
        </w:rPr>
        <w:t>moderna</w:t>
      </w:r>
      <w:r>
        <w:rPr>
          <w:color w:val="231F20"/>
          <w:position w:val="7"/>
          <w:sz w:val="12"/>
        </w:rPr>
        <w:t>79</w:t>
      </w:r>
      <w:r>
        <w:rPr>
          <w:color w:val="231F20"/>
        </w:rPr>
        <w:t>. Secondo la sua influente, e discussa</w:t>
      </w:r>
      <w:r>
        <w:rPr>
          <w:color w:val="231F20"/>
          <w:position w:val="7"/>
          <w:sz w:val="12"/>
        </w:rPr>
        <w:t>80</w:t>
      </w:r>
      <w:r>
        <w:rPr>
          <w:color w:val="231F20"/>
        </w:rPr>
        <w:t>, interpretazione, alcune delle insolubili aporie costruttive che caratterizzano l’ordine </w:t>
      </w:r>
      <w:r>
        <w:rPr>
          <w:color w:val="231F20"/>
          <w:spacing w:val="28"/>
        </w:rPr>
        <w:t> </w:t>
      </w:r>
      <w:r>
        <w:rPr>
          <w:color w:val="231F20"/>
        </w:rPr>
        <w:t>internazionale</w:t>
      </w:r>
    </w:p>
    <w:p>
      <w:pPr>
        <w:pStyle w:val="BodyText"/>
        <w:spacing w:before="11"/>
        <w:rPr>
          <w:sz w:val="15"/>
        </w:rPr>
      </w:pPr>
      <w:r>
        <w:rPr/>
        <w:pict>
          <v:line style="position:absolute;mso-position-horizontal-relative:page;mso-position-vertical-relative:paragraph;z-index:15016;mso-wrap-distance-left:0;mso-wrap-distance-right:0" from="70.866096pt,11.706985pt" to="184.252096pt,11.706985pt" stroked="true" strokeweight=".3pt" strokecolor="#231f20">
            <w10:wrap type="topAndBottom"/>
          </v:line>
        </w:pict>
      </w:r>
    </w:p>
    <w:p>
      <w:pPr>
        <w:spacing w:line="206" w:lineRule="exact" w:before="10"/>
        <w:ind w:left="117" w:right="0" w:firstLine="0"/>
        <w:jc w:val="both"/>
        <w:rPr>
          <w:rFonts w:ascii="Calibri" w:hAnsi="Calibri"/>
          <w:sz w:val="17"/>
        </w:rPr>
      </w:pPr>
      <w:r>
        <w:rPr>
          <w:rFonts w:ascii="Calibri" w:hAnsi="Calibri"/>
          <w:color w:val="231F20"/>
          <w:position w:val="6"/>
          <w:sz w:val="10"/>
        </w:rPr>
        <w:t>75  </w:t>
      </w:r>
      <w:r>
        <w:rPr>
          <w:rFonts w:ascii="Calibri" w:hAnsi="Calibri"/>
          <w:color w:val="231F20"/>
          <w:sz w:val="17"/>
        </w:rPr>
        <w:t>Keohane, “Political authority after intervention: gradations in sovereignty”, pp.  282–283..</w:t>
      </w:r>
    </w:p>
    <w:p>
      <w:pPr>
        <w:spacing w:line="235" w:lineRule="auto" w:before="1"/>
        <w:ind w:left="117" w:right="122" w:firstLine="0"/>
        <w:jc w:val="both"/>
        <w:rPr>
          <w:rFonts w:ascii="Calibri" w:hAnsi="Calibri"/>
          <w:sz w:val="17"/>
        </w:rPr>
      </w:pPr>
      <w:r>
        <w:rPr>
          <w:rFonts w:ascii="Calibri" w:hAnsi="Calibri"/>
          <w:color w:val="231F20"/>
          <w:w w:val="105"/>
          <w:position w:val="6"/>
          <w:sz w:val="10"/>
        </w:rPr>
        <w:t>76</w:t>
      </w:r>
      <w:r>
        <w:rPr>
          <w:rFonts w:ascii="Calibri" w:hAnsi="Calibri"/>
          <w:color w:val="231F20"/>
          <w:spacing w:val="8"/>
          <w:w w:val="105"/>
          <w:position w:val="6"/>
          <w:sz w:val="10"/>
        </w:rPr>
        <w:t> </w:t>
      </w:r>
      <w:r>
        <w:rPr>
          <w:rFonts w:ascii="Calibri" w:hAnsi="Calibri"/>
          <w:color w:val="231F20"/>
          <w:w w:val="105"/>
          <w:sz w:val="17"/>
        </w:rPr>
        <w:t>J.</w:t>
      </w:r>
      <w:r>
        <w:rPr>
          <w:rFonts w:ascii="Calibri" w:hAnsi="Calibri"/>
          <w:color w:val="231F20"/>
          <w:spacing w:val="-9"/>
          <w:w w:val="105"/>
          <w:sz w:val="17"/>
        </w:rPr>
        <w:t> </w:t>
      </w:r>
      <w:r>
        <w:rPr>
          <w:rFonts w:ascii="Calibri" w:hAnsi="Calibri"/>
          <w:color w:val="231F20"/>
          <w:w w:val="105"/>
          <w:sz w:val="17"/>
        </w:rPr>
        <w:t>Mangala,</w:t>
      </w:r>
      <w:r>
        <w:rPr>
          <w:rFonts w:ascii="Calibri" w:hAnsi="Calibri"/>
          <w:color w:val="231F20"/>
          <w:spacing w:val="-9"/>
          <w:w w:val="105"/>
          <w:sz w:val="17"/>
        </w:rPr>
        <w:t> </w:t>
      </w:r>
      <w:r>
        <w:rPr>
          <w:rFonts w:ascii="Calibri" w:hAnsi="Calibri"/>
          <w:color w:val="231F20"/>
          <w:w w:val="105"/>
          <w:sz w:val="17"/>
        </w:rPr>
        <w:t>“State</w:t>
      </w:r>
      <w:r>
        <w:rPr>
          <w:rFonts w:ascii="Calibri" w:hAnsi="Calibri"/>
          <w:color w:val="231F20"/>
          <w:spacing w:val="-9"/>
          <w:w w:val="105"/>
          <w:sz w:val="17"/>
        </w:rPr>
        <w:t> </w:t>
      </w:r>
      <w:r>
        <w:rPr>
          <w:rFonts w:ascii="Calibri" w:hAnsi="Calibri"/>
          <w:color w:val="231F20"/>
          <w:w w:val="105"/>
          <w:sz w:val="17"/>
        </w:rPr>
        <w:t>Sovereignty</w:t>
      </w:r>
      <w:r>
        <w:rPr>
          <w:rFonts w:ascii="Calibri" w:hAnsi="Calibri"/>
          <w:color w:val="231F20"/>
          <w:spacing w:val="-9"/>
          <w:w w:val="105"/>
          <w:sz w:val="17"/>
        </w:rPr>
        <w:t> </w:t>
      </w:r>
      <w:r>
        <w:rPr>
          <w:rFonts w:ascii="Calibri" w:hAnsi="Calibri"/>
          <w:color w:val="231F20"/>
          <w:w w:val="105"/>
          <w:sz w:val="17"/>
        </w:rPr>
        <w:t>and</w:t>
      </w:r>
      <w:r>
        <w:rPr>
          <w:rFonts w:ascii="Calibri" w:hAnsi="Calibri"/>
          <w:color w:val="231F20"/>
          <w:spacing w:val="-9"/>
          <w:w w:val="105"/>
          <w:sz w:val="17"/>
        </w:rPr>
        <w:t> </w:t>
      </w:r>
      <w:r>
        <w:rPr>
          <w:rFonts w:ascii="Calibri" w:hAnsi="Calibri"/>
          <w:color w:val="231F20"/>
          <w:w w:val="105"/>
          <w:sz w:val="17"/>
        </w:rPr>
        <w:t>the</w:t>
      </w:r>
      <w:r>
        <w:rPr>
          <w:rFonts w:ascii="Calibri" w:hAnsi="Calibri"/>
          <w:color w:val="231F20"/>
          <w:spacing w:val="-9"/>
          <w:w w:val="105"/>
          <w:sz w:val="17"/>
        </w:rPr>
        <w:t> </w:t>
      </w:r>
      <w:r>
        <w:rPr>
          <w:rFonts w:ascii="Calibri" w:hAnsi="Calibri"/>
          <w:color w:val="231F20"/>
          <w:w w:val="105"/>
          <w:sz w:val="17"/>
        </w:rPr>
        <w:t>New</w:t>
      </w:r>
      <w:r>
        <w:rPr>
          <w:rFonts w:ascii="Calibri" w:hAnsi="Calibri"/>
          <w:color w:val="231F20"/>
          <w:spacing w:val="-9"/>
          <w:w w:val="105"/>
          <w:sz w:val="17"/>
        </w:rPr>
        <w:t> </w:t>
      </w:r>
      <w:r>
        <w:rPr>
          <w:rFonts w:ascii="Calibri" w:hAnsi="Calibri"/>
          <w:color w:val="231F20"/>
          <w:w w:val="105"/>
          <w:sz w:val="17"/>
        </w:rPr>
        <w:t>Globalization</w:t>
      </w:r>
      <w:r>
        <w:rPr>
          <w:rFonts w:ascii="Calibri" w:hAnsi="Calibri"/>
          <w:color w:val="231F20"/>
          <w:spacing w:val="-9"/>
          <w:w w:val="105"/>
          <w:sz w:val="17"/>
        </w:rPr>
        <w:t> </w:t>
      </w:r>
      <w:r>
        <w:rPr>
          <w:rFonts w:ascii="Calibri" w:hAnsi="Calibri"/>
          <w:color w:val="231F20"/>
          <w:w w:val="105"/>
          <w:sz w:val="17"/>
        </w:rPr>
        <w:t>in</w:t>
      </w:r>
      <w:r>
        <w:rPr>
          <w:rFonts w:ascii="Calibri" w:hAnsi="Calibri"/>
          <w:color w:val="231F20"/>
          <w:spacing w:val="-9"/>
          <w:w w:val="105"/>
          <w:sz w:val="17"/>
        </w:rPr>
        <w:t> </w:t>
      </w:r>
      <w:r>
        <w:rPr>
          <w:rFonts w:ascii="Calibri" w:hAnsi="Calibri"/>
          <w:color w:val="231F20"/>
          <w:w w:val="105"/>
          <w:sz w:val="17"/>
        </w:rPr>
        <w:t>Africa”,</w:t>
      </w:r>
      <w:r>
        <w:rPr>
          <w:rFonts w:ascii="Calibri" w:hAnsi="Calibri"/>
          <w:color w:val="231F20"/>
          <w:spacing w:val="-9"/>
          <w:w w:val="105"/>
          <w:sz w:val="17"/>
        </w:rPr>
        <w:t> </w:t>
      </w:r>
      <w:r>
        <w:rPr>
          <w:rFonts w:ascii="Calibri" w:hAnsi="Calibri"/>
          <w:color w:val="231F20"/>
          <w:w w:val="105"/>
          <w:sz w:val="17"/>
        </w:rPr>
        <w:t>G.</w:t>
      </w:r>
      <w:r>
        <w:rPr>
          <w:rFonts w:ascii="Calibri" w:hAnsi="Calibri"/>
          <w:color w:val="231F20"/>
          <w:spacing w:val="-9"/>
          <w:w w:val="105"/>
          <w:sz w:val="17"/>
        </w:rPr>
        <w:t> </w:t>
      </w:r>
      <w:r>
        <w:rPr>
          <w:rFonts w:ascii="Calibri" w:hAnsi="Calibri"/>
          <w:color w:val="231F20"/>
          <w:w w:val="105"/>
          <w:sz w:val="17"/>
        </w:rPr>
        <w:t>Klay</w:t>
      </w:r>
      <w:r>
        <w:rPr>
          <w:rFonts w:ascii="Calibri" w:hAnsi="Calibri"/>
          <w:color w:val="231F20"/>
          <w:spacing w:val="-9"/>
          <w:w w:val="105"/>
          <w:sz w:val="17"/>
        </w:rPr>
        <w:t> </w:t>
      </w:r>
      <w:r>
        <w:rPr>
          <w:rFonts w:ascii="Calibri" w:hAnsi="Calibri"/>
          <w:color w:val="231F20"/>
          <w:w w:val="105"/>
          <w:sz w:val="17"/>
        </w:rPr>
        <w:t>Kieh</w:t>
      </w:r>
      <w:r>
        <w:rPr>
          <w:rFonts w:ascii="Calibri" w:hAnsi="Calibri"/>
          <w:color w:val="231F20"/>
          <w:spacing w:val="-9"/>
          <w:w w:val="105"/>
          <w:sz w:val="17"/>
        </w:rPr>
        <w:t> </w:t>
      </w:r>
      <w:r>
        <w:rPr>
          <w:rFonts w:ascii="Calibri" w:hAnsi="Calibri"/>
          <w:color w:val="231F20"/>
          <w:spacing w:val="-4"/>
          <w:w w:val="105"/>
          <w:sz w:val="17"/>
        </w:rPr>
        <w:t>Jr.</w:t>
      </w:r>
      <w:r>
        <w:rPr>
          <w:rFonts w:ascii="Calibri" w:hAnsi="Calibri"/>
          <w:color w:val="231F20"/>
          <w:spacing w:val="-9"/>
          <w:w w:val="105"/>
          <w:sz w:val="17"/>
        </w:rPr>
        <w:t> </w:t>
      </w:r>
      <w:r>
        <w:rPr>
          <w:rFonts w:ascii="Calibri" w:hAnsi="Calibri"/>
          <w:color w:val="231F20"/>
          <w:w w:val="105"/>
          <w:sz w:val="17"/>
        </w:rPr>
        <w:t>(Ed.),</w:t>
      </w:r>
      <w:r>
        <w:rPr>
          <w:rFonts w:ascii="Calibri" w:hAnsi="Calibri"/>
          <w:color w:val="231F20"/>
          <w:spacing w:val="-9"/>
          <w:w w:val="105"/>
          <w:sz w:val="17"/>
        </w:rPr>
        <w:t> </w:t>
      </w:r>
      <w:r>
        <w:rPr>
          <w:rFonts w:ascii="Calibri" w:hAnsi="Calibri"/>
          <w:i/>
          <w:color w:val="231F20"/>
          <w:w w:val="105"/>
          <w:sz w:val="17"/>
        </w:rPr>
        <w:t>Africa </w:t>
      </w:r>
      <w:r>
        <w:rPr>
          <w:rFonts w:ascii="Calibri" w:hAnsi="Calibri"/>
          <w:i/>
          <w:color w:val="231F20"/>
          <w:w w:val="105"/>
          <w:sz w:val="17"/>
        </w:rPr>
        <w:t>and</w:t>
      </w:r>
      <w:r>
        <w:rPr>
          <w:rFonts w:ascii="Calibri" w:hAnsi="Calibri"/>
          <w:i/>
          <w:color w:val="231F20"/>
          <w:spacing w:val="-18"/>
          <w:w w:val="105"/>
          <w:sz w:val="17"/>
        </w:rPr>
        <w:t> </w:t>
      </w:r>
      <w:r>
        <w:rPr>
          <w:rFonts w:ascii="Calibri" w:hAnsi="Calibri"/>
          <w:i/>
          <w:color w:val="231F20"/>
          <w:w w:val="105"/>
          <w:sz w:val="17"/>
        </w:rPr>
        <w:t>the</w:t>
      </w:r>
      <w:r>
        <w:rPr>
          <w:rFonts w:ascii="Calibri" w:hAnsi="Calibri"/>
          <w:i/>
          <w:color w:val="231F20"/>
          <w:spacing w:val="-18"/>
          <w:w w:val="105"/>
          <w:sz w:val="17"/>
        </w:rPr>
        <w:t> </w:t>
      </w:r>
      <w:r>
        <w:rPr>
          <w:rFonts w:ascii="Calibri" w:hAnsi="Calibri"/>
          <w:i/>
          <w:color w:val="231F20"/>
          <w:w w:val="105"/>
          <w:sz w:val="17"/>
        </w:rPr>
        <w:t>New</w:t>
      </w:r>
      <w:r>
        <w:rPr>
          <w:rFonts w:ascii="Calibri" w:hAnsi="Calibri"/>
          <w:i/>
          <w:color w:val="231F20"/>
          <w:spacing w:val="-18"/>
          <w:w w:val="105"/>
          <w:sz w:val="17"/>
        </w:rPr>
        <w:t> </w:t>
      </w:r>
      <w:r>
        <w:rPr>
          <w:rFonts w:ascii="Calibri" w:hAnsi="Calibri"/>
          <w:i/>
          <w:color w:val="231F20"/>
          <w:w w:val="105"/>
          <w:sz w:val="17"/>
        </w:rPr>
        <w:t>Globalization</w:t>
      </w:r>
      <w:r>
        <w:rPr>
          <w:rFonts w:ascii="Calibri" w:hAnsi="Calibri"/>
          <w:color w:val="231F20"/>
          <w:w w:val="105"/>
          <w:sz w:val="17"/>
        </w:rPr>
        <w:t>,</w:t>
      </w:r>
      <w:r>
        <w:rPr>
          <w:rFonts w:ascii="Calibri" w:hAnsi="Calibri"/>
          <w:color w:val="231F20"/>
          <w:spacing w:val="-17"/>
          <w:w w:val="105"/>
          <w:sz w:val="17"/>
        </w:rPr>
        <w:t> </w:t>
      </w:r>
      <w:r>
        <w:rPr>
          <w:rFonts w:ascii="Calibri" w:hAnsi="Calibri"/>
          <w:color w:val="231F20"/>
          <w:w w:val="105"/>
          <w:sz w:val="17"/>
        </w:rPr>
        <w:t>Aldershot/Burlington,</w:t>
      </w:r>
      <w:r>
        <w:rPr>
          <w:rFonts w:ascii="Calibri" w:hAnsi="Calibri"/>
          <w:color w:val="231F20"/>
          <w:spacing w:val="-17"/>
          <w:w w:val="105"/>
          <w:sz w:val="17"/>
        </w:rPr>
        <w:t> </w:t>
      </w:r>
      <w:r>
        <w:rPr>
          <w:rFonts w:ascii="Calibri" w:hAnsi="Calibri"/>
          <w:color w:val="231F20"/>
          <w:w w:val="105"/>
          <w:sz w:val="17"/>
        </w:rPr>
        <w:t>2008,</w:t>
      </w:r>
      <w:r>
        <w:rPr>
          <w:rFonts w:ascii="Calibri" w:hAnsi="Calibri"/>
          <w:color w:val="231F20"/>
          <w:spacing w:val="-17"/>
          <w:w w:val="105"/>
          <w:sz w:val="17"/>
        </w:rPr>
        <w:t> </w:t>
      </w:r>
      <w:r>
        <w:rPr>
          <w:rFonts w:ascii="Calibri" w:hAnsi="Calibri"/>
          <w:color w:val="231F20"/>
          <w:w w:val="105"/>
          <w:sz w:val="17"/>
        </w:rPr>
        <w:t>p.</w:t>
      </w:r>
      <w:r>
        <w:rPr>
          <w:rFonts w:ascii="Calibri" w:hAnsi="Calibri"/>
          <w:color w:val="231F20"/>
          <w:spacing w:val="-17"/>
          <w:w w:val="105"/>
          <w:sz w:val="17"/>
        </w:rPr>
        <w:t> </w:t>
      </w:r>
      <w:r>
        <w:rPr>
          <w:rFonts w:ascii="Calibri" w:hAnsi="Calibri"/>
          <w:color w:val="231F20"/>
          <w:w w:val="105"/>
          <w:sz w:val="17"/>
        </w:rPr>
        <w:t>106.</w:t>
      </w:r>
      <w:r>
        <w:rPr>
          <w:rFonts w:ascii="Calibri" w:hAnsi="Calibri"/>
          <w:color w:val="231F20"/>
          <w:spacing w:val="-17"/>
          <w:w w:val="105"/>
          <w:sz w:val="17"/>
        </w:rPr>
        <w:t> </w:t>
      </w:r>
      <w:r>
        <w:rPr>
          <w:rFonts w:ascii="Calibri" w:hAnsi="Calibri"/>
          <w:color w:val="231F20"/>
          <w:w w:val="105"/>
          <w:sz w:val="17"/>
        </w:rPr>
        <w:t>Ma</w:t>
      </w:r>
      <w:r>
        <w:rPr>
          <w:rFonts w:ascii="Calibri" w:hAnsi="Calibri"/>
          <w:color w:val="231F20"/>
          <w:spacing w:val="-17"/>
          <w:w w:val="105"/>
          <w:sz w:val="17"/>
        </w:rPr>
        <w:t> </w:t>
      </w:r>
      <w:r>
        <w:rPr>
          <w:rFonts w:ascii="Calibri" w:hAnsi="Calibri"/>
          <w:color w:val="231F20"/>
          <w:w w:val="105"/>
          <w:sz w:val="17"/>
        </w:rPr>
        <w:t>per</w:t>
      </w:r>
      <w:r>
        <w:rPr>
          <w:rFonts w:ascii="Calibri" w:hAnsi="Calibri"/>
          <w:color w:val="231F20"/>
          <w:spacing w:val="-17"/>
          <w:w w:val="105"/>
          <w:sz w:val="17"/>
        </w:rPr>
        <w:t> </w:t>
      </w:r>
      <w:r>
        <w:rPr>
          <w:rFonts w:ascii="Calibri" w:hAnsi="Calibri"/>
          <w:color w:val="231F20"/>
          <w:w w:val="105"/>
          <w:sz w:val="17"/>
        </w:rPr>
        <w:t>un’esauriente</w:t>
      </w:r>
      <w:r>
        <w:rPr>
          <w:rFonts w:ascii="Calibri" w:hAnsi="Calibri"/>
          <w:color w:val="231F20"/>
          <w:spacing w:val="-17"/>
          <w:w w:val="105"/>
          <w:sz w:val="17"/>
        </w:rPr>
        <w:t> </w:t>
      </w:r>
      <w:r>
        <w:rPr>
          <w:rFonts w:ascii="Calibri" w:hAnsi="Calibri"/>
          <w:color w:val="231F20"/>
          <w:w w:val="105"/>
          <w:sz w:val="17"/>
        </w:rPr>
        <w:t>ricognizione del</w:t>
      </w:r>
      <w:r>
        <w:rPr>
          <w:rFonts w:ascii="Calibri" w:hAnsi="Calibri"/>
          <w:color w:val="231F20"/>
          <w:spacing w:val="-14"/>
          <w:w w:val="105"/>
          <w:sz w:val="17"/>
        </w:rPr>
        <w:t> </w:t>
      </w:r>
      <w:r>
        <w:rPr>
          <w:rFonts w:ascii="Calibri" w:hAnsi="Calibri"/>
          <w:color w:val="231F20"/>
          <w:w w:val="105"/>
          <w:sz w:val="17"/>
        </w:rPr>
        <w:t>“lessico</w:t>
      </w:r>
      <w:r>
        <w:rPr>
          <w:rFonts w:ascii="Calibri" w:hAnsi="Calibri"/>
          <w:color w:val="231F20"/>
          <w:spacing w:val="-14"/>
          <w:w w:val="105"/>
          <w:sz w:val="17"/>
        </w:rPr>
        <w:t> </w:t>
      </w:r>
      <w:r>
        <w:rPr>
          <w:rFonts w:ascii="Calibri" w:hAnsi="Calibri"/>
          <w:color w:val="231F20"/>
          <w:w w:val="105"/>
          <w:sz w:val="17"/>
        </w:rPr>
        <w:t>sempre</w:t>
      </w:r>
      <w:r>
        <w:rPr>
          <w:rFonts w:ascii="Calibri" w:hAnsi="Calibri"/>
          <w:color w:val="231F20"/>
          <w:spacing w:val="-14"/>
          <w:w w:val="105"/>
          <w:sz w:val="17"/>
        </w:rPr>
        <w:t> </w:t>
      </w:r>
      <w:r>
        <w:rPr>
          <w:rFonts w:ascii="Calibri" w:hAnsi="Calibri"/>
          <w:color w:val="231F20"/>
          <w:w w:val="105"/>
          <w:sz w:val="17"/>
        </w:rPr>
        <w:t>più</w:t>
      </w:r>
      <w:r>
        <w:rPr>
          <w:rFonts w:ascii="Calibri" w:hAnsi="Calibri"/>
          <w:color w:val="231F20"/>
          <w:spacing w:val="-14"/>
          <w:w w:val="105"/>
          <w:sz w:val="17"/>
        </w:rPr>
        <w:t> </w:t>
      </w:r>
      <w:r>
        <w:rPr>
          <w:rFonts w:ascii="Calibri" w:hAnsi="Calibri"/>
          <w:color w:val="231F20"/>
          <w:w w:val="105"/>
          <w:sz w:val="17"/>
        </w:rPr>
        <w:t>colorito”</w:t>
      </w:r>
      <w:r>
        <w:rPr>
          <w:rFonts w:ascii="Calibri" w:hAnsi="Calibri"/>
          <w:color w:val="231F20"/>
          <w:spacing w:val="-14"/>
          <w:w w:val="105"/>
          <w:sz w:val="17"/>
        </w:rPr>
        <w:t> </w:t>
      </w:r>
      <w:r>
        <w:rPr>
          <w:rFonts w:ascii="Calibri" w:hAnsi="Calibri"/>
          <w:color w:val="231F20"/>
          <w:w w:val="105"/>
          <w:sz w:val="17"/>
        </w:rPr>
        <w:t>della</w:t>
      </w:r>
      <w:r>
        <w:rPr>
          <w:rFonts w:ascii="Calibri" w:hAnsi="Calibri"/>
          <w:color w:val="231F20"/>
          <w:spacing w:val="-14"/>
          <w:w w:val="105"/>
          <w:sz w:val="17"/>
        </w:rPr>
        <w:t> </w:t>
      </w:r>
      <w:r>
        <w:rPr>
          <w:rFonts w:ascii="Calibri" w:hAnsi="Calibri"/>
          <w:color w:val="231F20"/>
          <w:w w:val="105"/>
          <w:sz w:val="17"/>
        </w:rPr>
        <w:t>sovranità</w:t>
      </w:r>
      <w:r>
        <w:rPr>
          <w:rFonts w:ascii="Calibri" w:hAnsi="Calibri"/>
          <w:color w:val="231F20"/>
          <w:spacing w:val="-14"/>
          <w:w w:val="105"/>
          <w:sz w:val="17"/>
        </w:rPr>
        <w:t> </w:t>
      </w:r>
      <w:r>
        <w:rPr>
          <w:rFonts w:ascii="Calibri" w:hAnsi="Calibri"/>
          <w:color w:val="231F20"/>
          <w:w w:val="105"/>
          <w:sz w:val="17"/>
        </w:rPr>
        <w:t>prodotto</w:t>
      </w:r>
      <w:r>
        <w:rPr>
          <w:rFonts w:ascii="Calibri" w:hAnsi="Calibri"/>
          <w:color w:val="231F20"/>
          <w:spacing w:val="-14"/>
          <w:w w:val="105"/>
          <w:sz w:val="17"/>
        </w:rPr>
        <w:t> </w:t>
      </w:r>
      <w:r>
        <w:rPr>
          <w:rFonts w:ascii="Calibri" w:hAnsi="Calibri"/>
          <w:color w:val="231F20"/>
          <w:w w:val="105"/>
          <w:sz w:val="17"/>
        </w:rPr>
        <w:t>dal</w:t>
      </w:r>
      <w:r>
        <w:rPr>
          <w:rFonts w:ascii="Calibri" w:hAnsi="Calibri"/>
          <w:color w:val="231F20"/>
          <w:spacing w:val="-14"/>
          <w:w w:val="105"/>
          <w:sz w:val="17"/>
        </w:rPr>
        <w:t> </w:t>
      </w:r>
      <w:r>
        <w:rPr>
          <w:rFonts w:ascii="Calibri" w:hAnsi="Calibri"/>
          <w:color w:val="231F20"/>
          <w:w w:val="105"/>
          <w:sz w:val="17"/>
        </w:rPr>
        <w:t>recente</w:t>
      </w:r>
      <w:r>
        <w:rPr>
          <w:rFonts w:ascii="Calibri" w:hAnsi="Calibri"/>
          <w:color w:val="231F20"/>
          <w:spacing w:val="-14"/>
          <w:w w:val="105"/>
          <w:sz w:val="17"/>
        </w:rPr>
        <w:t> </w:t>
      </w:r>
      <w:r>
        <w:rPr>
          <w:rFonts w:ascii="Calibri" w:hAnsi="Calibri"/>
          <w:color w:val="231F20"/>
          <w:w w:val="105"/>
          <w:sz w:val="17"/>
        </w:rPr>
        <w:t>dibattito</w:t>
      </w:r>
      <w:r>
        <w:rPr>
          <w:rFonts w:ascii="Calibri" w:hAnsi="Calibri"/>
          <w:color w:val="231F20"/>
          <w:spacing w:val="-14"/>
          <w:w w:val="105"/>
          <w:sz w:val="17"/>
        </w:rPr>
        <w:t> </w:t>
      </w:r>
      <w:r>
        <w:rPr>
          <w:rFonts w:ascii="Calibri" w:hAnsi="Calibri"/>
          <w:color w:val="231F20"/>
          <w:w w:val="105"/>
          <w:sz w:val="17"/>
        </w:rPr>
        <w:t>sul</w:t>
      </w:r>
      <w:r>
        <w:rPr>
          <w:rFonts w:ascii="Calibri" w:hAnsi="Calibri"/>
          <w:color w:val="231F20"/>
          <w:spacing w:val="-14"/>
          <w:w w:val="105"/>
          <w:sz w:val="17"/>
        </w:rPr>
        <w:t> </w:t>
      </w:r>
      <w:r>
        <w:rPr>
          <w:rFonts w:ascii="Calibri" w:hAnsi="Calibri"/>
          <w:color w:val="231F20"/>
          <w:w w:val="105"/>
          <w:sz w:val="17"/>
        </w:rPr>
        <w:t>tema</w:t>
      </w:r>
      <w:r>
        <w:rPr>
          <w:rFonts w:ascii="Calibri" w:hAnsi="Calibri"/>
          <w:color w:val="231F20"/>
          <w:spacing w:val="-14"/>
          <w:w w:val="105"/>
          <w:sz w:val="17"/>
        </w:rPr>
        <w:t> </w:t>
      </w:r>
      <w:r>
        <w:rPr>
          <w:rFonts w:ascii="Calibri" w:hAnsi="Calibri"/>
          <w:color w:val="231F20"/>
          <w:w w:val="105"/>
          <w:sz w:val="17"/>
        </w:rPr>
        <w:t>si</w:t>
      </w:r>
      <w:r>
        <w:rPr>
          <w:rFonts w:ascii="Calibri" w:hAnsi="Calibri"/>
          <w:color w:val="231F20"/>
          <w:spacing w:val="-16"/>
          <w:w w:val="105"/>
          <w:sz w:val="17"/>
        </w:rPr>
        <w:t> </w:t>
      </w:r>
      <w:r>
        <w:rPr>
          <w:rFonts w:ascii="Calibri" w:hAnsi="Calibri"/>
          <w:color w:val="231F20"/>
          <w:w w:val="105"/>
          <w:sz w:val="17"/>
        </w:rPr>
        <w:t>veda</w:t>
      </w:r>
      <w:r>
        <w:rPr>
          <w:rFonts w:ascii="Calibri" w:hAnsi="Calibri"/>
          <w:color w:val="231F20"/>
          <w:spacing w:val="-14"/>
          <w:w w:val="105"/>
          <w:sz w:val="17"/>
        </w:rPr>
        <w:t> </w:t>
      </w:r>
      <w:r>
        <w:rPr>
          <w:rFonts w:ascii="Calibri" w:hAnsi="Calibri"/>
          <w:color w:val="231F20"/>
          <w:w w:val="105"/>
          <w:sz w:val="17"/>
        </w:rPr>
        <w:t>M. Loughlin,</w:t>
      </w:r>
      <w:r>
        <w:rPr>
          <w:rFonts w:ascii="Calibri" w:hAnsi="Calibri"/>
          <w:color w:val="231F20"/>
          <w:spacing w:val="-9"/>
          <w:w w:val="105"/>
          <w:sz w:val="17"/>
        </w:rPr>
        <w:t> </w:t>
      </w:r>
      <w:r>
        <w:rPr>
          <w:rFonts w:ascii="Calibri" w:hAnsi="Calibri"/>
          <w:color w:val="231F20"/>
          <w:w w:val="105"/>
          <w:sz w:val="17"/>
        </w:rPr>
        <w:t>“Why</w:t>
      </w:r>
      <w:r>
        <w:rPr>
          <w:rFonts w:ascii="Calibri" w:hAnsi="Calibri"/>
          <w:color w:val="231F20"/>
          <w:spacing w:val="-9"/>
          <w:w w:val="105"/>
          <w:sz w:val="17"/>
        </w:rPr>
        <w:t> </w:t>
      </w:r>
      <w:r>
        <w:rPr>
          <w:rFonts w:ascii="Calibri" w:hAnsi="Calibri"/>
          <w:color w:val="231F20"/>
          <w:w w:val="105"/>
          <w:sz w:val="17"/>
        </w:rPr>
        <w:t>Sovereignty?”,</w:t>
      </w:r>
      <w:r>
        <w:rPr>
          <w:rFonts w:ascii="Calibri" w:hAnsi="Calibri"/>
          <w:color w:val="231F20"/>
          <w:spacing w:val="-9"/>
          <w:w w:val="105"/>
          <w:sz w:val="17"/>
        </w:rPr>
        <w:t> </w:t>
      </w:r>
      <w:r>
        <w:rPr>
          <w:rFonts w:ascii="Calibri" w:hAnsi="Calibri"/>
          <w:color w:val="231F20"/>
          <w:w w:val="105"/>
          <w:sz w:val="17"/>
        </w:rPr>
        <w:t>R.</w:t>
      </w:r>
      <w:r>
        <w:rPr>
          <w:rFonts w:ascii="Calibri" w:hAnsi="Calibri"/>
          <w:color w:val="231F20"/>
          <w:spacing w:val="-9"/>
          <w:w w:val="105"/>
          <w:sz w:val="17"/>
        </w:rPr>
        <w:t> </w:t>
      </w:r>
      <w:r>
        <w:rPr>
          <w:rFonts w:ascii="Calibri" w:hAnsi="Calibri"/>
          <w:color w:val="231F20"/>
          <w:w w:val="105"/>
          <w:sz w:val="17"/>
        </w:rPr>
        <w:t>Rawlings,</w:t>
      </w:r>
      <w:r>
        <w:rPr>
          <w:rFonts w:ascii="Calibri" w:hAnsi="Calibri"/>
          <w:color w:val="231F20"/>
          <w:spacing w:val="-9"/>
          <w:w w:val="105"/>
          <w:sz w:val="17"/>
        </w:rPr>
        <w:t> </w:t>
      </w:r>
      <w:r>
        <w:rPr>
          <w:rFonts w:ascii="Calibri" w:hAnsi="Calibri"/>
          <w:color w:val="231F20"/>
          <w:spacing w:val="-10"/>
          <w:w w:val="105"/>
          <w:sz w:val="17"/>
        </w:rPr>
        <w:t>P.</w:t>
      </w:r>
      <w:r>
        <w:rPr>
          <w:rFonts w:ascii="Calibri" w:hAnsi="Calibri"/>
          <w:color w:val="231F20"/>
          <w:spacing w:val="-9"/>
          <w:w w:val="105"/>
          <w:sz w:val="17"/>
        </w:rPr>
        <w:t> </w:t>
      </w:r>
      <w:r>
        <w:rPr>
          <w:rFonts w:ascii="Calibri" w:hAnsi="Calibri"/>
          <w:color w:val="231F20"/>
          <w:w w:val="105"/>
          <w:sz w:val="17"/>
        </w:rPr>
        <w:t>Leyland</w:t>
      </w:r>
      <w:r>
        <w:rPr>
          <w:rFonts w:ascii="Calibri" w:hAnsi="Calibri"/>
          <w:color w:val="231F20"/>
          <w:spacing w:val="-9"/>
          <w:w w:val="105"/>
          <w:sz w:val="17"/>
        </w:rPr>
        <w:t> </w:t>
      </w:r>
      <w:r>
        <w:rPr>
          <w:rFonts w:ascii="Calibri" w:hAnsi="Calibri"/>
          <w:color w:val="231F20"/>
          <w:w w:val="105"/>
          <w:sz w:val="17"/>
        </w:rPr>
        <w:t>y</w:t>
      </w:r>
      <w:r>
        <w:rPr>
          <w:rFonts w:ascii="Calibri" w:hAnsi="Calibri"/>
          <w:color w:val="231F20"/>
          <w:spacing w:val="-9"/>
          <w:w w:val="105"/>
          <w:sz w:val="17"/>
        </w:rPr>
        <w:t> </w:t>
      </w:r>
      <w:r>
        <w:rPr>
          <w:rFonts w:ascii="Calibri" w:hAnsi="Calibri"/>
          <w:color w:val="231F20"/>
          <w:w w:val="105"/>
          <w:sz w:val="17"/>
        </w:rPr>
        <w:t>A.</w:t>
      </w:r>
      <w:r>
        <w:rPr>
          <w:rFonts w:ascii="Calibri" w:hAnsi="Calibri"/>
          <w:color w:val="231F20"/>
          <w:spacing w:val="-11"/>
          <w:w w:val="105"/>
          <w:sz w:val="17"/>
        </w:rPr>
        <w:t> </w:t>
      </w:r>
      <w:r>
        <w:rPr>
          <w:rFonts w:ascii="Calibri" w:hAnsi="Calibri"/>
          <w:color w:val="231F20"/>
          <w:w w:val="105"/>
          <w:sz w:val="17"/>
        </w:rPr>
        <w:t>Young</w:t>
      </w:r>
      <w:r>
        <w:rPr>
          <w:rFonts w:ascii="Calibri" w:hAnsi="Calibri"/>
          <w:color w:val="231F20"/>
          <w:spacing w:val="-9"/>
          <w:w w:val="105"/>
          <w:sz w:val="17"/>
        </w:rPr>
        <w:t> </w:t>
      </w:r>
      <w:r>
        <w:rPr>
          <w:rFonts w:ascii="Calibri" w:hAnsi="Calibri"/>
          <w:color w:val="231F20"/>
          <w:w w:val="105"/>
          <w:sz w:val="17"/>
        </w:rPr>
        <w:t>(Eds.),</w:t>
      </w:r>
      <w:r>
        <w:rPr>
          <w:rFonts w:ascii="Calibri" w:hAnsi="Calibri"/>
          <w:color w:val="231F20"/>
          <w:spacing w:val="-8"/>
          <w:w w:val="105"/>
          <w:sz w:val="17"/>
        </w:rPr>
        <w:t> </w:t>
      </w:r>
      <w:r>
        <w:rPr>
          <w:rFonts w:ascii="Calibri" w:hAnsi="Calibri"/>
          <w:i/>
          <w:color w:val="231F20"/>
          <w:w w:val="105"/>
          <w:sz w:val="17"/>
        </w:rPr>
        <w:t>Sovereignty</w:t>
      </w:r>
      <w:r>
        <w:rPr>
          <w:rFonts w:ascii="Calibri" w:hAnsi="Calibri"/>
          <w:i/>
          <w:color w:val="231F20"/>
          <w:spacing w:val="-9"/>
          <w:w w:val="105"/>
          <w:sz w:val="17"/>
        </w:rPr>
        <w:t> </w:t>
      </w:r>
      <w:r>
        <w:rPr>
          <w:rFonts w:ascii="Calibri" w:hAnsi="Calibri"/>
          <w:i/>
          <w:color w:val="231F20"/>
          <w:w w:val="105"/>
          <w:sz w:val="17"/>
        </w:rPr>
        <w:t>and</w:t>
      </w:r>
      <w:r>
        <w:rPr>
          <w:rFonts w:ascii="Calibri" w:hAnsi="Calibri"/>
          <w:i/>
          <w:color w:val="231F20"/>
          <w:spacing w:val="-9"/>
          <w:w w:val="105"/>
          <w:sz w:val="17"/>
        </w:rPr>
        <w:t> </w:t>
      </w:r>
      <w:r>
        <w:rPr>
          <w:rFonts w:ascii="Calibri" w:hAnsi="Calibri"/>
          <w:i/>
          <w:color w:val="231F20"/>
          <w:w w:val="105"/>
          <w:sz w:val="17"/>
        </w:rPr>
        <w:t>the</w:t>
      </w:r>
      <w:r>
        <w:rPr>
          <w:rFonts w:ascii="Calibri" w:hAnsi="Calibri"/>
          <w:i/>
          <w:color w:val="231F20"/>
          <w:spacing w:val="-9"/>
          <w:w w:val="105"/>
          <w:sz w:val="17"/>
        </w:rPr>
        <w:t> </w:t>
      </w:r>
      <w:r>
        <w:rPr>
          <w:rFonts w:ascii="Calibri" w:hAnsi="Calibri"/>
          <w:i/>
          <w:color w:val="231F20"/>
          <w:w w:val="105"/>
          <w:sz w:val="17"/>
        </w:rPr>
        <w:t>Law: </w:t>
      </w:r>
      <w:r>
        <w:rPr>
          <w:rFonts w:ascii="Calibri" w:hAnsi="Calibri"/>
          <w:i/>
          <w:color w:val="231F20"/>
          <w:sz w:val="17"/>
        </w:rPr>
        <w:t>Domestic,</w:t>
      </w:r>
      <w:r>
        <w:rPr>
          <w:rFonts w:ascii="Calibri" w:hAnsi="Calibri"/>
          <w:i/>
          <w:color w:val="231F20"/>
          <w:spacing w:val="-10"/>
          <w:sz w:val="17"/>
        </w:rPr>
        <w:t> </w:t>
      </w:r>
      <w:r>
        <w:rPr>
          <w:rFonts w:ascii="Calibri" w:hAnsi="Calibri"/>
          <w:i/>
          <w:color w:val="231F20"/>
          <w:sz w:val="17"/>
        </w:rPr>
        <w:t>European</w:t>
      </w:r>
      <w:r>
        <w:rPr>
          <w:rFonts w:ascii="Calibri" w:hAnsi="Calibri"/>
          <w:i/>
          <w:color w:val="231F20"/>
          <w:spacing w:val="-10"/>
          <w:sz w:val="17"/>
        </w:rPr>
        <w:t> </w:t>
      </w:r>
      <w:r>
        <w:rPr>
          <w:rFonts w:ascii="Calibri" w:hAnsi="Calibri"/>
          <w:i/>
          <w:color w:val="231F20"/>
          <w:sz w:val="17"/>
        </w:rPr>
        <w:t>and</w:t>
      </w:r>
      <w:r>
        <w:rPr>
          <w:rFonts w:ascii="Calibri" w:hAnsi="Calibri"/>
          <w:i/>
          <w:color w:val="231F20"/>
          <w:spacing w:val="-10"/>
          <w:sz w:val="17"/>
        </w:rPr>
        <w:t> </w:t>
      </w:r>
      <w:r>
        <w:rPr>
          <w:rFonts w:ascii="Calibri" w:hAnsi="Calibri"/>
          <w:i/>
          <w:color w:val="231F20"/>
          <w:sz w:val="17"/>
        </w:rPr>
        <w:t>International</w:t>
      </w:r>
      <w:r>
        <w:rPr>
          <w:rFonts w:ascii="Calibri" w:hAnsi="Calibri"/>
          <w:i/>
          <w:color w:val="231F20"/>
          <w:spacing w:val="-10"/>
          <w:sz w:val="17"/>
        </w:rPr>
        <w:t> </w:t>
      </w:r>
      <w:r>
        <w:rPr>
          <w:rFonts w:ascii="Calibri" w:hAnsi="Calibri"/>
          <w:i/>
          <w:color w:val="231F20"/>
          <w:sz w:val="17"/>
        </w:rPr>
        <w:t>Perspectives</w:t>
      </w:r>
      <w:r>
        <w:rPr>
          <w:rFonts w:ascii="Calibri" w:hAnsi="Calibri"/>
          <w:color w:val="231F20"/>
          <w:sz w:val="17"/>
        </w:rPr>
        <w:t>,</w:t>
      </w:r>
      <w:r>
        <w:rPr>
          <w:rFonts w:ascii="Calibri" w:hAnsi="Calibri"/>
          <w:color w:val="231F20"/>
          <w:spacing w:val="-9"/>
          <w:sz w:val="17"/>
        </w:rPr>
        <w:t> </w:t>
      </w:r>
      <w:r>
        <w:rPr>
          <w:rFonts w:ascii="Calibri" w:hAnsi="Calibri"/>
          <w:color w:val="231F20"/>
          <w:sz w:val="17"/>
        </w:rPr>
        <w:t>Oxford,</w:t>
      </w:r>
      <w:r>
        <w:rPr>
          <w:rFonts w:ascii="Calibri" w:hAnsi="Calibri"/>
          <w:color w:val="231F20"/>
          <w:spacing w:val="-9"/>
          <w:sz w:val="17"/>
        </w:rPr>
        <w:t> </w:t>
      </w:r>
      <w:r>
        <w:rPr>
          <w:rFonts w:ascii="Calibri" w:hAnsi="Calibri"/>
          <w:color w:val="231F20"/>
          <w:sz w:val="17"/>
        </w:rPr>
        <w:t>Oxford</w:t>
      </w:r>
      <w:r>
        <w:rPr>
          <w:rFonts w:ascii="Calibri" w:hAnsi="Calibri"/>
          <w:color w:val="231F20"/>
          <w:spacing w:val="-9"/>
          <w:sz w:val="17"/>
        </w:rPr>
        <w:t> </w:t>
      </w:r>
      <w:r>
        <w:rPr>
          <w:rFonts w:ascii="Calibri" w:hAnsi="Calibri"/>
          <w:color w:val="231F20"/>
          <w:sz w:val="17"/>
        </w:rPr>
        <w:t>University</w:t>
      </w:r>
      <w:r>
        <w:rPr>
          <w:rFonts w:ascii="Calibri" w:hAnsi="Calibri"/>
          <w:color w:val="231F20"/>
          <w:spacing w:val="-9"/>
          <w:sz w:val="17"/>
        </w:rPr>
        <w:t> </w:t>
      </w:r>
      <w:r>
        <w:rPr>
          <w:rFonts w:ascii="Calibri" w:hAnsi="Calibri"/>
          <w:color w:val="231F20"/>
          <w:sz w:val="17"/>
        </w:rPr>
        <w:t>Press,</w:t>
      </w:r>
      <w:r>
        <w:rPr>
          <w:rFonts w:ascii="Calibri" w:hAnsi="Calibri"/>
          <w:color w:val="231F20"/>
          <w:spacing w:val="-9"/>
          <w:sz w:val="17"/>
        </w:rPr>
        <w:t> </w:t>
      </w:r>
      <w:r>
        <w:rPr>
          <w:rFonts w:ascii="Calibri" w:hAnsi="Calibri"/>
          <w:color w:val="231F20"/>
          <w:sz w:val="17"/>
        </w:rPr>
        <w:t>2013,</w:t>
      </w:r>
      <w:r>
        <w:rPr>
          <w:rFonts w:ascii="Calibri" w:hAnsi="Calibri"/>
          <w:color w:val="231F20"/>
          <w:spacing w:val="-9"/>
          <w:sz w:val="17"/>
        </w:rPr>
        <w:t> </w:t>
      </w:r>
      <w:r>
        <w:rPr>
          <w:rFonts w:ascii="Calibri" w:hAnsi="Calibri"/>
          <w:color w:val="231F20"/>
          <w:sz w:val="17"/>
        </w:rPr>
        <w:t>pp.</w:t>
      </w:r>
      <w:r>
        <w:rPr>
          <w:rFonts w:ascii="Calibri" w:hAnsi="Calibri"/>
          <w:color w:val="231F20"/>
          <w:spacing w:val="-9"/>
          <w:sz w:val="17"/>
        </w:rPr>
        <w:t> </w:t>
      </w:r>
      <w:r>
        <w:rPr>
          <w:rFonts w:ascii="Calibri" w:hAnsi="Calibri"/>
          <w:color w:val="231F20"/>
          <w:sz w:val="17"/>
        </w:rPr>
        <w:t>34–35.</w:t>
      </w:r>
    </w:p>
    <w:p>
      <w:pPr>
        <w:spacing w:line="235" w:lineRule="auto" w:before="0"/>
        <w:ind w:left="117" w:right="121" w:firstLine="0"/>
        <w:jc w:val="both"/>
        <w:rPr>
          <w:rFonts w:ascii="Calibri" w:hAnsi="Calibri"/>
          <w:sz w:val="17"/>
        </w:rPr>
      </w:pPr>
      <w:r>
        <w:rPr>
          <w:rFonts w:ascii="Calibri" w:hAnsi="Calibri"/>
          <w:color w:val="231F20"/>
          <w:position w:val="6"/>
          <w:sz w:val="10"/>
        </w:rPr>
        <w:t>77 </w:t>
      </w:r>
      <w:r>
        <w:rPr>
          <w:rFonts w:ascii="Calibri" w:hAnsi="Calibri"/>
          <w:color w:val="231F20"/>
          <w:sz w:val="17"/>
        </w:rPr>
        <w:t>Per un’esemplificazione dell’uso  della  categoria  nel  dibattito  sulla  governance  europea  si  veda B. De Witte, “Sovereignty and European Integration: the Weight of Legal </w:t>
      </w:r>
      <w:r>
        <w:rPr>
          <w:rFonts w:ascii="Calibri" w:hAnsi="Calibri"/>
          <w:color w:val="231F20"/>
          <w:spacing w:val="-3"/>
          <w:sz w:val="17"/>
        </w:rPr>
        <w:t>Tradition”, </w:t>
      </w:r>
      <w:r>
        <w:rPr>
          <w:rFonts w:ascii="Calibri" w:hAnsi="Calibri"/>
          <w:color w:val="231F20"/>
          <w:sz w:val="17"/>
        </w:rPr>
        <w:t>A. M. Slaughter, A. Stone Sweet y J. H. Weiler (Eds.), </w:t>
      </w:r>
      <w:r>
        <w:rPr>
          <w:rFonts w:ascii="Calibri" w:hAnsi="Calibri"/>
          <w:i/>
          <w:color w:val="231F20"/>
          <w:sz w:val="17"/>
        </w:rPr>
        <w:t>The European Courts and National Courts: Doctrine </w:t>
      </w:r>
      <w:r>
        <w:rPr>
          <w:rFonts w:ascii="Calibri" w:hAnsi="Calibri"/>
          <w:i/>
          <w:color w:val="231F20"/>
          <w:sz w:val="17"/>
        </w:rPr>
        <w:t>and Jurisprudence</w:t>
      </w:r>
      <w:r>
        <w:rPr>
          <w:rFonts w:ascii="Calibri" w:hAnsi="Calibri"/>
          <w:color w:val="231F20"/>
          <w:sz w:val="17"/>
        </w:rPr>
        <w:t>, 1998 e, en clave esplicitamente politica, J. Delors, “European Integration and Security”, </w:t>
      </w:r>
      <w:r>
        <w:rPr>
          <w:rFonts w:ascii="Calibri" w:hAnsi="Calibri"/>
          <w:i/>
          <w:color w:val="231F20"/>
          <w:sz w:val="17"/>
        </w:rPr>
        <w:t>Security</w:t>
      </w:r>
      <w:r>
        <w:rPr>
          <w:rFonts w:ascii="Calibri" w:hAnsi="Calibri"/>
          <w:color w:val="231F20"/>
          <w:sz w:val="17"/>
        </w:rPr>
        <w:t>, no. 33, 1991, pp. </w:t>
      </w:r>
      <w:r>
        <w:rPr>
          <w:rFonts w:ascii="Calibri" w:hAnsi="Calibri"/>
          <w:color w:val="231F20"/>
          <w:spacing w:val="-3"/>
          <w:sz w:val="17"/>
        </w:rPr>
        <w:t>99, </w:t>
      </w:r>
      <w:r>
        <w:rPr>
          <w:rFonts w:ascii="Calibri" w:hAnsi="Calibri"/>
          <w:color w:val="231F20"/>
          <w:sz w:val="17"/>
        </w:rPr>
        <w:t>103. Per un’applicazione agli assetti regionali africani </w:t>
      </w:r>
      <w:r>
        <w:rPr>
          <w:rFonts w:ascii="Calibri" w:hAnsi="Calibri"/>
          <w:i/>
          <w:color w:val="231F20"/>
          <w:sz w:val="17"/>
        </w:rPr>
        <w:t>cfr</w:t>
      </w:r>
      <w:r>
        <w:rPr>
          <w:rFonts w:ascii="Calibri" w:hAnsi="Calibri"/>
          <w:color w:val="231F20"/>
          <w:sz w:val="17"/>
        </w:rPr>
        <w:t>. J. Mangala, “State Sovereignty and the New Globalization en Africa”, pp. 97–98. Sul tema si vedano    le osservazioni critiche svolte, in specifico riferimento alle dinamiche europee, da N. Walker en       su ensayo “Late Sovereignty in the European Union”, en N. Walker (Ed.), </w:t>
      </w:r>
      <w:r>
        <w:rPr>
          <w:rFonts w:ascii="Calibri" w:hAnsi="Calibri"/>
          <w:i/>
          <w:color w:val="231F20"/>
          <w:sz w:val="17"/>
        </w:rPr>
        <w:t>Sovereignty in Transition</w:t>
      </w:r>
      <w:r>
        <w:rPr>
          <w:rFonts w:ascii="Calibri" w:hAnsi="Calibri"/>
          <w:color w:val="231F20"/>
          <w:sz w:val="17"/>
        </w:rPr>
        <w:t>, Oxford/Portland, Hart Publishing, 2003, pp.</w:t>
      </w:r>
      <w:r>
        <w:rPr>
          <w:rFonts w:ascii="Calibri" w:hAnsi="Calibri"/>
          <w:color w:val="231F20"/>
          <w:spacing w:val="17"/>
          <w:sz w:val="17"/>
        </w:rPr>
        <w:t> </w:t>
      </w:r>
      <w:r>
        <w:rPr>
          <w:rFonts w:ascii="Calibri" w:hAnsi="Calibri"/>
          <w:color w:val="231F20"/>
          <w:sz w:val="17"/>
        </w:rPr>
        <w:t>10–11.</w:t>
      </w:r>
    </w:p>
    <w:p>
      <w:pPr>
        <w:spacing w:line="235" w:lineRule="auto" w:before="0"/>
        <w:ind w:left="117" w:right="121" w:firstLine="0"/>
        <w:jc w:val="both"/>
        <w:rPr>
          <w:rFonts w:ascii="Calibri" w:hAnsi="Calibri"/>
          <w:sz w:val="17"/>
        </w:rPr>
      </w:pPr>
      <w:r>
        <w:rPr>
          <w:rFonts w:ascii="Calibri" w:hAnsi="Calibri"/>
          <w:color w:val="231F20"/>
          <w:position w:val="6"/>
          <w:sz w:val="10"/>
        </w:rPr>
        <w:t>78  </w:t>
      </w:r>
      <w:r>
        <w:rPr>
          <w:rFonts w:ascii="Calibri" w:hAnsi="Calibri"/>
          <w:color w:val="231F20"/>
          <w:sz w:val="17"/>
        </w:rPr>
        <w:t>L.  W. Pauly  y  E.   Grande,   “Reconstituting   Political   Authority:   Sovereignty,   Effectiveness, and Legitimacy in a Transnational Order”, E. Grande y L.W. Pauly (Eds.), </w:t>
      </w:r>
      <w:r>
        <w:rPr>
          <w:rFonts w:ascii="Calibri" w:hAnsi="Calibri"/>
          <w:i/>
          <w:color w:val="231F20"/>
          <w:sz w:val="17"/>
        </w:rPr>
        <w:t>Complex Sovereignty: </w:t>
      </w:r>
      <w:r>
        <w:rPr>
          <w:rFonts w:ascii="Calibri" w:hAnsi="Calibri"/>
          <w:i/>
          <w:color w:val="231F20"/>
          <w:sz w:val="17"/>
        </w:rPr>
        <w:t>Reconstituing Political Authority in the Twenty–first Century</w:t>
      </w:r>
      <w:r>
        <w:rPr>
          <w:rFonts w:ascii="Calibri" w:hAnsi="Calibri"/>
          <w:color w:val="231F20"/>
          <w:sz w:val="17"/>
        </w:rPr>
        <w:t>, University of Toronto Press, 2005, pp. 6–7; K. Jayasuriya, </w:t>
      </w:r>
      <w:r>
        <w:rPr>
          <w:rFonts w:ascii="Calibri" w:hAnsi="Calibri"/>
          <w:i/>
          <w:color w:val="231F20"/>
          <w:sz w:val="17"/>
        </w:rPr>
        <w:t>Reconstituting the Global Liberal Order. Legitimacy and regulation</w:t>
      </w:r>
      <w:r>
        <w:rPr>
          <w:rFonts w:ascii="Calibri" w:hAnsi="Calibri"/>
          <w:color w:val="231F20"/>
          <w:sz w:val="17"/>
        </w:rPr>
        <w:t>, London/New York, Routledge, 2005, pp. 69–70.</w:t>
      </w:r>
    </w:p>
    <w:p>
      <w:pPr>
        <w:spacing w:line="203" w:lineRule="exact" w:before="0"/>
        <w:ind w:left="117" w:right="0" w:firstLine="0"/>
        <w:jc w:val="both"/>
        <w:rPr>
          <w:rFonts w:ascii="Calibri"/>
          <w:sz w:val="17"/>
        </w:rPr>
      </w:pPr>
      <w:r>
        <w:rPr>
          <w:rFonts w:ascii="Calibri"/>
          <w:color w:val="231F20"/>
          <w:position w:val="6"/>
          <w:sz w:val="10"/>
        </w:rPr>
        <w:t>79  </w:t>
      </w:r>
      <w:r>
        <w:rPr>
          <w:rFonts w:ascii="Calibri"/>
          <w:color w:val="231F20"/>
          <w:sz w:val="17"/>
        </w:rPr>
        <w:t>S. D. Krasner, </w:t>
      </w:r>
      <w:r>
        <w:rPr>
          <w:rFonts w:ascii="Calibri"/>
          <w:i/>
          <w:color w:val="231F20"/>
          <w:sz w:val="17"/>
        </w:rPr>
        <w:t>Sovereignty: Organised Hipocrisy</w:t>
      </w:r>
      <w:r>
        <w:rPr>
          <w:rFonts w:ascii="Calibri"/>
          <w:color w:val="231F20"/>
          <w:sz w:val="17"/>
        </w:rPr>
        <w:t>, Princeton, Princeton University Press, 1999; S.</w:t>
      </w:r>
    </w:p>
    <w:p>
      <w:pPr>
        <w:spacing w:line="204" w:lineRule="exact" w:before="0"/>
        <w:ind w:left="117" w:right="0" w:firstLine="0"/>
        <w:jc w:val="both"/>
        <w:rPr>
          <w:rFonts w:ascii="Calibri"/>
          <w:sz w:val="17"/>
        </w:rPr>
      </w:pPr>
      <w:r>
        <w:rPr>
          <w:rFonts w:ascii="Calibri"/>
          <w:color w:val="231F20"/>
          <w:sz w:val="17"/>
        </w:rPr>
        <w:t>D. Krasner, </w:t>
      </w:r>
      <w:r>
        <w:rPr>
          <w:rFonts w:ascii="Calibri"/>
          <w:i/>
          <w:color w:val="231F20"/>
          <w:sz w:val="17"/>
        </w:rPr>
        <w:t>Power, the state and Sovereignty: essays on international relations</w:t>
      </w:r>
      <w:r>
        <w:rPr>
          <w:rFonts w:ascii="Calibri"/>
          <w:color w:val="231F20"/>
          <w:sz w:val="17"/>
        </w:rPr>
        <w:t>, London/New York,</w:t>
      </w:r>
    </w:p>
    <w:p>
      <w:pPr>
        <w:spacing w:line="204" w:lineRule="exact" w:before="0"/>
        <w:ind w:left="117" w:right="0" w:firstLine="0"/>
        <w:jc w:val="both"/>
        <w:rPr>
          <w:rFonts w:ascii="Calibri"/>
          <w:sz w:val="17"/>
        </w:rPr>
      </w:pPr>
      <w:r>
        <w:rPr>
          <w:rFonts w:ascii="Calibri"/>
          <w:color w:val="231F20"/>
          <w:w w:val="105"/>
          <w:sz w:val="17"/>
        </w:rPr>
        <w:t>Routledge, 2009.</w:t>
      </w:r>
    </w:p>
    <w:p>
      <w:pPr>
        <w:spacing w:line="204" w:lineRule="exact" w:before="0"/>
        <w:ind w:left="117" w:right="0" w:firstLine="0"/>
        <w:jc w:val="both"/>
        <w:rPr>
          <w:rFonts w:ascii="Calibri"/>
          <w:sz w:val="17"/>
        </w:rPr>
      </w:pPr>
      <w:r>
        <w:rPr>
          <w:rFonts w:ascii="Calibri"/>
          <w:color w:val="231F20"/>
          <w:position w:val="6"/>
          <w:sz w:val="10"/>
        </w:rPr>
        <w:t>80            </w:t>
      </w:r>
      <w:r>
        <w:rPr>
          <w:rFonts w:ascii="Calibri"/>
          <w:color w:val="231F20"/>
          <w:sz w:val="17"/>
        </w:rPr>
        <w:t>M. Goodheart, </w:t>
      </w:r>
      <w:r>
        <w:rPr>
          <w:rFonts w:ascii="Calibri"/>
          <w:i/>
          <w:color w:val="231F20"/>
          <w:sz w:val="17"/>
        </w:rPr>
        <w:t>Democracy as Human Rights. Freedom and Equality in the Age of Globalization</w:t>
      </w:r>
      <w:r>
        <w:rPr>
          <w:rFonts w:ascii="Calibri"/>
          <w:color w:val="231F20"/>
          <w:sz w:val="17"/>
        </w:rPr>
        <w:t>,</w:t>
      </w:r>
    </w:p>
    <w:p>
      <w:pPr>
        <w:spacing w:line="206" w:lineRule="exact" w:before="0"/>
        <w:ind w:left="117" w:right="0" w:firstLine="0"/>
        <w:jc w:val="both"/>
        <w:rPr>
          <w:rFonts w:ascii="Calibri" w:hAnsi="Calibri"/>
          <w:sz w:val="17"/>
        </w:rPr>
      </w:pPr>
      <w:r>
        <w:rPr>
          <w:rFonts w:ascii="Calibri" w:hAnsi="Calibri"/>
          <w:color w:val="231F20"/>
          <w:w w:val="105"/>
          <w:sz w:val="17"/>
        </w:rPr>
        <w:t>New York/London, Routledge, 2005, pp. 29–30.</w:t>
      </w:r>
    </w:p>
    <w:p>
      <w:pPr>
        <w:spacing w:after="0" w:line="206" w:lineRule="exact"/>
        <w:jc w:val="both"/>
        <w:rPr>
          <w:rFonts w:ascii="Calibri" w:hAnsi="Calibri"/>
          <w:sz w:val="17"/>
        </w:rPr>
        <w:sectPr>
          <w:type w:val="continuous"/>
          <w:pgSz w:w="9640" w:h="13890"/>
          <w:pgMar w:top="0" w:bottom="0" w:left="1300" w:right="1180"/>
        </w:sectPr>
      </w:pPr>
    </w:p>
    <w:p>
      <w:pPr>
        <w:pStyle w:val="BodyText"/>
        <w:spacing w:line="247" w:lineRule="auto" w:before="107"/>
        <w:ind w:left="103" w:right="109"/>
        <w:jc w:val="both"/>
      </w:pPr>
      <w:r>
        <w:rPr>
          <w:color w:val="231F20"/>
          <w:w w:val="105"/>
        </w:rPr>
        <w:t>contemporaneo sono, infatti, il prodotto di una confusa semantica</w:t>
      </w:r>
      <w:r>
        <w:rPr>
          <w:color w:val="231F20"/>
          <w:spacing w:val="-43"/>
          <w:w w:val="105"/>
        </w:rPr>
        <w:t> </w:t>
      </w:r>
      <w:r>
        <w:rPr>
          <w:color w:val="231F20"/>
          <w:w w:val="105"/>
        </w:rPr>
        <w:t>della sovranità che si serve di questa nozione per descrivere quattro </w:t>
      </w:r>
      <w:r>
        <w:rPr>
          <w:color w:val="231F20"/>
          <w:spacing w:val="2"/>
          <w:w w:val="105"/>
        </w:rPr>
        <w:t>diverse </w:t>
      </w:r>
      <w:r>
        <w:rPr>
          <w:color w:val="231F20"/>
          <w:spacing w:val="4"/>
          <w:w w:val="105"/>
        </w:rPr>
        <w:t>caratteristiche, “logicamente distinte”, degli Stati: </w:t>
      </w:r>
      <w:r>
        <w:rPr>
          <w:color w:val="231F20"/>
          <w:spacing w:val="2"/>
          <w:w w:val="105"/>
        </w:rPr>
        <w:t>la loro </w:t>
      </w:r>
      <w:r>
        <w:rPr>
          <w:color w:val="231F20"/>
          <w:spacing w:val="3"/>
          <w:w w:val="105"/>
        </w:rPr>
        <w:t>pretesa </w:t>
      </w:r>
      <w:r>
        <w:rPr>
          <w:color w:val="231F20"/>
          <w:spacing w:val="2"/>
          <w:w w:val="105"/>
        </w:rPr>
        <w:t>di esclusività,</w:t>
      </w:r>
      <w:r>
        <w:rPr>
          <w:color w:val="231F20"/>
          <w:spacing w:val="-11"/>
          <w:w w:val="105"/>
        </w:rPr>
        <w:t> </w:t>
      </w:r>
      <w:r>
        <w:rPr>
          <w:color w:val="231F20"/>
          <w:w w:val="105"/>
        </w:rPr>
        <w:t>il</w:t>
      </w:r>
      <w:r>
        <w:rPr>
          <w:color w:val="231F20"/>
          <w:spacing w:val="-11"/>
          <w:w w:val="105"/>
        </w:rPr>
        <w:t> </w:t>
      </w:r>
      <w:r>
        <w:rPr>
          <w:color w:val="231F20"/>
          <w:w w:val="105"/>
        </w:rPr>
        <w:t>loro</w:t>
      </w:r>
      <w:r>
        <w:rPr>
          <w:color w:val="231F20"/>
          <w:spacing w:val="-11"/>
          <w:w w:val="105"/>
        </w:rPr>
        <w:t> </w:t>
      </w:r>
      <w:r>
        <w:rPr>
          <w:color w:val="231F20"/>
          <w:spacing w:val="2"/>
          <w:w w:val="105"/>
        </w:rPr>
        <w:t>status</w:t>
      </w:r>
      <w:r>
        <w:rPr>
          <w:color w:val="231F20"/>
          <w:spacing w:val="-11"/>
          <w:w w:val="105"/>
        </w:rPr>
        <w:t> </w:t>
      </w:r>
      <w:r>
        <w:rPr>
          <w:color w:val="231F20"/>
          <w:spacing w:val="2"/>
          <w:w w:val="105"/>
        </w:rPr>
        <w:t>giuridico</w:t>
      </w:r>
      <w:r>
        <w:rPr>
          <w:color w:val="231F20"/>
          <w:spacing w:val="-11"/>
          <w:w w:val="105"/>
        </w:rPr>
        <w:t> </w:t>
      </w:r>
      <w:r>
        <w:rPr>
          <w:color w:val="231F20"/>
          <w:spacing w:val="2"/>
          <w:w w:val="105"/>
        </w:rPr>
        <w:t>internazionale</w:t>
      </w:r>
      <w:r>
        <w:rPr>
          <w:color w:val="231F20"/>
          <w:spacing w:val="-11"/>
          <w:w w:val="105"/>
        </w:rPr>
        <w:t> </w:t>
      </w:r>
      <w:r>
        <w:rPr>
          <w:color w:val="231F20"/>
          <w:spacing w:val="2"/>
          <w:w w:val="105"/>
        </w:rPr>
        <w:t>(indipendenza),</w:t>
      </w:r>
      <w:r>
        <w:rPr>
          <w:color w:val="231F20"/>
          <w:spacing w:val="-11"/>
          <w:w w:val="105"/>
        </w:rPr>
        <w:t> </w:t>
      </w:r>
      <w:r>
        <w:rPr>
          <w:color w:val="231F20"/>
          <w:w w:val="105"/>
        </w:rPr>
        <w:t>la</w:t>
      </w:r>
      <w:r>
        <w:rPr>
          <w:color w:val="231F20"/>
          <w:spacing w:val="-11"/>
          <w:w w:val="105"/>
        </w:rPr>
        <w:t> </w:t>
      </w:r>
      <w:r>
        <w:rPr>
          <w:color w:val="231F20"/>
          <w:w w:val="105"/>
        </w:rPr>
        <w:t>loro capacità</w:t>
      </w:r>
      <w:r>
        <w:rPr>
          <w:color w:val="231F20"/>
          <w:spacing w:val="-41"/>
          <w:w w:val="105"/>
        </w:rPr>
        <w:t> </w:t>
      </w:r>
      <w:r>
        <w:rPr>
          <w:color w:val="231F20"/>
          <w:w w:val="105"/>
        </w:rPr>
        <w:t>di</w:t>
      </w:r>
      <w:r>
        <w:rPr>
          <w:color w:val="231F20"/>
          <w:spacing w:val="-41"/>
          <w:w w:val="105"/>
        </w:rPr>
        <w:t> </w:t>
      </w:r>
      <w:r>
        <w:rPr>
          <w:color w:val="231F20"/>
          <w:w w:val="105"/>
        </w:rPr>
        <w:t>controllare</w:t>
      </w:r>
      <w:r>
        <w:rPr>
          <w:color w:val="231F20"/>
          <w:spacing w:val="-41"/>
          <w:w w:val="105"/>
        </w:rPr>
        <w:t> </w:t>
      </w:r>
      <w:r>
        <w:rPr>
          <w:color w:val="231F20"/>
          <w:w w:val="105"/>
        </w:rPr>
        <w:t>i</w:t>
      </w:r>
      <w:r>
        <w:rPr>
          <w:color w:val="231F20"/>
          <w:spacing w:val="-41"/>
          <w:w w:val="105"/>
        </w:rPr>
        <w:t> </w:t>
      </w:r>
      <w:r>
        <w:rPr>
          <w:color w:val="231F20"/>
          <w:w w:val="105"/>
        </w:rPr>
        <w:t>flussi</w:t>
      </w:r>
      <w:r>
        <w:rPr>
          <w:color w:val="231F20"/>
          <w:spacing w:val="-41"/>
          <w:w w:val="105"/>
        </w:rPr>
        <w:t> </w:t>
      </w:r>
      <w:r>
        <w:rPr>
          <w:color w:val="231F20"/>
          <w:w w:val="105"/>
        </w:rPr>
        <w:t>trans-frontalieri</w:t>
      </w:r>
      <w:r>
        <w:rPr>
          <w:color w:val="231F20"/>
          <w:spacing w:val="-41"/>
          <w:w w:val="105"/>
        </w:rPr>
        <w:t> </w:t>
      </w:r>
      <w:r>
        <w:rPr>
          <w:color w:val="231F20"/>
          <w:w w:val="105"/>
        </w:rPr>
        <w:t>e</w:t>
      </w:r>
      <w:r>
        <w:rPr>
          <w:color w:val="231F20"/>
          <w:spacing w:val="-41"/>
          <w:w w:val="105"/>
        </w:rPr>
        <w:t> </w:t>
      </w:r>
      <w:r>
        <w:rPr>
          <w:color w:val="231F20"/>
          <w:w w:val="105"/>
        </w:rPr>
        <w:t>le</w:t>
      </w:r>
      <w:r>
        <w:rPr>
          <w:color w:val="231F20"/>
          <w:spacing w:val="-41"/>
          <w:w w:val="105"/>
        </w:rPr>
        <w:t> </w:t>
      </w:r>
      <w:r>
        <w:rPr>
          <w:color w:val="231F20"/>
          <w:w w:val="105"/>
        </w:rPr>
        <w:t>loro</w:t>
      </w:r>
      <w:r>
        <w:rPr>
          <w:color w:val="231F20"/>
          <w:spacing w:val="-41"/>
          <w:w w:val="105"/>
        </w:rPr>
        <w:t> </w:t>
      </w:r>
      <w:r>
        <w:rPr>
          <w:color w:val="231F20"/>
          <w:w w:val="105"/>
        </w:rPr>
        <w:t>strutture</w:t>
      </w:r>
      <w:r>
        <w:rPr>
          <w:color w:val="231F20"/>
          <w:spacing w:val="-41"/>
          <w:w w:val="105"/>
        </w:rPr>
        <w:t> </w:t>
      </w:r>
      <w:r>
        <w:rPr>
          <w:color w:val="231F20"/>
          <w:w w:val="105"/>
        </w:rPr>
        <w:t>autoritative interne</w:t>
      </w:r>
      <w:r>
        <w:rPr>
          <w:color w:val="231F20"/>
          <w:w w:val="105"/>
          <w:position w:val="7"/>
          <w:sz w:val="12"/>
        </w:rPr>
        <w:t>81</w:t>
      </w:r>
      <w:r>
        <w:rPr>
          <w:color w:val="231F20"/>
          <w:w w:val="105"/>
        </w:rPr>
        <w:t>.</w:t>
      </w:r>
      <w:r>
        <w:rPr>
          <w:color w:val="231F20"/>
          <w:spacing w:val="-24"/>
          <w:w w:val="105"/>
        </w:rPr>
        <w:t> </w:t>
      </w:r>
      <w:r>
        <w:rPr>
          <w:color w:val="231F20"/>
          <w:w w:val="105"/>
        </w:rPr>
        <w:t>Per</w:t>
      </w:r>
      <w:r>
        <w:rPr>
          <w:color w:val="231F20"/>
          <w:spacing w:val="-24"/>
          <w:w w:val="105"/>
        </w:rPr>
        <w:t> </w:t>
      </w:r>
      <w:r>
        <w:rPr>
          <w:color w:val="231F20"/>
          <w:w w:val="105"/>
        </w:rPr>
        <w:t>recuperare</w:t>
      </w:r>
      <w:r>
        <w:rPr>
          <w:color w:val="231F20"/>
          <w:spacing w:val="-24"/>
          <w:w w:val="105"/>
        </w:rPr>
        <w:t> </w:t>
      </w:r>
      <w:r>
        <w:rPr>
          <w:color w:val="231F20"/>
          <w:w w:val="105"/>
        </w:rPr>
        <w:t>adeguati</w:t>
      </w:r>
      <w:r>
        <w:rPr>
          <w:color w:val="231F20"/>
          <w:spacing w:val="-24"/>
          <w:w w:val="105"/>
        </w:rPr>
        <w:t> </w:t>
      </w:r>
      <w:r>
        <w:rPr>
          <w:color w:val="231F20"/>
          <w:w w:val="105"/>
        </w:rPr>
        <w:t>spazi</w:t>
      </w:r>
      <w:r>
        <w:rPr>
          <w:color w:val="231F20"/>
          <w:spacing w:val="-24"/>
          <w:w w:val="105"/>
        </w:rPr>
        <w:t> </w:t>
      </w:r>
      <w:r>
        <w:rPr>
          <w:color w:val="231F20"/>
          <w:w w:val="105"/>
        </w:rPr>
        <w:t>di</w:t>
      </w:r>
      <w:r>
        <w:rPr>
          <w:color w:val="231F20"/>
          <w:spacing w:val="-24"/>
          <w:w w:val="105"/>
        </w:rPr>
        <w:t> </w:t>
      </w:r>
      <w:r>
        <w:rPr>
          <w:color w:val="231F20"/>
          <w:w w:val="105"/>
        </w:rPr>
        <w:t>azione</w:t>
      </w:r>
      <w:r>
        <w:rPr>
          <w:color w:val="231F20"/>
          <w:spacing w:val="-24"/>
          <w:w w:val="105"/>
        </w:rPr>
        <w:t> </w:t>
      </w:r>
      <w:r>
        <w:rPr>
          <w:color w:val="231F20"/>
          <w:w w:val="105"/>
        </w:rPr>
        <w:t>politica</w:t>
      </w:r>
      <w:r>
        <w:rPr>
          <w:color w:val="231F20"/>
          <w:spacing w:val="-24"/>
          <w:w w:val="105"/>
        </w:rPr>
        <w:t> </w:t>
      </w:r>
      <w:r>
        <w:rPr>
          <w:color w:val="231F20"/>
          <w:w w:val="105"/>
        </w:rPr>
        <w:t>in</w:t>
      </w:r>
      <w:r>
        <w:rPr>
          <w:color w:val="231F20"/>
          <w:spacing w:val="-24"/>
          <w:w w:val="105"/>
        </w:rPr>
        <w:t> </w:t>
      </w:r>
      <w:r>
        <w:rPr>
          <w:color w:val="231F20"/>
          <w:w w:val="105"/>
        </w:rPr>
        <w:t>riferimento</w:t>
      </w:r>
      <w:r>
        <w:rPr>
          <w:color w:val="231F20"/>
          <w:spacing w:val="-24"/>
          <w:w w:val="105"/>
        </w:rPr>
        <w:t> </w:t>
      </w:r>
      <w:r>
        <w:rPr>
          <w:color w:val="231F20"/>
          <w:w w:val="105"/>
        </w:rPr>
        <w:t>ai cruciali</w:t>
      </w:r>
      <w:r>
        <w:rPr>
          <w:color w:val="231F20"/>
          <w:spacing w:val="-12"/>
          <w:w w:val="105"/>
        </w:rPr>
        <w:t> </w:t>
      </w:r>
      <w:r>
        <w:rPr>
          <w:color w:val="231F20"/>
          <w:w w:val="105"/>
        </w:rPr>
        <w:t>dilemmi</w:t>
      </w:r>
      <w:r>
        <w:rPr>
          <w:color w:val="231F20"/>
          <w:spacing w:val="-12"/>
          <w:w w:val="105"/>
        </w:rPr>
        <w:t> </w:t>
      </w:r>
      <w:r>
        <w:rPr>
          <w:color w:val="231F20"/>
          <w:w w:val="105"/>
        </w:rPr>
        <w:t>del</w:t>
      </w:r>
      <w:r>
        <w:rPr>
          <w:color w:val="231F20"/>
          <w:spacing w:val="-12"/>
          <w:w w:val="105"/>
        </w:rPr>
        <w:t> </w:t>
      </w:r>
      <w:r>
        <w:rPr>
          <w:color w:val="231F20"/>
          <w:w w:val="105"/>
        </w:rPr>
        <w:t>nostro</w:t>
      </w:r>
      <w:r>
        <w:rPr>
          <w:color w:val="231F20"/>
          <w:spacing w:val="-12"/>
          <w:w w:val="105"/>
        </w:rPr>
        <w:t> </w:t>
      </w:r>
      <w:r>
        <w:rPr>
          <w:color w:val="231F20"/>
          <w:w w:val="105"/>
        </w:rPr>
        <w:t>presente</w:t>
      </w:r>
      <w:r>
        <w:rPr>
          <w:color w:val="231F20"/>
          <w:spacing w:val="-12"/>
          <w:w w:val="105"/>
        </w:rPr>
        <w:t> </w:t>
      </w:r>
      <w:r>
        <w:rPr>
          <w:color w:val="231F20"/>
          <w:w w:val="105"/>
        </w:rPr>
        <w:t>occorre,</w:t>
      </w:r>
      <w:r>
        <w:rPr>
          <w:color w:val="231F20"/>
          <w:spacing w:val="-12"/>
          <w:w w:val="105"/>
        </w:rPr>
        <w:t> </w:t>
      </w:r>
      <w:r>
        <w:rPr>
          <w:color w:val="231F20"/>
          <w:w w:val="105"/>
        </w:rPr>
        <w:t>dunque,</w:t>
      </w:r>
      <w:r>
        <w:rPr>
          <w:color w:val="231F20"/>
          <w:spacing w:val="-12"/>
          <w:w w:val="105"/>
        </w:rPr>
        <w:t> </w:t>
      </w:r>
      <w:r>
        <w:rPr>
          <w:color w:val="231F20"/>
          <w:w w:val="105"/>
        </w:rPr>
        <w:t>prendere</w:t>
      </w:r>
      <w:r>
        <w:rPr>
          <w:color w:val="231F20"/>
          <w:spacing w:val="-12"/>
          <w:w w:val="105"/>
        </w:rPr>
        <w:t> </w:t>
      </w:r>
      <w:r>
        <w:rPr>
          <w:color w:val="231F20"/>
          <w:w w:val="105"/>
        </w:rPr>
        <w:t>atto</w:t>
      </w:r>
      <w:r>
        <w:rPr>
          <w:color w:val="231F20"/>
          <w:spacing w:val="-12"/>
          <w:w w:val="105"/>
        </w:rPr>
        <w:t> </w:t>
      </w:r>
      <w:r>
        <w:rPr>
          <w:color w:val="231F20"/>
          <w:w w:val="105"/>
        </w:rPr>
        <w:t>una volta</w:t>
      </w:r>
      <w:r>
        <w:rPr>
          <w:color w:val="231F20"/>
          <w:spacing w:val="-48"/>
          <w:w w:val="105"/>
        </w:rPr>
        <w:t> </w:t>
      </w:r>
      <w:r>
        <w:rPr>
          <w:color w:val="231F20"/>
          <w:w w:val="105"/>
        </w:rPr>
        <w:t>per</w:t>
      </w:r>
      <w:r>
        <w:rPr>
          <w:color w:val="231F20"/>
          <w:spacing w:val="-48"/>
          <w:w w:val="105"/>
        </w:rPr>
        <w:t> </w:t>
      </w:r>
      <w:r>
        <w:rPr>
          <w:color w:val="231F20"/>
          <w:w w:val="105"/>
        </w:rPr>
        <w:t>tutte</w:t>
      </w:r>
      <w:r>
        <w:rPr>
          <w:color w:val="231F20"/>
          <w:spacing w:val="-48"/>
          <w:w w:val="105"/>
        </w:rPr>
        <w:t> </w:t>
      </w:r>
      <w:r>
        <w:rPr>
          <w:color w:val="231F20"/>
          <w:w w:val="105"/>
        </w:rPr>
        <w:t>che,</w:t>
      </w:r>
      <w:r>
        <w:rPr>
          <w:color w:val="231F20"/>
          <w:spacing w:val="-48"/>
          <w:w w:val="105"/>
        </w:rPr>
        <w:t> </w:t>
      </w:r>
      <w:r>
        <w:rPr>
          <w:color w:val="231F20"/>
          <w:w w:val="105"/>
        </w:rPr>
        <w:t>lungi</w:t>
      </w:r>
      <w:r>
        <w:rPr>
          <w:color w:val="231F20"/>
          <w:spacing w:val="-48"/>
          <w:w w:val="105"/>
        </w:rPr>
        <w:t> </w:t>
      </w:r>
      <w:r>
        <w:rPr>
          <w:color w:val="231F20"/>
          <w:spacing w:val="-3"/>
          <w:w w:val="105"/>
        </w:rPr>
        <w:t>dall’essere</w:t>
      </w:r>
      <w:r>
        <w:rPr>
          <w:color w:val="231F20"/>
          <w:spacing w:val="-48"/>
          <w:w w:val="105"/>
        </w:rPr>
        <w:t> </w:t>
      </w:r>
      <w:r>
        <w:rPr>
          <w:color w:val="231F20"/>
          <w:w w:val="105"/>
        </w:rPr>
        <w:t>un</w:t>
      </w:r>
      <w:r>
        <w:rPr>
          <w:color w:val="231F20"/>
          <w:spacing w:val="-48"/>
          <w:w w:val="105"/>
        </w:rPr>
        <w:t> </w:t>
      </w:r>
      <w:r>
        <w:rPr>
          <w:color w:val="231F20"/>
          <w:w w:val="105"/>
        </w:rPr>
        <w:t>“tutto</w:t>
      </w:r>
      <w:r>
        <w:rPr>
          <w:color w:val="231F20"/>
          <w:spacing w:val="-48"/>
          <w:w w:val="105"/>
        </w:rPr>
        <w:t> </w:t>
      </w:r>
      <w:r>
        <w:rPr>
          <w:color w:val="231F20"/>
          <w:spacing w:val="-3"/>
          <w:w w:val="105"/>
        </w:rPr>
        <w:t>organico”,</w:t>
      </w:r>
      <w:r>
        <w:rPr>
          <w:color w:val="231F20"/>
          <w:spacing w:val="-48"/>
          <w:w w:val="105"/>
        </w:rPr>
        <w:t> </w:t>
      </w:r>
      <w:r>
        <w:rPr>
          <w:color w:val="231F20"/>
          <w:w w:val="105"/>
        </w:rPr>
        <w:t>la</w:t>
      </w:r>
      <w:r>
        <w:rPr>
          <w:color w:val="231F20"/>
          <w:spacing w:val="-48"/>
          <w:w w:val="105"/>
        </w:rPr>
        <w:t> </w:t>
      </w:r>
      <w:r>
        <w:rPr>
          <w:color w:val="231F20"/>
          <w:w w:val="105"/>
        </w:rPr>
        <w:t>sovranità</w:t>
      </w:r>
      <w:r>
        <w:rPr>
          <w:color w:val="231F20"/>
          <w:spacing w:val="-48"/>
          <w:w w:val="105"/>
        </w:rPr>
        <w:t> </w:t>
      </w:r>
      <w:r>
        <w:rPr>
          <w:color w:val="231F20"/>
          <w:w w:val="105"/>
        </w:rPr>
        <w:t>statuale ha</w:t>
      </w:r>
      <w:r>
        <w:rPr>
          <w:color w:val="231F20"/>
          <w:spacing w:val="-19"/>
          <w:w w:val="105"/>
        </w:rPr>
        <w:t> </w:t>
      </w:r>
      <w:r>
        <w:rPr>
          <w:color w:val="231F20"/>
          <w:w w:val="105"/>
        </w:rPr>
        <w:t>“differenti</w:t>
      </w:r>
      <w:r>
        <w:rPr>
          <w:color w:val="231F20"/>
          <w:spacing w:val="-19"/>
          <w:w w:val="105"/>
        </w:rPr>
        <w:t> </w:t>
      </w:r>
      <w:r>
        <w:rPr>
          <w:color w:val="231F20"/>
          <w:w w:val="105"/>
        </w:rPr>
        <w:t>componenti”</w:t>
      </w:r>
      <w:r>
        <w:rPr>
          <w:color w:val="231F20"/>
          <w:spacing w:val="-19"/>
          <w:w w:val="105"/>
        </w:rPr>
        <w:t> </w:t>
      </w:r>
      <w:r>
        <w:rPr>
          <w:color w:val="231F20"/>
          <w:w w:val="105"/>
        </w:rPr>
        <w:t>e</w:t>
      </w:r>
      <w:r>
        <w:rPr>
          <w:color w:val="231F20"/>
          <w:spacing w:val="-19"/>
          <w:w w:val="105"/>
        </w:rPr>
        <w:t> </w:t>
      </w:r>
      <w:r>
        <w:rPr>
          <w:color w:val="231F20"/>
          <w:w w:val="105"/>
        </w:rPr>
        <w:t>che</w:t>
      </w:r>
      <w:r>
        <w:rPr>
          <w:color w:val="231F20"/>
          <w:spacing w:val="-19"/>
          <w:w w:val="105"/>
        </w:rPr>
        <w:t> </w:t>
      </w:r>
      <w:r>
        <w:rPr>
          <w:color w:val="231F20"/>
          <w:w w:val="105"/>
        </w:rPr>
        <w:t>nel</w:t>
      </w:r>
      <w:r>
        <w:rPr>
          <w:color w:val="231F20"/>
          <w:spacing w:val="-19"/>
          <w:w w:val="105"/>
        </w:rPr>
        <w:t> </w:t>
      </w:r>
      <w:r>
        <w:rPr>
          <w:color w:val="231F20"/>
          <w:w w:val="105"/>
        </w:rPr>
        <w:t>loro</w:t>
      </w:r>
      <w:r>
        <w:rPr>
          <w:color w:val="231F20"/>
          <w:spacing w:val="-19"/>
          <w:w w:val="105"/>
        </w:rPr>
        <w:t> </w:t>
      </w:r>
      <w:r>
        <w:rPr>
          <w:color w:val="231F20"/>
          <w:w w:val="105"/>
        </w:rPr>
        <w:t>incremento</w:t>
      </w:r>
      <w:r>
        <w:rPr>
          <w:color w:val="231F20"/>
          <w:spacing w:val="-19"/>
          <w:w w:val="105"/>
        </w:rPr>
        <w:t> </w:t>
      </w:r>
      <w:r>
        <w:rPr>
          <w:color w:val="231F20"/>
          <w:w w:val="105"/>
        </w:rPr>
        <w:t>funzionale</w:t>
      </w:r>
      <w:r>
        <w:rPr>
          <w:color w:val="231F20"/>
          <w:spacing w:val="-19"/>
          <w:w w:val="105"/>
        </w:rPr>
        <w:t> </w:t>
      </w:r>
      <w:r>
        <w:rPr>
          <w:color w:val="231F20"/>
          <w:w w:val="105"/>
        </w:rPr>
        <w:t>esse</w:t>
      </w:r>
      <w:r>
        <w:rPr>
          <w:color w:val="231F20"/>
          <w:spacing w:val="-19"/>
          <w:w w:val="105"/>
        </w:rPr>
        <w:t> </w:t>
      </w:r>
      <w:r>
        <w:rPr>
          <w:color w:val="231F20"/>
          <w:w w:val="105"/>
        </w:rPr>
        <w:t>non vanno necessariamente in parallelo; di più, che possedere un</w:t>
      </w:r>
      <w:r>
        <w:rPr>
          <w:color w:val="231F20"/>
          <w:spacing w:val="-47"/>
          <w:w w:val="105"/>
        </w:rPr>
        <w:t> </w:t>
      </w:r>
      <w:r>
        <w:rPr>
          <w:color w:val="231F20"/>
          <w:w w:val="105"/>
        </w:rPr>
        <w:t>“attributo della sovranità” non significa necessariamente possederli tutti e che, al contrario,</w:t>
      </w:r>
      <w:r>
        <w:rPr>
          <w:color w:val="231F20"/>
          <w:spacing w:val="-28"/>
          <w:w w:val="105"/>
        </w:rPr>
        <w:t> </w:t>
      </w:r>
      <w:r>
        <w:rPr>
          <w:color w:val="231F20"/>
          <w:w w:val="105"/>
        </w:rPr>
        <w:t>rafforzare</w:t>
      </w:r>
      <w:r>
        <w:rPr>
          <w:color w:val="231F20"/>
          <w:spacing w:val="-28"/>
          <w:w w:val="105"/>
        </w:rPr>
        <w:t> </w:t>
      </w:r>
      <w:r>
        <w:rPr>
          <w:color w:val="231F20"/>
          <w:w w:val="105"/>
        </w:rPr>
        <w:t>l’esercizio</w:t>
      </w:r>
      <w:r>
        <w:rPr>
          <w:color w:val="231F20"/>
          <w:spacing w:val="-28"/>
          <w:w w:val="105"/>
        </w:rPr>
        <w:t> </w:t>
      </w:r>
      <w:r>
        <w:rPr>
          <w:color w:val="231F20"/>
          <w:w w:val="105"/>
        </w:rPr>
        <w:t>di</w:t>
      </w:r>
      <w:r>
        <w:rPr>
          <w:color w:val="231F20"/>
          <w:spacing w:val="-28"/>
          <w:w w:val="105"/>
        </w:rPr>
        <w:t> </w:t>
      </w:r>
      <w:r>
        <w:rPr>
          <w:color w:val="231F20"/>
          <w:w w:val="105"/>
        </w:rPr>
        <w:t>un</w:t>
      </w:r>
      <w:r>
        <w:rPr>
          <w:color w:val="231F20"/>
          <w:spacing w:val="-28"/>
          <w:w w:val="105"/>
        </w:rPr>
        <w:t> </w:t>
      </w:r>
      <w:r>
        <w:rPr>
          <w:color w:val="231F20"/>
          <w:w w:val="105"/>
        </w:rPr>
        <w:t>certo</w:t>
      </w:r>
      <w:r>
        <w:rPr>
          <w:color w:val="231F20"/>
          <w:spacing w:val="-28"/>
          <w:w w:val="105"/>
        </w:rPr>
        <w:t> </w:t>
      </w:r>
      <w:r>
        <w:rPr>
          <w:color w:val="231F20"/>
          <w:w w:val="105"/>
        </w:rPr>
        <w:t>tipo</w:t>
      </w:r>
      <w:r>
        <w:rPr>
          <w:color w:val="231F20"/>
          <w:spacing w:val="-28"/>
          <w:w w:val="105"/>
        </w:rPr>
        <w:t> </w:t>
      </w:r>
      <w:r>
        <w:rPr>
          <w:color w:val="231F20"/>
          <w:w w:val="105"/>
        </w:rPr>
        <w:t>di</w:t>
      </w:r>
      <w:r>
        <w:rPr>
          <w:color w:val="231F20"/>
          <w:spacing w:val="-28"/>
          <w:w w:val="105"/>
        </w:rPr>
        <w:t> </w:t>
      </w:r>
      <w:r>
        <w:rPr>
          <w:color w:val="231F20"/>
          <w:w w:val="105"/>
        </w:rPr>
        <w:t>sovranità</w:t>
      </w:r>
      <w:r>
        <w:rPr>
          <w:color w:val="231F20"/>
          <w:spacing w:val="-28"/>
          <w:w w:val="105"/>
        </w:rPr>
        <w:t> </w:t>
      </w:r>
      <w:r>
        <w:rPr>
          <w:color w:val="231F20"/>
          <w:w w:val="105"/>
        </w:rPr>
        <w:t>può</w:t>
      </w:r>
      <w:r>
        <w:rPr>
          <w:color w:val="231F20"/>
          <w:spacing w:val="-28"/>
          <w:w w:val="105"/>
        </w:rPr>
        <w:t> </w:t>
      </w:r>
      <w:r>
        <w:rPr>
          <w:color w:val="231F20"/>
          <w:w w:val="105"/>
        </w:rPr>
        <w:t>addirittura </w:t>
      </w:r>
      <w:r>
        <w:rPr>
          <w:color w:val="231F20"/>
          <w:spacing w:val="-3"/>
          <w:w w:val="105"/>
        </w:rPr>
        <w:t>contribuire</w:t>
      </w:r>
      <w:r>
        <w:rPr>
          <w:color w:val="231F20"/>
          <w:spacing w:val="-43"/>
          <w:w w:val="105"/>
        </w:rPr>
        <w:t> </w:t>
      </w:r>
      <w:r>
        <w:rPr>
          <w:color w:val="231F20"/>
          <w:w w:val="105"/>
        </w:rPr>
        <w:t>a</w:t>
      </w:r>
      <w:r>
        <w:rPr>
          <w:color w:val="231F20"/>
          <w:spacing w:val="-43"/>
          <w:w w:val="105"/>
        </w:rPr>
        <w:t> </w:t>
      </w:r>
      <w:r>
        <w:rPr>
          <w:color w:val="231F20"/>
          <w:spacing w:val="-3"/>
          <w:w w:val="105"/>
        </w:rPr>
        <w:t>indebolire</w:t>
      </w:r>
      <w:r>
        <w:rPr>
          <w:color w:val="231F20"/>
          <w:spacing w:val="-43"/>
          <w:w w:val="105"/>
        </w:rPr>
        <w:t> </w:t>
      </w:r>
      <w:r>
        <w:rPr>
          <w:color w:val="231F20"/>
          <w:w w:val="105"/>
        </w:rPr>
        <w:t>quello</w:t>
      </w:r>
      <w:r>
        <w:rPr>
          <w:color w:val="231F20"/>
          <w:spacing w:val="-43"/>
          <w:w w:val="105"/>
        </w:rPr>
        <w:t> </w:t>
      </w:r>
      <w:r>
        <w:rPr>
          <w:color w:val="231F20"/>
          <w:w w:val="105"/>
        </w:rPr>
        <w:t>degli</w:t>
      </w:r>
      <w:r>
        <w:rPr>
          <w:color w:val="231F20"/>
          <w:spacing w:val="-43"/>
          <w:w w:val="105"/>
        </w:rPr>
        <w:t> </w:t>
      </w:r>
      <w:r>
        <w:rPr>
          <w:color w:val="231F20"/>
          <w:w w:val="105"/>
        </w:rPr>
        <w:t>altri</w:t>
      </w:r>
      <w:r>
        <w:rPr>
          <w:color w:val="231F20"/>
          <w:w w:val="105"/>
          <w:position w:val="7"/>
          <w:sz w:val="12"/>
        </w:rPr>
        <w:t>82</w:t>
      </w:r>
      <w:r>
        <w:rPr>
          <w:color w:val="231F20"/>
          <w:w w:val="105"/>
        </w:rPr>
        <w:t>.</w:t>
      </w:r>
      <w:r>
        <w:rPr>
          <w:color w:val="231F20"/>
          <w:spacing w:val="-43"/>
          <w:w w:val="105"/>
        </w:rPr>
        <w:t> </w:t>
      </w:r>
      <w:r>
        <w:rPr>
          <w:color w:val="231F20"/>
          <w:w w:val="105"/>
        </w:rPr>
        <w:t>È</w:t>
      </w:r>
      <w:r>
        <w:rPr>
          <w:color w:val="231F20"/>
          <w:spacing w:val="-43"/>
          <w:w w:val="105"/>
        </w:rPr>
        <w:t> </w:t>
      </w:r>
      <w:r>
        <w:rPr>
          <w:color w:val="231F20"/>
          <w:w w:val="105"/>
        </w:rPr>
        <w:t>appunto</w:t>
      </w:r>
      <w:r>
        <w:rPr>
          <w:color w:val="231F20"/>
          <w:spacing w:val="-43"/>
          <w:w w:val="105"/>
        </w:rPr>
        <w:t> </w:t>
      </w:r>
      <w:r>
        <w:rPr>
          <w:color w:val="231F20"/>
          <w:w w:val="105"/>
        </w:rPr>
        <w:t>per</w:t>
      </w:r>
      <w:r>
        <w:rPr>
          <w:color w:val="231F20"/>
          <w:spacing w:val="-43"/>
          <w:w w:val="105"/>
        </w:rPr>
        <w:t> </w:t>
      </w:r>
      <w:r>
        <w:rPr>
          <w:color w:val="231F20"/>
          <w:w w:val="105"/>
        </w:rPr>
        <w:t>questo</w:t>
      </w:r>
      <w:r>
        <w:rPr>
          <w:color w:val="231F20"/>
          <w:spacing w:val="-43"/>
          <w:w w:val="105"/>
        </w:rPr>
        <w:t> </w:t>
      </w:r>
      <w:r>
        <w:rPr>
          <w:color w:val="231F20"/>
          <w:w w:val="105"/>
        </w:rPr>
        <w:t>motivo</w:t>
      </w:r>
      <w:r>
        <w:rPr>
          <w:color w:val="231F20"/>
          <w:spacing w:val="-43"/>
          <w:w w:val="105"/>
        </w:rPr>
        <w:t> </w:t>
      </w:r>
      <w:r>
        <w:rPr>
          <w:color w:val="231F20"/>
          <w:w w:val="105"/>
        </w:rPr>
        <w:t>che, secondo</w:t>
      </w:r>
      <w:r>
        <w:rPr>
          <w:color w:val="231F20"/>
          <w:spacing w:val="-34"/>
          <w:w w:val="105"/>
        </w:rPr>
        <w:t> </w:t>
      </w:r>
      <w:r>
        <w:rPr>
          <w:color w:val="231F20"/>
          <w:spacing w:val="-3"/>
          <w:w w:val="105"/>
        </w:rPr>
        <w:t>Krasner,</w:t>
      </w:r>
      <w:r>
        <w:rPr>
          <w:color w:val="231F20"/>
          <w:spacing w:val="-34"/>
          <w:w w:val="105"/>
        </w:rPr>
        <w:t> </w:t>
      </w:r>
      <w:r>
        <w:rPr>
          <w:color w:val="231F20"/>
          <w:w w:val="105"/>
        </w:rPr>
        <w:t>in</w:t>
      </w:r>
      <w:r>
        <w:rPr>
          <w:color w:val="231F20"/>
          <w:spacing w:val="-34"/>
          <w:w w:val="105"/>
        </w:rPr>
        <w:t> </w:t>
      </w:r>
      <w:r>
        <w:rPr>
          <w:color w:val="231F20"/>
          <w:w w:val="105"/>
        </w:rPr>
        <w:t>un</w:t>
      </w:r>
      <w:r>
        <w:rPr>
          <w:color w:val="231F20"/>
          <w:spacing w:val="-34"/>
          <w:w w:val="105"/>
        </w:rPr>
        <w:t> </w:t>
      </w:r>
      <w:r>
        <w:rPr>
          <w:color w:val="231F20"/>
          <w:w w:val="105"/>
        </w:rPr>
        <w:t>tumultuoso</w:t>
      </w:r>
      <w:r>
        <w:rPr>
          <w:color w:val="231F20"/>
          <w:spacing w:val="-34"/>
          <w:w w:val="105"/>
        </w:rPr>
        <w:t> </w:t>
      </w:r>
      <w:r>
        <w:rPr>
          <w:color w:val="231F20"/>
          <w:w w:val="105"/>
        </w:rPr>
        <w:t>momento</w:t>
      </w:r>
      <w:r>
        <w:rPr>
          <w:color w:val="231F20"/>
          <w:spacing w:val="-34"/>
          <w:w w:val="105"/>
        </w:rPr>
        <w:t> </w:t>
      </w:r>
      <w:r>
        <w:rPr>
          <w:color w:val="231F20"/>
          <w:w w:val="105"/>
        </w:rPr>
        <w:t>di</w:t>
      </w:r>
      <w:r>
        <w:rPr>
          <w:color w:val="231F20"/>
          <w:spacing w:val="-34"/>
          <w:w w:val="105"/>
        </w:rPr>
        <w:t> </w:t>
      </w:r>
      <w:r>
        <w:rPr>
          <w:color w:val="231F20"/>
          <w:w w:val="105"/>
        </w:rPr>
        <w:t>cambiamento</w:t>
      </w:r>
      <w:r>
        <w:rPr>
          <w:color w:val="231F20"/>
          <w:spacing w:val="-34"/>
          <w:w w:val="105"/>
        </w:rPr>
        <w:t> </w:t>
      </w:r>
      <w:r>
        <w:rPr>
          <w:color w:val="231F20"/>
          <w:w w:val="105"/>
        </w:rPr>
        <w:t>come</w:t>
      </w:r>
      <w:r>
        <w:rPr>
          <w:color w:val="231F20"/>
          <w:spacing w:val="-34"/>
          <w:w w:val="105"/>
        </w:rPr>
        <w:t> </w:t>
      </w:r>
      <w:r>
        <w:rPr>
          <w:color w:val="231F20"/>
          <w:w w:val="105"/>
        </w:rPr>
        <w:t>quello che</w:t>
      </w:r>
      <w:r>
        <w:rPr>
          <w:color w:val="231F20"/>
          <w:spacing w:val="-55"/>
          <w:w w:val="105"/>
        </w:rPr>
        <w:t> </w:t>
      </w:r>
      <w:r>
        <w:rPr>
          <w:color w:val="231F20"/>
          <w:w w:val="105"/>
        </w:rPr>
        <w:t>stiamo</w:t>
      </w:r>
      <w:r>
        <w:rPr>
          <w:color w:val="231F20"/>
          <w:spacing w:val="-55"/>
          <w:w w:val="105"/>
        </w:rPr>
        <w:t> </w:t>
      </w:r>
      <w:r>
        <w:rPr>
          <w:color w:val="231F20"/>
          <w:w w:val="105"/>
        </w:rPr>
        <w:t>vivendo,</w:t>
      </w:r>
      <w:r>
        <w:rPr>
          <w:color w:val="231F20"/>
          <w:spacing w:val="-55"/>
          <w:w w:val="105"/>
        </w:rPr>
        <w:t> </w:t>
      </w:r>
      <w:r>
        <w:rPr>
          <w:color w:val="231F20"/>
          <w:w w:val="105"/>
        </w:rPr>
        <w:t>qualsiasi</w:t>
      </w:r>
      <w:r>
        <w:rPr>
          <w:color w:val="231F20"/>
          <w:spacing w:val="-55"/>
          <w:w w:val="105"/>
        </w:rPr>
        <w:t> </w:t>
      </w:r>
      <w:r>
        <w:rPr>
          <w:color w:val="231F20"/>
          <w:w w:val="105"/>
        </w:rPr>
        <w:t>generica</w:t>
      </w:r>
      <w:r>
        <w:rPr>
          <w:color w:val="231F20"/>
          <w:spacing w:val="-55"/>
          <w:w w:val="105"/>
        </w:rPr>
        <w:t> </w:t>
      </w:r>
      <w:r>
        <w:rPr>
          <w:color w:val="231F20"/>
          <w:spacing w:val="-3"/>
          <w:w w:val="105"/>
        </w:rPr>
        <w:t>affermazione</w:t>
      </w:r>
      <w:r>
        <w:rPr>
          <w:color w:val="231F20"/>
          <w:spacing w:val="-55"/>
          <w:w w:val="105"/>
        </w:rPr>
        <w:t> </w:t>
      </w:r>
      <w:r>
        <w:rPr>
          <w:color w:val="231F20"/>
          <w:w w:val="105"/>
        </w:rPr>
        <w:t>in</w:t>
      </w:r>
      <w:r>
        <w:rPr>
          <w:color w:val="231F20"/>
          <w:spacing w:val="-55"/>
          <w:w w:val="105"/>
        </w:rPr>
        <w:t> </w:t>
      </w:r>
      <w:r>
        <w:rPr>
          <w:color w:val="231F20"/>
          <w:w w:val="105"/>
        </w:rPr>
        <w:t>tema</w:t>
      </w:r>
      <w:r>
        <w:rPr>
          <w:color w:val="231F20"/>
          <w:spacing w:val="-55"/>
          <w:w w:val="105"/>
        </w:rPr>
        <w:t> </w:t>
      </w:r>
      <w:r>
        <w:rPr>
          <w:color w:val="231F20"/>
          <w:w w:val="105"/>
        </w:rPr>
        <w:t>di</w:t>
      </w:r>
      <w:r>
        <w:rPr>
          <w:color w:val="231F20"/>
          <w:spacing w:val="-55"/>
          <w:w w:val="105"/>
        </w:rPr>
        <w:t> </w:t>
      </w:r>
      <w:r>
        <w:rPr>
          <w:color w:val="231F20"/>
          <w:w w:val="105"/>
        </w:rPr>
        <w:t>sovranità</w:t>
      </w:r>
      <w:r>
        <w:rPr>
          <w:color w:val="231F20"/>
          <w:spacing w:val="-55"/>
          <w:w w:val="105"/>
        </w:rPr>
        <w:t> </w:t>
      </w:r>
      <w:r>
        <w:rPr>
          <w:color w:val="231F20"/>
          <w:spacing w:val="-2"/>
          <w:w w:val="105"/>
        </w:rPr>
        <w:t>non </w:t>
      </w:r>
      <w:r>
        <w:rPr>
          <w:color w:val="231F20"/>
          <w:w w:val="105"/>
        </w:rPr>
        <w:t>può</w:t>
      </w:r>
      <w:r>
        <w:rPr>
          <w:color w:val="231F20"/>
          <w:spacing w:val="-30"/>
          <w:w w:val="105"/>
        </w:rPr>
        <w:t> </w:t>
      </w:r>
      <w:r>
        <w:rPr>
          <w:color w:val="231F20"/>
          <w:w w:val="105"/>
        </w:rPr>
        <w:t>che</w:t>
      </w:r>
      <w:r>
        <w:rPr>
          <w:color w:val="231F20"/>
          <w:spacing w:val="-30"/>
          <w:w w:val="105"/>
        </w:rPr>
        <w:t> </w:t>
      </w:r>
      <w:r>
        <w:rPr>
          <w:color w:val="231F20"/>
          <w:w w:val="105"/>
        </w:rPr>
        <w:t>essere</w:t>
      </w:r>
      <w:r>
        <w:rPr>
          <w:color w:val="231F20"/>
          <w:spacing w:val="-30"/>
          <w:w w:val="105"/>
        </w:rPr>
        <w:t> </w:t>
      </w:r>
      <w:r>
        <w:rPr>
          <w:color w:val="231F20"/>
          <w:w w:val="105"/>
        </w:rPr>
        <w:t>equivoca</w:t>
      </w:r>
      <w:r>
        <w:rPr>
          <w:color w:val="231F20"/>
          <w:spacing w:val="-30"/>
          <w:w w:val="105"/>
        </w:rPr>
        <w:t> </w:t>
      </w:r>
      <w:r>
        <w:rPr>
          <w:color w:val="231F20"/>
          <w:w w:val="105"/>
        </w:rPr>
        <w:t>e</w:t>
      </w:r>
      <w:r>
        <w:rPr>
          <w:color w:val="231F20"/>
          <w:spacing w:val="-30"/>
          <w:w w:val="105"/>
        </w:rPr>
        <w:t> </w:t>
      </w:r>
      <w:r>
        <w:rPr>
          <w:color w:val="231F20"/>
          <w:w w:val="105"/>
        </w:rPr>
        <w:t>dannosa.</w:t>
      </w:r>
      <w:r>
        <w:rPr>
          <w:color w:val="231F20"/>
          <w:spacing w:val="-30"/>
          <w:w w:val="105"/>
        </w:rPr>
        <w:t> </w:t>
      </w:r>
      <w:r>
        <w:rPr>
          <w:color w:val="231F20"/>
          <w:w w:val="105"/>
        </w:rPr>
        <w:t>E</w:t>
      </w:r>
      <w:r>
        <w:rPr>
          <w:color w:val="231F20"/>
          <w:spacing w:val="-30"/>
          <w:w w:val="105"/>
        </w:rPr>
        <w:t> </w:t>
      </w:r>
      <w:r>
        <w:rPr>
          <w:color w:val="231F20"/>
          <w:w w:val="105"/>
        </w:rPr>
        <w:t>che</w:t>
      </w:r>
      <w:r>
        <w:rPr>
          <w:color w:val="231F20"/>
          <w:spacing w:val="-30"/>
          <w:w w:val="105"/>
        </w:rPr>
        <w:t> </w:t>
      </w:r>
      <w:r>
        <w:rPr>
          <w:color w:val="231F20"/>
          <w:w w:val="105"/>
        </w:rPr>
        <w:t>sforzarsi</w:t>
      </w:r>
      <w:r>
        <w:rPr>
          <w:color w:val="231F20"/>
          <w:spacing w:val="-30"/>
          <w:w w:val="105"/>
        </w:rPr>
        <w:t> </w:t>
      </w:r>
      <w:r>
        <w:rPr>
          <w:color w:val="231F20"/>
          <w:w w:val="105"/>
        </w:rPr>
        <w:t>di</w:t>
      </w:r>
      <w:r>
        <w:rPr>
          <w:color w:val="231F20"/>
          <w:spacing w:val="-30"/>
          <w:w w:val="105"/>
        </w:rPr>
        <w:t> </w:t>
      </w:r>
      <w:r>
        <w:rPr>
          <w:color w:val="231F20"/>
          <w:w w:val="105"/>
        </w:rPr>
        <w:t>“disaggregare”</w:t>
      </w:r>
      <w:r>
        <w:rPr>
          <w:color w:val="231F20"/>
          <w:spacing w:val="-30"/>
          <w:w w:val="105"/>
        </w:rPr>
        <w:t> </w:t>
      </w:r>
      <w:r>
        <w:rPr>
          <w:color w:val="231F20"/>
          <w:w w:val="105"/>
        </w:rPr>
        <w:t>quel complesso</w:t>
      </w:r>
      <w:r>
        <w:rPr>
          <w:color w:val="231F20"/>
          <w:spacing w:val="-49"/>
          <w:w w:val="105"/>
        </w:rPr>
        <w:t> </w:t>
      </w:r>
      <w:r>
        <w:rPr>
          <w:color w:val="231F20"/>
          <w:w w:val="105"/>
        </w:rPr>
        <w:t>di</w:t>
      </w:r>
      <w:r>
        <w:rPr>
          <w:color w:val="231F20"/>
          <w:spacing w:val="-49"/>
          <w:w w:val="105"/>
        </w:rPr>
        <w:t> </w:t>
      </w:r>
      <w:r>
        <w:rPr>
          <w:color w:val="231F20"/>
          <w:spacing w:val="-3"/>
          <w:w w:val="105"/>
        </w:rPr>
        <w:t>prerogative</w:t>
      </w:r>
      <w:r>
        <w:rPr>
          <w:color w:val="231F20"/>
          <w:spacing w:val="-49"/>
          <w:w w:val="105"/>
        </w:rPr>
        <w:t> </w:t>
      </w:r>
      <w:r>
        <w:rPr>
          <w:color w:val="231F20"/>
          <w:w w:val="105"/>
        </w:rPr>
        <w:t>e</w:t>
      </w:r>
      <w:r>
        <w:rPr>
          <w:color w:val="231F20"/>
          <w:spacing w:val="-49"/>
          <w:w w:val="105"/>
        </w:rPr>
        <w:t> </w:t>
      </w:r>
      <w:r>
        <w:rPr>
          <w:color w:val="231F20"/>
          <w:w w:val="105"/>
        </w:rPr>
        <w:t>funzioni</w:t>
      </w:r>
      <w:r>
        <w:rPr>
          <w:color w:val="231F20"/>
          <w:spacing w:val="-49"/>
          <w:w w:val="105"/>
        </w:rPr>
        <w:t> </w:t>
      </w:r>
      <w:r>
        <w:rPr>
          <w:color w:val="231F20"/>
          <w:w w:val="105"/>
        </w:rPr>
        <w:t>che</w:t>
      </w:r>
      <w:r>
        <w:rPr>
          <w:color w:val="231F20"/>
          <w:spacing w:val="-49"/>
          <w:w w:val="105"/>
        </w:rPr>
        <w:t> </w:t>
      </w:r>
      <w:r>
        <w:rPr>
          <w:color w:val="231F20"/>
          <w:w w:val="105"/>
        </w:rPr>
        <w:t>siamo</w:t>
      </w:r>
      <w:r>
        <w:rPr>
          <w:color w:val="231F20"/>
          <w:spacing w:val="-49"/>
          <w:w w:val="105"/>
        </w:rPr>
        <w:t> </w:t>
      </w:r>
      <w:r>
        <w:rPr>
          <w:color w:val="231F20"/>
          <w:w w:val="105"/>
        </w:rPr>
        <w:t>abituati</w:t>
      </w:r>
      <w:r>
        <w:rPr>
          <w:color w:val="231F20"/>
          <w:spacing w:val="-49"/>
          <w:w w:val="105"/>
        </w:rPr>
        <w:t> </w:t>
      </w:r>
      <w:r>
        <w:rPr>
          <w:color w:val="231F20"/>
          <w:w w:val="105"/>
        </w:rPr>
        <w:t>a</w:t>
      </w:r>
      <w:r>
        <w:rPr>
          <w:color w:val="231F20"/>
          <w:spacing w:val="-49"/>
          <w:w w:val="105"/>
        </w:rPr>
        <w:t> </w:t>
      </w:r>
      <w:r>
        <w:rPr>
          <w:color w:val="231F20"/>
          <w:spacing w:val="-3"/>
          <w:w w:val="105"/>
        </w:rPr>
        <w:t>rappresentare</w:t>
      </w:r>
      <w:r>
        <w:rPr>
          <w:color w:val="231F20"/>
          <w:spacing w:val="-49"/>
          <w:w w:val="105"/>
        </w:rPr>
        <w:t> </w:t>
      </w:r>
      <w:r>
        <w:rPr>
          <w:color w:val="231F20"/>
          <w:w w:val="105"/>
        </w:rPr>
        <w:t>come un</w:t>
      </w:r>
      <w:r>
        <w:rPr>
          <w:color w:val="231F20"/>
          <w:spacing w:val="-14"/>
          <w:w w:val="105"/>
        </w:rPr>
        <w:t> </w:t>
      </w:r>
      <w:r>
        <w:rPr>
          <w:color w:val="231F20"/>
          <w:w w:val="105"/>
        </w:rPr>
        <w:t>tutto</w:t>
      </w:r>
      <w:r>
        <w:rPr>
          <w:color w:val="231F20"/>
          <w:spacing w:val="-14"/>
          <w:w w:val="105"/>
        </w:rPr>
        <w:t> </w:t>
      </w:r>
      <w:r>
        <w:rPr>
          <w:color w:val="231F20"/>
          <w:w w:val="105"/>
        </w:rPr>
        <w:t>onnicomprensivo</w:t>
      </w:r>
      <w:r>
        <w:rPr>
          <w:color w:val="231F20"/>
          <w:spacing w:val="-14"/>
          <w:w w:val="105"/>
        </w:rPr>
        <w:t> </w:t>
      </w:r>
      <w:r>
        <w:rPr>
          <w:color w:val="231F20"/>
          <w:w w:val="105"/>
        </w:rPr>
        <w:t>e</w:t>
      </w:r>
      <w:r>
        <w:rPr>
          <w:color w:val="231F20"/>
          <w:spacing w:val="-14"/>
          <w:w w:val="105"/>
        </w:rPr>
        <w:t> </w:t>
      </w:r>
      <w:r>
        <w:rPr>
          <w:color w:val="231F20"/>
          <w:w w:val="105"/>
        </w:rPr>
        <w:t>monolitico,</w:t>
      </w:r>
      <w:r>
        <w:rPr>
          <w:color w:val="231F20"/>
          <w:spacing w:val="-14"/>
          <w:w w:val="105"/>
        </w:rPr>
        <w:t> </w:t>
      </w:r>
      <w:r>
        <w:rPr>
          <w:color w:val="231F20"/>
          <w:w w:val="105"/>
        </w:rPr>
        <w:t>operante</w:t>
      </w:r>
      <w:r>
        <w:rPr>
          <w:color w:val="231F20"/>
          <w:spacing w:val="-14"/>
          <w:w w:val="105"/>
        </w:rPr>
        <w:t> </w:t>
      </w:r>
      <w:r>
        <w:rPr>
          <w:color w:val="231F20"/>
          <w:w w:val="105"/>
        </w:rPr>
        <w:t>sulla</w:t>
      </w:r>
      <w:r>
        <w:rPr>
          <w:color w:val="231F20"/>
          <w:spacing w:val="-14"/>
          <w:w w:val="105"/>
        </w:rPr>
        <w:t> </w:t>
      </w:r>
      <w:r>
        <w:rPr>
          <w:color w:val="231F20"/>
          <w:w w:val="105"/>
        </w:rPr>
        <w:t>base</w:t>
      </w:r>
      <w:r>
        <w:rPr>
          <w:color w:val="231F20"/>
          <w:spacing w:val="-14"/>
          <w:w w:val="105"/>
        </w:rPr>
        <w:t> </w:t>
      </w:r>
      <w:r>
        <w:rPr>
          <w:color w:val="231F20"/>
          <w:w w:val="105"/>
        </w:rPr>
        <w:t>di</w:t>
      </w:r>
      <w:r>
        <w:rPr>
          <w:color w:val="231F20"/>
          <w:spacing w:val="-14"/>
          <w:w w:val="105"/>
        </w:rPr>
        <w:t> </w:t>
      </w:r>
      <w:r>
        <w:rPr>
          <w:color w:val="231F20"/>
          <w:w w:val="105"/>
        </w:rPr>
        <w:t>una</w:t>
      </w:r>
      <w:r>
        <w:rPr>
          <w:color w:val="231F20"/>
          <w:spacing w:val="-14"/>
          <w:w w:val="105"/>
        </w:rPr>
        <w:t> </w:t>
      </w:r>
      <w:r>
        <w:rPr>
          <w:color w:val="231F20"/>
          <w:w w:val="105"/>
        </w:rPr>
        <w:t>rigida logica</w:t>
      </w:r>
      <w:r>
        <w:rPr>
          <w:color w:val="231F20"/>
          <w:spacing w:val="-15"/>
          <w:w w:val="105"/>
        </w:rPr>
        <w:t> </w:t>
      </w:r>
      <w:r>
        <w:rPr>
          <w:color w:val="231F20"/>
          <w:w w:val="105"/>
        </w:rPr>
        <w:t>binaria,</w:t>
      </w:r>
      <w:r>
        <w:rPr>
          <w:color w:val="231F20"/>
          <w:spacing w:val="-15"/>
          <w:w w:val="105"/>
        </w:rPr>
        <w:t> </w:t>
      </w:r>
      <w:r>
        <w:rPr>
          <w:color w:val="231F20"/>
          <w:w w:val="105"/>
        </w:rPr>
        <w:t>potrebbe</w:t>
      </w:r>
      <w:r>
        <w:rPr>
          <w:color w:val="231F20"/>
          <w:spacing w:val="-15"/>
          <w:w w:val="105"/>
        </w:rPr>
        <w:t> </w:t>
      </w:r>
      <w:r>
        <w:rPr>
          <w:color w:val="231F20"/>
          <w:w w:val="105"/>
        </w:rPr>
        <w:t>contribuire</w:t>
      </w:r>
      <w:r>
        <w:rPr>
          <w:color w:val="231F20"/>
          <w:spacing w:val="-15"/>
          <w:w w:val="105"/>
        </w:rPr>
        <w:t> </w:t>
      </w:r>
      <w:r>
        <w:rPr>
          <w:color w:val="231F20"/>
          <w:w w:val="105"/>
        </w:rPr>
        <w:t>a</w:t>
      </w:r>
      <w:r>
        <w:rPr>
          <w:color w:val="231F20"/>
          <w:spacing w:val="-15"/>
          <w:w w:val="105"/>
        </w:rPr>
        <w:t> </w:t>
      </w:r>
      <w:r>
        <w:rPr>
          <w:color w:val="231F20"/>
          <w:w w:val="105"/>
        </w:rPr>
        <w:t>dissolvere</w:t>
      </w:r>
      <w:r>
        <w:rPr>
          <w:color w:val="231F20"/>
          <w:spacing w:val="-15"/>
          <w:w w:val="105"/>
        </w:rPr>
        <w:t> </w:t>
      </w:r>
      <w:r>
        <w:rPr>
          <w:color w:val="231F20"/>
          <w:w w:val="105"/>
        </w:rPr>
        <w:t>molta</w:t>
      </w:r>
      <w:r>
        <w:rPr>
          <w:color w:val="231F20"/>
          <w:spacing w:val="-15"/>
          <w:w w:val="105"/>
        </w:rPr>
        <w:t> </w:t>
      </w:r>
      <w:r>
        <w:rPr>
          <w:color w:val="231F20"/>
          <w:w w:val="105"/>
        </w:rPr>
        <w:t>della</w:t>
      </w:r>
      <w:r>
        <w:rPr>
          <w:color w:val="231F20"/>
          <w:spacing w:val="-15"/>
          <w:w w:val="105"/>
        </w:rPr>
        <w:t> </w:t>
      </w:r>
      <w:r>
        <w:rPr>
          <w:color w:val="231F20"/>
          <w:w w:val="105"/>
        </w:rPr>
        <w:t>confusione</w:t>
      </w:r>
      <w:r>
        <w:rPr>
          <w:color w:val="231F20"/>
          <w:spacing w:val="-15"/>
          <w:w w:val="105"/>
        </w:rPr>
        <w:t> </w:t>
      </w:r>
      <w:r>
        <w:rPr>
          <w:color w:val="231F20"/>
          <w:w w:val="105"/>
        </w:rPr>
        <w:t>e dell’imprecisione</w:t>
      </w:r>
      <w:r>
        <w:rPr>
          <w:color w:val="231F20"/>
          <w:spacing w:val="-28"/>
          <w:w w:val="105"/>
        </w:rPr>
        <w:t> </w:t>
      </w:r>
      <w:r>
        <w:rPr>
          <w:color w:val="231F20"/>
          <w:w w:val="105"/>
        </w:rPr>
        <w:t>che</w:t>
      </w:r>
      <w:r>
        <w:rPr>
          <w:color w:val="231F20"/>
          <w:spacing w:val="-28"/>
          <w:w w:val="105"/>
        </w:rPr>
        <w:t> </w:t>
      </w:r>
      <w:r>
        <w:rPr>
          <w:color w:val="231F20"/>
          <w:w w:val="105"/>
        </w:rPr>
        <w:t>oggi</w:t>
      </w:r>
      <w:r>
        <w:rPr>
          <w:color w:val="231F20"/>
          <w:spacing w:val="-28"/>
          <w:w w:val="105"/>
        </w:rPr>
        <w:t> </w:t>
      </w:r>
      <w:r>
        <w:rPr>
          <w:color w:val="231F20"/>
          <w:w w:val="105"/>
        </w:rPr>
        <w:t>caratterizza</w:t>
      </w:r>
      <w:r>
        <w:rPr>
          <w:color w:val="231F20"/>
          <w:spacing w:val="-28"/>
          <w:w w:val="105"/>
        </w:rPr>
        <w:t> </w:t>
      </w:r>
      <w:r>
        <w:rPr>
          <w:color w:val="231F20"/>
          <w:w w:val="105"/>
        </w:rPr>
        <w:t>il</w:t>
      </w:r>
      <w:r>
        <w:rPr>
          <w:color w:val="231F20"/>
          <w:spacing w:val="-28"/>
          <w:w w:val="105"/>
        </w:rPr>
        <w:t> </w:t>
      </w:r>
      <w:r>
        <w:rPr>
          <w:color w:val="231F20"/>
          <w:w w:val="105"/>
        </w:rPr>
        <w:t>dibattito</w:t>
      </w:r>
      <w:r>
        <w:rPr>
          <w:color w:val="231F20"/>
          <w:spacing w:val="-28"/>
          <w:w w:val="105"/>
        </w:rPr>
        <w:t> </w:t>
      </w:r>
      <w:r>
        <w:rPr>
          <w:color w:val="231F20"/>
          <w:w w:val="105"/>
        </w:rPr>
        <w:t>sul</w:t>
      </w:r>
      <w:r>
        <w:rPr>
          <w:color w:val="231F20"/>
          <w:spacing w:val="-28"/>
          <w:w w:val="105"/>
        </w:rPr>
        <w:t> </w:t>
      </w:r>
      <w:r>
        <w:rPr>
          <w:color w:val="231F20"/>
          <w:w w:val="105"/>
        </w:rPr>
        <w:t>nuovo</w:t>
      </w:r>
      <w:r>
        <w:rPr>
          <w:color w:val="231F20"/>
          <w:spacing w:val="-28"/>
          <w:w w:val="105"/>
        </w:rPr>
        <w:t> </w:t>
      </w:r>
      <w:r>
        <w:rPr>
          <w:color w:val="231F20"/>
          <w:w w:val="105"/>
        </w:rPr>
        <w:t>ordine</w:t>
      </w:r>
      <w:r>
        <w:rPr>
          <w:color w:val="231F20"/>
          <w:spacing w:val="-28"/>
          <w:w w:val="105"/>
        </w:rPr>
        <w:t> </w:t>
      </w:r>
      <w:r>
        <w:rPr>
          <w:color w:val="231F20"/>
          <w:w w:val="105"/>
        </w:rPr>
        <w:t>politico della società</w:t>
      </w:r>
      <w:r>
        <w:rPr>
          <w:color w:val="231F20"/>
          <w:spacing w:val="-45"/>
          <w:w w:val="105"/>
        </w:rPr>
        <w:t> </w:t>
      </w:r>
      <w:r>
        <w:rPr>
          <w:color w:val="231F20"/>
          <w:w w:val="105"/>
        </w:rPr>
        <w:t>globale.</w:t>
      </w:r>
    </w:p>
    <w:p>
      <w:pPr>
        <w:pStyle w:val="BodyText"/>
        <w:spacing w:line="247" w:lineRule="auto"/>
        <w:ind w:left="103" w:right="110" w:firstLine="566"/>
        <w:jc w:val="both"/>
      </w:pPr>
      <w:r>
        <w:rPr>
          <w:color w:val="231F20"/>
          <w:spacing w:val="-3"/>
        </w:rPr>
        <w:t>Come credo </w:t>
      </w:r>
      <w:r>
        <w:rPr>
          <w:color w:val="231F20"/>
        </w:rPr>
        <w:t>sia </w:t>
      </w:r>
      <w:r>
        <w:rPr>
          <w:color w:val="231F20"/>
          <w:spacing w:val="-3"/>
        </w:rPr>
        <w:t>sufficientemente evidente sulla base </w:t>
      </w:r>
      <w:r>
        <w:rPr>
          <w:color w:val="231F20"/>
        </w:rPr>
        <w:t>dei </w:t>
      </w:r>
      <w:r>
        <w:rPr>
          <w:color w:val="231F20"/>
          <w:spacing w:val="-3"/>
        </w:rPr>
        <w:t>passi citati, </w:t>
      </w:r>
      <w:r>
        <w:rPr>
          <w:color w:val="231F20"/>
          <w:spacing w:val="2"/>
        </w:rPr>
        <w:t>obiettivo precipuo </w:t>
      </w:r>
      <w:r>
        <w:rPr>
          <w:color w:val="231F20"/>
        </w:rPr>
        <w:t>di </w:t>
      </w:r>
      <w:r>
        <w:rPr>
          <w:color w:val="231F20"/>
          <w:spacing w:val="2"/>
        </w:rPr>
        <w:t>queste nuove </w:t>
      </w:r>
      <w:r>
        <w:rPr>
          <w:color w:val="231F20"/>
        </w:rPr>
        <w:t>e più </w:t>
      </w:r>
      <w:r>
        <w:rPr>
          <w:color w:val="231F20"/>
          <w:spacing w:val="2"/>
        </w:rPr>
        <w:t>complesse concezioni </w:t>
      </w:r>
      <w:r>
        <w:rPr>
          <w:color w:val="231F20"/>
          <w:spacing w:val="3"/>
        </w:rPr>
        <w:t>della </w:t>
      </w:r>
      <w:r>
        <w:rPr>
          <w:color w:val="231F20"/>
          <w:spacing w:val="-3"/>
        </w:rPr>
        <w:t>sovranità</w:t>
      </w:r>
      <w:r>
        <w:rPr>
          <w:color w:val="231F20"/>
          <w:spacing w:val="-16"/>
        </w:rPr>
        <w:t> </w:t>
      </w:r>
      <w:r>
        <w:rPr>
          <w:color w:val="231F20"/>
          <w:spacing w:val="-3"/>
        </w:rPr>
        <w:t>statuale</w:t>
      </w:r>
      <w:r>
        <w:rPr>
          <w:color w:val="231F20"/>
          <w:spacing w:val="-16"/>
        </w:rPr>
        <w:t> </w:t>
      </w:r>
      <w:r>
        <w:rPr>
          <w:color w:val="231F20"/>
        </w:rPr>
        <w:t>è</w:t>
      </w:r>
      <w:r>
        <w:rPr>
          <w:color w:val="231F20"/>
          <w:spacing w:val="-16"/>
        </w:rPr>
        <w:t> </w:t>
      </w:r>
      <w:r>
        <w:rPr>
          <w:color w:val="231F20"/>
          <w:spacing w:val="-3"/>
        </w:rPr>
        <w:t>quella</w:t>
      </w:r>
      <w:r>
        <w:rPr>
          <w:color w:val="231F20"/>
          <w:spacing w:val="-16"/>
        </w:rPr>
        <w:t> </w:t>
      </w:r>
      <w:r>
        <w:rPr>
          <w:color w:val="231F20"/>
        </w:rPr>
        <w:t>di</w:t>
      </w:r>
      <w:r>
        <w:rPr>
          <w:color w:val="231F20"/>
          <w:spacing w:val="-16"/>
        </w:rPr>
        <w:t> </w:t>
      </w:r>
      <w:r>
        <w:rPr>
          <w:color w:val="231F20"/>
          <w:spacing w:val="-3"/>
        </w:rPr>
        <w:t>confrontarsi</w:t>
      </w:r>
      <w:r>
        <w:rPr>
          <w:color w:val="231F20"/>
          <w:spacing w:val="-16"/>
        </w:rPr>
        <w:t> </w:t>
      </w:r>
      <w:r>
        <w:rPr>
          <w:color w:val="231F20"/>
        </w:rPr>
        <w:t>con</w:t>
      </w:r>
      <w:r>
        <w:rPr>
          <w:color w:val="231F20"/>
          <w:spacing w:val="-16"/>
        </w:rPr>
        <w:t> </w:t>
      </w:r>
      <w:r>
        <w:rPr>
          <w:color w:val="231F20"/>
        </w:rPr>
        <w:t>il</w:t>
      </w:r>
      <w:r>
        <w:rPr>
          <w:color w:val="231F20"/>
          <w:spacing w:val="-16"/>
        </w:rPr>
        <w:t> </w:t>
      </w:r>
      <w:r>
        <w:rPr>
          <w:color w:val="231F20"/>
          <w:spacing w:val="-3"/>
        </w:rPr>
        <w:t>labirintico</w:t>
      </w:r>
      <w:r>
        <w:rPr>
          <w:color w:val="231F20"/>
          <w:spacing w:val="-16"/>
        </w:rPr>
        <w:t> </w:t>
      </w:r>
      <w:r>
        <w:rPr>
          <w:color w:val="231F20"/>
          <w:spacing w:val="-3"/>
        </w:rPr>
        <w:t>assetto</w:t>
      </w:r>
      <w:r>
        <w:rPr>
          <w:color w:val="231F20"/>
          <w:spacing w:val="-16"/>
        </w:rPr>
        <w:t> </w:t>
      </w:r>
      <w:r>
        <w:rPr>
          <w:color w:val="231F20"/>
          <w:spacing w:val="-3"/>
        </w:rPr>
        <w:t>autoritativo </w:t>
      </w:r>
      <w:r>
        <w:rPr>
          <w:color w:val="231F20"/>
        </w:rPr>
        <w:t>e </w:t>
      </w:r>
      <w:r>
        <w:rPr>
          <w:color w:val="231F20"/>
          <w:spacing w:val="-3"/>
        </w:rPr>
        <w:t>regolativo </w:t>
      </w:r>
      <w:r>
        <w:rPr>
          <w:color w:val="231F20"/>
        </w:rPr>
        <w:t>caratteristico di un mondo post-westfaliano, senza per questo </w:t>
      </w:r>
      <w:r>
        <w:rPr>
          <w:color w:val="231F20"/>
          <w:spacing w:val="-3"/>
        </w:rPr>
        <w:t>aderire </w:t>
      </w:r>
      <w:r>
        <w:rPr>
          <w:color w:val="231F20"/>
        </w:rPr>
        <w:t>a </w:t>
      </w:r>
      <w:r>
        <w:rPr>
          <w:color w:val="231F20"/>
          <w:spacing w:val="-3"/>
        </w:rPr>
        <w:t>semplificatorie retoriche della </w:t>
      </w:r>
      <w:r>
        <w:rPr>
          <w:color w:val="231F20"/>
        </w:rPr>
        <w:t>fine </w:t>
      </w:r>
      <w:r>
        <w:rPr>
          <w:color w:val="231F20"/>
          <w:spacing w:val="-3"/>
        </w:rPr>
        <w:t>dello Stato</w:t>
      </w:r>
      <w:r>
        <w:rPr>
          <w:color w:val="231F20"/>
          <w:spacing w:val="-3"/>
          <w:position w:val="7"/>
          <w:sz w:val="12"/>
        </w:rPr>
        <w:t>83</w:t>
      </w:r>
      <w:r>
        <w:rPr>
          <w:color w:val="231F20"/>
          <w:spacing w:val="-3"/>
        </w:rPr>
        <w:t>. Sottratta </w:t>
      </w:r>
      <w:r>
        <w:rPr>
          <w:color w:val="231F20"/>
        </w:rPr>
        <w:t>alla </w:t>
      </w:r>
      <w:r>
        <w:rPr>
          <w:color w:val="231F20"/>
          <w:spacing w:val="-4"/>
        </w:rPr>
        <w:t>presa </w:t>
      </w:r>
      <w:r>
        <w:rPr>
          <w:color w:val="231F20"/>
        </w:rPr>
        <w:t>del tradizionale paradigma sovranitario, anche la questione</w:t>
      </w:r>
      <w:r>
        <w:rPr>
          <w:color w:val="231F20"/>
          <w:spacing w:val="54"/>
        </w:rPr>
        <w:t> </w:t>
      </w:r>
      <w:r>
        <w:rPr>
          <w:color w:val="231F20"/>
        </w:rPr>
        <w:t>dell’intervento</w:t>
      </w:r>
    </w:p>
    <w:p>
      <w:pPr>
        <w:pStyle w:val="BodyText"/>
        <w:spacing w:before="6"/>
        <w:rPr>
          <w:sz w:val="26"/>
        </w:rPr>
      </w:pPr>
      <w:r>
        <w:rPr/>
        <w:pict>
          <v:line style="position:absolute;mso-position-horizontal-relative:page;mso-position-vertical-relative:paragraph;z-index:15064;mso-wrap-distance-left:0;mso-wrap-distance-right:0" from="65.196899pt,18.106985pt" to="178.582899pt,18.106985pt" stroked="true" strokeweight=".3pt" strokecolor="#231f20">
            <w10:wrap type="topAndBottom"/>
          </v:line>
        </w:pict>
      </w:r>
    </w:p>
    <w:p>
      <w:pPr>
        <w:spacing w:line="204" w:lineRule="exact" w:before="8"/>
        <w:ind w:left="103" w:right="115" w:firstLine="0"/>
        <w:jc w:val="both"/>
        <w:rPr>
          <w:rFonts w:ascii="Calibri" w:hAnsi="Calibri"/>
          <w:sz w:val="17"/>
        </w:rPr>
      </w:pPr>
      <w:r>
        <w:rPr>
          <w:rFonts w:ascii="Calibri" w:hAnsi="Calibri"/>
          <w:color w:val="231F20"/>
          <w:position w:val="6"/>
          <w:sz w:val="10"/>
        </w:rPr>
        <w:t>81 </w:t>
      </w:r>
      <w:r>
        <w:rPr>
          <w:rFonts w:ascii="Calibri" w:hAnsi="Calibri"/>
          <w:color w:val="231F20"/>
          <w:sz w:val="17"/>
        </w:rPr>
        <w:t>S. D. Krasner, “Problematic sovereignty”, S. D. Krasner (Ed.), </w:t>
      </w:r>
      <w:r>
        <w:rPr>
          <w:rFonts w:ascii="Calibri" w:hAnsi="Calibri"/>
          <w:i/>
          <w:color w:val="231F20"/>
          <w:sz w:val="17"/>
        </w:rPr>
        <w:t>Problematic Sovereignty. Contested </w:t>
      </w:r>
      <w:r>
        <w:rPr>
          <w:rFonts w:ascii="Calibri" w:hAnsi="Calibri"/>
          <w:i/>
          <w:color w:val="231F20"/>
          <w:sz w:val="17"/>
        </w:rPr>
        <w:t>Rules and Political Possibilities</w:t>
      </w:r>
      <w:r>
        <w:rPr>
          <w:rFonts w:ascii="Calibri" w:hAnsi="Calibri"/>
          <w:color w:val="231F20"/>
          <w:sz w:val="17"/>
        </w:rPr>
        <w:t>, New York, Columbia University Press, 2001, pp. 1–2. Si tratta, rispettivamente, della “Westphalian sovereignty”, della “international legal sovereignty”, della “interdependence sovereignty” e della “domestic sovereignty”.</w:t>
      </w:r>
    </w:p>
    <w:p>
      <w:pPr>
        <w:spacing w:line="206" w:lineRule="exact" w:before="1"/>
        <w:ind w:left="103" w:right="0" w:firstLine="0"/>
        <w:jc w:val="both"/>
        <w:rPr>
          <w:rFonts w:ascii="Calibri" w:hAnsi="Calibri"/>
          <w:sz w:val="17"/>
        </w:rPr>
      </w:pPr>
      <w:r>
        <w:rPr>
          <w:rFonts w:ascii="Calibri" w:hAnsi="Calibri"/>
          <w:color w:val="231F20"/>
          <w:position w:val="6"/>
          <w:sz w:val="10"/>
        </w:rPr>
        <w:t>82  </w:t>
      </w:r>
      <w:r>
        <w:rPr>
          <w:rFonts w:ascii="Calibri" w:hAnsi="Calibri"/>
          <w:color w:val="231F20"/>
          <w:sz w:val="17"/>
        </w:rPr>
        <w:t>Krasner, “Problematic sovereignty”, p. 2.</w:t>
      </w:r>
    </w:p>
    <w:p>
      <w:pPr>
        <w:spacing w:line="235" w:lineRule="auto" w:before="1"/>
        <w:ind w:left="103" w:right="114" w:firstLine="0"/>
        <w:jc w:val="both"/>
        <w:rPr>
          <w:rFonts w:ascii="Calibri" w:hAnsi="Calibri"/>
          <w:sz w:val="17"/>
        </w:rPr>
      </w:pPr>
      <w:r>
        <w:rPr>
          <w:rFonts w:ascii="Calibri" w:hAnsi="Calibri"/>
          <w:color w:val="231F20"/>
          <w:w w:val="105"/>
          <w:position w:val="6"/>
          <w:sz w:val="10"/>
        </w:rPr>
        <w:t>83</w:t>
      </w:r>
      <w:r>
        <w:rPr>
          <w:rFonts w:ascii="Calibri" w:hAnsi="Calibri"/>
          <w:color w:val="231F20"/>
          <w:spacing w:val="-8"/>
          <w:w w:val="105"/>
          <w:position w:val="6"/>
          <w:sz w:val="10"/>
        </w:rPr>
        <w:t> </w:t>
      </w:r>
      <w:r>
        <w:rPr>
          <w:rFonts w:ascii="Calibri" w:hAnsi="Calibri"/>
          <w:color w:val="231F20"/>
          <w:w w:val="105"/>
          <w:sz w:val="17"/>
        </w:rPr>
        <w:t>Jayasuriya,</w:t>
      </w:r>
      <w:r>
        <w:rPr>
          <w:rFonts w:ascii="Calibri" w:hAnsi="Calibri"/>
          <w:color w:val="231F20"/>
          <w:spacing w:val="-25"/>
          <w:w w:val="105"/>
          <w:sz w:val="17"/>
        </w:rPr>
        <w:t> </w:t>
      </w:r>
      <w:r>
        <w:rPr>
          <w:rFonts w:ascii="Calibri" w:hAnsi="Calibri"/>
          <w:i/>
          <w:color w:val="231F20"/>
          <w:w w:val="105"/>
          <w:sz w:val="17"/>
        </w:rPr>
        <w:t>Reconstituting</w:t>
      </w:r>
      <w:r>
        <w:rPr>
          <w:rFonts w:ascii="Calibri" w:hAnsi="Calibri"/>
          <w:i/>
          <w:color w:val="231F20"/>
          <w:spacing w:val="-26"/>
          <w:w w:val="105"/>
          <w:sz w:val="17"/>
        </w:rPr>
        <w:t> </w:t>
      </w:r>
      <w:r>
        <w:rPr>
          <w:rFonts w:ascii="Calibri" w:hAnsi="Calibri"/>
          <w:i/>
          <w:color w:val="231F20"/>
          <w:w w:val="105"/>
          <w:sz w:val="17"/>
        </w:rPr>
        <w:t>the</w:t>
      </w:r>
      <w:r>
        <w:rPr>
          <w:rFonts w:ascii="Calibri" w:hAnsi="Calibri"/>
          <w:i/>
          <w:color w:val="231F20"/>
          <w:spacing w:val="-26"/>
          <w:w w:val="105"/>
          <w:sz w:val="17"/>
        </w:rPr>
        <w:t> </w:t>
      </w:r>
      <w:r>
        <w:rPr>
          <w:rFonts w:ascii="Calibri" w:hAnsi="Calibri"/>
          <w:i/>
          <w:color w:val="231F20"/>
          <w:w w:val="105"/>
          <w:sz w:val="17"/>
        </w:rPr>
        <w:t>Global</w:t>
      </w:r>
      <w:r>
        <w:rPr>
          <w:rFonts w:ascii="Calibri" w:hAnsi="Calibri"/>
          <w:i/>
          <w:color w:val="231F20"/>
          <w:spacing w:val="-26"/>
          <w:w w:val="105"/>
          <w:sz w:val="17"/>
        </w:rPr>
        <w:t> </w:t>
      </w:r>
      <w:r>
        <w:rPr>
          <w:rFonts w:ascii="Calibri" w:hAnsi="Calibri"/>
          <w:i/>
          <w:color w:val="231F20"/>
          <w:w w:val="105"/>
          <w:sz w:val="17"/>
        </w:rPr>
        <w:t>Liberal</w:t>
      </w:r>
      <w:r>
        <w:rPr>
          <w:rFonts w:ascii="Calibri" w:hAnsi="Calibri"/>
          <w:i/>
          <w:color w:val="231F20"/>
          <w:spacing w:val="-26"/>
          <w:w w:val="105"/>
          <w:sz w:val="17"/>
        </w:rPr>
        <w:t> </w:t>
      </w:r>
      <w:r>
        <w:rPr>
          <w:rFonts w:ascii="Calibri" w:hAnsi="Calibri"/>
          <w:i/>
          <w:color w:val="231F20"/>
          <w:w w:val="105"/>
          <w:sz w:val="17"/>
        </w:rPr>
        <w:t>Order</w:t>
      </w:r>
      <w:r>
        <w:rPr>
          <w:rFonts w:ascii="Calibri" w:hAnsi="Calibri"/>
          <w:color w:val="231F20"/>
          <w:w w:val="105"/>
          <w:sz w:val="17"/>
        </w:rPr>
        <w:t>,</w:t>
      </w:r>
      <w:r>
        <w:rPr>
          <w:rFonts w:ascii="Calibri" w:hAnsi="Calibri"/>
          <w:color w:val="231F20"/>
          <w:spacing w:val="-25"/>
          <w:w w:val="105"/>
          <w:sz w:val="17"/>
        </w:rPr>
        <w:t> </w:t>
      </w:r>
      <w:r>
        <w:rPr>
          <w:rFonts w:ascii="Calibri" w:hAnsi="Calibri"/>
          <w:color w:val="231F20"/>
          <w:w w:val="105"/>
          <w:sz w:val="17"/>
        </w:rPr>
        <w:t>pp.</w:t>
      </w:r>
      <w:r>
        <w:rPr>
          <w:rFonts w:ascii="Calibri" w:hAnsi="Calibri"/>
          <w:color w:val="231F20"/>
          <w:spacing w:val="-25"/>
          <w:w w:val="105"/>
          <w:sz w:val="17"/>
        </w:rPr>
        <w:t> </w:t>
      </w:r>
      <w:r>
        <w:rPr>
          <w:rFonts w:ascii="Calibri" w:hAnsi="Calibri"/>
          <w:color w:val="231F20"/>
          <w:w w:val="105"/>
          <w:sz w:val="17"/>
        </w:rPr>
        <w:t>69–70.</w:t>
      </w:r>
      <w:r>
        <w:rPr>
          <w:rFonts w:ascii="Calibri" w:hAnsi="Calibri"/>
          <w:color w:val="231F20"/>
          <w:spacing w:val="-25"/>
          <w:w w:val="105"/>
          <w:sz w:val="17"/>
        </w:rPr>
        <w:t> </w:t>
      </w:r>
      <w:r>
        <w:rPr>
          <w:rFonts w:ascii="Calibri" w:hAnsi="Calibri"/>
          <w:color w:val="231F20"/>
          <w:w w:val="105"/>
          <w:sz w:val="17"/>
        </w:rPr>
        <w:t>Como</w:t>
      </w:r>
      <w:r>
        <w:rPr>
          <w:rFonts w:ascii="Calibri" w:hAnsi="Calibri"/>
          <w:color w:val="231F20"/>
          <w:spacing w:val="-25"/>
          <w:w w:val="105"/>
          <w:sz w:val="17"/>
        </w:rPr>
        <w:t> </w:t>
      </w:r>
      <w:r>
        <w:rPr>
          <w:rFonts w:ascii="Calibri" w:hAnsi="Calibri"/>
          <w:color w:val="231F20"/>
          <w:w w:val="105"/>
          <w:sz w:val="17"/>
        </w:rPr>
        <w:t>recuerda</w:t>
      </w:r>
      <w:r>
        <w:rPr>
          <w:rFonts w:ascii="Calibri" w:hAnsi="Calibri"/>
          <w:color w:val="231F20"/>
          <w:spacing w:val="-25"/>
          <w:w w:val="105"/>
          <w:sz w:val="17"/>
        </w:rPr>
        <w:t> </w:t>
      </w:r>
      <w:r>
        <w:rPr>
          <w:rFonts w:ascii="Calibri" w:hAnsi="Calibri"/>
          <w:color w:val="231F20"/>
          <w:w w:val="105"/>
          <w:sz w:val="17"/>
        </w:rPr>
        <w:t>Keohane,</w:t>
      </w:r>
      <w:r>
        <w:rPr>
          <w:rFonts w:ascii="Calibri" w:hAnsi="Calibri"/>
          <w:color w:val="231F20"/>
          <w:spacing w:val="-25"/>
          <w:w w:val="105"/>
          <w:sz w:val="17"/>
        </w:rPr>
        <w:t> </w:t>
      </w:r>
      <w:r>
        <w:rPr>
          <w:rFonts w:ascii="Calibri" w:hAnsi="Calibri"/>
          <w:color w:val="231F20"/>
          <w:w w:val="105"/>
          <w:sz w:val="17"/>
        </w:rPr>
        <w:t>“Political authority</w:t>
      </w:r>
      <w:r>
        <w:rPr>
          <w:rFonts w:ascii="Calibri" w:hAnsi="Calibri"/>
          <w:color w:val="231F20"/>
          <w:spacing w:val="-14"/>
          <w:w w:val="105"/>
          <w:sz w:val="17"/>
        </w:rPr>
        <w:t> </w:t>
      </w:r>
      <w:r>
        <w:rPr>
          <w:rFonts w:ascii="Calibri" w:hAnsi="Calibri"/>
          <w:color w:val="231F20"/>
          <w:w w:val="105"/>
          <w:sz w:val="17"/>
        </w:rPr>
        <w:t>after</w:t>
      </w:r>
      <w:r>
        <w:rPr>
          <w:rFonts w:ascii="Calibri" w:hAnsi="Calibri"/>
          <w:color w:val="231F20"/>
          <w:spacing w:val="-14"/>
          <w:w w:val="105"/>
          <w:sz w:val="17"/>
        </w:rPr>
        <w:t> </w:t>
      </w:r>
      <w:r>
        <w:rPr>
          <w:rFonts w:ascii="Calibri" w:hAnsi="Calibri"/>
          <w:color w:val="231F20"/>
          <w:w w:val="105"/>
          <w:sz w:val="17"/>
        </w:rPr>
        <w:t>intervention”,</w:t>
      </w:r>
      <w:r>
        <w:rPr>
          <w:rFonts w:ascii="Calibri" w:hAnsi="Calibri"/>
          <w:color w:val="231F20"/>
          <w:spacing w:val="-14"/>
          <w:w w:val="105"/>
          <w:sz w:val="17"/>
        </w:rPr>
        <w:t> </w:t>
      </w:r>
      <w:r>
        <w:rPr>
          <w:rFonts w:ascii="Calibri" w:hAnsi="Calibri"/>
          <w:color w:val="231F20"/>
          <w:w w:val="105"/>
          <w:sz w:val="17"/>
        </w:rPr>
        <w:t>p.</w:t>
      </w:r>
      <w:r>
        <w:rPr>
          <w:rFonts w:ascii="Calibri" w:hAnsi="Calibri"/>
          <w:color w:val="231F20"/>
          <w:spacing w:val="14"/>
          <w:w w:val="105"/>
          <w:sz w:val="17"/>
        </w:rPr>
        <w:t> </w:t>
      </w:r>
      <w:r>
        <w:rPr>
          <w:rFonts w:ascii="Calibri" w:hAnsi="Calibri"/>
          <w:color w:val="231F20"/>
          <w:w w:val="105"/>
          <w:sz w:val="17"/>
        </w:rPr>
        <w:t>288,,</w:t>
      </w:r>
      <w:r>
        <w:rPr>
          <w:rFonts w:ascii="Calibri" w:hAnsi="Calibri"/>
          <w:color w:val="231F20"/>
          <w:spacing w:val="-14"/>
          <w:w w:val="105"/>
          <w:sz w:val="17"/>
        </w:rPr>
        <w:t> </w:t>
      </w:r>
      <w:r>
        <w:rPr>
          <w:rFonts w:ascii="Calibri" w:hAnsi="Calibri"/>
          <w:color w:val="231F20"/>
          <w:w w:val="105"/>
          <w:sz w:val="17"/>
        </w:rPr>
        <w:t>in</w:t>
      </w:r>
      <w:r>
        <w:rPr>
          <w:rFonts w:ascii="Calibri" w:hAnsi="Calibri"/>
          <w:color w:val="231F20"/>
          <w:spacing w:val="-14"/>
          <w:w w:val="105"/>
          <w:sz w:val="17"/>
        </w:rPr>
        <w:t> </w:t>
      </w:r>
      <w:r>
        <w:rPr>
          <w:rFonts w:ascii="Calibri" w:hAnsi="Calibri"/>
          <w:color w:val="231F20"/>
          <w:w w:val="105"/>
          <w:sz w:val="17"/>
        </w:rPr>
        <w:t>questa</w:t>
      </w:r>
      <w:r>
        <w:rPr>
          <w:rFonts w:ascii="Calibri" w:hAnsi="Calibri"/>
          <w:color w:val="231F20"/>
          <w:spacing w:val="-14"/>
          <w:w w:val="105"/>
          <w:sz w:val="17"/>
        </w:rPr>
        <w:t> </w:t>
      </w:r>
      <w:r>
        <w:rPr>
          <w:rFonts w:ascii="Calibri" w:hAnsi="Calibri"/>
          <w:color w:val="231F20"/>
          <w:w w:val="105"/>
          <w:sz w:val="17"/>
        </w:rPr>
        <w:t>concezione,</w:t>
      </w:r>
      <w:r>
        <w:rPr>
          <w:rFonts w:ascii="Calibri" w:hAnsi="Calibri"/>
          <w:color w:val="231F20"/>
          <w:spacing w:val="-14"/>
          <w:w w:val="105"/>
          <w:sz w:val="17"/>
        </w:rPr>
        <w:t> </w:t>
      </w:r>
      <w:r>
        <w:rPr>
          <w:rFonts w:ascii="Calibri" w:hAnsi="Calibri"/>
          <w:color w:val="231F20"/>
          <w:w w:val="105"/>
          <w:sz w:val="17"/>
        </w:rPr>
        <w:t>infatti,</w:t>
      </w:r>
      <w:r>
        <w:rPr>
          <w:rFonts w:ascii="Calibri" w:hAnsi="Calibri"/>
          <w:color w:val="231F20"/>
          <w:spacing w:val="-14"/>
          <w:w w:val="105"/>
          <w:sz w:val="17"/>
        </w:rPr>
        <w:t> </w:t>
      </w:r>
      <w:r>
        <w:rPr>
          <w:rFonts w:ascii="Calibri" w:hAnsi="Calibri"/>
          <w:color w:val="231F20"/>
          <w:w w:val="105"/>
          <w:sz w:val="17"/>
        </w:rPr>
        <w:t>“external</w:t>
      </w:r>
      <w:r>
        <w:rPr>
          <w:rFonts w:ascii="Calibri" w:hAnsi="Calibri"/>
          <w:color w:val="231F20"/>
          <w:spacing w:val="-14"/>
          <w:w w:val="105"/>
          <w:sz w:val="17"/>
        </w:rPr>
        <w:t> </w:t>
      </w:r>
      <w:r>
        <w:rPr>
          <w:rFonts w:ascii="Calibri" w:hAnsi="Calibri"/>
          <w:color w:val="231F20"/>
          <w:w w:val="105"/>
          <w:sz w:val="17"/>
        </w:rPr>
        <w:t>authority</w:t>
      </w:r>
      <w:r>
        <w:rPr>
          <w:rFonts w:ascii="Calibri" w:hAnsi="Calibri"/>
          <w:color w:val="231F20"/>
          <w:spacing w:val="-14"/>
          <w:w w:val="105"/>
          <w:sz w:val="17"/>
        </w:rPr>
        <w:t> </w:t>
      </w:r>
      <w:r>
        <w:rPr>
          <w:rFonts w:ascii="Calibri" w:hAnsi="Calibri"/>
          <w:color w:val="231F20"/>
          <w:w w:val="105"/>
          <w:sz w:val="17"/>
        </w:rPr>
        <w:t>structures (…) play some role in the decision–making process of all states, even the United States (as the dispute</w:t>
      </w:r>
      <w:r>
        <w:rPr>
          <w:rFonts w:ascii="Calibri" w:hAnsi="Calibri"/>
          <w:color w:val="231F20"/>
          <w:spacing w:val="-9"/>
          <w:w w:val="105"/>
          <w:sz w:val="17"/>
        </w:rPr>
        <w:t> </w:t>
      </w:r>
      <w:r>
        <w:rPr>
          <w:rFonts w:ascii="Calibri" w:hAnsi="Calibri"/>
          <w:color w:val="231F20"/>
          <w:w w:val="105"/>
          <w:sz w:val="17"/>
        </w:rPr>
        <w:t>settlement</w:t>
      </w:r>
      <w:r>
        <w:rPr>
          <w:rFonts w:ascii="Calibri" w:hAnsi="Calibri"/>
          <w:color w:val="231F20"/>
          <w:spacing w:val="-9"/>
          <w:w w:val="105"/>
          <w:sz w:val="17"/>
        </w:rPr>
        <w:t> </w:t>
      </w:r>
      <w:r>
        <w:rPr>
          <w:rFonts w:ascii="Calibri" w:hAnsi="Calibri"/>
          <w:color w:val="231F20"/>
          <w:w w:val="105"/>
          <w:sz w:val="17"/>
        </w:rPr>
        <w:t>process</w:t>
      </w:r>
      <w:r>
        <w:rPr>
          <w:rFonts w:ascii="Calibri" w:hAnsi="Calibri"/>
          <w:color w:val="231F20"/>
          <w:spacing w:val="-9"/>
          <w:w w:val="105"/>
          <w:sz w:val="17"/>
        </w:rPr>
        <w:t> </w:t>
      </w:r>
      <w:r>
        <w:rPr>
          <w:rFonts w:ascii="Calibri" w:hAnsi="Calibri"/>
          <w:color w:val="231F20"/>
          <w:w w:val="105"/>
          <w:sz w:val="17"/>
        </w:rPr>
        <w:t>of</w:t>
      </w:r>
      <w:r>
        <w:rPr>
          <w:rFonts w:ascii="Calibri" w:hAnsi="Calibri"/>
          <w:color w:val="231F20"/>
          <w:spacing w:val="-9"/>
          <w:w w:val="105"/>
          <w:sz w:val="17"/>
        </w:rPr>
        <w:t> </w:t>
      </w:r>
      <w:r>
        <w:rPr>
          <w:rFonts w:ascii="Calibri" w:hAnsi="Calibri"/>
          <w:color w:val="231F20"/>
          <w:w w:val="105"/>
          <w:sz w:val="17"/>
        </w:rPr>
        <w:t>the</w:t>
      </w:r>
      <w:r>
        <w:rPr>
          <w:rFonts w:ascii="Calibri" w:hAnsi="Calibri"/>
          <w:color w:val="231F20"/>
          <w:spacing w:val="-12"/>
          <w:w w:val="105"/>
          <w:sz w:val="17"/>
        </w:rPr>
        <w:t> </w:t>
      </w:r>
      <w:r>
        <w:rPr>
          <w:rFonts w:ascii="Calibri" w:hAnsi="Calibri"/>
          <w:color w:val="231F20"/>
          <w:w w:val="105"/>
          <w:sz w:val="17"/>
        </w:rPr>
        <w:t>WTO</w:t>
      </w:r>
      <w:r>
        <w:rPr>
          <w:rFonts w:ascii="Calibri" w:hAnsi="Calibri"/>
          <w:color w:val="231F20"/>
          <w:spacing w:val="-9"/>
          <w:w w:val="105"/>
          <w:sz w:val="17"/>
        </w:rPr>
        <w:t> </w:t>
      </w:r>
      <w:r>
        <w:rPr>
          <w:rFonts w:ascii="Calibri" w:hAnsi="Calibri"/>
          <w:color w:val="231F20"/>
          <w:w w:val="105"/>
          <w:sz w:val="17"/>
        </w:rPr>
        <w:t>shows).</w:t>
      </w:r>
      <w:r>
        <w:rPr>
          <w:rFonts w:ascii="Calibri" w:hAnsi="Calibri"/>
          <w:color w:val="231F20"/>
          <w:spacing w:val="-12"/>
          <w:w w:val="105"/>
          <w:sz w:val="17"/>
        </w:rPr>
        <w:t> </w:t>
      </w:r>
      <w:r>
        <w:rPr>
          <w:rFonts w:ascii="Calibri" w:hAnsi="Calibri"/>
          <w:color w:val="231F20"/>
          <w:w w:val="105"/>
          <w:sz w:val="17"/>
        </w:rPr>
        <w:t>Where</w:t>
      </w:r>
      <w:r>
        <w:rPr>
          <w:rFonts w:ascii="Calibri" w:hAnsi="Calibri"/>
          <w:color w:val="231F20"/>
          <w:spacing w:val="-9"/>
          <w:w w:val="105"/>
          <w:sz w:val="17"/>
        </w:rPr>
        <w:t> </w:t>
      </w:r>
      <w:r>
        <w:rPr>
          <w:rFonts w:ascii="Calibri" w:hAnsi="Calibri"/>
          <w:color w:val="231F20"/>
          <w:w w:val="105"/>
          <w:sz w:val="17"/>
        </w:rPr>
        <w:t>strong</w:t>
      </w:r>
      <w:r>
        <w:rPr>
          <w:rFonts w:ascii="Calibri" w:hAnsi="Calibri"/>
          <w:color w:val="231F20"/>
          <w:spacing w:val="-9"/>
          <w:w w:val="105"/>
          <w:sz w:val="17"/>
        </w:rPr>
        <w:t> </w:t>
      </w:r>
      <w:r>
        <w:rPr>
          <w:rFonts w:ascii="Calibri" w:hAnsi="Calibri"/>
          <w:color w:val="231F20"/>
          <w:w w:val="105"/>
          <w:sz w:val="17"/>
        </w:rPr>
        <w:t>supranational</w:t>
      </w:r>
      <w:r>
        <w:rPr>
          <w:rFonts w:ascii="Calibri" w:hAnsi="Calibri"/>
          <w:color w:val="231F20"/>
          <w:spacing w:val="-9"/>
          <w:w w:val="105"/>
          <w:sz w:val="17"/>
        </w:rPr>
        <w:t> </w:t>
      </w:r>
      <w:r>
        <w:rPr>
          <w:rFonts w:ascii="Calibri" w:hAnsi="Calibri"/>
          <w:color w:val="231F20"/>
          <w:w w:val="105"/>
          <w:sz w:val="17"/>
        </w:rPr>
        <w:t>authority</w:t>
      </w:r>
      <w:r>
        <w:rPr>
          <w:rFonts w:ascii="Calibri" w:hAnsi="Calibri"/>
          <w:color w:val="231F20"/>
          <w:spacing w:val="-9"/>
          <w:w w:val="105"/>
          <w:sz w:val="17"/>
        </w:rPr>
        <w:t> </w:t>
      </w:r>
      <w:r>
        <w:rPr>
          <w:rFonts w:ascii="Calibri" w:hAnsi="Calibri"/>
          <w:color w:val="231F20"/>
          <w:w w:val="105"/>
          <w:sz w:val="17"/>
        </w:rPr>
        <w:t>structures exist, states can afford to accept less external sovereignty, since they are protected by their participation in the regional structures, and by the constitutionalization of those structures. Accepting less external sovereignty is not, therefore, necessarily a mark of weakness. On the contrary, it can be a mark of strength, and is entirely consistent with continuing international legal</w:t>
      </w:r>
      <w:r>
        <w:rPr>
          <w:rFonts w:ascii="Calibri" w:hAnsi="Calibri"/>
          <w:color w:val="231F20"/>
          <w:spacing w:val="-17"/>
          <w:w w:val="105"/>
          <w:sz w:val="17"/>
        </w:rPr>
        <w:t> </w:t>
      </w:r>
      <w:r>
        <w:rPr>
          <w:rFonts w:ascii="Calibri" w:hAnsi="Calibri"/>
          <w:color w:val="231F20"/>
          <w:w w:val="105"/>
          <w:sz w:val="17"/>
        </w:rPr>
        <w:t>sovereignty</w:t>
      </w:r>
      <w:r>
        <w:rPr>
          <w:rFonts w:ascii="Calibri" w:hAnsi="Calibri"/>
          <w:color w:val="231F20"/>
          <w:spacing w:val="-17"/>
          <w:w w:val="105"/>
          <w:sz w:val="17"/>
        </w:rPr>
        <w:t> </w:t>
      </w:r>
      <w:r>
        <w:rPr>
          <w:rFonts w:ascii="Calibri" w:hAnsi="Calibri"/>
          <w:color w:val="231F20"/>
          <w:w w:val="105"/>
          <w:sz w:val="17"/>
        </w:rPr>
        <w:t>and</w:t>
      </w:r>
      <w:r>
        <w:rPr>
          <w:rFonts w:ascii="Calibri" w:hAnsi="Calibri"/>
          <w:color w:val="231F20"/>
          <w:spacing w:val="-17"/>
          <w:w w:val="105"/>
          <w:sz w:val="17"/>
        </w:rPr>
        <w:t> </w:t>
      </w:r>
      <w:r>
        <w:rPr>
          <w:rFonts w:ascii="Calibri" w:hAnsi="Calibri"/>
          <w:color w:val="231F20"/>
          <w:w w:val="105"/>
          <w:sz w:val="17"/>
        </w:rPr>
        <w:t>domestic</w:t>
      </w:r>
      <w:r>
        <w:rPr>
          <w:rFonts w:ascii="Calibri" w:hAnsi="Calibri"/>
          <w:color w:val="231F20"/>
          <w:spacing w:val="-17"/>
          <w:w w:val="105"/>
          <w:sz w:val="17"/>
        </w:rPr>
        <w:t> </w:t>
      </w:r>
      <w:r>
        <w:rPr>
          <w:rFonts w:ascii="Calibri" w:hAnsi="Calibri"/>
          <w:color w:val="231F20"/>
          <w:w w:val="105"/>
          <w:sz w:val="17"/>
        </w:rPr>
        <w:t>sovereignty</w:t>
      </w:r>
      <w:r>
        <w:rPr>
          <w:rFonts w:ascii="Calibri" w:hAnsi="Calibri"/>
          <w:color w:val="231F20"/>
          <w:spacing w:val="-17"/>
          <w:w w:val="105"/>
          <w:sz w:val="17"/>
        </w:rPr>
        <w:t> </w:t>
      </w:r>
      <w:r>
        <w:rPr>
          <w:rFonts w:ascii="Calibri" w:hAnsi="Calibri"/>
          <w:color w:val="231F20"/>
          <w:w w:val="105"/>
          <w:sz w:val="17"/>
        </w:rPr>
        <w:t>—the</w:t>
      </w:r>
      <w:r>
        <w:rPr>
          <w:rFonts w:ascii="Calibri" w:hAnsi="Calibri"/>
          <w:color w:val="231F20"/>
          <w:spacing w:val="-17"/>
          <w:w w:val="105"/>
          <w:sz w:val="17"/>
        </w:rPr>
        <w:t> </w:t>
      </w:r>
      <w:r>
        <w:rPr>
          <w:rFonts w:ascii="Calibri" w:hAnsi="Calibri"/>
          <w:color w:val="231F20"/>
          <w:w w:val="105"/>
          <w:sz w:val="17"/>
        </w:rPr>
        <w:t>maintenance</w:t>
      </w:r>
      <w:r>
        <w:rPr>
          <w:rFonts w:ascii="Calibri" w:hAnsi="Calibri"/>
          <w:color w:val="231F20"/>
          <w:spacing w:val="-17"/>
          <w:w w:val="105"/>
          <w:sz w:val="17"/>
        </w:rPr>
        <w:t> </w:t>
      </w:r>
      <w:r>
        <w:rPr>
          <w:rFonts w:ascii="Calibri" w:hAnsi="Calibri"/>
          <w:color w:val="231F20"/>
          <w:w w:val="105"/>
          <w:sz w:val="17"/>
        </w:rPr>
        <w:t>of</w:t>
      </w:r>
      <w:r>
        <w:rPr>
          <w:rFonts w:ascii="Calibri" w:hAnsi="Calibri"/>
          <w:color w:val="231F20"/>
          <w:spacing w:val="-17"/>
          <w:w w:val="105"/>
          <w:sz w:val="17"/>
        </w:rPr>
        <w:t> </w:t>
      </w:r>
      <w:r>
        <w:rPr>
          <w:rFonts w:ascii="Calibri" w:hAnsi="Calibri"/>
          <w:color w:val="231F20"/>
          <w:w w:val="105"/>
          <w:sz w:val="17"/>
        </w:rPr>
        <w:t>coherent,</w:t>
      </w:r>
      <w:r>
        <w:rPr>
          <w:rFonts w:ascii="Calibri" w:hAnsi="Calibri"/>
          <w:color w:val="231F20"/>
          <w:spacing w:val="-17"/>
          <w:w w:val="105"/>
          <w:sz w:val="17"/>
        </w:rPr>
        <w:t> </w:t>
      </w:r>
      <w:r>
        <w:rPr>
          <w:rFonts w:ascii="Calibri" w:hAnsi="Calibri"/>
          <w:color w:val="231F20"/>
          <w:w w:val="105"/>
          <w:sz w:val="17"/>
        </w:rPr>
        <w:t>purposive</w:t>
      </w:r>
      <w:r>
        <w:rPr>
          <w:rFonts w:ascii="Calibri" w:hAnsi="Calibri"/>
          <w:color w:val="231F20"/>
          <w:spacing w:val="-17"/>
          <w:w w:val="105"/>
          <w:sz w:val="17"/>
        </w:rPr>
        <w:t> </w:t>
      </w:r>
      <w:r>
        <w:rPr>
          <w:rFonts w:ascii="Calibri" w:hAnsi="Calibri"/>
          <w:color w:val="231F20"/>
          <w:w w:val="105"/>
          <w:sz w:val="17"/>
        </w:rPr>
        <w:t>ordering</w:t>
      </w:r>
      <w:r>
        <w:rPr>
          <w:rFonts w:ascii="Calibri" w:hAnsi="Calibri"/>
          <w:color w:val="231F20"/>
          <w:spacing w:val="-17"/>
          <w:w w:val="105"/>
          <w:sz w:val="17"/>
        </w:rPr>
        <w:t> </w:t>
      </w:r>
      <w:r>
        <w:rPr>
          <w:rFonts w:ascii="Calibri" w:hAnsi="Calibri"/>
          <w:color w:val="231F20"/>
          <w:w w:val="105"/>
          <w:sz w:val="17"/>
        </w:rPr>
        <w:t>of internal</w:t>
      </w:r>
      <w:r>
        <w:rPr>
          <w:rFonts w:ascii="Calibri" w:hAnsi="Calibri"/>
          <w:color w:val="231F20"/>
          <w:spacing w:val="-24"/>
          <w:w w:val="105"/>
          <w:sz w:val="17"/>
        </w:rPr>
        <w:t> </w:t>
      </w:r>
      <w:r>
        <w:rPr>
          <w:rFonts w:ascii="Calibri" w:hAnsi="Calibri"/>
          <w:color w:val="231F20"/>
          <w:w w:val="105"/>
          <w:sz w:val="17"/>
        </w:rPr>
        <w:t>authority</w:t>
      </w:r>
      <w:r>
        <w:rPr>
          <w:rFonts w:ascii="Calibri" w:hAnsi="Calibri"/>
          <w:color w:val="231F20"/>
          <w:spacing w:val="-24"/>
          <w:w w:val="105"/>
          <w:sz w:val="17"/>
        </w:rPr>
        <w:t> </w:t>
      </w:r>
      <w:r>
        <w:rPr>
          <w:rFonts w:ascii="Calibri" w:hAnsi="Calibri"/>
          <w:color w:val="231F20"/>
          <w:w w:val="105"/>
          <w:sz w:val="17"/>
        </w:rPr>
        <w:t>relationships”.</w:t>
      </w:r>
      <w:r>
        <w:rPr>
          <w:rFonts w:ascii="Calibri" w:hAnsi="Calibri"/>
          <w:color w:val="231F20"/>
          <w:spacing w:val="-24"/>
          <w:w w:val="105"/>
          <w:sz w:val="17"/>
        </w:rPr>
        <w:t> </w:t>
      </w:r>
      <w:r>
        <w:rPr>
          <w:rFonts w:ascii="Calibri" w:hAnsi="Calibri"/>
          <w:color w:val="231F20"/>
          <w:w w:val="105"/>
          <w:sz w:val="17"/>
        </w:rPr>
        <w:t>Per</w:t>
      </w:r>
      <w:r>
        <w:rPr>
          <w:rFonts w:ascii="Calibri" w:hAnsi="Calibri"/>
          <w:color w:val="231F20"/>
          <w:spacing w:val="-24"/>
          <w:w w:val="105"/>
          <w:sz w:val="17"/>
        </w:rPr>
        <w:t> </w:t>
      </w:r>
      <w:r>
        <w:rPr>
          <w:rFonts w:ascii="Calibri" w:hAnsi="Calibri"/>
          <w:color w:val="231F20"/>
          <w:w w:val="105"/>
          <w:sz w:val="17"/>
        </w:rPr>
        <w:t>una</w:t>
      </w:r>
      <w:r>
        <w:rPr>
          <w:rFonts w:ascii="Calibri" w:hAnsi="Calibri"/>
          <w:color w:val="231F20"/>
          <w:spacing w:val="-24"/>
          <w:w w:val="105"/>
          <w:sz w:val="17"/>
        </w:rPr>
        <w:t> </w:t>
      </w:r>
      <w:r>
        <w:rPr>
          <w:rFonts w:ascii="Calibri" w:hAnsi="Calibri"/>
          <w:color w:val="231F20"/>
          <w:w w:val="105"/>
          <w:sz w:val="17"/>
        </w:rPr>
        <w:t>complessiva</w:t>
      </w:r>
      <w:r>
        <w:rPr>
          <w:rFonts w:ascii="Calibri" w:hAnsi="Calibri"/>
          <w:color w:val="231F20"/>
          <w:spacing w:val="-24"/>
          <w:w w:val="105"/>
          <w:sz w:val="17"/>
        </w:rPr>
        <w:t> </w:t>
      </w:r>
      <w:r>
        <w:rPr>
          <w:rFonts w:ascii="Calibri" w:hAnsi="Calibri"/>
          <w:color w:val="231F20"/>
          <w:w w:val="105"/>
          <w:sz w:val="17"/>
        </w:rPr>
        <w:t>panoramica</w:t>
      </w:r>
      <w:r>
        <w:rPr>
          <w:rFonts w:ascii="Calibri" w:hAnsi="Calibri"/>
          <w:color w:val="231F20"/>
          <w:spacing w:val="-24"/>
          <w:w w:val="105"/>
          <w:sz w:val="17"/>
        </w:rPr>
        <w:t> </w:t>
      </w:r>
      <w:r>
        <w:rPr>
          <w:rFonts w:ascii="Calibri" w:hAnsi="Calibri"/>
          <w:color w:val="231F20"/>
          <w:w w:val="105"/>
          <w:sz w:val="17"/>
        </w:rPr>
        <w:t>su</w:t>
      </w:r>
      <w:r>
        <w:rPr>
          <w:rFonts w:ascii="Calibri" w:hAnsi="Calibri"/>
          <w:color w:val="231F20"/>
          <w:spacing w:val="-24"/>
          <w:w w:val="105"/>
          <w:sz w:val="17"/>
        </w:rPr>
        <w:t> </w:t>
      </w:r>
      <w:r>
        <w:rPr>
          <w:rFonts w:ascii="Calibri" w:hAnsi="Calibri"/>
          <w:color w:val="231F20"/>
          <w:w w:val="105"/>
          <w:sz w:val="17"/>
        </w:rPr>
        <w:t>questa</w:t>
      </w:r>
      <w:r>
        <w:rPr>
          <w:rFonts w:ascii="Calibri" w:hAnsi="Calibri"/>
          <w:color w:val="231F20"/>
          <w:spacing w:val="-24"/>
          <w:w w:val="105"/>
          <w:sz w:val="17"/>
        </w:rPr>
        <w:t> </w:t>
      </w:r>
      <w:r>
        <w:rPr>
          <w:rFonts w:ascii="Calibri" w:hAnsi="Calibri"/>
          <w:color w:val="231F20"/>
          <w:w w:val="105"/>
          <w:sz w:val="17"/>
        </w:rPr>
        <w:t>direttrice</w:t>
      </w:r>
      <w:r>
        <w:rPr>
          <w:rFonts w:ascii="Calibri" w:hAnsi="Calibri"/>
          <w:color w:val="231F20"/>
          <w:spacing w:val="-24"/>
          <w:w w:val="105"/>
          <w:sz w:val="17"/>
        </w:rPr>
        <w:t> </w:t>
      </w:r>
      <w:r>
        <w:rPr>
          <w:rFonts w:ascii="Calibri" w:hAnsi="Calibri"/>
          <w:color w:val="231F20"/>
          <w:w w:val="105"/>
          <w:sz w:val="17"/>
        </w:rPr>
        <w:t>del</w:t>
      </w:r>
      <w:r>
        <w:rPr>
          <w:rFonts w:ascii="Calibri" w:hAnsi="Calibri"/>
          <w:color w:val="231F20"/>
          <w:spacing w:val="-24"/>
          <w:w w:val="105"/>
          <w:sz w:val="17"/>
        </w:rPr>
        <w:t> </w:t>
      </w:r>
      <w:r>
        <w:rPr>
          <w:rFonts w:ascii="Calibri" w:hAnsi="Calibri"/>
          <w:color w:val="231F20"/>
          <w:w w:val="105"/>
          <w:sz w:val="17"/>
        </w:rPr>
        <w:t>dibattito si</w:t>
      </w:r>
      <w:r>
        <w:rPr>
          <w:rFonts w:ascii="Calibri" w:hAnsi="Calibri"/>
          <w:color w:val="231F20"/>
          <w:spacing w:val="-21"/>
          <w:w w:val="105"/>
          <w:sz w:val="17"/>
        </w:rPr>
        <w:t> </w:t>
      </w:r>
      <w:r>
        <w:rPr>
          <w:rFonts w:ascii="Calibri" w:hAnsi="Calibri"/>
          <w:color w:val="231F20"/>
          <w:w w:val="105"/>
          <w:sz w:val="17"/>
        </w:rPr>
        <w:t>veda</w:t>
      </w:r>
      <w:r>
        <w:rPr>
          <w:rFonts w:ascii="Calibri" w:hAnsi="Calibri"/>
          <w:color w:val="231F20"/>
          <w:spacing w:val="-20"/>
          <w:w w:val="105"/>
          <w:sz w:val="17"/>
        </w:rPr>
        <w:t> </w:t>
      </w:r>
      <w:r>
        <w:rPr>
          <w:rFonts w:ascii="Calibri" w:hAnsi="Calibri"/>
          <w:color w:val="231F20"/>
          <w:w w:val="105"/>
          <w:sz w:val="17"/>
        </w:rPr>
        <w:t>almeno</w:t>
      </w:r>
      <w:r>
        <w:rPr>
          <w:rFonts w:ascii="Calibri" w:hAnsi="Calibri"/>
          <w:color w:val="231F20"/>
          <w:spacing w:val="-21"/>
          <w:w w:val="105"/>
          <w:sz w:val="17"/>
        </w:rPr>
        <w:t> </w:t>
      </w:r>
      <w:r>
        <w:rPr>
          <w:rFonts w:ascii="Calibri" w:hAnsi="Calibri"/>
          <w:color w:val="231F20"/>
          <w:spacing w:val="-9"/>
          <w:w w:val="105"/>
          <w:sz w:val="17"/>
        </w:rPr>
        <w:t>T.</w:t>
      </w:r>
      <w:r>
        <w:rPr>
          <w:rFonts w:ascii="Calibri" w:hAnsi="Calibri"/>
          <w:color w:val="231F20"/>
          <w:spacing w:val="-20"/>
          <w:w w:val="105"/>
          <w:sz w:val="17"/>
        </w:rPr>
        <w:t> </w:t>
      </w:r>
      <w:r>
        <w:rPr>
          <w:rFonts w:ascii="Calibri" w:hAnsi="Calibri"/>
          <w:color w:val="231F20"/>
          <w:w w:val="105"/>
          <w:sz w:val="17"/>
        </w:rPr>
        <w:t>Jacobsen,</w:t>
      </w:r>
      <w:r>
        <w:rPr>
          <w:rFonts w:ascii="Calibri" w:hAnsi="Calibri"/>
          <w:color w:val="231F20"/>
          <w:spacing w:val="-20"/>
          <w:w w:val="105"/>
          <w:sz w:val="17"/>
        </w:rPr>
        <w:t> </w:t>
      </w:r>
      <w:r>
        <w:rPr>
          <w:rFonts w:ascii="Calibri" w:hAnsi="Calibri"/>
          <w:color w:val="231F20"/>
          <w:w w:val="105"/>
          <w:sz w:val="17"/>
        </w:rPr>
        <w:t>Ch.</w:t>
      </w:r>
      <w:r>
        <w:rPr>
          <w:rFonts w:ascii="Calibri" w:hAnsi="Calibri"/>
          <w:color w:val="231F20"/>
          <w:spacing w:val="-20"/>
          <w:w w:val="105"/>
          <w:sz w:val="17"/>
        </w:rPr>
        <w:t> </w:t>
      </w:r>
      <w:r>
        <w:rPr>
          <w:rFonts w:ascii="Calibri" w:hAnsi="Calibri"/>
          <w:color w:val="231F20"/>
          <w:w w:val="105"/>
          <w:sz w:val="17"/>
        </w:rPr>
        <w:t>Sampford</w:t>
      </w:r>
      <w:r>
        <w:rPr>
          <w:rFonts w:ascii="Calibri" w:hAnsi="Calibri"/>
          <w:color w:val="231F20"/>
          <w:spacing w:val="-20"/>
          <w:w w:val="105"/>
          <w:sz w:val="17"/>
        </w:rPr>
        <w:t> </w:t>
      </w:r>
      <w:r>
        <w:rPr>
          <w:rFonts w:ascii="Calibri" w:hAnsi="Calibri"/>
          <w:color w:val="231F20"/>
          <w:w w:val="105"/>
          <w:sz w:val="17"/>
        </w:rPr>
        <w:t>y</w:t>
      </w:r>
      <w:r>
        <w:rPr>
          <w:rFonts w:ascii="Calibri" w:hAnsi="Calibri"/>
          <w:color w:val="231F20"/>
          <w:spacing w:val="-20"/>
          <w:w w:val="105"/>
          <w:sz w:val="17"/>
        </w:rPr>
        <w:t> </w:t>
      </w:r>
      <w:r>
        <w:rPr>
          <w:rFonts w:ascii="Calibri" w:hAnsi="Calibri"/>
          <w:color w:val="231F20"/>
          <w:w w:val="105"/>
          <w:sz w:val="17"/>
        </w:rPr>
        <w:t>R.</w:t>
      </w:r>
      <w:r>
        <w:rPr>
          <w:rFonts w:ascii="Calibri" w:hAnsi="Calibri"/>
          <w:color w:val="231F20"/>
          <w:spacing w:val="-21"/>
          <w:w w:val="105"/>
          <w:sz w:val="17"/>
        </w:rPr>
        <w:t> </w:t>
      </w:r>
      <w:r>
        <w:rPr>
          <w:rFonts w:ascii="Calibri" w:hAnsi="Calibri"/>
          <w:color w:val="231F20"/>
          <w:w w:val="105"/>
          <w:sz w:val="17"/>
        </w:rPr>
        <w:t>Thakur</w:t>
      </w:r>
      <w:r>
        <w:rPr>
          <w:rFonts w:ascii="Calibri" w:hAnsi="Calibri"/>
          <w:color w:val="231F20"/>
          <w:spacing w:val="-20"/>
          <w:w w:val="105"/>
          <w:sz w:val="17"/>
        </w:rPr>
        <w:t> </w:t>
      </w:r>
      <w:r>
        <w:rPr>
          <w:rFonts w:ascii="Calibri" w:hAnsi="Calibri"/>
          <w:color w:val="231F20"/>
          <w:w w:val="105"/>
          <w:sz w:val="17"/>
        </w:rPr>
        <w:t>(Eds.),</w:t>
      </w:r>
      <w:r>
        <w:rPr>
          <w:rFonts w:ascii="Calibri" w:hAnsi="Calibri"/>
          <w:color w:val="231F20"/>
          <w:spacing w:val="-20"/>
          <w:w w:val="105"/>
          <w:sz w:val="17"/>
        </w:rPr>
        <w:t> </w:t>
      </w:r>
      <w:r>
        <w:rPr>
          <w:rFonts w:ascii="Calibri" w:hAnsi="Calibri"/>
          <w:i/>
          <w:color w:val="231F20"/>
          <w:w w:val="105"/>
          <w:sz w:val="17"/>
        </w:rPr>
        <w:t>Re–envisioning</w:t>
      </w:r>
      <w:r>
        <w:rPr>
          <w:rFonts w:ascii="Calibri" w:hAnsi="Calibri"/>
          <w:i/>
          <w:color w:val="231F20"/>
          <w:spacing w:val="-20"/>
          <w:w w:val="105"/>
          <w:sz w:val="17"/>
        </w:rPr>
        <w:t> </w:t>
      </w:r>
      <w:r>
        <w:rPr>
          <w:rFonts w:ascii="Calibri" w:hAnsi="Calibri"/>
          <w:i/>
          <w:color w:val="231F20"/>
          <w:w w:val="105"/>
          <w:sz w:val="17"/>
        </w:rPr>
        <w:t>Sovereignty.</w:t>
      </w:r>
      <w:r>
        <w:rPr>
          <w:rFonts w:ascii="Calibri" w:hAnsi="Calibri"/>
          <w:i/>
          <w:color w:val="231F20"/>
          <w:spacing w:val="-21"/>
          <w:w w:val="105"/>
          <w:sz w:val="17"/>
        </w:rPr>
        <w:t> </w:t>
      </w:r>
      <w:r>
        <w:rPr>
          <w:rFonts w:ascii="Calibri" w:hAnsi="Calibri"/>
          <w:i/>
          <w:color w:val="231F20"/>
          <w:w w:val="105"/>
          <w:sz w:val="17"/>
        </w:rPr>
        <w:t>The</w:t>
      </w:r>
      <w:r>
        <w:rPr>
          <w:rFonts w:ascii="Calibri" w:hAnsi="Calibri"/>
          <w:i/>
          <w:color w:val="231F20"/>
          <w:spacing w:val="-20"/>
          <w:w w:val="105"/>
          <w:sz w:val="17"/>
        </w:rPr>
        <w:t> </w:t>
      </w:r>
      <w:r>
        <w:rPr>
          <w:rFonts w:ascii="Calibri" w:hAnsi="Calibri"/>
          <w:i/>
          <w:color w:val="231F20"/>
          <w:w w:val="105"/>
          <w:sz w:val="17"/>
        </w:rPr>
        <w:t>End</w:t>
      </w:r>
      <w:r>
        <w:rPr>
          <w:rFonts w:ascii="Calibri" w:hAnsi="Calibri"/>
          <w:i/>
          <w:color w:val="231F20"/>
          <w:spacing w:val="-20"/>
          <w:w w:val="105"/>
          <w:sz w:val="17"/>
        </w:rPr>
        <w:t> </w:t>
      </w:r>
      <w:r>
        <w:rPr>
          <w:rFonts w:ascii="Calibri" w:hAnsi="Calibri"/>
          <w:i/>
          <w:color w:val="231F20"/>
          <w:w w:val="105"/>
          <w:sz w:val="17"/>
        </w:rPr>
        <w:t>of </w:t>
      </w:r>
      <w:r>
        <w:rPr>
          <w:rFonts w:ascii="Calibri" w:hAnsi="Calibri"/>
          <w:i/>
          <w:color w:val="231F20"/>
          <w:w w:val="105"/>
          <w:sz w:val="17"/>
        </w:rPr>
        <w:t>Westphalia?</w:t>
      </w:r>
      <w:r>
        <w:rPr>
          <w:rFonts w:ascii="Calibri" w:hAnsi="Calibri"/>
          <w:color w:val="231F20"/>
          <w:w w:val="105"/>
          <w:sz w:val="17"/>
        </w:rPr>
        <w:t>,</w:t>
      </w:r>
      <w:r>
        <w:rPr>
          <w:rFonts w:ascii="Calibri" w:hAnsi="Calibri"/>
          <w:color w:val="231F20"/>
          <w:spacing w:val="-18"/>
          <w:w w:val="105"/>
          <w:sz w:val="17"/>
        </w:rPr>
        <w:t> </w:t>
      </w:r>
      <w:r>
        <w:rPr>
          <w:rFonts w:ascii="Calibri" w:hAnsi="Calibri"/>
          <w:color w:val="231F20"/>
          <w:w w:val="105"/>
          <w:sz w:val="17"/>
        </w:rPr>
        <w:t>Aldershot,</w:t>
      </w:r>
      <w:r>
        <w:rPr>
          <w:rFonts w:ascii="Calibri" w:hAnsi="Calibri"/>
          <w:color w:val="231F20"/>
          <w:spacing w:val="-18"/>
          <w:w w:val="105"/>
          <w:sz w:val="17"/>
        </w:rPr>
        <w:t> </w:t>
      </w:r>
      <w:r>
        <w:rPr>
          <w:rFonts w:ascii="Calibri" w:hAnsi="Calibri"/>
          <w:color w:val="231F20"/>
          <w:w w:val="105"/>
          <w:sz w:val="17"/>
        </w:rPr>
        <w:t>Ashgate,</w:t>
      </w:r>
      <w:r>
        <w:rPr>
          <w:rFonts w:ascii="Calibri" w:hAnsi="Calibri"/>
          <w:color w:val="231F20"/>
          <w:spacing w:val="-18"/>
          <w:w w:val="105"/>
          <w:sz w:val="17"/>
        </w:rPr>
        <w:t> </w:t>
      </w:r>
      <w:r>
        <w:rPr>
          <w:rFonts w:ascii="Calibri" w:hAnsi="Calibri"/>
          <w:color w:val="231F20"/>
          <w:w w:val="105"/>
          <w:sz w:val="17"/>
        </w:rPr>
        <w:t>2008;</w:t>
      </w:r>
      <w:r>
        <w:rPr>
          <w:rFonts w:ascii="Calibri" w:hAnsi="Calibri"/>
          <w:color w:val="231F20"/>
          <w:spacing w:val="-18"/>
          <w:w w:val="105"/>
          <w:sz w:val="17"/>
        </w:rPr>
        <w:t> </w:t>
      </w:r>
      <w:r>
        <w:rPr>
          <w:rFonts w:ascii="Calibri" w:hAnsi="Calibri"/>
          <w:color w:val="231F20"/>
          <w:w w:val="105"/>
          <w:sz w:val="17"/>
        </w:rPr>
        <w:t>M.</w:t>
      </w:r>
      <w:r>
        <w:rPr>
          <w:rFonts w:ascii="Calibri" w:hAnsi="Calibri"/>
          <w:color w:val="231F20"/>
          <w:spacing w:val="-18"/>
          <w:w w:val="105"/>
          <w:sz w:val="17"/>
        </w:rPr>
        <w:t> </w:t>
      </w:r>
      <w:r>
        <w:rPr>
          <w:rFonts w:ascii="Calibri" w:hAnsi="Calibri"/>
          <w:color w:val="231F20"/>
          <w:w w:val="105"/>
          <w:sz w:val="17"/>
        </w:rPr>
        <w:t>Ricciardi,</w:t>
      </w:r>
      <w:r>
        <w:rPr>
          <w:rFonts w:ascii="Calibri" w:hAnsi="Calibri"/>
          <w:color w:val="231F20"/>
          <w:spacing w:val="-18"/>
          <w:w w:val="105"/>
          <w:sz w:val="17"/>
        </w:rPr>
        <w:t> </w:t>
      </w:r>
      <w:r>
        <w:rPr>
          <w:rFonts w:ascii="Calibri" w:hAnsi="Calibri"/>
          <w:color w:val="231F20"/>
          <w:w w:val="105"/>
          <w:sz w:val="17"/>
        </w:rPr>
        <w:t>“Dallo</w:t>
      </w:r>
      <w:r>
        <w:rPr>
          <w:rFonts w:ascii="Calibri" w:hAnsi="Calibri"/>
          <w:color w:val="231F20"/>
          <w:spacing w:val="-18"/>
          <w:w w:val="105"/>
          <w:sz w:val="17"/>
        </w:rPr>
        <w:t> </w:t>
      </w:r>
      <w:r>
        <w:rPr>
          <w:rFonts w:ascii="Calibri" w:hAnsi="Calibri"/>
          <w:color w:val="231F20"/>
          <w:w w:val="105"/>
          <w:sz w:val="17"/>
        </w:rPr>
        <w:t>Stato</w:t>
      </w:r>
      <w:r>
        <w:rPr>
          <w:rFonts w:ascii="Calibri" w:hAnsi="Calibri"/>
          <w:color w:val="231F20"/>
          <w:spacing w:val="-18"/>
          <w:w w:val="105"/>
          <w:sz w:val="17"/>
        </w:rPr>
        <w:t> </w:t>
      </w:r>
      <w:r>
        <w:rPr>
          <w:rFonts w:ascii="Calibri" w:hAnsi="Calibri"/>
          <w:color w:val="231F20"/>
          <w:w w:val="105"/>
          <w:sz w:val="17"/>
        </w:rPr>
        <w:t>modern</w:t>
      </w:r>
      <w:r>
        <w:rPr>
          <w:rFonts w:ascii="Calibri" w:hAnsi="Calibri"/>
          <w:color w:val="231F20"/>
          <w:spacing w:val="-18"/>
          <w:w w:val="105"/>
          <w:sz w:val="17"/>
        </w:rPr>
        <w:t> </w:t>
      </w:r>
      <w:r>
        <w:rPr>
          <w:rFonts w:ascii="Calibri" w:hAnsi="Calibri"/>
          <w:color w:val="231F20"/>
          <w:w w:val="105"/>
          <w:sz w:val="17"/>
        </w:rPr>
        <w:t>allo</w:t>
      </w:r>
      <w:r>
        <w:rPr>
          <w:rFonts w:ascii="Calibri" w:hAnsi="Calibri"/>
          <w:color w:val="231F20"/>
          <w:spacing w:val="-18"/>
          <w:w w:val="105"/>
          <w:sz w:val="17"/>
        </w:rPr>
        <w:t> </w:t>
      </w:r>
      <w:r>
        <w:rPr>
          <w:rFonts w:ascii="Calibri" w:hAnsi="Calibri"/>
          <w:color w:val="231F20"/>
          <w:w w:val="105"/>
          <w:sz w:val="17"/>
        </w:rPr>
        <w:t>Stato</w:t>
      </w:r>
      <w:r>
        <w:rPr>
          <w:rFonts w:ascii="Calibri" w:hAnsi="Calibri"/>
          <w:color w:val="231F20"/>
          <w:spacing w:val="-18"/>
          <w:w w:val="105"/>
          <w:sz w:val="17"/>
        </w:rPr>
        <w:t> </w:t>
      </w:r>
      <w:r>
        <w:rPr>
          <w:rFonts w:ascii="Calibri" w:hAnsi="Calibri"/>
          <w:color w:val="231F20"/>
          <w:w w:val="105"/>
          <w:sz w:val="17"/>
        </w:rPr>
        <w:t>globale.</w:t>
      </w:r>
      <w:r>
        <w:rPr>
          <w:rFonts w:ascii="Calibri" w:hAnsi="Calibri"/>
          <w:color w:val="231F20"/>
          <w:spacing w:val="-18"/>
          <w:w w:val="105"/>
          <w:sz w:val="17"/>
        </w:rPr>
        <w:t> </w:t>
      </w:r>
      <w:r>
        <w:rPr>
          <w:rFonts w:ascii="Calibri" w:hAnsi="Calibri"/>
          <w:color w:val="231F20"/>
          <w:w w:val="105"/>
          <w:sz w:val="17"/>
        </w:rPr>
        <w:t>Storia e</w:t>
      </w:r>
      <w:r>
        <w:rPr>
          <w:rFonts w:ascii="Calibri" w:hAnsi="Calibri"/>
          <w:color w:val="231F20"/>
          <w:spacing w:val="-19"/>
          <w:w w:val="105"/>
          <w:sz w:val="17"/>
        </w:rPr>
        <w:t> </w:t>
      </w:r>
      <w:r>
        <w:rPr>
          <w:rFonts w:ascii="Calibri" w:hAnsi="Calibri"/>
          <w:color w:val="231F20"/>
          <w:w w:val="105"/>
          <w:sz w:val="17"/>
        </w:rPr>
        <w:t>trasformazione</w:t>
      </w:r>
      <w:r>
        <w:rPr>
          <w:rFonts w:ascii="Calibri" w:hAnsi="Calibri"/>
          <w:color w:val="231F20"/>
          <w:spacing w:val="-19"/>
          <w:w w:val="105"/>
          <w:sz w:val="17"/>
        </w:rPr>
        <w:t> </w:t>
      </w:r>
      <w:r>
        <w:rPr>
          <w:rFonts w:ascii="Calibri" w:hAnsi="Calibri"/>
          <w:color w:val="231F20"/>
          <w:w w:val="105"/>
          <w:sz w:val="17"/>
        </w:rPr>
        <w:t>di</w:t>
      </w:r>
      <w:r>
        <w:rPr>
          <w:rFonts w:ascii="Calibri" w:hAnsi="Calibri"/>
          <w:color w:val="231F20"/>
          <w:spacing w:val="-19"/>
          <w:w w:val="105"/>
          <w:sz w:val="17"/>
        </w:rPr>
        <w:t> </w:t>
      </w:r>
      <w:r>
        <w:rPr>
          <w:rFonts w:ascii="Calibri" w:hAnsi="Calibri"/>
          <w:color w:val="231F20"/>
          <w:w w:val="105"/>
          <w:sz w:val="17"/>
        </w:rPr>
        <w:t>un</w:t>
      </w:r>
      <w:r>
        <w:rPr>
          <w:rFonts w:ascii="Calibri" w:hAnsi="Calibri"/>
          <w:color w:val="231F20"/>
          <w:spacing w:val="-19"/>
          <w:w w:val="105"/>
          <w:sz w:val="17"/>
        </w:rPr>
        <w:t> </w:t>
      </w:r>
      <w:r>
        <w:rPr>
          <w:rFonts w:ascii="Calibri" w:hAnsi="Calibri"/>
          <w:color w:val="231F20"/>
          <w:w w:val="105"/>
          <w:sz w:val="17"/>
        </w:rPr>
        <w:t>concetto”,</w:t>
      </w:r>
      <w:r>
        <w:rPr>
          <w:rFonts w:ascii="Calibri" w:hAnsi="Calibri"/>
          <w:color w:val="231F20"/>
          <w:spacing w:val="-19"/>
          <w:w w:val="105"/>
          <w:sz w:val="17"/>
        </w:rPr>
        <w:t> </w:t>
      </w:r>
      <w:r>
        <w:rPr>
          <w:rFonts w:ascii="Calibri" w:hAnsi="Calibri"/>
          <w:i/>
          <w:color w:val="231F20"/>
          <w:w w:val="105"/>
          <w:sz w:val="17"/>
        </w:rPr>
        <w:t>Scienza</w:t>
      </w:r>
      <w:r>
        <w:rPr>
          <w:rFonts w:ascii="Calibri" w:hAnsi="Calibri"/>
          <w:i/>
          <w:color w:val="231F20"/>
          <w:spacing w:val="-20"/>
          <w:w w:val="105"/>
          <w:sz w:val="17"/>
        </w:rPr>
        <w:t> </w:t>
      </w:r>
      <w:r>
        <w:rPr>
          <w:rFonts w:ascii="Calibri" w:hAnsi="Calibri"/>
          <w:i/>
          <w:color w:val="231F20"/>
          <w:w w:val="105"/>
          <w:sz w:val="17"/>
        </w:rPr>
        <w:t>&amp;</w:t>
      </w:r>
      <w:r>
        <w:rPr>
          <w:rFonts w:ascii="Calibri" w:hAnsi="Calibri"/>
          <w:i/>
          <w:color w:val="231F20"/>
          <w:spacing w:val="-20"/>
          <w:w w:val="105"/>
          <w:sz w:val="17"/>
        </w:rPr>
        <w:t> </w:t>
      </w:r>
      <w:r>
        <w:rPr>
          <w:rFonts w:ascii="Calibri" w:hAnsi="Calibri"/>
          <w:i/>
          <w:color w:val="231F20"/>
          <w:w w:val="105"/>
          <w:sz w:val="17"/>
        </w:rPr>
        <w:t>Politica</w:t>
      </w:r>
      <w:r>
        <w:rPr>
          <w:rFonts w:ascii="Calibri" w:hAnsi="Calibri"/>
          <w:color w:val="231F20"/>
          <w:w w:val="105"/>
          <w:sz w:val="17"/>
        </w:rPr>
        <w:t>,</w:t>
      </w:r>
      <w:r>
        <w:rPr>
          <w:rFonts w:ascii="Calibri" w:hAnsi="Calibri"/>
          <w:color w:val="231F20"/>
          <w:spacing w:val="-21"/>
          <w:w w:val="105"/>
          <w:sz w:val="17"/>
        </w:rPr>
        <w:t> </w:t>
      </w:r>
      <w:r>
        <w:rPr>
          <w:rFonts w:ascii="Calibri" w:hAnsi="Calibri"/>
          <w:color w:val="231F20"/>
          <w:w w:val="105"/>
          <w:sz w:val="17"/>
        </w:rPr>
        <w:t>vol.</w:t>
      </w:r>
      <w:r>
        <w:rPr>
          <w:rFonts w:ascii="Calibri" w:hAnsi="Calibri"/>
          <w:color w:val="231F20"/>
          <w:spacing w:val="-19"/>
          <w:w w:val="105"/>
          <w:sz w:val="17"/>
        </w:rPr>
        <w:t> </w:t>
      </w:r>
      <w:r>
        <w:rPr>
          <w:rFonts w:ascii="Calibri" w:hAnsi="Calibri"/>
          <w:color w:val="231F20"/>
          <w:w w:val="105"/>
          <w:sz w:val="14"/>
        </w:rPr>
        <w:t>XXV</w:t>
      </w:r>
      <w:r>
        <w:rPr>
          <w:rFonts w:ascii="Calibri" w:hAnsi="Calibri"/>
          <w:color w:val="231F20"/>
          <w:w w:val="105"/>
          <w:sz w:val="17"/>
        </w:rPr>
        <w:t>,</w:t>
      </w:r>
      <w:r>
        <w:rPr>
          <w:rFonts w:ascii="Calibri" w:hAnsi="Calibri"/>
          <w:color w:val="231F20"/>
          <w:spacing w:val="-19"/>
          <w:w w:val="105"/>
          <w:sz w:val="17"/>
        </w:rPr>
        <w:t> </w:t>
      </w:r>
      <w:r>
        <w:rPr>
          <w:rFonts w:ascii="Calibri" w:hAnsi="Calibri"/>
          <w:color w:val="231F20"/>
          <w:w w:val="105"/>
          <w:sz w:val="17"/>
        </w:rPr>
        <w:t>n.</w:t>
      </w:r>
      <w:r>
        <w:rPr>
          <w:rFonts w:ascii="Calibri" w:hAnsi="Calibri"/>
          <w:color w:val="231F20"/>
          <w:spacing w:val="-19"/>
          <w:w w:val="105"/>
          <w:sz w:val="17"/>
        </w:rPr>
        <w:t> </w:t>
      </w:r>
      <w:r>
        <w:rPr>
          <w:rFonts w:ascii="Calibri" w:hAnsi="Calibri"/>
          <w:color w:val="231F20"/>
          <w:w w:val="105"/>
          <w:sz w:val="17"/>
        </w:rPr>
        <w:t>48,</w:t>
      </w:r>
      <w:r>
        <w:rPr>
          <w:rFonts w:ascii="Calibri" w:hAnsi="Calibri"/>
          <w:color w:val="231F20"/>
          <w:spacing w:val="-19"/>
          <w:w w:val="105"/>
          <w:sz w:val="17"/>
        </w:rPr>
        <w:t> </w:t>
      </w:r>
      <w:r>
        <w:rPr>
          <w:rFonts w:ascii="Calibri" w:hAnsi="Calibri"/>
          <w:color w:val="231F20"/>
          <w:w w:val="105"/>
          <w:sz w:val="17"/>
        </w:rPr>
        <w:t>2013,</w:t>
      </w:r>
      <w:r>
        <w:rPr>
          <w:rFonts w:ascii="Calibri" w:hAnsi="Calibri"/>
          <w:color w:val="231F20"/>
          <w:spacing w:val="-19"/>
          <w:w w:val="105"/>
          <w:sz w:val="17"/>
        </w:rPr>
        <w:t> </w:t>
      </w:r>
      <w:r>
        <w:rPr>
          <w:rFonts w:ascii="Calibri" w:hAnsi="Calibri"/>
          <w:color w:val="231F20"/>
          <w:w w:val="105"/>
          <w:sz w:val="17"/>
        </w:rPr>
        <w:t>pp.</w:t>
      </w:r>
      <w:r>
        <w:rPr>
          <w:rFonts w:ascii="Calibri" w:hAnsi="Calibri"/>
          <w:color w:val="231F20"/>
          <w:spacing w:val="-19"/>
          <w:w w:val="105"/>
          <w:sz w:val="17"/>
        </w:rPr>
        <w:t> </w:t>
      </w:r>
      <w:r>
        <w:rPr>
          <w:rFonts w:ascii="Calibri" w:hAnsi="Calibri"/>
          <w:color w:val="231F20"/>
          <w:w w:val="105"/>
          <w:sz w:val="17"/>
        </w:rPr>
        <w:t>75–93.</w:t>
      </w:r>
    </w:p>
    <w:p>
      <w:pPr>
        <w:pStyle w:val="BodyText"/>
        <w:rPr>
          <w:rFonts w:ascii="Calibri"/>
          <w:sz w:val="20"/>
        </w:rPr>
      </w:pPr>
    </w:p>
    <w:p>
      <w:pPr>
        <w:pStyle w:val="BodyText"/>
        <w:spacing w:before="10"/>
        <w:rPr>
          <w:rFonts w:ascii="Calibri"/>
          <w:sz w:val="27"/>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0312"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150</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98" w:lineRule="exact" w:before="52"/>
        <w:ind w:left="796" w:right="-1" w:firstLine="0"/>
        <w:jc w:val="left"/>
        <w:rPr>
          <w:rFonts w:ascii="Lucida Sans Unicode" w:hAnsi="Lucida Sans Unicode"/>
          <w:sz w:val="14"/>
        </w:rPr>
      </w:pPr>
      <w:r>
        <w:rPr/>
        <w:pict>
          <v:group style="position:absolute;margin-left:383.821014pt;margin-top:-25.479271pt;width:8.65pt;height:41pt;mso-position-horizontal-relative:page;mso-position-vertical-relative:paragraph;z-index:15136" coordorigin="7676,-510" coordsize="173,820">
            <v:line style="position:absolute" from="7681,-506" to="7681,191" stroked="true" strokeweight=".35pt" strokecolor="#231f20"/>
            <v:shape style="position:absolute;left:7676;top:-82;width:172;height:393" type="#_x0000_t75" stroked="false">
              <v:imagedata r:id="rId36" o:title=""/>
            </v:shape>
            <w10:wrap type="none"/>
          </v:group>
        </w:pict>
      </w:r>
      <w:r>
        <w:rPr>
          <w:rFonts w:ascii="Lucida Sans Unicode" w:hAnsi="Lucida Sans Unicode"/>
          <w:color w:val="6D6E71"/>
          <w:w w:val="90"/>
          <w:sz w:val="14"/>
        </w:rPr>
        <w:t>QUESTIONI</w:t>
      </w:r>
      <w:r>
        <w:rPr>
          <w:rFonts w:ascii="Lucida Sans Unicode" w:hAnsi="Lucida Sans Unicode"/>
          <w:color w:val="6D6E71"/>
          <w:spacing w:val="-11"/>
          <w:w w:val="90"/>
          <w:sz w:val="14"/>
        </w:rPr>
        <w:t> </w:t>
      </w:r>
      <w:r>
        <w:rPr>
          <w:rFonts w:ascii="Lucida Sans Unicode" w:hAnsi="Lucida Sans Unicode"/>
          <w:color w:val="6D6E71"/>
          <w:w w:val="90"/>
          <w:sz w:val="14"/>
        </w:rPr>
        <w:t>DI</w:t>
      </w:r>
      <w:r>
        <w:rPr>
          <w:rFonts w:ascii="Lucida Sans Unicode" w:hAnsi="Lucida Sans Unicode"/>
          <w:color w:val="6D6E71"/>
          <w:spacing w:val="-11"/>
          <w:w w:val="90"/>
          <w:sz w:val="14"/>
        </w:rPr>
        <w:t> </w:t>
      </w:r>
      <w:r>
        <w:rPr>
          <w:rFonts w:ascii="Lucida Sans Unicode" w:hAnsi="Lucida Sans Unicode"/>
          <w:color w:val="6D6E71"/>
          <w:w w:val="90"/>
          <w:sz w:val="14"/>
        </w:rPr>
        <w:t>CONFINE.</w:t>
      </w:r>
      <w:r>
        <w:rPr>
          <w:rFonts w:ascii="Lucida Sans Unicode" w:hAnsi="Lucida Sans Unicode"/>
          <w:color w:val="6D6E71"/>
          <w:spacing w:val="-11"/>
          <w:w w:val="90"/>
          <w:sz w:val="14"/>
        </w:rPr>
        <w:t> </w:t>
      </w:r>
      <w:r>
        <w:rPr>
          <w:rFonts w:ascii="Lucida Sans Unicode" w:hAnsi="Lucida Sans Unicode"/>
          <w:color w:val="6D6E71"/>
          <w:w w:val="90"/>
          <w:sz w:val="14"/>
        </w:rPr>
        <w:t>SOVRANITÀ</w:t>
      </w:r>
      <w:r>
        <w:rPr>
          <w:rFonts w:ascii="Lucida Sans Unicode" w:hAnsi="Lucida Sans Unicode"/>
          <w:color w:val="6D6E71"/>
          <w:spacing w:val="-11"/>
          <w:w w:val="90"/>
          <w:sz w:val="14"/>
        </w:rPr>
        <w:t> </w:t>
      </w:r>
      <w:r>
        <w:rPr>
          <w:rFonts w:ascii="Lucida Sans Unicode" w:hAnsi="Lucida Sans Unicode"/>
          <w:color w:val="6D6E71"/>
          <w:w w:val="90"/>
          <w:sz w:val="14"/>
        </w:rPr>
        <w:t>TERRITORIALE</w:t>
      </w:r>
      <w:r>
        <w:rPr>
          <w:rFonts w:ascii="Lucida Sans Unicode" w:hAnsi="Lucida Sans Unicode"/>
          <w:color w:val="6D6E71"/>
          <w:spacing w:val="-11"/>
          <w:w w:val="90"/>
          <w:sz w:val="14"/>
        </w:rPr>
        <w:t> </w:t>
      </w:r>
      <w:r>
        <w:rPr>
          <w:rFonts w:ascii="Lucida Sans Unicode" w:hAnsi="Lucida Sans Unicode"/>
          <w:color w:val="6D6E71"/>
          <w:w w:val="90"/>
          <w:sz w:val="14"/>
        </w:rPr>
        <w:t>E</w:t>
      </w:r>
      <w:r>
        <w:rPr>
          <w:rFonts w:ascii="Lucida Sans Unicode" w:hAnsi="Lucida Sans Unicode"/>
          <w:color w:val="6D6E71"/>
          <w:spacing w:val="-11"/>
          <w:w w:val="90"/>
          <w:sz w:val="14"/>
        </w:rPr>
        <w:t> </w:t>
      </w:r>
      <w:r>
        <w:rPr>
          <w:rFonts w:ascii="Lucida Sans Unicode" w:hAnsi="Lucida Sans Unicode"/>
          <w:color w:val="6D6E71"/>
          <w:w w:val="90"/>
          <w:sz w:val="14"/>
        </w:rPr>
        <w:t>ORDINE</w:t>
      </w:r>
      <w:r>
        <w:rPr>
          <w:rFonts w:ascii="Lucida Sans Unicode" w:hAnsi="Lucida Sans Unicode"/>
          <w:color w:val="6D6E71"/>
          <w:spacing w:val="-11"/>
          <w:w w:val="90"/>
          <w:sz w:val="14"/>
        </w:rPr>
        <w:t> </w:t>
      </w:r>
      <w:r>
        <w:rPr>
          <w:rFonts w:ascii="Lucida Sans Unicode" w:hAnsi="Lucida Sans Unicode"/>
          <w:color w:val="6D6E71"/>
          <w:w w:val="90"/>
          <w:sz w:val="14"/>
        </w:rPr>
        <w:t>GLOBALE</w:t>
      </w:r>
      <w:r>
        <w:rPr>
          <w:rFonts w:ascii="Lucida Sans Unicode" w:hAnsi="Lucida Sans Unicode"/>
          <w:color w:val="6D6E71"/>
          <w:spacing w:val="-11"/>
          <w:w w:val="90"/>
          <w:sz w:val="14"/>
        </w:rPr>
        <w:t> </w:t>
      </w:r>
      <w:r>
        <w:rPr>
          <w:rFonts w:ascii="Lucida Sans Unicode" w:hAnsi="Lucida Sans Unicode"/>
          <w:color w:val="6D6E71"/>
          <w:w w:val="90"/>
          <w:sz w:val="14"/>
        </w:rPr>
        <w:t>NEL</w:t>
      </w:r>
      <w:r>
        <w:rPr>
          <w:rFonts w:ascii="Lucida Sans Unicode" w:hAnsi="Lucida Sans Unicode"/>
          <w:color w:val="6D6E71"/>
          <w:spacing w:val="-11"/>
          <w:w w:val="90"/>
          <w:sz w:val="14"/>
        </w:rPr>
        <w:t> </w:t>
      </w:r>
      <w:r>
        <w:rPr>
          <w:rFonts w:ascii="Lucida Sans Unicode" w:hAnsi="Lucida Sans Unicode"/>
          <w:color w:val="6D6E71"/>
          <w:w w:val="90"/>
          <w:sz w:val="14"/>
        </w:rPr>
        <w:t>DIBATTITO</w:t>
      </w:r>
      <w:r>
        <w:rPr>
          <w:rFonts w:ascii="Lucida Sans Unicode" w:hAnsi="Lucida Sans Unicode"/>
          <w:color w:val="6D6E71"/>
          <w:spacing w:val="-11"/>
          <w:w w:val="90"/>
          <w:sz w:val="14"/>
        </w:rPr>
        <w:t> </w:t>
      </w:r>
      <w:r>
        <w:rPr>
          <w:rFonts w:ascii="Lucida Sans Unicode" w:hAnsi="Lucida Sans Unicode"/>
          <w:color w:val="6D6E71"/>
          <w:w w:val="90"/>
          <w:sz w:val="14"/>
        </w:rPr>
        <w:t>SUL</w:t>
      </w:r>
    </w:p>
    <w:p>
      <w:pPr>
        <w:spacing w:line="198" w:lineRule="exact" w:before="0"/>
        <w:ind w:left="3896" w:right="-13" w:firstLine="0"/>
        <w:jc w:val="left"/>
        <w:rPr>
          <w:rFonts w:ascii="Lucida Sans Unicode" w:hAnsi="Lucida Sans Unicode"/>
          <w:sz w:val="14"/>
        </w:rPr>
      </w:pPr>
      <w:r>
        <w:rPr>
          <w:rFonts w:ascii="Lucida Sans Unicode" w:hAnsi="Lucida Sans Unicode"/>
          <w:color w:val="6D6E71"/>
          <w:w w:val="85"/>
          <w:sz w:val="14"/>
        </w:rPr>
        <w:t>“NUOVO  INTERVENTISMO  UMANITARIO”</w:t>
      </w:r>
    </w:p>
    <w:p>
      <w:pPr>
        <w:spacing w:before="59"/>
        <w:ind w:left="338" w:right="0" w:firstLine="0"/>
        <w:jc w:val="left"/>
        <w:rPr>
          <w:rFonts w:ascii="Trebuchet MS"/>
          <w:sz w:val="20"/>
        </w:rPr>
      </w:pPr>
      <w:r>
        <w:rPr/>
        <w:br w:type="column"/>
      </w:r>
      <w:r>
        <w:rPr>
          <w:rFonts w:ascii="Trebuchet MS"/>
          <w:color w:val="414042"/>
          <w:w w:val="105"/>
          <w:sz w:val="20"/>
        </w:rPr>
        <w:t>151</w:t>
      </w:r>
    </w:p>
    <w:p>
      <w:pPr>
        <w:spacing w:after="0"/>
        <w:jc w:val="left"/>
        <w:rPr>
          <w:rFonts w:ascii="Trebuchet MS"/>
          <w:sz w:val="20"/>
        </w:rPr>
        <w:sectPr>
          <w:type w:val="continuous"/>
          <w:pgSz w:w="9640" w:h="13890"/>
          <w:pgMar w:top="0" w:bottom="0" w:left="1300" w:right="1180"/>
          <w:cols w:num="2" w:equalWidth="0">
            <w:col w:w="6261" w:space="40"/>
            <w:col w:w="859"/>
          </w:cols>
        </w:sectPr>
      </w:pPr>
    </w:p>
    <w:p>
      <w:pPr>
        <w:pStyle w:val="BodyText"/>
        <w:rPr>
          <w:rFonts w:ascii="Trebuchet MS"/>
          <w:sz w:val="20"/>
        </w:rPr>
      </w:pPr>
    </w:p>
    <w:p>
      <w:pPr>
        <w:pStyle w:val="BodyText"/>
        <w:spacing w:before="2"/>
        <w:rPr>
          <w:rFonts w:ascii="Trebuchet MS"/>
          <w:sz w:val="16"/>
        </w:rPr>
      </w:pPr>
    </w:p>
    <w:p>
      <w:pPr>
        <w:pStyle w:val="BodyText"/>
        <w:spacing w:line="247" w:lineRule="auto" w:before="44"/>
        <w:ind w:left="117" w:right="117"/>
        <w:jc w:val="both"/>
      </w:pPr>
      <w:r>
        <w:rPr>
          <w:color w:val="231F20"/>
          <w:w w:val="105"/>
        </w:rPr>
        <w:t>umanitario si rivela, così, passibile di nuove e più fruttuose</w:t>
      </w:r>
      <w:r>
        <w:rPr>
          <w:color w:val="231F20"/>
          <w:spacing w:val="-35"/>
          <w:w w:val="105"/>
        </w:rPr>
        <w:t> </w:t>
      </w:r>
      <w:r>
        <w:rPr>
          <w:color w:val="231F20"/>
          <w:w w:val="105"/>
        </w:rPr>
        <w:t>elaborazioni teoriche:</w:t>
      </w:r>
      <w:r>
        <w:rPr>
          <w:color w:val="231F20"/>
          <w:spacing w:val="-10"/>
          <w:w w:val="105"/>
        </w:rPr>
        <w:t> </w:t>
      </w:r>
      <w:r>
        <w:rPr>
          <w:color w:val="231F20"/>
          <w:w w:val="105"/>
        </w:rPr>
        <w:t>non</w:t>
      </w:r>
      <w:r>
        <w:rPr>
          <w:color w:val="231F20"/>
          <w:spacing w:val="-10"/>
          <w:w w:val="105"/>
        </w:rPr>
        <w:t> </w:t>
      </w:r>
      <w:r>
        <w:rPr>
          <w:color w:val="231F20"/>
          <w:w w:val="105"/>
        </w:rPr>
        <w:t>è</w:t>
      </w:r>
      <w:r>
        <w:rPr>
          <w:color w:val="231F20"/>
          <w:spacing w:val="-10"/>
          <w:w w:val="105"/>
        </w:rPr>
        <w:t> </w:t>
      </w:r>
      <w:r>
        <w:rPr>
          <w:color w:val="231F20"/>
          <w:w w:val="105"/>
        </w:rPr>
        <w:t>detto,</w:t>
      </w:r>
      <w:r>
        <w:rPr>
          <w:color w:val="231F20"/>
          <w:spacing w:val="-10"/>
          <w:w w:val="105"/>
        </w:rPr>
        <w:t> </w:t>
      </w:r>
      <w:r>
        <w:rPr>
          <w:color w:val="231F20"/>
          <w:w w:val="105"/>
        </w:rPr>
        <w:t>infatti,</w:t>
      </w:r>
      <w:r>
        <w:rPr>
          <w:color w:val="231F20"/>
          <w:spacing w:val="-10"/>
          <w:w w:val="105"/>
        </w:rPr>
        <w:t> </w:t>
      </w:r>
      <w:r>
        <w:rPr>
          <w:color w:val="231F20"/>
          <w:w w:val="105"/>
        </w:rPr>
        <w:t>che</w:t>
      </w:r>
      <w:r>
        <w:rPr>
          <w:color w:val="231F20"/>
          <w:spacing w:val="-10"/>
          <w:w w:val="105"/>
        </w:rPr>
        <w:t> </w:t>
      </w:r>
      <w:r>
        <w:rPr>
          <w:color w:val="231F20"/>
          <w:w w:val="105"/>
        </w:rPr>
        <w:t>un</w:t>
      </w:r>
      <w:r>
        <w:rPr>
          <w:color w:val="231F20"/>
          <w:spacing w:val="-10"/>
          <w:w w:val="105"/>
        </w:rPr>
        <w:t> </w:t>
      </w:r>
      <w:r>
        <w:rPr>
          <w:color w:val="231F20"/>
          <w:w w:val="105"/>
        </w:rPr>
        <w:t>indebolimento</w:t>
      </w:r>
      <w:r>
        <w:rPr>
          <w:color w:val="231F20"/>
          <w:spacing w:val="-10"/>
          <w:w w:val="105"/>
        </w:rPr>
        <w:t> </w:t>
      </w:r>
      <w:r>
        <w:rPr>
          <w:color w:val="231F20"/>
          <w:w w:val="105"/>
        </w:rPr>
        <w:t>della</w:t>
      </w:r>
      <w:r>
        <w:rPr>
          <w:color w:val="231F20"/>
          <w:spacing w:val="-10"/>
          <w:w w:val="105"/>
        </w:rPr>
        <w:t> </w:t>
      </w:r>
      <w:r>
        <w:rPr>
          <w:color w:val="231F20"/>
          <w:w w:val="105"/>
        </w:rPr>
        <w:t>sovranità</w:t>
      </w:r>
      <w:r>
        <w:rPr>
          <w:color w:val="231F20"/>
          <w:spacing w:val="-10"/>
          <w:w w:val="105"/>
        </w:rPr>
        <w:t> </w:t>
      </w:r>
      <w:r>
        <w:rPr>
          <w:color w:val="231F20"/>
          <w:w w:val="105"/>
        </w:rPr>
        <w:t>dello Stato</w:t>
      </w:r>
      <w:r>
        <w:rPr>
          <w:color w:val="231F20"/>
          <w:spacing w:val="-15"/>
          <w:w w:val="105"/>
        </w:rPr>
        <w:t> </w:t>
      </w:r>
      <w:r>
        <w:rPr>
          <w:color w:val="231F20"/>
          <w:w w:val="105"/>
        </w:rPr>
        <w:t>verso</w:t>
      </w:r>
      <w:r>
        <w:rPr>
          <w:color w:val="231F20"/>
          <w:spacing w:val="-15"/>
          <w:w w:val="105"/>
        </w:rPr>
        <w:t> </w:t>
      </w:r>
      <w:r>
        <w:rPr>
          <w:color w:val="231F20"/>
          <w:w w:val="105"/>
        </w:rPr>
        <w:t>l’esterno</w:t>
      </w:r>
      <w:r>
        <w:rPr>
          <w:color w:val="231F20"/>
          <w:spacing w:val="-15"/>
          <w:w w:val="105"/>
        </w:rPr>
        <w:t> </w:t>
      </w:r>
      <w:r>
        <w:rPr>
          <w:color w:val="231F20"/>
          <w:w w:val="105"/>
        </w:rPr>
        <w:t>si</w:t>
      </w:r>
      <w:r>
        <w:rPr>
          <w:color w:val="231F20"/>
          <w:spacing w:val="-15"/>
          <w:w w:val="105"/>
        </w:rPr>
        <w:t> </w:t>
      </w:r>
      <w:r>
        <w:rPr>
          <w:color w:val="231F20"/>
          <w:w w:val="105"/>
        </w:rPr>
        <w:t>traduca</w:t>
      </w:r>
      <w:r>
        <w:rPr>
          <w:color w:val="231F20"/>
          <w:spacing w:val="-15"/>
          <w:w w:val="105"/>
        </w:rPr>
        <w:t> </w:t>
      </w:r>
      <w:r>
        <w:rPr>
          <w:color w:val="231F20"/>
          <w:w w:val="105"/>
        </w:rPr>
        <w:t>automaticamente</w:t>
      </w:r>
      <w:r>
        <w:rPr>
          <w:color w:val="231F20"/>
          <w:spacing w:val="-15"/>
          <w:w w:val="105"/>
        </w:rPr>
        <w:t> </w:t>
      </w:r>
      <w:r>
        <w:rPr>
          <w:color w:val="231F20"/>
          <w:w w:val="105"/>
        </w:rPr>
        <w:t>in</w:t>
      </w:r>
      <w:r>
        <w:rPr>
          <w:color w:val="231F20"/>
          <w:spacing w:val="-15"/>
          <w:w w:val="105"/>
        </w:rPr>
        <w:t> </w:t>
      </w:r>
      <w:r>
        <w:rPr>
          <w:color w:val="231F20"/>
          <w:w w:val="105"/>
        </w:rPr>
        <w:t>un</w:t>
      </w:r>
      <w:r>
        <w:rPr>
          <w:color w:val="231F20"/>
          <w:spacing w:val="-15"/>
          <w:w w:val="105"/>
        </w:rPr>
        <w:t> </w:t>
      </w:r>
      <w:r>
        <w:rPr>
          <w:color w:val="231F20"/>
          <w:w w:val="105"/>
        </w:rPr>
        <w:t>vulnus</w:t>
      </w:r>
      <w:r>
        <w:rPr>
          <w:color w:val="231F20"/>
          <w:spacing w:val="-15"/>
          <w:w w:val="105"/>
        </w:rPr>
        <w:t> </w:t>
      </w:r>
      <w:r>
        <w:rPr>
          <w:color w:val="231F20"/>
          <w:w w:val="105"/>
        </w:rPr>
        <w:t>ai</w:t>
      </w:r>
      <w:r>
        <w:rPr>
          <w:color w:val="231F20"/>
          <w:spacing w:val="-15"/>
          <w:w w:val="105"/>
        </w:rPr>
        <w:t> </w:t>
      </w:r>
      <w:r>
        <w:rPr>
          <w:color w:val="231F20"/>
          <w:w w:val="105"/>
        </w:rPr>
        <w:t>diritti</w:t>
      </w:r>
      <w:r>
        <w:rPr>
          <w:color w:val="231F20"/>
          <w:spacing w:val="-15"/>
          <w:w w:val="105"/>
        </w:rPr>
        <w:t> </w:t>
      </w:r>
      <w:r>
        <w:rPr>
          <w:color w:val="231F20"/>
          <w:w w:val="105"/>
        </w:rPr>
        <w:t>di autogoverno</w:t>
      </w:r>
      <w:r>
        <w:rPr>
          <w:color w:val="231F20"/>
          <w:spacing w:val="-16"/>
          <w:w w:val="105"/>
        </w:rPr>
        <w:t> </w:t>
      </w:r>
      <w:r>
        <w:rPr>
          <w:color w:val="231F20"/>
          <w:w w:val="105"/>
        </w:rPr>
        <w:t>dei</w:t>
      </w:r>
      <w:r>
        <w:rPr>
          <w:color w:val="231F20"/>
          <w:spacing w:val="-16"/>
          <w:w w:val="105"/>
        </w:rPr>
        <w:t> </w:t>
      </w:r>
      <w:r>
        <w:rPr>
          <w:color w:val="231F20"/>
          <w:w w:val="105"/>
        </w:rPr>
        <w:t>suoi</w:t>
      </w:r>
      <w:r>
        <w:rPr>
          <w:color w:val="231F20"/>
          <w:spacing w:val="-16"/>
          <w:w w:val="105"/>
        </w:rPr>
        <w:t> </w:t>
      </w:r>
      <w:r>
        <w:rPr>
          <w:color w:val="231F20"/>
          <w:w w:val="105"/>
        </w:rPr>
        <w:t>cittadini.</w:t>
      </w:r>
      <w:r>
        <w:rPr>
          <w:color w:val="231F20"/>
          <w:spacing w:val="-16"/>
          <w:w w:val="105"/>
        </w:rPr>
        <w:t> </w:t>
      </w:r>
      <w:r>
        <w:rPr>
          <w:color w:val="231F20"/>
          <w:w w:val="105"/>
        </w:rPr>
        <w:t>Nella</w:t>
      </w:r>
      <w:r>
        <w:rPr>
          <w:color w:val="231F20"/>
          <w:spacing w:val="-16"/>
          <w:w w:val="105"/>
        </w:rPr>
        <w:t> </w:t>
      </w:r>
      <w:r>
        <w:rPr>
          <w:color w:val="231F20"/>
          <w:spacing w:val="-3"/>
          <w:w w:val="105"/>
        </w:rPr>
        <w:t>realtà</w:t>
      </w:r>
      <w:r>
        <w:rPr>
          <w:color w:val="231F20"/>
          <w:spacing w:val="-16"/>
          <w:w w:val="105"/>
        </w:rPr>
        <w:t> </w:t>
      </w:r>
      <w:r>
        <w:rPr>
          <w:color w:val="231F20"/>
          <w:w w:val="105"/>
        </w:rPr>
        <w:t>empirica,</w:t>
      </w:r>
      <w:r>
        <w:rPr>
          <w:color w:val="231F20"/>
          <w:spacing w:val="-16"/>
          <w:w w:val="105"/>
        </w:rPr>
        <w:t> </w:t>
      </w:r>
      <w:r>
        <w:rPr>
          <w:color w:val="231F20"/>
          <w:w w:val="105"/>
        </w:rPr>
        <w:t>il</w:t>
      </w:r>
      <w:r>
        <w:rPr>
          <w:color w:val="231F20"/>
          <w:spacing w:val="-16"/>
          <w:w w:val="105"/>
        </w:rPr>
        <w:t> </w:t>
      </w:r>
      <w:r>
        <w:rPr>
          <w:rFonts w:ascii="Arial" w:hAnsi="Arial"/>
          <w:i/>
          <w:color w:val="231F20"/>
          <w:w w:val="105"/>
        </w:rPr>
        <w:t>popolo</w:t>
      </w:r>
      <w:r>
        <w:rPr>
          <w:rFonts w:ascii="Arial" w:hAnsi="Arial"/>
          <w:i/>
          <w:color w:val="231F20"/>
          <w:spacing w:val="-8"/>
          <w:w w:val="105"/>
        </w:rPr>
        <w:t> </w:t>
      </w:r>
      <w:r>
        <w:rPr>
          <w:color w:val="231F20"/>
          <w:w w:val="105"/>
        </w:rPr>
        <w:t>è</w:t>
      </w:r>
      <w:r>
        <w:rPr>
          <w:color w:val="231F20"/>
          <w:spacing w:val="-16"/>
          <w:w w:val="105"/>
        </w:rPr>
        <w:t> </w:t>
      </w:r>
      <w:r>
        <w:rPr>
          <w:color w:val="231F20"/>
          <w:spacing w:val="-3"/>
          <w:w w:val="105"/>
        </w:rPr>
        <w:t>sempre</w:t>
      </w:r>
      <w:r>
        <w:rPr>
          <w:color w:val="231F20"/>
          <w:spacing w:val="-16"/>
          <w:w w:val="105"/>
        </w:rPr>
        <w:t> </w:t>
      </w:r>
      <w:r>
        <w:rPr>
          <w:color w:val="231F20"/>
          <w:w w:val="105"/>
        </w:rPr>
        <w:t>il prodotto</w:t>
      </w:r>
      <w:r>
        <w:rPr>
          <w:color w:val="231F20"/>
          <w:spacing w:val="-11"/>
          <w:w w:val="105"/>
        </w:rPr>
        <w:t> </w:t>
      </w:r>
      <w:r>
        <w:rPr>
          <w:color w:val="231F20"/>
          <w:w w:val="105"/>
        </w:rPr>
        <w:t>contingente</w:t>
      </w:r>
      <w:r>
        <w:rPr>
          <w:color w:val="231F20"/>
          <w:spacing w:val="-11"/>
          <w:w w:val="105"/>
        </w:rPr>
        <w:t> </w:t>
      </w:r>
      <w:r>
        <w:rPr>
          <w:color w:val="231F20"/>
          <w:w w:val="105"/>
        </w:rPr>
        <w:t>di</w:t>
      </w:r>
      <w:r>
        <w:rPr>
          <w:color w:val="231F20"/>
          <w:spacing w:val="-11"/>
          <w:w w:val="105"/>
        </w:rPr>
        <w:t> </w:t>
      </w:r>
      <w:r>
        <w:rPr>
          <w:color w:val="231F20"/>
          <w:w w:val="105"/>
        </w:rPr>
        <w:t>forme</w:t>
      </w:r>
      <w:r>
        <w:rPr>
          <w:color w:val="231F20"/>
          <w:spacing w:val="-11"/>
          <w:w w:val="105"/>
        </w:rPr>
        <w:t> </w:t>
      </w:r>
      <w:r>
        <w:rPr>
          <w:color w:val="231F20"/>
          <w:w w:val="105"/>
        </w:rPr>
        <w:t>di</w:t>
      </w:r>
      <w:r>
        <w:rPr>
          <w:color w:val="231F20"/>
          <w:spacing w:val="-11"/>
          <w:w w:val="105"/>
        </w:rPr>
        <w:t> </w:t>
      </w:r>
      <w:r>
        <w:rPr>
          <w:color w:val="231F20"/>
          <w:w w:val="105"/>
        </w:rPr>
        <w:t>organizzazione</w:t>
      </w:r>
      <w:r>
        <w:rPr>
          <w:color w:val="231F20"/>
          <w:spacing w:val="-11"/>
          <w:w w:val="105"/>
        </w:rPr>
        <w:t> </w:t>
      </w:r>
      <w:r>
        <w:rPr>
          <w:color w:val="231F20"/>
          <w:w w:val="105"/>
        </w:rPr>
        <w:t>politica</w:t>
      </w:r>
      <w:r>
        <w:rPr>
          <w:color w:val="231F20"/>
          <w:spacing w:val="-11"/>
          <w:w w:val="105"/>
        </w:rPr>
        <w:t> </w:t>
      </w:r>
      <w:r>
        <w:rPr>
          <w:color w:val="231F20"/>
          <w:w w:val="105"/>
        </w:rPr>
        <w:t>e</w:t>
      </w:r>
      <w:r>
        <w:rPr>
          <w:color w:val="231F20"/>
          <w:spacing w:val="-11"/>
          <w:w w:val="105"/>
        </w:rPr>
        <w:t> </w:t>
      </w:r>
      <w:r>
        <w:rPr>
          <w:color w:val="231F20"/>
          <w:w w:val="105"/>
        </w:rPr>
        <w:t>di</w:t>
      </w:r>
      <w:r>
        <w:rPr>
          <w:color w:val="231F20"/>
          <w:spacing w:val="-11"/>
          <w:w w:val="105"/>
        </w:rPr>
        <w:t> </w:t>
      </w:r>
      <w:r>
        <w:rPr>
          <w:color w:val="231F20"/>
          <w:w w:val="105"/>
        </w:rPr>
        <w:t>strutture</w:t>
      </w:r>
      <w:r>
        <w:rPr>
          <w:color w:val="231F20"/>
          <w:spacing w:val="-11"/>
          <w:w w:val="105"/>
        </w:rPr>
        <w:t> </w:t>
      </w:r>
      <w:r>
        <w:rPr>
          <w:color w:val="231F20"/>
          <w:w w:val="105"/>
        </w:rPr>
        <w:t>di dominio,</w:t>
      </w:r>
      <w:r>
        <w:rPr>
          <w:color w:val="231F20"/>
          <w:spacing w:val="-8"/>
          <w:w w:val="105"/>
        </w:rPr>
        <w:t> </w:t>
      </w:r>
      <w:r>
        <w:rPr>
          <w:color w:val="231F20"/>
          <w:w w:val="105"/>
        </w:rPr>
        <w:t>che</w:t>
      </w:r>
      <w:r>
        <w:rPr>
          <w:color w:val="231F20"/>
          <w:spacing w:val="-8"/>
          <w:w w:val="105"/>
        </w:rPr>
        <w:t> </w:t>
      </w:r>
      <w:r>
        <w:rPr>
          <w:color w:val="231F20"/>
          <w:w w:val="105"/>
        </w:rPr>
        <w:t>lo</w:t>
      </w:r>
      <w:r>
        <w:rPr>
          <w:color w:val="231F20"/>
          <w:spacing w:val="-8"/>
          <w:w w:val="105"/>
        </w:rPr>
        <w:t> </w:t>
      </w:r>
      <w:r>
        <w:rPr>
          <w:color w:val="231F20"/>
          <w:w w:val="105"/>
        </w:rPr>
        <w:t>condizionano</w:t>
      </w:r>
      <w:r>
        <w:rPr>
          <w:color w:val="231F20"/>
          <w:spacing w:val="-8"/>
          <w:w w:val="105"/>
        </w:rPr>
        <w:t> </w:t>
      </w:r>
      <w:r>
        <w:rPr>
          <w:color w:val="231F20"/>
          <w:w w:val="105"/>
        </w:rPr>
        <w:t>nelle</w:t>
      </w:r>
      <w:r>
        <w:rPr>
          <w:color w:val="231F20"/>
          <w:spacing w:val="-8"/>
          <w:w w:val="105"/>
        </w:rPr>
        <w:t> </w:t>
      </w:r>
      <w:r>
        <w:rPr>
          <w:color w:val="231F20"/>
          <w:w w:val="105"/>
        </w:rPr>
        <w:t>sue</w:t>
      </w:r>
      <w:r>
        <w:rPr>
          <w:color w:val="231F20"/>
          <w:spacing w:val="-8"/>
          <w:w w:val="105"/>
        </w:rPr>
        <w:t> </w:t>
      </w:r>
      <w:r>
        <w:rPr>
          <w:color w:val="231F20"/>
          <w:w w:val="105"/>
        </w:rPr>
        <w:t>stesse</w:t>
      </w:r>
      <w:r>
        <w:rPr>
          <w:color w:val="231F20"/>
          <w:spacing w:val="-8"/>
          <w:w w:val="105"/>
        </w:rPr>
        <w:t> </w:t>
      </w:r>
      <w:r>
        <w:rPr>
          <w:color w:val="231F20"/>
          <w:w w:val="105"/>
        </w:rPr>
        <w:t>possibilità</w:t>
      </w:r>
      <w:r>
        <w:rPr>
          <w:color w:val="231F20"/>
          <w:spacing w:val="-8"/>
          <w:w w:val="105"/>
        </w:rPr>
        <w:t> </w:t>
      </w:r>
      <w:r>
        <w:rPr>
          <w:color w:val="231F20"/>
          <w:w w:val="105"/>
        </w:rPr>
        <w:t>di</w:t>
      </w:r>
      <w:r>
        <w:rPr>
          <w:color w:val="231F20"/>
          <w:spacing w:val="-8"/>
          <w:w w:val="105"/>
        </w:rPr>
        <w:t> </w:t>
      </w:r>
      <w:r>
        <w:rPr>
          <w:color w:val="231F20"/>
          <w:w w:val="105"/>
        </w:rPr>
        <w:t>articolazione politica.</w:t>
      </w:r>
      <w:r>
        <w:rPr>
          <w:color w:val="231F20"/>
          <w:spacing w:val="-28"/>
          <w:w w:val="105"/>
        </w:rPr>
        <w:t> </w:t>
      </w:r>
      <w:r>
        <w:rPr>
          <w:color w:val="231F20"/>
          <w:spacing w:val="-3"/>
          <w:w w:val="105"/>
        </w:rPr>
        <w:t>Perciò,</w:t>
      </w:r>
      <w:r>
        <w:rPr>
          <w:color w:val="231F20"/>
          <w:spacing w:val="-28"/>
          <w:w w:val="105"/>
        </w:rPr>
        <w:t> </w:t>
      </w:r>
      <w:r>
        <w:rPr>
          <w:color w:val="231F20"/>
          <w:w w:val="105"/>
        </w:rPr>
        <w:t>la</w:t>
      </w:r>
      <w:r>
        <w:rPr>
          <w:color w:val="231F20"/>
          <w:spacing w:val="-28"/>
          <w:w w:val="105"/>
        </w:rPr>
        <w:t> </w:t>
      </w:r>
      <w:r>
        <w:rPr>
          <w:color w:val="231F20"/>
          <w:w w:val="105"/>
        </w:rPr>
        <w:t>sua</w:t>
      </w:r>
      <w:r>
        <w:rPr>
          <w:color w:val="231F20"/>
          <w:spacing w:val="-28"/>
          <w:w w:val="105"/>
        </w:rPr>
        <w:t> </w:t>
      </w:r>
      <w:r>
        <w:rPr>
          <w:color w:val="231F20"/>
          <w:w w:val="105"/>
        </w:rPr>
        <w:t>capacità</w:t>
      </w:r>
      <w:r>
        <w:rPr>
          <w:color w:val="231F20"/>
          <w:spacing w:val="-28"/>
          <w:w w:val="105"/>
        </w:rPr>
        <w:t> </w:t>
      </w:r>
      <w:r>
        <w:rPr>
          <w:color w:val="231F20"/>
          <w:w w:val="105"/>
        </w:rPr>
        <w:t>di</w:t>
      </w:r>
      <w:r>
        <w:rPr>
          <w:color w:val="231F20"/>
          <w:spacing w:val="-28"/>
          <w:w w:val="105"/>
        </w:rPr>
        <w:t> </w:t>
      </w:r>
      <w:r>
        <w:rPr>
          <w:color w:val="231F20"/>
          <w:w w:val="105"/>
        </w:rPr>
        <w:t>autodeterminazione</w:t>
      </w:r>
      <w:r>
        <w:rPr>
          <w:color w:val="231F20"/>
          <w:spacing w:val="-28"/>
          <w:w w:val="105"/>
        </w:rPr>
        <w:t> </w:t>
      </w:r>
      <w:r>
        <w:rPr>
          <w:color w:val="231F20"/>
          <w:w w:val="105"/>
        </w:rPr>
        <w:t>può</w:t>
      </w:r>
      <w:r>
        <w:rPr>
          <w:color w:val="231F20"/>
          <w:spacing w:val="-28"/>
          <w:w w:val="105"/>
        </w:rPr>
        <w:t> </w:t>
      </w:r>
      <w:r>
        <w:rPr>
          <w:color w:val="231F20"/>
          <w:spacing w:val="-3"/>
          <w:w w:val="105"/>
        </w:rPr>
        <w:t>essere</w:t>
      </w:r>
      <w:r>
        <w:rPr>
          <w:color w:val="231F20"/>
          <w:spacing w:val="-28"/>
          <w:w w:val="105"/>
        </w:rPr>
        <w:t> </w:t>
      </w:r>
      <w:r>
        <w:rPr>
          <w:color w:val="231F20"/>
          <w:w w:val="105"/>
        </w:rPr>
        <w:t>limitata, </w:t>
      </w:r>
      <w:r>
        <w:rPr>
          <w:color w:val="231F20"/>
          <w:spacing w:val="-4"/>
          <w:w w:val="105"/>
        </w:rPr>
        <w:t>prima</w:t>
      </w:r>
      <w:r>
        <w:rPr>
          <w:color w:val="231F20"/>
          <w:spacing w:val="-46"/>
          <w:w w:val="105"/>
        </w:rPr>
        <w:t> </w:t>
      </w:r>
      <w:r>
        <w:rPr>
          <w:color w:val="231F20"/>
          <w:spacing w:val="-5"/>
          <w:w w:val="105"/>
        </w:rPr>
        <w:t>ancora</w:t>
      </w:r>
      <w:r>
        <w:rPr>
          <w:color w:val="231F20"/>
          <w:spacing w:val="-46"/>
          <w:w w:val="105"/>
        </w:rPr>
        <w:t> </w:t>
      </w:r>
      <w:r>
        <w:rPr>
          <w:color w:val="231F20"/>
          <w:spacing w:val="-4"/>
          <w:w w:val="105"/>
        </w:rPr>
        <w:t>che</w:t>
      </w:r>
      <w:r>
        <w:rPr>
          <w:color w:val="231F20"/>
          <w:spacing w:val="-46"/>
          <w:w w:val="105"/>
        </w:rPr>
        <w:t> </w:t>
      </w:r>
      <w:r>
        <w:rPr>
          <w:color w:val="231F20"/>
          <w:spacing w:val="-4"/>
          <w:w w:val="105"/>
        </w:rPr>
        <w:t>dalle</w:t>
      </w:r>
      <w:r>
        <w:rPr>
          <w:color w:val="231F20"/>
          <w:spacing w:val="-46"/>
          <w:w w:val="105"/>
        </w:rPr>
        <w:t> </w:t>
      </w:r>
      <w:r>
        <w:rPr>
          <w:color w:val="231F20"/>
          <w:spacing w:val="-5"/>
          <w:w w:val="105"/>
        </w:rPr>
        <w:t>ingerenze</w:t>
      </w:r>
      <w:r>
        <w:rPr>
          <w:color w:val="231F20"/>
          <w:spacing w:val="-46"/>
          <w:w w:val="105"/>
        </w:rPr>
        <w:t> </w:t>
      </w:r>
      <w:r>
        <w:rPr>
          <w:color w:val="231F20"/>
          <w:spacing w:val="-5"/>
          <w:w w:val="105"/>
        </w:rPr>
        <w:t>dall’esterno,</w:t>
      </w:r>
      <w:r>
        <w:rPr>
          <w:color w:val="231F20"/>
          <w:spacing w:val="-46"/>
          <w:w w:val="105"/>
        </w:rPr>
        <w:t> </w:t>
      </w:r>
      <w:r>
        <w:rPr>
          <w:color w:val="231F20"/>
          <w:spacing w:val="-3"/>
          <w:w w:val="105"/>
        </w:rPr>
        <w:t>da</w:t>
      </w:r>
      <w:r>
        <w:rPr>
          <w:color w:val="231F20"/>
          <w:spacing w:val="-46"/>
          <w:w w:val="105"/>
        </w:rPr>
        <w:t> </w:t>
      </w:r>
      <w:r>
        <w:rPr>
          <w:color w:val="231F20"/>
          <w:spacing w:val="-4"/>
          <w:w w:val="105"/>
        </w:rPr>
        <w:t>forme</w:t>
      </w:r>
      <w:r>
        <w:rPr>
          <w:color w:val="231F20"/>
          <w:spacing w:val="-46"/>
          <w:w w:val="105"/>
        </w:rPr>
        <w:t> </w:t>
      </w:r>
      <w:r>
        <w:rPr>
          <w:color w:val="231F20"/>
          <w:w w:val="105"/>
        </w:rPr>
        <w:t>di</w:t>
      </w:r>
      <w:r>
        <w:rPr>
          <w:color w:val="231F20"/>
          <w:spacing w:val="-46"/>
          <w:w w:val="105"/>
        </w:rPr>
        <w:t> </w:t>
      </w:r>
      <w:r>
        <w:rPr>
          <w:color w:val="231F20"/>
          <w:spacing w:val="-5"/>
          <w:w w:val="105"/>
        </w:rPr>
        <w:t>oppressione</w:t>
      </w:r>
      <w:r>
        <w:rPr>
          <w:color w:val="231F20"/>
          <w:spacing w:val="-46"/>
          <w:w w:val="105"/>
        </w:rPr>
        <w:t> </w:t>
      </w:r>
      <w:r>
        <w:rPr>
          <w:color w:val="231F20"/>
          <w:spacing w:val="-5"/>
          <w:w w:val="105"/>
        </w:rPr>
        <w:t>interna </w:t>
      </w:r>
      <w:r>
        <w:rPr>
          <w:color w:val="231F20"/>
          <w:spacing w:val="-3"/>
          <w:w w:val="105"/>
        </w:rPr>
        <w:t>“che</w:t>
      </w:r>
      <w:r>
        <w:rPr>
          <w:color w:val="231F20"/>
          <w:spacing w:val="-40"/>
          <w:w w:val="105"/>
        </w:rPr>
        <w:t> </w:t>
      </w:r>
      <w:r>
        <w:rPr>
          <w:color w:val="231F20"/>
          <w:spacing w:val="-3"/>
          <w:w w:val="105"/>
        </w:rPr>
        <w:t>vanno</w:t>
      </w:r>
      <w:r>
        <w:rPr>
          <w:color w:val="231F20"/>
          <w:spacing w:val="-40"/>
          <w:w w:val="105"/>
        </w:rPr>
        <w:t> </w:t>
      </w:r>
      <w:r>
        <w:rPr>
          <w:color w:val="231F20"/>
          <w:spacing w:val="-3"/>
          <w:w w:val="105"/>
        </w:rPr>
        <w:t>dall’assoggettamento</w:t>
      </w:r>
      <w:r>
        <w:rPr>
          <w:color w:val="231F20"/>
          <w:spacing w:val="-40"/>
          <w:w w:val="105"/>
        </w:rPr>
        <w:t> </w:t>
      </w:r>
      <w:r>
        <w:rPr>
          <w:color w:val="231F20"/>
          <w:w w:val="105"/>
        </w:rPr>
        <w:t>ad</w:t>
      </w:r>
      <w:r>
        <w:rPr>
          <w:color w:val="231F20"/>
          <w:spacing w:val="-40"/>
          <w:w w:val="105"/>
        </w:rPr>
        <w:t> </w:t>
      </w:r>
      <w:r>
        <w:rPr>
          <w:color w:val="231F20"/>
          <w:w w:val="105"/>
        </w:rPr>
        <w:t>una</w:t>
      </w:r>
      <w:r>
        <w:rPr>
          <w:color w:val="231F20"/>
          <w:spacing w:val="-40"/>
          <w:w w:val="105"/>
        </w:rPr>
        <w:t> </w:t>
      </w:r>
      <w:r>
        <w:rPr>
          <w:color w:val="231F20"/>
          <w:spacing w:val="-3"/>
          <w:w w:val="105"/>
        </w:rPr>
        <w:t>volontà</w:t>
      </w:r>
      <w:r>
        <w:rPr>
          <w:color w:val="231F20"/>
          <w:spacing w:val="-40"/>
          <w:w w:val="105"/>
        </w:rPr>
        <w:t> </w:t>
      </w:r>
      <w:r>
        <w:rPr>
          <w:color w:val="231F20"/>
          <w:spacing w:val="-3"/>
          <w:w w:val="105"/>
        </w:rPr>
        <w:t>dittatoriale</w:t>
      </w:r>
      <w:r>
        <w:rPr>
          <w:color w:val="231F20"/>
          <w:spacing w:val="-40"/>
          <w:w w:val="105"/>
        </w:rPr>
        <w:t> </w:t>
      </w:r>
      <w:r>
        <w:rPr>
          <w:color w:val="231F20"/>
          <w:spacing w:val="-3"/>
          <w:w w:val="105"/>
        </w:rPr>
        <w:t>sino</w:t>
      </w:r>
      <w:r>
        <w:rPr>
          <w:color w:val="231F20"/>
          <w:spacing w:val="-40"/>
          <w:w w:val="105"/>
        </w:rPr>
        <w:t> </w:t>
      </w:r>
      <w:r>
        <w:rPr>
          <w:color w:val="231F20"/>
          <w:w w:val="105"/>
        </w:rPr>
        <w:t>alla</w:t>
      </w:r>
      <w:r>
        <w:rPr>
          <w:color w:val="231F20"/>
          <w:spacing w:val="-40"/>
          <w:w w:val="105"/>
        </w:rPr>
        <w:t> </w:t>
      </w:r>
      <w:r>
        <w:rPr>
          <w:color w:val="231F20"/>
          <w:spacing w:val="-3"/>
          <w:w w:val="105"/>
        </w:rPr>
        <w:t>guerra </w:t>
      </w:r>
      <w:r>
        <w:rPr>
          <w:color w:val="231F20"/>
          <w:w w:val="105"/>
        </w:rPr>
        <w:t>civile,</w:t>
      </w:r>
      <w:r>
        <w:rPr>
          <w:color w:val="231F20"/>
          <w:spacing w:val="-21"/>
          <w:w w:val="105"/>
        </w:rPr>
        <w:t> </w:t>
      </w:r>
      <w:r>
        <w:rPr>
          <w:color w:val="231F20"/>
          <w:w w:val="105"/>
        </w:rPr>
        <w:t>dalla</w:t>
      </w:r>
      <w:r>
        <w:rPr>
          <w:color w:val="231F20"/>
          <w:spacing w:val="-21"/>
          <w:w w:val="105"/>
        </w:rPr>
        <w:t> </w:t>
      </w:r>
      <w:r>
        <w:rPr>
          <w:color w:val="231F20"/>
          <w:w w:val="105"/>
        </w:rPr>
        <w:t>discriminazione</w:t>
      </w:r>
      <w:r>
        <w:rPr>
          <w:color w:val="231F20"/>
          <w:spacing w:val="-21"/>
          <w:w w:val="105"/>
        </w:rPr>
        <w:t> </w:t>
      </w:r>
      <w:r>
        <w:rPr>
          <w:color w:val="231F20"/>
          <w:w w:val="105"/>
        </w:rPr>
        <w:t>sino</w:t>
      </w:r>
      <w:r>
        <w:rPr>
          <w:color w:val="231F20"/>
          <w:spacing w:val="-21"/>
          <w:w w:val="105"/>
        </w:rPr>
        <w:t> </w:t>
      </w:r>
      <w:r>
        <w:rPr>
          <w:color w:val="231F20"/>
          <w:w w:val="105"/>
        </w:rPr>
        <w:t>al</w:t>
      </w:r>
      <w:r>
        <w:rPr>
          <w:color w:val="231F20"/>
          <w:spacing w:val="-21"/>
          <w:w w:val="105"/>
        </w:rPr>
        <w:t> </w:t>
      </w:r>
      <w:r>
        <w:rPr>
          <w:color w:val="231F20"/>
          <w:w w:val="105"/>
        </w:rPr>
        <w:t>genocidio”</w:t>
      </w:r>
      <w:r>
        <w:rPr>
          <w:color w:val="231F20"/>
          <w:w w:val="105"/>
          <w:position w:val="7"/>
          <w:sz w:val="12"/>
        </w:rPr>
        <w:t>84</w:t>
      </w:r>
      <w:r>
        <w:rPr>
          <w:color w:val="231F20"/>
          <w:w w:val="105"/>
        </w:rPr>
        <w:t>.</w:t>
      </w:r>
      <w:r>
        <w:rPr>
          <w:color w:val="231F20"/>
          <w:spacing w:val="-21"/>
          <w:w w:val="105"/>
        </w:rPr>
        <w:t> </w:t>
      </w:r>
      <w:r>
        <w:rPr>
          <w:color w:val="231F20"/>
          <w:w w:val="105"/>
        </w:rPr>
        <w:t>È</w:t>
      </w:r>
      <w:r>
        <w:rPr>
          <w:color w:val="231F20"/>
          <w:spacing w:val="-21"/>
          <w:w w:val="105"/>
        </w:rPr>
        <w:t> </w:t>
      </w:r>
      <w:r>
        <w:rPr>
          <w:color w:val="231F20"/>
          <w:w w:val="105"/>
        </w:rPr>
        <w:t>possibile,</w:t>
      </w:r>
      <w:r>
        <w:rPr>
          <w:color w:val="231F20"/>
          <w:spacing w:val="-21"/>
          <w:w w:val="105"/>
        </w:rPr>
        <w:t> </w:t>
      </w:r>
      <w:r>
        <w:rPr>
          <w:color w:val="231F20"/>
          <w:spacing w:val="-3"/>
          <w:w w:val="105"/>
        </w:rPr>
        <w:t>perciò,</w:t>
      </w:r>
      <w:r>
        <w:rPr>
          <w:color w:val="231F20"/>
          <w:spacing w:val="-21"/>
          <w:w w:val="105"/>
        </w:rPr>
        <w:t> </w:t>
      </w:r>
      <w:r>
        <w:rPr>
          <w:color w:val="231F20"/>
          <w:w w:val="105"/>
        </w:rPr>
        <w:t>che</w:t>
      </w:r>
      <w:r>
        <w:rPr>
          <w:color w:val="231F20"/>
          <w:spacing w:val="-21"/>
          <w:w w:val="105"/>
        </w:rPr>
        <w:t> </w:t>
      </w:r>
      <w:r>
        <w:rPr>
          <w:color w:val="231F20"/>
          <w:w w:val="105"/>
        </w:rPr>
        <w:t>in </w:t>
      </w:r>
      <w:r>
        <w:rPr>
          <w:color w:val="231F20"/>
          <w:spacing w:val="-3"/>
          <w:w w:val="105"/>
        </w:rPr>
        <w:t>condizioni</w:t>
      </w:r>
      <w:r>
        <w:rPr>
          <w:color w:val="231F20"/>
          <w:spacing w:val="-41"/>
          <w:w w:val="105"/>
        </w:rPr>
        <w:t> </w:t>
      </w:r>
      <w:r>
        <w:rPr>
          <w:color w:val="231F20"/>
          <w:w w:val="105"/>
        </w:rPr>
        <w:t>di</w:t>
      </w:r>
      <w:r>
        <w:rPr>
          <w:color w:val="231F20"/>
          <w:spacing w:val="-41"/>
          <w:w w:val="105"/>
        </w:rPr>
        <w:t> </w:t>
      </w:r>
      <w:r>
        <w:rPr>
          <w:color w:val="231F20"/>
          <w:spacing w:val="-4"/>
          <w:w w:val="105"/>
        </w:rPr>
        <w:t>estrema</w:t>
      </w:r>
      <w:r>
        <w:rPr>
          <w:color w:val="231F20"/>
          <w:spacing w:val="-41"/>
          <w:w w:val="105"/>
        </w:rPr>
        <w:t> </w:t>
      </w:r>
      <w:r>
        <w:rPr>
          <w:color w:val="231F20"/>
          <w:spacing w:val="-3"/>
          <w:w w:val="105"/>
        </w:rPr>
        <w:t>crisi</w:t>
      </w:r>
      <w:r>
        <w:rPr>
          <w:color w:val="231F20"/>
          <w:spacing w:val="-41"/>
          <w:w w:val="105"/>
        </w:rPr>
        <w:t> </w:t>
      </w:r>
      <w:r>
        <w:rPr>
          <w:color w:val="231F20"/>
          <w:spacing w:val="-4"/>
          <w:w w:val="105"/>
        </w:rPr>
        <w:t>politico–militare</w:t>
      </w:r>
      <w:r>
        <w:rPr>
          <w:color w:val="231F20"/>
          <w:spacing w:val="-41"/>
          <w:w w:val="105"/>
        </w:rPr>
        <w:t> </w:t>
      </w:r>
      <w:r>
        <w:rPr>
          <w:color w:val="231F20"/>
          <w:w w:val="105"/>
        </w:rPr>
        <w:t>i</w:t>
      </w:r>
      <w:r>
        <w:rPr>
          <w:color w:val="231F20"/>
          <w:spacing w:val="-41"/>
          <w:w w:val="105"/>
        </w:rPr>
        <w:t> </w:t>
      </w:r>
      <w:r>
        <w:rPr>
          <w:color w:val="231F20"/>
          <w:spacing w:val="-3"/>
          <w:w w:val="105"/>
        </w:rPr>
        <w:t>cittadini</w:t>
      </w:r>
      <w:r>
        <w:rPr>
          <w:color w:val="231F20"/>
          <w:spacing w:val="-41"/>
          <w:w w:val="105"/>
        </w:rPr>
        <w:t> </w:t>
      </w:r>
      <w:r>
        <w:rPr>
          <w:color w:val="231F20"/>
          <w:w w:val="105"/>
        </w:rPr>
        <w:t>di</w:t>
      </w:r>
      <w:r>
        <w:rPr>
          <w:color w:val="231F20"/>
          <w:spacing w:val="-41"/>
          <w:w w:val="105"/>
        </w:rPr>
        <w:t> </w:t>
      </w:r>
      <w:r>
        <w:rPr>
          <w:color w:val="231F20"/>
          <w:w w:val="105"/>
        </w:rPr>
        <w:t>uno</w:t>
      </w:r>
      <w:r>
        <w:rPr>
          <w:color w:val="231F20"/>
          <w:spacing w:val="-41"/>
          <w:w w:val="105"/>
        </w:rPr>
        <w:t> </w:t>
      </w:r>
      <w:r>
        <w:rPr>
          <w:color w:val="231F20"/>
          <w:spacing w:val="-3"/>
          <w:w w:val="105"/>
        </w:rPr>
        <w:t>Stato</w:t>
      </w:r>
      <w:r>
        <w:rPr>
          <w:color w:val="231F20"/>
          <w:spacing w:val="-41"/>
          <w:w w:val="105"/>
        </w:rPr>
        <w:t> </w:t>
      </w:r>
      <w:r>
        <w:rPr>
          <w:color w:val="231F20"/>
          <w:spacing w:val="-3"/>
          <w:w w:val="105"/>
        </w:rPr>
        <w:t>siano</w:t>
      </w:r>
      <w:r>
        <w:rPr>
          <w:color w:val="231F20"/>
          <w:spacing w:val="-41"/>
          <w:w w:val="105"/>
        </w:rPr>
        <w:t> </w:t>
      </w:r>
      <w:r>
        <w:rPr>
          <w:color w:val="231F20"/>
          <w:spacing w:val="-3"/>
          <w:w w:val="105"/>
        </w:rPr>
        <w:t>privati proprio</w:t>
      </w:r>
      <w:r>
        <w:rPr>
          <w:color w:val="231F20"/>
          <w:spacing w:val="-27"/>
          <w:w w:val="105"/>
        </w:rPr>
        <w:t> </w:t>
      </w:r>
      <w:r>
        <w:rPr>
          <w:color w:val="231F20"/>
          <w:w w:val="105"/>
        </w:rPr>
        <w:t>di</w:t>
      </w:r>
      <w:r>
        <w:rPr>
          <w:color w:val="231F20"/>
          <w:spacing w:val="-27"/>
          <w:w w:val="105"/>
        </w:rPr>
        <w:t> </w:t>
      </w:r>
      <w:r>
        <w:rPr>
          <w:color w:val="231F20"/>
          <w:spacing w:val="-3"/>
          <w:w w:val="105"/>
        </w:rPr>
        <w:t>quella</w:t>
      </w:r>
      <w:r>
        <w:rPr>
          <w:color w:val="231F20"/>
          <w:spacing w:val="-27"/>
          <w:w w:val="105"/>
        </w:rPr>
        <w:t> </w:t>
      </w:r>
      <w:r>
        <w:rPr>
          <w:color w:val="231F20"/>
          <w:spacing w:val="-3"/>
          <w:w w:val="105"/>
        </w:rPr>
        <w:t>“capacità</w:t>
      </w:r>
      <w:r>
        <w:rPr>
          <w:color w:val="231F20"/>
          <w:spacing w:val="-27"/>
          <w:w w:val="105"/>
        </w:rPr>
        <w:t> </w:t>
      </w:r>
      <w:r>
        <w:rPr>
          <w:color w:val="231F20"/>
          <w:w w:val="105"/>
        </w:rPr>
        <w:t>di</w:t>
      </w:r>
      <w:r>
        <w:rPr>
          <w:color w:val="231F20"/>
          <w:spacing w:val="-27"/>
          <w:w w:val="105"/>
        </w:rPr>
        <w:t> </w:t>
      </w:r>
      <w:r>
        <w:rPr>
          <w:color w:val="231F20"/>
          <w:spacing w:val="-3"/>
          <w:w w:val="105"/>
        </w:rPr>
        <w:t>agire</w:t>
      </w:r>
      <w:r>
        <w:rPr>
          <w:color w:val="231F20"/>
          <w:spacing w:val="-27"/>
          <w:w w:val="105"/>
        </w:rPr>
        <w:t> </w:t>
      </w:r>
      <w:r>
        <w:rPr>
          <w:color w:val="231F20"/>
          <w:spacing w:val="-3"/>
          <w:w w:val="105"/>
        </w:rPr>
        <w:t>collettivamente”</w:t>
      </w:r>
      <w:r>
        <w:rPr>
          <w:color w:val="231F20"/>
          <w:spacing w:val="-27"/>
          <w:w w:val="105"/>
        </w:rPr>
        <w:t> </w:t>
      </w:r>
      <w:r>
        <w:rPr>
          <w:color w:val="231F20"/>
          <w:w w:val="105"/>
        </w:rPr>
        <w:t>che</w:t>
      </w:r>
      <w:r>
        <w:rPr>
          <w:color w:val="231F20"/>
          <w:spacing w:val="-27"/>
          <w:w w:val="105"/>
        </w:rPr>
        <w:t> </w:t>
      </w:r>
      <w:r>
        <w:rPr>
          <w:color w:val="231F20"/>
          <w:spacing w:val="-3"/>
          <w:w w:val="105"/>
        </w:rPr>
        <w:t>costituisce</w:t>
      </w:r>
      <w:r>
        <w:rPr>
          <w:color w:val="231F20"/>
          <w:spacing w:val="-27"/>
          <w:w w:val="105"/>
        </w:rPr>
        <w:t> </w:t>
      </w:r>
      <w:r>
        <w:rPr>
          <w:color w:val="231F20"/>
          <w:w w:val="105"/>
        </w:rPr>
        <w:t>il</w:t>
      </w:r>
      <w:r>
        <w:rPr>
          <w:color w:val="231F20"/>
          <w:spacing w:val="-27"/>
          <w:w w:val="105"/>
        </w:rPr>
        <w:t> </w:t>
      </w:r>
      <w:r>
        <w:rPr>
          <w:color w:val="231F20"/>
          <w:spacing w:val="-3"/>
          <w:w w:val="105"/>
        </w:rPr>
        <w:t>nucleo </w:t>
      </w:r>
      <w:r>
        <w:rPr>
          <w:color w:val="231F20"/>
          <w:w w:val="105"/>
        </w:rPr>
        <w:t>portante</w:t>
      </w:r>
      <w:r>
        <w:rPr>
          <w:color w:val="231F20"/>
          <w:spacing w:val="-30"/>
          <w:w w:val="105"/>
        </w:rPr>
        <w:t> </w:t>
      </w:r>
      <w:r>
        <w:rPr>
          <w:color w:val="231F20"/>
          <w:w w:val="105"/>
        </w:rPr>
        <w:t>di</w:t>
      </w:r>
      <w:r>
        <w:rPr>
          <w:color w:val="231F20"/>
          <w:spacing w:val="-30"/>
          <w:w w:val="105"/>
        </w:rPr>
        <w:t> </w:t>
      </w:r>
      <w:r>
        <w:rPr>
          <w:color w:val="231F20"/>
          <w:w w:val="105"/>
        </w:rPr>
        <w:t>ogni</w:t>
      </w:r>
      <w:r>
        <w:rPr>
          <w:color w:val="231F20"/>
          <w:spacing w:val="-30"/>
          <w:w w:val="105"/>
        </w:rPr>
        <w:t> </w:t>
      </w:r>
      <w:r>
        <w:rPr>
          <w:color w:val="231F20"/>
          <w:w w:val="105"/>
        </w:rPr>
        <w:t>riuscita</w:t>
      </w:r>
      <w:r>
        <w:rPr>
          <w:color w:val="231F20"/>
          <w:spacing w:val="-30"/>
          <w:w w:val="105"/>
        </w:rPr>
        <w:t> </w:t>
      </w:r>
      <w:r>
        <w:rPr>
          <w:color w:val="231F20"/>
          <w:w w:val="105"/>
        </w:rPr>
        <w:t>forma</w:t>
      </w:r>
      <w:r>
        <w:rPr>
          <w:color w:val="231F20"/>
          <w:spacing w:val="-30"/>
          <w:w w:val="105"/>
        </w:rPr>
        <w:t> </w:t>
      </w:r>
      <w:r>
        <w:rPr>
          <w:color w:val="231F20"/>
          <w:w w:val="105"/>
        </w:rPr>
        <w:t>di</w:t>
      </w:r>
      <w:r>
        <w:rPr>
          <w:color w:val="231F20"/>
          <w:spacing w:val="-30"/>
          <w:w w:val="105"/>
        </w:rPr>
        <w:t> </w:t>
      </w:r>
      <w:r>
        <w:rPr>
          <w:color w:val="231F20"/>
          <w:w w:val="105"/>
        </w:rPr>
        <w:t>cittadinanza</w:t>
      </w:r>
      <w:r>
        <w:rPr>
          <w:color w:val="231F20"/>
          <w:spacing w:val="-30"/>
          <w:w w:val="105"/>
        </w:rPr>
        <w:t> </w:t>
      </w:r>
      <w:r>
        <w:rPr>
          <w:color w:val="231F20"/>
          <w:w w:val="105"/>
        </w:rPr>
        <w:t>politica</w:t>
      </w:r>
      <w:r>
        <w:rPr>
          <w:color w:val="231F20"/>
          <w:w w:val="105"/>
          <w:position w:val="7"/>
          <w:sz w:val="12"/>
        </w:rPr>
        <w:t>85</w:t>
      </w:r>
      <w:r>
        <w:rPr>
          <w:color w:val="231F20"/>
          <w:w w:val="105"/>
        </w:rPr>
        <w:t>.</w:t>
      </w:r>
      <w:r>
        <w:rPr>
          <w:color w:val="231F20"/>
          <w:spacing w:val="-30"/>
          <w:w w:val="105"/>
        </w:rPr>
        <w:t> </w:t>
      </w:r>
      <w:r>
        <w:rPr>
          <w:color w:val="231F20"/>
          <w:w w:val="105"/>
        </w:rPr>
        <w:t>In</w:t>
      </w:r>
      <w:r>
        <w:rPr>
          <w:color w:val="231F20"/>
          <w:spacing w:val="-30"/>
          <w:w w:val="105"/>
        </w:rPr>
        <w:t> </w:t>
      </w:r>
      <w:r>
        <w:rPr>
          <w:color w:val="231F20"/>
          <w:w w:val="105"/>
        </w:rPr>
        <w:t>tali</w:t>
      </w:r>
      <w:r>
        <w:rPr>
          <w:color w:val="231F20"/>
          <w:spacing w:val="-30"/>
          <w:w w:val="105"/>
        </w:rPr>
        <w:t> </w:t>
      </w:r>
      <w:r>
        <w:rPr>
          <w:color w:val="231F20"/>
          <w:spacing w:val="-3"/>
          <w:w w:val="105"/>
        </w:rPr>
        <w:t>circostanze, dunque,</w:t>
      </w:r>
      <w:r>
        <w:rPr>
          <w:color w:val="231F20"/>
          <w:spacing w:val="-55"/>
          <w:w w:val="105"/>
        </w:rPr>
        <w:t> </w:t>
      </w:r>
      <w:r>
        <w:rPr>
          <w:color w:val="231F20"/>
          <w:spacing w:val="-4"/>
          <w:w w:val="105"/>
        </w:rPr>
        <w:t>l’introduzione</w:t>
      </w:r>
      <w:r>
        <w:rPr>
          <w:color w:val="231F20"/>
          <w:spacing w:val="-55"/>
          <w:w w:val="105"/>
        </w:rPr>
        <w:t> </w:t>
      </w:r>
      <w:r>
        <w:rPr>
          <w:color w:val="231F20"/>
          <w:w w:val="105"/>
        </w:rPr>
        <w:t>di</w:t>
      </w:r>
      <w:r>
        <w:rPr>
          <w:color w:val="231F20"/>
          <w:spacing w:val="-55"/>
          <w:w w:val="105"/>
        </w:rPr>
        <w:t> </w:t>
      </w:r>
      <w:r>
        <w:rPr>
          <w:color w:val="231F20"/>
          <w:w w:val="105"/>
        </w:rPr>
        <w:t>una</w:t>
      </w:r>
      <w:r>
        <w:rPr>
          <w:color w:val="231F20"/>
          <w:spacing w:val="-55"/>
          <w:w w:val="105"/>
        </w:rPr>
        <w:t> </w:t>
      </w:r>
      <w:r>
        <w:rPr>
          <w:color w:val="231F20"/>
          <w:spacing w:val="-3"/>
          <w:w w:val="105"/>
        </w:rPr>
        <w:t>struttura</w:t>
      </w:r>
      <w:r>
        <w:rPr>
          <w:color w:val="231F20"/>
          <w:spacing w:val="-55"/>
          <w:w w:val="105"/>
        </w:rPr>
        <w:t> </w:t>
      </w:r>
      <w:r>
        <w:rPr>
          <w:color w:val="231F20"/>
          <w:spacing w:val="-3"/>
          <w:w w:val="105"/>
        </w:rPr>
        <w:t>autoritativa</w:t>
      </w:r>
      <w:r>
        <w:rPr>
          <w:color w:val="231F20"/>
          <w:spacing w:val="-55"/>
          <w:w w:val="105"/>
        </w:rPr>
        <w:t> </w:t>
      </w:r>
      <w:r>
        <w:rPr>
          <w:color w:val="231F20"/>
          <w:spacing w:val="-3"/>
          <w:w w:val="105"/>
        </w:rPr>
        <w:t>esterna</w:t>
      </w:r>
      <w:r>
        <w:rPr>
          <w:color w:val="231F20"/>
          <w:spacing w:val="-55"/>
          <w:w w:val="105"/>
        </w:rPr>
        <w:t> </w:t>
      </w:r>
      <w:r>
        <w:rPr>
          <w:color w:val="231F20"/>
          <w:w w:val="105"/>
        </w:rPr>
        <w:t>può</w:t>
      </w:r>
      <w:r>
        <w:rPr>
          <w:color w:val="231F20"/>
          <w:spacing w:val="-55"/>
          <w:w w:val="105"/>
        </w:rPr>
        <w:t> </w:t>
      </w:r>
      <w:r>
        <w:rPr>
          <w:color w:val="231F20"/>
          <w:spacing w:val="-4"/>
          <w:w w:val="105"/>
        </w:rPr>
        <w:t>rappresentare </w:t>
      </w:r>
      <w:r>
        <w:rPr>
          <w:color w:val="231F20"/>
          <w:w w:val="105"/>
        </w:rPr>
        <w:t>un</w:t>
      </w:r>
      <w:r>
        <w:rPr>
          <w:color w:val="231F20"/>
          <w:spacing w:val="-48"/>
          <w:w w:val="105"/>
        </w:rPr>
        <w:t> </w:t>
      </w:r>
      <w:r>
        <w:rPr>
          <w:color w:val="231F20"/>
          <w:spacing w:val="-3"/>
          <w:w w:val="105"/>
        </w:rPr>
        <w:t>decisivo</w:t>
      </w:r>
      <w:r>
        <w:rPr>
          <w:color w:val="231F20"/>
          <w:spacing w:val="-48"/>
          <w:w w:val="105"/>
        </w:rPr>
        <w:t> </w:t>
      </w:r>
      <w:r>
        <w:rPr>
          <w:color w:val="231F20"/>
          <w:spacing w:val="-3"/>
          <w:w w:val="105"/>
        </w:rPr>
        <w:t>contributo</w:t>
      </w:r>
      <w:r>
        <w:rPr>
          <w:color w:val="231F20"/>
          <w:spacing w:val="-48"/>
          <w:w w:val="105"/>
        </w:rPr>
        <w:t> </w:t>
      </w:r>
      <w:r>
        <w:rPr>
          <w:color w:val="231F20"/>
          <w:w w:val="105"/>
        </w:rPr>
        <w:t>per</w:t>
      </w:r>
      <w:r>
        <w:rPr>
          <w:color w:val="231F20"/>
          <w:spacing w:val="-48"/>
          <w:w w:val="105"/>
        </w:rPr>
        <w:t> </w:t>
      </w:r>
      <w:r>
        <w:rPr>
          <w:color w:val="231F20"/>
          <w:w w:val="105"/>
        </w:rPr>
        <w:t>la</w:t>
      </w:r>
      <w:r>
        <w:rPr>
          <w:color w:val="231F20"/>
          <w:spacing w:val="-48"/>
          <w:w w:val="105"/>
        </w:rPr>
        <w:t> </w:t>
      </w:r>
      <w:r>
        <w:rPr>
          <w:color w:val="231F20"/>
          <w:spacing w:val="-3"/>
          <w:w w:val="105"/>
        </w:rPr>
        <w:t>rifondazione</w:t>
      </w:r>
      <w:r>
        <w:rPr>
          <w:color w:val="231F20"/>
          <w:spacing w:val="-48"/>
          <w:w w:val="105"/>
        </w:rPr>
        <w:t> </w:t>
      </w:r>
      <w:r>
        <w:rPr>
          <w:color w:val="231F20"/>
          <w:spacing w:val="-3"/>
          <w:w w:val="105"/>
        </w:rPr>
        <w:t>della</w:t>
      </w:r>
      <w:r>
        <w:rPr>
          <w:color w:val="231F20"/>
          <w:spacing w:val="-48"/>
          <w:w w:val="105"/>
        </w:rPr>
        <w:t> </w:t>
      </w:r>
      <w:r>
        <w:rPr>
          <w:color w:val="231F20"/>
          <w:spacing w:val="-3"/>
          <w:w w:val="105"/>
        </w:rPr>
        <w:t>sovranità</w:t>
      </w:r>
      <w:r>
        <w:rPr>
          <w:color w:val="231F20"/>
          <w:spacing w:val="-48"/>
          <w:w w:val="105"/>
        </w:rPr>
        <w:t> </w:t>
      </w:r>
      <w:r>
        <w:rPr>
          <w:color w:val="231F20"/>
          <w:spacing w:val="-3"/>
          <w:w w:val="105"/>
        </w:rPr>
        <w:t>interna,</w:t>
      </w:r>
      <w:r>
        <w:rPr>
          <w:color w:val="231F20"/>
          <w:spacing w:val="-48"/>
          <w:w w:val="105"/>
        </w:rPr>
        <w:t> </w:t>
      </w:r>
      <w:r>
        <w:rPr>
          <w:color w:val="231F20"/>
          <w:spacing w:val="-3"/>
          <w:w w:val="105"/>
        </w:rPr>
        <w:t>nella</w:t>
      </w:r>
      <w:r>
        <w:rPr>
          <w:color w:val="231F20"/>
          <w:spacing w:val="-48"/>
          <w:w w:val="105"/>
        </w:rPr>
        <w:t> </w:t>
      </w:r>
      <w:r>
        <w:rPr>
          <w:color w:val="231F20"/>
          <w:spacing w:val="-3"/>
          <w:w w:val="105"/>
        </w:rPr>
        <w:t>misura </w:t>
      </w:r>
      <w:r>
        <w:rPr>
          <w:color w:val="231F20"/>
          <w:w w:val="105"/>
        </w:rPr>
        <w:t>in</w:t>
      </w:r>
      <w:r>
        <w:rPr>
          <w:color w:val="231F20"/>
          <w:spacing w:val="-42"/>
          <w:w w:val="105"/>
        </w:rPr>
        <w:t> </w:t>
      </w:r>
      <w:r>
        <w:rPr>
          <w:color w:val="231F20"/>
          <w:w w:val="105"/>
        </w:rPr>
        <w:t>cui</w:t>
      </w:r>
      <w:r>
        <w:rPr>
          <w:color w:val="231F20"/>
          <w:spacing w:val="-42"/>
          <w:w w:val="105"/>
        </w:rPr>
        <w:t> </w:t>
      </w:r>
      <w:r>
        <w:rPr>
          <w:color w:val="231F20"/>
          <w:spacing w:val="-3"/>
          <w:w w:val="105"/>
        </w:rPr>
        <w:t>consente</w:t>
      </w:r>
      <w:r>
        <w:rPr>
          <w:color w:val="231F20"/>
          <w:spacing w:val="-42"/>
          <w:w w:val="105"/>
        </w:rPr>
        <w:t> </w:t>
      </w:r>
      <w:r>
        <w:rPr>
          <w:color w:val="231F20"/>
          <w:spacing w:val="-3"/>
          <w:w w:val="105"/>
        </w:rPr>
        <w:t>effettivamente</w:t>
      </w:r>
      <w:r>
        <w:rPr>
          <w:color w:val="231F20"/>
          <w:spacing w:val="-42"/>
          <w:w w:val="105"/>
        </w:rPr>
        <w:t> </w:t>
      </w:r>
      <w:r>
        <w:rPr>
          <w:color w:val="231F20"/>
          <w:w w:val="105"/>
        </w:rPr>
        <w:t>di</w:t>
      </w:r>
      <w:r>
        <w:rPr>
          <w:color w:val="231F20"/>
          <w:spacing w:val="-42"/>
          <w:w w:val="105"/>
        </w:rPr>
        <w:t> </w:t>
      </w:r>
      <w:r>
        <w:rPr>
          <w:color w:val="231F20"/>
          <w:spacing w:val="-3"/>
          <w:w w:val="105"/>
        </w:rPr>
        <w:t>aumentare</w:t>
      </w:r>
      <w:r>
        <w:rPr>
          <w:color w:val="231F20"/>
          <w:spacing w:val="-42"/>
          <w:w w:val="105"/>
        </w:rPr>
        <w:t> </w:t>
      </w:r>
      <w:r>
        <w:rPr>
          <w:color w:val="231F20"/>
          <w:w w:val="105"/>
        </w:rPr>
        <w:t>il</w:t>
      </w:r>
      <w:r>
        <w:rPr>
          <w:color w:val="231F20"/>
          <w:spacing w:val="-42"/>
          <w:w w:val="105"/>
        </w:rPr>
        <w:t> </w:t>
      </w:r>
      <w:r>
        <w:rPr>
          <w:rFonts w:ascii="Arial" w:hAnsi="Arial"/>
          <w:i/>
          <w:color w:val="231F20"/>
          <w:spacing w:val="-3"/>
          <w:w w:val="105"/>
        </w:rPr>
        <w:t>potere</w:t>
      </w:r>
      <w:r>
        <w:rPr>
          <w:rFonts w:ascii="Arial" w:hAnsi="Arial"/>
          <w:i/>
          <w:color w:val="231F20"/>
          <w:spacing w:val="-35"/>
          <w:w w:val="105"/>
        </w:rPr>
        <w:t> </w:t>
      </w:r>
      <w:r>
        <w:rPr>
          <w:color w:val="231F20"/>
          <w:w w:val="105"/>
        </w:rPr>
        <w:t>dei</w:t>
      </w:r>
      <w:r>
        <w:rPr>
          <w:color w:val="231F20"/>
          <w:spacing w:val="-42"/>
          <w:w w:val="105"/>
        </w:rPr>
        <w:t> </w:t>
      </w:r>
      <w:r>
        <w:rPr>
          <w:color w:val="231F20"/>
          <w:spacing w:val="-3"/>
          <w:w w:val="105"/>
        </w:rPr>
        <w:t>cittadini</w:t>
      </w:r>
      <w:r>
        <w:rPr>
          <w:color w:val="231F20"/>
          <w:spacing w:val="-42"/>
          <w:w w:val="105"/>
        </w:rPr>
        <w:t> </w:t>
      </w:r>
      <w:r>
        <w:rPr>
          <w:color w:val="231F20"/>
          <w:spacing w:val="-3"/>
          <w:w w:val="105"/>
        </w:rPr>
        <w:t>dello</w:t>
      </w:r>
      <w:r>
        <w:rPr>
          <w:color w:val="231F20"/>
          <w:spacing w:val="-42"/>
          <w:w w:val="105"/>
        </w:rPr>
        <w:t> </w:t>
      </w:r>
      <w:r>
        <w:rPr>
          <w:color w:val="231F20"/>
          <w:spacing w:val="-3"/>
          <w:w w:val="105"/>
        </w:rPr>
        <w:t>Stato, rendendo</w:t>
      </w:r>
      <w:r>
        <w:rPr>
          <w:color w:val="231F20"/>
          <w:spacing w:val="-31"/>
          <w:w w:val="105"/>
        </w:rPr>
        <w:t> </w:t>
      </w:r>
      <w:r>
        <w:rPr>
          <w:color w:val="231F20"/>
          <w:w w:val="105"/>
        </w:rPr>
        <w:t>per</w:t>
      </w:r>
      <w:r>
        <w:rPr>
          <w:color w:val="231F20"/>
          <w:spacing w:val="-31"/>
          <w:w w:val="105"/>
        </w:rPr>
        <w:t> </w:t>
      </w:r>
      <w:r>
        <w:rPr>
          <w:color w:val="231F20"/>
          <w:spacing w:val="-3"/>
          <w:w w:val="105"/>
        </w:rPr>
        <w:t>loro</w:t>
      </w:r>
      <w:r>
        <w:rPr>
          <w:color w:val="231F20"/>
          <w:spacing w:val="-31"/>
          <w:w w:val="105"/>
        </w:rPr>
        <w:t> </w:t>
      </w:r>
      <w:r>
        <w:rPr>
          <w:color w:val="231F20"/>
          <w:spacing w:val="-3"/>
          <w:w w:val="105"/>
        </w:rPr>
        <w:t>nuovamente</w:t>
      </w:r>
      <w:r>
        <w:rPr>
          <w:color w:val="231F20"/>
          <w:spacing w:val="-31"/>
          <w:w w:val="105"/>
        </w:rPr>
        <w:t> </w:t>
      </w:r>
      <w:r>
        <w:rPr>
          <w:color w:val="231F20"/>
          <w:spacing w:val="-3"/>
          <w:w w:val="105"/>
        </w:rPr>
        <w:t>possibile</w:t>
      </w:r>
      <w:r>
        <w:rPr>
          <w:color w:val="231F20"/>
          <w:spacing w:val="-31"/>
          <w:w w:val="105"/>
        </w:rPr>
        <w:t> </w:t>
      </w:r>
      <w:r>
        <w:rPr>
          <w:color w:val="231F20"/>
          <w:spacing w:val="-3"/>
          <w:w w:val="105"/>
        </w:rPr>
        <w:t>agire</w:t>
      </w:r>
      <w:r>
        <w:rPr>
          <w:color w:val="231F20"/>
          <w:spacing w:val="-31"/>
          <w:w w:val="105"/>
        </w:rPr>
        <w:t> </w:t>
      </w:r>
      <w:r>
        <w:rPr>
          <w:color w:val="231F20"/>
          <w:w w:val="105"/>
        </w:rPr>
        <w:t>di</w:t>
      </w:r>
      <w:r>
        <w:rPr>
          <w:color w:val="231F20"/>
          <w:spacing w:val="-31"/>
          <w:w w:val="105"/>
        </w:rPr>
        <w:t> </w:t>
      </w:r>
      <w:r>
        <w:rPr>
          <w:color w:val="231F20"/>
          <w:spacing w:val="-3"/>
          <w:w w:val="105"/>
        </w:rPr>
        <w:t>concerto</w:t>
      </w:r>
      <w:r>
        <w:rPr>
          <w:color w:val="231F20"/>
          <w:spacing w:val="-3"/>
          <w:w w:val="105"/>
          <w:position w:val="7"/>
          <w:sz w:val="12"/>
        </w:rPr>
        <w:t>86</w:t>
      </w:r>
      <w:r>
        <w:rPr>
          <w:color w:val="231F20"/>
          <w:spacing w:val="-3"/>
          <w:w w:val="105"/>
        </w:rPr>
        <w:t>.</w:t>
      </w:r>
    </w:p>
    <w:p>
      <w:pPr>
        <w:pStyle w:val="BodyText"/>
        <w:spacing w:line="247" w:lineRule="auto"/>
        <w:ind w:left="117" w:right="112" w:firstLine="615"/>
        <w:jc w:val="both"/>
      </w:pPr>
      <w:r>
        <w:rPr>
          <w:color w:val="231F20"/>
          <w:w w:val="105"/>
        </w:rPr>
        <w:t>Come</w:t>
      </w:r>
      <w:r>
        <w:rPr>
          <w:color w:val="231F20"/>
          <w:spacing w:val="-36"/>
          <w:w w:val="105"/>
        </w:rPr>
        <w:t> </w:t>
      </w:r>
      <w:r>
        <w:rPr>
          <w:color w:val="231F20"/>
          <w:w w:val="105"/>
        </w:rPr>
        <w:t>dimostrano</w:t>
      </w:r>
      <w:r>
        <w:rPr>
          <w:color w:val="231F20"/>
          <w:spacing w:val="-36"/>
          <w:w w:val="105"/>
        </w:rPr>
        <w:t> </w:t>
      </w:r>
      <w:r>
        <w:rPr>
          <w:color w:val="231F20"/>
          <w:w w:val="105"/>
        </w:rPr>
        <w:t>le</w:t>
      </w:r>
      <w:r>
        <w:rPr>
          <w:color w:val="231F20"/>
          <w:spacing w:val="-36"/>
          <w:w w:val="105"/>
        </w:rPr>
        <w:t> </w:t>
      </w:r>
      <w:r>
        <w:rPr>
          <w:color w:val="231F20"/>
          <w:w w:val="105"/>
        </w:rPr>
        <w:t>più</w:t>
      </w:r>
      <w:r>
        <w:rPr>
          <w:color w:val="231F20"/>
          <w:spacing w:val="-36"/>
          <w:w w:val="105"/>
        </w:rPr>
        <w:t> </w:t>
      </w:r>
      <w:r>
        <w:rPr>
          <w:color w:val="231F20"/>
          <w:w w:val="105"/>
        </w:rPr>
        <w:t>innovative</w:t>
      </w:r>
      <w:r>
        <w:rPr>
          <w:color w:val="231F20"/>
          <w:spacing w:val="-36"/>
          <w:w w:val="105"/>
        </w:rPr>
        <w:t> </w:t>
      </w:r>
      <w:r>
        <w:rPr>
          <w:color w:val="231F20"/>
          <w:w w:val="105"/>
        </w:rPr>
        <w:t>linee</w:t>
      </w:r>
      <w:r>
        <w:rPr>
          <w:color w:val="231F20"/>
          <w:spacing w:val="-36"/>
          <w:w w:val="105"/>
        </w:rPr>
        <w:t> </w:t>
      </w:r>
      <w:r>
        <w:rPr>
          <w:color w:val="231F20"/>
          <w:w w:val="105"/>
        </w:rPr>
        <w:t>di</w:t>
      </w:r>
      <w:r>
        <w:rPr>
          <w:color w:val="231F20"/>
          <w:spacing w:val="-36"/>
          <w:w w:val="105"/>
        </w:rPr>
        <w:t> </w:t>
      </w:r>
      <w:r>
        <w:rPr>
          <w:color w:val="231F20"/>
          <w:w w:val="105"/>
        </w:rPr>
        <w:t>riflessione</w:t>
      </w:r>
      <w:r>
        <w:rPr>
          <w:color w:val="231F20"/>
          <w:spacing w:val="-36"/>
          <w:w w:val="105"/>
        </w:rPr>
        <w:t> </w:t>
      </w:r>
      <w:r>
        <w:rPr>
          <w:color w:val="231F20"/>
          <w:w w:val="105"/>
        </w:rPr>
        <w:t>recentemente emerse</w:t>
      </w:r>
      <w:r>
        <w:rPr>
          <w:color w:val="231F20"/>
          <w:spacing w:val="-19"/>
          <w:w w:val="105"/>
        </w:rPr>
        <w:t> </w:t>
      </w:r>
      <w:r>
        <w:rPr>
          <w:color w:val="231F20"/>
          <w:w w:val="105"/>
        </w:rPr>
        <w:t>nella</w:t>
      </w:r>
      <w:r>
        <w:rPr>
          <w:color w:val="231F20"/>
          <w:spacing w:val="-19"/>
          <w:w w:val="105"/>
        </w:rPr>
        <w:t> </w:t>
      </w:r>
      <w:r>
        <w:rPr>
          <w:color w:val="231F20"/>
          <w:w w:val="105"/>
        </w:rPr>
        <w:t>teoria</w:t>
      </w:r>
      <w:r>
        <w:rPr>
          <w:color w:val="231F20"/>
          <w:spacing w:val="-19"/>
          <w:w w:val="105"/>
        </w:rPr>
        <w:t> </w:t>
      </w:r>
      <w:r>
        <w:rPr>
          <w:color w:val="231F20"/>
          <w:w w:val="105"/>
        </w:rPr>
        <w:t>delle</w:t>
      </w:r>
      <w:r>
        <w:rPr>
          <w:color w:val="231F20"/>
          <w:spacing w:val="-19"/>
          <w:w w:val="105"/>
        </w:rPr>
        <w:t> </w:t>
      </w:r>
      <w:r>
        <w:rPr>
          <w:color w:val="231F20"/>
          <w:w w:val="105"/>
        </w:rPr>
        <w:t>relazioni</w:t>
      </w:r>
      <w:r>
        <w:rPr>
          <w:color w:val="231F20"/>
          <w:spacing w:val="-19"/>
          <w:w w:val="105"/>
        </w:rPr>
        <w:t> </w:t>
      </w:r>
      <w:r>
        <w:rPr>
          <w:color w:val="231F20"/>
          <w:w w:val="105"/>
        </w:rPr>
        <w:t>internazionali,</w:t>
      </w:r>
      <w:r>
        <w:rPr>
          <w:color w:val="231F20"/>
          <w:spacing w:val="-19"/>
          <w:w w:val="105"/>
        </w:rPr>
        <w:t> </w:t>
      </w:r>
      <w:r>
        <w:rPr>
          <w:color w:val="231F20"/>
          <w:w w:val="105"/>
        </w:rPr>
        <w:t>in</w:t>
      </w:r>
      <w:r>
        <w:rPr>
          <w:color w:val="231F20"/>
          <w:spacing w:val="-19"/>
          <w:w w:val="105"/>
        </w:rPr>
        <w:t> </w:t>
      </w:r>
      <w:r>
        <w:rPr>
          <w:color w:val="231F20"/>
          <w:w w:val="105"/>
        </w:rPr>
        <w:t>un</w:t>
      </w:r>
      <w:r>
        <w:rPr>
          <w:color w:val="231F20"/>
          <w:spacing w:val="-19"/>
          <w:w w:val="105"/>
        </w:rPr>
        <w:t> </w:t>
      </w:r>
      <w:r>
        <w:rPr>
          <w:color w:val="231F20"/>
          <w:w w:val="105"/>
        </w:rPr>
        <w:t>contesto</w:t>
      </w:r>
      <w:r>
        <w:rPr>
          <w:color w:val="231F20"/>
          <w:spacing w:val="-19"/>
          <w:w w:val="105"/>
        </w:rPr>
        <w:t> </w:t>
      </w:r>
      <w:r>
        <w:rPr>
          <w:color w:val="231F20"/>
          <w:w w:val="105"/>
        </w:rPr>
        <w:t>teorico</w:t>
      </w:r>
      <w:r>
        <w:rPr>
          <w:color w:val="231F20"/>
          <w:spacing w:val="-19"/>
          <w:w w:val="105"/>
        </w:rPr>
        <w:t> </w:t>
      </w:r>
      <w:r>
        <w:rPr>
          <w:color w:val="231F20"/>
          <w:w w:val="105"/>
        </w:rPr>
        <w:t>di questo tipo non sembra esserci più posto, dunque, per una concezione “autoreferenziale”</w:t>
      </w:r>
      <w:r>
        <w:rPr>
          <w:color w:val="231F20"/>
          <w:spacing w:val="-24"/>
          <w:w w:val="105"/>
        </w:rPr>
        <w:t> </w:t>
      </w:r>
      <w:r>
        <w:rPr>
          <w:color w:val="231F20"/>
          <w:w w:val="105"/>
        </w:rPr>
        <w:t>della</w:t>
      </w:r>
      <w:r>
        <w:rPr>
          <w:color w:val="231F20"/>
          <w:spacing w:val="-24"/>
          <w:w w:val="105"/>
        </w:rPr>
        <w:t> </w:t>
      </w:r>
      <w:r>
        <w:rPr>
          <w:color w:val="231F20"/>
          <w:w w:val="105"/>
        </w:rPr>
        <w:t>sovranità</w:t>
      </w:r>
      <w:r>
        <w:rPr>
          <w:color w:val="231F20"/>
          <w:spacing w:val="-24"/>
          <w:w w:val="105"/>
        </w:rPr>
        <w:t> </w:t>
      </w:r>
      <w:r>
        <w:rPr>
          <w:color w:val="231F20"/>
          <w:w w:val="105"/>
        </w:rPr>
        <w:t>statuale,</w:t>
      </w:r>
      <w:r>
        <w:rPr>
          <w:color w:val="231F20"/>
          <w:spacing w:val="-24"/>
          <w:w w:val="105"/>
        </w:rPr>
        <w:t> </w:t>
      </w:r>
      <w:r>
        <w:rPr>
          <w:color w:val="231F20"/>
          <w:w w:val="105"/>
        </w:rPr>
        <w:t>così</w:t>
      </w:r>
      <w:r>
        <w:rPr>
          <w:color w:val="231F20"/>
          <w:spacing w:val="-24"/>
          <w:w w:val="105"/>
        </w:rPr>
        <w:t> </w:t>
      </w:r>
      <w:r>
        <w:rPr>
          <w:color w:val="231F20"/>
          <w:w w:val="105"/>
        </w:rPr>
        <w:t>come</w:t>
      </w:r>
      <w:r>
        <w:rPr>
          <w:color w:val="231F20"/>
          <w:spacing w:val="-24"/>
          <w:w w:val="105"/>
        </w:rPr>
        <w:t> </w:t>
      </w:r>
      <w:r>
        <w:rPr>
          <w:color w:val="231F20"/>
          <w:w w:val="105"/>
        </w:rPr>
        <w:t>non</w:t>
      </w:r>
      <w:r>
        <w:rPr>
          <w:color w:val="231F20"/>
          <w:spacing w:val="-24"/>
          <w:w w:val="105"/>
        </w:rPr>
        <w:t> </w:t>
      </w:r>
      <w:r>
        <w:rPr>
          <w:color w:val="231F20"/>
          <w:w w:val="105"/>
        </w:rPr>
        <w:t>sembra</w:t>
      </w:r>
      <w:r>
        <w:rPr>
          <w:color w:val="231F20"/>
          <w:spacing w:val="-24"/>
          <w:w w:val="105"/>
        </w:rPr>
        <w:t> </w:t>
      </w:r>
      <w:r>
        <w:rPr>
          <w:color w:val="231F20"/>
          <w:w w:val="105"/>
        </w:rPr>
        <w:t>esserci più</w:t>
      </w:r>
      <w:r>
        <w:rPr>
          <w:color w:val="231F20"/>
          <w:spacing w:val="-14"/>
          <w:w w:val="105"/>
        </w:rPr>
        <w:t> </w:t>
      </w:r>
      <w:r>
        <w:rPr>
          <w:color w:val="231F20"/>
          <w:w w:val="105"/>
        </w:rPr>
        <w:t>posto</w:t>
      </w:r>
      <w:r>
        <w:rPr>
          <w:color w:val="231F20"/>
          <w:spacing w:val="-14"/>
          <w:w w:val="105"/>
        </w:rPr>
        <w:t> </w:t>
      </w:r>
      <w:r>
        <w:rPr>
          <w:color w:val="231F20"/>
          <w:w w:val="105"/>
        </w:rPr>
        <w:t>per</w:t>
      </w:r>
      <w:r>
        <w:rPr>
          <w:color w:val="231F20"/>
          <w:spacing w:val="-14"/>
          <w:w w:val="105"/>
        </w:rPr>
        <w:t> </w:t>
      </w:r>
      <w:r>
        <w:rPr>
          <w:color w:val="231F20"/>
          <w:w w:val="105"/>
        </w:rPr>
        <w:t>una</w:t>
      </w:r>
      <w:r>
        <w:rPr>
          <w:color w:val="231F20"/>
          <w:spacing w:val="-14"/>
          <w:w w:val="105"/>
        </w:rPr>
        <w:t> </w:t>
      </w:r>
      <w:r>
        <w:rPr>
          <w:color w:val="231F20"/>
          <w:w w:val="105"/>
        </w:rPr>
        <w:t>astratta</w:t>
      </w:r>
      <w:r>
        <w:rPr>
          <w:color w:val="231F20"/>
          <w:spacing w:val="-14"/>
          <w:w w:val="105"/>
        </w:rPr>
        <w:t> </w:t>
      </w:r>
      <w:r>
        <w:rPr>
          <w:color w:val="231F20"/>
          <w:w w:val="105"/>
        </w:rPr>
        <w:t>enunciazione</w:t>
      </w:r>
      <w:r>
        <w:rPr>
          <w:color w:val="231F20"/>
          <w:spacing w:val="-14"/>
          <w:w w:val="105"/>
        </w:rPr>
        <w:t> </w:t>
      </w:r>
      <w:r>
        <w:rPr>
          <w:color w:val="231F20"/>
          <w:w w:val="105"/>
        </w:rPr>
        <w:t>delle</w:t>
      </w:r>
      <w:r>
        <w:rPr>
          <w:color w:val="231F20"/>
          <w:spacing w:val="-14"/>
          <w:w w:val="105"/>
        </w:rPr>
        <w:t> </w:t>
      </w:r>
      <w:r>
        <w:rPr>
          <w:color w:val="231F20"/>
          <w:w w:val="105"/>
        </w:rPr>
        <w:t>sue</w:t>
      </w:r>
      <w:r>
        <w:rPr>
          <w:color w:val="231F20"/>
          <w:spacing w:val="-14"/>
          <w:w w:val="105"/>
        </w:rPr>
        <w:t> </w:t>
      </w:r>
      <w:r>
        <w:rPr>
          <w:color w:val="231F20"/>
          <w:w w:val="105"/>
        </w:rPr>
        <w:t>prerogative</w:t>
      </w:r>
      <w:r>
        <w:rPr>
          <w:color w:val="231F20"/>
          <w:spacing w:val="-14"/>
          <w:w w:val="105"/>
        </w:rPr>
        <w:t> </w:t>
      </w:r>
      <w:r>
        <w:rPr>
          <w:color w:val="231F20"/>
          <w:w w:val="105"/>
        </w:rPr>
        <w:t>giuridiche, </w:t>
      </w:r>
      <w:r>
        <w:rPr>
          <w:color w:val="231F20"/>
          <w:spacing w:val="5"/>
          <w:w w:val="105"/>
        </w:rPr>
        <w:t>svincolata </w:t>
      </w:r>
      <w:r>
        <w:rPr>
          <w:color w:val="231F20"/>
          <w:spacing w:val="4"/>
          <w:w w:val="105"/>
        </w:rPr>
        <w:t>dai </w:t>
      </w:r>
      <w:r>
        <w:rPr>
          <w:color w:val="231F20"/>
          <w:spacing w:val="5"/>
          <w:w w:val="105"/>
        </w:rPr>
        <w:t>complessi </w:t>
      </w:r>
      <w:r>
        <w:rPr>
          <w:color w:val="231F20"/>
          <w:spacing w:val="4"/>
          <w:w w:val="105"/>
        </w:rPr>
        <w:t>processi </w:t>
      </w:r>
      <w:r>
        <w:rPr>
          <w:color w:val="231F20"/>
          <w:spacing w:val="3"/>
          <w:w w:val="105"/>
        </w:rPr>
        <w:t>di </w:t>
      </w:r>
      <w:r>
        <w:rPr>
          <w:color w:val="231F20"/>
          <w:spacing w:val="5"/>
          <w:w w:val="105"/>
        </w:rPr>
        <w:t>“interazione, riconoscimento </w:t>
      </w:r>
      <w:r>
        <w:rPr>
          <w:color w:val="231F20"/>
          <w:w w:val="105"/>
        </w:rPr>
        <w:t>e </w:t>
      </w:r>
      <w:r>
        <w:rPr>
          <w:color w:val="231F20"/>
          <w:spacing w:val="3"/>
          <w:w w:val="105"/>
        </w:rPr>
        <w:t>legittimazione” attraverso </w:t>
      </w:r>
      <w:r>
        <w:rPr>
          <w:color w:val="231F20"/>
          <w:spacing w:val="2"/>
          <w:w w:val="105"/>
        </w:rPr>
        <w:t>cui </w:t>
      </w:r>
      <w:r>
        <w:rPr>
          <w:color w:val="231F20"/>
          <w:w w:val="105"/>
        </w:rPr>
        <w:t>“i </w:t>
      </w:r>
      <w:r>
        <w:rPr>
          <w:color w:val="231F20"/>
          <w:spacing w:val="3"/>
          <w:w w:val="105"/>
        </w:rPr>
        <w:t>diritti, compresi quelli statuali, </w:t>
      </w:r>
      <w:r>
        <w:rPr>
          <w:color w:val="231F20"/>
          <w:spacing w:val="4"/>
          <w:w w:val="105"/>
        </w:rPr>
        <w:t>sono </w:t>
      </w:r>
      <w:r>
        <w:rPr>
          <w:color w:val="231F20"/>
          <w:spacing w:val="5"/>
          <w:w w:val="105"/>
        </w:rPr>
        <w:t>socialmente </w:t>
      </w:r>
      <w:r>
        <w:rPr>
          <w:color w:val="231F20"/>
          <w:w w:val="105"/>
        </w:rPr>
        <w:t>e </w:t>
      </w:r>
      <w:r>
        <w:rPr>
          <w:color w:val="231F20"/>
          <w:spacing w:val="5"/>
          <w:w w:val="105"/>
        </w:rPr>
        <w:t>storicamente costruiti”</w:t>
      </w:r>
      <w:r>
        <w:rPr>
          <w:color w:val="231F20"/>
          <w:spacing w:val="5"/>
          <w:w w:val="105"/>
          <w:position w:val="7"/>
          <w:sz w:val="12"/>
        </w:rPr>
        <w:t>87</w:t>
      </w:r>
      <w:r>
        <w:rPr>
          <w:color w:val="231F20"/>
          <w:spacing w:val="5"/>
          <w:w w:val="105"/>
        </w:rPr>
        <w:t>. </w:t>
      </w:r>
      <w:r>
        <w:rPr>
          <w:color w:val="231F20"/>
          <w:w w:val="105"/>
        </w:rPr>
        <w:t>Tutto, </w:t>
      </w:r>
      <w:r>
        <w:rPr>
          <w:color w:val="231F20"/>
          <w:spacing w:val="3"/>
          <w:w w:val="105"/>
        </w:rPr>
        <w:t>al </w:t>
      </w:r>
      <w:r>
        <w:rPr>
          <w:color w:val="231F20"/>
          <w:spacing w:val="5"/>
          <w:w w:val="105"/>
        </w:rPr>
        <w:t>contrario, sembra </w:t>
      </w:r>
      <w:r>
        <w:rPr>
          <w:color w:val="231F20"/>
          <w:spacing w:val="2"/>
          <w:w w:val="105"/>
        </w:rPr>
        <w:t>convergere </w:t>
      </w:r>
      <w:r>
        <w:rPr>
          <w:color w:val="231F20"/>
          <w:spacing w:val="3"/>
          <w:w w:val="105"/>
        </w:rPr>
        <w:t>verso </w:t>
      </w:r>
      <w:r>
        <w:rPr>
          <w:color w:val="231F20"/>
          <w:w w:val="105"/>
        </w:rPr>
        <w:t>un </w:t>
      </w:r>
      <w:r>
        <w:rPr>
          <w:color w:val="231F20"/>
          <w:spacing w:val="3"/>
          <w:w w:val="105"/>
        </w:rPr>
        <w:t>orizzonte plurale </w:t>
      </w:r>
      <w:r>
        <w:rPr>
          <w:color w:val="231F20"/>
          <w:w w:val="105"/>
        </w:rPr>
        <w:t>di </w:t>
      </w:r>
      <w:r>
        <w:rPr>
          <w:color w:val="231F20"/>
          <w:spacing w:val="3"/>
          <w:w w:val="105"/>
        </w:rPr>
        <w:t>rappresentazioni </w:t>
      </w:r>
      <w:r>
        <w:rPr>
          <w:color w:val="231F20"/>
          <w:spacing w:val="4"/>
          <w:w w:val="105"/>
        </w:rPr>
        <w:t>identitarie, </w:t>
      </w:r>
      <w:r>
        <w:rPr>
          <w:color w:val="231F20"/>
          <w:w w:val="105"/>
        </w:rPr>
        <w:t>negoziazioni</w:t>
      </w:r>
      <w:r>
        <w:rPr>
          <w:color w:val="231F20"/>
          <w:spacing w:val="-26"/>
          <w:w w:val="105"/>
        </w:rPr>
        <w:t> </w:t>
      </w:r>
      <w:r>
        <w:rPr>
          <w:color w:val="231F20"/>
          <w:w w:val="105"/>
        </w:rPr>
        <w:t>politiche</w:t>
      </w:r>
      <w:r>
        <w:rPr>
          <w:color w:val="231F20"/>
          <w:spacing w:val="-26"/>
          <w:w w:val="105"/>
        </w:rPr>
        <w:t> </w:t>
      </w:r>
      <w:r>
        <w:rPr>
          <w:color w:val="231F20"/>
          <w:w w:val="105"/>
        </w:rPr>
        <w:t>e</w:t>
      </w:r>
      <w:r>
        <w:rPr>
          <w:color w:val="231F20"/>
          <w:spacing w:val="-26"/>
          <w:w w:val="105"/>
        </w:rPr>
        <w:t> </w:t>
      </w:r>
      <w:r>
        <w:rPr>
          <w:color w:val="231F20"/>
          <w:w w:val="105"/>
        </w:rPr>
        <w:t>pratiche</w:t>
      </w:r>
      <w:r>
        <w:rPr>
          <w:color w:val="231F20"/>
          <w:spacing w:val="-26"/>
          <w:w w:val="105"/>
        </w:rPr>
        <w:t> </w:t>
      </w:r>
      <w:r>
        <w:rPr>
          <w:color w:val="231F20"/>
          <w:w w:val="105"/>
        </w:rPr>
        <w:t>sociali,</w:t>
      </w:r>
      <w:r>
        <w:rPr>
          <w:color w:val="231F20"/>
          <w:spacing w:val="-26"/>
          <w:w w:val="105"/>
        </w:rPr>
        <w:t> </w:t>
      </w:r>
      <w:r>
        <w:rPr>
          <w:color w:val="231F20"/>
          <w:w w:val="105"/>
        </w:rPr>
        <w:t>nel</w:t>
      </w:r>
      <w:r>
        <w:rPr>
          <w:color w:val="231F20"/>
          <w:spacing w:val="-26"/>
          <w:w w:val="105"/>
        </w:rPr>
        <w:t> </w:t>
      </w:r>
      <w:r>
        <w:rPr>
          <w:color w:val="231F20"/>
          <w:w w:val="105"/>
        </w:rPr>
        <w:t>quale</w:t>
      </w:r>
      <w:r>
        <w:rPr>
          <w:color w:val="231F20"/>
          <w:spacing w:val="-26"/>
          <w:w w:val="105"/>
        </w:rPr>
        <w:t> </w:t>
      </w:r>
      <w:r>
        <w:rPr>
          <w:color w:val="231F20"/>
          <w:w w:val="105"/>
        </w:rPr>
        <w:t>anche</w:t>
      </w:r>
      <w:r>
        <w:rPr>
          <w:color w:val="231F20"/>
          <w:spacing w:val="-26"/>
          <w:w w:val="105"/>
        </w:rPr>
        <w:t> </w:t>
      </w:r>
      <w:r>
        <w:rPr>
          <w:color w:val="231F20"/>
          <w:w w:val="105"/>
        </w:rPr>
        <w:t>il</w:t>
      </w:r>
      <w:r>
        <w:rPr>
          <w:color w:val="231F20"/>
          <w:spacing w:val="-26"/>
          <w:w w:val="105"/>
        </w:rPr>
        <w:t> </w:t>
      </w:r>
      <w:r>
        <w:rPr>
          <w:color w:val="231F20"/>
          <w:w w:val="105"/>
        </w:rPr>
        <w:t>nesso</w:t>
      </w:r>
      <w:r>
        <w:rPr>
          <w:color w:val="231F20"/>
          <w:spacing w:val="-26"/>
          <w:w w:val="105"/>
        </w:rPr>
        <w:t> </w:t>
      </w:r>
      <w:r>
        <w:rPr>
          <w:color w:val="231F20"/>
          <w:w w:val="105"/>
        </w:rPr>
        <w:t>sovranità popolare–diritti</w:t>
      </w:r>
      <w:r>
        <w:rPr>
          <w:color w:val="231F20"/>
          <w:spacing w:val="-50"/>
          <w:w w:val="105"/>
        </w:rPr>
        <w:t> </w:t>
      </w:r>
      <w:r>
        <w:rPr>
          <w:color w:val="231F20"/>
          <w:w w:val="105"/>
        </w:rPr>
        <w:t>umani</w:t>
      </w:r>
      <w:r>
        <w:rPr>
          <w:color w:val="231F20"/>
          <w:spacing w:val="-50"/>
          <w:w w:val="105"/>
        </w:rPr>
        <w:t> </w:t>
      </w:r>
      <w:r>
        <w:rPr>
          <w:color w:val="231F20"/>
          <w:w w:val="105"/>
        </w:rPr>
        <w:t>sembra</w:t>
      </w:r>
      <w:r>
        <w:rPr>
          <w:color w:val="231F20"/>
          <w:spacing w:val="-50"/>
          <w:w w:val="105"/>
        </w:rPr>
        <w:t> </w:t>
      </w:r>
      <w:r>
        <w:rPr>
          <w:color w:val="231F20"/>
          <w:w w:val="105"/>
        </w:rPr>
        <w:t>passibile</w:t>
      </w:r>
      <w:r>
        <w:rPr>
          <w:color w:val="231F20"/>
          <w:spacing w:val="-50"/>
          <w:w w:val="105"/>
        </w:rPr>
        <w:t> </w:t>
      </w:r>
      <w:r>
        <w:rPr>
          <w:color w:val="231F20"/>
          <w:w w:val="105"/>
        </w:rPr>
        <w:t>di</w:t>
      </w:r>
      <w:r>
        <w:rPr>
          <w:color w:val="231F20"/>
          <w:spacing w:val="-50"/>
          <w:w w:val="105"/>
        </w:rPr>
        <w:t> </w:t>
      </w:r>
      <w:r>
        <w:rPr>
          <w:color w:val="231F20"/>
          <w:w w:val="105"/>
        </w:rPr>
        <w:t>nuovi</w:t>
      </w:r>
      <w:r>
        <w:rPr>
          <w:color w:val="231F20"/>
          <w:spacing w:val="-50"/>
          <w:w w:val="105"/>
        </w:rPr>
        <w:t> </w:t>
      </w:r>
      <w:r>
        <w:rPr>
          <w:color w:val="231F20"/>
          <w:w w:val="105"/>
        </w:rPr>
        <w:t>e</w:t>
      </w:r>
      <w:r>
        <w:rPr>
          <w:color w:val="231F20"/>
          <w:spacing w:val="-50"/>
          <w:w w:val="105"/>
        </w:rPr>
        <w:t> </w:t>
      </w:r>
      <w:r>
        <w:rPr>
          <w:color w:val="231F20"/>
          <w:w w:val="105"/>
        </w:rPr>
        <w:t>al</w:t>
      </w:r>
      <w:r>
        <w:rPr>
          <w:color w:val="231F20"/>
          <w:spacing w:val="-50"/>
          <w:w w:val="105"/>
        </w:rPr>
        <w:t> </w:t>
      </w:r>
      <w:r>
        <w:rPr>
          <w:color w:val="231F20"/>
          <w:w w:val="105"/>
        </w:rPr>
        <w:t>momento</w:t>
      </w:r>
      <w:r>
        <w:rPr>
          <w:color w:val="231F20"/>
          <w:spacing w:val="-50"/>
          <w:w w:val="105"/>
        </w:rPr>
        <w:t> </w:t>
      </w:r>
      <w:r>
        <w:rPr>
          <w:color w:val="231F20"/>
          <w:w w:val="105"/>
        </w:rPr>
        <w:t>imprevedibili sviluppi</w:t>
      </w:r>
      <w:r>
        <w:rPr>
          <w:color w:val="231F20"/>
          <w:w w:val="105"/>
          <w:position w:val="7"/>
          <w:sz w:val="12"/>
        </w:rPr>
        <w:t>88</w:t>
      </w:r>
      <w:r>
        <w:rPr>
          <w:color w:val="231F20"/>
          <w:w w:val="105"/>
        </w:rPr>
        <w:t>.</w:t>
      </w:r>
      <w:r>
        <w:rPr>
          <w:color w:val="231F20"/>
          <w:spacing w:val="-33"/>
          <w:w w:val="105"/>
        </w:rPr>
        <w:t> </w:t>
      </w:r>
      <w:r>
        <w:rPr>
          <w:color w:val="231F20"/>
          <w:w w:val="105"/>
        </w:rPr>
        <w:t>In</w:t>
      </w:r>
      <w:r>
        <w:rPr>
          <w:color w:val="231F20"/>
          <w:spacing w:val="-33"/>
          <w:w w:val="105"/>
        </w:rPr>
        <w:t> </w:t>
      </w:r>
      <w:r>
        <w:rPr>
          <w:color w:val="231F20"/>
          <w:w w:val="105"/>
        </w:rPr>
        <w:t>questa</w:t>
      </w:r>
      <w:r>
        <w:rPr>
          <w:color w:val="231F20"/>
          <w:spacing w:val="-33"/>
          <w:w w:val="105"/>
        </w:rPr>
        <w:t> </w:t>
      </w:r>
      <w:r>
        <w:rPr>
          <w:color w:val="231F20"/>
          <w:w w:val="105"/>
        </w:rPr>
        <w:t>sede</w:t>
      </w:r>
      <w:r>
        <w:rPr>
          <w:color w:val="231F20"/>
          <w:spacing w:val="-33"/>
          <w:w w:val="105"/>
        </w:rPr>
        <w:t> </w:t>
      </w:r>
      <w:r>
        <w:rPr>
          <w:color w:val="231F20"/>
          <w:w w:val="105"/>
        </w:rPr>
        <w:t>non</w:t>
      </w:r>
      <w:r>
        <w:rPr>
          <w:color w:val="231F20"/>
          <w:spacing w:val="-33"/>
          <w:w w:val="105"/>
        </w:rPr>
        <w:t> </w:t>
      </w:r>
      <w:r>
        <w:rPr>
          <w:color w:val="231F20"/>
          <w:w w:val="105"/>
        </w:rPr>
        <w:t>mi</w:t>
      </w:r>
      <w:r>
        <w:rPr>
          <w:color w:val="231F20"/>
          <w:spacing w:val="-33"/>
          <w:w w:val="105"/>
        </w:rPr>
        <w:t> </w:t>
      </w:r>
      <w:r>
        <w:rPr>
          <w:color w:val="231F20"/>
          <w:w w:val="105"/>
        </w:rPr>
        <w:t>è</w:t>
      </w:r>
      <w:r>
        <w:rPr>
          <w:color w:val="231F20"/>
          <w:spacing w:val="-33"/>
          <w:w w:val="105"/>
        </w:rPr>
        <w:t> </w:t>
      </w:r>
      <w:r>
        <w:rPr>
          <w:color w:val="231F20"/>
          <w:w w:val="105"/>
        </w:rPr>
        <w:t>ovviamente</w:t>
      </w:r>
      <w:r>
        <w:rPr>
          <w:color w:val="231F20"/>
          <w:spacing w:val="-33"/>
          <w:w w:val="105"/>
        </w:rPr>
        <w:t> </w:t>
      </w:r>
      <w:r>
        <w:rPr>
          <w:color w:val="231F20"/>
          <w:w w:val="105"/>
        </w:rPr>
        <w:t>possibile</w:t>
      </w:r>
      <w:r>
        <w:rPr>
          <w:color w:val="231F20"/>
          <w:spacing w:val="-33"/>
          <w:w w:val="105"/>
        </w:rPr>
        <w:t> </w:t>
      </w:r>
      <w:r>
        <w:rPr>
          <w:color w:val="231F20"/>
          <w:w w:val="105"/>
        </w:rPr>
        <w:t>entrare</w:t>
      </w:r>
      <w:r>
        <w:rPr>
          <w:color w:val="231F20"/>
          <w:spacing w:val="-33"/>
          <w:w w:val="105"/>
        </w:rPr>
        <w:t> </w:t>
      </w:r>
      <w:r>
        <w:rPr>
          <w:color w:val="231F20"/>
          <w:w w:val="105"/>
        </w:rPr>
        <w:t>nel</w:t>
      </w:r>
      <w:r>
        <w:rPr>
          <w:color w:val="231F20"/>
          <w:spacing w:val="-33"/>
          <w:w w:val="105"/>
        </w:rPr>
        <w:t> </w:t>
      </w:r>
      <w:r>
        <w:rPr>
          <w:color w:val="231F20"/>
          <w:w w:val="105"/>
        </w:rPr>
        <w:t>merito di</w:t>
      </w:r>
      <w:r>
        <w:rPr>
          <w:color w:val="231F20"/>
          <w:spacing w:val="-20"/>
          <w:w w:val="105"/>
        </w:rPr>
        <w:t> </w:t>
      </w:r>
      <w:r>
        <w:rPr>
          <w:color w:val="231F20"/>
          <w:w w:val="105"/>
        </w:rPr>
        <w:t>questo</w:t>
      </w:r>
      <w:r>
        <w:rPr>
          <w:color w:val="231F20"/>
          <w:spacing w:val="-20"/>
          <w:w w:val="105"/>
        </w:rPr>
        <w:t> </w:t>
      </w:r>
      <w:r>
        <w:rPr>
          <w:color w:val="231F20"/>
          <w:w w:val="105"/>
        </w:rPr>
        <w:t>complesso</w:t>
      </w:r>
      <w:r>
        <w:rPr>
          <w:color w:val="231F20"/>
          <w:spacing w:val="-20"/>
          <w:w w:val="105"/>
        </w:rPr>
        <w:t> </w:t>
      </w:r>
      <w:r>
        <w:rPr>
          <w:color w:val="231F20"/>
          <w:w w:val="105"/>
        </w:rPr>
        <w:t>e</w:t>
      </w:r>
      <w:r>
        <w:rPr>
          <w:color w:val="231F20"/>
          <w:spacing w:val="-20"/>
          <w:w w:val="105"/>
        </w:rPr>
        <w:t> </w:t>
      </w:r>
      <w:r>
        <w:rPr>
          <w:color w:val="231F20"/>
          <w:w w:val="105"/>
        </w:rPr>
        <w:t>diversificato</w:t>
      </w:r>
      <w:r>
        <w:rPr>
          <w:color w:val="231F20"/>
          <w:spacing w:val="-20"/>
          <w:w w:val="105"/>
        </w:rPr>
        <w:t> </w:t>
      </w:r>
      <w:r>
        <w:rPr>
          <w:color w:val="231F20"/>
          <w:w w:val="105"/>
        </w:rPr>
        <w:t>processo</w:t>
      </w:r>
      <w:r>
        <w:rPr>
          <w:color w:val="231F20"/>
          <w:spacing w:val="-20"/>
          <w:w w:val="105"/>
        </w:rPr>
        <w:t> </w:t>
      </w:r>
      <w:r>
        <w:rPr>
          <w:color w:val="231F20"/>
          <w:w w:val="105"/>
        </w:rPr>
        <w:t>di</w:t>
      </w:r>
      <w:r>
        <w:rPr>
          <w:color w:val="231F20"/>
          <w:spacing w:val="-20"/>
          <w:w w:val="105"/>
        </w:rPr>
        <w:t> </w:t>
      </w:r>
      <w:r>
        <w:rPr>
          <w:color w:val="231F20"/>
          <w:w w:val="105"/>
        </w:rPr>
        <w:t>rifondazione</w:t>
      </w:r>
      <w:r>
        <w:rPr>
          <w:color w:val="231F20"/>
          <w:spacing w:val="-20"/>
          <w:w w:val="105"/>
        </w:rPr>
        <w:t> </w:t>
      </w:r>
      <w:r>
        <w:rPr>
          <w:color w:val="231F20"/>
          <w:w w:val="105"/>
        </w:rPr>
        <w:t>epistemica</w:t>
      </w:r>
      <w:r>
        <w:rPr>
          <w:color w:val="231F20"/>
          <w:spacing w:val="-20"/>
          <w:w w:val="105"/>
        </w:rPr>
        <w:t> </w:t>
      </w:r>
      <w:r>
        <w:rPr>
          <w:color w:val="231F20"/>
          <w:w w:val="105"/>
        </w:rPr>
        <w:t>e</w:t>
      </w:r>
    </w:p>
    <w:p>
      <w:pPr>
        <w:pStyle w:val="BodyText"/>
        <w:spacing w:before="6"/>
        <w:rPr>
          <w:sz w:val="29"/>
        </w:rPr>
      </w:pPr>
      <w:r>
        <w:rPr/>
        <w:pict>
          <v:line style="position:absolute;mso-position-horizontal-relative:page;mso-position-vertical-relative:paragraph;z-index:15112;mso-wrap-distance-left:0;mso-wrap-distance-right:0" from="70.866203pt,19.906984pt" to="184.252203pt,19.906984pt" stroked="true" strokeweight=".3pt" strokecolor="#231f20">
            <w10:wrap type="topAndBottom"/>
          </v:line>
        </w:pict>
      </w:r>
    </w:p>
    <w:p>
      <w:pPr>
        <w:spacing w:line="204" w:lineRule="exact" w:before="8"/>
        <w:ind w:left="117" w:right="121" w:firstLine="0"/>
        <w:jc w:val="both"/>
        <w:rPr>
          <w:rFonts w:ascii="Calibri" w:hAnsi="Calibri"/>
          <w:sz w:val="17"/>
        </w:rPr>
      </w:pPr>
      <w:r>
        <w:rPr>
          <w:rFonts w:ascii="Calibri" w:hAnsi="Calibri"/>
          <w:color w:val="231F20"/>
          <w:w w:val="105"/>
          <w:position w:val="6"/>
          <w:sz w:val="10"/>
        </w:rPr>
        <w:t>84</w:t>
      </w:r>
      <w:r>
        <w:rPr>
          <w:rFonts w:ascii="Calibri" w:hAnsi="Calibri"/>
          <w:color w:val="231F20"/>
          <w:spacing w:val="-1"/>
          <w:w w:val="105"/>
          <w:position w:val="6"/>
          <w:sz w:val="10"/>
        </w:rPr>
        <w:t> </w:t>
      </w:r>
      <w:r>
        <w:rPr>
          <w:rFonts w:ascii="Calibri" w:hAnsi="Calibri"/>
          <w:color w:val="231F20"/>
          <w:spacing w:val="-7"/>
          <w:w w:val="105"/>
          <w:sz w:val="17"/>
        </w:rPr>
        <w:t>W.</w:t>
      </w:r>
      <w:r>
        <w:rPr>
          <w:rFonts w:ascii="Calibri" w:hAnsi="Calibri"/>
          <w:color w:val="231F20"/>
          <w:spacing w:val="-16"/>
          <w:w w:val="105"/>
          <w:sz w:val="17"/>
        </w:rPr>
        <w:t> </w:t>
      </w:r>
      <w:r>
        <w:rPr>
          <w:rFonts w:ascii="Calibri" w:hAnsi="Calibri"/>
          <w:color w:val="231F20"/>
          <w:w w:val="105"/>
          <w:sz w:val="17"/>
        </w:rPr>
        <w:t>Kersting,</w:t>
      </w:r>
      <w:r>
        <w:rPr>
          <w:rFonts w:ascii="Calibri" w:hAnsi="Calibri"/>
          <w:color w:val="231F20"/>
          <w:spacing w:val="-16"/>
          <w:w w:val="105"/>
          <w:sz w:val="17"/>
        </w:rPr>
        <w:t> </w:t>
      </w:r>
      <w:r>
        <w:rPr>
          <w:rFonts w:ascii="Calibri" w:hAnsi="Calibri"/>
          <w:color w:val="231F20"/>
          <w:w w:val="105"/>
          <w:sz w:val="17"/>
        </w:rPr>
        <w:t>“Bewaffnete</w:t>
      </w:r>
      <w:r>
        <w:rPr>
          <w:rFonts w:ascii="Calibri" w:hAnsi="Calibri"/>
          <w:color w:val="231F20"/>
          <w:spacing w:val="-16"/>
          <w:w w:val="105"/>
          <w:sz w:val="17"/>
        </w:rPr>
        <w:t> </w:t>
      </w:r>
      <w:r>
        <w:rPr>
          <w:rFonts w:ascii="Calibri" w:hAnsi="Calibri"/>
          <w:color w:val="231F20"/>
          <w:w w:val="105"/>
          <w:sz w:val="17"/>
        </w:rPr>
        <w:t>Intervention</w:t>
      </w:r>
      <w:r>
        <w:rPr>
          <w:rFonts w:ascii="Calibri" w:hAnsi="Calibri"/>
          <w:color w:val="231F20"/>
          <w:spacing w:val="-16"/>
          <w:w w:val="105"/>
          <w:sz w:val="17"/>
        </w:rPr>
        <w:t> </w:t>
      </w:r>
      <w:r>
        <w:rPr>
          <w:rFonts w:ascii="Calibri" w:hAnsi="Calibri"/>
          <w:color w:val="231F20"/>
          <w:w w:val="105"/>
          <w:sz w:val="17"/>
        </w:rPr>
        <w:t>als</w:t>
      </w:r>
      <w:r>
        <w:rPr>
          <w:rFonts w:ascii="Calibri" w:hAnsi="Calibri"/>
          <w:color w:val="231F20"/>
          <w:spacing w:val="-16"/>
          <w:w w:val="105"/>
          <w:sz w:val="17"/>
        </w:rPr>
        <w:t> </w:t>
      </w:r>
      <w:r>
        <w:rPr>
          <w:rFonts w:ascii="Calibri" w:hAnsi="Calibri"/>
          <w:color w:val="231F20"/>
          <w:spacing w:val="-3"/>
          <w:w w:val="105"/>
          <w:sz w:val="17"/>
        </w:rPr>
        <w:t>Menschenrechtsschutz?”,</w:t>
      </w:r>
      <w:r>
        <w:rPr>
          <w:rFonts w:ascii="Calibri" w:hAnsi="Calibri"/>
          <w:color w:val="231F20"/>
          <w:spacing w:val="-16"/>
          <w:w w:val="105"/>
          <w:sz w:val="17"/>
        </w:rPr>
        <w:t> </w:t>
      </w:r>
      <w:r>
        <w:rPr>
          <w:rFonts w:ascii="Calibri" w:hAnsi="Calibri"/>
          <w:color w:val="231F20"/>
          <w:w w:val="105"/>
          <w:sz w:val="17"/>
        </w:rPr>
        <w:t>R.</w:t>
      </w:r>
      <w:r>
        <w:rPr>
          <w:rFonts w:ascii="Calibri" w:hAnsi="Calibri"/>
          <w:color w:val="231F20"/>
          <w:spacing w:val="-16"/>
          <w:w w:val="105"/>
          <w:sz w:val="17"/>
        </w:rPr>
        <w:t> </w:t>
      </w:r>
      <w:r>
        <w:rPr>
          <w:rFonts w:ascii="Calibri" w:hAnsi="Calibri"/>
          <w:color w:val="231F20"/>
          <w:spacing w:val="-3"/>
          <w:w w:val="105"/>
          <w:sz w:val="17"/>
        </w:rPr>
        <w:t>Merkel</w:t>
      </w:r>
      <w:r>
        <w:rPr>
          <w:rFonts w:ascii="Calibri" w:hAnsi="Calibri"/>
          <w:color w:val="231F20"/>
          <w:spacing w:val="-16"/>
          <w:w w:val="105"/>
          <w:sz w:val="17"/>
        </w:rPr>
        <w:t> </w:t>
      </w:r>
      <w:r>
        <w:rPr>
          <w:rFonts w:ascii="Calibri" w:hAnsi="Calibri"/>
          <w:color w:val="231F20"/>
          <w:w w:val="105"/>
          <w:sz w:val="17"/>
        </w:rPr>
        <w:t>(Ed.),</w:t>
      </w:r>
      <w:r>
        <w:rPr>
          <w:rFonts w:ascii="Calibri" w:hAnsi="Calibri"/>
          <w:color w:val="231F20"/>
          <w:spacing w:val="-16"/>
          <w:w w:val="105"/>
          <w:sz w:val="17"/>
        </w:rPr>
        <w:t> </w:t>
      </w:r>
      <w:r>
        <w:rPr>
          <w:rFonts w:ascii="Calibri" w:hAnsi="Calibri"/>
          <w:i/>
          <w:color w:val="231F20"/>
          <w:w w:val="105"/>
          <w:sz w:val="17"/>
        </w:rPr>
        <w:t>Der</w:t>
      </w:r>
      <w:r>
        <w:rPr>
          <w:rFonts w:ascii="Calibri" w:hAnsi="Calibri"/>
          <w:i/>
          <w:color w:val="231F20"/>
          <w:spacing w:val="-16"/>
          <w:w w:val="105"/>
          <w:sz w:val="17"/>
        </w:rPr>
        <w:t> </w:t>
      </w:r>
      <w:r>
        <w:rPr>
          <w:rFonts w:ascii="Calibri" w:hAnsi="Calibri"/>
          <w:i/>
          <w:color w:val="231F20"/>
          <w:w w:val="105"/>
          <w:sz w:val="17"/>
        </w:rPr>
        <w:t>Kosovo– </w:t>
      </w:r>
      <w:r>
        <w:rPr>
          <w:rFonts w:ascii="Calibri" w:hAnsi="Calibri"/>
          <w:i/>
          <w:color w:val="231F20"/>
          <w:sz w:val="17"/>
        </w:rPr>
        <w:t>Krieg</w:t>
      </w:r>
      <w:r>
        <w:rPr>
          <w:rFonts w:ascii="Calibri" w:hAnsi="Calibri"/>
          <w:i/>
          <w:color w:val="231F20"/>
          <w:spacing w:val="-13"/>
          <w:sz w:val="17"/>
        </w:rPr>
        <w:t> </w:t>
      </w:r>
      <w:r>
        <w:rPr>
          <w:rFonts w:ascii="Calibri" w:hAnsi="Calibri"/>
          <w:i/>
          <w:color w:val="231F20"/>
          <w:sz w:val="17"/>
        </w:rPr>
        <w:t>und</w:t>
      </w:r>
      <w:r>
        <w:rPr>
          <w:rFonts w:ascii="Calibri" w:hAnsi="Calibri"/>
          <w:i/>
          <w:color w:val="231F20"/>
          <w:spacing w:val="-13"/>
          <w:sz w:val="17"/>
        </w:rPr>
        <w:t> </w:t>
      </w:r>
      <w:r>
        <w:rPr>
          <w:rFonts w:ascii="Calibri" w:hAnsi="Calibri"/>
          <w:i/>
          <w:color w:val="231F20"/>
          <w:sz w:val="17"/>
        </w:rPr>
        <w:t>das</w:t>
      </w:r>
      <w:r>
        <w:rPr>
          <w:rFonts w:ascii="Calibri" w:hAnsi="Calibri"/>
          <w:i/>
          <w:color w:val="231F20"/>
          <w:spacing w:val="-13"/>
          <w:sz w:val="17"/>
        </w:rPr>
        <w:t> </w:t>
      </w:r>
      <w:r>
        <w:rPr>
          <w:rFonts w:ascii="Calibri" w:hAnsi="Calibri"/>
          <w:i/>
          <w:color w:val="231F20"/>
          <w:spacing w:val="-3"/>
          <w:sz w:val="17"/>
        </w:rPr>
        <w:t>Völkerrecht</w:t>
      </w:r>
      <w:r>
        <w:rPr>
          <w:rFonts w:ascii="Calibri" w:hAnsi="Calibri"/>
          <w:color w:val="231F20"/>
          <w:spacing w:val="-3"/>
          <w:sz w:val="17"/>
        </w:rPr>
        <w:t>,</w:t>
      </w:r>
      <w:r>
        <w:rPr>
          <w:rFonts w:ascii="Calibri" w:hAnsi="Calibri"/>
          <w:color w:val="231F20"/>
          <w:spacing w:val="-12"/>
          <w:sz w:val="17"/>
        </w:rPr>
        <w:t> </w:t>
      </w:r>
      <w:r>
        <w:rPr>
          <w:rFonts w:ascii="Calibri" w:hAnsi="Calibri"/>
          <w:color w:val="231F20"/>
          <w:spacing w:val="-2"/>
          <w:sz w:val="17"/>
        </w:rPr>
        <w:t>Frankfurt</w:t>
      </w:r>
      <w:r>
        <w:rPr>
          <w:rFonts w:ascii="Calibri" w:hAnsi="Calibri"/>
          <w:color w:val="231F20"/>
          <w:spacing w:val="-12"/>
          <w:sz w:val="17"/>
        </w:rPr>
        <w:t> </w:t>
      </w:r>
      <w:r>
        <w:rPr>
          <w:rFonts w:ascii="Calibri" w:hAnsi="Calibri"/>
          <w:color w:val="231F20"/>
          <w:sz w:val="17"/>
        </w:rPr>
        <w:t>a.</w:t>
      </w:r>
      <w:r>
        <w:rPr>
          <w:rFonts w:ascii="Calibri" w:hAnsi="Calibri"/>
          <w:color w:val="231F20"/>
          <w:spacing w:val="-12"/>
          <w:sz w:val="17"/>
        </w:rPr>
        <w:t> </w:t>
      </w:r>
      <w:r>
        <w:rPr>
          <w:rFonts w:ascii="Calibri" w:hAnsi="Calibri"/>
          <w:color w:val="231F20"/>
          <w:sz w:val="17"/>
        </w:rPr>
        <w:t>Main,</w:t>
      </w:r>
      <w:r>
        <w:rPr>
          <w:rFonts w:ascii="Calibri" w:hAnsi="Calibri"/>
          <w:color w:val="231F20"/>
          <w:spacing w:val="-12"/>
          <w:sz w:val="17"/>
        </w:rPr>
        <w:t> </w:t>
      </w:r>
      <w:r>
        <w:rPr>
          <w:rFonts w:ascii="Calibri" w:hAnsi="Calibri"/>
          <w:color w:val="231F20"/>
          <w:sz w:val="17"/>
        </w:rPr>
        <w:t>Suhrkamp,</w:t>
      </w:r>
      <w:r>
        <w:rPr>
          <w:rFonts w:ascii="Calibri" w:hAnsi="Calibri"/>
          <w:color w:val="231F20"/>
          <w:spacing w:val="-12"/>
          <w:sz w:val="17"/>
        </w:rPr>
        <w:t> </w:t>
      </w:r>
      <w:r>
        <w:rPr>
          <w:rFonts w:ascii="Calibri" w:hAnsi="Calibri"/>
          <w:color w:val="231F20"/>
          <w:sz w:val="17"/>
        </w:rPr>
        <w:t>2000,</w:t>
      </w:r>
      <w:r>
        <w:rPr>
          <w:rFonts w:ascii="Calibri" w:hAnsi="Calibri"/>
          <w:color w:val="231F20"/>
          <w:spacing w:val="-12"/>
          <w:sz w:val="17"/>
        </w:rPr>
        <w:t> </w:t>
      </w:r>
      <w:r>
        <w:rPr>
          <w:rFonts w:ascii="Calibri" w:hAnsi="Calibri"/>
          <w:color w:val="231F20"/>
          <w:sz w:val="17"/>
        </w:rPr>
        <w:t>pp.</w:t>
      </w:r>
      <w:r>
        <w:rPr>
          <w:rFonts w:ascii="Calibri" w:hAnsi="Calibri"/>
          <w:color w:val="231F20"/>
          <w:spacing w:val="-12"/>
          <w:sz w:val="17"/>
        </w:rPr>
        <w:t> </w:t>
      </w:r>
      <w:r>
        <w:rPr>
          <w:rFonts w:ascii="Calibri" w:hAnsi="Calibri"/>
          <w:color w:val="231F20"/>
          <w:spacing w:val="-3"/>
          <w:sz w:val="17"/>
        </w:rPr>
        <w:t>187–231,</w:t>
      </w:r>
      <w:r>
        <w:rPr>
          <w:rFonts w:ascii="Calibri" w:hAnsi="Calibri"/>
          <w:color w:val="231F20"/>
          <w:spacing w:val="-12"/>
          <w:sz w:val="17"/>
        </w:rPr>
        <w:t> </w:t>
      </w:r>
      <w:r>
        <w:rPr>
          <w:rFonts w:ascii="Calibri" w:hAnsi="Calibri"/>
          <w:color w:val="231F20"/>
          <w:sz w:val="17"/>
        </w:rPr>
        <w:t>en</w:t>
      </w:r>
      <w:r>
        <w:rPr>
          <w:rFonts w:ascii="Calibri" w:hAnsi="Calibri"/>
          <w:color w:val="231F20"/>
          <w:spacing w:val="-12"/>
          <w:sz w:val="17"/>
        </w:rPr>
        <w:t> </w:t>
      </w:r>
      <w:r>
        <w:rPr>
          <w:rFonts w:ascii="Calibri" w:hAnsi="Calibri"/>
          <w:color w:val="231F20"/>
          <w:sz w:val="17"/>
        </w:rPr>
        <w:t>part.</w:t>
      </w:r>
      <w:r>
        <w:rPr>
          <w:rFonts w:ascii="Calibri" w:hAnsi="Calibri"/>
          <w:color w:val="231F20"/>
          <w:spacing w:val="-12"/>
          <w:sz w:val="17"/>
        </w:rPr>
        <w:t> </w:t>
      </w:r>
      <w:r>
        <w:rPr>
          <w:rFonts w:ascii="Calibri" w:hAnsi="Calibri"/>
          <w:color w:val="231F20"/>
          <w:sz w:val="17"/>
        </w:rPr>
        <w:t>p.</w:t>
      </w:r>
      <w:r>
        <w:rPr>
          <w:rFonts w:ascii="Calibri" w:hAnsi="Calibri"/>
          <w:color w:val="231F20"/>
          <w:spacing w:val="-12"/>
          <w:sz w:val="17"/>
        </w:rPr>
        <w:t> </w:t>
      </w:r>
      <w:r>
        <w:rPr>
          <w:rFonts w:ascii="Calibri" w:hAnsi="Calibri"/>
          <w:color w:val="231F20"/>
          <w:spacing w:val="-3"/>
          <w:sz w:val="17"/>
        </w:rPr>
        <w:t>201.</w:t>
      </w:r>
    </w:p>
    <w:p>
      <w:pPr>
        <w:spacing w:line="204" w:lineRule="exact" w:before="0"/>
        <w:ind w:left="117" w:right="121" w:firstLine="0"/>
        <w:jc w:val="both"/>
        <w:rPr>
          <w:rFonts w:ascii="Calibri" w:hAnsi="Calibri"/>
          <w:sz w:val="17"/>
        </w:rPr>
      </w:pPr>
      <w:r>
        <w:rPr>
          <w:rFonts w:ascii="Calibri" w:hAnsi="Calibri"/>
          <w:color w:val="231F20"/>
          <w:position w:val="6"/>
          <w:sz w:val="10"/>
        </w:rPr>
        <w:t>85 </w:t>
      </w:r>
      <w:r>
        <w:rPr>
          <w:rFonts w:ascii="Calibri" w:hAnsi="Calibri"/>
          <w:i/>
          <w:color w:val="231F20"/>
          <w:sz w:val="17"/>
        </w:rPr>
        <w:t>Cfr</w:t>
      </w:r>
      <w:r>
        <w:rPr>
          <w:rFonts w:ascii="Calibri" w:hAnsi="Calibri"/>
          <w:color w:val="231F20"/>
          <w:sz w:val="17"/>
        </w:rPr>
        <w:t>. </w:t>
      </w:r>
      <w:r>
        <w:rPr>
          <w:rFonts w:ascii="Calibri" w:hAnsi="Calibri"/>
          <w:color w:val="231F20"/>
          <w:spacing w:val="-10"/>
          <w:sz w:val="17"/>
        </w:rPr>
        <w:t>P. P. </w:t>
      </w:r>
      <w:r>
        <w:rPr>
          <w:rFonts w:ascii="Calibri" w:hAnsi="Calibri"/>
          <w:color w:val="231F20"/>
          <w:sz w:val="17"/>
        </w:rPr>
        <w:t>Portinaro, “Interventi umanitari e responsibility to protect. Formule nuove, vecchi problema”, </w:t>
      </w:r>
      <w:r>
        <w:rPr>
          <w:rFonts w:ascii="Calibri" w:hAnsi="Calibri"/>
          <w:color w:val="231F20"/>
          <w:spacing w:val="-7"/>
          <w:sz w:val="17"/>
        </w:rPr>
        <w:t>V. </w:t>
      </w:r>
      <w:r>
        <w:rPr>
          <w:rFonts w:ascii="Calibri" w:hAnsi="Calibri"/>
          <w:color w:val="231F20"/>
          <w:sz w:val="17"/>
        </w:rPr>
        <w:t>Lavenia (Ed.), </w:t>
      </w:r>
      <w:r>
        <w:rPr>
          <w:rFonts w:ascii="Calibri" w:hAnsi="Calibri"/>
          <w:i/>
          <w:color w:val="231F20"/>
          <w:sz w:val="17"/>
        </w:rPr>
        <w:t>Alberico Gentili. «Responsibility to Protect»: nuovi orientamenti su </w:t>
      </w:r>
      <w:r>
        <w:rPr>
          <w:rFonts w:ascii="Calibri" w:hAnsi="Calibri"/>
          <w:i/>
          <w:color w:val="231F20"/>
          <w:sz w:val="17"/>
        </w:rPr>
        <w:t>intervento umanitario e ordine internazionale</w:t>
      </w:r>
      <w:r>
        <w:rPr>
          <w:rFonts w:ascii="Calibri" w:hAnsi="Calibri"/>
          <w:color w:val="231F20"/>
          <w:sz w:val="17"/>
        </w:rPr>
        <w:t>, Macerata, EUM, 2015, p. 123: “Il fatto è che nelle situazioni in cui si rende necessario un intervento non c’è </w:t>
      </w:r>
      <w:r>
        <w:rPr>
          <w:rFonts w:ascii="Calibri" w:hAnsi="Calibri"/>
          <w:i/>
          <w:color w:val="231F20"/>
          <w:sz w:val="17"/>
        </w:rPr>
        <w:t>un </w:t>
      </w:r>
      <w:r>
        <w:rPr>
          <w:rFonts w:ascii="Calibri" w:hAnsi="Calibri"/>
          <w:color w:val="231F20"/>
          <w:sz w:val="17"/>
        </w:rPr>
        <w:t>popolo, ma gruppi etnici e religiosi contrapposti, dunque solo frammenti di un popolo, fieramente ostili tra loro e che in assenza di   una potenza occupante tendono a precipitare in una guerra   </w:t>
      </w:r>
      <w:r>
        <w:rPr>
          <w:rFonts w:ascii="Calibri" w:hAnsi="Calibri"/>
          <w:color w:val="231F20"/>
          <w:spacing w:val="-3"/>
          <w:sz w:val="17"/>
        </w:rPr>
        <w:t>civile”.</w:t>
      </w:r>
    </w:p>
    <w:p>
      <w:pPr>
        <w:spacing w:line="204" w:lineRule="exact" w:before="0"/>
        <w:ind w:left="117" w:right="122" w:firstLine="0"/>
        <w:jc w:val="both"/>
        <w:rPr>
          <w:rFonts w:ascii="Calibri" w:hAnsi="Calibri"/>
          <w:sz w:val="17"/>
        </w:rPr>
      </w:pPr>
      <w:r>
        <w:rPr>
          <w:rFonts w:ascii="Calibri" w:hAnsi="Calibri"/>
          <w:color w:val="231F20"/>
          <w:position w:val="6"/>
          <w:sz w:val="10"/>
        </w:rPr>
        <w:t>86 </w:t>
      </w:r>
      <w:r>
        <w:rPr>
          <w:rFonts w:ascii="Calibri" w:hAnsi="Calibri"/>
          <w:color w:val="231F20"/>
          <w:sz w:val="17"/>
        </w:rPr>
        <w:t>Keohane, “Political authority after intervention”, p. 281. Per una eThcace espressione degli esiti ultimi di questo approccio si veda però A. Buchanan, J</w:t>
      </w:r>
      <w:r>
        <w:rPr>
          <w:rFonts w:ascii="Calibri" w:hAnsi="Calibri"/>
          <w:i/>
          <w:color w:val="231F20"/>
          <w:sz w:val="17"/>
        </w:rPr>
        <w:t>ustice, Legitimacy and Self–Determination. </w:t>
      </w:r>
      <w:r>
        <w:rPr>
          <w:rFonts w:ascii="Calibri" w:hAnsi="Calibri"/>
          <w:i/>
          <w:color w:val="231F20"/>
          <w:sz w:val="17"/>
        </w:rPr>
        <w:t>Moral</w:t>
      </w:r>
      <w:r>
        <w:rPr>
          <w:rFonts w:ascii="Calibri" w:hAnsi="Calibri"/>
          <w:i/>
          <w:color w:val="231F20"/>
          <w:spacing w:val="-12"/>
          <w:sz w:val="17"/>
        </w:rPr>
        <w:t> </w:t>
      </w:r>
      <w:r>
        <w:rPr>
          <w:rFonts w:ascii="Calibri" w:hAnsi="Calibri"/>
          <w:i/>
          <w:color w:val="231F20"/>
          <w:sz w:val="17"/>
        </w:rPr>
        <w:t>Foundations</w:t>
      </w:r>
      <w:r>
        <w:rPr>
          <w:rFonts w:ascii="Calibri" w:hAnsi="Calibri"/>
          <w:i/>
          <w:color w:val="231F20"/>
          <w:spacing w:val="-12"/>
          <w:sz w:val="17"/>
        </w:rPr>
        <w:t> </w:t>
      </w:r>
      <w:r>
        <w:rPr>
          <w:rFonts w:ascii="Calibri" w:hAnsi="Calibri"/>
          <w:i/>
          <w:color w:val="231F20"/>
          <w:spacing w:val="-3"/>
          <w:sz w:val="17"/>
        </w:rPr>
        <w:t>for</w:t>
      </w:r>
      <w:r>
        <w:rPr>
          <w:rFonts w:ascii="Calibri" w:hAnsi="Calibri"/>
          <w:i/>
          <w:color w:val="231F20"/>
          <w:spacing w:val="-12"/>
          <w:sz w:val="17"/>
        </w:rPr>
        <w:t> </w:t>
      </w:r>
      <w:r>
        <w:rPr>
          <w:rFonts w:ascii="Calibri" w:hAnsi="Calibri"/>
          <w:i/>
          <w:color w:val="231F20"/>
          <w:sz w:val="17"/>
        </w:rPr>
        <w:t>International</w:t>
      </w:r>
      <w:r>
        <w:rPr>
          <w:rFonts w:ascii="Calibri" w:hAnsi="Calibri"/>
          <w:i/>
          <w:color w:val="231F20"/>
          <w:spacing w:val="-12"/>
          <w:sz w:val="17"/>
        </w:rPr>
        <w:t> </w:t>
      </w:r>
      <w:r>
        <w:rPr>
          <w:rFonts w:ascii="Calibri" w:hAnsi="Calibri"/>
          <w:i/>
          <w:color w:val="231F20"/>
          <w:sz w:val="17"/>
        </w:rPr>
        <w:t>Law</w:t>
      </w:r>
      <w:r>
        <w:rPr>
          <w:rFonts w:ascii="Calibri" w:hAnsi="Calibri"/>
          <w:color w:val="231F20"/>
          <w:sz w:val="17"/>
        </w:rPr>
        <w:t>,</w:t>
      </w:r>
      <w:r>
        <w:rPr>
          <w:rFonts w:ascii="Calibri" w:hAnsi="Calibri"/>
          <w:color w:val="231F20"/>
          <w:spacing w:val="-11"/>
          <w:sz w:val="17"/>
        </w:rPr>
        <w:t> </w:t>
      </w:r>
      <w:r>
        <w:rPr>
          <w:rFonts w:ascii="Calibri" w:hAnsi="Calibri"/>
          <w:color w:val="231F20"/>
          <w:sz w:val="17"/>
        </w:rPr>
        <w:t>Oxford,</w:t>
      </w:r>
      <w:r>
        <w:rPr>
          <w:rFonts w:ascii="Calibri" w:hAnsi="Calibri"/>
          <w:color w:val="231F20"/>
          <w:spacing w:val="-11"/>
          <w:sz w:val="17"/>
        </w:rPr>
        <w:t> </w:t>
      </w:r>
      <w:r>
        <w:rPr>
          <w:rFonts w:ascii="Calibri" w:hAnsi="Calibri"/>
          <w:color w:val="231F20"/>
          <w:sz w:val="17"/>
        </w:rPr>
        <w:t>Oxford</w:t>
      </w:r>
      <w:r>
        <w:rPr>
          <w:rFonts w:ascii="Calibri" w:hAnsi="Calibri"/>
          <w:color w:val="231F20"/>
          <w:spacing w:val="-11"/>
          <w:sz w:val="17"/>
        </w:rPr>
        <w:t> </w:t>
      </w:r>
      <w:r>
        <w:rPr>
          <w:rFonts w:ascii="Calibri" w:hAnsi="Calibri"/>
          <w:color w:val="231F20"/>
          <w:sz w:val="17"/>
        </w:rPr>
        <w:t>University</w:t>
      </w:r>
      <w:r>
        <w:rPr>
          <w:rFonts w:ascii="Calibri" w:hAnsi="Calibri"/>
          <w:color w:val="231F20"/>
          <w:spacing w:val="-12"/>
          <w:sz w:val="17"/>
        </w:rPr>
        <w:t> </w:t>
      </w:r>
      <w:r>
        <w:rPr>
          <w:rFonts w:ascii="Calibri" w:hAnsi="Calibri"/>
          <w:color w:val="231F20"/>
          <w:sz w:val="17"/>
        </w:rPr>
        <w:t>Press,</w:t>
      </w:r>
      <w:r>
        <w:rPr>
          <w:rFonts w:ascii="Calibri" w:hAnsi="Calibri"/>
          <w:color w:val="231F20"/>
          <w:spacing w:val="-11"/>
          <w:sz w:val="17"/>
        </w:rPr>
        <w:t> </w:t>
      </w:r>
      <w:r>
        <w:rPr>
          <w:rFonts w:ascii="Calibri" w:hAnsi="Calibri"/>
          <w:color w:val="231F20"/>
          <w:sz w:val="17"/>
        </w:rPr>
        <w:t>2004,</w:t>
      </w:r>
      <w:r>
        <w:rPr>
          <w:rFonts w:ascii="Calibri" w:hAnsi="Calibri"/>
          <w:color w:val="231F20"/>
          <w:spacing w:val="-11"/>
          <w:sz w:val="17"/>
        </w:rPr>
        <w:t> </w:t>
      </w:r>
      <w:r>
        <w:rPr>
          <w:rFonts w:ascii="Calibri" w:hAnsi="Calibri"/>
          <w:color w:val="231F20"/>
          <w:sz w:val="17"/>
        </w:rPr>
        <w:t>en</w:t>
      </w:r>
      <w:r>
        <w:rPr>
          <w:rFonts w:ascii="Calibri" w:hAnsi="Calibri"/>
          <w:color w:val="231F20"/>
          <w:spacing w:val="-11"/>
          <w:sz w:val="17"/>
        </w:rPr>
        <w:t> </w:t>
      </w:r>
      <w:r>
        <w:rPr>
          <w:rFonts w:ascii="Calibri" w:hAnsi="Calibri"/>
          <w:color w:val="231F20"/>
          <w:sz w:val="17"/>
        </w:rPr>
        <w:t>part.</w:t>
      </w:r>
      <w:r>
        <w:rPr>
          <w:rFonts w:ascii="Calibri" w:hAnsi="Calibri"/>
          <w:color w:val="231F20"/>
          <w:spacing w:val="-11"/>
          <w:sz w:val="17"/>
        </w:rPr>
        <w:t> </w:t>
      </w:r>
      <w:r>
        <w:rPr>
          <w:rFonts w:ascii="Calibri" w:hAnsi="Calibri"/>
          <w:color w:val="231F20"/>
          <w:sz w:val="17"/>
        </w:rPr>
        <w:t>pp.</w:t>
      </w:r>
      <w:r>
        <w:rPr>
          <w:rFonts w:ascii="Calibri" w:hAnsi="Calibri"/>
          <w:color w:val="231F20"/>
          <w:spacing w:val="-12"/>
          <w:sz w:val="17"/>
        </w:rPr>
        <w:t> </w:t>
      </w:r>
      <w:r>
        <w:rPr>
          <w:rFonts w:ascii="Calibri" w:hAnsi="Calibri"/>
          <w:color w:val="231F20"/>
          <w:sz w:val="17"/>
        </w:rPr>
        <w:t>261–262.</w:t>
      </w:r>
    </w:p>
    <w:p>
      <w:pPr>
        <w:spacing w:line="206" w:lineRule="exact" w:before="1"/>
        <w:ind w:left="117" w:right="0" w:firstLine="0"/>
        <w:jc w:val="both"/>
        <w:rPr>
          <w:rFonts w:ascii="Calibri" w:hAnsi="Calibri"/>
          <w:sz w:val="17"/>
        </w:rPr>
      </w:pPr>
      <w:r>
        <w:rPr>
          <w:rFonts w:ascii="Calibri" w:hAnsi="Calibri"/>
          <w:color w:val="231F20"/>
          <w:position w:val="6"/>
          <w:sz w:val="10"/>
        </w:rPr>
        <w:t>87   </w:t>
      </w:r>
      <w:r>
        <w:rPr>
          <w:rFonts w:ascii="Calibri" w:hAnsi="Calibri"/>
          <w:color w:val="231F20"/>
          <w:sz w:val="17"/>
        </w:rPr>
        <w:t>Devetak, “Between Kant and Pufendorf”, p. 167.</w:t>
      </w:r>
    </w:p>
    <w:p>
      <w:pPr>
        <w:spacing w:line="235" w:lineRule="auto" w:before="1"/>
        <w:ind w:left="117" w:right="121" w:firstLine="0"/>
        <w:jc w:val="both"/>
        <w:rPr>
          <w:rFonts w:ascii="Calibri" w:hAnsi="Calibri"/>
          <w:sz w:val="17"/>
        </w:rPr>
      </w:pPr>
      <w:r>
        <w:rPr>
          <w:rFonts w:ascii="Calibri" w:hAnsi="Calibri"/>
          <w:color w:val="231F20"/>
          <w:position w:val="6"/>
          <w:sz w:val="10"/>
        </w:rPr>
        <w:t>88 </w:t>
      </w:r>
      <w:r>
        <w:rPr>
          <w:rFonts w:ascii="Calibri" w:hAnsi="Calibri"/>
          <w:color w:val="231F20"/>
          <w:sz w:val="17"/>
        </w:rPr>
        <w:t>C. Reus–Smit, “Human Rights and the Social Construction of Sovereignty”, </w:t>
      </w:r>
      <w:r>
        <w:rPr>
          <w:rFonts w:ascii="Calibri" w:hAnsi="Calibri"/>
          <w:i/>
          <w:color w:val="231F20"/>
          <w:sz w:val="17"/>
        </w:rPr>
        <w:t>Review of International </w:t>
      </w:r>
      <w:r>
        <w:rPr>
          <w:rFonts w:ascii="Calibri" w:hAnsi="Calibri"/>
          <w:i/>
          <w:color w:val="231F20"/>
          <w:sz w:val="17"/>
        </w:rPr>
        <w:t>Studies</w:t>
      </w:r>
      <w:r>
        <w:rPr>
          <w:rFonts w:ascii="Calibri" w:hAnsi="Calibri"/>
          <w:color w:val="231F20"/>
          <w:sz w:val="17"/>
        </w:rPr>
        <w:t>, vol. 27, 4, 2001.</w:t>
      </w:r>
    </w:p>
    <w:p>
      <w:pPr>
        <w:spacing w:after="0" w:line="235" w:lineRule="auto"/>
        <w:jc w:val="both"/>
        <w:rPr>
          <w:rFonts w:ascii="Calibri" w:hAnsi="Calibri"/>
          <w:sz w:val="17"/>
        </w:rPr>
        <w:sectPr>
          <w:type w:val="continuous"/>
          <w:pgSz w:w="9640" w:h="13890"/>
          <w:pgMar w:top="0" w:bottom="0" w:left="1300" w:right="1180"/>
        </w:sectPr>
      </w:pPr>
    </w:p>
    <w:p>
      <w:pPr>
        <w:pStyle w:val="BodyText"/>
        <w:spacing w:line="244" w:lineRule="auto" w:before="107"/>
        <w:ind w:left="103" w:right="109"/>
        <w:jc w:val="both"/>
      </w:pPr>
      <w:r>
        <w:rPr>
          <w:color w:val="231F20"/>
          <w:spacing w:val="-3"/>
        </w:rPr>
        <w:t>categoriale. </w:t>
      </w:r>
      <w:r>
        <w:rPr>
          <w:color w:val="231F20"/>
        </w:rPr>
        <w:t>Nel </w:t>
      </w:r>
      <w:r>
        <w:rPr>
          <w:color w:val="231F20"/>
          <w:spacing w:val="-4"/>
        </w:rPr>
        <w:t>concludere </w:t>
      </w:r>
      <w:r>
        <w:rPr>
          <w:color w:val="231F20"/>
          <w:spacing w:val="-3"/>
        </w:rPr>
        <w:t>l’itinerario </w:t>
      </w:r>
      <w:r>
        <w:rPr>
          <w:color w:val="231F20"/>
          <w:spacing w:val="-4"/>
        </w:rPr>
        <w:t>proposto </w:t>
      </w:r>
      <w:r>
        <w:rPr>
          <w:color w:val="231F20"/>
        </w:rPr>
        <w:t>in </w:t>
      </w:r>
      <w:r>
        <w:rPr>
          <w:color w:val="231F20"/>
          <w:spacing w:val="-3"/>
        </w:rPr>
        <w:t>queste pagine, </w:t>
      </w:r>
      <w:r>
        <w:rPr>
          <w:color w:val="231F20"/>
        </w:rPr>
        <w:t>mi </w:t>
      </w:r>
      <w:r>
        <w:rPr>
          <w:color w:val="231F20"/>
          <w:spacing w:val="-4"/>
        </w:rPr>
        <w:t>limiterò </w:t>
      </w:r>
      <w:r>
        <w:rPr>
          <w:color w:val="231F20"/>
        </w:rPr>
        <w:t>dunque a ribadire la rilevanza che esso assume ai fini della elaborazione di una concezione della giustizia politica finalmente emancipata dal rigido dispositivo interno/esterno lasciatoci in eredità dal pensiero della prima  età moderna. Come ha scritto Seyla Benhabib è in primo luogo a questo </w:t>
      </w:r>
      <w:r>
        <w:rPr>
          <w:color w:val="231F20"/>
          <w:spacing w:val="2"/>
        </w:rPr>
        <w:t>livello, infatti, </w:t>
      </w:r>
      <w:r>
        <w:rPr>
          <w:color w:val="231F20"/>
        </w:rPr>
        <w:t>che si </w:t>
      </w:r>
      <w:r>
        <w:rPr>
          <w:color w:val="231F20"/>
          <w:spacing w:val="2"/>
        </w:rPr>
        <w:t>gioca </w:t>
      </w:r>
      <w:r>
        <w:rPr>
          <w:color w:val="231F20"/>
        </w:rPr>
        <w:t>la </w:t>
      </w:r>
      <w:r>
        <w:rPr>
          <w:color w:val="231F20"/>
          <w:spacing w:val="2"/>
        </w:rPr>
        <w:t>decisiva partita </w:t>
      </w:r>
      <w:r>
        <w:rPr>
          <w:color w:val="231F20"/>
        </w:rPr>
        <w:t>per la </w:t>
      </w:r>
      <w:r>
        <w:rPr>
          <w:color w:val="231F20"/>
          <w:spacing w:val="2"/>
        </w:rPr>
        <w:t>costruzione </w:t>
      </w:r>
      <w:r>
        <w:rPr>
          <w:color w:val="231F20"/>
        </w:rPr>
        <w:t>di </w:t>
      </w:r>
      <w:r>
        <w:rPr>
          <w:color w:val="231F20"/>
          <w:spacing w:val="3"/>
        </w:rPr>
        <w:t>una </w:t>
      </w:r>
      <w:r>
        <w:rPr>
          <w:color w:val="231F20"/>
        </w:rPr>
        <w:t>forma di </w:t>
      </w:r>
      <w:r>
        <w:rPr>
          <w:rFonts w:ascii="Arial" w:hAnsi="Arial"/>
          <w:i/>
          <w:color w:val="231F20"/>
        </w:rPr>
        <w:t>solidarietà postnazionale</w:t>
      </w:r>
      <w:r>
        <w:rPr>
          <w:color w:val="231F20"/>
        </w:rPr>
        <w:t>, finalmente all’altezza delle grandi sfide poste dall’epoca globale. E da questo punto di vista, anche la questione dell’</w:t>
      </w:r>
      <w:r>
        <w:rPr>
          <w:rFonts w:ascii="Arial" w:hAnsi="Arial"/>
          <w:i/>
          <w:color w:val="231F20"/>
        </w:rPr>
        <w:t>intervento umanitario</w:t>
      </w:r>
      <w:r>
        <w:rPr>
          <w:color w:val="231F20"/>
        </w:rPr>
        <w:t>, con i suoi irrisolti dilemmi normativi, può offrire un decisivo stimolo alla messa in questione di alcune discutibili certezze etico–politiche che ancora contribuiscono a fare della nostra esistenza una mera questione di</w:t>
      </w:r>
      <w:r>
        <w:rPr>
          <w:color w:val="231F20"/>
          <w:spacing w:val="14"/>
        </w:rPr>
        <w:t> </w:t>
      </w:r>
      <w:r>
        <w:rPr>
          <w:color w:val="231F20"/>
        </w:rPr>
        <w:t>confini.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9"/>
        </w:rPr>
      </w:pPr>
    </w:p>
    <w:p>
      <w:pPr>
        <w:tabs>
          <w:tab w:pos="1317" w:val="left" w:leader="none"/>
        </w:tabs>
        <w:spacing w:before="68"/>
        <w:ind w:left="212" w:right="0" w:firstLine="0"/>
        <w:jc w:val="left"/>
        <w:rPr>
          <w:rFonts w:ascii="Calibri"/>
          <w:sz w:val="16"/>
        </w:rPr>
      </w:pPr>
      <w:r>
        <w:rPr/>
        <w:pict>
          <v:group style="position:absolute;margin-left:98.079102pt;margin-top:-3.358812pt;width:20.4pt;height:43pt;mso-position-horizontal-relative:page;mso-position-vertical-relative:paragraph;z-index:-160240" coordorigin="1962,-67" coordsize="408,860">
            <v:line style="position:absolute" from="2211,72" to="2211,788" stroked="true" strokeweight=".35pt" strokecolor="#231f20"/>
            <v:shape style="position:absolute;left:2179;top:-14;width:190;height:445" type="#_x0000_t75" stroked="false">
              <v:imagedata r:id="rId34" o:title=""/>
            </v:shape>
            <v:shape style="position:absolute;left:1962;top:-67;width:250;height:502" type="#_x0000_t75" stroked="false">
              <v:imagedata r:id="rId35" o:title=""/>
            </v:shape>
            <w10:wrap type="none"/>
          </v:group>
        </w:pict>
      </w:r>
      <w:r>
        <w:rPr>
          <w:rFonts w:ascii="Trebuchet MS"/>
          <w:color w:val="414042"/>
          <w:w w:val="105"/>
          <w:position w:val="-4"/>
          <w:sz w:val="20"/>
        </w:rPr>
        <w:t>152</w:t>
        <w:tab/>
      </w:r>
      <w:r>
        <w:rPr>
          <w:rFonts w:ascii="Calibri"/>
          <w:color w:val="6D6E71"/>
          <w:w w:val="105"/>
          <w:sz w:val="16"/>
        </w:rPr>
        <w:t>Luca</w:t>
      </w:r>
      <w:r>
        <w:rPr>
          <w:rFonts w:ascii="Calibri"/>
          <w:color w:val="6D6E71"/>
          <w:spacing w:val="-16"/>
          <w:w w:val="105"/>
          <w:sz w:val="16"/>
        </w:rPr>
        <w:t> </w:t>
      </w:r>
      <w:r>
        <w:rPr>
          <w:rFonts w:ascii="Calibri"/>
          <w:color w:val="6D6E71"/>
          <w:w w:val="105"/>
          <w:sz w:val="16"/>
        </w:rPr>
        <w:t>Scuccimarra</w:t>
      </w:r>
    </w:p>
    <w:p>
      <w:pPr>
        <w:spacing w:after="0"/>
        <w:jc w:val="left"/>
        <w:rPr>
          <w:rFonts w:ascii="Calibri"/>
          <w:sz w:val="16"/>
        </w:rPr>
        <w:sectPr>
          <w:pgSz w:w="9640" w:h="13890"/>
          <w:pgMar w:top="1300" w:bottom="0" w:left="1200" w:right="130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2265"/>
        <w:rPr>
          <w:rFonts w:ascii="Times New Roman"/>
          <w:sz w:val="20"/>
        </w:rPr>
      </w:pPr>
      <w:r>
        <w:rPr>
          <w:rFonts w:ascii="Times New Roman"/>
          <w:sz w:val="20"/>
        </w:rPr>
        <w:pict>
          <v:group style="width:126.85pt;height:68.55pt;mso-position-horizontal-relative:char;mso-position-vertical-relative:line" coordorigin="0,0" coordsize="2537,1371">
            <v:shape style="position:absolute;left:1;top:116;width:410;height:1203" type="#_x0000_t75" stroked="false">
              <v:imagedata r:id="rId49" o:title=""/>
            </v:shape>
            <v:shape style="position:absolute;left:1496;top:189;width:113;height:228" type="#_x0000_t75" stroked="false">
              <v:imagedata r:id="rId50" o:title=""/>
            </v:shape>
            <v:shape style="position:absolute;left:1039;top:244;width:391;height:336" type="#_x0000_t75" stroked="false">
              <v:imagedata r:id="rId51" o:title=""/>
            </v:shape>
            <v:shape style="position:absolute;left:0;top:109;width:1534;height:1252" type="#_x0000_t75" stroked="false">
              <v:imagedata r:id="rId52" o:title=""/>
            </v:shape>
            <v:shape style="position:absolute;left:628;top:819;width:374;height:396" type="#_x0000_t75" stroked="false">
              <v:imagedata r:id="rId53" o:title=""/>
            </v:shape>
            <v:shape style="position:absolute;left:467;top:109;width:654;height:1261" type="#_x0000_t75" stroked="false">
              <v:imagedata r:id="rId54" o:title=""/>
            </v:shape>
            <v:shape style="position:absolute;left:2092;top:24;width:419;height:554" type="#_x0000_t75" stroked="false">
              <v:imagedata r:id="rId55" o:title=""/>
            </v:shape>
            <v:shape style="position:absolute;left:2300;top:13;width:204;height:328" type="#_x0000_t75" stroked="false">
              <v:imagedata r:id="rId56" o:title=""/>
            </v:shape>
            <v:shape style="position:absolute;left:2092;top:735;width:443;height:491" type="#_x0000_t75" stroked="false">
              <v:imagedata r:id="rId57" o:title=""/>
            </v:shape>
            <v:shape style="position:absolute;left:2089;top:844;width:433;height:328" coordorigin="2089,844" coordsize="433,328" path="m2437,844l2420,845,2403,847,2387,851,2371,856,2355,862,2340,869,2324,877,2310,885,2295,894,2281,903,2268,913,2255,924,2242,935,2229,946,2217,957,2205,969,2193,981,2182,993,2170,1006,2159,1019,2149,1032,2138,1045,2128,1058,2118,1072,2108,1085,2099,1099,2089,1114,2090,1124,2091,1132,2091,1140,2092,1148,2092,1158,2093,1171,2098,1165,2097,1165,2093,1163,2097,1158,2097,1148,2097,1139,2097,1132,2097,1123,2096,1117,2095,1117,2096,1115,2097,1115,2105,1103,2114,1090,2124,1076,2134,1063,2145,1050,2155,1037,2166,1024,2177,1012,2188,999,2199,987,2211,975,2223,964,2235,952,2247,941,2260,931,2273,920,2286,910,2300,901,2314,892,2328,884,2343,876,2358,869,2373,863,2389,857,2405,853,2421,850,2437,848,2454,848,2484,848,2476,846,2465,844,2454,844,2437,844xm2097,1158l2093,1163,2097,1165,2097,1158xm2517,937l2476,938,2465,938,2373,943,2357,944,2341,945,2303,949,2292,950,2287,952,2284,953,2282,953,2281,954,2280,954,2279,955,2270,967,2223,1019,2180,1068,2137,1115,2115,1139,2104,1151,2097,1158,2097,1165,2098,1165,2105,1156,2111,1150,2139,1117,2171,1081,2182,1069,2226,1022,2270,974,2284,960,2284,960,2284,959,2284,959,2286,959,2288,958,2291,958,2304,956,2315,955,2406,948,2521,941,2521,939,2517,939,2517,937xm2096,1115l2095,1117,2096,1116,2096,1115xm2096,1116l2095,1117,2096,1117,2096,1116xm2097,1115l2096,1115,2096,1116,2097,1115xm2284,959l2284,959,2284,960,2284,959,2284,959xm2519,937l2517,937,2517,939,2519,937xm2521,937l2519,937,2517,939,2521,939,2521,937xm2484,848l2454,848,2465,848,2476,849,2487,851,2498,853,2508,856,2519,860,2517,913,2517,924,2517,937,2519,937,2521,937,2521,924,2519,860,2509,855,2498,852,2484,848xe" filled="true" fillcolor="#ffffff" stroked="false">
              <v:path arrowok="t"/>
              <v:fill type="solid"/>
            </v:shape>
            <v:shape style="position:absolute;left:1933;top:0;width:605;height:1305" coordorigin="1933,0" coordsize="605,1305" path="m2099,734l2074,734,2078,734,2081,734,2085,735,2088,735,2091,737,2091,737,2092,738,2092,738,2092,739,2092,759,2090,873,2089,896,2089,919,2088,942,2088,987,2088,1033,2088,1079,2090,1125,2091,1147,2092,1170,2093,1182,2094,1193,2095,1205,2096,1216,2097,1227,2099,1239,2101,1250,2103,1261,2105,1269,2106,1276,2109,1283,2111,1291,2114,1298,2119,1304,2119,1304,2115,1297,2112,1290,2110,1283,2108,1276,2106,1268,2105,1261,2103,1250,2101,1238,2100,1227,2099,1216,2098,1204,2097,1193,2096,1182,2095,1170,2095,1159,2094,1147,2094,1124,2093,1079,2093,1033,2093,987,2094,942,2095,919,2096,896,2096,873,2100,759,2100,738,2100,737,2100,735,2099,734xm2500,2l2497,2,2499,3,2497,3,2496,42,2496,134,2496,162,2497,242,2498,323,2502,483,2507,644,2513,804,2520,964,2528,1125,2536,1285,2537,1285,2526,964,2512,562,2509,476,2503,323,2501,242,2500,202,2499,182,2499,134,2499,89,2499,42,2500,2xm2500,0l2128,45,2114,89,2100,132,2087,175,2073,218,2060,260,2047,303,2034,346,2021,389,1996,476,1989,497,1983,519,1977,540,1971,562,1965,584,1960,605,1954,627,1949,649,1946,660,1943,671,1941,682,1939,693,1937,700,1936,708,1935,715,1934,719,1933,727,1933,730,1933,735,1933,743,1937,743,1960,742,1983,741,2006,739,2020,738,1942,738,1937,734,1941,734,1941,730,1942,724,1943,715,1944,709,1947,695,1950,684,1952,673,1955,662,1957,651,1963,629,1968,608,1974,586,1980,564,1992,521,2004,478,2017,435,2029,392,2042,349,2055,306,2081,220,2094,177,2110,122,2120,91,2132,50,2131,50,2133,48,2146,48,2497,3,2497,2,2500,2,2500,0xm1941,734l1937,734,1942,738,1941,734xm2062,726l2051,726,2039,727,2005,730,1983,732,1960,733,1941,734,1942,738,2020,738,2052,735,2063,734,2074,734,2099,734,2097,731,2095,730,2090,728,2088,727,2082,726,2078,726,2062,726xm2133,48l2131,50,2132,50,2133,48xm2132,50l2131,50,2132,50,2132,50xm2146,48l2133,48,2132,50,2146,48xm2497,2l2497,3,2499,3,2497,2xe" filled="true" fillcolor="#231f20" stroked="false">
              <v:path arrowok="t"/>
              <v:fill type="solid"/>
            </v:shape>
            <v:shape style="position:absolute;left:1471;top:191;width:485;height:1094" coordorigin="1471,191" coordsize="485,1094" path="m1530,191l1489,345,1471,510,1472,789,1489,1285,1849,1285,1842,1241,1827,1140,1811,1033,1804,970,1806,949,1823,935,1868,919,1956,894,1884,286,1622,218,1530,191xe" filled="true" fillcolor="#ffffff" stroked="false">
              <v:path arrowok="t"/>
              <v:fill type="solid"/>
            </v:shape>
            <v:shape style="position:absolute;left:1479;top:190;width:482;height:1096" coordorigin="1479,190" coordsize="482,1096" path="m1951,891l1940,894,1925,899,1910,904,1896,909,1881,915,1867,920,1853,927,1839,933,1829,938,1820,944,1812,951,1808,954,1804,958,1802,964,1801,966,1801,971,1801,973,1802,980,1802,985,1802,991,1807,1021,1808,1032,1810,1045,1819,1103,1828,1164,1849,1285,1850,1285,1823,1102,1815,1041,1813,1031,1812,1021,1811,1011,1808,990,1808,985,1808,980,1807,973,1807,969,1807,967,1808,966,1809,962,1813,959,1816,955,1824,949,1833,944,1842,939,1856,933,1870,927,1884,921,1898,916,1913,911,1927,907,1942,902,1957,898,1960,897,1960,894,1952,894,1951,891xm1529,190l1525,208,1521,225,1517,242,1511,275,1509,292,1507,304,1506,315,1504,326,1503,338,1501,349,1500,360,1499,372,1498,383,1497,395,1496,412,1494,429,1493,446,1491,463,1489,497,1487,531,1485,566,1484,600,1482,634,1482,651,1481,668,1480,737,1479,771,1479,788,1479,890,1479,927,1479,955,1479,977,1480,1011,1481,1045,1481,1079,1482,1114,1483,1148,1484,1182,1485,1216,1487,1251,1488,1285,1489,1285,1488,1251,1488,1216,1487,1182,1487,1148,1487,1114,1486,1079,1486,1045,1486,874,1486,805,1487,737,1489,668,1490,600,1491,565,1492,548,1493,514,1494,497,1496,463,1497,445,1498,428,1499,411,1501,383,1503,371,1504,360,1505,349,1506,337,1507,326,1509,315,1510,303,1512,289,1514,275,1517,259,1520,241,1524,224,1528,208,1531,193,1530,193,1532,192,1538,192,1529,190xm1955,890l1951,891,1952,894,1955,890xm1959,890l1955,890,1952,894,1960,894,1959,890xm1887,287l1880,287,1883,290,1880,290,1915,591,1951,891,1955,890,1959,890,1924,590,1887,290,1883,290,1880,289,1887,289,1887,287xm1880,287l1880,289,1883,290,1880,287xm1538,192l1532,192,1531,193,1739,251,1880,289,1880,287,1887,287,1887,284,1740,246,1538,192xm1532,192l1530,193,1531,193,1532,192xe" filled="true" fillcolor="#231f20" stroked="false">
              <v:path arrowok="t"/>
              <v:fill type="solid"/>
            </v:shape>
            <v:shape style="position:absolute;left:1494;top:189;width:420;height:339" type="#_x0000_t75" stroked="false">
              <v:imagedata r:id="rId58" o:title=""/>
            </v:shape>
            <v:shape style="position:absolute;left:1480;top:1023;width:364;height:246" type="#_x0000_t75" stroked="false">
              <v:imagedata r:id="rId59" o:title=""/>
            </v:shape>
            <v:shape style="position:absolute;left:1479;top:190;width:482;height:1096" coordorigin="1479,190" coordsize="482,1096" path="m1951,891l1940,894,1925,899,1910,904,1896,909,1881,915,1867,920,1853,927,1839,933,1829,938,1820,944,1812,951,1808,954,1804,958,1802,964,1801,966,1801,971,1801,973,1802,980,1802,985,1802,991,1807,1021,1808,1032,1810,1045,1819,1103,1828,1164,1849,1285,1850,1285,1823,1102,1815,1041,1813,1031,1812,1021,1811,1011,1808,990,1808,985,1808,980,1807,973,1807,969,1807,967,1808,966,1809,962,1813,959,1816,955,1824,949,1833,944,1842,939,1856,933,1870,927,1884,921,1898,916,1913,911,1927,907,1942,902,1957,898,1960,897,1960,894,1952,894,1951,891xm1529,190l1525,208,1521,225,1517,242,1511,275,1509,292,1507,304,1506,315,1504,326,1503,338,1501,349,1500,360,1499,372,1498,383,1497,395,1496,412,1494,429,1493,446,1491,463,1489,497,1487,531,1485,566,1484,600,1482,634,1482,651,1481,668,1480,737,1479,771,1479,788,1479,890,1479,927,1479,955,1479,977,1480,1011,1481,1045,1481,1079,1482,1114,1483,1148,1484,1182,1485,1216,1487,1251,1488,1285,1489,1285,1488,1251,1488,1216,1487,1182,1487,1148,1487,1114,1486,1079,1486,1045,1486,874,1486,805,1487,737,1489,668,1490,600,1491,565,1492,548,1493,514,1494,497,1496,463,1497,445,1498,428,1499,411,1501,383,1503,371,1504,360,1505,349,1506,337,1507,326,1509,315,1510,303,1512,289,1514,275,1517,259,1520,241,1524,224,1528,208,1531,193,1530,193,1532,192,1538,192,1529,190xm1955,890l1951,891,1952,894,1955,890xm1959,890l1955,890,1952,894,1960,894,1959,890xm1887,287l1880,287,1883,290,1880,290,1915,591,1951,891,1955,890,1959,890,1924,590,1887,290,1883,290,1880,289,1887,289,1887,287xm1880,287l1880,289,1883,290,1880,287xm1538,192l1532,192,1531,193,1739,251,1880,289,1880,287,1887,287,1887,284,1740,246,1538,192xm1532,192l1530,193,1531,193,1532,192xe" filled="true" fillcolor="#231f20" stroked="false">
              <v:path arrowok="t"/>
              <v:fill type="solid"/>
            </v:shape>
          </v:group>
        </w:pict>
      </w:r>
      <w:r>
        <w:rPr>
          <w:rFonts w:ascii="Times New Roman"/>
          <w:sz w:val="20"/>
        </w:rPr>
      </w:r>
    </w:p>
    <w:p>
      <w:pPr>
        <w:pStyle w:val="BodyText"/>
        <w:spacing w:before="4"/>
        <w:rPr>
          <w:rFonts w:ascii="Times New Roman"/>
          <w:sz w:val="15"/>
        </w:rPr>
      </w:pPr>
    </w:p>
    <w:p>
      <w:pPr>
        <w:spacing w:line="220" w:lineRule="exact" w:before="78"/>
        <w:ind w:left="2785" w:right="1860" w:hanging="801"/>
        <w:jc w:val="left"/>
        <w:rPr>
          <w:rFonts w:ascii="Palatino Linotype"/>
          <w:i/>
          <w:sz w:val="20"/>
        </w:rPr>
      </w:pPr>
      <w:r>
        <w:rPr>
          <w:rFonts w:ascii="Palatino Linotype"/>
          <w:i/>
          <w:color w:val="414042"/>
          <w:w w:val="105"/>
          <w:sz w:val="20"/>
        </w:rPr>
        <w:t>El</w:t>
      </w:r>
      <w:r>
        <w:rPr>
          <w:rFonts w:ascii="Palatino Linotype"/>
          <w:i/>
          <w:color w:val="414042"/>
          <w:spacing w:val="-12"/>
          <w:w w:val="105"/>
          <w:sz w:val="20"/>
        </w:rPr>
        <w:t> </w:t>
      </w:r>
      <w:r>
        <w:rPr>
          <w:rFonts w:ascii="Palatino Linotype"/>
          <w:i/>
          <w:color w:val="414042"/>
          <w:w w:val="105"/>
          <w:sz w:val="20"/>
        </w:rPr>
        <w:t>Estado</w:t>
      </w:r>
      <w:r>
        <w:rPr>
          <w:rFonts w:ascii="Palatino Linotype"/>
          <w:i/>
          <w:color w:val="414042"/>
          <w:spacing w:val="-12"/>
          <w:w w:val="105"/>
          <w:sz w:val="20"/>
        </w:rPr>
        <w:t> </w:t>
      </w:r>
      <w:r>
        <w:rPr>
          <w:rFonts w:ascii="Palatino Linotype"/>
          <w:i/>
          <w:color w:val="414042"/>
          <w:w w:val="105"/>
          <w:sz w:val="20"/>
        </w:rPr>
        <w:t>y</w:t>
      </w:r>
      <w:r>
        <w:rPr>
          <w:rFonts w:ascii="Palatino Linotype"/>
          <w:i/>
          <w:color w:val="414042"/>
          <w:spacing w:val="-12"/>
          <w:w w:val="105"/>
          <w:sz w:val="20"/>
        </w:rPr>
        <w:t> </w:t>
      </w:r>
      <w:r>
        <w:rPr>
          <w:rFonts w:ascii="Palatino Linotype"/>
          <w:i/>
          <w:color w:val="414042"/>
          <w:w w:val="105"/>
          <w:sz w:val="20"/>
        </w:rPr>
        <w:t>el</w:t>
      </w:r>
      <w:r>
        <w:rPr>
          <w:rFonts w:ascii="Palatino Linotype"/>
          <w:i/>
          <w:color w:val="414042"/>
          <w:spacing w:val="-12"/>
          <w:w w:val="105"/>
          <w:sz w:val="20"/>
        </w:rPr>
        <w:t> </w:t>
      </w:r>
      <w:r>
        <w:rPr>
          <w:rFonts w:ascii="Palatino Linotype"/>
          <w:i/>
          <w:color w:val="414042"/>
          <w:w w:val="105"/>
          <w:sz w:val="20"/>
        </w:rPr>
        <w:t>espacio</w:t>
      </w:r>
      <w:r>
        <w:rPr>
          <w:rFonts w:ascii="Palatino Linotype"/>
          <w:i/>
          <w:color w:val="414042"/>
          <w:spacing w:val="-12"/>
          <w:w w:val="105"/>
          <w:sz w:val="20"/>
        </w:rPr>
        <w:t> </w:t>
      </w:r>
      <w:r>
        <w:rPr>
          <w:rFonts w:ascii="Palatino Linotype"/>
          <w:i/>
          <w:color w:val="414042"/>
          <w:w w:val="105"/>
          <w:sz w:val="20"/>
        </w:rPr>
        <w:t>global.</w:t>
      </w:r>
      <w:r>
        <w:rPr>
          <w:rFonts w:ascii="Palatino Linotype"/>
          <w:i/>
          <w:color w:val="414042"/>
          <w:spacing w:val="-12"/>
          <w:w w:val="105"/>
          <w:sz w:val="20"/>
        </w:rPr>
        <w:t> </w:t>
      </w:r>
      <w:r>
        <w:rPr>
          <w:rFonts w:ascii="Palatino Linotype"/>
          <w:i/>
          <w:color w:val="414042"/>
          <w:w w:val="105"/>
          <w:sz w:val="20"/>
        </w:rPr>
        <w:t>Lo</w:t>
      </w:r>
      <w:r>
        <w:rPr>
          <w:rFonts w:ascii="Palatino Linotype"/>
          <w:i/>
          <w:color w:val="414042"/>
          <w:spacing w:val="-12"/>
          <w:w w:val="105"/>
          <w:sz w:val="20"/>
        </w:rPr>
        <w:t> </w:t>
      </w:r>
      <w:r>
        <w:rPr>
          <w:rFonts w:ascii="Palatino Linotype"/>
          <w:i/>
          <w:color w:val="414042"/>
          <w:w w:val="105"/>
          <w:sz w:val="20"/>
        </w:rPr>
        <w:t>Stato </w:t>
      </w:r>
      <w:r>
        <w:rPr>
          <w:rFonts w:ascii="Palatino Linotype"/>
          <w:i/>
          <w:color w:val="414042"/>
          <w:w w:val="105"/>
          <w:sz w:val="20"/>
        </w:rPr>
        <w:t>e lo spazio</w:t>
      </w:r>
      <w:r>
        <w:rPr>
          <w:rFonts w:ascii="Palatino Linotype"/>
          <w:i/>
          <w:color w:val="414042"/>
          <w:spacing w:val="-3"/>
          <w:w w:val="105"/>
          <w:sz w:val="20"/>
        </w:rPr>
        <w:t> </w:t>
      </w:r>
      <w:r>
        <w:rPr>
          <w:rFonts w:ascii="Palatino Linotype"/>
          <w:i/>
          <w:color w:val="414042"/>
          <w:w w:val="105"/>
          <w:sz w:val="20"/>
        </w:rPr>
        <w:t>globale</w:t>
      </w:r>
    </w:p>
    <w:p>
      <w:pPr>
        <w:spacing w:line="273" w:lineRule="auto" w:before="132"/>
        <w:ind w:left="1357" w:right="1241" w:firstLine="0"/>
        <w:jc w:val="both"/>
        <w:rPr>
          <w:rFonts w:ascii="Microsoft Sans Serif" w:hAnsi="Microsoft Sans Serif"/>
          <w:sz w:val="17"/>
        </w:rPr>
      </w:pPr>
      <w:r>
        <w:rPr>
          <w:rFonts w:ascii="Microsoft Sans Serif" w:hAnsi="Microsoft Sans Serif"/>
          <w:color w:val="231F20"/>
          <w:sz w:val="17"/>
        </w:rPr>
        <w:t>de</w:t>
      </w:r>
      <w:r>
        <w:rPr>
          <w:rFonts w:ascii="Microsoft Sans Serif" w:hAnsi="Microsoft Sans Serif"/>
          <w:color w:val="231F20"/>
          <w:spacing w:val="-15"/>
          <w:sz w:val="17"/>
        </w:rPr>
        <w:t> </w:t>
      </w:r>
      <w:r>
        <w:rPr>
          <w:rFonts w:ascii="Microsoft Sans Serif" w:hAnsi="Microsoft Sans Serif"/>
          <w:color w:val="231F20"/>
          <w:sz w:val="17"/>
        </w:rPr>
        <w:t>Jorge</w:t>
      </w:r>
      <w:r>
        <w:rPr>
          <w:rFonts w:ascii="Microsoft Sans Serif" w:hAnsi="Microsoft Sans Serif"/>
          <w:color w:val="231F20"/>
          <w:spacing w:val="-15"/>
          <w:sz w:val="17"/>
        </w:rPr>
        <w:t> </w:t>
      </w:r>
      <w:r>
        <w:rPr>
          <w:rFonts w:ascii="Microsoft Sans Serif" w:hAnsi="Microsoft Sans Serif"/>
          <w:color w:val="231F20"/>
          <w:sz w:val="17"/>
        </w:rPr>
        <w:t>Olvera</w:t>
      </w:r>
      <w:r>
        <w:rPr>
          <w:rFonts w:ascii="Microsoft Sans Serif" w:hAnsi="Microsoft Sans Serif"/>
          <w:color w:val="231F20"/>
          <w:spacing w:val="-15"/>
          <w:sz w:val="17"/>
        </w:rPr>
        <w:t> </w:t>
      </w:r>
      <w:r>
        <w:rPr>
          <w:rFonts w:ascii="Microsoft Sans Serif" w:hAnsi="Microsoft Sans Serif"/>
          <w:color w:val="231F20"/>
          <w:sz w:val="17"/>
        </w:rPr>
        <w:t>García</w:t>
      </w:r>
      <w:r>
        <w:rPr>
          <w:rFonts w:ascii="Microsoft Sans Serif" w:hAnsi="Microsoft Sans Serif"/>
          <w:color w:val="231F20"/>
          <w:spacing w:val="-15"/>
          <w:sz w:val="17"/>
        </w:rPr>
        <w:t> </w:t>
      </w:r>
      <w:r>
        <w:rPr>
          <w:rFonts w:ascii="Microsoft Sans Serif" w:hAnsi="Microsoft Sans Serif"/>
          <w:color w:val="231F20"/>
          <w:sz w:val="17"/>
        </w:rPr>
        <w:t>y</w:t>
      </w:r>
      <w:r>
        <w:rPr>
          <w:rFonts w:ascii="Microsoft Sans Serif" w:hAnsi="Microsoft Sans Serif"/>
          <w:color w:val="231F20"/>
          <w:spacing w:val="-15"/>
          <w:sz w:val="17"/>
        </w:rPr>
        <w:t> </w:t>
      </w:r>
      <w:r>
        <w:rPr>
          <w:rFonts w:ascii="Microsoft Sans Serif" w:hAnsi="Microsoft Sans Serif"/>
          <w:color w:val="231F20"/>
          <w:sz w:val="17"/>
        </w:rPr>
        <w:t>Maurizio</w:t>
      </w:r>
      <w:r>
        <w:rPr>
          <w:rFonts w:ascii="Microsoft Sans Serif" w:hAnsi="Microsoft Sans Serif"/>
          <w:color w:val="231F20"/>
          <w:spacing w:val="-15"/>
          <w:sz w:val="17"/>
        </w:rPr>
        <w:t> </w:t>
      </w:r>
      <w:r>
        <w:rPr>
          <w:rFonts w:ascii="Microsoft Sans Serif" w:hAnsi="Microsoft Sans Serif"/>
          <w:color w:val="231F20"/>
          <w:sz w:val="17"/>
        </w:rPr>
        <w:t>Ricciardi,</w:t>
      </w:r>
      <w:r>
        <w:rPr>
          <w:rFonts w:ascii="Microsoft Sans Serif" w:hAnsi="Microsoft Sans Serif"/>
          <w:color w:val="231F20"/>
          <w:spacing w:val="-15"/>
          <w:sz w:val="17"/>
        </w:rPr>
        <w:t> </w:t>
      </w:r>
      <w:r>
        <w:rPr>
          <w:rFonts w:ascii="Microsoft Sans Serif" w:hAnsi="Microsoft Sans Serif"/>
          <w:color w:val="231F20"/>
          <w:sz w:val="17"/>
        </w:rPr>
        <w:t>fue</w:t>
      </w:r>
      <w:r>
        <w:rPr>
          <w:rFonts w:ascii="Microsoft Sans Serif" w:hAnsi="Microsoft Sans Serif"/>
          <w:color w:val="231F20"/>
          <w:spacing w:val="-15"/>
          <w:sz w:val="17"/>
        </w:rPr>
        <w:t> </w:t>
      </w:r>
      <w:r>
        <w:rPr>
          <w:rFonts w:ascii="Microsoft Sans Serif" w:hAnsi="Microsoft Sans Serif"/>
          <w:color w:val="231F20"/>
          <w:sz w:val="17"/>
        </w:rPr>
        <w:t>impreso</w:t>
      </w:r>
      <w:r>
        <w:rPr>
          <w:rFonts w:ascii="Microsoft Sans Serif" w:hAnsi="Microsoft Sans Serif"/>
          <w:color w:val="231F20"/>
          <w:spacing w:val="-15"/>
          <w:sz w:val="17"/>
        </w:rPr>
        <w:t> </w:t>
      </w:r>
      <w:r>
        <w:rPr>
          <w:rFonts w:ascii="Microsoft Sans Serif" w:hAnsi="Microsoft Sans Serif"/>
          <w:color w:val="231F20"/>
          <w:sz w:val="17"/>
        </w:rPr>
        <w:t>en </w:t>
      </w:r>
      <w:r>
        <w:rPr>
          <w:rFonts w:ascii="Microsoft Sans Serif" w:hAnsi="Microsoft Sans Serif"/>
          <w:color w:val="231F20"/>
          <w:w w:val="95"/>
          <w:sz w:val="17"/>
        </w:rPr>
        <w:t>los</w:t>
      </w:r>
      <w:r>
        <w:rPr>
          <w:rFonts w:ascii="Microsoft Sans Serif" w:hAnsi="Microsoft Sans Serif"/>
          <w:color w:val="231F20"/>
          <w:spacing w:val="-12"/>
          <w:w w:val="95"/>
          <w:sz w:val="17"/>
        </w:rPr>
        <w:t> </w:t>
      </w:r>
      <w:r>
        <w:rPr>
          <w:rFonts w:ascii="Microsoft Sans Serif" w:hAnsi="Microsoft Sans Serif"/>
          <w:color w:val="231F20"/>
          <w:w w:val="95"/>
          <w:sz w:val="17"/>
        </w:rPr>
        <w:t>talleres</w:t>
      </w:r>
      <w:r>
        <w:rPr>
          <w:rFonts w:ascii="Microsoft Sans Serif" w:hAnsi="Microsoft Sans Serif"/>
          <w:color w:val="231F20"/>
          <w:spacing w:val="-12"/>
          <w:w w:val="95"/>
          <w:sz w:val="17"/>
        </w:rPr>
        <w:t> </w:t>
      </w:r>
      <w:r>
        <w:rPr>
          <w:rFonts w:ascii="Microsoft Sans Serif" w:hAnsi="Microsoft Sans Serif"/>
          <w:color w:val="231F20"/>
          <w:w w:val="95"/>
          <w:sz w:val="17"/>
        </w:rPr>
        <w:t>de</w:t>
      </w:r>
      <w:r>
        <w:rPr>
          <w:rFonts w:ascii="Microsoft Sans Serif" w:hAnsi="Microsoft Sans Serif"/>
          <w:color w:val="231F20"/>
          <w:spacing w:val="-12"/>
          <w:w w:val="95"/>
          <w:sz w:val="17"/>
        </w:rPr>
        <w:t> </w:t>
      </w:r>
      <w:r>
        <w:rPr>
          <w:rFonts w:ascii="Microsoft Sans Serif" w:hAnsi="Microsoft Sans Serif"/>
          <w:color w:val="231F20"/>
          <w:w w:val="95"/>
          <w:sz w:val="17"/>
        </w:rPr>
        <w:t>Editorial</w:t>
      </w:r>
      <w:r>
        <w:rPr>
          <w:rFonts w:ascii="Microsoft Sans Serif" w:hAnsi="Microsoft Sans Serif"/>
          <w:color w:val="231F20"/>
          <w:spacing w:val="-12"/>
          <w:w w:val="95"/>
          <w:sz w:val="17"/>
        </w:rPr>
        <w:t> </w:t>
      </w:r>
      <w:r>
        <w:rPr>
          <w:rFonts w:ascii="Microsoft Sans Serif" w:hAnsi="Microsoft Sans Serif"/>
          <w:color w:val="231F20"/>
          <w:w w:val="95"/>
          <w:sz w:val="16"/>
        </w:rPr>
        <w:t>CIGOME</w:t>
      </w:r>
      <w:r>
        <w:rPr>
          <w:rFonts w:ascii="Microsoft Sans Serif" w:hAnsi="Microsoft Sans Serif"/>
          <w:color w:val="231F20"/>
          <w:w w:val="95"/>
          <w:sz w:val="17"/>
        </w:rPr>
        <w:t>,</w:t>
      </w:r>
      <w:r>
        <w:rPr>
          <w:rFonts w:ascii="Microsoft Sans Serif" w:hAnsi="Microsoft Sans Serif"/>
          <w:color w:val="231F20"/>
          <w:spacing w:val="-12"/>
          <w:w w:val="95"/>
          <w:sz w:val="17"/>
        </w:rPr>
        <w:t> </w:t>
      </w:r>
      <w:r>
        <w:rPr>
          <w:rFonts w:ascii="Microsoft Sans Serif" w:hAnsi="Microsoft Sans Serif"/>
          <w:color w:val="231F20"/>
          <w:w w:val="95"/>
          <w:sz w:val="17"/>
        </w:rPr>
        <w:t>S.A.</w:t>
      </w:r>
      <w:r>
        <w:rPr>
          <w:rFonts w:ascii="Microsoft Sans Serif" w:hAnsi="Microsoft Sans Serif"/>
          <w:color w:val="231F20"/>
          <w:spacing w:val="-12"/>
          <w:w w:val="95"/>
          <w:sz w:val="17"/>
        </w:rPr>
        <w:t> </w:t>
      </w:r>
      <w:r>
        <w:rPr>
          <w:rFonts w:ascii="Microsoft Sans Serif" w:hAnsi="Microsoft Sans Serif"/>
          <w:color w:val="231F20"/>
          <w:w w:val="95"/>
          <w:sz w:val="17"/>
        </w:rPr>
        <w:t>de</w:t>
      </w:r>
      <w:r>
        <w:rPr>
          <w:rFonts w:ascii="Microsoft Sans Serif" w:hAnsi="Microsoft Sans Serif"/>
          <w:color w:val="231F20"/>
          <w:spacing w:val="-12"/>
          <w:w w:val="95"/>
          <w:sz w:val="17"/>
        </w:rPr>
        <w:t> </w:t>
      </w:r>
      <w:r>
        <w:rPr>
          <w:rFonts w:ascii="Microsoft Sans Serif" w:hAnsi="Microsoft Sans Serif"/>
          <w:color w:val="231F20"/>
          <w:spacing w:val="-6"/>
          <w:w w:val="95"/>
          <w:sz w:val="17"/>
        </w:rPr>
        <w:t>C.V.,</w:t>
      </w:r>
      <w:r>
        <w:rPr>
          <w:rFonts w:ascii="Microsoft Sans Serif" w:hAnsi="Microsoft Sans Serif"/>
          <w:color w:val="231F20"/>
          <w:spacing w:val="-12"/>
          <w:w w:val="95"/>
          <w:sz w:val="17"/>
        </w:rPr>
        <w:t> </w:t>
      </w:r>
      <w:r>
        <w:rPr>
          <w:rFonts w:ascii="Microsoft Sans Serif" w:hAnsi="Microsoft Sans Serif"/>
          <w:color w:val="231F20"/>
          <w:w w:val="95"/>
          <w:sz w:val="17"/>
        </w:rPr>
        <w:t>Vialidad</w:t>
      </w:r>
      <w:r>
        <w:rPr>
          <w:rFonts w:ascii="Microsoft Sans Serif" w:hAnsi="Microsoft Sans Serif"/>
          <w:color w:val="231F20"/>
          <w:spacing w:val="-12"/>
          <w:w w:val="95"/>
          <w:sz w:val="17"/>
        </w:rPr>
        <w:t> </w:t>
      </w:r>
      <w:r>
        <w:rPr>
          <w:rFonts w:ascii="Microsoft Sans Serif" w:hAnsi="Microsoft Sans Serif"/>
          <w:color w:val="231F20"/>
          <w:w w:val="95"/>
          <w:sz w:val="17"/>
        </w:rPr>
        <w:t>Alfredo </w:t>
      </w:r>
      <w:r>
        <w:rPr>
          <w:rFonts w:ascii="Microsoft Sans Serif" w:hAnsi="Microsoft Sans Serif"/>
          <w:color w:val="231F20"/>
          <w:sz w:val="17"/>
        </w:rPr>
        <w:t>del</w:t>
      </w:r>
      <w:r>
        <w:rPr>
          <w:rFonts w:ascii="Microsoft Sans Serif" w:hAnsi="Microsoft Sans Serif"/>
          <w:color w:val="231F20"/>
          <w:spacing w:val="-24"/>
          <w:sz w:val="17"/>
        </w:rPr>
        <w:t> </w:t>
      </w:r>
      <w:r>
        <w:rPr>
          <w:rFonts w:ascii="Microsoft Sans Serif" w:hAnsi="Microsoft Sans Serif"/>
          <w:color w:val="231F20"/>
          <w:spacing w:val="-3"/>
          <w:sz w:val="17"/>
        </w:rPr>
        <w:t>Mazo</w:t>
      </w:r>
      <w:r>
        <w:rPr>
          <w:rFonts w:ascii="Microsoft Sans Serif" w:hAnsi="Microsoft Sans Serif"/>
          <w:color w:val="231F20"/>
          <w:spacing w:val="-24"/>
          <w:sz w:val="17"/>
        </w:rPr>
        <w:t> </w:t>
      </w:r>
      <w:r>
        <w:rPr>
          <w:rFonts w:ascii="Microsoft Sans Serif" w:hAnsi="Microsoft Sans Serif"/>
          <w:color w:val="231F20"/>
          <w:spacing w:val="-3"/>
          <w:sz w:val="17"/>
        </w:rPr>
        <w:t>núm.</w:t>
      </w:r>
      <w:r>
        <w:rPr>
          <w:rFonts w:ascii="Microsoft Sans Serif" w:hAnsi="Microsoft Sans Serif"/>
          <w:color w:val="231F20"/>
          <w:spacing w:val="-24"/>
          <w:sz w:val="17"/>
        </w:rPr>
        <w:t> </w:t>
      </w:r>
      <w:r>
        <w:rPr>
          <w:rFonts w:ascii="Microsoft Sans Serif" w:hAnsi="Microsoft Sans Serif"/>
          <w:color w:val="231F20"/>
          <w:spacing w:val="-3"/>
          <w:sz w:val="17"/>
        </w:rPr>
        <w:t>1524,</w:t>
      </w:r>
      <w:r>
        <w:rPr>
          <w:rFonts w:ascii="Microsoft Sans Serif" w:hAnsi="Microsoft Sans Serif"/>
          <w:color w:val="231F20"/>
          <w:spacing w:val="-24"/>
          <w:sz w:val="17"/>
        </w:rPr>
        <w:t> </w:t>
      </w:r>
      <w:r>
        <w:rPr>
          <w:rFonts w:ascii="Microsoft Sans Serif" w:hAnsi="Microsoft Sans Serif"/>
          <w:color w:val="231F20"/>
          <w:sz w:val="17"/>
        </w:rPr>
        <w:t>ex.</w:t>
      </w:r>
      <w:r>
        <w:rPr>
          <w:rFonts w:ascii="Microsoft Sans Serif" w:hAnsi="Microsoft Sans Serif"/>
          <w:color w:val="231F20"/>
          <w:spacing w:val="-24"/>
          <w:sz w:val="17"/>
        </w:rPr>
        <w:t> </w:t>
      </w:r>
      <w:r>
        <w:rPr>
          <w:rFonts w:ascii="Microsoft Sans Serif" w:hAnsi="Microsoft Sans Serif"/>
          <w:color w:val="231F20"/>
          <w:spacing w:val="-3"/>
          <w:sz w:val="17"/>
        </w:rPr>
        <w:t>Hacienda</w:t>
      </w:r>
      <w:r>
        <w:rPr>
          <w:rFonts w:ascii="Microsoft Sans Serif" w:hAnsi="Microsoft Sans Serif"/>
          <w:color w:val="231F20"/>
          <w:spacing w:val="-24"/>
          <w:sz w:val="17"/>
        </w:rPr>
        <w:t> </w:t>
      </w:r>
      <w:r>
        <w:rPr>
          <w:rFonts w:ascii="Microsoft Sans Serif" w:hAnsi="Microsoft Sans Serif"/>
          <w:color w:val="231F20"/>
          <w:sz w:val="17"/>
        </w:rPr>
        <w:t>La</w:t>
      </w:r>
      <w:r>
        <w:rPr>
          <w:rFonts w:ascii="Microsoft Sans Serif" w:hAnsi="Microsoft Sans Serif"/>
          <w:color w:val="231F20"/>
          <w:spacing w:val="-24"/>
          <w:sz w:val="17"/>
        </w:rPr>
        <w:t> </w:t>
      </w:r>
      <w:r>
        <w:rPr>
          <w:rFonts w:ascii="Microsoft Sans Serif" w:hAnsi="Microsoft Sans Serif"/>
          <w:color w:val="231F20"/>
          <w:spacing w:val="-3"/>
          <w:sz w:val="17"/>
        </w:rPr>
        <w:t>Magdalena</w:t>
      </w:r>
      <w:r>
        <w:rPr>
          <w:rFonts w:ascii="Microsoft Sans Serif" w:hAnsi="Microsoft Sans Serif"/>
          <w:color w:val="231F20"/>
          <w:spacing w:val="-24"/>
          <w:sz w:val="17"/>
        </w:rPr>
        <w:t> </w:t>
      </w:r>
      <w:r>
        <w:rPr>
          <w:rFonts w:ascii="Microsoft Sans Serif" w:hAnsi="Microsoft Sans Serif"/>
          <w:color w:val="231F20"/>
          <w:spacing w:val="-9"/>
          <w:sz w:val="17"/>
        </w:rPr>
        <w:t>C.P.</w:t>
      </w:r>
      <w:r>
        <w:rPr>
          <w:rFonts w:ascii="Microsoft Sans Serif" w:hAnsi="Microsoft Sans Serif"/>
          <w:color w:val="231F20"/>
          <w:spacing w:val="-24"/>
          <w:sz w:val="17"/>
        </w:rPr>
        <w:t> </w:t>
      </w:r>
      <w:r>
        <w:rPr>
          <w:rFonts w:ascii="Microsoft Sans Serif" w:hAnsi="Microsoft Sans Serif"/>
          <w:color w:val="231F20"/>
          <w:spacing w:val="-3"/>
          <w:sz w:val="17"/>
        </w:rPr>
        <w:t>50010, Toluca,</w:t>
      </w:r>
      <w:r>
        <w:rPr>
          <w:rFonts w:ascii="Microsoft Sans Serif" w:hAnsi="Microsoft Sans Serif"/>
          <w:color w:val="231F20"/>
          <w:spacing w:val="-7"/>
          <w:sz w:val="17"/>
        </w:rPr>
        <w:t> </w:t>
      </w:r>
      <w:r>
        <w:rPr>
          <w:rFonts w:ascii="Microsoft Sans Serif" w:hAnsi="Microsoft Sans Serif"/>
          <w:color w:val="231F20"/>
          <w:sz w:val="17"/>
        </w:rPr>
        <w:t>México.</w:t>
      </w:r>
      <w:r>
        <w:rPr>
          <w:rFonts w:ascii="Microsoft Sans Serif" w:hAnsi="Microsoft Sans Serif"/>
          <w:color w:val="231F20"/>
          <w:spacing w:val="-7"/>
          <w:sz w:val="17"/>
        </w:rPr>
        <w:t> </w:t>
      </w:r>
      <w:r>
        <w:rPr>
          <w:rFonts w:ascii="Microsoft Sans Serif" w:hAnsi="Microsoft Sans Serif"/>
          <w:color w:val="231F20"/>
          <w:sz w:val="17"/>
        </w:rPr>
        <w:t>Su</w:t>
      </w:r>
      <w:r>
        <w:rPr>
          <w:rFonts w:ascii="Microsoft Sans Serif" w:hAnsi="Microsoft Sans Serif"/>
          <w:color w:val="231F20"/>
          <w:spacing w:val="-7"/>
          <w:sz w:val="17"/>
        </w:rPr>
        <w:t> </w:t>
      </w:r>
      <w:r>
        <w:rPr>
          <w:rFonts w:ascii="Microsoft Sans Serif" w:hAnsi="Microsoft Sans Serif"/>
          <w:color w:val="231F20"/>
          <w:sz w:val="17"/>
        </w:rPr>
        <w:t>edición</w:t>
      </w:r>
      <w:r>
        <w:rPr>
          <w:rFonts w:ascii="Microsoft Sans Serif" w:hAnsi="Microsoft Sans Serif"/>
          <w:color w:val="231F20"/>
          <w:spacing w:val="-7"/>
          <w:sz w:val="17"/>
        </w:rPr>
        <w:t> </w:t>
      </w:r>
      <w:r>
        <w:rPr>
          <w:rFonts w:ascii="Microsoft Sans Serif" w:hAnsi="Microsoft Sans Serif"/>
          <w:color w:val="231F20"/>
          <w:sz w:val="17"/>
        </w:rPr>
        <w:t>consta</w:t>
      </w:r>
      <w:r>
        <w:rPr>
          <w:rFonts w:ascii="Microsoft Sans Serif" w:hAnsi="Microsoft Sans Serif"/>
          <w:color w:val="231F20"/>
          <w:spacing w:val="-7"/>
          <w:sz w:val="17"/>
        </w:rPr>
        <w:t> </w:t>
      </w:r>
      <w:r>
        <w:rPr>
          <w:rFonts w:ascii="Microsoft Sans Serif" w:hAnsi="Microsoft Sans Serif"/>
          <w:color w:val="231F20"/>
          <w:sz w:val="17"/>
        </w:rPr>
        <w:t>de</w:t>
      </w:r>
      <w:r>
        <w:rPr>
          <w:rFonts w:ascii="Microsoft Sans Serif" w:hAnsi="Microsoft Sans Serif"/>
          <w:color w:val="231F20"/>
          <w:spacing w:val="-7"/>
          <w:sz w:val="17"/>
        </w:rPr>
        <w:t> </w:t>
      </w:r>
      <w:r>
        <w:rPr>
          <w:rFonts w:ascii="Microsoft Sans Serif" w:hAnsi="Microsoft Sans Serif"/>
          <w:color w:val="231F20"/>
          <w:sz w:val="17"/>
        </w:rPr>
        <w:t>1</w:t>
      </w:r>
      <w:r>
        <w:rPr>
          <w:rFonts w:ascii="Microsoft Sans Serif" w:hAnsi="Microsoft Sans Serif"/>
          <w:color w:val="231F20"/>
          <w:spacing w:val="-7"/>
          <w:sz w:val="17"/>
        </w:rPr>
        <w:t> </w:t>
      </w:r>
      <w:r>
        <w:rPr>
          <w:rFonts w:ascii="Microsoft Sans Serif" w:hAnsi="Microsoft Sans Serif"/>
          <w:color w:val="231F20"/>
          <w:sz w:val="17"/>
        </w:rPr>
        <w:t>000</w:t>
      </w:r>
      <w:r>
        <w:rPr>
          <w:rFonts w:ascii="Microsoft Sans Serif" w:hAnsi="Microsoft Sans Serif"/>
          <w:color w:val="231F20"/>
          <w:spacing w:val="-7"/>
          <w:sz w:val="17"/>
        </w:rPr>
        <w:t> </w:t>
      </w:r>
      <w:r>
        <w:rPr>
          <w:rFonts w:ascii="Microsoft Sans Serif" w:hAnsi="Microsoft Sans Serif"/>
          <w:color w:val="231F20"/>
          <w:sz w:val="17"/>
        </w:rPr>
        <w:t>ejemplares.</w:t>
      </w:r>
      <w:r>
        <w:rPr>
          <w:rFonts w:ascii="Microsoft Sans Serif" w:hAnsi="Microsoft Sans Serif"/>
          <w:color w:val="231F20"/>
          <w:spacing w:val="-7"/>
          <w:sz w:val="17"/>
        </w:rPr>
        <w:t> </w:t>
      </w:r>
      <w:r>
        <w:rPr>
          <w:rFonts w:ascii="Microsoft Sans Serif" w:hAnsi="Microsoft Sans Serif"/>
          <w:color w:val="231F20"/>
          <w:sz w:val="17"/>
        </w:rPr>
        <w:t>La </w:t>
      </w:r>
      <w:r>
        <w:rPr>
          <w:rFonts w:ascii="Microsoft Sans Serif" w:hAnsi="Microsoft Sans Serif"/>
          <w:color w:val="231F20"/>
          <w:spacing w:val="-3"/>
          <w:sz w:val="17"/>
        </w:rPr>
        <w:t>edición</w:t>
      </w:r>
      <w:r>
        <w:rPr>
          <w:rFonts w:ascii="Microsoft Sans Serif" w:hAnsi="Microsoft Sans Serif"/>
          <w:color w:val="231F20"/>
          <w:spacing w:val="-27"/>
          <w:sz w:val="17"/>
        </w:rPr>
        <w:t> </w:t>
      </w:r>
      <w:r>
        <w:rPr>
          <w:rFonts w:ascii="Microsoft Sans Serif" w:hAnsi="Microsoft Sans Serif"/>
          <w:color w:val="231F20"/>
          <w:spacing w:val="-3"/>
          <w:sz w:val="17"/>
        </w:rPr>
        <w:t>estuvo</w:t>
      </w:r>
      <w:r>
        <w:rPr>
          <w:rFonts w:ascii="Microsoft Sans Serif" w:hAnsi="Microsoft Sans Serif"/>
          <w:color w:val="231F20"/>
          <w:spacing w:val="-27"/>
          <w:sz w:val="17"/>
        </w:rPr>
        <w:t> </w:t>
      </w:r>
      <w:r>
        <w:rPr>
          <w:rFonts w:ascii="Microsoft Sans Serif" w:hAnsi="Microsoft Sans Serif"/>
          <w:color w:val="231F20"/>
          <w:sz w:val="17"/>
        </w:rPr>
        <w:t>a</w:t>
      </w:r>
      <w:r>
        <w:rPr>
          <w:rFonts w:ascii="Microsoft Sans Serif" w:hAnsi="Microsoft Sans Serif"/>
          <w:color w:val="231F20"/>
          <w:spacing w:val="-27"/>
          <w:sz w:val="17"/>
        </w:rPr>
        <w:t> </w:t>
      </w:r>
      <w:r>
        <w:rPr>
          <w:rFonts w:ascii="Microsoft Sans Serif" w:hAnsi="Microsoft Sans Serif"/>
          <w:color w:val="231F20"/>
          <w:spacing w:val="-3"/>
          <w:sz w:val="17"/>
        </w:rPr>
        <w:t>cargo</w:t>
      </w:r>
      <w:r>
        <w:rPr>
          <w:rFonts w:ascii="Microsoft Sans Serif" w:hAnsi="Microsoft Sans Serif"/>
          <w:color w:val="231F20"/>
          <w:spacing w:val="-27"/>
          <w:sz w:val="17"/>
        </w:rPr>
        <w:t> </w:t>
      </w:r>
      <w:r>
        <w:rPr>
          <w:rFonts w:ascii="Microsoft Sans Serif" w:hAnsi="Microsoft Sans Serif"/>
          <w:color w:val="231F20"/>
          <w:sz w:val="17"/>
        </w:rPr>
        <w:t>de</w:t>
      </w:r>
      <w:r>
        <w:rPr>
          <w:rFonts w:ascii="Microsoft Sans Serif" w:hAnsi="Microsoft Sans Serif"/>
          <w:color w:val="231F20"/>
          <w:spacing w:val="-27"/>
          <w:sz w:val="17"/>
        </w:rPr>
        <w:t> </w:t>
      </w:r>
      <w:r>
        <w:rPr>
          <w:rFonts w:ascii="Microsoft Sans Serif" w:hAnsi="Microsoft Sans Serif"/>
          <w:color w:val="231F20"/>
          <w:sz w:val="17"/>
        </w:rPr>
        <w:t>la</w:t>
      </w:r>
      <w:r>
        <w:rPr>
          <w:rFonts w:ascii="Microsoft Sans Serif" w:hAnsi="Microsoft Sans Serif"/>
          <w:color w:val="231F20"/>
          <w:spacing w:val="-27"/>
          <w:sz w:val="17"/>
        </w:rPr>
        <w:t> </w:t>
      </w:r>
      <w:r>
        <w:rPr>
          <w:rFonts w:ascii="Microsoft Sans Serif" w:hAnsi="Microsoft Sans Serif"/>
          <w:color w:val="231F20"/>
          <w:spacing w:val="-3"/>
          <w:sz w:val="17"/>
        </w:rPr>
        <w:t>Dirección</w:t>
      </w:r>
      <w:r>
        <w:rPr>
          <w:rFonts w:ascii="Microsoft Sans Serif" w:hAnsi="Microsoft Sans Serif"/>
          <w:color w:val="231F20"/>
          <w:spacing w:val="-27"/>
          <w:sz w:val="17"/>
        </w:rPr>
        <w:t> </w:t>
      </w:r>
      <w:r>
        <w:rPr>
          <w:rFonts w:ascii="Microsoft Sans Serif" w:hAnsi="Microsoft Sans Serif"/>
          <w:color w:val="231F20"/>
          <w:sz w:val="17"/>
        </w:rPr>
        <w:t>de</w:t>
      </w:r>
      <w:r>
        <w:rPr>
          <w:rFonts w:ascii="Microsoft Sans Serif" w:hAnsi="Microsoft Sans Serif"/>
          <w:color w:val="231F20"/>
          <w:spacing w:val="-27"/>
          <w:sz w:val="17"/>
        </w:rPr>
        <w:t> </w:t>
      </w:r>
      <w:r>
        <w:rPr>
          <w:rFonts w:ascii="Microsoft Sans Serif" w:hAnsi="Microsoft Sans Serif"/>
          <w:color w:val="231F20"/>
          <w:spacing w:val="-3"/>
          <w:sz w:val="17"/>
        </w:rPr>
        <w:t>Difusión</w:t>
      </w:r>
      <w:r>
        <w:rPr>
          <w:rFonts w:ascii="Microsoft Sans Serif" w:hAnsi="Microsoft Sans Serif"/>
          <w:color w:val="231F20"/>
          <w:spacing w:val="-27"/>
          <w:sz w:val="17"/>
        </w:rPr>
        <w:t> </w:t>
      </w:r>
      <w:r>
        <w:rPr>
          <w:rFonts w:ascii="Microsoft Sans Serif" w:hAnsi="Microsoft Sans Serif"/>
          <w:color w:val="231F20"/>
          <w:sz w:val="17"/>
        </w:rPr>
        <w:t>y</w:t>
      </w:r>
      <w:r>
        <w:rPr>
          <w:rFonts w:ascii="Microsoft Sans Serif" w:hAnsi="Microsoft Sans Serif"/>
          <w:color w:val="231F20"/>
          <w:spacing w:val="-27"/>
          <w:sz w:val="17"/>
        </w:rPr>
        <w:t> </w:t>
      </w:r>
      <w:r>
        <w:rPr>
          <w:rFonts w:ascii="Microsoft Sans Serif" w:hAnsi="Microsoft Sans Serif"/>
          <w:color w:val="231F20"/>
          <w:spacing w:val="-4"/>
          <w:sz w:val="17"/>
        </w:rPr>
        <w:t>Promoción </w:t>
      </w:r>
      <w:r>
        <w:rPr>
          <w:rFonts w:ascii="Microsoft Sans Serif" w:hAnsi="Microsoft Sans Serif"/>
          <w:color w:val="231F20"/>
          <w:sz w:val="17"/>
        </w:rPr>
        <w:t>de</w:t>
      </w:r>
      <w:r>
        <w:rPr>
          <w:rFonts w:ascii="Microsoft Sans Serif" w:hAnsi="Microsoft Sans Serif"/>
          <w:color w:val="231F20"/>
          <w:spacing w:val="-22"/>
          <w:sz w:val="17"/>
        </w:rPr>
        <w:t> </w:t>
      </w:r>
      <w:r>
        <w:rPr>
          <w:rFonts w:ascii="Microsoft Sans Serif" w:hAnsi="Microsoft Sans Serif"/>
          <w:color w:val="231F20"/>
          <w:sz w:val="17"/>
        </w:rPr>
        <w:t>la</w:t>
      </w:r>
      <w:r>
        <w:rPr>
          <w:rFonts w:ascii="Microsoft Sans Serif" w:hAnsi="Microsoft Sans Serif"/>
          <w:color w:val="231F20"/>
          <w:spacing w:val="-22"/>
          <w:sz w:val="17"/>
        </w:rPr>
        <w:t> </w:t>
      </w:r>
      <w:r>
        <w:rPr>
          <w:rFonts w:ascii="Microsoft Sans Serif" w:hAnsi="Microsoft Sans Serif"/>
          <w:color w:val="231F20"/>
          <w:sz w:val="17"/>
        </w:rPr>
        <w:t>Investigación</w:t>
      </w:r>
      <w:r>
        <w:rPr>
          <w:rFonts w:ascii="Microsoft Sans Serif" w:hAnsi="Microsoft Sans Serif"/>
          <w:color w:val="231F20"/>
          <w:spacing w:val="-22"/>
          <w:sz w:val="17"/>
        </w:rPr>
        <w:t> </w:t>
      </w:r>
      <w:r>
        <w:rPr>
          <w:rFonts w:ascii="Microsoft Sans Serif" w:hAnsi="Microsoft Sans Serif"/>
          <w:color w:val="231F20"/>
          <w:sz w:val="17"/>
        </w:rPr>
        <w:t>y</w:t>
      </w:r>
      <w:r>
        <w:rPr>
          <w:rFonts w:ascii="Microsoft Sans Serif" w:hAnsi="Microsoft Sans Serif"/>
          <w:color w:val="231F20"/>
          <w:spacing w:val="-22"/>
          <w:sz w:val="17"/>
        </w:rPr>
        <w:t> </w:t>
      </w:r>
      <w:r>
        <w:rPr>
          <w:rFonts w:ascii="Microsoft Sans Serif" w:hAnsi="Microsoft Sans Serif"/>
          <w:color w:val="231F20"/>
          <w:sz w:val="17"/>
        </w:rPr>
        <w:t>los</w:t>
      </w:r>
      <w:r>
        <w:rPr>
          <w:rFonts w:ascii="Microsoft Sans Serif" w:hAnsi="Microsoft Sans Serif"/>
          <w:color w:val="231F20"/>
          <w:spacing w:val="-22"/>
          <w:sz w:val="17"/>
        </w:rPr>
        <w:t> </w:t>
      </w:r>
      <w:r>
        <w:rPr>
          <w:rFonts w:ascii="Microsoft Sans Serif" w:hAnsi="Microsoft Sans Serif"/>
          <w:color w:val="231F20"/>
          <w:sz w:val="17"/>
        </w:rPr>
        <w:t>Estudios</w:t>
      </w:r>
      <w:r>
        <w:rPr>
          <w:rFonts w:ascii="Microsoft Sans Serif" w:hAnsi="Microsoft Sans Serif"/>
          <w:color w:val="231F20"/>
          <w:spacing w:val="-22"/>
          <w:sz w:val="17"/>
        </w:rPr>
        <w:t> </w:t>
      </w:r>
      <w:r>
        <w:rPr>
          <w:rFonts w:ascii="Microsoft Sans Serif" w:hAnsi="Microsoft Sans Serif"/>
          <w:color w:val="231F20"/>
          <w:sz w:val="17"/>
        </w:rPr>
        <w:t>Avanzados.</w:t>
      </w:r>
    </w:p>
    <w:p>
      <w:pPr>
        <w:pStyle w:val="BodyText"/>
        <w:spacing w:before="5"/>
        <w:rPr>
          <w:rFonts w:ascii="Microsoft Sans Serif"/>
          <w:sz w:val="19"/>
        </w:rPr>
      </w:pPr>
    </w:p>
    <w:p>
      <w:pPr>
        <w:spacing w:line="273" w:lineRule="auto" w:before="0"/>
        <w:ind w:left="1357" w:right="1241" w:firstLine="0"/>
        <w:jc w:val="both"/>
        <w:rPr>
          <w:rFonts w:ascii="Microsoft Sans Serif" w:hAnsi="Microsoft Sans Serif"/>
          <w:sz w:val="17"/>
        </w:rPr>
      </w:pPr>
      <w:r>
        <w:rPr>
          <w:rFonts w:ascii="Microsoft Sans Serif" w:hAnsi="Microsoft Sans Serif"/>
          <w:color w:val="231F20"/>
          <w:sz w:val="17"/>
        </w:rPr>
        <w:t>Diseño</w:t>
      </w:r>
      <w:r>
        <w:rPr>
          <w:rFonts w:ascii="Microsoft Sans Serif" w:hAnsi="Microsoft Sans Serif"/>
          <w:color w:val="231F20"/>
          <w:spacing w:val="-27"/>
          <w:sz w:val="17"/>
        </w:rPr>
        <w:t> </w:t>
      </w:r>
      <w:r>
        <w:rPr>
          <w:rFonts w:ascii="Microsoft Sans Serif" w:hAnsi="Microsoft Sans Serif"/>
          <w:color w:val="231F20"/>
          <w:sz w:val="17"/>
        </w:rPr>
        <w:t>de</w:t>
      </w:r>
      <w:r>
        <w:rPr>
          <w:rFonts w:ascii="Microsoft Sans Serif" w:hAnsi="Microsoft Sans Serif"/>
          <w:color w:val="231F20"/>
          <w:spacing w:val="-27"/>
          <w:sz w:val="17"/>
        </w:rPr>
        <w:t> </w:t>
      </w:r>
      <w:r>
        <w:rPr>
          <w:rFonts w:ascii="Microsoft Sans Serif" w:hAnsi="Microsoft Sans Serif"/>
          <w:color w:val="231F20"/>
          <w:sz w:val="17"/>
        </w:rPr>
        <w:t>forros</w:t>
      </w:r>
      <w:r>
        <w:rPr>
          <w:rFonts w:ascii="Microsoft Sans Serif" w:hAnsi="Microsoft Sans Serif"/>
          <w:color w:val="231F20"/>
          <w:spacing w:val="-27"/>
          <w:sz w:val="17"/>
        </w:rPr>
        <w:t> </w:t>
      </w:r>
      <w:r>
        <w:rPr>
          <w:rFonts w:ascii="Microsoft Sans Serif" w:hAnsi="Microsoft Sans Serif"/>
          <w:color w:val="231F20"/>
          <w:sz w:val="17"/>
        </w:rPr>
        <w:t>e</w:t>
      </w:r>
      <w:r>
        <w:rPr>
          <w:rFonts w:ascii="Microsoft Sans Serif" w:hAnsi="Microsoft Sans Serif"/>
          <w:color w:val="231F20"/>
          <w:spacing w:val="-27"/>
          <w:sz w:val="17"/>
        </w:rPr>
        <w:t> </w:t>
      </w:r>
      <w:r>
        <w:rPr>
          <w:rFonts w:ascii="Microsoft Sans Serif" w:hAnsi="Microsoft Sans Serif"/>
          <w:color w:val="231F20"/>
          <w:sz w:val="17"/>
        </w:rPr>
        <w:t>interiores:</w:t>
      </w:r>
      <w:r>
        <w:rPr>
          <w:rFonts w:ascii="Microsoft Sans Serif" w:hAnsi="Microsoft Sans Serif"/>
          <w:color w:val="231F20"/>
          <w:spacing w:val="-27"/>
          <w:sz w:val="17"/>
        </w:rPr>
        <w:t> </w:t>
      </w:r>
      <w:r>
        <w:rPr>
          <w:rFonts w:ascii="Microsoft Sans Serif" w:hAnsi="Microsoft Sans Serif"/>
          <w:color w:val="231F20"/>
          <w:sz w:val="17"/>
        </w:rPr>
        <w:t>Cristina</w:t>
      </w:r>
      <w:r>
        <w:rPr>
          <w:rFonts w:ascii="Microsoft Sans Serif" w:hAnsi="Microsoft Sans Serif"/>
          <w:color w:val="231F20"/>
          <w:spacing w:val="-27"/>
          <w:sz w:val="17"/>
        </w:rPr>
        <w:t> </w:t>
      </w:r>
      <w:r>
        <w:rPr>
          <w:rFonts w:ascii="Microsoft Sans Serif" w:hAnsi="Microsoft Sans Serif"/>
          <w:color w:val="231F20"/>
          <w:sz w:val="17"/>
        </w:rPr>
        <w:t>Mireles</w:t>
      </w:r>
      <w:r>
        <w:rPr>
          <w:rFonts w:ascii="Microsoft Sans Serif" w:hAnsi="Microsoft Sans Serif"/>
          <w:color w:val="231F20"/>
          <w:spacing w:val="-27"/>
          <w:sz w:val="17"/>
        </w:rPr>
        <w:t> </w:t>
      </w:r>
      <w:r>
        <w:rPr>
          <w:rFonts w:ascii="Microsoft Sans Serif" w:hAnsi="Microsoft Sans Serif"/>
          <w:color w:val="231F20"/>
          <w:sz w:val="17"/>
        </w:rPr>
        <w:t>Arriaga,</w:t>
      </w:r>
      <w:r>
        <w:rPr>
          <w:rFonts w:ascii="Microsoft Sans Serif" w:hAnsi="Microsoft Sans Serif"/>
          <w:color w:val="231F20"/>
          <w:spacing w:val="-27"/>
          <w:sz w:val="17"/>
        </w:rPr>
        <w:t> </w:t>
      </w:r>
      <w:r>
        <w:rPr>
          <w:rFonts w:ascii="Microsoft Sans Serif" w:hAnsi="Microsoft Sans Serif"/>
          <w:color w:val="231F20"/>
          <w:sz w:val="17"/>
        </w:rPr>
        <w:t>Nancy Huerta</w:t>
      </w:r>
      <w:r>
        <w:rPr>
          <w:rFonts w:ascii="Microsoft Sans Serif" w:hAnsi="Microsoft Sans Serif"/>
          <w:color w:val="231F20"/>
          <w:spacing w:val="-27"/>
          <w:sz w:val="17"/>
        </w:rPr>
        <w:t> </w:t>
      </w:r>
      <w:r>
        <w:rPr>
          <w:rFonts w:ascii="Microsoft Sans Serif" w:hAnsi="Microsoft Sans Serif"/>
          <w:color w:val="231F20"/>
          <w:sz w:val="17"/>
        </w:rPr>
        <w:t>Vázquez</w:t>
      </w:r>
      <w:r>
        <w:rPr>
          <w:rFonts w:ascii="Microsoft Sans Serif" w:hAnsi="Microsoft Sans Serif"/>
          <w:color w:val="231F20"/>
          <w:spacing w:val="-27"/>
          <w:sz w:val="17"/>
        </w:rPr>
        <w:t> </w:t>
      </w:r>
      <w:r>
        <w:rPr>
          <w:rFonts w:ascii="Microsoft Sans Serif" w:hAnsi="Microsoft Sans Serif"/>
          <w:color w:val="231F20"/>
          <w:sz w:val="17"/>
        </w:rPr>
        <w:t>y</w:t>
      </w:r>
      <w:r>
        <w:rPr>
          <w:rFonts w:ascii="Microsoft Sans Serif" w:hAnsi="Microsoft Sans Serif"/>
          <w:color w:val="231F20"/>
          <w:spacing w:val="-27"/>
          <w:sz w:val="17"/>
        </w:rPr>
        <w:t> </w:t>
      </w:r>
      <w:r>
        <w:rPr>
          <w:rFonts w:ascii="Microsoft Sans Serif" w:hAnsi="Microsoft Sans Serif"/>
          <w:color w:val="231F20"/>
          <w:sz w:val="17"/>
        </w:rPr>
        <w:t>Juan</w:t>
      </w:r>
      <w:r>
        <w:rPr>
          <w:rFonts w:ascii="Microsoft Sans Serif" w:hAnsi="Microsoft Sans Serif"/>
          <w:color w:val="231F20"/>
          <w:spacing w:val="-27"/>
          <w:sz w:val="17"/>
        </w:rPr>
        <w:t> </w:t>
      </w:r>
      <w:r>
        <w:rPr>
          <w:rFonts w:ascii="Microsoft Sans Serif" w:hAnsi="Microsoft Sans Serif"/>
          <w:color w:val="231F20"/>
          <w:sz w:val="17"/>
        </w:rPr>
        <w:t>Manuel</w:t>
      </w:r>
      <w:r>
        <w:rPr>
          <w:rFonts w:ascii="Microsoft Sans Serif" w:hAnsi="Microsoft Sans Serif"/>
          <w:color w:val="231F20"/>
          <w:spacing w:val="-27"/>
          <w:sz w:val="17"/>
        </w:rPr>
        <w:t> </w:t>
      </w:r>
      <w:r>
        <w:rPr>
          <w:rFonts w:ascii="Microsoft Sans Serif" w:hAnsi="Microsoft Sans Serif"/>
          <w:color w:val="231F20"/>
          <w:sz w:val="17"/>
        </w:rPr>
        <w:t>García</w:t>
      </w:r>
      <w:r>
        <w:rPr>
          <w:rFonts w:ascii="Microsoft Sans Serif" w:hAnsi="Microsoft Sans Serif"/>
          <w:color w:val="231F20"/>
          <w:spacing w:val="-27"/>
          <w:sz w:val="17"/>
        </w:rPr>
        <w:t> </w:t>
      </w:r>
      <w:r>
        <w:rPr>
          <w:rFonts w:ascii="Microsoft Sans Serif" w:hAnsi="Microsoft Sans Serif"/>
          <w:color w:val="231F20"/>
          <w:sz w:val="17"/>
        </w:rPr>
        <w:t>Guerrero</w:t>
      </w:r>
    </w:p>
    <w:p>
      <w:pPr>
        <w:spacing w:after="0" w:line="273" w:lineRule="auto"/>
        <w:jc w:val="both"/>
        <w:rPr>
          <w:rFonts w:ascii="Microsoft Sans Serif" w:hAnsi="Microsoft Sans Serif"/>
          <w:sz w:val="17"/>
        </w:rPr>
        <w:sectPr>
          <w:pgSz w:w="9640" w:h="13890"/>
          <w:pgMar w:top="130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spacing w:before="4"/>
        <w:rPr>
          <w:rFonts w:ascii="Times New Roman"/>
          <w:sz w:val="17"/>
        </w:rPr>
      </w:pPr>
      <w:r>
        <w:rPr/>
        <w:pict>
          <v:group style="position:absolute;margin-left:-.0066pt;margin-top:-1.024971pt;width:482.95pt;height:696.55pt;mso-position-horizontal-relative:page;mso-position-vertical-relative:page;z-index:-160192" coordorigin="0,-20" coordsize="9659,13931">
            <v:shape style="position:absolute;left:21;top:623;width:3389;height:3386" coordorigin="21,623" coordsize="3389,3386" path="m2116,623l21,3917,21,4008,3409,1514,2116,623xe" filled="true" fillcolor="#00b2ca" stroked="false">
              <v:path arrowok="t"/>
              <v:fill type="solid"/>
            </v:shape>
            <v:shape style="position:absolute;left:21;top:603;width:3397;height:3411" coordorigin="21,603" coordsize="3397,3411" path="m3397,1514l3132,1710,1587,2832,777,3433,21,4003,21,4013,795,3456,1609,2862,3140,1720,3413,1520,3405,1520,3397,1514xm2117,603l2106,605,2101,613,1547,1478,997,2344,451,3214,180,3650,21,3908,21,3926,196,3660,475,3229,1032,2366,1583,1500,2121,648,2106,637,2131,632,2160,632,2126,608,2117,603xm3405,1509l3397,1514,3405,1520,3405,1509xm3414,1509l3405,1509,3405,1520,3413,1520,3414,1519,3415,1519,3417,1515,3417,1511,3414,1509xm2160,632l2131,632,2121,648,3397,1514,3405,1509,3414,1509,2160,632xm2131,632l2106,637,2121,648,2131,632xe" filled="true" fillcolor="#a9abae" stroked="false">
              <v:path arrowok="t"/>
              <v:fill type="solid"/>
            </v:shape>
            <v:shape style="position:absolute;left:20;top:0;width:610;height:3631" coordorigin="20,0" coordsize="610,3631" path="m630,0l20,0,20,3631,139,2939,192,2631,241,2346,286,2084,327,1843,364,1622,398,1421,429,1237,457,1071,482,920,505,783,525,660,543,550,560,450,574,361,587,280,598,208,609,142,618,81,630,0xe" filled="true" fillcolor="#5b4b9f" stroked="false">
              <v:path arrowok="t"/>
              <v:fill type="solid"/>
            </v:shape>
            <v:shape style="position:absolute;left:20;top:0;width:610;height:3631" coordorigin="20,0" coordsize="610,3631" path="m20,0l20,3631,52,3448,82,3272,111,3102,139,2939,166,2782,192,2631,217,2485,241,2346,264,2212,286,2084,306,1961,327,1843,346,1730,364,1622,381,1519,398,1421,414,1327,429,1237,443,1152,457,1071,470,993,482,920,494,850,505,783,515,720,525,660,543,550,560,450,574,361,587,280,598,208,609,142,618,81,626,25,630,0e" filled="false" stroked="true" strokeweight="2.037pt" strokecolor="#a9abae">
              <v:path arrowok="t"/>
            </v:shape>
            <v:shape style="position:absolute;left:21;top:0;width:2096;height:3918" coordorigin="21,0" coordsize="2096,3918" path="m1196,0l621,0,614,52,604,113,594,180,583,253,570,334,556,424,540,524,522,636,502,760,479,897,454,1049,426,1217,396,1402,362,1605,325,1827,284,2070,239,2334,191,2621,139,2931,21,3628,21,3917,2116,623,1865,462,1662,327,1400,145,1196,0xe" filled="true" fillcolor="#a1cd3f" stroked="false">
              <v:path arrowok="t"/>
              <v:fill type="solid"/>
            </v:shape>
            <v:shape style="position:absolute;left:21;top:0;width:2119;height:3933" coordorigin="21,0" coordsize="2119,3933" path="m21,3915l21,3933,31,3917,29,3917,21,3915xm29,3889l21,3902,21,3915,29,3917,29,3889xm2093,628l1837,1024,1312,1847,790,2672,29,3889,29,3917,31,3917,822,2692,1349,1870,1871,1045,2127,637,2107,637,2093,628xm630,0l611,0,599,77,589,136,580,195,570,255,560,314,520,550,481,787,400,1260,361,1496,322,1733,309,1812,296,1891,284,1970,271,2049,258,2128,246,2207,171,2681,158,2760,146,2839,133,2918,107,3075,94,3154,84,3213,74,3273,64,3332,21,3587,21,3902,29,3889,28,3630,28,3630,77,3334,87,3275,97,3216,107,3156,121,3078,148,2920,162,2841,176,2762,190,2684,302,2054,316,1975,330,1896,344,1818,357,1739,397,1502,436,1266,513,792,549,555,585,318,594,258,603,199,611,139,619,80,630,0xm28,3629l28,3630,28,3630,28,3629xm28,3628l28,3628,28,3629,28,3628xm2102,614l2093,628,2107,637,2102,614xm2134,614l2102,614,2107,637,2127,637,2139,617,2134,614xm1209,0l1188,0,1427,172,1462,197,1818,444,2034,589,2093,628,2102,614,2134,614,2016,538,1835,420,1474,180,1209,0xe" filled="true" fillcolor="#a9abae" stroked="false">
              <v:path arrowok="t"/>
              <v:fill type="solid"/>
            </v:shape>
            <v:shape style="position:absolute;left:21;top:1517;width:5271;height:2523" coordorigin="21,1517" coordsize="5271,2523" path="m3418,1517l21,4022,21,4039,5291,2768,3418,1517xe" filled="true" fillcolor="#f1666e" stroked="false">
              <v:path arrowok="t"/>
              <v:fill type="solid"/>
            </v:shape>
            <v:shape style="position:absolute;left:21;top:1514;width:5320;height:2533" coordorigin="21,1514" coordsize="5320,2533" path="m21,4033l21,4047,53,4039,29,4039,21,4033xm29,4029l21,4031,21,4033,29,4039,29,4029xm5243,2759l29,4029,29,4039,53,4039,5308,2784,5280,2784,5243,2759xm3418,1514l2969,1837,1496,2911,21,4012,21,4031,29,4029,29,4028,25,4028,29,4022,34,4022,1518,2940,2999,1837,3418,1519,3426,1519,3418,1514xm29,4022l25,4028,29,4026,29,4022xm29,4026l25,4028,29,4028,29,4026xm34,4022l29,4022,29,4026,34,4022xm5287,2749l5243,2759,5280,2784,5287,2749xm5298,2749l5287,2749,5280,2784,5308,2784,5340,2776,5298,2749xm3426,1519l3418,1519,3882,1837,5243,2759,5287,2749,5298,2749,3913,1837,3426,1519xe" filled="true" fillcolor="#a9abae" stroked="false">
              <v:path arrowok="t"/>
              <v:fill type="solid"/>
            </v:shape>
            <v:shape style="position:absolute;left:20;top:7566;width:6558;height:1886" coordorigin="20,7566" coordsize="6558,1886" path="m5086,7566l4891,7568,4688,7573,4477,7583,4258,7596,4031,7613,3715,7642,3385,7679,3038,7723,2676,7776,2297,7838,1799,7927,1275,8031,722,8150,20,8314,20,9452,430,9269,813,9104,1222,8936,1581,8795,1952,8656,2336,8519,2649,8413,2968,8311,3290,8213,3534,8144,3779,8078,4025,8016,4271,7958,4517,7905,4680,7872,4844,7842,5007,7814,5169,7789,5330,7767,5491,7747,5650,7730,5809,7717,5966,7706,6044,7702,6121,7699,6198,7696,6275,7695,6562,7694,6490,7680,6399,7664,6306,7649,6209,7635,6110,7623,6009,7611,5904,7601,5796,7592,5686,7584,5514,7575,5336,7569,5150,7566,5086,7566xm6562,7694l6352,7694,6428,7694,6503,7695,6578,7697,6562,7694xe" filled="true" fillcolor="#5b4b9f" stroked="false">
              <v:path arrowok="t"/>
              <v:fill type="solid"/>
            </v:shape>
            <v:shape style="position:absolute;left:20;top:7566;width:6558;height:1886" coordorigin="20,7566" coordsize="6558,1886" path="m6578,7697l6490,7680,6399,7664,6306,7649,6209,7635,6110,7623,6009,7611,5904,7601,5796,7592,5686,7584,5572,7578,5455,7573,5336,7569,5275,7568,5213,7567,5150,7566,5086,7566,5022,7566,4957,7567,4891,7568,4824,7569,4756,7571,4688,7573,4618,7576,4548,7579,4477,7583,4405,7587,4332,7591,4258,7596,4183,7601,4108,7607,4031,7613,3954,7619,3875,7626,3796,7634,3715,7642,3634,7650,3552,7659,3469,7669,3385,7679,3300,7689,3213,7700,3126,7711,3038,7723,2949,7736,2859,7749,2768,7762,2676,7776,2583,7791,2488,7806,2393,7822,2297,7838,2200,7855,2101,7872,2002,7890,1901,7908,1799,7927,1697,7947,1593,7967,1488,7988,1382,8009,1275,8031,1166,8054,1057,8077,946,8101,835,8125,722,8150,608,8176,493,8202,376,8229,259,8257,140,8285,20,8314,20,9452,76,9426,133,9401,191,9375,249,9349,309,9322,369,9296,430,9269,492,9242,555,9215,618,9187,682,9160,747,9132,813,9104,880,9077,947,9049,1015,9021,1083,8993,1153,8964,1222,8936,1293,8908,1364,8880,1436,8852,1508,8824,1581,8795,1654,8767,1728,8739,1802,8711,1877,8683,1952,8656,2028,8628,2104,8601,2181,8573,2258,8546,2336,8519,2413,8492,2492,8465,2570,8439,2649,8413,2728,8387,2808,8361,2888,8336,2968,8311,3048,8286,3128,8261,3209,8237,3290,8213,3371,8190,3452,8166,3534,8144,3615,8121,3697,8099,3779,8078,3861,8057,3943,8036,4025,8016,4107,7996,4189,7977,4271,7958,4353,7940,4435,7922,4517,7905,4599,7888,4680,7872,4762,7857,4844,7842,4925,7828,5007,7814,5088,7802,5169,7789,5250,7778,5330,7767,5411,7757,5491,7747,5571,7738,5650,7730,5730,7723,5809,7717,5887,7711,5966,7706,6044,7702,6121,7699,6198,7696,6275,7695,6352,7694,6428,7694,6503,7695,6578,7697xe" filled="false" stroked="true" strokeweight="2.037pt" strokecolor="#a9abae">
              <v:path arrowok="t"/>
            </v:shape>
            <v:shape style="position:absolute;left:20;top:4817;width:8083;height:3085" coordorigin="20,4817" coordsize="8083,3085" path="m5463,4817l5390,4817,5317,4818,5242,4819,5166,4822,5009,4829,4846,4840,4678,4854,4504,4872,4323,4894,4136,4919,3943,4949,3743,4982,3536,5020,3323,5063,3103,5110,2875,5162,2520,5248,2148,5346,1759,5456,1352,5578,927,5713,483,5861,20,6022,20,7902,926,7436,1494,7154,1939,6941,2396,6730,2784,6559,3098,6426,3415,6297,3653,6204,3892,6115,4130,6029,4368,5948,4606,5872,4763,5824,4920,5778,5077,5734,5232,5694,5386,5656,5540,5621,5692,5589,5843,5560,5918,5547,5993,5534,6067,5523,6141,5512,6214,5502,6287,5493,6360,5485,6432,5478,6503,5471,6575,5466,6645,5462,6715,5458,6785,5456,6854,5454,7793,5454,7742,5421,7687,5387,7630,5352,7601,5335,7571,5318,7541,5301,7510,5284,7479,5267,7447,5250,7414,5233,7381,5216,7347,5199,7312,5183,7277,5166,7241,5150,7204,5134,7167,5118,7128,5103,7089,5087,7049,5072,7008,5057,6967,5043,6924,5028,6881,5014,6837,5001,6792,4987,6746,4975,6699,4962,6651,4950,6602,4938,6552,4927,6501,4916,6449,4906,6396,4896,6342,4887,6287,4878,6230,4869,6173,4862,6114,4854,6055,4848,5994,4842,5932,4836,5869,4831,5804,4827,5738,4824,5671,4821,5603,4819,5534,4818,5463,4817xm7793,5454l6923,5454,6991,5455,7058,5456,7125,5459,7191,5463,7257,5468,7322,5473,7386,5481,7450,5489,7513,5498,7575,5509,7637,5520,7698,5533,7758,5547,7818,5563,7876,5579,7934,5597,7991,5616,8048,5636,8103,5658,8059,5629,7820,5471,7793,5454xe" filled="true" fillcolor="#00b2ca" stroked="false">
              <v:path arrowok="t"/>
              <v:fill type="solid"/>
            </v:shape>
            <v:shape style="position:absolute;left:20;top:4817;width:8083;height:3085" coordorigin="20,4817" coordsize="8083,3085" path="m8103,5658l8036,5615,7967,5569,7944,5553,7920,5537,7846,5488,7794,5455,7742,5421,7687,5387,7630,5352,7571,5318,7510,5284,7447,5250,7381,5216,7312,5183,7241,5150,7167,5118,7089,5087,7008,5057,6924,5028,6837,5001,6746,4975,6651,4950,6552,4927,6449,4906,6342,4887,6230,4869,6114,4854,6055,4848,5994,4842,5932,4836,5869,4831,5804,4827,5738,4824,5671,4821,5603,4819,5534,4818,5463,4817,5390,4817,5317,4818,5242,4819,5166,4822,5088,4825,5009,4829,4928,4834,4846,4840,4763,4847,4678,4854,4592,4863,4504,4872,4414,4882,4323,4894,4230,4906,4136,4919,4040,4933,3943,4949,3844,4965,3743,4982,3641,5001,3536,5020,3431,5041,3323,5063,3214,5086,3103,5110,2990,5135,2875,5162,2759,5189,2640,5218,2520,5248,2398,5280,2274,5313,2148,5346,2020,5382,1891,5418,1759,5456,1626,5496,1490,5536,1352,5578,1213,5622,1071,5667,927,5713,781,5761,633,5810,483,5861,331,5913,177,5967,20,6022,20,7902,81,7870,142,7839,204,7806,266,7774,329,7741,393,7708,458,7675,523,7641,589,7607,655,7573,722,7539,790,7505,858,7470,926,7436,996,7401,1065,7366,1136,7331,1207,7295,1278,7260,1350,7225,1422,7189,1494,7154,1568,7118,1641,7083,1715,7047,1789,7012,1864,6976,1939,6941,2014,6906,2090,6870,2166,6835,2242,6800,2319,6765,2396,6730,2473,6696,2551,6661,2628,6627,2706,6593,2784,6559,2862,6525,2941,6492,3020,6459,3098,6426,3177,6393,3256,6361,3335,6329,3415,6297,3494,6266,3573,6235,3653,6204,3732,6174,3812,6144,3892,6115,3971,6086,4051,6057,4130,6029,4209,6002,4289,5975,4368,5948,4447,5922,4527,5897,4606,5872,4684,5847,4763,5824,4842,5800,4920,5778,4999,5756,5077,5734,5154,5714,5232,5694,5309,5675,5386,5656,5463,5638,5540,5621,5616,5605,5692,5589,5768,5574,5843,5560,5918,5547,5993,5534,6067,5523,6141,5512,6214,5502,6287,5493,6360,5485,6432,5478,6503,5471,6575,5466,6645,5462,6715,5458,6785,5456,6854,5454,6923,5454,6991,5455,7058,5456,7125,5459,7191,5463,7257,5468,7322,5473,7386,5481,7450,5489,7513,5498,7575,5509,7637,5520,7698,5533,7758,5547,7818,5563,7876,5579,7934,5597,7991,5616,8048,5636,8103,5658xe" filled="false" stroked="true" strokeweight="2.037pt" strokecolor="#a9abae">
              <v:path arrowok="t"/>
            </v:shape>
            <v:shape style="position:absolute;left:0;top:2611;width:8574;height:6151" type="#_x0000_t75" stroked="false">
              <v:imagedata r:id="rId68" o:title=""/>
            </v:shape>
            <v:shape style="position:absolute;left:43;top:11438;width:1368;height:2452" coordorigin="43,11438" coordsize="1368,2452" path="m43,11438l43,12678,861,13890,1411,13890,43,11438xe" filled="true" fillcolor="#f1666e" stroked="false">
              <v:path arrowok="t"/>
              <v:fill type="solid"/>
            </v:shape>
            <v:shape style="position:absolute;left:0;top:12649;width:1368;height:2452" coordorigin="0,12649" coordsize="1368,2452" path="m43,12678l861,13890m1411,13890l43,11438,43,12678e" filled="false" stroked="true" strokeweight="2.037pt" strokecolor="#a9abae">
              <v:path arrowok="t"/>
            </v:shape>
            <v:shape style="position:absolute;left:43;top:12678;width:819;height:1212" coordorigin="43,12678" coordsize="819,1212" path="m43,12678l43,13890,861,13890,43,12678xe" filled="true" fillcolor="#ef3e23" stroked="false">
              <v:path arrowok="t"/>
              <v:fill type="solid"/>
            </v:shape>
            <v:shape style="position:absolute;left:43;top:12678;width:819;height:1212" coordorigin="43,12678" coordsize="819,1212" path="m861,13890l43,12678,43,13890e" filled="false" stroked="true" strokeweight="2.037pt" strokecolor="#a9abae">
              <v:path arrowok="t"/>
            </v:shape>
            <v:shape style="position:absolute;left:43;top:10253;width:1947;height:3637" coordorigin="43,10253" coordsize="1947,3637" path="m43,10253l43,11438,1410,13890,1989,13890,1634,13732,1890,12841,1457,12598,43,10253xe" filled="true" fillcolor="#a1cd3f" stroked="false">
              <v:path arrowok="t"/>
              <v:fill type="solid"/>
            </v:shape>
            <v:shape style="position:absolute;left:-1847;top:11302;width:1947;height:3637" coordorigin="-1847,11302" coordsize="1947,3637" path="m1890,12841l1457,12598,43,10253,43,11438,1410,13890m1989,13890l1634,13732,1890,12841e" filled="false" stroked="true" strokeweight="2.037pt" strokecolor="#a9abae">
              <v:path arrowok="t"/>
            </v:shape>
            <v:shape style="position:absolute;left:43;top:8817;width:3578;height:5073" coordorigin="43,8817" coordsize="3578,5073" path="m43,8817l43,10254,1457,12601,1890,12844,1634,13736,1982,13890,3620,13890,2646,13342,2676,11852,1472,11829,43,8817xe" filled="true" fillcolor="#9e509d" stroked="false">
              <v:path arrowok="t"/>
              <v:fill type="solid"/>
            </v:shape>
            <v:shape style="position:absolute;left:-2633;top:10854;width:3578;height:5073" coordorigin="-2633,10854" coordsize="3578,5073" path="m2676,11852l1472,11829,43,8817,43,10254,1457,12601,1890,12844,1634,13736,1982,13890m3620,13890l2646,13342,2676,11852e" filled="false" stroked="true" strokeweight="2.037pt" strokecolor="#a9abae">
              <v:path arrowok="t"/>
            </v:shape>
            <v:shape style="position:absolute;left:43;top:7086;width:4908;height:6805" coordorigin="43,7086" coordsize="4908,6805" path="m43,7086l43,7235,1893,10941,3185,11331,3302,12203,4771,13890,4950,13890,3982,10395,1944,10355,43,7086xe" filled="true" fillcolor="#00b2ca" stroked="false">
              <v:path arrowok="t"/>
              <v:fill type="solid"/>
            </v:shape>
            <v:shape style="position:absolute;left:-1902;top:10620;width:4908;height:6805" coordorigin="-1902,10620" coordsize="4908,6805" path="m1944,10355l43,7086,43,7235,1893,10941,3185,11331,3302,12203,4771,13890m4950,13890l3982,10395,1944,10355e" filled="false" stroked="true" strokeweight="2.037pt" strokecolor="#a9abae">
              <v:path arrowok="t"/>
            </v:shape>
            <v:shape style="position:absolute;left:43;top:7233;width:4729;height:6657" coordorigin="43,7233" coordsize="4729,6657" path="m43,7233l43,8817,1472,11827,2676,11850,2646,13340,3626,13890,4771,13890,3302,12203,3185,11330,1893,10940,43,7233xe" filled="true" fillcolor="#f68924" stroked="false">
              <v:path arrowok="t"/>
              <v:fill type="solid"/>
            </v:shape>
            <v:shape style="position:absolute;left:-3142;top:9793;width:4729;height:6657" coordorigin="-3142,9793" coordsize="4729,6657" path="m3185,11330l1893,10940,43,7233,43,8817,1472,11827,2676,11850,2646,13340,3626,13890m4771,13890l3302,12203,3185,11330e" filled="false" stroked="true" strokeweight="2.037pt" strokecolor="#a9abae">
              <v:path arrowok="t"/>
            </v:shape>
            <v:shape style="position:absolute;left:43;top:7083;width:6049;height:6807" coordorigin="43,7083" coordsize="6049,6807" path="m43,7083l43,7085,1944,10355,3982,10394,4950,13890,6091,13890,4633,9572,1744,9128,43,7083xe" filled="true" fillcolor="#3d69b2" stroked="false">
              <v:path arrowok="t"/>
              <v:fill type="solid"/>
            </v:shape>
            <v:shape style="position:absolute;left:-1701;top:11844;width:6049;height:6807" coordorigin="-1701,11844" coordsize="6049,6807" path="m1744,9128l43,7083,43,7085,1944,10355,3982,10394,4950,13890m6091,13890l4633,9572,1744,9128e" filled="false" stroked="true" strokeweight="2.037pt" strokecolor="#a9abae">
              <v:path arrowok="t"/>
            </v:shape>
            <v:shape style="position:absolute;left:21;top:2777;width:5235;height:3075" coordorigin="21,2777" coordsize="5235,3075" path="m5255,2777l21,4046,21,5851,1504,4465,2552,3675,3638,3209,5255,2777xe" filled="true" fillcolor="#3d69b2" stroked="false">
              <v:path arrowok="t"/>
              <v:fill type="solid"/>
            </v:shape>
            <v:shape style="position:absolute;left:21;top:2777;width:5235;height:3075" coordorigin="21,2777" coordsize="5235,3075" path="m21,5851l1504,4465,2552,3675,3638,3209,5255,2777,21,4046e" filled="false" stroked="true" strokeweight="2.037pt" strokecolor="#a9abae">
              <v:path arrowok="t"/>
            </v:shape>
            <v:shape style="position:absolute;left:1216;top:0;width:7144;height:4944" coordorigin="1216,0" coordsize="7144,4944" path="m1815,0l1216,0,8360,4944,7988,3310,1815,0xe" filled="true" fillcolor="#5b4b9f" stroked="false">
              <v:path arrowok="t"/>
              <v:fill type="solid"/>
            </v:shape>
            <v:shape style="position:absolute;left:1191;top:0;width:7186;height:4969" coordorigin="1191,0" coordsize="7186,4969" path="m1242,0l1191,0,8377,4968,8366,4919,8343,4919,1242,0xm1848,0l1783,0,7974,3321,8343,4919,8366,4919,8003,3307,8002,3300,1848,0xe" filled="true" fillcolor="#a9abae" stroked="false">
              <v:path arrowok="t"/>
              <v:fill type="solid"/>
            </v:shape>
            <v:shape style="position:absolute;left:1815;top:0;width:6173;height:3311" coordorigin="1815,0" coordsize="6173,3311" path="m3431,0l1815,0,7988,3310,7546,1373,3431,0xe" filled="true" fillcolor="#f04939" stroked="false">
              <v:path arrowok="t"/>
              <v:fill type="solid"/>
            </v:shape>
            <v:shape style="position:absolute;left:1772;top:0;width:6220;height:3315" coordorigin="1772,0" coordsize="6220,3315" path="m1859,0l1772,0,7991,3314,7989,3306,7985,3306,1859,0xm7535,1384l7758,2344,7985,3306,7989,3306,7776,2340,7564,1386,7542,1386,7535,1384xm7533,1376l7535,1384,7542,1386,7533,1376xm7561,1376l7533,1376,7542,1386,7564,1386,7561,1376xm3470,0l3393,0,7535,1384,7533,1376,7561,1376,7558,1363,3470,0xe" filled="true" fillcolor="#a9abae" stroked="false">
              <v:path arrowok="t"/>
              <v:fill type="solid"/>
            </v:shape>
            <v:shape style="position:absolute;left:3423;top:0;width:4108;height:1353" coordorigin="3423,0" coordsize="4108,1353" path="m7234,0l3423,0,7530,1352,7234,0xe" filled="true" fillcolor="#fdba12" stroked="false">
              <v:path arrowok="t"/>
              <v:fill type="solid"/>
            </v:shape>
            <v:shape style="position:absolute;left:3356;top:0;width:4177;height:1356" coordorigin="3356,0" coordsize="4177,1356" path="m3489,0l3356,0,7533,1355,7532,1349,7528,1349,3489,0xm7246,0l7221,0,7360,616,7528,1349,7532,1349,7376,612,7246,0xe" filled="true" fillcolor="#a9abae" stroked="false">
              <v:path arrowok="t"/>
              <v:fill type="solid"/>
            </v:shape>
            <v:shape style="position:absolute;left:6624;top:-20;width:3035;height:13910" type="#_x0000_t75" stroked="false">
              <v:imagedata r:id="rId69" o:title=""/>
            </v:shape>
            <v:shape style="position:absolute;left:5777;top:7656;width:3158;height:6234" coordorigin="5777,7656" coordsize="3158,6234" path="m6398,7656l6159,7668,5777,7719,5921,10029,6159,11455,6661,12589,7512,13890,8934,13890,7998,12190,7437,10928,7122,9647,6850,7760,6595,7685,6398,7656xe" filled="true" fillcolor="#00b2ca" stroked="false">
              <v:path arrowok="t"/>
              <v:fill type="solid"/>
            </v:shape>
            <v:shape style="position:absolute;left:-1074;top:13786;width:3158;height:6234" coordorigin="-1074,13786" coordsize="3158,6234" path="m6850,7760l7122,9647,7437,10928,7998,12190,8934,13890m7512,13890l6661,12589,6159,11455,5921,10029,5777,7719,6159,7668,6398,7656,6595,7685,6850,7760e" filled="false" stroked="true" strokeweight="2.037pt" strokecolor="#a9abae">
              <v:path arrowok="t"/>
            </v:shape>
            <v:shape style="position:absolute;left:4613;top:7717;width:2906;height:6173" coordorigin="4613,7717" coordsize="2906,6173" path="m5778,7717l5777,7719,4844,7842,4699,8030,4629,8273,4613,8733,4632,9573,6094,13890,7519,13890,7475,13815,7415,13711,7356,13607,7299,13503,7244,13399,7190,13295,7137,13191,7085,13087,7035,12983,6986,12878,6939,12774,6893,12671,6848,12567,6804,12463,6762,12360,6720,12257,6680,12154,6641,12052,6604,11950,6567,11848,6531,11747,6497,11647,6464,11546,6432,11447,6400,11348,6370,11249,6341,11151,6313,11054,6286,10958,6260,10862,6234,10767,6210,10673,6187,10579,6164,10487,6143,10395,6122,10305,6102,10215,6083,10126,6064,10039,6047,9952,6030,9867,6014,9783,5999,9699,5984,9618,5970,9537,5957,9458,5945,9379,5933,9303,5921,9227,5911,9154,5900,9081,5891,9010,5882,8941,5874,8873,5866,8806,5858,8742,5851,8678,5845,8617,5839,8557,5828,8443,5818,8336,5811,8237,5804,8146,5799,8062,5794,7987,5790,7921,5783,7776,5782,7760,5779,7718,5778,7717xe" filled="true" fillcolor="#a1cd3f" stroked="false">
              <v:path arrowok="t"/>
              <v:fill type="solid"/>
            </v:shape>
            <v:shape style="position:absolute;left:-1164;top:13888;width:2906;height:6173" coordorigin="-1164,13888" coordsize="2906,6173" path="m5777,7719l5778,7717,5779,7718,5779,7721,5780,7727,5781,7735,5782,7746,5782,7760,5783,7776,5784,7794,5785,7815,5786,7838,5788,7863,5789,7891,5790,7921,5792,7953,5794,7987,5796,8024,5799,8062,5801,8103,5804,8146,5807,8190,5811,8237,5814,8286,5818,8336,5823,8389,5828,8443,5833,8499,5839,8557,5845,8617,5851,8678,5858,8742,5866,8806,5874,8873,5882,8941,5891,9010,5900,9081,5911,9154,5921,9227,5933,9303,5945,9379,5957,9458,5970,9537,5984,9618,5999,9699,6014,9783,6030,9867,6047,9952,6064,10039,6083,10126,6102,10215,6122,10305,6143,10395,6164,10487,6187,10579,6210,10673,6234,10767,6260,10862,6286,10958,6313,11054,6341,11151,6370,11249,6400,11348,6432,11447,6464,11546,6497,11647,6531,11747,6567,11848,6604,11950,6641,12052,6680,12154,6720,12257,6762,12360,6804,12463,6848,12567,6893,12671,6939,12774,6986,12878,7035,12983,7085,13087,7137,13191,7190,13295,7244,13399,7299,13503,7356,13607,7415,13711,7475,13815,7519,13890m6094,13890l4632,9573,4613,8733,4629,8273,4699,8030,4844,7842,5777,7719e" filled="false" stroked="true" strokeweight="2.037pt" strokecolor="#a9abae">
              <v:path arrowok="t"/>
            </v:shape>
            <v:shape style="position:absolute;left:1485;top:7842;width:3360;height:1035" coordorigin="1485,7842" coordsize="3360,1035" path="m4650,8542l3892,8542,4325,8630,4641,8877,4650,8542xm4845,7842l4778,7849,4708,7859,4633,7871,4554,7884,4472,7900,4387,7918,4299,7937,4209,7958,4021,8005,3826,8056,3626,8112,3322,8201,2919,8325,2359,8509,1785,8707,1562,8789,1547,8795,1539,8798,1504,8816,1487,8825,1485,8829,1494,8829,3047,8610,3892,8542,4650,8542,4653,8434,4678,8179,4736,8014,4845,7842xe" filled="true" fillcolor="#fff200" stroked="false">
              <v:path arrowok="t"/>
              <v:fill type="solid"/>
            </v:shape>
            <v:shape style="position:absolute;left:1485;top:7842;width:3360;height:1035" coordorigin="1485,7842" coordsize="3360,1035" path="m4845,7842l4736,8014,4678,8179,4653,8434,4641,8877,4325,8630,3892,8542,3047,8610,1494,8829,1485,8829,1539,8798,1612,8770,1687,8743,1785,8707,1842,8687,1903,8665,1969,8642,2040,8618,2114,8592,2192,8565,2274,8537,2359,8509,2446,8479,2537,8449,2630,8419,2724,8388,2821,8357,2919,8325,3019,8294,3119,8263,3220,8232,3322,8201,3423,8171,3525,8141,3626,8112,3726,8084,3826,8056,3924,8030,4021,8005,4116,7981,4209,7958,4299,7937,4387,7918,4472,7900,4554,7884,4633,7871,4708,7859,4778,7849,4845,7842xe" filled="false" stroked="true" strokeweight="2.037pt" strokecolor="#a9abae">
              <v:path arrowok="t"/>
            </v:shape>
            <v:shape style="position:absolute;left:1736;top:8876;width:2906;height:697" coordorigin="1736,8876" coordsize="2906,697" path="m4641,8876l1756,9110,1739,9119,1736,9125,1749,9129,4633,9573,4641,8876xe" filled="true" fillcolor="#00b2ca" stroked="false">
              <v:path arrowok="t"/>
              <v:fill type="solid"/>
            </v:shape>
            <v:shape style="position:absolute;left:1736;top:8876;width:2906;height:697" coordorigin="1736,8876" coordsize="2906,697" path="m4633,9573l4641,8876,1756,9110,1739,9119,1736,9125,1749,9129,1780,9134,2249,9206,3227,9357,4195,9505,4633,9573xe" filled="false" stroked="true" strokeweight="2.037pt" strokecolor="#a9abae">
              <v:path arrowok="t"/>
            </v:shape>
            <v:shape style="position:absolute;left:1494;top:8553;width:3158;height:556" coordorigin="1494,8553" coordsize="3158,556" path="m3575,8553l2812,8620,1494,8829,1727,9109,4608,8879,4641,8876,4651,8872,4641,8865,4608,8853,4077,8630,3575,8553xe" filled="true" fillcolor="#f04939" stroked="false">
              <v:path arrowok="t"/>
              <v:fill type="solid"/>
            </v:shape>
            <v:shape style="position:absolute;left:1494;top:8553;width:3158;height:556" coordorigin="1494,8553" coordsize="3158,556" path="m1494,8829l2812,8620,3575,8553,4077,8630,4608,8853,4641,8865,4651,8872,4641,8876,4608,8879,4134,8917,3146,8996,2169,9074,1727,9109,1494,8829xe" filled="false" stroked="true" strokeweight="2.037pt" strokecolor="#a9abae">
              <v:path arrowok="t"/>
            </v:shape>
            <v:line style="position:absolute" from="21,13890" to="21,0" stroked="true" strokeweight="1.019000pt" strokecolor="#a9abae"/>
            <w10:wrap type="none"/>
          </v:group>
        </w:pict>
      </w:r>
    </w:p>
    <w:p>
      <w:pPr>
        <w:spacing w:after="0"/>
        <w:rPr>
          <w:rFonts w:ascii="Times New Roman"/>
          <w:sz w:val="17"/>
        </w:rPr>
        <w:sectPr>
          <w:pgSz w:w="9640" w:h="13890"/>
          <w:pgMar w:top="1300" w:bottom="280" w:left="1340" w:right="1340"/>
        </w:sectPr>
      </w:pPr>
    </w:p>
    <w:p>
      <w:pPr>
        <w:pStyle w:val="BodyText"/>
        <w:spacing w:before="4"/>
        <w:rPr>
          <w:rFonts w:ascii="Times New Roman"/>
          <w:sz w:val="17"/>
        </w:rPr>
      </w:pPr>
      <w:r>
        <w:rPr/>
        <w:pict>
          <v:group style="position:absolute;margin-left:-1.0185pt;margin-top:-1.025021pt;width:483.95pt;height:696.55pt;mso-position-horizontal-relative:page;mso-position-vertical-relative:page;z-index:-160168" coordorigin="-20,-21" coordsize="9679,13931">
            <v:shape style="position:absolute;left:6403;top:9974;width:3236;height:3273" coordorigin="6403,9974" coordsize="3236,3273" path="m9638,9974l6403,12355,7696,13246,9638,10193,9638,9974xe" filled="true" fillcolor="#00b2ca" stroked="false">
              <v:path arrowok="t"/>
              <v:fill type="solid"/>
            </v:shape>
            <v:shape style="position:absolute;left:6394;top:9965;width:3244;height:3302" coordorigin="6394,9965" coordsize="3244,3302" path="m9638,9965l9457,10095,8265,10961,6727,12108,6398,12349,6397,12350,6394,12354,6395,12358,7686,13261,7695,13266,7706,13264,7711,13256,7723,13237,7681,13237,7691,13221,6423,12360,6407,12360,6407,12349,6422,12349,6734,12118,8287,10990,9469,10111,9638,9983,9638,9965xm7691,13221l7681,13237,7706,13232,7691,13221xm9638,10176l9616,10209,9337,10640,8780,11503,8228,12368,7691,13221,7706,13232,7681,13237,7723,13237,8265,12391,8815,11524,9361,10655,9632,10219,9638,10210,9638,10176xm6407,12349l6407,12360,6415,12354,6407,12349xm6415,12354l6407,12360,6423,12360,6415,12354xm6422,12349l6407,12349,6415,12354,6422,12349xe" filled="true" fillcolor="#a9abae" stroked="false">
              <v:path arrowok="t"/>
              <v:fill type="solid"/>
            </v:shape>
            <v:shape style="position:absolute;left:9179;top:11133;width:459;height:2757" coordorigin="9179,11133" coordsize="459,2757" path="m9638,11133l9595,11383,9548,11657,9505,11908,9466,12139,9430,12349,9398,12542,9368,12717,9342,12875,9318,13019,9296,13149,9277,13265,9260,13370,9245,13464,9231,13549,9219,13626,9208,13695,9199,13758,9179,13890,9638,13890,9638,11133xe" filled="true" fillcolor="#5b4b9f" stroked="false">
              <v:path arrowok="t"/>
              <v:fill type="solid"/>
            </v:shape>
            <v:shape style="position:absolute;left:9179;top:11133;width:459;height:2757" coordorigin="9179,11133" coordsize="459,2757" path="m9638,11133l9620,11238,9595,11383,9571,11523,9548,11657,9526,11785,9505,11908,9485,12026,9466,12139,9448,12246,9430,12349,9414,12448,9398,12542,9383,12631,9368,12717,9355,12798,9342,12875,9330,12949,9318,13019,9307,13085,9296,13149,9287,13208,9268,13319,9252,13419,9238,13508,9225,13589,9214,13661,9203,13727,9194,13788,9182,13871,9179,13890e" filled="false" stroked="true" strokeweight="2.037pt" strokecolor="#a9abae">
              <v:path arrowok="t"/>
            </v:shape>
            <v:shape style="position:absolute;left:7696;top:10193;width:1942;height:3698" coordorigin="7696,10193" coordsize="1942,3698" path="m9638,10193l7696,13246,7947,13407,8150,13541,8412,13724,8646,13890,9188,13890,9203,13787,9212,13723,9223,13654,9235,13576,9249,13491,9264,13396,9281,13290,9300,13173,9321,13042,9345,12898,9371,12738,9401,12561,9433,12367,9468,12155,9507,11923,9550,11669,9596,11394,9638,11147,9638,10193xe" filled="true" fillcolor="#a1cd3f" stroked="false">
              <v:path arrowok="t"/>
              <v:fill type="solid"/>
            </v:shape>
            <v:shape style="position:absolute;left:7672;top:10173;width:1966;height:3717" coordorigin="7672,10173" coordsize="1966,3717" path="m9638,10173l8989,11177,8463,11999,7941,12824,7672,13251,7723,13284,7977,13449,8338,13689,8634,13890,8653,13890,8385,13697,7994,13425,7778,13280,7740,13255,7710,13255,7705,13232,7725,13232,7975,12845,8500,12022,9022,11197,9638,10212,9638,10173xm9638,11097l9636,11106,9622,11185,9509,11815,9495,11894,9482,11972,9468,12051,9455,12130,9415,12367,9376,12603,9299,13077,9262,13314,9227,13551,9218,13611,9209,13670,9201,13729,9192,13789,9179,13890,9197,13890,9213,13792,9222,13733,9232,13673,9242,13614,9252,13555,9292,13319,9331,13082,9411,12609,9451,12372,9490,12136,9503,12057,9515,11978,9528,11899,9541,11820,9553,11741,9566,11662,9638,11209,9638,11097xm7705,13232l7710,13255,7719,13241,7705,13232xm7719,13241l7710,13255,7740,13255,7719,13241xm7725,13232l7705,13232,7719,13241,7725,13232xe" filled="true" fillcolor="#a9abae" stroked="false">
              <v:path arrowok="t"/>
              <v:fill type="solid"/>
            </v:shape>
            <v:shape style="position:absolute;left:4521;top:9867;width:5118;height:2486" coordorigin="4521,9867" coordsize="5118,2486" path="m9638,9867l4521,11101,6394,12352,9638,9960,9638,9867xe" filled="true" fillcolor="#f1666e" stroked="false">
              <v:path arrowok="t"/>
              <v:fill type="solid"/>
            </v:shape>
            <v:shape style="position:absolute;left:4472;top:9859;width:5167;height:2496" coordorigin="4472,9859" coordsize="5167,2496" path="m9638,9859l4472,11092,5899,12032,6394,12355,6401,12350,6394,12350,5930,12032,4584,11120,4525,11120,4532,11085,4673,11085,9638,9874,9638,9859xm9638,9949l8294,10928,6813,12032,6394,12350,6401,12350,6843,12032,8316,10958,9638,9972,9638,9949xm4532,11085l4525,11120,4569,11110,4532,11085xm4569,11110l4525,11120,4584,11120,4569,11110xm4673,11085l4532,11085,4569,11110,4673,11085xe" filled="true" fillcolor="#a9abae" stroked="false">
              <v:path arrowok="t"/>
              <v:fill type="solid"/>
            </v:shape>
            <v:shape style="position:absolute;left:3234;top:4486;width:6404;height:1817" coordorigin="3234,4486" coordsize="6404,1817" path="m3234,6172l3278,6180,3367,6197,3459,6212,3554,6227,3652,6240,3752,6252,3855,6263,3961,6273,4070,6281,4183,6288,4356,6296,4537,6301,4725,6303,4921,6301,5124,6295,5335,6286,5554,6273,5858,6249,6178,6218,6512,6180,6551,6175,3460,6175,3384,6175,3309,6173,3234,6172xm9638,4486l9443,4573,8999,4764,8589,4932,8231,5073,7859,5213,7476,5350,7163,5456,6844,5558,6522,5656,6278,5725,6033,5791,5787,5853,5541,5911,5295,5964,5131,5996,4968,6027,4805,6054,4643,6079,4482,6102,4321,6122,4162,6138,4003,6152,3846,6163,3768,6167,3691,6170,3614,6172,3537,6174,3460,6175,6551,6175,6953,6120,7419,6047,7911,5961,8430,5860,9090,5718,9638,5592,9638,4486xe" filled="true" fillcolor="#5b4b9f" stroked="false">
              <v:path arrowok="t"/>
              <v:fill type="solid"/>
            </v:shape>
            <v:shape style="position:absolute;left:0;top:12205;width:6404;height:1817" coordorigin="0,12205" coordsize="6404,1817" path="m3234,6172l3278,6180,3322,6189,3367,6197,3413,6205,3459,6212,3506,6220,3554,6227,3603,6233,3652,6240,3702,6246,3752,6252,3803,6258,3855,6263,3908,6268,3961,6273,4016,6277,4070,6281,4126,6285,4183,6288,4240,6291,4298,6294,4356,6296,4416,6298,4476,6300,4537,6301,4599,6302,4662,6302,4725,6303,4790,6302,4855,6302,4921,6301,4988,6299,5056,6298,5124,6295,5194,6293,5264,6290,5335,6286,5407,6282,5480,6278,5554,6273,5629,6268,5704,6262,5781,6256,5858,6249,5937,6242,6016,6235,6096,6227,6178,6218,6260,6209,6343,6200,6427,6190,6512,6180,6598,6169,6686,6157,6774,6145,6863,6133,6953,6120,7044,6106,7136,6092,7229,6078,7323,6063,7419,6047,7515,6031,7612,6014,7711,5997,7810,5979,7911,5961,8012,5941,8115,5922,8219,5902,8324,5881,8430,5860,8537,5838,8645,5815,8755,5792,8865,5768,8977,5744,9090,5718,9204,5693,9319,5666,9435,5640,9553,5612,9638,5592m9638,4486l9621,4494,9563,4520,9503,4546,9443,4573,9382,4600,9320,4627,9257,4654,9194,4681,9129,4709,9064,4737,8999,4764,8932,4792,8865,4820,8797,4848,8729,4876,8659,4904,8589,4932,8519,4961,8448,4989,8376,5017,8304,5045,8231,5073,8158,5101,8084,5129,8010,5157,7935,5185,7859,5213,7784,5241,7707,5268,7631,5296,7554,5323,7476,5350,7398,5377,7320,5403,7242,5430,7163,5456,7084,5482,7004,5508,6924,5533,6844,5558,6764,5583,6683,5608,6603,5632,6522,5656,6441,5679,6359,5702,6278,5725,6196,5748,6115,5770,6033,5791,5951,5812,5869,5833,5787,5853,5705,5873,5623,5892,5541,5911,5459,5929,5377,5947,5295,5964,5213,5980,5131,5996,5050,6012,4968,6027,4887,6041,4805,6054,4724,6067,4643,6079,4562,6091,4482,6102,4401,6112,4321,6122,4241,6130,4162,6138,4082,6146,4003,6152,3925,6158,3846,6163,3768,6167,3691,6170,3614,6172,3537,6174,3460,6175,3384,6175,3309,6173,3234,6172e" filled="false" stroked="true" strokeweight="2.037pt" strokecolor="#a9abae">
              <v:path arrowok="t"/>
            </v:shape>
            <v:shape style="position:absolute;left:1709;top:6047;width:7930;height:3005" coordorigin="1709,6047" coordsize="7930,3005" path="m1709,8211l1753,8239,1992,8397,2015,8413,2070,8448,2125,8482,2182,8516,2211,8534,2240,8551,2271,8568,2302,8585,2333,8602,2365,8619,2398,8636,2431,8653,2465,8669,2499,8686,2535,8702,2571,8719,2608,8735,2645,8751,2684,8766,2723,8782,2763,8797,2803,8812,2845,8826,2887,8840,2931,8854,2975,8868,3020,8881,3066,8894,3113,8907,3161,8919,3210,8931,3260,8942,3311,8953,3363,8963,3416,8973,3470,8982,3525,8991,3581,8999,3639,9007,3697,9014,3757,9021,3818,9027,3880,9033,3943,9037,4008,9041,4074,9045,4141,9048,4209,9050,4278,9051,4349,9052,4421,9052,4495,9051,4570,9049,4724,9044,4884,9035,5049,9022,5220,9006,5398,8986,5582,8963,5772,8935,5968,8904,6171,8868,6381,8828,6598,8783,6822,8734,7053,8679,7414,8589,7791,8487,8045,8415,2889,8415,2821,8414,2754,8413,2687,8410,2621,8406,2555,8401,2490,8395,2426,8388,2362,8380,2299,8371,2236,8360,2175,8348,2114,8336,2054,8321,1994,8306,1935,8290,1878,8272,1820,8253,1764,8232,1709,8211xm9638,6047l9090,6329,8390,6680,7873,6928,7416,7138,7028,7310,6714,7443,6397,7572,6079,7695,5841,7783,5602,7867,5364,7947,5127,8021,4970,8068,4813,8113,4657,8155,4503,8194,4349,8231,4196,8264,4044,8295,3894,8322,3819,8334,3745,8346,3671,8357,3598,8367,3525,8376,3452,8384,3380,8391,3308,8397,3237,8403,3167,8407,3096,8411,3027,8413,2958,8414,2889,8415,8045,8415,8460,8291,8885,8156,9329,8008,9638,7901,9638,6047xe" filled="true" fillcolor="#00b2ca" stroked="false">
              <v:path arrowok="t"/>
              <v:fill type="solid"/>
            </v:shape>
            <v:shape style="position:absolute;left:0;top:11726;width:7930;height:3005" coordorigin="0,11726" coordsize="7930,3005" path="m1709,8211l1731,8225,1753,8239,1775,8254,1798,8269,1821,8284,1845,8300,1868,8316,1892,8332,1917,8348,1941,8364,1966,8381,1992,8397,2017,8414,2044,8431,2070,8448,2097,8465,2125,8482,2153,8499,2182,8516,2211,8534,2240,8551,2271,8568,2302,8585,2333,8602,2365,8619,2398,8636,2431,8653,2465,8669,2499,8686,2535,8702,2571,8719,2608,8735,2645,8751,2684,8766,2723,8782,2763,8797,2803,8812,2845,8826,2887,8840,2931,8854,2975,8868,3020,8881,3066,8894,3113,8907,3161,8919,3210,8931,3260,8942,3311,8953,3363,8963,3416,8973,3470,8982,3525,8991,3581,8999,3639,9007,3697,9014,3757,9021,3818,9027,3880,9033,3943,9037,4008,9041,4074,9045,4141,9048,4209,9050,4278,9051,4349,9052,4421,9052,4495,9051,4570,9049,4646,9047,4724,9044,4803,9040,4884,9035,4966,9029,5049,9022,5134,9015,5220,9006,5308,8997,5398,8986,5489,8975,5582,8963,5676,8950,5772,8935,5869,8920,5968,8904,6069,8886,6171,8868,6275,8848,6381,8828,6489,8806,6598,8783,6709,8759,6822,8734,6937,8707,7053,8679,7172,8650,7292,8620,7414,8589,7538,8556,7664,8522,7791,8487,7921,8450,8053,8413,8186,8373,8322,8333,8460,8291,8599,8247,8741,8202,8885,8156,9031,8108,9178,8059,9329,8008,9481,7956,9635,7902,9638,7901m9638,6047l9608,6062,9546,6095,9483,6128,9419,6161,9354,6194,9289,6228,9223,6261,9157,6295,9090,6329,9022,6364,8954,6398,8885,6433,8816,6468,8746,6503,8676,6538,8605,6573,8534,6609,8462,6644,8390,6680,8317,6715,8244,6751,8171,6786,8097,6822,8023,6857,7948,6892,7873,6928,7798,6963,7722,6998,7646,7034,7569,7069,7493,7104,7416,7138,7339,7173,7261,7208,7184,7242,7106,7276,7028,7310,6949,7344,6871,7377,6792,7410,6714,7443,6635,7476,6556,7508,6476,7540,6397,7572,6318,7603,6238,7634,6159,7665,6079,7695,6000,7725,5920,7754,5841,7783,5761,7811,5682,7839,5602,7867,5523,7894,5444,7921,5364,7947,5285,7972,5206,7997,5127,8021,5049,8045,4970,8068,4892,8091,4813,8113,4735,8134,4657,8155,4580,8175,4503,8194,4425,8213,4349,8231,4272,8248,4196,8264,4120,8280,4044,8295,3969,8309,3894,8322,3819,8334,3745,8346,3671,8357,3598,8367,3525,8376,3452,8384,3380,8391,3308,8397,3237,8403,3167,8407,3096,8411,3027,8413,2958,8414,2889,8415,2821,8414,2754,8413,2687,8410,2621,8406,2555,8401,2490,8395,2426,8388,2362,8380,2299,8371,2236,8360,2175,8348,2114,8336,2054,8321,1994,8306,1935,8290,1878,8272,1820,8253,1764,8232,1709,8211e" filled="false" stroked="true" strokeweight="2.037pt" strokecolor="#a9abae">
              <v:path arrowok="t"/>
            </v:shape>
            <v:shape style="position:absolute;left:1238;top:5107;width:8421;height:6151" type="#_x0000_t75" stroked="false">
              <v:imagedata r:id="rId70" o:title=""/>
            </v:shape>
            <v:shape style="position:absolute;left:8413;top:0;width:1225;height:2196" coordorigin="8413,0" coordsize="1225,2196" path="m8965,0l8413,0,9638,2196,9638,996,8965,0xe" filled="true" fillcolor="#f1666e" stroked="false">
              <v:path arrowok="t"/>
              <v:fill type="solid"/>
            </v:shape>
            <v:shape style="position:absolute;left:-1356;top:12699;width:1225;height:2196" coordorigin="-1356,12699" coordsize="1225,2196" path="m9638,996l8965,0m8413,0l9638,2196e" filled="false" stroked="true" strokeweight="2.037pt" strokecolor="#a9abae">
              <v:path arrowok="t"/>
            </v:shape>
            <v:shape style="position:absolute;left:8965;top:0;width:673;height:997" coordorigin="8965,0" coordsize="673,997" path="m9638,0l8965,0,9638,996,9638,0xe" filled="true" fillcolor="#ef3e23" stroked="false">
              <v:path arrowok="t"/>
              <v:fill type="solid"/>
            </v:shape>
            <v:line style="position:absolute" from="8965,0" to="9638,996" stroked="true" strokeweight="2.037pt" strokecolor="#a9abae"/>
            <v:shape style="position:absolute;left:7870;top:0;width:1768;height:3398" coordorigin="7870,0" coordsize="1768,3398" path="m8413,0l7870,0,8178,136,7922,1028,8355,1270,9638,3398,9638,2195,8413,0xe" filled="true" fillcolor="#a1cd3f" stroked="false">
              <v:path arrowok="t"/>
              <v:fill type="solid"/>
            </v:shape>
            <v:shape style="position:absolute;left:-52;top:12862;width:1768;height:3398" coordorigin="-52,12862" coordsize="1768,3398" path="m7922,1028l8355,1270,9638,3398m9638,2195l8413,0m7870,0l8178,136,7922,1028e" filled="false" stroked="true" strokeweight="2.037pt" strokecolor="#a9abae">
              <v:path arrowok="t"/>
            </v:shape>
            <v:shape style="position:absolute;left:6229;top:0;width:3410;height:4776" coordorigin="6229,0" coordsize="3410,4776" path="m7878,0l6229,0,7166,526,7136,2016,8340,2040,9638,4775,9638,3396,8355,1268,7922,1025,8178,133,7878,0xe" filled="true" fillcolor="#9e509d" stroked="false">
              <v:path arrowok="t"/>
              <v:fill type="solid"/>
            </v:shape>
            <v:shape style="position:absolute;left:-907;top:11873;width:3410;height:4776" coordorigin="-907,11873" coordsize="3410,4776" path="m7136,2016l8340,2040,9638,4775m9638,3396l8355,1268,7922,1025,8178,133,7878,0m6229,0l7166,526,7136,2016e" filled="false" stroked="true" strokeweight="2.037pt" strokecolor="#a9abae">
              <v:path arrowok="t"/>
            </v:shape>
            <v:shape style="position:absolute;left:4868;top:0;width:4771;height:6558" coordorigin="4868,0" coordsize="4771,6558" path="m5059,0l4868,0,5830,3474,7867,3514,9638,6558,9638,6371,7919,2928,6627,2538,6510,1665,5059,0xe" filled="true" fillcolor="#00b2ca" stroked="false">
              <v:path arrowok="t"/>
              <v:fill type="solid"/>
            </v:shape>
            <v:shape style="position:absolute;left:-3000;top:10376;width:4771;height:6558" coordorigin="-3000,10376" coordsize="4771,6558" path="m7867,3514l9638,6558m9638,6371l7919,2928,6627,2538,6510,1665,5059,0m4868,0l5830,3474,7867,3514e" filled="false" stroked="true" strokeweight="2.037pt" strokecolor="#a9abae">
              <v:path arrowok="t"/>
            </v:shape>
            <v:shape style="position:absolute;left:5059;top:0;width:4579;height:6373" coordorigin="5059,0" coordsize="4579,6373" path="m6223,0l5059,0,6510,1666,6627,2538,7919,2928,9638,6372,9638,4775,8340,2042,7136,2018,7166,529,6223,0xe" filled="true" fillcolor="#f68924" stroked="false">
              <v:path arrowok="t"/>
              <v:fill type="solid"/>
            </v:shape>
            <v:shape style="position:absolute;left:-1569;top:11351;width:4579;height:6373" coordorigin="-1569,11351" coordsize="4579,6373" path="m6627,2538l7919,2928,9638,6372m9638,4775l8340,2042,7136,2018,7166,529,6223,0m5059,0l6510,1666,6627,2538e" filled="false" stroked="true" strokeweight="2.037pt" strokecolor="#a9abae">
              <v:path arrowok="t"/>
            </v:shape>
            <v:shape style="position:absolute;left:3728;top:0;width:5910;height:6629" coordorigin="3728,0" coordsize="5910,6629" path="m4868,0l3728,0,5179,4296,8068,4741,9638,6628,9638,6558,7867,3514,5830,3475,4868,0xe" filled="true" fillcolor="#3d69b2" stroked="false">
              <v:path arrowok="t"/>
              <v:fill type="solid"/>
            </v:shape>
            <v:shape style="position:absolute;left:-4340;top:9149;width:5910;height:6629" coordorigin="-4340,9149" coordsize="5910,6629" path="m8068,4741l9638,6628m9638,6558l7867,3514,5830,3475,4868,0m3728,0l5179,4296,8068,4741e" filled="false" stroked="true" strokeweight="2.037pt" strokecolor="#a9abae">
              <v:path arrowok="t"/>
            </v:shape>
            <v:shape style="position:absolute;left:4557;top:8161;width:5082;height:2932" coordorigin="4557,8161" coordsize="5082,2932" path="m9638,8161l8307,9404,7260,10194,6174,10660,4557,11092,9638,9860,9638,8161xe" filled="true" fillcolor="#3d69b2" stroked="false">
              <v:path arrowok="t"/>
              <v:fill type="solid"/>
            </v:shape>
            <v:shape style="position:absolute;left:4557;top:8161;width:5082;height:2932" coordorigin="4557,8161" coordsize="5082,2932" path="m9638,8161l8307,9404,7260,10194,6174,10660,4557,11092,9638,9860e" filled="false" stroked="true" strokeweight="2.037pt" strokecolor="#a9abae">
              <v:path arrowok="t"/>
            </v:shape>
            <v:shape style="position:absolute;left:1452;top:8925;width:7175;height:4965" coordorigin="1452,8925" coordsize="7175,4965" path="m1452,8925l1824,10559,8036,13890,8626,13890,1452,8925xe" filled="true" fillcolor="#5b4b9f" stroked="false">
              <v:path arrowok="t"/>
              <v:fill type="solid"/>
            </v:shape>
            <v:shape style="position:absolute;left:1435;top:8901;width:7216;height:4990" coordorigin="1435,8901" coordsize="7216,4990" path="m1435,8901l1810,10569,8004,13890,8068,13890,1838,10548,1468,8949,1505,8949,1435,8901xm1505,8949l1468,8949,8600,13890,8651,13890,1505,8949xe" filled="true" fillcolor="#a9abae" stroked="false">
              <v:path arrowok="t"/>
              <v:fill type="solid"/>
            </v:shape>
            <v:shape style="position:absolute;left:1824;top:10559;width:6212;height:3332" coordorigin="1824,10559" coordsize="6212,3332" path="m1824,10559l2265,12495,6444,13890,8036,13890,1824,10559xe" filled="true" fillcolor="#f04939" stroked="false">
              <v:path arrowok="t"/>
              <v:fill type="solid"/>
            </v:shape>
            <v:shape style="position:absolute;left:1821;top:10555;width:6258;height:3336" coordorigin="1821,10555" coordsize="6258,3336" path="m1821,10555l2036,11529,2254,12506,6406,13890,6481,13890,2300,12492,2279,12492,2270,12482,2277,12482,2054,11525,1827,10563,1836,10563,1821,10555xm1836,10563l1827,10563,7992,13890,8079,13890,1836,10563xm2270,12482l2279,12492,2277,12485,2270,12482xm2277,12485l2279,12492,2300,12492,2277,12485xm2277,12482l2270,12482,2277,12485,2277,12482xe" filled="true" fillcolor="#a9abae" stroked="false">
              <v:path arrowok="t"/>
              <v:fill type="solid"/>
            </v:shape>
            <v:shape style="position:absolute;left:2282;top:12516;width:4172;height:1374" coordorigin="2282,12516" coordsize="4172,1374" path="m2282,12516l2583,13890,6453,13890,2282,12516xe" filled="true" fillcolor="#fdba12" stroked="false">
              <v:path arrowok="t"/>
              <v:fill type="solid"/>
            </v:shape>
            <v:shape style="position:absolute;left:2279;top:12513;width:4241;height:1377" coordorigin="2279,12513" coordsize="4241,1377" path="m2279,12513l2436,13257,2571,13890,2595,13890,2452,13253,2284,12520,2298,12520,2279,12513xm2298,12520l2284,12520,6386,13890,6520,13890,2298,12520xe" filled="true" fillcolor="#a9abae" stroked="false">
              <v:path arrowok="t"/>
              <v:fill type="solid"/>
            </v:shape>
            <v:shape style="position:absolute;left:-20;top:10;width:3209;height:13900" type="#_x0000_t75" stroked="false">
              <v:imagedata r:id="rId71" o:title=""/>
            </v:shape>
            <v:shape style="position:absolute;left:889;top:0;width:3147;height:6213" coordorigin="889,0" coordsize="3147,6213" path="m2313,0l889,0,1814,1678,2375,2941,2690,4222,2962,6109,3217,6184,3414,6213,3653,6200,4035,6150,3891,3840,3653,2414,3151,1280,2313,0xe" filled="true" fillcolor="#00b2ca" stroked="false">
              <v:path arrowok="t"/>
              <v:fill type="solid"/>
            </v:shape>
            <v:shape style="position:absolute;left:-2072;top:7781;width:3147;height:6213" coordorigin="-2072,7781" coordsize="3147,6213" path="m2962,6109l2690,4222,2375,2941,1814,1678,889,0m2313,0l3151,1280,3653,2414,3891,3840,4035,6150,3653,6200,3414,6213,3217,6184,2962,6109e" filled="false" stroked="true" strokeweight="2.037pt" strokecolor="#a9abae">
              <v:path arrowok="t"/>
            </v:shape>
            <v:shape style="position:absolute;left:2305;top:0;width:2894;height:6152" coordorigin="2305,0" coordsize="2894,6152" path="m3725,0l2305,0,2337,54,2397,158,2456,262,2513,366,2568,470,2622,574,2675,678,2727,782,2777,886,2826,990,2873,1094,2919,1198,2964,1302,3008,1405,3050,1509,3092,1612,3132,1714,3171,1817,3208,1919,3245,2020,3280,2122,3315,2222,3348,2322,3380,2422,3411,2521,3442,2620,3471,2718,3499,2815,3526,2911,3552,3007,3577,3102,3602,3196,3625,3290,3648,3382,3669,3474,3690,3564,3710,3654,3729,3742,3747,3830,3765,3917,3782,4002,3798,4086,3813,4169,3828,4251,3842,4332,3855,4411,3867,4489,3879,4566,3891,4641,3901,4715,3911,4788,3921,4859,3930,4928,3938,4996,3946,5062,3954,5127,3961,5190,3967,5252,3973,5311,3984,5426,3993,5532,4001,5632,4008,5723,4013,5807,4018,5882,4021,5948,4029,6093,4029,6109,4034,6152,4035,6150,4967,6027,5112,5838,5183,5595,5199,5135,5180,4296,3725,0xe" filled="true" fillcolor="#a1cd3f" stroked="false">
              <v:path arrowok="t"/>
              <v:fill type="solid"/>
            </v:shape>
            <v:shape style="position:absolute;left:-1730;top:7740;width:2894;height:6152" coordorigin="-1730,7740" coordsize="2894,6152" path="m4035,6150l4034,6152,4033,6151,4033,6148,4032,6142,4031,6133,4030,6122,4029,6109,4029,6093,4028,6075,4027,6054,4026,6031,4024,6006,4023,5978,4021,5948,4020,5916,4018,5882,4016,5845,4013,5807,4011,5766,4008,5723,4005,5678,4001,5632,3997,5583,3993,5532,3989,5480,3984,5426,3979,5369,3973,5311,3967,5252,3961,5190,3954,5127,3946,5062,3938,4996,3930,4928,3921,4859,3911,4788,3901,4715,3891,4641,3879,4566,3867,4489,3855,4411,3842,4332,3828,4251,3813,4169,3798,4086,3782,4002,3765,3917,3747,3830,3729,3742,3710,3654,3690,3564,3669,3474,3648,3382,3625,3290,3602,3196,3577,3102,3552,3007,3526,2911,3499,2815,3471,2718,3442,2620,3411,2521,3380,2422,3348,2322,3315,2222,3280,2122,3245,2020,3208,1919,3171,1817,3132,1714,3092,1612,3050,1509,3008,1405,2964,1302,2919,1198,2873,1094,2826,990,2777,886,2727,782,2675,678,2622,574,2568,470,2513,366,2456,262,2397,158,2337,54,2305,0m3725,0l5180,4296,5199,5135,5183,5595,5112,5838,4967,6027,4035,6150e" filled="false" stroked="true" strokeweight="2.037pt" strokecolor="#a9abae">
              <v:path arrowok="t"/>
            </v:shape>
            <v:shape style="position:absolute;left:4967;top:4992;width:3360;height:1035" coordorigin="4967,4992" coordsize="3360,1035" path="m5171,4992l5159,5434,5134,5690,5076,5855,4967,6027,5033,6020,5104,6010,5179,5998,5257,5984,5339,5969,5424,5951,5512,5931,5603,5910,5791,5864,5986,5812,6287,5728,6693,5606,7182,5450,7552,5326,5920,5326,5487,5239,5171,4992xm8318,5040l6765,5258,5920,5326,7552,5326,8027,5161,8200,5099,8250,5080,8265,5074,8273,5070,8308,5053,8325,5044,8327,5040,8318,5040xe" filled="true" fillcolor="#fff200" stroked="false">
              <v:path arrowok="t"/>
              <v:fill type="solid"/>
            </v:shape>
            <v:shape style="position:absolute;left:4967;top:4992;width:3360;height:1035" coordorigin="4967,4992" coordsize="3360,1035" path="m4967,6027l5076,5855,5134,5690,5159,5434,5171,4992,5487,5239,5920,5326,6765,5258,8318,5040,8327,5040,8273,5070,8200,5099,8125,5126,8027,5161,7970,5182,7909,5203,7843,5227,7772,5251,7698,5277,7620,5304,7538,5331,7453,5360,7365,5389,7275,5419,7182,5450,7088,5481,6991,5512,6893,5543,6793,5575,6693,5606,6592,5637,6490,5668,6389,5698,6287,5728,6186,5757,6086,5785,5986,5812,5888,5839,5791,5864,5696,5888,5603,5910,5512,5931,5424,5951,5339,5969,5257,5984,5179,5998,5104,6010,5033,6020,4967,6027xe" filled="false" stroked="true" strokeweight="2.037pt" strokecolor="#a9abae">
              <v:path arrowok="t"/>
            </v:shape>
            <v:shape style="position:absolute;left:5170;top:4296;width:2906;height:697" coordorigin="5170,4296" coordsize="2906,697" path="m5179,4296l5170,4993,8056,4758,8073,4749,8076,4744,8063,4740,5179,4296xe" filled="true" fillcolor="#00b2ca" stroked="false">
              <v:path arrowok="t"/>
              <v:fill type="solid"/>
            </v:shape>
            <v:shape style="position:absolute;left:5170;top:4296;width:2906;height:697" coordorigin="5170,4296" coordsize="2906,697" path="m5179,4296l5170,4993,8056,4758,8073,4749,8076,4744,8063,4740,8032,4734,7563,4662,6585,4512,5617,4363,5179,4296xe" filled="false" stroked="true" strokeweight="2.037pt" strokecolor="#a9abae">
              <v:path arrowok="t"/>
            </v:shape>
            <v:shape style="position:absolute;left:5161;top:4760;width:3158;height:556" coordorigin="5161,4760" coordsize="3158,556" path="m8085,4760l5204,4990,5171,4993,5161,4997,5171,5003,5204,5015,5735,5238,6237,5315,7000,5248,8318,5040,8085,4760xe" filled="true" fillcolor="#f04939" stroked="false">
              <v:path arrowok="t"/>
              <v:fill type="solid"/>
            </v:shape>
            <v:shape style="position:absolute;left:5161;top:4760;width:3158;height:556" coordorigin="5161,4760" coordsize="3158,556" path="m8318,5040l7000,5248,6237,5315,5735,5238,5204,5015,5171,5003,5161,4997,5171,4993,5204,4990,5678,4952,6666,4873,7643,4795,8085,4760,8318,5040xe" filled="false" stroked="true" strokeweight="2.037pt" strokecolor="#a9abae">
              <v:path arrowok="t"/>
            </v:shape>
            <w10:wrap type="none"/>
          </v:group>
        </w:pict>
      </w:r>
    </w:p>
    <w:sectPr>
      <w:pgSz w:w="9640" w:h="13890"/>
      <w:pgMar w:top="1300" w:bottom="280" w:left="134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Arial">
    <w:altName w:val="Arial"/>
    <w:charset w:val="0"/>
    <w:family w:val="swiss"/>
    <w:pitch w:val="variable"/>
  </w:font>
  <w:font w:name="Palatino Linotype">
    <w:altName w:val="Palatino Linotype"/>
    <w:charset w:val="0"/>
    <w:family w:val="roman"/>
    <w:pitch w:val="variable"/>
  </w:font>
  <w:font w:name="Tahoma">
    <w:altName w:val="Tahoma"/>
    <w:charset w:val="0"/>
    <w:family w:val="swiss"/>
    <w:pitch w:val="variable"/>
  </w:font>
  <w:font w:name="Microsoft Sans Serif">
    <w:altName w:val="Microsoft Sans Serif"/>
    <w:charset w:val="0"/>
    <w:family w:val="swiss"/>
    <w:pitch w:val="variable"/>
  </w:font>
  <w:font w:name="Lucida Sans Unicode">
    <w:altName w:val="Lucida Sans Unicode"/>
    <w:charset w:val="0"/>
    <w:family w:val="swiss"/>
    <w:pitch w:val="variable"/>
  </w:font>
  <w:font w:name="Trebuchet MS">
    <w:altName w:val="Trebuchet MS"/>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1"/>
      <w:numFmt w:val="lowerLetter"/>
      <w:lvlText w:val="%1)"/>
      <w:lvlJc w:val="left"/>
      <w:pPr>
        <w:ind w:left="902" w:hanging="219"/>
        <w:jc w:val="left"/>
      </w:pPr>
      <w:rPr>
        <w:rFonts w:hint="default" w:ascii="Tahoma" w:hAnsi="Tahoma" w:eastAsia="Tahoma" w:cs="Tahoma"/>
        <w:color w:val="231F20"/>
        <w:w w:val="85"/>
        <w:sz w:val="21"/>
        <w:szCs w:val="21"/>
      </w:rPr>
    </w:lvl>
    <w:lvl w:ilvl="1">
      <w:start w:val="1"/>
      <w:numFmt w:val="bullet"/>
      <w:lvlText w:val="•"/>
      <w:lvlJc w:val="left"/>
      <w:pPr>
        <w:ind w:left="1525" w:hanging="219"/>
      </w:pPr>
      <w:rPr>
        <w:rFonts w:hint="default"/>
      </w:rPr>
    </w:lvl>
    <w:lvl w:ilvl="2">
      <w:start w:val="1"/>
      <w:numFmt w:val="bullet"/>
      <w:lvlText w:val="•"/>
      <w:lvlJc w:val="left"/>
      <w:pPr>
        <w:ind w:left="2151" w:hanging="219"/>
      </w:pPr>
      <w:rPr>
        <w:rFonts w:hint="default"/>
      </w:rPr>
    </w:lvl>
    <w:lvl w:ilvl="3">
      <w:start w:val="1"/>
      <w:numFmt w:val="bullet"/>
      <w:lvlText w:val="•"/>
      <w:lvlJc w:val="left"/>
      <w:pPr>
        <w:ind w:left="2777" w:hanging="219"/>
      </w:pPr>
      <w:rPr>
        <w:rFonts w:hint="default"/>
      </w:rPr>
    </w:lvl>
    <w:lvl w:ilvl="4">
      <w:start w:val="1"/>
      <w:numFmt w:val="bullet"/>
      <w:lvlText w:val="•"/>
      <w:lvlJc w:val="left"/>
      <w:pPr>
        <w:ind w:left="3403" w:hanging="219"/>
      </w:pPr>
      <w:rPr>
        <w:rFonts w:hint="default"/>
      </w:rPr>
    </w:lvl>
    <w:lvl w:ilvl="5">
      <w:start w:val="1"/>
      <w:numFmt w:val="bullet"/>
      <w:lvlText w:val="•"/>
      <w:lvlJc w:val="left"/>
      <w:pPr>
        <w:ind w:left="4028" w:hanging="219"/>
      </w:pPr>
      <w:rPr>
        <w:rFonts w:hint="default"/>
      </w:rPr>
    </w:lvl>
    <w:lvl w:ilvl="6">
      <w:start w:val="1"/>
      <w:numFmt w:val="bullet"/>
      <w:lvlText w:val="•"/>
      <w:lvlJc w:val="left"/>
      <w:pPr>
        <w:ind w:left="4654" w:hanging="219"/>
      </w:pPr>
      <w:rPr>
        <w:rFonts w:hint="default"/>
      </w:rPr>
    </w:lvl>
    <w:lvl w:ilvl="7">
      <w:start w:val="1"/>
      <w:numFmt w:val="bullet"/>
      <w:lvlText w:val="•"/>
      <w:lvlJc w:val="left"/>
      <w:pPr>
        <w:ind w:left="5280" w:hanging="219"/>
      </w:pPr>
      <w:rPr>
        <w:rFonts w:hint="default"/>
      </w:rPr>
    </w:lvl>
    <w:lvl w:ilvl="8">
      <w:start w:val="1"/>
      <w:numFmt w:val="bullet"/>
      <w:lvlText w:val="•"/>
      <w:lvlJc w:val="left"/>
      <w:pPr>
        <w:ind w:left="5906" w:hanging="219"/>
      </w:pPr>
      <w:rPr>
        <w:rFonts w:hint="default"/>
      </w:rPr>
    </w:lvl>
  </w:abstractNum>
  <w:abstractNum w:abstractNumId="9">
    <w:multiLevelType w:val="hybridMultilevel"/>
    <w:lvl w:ilvl="0">
      <w:start w:val="1"/>
      <w:numFmt w:val="lowerLetter"/>
      <w:lvlText w:val="%1)"/>
      <w:lvlJc w:val="left"/>
      <w:pPr>
        <w:ind w:left="1881" w:hanging="361"/>
        <w:jc w:val="left"/>
      </w:pPr>
      <w:rPr>
        <w:rFonts w:hint="default" w:ascii="Tahoma" w:hAnsi="Tahoma" w:eastAsia="Tahoma" w:cs="Tahoma"/>
        <w:color w:val="231F20"/>
        <w:w w:val="67"/>
        <w:sz w:val="19"/>
        <w:szCs w:val="19"/>
      </w:rPr>
    </w:lvl>
    <w:lvl w:ilvl="1">
      <w:start w:val="1"/>
      <w:numFmt w:val="bullet"/>
      <w:lvlText w:val="•"/>
      <w:lvlJc w:val="left"/>
      <w:pPr>
        <w:ind w:left="2405" w:hanging="361"/>
      </w:pPr>
      <w:rPr>
        <w:rFonts w:hint="default"/>
      </w:rPr>
    </w:lvl>
    <w:lvl w:ilvl="2">
      <w:start w:val="1"/>
      <w:numFmt w:val="bullet"/>
      <w:lvlText w:val="•"/>
      <w:lvlJc w:val="left"/>
      <w:pPr>
        <w:ind w:left="2931" w:hanging="361"/>
      </w:pPr>
      <w:rPr>
        <w:rFonts w:hint="default"/>
      </w:rPr>
    </w:lvl>
    <w:lvl w:ilvl="3">
      <w:start w:val="1"/>
      <w:numFmt w:val="bullet"/>
      <w:lvlText w:val="•"/>
      <w:lvlJc w:val="left"/>
      <w:pPr>
        <w:ind w:left="3457" w:hanging="361"/>
      </w:pPr>
      <w:rPr>
        <w:rFonts w:hint="default"/>
      </w:rPr>
    </w:lvl>
    <w:lvl w:ilvl="4">
      <w:start w:val="1"/>
      <w:numFmt w:val="bullet"/>
      <w:lvlText w:val="•"/>
      <w:lvlJc w:val="left"/>
      <w:pPr>
        <w:ind w:left="3983" w:hanging="361"/>
      </w:pPr>
      <w:rPr>
        <w:rFonts w:hint="default"/>
      </w:rPr>
    </w:lvl>
    <w:lvl w:ilvl="5">
      <w:start w:val="1"/>
      <w:numFmt w:val="bullet"/>
      <w:lvlText w:val="•"/>
      <w:lvlJc w:val="left"/>
      <w:pPr>
        <w:ind w:left="4508" w:hanging="361"/>
      </w:pPr>
      <w:rPr>
        <w:rFonts w:hint="default"/>
      </w:rPr>
    </w:lvl>
    <w:lvl w:ilvl="6">
      <w:start w:val="1"/>
      <w:numFmt w:val="bullet"/>
      <w:lvlText w:val="•"/>
      <w:lvlJc w:val="left"/>
      <w:pPr>
        <w:ind w:left="5034" w:hanging="361"/>
      </w:pPr>
      <w:rPr>
        <w:rFonts w:hint="default"/>
      </w:rPr>
    </w:lvl>
    <w:lvl w:ilvl="7">
      <w:start w:val="1"/>
      <w:numFmt w:val="bullet"/>
      <w:lvlText w:val="•"/>
      <w:lvlJc w:val="left"/>
      <w:pPr>
        <w:ind w:left="5560" w:hanging="361"/>
      </w:pPr>
      <w:rPr>
        <w:rFonts w:hint="default"/>
      </w:rPr>
    </w:lvl>
    <w:lvl w:ilvl="8">
      <w:start w:val="1"/>
      <w:numFmt w:val="bullet"/>
      <w:lvlText w:val="•"/>
      <w:lvlJc w:val="left"/>
      <w:pPr>
        <w:ind w:left="6086" w:hanging="361"/>
      </w:pPr>
      <w:rPr>
        <w:rFonts w:hint="default"/>
      </w:rPr>
    </w:lvl>
  </w:abstractNum>
  <w:abstractNum w:abstractNumId="7">
    <w:multiLevelType w:val="hybridMultilevel"/>
    <w:lvl w:ilvl="0">
      <w:start w:val="1"/>
      <w:numFmt w:val="upperRoman"/>
      <w:lvlText w:val="%1."/>
      <w:lvlJc w:val="left"/>
      <w:pPr>
        <w:ind w:left="1894" w:hanging="361"/>
        <w:jc w:val="left"/>
      </w:pPr>
      <w:rPr>
        <w:rFonts w:hint="default" w:ascii="Tahoma" w:hAnsi="Tahoma" w:eastAsia="Tahoma" w:cs="Tahoma"/>
        <w:color w:val="231F20"/>
        <w:w w:val="76"/>
        <w:sz w:val="19"/>
        <w:szCs w:val="19"/>
      </w:rPr>
    </w:lvl>
    <w:lvl w:ilvl="1">
      <w:start w:val="1"/>
      <w:numFmt w:val="bullet"/>
      <w:lvlText w:val="•"/>
      <w:lvlJc w:val="left"/>
      <w:pPr>
        <w:ind w:left="2423" w:hanging="361"/>
      </w:pPr>
      <w:rPr>
        <w:rFonts w:hint="default"/>
      </w:rPr>
    </w:lvl>
    <w:lvl w:ilvl="2">
      <w:start w:val="1"/>
      <w:numFmt w:val="bullet"/>
      <w:lvlText w:val="•"/>
      <w:lvlJc w:val="left"/>
      <w:pPr>
        <w:ind w:left="2947" w:hanging="361"/>
      </w:pPr>
      <w:rPr>
        <w:rFonts w:hint="default"/>
      </w:rPr>
    </w:lvl>
    <w:lvl w:ilvl="3">
      <w:start w:val="1"/>
      <w:numFmt w:val="bullet"/>
      <w:lvlText w:val="•"/>
      <w:lvlJc w:val="left"/>
      <w:pPr>
        <w:ind w:left="3471" w:hanging="361"/>
      </w:pPr>
      <w:rPr>
        <w:rFonts w:hint="default"/>
      </w:rPr>
    </w:lvl>
    <w:lvl w:ilvl="4">
      <w:start w:val="1"/>
      <w:numFmt w:val="bullet"/>
      <w:lvlText w:val="•"/>
      <w:lvlJc w:val="left"/>
      <w:pPr>
        <w:ind w:left="3995" w:hanging="361"/>
      </w:pPr>
      <w:rPr>
        <w:rFonts w:hint="default"/>
      </w:rPr>
    </w:lvl>
    <w:lvl w:ilvl="5">
      <w:start w:val="1"/>
      <w:numFmt w:val="bullet"/>
      <w:lvlText w:val="•"/>
      <w:lvlJc w:val="left"/>
      <w:pPr>
        <w:ind w:left="4518" w:hanging="361"/>
      </w:pPr>
      <w:rPr>
        <w:rFonts w:hint="default"/>
      </w:rPr>
    </w:lvl>
    <w:lvl w:ilvl="6">
      <w:start w:val="1"/>
      <w:numFmt w:val="bullet"/>
      <w:lvlText w:val="•"/>
      <w:lvlJc w:val="left"/>
      <w:pPr>
        <w:ind w:left="5042" w:hanging="361"/>
      </w:pPr>
      <w:rPr>
        <w:rFonts w:hint="default"/>
      </w:rPr>
    </w:lvl>
    <w:lvl w:ilvl="7">
      <w:start w:val="1"/>
      <w:numFmt w:val="bullet"/>
      <w:lvlText w:val="•"/>
      <w:lvlJc w:val="left"/>
      <w:pPr>
        <w:ind w:left="5566" w:hanging="361"/>
      </w:pPr>
      <w:rPr>
        <w:rFonts w:hint="default"/>
      </w:rPr>
    </w:lvl>
    <w:lvl w:ilvl="8">
      <w:start w:val="1"/>
      <w:numFmt w:val="bullet"/>
      <w:lvlText w:val="•"/>
      <w:lvlJc w:val="left"/>
      <w:pPr>
        <w:ind w:left="6090" w:hanging="361"/>
      </w:pPr>
      <w:rPr>
        <w:rFonts w:hint="default"/>
      </w:rPr>
    </w:lvl>
  </w:abstractNum>
  <w:abstractNum w:abstractNumId="6">
    <w:multiLevelType w:val="hybridMultilevel"/>
    <w:lvl w:ilvl="0">
      <w:start w:val="1"/>
      <w:numFmt w:val="decimal"/>
      <w:lvlText w:val="%1."/>
      <w:lvlJc w:val="left"/>
      <w:pPr>
        <w:ind w:left="1030" w:hanging="360"/>
        <w:jc w:val="left"/>
      </w:pPr>
      <w:rPr>
        <w:rFonts w:hint="default" w:ascii="Tahoma" w:hAnsi="Tahoma" w:eastAsia="Tahoma" w:cs="Tahoma"/>
        <w:color w:val="231F20"/>
        <w:w w:val="91"/>
        <w:sz w:val="21"/>
        <w:szCs w:val="21"/>
      </w:rPr>
    </w:lvl>
    <w:lvl w:ilvl="1">
      <w:start w:val="1"/>
      <w:numFmt w:val="bullet"/>
      <w:lvlText w:val="•"/>
      <w:lvlJc w:val="left"/>
      <w:pPr>
        <w:ind w:left="1649" w:hanging="360"/>
      </w:pPr>
      <w:rPr>
        <w:rFonts w:hint="default"/>
      </w:rPr>
    </w:lvl>
    <w:lvl w:ilvl="2">
      <w:start w:val="1"/>
      <w:numFmt w:val="bullet"/>
      <w:lvlText w:val="•"/>
      <w:lvlJc w:val="left"/>
      <w:pPr>
        <w:ind w:left="2259" w:hanging="360"/>
      </w:pPr>
      <w:rPr>
        <w:rFonts w:hint="default"/>
      </w:rPr>
    </w:lvl>
    <w:lvl w:ilvl="3">
      <w:start w:val="1"/>
      <w:numFmt w:val="bullet"/>
      <w:lvlText w:val="•"/>
      <w:lvlJc w:val="left"/>
      <w:pPr>
        <w:ind w:left="2869" w:hanging="360"/>
      </w:pPr>
      <w:rPr>
        <w:rFonts w:hint="default"/>
      </w:rPr>
    </w:lvl>
    <w:lvl w:ilvl="4">
      <w:start w:val="1"/>
      <w:numFmt w:val="bullet"/>
      <w:lvlText w:val="•"/>
      <w:lvlJc w:val="left"/>
      <w:pPr>
        <w:ind w:left="3479" w:hanging="360"/>
      </w:pPr>
      <w:rPr>
        <w:rFonts w:hint="default"/>
      </w:rPr>
    </w:lvl>
    <w:lvl w:ilvl="5">
      <w:start w:val="1"/>
      <w:numFmt w:val="bullet"/>
      <w:lvlText w:val="•"/>
      <w:lvlJc w:val="left"/>
      <w:pPr>
        <w:ind w:left="4088" w:hanging="360"/>
      </w:pPr>
      <w:rPr>
        <w:rFonts w:hint="default"/>
      </w:rPr>
    </w:lvl>
    <w:lvl w:ilvl="6">
      <w:start w:val="1"/>
      <w:numFmt w:val="bullet"/>
      <w:lvlText w:val="•"/>
      <w:lvlJc w:val="left"/>
      <w:pPr>
        <w:ind w:left="4698" w:hanging="360"/>
      </w:pPr>
      <w:rPr>
        <w:rFonts w:hint="default"/>
      </w:rPr>
    </w:lvl>
    <w:lvl w:ilvl="7">
      <w:start w:val="1"/>
      <w:numFmt w:val="bullet"/>
      <w:lvlText w:val="•"/>
      <w:lvlJc w:val="left"/>
      <w:pPr>
        <w:ind w:left="5308" w:hanging="360"/>
      </w:pPr>
      <w:rPr>
        <w:rFonts w:hint="default"/>
      </w:rPr>
    </w:lvl>
    <w:lvl w:ilvl="8">
      <w:start w:val="1"/>
      <w:numFmt w:val="bullet"/>
      <w:lvlText w:val="•"/>
      <w:lvlJc w:val="left"/>
      <w:pPr>
        <w:ind w:left="5918" w:hanging="360"/>
      </w:pPr>
      <w:rPr>
        <w:rFonts w:hint="default"/>
      </w:rPr>
    </w:lvl>
  </w:abstractNum>
  <w:abstractNum w:abstractNumId="4">
    <w:multiLevelType w:val="hybridMultilevel"/>
    <w:lvl w:ilvl="0">
      <w:start w:val="1"/>
      <w:numFmt w:val="lowerLetter"/>
      <w:lvlText w:val="%1)"/>
      <w:lvlJc w:val="left"/>
      <w:pPr>
        <w:ind w:left="889" w:hanging="219"/>
        <w:jc w:val="left"/>
      </w:pPr>
      <w:rPr>
        <w:rFonts w:hint="default" w:ascii="Tahoma" w:hAnsi="Tahoma" w:eastAsia="Tahoma" w:cs="Tahoma"/>
        <w:color w:val="231F20"/>
        <w:w w:val="85"/>
        <w:sz w:val="21"/>
        <w:szCs w:val="21"/>
      </w:rPr>
    </w:lvl>
    <w:lvl w:ilvl="1">
      <w:start w:val="1"/>
      <w:numFmt w:val="bullet"/>
      <w:lvlText w:val="•"/>
      <w:lvlJc w:val="left"/>
      <w:pPr>
        <w:ind w:left="1505" w:hanging="219"/>
      </w:pPr>
      <w:rPr>
        <w:rFonts w:hint="default"/>
      </w:rPr>
    </w:lvl>
    <w:lvl w:ilvl="2">
      <w:start w:val="1"/>
      <w:numFmt w:val="bullet"/>
      <w:lvlText w:val="•"/>
      <w:lvlJc w:val="left"/>
      <w:pPr>
        <w:ind w:left="2131" w:hanging="219"/>
      </w:pPr>
      <w:rPr>
        <w:rFonts w:hint="default"/>
      </w:rPr>
    </w:lvl>
    <w:lvl w:ilvl="3">
      <w:start w:val="1"/>
      <w:numFmt w:val="bullet"/>
      <w:lvlText w:val="•"/>
      <w:lvlJc w:val="left"/>
      <w:pPr>
        <w:ind w:left="2757" w:hanging="219"/>
      </w:pPr>
      <w:rPr>
        <w:rFonts w:hint="default"/>
      </w:rPr>
    </w:lvl>
    <w:lvl w:ilvl="4">
      <w:start w:val="1"/>
      <w:numFmt w:val="bullet"/>
      <w:lvlText w:val="•"/>
      <w:lvlJc w:val="left"/>
      <w:pPr>
        <w:ind w:left="3383" w:hanging="219"/>
      </w:pPr>
      <w:rPr>
        <w:rFonts w:hint="default"/>
      </w:rPr>
    </w:lvl>
    <w:lvl w:ilvl="5">
      <w:start w:val="1"/>
      <w:numFmt w:val="bullet"/>
      <w:lvlText w:val="•"/>
      <w:lvlJc w:val="left"/>
      <w:pPr>
        <w:ind w:left="4008" w:hanging="219"/>
      </w:pPr>
      <w:rPr>
        <w:rFonts w:hint="default"/>
      </w:rPr>
    </w:lvl>
    <w:lvl w:ilvl="6">
      <w:start w:val="1"/>
      <w:numFmt w:val="bullet"/>
      <w:lvlText w:val="•"/>
      <w:lvlJc w:val="left"/>
      <w:pPr>
        <w:ind w:left="4634" w:hanging="219"/>
      </w:pPr>
      <w:rPr>
        <w:rFonts w:hint="default"/>
      </w:rPr>
    </w:lvl>
    <w:lvl w:ilvl="7">
      <w:start w:val="1"/>
      <w:numFmt w:val="bullet"/>
      <w:lvlText w:val="•"/>
      <w:lvlJc w:val="left"/>
      <w:pPr>
        <w:ind w:left="5260" w:hanging="219"/>
      </w:pPr>
      <w:rPr>
        <w:rFonts w:hint="default"/>
      </w:rPr>
    </w:lvl>
    <w:lvl w:ilvl="8">
      <w:start w:val="1"/>
      <w:numFmt w:val="bullet"/>
      <w:lvlText w:val="•"/>
      <w:lvlJc w:val="left"/>
      <w:pPr>
        <w:ind w:left="5886" w:hanging="219"/>
      </w:pPr>
      <w:rPr>
        <w:rFonts w:hint="default"/>
      </w:rPr>
    </w:lvl>
  </w:abstractNum>
  <w:abstractNum w:abstractNumId="3">
    <w:multiLevelType w:val="hybridMultilevel"/>
    <w:lvl w:ilvl="0">
      <w:start w:val="1"/>
      <w:numFmt w:val="lowerLetter"/>
      <w:lvlText w:val="%1)"/>
      <w:lvlJc w:val="left"/>
      <w:pPr>
        <w:ind w:left="1854" w:hanging="360"/>
        <w:jc w:val="left"/>
      </w:pPr>
      <w:rPr>
        <w:rFonts w:hint="default" w:ascii="Tahoma" w:hAnsi="Tahoma" w:eastAsia="Tahoma" w:cs="Tahoma"/>
        <w:color w:val="231F20"/>
        <w:w w:val="85"/>
        <w:sz w:val="19"/>
        <w:szCs w:val="19"/>
      </w:rPr>
    </w:lvl>
    <w:lvl w:ilvl="1">
      <w:start w:val="1"/>
      <w:numFmt w:val="bullet"/>
      <w:lvlText w:val="•"/>
      <w:lvlJc w:val="left"/>
      <w:pPr>
        <w:ind w:left="2383" w:hanging="360"/>
      </w:pPr>
      <w:rPr>
        <w:rFonts w:hint="default"/>
      </w:rPr>
    </w:lvl>
    <w:lvl w:ilvl="2">
      <w:start w:val="1"/>
      <w:numFmt w:val="bullet"/>
      <w:lvlText w:val="•"/>
      <w:lvlJc w:val="left"/>
      <w:pPr>
        <w:ind w:left="2907" w:hanging="360"/>
      </w:pPr>
      <w:rPr>
        <w:rFonts w:hint="default"/>
      </w:rPr>
    </w:lvl>
    <w:lvl w:ilvl="3">
      <w:start w:val="1"/>
      <w:numFmt w:val="bullet"/>
      <w:lvlText w:val="•"/>
      <w:lvlJc w:val="left"/>
      <w:pPr>
        <w:ind w:left="3431" w:hanging="360"/>
      </w:pPr>
      <w:rPr>
        <w:rFonts w:hint="default"/>
      </w:rPr>
    </w:lvl>
    <w:lvl w:ilvl="4">
      <w:start w:val="1"/>
      <w:numFmt w:val="bullet"/>
      <w:lvlText w:val="•"/>
      <w:lvlJc w:val="left"/>
      <w:pPr>
        <w:ind w:left="3955" w:hanging="360"/>
      </w:pPr>
      <w:rPr>
        <w:rFonts w:hint="default"/>
      </w:rPr>
    </w:lvl>
    <w:lvl w:ilvl="5">
      <w:start w:val="1"/>
      <w:numFmt w:val="bullet"/>
      <w:lvlText w:val="•"/>
      <w:lvlJc w:val="left"/>
      <w:pPr>
        <w:ind w:left="4478" w:hanging="360"/>
      </w:pPr>
      <w:rPr>
        <w:rFonts w:hint="default"/>
      </w:rPr>
    </w:lvl>
    <w:lvl w:ilvl="6">
      <w:start w:val="1"/>
      <w:numFmt w:val="bullet"/>
      <w:lvlText w:val="•"/>
      <w:lvlJc w:val="left"/>
      <w:pPr>
        <w:ind w:left="5002" w:hanging="360"/>
      </w:pPr>
      <w:rPr>
        <w:rFonts w:hint="default"/>
      </w:rPr>
    </w:lvl>
    <w:lvl w:ilvl="7">
      <w:start w:val="1"/>
      <w:numFmt w:val="bullet"/>
      <w:lvlText w:val="•"/>
      <w:lvlJc w:val="left"/>
      <w:pPr>
        <w:ind w:left="5526" w:hanging="360"/>
      </w:pPr>
      <w:rPr>
        <w:rFonts w:hint="default"/>
      </w:rPr>
    </w:lvl>
    <w:lvl w:ilvl="8">
      <w:start w:val="1"/>
      <w:numFmt w:val="bullet"/>
      <w:lvlText w:val="•"/>
      <w:lvlJc w:val="left"/>
      <w:pPr>
        <w:ind w:left="6050" w:hanging="360"/>
      </w:pPr>
      <w:rPr>
        <w:rFonts w:hint="default"/>
      </w:rPr>
    </w:lvl>
  </w:abstractNum>
  <w:abstractNum w:abstractNumId="2">
    <w:multiLevelType w:val="hybridMultilevel"/>
    <w:lvl w:ilvl="0">
      <w:start w:val="1"/>
      <w:numFmt w:val="bullet"/>
      <w:lvlText w:val="•"/>
      <w:lvlJc w:val="left"/>
      <w:pPr>
        <w:ind w:left="1044" w:hanging="360"/>
      </w:pPr>
      <w:rPr>
        <w:rFonts w:hint="default" w:ascii="Tahoma" w:hAnsi="Tahoma" w:eastAsia="Tahoma" w:cs="Tahoma"/>
        <w:color w:val="231F20"/>
        <w:w w:val="109"/>
        <w:sz w:val="18"/>
        <w:szCs w:val="18"/>
      </w:rPr>
    </w:lvl>
    <w:lvl w:ilvl="1">
      <w:start w:val="1"/>
      <w:numFmt w:val="bullet"/>
      <w:lvlText w:val="•"/>
      <w:lvlJc w:val="left"/>
      <w:pPr>
        <w:ind w:left="1649" w:hanging="360"/>
      </w:pPr>
      <w:rPr>
        <w:rFonts w:hint="default"/>
      </w:rPr>
    </w:lvl>
    <w:lvl w:ilvl="2">
      <w:start w:val="1"/>
      <w:numFmt w:val="bullet"/>
      <w:lvlText w:val="•"/>
      <w:lvlJc w:val="left"/>
      <w:pPr>
        <w:ind w:left="2259" w:hanging="360"/>
      </w:pPr>
      <w:rPr>
        <w:rFonts w:hint="default"/>
      </w:rPr>
    </w:lvl>
    <w:lvl w:ilvl="3">
      <w:start w:val="1"/>
      <w:numFmt w:val="bullet"/>
      <w:lvlText w:val="•"/>
      <w:lvlJc w:val="left"/>
      <w:pPr>
        <w:ind w:left="2869" w:hanging="360"/>
      </w:pPr>
      <w:rPr>
        <w:rFonts w:hint="default"/>
      </w:rPr>
    </w:lvl>
    <w:lvl w:ilvl="4">
      <w:start w:val="1"/>
      <w:numFmt w:val="bullet"/>
      <w:lvlText w:val="•"/>
      <w:lvlJc w:val="left"/>
      <w:pPr>
        <w:ind w:left="3479" w:hanging="360"/>
      </w:pPr>
      <w:rPr>
        <w:rFonts w:hint="default"/>
      </w:rPr>
    </w:lvl>
    <w:lvl w:ilvl="5">
      <w:start w:val="1"/>
      <w:numFmt w:val="bullet"/>
      <w:lvlText w:val="•"/>
      <w:lvlJc w:val="left"/>
      <w:pPr>
        <w:ind w:left="4088" w:hanging="360"/>
      </w:pPr>
      <w:rPr>
        <w:rFonts w:hint="default"/>
      </w:rPr>
    </w:lvl>
    <w:lvl w:ilvl="6">
      <w:start w:val="1"/>
      <w:numFmt w:val="bullet"/>
      <w:lvlText w:val="•"/>
      <w:lvlJc w:val="left"/>
      <w:pPr>
        <w:ind w:left="4698" w:hanging="360"/>
      </w:pPr>
      <w:rPr>
        <w:rFonts w:hint="default"/>
      </w:rPr>
    </w:lvl>
    <w:lvl w:ilvl="7">
      <w:start w:val="1"/>
      <w:numFmt w:val="bullet"/>
      <w:lvlText w:val="•"/>
      <w:lvlJc w:val="left"/>
      <w:pPr>
        <w:ind w:left="5308" w:hanging="360"/>
      </w:pPr>
      <w:rPr>
        <w:rFonts w:hint="default"/>
      </w:rPr>
    </w:lvl>
    <w:lvl w:ilvl="8">
      <w:start w:val="1"/>
      <w:numFmt w:val="bullet"/>
      <w:lvlText w:val="•"/>
      <w:lvlJc w:val="left"/>
      <w:pPr>
        <w:ind w:left="5918" w:hanging="360"/>
      </w:pPr>
      <w:rPr>
        <w:rFonts w:hint="default"/>
      </w:rPr>
    </w:lvl>
  </w:abstractNum>
  <w:abstractNum w:abstractNumId="1">
    <w:multiLevelType w:val="hybridMultilevel"/>
    <w:lvl w:ilvl="0">
      <w:start w:val="1"/>
      <w:numFmt w:val="upperRoman"/>
      <w:lvlText w:val="%1."/>
      <w:lvlJc w:val="left"/>
      <w:pPr>
        <w:ind w:left="1881" w:hanging="360"/>
        <w:jc w:val="left"/>
      </w:pPr>
      <w:rPr>
        <w:rFonts w:hint="default" w:ascii="Tahoma" w:hAnsi="Tahoma" w:eastAsia="Tahoma" w:cs="Tahoma"/>
        <w:color w:val="231F20"/>
        <w:w w:val="76"/>
        <w:sz w:val="19"/>
        <w:szCs w:val="19"/>
      </w:rPr>
    </w:lvl>
    <w:lvl w:ilvl="1">
      <w:start w:val="1"/>
      <w:numFmt w:val="bullet"/>
      <w:lvlText w:val="•"/>
      <w:lvlJc w:val="left"/>
      <w:pPr>
        <w:ind w:left="2405" w:hanging="360"/>
      </w:pPr>
      <w:rPr>
        <w:rFonts w:hint="default"/>
      </w:rPr>
    </w:lvl>
    <w:lvl w:ilvl="2">
      <w:start w:val="1"/>
      <w:numFmt w:val="bullet"/>
      <w:lvlText w:val="•"/>
      <w:lvlJc w:val="left"/>
      <w:pPr>
        <w:ind w:left="2931" w:hanging="360"/>
      </w:pPr>
      <w:rPr>
        <w:rFonts w:hint="default"/>
      </w:rPr>
    </w:lvl>
    <w:lvl w:ilvl="3">
      <w:start w:val="1"/>
      <w:numFmt w:val="bullet"/>
      <w:lvlText w:val="•"/>
      <w:lvlJc w:val="left"/>
      <w:pPr>
        <w:ind w:left="3457" w:hanging="360"/>
      </w:pPr>
      <w:rPr>
        <w:rFonts w:hint="default"/>
      </w:rPr>
    </w:lvl>
    <w:lvl w:ilvl="4">
      <w:start w:val="1"/>
      <w:numFmt w:val="bullet"/>
      <w:lvlText w:val="•"/>
      <w:lvlJc w:val="left"/>
      <w:pPr>
        <w:ind w:left="3983" w:hanging="360"/>
      </w:pPr>
      <w:rPr>
        <w:rFonts w:hint="default"/>
      </w:rPr>
    </w:lvl>
    <w:lvl w:ilvl="5">
      <w:start w:val="1"/>
      <w:numFmt w:val="bullet"/>
      <w:lvlText w:val="•"/>
      <w:lvlJc w:val="left"/>
      <w:pPr>
        <w:ind w:left="4508" w:hanging="360"/>
      </w:pPr>
      <w:rPr>
        <w:rFonts w:hint="default"/>
      </w:rPr>
    </w:lvl>
    <w:lvl w:ilvl="6">
      <w:start w:val="1"/>
      <w:numFmt w:val="bullet"/>
      <w:lvlText w:val="•"/>
      <w:lvlJc w:val="left"/>
      <w:pPr>
        <w:ind w:left="5034" w:hanging="360"/>
      </w:pPr>
      <w:rPr>
        <w:rFonts w:hint="default"/>
      </w:rPr>
    </w:lvl>
    <w:lvl w:ilvl="7">
      <w:start w:val="1"/>
      <w:numFmt w:val="bullet"/>
      <w:lvlText w:val="•"/>
      <w:lvlJc w:val="left"/>
      <w:pPr>
        <w:ind w:left="5560" w:hanging="360"/>
      </w:pPr>
      <w:rPr>
        <w:rFonts w:hint="default"/>
      </w:rPr>
    </w:lvl>
    <w:lvl w:ilvl="8">
      <w:start w:val="1"/>
      <w:numFmt w:val="bullet"/>
      <w:lvlText w:val="•"/>
      <w:lvlJc w:val="left"/>
      <w:pPr>
        <w:ind w:left="6086" w:hanging="360"/>
      </w:pPr>
      <w:rPr>
        <w:rFonts w:hint="default"/>
      </w:rPr>
    </w:lvl>
  </w:abstractNum>
  <w:abstractNum w:abstractNumId="0">
    <w:multiLevelType w:val="hybridMultilevel"/>
    <w:lvl w:ilvl="0">
      <w:start w:val="1"/>
      <w:numFmt w:val="decimal"/>
      <w:lvlText w:val="%1."/>
      <w:lvlJc w:val="left"/>
      <w:pPr>
        <w:ind w:left="1044" w:hanging="360"/>
        <w:jc w:val="left"/>
      </w:pPr>
      <w:rPr>
        <w:rFonts w:hint="default" w:ascii="Tahoma" w:hAnsi="Tahoma" w:eastAsia="Tahoma" w:cs="Tahoma"/>
        <w:color w:val="231F20"/>
        <w:w w:val="91"/>
        <w:sz w:val="21"/>
        <w:szCs w:val="21"/>
      </w:rPr>
    </w:lvl>
    <w:lvl w:ilvl="1">
      <w:start w:val="1"/>
      <w:numFmt w:val="bullet"/>
      <w:lvlText w:val="•"/>
      <w:lvlJc w:val="left"/>
      <w:pPr>
        <w:ind w:left="1649" w:hanging="360"/>
      </w:pPr>
      <w:rPr>
        <w:rFonts w:hint="default"/>
      </w:rPr>
    </w:lvl>
    <w:lvl w:ilvl="2">
      <w:start w:val="1"/>
      <w:numFmt w:val="bullet"/>
      <w:lvlText w:val="•"/>
      <w:lvlJc w:val="left"/>
      <w:pPr>
        <w:ind w:left="2259" w:hanging="360"/>
      </w:pPr>
      <w:rPr>
        <w:rFonts w:hint="default"/>
      </w:rPr>
    </w:lvl>
    <w:lvl w:ilvl="3">
      <w:start w:val="1"/>
      <w:numFmt w:val="bullet"/>
      <w:lvlText w:val="•"/>
      <w:lvlJc w:val="left"/>
      <w:pPr>
        <w:ind w:left="2869" w:hanging="360"/>
      </w:pPr>
      <w:rPr>
        <w:rFonts w:hint="default"/>
      </w:rPr>
    </w:lvl>
    <w:lvl w:ilvl="4">
      <w:start w:val="1"/>
      <w:numFmt w:val="bullet"/>
      <w:lvlText w:val="•"/>
      <w:lvlJc w:val="left"/>
      <w:pPr>
        <w:ind w:left="3479" w:hanging="360"/>
      </w:pPr>
      <w:rPr>
        <w:rFonts w:hint="default"/>
      </w:rPr>
    </w:lvl>
    <w:lvl w:ilvl="5">
      <w:start w:val="1"/>
      <w:numFmt w:val="bullet"/>
      <w:lvlText w:val="•"/>
      <w:lvlJc w:val="left"/>
      <w:pPr>
        <w:ind w:left="4088" w:hanging="360"/>
      </w:pPr>
      <w:rPr>
        <w:rFonts w:hint="default"/>
      </w:rPr>
    </w:lvl>
    <w:lvl w:ilvl="6">
      <w:start w:val="1"/>
      <w:numFmt w:val="bullet"/>
      <w:lvlText w:val="•"/>
      <w:lvlJc w:val="left"/>
      <w:pPr>
        <w:ind w:left="4698" w:hanging="360"/>
      </w:pPr>
      <w:rPr>
        <w:rFonts w:hint="default"/>
      </w:rPr>
    </w:lvl>
    <w:lvl w:ilvl="7">
      <w:start w:val="1"/>
      <w:numFmt w:val="bullet"/>
      <w:lvlText w:val="•"/>
      <w:lvlJc w:val="left"/>
      <w:pPr>
        <w:ind w:left="5308" w:hanging="360"/>
      </w:pPr>
      <w:rPr>
        <w:rFonts w:hint="default"/>
      </w:rPr>
    </w:lvl>
    <w:lvl w:ilvl="8">
      <w:start w:val="1"/>
      <w:numFmt w:val="bullet"/>
      <w:lvlText w:val="•"/>
      <w:lvlJc w:val="left"/>
      <w:pPr>
        <w:ind w:left="5918" w:hanging="360"/>
      </w:pPr>
      <w:rPr>
        <w:rFonts w:hint="default"/>
      </w:rPr>
    </w:lvl>
  </w:abstractNum>
  <w:abstractNum w:abstractNumId="8">
    <w:multiLevelType w:val="hybridMultilevel"/>
    <w:lvl w:ilvl="0">
      <w:start w:val="1"/>
      <w:numFmt w:val="bullet"/>
      <w:lvlText w:val="•"/>
      <w:lvlJc w:val="left"/>
      <w:pPr>
        <w:ind w:left="1030" w:hanging="360"/>
      </w:pPr>
      <w:rPr>
        <w:rFonts w:hint="default" w:ascii="Tahoma" w:hAnsi="Tahoma" w:eastAsia="Tahoma" w:cs="Tahoma"/>
        <w:color w:val="231F20"/>
        <w:w w:val="109"/>
        <w:sz w:val="21"/>
        <w:szCs w:val="21"/>
      </w:rPr>
    </w:lvl>
    <w:lvl w:ilvl="1">
      <w:start w:val="1"/>
      <w:numFmt w:val="bullet"/>
      <w:lvlText w:val="•"/>
      <w:lvlJc w:val="left"/>
      <w:pPr>
        <w:ind w:left="1649" w:hanging="360"/>
      </w:pPr>
      <w:rPr>
        <w:rFonts w:hint="default"/>
      </w:rPr>
    </w:lvl>
    <w:lvl w:ilvl="2">
      <w:start w:val="1"/>
      <w:numFmt w:val="bullet"/>
      <w:lvlText w:val="•"/>
      <w:lvlJc w:val="left"/>
      <w:pPr>
        <w:ind w:left="2259" w:hanging="360"/>
      </w:pPr>
      <w:rPr>
        <w:rFonts w:hint="default"/>
      </w:rPr>
    </w:lvl>
    <w:lvl w:ilvl="3">
      <w:start w:val="1"/>
      <w:numFmt w:val="bullet"/>
      <w:lvlText w:val="•"/>
      <w:lvlJc w:val="left"/>
      <w:pPr>
        <w:ind w:left="2869" w:hanging="360"/>
      </w:pPr>
      <w:rPr>
        <w:rFonts w:hint="default"/>
      </w:rPr>
    </w:lvl>
    <w:lvl w:ilvl="4">
      <w:start w:val="1"/>
      <w:numFmt w:val="bullet"/>
      <w:lvlText w:val="•"/>
      <w:lvlJc w:val="left"/>
      <w:pPr>
        <w:ind w:left="3479" w:hanging="360"/>
      </w:pPr>
      <w:rPr>
        <w:rFonts w:hint="default"/>
      </w:rPr>
    </w:lvl>
    <w:lvl w:ilvl="5">
      <w:start w:val="1"/>
      <w:numFmt w:val="bullet"/>
      <w:lvlText w:val="•"/>
      <w:lvlJc w:val="left"/>
      <w:pPr>
        <w:ind w:left="4088" w:hanging="360"/>
      </w:pPr>
      <w:rPr>
        <w:rFonts w:hint="default"/>
      </w:rPr>
    </w:lvl>
    <w:lvl w:ilvl="6">
      <w:start w:val="1"/>
      <w:numFmt w:val="bullet"/>
      <w:lvlText w:val="•"/>
      <w:lvlJc w:val="left"/>
      <w:pPr>
        <w:ind w:left="4698" w:hanging="360"/>
      </w:pPr>
      <w:rPr>
        <w:rFonts w:hint="default"/>
      </w:rPr>
    </w:lvl>
    <w:lvl w:ilvl="7">
      <w:start w:val="1"/>
      <w:numFmt w:val="bullet"/>
      <w:lvlText w:val="•"/>
      <w:lvlJc w:val="left"/>
      <w:pPr>
        <w:ind w:left="5308" w:hanging="360"/>
      </w:pPr>
      <w:rPr>
        <w:rFonts w:hint="default"/>
      </w:rPr>
    </w:lvl>
    <w:lvl w:ilvl="8">
      <w:start w:val="1"/>
      <w:numFmt w:val="bullet"/>
      <w:lvlText w:val="•"/>
      <w:lvlJc w:val="left"/>
      <w:pPr>
        <w:ind w:left="5918" w:hanging="360"/>
      </w:pPr>
      <w:rPr>
        <w:rFonts w:hint="default"/>
      </w:rPr>
    </w:lvl>
  </w:abstractNum>
  <w:abstractNum w:abstractNumId="5">
    <w:multiLevelType w:val="hybridMultilevel"/>
    <w:lvl w:ilvl="0">
      <w:start w:val="3"/>
      <w:numFmt w:val="upperLetter"/>
      <w:lvlText w:val="%1."/>
      <w:lvlJc w:val="left"/>
      <w:pPr>
        <w:ind w:left="103" w:hanging="201"/>
        <w:jc w:val="left"/>
      </w:pPr>
      <w:rPr>
        <w:rFonts w:hint="default" w:ascii="Calibri" w:hAnsi="Calibri" w:eastAsia="Calibri" w:cs="Calibri"/>
        <w:color w:val="231F20"/>
        <w:w w:val="107"/>
        <w:sz w:val="17"/>
        <w:szCs w:val="17"/>
      </w:rPr>
    </w:lvl>
    <w:lvl w:ilvl="1">
      <w:start w:val="1"/>
      <w:numFmt w:val="bullet"/>
      <w:lvlText w:val="•"/>
      <w:lvlJc w:val="left"/>
      <w:pPr>
        <w:ind w:left="803" w:hanging="201"/>
      </w:pPr>
      <w:rPr>
        <w:rFonts w:hint="default"/>
      </w:rPr>
    </w:lvl>
    <w:lvl w:ilvl="2">
      <w:start w:val="1"/>
      <w:numFmt w:val="bullet"/>
      <w:lvlText w:val="•"/>
      <w:lvlJc w:val="left"/>
      <w:pPr>
        <w:ind w:left="1507" w:hanging="201"/>
      </w:pPr>
      <w:rPr>
        <w:rFonts w:hint="default"/>
      </w:rPr>
    </w:lvl>
    <w:lvl w:ilvl="3">
      <w:start w:val="1"/>
      <w:numFmt w:val="bullet"/>
      <w:lvlText w:val="•"/>
      <w:lvlJc w:val="left"/>
      <w:pPr>
        <w:ind w:left="2211" w:hanging="201"/>
      </w:pPr>
      <w:rPr>
        <w:rFonts w:hint="default"/>
      </w:rPr>
    </w:lvl>
    <w:lvl w:ilvl="4">
      <w:start w:val="1"/>
      <w:numFmt w:val="bullet"/>
      <w:lvlText w:val="•"/>
      <w:lvlJc w:val="left"/>
      <w:pPr>
        <w:ind w:left="2915" w:hanging="201"/>
      </w:pPr>
      <w:rPr>
        <w:rFonts w:hint="default"/>
      </w:rPr>
    </w:lvl>
    <w:lvl w:ilvl="5">
      <w:start w:val="1"/>
      <w:numFmt w:val="bullet"/>
      <w:lvlText w:val="•"/>
      <w:lvlJc w:val="left"/>
      <w:pPr>
        <w:ind w:left="3618" w:hanging="201"/>
      </w:pPr>
      <w:rPr>
        <w:rFonts w:hint="default"/>
      </w:rPr>
    </w:lvl>
    <w:lvl w:ilvl="6">
      <w:start w:val="1"/>
      <w:numFmt w:val="bullet"/>
      <w:lvlText w:val="•"/>
      <w:lvlJc w:val="left"/>
      <w:pPr>
        <w:ind w:left="4322" w:hanging="201"/>
      </w:pPr>
      <w:rPr>
        <w:rFonts w:hint="default"/>
      </w:rPr>
    </w:lvl>
    <w:lvl w:ilvl="7">
      <w:start w:val="1"/>
      <w:numFmt w:val="bullet"/>
      <w:lvlText w:val="•"/>
      <w:lvlJc w:val="left"/>
      <w:pPr>
        <w:ind w:left="5026" w:hanging="201"/>
      </w:pPr>
      <w:rPr>
        <w:rFonts w:hint="default"/>
      </w:rPr>
    </w:lvl>
    <w:lvl w:ilvl="8">
      <w:start w:val="1"/>
      <w:numFmt w:val="bullet"/>
      <w:lvlText w:val="•"/>
      <w:lvlJc w:val="left"/>
      <w:pPr>
        <w:ind w:left="5730" w:hanging="201"/>
      </w:pPr>
      <w:rPr>
        <w:rFonts w:hint="default"/>
      </w:rPr>
    </w:lvl>
  </w:abstractNum>
  <w:num w:numId="11">
    <w:abstractNumId w:val="10"/>
  </w:num>
  <w:num w:numId="10">
    <w:abstractNumId w:val="9"/>
  </w:num>
  <w:num w:numId="8">
    <w:abstractNumId w:val="7"/>
  </w:num>
  <w:num w:numId="7">
    <w:abstractNumId w:val="6"/>
  </w:num>
  <w:num w:numId="5">
    <w:abstractNumId w:val="4"/>
  </w:num>
  <w:num w:numId="4">
    <w:abstractNumId w:val="3"/>
  </w:num>
  <w:num w:numId="3">
    <w:abstractNumId w:val="2"/>
  </w:num>
  <w:num w:numId="2">
    <w:abstractNumId w:val="1"/>
  </w:num>
  <w:num w:numId="1">
    <w:abstractNumId w:val="0"/>
  </w:num>
  <w:num w:numId="9">
    <w:abstractNumId w:val="8"/>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ahoma" w:hAnsi="Tahoma" w:eastAsia="Tahoma" w:cs="Tahoma"/>
    </w:rPr>
  </w:style>
  <w:style w:styleId="BodyText" w:type="paragraph">
    <w:name w:val="Body Text"/>
    <w:basedOn w:val="Normal"/>
    <w:uiPriority w:val="1"/>
    <w:qFormat/>
    <w:pPr/>
    <w:rPr>
      <w:rFonts w:ascii="Tahoma" w:hAnsi="Tahoma" w:eastAsia="Tahoma" w:cs="Tahoma"/>
      <w:sz w:val="21"/>
      <w:szCs w:val="21"/>
    </w:rPr>
  </w:style>
  <w:style w:styleId="Heading1" w:type="paragraph">
    <w:name w:val="Heading 1"/>
    <w:basedOn w:val="Normal"/>
    <w:uiPriority w:val="1"/>
    <w:qFormat/>
    <w:pPr>
      <w:spacing w:before="179" w:line="620" w:lineRule="exact"/>
      <w:ind w:left="2834" w:right="4919"/>
      <w:outlineLvl w:val="1"/>
    </w:pPr>
    <w:rPr>
      <w:rFonts w:ascii="Times New Roman" w:hAnsi="Times New Roman" w:eastAsia="Times New Roman" w:cs="Times New Roman"/>
      <w:b/>
      <w:bCs/>
      <w:sz w:val="60"/>
      <w:szCs w:val="60"/>
    </w:rPr>
  </w:style>
  <w:style w:styleId="Heading2" w:type="paragraph">
    <w:name w:val="Heading 2"/>
    <w:basedOn w:val="Normal"/>
    <w:uiPriority w:val="1"/>
    <w:qFormat/>
    <w:pPr>
      <w:spacing w:before="4" w:line="540" w:lineRule="exact"/>
      <w:ind w:left="2834" w:right="5292"/>
      <w:outlineLvl w:val="2"/>
    </w:pPr>
    <w:rPr>
      <w:rFonts w:ascii="Times New Roman" w:hAnsi="Times New Roman" w:eastAsia="Times New Roman" w:cs="Times New Roman"/>
      <w:b/>
      <w:bCs/>
      <w:sz w:val="48"/>
      <w:szCs w:val="48"/>
    </w:rPr>
  </w:style>
  <w:style w:styleId="Heading3" w:type="paragraph">
    <w:name w:val="Heading 3"/>
    <w:basedOn w:val="Normal"/>
    <w:uiPriority w:val="1"/>
    <w:qFormat/>
    <w:pPr>
      <w:ind w:left="833"/>
      <w:jc w:val="center"/>
      <w:outlineLvl w:val="3"/>
    </w:pPr>
    <w:rPr>
      <w:rFonts w:ascii="Calibri" w:hAnsi="Calibri" w:eastAsia="Calibri" w:cs="Calibri"/>
      <w:sz w:val="32"/>
      <w:szCs w:val="32"/>
    </w:rPr>
  </w:style>
  <w:style w:styleId="Heading4" w:type="paragraph">
    <w:name w:val="Heading 4"/>
    <w:basedOn w:val="Normal"/>
    <w:uiPriority w:val="1"/>
    <w:qFormat/>
    <w:pPr>
      <w:ind w:left="79" w:right="1222"/>
      <w:outlineLvl w:val="4"/>
    </w:pPr>
    <w:rPr>
      <w:rFonts w:ascii="Calibri" w:hAnsi="Calibri" w:eastAsia="Calibri" w:cs="Calibri"/>
      <w:sz w:val="22"/>
      <w:szCs w:val="22"/>
    </w:rPr>
  </w:style>
  <w:style w:styleId="ListParagraph" w:type="paragraph">
    <w:name w:val="List Paragraph"/>
    <w:basedOn w:val="Normal"/>
    <w:uiPriority w:val="1"/>
    <w:qFormat/>
    <w:pPr>
      <w:ind w:left="1044" w:hanging="360"/>
      <w:jc w:val="both"/>
    </w:pPr>
    <w:rPr>
      <w:rFonts w:ascii="Tahoma" w:hAnsi="Tahoma" w:eastAsia="Tahoma" w:cs="Tahoma"/>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hyperlink" Target="http://www.uaemex.mx/" TargetMode="External"/><Relationship Id="rId34" Type="http://schemas.openxmlformats.org/officeDocument/2006/relationships/image" Target="media/image29.png"/><Relationship Id="rId35" Type="http://schemas.openxmlformats.org/officeDocument/2006/relationships/image" Target="media/image30.png"/><Relationship Id="rId36" Type="http://schemas.openxmlformats.org/officeDocument/2006/relationships/image" Target="media/image31.png"/><Relationship Id="rId37" Type="http://schemas.openxmlformats.org/officeDocument/2006/relationships/image" Target="media/image32.png"/><Relationship Id="rId38" Type="http://schemas.openxmlformats.org/officeDocument/2006/relationships/image" Target="media/image33.png"/><Relationship Id="rId39" Type="http://schemas.openxmlformats.org/officeDocument/2006/relationships/hyperlink" Target="http://www.diputados.gob/" TargetMode="External"/><Relationship Id="rId40" Type="http://schemas.openxmlformats.org/officeDocument/2006/relationships/image" Target="media/image34.png"/><Relationship Id="rId41" Type="http://schemas.openxmlformats.org/officeDocument/2006/relationships/image" Target="media/image35.png"/><Relationship Id="rId42" Type="http://schemas.openxmlformats.org/officeDocument/2006/relationships/hyperlink" Target="http://scienzaepolitica.unibo.it/article" TargetMode="External"/><Relationship Id="rId43" Type="http://schemas.openxmlformats.org/officeDocument/2006/relationships/hyperlink" Target="http://hc.rediris.es/06/index.html" TargetMode="External"/><Relationship Id="rId44" Type="http://schemas.openxmlformats.org/officeDocument/2006/relationships/hyperlink" Target="http://amsacta.unibo/" TargetMode="External"/><Relationship Id="rId45" Type="http://schemas.openxmlformats.org/officeDocument/2006/relationships/hyperlink" Target="http://scienzaepolitica/" TargetMode="External"/><Relationship Id="rId46" Type="http://schemas.openxmlformats.org/officeDocument/2006/relationships/hyperlink" Target="http://scienzaepolitica.unibo.it/pages/view/repository" TargetMode="External"/><Relationship Id="rId47" Type="http://schemas.openxmlformats.org/officeDocument/2006/relationships/hyperlink" Target="http://scienzaepolitica.unibo.it/article/" TargetMode="External"/><Relationship Id="rId48" Type="http://schemas.openxmlformats.org/officeDocument/2006/relationships/hyperlink" Target="http://daccessdds.un.org/doc/UNDOC/GEN/" TargetMode="External"/><Relationship Id="rId49" Type="http://schemas.openxmlformats.org/officeDocument/2006/relationships/image" Target="media/image36.png"/><Relationship Id="rId50" Type="http://schemas.openxmlformats.org/officeDocument/2006/relationships/image" Target="media/image37.png"/><Relationship Id="rId51" Type="http://schemas.openxmlformats.org/officeDocument/2006/relationships/image" Target="media/image38.png"/><Relationship Id="rId52" Type="http://schemas.openxmlformats.org/officeDocument/2006/relationships/image" Target="media/image39.png"/><Relationship Id="rId53" Type="http://schemas.openxmlformats.org/officeDocument/2006/relationships/image" Target="media/image40.png"/><Relationship Id="rId54" Type="http://schemas.openxmlformats.org/officeDocument/2006/relationships/image" Target="media/image41.png"/><Relationship Id="rId55" Type="http://schemas.openxmlformats.org/officeDocument/2006/relationships/image" Target="media/image42.png"/><Relationship Id="rId56" Type="http://schemas.openxmlformats.org/officeDocument/2006/relationships/image" Target="media/image43.png"/><Relationship Id="rId57" Type="http://schemas.openxmlformats.org/officeDocument/2006/relationships/image" Target="media/image44.png"/><Relationship Id="rId58" Type="http://schemas.openxmlformats.org/officeDocument/2006/relationships/image" Target="media/image45.png"/><Relationship Id="rId59" Type="http://schemas.openxmlformats.org/officeDocument/2006/relationships/image" Target="media/image46.png"/><Relationship Id="rId60" Type="http://schemas.openxmlformats.org/officeDocument/2006/relationships/image" Target="media/image47.jpeg"/><Relationship Id="rId61" Type="http://schemas.openxmlformats.org/officeDocument/2006/relationships/image" Target="media/image48.png"/><Relationship Id="rId62" Type="http://schemas.openxmlformats.org/officeDocument/2006/relationships/image" Target="media/image49.png"/><Relationship Id="rId63" Type="http://schemas.openxmlformats.org/officeDocument/2006/relationships/image" Target="media/image50.png"/><Relationship Id="rId64" Type="http://schemas.openxmlformats.org/officeDocument/2006/relationships/image" Target="media/image51.png"/><Relationship Id="rId65" Type="http://schemas.openxmlformats.org/officeDocument/2006/relationships/image" Target="media/image52.png"/><Relationship Id="rId66" Type="http://schemas.openxmlformats.org/officeDocument/2006/relationships/hyperlink" Target="http://scienzaepolitica.unibo.it/pages/view/" TargetMode="External"/><Relationship Id="rId67" Type="http://schemas.openxmlformats.org/officeDocument/2006/relationships/hyperlink" Target="http://scienzaepolitica.unibo.it/article/view/5288" TargetMode="External"/><Relationship Id="rId68" Type="http://schemas.openxmlformats.org/officeDocument/2006/relationships/image" Target="media/image53.png"/><Relationship Id="rId69" Type="http://schemas.openxmlformats.org/officeDocument/2006/relationships/image" Target="media/image54.png"/><Relationship Id="rId70" Type="http://schemas.openxmlformats.org/officeDocument/2006/relationships/image" Target="media/image55.png"/><Relationship Id="rId71" Type="http://schemas.openxmlformats.org/officeDocument/2006/relationships/image" Target="media/image56.png"/><Relationship Id="rId7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2017-05-31T20:05:36Z</dcterms:created>
  <dcterms:modified xsi:type="dcterms:W3CDTF">2017-05-31T20:05:36Z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2016-02-11T00:00:00Z</vt:filetime>
  </property>
  <property fmtid="{D5CDD505-2E9C-101B-9397-08002B2CF9AE}" pid="3" name="Creator">
    <vt:lpwstr>Adobe InDesign CS6 (Macintosh)</vt:lpwstr>
  </property>
  <property fmtid="{D5CDD505-2E9C-101B-9397-08002B2CF9AE}" pid="4" name="LastSaved">
    <vt:filetime>2017-05-31T00:00:00Z</vt:filetime>
  </property>
</Properties>
</file>